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265430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31"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UNITED STATES SECURITIES AND EXCHANGE COMMISSION</w:t>
      </w:r>
    </w:p>
    <w:p>
      <w:pPr>
        <w:jc w:val="center"/>
        <w:spacing w:after="0"/>
        <w:rPr>
          <w:sz w:val="20"/>
          <w:szCs w:val="20"/>
          <w:color w:val="auto"/>
        </w:rPr>
      </w:pPr>
      <w:r>
        <w:rPr>
          <w:rFonts w:ascii="Arial" w:cs="Arial" w:eastAsia="Arial" w:hAnsi="Arial"/>
          <w:sz w:val="16"/>
          <w:szCs w:val="16"/>
          <w:color w:val="auto"/>
        </w:rPr>
        <w:t>Washington, D.C. 20549</w:t>
      </w:r>
    </w:p>
    <w:p>
      <w:pPr>
        <w:spacing w:after="0" w:line="2" w:lineRule="exact"/>
        <w:rPr>
          <w:sz w:val="24"/>
          <w:szCs w:val="24"/>
          <w:color w:val="auto"/>
        </w:rPr>
      </w:pPr>
    </w:p>
    <w:p>
      <w:pPr>
        <w:jc w:val="center"/>
        <w:spacing w:after="0"/>
        <w:rPr>
          <w:sz w:val="20"/>
          <w:szCs w:val="20"/>
          <w:color w:val="auto"/>
        </w:rPr>
      </w:pPr>
      <w:r>
        <w:rPr>
          <w:rFonts w:ascii="Arial" w:cs="Arial" w:eastAsia="Arial" w:hAnsi="Arial"/>
          <w:sz w:val="27"/>
          <w:szCs w:val="27"/>
          <w:color w:val="auto"/>
        </w:rPr>
        <w:t>Form 20-F</w:t>
      </w:r>
    </w:p>
    <w:p>
      <w:pPr>
        <w:spacing w:after="0" w:line="44" w:lineRule="exact"/>
        <w:rPr>
          <w:sz w:val="24"/>
          <w:szCs w:val="24"/>
          <w:color w:val="auto"/>
        </w:rPr>
      </w:pPr>
    </w:p>
    <w:tbl>
      <w:tblPr>
        <w:tblLayout w:type="fixed"/>
        <w:tblInd w:w="0" w:type="dxa"/>
        <w:tblCellMar>
          <w:top w:w="0" w:type="dxa"/>
          <w:left w:w="0" w:type="dxa"/>
          <w:bottom w:w="0" w:type="dxa"/>
          <w:right w:w="0" w:type="dxa"/>
        </w:tblCellMar>
      </w:tblPr>
      <w:tr>
        <w:trPr>
          <w:trHeight w:val="189"/>
        </w:trPr>
        <w:tc>
          <w:tcPr>
            <w:tcW w:w="960" w:type="dxa"/>
            <w:vAlign w:val="bottom"/>
          </w:tcPr>
          <w:p>
            <w:pPr>
              <w:spacing w:after="0"/>
              <w:rPr>
                <w:sz w:val="16"/>
                <w:szCs w:val="16"/>
                <w:color w:val="auto"/>
              </w:rPr>
            </w:pPr>
          </w:p>
        </w:tc>
        <w:tc>
          <w:tcPr>
            <w:tcW w:w="7520" w:type="dxa"/>
            <w:vAlign w:val="bottom"/>
            <w:gridSpan w:val="4"/>
          </w:tcPr>
          <w:p>
            <w:pPr>
              <w:jc w:val="center"/>
              <w:ind w:left="1923"/>
              <w:spacing w:after="0"/>
              <w:rPr>
                <w:sz w:val="20"/>
                <w:szCs w:val="20"/>
                <w:color w:val="auto"/>
              </w:rPr>
            </w:pPr>
            <w:r>
              <w:rPr>
                <w:rFonts w:ascii="Arial" w:cs="Arial" w:eastAsia="Arial" w:hAnsi="Arial"/>
                <w:sz w:val="16"/>
                <w:szCs w:val="16"/>
                <w:color w:val="auto"/>
              </w:rPr>
              <w:t>ANNUAL REPORT PURSUANT TO SECTION 13 OR 15(d)</w:t>
            </w:r>
          </w:p>
        </w:tc>
      </w:tr>
      <w:tr>
        <w:trPr>
          <w:trHeight w:val="195"/>
        </w:trPr>
        <w:tc>
          <w:tcPr>
            <w:tcW w:w="960" w:type="dxa"/>
            <w:vAlign w:val="bottom"/>
          </w:tcPr>
          <w:p>
            <w:pPr>
              <w:spacing w:after="0"/>
              <w:rPr>
                <w:sz w:val="16"/>
                <w:szCs w:val="16"/>
                <w:color w:val="auto"/>
              </w:rPr>
            </w:pPr>
          </w:p>
        </w:tc>
        <w:tc>
          <w:tcPr>
            <w:tcW w:w="7520" w:type="dxa"/>
            <w:vAlign w:val="bottom"/>
            <w:gridSpan w:val="4"/>
          </w:tcPr>
          <w:p>
            <w:pPr>
              <w:jc w:val="center"/>
              <w:ind w:left="1903"/>
              <w:spacing w:after="0"/>
              <w:rPr>
                <w:sz w:val="20"/>
                <w:szCs w:val="20"/>
                <w:color w:val="auto"/>
              </w:rPr>
            </w:pPr>
            <w:r>
              <w:rPr>
                <w:rFonts w:ascii="Arial" w:cs="Arial" w:eastAsia="Arial" w:hAnsi="Arial"/>
                <w:sz w:val="16"/>
                <w:szCs w:val="16"/>
                <w:color w:val="auto"/>
              </w:rPr>
              <w:t>OF THE SECURITIES EXCHANGE ACT OF 1934</w:t>
            </w:r>
          </w:p>
        </w:tc>
      </w:tr>
      <w:tr>
        <w:trPr>
          <w:trHeight w:val="186"/>
        </w:trPr>
        <w:tc>
          <w:tcPr>
            <w:tcW w:w="960" w:type="dxa"/>
            <w:vAlign w:val="bottom"/>
          </w:tcPr>
          <w:p>
            <w:pPr>
              <w:spacing w:after="0"/>
              <w:rPr>
                <w:sz w:val="16"/>
                <w:szCs w:val="16"/>
                <w:color w:val="auto"/>
              </w:rPr>
            </w:pPr>
          </w:p>
        </w:tc>
        <w:tc>
          <w:tcPr>
            <w:tcW w:w="3180" w:type="dxa"/>
            <w:vAlign w:val="bottom"/>
          </w:tcPr>
          <w:p>
            <w:pPr>
              <w:spacing w:after="0"/>
              <w:rPr>
                <w:sz w:val="16"/>
                <w:szCs w:val="16"/>
                <w:color w:val="auto"/>
              </w:rPr>
            </w:pPr>
          </w:p>
        </w:tc>
        <w:tc>
          <w:tcPr>
            <w:tcW w:w="4340" w:type="dxa"/>
            <w:vAlign w:val="bottom"/>
            <w:gridSpan w:val="3"/>
          </w:tcPr>
          <w:p>
            <w:pPr>
              <w:jc w:val="center"/>
              <w:ind w:right="1180"/>
              <w:spacing w:after="0"/>
              <w:rPr>
                <w:sz w:val="20"/>
                <w:szCs w:val="20"/>
                <w:color w:val="auto"/>
              </w:rPr>
            </w:pPr>
            <w:r>
              <w:rPr>
                <w:rFonts w:ascii="Arial" w:cs="Arial" w:eastAsia="Arial" w:hAnsi="Arial"/>
                <w:sz w:val="14"/>
                <w:szCs w:val="14"/>
                <w:color w:val="auto"/>
              </w:rPr>
              <w:t>For the fiscal year ended December 31, 2014</w:t>
            </w:r>
          </w:p>
        </w:tc>
      </w:tr>
      <w:tr>
        <w:trPr>
          <w:trHeight w:val="172"/>
        </w:trPr>
        <w:tc>
          <w:tcPr>
            <w:tcW w:w="960" w:type="dxa"/>
            <w:vAlign w:val="bottom"/>
          </w:tcPr>
          <w:p>
            <w:pPr>
              <w:spacing w:after="0"/>
              <w:rPr>
                <w:sz w:val="14"/>
                <w:szCs w:val="14"/>
                <w:color w:val="auto"/>
              </w:rPr>
            </w:pPr>
          </w:p>
        </w:tc>
        <w:tc>
          <w:tcPr>
            <w:tcW w:w="3180" w:type="dxa"/>
            <w:vAlign w:val="bottom"/>
          </w:tcPr>
          <w:p>
            <w:pPr>
              <w:spacing w:after="0"/>
              <w:rPr>
                <w:sz w:val="14"/>
                <w:szCs w:val="14"/>
                <w:color w:val="auto"/>
              </w:rPr>
            </w:pPr>
          </w:p>
        </w:tc>
        <w:tc>
          <w:tcPr>
            <w:tcW w:w="4340" w:type="dxa"/>
            <w:vAlign w:val="bottom"/>
            <w:gridSpan w:val="3"/>
          </w:tcPr>
          <w:p>
            <w:pPr>
              <w:jc w:val="center"/>
              <w:ind w:right="1200"/>
              <w:spacing w:after="0"/>
              <w:rPr>
                <w:sz w:val="20"/>
                <w:szCs w:val="20"/>
                <w:color w:val="auto"/>
              </w:rPr>
            </w:pPr>
            <w:r>
              <w:rPr>
                <w:rFonts w:ascii="Arial" w:cs="Arial" w:eastAsia="Arial" w:hAnsi="Arial"/>
                <w:sz w:val="14"/>
                <w:szCs w:val="14"/>
                <w:color w:val="auto"/>
              </w:rPr>
              <w:t>Commission file number 1-32575</w:t>
            </w:r>
          </w:p>
        </w:tc>
      </w:tr>
      <w:tr>
        <w:trPr>
          <w:trHeight w:val="419"/>
        </w:trPr>
        <w:tc>
          <w:tcPr>
            <w:tcW w:w="96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4340" w:type="dxa"/>
            <w:vAlign w:val="bottom"/>
            <w:gridSpan w:val="3"/>
          </w:tcPr>
          <w:p>
            <w:pPr>
              <w:jc w:val="center"/>
              <w:ind w:right="1180"/>
              <w:spacing w:after="0"/>
              <w:rPr>
                <w:sz w:val="20"/>
                <w:szCs w:val="20"/>
                <w:color w:val="auto"/>
              </w:rPr>
            </w:pPr>
            <w:r>
              <w:rPr>
                <w:rFonts w:ascii="Arial" w:cs="Arial" w:eastAsia="Arial" w:hAnsi="Arial"/>
                <w:sz w:val="32"/>
                <w:szCs w:val="32"/>
                <w:color w:val="auto"/>
              </w:rPr>
              <w:t>Royal Dutch Shell plc</w:t>
            </w:r>
          </w:p>
        </w:tc>
      </w:tr>
      <w:tr>
        <w:trPr>
          <w:trHeight w:val="172"/>
        </w:trPr>
        <w:tc>
          <w:tcPr>
            <w:tcW w:w="960" w:type="dxa"/>
            <w:vAlign w:val="bottom"/>
          </w:tcPr>
          <w:p>
            <w:pPr>
              <w:spacing w:after="0"/>
              <w:rPr>
                <w:sz w:val="14"/>
                <w:szCs w:val="14"/>
                <w:color w:val="auto"/>
              </w:rPr>
            </w:pPr>
          </w:p>
        </w:tc>
        <w:tc>
          <w:tcPr>
            <w:tcW w:w="3180" w:type="dxa"/>
            <w:vAlign w:val="bottom"/>
          </w:tcPr>
          <w:p>
            <w:pPr>
              <w:spacing w:after="0"/>
              <w:rPr>
                <w:sz w:val="14"/>
                <w:szCs w:val="14"/>
                <w:color w:val="auto"/>
              </w:rPr>
            </w:pPr>
          </w:p>
        </w:tc>
        <w:tc>
          <w:tcPr>
            <w:tcW w:w="4340" w:type="dxa"/>
            <w:vAlign w:val="bottom"/>
            <w:gridSpan w:val="3"/>
          </w:tcPr>
          <w:p>
            <w:pPr>
              <w:jc w:val="center"/>
              <w:ind w:right="1200"/>
              <w:spacing w:after="0"/>
              <w:rPr>
                <w:sz w:val="20"/>
                <w:szCs w:val="20"/>
                <w:color w:val="auto"/>
              </w:rPr>
            </w:pPr>
            <w:r>
              <w:rPr>
                <w:rFonts w:ascii="Arial" w:cs="Arial" w:eastAsia="Arial" w:hAnsi="Arial"/>
                <w:sz w:val="13"/>
                <w:szCs w:val="13"/>
                <w:i w:val="1"/>
                <w:iCs w:val="1"/>
                <w:color w:val="auto"/>
                <w:w w:val="96"/>
              </w:rPr>
              <w:t>(Exact name of registrant as specified in its charter)</w:t>
            </w:r>
          </w:p>
        </w:tc>
      </w:tr>
      <w:tr>
        <w:trPr>
          <w:trHeight w:val="160"/>
        </w:trPr>
        <w:tc>
          <w:tcPr>
            <w:tcW w:w="960" w:type="dxa"/>
            <w:vAlign w:val="bottom"/>
          </w:tcPr>
          <w:p>
            <w:pPr>
              <w:spacing w:after="0"/>
              <w:rPr>
                <w:sz w:val="13"/>
                <w:szCs w:val="13"/>
                <w:color w:val="auto"/>
              </w:rPr>
            </w:pPr>
          </w:p>
        </w:tc>
        <w:tc>
          <w:tcPr>
            <w:tcW w:w="3180" w:type="dxa"/>
            <w:vAlign w:val="bottom"/>
          </w:tcPr>
          <w:p>
            <w:pPr>
              <w:spacing w:after="0"/>
              <w:rPr>
                <w:sz w:val="13"/>
                <w:szCs w:val="13"/>
                <w:color w:val="auto"/>
              </w:rPr>
            </w:pPr>
          </w:p>
        </w:tc>
        <w:tc>
          <w:tcPr>
            <w:tcW w:w="4340" w:type="dxa"/>
            <w:vAlign w:val="bottom"/>
            <w:gridSpan w:val="3"/>
          </w:tcPr>
          <w:p>
            <w:pPr>
              <w:jc w:val="center"/>
              <w:ind w:right="1180"/>
              <w:spacing w:after="0"/>
              <w:rPr>
                <w:sz w:val="20"/>
                <w:szCs w:val="20"/>
                <w:color w:val="auto"/>
              </w:rPr>
            </w:pPr>
            <w:r>
              <w:rPr>
                <w:rFonts w:ascii="Arial" w:cs="Arial" w:eastAsia="Arial" w:hAnsi="Arial"/>
                <w:sz w:val="14"/>
                <w:szCs w:val="14"/>
                <w:color w:val="auto"/>
              </w:rPr>
              <w:t>England and Wales</w:t>
            </w:r>
          </w:p>
        </w:tc>
      </w:tr>
      <w:tr>
        <w:trPr>
          <w:trHeight w:val="158"/>
        </w:trPr>
        <w:tc>
          <w:tcPr>
            <w:tcW w:w="960" w:type="dxa"/>
            <w:vAlign w:val="bottom"/>
          </w:tcPr>
          <w:p>
            <w:pPr>
              <w:spacing w:after="0"/>
              <w:rPr>
                <w:sz w:val="13"/>
                <w:szCs w:val="13"/>
                <w:color w:val="auto"/>
              </w:rPr>
            </w:pPr>
          </w:p>
        </w:tc>
        <w:tc>
          <w:tcPr>
            <w:tcW w:w="3180" w:type="dxa"/>
            <w:vAlign w:val="bottom"/>
          </w:tcPr>
          <w:p>
            <w:pPr>
              <w:spacing w:after="0"/>
              <w:rPr>
                <w:sz w:val="13"/>
                <w:szCs w:val="13"/>
                <w:color w:val="auto"/>
              </w:rPr>
            </w:pPr>
          </w:p>
        </w:tc>
        <w:tc>
          <w:tcPr>
            <w:tcW w:w="4340" w:type="dxa"/>
            <w:vAlign w:val="bottom"/>
            <w:gridSpan w:val="3"/>
          </w:tcPr>
          <w:p>
            <w:pPr>
              <w:jc w:val="center"/>
              <w:ind w:right="1180"/>
              <w:spacing w:after="0"/>
              <w:rPr>
                <w:sz w:val="20"/>
                <w:szCs w:val="20"/>
                <w:color w:val="auto"/>
              </w:rPr>
            </w:pPr>
            <w:r>
              <w:rPr>
                <w:rFonts w:ascii="Arial" w:cs="Arial" w:eastAsia="Arial" w:hAnsi="Arial"/>
                <w:sz w:val="13"/>
                <w:szCs w:val="13"/>
                <w:i w:val="1"/>
                <w:iCs w:val="1"/>
                <w:color w:val="auto"/>
                <w:w w:val="96"/>
              </w:rPr>
              <w:t>(Jurisdiction of incorporation or organisation)</w:t>
            </w:r>
          </w:p>
        </w:tc>
      </w:tr>
      <w:tr>
        <w:trPr>
          <w:trHeight w:val="162"/>
        </w:trPr>
        <w:tc>
          <w:tcPr>
            <w:tcW w:w="960" w:type="dxa"/>
            <w:vAlign w:val="bottom"/>
          </w:tcPr>
          <w:p>
            <w:pPr>
              <w:spacing w:after="0"/>
              <w:rPr>
                <w:sz w:val="14"/>
                <w:szCs w:val="14"/>
                <w:color w:val="auto"/>
              </w:rPr>
            </w:pPr>
          </w:p>
        </w:tc>
        <w:tc>
          <w:tcPr>
            <w:tcW w:w="7520" w:type="dxa"/>
            <w:vAlign w:val="bottom"/>
            <w:gridSpan w:val="4"/>
          </w:tcPr>
          <w:p>
            <w:pPr>
              <w:jc w:val="center"/>
              <w:ind w:left="1923"/>
              <w:spacing w:after="0"/>
              <w:rPr>
                <w:sz w:val="20"/>
                <w:szCs w:val="20"/>
                <w:color w:val="auto"/>
              </w:rPr>
            </w:pPr>
            <w:r>
              <w:rPr>
                <w:rFonts w:ascii="Arial" w:cs="Arial" w:eastAsia="Arial" w:hAnsi="Arial"/>
                <w:sz w:val="14"/>
                <w:szCs w:val="14"/>
                <w:color w:val="auto"/>
              </w:rPr>
              <w:t>Carel van Bylandtlaan 30, 2596 HR, The Hague, The Netherlands</w:t>
            </w:r>
          </w:p>
        </w:tc>
      </w:tr>
      <w:tr>
        <w:trPr>
          <w:trHeight w:val="162"/>
        </w:trPr>
        <w:tc>
          <w:tcPr>
            <w:tcW w:w="960" w:type="dxa"/>
            <w:vAlign w:val="bottom"/>
          </w:tcPr>
          <w:p>
            <w:pPr>
              <w:spacing w:after="0"/>
              <w:rPr>
                <w:sz w:val="14"/>
                <w:szCs w:val="14"/>
                <w:color w:val="auto"/>
              </w:rPr>
            </w:pPr>
          </w:p>
        </w:tc>
        <w:tc>
          <w:tcPr>
            <w:tcW w:w="3180" w:type="dxa"/>
            <w:vAlign w:val="bottom"/>
          </w:tcPr>
          <w:p>
            <w:pPr>
              <w:spacing w:after="0"/>
              <w:rPr>
                <w:sz w:val="14"/>
                <w:szCs w:val="14"/>
                <w:color w:val="auto"/>
              </w:rPr>
            </w:pPr>
          </w:p>
        </w:tc>
        <w:tc>
          <w:tcPr>
            <w:tcW w:w="4340" w:type="dxa"/>
            <w:vAlign w:val="bottom"/>
            <w:gridSpan w:val="3"/>
          </w:tcPr>
          <w:p>
            <w:pPr>
              <w:jc w:val="center"/>
              <w:ind w:right="1200"/>
              <w:spacing w:after="0"/>
              <w:rPr>
                <w:sz w:val="20"/>
                <w:szCs w:val="20"/>
                <w:color w:val="auto"/>
              </w:rPr>
            </w:pPr>
            <w:r>
              <w:rPr>
                <w:rFonts w:ascii="Arial" w:cs="Arial" w:eastAsia="Arial" w:hAnsi="Arial"/>
                <w:sz w:val="14"/>
                <w:szCs w:val="14"/>
                <w:color w:val="auto"/>
              </w:rPr>
              <w:t>Tel. no: 011 31 70 377 9111</w:t>
            </w:r>
          </w:p>
        </w:tc>
      </w:tr>
      <w:tr>
        <w:trPr>
          <w:trHeight w:val="139"/>
        </w:trPr>
        <w:tc>
          <w:tcPr>
            <w:tcW w:w="960" w:type="dxa"/>
            <w:vAlign w:val="bottom"/>
          </w:tcPr>
          <w:p>
            <w:pPr>
              <w:spacing w:after="0"/>
              <w:rPr>
                <w:sz w:val="12"/>
                <w:szCs w:val="12"/>
                <w:color w:val="auto"/>
              </w:rPr>
            </w:pPr>
          </w:p>
        </w:tc>
        <w:tc>
          <w:tcPr>
            <w:tcW w:w="3180" w:type="dxa"/>
            <w:vAlign w:val="bottom"/>
          </w:tcPr>
          <w:p>
            <w:pPr>
              <w:spacing w:after="0"/>
              <w:rPr>
                <w:sz w:val="12"/>
                <w:szCs w:val="12"/>
                <w:color w:val="auto"/>
              </w:rPr>
            </w:pPr>
          </w:p>
        </w:tc>
        <w:tc>
          <w:tcPr>
            <w:tcW w:w="4340" w:type="dxa"/>
            <w:vAlign w:val="bottom"/>
            <w:gridSpan w:val="3"/>
          </w:tcPr>
          <w:p>
            <w:pPr>
              <w:jc w:val="center"/>
              <w:ind w:right="1200"/>
              <w:spacing w:after="0" w:line="139" w:lineRule="exact"/>
              <w:rPr>
                <w:sz w:val="20"/>
                <w:szCs w:val="20"/>
                <w:color w:val="auto"/>
              </w:rPr>
            </w:pPr>
            <w:r>
              <w:rPr>
                <w:rFonts w:ascii="Arial" w:cs="Arial" w:eastAsia="Arial" w:hAnsi="Arial"/>
                <w:sz w:val="14"/>
                <w:szCs w:val="14"/>
                <w:color w:val="auto"/>
              </w:rPr>
              <w:t>royaldutchshell.shareholders@shell.com</w:t>
            </w:r>
          </w:p>
        </w:tc>
      </w:tr>
      <w:tr>
        <w:trPr>
          <w:trHeight w:val="164"/>
        </w:trPr>
        <w:tc>
          <w:tcPr>
            <w:tcW w:w="960" w:type="dxa"/>
            <w:vAlign w:val="bottom"/>
          </w:tcPr>
          <w:p>
            <w:pPr>
              <w:spacing w:after="0"/>
              <w:rPr>
                <w:sz w:val="14"/>
                <w:szCs w:val="14"/>
                <w:color w:val="auto"/>
              </w:rPr>
            </w:pPr>
          </w:p>
        </w:tc>
        <w:tc>
          <w:tcPr>
            <w:tcW w:w="3180" w:type="dxa"/>
            <w:vAlign w:val="bottom"/>
          </w:tcPr>
          <w:p>
            <w:pPr>
              <w:spacing w:after="0"/>
              <w:rPr>
                <w:sz w:val="14"/>
                <w:szCs w:val="14"/>
                <w:color w:val="auto"/>
              </w:rPr>
            </w:pPr>
          </w:p>
        </w:tc>
        <w:tc>
          <w:tcPr>
            <w:tcW w:w="4340" w:type="dxa"/>
            <w:vAlign w:val="bottom"/>
            <w:gridSpan w:val="3"/>
          </w:tcPr>
          <w:p>
            <w:pPr>
              <w:jc w:val="center"/>
              <w:ind w:right="1180"/>
              <w:spacing w:after="0"/>
              <w:rPr>
                <w:sz w:val="20"/>
                <w:szCs w:val="20"/>
                <w:color w:val="auto"/>
              </w:rPr>
            </w:pPr>
            <w:r>
              <w:rPr>
                <w:rFonts w:ascii="Arial" w:cs="Arial" w:eastAsia="Arial" w:hAnsi="Arial"/>
                <w:sz w:val="13"/>
                <w:szCs w:val="13"/>
                <w:i w:val="1"/>
                <w:iCs w:val="1"/>
                <w:color w:val="auto"/>
                <w:w w:val="97"/>
              </w:rPr>
              <w:t>(Address of principal executive offices)</w:t>
            </w:r>
          </w:p>
        </w:tc>
      </w:tr>
      <w:tr>
        <w:trPr>
          <w:trHeight w:val="207"/>
        </w:trPr>
        <w:tc>
          <w:tcPr>
            <w:tcW w:w="960" w:type="dxa"/>
            <w:vAlign w:val="bottom"/>
          </w:tcPr>
          <w:p>
            <w:pPr>
              <w:spacing w:after="0"/>
              <w:rPr>
                <w:sz w:val="17"/>
                <w:szCs w:val="17"/>
                <w:color w:val="auto"/>
              </w:rPr>
            </w:pPr>
          </w:p>
        </w:tc>
        <w:tc>
          <w:tcPr>
            <w:tcW w:w="7520" w:type="dxa"/>
            <w:vAlign w:val="bottom"/>
            <w:gridSpan w:val="4"/>
          </w:tcPr>
          <w:p>
            <w:pPr>
              <w:jc w:val="center"/>
              <w:ind w:left="1903"/>
              <w:spacing w:after="0"/>
              <w:rPr>
                <w:sz w:val="20"/>
                <w:szCs w:val="20"/>
                <w:color w:val="auto"/>
              </w:rPr>
            </w:pPr>
            <w:r>
              <w:rPr>
                <w:rFonts w:ascii="Arial" w:cs="Arial" w:eastAsia="Arial" w:hAnsi="Arial"/>
                <w:sz w:val="14"/>
                <w:szCs w:val="14"/>
                <w:color w:val="auto"/>
              </w:rPr>
              <w:t>Securities registered pursuant to Section 12(b) of the Act</w:t>
            </w:r>
          </w:p>
        </w:tc>
      </w:tr>
      <w:tr>
        <w:trPr>
          <w:trHeight w:val="161"/>
        </w:trPr>
        <w:tc>
          <w:tcPr>
            <w:tcW w:w="4140" w:type="dxa"/>
            <w:vAlign w:val="bottom"/>
            <w:gridSpan w:val="2"/>
          </w:tcPr>
          <w:p>
            <w:pPr>
              <w:spacing w:after="0"/>
              <w:rPr>
                <w:sz w:val="20"/>
                <w:szCs w:val="20"/>
                <w:color w:val="auto"/>
              </w:rPr>
            </w:pPr>
            <w:r>
              <w:rPr>
                <w:rFonts w:ascii="Arial" w:cs="Arial" w:eastAsia="Arial" w:hAnsi="Arial"/>
                <w:sz w:val="13"/>
                <w:szCs w:val="13"/>
                <w:color w:val="auto"/>
              </w:rPr>
              <w:t>Title of Each Class</w:t>
            </w:r>
          </w:p>
        </w:tc>
        <w:tc>
          <w:tcPr>
            <w:tcW w:w="4340" w:type="dxa"/>
            <w:vAlign w:val="bottom"/>
            <w:gridSpan w:val="3"/>
          </w:tcPr>
          <w:p>
            <w:pPr>
              <w:ind w:left="1740"/>
              <w:spacing w:after="0"/>
              <w:rPr>
                <w:sz w:val="20"/>
                <w:szCs w:val="20"/>
                <w:color w:val="auto"/>
              </w:rPr>
            </w:pPr>
            <w:r>
              <w:rPr>
                <w:rFonts w:ascii="Arial" w:cs="Arial" w:eastAsia="Arial" w:hAnsi="Arial"/>
                <w:sz w:val="13"/>
                <w:szCs w:val="13"/>
                <w:color w:val="auto"/>
                <w:w w:val="96"/>
              </w:rPr>
              <w:t>Name of Each Exchange on Which Registered</w:t>
            </w:r>
          </w:p>
        </w:tc>
      </w:tr>
      <w:tr>
        <w:trPr>
          <w:trHeight w:val="20"/>
        </w:trPr>
        <w:tc>
          <w:tcPr>
            <w:tcW w:w="960" w:type="dxa"/>
            <w:vAlign w:val="bottom"/>
            <w:shd w:val="clear" w:color="auto" w:fill="000000"/>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24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160"/>
        </w:trPr>
        <w:tc>
          <w:tcPr>
            <w:tcW w:w="4140" w:type="dxa"/>
            <w:vAlign w:val="bottom"/>
            <w:gridSpan w:val="2"/>
          </w:tcPr>
          <w:p>
            <w:pPr>
              <w:spacing w:after="0"/>
              <w:rPr>
                <w:sz w:val="20"/>
                <w:szCs w:val="20"/>
                <w:color w:val="auto"/>
              </w:rPr>
            </w:pPr>
            <w:r>
              <w:rPr>
                <w:rFonts w:ascii="Arial" w:cs="Arial" w:eastAsia="Arial" w:hAnsi="Arial"/>
                <w:sz w:val="14"/>
                <w:szCs w:val="14"/>
                <w:color w:val="auto"/>
              </w:rPr>
              <w:t>American Depositary Shares representing two A ordinary shares</w:t>
            </w:r>
          </w:p>
        </w:tc>
        <w:tc>
          <w:tcPr>
            <w:tcW w:w="4340" w:type="dxa"/>
            <w:vAlign w:val="bottom"/>
            <w:gridSpan w:val="3"/>
          </w:tcPr>
          <w:p>
            <w:pPr>
              <w:ind w:left="1740"/>
              <w:spacing w:after="0"/>
              <w:rPr>
                <w:sz w:val="20"/>
                <w:szCs w:val="20"/>
                <w:color w:val="auto"/>
              </w:rPr>
            </w:pPr>
            <w:r>
              <w:rPr>
                <w:rFonts w:ascii="Arial" w:cs="Arial" w:eastAsia="Arial" w:hAnsi="Arial"/>
                <w:sz w:val="14"/>
                <w:szCs w:val="14"/>
                <w:color w:val="auto"/>
              </w:rPr>
              <w:t>New York Stock Exchange</w:t>
            </w:r>
          </w:p>
        </w:tc>
      </w:tr>
      <w:tr>
        <w:trPr>
          <w:trHeight w:val="162"/>
        </w:trPr>
        <w:tc>
          <w:tcPr>
            <w:tcW w:w="4140" w:type="dxa"/>
            <w:vAlign w:val="bottom"/>
            <w:gridSpan w:val="2"/>
          </w:tcPr>
          <w:p>
            <w:pPr>
              <w:spacing w:after="0"/>
              <w:rPr>
                <w:sz w:val="20"/>
                <w:szCs w:val="20"/>
                <w:color w:val="auto"/>
              </w:rPr>
            </w:pPr>
            <w:r>
              <w:rPr>
                <w:rFonts w:ascii="Arial" w:cs="Arial" w:eastAsia="Arial" w:hAnsi="Arial"/>
                <w:sz w:val="14"/>
                <w:szCs w:val="14"/>
                <w:color w:val="auto"/>
              </w:rPr>
              <w:t>of the issuer with a nominal value of €0.07 each</w:t>
            </w:r>
          </w:p>
        </w:tc>
        <w:tc>
          <w:tcPr>
            <w:tcW w:w="174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180" w:type="dxa"/>
            <w:vAlign w:val="bottom"/>
          </w:tcPr>
          <w:p>
            <w:pPr>
              <w:spacing w:after="0"/>
              <w:rPr>
                <w:sz w:val="14"/>
                <w:szCs w:val="14"/>
                <w:color w:val="auto"/>
              </w:rPr>
            </w:pPr>
          </w:p>
        </w:tc>
      </w:tr>
      <w:tr>
        <w:trPr>
          <w:trHeight w:val="162"/>
        </w:trPr>
        <w:tc>
          <w:tcPr>
            <w:tcW w:w="4140" w:type="dxa"/>
            <w:vAlign w:val="bottom"/>
            <w:gridSpan w:val="2"/>
          </w:tcPr>
          <w:p>
            <w:pPr>
              <w:spacing w:after="0"/>
              <w:rPr>
                <w:sz w:val="20"/>
                <w:szCs w:val="20"/>
                <w:color w:val="auto"/>
              </w:rPr>
            </w:pPr>
            <w:r>
              <w:rPr>
                <w:rFonts w:ascii="Arial" w:cs="Arial" w:eastAsia="Arial" w:hAnsi="Arial"/>
                <w:sz w:val="14"/>
                <w:szCs w:val="14"/>
                <w:color w:val="auto"/>
              </w:rPr>
              <w:t>American Depositary Shares representing two B ordinary shares</w:t>
            </w:r>
          </w:p>
        </w:tc>
        <w:tc>
          <w:tcPr>
            <w:tcW w:w="4340" w:type="dxa"/>
            <w:vAlign w:val="bottom"/>
            <w:gridSpan w:val="3"/>
          </w:tcPr>
          <w:p>
            <w:pPr>
              <w:ind w:left="1740"/>
              <w:spacing w:after="0"/>
              <w:rPr>
                <w:sz w:val="20"/>
                <w:szCs w:val="20"/>
                <w:color w:val="auto"/>
              </w:rPr>
            </w:pPr>
            <w:r>
              <w:rPr>
                <w:rFonts w:ascii="Arial" w:cs="Arial" w:eastAsia="Arial" w:hAnsi="Arial"/>
                <w:sz w:val="14"/>
                <w:szCs w:val="14"/>
                <w:color w:val="auto"/>
              </w:rPr>
              <w:t>New York Stock Exchange</w:t>
            </w:r>
          </w:p>
        </w:tc>
      </w:tr>
      <w:tr>
        <w:trPr>
          <w:trHeight w:val="162"/>
        </w:trPr>
        <w:tc>
          <w:tcPr>
            <w:tcW w:w="4140" w:type="dxa"/>
            <w:vAlign w:val="bottom"/>
            <w:gridSpan w:val="2"/>
          </w:tcPr>
          <w:p>
            <w:pPr>
              <w:spacing w:after="0"/>
              <w:rPr>
                <w:sz w:val="20"/>
                <w:szCs w:val="20"/>
                <w:color w:val="auto"/>
              </w:rPr>
            </w:pPr>
            <w:r>
              <w:rPr>
                <w:rFonts w:ascii="Arial" w:cs="Arial" w:eastAsia="Arial" w:hAnsi="Arial"/>
                <w:sz w:val="14"/>
                <w:szCs w:val="14"/>
                <w:color w:val="auto"/>
              </w:rPr>
              <w:t>of the issuer with a nominal value of €0.07 each</w:t>
            </w:r>
          </w:p>
        </w:tc>
        <w:tc>
          <w:tcPr>
            <w:tcW w:w="174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180" w:type="dxa"/>
            <w:vAlign w:val="bottom"/>
          </w:tcPr>
          <w:p>
            <w:pPr>
              <w:spacing w:after="0"/>
              <w:rPr>
                <w:sz w:val="14"/>
                <w:szCs w:val="14"/>
                <w:color w:val="auto"/>
              </w:rPr>
            </w:pPr>
          </w:p>
        </w:tc>
      </w:tr>
      <w:tr>
        <w:trPr>
          <w:trHeight w:val="162"/>
        </w:trPr>
        <w:tc>
          <w:tcPr>
            <w:tcW w:w="4140" w:type="dxa"/>
            <w:vAlign w:val="bottom"/>
            <w:gridSpan w:val="2"/>
          </w:tcPr>
          <w:p>
            <w:pPr>
              <w:spacing w:after="0"/>
              <w:rPr>
                <w:sz w:val="20"/>
                <w:szCs w:val="20"/>
                <w:color w:val="auto"/>
              </w:rPr>
            </w:pPr>
            <w:r>
              <w:rPr>
                <w:rFonts w:ascii="Arial" w:cs="Arial" w:eastAsia="Arial" w:hAnsi="Arial"/>
                <w:sz w:val="14"/>
                <w:szCs w:val="14"/>
                <w:color w:val="auto"/>
              </w:rPr>
              <w:t>0.625% Guaranteed Notes due 2015</w:t>
            </w:r>
          </w:p>
        </w:tc>
        <w:tc>
          <w:tcPr>
            <w:tcW w:w="4340" w:type="dxa"/>
            <w:vAlign w:val="bottom"/>
            <w:gridSpan w:val="3"/>
          </w:tcPr>
          <w:p>
            <w:pPr>
              <w:ind w:left="1740"/>
              <w:spacing w:after="0"/>
              <w:rPr>
                <w:sz w:val="20"/>
                <w:szCs w:val="20"/>
                <w:color w:val="auto"/>
              </w:rPr>
            </w:pPr>
            <w:r>
              <w:rPr>
                <w:rFonts w:ascii="Arial" w:cs="Arial" w:eastAsia="Arial" w:hAnsi="Arial"/>
                <w:sz w:val="14"/>
                <w:szCs w:val="14"/>
                <w:color w:val="auto"/>
              </w:rPr>
              <w:t>New York Stock Exchange</w:t>
            </w:r>
          </w:p>
        </w:tc>
      </w:tr>
      <w:tr>
        <w:trPr>
          <w:trHeight w:val="162"/>
        </w:trPr>
        <w:tc>
          <w:tcPr>
            <w:tcW w:w="4140" w:type="dxa"/>
            <w:vAlign w:val="bottom"/>
            <w:gridSpan w:val="2"/>
          </w:tcPr>
          <w:p>
            <w:pPr>
              <w:spacing w:after="0"/>
              <w:rPr>
                <w:sz w:val="20"/>
                <w:szCs w:val="20"/>
                <w:color w:val="auto"/>
              </w:rPr>
            </w:pPr>
            <w:r>
              <w:rPr>
                <w:rFonts w:ascii="Arial" w:cs="Arial" w:eastAsia="Arial" w:hAnsi="Arial"/>
                <w:sz w:val="14"/>
                <w:szCs w:val="14"/>
                <w:color w:val="auto"/>
              </w:rPr>
              <w:t>3.1% Guaranteed Notes due 2015</w:t>
            </w:r>
          </w:p>
        </w:tc>
        <w:tc>
          <w:tcPr>
            <w:tcW w:w="4340" w:type="dxa"/>
            <w:vAlign w:val="bottom"/>
            <w:gridSpan w:val="3"/>
          </w:tcPr>
          <w:p>
            <w:pPr>
              <w:ind w:left="1740"/>
              <w:spacing w:after="0"/>
              <w:rPr>
                <w:sz w:val="20"/>
                <w:szCs w:val="20"/>
                <w:color w:val="auto"/>
              </w:rPr>
            </w:pPr>
            <w:r>
              <w:rPr>
                <w:rFonts w:ascii="Arial" w:cs="Arial" w:eastAsia="Arial" w:hAnsi="Arial"/>
                <w:sz w:val="14"/>
                <w:szCs w:val="14"/>
                <w:color w:val="auto"/>
              </w:rPr>
              <w:t>New York Stock Exchange</w:t>
            </w:r>
          </w:p>
        </w:tc>
      </w:tr>
      <w:tr>
        <w:trPr>
          <w:trHeight w:val="162"/>
        </w:trPr>
        <w:tc>
          <w:tcPr>
            <w:tcW w:w="4140" w:type="dxa"/>
            <w:vAlign w:val="bottom"/>
            <w:gridSpan w:val="2"/>
          </w:tcPr>
          <w:p>
            <w:pPr>
              <w:spacing w:after="0"/>
              <w:rPr>
                <w:sz w:val="20"/>
                <w:szCs w:val="20"/>
                <w:color w:val="auto"/>
              </w:rPr>
            </w:pPr>
            <w:r>
              <w:rPr>
                <w:rFonts w:ascii="Arial" w:cs="Arial" w:eastAsia="Arial" w:hAnsi="Arial"/>
                <w:sz w:val="14"/>
                <w:szCs w:val="14"/>
                <w:color w:val="auto"/>
              </w:rPr>
              <w:t>3.25% Guaranteed Notes due 2015</w:t>
            </w:r>
          </w:p>
        </w:tc>
        <w:tc>
          <w:tcPr>
            <w:tcW w:w="4340" w:type="dxa"/>
            <w:vAlign w:val="bottom"/>
            <w:gridSpan w:val="3"/>
          </w:tcPr>
          <w:p>
            <w:pPr>
              <w:ind w:left="1740"/>
              <w:spacing w:after="0"/>
              <w:rPr>
                <w:sz w:val="20"/>
                <w:szCs w:val="20"/>
                <w:color w:val="auto"/>
              </w:rPr>
            </w:pPr>
            <w:r>
              <w:rPr>
                <w:rFonts w:ascii="Arial" w:cs="Arial" w:eastAsia="Arial" w:hAnsi="Arial"/>
                <w:sz w:val="14"/>
                <w:szCs w:val="14"/>
                <w:color w:val="auto"/>
              </w:rPr>
              <w:t>New York Stock Exchange</w:t>
            </w:r>
          </w:p>
        </w:tc>
      </w:tr>
      <w:tr>
        <w:trPr>
          <w:trHeight w:val="162"/>
        </w:trPr>
        <w:tc>
          <w:tcPr>
            <w:tcW w:w="4140" w:type="dxa"/>
            <w:vAlign w:val="bottom"/>
            <w:gridSpan w:val="2"/>
          </w:tcPr>
          <w:p>
            <w:pPr>
              <w:spacing w:after="0"/>
              <w:rPr>
                <w:sz w:val="20"/>
                <w:szCs w:val="20"/>
                <w:color w:val="auto"/>
              </w:rPr>
            </w:pPr>
            <w:r>
              <w:rPr>
                <w:rFonts w:ascii="Arial" w:cs="Arial" w:eastAsia="Arial" w:hAnsi="Arial"/>
                <w:sz w:val="14"/>
                <w:szCs w:val="14"/>
                <w:color w:val="auto"/>
              </w:rPr>
              <w:t>Floating Rate Guaranteed Notes due 2015</w:t>
            </w:r>
          </w:p>
        </w:tc>
        <w:tc>
          <w:tcPr>
            <w:tcW w:w="4340" w:type="dxa"/>
            <w:vAlign w:val="bottom"/>
            <w:gridSpan w:val="3"/>
          </w:tcPr>
          <w:p>
            <w:pPr>
              <w:ind w:left="1740"/>
              <w:spacing w:after="0"/>
              <w:rPr>
                <w:sz w:val="20"/>
                <w:szCs w:val="20"/>
                <w:color w:val="auto"/>
              </w:rPr>
            </w:pPr>
            <w:r>
              <w:rPr>
                <w:rFonts w:ascii="Arial" w:cs="Arial" w:eastAsia="Arial" w:hAnsi="Arial"/>
                <w:sz w:val="14"/>
                <w:szCs w:val="14"/>
                <w:color w:val="auto"/>
              </w:rPr>
              <w:t>New York Stock Exchange</w:t>
            </w:r>
          </w:p>
        </w:tc>
      </w:tr>
      <w:tr>
        <w:trPr>
          <w:trHeight w:val="162"/>
        </w:trPr>
        <w:tc>
          <w:tcPr>
            <w:tcW w:w="4140" w:type="dxa"/>
            <w:vAlign w:val="bottom"/>
            <w:gridSpan w:val="2"/>
          </w:tcPr>
          <w:p>
            <w:pPr>
              <w:spacing w:after="0"/>
              <w:rPr>
                <w:sz w:val="20"/>
                <w:szCs w:val="20"/>
                <w:color w:val="auto"/>
              </w:rPr>
            </w:pPr>
            <w:r>
              <w:rPr>
                <w:rFonts w:ascii="Arial" w:cs="Arial" w:eastAsia="Arial" w:hAnsi="Arial"/>
                <w:sz w:val="14"/>
                <w:szCs w:val="14"/>
                <w:color w:val="auto"/>
              </w:rPr>
              <w:t>Floating Rate Guaranteed Notes due 2016</w:t>
            </w:r>
          </w:p>
        </w:tc>
        <w:tc>
          <w:tcPr>
            <w:tcW w:w="4340" w:type="dxa"/>
            <w:vAlign w:val="bottom"/>
            <w:gridSpan w:val="3"/>
          </w:tcPr>
          <w:p>
            <w:pPr>
              <w:ind w:left="1740"/>
              <w:spacing w:after="0"/>
              <w:rPr>
                <w:sz w:val="20"/>
                <w:szCs w:val="20"/>
                <w:color w:val="auto"/>
              </w:rPr>
            </w:pPr>
            <w:r>
              <w:rPr>
                <w:rFonts w:ascii="Arial" w:cs="Arial" w:eastAsia="Arial" w:hAnsi="Arial"/>
                <w:sz w:val="14"/>
                <w:szCs w:val="14"/>
                <w:color w:val="auto"/>
              </w:rPr>
              <w:t>New York Stock Exchange</w:t>
            </w:r>
          </w:p>
        </w:tc>
      </w:tr>
      <w:tr>
        <w:trPr>
          <w:trHeight w:val="162"/>
        </w:trPr>
        <w:tc>
          <w:tcPr>
            <w:tcW w:w="4140" w:type="dxa"/>
            <w:vAlign w:val="bottom"/>
            <w:gridSpan w:val="2"/>
          </w:tcPr>
          <w:p>
            <w:pPr>
              <w:spacing w:after="0"/>
              <w:rPr>
                <w:sz w:val="20"/>
                <w:szCs w:val="20"/>
                <w:color w:val="auto"/>
              </w:rPr>
            </w:pPr>
            <w:r>
              <w:rPr>
                <w:rFonts w:ascii="Arial" w:cs="Arial" w:eastAsia="Arial" w:hAnsi="Arial"/>
                <w:sz w:val="14"/>
                <w:szCs w:val="14"/>
                <w:color w:val="auto"/>
              </w:rPr>
              <w:t>0.9% Guaranteed Notes due 2016</w:t>
            </w:r>
          </w:p>
        </w:tc>
        <w:tc>
          <w:tcPr>
            <w:tcW w:w="4340" w:type="dxa"/>
            <w:vAlign w:val="bottom"/>
            <w:gridSpan w:val="3"/>
          </w:tcPr>
          <w:p>
            <w:pPr>
              <w:ind w:left="1740"/>
              <w:spacing w:after="0"/>
              <w:rPr>
                <w:sz w:val="20"/>
                <w:szCs w:val="20"/>
                <w:color w:val="auto"/>
              </w:rPr>
            </w:pPr>
            <w:r>
              <w:rPr>
                <w:rFonts w:ascii="Arial" w:cs="Arial" w:eastAsia="Arial" w:hAnsi="Arial"/>
                <w:sz w:val="14"/>
                <w:szCs w:val="14"/>
                <w:color w:val="auto"/>
              </w:rPr>
              <w:t>New York Stock Exchange</w:t>
            </w:r>
          </w:p>
        </w:tc>
      </w:tr>
      <w:tr>
        <w:trPr>
          <w:trHeight w:val="162"/>
        </w:trPr>
        <w:tc>
          <w:tcPr>
            <w:tcW w:w="4140" w:type="dxa"/>
            <w:vAlign w:val="bottom"/>
            <w:gridSpan w:val="2"/>
          </w:tcPr>
          <w:p>
            <w:pPr>
              <w:spacing w:after="0"/>
              <w:rPr>
                <w:sz w:val="20"/>
                <w:szCs w:val="20"/>
                <w:color w:val="auto"/>
              </w:rPr>
            </w:pPr>
            <w:r>
              <w:rPr>
                <w:rFonts w:ascii="Arial" w:cs="Arial" w:eastAsia="Arial" w:hAnsi="Arial"/>
                <w:sz w:val="14"/>
                <w:szCs w:val="14"/>
                <w:color w:val="auto"/>
              </w:rPr>
              <w:t>1.125% Guaranteed Notes due 2017</w:t>
            </w:r>
          </w:p>
        </w:tc>
        <w:tc>
          <w:tcPr>
            <w:tcW w:w="4340" w:type="dxa"/>
            <w:vAlign w:val="bottom"/>
            <w:gridSpan w:val="3"/>
          </w:tcPr>
          <w:p>
            <w:pPr>
              <w:ind w:left="1740"/>
              <w:spacing w:after="0"/>
              <w:rPr>
                <w:sz w:val="20"/>
                <w:szCs w:val="20"/>
                <w:color w:val="auto"/>
              </w:rPr>
            </w:pPr>
            <w:r>
              <w:rPr>
                <w:rFonts w:ascii="Arial" w:cs="Arial" w:eastAsia="Arial" w:hAnsi="Arial"/>
                <w:sz w:val="14"/>
                <w:szCs w:val="14"/>
                <w:color w:val="auto"/>
              </w:rPr>
              <w:t>New York Stock Exchange</w:t>
            </w:r>
          </w:p>
        </w:tc>
      </w:tr>
      <w:tr>
        <w:trPr>
          <w:trHeight w:val="162"/>
        </w:trPr>
        <w:tc>
          <w:tcPr>
            <w:tcW w:w="4140" w:type="dxa"/>
            <w:vAlign w:val="bottom"/>
            <w:gridSpan w:val="2"/>
          </w:tcPr>
          <w:p>
            <w:pPr>
              <w:spacing w:after="0"/>
              <w:rPr>
                <w:sz w:val="20"/>
                <w:szCs w:val="20"/>
                <w:color w:val="auto"/>
              </w:rPr>
            </w:pPr>
            <w:r>
              <w:rPr>
                <w:rFonts w:ascii="Arial" w:cs="Arial" w:eastAsia="Arial" w:hAnsi="Arial"/>
                <w:sz w:val="14"/>
                <w:szCs w:val="14"/>
                <w:color w:val="auto"/>
              </w:rPr>
              <w:t>5.2% Guaranteed Notes due 2017</w:t>
            </w:r>
          </w:p>
        </w:tc>
        <w:tc>
          <w:tcPr>
            <w:tcW w:w="4340" w:type="dxa"/>
            <w:vAlign w:val="bottom"/>
            <w:gridSpan w:val="3"/>
          </w:tcPr>
          <w:p>
            <w:pPr>
              <w:ind w:left="1740"/>
              <w:spacing w:after="0"/>
              <w:rPr>
                <w:sz w:val="20"/>
                <w:szCs w:val="20"/>
                <w:color w:val="auto"/>
              </w:rPr>
            </w:pPr>
            <w:r>
              <w:rPr>
                <w:rFonts w:ascii="Arial" w:cs="Arial" w:eastAsia="Arial" w:hAnsi="Arial"/>
                <w:sz w:val="14"/>
                <w:szCs w:val="14"/>
                <w:color w:val="auto"/>
              </w:rPr>
              <w:t>New York Stock Exchange</w:t>
            </w:r>
          </w:p>
        </w:tc>
      </w:tr>
      <w:tr>
        <w:trPr>
          <w:trHeight w:val="162"/>
        </w:trPr>
        <w:tc>
          <w:tcPr>
            <w:tcW w:w="4140" w:type="dxa"/>
            <w:vAlign w:val="bottom"/>
            <w:gridSpan w:val="2"/>
          </w:tcPr>
          <w:p>
            <w:pPr>
              <w:spacing w:after="0"/>
              <w:rPr>
                <w:sz w:val="20"/>
                <w:szCs w:val="20"/>
                <w:color w:val="auto"/>
              </w:rPr>
            </w:pPr>
            <w:r>
              <w:rPr>
                <w:rFonts w:ascii="Arial" w:cs="Arial" w:eastAsia="Arial" w:hAnsi="Arial"/>
                <w:sz w:val="14"/>
                <w:szCs w:val="14"/>
                <w:color w:val="auto"/>
              </w:rPr>
              <w:t>1.9% Guaranteed Notes due 2018</w:t>
            </w:r>
          </w:p>
        </w:tc>
        <w:tc>
          <w:tcPr>
            <w:tcW w:w="4340" w:type="dxa"/>
            <w:vAlign w:val="bottom"/>
            <w:gridSpan w:val="3"/>
          </w:tcPr>
          <w:p>
            <w:pPr>
              <w:ind w:left="1740"/>
              <w:spacing w:after="0"/>
              <w:rPr>
                <w:sz w:val="20"/>
                <w:szCs w:val="20"/>
                <w:color w:val="auto"/>
              </w:rPr>
            </w:pPr>
            <w:r>
              <w:rPr>
                <w:rFonts w:ascii="Arial" w:cs="Arial" w:eastAsia="Arial" w:hAnsi="Arial"/>
                <w:sz w:val="14"/>
                <w:szCs w:val="14"/>
                <w:color w:val="auto"/>
              </w:rPr>
              <w:t>New York Stock Exchange</w:t>
            </w:r>
          </w:p>
        </w:tc>
      </w:tr>
      <w:tr>
        <w:trPr>
          <w:trHeight w:val="162"/>
        </w:trPr>
        <w:tc>
          <w:tcPr>
            <w:tcW w:w="4140" w:type="dxa"/>
            <w:vAlign w:val="bottom"/>
            <w:gridSpan w:val="2"/>
          </w:tcPr>
          <w:p>
            <w:pPr>
              <w:spacing w:after="0"/>
              <w:rPr>
                <w:sz w:val="20"/>
                <w:szCs w:val="20"/>
                <w:color w:val="auto"/>
              </w:rPr>
            </w:pPr>
            <w:r>
              <w:rPr>
                <w:rFonts w:ascii="Arial" w:cs="Arial" w:eastAsia="Arial" w:hAnsi="Arial"/>
                <w:sz w:val="14"/>
                <w:szCs w:val="14"/>
                <w:color w:val="auto"/>
              </w:rPr>
              <w:t>2.0% Guaranteed Notes due 2018</w:t>
            </w:r>
          </w:p>
        </w:tc>
        <w:tc>
          <w:tcPr>
            <w:tcW w:w="4340" w:type="dxa"/>
            <w:vAlign w:val="bottom"/>
            <w:gridSpan w:val="3"/>
          </w:tcPr>
          <w:p>
            <w:pPr>
              <w:ind w:left="1740"/>
              <w:spacing w:after="0"/>
              <w:rPr>
                <w:sz w:val="20"/>
                <w:szCs w:val="20"/>
                <w:color w:val="auto"/>
              </w:rPr>
            </w:pPr>
            <w:r>
              <w:rPr>
                <w:rFonts w:ascii="Arial" w:cs="Arial" w:eastAsia="Arial" w:hAnsi="Arial"/>
                <w:sz w:val="14"/>
                <w:szCs w:val="14"/>
                <w:color w:val="auto"/>
              </w:rPr>
              <w:t>New York Stock Exchange</w:t>
            </w:r>
          </w:p>
        </w:tc>
      </w:tr>
      <w:tr>
        <w:trPr>
          <w:trHeight w:val="162"/>
        </w:trPr>
        <w:tc>
          <w:tcPr>
            <w:tcW w:w="4140" w:type="dxa"/>
            <w:vAlign w:val="bottom"/>
            <w:gridSpan w:val="2"/>
          </w:tcPr>
          <w:p>
            <w:pPr>
              <w:spacing w:after="0"/>
              <w:rPr>
                <w:sz w:val="20"/>
                <w:szCs w:val="20"/>
                <w:color w:val="auto"/>
              </w:rPr>
            </w:pPr>
            <w:r>
              <w:rPr>
                <w:rFonts w:ascii="Arial" w:cs="Arial" w:eastAsia="Arial" w:hAnsi="Arial"/>
                <w:sz w:val="14"/>
                <w:szCs w:val="14"/>
                <w:color w:val="auto"/>
              </w:rPr>
              <w:t>4.3% Guaranteed Notes due 2019</w:t>
            </w:r>
          </w:p>
        </w:tc>
        <w:tc>
          <w:tcPr>
            <w:tcW w:w="4340" w:type="dxa"/>
            <w:vAlign w:val="bottom"/>
            <w:gridSpan w:val="3"/>
          </w:tcPr>
          <w:p>
            <w:pPr>
              <w:ind w:left="1740"/>
              <w:spacing w:after="0"/>
              <w:rPr>
                <w:sz w:val="20"/>
                <w:szCs w:val="20"/>
                <w:color w:val="auto"/>
              </w:rPr>
            </w:pPr>
            <w:r>
              <w:rPr>
                <w:rFonts w:ascii="Arial" w:cs="Arial" w:eastAsia="Arial" w:hAnsi="Arial"/>
                <w:sz w:val="14"/>
                <w:szCs w:val="14"/>
                <w:color w:val="auto"/>
              </w:rPr>
              <w:t>New York Stock Exchange</w:t>
            </w:r>
          </w:p>
        </w:tc>
      </w:tr>
      <w:tr>
        <w:trPr>
          <w:trHeight w:val="162"/>
        </w:trPr>
        <w:tc>
          <w:tcPr>
            <w:tcW w:w="4140" w:type="dxa"/>
            <w:vAlign w:val="bottom"/>
            <w:gridSpan w:val="2"/>
          </w:tcPr>
          <w:p>
            <w:pPr>
              <w:spacing w:after="0"/>
              <w:rPr>
                <w:sz w:val="20"/>
                <w:szCs w:val="20"/>
                <w:color w:val="auto"/>
              </w:rPr>
            </w:pPr>
            <w:r>
              <w:rPr>
                <w:rFonts w:ascii="Arial" w:cs="Arial" w:eastAsia="Arial" w:hAnsi="Arial"/>
                <w:sz w:val="14"/>
                <w:szCs w:val="14"/>
                <w:color w:val="auto"/>
              </w:rPr>
              <w:t>4.375% Guaranteed Notes due 2020</w:t>
            </w:r>
          </w:p>
        </w:tc>
        <w:tc>
          <w:tcPr>
            <w:tcW w:w="4340" w:type="dxa"/>
            <w:vAlign w:val="bottom"/>
            <w:gridSpan w:val="3"/>
          </w:tcPr>
          <w:p>
            <w:pPr>
              <w:ind w:left="1740"/>
              <w:spacing w:after="0"/>
              <w:rPr>
                <w:sz w:val="20"/>
                <w:szCs w:val="20"/>
                <w:color w:val="auto"/>
              </w:rPr>
            </w:pPr>
            <w:r>
              <w:rPr>
                <w:rFonts w:ascii="Arial" w:cs="Arial" w:eastAsia="Arial" w:hAnsi="Arial"/>
                <w:sz w:val="14"/>
                <w:szCs w:val="14"/>
                <w:color w:val="auto"/>
              </w:rPr>
              <w:t>New York Stock Exchange</w:t>
            </w:r>
          </w:p>
        </w:tc>
      </w:tr>
      <w:tr>
        <w:trPr>
          <w:trHeight w:val="162"/>
        </w:trPr>
        <w:tc>
          <w:tcPr>
            <w:tcW w:w="4140" w:type="dxa"/>
            <w:vAlign w:val="bottom"/>
            <w:gridSpan w:val="2"/>
          </w:tcPr>
          <w:p>
            <w:pPr>
              <w:spacing w:after="0"/>
              <w:rPr>
                <w:sz w:val="20"/>
                <w:szCs w:val="20"/>
                <w:color w:val="auto"/>
              </w:rPr>
            </w:pPr>
            <w:r>
              <w:rPr>
                <w:rFonts w:ascii="Arial" w:cs="Arial" w:eastAsia="Arial" w:hAnsi="Arial"/>
                <w:sz w:val="14"/>
                <w:szCs w:val="14"/>
                <w:color w:val="auto"/>
              </w:rPr>
              <w:t>2.375% Guaranteed Notes due 2022</w:t>
            </w:r>
          </w:p>
        </w:tc>
        <w:tc>
          <w:tcPr>
            <w:tcW w:w="4340" w:type="dxa"/>
            <w:vAlign w:val="bottom"/>
            <w:gridSpan w:val="3"/>
          </w:tcPr>
          <w:p>
            <w:pPr>
              <w:ind w:left="1740"/>
              <w:spacing w:after="0"/>
              <w:rPr>
                <w:sz w:val="20"/>
                <w:szCs w:val="20"/>
                <w:color w:val="auto"/>
              </w:rPr>
            </w:pPr>
            <w:r>
              <w:rPr>
                <w:rFonts w:ascii="Arial" w:cs="Arial" w:eastAsia="Arial" w:hAnsi="Arial"/>
                <w:sz w:val="14"/>
                <w:szCs w:val="14"/>
                <w:color w:val="auto"/>
              </w:rPr>
              <w:t>New York Stock Exchange</w:t>
            </w:r>
          </w:p>
        </w:tc>
      </w:tr>
      <w:tr>
        <w:trPr>
          <w:trHeight w:val="162"/>
        </w:trPr>
        <w:tc>
          <w:tcPr>
            <w:tcW w:w="4140" w:type="dxa"/>
            <w:vAlign w:val="bottom"/>
            <w:gridSpan w:val="2"/>
          </w:tcPr>
          <w:p>
            <w:pPr>
              <w:spacing w:after="0"/>
              <w:rPr>
                <w:sz w:val="20"/>
                <w:szCs w:val="20"/>
                <w:color w:val="auto"/>
              </w:rPr>
            </w:pPr>
            <w:r>
              <w:rPr>
                <w:rFonts w:ascii="Arial" w:cs="Arial" w:eastAsia="Arial" w:hAnsi="Arial"/>
                <w:sz w:val="14"/>
                <w:szCs w:val="14"/>
                <w:color w:val="auto"/>
              </w:rPr>
              <w:t>2.25% Guaranteed Notes due 2023</w:t>
            </w:r>
          </w:p>
        </w:tc>
        <w:tc>
          <w:tcPr>
            <w:tcW w:w="4340" w:type="dxa"/>
            <w:vAlign w:val="bottom"/>
            <w:gridSpan w:val="3"/>
          </w:tcPr>
          <w:p>
            <w:pPr>
              <w:ind w:left="1740"/>
              <w:spacing w:after="0"/>
              <w:rPr>
                <w:sz w:val="20"/>
                <w:szCs w:val="20"/>
                <w:color w:val="auto"/>
              </w:rPr>
            </w:pPr>
            <w:r>
              <w:rPr>
                <w:rFonts w:ascii="Arial" w:cs="Arial" w:eastAsia="Arial" w:hAnsi="Arial"/>
                <w:sz w:val="14"/>
                <w:szCs w:val="14"/>
                <w:color w:val="auto"/>
              </w:rPr>
              <w:t>New York Stock Exchange</w:t>
            </w:r>
          </w:p>
        </w:tc>
      </w:tr>
      <w:tr>
        <w:trPr>
          <w:trHeight w:val="162"/>
        </w:trPr>
        <w:tc>
          <w:tcPr>
            <w:tcW w:w="4140" w:type="dxa"/>
            <w:vAlign w:val="bottom"/>
            <w:gridSpan w:val="2"/>
          </w:tcPr>
          <w:p>
            <w:pPr>
              <w:spacing w:after="0"/>
              <w:rPr>
                <w:sz w:val="20"/>
                <w:szCs w:val="20"/>
                <w:color w:val="auto"/>
              </w:rPr>
            </w:pPr>
            <w:r>
              <w:rPr>
                <w:rFonts w:ascii="Arial" w:cs="Arial" w:eastAsia="Arial" w:hAnsi="Arial"/>
                <w:sz w:val="14"/>
                <w:szCs w:val="14"/>
                <w:color w:val="auto"/>
              </w:rPr>
              <w:t>3.4% Guaranteed Notes due 2023</w:t>
            </w:r>
          </w:p>
        </w:tc>
        <w:tc>
          <w:tcPr>
            <w:tcW w:w="4340" w:type="dxa"/>
            <w:vAlign w:val="bottom"/>
            <w:gridSpan w:val="3"/>
          </w:tcPr>
          <w:p>
            <w:pPr>
              <w:ind w:left="1740"/>
              <w:spacing w:after="0"/>
              <w:rPr>
                <w:sz w:val="20"/>
                <w:szCs w:val="20"/>
                <w:color w:val="auto"/>
              </w:rPr>
            </w:pPr>
            <w:r>
              <w:rPr>
                <w:rFonts w:ascii="Arial" w:cs="Arial" w:eastAsia="Arial" w:hAnsi="Arial"/>
                <w:sz w:val="14"/>
                <w:szCs w:val="14"/>
                <w:color w:val="auto"/>
              </w:rPr>
              <w:t>New York Stock Exchange</w:t>
            </w:r>
          </w:p>
        </w:tc>
      </w:tr>
      <w:tr>
        <w:trPr>
          <w:trHeight w:val="162"/>
        </w:trPr>
        <w:tc>
          <w:tcPr>
            <w:tcW w:w="4140" w:type="dxa"/>
            <w:vAlign w:val="bottom"/>
            <w:gridSpan w:val="2"/>
          </w:tcPr>
          <w:p>
            <w:pPr>
              <w:spacing w:after="0"/>
              <w:rPr>
                <w:sz w:val="20"/>
                <w:szCs w:val="20"/>
                <w:color w:val="auto"/>
              </w:rPr>
            </w:pPr>
            <w:r>
              <w:rPr>
                <w:rFonts w:ascii="Arial" w:cs="Arial" w:eastAsia="Arial" w:hAnsi="Arial"/>
                <w:sz w:val="14"/>
                <w:szCs w:val="14"/>
                <w:color w:val="auto"/>
              </w:rPr>
              <w:t>6.375% Guaranteed Notes due 2038</w:t>
            </w:r>
          </w:p>
        </w:tc>
        <w:tc>
          <w:tcPr>
            <w:tcW w:w="4340" w:type="dxa"/>
            <w:vAlign w:val="bottom"/>
            <w:gridSpan w:val="3"/>
          </w:tcPr>
          <w:p>
            <w:pPr>
              <w:ind w:left="1740"/>
              <w:spacing w:after="0"/>
              <w:rPr>
                <w:sz w:val="20"/>
                <w:szCs w:val="20"/>
                <w:color w:val="auto"/>
              </w:rPr>
            </w:pPr>
            <w:r>
              <w:rPr>
                <w:rFonts w:ascii="Arial" w:cs="Arial" w:eastAsia="Arial" w:hAnsi="Arial"/>
                <w:sz w:val="14"/>
                <w:szCs w:val="14"/>
                <w:color w:val="auto"/>
              </w:rPr>
              <w:t>New York Stock Exchange</w:t>
            </w:r>
          </w:p>
        </w:tc>
      </w:tr>
      <w:tr>
        <w:trPr>
          <w:trHeight w:val="162"/>
        </w:trPr>
        <w:tc>
          <w:tcPr>
            <w:tcW w:w="4140" w:type="dxa"/>
            <w:vAlign w:val="bottom"/>
            <w:gridSpan w:val="2"/>
          </w:tcPr>
          <w:p>
            <w:pPr>
              <w:spacing w:after="0"/>
              <w:rPr>
                <w:sz w:val="20"/>
                <w:szCs w:val="20"/>
                <w:color w:val="auto"/>
              </w:rPr>
            </w:pPr>
            <w:r>
              <w:rPr>
                <w:rFonts w:ascii="Arial" w:cs="Arial" w:eastAsia="Arial" w:hAnsi="Arial"/>
                <w:sz w:val="14"/>
                <w:szCs w:val="14"/>
                <w:color w:val="auto"/>
              </w:rPr>
              <w:t>5.5% Guaranteed Notes due 2040</w:t>
            </w:r>
          </w:p>
        </w:tc>
        <w:tc>
          <w:tcPr>
            <w:tcW w:w="4340" w:type="dxa"/>
            <w:vAlign w:val="bottom"/>
            <w:gridSpan w:val="3"/>
          </w:tcPr>
          <w:p>
            <w:pPr>
              <w:ind w:left="1740"/>
              <w:spacing w:after="0"/>
              <w:rPr>
                <w:sz w:val="20"/>
                <w:szCs w:val="20"/>
                <w:color w:val="auto"/>
              </w:rPr>
            </w:pPr>
            <w:r>
              <w:rPr>
                <w:rFonts w:ascii="Arial" w:cs="Arial" w:eastAsia="Arial" w:hAnsi="Arial"/>
                <w:sz w:val="14"/>
                <w:szCs w:val="14"/>
                <w:color w:val="auto"/>
              </w:rPr>
              <w:t>New York Stock Exchange</w:t>
            </w:r>
          </w:p>
        </w:tc>
      </w:tr>
      <w:tr>
        <w:trPr>
          <w:trHeight w:val="162"/>
        </w:trPr>
        <w:tc>
          <w:tcPr>
            <w:tcW w:w="4140" w:type="dxa"/>
            <w:vAlign w:val="bottom"/>
            <w:gridSpan w:val="2"/>
          </w:tcPr>
          <w:p>
            <w:pPr>
              <w:spacing w:after="0"/>
              <w:rPr>
                <w:sz w:val="20"/>
                <w:szCs w:val="20"/>
                <w:color w:val="auto"/>
              </w:rPr>
            </w:pPr>
            <w:r>
              <w:rPr>
                <w:rFonts w:ascii="Arial" w:cs="Arial" w:eastAsia="Arial" w:hAnsi="Arial"/>
                <w:sz w:val="14"/>
                <w:szCs w:val="14"/>
                <w:color w:val="auto"/>
              </w:rPr>
              <w:t>3.625% Guaranteed Notes due 2042</w:t>
            </w:r>
          </w:p>
        </w:tc>
        <w:tc>
          <w:tcPr>
            <w:tcW w:w="4340" w:type="dxa"/>
            <w:vAlign w:val="bottom"/>
            <w:gridSpan w:val="3"/>
          </w:tcPr>
          <w:p>
            <w:pPr>
              <w:ind w:left="1740"/>
              <w:spacing w:after="0"/>
              <w:rPr>
                <w:sz w:val="20"/>
                <w:szCs w:val="20"/>
                <w:color w:val="auto"/>
              </w:rPr>
            </w:pPr>
            <w:r>
              <w:rPr>
                <w:rFonts w:ascii="Arial" w:cs="Arial" w:eastAsia="Arial" w:hAnsi="Arial"/>
                <w:sz w:val="14"/>
                <w:szCs w:val="14"/>
                <w:color w:val="auto"/>
              </w:rPr>
              <w:t>New York Stock Exchange</w:t>
            </w:r>
          </w:p>
        </w:tc>
      </w:tr>
      <w:tr>
        <w:trPr>
          <w:trHeight w:val="172"/>
        </w:trPr>
        <w:tc>
          <w:tcPr>
            <w:tcW w:w="4140" w:type="dxa"/>
            <w:vAlign w:val="bottom"/>
            <w:gridSpan w:val="2"/>
          </w:tcPr>
          <w:p>
            <w:pPr>
              <w:spacing w:after="0"/>
              <w:rPr>
                <w:sz w:val="20"/>
                <w:szCs w:val="20"/>
                <w:color w:val="auto"/>
              </w:rPr>
            </w:pPr>
            <w:r>
              <w:rPr>
                <w:rFonts w:ascii="Arial" w:cs="Arial" w:eastAsia="Arial" w:hAnsi="Arial"/>
                <w:sz w:val="14"/>
                <w:szCs w:val="14"/>
                <w:color w:val="auto"/>
              </w:rPr>
              <w:t>4.55% Guaranteed Notes due 2043</w:t>
            </w:r>
          </w:p>
        </w:tc>
        <w:tc>
          <w:tcPr>
            <w:tcW w:w="4340" w:type="dxa"/>
            <w:vAlign w:val="bottom"/>
            <w:gridSpan w:val="3"/>
          </w:tcPr>
          <w:p>
            <w:pPr>
              <w:ind w:left="1740"/>
              <w:spacing w:after="0"/>
              <w:rPr>
                <w:sz w:val="20"/>
                <w:szCs w:val="20"/>
                <w:color w:val="auto"/>
              </w:rPr>
            </w:pPr>
            <w:r>
              <w:rPr>
                <w:rFonts w:ascii="Arial" w:cs="Arial" w:eastAsia="Arial" w:hAnsi="Arial"/>
                <w:sz w:val="14"/>
                <w:szCs w:val="14"/>
                <w:color w:val="auto"/>
              </w:rPr>
              <w:t>New York Stock Exchange</w:t>
            </w:r>
          </w:p>
        </w:tc>
      </w:tr>
    </w:tbl>
    <w:p>
      <w:pPr>
        <w:spacing w:after="0" w:line="5" w:lineRule="exact"/>
        <w:rPr>
          <w:sz w:val="24"/>
          <w:szCs w:val="24"/>
          <w:color w:val="auto"/>
        </w:rPr>
      </w:pPr>
    </w:p>
    <w:p>
      <w:pPr>
        <w:jc w:val="center"/>
        <w:spacing w:after="0"/>
        <w:rPr>
          <w:sz w:val="20"/>
          <w:szCs w:val="20"/>
          <w:color w:val="auto"/>
        </w:rPr>
      </w:pPr>
      <w:r>
        <w:rPr>
          <w:rFonts w:ascii="Arial" w:cs="Arial" w:eastAsia="Arial" w:hAnsi="Arial"/>
          <w:sz w:val="13"/>
          <w:szCs w:val="13"/>
          <w:color w:val="auto"/>
        </w:rPr>
        <w:t>Securities registered pursuant to Section 12(g) of the Act: none</w:t>
      </w:r>
    </w:p>
    <w:p>
      <w:pPr>
        <w:jc w:val="center"/>
        <w:spacing w:after="0"/>
        <w:rPr>
          <w:sz w:val="20"/>
          <w:szCs w:val="20"/>
          <w:color w:val="auto"/>
        </w:rPr>
      </w:pPr>
      <w:r>
        <w:rPr>
          <w:rFonts w:ascii="Arial" w:cs="Arial" w:eastAsia="Arial" w:hAnsi="Arial"/>
          <w:sz w:val="13"/>
          <w:szCs w:val="13"/>
          <w:color w:val="auto"/>
        </w:rPr>
        <w:t>Securities for which there is a reporting obligation pursuant to Section 15(d) of the Act: none</w:t>
      </w:r>
    </w:p>
    <w:p>
      <w:pPr>
        <w:spacing w:after="0" w:line="23" w:lineRule="exact"/>
        <w:rPr>
          <w:sz w:val="24"/>
          <w:szCs w:val="24"/>
          <w:color w:val="auto"/>
        </w:rPr>
      </w:pPr>
    </w:p>
    <w:p>
      <w:pPr>
        <w:spacing w:after="0"/>
        <w:rPr>
          <w:sz w:val="20"/>
          <w:szCs w:val="20"/>
          <w:color w:val="auto"/>
        </w:rPr>
      </w:pPr>
      <w:r>
        <w:rPr>
          <w:rFonts w:ascii="Arial" w:cs="Arial" w:eastAsia="Arial" w:hAnsi="Arial"/>
          <w:sz w:val="14"/>
          <w:szCs w:val="14"/>
          <w:color w:val="auto"/>
        </w:rPr>
        <w:t>Indicate the number of outstanding shares of each of the issuer’s classes of capital or common stock as of the close of the period covered by the annual report.</w:t>
      </w:r>
    </w:p>
    <w:p>
      <w:pPr>
        <w:spacing w:after="0" w:line="42" w:lineRule="exact"/>
        <w:rPr>
          <w:sz w:val="24"/>
          <w:szCs w:val="24"/>
          <w:color w:val="auto"/>
        </w:rPr>
      </w:pPr>
    </w:p>
    <w:p>
      <w:pPr>
        <w:spacing w:after="0"/>
        <w:rPr>
          <w:sz w:val="20"/>
          <w:szCs w:val="20"/>
          <w:color w:val="auto"/>
        </w:rPr>
      </w:pPr>
      <w:r>
        <w:rPr>
          <w:rFonts w:ascii="Arial" w:cs="Arial" w:eastAsia="Arial" w:hAnsi="Arial"/>
          <w:sz w:val="14"/>
          <w:szCs w:val="14"/>
          <w:color w:val="auto"/>
        </w:rPr>
        <w:t>Outstanding as of December 31, 2014:</w:t>
      </w:r>
    </w:p>
    <w:p>
      <w:pPr>
        <w:spacing w:after="0" w:line="1" w:lineRule="exact"/>
        <w:rPr>
          <w:sz w:val="24"/>
          <w:szCs w:val="24"/>
          <w:color w:val="auto"/>
        </w:rPr>
      </w:pPr>
    </w:p>
    <w:p>
      <w:pPr>
        <w:spacing w:after="0"/>
        <w:rPr>
          <w:sz w:val="20"/>
          <w:szCs w:val="20"/>
          <w:color w:val="auto"/>
        </w:rPr>
      </w:pPr>
      <w:r>
        <w:rPr>
          <w:rFonts w:ascii="Arial" w:cs="Arial" w:eastAsia="Arial" w:hAnsi="Arial"/>
          <w:sz w:val="14"/>
          <w:szCs w:val="14"/>
          <w:color w:val="auto"/>
        </w:rPr>
        <w:t>3,867,361,824 A ordinary shares with a nominal value of €0.07 each.</w:t>
      </w:r>
    </w:p>
    <w:p>
      <w:pPr>
        <w:spacing w:after="0" w:line="1" w:lineRule="exact"/>
        <w:rPr>
          <w:sz w:val="24"/>
          <w:szCs w:val="24"/>
          <w:color w:val="auto"/>
        </w:rPr>
      </w:pPr>
    </w:p>
    <w:p>
      <w:pPr>
        <w:spacing w:after="0"/>
        <w:rPr>
          <w:sz w:val="20"/>
          <w:szCs w:val="20"/>
          <w:color w:val="auto"/>
        </w:rPr>
      </w:pPr>
      <w:r>
        <w:rPr>
          <w:rFonts w:ascii="Arial" w:cs="Arial" w:eastAsia="Arial" w:hAnsi="Arial"/>
          <w:sz w:val="14"/>
          <w:szCs w:val="14"/>
          <w:color w:val="auto"/>
        </w:rPr>
        <w:t>2,427,675,757 B ordinary shares with a nominal value of €0.07 each.</w:t>
      </w:r>
    </w:p>
    <w:p>
      <w:pPr>
        <w:spacing w:after="0" w:line="11" w:lineRule="exact"/>
        <w:rPr>
          <w:sz w:val="24"/>
          <w:szCs w:val="24"/>
          <w:color w:val="auto"/>
        </w:rPr>
      </w:pPr>
    </w:p>
    <w:tbl>
      <w:tblPr>
        <w:tblLayout w:type="fixed"/>
        <w:tblInd w:w="0" w:type="dxa"/>
        <w:tblCellMar>
          <w:top w:w="0" w:type="dxa"/>
          <w:left w:w="0" w:type="dxa"/>
          <w:bottom w:w="0" w:type="dxa"/>
          <w:right w:w="0" w:type="dxa"/>
        </w:tblCellMar>
      </w:tblPr>
      <w:tr>
        <w:trPr>
          <w:trHeight w:val="206"/>
        </w:trPr>
        <w:tc>
          <w:tcPr>
            <w:tcW w:w="8160" w:type="dxa"/>
            <w:vAlign w:val="bottom"/>
          </w:tcPr>
          <w:p>
            <w:pPr>
              <w:spacing w:after="0"/>
              <w:rPr>
                <w:sz w:val="20"/>
                <w:szCs w:val="20"/>
                <w:color w:val="auto"/>
              </w:rPr>
            </w:pPr>
            <w:r>
              <w:rPr>
                <w:rFonts w:ascii="Arial" w:cs="Arial" w:eastAsia="Arial" w:hAnsi="Arial"/>
                <w:sz w:val="14"/>
                <w:szCs w:val="14"/>
                <w:color w:val="auto"/>
              </w:rPr>
              <w:t>Indicate by check mark if the registrant is a well-known seasoned issuer, as defined in Rule 405 of the Securities Act.</w:t>
            </w:r>
          </w:p>
        </w:tc>
        <w:tc>
          <w:tcPr>
            <w:tcW w:w="1460" w:type="dxa"/>
            <w:vAlign w:val="bottom"/>
          </w:tcPr>
          <w:p>
            <w:pPr>
              <w:spacing w:after="0"/>
              <w:rPr>
                <w:sz w:val="17"/>
                <w:szCs w:val="17"/>
                <w:color w:val="auto"/>
              </w:rPr>
            </w:pPr>
          </w:p>
        </w:tc>
        <w:tc>
          <w:tcPr>
            <w:tcW w:w="500" w:type="dxa"/>
            <w:vAlign w:val="bottom"/>
          </w:tcPr>
          <w:p>
            <w:pPr>
              <w:ind w:left="40"/>
              <w:spacing w:after="0" w:line="161" w:lineRule="exact"/>
              <w:rPr>
                <w:sz w:val="20"/>
                <w:szCs w:val="20"/>
                <w:color w:val="auto"/>
              </w:rPr>
            </w:pPr>
            <w:r>
              <w:rPr>
                <w:rFonts w:ascii="MS PGothic" w:cs="MS PGothic" w:eastAsia="MS PGothic" w:hAnsi="MS PGothic"/>
                <w:sz w:val="14"/>
                <w:szCs w:val="14"/>
                <w:color w:val="auto"/>
              </w:rPr>
              <w:t>☑</w:t>
            </w:r>
            <w:r>
              <w:rPr>
                <w:rFonts w:ascii="Arial" w:cs="Arial" w:eastAsia="Arial" w:hAnsi="Arial"/>
                <w:sz w:val="14"/>
                <w:szCs w:val="14"/>
                <w:color w:val="auto"/>
              </w:rPr>
              <w:t xml:space="preserve"> Yes</w:t>
            </w:r>
          </w:p>
        </w:tc>
        <w:tc>
          <w:tcPr>
            <w:tcW w:w="780" w:type="dxa"/>
            <w:vAlign w:val="bottom"/>
          </w:tcPr>
          <w:p>
            <w:pPr>
              <w:spacing w:after="0"/>
              <w:rPr>
                <w:sz w:val="17"/>
                <w:szCs w:val="17"/>
                <w:color w:val="auto"/>
              </w:rPr>
            </w:pPr>
          </w:p>
        </w:tc>
        <w:tc>
          <w:tcPr>
            <w:tcW w:w="520" w:type="dxa"/>
            <w:vAlign w:val="bottom"/>
          </w:tcPr>
          <w:p>
            <w:pPr>
              <w:ind w:left="160"/>
              <w:spacing w:after="0" w:line="161" w:lineRule="exact"/>
              <w:rPr>
                <w:sz w:val="20"/>
                <w:szCs w:val="20"/>
                <w:color w:val="auto"/>
              </w:rPr>
            </w:pPr>
            <w:r>
              <w:rPr>
                <w:rFonts w:ascii="MS PGothic" w:cs="MS PGothic" w:eastAsia="MS PGothic" w:hAnsi="MS PGothic"/>
                <w:sz w:val="14"/>
                <w:szCs w:val="14"/>
                <w:color w:val="auto"/>
                <w:w w:val="94"/>
              </w:rPr>
              <w:t>☐</w:t>
            </w:r>
            <w:r>
              <w:rPr>
                <w:rFonts w:ascii="Arial" w:cs="Arial" w:eastAsia="Arial" w:hAnsi="Arial"/>
                <w:sz w:val="14"/>
                <w:szCs w:val="14"/>
                <w:color w:val="auto"/>
                <w:w w:val="94"/>
              </w:rPr>
              <w:t xml:space="preserve"> No</w:t>
            </w:r>
          </w:p>
        </w:tc>
        <w:tc>
          <w:tcPr>
            <w:tcW w:w="0" w:type="dxa"/>
            <w:vAlign w:val="bottom"/>
          </w:tcPr>
          <w:p>
            <w:pPr>
              <w:spacing w:after="0"/>
              <w:rPr>
                <w:sz w:val="1"/>
                <w:szCs w:val="1"/>
                <w:color w:val="auto"/>
              </w:rPr>
            </w:pPr>
          </w:p>
        </w:tc>
      </w:tr>
      <w:tr>
        <w:trPr>
          <w:trHeight w:val="162"/>
        </w:trPr>
        <w:tc>
          <w:tcPr>
            <w:tcW w:w="9620" w:type="dxa"/>
            <w:vAlign w:val="bottom"/>
            <w:gridSpan w:val="2"/>
          </w:tcPr>
          <w:p>
            <w:pPr>
              <w:spacing w:after="0"/>
              <w:rPr>
                <w:sz w:val="20"/>
                <w:szCs w:val="20"/>
                <w:color w:val="auto"/>
              </w:rPr>
            </w:pPr>
            <w:r>
              <w:rPr>
                <w:rFonts w:ascii="Arial" w:cs="Arial" w:eastAsia="Arial" w:hAnsi="Arial"/>
                <w:sz w:val="14"/>
                <w:szCs w:val="14"/>
                <w:color w:val="auto"/>
              </w:rPr>
              <w:t>If this report is an annual or transition report, indicate by check mark if the registrant is not required to file to Section 13 pursuant reports</w:t>
            </w:r>
          </w:p>
        </w:tc>
        <w:tc>
          <w:tcPr>
            <w:tcW w:w="500" w:type="dxa"/>
            <w:vAlign w:val="bottom"/>
            <w:vMerge w:val="restart"/>
          </w:tcPr>
          <w:p>
            <w:pPr>
              <w:ind w:left="40"/>
              <w:spacing w:after="0" w:line="161" w:lineRule="exact"/>
              <w:rPr>
                <w:sz w:val="20"/>
                <w:szCs w:val="20"/>
                <w:color w:val="auto"/>
              </w:rPr>
            </w:pPr>
            <w:r>
              <w:rPr>
                <w:rFonts w:ascii="MS PGothic" w:cs="MS PGothic" w:eastAsia="MS PGothic" w:hAnsi="MS PGothic"/>
                <w:sz w:val="14"/>
                <w:szCs w:val="14"/>
                <w:color w:val="auto"/>
              </w:rPr>
              <w:t>☐</w:t>
            </w:r>
            <w:r>
              <w:rPr>
                <w:rFonts w:ascii="Arial" w:cs="Arial" w:eastAsia="Arial" w:hAnsi="Arial"/>
                <w:sz w:val="14"/>
                <w:szCs w:val="14"/>
                <w:color w:val="auto"/>
              </w:rPr>
              <w:t xml:space="preserve"> Yes</w:t>
            </w:r>
          </w:p>
        </w:tc>
        <w:tc>
          <w:tcPr>
            <w:tcW w:w="780" w:type="dxa"/>
            <w:vAlign w:val="bottom"/>
          </w:tcPr>
          <w:p>
            <w:pPr>
              <w:spacing w:after="0"/>
              <w:rPr>
                <w:sz w:val="14"/>
                <w:szCs w:val="14"/>
                <w:color w:val="auto"/>
              </w:rPr>
            </w:pPr>
          </w:p>
        </w:tc>
        <w:tc>
          <w:tcPr>
            <w:tcW w:w="520" w:type="dxa"/>
            <w:vAlign w:val="bottom"/>
            <w:vMerge w:val="restart"/>
          </w:tcPr>
          <w:p>
            <w:pPr>
              <w:ind w:left="160"/>
              <w:spacing w:after="0" w:line="161" w:lineRule="exact"/>
              <w:rPr>
                <w:sz w:val="20"/>
                <w:szCs w:val="20"/>
                <w:color w:val="auto"/>
              </w:rPr>
            </w:pPr>
            <w:r>
              <w:rPr>
                <w:rFonts w:ascii="MS PGothic" w:cs="MS PGothic" w:eastAsia="MS PGothic" w:hAnsi="MS PGothic"/>
                <w:sz w:val="14"/>
                <w:szCs w:val="14"/>
                <w:color w:val="auto"/>
                <w:w w:val="94"/>
              </w:rPr>
              <w:t>☑</w:t>
            </w:r>
            <w:r>
              <w:rPr>
                <w:rFonts w:ascii="Arial" w:cs="Arial" w:eastAsia="Arial" w:hAnsi="Arial"/>
                <w:sz w:val="14"/>
                <w:szCs w:val="14"/>
                <w:color w:val="auto"/>
                <w:w w:val="94"/>
              </w:rPr>
              <w:t xml:space="preserve"> No</w:t>
            </w:r>
          </w:p>
        </w:tc>
        <w:tc>
          <w:tcPr>
            <w:tcW w:w="0" w:type="dxa"/>
            <w:vAlign w:val="bottom"/>
          </w:tcPr>
          <w:p>
            <w:pPr>
              <w:spacing w:after="0"/>
              <w:rPr>
                <w:sz w:val="1"/>
                <w:szCs w:val="1"/>
                <w:color w:val="auto"/>
              </w:rPr>
            </w:pPr>
          </w:p>
        </w:tc>
      </w:tr>
      <w:tr>
        <w:trPr>
          <w:trHeight w:val="162"/>
        </w:trPr>
        <w:tc>
          <w:tcPr>
            <w:tcW w:w="8160" w:type="dxa"/>
            <w:vAlign w:val="bottom"/>
          </w:tcPr>
          <w:p>
            <w:pPr>
              <w:spacing w:after="0"/>
              <w:rPr>
                <w:sz w:val="20"/>
                <w:szCs w:val="20"/>
                <w:color w:val="auto"/>
              </w:rPr>
            </w:pPr>
            <w:r>
              <w:rPr>
                <w:rFonts w:ascii="Arial" w:cs="Arial" w:eastAsia="Arial" w:hAnsi="Arial"/>
                <w:sz w:val="14"/>
                <w:szCs w:val="14"/>
                <w:color w:val="auto"/>
              </w:rPr>
              <w:t>or 15(d) of the Securities Exchange Act of 1934.</w:t>
            </w:r>
          </w:p>
        </w:tc>
        <w:tc>
          <w:tcPr>
            <w:tcW w:w="1460" w:type="dxa"/>
            <w:vAlign w:val="bottom"/>
          </w:tcPr>
          <w:p>
            <w:pPr>
              <w:spacing w:after="0"/>
              <w:rPr>
                <w:sz w:val="14"/>
                <w:szCs w:val="14"/>
                <w:color w:val="auto"/>
              </w:rPr>
            </w:pPr>
          </w:p>
        </w:tc>
        <w:tc>
          <w:tcPr>
            <w:tcW w:w="500" w:type="dxa"/>
            <w:vAlign w:val="bottom"/>
            <w:vMerge w:val="continue"/>
          </w:tcPr>
          <w:p>
            <w:pPr>
              <w:spacing w:after="0"/>
              <w:rPr>
                <w:sz w:val="14"/>
                <w:szCs w:val="14"/>
                <w:color w:val="auto"/>
              </w:rPr>
            </w:pPr>
          </w:p>
        </w:tc>
        <w:tc>
          <w:tcPr>
            <w:tcW w:w="780" w:type="dxa"/>
            <w:vAlign w:val="bottom"/>
          </w:tcPr>
          <w:p>
            <w:pPr>
              <w:spacing w:after="0"/>
              <w:rPr>
                <w:sz w:val="14"/>
                <w:szCs w:val="14"/>
                <w:color w:val="auto"/>
              </w:rPr>
            </w:pPr>
          </w:p>
        </w:tc>
        <w:tc>
          <w:tcPr>
            <w:tcW w:w="5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9620" w:type="dxa"/>
            <w:vAlign w:val="bottom"/>
            <w:gridSpan w:val="2"/>
          </w:tcPr>
          <w:p>
            <w:pPr>
              <w:spacing w:after="0"/>
              <w:rPr>
                <w:sz w:val="20"/>
                <w:szCs w:val="20"/>
                <w:color w:val="auto"/>
              </w:rPr>
            </w:pPr>
            <w:r>
              <w:rPr>
                <w:rFonts w:ascii="Arial" w:cs="Arial" w:eastAsia="Arial" w:hAnsi="Arial"/>
                <w:sz w:val="14"/>
                <w:szCs w:val="14"/>
                <w:color w:val="auto"/>
              </w:rPr>
              <w:t>Note — Checking the box above will not relieve any registrant required to file reports pursuant to Section 13 or 15(d) of the Securities</w:t>
            </w:r>
          </w:p>
        </w:tc>
        <w:tc>
          <w:tcPr>
            <w:tcW w:w="5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8160" w:type="dxa"/>
            <w:vAlign w:val="bottom"/>
          </w:tcPr>
          <w:p>
            <w:pPr>
              <w:spacing w:after="0"/>
              <w:rPr>
                <w:sz w:val="20"/>
                <w:szCs w:val="20"/>
                <w:color w:val="auto"/>
              </w:rPr>
            </w:pPr>
            <w:r>
              <w:rPr>
                <w:rFonts w:ascii="Arial" w:cs="Arial" w:eastAsia="Arial" w:hAnsi="Arial"/>
                <w:sz w:val="14"/>
                <w:szCs w:val="14"/>
                <w:color w:val="auto"/>
              </w:rPr>
              <w:t>Exchange Act of 1934 from their obligations under those Sections.</w:t>
            </w:r>
          </w:p>
        </w:tc>
        <w:tc>
          <w:tcPr>
            <w:tcW w:w="14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8160" w:type="dxa"/>
            <w:vAlign w:val="bottom"/>
          </w:tcPr>
          <w:p>
            <w:pPr>
              <w:spacing w:after="0"/>
              <w:rPr>
                <w:sz w:val="20"/>
                <w:szCs w:val="20"/>
                <w:color w:val="auto"/>
              </w:rPr>
            </w:pPr>
            <w:r>
              <w:rPr>
                <w:rFonts w:ascii="Arial" w:cs="Arial" w:eastAsia="Arial" w:hAnsi="Arial"/>
                <w:sz w:val="14"/>
                <w:szCs w:val="14"/>
                <w:color w:val="auto"/>
              </w:rPr>
              <w:t>Indicate by check mark whether the registrant (1) has filed all reports required to be filed by Section 13 or 15(d) of the Securities</w:t>
            </w:r>
          </w:p>
        </w:tc>
        <w:tc>
          <w:tcPr>
            <w:tcW w:w="14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9620" w:type="dxa"/>
            <w:vAlign w:val="bottom"/>
            <w:gridSpan w:val="2"/>
          </w:tcPr>
          <w:p>
            <w:pPr>
              <w:spacing w:after="0"/>
              <w:rPr>
                <w:sz w:val="20"/>
                <w:szCs w:val="20"/>
                <w:color w:val="auto"/>
              </w:rPr>
            </w:pPr>
            <w:r>
              <w:rPr>
                <w:rFonts w:ascii="Arial" w:cs="Arial" w:eastAsia="Arial" w:hAnsi="Arial"/>
                <w:sz w:val="14"/>
                <w:szCs w:val="14"/>
                <w:color w:val="auto"/>
              </w:rPr>
              <w:t>Exchange Act of 1934 during the preceding 12 months (or for such shorter period that the registrant was required to file such reports),</w:t>
            </w:r>
          </w:p>
        </w:tc>
        <w:tc>
          <w:tcPr>
            <w:tcW w:w="500" w:type="dxa"/>
            <w:vAlign w:val="bottom"/>
            <w:vMerge w:val="restart"/>
          </w:tcPr>
          <w:p>
            <w:pPr>
              <w:ind w:left="40"/>
              <w:spacing w:after="0" w:line="161" w:lineRule="exact"/>
              <w:rPr>
                <w:sz w:val="20"/>
                <w:szCs w:val="20"/>
                <w:color w:val="auto"/>
              </w:rPr>
            </w:pPr>
            <w:r>
              <w:rPr>
                <w:rFonts w:ascii="MS PGothic" w:cs="MS PGothic" w:eastAsia="MS PGothic" w:hAnsi="MS PGothic"/>
                <w:sz w:val="14"/>
                <w:szCs w:val="14"/>
                <w:color w:val="auto"/>
              </w:rPr>
              <w:t>☑</w:t>
            </w:r>
            <w:r>
              <w:rPr>
                <w:rFonts w:ascii="Arial" w:cs="Arial" w:eastAsia="Arial" w:hAnsi="Arial"/>
                <w:sz w:val="14"/>
                <w:szCs w:val="14"/>
                <w:color w:val="auto"/>
              </w:rPr>
              <w:t xml:space="preserve"> Yes</w:t>
            </w:r>
          </w:p>
        </w:tc>
        <w:tc>
          <w:tcPr>
            <w:tcW w:w="780" w:type="dxa"/>
            <w:vAlign w:val="bottom"/>
          </w:tcPr>
          <w:p>
            <w:pPr>
              <w:spacing w:after="0"/>
              <w:rPr>
                <w:sz w:val="14"/>
                <w:szCs w:val="14"/>
                <w:color w:val="auto"/>
              </w:rPr>
            </w:pPr>
          </w:p>
        </w:tc>
        <w:tc>
          <w:tcPr>
            <w:tcW w:w="520" w:type="dxa"/>
            <w:vAlign w:val="bottom"/>
            <w:vMerge w:val="restart"/>
          </w:tcPr>
          <w:p>
            <w:pPr>
              <w:ind w:left="160"/>
              <w:spacing w:after="0" w:line="161" w:lineRule="exact"/>
              <w:rPr>
                <w:sz w:val="20"/>
                <w:szCs w:val="20"/>
                <w:color w:val="auto"/>
              </w:rPr>
            </w:pPr>
            <w:r>
              <w:rPr>
                <w:rFonts w:ascii="MS PGothic" w:cs="MS PGothic" w:eastAsia="MS PGothic" w:hAnsi="MS PGothic"/>
                <w:sz w:val="14"/>
                <w:szCs w:val="14"/>
                <w:color w:val="auto"/>
                <w:w w:val="94"/>
              </w:rPr>
              <w:t>☐</w:t>
            </w:r>
            <w:r>
              <w:rPr>
                <w:rFonts w:ascii="Arial" w:cs="Arial" w:eastAsia="Arial" w:hAnsi="Arial"/>
                <w:sz w:val="14"/>
                <w:szCs w:val="14"/>
                <w:color w:val="auto"/>
                <w:w w:val="94"/>
              </w:rPr>
              <w:t xml:space="preserve"> No</w:t>
            </w:r>
          </w:p>
        </w:tc>
        <w:tc>
          <w:tcPr>
            <w:tcW w:w="0" w:type="dxa"/>
            <w:vAlign w:val="bottom"/>
          </w:tcPr>
          <w:p>
            <w:pPr>
              <w:spacing w:after="0"/>
              <w:rPr>
                <w:sz w:val="1"/>
                <w:szCs w:val="1"/>
                <w:color w:val="auto"/>
              </w:rPr>
            </w:pPr>
          </w:p>
        </w:tc>
      </w:tr>
      <w:tr>
        <w:trPr>
          <w:trHeight w:val="162"/>
        </w:trPr>
        <w:tc>
          <w:tcPr>
            <w:tcW w:w="8160" w:type="dxa"/>
            <w:vAlign w:val="bottom"/>
          </w:tcPr>
          <w:p>
            <w:pPr>
              <w:spacing w:after="0"/>
              <w:rPr>
                <w:sz w:val="20"/>
                <w:szCs w:val="20"/>
                <w:color w:val="auto"/>
              </w:rPr>
            </w:pPr>
            <w:r>
              <w:rPr>
                <w:rFonts w:ascii="Arial" w:cs="Arial" w:eastAsia="Arial" w:hAnsi="Arial"/>
                <w:sz w:val="14"/>
                <w:szCs w:val="14"/>
                <w:color w:val="auto"/>
              </w:rPr>
              <w:t>and (2) has been subject to such filing requirements for the past 90 days.</w:t>
            </w:r>
          </w:p>
        </w:tc>
        <w:tc>
          <w:tcPr>
            <w:tcW w:w="1460" w:type="dxa"/>
            <w:vAlign w:val="bottom"/>
          </w:tcPr>
          <w:p>
            <w:pPr>
              <w:spacing w:after="0"/>
              <w:rPr>
                <w:sz w:val="14"/>
                <w:szCs w:val="14"/>
                <w:color w:val="auto"/>
              </w:rPr>
            </w:pPr>
          </w:p>
        </w:tc>
        <w:tc>
          <w:tcPr>
            <w:tcW w:w="500" w:type="dxa"/>
            <w:vAlign w:val="bottom"/>
            <w:vMerge w:val="continue"/>
          </w:tcPr>
          <w:p>
            <w:pPr>
              <w:spacing w:after="0"/>
              <w:rPr>
                <w:sz w:val="14"/>
                <w:szCs w:val="14"/>
                <w:color w:val="auto"/>
              </w:rPr>
            </w:pPr>
          </w:p>
        </w:tc>
        <w:tc>
          <w:tcPr>
            <w:tcW w:w="780" w:type="dxa"/>
            <w:vAlign w:val="bottom"/>
          </w:tcPr>
          <w:p>
            <w:pPr>
              <w:spacing w:after="0"/>
              <w:rPr>
                <w:sz w:val="14"/>
                <w:szCs w:val="14"/>
                <w:color w:val="auto"/>
              </w:rPr>
            </w:pPr>
          </w:p>
        </w:tc>
        <w:tc>
          <w:tcPr>
            <w:tcW w:w="5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9620" w:type="dxa"/>
            <w:vAlign w:val="bottom"/>
            <w:gridSpan w:val="2"/>
          </w:tcPr>
          <w:p>
            <w:pPr>
              <w:spacing w:after="0"/>
              <w:rPr>
                <w:sz w:val="20"/>
                <w:szCs w:val="20"/>
                <w:color w:val="auto"/>
              </w:rPr>
            </w:pPr>
            <w:r>
              <w:rPr>
                <w:rFonts w:ascii="Arial" w:cs="Arial" w:eastAsia="Arial" w:hAnsi="Arial"/>
                <w:sz w:val="14"/>
                <w:szCs w:val="14"/>
                <w:color w:val="auto"/>
              </w:rPr>
              <w:t>Indicate by check mark whether the registrant has submitted electronically and posted on its corporate website, if any, every Interactive</w:t>
            </w:r>
          </w:p>
        </w:tc>
        <w:tc>
          <w:tcPr>
            <w:tcW w:w="5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9620" w:type="dxa"/>
            <w:vAlign w:val="bottom"/>
            <w:gridSpan w:val="2"/>
          </w:tcPr>
          <w:p>
            <w:pPr>
              <w:spacing w:after="0"/>
              <w:rPr>
                <w:sz w:val="20"/>
                <w:szCs w:val="20"/>
                <w:color w:val="auto"/>
              </w:rPr>
            </w:pPr>
            <w:r>
              <w:rPr>
                <w:rFonts w:ascii="Arial" w:cs="Arial" w:eastAsia="Arial" w:hAnsi="Arial"/>
                <w:sz w:val="14"/>
                <w:szCs w:val="14"/>
                <w:color w:val="auto"/>
              </w:rPr>
              <w:t>Data File required to be submitted and posted pursuant to Rule 405 of Regulation S-T (§232.405 of this chapter) during the preceding</w:t>
            </w:r>
          </w:p>
        </w:tc>
        <w:tc>
          <w:tcPr>
            <w:tcW w:w="500" w:type="dxa"/>
            <w:vAlign w:val="bottom"/>
            <w:vMerge w:val="restart"/>
          </w:tcPr>
          <w:p>
            <w:pPr>
              <w:ind w:left="40"/>
              <w:spacing w:after="0" w:line="161" w:lineRule="exact"/>
              <w:rPr>
                <w:sz w:val="20"/>
                <w:szCs w:val="20"/>
                <w:color w:val="auto"/>
              </w:rPr>
            </w:pPr>
            <w:r>
              <w:rPr>
                <w:rFonts w:ascii="MS PGothic" w:cs="MS PGothic" w:eastAsia="MS PGothic" w:hAnsi="MS PGothic"/>
                <w:sz w:val="14"/>
                <w:szCs w:val="14"/>
                <w:color w:val="auto"/>
              </w:rPr>
              <w:t>☑</w:t>
            </w:r>
            <w:r>
              <w:rPr>
                <w:rFonts w:ascii="Arial" w:cs="Arial" w:eastAsia="Arial" w:hAnsi="Arial"/>
                <w:sz w:val="14"/>
                <w:szCs w:val="14"/>
                <w:color w:val="auto"/>
              </w:rPr>
              <w:t xml:space="preserve"> Yes</w:t>
            </w:r>
          </w:p>
        </w:tc>
        <w:tc>
          <w:tcPr>
            <w:tcW w:w="780" w:type="dxa"/>
            <w:vAlign w:val="bottom"/>
          </w:tcPr>
          <w:p>
            <w:pPr>
              <w:spacing w:after="0"/>
              <w:rPr>
                <w:sz w:val="14"/>
                <w:szCs w:val="14"/>
                <w:color w:val="auto"/>
              </w:rPr>
            </w:pPr>
          </w:p>
        </w:tc>
        <w:tc>
          <w:tcPr>
            <w:tcW w:w="520" w:type="dxa"/>
            <w:vAlign w:val="bottom"/>
            <w:vMerge w:val="restart"/>
          </w:tcPr>
          <w:p>
            <w:pPr>
              <w:ind w:left="160"/>
              <w:spacing w:after="0" w:line="161" w:lineRule="exact"/>
              <w:rPr>
                <w:sz w:val="20"/>
                <w:szCs w:val="20"/>
                <w:color w:val="auto"/>
              </w:rPr>
            </w:pPr>
            <w:r>
              <w:rPr>
                <w:rFonts w:ascii="MS PGothic" w:cs="MS PGothic" w:eastAsia="MS PGothic" w:hAnsi="MS PGothic"/>
                <w:sz w:val="14"/>
                <w:szCs w:val="14"/>
                <w:color w:val="auto"/>
                <w:w w:val="94"/>
              </w:rPr>
              <w:t>☐</w:t>
            </w:r>
            <w:r>
              <w:rPr>
                <w:rFonts w:ascii="Arial" w:cs="Arial" w:eastAsia="Arial" w:hAnsi="Arial"/>
                <w:sz w:val="14"/>
                <w:szCs w:val="14"/>
                <w:color w:val="auto"/>
                <w:w w:val="94"/>
              </w:rPr>
              <w:t xml:space="preserve"> No</w:t>
            </w:r>
          </w:p>
        </w:tc>
        <w:tc>
          <w:tcPr>
            <w:tcW w:w="0" w:type="dxa"/>
            <w:vAlign w:val="bottom"/>
          </w:tcPr>
          <w:p>
            <w:pPr>
              <w:spacing w:after="0"/>
              <w:rPr>
                <w:sz w:val="1"/>
                <w:szCs w:val="1"/>
                <w:color w:val="auto"/>
              </w:rPr>
            </w:pPr>
          </w:p>
        </w:tc>
      </w:tr>
      <w:tr>
        <w:trPr>
          <w:trHeight w:val="162"/>
        </w:trPr>
        <w:tc>
          <w:tcPr>
            <w:tcW w:w="8160" w:type="dxa"/>
            <w:vAlign w:val="bottom"/>
          </w:tcPr>
          <w:p>
            <w:pPr>
              <w:spacing w:after="0"/>
              <w:rPr>
                <w:sz w:val="20"/>
                <w:szCs w:val="20"/>
                <w:color w:val="auto"/>
              </w:rPr>
            </w:pPr>
            <w:r>
              <w:rPr>
                <w:rFonts w:ascii="Arial" w:cs="Arial" w:eastAsia="Arial" w:hAnsi="Arial"/>
                <w:sz w:val="14"/>
                <w:szCs w:val="14"/>
                <w:color w:val="auto"/>
              </w:rPr>
              <w:t>12 months (or for such shorter period that the registrant was required to submit and post such files).</w:t>
            </w:r>
          </w:p>
        </w:tc>
        <w:tc>
          <w:tcPr>
            <w:tcW w:w="1460" w:type="dxa"/>
            <w:vAlign w:val="bottom"/>
          </w:tcPr>
          <w:p>
            <w:pPr>
              <w:spacing w:after="0"/>
              <w:rPr>
                <w:sz w:val="14"/>
                <w:szCs w:val="14"/>
                <w:color w:val="auto"/>
              </w:rPr>
            </w:pPr>
          </w:p>
        </w:tc>
        <w:tc>
          <w:tcPr>
            <w:tcW w:w="500" w:type="dxa"/>
            <w:vAlign w:val="bottom"/>
            <w:vMerge w:val="continue"/>
          </w:tcPr>
          <w:p>
            <w:pPr>
              <w:spacing w:after="0"/>
              <w:rPr>
                <w:sz w:val="14"/>
                <w:szCs w:val="14"/>
                <w:color w:val="auto"/>
              </w:rPr>
            </w:pPr>
          </w:p>
        </w:tc>
        <w:tc>
          <w:tcPr>
            <w:tcW w:w="780" w:type="dxa"/>
            <w:vAlign w:val="bottom"/>
          </w:tcPr>
          <w:p>
            <w:pPr>
              <w:spacing w:after="0"/>
              <w:rPr>
                <w:sz w:val="14"/>
                <w:szCs w:val="14"/>
                <w:color w:val="auto"/>
              </w:rPr>
            </w:pPr>
          </w:p>
        </w:tc>
        <w:tc>
          <w:tcPr>
            <w:tcW w:w="5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8160" w:type="dxa"/>
            <w:vAlign w:val="bottom"/>
          </w:tcPr>
          <w:p>
            <w:pPr>
              <w:spacing w:after="0"/>
              <w:rPr>
                <w:sz w:val="20"/>
                <w:szCs w:val="20"/>
                <w:color w:val="auto"/>
              </w:rPr>
            </w:pPr>
            <w:r>
              <w:rPr>
                <w:rFonts w:ascii="Arial" w:cs="Arial" w:eastAsia="Arial" w:hAnsi="Arial"/>
                <w:sz w:val="14"/>
                <w:szCs w:val="14"/>
                <w:color w:val="auto"/>
              </w:rPr>
              <w:t>Indicate by check mark whether the registrant is a large accelerated filer, an accelerated filer, or a non-accelerated filer.</w:t>
            </w:r>
          </w:p>
        </w:tc>
        <w:tc>
          <w:tcPr>
            <w:tcW w:w="14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8160" w:type="dxa"/>
            <w:vAlign w:val="bottom"/>
          </w:tcPr>
          <w:p>
            <w:pPr>
              <w:spacing w:after="0" w:line="131" w:lineRule="exact"/>
              <w:rPr>
                <w:sz w:val="20"/>
                <w:szCs w:val="20"/>
                <w:color w:val="auto"/>
              </w:rPr>
            </w:pPr>
            <w:r>
              <w:rPr>
                <w:rFonts w:ascii="Arial" w:cs="Arial" w:eastAsia="Arial" w:hAnsi="Arial"/>
                <w:sz w:val="14"/>
                <w:szCs w:val="14"/>
                <w:color w:val="auto"/>
              </w:rPr>
              <w:t>See definition of “accelerated filer and large accelerated filer” in Rule 12b-2 of the Exchange Act. (Check one):</w:t>
            </w:r>
          </w:p>
        </w:tc>
        <w:tc>
          <w:tcPr>
            <w:tcW w:w="1460" w:type="dxa"/>
            <w:vAlign w:val="bottom"/>
            <w:vMerge w:val="restart"/>
          </w:tcPr>
          <w:p>
            <w:pPr>
              <w:ind w:left="40"/>
              <w:spacing w:after="0" w:line="161" w:lineRule="exact"/>
              <w:rPr>
                <w:sz w:val="20"/>
                <w:szCs w:val="20"/>
                <w:color w:val="auto"/>
              </w:rPr>
            </w:pPr>
            <w:r>
              <w:rPr>
                <w:rFonts w:ascii="Arial" w:cs="Arial" w:eastAsia="Arial" w:hAnsi="Arial"/>
                <w:sz w:val="14"/>
                <w:szCs w:val="14"/>
                <w:color w:val="auto"/>
              </w:rPr>
              <w:t xml:space="preserve">Accelerated filer </w:t>
            </w:r>
            <w:r>
              <w:rPr>
                <w:rFonts w:ascii="MS PGothic" w:cs="MS PGothic" w:eastAsia="MS PGothic" w:hAnsi="MS PGothic"/>
                <w:sz w:val="14"/>
                <w:szCs w:val="14"/>
                <w:color w:val="auto"/>
              </w:rPr>
              <w:t>☐</w:t>
            </w:r>
          </w:p>
        </w:tc>
        <w:tc>
          <w:tcPr>
            <w:tcW w:w="1800" w:type="dxa"/>
            <w:vAlign w:val="bottom"/>
            <w:gridSpan w:val="3"/>
            <w:vMerge w:val="restart"/>
          </w:tcPr>
          <w:p>
            <w:pPr>
              <w:ind w:left="20"/>
              <w:spacing w:after="0" w:line="161" w:lineRule="exact"/>
              <w:rPr>
                <w:sz w:val="20"/>
                <w:szCs w:val="20"/>
                <w:color w:val="auto"/>
              </w:rPr>
            </w:pPr>
            <w:r>
              <w:rPr>
                <w:rFonts w:ascii="Arial" w:cs="Arial" w:eastAsia="Arial" w:hAnsi="Arial"/>
                <w:sz w:val="14"/>
                <w:szCs w:val="14"/>
                <w:color w:val="auto"/>
              </w:rPr>
              <w:t xml:space="preserve">Non-accelerated filer </w:t>
            </w:r>
            <w:r>
              <w:rPr>
                <w:rFonts w:ascii="MS PGothic" w:cs="MS PGothic" w:eastAsia="MS PGothic" w:hAnsi="MS PGothic"/>
                <w:sz w:val="14"/>
                <w:szCs w:val="14"/>
                <w:color w:val="auto"/>
              </w:rPr>
              <w:t>☐</w:t>
            </w:r>
          </w:p>
        </w:tc>
        <w:tc>
          <w:tcPr>
            <w:tcW w:w="0" w:type="dxa"/>
            <w:vAlign w:val="bottom"/>
          </w:tcPr>
          <w:p>
            <w:pPr>
              <w:spacing w:after="0"/>
              <w:rPr>
                <w:sz w:val="1"/>
                <w:szCs w:val="1"/>
                <w:color w:val="auto"/>
              </w:rPr>
            </w:pPr>
          </w:p>
        </w:tc>
      </w:tr>
      <w:tr>
        <w:trPr>
          <w:trHeight w:val="170"/>
        </w:trPr>
        <w:tc>
          <w:tcPr>
            <w:tcW w:w="8160" w:type="dxa"/>
            <w:vAlign w:val="bottom"/>
          </w:tcPr>
          <w:p>
            <w:pPr>
              <w:ind w:left="6360"/>
              <w:spacing w:after="0" w:line="161" w:lineRule="exact"/>
              <w:rPr>
                <w:sz w:val="20"/>
                <w:szCs w:val="20"/>
                <w:color w:val="auto"/>
              </w:rPr>
            </w:pPr>
            <w:r>
              <w:rPr>
                <w:rFonts w:ascii="Arial" w:cs="Arial" w:eastAsia="Arial" w:hAnsi="Arial"/>
                <w:sz w:val="14"/>
                <w:szCs w:val="14"/>
                <w:color w:val="auto"/>
              </w:rPr>
              <w:t xml:space="preserve">Large accelerated filer </w:t>
            </w:r>
            <w:r>
              <w:rPr>
                <w:rFonts w:ascii="MS PGothic" w:cs="MS PGothic" w:eastAsia="MS PGothic" w:hAnsi="MS PGothic"/>
                <w:sz w:val="14"/>
                <w:szCs w:val="14"/>
                <w:color w:val="auto"/>
              </w:rPr>
              <w:t>☑</w:t>
            </w:r>
          </w:p>
        </w:tc>
        <w:tc>
          <w:tcPr>
            <w:tcW w:w="1460" w:type="dxa"/>
            <w:vAlign w:val="bottom"/>
            <w:vMerge w:val="continue"/>
          </w:tcPr>
          <w:p>
            <w:pPr>
              <w:spacing w:after="0"/>
              <w:rPr>
                <w:sz w:val="14"/>
                <w:szCs w:val="14"/>
                <w:color w:val="auto"/>
              </w:rPr>
            </w:pPr>
          </w:p>
        </w:tc>
        <w:tc>
          <w:tcPr>
            <w:tcW w:w="180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9620" w:type="dxa"/>
            <w:vAlign w:val="bottom"/>
            <w:gridSpan w:val="2"/>
          </w:tcPr>
          <w:p>
            <w:pPr>
              <w:spacing w:after="0"/>
              <w:rPr>
                <w:sz w:val="20"/>
                <w:szCs w:val="20"/>
                <w:color w:val="auto"/>
              </w:rPr>
            </w:pPr>
            <w:r>
              <w:rPr>
                <w:rFonts w:ascii="Arial" w:cs="Arial" w:eastAsia="Arial" w:hAnsi="Arial"/>
                <w:sz w:val="14"/>
                <w:szCs w:val="14"/>
                <w:color w:val="auto"/>
              </w:rPr>
              <w:t>Indicate by check mark which basis of accounting the registrant has used to prepare the financial statements included in this filing:</w:t>
            </w:r>
          </w:p>
        </w:tc>
        <w:tc>
          <w:tcPr>
            <w:tcW w:w="500" w:type="dxa"/>
            <w:vAlign w:val="bottom"/>
            <w:vMerge w:val="restart"/>
          </w:tcPr>
          <w:p>
            <w:pPr>
              <w:ind w:left="80"/>
              <w:spacing w:after="0" w:line="141" w:lineRule="exact"/>
              <w:rPr>
                <w:sz w:val="20"/>
                <w:szCs w:val="20"/>
                <w:color w:val="auto"/>
              </w:rPr>
            </w:pPr>
            <w:r>
              <w:rPr>
                <w:rFonts w:ascii="MS PGothic" w:cs="MS PGothic" w:eastAsia="MS PGothic" w:hAnsi="MS PGothic"/>
                <w:sz w:val="14"/>
                <w:szCs w:val="14"/>
                <w:color w:val="auto"/>
              </w:rPr>
              <w:t>☑</w:t>
            </w:r>
          </w:p>
        </w:tc>
        <w:tc>
          <w:tcPr>
            <w:tcW w:w="1300" w:type="dxa"/>
            <w:vAlign w:val="bottom"/>
            <w:gridSpan w:val="2"/>
          </w:tcPr>
          <w:p>
            <w:pPr>
              <w:ind w:left="60"/>
              <w:spacing w:after="0" w:line="161" w:lineRule="exact"/>
              <w:rPr>
                <w:sz w:val="20"/>
                <w:szCs w:val="20"/>
                <w:color w:val="auto"/>
              </w:rPr>
            </w:pPr>
            <w:r>
              <w:rPr>
                <w:rFonts w:ascii="Arial" w:cs="Arial" w:eastAsia="Arial" w:hAnsi="Arial"/>
                <w:sz w:val="14"/>
                <w:szCs w:val="14"/>
                <w:color w:val="auto"/>
              </w:rPr>
              <w:t xml:space="preserve">U.S. GAAP </w:t>
            </w:r>
            <w:r>
              <w:rPr>
                <w:rFonts w:ascii="MS PGothic" w:cs="MS PGothic" w:eastAsia="MS PGothic" w:hAnsi="MS PGothic"/>
                <w:sz w:val="14"/>
                <w:szCs w:val="14"/>
                <w:color w:val="auto"/>
              </w:rPr>
              <w:t>☐</w:t>
            </w:r>
          </w:p>
        </w:tc>
        <w:tc>
          <w:tcPr>
            <w:tcW w:w="0" w:type="dxa"/>
            <w:vAlign w:val="bottom"/>
          </w:tcPr>
          <w:p>
            <w:pPr>
              <w:spacing w:after="0"/>
              <w:rPr>
                <w:sz w:val="1"/>
                <w:szCs w:val="1"/>
                <w:color w:val="auto"/>
              </w:rPr>
            </w:pPr>
          </w:p>
        </w:tc>
      </w:tr>
      <w:tr>
        <w:trPr>
          <w:trHeight w:val="213"/>
        </w:trPr>
        <w:tc>
          <w:tcPr>
            <w:tcW w:w="8160" w:type="dxa"/>
            <w:vAlign w:val="bottom"/>
          </w:tcPr>
          <w:p>
            <w:pPr>
              <w:spacing w:after="0"/>
              <w:rPr>
                <w:sz w:val="20"/>
                <w:szCs w:val="20"/>
                <w:color w:val="auto"/>
              </w:rPr>
            </w:pPr>
            <w:r>
              <w:rPr>
                <w:rFonts w:ascii="Arial" w:cs="Arial" w:eastAsia="Arial" w:hAnsi="Arial"/>
                <w:sz w:val="14"/>
                <w:szCs w:val="14"/>
                <w:color w:val="auto"/>
              </w:rPr>
              <w:t>International Financial Reporting Standards as issued by the International Accounting Standards Board.</w:t>
            </w:r>
          </w:p>
        </w:tc>
        <w:tc>
          <w:tcPr>
            <w:tcW w:w="1460" w:type="dxa"/>
            <w:vAlign w:val="bottom"/>
          </w:tcPr>
          <w:p>
            <w:pPr>
              <w:spacing w:after="0"/>
              <w:rPr>
                <w:sz w:val="18"/>
                <w:szCs w:val="18"/>
                <w:color w:val="auto"/>
              </w:rPr>
            </w:pPr>
          </w:p>
        </w:tc>
        <w:tc>
          <w:tcPr>
            <w:tcW w:w="500" w:type="dxa"/>
            <w:vAlign w:val="bottom"/>
            <w:vMerge w:val="continue"/>
          </w:tcPr>
          <w:p>
            <w:pPr>
              <w:spacing w:after="0"/>
              <w:rPr>
                <w:sz w:val="18"/>
                <w:szCs w:val="18"/>
                <w:color w:val="auto"/>
              </w:rPr>
            </w:pPr>
          </w:p>
        </w:tc>
        <w:tc>
          <w:tcPr>
            <w:tcW w:w="780" w:type="dxa"/>
            <w:vAlign w:val="bottom"/>
          </w:tcPr>
          <w:p>
            <w:pPr>
              <w:ind w:left="420"/>
              <w:spacing w:after="0"/>
              <w:rPr>
                <w:sz w:val="20"/>
                <w:szCs w:val="20"/>
                <w:color w:val="auto"/>
              </w:rPr>
            </w:pPr>
            <w:r>
              <w:rPr>
                <w:rFonts w:ascii="Arial" w:cs="Arial" w:eastAsia="Arial" w:hAnsi="Arial"/>
                <w:sz w:val="14"/>
                <w:szCs w:val="14"/>
                <w:color w:val="auto"/>
                <w:w w:val="96"/>
              </w:rPr>
              <w:t>Other</w:t>
            </w:r>
          </w:p>
        </w:tc>
        <w:tc>
          <w:tcPr>
            <w:tcW w:w="520" w:type="dxa"/>
            <w:vAlign w:val="bottom"/>
          </w:tcPr>
          <w:p>
            <w:pPr>
              <w:ind w:left="80"/>
              <w:spacing w:after="0" w:line="141" w:lineRule="exact"/>
              <w:rPr>
                <w:sz w:val="20"/>
                <w:szCs w:val="20"/>
                <w:color w:val="auto"/>
              </w:rPr>
            </w:pPr>
            <w:r>
              <w:rPr>
                <w:rFonts w:ascii="MS PGothic" w:cs="MS PGothic" w:eastAsia="MS PGothic" w:hAnsi="MS PGothic"/>
                <w:sz w:val="14"/>
                <w:szCs w:val="14"/>
                <w:color w:val="auto"/>
              </w:rPr>
              <w:t>☐</w:t>
            </w:r>
          </w:p>
        </w:tc>
        <w:tc>
          <w:tcPr>
            <w:tcW w:w="0" w:type="dxa"/>
            <w:vAlign w:val="bottom"/>
          </w:tcPr>
          <w:p>
            <w:pPr>
              <w:spacing w:after="0"/>
              <w:rPr>
                <w:sz w:val="1"/>
                <w:szCs w:val="1"/>
                <w:color w:val="auto"/>
              </w:rPr>
            </w:pPr>
          </w:p>
        </w:tc>
      </w:tr>
      <w:tr>
        <w:trPr>
          <w:trHeight w:val="130"/>
        </w:trPr>
        <w:tc>
          <w:tcPr>
            <w:tcW w:w="9620" w:type="dxa"/>
            <w:vAlign w:val="bottom"/>
            <w:gridSpan w:val="2"/>
          </w:tcPr>
          <w:p>
            <w:pPr>
              <w:spacing w:after="0" w:line="131" w:lineRule="exact"/>
              <w:rPr>
                <w:sz w:val="20"/>
                <w:szCs w:val="20"/>
                <w:color w:val="auto"/>
              </w:rPr>
            </w:pPr>
            <w:r>
              <w:rPr>
                <w:rFonts w:ascii="Arial" w:cs="Arial" w:eastAsia="Arial" w:hAnsi="Arial"/>
                <w:sz w:val="14"/>
                <w:szCs w:val="14"/>
                <w:color w:val="auto"/>
              </w:rPr>
              <w:t>If “Other” has been checked in response to the previous question, indicate by check mark which financial statement item the registrant</w:t>
            </w:r>
          </w:p>
        </w:tc>
        <w:tc>
          <w:tcPr>
            <w:tcW w:w="5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vMerge w:val="restart"/>
          </w:tcPr>
          <w:p>
            <w:pPr>
              <w:spacing w:after="0" w:line="141" w:lineRule="exact"/>
              <w:rPr>
                <w:sz w:val="20"/>
                <w:szCs w:val="20"/>
                <w:color w:val="auto"/>
              </w:rPr>
            </w:pPr>
            <w:r>
              <w:rPr>
                <w:rFonts w:ascii="MS PGothic" w:cs="MS PGothic" w:eastAsia="MS PGothic" w:hAnsi="MS PGothic"/>
                <w:sz w:val="14"/>
                <w:szCs w:val="14"/>
                <w:color w:val="auto"/>
              </w:rPr>
              <w:t>☐</w:t>
            </w:r>
          </w:p>
        </w:tc>
        <w:tc>
          <w:tcPr>
            <w:tcW w:w="0" w:type="dxa"/>
            <w:vAlign w:val="bottom"/>
          </w:tcPr>
          <w:p>
            <w:pPr>
              <w:spacing w:after="0"/>
              <w:rPr>
                <w:sz w:val="1"/>
                <w:szCs w:val="1"/>
                <w:color w:val="auto"/>
              </w:rPr>
            </w:pPr>
          </w:p>
        </w:tc>
      </w:tr>
      <w:tr>
        <w:trPr>
          <w:trHeight w:val="194"/>
        </w:trPr>
        <w:tc>
          <w:tcPr>
            <w:tcW w:w="8160" w:type="dxa"/>
            <w:vAlign w:val="bottom"/>
          </w:tcPr>
          <w:p>
            <w:pPr>
              <w:spacing w:after="0"/>
              <w:rPr>
                <w:sz w:val="20"/>
                <w:szCs w:val="20"/>
                <w:color w:val="auto"/>
              </w:rPr>
            </w:pPr>
            <w:r>
              <w:rPr>
                <w:rFonts w:ascii="Arial" w:cs="Arial" w:eastAsia="Arial" w:hAnsi="Arial"/>
                <w:sz w:val="14"/>
                <w:szCs w:val="14"/>
                <w:color w:val="auto"/>
              </w:rPr>
              <w:t>has elected to follow.</w:t>
            </w:r>
          </w:p>
        </w:tc>
        <w:tc>
          <w:tcPr>
            <w:tcW w:w="1460" w:type="dxa"/>
            <w:vAlign w:val="bottom"/>
          </w:tcPr>
          <w:p>
            <w:pPr>
              <w:ind w:left="820"/>
              <w:spacing w:after="0" w:line="161" w:lineRule="exact"/>
              <w:rPr>
                <w:sz w:val="20"/>
                <w:szCs w:val="20"/>
                <w:color w:val="auto"/>
              </w:rPr>
            </w:pPr>
            <w:r>
              <w:rPr>
                <w:rFonts w:ascii="Arial" w:cs="Arial" w:eastAsia="Arial" w:hAnsi="Arial"/>
                <w:sz w:val="14"/>
                <w:szCs w:val="14"/>
                <w:color w:val="auto"/>
                <w:w w:val="95"/>
              </w:rPr>
              <w:t xml:space="preserve">Item 17 </w:t>
            </w:r>
            <w:r>
              <w:rPr>
                <w:rFonts w:ascii="MS PGothic" w:cs="MS PGothic" w:eastAsia="MS PGothic" w:hAnsi="MS PGothic"/>
                <w:sz w:val="14"/>
                <w:szCs w:val="14"/>
                <w:color w:val="auto"/>
                <w:w w:val="95"/>
              </w:rPr>
              <w:t>☐</w:t>
            </w:r>
          </w:p>
        </w:tc>
        <w:tc>
          <w:tcPr>
            <w:tcW w:w="500" w:type="dxa"/>
            <w:vAlign w:val="bottom"/>
          </w:tcPr>
          <w:p>
            <w:pPr>
              <w:spacing w:after="0"/>
              <w:rPr>
                <w:sz w:val="16"/>
                <w:szCs w:val="16"/>
                <w:color w:val="auto"/>
              </w:rPr>
            </w:pPr>
          </w:p>
        </w:tc>
        <w:tc>
          <w:tcPr>
            <w:tcW w:w="780" w:type="dxa"/>
            <w:vAlign w:val="bottom"/>
          </w:tcPr>
          <w:p>
            <w:pPr>
              <w:ind w:left="220"/>
              <w:spacing w:after="0"/>
              <w:rPr>
                <w:sz w:val="20"/>
                <w:szCs w:val="20"/>
                <w:color w:val="auto"/>
              </w:rPr>
            </w:pPr>
            <w:r>
              <w:rPr>
                <w:rFonts w:ascii="Arial" w:cs="Arial" w:eastAsia="Arial" w:hAnsi="Arial"/>
                <w:sz w:val="14"/>
                <w:szCs w:val="14"/>
                <w:color w:val="auto"/>
              </w:rPr>
              <w:t>Item 18</w:t>
            </w:r>
          </w:p>
        </w:tc>
        <w:tc>
          <w:tcPr>
            <w:tcW w:w="5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9620" w:type="dxa"/>
            <w:vAlign w:val="bottom"/>
            <w:gridSpan w:val="2"/>
          </w:tcPr>
          <w:p>
            <w:pPr>
              <w:spacing w:after="0"/>
              <w:rPr>
                <w:sz w:val="20"/>
                <w:szCs w:val="20"/>
                <w:color w:val="auto"/>
              </w:rPr>
            </w:pPr>
            <w:r>
              <w:rPr>
                <w:rFonts w:ascii="Arial" w:cs="Arial" w:eastAsia="Arial" w:hAnsi="Arial"/>
                <w:sz w:val="14"/>
                <w:szCs w:val="14"/>
                <w:color w:val="auto"/>
              </w:rPr>
              <w:t>If this is an annual report, indicate by check mark whether the registrant is a shell company (as defined in Rule 12b-2 of the Exchange</w:t>
            </w:r>
          </w:p>
        </w:tc>
        <w:tc>
          <w:tcPr>
            <w:tcW w:w="500" w:type="dxa"/>
            <w:vAlign w:val="bottom"/>
            <w:vMerge w:val="restart"/>
          </w:tcPr>
          <w:p>
            <w:pPr>
              <w:ind w:left="40"/>
              <w:spacing w:after="0" w:line="161" w:lineRule="exact"/>
              <w:rPr>
                <w:sz w:val="20"/>
                <w:szCs w:val="20"/>
                <w:color w:val="auto"/>
              </w:rPr>
            </w:pPr>
            <w:r>
              <w:rPr>
                <w:rFonts w:ascii="MS PGothic" w:cs="MS PGothic" w:eastAsia="MS PGothic" w:hAnsi="MS PGothic"/>
                <w:sz w:val="14"/>
                <w:szCs w:val="14"/>
                <w:color w:val="auto"/>
              </w:rPr>
              <w:t>☐</w:t>
            </w:r>
            <w:r>
              <w:rPr>
                <w:rFonts w:ascii="Arial" w:cs="Arial" w:eastAsia="Arial" w:hAnsi="Arial"/>
                <w:sz w:val="14"/>
                <w:szCs w:val="14"/>
                <w:color w:val="auto"/>
              </w:rPr>
              <w:t xml:space="preserve"> Yes</w:t>
            </w:r>
          </w:p>
        </w:tc>
        <w:tc>
          <w:tcPr>
            <w:tcW w:w="780" w:type="dxa"/>
            <w:vAlign w:val="bottom"/>
          </w:tcPr>
          <w:p>
            <w:pPr>
              <w:spacing w:after="0"/>
              <w:rPr>
                <w:sz w:val="14"/>
                <w:szCs w:val="14"/>
                <w:color w:val="auto"/>
              </w:rPr>
            </w:pPr>
          </w:p>
        </w:tc>
        <w:tc>
          <w:tcPr>
            <w:tcW w:w="520" w:type="dxa"/>
            <w:vAlign w:val="bottom"/>
            <w:vMerge w:val="restart"/>
          </w:tcPr>
          <w:p>
            <w:pPr>
              <w:ind w:left="160"/>
              <w:spacing w:after="0" w:line="161" w:lineRule="exact"/>
              <w:rPr>
                <w:sz w:val="20"/>
                <w:szCs w:val="20"/>
                <w:color w:val="auto"/>
              </w:rPr>
            </w:pPr>
            <w:r>
              <w:rPr>
                <w:rFonts w:ascii="MS PGothic" w:cs="MS PGothic" w:eastAsia="MS PGothic" w:hAnsi="MS PGothic"/>
                <w:sz w:val="14"/>
                <w:szCs w:val="14"/>
                <w:color w:val="auto"/>
                <w:w w:val="94"/>
              </w:rPr>
              <w:t>☑</w:t>
            </w:r>
            <w:r>
              <w:rPr>
                <w:rFonts w:ascii="Arial" w:cs="Arial" w:eastAsia="Arial" w:hAnsi="Arial"/>
                <w:sz w:val="14"/>
                <w:szCs w:val="14"/>
                <w:color w:val="auto"/>
                <w:w w:val="94"/>
              </w:rPr>
              <w:t xml:space="preserve"> No</w:t>
            </w:r>
          </w:p>
        </w:tc>
        <w:tc>
          <w:tcPr>
            <w:tcW w:w="0" w:type="dxa"/>
            <w:vAlign w:val="bottom"/>
          </w:tcPr>
          <w:p>
            <w:pPr>
              <w:spacing w:after="0"/>
              <w:rPr>
                <w:sz w:val="1"/>
                <w:szCs w:val="1"/>
                <w:color w:val="auto"/>
              </w:rPr>
            </w:pPr>
          </w:p>
        </w:tc>
      </w:tr>
      <w:tr>
        <w:trPr>
          <w:trHeight w:val="175"/>
        </w:trPr>
        <w:tc>
          <w:tcPr>
            <w:tcW w:w="8160" w:type="dxa"/>
            <w:vAlign w:val="bottom"/>
          </w:tcPr>
          <w:p>
            <w:pPr>
              <w:spacing w:after="0"/>
              <w:rPr>
                <w:sz w:val="20"/>
                <w:szCs w:val="20"/>
                <w:color w:val="auto"/>
              </w:rPr>
            </w:pPr>
            <w:r>
              <w:rPr>
                <w:rFonts w:ascii="Arial" w:cs="Arial" w:eastAsia="Arial" w:hAnsi="Arial"/>
                <w:sz w:val="14"/>
                <w:szCs w:val="14"/>
                <w:color w:val="auto"/>
              </w:rPr>
              <w:t>Act).</w:t>
            </w:r>
          </w:p>
        </w:tc>
        <w:tc>
          <w:tcPr>
            <w:tcW w:w="1460" w:type="dxa"/>
            <w:vAlign w:val="bottom"/>
          </w:tcPr>
          <w:p>
            <w:pPr>
              <w:spacing w:after="0"/>
              <w:rPr>
                <w:sz w:val="15"/>
                <w:szCs w:val="15"/>
                <w:color w:val="auto"/>
              </w:rPr>
            </w:pPr>
          </w:p>
        </w:tc>
        <w:tc>
          <w:tcPr>
            <w:tcW w:w="500" w:type="dxa"/>
            <w:vAlign w:val="bottom"/>
            <w:vMerge w:val="continue"/>
          </w:tcPr>
          <w:p>
            <w:pPr>
              <w:spacing w:after="0"/>
              <w:rPr>
                <w:sz w:val="15"/>
                <w:szCs w:val="15"/>
                <w:color w:val="auto"/>
              </w:rPr>
            </w:pPr>
          </w:p>
        </w:tc>
        <w:tc>
          <w:tcPr>
            <w:tcW w:w="780" w:type="dxa"/>
            <w:vAlign w:val="bottom"/>
          </w:tcPr>
          <w:p>
            <w:pPr>
              <w:spacing w:after="0"/>
              <w:rPr>
                <w:sz w:val="15"/>
                <w:szCs w:val="15"/>
                <w:color w:val="auto"/>
              </w:rPr>
            </w:pPr>
          </w:p>
        </w:tc>
        <w:tc>
          <w:tcPr>
            <w:tcW w:w="5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bl>
    <w:p>
      <w:pPr>
        <w:spacing w:after="0" w:line="41" w:lineRule="exact"/>
        <w:rPr>
          <w:sz w:val="24"/>
          <w:szCs w:val="24"/>
          <w:color w:val="auto"/>
        </w:rPr>
      </w:pPr>
    </w:p>
    <w:p>
      <w:pPr>
        <w:spacing w:after="0"/>
        <w:rPr>
          <w:sz w:val="20"/>
          <w:szCs w:val="20"/>
          <w:color w:val="auto"/>
        </w:rPr>
      </w:pPr>
      <w:r>
        <w:rPr>
          <w:rFonts w:ascii="Arial" w:cs="Arial" w:eastAsia="Arial" w:hAnsi="Arial"/>
          <w:sz w:val="14"/>
          <w:szCs w:val="14"/>
          <w:color w:val="auto"/>
        </w:rPr>
        <w:t>Copies of notices and communications from the Securities and Exchange Commission should be sent to:</w:t>
      </w:r>
    </w:p>
    <w:p>
      <w:pPr>
        <w:spacing w:after="0" w:line="42" w:lineRule="exact"/>
        <w:rPr>
          <w:sz w:val="24"/>
          <w:szCs w:val="24"/>
          <w:color w:val="auto"/>
        </w:rPr>
      </w:pPr>
    </w:p>
    <w:p>
      <w:pPr>
        <w:spacing w:after="0"/>
        <w:rPr>
          <w:sz w:val="20"/>
          <w:szCs w:val="20"/>
          <w:color w:val="auto"/>
        </w:rPr>
      </w:pPr>
      <w:r>
        <w:rPr>
          <w:rFonts w:ascii="Arial" w:cs="Arial" w:eastAsia="Arial" w:hAnsi="Arial"/>
          <w:sz w:val="14"/>
          <w:szCs w:val="14"/>
          <w:color w:val="auto"/>
        </w:rPr>
        <w:t>Royal Dutch Shell plc</w:t>
      </w:r>
    </w:p>
    <w:p>
      <w:pPr>
        <w:spacing w:after="0" w:line="1" w:lineRule="exact"/>
        <w:rPr>
          <w:sz w:val="24"/>
          <w:szCs w:val="24"/>
          <w:color w:val="auto"/>
        </w:rPr>
      </w:pPr>
    </w:p>
    <w:p>
      <w:pPr>
        <w:spacing w:after="0"/>
        <w:rPr>
          <w:sz w:val="20"/>
          <w:szCs w:val="20"/>
          <w:color w:val="auto"/>
        </w:rPr>
      </w:pPr>
      <w:r>
        <w:rPr>
          <w:rFonts w:ascii="Arial" w:cs="Arial" w:eastAsia="Arial" w:hAnsi="Arial"/>
          <w:sz w:val="14"/>
          <w:szCs w:val="14"/>
          <w:color w:val="auto"/>
        </w:rPr>
        <w:t>Carel van Bylandtlaan 30</w:t>
      </w:r>
    </w:p>
    <w:p>
      <w:pPr>
        <w:spacing w:after="0" w:line="1" w:lineRule="exact"/>
        <w:rPr>
          <w:sz w:val="24"/>
          <w:szCs w:val="24"/>
          <w:color w:val="auto"/>
        </w:rPr>
      </w:pPr>
    </w:p>
    <w:p>
      <w:pPr>
        <w:spacing w:after="0"/>
        <w:rPr>
          <w:sz w:val="20"/>
          <w:szCs w:val="20"/>
          <w:color w:val="auto"/>
        </w:rPr>
      </w:pPr>
      <w:r>
        <w:rPr>
          <w:rFonts w:ascii="Arial" w:cs="Arial" w:eastAsia="Arial" w:hAnsi="Arial"/>
          <w:sz w:val="14"/>
          <w:szCs w:val="14"/>
          <w:color w:val="auto"/>
        </w:rPr>
        <w:t>2596 HR, The Hague, The Netherlands</w:t>
      </w:r>
    </w:p>
    <w:p>
      <w:pPr>
        <w:spacing w:after="0" w:line="1" w:lineRule="exact"/>
        <w:rPr>
          <w:sz w:val="24"/>
          <w:szCs w:val="24"/>
          <w:color w:val="auto"/>
        </w:rPr>
      </w:pPr>
    </w:p>
    <w:p>
      <w:pPr>
        <w:spacing w:after="0"/>
        <w:rPr>
          <w:sz w:val="20"/>
          <w:szCs w:val="20"/>
          <w:color w:val="auto"/>
        </w:rPr>
      </w:pPr>
      <w:r>
        <w:rPr>
          <w:rFonts w:ascii="Arial" w:cs="Arial" w:eastAsia="Arial" w:hAnsi="Arial"/>
          <w:sz w:val="14"/>
          <w:szCs w:val="14"/>
          <w:color w:val="auto"/>
        </w:rPr>
        <w:t>Attn: Michiel Brandjes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57785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126365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0" w:right="239" w:bottom="1440" w:gutter="0" w:footer="0" w:header="0"/>
        </w:sectPr>
      </w:pPr>
    </w:p>
    <w:bookmarkStart w:id="1" w:name="page2"/>
    <w:bookmarkEnd w:id="1"/>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220345</wp:posOffset>
            </wp:positionV>
            <wp:extent cx="6972300" cy="90735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72300" cy="9073515"/>
                    </a:xfrm>
                    <a:prstGeom prst="rect">
                      <a:avLst/>
                    </a:prstGeom>
                    <a:noFill/>
                  </pic:spPr>
                </pic:pic>
              </a:graphicData>
            </a:graphic>
          </wp:anchor>
        </w:drawing>
      </w:r>
    </w:p>
    <w:p>
      <w:pPr>
        <w:sectPr>
          <w:pgSz w:w="11900" w:h="16838" w:orient="portrait"/>
          <w:cols w:equalWidth="0" w:num="1">
            <w:col w:w="10219"/>
          </w:cols>
          <w:pgMar w:left="240" w:top="459" w:right="1440"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180"/>
        <w:spacing w:after="0"/>
        <w:rPr>
          <w:sz w:val="20"/>
          <w:szCs w:val="20"/>
          <w:color w:val="auto"/>
        </w:rPr>
      </w:pPr>
      <w:r>
        <w:rPr>
          <w:rFonts w:ascii="Arial" w:cs="Arial" w:eastAsia="Arial" w:hAnsi="Arial"/>
          <w:sz w:val="32"/>
          <w:szCs w:val="32"/>
          <w:b w:val="1"/>
          <w:bCs w:val="1"/>
          <w:color w:val="C21128"/>
        </w:rPr>
        <w:t>CONTENTS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25"/>
          <w:szCs w:val="25"/>
          <w:b w:val="1"/>
          <w:bCs w:val="1"/>
          <w:color w:val="C21128"/>
        </w:rPr>
        <w:t>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-2610485</wp:posOffset>
            </wp:positionH>
            <wp:positionV relativeFrom="paragraph">
              <wp:posOffset>-1054735</wp:posOffset>
            </wp:positionV>
            <wp:extent cx="7289165" cy="102311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89165" cy="10231120"/>
                    </a:xfrm>
                    <a:prstGeom prst="rect">
                      <a:avLst/>
                    </a:prstGeom>
                    <a:noFill/>
                  </pic:spPr>
                </pic:pic>
              </a:graphicData>
            </a:graphic>
          </wp:anchor>
        </w:drawing>
      </w:r>
    </w:p>
    <w:p>
      <w:pPr>
        <w:spacing w:after="0" w:line="22" w:lineRule="exact"/>
        <w:rPr>
          <w:sz w:val="20"/>
          <w:szCs w:val="20"/>
          <w:color w:val="auto"/>
        </w:rPr>
      </w:pPr>
    </w:p>
    <w:p>
      <w:pPr>
        <w:spacing w:after="0"/>
        <w:rPr>
          <w:sz w:val="20"/>
          <w:szCs w:val="20"/>
          <w:color w:val="auto"/>
        </w:rPr>
      </w:pPr>
      <w:r>
        <w:rPr>
          <w:rFonts w:ascii="Arial" w:cs="Arial" w:eastAsia="Arial" w:hAnsi="Arial"/>
          <w:sz w:val="25"/>
          <w:szCs w:val="25"/>
          <w:b w:val="1"/>
          <w:bCs w:val="1"/>
          <w:color w:val="C21128"/>
        </w:rPr>
        <w:t>INTRODUCTION</w:t>
      </w:r>
    </w:p>
    <w:p>
      <w:pPr>
        <w:spacing w:after="0" w:line="13" w:lineRule="exact"/>
        <w:rPr>
          <w:sz w:val="20"/>
          <w:szCs w:val="20"/>
          <w:color w:val="auto"/>
        </w:rPr>
      </w:pPr>
    </w:p>
    <w:p>
      <w:pPr>
        <w:ind w:left="500" w:hanging="495"/>
        <w:spacing w:after="0"/>
        <w:tabs>
          <w:tab w:leader="none" w:pos="500" w:val="left"/>
        </w:tabs>
        <w:numPr>
          <w:ilvl w:val="0"/>
          <w:numId w:val="1"/>
        </w:numPr>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Form 20-F</w:t>
        </w:r>
      </w:hyperlink>
    </w:p>
    <w:p>
      <w:pPr>
        <w:spacing w:after="0" w:line="1" w:lineRule="exact"/>
        <w:rPr>
          <w:sz w:val="20"/>
          <w:szCs w:val="20"/>
          <w:color w:val="auto"/>
        </w:rPr>
      </w:pPr>
    </w:p>
    <w:p>
      <w:pPr>
        <w:ind w:left="500" w:hanging="495"/>
        <w:spacing w:after="0"/>
        <w:tabs>
          <w:tab w:leader="none" w:pos="500" w:val="left"/>
        </w:tabs>
        <w:numPr>
          <w:ilvl w:val="0"/>
          <w:numId w:val="2"/>
        </w:numPr>
        <w:rPr>
          <w:rFonts w:ascii="Arial" w:cs="Arial" w:eastAsia="Arial" w:hAnsi="Arial"/>
          <w:sz w:val="14"/>
          <w:szCs w:val="14"/>
          <w:u w:val="single" w:color="auto"/>
          <w:color w:val="0000EE"/>
        </w:rPr>
      </w:pPr>
      <w:hyperlink w:anchor="page4">
        <w:r>
          <w:rPr>
            <w:rFonts w:ascii="Arial" w:cs="Arial" w:eastAsia="Arial" w:hAnsi="Arial"/>
            <w:sz w:val="14"/>
            <w:szCs w:val="14"/>
            <w:u w:val="single" w:color="auto"/>
            <w:color w:val="0000EE"/>
          </w:rPr>
          <w:t>Cross reference to Form 20-F</w:t>
        </w:r>
      </w:hyperlink>
    </w:p>
    <w:p>
      <w:pPr>
        <w:spacing w:after="0" w:line="1" w:lineRule="exact"/>
        <w:rPr>
          <w:rFonts w:ascii="Arial" w:cs="Arial" w:eastAsia="Arial" w:hAnsi="Arial"/>
          <w:sz w:val="14"/>
          <w:szCs w:val="14"/>
          <w:u w:val="single" w:color="auto"/>
          <w:color w:val="0000EE"/>
        </w:rPr>
      </w:pPr>
    </w:p>
    <w:p>
      <w:pPr>
        <w:ind w:left="500" w:hanging="495"/>
        <w:spacing w:after="0"/>
        <w:tabs>
          <w:tab w:leader="none" w:pos="500" w:val="left"/>
        </w:tabs>
        <w:numPr>
          <w:ilvl w:val="0"/>
          <w:numId w:val="3"/>
        </w:numPr>
        <w:rPr>
          <w:rFonts w:ascii="Arial" w:cs="Arial" w:eastAsia="Arial" w:hAnsi="Arial"/>
          <w:sz w:val="14"/>
          <w:szCs w:val="14"/>
          <w:u w:val="single" w:color="auto"/>
          <w:color w:val="0000EE"/>
        </w:rPr>
      </w:pPr>
      <w:hyperlink w:anchor="page6">
        <w:r>
          <w:rPr>
            <w:rFonts w:ascii="Arial" w:cs="Arial" w:eastAsia="Arial" w:hAnsi="Arial"/>
            <w:sz w:val="14"/>
            <w:szCs w:val="14"/>
            <w:u w:val="single" w:color="auto"/>
            <w:color w:val="0000EE"/>
          </w:rPr>
          <w:t>Terms and abbreviations</w:t>
        </w:r>
      </w:hyperlink>
    </w:p>
    <w:p>
      <w:pPr>
        <w:spacing w:after="0" w:line="1" w:lineRule="exact"/>
        <w:rPr>
          <w:rFonts w:ascii="Arial" w:cs="Arial" w:eastAsia="Arial" w:hAnsi="Arial"/>
          <w:sz w:val="14"/>
          <w:szCs w:val="14"/>
          <w:u w:val="single" w:color="auto"/>
          <w:color w:val="0000EE"/>
        </w:rPr>
      </w:pPr>
    </w:p>
    <w:p>
      <w:pPr>
        <w:ind w:left="500" w:hanging="495"/>
        <w:spacing w:after="0"/>
        <w:tabs>
          <w:tab w:leader="none" w:pos="500" w:val="left"/>
        </w:tabs>
        <w:numPr>
          <w:ilvl w:val="0"/>
          <w:numId w:val="3"/>
        </w:numPr>
        <w:rPr>
          <w:rFonts w:ascii="Arial" w:cs="Arial" w:eastAsia="Arial" w:hAnsi="Arial"/>
          <w:sz w:val="14"/>
          <w:szCs w:val="14"/>
          <w:u w:val="single" w:color="auto"/>
          <w:color w:val="0000EE"/>
        </w:rPr>
      </w:pPr>
      <w:hyperlink w:anchor="page7">
        <w:r>
          <w:rPr>
            <w:rFonts w:ascii="Arial" w:cs="Arial" w:eastAsia="Arial" w:hAnsi="Arial"/>
            <w:sz w:val="14"/>
            <w:szCs w:val="14"/>
            <w:u w:val="single" w:color="auto"/>
            <w:color w:val="0000EE"/>
          </w:rPr>
          <w:t>About this Report</w:t>
        </w:r>
      </w:hyperlink>
    </w:p>
    <w:p>
      <w:pPr>
        <w:spacing w:after="0" w:line="128" w:lineRule="exact"/>
        <w:rPr>
          <w:rFonts w:ascii="Arial" w:cs="Arial" w:eastAsia="Arial" w:hAnsi="Arial"/>
          <w:sz w:val="14"/>
          <w:szCs w:val="14"/>
          <w:b w:val="1"/>
          <w:bCs w:val="1"/>
          <w:color w:val="333333"/>
        </w:rPr>
      </w:pPr>
    </w:p>
    <w:p>
      <w:pPr>
        <w:spacing w:after="0"/>
        <w:rPr>
          <w:sz w:val="20"/>
          <w:szCs w:val="20"/>
          <w:color w:val="auto"/>
        </w:rPr>
      </w:pPr>
      <w:r>
        <w:rPr>
          <w:rFonts w:ascii="Arial" w:cs="Arial" w:eastAsia="Arial" w:hAnsi="Arial"/>
          <w:sz w:val="25"/>
          <w:szCs w:val="25"/>
          <w:b w:val="1"/>
          <w:bCs w:val="1"/>
          <w:color w:val="C21128"/>
        </w:rPr>
        <w:t>06</w:t>
      </w:r>
    </w:p>
    <w:p>
      <w:pPr>
        <w:spacing w:after="0" w:line="42" w:lineRule="exact"/>
        <w:rPr>
          <w:rFonts w:ascii="Arial" w:cs="Arial" w:eastAsia="Arial" w:hAnsi="Arial"/>
          <w:sz w:val="14"/>
          <w:szCs w:val="14"/>
          <w:b w:val="1"/>
          <w:bCs w:val="1"/>
          <w:color w:val="333333"/>
        </w:rPr>
      </w:pPr>
    </w:p>
    <w:p>
      <w:pPr>
        <w:spacing w:after="0"/>
        <w:rPr>
          <w:sz w:val="20"/>
          <w:szCs w:val="20"/>
          <w:color w:val="auto"/>
        </w:rPr>
      </w:pPr>
      <w:r>
        <w:rPr>
          <w:rFonts w:ascii="Arial" w:cs="Arial" w:eastAsia="Arial" w:hAnsi="Arial"/>
          <w:sz w:val="25"/>
          <w:szCs w:val="25"/>
          <w:b w:val="1"/>
          <w:bCs w:val="1"/>
          <w:color w:val="C21128"/>
        </w:rPr>
        <w:t>STRATEGIC REPORT</w:t>
      </w:r>
    </w:p>
    <w:p>
      <w:pPr>
        <w:spacing w:after="0" w:line="13" w:lineRule="exact"/>
        <w:rPr>
          <w:rFonts w:ascii="Arial" w:cs="Arial" w:eastAsia="Arial" w:hAnsi="Arial"/>
          <w:sz w:val="14"/>
          <w:szCs w:val="14"/>
          <w:b w:val="1"/>
          <w:bCs w:val="1"/>
          <w:color w:val="333333"/>
        </w:rPr>
      </w:pPr>
    </w:p>
    <w:p>
      <w:pPr>
        <w:ind w:left="500" w:hanging="495"/>
        <w:spacing w:after="0"/>
        <w:tabs>
          <w:tab w:leader="none" w:pos="500" w:val="left"/>
        </w:tabs>
        <w:numPr>
          <w:ilvl w:val="0"/>
          <w:numId w:val="4"/>
        </w:numPr>
        <w:rPr>
          <w:rFonts w:ascii="Arial" w:cs="Arial" w:eastAsia="Arial" w:hAnsi="Arial"/>
          <w:sz w:val="14"/>
          <w:szCs w:val="14"/>
          <w:u w:val="single" w:color="auto"/>
          <w:color w:val="0000EE"/>
        </w:rPr>
      </w:pPr>
      <w:hyperlink w:anchor="page8">
        <w:r>
          <w:rPr>
            <w:rFonts w:ascii="Arial" w:cs="Arial" w:eastAsia="Arial" w:hAnsi="Arial"/>
            <w:sz w:val="14"/>
            <w:szCs w:val="14"/>
            <w:u w:val="single" w:color="auto"/>
            <w:color w:val="0000EE"/>
          </w:rPr>
          <w:t>Chairman’s message</w:t>
        </w:r>
      </w:hyperlink>
    </w:p>
    <w:p>
      <w:pPr>
        <w:spacing w:after="0" w:line="1" w:lineRule="exact"/>
        <w:rPr>
          <w:rFonts w:ascii="Arial" w:cs="Arial" w:eastAsia="Arial" w:hAnsi="Arial"/>
          <w:sz w:val="14"/>
          <w:szCs w:val="14"/>
          <w:b w:val="1"/>
          <w:bCs w:val="1"/>
          <w:color w:val="333333"/>
        </w:rPr>
      </w:pPr>
    </w:p>
    <w:p>
      <w:pPr>
        <w:ind w:left="500" w:hanging="495"/>
        <w:spacing w:after="0"/>
        <w:tabs>
          <w:tab w:leader="none" w:pos="500" w:val="left"/>
        </w:tabs>
        <w:numPr>
          <w:ilvl w:val="0"/>
          <w:numId w:val="5"/>
        </w:numPr>
        <w:rPr>
          <w:rFonts w:ascii="Arial" w:cs="Arial" w:eastAsia="Arial" w:hAnsi="Arial"/>
          <w:sz w:val="14"/>
          <w:szCs w:val="14"/>
          <w:u w:val="single" w:color="auto"/>
          <w:color w:val="0000EE"/>
        </w:rPr>
      </w:pPr>
      <w:hyperlink w:anchor="page9">
        <w:r>
          <w:rPr>
            <w:rFonts w:ascii="Arial" w:cs="Arial" w:eastAsia="Arial" w:hAnsi="Arial"/>
            <w:sz w:val="14"/>
            <w:szCs w:val="14"/>
            <w:u w:val="single" w:color="auto"/>
            <w:color w:val="0000EE"/>
          </w:rPr>
          <w:t>Chief Executive Officer’s review</w:t>
        </w:r>
      </w:hyperlink>
    </w:p>
    <w:p>
      <w:pPr>
        <w:spacing w:after="0" w:line="1" w:lineRule="exact"/>
        <w:rPr>
          <w:rFonts w:ascii="Arial" w:cs="Arial" w:eastAsia="Arial" w:hAnsi="Arial"/>
          <w:sz w:val="14"/>
          <w:szCs w:val="14"/>
          <w:u w:val="single" w:color="auto"/>
          <w:color w:val="0000EE"/>
        </w:rPr>
      </w:pPr>
    </w:p>
    <w:p>
      <w:pPr>
        <w:ind w:left="500" w:hanging="495"/>
        <w:spacing w:after="0"/>
        <w:tabs>
          <w:tab w:leader="none" w:pos="500" w:val="left"/>
        </w:tabs>
        <w:numPr>
          <w:ilvl w:val="0"/>
          <w:numId w:val="6"/>
        </w:numPr>
        <w:rPr>
          <w:rFonts w:ascii="Arial" w:cs="Arial" w:eastAsia="Arial" w:hAnsi="Arial"/>
          <w:sz w:val="14"/>
          <w:szCs w:val="14"/>
          <w:u w:val="single" w:color="auto"/>
          <w:color w:val="0000EE"/>
        </w:rPr>
      </w:pPr>
      <w:hyperlink w:anchor="page11">
        <w:r>
          <w:rPr>
            <w:rFonts w:ascii="Arial" w:cs="Arial" w:eastAsia="Arial" w:hAnsi="Arial"/>
            <w:sz w:val="14"/>
            <w:szCs w:val="14"/>
            <w:u w:val="single" w:color="auto"/>
            <w:color w:val="0000EE"/>
          </w:rPr>
          <w:t>Business overview</w:t>
        </w:r>
      </w:hyperlink>
    </w:p>
    <w:p>
      <w:pPr>
        <w:spacing w:after="0" w:line="1" w:lineRule="exact"/>
        <w:rPr>
          <w:rFonts w:ascii="Arial" w:cs="Arial" w:eastAsia="Arial" w:hAnsi="Arial"/>
          <w:sz w:val="14"/>
          <w:szCs w:val="14"/>
          <w:u w:val="single" w:color="auto"/>
          <w:color w:val="0000EE"/>
        </w:rPr>
      </w:pPr>
    </w:p>
    <w:p>
      <w:pPr>
        <w:ind w:left="500" w:hanging="495"/>
        <w:spacing w:after="0"/>
        <w:tabs>
          <w:tab w:leader="none" w:pos="500" w:val="left"/>
        </w:tabs>
        <w:numPr>
          <w:ilvl w:val="0"/>
          <w:numId w:val="7"/>
        </w:numPr>
        <w:rPr>
          <w:rFonts w:ascii="Arial" w:cs="Arial" w:eastAsia="Arial" w:hAnsi="Arial"/>
          <w:sz w:val="14"/>
          <w:szCs w:val="14"/>
          <w:u w:val="single" w:color="auto"/>
          <w:color w:val="0000EE"/>
        </w:rPr>
      </w:pPr>
      <w:hyperlink w:anchor="page13">
        <w:r>
          <w:rPr>
            <w:rFonts w:ascii="Arial" w:cs="Arial" w:eastAsia="Arial" w:hAnsi="Arial"/>
            <w:sz w:val="14"/>
            <w:szCs w:val="14"/>
            <w:u w:val="single" w:color="auto"/>
            <w:color w:val="0000EE"/>
          </w:rPr>
          <w:t>Risk factors</w:t>
        </w:r>
      </w:hyperlink>
    </w:p>
    <w:p>
      <w:pPr>
        <w:spacing w:after="0" w:line="1" w:lineRule="exact"/>
        <w:rPr>
          <w:rFonts w:ascii="Arial" w:cs="Arial" w:eastAsia="Arial" w:hAnsi="Arial"/>
          <w:sz w:val="14"/>
          <w:szCs w:val="14"/>
          <w:u w:val="single" w:color="auto"/>
          <w:color w:val="0000EE"/>
        </w:rPr>
      </w:pPr>
    </w:p>
    <w:p>
      <w:pPr>
        <w:ind w:left="500" w:hanging="495"/>
        <w:spacing w:after="0"/>
        <w:tabs>
          <w:tab w:leader="none" w:pos="500" w:val="left"/>
        </w:tabs>
        <w:numPr>
          <w:ilvl w:val="0"/>
          <w:numId w:val="8"/>
        </w:numPr>
        <w:rPr>
          <w:rFonts w:ascii="Arial" w:cs="Arial" w:eastAsia="Arial" w:hAnsi="Arial"/>
          <w:sz w:val="14"/>
          <w:szCs w:val="14"/>
          <w:u w:val="single" w:color="auto"/>
          <w:color w:val="0000EE"/>
        </w:rPr>
      </w:pPr>
      <w:hyperlink w:anchor="page17">
        <w:r>
          <w:rPr>
            <w:rFonts w:ascii="Arial" w:cs="Arial" w:eastAsia="Arial" w:hAnsi="Arial"/>
            <w:sz w:val="14"/>
            <w:szCs w:val="14"/>
            <w:u w:val="single" w:color="auto"/>
            <w:color w:val="0000EE"/>
          </w:rPr>
          <w:t>Strategy and outlook</w:t>
        </w:r>
      </w:hyperlink>
    </w:p>
    <w:p>
      <w:pPr>
        <w:spacing w:after="0" w:line="1" w:lineRule="exact"/>
        <w:rPr>
          <w:rFonts w:ascii="Arial" w:cs="Arial" w:eastAsia="Arial" w:hAnsi="Arial"/>
          <w:sz w:val="14"/>
          <w:szCs w:val="14"/>
          <w:u w:val="single" w:color="auto"/>
          <w:color w:val="0000EE"/>
        </w:rPr>
      </w:pPr>
    </w:p>
    <w:p>
      <w:pPr>
        <w:ind w:left="500" w:hanging="495"/>
        <w:spacing w:after="0"/>
        <w:tabs>
          <w:tab w:leader="none" w:pos="500" w:val="left"/>
        </w:tabs>
        <w:numPr>
          <w:ilvl w:val="0"/>
          <w:numId w:val="8"/>
        </w:numPr>
        <w:rPr>
          <w:rFonts w:ascii="Arial" w:cs="Arial" w:eastAsia="Arial" w:hAnsi="Arial"/>
          <w:sz w:val="14"/>
          <w:szCs w:val="14"/>
          <w:u w:val="single" w:color="auto"/>
          <w:color w:val="0000EE"/>
        </w:rPr>
      </w:pPr>
      <w:hyperlink w:anchor="page18">
        <w:r>
          <w:rPr>
            <w:rFonts w:ascii="Arial" w:cs="Arial" w:eastAsia="Arial" w:hAnsi="Arial"/>
            <w:sz w:val="14"/>
            <w:szCs w:val="14"/>
            <w:u w:val="single" w:color="auto"/>
            <w:color w:val="0000EE"/>
          </w:rPr>
          <w:t>Market overview</w:t>
        </w:r>
      </w:hyperlink>
    </w:p>
    <w:p>
      <w:pPr>
        <w:spacing w:after="0" w:line="1" w:lineRule="exact"/>
        <w:rPr>
          <w:rFonts w:ascii="Arial" w:cs="Arial" w:eastAsia="Arial" w:hAnsi="Arial"/>
          <w:sz w:val="14"/>
          <w:szCs w:val="14"/>
          <w:u w:val="single" w:color="auto"/>
          <w:color w:val="0000EE"/>
        </w:rPr>
      </w:pPr>
    </w:p>
    <w:p>
      <w:pPr>
        <w:ind w:left="500" w:hanging="495"/>
        <w:spacing w:after="0"/>
        <w:tabs>
          <w:tab w:leader="none" w:pos="500" w:val="left"/>
        </w:tabs>
        <w:numPr>
          <w:ilvl w:val="0"/>
          <w:numId w:val="9"/>
        </w:numPr>
        <w:rPr>
          <w:rFonts w:ascii="Arial" w:cs="Arial" w:eastAsia="Arial" w:hAnsi="Arial"/>
          <w:sz w:val="14"/>
          <w:szCs w:val="14"/>
          <w:u w:val="single" w:color="auto"/>
          <w:color w:val="0000EE"/>
        </w:rPr>
      </w:pPr>
      <w:hyperlink w:anchor="page20">
        <w:r>
          <w:rPr>
            <w:rFonts w:ascii="Arial" w:cs="Arial" w:eastAsia="Arial" w:hAnsi="Arial"/>
            <w:sz w:val="14"/>
            <w:szCs w:val="14"/>
            <w:u w:val="single" w:color="auto"/>
            <w:color w:val="0000EE"/>
          </w:rPr>
          <w:t>Summary of results</w:t>
        </w:r>
      </w:hyperlink>
    </w:p>
    <w:p>
      <w:pPr>
        <w:spacing w:after="0" w:line="1" w:lineRule="exact"/>
        <w:rPr>
          <w:rFonts w:ascii="Arial" w:cs="Arial" w:eastAsia="Arial" w:hAnsi="Arial"/>
          <w:sz w:val="14"/>
          <w:szCs w:val="14"/>
          <w:u w:val="single" w:color="auto"/>
          <w:color w:val="0000EE"/>
        </w:rPr>
      </w:pPr>
    </w:p>
    <w:p>
      <w:pPr>
        <w:ind w:left="500" w:hanging="495"/>
        <w:spacing w:after="0"/>
        <w:tabs>
          <w:tab w:leader="none" w:pos="500" w:val="left"/>
        </w:tabs>
        <w:numPr>
          <w:ilvl w:val="0"/>
          <w:numId w:val="10"/>
        </w:numPr>
        <w:rPr>
          <w:rFonts w:ascii="Arial" w:cs="Arial" w:eastAsia="Arial" w:hAnsi="Arial"/>
          <w:sz w:val="14"/>
          <w:szCs w:val="14"/>
          <w:u w:val="single" w:color="auto"/>
          <w:color w:val="0000EE"/>
        </w:rPr>
      </w:pPr>
      <w:hyperlink w:anchor="page22">
        <w:r>
          <w:rPr>
            <w:rFonts w:ascii="Arial" w:cs="Arial" w:eastAsia="Arial" w:hAnsi="Arial"/>
            <w:sz w:val="14"/>
            <w:szCs w:val="14"/>
            <w:u w:val="single" w:color="auto"/>
            <w:color w:val="0000EE"/>
          </w:rPr>
          <w:t>Performance indicators</w:t>
        </w:r>
      </w:hyperlink>
    </w:p>
    <w:p>
      <w:pPr>
        <w:spacing w:after="0" w:line="1" w:lineRule="exact"/>
        <w:rPr>
          <w:rFonts w:ascii="Arial" w:cs="Arial" w:eastAsia="Arial" w:hAnsi="Arial"/>
          <w:sz w:val="14"/>
          <w:szCs w:val="14"/>
          <w:u w:val="single" w:color="auto"/>
          <w:color w:val="0000EE"/>
        </w:rPr>
      </w:pPr>
    </w:p>
    <w:p>
      <w:pPr>
        <w:ind w:left="500" w:hanging="495"/>
        <w:spacing w:after="0"/>
        <w:tabs>
          <w:tab w:leader="none" w:pos="500" w:val="left"/>
        </w:tabs>
        <w:numPr>
          <w:ilvl w:val="0"/>
          <w:numId w:val="11"/>
        </w:numPr>
        <w:rPr>
          <w:rFonts w:ascii="Arial" w:cs="Arial" w:eastAsia="Arial" w:hAnsi="Arial"/>
          <w:sz w:val="14"/>
          <w:szCs w:val="14"/>
          <w:u w:val="single" w:color="auto"/>
          <w:color w:val="0000EE"/>
        </w:rPr>
      </w:pPr>
      <w:hyperlink w:anchor="page24">
        <w:r>
          <w:rPr>
            <w:rFonts w:ascii="Arial" w:cs="Arial" w:eastAsia="Arial" w:hAnsi="Arial"/>
            <w:sz w:val="14"/>
            <w:szCs w:val="14"/>
            <w:u w:val="single" w:color="auto"/>
            <w:color w:val="0000EE"/>
          </w:rPr>
          <w:t>Selected financial data</w:t>
        </w:r>
      </w:hyperlink>
    </w:p>
    <w:p>
      <w:pPr>
        <w:spacing w:after="0" w:line="1" w:lineRule="exact"/>
        <w:rPr>
          <w:rFonts w:ascii="Arial" w:cs="Arial" w:eastAsia="Arial" w:hAnsi="Arial"/>
          <w:sz w:val="14"/>
          <w:szCs w:val="14"/>
          <w:u w:val="single" w:color="auto"/>
          <w:color w:val="0000EE"/>
        </w:rPr>
      </w:pPr>
    </w:p>
    <w:p>
      <w:pPr>
        <w:ind w:left="500" w:hanging="495"/>
        <w:spacing w:after="0"/>
        <w:tabs>
          <w:tab w:leader="none" w:pos="500" w:val="left"/>
        </w:tabs>
        <w:numPr>
          <w:ilvl w:val="0"/>
          <w:numId w:val="11"/>
        </w:numPr>
        <w:rPr>
          <w:rFonts w:ascii="Arial" w:cs="Arial" w:eastAsia="Arial" w:hAnsi="Arial"/>
          <w:sz w:val="14"/>
          <w:szCs w:val="14"/>
          <w:u w:val="single" w:color="auto"/>
          <w:color w:val="0000EE"/>
        </w:rPr>
      </w:pPr>
      <w:hyperlink w:anchor="page25">
        <w:r>
          <w:rPr>
            <w:rFonts w:ascii="Arial" w:cs="Arial" w:eastAsia="Arial" w:hAnsi="Arial"/>
            <w:sz w:val="14"/>
            <w:szCs w:val="14"/>
            <w:u w:val="single" w:color="auto"/>
            <w:color w:val="0000EE"/>
          </w:rPr>
          <w:t>Upstream</w:t>
        </w:r>
      </w:hyperlink>
    </w:p>
    <w:p>
      <w:pPr>
        <w:spacing w:after="0" w:line="1" w:lineRule="exact"/>
        <w:rPr>
          <w:rFonts w:ascii="Arial" w:cs="Arial" w:eastAsia="Arial" w:hAnsi="Arial"/>
          <w:sz w:val="14"/>
          <w:szCs w:val="14"/>
          <w:u w:val="single" w:color="auto"/>
          <w:color w:val="0000EE"/>
        </w:rPr>
      </w:pPr>
    </w:p>
    <w:p>
      <w:pPr>
        <w:ind w:left="500" w:hanging="495"/>
        <w:spacing w:after="0"/>
        <w:tabs>
          <w:tab w:leader="none" w:pos="500" w:val="left"/>
        </w:tabs>
        <w:numPr>
          <w:ilvl w:val="0"/>
          <w:numId w:val="12"/>
        </w:numPr>
        <w:rPr>
          <w:rFonts w:ascii="Arial" w:cs="Arial" w:eastAsia="Arial" w:hAnsi="Arial"/>
          <w:sz w:val="14"/>
          <w:szCs w:val="14"/>
          <w:u w:val="single" w:color="auto"/>
          <w:color w:val="0000EE"/>
        </w:rPr>
      </w:pPr>
      <w:hyperlink w:anchor="page42">
        <w:r>
          <w:rPr>
            <w:rFonts w:ascii="Arial" w:cs="Arial" w:eastAsia="Arial" w:hAnsi="Arial"/>
            <w:sz w:val="14"/>
            <w:szCs w:val="14"/>
            <w:u w:val="single" w:color="auto"/>
            <w:color w:val="0000EE"/>
          </w:rPr>
          <w:t>Downstream</w:t>
        </w:r>
      </w:hyperlink>
    </w:p>
    <w:p>
      <w:pPr>
        <w:spacing w:after="0" w:line="1" w:lineRule="exact"/>
        <w:rPr>
          <w:rFonts w:ascii="Arial" w:cs="Arial" w:eastAsia="Arial" w:hAnsi="Arial"/>
          <w:sz w:val="14"/>
          <w:szCs w:val="14"/>
          <w:u w:val="single" w:color="auto"/>
          <w:color w:val="0000EE"/>
        </w:rPr>
      </w:pPr>
    </w:p>
    <w:p>
      <w:pPr>
        <w:ind w:left="500" w:hanging="495"/>
        <w:spacing w:after="0"/>
        <w:tabs>
          <w:tab w:leader="none" w:pos="500" w:val="left"/>
        </w:tabs>
        <w:numPr>
          <w:ilvl w:val="0"/>
          <w:numId w:val="13"/>
        </w:numPr>
        <w:rPr>
          <w:rFonts w:ascii="Arial" w:cs="Arial" w:eastAsia="Arial" w:hAnsi="Arial"/>
          <w:sz w:val="14"/>
          <w:szCs w:val="14"/>
          <w:u w:val="single" w:color="auto"/>
          <w:color w:val="0000EE"/>
        </w:rPr>
      </w:pPr>
      <w:hyperlink w:anchor="page49">
        <w:r>
          <w:rPr>
            <w:rFonts w:ascii="Arial" w:cs="Arial" w:eastAsia="Arial" w:hAnsi="Arial"/>
            <w:sz w:val="14"/>
            <w:szCs w:val="14"/>
            <w:u w:val="single" w:color="auto"/>
            <w:color w:val="0000EE"/>
          </w:rPr>
          <w:t>Corporate</w:t>
        </w:r>
      </w:hyperlink>
    </w:p>
    <w:p>
      <w:pPr>
        <w:spacing w:after="0" w:line="1" w:lineRule="exact"/>
        <w:rPr>
          <w:rFonts w:ascii="Arial" w:cs="Arial" w:eastAsia="Arial" w:hAnsi="Arial"/>
          <w:sz w:val="14"/>
          <w:szCs w:val="14"/>
          <w:u w:val="single" w:color="auto"/>
          <w:color w:val="0000EE"/>
        </w:rPr>
      </w:pPr>
    </w:p>
    <w:p>
      <w:pPr>
        <w:ind w:left="500" w:hanging="495"/>
        <w:spacing w:after="0"/>
        <w:tabs>
          <w:tab w:leader="none" w:pos="500" w:val="left"/>
        </w:tabs>
        <w:numPr>
          <w:ilvl w:val="0"/>
          <w:numId w:val="13"/>
        </w:numPr>
        <w:rPr>
          <w:rFonts w:ascii="Arial" w:cs="Arial" w:eastAsia="Arial" w:hAnsi="Arial"/>
          <w:sz w:val="14"/>
          <w:szCs w:val="14"/>
          <w:u w:val="single" w:color="auto"/>
          <w:color w:val="0000EE"/>
        </w:rPr>
      </w:pPr>
      <w:hyperlink w:anchor="page50">
        <w:r>
          <w:rPr>
            <w:rFonts w:ascii="Arial" w:cs="Arial" w:eastAsia="Arial" w:hAnsi="Arial"/>
            <w:sz w:val="14"/>
            <w:szCs w:val="14"/>
            <w:u w:val="single" w:color="auto"/>
            <w:color w:val="0000EE"/>
          </w:rPr>
          <w:t>Liquidity and capital resources</w:t>
        </w:r>
      </w:hyperlink>
    </w:p>
    <w:p>
      <w:pPr>
        <w:spacing w:after="0" w:line="1" w:lineRule="exact"/>
        <w:rPr>
          <w:rFonts w:ascii="Arial" w:cs="Arial" w:eastAsia="Arial" w:hAnsi="Arial"/>
          <w:sz w:val="14"/>
          <w:szCs w:val="14"/>
          <w:u w:val="single" w:color="auto"/>
          <w:color w:val="0000EE"/>
        </w:rPr>
      </w:pPr>
    </w:p>
    <w:p>
      <w:pPr>
        <w:ind w:left="500" w:hanging="495"/>
        <w:spacing w:after="0"/>
        <w:tabs>
          <w:tab w:leader="none" w:pos="500" w:val="left"/>
        </w:tabs>
        <w:numPr>
          <w:ilvl w:val="0"/>
          <w:numId w:val="14"/>
        </w:numPr>
        <w:rPr>
          <w:rFonts w:ascii="Arial" w:cs="Arial" w:eastAsia="Arial" w:hAnsi="Arial"/>
          <w:sz w:val="14"/>
          <w:szCs w:val="14"/>
          <w:u w:val="single" w:color="auto"/>
          <w:color w:val="0000EE"/>
        </w:rPr>
      </w:pPr>
      <w:hyperlink w:anchor="page54">
        <w:r>
          <w:rPr>
            <w:rFonts w:ascii="Arial" w:cs="Arial" w:eastAsia="Arial" w:hAnsi="Arial"/>
            <w:sz w:val="14"/>
            <w:szCs w:val="14"/>
            <w:u w:val="single" w:color="auto"/>
            <w:color w:val="0000EE"/>
          </w:rPr>
          <w:t>Environment and society</w:t>
        </w:r>
      </w:hyperlink>
    </w:p>
    <w:p>
      <w:pPr>
        <w:spacing w:after="0" w:line="1" w:lineRule="exact"/>
        <w:rPr>
          <w:rFonts w:ascii="Arial" w:cs="Arial" w:eastAsia="Arial" w:hAnsi="Arial"/>
          <w:sz w:val="14"/>
          <w:szCs w:val="14"/>
          <w:u w:val="single" w:color="auto"/>
          <w:color w:val="0000EE"/>
        </w:rPr>
      </w:pPr>
    </w:p>
    <w:p>
      <w:pPr>
        <w:ind w:left="500" w:hanging="495"/>
        <w:spacing w:after="0"/>
        <w:tabs>
          <w:tab w:leader="none" w:pos="500" w:val="left"/>
        </w:tabs>
        <w:numPr>
          <w:ilvl w:val="0"/>
          <w:numId w:val="15"/>
        </w:numPr>
        <w:rPr>
          <w:rFonts w:ascii="Arial" w:cs="Arial" w:eastAsia="Arial" w:hAnsi="Arial"/>
          <w:sz w:val="14"/>
          <w:szCs w:val="14"/>
          <w:u w:val="single" w:color="auto"/>
          <w:color w:val="0000EE"/>
        </w:rPr>
      </w:pPr>
      <w:hyperlink w:anchor="page58">
        <w:r>
          <w:rPr>
            <w:rFonts w:ascii="Arial" w:cs="Arial" w:eastAsia="Arial" w:hAnsi="Arial"/>
            <w:sz w:val="14"/>
            <w:szCs w:val="14"/>
            <w:u w:val="single" w:color="auto"/>
            <w:color w:val="0000EE"/>
          </w:rPr>
          <w:t>Our people</w:t>
        </w:r>
      </w:hyperlink>
    </w:p>
    <w:p>
      <w:pPr>
        <w:spacing w:after="0" w:line="128" w:lineRule="exact"/>
        <w:rPr>
          <w:rFonts w:ascii="Arial" w:cs="Arial" w:eastAsia="Arial" w:hAnsi="Arial"/>
          <w:sz w:val="14"/>
          <w:szCs w:val="14"/>
          <w:b w:val="1"/>
          <w:bCs w:val="1"/>
          <w:color w:val="333333"/>
        </w:rPr>
      </w:pPr>
    </w:p>
    <w:p>
      <w:pPr>
        <w:spacing w:after="0"/>
        <w:rPr>
          <w:sz w:val="20"/>
          <w:szCs w:val="20"/>
          <w:color w:val="auto"/>
        </w:rPr>
      </w:pPr>
      <w:r>
        <w:rPr>
          <w:rFonts w:ascii="Arial" w:cs="Arial" w:eastAsia="Arial" w:hAnsi="Arial"/>
          <w:sz w:val="25"/>
          <w:szCs w:val="25"/>
          <w:b w:val="1"/>
          <w:bCs w:val="1"/>
          <w:color w:val="C21128"/>
        </w:rPr>
        <w:t>58</w:t>
      </w:r>
    </w:p>
    <w:p>
      <w:pPr>
        <w:spacing w:after="0" w:line="42" w:lineRule="exact"/>
        <w:rPr>
          <w:rFonts w:ascii="Arial" w:cs="Arial" w:eastAsia="Arial" w:hAnsi="Arial"/>
          <w:sz w:val="14"/>
          <w:szCs w:val="14"/>
          <w:b w:val="1"/>
          <w:bCs w:val="1"/>
          <w:color w:val="333333"/>
        </w:rPr>
      </w:pPr>
    </w:p>
    <w:p>
      <w:pPr>
        <w:spacing w:after="0"/>
        <w:rPr>
          <w:sz w:val="20"/>
          <w:szCs w:val="20"/>
          <w:color w:val="auto"/>
        </w:rPr>
      </w:pPr>
      <w:r>
        <w:rPr>
          <w:rFonts w:ascii="Arial" w:cs="Arial" w:eastAsia="Arial" w:hAnsi="Arial"/>
          <w:sz w:val="25"/>
          <w:szCs w:val="25"/>
          <w:b w:val="1"/>
          <w:bCs w:val="1"/>
          <w:color w:val="C21128"/>
        </w:rPr>
        <w:t>GOVERNANCE</w:t>
      </w:r>
    </w:p>
    <w:p>
      <w:pPr>
        <w:spacing w:after="0" w:line="13" w:lineRule="exact"/>
        <w:rPr>
          <w:rFonts w:ascii="Arial" w:cs="Arial" w:eastAsia="Arial" w:hAnsi="Arial"/>
          <w:sz w:val="14"/>
          <w:szCs w:val="14"/>
          <w:b w:val="1"/>
          <w:bCs w:val="1"/>
          <w:color w:val="333333"/>
        </w:rPr>
      </w:pPr>
    </w:p>
    <w:p>
      <w:pPr>
        <w:ind w:left="500" w:hanging="495"/>
        <w:spacing w:after="0"/>
        <w:tabs>
          <w:tab w:leader="none" w:pos="500" w:val="left"/>
        </w:tabs>
        <w:numPr>
          <w:ilvl w:val="0"/>
          <w:numId w:val="16"/>
        </w:numPr>
        <w:rPr>
          <w:rFonts w:ascii="Arial" w:cs="Arial" w:eastAsia="Arial" w:hAnsi="Arial"/>
          <w:sz w:val="14"/>
          <w:szCs w:val="14"/>
          <w:u w:val="single" w:color="auto"/>
          <w:color w:val="0000EE"/>
        </w:rPr>
      </w:pPr>
      <w:hyperlink w:anchor="page60">
        <w:r>
          <w:rPr>
            <w:rFonts w:ascii="Arial" w:cs="Arial" w:eastAsia="Arial" w:hAnsi="Arial"/>
            <w:sz w:val="14"/>
            <w:szCs w:val="14"/>
            <w:u w:val="single" w:color="auto"/>
            <w:color w:val="0000EE"/>
          </w:rPr>
          <w:t>The Board of Royal Dutch Shell plc</w:t>
        </w:r>
      </w:hyperlink>
    </w:p>
    <w:p>
      <w:pPr>
        <w:spacing w:after="0" w:line="1" w:lineRule="exact"/>
        <w:rPr>
          <w:rFonts w:ascii="Arial" w:cs="Arial" w:eastAsia="Arial" w:hAnsi="Arial"/>
          <w:sz w:val="14"/>
          <w:szCs w:val="14"/>
          <w:u w:val="single" w:color="auto"/>
          <w:color w:val="0000EE"/>
        </w:rPr>
      </w:pPr>
    </w:p>
    <w:p>
      <w:pPr>
        <w:ind w:left="500" w:hanging="495"/>
        <w:spacing w:after="0"/>
        <w:tabs>
          <w:tab w:leader="none" w:pos="500" w:val="left"/>
        </w:tabs>
        <w:numPr>
          <w:ilvl w:val="0"/>
          <w:numId w:val="17"/>
        </w:numPr>
        <w:rPr>
          <w:rFonts w:ascii="Arial" w:cs="Arial" w:eastAsia="Arial" w:hAnsi="Arial"/>
          <w:sz w:val="14"/>
          <w:szCs w:val="14"/>
          <w:u w:val="single" w:color="auto"/>
          <w:color w:val="0000EE"/>
        </w:rPr>
      </w:pPr>
      <w:hyperlink w:anchor="page63">
        <w:r>
          <w:rPr>
            <w:rFonts w:ascii="Arial" w:cs="Arial" w:eastAsia="Arial" w:hAnsi="Arial"/>
            <w:sz w:val="14"/>
            <w:szCs w:val="14"/>
            <w:u w:val="single" w:color="auto"/>
            <w:color w:val="0000EE"/>
          </w:rPr>
          <w:t>Senior Management</w:t>
        </w:r>
      </w:hyperlink>
    </w:p>
    <w:p>
      <w:pPr>
        <w:spacing w:after="0" w:line="1" w:lineRule="exact"/>
        <w:rPr>
          <w:rFonts w:ascii="Arial" w:cs="Arial" w:eastAsia="Arial" w:hAnsi="Arial"/>
          <w:sz w:val="14"/>
          <w:szCs w:val="14"/>
          <w:u w:val="single" w:color="auto"/>
          <w:color w:val="0000EE"/>
        </w:rPr>
      </w:pPr>
    </w:p>
    <w:p>
      <w:pPr>
        <w:ind w:left="500" w:hanging="495"/>
        <w:spacing w:after="0"/>
        <w:tabs>
          <w:tab w:leader="none" w:pos="500" w:val="left"/>
        </w:tabs>
        <w:numPr>
          <w:ilvl w:val="0"/>
          <w:numId w:val="17"/>
        </w:numPr>
        <w:rPr>
          <w:rFonts w:ascii="Arial" w:cs="Arial" w:eastAsia="Arial" w:hAnsi="Arial"/>
          <w:sz w:val="14"/>
          <w:szCs w:val="14"/>
          <w:u w:val="single" w:color="auto"/>
          <w:color w:val="0000EE"/>
        </w:rPr>
      </w:pPr>
      <w:hyperlink w:anchor="page64">
        <w:r>
          <w:rPr>
            <w:rFonts w:ascii="Arial" w:cs="Arial" w:eastAsia="Arial" w:hAnsi="Arial"/>
            <w:sz w:val="14"/>
            <w:szCs w:val="14"/>
            <w:u w:val="single" w:color="auto"/>
            <w:color w:val="0000EE"/>
          </w:rPr>
          <w:t>Directors’ Report</w:t>
        </w:r>
      </w:hyperlink>
    </w:p>
    <w:p>
      <w:pPr>
        <w:spacing w:after="0" w:line="1" w:lineRule="exact"/>
        <w:rPr>
          <w:rFonts w:ascii="Arial" w:cs="Arial" w:eastAsia="Arial" w:hAnsi="Arial"/>
          <w:sz w:val="14"/>
          <w:szCs w:val="14"/>
          <w:u w:val="single" w:color="auto"/>
          <w:color w:val="0000EE"/>
        </w:rPr>
      </w:pPr>
    </w:p>
    <w:p>
      <w:pPr>
        <w:ind w:left="500" w:hanging="495"/>
        <w:spacing w:after="0"/>
        <w:tabs>
          <w:tab w:leader="none" w:pos="500" w:val="left"/>
        </w:tabs>
        <w:numPr>
          <w:ilvl w:val="0"/>
          <w:numId w:val="18"/>
        </w:numPr>
        <w:rPr>
          <w:rFonts w:ascii="Arial" w:cs="Arial" w:eastAsia="Arial" w:hAnsi="Arial"/>
          <w:sz w:val="14"/>
          <w:szCs w:val="14"/>
          <w:u w:val="single" w:color="auto"/>
          <w:color w:val="0000EE"/>
        </w:rPr>
      </w:pPr>
      <w:hyperlink w:anchor="page67">
        <w:r>
          <w:rPr>
            <w:rFonts w:ascii="Arial" w:cs="Arial" w:eastAsia="Arial" w:hAnsi="Arial"/>
            <w:sz w:val="14"/>
            <w:szCs w:val="14"/>
            <w:u w:val="single" w:color="auto"/>
            <w:color w:val="0000EE"/>
          </w:rPr>
          <w:t>Corporate governance</w:t>
        </w:r>
      </w:hyperlink>
    </w:p>
    <w:p>
      <w:pPr>
        <w:spacing w:after="0" w:line="1" w:lineRule="exact"/>
        <w:rPr>
          <w:rFonts w:ascii="Arial" w:cs="Arial" w:eastAsia="Arial" w:hAnsi="Arial"/>
          <w:sz w:val="14"/>
          <w:szCs w:val="14"/>
          <w:u w:val="single" w:color="auto"/>
          <w:color w:val="0000EE"/>
        </w:rPr>
      </w:pPr>
    </w:p>
    <w:p>
      <w:pPr>
        <w:ind w:left="500" w:hanging="495"/>
        <w:spacing w:after="0"/>
        <w:tabs>
          <w:tab w:leader="none" w:pos="500" w:val="left"/>
        </w:tabs>
        <w:numPr>
          <w:ilvl w:val="0"/>
          <w:numId w:val="19"/>
        </w:numPr>
        <w:rPr>
          <w:rFonts w:ascii="Arial" w:cs="Arial" w:eastAsia="Arial" w:hAnsi="Arial"/>
          <w:sz w:val="14"/>
          <w:szCs w:val="14"/>
          <w:u w:val="single" w:color="auto"/>
          <w:color w:val="0000EE"/>
        </w:rPr>
      </w:pPr>
      <w:hyperlink w:anchor="page78">
        <w:r>
          <w:rPr>
            <w:rFonts w:ascii="Arial" w:cs="Arial" w:eastAsia="Arial" w:hAnsi="Arial"/>
            <w:sz w:val="14"/>
            <w:szCs w:val="14"/>
            <w:u w:val="single" w:color="auto"/>
            <w:color w:val="0000EE"/>
          </w:rPr>
          <w:t>Audit Committee Report</w:t>
        </w:r>
      </w:hyperlink>
    </w:p>
    <w:p>
      <w:pPr>
        <w:spacing w:after="0" w:line="1" w:lineRule="exact"/>
        <w:rPr>
          <w:rFonts w:ascii="Arial" w:cs="Arial" w:eastAsia="Arial" w:hAnsi="Arial"/>
          <w:sz w:val="14"/>
          <w:szCs w:val="14"/>
          <w:u w:val="single" w:color="auto"/>
          <w:color w:val="0000EE"/>
        </w:rPr>
      </w:pPr>
    </w:p>
    <w:p>
      <w:pPr>
        <w:ind w:left="500" w:hanging="495"/>
        <w:spacing w:after="0"/>
        <w:tabs>
          <w:tab w:leader="none" w:pos="500" w:val="left"/>
        </w:tabs>
        <w:numPr>
          <w:ilvl w:val="0"/>
          <w:numId w:val="20"/>
        </w:numPr>
        <w:rPr>
          <w:rFonts w:ascii="Arial" w:cs="Arial" w:eastAsia="Arial" w:hAnsi="Arial"/>
          <w:sz w:val="14"/>
          <w:szCs w:val="14"/>
          <w:u w:val="single" w:color="auto"/>
          <w:color w:val="0000EE"/>
        </w:rPr>
      </w:pPr>
      <w:hyperlink w:anchor="page81">
        <w:r>
          <w:rPr>
            <w:rFonts w:ascii="Arial" w:cs="Arial" w:eastAsia="Arial" w:hAnsi="Arial"/>
            <w:sz w:val="14"/>
            <w:szCs w:val="14"/>
            <w:u w:val="single" w:color="auto"/>
            <w:color w:val="0000EE"/>
          </w:rPr>
          <w:t>Directors’ Remuneration Report</w:t>
        </w:r>
      </w:hyperlink>
    </w:p>
    <w:p>
      <w:pPr>
        <w:spacing w:after="0" w:line="200" w:lineRule="exact"/>
        <w:rPr>
          <w:rFonts w:ascii="Arial" w:cs="Arial" w:eastAsia="Arial" w:hAnsi="Arial"/>
          <w:sz w:val="14"/>
          <w:szCs w:val="14"/>
          <w:b w:val="1"/>
          <w:bCs w:val="1"/>
          <w:color w:val="333333"/>
        </w:rPr>
      </w:pPr>
    </w:p>
    <w:p>
      <w:pPr>
        <w:spacing w:after="0" w:line="200" w:lineRule="exact"/>
        <w:rPr>
          <w:rFonts w:ascii="Arial" w:cs="Arial" w:eastAsia="Arial" w:hAnsi="Arial"/>
          <w:sz w:val="14"/>
          <w:szCs w:val="14"/>
          <w:b w:val="1"/>
          <w:bCs w:val="1"/>
          <w:color w:val="333333"/>
        </w:rPr>
      </w:pPr>
    </w:p>
    <w:p>
      <w:pPr>
        <w:spacing w:after="0" w:line="268" w:lineRule="exact"/>
        <w:rPr>
          <w:rFonts w:ascii="Arial" w:cs="Arial" w:eastAsia="Arial" w:hAnsi="Arial"/>
          <w:sz w:val="14"/>
          <w:szCs w:val="14"/>
          <w:b w:val="1"/>
          <w:bCs w:val="1"/>
          <w:color w:val="333333"/>
        </w:rPr>
      </w:pPr>
    </w:p>
    <w:p>
      <w:pPr>
        <w:ind w:left="3440"/>
        <w:spacing w:after="0"/>
        <w:rPr>
          <w:sz w:val="20"/>
          <w:szCs w:val="20"/>
          <w:color w:val="auto"/>
        </w:rPr>
      </w:pPr>
      <w:r>
        <w:rPr>
          <w:rFonts w:ascii="Arial" w:cs="Arial" w:eastAsia="Arial" w:hAnsi="Arial"/>
          <w:sz w:val="25"/>
          <w:szCs w:val="25"/>
          <w:b w:val="1"/>
          <w:bCs w:val="1"/>
          <w:color w:val="C21128"/>
        </w:rPr>
        <w:t>99</w:t>
      </w:r>
    </w:p>
    <w:p>
      <w:pPr>
        <w:spacing w:after="0" w:line="42" w:lineRule="exact"/>
        <w:rPr>
          <w:rFonts w:ascii="Arial" w:cs="Arial" w:eastAsia="Arial" w:hAnsi="Arial"/>
          <w:sz w:val="14"/>
          <w:szCs w:val="14"/>
          <w:b w:val="1"/>
          <w:bCs w:val="1"/>
          <w:color w:val="333333"/>
        </w:rPr>
      </w:pPr>
    </w:p>
    <w:p>
      <w:pPr>
        <w:ind w:left="3440"/>
        <w:spacing w:after="0"/>
        <w:rPr>
          <w:sz w:val="20"/>
          <w:szCs w:val="20"/>
          <w:color w:val="auto"/>
        </w:rPr>
      </w:pPr>
      <w:r>
        <w:rPr>
          <w:rFonts w:ascii="Arial" w:cs="Arial" w:eastAsia="Arial" w:hAnsi="Arial"/>
          <w:sz w:val="25"/>
          <w:szCs w:val="25"/>
          <w:b w:val="1"/>
          <w:bCs w:val="1"/>
          <w:color w:val="C21128"/>
        </w:rPr>
        <w:t>FINANCIAL STATEMENTS</w:t>
      </w:r>
    </w:p>
    <w:p>
      <w:pPr>
        <w:spacing w:after="0" w:line="10" w:lineRule="exact"/>
        <w:rPr>
          <w:rFonts w:ascii="Arial" w:cs="Arial" w:eastAsia="Arial" w:hAnsi="Arial"/>
          <w:sz w:val="14"/>
          <w:szCs w:val="14"/>
          <w:b w:val="1"/>
          <w:bCs w:val="1"/>
          <w:color w:val="333333"/>
        </w:rPr>
      </w:pPr>
    </w:p>
    <w:p>
      <w:pPr>
        <w:ind w:left="3440"/>
        <w:spacing w:after="0"/>
        <w:rPr>
          <w:sz w:val="20"/>
          <w:szCs w:val="20"/>
          <w:color w:val="auto"/>
        </w:rPr>
      </w:pPr>
      <w:r>
        <w:rPr>
          <w:rFonts w:ascii="Arial" w:cs="Arial" w:eastAsia="Arial" w:hAnsi="Arial"/>
          <w:sz w:val="25"/>
          <w:szCs w:val="25"/>
          <w:b w:val="1"/>
          <w:bCs w:val="1"/>
          <w:color w:val="C21128"/>
        </w:rPr>
        <w:t>AND SUPPLEMENTS</w:t>
      </w:r>
    </w:p>
    <w:p>
      <w:pPr>
        <w:spacing w:after="0" w:line="13" w:lineRule="exact"/>
        <w:rPr>
          <w:rFonts w:ascii="Arial" w:cs="Arial" w:eastAsia="Arial" w:hAnsi="Arial"/>
          <w:sz w:val="14"/>
          <w:szCs w:val="14"/>
          <w:b w:val="1"/>
          <w:bCs w:val="1"/>
          <w:color w:val="333333"/>
        </w:rPr>
      </w:pPr>
    </w:p>
    <w:p>
      <w:pPr>
        <w:ind w:left="3440"/>
        <w:spacing w:after="0"/>
        <w:tabs>
          <w:tab w:leader="none" w:pos="4080" w:val="left"/>
        </w:tabs>
        <w:rPr>
          <w:rFonts w:ascii="Arial" w:cs="Arial" w:eastAsia="Arial" w:hAnsi="Arial"/>
          <w:sz w:val="14"/>
          <w:szCs w:val="14"/>
          <w:u w:val="single" w:color="auto"/>
          <w:color w:val="0000EE"/>
        </w:rPr>
      </w:pPr>
      <w:r>
        <w:rPr>
          <w:rFonts w:ascii="Arial" w:cs="Arial" w:eastAsia="Arial" w:hAnsi="Arial"/>
          <w:sz w:val="14"/>
          <w:szCs w:val="14"/>
          <w:b w:val="1"/>
          <w:bCs w:val="1"/>
          <w:color w:val="333333"/>
        </w:rPr>
        <w:t>99</w:t>
      </w:r>
      <w:r>
        <w:rPr>
          <w:sz w:val="20"/>
          <w:szCs w:val="20"/>
          <w:color w:val="auto"/>
        </w:rPr>
        <w:tab/>
      </w:r>
      <w:hyperlink w:anchor="page101">
        <w:r>
          <w:rPr>
            <w:rFonts w:ascii="Arial" w:cs="Arial" w:eastAsia="Arial" w:hAnsi="Arial"/>
            <w:sz w:val="14"/>
            <w:szCs w:val="14"/>
            <w:u w:val="single" w:color="auto"/>
            <w:color w:val="0000EE"/>
          </w:rPr>
          <w:t>Consolidated Financial Statements</w:t>
        </w:r>
      </w:hyperlink>
    </w:p>
    <w:p>
      <w:pPr>
        <w:spacing w:after="0" w:line="1" w:lineRule="exact"/>
        <w:rPr>
          <w:rFonts w:ascii="Arial" w:cs="Arial" w:eastAsia="Arial" w:hAnsi="Arial"/>
          <w:sz w:val="14"/>
          <w:szCs w:val="14"/>
          <w:b w:val="1"/>
          <w:bCs w:val="1"/>
          <w:color w:val="333333"/>
        </w:rPr>
      </w:pPr>
    </w:p>
    <w:p>
      <w:pPr>
        <w:ind w:left="3440"/>
        <w:spacing w:after="0"/>
        <w:tabs>
          <w:tab w:leader="none" w:pos="4080" w:val="left"/>
        </w:tabs>
        <w:rPr>
          <w:rFonts w:ascii="Arial" w:cs="Arial" w:eastAsia="Arial" w:hAnsi="Arial"/>
          <w:sz w:val="14"/>
          <w:szCs w:val="14"/>
          <w:u w:val="single" w:color="auto"/>
          <w:color w:val="0000EE"/>
        </w:rPr>
      </w:pPr>
      <w:r>
        <w:rPr>
          <w:rFonts w:ascii="Arial" w:cs="Arial" w:eastAsia="Arial" w:hAnsi="Arial"/>
          <w:sz w:val="14"/>
          <w:szCs w:val="14"/>
          <w:b w:val="1"/>
          <w:bCs w:val="1"/>
          <w:color w:val="333333"/>
        </w:rPr>
        <w:t>142</w:t>
      </w:r>
      <w:r>
        <w:rPr>
          <w:sz w:val="20"/>
          <w:szCs w:val="20"/>
          <w:color w:val="auto"/>
        </w:rPr>
        <w:tab/>
      </w:r>
      <w:hyperlink w:anchor="page144">
        <w:r>
          <w:rPr>
            <w:rFonts w:ascii="Arial" w:cs="Arial" w:eastAsia="Arial" w:hAnsi="Arial"/>
            <w:sz w:val="14"/>
            <w:szCs w:val="14"/>
            <w:u w:val="single" w:color="auto"/>
            <w:color w:val="0000EE"/>
          </w:rPr>
          <w:t>Supplementary information – oil and gas</w:t>
        </w:r>
      </w:hyperlink>
    </w:p>
    <w:p>
      <w:pPr>
        <w:spacing w:after="0" w:line="1" w:lineRule="exact"/>
        <w:rPr>
          <w:rFonts w:ascii="Arial" w:cs="Arial" w:eastAsia="Arial" w:hAnsi="Arial"/>
          <w:sz w:val="14"/>
          <w:szCs w:val="14"/>
          <w:b w:val="1"/>
          <w:bCs w:val="1"/>
          <w:color w:val="333333"/>
        </w:rPr>
      </w:pPr>
    </w:p>
    <w:p>
      <w:pPr>
        <w:ind w:left="4100"/>
        <w:spacing w:after="0"/>
        <w:rPr>
          <w:rFonts w:ascii="Arial" w:cs="Arial" w:eastAsia="Arial" w:hAnsi="Arial"/>
          <w:sz w:val="14"/>
          <w:szCs w:val="14"/>
          <w:u w:val="single" w:color="auto"/>
          <w:color w:val="0000EE"/>
        </w:rPr>
      </w:pPr>
      <w:hyperlink w:anchor="page144">
        <w:r>
          <w:rPr>
            <w:rFonts w:ascii="Arial" w:cs="Arial" w:eastAsia="Arial" w:hAnsi="Arial"/>
            <w:sz w:val="14"/>
            <w:szCs w:val="14"/>
            <w:u w:val="single" w:color="auto"/>
            <w:color w:val="0000EE"/>
          </w:rPr>
          <w:t>(unaudited)</w:t>
        </w:r>
      </w:hyperlink>
    </w:p>
    <w:p>
      <w:pPr>
        <w:spacing w:after="0" w:line="1" w:lineRule="exact"/>
        <w:rPr>
          <w:rFonts w:ascii="Arial" w:cs="Arial" w:eastAsia="Arial" w:hAnsi="Arial"/>
          <w:sz w:val="14"/>
          <w:szCs w:val="14"/>
          <w:b w:val="1"/>
          <w:bCs w:val="1"/>
          <w:color w:val="333333"/>
        </w:rPr>
      </w:pPr>
    </w:p>
    <w:p>
      <w:pPr>
        <w:ind w:left="3440"/>
        <w:spacing w:after="0"/>
        <w:tabs>
          <w:tab w:leader="none" w:pos="4080" w:val="left"/>
        </w:tabs>
        <w:rPr>
          <w:rFonts w:ascii="Arial" w:cs="Arial" w:eastAsia="Arial" w:hAnsi="Arial"/>
          <w:sz w:val="14"/>
          <w:szCs w:val="14"/>
          <w:u w:val="single" w:color="auto"/>
          <w:color w:val="0000EE"/>
        </w:rPr>
      </w:pPr>
      <w:r>
        <w:rPr>
          <w:rFonts w:ascii="Arial" w:cs="Arial" w:eastAsia="Arial" w:hAnsi="Arial"/>
          <w:sz w:val="14"/>
          <w:szCs w:val="14"/>
          <w:b w:val="1"/>
          <w:bCs w:val="1"/>
          <w:color w:val="333333"/>
        </w:rPr>
        <w:t>160</w:t>
      </w:r>
      <w:r>
        <w:rPr>
          <w:sz w:val="20"/>
          <w:szCs w:val="20"/>
          <w:color w:val="auto"/>
        </w:rPr>
        <w:tab/>
      </w:r>
      <w:hyperlink w:anchor="page162">
        <w:r>
          <w:rPr>
            <w:rFonts w:ascii="Arial" w:cs="Arial" w:eastAsia="Arial" w:hAnsi="Arial"/>
            <w:sz w:val="14"/>
            <w:szCs w:val="14"/>
            <w:u w:val="single" w:color="auto"/>
            <w:color w:val="0000EE"/>
          </w:rPr>
          <w:t>Parent Company Financial Statements</w:t>
        </w:r>
      </w:hyperlink>
    </w:p>
    <w:p>
      <w:pPr>
        <w:spacing w:after="0" w:line="1" w:lineRule="exact"/>
        <w:rPr>
          <w:rFonts w:ascii="Arial" w:cs="Arial" w:eastAsia="Arial" w:hAnsi="Arial"/>
          <w:sz w:val="14"/>
          <w:szCs w:val="14"/>
          <w:b w:val="1"/>
          <w:bCs w:val="1"/>
          <w:color w:val="333333"/>
        </w:rPr>
      </w:pPr>
    </w:p>
    <w:p>
      <w:pPr>
        <w:ind w:left="3440"/>
        <w:spacing w:after="0"/>
        <w:tabs>
          <w:tab w:leader="none" w:pos="4080" w:val="left"/>
        </w:tabs>
        <w:rPr>
          <w:rFonts w:ascii="Arial" w:cs="Arial" w:eastAsia="Arial" w:hAnsi="Arial"/>
          <w:sz w:val="14"/>
          <w:szCs w:val="14"/>
          <w:u w:val="single" w:color="auto"/>
          <w:color w:val="0000EE"/>
        </w:rPr>
      </w:pPr>
      <w:r>
        <w:rPr>
          <w:rFonts w:ascii="Arial" w:cs="Arial" w:eastAsia="Arial" w:hAnsi="Arial"/>
          <w:sz w:val="14"/>
          <w:szCs w:val="14"/>
          <w:b w:val="1"/>
          <w:bCs w:val="1"/>
          <w:color w:val="333333"/>
        </w:rPr>
        <w:t>171</w:t>
      </w:r>
      <w:r>
        <w:rPr>
          <w:sz w:val="20"/>
          <w:szCs w:val="20"/>
          <w:color w:val="auto"/>
        </w:rPr>
        <w:tab/>
      </w:r>
      <w:hyperlink w:anchor="page173">
        <w:r>
          <w:rPr>
            <w:rFonts w:ascii="Arial" w:cs="Arial" w:eastAsia="Arial" w:hAnsi="Arial"/>
            <w:sz w:val="14"/>
            <w:szCs w:val="14"/>
            <w:u w:val="single" w:color="auto"/>
            <w:color w:val="0000EE"/>
          </w:rPr>
          <w:t>Royal Dutch Shell Dividend Access Trust</w:t>
        </w:r>
      </w:hyperlink>
    </w:p>
    <w:p>
      <w:pPr>
        <w:spacing w:after="0" w:line="1" w:lineRule="exact"/>
        <w:rPr>
          <w:rFonts w:ascii="Arial" w:cs="Arial" w:eastAsia="Arial" w:hAnsi="Arial"/>
          <w:sz w:val="14"/>
          <w:szCs w:val="14"/>
          <w:b w:val="1"/>
          <w:bCs w:val="1"/>
          <w:color w:val="333333"/>
        </w:rPr>
      </w:pPr>
    </w:p>
    <w:p>
      <w:pPr>
        <w:ind w:left="4100"/>
        <w:spacing w:after="0"/>
        <w:rPr>
          <w:rFonts w:ascii="Arial" w:cs="Arial" w:eastAsia="Arial" w:hAnsi="Arial"/>
          <w:sz w:val="14"/>
          <w:szCs w:val="14"/>
          <w:u w:val="single" w:color="auto"/>
          <w:color w:val="0000EE"/>
        </w:rPr>
      </w:pPr>
      <w:hyperlink w:anchor="page173">
        <w:r>
          <w:rPr>
            <w:rFonts w:ascii="Arial" w:cs="Arial" w:eastAsia="Arial" w:hAnsi="Arial"/>
            <w:sz w:val="14"/>
            <w:szCs w:val="14"/>
            <w:u w:val="single" w:color="auto"/>
            <w:color w:val="0000EE"/>
          </w:rPr>
          <w:t>Financial Statements</w:t>
        </w:r>
      </w:hyperlink>
    </w:p>
    <w:p>
      <w:pPr>
        <w:spacing w:after="0" w:line="128" w:lineRule="exact"/>
        <w:rPr>
          <w:rFonts w:ascii="Arial" w:cs="Arial" w:eastAsia="Arial" w:hAnsi="Arial"/>
          <w:sz w:val="14"/>
          <w:szCs w:val="14"/>
          <w:b w:val="1"/>
          <w:bCs w:val="1"/>
          <w:color w:val="333333"/>
        </w:rPr>
      </w:pPr>
    </w:p>
    <w:p>
      <w:pPr>
        <w:ind w:left="3440"/>
        <w:spacing w:after="0"/>
        <w:rPr>
          <w:sz w:val="20"/>
          <w:szCs w:val="20"/>
          <w:color w:val="auto"/>
        </w:rPr>
      </w:pPr>
      <w:r>
        <w:rPr>
          <w:rFonts w:ascii="Arial" w:cs="Arial" w:eastAsia="Arial" w:hAnsi="Arial"/>
          <w:sz w:val="25"/>
          <w:szCs w:val="25"/>
          <w:b w:val="1"/>
          <w:bCs w:val="1"/>
          <w:color w:val="C21128"/>
        </w:rPr>
        <w:t>179</w:t>
      </w:r>
    </w:p>
    <w:p>
      <w:pPr>
        <w:spacing w:after="0" w:line="42" w:lineRule="exact"/>
        <w:rPr>
          <w:rFonts w:ascii="Arial" w:cs="Arial" w:eastAsia="Arial" w:hAnsi="Arial"/>
          <w:sz w:val="14"/>
          <w:szCs w:val="14"/>
          <w:b w:val="1"/>
          <w:bCs w:val="1"/>
          <w:color w:val="333333"/>
        </w:rPr>
      </w:pPr>
    </w:p>
    <w:p>
      <w:pPr>
        <w:ind w:left="3440"/>
        <w:spacing w:after="0"/>
        <w:rPr>
          <w:sz w:val="20"/>
          <w:szCs w:val="20"/>
          <w:color w:val="auto"/>
        </w:rPr>
      </w:pPr>
      <w:r>
        <w:rPr>
          <w:rFonts w:ascii="Arial" w:cs="Arial" w:eastAsia="Arial" w:hAnsi="Arial"/>
          <w:sz w:val="25"/>
          <w:szCs w:val="25"/>
          <w:b w:val="1"/>
          <w:bCs w:val="1"/>
          <w:color w:val="C21128"/>
        </w:rPr>
        <w:t>ADDITIONAL INFORMATION</w:t>
      </w:r>
    </w:p>
    <w:p>
      <w:pPr>
        <w:spacing w:after="0" w:line="13" w:lineRule="exact"/>
        <w:rPr>
          <w:rFonts w:ascii="Arial" w:cs="Arial" w:eastAsia="Arial" w:hAnsi="Arial"/>
          <w:sz w:val="14"/>
          <w:szCs w:val="14"/>
          <w:b w:val="1"/>
          <w:bCs w:val="1"/>
          <w:color w:val="333333"/>
        </w:rPr>
      </w:pPr>
    </w:p>
    <w:p>
      <w:pPr>
        <w:ind w:left="3440"/>
        <w:spacing w:after="0"/>
        <w:tabs>
          <w:tab w:leader="none" w:pos="4080" w:val="left"/>
        </w:tabs>
        <w:rPr>
          <w:rFonts w:ascii="Arial" w:cs="Arial" w:eastAsia="Arial" w:hAnsi="Arial"/>
          <w:sz w:val="14"/>
          <w:szCs w:val="14"/>
          <w:u w:val="single" w:color="auto"/>
          <w:color w:val="0000EE"/>
        </w:rPr>
      </w:pPr>
      <w:r>
        <w:rPr>
          <w:rFonts w:ascii="Arial" w:cs="Arial" w:eastAsia="Arial" w:hAnsi="Arial"/>
          <w:sz w:val="14"/>
          <w:szCs w:val="14"/>
          <w:b w:val="1"/>
          <w:bCs w:val="1"/>
          <w:color w:val="333333"/>
        </w:rPr>
        <w:t>179</w:t>
      </w:r>
      <w:r>
        <w:rPr>
          <w:sz w:val="20"/>
          <w:szCs w:val="20"/>
          <w:color w:val="auto"/>
        </w:rPr>
        <w:tab/>
      </w:r>
      <w:hyperlink w:anchor="page181">
        <w:r>
          <w:rPr>
            <w:rFonts w:ascii="Arial" w:cs="Arial" w:eastAsia="Arial" w:hAnsi="Arial"/>
            <w:sz w:val="14"/>
            <w:szCs w:val="14"/>
            <w:u w:val="single" w:color="auto"/>
            <w:color w:val="0000EE"/>
          </w:rPr>
          <w:t>Shareholder information</w:t>
        </w:r>
      </w:hyperlink>
    </w:p>
    <w:p>
      <w:pPr>
        <w:spacing w:after="0" w:line="1" w:lineRule="exact"/>
        <w:rPr>
          <w:rFonts w:ascii="Arial" w:cs="Arial" w:eastAsia="Arial" w:hAnsi="Arial"/>
          <w:sz w:val="14"/>
          <w:szCs w:val="14"/>
          <w:b w:val="1"/>
          <w:bCs w:val="1"/>
          <w:color w:val="333333"/>
        </w:rPr>
      </w:pPr>
    </w:p>
    <w:p>
      <w:pPr>
        <w:ind w:left="3440"/>
        <w:spacing w:after="0"/>
        <w:tabs>
          <w:tab w:leader="none" w:pos="4080" w:val="left"/>
        </w:tabs>
        <w:rPr>
          <w:rFonts w:ascii="Arial" w:cs="Arial" w:eastAsia="Arial" w:hAnsi="Arial"/>
          <w:sz w:val="14"/>
          <w:szCs w:val="14"/>
          <w:u w:val="single" w:color="auto"/>
          <w:color w:val="0000EE"/>
        </w:rPr>
      </w:pPr>
      <w:r>
        <w:rPr>
          <w:rFonts w:ascii="Arial" w:cs="Arial" w:eastAsia="Arial" w:hAnsi="Arial"/>
          <w:sz w:val="14"/>
          <w:szCs w:val="14"/>
          <w:b w:val="1"/>
          <w:bCs w:val="1"/>
          <w:color w:val="333333"/>
        </w:rPr>
        <w:t>185</w:t>
      </w:r>
      <w:r>
        <w:rPr>
          <w:sz w:val="20"/>
          <w:szCs w:val="20"/>
          <w:color w:val="auto"/>
        </w:rPr>
        <w:tab/>
      </w:r>
      <w:hyperlink w:anchor="page187">
        <w:r>
          <w:rPr>
            <w:rFonts w:ascii="Arial" w:cs="Arial" w:eastAsia="Arial" w:hAnsi="Arial"/>
            <w:sz w:val="14"/>
            <w:szCs w:val="14"/>
            <w:u w:val="single" w:color="auto"/>
            <w:color w:val="0000EE"/>
          </w:rPr>
          <w:t>Section 13(r) of the US Securities Exchange</w:t>
        </w:r>
      </w:hyperlink>
    </w:p>
    <w:p>
      <w:pPr>
        <w:spacing w:after="0" w:line="1" w:lineRule="exact"/>
        <w:rPr>
          <w:rFonts w:ascii="Arial" w:cs="Arial" w:eastAsia="Arial" w:hAnsi="Arial"/>
          <w:sz w:val="14"/>
          <w:szCs w:val="14"/>
          <w:b w:val="1"/>
          <w:bCs w:val="1"/>
          <w:color w:val="333333"/>
        </w:rPr>
      </w:pPr>
    </w:p>
    <w:p>
      <w:pPr>
        <w:ind w:left="4100"/>
        <w:spacing w:after="0"/>
        <w:rPr>
          <w:rFonts w:ascii="Arial" w:cs="Arial" w:eastAsia="Arial" w:hAnsi="Arial"/>
          <w:sz w:val="14"/>
          <w:szCs w:val="14"/>
          <w:u w:val="single" w:color="auto"/>
          <w:color w:val="0000EE"/>
        </w:rPr>
      </w:pPr>
      <w:hyperlink w:anchor="page187">
        <w:r>
          <w:rPr>
            <w:rFonts w:ascii="Arial" w:cs="Arial" w:eastAsia="Arial" w:hAnsi="Arial"/>
            <w:sz w:val="14"/>
            <w:szCs w:val="14"/>
            <w:u w:val="single" w:color="auto"/>
            <w:color w:val="0000EE"/>
          </w:rPr>
          <w:t>Act of 1934 disclosure</w:t>
        </w:r>
      </w:hyperlink>
    </w:p>
    <w:p>
      <w:pPr>
        <w:spacing w:after="0" w:line="1" w:lineRule="exact"/>
        <w:rPr>
          <w:rFonts w:ascii="Arial" w:cs="Arial" w:eastAsia="Arial" w:hAnsi="Arial"/>
          <w:sz w:val="14"/>
          <w:szCs w:val="14"/>
          <w:b w:val="1"/>
          <w:bCs w:val="1"/>
          <w:color w:val="333333"/>
        </w:rPr>
      </w:pPr>
    </w:p>
    <w:p>
      <w:pPr>
        <w:ind w:left="3440"/>
        <w:spacing w:after="0"/>
        <w:tabs>
          <w:tab w:leader="none" w:pos="4080" w:val="left"/>
        </w:tabs>
        <w:rPr>
          <w:rFonts w:ascii="Arial" w:cs="Arial" w:eastAsia="Arial" w:hAnsi="Arial"/>
          <w:sz w:val="14"/>
          <w:szCs w:val="14"/>
          <w:u w:val="single" w:color="auto"/>
          <w:color w:val="0000EE"/>
        </w:rPr>
      </w:pPr>
      <w:r>
        <w:rPr>
          <w:rFonts w:ascii="Arial" w:cs="Arial" w:eastAsia="Arial" w:hAnsi="Arial"/>
          <w:sz w:val="14"/>
          <w:szCs w:val="14"/>
          <w:b w:val="1"/>
          <w:bCs w:val="1"/>
          <w:color w:val="333333"/>
        </w:rPr>
        <w:t>186</w:t>
      </w:r>
      <w:r>
        <w:rPr>
          <w:sz w:val="20"/>
          <w:szCs w:val="20"/>
          <w:color w:val="auto"/>
        </w:rPr>
        <w:tab/>
      </w:r>
      <w:hyperlink w:anchor="page188">
        <w:r>
          <w:rPr>
            <w:rFonts w:ascii="Arial" w:cs="Arial" w:eastAsia="Arial" w:hAnsi="Arial"/>
            <w:sz w:val="14"/>
            <w:szCs w:val="14"/>
            <w:u w:val="single" w:color="auto"/>
            <w:color w:val="0000EE"/>
          </w:rPr>
          <w:t>Non-GAAP measures reconciliations</w:t>
        </w:r>
      </w:hyperlink>
    </w:p>
    <w:p>
      <w:pPr>
        <w:spacing w:after="0" w:line="1" w:lineRule="exact"/>
        <w:rPr>
          <w:rFonts w:ascii="Arial" w:cs="Arial" w:eastAsia="Arial" w:hAnsi="Arial"/>
          <w:sz w:val="14"/>
          <w:szCs w:val="14"/>
          <w:b w:val="1"/>
          <w:bCs w:val="1"/>
          <w:color w:val="333333"/>
        </w:rPr>
      </w:pPr>
    </w:p>
    <w:p>
      <w:pPr>
        <w:ind w:left="3440"/>
        <w:spacing w:after="0"/>
        <w:tabs>
          <w:tab w:leader="none" w:pos="4080" w:val="left"/>
        </w:tabs>
        <w:rPr>
          <w:rFonts w:ascii="Arial" w:cs="Arial" w:eastAsia="Arial" w:hAnsi="Arial"/>
          <w:sz w:val="14"/>
          <w:szCs w:val="14"/>
          <w:u w:val="single" w:color="auto"/>
          <w:color w:val="0000EE"/>
        </w:rPr>
      </w:pPr>
      <w:r>
        <w:rPr>
          <w:rFonts w:ascii="Arial" w:cs="Arial" w:eastAsia="Arial" w:hAnsi="Arial"/>
          <w:sz w:val="14"/>
          <w:szCs w:val="14"/>
          <w:b w:val="1"/>
          <w:bCs w:val="1"/>
          <w:color w:val="333333"/>
        </w:rPr>
        <w:t>187</w:t>
      </w:r>
      <w:r>
        <w:rPr>
          <w:sz w:val="20"/>
          <w:szCs w:val="20"/>
          <w:color w:val="auto"/>
        </w:rPr>
        <w:tab/>
      </w:r>
      <w:hyperlink w:anchor="page189">
        <w:r>
          <w:rPr>
            <w:rFonts w:ascii="Arial" w:cs="Arial" w:eastAsia="Arial" w:hAnsi="Arial"/>
            <w:sz w:val="14"/>
            <w:szCs w:val="14"/>
            <w:u w:val="single" w:color="auto"/>
            <w:color w:val="0000EE"/>
          </w:rPr>
          <w:t>Exhibits</w:t>
        </w:r>
      </w:hyperlink>
    </w:p>
    <w:p>
      <w:pPr>
        <w:spacing w:after="0" w:line="200" w:lineRule="exact"/>
        <w:rPr>
          <w:rFonts w:ascii="Arial" w:cs="Arial" w:eastAsia="Arial" w:hAnsi="Arial"/>
          <w:sz w:val="14"/>
          <w:szCs w:val="14"/>
          <w:b w:val="1"/>
          <w:bCs w:val="1"/>
          <w:color w:val="333333"/>
        </w:rPr>
      </w:pPr>
    </w:p>
    <w:p>
      <w:pPr>
        <w:spacing w:after="0" w:line="200" w:lineRule="exact"/>
        <w:rPr>
          <w:rFonts w:ascii="Arial" w:cs="Arial" w:eastAsia="Arial" w:hAnsi="Arial"/>
          <w:sz w:val="14"/>
          <w:szCs w:val="14"/>
          <w:b w:val="1"/>
          <w:bCs w:val="1"/>
          <w:color w:val="333333"/>
        </w:rPr>
      </w:pPr>
    </w:p>
    <w:p>
      <w:pPr>
        <w:spacing w:after="0" w:line="283" w:lineRule="exact"/>
        <w:rPr>
          <w:rFonts w:ascii="Arial" w:cs="Arial" w:eastAsia="Arial" w:hAnsi="Arial"/>
          <w:sz w:val="14"/>
          <w:szCs w:val="14"/>
          <w:b w:val="1"/>
          <w:bCs w:val="1"/>
          <w:color w:val="333333"/>
        </w:rPr>
      </w:pPr>
    </w:p>
    <w:p>
      <w:pPr>
        <w:ind w:left="220"/>
        <w:spacing w:after="0"/>
        <w:rPr>
          <w:sz w:val="20"/>
          <w:szCs w:val="20"/>
          <w:color w:val="auto"/>
        </w:rPr>
      </w:pPr>
      <w:r>
        <w:rPr>
          <w:sz w:val="1"/>
          <w:szCs w:val="1"/>
          <w:color w:val="auto"/>
        </w:rPr>
        <w:drawing>
          <wp:inline distT="0" distB="0" distL="0" distR="0">
            <wp:extent cx="137160" cy="10287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37160" cy="102870"/>
                    </a:xfrm>
                    <a:prstGeom prst="rect">
                      <a:avLst/>
                    </a:prstGeom>
                    <a:noFill/>
                    <a:ln>
                      <a:noFill/>
                    </a:ln>
                  </pic:spPr>
                </pic:pic>
              </a:graphicData>
            </a:graphic>
          </wp:inline>
        </w:drawing>
      </w:r>
      <w:r>
        <w:rPr>
          <w:rFonts w:ascii="Arial" w:cs="Arial" w:eastAsia="Arial" w:hAnsi="Arial"/>
          <w:sz w:val="18"/>
          <w:szCs w:val="18"/>
          <w:color w:val="333333"/>
        </w:rPr>
        <w:t xml:space="preserve"> Cover photo</w:t>
      </w:r>
    </w:p>
    <w:p>
      <w:pPr>
        <w:ind w:left="220"/>
        <w:spacing w:after="0" w:line="234" w:lineRule="auto"/>
        <w:rPr>
          <w:sz w:val="20"/>
          <w:szCs w:val="20"/>
          <w:color w:val="auto"/>
        </w:rPr>
      </w:pPr>
      <w:r>
        <w:rPr>
          <w:rFonts w:ascii="Arial" w:cs="Arial" w:eastAsia="Arial" w:hAnsi="Arial"/>
          <w:sz w:val="12"/>
          <w:szCs w:val="12"/>
          <w:color w:val="333333"/>
        </w:rPr>
        <w:t>The photo shows a Shell employee at Shell Technology</w:t>
      </w:r>
    </w:p>
    <w:p>
      <w:pPr>
        <w:ind w:left="220"/>
        <w:spacing w:after="0" w:line="235" w:lineRule="auto"/>
        <w:rPr>
          <w:sz w:val="20"/>
          <w:szCs w:val="20"/>
          <w:color w:val="auto"/>
        </w:rPr>
      </w:pPr>
      <w:r>
        <w:rPr>
          <w:rFonts w:ascii="Arial" w:cs="Arial" w:eastAsia="Arial" w:hAnsi="Arial"/>
          <w:sz w:val="12"/>
          <w:szCs w:val="12"/>
          <w:color w:val="333333"/>
        </w:rPr>
        <w:t>Centre Amsterdam (STCA). STCA has played a key role in</w:t>
      </w:r>
    </w:p>
    <w:p>
      <w:pPr>
        <w:ind w:left="220"/>
        <w:spacing w:after="0" w:line="235" w:lineRule="auto"/>
        <w:rPr>
          <w:sz w:val="20"/>
          <w:szCs w:val="20"/>
          <w:color w:val="auto"/>
        </w:rPr>
      </w:pPr>
      <w:r>
        <w:rPr>
          <w:rFonts w:ascii="Arial" w:cs="Arial" w:eastAsia="Arial" w:hAnsi="Arial"/>
          <w:sz w:val="12"/>
          <w:szCs w:val="12"/>
          <w:color w:val="333333"/>
        </w:rPr>
        <w:t>Shell’s technological developments for more than 100</w:t>
      </w:r>
    </w:p>
    <w:p>
      <w:pPr>
        <w:ind w:left="220"/>
        <w:spacing w:after="0" w:line="235" w:lineRule="auto"/>
        <w:rPr>
          <w:sz w:val="20"/>
          <w:szCs w:val="20"/>
          <w:color w:val="auto"/>
        </w:rPr>
      </w:pPr>
      <w:r>
        <w:rPr>
          <w:rFonts w:ascii="Arial" w:cs="Arial" w:eastAsia="Arial" w:hAnsi="Arial"/>
          <w:sz w:val="12"/>
          <w:szCs w:val="12"/>
          <w:color w:val="333333"/>
        </w:rPr>
        <w:t>years. It comprises 80,000 square metres of laboratories,</w:t>
      </w:r>
    </w:p>
    <w:p>
      <w:pPr>
        <w:ind w:left="220"/>
        <w:spacing w:after="0" w:line="235" w:lineRule="auto"/>
        <w:rPr>
          <w:sz w:val="20"/>
          <w:szCs w:val="20"/>
          <w:color w:val="auto"/>
        </w:rPr>
      </w:pPr>
      <w:r>
        <w:rPr>
          <w:rFonts w:ascii="Arial" w:cs="Arial" w:eastAsia="Arial" w:hAnsi="Arial"/>
          <w:sz w:val="12"/>
          <w:szCs w:val="12"/>
          <w:color w:val="333333"/>
        </w:rPr>
        <w:t>test facilities, workshops and offices. STCA’s work is vital</w:t>
      </w:r>
    </w:p>
    <w:p>
      <w:pPr>
        <w:ind w:left="220"/>
        <w:spacing w:after="0" w:line="235" w:lineRule="auto"/>
        <w:rPr>
          <w:sz w:val="20"/>
          <w:szCs w:val="20"/>
          <w:color w:val="auto"/>
        </w:rPr>
      </w:pPr>
      <w:r>
        <w:rPr>
          <w:rFonts w:ascii="Arial" w:cs="Arial" w:eastAsia="Arial" w:hAnsi="Arial"/>
          <w:sz w:val="12"/>
          <w:szCs w:val="12"/>
          <w:color w:val="333333"/>
        </w:rPr>
        <w:t>for delivering affordable energy with less</w:t>
      </w:r>
    </w:p>
    <w:p>
      <w:pPr>
        <w:ind w:left="220"/>
        <w:spacing w:after="0"/>
        <w:rPr>
          <w:sz w:val="20"/>
          <w:szCs w:val="20"/>
          <w:color w:val="auto"/>
        </w:rPr>
      </w:pPr>
      <w:r>
        <w:rPr>
          <w:rFonts w:ascii="Arial" w:cs="Arial" w:eastAsia="Arial" w:hAnsi="Arial"/>
          <w:sz w:val="12"/>
          <w:szCs w:val="12"/>
          <w:color w:val="333333"/>
        </w:rPr>
        <w:t>environmental impact.</w:t>
      </w:r>
    </w:p>
    <w:p>
      <w:pPr>
        <w:spacing w:after="0" w:line="189" w:lineRule="exact"/>
        <w:rPr>
          <w:rFonts w:ascii="Arial" w:cs="Arial" w:eastAsia="Arial" w:hAnsi="Arial"/>
          <w:sz w:val="14"/>
          <w:szCs w:val="14"/>
          <w:b w:val="1"/>
          <w:bCs w:val="1"/>
          <w:color w:val="333333"/>
        </w:rPr>
      </w:pPr>
    </w:p>
    <w:p>
      <w:pPr>
        <w:ind w:left="3220"/>
        <w:spacing w:after="0"/>
        <w:rPr>
          <w:sz w:val="20"/>
          <w:szCs w:val="20"/>
          <w:color w:val="auto"/>
        </w:rPr>
      </w:pPr>
      <w:r>
        <w:rPr>
          <w:rFonts w:ascii="Arial" w:cs="Arial" w:eastAsia="Arial" w:hAnsi="Arial"/>
          <w:sz w:val="14"/>
          <w:szCs w:val="14"/>
          <w:color w:val="333333"/>
        </w:rPr>
        <w:t>Designed by Conran Design Group</w:t>
      </w:r>
    </w:p>
    <w:p>
      <w:pPr>
        <w:spacing w:after="0" w:line="1" w:lineRule="exact"/>
        <w:rPr>
          <w:rFonts w:ascii="Arial" w:cs="Arial" w:eastAsia="Arial" w:hAnsi="Arial"/>
          <w:sz w:val="14"/>
          <w:szCs w:val="14"/>
          <w:b w:val="1"/>
          <w:bCs w:val="1"/>
          <w:color w:val="333333"/>
        </w:rPr>
      </w:pPr>
    </w:p>
    <w:p>
      <w:pPr>
        <w:ind w:left="3220"/>
        <w:spacing w:after="0"/>
        <w:rPr>
          <w:sz w:val="20"/>
          <w:szCs w:val="20"/>
          <w:color w:val="auto"/>
        </w:rPr>
      </w:pPr>
      <w:r>
        <w:rPr>
          <w:rFonts w:ascii="Arial" w:cs="Arial" w:eastAsia="Arial" w:hAnsi="Arial"/>
          <w:sz w:val="14"/>
          <w:szCs w:val="14"/>
          <w:color w:val="333333"/>
        </w:rPr>
        <w:t>Typeset by RR Donnelley</w:t>
      </w:r>
    </w:p>
    <w:p>
      <w:pPr>
        <w:spacing w:after="0" w:line="1" w:lineRule="exact"/>
        <w:rPr>
          <w:rFonts w:ascii="Arial" w:cs="Arial" w:eastAsia="Arial" w:hAnsi="Arial"/>
          <w:sz w:val="14"/>
          <w:szCs w:val="14"/>
          <w:b w:val="1"/>
          <w:bCs w:val="1"/>
          <w:color w:val="333333"/>
        </w:rPr>
      </w:pPr>
    </w:p>
    <w:p>
      <w:pPr>
        <w:ind w:left="3220"/>
        <w:spacing w:after="0"/>
        <w:rPr>
          <w:sz w:val="20"/>
          <w:szCs w:val="20"/>
          <w:color w:val="auto"/>
        </w:rPr>
      </w:pPr>
      <w:r>
        <w:rPr>
          <w:rFonts w:ascii="Arial" w:cs="Arial" w:eastAsia="Arial" w:hAnsi="Arial"/>
          <w:sz w:val="14"/>
          <w:szCs w:val="14"/>
          <w:color w:val="333333"/>
        </w:rPr>
        <w:t>Printed by Tuijtel under ISO 14001</w:t>
      </w:r>
    </w:p>
    <w:p>
      <w:pPr>
        <w:sectPr>
          <w:pgSz w:w="11900" w:h="16838" w:orient="portrait"/>
          <w:cols w:equalWidth="0" w:num="2">
            <w:col w:w="3380" w:space="720"/>
            <w:col w:w="6900"/>
          </w:cols>
          <w:pgMar w:left="240" w:top="459" w:right="65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399415</wp:posOffset>
            </wp:positionH>
            <wp:positionV relativeFrom="paragraph">
              <wp:posOffset>300355</wp:posOffset>
            </wp:positionV>
            <wp:extent cx="8890" cy="46291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8890" cy="462915"/>
                    </a:xfrm>
                    <a:prstGeom prst="rect">
                      <a:avLst/>
                    </a:prstGeom>
                    <a:noFill/>
                  </pic:spPr>
                </pic:pic>
              </a:graphicData>
            </a:graphic>
          </wp:anchor>
        </w:drawing>
      </w:r>
    </w:p>
    <w:p>
      <w:pPr>
        <w:spacing w:after="0" w:line="200" w:lineRule="exact"/>
        <w:rPr>
          <w:sz w:val="20"/>
          <w:szCs w:val="20"/>
          <w:color w:val="auto"/>
        </w:rPr>
      </w:pP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565"/>
        </w:trPr>
        <w:tc>
          <w:tcPr>
            <w:tcW w:w="620" w:type="dxa"/>
            <w:vAlign w:val="bottom"/>
            <w:shd w:val="clear" w:color="auto" w:fill="FF8B00"/>
          </w:tcPr>
          <w:p>
            <w:pPr>
              <w:ind w:left="260"/>
              <w:spacing w:after="0"/>
              <w:rPr>
                <w:sz w:val="20"/>
                <w:szCs w:val="20"/>
                <w:color w:val="auto"/>
              </w:rPr>
            </w:pPr>
            <w:r>
              <w:rPr>
                <w:rFonts w:ascii="Arial" w:cs="Arial" w:eastAsia="Arial" w:hAnsi="Arial"/>
                <w:sz w:val="11"/>
                <w:szCs w:val="11"/>
                <w:b w:val="1"/>
                <w:bCs w:val="1"/>
                <w:color w:val="333333"/>
              </w:rPr>
              <w:t>02</w:t>
            </w:r>
          </w:p>
        </w:tc>
        <w:tc>
          <w:tcPr>
            <w:tcW w:w="560" w:type="dxa"/>
            <w:vAlign w:val="bottom"/>
            <w:shd w:val="clear" w:color="auto" w:fill="FF8B00"/>
          </w:tcPr>
          <w:p>
            <w:pPr>
              <w:spacing w:after="0"/>
              <w:rPr>
                <w:sz w:val="24"/>
                <w:szCs w:val="24"/>
                <w:color w:val="auto"/>
              </w:rPr>
            </w:pPr>
          </w:p>
        </w:tc>
        <w:tc>
          <w:tcPr>
            <w:tcW w:w="4320" w:type="dxa"/>
            <w:vAlign w:val="bottom"/>
            <w:gridSpan w:val="2"/>
            <w:shd w:val="clear" w:color="auto" w:fill="FF8B00"/>
          </w:tcPr>
          <w:p>
            <w:pPr>
              <w:jc w:val="right"/>
              <w:ind w:right="780"/>
              <w:spacing w:after="0"/>
              <w:rPr>
                <w:sz w:val="20"/>
                <w:szCs w:val="20"/>
                <w:color w:val="auto"/>
              </w:rPr>
            </w:pPr>
            <w:r>
              <w:rPr>
                <w:rFonts w:ascii="Arial" w:cs="Arial" w:eastAsia="Arial" w:hAnsi="Arial"/>
                <w:sz w:val="13"/>
                <w:szCs w:val="13"/>
                <w:color w:val="333333"/>
              </w:rPr>
              <w:t>INTRODUCTION</w:t>
            </w:r>
          </w:p>
        </w:tc>
        <w:tc>
          <w:tcPr>
            <w:tcW w:w="5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5"/>
        </w:trPr>
        <w:tc>
          <w:tcPr>
            <w:tcW w:w="620" w:type="dxa"/>
            <w:vAlign w:val="bottom"/>
            <w:shd w:val="clear" w:color="auto" w:fill="FF8B00"/>
          </w:tcPr>
          <w:p>
            <w:pPr>
              <w:spacing w:after="0"/>
              <w:rPr>
                <w:sz w:val="14"/>
                <w:szCs w:val="14"/>
                <w:color w:val="auto"/>
              </w:rPr>
            </w:pPr>
          </w:p>
        </w:tc>
        <w:tc>
          <w:tcPr>
            <w:tcW w:w="560" w:type="dxa"/>
            <w:vAlign w:val="bottom"/>
            <w:shd w:val="clear" w:color="auto" w:fill="FF8B00"/>
          </w:tcPr>
          <w:p>
            <w:pPr>
              <w:spacing w:after="0"/>
              <w:rPr>
                <w:sz w:val="14"/>
                <w:szCs w:val="14"/>
                <w:color w:val="auto"/>
              </w:rPr>
            </w:pPr>
          </w:p>
        </w:tc>
        <w:tc>
          <w:tcPr>
            <w:tcW w:w="4120" w:type="dxa"/>
            <w:vAlign w:val="bottom"/>
            <w:shd w:val="clear" w:color="auto" w:fill="FF8B00"/>
          </w:tcPr>
          <w:p>
            <w:pPr>
              <w:spacing w:after="0"/>
              <w:rPr>
                <w:sz w:val="14"/>
                <w:szCs w:val="14"/>
                <w:color w:val="auto"/>
              </w:rPr>
            </w:pPr>
          </w:p>
        </w:tc>
        <w:tc>
          <w:tcPr>
            <w:tcW w:w="200" w:type="dxa"/>
            <w:vAlign w:val="bottom"/>
            <w:shd w:val="clear" w:color="auto" w:fill="FF8B00"/>
          </w:tcPr>
          <w:p>
            <w:pPr>
              <w:spacing w:after="0"/>
              <w:rPr>
                <w:sz w:val="14"/>
                <w:szCs w:val="14"/>
                <w:color w:val="auto"/>
              </w:rPr>
            </w:pPr>
          </w:p>
        </w:tc>
        <w:tc>
          <w:tcPr>
            <w:tcW w:w="5920" w:type="dxa"/>
            <w:vAlign w:val="bottom"/>
            <w:vMerge w:val="restart"/>
          </w:tcPr>
          <w:p>
            <w:pPr>
              <w:jc w:val="right"/>
              <w:spacing w:after="0"/>
              <w:rPr>
                <w:sz w:val="20"/>
                <w:szCs w:val="20"/>
                <w:color w:val="auto"/>
              </w:rPr>
            </w:pPr>
            <w:r>
              <w:rPr>
                <w:rFonts w:ascii="Arial" w:cs="Arial" w:eastAsia="Arial" w:hAnsi="Arial"/>
                <w:sz w:val="11"/>
                <w:szCs w:val="11"/>
                <w:color w:val="auto"/>
              </w:rPr>
              <w:t>SHELL ANNUAL REPORT AND FORM 20-F 2014</w:t>
            </w:r>
          </w:p>
        </w:tc>
        <w:tc>
          <w:tcPr>
            <w:tcW w:w="0" w:type="dxa"/>
            <w:vAlign w:val="bottom"/>
          </w:tcPr>
          <w:p>
            <w:pPr>
              <w:spacing w:after="0"/>
              <w:rPr>
                <w:sz w:val="1"/>
                <w:szCs w:val="1"/>
                <w:color w:val="auto"/>
              </w:rPr>
            </w:pPr>
          </w:p>
        </w:tc>
      </w:tr>
      <w:tr>
        <w:trPr>
          <w:trHeight w:val="128"/>
        </w:trPr>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320" w:type="dxa"/>
            <w:vAlign w:val="bottom"/>
            <w:gridSpan w:val="2"/>
          </w:tcPr>
          <w:p>
            <w:pPr>
              <w:jc w:val="right"/>
              <w:ind w:right="780"/>
              <w:spacing w:after="0"/>
              <w:rPr>
                <w:sz w:val="20"/>
                <w:szCs w:val="20"/>
                <w:color w:val="auto"/>
              </w:rPr>
            </w:pPr>
            <w:r>
              <w:rPr>
                <w:rFonts w:ascii="Arial" w:cs="Arial" w:eastAsia="Arial" w:hAnsi="Arial"/>
                <w:sz w:val="11"/>
                <w:szCs w:val="11"/>
                <w:color w:val="auto"/>
              </w:rPr>
              <w:t>CROSS REFERENCE TO FORM 20-F</w:t>
            </w:r>
          </w:p>
        </w:tc>
        <w:tc>
          <w:tcPr>
            <w:tcW w:w="59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358"/>
        </w:trPr>
        <w:tc>
          <w:tcPr>
            <w:tcW w:w="5500" w:type="dxa"/>
            <w:vAlign w:val="bottom"/>
            <w:gridSpan w:val="4"/>
          </w:tcPr>
          <w:p>
            <w:pPr>
              <w:spacing w:after="0"/>
              <w:rPr>
                <w:sz w:val="20"/>
                <w:szCs w:val="20"/>
                <w:color w:val="auto"/>
              </w:rPr>
            </w:pPr>
            <w:r>
              <w:rPr>
                <w:rFonts w:ascii="Arial" w:cs="Arial" w:eastAsia="Arial" w:hAnsi="Arial"/>
                <w:sz w:val="31"/>
                <w:szCs w:val="31"/>
                <w:color w:val="auto"/>
              </w:rPr>
              <w:t>CROSS REFERENCE TO FORM 20-F</w:t>
            </w:r>
          </w:p>
        </w:tc>
        <w:tc>
          <w:tcPr>
            <w:tcW w:w="5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2"/>
        </w:trPr>
        <w:tc>
          <w:tcPr>
            <w:tcW w:w="620" w:type="dxa"/>
            <w:vAlign w:val="bottom"/>
            <w:tcBorders>
              <w:top w:val="single" w:sz="8" w:color="auto"/>
              <w:bottom w:val="single" w:sz="8" w:color="auto"/>
            </w:tcBorders>
          </w:tcPr>
          <w:p>
            <w:pPr>
              <w:spacing w:after="0"/>
              <w:rPr>
                <w:sz w:val="20"/>
                <w:szCs w:val="20"/>
                <w:color w:val="auto"/>
              </w:rPr>
            </w:pPr>
            <w:r>
              <w:rPr>
                <w:rFonts w:ascii="Arial" w:cs="Arial" w:eastAsia="Arial" w:hAnsi="Arial"/>
                <w:sz w:val="14"/>
                <w:szCs w:val="14"/>
                <w:color w:val="auto"/>
              </w:rPr>
              <w:t>Part I</w:t>
            </w:r>
          </w:p>
        </w:tc>
        <w:tc>
          <w:tcPr>
            <w:tcW w:w="560" w:type="dxa"/>
            <w:vAlign w:val="bottom"/>
            <w:tcBorders>
              <w:top w:val="single" w:sz="8" w:color="auto"/>
              <w:bottom w:val="single" w:sz="8" w:color="auto"/>
            </w:tcBorders>
          </w:tcPr>
          <w:p>
            <w:pPr>
              <w:spacing w:after="0"/>
              <w:rPr>
                <w:sz w:val="24"/>
                <w:szCs w:val="24"/>
                <w:color w:val="auto"/>
              </w:rPr>
            </w:pPr>
          </w:p>
        </w:tc>
        <w:tc>
          <w:tcPr>
            <w:tcW w:w="4120" w:type="dxa"/>
            <w:vAlign w:val="bottom"/>
            <w:tcBorders>
              <w:top w:val="single" w:sz="8" w:color="auto"/>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5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Pages</w:t>
            </w:r>
          </w:p>
        </w:tc>
        <w:tc>
          <w:tcPr>
            <w:tcW w:w="0" w:type="dxa"/>
            <w:vAlign w:val="bottom"/>
          </w:tcPr>
          <w:p>
            <w:pPr>
              <w:spacing w:after="0"/>
              <w:rPr>
                <w:sz w:val="1"/>
                <w:szCs w:val="1"/>
                <w:color w:val="auto"/>
              </w:rPr>
            </w:pPr>
          </w:p>
        </w:tc>
      </w:tr>
      <w:tr>
        <w:trPr>
          <w:trHeight w:val="160"/>
        </w:trPr>
        <w:tc>
          <w:tcPr>
            <w:tcW w:w="620" w:type="dxa"/>
            <w:vAlign w:val="bottom"/>
          </w:tcPr>
          <w:p>
            <w:pPr>
              <w:spacing w:after="0"/>
              <w:rPr>
                <w:sz w:val="20"/>
                <w:szCs w:val="20"/>
                <w:color w:val="auto"/>
              </w:rPr>
            </w:pPr>
            <w:r>
              <w:rPr>
                <w:rFonts w:ascii="Arial" w:cs="Arial" w:eastAsia="Arial" w:hAnsi="Arial"/>
                <w:sz w:val="14"/>
                <w:szCs w:val="14"/>
                <w:color w:val="auto"/>
              </w:rPr>
              <w:t>Item 1.</w:t>
            </w:r>
          </w:p>
        </w:tc>
        <w:tc>
          <w:tcPr>
            <w:tcW w:w="4880" w:type="dxa"/>
            <w:vAlign w:val="bottom"/>
            <w:gridSpan w:val="3"/>
          </w:tcPr>
          <w:p>
            <w:pPr>
              <w:ind w:left="280"/>
              <w:spacing w:after="0"/>
              <w:rPr>
                <w:sz w:val="20"/>
                <w:szCs w:val="20"/>
                <w:color w:val="auto"/>
              </w:rPr>
            </w:pPr>
            <w:r>
              <w:rPr>
                <w:rFonts w:ascii="Arial" w:cs="Arial" w:eastAsia="Arial" w:hAnsi="Arial"/>
                <w:sz w:val="14"/>
                <w:szCs w:val="14"/>
                <w:color w:val="auto"/>
              </w:rPr>
              <w:t>Identity of Directors, Senior Management and Advisers</w:t>
            </w:r>
          </w:p>
        </w:tc>
        <w:tc>
          <w:tcPr>
            <w:tcW w:w="5920" w:type="dxa"/>
            <w:vAlign w:val="bottom"/>
          </w:tcPr>
          <w:p>
            <w:pPr>
              <w:jc w:val="right"/>
              <w:spacing w:after="0"/>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r>
        <w:trPr>
          <w:trHeight w:val="162"/>
        </w:trPr>
        <w:tc>
          <w:tcPr>
            <w:tcW w:w="620" w:type="dxa"/>
            <w:vAlign w:val="bottom"/>
          </w:tcPr>
          <w:p>
            <w:pPr>
              <w:spacing w:after="0"/>
              <w:rPr>
                <w:sz w:val="20"/>
                <w:szCs w:val="20"/>
                <w:color w:val="auto"/>
              </w:rPr>
            </w:pPr>
            <w:r>
              <w:rPr>
                <w:rFonts w:ascii="Arial" w:cs="Arial" w:eastAsia="Arial" w:hAnsi="Arial"/>
                <w:sz w:val="14"/>
                <w:szCs w:val="14"/>
                <w:color w:val="auto"/>
              </w:rPr>
              <w:t>Item 2.</w:t>
            </w:r>
          </w:p>
        </w:tc>
        <w:tc>
          <w:tcPr>
            <w:tcW w:w="4880" w:type="dxa"/>
            <w:vAlign w:val="bottom"/>
            <w:gridSpan w:val="3"/>
          </w:tcPr>
          <w:p>
            <w:pPr>
              <w:ind w:left="280"/>
              <w:spacing w:after="0"/>
              <w:rPr>
                <w:sz w:val="20"/>
                <w:szCs w:val="20"/>
                <w:color w:val="auto"/>
              </w:rPr>
            </w:pPr>
            <w:r>
              <w:rPr>
                <w:rFonts w:ascii="Arial" w:cs="Arial" w:eastAsia="Arial" w:hAnsi="Arial"/>
                <w:sz w:val="14"/>
                <w:szCs w:val="14"/>
                <w:color w:val="auto"/>
              </w:rPr>
              <w:t>Offer Statistics and Expected Timetable</w:t>
            </w:r>
          </w:p>
        </w:tc>
        <w:tc>
          <w:tcPr>
            <w:tcW w:w="5920" w:type="dxa"/>
            <w:vAlign w:val="bottom"/>
          </w:tcPr>
          <w:p>
            <w:pPr>
              <w:jc w:val="right"/>
              <w:spacing w:after="0"/>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r>
        <w:trPr>
          <w:trHeight w:val="162"/>
        </w:trPr>
        <w:tc>
          <w:tcPr>
            <w:tcW w:w="620" w:type="dxa"/>
            <w:vAlign w:val="bottom"/>
          </w:tcPr>
          <w:p>
            <w:pPr>
              <w:spacing w:after="0"/>
              <w:rPr>
                <w:sz w:val="20"/>
                <w:szCs w:val="20"/>
                <w:color w:val="auto"/>
              </w:rPr>
            </w:pPr>
            <w:r>
              <w:rPr>
                <w:rFonts w:ascii="Arial" w:cs="Arial" w:eastAsia="Arial" w:hAnsi="Arial"/>
                <w:sz w:val="14"/>
                <w:szCs w:val="14"/>
                <w:color w:val="auto"/>
              </w:rPr>
              <w:t>Item 3.</w:t>
            </w:r>
          </w:p>
        </w:tc>
        <w:tc>
          <w:tcPr>
            <w:tcW w:w="4880" w:type="dxa"/>
            <w:vAlign w:val="bottom"/>
            <w:gridSpan w:val="3"/>
          </w:tcPr>
          <w:p>
            <w:pPr>
              <w:ind w:left="280"/>
              <w:spacing w:after="0"/>
              <w:rPr>
                <w:sz w:val="20"/>
                <w:szCs w:val="20"/>
                <w:color w:val="auto"/>
              </w:rPr>
            </w:pPr>
            <w:r>
              <w:rPr>
                <w:rFonts w:ascii="Arial" w:cs="Arial" w:eastAsia="Arial" w:hAnsi="Arial"/>
                <w:sz w:val="14"/>
                <w:szCs w:val="14"/>
                <w:color w:val="auto"/>
              </w:rPr>
              <w:t>Key Information</w:t>
            </w:r>
          </w:p>
        </w:tc>
        <w:tc>
          <w:tcPr>
            <w:tcW w:w="5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20" w:type="dxa"/>
            <w:vAlign w:val="bottom"/>
          </w:tcPr>
          <w:p>
            <w:pPr>
              <w:spacing w:after="0"/>
              <w:rPr>
                <w:sz w:val="14"/>
                <w:szCs w:val="14"/>
                <w:color w:val="auto"/>
              </w:rPr>
            </w:pPr>
          </w:p>
        </w:tc>
        <w:tc>
          <w:tcPr>
            <w:tcW w:w="560" w:type="dxa"/>
            <w:vAlign w:val="bottom"/>
          </w:tcPr>
          <w:p>
            <w:pPr>
              <w:ind w:left="280"/>
              <w:spacing w:after="0"/>
              <w:rPr>
                <w:sz w:val="20"/>
                <w:szCs w:val="20"/>
                <w:color w:val="auto"/>
              </w:rPr>
            </w:pPr>
            <w:r>
              <w:rPr>
                <w:rFonts w:ascii="Arial" w:cs="Arial" w:eastAsia="Arial" w:hAnsi="Arial"/>
                <w:sz w:val="14"/>
                <w:szCs w:val="14"/>
                <w:color w:val="auto"/>
              </w:rPr>
              <w:t>A.</w:t>
            </w:r>
          </w:p>
        </w:tc>
        <w:tc>
          <w:tcPr>
            <w:tcW w:w="4320" w:type="dxa"/>
            <w:vAlign w:val="bottom"/>
            <w:gridSpan w:val="2"/>
          </w:tcPr>
          <w:p>
            <w:pPr>
              <w:ind w:left="120"/>
              <w:spacing w:after="0"/>
              <w:rPr>
                <w:sz w:val="20"/>
                <w:szCs w:val="20"/>
                <w:color w:val="auto"/>
              </w:rPr>
            </w:pPr>
            <w:r>
              <w:rPr>
                <w:rFonts w:ascii="Arial" w:cs="Arial" w:eastAsia="Arial" w:hAnsi="Arial"/>
                <w:sz w:val="14"/>
                <w:szCs w:val="14"/>
                <w:color w:val="auto"/>
              </w:rPr>
              <w:t>Selected financial data</w:t>
            </w:r>
          </w:p>
        </w:tc>
        <w:tc>
          <w:tcPr>
            <w:tcW w:w="5920" w:type="dxa"/>
            <w:vAlign w:val="bottom"/>
          </w:tcPr>
          <w:p>
            <w:pPr>
              <w:jc w:val="right"/>
              <w:spacing w:after="0"/>
              <w:rPr>
                <w:sz w:val="20"/>
                <w:szCs w:val="20"/>
                <w:color w:val="auto"/>
              </w:rPr>
            </w:pPr>
            <w:r>
              <w:rPr>
                <w:rFonts w:ascii="Arial" w:cs="Arial" w:eastAsia="Arial" w:hAnsi="Arial"/>
                <w:sz w:val="14"/>
                <w:szCs w:val="14"/>
                <w:color w:val="auto"/>
              </w:rPr>
              <w:t>22, 181</w:t>
            </w:r>
          </w:p>
        </w:tc>
        <w:tc>
          <w:tcPr>
            <w:tcW w:w="0" w:type="dxa"/>
            <w:vAlign w:val="bottom"/>
          </w:tcPr>
          <w:p>
            <w:pPr>
              <w:spacing w:after="0"/>
              <w:rPr>
                <w:sz w:val="1"/>
                <w:szCs w:val="1"/>
                <w:color w:val="auto"/>
              </w:rPr>
            </w:pPr>
          </w:p>
        </w:tc>
      </w:tr>
      <w:tr>
        <w:trPr>
          <w:trHeight w:val="162"/>
        </w:trPr>
        <w:tc>
          <w:tcPr>
            <w:tcW w:w="620" w:type="dxa"/>
            <w:vAlign w:val="bottom"/>
          </w:tcPr>
          <w:p>
            <w:pPr>
              <w:spacing w:after="0"/>
              <w:rPr>
                <w:sz w:val="14"/>
                <w:szCs w:val="14"/>
                <w:color w:val="auto"/>
              </w:rPr>
            </w:pPr>
          </w:p>
        </w:tc>
        <w:tc>
          <w:tcPr>
            <w:tcW w:w="560" w:type="dxa"/>
            <w:vAlign w:val="bottom"/>
          </w:tcPr>
          <w:p>
            <w:pPr>
              <w:ind w:left="280"/>
              <w:spacing w:after="0"/>
              <w:rPr>
                <w:sz w:val="20"/>
                <w:szCs w:val="20"/>
                <w:color w:val="auto"/>
              </w:rPr>
            </w:pPr>
            <w:r>
              <w:rPr>
                <w:rFonts w:ascii="Arial" w:cs="Arial" w:eastAsia="Arial" w:hAnsi="Arial"/>
                <w:sz w:val="14"/>
                <w:szCs w:val="14"/>
                <w:color w:val="auto"/>
              </w:rPr>
              <w:t>B.</w:t>
            </w:r>
          </w:p>
        </w:tc>
        <w:tc>
          <w:tcPr>
            <w:tcW w:w="4320" w:type="dxa"/>
            <w:vAlign w:val="bottom"/>
            <w:gridSpan w:val="2"/>
          </w:tcPr>
          <w:p>
            <w:pPr>
              <w:ind w:left="120"/>
              <w:spacing w:after="0"/>
              <w:rPr>
                <w:sz w:val="20"/>
                <w:szCs w:val="20"/>
                <w:color w:val="auto"/>
              </w:rPr>
            </w:pPr>
            <w:r>
              <w:rPr>
                <w:rFonts w:ascii="Arial" w:cs="Arial" w:eastAsia="Arial" w:hAnsi="Arial"/>
                <w:sz w:val="14"/>
                <w:szCs w:val="14"/>
                <w:color w:val="auto"/>
              </w:rPr>
              <w:t>Capitalisation and indebtedness</w:t>
            </w:r>
          </w:p>
        </w:tc>
        <w:tc>
          <w:tcPr>
            <w:tcW w:w="5920" w:type="dxa"/>
            <w:vAlign w:val="bottom"/>
          </w:tcPr>
          <w:p>
            <w:pPr>
              <w:jc w:val="right"/>
              <w:spacing w:after="0"/>
              <w:rPr>
                <w:sz w:val="20"/>
                <w:szCs w:val="20"/>
                <w:color w:val="auto"/>
              </w:rPr>
            </w:pPr>
            <w:r>
              <w:rPr>
                <w:rFonts w:ascii="Arial" w:cs="Arial" w:eastAsia="Arial" w:hAnsi="Arial"/>
                <w:sz w:val="14"/>
                <w:szCs w:val="14"/>
                <w:color w:val="auto"/>
              </w:rPr>
              <w:t>50, 51</w:t>
            </w:r>
          </w:p>
        </w:tc>
        <w:tc>
          <w:tcPr>
            <w:tcW w:w="0" w:type="dxa"/>
            <w:vAlign w:val="bottom"/>
          </w:tcPr>
          <w:p>
            <w:pPr>
              <w:spacing w:after="0"/>
              <w:rPr>
                <w:sz w:val="1"/>
                <w:szCs w:val="1"/>
                <w:color w:val="auto"/>
              </w:rPr>
            </w:pPr>
          </w:p>
        </w:tc>
      </w:tr>
      <w:tr>
        <w:trPr>
          <w:trHeight w:val="162"/>
        </w:trPr>
        <w:tc>
          <w:tcPr>
            <w:tcW w:w="620" w:type="dxa"/>
            <w:vAlign w:val="bottom"/>
          </w:tcPr>
          <w:p>
            <w:pPr>
              <w:spacing w:after="0"/>
              <w:rPr>
                <w:sz w:val="14"/>
                <w:szCs w:val="14"/>
                <w:color w:val="auto"/>
              </w:rPr>
            </w:pPr>
          </w:p>
        </w:tc>
        <w:tc>
          <w:tcPr>
            <w:tcW w:w="560" w:type="dxa"/>
            <w:vAlign w:val="bottom"/>
          </w:tcPr>
          <w:p>
            <w:pPr>
              <w:ind w:left="280"/>
              <w:spacing w:after="0"/>
              <w:rPr>
                <w:sz w:val="20"/>
                <w:szCs w:val="20"/>
                <w:color w:val="auto"/>
              </w:rPr>
            </w:pPr>
            <w:r>
              <w:rPr>
                <w:rFonts w:ascii="Arial" w:cs="Arial" w:eastAsia="Arial" w:hAnsi="Arial"/>
                <w:sz w:val="14"/>
                <w:szCs w:val="14"/>
                <w:color w:val="auto"/>
              </w:rPr>
              <w:t>C.</w:t>
            </w:r>
          </w:p>
        </w:tc>
        <w:tc>
          <w:tcPr>
            <w:tcW w:w="4320" w:type="dxa"/>
            <w:vAlign w:val="bottom"/>
            <w:gridSpan w:val="2"/>
          </w:tcPr>
          <w:p>
            <w:pPr>
              <w:ind w:left="120"/>
              <w:spacing w:after="0"/>
              <w:rPr>
                <w:sz w:val="20"/>
                <w:szCs w:val="20"/>
                <w:color w:val="auto"/>
              </w:rPr>
            </w:pPr>
            <w:r>
              <w:rPr>
                <w:rFonts w:ascii="Arial" w:cs="Arial" w:eastAsia="Arial" w:hAnsi="Arial"/>
                <w:sz w:val="14"/>
                <w:szCs w:val="14"/>
                <w:color w:val="auto"/>
              </w:rPr>
              <w:t>Reasons for the offer and use of proceeds</w:t>
            </w:r>
          </w:p>
        </w:tc>
        <w:tc>
          <w:tcPr>
            <w:tcW w:w="5920" w:type="dxa"/>
            <w:vAlign w:val="bottom"/>
          </w:tcPr>
          <w:p>
            <w:pPr>
              <w:jc w:val="right"/>
              <w:spacing w:after="0"/>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r>
        <w:trPr>
          <w:trHeight w:val="162"/>
        </w:trPr>
        <w:tc>
          <w:tcPr>
            <w:tcW w:w="620" w:type="dxa"/>
            <w:vAlign w:val="bottom"/>
          </w:tcPr>
          <w:p>
            <w:pPr>
              <w:spacing w:after="0"/>
              <w:rPr>
                <w:sz w:val="14"/>
                <w:szCs w:val="14"/>
                <w:color w:val="auto"/>
              </w:rPr>
            </w:pPr>
          </w:p>
        </w:tc>
        <w:tc>
          <w:tcPr>
            <w:tcW w:w="560" w:type="dxa"/>
            <w:vAlign w:val="bottom"/>
          </w:tcPr>
          <w:p>
            <w:pPr>
              <w:ind w:left="280"/>
              <w:spacing w:after="0"/>
              <w:rPr>
                <w:sz w:val="20"/>
                <w:szCs w:val="20"/>
                <w:color w:val="auto"/>
              </w:rPr>
            </w:pPr>
            <w:r>
              <w:rPr>
                <w:rFonts w:ascii="Arial" w:cs="Arial" w:eastAsia="Arial" w:hAnsi="Arial"/>
                <w:sz w:val="14"/>
                <w:szCs w:val="14"/>
                <w:color w:val="auto"/>
              </w:rPr>
              <w:t>D.</w:t>
            </w:r>
          </w:p>
        </w:tc>
        <w:tc>
          <w:tcPr>
            <w:tcW w:w="4320" w:type="dxa"/>
            <w:vAlign w:val="bottom"/>
            <w:gridSpan w:val="2"/>
          </w:tcPr>
          <w:p>
            <w:pPr>
              <w:ind w:left="120"/>
              <w:spacing w:after="0"/>
              <w:rPr>
                <w:sz w:val="20"/>
                <w:szCs w:val="20"/>
                <w:color w:val="auto"/>
              </w:rPr>
            </w:pPr>
            <w:r>
              <w:rPr>
                <w:rFonts w:ascii="Arial" w:cs="Arial" w:eastAsia="Arial" w:hAnsi="Arial"/>
                <w:sz w:val="14"/>
                <w:szCs w:val="14"/>
                <w:color w:val="auto"/>
              </w:rPr>
              <w:t>Risk factors</w:t>
            </w:r>
          </w:p>
        </w:tc>
        <w:tc>
          <w:tcPr>
            <w:tcW w:w="5920" w:type="dxa"/>
            <w:vAlign w:val="bottom"/>
          </w:tcPr>
          <w:p>
            <w:pPr>
              <w:jc w:val="right"/>
              <w:spacing w:after="0"/>
              <w:rPr>
                <w:sz w:val="20"/>
                <w:szCs w:val="20"/>
                <w:color w:val="auto"/>
              </w:rPr>
            </w:pPr>
            <w:r>
              <w:rPr>
                <w:rFonts w:ascii="Arial" w:cs="Arial" w:eastAsia="Arial" w:hAnsi="Arial"/>
                <w:sz w:val="14"/>
                <w:szCs w:val="14"/>
                <w:color w:val="auto"/>
              </w:rPr>
              <w:t>11-14</w:t>
            </w:r>
          </w:p>
        </w:tc>
        <w:tc>
          <w:tcPr>
            <w:tcW w:w="0" w:type="dxa"/>
            <w:vAlign w:val="bottom"/>
          </w:tcPr>
          <w:p>
            <w:pPr>
              <w:spacing w:after="0"/>
              <w:rPr>
                <w:sz w:val="1"/>
                <w:szCs w:val="1"/>
                <w:color w:val="auto"/>
              </w:rPr>
            </w:pPr>
          </w:p>
        </w:tc>
      </w:tr>
      <w:tr>
        <w:trPr>
          <w:trHeight w:val="162"/>
        </w:trPr>
        <w:tc>
          <w:tcPr>
            <w:tcW w:w="620" w:type="dxa"/>
            <w:vAlign w:val="bottom"/>
          </w:tcPr>
          <w:p>
            <w:pPr>
              <w:spacing w:after="0"/>
              <w:rPr>
                <w:sz w:val="20"/>
                <w:szCs w:val="20"/>
                <w:color w:val="auto"/>
              </w:rPr>
            </w:pPr>
            <w:r>
              <w:rPr>
                <w:rFonts w:ascii="Arial" w:cs="Arial" w:eastAsia="Arial" w:hAnsi="Arial"/>
                <w:sz w:val="14"/>
                <w:szCs w:val="14"/>
                <w:color w:val="auto"/>
              </w:rPr>
              <w:t>Item 4.</w:t>
            </w:r>
          </w:p>
        </w:tc>
        <w:tc>
          <w:tcPr>
            <w:tcW w:w="4880" w:type="dxa"/>
            <w:vAlign w:val="bottom"/>
            <w:gridSpan w:val="3"/>
          </w:tcPr>
          <w:p>
            <w:pPr>
              <w:ind w:left="280"/>
              <w:spacing w:after="0"/>
              <w:rPr>
                <w:sz w:val="20"/>
                <w:szCs w:val="20"/>
                <w:color w:val="auto"/>
              </w:rPr>
            </w:pPr>
            <w:r>
              <w:rPr>
                <w:rFonts w:ascii="Arial" w:cs="Arial" w:eastAsia="Arial" w:hAnsi="Arial"/>
                <w:sz w:val="14"/>
                <w:szCs w:val="14"/>
                <w:color w:val="auto"/>
              </w:rPr>
              <w:t>Information on the Company</w:t>
            </w:r>
          </w:p>
        </w:tc>
        <w:tc>
          <w:tcPr>
            <w:tcW w:w="5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20" w:type="dxa"/>
            <w:vAlign w:val="bottom"/>
          </w:tcPr>
          <w:p>
            <w:pPr>
              <w:spacing w:after="0"/>
              <w:rPr>
                <w:sz w:val="14"/>
                <w:szCs w:val="14"/>
                <w:color w:val="auto"/>
              </w:rPr>
            </w:pPr>
          </w:p>
        </w:tc>
        <w:tc>
          <w:tcPr>
            <w:tcW w:w="560" w:type="dxa"/>
            <w:vAlign w:val="bottom"/>
          </w:tcPr>
          <w:p>
            <w:pPr>
              <w:ind w:left="280"/>
              <w:spacing w:after="0"/>
              <w:rPr>
                <w:sz w:val="20"/>
                <w:szCs w:val="20"/>
                <w:color w:val="auto"/>
              </w:rPr>
            </w:pPr>
            <w:r>
              <w:rPr>
                <w:rFonts w:ascii="Arial" w:cs="Arial" w:eastAsia="Arial" w:hAnsi="Arial"/>
                <w:sz w:val="14"/>
                <w:szCs w:val="14"/>
                <w:color w:val="auto"/>
              </w:rPr>
              <w:t>A.</w:t>
            </w:r>
          </w:p>
        </w:tc>
        <w:tc>
          <w:tcPr>
            <w:tcW w:w="4320" w:type="dxa"/>
            <w:vAlign w:val="bottom"/>
            <w:gridSpan w:val="2"/>
          </w:tcPr>
          <w:p>
            <w:pPr>
              <w:ind w:left="120"/>
              <w:spacing w:after="0"/>
              <w:rPr>
                <w:sz w:val="20"/>
                <w:szCs w:val="20"/>
                <w:color w:val="auto"/>
              </w:rPr>
            </w:pPr>
            <w:r>
              <w:rPr>
                <w:rFonts w:ascii="Arial" w:cs="Arial" w:eastAsia="Arial" w:hAnsi="Arial"/>
                <w:sz w:val="14"/>
                <w:szCs w:val="14"/>
                <w:color w:val="auto"/>
              </w:rPr>
              <w:t>History and development of the company</w:t>
            </w:r>
          </w:p>
        </w:tc>
        <w:tc>
          <w:tcPr>
            <w:tcW w:w="5920" w:type="dxa"/>
            <w:vAlign w:val="bottom"/>
          </w:tcPr>
          <w:p>
            <w:pPr>
              <w:jc w:val="right"/>
              <w:spacing w:after="0"/>
              <w:rPr>
                <w:sz w:val="20"/>
                <w:szCs w:val="20"/>
                <w:color w:val="auto"/>
              </w:rPr>
            </w:pPr>
            <w:r>
              <w:rPr>
                <w:rFonts w:ascii="Arial" w:cs="Arial" w:eastAsia="Arial" w:hAnsi="Arial"/>
                <w:sz w:val="14"/>
                <w:szCs w:val="14"/>
                <w:color w:val="auto"/>
              </w:rPr>
              <w:t>9, 15,18, 23-30, 32, 40-42, 179, 186</w:t>
            </w:r>
          </w:p>
        </w:tc>
        <w:tc>
          <w:tcPr>
            <w:tcW w:w="0" w:type="dxa"/>
            <w:vAlign w:val="bottom"/>
          </w:tcPr>
          <w:p>
            <w:pPr>
              <w:spacing w:after="0"/>
              <w:rPr>
                <w:sz w:val="1"/>
                <w:szCs w:val="1"/>
                <w:color w:val="auto"/>
              </w:rPr>
            </w:pPr>
          </w:p>
        </w:tc>
      </w:tr>
      <w:tr>
        <w:trPr>
          <w:trHeight w:val="162"/>
        </w:trPr>
        <w:tc>
          <w:tcPr>
            <w:tcW w:w="620" w:type="dxa"/>
            <w:vAlign w:val="bottom"/>
          </w:tcPr>
          <w:p>
            <w:pPr>
              <w:spacing w:after="0"/>
              <w:rPr>
                <w:sz w:val="14"/>
                <w:szCs w:val="14"/>
                <w:color w:val="auto"/>
              </w:rPr>
            </w:pPr>
          </w:p>
        </w:tc>
        <w:tc>
          <w:tcPr>
            <w:tcW w:w="560" w:type="dxa"/>
            <w:vAlign w:val="bottom"/>
          </w:tcPr>
          <w:p>
            <w:pPr>
              <w:ind w:left="280"/>
              <w:spacing w:after="0"/>
              <w:rPr>
                <w:sz w:val="20"/>
                <w:szCs w:val="20"/>
                <w:color w:val="auto"/>
              </w:rPr>
            </w:pPr>
            <w:r>
              <w:rPr>
                <w:rFonts w:ascii="Arial" w:cs="Arial" w:eastAsia="Arial" w:hAnsi="Arial"/>
                <w:sz w:val="14"/>
                <w:szCs w:val="14"/>
                <w:color w:val="auto"/>
              </w:rPr>
              <w:t>B.</w:t>
            </w:r>
          </w:p>
        </w:tc>
        <w:tc>
          <w:tcPr>
            <w:tcW w:w="4320" w:type="dxa"/>
            <w:vAlign w:val="bottom"/>
            <w:gridSpan w:val="2"/>
          </w:tcPr>
          <w:p>
            <w:pPr>
              <w:ind w:left="120"/>
              <w:spacing w:after="0"/>
              <w:rPr>
                <w:sz w:val="20"/>
                <w:szCs w:val="20"/>
                <w:color w:val="auto"/>
              </w:rPr>
            </w:pPr>
            <w:r>
              <w:rPr>
                <w:rFonts w:ascii="Arial" w:cs="Arial" w:eastAsia="Arial" w:hAnsi="Arial"/>
                <w:sz w:val="14"/>
                <w:szCs w:val="14"/>
                <w:color w:val="auto"/>
              </w:rPr>
              <w:t>Business overview</w:t>
            </w:r>
          </w:p>
        </w:tc>
        <w:tc>
          <w:tcPr>
            <w:tcW w:w="5920" w:type="dxa"/>
            <w:vAlign w:val="bottom"/>
          </w:tcPr>
          <w:p>
            <w:pPr>
              <w:jc w:val="right"/>
              <w:spacing w:after="0"/>
              <w:rPr>
                <w:sz w:val="20"/>
                <w:szCs w:val="20"/>
                <w:color w:val="auto"/>
              </w:rPr>
            </w:pPr>
            <w:r>
              <w:rPr>
                <w:rFonts w:ascii="Arial" w:cs="Arial" w:eastAsia="Arial" w:hAnsi="Arial"/>
                <w:sz w:val="14"/>
                <w:szCs w:val="14"/>
                <w:color w:val="auto"/>
              </w:rPr>
              <w:t>9-21, 23-47, 52-57, 142-150, 158-159, 185</w:t>
            </w:r>
          </w:p>
        </w:tc>
        <w:tc>
          <w:tcPr>
            <w:tcW w:w="0" w:type="dxa"/>
            <w:vAlign w:val="bottom"/>
          </w:tcPr>
          <w:p>
            <w:pPr>
              <w:spacing w:after="0"/>
              <w:rPr>
                <w:sz w:val="1"/>
                <w:szCs w:val="1"/>
                <w:color w:val="auto"/>
              </w:rPr>
            </w:pPr>
          </w:p>
        </w:tc>
      </w:tr>
      <w:tr>
        <w:trPr>
          <w:trHeight w:val="162"/>
        </w:trPr>
        <w:tc>
          <w:tcPr>
            <w:tcW w:w="620" w:type="dxa"/>
            <w:vAlign w:val="bottom"/>
          </w:tcPr>
          <w:p>
            <w:pPr>
              <w:spacing w:after="0"/>
              <w:rPr>
                <w:sz w:val="14"/>
                <w:szCs w:val="14"/>
                <w:color w:val="auto"/>
              </w:rPr>
            </w:pPr>
          </w:p>
        </w:tc>
        <w:tc>
          <w:tcPr>
            <w:tcW w:w="560" w:type="dxa"/>
            <w:vAlign w:val="bottom"/>
          </w:tcPr>
          <w:p>
            <w:pPr>
              <w:ind w:left="280"/>
              <w:spacing w:after="0"/>
              <w:rPr>
                <w:sz w:val="20"/>
                <w:szCs w:val="20"/>
                <w:color w:val="auto"/>
              </w:rPr>
            </w:pPr>
            <w:r>
              <w:rPr>
                <w:rFonts w:ascii="Arial" w:cs="Arial" w:eastAsia="Arial" w:hAnsi="Arial"/>
                <w:sz w:val="14"/>
                <w:szCs w:val="14"/>
                <w:color w:val="auto"/>
              </w:rPr>
              <w:t>C.</w:t>
            </w:r>
          </w:p>
        </w:tc>
        <w:tc>
          <w:tcPr>
            <w:tcW w:w="4320" w:type="dxa"/>
            <w:vAlign w:val="bottom"/>
            <w:gridSpan w:val="2"/>
          </w:tcPr>
          <w:p>
            <w:pPr>
              <w:ind w:left="120"/>
              <w:spacing w:after="0"/>
              <w:rPr>
                <w:sz w:val="20"/>
                <w:szCs w:val="20"/>
                <w:color w:val="auto"/>
              </w:rPr>
            </w:pPr>
            <w:r>
              <w:rPr>
                <w:rFonts w:ascii="Arial" w:cs="Arial" w:eastAsia="Arial" w:hAnsi="Arial"/>
                <w:sz w:val="14"/>
                <w:szCs w:val="14"/>
                <w:color w:val="auto"/>
              </w:rPr>
              <w:t>Organisational structure</w:t>
            </w:r>
          </w:p>
        </w:tc>
        <w:tc>
          <w:tcPr>
            <w:tcW w:w="5920" w:type="dxa"/>
            <w:vAlign w:val="bottom"/>
          </w:tcPr>
          <w:p>
            <w:pPr>
              <w:jc w:val="right"/>
              <w:spacing w:after="0"/>
              <w:rPr>
                <w:sz w:val="20"/>
                <w:szCs w:val="20"/>
                <w:color w:val="auto"/>
              </w:rPr>
            </w:pPr>
            <w:r>
              <w:rPr>
                <w:rFonts w:ascii="Arial" w:cs="Arial" w:eastAsia="Arial" w:hAnsi="Arial"/>
                <w:sz w:val="14"/>
                <w:szCs w:val="14"/>
                <w:color w:val="auto"/>
              </w:rPr>
              <w:t>9, E2-E3</w:t>
            </w:r>
          </w:p>
        </w:tc>
        <w:tc>
          <w:tcPr>
            <w:tcW w:w="0" w:type="dxa"/>
            <w:vAlign w:val="bottom"/>
          </w:tcPr>
          <w:p>
            <w:pPr>
              <w:spacing w:after="0"/>
              <w:rPr>
                <w:sz w:val="1"/>
                <w:szCs w:val="1"/>
                <w:color w:val="auto"/>
              </w:rPr>
            </w:pPr>
          </w:p>
        </w:tc>
      </w:tr>
      <w:tr>
        <w:trPr>
          <w:trHeight w:val="162"/>
        </w:trPr>
        <w:tc>
          <w:tcPr>
            <w:tcW w:w="620" w:type="dxa"/>
            <w:vAlign w:val="bottom"/>
          </w:tcPr>
          <w:p>
            <w:pPr>
              <w:spacing w:after="0"/>
              <w:rPr>
                <w:sz w:val="14"/>
                <w:szCs w:val="14"/>
                <w:color w:val="auto"/>
              </w:rPr>
            </w:pPr>
          </w:p>
        </w:tc>
        <w:tc>
          <w:tcPr>
            <w:tcW w:w="560" w:type="dxa"/>
            <w:vAlign w:val="bottom"/>
          </w:tcPr>
          <w:p>
            <w:pPr>
              <w:ind w:left="280"/>
              <w:spacing w:after="0"/>
              <w:rPr>
                <w:sz w:val="20"/>
                <w:szCs w:val="20"/>
                <w:color w:val="auto"/>
              </w:rPr>
            </w:pPr>
            <w:r>
              <w:rPr>
                <w:rFonts w:ascii="Arial" w:cs="Arial" w:eastAsia="Arial" w:hAnsi="Arial"/>
                <w:sz w:val="14"/>
                <w:szCs w:val="14"/>
                <w:color w:val="auto"/>
              </w:rPr>
              <w:t>D.</w:t>
            </w:r>
          </w:p>
        </w:tc>
        <w:tc>
          <w:tcPr>
            <w:tcW w:w="4320" w:type="dxa"/>
            <w:vAlign w:val="bottom"/>
            <w:gridSpan w:val="2"/>
          </w:tcPr>
          <w:p>
            <w:pPr>
              <w:ind w:left="120"/>
              <w:spacing w:after="0"/>
              <w:rPr>
                <w:sz w:val="20"/>
                <w:szCs w:val="20"/>
                <w:color w:val="auto"/>
              </w:rPr>
            </w:pPr>
            <w:r>
              <w:rPr>
                <w:rFonts w:ascii="Arial" w:cs="Arial" w:eastAsia="Arial" w:hAnsi="Arial"/>
                <w:sz w:val="14"/>
                <w:szCs w:val="14"/>
                <w:color w:val="auto"/>
              </w:rPr>
              <w:t>Property, plant and equipment</w:t>
            </w:r>
          </w:p>
        </w:tc>
        <w:tc>
          <w:tcPr>
            <w:tcW w:w="5920" w:type="dxa"/>
            <w:vAlign w:val="bottom"/>
          </w:tcPr>
          <w:p>
            <w:pPr>
              <w:jc w:val="right"/>
              <w:spacing w:after="0"/>
              <w:rPr>
                <w:sz w:val="20"/>
                <w:szCs w:val="20"/>
                <w:color w:val="auto"/>
              </w:rPr>
            </w:pPr>
            <w:r>
              <w:rPr>
                <w:rFonts w:ascii="Arial" w:cs="Arial" w:eastAsia="Arial" w:hAnsi="Arial"/>
                <w:sz w:val="14"/>
                <w:szCs w:val="14"/>
                <w:color w:val="auto"/>
              </w:rPr>
              <w:t>15, 18-19, 23-46, 52-56, 142-159</w:t>
            </w:r>
          </w:p>
        </w:tc>
        <w:tc>
          <w:tcPr>
            <w:tcW w:w="0" w:type="dxa"/>
            <w:vAlign w:val="bottom"/>
          </w:tcPr>
          <w:p>
            <w:pPr>
              <w:spacing w:after="0"/>
              <w:rPr>
                <w:sz w:val="1"/>
                <w:szCs w:val="1"/>
                <w:color w:val="auto"/>
              </w:rPr>
            </w:pPr>
          </w:p>
        </w:tc>
      </w:tr>
      <w:tr>
        <w:trPr>
          <w:trHeight w:val="162"/>
        </w:trPr>
        <w:tc>
          <w:tcPr>
            <w:tcW w:w="620" w:type="dxa"/>
            <w:vAlign w:val="bottom"/>
          </w:tcPr>
          <w:p>
            <w:pPr>
              <w:spacing w:after="0"/>
              <w:rPr>
                <w:sz w:val="20"/>
                <w:szCs w:val="20"/>
                <w:color w:val="auto"/>
              </w:rPr>
            </w:pPr>
            <w:r>
              <w:rPr>
                <w:rFonts w:ascii="Arial" w:cs="Arial" w:eastAsia="Arial" w:hAnsi="Arial"/>
                <w:sz w:val="14"/>
                <w:szCs w:val="14"/>
                <w:color w:val="auto"/>
              </w:rPr>
              <w:t>Item 4A.</w:t>
            </w:r>
          </w:p>
        </w:tc>
        <w:tc>
          <w:tcPr>
            <w:tcW w:w="4880" w:type="dxa"/>
            <w:vAlign w:val="bottom"/>
            <w:gridSpan w:val="3"/>
          </w:tcPr>
          <w:p>
            <w:pPr>
              <w:ind w:left="280"/>
              <w:spacing w:after="0"/>
              <w:rPr>
                <w:sz w:val="20"/>
                <w:szCs w:val="20"/>
                <w:color w:val="auto"/>
              </w:rPr>
            </w:pPr>
            <w:r>
              <w:rPr>
                <w:rFonts w:ascii="Arial" w:cs="Arial" w:eastAsia="Arial" w:hAnsi="Arial"/>
                <w:sz w:val="14"/>
                <w:szCs w:val="14"/>
                <w:color w:val="auto"/>
              </w:rPr>
              <w:t>Unresolved Staff Comments</w:t>
            </w:r>
          </w:p>
        </w:tc>
        <w:tc>
          <w:tcPr>
            <w:tcW w:w="5920" w:type="dxa"/>
            <w:vAlign w:val="bottom"/>
          </w:tcPr>
          <w:p>
            <w:pPr>
              <w:jc w:val="right"/>
              <w:spacing w:after="0"/>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r>
        <w:trPr>
          <w:trHeight w:val="162"/>
        </w:trPr>
        <w:tc>
          <w:tcPr>
            <w:tcW w:w="620" w:type="dxa"/>
            <w:vAlign w:val="bottom"/>
          </w:tcPr>
          <w:p>
            <w:pPr>
              <w:spacing w:after="0"/>
              <w:rPr>
                <w:sz w:val="20"/>
                <w:szCs w:val="20"/>
                <w:color w:val="auto"/>
              </w:rPr>
            </w:pPr>
            <w:r>
              <w:rPr>
                <w:rFonts w:ascii="Arial" w:cs="Arial" w:eastAsia="Arial" w:hAnsi="Arial"/>
                <w:sz w:val="14"/>
                <w:szCs w:val="14"/>
                <w:color w:val="auto"/>
              </w:rPr>
              <w:t>Item 5.</w:t>
            </w:r>
          </w:p>
        </w:tc>
        <w:tc>
          <w:tcPr>
            <w:tcW w:w="4880" w:type="dxa"/>
            <w:vAlign w:val="bottom"/>
            <w:gridSpan w:val="3"/>
          </w:tcPr>
          <w:p>
            <w:pPr>
              <w:ind w:left="280"/>
              <w:spacing w:after="0"/>
              <w:rPr>
                <w:sz w:val="20"/>
                <w:szCs w:val="20"/>
                <w:color w:val="auto"/>
              </w:rPr>
            </w:pPr>
            <w:r>
              <w:rPr>
                <w:rFonts w:ascii="Arial" w:cs="Arial" w:eastAsia="Arial" w:hAnsi="Arial"/>
                <w:sz w:val="14"/>
                <w:szCs w:val="14"/>
                <w:color w:val="auto"/>
              </w:rPr>
              <w:t>Operating and Financial Review and Prospects</w:t>
            </w:r>
          </w:p>
        </w:tc>
        <w:tc>
          <w:tcPr>
            <w:tcW w:w="5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20" w:type="dxa"/>
            <w:vAlign w:val="bottom"/>
          </w:tcPr>
          <w:p>
            <w:pPr>
              <w:spacing w:after="0"/>
              <w:rPr>
                <w:sz w:val="14"/>
                <w:szCs w:val="14"/>
                <w:color w:val="auto"/>
              </w:rPr>
            </w:pPr>
          </w:p>
        </w:tc>
        <w:tc>
          <w:tcPr>
            <w:tcW w:w="560" w:type="dxa"/>
            <w:vAlign w:val="bottom"/>
          </w:tcPr>
          <w:p>
            <w:pPr>
              <w:ind w:left="280"/>
              <w:spacing w:after="0"/>
              <w:rPr>
                <w:sz w:val="20"/>
                <w:szCs w:val="20"/>
                <w:color w:val="auto"/>
              </w:rPr>
            </w:pPr>
            <w:r>
              <w:rPr>
                <w:rFonts w:ascii="Arial" w:cs="Arial" w:eastAsia="Arial" w:hAnsi="Arial"/>
                <w:sz w:val="14"/>
                <w:szCs w:val="14"/>
                <w:color w:val="auto"/>
              </w:rPr>
              <w:t>A.</w:t>
            </w:r>
          </w:p>
        </w:tc>
        <w:tc>
          <w:tcPr>
            <w:tcW w:w="4320" w:type="dxa"/>
            <w:vAlign w:val="bottom"/>
            <w:gridSpan w:val="2"/>
          </w:tcPr>
          <w:p>
            <w:pPr>
              <w:ind w:left="120"/>
              <w:spacing w:after="0"/>
              <w:rPr>
                <w:sz w:val="20"/>
                <w:szCs w:val="20"/>
                <w:color w:val="auto"/>
              </w:rPr>
            </w:pPr>
            <w:r>
              <w:rPr>
                <w:rFonts w:ascii="Arial" w:cs="Arial" w:eastAsia="Arial" w:hAnsi="Arial"/>
                <w:sz w:val="14"/>
                <w:szCs w:val="14"/>
                <w:color w:val="auto"/>
              </w:rPr>
              <w:t>Operating results</w:t>
            </w:r>
          </w:p>
        </w:tc>
        <w:tc>
          <w:tcPr>
            <w:tcW w:w="5920" w:type="dxa"/>
            <w:vAlign w:val="bottom"/>
          </w:tcPr>
          <w:p>
            <w:pPr>
              <w:jc w:val="right"/>
              <w:spacing w:after="0"/>
              <w:rPr>
                <w:sz w:val="20"/>
                <w:szCs w:val="20"/>
                <w:color w:val="auto"/>
              </w:rPr>
            </w:pPr>
            <w:r>
              <w:rPr>
                <w:rFonts w:ascii="Arial" w:cs="Arial" w:eastAsia="Arial" w:hAnsi="Arial"/>
                <w:sz w:val="14"/>
                <w:szCs w:val="14"/>
                <w:color w:val="auto"/>
              </w:rPr>
              <w:t>10-14, 18-47, 131-136</w:t>
            </w:r>
          </w:p>
        </w:tc>
        <w:tc>
          <w:tcPr>
            <w:tcW w:w="0" w:type="dxa"/>
            <w:vAlign w:val="bottom"/>
          </w:tcPr>
          <w:p>
            <w:pPr>
              <w:spacing w:after="0"/>
              <w:rPr>
                <w:sz w:val="1"/>
                <w:szCs w:val="1"/>
                <w:color w:val="auto"/>
              </w:rPr>
            </w:pPr>
          </w:p>
        </w:tc>
      </w:tr>
      <w:tr>
        <w:trPr>
          <w:trHeight w:val="162"/>
        </w:trPr>
        <w:tc>
          <w:tcPr>
            <w:tcW w:w="620" w:type="dxa"/>
            <w:vAlign w:val="bottom"/>
          </w:tcPr>
          <w:p>
            <w:pPr>
              <w:spacing w:after="0"/>
              <w:rPr>
                <w:sz w:val="14"/>
                <w:szCs w:val="14"/>
                <w:color w:val="auto"/>
              </w:rPr>
            </w:pPr>
          </w:p>
        </w:tc>
        <w:tc>
          <w:tcPr>
            <w:tcW w:w="560" w:type="dxa"/>
            <w:vAlign w:val="bottom"/>
          </w:tcPr>
          <w:p>
            <w:pPr>
              <w:ind w:left="280"/>
              <w:spacing w:after="0"/>
              <w:rPr>
                <w:sz w:val="20"/>
                <w:szCs w:val="20"/>
                <w:color w:val="auto"/>
              </w:rPr>
            </w:pPr>
            <w:r>
              <w:rPr>
                <w:rFonts w:ascii="Arial" w:cs="Arial" w:eastAsia="Arial" w:hAnsi="Arial"/>
                <w:sz w:val="14"/>
                <w:szCs w:val="14"/>
                <w:color w:val="auto"/>
              </w:rPr>
              <w:t>B.</w:t>
            </w:r>
          </w:p>
        </w:tc>
        <w:tc>
          <w:tcPr>
            <w:tcW w:w="4320" w:type="dxa"/>
            <w:vAlign w:val="bottom"/>
            <w:gridSpan w:val="2"/>
          </w:tcPr>
          <w:p>
            <w:pPr>
              <w:ind w:left="120"/>
              <w:spacing w:after="0"/>
              <w:rPr>
                <w:sz w:val="20"/>
                <w:szCs w:val="20"/>
                <w:color w:val="auto"/>
              </w:rPr>
            </w:pPr>
            <w:r>
              <w:rPr>
                <w:rFonts w:ascii="Arial" w:cs="Arial" w:eastAsia="Arial" w:hAnsi="Arial"/>
                <w:sz w:val="14"/>
                <w:szCs w:val="14"/>
                <w:color w:val="auto"/>
              </w:rPr>
              <w:t>Liquidity and capital resources</w:t>
            </w:r>
          </w:p>
        </w:tc>
        <w:tc>
          <w:tcPr>
            <w:tcW w:w="5920" w:type="dxa"/>
            <w:vAlign w:val="bottom"/>
          </w:tcPr>
          <w:p>
            <w:pPr>
              <w:jc w:val="right"/>
              <w:spacing w:after="0"/>
              <w:rPr>
                <w:sz w:val="20"/>
                <w:szCs w:val="20"/>
                <w:color w:val="auto"/>
              </w:rPr>
            </w:pPr>
            <w:r>
              <w:rPr>
                <w:rFonts w:ascii="Arial" w:cs="Arial" w:eastAsia="Arial" w:hAnsi="Arial"/>
                <w:sz w:val="14"/>
                <w:szCs w:val="14"/>
                <w:color w:val="auto"/>
              </w:rPr>
              <w:t>15, 18-19, 23-24, 32, 40-42, 48-51, 70, 114-115,</w:t>
            </w:r>
          </w:p>
        </w:tc>
        <w:tc>
          <w:tcPr>
            <w:tcW w:w="0" w:type="dxa"/>
            <w:vAlign w:val="bottom"/>
          </w:tcPr>
          <w:p>
            <w:pPr>
              <w:spacing w:after="0"/>
              <w:rPr>
                <w:sz w:val="1"/>
                <w:szCs w:val="1"/>
                <w:color w:val="auto"/>
              </w:rPr>
            </w:pPr>
          </w:p>
        </w:tc>
      </w:tr>
      <w:tr>
        <w:trPr>
          <w:trHeight w:val="162"/>
        </w:trPr>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920" w:type="dxa"/>
            <w:vAlign w:val="bottom"/>
          </w:tcPr>
          <w:p>
            <w:pPr>
              <w:jc w:val="right"/>
              <w:spacing w:after="0"/>
              <w:rPr>
                <w:sz w:val="20"/>
                <w:szCs w:val="20"/>
                <w:color w:val="auto"/>
              </w:rPr>
            </w:pPr>
            <w:r>
              <w:rPr>
                <w:rFonts w:ascii="Arial" w:cs="Arial" w:eastAsia="Arial" w:hAnsi="Arial"/>
                <w:sz w:val="14"/>
                <w:szCs w:val="14"/>
                <w:color w:val="auto"/>
              </w:rPr>
              <w:t>123-126, 131-136, 166, 177-178</w:t>
            </w:r>
          </w:p>
        </w:tc>
        <w:tc>
          <w:tcPr>
            <w:tcW w:w="0" w:type="dxa"/>
            <w:vAlign w:val="bottom"/>
          </w:tcPr>
          <w:p>
            <w:pPr>
              <w:spacing w:after="0"/>
              <w:rPr>
                <w:sz w:val="1"/>
                <w:szCs w:val="1"/>
                <w:color w:val="auto"/>
              </w:rPr>
            </w:pPr>
          </w:p>
        </w:tc>
      </w:tr>
      <w:tr>
        <w:trPr>
          <w:trHeight w:val="176"/>
        </w:trPr>
        <w:tc>
          <w:tcPr>
            <w:tcW w:w="620" w:type="dxa"/>
            <w:vAlign w:val="bottom"/>
          </w:tcPr>
          <w:p>
            <w:pPr>
              <w:spacing w:after="0"/>
              <w:rPr>
                <w:sz w:val="15"/>
                <w:szCs w:val="15"/>
                <w:color w:val="auto"/>
              </w:rPr>
            </w:pPr>
          </w:p>
        </w:tc>
        <w:tc>
          <w:tcPr>
            <w:tcW w:w="560" w:type="dxa"/>
            <w:vAlign w:val="bottom"/>
          </w:tcPr>
          <w:p>
            <w:pPr>
              <w:ind w:left="280"/>
              <w:spacing w:after="0"/>
              <w:rPr>
                <w:sz w:val="20"/>
                <w:szCs w:val="20"/>
                <w:color w:val="auto"/>
              </w:rPr>
            </w:pPr>
            <w:r>
              <w:rPr>
                <w:rFonts w:ascii="Arial" w:cs="Arial" w:eastAsia="Arial" w:hAnsi="Arial"/>
                <w:sz w:val="14"/>
                <w:szCs w:val="14"/>
                <w:color w:val="auto"/>
              </w:rPr>
              <w:t>C.</w:t>
            </w:r>
          </w:p>
        </w:tc>
        <w:tc>
          <w:tcPr>
            <w:tcW w:w="4320" w:type="dxa"/>
            <w:vAlign w:val="bottom"/>
            <w:gridSpan w:val="2"/>
          </w:tcPr>
          <w:p>
            <w:pPr>
              <w:ind w:left="120"/>
              <w:spacing w:after="0"/>
              <w:rPr>
                <w:sz w:val="20"/>
                <w:szCs w:val="20"/>
                <w:color w:val="auto"/>
              </w:rPr>
            </w:pPr>
            <w:r>
              <w:rPr>
                <w:rFonts w:ascii="Arial" w:cs="Arial" w:eastAsia="Arial" w:hAnsi="Arial"/>
                <w:sz w:val="14"/>
                <w:szCs w:val="14"/>
                <w:color w:val="auto"/>
              </w:rPr>
              <w:t>Research and development, patents and licences, etc.</w:t>
            </w:r>
          </w:p>
        </w:tc>
        <w:tc>
          <w:tcPr>
            <w:tcW w:w="5920" w:type="dxa"/>
            <w:vAlign w:val="bottom"/>
          </w:tcPr>
          <w:p>
            <w:pPr>
              <w:jc w:val="right"/>
              <w:spacing w:after="0"/>
              <w:rPr>
                <w:sz w:val="20"/>
                <w:szCs w:val="20"/>
                <w:color w:val="auto"/>
              </w:rPr>
            </w:pPr>
            <w:r>
              <w:rPr>
                <w:rFonts w:ascii="Arial" w:cs="Arial" w:eastAsia="Arial" w:hAnsi="Arial"/>
                <w:sz w:val="14"/>
                <w:szCs w:val="14"/>
                <w:color w:val="auto"/>
              </w:rPr>
              <w:t>10, 64, 112</w:t>
            </w:r>
          </w:p>
        </w:tc>
        <w:tc>
          <w:tcPr>
            <w:tcW w:w="0" w:type="dxa"/>
            <w:vAlign w:val="bottom"/>
          </w:tcPr>
          <w:p>
            <w:pPr>
              <w:spacing w:after="0"/>
              <w:rPr>
                <w:sz w:val="1"/>
                <w:szCs w:val="1"/>
                <w:color w:val="auto"/>
              </w:rPr>
            </w:pPr>
          </w:p>
        </w:tc>
      </w:tr>
      <w:tr>
        <w:trPr>
          <w:trHeight w:val="176"/>
        </w:trPr>
        <w:tc>
          <w:tcPr>
            <w:tcW w:w="620" w:type="dxa"/>
            <w:vAlign w:val="bottom"/>
          </w:tcPr>
          <w:p>
            <w:pPr>
              <w:spacing w:after="0"/>
              <w:rPr>
                <w:sz w:val="15"/>
                <w:szCs w:val="15"/>
                <w:color w:val="auto"/>
              </w:rPr>
            </w:pPr>
          </w:p>
        </w:tc>
        <w:tc>
          <w:tcPr>
            <w:tcW w:w="560" w:type="dxa"/>
            <w:vAlign w:val="bottom"/>
          </w:tcPr>
          <w:p>
            <w:pPr>
              <w:ind w:left="280"/>
              <w:spacing w:after="0"/>
              <w:rPr>
                <w:sz w:val="20"/>
                <w:szCs w:val="20"/>
                <w:color w:val="auto"/>
              </w:rPr>
            </w:pPr>
            <w:r>
              <w:rPr>
                <w:rFonts w:ascii="Arial" w:cs="Arial" w:eastAsia="Arial" w:hAnsi="Arial"/>
                <w:sz w:val="14"/>
                <w:szCs w:val="14"/>
                <w:color w:val="auto"/>
              </w:rPr>
              <w:t>D.</w:t>
            </w:r>
          </w:p>
        </w:tc>
        <w:tc>
          <w:tcPr>
            <w:tcW w:w="4320" w:type="dxa"/>
            <w:vAlign w:val="bottom"/>
            <w:gridSpan w:val="2"/>
          </w:tcPr>
          <w:p>
            <w:pPr>
              <w:ind w:left="120"/>
              <w:spacing w:after="0"/>
              <w:rPr>
                <w:sz w:val="20"/>
                <w:szCs w:val="20"/>
                <w:color w:val="auto"/>
              </w:rPr>
            </w:pPr>
            <w:r>
              <w:rPr>
                <w:rFonts w:ascii="Arial" w:cs="Arial" w:eastAsia="Arial" w:hAnsi="Arial"/>
                <w:sz w:val="14"/>
                <w:szCs w:val="14"/>
                <w:color w:val="auto"/>
              </w:rPr>
              <w:t>Trend information</w:t>
            </w:r>
          </w:p>
        </w:tc>
        <w:tc>
          <w:tcPr>
            <w:tcW w:w="5920" w:type="dxa"/>
            <w:vAlign w:val="bottom"/>
          </w:tcPr>
          <w:p>
            <w:pPr>
              <w:jc w:val="right"/>
              <w:spacing w:after="0"/>
              <w:rPr>
                <w:sz w:val="20"/>
                <w:szCs w:val="20"/>
                <w:color w:val="auto"/>
              </w:rPr>
            </w:pPr>
            <w:r>
              <w:rPr>
                <w:rFonts w:ascii="Arial" w:cs="Arial" w:eastAsia="Arial" w:hAnsi="Arial"/>
                <w:sz w:val="14"/>
                <w:szCs w:val="14"/>
                <w:color w:val="auto"/>
              </w:rPr>
              <w:t>9-10, 15-21, 23-26, 40-46</w:t>
            </w:r>
          </w:p>
        </w:tc>
        <w:tc>
          <w:tcPr>
            <w:tcW w:w="0" w:type="dxa"/>
            <w:vAlign w:val="bottom"/>
          </w:tcPr>
          <w:p>
            <w:pPr>
              <w:spacing w:after="0"/>
              <w:rPr>
                <w:sz w:val="1"/>
                <w:szCs w:val="1"/>
                <w:color w:val="auto"/>
              </w:rPr>
            </w:pPr>
          </w:p>
        </w:tc>
      </w:tr>
      <w:tr>
        <w:trPr>
          <w:trHeight w:val="176"/>
        </w:trPr>
        <w:tc>
          <w:tcPr>
            <w:tcW w:w="620" w:type="dxa"/>
            <w:vAlign w:val="bottom"/>
          </w:tcPr>
          <w:p>
            <w:pPr>
              <w:spacing w:after="0"/>
              <w:rPr>
                <w:sz w:val="15"/>
                <w:szCs w:val="15"/>
                <w:color w:val="auto"/>
              </w:rPr>
            </w:pPr>
          </w:p>
        </w:tc>
        <w:tc>
          <w:tcPr>
            <w:tcW w:w="560" w:type="dxa"/>
            <w:vAlign w:val="bottom"/>
          </w:tcPr>
          <w:p>
            <w:pPr>
              <w:ind w:left="280"/>
              <w:spacing w:after="0"/>
              <w:rPr>
                <w:sz w:val="20"/>
                <w:szCs w:val="20"/>
                <w:color w:val="auto"/>
              </w:rPr>
            </w:pPr>
            <w:r>
              <w:rPr>
                <w:rFonts w:ascii="Arial" w:cs="Arial" w:eastAsia="Arial" w:hAnsi="Arial"/>
                <w:sz w:val="14"/>
                <w:szCs w:val="14"/>
                <w:color w:val="auto"/>
              </w:rPr>
              <w:t>E.</w:t>
            </w:r>
          </w:p>
        </w:tc>
        <w:tc>
          <w:tcPr>
            <w:tcW w:w="4320" w:type="dxa"/>
            <w:vAlign w:val="bottom"/>
            <w:gridSpan w:val="2"/>
          </w:tcPr>
          <w:p>
            <w:pPr>
              <w:ind w:left="120"/>
              <w:spacing w:after="0"/>
              <w:rPr>
                <w:sz w:val="20"/>
                <w:szCs w:val="20"/>
                <w:color w:val="auto"/>
              </w:rPr>
            </w:pPr>
            <w:r>
              <w:rPr>
                <w:rFonts w:ascii="Arial" w:cs="Arial" w:eastAsia="Arial" w:hAnsi="Arial"/>
                <w:sz w:val="14"/>
                <w:szCs w:val="14"/>
                <w:color w:val="auto"/>
              </w:rPr>
              <w:t>Off-balance sheet arrangements</w:t>
            </w:r>
          </w:p>
        </w:tc>
        <w:tc>
          <w:tcPr>
            <w:tcW w:w="5920" w:type="dxa"/>
            <w:vAlign w:val="bottom"/>
          </w:tcPr>
          <w:p>
            <w:pPr>
              <w:jc w:val="right"/>
              <w:spacing w:after="0"/>
              <w:rPr>
                <w:sz w:val="20"/>
                <w:szCs w:val="20"/>
                <w:color w:val="auto"/>
              </w:rPr>
            </w:pPr>
            <w:r>
              <w:rPr>
                <w:rFonts w:ascii="Arial" w:cs="Arial" w:eastAsia="Arial" w:hAnsi="Arial"/>
                <w:sz w:val="14"/>
                <w:szCs w:val="14"/>
                <w:color w:val="auto"/>
              </w:rPr>
              <w:t>51</w:t>
            </w:r>
          </w:p>
        </w:tc>
        <w:tc>
          <w:tcPr>
            <w:tcW w:w="0" w:type="dxa"/>
            <w:vAlign w:val="bottom"/>
          </w:tcPr>
          <w:p>
            <w:pPr>
              <w:spacing w:after="0"/>
              <w:rPr>
                <w:sz w:val="1"/>
                <w:szCs w:val="1"/>
                <w:color w:val="auto"/>
              </w:rPr>
            </w:pPr>
          </w:p>
        </w:tc>
      </w:tr>
      <w:tr>
        <w:trPr>
          <w:trHeight w:val="176"/>
        </w:trPr>
        <w:tc>
          <w:tcPr>
            <w:tcW w:w="620" w:type="dxa"/>
            <w:vAlign w:val="bottom"/>
          </w:tcPr>
          <w:p>
            <w:pPr>
              <w:spacing w:after="0"/>
              <w:rPr>
                <w:sz w:val="15"/>
                <w:szCs w:val="15"/>
                <w:color w:val="auto"/>
              </w:rPr>
            </w:pPr>
          </w:p>
        </w:tc>
        <w:tc>
          <w:tcPr>
            <w:tcW w:w="560" w:type="dxa"/>
            <w:vAlign w:val="bottom"/>
          </w:tcPr>
          <w:p>
            <w:pPr>
              <w:ind w:left="280"/>
              <w:spacing w:after="0"/>
              <w:rPr>
                <w:sz w:val="20"/>
                <w:szCs w:val="20"/>
                <w:color w:val="auto"/>
              </w:rPr>
            </w:pPr>
            <w:r>
              <w:rPr>
                <w:rFonts w:ascii="Arial" w:cs="Arial" w:eastAsia="Arial" w:hAnsi="Arial"/>
                <w:sz w:val="14"/>
                <w:szCs w:val="14"/>
                <w:color w:val="auto"/>
              </w:rPr>
              <w:t>F.</w:t>
            </w:r>
          </w:p>
        </w:tc>
        <w:tc>
          <w:tcPr>
            <w:tcW w:w="4320" w:type="dxa"/>
            <w:vAlign w:val="bottom"/>
            <w:gridSpan w:val="2"/>
          </w:tcPr>
          <w:p>
            <w:pPr>
              <w:ind w:left="120"/>
              <w:spacing w:after="0"/>
              <w:rPr>
                <w:sz w:val="20"/>
                <w:szCs w:val="20"/>
                <w:color w:val="auto"/>
              </w:rPr>
            </w:pPr>
            <w:r>
              <w:rPr>
                <w:rFonts w:ascii="Arial" w:cs="Arial" w:eastAsia="Arial" w:hAnsi="Arial"/>
                <w:sz w:val="14"/>
                <w:szCs w:val="14"/>
                <w:color w:val="auto"/>
              </w:rPr>
              <w:t>Tabular disclosure of contractual obligations</w:t>
            </w:r>
          </w:p>
        </w:tc>
        <w:tc>
          <w:tcPr>
            <w:tcW w:w="5920" w:type="dxa"/>
            <w:vAlign w:val="bottom"/>
          </w:tcPr>
          <w:p>
            <w:pPr>
              <w:jc w:val="right"/>
              <w:spacing w:after="0"/>
              <w:rPr>
                <w:sz w:val="20"/>
                <w:szCs w:val="20"/>
                <w:color w:val="auto"/>
              </w:rPr>
            </w:pPr>
            <w:r>
              <w:rPr>
                <w:rFonts w:ascii="Arial" w:cs="Arial" w:eastAsia="Arial" w:hAnsi="Arial"/>
                <w:sz w:val="14"/>
                <w:szCs w:val="14"/>
                <w:color w:val="auto"/>
              </w:rPr>
              <w:t>51</w:t>
            </w:r>
          </w:p>
        </w:tc>
        <w:tc>
          <w:tcPr>
            <w:tcW w:w="0" w:type="dxa"/>
            <w:vAlign w:val="bottom"/>
          </w:tcPr>
          <w:p>
            <w:pPr>
              <w:spacing w:after="0"/>
              <w:rPr>
                <w:sz w:val="1"/>
                <w:szCs w:val="1"/>
                <w:color w:val="auto"/>
              </w:rPr>
            </w:pPr>
          </w:p>
        </w:tc>
      </w:tr>
      <w:tr>
        <w:trPr>
          <w:trHeight w:val="176"/>
        </w:trPr>
        <w:tc>
          <w:tcPr>
            <w:tcW w:w="620" w:type="dxa"/>
            <w:vAlign w:val="bottom"/>
          </w:tcPr>
          <w:p>
            <w:pPr>
              <w:spacing w:after="0"/>
              <w:rPr>
                <w:sz w:val="15"/>
                <w:szCs w:val="15"/>
                <w:color w:val="auto"/>
              </w:rPr>
            </w:pPr>
          </w:p>
        </w:tc>
        <w:tc>
          <w:tcPr>
            <w:tcW w:w="560" w:type="dxa"/>
            <w:vAlign w:val="bottom"/>
          </w:tcPr>
          <w:p>
            <w:pPr>
              <w:ind w:left="280"/>
              <w:spacing w:after="0"/>
              <w:rPr>
                <w:sz w:val="20"/>
                <w:szCs w:val="20"/>
                <w:color w:val="auto"/>
              </w:rPr>
            </w:pPr>
            <w:r>
              <w:rPr>
                <w:rFonts w:ascii="Arial" w:cs="Arial" w:eastAsia="Arial" w:hAnsi="Arial"/>
                <w:sz w:val="14"/>
                <w:szCs w:val="14"/>
                <w:color w:val="auto"/>
              </w:rPr>
              <w:t>G.</w:t>
            </w:r>
          </w:p>
        </w:tc>
        <w:tc>
          <w:tcPr>
            <w:tcW w:w="4320" w:type="dxa"/>
            <w:vAlign w:val="bottom"/>
            <w:gridSpan w:val="2"/>
          </w:tcPr>
          <w:p>
            <w:pPr>
              <w:ind w:left="120"/>
              <w:spacing w:after="0"/>
              <w:rPr>
                <w:sz w:val="20"/>
                <w:szCs w:val="20"/>
                <w:color w:val="auto"/>
              </w:rPr>
            </w:pPr>
            <w:r>
              <w:rPr>
                <w:rFonts w:ascii="Arial" w:cs="Arial" w:eastAsia="Arial" w:hAnsi="Arial"/>
                <w:sz w:val="14"/>
                <w:szCs w:val="14"/>
                <w:color w:val="auto"/>
              </w:rPr>
              <w:t>Safe harbour</w:t>
            </w:r>
          </w:p>
        </w:tc>
        <w:tc>
          <w:tcPr>
            <w:tcW w:w="5920" w:type="dxa"/>
            <w:vAlign w:val="bottom"/>
          </w:tcPr>
          <w:p>
            <w:pPr>
              <w:jc w:val="right"/>
              <w:spacing w:after="0"/>
              <w:rPr>
                <w:sz w:val="20"/>
                <w:szCs w:val="20"/>
                <w:color w:val="auto"/>
              </w:rPr>
            </w:pPr>
            <w:r>
              <w:rPr>
                <w:rFonts w:ascii="Arial" w:cs="Arial" w:eastAsia="Arial" w:hAnsi="Arial"/>
                <w:sz w:val="14"/>
                <w:szCs w:val="14"/>
                <w:color w:val="auto"/>
              </w:rPr>
              <w:t>51</w:t>
            </w:r>
          </w:p>
        </w:tc>
        <w:tc>
          <w:tcPr>
            <w:tcW w:w="0" w:type="dxa"/>
            <w:vAlign w:val="bottom"/>
          </w:tcPr>
          <w:p>
            <w:pPr>
              <w:spacing w:after="0"/>
              <w:rPr>
                <w:sz w:val="1"/>
                <w:szCs w:val="1"/>
                <w:color w:val="auto"/>
              </w:rPr>
            </w:pPr>
          </w:p>
        </w:tc>
      </w:tr>
      <w:tr>
        <w:trPr>
          <w:trHeight w:val="162"/>
        </w:trPr>
        <w:tc>
          <w:tcPr>
            <w:tcW w:w="620" w:type="dxa"/>
            <w:vAlign w:val="bottom"/>
          </w:tcPr>
          <w:p>
            <w:pPr>
              <w:spacing w:after="0"/>
              <w:rPr>
                <w:sz w:val="20"/>
                <w:szCs w:val="20"/>
                <w:color w:val="auto"/>
              </w:rPr>
            </w:pPr>
            <w:r>
              <w:rPr>
                <w:rFonts w:ascii="Arial" w:cs="Arial" w:eastAsia="Arial" w:hAnsi="Arial"/>
                <w:sz w:val="14"/>
                <w:szCs w:val="14"/>
                <w:color w:val="auto"/>
              </w:rPr>
              <w:t>Item 6.</w:t>
            </w:r>
          </w:p>
        </w:tc>
        <w:tc>
          <w:tcPr>
            <w:tcW w:w="4880" w:type="dxa"/>
            <w:vAlign w:val="bottom"/>
            <w:gridSpan w:val="3"/>
          </w:tcPr>
          <w:p>
            <w:pPr>
              <w:ind w:left="280"/>
              <w:spacing w:after="0"/>
              <w:rPr>
                <w:sz w:val="20"/>
                <w:szCs w:val="20"/>
                <w:color w:val="auto"/>
              </w:rPr>
            </w:pPr>
            <w:r>
              <w:rPr>
                <w:rFonts w:ascii="Arial" w:cs="Arial" w:eastAsia="Arial" w:hAnsi="Arial"/>
                <w:sz w:val="14"/>
                <w:szCs w:val="14"/>
                <w:color w:val="auto"/>
              </w:rPr>
              <w:t>Directors, Senior Management and Employees</w:t>
            </w:r>
          </w:p>
        </w:tc>
        <w:tc>
          <w:tcPr>
            <w:tcW w:w="5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20" w:type="dxa"/>
            <w:vAlign w:val="bottom"/>
          </w:tcPr>
          <w:p>
            <w:pPr>
              <w:spacing w:after="0"/>
              <w:rPr>
                <w:sz w:val="14"/>
                <w:szCs w:val="14"/>
                <w:color w:val="auto"/>
              </w:rPr>
            </w:pPr>
          </w:p>
        </w:tc>
        <w:tc>
          <w:tcPr>
            <w:tcW w:w="560" w:type="dxa"/>
            <w:vAlign w:val="bottom"/>
          </w:tcPr>
          <w:p>
            <w:pPr>
              <w:ind w:left="280"/>
              <w:spacing w:after="0"/>
              <w:rPr>
                <w:sz w:val="20"/>
                <w:szCs w:val="20"/>
                <w:color w:val="auto"/>
              </w:rPr>
            </w:pPr>
            <w:r>
              <w:rPr>
                <w:rFonts w:ascii="Arial" w:cs="Arial" w:eastAsia="Arial" w:hAnsi="Arial"/>
                <w:sz w:val="14"/>
                <w:szCs w:val="14"/>
                <w:color w:val="auto"/>
              </w:rPr>
              <w:t>A.</w:t>
            </w:r>
          </w:p>
        </w:tc>
        <w:tc>
          <w:tcPr>
            <w:tcW w:w="4320" w:type="dxa"/>
            <w:vAlign w:val="bottom"/>
            <w:gridSpan w:val="2"/>
          </w:tcPr>
          <w:p>
            <w:pPr>
              <w:ind w:left="120"/>
              <w:spacing w:after="0"/>
              <w:rPr>
                <w:sz w:val="20"/>
                <w:szCs w:val="20"/>
                <w:color w:val="auto"/>
              </w:rPr>
            </w:pPr>
            <w:r>
              <w:rPr>
                <w:rFonts w:ascii="Arial" w:cs="Arial" w:eastAsia="Arial" w:hAnsi="Arial"/>
                <w:sz w:val="14"/>
                <w:szCs w:val="14"/>
                <w:color w:val="auto"/>
              </w:rPr>
              <w:t>Directors and senior management</w:t>
            </w:r>
          </w:p>
        </w:tc>
        <w:tc>
          <w:tcPr>
            <w:tcW w:w="5920" w:type="dxa"/>
            <w:vAlign w:val="bottom"/>
          </w:tcPr>
          <w:p>
            <w:pPr>
              <w:jc w:val="right"/>
              <w:spacing w:after="0"/>
              <w:rPr>
                <w:sz w:val="20"/>
                <w:szCs w:val="20"/>
                <w:color w:val="auto"/>
              </w:rPr>
            </w:pPr>
            <w:r>
              <w:rPr>
                <w:rFonts w:ascii="Arial" w:cs="Arial" w:eastAsia="Arial" w:hAnsi="Arial"/>
                <w:sz w:val="14"/>
                <w:szCs w:val="14"/>
                <w:color w:val="auto"/>
              </w:rPr>
              <w:t>58-61, 66-67</w:t>
            </w:r>
          </w:p>
        </w:tc>
        <w:tc>
          <w:tcPr>
            <w:tcW w:w="0" w:type="dxa"/>
            <w:vAlign w:val="bottom"/>
          </w:tcPr>
          <w:p>
            <w:pPr>
              <w:spacing w:after="0"/>
              <w:rPr>
                <w:sz w:val="1"/>
                <w:szCs w:val="1"/>
                <w:color w:val="auto"/>
              </w:rPr>
            </w:pPr>
          </w:p>
        </w:tc>
      </w:tr>
      <w:tr>
        <w:trPr>
          <w:trHeight w:val="176"/>
        </w:trPr>
        <w:tc>
          <w:tcPr>
            <w:tcW w:w="620" w:type="dxa"/>
            <w:vAlign w:val="bottom"/>
          </w:tcPr>
          <w:p>
            <w:pPr>
              <w:spacing w:after="0"/>
              <w:rPr>
                <w:sz w:val="15"/>
                <w:szCs w:val="15"/>
                <w:color w:val="auto"/>
              </w:rPr>
            </w:pPr>
          </w:p>
        </w:tc>
        <w:tc>
          <w:tcPr>
            <w:tcW w:w="560" w:type="dxa"/>
            <w:vAlign w:val="bottom"/>
          </w:tcPr>
          <w:p>
            <w:pPr>
              <w:ind w:left="280"/>
              <w:spacing w:after="0"/>
              <w:rPr>
                <w:sz w:val="20"/>
                <w:szCs w:val="20"/>
                <w:color w:val="auto"/>
              </w:rPr>
            </w:pPr>
            <w:r>
              <w:rPr>
                <w:rFonts w:ascii="Arial" w:cs="Arial" w:eastAsia="Arial" w:hAnsi="Arial"/>
                <w:sz w:val="14"/>
                <w:szCs w:val="14"/>
                <w:color w:val="auto"/>
              </w:rPr>
              <w:t>B.</w:t>
            </w:r>
          </w:p>
        </w:tc>
        <w:tc>
          <w:tcPr>
            <w:tcW w:w="4320" w:type="dxa"/>
            <w:vAlign w:val="bottom"/>
            <w:gridSpan w:val="2"/>
          </w:tcPr>
          <w:p>
            <w:pPr>
              <w:ind w:left="120"/>
              <w:spacing w:after="0"/>
              <w:rPr>
                <w:sz w:val="20"/>
                <w:szCs w:val="20"/>
                <w:color w:val="auto"/>
              </w:rPr>
            </w:pPr>
            <w:r>
              <w:rPr>
                <w:rFonts w:ascii="Arial" w:cs="Arial" w:eastAsia="Arial" w:hAnsi="Arial"/>
                <w:sz w:val="14"/>
                <w:szCs w:val="14"/>
                <w:color w:val="auto"/>
              </w:rPr>
              <w:t>Compensation</w:t>
            </w:r>
          </w:p>
        </w:tc>
        <w:tc>
          <w:tcPr>
            <w:tcW w:w="5920" w:type="dxa"/>
            <w:vAlign w:val="bottom"/>
          </w:tcPr>
          <w:p>
            <w:pPr>
              <w:jc w:val="right"/>
              <w:spacing w:after="0"/>
              <w:rPr>
                <w:sz w:val="20"/>
                <w:szCs w:val="20"/>
                <w:color w:val="auto"/>
              </w:rPr>
            </w:pPr>
            <w:r>
              <w:rPr>
                <w:rFonts w:ascii="Arial" w:cs="Arial" w:eastAsia="Arial" w:hAnsi="Arial"/>
                <w:sz w:val="14"/>
                <w:szCs w:val="14"/>
                <w:color w:val="auto"/>
              </w:rPr>
              <w:t>81-90</w:t>
            </w:r>
          </w:p>
        </w:tc>
        <w:tc>
          <w:tcPr>
            <w:tcW w:w="0" w:type="dxa"/>
            <w:vAlign w:val="bottom"/>
          </w:tcPr>
          <w:p>
            <w:pPr>
              <w:spacing w:after="0"/>
              <w:rPr>
                <w:sz w:val="1"/>
                <w:szCs w:val="1"/>
                <w:color w:val="auto"/>
              </w:rPr>
            </w:pPr>
          </w:p>
        </w:tc>
      </w:tr>
      <w:tr>
        <w:trPr>
          <w:trHeight w:val="176"/>
        </w:trPr>
        <w:tc>
          <w:tcPr>
            <w:tcW w:w="620" w:type="dxa"/>
            <w:vAlign w:val="bottom"/>
          </w:tcPr>
          <w:p>
            <w:pPr>
              <w:spacing w:after="0"/>
              <w:rPr>
                <w:sz w:val="15"/>
                <w:szCs w:val="15"/>
                <w:color w:val="auto"/>
              </w:rPr>
            </w:pPr>
          </w:p>
        </w:tc>
        <w:tc>
          <w:tcPr>
            <w:tcW w:w="560" w:type="dxa"/>
            <w:vAlign w:val="bottom"/>
          </w:tcPr>
          <w:p>
            <w:pPr>
              <w:ind w:left="280"/>
              <w:spacing w:after="0"/>
              <w:rPr>
                <w:sz w:val="20"/>
                <w:szCs w:val="20"/>
                <w:color w:val="auto"/>
              </w:rPr>
            </w:pPr>
            <w:r>
              <w:rPr>
                <w:rFonts w:ascii="Arial" w:cs="Arial" w:eastAsia="Arial" w:hAnsi="Arial"/>
                <w:sz w:val="14"/>
                <w:szCs w:val="14"/>
                <w:color w:val="auto"/>
              </w:rPr>
              <w:t>C.</w:t>
            </w:r>
          </w:p>
        </w:tc>
        <w:tc>
          <w:tcPr>
            <w:tcW w:w="4320" w:type="dxa"/>
            <w:vAlign w:val="bottom"/>
            <w:gridSpan w:val="2"/>
          </w:tcPr>
          <w:p>
            <w:pPr>
              <w:ind w:left="120"/>
              <w:spacing w:after="0"/>
              <w:rPr>
                <w:sz w:val="20"/>
                <w:szCs w:val="20"/>
                <w:color w:val="auto"/>
              </w:rPr>
            </w:pPr>
            <w:r>
              <w:rPr>
                <w:rFonts w:ascii="Arial" w:cs="Arial" w:eastAsia="Arial" w:hAnsi="Arial"/>
                <w:sz w:val="14"/>
                <w:szCs w:val="14"/>
                <w:color w:val="auto"/>
              </w:rPr>
              <w:t>Board practices</w:t>
            </w:r>
          </w:p>
        </w:tc>
        <w:tc>
          <w:tcPr>
            <w:tcW w:w="5920" w:type="dxa"/>
            <w:vAlign w:val="bottom"/>
          </w:tcPr>
          <w:p>
            <w:pPr>
              <w:jc w:val="right"/>
              <w:spacing w:after="0"/>
              <w:rPr>
                <w:sz w:val="20"/>
                <w:szCs w:val="20"/>
                <w:color w:val="auto"/>
              </w:rPr>
            </w:pPr>
            <w:r>
              <w:rPr>
                <w:rFonts w:ascii="Arial" w:cs="Arial" w:eastAsia="Arial" w:hAnsi="Arial"/>
                <w:sz w:val="14"/>
                <w:szCs w:val="14"/>
                <w:color w:val="auto"/>
              </w:rPr>
              <w:t>58-60, 62-81, 90, 97</w:t>
            </w:r>
          </w:p>
        </w:tc>
        <w:tc>
          <w:tcPr>
            <w:tcW w:w="0" w:type="dxa"/>
            <w:vAlign w:val="bottom"/>
          </w:tcPr>
          <w:p>
            <w:pPr>
              <w:spacing w:after="0"/>
              <w:rPr>
                <w:sz w:val="1"/>
                <w:szCs w:val="1"/>
                <w:color w:val="auto"/>
              </w:rPr>
            </w:pPr>
          </w:p>
        </w:tc>
      </w:tr>
      <w:tr>
        <w:trPr>
          <w:trHeight w:val="176"/>
        </w:trPr>
        <w:tc>
          <w:tcPr>
            <w:tcW w:w="620" w:type="dxa"/>
            <w:vAlign w:val="bottom"/>
          </w:tcPr>
          <w:p>
            <w:pPr>
              <w:spacing w:after="0"/>
              <w:rPr>
                <w:sz w:val="15"/>
                <w:szCs w:val="15"/>
                <w:color w:val="auto"/>
              </w:rPr>
            </w:pPr>
          </w:p>
        </w:tc>
        <w:tc>
          <w:tcPr>
            <w:tcW w:w="560" w:type="dxa"/>
            <w:vAlign w:val="bottom"/>
          </w:tcPr>
          <w:p>
            <w:pPr>
              <w:ind w:left="280"/>
              <w:spacing w:after="0"/>
              <w:rPr>
                <w:sz w:val="20"/>
                <w:szCs w:val="20"/>
                <w:color w:val="auto"/>
              </w:rPr>
            </w:pPr>
            <w:r>
              <w:rPr>
                <w:rFonts w:ascii="Arial" w:cs="Arial" w:eastAsia="Arial" w:hAnsi="Arial"/>
                <w:sz w:val="14"/>
                <w:szCs w:val="14"/>
                <w:color w:val="auto"/>
              </w:rPr>
              <w:t>D.</w:t>
            </w:r>
          </w:p>
        </w:tc>
        <w:tc>
          <w:tcPr>
            <w:tcW w:w="4320" w:type="dxa"/>
            <w:vAlign w:val="bottom"/>
            <w:gridSpan w:val="2"/>
          </w:tcPr>
          <w:p>
            <w:pPr>
              <w:ind w:left="120"/>
              <w:spacing w:after="0"/>
              <w:rPr>
                <w:sz w:val="20"/>
                <w:szCs w:val="20"/>
                <w:color w:val="auto"/>
              </w:rPr>
            </w:pPr>
            <w:r>
              <w:rPr>
                <w:rFonts w:ascii="Arial" w:cs="Arial" w:eastAsia="Arial" w:hAnsi="Arial"/>
                <w:sz w:val="14"/>
                <w:szCs w:val="14"/>
                <w:color w:val="auto"/>
              </w:rPr>
              <w:t>Employees</w:t>
            </w:r>
          </w:p>
        </w:tc>
        <w:tc>
          <w:tcPr>
            <w:tcW w:w="5920" w:type="dxa"/>
            <w:vAlign w:val="bottom"/>
          </w:tcPr>
          <w:p>
            <w:pPr>
              <w:jc w:val="right"/>
              <w:spacing w:after="0"/>
              <w:rPr>
                <w:sz w:val="20"/>
                <w:szCs w:val="20"/>
                <w:color w:val="auto"/>
              </w:rPr>
            </w:pPr>
            <w:r>
              <w:rPr>
                <w:rFonts w:ascii="Arial" w:cs="Arial" w:eastAsia="Arial" w:hAnsi="Arial"/>
                <w:sz w:val="14"/>
                <w:szCs w:val="14"/>
                <w:color w:val="auto"/>
              </w:rPr>
              <w:t>56, 140</w:t>
            </w:r>
          </w:p>
        </w:tc>
        <w:tc>
          <w:tcPr>
            <w:tcW w:w="0" w:type="dxa"/>
            <w:vAlign w:val="bottom"/>
          </w:tcPr>
          <w:p>
            <w:pPr>
              <w:spacing w:after="0"/>
              <w:rPr>
                <w:sz w:val="1"/>
                <w:szCs w:val="1"/>
                <w:color w:val="auto"/>
              </w:rPr>
            </w:pPr>
          </w:p>
        </w:tc>
      </w:tr>
      <w:tr>
        <w:trPr>
          <w:trHeight w:val="176"/>
        </w:trPr>
        <w:tc>
          <w:tcPr>
            <w:tcW w:w="620" w:type="dxa"/>
            <w:vAlign w:val="bottom"/>
          </w:tcPr>
          <w:p>
            <w:pPr>
              <w:spacing w:after="0"/>
              <w:rPr>
                <w:sz w:val="15"/>
                <w:szCs w:val="15"/>
                <w:color w:val="auto"/>
              </w:rPr>
            </w:pPr>
          </w:p>
        </w:tc>
        <w:tc>
          <w:tcPr>
            <w:tcW w:w="560" w:type="dxa"/>
            <w:vAlign w:val="bottom"/>
          </w:tcPr>
          <w:p>
            <w:pPr>
              <w:ind w:left="280"/>
              <w:spacing w:after="0"/>
              <w:rPr>
                <w:sz w:val="20"/>
                <w:szCs w:val="20"/>
                <w:color w:val="auto"/>
              </w:rPr>
            </w:pPr>
            <w:r>
              <w:rPr>
                <w:rFonts w:ascii="Arial" w:cs="Arial" w:eastAsia="Arial" w:hAnsi="Arial"/>
                <w:sz w:val="14"/>
                <w:szCs w:val="14"/>
                <w:color w:val="auto"/>
              </w:rPr>
              <w:t>E.</w:t>
            </w:r>
          </w:p>
        </w:tc>
        <w:tc>
          <w:tcPr>
            <w:tcW w:w="4320" w:type="dxa"/>
            <w:vAlign w:val="bottom"/>
            <w:gridSpan w:val="2"/>
          </w:tcPr>
          <w:p>
            <w:pPr>
              <w:ind w:left="120"/>
              <w:spacing w:after="0"/>
              <w:rPr>
                <w:sz w:val="20"/>
                <w:szCs w:val="20"/>
                <w:color w:val="auto"/>
              </w:rPr>
            </w:pPr>
            <w:r>
              <w:rPr>
                <w:rFonts w:ascii="Arial" w:cs="Arial" w:eastAsia="Arial" w:hAnsi="Arial"/>
                <w:sz w:val="14"/>
                <w:szCs w:val="14"/>
                <w:color w:val="auto"/>
              </w:rPr>
              <w:t>Share ownership</w:t>
            </w:r>
          </w:p>
        </w:tc>
        <w:tc>
          <w:tcPr>
            <w:tcW w:w="5920" w:type="dxa"/>
            <w:vAlign w:val="bottom"/>
          </w:tcPr>
          <w:p>
            <w:pPr>
              <w:jc w:val="right"/>
              <w:spacing w:after="0"/>
              <w:rPr>
                <w:sz w:val="20"/>
                <w:szCs w:val="20"/>
                <w:color w:val="auto"/>
              </w:rPr>
            </w:pPr>
            <w:r>
              <w:rPr>
                <w:rFonts w:ascii="Arial" w:cs="Arial" w:eastAsia="Arial" w:hAnsi="Arial"/>
                <w:sz w:val="14"/>
                <w:szCs w:val="14"/>
                <w:color w:val="auto"/>
              </w:rPr>
              <w:t>57, 81-98, 115-116, 137, 179</w:t>
            </w:r>
          </w:p>
        </w:tc>
        <w:tc>
          <w:tcPr>
            <w:tcW w:w="0" w:type="dxa"/>
            <w:vAlign w:val="bottom"/>
          </w:tcPr>
          <w:p>
            <w:pPr>
              <w:spacing w:after="0"/>
              <w:rPr>
                <w:sz w:val="1"/>
                <w:szCs w:val="1"/>
                <w:color w:val="auto"/>
              </w:rPr>
            </w:pPr>
          </w:p>
        </w:tc>
      </w:tr>
      <w:tr>
        <w:trPr>
          <w:trHeight w:val="162"/>
        </w:trPr>
        <w:tc>
          <w:tcPr>
            <w:tcW w:w="620" w:type="dxa"/>
            <w:vAlign w:val="bottom"/>
          </w:tcPr>
          <w:p>
            <w:pPr>
              <w:spacing w:after="0"/>
              <w:rPr>
                <w:sz w:val="20"/>
                <w:szCs w:val="20"/>
                <w:color w:val="auto"/>
              </w:rPr>
            </w:pPr>
            <w:r>
              <w:rPr>
                <w:rFonts w:ascii="Arial" w:cs="Arial" w:eastAsia="Arial" w:hAnsi="Arial"/>
                <w:sz w:val="14"/>
                <w:szCs w:val="14"/>
                <w:color w:val="auto"/>
              </w:rPr>
              <w:t>Item 7.</w:t>
            </w:r>
          </w:p>
        </w:tc>
        <w:tc>
          <w:tcPr>
            <w:tcW w:w="4880" w:type="dxa"/>
            <w:vAlign w:val="bottom"/>
            <w:gridSpan w:val="3"/>
          </w:tcPr>
          <w:p>
            <w:pPr>
              <w:ind w:left="280"/>
              <w:spacing w:after="0"/>
              <w:rPr>
                <w:sz w:val="20"/>
                <w:szCs w:val="20"/>
                <w:color w:val="auto"/>
              </w:rPr>
            </w:pPr>
            <w:r>
              <w:rPr>
                <w:rFonts w:ascii="Arial" w:cs="Arial" w:eastAsia="Arial" w:hAnsi="Arial"/>
                <w:sz w:val="14"/>
                <w:szCs w:val="14"/>
                <w:color w:val="auto"/>
              </w:rPr>
              <w:t>Major Shareholders and Related Party Transactions</w:t>
            </w:r>
          </w:p>
        </w:tc>
        <w:tc>
          <w:tcPr>
            <w:tcW w:w="5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20" w:type="dxa"/>
            <w:vAlign w:val="bottom"/>
          </w:tcPr>
          <w:p>
            <w:pPr>
              <w:spacing w:after="0"/>
              <w:rPr>
                <w:sz w:val="14"/>
                <w:szCs w:val="14"/>
                <w:color w:val="auto"/>
              </w:rPr>
            </w:pPr>
          </w:p>
        </w:tc>
        <w:tc>
          <w:tcPr>
            <w:tcW w:w="560" w:type="dxa"/>
            <w:vAlign w:val="bottom"/>
          </w:tcPr>
          <w:p>
            <w:pPr>
              <w:ind w:left="280"/>
              <w:spacing w:after="0"/>
              <w:rPr>
                <w:sz w:val="20"/>
                <w:szCs w:val="20"/>
                <w:color w:val="auto"/>
              </w:rPr>
            </w:pPr>
            <w:r>
              <w:rPr>
                <w:rFonts w:ascii="Arial" w:cs="Arial" w:eastAsia="Arial" w:hAnsi="Arial"/>
                <w:sz w:val="14"/>
                <w:szCs w:val="14"/>
                <w:color w:val="auto"/>
              </w:rPr>
              <w:t>A.</w:t>
            </w:r>
          </w:p>
        </w:tc>
        <w:tc>
          <w:tcPr>
            <w:tcW w:w="4320" w:type="dxa"/>
            <w:vAlign w:val="bottom"/>
            <w:gridSpan w:val="2"/>
          </w:tcPr>
          <w:p>
            <w:pPr>
              <w:ind w:left="120"/>
              <w:spacing w:after="0"/>
              <w:rPr>
                <w:sz w:val="20"/>
                <w:szCs w:val="20"/>
                <w:color w:val="auto"/>
              </w:rPr>
            </w:pPr>
            <w:r>
              <w:rPr>
                <w:rFonts w:ascii="Arial" w:cs="Arial" w:eastAsia="Arial" w:hAnsi="Arial"/>
                <w:sz w:val="14"/>
                <w:szCs w:val="14"/>
                <w:color w:val="auto"/>
              </w:rPr>
              <w:t>Major shareholders</w:t>
            </w:r>
          </w:p>
        </w:tc>
        <w:tc>
          <w:tcPr>
            <w:tcW w:w="5920" w:type="dxa"/>
            <w:vAlign w:val="bottom"/>
          </w:tcPr>
          <w:p>
            <w:pPr>
              <w:jc w:val="right"/>
              <w:spacing w:after="0"/>
              <w:rPr>
                <w:sz w:val="20"/>
                <w:szCs w:val="20"/>
                <w:color w:val="auto"/>
              </w:rPr>
            </w:pPr>
            <w:r>
              <w:rPr>
                <w:rFonts w:ascii="Arial" w:cs="Arial" w:eastAsia="Arial" w:hAnsi="Arial"/>
                <w:sz w:val="14"/>
                <w:szCs w:val="14"/>
                <w:color w:val="auto"/>
              </w:rPr>
              <w:t>74-75, 179-180</w:t>
            </w:r>
          </w:p>
        </w:tc>
        <w:tc>
          <w:tcPr>
            <w:tcW w:w="0" w:type="dxa"/>
            <w:vAlign w:val="bottom"/>
          </w:tcPr>
          <w:p>
            <w:pPr>
              <w:spacing w:after="0"/>
              <w:rPr>
                <w:sz w:val="1"/>
                <w:szCs w:val="1"/>
                <w:color w:val="auto"/>
              </w:rPr>
            </w:pPr>
          </w:p>
        </w:tc>
      </w:tr>
      <w:tr>
        <w:trPr>
          <w:trHeight w:val="176"/>
        </w:trPr>
        <w:tc>
          <w:tcPr>
            <w:tcW w:w="620" w:type="dxa"/>
            <w:vAlign w:val="bottom"/>
          </w:tcPr>
          <w:p>
            <w:pPr>
              <w:spacing w:after="0"/>
              <w:rPr>
                <w:sz w:val="15"/>
                <w:szCs w:val="15"/>
                <w:color w:val="auto"/>
              </w:rPr>
            </w:pPr>
          </w:p>
        </w:tc>
        <w:tc>
          <w:tcPr>
            <w:tcW w:w="560" w:type="dxa"/>
            <w:vAlign w:val="bottom"/>
          </w:tcPr>
          <w:p>
            <w:pPr>
              <w:ind w:left="280"/>
              <w:spacing w:after="0"/>
              <w:rPr>
                <w:sz w:val="20"/>
                <w:szCs w:val="20"/>
                <w:color w:val="auto"/>
              </w:rPr>
            </w:pPr>
            <w:r>
              <w:rPr>
                <w:rFonts w:ascii="Arial" w:cs="Arial" w:eastAsia="Arial" w:hAnsi="Arial"/>
                <w:sz w:val="14"/>
                <w:szCs w:val="14"/>
                <w:color w:val="auto"/>
              </w:rPr>
              <w:t>B.</w:t>
            </w:r>
          </w:p>
        </w:tc>
        <w:tc>
          <w:tcPr>
            <w:tcW w:w="4320" w:type="dxa"/>
            <w:vAlign w:val="bottom"/>
            <w:gridSpan w:val="2"/>
          </w:tcPr>
          <w:p>
            <w:pPr>
              <w:ind w:left="120"/>
              <w:spacing w:after="0"/>
              <w:rPr>
                <w:sz w:val="20"/>
                <w:szCs w:val="20"/>
                <w:color w:val="auto"/>
              </w:rPr>
            </w:pPr>
            <w:r>
              <w:rPr>
                <w:rFonts w:ascii="Arial" w:cs="Arial" w:eastAsia="Arial" w:hAnsi="Arial"/>
                <w:sz w:val="14"/>
                <w:szCs w:val="14"/>
                <w:color w:val="auto"/>
              </w:rPr>
              <w:t>Related party transactions</w:t>
            </w:r>
          </w:p>
        </w:tc>
        <w:tc>
          <w:tcPr>
            <w:tcW w:w="5920" w:type="dxa"/>
            <w:vAlign w:val="bottom"/>
          </w:tcPr>
          <w:p>
            <w:pPr>
              <w:jc w:val="right"/>
              <w:spacing w:after="0"/>
              <w:rPr>
                <w:sz w:val="20"/>
                <w:szCs w:val="20"/>
                <w:color w:val="auto"/>
              </w:rPr>
            </w:pPr>
            <w:r>
              <w:rPr>
                <w:rFonts w:ascii="Arial" w:cs="Arial" w:eastAsia="Arial" w:hAnsi="Arial"/>
                <w:sz w:val="14"/>
                <w:szCs w:val="14"/>
                <w:color w:val="auto"/>
              </w:rPr>
              <w:t>63, 113, 122, 140-141, 169-170, 178</w:t>
            </w:r>
          </w:p>
        </w:tc>
        <w:tc>
          <w:tcPr>
            <w:tcW w:w="0" w:type="dxa"/>
            <w:vAlign w:val="bottom"/>
          </w:tcPr>
          <w:p>
            <w:pPr>
              <w:spacing w:after="0"/>
              <w:rPr>
                <w:sz w:val="1"/>
                <w:szCs w:val="1"/>
                <w:color w:val="auto"/>
              </w:rPr>
            </w:pPr>
          </w:p>
        </w:tc>
      </w:tr>
      <w:tr>
        <w:trPr>
          <w:trHeight w:val="176"/>
        </w:trPr>
        <w:tc>
          <w:tcPr>
            <w:tcW w:w="620" w:type="dxa"/>
            <w:vAlign w:val="bottom"/>
          </w:tcPr>
          <w:p>
            <w:pPr>
              <w:spacing w:after="0"/>
              <w:rPr>
                <w:sz w:val="15"/>
                <w:szCs w:val="15"/>
                <w:color w:val="auto"/>
              </w:rPr>
            </w:pPr>
          </w:p>
        </w:tc>
        <w:tc>
          <w:tcPr>
            <w:tcW w:w="560" w:type="dxa"/>
            <w:vAlign w:val="bottom"/>
          </w:tcPr>
          <w:p>
            <w:pPr>
              <w:ind w:left="280"/>
              <w:spacing w:after="0"/>
              <w:rPr>
                <w:sz w:val="20"/>
                <w:szCs w:val="20"/>
                <w:color w:val="auto"/>
              </w:rPr>
            </w:pPr>
            <w:r>
              <w:rPr>
                <w:rFonts w:ascii="Arial" w:cs="Arial" w:eastAsia="Arial" w:hAnsi="Arial"/>
                <w:sz w:val="14"/>
                <w:szCs w:val="14"/>
                <w:color w:val="auto"/>
              </w:rPr>
              <w:t>C.</w:t>
            </w:r>
          </w:p>
        </w:tc>
        <w:tc>
          <w:tcPr>
            <w:tcW w:w="4320" w:type="dxa"/>
            <w:vAlign w:val="bottom"/>
            <w:gridSpan w:val="2"/>
          </w:tcPr>
          <w:p>
            <w:pPr>
              <w:ind w:left="120"/>
              <w:spacing w:after="0"/>
              <w:rPr>
                <w:sz w:val="20"/>
                <w:szCs w:val="20"/>
                <w:color w:val="auto"/>
              </w:rPr>
            </w:pPr>
            <w:r>
              <w:rPr>
                <w:rFonts w:ascii="Arial" w:cs="Arial" w:eastAsia="Arial" w:hAnsi="Arial"/>
                <w:sz w:val="14"/>
                <w:szCs w:val="14"/>
                <w:color w:val="auto"/>
              </w:rPr>
              <w:t>Interests of experts and counsel</w:t>
            </w:r>
          </w:p>
        </w:tc>
        <w:tc>
          <w:tcPr>
            <w:tcW w:w="5920" w:type="dxa"/>
            <w:vAlign w:val="bottom"/>
          </w:tcPr>
          <w:p>
            <w:pPr>
              <w:jc w:val="right"/>
              <w:spacing w:after="0"/>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r>
        <w:trPr>
          <w:trHeight w:val="162"/>
        </w:trPr>
        <w:tc>
          <w:tcPr>
            <w:tcW w:w="620" w:type="dxa"/>
            <w:vAlign w:val="bottom"/>
          </w:tcPr>
          <w:p>
            <w:pPr>
              <w:spacing w:after="0"/>
              <w:rPr>
                <w:sz w:val="20"/>
                <w:szCs w:val="20"/>
                <w:color w:val="auto"/>
              </w:rPr>
            </w:pPr>
            <w:r>
              <w:rPr>
                <w:rFonts w:ascii="Arial" w:cs="Arial" w:eastAsia="Arial" w:hAnsi="Arial"/>
                <w:sz w:val="14"/>
                <w:szCs w:val="14"/>
                <w:color w:val="auto"/>
              </w:rPr>
              <w:t>Item 8.</w:t>
            </w:r>
          </w:p>
        </w:tc>
        <w:tc>
          <w:tcPr>
            <w:tcW w:w="4880" w:type="dxa"/>
            <w:vAlign w:val="bottom"/>
            <w:gridSpan w:val="3"/>
          </w:tcPr>
          <w:p>
            <w:pPr>
              <w:ind w:left="280"/>
              <w:spacing w:after="0"/>
              <w:rPr>
                <w:sz w:val="20"/>
                <w:szCs w:val="20"/>
                <w:color w:val="auto"/>
              </w:rPr>
            </w:pPr>
            <w:r>
              <w:rPr>
                <w:rFonts w:ascii="Arial" w:cs="Arial" w:eastAsia="Arial" w:hAnsi="Arial"/>
                <w:sz w:val="14"/>
                <w:szCs w:val="14"/>
                <w:color w:val="auto"/>
              </w:rPr>
              <w:t>Financial Information</w:t>
            </w:r>
          </w:p>
        </w:tc>
        <w:tc>
          <w:tcPr>
            <w:tcW w:w="5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20" w:type="dxa"/>
            <w:vAlign w:val="bottom"/>
          </w:tcPr>
          <w:p>
            <w:pPr>
              <w:spacing w:after="0"/>
              <w:rPr>
                <w:sz w:val="14"/>
                <w:szCs w:val="14"/>
                <w:color w:val="auto"/>
              </w:rPr>
            </w:pPr>
          </w:p>
        </w:tc>
        <w:tc>
          <w:tcPr>
            <w:tcW w:w="560" w:type="dxa"/>
            <w:vAlign w:val="bottom"/>
          </w:tcPr>
          <w:p>
            <w:pPr>
              <w:ind w:left="280"/>
              <w:spacing w:after="0"/>
              <w:rPr>
                <w:sz w:val="20"/>
                <w:szCs w:val="20"/>
                <w:color w:val="auto"/>
              </w:rPr>
            </w:pPr>
            <w:r>
              <w:rPr>
                <w:rFonts w:ascii="Arial" w:cs="Arial" w:eastAsia="Arial" w:hAnsi="Arial"/>
                <w:sz w:val="14"/>
                <w:szCs w:val="14"/>
                <w:color w:val="auto"/>
              </w:rPr>
              <w:t>A.</w:t>
            </w:r>
          </w:p>
        </w:tc>
        <w:tc>
          <w:tcPr>
            <w:tcW w:w="4320" w:type="dxa"/>
            <w:vAlign w:val="bottom"/>
            <w:gridSpan w:val="2"/>
          </w:tcPr>
          <w:p>
            <w:pPr>
              <w:ind w:left="120"/>
              <w:spacing w:after="0"/>
              <w:rPr>
                <w:sz w:val="20"/>
                <w:szCs w:val="20"/>
                <w:color w:val="auto"/>
              </w:rPr>
            </w:pPr>
            <w:r>
              <w:rPr>
                <w:rFonts w:ascii="Arial" w:cs="Arial" w:eastAsia="Arial" w:hAnsi="Arial"/>
                <w:sz w:val="14"/>
                <w:szCs w:val="14"/>
                <w:color w:val="auto"/>
              </w:rPr>
              <w:t>Consolidated Statements and Other Financial Information</w:t>
            </w:r>
          </w:p>
        </w:tc>
        <w:tc>
          <w:tcPr>
            <w:tcW w:w="5920" w:type="dxa"/>
            <w:vAlign w:val="bottom"/>
          </w:tcPr>
          <w:p>
            <w:pPr>
              <w:jc w:val="right"/>
              <w:spacing w:after="0"/>
              <w:rPr>
                <w:sz w:val="20"/>
                <w:szCs w:val="20"/>
                <w:color w:val="auto"/>
              </w:rPr>
            </w:pPr>
            <w:r>
              <w:rPr>
                <w:rFonts w:ascii="Arial" w:cs="Arial" w:eastAsia="Arial" w:hAnsi="Arial"/>
                <w:sz w:val="14"/>
                <w:szCs w:val="14"/>
                <w:color w:val="auto"/>
              </w:rPr>
              <w:t>48-51, 99-141, 160-178</w:t>
            </w:r>
          </w:p>
        </w:tc>
        <w:tc>
          <w:tcPr>
            <w:tcW w:w="0" w:type="dxa"/>
            <w:vAlign w:val="bottom"/>
          </w:tcPr>
          <w:p>
            <w:pPr>
              <w:spacing w:after="0"/>
              <w:rPr>
                <w:sz w:val="1"/>
                <w:szCs w:val="1"/>
                <w:color w:val="auto"/>
              </w:rPr>
            </w:pPr>
          </w:p>
        </w:tc>
      </w:tr>
      <w:tr>
        <w:trPr>
          <w:trHeight w:val="176"/>
        </w:trPr>
        <w:tc>
          <w:tcPr>
            <w:tcW w:w="620" w:type="dxa"/>
            <w:vAlign w:val="bottom"/>
          </w:tcPr>
          <w:p>
            <w:pPr>
              <w:spacing w:after="0"/>
              <w:rPr>
                <w:sz w:val="15"/>
                <w:szCs w:val="15"/>
                <w:color w:val="auto"/>
              </w:rPr>
            </w:pPr>
          </w:p>
        </w:tc>
        <w:tc>
          <w:tcPr>
            <w:tcW w:w="560" w:type="dxa"/>
            <w:vAlign w:val="bottom"/>
          </w:tcPr>
          <w:p>
            <w:pPr>
              <w:ind w:left="280"/>
              <w:spacing w:after="0"/>
              <w:rPr>
                <w:sz w:val="20"/>
                <w:szCs w:val="20"/>
                <w:color w:val="auto"/>
              </w:rPr>
            </w:pPr>
            <w:r>
              <w:rPr>
                <w:rFonts w:ascii="Arial" w:cs="Arial" w:eastAsia="Arial" w:hAnsi="Arial"/>
                <w:sz w:val="14"/>
                <w:szCs w:val="14"/>
                <w:color w:val="auto"/>
              </w:rPr>
              <w:t>B.</w:t>
            </w:r>
          </w:p>
        </w:tc>
        <w:tc>
          <w:tcPr>
            <w:tcW w:w="4320" w:type="dxa"/>
            <w:vAlign w:val="bottom"/>
            <w:gridSpan w:val="2"/>
          </w:tcPr>
          <w:p>
            <w:pPr>
              <w:ind w:left="120"/>
              <w:spacing w:after="0"/>
              <w:rPr>
                <w:sz w:val="20"/>
                <w:szCs w:val="20"/>
                <w:color w:val="auto"/>
              </w:rPr>
            </w:pPr>
            <w:r>
              <w:rPr>
                <w:rFonts w:ascii="Arial" w:cs="Arial" w:eastAsia="Arial" w:hAnsi="Arial"/>
                <w:sz w:val="14"/>
                <w:szCs w:val="14"/>
                <w:color w:val="auto"/>
              </w:rPr>
              <w:t>Significant changes</w:t>
            </w:r>
          </w:p>
        </w:tc>
        <w:tc>
          <w:tcPr>
            <w:tcW w:w="5920" w:type="dxa"/>
            <w:vAlign w:val="bottom"/>
          </w:tcPr>
          <w:p>
            <w:pPr>
              <w:jc w:val="right"/>
              <w:spacing w:after="0"/>
              <w:rPr>
                <w:sz w:val="20"/>
                <w:szCs w:val="20"/>
                <w:color w:val="auto"/>
              </w:rPr>
            </w:pPr>
            <w:r>
              <w:rPr>
                <w:rFonts w:ascii="Arial" w:cs="Arial" w:eastAsia="Arial" w:hAnsi="Arial"/>
                <w:sz w:val="14"/>
                <w:szCs w:val="14"/>
                <w:color w:val="auto"/>
              </w:rPr>
              <w:t>64</w:t>
            </w:r>
          </w:p>
        </w:tc>
        <w:tc>
          <w:tcPr>
            <w:tcW w:w="0" w:type="dxa"/>
            <w:vAlign w:val="bottom"/>
          </w:tcPr>
          <w:p>
            <w:pPr>
              <w:spacing w:after="0"/>
              <w:rPr>
                <w:sz w:val="1"/>
                <w:szCs w:val="1"/>
                <w:color w:val="auto"/>
              </w:rPr>
            </w:pPr>
          </w:p>
        </w:tc>
      </w:tr>
      <w:tr>
        <w:trPr>
          <w:trHeight w:val="162"/>
        </w:trPr>
        <w:tc>
          <w:tcPr>
            <w:tcW w:w="620" w:type="dxa"/>
            <w:vAlign w:val="bottom"/>
          </w:tcPr>
          <w:p>
            <w:pPr>
              <w:spacing w:after="0"/>
              <w:rPr>
                <w:sz w:val="20"/>
                <w:szCs w:val="20"/>
                <w:color w:val="auto"/>
              </w:rPr>
            </w:pPr>
            <w:r>
              <w:rPr>
                <w:rFonts w:ascii="Arial" w:cs="Arial" w:eastAsia="Arial" w:hAnsi="Arial"/>
                <w:sz w:val="14"/>
                <w:szCs w:val="14"/>
                <w:color w:val="auto"/>
              </w:rPr>
              <w:t>Item 9.</w:t>
            </w:r>
          </w:p>
        </w:tc>
        <w:tc>
          <w:tcPr>
            <w:tcW w:w="4880" w:type="dxa"/>
            <w:vAlign w:val="bottom"/>
            <w:gridSpan w:val="3"/>
          </w:tcPr>
          <w:p>
            <w:pPr>
              <w:ind w:left="280"/>
              <w:spacing w:after="0"/>
              <w:rPr>
                <w:sz w:val="20"/>
                <w:szCs w:val="20"/>
                <w:color w:val="auto"/>
              </w:rPr>
            </w:pPr>
            <w:r>
              <w:rPr>
                <w:rFonts w:ascii="Arial" w:cs="Arial" w:eastAsia="Arial" w:hAnsi="Arial"/>
                <w:sz w:val="14"/>
                <w:szCs w:val="14"/>
                <w:color w:val="auto"/>
              </w:rPr>
              <w:t>The Offer and Listing</w:t>
            </w:r>
          </w:p>
        </w:tc>
        <w:tc>
          <w:tcPr>
            <w:tcW w:w="5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20" w:type="dxa"/>
            <w:vAlign w:val="bottom"/>
          </w:tcPr>
          <w:p>
            <w:pPr>
              <w:spacing w:after="0"/>
              <w:rPr>
                <w:sz w:val="14"/>
                <w:szCs w:val="14"/>
                <w:color w:val="auto"/>
              </w:rPr>
            </w:pPr>
          </w:p>
        </w:tc>
        <w:tc>
          <w:tcPr>
            <w:tcW w:w="560" w:type="dxa"/>
            <w:vAlign w:val="bottom"/>
          </w:tcPr>
          <w:p>
            <w:pPr>
              <w:ind w:left="280"/>
              <w:spacing w:after="0"/>
              <w:rPr>
                <w:sz w:val="20"/>
                <w:szCs w:val="20"/>
                <w:color w:val="auto"/>
              </w:rPr>
            </w:pPr>
            <w:r>
              <w:rPr>
                <w:rFonts w:ascii="Arial" w:cs="Arial" w:eastAsia="Arial" w:hAnsi="Arial"/>
                <w:sz w:val="14"/>
                <w:szCs w:val="14"/>
                <w:color w:val="auto"/>
              </w:rPr>
              <w:t>A.</w:t>
            </w:r>
          </w:p>
        </w:tc>
        <w:tc>
          <w:tcPr>
            <w:tcW w:w="4320" w:type="dxa"/>
            <w:vAlign w:val="bottom"/>
            <w:gridSpan w:val="2"/>
          </w:tcPr>
          <w:p>
            <w:pPr>
              <w:ind w:left="120"/>
              <w:spacing w:after="0"/>
              <w:rPr>
                <w:sz w:val="20"/>
                <w:szCs w:val="20"/>
                <w:color w:val="auto"/>
              </w:rPr>
            </w:pPr>
            <w:r>
              <w:rPr>
                <w:rFonts w:ascii="Arial" w:cs="Arial" w:eastAsia="Arial" w:hAnsi="Arial"/>
                <w:sz w:val="14"/>
                <w:szCs w:val="14"/>
                <w:color w:val="auto"/>
              </w:rPr>
              <w:t>Offer and listing details</w:t>
            </w:r>
          </w:p>
        </w:tc>
        <w:tc>
          <w:tcPr>
            <w:tcW w:w="5920" w:type="dxa"/>
            <w:vAlign w:val="bottom"/>
          </w:tcPr>
          <w:p>
            <w:pPr>
              <w:jc w:val="right"/>
              <w:spacing w:after="0"/>
              <w:rPr>
                <w:sz w:val="20"/>
                <w:szCs w:val="20"/>
                <w:color w:val="auto"/>
              </w:rPr>
            </w:pPr>
            <w:r>
              <w:rPr>
                <w:rFonts w:ascii="Arial" w:cs="Arial" w:eastAsia="Arial" w:hAnsi="Arial"/>
                <w:sz w:val="14"/>
                <w:szCs w:val="14"/>
                <w:color w:val="auto"/>
              </w:rPr>
              <w:t>182</w:t>
            </w:r>
          </w:p>
        </w:tc>
        <w:tc>
          <w:tcPr>
            <w:tcW w:w="0" w:type="dxa"/>
            <w:vAlign w:val="bottom"/>
          </w:tcPr>
          <w:p>
            <w:pPr>
              <w:spacing w:after="0"/>
              <w:rPr>
                <w:sz w:val="1"/>
                <w:szCs w:val="1"/>
                <w:color w:val="auto"/>
              </w:rPr>
            </w:pPr>
          </w:p>
        </w:tc>
      </w:tr>
      <w:tr>
        <w:trPr>
          <w:trHeight w:val="176"/>
        </w:trPr>
        <w:tc>
          <w:tcPr>
            <w:tcW w:w="620" w:type="dxa"/>
            <w:vAlign w:val="bottom"/>
          </w:tcPr>
          <w:p>
            <w:pPr>
              <w:spacing w:after="0"/>
              <w:rPr>
                <w:sz w:val="15"/>
                <w:szCs w:val="15"/>
                <w:color w:val="auto"/>
              </w:rPr>
            </w:pPr>
          </w:p>
        </w:tc>
        <w:tc>
          <w:tcPr>
            <w:tcW w:w="560" w:type="dxa"/>
            <w:vAlign w:val="bottom"/>
          </w:tcPr>
          <w:p>
            <w:pPr>
              <w:ind w:left="280"/>
              <w:spacing w:after="0"/>
              <w:rPr>
                <w:sz w:val="20"/>
                <w:szCs w:val="20"/>
                <w:color w:val="auto"/>
              </w:rPr>
            </w:pPr>
            <w:r>
              <w:rPr>
                <w:rFonts w:ascii="Arial" w:cs="Arial" w:eastAsia="Arial" w:hAnsi="Arial"/>
                <w:sz w:val="14"/>
                <w:szCs w:val="14"/>
                <w:color w:val="auto"/>
              </w:rPr>
              <w:t>B.</w:t>
            </w:r>
          </w:p>
        </w:tc>
        <w:tc>
          <w:tcPr>
            <w:tcW w:w="4320" w:type="dxa"/>
            <w:vAlign w:val="bottom"/>
            <w:gridSpan w:val="2"/>
          </w:tcPr>
          <w:p>
            <w:pPr>
              <w:ind w:left="120"/>
              <w:spacing w:after="0"/>
              <w:rPr>
                <w:sz w:val="20"/>
                <w:szCs w:val="20"/>
                <w:color w:val="auto"/>
              </w:rPr>
            </w:pPr>
            <w:r>
              <w:rPr>
                <w:rFonts w:ascii="Arial" w:cs="Arial" w:eastAsia="Arial" w:hAnsi="Arial"/>
                <w:sz w:val="14"/>
                <w:szCs w:val="14"/>
                <w:color w:val="auto"/>
              </w:rPr>
              <w:t>Plan of distribution</w:t>
            </w:r>
          </w:p>
        </w:tc>
        <w:tc>
          <w:tcPr>
            <w:tcW w:w="5920" w:type="dxa"/>
            <w:vAlign w:val="bottom"/>
          </w:tcPr>
          <w:p>
            <w:pPr>
              <w:jc w:val="right"/>
              <w:spacing w:after="0"/>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r>
        <w:trPr>
          <w:trHeight w:val="176"/>
        </w:trPr>
        <w:tc>
          <w:tcPr>
            <w:tcW w:w="620" w:type="dxa"/>
            <w:vAlign w:val="bottom"/>
          </w:tcPr>
          <w:p>
            <w:pPr>
              <w:spacing w:after="0"/>
              <w:rPr>
                <w:sz w:val="15"/>
                <w:szCs w:val="15"/>
                <w:color w:val="auto"/>
              </w:rPr>
            </w:pPr>
          </w:p>
        </w:tc>
        <w:tc>
          <w:tcPr>
            <w:tcW w:w="560" w:type="dxa"/>
            <w:vAlign w:val="bottom"/>
          </w:tcPr>
          <w:p>
            <w:pPr>
              <w:ind w:left="280"/>
              <w:spacing w:after="0"/>
              <w:rPr>
                <w:sz w:val="20"/>
                <w:szCs w:val="20"/>
                <w:color w:val="auto"/>
              </w:rPr>
            </w:pPr>
            <w:r>
              <w:rPr>
                <w:rFonts w:ascii="Arial" w:cs="Arial" w:eastAsia="Arial" w:hAnsi="Arial"/>
                <w:sz w:val="14"/>
                <w:szCs w:val="14"/>
                <w:color w:val="auto"/>
              </w:rPr>
              <w:t>C.</w:t>
            </w:r>
          </w:p>
        </w:tc>
        <w:tc>
          <w:tcPr>
            <w:tcW w:w="4320" w:type="dxa"/>
            <w:vAlign w:val="bottom"/>
            <w:gridSpan w:val="2"/>
          </w:tcPr>
          <w:p>
            <w:pPr>
              <w:ind w:left="120"/>
              <w:spacing w:after="0"/>
              <w:rPr>
                <w:sz w:val="20"/>
                <w:szCs w:val="20"/>
                <w:color w:val="auto"/>
              </w:rPr>
            </w:pPr>
            <w:r>
              <w:rPr>
                <w:rFonts w:ascii="Arial" w:cs="Arial" w:eastAsia="Arial" w:hAnsi="Arial"/>
                <w:sz w:val="14"/>
                <w:szCs w:val="14"/>
                <w:color w:val="auto"/>
              </w:rPr>
              <w:t>Markets</w:t>
            </w:r>
          </w:p>
        </w:tc>
        <w:tc>
          <w:tcPr>
            <w:tcW w:w="5920" w:type="dxa"/>
            <w:vAlign w:val="bottom"/>
          </w:tcPr>
          <w:p>
            <w:pPr>
              <w:jc w:val="right"/>
              <w:spacing w:after="0"/>
              <w:rPr>
                <w:sz w:val="20"/>
                <w:szCs w:val="20"/>
                <w:color w:val="auto"/>
              </w:rPr>
            </w:pPr>
            <w:r>
              <w:rPr>
                <w:rFonts w:ascii="Arial" w:cs="Arial" w:eastAsia="Arial" w:hAnsi="Arial"/>
                <w:sz w:val="14"/>
                <w:szCs w:val="14"/>
                <w:color w:val="auto"/>
              </w:rPr>
              <w:t>179</w:t>
            </w:r>
          </w:p>
        </w:tc>
        <w:tc>
          <w:tcPr>
            <w:tcW w:w="0" w:type="dxa"/>
            <w:vAlign w:val="bottom"/>
          </w:tcPr>
          <w:p>
            <w:pPr>
              <w:spacing w:after="0"/>
              <w:rPr>
                <w:sz w:val="1"/>
                <w:szCs w:val="1"/>
                <w:color w:val="auto"/>
              </w:rPr>
            </w:pPr>
          </w:p>
        </w:tc>
      </w:tr>
      <w:tr>
        <w:trPr>
          <w:trHeight w:val="176"/>
        </w:trPr>
        <w:tc>
          <w:tcPr>
            <w:tcW w:w="620" w:type="dxa"/>
            <w:vAlign w:val="bottom"/>
          </w:tcPr>
          <w:p>
            <w:pPr>
              <w:spacing w:after="0"/>
              <w:rPr>
                <w:sz w:val="15"/>
                <w:szCs w:val="15"/>
                <w:color w:val="auto"/>
              </w:rPr>
            </w:pPr>
          </w:p>
        </w:tc>
        <w:tc>
          <w:tcPr>
            <w:tcW w:w="560" w:type="dxa"/>
            <w:vAlign w:val="bottom"/>
          </w:tcPr>
          <w:p>
            <w:pPr>
              <w:ind w:left="280"/>
              <w:spacing w:after="0"/>
              <w:rPr>
                <w:sz w:val="20"/>
                <w:szCs w:val="20"/>
                <w:color w:val="auto"/>
              </w:rPr>
            </w:pPr>
            <w:r>
              <w:rPr>
                <w:rFonts w:ascii="Arial" w:cs="Arial" w:eastAsia="Arial" w:hAnsi="Arial"/>
                <w:sz w:val="14"/>
                <w:szCs w:val="14"/>
                <w:color w:val="auto"/>
              </w:rPr>
              <w:t>D.</w:t>
            </w:r>
          </w:p>
        </w:tc>
        <w:tc>
          <w:tcPr>
            <w:tcW w:w="4320" w:type="dxa"/>
            <w:vAlign w:val="bottom"/>
            <w:gridSpan w:val="2"/>
          </w:tcPr>
          <w:p>
            <w:pPr>
              <w:ind w:left="120"/>
              <w:spacing w:after="0"/>
              <w:rPr>
                <w:sz w:val="20"/>
                <w:szCs w:val="20"/>
                <w:color w:val="auto"/>
              </w:rPr>
            </w:pPr>
            <w:r>
              <w:rPr>
                <w:rFonts w:ascii="Arial" w:cs="Arial" w:eastAsia="Arial" w:hAnsi="Arial"/>
                <w:sz w:val="14"/>
                <w:szCs w:val="14"/>
                <w:color w:val="auto"/>
              </w:rPr>
              <w:t>Selling shareholders</w:t>
            </w:r>
          </w:p>
        </w:tc>
        <w:tc>
          <w:tcPr>
            <w:tcW w:w="5920" w:type="dxa"/>
            <w:vAlign w:val="bottom"/>
          </w:tcPr>
          <w:p>
            <w:pPr>
              <w:jc w:val="right"/>
              <w:spacing w:after="0"/>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r>
        <w:trPr>
          <w:trHeight w:val="176"/>
        </w:trPr>
        <w:tc>
          <w:tcPr>
            <w:tcW w:w="620" w:type="dxa"/>
            <w:vAlign w:val="bottom"/>
          </w:tcPr>
          <w:p>
            <w:pPr>
              <w:spacing w:after="0"/>
              <w:rPr>
                <w:sz w:val="15"/>
                <w:szCs w:val="15"/>
                <w:color w:val="auto"/>
              </w:rPr>
            </w:pPr>
          </w:p>
        </w:tc>
        <w:tc>
          <w:tcPr>
            <w:tcW w:w="560" w:type="dxa"/>
            <w:vAlign w:val="bottom"/>
          </w:tcPr>
          <w:p>
            <w:pPr>
              <w:ind w:left="280"/>
              <w:spacing w:after="0"/>
              <w:rPr>
                <w:sz w:val="20"/>
                <w:szCs w:val="20"/>
                <w:color w:val="auto"/>
              </w:rPr>
            </w:pPr>
            <w:r>
              <w:rPr>
                <w:rFonts w:ascii="Arial" w:cs="Arial" w:eastAsia="Arial" w:hAnsi="Arial"/>
                <w:sz w:val="14"/>
                <w:szCs w:val="14"/>
                <w:color w:val="auto"/>
              </w:rPr>
              <w:t>E.</w:t>
            </w:r>
          </w:p>
        </w:tc>
        <w:tc>
          <w:tcPr>
            <w:tcW w:w="4320" w:type="dxa"/>
            <w:vAlign w:val="bottom"/>
            <w:gridSpan w:val="2"/>
          </w:tcPr>
          <w:p>
            <w:pPr>
              <w:ind w:left="120"/>
              <w:spacing w:after="0"/>
              <w:rPr>
                <w:sz w:val="20"/>
                <w:szCs w:val="20"/>
                <w:color w:val="auto"/>
              </w:rPr>
            </w:pPr>
            <w:r>
              <w:rPr>
                <w:rFonts w:ascii="Arial" w:cs="Arial" w:eastAsia="Arial" w:hAnsi="Arial"/>
                <w:sz w:val="14"/>
                <w:szCs w:val="14"/>
                <w:color w:val="auto"/>
              </w:rPr>
              <w:t>Dilution</w:t>
            </w:r>
          </w:p>
        </w:tc>
        <w:tc>
          <w:tcPr>
            <w:tcW w:w="5920" w:type="dxa"/>
            <w:vAlign w:val="bottom"/>
          </w:tcPr>
          <w:p>
            <w:pPr>
              <w:jc w:val="right"/>
              <w:spacing w:after="0"/>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r>
        <w:trPr>
          <w:trHeight w:val="176"/>
        </w:trPr>
        <w:tc>
          <w:tcPr>
            <w:tcW w:w="620" w:type="dxa"/>
            <w:vAlign w:val="bottom"/>
          </w:tcPr>
          <w:p>
            <w:pPr>
              <w:spacing w:after="0"/>
              <w:rPr>
                <w:sz w:val="15"/>
                <w:szCs w:val="15"/>
                <w:color w:val="auto"/>
              </w:rPr>
            </w:pPr>
          </w:p>
        </w:tc>
        <w:tc>
          <w:tcPr>
            <w:tcW w:w="560" w:type="dxa"/>
            <w:vAlign w:val="bottom"/>
          </w:tcPr>
          <w:p>
            <w:pPr>
              <w:ind w:left="280"/>
              <w:spacing w:after="0"/>
              <w:rPr>
                <w:sz w:val="20"/>
                <w:szCs w:val="20"/>
                <w:color w:val="auto"/>
              </w:rPr>
            </w:pPr>
            <w:r>
              <w:rPr>
                <w:rFonts w:ascii="Arial" w:cs="Arial" w:eastAsia="Arial" w:hAnsi="Arial"/>
                <w:sz w:val="14"/>
                <w:szCs w:val="14"/>
                <w:color w:val="auto"/>
              </w:rPr>
              <w:t>F.</w:t>
            </w:r>
          </w:p>
        </w:tc>
        <w:tc>
          <w:tcPr>
            <w:tcW w:w="4320" w:type="dxa"/>
            <w:vAlign w:val="bottom"/>
            <w:gridSpan w:val="2"/>
          </w:tcPr>
          <w:p>
            <w:pPr>
              <w:ind w:left="120"/>
              <w:spacing w:after="0"/>
              <w:rPr>
                <w:sz w:val="20"/>
                <w:szCs w:val="20"/>
                <w:color w:val="auto"/>
              </w:rPr>
            </w:pPr>
            <w:r>
              <w:rPr>
                <w:rFonts w:ascii="Arial" w:cs="Arial" w:eastAsia="Arial" w:hAnsi="Arial"/>
                <w:sz w:val="14"/>
                <w:szCs w:val="14"/>
                <w:color w:val="auto"/>
              </w:rPr>
              <w:t>Expenses of the issue</w:t>
            </w:r>
          </w:p>
        </w:tc>
        <w:tc>
          <w:tcPr>
            <w:tcW w:w="5920" w:type="dxa"/>
            <w:vAlign w:val="bottom"/>
          </w:tcPr>
          <w:p>
            <w:pPr>
              <w:jc w:val="right"/>
              <w:spacing w:after="0"/>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r>
        <w:trPr>
          <w:trHeight w:val="162"/>
        </w:trPr>
        <w:tc>
          <w:tcPr>
            <w:tcW w:w="620" w:type="dxa"/>
            <w:vAlign w:val="bottom"/>
          </w:tcPr>
          <w:p>
            <w:pPr>
              <w:spacing w:after="0"/>
              <w:rPr>
                <w:sz w:val="20"/>
                <w:szCs w:val="20"/>
                <w:color w:val="auto"/>
              </w:rPr>
            </w:pPr>
            <w:r>
              <w:rPr>
                <w:rFonts w:ascii="Arial" w:cs="Arial" w:eastAsia="Arial" w:hAnsi="Arial"/>
                <w:sz w:val="14"/>
                <w:szCs w:val="14"/>
                <w:color w:val="auto"/>
              </w:rPr>
              <w:t>Item 10.</w:t>
            </w:r>
          </w:p>
        </w:tc>
        <w:tc>
          <w:tcPr>
            <w:tcW w:w="4880" w:type="dxa"/>
            <w:vAlign w:val="bottom"/>
            <w:gridSpan w:val="3"/>
          </w:tcPr>
          <w:p>
            <w:pPr>
              <w:ind w:left="280"/>
              <w:spacing w:after="0"/>
              <w:rPr>
                <w:sz w:val="20"/>
                <w:szCs w:val="20"/>
                <w:color w:val="auto"/>
              </w:rPr>
            </w:pPr>
            <w:r>
              <w:rPr>
                <w:rFonts w:ascii="Arial" w:cs="Arial" w:eastAsia="Arial" w:hAnsi="Arial"/>
                <w:sz w:val="14"/>
                <w:szCs w:val="14"/>
                <w:color w:val="auto"/>
              </w:rPr>
              <w:t>Additional Information</w:t>
            </w:r>
          </w:p>
        </w:tc>
        <w:tc>
          <w:tcPr>
            <w:tcW w:w="5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20" w:type="dxa"/>
            <w:vAlign w:val="bottom"/>
          </w:tcPr>
          <w:p>
            <w:pPr>
              <w:spacing w:after="0"/>
              <w:rPr>
                <w:sz w:val="14"/>
                <w:szCs w:val="14"/>
                <w:color w:val="auto"/>
              </w:rPr>
            </w:pPr>
          </w:p>
        </w:tc>
        <w:tc>
          <w:tcPr>
            <w:tcW w:w="560" w:type="dxa"/>
            <w:vAlign w:val="bottom"/>
          </w:tcPr>
          <w:p>
            <w:pPr>
              <w:ind w:left="280"/>
              <w:spacing w:after="0"/>
              <w:rPr>
                <w:sz w:val="20"/>
                <w:szCs w:val="20"/>
                <w:color w:val="auto"/>
              </w:rPr>
            </w:pPr>
            <w:r>
              <w:rPr>
                <w:rFonts w:ascii="Arial" w:cs="Arial" w:eastAsia="Arial" w:hAnsi="Arial"/>
                <w:sz w:val="14"/>
                <w:szCs w:val="14"/>
                <w:color w:val="auto"/>
              </w:rPr>
              <w:t>A.</w:t>
            </w:r>
          </w:p>
        </w:tc>
        <w:tc>
          <w:tcPr>
            <w:tcW w:w="4320" w:type="dxa"/>
            <w:vAlign w:val="bottom"/>
            <w:gridSpan w:val="2"/>
          </w:tcPr>
          <w:p>
            <w:pPr>
              <w:ind w:left="120"/>
              <w:spacing w:after="0"/>
              <w:rPr>
                <w:sz w:val="20"/>
                <w:szCs w:val="20"/>
                <w:color w:val="auto"/>
              </w:rPr>
            </w:pPr>
            <w:r>
              <w:rPr>
                <w:rFonts w:ascii="Arial" w:cs="Arial" w:eastAsia="Arial" w:hAnsi="Arial"/>
                <w:sz w:val="14"/>
                <w:szCs w:val="14"/>
                <w:color w:val="auto"/>
              </w:rPr>
              <w:t>Share capital</w:t>
            </w:r>
          </w:p>
        </w:tc>
        <w:tc>
          <w:tcPr>
            <w:tcW w:w="5920" w:type="dxa"/>
            <w:vAlign w:val="bottom"/>
          </w:tcPr>
          <w:p>
            <w:pPr>
              <w:jc w:val="right"/>
              <w:spacing w:after="0"/>
              <w:rPr>
                <w:sz w:val="20"/>
                <w:szCs w:val="20"/>
                <w:color w:val="auto"/>
              </w:rPr>
            </w:pPr>
            <w:r>
              <w:rPr>
                <w:rFonts w:ascii="Arial" w:cs="Arial" w:eastAsia="Arial" w:hAnsi="Arial"/>
                <w:sz w:val="14"/>
                <w:szCs w:val="14"/>
                <w:color w:val="auto"/>
              </w:rPr>
              <w:t>49, 57, 64, 86-88, 109, 136-137, 164, 167-169, 176, 179</w:t>
            </w:r>
          </w:p>
        </w:tc>
        <w:tc>
          <w:tcPr>
            <w:tcW w:w="0" w:type="dxa"/>
            <w:vAlign w:val="bottom"/>
          </w:tcPr>
          <w:p>
            <w:pPr>
              <w:spacing w:after="0"/>
              <w:rPr>
                <w:sz w:val="1"/>
                <w:szCs w:val="1"/>
                <w:color w:val="auto"/>
              </w:rPr>
            </w:pPr>
          </w:p>
        </w:tc>
      </w:tr>
      <w:tr>
        <w:trPr>
          <w:trHeight w:val="176"/>
        </w:trPr>
        <w:tc>
          <w:tcPr>
            <w:tcW w:w="620" w:type="dxa"/>
            <w:vAlign w:val="bottom"/>
          </w:tcPr>
          <w:p>
            <w:pPr>
              <w:spacing w:after="0"/>
              <w:rPr>
                <w:sz w:val="15"/>
                <w:szCs w:val="15"/>
                <w:color w:val="auto"/>
              </w:rPr>
            </w:pPr>
          </w:p>
        </w:tc>
        <w:tc>
          <w:tcPr>
            <w:tcW w:w="560" w:type="dxa"/>
            <w:vAlign w:val="bottom"/>
          </w:tcPr>
          <w:p>
            <w:pPr>
              <w:ind w:left="280"/>
              <w:spacing w:after="0"/>
              <w:rPr>
                <w:sz w:val="20"/>
                <w:szCs w:val="20"/>
                <w:color w:val="auto"/>
              </w:rPr>
            </w:pPr>
            <w:r>
              <w:rPr>
                <w:rFonts w:ascii="Arial" w:cs="Arial" w:eastAsia="Arial" w:hAnsi="Arial"/>
                <w:sz w:val="14"/>
                <w:szCs w:val="14"/>
                <w:color w:val="auto"/>
              </w:rPr>
              <w:t>B.</w:t>
            </w:r>
          </w:p>
        </w:tc>
        <w:tc>
          <w:tcPr>
            <w:tcW w:w="4320" w:type="dxa"/>
            <w:vAlign w:val="bottom"/>
            <w:gridSpan w:val="2"/>
          </w:tcPr>
          <w:p>
            <w:pPr>
              <w:ind w:left="120"/>
              <w:spacing w:after="0"/>
              <w:rPr>
                <w:sz w:val="20"/>
                <w:szCs w:val="20"/>
                <w:color w:val="auto"/>
              </w:rPr>
            </w:pPr>
            <w:r>
              <w:rPr>
                <w:rFonts w:ascii="Arial" w:cs="Arial" w:eastAsia="Arial" w:hAnsi="Arial"/>
                <w:sz w:val="14"/>
                <w:szCs w:val="14"/>
                <w:color w:val="auto"/>
              </w:rPr>
              <w:t>Memorandum and articles of association</w:t>
            </w:r>
          </w:p>
        </w:tc>
        <w:tc>
          <w:tcPr>
            <w:tcW w:w="5920" w:type="dxa"/>
            <w:vAlign w:val="bottom"/>
          </w:tcPr>
          <w:p>
            <w:pPr>
              <w:jc w:val="right"/>
              <w:spacing w:after="0"/>
              <w:rPr>
                <w:sz w:val="20"/>
                <w:szCs w:val="20"/>
                <w:color w:val="auto"/>
              </w:rPr>
            </w:pPr>
            <w:r>
              <w:rPr>
                <w:rFonts w:ascii="Arial" w:cs="Arial" w:eastAsia="Arial" w:hAnsi="Arial"/>
                <w:sz w:val="14"/>
                <w:szCs w:val="14"/>
                <w:color w:val="auto"/>
              </w:rPr>
              <w:t>71-75</w:t>
            </w:r>
          </w:p>
        </w:tc>
        <w:tc>
          <w:tcPr>
            <w:tcW w:w="0" w:type="dxa"/>
            <w:vAlign w:val="bottom"/>
          </w:tcPr>
          <w:p>
            <w:pPr>
              <w:spacing w:after="0"/>
              <w:rPr>
                <w:sz w:val="1"/>
                <w:szCs w:val="1"/>
                <w:color w:val="auto"/>
              </w:rPr>
            </w:pPr>
          </w:p>
        </w:tc>
      </w:tr>
      <w:tr>
        <w:trPr>
          <w:trHeight w:val="176"/>
        </w:trPr>
        <w:tc>
          <w:tcPr>
            <w:tcW w:w="620" w:type="dxa"/>
            <w:vAlign w:val="bottom"/>
          </w:tcPr>
          <w:p>
            <w:pPr>
              <w:spacing w:after="0"/>
              <w:rPr>
                <w:sz w:val="15"/>
                <w:szCs w:val="15"/>
                <w:color w:val="auto"/>
              </w:rPr>
            </w:pPr>
          </w:p>
        </w:tc>
        <w:tc>
          <w:tcPr>
            <w:tcW w:w="560" w:type="dxa"/>
            <w:vAlign w:val="bottom"/>
          </w:tcPr>
          <w:p>
            <w:pPr>
              <w:ind w:left="280"/>
              <w:spacing w:after="0"/>
              <w:rPr>
                <w:sz w:val="20"/>
                <w:szCs w:val="20"/>
                <w:color w:val="auto"/>
              </w:rPr>
            </w:pPr>
            <w:r>
              <w:rPr>
                <w:rFonts w:ascii="Arial" w:cs="Arial" w:eastAsia="Arial" w:hAnsi="Arial"/>
                <w:sz w:val="14"/>
                <w:szCs w:val="14"/>
                <w:color w:val="auto"/>
              </w:rPr>
              <w:t>C.</w:t>
            </w:r>
          </w:p>
        </w:tc>
        <w:tc>
          <w:tcPr>
            <w:tcW w:w="4320" w:type="dxa"/>
            <w:vAlign w:val="bottom"/>
            <w:gridSpan w:val="2"/>
          </w:tcPr>
          <w:p>
            <w:pPr>
              <w:ind w:left="120"/>
              <w:spacing w:after="0"/>
              <w:rPr>
                <w:sz w:val="20"/>
                <w:szCs w:val="20"/>
                <w:color w:val="auto"/>
              </w:rPr>
            </w:pPr>
            <w:r>
              <w:rPr>
                <w:rFonts w:ascii="Arial" w:cs="Arial" w:eastAsia="Arial" w:hAnsi="Arial"/>
                <w:sz w:val="14"/>
                <w:szCs w:val="14"/>
                <w:color w:val="auto"/>
              </w:rPr>
              <w:t>Material contracts</w:t>
            </w:r>
          </w:p>
        </w:tc>
        <w:tc>
          <w:tcPr>
            <w:tcW w:w="5920" w:type="dxa"/>
            <w:vAlign w:val="bottom"/>
          </w:tcPr>
          <w:p>
            <w:pPr>
              <w:jc w:val="right"/>
              <w:spacing w:after="0"/>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r>
        <w:trPr>
          <w:trHeight w:val="176"/>
        </w:trPr>
        <w:tc>
          <w:tcPr>
            <w:tcW w:w="620" w:type="dxa"/>
            <w:vAlign w:val="bottom"/>
          </w:tcPr>
          <w:p>
            <w:pPr>
              <w:spacing w:after="0"/>
              <w:rPr>
                <w:sz w:val="15"/>
                <w:szCs w:val="15"/>
                <w:color w:val="auto"/>
              </w:rPr>
            </w:pPr>
          </w:p>
        </w:tc>
        <w:tc>
          <w:tcPr>
            <w:tcW w:w="560" w:type="dxa"/>
            <w:vAlign w:val="bottom"/>
          </w:tcPr>
          <w:p>
            <w:pPr>
              <w:ind w:left="280"/>
              <w:spacing w:after="0"/>
              <w:rPr>
                <w:sz w:val="20"/>
                <w:szCs w:val="20"/>
                <w:color w:val="auto"/>
              </w:rPr>
            </w:pPr>
            <w:r>
              <w:rPr>
                <w:rFonts w:ascii="Arial" w:cs="Arial" w:eastAsia="Arial" w:hAnsi="Arial"/>
                <w:sz w:val="14"/>
                <w:szCs w:val="14"/>
                <w:color w:val="auto"/>
              </w:rPr>
              <w:t>D.</w:t>
            </w:r>
          </w:p>
        </w:tc>
        <w:tc>
          <w:tcPr>
            <w:tcW w:w="4320" w:type="dxa"/>
            <w:vAlign w:val="bottom"/>
            <w:gridSpan w:val="2"/>
          </w:tcPr>
          <w:p>
            <w:pPr>
              <w:ind w:left="120"/>
              <w:spacing w:after="0"/>
              <w:rPr>
                <w:sz w:val="20"/>
                <w:szCs w:val="20"/>
                <w:color w:val="auto"/>
              </w:rPr>
            </w:pPr>
            <w:r>
              <w:rPr>
                <w:rFonts w:ascii="Arial" w:cs="Arial" w:eastAsia="Arial" w:hAnsi="Arial"/>
                <w:sz w:val="14"/>
                <w:szCs w:val="14"/>
                <w:color w:val="auto"/>
              </w:rPr>
              <w:t>Exchange controls</w:t>
            </w:r>
          </w:p>
        </w:tc>
        <w:tc>
          <w:tcPr>
            <w:tcW w:w="5920" w:type="dxa"/>
            <w:vAlign w:val="bottom"/>
          </w:tcPr>
          <w:p>
            <w:pPr>
              <w:jc w:val="right"/>
              <w:spacing w:after="0"/>
              <w:rPr>
                <w:sz w:val="20"/>
                <w:szCs w:val="20"/>
                <w:color w:val="auto"/>
              </w:rPr>
            </w:pPr>
            <w:r>
              <w:rPr>
                <w:rFonts w:ascii="Arial" w:cs="Arial" w:eastAsia="Arial" w:hAnsi="Arial"/>
                <w:sz w:val="14"/>
                <w:szCs w:val="14"/>
                <w:color w:val="auto"/>
              </w:rPr>
              <w:t>184</w:t>
            </w:r>
          </w:p>
        </w:tc>
        <w:tc>
          <w:tcPr>
            <w:tcW w:w="0" w:type="dxa"/>
            <w:vAlign w:val="bottom"/>
          </w:tcPr>
          <w:p>
            <w:pPr>
              <w:spacing w:after="0"/>
              <w:rPr>
                <w:sz w:val="1"/>
                <w:szCs w:val="1"/>
                <w:color w:val="auto"/>
              </w:rPr>
            </w:pPr>
          </w:p>
        </w:tc>
      </w:tr>
      <w:tr>
        <w:trPr>
          <w:trHeight w:val="176"/>
        </w:trPr>
        <w:tc>
          <w:tcPr>
            <w:tcW w:w="620" w:type="dxa"/>
            <w:vAlign w:val="bottom"/>
          </w:tcPr>
          <w:p>
            <w:pPr>
              <w:spacing w:after="0"/>
              <w:rPr>
                <w:sz w:val="15"/>
                <w:szCs w:val="15"/>
                <w:color w:val="auto"/>
              </w:rPr>
            </w:pPr>
          </w:p>
        </w:tc>
        <w:tc>
          <w:tcPr>
            <w:tcW w:w="560" w:type="dxa"/>
            <w:vAlign w:val="bottom"/>
          </w:tcPr>
          <w:p>
            <w:pPr>
              <w:ind w:left="280"/>
              <w:spacing w:after="0"/>
              <w:rPr>
                <w:sz w:val="20"/>
                <w:szCs w:val="20"/>
                <w:color w:val="auto"/>
              </w:rPr>
            </w:pPr>
            <w:r>
              <w:rPr>
                <w:rFonts w:ascii="Arial" w:cs="Arial" w:eastAsia="Arial" w:hAnsi="Arial"/>
                <w:sz w:val="14"/>
                <w:szCs w:val="14"/>
                <w:color w:val="auto"/>
              </w:rPr>
              <w:t>E.</w:t>
            </w:r>
          </w:p>
        </w:tc>
        <w:tc>
          <w:tcPr>
            <w:tcW w:w="4320" w:type="dxa"/>
            <w:vAlign w:val="bottom"/>
            <w:gridSpan w:val="2"/>
          </w:tcPr>
          <w:p>
            <w:pPr>
              <w:ind w:left="120"/>
              <w:spacing w:after="0"/>
              <w:rPr>
                <w:sz w:val="20"/>
                <w:szCs w:val="20"/>
                <w:color w:val="auto"/>
              </w:rPr>
            </w:pPr>
            <w:r>
              <w:rPr>
                <w:rFonts w:ascii="Arial" w:cs="Arial" w:eastAsia="Arial" w:hAnsi="Arial"/>
                <w:sz w:val="14"/>
                <w:szCs w:val="14"/>
                <w:color w:val="auto"/>
              </w:rPr>
              <w:t>Taxation</w:t>
            </w:r>
          </w:p>
        </w:tc>
        <w:tc>
          <w:tcPr>
            <w:tcW w:w="5920" w:type="dxa"/>
            <w:vAlign w:val="bottom"/>
          </w:tcPr>
          <w:p>
            <w:pPr>
              <w:jc w:val="right"/>
              <w:spacing w:after="0"/>
              <w:rPr>
                <w:sz w:val="20"/>
                <w:szCs w:val="20"/>
                <w:color w:val="auto"/>
              </w:rPr>
            </w:pPr>
            <w:r>
              <w:rPr>
                <w:rFonts w:ascii="Arial" w:cs="Arial" w:eastAsia="Arial" w:hAnsi="Arial"/>
                <w:sz w:val="14"/>
                <w:szCs w:val="14"/>
                <w:color w:val="auto"/>
              </w:rPr>
              <w:t>184-185</w:t>
            </w:r>
          </w:p>
        </w:tc>
        <w:tc>
          <w:tcPr>
            <w:tcW w:w="0" w:type="dxa"/>
            <w:vAlign w:val="bottom"/>
          </w:tcPr>
          <w:p>
            <w:pPr>
              <w:spacing w:after="0"/>
              <w:rPr>
                <w:sz w:val="1"/>
                <w:szCs w:val="1"/>
                <w:color w:val="auto"/>
              </w:rPr>
            </w:pPr>
          </w:p>
        </w:tc>
      </w:tr>
      <w:tr>
        <w:trPr>
          <w:trHeight w:val="176"/>
        </w:trPr>
        <w:tc>
          <w:tcPr>
            <w:tcW w:w="620" w:type="dxa"/>
            <w:vAlign w:val="bottom"/>
          </w:tcPr>
          <w:p>
            <w:pPr>
              <w:spacing w:after="0"/>
              <w:rPr>
                <w:sz w:val="15"/>
                <w:szCs w:val="15"/>
                <w:color w:val="auto"/>
              </w:rPr>
            </w:pPr>
          </w:p>
        </w:tc>
        <w:tc>
          <w:tcPr>
            <w:tcW w:w="560" w:type="dxa"/>
            <w:vAlign w:val="bottom"/>
          </w:tcPr>
          <w:p>
            <w:pPr>
              <w:ind w:left="280"/>
              <w:spacing w:after="0"/>
              <w:rPr>
                <w:sz w:val="20"/>
                <w:szCs w:val="20"/>
                <w:color w:val="auto"/>
              </w:rPr>
            </w:pPr>
            <w:r>
              <w:rPr>
                <w:rFonts w:ascii="Arial" w:cs="Arial" w:eastAsia="Arial" w:hAnsi="Arial"/>
                <w:sz w:val="14"/>
                <w:szCs w:val="14"/>
                <w:color w:val="auto"/>
              </w:rPr>
              <w:t>F.</w:t>
            </w:r>
          </w:p>
        </w:tc>
        <w:tc>
          <w:tcPr>
            <w:tcW w:w="4320" w:type="dxa"/>
            <w:vAlign w:val="bottom"/>
            <w:gridSpan w:val="2"/>
          </w:tcPr>
          <w:p>
            <w:pPr>
              <w:ind w:left="120"/>
              <w:spacing w:after="0"/>
              <w:rPr>
                <w:sz w:val="20"/>
                <w:szCs w:val="20"/>
                <w:color w:val="auto"/>
              </w:rPr>
            </w:pPr>
            <w:r>
              <w:rPr>
                <w:rFonts w:ascii="Arial" w:cs="Arial" w:eastAsia="Arial" w:hAnsi="Arial"/>
                <w:sz w:val="14"/>
                <w:szCs w:val="14"/>
                <w:color w:val="auto"/>
              </w:rPr>
              <w:t>Dividends and paying agents</w:t>
            </w:r>
          </w:p>
        </w:tc>
        <w:tc>
          <w:tcPr>
            <w:tcW w:w="5920" w:type="dxa"/>
            <w:vAlign w:val="bottom"/>
          </w:tcPr>
          <w:p>
            <w:pPr>
              <w:jc w:val="right"/>
              <w:spacing w:after="0"/>
              <w:rPr>
                <w:sz w:val="20"/>
                <w:szCs w:val="20"/>
                <w:color w:val="auto"/>
              </w:rPr>
            </w:pPr>
            <w:r>
              <w:rPr>
                <w:rFonts w:ascii="Arial" w:cs="Arial" w:eastAsia="Arial" w:hAnsi="Arial"/>
                <w:sz w:val="14"/>
                <w:szCs w:val="14"/>
                <w:color w:val="auto"/>
              </w:rPr>
              <w:t>62, 71-73, 179, 183, back cover</w:t>
            </w:r>
          </w:p>
        </w:tc>
        <w:tc>
          <w:tcPr>
            <w:tcW w:w="0" w:type="dxa"/>
            <w:vAlign w:val="bottom"/>
          </w:tcPr>
          <w:p>
            <w:pPr>
              <w:spacing w:after="0"/>
              <w:rPr>
                <w:sz w:val="1"/>
                <w:szCs w:val="1"/>
                <w:color w:val="auto"/>
              </w:rPr>
            </w:pPr>
          </w:p>
        </w:tc>
      </w:tr>
      <w:tr>
        <w:trPr>
          <w:trHeight w:val="176"/>
        </w:trPr>
        <w:tc>
          <w:tcPr>
            <w:tcW w:w="620" w:type="dxa"/>
            <w:vAlign w:val="bottom"/>
          </w:tcPr>
          <w:p>
            <w:pPr>
              <w:spacing w:after="0"/>
              <w:rPr>
                <w:sz w:val="15"/>
                <w:szCs w:val="15"/>
                <w:color w:val="auto"/>
              </w:rPr>
            </w:pPr>
          </w:p>
        </w:tc>
        <w:tc>
          <w:tcPr>
            <w:tcW w:w="560" w:type="dxa"/>
            <w:vAlign w:val="bottom"/>
          </w:tcPr>
          <w:p>
            <w:pPr>
              <w:ind w:left="280"/>
              <w:spacing w:after="0"/>
              <w:rPr>
                <w:sz w:val="20"/>
                <w:szCs w:val="20"/>
                <w:color w:val="auto"/>
              </w:rPr>
            </w:pPr>
            <w:r>
              <w:rPr>
                <w:rFonts w:ascii="Arial" w:cs="Arial" w:eastAsia="Arial" w:hAnsi="Arial"/>
                <w:sz w:val="14"/>
                <w:szCs w:val="14"/>
                <w:color w:val="auto"/>
              </w:rPr>
              <w:t>G.</w:t>
            </w:r>
          </w:p>
        </w:tc>
        <w:tc>
          <w:tcPr>
            <w:tcW w:w="4320" w:type="dxa"/>
            <w:vAlign w:val="bottom"/>
            <w:gridSpan w:val="2"/>
          </w:tcPr>
          <w:p>
            <w:pPr>
              <w:ind w:left="120"/>
              <w:spacing w:after="0"/>
              <w:rPr>
                <w:sz w:val="20"/>
                <w:szCs w:val="20"/>
                <w:color w:val="auto"/>
              </w:rPr>
            </w:pPr>
            <w:r>
              <w:rPr>
                <w:rFonts w:ascii="Arial" w:cs="Arial" w:eastAsia="Arial" w:hAnsi="Arial"/>
                <w:sz w:val="14"/>
                <w:szCs w:val="14"/>
                <w:color w:val="auto"/>
              </w:rPr>
              <w:t>Statement by experts</w:t>
            </w:r>
          </w:p>
        </w:tc>
        <w:tc>
          <w:tcPr>
            <w:tcW w:w="5920" w:type="dxa"/>
            <w:vAlign w:val="bottom"/>
          </w:tcPr>
          <w:p>
            <w:pPr>
              <w:jc w:val="right"/>
              <w:spacing w:after="0"/>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r>
        <w:trPr>
          <w:trHeight w:val="176"/>
        </w:trPr>
        <w:tc>
          <w:tcPr>
            <w:tcW w:w="620" w:type="dxa"/>
            <w:vAlign w:val="bottom"/>
          </w:tcPr>
          <w:p>
            <w:pPr>
              <w:spacing w:after="0"/>
              <w:rPr>
                <w:sz w:val="15"/>
                <w:szCs w:val="15"/>
                <w:color w:val="auto"/>
              </w:rPr>
            </w:pPr>
          </w:p>
        </w:tc>
        <w:tc>
          <w:tcPr>
            <w:tcW w:w="560" w:type="dxa"/>
            <w:vAlign w:val="bottom"/>
          </w:tcPr>
          <w:p>
            <w:pPr>
              <w:ind w:left="280"/>
              <w:spacing w:after="0"/>
              <w:rPr>
                <w:sz w:val="20"/>
                <w:szCs w:val="20"/>
                <w:color w:val="auto"/>
              </w:rPr>
            </w:pPr>
            <w:r>
              <w:rPr>
                <w:rFonts w:ascii="Arial" w:cs="Arial" w:eastAsia="Arial" w:hAnsi="Arial"/>
                <w:sz w:val="14"/>
                <w:szCs w:val="14"/>
                <w:color w:val="auto"/>
              </w:rPr>
              <w:t>H.</w:t>
            </w:r>
          </w:p>
        </w:tc>
        <w:tc>
          <w:tcPr>
            <w:tcW w:w="4320" w:type="dxa"/>
            <w:vAlign w:val="bottom"/>
            <w:gridSpan w:val="2"/>
          </w:tcPr>
          <w:p>
            <w:pPr>
              <w:ind w:left="120"/>
              <w:spacing w:after="0"/>
              <w:rPr>
                <w:sz w:val="20"/>
                <w:szCs w:val="20"/>
                <w:color w:val="auto"/>
              </w:rPr>
            </w:pPr>
            <w:r>
              <w:rPr>
                <w:rFonts w:ascii="Arial" w:cs="Arial" w:eastAsia="Arial" w:hAnsi="Arial"/>
                <w:sz w:val="14"/>
                <w:szCs w:val="14"/>
                <w:color w:val="auto"/>
              </w:rPr>
              <w:t>Documents on display</w:t>
            </w:r>
          </w:p>
        </w:tc>
        <w:tc>
          <w:tcPr>
            <w:tcW w:w="5920" w:type="dxa"/>
            <w:vAlign w:val="bottom"/>
          </w:tcPr>
          <w:p>
            <w:pPr>
              <w:jc w:val="right"/>
              <w:spacing w:after="0"/>
              <w:rPr>
                <w:sz w:val="20"/>
                <w:szCs w:val="20"/>
                <w:color w:val="auto"/>
              </w:rPr>
            </w:pPr>
            <w:r>
              <w:rPr>
                <w:rFonts w:ascii="Arial" w:cs="Arial" w:eastAsia="Arial" w:hAnsi="Arial"/>
                <w:sz w:val="14"/>
                <w:szCs w:val="14"/>
                <w:color w:val="auto"/>
              </w:rPr>
              <w:t>5</w:t>
            </w:r>
          </w:p>
        </w:tc>
        <w:tc>
          <w:tcPr>
            <w:tcW w:w="0" w:type="dxa"/>
            <w:vAlign w:val="bottom"/>
          </w:tcPr>
          <w:p>
            <w:pPr>
              <w:spacing w:after="0"/>
              <w:rPr>
                <w:sz w:val="1"/>
                <w:szCs w:val="1"/>
                <w:color w:val="auto"/>
              </w:rPr>
            </w:pPr>
          </w:p>
        </w:tc>
      </w:tr>
      <w:tr>
        <w:trPr>
          <w:trHeight w:val="176"/>
        </w:trPr>
        <w:tc>
          <w:tcPr>
            <w:tcW w:w="620" w:type="dxa"/>
            <w:vAlign w:val="bottom"/>
          </w:tcPr>
          <w:p>
            <w:pPr>
              <w:spacing w:after="0"/>
              <w:rPr>
                <w:sz w:val="15"/>
                <w:szCs w:val="15"/>
                <w:color w:val="auto"/>
              </w:rPr>
            </w:pPr>
          </w:p>
        </w:tc>
        <w:tc>
          <w:tcPr>
            <w:tcW w:w="560" w:type="dxa"/>
            <w:vAlign w:val="bottom"/>
          </w:tcPr>
          <w:p>
            <w:pPr>
              <w:ind w:left="280"/>
              <w:spacing w:after="0"/>
              <w:rPr>
                <w:sz w:val="20"/>
                <w:szCs w:val="20"/>
                <w:color w:val="auto"/>
              </w:rPr>
            </w:pPr>
            <w:r>
              <w:rPr>
                <w:rFonts w:ascii="Arial" w:cs="Arial" w:eastAsia="Arial" w:hAnsi="Arial"/>
                <w:sz w:val="14"/>
                <w:szCs w:val="14"/>
                <w:color w:val="auto"/>
              </w:rPr>
              <w:t>I.</w:t>
            </w:r>
          </w:p>
        </w:tc>
        <w:tc>
          <w:tcPr>
            <w:tcW w:w="4320" w:type="dxa"/>
            <w:vAlign w:val="bottom"/>
            <w:gridSpan w:val="2"/>
          </w:tcPr>
          <w:p>
            <w:pPr>
              <w:ind w:left="120"/>
              <w:spacing w:after="0"/>
              <w:rPr>
                <w:sz w:val="20"/>
                <w:szCs w:val="20"/>
                <w:color w:val="auto"/>
              </w:rPr>
            </w:pPr>
            <w:r>
              <w:rPr>
                <w:rFonts w:ascii="Arial" w:cs="Arial" w:eastAsia="Arial" w:hAnsi="Arial"/>
                <w:sz w:val="14"/>
                <w:szCs w:val="14"/>
                <w:color w:val="auto"/>
              </w:rPr>
              <w:t>Subsidiary information</w:t>
            </w:r>
          </w:p>
        </w:tc>
        <w:tc>
          <w:tcPr>
            <w:tcW w:w="5920" w:type="dxa"/>
            <w:vAlign w:val="bottom"/>
          </w:tcPr>
          <w:p>
            <w:pPr>
              <w:jc w:val="right"/>
              <w:spacing w:after="0"/>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r>
        <w:trPr>
          <w:trHeight w:val="176"/>
        </w:trPr>
        <w:tc>
          <w:tcPr>
            <w:tcW w:w="620" w:type="dxa"/>
            <w:vAlign w:val="bottom"/>
          </w:tcPr>
          <w:p>
            <w:pPr>
              <w:spacing w:after="0"/>
              <w:rPr>
                <w:sz w:val="20"/>
                <w:szCs w:val="20"/>
                <w:color w:val="auto"/>
              </w:rPr>
            </w:pPr>
            <w:r>
              <w:rPr>
                <w:rFonts w:ascii="Arial" w:cs="Arial" w:eastAsia="Arial" w:hAnsi="Arial"/>
                <w:sz w:val="14"/>
                <w:szCs w:val="14"/>
                <w:color w:val="auto"/>
              </w:rPr>
              <w:t>Item 11.</w:t>
            </w:r>
          </w:p>
        </w:tc>
        <w:tc>
          <w:tcPr>
            <w:tcW w:w="4880" w:type="dxa"/>
            <w:vAlign w:val="bottom"/>
            <w:gridSpan w:val="3"/>
          </w:tcPr>
          <w:p>
            <w:pPr>
              <w:ind w:left="280"/>
              <w:spacing w:after="0"/>
              <w:rPr>
                <w:sz w:val="20"/>
                <w:szCs w:val="20"/>
                <w:color w:val="auto"/>
              </w:rPr>
            </w:pPr>
            <w:r>
              <w:rPr>
                <w:rFonts w:ascii="Arial" w:cs="Arial" w:eastAsia="Arial" w:hAnsi="Arial"/>
                <w:sz w:val="14"/>
                <w:szCs w:val="14"/>
                <w:color w:val="auto"/>
              </w:rPr>
              <w:t>Quantitative and Qualitative Disclosures About Market Risk</w:t>
            </w:r>
          </w:p>
        </w:tc>
        <w:tc>
          <w:tcPr>
            <w:tcW w:w="5920" w:type="dxa"/>
            <w:vAlign w:val="bottom"/>
          </w:tcPr>
          <w:p>
            <w:pPr>
              <w:jc w:val="right"/>
              <w:spacing w:after="0"/>
              <w:rPr>
                <w:sz w:val="20"/>
                <w:szCs w:val="20"/>
                <w:color w:val="auto"/>
              </w:rPr>
            </w:pPr>
            <w:r>
              <w:rPr>
                <w:rFonts w:ascii="Arial" w:cs="Arial" w:eastAsia="Arial" w:hAnsi="Arial"/>
                <w:sz w:val="14"/>
                <w:szCs w:val="14"/>
                <w:color w:val="auto"/>
              </w:rPr>
              <w:t>70-71, 111-117, 122, 131-136, 167, 177-178</w:t>
            </w:r>
          </w:p>
        </w:tc>
        <w:tc>
          <w:tcPr>
            <w:tcW w:w="0" w:type="dxa"/>
            <w:vAlign w:val="bottom"/>
          </w:tcPr>
          <w:p>
            <w:pPr>
              <w:spacing w:after="0"/>
              <w:rPr>
                <w:sz w:val="1"/>
                <w:szCs w:val="1"/>
                <w:color w:val="auto"/>
              </w:rPr>
            </w:pPr>
          </w:p>
        </w:tc>
      </w:tr>
      <w:tr>
        <w:trPr>
          <w:trHeight w:val="186"/>
        </w:trPr>
        <w:tc>
          <w:tcPr>
            <w:tcW w:w="620" w:type="dxa"/>
            <w:vAlign w:val="bottom"/>
          </w:tcPr>
          <w:p>
            <w:pPr>
              <w:spacing w:after="0"/>
              <w:rPr>
                <w:sz w:val="20"/>
                <w:szCs w:val="20"/>
                <w:color w:val="auto"/>
              </w:rPr>
            </w:pPr>
            <w:r>
              <w:rPr>
                <w:rFonts w:ascii="Arial" w:cs="Arial" w:eastAsia="Arial" w:hAnsi="Arial"/>
                <w:sz w:val="14"/>
                <w:szCs w:val="14"/>
                <w:color w:val="auto"/>
              </w:rPr>
              <w:t>Item 12.</w:t>
            </w:r>
          </w:p>
        </w:tc>
        <w:tc>
          <w:tcPr>
            <w:tcW w:w="4880" w:type="dxa"/>
            <w:vAlign w:val="bottom"/>
            <w:gridSpan w:val="3"/>
          </w:tcPr>
          <w:p>
            <w:pPr>
              <w:ind w:left="280"/>
              <w:spacing w:after="0"/>
              <w:rPr>
                <w:sz w:val="20"/>
                <w:szCs w:val="20"/>
                <w:color w:val="auto"/>
              </w:rPr>
            </w:pPr>
            <w:r>
              <w:rPr>
                <w:rFonts w:ascii="Arial" w:cs="Arial" w:eastAsia="Arial" w:hAnsi="Arial"/>
                <w:sz w:val="14"/>
                <w:szCs w:val="14"/>
                <w:color w:val="auto"/>
              </w:rPr>
              <w:t>Description of Securities Other than Equity Securities</w:t>
            </w:r>
          </w:p>
        </w:tc>
        <w:tc>
          <w:tcPr>
            <w:tcW w:w="5920" w:type="dxa"/>
            <w:vAlign w:val="bottom"/>
          </w:tcPr>
          <w:p>
            <w:pPr>
              <w:jc w:val="right"/>
              <w:spacing w:after="0"/>
              <w:rPr>
                <w:sz w:val="20"/>
                <w:szCs w:val="20"/>
                <w:color w:val="auto"/>
              </w:rPr>
            </w:pPr>
            <w:r>
              <w:rPr>
                <w:rFonts w:ascii="Arial" w:cs="Arial" w:eastAsia="Arial" w:hAnsi="Arial"/>
                <w:sz w:val="14"/>
                <w:szCs w:val="14"/>
                <w:color w:val="auto"/>
              </w:rPr>
              <w:t>179, 183-184</w:t>
            </w: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6471285</wp:posOffset>
            </wp:positionH>
            <wp:positionV relativeFrom="paragraph">
              <wp:posOffset>300355</wp:posOffset>
            </wp:positionV>
            <wp:extent cx="8890" cy="46291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8890" cy="462915"/>
                    </a:xfrm>
                    <a:prstGeom prst="rect">
                      <a:avLst/>
                    </a:prstGeom>
                    <a:noFill/>
                  </pic:spPr>
                </pic:pic>
              </a:graphicData>
            </a:graphic>
          </wp:anchor>
        </w:drawing>
      </w:r>
    </w:p>
    <w:p>
      <w:pPr>
        <w:spacing w:after="0" w:line="200" w:lineRule="exact"/>
        <w:rPr>
          <w:sz w:val="20"/>
          <w:szCs w:val="20"/>
          <w:color w:val="auto"/>
        </w:rPr>
      </w:pP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565"/>
        </w:trPr>
        <w:tc>
          <w:tcPr>
            <w:tcW w:w="960" w:type="dxa"/>
            <w:vAlign w:val="bottom"/>
          </w:tcPr>
          <w:p>
            <w:pPr>
              <w:spacing w:after="0"/>
              <w:rPr>
                <w:sz w:val="24"/>
                <w:szCs w:val="24"/>
                <w:color w:val="auto"/>
              </w:rPr>
            </w:pPr>
          </w:p>
        </w:tc>
        <w:tc>
          <w:tcPr>
            <w:tcW w:w="4640" w:type="dxa"/>
            <w:vAlign w:val="bottom"/>
          </w:tcPr>
          <w:p>
            <w:pPr>
              <w:spacing w:after="0"/>
              <w:rPr>
                <w:sz w:val="24"/>
                <w:szCs w:val="24"/>
                <w:color w:val="auto"/>
              </w:rPr>
            </w:pPr>
          </w:p>
        </w:tc>
        <w:tc>
          <w:tcPr>
            <w:tcW w:w="760" w:type="dxa"/>
            <w:vAlign w:val="bottom"/>
            <w:shd w:val="clear" w:color="auto" w:fill="FF8B00"/>
          </w:tcPr>
          <w:p>
            <w:pPr>
              <w:spacing w:after="0"/>
              <w:rPr>
                <w:sz w:val="24"/>
                <w:szCs w:val="24"/>
                <w:color w:val="auto"/>
              </w:rPr>
            </w:pPr>
          </w:p>
        </w:tc>
        <w:tc>
          <w:tcPr>
            <w:tcW w:w="2800" w:type="dxa"/>
            <w:vAlign w:val="bottom"/>
            <w:shd w:val="clear" w:color="auto" w:fill="FF8B00"/>
          </w:tcPr>
          <w:p>
            <w:pPr>
              <w:ind w:left="180"/>
              <w:spacing w:after="0"/>
              <w:rPr>
                <w:sz w:val="20"/>
                <w:szCs w:val="20"/>
                <w:color w:val="auto"/>
              </w:rPr>
            </w:pPr>
            <w:r>
              <w:rPr>
                <w:rFonts w:ascii="Arial" w:cs="Arial" w:eastAsia="Arial" w:hAnsi="Arial"/>
                <w:sz w:val="13"/>
                <w:szCs w:val="13"/>
                <w:color w:val="333333"/>
              </w:rPr>
              <w:t>INTRODUCTION</w:t>
            </w:r>
          </w:p>
        </w:tc>
        <w:tc>
          <w:tcPr>
            <w:tcW w:w="2260" w:type="dxa"/>
            <w:vAlign w:val="bottom"/>
            <w:shd w:val="clear" w:color="auto" w:fill="FF8B00"/>
          </w:tcPr>
          <w:p>
            <w:pPr>
              <w:jc w:val="right"/>
              <w:ind w:right="289"/>
              <w:spacing w:after="0"/>
              <w:rPr>
                <w:sz w:val="20"/>
                <w:szCs w:val="20"/>
                <w:color w:val="auto"/>
              </w:rPr>
            </w:pPr>
            <w:r>
              <w:rPr>
                <w:rFonts w:ascii="Arial" w:cs="Arial" w:eastAsia="Arial" w:hAnsi="Arial"/>
                <w:sz w:val="11"/>
                <w:szCs w:val="11"/>
                <w:b w:val="1"/>
                <w:bCs w:val="1"/>
                <w:color w:val="333333"/>
              </w:rPr>
              <w:t>03</w:t>
            </w:r>
          </w:p>
        </w:tc>
        <w:tc>
          <w:tcPr>
            <w:tcW w:w="0" w:type="dxa"/>
            <w:vAlign w:val="bottom"/>
          </w:tcPr>
          <w:p>
            <w:pPr>
              <w:spacing w:after="0"/>
              <w:rPr>
                <w:sz w:val="1"/>
                <w:szCs w:val="1"/>
                <w:color w:val="auto"/>
              </w:rPr>
            </w:pPr>
          </w:p>
        </w:tc>
      </w:tr>
      <w:tr>
        <w:trPr>
          <w:trHeight w:val="165"/>
        </w:trPr>
        <w:tc>
          <w:tcPr>
            <w:tcW w:w="5600" w:type="dxa"/>
            <w:vAlign w:val="bottom"/>
            <w:gridSpan w:val="2"/>
            <w:vMerge w:val="restart"/>
          </w:tcPr>
          <w:p>
            <w:pPr>
              <w:spacing w:after="0"/>
              <w:rPr>
                <w:sz w:val="20"/>
                <w:szCs w:val="20"/>
                <w:color w:val="auto"/>
              </w:rPr>
            </w:pPr>
            <w:r>
              <w:rPr>
                <w:rFonts w:ascii="Arial" w:cs="Arial" w:eastAsia="Arial" w:hAnsi="Arial"/>
                <w:sz w:val="11"/>
                <w:szCs w:val="11"/>
                <w:color w:val="auto"/>
              </w:rPr>
              <w:t>SHELL ANNUAL REPORT AND FORM 20-F 2014</w:t>
            </w:r>
          </w:p>
        </w:tc>
        <w:tc>
          <w:tcPr>
            <w:tcW w:w="760" w:type="dxa"/>
            <w:vAlign w:val="bottom"/>
            <w:shd w:val="clear" w:color="auto" w:fill="FF8B00"/>
          </w:tcPr>
          <w:p>
            <w:pPr>
              <w:spacing w:after="0"/>
              <w:rPr>
                <w:sz w:val="14"/>
                <w:szCs w:val="14"/>
                <w:color w:val="auto"/>
              </w:rPr>
            </w:pPr>
          </w:p>
        </w:tc>
        <w:tc>
          <w:tcPr>
            <w:tcW w:w="2800" w:type="dxa"/>
            <w:vAlign w:val="bottom"/>
            <w:shd w:val="clear" w:color="auto" w:fill="FF8B00"/>
          </w:tcPr>
          <w:p>
            <w:pPr>
              <w:spacing w:after="0"/>
              <w:rPr>
                <w:sz w:val="14"/>
                <w:szCs w:val="14"/>
                <w:color w:val="auto"/>
              </w:rPr>
            </w:pPr>
          </w:p>
        </w:tc>
        <w:tc>
          <w:tcPr>
            <w:tcW w:w="2260" w:type="dxa"/>
            <w:vAlign w:val="bottom"/>
            <w:shd w:val="clear" w:color="auto" w:fill="FF8B00"/>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5600" w:type="dxa"/>
            <w:vAlign w:val="bottom"/>
            <w:gridSpan w:val="2"/>
            <w:vMerge w:val="continue"/>
          </w:tcPr>
          <w:p>
            <w:pPr>
              <w:spacing w:after="0"/>
              <w:rPr>
                <w:sz w:val="10"/>
                <w:szCs w:val="10"/>
                <w:color w:val="auto"/>
              </w:rPr>
            </w:pPr>
          </w:p>
        </w:tc>
        <w:tc>
          <w:tcPr>
            <w:tcW w:w="760" w:type="dxa"/>
            <w:vAlign w:val="bottom"/>
          </w:tcPr>
          <w:p>
            <w:pPr>
              <w:spacing w:after="0"/>
              <w:rPr>
                <w:sz w:val="10"/>
                <w:szCs w:val="10"/>
                <w:color w:val="auto"/>
              </w:rPr>
            </w:pPr>
          </w:p>
        </w:tc>
        <w:tc>
          <w:tcPr>
            <w:tcW w:w="2800" w:type="dxa"/>
            <w:vAlign w:val="bottom"/>
          </w:tcPr>
          <w:p>
            <w:pPr>
              <w:ind w:left="180"/>
              <w:spacing w:after="0"/>
              <w:rPr>
                <w:sz w:val="20"/>
                <w:szCs w:val="20"/>
                <w:color w:val="auto"/>
              </w:rPr>
            </w:pPr>
            <w:r>
              <w:rPr>
                <w:rFonts w:ascii="Arial" w:cs="Arial" w:eastAsia="Arial" w:hAnsi="Arial"/>
                <w:sz w:val="11"/>
                <w:szCs w:val="11"/>
                <w:color w:val="auto"/>
              </w:rPr>
              <w:t>CROSS REFERENCE TO FORM 20-F</w:t>
            </w:r>
          </w:p>
        </w:tc>
        <w:tc>
          <w:tcPr>
            <w:tcW w:w="22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7"/>
        </w:trPr>
        <w:tc>
          <w:tcPr>
            <w:tcW w:w="960" w:type="dxa"/>
            <w:vAlign w:val="bottom"/>
            <w:tcBorders>
              <w:bottom w:val="single" w:sz="8" w:color="auto"/>
            </w:tcBorders>
          </w:tcPr>
          <w:p>
            <w:pPr>
              <w:spacing w:after="0" w:line="157" w:lineRule="exact"/>
              <w:rPr>
                <w:sz w:val="20"/>
                <w:szCs w:val="20"/>
                <w:color w:val="auto"/>
              </w:rPr>
            </w:pPr>
            <w:r>
              <w:rPr>
                <w:rFonts w:ascii="Arial" w:cs="Arial" w:eastAsia="Arial" w:hAnsi="Arial"/>
                <w:sz w:val="14"/>
                <w:szCs w:val="14"/>
                <w:color w:val="auto"/>
              </w:rPr>
              <w:t>Part II</w:t>
            </w:r>
          </w:p>
        </w:tc>
        <w:tc>
          <w:tcPr>
            <w:tcW w:w="464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c>
          <w:tcPr>
            <w:tcW w:w="2800" w:type="dxa"/>
            <w:vAlign w:val="bottom"/>
            <w:tcBorders>
              <w:bottom w:val="single" w:sz="8" w:color="auto"/>
            </w:tcBorders>
          </w:tcPr>
          <w:p>
            <w:pPr>
              <w:spacing w:after="0"/>
              <w:rPr>
                <w:sz w:val="13"/>
                <w:szCs w:val="13"/>
                <w:color w:val="auto"/>
              </w:rPr>
            </w:pPr>
          </w:p>
        </w:tc>
        <w:tc>
          <w:tcPr>
            <w:tcW w:w="2260" w:type="dxa"/>
            <w:vAlign w:val="bottom"/>
            <w:tcBorders>
              <w:bottom w:val="single" w:sz="8" w:color="auto"/>
            </w:tcBorders>
          </w:tcPr>
          <w:p>
            <w:pPr>
              <w:jc w:val="right"/>
              <w:spacing w:after="0" w:line="157" w:lineRule="exact"/>
              <w:rPr>
                <w:sz w:val="20"/>
                <w:szCs w:val="20"/>
                <w:color w:val="auto"/>
              </w:rPr>
            </w:pPr>
            <w:r>
              <w:rPr>
                <w:rFonts w:ascii="Arial" w:cs="Arial" w:eastAsia="Arial" w:hAnsi="Arial"/>
                <w:sz w:val="14"/>
                <w:szCs w:val="14"/>
                <w:color w:val="auto"/>
              </w:rPr>
              <w:t>Pages</w:t>
            </w:r>
          </w:p>
        </w:tc>
        <w:tc>
          <w:tcPr>
            <w:tcW w:w="0" w:type="dxa"/>
            <w:vAlign w:val="bottom"/>
          </w:tcPr>
          <w:p>
            <w:pPr>
              <w:spacing w:after="0"/>
              <w:rPr>
                <w:sz w:val="1"/>
                <w:szCs w:val="1"/>
                <w:color w:val="auto"/>
              </w:rPr>
            </w:pPr>
          </w:p>
        </w:tc>
      </w:tr>
      <w:tr>
        <w:trPr>
          <w:trHeight w:val="160"/>
        </w:trPr>
        <w:tc>
          <w:tcPr>
            <w:tcW w:w="960" w:type="dxa"/>
            <w:vAlign w:val="bottom"/>
          </w:tcPr>
          <w:p>
            <w:pPr>
              <w:spacing w:after="0"/>
              <w:rPr>
                <w:sz w:val="20"/>
                <w:szCs w:val="20"/>
                <w:color w:val="auto"/>
              </w:rPr>
            </w:pPr>
            <w:r>
              <w:rPr>
                <w:rFonts w:ascii="Arial" w:cs="Arial" w:eastAsia="Arial" w:hAnsi="Arial"/>
                <w:sz w:val="14"/>
                <w:szCs w:val="14"/>
                <w:color w:val="auto"/>
              </w:rPr>
              <w:t>Item 13.</w:t>
            </w:r>
          </w:p>
        </w:tc>
        <w:tc>
          <w:tcPr>
            <w:tcW w:w="5400" w:type="dxa"/>
            <w:vAlign w:val="bottom"/>
            <w:gridSpan w:val="2"/>
          </w:tcPr>
          <w:p>
            <w:pPr>
              <w:ind w:left="340"/>
              <w:spacing w:after="0"/>
              <w:rPr>
                <w:sz w:val="20"/>
                <w:szCs w:val="20"/>
                <w:color w:val="auto"/>
              </w:rPr>
            </w:pPr>
            <w:r>
              <w:rPr>
                <w:rFonts w:ascii="Arial" w:cs="Arial" w:eastAsia="Arial" w:hAnsi="Arial"/>
                <w:sz w:val="14"/>
                <w:szCs w:val="14"/>
                <w:color w:val="auto"/>
              </w:rPr>
              <w:t>Defaults, Dividend Arrearages and Delinquencies</w:t>
            </w:r>
          </w:p>
        </w:tc>
        <w:tc>
          <w:tcPr>
            <w:tcW w:w="2800" w:type="dxa"/>
            <w:vAlign w:val="bottom"/>
          </w:tcPr>
          <w:p>
            <w:pPr>
              <w:spacing w:after="0"/>
              <w:rPr>
                <w:sz w:val="13"/>
                <w:szCs w:val="13"/>
                <w:color w:val="auto"/>
              </w:rPr>
            </w:pPr>
          </w:p>
        </w:tc>
        <w:tc>
          <w:tcPr>
            <w:tcW w:w="2260" w:type="dxa"/>
            <w:vAlign w:val="bottom"/>
          </w:tcPr>
          <w:p>
            <w:pPr>
              <w:jc w:val="right"/>
              <w:spacing w:after="0"/>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r>
        <w:trPr>
          <w:trHeight w:val="162"/>
        </w:trPr>
        <w:tc>
          <w:tcPr>
            <w:tcW w:w="960" w:type="dxa"/>
            <w:vAlign w:val="bottom"/>
          </w:tcPr>
          <w:p>
            <w:pPr>
              <w:spacing w:after="0"/>
              <w:rPr>
                <w:sz w:val="20"/>
                <w:szCs w:val="20"/>
                <w:color w:val="auto"/>
              </w:rPr>
            </w:pPr>
            <w:r>
              <w:rPr>
                <w:rFonts w:ascii="Arial" w:cs="Arial" w:eastAsia="Arial" w:hAnsi="Arial"/>
                <w:sz w:val="14"/>
                <w:szCs w:val="14"/>
                <w:color w:val="auto"/>
              </w:rPr>
              <w:t>Item 14.</w:t>
            </w:r>
          </w:p>
        </w:tc>
        <w:tc>
          <w:tcPr>
            <w:tcW w:w="5400" w:type="dxa"/>
            <w:vAlign w:val="bottom"/>
            <w:gridSpan w:val="2"/>
          </w:tcPr>
          <w:p>
            <w:pPr>
              <w:ind w:left="340"/>
              <w:spacing w:after="0"/>
              <w:rPr>
                <w:sz w:val="20"/>
                <w:szCs w:val="20"/>
                <w:color w:val="auto"/>
              </w:rPr>
            </w:pPr>
            <w:r>
              <w:rPr>
                <w:rFonts w:ascii="Arial" w:cs="Arial" w:eastAsia="Arial" w:hAnsi="Arial"/>
                <w:sz w:val="14"/>
                <w:szCs w:val="14"/>
                <w:color w:val="auto"/>
              </w:rPr>
              <w:t>Material Modifications to the Rights of Security Holders and Use of Proceeds</w:t>
            </w:r>
          </w:p>
        </w:tc>
        <w:tc>
          <w:tcPr>
            <w:tcW w:w="2800" w:type="dxa"/>
            <w:vAlign w:val="bottom"/>
          </w:tcPr>
          <w:p>
            <w:pPr>
              <w:spacing w:after="0"/>
              <w:rPr>
                <w:sz w:val="14"/>
                <w:szCs w:val="14"/>
                <w:color w:val="auto"/>
              </w:rPr>
            </w:pPr>
          </w:p>
        </w:tc>
        <w:tc>
          <w:tcPr>
            <w:tcW w:w="2260" w:type="dxa"/>
            <w:vAlign w:val="bottom"/>
          </w:tcPr>
          <w:p>
            <w:pPr>
              <w:jc w:val="right"/>
              <w:spacing w:after="0"/>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r>
        <w:trPr>
          <w:trHeight w:val="162"/>
        </w:trPr>
        <w:tc>
          <w:tcPr>
            <w:tcW w:w="960" w:type="dxa"/>
            <w:vAlign w:val="bottom"/>
          </w:tcPr>
          <w:p>
            <w:pPr>
              <w:spacing w:after="0"/>
              <w:rPr>
                <w:sz w:val="20"/>
                <w:szCs w:val="20"/>
                <w:color w:val="auto"/>
              </w:rPr>
            </w:pPr>
            <w:r>
              <w:rPr>
                <w:rFonts w:ascii="Arial" w:cs="Arial" w:eastAsia="Arial" w:hAnsi="Arial"/>
                <w:sz w:val="14"/>
                <w:szCs w:val="14"/>
                <w:color w:val="auto"/>
              </w:rPr>
              <w:t>Item 15.</w:t>
            </w:r>
          </w:p>
        </w:tc>
        <w:tc>
          <w:tcPr>
            <w:tcW w:w="5400" w:type="dxa"/>
            <w:vAlign w:val="bottom"/>
            <w:gridSpan w:val="2"/>
          </w:tcPr>
          <w:p>
            <w:pPr>
              <w:ind w:left="340"/>
              <w:spacing w:after="0"/>
              <w:rPr>
                <w:sz w:val="20"/>
                <w:szCs w:val="20"/>
                <w:color w:val="auto"/>
              </w:rPr>
            </w:pPr>
            <w:r>
              <w:rPr>
                <w:rFonts w:ascii="Arial" w:cs="Arial" w:eastAsia="Arial" w:hAnsi="Arial"/>
                <w:sz w:val="14"/>
                <w:szCs w:val="14"/>
                <w:color w:val="auto"/>
              </w:rPr>
              <w:t>Controls and Procedures</w:t>
            </w:r>
          </w:p>
        </w:tc>
        <w:tc>
          <w:tcPr>
            <w:tcW w:w="2800" w:type="dxa"/>
            <w:vAlign w:val="bottom"/>
          </w:tcPr>
          <w:p>
            <w:pPr>
              <w:spacing w:after="0"/>
              <w:rPr>
                <w:sz w:val="14"/>
                <w:szCs w:val="14"/>
                <w:color w:val="auto"/>
              </w:rPr>
            </w:pPr>
          </w:p>
        </w:tc>
        <w:tc>
          <w:tcPr>
            <w:tcW w:w="2260" w:type="dxa"/>
            <w:vAlign w:val="bottom"/>
          </w:tcPr>
          <w:p>
            <w:pPr>
              <w:jc w:val="right"/>
              <w:spacing w:after="0"/>
              <w:rPr>
                <w:sz w:val="20"/>
                <w:szCs w:val="20"/>
                <w:color w:val="auto"/>
              </w:rPr>
            </w:pPr>
            <w:r>
              <w:rPr>
                <w:rFonts w:ascii="Arial" w:cs="Arial" w:eastAsia="Arial" w:hAnsi="Arial"/>
                <w:sz w:val="14"/>
                <w:szCs w:val="14"/>
                <w:color w:val="auto"/>
              </w:rPr>
              <w:t>70-71, 105, 173, E4-E5</w:t>
            </w:r>
          </w:p>
        </w:tc>
        <w:tc>
          <w:tcPr>
            <w:tcW w:w="0" w:type="dxa"/>
            <w:vAlign w:val="bottom"/>
          </w:tcPr>
          <w:p>
            <w:pPr>
              <w:spacing w:after="0"/>
              <w:rPr>
                <w:sz w:val="1"/>
                <w:szCs w:val="1"/>
                <w:color w:val="auto"/>
              </w:rPr>
            </w:pPr>
          </w:p>
        </w:tc>
      </w:tr>
      <w:tr>
        <w:trPr>
          <w:trHeight w:val="162"/>
        </w:trPr>
        <w:tc>
          <w:tcPr>
            <w:tcW w:w="960" w:type="dxa"/>
            <w:vAlign w:val="bottom"/>
          </w:tcPr>
          <w:p>
            <w:pPr>
              <w:spacing w:after="0"/>
              <w:rPr>
                <w:sz w:val="20"/>
                <w:szCs w:val="20"/>
                <w:color w:val="auto"/>
              </w:rPr>
            </w:pPr>
            <w:r>
              <w:rPr>
                <w:rFonts w:ascii="Arial" w:cs="Arial" w:eastAsia="Arial" w:hAnsi="Arial"/>
                <w:sz w:val="14"/>
                <w:szCs w:val="14"/>
                <w:color w:val="auto"/>
              </w:rPr>
              <w:t>Item 16.</w:t>
            </w:r>
          </w:p>
        </w:tc>
        <w:tc>
          <w:tcPr>
            <w:tcW w:w="5400" w:type="dxa"/>
            <w:vAlign w:val="bottom"/>
            <w:gridSpan w:val="2"/>
          </w:tcPr>
          <w:p>
            <w:pPr>
              <w:ind w:left="340"/>
              <w:spacing w:after="0"/>
              <w:rPr>
                <w:sz w:val="20"/>
                <w:szCs w:val="20"/>
                <w:color w:val="auto"/>
              </w:rPr>
            </w:pPr>
            <w:r>
              <w:rPr>
                <w:rFonts w:ascii="Arial" w:cs="Arial" w:eastAsia="Arial" w:hAnsi="Arial"/>
                <w:sz w:val="14"/>
                <w:szCs w:val="14"/>
                <w:color w:val="auto"/>
              </w:rPr>
              <w:t>[Reserved]</w:t>
            </w:r>
          </w:p>
        </w:tc>
        <w:tc>
          <w:tcPr>
            <w:tcW w:w="280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960" w:type="dxa"/>
            <w:vAlign w:val="bottom"/>
          </w:tcPr>
          <w:p>
            <w:pPr>
              <w:spacing w:after="0"/>
              <w:rPr>
                <w:sz w:val="20"/>
                <w:szCs w:val="20"/>
                <w:color w:val="auto"/>
              </w:rPr>
            </w:pPr>
            <w:r>
              <w:rPr>
                <w:rFonts w:ascii="Arial" w:cs="Arial" w:eastAsia="Arial" w:hAnsi="Arial"/>
                <w:sz w:val="14"/>
                <w:szCs w:val="14"/>
                <w:color w:val="auto"/>
              </w:rPr>
              <w:t>Item 16A.</w:t>
            </w:r>
          </w:p>
        </w:tc>
        <w:tc>
          <w:tcPr>
            <w:tcW w:w="5400" w:type="dxa"/>
            <w:vAlign w:val="bottom"/>
            <w:gridSpan w:val="2"/>
          </w:tcPr>
          <w:p>
            <w:pPr>
              <w:ind w:left="340"/>
              <w:spacing w:after="0"/>
              <w:rPr>
                <w:sz w:val="20"/>
                <w:szCs w:val="20"/>
                <w:color w:val="auto"/>
              </w:rPr>
            </w:pPr>
            <w:r>
              <w:rPr>
                <w:rFonts w:ascii="Arial" w:cs="Arial" w:eastAsia="Arial" w:hAnsi="Arial"/>
                <w:sz w:val="14"/>
                <w:szCs w:val="14"/>
                <w:color w:val="auto"/>
              </w:rPr>
              <w:t>Audit committee financial expert</w:t>
            </w:r>
          </w:p>
        </w:tc>
        <w:tc>
          <w:tcPr>
            <w:tcW w:w="2800" w:type="dxa"/>
            <w:vAlign w:val="bottom"/>
          </w:tcPr>
          <w:p>
            <w:pPr>
              <w:spacing w:after="0"/>
              <w:rPr>
                <w:sz w:val="14"/>
                <w:szCs w:val="14"/>
                <w:color w:val="auto"/>
              </w:rPr>
            </w:pPr>
          </w:p>
        </w:tc>
        <w:tc>
          <w:tcPr>
            <w:tcW w:w="2260" w:type="dxa"/>
            <w:vAlign w:val="bottom"/>
          </w:tcPr>
          <w:p>
            <w:pPr>
              <w:jc w:val="right"/>
              <w:spacing w:after="0"/>
              <w:rPr>
                <w:sz w:val="20"/>
                <w:szCs w:val="20"/>
                <w:color w:val="auto"/>
              </w:rPr>
            </w:pPr>
            <w:r>
              <w:rPr>
                <w:rFonts w:ascii="Arial" w:cs="Arial" w:eastAsia="Arial" w:hAnsi="Arial"/>
                <w:sz w:val="14"/>
                <w:szCs w:val="14"/>
                <w:color w:val="auto"/>
              </w:rPr>
              <w:t>65, 76</w:t>
            </w:r>
          </w:p>
        </w:tc>
        <w:tc>
          <w:tcPr>
            <w:tcW w:w="0" w:type="dxa"/>
            <w:vAlign w:val="bottom"/>
          </w:tcPr>
          <w:p>
            <w:pPr>
              <w:spacing w:after="0"/>
              <w:rPr>
                <w:sz w:val="1"/>
                <w:szCs w:val="1"/>
                <w:color w:val="auto"/>
              </w:rPr>
            </w:pPr>
          </w:p>
        </w:tc>
      </w:tr>
      <w:tr>
        <w:trPr>
          <w:trHeight w:val="162"/>
        </w:trPr>
        <w:tc>
          <w:tcPr>
            <w:tcW w:w="960" w:type="dxa"/>
            <w:vAlign w:val="bottom"/>
          </w:tcPr>
          <w:p>
            <w:pPr>
              <w:spacing w:after="0"/>
              <w:rPr>
                <w:sz w:val="20"/>
                <w:szCs w:val="20"/>
                <w:color w:val="auto"/>
              </w:rPr>
            </w:pPr>
            <w:r>
              <w:rPr>
                <w:rFonts w:ascii="Arial" w:cs="Arial" w:eastAsia="Arial" w:hAnsi="Arial"/>
                <w:sz w:val="14"/>
                <w:szCs w:val="14"/>
                <w:color w:val="auto"/>
              </w:rPr>
              <w:t>Item 16B.</w:t>
            </w:r>
          </w:p>
        </w:tc>
        <w:tc>
          <w:tcPr>
            <w:tcW w:w="5400" w:type="dxa"/>
            <w:vAlign w:val="bottom"/>
            <w:gridSpan w:val="2"/>
          </w:tcPr>
          <w:p>
            <w:pPr>
              <w:ind w:left="340"/>
              <w:spacing w:after="0"/>
              <w:rPr>
                <w:sz w:val="20"/>
                <w:szCs w:val="20"/>
                <w:color w:val="auto"/>
              </w:rPr>
            </w:pPr>
            <w:r>
              <w:rPr>
                <w:rFonts w:ascii="Arial" w:cs="Arial" w:eastAsia="Arial" w:hAnsi="Arial"/>
                <w:sz w:val="14"/>
                <w:szCs w:val="14"/>
                <w:color w:val="auto"/>
              </w:rPr>
              <w:t>Code of Ethics</w:t>
            </w:r>
          </w:p>
        </w:tc>
        <w:tc>
          <w:tcPr>
            <w:tcW w:w="2800" w:type="dxa"/>
            <w:vAlign w:val="bottom"/>
          </w:tcPr>
          <w:p>
            <w:pPr>
              <w:spacing w:after="0"/>
              <w:rPr>
                <w:sz w:val="14"/>
                <w:szCs w:val="14"/>
                <w:color w:val="auto"/>
              </w:rPr>
            </w:pPr>
          </w:p>
        </w:tc>
        <w:tc>
          <w:tcPr>
            <w:tcW w:w="2260" w:type="dxa"/>
            <w:vAlign w:val="bottom"/>
          </w:tcPr>
          <w:p>
            <w:pPr>
              <w:jc w:val="right"/>
              <w:spacing w:after="0"/>
              <w:rPr>
                <w:sz w:val="20"/>
                <w:szCs w:val="20"/>
                <w:color w:val="auto"/>
              </w:rPr>
            </w:pPr>
            <w:r>
              <w:rPr>
                <w:rFonts w:ascii="Arial" w:cs="Arial" w:eastAsia="Arial" w:hAnsi="Arial"/>
                <w:sz w:val="14"/>
                <w:szCs w:val="14"/>
                <w:color w:val="auto"/>
              </w:rPr>
              <w:t>66</w:t>
            </w:r>
          </w:p>
        </w:tc>
        <w:tc>
          <w:tcPr>
            <w:tcW w:w="0" w:type="dxa"/>
            <w:vAlign w:val="bottom"/>
          </w:tcPr>
          <w:p>
            <w:pPr>
              <w:spacing w:after="0"/>
              <w:rPr>
                <w:sz w:val="1"/>
                <w:szCs w:val="1"/>
                <w:color w:val="auto"/>
              </w:rPr>
            </w:pPr>
          </w:p>
        </w:tc>
      </w:tr>
      <w:tr>
        <w:trPr>
          <w:trHeight w:val="162"/>
        </w:trPr>
        <w:tc>
          <w:tcPr>
            <w:tcW w:w="960" w:type="dxa"/>
            <w:vAlign w:val="bottom"/>
          </w:tcPr>
          <w:p>
            <w:pPr>
              <w:spacing w:after="0"/>
              <w:rPr>
                <w:sz w:val="20"/>
                <w:szCs w:val="20"/>
                <w:color w:val="auto"/>
              </w:rPr>
            </w:pPr>
            <w:r>
              <w:rPr>
                <w:rFonts w:ascii="Arial" w:cs="Arial" w:eastAsia="Arial" w:hAnsi="Arial"/>
                <w:sz w:val="14"/>
                <w:szCs w:val="14"/>
                <w:color w:val="auto"/>
              </w:rPr>
              <w:t>Item 16C.</w:t>
            </w:r>
          </w:p>
        </w:tc>
        <w:tc>
          <w:tcPr>
            <w:tcW w:w="5400" w:type="dxa"/>
            <w:vAlign w:val="bottom"/>
            <w:gridSpan w:val="2"/>
          </w:tcPr>
          <w:p>
            <w:pPr>
              <w:ind w:left="340"/>
              <w:spacing w:after="0"/>
              <w:rPr>
                <w:sz w:val="20"/>
                <w:szCs w:val="20"/>
                <w:color w:val="auto"/>
              </w:rPr>
            </w:pPr>
            <w:r>
              <w:rPr>
                <w:rFonts w:ascii="Arial" w:cs="Arial" w:eastAsia="Arial" w:hAnsi="Arial"/>
                <w:sz w:val="14"/>
                <w:szCs w:val="14"/>
                <w:color w:val="auto"/>
              </w:rPr>
              <w:t>Principal Accountant Fees and Services</w:t>
            </w:r>
          </w:p>
        </w:tc>
        <w:tc>
          <w:tcPr>
            <w:tcW w:w="2800" w:type="dxa"/>
            <w:vAlign w:val="bottom"/>
          </w:tcPr>
          <w:p>
            <w:pPr>
              <w:spacing w:after="0"/>
              <w:rPr>
                <w:sz w:val="14"/>
                <w:szCs w:val="14"/>
                <w:color w:val="auto"/>
              </w:rPr>
            </w:pPr>
          </w:p>
        </w:tc>
        <w:tc>
          <w:tcPr>
            <w:tcW w:w="2260" w:type="dxa"/>
            <w:vAlign w:val="bottom"/>
          </w:tcPr>
          <w:p>
            <w:pPr>
              <w:jc w:val="right"/>
              <w:spacing w:after="0"/>
              <w:rPr>
                <w:sz w:val="20"/>
                <w:szCs w:val="20"/>
                <w:color w:val="auto"/>
              </w:rPr>
            </w:pPr>
            <w:r>
              <w:rPr>
                <w:rFonts w:ascii="Arial" w:cs="Arial" w:eastAsia="Arial" w:hAnsi="Arial"/>
                <w:sz w:val="14"/>
                <w:szCs w:val="14"/>
                <w:color w:val="auto"/>
              </w:rPr>
              <w:t>78, 141, 170, 178</w:t>
            </w:r>
          </w:p>
        </w:tc>
        <w:tc>
          <w:tcPr>
            <w:tcW w:w="0" w:type="dxa"/>
            <w:vAlign w:val="bottom"/>
          </w:tcPr>
          <w:p>
            <w:pPr>
              <w:spacing w:after="0"/>
              <w:rPr>
                <w:sz w:val="1"/>
                <w:szCs w:val="1"/>
                <w:color w:val="auto"/>
              </w:rPr>
            </w:pPr>
          </w:p>
        </w:tc>
      </w:tr>
      <w:tr>
        <w:trPr>
          <w:trHeight w:val="162"/>
        </w:trPr>
        <w:tc>
          <w:tcPr>
            <w:tcW w:w="960" w:type="dxa"/>
            <w:vAlign w:val="bottom"/>
          </w:tcPr>
          <w:p>
            <w:pPr>
              <w:spacing w:after="0"/>
              <w:rPr>
                <w:sz w:val="20"/>
                <w:szCs w:val="20"/>
                <w:color w:val="auto"/>
              </w:rPr>
            </w:pPr>
            <w:r>
              <w:rPr>
                <w:rFonts w:ascii="Arial" w:cs="Arial" w:eastAsia="Arial" w:hAnsi="Arial"/>
                <w:sz w:val="14"/>
                <w:szCs w:val="14"/>
                <w:color w:val="auto"/>
              </w:rPr>
              <w:t>Item 16D.</w:t>
            </w:r>
          </w:p>
        </w:tc>
        <w:tc>
          <w:tcPr>
            <w:tcW w:w="5400" w:type="dxa"/>
            <w:vAlign w:val="bottom"/>
            <w:gridSpan w:val="2"/>
          </w:tcPr>
          <w:p>
            <w:pPr>
              <w:ind w:left="340"/>
              <w:spacing w:after="0"/>
              <w:rPr>
                <w:sz w:val="20"/>
                <w:szCs w:val="20"/>
                <w:color w:val="auto"/>
              </w:rPr>
            </w:pPr>
            <w:r>
              <w:rPr>
                <w:rFonts w:ascii="Arial" w:cs="Arial" w:eastAsia="Arial" w:hAnsi="Arial"/>
                <w:sz w:val="14"/>
                <w:szCs w:val="14"/>
                <w:color w:val="auto"/>
              </w:rPr>
              <w:t>Exemptions from the Listing Standards for Audit Committees</w:t>
            </w:r>
          </w:p>
        </w:tc>
        <w:tc>
          <w:tcPr>
            <w:tcW w:w="2800" w:type="dxa"/>
            <w:vAlign w:val="bottom"/>
          </w:tcPr>
          <w:p>
            <w:pPr>
              <w:spacing w:after="0"/>
              <w:rPr>
                <w:sz w:val="14"/>
                <w:szCs w:val="14"/>
                <w:color w:val="auto"/>
              </w:rPr>
            </w:pPr>
          </w:p>
        </w:tc>
        <w:tc>
          <w:tcPr>
            <w:tcW w:w="2260" w:type="dxa"/>
            <w:vAlign w:val="bottom"/>
          </w:tcPr>
          <w:p>
            <w:pPr>
              <w:jc w:val="right"/>
              <w:spacing w:after="0"/>
              <w:rPr>
                <w:sz w:val="20"/>
                <w:szCs w:val="20"/>
                <w:color w:val="auto"/>
              </w:rPr>
            </w:pPr>
            <w:r>
              <w:rPr>
                <w:rFonts w:ascii="Arial" w:cs="Arial" w:eastAsia="Arial" w:hAnsi="Arial"/>
                <w:sz w:val="14"/>
                <w:szCs w:val="14"/>
                <w:color w:val="auto"/>
              </w:rPr>
              <w:t>65</w:t>
            </w:r>
          </w:p>
        </w:tc>
        <w:tc>
          <w:tcPr>
            <w:tcW w:w="0" w:type="dxa"/>
            <w:vAlign w:val="bottom"/>
          </w:tcPr>
          <w:p>
            <w:pPr>
              <w:spacing w:after="0"/>
              <w:rPr>
                <w:sz w:val="1"/>
                <w:szCs w:val="1"/>
                <w:color w:val="auto"/>
              </w:rPr>
            </w:pPr>
          </w:p>
        </w:tc>
      </w:tr>
      <w:tr>
        <w:trPr>
          <w:trHeight w:val="162"/>
        </w:trPr>
        <w:tc>
          <w:tcPr>
            <w:tcW w:w="960" w:type="dxa"/>
            <w:vAlign w:val="bottom"/>
          </w:tcPr>
          <w:p>
            <w:pPr>
              <w:spacing w:after="0"/>
              <w:rPr>
                <w:sz w:val="20"/>
                <w:szCs w:val="20"/>
                <w:color w:val="auto"/>
              </w:rPr>
            </w:pPr>
            <w:r>
              <w:rPr>
                <w:rFonts w:ascii="Arial" w:cs="Arial" w:eastAsia="Arial" w:hAnsi="Arial"/>
                <w:sz w:val="14"/>
                <w:szCs w:val="14"/>
                <w:color w:val="auto"/>
              </w:rPr>
              <w:t>Item 16E.</w:t>
            </w:r>
          </w:p>
        </w:tc>
        <w:tc>
          <w:tcPr>
            <w:tcW w:w="5400" w:type="dxa"/>
            <w:vAlign w:val="bottom"/>
            <w:gridSpan w:val="2"/>
          </w:tcPr>
          <w:p>
            <w:pPr>
              <w:ind w:left="340"/>
              <w:spacing w:after="0"/>
              <w:rPr>
                <w:sz w:val="20"/>
                <w:szCs w:val="20"/>
                <w:color w:val="auto"/>
              </w:rPr>
            </w:pPr>
            <w:r>
              <w:rPr>
                <w:rFonts w:ascii="Arial" w:cs="Arial" w:eastAsia="Arial" w:hAnsi="Arial"/>
                <w:sz w:val="14"/>
                <w:szCs w:val="14"/>
                <w:color w:val="auto"/>
              </w:rPr>
              <w:t>Purchases of Equity Securities by the Issuer and Affiliated Purchasers</w:t>
            </w:r>
          </w:p>
        </w:tc>
        <w:tc>
          <w:tcPr>
            <w:tcW w:w="2800" w:type="dxa"/>
            <w:vAlign w:val="bottom"/>
          </w:tcPr>
          <w:p>
            <w:pPr>
              <w:spacing w:after="0"/>
              <w:rPr>
                <w:sz w:val="14"/>
                <w:szCs w:val="14"/>
                <w:color w:val="auto"/>
              </w:rPr>
            </w:pPr>
          </w:p>
        </w:tc>
        <w:tc>
          <w:tcPr>
            <w:tcW w:w="2260" w:type="dxa"/>
            <w:vAlign w:val="bottom"/>
          </w:tcPr>
          <w:p>
            <w:pPr>
              <w:jc w:val="right"/>
              <w:spacing w:after="0"/>
              <w:rPr>
                <w:sz w:val="20"/>
                <w:szCs w:val="20"/>
                <w:color w:val="auto"/>
              </w:rPr>
            </w:pPr>
            <w:r>
              <w:rPr>
                <w:rFonts w:ascii="Arial" w:cs="Arial" w:eastAsia="Arial" w:hAnsi="Arial"/>
                <w:sz w:val="14"/>
                <w:szCs w:val="14"/>
                <w:color w:val="auto"/>
              </w:rPr>
              <w:t>50</w:t>
            </w:r>
          </w:p>
        </w:tc>
        <w:tc>
          <w:tcPr>
            <w:tcW w:w="0" w:type="dxa"/>
            <w:vAlign w:val="bottom"/>
          </w:tcPr>
          <w:p>
            <w:pPr>
              <w:spacing w:after="0"/>
              <w:rPr>
                <w:sz w:val="1"/>
                <w:szCs w:val="1"/>
                <w:color w:val="auto"/>
              </w:rPr>
            </w:pPr>
          </w:p>
        </w:tc>
      </w:tr>
      <w:tr>
        <w:trPr>
          <w:trHeight w:val="162"/>
        </w:trPr>
        <w:tc>
          <w:tcPr>
            <w:tcW w:w="960" w:type="dxa"/>
            <w:vAlign w:val="bottom"/>
          </w:tcPr>
          <w:p>
            <w:pPr>
              <w:spacing w:after="0"/>
              <w:rPr>
                <w:sz w:val="20"/>
                <w:szCs w:val="20"/>
                <w:color w:val="auto"/>
              </w:rPr>
            </w:pPr>
            <w:r>
              <w:rPr>
                <w:rFonts w:ascii="Arial" w:cs="Arial" w:eastAsia="Arial" w:hAnsi="Arial"/>
                <w:sz w:val="14"/>
                <w:szCs w:val="14"/>
                <w:color w:val="auto"/>
              </w:rPr>
              <w:t>Item 16F.</w:t>
            </w:r>
          </w:p>
        </w:tc>
        <w:tc>
          <w:tcPr>
            <w:tcW w:w="5400" w:type="dxa"/>
            <w:vAlign w:val="bottom"/>
            <w:gridSpan w:val="2"/>
          </w:tcPr>
          <w:p>
            <w:pPr>
              <w:ind w:left="340"/>
              <w:spacing w:after="0"/>
              <w:rPr>
                <w:sz w:val="20"/>
                <w:szCs w:val="20"/>
                <w:color w:val="auto"/>
              </w:rPr>
            </w:pPr>
            <w:r>
              <w:rPr>
                <w:rFonts w:ascii="Arial" w:cs="Arial" w:eastAsia="Arial" w:hAnsi="Arial"/>
                <w:sz w:val="14"/>
                <w:szCs w:val="14"/>
                <w:color w:val="auto"/>
              </w:rPr>
              <w:t>Change in Registrant’s Certifying Accountant</w:t>
            </w:r>
          </w:p>
        </w:tc>
        <w:tc>
          <w:tcPr>
            <w:tcW w:w="2800" w:type="dxa"/>
            <w:vAlign w:val="bottom"/>
          </w:tcPr>
          <w:p>
            <w:pPr>
              <w:spacing w:after="0"/>
              <w:rPr>
                <w:sz w:val="14"/>
                <w:szCs w:val="14"/>
                <w:color w:val="auto"/>
              </w:rPr>
            </w:pPr>
          </w:p>
        </w:tc>
        <w:tc>
          <w:tcPr>
            <w:tcW w:w="2260" w:type="dxa"/>
            <w:vAlign w:val="bottom"/>
          </w:tcPr>
          <w:p>
            <w:pPr>
              <w:jc w:val="right"/>
              <w:spacing w:after="0"/>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r>
        <w:trPr>
          <w:trHeight w:val="162"/>
        </w:trPr>
        <w:tc>
          <w:tcPr>
            <w:tcW w:w="960" w:type="dxa"/>
            <w:vAlign w:val="bottom"/>
          </w:tcPr>
          <w:p>
            <w:pPr>
              <w:spacing w:after="0"/>
              <w:rPr>
                <w:sz w:val="20"/>
                <w:szCs w:val="20"/>
                <w:color w:val="auto"/>
              </w:rPr>
            </w:pPr>
            <w:r>
              <w:rPr>
                <w:rFonts w:ascii="Arial" w:cs="Arial" w:eastAsia="Arial" w:hAnsi="Arial"/>
                <w:sz w:val="14"/>
                <w:szCs w:val="14"/>
                <w:color w:val="auto"/>
              </w:rPr>
              <w:t>Item 16G.</w:t>
            </w:r>
          </w:p>
        </w:tc>
        <w:tc>
          <w:tcPr>
            <w:tcW w:w="5400" w:type="dxa"/>
            <w:vAlign w:val="bottom"/>
            <w:gridSpan w:val="2"/>
          </w:tcPr>
          <w:p>
            <w:pPr>
              <w:ind w:left="340"/>
              <w:spacing w:after="0"/>
              <w:rPr>
                <w:sz w:val="20"/>
                <w:szCs w:val="20"/>
                <w:color w:val="auto"/>
              </w:rPr>
            </w:pPr>
            <w:r>
              <w:rPr>
                <w:rFonts w:ascii="Arial" w:cs="Arial" w:eastAsia="Arial" w:hAnsi="Arial"/>
                <w:sz w:val="14"/>
                <w:szCs w:val="14"/>
                <w:color w:val="auto"/>
              </w:rPr>
              <w:t>Corporate Governance</w:t>
            </w:r>
          </w:p>
        </w:tc>
        <w:tc>
          <w:tcPr>
            <w:tcW w:w="2800" w:type="dxa"/>
            <w:vAlign w:val="bottom"/>
          </w:tcPr>
          <w:p>
            <w:pPr>
              <w:spacing w:after="0"/>
              <w:rPr>
                <w:sz w:val="14"/>
                <w:szCs w:val="14"/>
                <w:color w:val="auto"/>
              </w:rPr>
            </w:pPr>
          </w:p>
        </w:tc>
        <w:tc>
          <w:tcPr>
            <w:tcW w:w="2260" w:type="dxa"/>
            <w:vAlign w:val="bottom"/>
          </w:tcPr>
          <w:p>
            <w:pPr>
              <w:jc w:val="right"/>
              <w:spacing w:after="0"/>
              <w:rPr>
                <w:sz w:val="20"/>
                <w:szCs w:val="20"/>
                <w:color w:val="auto"/>
              </w:rPr>
            </w:pPr>
            <w:r>
              <w:rPr>
                <w:rFonts w:ascii="Arial" w:cs="Arial" w:eastAsia="Arial" w:hAnsi="Arial"/>
                <w:sz w:val="14"/>
                <w:szCs w:val="14"/>
                <w:color w:val="auto"/>
              </w:rPr>
              <w:t>65-66</w:t>
            </w:r>
          </w:p>
        </w:tc>
        <w:tc>
          <w:tcPr>
            <w:tcW w:w="0" w:type="dxa"/>
            <w:vAlign w:val="bottom"/>
          </w:tcPr>
          <w:p>
            <w:pPr>
              <w:spacing w:after="0"/>
              <w:rPr>
                <w:sz w:val="1"/>
                <w:szCs w:val="1"/>
                <w:color w:val="auto"/>
              </w:rPr>
            </w:pPr>
          </w:p>
        </w:tc>
      </w:tr>
      <w:tr>
        <w:trPr>
          <w:trHeight w:val="172"/>
        </w:trPr>
        <w:tc>
          <w:tcPr>
            <w:tcW w:w="960" w:type="dxa"/>
            <w:vAlign w:val="bottom"/>
          </w:tcPr>
          <w:p>
            <w:pPr>
              <w:spacing w:after="0"/>
              <w:rPr>
                <w:sz w:val="20"/>
                <w:szCs w:val="20"/>
                <w:color w:val="auto"/>
              </w:rPr>
            </w:pPr>
            <w:r>
              <w:rPr>
                <w:rFonts w:ascii="Arial" w:cs="Arial" w:eastAsia="Arial" w:hAnsi="Arial"/>
                <w:sz w:val="14"/>
                <w:szCs w:val="14"/>
                <w:color w:val="auto"/>
              </w:rPr>
              <w:t>Item 16H.</w:t>
            </w:r>
          </w:p>
        </w:tc>
        <w:tc>
          <w:tcPr>
            <w:tcW w:w="5400" w:type="dxa"/>
            <w:vAlign w:val="bottom"/>
            <w:gridSpan w:val="2"/>
          </w:tcPr>
          <w:p>
            <w:pPr>
              <w:ind w:left="340"/>
              <w:spacing w:after="0"/>
              <w:rPr>
                <w:sz w:val="20"/>
                <w:szCs w:val="20"/>
                <w:color w:val="auto"/>
              </w:rPr>
            </w:pPr>
            <w:r>
              <w:rPr>
                <w:rFonts w:ascii="Arial" w:cs="Arial" w:eastAsia="Arial" w:hAnsi="Arial"/>
                <w:sz w:val="14"/>
                <w:szCs w:val="14"/>
                <w:color w:val="auto"/>
              </w:rPr>
              <w:t>Mine Safety Disclosure</w:t>
            </w:r>
          </w:p>
        </w:tc>
        <w:tc>
          <w:tcPr>
            <w:tcW w:w="2800" w:type="dxa"/>
            <w:vAlign w:val="bottom"/>
          </w:tcPr>
          <w:p>
            <w:pPr>
              <w:spacing w:after="0"/>
              <w:rPr>
                <w:sz w:val="14"/>
                <w:szCs w:val="14"/>
                <w:color w:val="auto"/>
              </w:rPr>
            </w:pPr>
          </w:p>
        </w:tc>
        <w:tc>
          <w:tcPr>
            <w:tcW w:w="2260" w:type="dxa"/>
            <w:vAlign w:val="bottom"/>
          </w:tcPr>
          <w:p>
            <w:pPr>
              <w:jc w:val="right"/>
              <w:spacing w:after="0"/>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r>
        <w:trPr>
          <w:trHeight w:val="323"/>
        </w:trPr>
        <w:tc>
          <w:tcPr>
            <w:tcW w:w="96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Part III</w:t>
            </w:r>
          </w:p>
        </w:tc>
        <w:tc>
          <w:tcPr>
            <w:tcW w:w="46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80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Pages</w:t>
            </w:r>
          </w:p>
        </w:tc>
        <w:tc>
          <w:tcPr>
            <w:tcW w:w="0" w:type="dxa"/>
            <w:vAlign w:val="bottom"/>
          </w:tcPr>
          <w:p>
            <w:pPr>
              <w:spacing w:after="0"/>
              <w:rPr>
                <w:sz w:val="1"/>
                <w:szCs w:val="1"/>
                <w:color w:val="auto"/>
              </w:rPr>
            </w:pPr>
          </w:p>
        </w:tc>
      </w:tr>
      <w:tr>
        <w:trPr>
          <w:trHeight w:val="160"/>
        </w:trPr>
        <w:tc>
          <w:tcPr>
            <w:tcW w:w="960" w:type="dxa"/>
            <w:vAlign w:val="bottom"/>
          </w:tcPr>
          <w:p>
            <w:pPr>
              <w:spacing w:after="0"/>
              <w:rPr>
                <w:sz w:val="20"/>
                <w:szCs w:val="20"/>
                <w:color w:val="auto"/>
              </w:rPr>
            </w:pPr>
            <w:r>
              <w:rPr>
                <w:rFonts w:ascii="Arial" w:cs="Arial" w:eastAsia="Arial" w:hAnsi="Arial"/>
                <w:sz w:val="14"/>
                <w:szCs w:val="14"/>
                <w:color w:val="auto"/>
              </w:rPr>
              <w:t>Item 17.</w:t>
            </w:r>
          </w:p>
        </w:tc>
        <w:tc>
          <w:tcPr>
            <w:tcW w:w="5400" w:type="dxa"/>
            <w:vAlign w:val="bottom"/>
            <w:gridSpan w:val="2"/>
          </w:tcPr>
          <w:p>
            <w:pPr>
              <w:ind w:left="340"/>
              <w:spacing w:after="0"/>
              <w:rPr>
                <w:sz w:val="20"/>
                <w:szCs w:val="20"/>
                <w:color w:val="auto"/>
              </w:rPr>
            </w:pPr>
            <w:r>
              <w:rPr>
                <w:rFonts w:ascii="Arial" w:cs="Arial" w:eastAsia="Arial" w:hAnsi="Arial"/>
                <w:sz w:val="14"/>
                <w:szCs w:val="14"/>
                <w:color w:val="auto"/>
              </w:rPr>
              <w:t>Financial Statements</w:t>
            </w:r>
          </w:p>
        </w:tc>
        <w:tc>
          <w:tcPr>
            <w:tcW w:w="2800" w:type="dxa"/>
            <w:vAlign w:val="bottom"/>
          </w:tcPr>
          <w:p>
            <w:pPr>
              <w:spacing w:after="0"/>
              <w:rPr>
                <w:sz w:val="13"/>
                <w:szCs w:val="13"/>
                <w:color w:val="auto"/>
              </w:rPr>
            </w:pPr>
          </w:p>
        </w:tc>
        <w:tc>
          <w:tcPr>
            <w:tcW w:w="2260" w:type="dxa"/>
            <w:vAlign w:val="bottom"/>
          </w:tcPr>
          <w:p>
            <w:pPr>
              <w:jc w:val="right"/>
              <w:spacing w:after="0"/>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r>
        <w:trPr>
          <w:trHeight w:val="162"/>
        </w:trPr>
        <w:tc>
          <w:tcPr>
            <w:tcW w:w="960" w:type="dxa"/>
            <w:vAlign w:val="bottom"/>
          </w:tcPr>
          <w:p>
            <w:pPr>
              <w:spacing w:after="0"/>
              <w:rPr>
                <w:sz w:val="20"/>
                <w:szCs w:val="20"/>
                <w:color w:val="auto"/>
              </w:rPr>
            </w:pPr>
            <w:r>
              <w:rPr>
                <w:rFonts w:ascii="Arial" w:cs="Arial" w:eastAsia="Arial" w:hAnsi="Arial"/>
                <w:sz w:val="14"/>
                <w:szCs w:val="14"/>
                <w:color w:val="auto"/>
              </w:rPr>
              <w:t>Item 18.</w:t>
            </w:r>
          </w:p>
        </w:tc>
        <w:tc>
          <w:tcPr>
            <w:tcW w:w="5400" w:type="dxa"/>
            <w:vAlign w:val="bottom"/>
            <w:gridSpan w:val="2"/>
          </w:tcPr>
          <w:p>
            <w:pPr>
              <w:ind w:left="340"/>
              <w:spacing w:after="0"/>
              <w:rPr>
                <w:sz w:val="20"/>
                <w:szCs w:val="20"/>
                <w:color w:val="auto"/>
              </w:rPr>
            </w:pPr>
            <w:r>
              <w:rPr>
                <w:rFonts w:ascii="Arial" w:cs="Arial" w:eastAsia="Arial" w:hAnsi="Arial"/>
                <w:sz w:val="14"/>
                <w:szCs w:val="14"/>
                <w:color w:val="auto"/>
              </w:rPr>
              <w:t>Financial Statements</w:t>
            </w:r>
          </w:p>
        </w:tc>
        <w:tc>
          <w:tcPr>
            <w:tcW w:w="2800" w:type="dxa"/>
            <w:vAlign w:val="bottom"/>
          </w:tcPr>
          <w:p>
            <w:pPr>
              <w:spacing w:after="0"/>
              <w:rPr>
                <w:sz w:val="14"/>
                <w:szCs w:val="14"/>
                <w:color w:val="auto"/>
              </w:rPr>
            </w:pPr>
          </w:p>
        </w:tc>
        <w:tc>
          <w:tcPr>
            <w:tcW w:w="2260" w:type="dxa"/>
            <w:vAlign w:val="bottom"/>
          </w:tcPr>
          <w:p>
            <w:pPr>
              <w:jc w:val="right"/>
              <w:spacing w:after="0"/>
              <w:rPr>
                <w:sz w:val="20"/>
                <w:szCs w:val="20"/>
                <w:color w:val="auto"/>
              </w:rPr>
            </w:pPr>
            <w:r>
              <w:rPr>
                <w:rFonts w:ascii="Arial" w:cs="Arial" w:eastAsia="Arial" w:hAnsi="Arial"/>
                <w:sz w:val="14"/>
                <w:szCs w:val="14"/>
                <w:color w:val="auto"/>
              </w:rPr>
              <w:t>99-141, 160-178</w:t>
            </w:r>
          </w:p>
        </w:tc>
        <w:tc>
          <w:tcPr>
            <w:tcW w:w="0" w:type="dxa"/>
            <w:vAlign w:val="bottom"/>
          </w:tcPr>
          <w:p>
            <w:pPr>
              <w:spacing w:after="0"/>
              <w:rPr>
                <w:sz w:val="1"/>
                <w:szCs w:val="1"/>
                <w:color w:val="auto"/>
              </w:rPr>
            </w:pPr>
          </w:p>
        </w:tc>
      </w:tr>
      <w:tr>
        <w:trPr>
          <w:trHeight w:val="172"/>
        </w:trPr>
        <w:tc>
          <w:tcPr>
            <w:tcW w:w="960" w:type="dxa"/>
            <w:vAlign w:val="bottom"/>
          </w:tcPr>
          <w:p>
            <w:pPr>
              <w:spacing w:after="0"/>
              <w:rPr>
                <w:sz w:val="20"/>
                <w:szCs w:val="20"/>
                <w:color w:val="auto"/>
              </w:rPr>
            </w:pPr>
            <w:r>
              <w:rPr>
                <w:rFonts w:ascii="Arial" w:cs="Arial" w:eastAsia="Arial" w:hAnsi="Arial"/>
                <w:sz w:val="14"/>
                <w:szCs w:val="14"/>
                <w:color w:val="auto"/>
              </w:rPr>
              <w:t>Item 19.</w:t>
            </w:r>
          </w:p>
        </w:tc>
        <w:tc>
          <w:tcPr>
            <w:tcW w:w="5400" w:type="dxa"/>
            <w:vAlign w:val="bottom"/>
            <w:gridSpan w:val="2"/>
          </w:tcPr>
          <w:p>
            <w:pPr>
              <w:ind w:left="340"/>
              <w:spacing w:after="0"/>
              <w:rPr>
                <w:sz w:val="20"/>
                <w:szCs w:val="20"/>
                <w:color w:val="auto"/>
              </w:rPr>
            </w:pPr>
            <w:r>
              <w:rPr>
                <w:rFonts w:ascii="Arial" w:cs="Arial" w:eastAsia="Arial" w:hAnsi="Arial"/>
                <w:sz w:val="14"/>
                <w:szCs w:val="14"/>
                <w:color w:val="auto"/>
              </w:rPr>
              <w:t>Exhibits</w:t>
            </w:r>
          </w:p>
        </w:tc>
        <w:tc>
          <w:tcPr>
            <w:tcW w:w="2800" w:type="dxa"/>
            <w:vAlign w:val="bottom"/>
          </w:tcPr>
          <w:p>
            <w:pPr>
              <w:spacing w:after="0"/>
              <w:rPr>
                <w:sz w:val="14"/>
                <w:szCs w:val="14"/>
                <w:color w:val="auto"/>
              </w:rPr>
            </w:pPr>
          </w:p>
        </w:tc>
        <w:tc>
          <w:tcPr>
            <w:tcW w:w="2260" w:type="dxa"/>
            <w:vAlign w:val="bottom"/>
          </w:tcPr>
          <w:p>
            <w:pPr>
              <w:jc w:val="right"/>
              <w:spacing w:after="0"/>
              <w:rPr>
                <w:sz w:val="20"/>
                <w:szCs w:val="20"/>
                <w:color w:val="auto"/>
              </w:rPr>
            </w:pPr>
            <w:r>
              <w:rPr>
                <w:rFonts w:ascii="Arial" w:cs="Arial" w:eastAsia="Arial" w:hAnsi="Arial"/>
                <w:sz w:val="14"/>
                <w:szCs w:val="14"/>
                <w:color w:val="auto"/>
              </w:rPr>
              <w:t>187, E1-E8</w:t>
            </w: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300355</wp:posOffset>
            </wp:positionV>
            <wp:extent cx="3490595" cy="46291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490595" cy="462915"/>
                    </a:xfrm>
                    <a:prstGeom prst="rect">
                      <a:avLst/>
                    </a:prstGeom>
                    <a:noFill/>
                  </pic:spPr>
                </pic:pic>
              </a:graphicData>
            </a:graphic>
          </wp:anchor>
        </w:drawing>
      </w:r>
    </w:p>
    <w:p>
      <w:pPr>
        <w:spacing w:after="0" w:line="200" w:lineRule="exact"/>
        <w:rPr>
          <w:sz w:val="20"/>
          <w:szCs w:val="20"/>
          <w:color w:val="auto"/>
        </w:rPr>
      </w:pP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419"/>
        </w:trPr>
        <w:tc>
          <w:tcPr>
            <w:tcW w:w="2060" w:type="dxa"/>
            <w:vAlign w:val="bottom"/>
            <w:shd w:val="clear" w:color="auto" w:fill="FF8B00"/>
          </w:tcPr>
          <w:p>
            <w:pPr>
              <w:spacing w:after="0"/>
              <w:rPr>
                <w:sz w:val="24"/>
                <w:szCs w:val="24"/>
                <w:color w:val="auto"/>
              </w:rPr>
            </w:pPr>
          </w:p>
        </w:tc>
        <w:tc>
          <w:tcPr>
            <w:tcW w:w="3440" w:type="dxa"/>
            <w:vAlign w:val="bottom"/>
            <w:shd w:val="clear" w:color="auto" w:fill="FF8B00"/>
          </w:tcPr>
          <w:p>
            <w:pPr>
              <w:spacing w:after="0"/>
              <w:rPr>
                <w:sz w:val="24"/>
                <w:szCs w:val="24"/>
                <w:color w:val="auto"/>
              </w:rPr>
            </w:pPr>
          </w:p>
        </w:tc>
      </w:tr>
      <w:tr>
        <w:trPr>
          <w:trHeight w:val="152"/>
        </w:trPr>
        <w:tc>
          <w:tcPr>
            <w:tcW w:w="2060" w:type="dxa"/>
            <w:vAlign w:val="bottom"/>
          </w:tcPr>
          <w:p>
            <w:pPr>
              <w:jc w:val="right"/>
              <w:ind w:right="1626"/>
              <w:spacing w:after="0"/>
              <w:rPr>
                <w:sz w:val="20"/>
                <w:szCs w:val="20"/>
                <w:color w:val="auto"/>
              </w:rPr>
            </w:pPr>
            <w:r>
              <w:rPr>
                <w:rFonts w:ascii="Arial" w:cs="Arial" w:eastAsia="Arial" w:hAnsi="Arial"/>
                <w:sz w:val="11"/>
                <w:szCs w:val="11"/>
                <w:b w:val="1"/>
                <w:bCs w:val="1"/>
                <w:color w:val="333333"/>
              </w:rPr>
              <w:t>04</w:t>
            </w:r>
          </w:p>
        </w:tc>
        <w:tc>
          <w:tcPr>
            <w:tcW w:w="3440" w:type="dxa"/>
            <w:vAlign w:val="bottom"/>
          </w:tcPr>
          <w:p>
            <w:pPr>
              <w:ind w:left="1700"/>
              <w:spacing w:after="0"/>
              <w:rPr>
                <w:sz w:val="20"/>
                <w:szCs w:val="20"/>
                <w:color w:val="auto"/>
              </w:rPr>
            </w:pPr>
            <w:r>
              <w:rPr>
                <w:rFonts w:ascii="Arial" w:cs="Arial" w:eastAsia="Arial" w:hAnsi="Arial"/>
                <w:sz w:val="13"/>
                <w:szCs w:val="13"/>
                <w:color w:val="333333"/>
              </w:rPr>
              <w:t>INTRODUCTION</w:t>
            </w:r>
          </w:p>
        </w:tc>
      </w:tr>
    </w:tbl>
    <w:p>
      <w:pPr>
        <w:spacing w:after="0" w:line="155" w:lineRule="exact"/>
        <w:rPr>
          <w:sz w:val="20"/>
          <w:szCs w:val="20"/>
          <w:color w:val="auto"/>
        </w:rPr>
      </w:pPr>
    </w:p>
    <w:p>
      <w:pPr>
        <w:jc w:val="right"/>
        <w:spacing w:after="0"/>
        <w:tabs>
          <w:tab w:leader="none" w:pos="2380" w:val="left"/>
        </w:tabs>
        <w:rPr>
          <w:sz w:val="20"/>
          <w:szCs w:val="20"/>
          <w:color w:val="auto"/>
        </w:rPr>
      </w:pPr>
      <w:r>
        <w:rPr>
          <w:rFonts w:ascii="Arial" w:cs="Arial" w:eastAsia="Arial" w:hAnsi="Arial"/>
          <w:sz w:val="11"/>
          <w:szCs w:val="11"/>
          <w:color w:val="auto"/>
        </w:rPr>
        <w:t>TERMS AND ABBREVIATIONS</w:t>
      </w:r>
      <w:r>
        <w:rPr>
          <w:sz w:val="20"/>
          <w:szCs w:val="20"/>
          <w:color w:val="auto"/>
        </w:rPr>
        <w:tab/>
      </w:r>
      <w:r>
        <w:rPr>
          <w:rFonts w:ascii="Arial" w:cs="Arial" w:eastAsia="Arial" w:hAnsi="Arial"/>
          <w:sz w:val="10"/>
          <w:szCs w:val="10"/>
          <w:color w:val="auto"/>
        </w:rPr>
        <w:t>SHELL ANNUAL REPORT AND FORM 20-F 2014</w:t>
      </w:r>
    </w:p>
    <w:p>
      <w:pPr>
        <w:spacing w:after="0" w:line="5" w:lineRule="exact"/>
        <w:rPr>
          <w:sz w:val="20"/>
          <w:szCs w:val="20"/>
          <w:color w:val="auto"/>
        </w:rPr>
      </w:pPr>
    </w:p>
    <w:p>
      <w:pPr>
        <w:spacing w:after="0"/>
        <w:rPr>
          <w:sz w:val="20"/>
          <w:szCs w:val="20"/>
          <w:color w:val="auto"/>
        </w:rPr>
      </w:pPr>
      <w:r>
        <w:rPr>
          <w:rFonts w:ascii="Arial" w:cs="Arial" w:eastAsia="Arial" w:hAnsi="Arial"/>
          <w:sz w:val="31"/>
          <w:szCs w:val="31"/>
          <w:color w:val="auto"/>
        </w:rPr>
        <w:t>TERMS AND ABBREVIATIONS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wp:posOffset>
            </wp:positionV>
            <wp:extent cx="336169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361690" cy="8890"/>
                    </a:xfrm>
                    <a:prstGeom prst="rect">
                      <a:avLst/>
                    </a:prstGeom>
                    <a:noFill/>
                  </pic:spPr>
                </pic:pic>
              </a:graphicData>
            </a:graphic>
          </wp:anchor>
        </w:drawing>
      </w:r>
    </w:p>
    <w:p>
      <w:pPr>
        <w:spacing w:after="0" w:line="203" w:lineRule="exact"/>
        <w:rPr>
          <w:sz w:val="20"/>
          <w:szCs w:val="20"/>
          <w:color w:val="auto"/>
        </w:rPr>
      </w:pPr>
    </w:p>
    <w:p>
      <w:pPr>
        <w:ind w:left="80"/>
        <w:spacing w:after="0"/>
        <w:rPr>
          <w:sz w:val="20"/>
          <w:szCs w:val="20"/>
          <w:color w:val="auto"/>
        </w:rPr>
      </w:pPr>
      <w:r>
        <w:rPr>
          <w:rFonts w:ascii="Arial" w:cs="Arial" w:eastAsia="Arial" w:hAnsi="Arial"/>
          <w:sz w:val="15"/>
          <w:szCs w:val="15"/>
          <w:b w:val="1"/>
          <w:bCs w:val="1"/>
          <w:color w:val="FFFFFF"/>
        </w:rPr>
        <w:t>CURRENCIES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-104140</wp:posOffset>
            </wp:positionV>
            <wp:extent cx="3473450" cy="11176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473450" cy="11176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20"/>
                <w:szCs w:val="20"/>
                <w:color w:val="auto"/>
              </w:rPr>
            </w:pPr>
            <w:r>
              <w:rPr>
                <w:rFonts w:ascii="Arial" w:cs="Arial" w:eastAsia="Arial" w:hAnsi="Arial"/>
                <w:sz w:val="14"/>
                <w:szCs w:val="14"/>
                <w:color w:val="auto"/>
              </w:rPr>
              <w:t>$</w:t>
            </w:r>
          </w:p>
        </w:tc>
        <w:tc>
          <w:tcPr>
            <w:tcW w:w="4340" w:type="dxa"/>
            <w:vAlign w:val="bottom"/>
            <w:gridSpan w:val="2"/>
          </w:tcPr>
          <w:p>
            <w:pPr>
              <w:jc w:val="right"/>
              <w:ind w:right="20"/>
              <w:spacing w:after="0"/>
              <w:rPr>
                <w:sz w:val="20"/>
                <w:szCs w:val="20"/>
                <w:color w:val="auto"/>
              </w:rPr>
            </w:pPr>
            <w:r>
              <w:rPr>
                <w:rFonts w:ascii="Arial" w:cs="Arial" w:eastAsia="Arial" w:hAnsi="Arial"/>
                <w:sz w:val="14"/>
                <w:szCs w:val="14"/>
                <w:color w:val="auto"/>
              </w:rPr>
              <w:t>US dollar</w:t>
            </w:r>
          </w:p>
        </w:tc>
      </w:tr>
      <w:tr>
        <w:trPr>
          <w:trHeight w:val="206"/>
        </w:trPr>
        <w:tc>
          <w:tcPr>
            <w:tcW w:w="1160" w:type="dxa"/>
            <w:vAlign w:val="bottom"/>
          </w:tcPr>
          <w:p>
            <w:pPr>
              <w:spacing w:after="0"/>
              <w:rPr>
                <w:sz w:val="20"/>
                <w:szCs w:val="20"/>
                <w:color w:val="auto"/>
              </w:rPr>
            </w:pPr>
            <w:r>
              <w:rPr>
                <w:rFonts w:ascii="Arial" w:cs="Arial" w:eastAsia="Arial" w:hAnsi="Arial"/>
                <w:sz w:val="16"/>
                <w:szCs w:val="16"/>
                <w:color w:val="auto"/>
              </w:rPr>
              <w:t>€</w:t>
            </w:r>
          </w:p>
        </w:tc>
        <w:tc>
          <w:tcPr>
            <w:tcW w:w="4340" w:type="dxa"/>
            <w:vAlign w:val="bottom"/>
            <w:gridSpan w:val="2"/>
          </w:tcPr>
          <w:p>
            <w:pPr>
              <w:jc w:val="right"/>
              <w:ind w:right="20"/>
              <w:spacing w:after="0"/>
              <w:rPr>
                <w:sz w:val="20"/>
                <w:szCs w:val="20"/>
                <w:color w:val="auto"/>
              </w:rPr>
            </w:pPr>
            <w:r>
              <w:rPr>
                <w:rFonts w:ascii="Arial" w:cs="Arial" w:eastAsia="Arial" w:hAnsi="Arial"/>
                <w:sz w:val="14"/>
                <w:szCs w:val="14"/>
                <w:color w:val="auto"/>
              </w:rPr>
              <w:t>euro</w:t>
            </w:r>
          </w:p>
        </w:tc>
      </w:tr>
      <w:tr>
        <w:trPr>
          <w:trHeight w:val="183"/>
        </w:trPr>
        <w:tc>
          <w:tcPr>
            <w:tcW w:w="1160" w:type="dxa"/>
            <w:vAlign w:val="bottom"/>
          </w:tcPr>
          <w:p>
            <w:pPr>
              <w:spacing w:after="0"/>
              <w:rPr>
                <w:sz w:val="20"/>
                <w:szCs w:val="20"/>
                <w:color w:val="auto"/>
              </w:rPr>
            </w:pPr>
            <w:r>
              <w:rPr>
                <w:rFonts w:ascii="Arial" w:cs="Arial" w:eastAsia="Arial" w:hAnsi="Arial"/>
                <w:sz w:val="14"/>
                <w:szCs w:val="14"/>
                <w:color w:val="auto"/>
              </w:rPr>
              <w:t>£</w:t>
            </w:r>
          </w:p>
        </w:tc>
        <w:tc>
          <w:tcPr>
            <w:tcW w:w="4340" w:type="dxa"/>
            <w:vAlign w:val="bottom"/>
            <w:gridSpan w:val="2"/>
          </w:tcPr>
          <w:p>
            <w:pPr>
              <w:jc w:val="right"/>
              <w:ind w:right="20"/>
              <w:spacing w:after="0"/>
              <w:rPr>
                <w:sz w:val="20"/>
                <w:szCs w:val="20"/>
                <w:color w:val="auto"/>
              </w:rPr>
            </w:pPr>
            <w:r>
              <w:rPr>
                <w:rFonts w:ascii="Arial" w:cs="Arial" w:eastAsia="Arial" w:hAnsi="Arial"/>
                <w:sz w:val="14"/>
                <w:szCs w:val="14"/>
                <w:color w:val="auto"/>
              </w:rPr>
              <w:t>sterling</w:t>
            </w:r>
          </w:p>
        </w:tc>
      </w:tr>
      <w:tr>
        <w:trPr>
          <w:trHeight w:val="188"/>
        </w:trPr>
        <w:tc>
          <w:tcPr>
            <w:tcW w:w="5480" w:type="dxa"/>
            <w:vAlign w:val="bottom"/>
            <w:tcBorders>
              <w:bottom w:val="single" w:sz="8" w:color="auto"/>
            </w:tcBorders>
            <w:gridSpan w:val="2"/>
          </w:tcPr>
          <w:p>
            <w:pPr>
              <w:spacing w:after="0"/>
              <w:rPr>
                <w:sz w:val="16"/>
                <w:szCs w:val="16"/>
                <w:color w:val="auto"/>
              </w:rPr>
            </w:pPr>
          </w:p>
        </w:tc>
        <w:tc>
          <w:tcPr>
            <w:tcW w:w="20" w:type="dxa"/>
            <w:vAlign w:val="bottom"/>
          </w:tcPr>
          <w:p>
            <w:pPr>
              <w:spacing w:after="0"/>
              <w:rPr>
                <w:sz w:val="16"/>
                <w:szCs w:val="16"/>
                <w:color w:val="auto"/>
              </w:rPr>
            </w:pPr>
          </w:p>
        </w:tc>
      </w:tr>
      <w:tr>
        <w:trPr>
          <w:trHeight w:val="156"/>
        </w:trPr>
        <w:tc>
          <w:tcPr>
            <w:tcW w:w="5480" w:type="dxa"/>
            <w:vAlign w:val="bottom"/>
            <w:gridSpan w:val="2"/>
            <w:shd w:val="clear" w:color="auto" w:fill="333333"/>
          </w:tcPr>
          <w:p>
            <w:pPr>
              <w:ind w:left="80"/>
              <w:spacing w:after="0" w:line="156" w:lineRule="exact"/>
              <w:rPr>
                <w:sz w:val="20"/>
                <w:szCs w:val="20"/>
                <w:color w:val="auto"/>
              </w:rPr>
            </w:pPr>
            <w:r>
              <w:rPr>
                <w:rFonts w:ascii="Arial" w:cs="Arial" w:eastAsia="Arial" w:hAnsi="Arial"/>
                <w:sz w:val="15"/>
                <w:szCs w:val="15"/>
                <w:b w:val="1"/>
                <w:bCs w:val="1"/>
                <w:color w:val="FFFFFF"/>
              </w:rPr>
              <w:t>UNITS OF MEASUREMENT</w:t>
            </w:r>
          </w:p>
        </w:tc>
        <w:tc>
          <w:tcPr>
            <w:tcW w:w="20" w:type="dxa"/>
            <w:vAlign w:val="bottom"/>
          </w:tcPr>
          <w:p>
            <w:pPr>
              <w:spacing w:after="0"/>
              <w:rPr>
                <w:sz w:val="13"/>
                <w:szCs w:val="13"/>
                <w:color w:val="auto"/>
              </w:rPr>
            </w:pPr>
          </w:p>
        </w:tc>
      </w:tr>
      <w:tr>
        <w:trPr>
          <w:trHeight w:val="167"/>
        </w:trPr>
        <w:tc>
          <w:tcPr>
            <w:tcW w:w="1160" w:type="dxa"/>
            <w:vAlign w:val="bottom"/>
          </w:tcPr>
          <w:p>
            <w:pPr>
              <w:spacing w:after="0"/>
              <w:rPr>
                <w:sz w:val="20"/>
                <w:szCs w:val="20"/>
                <w:color w:val="auto"/>
              </w:rPr>
            </w:pPr>
            <w:r>
              <w:rPr>
                <w:rFonts w:ascii="Arial" w:cs="Arial" w:eastAsia="Arial" w:hAnsi="Arial"/>
                <w:sz w:val="14"/>
                <w:szCs w:val="14"/>
                <w:color w:val="auto"/>
              </w:rPr>
              <w:t>acre</w:t>
            </w:r>
          </w:p>
        </w:tc>
        <w:tc>
          <w:tcPr>
            <w:tcW w:w="4340" w:type="dxa"/>
            <w:vAlign w:val="bottom"/>
            <w:gridSpan w:val="2"/>
          </w:tcPr>
          <w:p>
            <w:pPr>
              <w:jc w:val="right"/>
              <w:ind w:right="20"/>
              <w:spacing w:after="0"/>
              <w:rPr>
                <w:sz w:val="20"/>
                <w:szCs w:val="20"/>
                <w:color w:val="auto"/>
              </w:rPr>
            </w:pPr>
            <w:r>
              <w:rPr>
                <w:rFonts w:ascii="Arial" w:cs="Arial" w:eastAsia="Arial" w:hAnsi="Arial"/>
                <w:sz w:val="14"/>
                <w:szCs w:val="14"/>
                <w:color w:val="auto"/>
              </w:rPr>
              <w:t>approximately 0.004 square kilometres</w:t>
            </w:r>
          </w:p>
        </w:tc>
      </w:tr>
      <w:tr>
        <w:trPr>
          <w:trHeight w:val="162"/>
        </w:trPr>
        <w:tc>
          <w:tcPr>
            <w:tcW w:w="1160" w:type="dxa"/>
            <w:vAlign w:val="bottom"/>
          </w:tcPr>
          <w:p>
            <w:pPr>
              <w:spacing w:after="0"/>
              <w:rPr>
                <w:sz w:val="20"/>
                <w:szCs w:val="20"/>
                <w:color w:val="auto"/>
              </w:rPr>
            </w:pPr>
            <w:r>
              <w:rPr>
                <w:rFonts w:ascii="Arial" w:cs="Arial" w:eastAsia="Arial" w:hAnsi="Arial"/>
                <w:sz w:val="14"/>
                <w:szCs w:val="14"/>
                <w:color w:val="auto"/>
              </w:rPr>
              <w:t>b(/d)</w:t>
            </w:r>
          </w:p>
        </w:tc>
        <w:tc>
          <w:tcPr>
            <w:tcW w:w="4340" w:type="dxa"/>
            <w:vAlign w:val="bottom"/>
            <w:gridSpan w:val="2"/>
          </w:tcPr>
          <w:p>
            <w:pPr>
              <w:jc w:val="right"/>
              <w:ind w:right="20"/>
              <w:spacing w:after="0"/>
              <w:rPr>
                <w:sz w:val="20"/>
                <w:szCs w:val="20"/>
                <w:color w:val="auto"/>
              </w:rPr>
            </w:pPr>
            <w:r>
              <w:rPr>
                <w:rFonts w:ascii="Arial" w:cs="Arial" w:eastAsia="Arial" w:hAnsi="Arial"/>
                <w:sz w:val="14"/>
                <w:szCs w:val="14"/>
                <w:color w:val="auto"/>
              </w:rPr>
              <w:t>barrels (per day)</w:t>
            </w:r>
          </w:p>
        </w:tc>
      </w:tr>
      <w:tr>
        <w:trPr>
          <w:trHeight w:val="162"/>
        </w:trPr>
        <w:tc>
          <w:tcPr>
            <w:tcW w:w="1160" w:type="dxa"/>
            <w:vAlign w:val="bottom"/>
          </w:tcPr>
          <w:p>
            <w:pPr>
              <w:spacing w:after="0"/>
              <w:rPr>
                <w:sz w:val="20"/>
                <w:szCs w:val="20"/>
                <w:color w:val="auto"/>
              </w:rPr>
            </w:pPr>
            <w:r>
              <w:rPr>
                <w:rFonts w:ascii="Arial" w:cs="Arial" w:eastAsia="Arial" w:hAnsi="Arial"/>
                <w:sz w:val="14"/>
                <w:szCs w:val="14"/>
                <w:color w:val="auto"/>
              </w:rPr>
              <w:t>boe(/d)</w:t>
            </w:r>
          </w:p>
        </w:tc>
        <w:tc>
          <w:tcPr>
            <w:tcW w:w="4340" w:type="dxa"/>
            <w:vAlign w:val="bottom"/>
            <w:gridSpan w:val="2"/>
          </w:tcPr>
          <w:p>
            <w:pPr>
              <w:jc w:val="right"/>
              <w:ind w:right="20"/>
              <w:spacing w:after="0"/>
              <w:rPr>
                <w:sz w:val="20"/>
                <w:szCs w:val="20"/>
                <w:color w:val="auto"/>
              </w:rPr>
            </w:pPr>
            <w:r>
              <w:rPr>
                <w:rFonts w:ascii="Arial" w:cs="Arial" w:eastAsia="Arial" w:hAnsi="Arial"/>
                <w:sz w:val="14"/>
                <w:szCs w:val="14"/>
                <w:color w:val="auto"/>
              </w:rPr>
              <w:t>barrels of oil equivalent (per day); natural gas volumes are</w:t>
            </w:r>
          </w:p>
        </w:tc>
      </w:tr>
      <w:tr>
        <w:trPr>
          <w:trHeight w:val="162"/>
        </w:trPr>
        <w:tc>
          <w:tcPr>
            <w:tcW w:w="1160" w:type="dxa"/>
            <w:vAlign w:val="bottom"/>
          </w:tcPr>
          <w:p>
            <w:pPr>
              <w:spacing w:after="0"/>
              <w:rPr>
                <w:sz w:val="14"/>
                <w:szCs w:val="14"/>
                <w:color w:val="auto"/>
              </w:rPr>
            </w:pPr>
          </w:p>
        </w:tc>
        <w:tc>
          <w:tcPr>
            <w:tcW w:w="4340" w:type="dxa"/>
            <w:vAlign w:val="bottom"/>
            <w:gridSpan w:val="2"/>
          </w:tcPr>
          <w:p>
            <w:pPr>
              <w:jc w:val="right"/>
              <w:ind w:right="20"/>
              <w:spacing w:after="0"/>
              <w:rPr>
                <w:sz w:val="20"/>
                <w:szCs w:val="20"/>
                <w:color w:val="auto"/>
              </w:rPr>
            </w:pPr>
            <w:r>
              <w:rPr>
                <w:rFonts w:ascii="Arial" w:cs="Arial" w:eastAsia="Arial" w:hAnsi="Arial"/>
                <w:sz w:val="14"/>
                <w:szCs w:val="14"/>
                <w:color w:val="auto"/>
              </w:rPr>
              <w:t>converted to oil equivalent using a factor of 5,800 scf per barrel</w:t>
            </w:r>
          </w:p>
        </w:tc>
      </w:tr>
      <w:tr>
        <w:trPr>
          <w:trHeight w:val="162"/>
        </w:trPr>
        <w:tc>
          <w:tcPr>
            <w:tcW w:w="1160" w:type="dxa"/>
            <w:vAlign w:val="bottom"/>
          </w:tcPr>
          <w:p>
            <w:pPr>
              <w:spacing w:after="0"/>
              <w:rPr>
                <w:sz w:val="20"/>
                <w:szCs w:val="20"/>
                <w:color w:val="auto"/>
              </w:rPr>
            </w:pPr>
            <w:r>
              <w:rPr>
                <w:rFonts w:ascii="Arial" w:cs="Arial" w:eastAsia="Arial" w:hAnsi="Arial"/>
                <w:sz w:val="14"/>
                <w:szCs w:val="14"/>
                <w:color w:val="auto"/>
              </w:rPr>
              <w:t>kboe(/d)</w:t>
            </w:r>
          </w:p>
        </w:tc>
        <w:tc>
          <w:tcPr>
            <w:tcW w:w="4340" w:type="dxa"/>
            <w:vAlign w:val="bottom"/>
            <w:gridSpan w:val="2"/>
          </w:tcPr>
          <w:p>
            <w:pPr>
              <w:jc w:val="right"/>
              <w:ind w:right="20"/>
              <w:spacing w:after="0"/>
              <w:rPr>
                <w:sz w:val="20"/>
                <w:szCs w:val="20"/>
                <w:color w:val="auto"/>
              </w:rPr>
            </w:pPr>
            <w:r>
              <w:rPr>
                <w:rFonts w:ascii="Arial" w:cs="Arial" w:eastAsia="Arial" w:hAnsi="Arial"/>
                <w:sz w:val="14"/>
                <w:szCs w:val="14"/>
                <w:color w:val="auto"/>
              </w:rPr>
              <w:t>thousand barrels of oil equivalent (per day); natural gas volumes</w:t>
            </w:r>
          </w:p>
        </w:tc>
      </w:tr>
      <w:tr>
        <w:trPr>
          <w:trHeight w:val="162"/>
        </w:trPr>
        <w:tc>
          <w:tcPr>
            <w:tcW w:w="1160" w:type="dxa"/>
            <w:vAlign w:val="bottom"/>
          </w:tcPr>
          <w:p>
            <w:pPr>
              <w:spacing w:after="0"/>
              <w:rPr>
                <w:sz w:val="14"/>
                <w:szCs w:val="14"/>
                <w:color w:val="auto"/>
              </w:rPr>
            </w:pPr>
          </w:p>
        </w:tc>
        <w:tc>
          <w:tcPr>
            <w:tcW w:w="4340" w:type="dxa"/>
            <w:vAlign w:val="bottom"/>
            <w:gridSpan w:val="2"/>
          </w:tcPr>
          <w:p>
            <w:pPr>
              <w:jc w:val="right"/>
              <w:ind w:right="20"/>
              <w:spacing w:after="0"/>
              <w:rPr>
                <w:sz w:val="20"/>
                <w:szCs w:val="20"/>
                <w:color w:val="auto"/>
              </w:rPr>
            </w:pPr>
            <w:r>
              <w:rPr>
                <w:rFonts w:ascii="Arial" w:cs="Arial" w:eastAsia="Arial" w:hAnsi="Arial"/>
                <w:sz w:val="14"/>
                <w:szCs w:val="14"/>
                <w:color w:val="auto"/>
              </w:rPr>
              <w:t>are converted to oil equivalent using a factor of 5,800 scf per</w:t>
            </w:r>
          </w:p>
        </w:tc>
      </w:tr>
      <w:tr>
        <w:trPr>
          <w:trHeight w:val="162"/>
        </w:trPr>
        <w:tc>
          <w:tcPr>
            <w:tcW w:w="1160" w:type="dxa"/>
            <w:vAlign w:val="bottom"/>
          </w:tcPr>
          <w:p>
            <w:pPr>
              <w:spacing w:after="0"/>
              <w:rPr>
                <w:sz w:val="14"/>
                <w:szCs w:val="14"/>
                <w:color w:val="auto"/>
              </w:rPr>
            </w:pPr>
          </w:p>
        </w:tc>
        <w:tc>
          <w:tcPr>
            <w:tcW w:w="4340" w:type="dxa"/>
            <w:vAlign w:val="bottom"/>
            <w:gridSpan w:val="2"/>
          </w:tcPr>
          <w:p>
            <w:pPr>
              <w:jc w:val="right"/>
              <w:ind w:right="20"/>
              <w:spacing w:after="0"/>
              <w:rPr>
                <w:sz w:val="20"/>
                <w:szCs w:val="20"/>
                <w:color w:val="auto"/>
              </w:rPr>
            </w:pPr>
            <w:r>
              <w:rPr>
                <w:rFonts w:ascii="Arial" w:cs="Arial" w:eastAsia="Arial" w:hAnsi="Arial"/>
                <w:sz w:val="14"/>
                <w:szCs w:val="14"/>
                <w:color w:val="auto"/>
              </w:rPr>
              <w:t>barrel</w:t>
            </w:r>
          </w:p>
        </w:tc>
      </w:tr>
      <w:tr>
        <w:trPr>
          <w:trHeight w:val="162"/>
        </w:trPr>
        <w:tc>
          <w:tcPr>
            <w:tcW w:w="1160" w:type="dxa"/>
            <w:vAlign w:val="bottom"/>
          </w:tcPr>
          <w:p>
            <w:pPr>
              <w:spacing w:after="0"/>
              <w:rPr>
                <w:sz w:val="20"/>
                <w:szCs w:val="20"/>
                <w:color w:val="auto"/>
              </w:rPr>
            </w:pPr>
            <w:r>
              <w:rPr>
                <w:rFonts w:ascii="Arial" w:cs="Arial" w:eastAsia="Arial" w:hAnsi="Arial"/>
                <w:sz w:val="14"/>
                <w:szCs w:val="14"/>
                <w:color w:val="auto"/>
              </w:rPr>
              <w:t>MMBtu</w:t>
            </w:r>
          </w:p>
        </w:tc>
        <w:tc>
          <w:tcPr>
            <w:tcW w:w="4340" w:type="dxa"/>
            <w:vAlign w:val="bottom"/>
            <w:gridSpan w:val="2"/>
          </w:tcPr>
          <w:p>
            <w:pPr>
              <w:jc w:val="right"/>
              <w:ind w:right="20"/>
              <w:spacing w:after="0"/>
              <w:rPr>
                <w:sz w:val="20"/>
                <w:szCs w:val="20"/>
                <w:color w:val="auto"/>
              </w:rPr>
            </w:pPr>
            <w:r>
              <w:rPr>
                <w:rFonts w:ascii="Arial" w:cs="Arial" w:eastAsia="Arial" w:hAnsi="Arial"/>
                <w:sz w:val="14"/>
                <w:szCs w:val="14"/>
                <w:color w:val="auto"/>
              </w:rPr>
              <w:t>million British thermal units</w:t>
            </w:r>
          </w:p>
        </w:tc>
      </w:tr>
      <w:tr>
        <w:trPr>
          <w:trHeight w:val="162"/>
        </w:trPr>
        <w:tc>
          <w:tcPr>
            <w:tcW w:w="1160" w:type="dxa"/>
            <w:vAlign w:val="bottom"/>
          </w:tcPr>
          <w:p>
            <w:pPr>
              <w:spacing w:after="0"/>
              <w:rPr>
                <w:sz w:val="20"/>
                <w:szCs w:val="20"/>
                <w:color w:val="auto"/>
              </w:rPr>
            </w:pPr>
            <w:r>
              <w:rPr>
                <w:rFonts w:ascii="Arial" w:cs="Arial" w:eastAsia="Arial" w:hAnsi="Arial"/>
                <w:sz w:val="14"/>
                <w:szCs w:val="14"/>
                <w:color w:val="auto"/>
              </w:rPr>
              <w:t>mtpa</w:t>
            </w:r>
          </w:p>
        </w:tc>
        <w:tc>
          <w:tcPr>
            <w:tcW w:w="4340" w:type="dxa"/>
            <w:vAlign w:val="bottom"/>
            <w:gridSpan w:val="2"/>
          </w:tcPr>
          <w:p>
            <w:pPr>
              <w:jc w:val="right"/>
              <w:ind w:right="20"/>
              <w:spacing w:after="0"/>
              <w:rPr>
                <w:sz w:val="20"/>
                <w:szCs w:val="20"/>
                <w:color w:val="auto"/>
              </w:rPr>
            </w:pPr>
            <w:r>
              <w:rPr>
                <w:rFonts w:ascii="Arial" w:cs="Arial" w:eastAsia="Arial" w:hAnsi="Arial"/>
                <w:sz w:val="14"/>
                <w:szCs w:val="14"/>
                <w:color w:val="auto"/>
              </w:rPr>
              <w:t>million tonnes per annum</w:t>
            </w:r>
          </w:p>
        </w:tc>
      </w:tr>
      <w:tr>
        <w:trPr>
          <w:trHeight w:val="162"/>
        </w:trPr>
        <w:tc>
          <w:tcPr>
            <w:tcW w:w="1160" w:type="dxa"/>
            <w:vAlign w:val="bottom"/>
          </w:tcPr>
          <w:p>
            <w:pPr>
              <w:spacing w:after="0"/>
              <w:rPr>
                <w:sz w:val="20"/>
                <w:szCs w:val="20"/>
                <w:color w:val="auto"/>
              </w:rPr>
            </w:pPr>
            <w:r>
              <w:rPr>
                <w:rFonts w:ascii="Arial" w:cs="Arial" w:eastAsia="Arial" w:hAnsi="Arial"/>
                <w:sz w:val="14"/>
                <w:szCs w:val="14"/>
                <w:color w:val="auto"/>
              </w:rPr>
              <w:t>per day</w:t>
            </w:r>
          </w:p>
        </w:tc>
        <w:tc>
          <w:tcPr>
            <w:tcW w:w="4340" w:type="dxa"/>
            <w:vAlign w:val="bottom"/>
            <w:gridSpan w:val="2"/>
          </w:tcPr>
          <w:p>
            <w:pPr>
              <w:jc w:val="right"/>
              <w:ind w:right="20"/>
              <w:spacing w:after="0"/>
              <w:rPr>
                <w:sz w:val="20"/>
                <w:szCs w:val="20"/>
                <w:color w:val="auto"/>
              </w:rPr>
            </w:pPr>
            <w:r>
              <w:rPr>
                <w:rFonts w:ascii="Arial" w:cs="Arial" w:eastAsia="Arial" w:hAnsi="Arial"/>
                <w:sz w:val="14"/>
                <w:szCs w:val="14"/>
                <w:color w:val="auto"/>
              </w:rPr>
              <w:t>volumes are converted to a daily basis using a calendar year</w:t>
            </w:r>
          </w:p>
        </w:tc>
      </w:tr>
      <w:tr>
        <w:trPr>
          <w:trHeight w:val="172"/>
        </w:trPr>
        <w:tc>
          <w:tcPr>
            <w:tcW w:w="1160" w:type="dxa"/>
            <w:vAlign w:val="bottom"/>
          </w:tcPr>
          <w:p>
            <w:pPr>
              <w:spacing w:after="0"/>
              <w:rPr>
                <w:sz w:val="20"/>
                <w:szCs w:val="20"/>
                <w:color w:val="auto"/>
              </w:rPr>
            </w:pPr>
            <w:r>
              <w:rPr>
                <w:rFonts w:ascii="Arial" w:cs="Arial" w:eastAsia="Arial" w:hAnsi="Arial"/>
                <w:sz w:val="14"/>
                <w:szCs w:val="14"/>
                <w:color w:val="auto"/>
              </w:rPr>
              <w:t>scf(/d)</w:t>
            </w:r>
          </w:p>
        </w:tc>
        <w:tc>
          <w:tcPr>
            <w:tcW w:w="4340" w:type="dxa"/>
            <w:vAlign w:val="bottom"/>
            <w:gridSpan w:val="2"/>
          </w:tcPr>
          <w:p>
            <w:pPr>
              <w:jc w:val="right"/>
              <w:ind w:right="20"/>
              <w:spacing w:after="0"/>
              <w:rPr>
                <w:sz w:val="20"/>
                <w:szCs w:val="20"/>
                <w:color w:val="auto"/>
              </w:rPr>
            </w:pPr>
            <w:r>
              <w:rPr>
                <w:rFonts w:ascii="Arial" w:cs="Arial" w:eastAsia="Arial" w:hAnsi="Arial"/>
                <w:sz w:val="14"/>
                <w:szCs w:val="14"/>
                <w:color w:val="auto"/>
              </w:rPr>
              <w:t>standard cubic feet (per day)</w:t>
            </w:r>
          </w:p>
        </w:tc>
      </w:tr>
      <w:tr>
        <w:trPr>
          <w:trHeight w:val="188"/>
        </w:trPr>
        <w:tc>
          <w:tcPr>
            <w:tcW w:w="1160" w:type="dxa"/>
            <w:vAlign w:val="bottom"/>
            <w:tcBorders>
              <w:bottom w:val="single" w:sz="8" w:color="auto"/>
            </w:tcBorders>
          </w:tcPr>
          <w:p>
            <w:pPr>
              <w:spacing w:after="0"/>
              <w:rPr>
                <w:sz w:val="16"/>
                <w:szCs w:val="16"/>
                <w:color w:val="auto"/>
              </w:rPr>
            </w:pPr>
          </w:p>
        </w:tc>
        <w:tc>
          <w:tcPr>
            <w:tcW w:w="432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r>
      <w:tr>
        <w:trPr>
          <w:trHeight w:val="156"/>
        </w:trPr>
        <w:tc>
          <w:tcPr>
            <w:tcW w:w="1160" w:type="dxa"/>
            <w:vAlign w:val="bottom"/>
            <w:shd w:val="clear" w:color="auto" w:fill="333333"/>
          </w:tcPr>
          <w:p>
            <w:pPr>
              <w:ind w:left="80"/>
              <w:spacing w:after="0" w:line="156" w:lineRule="exact"/>
              <w:rPr>
                <w:sz w:val="20"/>
                <w:szCs w:val="20"/>
                <w:color w:val="auto"/>
              </w:rPr>
            </w:pPr>
            <w:r>
              <w:rPr>
                <w:rFonts w:ascii="Arial" w:cs="Arial" w:eastAsia="Arial" w:hAnsi="Arial"/>
                <w:sz w:val="15"/>
                <w:szCs w:val="15"/>
                <w:b w:val="1"/>
                <w:bCs w:val="1"/>
                <w:color w:val="FFFFFF"/>
              </w:rPr>
              <w:t>PRODUCTS</w:t>
            </w:r>
          </w:p>
        </w:tc>
        <w:tc>
          <w:tcPr>
            <w:tcW w:w="4320" w:type="dxa"/>
            <w:vAlign w:val="bottom"/>
            <w:shd w:val="clear" w:color="auto" w:fill="333333"/>
          </w:tcPr>
          <w:p>
            <w:pPr>
              <w:spacing w:after="0"/>
              <w:rPr>
                <w:sz w:val="13"/>
                <w:szCs w:val="13"/>
                <w:color w:val="auto"/>
              </w:rPr>
            </w:pPr>
          </w:p>
        </w:tc>
        <w:tc>
          <w:tcPr>
            <w:tcW w:w="20" w:type="dxa"/>
            <w:vAlign w:val="bottom"/>
          </w:tcPr>
          <w:p>
            <w:pPr>
              <w:spacing w:after="0"/>
              <w:rPr>
                <w:sz w:val="13"/>
                <w:szCs w:val="13"/>
                <w:color w:val="auto"/>
              </w:rPr>
            </w:pPr>
          </w:p>
        </w:tc>
      </w:tr>
      <w:tr>
        <w:trPr>
          <w:trHeight w:val="167"/>
        </w:trPr>
        <w:tc>
          <w:tcPr>
            <w:tcW w:w="1160" w:type="dxa"/>
            <w:vAlign w:val="bottom"/>
          </w:tcPr>
          <w:p>
            <w:pPr>
              <w:spacing w:after="0"/>
              <w:rPr>
                <w:sz w:val="20"/>
                <w:szCs w:val="20"/>
                <w:color w:val="auto"/>
              </w:rPr>
            </w:pPr>
            <w:r>
              <w:rPr>
                <w:rFonts w:ascii="Arial" w:cs="Arial" w:eastAsia="Arial" w:hAnsi="Arial"/>
                <w:sz w:val="14"/>
                <w:szCs w:val="14"/>
                <w:color w:val="auto"/>
              </w:rPr>
              <w:t>GTL</w:t>
            </w:r>
          </w:p>
        </w:tc>
        <w:tc>
          <w:tcPr>
            <w:tcW w:w="4340" w:type="dxa"/>
            <w:vAlign w:val="bottom"/>
            <w:gridSpan w:val="2"/>
          </w:tcPr>
          <w:p>
            <w:pPr>
              <w:jc w:val="right"/>
              <w:ind w:right="20"/>
              <w:spacing w:after="0"/>
              <w:rPr>
                <w:sz w:val="20"/>
                <w:szCs w:val="20"/>
                <w:color w:val="auto"/>
              </w:rPr>
            </w:pPr>
            <w:r>
              <w:rPr>
                <w:rFonts w:ascii="Arial" w:cs="Arial" w:eastAsia="Arial" w:hAnsi="Arial"/>
                <w:sz w:val="14"/>
                <w:szCs w:val="14"/>
                <w:color w:val="auto"/>
              </w:rPr>
              <w:t>gas to liquids</w:t>
            </w:r>
          </w:p>
        </w:tc>
      </w:tr>
      <w:tr>
        <w:trPr>
          <w:trHeight w:val="162"/>
        </w:trPr>
        <w:tc>
          <w:tcPr>
            <w:tcW w:w="1160" w:type="dxa"/>
            <w:vAlign w:val="bottom"/>
          </w:tcPr>
          <w:p>
            <w:pPr>
              <w:spacing w:after="0"/>
              <w:rPr>
                <w:sz w:val="20"/>
                <w:szCs w:val="20"/>
                <w:color w:val="auto"/>
              </w:rPr>
            </w:pPr>
            <w:r>
              <w:rPr>
                <w:rFonts w:ascii="Arial" w:cs="Arial" w:eastAsia="Arial" w:hAnsi="Arial"/>
                <w:sz w:val="14"/>
                <w:szCs w:val="14"/>
                <w:color w:val="auto"/>
              </w:rPr>
              <w:t>LNG</w:t>
            </w:r>
          </w:p>
        </w:tc>
        <w:tc>
          <w:tcPr>
            <w:tcW w:w="4340" w:type="dxa"/>
            <w:vAlign w:val="bottom"/>
            <w:gridSpan w:val="2"/>
          </w:tcPr>
          <w:p>
            <w:pPr>
              <w:jc w:val="right"/>
              <w:ind w:right="20"/>
              <w:spacing w:after="0"/>
              <w:rPr>
                <w:sz w:val="20"/>
                <w:szCs w:val="20"/>
                <w:color w:val="auto"/>
              </w:rPr>
            </w:pPr>
            <w:r>
              <w:rPr>
                <w:rFonts w:ascii="Arial" w:cs="Arial" w:eastAsia="Arial" w:hAnsi="Arial"/>
                <w:sz w:val="14"/>
                <w:szCs w:val="14"/>
                <w:color w:val="auto"/>
              </w:rPr>
              <w:t>liquefied natural gas</w:t>
            </w:r>
          </w:p>
        </w:tc>
      </w:tr>
      <w:tr>
        <w:trPr>
          <w:trHeight w:val="162"/>
        </w:trPr>
        <w:tc>
          <w:tcPr>
            <w:tcW w:w="1160" w:type="dxa"/>
            <w:vAlign w:val="bottom"/>
          </w:tcPr>
          <w:p>
            <w:pPr>
              <w:spacing w:after="0"/>
              <w:rPr>
                <w:sz w:val="20"/>
                <w:szCs w:val="20"/>
                <w:color w:val="auto"/>
              </w:rPr>
            </w:pPr>
            <w:r>
              <w:rPr>
                <w:rFonts w:ascii="Arial" w:cs="Arial" w:eastAsia="Arial" w:hAnsi="Arial"/>
                <w:sz w:val="14"/>
                <w:szCs w:val="14"/>
                <w:color w:val="auto"/>
              </w:rPr>
              <w:t>LPG</w:t>
            </w:r>
          </w:p>
        </w:tc>
        <w:tc>
          <w:tcPr>
            <w:tcW w:w="4340" w:type="dxa"/>
            <w:vAlign w:val="bottom"/>
            <w:gridSpan w:val="2"/>
          </w:tcPr>
          <w:p>
            <w:pPr>
              <w:jc w:val="right"/>
              <w:ind w:right="20"/>
              <w:spacing w:after="0"/>
              <w:rPr>
                <w:sz w:val="20"/>
                <w:szCs w:val="20"/>
                <w:color w:val="auto"/>
              </w:rPr>
            </w:pPr>
            <w:r>
              <w:rPr>
                <w:rFonts w:ascii="Arial" w:cs="Arial" w:eastAsia="Arial" w:hAnsi="Arial"/>
                <w:sz w:val="14"/>
                <w:szCs w:val="14"/>
                <w:color w:val="auto"/>
              </w:rPr>
              <w:t>liquefied petroleum gas</w:t>
            </w:r>
          </w:p>
        </w:tc>
      </w:tr>
      <w:tr>
        <w:trPr>
          <w:trHeight w:val="172"/>
        </w:trPr>
        <w:tc>
          <w:tcPr>
            <w:tcW w:w="1160" w:type="dxa"/>
            <w:vAlign w:val="bottom"/>
          </w:tcPr>
          <w:p>
            <w:pPr>
              <w:spacing w:after="0"/>
              <w:rPr>
                <w:sz w:val="20"/>
                <w:szCs w:val="20"/>
                <w:color w:val="auto"/>
              </w:rPr>
            </w:pPr>
            <w:r>
              <w:rPr>
                <w:rFonts w:ascii="Arial" w:cs="Arial" w:eastAsia="Arial" w:hAnsi="Arial"/>
                <w:sz w:val="14"/>
                <w:szCs w:val="14"/>
                <w:color w:val="auto"/>
              </w:rPr>
              <w:t>NGL</w:t>
            </w:r>
          </w:p>
        </w:tc>
        <w:tc>
          <w:tcPr>
            <w:tcW w:w="4340" w:type="dxa"/>
            <w:vAlign w:val="bottom"/>
            <w:gridSpan w:val="2"/>
          </w:tcPr>
          <w:p>
            <w:pPr>
              <w:jc w:val="right"/>
              <w:ind w:right="20"/>
              <w:spacing w:after="0"/>
              <w:rPr>
                <w:sz w:val="20"/>
                <w:szCs w:val="20"/>
                <w:color w:val="auto"/>
              </w:rPr>
            </w:pPr>
            <w:r>
              <w:rPr>
                <w:rFonts w:ascii="Arial" w:cs="Arial" w:eastAsia="Arial" w:hAnsi="Arial"/>
                <w:sz w:val="14"/>
                <w:szCs w:val="14"/>
                <w:color w:val="auto"/>
              </w:rPr>
              <w:t>natural gas liquids</w:t>
            </w:r>
          </w:p>
        </w:tc>
      </w:tr>
      <w:tr>
        <w:trPr>
          <w:trHeight w:val="188"/>
        </w:trPr>
        <w:tc>
          <w:tcPr>
            <w:tcW w:w="5480" w:type="dxa"/>
            <w:vAlign w:val="bottom"/>
            <w:tcBorders>
              <w:bottom w:val="single" w:sz="8" w:color="auto"/>
            </w:tcBorders>
            <w:gridSpan w:val="2"/>
          </w:tcPr>
          <w:p>
            <w:pPr>
              <w:spacing w:after="0"/>
              <w:rPr>
                <w:sz w:val="16"/>
                <w:szCs w:val="16"/>
                <w:color w:val="auto"/>
              </w:rPr>
            </w:pPr>
          </w:p>
        </w:tc>
        <w:tc>
          <w:tcPr>
            <w:tcW w:w="20" w:type="dxa"/>
            <w:vAlign w:val="bottom"/>
          </w:tcPr>
          <w:p>
            <w:pPr>
              <w:spacing w:after="0"/>
              <w:rPr>
                <w:sz w:val="16"/>
                <w:szCs w:val="16"/>
                <w:color w:val="auto"/>
              </w:rPr>
            </w:pPr>
          </w:p>
        </w:tc>
      </w:tr>
      <w:tr>
        <w:trPr>
          <w:trHeight w:val="156"/>
        </w:trPr>
        <w:tc>
          <w:tcPr>
            <w:tcW w:w="5480" w:type="dxa"/>
            <w:vAlign w:val="bottom"/>
            <w:gridSpan w:val="2"/>
            <w:shd w:val="clear" w:color="auto" w:fill="333333"/>
          </w:tcPr>
          <w:p>
            <w:pPr>
              <w:ind w:left="80"/>
              <w:spacing w:after="0" w:line="156" w:lineRule="exact"/>
              <w:rPr>
                <w:sz w:val="20"/>
                <w:szCs w:val="20"/>
                <w:color w:val="auto"/>
              </w:rPr>
            </w:pPr>
            <w:r>
              <w:rPr>
                <w:rFonts w:ascii="Arial" w:cs="Arial" w:eastAsia="Arial" w:hAnsi="Arial"/>
                <w:sz w:val="15"/>
                <w:szCs w:val="15"/>
                <w:b w:val="1"/>
                <w:bCs w:val="1"/>
                <w:color w:val="FFFFFF"/>
              </w:rPr>
              <w:t>MISCELLANEOUS</w:t>
            </w:r>
          </w:p>
        </w:tc>
        <w:tc>
          <w:tcPr>
            <w:tcW w:w="20" w:type="dxa"/>
            <w:vAlign w:val="bottom"/>
          </w:tcPr>
          <w:p>
            <w:pPr>
              <w:spacing w:after="0"/>
              <w:rPr>
                <w:sz w:val="13"/>
                <w:szCs w:val="13"/>
                <w:color w:val="auto"/>
              </w:rPr>
            </w:pPr>
          </w:p>
        </w:tc>
      </w:tr>
      <w:tr>
        <w:trPr>
          <w:trHeight w:val="167"/>
        </w:trPr>
        <w:tc>
          <w:tcPr>
            <w:tcW w:w="1160" w:type="dxa"/>
            <w:vAlign w:val="bottom"/>
          </w:tcPr>
          <w:p>
            <w:pPr>
              <w:spacing w:after="0"/>
              <w:rPr>
                <w:sz w:val="20"/>
                <w:szCs w:val="20"/>
                <w:color w:val="auto"/>
              </w:rPr>
            </w:pPr>
            <w:r>
              <w:rPr>
                <w:rFonts w:ascii="Arial" w:cs="Arial" w:eastAsia="Arial" w:hAnsi="Arial"/>
                <w:sz w:val="14"/>
                <w:szCs w:val="14"/>
                <w:color w:val="auto"/>
              </w:rPr>
              <w:t>ADS</w:t>
            </w:r>
          </w:p>
        </w:tc>
        <w:tc>
          <w:tcPr>
            <w:tcW w:w="4340" w:type="dxa"/>
            <w:vAlign w:val="bottom"/>
            <w:gridSpan w:val="2"/>
          </w:tcPr>
          <w:p>
            <w:pPr>
              <w:jc w:val="right"/>
              <w:ind w:right="20"/>
              <w:spacing w:after="0"/>
              <w:rPr>
                <w:sz w:val="20"/>
                <w:szCs w:val="20"/>
                <w:color w:val="auto"/>
              </w:rPr>
            </w:pPr>
            <w:r>
              <w:rPr>
                <w:rFonts w:ascii="Arial" w:cs="Arial" w:eastAsia="Arial" w:hAnsi="Arial"/>
                <w:sz w:val="14"/>
                <w:szCs w:val="14"/>
                <w:color w:val="auto"/>
              </w:rPr>
              <w:t>American Depositary Share</w:t>
            </w:r>
          </w:p>
        </w:tc>
      </w:tr>
      <w:tr>
        <w:trPr>
          <w:trHeight w:val="162"/>
        </w:trPr>
        <w:tc>
          <w:tcPr>
            <w:tcW w:w="1160" w:type="dxa"/>
            <w:vAlign w:val="bottom"/>
          </w:tcPr>
          <w:p>
            <w:pPr>
              <w:spacing w:after="0"/>
              <w:rPr>
                <w:sz w:val="20"/>
                <w:szCs w:val="20"/>
                <w:color w:val="auto"/>
              </w:rPr>
            </w:pPr>
            <w:r>
              <w:rPr>
                <w:rFonts w:ascii="Arial" w:cs="Arial" w:eastAsia="Arial" w:hAnsi="Arial"/>
                <w:sz w:val="14"/>
                <w:szCs w:val="14"/>
                <w:color w:val="auto"/>
              </w:rPr>
              <w:t>AGM</w:t>
            </w:r>
          </w:p>
        </w:tc>
        <w:tc>
          <w:tcPr>
            <w:tcW w:w="4340" w:type="dxa"/>
            <w:vAlign w:val="bottom"/>
            <w:gridSpan w:val="2"/>
          </w:tcPr>
          <w:p>
            <w:pPr>
              <w:jc w:val="right"/>
              <w:ind w:right="20"/>
              <w:spacing w:after="0"/>
              <w:rPr>
                <w:sz w:val="20"/>
                <w:szCs w:val="20"/>
                <w:color w:val="auto"/>
              </w:rPr>
            </w:pPr>
            <w:r>
              <w:rPr>
                <w:rFonts w:ascii="Arial" w:cs="Arial" w:eastAsia="Arial" w:hAnsi="Arial"/>
                <w:sz w:val="14"/>
                <w:szCs w:val="14"/>
                <w:color w:val="auto"/>
              </w:rPr>
              <w:t>Annual General Meeting</w:t>
            </w:r>
          </w:p>
        </w:tc>
      </w:tr>
      <w:tr>
        <w:trPr>
          <w:trHeight w:val="162"/>
        </w:trPr>
        <w:tc>
          <w:tcPr>
            <w:tcW w:w="1160" w:type="dxa"/>
            <w:vAlign w:val="bottom"/>
          </w:tcPr>
          <w:p>
            <w:pPr>
              <w:spacing w:after="0"/>
              <w:rPr>
                <w:sz w:val="20"/>
                <w:szCs w:val="20"/>
                <w:color w:val="auto"/>
              </w:rPr>
            </w:pPr>
            <w:r>
              <w:rPr>
                <w:rFonts w:ascii="Arial" w:cs="Arial" w:eastAsia="Arial" w:hAnsi="Arial"/>
                <w:sz w:val="14"/>
                <w:szCs w:val="14"/>
                <w:color w:val="auto"/>
              </w:rPr>
              <w:t>API</w:t>
            </w:r>
          </w:p>
        </w:tc>
        <w:tc>
          <w:tcPr>
            <w:tcW w:w="4340" w:type="dxa"/>
            <w:vAlign w:val="bottom"/>
            <w:gridSpan w:val="2"/>
          </w:tcPr>
          <w:p>
            <w:pPr>
              <w:jc w:val="right"/>
              <w:ind w:right="20"/>
              <w:spacing w:after="0"/>
              <w:rPr>
                <w:sz w:val="20"/>
                <w:szCs w:val="20"/>
                <w:color w:val="auto"/>
              </w:rPr>
            </w:pPr>
            <w:r>
              <w:rPr>
                <w:rFonts w:ascii="Arial" w:cs="Arial" w:eastAsia="Arial" w:hAnsi="Arial"/>
                <w:sz w:val="14"/>
                <w:szCs w:val="14"/>
                <w:color w:val="auto"/>
              </w:rPr>
              <w:t>American Petroleum Institute</w:t>
            </w:r>
          </w:p>
        </w:tc>
      </w:tr>
      <w:tr>
        <w:trPr>
          <w:trHeight w:val="172"/>
        </w:trPr>
        <w:tc>
          <w:tcPr>
            <w:tcW w:w="1160" w:type="dxa"/>
            <w:vAlign w:val="bottom"/>
          </w:tcPr>
          <w:p>
            <w:pPr>
              <w:spacing w:after="0"/>
              <w:rPr>
                <w:sz w:val="20"/>
                <w:szCs w:val="20"/>
                <w:color w:val="auto"/>
              </w:rPr>
            </w:pPr>
            <w:r>
              <w:rPr>
                <w:rFonts w:ascii="Arial" w:cs="Arial" w:eastAsia="Arial" w:hAnsi="Arial"/>
                <w:sz w:val="14"/>
                <w:szCs w:val="14"/>
                <w:color w:val="auto"/>
              </w:rPr>
              <w:t>CCS</w:t>
            </w:r>
          </w:p>
        </w:tc>
        <w:tc>
          <w:tcPr>
            <w:tcW w:w="4340" w:type="dxa"/>
            <w:vAlign w:val="bottom"/>
            <w:gridSpan w:val="2"/>
          </w:tcPr>
          <w:p>
            <w:pPr>
              <w:jc w:val="right"/>
              <w:ind w:right="20"/>
              <w:spacing w:after="0"/>
              <w:rPr>
                <w:sz w:val="20"/>
                <w:szCs w:val="20"/>
                <w:color w:val="auto"/>
              </w:rPr>
            </w:pPr>
            <w:r>
              <w:rPr>
                <w:rFonts w:ascii="Arial" w:cs="Arial" w:eastAsia="Arial" w:hAnsi="Arial"/>
                <w:sz w:val="14"/>
                <w:szCs w:val="14"/>
                <w:color w:val="auto"/>
              </w:rPr>
              <w:t>carbon capture and storage</w:t>
            </w:r>
          </w:p>
        </w:tc>
      </w:tr>
      <w:tr>
        <w:trPr>
          <w:trHeight w:val="165"/>
        </w:trPr>
        <w:tc>
          <w:tcPr>
            <w:tcW w:w="1160" w:type="dxa"/>
            <w:vAlign w:val="bottom"/>
          </w:tcPr>
          <w:p>
            <w:pPr>
              <w:spacing w:after="0"/>
              <w:rPr>
                <w:sz w:val="20"/>
                <w:szCs w:val="20"/>
                <w:color w:val="auto"/>
              </w:rPr>
            </w:pPr>
            <w:r>
              <w:rPr>
                <w:rFonts w:ascii="Arial" w:cs="Arial" w:eastAsia="Arial" w:hAnsi="Arial"/>
                <w:sz w:val="14"/>
                <w:szCs w:val="14"/>
                <w:color w:val="auto"/>
              </w:rPr>
              <w:t>CCS earnings</w:t>
            </w:r>
          </w:p>
        </w:tc>
        <w:tc>
          <w:tcPr>
            <w:tcW w:w="4340" w:type="dxa"/>
            <w:vAlign w:val="bottom"/>
            <w:gridSpan w:val="2"/>
          </w:tcPr>
          <w:p>
            <w:pPr>
              <w:jc w:val="right"/>
              <w:ind w:right="20"/>
              <w:spacing w:after="0"/>
              <w:rPr>
                <w:sz w:val="20"/>
                <w:szCs w:val="20"/>
                <w:color w:val="auto"/>
              </w:rPr>
            </w:pPr>
            <w:r>
              <w:rPr>
                <w:rFonts w:ascii="Arial" w:cs="Arial" w:eastAsia="Arial" w:hAnsi="Arial"/>
                <w:sz w:val="14"/>
                <w:szCs w:val="14"/>
                <w:color w:val="auto"/>
              </w:rPr>
              <w:t>earnings on a current cost of supplies basis</w:t>
            </w:r>
          </w:p>
        </w:tc>
      </w:tr>
      <w:tr>
        <w:trPr>
          <w:trHeight w:val="162"/>
        </w:trPr>
        <w:tc>
          <w:tcPr>
            <w:tcW w:w="1160" w:type="dxa"/>
            <w:vAlign w:val="bottom"/>
          </w:tcPr>
          <w:p>
            <w:pPr>
              <w:spacing w:after="0"/>
              <w:rPr>
                <w:sz w:val="20"/>
                <w:szCs w:val="20"/>
                <w:color w:val="auto"/>
              </w:rPr>
            </w:pPr>
            <w:r>
              <w:rPr>
                <w:rFonts w:ascii="Arial" w:cs="Arial" w:eastAsia="Arial" w:hAnsi="Arial"/>
                <w:sz w:val="14"/>
                <w:szCs w:val="14"/>
                <w:color w:val="auto"/>
              </w:rPr>
              <w:t>CO</w:t>
            </w:r>
            <w:r>
              <w:rPr>
                <w:rFonts w:ascii="Arial" w:cs="Arial" w:eastAsia="Arial" w:hAnsi="Arial"/>
                <w:sz w:val="12"/>
                <w:szCs w:val="12"/>
                <w:color w:val="auto"/>
              </w:rPr>
              <w:t>2</w:t>
            </w:r>
          </w:p>
        </w:tc>
        <w:tc>
          <w:tcPr>
            <w:tcW w:w="4340" w:type="dxa"/>
            <w:vAlign w:val="bottom"/>
            <w:gridSpan w:val="2"/>
          </w:tcPr>
          <w:p>
            <w:pPr>
              <w:jc w:val="right"/>
              <w:ind w:right="20"/>
              <w:spacing w:after="0"/>
              <w:rPr>
                <w:sz w:val="20"/>
                <w:szCs w:val="20"/>
                <w:color w:val="auto"/>
              </w:rPr>
            </w:pPr>
            <w:r>
              <w:rPr>
                <w:rFonts w:ascii="Arial" w:cs="Arial" w:eastAsia="Arial" w:hAnsi="Arial"/>
                <w:sz w:val="14"/>
                <w:szCs w:val="14"/>
                <w:color w:val="auto"/>
              </w:rPr>
              <w:t>carbon dioxide</w:t>
            </w:r>
          </w:p>
        </w:tc>
      </w:tr>
      <w:tr>
        <w:trPr>
          <w:trHeight w:val="162"/>
        </w:trPr>
        <w:tc>
          <w:tcPr>
            <w:tcW w:w="1160" w:type="dxa"/>
            <w:vAlign w:val="bottom"/>
          </w:tcPr>
          <w:p>
            <w:pPr>
              <w:spacing w:after="0"/>
              <w:rPr>
                <w:sz w:val="20"/>
                <w:szCs w:val="20"/>
                <w:color w:val="auto"/>
              </w:rPr>
            </w:pPr>
            <w:r>
              <w:rPr>
                <w:rFonts w:ascii="Arial" w:cs="Arial" w:eastAsia="Arial" w:hAnsi="Arial"/>
                <w:sz w:val="14"/>
                <w:szCs w:val="14"/>
                <w:color w:val="auto"/>
              </w:rPr>
              <w:t>DBP</w:t>
            </w:r>
          </w:p>
        </w:tc>
        <w:tc>
          <w:tcPr>
            <w:tcW w:w="4340" w:type="dxa"/>
            <w:vAlign w:val="bottom"/>
            <w:gridSpan w:val="2"/>
          </w:tcPr>
          <w:p>
            <w:pPr>
              <w:jc w:val="right"/>
              <w:ind w:right="20"/>
              <w:spacing w:after="0"/>
              <w:rPr>
                <w:sz w:val="20"/>
                <w:szCs w:val="20"/>
                <w:color w:val="auto"/>
              </w:rPr>
            </w:pPr>
            <w:r>
              <w:rPr>
                <w:rFonts w:ascii="Arial" w:cs="Arial" w:eastAsia="Arial" w:hAnsi="Arial"/>
                <w:sz w:val="14"/>
                <w:szCs w:val="14"/>
                <w:color w:val="auto"/>
              </w:rPr>
              <w:t>Deferred Bonus Plan</w:t>
            </w:r>
          </w:p>
        </w:tc>
      </w:tr>
      <w:tr>
        <w:trPr>
          <w:trHeight w:val="162"/>
        </w:trPr>
        <w:tc>
          <w:tcPr>
            <w:tcW w:w="1160" w:type="dxa"/>
            <w:vAlign w:val="bottom"/>
          </w:tcPr>
          <w:p>
            <w:pPr>
              <w:spacing w:after="0"/>
              <w:rPr>
                <w:sz w:val="20"/>
                <w:szCs w:val="20"/>
                <w:color w:val="auto"/>
              </w:rPr>
            </w:pPr>
            <w:r>
              <w:rPr>
                <w:rFonts w:ascii="Arial" w:cs="Arial" w:eastAsia="Arial" w:hAnsi="Arial"/>
                <w:sz w:val="14"/>
                <w:szCs w:val="14"/>
                <w:color w:val="auto"/>
              </w:rPr>
              <w:t>EMTN</w:t>
            </w:r>
          </w:p>
        </w:tc>
        <w:tc>
          <w:tcPr>
            <w:tcW w:w="4340" w:type="dxa"/>
            <w:vAlign w:val="bottom"/>
            <w:gridSpan w:val="2"/>
          </w:tcPr>
          <w:p>
            <w:pPr>
              <w:jc w:val="right"/>
              <w:ind w:right="20"/>
              <w:spacing w:after="0"/>
              <w:rPr>
                <w:sz w:val="20"/>
                <w:szCs w:val="20"/>
                <w:color w:val="auto"/>
              </w:rPr>
            </w:pPr>
            <w:r>
              <w:rPr>
                <w:rFonts w:ascii="Arial" w:cs="Arial" w:eastAsia="Arial" w:hAnsi="Arial"/>
                <w:sz w:val="14"/>
                <w:szCs w:val="14"/>
                <w:color w:val="auto"/>
              </w:rPr>
              <w:t>euro medium-term note</w:t>
            </w:r>
          </w:p>
        </w:tc>
      </w:tr>
      <w:tr>
        <w:trPr>
          <w:trHeight w:val="162"/>
        </w:trPr>
        <w:tc>
          <w:tcPr>
            <w:tcW w:w="1160" w:type="dxa"/>
            <w:vAlign w:val="bottom"/>
          </w:tcPr>
          <w:p>
            <w:pPr>
              <w:spacing w:after="0"/>
              <w:rPr>
                <w:sz w:val="20"/>
                <w:szCs w:val="20"/>
                <w:color w:val="auto"/>
              </w:rPr>
            </w:pPr>
            <w:r>
              <w:rPr>
                <w:rFonts w:ascii="Arial" w:cs="Arial" w:eastAsia="Arial" w:hAnsi="Arial"/>
                <w:sz w:val="14"/>
                <w:szCs w:val="14"/>
                <w:color w:val="auto"/>
              </w:rPr>
              <w:t>EPS</w:t>
            </w:r>
          </w:p>
        </w:tc>
        <w:tc>
          <w:tcPr>
            <w:tcW w:w="4340" w:type="dxa"/>
            <w:vAlign w:val="bottom"/>
            <w:gridSpan w:val="2"/>
          </w:tcPr>
          <w:p>
            <w:pPr>
              <w:jc w:val="right"/>
              <w:ind w:right="20"/>
              <w:spacing w:after="0"/>
              <w:rPr>
                <w:sz w:val="20"/>
                <w:szCs w:val="20"/>
                <w:color w:val="auto"/>
              </w:rPr>
            </w:pPr>
            <w:r>
              <w:rPr>
                <w:rFonts w:ascii="Arial" w:cs="Arial" w:eastAsia="Arial" w:hAnsi="Arial"/>
                <w:sz w:val="14"/>
                <w:szCs w:val="14"/>
                <w:color w:val="auto"/>
              </w:rPr>
              <w:t>earnings per share</w:t>
            </w:r>
          </w:p>
        </w:tc>
      </w:tr>
      <w:tr>
        <w:trPr>
          <w:trHeight w:val="162"/>
        </w:trPr>
        <w:tc>
          <w:tcPr>
            <w:tcW w:w="1160" w:type="dxa"/>
            <w:vAlign w:val="bottom"/>
          </w:tcPr>
          <w:p>
            <w:pPr>
              <w:spacing w:after="0"/>
              <w:rPr>
                <w:sz w:val="20"/>
                <w:szCs w:val="20"/>
                <w:color w:val="auto"/>
              </w:rPr>
            </w:pPr>
            <w:r>
              <w:rPr>
                <w:rFonts w:ascii="Arial" w:cs="Arial" w:eastAsia="Arial" w:hAnsi="Arial"/>
                <w:sz w:val="14"/>
                <w:szCs w:val="14"/>
                <w:color w:val="auto"/>
              </w:rPr>
              <w:t>GAAP</w:t>
            </w:r>
          </w:p>
        </w:tc>
        <w:tc>
          <w:tcPr>
            <w:tcW w:w="4340" w:type="dxa"/>
            <w:vAlign w:val="bottom"/>
            <w:gridSpan w:val="2"/>
          </w:tcPr>
          <w:p>
            <w:pPr>
              <w:jc w:val="right"/>
              <w:ind w:right="20"/>
              <w:spacing w:after="0"/>
              <w:rPr>
                <w:sz w:val="20"/>
                <w:szCs w:val="20"/>
                <w:color w:val="auto"/>
              </w:rPr>
            </w:pPr>
            <w:r>
              <w:rPr>
                <w:rFonts w:ascii="Arial" w:cs="Arial" w:eastAsia="Arial" w:hAnsi="Arial"/>
                <w:sz w:val="14"/>
                <w:szCs w:val="14"/>
                <w:color w:val="auto"/>
              </w:rPr>
              <w:t>generally accepted accounting principles</w:t>
            </w:r>
          </w:p>
        </w:tc>
      </w:tr>
      <w:tr>
        <w:trPr>
          <w:trHeight w:val="162"/>
        </w:trPr>
        <w:tc>
          <w:tcPr>
            <w:tcW w:w="1160" w:type="dxa"/>
            <w:vAlign w:val="bottom"/>
          </w:tcPr>
          <w:p>
            <w:pPr>
              <w:spacing w:after="0"/>
              <w:rPr>
                <w:sz w:val="20"/>
                <w:szCs w:val="20"/>
                <w:color w:val="auto"/>
              </w:rPr>
            </w:pPr>
            <w:r>
              <w:rPr>
                <w:rFonts w:ascii="Arial" w:cs="Arial" w:eastAsia="Arial" w:hAnsi="Arial"/>
                <w:sz w:val="14"/>
                <w:szCs w:val="14"/>
                <w:color w:val="auto"/>
              </w:rPr>
              <w:t>HSSE</w:t>
            </w:r>
          </w:p>
        </w:tc>
        <w:tc>
          <w:tcPr>
            <w:tcW w:w="4340" w:type="dxa"/>
            <w:vAlign w:val="bottom"/>
            <w:gridSpan w:val="2"/>
          </w:tcPr>
          <w:p>
            <w:pPr>
              <w:jc w:val="right"/>
              <w:ind w:right="20"/>
              <w:spacing w:after="0"/>
              <w:rPr>
                <w:sz w:val="20"/>
                <w:szCs w:val="20"/>
                <w:color w:val="auto"/>
              </w:rPr>
            </w:pPr>
            <w:r>
              <w:rPr>
                <w:rFonts w:ascii="Arial" w:cs="Arial" w:eastAsia="Arial" w:hAnsi="Arial"/>
                <w:sz w:val="14"/>
                <w:szCs w:val="14"/>
                <w:color w:val="auto"/>
              </w:rPr>
              <w:t>health, safety, security and environment</w:t>
            </w:r>
          </w:p>
        </w:tc>
      </w:tr>
      <w:tr>
        <w:trPr>
          <w:trHeight w:val="162"/>
        </w:trPr>
        <w:tc>
          <w:tcPr>
            <w:tcW w:w="1160" w:type="dxa"/>
            <w:vAlign w:val="bottom"/>
          </w:tcPr>
          <w:p>
            <w:pPr>
              <w:spacing w:after="0"/>
              <w:rPr>
                <w:sz w:val="20"/>
                <w:szCs w:val="20"/>
                <w:color w:val="auto"/>
              </w:rPr>
            </w:pPr>
            <w:r>
              <w:rPr>
                <w:rFonts w:ascii="Arial" w:cs="Arial" w:eastAsia="Arial" w:hAnsi="Arial"/>
                <w:sz w:val="14"/>
                <w:szCs w:val="14"/>
                <w:color w:val="auto"/>
              </w:rPr>
              <w:t>IAS</w:t>
            </w:r>
          </w:p>
        </w:tc>
        <w:tc>
          <w:tcPr>
            <w:tcW w:w="4340" w:type="dxa"/>
            <w:vAlign w:val="bottom"/>
            <w:gridSpan w:val="2"/>
          </w:tcPr>
          <w:p>
            <w:pPr>
              <w:jc w:val="right"/>
              <w:ind w:right="20"/>
              <w:spacing w:after="0"/>
              <w:rPr>
                <w:sz w:val="20"/>
                <w:szCs w:val="20"/>
                <w:color w:val="auto"/>
              </w:rPr>
            </w:pPr>
            <w:r>
              <w:rPr>
                <w:rFonts w:ascii="Arial" w:cs="Arial" w:eastAsia="Arial" w:hAnsi="Arial"/>
                <w:sz w:val="14"/>
                <w:szCs w:val="14"/>
                <w:color w:val="auto"/>
              </w:rPr>
              <w:t>International Accounting Standard</w:t>
            </w:r>
          </w:p>
        </w:tc>
      </w:tr>
      <w:tr>
        <w:trPr>
          <w:trHeight w:val="162"/>
        </w:trPr>
        <w:tc>
          <w:tcPr>
            <w:tcW w:w="1160" w:type="dxa"/>
            <w:vAlign w:val="bottom"/>
          </w:tcPr>
          <w:p>
            <w:pPr>
              <w:spacing w:after="0"/>
              <w:rPr>
                <w:sz w:val="20"/>
                <w:szCs w:val="20"/>
                <w:color w:val="auto"/>
              </w:rPr>
            </w:pPr>
            <w:r>
              <w:rPr>
                <w:rFonts w:ascii="Arial" w:cs="Arial" w:eastAsia="Arial" w:hAnsi="Arial"/>
                <w:sz w:val="14"/>
                <w:szCs w:val="14"/>
                <w:color w:val="auto"/>
              </w:rPr>
              <w:t>IFRS</w:t>
            </w:r>
          </w:p>
        </w:tc>
        <w:tc>
          <w:tcPr>
            <w:tcW w:w="4340" w:type="dxa"/>
            <w:vAlign w:val="bottom"/>
            <w:gridSpan w:val="2"/>
          </w:tcPr>
          <w:p>
            <w:pPr>
              <w:jc w:val="right"/>
              <w:ind w:right="20"/>
              <w:spacing w:after="0"/>
              <w:rPr>
                <w:sz w:val="20"/>
                <w:szCs w:val="20"/>
                <w:color w:val="auto"/>
              </w:rPr>
            </w:pPr>
            <w:r>
              <w:rPr>
                <w:rFonts w:ascii="Arial" w:cs="Arial" w:eastAsia="Arial" w:hAnsi="Arial"/>
                <w:sz w:val="14"/>
                <w:szCs w:val="14"/>
                <w:color w:val="auto"/>
              </w:rPr>
              <w:t>International Financial Reporting Standard(s)</w:t>
            </w:r>
          </w:p>
        </w:tc>
      </w:tr>
      <w:tr>
        <w:trPr>
          <w:trHeight w:val="162"/>
        </w:trPr>
        <w:tc>
          <w:tcPr>
            <w:tcW w:w="1160" w:type="dxa"/>
            <w:vAlign w:val="bottom"/>
          </w:tcPr>
          <w:p>
            <w:pPr>
              <w:spacing w:after="0"/>
              <w:rPr>
                <w:sz w:val="20"/>
                <w:szCs w:val="20"/>
                <w:color w:val="auto"/>
              </w:rPr>
            </w:pPr>
            <w:r>
              <w:rPr>
                <w:rFonts w:ascii="Arial" w:cs="Arial" w:eastAsia="Arial" w:hAnsi="Arial"/>
                <w:sz w:val="14"/>
                <w:szCs w:val="14"/>
                <w:color w:val="auto"/>
              </w:rPr>
              <w:t>IPIECA</w:t>
            </w:r>
          </w:p>
        </w:tc>
        <w:tc>
          <w:tcPr>
            <w:tcW w:w="4340" w:type="dxa"/>
            <w:vAlign w:val="bottom"/>
            <w:gridSpan w:val="2"/>
          </w:tcPr>
          <w:p>
            <w:pPr>
              <w:jc w:val="right"/>
              <w:ind w:right="20"/>
              <w:spacing w:after="0"/>
              <w:rPr>
                <w:sz w:val="20"/>
                <w:szCs w:val="20"/>
                <w:color w:val="auto"/>
              </w:rPr>
            </w:pPr>
            <w:r>
              <w:rPr>
                <w:rFonts w:ascii="Arial" w:cs="Arial" w:eastAsia="Arial" w:hAnsi="Arial"/>
                <w:sz w:val="14"/>
                <w:szCs w:val="14"/>
                <w:color w:val="auto"/>
              </w:rPr>
              <w:t>the global oil and gas industry association for environmental and</w:t>
            </w:r>
          </w:p>
        </w:tc>
      </w:tr>
      <w:tr>
        <w:trPr>
          <w:trHeight w:val="162"/>
        </w:trPr>
        <w:tc>
          <w:tcPr>
            <w:tcW w:w="1160" w:type="dxa"/>
            <w:vAlign w:val="bottom"/>
          </w:tcPr>
          <w:p>
            <w:pPr>
              <w:spacing w:after="0"/>
              <w:rPr>
                <w:sz w:val="14"/>
                <w:szCs w:val="14"/>
                <w:color w:val="auto"/>
              </w:rPr>
            </w:pPr>
          </w:p>
        </w:tc>
        <w:tc>
          <w:tcPr>
            <w:tcW w:w="4340" w:type="dxa"/>
            <w:vAlign w:val="bottom"/>
            <w:gridSpan w:val="2"/>
          </w:tcPr>
          <w:p>
            <w:pPr>
              <w:jc w:val="right"/>
              <w:ind w:right="20"/>
              <w:spacing w:after="0"/>
              <w:rPr>
                <w:sz w:val="20"/>
                <w:szCs w:val="20"/>
                <w:color w:val="auto"/>
              </w:rPr>
            </w:pPr>
            <w:r>
              <w:rPr>
                <w:rFonts w:ascii="Arial" w:cs="Arial" w:eastAsia="Arial" w:hAnsi="Arial"/>
                <w:sz w:val="14"/>
                <w:szCs w:val="14"/>
                <w:color w:val="auto"/>
              </w:rPr>
              <w:t>social issues</w:t>
            </w:r>
          </w:p>
        </w:tc>
      </w:tr>
      <w:tr>
        <w:trPr>
          <w:trHeight w:val="162"/>
        </w:trPr>
        <w:tc>
          <w:tcPr>
            <w:tcW w:w="1160" w:type="dxa"/>
            <w:vAlign w:val="bottom"/>
          </w:tcPr>
          <w:p>
            <w:pPr>
              <w:spacing w:after="0"/>
              <w:rPr>
                <w:sz w:val="20"/>
                <w:szCs w:val="20"/>
                <w:color w:val="auto"/>
              </w:rPr>
            </w:pPr>
            <w:r>
              <w:rPr>
                <w:rFonts w:ascii="Arial" w:cs="Arial" w:eastAsia="Arial" w:hAnsi="Arial"/>
                <w:sz w:val="14"/>
                <w:szCs w:val="14"/>
                <w:color w:val="auto"/>
              </w:rPr>
              <w:t>LTIP</w:t>
            </w:r>
          </w:p>
        </w:tc>
        <w:tc>
          <w:tcPr>
            <w:tcW w:w="4340" w:type="dxa"/>
            <w:vAlign w:val="bottom"/>
            <w:gridSpan w:val="2"/>
          </w:tcPr>
          <w:p>
            <w:pPr>
              <w:jc w:val="right"/>
              <w:ind w:right="20"/>
              <w:spacing w:after="0"/>
              <w:rPr>
                <w:sz w:val="20"/>
                <w:szCs w:val="20"/>
                <w:color w:val="auto"/>
              </w:rPr>
            </w:pPr>
            <w:r>
              <w:rPr>
                <w:rFonts w:ascii="Arial" w:cs="Arial" w:eastAsia="Arial" w:hAnsi="Arial"/>
                <w:sz w:val="14"/>
                <w:szCs w:val="14"/>
                <w:color w:val="auto"/>
              </w:rPr>
              <w:t>Long-term Incentive Plan</w:t>
            </w:r>
          </w:p>
        </w:tc>
      </w:tr>
      <w:tr>
        <w:trPr>
          <w:trHeight w:val="162"/>
        </w:trPr>
        <w:tc>
          <w:tcPr>
            <w:tcW w:w="1160" w:type="dxa"/>
            <w:vAlign w:val="bottom"/>
          </w:tcPr>
          <w:p>
            <w:pPr>
              <w:spacing w:after="0"/>
              <w:rPr>
                <w:sz w:val="20"/>
                <w:szCs w:val="20"/>
                <w:color w:val="auto"/>
              </w:rPr>
            </w:pPr>
            <w:r>
              <w:rPr>
                <w:rFonts w:ascii="Arial" w:cs="Arial" w:eastAsia="Arial" w:hAnsi="Arial"/>
                <w:sz w:val="14"/>
                <w:szCs w:val="14"/>
                <w:color w:val="auto"/>
              </w:rPr>
              <w:t>OGP</w:t>
            </w:r>
          </w:p>
        </w:tc>
        <w:tc>
          <w:tcPr>
            <w:tcW w:w="4340" w:type="dxa"/>
            <w:vAlign w:val="bottom"/>
            <w:gridSpan w:val="2"/>
          </w:tcPr>
          <w:p>
            <w:pPr>
              <w:jc w:val="right"/>
              <w:ind w:right="20"/>
              <w:spacing w:after="0"/>
              <w:rPr>
                <w:sz w:val="20"/>
                <w:szCs w:val="20"/>
                <w:color w:val="auto"/>
              </w:rPr>
            </w:pPr>
            <w:r>
              <w:rPr>
                <w:rFonts w:ascii="Arial" w:cs="Arial" w:eastAsia="Arial" w:hAnsi="Arial"/>
                <w:sz w:val="14"/>
                <w:szCs w:val="14"/>
                <w:color w:val="auto"/>
              </w:rPr>
              <w:t>International Association of Oil &amp; Gas Producers</w:t>
            </w:r>
          </w:p>
        </w:tc>
      </w:tr>
      <w:tr>
        <w:trPr>
          <w:trHeight w:val="162"/>
        </w:trPr>
        <w:tc>
          <w:tcPr>
            <w:tcW w:w="1160" w:type="dxa"/>
            <w:vAlign w:val="bottom"/>
          </w:tcPr>
          <w:p>
            <w:pPr>
              <w:spacing w:after="0"/>
              <w:rPr>
                <w:sz w:val="20"/>
                <w:szCs w:val="20"/>
                <w:color w:val="auto"/>
              </w:rPr>
            </w:pPr>
            <w:r>
              <w:rPr>
                <w:rFonts w:ascii="Arial" w:cs="Arial" w:eastAsia="Arial" w:hAnsi="Arial"/>
                <w:sz w:val="14"/>
                <w:szCs w:val="14"/>
                <w:color w:val="auto"/>
              </w:rPr>
              <w:t>OML</w:t>
            </w:r>
          </w:p>
        </w:tc>
        <w:tc>
          <w:tcPr>
            <w:tcW w:w="4340" w:type="dxa"/>
            <w:vAlign w:val="bottom"/>
            <w:gridSpan w:val="2"/>
          </w:tcPr>
          <w:p>
            <w:pPr>
              <w:jc w:val="right"/>
              <w:ind w:right="20"/>
              <w:spacing w:after="0"/>
              <w:rPr>
                <w:sz w:val="20"/>
                <w:szCs w:val="20"/>
                <w:color w:val="auto"/>
              </w:rPr>
            </w:pPr>
            <w:r>
              <w:rPr>
                <w:rFonts w:ascii="Arial" w:cs="Arial" w:eastAsia="Arial" w:hAnsi="Arial"/>
                <w:sz w:val="14"/>
                <w:szCs w:val="14"/>
                <w:color w:val="auto"/>
              </w:rPr>
              <w:t>oil mining lease</w:t>
            </w:r>
          </w:p>
        </w:tc>
      </w:tr>
      <w:tr>
        <w:trPr>
          <w:trHeight w:val="162"/>
        </w:trPr>
        <w:tc>
          <w:tcPr>
            <w:tcW w:w="1160" w:type="dxa"/>
            <w:vAlign w:val="bottom"/>
          </w:tcPr>
          <w:p>
            <w:pPr>
              <w:spacing w:after="0"/>
              <w:rPr>
                <w:sz w:val="20"/>
                <w:szCs w:val="20"/>
                <w:color w:val="auto"/>
              </w:rPr>
            </w:pPr>
            <w:r>
              <w:rPr>
                <w:rFonts w:ascii="Arial" w:cs="Arial" w:eastAsia="Arial" w:hAnsi="Arial"/>
                <w:sz w:val="14"/>
                <w:szCs w:val="14"/>
                <w:color w:val="auto"/>
              </w:rPr>
              <w:t>OPEC</w:t>
            </w:r>
          </w:p>
        </w:tc>
        <w:tc>
          <w:tcPr>
            <w:tcW w:w="4340" w:type="dxa"/>
            <w:vAlign w:val="bottom"/>
            <w:gridSpan w:val="2"/>
          </w:tcPr>
          <w:p>
            <w:pPr>
              <w:jc w:val="right"/>
              <w:ind w:right="20"/>
              <w:spacing w:after="0"/>
              <w:rPr>
                <w:sz w:val="20"/>
                <w:szCs w:val="20"/>
                <w:color w:val="auto"/>
              </w:rPr>
            </w:pPr>
            <w:r>
              <w:rPr>
                <w:rFonts w:ascii="Arial" w:cs="Arial" w:eastAsia="Arial" w:hAnsi="Arial"/>
                <w:sz w:val="14"/>
                <w:szCs w:val="14"/>
                <w:color w:val="auto"/>
              </w:rPr>
              <w:t>Organization of the Petroleum Exporting Countries</w:t>
            </w:r>
          </w:p>
        </w:tc>
      </w:tr>
      <w:tr>
        <w:trPr>
          <w:trHeight w:val="162"/>
        </w:trPr>
        <w:tc>
          <w:tcPr>
            <w:tcW w:w="1160" w:type="dxa"/>
            <w:vAlign w:val="bottom"/>
          </w:tcPr>
          <w:p>
            <w:pPr>
              <w:spacing w:after="0"/>
              <w:rPr>
                <w:sz w:val="20"/>
                <w:szCs w:val="20"/>
                <w:color w:val="auto"/>
              </w:rPr>
            </w:pPr>
            <w:r>
              <w:rPr>
                <w:rFonts w:ascii="Arial" w:cs="Arial" w:eastAsia="Arial" w:hAnsi="Arial"/>
                <w:sz w:val="14"/>
                <w:szCs w:val="14"/>
                <w:color w:val="auto"/>
              </w:rPr>
              <w:t>PSC</w:t>
            </w:r>
          </w:p>
        </w:tc>
        <w:tc>
          <w:tcPr>
            <w:tcW w:w="4340" w:type="dxa"/>
            <w:vAlign w:val="bottom"/>
            <w:gridSpan w:val="2"/>
          </w:tcPr>
          <w:p>
            <w:pPr>
              <w:jc w:val="right"/>
              <w:ind w:right="20"/>
              <w:spacing w:after="0"/>
              <w:rPr>
                <w:sz w:val="20"/>
                <w:szCs w:val="20"/>
                <w:color w:val="auto"/>
              </w:rPr>
            </w:pPr>
            <w:r>
              <w:rPr>
                <w:rFonts w:ascii="Arial" w:cs="Arial" w:eastAsia="Arial" w:hAnsi="Arial"/>
                <w:sz w:val="14"/>
                <w:szCs w:val="14"/>
                <w:color w:val="auto"/>
              </w:rPr>
              <w:t>production-sharing contract</w:t>
            </w:r>
          </w:p>
        </w:tc>
      </w:tr>
      <w:tr>
        <w:trPr>
          <w:trHeight w:val="162"/>
        </w:trPr>
        <w:tc>
          <w:tcPr>
            <w:tcW w:w="1160" w:type="dxa"/>
            <w:vAlign w:val="bottom"/>
          </w:tcPr>
          <w:p>
            <w:pPr>
              <w:spacing w:after="0"/>
              <w:rPr>
                <w:sz w:val="20"/>
                <w:szCs w:val="20"/>
                <w:color w:val="auto"/>
              </w:rPr>
            </w:pPr>
            <w:r>
              <w:rPr>
                <w:rFonts w:ascii="Arial" w:cs="Arial" w:eastAsia="Arial" w:hAnsi="Arial"/>
                <w:sz w:val="14"/>
                <w:szCs w:val="14"/>
                <w:color w:val="auto"/>
              </w:rPr>
              <w:t>PSP</w:t>
            </w:r>
          </w:p>
        </w:tc>
        <w:tc>
          <w:tcPr>
            <w:tcW w:w="4340" w:type="dxa"/>
            <w:vAlign w:val="bottom"/>
            <w:gridSpan w:val="2"/>
          </w:tcPr>
          <w:p>
            <w:pPr>
              <w:jc w:val="right"/>
              <w:ind w:right="20"/>
              <w:spacing w:after="0"/>
              <w:rPr>
                <w:sz w:val="20"/>
                <w:szCs w:val="20"/>
                <w:color w:val="auto"/>
              </w:rPr>
            </w:pPr>
            <w:r>
              <w:rPr>
                <w:rFonts w:ascii="Arial" w:cs="Arial" w:eastAsia="Arial" w:hAnsi="Arial"/>
                <w:sz w:val="14"/>
                <w:szCs w:val="14"/>
                <w:color w:val="auto"/>
              </w:rPr>
              <w:t>Performance Share Plan</w:t>
            </w:r>
          </w:p>
        </w:tc>
      </w:tr>
      <w:tr>
        <w:trPr>
          <w:trHeight w:val="162"/>
        </w:trPr>
        <w:tc>
          <w:tcPr>
            <w:tcW w:w="1160" w:type="dxa"/>
            <w:vAlign w:val="bottom"/>
          </w:tcPr>
          <w:p>
            <w:pPr>
              <w:spacing w:after="0"/>
              <w:rPr>
                <w:sz w:val="20"/>
                <w:szCs w:val="20"/>
                <w:color w:val="auto"/>
              </w:rPr>
            </w:pPr>
            <w:r>
              <w:rPr>
                <w:rFonts w:ascii="Arial" w:cs="Arial" w:eastAsia="Arial" w:hAnsi="Arial"/>
                <w:sz w:val="14"/>
                <w:szCs w:val="14"/>
                <w:color w:val="auto"/>
              </w:rPr>
              <w:t>R&amp;D</w:t>
            </w:r>
          </w:p>
        </w:tc>
        <w:tc>
          <w:tcPr>
            <w:tcW w:w="4340" w:type="dxa"/>
            <w:vAlign w:val="bottom"/>
            <w:gridSpan w:val="2"/>
          </w:tcPr>
          <w:p>
            <w:pPr>
              <w:jc w:val="right"/>
              <w:ind w:right="20"/>
              <w:spacing w:after="0"/>
              <w:rPr>
                <w:sz w:val="20"/>
                <w:szCs w:val="20"/>
                <w:color w:val="auto"/>
              </w:rPr>
            </w:pPr>
            <w:r>
              <w:rPr>
                <w:rFonts w:ascii="Arial" w:cs="Arial" w:eastAsia="Arial" w:hAnsi="Arial"/>
                <w:sz w:val="14"/>
                <w:szCs w:val="14"/>
                <w:color w:val="auto"/>
              </w:rPr>
              <w:t>research and development</w:t>
            </w:r>
          </w:p>
        </w:tc>
      </w:tr>
      <w:tr>
        <w:trPr>
          <w:trHeight w:val="162"/>
        </w:trPr>
        <w:tc>
          <w:tcPr>
            <w:tcW w:w="1160" w:type="dxa"/>
            <w:vAlign w:val="bottom"/>
          </w:tcPr>
          <w:p>
            <w:pPr>
              <w:spacing w:after="0"/>
              <w:rPr>
                <w:sz w:val="20"/>
                <w:szCs w:val="20"/>
                <w:color w:val="auto"/>
              </w:rPr>
            </w:pPr>
            <w:r>
              <w:rPr>
                <w:rFonts w:ascii="Arial" w:cs="Arial" w:eastAsia="Arial" w:hAnsi="Arial"/>
                <w:sz w:val="14"/>
                <w:szCs w:val="14"/>
                <w:color w:val="auto"/>
              </w:rPr>
              <w:t>REMCO</w:t>
            </w:r>
          </w:p>
        </w:tc>
        <w:tc>
          <w:tcPr>
            <w:tcW w:w="4340" w:type="dxa"/>
            <w:vAlign w:val="bottom"/>
            <w:gridSpan w:val="2"/>
          </w:tcPr>
          <w:p>
            <w:pPr>
              <w:jc w:val="right"/>
              <w:ind w:right="20"/>
              <w:spacing w:after="0"/>
              <w:rPr>
                <w:sz w:val="20"/>
                <w:szCs w:val="20"/>
                <w:color w:val="auto"/>
              </w:rPr>
            </w:pPr>
            <w:r>
              <w:rPr>
                <w:rFonts w:ascii="Arial" w:cs="Arial" w:eastAsia="Arial" w:hAnsi="Arial"/>
                <w:sz w:val="14"/>
                <w:szCs w:val="14"/>
                <w:color w:val="auto"/>
              </w:rPr>
              <w:t>Remuneration Committee</w:t>
            </w:r>
          </w:p>
        </w:tc>
      </w:tr>
      <w:tr>
        <w:trPr>
          <w:trHeight w:val="162"/>
        </w:trPr>
        <w:tc>
          <w:tcPr>
            <w:tcW w:w="1160" w:type="dxa"/>
            <w:vAlign w:val="bottom"/>
          </w:tcPr>
          <w:p>
            <w:pPr>
              <w:spacing w:after="0"/>
              <w:rPr>
                <w:sz w:val="20"/>
                <w:szCs w:val="20"/>
                <w:color w:val="auto"/>
              </w:rPr>
            </w:pPr>
            <w:r>
              <w:rPr>
                <w:rFonts w:ascii="Arial" w:cs="Arial" w:eastAsia="Arial" w:hAnsi="Arial"/>
                <w:sz w:val="14"/>
                <w:szCs w:val="14"/>
                <w:color w:val="auto"/>
              </w:rPr>
              <w:t>SEC</w:t>
            </w:r>
          </w:p>
        </w:tc>
        <w:tc>
          <w:tcPr>
            <w:tcW w:w="4340" w:type="dxa"/>
            <w:vAlign w:val="bottom"/>
            <w:gridSpan w:val="2"/>
          </w:tcPr>
          <w:p>
            <w:pPr>
              <w:jc w:val="right"/>
              <w:ind w:right="20"/>
              <w:spacing w:after="0"/>
              <w:rPr>
                <w:sz w:val="20"/>
                <w:szCs w:val="20"/>
                <w:color w:val="auto"/>
              </w:rPr>
            </w:pPr>
            <w:r>
              <w:rPr>
                <w:rFonts w:ascii="Arial" w:cs="Arial" w:eastAsia="Arial" w:hAnsi="Arial"/>
                <w:sz w:val="14"/>
                <w:szCs w:val="14"/>
                <w:color w:val="auto"/>
              </w:rPr>
              <w:t>US Securities and Exchange Commission</w:t>
            </w:r>
          </w:p>
        </w:tc>
      </w:tr>
      <w:tr>
        <w:trPr>
          <w:trHeight w:val="162"/>
        </w:trPr>
        <w:tc>
          <w:tcPr>
            <w:tcW w:w="1160" w:type="dxa"/>
            <w:vAlign w:val="bottom"/>
          </w:tcPr>
          <w:p>
            <w:pPr>
              <w:spacing w:after="0"/>
              <w:rPr>
                <w:sz w:val="20"/>
                <w:szCs w:val="20"/>
                <w:color w:val="auto"/>
              </w:rPr>
            </w:pPr>
            <w:r>
              <w:rPr>
                <w:rFonts w:ascii="Arial" w:cs="Arial" w:eastAsia="Arial" w:hAnsi="Arial"/>
                <w:sz w:val="14"/>
                <w:szCs w:val="14"/>
                <w:color w:val="auto"/>
              </w:rPr>
              <w:t>TRCF</w:t>
            </w:r>
          </w:p>
        </w:tc>
        <w:tc>
          <w:tcPr>
            <w:tcW w:w="4340" w:type="dxa"/>
            <w:vAlign w:val="bottom"/>
            <w:gridSpan w:val="2"/>
          </w:tcPr>
          <w:p>
            <w:pPr>
              <w:jc w:val="right"/>
              <w:ind w:right="20"/>
              <w:spacing w:after="0"/>
              <w:rPr>
                <w:sz w:val="20"/>
                <w:szCs w:val="20"/>
                <w:color w:val="auto"/>
              </w:rPr>
            </w:pPr>
            <w:r>
              <w:rPr>
                <w:rFonts w:ascii="Arial" w:cs="Arial" w:eastAsia="Arial" w:hAnsi="Arial"/>
                <w:sz w:val="14"/>
                <w:szCs w:val="14"/>
                <w:color w:val="auto"/>
              </w:rPr>
              <w:t>total recordable case frequency</w:t>
            </w:r>
          </w:p>
        </w:tc>
      </w:tr>
      <w:tr>
        <w:trPr>
          <w:trHeight w:val="162"/>
        </w:trPr>
        <w:tc>
          <w:tcPr>
            <w:tcW w:w="1160" w:type="dxa"/>
            <w:vAlign w:val="bottom"/>
          </w:tcPr>
          <w:p>
            <w:pPr>
              <w:spacing w:after="0"/>
              <w:rPr>
                <w:sz w:val="20"/>
                <w:szCs w:val="20"/>
                <w:color w:val="auto"/>
              </w:rPr>
            </w:pPr>
            <w:r>
              <w:rPr>
                <w:rFonts w:ascii="Arial" w:cs="Arial" w:eastAsia="Arial" w:hAnsi="Arial"/>
                <w:sz w:val="14"/>
                <w:szCs w:val="14"/>
                <w:color w:val="auto"/>
              </w:rPr>
              <w:t>TSR</w:t>
            </w:r>
          </w:p>
        </w:tc>
        <w:tc>
          <w:tcPr>
            <w:tcW w:w="4340" w:type="dxa"/>
            <w:vAlign w:val="bottom"/>
            <w:gridSpan w:val="2"/>
          </w:tcPr>
          <w:p>
            <w:pPr>
              <w:jc w:val="right"/>
              <w:ind w:right="20"/>
              <w:spacing w:after="0"/>
              <w:rPr>
                <w:sz w:val="20"/>
                <w:szCs w:val="20"/>
                <w:color w:val="auto"/>
              </w:rPr>
            </w:pPr>
            <w:r>
              <w:rPr>
                <w:rFonts w:ascii="Arial" w:cs="Arial" w:eastAsia="Arial" w:hAnsi="Arial"/>
                <w:sz w:val="14"/>
                <w:szCs w:val="14"/>
                <w:color w:val="auto"/>
              </w:rPr>
              <w:t>total shareholder return</w:t>
            </w:r>
          </w:p>
        </w:tc>
      </w:tr>
      <w:tr>
        <w:trPr>
          <w:trHeight w:val="172"/>
        </w:trPr>
        <w:tc>
          <w:tcPr>
            <w:tcW w:w="1160" w:type="dxa"/>
            <w:vAlign w:val="bottom"/>
          </w:tcPr>
          <w:p>
            <w:pPr>
              <w:spacing w:after="0"/>
              <w:rPr>
                <w:sz w:val="20"/>
                <w:szCs w:val="20"/>
                <w:color w:val="auto"/>
              </w:rPr>
            </w:pPr>
            <w:r>
              <w:rPr>
                <w:rFonts w:ascii="Arial" w:cs="Arial" w:eastAsia="Arial" w:hAnsi="Arial"/>
                <w:sz w:val="14"/>
                <w:szCs w:val="14"/>
                <w:color w:val="auto"/>
              </w:rPr>
              <w:t>WTI</w:t>
            </w:r>
          </w:p>
        </w:tc>
        <w:tc>
          <w:tcPr>
            <w:tcW w:w="4340" w:type="dxa"/>
            <w:vAlign w:val="bottom"/>
            <w:gridSpan w:val="2"/>
          </w:tcPr>
          <w:p>
            <w:pPr>
              <w:jc w:val="right"/>
              <w:ind w:right="20"/>
              <w:spacing w:after="0"/>
              <w:rPr>
                <w:sz w:val="20"/>
                <w:szCs w:val="20"/>
                <w:color w:val="auto"/>
              </w:rPr>
            </w:pPr>
            <w:r>
              <w:rPr>
                <w:rFonts w:ascii="Arial" w:cs="Arial" w:eastAsia="Arial" w:hAnsi="Arial"/>
                <w:sz w:val="14"/>
                <w:szCs w:val="14"/>
                <w:color w:val="auto"/>
              </w:rPr>
              <w:t>West Texas Intermediate</w:t>
            </w:r>
          </w:p>
        </w:tc>
      </w:tr>
    </w:tbl>
    <w:p>
      <w:pPr>
        <w:sectPr>
          <w:pgSz w:w="11900" w:h="16838" w:orient="portrait"/>
          <w:cols w:equalWidth="0" w:num="1">
            <w:col w:w="11420"/>
          </w:cols>
          <w:pgMar w:left="240" w:top="459" w:right="239" w:bottom="1440" w:gutter="0" w:footer="0" w:header="0"/>
        </w:sectPr>
      </w:pPr>
    </w:p>
    <w:bookmarkStart w:id="6" w:name="page7"/>
    <w:bookmarkEnd w:id="6"/>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3555365</wp:posOffset>
            </wp:positionH>
            <wp:positionV relativeFrom="paragraph">
              <wp:posOffset>314960</wp:posOffset>
            </wp:positionV>
            <wp:extent cx="3696335" cy="46291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696335" cy="462915"/>
                    </a:xfrm>
                    <a:prstGeom prst="rect">
                      <a:avLst/>
                    </a:prstGeom>
                    <a:noFill/>
                  </pic:spPr>
                </pic:pic>
              </a:graphicData>
            </a:graphic>
          </wp:anchor>
        </w:drawing>
      </w:r>
    </w:p>
    <w:p>
      <w:pPr>
        <w:sectPr>
          <w:pgSz w:w="11900" w:h="16838" w:orient="portrait"/>
          <w:cols w:equalWidth="0" w:num="1">
            <w:col w:w="11260"/>
          </w:cols>
          <w:pgMar w:left="240" w:top="459" w:right="3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11"/>
          <w:szCs w:val="11"/>
          <w:color w:val="auto"/>
        </w:rPr>
        <w:t>SHELL ANNUAL REPORT AND FORM 20-F 2014</w:t>
      </w:r>
    </w:p>
    <w:p>
      <w:pPr>
        <w:spacing w:after="0" w:line="59" w:lineRule="exact"/>
        <w:rPr>
          <w:sz w:val="20"/>
          <w:szCs w:val="20"/>
          <w:color w:val="auto"/>
        </w:rPr>
      </w:pPr>
    </w:p>
    <w:p>
      <w:pPr>
        <w:spacing w:after="0"/>
        <w:rPr>
          <w:sz w:val="20"/>
          <w:szCs w:val="20"/>
          <w:color w:val="auto"/>
        </w:rPr>
      </w:pPr>
      <w:r>
        <w:rPr>
          <w:rFonts w:ascii="Arial" w:cs="Arial" w:eastAsia="Arial" w:hAnsi="Arial"/>
          <w:sz w:val="31"/>
          <w:szCs w:val="31"/>
          <w:color w:val="auto"/>
        </w:rPr>
        <w:t>ABOUT THIS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wp:posOffset>
            </wp:positionV>
            <wp:extent cx="347345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spacing w:after="0" w:line="189" w:lineRule="exact"/>
        <w:rPr>
          <w:sz w:val="20"/>
          <w:szCs w:val="20"/>
          <w:color w:val="auto"/>
        </w:rPr>
      </w:pPr>
    </w:p>
    <w:p>
      <w:pPr>
        <w:ind w:right="40"/>
        <w:spacing w:after="0" w:line="243" w:lineRule="auto"/>
        <w:rPr>
          <w:sz w:val="20"/>
          <w:szCs w:val="20"/>
          <w:color w:val="auto"/>
        </w:rPr>
      </w:pPr>
      <w:r>
        <w:rPr>
          <w:rFonts w:ascii="Arial" w:cs="Arial" w:eastAsia="Arial" w:hAnsi="Arial"/>
          <w:sz w:val="14"/>
          <w:szCs w:val="14"/>
          <w:color w:val="auto"/>
        </w:rPr>
        <w:t>The Royal Dutch Shell plc Annual Report and Form 20-F (this Report) serves as the Annual Report and Accounts in accordance with UK requirements and as the Annual Report on Form 20-F as filed with the US Securities and Exchange Commission (SEC) for the year ended December 31, 2014, for Royal Dutch Shell plc (the Company) and its subsidiaries (collectively referred to as Shell). This Report presents the Consolidated Financial Statements of Shell (pages 106-141), the Parent Company Financial Statements of Shell (pages 162-170) and the Financial Statements of the Royal Dutch Shell Dividend Access Trust (pages 174-178). Cross references to Form 20-F are set out on pages 2-3 of this Report.</w:t>
      </w:r>
    </w:p>
    <w:p>
      <w:pPr>
        <w:spacing w:after="0" w:line="167" w:lineRule="exact"/>
        <w:rPr>
          <w:sz w:val="20"/>
          <w:szCs w:val="20"/>
          <w:color w:val="auto"/>
        </w:rPr>
      </w:pPr>
    </w:p>
    <w:p>
      <w:pPr>
        <w:spacing w:after="0" w:line="243" w:lineRule="auto"/>
        <w:rPr>
          <w:sz w:val="20"/>
          <w:szCs w:val="20"/>
          <w:color w:val="auto"/>
        </w:rPr>
      </w:pPr>
      <w:r>
        <w:rPr>
          <w:rFonts w:ascii="Arial" w:cs="Arial" w:eastAsia="Arial" w:hAnsi="Arial"/>
          <w:sz w:val="14"/>
          <w:szCs w:val="14"/>
          <w:color w:val="auto"/>
        </w:rPr>
        <w:t>Financial reporting terms used in this Report are in accordance with International Financial Reporting Standards (IFRS). The Consolidated Financial Statements comprise the financial statements of the Company and its subsidiaries. “Subsidiaries” and “Shell subsidiaries” refer to those entities over which the Company has control, either directly or indirectly. Entities and unincorporated arrangements over which Shell has joint control are generally referred to as “joint ventures” and “joint operations” respectively, and entities over which Shell has significant influence but neither control nor joint control are referred to as “associates”.</w:t>
      </w:r>
    </w:p>
    <w:p>
      <w:pPr>
        <w:spacing w:after="0" w:line="168" w:lineRule="exact"/>
        <w:rPr>
          <w:sz w:val="20"/>
          <w:szCs w:val="20"/>
          <w:color w:val="auto"/>
        </w:rPr>
      </w:pPr>
    </w:p>
    <w:p>
      <w:pPr>
        <w:ind w:right="20"/>
        <w:spacing w:after="0" w:line="244" w:lineRule="auto"/>
        <w:rPr>
          <w:sz w:val="20"/>
          <w:szCs w:val="20"/>
          <w:color w:val="auto"/>
        </w:rPr>
      </w:pPr>
      <w:r>
        <w:rPr>
          <w:rFonts w:ascii="Arial" w:cs="Arial" w:eastAsia="Arial" w:hAnsi="Arial"/>
          <w:sz w:val="14"/>
          <w:szCs w:val="14"/>
          <w:color w:val="auto"/>
        </w:rPr>
        <w:t>In addition to the term “Shell”, in this Report “we”, “us” and “our” are also used to refer to the Company and its subsidiaries in general or to those who work for them. These terms are also used where no useful purpose is served by identifying the particular entity or entities. The term “Shell interest” is used for convenience to indicate the direct and/or indirect ownership interest held by Shell in an entity or unincorporated joint arrangement, after exclusion of all third-party interests.</w:t>
      </w:r>
    </w:p>
    <w:p>
      <w:pPr>
        <w:spacing w:after="0" w:line="179" w:lineRule="exact"/>
        <w:rPr>
          <w:sz w:val="20"/>
          <w:szCs w:val="20"/>
          <w:color w:val="auto"/>
        </w:rPr>
      </w:pPr>
    </w:p>
    <w:p>
      <w:pPr>
        <w:spacing w:after="0" w:line="243" w:lineRule="auto"/>
        <w:rPr>
          <w:sz w:val="20"/>
          <w:szCs w:val="20"/>
          <w:color w:val="auto"/>
        </w:rPr>
      </w:pPr>
      <w:r>
        <w:rPr>
          <w:rFonts w:ascii="Arial" w:cs="Arial" w:eastAsia="Arial" w:hAnsi="Arial"/>
          <w:sz w:val="14"/>
          <w:szCs w:val="14"/>
          <w:color w:val="auto"/>
        </w:rPr>
        <w:t>Except as otherwise specified, the figures shown in the tables in this Report are in respect of subsidiaries only, without deduction of any non-controlling interest. However, the term “Shell share” is used for convenience to refer to the volumes of hydrocarbons that are produced, processed or sold through subsidiaries, joint ventures and associates. All of a subsidiary’s production, processing or sales volumes (including the share of joint operations) are included in the Shell share, even if Shell owns less than 100% of the subsidiary. In the case of joint ventures and associates, however, Shell-share figures are limited only to Shell’s entitlement. In all cases, royalty payments in kind are deducted from the Shell share.</w:t>
      </w:r>
    </w:p>
    <w:p>
      <w:pPr>
        <w:spacing w:after="0" w:line="167" w:lineRule="exact"/>
        <w:rPr>
          <w:sz w:val="20"/>
          <w:szCs w:val="20"/>
          <w:color w:val="auto"/>
        </w:rPr>
      </w:pPr>
    </w:p>
    <w:p>
      <w:pPr>
        <w:ind w:right="100"/>
        <w:spacing w:after="0" w:line="244" w:lineRule="auto"/>
        <w:rPr>
          <w:sz w:val="20"/>
          <w:szCs w:val="20"/>
          <w:color w:val="auto"/>
        </w:rPr>
      </w:pPr>
      <w:r>
        <w:rPr>
          <w:rFonts w:ascii="Arial" w:cs="Arial" w:eastAsia="Arial" w:hAnsi="Arial"/>
          <w:sz w:val="14"/>
          <w:szCs w:val="14"/>
          <w:color w:val="auto"/>
        </w:rPr>
        <w:t>The financial statements contained in this Report have been prepared in accordance with the provisions of the Companies Act 2006 and with IFRS as adopted by the European Union. As applied to the financial statements, there are no material differences from IFRS as issued by the International Accounting Standards Board (IASB); therefore, the financial statements have been prepared in accordance with IFRS as issued by the IASB. IFRS as defined above includes interpretations issued by the IFRS Interpretations Committee.</w:t>
      </w:r>
    </w:p>
    <w:p>
      <w:pPr>
        <w:spacing w:after="0" w:line="164" w:lineRule="exact"/>
        <w:rPr>
          <w:sz w:val="20"/>
          <w:szCs w:val="20"/>
          <w:color w:val="auto"/>
        </w:rPr>
      </w:pPr>
    </w:p>
    <w:p>
      <w:pPr>
        <w:spacing w:after="0"/>
        <w:rPr>
          <w:sz w:val="20"/>
          <w:szCs w:val="20"/>
          <w:color w:val="auto"/>
        </w:rPr>
      </w:pPr>
      <w:r>
        <w:rPr>
          <w:rFonts w:ascii="Arial" w:cs="Arial" w:eastAsia="Arial" w:hAnsi="Arial"/>
          <w:sz w:val="14"/>
          <w:szCs w:val="14"/>
          <w:color w:val="auto"/>
        </w:rPr>
        <w:t>Except as otherwise noted, the figures shown in this Report are stated in US dollars.</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As used herein all references to “dollars” or “$” are to the US currency.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spacing w:after="0" w:line="1" w:lineRule="exact"/>
        <w:rPr>
          <w:sz w:val="1"/>
          <w:szCs w:val="1"/>
          <w:color w:val="auto"/>
        </w:rPr>
      </w:pPr>
    </w:p>
    <w:tbl>
      <w:tblPr>
        <w:tblLayout w:type="fixed"/>
        <w:tblInd w:w="740" w:type="dxa"/>
        <w:tblCellMar>
          <w:top w:w="0" w:type="dxa"/>
          <w:left w:w="0" w:type="dxa"/>
          <w:bottom w:w="0" w:type="dxa"/>
          <w:right w:w="0" w:type="dxa"/>
        </w:tblCellMar>
      </w:tblPr>
      <w:tr>
        <w:trPr>
          <w:trHeight w:val="161"/>
        </w:trPr>
        <w:tc>
          <w:tcPr>
            <w:tcW w:w="2620" w:type="dxa"/>
            <w:vAlign w:val="bottom"/>
          </w:tcPr>
          <w:p>
            <w:pPr>
              <w:spacing w:after="0"/>
              <w:rPr>
                <w:sz w:val="20"/>
                <w:szCs w:val="20"/>
                <w:color w:val="auto"/>
              </w:rPr>
            </w:pPr>
            <w:r>
              <w:rPr>
                <w:rFonts w:ascii="Arial" w:cs="Arial" w:eastAsia="Arial" w:hAnsi="Arial"/>
                <w:sz w:val="13"/>
                <w:szCs w:val="13"/>
                <w:color w:val="333333"/>
              </w:rPr>
              <w:t>INTRODUCTION</w:t>
            </w:r>
          </w:p>
        </w:tc>
        <w:tc>
          <w:tcPr>
            <w:tcW w:w="1780" w:type="dxa"/>
            <w:vAlign w:val="bottom"/>
          </w:tcPr>
          <w:p>
            <w:pPr>
              <w:jc w:val="right"/>
              <w:spacing w:after="0"/>
              <w:rPr>
                <w:sz w:val="20"/>
                <w:szCs w:val="20"/>
                <w:color w:val="auto"/>
              </w:rPr>
            </w:pPr>
            <w:r>
              <w:rPr>
                <w:rFonts w:ascii="Arial" w:cs="Arial" w:eastAsia="Arial" w:hAnsi="Arial"/>
                <w:sz w:val="11"/>
                <w:szCs w:val="11"/>
                <w:b w:val="1"/>
                <w:bCs w:val="1"/>
                <w:color w:val="333333"/>
              </w:rPr>
              <w:t>05</w:t>
            </w:r>
          </w:p>
        </w:tc>
      </w:tr>
    </w:tbl>
    <w:p>
      <w:pPr>
        <w:spacing w:after="0" w:line="161" w:lineRule="exact"/>
        <w:rPr>
          <w:sz w:val="20"/>
          <w:szCs w:val="20"/>
          <w:color w:val="auto"/>
        </w:rPr>
      </w:pPr>
    </w:p>
    <w:p>
      <w:pPr>
        <w:ind w:left="740"/>
        <w:spacing w:after="0"/>
        <w:rPr>
          <w:sz w:val="20"/>
          <w:szCs w:val="20"/>
          <w:color w:val="auto"/>
        </w:rPr>
      </w:pPr>
      <w:r>
        <w:rPr>
          <w:rFonts w:ascii="Arial" w:cs="Arial" w:eastAsia="Arial" w:hAnsi="Arial"/>
          <w:sz w:val="11"/>
          <w:szCs w:val="11"/>
          <w:color w:val="auto"/>
        </w:rPr>
        <w:t>ABOUT THIS REPORT</w:t>
      </w:r>
    </w:p>
    <w:p>
      <w:pPr>
        <w:spacing w:after="0" w:line="57" w:lineRule="exact"/>
        <w:rPr>
          <w:sz w:val="20"/>
          <w:szCs w:val="20"/>
          <w:color w:val="auto"/>
        </w:rPr>
      </w:pPr>
    </w:p>
    <w:p>
      <w:pPr>
        <w:ind w:right="20"/>
        <w:spacing w:after="0" w:line="241" w:lineRule="auto"/>
        <w:rPr>
          <w:sz w:val="20"/>
          <w:szCs w:val="20"/>
          <w:color w:val="auto"/>
        </w:rPr>
      </w:pPr>
      <w:r>
        <w:rPr>
          <w:rFonts w:ascii="Arial" w:cs="Arial" w:eastAsia="Arial" w:hAnsi="Arial"/>
          <w:sz w:val="14"/>
          <w:szCs w:val="14"/>
          <w:color w:val="auto"/>
        </w:rPr>
        <w:t>This Report contains forward-looking statements (within the meaning of the US Private Securities Litigation Reform Act of 1995) concerning the financial condition, results of operations and businesses of Shell. All statements other than statements of historical fact are, or may be deemed to be, forward-looking statements. Forward-looking statements are statements of future expectations that are based on management’s current expectations and assumptions and involve known and unknown risks and uncertainties that could cause actual results, performance or events to differ materially from those expressed or implied in these statements. Forward-looking statements include, among other things, statements concerning the potential exposure of Shell to market risks and statements expressing management’s expectations, beliefs, estimates, forecasts, projections and assumptions. These forward-looking statements are identified by their use of terms and phrases such as “anticipate”, “believe”, “could”, “estimate”, “expect”, “goals”, “intend”, “may”, “objectives”, “outlook”, “plan”, “probably”, “project”, “risks”, “schedule”, “seek”, “should”, “target”, “will” and similar terms and phrases. There are a number of factors that could affect the future operations of Shell and could cause those results to differ materially from those expressed in the forward-looking statements included in this Report, including (without limitation): (a) price fluctuations in crude oil and natural gas;</w:t>
      </w:r>
    </w:p>
    <w:p>
      <w:pPr>
        <w:spacing w:after="0" w:line="7" w:lineRule="exact"/>
        <w:rPr>
          <w:sz w:val="20"/>
          <w:szCs w:val="20"/>
          <w:color w:val="auto"/>
        </w:rPr>
      </w:pPr>
    </w:p>
    <w:p>
      <w:pPr>
        <w:spacing w:after="0" w:line="242" w:lineRule="auto"/>
        <w:tabs>
          <w:tab w:leader="none" w:pos="216" w:val="left"/>
        </w:tabs>
        <w:numPr>
          <w:ilvl w:val="0"/>
          <w:numId w:val="21"/>
        </w:numPr>
        <w:rPr>
          <w:rFonts w:ascii="Arial" w:cs="Arial" w:eastAsia="Arial" w:hAnsi="Arial"/>
          <w:sz w:val="14"/>
          <w:szCs w:val="14"/>
          <w:color w:val="auto"/>
        </w:rPr>
      </w:pPr>
      <w:r>
        <w:rPr>
          <w:rFonts w:ascii="Arial" w:cs="Arial" w:eastAsia="Arial" w:hAnsi="Arial"/>
          <w:sz w:val="14"/>
          <w:szCs w:val="14"/>
          <w:color w:val="auto"/>
        </w:rPr>
        <w:t>changes in demand for Shell’s products; (c) currency fluctuations; (d) drilling and production results; (e) reserves estimates; (f) loss of market share and industry competition; (g) environmental and physical risks; (h) risks associated with the identification of suitable potential acquisition properties and targets, and successful negotiation and completion of such transactions; (i) the risk of doing business in developing countries and countries subject to international sanctions; (j) legislative, fiscal and regulatory developments including regulatory measures addressing climate change; (k) economic and financial market conditions in various countries and regions; (l) political risks, including the risks of expropriation and renegotiation of the terms of contracts with governmental entities, delays or advancements in the approval of projects and delays in the reimbursement for shared costs; and (m) changes in trading conditions. Also see “Risk factors” for additional risks and further discussion. All forward-looking statements contained in this Report are expressly qualified in their entirety by the cautionary statements contained or referred to in this section. Readers should not place undue reliance on forward-looking statements. Each forward-looking statement speaks only as of the date of this Report. Neither the Company nor any of its subsidiaries undertake any obligation to publicly update or revise any forward-looking statement as a result of new information, future events or other information. In light of these risks, results could differ materially from those stated, implied or inferred from the forward-looking statements contained in this Report.</w:t>
      </w:r>
    </w:p>
    <w:p>
      <w:pPr>
        <w:spacing w:after="0" w:line="184" w:lineRule="exact"/>
        <w:rPr>
          <w:sz w:val="20"/>
          <w:szCs w:val="20"/>
          <w:color w:val="auto"/>
        </w:rPr>
      </w:pPr>
    </w:p>
    <w:p>
      <w:pPr>
        <w:ind w:right="200"/>
        <w:spacing w:after="0" w:line="247" w:lineRule="auto"/>
        <w:rPr>
          <w:sz w:val="20"/>
          <w:szCs w:val="20"/>
          <w:color w:val="auto"/>
        </w:rPr>
      </w:pPr>
      <w:r>
        <w:rPr>
          <w:rFonts w:ascii="Arial" w:cs="Arial" w:eastAsia="Arial" w:hAnsi="Arial"/>
          <w:sz w:val="14"/>
          <w:szCs w:val="14"/>
          <w:color w:val="auto"/>
        </w:rPr>
        <w:t>This Report contains references to Shell’s website and to the Shell Sustainability Report. These references are for the readers’ convenience only. Shell is not incorporating by reference any information posted on www.shell.com or in the Shell Sustainability Report.</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color w:val="auto"/>
        </w:rPr>
        <w:t>DOCUMENTS ON DISPLAY</w:t>
      </w:r>
    </w:p>
    <w:p>
      <w:pPr>
        <w:spacing w:after="0" w:line="1" w:lineRule="exact"/>
        <w:rPr>
          <w:sz w:val="20"/>
          <w:szCs w:val="20"/>
          <w:color w:val="auto"/>
        </w:rPr>
      </w:pPr>
    </w:p>
    <w:p>
      <w:pPr>
        <w:ind w:right="340"/>
        <w:spacing w:after="0" w:line="241" w:lineRule="auto"/>
        <w:rPr>
          <w:sz w:val="20"/>
          <w:szCs w:val="20"/>
          <w:color w:val="auto"/>
        </w:rPr>
      </w:pPr>
      <w:r>
        <w:rPr>
          <w:rFonts w:ascii="Arial" w:cs="Arial" w:eastAsia="Arial" w:hAnsi="Arial"/>
          <w:sz w:val="14"/>
          <w:szCs w:val="14"/>
          <w:color w:val="auto"/>
        </w:rPr>
        <w:t>Documents concerning the Company, or its predecessors for reporting purposes, which are referred to in this Report have been filed with the SEC and may be examined and copied at the public reference facility maintained by the SEC at</w:t>
      </w:r>
    </w:p>
    <w:p>
      <w:pPr>
        <w:spacing w:after="0" w:line="1" w:lineRule="exact"/>
        <w:rPr>
          <w:sz w:val="20"/>
          <w:szCs w:val="20"/>
          <w:color w:val="auto"/>
        </w:rPr>
      </w:pPr>
    </w:p>
    <w:p>
      <w:pPr>
        <w:ind w:right="60"/>
        <w:spacing w:after="0" w:line="244" w:lineRule="auto"/>
        <w:rPr>
          <w:sz w:val="20"/>
          <w:szCs w:val="20"/>
          <w:color w:val="auto"/>
        </w:rPr>
      </w:pPr>
      <w:r>
        <w:rPr>
          <w:rFonts w:ascii="Arial" w:cs="Arial" w:eastAsia="Arial" w:hAnsi="Arial"/>
          <w:sz w:val="14"/>
          <w:szCs w:val="14"/>
          <w:color w:val="auto"/>
        </w:rPr>
        <w:t>100 F Street, N.E., Room 1580, Washington, DC 20549, USA. For further information on the operation of the public reference room and the copy charges, call the SEC at 1-800-SEC-0330. All of the SEC filings made electronically by Shell are available to the public on the SEC website at www.sec.gov (commission file number 001-32575). This Report is also available, free of charge, at www.shell.com/annualreport or at the offices of Shell in The Hague, the Netherlands and London, United Kingdom. Copies of this Report also may be obtained, free of charge, by mail.</w:t>
      </w:r>
    </w:p>
    <w:p>
      <w:pPr>
        <w:sectPr>
          <w:pgSz w:w="11900" w:h="16838" w:orient="portrait"/>
          <w:cols w:equalWidth="0" w:num="2">
            <w:col w:w="5480" w:space="300"/>
            <w:col w:w="5480"/>
          </w:cols>
          <w:pgMar w:left="240" w:top="459" w:right="399" w:bottom="1440" w:gutter="0" w:footer="0" w:header="0"/>
          <w:type w:val="continuous"/>
        </w:sectPr>
      </w:pPr>
    </w:p>
    <w:bookmarkStart w:id="7" w:name="page8"/>
    <w:bookmarkEnd w:id="7"/>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314960</wp:posOffset>
            </wp:positionV>
            <wp:extent cx="3627755" cy="46291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627755" cy="462915"/>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p>
      <w:pPr>
        <w:spacing w:after="0" w:line="200" w:lineRule="exact"/>
        <w:rPr>
          <w:sz w:val="20"/>
          <w:szCs w:val="20"/>
          <w:color w:val="auto"/>
        </w:rPr>
      </w:pP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419"/>
        </w:trPr>
        <w:tc>
          <w:tcPr>
            <w:tcW w:w="2080" w:type="dxa"/>
            <w:vAlign w:val="bottom"/>
            <w:shd w:val="clear" w:color="auto" w:fill="FF8B00"/>
          </w:tcPr>
          <w:p>
            <w:pPr>
              <w:spacing w:after="0"/>
              <w:rPr>
                <w:sz w:val="24"/>
                <w:szCs w:val="24"/>
                <w:color w:val="auto"/>
              </w:rPr>
            </w:pPr>
          </w:p>
        </w:tc>
        <w:tc>
          <w:tcPr>
            <w:tcW w:w="3640" w:type="dxa"/>
            <w:vAlign w:val="bottom"/>
            <w:shd w:val="clear" w:color="auto" w:fill="FF8B00"/>
          </w:tcPr>
          <w:p>
            <w:pPr>
              <w:spacing w:after="0"/>
              <w:rPr>
                <w:sz w:val="24"/>
                <w:szCs w:val="24"/>
                <w:color w:val="auto"/>
              </w:rPr>
            </w:pPr>
          </w:p>
        </w:tc>
      </w:tr>
      <w:tr>
        <w:trPr>
          <w:trHeight w:val="152"/>
        </w:trPr>
        <w:tc>
          <w:tcPr>
            <w:tcW w:w="2080" w:type="dxa"/>
            <w:vAlign w:val="bottom"/>
          </w:tcPr>
          <w:p>
            <w:pPr>
              <w:jc w:val="right"/>
              <w:ind w:right="1546"/>
              <w:spacing w:after="0"/>
              <w:rPr>
                <w:sz w:val="20"/>
                <w:szCs w:val="20"/>
                <w:color w:val="auto"/>
              </w:rPr>
            </w:pPr>
            <w:r>
              <w:rPr>
                <w:rFonts w:ascii="Arial" w:cs="Arial" w:eastAsia="Arial" w:hAnsi="Arial"/>
                <w:sz w:val="11"/>
                <w:szCs w:val="11"/>
                <w:b w:val="1"/>
                <w:bCs w:val="1"/>
                <w:color w:val="333333"/>
              </w:rPr>
              <w:t>06</w:t>
            </w:r>
          </w:p>
        </w:tc>
        <w:tc>
          <w:tcPr>
            <w:tcW w:w="3640" w:type="dxa"/>
            <w:vAlign w:val="bottom"/>
          </w:tcPr>
          <w:p>
            <w:pPr>
              <w:ind w:left="1580"/>
              <w:spacing w:after="0"/>
              <w:rPr>
                <w:sz w:val="20"/>
                <w:szCs w:val="20"/>
                <w:color w:val="auto"/>
              </w:rPr>
            </w:pPr>
            <w:r>
              <w:rPr>
                <w:rFonts w:ascii="Arial" w:cs="Arial" w:eastAsia="Arial" w:hAnsi="Arial"/>
                <w:sz w:val="13"/>
                <w:szCs w:val="13"/>
                <w:color w:val="333333"/>
              </w:rPr>
              <w:t>STRATEGIC REPORT</w:t>
            </w:r>
          </w:p>
        </w:tc>
      </w:tr>
    </w:tbl>
    <w:p>
      <w:pPr>
        <w:spacing w:after="0" w:line="155" w:lineRule="exact"/>
        <w:rPr>
          <w:sz w:val="20"/>
          <w:szCs w:val="20"/>
          <w:color w:val="auto"/>
        </w:rPr>
      </w:pPr>
    </w:p>
    <w:p>
      <w:pPr>
        <w:ind w:left="3700"/>
        <w:spacing w:after="0"/>
        <w:rPr>
          <w:sz w:val="20"/>
          <w:szCs w:val="20"/>
          <w:color w:val="auto"/>
        </w:rPr>
      </w:pPr>
      <w:r>
        <w:rPr>
          <w:rFonts w:ascii="Arial" w:cs="Arial" w:eastAsia="Arial" w:hAnsi="Arial"/>
          <w:sz w:val="11"/>
          <w:szCs w:val="11"/>
          <w:color w:val="auto"/>
        </w:rPr>
        <w:t>CHAIRMAN’S MESSAGE</w:t>
      </w:r>
    </w:p>
    <w:p>
      <w:pPr>
        <w:spacing w:after="0" w:line="2" w:lineRule="exact"/>
        <w:rPr>
          <w:sz w:val="20"/>
          <w:szCs w:val="20"/>
          <w:color w:val="auto"/>
        </w:rPr>
      </w:pPr>
    </w:p>
    <w:p>
      <w:pPr>
        <w:spacing w:after="0"/>
        <w:rPr>
          <w:sz w:val="20"/>
          <w:szCs w:val="20"/>
          <w:color w:val="auto"/>
        </w:rPr>
      </w:pPr>
      <w:r>
        <w:rPr>
          <w:rFonts w:ascii="Arial" w:cs="Arial" w:eastAsia="Arial" w:hAnsi="Arial"/>
          <w:sz w:val="41"/>
          <w:szCs w:val="41"/>
          <w:b w:val="1"/>
          <w:bCs w:val="1"/>
          <w:color w:val="auto"/>
        </w:rPr>
        <w:t>STRATEGIC REPORT</w:t>
      </w:r>
    </w:p>
    <w:p>
      <w:pPr>
        <w:spacing w:after="0" w:line="275" w:lineRule="exact"/>
        <w:rPr>
          <w:sz w:val="20"/>
          <w:szCs w:val="20"/>
          <w:color w:val="auto"/>
        </w:rPr>
      </w:pPr>
    </w:p>
    <w:p>
      <w:pPr>
        <w:spacing w:after="0"/>
        <w:rPr>
          <w:sz w:val="20"/>
          <w:szCs w:val="20"/>
          <w:color w:val="auto"/>
        </w:rPr>
      </w:pPr>
      <w:r>
        <w:rPr>
          <w:rFonts w:ascii="Arial" w:cs="Arial" w:eastAsia="Arial" w:hAnsi="Arial"/>
          <w:sz w:val="31"/>
          <w:szCs w:val="31"/>
          <w:color w:val="auto"/>
        </w:rPr>
        <w:t>CHAIRMAN’S MESSAGE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wp:posOffset>
            </wp:positionV>
            <wp:extent cx="347345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spacing w:after="0" w:line="189" w:lineRule="exact"/>
        <w:rPr>
          <w:sz w:val="20"/>
          <w:szCs w:val="20"/>
          <w:color w:val="auto"/>
        </w:rPr>
      </w:pPr>
    </w:p>
    <w:p>
      <w:pPr>
        <w:ind w:right="380"/>
        <w:spacing w:after="0" w:line="258" w:lineRule="auto"/>
        <w:rPr>
          <w:sz w:val="20"/>
          <w:szCs w:val="20"/>
          <w:color w:val="auto"/>
        </w:rPr>
      </w:pPr>
      <w:r>
        <w:rPr>
          <w:rFonts w:ascii="Arial" w:cs="Arial" w:eastAsia="Arial" w:hAnsi="Arial"/>
          <w:sz w:val="14"/>
          <w:szCs w:val="14"/>
          <w:color w:val="auto"/>
        </w:rPr>
        <w:t>The energy landscape has fundamentally transformed in the nearly nine years that I have served as Chairman.</w:t>
      </w:r>
    </w:p>
    <w:p>
      <w:pPr>
        <w:spacing w:after="0" w:line="154" w:lineRule="exact"/>
        <w:rPr>
          <w:sz w:val="20"/>
          <w:szCs w:val="20"/>
          <w:color w:val="auto"/>
        </w:rPr>
      </w:pPr>
    </w:p>
    <w:p>
      <w:pPr>
        <w:jc w:val="both"/>
        <w:ind w:right="480"/>
        <w:spacing w:after="0" w:line="250" w:lineRule="auto"/>
        <w:rPr>
          <w:sz w:val="20"/>
          <w:szCs w:val="20"/>
          <w:color w:val="auto"/>
        </w:rPr>
      </w:pPr>
      <w:r>
        <w:rPr>
          <w:rFonts w:ascii="Arial" w:cs="Arial" w:eastAsia="Arial" w:hAnsi="Arial"/>
          <w:sz w:val="14"/>
          <w:szCs w:val="14"/>
          <w:color w:val="auto"/>
        </w:rPr>
        <w:t>Technological advances have enabled a surge in gas and oil production from deep beneath the ocean and unlocked important new shale resources over the last few years, for example.</w:t>
      </w:r>
    </w:p>
    <w:p>
      <w:pPr>
        <w:spacing w:after="0" w:line="159" w:lineRule="exact"/>
        <w:rPr>
          <w:sz w:val="20"/>
          <w:szCs w:val="20"/>
          <w:color w:val="auto"/>
        </w:rPr>
      </w:pPr>
    </w:p>
    <w:p>
      <w:pPr>
        <w:ind w:right="540"/>
        <w:spacing w:after="0" w:line="250" w:lineRule="auto"/>
        <w:rPr>
          <w:sz w:val="20"/>
          <w:szCs w:val="20"/>
          <w:color w:val="auto"/>
        </w:rPr>
      </w:pPr>
      <w:r>
        <w:rPr>
          <w:rFonts w:ascii="Arial" w:cs="Arial" w:eastAsia="Arial" w:hAnsi="Arial"/>
          <w:sz w:val="14"/>
          <w:szCs w:val="14"/>
          <w:color w:val="auto"/>
        </w:rPr>
        <w:t>Shell plans to continue to invest in innovative technology, talented people and the development of new energy sources that will be vital to meet rising long-term demand, while limiting carbon emissions.</w:t>
      </w:r>
    </w:p>
    <w:p>
      <w:pPr>
        <w:spacing w:after="0" w:line="172" w:lineRule="exact"/>
        <w:rPr>
          <w:sz w:val="20"/>
          <w:szCs w:val="20"/>
          <w:color w:val="auto"/>
        </w:rPr>
      </w:pPr>
    </w:p>
    <w:p>
      <w:pPr>
        <w:spacing w:after="0"/>
        <w:rPr>
          <w:sz w:val="20"/>
          <w:szCs w:val="20"/>
          <w:color w:val="auto"/>
        </w:rPr>
      </w:pPr>
      <w:r>
        <w:rPr>
          <w:rFonts w:ascii="Arial" w:cs="Arial" w:eastAsia="Arial" w:hAnsi="Arial"/>
          <w:sz w:val="14"/>
          <w:szCs w:val="14"/>
          <w:color w:val="auto"/>
        </w:rPr>
        <w:t>But the short-term outlook for energy markets is uncertain.</w:t>
      </w:r>
    </w:p>
    <w:p>
      <w:pPr>
        <w:spacing w:after="0" w:line="177" w:lineRule="exact"/>
        <w:rPr>
          <w:sz w:val="20"/>
          <w:szCs w:val="20"/>
          <w:color w:val="auto"/>
        </w:rPr>
      </w:pPr>
    </w:p>
    <w:p>
      <w:pPr>
        <w:spacing w:after="0"/>
        <w:rPr>
          <w:sz w:val="20"/>
          <w:szCs w:val="20"/>
          <w:color w:val="auto"/>
        </w:rPr>
      </w:pPr>
      <w:r>
        <w:rPr>
          <w:rFonts w:ascii="Arial" w:cs="Arial" w:eastAsia="Arial" w:hAnsi="Arial"/>
          <w:sz w:val="14"/>
          <w:szCs w:val="14"/>
          <w:color w:val="auto"/>
        </w:rPr>
        <w:t>The International Monetary Fund (IMF) estimates that the world economy grew by</w:t>
      </w:r>
    </w:p>
    <w:p>
      <w:pPr>
        <w:spacing w:after="0" w:line="1" w:lineRule="exact"/>
        <w:rPr>
          <w:sz w:val="20"/>
          <w:szCs w:val="20"/>
          <w:color w:val="auto"/>
        </w:rPr>
      </w:pPr>
    </w:p>
    <w:p>
      <w:pPr>
        <w:ind w:right="260"/>
        <w:spacing w:after="0" w:line="250" w:lineRule="auto"/>
        <w:rPr>
          <w:sz w:val="20"/>
          <w:szCs w:val="20"/>
          <w:color w:val="auto"/>
        </w:rPr>
      </w:pPr>
      <w:r>
        <w:rPr>
          <w:rFonts w:ascii="Arial" w:cs="Arial" w:eastAsia="Arial" w:hAnsi="Arial"/>
          <w:sz w:val="14"/>
          <w:szCs w:val="14"/>
          <w:color w:val="auto"/>
        </w:rPr>
        <w:t>3.3% in 2014, unchanged from 2013. In January 2015, the IMF revised its forecast for 2015 down from 3.8% to 3.5%, pointing to concerns over the Russian and eurozone economies, combined with slowing growth in China.</w:t>
      </w:r>
    </w:p>
    <w:p>
      <w:pPr>
        <w:spacing w:after="0" w:line="159" w:lineRule="exact"/>
        <w:rPr>
          <w:sz w:val="20"/>
          <w:szCs w:val="20"/>
          <w:color w:val="auto"/>
        </w:rPr>
      </w:pPr>
    </w:p>
    <w:p>
      <w:pPr>
        <w:ind w:right="300"/>
        <w:spacing w:after="0" w:line="247" w:lineRule="auto"/>
        <w:rPr>
          <w:sz w:val="20"/>
          <w:szCs w:val="20"/>
          <w:color w:val="auto"/>
        </w:rPr>
      </w:pPr>
      <w:r>
        <w:rPr>
          <w:rFonts w:ascii="Arial" w:cs="Arial" w:eastAsia="Arial" w:hAnsi="Arial"/>
          <w:sz w:val="14"/>
          <w:szCs w:val="14"/>
          <w:color w:val="auto"/>
        </w:rPr>
        <w:t>Concerns over economic growth, coupled with buoyant global oil production, drove a decline in crude oil prices during the second half of 2014, ending a three-year spell of relatively high prices. Although the Brent crude oil price averaged $99 per barrel in 2014, down from $109 in 2013, it ended the year at $55.</w:t>
      </w:r>
    </w:p>
    <w:p>
      <w:pPr>
        <w:spacing w:after="0" w:line="175" w:lineRule="exact"/>
        <w:rPr>
          <w:sz w:val="20"/>
          <w:szCs w:val="20"/>
          <w:color w:val="auto"/>
        </w:rPr>
      </w:pPr>
    </w:p>
    <w:p>
      <w:pPr>
        <w:ind w:right="840"/>
        <w:spacing w:after="0" w:line="258" w:lineRule="auto"/>
        <w:rPr>
          <w:sz w:val="20"/>
          <w:szCs w:val="20"/>
          <w:color w:val="auto"/>
        </w:rPr>
      </w:pPr>
      <w:r>
        <w:rPr>
          <w:rFonts w:ascii="Arial" w:cs="Arial" w:eastAsia="Arial" w:hAnsi="Arial"/>
          <w:sz w:val="14"/>
          <w:szCs w:val="14"/>
          <w:color w:val="auto"/>
        </w:rPr>
        <w:t>Shell will continue to look carefully at how and where to allocate capital in an economic environment that remains fragile.</w:t>
      </w:r>
    </w:p>
    <w:p>
      <w:pPr>
        <w:spacing w:after="0" w:line="154" w:lineRule="exact"/>
        <w:rPr>
          <w:sz w:val="20"/>
          <w:szCs w:val="20"/>
          <w:color w:val="auto"/>
        </w:rPr>
      </w:pPr>
    </w:p>
    <w:p>
      <w:pPr>
        <w:ind w:right="280"/>
        <w:spacing w:after="0" w:line="250" w:lineRule="auto"/>
        <w:rPr>
          <w:sz w:val="20"/>
          <w:szCs w:val="20"/>
          <w:color w:val="auto"/>
        </w:rPr>
      </w:pPr>
      <w:r>
        <w:rPr>
          <w:rFonts w:ascii="Arial" w:cs="Arial" w:eastAsia="Arial" w:hAnsi="Arial"/>
          <w:sz w:val="14"/>
          <w:szCs w:val="14"/>
          <w:color w:val="auto"/>
        </w:rPr>
        <w:t>A sustained period of low oil prices could, of course, challenge the economics of some of our planned projects and make them less attractive. But we must continue to take a long-term view in a world where energy demand continues to rise.</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color w:val="auto"/>
        </w:rPr>
        <w:t>ROBUST STRATEGY</w:t>
      </w:r>
    </w:p>
    <w:p>
      <w:pPr>
        <w:spacing w:after="0" w:line="1" w:lineRule="exact"/>
        <w:rPr>
          <w:sz w:val="20"/>
          <w:szCs w:val="20"/>
          <w:color w:val="auto"/>
        </w:rPr>
      </w:pPr>
    </w:p>
    <w:p>
      <w:pPr>
        <w:ind w:right="360"/>
        <w:spacing w:after="0" w:line="247" w:lineRule="auto"/>
        <w:rPr>
          <w:sz w:val="20"/>
          <w:szCs w:val="20"/>
          <w:color w:val="auto"/>
        </w:rPr>
      </w:pPr>
      <w:r>
        <w:rPr>
          <w:rFonts w:ascii="Arial" w:cs="Arial" w:eastAsia="Arial" w:hAnsi="Arial"/>
          <w:sz w:val="14"/>
          <w:szCs w:val="14"/>
          <w:color w:val="auto"/>
        </w:rPr>
        <w:t>In 2014, our steps to improve capital discipline helped deliver solid returns to shareholders. We delivered strong cash flow for the year and also completed our programme of divesting some parts of our portfolio ahead of schedule and before oil prices fell in the second half of the year.</w:t>
      </w:r>
    </w:p>
    <w:p>
      <w:pPr>
        <w:spacing w:after="0" w:line="175" w:lineRule="exact"/>
        <w:rPr>
          <w:sz w:val="20"/>
          <w:szCs w:val="20"/>
          <w:color w:val="auto"/>
        </w:rPr>
      </w:pPr>
    </w:p>
    <w:p>
      <w:pPr>
        <w:ind w:right="280"/>
        <w:spacing w:after="0" w:line="250" w:lineRule="auto"/>
        <w:rPr>
          <w:sz w:val="20"/>
          <w:szCs w:val="20"/>
          <w:color w:val="auto"/>
        </w:rPr>
      </w:pPr>
      <w:r>
        <w:rPr>
          <w:rFonts w:ascii="Arial" w:cs="Arial" w:eastAsia="Arial" w:hAnsi="Arial"/>
          <w:sz w:val="14"/>
          <w:szCs w:val="14"/>
          <w:color w:val="auto"/>
        </w:rPr>
        <w:t>Our strong balance sheet allows us to continue to invest, despite short-term price volatility, while our emphasis on employing innovative technologies will help make our new projects competitive sources of supply.</w:t>
      </w:r>
    </w:p>
    <w:p>
      <w:pPr>
        <w:spacing w:after="0" w:line="159" w:lineRule="exact"/>
        <w:rPr>
          <w:sz w:val="20"/>
          <w:szCs w:val="20"/>
          <w:color w:val="auto"/>
        </w:rPr>
      </w:pPr>
    </w:p>
    <w:p>
      <w:pPr>
        <w:jc w:val="both"/>
        <w:ind w:right="280"/>
        <w:spacing w:after="0" w:line="250" w:lineRule="auto"/>
        <w:rPr>
          <w:sz w:val="20"/>
          <w:szCs w:val="20"/>
          <w:color w:val="auto"/>
        </w:rPr>
      </w:pPr>
      <w:r>
        <w:rPr>
          <w:rFonts w:ascii="Arial" w:cs="Arial" w:eastAsia="Arial" w:hAnsi="Arial"/>
          <w:sz w:val="14"/>
          <w:szCs w:val="14"/>
          <w:color w:val="auto"/>
        </w:rPr>
        <w:t>Many new energy resources will be needed in the longer term. Global primary energy demand could grow by 37% from 2012 to 2040, according to the International Energy Agency (IEA).</w:t>
      </w:r>
    </w:p>
    <w:p>
      <w:pPr>
        <w:spacing w:after="0" w:line="159" w:lineRule="exact"/>
        <w:rPr>
          <w:sz w:val="20"/>
          <w:szCs w:val="20"/>
          <w:color w:val="auto"/>
        </w:rPr>
      </w:pPr>
    </w:p>
    <w:p>
      <w:pPr>
        <w:ind w:right="500"/>
        <w:spacing w:after="0" w:line="247" w:lineRule="auto"/>
        <w:rPr>
          <w:sz w:val="20"/>
          <w:szCs w:val="20"/>
          <w:color w:val="auto"/>
        </w:rPr>
      </w:pPr>
      <w:r>
        <w:rPr>
          <w:rFonts w:ascii="Arial" w:cs="Arial" w:eastAsia="Arial" w:hAnsi="Arial"/>
          <w:sz w:val="14"/>
          <w:szCs w:val="14"/>
          <w:color w:val="auto"/>
        </w:rPr>
        <w:t>The IEA expects renewable energy to meet an increasing share of global energy needs. But its central scenario, which takes into account existing government commitments and plans, points to a 14% rise in oil consumption and a 55% rise in gas consumption by 2040.</w:t>
      </w:r>
    </w:p>
    <w:p>
      <w:pPr>
        <w:spacing w:after="0" w:line="175" w:lineRule="exact"/>
        <w:rPr>
          <w:sz w:val="20"/>
          <w:szCs w:val="20"/>
          <w:color w:val="auto"/>
        </w:rPr>
      </w:pPr>
    </w:p>
    <w:p>
      <w:pPr>
        <w:ind w:right="360"/>
        <w:spacing w:after="0" w:line="258" w:lineRule="auto"/>
        <w:rPr>
          <w:sz w:val="20"/>
          <w:szCs w:val="20"/>
          <w:color w:val="auto"/>
        </w:rPr>
      </w:pPr>
      <w:r>
        <w:rPr>
          <w:rFonts w:ascii="Arial" w:cs="Arial" w:eastAsia="Arial" w:hAnsi="Arial"/>
          <w:sz w:val="14"/>
          <w:szCs w:val="14"/>
          <w:color w:val="auto"/>
        </w:rPr>
        <w:t>Gas will be increasingly in demand partly because of the important role it can play in reducing carbon emissions when replacing coal, particularly in power plants.</w:t>
      </w:r>
    </w:p>
    <w:p>
      <w:pPr>
        <w:spacing w:after="0" w:line="154" w:lineRule="exact"/>
        <w:rPr>
          <w:sz w:val="20"/>
          <w:szCs w:val="20"/>
          <w:color w:val="auto"/>
        </w:rPr>
      </w:pPr>
    </w:p>
    <w:p>
      <w:pPr>
        <w:ind w:right="240"/>
        <w:spacing w:after="0" w:line="247" w:lineRule="auto"/>
        <w:rPr>
          <w:sz w:val="20"/>
          <w:szCs w:val="20"/>
          <w:color w:val="auto"/>
        </w:rPr>
      </w:pPr>
      <w:r>
        <w:rPr>
          <w:rFonts w:ascii="Arial" w:cs="Arial" w:eastAsia="Arial" w:hAnsi="Arial"/>
          <w:sz w:val="14"/>
          <w:szCs w:val="14"/>
          <w:color w:val="auto"/>
        </w:rPr>
        <w:t>Becoming the most competitive and innovative gas supplier has been a clear strategic goal for Shell throughout my time as Chairman, especially in liquefied natural gas (LNG), which is now central to the global trade in gas. Shell has evolved from being predominantly an oil producer to a company that produces more gas than oil.</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right"/>
        <w:spacing w:after="0"/>
        <w:rPr>
          <w:sz w:val="20"/>
          <w:szCs w:val="20"/>
          <w:color w:val="auto"/>
        </w:rPr>
      </w:pPr>
      <w:r>
        <w:rPr>
          <w:rFonts w:ascii="Arial" w:cs="Arial" w:eastAsia="Arial" w:hAnsi="Arial"/>
          <w:sz w:val="11"/>
          <w:szCs w:val="11"/>
          <w:color w:val="auto"/>
        </w:rPr>
        <w:t>SHELL ANNUAL REPORT AND FORM 20-F 2014</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right="180"/>
        <w:spacing w:after="0" w:line="250" w:lineRule="auto"/>
        <w:rPr>
          <w:sz w:val="20"/>
          <w:szCs w:val="20"/>
          <w:color w:val="auto"/>
        </w:rPr>
      </w:pPr>
      <w:r>
        <w:rPr>
          <w:rFonts w:ascii="Arial" w:cs="Arial" w:eastAsia="Arial" w:hAnsi="Arial"/>
          <w:sz w:val="14"/>
          <w:szCs w:val="14"/>
          <w:color w:val="auto"/>
        </w:rPr>
        <w:t>We are building a large floating LNG production facility, called Prelude, which will help access gas resources in remote waters. Prelude is one example of the technological advances we are making to help meet future demand.</w:t>
      </w:r>
    </w:p>
    <w:p>
      <w:pPr>
        <w:spacing w:after="0" w:line="172" w:lineRule="exact"/>
        <w:rPr>
          <w:sz w:val="20"/>
          <w:szCs w:val="20"/>
          <w:color w:val="auto"/>
        </w:rPr>
      </w:pPr>
    </w:p>
    <w:p>
      <w:pPr>
        <w:ind w:right="480"/>
        <w:spacing w:after="0" w:line="258" w:lineRule="auto"/>
        <w:rPr>
          <w:sz w:val="20"/>
          <w:szCs w:val="20"/>
          <w:color w:val="auto"/>
        </w:rPr>
      </w:pPr>
      <w:r>
        <w:rPr>
          <w:rFonts w:ascii="Arial" w:cs="Arial" w:eastAsia="Arial" w:hAnsi="Arial"/>
          <w:sz w:val="14"/>
          <w:szCs w:val="14"/>
          <w:color w:val="auto"/>
        </w:rPr>
        <w:t>Our deep-water technology is another. It enabled us to start production in 2014 at major projects in the Gulf of Mexico and off the coasts of Malaysia and Nigeria.</w:t>
      </w:r>
    </w:p>
    <w:p>
      <w:pPr>
        <w:spacing w:after="0" w:line="154" w:lineRule="exact"/>
        <w:rPr>
          <w:sz w:val="20"/>
          <w:szCs w:val="20"/>
          <w:color w:val="auto"/>
        </w:rPr>
      </w:pPr>
    </w:p>
    <w:p>
      <w:pPr>
        <w:ind w:right="220"/>
        <w:spacing w:after="0" w:line="258" w:lineRule="auto"/>
        <w:rPr>
          <w:sz w:val="20"/>
          <w:szCs w:val="20"/>
          <w:color w:val="auto"/>
        </w:rPr>
      </w:pPr>
      <w:r>
        <w:rPr>
          <w:rFonts w:ascii="Arial" w:cs="Arial" w:eastAsia="Arial" w:hAnsi="Arial"/>
          <w:sz w:val="14"/>
          <w:szCs w:val="14"/>
          <w:color w:val="auto"/>
        </w:rPr>
        <w:t>Through our joint venture Raízen in Brazil, we are also now one of the world’s largest producers of low-carbon biofuel.</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CLIMATE CHANGE</w:t>
      </w:r>
    </w:p>
    <w:p>
      <w:pPr>
        <w:spacing w:after="0" w:line="1" w:lineRule="exact"/>
        <w:rPr>
          <w:sz w:val="20"/>
          <w:szCs w:val="20"/>
          <w:color w:val="auto"/>
        </w:rPr>
      </w:pPr>
    </w:p>
    <w:p>
      <w:pPr>
        <w:jc w:val="both"/>
        <w:ind w:right="320"/>
        <w:spacing w:after="0" w:line="247" w:lineRule="auto"/>
        <w:rPr>
          <w:sz w:val="20"/>
          <w:szCs w:val="20"/>
          <w:color w:val="auto"/>
        </w:rPr>
      </w:pPr>
      <w:r>
        <w:rPr>
          <w:rFonts w:ascii="Arial" w:cs="Arial" w:eastAsia="Arial" w:hAnsi="Arial"/>
          <w:sz w:val="14"/>
          <w:szCs w:val="14"/>
          <w:color w:val="auto"/>
        </w:rPr>
        <w:t>It is clear that new technologies will be needed to tackle climate change effectively. For example, carbon capture and storage (CCS) technology to store carbon dioxide (CO</w:t>
      </w:r>
      <w:r>
        <w:rPr>
          <w:rFonts w:ascii="Arial" w:cs="Arial" w:eastAsia="Arial" w:hAnsi="Arial"/>
          <w:sz w:val="12"/>
          <w:szCs w:val="12"/>
          <w:color w:val="auto"/>
        </w:rPr>
        <w:t>2</w:t>
      </w:r>
      <w:r>
        <w:rPr>
          <w:rFonts w:ascii="Arial" w:cs="Arial" w:eastAsia="Arial" w:hAnsi="Arial"/>
          <w:sz w:val="14"/>
          <w:szCs w:val="14"/>
          <w:color w:val="auto"/>
        </w:rPr>
        <w:t>) safely underground could substantially reduce the amount of CO</w:t>
      </w:r>
      <w:r>
        <w:rPr>
          <w:rFonts w:ascii="Arial" w:cs="Arial" w:eastAsia="Arial" w:hAnsi="Arial"/>
          <w:sz w:val="12"/>
          <w:szCs w:val="12"/>
          <w:color w:val="auto"/>
        </w:rPr>
        <w:t>2</w:t>
      </w:r>
      <w:r>
        <w:rPr>
          <w:rFonts w:ascii="Arial" w:cs="Arial" w:eastAsia="Arial" w:hAnsi="Arial"/>
          <w:sz w:val="14"/>
          <w:szCs w:val="14"/>
          <w:color w:val="auto"/>
        </w:rPr>
        <w:t xml:space="preserve"> emitted in energy production at lower cost than many other technologies.</w:t>
      </w:r>
    </w:p>
    <w:p>
      <w:pPr>
        <w:spacing w:after="0" w:line="175" w:lineRule="exact"/>
        <w:rPr>
          <w:sz w:val="20"/>
          <w:szCs w:val="20"/>
          <w:color w:val="auto"/>
        </w:rPr>
      </w:pPr>
    </w:p>
    <w:p>
      <w:pPr>
        <w:ind w:right="280"/>
        <w:spacing w:after="0" w:line="250" w:lineRule="auto"/>
        <w:rPr>
          <w:sz w:val="20"/>
          <w:szCs w:val="20"/>
          <w:color w:val="auto"/>
        </w:rPr>
      </w:pPr>
      <w:r>
        <w:rPr>
          <w:rFonts w:ascii="Arial" w:cs="Arial" w:eastAsia="Arial" w:hAnsi="Arial"/>
          <w:sz w:val="14"/>
          <w:szCs w:val="14"/>
          <w:color w:val="auto"/>
        </w:rPr>
        <w:t>But widespread government and industry support is needed to ensure that enough CCS plants are built around the world to make a substantial contribution to the wider drive to reduce CO</w:t>
      </w:r>
      <w:r>
        <w:rPr>
          <w:rFonts w:ascii="Arial" w:cs="Arial" w:eastAsia="Arial" w:hAnsi="Arial"/>
          <w:sz w:val="12"/>
          <w:szCs w:val="12"/>
          <w:color w:val="auto"/>
        </w:rPr>
        <w:t>2</w:t>
      </w:r>
      <w:r>
        <w:rPr>
          <w:rFonts w:ascii="Arial" w:cs="Arial" w:eastAsia="Arial" w:hAnsi="Arial"/>
          <w:sz w:val="14"/>
          <w:szCs w:val="14"/>
          <w:color w:val="auto"/>
        </w:rPr>
        <w:t>.</w:t>
      </w:r>
    </w:p>
    <w:p>
      <w:pPr>
        <w:spacing w:after="0" w:line="159" w:lineRule="exact"/>
        <w:rPr>
          <w:sz w:val="20"/>
          <w:szCs w:val="20"/>
          <w:color w:val="auto"/>
        </w:rPr>
      </w:pPr>
    </w:p>
    <w:p>
      <w:pPr>
        <w:ind w:right="320"/>
        <w:spacing w:after="0" w:line="247" w:lineRule="auto"/>
        <w:rPr>
          <w:sz w:val="20"/>
          <w:szCs w:val="20"/>
          <w:color w:val="auto"/>
        </w:rPr>
      </w:pPr>
      <w:r>
        <w:rPr>
          <w:rFonts w:ascii="Arial" w:cs="Arial" w:eastAsia="Arial" w:hAnsi="Arial"/>
          <w:sz w:val="14"/>
          <w:szCs w:val="14"/>
          <w:color w:val="auto"/>
        </w:rPr>
        <w:t>All sectors of society must work together to combat climate change effectively. One vital and pressing step is to set up effective systems for putting a price on carbon emissions. It is an efficient way to encourage companies to change their activities in ways that have a deep and lasting impact on emissions.</w:t>
      </w:r>
    </w:p>
    <w:p>
      <w:pPr>
        <w:spacing w:after="0" w:line="161" w:lineRule="exact"/>
        <w:rPr>
          <w:sz w:val="20"/>
          <w:szCs w:val="20"/>
          <w:color w:val="auto"/>
        </w:rPr>
      </w:pPr>
    </w:p>
    <w:p>
      <w:pPr>
        <w:ind w:right="280"/>
        <w:spacing w:after="0" w:line="247" w:lineRule="auto"/>
        <w:rPr>
          <w:sz w:val="20"/>
          <w:szCs w:val="20"/>
          <w:color w:val="auto"/>
        </w:rPr>
      </w:pPr>
      <w:r>
        <w:rPr>
          <w:rFonts w:ascii="Arial" w:cs="Arial" w:eastAsia="Arial" w:hAnsi="Arial"/>
          <w:sz w:val="14"/>
          <w:szCs w:val="14"/>
          <w:color w:val="auto"/>
        </w:rPr>
        <w:t>I was encouraged to hear at the United Nations (UN) Climate Summit in New York in September 2014 that the need for effective carbon pricing systems had broad support. I hope that significant progress can be made on this at the crucial UN Climate Change Conference in Paris in December 2015.</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color w:val="auto"/>
        </w:rPr>
        <w:t>INNOVATION AND INNOVATORS</w:t>
      </w:r>
    </w:p>
    <w:p>
      <w:pPr>
        <w:spacing w:after="0" w:line="1" w:lineRule="exact"/>
        <w:rPr>
          <w:sz w:val="20"/>
          <w:szCs w:val="20"/>
          <w:color w:val="auto"/>
        </w:rPr>
      </w:pPr>
    </w:p>
    <w:p>
      <w:pPr>
        <w:ind w:right="200"/>
        <w:spacing w:after="0" w:line="247" w:lineRule="auto"/>
        <w:rPr>
          <w:sz w:val="20"/>
          <w:szCs w:val="20"/>
          <w:color w:val="auto"/>
        </w:rPr>
      </w:pPr>
      <w:r>
        <w:rPr>
          <w:rFonts w:ascii="Arial" w:cs="Arial" w:eastAsia="Arial" w:hAnsi="Arial"/>
          <w:sz w:val="14"/>
          <w:szCs w:val="14"/>
          <w:color w:val="auto"/>
        </w:rPr>
        <w:t>I have had the privilege of working with many talented, creative and forward-thinking people at Shell. Their focus on developing innovative ways to produce and refine new energy resources should benefit our shareholders and customers in the years ahead by keeping our products competitive in any economic environment.</w:t>
      </w:r>
    </w:p>
    <w:p>
      <w:pPr>
        <w:spacing w:after="0" w:line="161" w:lineRule="exact"/>
        <w:rPr>
          <w:sz w:val="20"/>
          <w:szCs w:val="20"/>
          <w:color w:val="auto"/>
        </w:rPr>
      </w:pPr>
    </w:p>
    <w:p>
      <w:pPr>
        <w:ind w:right="280"/>
        <w:spacing w:after="0" w:line="247" w:lineRule="auto"/>
        <w:rPr>
          <w:sz w:val="20"/>
          <w:szCs w:val="20"/>
          <w:color w:val="auto"/>
        </w:rPr>
      </w:pPr>
      <w:r>
        <w:rPr>
          <w:rFonts w:ascii="Arial" w:cs="Arial" w:eastAsia="Arial" w:hAnsi="Arial"/>
          <w:sz w:val="14"/>
          <w:szCs w:val="14"/>
          <w:color w:val="auto"/>
        </w:rPr>
        <w:t>Perhaps the best example is the Pearl gas-to-liquids (GTL) complex in Qatar. The final decision to go ahead with the project was taken at the first Board meeting I chaired in 2006. Back then, there was some scepticism, outside Shell at least, about the project’s ambitious scope and viability as a major investment.</w:t>
      </w:r>
    </w:p>
    <w:p>
      <w:pPr>
        <w:spacing w:after="0" w:line="161" w:lineRule="exact"/>
        <w:rPr>
          <w:sz w:val="20"/>
          <w:szCs w:val="20"/>
          <w:color w:val="auto"/>
        </w:rPr>
      </w:pPr>
    </w:p>
    <w:p>
      <w:pPr>
        <w:ind w:right="240"/>
        <w:spacing w:after="0" w:line="247" w:lineRule="auto"/>
        <w:rPr>
          <w:sz w:val="20"/>
          <w:szCs w:val="20"/>
          <w:color w:val="auto"/>
        </w:rPr>
      </w:pPr>
      <w:r>
        <w:rPr>
          <w:rFonts w:ascii="Arial" w:cs="Arial" w:eastAsia="Arial" w:hAnsi="Arial"/>
          <w:sz w:val="14"/>
          <w:szCs w:val="14"/>
          <w:color w:val="auto"/>
        </w:rPr>
        <w:t>We proved the sceptics wrong. Today we know that a GTL project on this scale, it is the largest such plant in the world, does work. Watching Pearl develop and seeing its products now benefiting customers around the world has been one of the most rewarding experiences during my time at Shell.</w:t>
      </w:r>
    </w:p>
    <w:p>
      <w:pPr>
        <w:spacing w:after="0" w:line="175" w:lineRule="exact"/>
        <w:rPr>
          <w:sz w:val="20"/>
          <w:szCs w:val="20"/>
          <w:color w:val="auto"/>
        </w:rPr>
      </w:pPr>
    </w:p>
    <w:p>
      <w:pPr>
        <w:ind w:right="340"/>
        <w:spacing w:after="0" w:line="247" w:lineRule="auto"/>
        <w:rPr>
          <w:sz w:val="20"/>
          <w:szCs w:val="20"/>
          <w:color w:val="auto"/>
        </w:rPr>
      </w:pPr>
      <w:r>
        <w:rPr>
          <w:rFonts w:ascii="Arial" w:cs="Arial" w:eastAsia="Arial" w:hAnsi="Arial"/>
          <w:sz w:val="14"/>
          <w:szCs w:val="14"/>
          <w:color w:val="auto"/>
        </w:rPr>
        <w:t>Pearl’s success underscores the importance of continuing our strategy of making disciplined investments in key projects and new technologies. This is how we can compete more effectively on the global stage as we continue to create value for our customers, partners and investors.</w:t>
      </w:r>
    </w:p>
    <w:p>
      <w:pPr>
        <w:spacing w:after="0" w:line="14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Jorma Ollila</w:t>
      </w:r>
    </w:p>
    <w:p>
      <w:pPr>
        <w:spacing w:after="0" w:line="19" w:lineRule="exact"/>
        <w:rPr>
          <w:sz w:val="20"/>
          <w:szCs w:val="20"/>
          <w:color w:val="auto"/>
        </w:rPr>
      </w:pPr>
    </w:p>
    <w:p>
      <w:pPr>
        <w:spacing w:after="0"/>
        <w:rPr>
          <w:sz w:val="20"/>
          <w:szCs w:val="20"/>
          <w:color w:val="auto"/>
        </w:rPr>
      </w:pPr>
      <w:r>
        <w:rPr>
          <w:rFonts w:ascii="Arial" w:cs="Arial" w:eastAsia="Arial" w:hAnsi="Arial"/>
          <w:sz w:val="14"/>
          <w:szCs w:val="14"/>
          <w:color w:val="auto"/>
        </w:rPr>
        <w:t>Chairman</w:t>
      </w:r>
    </w:p>
    <w:p>
      <w:pPr>
        <w:sectPr>
          <w:pgSz w:w="11900" w:h="16838" w:orient="portrait"/>
          <w:cols w:equalWidth="0" w:num="2">
            <w:col w:w="5720" w:space="60"/>
            <w:col w:w="5640"/>
          </w:cols>
          <w:pgMar w:left="240" w:top="459" w:right="239" w:bottom="1440" w:gutter="0" w:footer="0" w:header="0"/>
          <w:type w:val="continuous"/>
        </w:sectPr>
      </w:pPr>
    </w:p>
    <w:bookmarkStart w:id="8" w:name="page9"/>
    <w:bookmarkEnd w:id="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1"/>
          <w:szCs w:val="11"/>
          <w:color w:val="auto"/>
        </w:rPr>
        <w:t>SHELL ANNUAL REPORT AND FORM 20-F 2014</w:t>
      </w:r>
    </w:p>
    <w:p>
      <w:pPr>
        <w:spacing w:after="0" w:line="59" w:lineRule="exact"/>
        <w:rPr>
          <w:sz w:val="20"/>
          <w:szCs w:val="20"/>
          <w:color w:val="auto"/>
        </w:rPr>
      </w:pPr>
    </w:p>
    <w:p>
      <w:pPr>
        <w:ind w:right="1040"/>
        <w:spacing w:after="0" w:line="253" w:lineRule="auto"/>
        <w:rPr>
          <w:sz w:val="20"/>
          <w:szCs w:val="20"/>
          <w:color w:val="auto"/>
        </w:rPr>
      </w:pPr>
      <w:r>
        <w:rPr>
          <w:rFonts w:ascii="Arial" w:cs="Arial" w:eastAsia="Arial" w:hAnsi="Arial"/>
          <w:sz w:val="31"/>
          <w:szCs w:val="31"/>
          <w:color w:val="auto"/>
        </w:rPr>
        <w:t>CHIEF EXECUTIVE OFFICER’S REVIEW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347345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spacing w:after="0" w:line="185" w:lineRule="exact"/>
        <w:rPr>
          <w:sz w:val="20"/>
          <w:szCs w:val="20"/>
          <w:color w:val="auto"/>
        </w:rPr>
      </w:pPr>
    </w:p>
    <w:p>
      <w:pPr>
        <w:ind w:right="280"/>
        <w:spacing w:after="0" w:line="250" w:lineRule="auto"/>
        <w:rPr>
          <w:sz w:val="20"/>
          <w:szCs w:val="20"/>
          <w:color w:val="auto"/>
        </w:rPr>
      </w:pPr>
      <w:r>
        <w:rPr>
          <w:rFonts w:ascii="Arial" w:cs="Arial" w:eastAsia="Arial" w:hAnsi="Arial"/>
          <w:sz w:val="14"/>
          <w:szCs w:val="14"/>
          <w:color w:val="auto"/>
        </w:rPr>
        <w:t>After my first year as Chief Executive Officer, I am pleased to see that we are delivering on our three key priorities of improved financial performance, enhanced capital efficiency and continued strong project delivery.</w:t>
      </w:r>
    </w:p>
    <w:p>
      <w:pPr>
        <w:spacing w:after="0" w:line="172" w:lineRule="exact"/>
        <w:rPr>
          <w:sz w:val="20"/>
          <w:szCs w:val="20"/>
          <w:color w:val="auto"/>
        </w:rPr>
      </w:pPr>
    </w:p>
    <w:p>
      <w:pPr>
        <w:ind w:right="80"/>
        <w:spacing w:after="0" w:line="250" w:lineRule="auto"/>
        <w:rPr>
          <w:sz w:val="20"/>
          <w:szCs w:val="20"/>
          <w:color w:val="auto"/>
        </w:rPr>
      </w:pPr>
      <w:r>
        <w:rPr>
          <w:rFonts w:ascii="Arial" w:cs="Arial" w:eastAsia="Arial" w:hAnsi="Arial"/>
          <w:sz w:val="14"/>
          <w:szCs w:val="14"/>
          <w:color w:val="auto"/>
        </w:rPr>
        <w:t>We have come a long way. Shell’s earnings on a current cost of supplies basis attributable to shareholders improved in 2014 compared with 2013, largely thanks to our prudent investment strategy and delivery of major new projects around the world.</w:t>
      </w:r>
    </w:p>
    <w:p>
      <w:pPr>
        <w:spacing w:after="0" w:line="159" w:lineRule="exact"/>
        <w:rPr>
          <w:sz w:val="20"/>
          <w:szCs w:val="20"/>
          <w:color w:val="auto"/>
        </w:rPr>
      </w:pPr>
    </w:p>
    <w:p>
      <w:pPr>
        <w:ind w:right="40"/>
        <w:spacing w:after="0" w:line="258" w:lineRule="auto"/>
        <w:rPr>
          <w:sz w:val="20"/>
          <w:szCs w:val="20"/>
          <w:color w:val="auto"/>
        </w:rPr>
      </w:pPr>
      <w:r>
        <w:rPr>
          <w:rFonts w:ascii="Arial" w:cs="Arial" w:eastAsia="Arial" w:hAnsi="Arial"/>
          <w:sz w:val="14"/>
          <w:szCs w:val="14"/>
          <w:color w:val="auto"/>
        </w:rPr>
        <w:t>We achieved these better results despite the fall in oil prices during the second half of 2014, a decline mainly caused by plentiful supply and weak global demand.</w:t>
      </w:r>
    </w:p>
    <w:p>
      <w:pPr>
        <w:spacing w:after="0" w:line="154" w:lineRule="exact"/>
        <w:rPr>
          <w:sz w:val="20"/>
          <w:szCs w:val="20"/>
          <w:color w:val="auto"/>
        </w:rPr>
      </w:pPr>
    </w:p>
    <w:p>
      <w:pPr>
        <w:spacing w:after="0" w:line="250" w:lineRule="auto"/>
        <w:rPr>
          <w:sz w:val="20"/>
          <w:szCs w:val="20"/>
          <w:color w:val="auto"/>
        </w:rPr>
      </w:pPr>
      <w:r>
        <w:rPr>
          <w:rFonts w:ascii="Arial" w:cs="Arial" w:eastAsia="Arial" w:hAnsi="Arial"/>
          <w:sz w:val="14"/>
          <w:szCs w:val="14"/>
          <w:color w:val="auto"/>
        </w:rPr>
        <w:t>Our improved operational performance, prudent spending and sales of assets that are not central to our strategy helped us enter this period of low oil prices from a position of strength.</w:t>
      </w:r>
    </w:p>
    <w:p>
      <w:pPr>
        <w:spacing w:after="0" w:line="172" w:lineRule="exact"/>
        <w:rPr>
          <w:sz w:val="20"/>
          <w:szCs w:val="20"/>
          <w:color w:val="auto"/>
        </w:rPr>
      </w:pPr>
    </w:p>
    <w:p>
      <w:pPr>
        <w:ind w:right="80"/>
        <w:spacing w:after="0" w:line="258" w:lineRule="auto"/>
        <w:rPr>
          <w:sz w:val="20"/>
          <w:szCs w:val="20"/>
          <w:color w:val="auto"/>
        </w:rPr>
      </w:pPr>
      <w:r>
        <w:rPr>
          <w:rFonts w:ascii="Arial" w:cs="Arial" w:eastAsia="Arial" w:hAnsi="Arial"/>
          <w:sz w:val="14"/>
          <w:szCs w:val="14"/>
          <w:color w:val="auto"/>
        </w:rPr>
        <w:t>But there is still work to be done. I want to see more competitive performance across Shell in 2015 and beyond.</w:t>
      </w:r>
    </w:p>
    <w:p>
      <w:pPr>
        <w:spacing w:after="0" w:line="154" w:lineRule="exact"/>
        <w:rPr>
          <w:sz w:val="20"/>
          <w:szCs w:val="20"/>
          <w:color w:val="auto"/>
        </w:rPr>
      </w:pPr>
    </w:p>
    <w:p>
      <w:pPr>
        <w:ind w:right="80"/>
        <w:spacing w:after="0" w:line="250" w:lineRule="auto"/>
        <w:rPr>
          <w:sz w:val="20"/>
          <w:szCs w:val="20"/>
          <w:color w:val="auto"/>
        </w:rPr>
      </w:pPr>
      <w:r>
        <w:rPr>
          <w:rFonts w:ascii="Arial" w:cs="Arial" w:eastAsia="Arial" w:hAnsi="Arial"/>
          <w:sz w:val="14"/>
          <w:szCs w:val="14"/>
          <w:color w:val="auto"/>
        </w:rPr>
        <w:t>We continued our focus on safety, but sadly five people working for Shell in 2014 lost their lives. There was also an explosion at our Moerdijk chemical plant in the Netherlands, but thankfully it caused no serious injuries.</w:t>
      </w:r>
    </w:p>
    <w:p>
      <w:pPr>
        <w:spacing w:after="0" w:line="159" w:lineRule="exact"/>
        <w:rPr>
          <w:sz w:val="20"/>
          <w:szCs w:val="20"/>
          <w:color w:val="auto"/>
        </w:rPr>
      </w:pPr>
    </w:p>
    <w:p>
      <w:pPr>
        <w:jc w:val="both"/>
        <w:ind w:right="40"/>
        <w:spacing w:after="0" w:line="258" w:lineRule="auto"/>
        <w:rPr>
          <w:sz w:val="20"/>
          <w:szCs w:val="20"/>
          <w:color w:val="auto"/>
        </w:rPr>
      </w:pPr>
      <w:r>
        <w:rPr>
          <w:rFonts w:ascii="Arial" w:cs="Arial" w:eastAsia="Arial" w:hAnsi="Arial"/>
          <w:sz w:val="14"/>
          <w:szCs w:val="14"/>
          <w:color w:val="auto"/>
        </w:rPr>
        <w:t>Tragically, we lost four colleagues and eight of their family members in the Malaysia Airlines disaster over Ukraine in July. That was a deeply saddening experience for all.</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auto"/>
        </w:rPr>
        <w:t>2014 MILESTONES</w:t>
      </w:r>
    </w:p>
    <w:p>
      <w:pPr>
        <w:spacing w:after="0" w:line="1" w:lineRule="exact"/>
        <w:rPr>
          <w:sz w:val="20"/>
          <w:szCs w:val="20"/>
          <w:color w:val="auto"/>
        </w:rPr>
      </w:pPr>
    </w:p>
    <w:p>
      <w:pPr>
        <w:jc w:val="both"/>
        <w:ind w:right="20"/>
        <w:spacing w:after="0" w:line="247" w:lineRule="auto"/>
        <w:rPr>
          <w:sz w:val="20"/>
          <w:szCs w:val="20"/>
          <w:color w:val="auto"/>
        </w:rPr>
      </w:pPr>
      <w:r>
        <w:rPr>
          <w:rFonts w:ascii="Arial" w:cs="Arial" w:eastAsia="Arial" w:hAnsi="Arial"/>
          <w:sz w:val="14"/>
          <w:szCs w:val="14"/>
          <w:color w:val="auto"/>
        </w:rPr>
        <w:t>For 2014, our earnings on a current cost of supplies basis attributable to shareholders were $19 billion, which included impairments of $5 billion and gains on divestments of $2 billion, compared with $17 billion in 2013, which included impairments of $4 billion. Net cash flow from operating activities rose to $45 billion from $40 billion in 2013.</w:t>
      </w:r>
    </w:p>
    <w:p>
      <w:pPr>
        <w:spacing w:after="0" w:line="161" w:lineRule="exact"/>
        <w:rPr>
          <w:sz w:val="20"/>
          <w:szCs w:val="20"/>
          <w:color w:val="auto"/>
        </w:rPr>
      </w:pPr>
    </w:p>
    <w:p>
      <w:pPr>
        <w:spacing w:after="0"/>
        <w:rPr>
          <w:sz w:val="20"/>
          <w:szCs w:val="20"/>
          <w:color w:val="auto"/>
        </w:rPr>
      </w:pPr>
      <w:r>
        <w:rPr>
          <w:rFonts w:ascii="Arial" w:cs="Arial" w:eastAsia="Arial" w:hAnsi="Arial"/>
          <w:sz w:val="14"/>
          <w:szCs w:val="14"/>
          <w:color w:val="auto"/>
        </w:rPr>
        <w:t>We reduced our capital investment from $46 billion in 2013 to $37 billion.</w:t>
      </w:r>
    </w:p>
    <w:p>
      <w:pPr>
        <w:spacing w:after="0" w:line="177" w:lineRule="exact"/>
        <w:rPr>
          <w:sz w:val="20"/>
          <w:szCs w:val="20"/>
          <w:color w:val="auto"/>
        </w:rPr>
      </w:pPr>
    </w:p>
    <w:p>
      <w:pPr>
        <w:ind w:right="20"/>
        <w:spacing w:after="0" w:line="247" w:lineRule="auto"/>
        <w:rPr>
          <w:sz w:val="20"/>
          <w:szCs w:val="20"/>
          <w:color w:val="auto"/>
        </w:rPr>
      </w:pPr>
      <w:r>
        <w:rPr>
          <w:rFonts w:ascii="Arial" w:cs="Arial" w:eastAsia="Arial" w:hAnsi="Arial"/>
          <w:sz w:val="14"/>
          <w:szCs w:val="14"/>
          <w:color w:val="auto"/>
        </w:rPr>
        <w:t>Underlining our ongoing commitment to shareholder returns, we distributed $12 billion to shareholders in dividends, including those taken as shares under our Scrip Dividend Programme, and spent $3 billion on share repurchases in 2014. This compares with $11 billion of dividends and $5 billion of share repurchases in 2013.</w:t>
      </w:r>
    </w:p>
    <w:p>
      <w:pPr>
        <w:spacing w:after="0" w:line="175" w:lineRule="exact"/>
        <w:rPr>
          <w:sz w:val="20"/>
          <w:szCs w:val="20"/>
          <w:color w:val="auto"/>
        </w:rPr>
      </w:pPr>
    </w:p>
    <w:p>
      <w:pPr>
        <w:ind w:right="400"/>
        <w:spacing w:after="0" w:line="241" w:lineRule="auto"/>
        <w:rPr>
          <w:sz w:val="20"/>
          <w:szCs w:val="20"/>
          <w:color w:val="auto"/>
        </w:rPr>
      </w:pPr>
      <w:r>
        <w:rPr>
          <w:rFonts w:ascii="Arial" w:cs="Arial" w:eastAsia="Arial" w:hAnsi="Arial"/>
          <w:sz w:val="14"/>
          <w:szCs w:val="14"/>
          <w:color w:val="auto"/>
        </w:rPr>
        <w:t>Our Upstream earnings rose from 2013 to 2014, reflecting improved operational performance and the start of production from new deep-water projects. These included Gumusut-Kakap in Malaysia, which is expected to produce up to</w:t>
      </w:r>
    </w:p>
    <w:p>
      <w:pPr>
        <w:spacing w:after="0" w:line="1" w:lineRule="exact"/>
        <w:rPr>
          <w:sz w:val="20"/>
          <w:szCs w:val="20"/>
          <w:color w:val="auto"/>
        </w:rPr>
      </w:pPr>
    </w:p>
    <w:p>
      <w:pPr>
        <w:ind w:right="100"/>
        <w:spacing w:after="0" w:line="244" w:lineRule="auto"/>
        <w:rPr>
          <w:sz w:val="20"/>
          <w:szCs w:val="20"/>
          <w:color w:val="auto"/>
        </w:rPr>
      </w:pPr>
      <w:r>
        <w:rPr>
          <w:rFonts w:ascii="Arial" w:cs="Arial" w:eastAsia="Arial" w:hAnsi="Arial"/>
          <w:sz w:val="14"/>
          <w:szCs w:val="14"/>
          <w:color w:val="auto"/>
        </w:rPr>
        <w:t>135 thousand barrels per day of oil equivalent (boe/d) and the 40 thousand boe/d Bonga North West development off the coast of Nigeria. We also began production from the Cardamom and Olympus platforms in the Gulf of Mexico. However, production from new projects was more than offset by the expiry of a licence in Abu Dhabi and the impact of asset sales. Our oil and gas production averaged 3.1 million boe/d in 2014, 4% less than in 2013.</w:t>
      </w:r>
    </w:p>
    <w:p>
      <w:pPr>
        <w:spacing w:after="0" w:line="166" w:lineRule="exact"/>
        <w:rPr>
          <w:sz w:val="20"/>
          <w:szCs w:val="20"/>
          <w:color w:val="auto"/>
        </w:rPr>
      </w:pPr>
    </w:p>
    <w:p>
      <w:pPr>
        <w:ind w:right="360"/>
        <w:spacing w:after="0" w:line="258" w:lineRule="auto"/>
        <w:rPr>
          <w:sz w:val="20"/>
          <w:szCs w:val="20"/>
          <w:color w:val="auto"/>
        </w:rPr>
      </w:pPr>
      <w:r>
        <w:rPr>
          <w:rFonts w:ascii="Arial" w:cs="Arial" w:eastAsia="Arial" w:hAnsi="Arial"/>
          <w:sz w:val="14"/>
          <w:szCs w:val="14"/>
          <w:color w:val="auto"/>
        </w:rPr>
        <w:t>The integration of the Repsol liquefied natural gas (LNG) businesses acquired in January helped boost our LNG sales to 24 million tonnes, up 22% on 2013.</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spacing w:after="0" w:line="1" w:lineRule="exact"/>
        <w:rPr>
          <w:sz w:val="1"/>
          <w:szCs w:val="1"/>
          <w:color w:val="auto"/>
        </w:rPr>
      </w:pPr>
    </w:p>
    <w:tbl>
      <w:tblPr>
        <w:tblLayout w:type="fixed"/>
        <w:tblInd w:w="740" w:type="dxa"/>
        <w:tblCellMar>
          <w:top w:w="0" w:type="dxa"/>
          <w:left w:w="0" w:type="dxa"/>
          <w:bottom w:w="0" w:type="dxa"/>
          <w:right w:w="0" w:type="dxa"/>
        </w:tblCellMar>
      </w:tblPr>
      <w:tr>
        <w:trPr>
          <w:trHeight w:val="161"/>
        </w:trPr>
        <w:tc>
          <w:tcPr>
            <w:tcW w:w="2760" w:type="dxa"/>
            <w:vAlign w:val="bottom"/>
          </w:tcPr>
          <w:p>
            <w:pPr>
              <w:spacing w:after="0"/>
              <w:rPr>
                <w:sz w:val="20"/>
                <w:szCs w:val="20"/>
                <w:color w:val="auto"/>
              </w:rPr>
            </w:pPr>
            <w:r>
              <w:rPr>
                <w:rFonts w:ascii="Arial" w:cs="Arial" w:eastAsia="Arial" w:hAnsi="Arial"/>
                <w:sz w:val="13"/>
                <w:szCs w:val="13"/>
                <w:color w:val="333333"/>
              </w:rPr>
              <w:t>STRATEGIC REPORT</w:t>
            </w:r>
          </w:p>
        </w:tc>
        <w:tc>
          <w:tcPr>
            <w:tcW w:w="1640" w:type="dxa"/>
            <w:vAlign w:val="bottom"/>
          </w:tcPr>
          <w:p>
            <w:pPr>
              <w:jc w:val="right"/>
              <w:spacing w:after="0"/>
              <w:rPr>
                <w:sz w:val="20"/>
                <w:szCs w:val="20"/>
                <w:color w:val="auto"/>
              </w:rPr>
            </w:pPr>
            <w:r>
              <w:rPr>
                <w:rFonts w:ascii="Arial" w:cs="Arial" w:eastAsia="Arial" w:hAnsi="Arial"/>
                <w:sz w:val="11"/>
                <w:szCs w:val="11"/>
                <w:b w:val="1"/>
                <w:bCs w:val="1"/>
                <w:color w:val="333333"/>
              </w:rPr>
              <w:t>07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-3677285</wp:posOffset>
            </wp:positionH>
            <wp:positionV relativeFrom="paragraph">
              <wp:posOffset>-992505</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column">
              <wp:posOffset>-114300</wp:posOffset>
            </wp:positionH>
            <wp:positionV relativeFrom="paragraph">
              <wp:posOffset>-358140</wp:posOffset>
            </wp:positionV>
            <wp:extent cx="3696335" cy="46291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696335" cy="462915"/>
                    </a:xfrm>
                    <a:prstGeom prst="rect">
                      <a:avLst/>
                    </a:prstGeom>
                    <a:noFill/>
                  </pic:spPr>
                </pic:pic>
              </a:graphicData>
            </a:graphic>
          </wp:anchor>
        </w:drawing>
      </w:r>
    </w:p>
    <w:p>
      <w:pPr>
        <w:spacing w:after="0" w:line="141" w:lineRule="exact"/>
        <w:rPr>
          <w:sz w:val="20"/>
          <w:szCs w:val="20"/>
          <w:color w:val="auto"/>
        </w:rPr>
      </w:pPr>
    </w:p>
    <w:p>
      <w:pPr>
        <w:ind w:left="740"/>
        <w:spacing w:after="0"/>
        <w:rPr>
          <w:sz w:val="20"/>
          <w:szCs w:val="20"/>
          <w:color w:val="auto"/>
        </w:rPr>
      </w:pPr>
      <w:r>
        <w:rPr>
          <w:rFonts w:ascii="Arial" w:cs="Arial" w:eastAsia="Arial" w:hAnsi="Arial"/>
          <w:sz w:val="11"/>
          <w:szCs w:val="11"/>
          <w:color w:val="auto"/>
        </w:rPr>
        <w:t>CHIEF EXECUTIVE OFFICER’S REVIEW</w:t>
      </w:r>
    </w:p>
    <w:p>
      <w:pPr>
        <w:spacing w:after="0" w:line="57" w:lineRule="exact"/>
        <w:rPr>
          <w:sz w:val="20"/>
          <w:szCs w:val="20"/>
          <w:color w:val="auto"/>
        </w:rPr>
      </w:pPr>
    </w:p>
    <w:p>
      <w:pPr>
        <w:ind w:right="340"/>
        <w:spacing w:after="0" w:line="250" w:lineRule="auto"/>
        <w:rPr>
          <w:sz w:val="20"/>
          <w:szCs w:val="20"/>
          <w:color w:val="auto"/>
        </w:rPr>
      </w:pPr>
      <w:r>
        <w:rPr>
          <w:rFonts w:ascii="Arial" w:cs="Arial" w:eastAsia="Arial" w:hAnsi="Arial"/>
          <w:sz w:val="14"/>
          <w:szCs w:val="14"/>
          <w:color w:val="auto"/>
        </w:rPr>
        <w:t>It was a good year for our exploration drive, with 10 notable discoveries. The resources we uncovered – including in the USA, Gabon and Malaysia – could be important sources of gas and oil for decades to come.</w:t>
      </w:r>
    </w:p>
    <w:p>
      <w:pPr>
        <w:spacing w:after="0" w:line="172" w:lineRule="exact"/>
        <w:rPr>
          <w:sz w:val="20"/>
          <w:szCs w:val="20"/>
          <w:color w:val="auto"/>
        </w:rPr>
      </w:pPr>
    </w:p>
    <w:p>
      <w:pPr>
        <w:ind w:right="40"/>
        <w:spacing w:after="0" w:line="247" w:lineRule="auto"/>
        <w:rPr>
          <w:sz w:val="20"/>
          <w:szCs w:val="20"/>
          <w:color w:val="auto"/>
        </w:rPr>
      </w:pPr>
      <w:r>
        <w:rPr>
          <w:rFonts w:ascii="Arial" w:cs="Arial" w:eastAsia="Arial" w:hAnsi="Arial"/>
          <w:sz w:val="14"/>
          <w:szCs w:val="14"/>
          <w:color w:val="auto"/>
        </w:rPr>
        <w:t>We continued to streamline our Downstream operations, selling most of our businesses in Australia and Italy, for example. While there is some growth potential in businesses such as chemicals, lubricants and in China, we continue to look for opportunities to reduce our costs and optimise our Downstream portfolio.</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color w:val="auto"/>
        </w:rPr>
        <w:t>PRUDENT PATH OF GROWTH</w:t>
      </w:r>
    </w:p>
    <w:p>
      <w:pPr>
        <w:spacing w:after="0" w:line="1" w:lineRule="exact"/>
        <w:rPr>
          <w:sz w:val="20"/>
          <w:szCs w:val="20"/>
          <w:color w:val="auto"/>
        </w:rPr>
      </w:pPr>
    </w:p>
    <w:p>
      <w:pPr>
        <w:ind w:right="120"/>
        <w:spacing w:after="0" w:line="250" w:lineRule="auto"/>
        <w:rPr>
          <w:sz w:val="20"/>
          <w:szCs w:val="20"/>
          <w:color w:val="auto"/>
        </w:rPr>
      </w:pPr>
      <w:r>
        <w:rPr>
          <w:rFonts w:ascii="Arial" w:cs="Arial" w:eastAsia="Arial" w:hAnsi="Arial"/>
          <w:sz w:val="14"/>
          <w:szCs w:val="14"/>
          <w:color w:val="auto"/>
        </w:rPr>
        <w:t>The fall in oil prices in 2014 was part of the volatility our industry has always faced. But it underlined the importance of being selective in our investments and keeping a tight grip on costs.</w:t>
      </w:r>
    </w:p>
    <w:p>
      <w:pPr>
        <w:spacing w:after="0" w:line="159" w:lineRule="exact"/>
        <w:rPr>
          <w:sz w:val="20"/>
          <w:szCs w:val="20"/>
          <w:color w:val="auto"/>
        </w:rPr>
      </w:pPr>
    </w:p>
    <w:p>
      <w:pPr>
        <w:spacing w:after="0" w:line="247" w:lineRule="auto"/>
        <w:rPr>
          <w:sz w:val="20"/>
          <w:szCs w:val="20"/>
          <w:color w:val="auto"/>
        </w:rPr>
      </w:pPr>
      <w:r>
        <w:rPr>
          <w:rFonts w:ascii="Arial" w:cs="Arial" w:eastAsia="Arial" w:hAnsi="Arial"/>
          <w:sz w:val="14"/>
          <w:szCs w:val="14"/>
          <w:color w:val="auto"/>
        </w:rPr>
        <w:t>Divestments, together with the initial public offering in Shell Midstream Partners, L.P., generated $15 billion in proceeds in 2014. They included shale oil and gas interests in North America and downstream businesses in several countries, meeting our target for 2014-15 well ahead of schedule. We plan to continue to divest assets in 2015.</w:t>
      </w:r>
    </w:p>
    <w:p>
      <w:pPr>
        <w:spacing w:after="0" w:line="175" w:lineRule="exact"/>
        <w:rPr>
          <w:sz w:val="20"/>
          <w:szCs w:val="20"/>
          <w:color w:val="auto"/>
        </w:rPr>
      </w:pPr>
    </w:p>
    <w:p>
      <w:pPr>
        <w:ind w:right="140"/>
        <w:spacing w:after="0" w:line="245" w:lineRule="auto"/>
        <w:rPr>
          <w:sz w:val="20"/>
          <w:szCs w:val="20"/>
          <w:color w:val="auto"/>
        </w:rPr>
      </w:pPr>
      <w:r>
        <w:rPr>
          <w:rFonts w:ascii="Arial" w:cs="Arial" w:eastAsia="Arial" w:hAnsi="Arial"/>
          <w:sz w:val="14"/>
          <w:szCs w:val="14"/>
          <w:color w:val="auto"/>
        </w:rPr>
        <w:t>To improve returns and control costs during this period of low prices, we have also reduced our potential spending on organic growth by $15 billion for 2015-2017. For example, together with our partners Qatar Petroleum, we have decided not to proceed with the proposed Al Karaana petrochemicals project in Qatar because it is too costly in the current environment.</w:t>
      </w:r>
    </w:p>
    <w:p>
      <w:pPr>
        <w:spacing w:after="0" w:line="164" w:lineRule="exact"/>
        <w:rPr>
          <w:sz w:val="20"/>
          <w:szCs w:val="20"/>
          <w:color w:val="auto"/>
        </w:rPr>
      </w:pPr>
    </w:p>
    <w:p>
      <w:pPr>
        <w:ind w:right="80"/>
        <w:spacing w:after="0" w:line="245" w:lineRule="auto"/>
        <w:rPr>
          <w:sz w:val="20"/>
          <w:szCs w:val="20"/>
          <w:color w:val="auto"/>
        </w:rPr>
      </w:pPr>
      <w:r>
        <w:rPr>
          <w:rFonts w:ascii="Arial" w:cs="Arial" w:eastAsia="Arial" w:hAnsi="Arial"/>
          <w:sz w:val="14"/>
          <w:szCs w:val="14"/>
          <w:color w:val="auto"/>
        </w:rPr>
        <w:t>We expect organic capital investment to be lower in 2015 than 2014 levels of around $35 billion. But we want to preserve our growth to ensure we continue to generate cash flow and dividends for our shareholders. That is why we are still planning to invest in economically-sound projects this year in key growth areas, such as deep water and LNG.</w:t>
      </w:r>
    </w:p>
    <w:p>
      <w:pPr>
        <w:spacing w:after="0" w:line="164" w:lineRule="exact"/>
        <w:rPr>
          <w:sz w:val="20"/>
          <w:szCs w:val="20"/>
          <w:color w:val="auto"/>
        </w:rPr>
      </w:pPr>
    </w:p>
    <w:p>
      <w:pPr>
        <w:ind w:right="80"/>
        <w:spacing w:after="0" w:line="258" w:lineRule="auto"/>
        <w:rPr>
          <w:sz w:val="20"/>
          <w:szCs w:val="20"/>
          <w:color w:val="auto"/>
        </w:rPr>
      </w:pPr>
      <w:r>
        <w:rPr>
          <w:rFonts w:ascii="Arial" w:cs="Arial" w:eastAsia="Arial" w:hAnsi="Arial"/>
          <w:sz w:val="14"/>
          <w:szCs w:val="14"/>
          <w:color w:val="auto"/>
        </w:rPr>
        <w:t>Clearly, we do not want to miss future growth opportunities simply because they may seem unaffordable in the low oil price world we see today.</w:t>
      </w:r>
    </w:p>
    <w:p>
      <w:pPr>
        <w:spacing w:after="0" w:line="167" w:lineRule="exact"/>
        <w:rPr>
          <w:sz w:val="20"/>
          <w:szCs w:val="20"/>
          <w:color w:val="auto"/>
        </w:rPr>
      </w:pPr>
    </w:p>
    <w:p>
      <w:pPr>
        <w:ind w:right="40"/>
        <w:spacing w:after="0" w:line="258" w:lineRule="auto"/>
        <w:rPr>
          <w:sz w:val="20"/>
          <w:szCs w:val="20"/>
          <w:color w:val="auto"/>
        </w:rPr>
      </w:pPr>
      <w:r>
        <w:rPr>
          <w:rFonts w:ascii="Arial" w:cs="Arial" w:eastAsia="Arial" w:hAnsi="Arial"/>
          <w:sz w:val="14"/>
          <w:szCs w:val="14"/>
          <w:color w:val="auto"/>
        </w:rPr>
        <w:t>However, in this period of economic uncertainty, we also need to remain cautious and are prepared to curb spending further if warranted by the evolving market outlook.</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STRONG LONG-TERM DEMAND</w:t>
      </w:r>
    </w:p>
    <w:p>
      <w:pPr>
        <w:spacing w:after="0" w:line="1" w:lineRule="exact"/>
        <w:rPr>
          <w:sz w:val="20"/>
          <w:szCs w:val="20"/>
          <w:color w:val="auto"/>
        </w:rPr>
      </w:pPr>
    </w:p>
    <w:p>
      <w:pPr>
        <w:jc w:val="both"/>
        <w:spacing w:after="0" w:line="250" w:lineRule="auto"/>
        <w:rPr>
          <w:sz w:val="20"/>
          <w:szCs w:val="20"/>
          <w:color w:val="auto"/>
        </w:rPr>
      </w:pPr>
      <w:r>
        <w:rPr>
          <w:rFonts w:ascii="Arial" w:cs="Arial" w:eastAsia="Arial" w:hAnsi="Arial"/>
          <w:sz w:val="14"/>
          <w:szCs w:val="14"/>
          <w:color w:val="auto"/>
        </w:rPr>
        <w:t>In the long term, we expect demand for energy to continue to rise as populations and prosperity increase. Billions of people across the developing world need better access to energy to improve their lives.</w:t>
      </w:r>
    </w:p>
    <w:p>
      <w:pPr>
        <w:spacing w:after="0" w:line="159" w:lineRule="exact"/>
        <w:rPr>
          <w:sz w:val="20"/>
          <w:szCs w:val="20"/>
          <w:color w:val="auto"/>
        </w:rPr>
      </w:pPr>
    </w:p>
    <w:p>
      <w:pPr>
        <w:ind w:right="40"/>
        <w:spacing w:after="0" w:line="245" w:lineRule="auto"/>
        <w:rPr>
          <w:sz w:val="20"/>
          <w:szCs w:val="20"/>
          <w:color w:val="auto"/>
        </w:rPr>
      </w:pPr>
      <w:r>
        <w:rPr>
          <w:rFonts w:ascii="Arial" w:cs="Arial" w:eastAsia="Arial" w:hAnsi="Arial"/>
          <w:sz w:val="14"/>
          <w:szCs w:val="14"/>
          <w:color w:val="auto"/>
        </w:rPr>
        <w:t>We expect the global energy supply mix to evolve significantly in the decades ahead with gas, the cleanest-burning fossil fuel, becoming more widely used for power generation. While we expect renewables such as wind, solar and biofuels to play an increasing role, oil and gas will be vital to meet the considerable expected increase in energy demand.</w:t>
      </w:r>
    </w:p>
    <w:p>
      <w:pPr>
        <w:spacing w:after="0" w:line="178" w:lineRule="exact"/>
        <w:rPr>
          <w:sz w:val="20"/>
          <w:szCs w:val="20"/>
          <w:color w:val="auto"/>
        </w:rPr>
      </w:pPr>
    </w:p>
    <w:p>
      <w:pPr>
        <w:ind w:right="60"/>
        <w:spacing w:after="0" w:line="250" w:lineRule="auto"/>
        <w:rPr>
          <w:sz w:val="20"/>
          <w:szCs w:val="20"/>
          <w:color w:val="auto"/>
        </w:rPr>
      </w:pPr>
      <w:r>
        <w:rPr>
          <w:rFonts w:ascii="Arial" w:cs="Arial" w:eastAsia="Arial" w:hAnsi="Arial"/>
          <w:sz w:val="14"/>
          <w:szCs w:val="14"/>
          <w:color w:val="auto"/>
        </w:rPr>
        <w:t>At the same time, the need to tackle climate change requires effective policies that help meet the world’s energy needs while significantly reducing carbon dioxide (CO</w:t>
      </w:r>
      <w:r>
        <w:rPr>
          <w:rFonts w:ascii="Arial" w:cs="Arial" w:eastAsia="Arial" w:hAnsi="Arial"/>
          <w:sz w:val="12"/>
          <w:szCs w:val="12"/>
          <w:color w:val="auto"/>
        </w:rPr>
        <w:t>2</w:t>
      </w:r>
      <w:r>
        <w:rPr>
          <w:rFonts w:ascii="Arial" w:cs="Arial" w:eastAsia="Arial" w:hAnsi="Arial"/>
          <w:sz w:val="14"/>
          <w:szCs w:val="14"/>
          <w:color w:val="auto"/>
        </w:rPr>
        <w:t>) emissions.</w:t>
      </w:r>
    </w:p>
    <w:p>
      <w:pPr>
        <w:spacing w:after="0" w:line="159" w:lineRule="exact"/>
        <w:rPr>
          <w:sz w:val="20"/>
          <w:szCs w:val="20"/>
          <w:color w:val="auto"/>
        </w:rPr>
      </w:pPr>
    </w:p>
    <w:p>
      <w:pPr>
        <w:ind w:right="240"/>
        <w:spacing w:after="0" w:line="247" w:lineRule="auto"/>
        <w:rPr>
          <w:sz w:val="20"/>
          <w:szCs w:val="20"/>
          <w:color w:val="auto"/>
        </w:rPr>
      </w:pPr>
      <w:r>
        <w:rPr>
          <w:rFonts w:ascii="Arial" w:cs="Arial" w:eastAsia="Arial" w:hAnsi="Arial"/>
          <w:sz w:val="14"/>
          <w:szCs w:val="14"/>
          <w:color w:val="auto"/>
        </w:rPr>
        <w:t>Facilities to capture and store CO</w:t>
      </w:r>
      <w:r>
        <w:rPr>
          <w:rFonts w:ascii="Arial" w:cs="Arial" w:eastAsia="Arial" w:hAnsi="Arial"/>
          <w:sz w:val="12"/>
          <w:szCs w:val="12"/>
          <w:color w:val="auto"/>
        </w:rPr>
        <w:t>2</w:t>
      </w:r>
      <w:r>
        <w:rPr>
          <w:rFonts w:ascii="Arial" w:cs="Arial" w:eastAsia="Arial" w:hAnsi="Arial"/>
          <w:sz w:val="14"/>
          <w:szCs w:val="14"/>
          <w:color w:val="auto"/>
        </w:rPr>
        <w:t xml:space="preserve"> should be a key part of the global solution. Our Quest project to capture and safely store CO</w:t>
      </w:r>
      <w:r>
        <w:rPr>
          <w:rFonts w:ascii="Arial" w:cs="Arial" w:eastAsia="Arial" w:hAnsi="Arial"/>
          <w:sz w:val="12"/>
          <w:szCs w:val="12"/>
          <w:color w:val="auto"/>
        </w:rPr>
        <w:t>2</w:t>
      </w:r>
      <w:r>
        <w:rPr>
          <w:rFonts w:ascii="Arial" w:cs="Arial" w:eastAsia="Arial" w:hAnsi="Arial"/>
          <w:sz w:val="14"/>
          <w:szCs w:val="14"/>
          <w:color w:val="auto"/>
        </w:rPr>
        <w:t xml:space="preserve"> from a Canadian oil sands facility is expected to be completed in 2015. We are also planning a carbon capture and storage (CCS) facility at the Peterhead gas-fired power plant in the UK.</w:t>
      </w:r>
    </w:p>
    <w:p>
      <w:pPr>
        <w:sectPr>
          <w:pgSz w:w="11900" w:h="16838" w:orient="portrait"/>
          <w:cols w:equalWidth="0" w:num="2">
            <w:col w:w="5480" w:space="300"/>
            <w:col w:w="5460"/>
          </w:cols>
          <w:pgMar w:left="240" w:top="459" w:right="41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300355</wp:posOffset>
            </wp:positionV>
            <wp:extent cx="3627755" cy="46291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627755" cy="462915"/>
                    </a:xfrm>
                    <a:prstGeom prst="rect">
                      <a:avLst/>
                    </a:prstGeom>
                    <a:noFill/>
                  </pic:spPr>
                </pic:pic>
              </a:graphicData>
            </a:graphic>
          </wp:anchor>
        </w:drawing>
      </w:r>
    </w:p>
    <w:p>
      <w:pPr>
        <w:spacing w:after="0" w:line="200" w:lineRule="exact"/>
        <w:rPr>
          <w:sz w:val="20"/>
          <w:szCs w:val="20"/>
          <w:color w:val="auto"/>
        </w:rPr>
      </w:pP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419"/>
        </w:trPr>
        <w:tc>
          <w:tcPr>
            <w:tcW w:w="2080" w:type="dxa"/>
            <w:vAlign w:val="bottom"/>
            <w:shd w:val="clear" w:color="auto" w:fill="FF8B00"/>
          </w:tcPr>
          <w:p>
            <w:pPr>
              <w:spacing w:after="0"/>
              <w:rPr>
                <w:sz w:val="24"/>
                <w:szCs w:val="24"/>
                <w:color w:val="auto"/>
              </w:rPr>
            </w:pPr>
          </w:p>
        </w:tc>
        <w:tc>
          <w:tcPr>
            <w:tcW w:w="3640" w:type="dxa"/>
            <w:vAlign w:val="bottom"/>
            <w:shd w:val="clear" w:color="auto" w:fill="FF8B00"/>
          </w:tcPr>
          <w:p>
            <w:pPr>
              <w:spacing w:after="0"/>
              <w:rPr>
                <w:sz w:val="24"/>
                <w:szCs w:val="24"/>
                <w:color w:val="auto"/>
              </w:rPr>
            </w:pPr>
          </w:p>
        </w:tc>
      </w:tr>
      <w:tr>
        <w:trPr>
          <w:trHeight w:val="152"/>
        </w:trPr>
        <w:tc>
          <w:tcPr>
            <w:tcW w:w="2080" w:type="dxa"/>
            <w:vAlign w:val="bottom"/>
          </w:tcPr>
          <w:p>
            <w:pPr>
              <w:jc w:val="right"/>
              <w:ind w:right="1546"/>
              <w:spacing w:after="0"/>
              <w:rPr>
                <w:sz w:val="20"/>
                <w:szCs w:val="20"/>
                <w:color w:val="auto"/>
              </w:rPr>
            </w:pPr>
            <w:r>
              <w:rPr>
                <w:rFonts w:ascii="Arial" w:cs="Arial" w:eastAsia="Arial" w:hAnsi="Arial"/>
                <w:sz w:val="11"/>
                <w:szCs w:val="11"/>
                <w:b w:val="1"/>
                <w:bCs w:val="1"/>
                <w:color w:val="333333"/>
              </w:rPr>
              <w:t>08</w:t>
            </w:r>
          </w:p>
        </w:tc>
        <w:tc>
          <w:tcPr>
            <w:tcW w:w="3640" w:type="dxa"/>
            <w:vAlign w:val="bottom"/>
          </w:tcPr>
          <w:p>
            <w:pPr>
              <w:ind w:left="1580"/>
              <w:spacing w:after="0"/>
              <w:rPr>
                <w:sz w:val="20"/>
                <w:szCs w:val="20"/>
                <w:color w:val="auto"/>
              </w:rPr>
            </w:pPr>
            <w:r>
              <w:rPr>
                <w:rFonts w:ascii="Arial" w:cs="Arial" w:eastAsia="Arial" w:hAnsi="Arial"/>
                <w:sz w:val="13"/>
                <w:szCs w:val="13"/>
                <w:color w:val="333333"/>
              </w:rPr>
              <w:t>STRATEGIC REPORT</w:t>
            </w:r>
          </w:p>
        </w:tc>
      </w:tr>
    </w:tbl>
    <w:p>
      <w:pPr>
        <w:spacing w:after="0" w:line="155" w:lineRule="exact"/>
        <w:rPr>
          <w:sz w:val="20"/>
          <w:szCs w:val="20"/>
          <w:color w:val="auto"/>
        </w:rPr>
      </w:pPr>
    </w:p>
    <w:p>
      <w:pPr>
        <w:ind w:left="2920"/>
        <w:spacing w:after="0"/>
        <w:rPr>
          <w:sz w:val="20"/>
          <w:szCs w:val="20"/>
          <w:color w:val="auto"/>
        </w:rPr>
      </w:pPr>
      <w:r>
        <w:rPr>
          <w:rFonts w:ascii="Arial" w:cs="Arial" w:eastAsia="Arial" w:hAnsi="Arial"/>
          <w:sz w:val="11"/>
          <w:szCs w:val="11"/>
          <w:color w:val="auto"/>
        </w:rPr>
        <w:t>CHIEF EXECUTIVE OFFICER’S REVIEW</w:t>
      </w:r>
    </w:p>
    <w:p>
      <w:pPr>
        <w:spacing w:after="0" w:line="48" w:lineRule="exact"/>
        <w:rPr>
          <w:sz w:val="20"/>
          <w:szCs w:val="20"/>
          <w:color w:val="auto"/>
        </w:rPr>
      </w:pPr>
    </w:p>
    <w:p>
      <w:pPr>
        <w:ind w:right="3740"/>
        <w:spacing w:after="0" w:line="260" w:lineRule="auto"/>
        <w:rPr>
          <w:sz w:val="20"/>
          <w:szCs w:val="20"/>
          <w:color w:val="auto"/>
        </w:rPr>
      </w:pPr>
      <w:r>
        <w:rPr>
          <w:rFonts w:ascii="Arial" w:cs="Arial" w:eastAsia="Arial" w:hAnsi="Arial"/>
          <w:sz w:val="24"/>
          <w:szCs w:val="24"/>
          <w:color w:val="auto"/>
        </w:rPr>
        <w:t xml:space="preserve">CHIEF EXECUTIVE OFFICER’S REVIEW </w:t>
      </w:r>
      <w:r>
        <w:rPr>
          <w:rFonts w:ascii="Arial" w:cs="Arial" w:eastAsia="Arial" w:hAnsi="Arial"/>
          <w:sz w:val="24"/>
          <w:szCs w:val="24"/>
          <w:color w:val="666666"/>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-16510</wp:posOffset>
            </wp:positionV>
            <wp:extent cx="347345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spacing w:after="0" w:line="161" w:lineRule="exact"/>
        <w:rPr>
          <w:sz w:val="20"/>
          <w:szCs w:val="20"/>
          <w:color w:val="auto"/>
        </w:rPr>
      </w:pPr>
    </w:p>
    <w:p>
      <w:pPr>
        <w:ind w:right="2840"/>
        <w:spacing w:after="0" w:line="250" w:lineRule="auto"/>
        <w:rPr>
          <w:sz w:val="20"/>
          <w:szCs w:val="20"/>
          <w:color w:val="auto"/>
        </w:rPr>
      </w:pPr>
      <w:r>
        <w:rPr>
          <w:rFonts w:ascii="Arial" w:cs="Arial" w:eastAsia="Arial" w:hAnsi="Arial"/>
          <w:sz w:val="14"/>
          <w:szCs w:val="14"/>
          <w:color w:val="auto"/>
        </w:rPr>
        <w:t>Effective carbon-pricing systems are needed. They can drive a shift from coal- to gas-fired power generation, encourage greater energy efficiency and create the frameworks for the widespread use of CCS.</w:t>
      </w:r>
    </w:p>
    <w:p>
      <w:pPr>
        <w:spacing w:after="0" w:line="159" w:lineRule="exact"/>
        <w:rPr>
          <w:sz w:val="20"/>
          <w:szCs w:val="20"/>
          <w:color w:val="auto"/>
        </w:rPr>
      </w:pPr>
    </w:p>
    <w:p>
      <w:pPr>
        <w:ind w:right="2920"/>
        <w:spacing w:after="0" w:line="250" w:lineRule="auto"/>
        <w:rPr>
          <w:sz w:val="20"/>
          <w:szCs w:val="20"/>
          <w:color w:val="auto"/>
        </w:rPr>
      </w:pPr>
      <w:r>
        <w:rPr>
          <w:rFonts w:ascii="Arial" w:cs="Arial" w:eastAsia="Arial" w:hAnsi="Arial"/>
          <w:sz w:val="14"/>
          <w:szCs w:val="14"/>
          <w:color w:val="auto"/>
        </w:rPr>
        <w:t>In the shorter term, the world economy is going through a period of relatively slow growth. There is no change in the long-term outlook for energy demand, however, as the global population rises and living standards improve.</w:t>
      </w:r>
    </w:p>
    <w:p>
      <w:pPr>
        <w:spacing w:after="0" w:line="159" w:lineRule="exact"/>
        <w:rPr>
          <w:sz w:val="20"/>
          <w:szCs w:val="20"/>
          <w:color w:val="auto"/>
        </w:rPr>
      </w:pPr>
    </w:p>
    <w:p>
      <w:pPr>
        <w:ind w:right="3000"/>
        <w:spacing w:after="0" w:line="258" w:lineRule="auto"/>
        <w:rPr>
          <w:sz w:val="20"/>
          <w:szCs w:val="20"/>
          <w:color w:val="auto"/>
        </w:rPr>
      </w:pPr>
      <w:r>
        <w:rPr>
          <w:rFonts w:ascii="Arial" w:cs="Arial" w:eastAsia="Arial" w:hAnsi="Arial"/>
          <w:sz w:val="14"/>
          <w:szCs w:val="14"/>
          <w:color w:val="auto"/>
        </w:rPr>
        <w:t>We will continue our strategy of strengthening our position as a leader in the oil and gas industry while supplying energy in a responsible way.</w:t>
      </w:r>
    </w:p>
    <w:p>
      <w:pPr>
        <w:spacing w:after="0" w:line="167" w:lineRule="exact"/>
        <w:rPr>
          <w:sz w:val="20"/>
          <w:szCs w:val="20"/>
          <w:color w:val="auto"/>
        </w:rPr>
      </w:pPr>
    </w:p>
    <w:p>
      <w:pPr>
        <w:ind w:right="2940"/>
        <w:spacing w:after="0" w:line="250" w:lineRule="auto"/>
        <w:rPr>
          <w:sz w:val="20"/>
          <w:szCs w:val="20"/>
          <w:color w:val="auto"/>
        </w:rPr>
      </w:pPr>
      <w:r>
        <w:rPr>
          <w:rFonts w:ascii="Arial" w:cs="Arial" w:eastAsia="Arial" w:hAnsi="Arial"/>
          <w:sz w:val="14"/>
          <w:szCs w:val="14"/>
          <w:color w:val="auto"/>
        </w:rPr>
        <w:t>By stepping up our drive to improve our financial performance and continuing to invest in good projects and opportunities, we are working hard to add more value for our shareholders.</w:t>
      </w:r>
    </w:p>
    <w:p>
      <w:pPr>
        <w:spacing w:after="0" w:line="159" w:lineRule="exact"/>
        <w:rPr>
          <w:sz w:val="20"/>
          <w:szCs w:val="20"/>
          <w:color w:val="auto"/>
        </w:rPr>
      </w:pPr>
    </w:p>
    <w:p>
      <w:pPr>
        <w:ind w:right="2900"/>
        <w:spacing w:after="0" w:line="247" w:lineRule="auto"/>
        <w:rPr>
          <w:sz w:val="20"/>
          <w:szCs w:val="20"/>
          <w:color w:val="auto"/>
        </w:rPr>
      </w:pPr>
      <w:r>
        <w:rPr>
          <w:rFonts w:ascii="Arial" w:cs="Arial" w:eastAsia="Arial" w:hAnsi="Arial"/>
          <w:sz w:val="14"/>
          <w:szCs w:val="14"/>
          <w:color w:val="auto"/>
        </w:rPr>
        <w:t>This may mean making tough choices during a testing time for the energy industry. But it will help Shell deliver where it matters – the bottom line. I am determined that we can and will combine the disciplined pursuit of efficiency today with a vision of long-term sustainability which will secure our leadership role in the decades to come.</w:t>
      </w:r>
    </w:p>
    <w:p>
      <w:pPr>
        <w:spacing w:after="0" w:line="161" w:lineRule="exact"/>
        <w:rPr>
          <w:sz w:val="20"/>
          <w:szCs w:val="20"/>
          <w:color w:val="auto"/>
        </w:rPr>
      </w:pPr>
    </w:p>
    <w:p>
      <w:pPr>
        <w:spacing w:after="0"/>
        <w:rPr>
          <w:sz w:val="20"/>
          <w:szCs w:val="20"/>
          <w:color w:val="auto"/>
        </w:rPr>
      </w:pPr>
      <w:r>
        <w:rPr>
          <w:rFonts w:ascii="Arial" w:cs="Arial" w:eastAsia="Arial" w:hAnsi="Arial"/>
          <w:sz w:val="14"/>
          <w:szCs w:val="14"/>
          <w:color w:val="auto"/>
        </w:rPr>
        <w:t>Ben van Beurden</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Chief Executive Officer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Arial" w:cs="Arial" w:eastAsia="Arial" w:hAnsi="Arial"/>
          <w:sz w:val="10"/>
          <w:szCs w:val="10"/>
          <w:color w:val="auto"/>
        </w:rPr>
        <w:t>SHELL ANNUAL REPORT AND FORM 20-F 2014</w:t>
      </w:r>
    </w:p>
    <w:p>
      <w:pPr>
        <w:sectPr>
          <w:pgSz w:w="11900" w:h="16838" w:orient="portrait"/>
          <w:cols w:equalWidth="0" w:num="2">
            <w:col w:w="8300" w:space="720"/>
            <w:col w:w="2400"/>
          </w:cols>
          <w:pgMar w:left="240" w:top="459" w:right="239" w:bottom="1440" w:gutter="0" w:footer="0" w:header="0"/>
        </w:sectPr>
      </w:pPr>
    </w:p>
    <w:bookmarkStart w:id="10" w:name="page11"/>
    <w:bookmarkEnd w:id="10"/>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3555365</wp:posOffset>
            </wp:positionH>
            <wp:positionV relativeFrom="paragraph">
              <wp:posOffset>314960</wp:posOffset>
            </wp:positionV>
            <wp:extent cx="3696335" cy="46291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696335" cy="462915"/>
                    </a:xfrm>
                    <a:prstGeom prst="rect">
                      <a:avLst/>
                    </a:prstGeom>
                    <a:noFill/>
                  </pic:spPr>
                </pic:pic>
              </a:graphicData>
            </a:graphic>
          </wp:anchor>
        </w:drawing>
      </w:r>
    </w:p>
    <w:p>
      <w:pPr>
        <w:sectPr>
          <w:pgSz w:w="11900" w:h="16838" w:orient="portrait"/>
          <w:cols w:equalWidth="0" w:num="1">
            <w:col w:w="11260"/>
          </w:cols>
          <w:pgMar w:left="240" w:top="459" w:right="3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11"/>
          <w:szCs w:val="11"/>
          <w:color w:val="auto"/>
        </w:rPr>
        <w:t>SHELL ANNUAL REPORT AND FORM 20-F 2014</w:t>
      </w:r>
    </w:p>
    <w:p>
      <w:pPr>
        <w:spacing w:after="0" w:line="59" w:lineRule="exact"/>
        <w:rPr>
          <w:sz w:val="20"/>
          <w:szCs w:val="20"/>
          <w:color w:val="auto"/>
        </w:rPr>
      </w:pPr>
    </w:p>
    <w:p>
      <w:pPr>
        <w:spacing w:after="0"/>
        <w:rPr>
          <w:sz w:val="20"/>
          <w:szCs w:val="20"/>
          <w:color w:val="auto"/>
        </w:rPr>
      </w:pPr>
      <w:r>
        <w:rPr>
          <w:rFonts w:ascii="Arial" w:cs="Arial" w:eastAsia="Arial" w:hAnsi="Arial"/>
          <w:sz w:val="31"/>
          <w:szCs w:val="31"/>
          <w:color w:val="auto"/>
        </w:rPr>
        <w:t>BUSINESS OVERVIEW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wp:posOffset>
            </wp:positionV>
            <wp:extent cx="347345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color w:val="auto"/>
        </w:rPr>
        <w:t>HISTORY</w:t>
      </w:r>
    </w:p>
    <w:p>
      <w:pPr>
        <w:spacing w:after="0" w:line="1" w:lineRule="exact"/>
        <w:rPr>
          <w:sz w:val="20"/>
          <w:szCs w:val="20"/>
          <w:color w:val="auto"/>
        </w:rPr>
      </w:pPr>
    </w:p>
    <w:p>
      <w:pPr>
        <w:spacing w:after="0" w:line="244" w:lineRule="auto"/>
        <w:rPr>
          <w:sz w:val="20"/>
          <w:szCs w:val="20"/>
          <w:color w:val="auto"/>
        </w:rPr>
      </w:pPr>
      <w:r>
        <w:rPr>
          <w:rFonts w:ascii="Arial" w:cs="Arial" w:eastAsia="Arial" w:hAnsi="Arial"/>
          <w:sz w:val="14"/>
          <w:szCs w:val="14"/>
          <w:color w:val="auto"/>
        </w:rPr>
        <w:t>From 1907 until 2005, Royal Dutch Petroleum Company and The “Shell” Transport and Trading Company, p.l.c. were the two public parent companies of a group of companies known collectively as the “Royal Dutch/Shell Group”. Operating activities were conducted through the subsidiaries of these parent companies. In 2005, Royal Dutch Shell plc became the single parent company of Royal Dutch Petroleum Company and of The “Shell” Transport and Trading Company, p.l.c., now The Shell Transport and Trading Company Limited.</w:t>
      </w:r>
    </w:p>
    <w:p>
      <w:pPr>
        <w:spacing w:after="0" w:line="164" w:lineRule="exact"/>
        <w:rPr>
          <w:sz w:val="20"/>
          <w:szCs w:val="20"/>
          <w:color w:val="auto"/>
        </w:rPr>
      </w:pPr>
    </w:p>
    <w:p>
      <w:pPr>
        <w:ind w:right="400"/>
        <w:spacing w:after="0" w:line="258" w:lineRule="auto"/>
        <w:rPr>
          <w:sz w:val="20"/>
          <w:szCs w:val="20"/>
          <w:color w:val="auto"/>
        </w:rPr>
      </w:pPr>
      <w:r>
        <w:rPr>
          <w:rFonts w:ascii="Arial" w:cs="Arial" w:eastAsia="Arial" w:hAnsi="Arial"/>
          <w:sz w:val="14"/>
          <w:szCs w:val="14"/>
          <w:color w:val="auto"/>
        </w:rPr>
        <w:t>Royal Dutch Shell plc (the Company) is a public limited company registered in England and Wales and headquartered in The Hague, the Netherlands.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ACTIVITIES</w:t>
      </w:r>
    </w:p>
    <w:p>
      <w:pPr>
        <w:spacing w:after="0" w:line="1" w:lineRule="exact"/>
        <w:rPr>
          <w:sz w:val="20"/>
          <w:szCs w:val="20"/>
          <w:color w:val="auto"/>
        </w:rPr>
      </w:pPr>
    </w:p>
    <w:p>
      <w:pPr>
        <w:ind w:right="240"/>
        <w:spacing w:after="0" w:line="250" w:lineRule="auto"/>
        <w:rPr>
          <w:sz w:val="20"/>
          <w:szCs w:val="20"/>
          <w:color w:val="auto"/>
        </w:rPr>
      </w:pPr>
      <w:r>
        <w:rPr>
          <w:rFonts w:ascii="Arial" w:cs="Arial" w:eastAsia="Arial" w:hAnsi="Arial"/>
          <w:sz w:val="14"/>
          <w:szCs w:val="14"/>
          <w:color w:val="auto"/>
        </w:rPr>
        <w:t>Shell is one of the world’s largest independent oil and gas companies in terms of market capitalisation, operating cash flow and production. We aim for strong operational performance and productive investments around the world.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spacing w:after="0" w:line="1" w:lineRule="exact"/>
        <w:rPr>
          <w:sz w:val="1"/>
          <w:szCs w:val="1"/>
          <w:color w:val="auto"/>
        </w:rPr>
      </w:pPr>
    </w:p>
    <w:tbl>
      <w:tblPr>
        <w:tblLayout w:type="fixed"/>
        <w:tblInd w:w="740" w:type="dxa"/>
        <w:tblCellMar>
          <w:top w:w="0" w:type="dxa"/>
          <w:left w:w="0" w:type="dxa"/>
          <w:bottom w:w="0" w:type="dxa"/>
          <w:right w:w="0" w:type="dxa"/>
        </w:tblCellMar>
      </w:tblPr>
      <w:tr>
        <w:trPr>
          <w:trHeight w:val="161"/>
        </w:trPr>
        <w:tc>
          <w:tcPr>
            <w:tcW w:w="2760" w:type="dxa"/>
            <w:vAlign w:val="bottom"/>
          </w:tcPr>
          <w:p>
            <w:pPr>
              <w:spacing w:after="0"/>
              <w:rPr>
                <w:sz w:val="20"/>
                <w:szCs w:val="20"/>
                <w:color w:val="auto"/>
              </w:rPr>
            </w:pPr>
            <w:r>
              <w:rPr>
                <w:rFonts w:ascii="Arial" w:cs="Arial" w:eastAsia="Arial" w:hAnsi="Arial"/>
                <w:sz w:val="13"/>
                <w:szCs w:val="13"/>
                <w:color w:val="333333"/>
              </w:rPr>
              <w:t>STRATEGIC REPORT</w:t>
            </w:r>
          </w:p>
        </w:tc>
        <w:tc>
          <w:tcPr>
            <w:tcW w:w="1640" w:type="dxa"/>
            <w:vAlign w:val="bottom"/>
          </w:tcPr>
          <w:p>
            <w:pPr>
              <w:jc w:val="right"/>
              <w:spacing w:after="0"/>
              <w:rPr>
                <w:sz w:val="20"/>
                <w:szCs w:val="20"/>
                <w:color w:val="auto"/>
              </w:rPr>
            </w:pPr>
            <w:r>
              <w:rPr>
                <w:rFonts w:ascii="Arial" w:cs="Arial" w:eastAsia="Arial" w:hAnsi="Arial"/>
                <w:sz w:val="11"/>
                <w:szCs w:val="11"/>
                <w:b w:val="1"/>
                <w:bCs w:val="1"/>
                <w:color w:val="333333"/>
              </w:rPr>
              <w:t>09</w:t>
            </w:r>
          </w:p>
        </w:tc>
      </w:tr>
    </w:tbl>
    <w:p>
      <w:pPr>
        <w:spacing w:after="0" w:line="161" w:lineRule="exact"/>
        <w:rPr>
          <w:sz w:val="20"/>
          <w:szCs w:val="20"/>
          <w:color w:val="auto"/>
        </w:rPr>
      </w:pPr>
    </w:p>
    <w:p>
      <w:pPr>
        <w:ind w:left="740"/>
        <w:spacing w:after="0"/>
        <w:rPr>
          <w:sz w:val="20"/>
          <w:szCs w:val="20"/>
          <w:color w:val="auto"/>
        </w:rPr>
      </w:pPr>
      <w:r>
        <w:rPr>
          <w:rFonts w:ascii="Arial" w:cs="Arial" w:eastAsia="Arial" w:hAnsi="Arial"/>
          <w:sz w:val="11"/>
          <w:szCs w:val="11"/>
          <w:color w:val="auto"/>
        </w:rPr>
        <w:t>BUSINESS OVERVIEW</w:t>
      </w:r>
    </w:p>
    <w:p>
      <w:pPr>
        <w:spacing w:after="0" w:line="57" w:lineRule="exact"/>
        <w:rPr>
          <w:sz w:val="20"/>
          <w:szCs w:val="20"/>
          <w:color w:val="auto"/>
        </w:rPr>
      </w:pPr>
    </w:p>
    <w:p>
      <w:pPr>
        <w:ind w:right="60"/>
        <w:spacing w:after="0" w:line="258" w:lineRule="auto"/>
        <w:rPr>
          <w:sz w:val="20"/>
          <w:szCs w:val="20"/>
          <w:color w:val="auto"/>
        </w:rPr>
      </w:pPr>
      <w:r>
        <w:rPr>
          <w:rFonts w:ascii="Arial" w:cs="Arial" w:eastAsia="Arial" w:hAnsi="Arial"/>
          <w:sz w:val="14"/>
          <w:szCs w:val="14"/>
          <w:color w:val="auto"/>
        </w:rPr>
        <w:t>We explore for oil and gas worldwide, both from conventional fields and from sources such as tight rock, shale and coal formations.</w:t>
      </w:r>
    </w:p>
    <w:p>
      <w:pPr>
        <w:spacing w:after="0" w:line="167" w:lineRule="exact"/>
        <w:rPr>
          <w:sz w:val="20"/>
          <w:szCs w:val="20"/>
          <w:color w:val="auto"/>
        </w:rPr>
      </w:pPr>
    </w:p>
    <w:p>
      <w:pPr>
        <w:spacing w:after="0" w:line="244" w:lineRule="auto"/>
        <w:rPr>
          <w:sz w:val="20"/>
          <w:szCs w:val="20"/>
          <w:color w:val="auto"/>
        </w:rPr>
      </w:pPr>
      <w:r>
        <w:rPr>
          <w:rFonts w:ascii="Arial" w:cs="Arial" w:eastAsia="Arial" w:hAnsi="Arial"/>
          <w:sz w:val="14"/>
          <w:szCs w:val="14"/>
          <w:color w:val="auto"/>
        </w:rPr>
        <w:t>We work to develop new oil and gas supplies from major fields. For example, in 2014 we began production from the Gumusut-Kakap deep-water project in Malaysia, the Mars B and Cardamom developments in the deep-water Gulf of Mexico, USA, and the Bonga North West project off the coast of Nigeria. We also invest in expanding our integrated gas business. For example, in January 2014, we acquired a part of Repsol S.A.’s liquefied natural gas (LNG) portfolio, including supply positions in Peru and Trinidad and Tobago.</w:t>
      </w:r>
    </w:p>
    <w:p>
      <w:pPr>
        <w:spacing w:after="0" w:line="164" w:lineRule="exact"/>
        <w:rPr>
          <w:sz w:val="20"/>
          <w:szCs w:val="20"/>
          <w:color w:val="auto"/>
        </w:rPr>
      </w:pPr>
    </w:p>
    <w:p>
      <w:pPr>
        <w:ind w:right="20"/>
        <w:spacing w:after="0" w:line="243" w:lineRule="auto"/>
        <w:rPr>
          <w:sz w:val="20"/>
          <w:szCs w:val="20"/>
          <w:color w:val="auto"/>
        </w:rPr>
      </w:pPr>
      <w:r>
        <w:rPr>
          <w:rFonts w:ascii="Arial" w:cs="Arial" w:eastAsia="Arial" w:hAnsi="Arial"/>
          <w:sz w:val="14"/>
          <w:szCs w:val="14"/>
          <w:color w:val="auto"/>
        </w:rPr>
        <w:t>Our portfolio of refineries and chemical plants enables us to capture value from the oil and gas that we produce. Furthermore, we are a leading biofuel producer and fuel retailer in Brazil, through our Raízen joint venture. We have a strong retail position not only in the major industrialised countries, but also in developing countries. The distinctive Shell pecten, (a trademark in use since the early part of the 20th century), and trademarks in which the word Shell appears, help raise the profile of our brand globally. A strong patent portfolio underlies the technology that we employ in our various businesses. In total, Shell has more than 15,000 granted patents and pending patent applications.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-2875280</wp:posOffset>
            </wp:positionH>
            <wp:positionV relativeFrom="paragraph">
              <wp:posOffset>351790</wp:posOffset>
            </wp:positionV>
            <wp:extent cx="5676900" cy="357632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676900" cy="3576320"/>
                    </a:xfrm>
                    <a:prstGeom prst="rect">
                      <a:avLst/>
                    </a:prstGeom>
                    <a:noFill/>
                  </pic:spPr>
                </pic:pic>
              </a:graphicData>
            </a:graphic>
          </wp:anchor>
        </w:drawing>
      </w:r>
    </w:p>
    <w:p>
      <w:pPr>
        <w:sectPr>
          <w:pgSz w:w="11900" w:h="16838" w:orient="portrait"/>
          <w:cols w:equalWidth="0" w:num="2">
            <w:col w:w="5360" w:space="420"/>
            <w:col w:w="5480"/>
          </w:cols>
          <w:pgMar w:left="240" w:top="459" w:right="399" w:bottom="1440" w:gutter="0" w:footer="0" w:header="0"/>
          <w:type w:val="continuous"/>
        </w:sectPr>
      </w:pPr>
    </w:p>
    <w:bookmarkStart w:id="11" w:name="page12"/>
    <w:bookmarkEnd w:id="1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300355</wp:posOffset>
            </wp:positionV>
            <wp:extent cx="3490595" cy="46291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490595" cy="462915"/>
                    </a:xfrm>
                    <a:prstGeom prst="rect">
                      <a:avLst/>
                    </a:prstGeom>
                    <a:noFill/>
                  </pic:spPr>
                </pic:pic>
              </a:graphicData>
            </a:graphic>
          </wp:anchor>
        </w:drawing>
      </w:r>
    </w:p>
    <w:p>
      <w:pPr>
        <w:spacing w:after="0" w:line="200" w:lineRule="exact"/>
        <w:rPr>
          <w:sz w:val="20"/>
          <w:szCs w:val="20"/>
          <w:color w:val="auto"/>
        </w:rPr>
      </w:pP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419"/>
        </w:trPr>
        <w:tc>
          <w:tcPr>
            <w:tcW w:w="1920" w:type="dxa"/>
            <w:vAlign w:val="bottom"/>
            <w:shd w:val="clear" w:color="auto" w:fill="FF8B00"/>
          </w:tcPr>
          <w:p>
            <w:pPr>
              <w:spacing w:after="0"/>
              <w:rPr>
                <w:sz w:val="24"/>
                <w:szCs w:val="24"/>
                <w:color w:val="auto"/>
              </w:rPr>
            </w:pPr>
          </w:p>
        </w:tc>
        <w:tc>
          <w:tcPr>
            <w:tcW w:w="3580" w:type="dxa"/>
            <w:vAlign w:val="bottom"/>
            <w:shd w:val="clear" w:color="auto" w:fill="FF8B00"/>
          </w:tcPr>
          <w:p>
            <w:pPr>
              <w:spacing w:after="0"/>
              <w:rPr>
                <w:sz w:val="24"/>
                <w:szCs w:val="24"/>
                <w:color w:val="auto"/>
              </w:rPr>
            </w:pPr>
          </w:p>
        </w:tc>
      </w:tr>
      <w:tr>
        <w:trPr>
          <w:trHeight w:val="152"/>
        </w:trPr>
        <w:tc>
          <w:tcPr>
            <w:tcW w:w="1920" w:type="dxa"/>
            <w:vAlign w:val="bottom"/>
          </w:tcPr>
          <w:p>
            <w:pPr>
              <w:jc w:val="right"/>
              <w:ind w:right="1486"/>
              <w:spacing w:after="0"/>
              <w:rPr>
                <w:sz w:val="20"/>
                <w:szCs w:val="20"/>
                <w:color w:val="auto"/>
              </w:rPr>
            </w:pPr>
            <w:r>
              <w:rPr>
                <w:rFonts w:ascii="Arial" w:cs="Arial" w:eastAsia="Arial" w:hAnsi="Arial"/>
                <w:sz w:val="11"/>
                <w:szCs w:val="11"/>
                <w:b w:val="1"/>
                <w:bCs w:val="1"/>
                <w:color w:val="333333"/>
              </w:rPr>
              <w:t>10</w:t>
            </w:r>
          </w:p>
        </w:tc>
        <w:tc>
          <w:tcPr>
            <w:tcW w:w="3580" w:type="dxa"/>
            <w:vAlign w:val="bottom"/>
          </w:tcPr>
          <w:p>
            <w:pPr>
              <w:ind w:left="1540"/>
              <w:spacing w:after="0"/>
              <w:rPr>
                <w:sz w:val="20"/>
                <w:szCs w:val="20"/>
                <w:color w:val="auto"/>
              </w:rPr>
            </w:pPr>
            <w:r>
              <w:rPr>
                <w:rFonts w:ascii="Arial" w:cs="Arial" w:eastAsia="Arial" w:hAnsi="Arial"/>
                <w:sz w:val="13"/>
                <w:szCs w:val="13"/>
                <w:color w:val="333333"/>
              </w:rPr>
              <w:t>STRATEGIC REPORT</w:t>
            </w:r>
          </w:p>
        </w:tc>
      </w:tr>
    </w:tbl>
    <w:p>
      <w:pPr>
        <w:spacing w:after="0" w:line="155" w:lineRule="exact"/>
        <w:rPr>
          <w:sz w:val="20"/>
          <w:szCs w:val="20"/>
          <w:color w:val="auto"/>
        </w:rPr>
      </w:pPr>
    </w:p>
    <w:p>
      <w:pPr>
        <w:ind w:left="3560"/>
        <w:spacing w:after="0"/>
        <w:rPr>
          <w:sz w:val="20"/>
          <w:szCs w:val="20"/>
          <w:color w:val="auto"/>
        </w:rPr>
      </w:pPr>
      <w:r>
        <w:rPr>
          <w:rFonts w:ascii="Arial" w:cs="Arial" w:eastAsia="Arial" w:hAnsi="Arial"/>
          <w:sz w:val="11"/>
          <w:szCs w:val="11"/>
          <w:color w:val="auto"/>
        </w:rPr>
        <w:t>BUSINESS OVERVIEW</w:t>
      </w:r>
    </w:p>
    <w:p>
      <w:pPr>
        <w:spacing w:after="0" w:line="48" w:lineRule="exact"/>
        <w:rPr>
          <w:sz w:val="20"/>
          <w:szCs w:val="20"/>
          <w:color w:val="auto"/>
        </w:rPr>
      </w:pPr>
    </w:p>
    <w:p>
      <w:pPr>
        <w:spacing w:after="0"/>
        <w:rPr>
          <w:sz w:val="20"/>
          <w:szCs w:val="20"/>
          <w:color w:val="auto"/>
        </w:rPr>
      </w:pPr>
      <w:r>
        <w:rPr>
          <w:rFonts w:ascii="Arial" w:cs="Arial" w:eastAsia="Arial" w:hAnsi="Arial"/>
          <w:sz w:val="24"/>
          <w:szCs w:val="24"/>
          <w:color w:val="auto"/>
        </w:rPr>
        <w:t xml:space="preserve">BUSINESS OVERVIEW </w:t>
      </w:r>
      <w:r>
        <w:rPr>
          <w:rFonts w:ascii="Arial" w:cs="Arial" w:eastAsia="Arial" w:hAnsi="Arial"/>
          <w:sz w:val="24"/>
          <w:szCs w:val="24"/>
          <w:color w:val="666666"/>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347345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spacing w:after="0" w:line="193" w:lineRule="exact"/>
        <w:rPr>
          <w:sz w:val="20"/>
          <w:szCs w:val="20"/>
          <w:color w:val="auto"/>
        </w:rPr>
      </w:pPr>
    </w:p>
    <w:p>
      <w:pPr>
        <w:ind w:right="2500"/>
        <w:spacing w:after="0" w:line="359" w:lineRule="auto"/>
        <w:rPr>
          <w:sz w:val="20"/>
          <w:szCs w:val="20"/>
          <w:color w:val="auto"/>
        </w:rPr>
      </w:pPr>
      <w:r>
        <w:rPr>
          <w:rFonts w:ascii="Arial" w:cs="Arial" w:eastAsia="Arial" w:hAnsi="Arial"/>
          <w:sz w:val="17"/>
          <w:szCs w:val="17"/>
          <w:color w:val="auto"/>
        </w:rPr>
        <w:t>BUSINESSES AND ORGANISATION Upstream International</w:t>
      </w:r>
    </w:p>
    <w:p>
      <w:pPr>
        <w:spacing w:after="0" w:line="2" w:lineRule="exact"/>
        <w:rPr>
          <w:sz w:val="20"/>
          <w:szCs w:val="20"/>
          <w:color w:val="auto"/>
        </w:rPr>
      </w:pPr>
    </w:p>
    <w:p>
      <w:pPr>
        <w:ind w:right="60"/>
        <w:spacing w:after="0" w:line="243" w:lineRule="auto"/>
        <w:rPr>
          <w:sz w:val="20"/>
          <w:szCs w:val="20"/>
          <w:color w:val="auto"/>
        </w:rPr>
      </w:pPr>
      <w:r>
        <w:rPr>
          <w:rFonts w:ascii="Arial" w:cs="Arial" w:eastAsia="Arial" w:hAnsi="Arial"/>
          <w:sz w:val="14"/>
          <w:szCs w:val="14"/>
          <w:color w:val="auto"/>
        </w:rPr>
        <w:t>Our Upstream International business manages Shell’s Upstream activities outside the Americas. It explores for and recovers crude oil, natural gas and natural gas liquids, transports oil and gas, and operates the upstream and midstream infrastructure necessary to deliver oil and gas to market. Upstream International also manages the LNG and GTL businesses outside the Americas, and markets and trades natural gas, including LNG, outside the Americas. It manages its operations primarily by line of business, with this structure overlaying country organisations. This organisation is supported by activities such as Exploration and New Business Development.</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color w:val="auto"/>
        </w:rPr>
        <w:t>Upstream Americas</w:t>
      </w:r>
    </w:p>
    <w:p>
      <w:pPr>
        <w:spacing w:after="0" w:line="1" w:lineRule="exact"/>
        <w:rPr>
          <w:sz w:val="20"/>
          <w:szCs w:val="20"/>
          <w:color w:val="auto"/>
        </w:rPr>
      </w:pPr>
    </w:p>
    <w:p>
      <w:pPr>
        <w:ind w:right="60"/>
        <w:spacing w:after="0" w:line="243" w:lineRule="auto"/>
        <w:rPr>
          <w:sz w:val="20"/>
          <w:szCs w:val="20"/>
          <w:color w:val="auto"/>
        </w:rPr>
      </w:pPr>
      <w:r>
        <w:rPr>
          <w:rFonts w:ascii="Arial" w:cs="Arial" w:eastAsia="Arial" w:hAnsi="Arial"/>
          <w:sz w:val="14"/>
          <w:szCs w:val="14"/>
          <w:color w:val="auto"/>
        </w:rPr>
        <w:t>Our Upstream Americas business manages Shell’s Upstream activities in North and South America. It explores for and recovers crude oil, natural gas and natural gas liquids, transports oil and gas and operates the upstream and midstream infrastructure necessary to deliver oil and gas to market. Upstream Americas also extracts bitumen from oil sands that is converted into synthetic crude oil. It manages the LNG business in the Americas, including assets in Peru and Trinidad and Tobago acquired in 2014. It also markets and trades natural gas in the Americas. Additionally, it manages the US-based wind business. It manages its operations by line of business, supported by activities such as Exploration and New Business Development.</w:t>
      </w: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color w:val="auto"/>
        </w:rPr>
        <w:t>Downstream</w:t>
      </w:r>
    </w:p>
    <w:p>
      <w:pPr>
        <w:spacing w:after="0" w:line="1" w:lineRule="exact"/>
        <w:rPr>
          <w:sz w:val="20"/>
          <w:szCs w:val="20"/>
          <w:color w:val="auto"/>
        </w:rPr>
      </w:pPr>
    </w:p>
    <w:p>
      <w:pPr>
        <w:ind w:right="20"/>
        <w:spacing w:after="0" w:line="243" w:lineRule="auto"/>
        <w:rPr>
          <w:sz w:val="20"/>
          <w:szCs w:val="20"/>
          <w:color w:val="auto"/>
        </w:rPr>
      </w:pPr>
      <w:r>
        <w:rPr>
          <w:rFonts w:ascii="Arial" w:cs="Arial" w:eastAsia="Arial" w:hAnsi="Arial"/>
          <w:sz w:val="14"/>
          <w:szCs w:val="14"/>
          <w:color w:val="auto"/>
        </w:rPr>
        <w:t>Our Downstream business manages Shell’s refining and marketing activities for oil products and chemicals. These activities are organised into globally managed classes of business. Refining includes manufacturing, supply and shipping of crude oil. Marketing sells a range of products including fuels, lubricants, bitumen and liquefied petroleum gas (LPG) for home, transport and industrial use. Chemicals produces and markets petrochemicals for industrial customers, including the raw materials for plastics, coatings and detergents. Downstream also trades Shell’s hydrocarbons and other energy-related products, supplies the Downstream businesses and provides shipping services. Additionally, Downstream oversees Shell’s interests in alternative energy (including biofuels but excluding wind).</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auto"/>
        </w:rPr>
        <w:t>Projects &amp; Technology</w:t>
      </w:r>
    </w:p>
    <w:p>
      <w:pPr>
        <w:spacing w:after="0" w:line="1" w:lineRule="exact"/>
        <w:rPr>
          <w:sz w:val="20"/>
          <w:szCs w:val="20"/>
          <w:color w:val="auto"/>
        </w:rPr>
      </w:pPr>
    </w:p>
    <w:p>
      <w:pPr>
        <w:ind w:right="20"/>
        <w:spacing w:after="0" w:line="244" w:lineRule="auto"/>
        <w:rPr>
          <w:sz w:val="20"/>
          <w:szCs w:val="20"/>
          <w:color w:val="auto"/>
        </w:rPr>
      </w:pPr>
      <w:r>
        <w:rPr>
          <w:rFonts w:ascii="Arial" w:cs="Arial" w:eastAsia="Arial" w:hAnsi="Arial"/>
          <w:sz w:val="14"/>
          <w:szCs w:val="14"/>
          <w:color w:val="auto"/>
        </w:rPr>
        <w:t>Our Projects &amp; Technology organisation manages the delivery of Shell’s major projects and drives research and innovation to create technology solutions. It provides technical services and technology capability covering both Upstream and Downstream activities. It is also responsible for providing functional leadership across Shell in the areas of safety and environment, contracting and procurement, and for all wells activities and CO</w:t>
      </w:r>
      <w:r>
        <w:rPr>
          <w:rFonts w:ascii="Arial" w:cs="Arial" w:eastAsia="Arial" w:hAnsi="Arial"/>
          <w:sz w:val="12"/>
          <w:szCs w:val="12"/>
          <w:color w:val="auto"/>
        </w:rPr>
        <w:t>2</w:t>
      </w:r>
      <w:r>
        <w:rPr>
          <w:rFonts w:ascii="Arial" w:cs="Arial" w:eastAsia="Arial" w:hAnsi="Arial"/>
          <w:sz w:val="14"/>
          <w:szCs w:val="14"/>
          <w:color w:val="auto"/>
        </w:rPr>
        <w:t xml:space="preserve"> management.</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color w:val="auto"/>
        </w:rPr>
        <w:t>SEGMENTAL REPORTING</w:t>
      </w:r>
    </w:p>
    <w:p>
      <w:pPr>
        <w:spacing w:after="0" w:line="1" w:lineRule="exact"/>
        <w:rPr>
          <w:sz w:val="20"/>
          <w:szCs w:val="20"/>
          <w:color w:val="auto"/>
        </w:rPr>
      </w:pPr>
    </w:p>
    <w:p>
      <w:pPr>
        <w:ind w:right="160"/>
        <w:spacing w:after="0" w:line="245" w:lineRule="auto"/>
        <w:rPr>
          <w:sz w:val="20"/>
          <w:szCs w:val="20"/>
          <w:color w:val="auto"/>
        </w:rPr>
      </w:pPr>
      <w:r>
        <w:rPr>
          <w:rFonts w:ascii="Arial" w:cs="Arial" w:eastAsia="Arial" w:hAnsi="Arial"/>
          <w:sz w:val="14"/>
          <w:szCs w:val="14"/>
          <w:color w:val="auto"/>
        </w:rPr>
        <w:t>Our reporting segments are Upstream, Downstream and Corporate. Upstream combines the operating segments Upstream International and Upstream Americas. Upstream and Downstream earnings include their respective elements of Projects &amp; Technology and of trading activities. Corporate comprises Shell’s holdings and treasury organisation,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left="3240"/>
        <w:spacing w:after="0"/>
        <w:rPr>
          <w:sz w:val="20"/>
          <w:szCs w:val="20"/>
          <w:color w:val="auto"/>
        </w:rPr>
      </w:pPr>
      <w:r>
        <w:rPr>
          <w:rFonts w:ascii="Arial" w:cs="Arial" w:eastAsia="Arial" w:hAnsi="Arial"/>
          <w:sz w:val="10"/>
          <w:szCs w:val="10"/>
          <w:color w:val="auto"/>
        </w:rPr>
        <w:t>SHELL ANNUAL REPORT AND FORM 20-F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-3677285</wp:posOffset>
            </wp:positionH>
            <wp:positionV relativeFrom="paragraph">
              <wp:posOffset>-1167765</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49" w:lineRule="exact"/>
        <w:rPr>
          <w:sz w:val="20"/>
          <w:szCs w:val="20"/>
          <w:color w:val="auto"/>
        </w:rPr>
      </w:pPr>
    </w:p>
    <w:p>
      <w:pPr>
        <w:spacing w:after="0"/>
        <w:rPr>
          <w:sz w:val="20"/>
          <w:szCs w:val="20"/>
          <w:color w:val="auto"/>
        </w:rPr>
      </w:pPr>
      <w:r>
        <w:rPr>
          <w:rFonts w:ascii="Arial" w:cs="Arial" w:eastAsia="Arial" w:hAnsi="Arial"/>
          <w:sz w:val="14"/>
          <w:szCs w:val="14"/>
          <w:color w:val="auto"/>
        </w:rPr>
        <w:t>including its self-insurance activities as well as its headquarters and central functions.</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See Note 2 to the “Consolidated Financial Statements”.</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3240" w:type="dxa"/>
            <w:vAlign w:val="bottom"/>
            <w:gridSpan w:val="2"/>
            <w:shd w:val="clear" w:color="auto" w:fill="333333"/>
          </w:tcPr>
          <w:p>
            <w:pPr>
              <w:ind w:left="60"/>
              <w:spacing w:after="0"/>
              <w:rPr>
                <w:sz w:val="20"/>
                <w:szCs w:val="20"/>
                <w:color w:val="auto"/>
              </w:rPr>
            </w:pPr>
            <w:r>
              <w:rPr>
                <w:rFonts w:ascii="Arial" w:cs="Arial" w:eastAsia="Arial" w:hAnsi="Arial"/>
                <w:sz w:val="15"/>
                <w:szCs w:val="15"/>
                <w:b w:val="1"/>
                <w:bCs w:val="1"/>
                <w:color w:val="FFFFFF"/>
              </w:rPr>
              <w:t>REVENUE BY BUSINESS SEGMENT</w:t>
            </w:r>
          </w:p>
        </w:tc>
        <w:tc>
          <w:tcPr>
            <w:tcW w:w="1240" w:type="dxa"/>
            <w:vAlign w:val="bottom"/>
            <w:shd w:val="clear" w:color="auto" w:fill="333333"/>
          </w:tcPr>
          <w:p>
            <w:pPr>
              <w:spacing w:after="0"/>
              <w:rPr>
                <w:sz w:val="14"/>
                <w:szCs w:val="14"/>
                <w:color w:val="auto"/>
              </w:rPr>
            </w:pPr>
          </w:p>
        </w:tc>
        <w:tc>
          <w:tcPr>
            <w:tcW w:w="1000" w:type="dxa"/>
            <w:vAlign w:val="bottom"/>
            <w:shd w:val="clear" w:color="auto" w:fill="333333"/>
          </w:tcPr>
          <w:p>
            <w:pPr>
              <w:spacing w:after="0"/>
              <w:rPr>
                <w:sz w:val="14"/>
                <w:szCs w:val="14"/>
                <w:color w:val="auto"/>
              </w:rPr>
            </w:pPr>
          </w:p>
        </w:tc>
      </w:tr>
      <w:tr>
        <w:trPr>
          <w:trHeight w:val="179"/>
        </w:trPr>
        <w:tc>
          <w:tcPr>
            <w:tcW w:w="3240" w:type="dxa"/>
            <w:vAlign w:val="bottom"/>
            <w:gridSpan w:val="2"/>
            <w:shd w:val="clear" w:color="auto" w:fill="333333"/>
          </w:tcPr>
          <w:p>
            <w:pPr>
              <w:ind w:left="60"/>
              <w:spacing w:after="0"/>
              <w:rPr>
                <w:sz w:val="20"/>
                <w:szCs w:val="20"/>
                <w:color w:val="auto"/>
              </w:rPr>
            </w:pPr>
            <w:r>
              <w:rPr>
                <w:rFonts w:ascii="Arial" w:cs="Arial" w:eastAsia="Arial" w:hAnsi="Arial"/>
                <w:sz w:val="15"/>
                <w:szCs w:val="15"/>
                <w:color w:val="FFFFFF"/>
              </w:rPr>
              <w:t>(INCLUDING INTER-SEGMENT SALES)</w:t>
            </w:r>
          </w:p>
        </w:tc>
        <w:tc>
          <w:tcPr>
            <w:tcW w:w="1240" w:type="dxa"/>
            <w:vAlign w:val="bottom"/>
            <w:shd w:val="clear" w:color="auto" w:fill="333333"/>
          </w:tcPr>
          <w:p>
            <w:pPr>
              <w:spacing w:after="0"/>
              <w:rPr>
                <w:sz w:val="15"/>
                <w:szCs w:val="15"/>
                <w:color w:val="auto"/>
              </w:rPr>
            </w:pPr>
          </w:p>
        </w:tc>
        <w:tc>
          <w:tcPr>
            <w:tcW w:w="1000" w:type="dxa"/>
            <w:vAlign w:val="bottom"/>
            <w:shd w:val="clear" w:color="auto" w:fill="333333"/>
          </w:tcPr>
          <w:p>
            <w:pPr>
              <w:jc w:val="right"/>
              <w:ind w:right="28"/>
              <w:spacing w:after="0"/>
              <w:rPr>
                <w:sz w:val="20"/>
                <w:szCs w:val="20"/>
                <w:color w:val="auto"/>
              </w:rPr>
            </w:pPr>
            <w:r>
              <w:rPr>
                <w:rFonts w:ascii="Arial" w:cs="Arial" w:eastAsia="Arial" w:hAnsi="Arial"/>
                <w:sz w:val="15"/>
                <w:szCs w:val="15"/>
                <w:color w:val="FFFFFF"/>
              </w:rPr>
              <w:t>$ MILLION</w:t>
            </w:r>
          </w:p>
        </w:tc>
      </w:tr>
      <w:tr>
        <w:trPr>
          <w:trHeight w:val="149"/>
        </w:trPr>
        <w:tc>
          <w:tcPr>
            <w:tcW w:w="226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shd w:val="clear" w:color="auto" w:fill="D8D8D8"/>
          </w:tcPr>
          <w:p>
            <w:pPr>
              <w:jc w:val="right"/>
              <w:ind w:right="149"/>
              <w:spacing w:after="0"/>
              <w:rPr>
                <w:sz w:val="20"/>
                <w:szCs w:val="20"/>
                <w:color w:val="auto"/>
              </w:rPr>
            </w:pPr>
            <w:r>
              <w:rPr>
                <w:rFonts w:ascii="Arial" w:cs="Arial" w:eastAsia="Arial" w:hAnsi="Arial"/>
                <w:sz w:val="13"/>
                <w:szCs w:val="13"/>
                <w:color w:val="auto"/>
              </w:rPr>
              <w:t>2014</w:t>
            </w:r>
          </w:p>
        </w:tc>
        <w:tc>
          <w:tcPr>
            <w:tcW w:w="1240" w:type="dxa"/>
            <w:vAlign w:val="bottom"/>
            <w:tcBorders>
              <w:bottom w:val="single" w:sz="8" w:color="auto"/>
            </w:tcBorders>
          </w:tcPr>
          <w:p>
            <w:pPr>
              <w:jc w:val="right"/>
              <w:ind w:right="49"/>
              <w:spacing w:after="0"/>
              <w:rPr>
                <w:sz w:val="20"/>
                <w:szCs w:val="20"/>
                <w:color w:val="auto"/>
              </w:rPr>
            </w:pPr>
            <w:r>
              <w:rPr>
                <w:rFonts w:ascii="Arial" w:cs="Arial" w:eastAsia="Arial" w:hAnsi="Arial"/>
                <w:sz w:val="13"/>
                <w:szCs w:val="13"/>
                <w:color w:val="auto"/>
              </w:rPr>
              <w:t>2013</w:t>
            </w:r>
          </w:p>
        </w:tc>
        <w:tc>
          <w:tcPr>
            <w:tcW w:w="1000" w:type="dxa"/>
            <w:vAlign w:val="bottom"/>
            <w:tcBorders>
              <w:bottom w:val="single" w:sz="8" w:color="auto"/>
            </w:tcBorders>
          </w:tcPr>
          <w:p>
            <w:pPr>
              <w:jc w:val="right"/>
              <w:ind w:right="148"/>
              <w:spacing w:after="0"/>
              <w:rPr>
                <w:sz w:val="20"/>
                <w:szCs w:val="20"/>
                <w:color w:val="auto"/>
              </w:rPr>
            </w:pPr>
            <w:r>
              <w:rPr>
                <w:rFonts w:ascii="Arial" w:cs="Arial" w:eastAsia="Arial" w:hAnsi="Arial"/>
                <w:sz w:val="13"/>
                <w:szCs w:val="13"/>
                <w:color w:val="auto"/>
              </w:rPr>
              <w:t>2012</w:t>
            </w:r>
          </w:p>
        </w:tc>
      </w:tr>
      <w:tr>
        <w:trPr>
          <w:trHeight w:val="156"/>
        </w:trPr>
        <w:tc>
          <w:tcPr>
            <w:tcW w:w="2260" w:type="dxa"/>
            <w:vAlign w:val="bottom"/>
          </w:tcPr>
          <w:p>
            <w:pPr>
              <w:spacing w:after="0" w:line="155" w:lineRule="exact"/>
              <w:rPr>
                <w:sz w:val="20"/>
                <w:szCs w:val="20"/>
                <w:color w:val="auto"/>
              </w:rPr>
            </w:pPr>
            <w:r>
              <w:rPr>
                <w:rFonts w:ascii="Arial" w:cs="Arial" w:eastAsia="Arial" w:hAnsi="Arial"/>
                <w:sz w:val="14"/>
                <w:szCs w:val="14"/>
                <w:color w:val="auto"/>
              </w:rPr>
              <w:t>Upstream</w:t>
            </w:r>
          </w:p>
        </w:tc>
        <w:tc>
          <w:tcPr>
            <w:tcW w:w="980" w:type="dxa"/>
            <w:vAlign w:val="bottom"/>
            <w:shd w:val="clear" w:color="auto" w:fill="D8D8D8"/>
          </w:tcPr>
          <w:p>
            <w:pPr>
              <w:spacing w:after="0"/>
              <w:rPr>
                <w:sz w:val="13"/>
                <w:szCs w:val="13"/>
                <w:color w:val="auto"/>
              </w:rPr>
            </w:pPr>
          </w:p>
        </w:tc>
        <w:tc>
          <w:tcPr>
            <w:tcW w:w="1240" w:type="dxa"/>
            <w:vAlign w:val="bottom"/>
          </w:tcPr>
          <w:p>
            <w:pPr>
              <w:spacing w:after="0"/>
              <w:rPr>
                <w:sz w:val="13"/>
                <w:szCs w:val="13"/>
                <w:color w:val="auto"/>
              </w:rPr>
            </w:pPr>
          </w:p>
        </w:tc>
        <w:tc>
          <w:tcPr>
            <w:tcW w:w="1000" w:type="dxa"/>
            <w:vAlign w:val="bottom"/>
          </w:tcPr>
          <w:p>
            <w:pPr>
              <w:spacing w:after="0"/>
              <w:rPr>
                <w:sz w:val="13"/>
                <w:szCs w:val="13"/>
                <w:color w:val="auto"/>
              </w:rPr>
            </w:pPr>
          </w:p>
        </w:tc>
      </w:tr>
      <w:tr>
        <w:trPr>
          <w:trHeight w:val="162"/>
        </w:trPr>
        <w:tc>
          <w:tcPr>
            <w:tcW w:w="2260" w:type="dxa"/>
            <w:vAlign w:val="bottom"/>
          </w:tcPr>
          <w:p>
            <w:pPr>
              <w:ind w:left="140"/>
              <w:spacing w:after="0"/>
              <w:rPr>
                <w:sz w:val="20"/>
                <w:szCs w:val="20"/>
                <w:color w:val="auto"/>
              </w:rPr>
            </w:pPr>
            <w:r>
              <w:rPr>
                <w:rFonts w:ascii="Arial" w:cs="Arial" w:eastAsia="Arial" w:hAnsi="Arial"/>
                <w:sz w:val="14"/>
                <w:szCs w:val="14"/>
                <w:color w:val="auto"/>
              </w:rPr>
              <w:t>Third parties</w:t>
            </w:r>
          </w:p>
        </w:tc>
        <w:tc>
          <w:tcPr>
            <w:tcW w:w="980" w:type="dxa"/>
            <w:vAlign w:val="bottom"/>
            <w:shd w:val="clear" w:color="auto" w:fill="D8D8D8"/>
          </w:tcPr>
          <w:p>
            <w:pPr>
              <w:jc w:val="right"/>
              <w:ind w:right="149"/>
              <w:spacing w:after="0"/>
              <w:rPr>
                <w:sz w:val="20"/>
                <w:szCs w:val="20"/>
                <w:color w:val="auto"/>
              </w:rPr>
            </w:pPr>
            <w:r>
              <w:rPr>
                <w:rFonts w:ascii="Arial" w:cs="Arial" w:eastAsia="Arial" w:hAnsi="Arial"/>
                <w:sz w:val="14"/>
                <w:szCs w:val="14"/>
                <w:color w:val="auto"/>
              </w:rPr>
              <w:t>45,240</w:t>
            </w:r>
          </w:p>
        </w:tc>
        <w:tc>
          <w:tcPr>
            <w:tcW w:w="1240" w:type="dxa"/>
            <w:vAlign w:val="bottom"/>
          </w:tcPr>
          <w:p>
            <w:pPr>
              <w:jc w:val="right"/>
              <w:ind w:right="49"/>
              <w:spacing w:after="0"/>
              <w:rPr>
                <w:sz w:val="20"/>
                <w:szCs w:val="20"/>
                <w:color w:val="auto"/>
              </w:rPr>
            </w:pPr>
            <w:r>
              <w:rPr>
                <w:rFonts w:ascii="Arial" w:cs="Arial" w:eastAsia="Arial" w:hAnsi="Arial"/>
                <w:sz w:val="14"/>
                <w:szCs w:val="14"/>
                <w:color w:val="auto"/>
              </w:rPr>
              <w:t>47,357</w:t>
            </w:r>
          </w:p>
        </w:tc>
        <w:tc>
          <w:tcPr>
            <w:tcW w:w="1000" w:type="dxa"/>
            <w:vAlign w:val="bottom"/>
          </w:tcPr>
          <w:p>
            <w:pPr>
              <w:jc w:val="right"/>
              <w:ind w:right="148"/>
              <w:spacing w:after="0"/>
              <w:rPr>
                <w:sz w:val="20"/>
                <w:szCs w:val="20"/>
                <w:color w:val="auto"/>
              </w:rPr>
            </w:pPr>
            <w:r>
              <w:rPr>
                <w:rFonts w:ascii="Arial" w:cs="Arial" w:eastAsia="Arial" w:hAnsi="Arial"/>
                <w:sz w:val="14"/>
                <w:szCs w:val="14"/>
                <w:color w:val="auto"/>
              </w:rPr>
              <w:t>43,431</w:t>
            </w:r>
          </w:p>
        </w:tc>
      </w:tr>
      <w:tr>
        <w:trPr>
          <w:trHeight w:val="162"/>
        </w:trPr>
        <w:tc>
          <w:tcPr>
            <w:tcW w:w="2260" w:type="dxa"/>
            <w:vAlign w:val="bottom"/>
            <w:tcBorders>
              <w:bottom w:val="single" w:sz="8" w:color="auto"/>
            </w:tcBorders>
          </w:tcPr>
          <w:p>
            <w:pPr>
              <w:ind w:left="140"/>
              <w:spacing w:after="0"/>
              <w:rPr>
                <w:sz w:val="20"/>
                <w:szCs w:val="20"/>
                <w:color w:val="auto"/>
              </w:rPr>
            </w:pPr>
            <w:r>
              <w:rPr>
                <w:rFonts w:ascii="Arial" w:cs="Arial" w:eastAsia="Arial" w:hAnsi="Arial"/>
                <w:sz w:val="14"/>
                <w:szCs w:val="14"/>
                <w:color w:val="auto"/>
              </w:rPr>
              <w:t>Inter-segment</w:t>
            </w:r>
          </w:p>
        </w:tc>
        <w:tc>
          <w:tcPr>
            <w:tcW w:w="980" w:type="dxa"/>
            <w:vAlign w:val="bottom"/>
            <w:tcBorders>
              <w:bottom w:val="single" w:sz="8" w:color="auto"/>
            </w:tcBorders>
            <w:shd w:val="clear" w:color="auto" w:fill="D8D8D8"/>
          </w:tcPr>
          <w:p>
            <w:pPr>
              <w:jc w:val="right"/>
              <w:ind w:right="149"/>
              <w:spacing w:after="0"/>
              <w:rPr>
                <w:sz w:val="20"/>
                <w:szCs w:val="20"/>
                <w:color w:val="auto"/>
              </w:rPr>
            </w:pPr>
            <w:r>
              <w:rPr>
                <w:rFonts w:ascii="Arial" w:cs="Arial" w:eastAsia="Arial" w:hAnsi="Arial"/>
                <w:sz w:val="14"/>
                <w:szCs w:val="14"/>
                <w:color w:val="auto"/>
              </w:rPr>
              <w:t>47,059</w:t>
            </w:r>
          </w:p>
        </w:tc>
        <w:tc>
          <w:tcPr>
            <w:tcW w:w="124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45,512</w:t>
            </w:r>
          </w:p>
        </w:tc>
        <w:tc>
          <w:tcPr>
            <w:tcW w:w="100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51,119</w:t>
            </w:r>
          </w:p>
        </w:tc>
      </w:tr>
      <w:tr>
        <w:trPr>
          <w:trHeight w:val="156"/>
        </w:trPr>
        <w:tc>
          <w:tcPr>
            <w:tcW w:w="2260" w:type="dxa"/>
            <w:vAlign w:val="bottom"/>
            <w:tcBorders>
              <w:bottom w:val="single" w:sz="8" w:color="auto"/>
            </w:tcBorders>
          </w:tcPr>
          <w:p>
            <w:pPr>
              <w:spacing w:after="0" w:line="155" w:lineRule="exact"/>
              <w:rPr>
                <w:sz w:val="20"/>
                <w:szCs w:val="20"/>
                <w:color w:val="auto"/>
              </w:rPr>
            </w:pPr>
            <w:r>
              <w:rPr>
                <w:rFonts w:ascii="Arial" w:cs="Arial" w:eastAsia="Arial" w:hAnsi="Arial"/>
                <w:sz w:val="14"/>
                <w:szCs w:val="14"/>
                <w:color w:val="auto"/>
              </w:rPr>
              <w:t>Total</w:t>
            </w:r>
          </w:p>
        </w:tc>
        <w:tc>
          <w:tcPr>
            <w:tcW w:w="980" w:type="dxa"/>
            <w:vAlign w:val="bottom"/>
            <w:tcBorders>
              <w:bottom w:val="single" w:sz="8" w:color="auto"/>
            </w:tcBorders>
            <w:shd w:val="clear" w:color="auto" w:fill="D8D8D8"/>
          </w:tcPr>
          <w:p>
            <w:pPr>
              <w:jc w:val="right"/>
              <w:ind w:right="149"/>
              <w:spacing w:after="0" w:line="155" w:lineRule="exact"/>
              <w:rPr>
                <w:sz w:val="20"/>
                <w:szCs w:val="20"/>
                <w:color w:val="auto"/>
              </w:rPr>
            </w:pPr>
            <w:r>
              <w:rPr>
                <w:rFonts w:ascii="Arial" w:cs="Arial" w:eastAsia="Arial" w:hAnsi="Arial"/>
                <w:sz w:val="14"/>
                <w:szCs w:val="14"/>
                <w:color w:val="auto"/>
              </w:rPr>
              <w:t>92,299</w:t>
            </w:r>
          </w:p>
        </w:tc>
        <w:tc>
          <w:tcPr>
            <w:tcW w:w="1240" w:type="dxa"/>
            <w:vAlign w:val="bottom"/>
            <w:tcBorders>
              <w:bottom w:val="single" w:sz="8" w:color="auto"/>
            </w:tcBorders>
          </w:tcPr>
          <w:p>
            <w:pPr>
              <w:jc w:val="right"/>
              <w:ind w:right="49"/>
              <w:spacing w:after="0" w:line="155" w:lineRule="exact"/>
              <w:rPr>
                <w:sz w:val="20"/>
                <w:szCs w:val="20"/>
                <w:color w:val="auto"/>
              </w:rPr>
            </w:pPr>
            <w:r>
              <w:rPr>
                <w:rFonts w:ascii="Arial" w:cs="Arial" w:eastAsia="Arial" w:hAnsi="Arial"/>
                <w:sz w:val="14"/>
                <w:szCs w:val="14"/>
                <w:color w:val="auto"/>
              </w:rPr>
              <w:t>92,869</w:t>
            </w:r>
          </w:p>
        </w:tc>
        <w:tc>
          <w:tcPr>
            <w:tcW w:w="1000" w:type="dxa"/>
            <w:vAlign w:val="bottom"/>
            <w:tcBorders>
              <w:bottom w:val="single" w:sz="8" w:color="auto"/>
            </w:tcBorders>
          </w:tcPr>
          <w:p>
            <w:pPr>
              <w:jc w:val="right"/>
              <w:ind w:right="148"/>
              <w:spacing w:after="0" w:line="155" w:lineRule="exact"/>
              <w:rPr>
                <w:sz w:val="20"/>
                <w:szCs w:val="20"/>
                <w:color w:val="auto"/>
              </w:rPr>
            </w:pPr>
            <w:r>
              <w:rPr>
                <w:rFonts w:ascii="Arial" w:cs="Arial" w:eastAsia="Arial" w:hAnsi="Arial"/>
                <w:sz w:val="14"/>
                <w:szCs w:val="14"/>
                <w:color w:val="auto"/>
              </w:rPr>
              <w:t>94,550</w:t>
            </w:r>
          </w:p>
        </w:tc>
      </w:tr>
      <w:tr>
        <w:trPr>
          <w:trHeight w:val="156"/>
        </w:trPr>
        <w:tc>
          <w:tcPr>
            <w:tcW w:w="2260" w:type="dxa"/>
            <w:vAlign w:val="bottom"/>
          </w:tcPr>
          <w:p>
            <w:pPr>
              <w:spacing w:after="0" w:line="155" w:lineRule="exact"/>
              <w:rPr>
                <w:sz w:val="20"/>
                <w:szCs w:val="20"/>
                <w:color w:val="auto"/>
              </w:rPr>
            </w:pPr>
            <w:r>
              <w:rPr>
                <w:rFonts w:ascii="Arial" w:cs="Arial" w:eastAsia="Arial" w:hAnsi="Arial"/>
                <w:sz w:val="14"/>
                <w:szCs w:val="14"/>
                <w:color w:val="auto"/>
              </w:rPr>
              <w:t>Downstream</w:t>
            </w:r>
          </w:p>
        </w:tc>
        <w:tc>
          <w:tcPr>
            <w:tcW w:w="980" w:type="dxa"/>
            <w:vAlign w:val="bottom"/>
            <w:shd w:val="clear" w:color="auto" w:fill="D8D8D8"/>
          </w:tcPr>
          <w:p>
            <w:pPr>
              <w:spacing w:after="0"/>
              <w:rPr>
                <w:sz w:val="13"/>
                <w:szCs w:val="13"/>
                <w:color w:val="auto"/>
              </w:rPr>
            </w:pPr>
          </w:p>
        </w:tc>
        <w:tc>
          <w:tcPr>
            <w:tcW w:w="1240" w:type="dxa"/>
            <w:vAlign w:val="bottom"/>
          </w:tcPr>
          <w:p>
            <w:pPr>
              <w:spacing w:after="0"/>
              <w:rPr>
                <w:sz w:val="13"/>
                <w:szCs w:val="13"/>
                <w:color w:val="auto"/>
              </w:rPr>
            </w:pPr>
          </w:p>
        </w:tc>
        <w:tc>
          <w:tcPr>
            <w:tcW w:w="1000" w:type="dxa"/>
            <w:vAlign w:val="bottom"/>
          </w:tcPr>
          <w:p>
            <w:pPr>
              <w:spacing w:after="0"/>
              <w:rPr>
                <w:sz w:val="13"/>
                <w:szCs w:val="13"/>
                <w:color w:val="auto"/>
              </w:rPr>
            </w:pPr>
          </w:p>
        </w:tc>
      </w:tr>
      <w:tr>
        <w:trPr>
          <w:trHeight w:val="162"/>
        </w:trPr>
        <w:tc>
          <w:tcPr>
            <w:tcW w:w="2260" w:type="dxa"/>
            <w:vAlign w:val="bottom"/>
          </w:tcPr>
          <w:p>
            <w:pPr>
              <w:ind w:left="140"/>
              <w:spacing w:after="0"/>
              <w:rPr>
                <w:sz w:val="20"/>
                <w:szCs w:val="20"/>
                <w:color w:val="auto"/>
              </w:rPr>
            </w:pPr>
            <w:r>
              <w:rPr>
                <w:rFonts w:ascii="Arial" w:cs="Arial" w:eastAsia="Arial" w:hAnsi="Arial"/>
                <w:sz w:val="14"/>
                <w:szCs w:val="14"/>
                <w:color w:val="auto"/>
              </w:rPr>
              <w:t>Third parties</w:t>
            </w:r>
          </w:p>
        </w:tc>
        <w:tc>
          <w:tcPr>
            <w:tcW w:w="980" w:type="dxa"/>
            <w:vAlign w:val="bottom"/>
            <w:shd w:val="clear" w:color="auto" w:fill="D8D8D8"/>
          </w:tcPr>
          <w:p>
            <w:pPr>
              <w:jc w:val="right"/>
              <w:ind w:right="89"/>
              <w:spacing w:after="0"/>
              <w:rPr>
                <w:sz w:val="20"/>
                <w:szCs w:val="20"/>
                <w:color w:val="auto"/>
              </w:rPr>
            </w:pPr>
            <w:r>
              <w:rPr>
                <w:rFonts w:ascii="Arial" w:cs="Arial" w:eastAsia="Arial" w:hAnsi="Arial"/>
                <w:sz w:val="14"/>
                <w:szCs w:val="14"/>
                <w:color w:val="auto"/>
              </w:rPr>
              <w:t>375,752</w:t>
            </w:r>
          </w:p>
        </w:tc>
        <w:tc>
          <w:tcPr>
            <w:tcW w:w="1240" w:type="dxa"/>
            <w:vAlign w:val="bottom"/>
          </w:tcPr>
          <w:p>
            <w:pPr>
              <w:jc w:val="right"/>
              <w:ind w:right="49"/>
              <w:spacing w:after="0"/>
              <w:rPr>
                <w:sz w:val="20"/>
                <w:szCs w:val="20"/>
                <w:color w:val="auto"/>
              </w:rPr>
            </w:pPr>
            <w:r>
              <w:rPr>
                <w:rFonts w:ascii="Arial" w:cs="Arial" w:eastAsia="Arial" w:hAnsi="Arial"/>
                <w:sz w:val="14"/>
                <w:szCs w:val="14"/>
                <w:color w:val="auto"/>
              </w:rPr>
              <w:t>403,725</w:t>
            </w:r>
          </w:p>
        </w:tc>
        <w:tc>
          <w:tcPr>
            <w:tcW w:w="1000" w:type="dxa"/>
            <w:vAlign w:val="bottom"/>
          </w:tcPr>
          <w:p>
            <w:pPr>
              <w:jc w:val="right"/>
              <w:ind w:right="88"/>
              <w:spacing w:after="0"/>
              <w:rPr>
                <w:sz w:val="20"/>
                <w:szCs w:val="20"/>
                <w:color w:val="auto"/>
              </w:rPr>
            </w:pPr>
            <w:r>
              <w:rPr>
                <w:rFonts w:ascii="Arial" w:cs="Arial" w:eastAsia="Arial" w:hAnsi="Arial"/>
                <w:sz w:val="14"/>
                <w:szCs w:val="14"/>
                <w:color w:val="auto"/>
              </w:rPr>
              <w:t>423,638</w:t>
            </w:r>
          </w:p>
        </w:tc>
      </w:tr>
      <w:tr>
        <w:trPr>
          <w:trHeight w:val="162"/>
        </w:trPr>
        <w:tc>
          <w:tcPr>
            <w:tcW w:w="2260" w:type="dxa"/>
            <w:vAlign w:val="bottom"/>
            <w:tcBorders>
              <w:bottom w:val="single" w:sz="8" w:color="auto"/>
            </w:tcBorders>
          </w:tcPr>
          <w:p>
            <w:pPr>
              <w:ind w:left="140"/>
              <w:spacing w:after="0"/>
              <w:rPr>
                <w:sz w:val="20"/>
                <w:szCs w:val="20"/>
                <w:color w:val="auto"/>
              </w:rPr>
            </w:pPr>
            <w:r>
              <w:rPr>
                <w:rFonts w:ascii="Arial" w:cs="Arial" w:eastAsia="Arial" w:hAnsi="Arial"/>
                <w:sz w:val="14"/>
                <w:szCs w:val="14"/>
                <w:color w:val="auto"/>
              </w:rPr>
              <w:t>Inter-segment</w:t>
            </w:r>
          </w:p>
        </w:tc>
        <w:tc>
          <w:tcPr>
            <w:tcW w:w="980" w:type="dxa"/>
            <w:vAlign w:val="bottom"/>
            <w:tcBorders>
              <w:bottom w:val="single" w:sz="8" w:color="auto"/>
            </w:tcBorders>
            <w:shd w:val="clear" w:color="auto" w:fill="D8D8D8"/>
          </w:tcPr>
          <w:p>
            <w:pPr>
              <w:jc w:val="right"/>
              <w:ind w:right="89"/>
              <w:spacing w:after="0"/>
              <w:rPr>
                <w:sz w:val="20"/>
                <w:szCs w:val="20"/>
                <w:color w:val="auto"/>
              </w:rPr>
            </w:pPr>
            <w:r>
              <w:rPr>
                <w:rFonts w:ascii="Arial" w:cs="Arial" w:eastAsia="Arial" w:hAnsi="Arial"/>
                <w:sz w:val="14"/>
                <w:szCs w:val="14"/>
                <w:color w:val="auto"/>
              </w:rPr>
              <w:t>2,294</w:t>
            </w:r>
          </w:p>
        </w:tc>
        <w:tc>
          <w:tcPr>
            <w:tcW w:w="124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702</w:t>
            </w:r>
          </w:p>
        </w:tc>
        <w:tc>
          <w:tcPr>
            <w:tcW w:w="10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772</w:t>
            </w:r>
          </w:p>
        </w:tc>
      </w:tr>
      <w:tr>
        <w:trPr>
          <w:trHeight w:val="156"/>
        </w:trPr>
        <w:tc>
          <w:tcPr>
            <w:tcW w:w="2260" w:type="dxa"/>
            <w:vAlign w:val="bottom"/>
            <w:tcBorders>
              <w:bottom w:val="single" w:sz="8" w:color="auto"/>
            </w:tcBorders>
          </w:tcPr>
          <w:p>
            <w:pPr>
              <w:spacing w:after="0" w:line="155" w:lineRule="exact"/>
              <w:rPr>
                <w:sz w:val="20"/>
                <w:szCs w:val="20"/>
                <w:color w:val="auto"/>
              </w:rPr>
            </w:pPr>
            <w:r>
              <w:rPr>
                <w:rFonts w:ascii="Arial" w:cs="Arial" w:eastAsia="Arial" w:hAnsi="Arial"/>
                <w:sz w:val="14"/>
                <w:szCs w:val="14"/>
                <w:color w:val="auto"/>
              </w:rPr>
              <w:t>Total</w:t>
            </w:r>
          </w:p>
        </w:tc>
        <w:tc>
          <w:tcPr>
            <w:tcW w:w="980" w:type="dxa"/>
            <w:vAlign w:val="bottom"/>
            <w:tcBorders>
              <w:bottom w:val="single" w:sz="8" w:color="auto"/>
            </w:tcBorders>
            <w:shd w:val="clear" w:color="auto" w:fill="D8D8D8"/>
          </w:tcPr>
          <w:p>
            <w:pPr>
              <w:jc w:val="right"/>
              <w:ind w:right="89"/>
              <w:spacing w:after="0" w:line="155" w:lineRule="exact"/>
              <w:rPr>
                <w:sz w:val="20"/>
                <w:szCs w:val="20"/>
                <w:color w:val="auto"/>
              </w:rPr>
            </w:pPr>
            <w:r>
              <w:rPr>
                <w:rFonts w:ascii="Arial" w:cs="Arial" w:eastAsia="Arial" w:hAnsi="Arial"/>
                <w:sz w:val="14"/>
                <w:szCs w:val="14"/>
                <w:color w:val="auto"/>
              </w:rPr>
              <w:t>378,046</w:t>
            </w:r>
          </w:p>
        </w:tc>
        <w:tc>
          <w:tcPr>
            <w:tcW w:w="1240" w:type="dxa"/>
            <w:vAlign w:val="bottom"/>
            <w:tcBorders>
              <w:bottom w:val="single" w:sz="8" w:color="auto"/>
            </w:tcBorders>
          </w:tcPr>
          <w:p>
            <w:pPr>
              <w:jc w:val="right"/>
              <w:ind w:right="49"/>
              <w:spacing w:after="0" w:line="155" w:lineRule="exact"/>
              <w:rPr>
                <w:sz w:val="20"/>
                <w:szCs w:val="20"/>
                <w:color w:val="auto"/>
              </w:rPr>
            </w:pPr>
            <w:r>
              <w:rPr>
                <w:rFonts w:ascii="Arial" w:cs="Arial" w:eastAsia="Arial" w:hAnsi="Arial"/>
                <w:sz w:val="14"/>
                <w:szCs w:val="14"/>
                <w:color w:val="auto"/>
              </w:rPr>
              <w:t>404,427</w:t>
            </w:r>
          </w:p>
        </w:tc>
        <w:tc>
          <w:tcPr>
            <w:tcW w:w="1000" w:type="dxa"/>
            <w:vAlign w:val="bottom"/>
            <w:tcBorders>
              <w:bottom w:val="single" w:sz="8" w:color="auto"/>
            </w:tcBorders>
          </w:tcPr>
          <w:p>
            <w:pPr>
              <w:jc w:val="right"/>
              <w:ind w:right="88"/>
              <w:spacing w:after="0" w:line="155" w:lineRule="exact"/>
              <w:rPr>
                <w:sz w:val="20"/>
                <w:szCs w:val="20"/>
                <w:color w:val="auto"/>
              </w:rPr>
            </w:pPr>
            <w:r>
              <w:rPr>
                <w:rFonts w:ascii="Arial" w:cs="Arial" w:eastAsia="Arial" w:hAnsi="Arial"/>
                <w:sz w:val="14"/>
                <w:szCs w:val="14"/>
                <w:color w:val="auto"/>
              </w:rPr>
              <w:t>424,410</w:t>
            </w:r>
          </w:p>
        </w:tc>
      </w:tr>
      <w:tr>
        <w:trPr>
          <w:trHeight w:val="160"/>
        </w:trPr>
        <w:tc>
          <w:tcPr>
            <w:tcW w:w="2260" w:type="dxa"/>
            <w:vAlign w:val="bottom"/>
          </w:tcPr>
          <w:p>
            <w:pPr>
              <w:spacing w:after="0"/>
              <w:rPr>
                <w:sz w:val="20"/>
                <w:szCs w:val="20"/>
                <w:color w:val="auto"/>
              </w:rPr>
            </w:pPr>
            <w:r>
              <w:rPr>
                <w:rFonts w:ascii="Arial" w:cs="Arial" w:eastAsia="Arial" w:hAnsi="Arial"/>
                <w:sz w:val="14"/>
                <w:szCs w:val="14"/>
                <w:color w:val="auto"/>
              </w:rPr>
              <w:t>Corporate</w:t>
            </w:r>
          </w:p>
        </w:tc>
        <w:tc>
          <w:tcPr>
            <w:tcW w:w="980" w:type="dxa"/>
            <w:vAlign w:val="bottom"/>
            <w:shd w:val="clear" w:color="auto" w:fill="D8D8D8"/>
          </w:tcPr>
          <w:p>
            <w:pPr>
              <w:spacing w:after="0"/>
              <w:rPr>
                <w:sz w:val="13"/>
                <w:szCs w:val="13"/>
                <w:color w:val="auto"/>
              </w:rPr>
            </w:pPr>
          </w:p>
        </w:tc>
        <w:tc>
          <w:tcPr>
            <w:tcW w:w="1240" w:type="dxa"/>
            <w:vAlign w:val="bottom"/>
          </w:tcPr>
          <w:p>
            <w:pPr>
              <w:spacing w:after="0"/>
              <w:rPr>
                <w:sz w:val="13"/>
                <w:szCs w:val="13"/>
                <w:color w:val="auto"/>
              </w:rPr>
            </w:pPr>
          </w:p>
        </w:tc>
        <w:tc>
          <w:tcPr>
            <w:tcW w:w="1000" w:type="dxa"/>
            <w:vAlign w:val="bottom"/>
          </w:tcPr>
          <w:p>
            <w:pPr>
              <w:spacing w:after="0"/>
              <w:rPr>
                <w:sz w:val="13"/>
                <w:szCs w:val="13"/>
                <w:color w:val="auto"/>
              </w:rPr>
            </w:pPr>
          </w:p>
        </w:tc>
      </w:tr>
      <w:tr>
        <w:trPr>
          <w:trHeight w:val="157"/>
        </w:trPr>
        <w:tc>
          <w:tcPr>
            <w:tcW w:w="2260" w:type="dxa"/>
            <w:vAlign w:val="bottom"/>
            <w:tcBorders>
              <w:bottom w:val="single" w:sz="8" w:color="auto"/>
            </w:tcBorders>
          </w:tcPr>
          <w:p>
            <w:pPr>
              <w:ind w:left="140"/>
              <w:spacing w:after="0" w:line="157" w:lineRule="exact"/>
              <w:rPr>
                <w:sz w:val="20"/>
                <w:szCs w:val="20"/>
                <w:color w:val="auto"/>
              </w:rPr>
            </w:pPr>
            <w:r>
              <w:rPr>
                <w:rFonts w:ascii="Arial" w:cs="Arial" w:eastAsia="Arial" w:hAnsi="Arial"/>
                <w:sz w:val="14"/>
                <w:szCs w:val="14"/>
                <w:color w:val="auto"/>
              </w:rPr>
              <w:t>Third parties</w:t>
            </w:r>
          </w:p>
        </w:tc>
        <w:tc>
          <w:tcPr>
            <w:tcW w:w="980" w:type="dxa"/>
            <w:vAlign w:val="bottom"/>
            <w:tcBorders>
              <w:bottom w:val="single" w:sz="8" w:color="auto"/>
            </w:tcBorders>
            <w:shd w:val="clear" w:color="auto" w:fill="D8D8D8"/>
          </w:tcPr>
          <w:p>
            <w:pPr>
              <w:jc w:val="right"/>
              <w:ind w:right="89"/>
              <w:spacing w:after="0" w:line="157" w:lineRule="exact"/>
              <w:rPr>
                <w:sz w:val="20"/>
                <w:szCs w:val="20"/>
                <w:color w:val="auto"/>
              </w:rPr>
            </w:pPr>
            <w:r>
              <w:rPr>
                <w:rFonts w:ascii="Arial" w:cs="Arial" w:eastAsia="Arial" w:hAnsi="Arial"/>
                <w:sz w:val="14"/>
                <w:szCs w:val="14"/>
                <w:color w:val="auto"/>
              </w:rPr>
              <w:t>113</w:t>
            </w:r>
          </w:p>
        </w:tc>
        <w:tc>
          <w:tcPr>
            <w:tcW w:w="1240" w:type="dxa"/>
            <w:vAlign w:val="bottom"/>
            <w:tcBorders>
              <w:bottom w:val="single" w:sz="8" w:color="auto"/>
            </w:tcBorders>
          </w:tcPr>
          <w:p>
            <w:pPr>
              <w:jc w:val="right"/>
              <w:ind w:right="49"/>
              <w:spacing w:after="0" w:line="157" w:lineRule="exact"/>
              <w:rPr>
                <w:sz w:val="20"/>
                <w:szCs w:val="20"/>
                <w:color w:val="auto"/>
              </w:rPr>
            </w:pPr>
            <w:r>
              <w:rPr>
                <w:rFonts w:ascii="Arial" w:cs="Arial" w:eastAsia="Arial" w:hAnsi="Arial"/>
                <w:sz w:val="14"/>
                <w:szCs w:val="14"/>
                <w:color w:val="auto"/>
              </w:rPr>
              <w:t>153</w:t>
            </w:r>
          </w:p>
        </w:tc>
        <w:tc>
          <w:tcPr>
            <w:tcW w:w="1000" w:type="dxa"/>
            <w:vAlign w:val="bottom"/>
            <w:tcBorders>
              <w:bottom w:val="single" w:sz="8" w:color="auto"/>
            </w:tcBorders>
          </w:tcPr>
          <w:p>
            <w:pPr>
              <w:jc w:val="right"/>
              <w:ind w:right="88"/>
              <w:spacing w:after="0" w:line="157" w:lineRule="exact"/>
              <w:rPr>
                <w:sz w:val="20"/>
                <w:szCs w:val="20"/>
                <w:color w:val="auto"/>
              </w:rPr>
            </w:pPr>
            <w:r>
              <w:rPr>
                <w:rFonts w:ascii="Arial" w:cs="Arial" w:eastAsia="Arial" w:hAnsi="Arial"/>
                <w:sz w:val="14"/>
                <w:szCs w:val="14"/>
                <w:color w:val="auto"/>
              </w:rPr>
              <w:t>84</w:t>
            </w:r>
          </w:p>
        </w:tc>
      </w:tr>
      <w:tr>
        <w:trPr>
          <w:trHeight w:val="156"/>
        </w:trPr>
        <w:tc>
          <w:tcPr>
            <w:tcW w:w="2260" w:type="dxa"/>
            <w:vAlign w:val="bottom"/>
            <w:tcBorders>
              <w:bottom w:val="single" w:sz="8" w:color="auto"/>
            </w:tcBorders>
          </w:tcPr>
          <w:p>
            <w:pPr>
              <w:spacing w:after="0" w:line="155" w:lineRule="exact"/>
              <w:rPr>
                <w:sz w:val="20"/>
                <w:szCs w:val="20"/>
                <w:color w:val="auto"/>
              </w:rPr>
            </w:pPr>
            <w:r>
              <w:rPr>
                <w:rFonts w:ascii="Arial" w:cs="Arial" w:eastAsia="Arial" w:hAnsi="Arial"/>
                <w:sz w:val="14"/>
                <w:szCs w:val="14"/>
                <w:color w:val="auto"/>
              </w:rPr>
              <w:t>Total</w:t>
            </w:r>
          </w:p>
        </w:tc>
        <w:tc>
          <w:tcPr>
            <w:tcW w:w="980" w:type="dxa"/>
            <w:vAlign w:val="bottom"/>
            <w:tcBorders>
              <w:bottom w:val="single" w:sz="8" w:color="auto"/>
            </w:tcBorders>
            <w:shd w:val="clear" w:color="auto" w:fill="D8D8D8"/>
          </w:tcPr>
          <w:p>
            <w:pPr>
              <w:jc w:val="right"/>
              <w:ind w:right="89"/>
              <w:spacing w:after="0" w:line="155" w:lineRule="exact"/>
              <w:rPr>
                <w:sz w:val="20"/>
                <w:szCs w:val="20"/>
                <w:color w:val="auto"/>
              </w:rPr>
            </w:pPr>
            <w:r>
              <w:rPr>
                <w:rFonts w:ascii="Arial" w:cs="Arial" w:eastAsia="Arial" w:hAnsi="Arial"/>
                <w:sz w:val="14"/>
                <w:szCs w:val="14"/>
                <w:color w:val="auto"/>
              </w:rPr>
              <w:t>113</w:t>
            </w:r>
          </w:p>
        </w:tc>
        <w:tc>
          <w:tcPr>
            <w:tcW w:w="1240" w:type="dxa"/>
            <w:vAlign w:val="bottom"/>
            <w:tcBorders>
              <w:bottom w:val="single" w:sz="8" w:color="auto"/>
            </w:tcBorders>
          </w:tcPr>
          <w:p>
            <w:pPr>
              <w:jc w:val="right"/>
              <w:ind w:right="49"/>
              <w:spacing w:after="0" w:line="155" w:lineRule="exact"/>
              <w:rPr>
                <w:sz w:val="20"/>
                <w:szCs w:val="20"/>
                <w:color w:val="auto"/>
              </w:rPr>
            </w:pPr>
            <w:r>
              <w:rPr>
                <w:rFonts w:ascii="Arial" w:cs="Arial" w:eastAsia="Arial" w:hAnsi="Arial"/>
                <w:sz w:val="14"/>
                <w:szCs w:val="14"/>
                <w:color w:val="auto"/>
              </w:rPr>
              <w:t>153</w:t>
            </w:r>
          </w:p>
        </w:tc>
        <w:tc>
          <w:tcPr>
            <w:tcW w:w="1000" w:type="dxa"/>
            <w:vAlign w:val="bottom"/>
            <w:tcBorders>
              <w:bottom w:val="single" w:sz="8" w:color="auto"/>
            </w:tcBorders>
          </w:tcPr>
          <w:p>
            <w:pPr>
              <w:jc w:val="right"/>
              <w:ind w:right="88"/>
              <w:spacing w:after="0" w:line="155" w:lineRule="exact"/>
              <w:rPr>
                <w:sz w:val="20"/>
                <w:szCs w:val="20"/>
                <w:color w:val="auto"/>
              </w:rPr>
            </w:pPr>
            <w:r>
              <w:rPr>
                <w:rFonts w:ascii="Arial" w:cs="Arial" w:eastAsia="Arial" w:hAnsi="Arial"/>
                <w:sz w:val="14"/>
                <w:szCs w:val="14"/>
                <w:color w:val="auto"/>
              </w:rPr>
              <w:t>84</w:t>
            </w:r>
          </w:p>
        </w:tc>
      </w:tr>
    </w:tbl>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940" w:type="dxa"/>
            <w:vAlign w:val="bottom"/>
            <w:gridSpan w:val="4"/>
            <w:shd w:val="clear" w:color="auto" w:fill="333333"/>
          </w:tcPr>
          <w:p>
            <w:pPr>
              <w:ind w:left="60"/>
              <w:spacing w:after="0"/>
              <w:rPr>
                <w:sz w:val="20"/>
                <w:szCs w:val="20"/>
                <w:color w:val="auto"/>
              </w:rPr>
            </w:pPr>
            <w:r>
              <w:rPr>
                <w:rFonts w:ascii="Arial" w:cs="Arial" w:eastAsia="Arial" w:hAnsi="Arial"/>
                <w:sz w:val="15"/>
                <w:szCs w:val="15"/>
                <w:b w:val="1"/>
                <w:bCs w:val="1"/>
                <w:color w:val="FFFFFF"/>
              </w:rPr>
              <w:t>REVENUE BY GEOGRAPHICAL AREA</w:t>
            </w:r>
          </w:p>
        </w:tc>
        <w:tc>
          <w:tcPr>
            <w:tcW w:w="640" w:type="dxa"/>
            <w:vAlign w:val="bottom"/>
            <w:shd w:val="clear" w:color="auto" w:fill="333333"/>
          </w:tcPr>
          <w:p>
            <w:pPr>
              <w:spacing w:after="0"/>
              <w:rPr>
                <w:sz w:val="14"/>
                <w:szCs w:val="14"/>
                <w:color w:val="auto"/>
              </w:rPr>
            </w:pPr>
          </w:p>
        </w:tc>
        <w:tc>
          <w:tcPr>
            <w:tcW w:w="580" w:type="dxa"/>
            <w:vAlign w:val="bottom"/>
            <w:shd w:val="clear" w:color="auto" w:fill="333333"/>
          </w:tcPr>
          <w:p>
            <w:pPr>
              <w:spacing w:after="0"/>
              <w:rPr>
                <w:sz w:val="14"/>
                <w:szCs w:val="14"/>
                <w:color w:val="auto"/>
              </w:rPr>
            </w:pPr>
          </w:p>
        </w:tc>
        <w:tc>
          <w:tcPr>
            <w:tcW w:w="760" w:type="dxa"/>
            <w:vAlign w:val="bottom"/>
            <w:shd w:val="clear" w:color="auto" w:fill="333333"/>
          </w:tcPr>
          <w:p>
            <w:pPr>
              <w:spacing w:after="0"/>
              <w:rPr>
                <w:sz w:val="14"/>
                <w:szCs w:val="14"/>
                <w:color w:val="auto"/>
              </w:rPr>
            </w:pPr>
          </w:p>
        </w:tc>
        <w:tc>
          <w:tcPr>
            <w:tcW w:w="560" w:type="dxa"/>
            <w:vAlign w:val="bottom"/>
            <w:shd w:val="clear" w:color="auto" w:fill="333333"/>
          </w:tcPr>
          <w:p>
            <w:pPr>
              <w:spacing w:after="0"/>
              <w:rPr>
                <w:sz w:val="14"/>
                <w:szCs w:val="14"/>
                <w:color w:val="auto"/>
              </w:rPr>
            </w:pPr>
          </w:p>
        </w:tc>
      </w:tr>
      <w:tr>
        <w:trPr>
          <w:trHeight w:val="179"/>
        </w:trPr>
        <w:tc>
          <w:tcPr>
            <w:tcW w:w="2940" w:type="dxa"/>
            <w:vAlign w:val="bottom"/>
            <w:gridSpan w:val="4"/>
            <w:shd w:val="clear" w:color="auto" w:fill="333333"/>
          </w:tcPr>
          <w:p>
            <w:pPr>
              <w:ind w:left="60"/>
              <w:spacing w:after="0"/>
              <w:rPr>
                <w:sz w:val="20"/>
                <w:szCs w:val="20"/>
                <w:color w:val="auto"/>
              </w:rPr>
            </w:pPr>
            <w:r>
              <w:rPr>
                <w:rFonts w:ascii="Arial" w:cs="Arial" w:eastAsia="Arial" w:hAnsi="Arial"/>
                <w:sz w:val="15"/>
                <w:szCs w:val="15"/>
                <w:color w:val="FFFFFF"/>
              </w:rPr>
              <w:t>(EXCLUDING INTER-SEGMENT SALES)</w:t>
            </w:r>
          </w:p>
        </w:tc>
        <w:tc>
          <w:tcPr>
            <w:tcW w:w="640" w:type="dxa"/>
            <w:vAlign w:val="bottom"/>
            <w:shd w:val="clear" w:color="auto" w:fill="333333"/>
          </w:tcPr>
          <w:p>
            <w:pPr>
              <w:spacing w:after="0"/>
              <w:rPr>
                <w:sz w:val="15"/>
                <w:szCs w:val="15"/>
                <w:color w:val="auto"/>
              </w:rPr>
            </w:pPr>
          </w:p>
        </w:tc>
        <w:tc>
          <w:tcPr>
            <w:tcW w:w="580" w:type="dxa"/>
            <w:vAlign w:val="bottom"/>
            <w:shd w:val="clear" w:color="auto" w:fill="333333"/>
          </w:tcPr>
          <w:p>
            <w:pPr>
              <w:spacing w:after="0"/>
              <w:rPr>
                <w:sz w:val="15"/>
                <w:szCs w:val="15"/>
                <w:color w:val="auto"/>
              </w:rPr>
            </w:pPr>
          </w:p>
        </w:tc>
        <w:tc>
          <w:tcPr>
            <w:tcW w:w="1320" w:type="dxa"/>
            <w:vAlign w:val="bottom"/>
            <w:gridSpan w:val="2"/>
            <w:shd w:val="clear" w:color="auto" w:fill="333333"/>
          </w:tcPr>
          <w:p>
            <w:pPr>
              <w:jc w:val="right"/>
              <w:ind w:right="30"/>
              <w:spacing w:after="0"/>
              <w:rPr>
                <w:sz w:val="20"/>
                <w:szCs w:val="20"/>
                <w:color w:val="auto"/>
              </w:rPr>
            </w:pPr>
            <w:r>
              <w:rPr>
                <w:rFonts w:ascii="Arial" w:cs="Arial" w:eastAsia="Arial" w:hAnsi="Arial"/>
                <w:sz w:val="15"/>
                <w:szCs w:val="15"/>
                <w:color w:val="FFFFFF"/>
              </w:rPr>
              <w:t>$ MILLION</w:t>
            </w:r>
          </w:p>
        </w:tc>
      </w:tr>
      <w:tr>
        <w:trPr>
          <w:trHeight w:val="149"/>
        </w:trPr>
        <w:tc>
          <w:tcPr>
            <w:tcW w:w="154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shd w:val="clear" w:color="auto" w:fill="D8D8D8"/>
          </w:tcPr>
          <w:p>
            <w:pPr>
              <w:jc w:val="right"/>
              <w:spacing w:after="0"/>
              <w:rPr>
                <w:sz w:val="20"/>
                <w:szCs w:val="20"/>
                <w:color w:val="auto"/>
              </w:rPr>
            </w:pPr>
            <w:r>
              <w:rPr>
                <w:rFonts w:ascii="Arial" w:cs="Arial" w:eastAsia="Arial" w:hAnsi="Arial"/>
                <w:sz w:val="13"/>
                <w:szCs w:val="13"/>
                <w:color w:val="auto"/>
              </w:rPr>
              <w:t>2014</w:t>
            </w:r>
          </w:p>
        </w:tc>
        <w:tc>
          <w:tcPr>
            <w:tcW w:w="640" w:type="dxa"/>
            <w:vAlign w:val="bottom"/>
            <w:tcBorders>
              <w:bottom w:val="single" w:sz="8" w:color="auto"/>
            </w:tcBorders>
            <w:shd w:val="clear" w:color="auto" w:fill="D8D8D8"/>
          </w:tcPr>
          <w:p>
            <w:pPr>
              <w:jc w:val="right"/>
              <w:ind w:right="30"/>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30"/>
              <w:spacing w:after="0"/>
              <w:rPr>
                <w:sz w:val="20"/>
                <w:szCs w:val="20"/>
                <w:color w:val="auto"/>
              </w:rPr>
            </w:pPr>
            <w:r>
              <w:rPr>
                <w:rFonts w:ascii="Arial" w:cs="Arial" w:eastAsia="Arial" w:hAnsi="Arial"/>
                <w:sz w:val="13"/>
                <w:szCs w:val="13"/>
                <w:color w:val="auto"/>
              </w:rPr>
              <w:t>2013</w:t>
            </w:r>
          </w:p>
        </w:tc>
        <w:tc>
          <w:tcPr>
            <w:tcW w:w="580" w:type="dxa"/>
            <w:vAlign w:val="bottom"/>
            <w:tcBorders>
              <w:bottom w:val="single" w:sz="8" w:color="auto"/>
            </w:tcBorders>
          </w:tcPr>
          <w:p>
            <w:pPr>
              <w:jc w:val="right"/>
              <w:ind w:right="50"/>
              <w:spacing w:after="0"/>
              <w:rPr>
                <w:sz w:val="20"/>
                <w:szCs w:val="20"/>
                <w:color w:val="auto"/>
              </w:rPr>
            </w:pPr>
            <w:r>
              <w:rPr>
                <w:rFonts w:ascii="Arial" w:cs="Arial" w:eastAsia="Arial" w:hAnsi="Arial"/>
                <w:sz w:val="13"/>
                <w:szCs w:val="13"/>
                <w:color w:val="auto"/>
              </w:rPr>
              <w:t>%</w:t>
            </w:r>
          </w:p>
        </w:tc>
        <w:tc>
          <w:tcPr>
            <w:tcW w:w="760" w:type="dxa"/>
            <w:vAlign w:val="bottom"/>
            <w:tcBorders>
              <w:bottom w:val="single" w:sz="8" w:color="auto"/>
            </w:tcBorders>
          </w:tcPr>
          <w:p>
            <w:pPr>
              <w:jc w:val="right"/>
              <w:ind w:right="49"/>
              <w:spacing w:after="0"/>
              <w:rPr>
                <w:sz w:val="20"/>
                <w:szCs w:val="20"/>
                <w:color w:val="auto"/>
              </w:rPr>
            </w:pPr>
            <w:r>
              <w:rPr>
                <w:rFonts w:ascii="Arial" w:cs="Arial" w:eastAsia="Arial" w:hAnsi="Arial"/>
                <w:sz w:val="13"/>
                <w:szCs w:val="13"/>
                <w:color w:val="auto"/>
              </w:rPr>
              <w:t>2012</w:t>
            </w:r>
          </w:p>
        </w:tc>
        <w:tc>
          <w:tcPr>
            <w:tcW w:w="560" w:type="dxa"/>
            <w:vAlign w:val="bottom"/>
            <w:tcBorders>
              <w:bottom w:val="single" w:sz="8" w:color="auto"/>
            </w:tcBorders>
          </w:tcPr>
          <w:p>
            <w:pPr>
              <w:jc w:val="right"/>
              <w:ind w:right="10"/>
              <w:spacing w:after="0"/>
              <w:rPr>
                <w:sz w:val="20"/>
                <w:szCs w:val="20"/>
                <w:color w:val="auto"/>
              </w:rPr>
            </w:pPr>
            <w:r>
              <w:rPr>
                <w:rFonts w:ascii="Arial" w:cs="Arial" w:eastAsia="Arial" w:hAnsi="Arial"/>
                <w:sz w:val="13"/>
                <w:szCs w:val="13"/>
                <w:color w:val="auto"/>
              </w:rPr>
              <w:t>%</w:t>
            </w:r>
          </w:p>
        </w:tc>
      </w:tr>
      <w:tr>
        <w:trPr>
          <w:trHeight w:val="156"/>
        </w:trPr>
        <w:tc>
          <w:tcPr>
            <w:tcW w:w="1540" w:type="dxa"/>
            <w:vAlign w:val="bottom"/>
          </w:tcPr>
          <w:p>
            <w:pPr>
              <w:spacing w:after="0" w:line="155" w:lineRule="exact"/>
              <w:rPr>
                <w:sz w:val="20"/>
                <w:szCs w:val="20"/>
                <w:color w:val="auto"/>
              </w:rPr>
            </w:pPr>
            <w:r>
              <w:rPr>
                <w:rFonts w:ascii="Arial" w:cs="Arial" w:eastAsia="Arial" w:hAnsi="Arial"/>
                <w:sz w:val="14"/>
                <w:szCs w:val="14"/>
                <w:color w:val="auto"/>
              </w:rPr>
              <w:t>Europe</w:t>
            </w:r>
          </w:p>
        </w:tc>
        <w:tc>
          <w:tcPr>
            <w:tcW w:w="660" w:type="dxa"/>
            <w:vAlign w:val="bottom"/>
            <w:shd w:val="clear" w:color="auto" w:fill="D8D8D8"/>
          </w:tcPr>
          <w:p>
            <w:pPr>
              <w:jc w:val="right"/>
              <w:spacing w:after="0" w:line="155" w:lineRule="exact"/>
              <w:rPr>
                <w:sz w:val="20"/>
                <w:szCs w:val="20"/>
                <w:color w:val="auto"/>
              </w:rPr>
            </w:pPr>
            <w:r>
              <w:rPr>
                <w:rFonts w:ascii="Arial" w:cs="Arial" w:eastAsia="Arial" w:hAnsi="Arial"/>
                <w:sz w:val="14"/>
                <w:szCs w:val="14"/>
                <w:color w:val="auto"/>
                <w:highlight w:val="lightGray"/>
              </w:rPr>
              <w:t>154,709</w:t>
            </w:r>
          </w:p>
        </w:tc>
        <w:tc>
          <w:tcPr>
            <w:tcW w:w="640" w:type="dxa"/>
            <w:vAlign w:val="bottom"/>
            <w:shd w:val="clear" w:color="auto" w:fill="D8D8D8"/>
          </w:tcPr>
          <w:p>
            <w:pPr>
              <w:jc w:val="right"/>
              <w:ind w:right="30"/>
              <w:spacing w:after="0" w:line="155" w:lineRule="exact"/>
              <w:rPr>
                <w:sz w:val="20"/>
                <w:szCs w:val="20"/>
                <w:color w:val="auto"/>
              </w:rPr>
            </w:pPr>
            <w:r>
              <w:rPr>
                <w:rFonts w:ascii="Arial" w:cs="Arial" w:eastAsia="Arial" w:hAnsi="Arial"/>
                <w:sz w:val="14"/>
                <w:szCs w:val="14"/>
                <w:color w:val="auto"/>
                <w:highlight w:val="lightGray"/>
              </w:rPr>
              <w:t>36.7</w:t>
            </w:r>
          </w:p>
        </w:tc>
        <w:tc>
          <w:tcPr>
            <w:tcW w:w="100" w:type="dxa"/>
            <w:vAlign w:val="bottom"/>
          </w:tcPr>
          <w:p>
            <w:pPr>
              <w:spacing w:after="0"/>
              <w:rPr>
                <w:sz w:val="13"/>
                <w:szCs w:val="13"/>
                <w:color w:val="auto"/>
              </w:rPr>
            </w:pPr>
          </w:p>
        </w:tc>
        <w:tc>
          <w:tcPr>
            <w:tcW w:w="640" w:type="dxa"/>
            <w:vAlign w:val="bottom"/>
          </w:tcPr>
          <w:p>
            <w:pPr>
              <w:jc w:val="right"/>
              <w:ind w:right="30"/>
              <w:spacing w:after="0" w:line="155" w:lineRule="exact"/>
              <w:rPr>
                <w:sz w:val="20"/>
                <w:szCs w:val="20"/>
                <w:color w:val="auto"/>
              </w:rPr>
            </w:pPr>
            <w:r>
              <w:rPr>
                <w:rFonts w:ascii="Arial" w:cs="Arial" w:eastAsia="Arial" w:hAnsi="Arial"/>
                <w:sz w:val="14"/>
                <w:szCs w:val="14"/>
                <w:color w:val="auto"/>
              </w:rPr>
              <w:t>175,584</w:t>
            </w:r>
          </w:p>
        </w:tc>
        <w:tc>
          <w:tcPr>
            <w:tcW w:w="580" w:type="dxa"/>
            <w:vAlign w:val="bottom"/>
          </w:tcPr>
          <w:p>
            <w:pPr>
              <w:jc w:val="right"/>
              <w:ind w:right="50"/>
              <w:spacing w:after="0" w:line="155" w:lineRule="exact"/>
              <w:rPr>
                <w:sz w:val="20"/>
                <w:szCs w:val="20"/>
                <w:color w:val="auto"/>
              </w:rPr>
            </w:pPr>
            <w:r>
              <w:rPr>
                <w:rFonts w:ascii="Arial" w:cs="Arial" w:eastAsia="Arial" w:hAnsi="Arial"/>
                <w:sz w:val="14"/>
                <w:szCs w:val="14"/>
                <w:color w:val="auto"/>
              </w:rPr>
              <w:t>38.9</w:t>
            </w:r>
          </w:p>
        </w:tc>
        <w:tc>
          <w:tcPr>
            <w:tcW w:w="760" w:type="dxa"/>
            <w:vAlign w:val="bottom"/>
          </w:tcPr>
          <w:p>
            <w:pPr>
              <w:jc w:val="right"/>
              <w:ind w:right="49"/>
              <w:spacing w:after="0" w:line="155" w:lineRule="exact"/>
              <w:rPr>
                <w:sz w:val="20"/>
                <w:szCs w:val="20"/>
                <w:color w:val="auto"/>
              </w:rPr>
            </w:pPr>
            <w:r>
              <w:rPr>
                <w:rFonts w:ascii="Arial" w:cs="Arial" w:eastAsia="Arial" w:hAnsi="Arial"/>
                <w:sz w:val="14"/>
                <w:szCs w:val="14"/>
                <w:color w:val="auto"/>
              </w:rPr>
              <w:t>184,223</w:t>
            </w:r>
          </w:p>
        </w:tc>
        <w:tc>
          <w:tcPr>
            <w:tcW w:w="560" w:type="dxa"/>
            <w:vAlign w:val="bottom"/>
          </w:tcPr>
          <w:p>
            <w:pPr>
              <w:jc w:val="right"/>
              <w:ind w:right="10"/>
              <w:spacing w:after="0" w:line="155" w:lineRule="exact"/>
              <w:rPr>
                <w:sz w:val="20"/>
                <w:szCs w:val="20"/>
                <w:color w:val="auto"/>
              </w:rPr>
            </w:pPr>
            <w:r>
              <w:rPr>
                <w:rFonts w:ascii="Arial" w:cs="Arial" w:eastAsia="Arial" w:hAnsi="Arial"/>
                <w:sz w:val="14"/>
                <w:szCs w:val="14"/>
                <w:color w:val="auto"/>
              </w:rPr>
              <w:t>39.4</w:t>
            </w:r>
          </w:p>
        </w:tc>
      </w:tr>
      <w:tr>
        <w:trPr>
          <w:trHeight w:val="162"/>
        </w:trPr>
        <w:tc>
          <w:tcPr>
            <w:tcW w:w="1540" w:type="dxa"/>
            <w:vAlign w:val="bottom"/>
          </w:tcPr>
          <w:p>
            <w:pPr>
              <w:spacing w:after="0"/>
              <w:rPr>
                <w:sz w:val="20"/>
                <w:szCs w:val="20"/>
                <w:color w:val="auto"/>
              </w:rPr>
            </w:pPr>
            <w:r>
              <w:rPr>
                <w:rFonts w:ascii="Arial" w:cs="Arial" w:eastAsia="Arial" w:hAnsi="Arial"/>
                <w:sz w:val="14"/>
                <w:szCs w:val="14"/>
                <w:color w:val="auto"/>
              </w:rPr>
              <w:t>Asia, Oceania, Africa</w:t>
            </w:r>
          </w:p>
        </w:tc>
        <w:tc>
          <w:tcPr>
            <w:tcW w:w="660" w:type="dxa"/>
            <w:vAlign w:val="bottom"/>
            <w:shd w:val="clear" w:color="auto" w:fill="D8D8D8"/>
          </w:tcPr>
          <w:p>
            <w:pPr>
              <w:jc w:val="right"/>
              <w:spacing w:after="0"/>
              <w:rPr>
                <w:sz w:val="20"/>
                <w:szCs w:val="20"/>
                <w:color w:val="auto"/>
              </w:rPr>
            </w:pPr>
            <w:r>
              <w:rPr>
                <w:rFonts w:ascii="Arial" w:cs="Arial" w:eastAsia="Arial" w:hAnsi="Arial"/>
                <w:sz w:val="14"/>
                <w:szCs w:val="14"/>
                <w:color w:val="auto"/>
                <w:highlight w:val="lightGray"/>
              </w:rPr>
              <w:t>149,869</w:t>
            </w:r>
          </w:p>
        </w:tc>
        <w:tc>
          <w:tcPr>
            <w:tcW w:w="640" w:type="dxa"/>
            <w:vAlign w:val="bottom"/>
            <w:shd w:val="clear" w:color="auto" w:fill="D8D8D8"/>
          </w:tcPr>
          <w:p>
            <w:pPr>
              <w:jc w:val="right"/>
              <w:ind w:right="30"/>
              <w:spacing w:after="0"/>
              <w:rPr>
                <w:sz w:val="20"/>
                <w:szCs w:val="20"/>
                <w:color w:val="auto"/>
              </w:rPr>
            </w:pPr>
            <w:r>
              <w:rPr>
                <w:rFonts w:ascii="Arial" w:cs="Arial" w:eastAsia="Arial" w:hAnsi="Arial"/>
                <w:sz w:val="14"/>
                <w:szCs w:val="14"/>
                <w:color w:val="auto"/>
                <w:highlight w:val="lightGray"/>
              </w:rPr>
              <w:t>35.6</w:t>
            </w:r>
          </w:p>
        </w:tc>
        <w:tc>
          <w:tcPr>
            <w:tcW w:w="100" w:type="dxa"/>
            <w:vAlign w:val="bottom"/>
          </w:tcPr>
          <w:p>
            <w:pPr>
              <w:spacing w:after="0"/>
              <w:rPr>
                <w:sz w:val="14"/>
                <w:szCs w:val="14"/>
                <w:color w:val="auto"/>
              </w:rPr>
            </w:pPr>
          </w:p>
        </w:tc>
        <w:tc>
          <w:tcPr>
            <w:tcW w:w="640" w:type="dxa"/>
            <w:vAlign w:val="bottom"/>
          </w:tcPr>
          <w:p>
            <w:pPr>
              <w:jc w:val="right"/>
              <w:ind w:right="30"/>
              <w:spacing w:after="0"/>
              <w:rPr>
                <w:sz w:val="20"/>
                <w:szCs w:val="20"/>
                <w:color w:val="auto"/>
              </w:rPr>
            </w:pPr>
            <w:r>
              <w:rPr>
                <w:rFonts w:ascii="Arial" w:cs="Arial" w:eastAsia="Arial" w:hAnsi="Arial"/>
                <w:sz w:val="14"/>
                <w:szCs w:val="14"/>
                <w:color w:val="auto"/>
              </w:rPr>
              <w:t>157,673</w:t>
            </w:r>
          </w:p>
        </w:tc>
        <w:tc>
          <w:tcPr>
            <w:tcW w:w="580" w:type="dxa"/>
            <w:vAlign w:val="bottom"/>
          </w:tcPr>
          <w:p>
            <w:pPr>
              <w:jc w:val="right"/>
              <w:ind w:right="50"/>
              <w:spacing w:after="0"/>
              <w:rPr>
                <w:sz w:val="20"/>
                <w:szCs w:val="20"/>
                <w:color w:val="auto"/>
              </w:rPr>
            </w:pPr>
            <w:r>
              <w:rPr>
                <w:rFonts w:ascii="Arial" w:cs="Arial" w:eastAsia="Arial" w:hAnsi="Arial"/>
                <w:sz w:val="14"/>
                <w:szCs w:val="14"/>
                <w:color w:val="auto"/>
              </w:rPr>
              <w:t>34.9</w:t>
            </w:r>
          </w:p>
        </w:tc>
        <w:tc>
          <w:tcPr>
            <w:tcW w:w="760" w:type="dxa"/>
            <w:vAlign w:val="bottom"/>
          </w:tcPr>
          <w:p>
            <w:pPr>
              <w:jc w:val="right"/>
              <w:ind w:right="49"/>
              <w:spacing w:after="0"/>
              <w:rPr>
                <w:sz w:val="20"/>
                <w:szCs w:val="20"/>
                <w:color w:val="auto"/>
              </w:rPr>
            </w:pPr>
            <w:r>
              <w:rPr>
                <w:rFonts w:ascii="Arial" w:cs="Arial" w:eastAsia="Arial" w:hAnsi="Arial"/>
                <w:sz w:val="14"/>
                <w:szCs w:val="14"/>
                <w:color w:val="auto"/>
              </w:rPr>
              <w:t>156,310</w:t>
            </w:r>
          </w:p>
        </w:tc>
        <w:tc>
          <w:tcPr>
            <w:tcW w:w="560" w:type="dxa"/>
            <w:vAlign w:val="bottom"/>
          </w:tcPr>
          <w:p>
            <w:pPr>
              <w:jc w:val="right"/>
              <w:ind w:right="10"/>
              <w:spacing w:after="0"/>
              <w:rPr>
                <w:sz w:val="20"/>
                <w:szCs w:val="20"/>
                <w:color w:val="auto"/>
              </w:rPr>
            </w:pPr>
            <w:r>
              <w:rPr>
                <w:rFonts w:ascii="Arial" w:cs="Arial" w:eastAsia="Arial" w:hAnsi="Arial"/>
                <w:sz w:val="14"/>
                <w:szCs w:val="14"/>
                <w:color w:val="auto"/>
              </w:rPr>
              <w:t>33.5</w:t>
            </w:r>
          </w:p>
        </w:tc>
      </w:tr>
      <w:tr>
        <w:trPr>
          <w:trHeight w:val="162"/>
        </w:trPr>
        <w:tc>
          <w:tcPr>
            <w:tcW w:w="1540" w:type="dxa"/>
            <w:vAlign w:val="bottom"/>
          </w:tcPr>
          <w:p>
            <w:pPr>
              <w:spacing w:after="0"/>
              <w:rPr>
                <w:sz w:val="20"/>
                <w:szCs w:val="20"/>
                <w:color w:val="auto"/>
              </w:rPr>
            </w:pPr>
            <w:r>
              <w:rPr>
                <w:rFonts w:ascii="Arial" w:cs="Arial" w:eastAsia="Arial" w:hAnsi="Arial"/>
                <w:sz w:val="14"/>
                <w:szCs w:val="14"/>
                <w:color w:val="auto"/>
              </w:rPr>
              <w:t>USA</w:t>
            </w:r>
          </w:p>
        </w:tc>
        <w:tc>
          <w:tcPr>
            <w:tcW w:w="660" w:type="dxa"/>
            <w:vAlign w:val="bottom"/>
            <w:shd w:val="clear" w:color="auto" w:fill="D8D8D8"/>
          </w:tcPr>
          <w:p>
            <w:pPr>
              <w:jc w:val="right"/>
              <w:spacing w:after="0"/>
              <w:rPr>
                <w:sz w:val="20"/>
                <w:szCs w:val="20"/>
                <w:color w:val="auto"/>
              </w:rPr>
            </w:pPr>
            <w:r>
              <w:rPr>
                <w:rFonts w:ascii="Arial" w:cs="Arial" w:eastAsia="Arial" w:hAnsi="Arial"/>
                <w:sz w:val="14"/>
                <w:szCs w:val="14"/>
                <w:color w:val="auto"/>
              </w:rPr>
              <w:t>70,813</w:t>
            </w:r>
          </w:p>
        </w:tc>
        <w:tc>
          <w:tcPr>
            <w:tcW w:w="640" w:type="dxa"/>
            <w:vAlign w:val="bottom"/>
            <w:shd w:val="clear" w:color="auto" w:fill="D8D8D8"/>
          </w:tcPr>
          <w:p>
            <w:pPr>
              <w:jc w:val="right"/>
              <w:ind w:right="30"/>
              <w:spacing w:after="0"/>
              <w:rPr>
                <w:sz w:val="20"/>
                <w:szCs w:val="20"/>
                <w:color w:val="auto"/>
              </w:rPr>
            </w:pPr>
            <w:r>
              <w:rPr>
                <w:rFonts w:ascii="Arial" w:cs="Arial" w:eastAsia="Arial" w:hAnsi="Arial"/>
                <w:sz w:val="14"/>
                <w:szCs w:val="14"/>
                <w:color w:val="auto"/>
              </w:rPr>
              <w:t>16.8</w:t>
            </w:r>
          </w:p>
        </w:tc>
        <w:tc>
          <w:tcPr>
            <w:tcW w:w="100" w:type="dxa"/>
            <w:vAlign w:val="bottom"/>
          </w:tcPr>
          <w:p>
            <w:pPr>
              <w:spacing w:after="0"/>
              <w:rPr>
                <w:sz w:val="14"/>
                <w:szCs w:val="14"/>
                <w:color w:val="auto"/>
              </w:rPr>
            </w:pPr>
          </w:p>
        </w:tc>
        <w:tc>
          <w:tcPr>
            <w:tcW w:w="640" w:type="dxa"/>
            <w:vAlign w:val="bottom"/>
          </w:tcPr>
          <w:p>
            <w:pPr>
              <w:jc w:val="right"/>
              <w:ind w:right="30"/>
              <w:spacing w:after="0"/>
              <w:rPr>
                <w:sz w:val="20"/>
                <w:szCs w:val="20"/>
                <w:color w:val="auto"/>
              </w:rPr>
            </w:pPr>
            <w:r>
              <w:rPr>
                <w:rFonts w:ascii="Arial" w:cs="Arial" w:eastAsia="Arial" w:hAnsi="Arial"/>
                <w:sz w:val="14"/>
                <w:szCs w:val="14"/>
                <w:color w:val="auto"/>
              </w:rPr>
              <w:t>72,552</w:t>
            </w:r>
          </w:p>
        </w:tc>
        <w:tc>
          <w:tcPr>
            <w:tcW w:w="580" w:type="dxa"/>
            <w:vAlign w:val="bottom"/>
          </w:tcPr>
          <w:p>
            <w:pPr>
              <w:jc w:val="right"/>
              <w:ind w:right="50"/>
              <w:spacing w:after="0"/>
              <w:rPr>
                <w:sz w:val="20"/>
                <w:szCs w:val="20"/>
                <w:color w:val="auto"/>
              </w:rPr>
            </w:pPr>
            <w:r>
              <w:rPr>
                <w:rFonts w:ascii="Arial" w:cs="Arial" w:eastAsia="Arial" w:hAnsi="Arial"/>
                <w:sz w:val="14"/>
                <w:szCs w:val="14"/>
                <w:color w:val="auto"/>
              </w:rPr>
              <w:t>16.1</w:t>
            </w:r>
          </w:p>
        </w:tc>
        <w:tc>
          <w:tcPr>
            <w:tcW w:w="760" w:type="dxa"/>
            <w:vAlign w:val="bottom"/>
          </w:tcPr>
          <w:p>
            <w:pPr>
              <w:jc w:val="right"/>
              <w:ind w:right="49"/>
              <w:spacing w:after="0"/>
              <w:rPr>
                <w:sz w:val="20"/>
                <w:szCs w:val="20"/>
                <w:color w:val="auto"/>
              </w:rPr>
            </w:pPr>
            <w:r>
              <w:rPr>
                <w:rFonts w:ascii="Arial" w:cs="Arial" w:eastAsia="Arial" w:hAnsi="Arial"/>
                <w:sz w:val="14"/>
                <w:szCs w:val="14"/>
                <w:color w:val="auto"/>
              </w:rPr>
              <w:t>91,571</w:t>
            </w:r>
          </w:p>
        </w:tc>
        <w:tc>
          <w:tcPr>
            <w:tcW w:w="560" w:type="dxa"/>
            <w:vAlign w:val="bottom"/>
          </w:tcPr>
          <w:p>
            <w:pPr>
              <w:jc w:val="right"/>
              <w:ind w:right="10"/>
              <w:spacing w:after="0"/>
              <w:rPr>
                <w:sz w:val="20"/>
                <w:szCs w:val="20"/>
                <w:color w:val="auto"/>
              </w:rPr>
            </w:pPr>
            <w:r>
              <w:rPr>
                <w:rFonts w:ascii="Arial" w:cs="Arial" w:eastAsia="Arial" w:hAnsi="Arial"/>
                <w:sz w:val="14"/>
                <w:szCs w:val="14"/>
                <w:color w:val="auto"/>
              </w:rPr>
              <w:t>19.6</w:t>
            </w:r>
          </w:p>
        </w:tc>
      </w:tr>
      <w:tr>
        <w:trPr>
          <w:trHeight w:val="162"/>
        </w:trPr>
        <w:tc>
          <w:tcPr>
            <w:tcW w:w="154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Other Americas</w:t>
            </w:r>
          </w:p>
        </w:tc>
        <w:tc>
          <w:tcPr>
            <w:tcW w:w="660" w:type="dxa"/>
            <w:vAlign w:val="bottom"/>
            <w:tcBorders>
              <w:bottom w:val="single" w:sz="8" w:color="auto"/>
            </w:tcBorders>
            <w:shd w:val="clear" w:color="auto" w:fill="D8D8D8"/>
          </w:tcPr>
          <w:p>
            <w:pPr>
              <w:jc w:val="right"/>
              <w:spacing w:after="0"/>
              <w:rPr>
                <w:sz w:val="20"/>
                <w:szCs w:val="20"/>
                <w:color w:val="auto"/>
              </w:rPr>
            </w:pPr>
            <w:r>
              <w:rPr>
                <w:rFonts w:ascii="Arial" w:cs="Arial" w:eastAsia="Arial" w:hAnsi="Arial"/>
                <w:sz w:val="14"/>
                <w:szCs w:val="14"/>
                <w:color w:val="auto"/>
              </w:rPr>
              <w:t>45,714</w:t>
            </w:r>
          </w:p>
        </w:tc>
        <w:tc>
          <w:tcPr>
            <w:tcW w:w="640" w:type="dxa"/>
            <w:vAlign w:val="bottom"/>
            <w:tcBorders>
              <w:bottom w:val="single" w:sz="8" w:color="auto"/>
            </w:tcBorders>
            <w:shd w:val="clear" w:color="auto" w:fill="D8D8D8"/>
          </w:tcPr>
          <w:p>
            <w:pPr>
              <w:jc w:val="right"/>
              <w:ind w:right="30"/>
              <w:spacing w:after="0"/>
              <w:rPr>
                <w:sz w:val="20"/>
                <w:szCs w:val="20"/>
                <w:color w:val="auto"/>
              </w:rPr>
            </w:pPr>
            <w:r>
              <w:rPr>
                <w:rFonts w:ascii="Arial" w:cs="Arial" w:eastAsia="Arial" w:hAnsi="Arial"/>
                <w:sz w:val="14"/>
                <w:szCs w:val="14"/>
                <w:color w:val="auto"/>
              </w:rPr>
              <w:t>10.9</w:t>
            </w: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45,426</w:t>
            </w:r>
          </w:p>
        </w:tc>
        <w:tc>
          <w:tcPr>
            <w:tcW w:w="58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color w:val="auto"/>
              </w:rPr>
              <w:t>10.1</w:t>
            </w:r>
          </w:p>
        </w:tc>
        <w:tc>
          <w:tcPr>
            <w:tcW w:w="76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35,049</w:t>
            </w:r>
          </w:p>
        </w:tc>
        <w:tc>
          <w:tcPr>
            <w:tcW w:w="56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rPr>
              <w:t>7.5</w:t>
            </w:r>
          </w:p>
        </w:tc>
      </w:tr>
      <w:tr>
        <w:trPr>
          <w:trHeight w:val="156"/>
        </w:trPr>
        <w:tc>
          <w:tcPr>
            <w:tcW w:w="1540" w:type="dxa"/>
            <w:vAlign w:val="bottom"/>
            <w:tcBorders>
              <w:bottom w:val="single" w:sz="8" w:color="auto"/>
            </w:tcBorders>
          </w:tcPr>
          <w:p>
            <w:pPr>
              <w:spacing w:after="0" w:line="155" w:lineRule="exact"/>
              <w:rPr>
                <w:sz w:val="20"/>
                <w:szCs w:val="20"/>
                <w:color w:val="auto"/>
              </w:rPr>
            </w:pPr>
            <w:r>
              <w:rPr>
                <w:rFonts w:ascii="Arial" w:cs="Arial" w:eastAsia="Arial" w:hAnsi="Arial"/>
                <w:sz w:val="14"/>
                <w:szCs w:val="14"/>
                <w:color w:val="auto"/>
              </w:rPr>
              <w:t>Total</w:t>
            </w:r>
          </w:p>
        </w:tc>
        <w:tc>
          <w:tcPr>
            <w:tcW w:w="660" w:type="dxa"/>
            <w:vAlign w:val="bottom"/>
            <w:tcBorders>
              <w:bottom w:val="single" w:sz="8" w:color="auto"/>
            </w:tcBorders>
            <w:shd w:val="clear" w:color="auto" w:fill="D8D8D8"/>
          </w:tcPr>
          <w:p>
            <w:pPr>
              <w:jc w:val="right"/>
              <w:spacing w:after="0" w:line="155" w:lineRule="exact"/>
              <w:rPr>
                <w:sz w:val="20"/>
                <w:szCs w:val="20"/>
                <w:color w:val="auto"/>
              </w:rPr>
            </w:pPr>
            <w:r>
              <w:rPr>
                <w:rFonts w:ascii="Arial" w:cs="Arial" w:eastAsia="Arial" w:hAnsi="Arial"/>
                <w:sz w:val="14"/>
                <w:szCs w:val="14"/>
                <w:color w:val="auto"/>
              </w:rPr>
              <w:t>421,105</w:t>
            </w:r>
          </w:p>
        </w:tc>
        <w:tc>
          <w:tcPr>
            <w:tcW w:w="640" w:type="dxa"/>
            <w:vAlign w:val="bottom"/>
            <w:tcBorders>
              <w:bottom w:val="single" w:sz="8" w:color="auto"/>
            </w:tcBorders>
            <w:shd w:val="clear" w:color="auto" w:fill="D8D8D8"/>
          </w:tcPr>
          <w:p>
            <w:pPr>
              <w:jc w:val="right"/>
              <w:ind w:right="30"/>
              <w:spacing w:after="0" w:line="155" w:lineRule="exact"/>
              <w:rPr>
                <w:sz w:val="20"/>
                <w:szCs w:val="20"/>
                <w:color w:val="auto"/>
              </w:rPr>
            </w:pPr>
            <w:r>
              <w:rPr>
                <w:rFonts w:ascii="Arial" w:cs="Arial" w:eastAsia="Arial" w:hAnsi="Arial"/>
                <w:sz w:val="14"/>
                <w:szCs w:val="14"/>
                <w:color w:val="auto"/>
              </w:rPr>
              <w:t>100.0</w:t>
            </w:r>
          </w:p>
        </w:tc>
        <w:tc>
          <w:tcPr>
            <w:tcW w:w="10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ind w:right="30"/>
              <w:spacing w:after="0" w:line="155" w:lineRule="exact"/>
              <w:rPr>
                <w:sz w:val="20"/>
                <w:szCs w:val="20"/>
                <w:color w:val="auto"/>
              </w:rPr>
            </w:pPr>
            <w:r>
              <w:rPr>
                <w:rFonts w:ascii="Arial" w:cs="Arial" w:eastAsia="Arial" w:hAnsi="Arial"/>
                <w:sz w:val="14"/>
                <w:szCs w:val="14"/>
                <w:color w:val="auto"/>
              </w:rPr>
              <w:t>451,235</w:t>
            </w:r>
          </w:p>
        </w:tc>
        <w:tc>
          <w:tcPr>
            <w:tcW w:w="580" w:type="dxa"/>
            <w:vAlign w:val="bottom"/>
            <w:tcBorders>
              <w:bottom w:val="single" w:sz="8" w:color="auto"/>
            </w:tcBorders>
          </w:tcPr>
          <w:p>
            <w:pPr>
              <w:jc w:val="right"/>
              <w:ind w:right="50"/>
              <w:spacing w:after="0" w:line="155" w:lineRule="exact"/>
              <w:rPr>
                <w:sz w:val="20"/>
                <w:szCs w:val="20"/>
                <w:color w:val="auto"/>
              </w:rPr>
            </w:pPr>
            <w:r>
              <w:rPr>
                <w:rFonts w:ascii="Arial" w:cs="Arial" w:eastAsia="Arial" w:hAnsi="Arial"/>
                <w:sz w:val="14"/>
                <w:szCs w:val="14"/>
                <w:color w:val="auto"/>
              </w:rPr>
              <w:t>100.0</w:t>
            </w:r>
          </w:p>
        </w:tc>
        <w:tc>
          <w:tcPr>
            <w:tcW w:w="760" w:type="dxa"/>
            <w:vAlign w:val="bottom"/>
            <w:tcBorders>
              <w:bottom w:val="single" w:sz="8" w:color="auto"/>
            </w:tcBorders>
          </w:tcPr>
          <w:p>
            <w:pPr>
              <w:jc w:val="right"/>
              <w:ind w:right="49"/>
              <w:spacing w:after="0" w:line="155" w:lineRule="exact"/>
              <w:rPr>
                <w:sz w:val="20"/>
                <w:szCs w:val="20"/>
                <w:color w:val="auto"/>
              </w:rPr>
            </w:pPr>
            <w:r>
              <w:rPr>
                <w:rFonts w:ascii="Arial" w:cs="Arial" w:eastAsia="Arial" w:hAnsi="Arial"/>
                <w:sz w:val="14"/>
                <w:szCs w:val="14"/>
                <w:color w:val="auto"/>
              </w:rPr>
              <w:t>467,153</w:t>
            </w:r>
          </w:p>
        </w:tc>
        <w:tc>
          <w:tcPr>
            <w:tcW w:w="560" w:type="dxa"/>
            <w:vAlign w:val="bottom"/>
            <w:tcBorders>
              <w:bottom w:val="single" w:sz="8" w:color="auto"/>
            </w:tcBorders>
          </w:tcPr>
          <w:p>
            <w:pPr>
              <w:jc w:val="right"/>
              <w:ind w:right="10"/>
              <w:spacing w:after="0" w:line="155" w:lineRule="exact"/>
              <w:rPr>
                <w:sz w:val="20"/>
                <w:szCs w:val="20"/>
                <w:color w:val="auto"/>
              </w:rPr>
            </w:pPr>
            <w:r>
              <w:rPr>
                <w:rFonts w:ascii="Arial" w:cs="Arial" w:eastAsia="Arial" w:hAnsi="Arial"/>
                <w:sz w:val="14"/>
                <w:szCs w:val="14"/>
                <w:color w:val="auto"/>
              </w:rPr>
              <w:t>100.0</w:t>
            </w: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RESEARCH AND DEVELOPMENT</w:t>
      </w:r>
    </w:p>
    <w:p>
      <w:pPr>
        <w:spacing w:after="0" w:line="1" w:lineRule="exact"/>
        <w:rPr>
          <w:sz w:val="20"/>
          <w:szCs w:val="20"/>
          <w:color w:val="auto"/>
        </w:rPr>
      </w:pPr>
    </w:p>
    <w:p>
      <w:pPr>
        <w:ind w:right="360"/>
        <w:spacing w:after="0" w:line="258" w:lineRule="auto"/>
        <w:rPr>
          <w:sz w:val="20"/>
          <w:szCs w:val="20"/>
          <w:color w:val="auto"/>
        </w:rPr>
      </w:pPr>
      <w:r>
        <w:rPr>
          <w:rFonts w:ascii="Arial" w:cs="Arial" w:eastAsia="Arial" w:hAnsi="Arial"/>
          <w:sz w:val="14"/>
          <w:szCs w:val="14"/>
          <w:color w:val="auto"/>
        </w:rPr>
        <w:t>Innovative technology provides ways for Shell to stand apart from its competitors. It helps our current businesses perform, and it makes future businesses possible.</w:t>
      </w:r>
    </w:p>
    <w:p>
      <w:pPr>
        <w:spacing w:after="0" w:line="167" w:lineRule="exact"/>
        <w:rPr>
          <w:sz w:val="20"/>
          <w:szCs w:val="20"/>
          <w:color w:val="auto"/>
        </w:rPr>
      </w:pPr>
    </w:p>
    <w:p>
      <w:pPr>
        <w:ind w:right="220"/>
        <w:spacing w:after="0" w:line="247" w:lineRule="auto"/>
        <w:rPr>
          <w:sz w:val="20"/>
          <w:szCs w:val="20"/>
          <w:color w:val="auto"/>
        </w:rPr>
      </w:pPr>
      <w:r>
        <w:rPr>
          <w:rFonts w:ascii="Arial" w:cs="Arial" w:eastAsia="Arial" w:hAnsi="Arial"/>
          <w:sz w:val="14"/>
          <w:szCs w:val="14"/>
          <w:color w:val="auto"/>
        </w:rPr>
        <w:t>Since 2007, we have spent more to research and develop innovative technology than any other international oil and gas company. In 2014, research and development (R&amp;D) expenses were $1,222 million, slightly down from $1,318 million in 2013 and $1,307 million in 2012.</w:t>
      </w:r>
    </w:p>
    <w:p>
      <w:pPr>
        <w:spacing w:after="0" w:line="161" w:lineRule="exact"/>
        <w:rPr>
          <w:sz w:val="20"/>
          <w:szCs w:val="20"/>
          <w:color w:val="auto"/>
        </w:rPr>
      </w:pPr>
    </w:p>
    <w:p>
      <w:pPr>
        <w:ind w:right="180"/>
        <w:spacing w:after="0" w:line="244" w:lineRule="auto"/>
        <w:rPr>
          <w:sz w:val="20"/>
          <w:szCs w:val="20"/>
          <w:color w:val="auto"/>
        </w:rPr>
      </w:pPr>
      <w:r>
        <w:rPr>
          <w:rFonts w:ascii="Arial" w:cs="Arial" w:eastAsia="Arial" w:hAnsi="Arial"/>
          <w:sz w:val="14"/>
          <w:szCs w:val="14"/>
          <w:color w:val="auto"/>
        </w:rPr>
        <w:t>Such levels of investment in R&amp;D enable us to advance technologies that help us access new resources and better meet the needs of our customers and partners. This includes: seismic processing and visualisation software that reveal previously unnoticed geological details; drilling-rig equipment that delivers wells more quickly and more safely; oil-recovery methods that increase production from fields; processes that refine crude oil and liquefy natural gas more efficiently; as well as fuel and lubricant formulations that perform better.</w:t>
      </w:r>
    </w:p>
    <w:p>
      <w:pPr>
        <w:spacing w:after="0" w:line="164" w:lineRule="exact"/>
        <w:rPr>
          <w:sz w:val="20"/>
          <w:szCs w:val="20"/>
          <w:color w:val="auto"/>
        </w:rPr>
      </w:pPr>
    </w:p>
    <w:p>
      <w:pPr>
        <w:ind w:right="420"/>
        <w:spacing w:after="0" w:line="250" w:lineRule="auto"/>
        <w:rPr>
          <w:sz w:val="20"/>
          <w:szCs w:val="20"/>
          <w:color w:val="auto"/>
        </w:rPr>
      </w:pPr>
      <w:r>
        <w:rPr>
          <w:rFonts w:ascii="Arial" w:cs="Arial" w:eastAsia="Arial" w:hAnsi="Arial"/>
          <w:sz w:val="14"/>
          <w:szCs w:val="14"/>
          <w:color w:val="auto"/>
        </w:rPr>
        <w:t>As in 2014, in 2015 we continue to focus strongly on technologies that support our various businesses and reduce the environmental footprint of our operations and products.</w:t>
      </w:r>
    </w:p>
    <w:p>
      <w:pPr>
        <w:sectPr>
          <w:pgSz w:w="11900" w:h="16838" w:orient="portrait"/>
          <w:cols w:equalWidth="0" w:num="2">
            <w:col w:w="5500" w:space="280"/>
            <w:col w:w="5640"/>
          </w:cols>
          <w:pgMar w:left="240" w:top="459" w:right="239" w:bottom="1440" w:gutter="0" w:footer="0" w:header="0"/>
        </w:sectPr>
      </w:pPr>
    </w:p>
    <w:bookmarkStart w:id="12" w:name="page13"/>
    <w:bookmarkEnd w:id="12"/>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3555365</wp:posOffset>
            </wp:positionH>
            <wp:positionV relativeFrom="paragraph">
              <wp:posOffset>314960</wp:posOffset>
            </wp:positionV>
            <wp:extent cx="3696335" cy="46291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696335" cy="462915"/>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11"/>
          <w:szCs w:val="11"/>
          <w:color w:val="auto"/>
        </w:rPr>
        <w:t>SHELL ANNUAL REPORT AND FORM 20-F 2014</w:t>
      </w:r>
    </w:p>
    <w:p>
      <w:pPr>
        <w:spacing w:after="0" w:line="59" w:lineRule="exact"/>
        <w:rPr>
          <w:sz w:val="20"/>
          <w:szCs w:val="20"/>
          <w:color w:val="auto"/>
        </w:rPr>
      </w:pPr>
    </w:p>
    <w:p>
      <w:pPr>
        <w:spacing w:after="0"/>
        <w:rPr>
          <w:sz w:val="20"/>
          <w:szCs w:val="20"/>
          <w:color w:val="auto"/>
        </w:rPr>
      </w:pPr>
      <w:r>
        <w:rPr>
          <w:rFonts w:ascii="Arial" w:cs="Arial" w:eastAsia="Arial" w:hAnsi="Arial"/>
          <w:sz w:val="31"/>
          <w:szCs w:val="31"/>
          <w:color w:val="auto"/>
        </w:rPr>
        <w:t>RISK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wp:posOffset>
            </wp:positionV>
            <wp:extent cx="347345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spacing w:after="0" w:line="189" w:lineRule="exact"/>
        <w:rPr>
          <w:sz w:val="20"/>
          <w:szCs w:val="20"/>
          <w:color w:val="auto"/>
        </w:rPr>
      </w:pPr>
    </w:p>
    <w:p>
      <w:pPr>
        <w:jc w:val="both"/>
        <w:ind w:right="380"/>
        <w:spacing w:after="0" w:line="250" w:lineRule="auto"/>
        <w:rPr>
          <w:sz w:val="20"/>
          <w:szCs w:val="20"/>
          <w:color w:val="auto"/>
        </w:rPr>
      </w:pPr>
      <w:r>
        <w:rPr>
          <w:rFonts w:ascii="Arial" w:cs="Arial" w:eastAsia="Arial" w:hAnsi="Arial"/>
          <w:sz w:val="14"/>
          <w:szCs w:val="14"/>
          <w:color w:val="auto"/>
        </w:rPr>
        <w:t>The risks discussed below could have a material adverse effect separately, or in combination, on our operational performance, earnings, cash flows and financial condition. Accordingly, investors should carefully consider these risks.</w:t>
      </w:r>
    </w:p>
    <w:p>
      <w:pPr>
        <w:spacing w:after="0" w:line="141" w:lineRule="exact"/>
        <w:rPr>
          <w:sz w:val="20"/>
          <w:szCs w:val="20"/>
          <w:color w:val="auto"/>
        </w:rPr>
      </w:pPr>
    </w:p>
    <w:p>
      <w:pPr>
        <w:ind w:right="100"/>
        <w:spacing w:after="0" w:line="255" w:lineRule="auto"/>
        <w:rPr>
          <w:sz w:val="20"/>
          <w:szCs w:val="20"/>
          <w:color w:val="auto"/>
        </w:rPr>
      </w:pPr>
      <w:r>
        <w:rPr>
          <w:rFonts w:ascii="Arial" w:cs="Arial" w:eastAsia="Arial" w:hAnsi="Arial"/>
          <w:sz w:val="14"/>
          <w:szCs w:val="14"/>
          <w:b w:val="1"/>
          <w:bCs w:val="1"/>
          <w:color w:val="auto"/>
        </w:rPr>
        <w:t>We are exposed to fluctuating prices of crude oil, natural gas, oil products and chemicals.</w:t>
      </w:r>
    </w:p>
    <w:p>
      <w:pPr>
        <w:ind w:right="40"/>
        <w:spacing w:after="0" w:line="242" w:lineRule="auto"/>
        <w:rPr>
          <w:sz w:val="20"/>
          <w:szCs w:val="20"/>
          <w:color w:val="auto"/>
        </w:rPr>
      </w:pPr>
      <w:r>
        <w:rPr>
          <w:rFonts w:ascii="Arial" w:cs="Arial" w:eastAsia="Arial" w:hAnsi="Arial"/>
          <w:sz w:val="14"/>
          <w:szCs w:val="14"/>
          <w:color w:val="auto"/>
        </w:rPr>
        <w:t>Prices of crude oil, natural gas, oil products and chemicals are affected by supply and demand, both globally and regionally. Moreover, prices for oil and gas can move independently from each other. Factors that influence supply and demand include operational issues, natural disasters, weather, political instability, conflicts, economic conditions and actions by major oil-producing countries. Price fluctuations could have a material effect on our business, including on our cash flows and earnings. For example, in a low oil and gas price environment, Shell would generate less revenue from its Upstream production, and as a result some long-term projects might become less profitable, or even incur losses. Additionally, low oil and gas prices could result in the debooking of proved oil or gas reserves, if they become uneconomic in this type of environment. Prolonged periods of low oil and gas prices, or rising costs, could result in projects being delayed or cancelled and/or in the impairment of some assets. They may also impact our ability to maintain our long-term investment programme. In a high oil and gas price environment, we could experience sharp increases in costs, and under some production-sharing contracts our entitlement to proved reserves would be reduced. Higher prices could also reduce demand for our products which might result in lower profitability, particularly in our Downstream business.</w:t>
      </w:r>
    </w:p>
    <w:p>
      <w:pPr>
        <w:spacing w:after="0" w:line="171" w:lineRule="exact"/>
        <w:rPr>
          <w:sz w:val="20"/>
          <w:szCs w:val="20"/>
          <w:color w:val="auto"/>
        </w:rPr>
      </w:pPr>
    </w:p>
    <w:p>
      <w:pPr>
        <w:ind w:right="540"/>
        <w:spacing w:after="0" w:line="241" w:lineRule="auto"/>
        <w:rPr>
          <w:sz w:val="20"/>
          <w:szCs w:val="20"/>
          <w:color w:val="auto"/>
        </w:rPr>
      </w:pPr>
      <w:r>
        <w:rPr>
          <w:rFonts w:ascii="Arial" w:cs="Arial" w:eastAsia="Arial" w:hAnsi="Arial"/>
          <w:sz w:val="14"/>
          <w:szCs w:val="14"/>
          <w:color w:val="auto"/>
        </w:rPr>
        <w:t>Our ability to deliver competitive returns and pursue commercial opportunities depends in part on the robustness and, ultimately, the accuracy of our price assumptions.</w:t>
      </w:r>
    </w:p>
    <w:p>
      <w:pPr>
        <w:spacing w:after="0" w:line="1" w:lineRule="exact"/>
        <w:rPr>
          <w:sz w:val="20"/>
          <w:szCs w:val="20"/>
          <w:color w:val="auto"/>
        </w:rPr>
      </w:pPr>
    </w:p>
    <w:p>
      <w:pPr>
        <w:ind w:right="40"/>
        <w:spacing w:after="0" w:line="244" w:lineRule="auto"/>
        <w:rPr>
          <w:sz w:val="20"/>
          <w:szCs w:val="20"/>
          <w:color w:val="auto"/>
        </w:rPr>
      </w:pPr>
      <w:r>
        <w:rPr>
          <w:rFonts w:ascii="Arial" w:cs="Arial" w:eastAsia="Arial" w:hAnsi="Arial"/>
          <w:sz w:val="14"/>
          <w:szCs w:val="14"/>
          <w:color w:val="auto"/>
        </w:rPr>
        <w:t>Shell reviews the oil and gas price assumptions it uses to evaluate project decisions and commercial opportunities on a periodic basis. We generally test projects and other opportunities against a long-term price range of $70-110 per barrel for Brent crude oil and $3.5-5.0 per million British thermal units for gas at the Henry Hub. While we believe our current long-term price assumptions are prudent, if such assumptions proved to be incorrect it could have a material adverse effect on Shell. For near-term planning purposes, we stress test the financial framework against a wider range of prices.</w:t>
      </w:r>
    </w:p>
    <w:p>
      <w:pPr>
        <w:spacing w:after="0" w:line="322" w:lineRule="exact"/>
        <w:rPr>
          <w:sz w:val="20"/>
          <w:szCs w:val="20"/>
          <w:color w:val="auto"/>
        </w:rPr>
      </w:pPr>
    </w:p>
    <w:p>
      <w:pPr>
        <w:ind w:right="660"/>
        <w:spacing w:after="0" w:line="255" w:lineRule="auto"/>
        <w:rPr>
          <w:sz w:val="20"/>
          <w:szCs w:val="20"/>
          <w:color w:val="auto"/>
        </w:rPr>
      </w:pPr>
      <w:r>
        <w:rPr>
          <w:rFonts w:ascii="Arial" w:cs="Arial" w:eastAsia="Arial" w:hAnsi="Arial"/>
          <w:sz w:val="14"/>
          <w:szCs w:val="14"/>
          <w:b w:val="1"/>
          <w:bCs w:val="1"/>
          <w:color w:val="auto"/>
        </w:rPr>
        <w:t>Our ability to achieve strategic objectives depends on how we react to competitive forces.</w:t>
      </w:r>
    </w:p>
    <w:p>
      <w:pPr>
        <w:spacing w:after="0" w:line="243" w:lineRule="auto"/>
        <w:rPr>
          <w:sz w:val="20"/>
          <w:szCs w:val="20"/>
          <w:color w:val="auto"/>
        </w:rPr>
      </w:pPr>
      <w:r>
        <w:rPr>
          <w:rFonts w:ascii="Arial" w:cs="Arial" w:eastAsia="Arial" w:hAnsi="Arial"/>
          <w:sz w:val="14"/>
          <w:szCs w:val="14"/>
          <w:color w:val="auto"/>
        </w:rPr>
        <w:t>We face competition in each of our businesses. While we seek to differentiate our products, many of them are competing in commodity-type markets. If we do not manage our expenses adequately, our cost efficiency could deteriorate and our unit costs may increase. This in turn could erode our competitive position. Increasingly, we compete with government-run oil and gas companies, particularly in seeking access to oil and gas resources. Today, these government-run companies control vastly greater quantities of oil and gas resources than the major, publicly held oil and gas companies. Government-run entities have access to significant resources and may be motivated by political or other factors in their business decisions, which may harm our competitive position or hinder our access to desirable projects.</w:t>
      </w:r>
    </w:p>
    <w:p>
      <w:pPr>
        <w:spacing w:after="0" w:line="148" w:lineRule="exact"/>
        <w:rPr>
          <w:sz w:val="20"/>
          <w:szCs w:val="20"/>
          <w:color w:val="auto"/>
        </w:rPr>
      </w:pPr>
    </w:p>
    <w:p>
      <w:pPr>
        <w:ind w:right="140"/>
        <w:spacing w:after="0" w:line="250" w:lineRule="auto"/>
        <w:rPr>
          <w:sz w:val="20"/>
          <w:szCs w:val="20"/>
          <w:color w:val="auto"/>
        </w:rPr>
      </w:pPr>
      <w:r>
        <w:rPr>
          <w:rFonts w:ascii="Arial" w:cs="Arial" w:eastAsia="Arial" w:hAnsi="Arial"/>
          <w:sz w:val="14"/>
          <w:szCs w:val="14"/>
          <w:b w:val="1"/>
          <w:bCs w:val="1"/>
          <w:color w:val="auto"/>
        </w:rPr>
        <w:t>As our business model involves treasury and trading risks, we are affected by the global macroeconomic environment as well as financial and commodity market conditions.</w:t>
      </w:r>
    </w:p>
    <w:p>
      <w:pPr>
        <w:spacing w:after="0" w:line="1" w:lineRule="exact"/>
        <w:rPr>
          <w:sz w:val="20"/>
          <w:szCs w:val="20"/>
          <w:color w:val="auto"/>
        </w:rPr>
      </w:pPr>
    </w:p>
    <w:p>
      <w:pPr>
        <w:ind w:right="20"/>
        <w:spacing w:after="0" w:line="245" w:lineRule="auto"/>
        <w:rPr>
          <w:sz w:val="20"/>
          <w:szCs w:val="20"/>
          <w:color w:val="auto"/>
        </w:rPr>
      </w:pPr>
      <w:r>
        <w:rPr>
          <w:rFonts w:ascii="Arial" w:cs="Arial" w:eastAsia="Arial" w:hAnsi="Arial"/>
          <w:sz w:val="14"/>
          <w:szCs w:val="14"/>
          <w:color w:val="auto"/>
        </w:rPr>
        <w:t>Shell subsidiaries, joint ventures and associates are subject to differing economic and financial market conditions throughout the world. Political or economic instability affects such markets. Shell uses debt instruments such as bonds and commercial paper to raise significant amounts of capital. Should our access to debt markets become more difficult, the potential impact on our liquidity could have an adverse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419"/>
        </w:trPr>
        <w:tc>
          <w:tcPr>
            <w:tcW w:w="3780" w:type="dxa"/>
            <w:vAlign w:val="bottom"/>
            <w:shd w:val="clear" w:color="auto" w:fill="FF8B00"/>
          </w:tcPr>
          <w:p>
            <w:pPr>
              <w:spacing w:after="0"/>
              <w:rPr>
                <w:sz w:val="24"/>
                <w:szCs w:val="24"/>
                <w:color w:val="auto"/>
              </w:rPr>
            </w:pPr>
          </w:p>
        </w:tc>
        <w:tc>
          <w:tcPr>
            <w:tcW w:w="2040" w:type="dxa"/>
            <w:vAlign w:val="bottom"/>
            <w:shd w:val="clear" w:color="auto" w:fill="FF8B00"/>
          </w:tcPr>
          <w:p>
            <w:pPr>
              <w:spacing w:after="0"/>
              <w:rPr>
                <w:sz w:val="24"/>
                <w:szCs w:val="24"/>
                <w:color w:val="auto"/>
              </w:rPr>
            </w:pPr>
          </w:p>
        </w:tc>
      </w:tr>
      <w:tr>
        <w:trPr>
          <w:trHeight w:val="152"/>
        </w:trPr>
        <w:tc>
          <w:tcPr>
            <w:tcW w:w="3780" w:type="dxa"/>
            <w:vAlign w:val="bottom"/>
          </w:tcPr>
          <w:p>
            <w:pPr>
              <w:ind w:left="940"/>
              <w:spacing w:after="0"/>
              <w:rPr>
                <w:sz w:val="20"/>
                <w:szCs w:val="20"/>
                <w:color w:val="auto"/>
              </w:rPr>
            </w:pPr>
            <w:r>
              <w:rPr>
                <w:rFonts w:ascii="Arial" w:cs="Arial" w:eastAsia="Arial" w:hAnsi="Arial"/>
                <w:sz w:val="13"/>
                <w:szCs w:val="13"/>
                <w:color w:val="333333"/>
              </w:rPr>
              <w:t>STRATEGIC REPORT</w:t>
            </w:r>
          </w:p>
        </w:tc>
        <w:tc>
          <w:tcPr>
            <w:tcW w:w="2040" w:type="dxa"/>
            <w:vAlign w:val="bottom"/>
          </w:tcPr>
          <w:p>
            <w:pPr>
              <w:jc w:val="right"/>
              <w:ind w:right="306"/>
              <w:spacing w:after="0"/>
              <w:rPr>
                <w:sz w:val="20"/>
                <w:szCs w:val="20"/>
                <w:color w:val="auto"/>
              </w:rPr>
            </w:pPr>
            <w:r>
              <w:rPr>
                <w:rFonts w:ascii="Arial" w:cs="Arial" w:eastAsia="Arial" w:hAnsi="Arial"/>
                <w:sz w:val="11"/>
                <w:szCs w:val="11"/>
                <w:b w:val="1"/>
                <w:bCs w:val="1"/>
                <w:color w:val="333333"/>
              </w:rPr>
              <w:t>11</w:t>
            </w:r>
          </w:p>
        </w:tc>
      </w:tr>
    </w:tbl>
    <w:p>
      <w:pPr>
        <w:spacing w:after="0" w:line="155" w:lineRule="exact"/>
        <w:rPr>
          <w:sz w:val="20"/>
          <w:szCs w:val="20"/>
          <w:color w:val="auto"/>
        </w:rPr>
      </w:pPr>
    </w:p>
    <w:p>
      <w:pPr>
        <w:ind w:left="940"/>
        <w:spacing w:after="0"/>
        <w:rPr>
          <w:sz w:val="20"/>
          <w:szCs w:val="20"/>
          <w:color w:val="auto"/>
        </w:rPr>
      </w:pPr>
      <w:r>
        <w:rPr>
          <w:rFonts w:ascii="Arial" w:cs="Arial" w:eastAsia="Arial" w:hAnsi="Arial"/>
          <w:sz w:val="11"/>
          <w:szCs w:val="11"/>
          <w:color w:val="auto"/>
        </w:rPr>
        <w:t>RISK FACTORS</w:t>
      </w:r>
    </w:p>
    <w:p>
      <w:pPr>
        <w:spacing w:after="0" w:line="57" w:lineRule="exact"/>
        <w:rPr>
          <w:sz w:val="20"/>
          <w:szCs w:val="20"/>
          <w:color w:val="auto"/>
        </w:rPr>
      </w:pPr>
    </w:p>
    <w:p>
      <w:pPr>
        <w:ind w:left="180" w:right="200"/>
        <w:spacing w:after="0" w:line="242" w:lineRule="auto"/>
        <w:rPr>
          <w:sz w:val="20"/>
          <w:szCs w:val="20"/>
          <w:color w:val="auto"/>
        </w:rPr>
      </w:pPr>
      <w:r>
        <w:rPr>
          <w:rFonts w:ascii="Arial" w:cs="Arial" w:eastAsia="Arial" w:hAnsi="Arial"/>
          <w:sz w:val="14"/>
          <w:szCs w:val="14"/>
          <w:color w:val="auto"/>
        </w:rPr>
        <w:t>effect on our operations. Commodity trading is an important component of our Upstream and Downstream businesses and is integrated with our supply business. Treasury and trading risks include, among others, exposure to movements in interest rates, foreign exchange rates and commodity prices, counterparty default and various operational risks. As a global company doing business in more than 70 countries, we are exposed to changes in currency values and exchange controls. While we undertake some currency hedging, we do not do so for all of our activities. See Notes 6 and 19 to the “Consolidated Financial Statements”. Shell has significant financial exposure to the euro and could be materially affected by a significant change in its value or any structural changes to the European Union (EU) or the European Economic and Monetary Union affecting the euro. While we do not have significant direct exposure to sovereign debt, it is possible that our partners and customers may have exposure which could impair their ability to meet their obligations to us. Therefore, a sovereign debt downgrade or default could have a material adverse effect on Shell.</w:t>
      </w:r>
    </w:p>
    <w:p>
      <w:pPr>
        <w:spacing w:after="0" w:line="347" w:lineRule="exact"/>
        <w:rPr>
          <w:sz w:val="20"/>
          <w:szCs w:val="20"/>
          <w:color w:val="auto"/>
        </w:rPr>
      </w:pPr>
    </w:p>
    <w:p>
      <w:pPr>
        <w:ind w:left="180" w:right="500"/>
        <w:spacing w:after="0" w:line="241" w:lineRule="auto"/>
        <w:rPr>
          <w:sz w:val="20"/>
          <w:szCs w:val="20"/>
          <w:color w:val="auto"/>
        </w:rPr>
      </w:pPr>
      <w:r>
        <w:rPr>
          <w:rFonts w:ascii="Arial" w:cs="Arial" w:eastAsia="Arial" w:hAnsi="Arial"/>
          <w:sz w:val="14"/>
          <w:szCs w:val="14"/>
          <w:color w:val="auto"/>
        </w:rPr>
        <w:t>Our future hydrocarbon production depends on the delivery of large and complex projects, as well as on our ability to replace proved oil and gas reserves.</w:t>
      </w:r>
    </w:p>
    <w:p>
      <w:pPr>
        <w:spacing w:after="0" w:line="1" w:lineRule="exact"/>
        <w:rPr>
          <w:sz w:val="20"/>
          <w:szCs w:val="20"/>
          <w:color w:val="auto"/>
        </w:rPr>
      </w:pPr>
    </w:p>
    <w:p>
      <w:pPr>
        <w:ind w:left="180" w:right="300"/>
        <w:spacing w:after="0" w:line="242" w:lineRule="auto"/>
        <w:rPr>
          <w:sz w:val="20"/>
          <w:szCs w:val="20"/>
          <w:color w:val="auto"/>
        </w:rPr>
      </w:pPr>
      <w:r>
        <w:rPr>
          <w:rFonts w:ascii="Arial" w:cs="Arial" w:eastAsia="Arial" w:hAnsi="Arial"/>
          <w:sz w:val="14"/>
          <w:szCs w:val="14"/>
          <w:color w:val="auto"/>
        </w:rPr>
        <w:t>We face numerous challenges in developing capital projects, especially large ones. Challenges include uncertain geology, frontier conditions, the existence and availability of necessary technology and engineering resources, availability of skilled labour, project delays, expiration of licences and potential cost overruns, as well as technical, fiscal, regulatory, political and other conditions. These challenges are particularly relevant in certain developing and emerging market countries, such as Iraq and Kazakhstan, and in frontier areas, such as the Arctic. Such potential obstacles may impair our delivery of these projects, as well as our ability to fulfil related contractual commitments. Future oil and gas production will depend on our access to new proved reserves through exploration, negotiations with governments and other owners of proved reserves and acquisitions, as well as developing and applying new technologies and recovery processes to existing fields and mines. Failure to replace proved reserves could result in lower future production, cash flow and earnings.</w:t>
      </w:r>
    </w:p>
    <w:p>
      <w:pPr>
        <w:spacing w:after="0" w:line="172" w:lineRule="exact"/>
        <w:rPr>
          <w:sz w:val="20"/>
          <w:szCs w:val="20"/>
          <w:color w:val="auto"/>
        </w:rPr>
      </w:pPr>
    </w:p>
    <w:p>
      <w:pPr>
        <w:ind w:left="180" w:right="340"/>
        <w:spacing w:after="0" w:line="250" w:lineRule="auto"/>
        <w:rPr>
          <w:sz w:val="20"/>
          <w:szCs w:val="20"/>
          <w:color w:val="auto"/>
        </w:rPr>
      </w:pPr>
      <w:r>
        <w:rPr>
          <w:rFonts w:ascii="Arial" w:cs="Arial" w:eastAsia="Arial" w:hAnsi="Arial"/>
          <w:sz w:val="14"/>
          <w:szCs w:val="14"/>
          <w:color w:val="auto"/>
        </w:rPr>
        <w:t>In 2014, we have reduced our tight-gas and liquids-rich shale portfolio. If future well results do not meet our expectations, there could be additional asset sales and/or impairments.</w:t>
      </w:r>
    </w:p>
    <w:p>
      <w:pPr>
        <w:spacing w:after="0" w:line="184" w:lineRule="exact"/>
        <w:rPr>
          <w:sz w:val="20"/>
          <w:szCs w:val="20"/>
          <w:color w:val="auto"/>
        </w:rPr>
      </w:pPr>
    </w:p>
    <w:tbl>
      <w:tblPr>
        <w:tblLayout w:type="fixed"/>
        <w:tblInd w:w="180" w:type="dxa"/>
        <w:tblCellMar>
          <w:top w:w="0" w:type="dxa"/>
          <w:left w:w="0" w:type="dxa"/>
          <w:bottom w:w="0" w:type="dxa"/>
          <w:right w:w="0" w:type="dxa"/>
        </w:tblCellMar>
      </w:tblPr>
      <w:tr>
        <w:trPr>
          <w:trHeight w:val="172"/>
        </w:trPr>
        <w:tc>
          <w:tcPr>
            <w:tcW w:w="3980" w:type="dxa"/>
            <w:vAlign w:val="bottom"/>
            <w:gridSpan w:val="3"/>
            <w:shd w:val="clear" w:color="auto" w:fill="333333"/>
          </w:tcPr>
          <w:p>
            <w:pPr>
              <w:ind w:left="60"/>
              <w:spacing w:after="0"/>
              <w:rPr>
                <w:sz w:val="20"/>
                <w:szCs w:val="20"/>
                <w:color w:val="auto"/>
              </w:rPr>
            </w:pPr>
            <w:r>
              <w:rPr>
                <w:rFonts w:ascii="Arial" w:cs="Arial" w:eastAsia="Arial" w:hAnsi="Arial"/>
                <w:sz w:val="15"/>
                <w:szCs w:val="15"/>
                <w:b w:val="1"/>
                <w:bCs w:val="1"/>
                <w:color w:val="FFFFFF"/>
              </w:rPr>
              <w:t>OIL AND GAS PRODUCTION AVAILABLE FOR SALE</w:t>
            </w:r>
          </w:p>
        </w:tc>
        <w:tc>
          <w:tcPr>
            <w:tcW w:w="1500" w:type="dxa"/>
            <w:vAlign w:val="bottom"/>
            <w:gridSpan w:val="2"/>
            <w:shd w:val="clear" w:color="auto" w:fill="333333"/>
          </w:tcPr>
          <w:p>
            <w:pPr>
              <w:jc w:val="right"/>
              <w:ind w:right="50"/>
              <w:spacing w:after="0"/>
              <w:rPr>
                <w:sz w:val="20"/>
                <w:szCs w:val="20"/>
                <w:color w:val="auto"/>
              </w:rPr>
            </w:pPr>
            <w:r>
              <w:rPr>
                <w:rFonts w:ascii="Arial" w:cs="Arial" w:eastAsia="Arial" w:hAnsi="Arial"/>
                <w:sz w:val="15"/>
                <w:szCs w:val="15"/>
                <w:color w:val="FFFFFF"/>
              </w:rPr>
              <w:t>MILLION BOE [A]</w:t>
            </w:r>
          </w:p>
        </w:tc>
      </w:tr>
      <w:tr>
        <w:trPr>
          <w:trHeight w:val="149"/>
        </w:trPr>
        <w:tc>
          <w:tcPr>
            <w:tcW w:w="258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shd w:val="clear" w:color="auto" w:fill="D8D8D8"/>
          </w:tcPr>
          <w:p>
            <w:pPr>
              <w:jc w:val="right"/>
              <w:ind w:right="150"/>
              <w:spacing w:after="0"/>
              <w:rPr>
                <w:sz w:val="20"/>
                <w:szCs w:val="20"/>
                <w:color w:val="auto"/>
              </w:rPr>
            </w:pPr>
            <w:r>
              <w:rPr>
                <w:rFonts w:ascii="Arial" w:cs="Arial" w:eastAsia="Arial" w:hAnsi="Arial"/>
                <w:sz w:val="13"/>
                <w:szCs w:val="13"/>
                <w:color w:val="auto"/>
              </w:rPr>
              <w:t>2014</w:t>
            </w:r>
          </w:p>
        </w:tc>
        <w:tc>
          <w:tcPr>
            <w:tcW w:w="52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149"/>
              <w:spacing w:after="0"/>
              <w:rPr>
                <w:sz w:val="20"/>
                <w:szCs w:val="20"/>
                <w:color w:val="auto"/>
              </w:rPr>
            </w:pPr>
            <w:r>
              <w:rPr>
                <w:rFonts w:ascii="Arial" w:cs="Arial" w:eastAsia="Arial" w:hAnsi="Arial"/>
                <w:sz w:val="13"/>
                <w:szCs w:val="13"/>
                <w:color w:val="auto"/>
              </w:rPr>
              <w:t>2013</w:t>
            </w:r>
          </w:p>
        </w:tc>
        <w:tc>
          <w:tcPr>
            <w:tcW w:w="800" w:type="dxa"/>
            <w:vAlign w:val="bottom"/>
            <w:tcBorders>
              <w:bottom w:val="single" w:sz="8" w:color="auto"/>
            </w:tcBorders>
          </w:tcPr>
          <w:p>
            <w:pPr>
              <w:jc w:val="right"/>
              <w:ind w:right="150"/>
              <w:spacing w:after="0"/>
              <w:rPr>
                <w:sz w:val="20"/>
                <w:szCs w:val="20"/>
                <w:color w:val="auto"/>
              </w:rPr>
            </w:pPr>
            <w:r>
              <w:rPr>
                <w:rFonts w:ascii="Arial" w:cs="Arial" w:eastAsia="Arial" w:hAnsi="Arial"/>
                <w:sz w:val="13"/>
                <w:szCs w:val="13"/>
                <w:color w:val="auto"/>
              </w:rPr>
              <w:t>2012</w:t>
            </w:r>
          </w:p>
        </w:tc>
      </w:tr>
      <w:tr>
        <w:trPr>
          <w:trHeight w:val="156"/>
        </w:trPr>
        <w:tc>
          <w:tcPr>
            <w:tcW w:w="2580" w:type="dxa"/>
            <w:vAlign w:val="bottom"/>
          </w:tcPr>
          <w:p>
            <w:pPr>
              <w:spacing w:after="0" w:line="155" w:lineRule="exact"/>
              <w:rPr>
                <w:sz w:val="20"/>
                <w:szCs w:val="20"/>
                <w:color w:val="auto"/>
              </w:rPr>
            </w:pPr>
            <w:r>
              <w:rPr>
                <w:rFonts w:ascii="Arial" w:cs="Arial" w:eastAsia="Arial" w:hAnsi="Arial"/>
                <w:sz w:val="14"/>
                <w:szCs w:val="14"/>
                <w:color w:val="auto"/>
              </w:rPr>
              <w:t>Shell subsidiaries</w:t>
            </w:r>
          </w:p>
        </w:tc>
        <w:tc>
          <w:tcPr>
            <w:tcW w:w="880" w:type="dxa"/>
            <w:vAlign w:val="bottom"/>
            <w:shd w:val="clear" w:color="auto" w:fill="D8D8D8"/>
          </w:tcPr>
          <w:p>
            <w:pPr>
              <w:jc w:val="right"/>
              <w:ind w:right="150"/>
              <w:spacing w:after="0" w:line="155" w:lineRule="exact"/>
              <w:rPr>
                <w:sz w:val="20"/>
                <w:szCs w:val="20"/>
                <w:color w:val="auto"/>
              </w:rPr>
            </w:pPr>
            <w:r>
              <w:rPr>
                <w:rFonts w:ascii="Arial" w:cs="Arial" w:eastAsia="Arial" w:hAnsi="Arial"/>
                <w:sz w:val="14"/>
                <w:szCs w:val="14"/>
                <w:color w:val="auto"/>
              </w:rPr>
              <w:t>895</w:t>
            </w:r>
          </w:p>
        </w:tc>
        <w:tc>
          <w:tcPr>
            <w:tcW w:w="520" w:type="dxa"/>
            <w:vAlign w:val="bottom"/>
          </w:tcPr>
          <w:p>
            <w:pPr>
              <w:spacing w:after="0"/>
              <w:rPr>
                <w:sz w:val="13"/>
                <w:szCs w:val="13"/>
                <w:color w:val="auto"/>
              </w:rPr>
            </w:pPr>
          </w:p>
        </w:tc>
        <w:tc>
          <w:tcPr>
            <w:tcW w:w="700" w:type="dxa"/>
            <w:vAlign w:val="bottom"/>
          </w:tcPr>
          <w:p>
            <w:pPr>
              <w:jc w:val="right"/>
              <w:ind w:right="149"/>
              <w:spacing w:after="0" w:line="155" w:lineRule="exact"/>
              <w:rPr>
                <w:sz w:val="20"/>
                <w:szCs w:val="20"/>
                <w:color w:val="auto"/>
              </w:rPr>
            </w:pPr>
            <w:r>
              <w:rPr>
                <w:rFonts w:ascii="Arial" w:cs="Arial" w:eastAsia="Arial" w:hAnsi="Arial"/>
                <w:sz w:val="14"/>
                <w:szCs w:val="14"/>
                <w:color w:val="auto"/>
              </w:rPr>
              <w:t>850</w:t>
            </w:r>
          </w:p>
        </w:tc>
        <w:tc>
          <w:tcPr>
            <w:tcW w:w="800" w:type="dxa"/>
            <w:vAlign w:val="bottom"/>
          </w:tcPr>
          <w:p>
            <w:pPr>
              <w:jc w:val="right"/>
              <w:ind w:right="150"/>
              <w:spacing w:after="0" w:line="155" w:lineRule="exact"/>
              <w:rPr>
                <w:sz w:val="20"/>
                <w:szCs w:val="20"/>
                <w:color w:val="auto"/>
              </w:rPr>
            </w:pPr>
            <w:r>
              <w:rPr>
                <w:rFonts w:ascii="Arial" w:cs="Arial" w:eastAsia="Arial" w:hAnsi="Arial"/>
                <w:sz w:val="14"/>
                <w:szCs w:val="14"/>
                <w:color w:val="auto"/>
              </w:rPr>
              <w:t>825</w:t>
            </w:r>
          </w:p>
        </w:tc>
      </w:tr>
      <w:tr>
        <w:trPr>
          <w:trHeight w:val="167"/>
        </w:trPr>
        <w:tc>
          <w:tcPr>
            <w:tcW w:w="2580" w:type="dxa"/>
            <w:vAlign w:val="bottom"/>
          </w:tcPr>
          <w:p>
            <w:pPr>
              <w:spacing w:after="0"/>
              <w:rPr>
                <w:sz w:val="20"/>
                <w:szCs w:val="20"/>
                <w:color w:val="auto"/>
              </w:rPr>
            </w:pPr>
            <w:r>
              <w:rPr>
                <w:rFonts w:ascii="Arial" w:cs="Arial" w:eastAsia="Arial" w:hAnsi="Arial"/>
                <w:sz w:val="14"/>
                <w:szCs w:val="14"/>
                <w:color w:val="auto"/>
              </w:rPr>
              <w:t>Shell share of joint ventures and</w:t>
            </w:r>
          </w:p>
        </w:tc>
        <w:tc>
          <w:tcPr>
            <w:tcW w:w="880" w:type="dxa"/>
            <w:vAlign w:val="bottom"/>
            <w:shd w:val="clear" w:color="auto" w:fill="D8D8D8"/>
          </w:tcPr>
          <w:p>
            <w:pPr>
              <w:spacing w:after="0"/>
              <w:rPr>
                <w:sz w:val="14"/>
                <w:szCs w:val="14"/>
                <w:color w:val="auto"/>
              </w:rPr>
            </w:pPr>
          </w:p>
        </w:tc>
        <w:tc>
          <w:tcPr>
            <w:tcW w:w="5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57"/>
        </w:trPr>
        <w:tc>
          <w:tcPr>
            <w:tcW w:w="2580" w:type="dxa"/>
            <w:vAlign w:val="bottom"/>
            <w:tcBorders>
              <w:bottom w:val="single" w:sz="8" w:color="auto"/>
            </w:tcBorders>
          </w:tcPr>
          <w:p>
            <w:pPr>
              <w:ind w:left="140"/>
              <w:spacing w:after="0" w:line="157" w:lineRule="exact"/>
              <w:rPr>
                <w:sz w:val="20"/>
                <w:szCs w:val="20"/>
                <w:color w:val="auto"/>
              </w:rPr>
            </w:pPr>
            <w:r>
              <w:rPr>
                <w:rFonts w:ascii="Arial" w:cs="Arial" w:eastAsia="Arial" w:hAnsi="Arial"/>
                <w:sz w:val="14"/>
                <w:szCs w:val="14"/>
                <w:color w:val="auto"/>
              </w:rPr>
              <w:t>associates</w:t>
            </w:r>
          </w:p>
        </w:tc>
        <w:tc>
          <w:tcPr>
            <w:tcW w:w="880" w:type="dxa"/>
            <w:vAlign w:val="bottom"/>
            <w:tcBorders>
              <w:bottom w:val="single" w:sz="8" w:color="auto"/>
            </w:tcBorders>
            <w:shd w:val="clear" w:color="auto" w:fill="D8D8D8"/>
          </w:tcPr>
          <w:p>
            <w:pPr>
              <w:jc w:val="right"/>
              <w:ind w:right="150"/>
              <w:spacing w:after="0" w:line="157" w:lineRule="exact"/>
              <w:rPr>
                <w:sz w:val="20"/>
                <w:szCs w:val="20"/>
                <w:color w:val="auto"/>
              </w:rPr>
            </w:pPr>
            <w:r>
              <w:rPr>
                <w:rFonts w:ascii="Arial" w:cs="Arial" w:eastAsia="Arial" w:hAnsi="Arial"/>
                <w:sz w:val="14"/>
                <w:szCs w:val="14"/>
                <w:color w:val="auto"/>
              </w:rPr>
              <w:t>229</w:t>
            </w:r>
          </w:p>
        </w:tc>
        <w:tc>
          <w:tcPr>
            <w:tcW w:w="52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149"/>
              <w:spacing w:after="0" w:line="157" w:lineRule="exact"/>
              <w:rPr>
                <w:sz w:val="20"/>
                <w:szCs w:val="20"/>
                <w:color w:val="auto"/>
              </w:rPr>
            </w:pPr>
            <w:r>
              <w:rPr>
                <w:rFonts w:ascii="Arial" w:cs="Arial" w:eastAsia="Arial" w:hAnsi="Arial"/>
                <w:sz w:val="14"/>
                <w:szCs w:val="14"/>
                <w:color w:val="auto"/>
              </w:rPr>
              <w:t>318</w:t>
            </w:r>
          </w:p>
        </w:tc>
        <w:tc>
          <w:tcPr>
            <w:tcW w:w="800" w:type="dxa"/>
            <w:vAlign w:val="bottom"/>
            <w:tcBorders>
              <w:bottom w:val="single" w:sz="8" w:color="auto"/>
            </w:tcBorders>
          </w:tcPr>
          <w:p>
            <w:pPr>
              <w:jc w:val="right"/>
              <w:ind w:right="150"/>
              <w:spacing w:after="0" w:line="157" w:lineRule="exact"/>
              <w:rPr>
                <w:sz w:val="20"/>
                <w:szCs w:val="20"/>
                <w:color w:val="auto"/>
              </w:rPr>
            </w:pPr>
            <w:r>
              <w:rPr>
                <w:rFonts w:ascii="Arial" w:cs="Arial" w:eastAsia="Arial" w:hAnsi="Arial"/>
                <w:sz w:val="14"/>
                <w:szCs w:val="14"/>
                <w:color w:val="auto"/>
              </w:rPr>
              <w:t>369</w:t>
            </w:r>
          </w:p>
        </w:tc>
      </w:tr>
      <w:tr>
        <w:trPr>
          <w:trHeight w:val="156"/>
        </w:trPr>
        <w:tc>
          <w:tcPr>
            <w:tcW w:w="2580" w:type="dxa"/>
            <w:vAlign w:val="bottom"/>
            <w:tcBorders>
              <w:bottom w:val="single" w:sz="8" w:color="auto"/>
            </w:tcBorders>
          </w:tcPr>
          <w:p>
            <w:pPr>
              <w:spacing w:after="0" w:line="155" w:lineRule="exact"/>
              <w:rPr>
                <w:sz w:val="20"/>
                <w:szCs w:val="20"/>
                <w:color w:val="auto"/>
              </w:rPr>
            </w:pPr>
            <w:r>
              <w:rPr>
                <w:rFonts w:ascii="Arial" w:cs="Arial" w:eastAsia="Arial" w:hAnsi="Arial"/>
                <w:sz w:val="14"/>
                <w:szCs w:val="14"/>
                <w:color w:val="auto"/>
              </w:rPr>
              <w:t>Total</w:t>
            </w:r>
          </w:p>
        </w:tc>
        <w:tc>
          <w:tcPr>
            <w:tcW w:w="880" w:type="dxa"/>
            <w:vAlign w:val="bottom"/>
            <w:tcBorders>
              <w:bottom w:val="single" w:sz="8" w:color="auto"/>
            </w:tcBorders>
            <w:shd w:val="clear" w:color="auto" w:fill="D8D8D8"/>
          </w:tcPr>
          <w:p>
            <w:pPr>
              <w:jc w:val="right"/>
              <w:ind w:right="150"/>
              <w:spacing w:after="0" w:line="155" w:lineRule="exact"/>
              <w:rPr>
                <w:sz w:val="20"/>
                <w:szCs w:val="20"/>
                <w:color w:val="auto"/>
              </w:rPr>
            </w:pPr>
            <w:r>
              <w:rPr>
                <w:rFonts w:ascii="Arial" w:cs="Arial" w:eastAsia="Arial" w:hAnsi="Arial"/>
                <w:sz w:val="14"/>
                <w:szCs w:val="14"/>
                <w:color w:val="auto"/>
              </w:rPr>
              <w:t>1,124</w:t>
            </w:r>
          </w:p>
        </w:tc>
        <w:tc>
          <w:tcPr>
            <w:tcW w:w="52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149"/>
              <w:spacing w:after="0" w:line="155" w:lineRule="exact"/>
              <w:rPr>
                <w:sz w:val="20"/>
                <w:szCs w:val="20"/>
                <w:color w:val="auto"/>
              </w:rPr>
            </w:pPr>
            <w:r>
              <w:rPr>
                <w:rFonts w:ascii="Arial" w:cs="Arial" w:eastAsia="Arial" w:hAnsi="Arial"/>
                <w:sz w:val="14"/>
                <w:szCs w:val="14"/>
                <w:color w:val="auto"/>
              </w:rPr>
              <w:t>1,168</w:t>
            </w:r>
          </w:p>
        </w:tc>
        <w:tc>
          <w:tcPr>
            <w:tcW w:w="800" w:type="dxa"/>
            <w:vAlign w:val="bottom"/>
            <w:tcBorders>
              <w:bottom w:val="single" w:sz="8" w:color="auto"/>
            </w:tcBorders>
          </w:tcPr>
          <w:p>
            <w:pPr>
              <w:jc w:val="right"/>
              <w:ind w:right="150"/>
              <w:spacing w:after="0" w:line="155" w:lineRule="exact"/>
              <w:rPr>
                <w:sz w:val="20"/>
                <w:szCs w:val="20"/>
                <w:color w:val="auto"/>
              </w:rPr>
            </w:pPr>
            <w:r>
              <w:rPr>
                <w:rFonts w:ascii="Arial" w:cs="Arial" w:eastAsia="Arial" w:hAnsi="Arial"/>
                <w:sz w:val="14"/>
                <w:szCs w:val="14"/>
                <w:color w:val="auto"/>
              </w:rPr>
              <w:t>1,194</w:t>
            </w:r>
          </w:p>
        </w:tc>
      </w:tr>
    </w:tbl>
    <w:p>
      <w:pPr>
        <w:spacing w:after="0" w:line="37" w:lineRule="exact"/>
        <w:rPr>
          <w:sz w:val="20"/>
          <w:szCs w:val="20"/>
          <w:color w:val="auto"/>
        </w:rPr>
      </w:pPr>
    </w:p>
    <w:p>
      <w:pPr>
        <w:ind w:left="180"/>
        <w:spacing w:after="0"/>
        <w:rPr>
          <w:sz w:val="20"/>
          <w:szCs w:val="20"/>
          <w:color w:val="auto"/>
        </w:rPr>
      </w:pPr>
      <w:r>
        <w:rPr>
          <w:rFonts w:ascii="Arial" w:cs="Arial" w:eastAsia="Arial" w:hAnsi="Arial"/>
          <w:sz w:val="11"/>
          <w:szCs w:val="11"/>
          <w:color w:val="auto"/>
        </w:rPr>
        <w:t>[A] Natural gas volumes are converted to oil equivalent using a factor of 5,800 scf per barrel.</w:t>
      </w:r>
    </w:p>
    <w:p>
      <w:pPr>
        <w:spacing w:after="0" w:line="183" w:lineRule="exact"/>
        <w:rPr>
          <w:sz w:val="20"/>
          <w:szCs w:val="20"/>
          <w:color w:val="auto"/>
        </w:rPr>
      </w:pPr>
    </w:p>
    <w:tbl>
      <w:tblPr>
        <w:tblLayout w:type="fixed"/>
        <w:tblInd w:w="180" w:type="dxa"/>
        <w:tblCellMar>
          <w:top w:w="0" w:type="dxa"/>
          <w:left w:w="0" w:type="dxa"/>
          <w:bottom w:w="0" w:type="dxa"/>
          <w:right w:w="0" w:type="dxa"/>
        </w:tblCellMar>
      </w:tblPr>
      <w:tr>
        <w:trPr>
          <w:trHeight w:val="172"/>
        </w:trPr>
        <w:tc>
          <w:tcPr>
            <w:tcW w:w="3820" w:type="dxa"/>
            <w:vAlign w:val="bottom"/>
            <w:gridSpan w:val="3"/>
            <w:shd w:val="clear" w:color="auto" w:fill="333333"/>
          </w:tcPr>
          <w:p>
            <w:pPr>
              <w:ind w:left="60"/>
              <w:spacing w:after="0"/>
              <w:rPr>
                <w:sz w:val="20"/>
                <w:szCs w:val="20"/>
                <w:color w:val="auto"/>
              </w:rPr>
            </w:pPr>
            <w:r>
              <w:rPr>
                <w:rFonts w:ascii="Arial" w:cs="Arial" w:eastAsia="Arial" w:hAnsi="Arial"/>
                <w:sz w:val="15"/>
                <w:szCs w:val="15"/>
                <w:b w:val="1"/>
                <w:bCs w:val="1"/>
                <w:color w:val="FFFFFF"/>
              </w:rPr>
              <w:t>PROVED DEVELOPED AND UNDEVELOPED OIL</w:t>
            </w:r>
          </w:p>
        </w:tc>
        <w:tc>
          <w:tcPr>
            <w:tcW w:w="840" w:type="dxa"/>
            <w:vAlign w:val="bottom"/>
            <w:shd w:val="clear" w:color="auto" w:fill="333333"/>
          </w:tcPr>
          <w:p>
            <w:pPr>
              <w:spacing w:after="0"/>
              <w:rPr>
                <w:sz w:val="15"/>
                <w:szCs w:val="15"/>
                <w:color w:val="auto"/>
              </w:rPr>
            </w:pPr>
          </w:p>
        </w:tc>
        <w:tc>
          <w:tcPr>
            <w:tcW w:w="820" w:type="dxa"/>
            <w:vAlign w:val="bottom"/>
            <w:shd w:val="clear" w:color="auto" w:fill="333333"/>
          </w:tcPr>
          <w:p>
            <w:pPr>
              <w:spacing w:after="0"/>
              <w:rPr>
                <w:sz w:val="15"/>
                <w:szCs w:val="15"/>
                <w:color w:val="auto"/>
              </w:rPr>
            </w:pPr>
          </w:p>
        </w:tc>
      </w:tr>
      <w:tr>
        <w:trPr>
          <w:trHeight w:val="197"/>
        </w:trPr>
        <w:tc>
          <w:tcPr>
            <w:tcW w:w="3820" w:type="dxa"/>
            <w:vAlign w:val="bottom"/>
            <w:gridSpan w:val="3"/>
            <w:shd w:val="clear" w:color="auto" w:fill="333333"/>
          </w:tcPr>
          <w:p>
            <w:pPr>
              <w:ind w:left="60"/>
              <w:spacing w:after="0"/>
              <w:rPr>
                <w:sz w:val="20"/>
                <w:szCs w:val="20"/>
                <w:color w:val="auto"/>
              </w:rPr>
            </w:pPr>
            <w:r>
              <w:rPr>
                <w:rFonts w:ascii="Arial" w:cs="Arial" w:eastAsia="Arial" w:hAnsi="Arial"/>
                <w:sz w:val="15"/>
                <w:szCs w:val="15"/>
                <w:b w:val="1"/>
                <w:bCs w:val="1"/>
                <w:color w:val="FFFFFF"/>
              </w:rPr>
              <w:t xml:space="preserve">AND GAS RESERVES </w:t>
            </w:r>
            <w:r>
              <w:rPr>
                <w:rFonts w:ascii="Arial" w:cs="Arial" w:eastAsia="Arial" w:hAnsi="Arial"/>
                <w:sz w:val="15"/>
                <w:szCs w:val="15"/>
                <w:color w:val="FFFFFF"/>
              </w:rPr>
              <w:t>[A][B] (AT DECEMBER 31)</w:t>
            </w:r>
          </w:p>
        </w:tc>
        <w:tc>
          <w:tcPr>
            <w:tcW w:w="1660" w:type="dxa"/>
            <w:vAlign w:val="bottom"/>
            <w:gridSpan w:val="2"/>
            <w:shd w:val="clear" w:color="auto" w:fill="333333"/>
          </w:tcPr>
          <w:p>
            <w:pPr>
              <w:jc w:val="right"/>
              <w:ind w:right="30"/>
              <w:spacing w:after="0"/>
              <w:rPr>
                <w:sz w:val="20"/>
                <w:szCs w:val="20"/>
                <w:color w:val="auto"/>
              </w:rPr>
            </w:pPr>
            <w:r>
              <w:rPr>
                <w:rFonts w:ascii="Arial" w:cs="Arial" w:eastAsia="Arial" w:hAnsi="Arial"/>
                <w:sz w:val="15"/>
                <w:szCs w:val="15"/>
                <w:color w:val="FFFFFF"/>
              </w:rPr>
              <w:t>MILLION BOE [C]</w:t>
            </w:r>
          </w:p>
        </w:tc>
      </w:tr>
      <w:tr>
        <w:trPr>
          <w:trHeight w:val="149"/>
        </w:trPr>
        <w:tc>
          <w:tcPr>
            <w:tcW w:w="262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shd w:val="clear" w:color="auto" w:fill="D8D8D8"/>
          </w:tcPr>
          <w:p>
            <w:pPr>
              <w:jc w:val="right"/>
              <w:ind w:right="90"/>
              <w:spacing w:after="0"/>
              <w:rPr>
                <w:sz w:val="20"/>
                <w:szCs w:val="20"/>
                <w:color w:val="auto"/>
              </w:rPr>
            </w:pPr>
            <w:r>
              <w:rPr>
                <w:rFonts w:ascii="Arial" w:cs="Arial" w:eastAsia="Arial" w:hAnsi="Arial"/>
                <w:sz w:val="13"/>
                <w:szCs w:val="13"/>
                <w:color w:val="auto"/>
              </w:rPr>
              <w:t>2014</w:t>
            </w:r>
          </w:p>
        </w:tc>
        <w:tc>
          <w:tcPr>
            <w:tcW w:w="30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129"/>
              <w:spacing w:after="0"/>
              <w:rPr>
                <w:sz w:val="20"/>
                <w:szCs w:val="20"/>
                <w:color w:val="auto"/>
              </w:rPr>
            </w:pPr>
            <w:r>
              <w:rPr>
                <w:rFonts w:ascii="Arial" w:cs="Arial" w:eastAsia="Arial" w:hAnsi="Arial"/>
                <w:sz w:val="13"/>
                <w:szCs w:val="13"/>
                <w:color w:val="auto"/>
              </w:rPr>
              <w:t>2013</w:t>
            </w:r>
          </w:p>
        </w:tc>
        <w:tc>
          <w:tcPr>
            <w:tcW w:w="820" w:type="dxa"/>
            <w:vAlign w:val="bottom"/>
            <w:tcBorders>
              <w:bottom w:val="single" w:sz="8" w:color="auto"/>
            </w:tcBorders>
          </w:tcPr>
          <w:p>
            <w:pPr>
              <w:jc w:val="right"/>
              <w:ind w:right="90"/>
              <w:spacing w:after="0"/>
              <w:rPr>
                <w:sz w:val="20"/>
                <w:szCs w:val="20"/>
                <w:color w:val="auto"/>
              </w:rPr>
            </w:pPr>
            <w:r>
              <w:rPr>
                <w:rFonts w:ascii="Arial" w:cs="Arial" w:eastAsia="Arial" w:hAnsi="Arial"/>
                <w:sz w:val="13"/>
                <w:szCs w:val="13"/>
                <w:color w:val="auto"/>
              </w:rPr>
              <w:t>2012</w:t>
            </w:r>
          </w:p>
        </w:tc>
      </w:tr>
      <w:tr>
        <w:trPr>
          <w:trHeight w:val="156"/>
        </w:trPr>
        <w:tc>
          <w:tcPr>
            <w:tcW w:w="2620" w:type="dxa"/>
            <w:vAlign w:val="bottom"/>
          </w:tcPr>
          <w:p>
            <w:pPr>
              <w:spacing w:after="0" w:line="155" w:lineRule="exact"/>
              <w:rPr>
                <w:sz w:val="20"/>
                <w:szCs w:val="20"/>
                <w:color w:val="auto"/>
              </w:rPr>
            </w:pPr>
            <w:r>
              <w:rPr>
                <w:rFonts w:ascii="Arial" w:cs="Arial" w:eastAsia="Arial" w:hAnsi="Arial"/>
                <w:sz w:val="14"/>
                <w:szCs w:val="14"/>
                <w:color w:val="auto"/>
              </w:rPr>
              <w:t>Shell subsidiaries</w:t>
            </w:r>
          </w:p>
        </w:tc>
        <w:tc>
          <w:tcPr>
            <w:tcW w:w="900" w:type="dxa"/>
            <w:vAlign w:val="bottom"/>
            <w:shd w:val="clear" w:color="auto" w:fill="D8D8D8"/>
          </w:tcPr>
          <w:p>
            <w:pPr>
              <w:jc w:val="right"/>
              <w:ind w:right="90"/>
              <w:spacing w:after="0" w:line="155" w:lineRule="exact"/>
              <w:rPr>
                <w:sz w:val="20"/>
                <w:szCs w:val="20"/>
                <w:color w:val="auto"/>
              </w:rPr>
            </w:pPr>
            <w:r>
              <w:rPr>
                <w:rFonts w:ascii="Arial" w:cs="Arial" w:eastAsia="Arial" w:hAnsi="Arial"/>
                <w:sz w:val="14"/>
                <w:szCs w:val="14"/>
                <w:color w:val="auto"/>
              </w:rPr>
              <w:t>10,181</w:t>
            </w:r>
          </w:p>
        </w:tc>
        <w:tc>
          <w:tcPr>
            <w:tcW w:w="300" w:type="dxa"/>
            <w:vAlign w:val="bottom"/>
          </w:tcPr>
          <w:p>
            <w:pPr>
              <w:spacing w:after="0"/>
              <w:rPr>
                <w:sz w:val="13"/>
                <w:szCs w:val="13"/>
                <w:color w:val="auto"/>
              </w:rPr>
            </w:pPr>
          </w:p>
        </w:tc>
        <w:tc>
          <w:tcPr>
            <w:tcW w:w="840" w:type="dxa"/>
            <w:vAlign w:val="bottom"/>
          </w:tcPr>
          <w:p>
            <w:pPr>
              <w:jc w:val="right"/>
              <w:ind w:right="129"/>
              <w:spacing w:after="0" w:line="155" w:lineRule="exact"/>
              <w:rPr>
                <w:sz w:val="20"/>
                <w:szCs w:val="20"/>
                <w:color w:val="auto"/>
              </w:rPr>
            </w:pPr>
            <w:r>
              <w:rPr>
                <w:rFonts w:ascii="Arial" w:cs="Arial" w:eastAsia="Arial" w:hAnsi="Arial"/>
                <w:sz w:val="14"/>
                <w:szCs w:val="14"/>
                <w:color w:val="auto"/>
              </w:rPr>
              <w:t>10,835</w:t>
            </w:r>
          </w:p>
        </w:tc>
        <w:tc>
          <w:tcPr>
            <w:tcW w:w="820" w:type="dxa"/>
            <w:vAlign w:val="bottom"/>
          </w:tcPr>
          <w:p>
            <w:pPr>
              <w:jc w:val="right"/>
              <w:ind w:right="90"/>
              <w:spacing w:after="0" w:line="155" w:lineRule="exact"/>
              <w:rPr>
                <w:sz w:val="20"/>
                <w:szCs w:val="20"/>
                <w:color w:val="auto"/>
              </w:rPr>
            </w:pPr>
            <w:r>
              <w:rPr>
                <w:rFonts w:ascii="Arial" w:cs="Arial" w:eastAsia="Arial" w:hAnsi="Arial"/>
                <w:sz w:val="14"/>
                <w:szCs w:val="14"/>
                <w:color w:val="auto"/>
              </w:rPr>
              <w:t>9,873</w:t>
            </w:r>
          </w:p>
        </w:tc>
      </w:tr>
      <w:tr>
        <w:trPr>
          <w:trHeight w:val="167"/>
        </w:trPr>
        <w:tc>
          <w:tcPr>
            <w:tcW w:w="2620" w:type="dxa"/>
            <w:vAlign w:val="bottom"/>
          </w:tcPr>
          <w:p>
            <w:pPr>
              <w:spacing w:after="0"/>
              <w:rPr>
                <w:sz w:val="20"/>
                <w:szCs w:val="20"/>
                <w:color w:val="auto"/>
              </w:rPr>
            </w:pPr>
            <w:r>
              <w:rPr>
                <w:rFonts w:ascii="Arial" w:cs="Arial" w:eastAsia="Arial" w:hAnsi="Arial"/>
                <w:sz w:val="14"/>
                <w:szCs w:val="14"/>
                <w:color w:val="auto"/>
              </w:rPr>
              <w:t>Shell share of joint ventures and</w:t>
            </w:r>
          </w:p>
        </w:tc>
        <w:tc>
          <w:tcPr>
            <w:tcW w:w="900" w:type="dxa"/>
            <w:vAlign w:val="bottom"/>
            <w:shd w:val="clear" w:color="auto" w:fill="D8D8D8"/>
          </w:tcPr>
          <w:p>
            <w:pPr>
              <w:spacing w:after="0"/>
              <w:rPr>
                <w:sz w:val="14"/>
                <w:szCs w:val="14"/>
                <w:color w:val="auto"/>
              </w:rPr>
            </w:pPr>
          </w:p>
        </w:tc>
        <w:tc>
          <w:tcPr>
            <w:tcW w:w="3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57"/>
        </w:trPr>
        <w:tc>
          <w:tcPr>
            <w:tcW w:w="2620" w:type="dxa"/>
            <w:vAlign w:val="bottom"/>
            <w:tcBorders>
              <w:bottom w:val="single" w:sz="8" w:color="auto"/>
            </w:tcBorders>
          </w:tcPr>
          <w:p>
            <w:pPr>
              <w:ind w:left="140"/>
              <w:spacing w:after="0" w:line="157" w:lineRule="exact"/>
              <w:rPr>
                <w:sz w:val="20"/>
                <w:szCs w:val="20"/>
                <w:color w:val="auto"/>
              </w:rPr>
            </w:pPr>
            <w:r>
              <w:rPr>
                <w:rFonts w:ascii="Arial" w:cs="Arial" w:eastAsia="Arial" w:hAnsi="Arial"/>
                <w:sz w:val="14"/>
                <w:szCs w:val="14"/>
                <w:color w:val="auto"/>
              </w:rPr>
              <w:t>associates</w:t>
            </w:r>
          </w:p>
        </w:tc>
        <w:tc>
          <w:tcPr>
            <w:tcW w:w="900" w:type="dxa"/>
            <w:vAlign w:val="bottom"/>
            <w:tcBorders>
              <w:bottom w:val="single" w:sz="8" w:color="auto"/>
            </w:tcBorders>
            <w:shd w:val="clear" w:color="auto" w:fill="D8D8D8"/>
          </w:tcPr>
          <w:p>
            <w:pPr>
              <w:jc w:val="right"/>
              <w:ind w:right="90"/>
              <w:spacing w:after="0" w:line="157" w:lineRule="exact"/>
              <w:rPr>
                <w:sz w:val="20"/>
                <w:szCs w:val="20"/>
                <w:color w:val="auto"/>
              </w:rPr>
            </w:pPr>
            <w:r>
              <w:rPr>
                <w:rFonts w:ascii="Arial" w:cs="Arial" w:eastAsia="Arial" w:hAnsi="Arial"/>
                <w:sz w:val="14"/>
                <w:szCs w:val="14"/>
                <w:color w:val="auto"/>
              </w:rPr>
              <w:t>2,900</w:t>
            </w:r>
          </w:p>
        </w:tc>
        <w:tc>
          <w:tcPr>
            <w:tcW w:w="30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129"/>
              <w:spacing w:after="0" w:line="157" w:lineRule="exact"/>
              <w:rPr>
                <w:sz w:val="20"/>
                <w:szCs w:val="20"/>
                <w:color w:val="auto"/>
              </w:rPr>
            </w:pPr>
            <w:r>
              <w:rPr>
                <w:rFonts w:ascii="Arial" w:cs="Arial" w:eastAsia="Arial" w:hAnsi="Arial"/>
                <w:sz w:val="14"/>
                <w:szCs w:val="14"/>
                <w:color w:val="auto"/>
              </w:rPr>
              <w:t>3,109</w:t>
            </w:r>
          </w:p>
        </w:tc>
        <w:tc>
          <w:tcPr>
            <w:tcW w:w="820" w:type="dxa"/>
            <w:vAlign w:val="bottom"/>
            <w:tcBorders>
              <w:bottom w:val="single" w:sz="8" w:color="auto"/>
            </w:tcBorders>
          </w:tcPr>
          <w:p>
            <w:pPr>
              <w:jc w:val="right"/>
              <w:ind w:right="90"/>
              <w:spacing w:after="0" w:line="157" w:lineRule="exact"/>
              <w:rPr>
                <w:sz w:val="20"/>
                <w:szCs w:val="20"/>
                <w:color w:val="auto"/>
              </w:rPr>
            </w:pPr>
            <w:r>
              <w:rPr>
                <w:rFonts w:ascii="Arial" w:cs="Arial" w:eastAsia="Arial" w:hAnsi="Arial"/>
                <w:sz w:val="14"/>
                <w:szCs w:val="14"/>
                <w:color w:val="auto"/>
              </w:rPr>
              <w:t>3,701</w:t>
            </w:r>
          </w:p>
        </w:tc>
      </w:tr>
      <w:tr>
        <w:trPr>
          <w:trHeight w:val="160"/>
        </w:trPr>
        <w:tc>
          <w:tcPr>
            <w:tcW w:w="2620" w:type="dxa"/>
            <w:vAlign w:val="bottom"/>
          </w:tcPr>
          <w:p>
            <w:pPr>
              <w:spacing w:after="0"/>
              <w:rPr>
                <w:sz w:val="20"/>
                <w:szCs w:val="20"/>
                <w:color w:val="auto"/>
              </w:rPr>
            </w:pPr>
            <w:r>
              <w:rPr>
                <w:rFonts w:ascii="Arial" w:cs="Arial" w:eastAsia="Arial" w:hAnsi="Arial"/>
                <w:sz w:val="14"/>
                <w:szCs w:val="14"/>
                <w:color w:val="auto"/>
              </w:rPr>
              <w:t>Total</w:t>
            </w:r>
          </w:p>
        </w:tc>
        <w:tc>
          <w:tcPr>
            <w:tcW w:w="900" w:type="dxa"/>
            <w:vAlign w:val="bottom"/>
            <w:shd w:val="clear" w:color="auto" w:fill="D8D8D8"/>
          </w:tcPr>
          <w:p>
            <w:pPr>
              <w:jc w:val="right"/>
              <w:ind w:right="90"/>
              <w:spacing w:after="0"/>
              <w:rPr>
                <w:sz w:val="20"/>
                <w:szCs w:val="20"/>
                <w:color w:val="auto"/>
              </w:rPr>
            </w:pPr>
            <w:r>
              <w:rPr>
                <w:rFonts w:ascii="Arial" w:cs="Arial" w:eastAsia="Arial" w:hAnsi="Arial"/>
                <w:sz w:val="14"/>
                <w:szCs w:val="14"/>
                <w:color w:val="auto"/>
              </w:rPr>
              <w:t>13,081</w:t>
            </w:r>
          </w:p>
        </w:tc>
        <w:tc>
          <w:tcPr>
            <w:tcW w:w="300" w:type="dxa"/>
            <w:vAlign w:val="bottom"/>
          </w:tcPr>
          <w:p>
            <w:pPr>
              <w:spacing w:after="0"/>
              <w:rPr>
                <w:sz w:val="13"/>
                <w:szCs w:val="13"/>
                <w:color w:val="auto"/>
              </w:rPr>
            </w:pPr>
          </w:p>
        </w:tc>
        <w:tc>
          <w:tcPr>
            <w:tcW w:w="840" w:type="dxa"/>
            <w:vAlign w:val="bottom"/>
          </w:tcPr>
          <w:p>
            <w:pPr>
              <w:jc w:val="right"/>
              <w:ind w:right="129"/>
              <w:spacing w:after="0"/>
              <w:rPr>
                <w:sz w:val="20"/>
                <w:szCs w:val="20"/>
                <w:color w:val="auto"/>
              </w:rPr>
            </w:pPr>
            <w:r>
              <w:rPr>
                <w:rFonts w:ascii="Arial" w:cs="Arial" w:eastAsia="Arial" w:hAnsi="Arial"/>
                <w:sz w:val="14"/>
                <w:szCs w:val="14"/>
                <w:color w:val="auto"/>
              </w:rPr>
              <w:t>13,944</w:t>
            </w:r>
          </w:p>
        </w:tc>
        <w:tc>
          <w:tcPr>
            <w:tcW w:w="820" w:type="dxa"/>
            <w:vAlign w:val="bottom"/>
          </w:tcPr>
          <w:p>
            <w:pPr>
              <w:jc w:val="right"/>
              <w:ind w:right="90"/>
              <w:spacing w:after="0"/>
              <w:rPr>
                <w:sz w:val="20"/>
                <w:szCs w:val="20"/>
                <w:color w:val="auto"/>
              </w:rPr>
            </w:pPr>
            <w:r>
              <w:rPr>
                <w:rFonts w:ascii="Arial" w:cs="Arial" w:eastAsia="Arial" w:hAnsi="Arial"/>
                <w:sz w:val="14"/>
                <w:szCs w:val="14"/>
                <w:color w:val="auto"/>
              </w:rPr>
              <w:t>13,574</w:t>
            </w:r>
          </w:p>
        </w:tc>
      </w:tr>
      <w:tr>
        <w:trPr>
          <w:trHeight w:val="157"/>
        </w:trPr>
        <w:tc>
          <w:tcPr>
            <w:tcW w:w="2620" w:type="dxa"/>
            <w:vAlign w:val="bottom"/>
            <w:tcBorders>
              <w:bottom w:val="single" w:sz="8" w:color="auto"/>
            </w:tcBorders>
          </w:tcPr>
          <w:p>
            <w:pPr>
              <w:spacing w:after="0" w:line="157" w:lineRule="exact"/>
              <w:rPr>
                <w:sz w:val="20"/>
                <w:szCs w:val="20"/>
                <w:color w:val="auto"/>
              </w:rPr>
            </w:pPr>
            <w:r>
              <w:rPr>
                <w:rFonts w:ascii="Arial" w:cs="Arial" w:eastAsia="Arial" w:hAnsi="Arial"/>
                <w:sz w:val="14"/>
                <w:szCs w:val="14"/>
                <w:color w:val="auto"/>
              </w:rPr>
              <w:t>Attributable to non-controlling interest [D]</w:t>
            </w:r>
          </w:p>
        </w:tc>
        <w:tc>
          <w:tcPr>
            <w:tcW w:w="900" w:type="dxa"/>
            <w:vAlign w:val="bottom"/>
            <w:tcBorders>
              <w:bottom w:val="single" w:sz="8" w:color="auto"/>
            </w:tcBorders>
            <w:shd w:val="clear" w:color="auto" w:fill="D8D8D8"/>
          </w:tcPr>
          <w:p>
            <w:pPr>
              <w:jc w:val="right"/>
              <w:ind w:right="90"/>
              <w:spacing w:after="0" w:line="157" w:lineRule="exact"/>
              <w:rPr>
                <w:sz w:val="20"/>
                <w:szCs w:val="20"/>
                <w:color w:val="auto"/>
              </w:rPr>
            </w:pPr>
            <w:r>
              <w:rPr>
                <w:rFonts w:ascii="Arial" w:cs="Arial" w:eastAsia="Arial" w:hAnsi="Arial"/>
                <w:sz w:val="14"/>
                <w:szCs w:val="14"/>
                <w:color w:val="auto"/>
              </w:rPr>
              <w:t>11</w:t>
            </w:r>
          </w:p>
        </w:tc>
        <w:tc>
          <w:tcPr>
            <w:tcW w:w="30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129"/>
              <w:spacing w:after="0" w:line="157" w:lineRule="exact"/>
              <w:rPr>
                <w:sz w:val="20"/>
                <w:szCs w:val="20"/>
                <w:color w:val="auto"/>
              </w:rPr>
            </w:pPr>
            <w:r>
              <w:rPr>
                <w:rFonts w:ascii="Arial" w:cs="Arial" w:eastAsia="Arial" w:hAnsi="Arial"/>
                <w:sz w:val="14"/>
                <w:szCs w:val="14"/>
                <w:color w:val="auto"/>
              </w:rPr>
              <w:t>12</w:t>
            </w:r>
          </w:p>
        </w:tc>
        <w:tc>
          <w:tcPr>
            <w:tcW w:w="820" w:type="dxa"/>
            <w:vAlign w:val="bottom"/>
            <w:tcBorders>
              <w:bottom w:val="single" w:sz="8" w:color="auto"/>
            </w:tcBorders>
          </w:tcPr>
          <w:p>
            <w:pPr>
              <w:jc w:val="right"/>
              <w:ind w:right="90"/>
              <w:spacing w:after="0" w:line="157" w:lineRule="exact"/>
              <w:rPr>
                <w:sz w:val="20"/>
                <w:szCs w:val="20"/>
                <w:color w:val="auto"/>
              </w:rPr>
            </w:pPr>
            <w:r>
              <w:rPr>
                <w:rFonts w:ascii="Arial" w:cs="Arial" w:eastAsia="Arial" w:hAnsi="Arial"/>
                <w:sz w:val="14"/>
                <w:szCs w:val="14"/>
                <w:color w:val="auto"/>
              </w:rPr>
              <w:t>18</w:t>
            </w:r>
          </w:p>
        </w:tc>
      </w:tr>
      <w:tr>
        <w:trPr>
          <w:trHeight w:val="160"/>
        </w:trPr>
        <w:tc>
          <w:tcPr>
            <w:tcW w:w="2620" w:type="dxa"/>
            <w:vAlign w:val="bottom"/>
          </w:tcPr>
          <w:p>
            <w:pPr>
              <w:spacing w:after="0"/>
              <w:rPr>
                <w:sz w:val="20"/>
                <w:szCs w:val="20"/>
                <w:color w:val="auto"/>
              </w:rPr>
            </w:pPr>
            <w:r>
              <w:rPr>
                <w:rFonts w:ascii="Arial" w:cs="Arial" w:eastAsia="Arial" w:hAnsi="Arial"/>
                <w:sz w:val="14"/>
                <w:szCs w:val="14"/>
                <w:color w:val="auto"/>
              </w:rPr>
              <w:t>Attributable to Royal Dutch Shell plc</w:t>
            </w:r>
          </w:p>
        </w:tc>
        <w:tc>
          <w:tcPr>
            <w:tcW w:w="900" w:type="dxa"/>
            <w:vAlign w:val="bottom"/>
            <w:shd w:val="clear" w:color="auto" w:fill="D8D8D8"/>
          </w:tcPr>
          <w:p>
            <w:pPr>
              <w:spacing w:after="0"/>
              <w:rPr>
                <w:sz w:val="13"/>
                <w:szCs w:val="13"/>
                <w:color w:val="auto"/>
              </w:rPr>
            </w:pPr>
          </w:p>
        </w:tc>
        <w:tc>
          <w:tcPr>
            <w:tcW w:w="3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20" w:type="dxa"/>
            <w:vAlign w:val="bottom"/>
          </w:tcPr>
          <w:p>
            <w:pPr>
              <w:spacing w:after="0"/>
              <w:rPr>
                <w:sz w:val="13"/>
                <w:szCs w:val="13"/>
                <w:color w:val="auto"/>
              </w:rPr>
            </w:pPr>
          </w:p>
        </w:tc>
      </w:tr>
      <w:tr>
        <w:trPr>
          <w:trHeight w:val="157"/>
        </w:trPr>
        <w:tc>
          <w:tcPr>
            <w:tcW w:w="2620" w:type="dxa"/>
            <w:vAlign w:val="bottom"/>
            <w:tcBorders>
              <w:bottom w:val="single" w:sz="8" w:color="auto"/>
            </w:tcBorders>
          </w:tcPr>
          <w:p>
            <w:pPr>
              <w:ind w:left="140"/>
              <w:spacing w:after="0" w:line="157" w:lineRule="exact"/>
              <w:rPr>
                <w:sz w:val="20"/>
                <w:szCs w:val="20"/>
                <w:color w:val="auto"/>
              </w:rPr>
            </w:pPr>
            <w:r>
              <w:rPr>
                <w:rFonts w:ascii="Arial" w:cs="Arial" w:eastAsia="Arial" w:hAnsi="Arial"/>
                <w:sz w:val="14"/>
                <w:szCs w:val="14"/>
                <w:color w:val="auto"/>
              </w:rPr>
              <w:t>shareholders</w:t>
            </w:r>
          </w:p>
        </w:tc>
        <w:tc>
          <w:tcPr>
            <w:tcW w:w="900" w:type="dxa"/>
            <w:vAlign w:val="bottom"/>
            <w:tcBorders>
              <w:bottom w:val="single" w:sz="8" w:color="auto"/>
            </w:tcBorders>
            <w:shd w:val="clear" w:color="auto" w:fill="D8D8D8"/>
          </w:tcPr>
          <w:p>
            <w:pPr>
              <w:jc w:val="right"/>
              <w:ind w:right="90"/>
              <w:spacing w:after="0" w:line="157" w:lineRule="exact"/>
              <w:rPr>
                <w:sz w:val="20"/>
                <w:szCs w:val="20"/>
                <w:color w:val="auto"/>
              </w:rPr>
            </w:pPr>
            <w:r>
              <w:rPr>
                <w:rFonts w:ascii="Arial" w:cs="Arial" w:eastAsia="Arial" w:hAnsi="Arial"/>
                <w:sz w:val="14"/>
                <w:szCs w:val="14"/>
                <w:color w:val="auto"/>
              </w:rPr>
              <w:t>13,070</w:t>
            </w:r>
          </w:p>
        </w:tc>
        <w:tc>
          <w:tcPr>
            <w:tcW w:w="30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129"/>
              <w:spacing w:after="0" w:line="157" w:lineRule="exact"/>
              <w:rPr>
                <w:sz w:val="20"/>
                <w:szCs w:val="20"/>
                <w:color w:val="auto"/>
              </w:rPr>
            </w:pPr>
            <w:r>
              <w:rPr>
                <w:rFonts w:ascii="Arial" w:cs="Arial" w:eastAsia="Arial" w:hAnsi="Arial"/>
                <w:sz w:val="14"/>
                <w:szCs w:val="14"/>
                <w:color w:val="auto"/>
              </w:rPr>
              <w:t>13,932</w:t>
            </w:r>
          </w:p>
        </w:tc>
        <w:tc>
          <w:tcPr>
            <w:tcW w:w="820" w:type="dxa"/>
            <w:vAlign w:val="bottom"/>
            <w:tcBorders>
              <w:bottom w:val="single" w:sz="8" w:color="auto"/>
            </w:tcBorders>
          </w:tcPr>
          <w:p>
            <w:pPr>
              <w:jc w:val="right"/>
              <w:ind w:right="90"/>
              <w:spacing w:after="0" w:line="157" w:lineRule="exact"/>
              <w:rPr>
                <w:sz w:val="20"/>
                <w:szCs w:val="20"/>
                <w:color w:val="auto"/>
              </w:rPr>
            </w:pPr>
            <w:r>
              <w:rPr>
                <w:rFonts w:ascii="Arial" w:cs="Arial" w:eastAsia="Arial" w:hAnsi="Arial"/>
                <w:sz w:val="14"/>
                <w:szCs w:val="14"/>
                <w:color w:val="auto"/>
              </w:rPr>
              <w:t>13,556</w:t>
            </w:r>
          </w:p>
        </w:tc>
      </w:tr>
    </w:tbl>
    <w:p>
      <w:pPr>
        <w:spacing w:after="0" w:line="24" w:lineRule="exact"/>
        <w:rPr>
          <w:sz w:val="20"/>
          <w:szCs w:val="20"/>
          <w:color w:val="auto"/>
        </w:rPr>
      </w:pPr>
    </w:p>
    <w:p>
      <w:pPr>
        <w:ind w:left="180" w:right="260"/>
        <w:spacing w:after="0" w:line="230" w:lineRule="auto"/>
        <w:tabs>
          <w:tab w:leader="none" w:pos="342" w:val="left"/>
        </w:tabs>
        <w:numPr>
          <w:ilvl w:val="0"/>
          <w:numId w:val="22"/>
        </w:numPr>
        <w:rPr>
          <w:rFonts w:ascii="Arial" w:cs="Arial" w:eastAsia="Arial" w:hAnsi="Arial"/>
          <w:sz w:val="11"/>
          <w:szCs w:val="11"/>
          <w:color w:val="auto"/>
        </w:rPr>
      </w:pPr>
      <w:r>
        <w:rPr>
          <w:rFonts w:ascii="Arial" w:cs="Arial" w:eastAsia="Arial" w:hAnsi="Arial"/>
          <w:sz w:val="11"/>
          <w:szCs w:val="11"/>
          <w:color w:val="auto"/>
        </w:rPr>
        <w:t>We manage our total proved reserves base without distinguishing between proved reserves from subsidiaries and those from joint ventures and associates.</w:t>
      </w:r>
    </w:p>
    <w:p>
      <w:pPr>
        <w:ind w:left="340" w:hanging="160"/>
        <w:spacing w:after="0" w:line="230" w:lineRule="auto"/>
        <w:tabs>
          <w:tab w:leader="none" w:pos="340" w:val="left"/>
        </w:tabs>
        <w:numPr>
          <w:ilvl w:val="0"/>
          <w:numId w:val="22"/>
        </w:numPr>
        <w:rPr>
          <w:rFonts w:ascii="Arial" w:cs="Arial" w:eastAsia="Arial" w:hAnsi="Arial"/>
          <w:sz w:val="11"/>
          <w:szCs w:val="11"/>
          <w:color w:val="auto"/>
        </w:rPr>
      </w:pPr>
      <w:r>
        <w:rPr>
          <w:rFonts w:ascii="Arial" w:cs="Arial" w:eastAsia="Arial" w:hAnsi="Arial"/>
          <w:sz w:val="11"/>
          <w:szCs w:val="11"/>
          <w:color w:val="auto"/>
        </w:rPr>
        <w:t>Includes proved reserves associated with future production that will be consumed in operations.</w:t>
      </w:r>
    </w:p>
    <w:p>
      <w:pPr>
        <w:ind w:left="340" w:hanging="160"/>
        <w:spacing w:after="0" w:line="230" w:lineRule="auto"/>
        <w:tabs>
          <w:tab w:leader="none" w:pos="340" w:val="left"/>
        </w:tabs>
        <w:numPr>
          <w:ilvl w:val="0"/>
          <w:numId w:val="22"/>
        </w:numPr>
        <w:rPr>
          <w:rFonts w:ascii="Arial" w:cs="Arial" w:eastAsia="Arial" w:hAnsi="Arial"/>
          <w:sz w:val="11"/>
          <w:szCs w:val="11"/>
          <w:color w:val="auto"/>
        </w:rPr>
      </w:pPr>
      <w:r>
        <w:rPr>
          <w:rFonts w:ascii="Arial" w:cs="Arial" w:eastAsia="Arial" w:hAnsi="Arial"/>
          <w:sz w:val="11"/>
          <w:szCs w:val="11"/>
          <w:color w:val="auto"/>
        </w:rPr>
        <w:t>Natural gas volumes are converted to oil equivalent using a factor of 5,800 scf per barrel.</w:t>
      </w:r>
    </w:p>
    <w:p>
      <w:pPr>
        <w:ind w:left="340" w:hanging="160"/>
        <w:spacing w:after="0"/>
        <w:tabs>
          <w:tab w:leader="none" w:pos="340" w:val="left"/>
        </w:tabs>
        <w:numPr>
          <w:ilvl w:val="0"/>
          <w:numId w:val="22"/>
        </w:numPr>
        <w:rPr>
          <w:rFonts w:ascii="Arial" w:cs="Arial" w:eastAsia="Arial" w:hAnsi="Arial"/>
          <w:sz w:val="11"/>
          <w:szCs w:val="11"/>
          <w:color w:val="auto"/>
        </w:rPr>
      </w:pPr>
      <w:r>
        <w:rPr>
          <w:rFonts w:ascii="Arial" w:cs="Arial" w:eastAsia="Arial" w:hAnsi="Arial"/>
          <w:sz w:val="11"/>
          <w:szCs w:val="11"/>
          <w:color w:val="auto"/>
        </w:rPr>
        <w:t>Proved reserves attributable to non-controlling interest in Shell subsidiaries.</w:t>
      </w:r>
    </w:p>
    <w:p>
      <w:pPr>
        <w:sectPr>
          <w:pgSz w:w="11900" w:h="16838" w:orient="portrait"/>
          <w:cols w:equalWidth="0" w:num="2">
            <w:col w:w="5480" w:space="120"/>
            <w:col w:w="5820"/>
          </w:cols>
          <w:pgMar w:left="240" w:top="459" w:right="239" w:bottom="1440" w:gutter="0" w:footer="0" w:header="0"/>
          <w:type w:val="continuous"/>
        </w:sectPr>
      </w:pPr>
    </w:p>
    <w:bookmarkStart w:id="13" w:name="page14"/>
    <w:bookmarkEnd w:id="13"/>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314960</wp:posOffset>
            </wp:positionV>
            <wp:extent cx="3627755" cy="46291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627755" cy="462915"/>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p>
      <w:pPr>
        <w:spacing w:after="0" w:line="200" w:lineRule="exact"/>
        <w:rPr>
          <w:sz w:val="20"/>
          <w:szCs w:val="20"/>
          <w:color w:val="auto"/>
        </w:rPr>
      </w:pP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419"/>
        </w:trPr>
        <w:tc>
          <w:tcPr>
            <w:tcW w:w="2080" w:type="dxa"/>
            <w:vAlign w:val="bottom"/>
            <w:shd w:val="clear" w:color="auto" w:fill="FF8B00"/>
          </w:tcPr>
          <w:p>
            <w:pPr>
              <w:spacing w:after="0"/>
              <w:rPr>
                <w:sz w:val="24"/>
                <w:szCs w:val="24"/>
                <w:color w:val="auto"/>
              </w:rPr>
            </w:pPr>
          </w:p>
        </w:tc>
        <w:tc>
          <w:tcPr>
            <w:tcW w:w="3640" w:type="dxa"/>
            <w:vAlign w:val="bottom"/>
            <w:shd w:val="clear" w:color="auto" w:fill="FF8B00"/>
          </w:tcPr>
          <w:p>
            <w:pPr>
              <w:spacing w:after="0"/>
              <w:rPr>
                <w:sz w:val="24"/>
                <w:szCs w:val="24"/>
                <w:color w:val="auto"/>
              </w:rPr>
            </w:pPr>
          </w:p>
        </w:tc>
      </w:tr>
      <w:tr>
        <w:trPr>
          <w:trHeight w:val="152"/>
        </w:trPr>
        <w:tc>
          <w:tcPr>
            <w:tcW w:w="2080" w:type="dxa"/>
            <w:vAlign w:val="bottom"/>
          </w:tcPr>
          <w:p>
            <w:pPr>
              <w:jc w:val="right"/>
              <w:ind w:right="1546"/>
              <w:spacing w:after="0"/>
              <w:rPr>
                <w:sz w:val="20"/>
                <w:szCs w:val="20"/>
                <w:color w:val="auto"/>
              </w:rPr>
            </w:pPr>
            <w:r>
              <w:rPr>
                <w:rFonts w:ascii="Arial" w:cs="Arial" w:eastAsia="Arial" w:hAnsi="Arial"/>
                <w:sz w:val="11"/>
                <w:szCs w:val="11"/>
                <w:b w:val="1"/>
                <w:bCs w:val="1"/>
                <w:color w:val="333333"/>
              </w:rPr>
              <w:t>12</w:t>
            </w:r>
          </w:p>
        </w:tc>
        <w:tc>
          <w:tcPr>
            <w:tcW w:w="3640" w:type="dxa"/>
            <w:vAlign w:val="bottom"/>
          </w:tcPr>
          <w:p>
            <w:pPr>
              <w:ind w:left="1580"/>
              <w:spacing w:after="0"/>
              <w:rPr>
                <w:sz w:val="20"/>
                <w:szCs w:val="20"/>
                <w:color w:val="auto"/>
              </w:rPr>
            </w:pPr>
            <w:r>
              <w:rPr>
                <w:rFonts w:ascii="Arial" w:cs="Arial" w:eastAsia="Arial" w:hAnsi="Arial"/>
                <w:sz w:val="13"/>
                <w:szCs w:val="13"/>
                <w:color w:val="333333"/>
              </w:rPr>
              <w:t>STRATEGIC REPORT</w:t>
            </w:r>
          </w:p>
        </w:tc>
      </w:tr>
    </w:tbl>
    <w:p>
      <w:pPr>
        <w:spacing w:after="0" w:line="155" w:lineRule="exact"/>
        <w:rPr>
          <w:sz w:val="20"/>
          <w:szCs w:val="20"/>
          <w:color w:val="auto"/>
        </w:rPr>
      </w:pPr>
    </w:p>
    <w:p>
      <w:pPr>
        <w:ind w:left="4140"/>
        <w:spacing w:after="0"/>
        <w:rPr>
          <w:sz w:val="20"/>
          <w:szCs w:val="20"/>
          <w:color w:val="auto"/>
        </w:rPr>
      </w:pPr>
      <w:r>
        <w:rPr>
          <w:rFonts w:ascii="Arial" w:cs="Arial" w:eastAsia="Arial" w:hAnsi="Arial"/>
          <w:sz w:val="11"/>
          <w:szCs w:val="11"/>
          <w:color w:val="auto"/>
        </w:rPr>
        <w:t>RISK FACTORS</w:t>
      </w:r>
    </w:p>
    <w:p>
      <w:pPr>
        <w:spacing w:after="0" w:line="48" w:lineRule="exact"/>
        <w:rPr>
          <w:sz w:val="20"/>
          <w:szCs w:val="20"/>
          <w:color w:val="auto"/>
        </w:rPr>
      </w:pPr>
    </w:p>
    <w:p>
      <w:pPr>
        <w:spacing w:after="0"/>
        <w:rPr>
          <w:sz w:val="20"/>
          <w:szCs w:val="20"/>
          <w:color w:val="auto"/>
        </w:rPr>
      </w:pPr>
      <w:r>
        <w:rPr>
          <w:rFonts w:ascii="Arial" w:cs="Arial" w:eastAsia="Arial" w:hAnsi="Arial"/>
          <w:sz w:val="24"/>
          <w:szCs w:val="24"/>
          <w:color w:val="auto"/>
        </w:rPr>
        <w:t xml:space="preserve">RISK FACTORS </w:t>
      </w:r>
      <w:r>
        <w:rPr>
          <w:rFonts w:ascii="Arial" w:cs="Arial" w:eastAsia="Arial" w:hAnsi="Arial"/>
          <w:sz w:val="24"/>
          <w:szCs w:val="24"/>
          <w:color w:val="666666"/>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347345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spacing w:after="0" w:line="181" w:lineRule="exact"/>
        <w:rPr>
          <w:sz w:val="20"/>
          <w:szCs w:val="20"/>
          <w:color w:val="auto"/>
        </w:rPr>
      </w:pPr>
    </w:p>
    <w:p>
      <w:pPr>
        <w:ind w:right="540"/>
        <w:spacing w:after="0" w:line="255" w:lineRule="auto"/>
        <w:rPr>
          <w:sz w:val="20"/>
          <w:szCs w:val="20"/>
          <w:color w:val="auto"/>
        </w:rPr>
      </w:pPr>
      <w:r>
        <w:rPr>
          <w:rFonts w:ascii="Arial" w:cs="Arial" w:eastAsia="Arial" w:hAnsi="Arial"/>
          <w:sz w:val="14"/>
          <w:szCs w:val="14"/>
          <w:b w:val="1"/>
          <w:bCs w:val="1"/>
          <w:color w:val="auto"/>
        </w:rPr>
        <w:t>An erosion of our business reputation would have a negative impact on our brand, our ability to secure new resources and our licence to operate.</w:t>
      </w:r>
    </w:p>
    <w:p>
      <w:pPr>
        <w:ind w:right="320"/>
        <w:spacing w:after="0" w:line="243" w:lineRule="auto"/>
        <w:rPr>
          <w:sz w:val="20"/>
          <w:szCs w:val="20"/>
          <w:color w:val="auto"/>
        </w:rPr>
      </w:pPr>
      <w:r>
        <w:rPr>
          <w:rFonts w:ascii="Arial" w:cs="Arial" w:eastAsia="Arial" w:hAnsi="Arial"/>
          <w:sz w:val="14"/>
          <w:szCs w:val="14"/>
          <w:color w:val="auto"/>
        </w:rPr>
        <w:t>Shell is one of the world’s leading energy brands, and its brand and reputation are important assets. The Shell General Business Principles (Principles) govern how Shell and its individual companies conduct their affairs, and the Shell Code of Conduct (Code) instructs employees and contractors on how to behave in line with the Principles. Our challenge is to ensure that all employees and contractors, more than 100,000 in total, comply with these Principles and Code. Failure – real or perceived – to follow these Principles, or other real or perceived failures of governance or regulatory compliance, could harm our reputation. This could impact our licence to operate, damage our brand, harm our ability to secure new resources and limit our ability to access the capital markets. Many other factors may impact our reputation, including those discussed in several of the other risk factors.</w:t>
      </w:r>
    </w:p>
    <w:p>
      <w:pPr>
        <w:spacing w:after="0" w:line="147" w:lineRule="exact"/>
        <w:rPr>
          <w:sz w:val="20"/>
          <w:szCs w:val="20"/>
          <w:color w:val="auto"/>
        </w:rPr>
      </w:pPr>
    </w:p>
    <w:p>
      <w:pPr>
        <w:ind w:right="980"/>
        <w:spacing w:after="0" w:line="255" w:lineRule="auto"/>
        <w:rPr>
          <w:sz w:val="20"/>
          <w:szCs w:val="20"/>
          <w:color w:val="auto"/>
        </w:rPr>
      </w:pPr>
      <w:r>
        <w:rPr>
          <w:rFonts w:ascii="Arial" w:cs="Arial" w:eastAsia="Arial" w:hAnsi="Arial"/>
          <w:sz w:val="14"/>
          <w:szCs w:val="14"/>
          <w:b w:val="1"/>
          <w:bCs w:val="1"/>
          <w:color w:val="auto"/>
        </w:rPr>
        <w:t>Our future performance depends on the successful development and deployment of new technologies.</w:t>
      </w:r>
    </w:p>
    <w:p>
      <w:pPr>
        <w:ind w:right="280"/>
        <w:spacing w:after="0" w:line="243" w:lineRule="auto"/>
        <w:rPr>
          <w:sz w:val="20"/>
          <w:szCs w:val="20"/>
          <w:color w:val="auto"/>
        </w:rPr>
      </w:pPr>
      <w:r>
        <w:rPr>
          <w:rFonts w:ascii="Arial" w:cs="Arial" w:eastAsia="Arial" w:hAnsi="Arial"/>
          <w:sz w:val="14"/>
          <w:szCs w:val="14"/>
          <w:color w:val="auto"/>
        </w:rPr>
        <w:t>Technology and innovation are essential to Shell to meet the world’s energy demands in a competitive way. If we do not develop the right technology, do not have access to it or do not deploy it effectively, the delivery of our strategy and our licence to operate may be adversely affected. We operate in environments where the most advanced technologies are needed. While these technologies are regarded as safe for the environment with today’s knowledge, there is always the possibility of unknown or unforeseeable environmental impacts that could harm our reputation, licence to operate or expose us to litigation or sanctions.</w:t>
      </w:r>
    </w:p>
    <w:p>
      <w:pPr>
        <w:spacing w:after="0" w:line="150" w:lineRule="exact"/>
        <w:rPr>
          <w:sz w:val="20"/>
          <w:szCs w:val="20"/>
          <w:color w:val="auto"/>
        </w:rPr>
      </w:pPr>
    </w:p>
    <w:p>
      <w:pPr>
        <w:ind w:right="400"/>
        <w:spacing w:after="0" w:line="255" w:lineRule="auto"/>
        <w:rPr>
          <w:sz w:val="20"/>
          <w:szCs w:val="20"/>
          <w:color w:val="auto"/>
        </w:rPr>
      </w:pPr>
      <w:r>
        <w:rPr>
          <w:rFonts w:ascii="Arial" w:cs="Arial" w:eastAsia="Arial" w:hAnsi="Arial"/>
          <w:sz w:val="14"/>
          <w:szCs w:val="14"/>
          <w:b w:val="1"/>
          <w:bCs w:val="1"/>
          <w:color w:val="auto"/>
        </w:rPr>
        <w:t>Rising climate change concerns could lead to additional regulatory measures that may result in project delays and higher costs.</w:t>
      </w:r>
    </w:p>
    <w:p>
      <w:pPr>
        <w:ind w:right="240"/>
        <w:spacing w:after="0" w:line="242" w:lineRule="auto"/>
        <w:rPr>
          <w:sz w:val="20"/>
          <w:szCs w:val="20"/>
          <w:color w:val="auto"/>
        </w:rPr>
      </w:pPr>
      <w:r>
        <w:rPr>
          <w:rFonts w:ascii="Arial" w:cs="Arial" w:eastAsia="Arial" w:hAnsi="Arial"/>
          <w:sz w:val="14"/>
          <w:szCs w:val="14"/>
          <w:color w:val="auto"/>
        </w:rPr>
        <w:t>In the future, in order to help meet the world’s energy demand, we expect our production to rise and more of our production to come from higher energy-intensive sources than at present. Therefore, it is expected that both the CO</w:t>
      </w:r>
      <w:r>
        <w:rPr>
          <w:rFonts w:ascii="Arial" w:cs="Arial" w:eastAsia="Arial" w:hAnsi="Arial"/>
          <w:sz w:val="12"/>
          <w:szCs w:val="12"/>
          <w:color w:val="auto"/>
        </w:rPr>
        <w:t>2</w:t>
      </w:r>
      <w:r>
        <w:rPr>
          <w:rFonts w:ascii="Arial" w:cs="Arial" w:eastAsia="Arial" w:hAnsi="Arial"/>
          <w:sz w:val="14"/>
          <w:szCs w:val="14"/>
          <w:color w:val="auto"/>
        </w:rPr>
        <w:t xml:space="preserve"> intensity of our production, as well as our absolute Upstream CO</w:t>
      </w:r>
      <w:r>
        <w:rPr>
          <w:rFonts w:ascii="Arial" w:cs="Arial" w:eastAsia="Arial" w:hAnsi="Arial"/>
          <w:sz w:val="12"/>
          <w:szCs w:val="12"/>
          <w:color w:val="auto"/>
        </w:rPr>
        <w:t>2</w:t>
      </w:r>
      <w:r>
        <w:rPr>
          <w:rFonts w:ascii="Arial" w:cs="Arial" w:eastAsia="Arial" w:hAnsi="Arial"/>
          <w:sz w:val="14"/>
          <w:szCs w:val="14"/>
          <w:color w:val="auto"/>
        </w:rPr>
        <w:t xml:space="preserve"> emissions, will increase as our business grows. Examples of such developments are our in-situ Peace River project and our oil sands activities in Canada. Additionally, as production from Iraq increases, we expect that CO</w:t>
      </w:r>
      <w:r>
        <w:rPr>
          <w:rFonts w:ascii="Arial" w:cs="Arial" w:eastAsia="Arial" w:hAnsi="Arial"/>
          <w:sz w:val="12"/>
          <w:szCs w:val="12"/>
          <w:color w:val="auto"/>
        </w:rPr>
        <w:t>2</w:t>
      </w:r>
      <w:r>
        <w:rPr>
          <w:rFonts w:ascii="Arial" w:cs="Arial" w:eastAsia="Arial" w:hAnsi="Arial"/>
          <w:sz w:val="14"/>
          <w:szCs w:val="14"/>
          <w:color w:val="auto"/>
        </w:rPr>
        <w:t xml:space="preserve"> emissions from flaring will rise as long as no gas gathering systems are in place. We continue to work with our partners to find ways to capture the gas that is flared. Over time, we expect that a growing share of our CO</w:t>
      </w:r>
      <w:r>
        <w:rPr>
          <w:rFonts w:ascii="Arial" w:cs="Arial" w:eastAsia="Arial" w:hAnsi="Arial"/>
          <w:sz w:val="12"/>
          <w:szCs w:val="12"/>
          <w:color w:val="auto"/>
        </w:rPr>
        <w:t>2</w:t>
      </w:r>
      <w:r>
        <w:rPr>
          <w:rFonts w:ascii="Arial" w:cs="Arial" w:eastAsia="Arial" w:hAnsi="Arial"/>
          <w:sz w:val="14"/>
          <w:szCs w:val="14"/>
          <w:color w:val="auto"/>
        </w:rPr>
        <w:t xml:space="preserve"> emissions will be subject to regulation and result in increasing our costs. Furthermore, continued and increased attention to climate change, including activities by non-governmental and political organisations, as well as more interest by the broader public, is likely to lead to additional regulations designed to reduce greenhouse gas emissions. If we are unable to find economically viable, as well as publicly acceptable, solutions that reduce our CO</w:t>
      </w:r>
      <w:r>
        <w:rPr>
          <w:rFonts w:ascii="Arial" w:cs="Arial" w:eastAsia="Arial" w:hAnsi="Arial"/>
          <w:sz w:val="12"/>
          <w:szCs w:val="12"/>
          <w:color w:val="auto"/>
        </w:rPr>
        <w:t>2</w:t>
      </w:r>
      <w:r>
        <w:rPr>
          <w:rFonts w:ascii="Arial" w:cs="Arial" w:eastAsia="Arial" w:hAnsi="Arial"/>
          <w:sz w:val="14"/>
          <w:szCs w:val="14"/>
          <w:color w:val="auto"/>
        </w:rPr>
        <w:t xml:space="preserve"> emissions for new and existing projects or products, we may experience additional costs, delayed projects, reduced production and reduced demand for hydrocarbons.</w:t>
      </w:r>
    </w:p>
    <w:p>
      <w:pPr>
        <w:spacing w:after="0" w:line="329" w:lineRule="exact"/>
        <w:rPr>
          <w:sz w:val="20"/>
          <w:szCs w:val="20"/>
          <w:color w:val="auto"/>
        </w:rPr>
      </w:pPr>
    </w:p>
    <w:p>
      <w:pPr>
        <w:ind w:right="440"/>
        <w:spacing w:after="0" w:line="255" w:lineRule="auto"/>
        <w:rPr>
          <w:sz w:val="20"/>
          <w:szCs w:val="20"/>
          <w:color w:val="auto"/>
        </w:rPr>
      </w:pPr>
      <w:r>
        <w:rPr>
          <w:rFonts w:ascii="Arial" w:cs="Arial" w:eastAsia="Arial" w:hAnsi="Arial"/>
          <w:sz w:val="14"/>
          <w:szCs w:val="14"/>
          <w:b w:val="1"/>
          <w:bCs w:val="1"/>
          <w:color w:val="auto"/>
        </w:rPr>
        <w:t>The nature of our operations exposes the communities in which we work and us to a wide range of health, safety, security and environment risks.</w:t>
      </w:r>
    </w:p>
    <w:p>
      <w:pPr>
        <w:ind w:right="280"/>
        <w:spacing w:after="0" w:line="243" w:lineRule="auto"/>
        <w:rPr>
          <w:sz w:val="20"/>
          <w:szCs w:val="20"/>
          <w:color w:val="auto"/>
        </w:rPr>
      </w:pPr>
      <w:r>
        <w:rPr>
          <w:rFonts w:ascii="Arial" w:cs="Arial" w:eastAsia="Arial" w:hAnsi="Arial"/>
          <w:sz w:val="14"/>
          <w:szCs w:val="14"/>
          <w:color w:val="auto"/>
        </w:rPr>
        <w:t>The health, safety, security and environment (HSSE) risks to which we are potentially exposed cover a wide spectrum, given the geographic range, operational diversity and technical complexity of Shell’s daily operations. We have operations, including oil and gas production, transport and shipping of hydrocarbons, and refining, in difficult geographies or climate zones, as well as environmentally sensitive regions, such as the Arctic or maritime environments, especially in deep water. These and other operations expose the communities in which we work and us to the risk, among others, of major process safety incidents, effects of natural disasters, earth tremors, social unrest, personal health and safety lapses, and crime. If a major HSSE risk</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3240"/>
        <w:spacing w:after="0"/>
        <w:rPr>
          <w:sz w:val="20"/>
          <w:szCs w:val="20"/>
          <w:color w:val="auto"/>
        </w:rPr>
      </w:pPr>
      <w:r>
        <w:rPr>
          <w:rFonts w:ascii="Arial" w:cs="Arial" w:eastAsia="Arial" w:hAnsi="Arial"/>
          <w:sz w:val="10"/>
          <w:szCs w:val="10"/>
          <w:color w:val="auto"/>
        </w:rPr>
        <w:t>SHELL ANNUAL REPORT AND FORM 20-F 2014</w:t>
      </w:r>
    </w:p>
    <w:p>
      <w:pPr>
        <w:spacing w:after="0" w:line="69" w:lineRule="exact"/>
        <w:rPr>
          <w:sz w:val="20"/>
          <w:szCs w:val="20"/>
          <w:color w:val="auto"/>
        </w:rPr>
      </w:pPr>
    </w:p>
    <w:p>
      <w:pPr>
        <w:ind w:right="180"/>
        <w:spacing w:after="0" w:line="243" w:lineRule="auto"/>
        <w:rPr>
          <w:sz w:val="20"/>
          <w:szCs w:val="20"/>
          <w:color w:val="auto"/>
        </w:rPr>
      </w:pPr>
      <w:r>
        <w:rPr>
          <w:rFonts w:ascii="Arial" w:cs="Arial" w:eastAsia="Arial" w:hAnsi="Arial"/>
          <w:sz w:val="14"/>
          <w:szCs w:val="14"/>
          <w:color w:val="auto"/>
        </w:rPr>
        <w:t>materialises, such as an explosion or hydrocarbon spill, this could result in injuries, loss of life, environmental harm, disruption to business activities and, depending on their cause and severity, material damage to our reputation, exclusion from bidding on mineral rights and eventually loss of licence to operate. In certain circumstances, liability could be imposed without regard to Shell’s fault in the matter. Requirements governing HSSE matters often change and are likely to become more stringent over time. The operator could be asked to adjust its future production plan, as we have seen in the Netherlands, impacting production and costs. We could incur significant additional costs in the future complying with such requirements or as a result of violations of, or liabilities under, HSSE laws and regulations, such as fines, penalties, clean-up costs and third-party claims.</w:t>
      </w:r>
    </w:p>
    <w:p>
      <w:pPr>
        <w:spacing w:after="0" w:line="16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Shell mainly self-insures its risk exposures.</w:t>
      </w:r>
    </w:p>
    <w:p>
      <w:pPr>
        <w:spacing w:after="0" w:line="19" w:lineRule="exact"/>
        <w:rPr>
          <w:sz w:val="20"/>
          <w:szCs w:val="20"/>
          <w:color w:val="auto"/>
        </w:rPr>
      </w:pPr>
    </w:p>
    <w:p>
      <w:pPr>
        <w:ind w:right="160"/>
        <w:spacing w:after="0" w:line="244" w:lineRule="auto"/>
        <w:rPr>
          <w:sz w:val="20"/>
          <w:szCs w:val="20"/>
          <w:color w:val="auto"/>
        </w:rPr>
      </w:pPr>
      <w:r>
        <w:rPr>
          <w:rFonts w:ascii="Arial" w:cs="Arial" w:eastAsia="Arial" w:hAnsi="Arial"/>
          <w:sz w:val="14"/>
          <w:szCs w:val="14"/>
          <w:color w:val="auto"/>
        </w:rPr>
        <w:t>Shell insurance subsidiaries provide hazard insurance coverage to Shell entities. While from time to time the insurance subsidiaries may seek reinsurance for some of their risk exposures, such reinsurance would not provide any material coverage in the event of an incident like BP Deepwater Horizon. Similarly, in the event of a material environmental incident, there would be no material proceeds available from third-party insurance companies to meet Shell’s obligations.</w:t>
      </w:r>
    </w:p>
    <w:p>
      <w:pPr>
        <w:spacing w:after="0" w:line="148" w:lineRule="exact"/>
        <w:rPr>
          <w:sz w:val="20"/>
          <w:szCs w:val="20"/>
          <w:color w:val="auto"/>
        </w:rPr>
      </w:pPr>
    </w:p>
    <w:p>
      <w:pPr>
        <w:ind w:right="340"/>
        <w:spacing w:after="0" w:line="255" w:lineRule="auto"/>
        <w:rPr>
          <w:sz w:val="20"/>
          <w:szCs w:val="20"/>
          <w:color w:val="auto"/>
        </w:rPr>
      </w:pPr>
      <w:r>
        <w:rPr>
          <w:rFonts w:ascii="Arial" w:cs="Arial" w:eastAsia="Arial" w:hAnsi="Arial"/>
          <w:sz w:val="14"/>
          <w:szCs w:val="14"/>
          <w:b w:val="1"/>
          <w:bCs w:val="1"/>
          <w:color w:val="auto"/>
        </w:rPr>
        <w:t>A further erosion of the business and operating environment in Nigeria would adversely impact Shell.</w:t>
      </w:r>
    </w:p>
    <w:p>
      <w:pPr>
        <w:ind w:right="180"/>
        <w:spacing w:after="0" w:line="243" w:lineRule="auto"/>
        <w:rPr>
          <w:sz w:val="20"/>
          <w:szCs w:val="20"/>
          <w:color w:val="auto"/>
        </w:rPr>
      </w:pPr>
      <w:r>
        <w:rPr>
          <w:rFonts w:ascii="Arial" w:cs="Arial" w:eastAsia="Arial" w:hAnsi="Arial"/>
          <w:sz w:val="14"/>
          <w:szCs w:val="14"/>
          <w:color w:val="auto"/>
        </w:rPr>
        <w:t>In our Nigerian operations we face various risks and adverse conditions, some of which deteriorated during 2014. These risks and conditions include: security issues surrounding the safety of our people, host communities and operations; sabotage and theft; our ability to enforce existing contractual rights; litigation; limited infrastructure; potential legislation that could increase our taxes or costs of operations; the impact of lower oil and gas prices on the government budget; and regional instability created by militant activities. The Nigerian government is contemplating new legislation to govern the petroleum industry which, if passed into law, would likely have a significant adverse impact on Shell’s existing and future activities in that country.</w:t>
      </w:r>
    </w:p>
    <w:p>
      <w:pPr>
        <w:spacing w:after="0" w:line="149" w:lineRule="exact"/>
        <w:rPr>
          <w:sz w:val="20"/>
          <w:szCs w:val="20"/>
          <w:color w:val="auto"/>
        </w:rPr>
      </w:pPr>
    </w:p>
    <w:p>
      <w:pPr>
        <w:ind w:right="240"/>
        <w:spacing w:after="0" w:line="246" w:lineRule="auto"/>
        <w:rPr>
          <w:sz w:val="20"/>
          <w:szCs w:val="20"/>
          <w:color w:val="auto"/>
        </w:rPr>
      </w:pPr>
      <w:r>
        <w:rPr>
          <w:rFonts w:ascii="Arial" w:cs="Arial" w:eastAsia="Arial" w:hAnsi="Arial"/>
          <w:sz w:val="14"/>
          <w:szCs w:val="14"/>
          <w:b w:val="1"/>
          <w:bCs w:val="1"/>
          <w:color w:val="auto"/>
        </w:rPr>
        <w:t>We operate in more than 70 countries that have differing degrees of political, legal and fiscal stability. This exposes us to a wide range of political developments that could result in changes to laws and regulations. In addition, Shell and its joint ventures and associates face the risk of litigation and disputes worldwide.</w:t>
      </w:r>
    </w:p>
    <w:p>
      <w:pPr>
        <w:spacing w:after="0" w:line="3" w:lineRule="exact"/>
        <w:rPr>
          <w:sz w:val="20"/>
          <w:szCs w:val="20"/>
          <w:color w:val="auto"/>
        </w:rPr>
      </w:pPr>
    </w:p>
    <w:p>
      <w:pPr>
        <w:ind w:right="220"/>
        <w:spacing w:after="0" w:line="243" w:lineRule="auto"/>
        <w:rPr>
          <w:sz w:val="20"/>
          <w:szCs w:val="20"/>
          <w:color w:val="auto"/>
        </w:rPr>
      </w:pPr>
      <w:r>
        <w:rPr>
          <w:rFonts w:ascii="Arial" w:cs="Arial" w:eastAsia="Arial" w:hAnsi="Arial"/>
          <w:sz w:val="14"/>
          <w:szCs w:val="14"/>
          <w:color w:val="auto"/>
        </w:rPr>
        <w:t>Developments in politics, laws and regulations can – and do – affect our operations. Potential developments include: forced divestment of assets; expropriation of property; cancellation or forced renegotiation of contract rights; additional taxes including windfall taxes, restrictions on deductions and retroactive tax claims; trade controls; local content requirements; foreign exchange controls; and changing environmental regulations and disclosure requirements. In our Upstream activities these developments can and do affect land tenure, re-writing of leases, entitlement to produced hydrocarbons, production rates, royalties and pricing. Parts of our Downstream activities are subject to price controls in some countries. From time to time, cultural and political factors play a role in unprecedented and unanticipated judicial outcomes that could adversely affect Shell. If we do not comply with policies and regulations, this may result in regulatory investigations, litigation and ultimately sanctions.</w:t>
      </w:r>
    </w:p>
    <w:p>
      <w:pPr>
        <w:spacing w:after="0" w:line="340" w:lineRule="exact"/>
        <w:rPr>
          <w:sz w:val="20"/>
          <w:szCs w:val="20"/>
          <w:color w:val="auto"/>
        </w:rPr>
      </w:pPr>
    </w:p>
    <w:p>
      <w:pPr>
        <w:ind w:right="280"/>
        <w:spacing w:after="0" w:line="244" w:lineRule="auto"/>
        <w:rPr>
          <w:sz w:val="20"/>
          <w:szCs w:val="20"/>
          <w:color w:val="auto"/>
        </w:rPr>
      </w:pPr>
      <w:r>
        <w:rPr>
          <w:rFonts w:ascii="Arial" w:cs="Arial" w:eastAsia="Arial" w:hAnsi="Arial"/>
          <w:sz w:val="14"/>
          <w:szCs w:val="14"/>
          <w:color w:val="auto"/>
        </w:rPr>
        <w:t>Certain governments and regulatory bodies have, in the opinion of Shell, exceeded their constitutional authority by attempting unilaterally to amend or cancel existing agreements or arrangements; by failing to honour existing contractual commitments; and by seeking to adjudicate disputes between private litigants. Additionally, certain governments have adopted laws and regulations that could potentially force us to violate other countries’ laws and regulations, thus potentially subjecting us to both criminal and civil sanctions.</w:t>
      </w:r>
    </w:p>
    <w:p>
      <w:pPr>
        <w:sectPr>
          <w:pgSz w:w="11900" w:h="16838" w:orient="portrait"/>
          <w:cols w:equalWidth="0" w:num="2">
            <w:col w:w="5720" w:space="60"/>
            <w:col w:w="5640"/>
          </w:cols>
          <w:pgMar w:left="240" w:top="459" w:right="239" w:bottom="1440" w:gutter="0" w:footer="0" w:header="0"/>
          <w:type w:val="continuous"/>
        </w:sectPr>
      </w:pPr>
    </w:p>
    <w:bookmarkStart w:id="14" w:name="page15"/>
    <w:bookmarkEnd w:id="14"/>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3555365</wp:posOffset>
            </wp:positionH>
            <wp:positionV relativeFrom="paragraph">
              <wp:posOffset>314960</wp:posOffset>
            </wp:positionV>
            <wp:extent cx="3696335" cy="46291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696335" cy="462915"/>
                    </a:xfrm>
                    <a:prstGeom prst="rect">
                      <a:avLst/>
                    </a:prstGeom>
                    <a:noFill/>
                  </pic:spPr>
                </pic:pic>
              </a:graphicData>
            </a:graphic>
          </wp:anchor>
        </w:drawing>
      </w:r>
    </w:p>
    <w:p>
      <w:pPr>
        <w:sectPr>
          <w:pgSz w:w="11900" w:h="16838" w:orient="portrait"/>
          <w:cols w:equalWidth="0" w:num="1">
            <w:col w:w="11240"/>
          </w:cols>
          <w:pgMar w:left="240" w:top="459" w:right="4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11"/>
          <w:szCs w:val="11"/>
          <w:color w:val="auto"/>
        </w:rPr>
        <w:t>SHELL ANNUAL REPORT AND FORM 20-F 2014</w:t>
      </w:r>
    </w:p>
    <w:p>
      <w:pPr>
        <w:spacing w:after="0" w:line="39" w:lineRule="exact"/>
        <w:rPr>
          <w:sz w:val="20"/>
          <w:szCs w:val="20"/>
          <w:color w:val="auto"/>
        </w:rPr>
      </w:pPr>
    </w:p>
    <w:p>
      <w:pPr>
        <w:ind w:right="120"/>
        <w:spacing w:after="0" w:line="250" w:lineRule="auto"/>
        <w:rPr>
          <w:sz w:val="20"/>
          <w:szCs w:val="20"/>
          <w:color w:val="auto"/>
        </w:rPr>
      </w:pPr>
      <w:r>
        <w:rPr>
          <w:rFonts w:ascii="Arial" w:cs="Arial" w:eastAsia="Arial" w:hAnsi="Arial"/>
          <w:sz w:val="14"/>
          <w:szCs w:val="14"/>
          <w:b w:val="1"/>
          <w:bCs w:val="1"/>
          <w:color w:val="auto"/>
        </w:rPr>
        <w:t>Our operations expose us to social instability, civil unrest, terrorism, piracy, acts of war and risks of pandemic diseases that could have an adverse impact on our business.</w:t>
      </w:r>
    </w:p>
    <w:p>
      <w:pPr>
        <w:spacing w:after="0" w:line="1" w:lineRule="exact"/>
        <w:rPr>
          <w:sz w:val="20"/>
          <w:szCs w:val="20"/>
          <w:color w:val="auto"/>
        </w:rPr>
      </w:pPr>
    </w:p>
    <w:p>
      <w:pPr>
        <w:ind w:right="60"/>
        <w:spacing w:after="0" w:line="243" w:lineRule="auto"/>
        <w:rPr>
          <w:sz w:val="20"/>
          <w:szCs w:val="20"/>
          <w:color w:val="auto"/>
        </w:rPr>
      </w:pPr>
      <w:r>
        <w:rPr>
          <w:rFonts w:ascii="Arial" w:cs="Arial" w:eastAsia="Arial" w:hAnsi="Arial"/>
          <w:sz w:val="14"/>
          <w:szCs w:val="14"/>
          <w:color w:val="auto"/>
        </w:rPr>
        <w:t>As seen in recent years in Nigeria, north Africa and the Middle East, social and civil unrest, both in the countries in which we operate and elsewhere, can – and does – affect Shell. Such potential developments that could impact our business include acts of political or economic terrorism, acts of piracy on the high seas, conflicts including war, civil unrest (including disruptions by non-governmental and political organisations), and local security concerns that threaten the safe operation of our facilities and transport of our products. The risks of pandemic diseases, such as Ebola, can impact our operations directly and indirectly. If such risks materialise, they could result in injuries and disruption to business activities.</w:t>
      </w:r>
    </w:p>
    <w:p>
      <w:pPr>
        <w:spacing w:after="0" w:line="163" w:lineRule="exact"/>
        <w:rPr>
          <w:sz w:val="20"/>
          <w:szCs w:val="20"/>
          <w:color w:val="auto"/>
        </w:rPr>
      </w:pPr>
    </w:p>
    <w:p>
      <w:pPr>
        <w:spacing w:after="0" w:line="246" w:lineRule="auto"/>
        <w:rPr>
          <w:sz w:val="20"/>
          <w:szCs w:val="20"/>
          <w:color w:val="auto"/>
        </w:rPr>
      </w:pPr>
      <w:r>
        <w:rPr>
          <w:rFonts w:ascii="Arial" w:cs="Arial" w:eastAsia="Arial" w:hAnsi="Arial"/>
          <w:sz w:val="14"/>
          <w:szCs w:val="14"/>
          <w:b w:val="1"/>
          <w:bCs w:val="1"/>
          <w:color w:val="auto"/>
        </w:rPr>
        <w:t xml:space="preserve">We rely heavily on information technology systems for our operations. </w:t>
      </w:r>
      <w:r>
        <w:rPr>
          <w:rFonts w:ascii="Arial" w:cs="Arial" w:eastAsia="Arial" w:hAnsi="Arial"/>
          <w:sz w:val="14"/>
          <w:szCs w:val="14"/>
          <w:color w:val="auto"/>
        </w:rPr>
        <w:t>The operation of many of our business processes depends on the availability of information technology (IT) systems. Our IT systems are increasingly concentrated in terms of geography, number of systems, and key contractors supporting the delivery of IT services. Shell, like many other multinational companies, is the target of attempts to gain unauthorised access through the internet to our IT systems, including more sophisticated and coordinated attempts often referred to as advanced persistent threats. Shell seeks to detect and investigate all such security incidents, aiming to prevent their recurrence. Disruption of critical IT services, or breaches of information security, could have adverse consequences for Shell.</w:t>
      </w:r>
    </w:p>
    <w:p>
      <w:pPr>
        <w:spacing w:after="0" w:line="146" w:lineRule="exact"/>
        <w:rPr>
          <w:sz w:val="20"/>
          <w:szCs w:val="20"/>
          <w:color w:val="auto"/>
        </w:rPr>
      </w:pPr>
    </w:p>
    <w:p>
      <w:pPr>
        <w:ind w:right="60"/>
        <w:spacing w:after="0" w:line="255" w:lineRule="auto"/>
        <w:rPr>
          <w:sz w:val="20"/>
          <w:szCs w:val="20"/>
          <w:color w:val="auto"/>
        </w:rPr>
      </w:pPr>
      <w:r>
        <w:rPr>
          <w:rFonts w:ascii="Arial" w:cs="Arial" w:eastAsia="Arial" w:hAnsi="Arial"/>
          <w:sz w:val="14"/>
          <w:szCs w:val="14"/>
          <w:b w:val="1"/>
          <w:bCs w:val="1"/>
          <w:color w:val="auto"/>
        </w:rPr>
        <w:t>We have substantial pension commitments, whose funding is subject to capital market risks.</w:t>
      </w:r>
    </w:p>
    <w:p>
      <w:pPr>
        <w:ind w:right="40"/>
        <w:spacing w:after="0" w:line="244" w:lineRule="auto"/>
        <w:rPr>
          <w:sz w:val="20"/>
          <w:szCs w:val="20"/>
          <w:color w:val="auto"/>
        </w:rPr>
      </w:pPr>
      <w:r>
        <w:rPr>
          <w:rFonts w:ascii="Arial" w:cs="Arial" w:eastAsia="Arial" w:hAnsi="Arial"/>
          <w:sz w:val="14"/>
          <w:szCs w:val="14"/>
          <w:color w:val="auto"/>
        </w:rPr>
        <w:t>Liabilities associated with defined benefit plans can be significant, as can the cash funding of such plans; both depend on various assumptions. Volatility in capital markets, and the resulting consequences for investment performance and interest rates, may result in significant changes to the funding level of future liabilities. In case of a shortfall, Shell might be required to make substantial cash contributions, depending on the applicable local regulations. See Note 17 to the “Consolidated Financial Statements”.</w:t>
      </w:r>
    </w:p>
    <w:p>
      <w:pPr>
        <w:spacing w:after="0" w:line="146" w:lineRule="exact"/>
        <w:rPr>
          <w:sz w:val="20"/>
          <w:szCs w:val="20"/>
          <w:color w:val="auto"/>
        </w:rPr>
      </w:pPr>
    </w:p>
    <w:p>
      <w:pPr>
        <w:ind w:right="120"/>
        <w:spacing w:after="0" w:line="250" w:lineRule="auto"/>
        <w:rPr>
          <w:sz w:val="20"/>
          <w:szCs w:val="20"/>
          <w:color w:val="auto"/>
        </w:rPr>
      </w:pPr>
      <w:r>
        <w:rPr>
          <w:rFonts w:ascii="Arial" w:cs="Arial" w:eastAsia="Arial" w:hAnsi="Arial"/>
          <w:sz w:val="14"/>
          <w:szCs w:val="14"/>
          <w:b w:val="1"/>
          <w:bCs w:val="1"/>
          <w:color w:val="auto"/>
        </w:rPr>
        <w:t>The estimation of proved oil and gas reserves involves subjective judgements based on available information and the application of complex rules, so subsequent downward adjustments are possible.</w:t>
      </w:r>
    </w:p>
    <w:p>
      <w:pPr>
        <w:spacing w:after="0" w:line="1" w:lineRule="exact"/>
        <w:rPr>
          <w:sz w:val="20"/>
          <w:szCs w:val="20"/>
          <w:color w:val="auto"/>
        </w:rPr>
      </w:pPr>
    </w:p>
    <w:p>
      <w:pPr>
        <w:ind w:right="20"/>
        <w:spacing w:after="0" w:line="243" w:lineRule="auto"/>
        <w:rPr>
          <w:sz w:val="20"/>
          <w:szCs w:val="20"/>
          <w:color w:val="auto"/>
        </w:rPr>
      </w:pPr>
      <w:r>
        <w:rPr>
          <w:rFonts w:ascii="Arial" w:cs="Arial" w:eastAsia="Arial" w:hAnsi="Arial"/>
          <w:sz w:val="14"/>
          <w:szCs w:val="14"/>
          <w:color w:val="auto"/>
        </w:rPr>
        <w:t>The estimation of proved oil and gas reserves involves subjective judgements and determinations based on available geological, technical, contractual and economic information. Estimates may change because of new information from production or drilling activities, or changes in economic factors, including changes in the price of oil or gas and changes in the taxation or regulatory policies of host governments or other events. Estimates may also be altered by acquisitions and divestments, new discoveries, and extensions of existing fields and mines, as well as the application of improved recovery techniques. Published proved oil and gas reserves estimates may also be subject to correction due to errors in the application of published rules and changes in guidance. Any downward adjustment would indicate lower future production volumes and may lead to impairment of some assets.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spacing w:after="0" w:line="1" w:lineRule="exact"/>
        <w:rPr>
          <w:sz w:val="1"/>
          <w:szCs w:val="1"/>
          <w:color w:val="auto"/>
        </w:rPr>
      </w:pPr>
    </w:p>
    <w:tbl>
      <w:tblPr>
        <w:tblLayout w:type="fixed"/>
        <w:tblInd w:w="740" w:type="dxa"/>
        <w:tblCellMar>
          <w:top w:w="0" w:type="dxa"/>
          <w:left w:w="0" w:type="dxa"/>
          <w:bottom w:w="0" w:type="dxa"/>
          <w:right w:w="0" w:type="dxa"/>
        </w:tblCellMar>
      </w:tblPr>
      <w:tr>
        <w:trPr>
          <w:trHeight w:val="161"/>
        </w:trPr>
        <w:tc>
          <w:tcPr>
            <w:tcW w:w="2760" w:type="dxa"/>
            <w:vAlign w:val="bottom"/>
          </w:tcPr>
          <w:p>
            <w:pPr>
              <w:spacing w:after="0"/>
              <w:rPr>
                <w:sz w:val="20"/>
                <w:szCs w:val="20"/>
                <w:color w:val="auto"/>
              </w:rPr>
            </w:pPr>
            <w:r>
              <w:rPr>
                <w:rFonts w:ascii="Arial" w:cs="Arial" w:eastAsia="Arial" w:hAnsi="Arial"/>
                <w:sz w:val="13"/>
                <w:szCs w:val="13"/>
                <w:color w:val="333333"/>
              </w:rPr>
              <w:t>STRATEGIC REPORT</w:t>
            </w:r>
          </w:p>
        </w:tc>
        <w:tc>
          <w:tcPr>
            <w:tcW w:w="1640" w:type="dxa"/>
            <w:vAlign w:val="bottom"/>
          </w:tcPr>
          <w:p>
            <w:pPr>
              <w:jc w:val="right"/>
              <w:spacing w:after="0"/>
              <w:rPr>
                <w:sz w:val="20"/>
                <w:szCs w:val="20"/>
                <w:color w:val="auto"/>
              </w:rPr>
            </w:pPr>
            <w:r>
              <w:rPr>
                <w:rFonts w:ascii="Arial" w:cs="Arial" w:eastAsia="Arial" w:hAnsi="Arial"/>
                <w:sz w:val="11"/>
                <w:szCs w:val="11"/>
                <w:b w:val="1"/>
                <w:bCs w:val="1"/>
                <w:color w:val="333333"/>
              </w:rPr>
              <w:t>13</w:t>
            </w:r>
          </w:p>
        </w:tc>
      </w:tr>
    </w:tbl>
    <w:p>
      <w:pPr>
        <w:spacing w:after="0" w:line="161" w:lineRule="exact"/>
        <w:rPr>
          <w:sz w:val="20"/>
          <w:szCs w:val="20"/>
          <w:color w:val="auto"/>
        </w:rPr>
      </w:pPr>
    </w:p>
    <w:p>
      <w:pPr>
        <w:ind w:left="740"/>
        <w:spacing w:after="0"/>
        <w:rPr>
          <w:sz w:val="20"/>
          <w:szCs w:val="20"/>
          <w:color w:val="auto"/>
        </w:rPr>
      </w:pPr>
      <w:r>
        <w:rPr>
          <w:rFonts w:ascii="Arial" w:cs="Arial" w:eastAsia="Arial" w:hAnsi="Arial"/>
          <w:sz w:val="11"/>
          <w:szCs w:val="11"/>
          <w:color w:val="auto"/>
        </w:rPr>
        <w:t>RISK FACTORS</w:t>
      </w:r>
    </w:p>
    <w:p>
      <w:pPr>
        <w:spacing w:after="0" w:line="39" w:lineRule="exact"/>
        <w:rPr>
          <w:sz w:val="20"/>
          <w:szCs w:val="20"/>
          <w:color w:val="auto"/>
        </w:rPr>
      </w:pPr>
    </w:p>
    <w:p>
      <w:pPr>
        <w:ind w:right="20"/>
        <w:spacing w:after="0" w:line="250" w:lineRule="auto"/>
        <w:rPr>
          <w:sz w:val="20"/>
          <w:szCs w:val="20"/>
          <w:color w:val="auto"/>
        </w:rPr>
      </w:pPr>
      <w:r>
        <w:rPr>
          <w:rFonts w:ascii="Arial" w:cs="Arial" w:eastAsia="Arial" w:hAnsi="Arial"/>
          <w:sz w:val="14"/>
          <w:szCs w:val="14"/>
          <w:b w:val="1"/>
          <w:bCs w:val="1"/>
          <w:color w:val="auto"/>
        </w:rPr>
        <w:t>Many of our major projects and operations are conducted in joint arrangements or associates. This may reduce our degree of control, as well as our ability to identify and manage risks.</w:t>
      </w:r>
    </w:p>
    <w:p>
      <w:pPr>
        <w:spacing w:after="0" w:line="1" w:lineRule="exact"/>
        <w:rPr>
          <w:sz w:val="20"/>
          <w:szCs w:val="20"/>
          <w:color w:val="auto"/>
        </w:rPr>
      </w:pPr>
    </w:p>
    <w:p>
      <w:pPr>
        <w:ind w:right="20"/>
        <w:spacing w:after="0" w:line="243" w:lineRule="auto"/>
        <w:rPr>
          <w:sz w:val="20"/>
          <w:szCs w:val="20"/>
          <w:color w:val="auto"/>
        </w:rPr>
      </w:pPr>
      <w:r>
        <w:rPr>
          <w:rFonts w:ascii="Arial" w:cs="Arial" w:eastAsia="Arial" w:hAnsi="Arial"/>
          <w:sz w:val="14"/>
          <w:szCs w:val="14"/>
          <w:color w:val="auto"/>
        </w:rPr>
        <w:t>In cases where we are not the operator we have limited influence over, and control of, the behaviour, performance and costs of operation of such joint arrangements or associates. Despite not having control, we could still be exposed to the risks associated with these operations, including reputational, litigation (where joint and several liability may apply) and government sanction risks. For example, our partners or members of a joint arrangement or an associate (particularly local partners in developing countries) may not be able to meet their financial or other obligations to the projects, threatening the viability of a given project.</w:t>
      </w:r>
    </w:p>
    <w:p>
      <w:pPr>
        <w:spacing w:after="0" w:line="164" w:lineRule="exact"/>
        <w:rPr>
          <w:sz w:val="20"/>
          <w:szCs w:val="20"/>
          <w:color w:val="auto"/>
        </w:rPr>
      </w:pPr>
    </w:p>
    <w:p>
      <w:pPr>
        <w:spacing w:after="0" w:line="255" w:lineRule="auto"/>
        <w:rPr>
          <w:sz w:val="20"/>
          <w:szCs w:val="20"/>
          <w:color w:val="auto"/>
        </w:rPr>
      </w:pPr>
      <w:r>
        <w:rPr>
          <w:rFonts w:ascii="Arial" w:cs="Arial" w:eastAsia="Arial" w:hAnsi="Arial"/>
          <w:sz w:val="14"/>
          <w:szCs w:val="14"/>
          <w:b w:val="1"/>
          <w:bCs w:val="1"/>
          <w:color w:val="auto"/>
        </w:rPr>
        <w:t>Violations of antitrust and competition law carry fines and expose us and/or our employees to criminal sanctions and civil suits.</w:t>
      </w:r>
    </w:p>
    <w:p>
      <w:pPr>
        <w:spacing w:after="0" w:line="243" w:lineRule="auto"/>
        <w:rPr>
          <w:sz w:val="20"/>
          <w:szCs w:val="20"/>
          <w:color w:val="auto"/>
        </w:rPr>
      </w:pPr>
      <w:r>
        <w:rPr>
          <w:rFonts w:ascii="Arial" w:cs="Arial" w:eastAsia="Arial" w:hAnsi="Arial"/>
          <w:sz w:val="14"/>
          <w:szCs w:val="14"/>
          <w:color w:val="auto"/>
        </w:rPr>
        <w:t>Antitrust and competition laws apply to Shell and its joint ventures and associates in the vast majority of countries in which we do business. Shell and its joint ventures and associates have been fined for violations of antitrust and competition law. These include a number of fines in the past by the European Commission Directorate-General for Competition (DG COMP). Due to the DG COMP’s fining guidelines, any future conviction of Shell and its joint ventures or associates for violation of EU competition law could result in significantly larger fines. Violation of antitrust laws is a criminal offence in many countries, and individuals can be either imprisoned or fined. Furthermore, it is now common for persons or corporations allegedly injured by antitrust violations to sue for damages.</w:t>
      </w:r>
    </w:p>
    <w:p>
      <w:pPr>
        <w:spacing w:after="0" w:line="148" w:lineRule="exact"/>
        <w:rPr>
          <w:sz w:val="20"/>
          <w:szCs w:val="20"/>
          <w:color w:val="auto"/>
        </w:rPr>
      </w:pPr>
    </w:p>
    <w:p>
      <w:pPr>
        <w:ind w:right="60"/>
        <w:spacing w:after="0" w:line="250" w:lineRule="auto"/>
        <w:rPr>
          <w:sz w:val="20"/>
          <w:szCs w:val="20"/>
          <w:color w:val="auto"/>
        </w:rPr>
      </w:pPr>
      <w:r>
        <w:rPr>
          <w:rFonts w:ascii="Arial" w:cs="Arial" w:eastAsia="Arial" w:hAnsi="Arial"/>
          <w:sz w:val="14"/>
          <w:szCs w:val="14"/>
          <w:b w:val="1"/>
          <w:bCs w:val="1"/>
          <w:color w:val="auto"/>
        </w:rPr>
        <w:t>Violations of anti-bribery and corruption law and anti-money laundering law carry fines and expose us and/or our employees to criminal sanctions and civil suits.</w:t>
      </w:r>
    </w:p>
    <w:p>
      <w:pPr>
        <w:spacing w:after="0" w:line="1" w:lineRule="exact"/>
        <w:rPr>
          <w:sz w:val="20"/>
          <w:szCs w:val="20"/>
          <w:color w:val="auto"/>
        </w:rPr>
      </w:pPr>
    </w:p>
    <w:p>
      <w:pPr>
        <w:ind w:right="40"/>
        <w:spacing w:after="0" w:line="243" w:lineRule="auto"/>
        <w:rPr>
          <w:sz w:val="20"/>
          <w:szCs w:val="20"/>
          <w:color w:val="auto"/>
        </w:rPr>
      </w:pPr>
      <w:r>
        <w:rPr>
          <w:rFonts w:ascii="Arial" w:cs="Arial" w:eastAsia="Arial" w:hAnsi="Arial"/>
          <w:sz w:val="14"/>
          <w:szCs w:val="14"/>
          <w:color w:val="auto"/>
        </w:rPr>
        <w:t>In 2010, Shell agreed to a Deferred Prosecution Agreement (DPA) with the US Department of Justice (DOJ) for violations of the Foreign Corrupt Practices Act (FCPA), which arose in connection with its use of the freight-forwarding firm Panalpina. In November 2013, following Shell’s fulfilment of the terms of the DPA, the criminal charges filed in connection with the DPA were dismissed. Shell’s ethics and compliance programme was enhanced during the DPA and remains in full force and effect. Any violations of the FCPA or other relevant anti-bribery and corruption legislation or anti-money laundering legislation could have a material adverse effect on the Company.</w:t>
      </w:r>
    </w:p>
    <w:p>
      <w:pPr>
        <w:spacing w:after="0" w:line="149" w:lineRule="exact"/>
        <w:rPr>
          <w:sz w:val="20"/>
          <w:szCs w:val="20"/>
          <w:color w:val="auto"/>
        </w:rPr>
      </w:pPr>
    </w:p>
    <w:p>
      <w:pPr>
        <w:ind w:right="600"/>
        <w:spacing w:after="0" w:line="255" w:lineRule="auto"/>
        <w:rPr>
          <w:sz w:val="20"/>
          <w:szCs w:val="20"/>
          <w:color w:val="auto"/>
        </w:rPr>
      </w:pPr>
      <w:r>
        <w:rPr>
          <w:rFonts w:ascii="Arial" w:cs="Arial" w:eastAsia="Arial" w:hAnsi="Arial"/>
          <w:sz w:val="14"/>
          <w:szCs w:val="14"/>
          <w:b w:val="1"/>
          <w:bCs w:val="1"/>
          <w:color w:val="auto"/>
        </w:rPr>
        <w:t>Violations of data protection laws carry fines and expose us and/or our employees to criminal sanctions and civil suits.</w:t>
      </w:r>
    </w:p>
    <w:p>
      <w:pPr>
        <w:spacing w:after="0" w:line="243" w:lineRule="auto"/>
        <w:rPr>
          <w:sz w:val="20"/>
          <w:szCs w:val="20"/>
          <w:color w:val="auto"/>
        </w:rPr>
      </w:pPr>
      <w:r>
        <w:rPr>
          <w:rFonts w:ascii="Arial" w:cs="Arial" w:eastAsia="Arial" w:hAnsi="Arial"/>
          <w:sz w:val="14"/>
          <w:szCs w:val="14"/>
          <w:color w:val="auto"/>
        </w:rPr>
        <w:t>Data protection laws apply to Shell and its joint ventures and associates in the vast majority of countries in which we do business. Over 100 countries have data protection laws and regulations. Additionally, the impending EU Data Privacy Regulation proposes to increase penalties up to a maximum of 5% of global annual turnover for breach of the regulation. Non-compliance with data protection laws could expose Shell to regulatory investigations, which may result in fines and penalties. Shell could also be subject to litigation from persons or corporations allegedly affected by data protection violations. Violation of data protection laws is a criminal offence in some countries, and individuals can be either imprisoned or fined.</w:t>
      </w:r>
    </w:p>
    <w:p>
      <w:pPr>
        <w:sectPr>
          <w:pgSz w:w="11900" w:h="16838" w:orient="portrait"/>
          <w:cols w:equalWidth="0" w:num="2">
            <w:col w:w="5480" w:space="300"/>
            <w:col w:w="5460"/>
          </w:cols>
          <w:pgMar w:left="240" w:top="459" w:right="419" w:bottom="1440" w:gutter="0" w:footer="0" w:header="0"/>
          <w:type w:val="continuous"/>
        </w:sectPr>
      </w:pPr>
    </w:p>
    <w:bookmarkStart w:id="15" w:name="page16"/>
    <w:bookmarkEnd w:id="15"/>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314960</wp:posOffset>
            </wp:positionV>
            <wp:extent cx="3627755" cy="46291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627755" cy="462915"/>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p>
      <w:pPr>
        <w:spacing w:after="0" w:line="200" w:lineRule="exact"/>
        <w:rPr>
          <w:sz w:val="20"/>
          <w:szCs w:val="20"/>
          <w:color w:val="auto"/>
        </w:rPr>
      </w:pP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419"/>
        </w:trPr>
        <w:tc>
          <w:tcPr>
            <w:tcW w:w="2080" w:type="dxa"/>
            <w:vAlign w:val="bottom"/>
            <w:shd w:val="clear" w:color="auto" w:fill="FF8B00"/>
          </w:tcPr>
          <w:p>
            <w:pPr>
              <w:spacing w:after="0"/>
              <w:rPr>
                <w:sz w:val="24"/>
                <w:szCs w:val="24"/>
                <w:color w:val="auto"/>
              </w:rPr>
            </w:pPr>
          </w:p>
        </w:tc>
        <w:tc>
          <w:tcPr>
            <w:tcW w:w="3640" w:type="dxa"/>
            <w:vAlign w:val="bottom"/>
            <w:shd w:val="clear" w:color="auto" w:fill="FF8B00"/>
          </w:tcPr>
          <w:p>
            <w:pPr>
              <w:spacing w:after="0"/>
              <w:rPr>
                <w:sz w:val="24"/>
                <w:szCs w:val="24"/>
                <w:color w:val="auto"/>
              </w:rPr>
            </w:pPr>
          </w:p>
        </w:tc>
      </w:tr>
      <w:tr>
        <w:trPr>
          <w:trHeight w:val="152"/>
        </w:trPr>
        <w:tc>
          <w:tcPr>
            <w:tcW w:w="2080" w:type="dxa"/>
            <w:vAlign w:val="bottom"/>
          </w:tcPr>
          <w:p>
            <w:pPr>
              <w:jc w:val="right"/>
              <w:ind w:right="1546"/>
              <w:spacing w:after="0"/>
              <w:rPr>
                <w:sz w:val="20"/>
                <w:szCs w:val="20"/>
                <w:color w:val="auto"/>
              </w:rPr>
            </w:pPr>
            <w:r>
              <w:rPr>
                <w:rFonts w:ascii="Arial" w:cs="Arial" w:eastAsia="Arial" w:hAnsi="Arial"/>
                <w:sz w:val="11"/>
                <w:szCs w:val="11"/>
                <w:b w:val="1"/>
                <w:bCs w:val="1"/>
                <w:color w:val="333333"/>
              </w:rPr>
              <w:t>14</w:t>
            </w:r>
          </w:p>
        </w:tc>
        <w:tc>
          <w:tcPr>
            <w:tcW w:w="3640" w:type="dxa"/>
            <w:vAlign w:val="bottom"/>
          </w:tcPr>
          <w:p>
            <w:pPr>
              <w:ind w:left="1580"/>
              <w:spacing w:after="0"/>
              <w:rPr>
                <w:sz w:val="20"/>
                <w:szCs w:val="20"/>
                <w:color w:val="auto"/>
              </w:rPr>
            </w:pPr>
            <w:r>
              <w:rPr>
                <w:rFonts w:ascii="Arial" w:cs="Arial" w:eastAsia="Arial" w:hAnsi="Arial"/>
                <w:sz w:val="13"/>
                <w:szCs w:val="13"/>
                <w:color w:val="333333"/>
              </w:rPr>
              <w:t>STRATEGIC REPORT</w:t>
            </w:r>
          </w:p>
        </w:tc>
      </w:tr>
    </w:tbl>
    <w:p>
      <w:pPr>
        <w:spacing w:after="0" w:line="155" w:lineRule="exact"/>
        <w:rPr>
          <w:sz w:val="20"/>
          <w:szCs w:val="20"/>
          <w:color w:val="auto"/>
        </w:rPr>
      </w:pPr>
    </w:p>
    <w:p>
      <w:pPr>
        <w:ind w:left="4140"/>
        <w:spacing w:after="0"/>
        <w:rPr>
          <w:sz w:val="20"/>
          <w:szCs w:val="20"/>
          <w:color w:val="auto"/>
        </w:rPr>
      </w:pPr>
      <w:r>
        <w:rPr>
          <w:rFonts w:ascii="Arial" w:cs="Arial" w:eastAsia="Arial" w:hAnsi="Arial"/>
          <w:sz w:val="11"/>
          <w:szCs w:val="11"/>
          <w:color w:val="auto"/>
        </w:rPr>
        <w:t>RISK FACTORS</w:t>
      </w:r>
    </w:p>
    <w:p>
      <w:pPr>
        <w:spacing w:after="0" w:line="48" w:lineRule="exact"/>
        <w:rPr>
          <w:sz w:val="20"/>
          <w:szCs w:val="20"/>
          <w:color w:val="auto"/>
        </w:rPr>
      </w:pPr>
    </w:p>
    <w:p>
      <w:pPr>
        <w:spacing w:after="0"/>
        <w:rPr>
          <w:sz w:val="20"/>
          <w:szCs w:val="20"/>
          <w:color w:val="auto"/>
        </w:rPr>
      </w:pPr>
      <w:r>
        <w:rPr>
          <w:rFonts w:ascii="Arial" w:cs="Arial" w:eastAsia="Arial" w:hAnsi="Arial"/>
          <w:sz w:val="24"/>
          <w:szCs w:val="24"/>
          <w:color w:val="auto"/>
        </w:rPr>
        <w:t xml:space="preserve">RISK FACTORS </w:t>
      </w:r>
      <w:r>
        <w:rPr>
          <w:rFonts w:ascii="Arial" w:cs="Arial" w:eastAsia="Arial" w:hAnsi="Arial"/>
          <w:sz w:val="24"/>
          <w:szCs w:val="24"/>
          <w:color w:val="666666"/>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347345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spacing w:after="0" w:line="199" w:lineRule="exact"/>
        <w:rPr>
          <w:sz w:val="20"/>
          <w:szCs w:val="20"/>
          <w:color w:val="auto"/>
        </w:rPr>
      </w:pPr>
    </w:p>
    <w:p>
      <w:pPr>
        <w:ind w:right="560"/>
        <w:spacing w:after="0" w:line="241" w:lineRule="auto"/>
        <w:rPr>
          <w:sz w:val="20"/>
          <w:szCs w:val="20"/>
          <w:color w:val="auto"/>
        </w:rPr>
      </w:pPr>
      <w:r>
        <w:rPr>
          <w:rFonts w:ascii="Arial" w:cs="Arial" w:eastAsia="Arial" w:hAnsi="Arial"/>
          <w:sz w:val="14"/>
          <w:szCs w:val="14"/>
          <w:color w:val="auto"/>
        </w:rPr>
        <w:t>Violations of trade controls, including sanctions, expose us and our employees to criminal sanctions and civil suits.</w:t>
      </w:r>
    </w:p>
    <w:p>
      <w:pPr>
        <w:spacing w:after="0" w:line="1" w:lineRule="exact"/>
        <w:rPr>
          <w:sz w:val="20"/>
          <w:szCs w:val="20"/>
          <w:color w:val="auto"/>
        </w:rPr>
      </w:pPr>
    </w:p>
    <w:p>
      <w:pPr>
        <w:ind w:right="300"/>
        <w:spacing w:after="0" w:line="243" w:lineRule="auto"/>
        <w:rPr>
          <w:sz w:val="20"/>
          <w:szCs w:val="20"/>
          <w:color w:val="auto"/>
        </w:rPr>
      </w:pPr>
      <w:r>
        <w:rPr>
          <w:rFonts w:ascii="Arial" w:cs="Arial" w:eastAsia="Arial" w:hAnsi="Arial"/>
          <w:sz w:val="14"/>
          <w:szCs w:val="14"/>
          <w:color w:val="auto"/>
        </w:rPr>
        <w:t>We use “trade controls” as an umbrella term for various national and international laws designed to regulate the movement of items across national boundaries and restrict or prohibit trade and other dealings with certain parties. The number and breadth of trade controls faced by Shell continues to expand. For example, the EU and the USA continue to impose restrictions and prohibitions on certain transactions involving Iran and Syria. Additional trade controls directed at defined oil and gas activities in Russia were imposed by the EU and the USA in 2014. In addition to the significant trade control programmes administered by the EU and the USA, many other nations are also adopting such programmes. Any violation of one or more trade control regimes may lead to significant penalties or prosecution of Shell or its employees.</w:t>
      </w:r>
    </w:p>
    <w:p>
      <w:pPr>
        <w:spacing w:after="0" w:line="328" w:lineRule="exact"/>
        <w:rPr>
          <w:sz w:val="20"/>
          <w:szCs w:val="20"/>
          <w:color w:val="auto"/>
        </w:rPr>
      </w:pPr>
    </w:p>
    <w:p>
      <w:pPr>
        <w:ind w:right="400"/>
        <w:spacing w:after="0" w:line="241" w:lineRule="auto"/>
        <w:rPr>
          <w:sz w:val="20"/>
          <w:szCs w:val="20"/>
          <w:color w:val="auto"/>
        </w:rPr>
      </w:pPr>
      <w:r>
        <w:rPr>
          <w:rFonts w:ascii="Arial" w:cs="Arial" w:eastAsia="Arial" w:hAnsi="Arial"/>
          <w:sz w:val="14"/>
          <w:szCs w:val="14"/>
          <w:color w:val="auto"/>
        </w:rPr>
        <w:t>We execute acquisitions and divestments in the pursuit of our strategy. A number of risks impact the success of such acquisitions and divestments.</w:t>
      </w:r>
    </w:p>
    <w:p>
      <w:pPr>
        <w:spacing w:after="0" w:line="1" w:lineRule="exact"/>
        <w:rPr>
          <w:sz w:val="20"/>
          <w:szCs w:val="20"/>
          <w:color w:val="auto"/>
        </w:rPr>
      </w:pPr>
    </w:p>
    <w:p>
      <w:pPr>
        <w:ind w:right="540"/>
        <w:spacing w:after="0" w:line="247" w:lineRule="auto"/>
        <w:rPr>
          <w:sz w:val="20"/>
          <w:szCs w:val="20"/>
          <w:color w:val="auto"/>
        </w:rPr>
      </w:pPr>
      <w:r>
        <w:rPr>
          <w:rFonts w:ascii="Arial" w:cs="Arial" w:eastAsia="Arial" w:hAnsi="Arial"/>
          <w:sz w:val="14"/>
          <w:szCs w:val="14"/>
          <w:color w:val="auto"/>
        </w:rPr>
        <w:t>Acquisitions may not succeed due to reasons such as difficulties in integrating activities and realising synergies, outcomes varying from key assumptions, host governments reacting or responding in a different manner from that envisaged, or liabilities and costs being</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3240"/>
        <w:spacing w:after="0"/>
        <w:rPr>
          <w:sz w:val="20"/>
          <w:szCs w:val="20"/>
          <w:color w:val="auto"/>
        </w:rPr>
      </w:pPr>
      <w:r>
        <w:rPr>
          <w:rFonts w:ascii="Arial" w:cs="Arial" w:eastAsia="Arial" w:hAnsi="Arial"/>
          <w:sz w:val="10"/>
          <w:szCs w:val="10"/>
          <w:color w:val="auto"/>
        </w:rPr>
        <w:t>SHELL ANNUAL REPORT AND FORM 20-F 2014</w:t>
      </w:r>
    </w:p>
    <w:p>
      <w:pPr>
        <w:spacing w:after="0" w:line="69" w:lineRule="exact"/>
        <w:rPr>
          <w:sz w:val="20"/>
          <w:szCs w:val="20"/>
          <w:color w:val="auto"/>
        </w:rPr>
      </w:pPr>
    </w:p>
    <w:p>
      <w:pPr>
        <w:ind w:right="360"/>
        <w:spacing w:after="0" w:line="244" w:lineRule="auto"/>
        <w:rPr>
          <w:sz w:val="20"/>
          <w:szCs w:val="20"/>
          <w:color w:val="auto"/>
        </w:rPr>
      </w:pPr>
      <w:r>
        <w:rPr>
          <w:rFonts w:ascii="Arial" w:cs="Arial" w:eastAsia="Arial" w:hAnsi="Arial"/>
          <w:sz w:val="14"/>
          <w:szCs w:val="14"/>
          <w:color w:val="auto"/>
        </w:rPr>
        <w:t>underestimated. Any of these would reduce our ability to realise the expected benefits. We may not be able to successfully divest non-core assets at acceptable prices, resulting in increased pressure on our cash position. In the case of divestments, we may be held liable for past acts, failures to act or liabilities that are different from those foreseen. We may also face liabilities if a purchaser fails to honour all of its commitments.</w:t>
      </w:r>
    </w:p>
    <w:p>
      <w:pPr>
        <w:spacing w:after="0" w:line="179" w:lineRule="exact"/>
        <w:rPr>
          <w:sz w:val="20"/>
          <w:szCs w:val="20"/>
          <w:color w:val="auto"/>
        </w:rPr>
      </w:pPr>
    </w:p>
    <w:p>
      <w:pPr>
        <w:spacing w:after="0"/>
        <w:rPr>
          <w:sz w:val="20"/>
          <w:szCs w:val="20"/>
          <w:color w:val="auto"/>
        </w:rPr>
      </w:pPr>
      <w:r>
        <w:rPr>
          <w:rFonts w:ascii="Arial" w:cs="Arial" w:eastAsia="Arial" w:hAnsi="Arial"/>
          <w:sz w:val="14"/>
          <w:szCs w:val="14"/>
          <w:color w:val="auto"/>
        </w:rPr>
        <w:t>Investors should also consider the following, which might limit shareholder remedies.</w:t>
      </w:r>
    </w:p>
    <w:p>
      <w:pPr>
        <w:spacing w:after="0" w:line="159" w:lineRule="exact"/>
        <w:rPr>
          <w:sz w:val="20"/>
          <w:szCs w:val="20"/>
          <w:color w:val="auto"/>
        </w:rPr>
      </w:pPr>
    </w:p>
    <w:p>
      <w:pPr>
        <w:ind w:right="940"/>
        <w:spacing w:after="0" w:line="255" w:lineRule="auto"/>
        <w:rPr>
          <w:sz w:val="20"/>
          <w:szCs w:val="20"/>
          <w:color w:val="auto"/>
        </w:rPr>
      </w:pPr>
      <w:r>
        <w:rPr>
          <w:rFonts w:ascii="Arial" w:cs="Arial" w:eastAsia="Arial" w:hAnsi="Arial"/>
          <w:sz w:val="14"/>
          <w:szCs w:val="14"/>
          <w:b w:val="1"/>
          <w:bCs w:val="1"/>
          <w:color w:val="auto"/>
        </w:rPr>
        <w:t>The Company’s Articles of Association determine the jurisdiction for shareholder disputes. This might limit shareholder remedies.</w:t>
      </w:r>
    </w:p>
    <w:p>
      <w:pPr>
        <w:ind w:right="200"/>
        <w:spacing w:after="0" w:line="243" w:lineRule="auto"/>
        <w:rPr>
          <w:sz w:val="20"/>
          <w:szCs w:val="20"/>
          <w:color w:val="auto"/>
        </w:rPr>
      </w:pPr>
      <w:r>
        <w:rPr>
          <w:rFonts w:ascii="Arial" w:cs="Arial" w:eastAsia="Arial" w:hAnsi="Arial"/>
          <w:sz w:val="14"/>
          <w:szCs w:val="14"/>
          <w:color w:val="auto"/>
        </w:rPr>
        <w:t>Our Articles of Association generally require that all disputes between our shareholders in such capacity and the Company or our subsidiaries (or our Directors or former Directors), or between the Company and our Directors or former Directors, be exclusively resolved by arbitration in The Hague, the Netherlands, under the Rules of Arbitration of the International Chamber of Commerce. Our Articles of Association also provide that, if this provision is for any reason determined to be invalid or unenforceable, the dispute may only be brought to the courts of England and Wales. Accordingly, the ability of shareholders to obtain monetary or other relief, including in respect of securities law claims, may be determined in accordance with these provisions. See “Corporate governance”.</w:t>
      </w:r>
    </w:p>
    <w:p>
      <w:pPr>
        <w:sectPr>
          <w:pgSz w:w="11900" w:h="16838" w:orient="portrait"/>
          <w:cols w:equalWidth="0" w:num="2">
            <w:col w:w="5720" w:space="60"/>
            <w:col w:w="5640"/>
          </w:cols>
          <w:pgMar w:left="240" w:top="459" w:right="239" w:bottom="1440" w:gutter="0" w:footer="0" w:header="0"/>
          <w:type w:val="continuous"/>
        </w:sectPr>
      </w:pPr>
    </w:p>
    <w:bookmarkStart w:id="16" w:name="page17"/>
    <w:bookmarkEnd w:id="16"/>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3555365</wp:posOffset>
            </wp:positionH>
            <wp:positionV relativeFrom="paragraph">
              <wp:posOffset>314960</wp:posOffset>
            </wp:positionV>
            <wp:extent cx="3696335" cy="46291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696335" cy="462915"/>
                    </a:xfrm>
                    <a:prstGeom prst="rect">
                      <a:avLst/>
                    </a:prstGeom>
                    <a:noFill/>
                  </pic:spPr>
                </pic:pic>
              </a:graphicData>
            </a:graphic>
          </wp:anchor>
        </w:drawing>
      </w:r>
    </w:p>
    <w:p>
      <w:pPr>
        <w:sectPr>
          <w:pgSz w:w="11900" w:h="16838" w:orient="portrait"/>
          <w:cols w:equalWidth="0" w:num="1">
            <w:col w:w="11240"/>
          </w:cols>
          <w:pgMar w:left="240" w:top="459" w:right="4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11"/>
          <w:szCs w:val="11"/>
          <w:color w:val="auto"/>
        </w:rPr>
        <w:t>SHELL ANNUAL REPORT AND FORM 20-F 2014</w:t>
      </w:r>
    </w:p>
    <w:p>
      <w:pPr>
        <w:spacing w:after="0" w:line="59" w:lineRule="exact"/>
        <w:rPr>
          <w:sz w:val="20"/>
          <w:szCs w:val="20"/>
          <w:color w:val="auto"/>
        </w:rPr>
      </w:pPr>
    </w:p>
    <w:p>
      <w:pPr>
        <w:spacing w:after="0"/>
        <w:rPr>
          <w:sz w:val="20"/>
          <w:szCs w:val="20"/>
          <w:color w:val="auto"/>
        </w:rPr>
      </w:pPr>
      <w:r>
        <w:rPr>
          <w:rFonts w:ascii="Arial" w:cs="Arial" w:eastAsia="Arial" w:hAnsi="Arial"/>
          <w:sz w:val="31"/>
          <w:szCs w:val="31"/>
          <w:color w:val="auto"/>
        </w:rPr>
        <w:t>STRATEGY AND OUTLOOK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wp:posOffset>
            </wp:positionV>
            <wp:extent cx="347345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color w:val="auto"/>
        </w:rPr>
        <w:t>STRATEGY</w:t>
      </w:r>
    </w:p>
    <w:p>
      <w:pPr>
        <w:spacing w:after="0" w:line="1" w:lineRule="exact"/>
        <w:rPr>
          <w:sz w:val="20"/>
          <w:szCs w:val="20"/>
          <w:color w:val="auto"/>
        </w:rPr>
      </w:pPr>
    </w:p>
    <w:p>
      <w:pPr>
        <w:ind w:right="40"/>
        <w:spacing w:after="0" w:line="244" w:lineRule="auto"/>
        <w:rPr>
          <w:sz w:val="20"/>
          <w:szCs w:val="20"/>
          <w:color w:val="auto"/>
        </w:rPr>
      </w:pPr>
      <w:r>
        <w:rPr>
          <w:rFonts w:ascii="Arial" w:cs="Arial" w:eastAsia="Arial" w:hAnsi="Arial"/>
          <w:sz w:val="14"/>
          <w:szCs w:val="14"/>
          <w:color w:val="auto"/>
        </w:rPr>
        <w:t>Our strategy seeks to reinforce our position as a leader in the oil and gas industry, while helping to meet global energy demand in a responsible way. We aim to balance growth with returns, by growing our cash flow and delivering competitive returns through economic cycles, to finance a competitive dividend and fund investment for future growth. Safety and environmental and social responsibility are at the heart of our activities.</w:t>
      </w:r>
    </w:p>
    <w:p>
      <w:pPr>
        <w:spacing w:after="0" w:line="166" w:lineRule="exact"/>
        <w:rPr>
          <w:sz w:val="20"/>
          <w:szCs w:val="20"/>
          <w:color w:val="auto"/>
        </w:rPr>
      </w:pPr>
    </w:p>
    <w:p>
      <w:pPr>
        <w:ind w:right="60"/>
        <w:spacing w:after="0" w:line="247" w:lineRule="auto"/>
        <w:rPr>
          <w:sz w:val="20"/>
          <w:szCs w:val="20"/>
          <w:color w:val="auto"/>
        </w:rPr>
      </w:pPr>
      <w:r>
        <w:rPr>
          <w:rFonts w:ascii="Arial" w:cs="Arial" w:eastAsia="Arial" w:hAnsi="Arial"/>
          <w:sz w:val="14"/>
          <w:szCs w:val="14"/>
          <w:color w:val="auto"/>
        </w:rPr>
        <w:t>Intense competition exists for access to upstream resources and to new downstream markets. But we believe that our technology, project delivery capability and operational excellence will remain key differentiators for our businesses. We expect over 80% of our capital investment in 2015 to be in our Upstream businesses.</w:t>
      </w:r>
    </w:p>
    <w:p>
      <w:pPr>
        <w:spacing w:after="0" w:line="161" w:lineRule="exact"/>
        <w:rPr>
          <w:sz w:val="20"/>
          <w:szCs w:val="20"/>
          <w:color w:val="auto"/>
        </w:rPr>
      </w:pPr>
    </w:p>
    <w:p>
      <w:pPr>
        <w:jc w:val="both"/>
        <w:ind w:right="20"/>
        <w:spacing w:after="0" w:line="250" w:lineRule="auto"/>
        <w:rPr>
          <w:sz w:val="20"/>
          <w:szCs w:val="20"/>
          <w:color w:val="auto"/>
        </w:rPr>
      </w:pPr>
      <w:r>
        <w:rPr>
          <w:rFonts w:ascii="Arial" w:cs="Arial" w:eastAsia="Arial" w:hAnsi="Arial"/>
          <w:sz w:val="14"/>
          <w:szCs w:val="14"/>
          <w:color w:val="auto"/>
        </w:rPr>
        <w:t>In Upstream, we focus on exploration for new liquids and natural gas reserves and on developing major new projects where our technology and know-how add value to the resources holders.</w:t>
      </w:r>
    </w:p>
    <w:p>
      <w:pPr>
        <w:spacing w:after="0" w:line="172" w:lineRule="exact"/>
        <w:rPr>
          <w:sz w:val="20"/>
          <w:szCs w:val="20"/>
          <w:color w:val="auto"/>
        </w:rPr>
      </w:pPr>
    </w:p>
    <w:p>
      <w:pPr>
        <w:jc w:val="both"/>
        <w:ind w:right="60"/>
        <w:spacing w:after="0" w:line="250" w:lineRule="auto"/>
        <w:rPr>
          <w:sz w:val="20"/>
          <w:szCs w:val="20"/>
          <w:color w:val="auto"/>
        </w:rPr>
      </w:pPr>
      <w:r>
        <w:rPr>
          <w:rFonts w:ascii="Arial" w:cs="Arial" w:eastAsia="Arial" w:hAnsi="Arial"/>
          <w:sz w:val="14"/>
          <w:szCs w:val="14"/>
          <w:color w:val="auto"/>
        </w:rPr>
        <w:t>In Downstream, we focus on turning crude oil into a range of refined products, which are moved and marketed around the world for domestic, industrial and transport use. In addition, we produce and sell petrochemicals for industrial use worldwide.</w:t>
      </w:r>
    </w:p>
    <w:p>
      <w:pPr>
        <w:spacing w:after="0" w:line="159" w:lineRule="exact"/>
        <w:rPr>
          <w:sz w:val="20"/>
          <w:szCs w:val="20"/>
          <w:color w:val="auto"/>
        </w:rPr>
      </w:pPr>
    </w:p>
    <w:p>
      <w:pPr>
        <w:jc w:val="both"/>
        <w:ind w:right="60"/>
        <w:spacing w:after="0" w:line="258" w:lineRule="auto"/>
        <w:rPr>
          <w:sz w:val="20"/>
          <w:szCs w:val="20"/>
          <w:color w:val="auto"/>
        </w:rPr>
      </w:pPr>
      <w:r>
        <w:rPr>
          <w:rFonts w:ascii="Arial" w:cs="Arial" w:eastAsia="Arial" w:hAnsi="Arial"/>
          <w:sz w:val="14"/>
          <w:szCs w:val="14"/>
          <w:color w:val="auto"/>
        </w:rPr>
        <w:t>We focus on a series of strategic themes, each requiring distinctive technologies and risk management:</w:t>
      </w:r>
    </w:p>
    <w:p>
      <w:pPr>
        <w:spacing w:after="0" w:line="194" w:lineRule="exact"/>
        <w:rPr>
          <w:sz w:val="20"/>
          <w:szCs w:val="20"/>
          <w:color w:val="auto"/>
        </w:rPr>
      </w:pPr>
    </w:p>
    <w:p>
      <w:pPr>
        <w:ind w:left="180" w:hanging="172"/>
        <w:spacing w:after="0" w:line="211" w:lineRule="auto"/>
        <w:tabs>
          <w:tab w:leader="none" w:pos="180" w:val="left"/>
        </w:tabs>
        <w:numPr>
          <w:ilvl w:val="0"/>
          <w:numId w:val="23"/>
        </w:numPr>
        <w:rPr>
          <w:rFonts w:ascii="Arial" w:cs="Arial" w:eastAsia="Arial" w:hAnsi="Arial"/>
          <w:sz w:val="24"/>
          <w:szCs w:val="24"/>
          <w:color w:val="auto"/>
          <w:vertAlign w:val="superscript"/>
        </w:rPr>
      </w:pPr>
      <w:r>
        <w:rPr>
          <w:rFonts w:ascii="Arial" w:cs="Arial" w:eastAsia="Arial" w:hAnsi="Arial"/>
          <w:sz w:val="14"/>
          <w:szCs w:val="14"/>
          <w:color w:val="auto"/>
        </w:rPr>
        <w:t>Our upstream and downstream “engines” are strongly cash-generative, mature businesses, which will underpin our financial performance to at least the end of this decade. We only make investments in selective growth positions and apply Shell’s distinctive technology and operating performance to extend the productive lives of our assets and to enhance their profitability.</w:t>
      </w:r>
    </w:p>
    <w:p>
      <w:pPr>
        <w:spacing w:after="0" w:line="1" w:lineRule="exact"/>
        <w:rPr>
          <w:rFonts w:ascii="Arial" w:cs="Arial" w:eastAsia="Arial" w:hAnsi="Arial"/>
          <w:sz w:val="24"/>
          <w:szCs w:val="24"/>
          <w:color w:val="auto"/>
          <w:vertAlign w:val="superscript"/>
        </w:rPr>
      </w:pPr>
    </w:p>
    <w:p>
      <w:pPr>
        <w:ind w:left="180" w:right="20" w:hanging="172"/>
        <w:spacing w:after="0" w:line="204" w:lineRule="auto"/>
        <w:tabs>
          <w:tab w:leader="none" w:pos="180" w:val="left"/>
        </w:tabs>
        <w:numPr>
          <w:ilvl w:val="0"/>
          <w:numId w:val="23"/>
        </w:numPr>
        <w:rPr>
          <w:rFonts w:ascii="Arial" w:cs="Arial" w:eastAsia="Arial" w:hAnsi="Arial"/>
          <w:sz w:val="24"/>
          <w:szCs w:val="24"/>
          <w:color w:val="auto"/>
          <w:vertAlign w:val="superscript"/>
        </w:rPr>
      </w:pPr>
      <w:r>
        <w:rPr>
          <w:rFonts w:ascii="Arial" w:cs="Arial" w:eastAsia="Arial" w:hAnsi="Arial"/>
          <w:sz w:val="14"/>
          <w:szCs w:val="14"/>
          <w:color w:val="auto"/>
        </w:rPr>
        <w:t>Our growth priorities follow two strategic themes: integrated gas and deep water. These will provide our medium-term growth and we expect them to become core engines in the future. We utilise Shell’s technological know-how and global scale to unlock highly competitive resources positions.</w:t>
      </w:r>
    </w:p>
    <w:p>
      <w:pPr>
        <w:spacing w:after="0" w:line="3" w:lineRule="exact"/>
        <w:rPr>
          <w:rFonts w:ascii="Arial" w:cs="Arial" w:eastAsia="Arial" w:hAnsi="Arial"/>
          <w:sz w:val="24"/>
          <w:szCs w:val="24"/>
          <w:color w:val="auto"/>
          <w:vertAlign w:val="superscript"/>
        </w:rPr>
      </w:pPr>
    </w:p>
    <w:p>
      <w:pPr>
        <w:ind w:left="180" w:right="20" w:hanging="172"/>
        <w:spacing w:after="0" w:line="214" w:lineRule="auto"/>
        <w:tabs>
          <w:tab w:leader="none" w:pos="180" w:val="left"/>
        </w:tabs>
        <w:numPr>
          <w:ilvl w:val="0"/>
          <w:numId w:val="23"/>
        </w:numPr>
        <w:rPr>
          <w:rFonts w:ascii="Arial" w:cs="Arial" w:eastAsia="Arial" w:hAnsi="Arial"/>
          <w:sz w:val="24"/>
          <w:szCs w:val="24"/>
          <w:color w:val="auto"/>
          <w:vertAlign w:val="superscript"/>
        </w:rPr>
      </w:pPr>
      <w:r>
        <w:rPr>
          <w:rFonts w:ascii="Arial" w:cs="Arial" w:eastAsia="Arial" w:hAnsi="Arial"/>
          <w:sz w:val="14"/>
          <w:szCs w:val="14"/>
          <w:color w:val="auto"/>
        </w:rPr>
        <w:t>Our longer-term strategic themes are “resource plays” such as shale oil and gas as well as “future opportunities”, including the Arctic, Iraq, Kazakhstan, Nigeria and heavy oil, where we believe large reserves positions could potentially become available, with the pace of development driven by market and local operating conditions, as well as the regulatory environment.</w:t>
      </w:r>
    </w:p>
    <w:p>
      <w:pPr>
        <w:spacing w:after="0" w:line="166" w:lineRule="exact"/>
        <w:rPr>
          <w:sz w:val="20"/>
          <w:szCs w:val="20"/>
          <w:color w:val="auto"/>
        </w:rPr>
      </w:pPr>
    </w:p>
    <w:p>
      <w:pPr>
        <w:ind w:right="100"/>
        <w:spacing w:after="0" w:line="245" w:lineRule="auto"/>
        <w:rPr>
          <w:sz w:val="20"/>
          <w:szCs w:val="20"/>
          <w:color w:val="auto"/>
        </w:rPr>
      </w:pPr>
      <w:r>
        <w:rPr>
          <w:rFonts w:ascii="Arial" w:cs="Arial" w:eastAsia="Arial" w:hAnsi="Arial"/>
          <w:sz w:val="14"/>
          <w:szCs w:val="14"/>
          <w:color w:val="auto"/>
        </w:rPr>
        <w:t>Meeting the growing demand for energy worldwide in ways that minimise environmental and social impact is a major challenge for the global energy industry. We aim to improve energy efficiency in our own operations, support customers in managing their energy demands and continue to research and develop technologies that increase efficiency and reduce emissions in liquids and natural gas production.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spacing w:after="0" w:line="1" w:lineRule="exact"/>
        <w:rPr>
          <w:sz w:val="1"/>
          <w:szCs w:val="1"/>
          <w:color w:val="auto"/>
        </w:rPr>
      </w:pPr>
    </w:p>
    <w:tbl>
      <w:tblPr>
        <w:tblLayout w:type="fixed"/>
        <w:tblInd w:w="740" w:type="dxa"/>
        <w:tblCellMar>
          <w:top w:w="0" w:type="dxa"/>
          <w:left w:w="0" w:type="dxa"/>
          <w:bottom w:w="0" w:type="dxa"/>
          <w:right w:w="0" w:type="dxa"/>
        </w:tblCellMar>
      </w:tblPr>
      <w:tr>
        <w:trPr>
          <w:trHeight w:val="161"/>
        </w:trPr>
        <w:tc>
          <w:tcPr>
            <w:tcW w:w="2760" w:type="dxa"/>
            <w:vAlign w:val="bottom"/>
          </w:tcPr>
          <w:p>
            <w:pPr>
              <w:spacing w:after="0"/>
              <w:rPr>
                <w:sz w:val="20"/>
                <w:szCs w:val="20"/>
                <w:color w:val="auto"/>
              </w:rPr>
            </w:pPr>
            <w:r>
              <w:rPr>
                <w:rFonts w:ascii="Arial" w:cs="Arial" w:eastAsia="Arial" w:hAnsi="Arial"/>
                <w:sz w:val="13"/>
                <w:szCs w:val="13"/>
                <w:color w:val="333333"/>
              </w:rPr>
              <w:t>STRATEGIC REPORT</w:t>
            </w:r>
          </w:p>
        </w:tc>
        <w:tc>
          <w:tcPr>
            <w:tcW w:w="1640" w:type="dxa"/>
            <w:vAlign w:val="bottom"/>
          </w:tcPr>
          <w:p>
            <w:pPr>
              <w:jc w:val="right"/>
              <w:spacing w:after="0"/>
              <w:rPr>
                <w:sz w:val="20"/>
                <w:szCs w:val="20"/>
                <w:color w:val="auto"/>
              </w:rPr>
            </w:pPr>
            <w:r>
              <w:rPr>
                <w:rFonts w:ascii="Arial" w:cs="Arial" w:eastAsia="Arial" w:hAnsi="Arial"/>
                <w:sz w:val="11"/>
                <w:szCs w:val="11"/>
                <w:b w:val="1"/>
                <w:bCs w:val="1"/>
                <w:color w:val="333333"/>
              </w:rPr>
              <w:t>15</w:t>
            </w:r>
          </w:p>
        </w:tc>
      </w:tr>
    </w:tbl>
    <w:p>
      <w:pPr>
        <w:spacing w:after="0" w:line="161" w:lineRule="exact"/>
        <w:rPr>
          <w:sz w:val="20"/>
          <w:szCs w:val="20"/>
          <w:color w:val="auto"/>
        </w:rPr>
      </w:pPr>
    </w:p>
    <w:p>
      <w:pPr>
        <w:ind w:left="740"/>
        <w:spacing w:after="0"/>
        <w:rPr>
          <w:sz w:val="20"/>
          <w:szCs w:val="20"/>
          <w:color w:val="auto"/>
        </w:rPr>
      </w:pPr>
      <w:r>
        <w:rPr>
          <w:rFonts w:ascii="Arial" w:cs="Arial" w:eastAsia="Arial" w:hAnsi="Arial"/>
          <w:sz w:val="11"/>
          <w:szCs w:val="11"/>
          <w:color w:val="auto"/>
        </w:rPr>
        <w:t>STRATEGY AND OUTLOOK</w:t>
      </w:r>
    </w:p>
    <w:p>
      <w:pPr>
        <w:spacing w:after="0" w:line="57" w:lineRule="exact"/>
        <w:rPr>
          <w:sz w:val="20"/>
          <w:szCs w:val="20"/>
          <w:color w:val="auto"/>
        </w:rPr>
      </w:pPr>
    </w:p>
    <w:p>
      <w:pPr>
        <w:spacing w:after="0" w:line="244" w:lineRule="auto"/>
        <w:rPr>
          <w:sz w:val="20"/>
          <w:szCs w:val="20"/>
          <w:color w:val="auto"/>
        </w:rPr>
      </w:pPr>
      <w:r>
        <w:rPr>
          <w:rFonts w:ascii="Arial" w:cs="Arial" w:eastAsia="Arial" w:hAnsi="Arial"/>
          <w:sz w:val="14"/>
          <w:szCs w:val="14"/>
          <w:color w:val="auto"/>
        </w:rPr>
        <w:t>Our commitment to technology and innovation continues to be at the core of our strategy. As energy projects become more complex and more technically demanding, we believe our engineering expertise will be a deciding factor in the growth of our businesses. Our key strengths include the development and application of technology, the financial and project-management skills that allow us to deliver large field development projects, and the management of integrated value chains.</w:t>
      </w:r>
    </w:p>
    <w:p>
      <w:pPr>
        <w:spacing w:after="0" w:line="179" w:lineRule="exact"/>
        <w:rPr>
          <w:sz w:val="20"/>
          <w:szCs w:val="20"/>
          <w:color w:val="auto"/>
        </w:rPr>
      </w:pPr>
    </w:p>
    <w:p>
      <w:pPr>
        <w:ind w:right="140"/>
        <w:spacing w:after="0" w:line="258" w:lineRule="auto"/>
        <w:rPr>
          <w:sz w:val="20"/>
          <w:szCs w:val="20"/>
          <w:color w:val="auto"/>
        </w:rPr>
      </w:pPr>
      <w:r>
        <w:rPr>
          <w:rFonts w:ascii="Arial" w:cs="Arial" w:eastAsia="Arial" w:hAnsi="Arial"/>
          <w:sz w:val="14"/>
          <w:szCs w:val="14"/>
          <w:color w:val="auto"/>
        </w:rPr>
        <w:t>We aim to leverage our diverse and global business portfolio and customer-focused businesses built around the strength of the Shell brand.</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OUTLOOK</w:t>
      </w:r>
    </w:p>
    <w:p>
      <w:pPr>
        <w:spacing w:after="0" w:line="1" w:lineRule="exact"/>
        <w:rPr>
          <w:sz w:val="20"/>
          <w:szCs w:val="20"/>
          <w:color w:val="auto"/>
        </w:rPr>
      </w:pPr>
    </w:p>
    <w:p>
      <w:pPr>
        <w:spacing w:after="0" w:line="245" w:lineRule="auto"/>
        <w:rPr>
          <w:sz w:val="20"/>
          <w:szCs w:val="20"/>
          <w:color w:val="auto"/>
        </w:rPr>
      </w:pPr>
      <w:r>
        <w:rPr>
          <w:rFonts w:ascii="Arial" w:cs="Arial" w:eastAsia="Arial" w:hAnsi="Arial"/>
          <w:sz w:val="14"/>
          <w:szCs w:val="14"/>
          <w:color w:val="auto"/>
        </w:rPr>
        <w:t>We continuously seek to improve our operating performance, with an emphasis on health, safety and environment, asset performance and operating costs. For 2015, we will continue to focus on the three key priorities set out in 2014: improving our financial performance, enhancing our capital efficiency and continuing our focus on project delivery.</w:t>
      </w:r>
    </w:p>
    <w:p>
      <w:pPr>
        <w:spacing w:after="0" w:line="164" w:lineRule="exact"/>
        <w:rPr>
          <w:sz w:val="20"/>
          <w:szCs w:val="20"/>
          <w:color w:val="auto"/>
        </w:rPr>
      </w:pPr>
    </w:p>
    <w:p>
      <w:pPr>
        <w:ind w:right="20"/>
        <w:spacing w:after="0" w:line="242" w:lineRule="auto"/>
        <w:rPr>
          <w:sz w:val="20"/>
          <w:szCs w:val="20"/>
          <w:color w:val="auto"/>
        </w:rPr>
      </w:pPr>
      <w:r>
        <w:rPr>
          <w:rFonts w:ascii="Arial" w:cs="Arial" w:eastAsia="Arial" w:hAnsi="Arial"/>
          <w:sz w:val="14"/>
          <w:szCs w:val="14"/>
          <w:color w:val="auto"/>
        </w:rPr>
        <w:t>In 2015, we expect organic capital investment to be lower than 2014 levels of around $35 billion. We are considering further reductions to capital investment should the evolving market outlook warrant that step, but are aiming to retain growth potential for the medium term. Asset sales are a key element of our strategy, improving our capital efficiency by focusing our investment on the most attractive growth opportunities. Proceeds from sales of non-strategic assets in 2014, and from the initial public offering in Shell Midstream Partners, L.P., totalled $15 billion, successfully completing our divestment programme for 2014-2015. The completed divestment programme will result in various production and tax effects in 2015. We also expect higher levels of downtime in 2015, especially in Upstream and Chemicals, driven by increased maintenance activities. We will continue the initiatives started in 2014, which are expected to improve our North America resource plays and Oil Products businesses. We have new initiatives underway in 2015 that are expected to improve our upstream engine and resource plays outside the Americas. The focus of these initiatives will be on the profitability of our portfolio and growth potential.</w:t>
      </w:r>
    </w:p>
    <w:p>
      <w:pPr>
        <w:spacing w:after="0" w:line="185" w:lineRule="exact"/>
        <w:rPr>
          <w:sz w:val="20"/>
          <w:szCs w:val="20"/>
          <w:color w:val="auto"/>
        </w:rPr>
      </w:pPr>
    </w:p>
    <w:p>
      <w:pPr>
        <w:ind w:right="80"/>
        <w:spacing w:after="0" w:line="245" w:lineRule="auto"/>
        <w:rPr>
          <w:sz w:val="20"/>
          <w:szCs w:val="20"/>
          <w:color w:val="auto"/>
        </w:rPr>
      </w:pPr>
      <w:r>
        <w:rPr>
          <w:rFonts w:ascii="Arial" w:cs="Arial" w:eastAsia="Arial" w:hAnsi="Arial"/>
          <w:sz w:val="14"/>
          <w:szCs w:val="14"/>
          <w:color w:val="auto"/>
        </w:rPr>
        <w:t>Shell has built up a substantial portfolio of project options for future growth. This portfolio has been designed to capture energy price upside and manage Shell’s exposure to industry challenges from cost inflation and political risk. Today’s lower oil prices are creating opportunities to reduce our own costs and to take costs out of the supply chain.</w:t>
      </w:r>
    </w:p>
    <w:p>
      <w:pPr>
        <w:spacing w:after="0" w:line="164" w:lineRule="exact"/>
        <w:rPr>
          <w:sz w:val="20"/>
          <w:szCs w:val="20"/>
          <w:color w:val="auto"/>
        </w:rPr>
      </w:pPr>
    </w:p>
    <w:p>
      <w:pPr>
        <w:spacing w:after="0" w:line="244" w:lineRule="auto"/>
        <w:rPr>
          <w:sz w:val="20"/>
          <w:szCs w:val="20"/>
          <w:color w:val="auto"/>
        </w:rPr>
      </w:pPr>
      <w:r>
        <w:rPr>
          <w:rFonts w:ascii="Arial" w:cs="Arial" w:eastAsia="Arial" w:hAnsi="Arial"/>
          <w:sz w:val="14"/>
          <w:szCs w:val="14"/>
          <w:color w:val="auto"/>
        </w:rPr>
        <w:t>The statements in this “Strategy and outlook” section, including those related to our growth strategies and our expected or potential future cash flow from operations, capital investment, divestment proceeds and production, are based on management’s current expectations and certain material assumptions and, accordingly, involve risks and uncertainties that could cause actual results, performance or events to differ materially from those expressed or implied herein. See “About this Report” and “Risk factors”.</w:t>
      </w:r>
    </w:p>
    <w:p>
      <w:pPr>
        <w:sectPr>
          <w:pgSz w:w="11900" w:h="16838" w:orient="portrait"/>
          <w:cols w:equalWidth="0" w:num="2">
            <w:col w:w="5460" w:space="320"/>
            <w:col w:w="5460"/>
          </w:cols>
          <w:pgMar w:left="240" w:top="459" w:right="419" w:bottom="1440" w:gutter="0" w:footer="0" w:header="0"/>
          <w:type w:val="continuous"/>
        </w:sectPr>
      </w:pPr>
    </w:p>
    <w:bookmarkStart w:id="17" w:name="page18"/>
    <w:bookmarkEnd w:id="1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300355</wp:posOffset>
            </wp:positionV>
            <wp:extent cx="3490595" cy="46291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490595" cy="462915"/>
                    </a:xfrm>
                    <a:prstGeom prst="rect">
                      <a:avLst/>
                    </a:prstGeom>
                    <a:noFill/>
                  </pic:spPr>
                </pic:pic>
              </a:graphicData>
            </a:graphic>
          </wp:anchor>
        </w:drawing>
      </w:r>
    </w:p>
    <w:p>
      <w:pPr>
        <w:spacing w:after="0" w:line="200" w:lineRule="exact"/>
        <w:rPr>
          <w:sz w:val="20"/>
          <w:szCs w:val="20"/>
          <w:color w:val="auto"/>
        </w:rPr>
      </w:pP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419"/>
        </w:trPr>
        <w:tc>
          <w:tcPr>
            <w:tcW w:w="1920" w:type="dxa"/>
            <w:vAlign w:val="bottom"/>
            <w:shd w:val="clear" w:color="auto" w:fill="FF8B00"/>
          </w:tcPr>
          <w:p>
            <w:pPr>
              <w:spacing w:after="0"/>
              <w:rPr>
                <w:sz w:val="24"/>
                <w:szCs w:val="24"/>
                <w:color w:val="auto"/>
              </w:rPr>
            </w:pPr>
          </w:p>
        </w:tc>
        <w:tc>
          <w:tcPr>
            <w:tcW w:w="3580" w:type="dxa"/>
            <w:vAlign w:val="bottom"/>
            <w:shd w:val="clear" w:color="auto" w:fill="FF8B00"/>
          </w:tcPr>
          <w:p>
            <w:pPr>
              <w:spacing w:after="0"/>
              <w:rPr>
                <w:sz w:val="24"/>
                <w:szCs w:val="24"/>
                <w:color w:val="auto"/>
              </w:rPr>
            </w:pPr>
          </w:p>
        </w:tc>
      </w:tr>
      <w:tr>
        <w:trPr>
          <w:trHeight w:val="152"/>
        </w:trPr>
        <w:tc>
          <w:tcPr>
            <w:tcW w:w="1920" w:type="dxa"/>
            <w:vAlign w:val="bottom"/>
          </w:tcPr>
          <w:p>
            <w:pPr>
              <w:jc w:val="right"/>
              <w:ind w:right="1486"/>
              <w:spacing w:after="0"/>
              <w:rPr>
                <w:sz w:val="20"/>
                <w:szCs w:val="20"/>
                <w:color w:val="auto"/>
              </w:rPr>
            </w:pPr>
            <w:r>
              <w:rPr>
                <w:rFonts w:ascii="Arial" w:cs="Arial" w:eastAsia="Arial" w:hAnsi="Arial"/>
                <w:sz w:val="11"/>
                <w:szCs w:val="11"/>
                <w:b w:val="1"/>
                <w:bCs w:val="1"/>
                <w:color w:val="333333"/>
              </w:rPr>
              <w:t>16</w:t>
            </w:r>
          </w:p>
        </w:tc>
        <w:tc>
          <w:tcPr>
            <w:tcW w:w="3580" w:type="dxa"/>
            <w:vAlign w:val="bottom"/>
          </w:tcPr>
          <w:p>
            <w:pPr>
              <w:ind w:left="1540"/>
              <w:spacing w:after="0"/>
              <w:rPr>
                <w:sz w:val="20"/>
                <w:szCs w:val="20"/>
                <w:color w:val="auto"/>
              </w:rPr>
            </w:pPr>
            <w:r>
              <w:rPr>
                <w:rFonts w:ascii="Arial" w:cs="Arial" w:eastAsia="Arial" w:hAnsi="Arial"/>
                <w:sz w:val="13"/>
                <w:szCs w:val="13"/>
                <w:color w:val="333333"/>
              </w:rPr>
              <w:t>STRATEGIC REPORT</w:t>
            </w:r>
          </w:p>
        </w:tc>
      </w:tr>
    </w:tbl>
    <w:p>
      <w:pPr>
        <w:spacing w:after="0" w:line="155" w:lineRule="exact"/>
        <w:rPr>
          <w:sz w:val="20"/>
          <w:szCs w:val="20"/>
          <w:color w:val="auto"/>
        </w:rPr>
      </w:pPr>
    </w:p>
    <w:p>
      <w:pPr>
        <w:ind w:left="3660"/>
        <w:spacing w:after="0"/>
        <w:rPr>
          <w:sz w:val="20"/>
          <w:szCs w:val="20"/>
          <w:color w:val="auto"/>
        </w:rPr>
      </w:pPr>
      <w:r>
        <w:rPr>
          <w:rFonts w:ascii="Arial" w:cs="Arial" w:eastAsia="Arial" w:hAnsi="Arial"/>
          <w:sz w:val="11"/>
          <w:szCs w:val="11"/>
          <w:color w:val="auto"/>
        </w:rPr>
        <w:t>MARKET OVERVIEW</w:t>
      </w:r>
    </w:p>
    <w:p>
      <w:pPr>
        <w:spacing w:after="0" w:line="59" w:lineRule="exact"/>
        <w:rPr>
          <w:sz w:val="20"/>
          <w:szCs w:val="20"/>
          <w:color w:val="auto"/>
        </w:rPr>
      </w:pPr>
    </w:p>
    <w:p>
      <w:pPr>
        <w:spacing w:after="0"/>
        <w:rPr>
          <w:sz w:val="20"/>
          <w:szCs w:val="20"/>
          <w:color w:val="auto"/>
        </w:rPr>
      </w:pPr>
      <w:r>
        <w:rPr>
          <w:rFonts w:ascii="Arial" w:cs="Arial" w:eastAsia="Arial" w:hAnsi="Arial"/>
          <w:sz w:val="31"/>
          <w:szCs w:val="31"/>
          <w:color w:val="auto"/>
        </w:rPr>
        <w:t>MARKET OVERVIEW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wp:posOffset>
            </wp:positionV>
            <wp:extent cx="347345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color w:val="auto"/>
        </w:rPr>
        <w:t>GLOBAL ECONOMIC GROWTH</w:t>
      </w:r>
    </w:p>
    <w:p>
      <w:pPr>
        <w:spacing w:after="0" w:line="1" w:lineRule="exact"/>
        <w:rPr>
          <w:sz w:val="20"/>
          <w:szCs w:val="20"/>
          <w:color w:val="auto"/>
        </w:rPr>
      </w:pPr>
    </w:p>
    <w:p>
      <w:pPr>
        <w:ind w:right="120"/>
        <w:spacing w:after="0" w:line="244" w:lineRule="auto"/>
        <w:rPr>
          <w:sz w:val="20"/>
          <w:szCs w:val="20"/>
          <w:color w:val="auto"/>
        </w:rPr>
      </w:pPr>
      <w:r>
        <w:rPr>
          <w:rFonts w:ascii="Arial" w:cs="Arial" w:eastAsia="Arial" w:hAnsi="Arial"/>
          <w:sz w:val="14"/>
          <w:szCs w:val="14"/>
          <w:color w:val="auto"/>
        </w:rPr>
        <w:t xml:space="preserve">According to the International Monetary Fund’s (IMF) January 2015 </w:t>
      </w:r>
      <w:r>
        <w:rPr>
          <w:rFonts w:ascii="Arial" w:cs="Arial" w:eastAsia="Arial" w:hAnsi="Arial"/>
          <w:sz w:val="14"/>
          <w:szCs w:val="14"/>
          <w:i w:val="1"/>
          <w:iCs w:val="1"/>
          <w:color w:val="auto"/>
        </w:rPr>
        <w:t>World Economic</w:t>
      </w:r>
      <w:r>
        <w:rPr>
          <w:rFonts w:ascii="Arial" w:cs="Arial" w:eastAsia="Arial" w:hAnsi="Arial"/>
          <w:sz w:val="14"/>
          <w:szCs w:val="14"/>
          <w:color w:val="auto"/>
        </w:rPr>
        <w:t xml:space="preserve"> </w:t>
      </w:r>
      <w:r>
        <w:rPr>
          <w:rFonts w:ascii="Arial" w:cs="Arial" w:eastAsia="Arial" w:hAnsi="Arial"/>
          <w:sz w:val="14"/>
          <w:szCs w:val="14"/>
          <w:i w:val="1"/>
          <w:iCs w:val="1"/>
          <w:color w:val="auto"/>
        </w:rPr>
        <w:t>Outlook</w:t>
      </w:r>
      <w:r>
        <w:rPr>
          <w:rFonts w:ascii="Arial" w:cs="Arial" w:eastAsia="Arial" w:hAnsi="Arial"/>
          <w:sz w:val="14"/>
          <w:szCs w:val="14"/>
          <w:color w:val="auto"/>
        </w:rPr>
        <w:t>, global economic growth was 3.3% in 2014, unchanged from 2013. The IMF</w:t>
      </w:r>
      <w:r>
        <w:rPr>
          <w:rFonts w:ascii="Arial" w:cs="Arial" w:eastAsia="Arial" w:hAnsi="Arial"/>
          <w:sz w:val="14"/>
          <w:szCs w:val="14"/>
          <w:i w:val="1"/>
          <w:iCs w:val="1"/>
          <w:color w:val="auto"/>
        </w:rPr>
        <w:t xml:space="preserve"> </w:t>
      </w:r>
      <w:r>
        <w:rPr>
          <w:rFonts w:ascii="Arial" w:cs="Arial" w:eastAsia="Arial" w:hAnsi="Arial"/>
          <w:sz w:val="14"/>
          <w:szCs w:val="14"/>
          <w:color w:val="auto"/>
        </w:rPr>
        <w:t>estimated that the eurozone’s gross domestic product (GDP) grew by 0.8% in 2014 compared with a contraction of 0.5% in 2013, US growth was 2.4%, up from 2.2% in 2013, while Chinese growth slowed from 7.8% in 2013 to 7.4%. The average GDP growth rate for emerging markets and developing economies fell to 4.4%, compared with 4.7% in 2013.</w:t>
      </w:r>
    </w:p>
    <w:p>
      <w:pPr>
        <w:spacing w:after="0" w:line="164" w:lineRule="exact"/>
        <w:rPr>
          <w:sz w:val="20"/>
          <w:szCs w:val="20"/>
          <w:color w:val="auto"/>
        </w:rPr>
      </w:pPr>
    </w:p>
    <w:p>
      <w:pPr>
        <w:ind w:right="40"/>
        <w:spacing w:after="0" w:line="245" w:lineRule="auto"/>
        <w:rPr>
          <w:sz w:val="20"/>
          <w:szCs w:val="20"/>
          <w:color w:val="auto"/>
        </w:rPr>
      </w:pPr>
      <w:r>
        <w:rPr>
          <w:rFonts w:ascii="Arial" w:cs="Arial" w:eastAsia="Arial" w:hAnsi="Arial"/>
          <w:sz w:val="14"/>
          <w:szCs w:val="14"/>
          <w:color w:val="auto"/>
        </w:rPr>
        <w:t>Growth in 2014 fell short of the IMF’s forecast of 3.7% made at the beginning of 2014. Harsh winter weather in the first quarter weighed on US growth for the year, Japan’s growth was hampered by a substantial increase in value added tax in the second quarter, while the eurozone’s return to growth has been slow. Meanwhile, growth has slowed in important markets such as China, Russia and Brazil.</w:t>
      </w:r>
    </w:p>
    <w:p>
      <w:pPr>
        <w:spacing w:after="0" w:line="164" w:lineRule="exact"/>
        <w:rPr>
          <w:sz w:val="20"/>
          <w:szCs w:val="20"/>
          <w:color w:val="auto"/>
        </w:rPr>
      </w:pPr>
    </w:p>
    <w:p>
      <w:pPr>
        <w:ind w:right="180"/>
        <w:spacing w:after="0" w:line="258" w:lineRule="auto"/>
        <w:rPr>
          <w:sz w:val="20"/>
          <w:szCs w:val="20"/>
          <w:color w:val="auto"/>
        </w:rPr>
      </w:pPr>
      <w:r>
        <w:rPr>
          <w:rFonts w:ascii="Arial" w:cs="Arial" w:eastAsia="Arial" w:hAnsi="Arial"/>
          <w:sz w:val="14"/>
          <w:szCs w:val="14"/>
          <w:color w:val="auto"/>
        </w:rPr>
        <w:t>The IMF expects global economic growth to rise to 3.5% in 2015, but that would still be less than the annual average of 3.9% for the previous 10 years.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auto"/>
        </w:rPr>
        <w:t>GLOBAL OIL AND GAS DEMAND AND SUPPLY</w:t>
      </w:r>
    </w:p>
    <w:p>
      <w:pPr>
        <w:spacing w:after="0" w:line="1" w:lineRule="exact"/>
        <w:rPr>
          <w:sz w:val="20"/>
          <w:szCs w:val="20"/>
          <w:color w:val="auto"/>
        </w:rPr>
      </w:pPr>
    </w:p>
    <w:p>
      <w:pPr>
        <w:ind w:right="80"/>
        <w:spacing w:after="0" w:line="245" w:lineRule="auto"/>
        <w:rPr>
          <w:sz w:val="20"/>
          <w:szCs w:val="20"/>
          <w:color w:val="auto"/>
        </w:rPr>
      </w:pPr>
      <w:r>
        <w:rPr>
          <w:rFonts w:ascii="Arial" w:cs="Arial" w:eastAsia="Arial" w:hAnsi="Arial"/>
          <w:sz w:val="14"/>
          <w:szCs w:val="14"/>
          <w:color w:val="auto"/>
        </w:rPr>
        <w:t xml:space="preserve">Reflecting the economic conditions described above, global oil demand rose by 0.7% (0.6 million barrels per day (b/d)) in 2014, according to the International Energy Agency’s (IEA) January 2015 </w:t>
      </w:r>
      <w:r>
        <w:rPr>
          <w:rFonts w:ascii="Arial" w:cs="Arial" w:eastAsia="Arial" w:hAnsi="Arial"/>
          <w:sz w:val="14"/>
          <w:szCs w:val="14"/>
          <w:i w:val="1"/>
          <w:iCs w:val="1"/>
          <w:color w:val="auto"/>
        </w:rPr>
        <w:t>Oil Market Report</w:t>
      </w:r>
      <w:r>
        <w:rPr>
          <w:rFonts w:ascii="Arial" w:cs="Arial" w:eastAsia="Arial" w:hAnsi="Arial"/>
          <w:sz w:val="14"/>
          <w:szCs w:val="14"/>
          <w:color w:val="auto"/>
        </w:rPr>
        <w:t>. The IEA repeatedly revised down its oil demand growth estimate for the year from 1.4 million b/d in early 2014. Demand grew in emerging economies, while remaining almost flat in advanced economies.</w:t>
      </w:r>
    </w:p>
    <w:p>
      <w:pPr>
        <w:spacing w:after="0" w:line="164" w:lineRule="exact"/>
        <w:rPr>
          <w:sz w:val="20"/>
          <w:szCs w:val="20"/>
          <w:color w:val="auto"/>
        </w:rPr>
      </w:pPr>
    </w:p>
    <w:p>
      <w:pPr>
        <w:ind w:right="100"/>
        <w:spacing w:after="0" w:line="243" w:lineRule="auto"/>
        <w:rPr>
          <w:sz w:val="20"/>
          <w:szCs w:val="20"/>
          <w:color w:val="auto"/>
        </w:rPr>
      </w:pPr>
      <w:r>
        <w:rPr>
          <w:rFonts w:ascii="Arial" w:cs="Arial" w:eastAsia="Arial" w:hAnsi="Arial"/>
          <w:sz w:val="14"/>
          <w:szCs w:val="14"/>
          <w:color w:val="auto"/>
        </w:rPr>
        <w:t>On the non-OPEC supply side, the US Energy Information Administration reported another year of continued supply growth in the Lower 48 US states: in 2014 supply grew by some 1 million b/d year-on-year. As a consequence of somewhat reduced demand growth and strong non-OPEC supply growth, oil prices fell from about $110 per barrel (/b) in mid-2014 to $75/b just ahead of the November OPEC meeting at which the members decided to maintain their production at 30 million b/d, rather than to reduce their production to balance non-OPEC supply growth. The market interpreted this decision as an increased risk of oversupply and oil prices further declined to lows of around $54/b in December.</w:t>
      </w:r>
    </w:p>
    <w:p>
      <w:pPr>
        <w:spacing w:after="0" w:line="167" w:lineRule="exact"/>
        <w:rPr>
          <w:sz w:val="20"/>
          <w:szCs w:val="20"/>
          <w:color w:val="auto"/>
        </w:rPr>
      </w:pPr>
    </w:p>
    <w:p>
      <w:pPr>
        <w:ind w:right="20"/>
        <w:spacing w:after="0" w:line="243" w:lineRule="auto"/>
        <w:rPr>
          <w:sz w:val="20"/>
          <w:szCs w:val="20"/>
          <w:color w:val="auto"/>
        </w:rPr>
      </w:pPr>
      <w:r>
        <w:rPr>
          <w:rFonts w:ascii="Arial" w:cs="Arial" w:eastAsia="Arial" w:hAnsi="Arial"/>
          <w:sz w:val="14"/>
          <w:szCs w:val="14"/>
          <w:color w:val="auto"/>
        </w:rPr>
        <w:t>We estimate that global gas demand grew by about 1% in 2014, similar to growth in 2013, which is much lower than the average annual growth rate of about 2.5% in the past decade. A combination of unusually mild weather, except in the USA, a decline in natural gas production and weak global economic growth led to a lower rate of demand growth in most regions. We believe that most of the growth in demand was in China and the USA, driven by their power generation and industrial sectors. European gas demand has weakened over the last few years and this trend is likely to have continued in 2014, according to gas industry association Eurogas.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color w:val="auto"/>
        </w:rPr>
        <w:t>CRUDE OIL AND NATURAL GAS PRICES</w:t>
      </w:r>
    </w:p>
    <w:p>
      <w:pPr>
        <w:spacing w:after="0" w:line="1" w:lineRule="exact"/>
        <w:rPr>
          <w:sz w:val="20"/>
          <w:szCs w:val="20"/>
          <w:color w:val="auto"/>
        </w:rPr>
      </w:pPr>
    </w:p>
    <w:p>
      <w:pPr>
        <w:ind w:right="180"/>
        <w:spacing w:after="0" w:line="258" w:lineRule="auto"/>
        <w:rPr>
          <w:sz w:val="20"/>
          <w:szCs w:val="20"/>
          <w:color w:val="auto"/>
        </w:rPr>
      </w:pPr>
      <w:r>
        <w:rPr>
          <w:rFonts w:ascii="Arial" w:cs="Arial" w:eastAsia="Arial" w:hAnsi="Arial"/>
          <w:sz w:val="14"/>
          <w:szCs w:val="14"/>
          <w:color w:val="auto"/>
        </w:rPr>
        <w:t>The following table provides an overview of the main crude oil and natural gas price markers that Shell is exposed to:</w:t>
      </w:r>
    </w:p>
    <w:p>
      <w:pPr>
        <w:spacing w:after="0" w:line="168" w:lineRule="exact"/>
        <w:rPr>
          <w:sz w:val="20"/>
          <w:szCs w:val="20"/>
          <w:color w:val="auto"/>
        </w:rPr>
      </w:pPr>
    </w:p>
    <w:p>
      <w:pPr>
        <w:ind w:left="80"/>
        <w:spacing w:after="0"/>
        <w:rPr>
          <w:sz w:val="20"/>
          <w:szCs w:val="20"/>
          <w:color w:val="auto"/>
        </w:rPr>
      </w:pPr>
      <w:r>
        <w:rPr>
          <w:rFonts w:ascii="Arial" w:cs="Arial" w:eastAsia="Arial" w:hAnsi="Arial"/>
          <w:sz w:val="15"/>
          <w:szCs w:val="15"/>
          <w:b w:val="1"/>
          <w:bCs w:val="1"/>
          <w:color w:val="FFFFFF"/>
        </w:rPr>
        <w:t xml:space="preserve">OIL AND GAS AVERAGE INDUSTRY PRICES </w:t>
      </w:r>
      <w:r>
        <w:rPr>
          <w:rFonts w:ascii="Arial" w:cs="Arial" w:eastAsia="Arial" w:hAnsi="Arial"/>
          <w:sz w:val="15"/>
          <w:szCs w:val="15"/>
          <w:color w:val="FFFFFF"/>
        </w:rPr>
        <w: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-95250</wp:posOffset>
            </wp:positionV>
            <wp:extent cx="3473450" cy="10287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3473450" cy="10287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49"/>
        </w:trPr>
        <w:tc>
          <w:tcPr>
            <w:tcW w:w="338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shd w:val="clear" w:color="auto" w:fill="D8D8D8"/>
          </w:tcPr>
          <w:p>
            <w:pPr>
              <w:jc w:val="right"/>
              <w:ind w:right="50"/>
              <w:spacing w:after="0"/>
              <w:rPr>
                <w:sz w:val="20"/>
                <w:szCs w:val="20"/>
                <w:color w:val="auto"/>
              </w:rPr>
            </w:pPr>
            <w:r>
              <w:rPr>
                <w:rFonts w:ascii="Arial" w:cs="Arial" w:eastAsia="Arial" w:hAnsi="Arial"/>
                <w:sz w:val="13"/>
                <w:szCs w:val="13"/>
                <w:color w:val="auto"/>
              </w:rPr>
              <w:t>2014</w:t>
            </w:r>
          </w:p>
        </w:tc>
        <w:tc>
          <w:tcPr>
            <w:tcW w:w="820" w:type="dxa"/>
            <w:vAlign w:val="bottom"/>
            <w:tcBorders>
              <w:bottom w:val="single" w:sz="8" w:color="auto"/>
            </w:tcBorders>
          </w:tcPr>
          <w:p>
            <w:pPr>
              <w:jc w:val="right"/>
              <w:ind w:right="150"/>
              <w:spacing w:after="0"/>
              <w:rPr>
                <w:sz w:val="20"/>
                <w:szCs w:val="20"/>
                <w:color w:val="auto"/>
              </w:rPr>
            </w:pPr>
            <w:r>
              <w:rPr>
                <w:rFonts w:ascii="Arial" w:cs="Arial" w:eastAsia="Arial" w:hAnsi="Arial"/>
                <w:sz w:val="13"/>
                <w:szCs w:val="13"/>
                <w:color w:val="auto"/>
              </w:rPr>
              <w:t>2013</w:t>
            </w:r>
          </w:p>
        </w:tc>
        <w:tc>
          <w:tcPr>
            <w:tcW w:w="620" w:type="dxa"/>
            <w:vAlign w:val="bottom"/>
            <w:tcBorders>
              <w:bottom w:val="single" w:sz="8" w:color="auto"/>
            </w:tcBorders>
          </w:tcPr>
          <w:p>
            <w:pPr>
              <w:jc w:val="right"/>
              <w:ind w:right="30"/>
              <w:spacing w:after="0"/>
              <w:rPr>
                <w:sz w:val="20"/>
                <w:szCs w:val="20"/>
                <w:color w:val="auto"/>
              </w:rPr>
            </w:pPr>
            <w:r>
              <w:rPr>
                <w:rFonts w:ascii="Arial" w:cs="Arial" w:eastAsia="Arial" w:hAnsi="Arial"/>
                <w:sz w:val="13"/>
                <w:szCs w:val="13"/>
                <w:color w:val="auto"/>
              </w:rPr>
              <w:t>2012</w:t>
            </w:r>
          </w:p>
        </w:tc>
      </w:tr>
      <w:tr>
        <w:trPr>
          <w:trHeight w:val="156"/>
        </w:trPr>
        <w:tc>
          <w:tcPr>
            <w:tcW w:w="3380" w:type="dxa"/>
            <w:vAlign w:val="bottom"/>
          </w:tcPr>
          <w:p>
            <w:pPr>
              <w:ind w:left="20"/>
              <w:spacing w:after="0" w:line="155" w:lineRule="exact"/>
              <w:rPr>
                <w:sz w:val="20"/>
                <w:szCs w:val="20"/>
                <w:color w:val="auto"/>
              </w:rPr>
            </w:pPr>
            <w:r>
              <w:rPr>
                <w:rFonts w:ascii="Arial" w:cs="Arial" w:eastAsia="Arial" w:hAnsi="Arial"/>
                <w:sz w:val="14"/>
                <w:szCs w:val="14"/>
                <w:color w:val="auto"/>
              </w:rPr>
              <w:t>Brent ($/b)</w:t>
            </w:r>
          </w:p>
        </w:tc>
        <w:tc>
          <w:tcPr>
            <w:tcW w:w="660" w:type="dxa"/>
            <w:vAlign w:val="bottom"/>
            <w:shd w:val="clear" w:color="auto" w:fill="D8D8D8"/>
          </w:tcPr>
          <w:p>
            <w:pPr>
              <w:jc w:val="right"/>
              <w:ind w:right="50"/>
              <w:spacing w:after="0" w:line="155" w:lineRule="exact"/>
              <w:rPr>
                <w:sz w:val="20"/>
                <w:szCs w:val="20"/>
                <w:color w:val="auto"/>
              </w:rPr>
            </w:pPr>
            <w:r>
              <w:rPr>
                <w:rFonts w:ascii="Arial" w:cs="Arial" w:eastAsia="Arial" w:hAnsi="Arial"/>
                <w:sz w:val="14"/>
                <w:szCs w:val="14"/>
                <w:color w:val="auto"/>
              </w:rPr>
              <w:t>99</w:t>
            </w:r>
          </w:p>
        </w:tc>
        <w:tc>
          <w:tcPr>
            <w:tcW w:w="820" w:type="dxa"/>
            <w:vAlign w:val="bottom"/>
          </w:tcPr>
          <w:p>
            <w:pPr>
              <w:jc w:val="right"/>
              <w:ind w:right="150"/>
              <w:spacing w:after="0" w:line="155" w:lineRule="exact"/>
              <w:rPr>
                <w:sz w:val="20"/>
                <w:szCs w:val="20"/>
                <w:color w:val="auto"/>
              </w:rPr>
            </w:pPr>
            <w:r>
              <w:rPr>
                <w:rFonts w:ascii="Arial" w:cs="Arial" w:eastAsia="Arial" w:hAnsi="Arial"/>
                <w:sz w:val="14"/>
                <w:szCs w:val="14"/>
                <w:color w:val="auto"/>
              </w:rPr>
              <w:t>109</w:t>
            </w:r>
          </w:p>
        </w:tc>
        <w:tc>
          <w:tcPr>
            <w:tcW w:w="620" w:type="dxa"/>
            <w:vAlign w:val="bottom"/>
          </w:tcPr>
          <w:p>
            <w:pPr>
              <w:jc w:val="right"/>
              <w:ind w:right="30"/>
              <w:spacing w:after="0" w:line="155" w:lineRule="exact"/>
              <w:rPr>
                <w:sz w:val="20"/>
                <w:szCs w:val="20"/>
                <w:color w:val="auto"/>
              </w:rPr>
            </w:pPr>
            <w:r>
              <w:rPr>
                <w:rFonts w:ascii="Arial" w:cs="Arial" w:eastAsia="Arial" w:hAnsi="Arial"/>
                <w:sz w:val="14"/>
                <w:szCs w:val="14"/>
                <w:color w:val="auto"/>
              </w:rPr>
              <w:t>112</w:t>
            </w:r>
          </w:p>
        </w:tc>
      </w:tr>
      <w:tr>
        <w:trPr>
          <w:trHeight w:val="162"/>
        </w:trPr>
        <w:tc>
          <w:tcPr>
            <w:tcW w:w="3380" w:type="dxa"/>
            <w:vAlign w:val="bottom"/>
          </w:tcPr>
          <w:p>
            <w:pPr>
              <w:ind w:left="20"/>
              <w:spacing w:after="0"/>
              <w:rPr>
                <w:sz w:val="20"/>
                <w:szCs w:val="20"/>
                <w:color w:val="auto"/>
              </w:rPr>
            </w:pPr>
            <w:r>
              <w:rPr>
                <w:rFonts w:ascii="Arial" w:cs="Arial" w:eastAsia="Arial" w:hAnsi="Arial"/>
                <w:sz w:val="14"/>
                <w:szCs w:val="14"/>
                <w:color w:val="auto"/>
              </w:rPr>
              <w:t>West Texas Intermediate ($/b)</w:t>
            </w:r>
          </w:p>
        </w:tc>
        <w:tc>
          <w:tcPr>
            <w:tcW w:w="660" w:type="dxa"/>
            <w:vAlign w:val="bottom"/>
            <w:shd w:val="clear" w:color="auto" w:fill="D8D8D8"/>
          </w:tcPr>
          <w:p>
            <w:pPr>
              <w:jc w:val="right"/>
              <w:ind w:right="50"/>
              <w:spacing w:after="0"/>
              <w:rPr>
                <w:sz w:val="20"/>
                <w:szCs w:val="20"/>
                <w:color w:val="auto"/>
              </w:rPr>
            </w:pPr>
            <w:r>
              <w:rPr>
                <w:rFonts w:ascii="Arial" w:cs="Arial" w:eastAsia="Arial" w:hAnsi="Arial"/>
                <w:sz w:val="14"/>
                <w:szCs w:val="14"/>
                <w:color w:val="auto"/>
              </w:rPr>
              <w:t>93</w:t>
            </w:r>
          </w:p>
        </w:tc>
        <w:tc>
          <w:tcPr>
            <w:tcW w:w="820" w:type="dxa"/>
            <w:vAlign w:val="bottom"/>
          </w:tcPr>
          <w:p>
            <w:pPr>
              <w:jc w:val="right"/>
              <w:ind w:right="150"/>
              <w:spacing w:after="0"/>
              <w:rPr>
                <w:sz w:val="20"/>
                <w:szCs w:val="20"/>
                <w:color w:val="auto"/>
              </w:rPr>
            </w:pPr>
            <w:r>
              <w:rPr>
                <w:rFonts w:ascii="Arial" w:cs="Arial" w:eastAsia="Arial" w:hAnsi="Arial"/>
                <w:sz w:val="14"/>
                <w:szCs w:val="14"/>
                <w:color w:val="auto"/>
              </w:rPr>
              <w:t>98</w:t>
            </w:r>
          </w:p>
        </w:tc>
        <w:tc>
          <w:tcPr>
            <w:tcW w:w="620" w:type="dxa"/>
            <w:vAlign w:val="bottom"/>
          </w:tcPr>
          <w:p>
            <w:pPr>
              <w:jc w:val="right"/>
              <w:ind w:right="30"/>
              <w:spacing w:after="0"/>
              <w:rPr>
                <w:sz w:val="20"/>
                <w:szCs w:val="20"/>
                <w:color w:val="auto"/>
              </w:rPr>
            </w:pPr>
            <w:r>
              <w:rPr>
                <w:rFonts w:ascii="Arial" w:cs="Arial" w:eastAsia="Arial" w:hAnsi="Arial"/>
                <w:sz w:val="14"/>
                <w:szCs w:val="14"/>
                <w:color w:val="auto"/>
              </w:rPr>
              <w:t>94</w:t>
            </w:r>
          </w:p>
        </w:tc>
      </w:tr>
      <w:tr>
        <w:trPr>
          <w:trHeight w:val="167"/>
        </w:trPr>
        <w:tc>
          <w:tcPr>
            <w:tcW w:w="3380" w:type="dxa"/>
            <w:vAlign w:val="bottom"/>
          </w:tcPr>
          <w:p>
            <w:pPr>
              <w:ind w:left="20"/>
              <w:spacing w:after="0"/>
              <w:rPr>
                <w:sz w:val="20"/>
                <w:szCs w:val="20"/>
                <w:color w:val="auto"/>
              </w:rPr>
            </w:pPr>
            <w:r>
              <w:rPr>
                <w:rFonts w:ascii="Arial" w:cs="Arial" w:eastAsia="Arial" w:hAnsi="Arial"/>
                <w:sz w:val="14"/>
                <w:szCs w:val="14"/>
                <w:color w:val="auto"/>
              </w:rPr>
              <w:t>Henry Hub ($/MMBtu)</w:t>
            </w:r>
          </w:p>
        </w:tc>
        <w:tc>
          <w:tcPr>
            <w:tcW w:w="660" w:type="dxa"/>
            <w:vAlign w:val="bottom"/>
            <w:shd w:val="clear" w:color="auto" w:fill="D8D8D8"/>
          </w:tcPr>
          <w:p>
            <w:pPr>
              <w:jc w:val="right"/>
              <w:ind w:right="50"/>
              <w:spacing w:after="0"/>
              <w:rPr>
                <w:sz w:val="20"/>
                <w:szCs w:val="20"/>
                <w:color w:val="auto"/>
              </w:rPr>
            </w:pPr>
            <w:r>
              <w:rPr>
                <w:rFonts w:ascii="Arial" w:cs="Arial" w:eastAsia="Arial" w:hAnsi="Arial"/>
                <w:sz w:val="14"/>
                <w:szCs w:val="14"/>
                <w:color w:val="auto"/>
              </w:rPr>
              <w:t>4.3</w:t>
            </w:r>
          </w:p>
        </w:tc>
        <w:tc>
          <w:tcPr>
            <w:tcW w:w="820" w:type="dxa"/>
            <w:vAlign w:val="bottom"/>
          </w:tcPr>
          <w:p>
            <w:pPr>
              <w:jc w:val="right"/>
              <w:ind w:right="150"/>
              <w:spacing w:after="0"/>
              <w:rPr>
                <w:sz w:val="20"/>
                <w:szCs w:val="20"/>
                <w:color w:val="auto"/>
              </w:rPr>
            </w:pPr>
            <w:r>
              <w:rPr>
                <w:rFonts w:ascii="Arial" w:cs="Arial" w:eastAsia="Arial" w:hAnsi="Arial"/>
                <w:sz w:val="14"/>
                <w:szCs w:val="14"/>
                <w:color w:val="auto"/>
              </w:rPr>
              <w:t>3.7</w:t>
            </w:r>
          </w:p>
        </w:tc>
        <w:tc>
          <w:tcPr>
            <w:tcW w:w="620" w:type="dxa"/>
            <w:vAlign w:val="bottom"/>
          </w:tcPr>
          <w:p>
            <w:pPr>
              <w:jc w:val="right"/>
              <w:ind w:right="30"/>
              <w:spacing w:after="0"/>
              <w:rPr>
                <w:sz w:val="20"/>
                <w:szCs w:val="20"/>
                <w:color w:val="auto"/>
              </w:rPr>
            </w:pPr>
            <w:r>
              <w:rPr>
                <w:rFonts w:ascii="Arial" w:cs="Arial" w:eastAsia="Arial" w:hAnsi="Arial"/>
                <w:sz w:val="14"/>
                <w:szCs w:val="14"/>
                <w:color w:val="auto"/>
              </w:rPr>
              <w:t>2.8</w:t>
            </w:r>
          </w:p>
        </w:tc>
      </w:tr>
      <w:tr>
        <w:trPr>
          <w:trHeight w:val="162"/>
        </w:trPr>
        <w:tc>
          <w:tcPr>
            <w:tcW w:w="3380" w:type="dxa"/>
            <w:vAlign w:val="bottom"/>
          </w:tcPr>
          <w:p>
            <w:pPr>
              <w:ind w:left="20"/>
              <w:spacing w:after="0"/>
              <w:rPr>
                <w:sz w:val="20"/>
                <w:szCs w:val="20"/>
                <w:color w:val="auto"/>
              </w:rPr>
            </w:pPr>
            <w:r>
              <w:rPr>
                <w:rFonts w:ascii="Arial" w:cs="Arial" w:eastAsia="Arial" w:hAnsi="Arial"/>
                <w:sz w:val="14"/>
                <w:szCs w:val="14"/>
                <w:color w:val="auto"/>
              </w:rPr>
              <w:t>UK National Balancing Point (pence/therm)</w:t>
            </w:r>
          </w:p>
        </w:tc>
        <w:tc>
          <w:tcPr>
            <w:tcW w:w="660" w:type="dxa"/>
            <w:vAlign w:val="bottom"/>
            <w:shd w:val="clear" w:color="auto" w:fill="D8D8D8"/>
          </w:tcPr>
          <w:p>
            <w:pPr>
              <w:jc w:val="right"/>
              <w:ind w:right="50"/>
              <w:spacing w:after="0"/>
              <w:rPr>
                <w:sz w:val="20"/>
                <w:szCs w:val="20"/>
                <w:color w:val="auto"/>
              </w:rPr>
            </w:pPr>
            <w:r>
              <w:rPr>
                <w:rFonts w:ascii="Arial" w:cs="Arial" w:eastAsia="Arial" w:hAnsi="Arial"/>
                <w:sz w:val="14"/>
                <w:szCs w:val="14"/>
                <w:color w:val="auto"/>
              </w:rPr>
              <w:t>50</w:t>
            </w:r>
          </w:p>
        </w:tc>
        <w:tc>
          <w:tcPr>
            <w:tcW w:w="820" w:type="dxa"/>
            <w:vAlign w:val="bottom"/>
          </w:tcPr>
          <w:p>
            <w:pPr>
              <w:jc w:val="right"/>
              <w:ind w:right="150"/>
              <w:spacing w:after="0"/>
              <w:rPr>
                <w:sz w:val="20"/>
                <w:szCs w:val="20"/>
                <w:color w:val="auto"/>
              </w:rPr>
            </w:pPr>
            <w:r>
              <w:rPr>
                <w:rFonts w:ascii="Arial" w:cs="Arial" w:eastAsia="Arial" w:hAnsi="Arial"/>
                <w:sz w:val="14"/>
                <w:szCs w:val="14"/>
                <w:color w:val="auto"/>
              </w:rPr>
              <w:t>68</w:t>
            </w:r>
          </w:p>
        </w:tc>
        <w:tc>
          <w:tcPr>
            <w:tcW w:w="620" w:type="dxa"/>
            <w:vAlign w:val="bottom"/>
          </w:tcPr>
          <w:p>
            <w:pPr>
              <w:jc w:val="right"/>
              <w:ind w:right="30"/>
              <w:spacing w:after="0"/>
              <w:rPr>
                <w:sz w:val="20"/>
                <w:szCs w:val="20"/>
                <w:color w:val="auto"/>
              </w:rPr>
            </w:pPr>
            <w:r>
              <w:rPr>
                <w:rFonts w:ascii="Arial" w:cs="Arial" w:eastAsia="Arial" w:hAnsi="Arial"/>
                <w:sz w:val="14"/>
                <w:szCs w:val="14"/>
                <w:color w:val="auto"/>
              </w:rPr>
              <w:t>60</w:t>
            </w:r>
          </w:p>
        </w:tc>
      </w:tr>
      <w:tr>
        <w:trPr>
          <w:trHeight w:val="157"/>
        </w:trPr>
        <w:tc>
          <w:tcPr>
            <w:tcW w:w="3380" w:type="dxa"/>
            <w:vAlign w:val="bottom"/>
            <w:tcBorders>
              <w:bottom w:val="single" w:sz="8" w:color="auto"/>
            </w:tcBorders>
          </w:tcPr>
          <w:p>
            <w:pPr>
              <w:ind w:left="20"/>
              <w:spacing w:after="0" w:line="157" w:lineRule="exact"/>
              <w:rPr>
                <w:sz w:val="20"/>
                <w:szCs w:val="20"/>
                <w:color w:val="auto"/>
              </w:rPr>
            </w:pPr>
            <w:r>
              <w:rPr>
                <w:rFonts w:ascii="Arial" w:cs="Arial" w:eastAsia="Arial" w:hAnsi="Arial"/>
                <w:sz w:val="14"/>
                <w:szCs w:val="14"/>
                <w:color w:val="auto"/>
              </w:rPr>
              <w:t>Japan Customs-cleared Crude ($/b)</w:t>
            </w:r>
          </w:p>
        </w:tc>
        <w:tc>
          <w:tcPr>
            <w:tcW w:w="660" w:type="dxa"/>
            <w:vAlign w:val="bottom"/>
            <w:tcBorders>
              <w:bottom w:val="single" w:sz="8" w:color="auto"/>
            </w:tcBorders>
            <w:shd w:val="clear" w:color="auto" w:fill="D8D8D8"/>
          </w:tcPr>
          <w:p>
            <w:pPr>
              <w:jc w:val="right"/>
              <w:ind w:right="50"/>
              <w:spacing w:after="0" w:line="157" w:lineRule="exact"/>
              <w:rPr>
                <w:sz w:val="20"/>
                <w:szCs w:val="20"/>
                <w:color w:val="auto"/>
              </w:rPr>
            </w:pPr>
            <w:r>
              <w:rPr>
                <w:rFonts w:ascii="Arial" w:cs="Arial" w:eastAsia="Arial" w:hAnsi="Arial"/>
                <w:sz w:val="14"/>
                <w:szCs w:val="14"/>
                <w:color w:val="auto"/>
              </w:rPr>
              <w:t>108</w:t>
            </w:r>
          </w:p>
        </w:tc>
        <w:tc>
          <w:tcPr>
            <w:tcW w:w="820" w:type="dxa"/>
            <w:vAlign w:val="bottom"/>
            <w:tcBorders>
              <w:bottom w:val="single" w:sz="8" w:color="auto"/>
            </w:tcBorders>
          </w:tcPr>
          <w:p>
            <w:pPr>
              <w:jc w:val="right"/>
              <w:ind w:right="150"/>
              <w:spacing w:after="0" w:line="157" w:lineRule="exact"/>
              <w:rPr>
                <w:sz w:val="20"/>
                <w:szCs w:val="20"/>
                <w:color w:val="auto"/>
              </w:rPr>
            </w:pPr>
            <w:r>
              <w:rPr>
                <w:rFonts w:ascii="Arial" w:cs="Arial" w:eastAsia="Arial" w:hAnsi="Arial"/>
                <w:sz w:val="14"/>
                <w:szCs w:val="14"/>
                <w:color w:val="auto"/>
              </w:rPr>
              <w:t>110</w:t>
            </w:r>
          </w:p>
        </w:tc>
        <w:tc>
          <w:tcPr>
            <w:tcW w:w="620" w:type="dxa"/>
            <w:vAlign w:val="bottom"/>
            <w:tcBorders>
              <w:bottom w:val="single" w:sz="8" w:color="auto"/>
            </w:tcBorders>
          </w:tcPr>
          <w:p>
            <w:pPr>
              <w:jc w:val="right"/>
              <w:ind w:right="30"/>
              <w:spacing w:after="0" w:line="157" w:lineRule="exact"/>
              <w:rPr>
                <w:sz w:val="20"/>
                <w:szCs w:val="20"/>
                <w:color w:val="auto"/>
              </w:rPr>
            </w:pPr>
            <w:r>
              <w:rPr>
                <w:rFonts w:ascii="Arial" w:cs="Arial" w:eastAsia="Arial" w:hAnsi="Arial"/>
                <w:sz w:val="14"/>
                <w:szCs w:val="14"/>
                <w:color w:val="auto"/>
              </w:rPr>
              <w:t>115</w:t>
            </w:r>
          </w:p>
        </w:tc>
      </w:tr>
    </w:tbl>
    <w:p>
      <w:pPr>
        <w:spacing w:after="0" w:line="24" w:lineRule="exact"/>
        <w:rPr>
          <w:sz w:val="20"/>
          <w:szCs w:val="20"/>
          <w:color w:val="auto"/>
        </w:rPr>
      </w:pPr>
    </w:p>
    <w:p>
      <w:pPr>
        <w:ind w:right="300" w:firstLine="8"/>
        <w:spacing w:after="0" w:line="238" w:lineRule="auto"/>
        <w:tabs>
          <w:tab w:leader="none" w:pos="162" w:val="left"/>
        </w:tabs>
        <w:numPr>
          <w:ilvl w:val="0"/>
          <w:numId w:val="24"/>
        </w:numPr>
        <w:rPr>
          <w:rFonts w:ascii="Arial" w:cs="Arial" w:eastAsia="Arial" w:hAnsi="Arial"/>
          <w:sz w:val="11"/>
          <w:szCs w:val="11"/>
          <w:color w:val="auto"/>
        </w:rPr>
      </w:pPr>
      <w:r>
        <w:rPr>
          <w:rFonts w:ascii="Arial" w:cs="Arial" w:eastAsia="Arial" w:hAnsi="Arial"/>
          <w:sz w:val="11"/>
          <w:szCs w:val="11"/>
          <w:color w:val="auto"/>
        </w:rPr>
        <w:t>Yearly average prices are based on daily spot prices. The 2014 average price for Japan Customs-cleared Crude excludes December data.</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left="3240"/>
        <w:spacing w:after="0"/>
        <w:rPr>
          <w:sz w:val="20"/>
          <w:szCs w:val="20"/>
          <w:color w:val="auto"/>
        </w:rPr>
      </w:pPr>
      <w:r>
        <w:rPr>
          <w:rFonts w:ascii="Arial" w:cs="Arial" w:eastAsia="Arial" w:hAnsi="Arial"/>
          <w:sz w:val="10"/>
          <w:szCs w:val="10"/>
          <w:color w:val="auto"/>
        </w:rPr>
        <w:t>SHELL ANNUAL REPORT AND FORM 20-F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-3677285</wp:posOffset>
            </wp:positionH>
            <wp:positionV relativeFrom="paragraph">
              <wp:posOffset>-1167765</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49" w:lineRule="exact"/>
        <w:rPr>
          <w:sz w:val="20"/>
          <w:szCs w:val="20"/>
          <w:color w:val="auto"/>
        </w:rPr>
      </w:pPr>
    </w:p>
    <w:p>
      <w:pPr>
        <w:ind w:right="340"/>
        <w:spacing w:after="0" w:line="245" w:lineRule="auto"/>
        <w:rPr>
          <w:sz w:val="20"/>
          <w:szCs w:val="20"/>
          <w:color w:val="auto"/>
        </w:rPr>
      </w:pPr>
      <w:r>
        <w:rPr>
          <w:rFonts w:ascii="Arial" w:cs="Arial" w:eastAsia="Arial" w:hAnsi="Arial"/>
          <w:sz w:val="14"/>
          <w:szCs w:val="14"/>
          <w:color w:val="auto"/>
        </w:rPr>
        <w:t>The Brent crude oil price, an international crude-oil benchmark, traded in a range of $54-115/b in 2014, ending the year at $55/b. Both the Brent and the West Texas Intermediate (WTI) average crude oil prices for 2014 were lower than in 2013, as a result of demand growth being outpaced by continued non-OPEC supply growth, in particular in North America.</w:t>
      </w:r>
    </w:p>
    <w:p>
      <w:pPr>
        <w:spacing w:after="0" w:line="178" w:lineRule="exact"/>
        <w:rPr>
          <w:sz w:val="20"/>
          <w:szCs w:val="20"/>
          <w:color w:val="auto"/>
        </w:rPr>
      </w:pPr>
    </w:p>
    <w:p>
      <w:pPr>
        <w:ind w:right="260"/>
        <w:spacing w:after="0" w:line="247" w:lineRule="auto"/>
        <w:rPr>
          <w:sz w:val="20"/>
          <w:szCs w:val="20"/>
          <w:color w:val="auto"/>
        </w:rPr>
      </w:pPr>
      <w:r>
        <w:rPr>
          <w:rFonts w:ascii="Arial" w:cs="Arial" w:eastAsia="Arial" w:hAnsi="Arial"/>
          <w:sz w:val="14"/>
          <w:szCs w:val="14"/>
          <w:color w:val="auto"/>
        </w:rPr>
        <w:t>WTI continued to trade at a discount to Brent, and followed the Brent price trajectory. The discount narrowed compared with 2013 after an expansion in pipeline capacity helped improve access for refineries on the US Gulf Coast to WTI that is delivered to the landlocked Cushing, Oklahoma, trading hub.</w:t>
      </w:r>
    </w:p>
    <w:p>
      <w:pPr>
        <w:spacing w:after="0" w:line="161" w:lineRule="exact"/>
        <w:rPr>
          <w:sz w:val="20"/>
          <w:szCs w:val="20"/>
          <w:color w:val="auto"/>
        </w:rPr>
      </w:pPr>
    </w:p>
    <w:p>
      <w:pPr>
        <w:ind w:right="320"/>
        <w:spacing w:after="0" w:line="244" w:lineRule="auto"/>
        <w:rPr>
          <w:sz w:val="20"/>
          <w:szCs w:val="20"/>
          <w:color w:val="auto"/>
        </w:rPr>
      </w:pPr>
      <w:r>
        <w:rPr>
          <w:rFonts w:ascii="Arial" w:cs="Arial" w:eastAsia="Arial" w:hAnsi="Arial"/>
          <w:sz w:val="14"/>
          <w:szCs w:val="14"/>
          <w:color w:val="auto"/>
        </w:rPr>
        <w:t>Looking ahead, substantial price volatility can be expected in the short to medium term. Oil prices may strengthen if the global economy accelerates, or if supply tightens as a result of a deceleration in non-OPEC production growth due to current price weakness, in particular US light tight oil, or if supply disruptions occur in major producing countries. Alternatively, oil prices may weaken further if economic growth slows or production continues to rise.</w:t>
      </w:r>
    </w:p>
    <w:p>
      <w:pPr>
        <w:spacing w:after="0" w:line="166" w:lineRule="exact"/>
        <w:rPr>
          <w:sz w:val="20"/>
          <w:szCs w:val="20"/>
          <w:color w:val="auto"/>
        </w:rPr>
      </w:pPr>
    </w:p>
    <w:p>
      <w:pPr>
        <w:spacing w:after="0"/>
        <w:rPr>
          <w:sz w:val="20"/>
          <w:szCs w:val="20"/>
          <w:color w:val="auto"/>
        </w:rPr>
      </w:pPr>
      <w:r>
        <w:rPr>
          <w:rFonts w:ascii="Arial" w:cs="Arial" w:eastAsia="Arial" w:hAnsi="Arial"/>
          <w:sz w:val="14"/>
          <w:szCs w:val="14"/>
          <w:color w:val="auto"/>
        </w:rPr>
        <w:t>Unlike crude oil pricing, which is global in nature, gas prices vary significantly from</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region to region. In the USA, the natural gas price at the Henry Hub averaged $4.3</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per million British thermal units (MMBtu) in 2014, 16% higher than in 2013, and traded</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in a range of $2.7-7.9/MMBtu. The year began with one of the coldest winters on</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record and Henry Hub average monthly gas prices peaked in February at</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$5.8/MMBtu. But robust growth in gas production and normal weather in the summer</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led to a steep decline in prices from a high of $4.7/MMBtu in mid-June to $3.8/MMBtu</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by the end of July. An early cold snap caused a price spike to $4.4/MMBtu in mid-</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November, but it had fallen to $3.0/MMbtu by the end of the year.</w:t>
      </w:r>
    </w:p>
    <w:p>
      <w:pPr>
        <w:spacing w:after="0" w:line="190" w:lineRule="exact"/>
        <w:rPr>
          <w:sz w:val="20"/>
          <w:szCs w:val="20"/>
          <w:color w:val="auto"/>
        </w:rPr>
      </w:pPr>
    </w:p>
    <w:p>
      <w:pPr>
        <w:ind w:right="180"/>
        <w:spacing w:after="0" w:line="244" w:lineRule="auto"/>
        <w:rPr>
          <w:sz w:val="20"/>
          <w:szCs w:val="20"/>
          <w:color w:val="auto"/>
        </w:rPr>
      </w:pPr>
      <w:r>
        <w:rPr>
          <w:rFonts w:ascii="Arial" w:cs="Arial" w:eastAsia="Arial" w:hAnsi="Arial"/>
          <w:sz w:val="14"/>
          <w:szCs w:val="14"/>
          <w:color w:val="auto"/>
        </w:rPr>
        <w:t>In Europe, gas prices fell. In the UK, the average price at the UK National Balancing Point was 21% lower than in 2013. In continental Europe, price decreases at the main gas trading hubs in Belgium, Germany and the Netherlands were similar to those at the UK National Balancing Point. Lower prices reflected milder than expected weather and improved supplies of LNG on the global market. The dominance of oil-indexed gas pricing is decreasing in continental Europe, with many natural gas contracts now including spot market pricing as a major component.</w:t>
      </w:r>
    </w:p>
    <w:p>
      <w:pPr>
        <w:spacing w:after="0" w:line="164" w:lineRule="exact"/>
        <w:rPr>
          <w:sz w:val="20"/>
          <w:szCs w:val="20"/>
          <w:color w:val="auto"/>
        </w:rPr>
      </w:pPr>
    </w:p>
    <w:p>
      <w:pPr>
        <w:ind w:right="180"/>
        <w:spacing w:after="0" w:line="245" w:lineRule="auto"/>
        <w:rPr>
          <w:sz w:val="20"/>
          <w:szCs w:val="20"/>
          <w:color w:val="auto"/>
        </w:rPr>
      </w:pPr>
      <w:r>
        <w:rPr>
          <w:rFonts w:ascii="Arial" w:cs="Arial" w:eastAsia="Arial" w:hAnsi="Arial"/>
          <w:sz w:val="14"/>
          <w:szCs w:val="14"/>
          <w:color w:val="auto"/>
        </w:rPr>
        <w:t>We also produce and sell natural gas in regions where supply, demand and regulatory circumstances differ markedly from those in the USA or Europe. Long-term contracted LNG prices in Asia-Pacific are predominantly indexed to the price of Japan Customs-cleared Crude (JCC). In Japan, LNG import contracts have historically been indexed to the JCC benchmark.</w:t>
      </w:r>
    </w:p>
    <w:p>
      <w:pPr>
        <w:spacing w:after="0" w:line="164" w:lineRule="exact"/>
        <w:rPr>
          <w:sz w:val="20"/>
          <w:szCs w:val="20"/>
          <w:color w:val="auto"/>
        </w:rPr>
      </w:pPr>
    </w:p>
    <w:p>
      <w:pPr>
        <w:ind w:right="180"/>
        <w:spacing w:after="0" w:line="247" w:lineRule="auto"/>
        <w:rPr>
          <w:sz w:val="20"/>
          <w:szCs w:val="20"/>
          <w:color w:val="auto"/>
        </w:rPr>
      </w:pPr>
      <w:r>
        <w:rPr>
          <w:rFonts w:ascii="Arial" w:cs="Arial" w:eastAsia="Arial" w:hAnsi="Arial"/>
          <w:sz w:val="14"/>
          <w:szCs w:val="14"/>
          <w:color w:val="auto"/>
        </w:rPr>
        <w:t>We see growing demand for LNG in China, India, the Middle East, South America and South-east Asia. In these markets, LNG supply is offered on term and spot bases. North American export projects have been offering future gas supply linked to US Henry Hub prices.</w:t>
      </w:r>
    </w:p>
    <w:p>
      <w:pPr>
        <w:spacing w:after="0" w:line="169" w:lineRule="exact"/>
        <w:rPr>
          <w:sz w:val="20"/>
          <w:szCs w:val="20"/>
          <w:color w:val="auto"/>
        </w:rPr>
      </w:pPr>
    </w:p>
    <w:p>
      <w:pPr>
        <w:ind w:right="560"/>
        <w:spacing w:after="0" w:line="238" w:lineRule="auto"/>
        <w:rPr>
          <w:sz w:val="20"/>
          <w:szCs w:val="20"/>
          <w:color w:val="auto"/>
        </w:rPr>
      </w:pPr>
      <w:r>
        <w:rPr>
          <w:rFonts w:ascii="Arial" w:cs="Arial" w:eastAsia="Arial" w:hAnsi="Arial"/>
          <w:sz w:val="18"/>
          <w:szCs w:val="18"/>
          <w:color w:val="auto"/>
        </w:rPr>
        <w:t>CRUDE OIL AND NATURAL GAS PRICES FOR INVESTMENT EVALUATION</w:t>
      </w:r>
    </w:p>
    <w:p>
      <w:pPr>
        <w:ind w:right="160"/>
        <w:spacing w:after="0" w:line="243" w:lineRule="auto"/>
        <w:rPr>
          <w:sz w:val="20"/>
          <w:szCs w:val="20"/>
          <w:color w:val="auto"/>
        </w:rPr>
      </w:pPr>
      <w:r>
        <w:rPr>
          <w:rFonts w:ascii="Arial" w:cs="Arial" w:eastAsia="Arial" w:hAnsi="Arial"/>
          <w:sz w:val="14"/>
          <w:szCs w:val="14"/>
          <w:color w:val="auto"/>
        </w:rPr>
        <w:t>The range of possible future crude oil and natural gas prices used in project and portfolio evaluations by Shell is determined after an assessment of short-, medium-and long-term price drivers under different sets of assumptions. Historical analysis, trends and statistical volatility are considered in this assessment, as are analyses of possible future economic conditions, geopolitics, actions by OPEC, production costs and the balance of supply and demand. Sensitivity analyses are used to test the impact of low-price drivers, such as economic weakness, and high-price drivers, such as strong economic growth and low investment in new production capacity. Short-term events, such as</w:t>
      </w:r>
    </w:p>
    <w:p>
      <w:pPr>
        <w:sectPr>
          <w:pgSz w:w="11900" w:h="16838" w:orient="portrait"/>
          <w:cols w:equalWidth="0" w:num="2">
            <w:col w:w="5500" w:space="280"/>
            <w:col w:w="5640"/>
          </w:cols>
          <w:pgMar w:left="240" w:top="459"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1"/>
          <w:szCs w:val="11"/>
          <w:color w:val="auto"/>
        </w:rPr>
        <w:t>SHELL ANNUAL REPORT AND FORM 20-F 2014</w:t>
      </w:r>
    </w:p>
    <w:p>
      <w:pPr>
        <w:spacing w:after="0" w:line="57" w:lineRule="exact"/>
        <w:rPr>
          <w:sz w:val="20"/>
          <w:szCs w:val="20"/>
          <w:color w:val="auto"/>
        </w:rPr>
      </w:pPr>
    </w:p>
    <w:p>
      <w:pPr>
        <w:ind w:right="540"/>
        <w:spacing w:after="0" w:line="258" w:lineRule="auto"/>
        <w:rPr>
          <w:sz w:val="20"/>
          <w:szCs w:val="20"/>
          <w:color w:val="auto"/>
        </w:rPr>
      </w:pPr>
      <w:r>
        <w:rPr>
          <w:rFonts w:ascii="Arial" w:cs="Arial" w:eastAsia="Arial" w:hAnsi="Arial"/>
          <w:sz w:val="14"/>
          <w:szCs w:val="14"/>
          <w:color w:val="auto"/>
        </w:rPr>
        <w:t>relatively warm winters or cool summers affect demand. Supply disruptions, due to weather or political instability, contribute to price volatility.</w:t>
      </w:r>
    </w:p>
    <w:p>
      <w:pPr>
        <w:spacing w:after="0" w:line="167" w:lineRule="exact"/>
        <w:rPr>
          <w:sz w:val="20"/>
          <w:szCs w:val="20"/>
          <w:color w:val="auto"/>
        </w:rPr>
      </w:pPr>
    </w:p>
    <w:p>
      <w:pPr>
        <w:ind w:right="380"/>
        <w:spacing w:after="0" w:line="244" w:lineRule="auto"/>
        <w:rPr>
          <w:sz w:val="20"/>
          <w:szCs w:val="20"/>
          <w:color w:val="auto"/>
        </w:rPr>
      </w:pPr>
      <w:r>
        <w:rPr>
          <w:rFonts w:ascii="Arial" w:cs="Arial" w:eastAsia="Arial" w:hAnsi="Arial"/>
          <w:sz w:val="14"/>
          <w:szCs w:val="14"/>
          <w:color w:val="auto"/>
        </w:rPr>
        <w:t>We expect oil and gas prices to remain volatile. For the purposes of making investment decisions, generally we test the economic performance of long-term projects against price ranges of $70-110/b for Brent crude oil and $3.5-5.0/MMBtu for gas at the Henry Hub. As part of our normal business practice, the range of prices used for this purpose is subject to review and change, and was last confirmed in the fourth quarter of 2014. See “Risk factors”.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color w:val="auto"/>
        </w:rPr>
        <w:t>REFINING AND PETROCHEMICAL MARKET TRENDS</w:t>
      </w:r>
    </w:p>
    <w:p>
      <w:pPr>
        <w:spacing w:after="0" w:line="1" w:lineRule="exact"/>
        <w:rPr>
          <w:sz w:val="20"/>
          <w:szCs w:val="20"/>
          <w:color w:val="auto"/>
        </w:rPr>
      </w:pPr>
    </w:p>
    <w:p>
      <w:pPr>
        <w:ind w:right="340"/>
        <w:spacing w:after="0" w:line="243" w:lineRule="auto"/>
        <w:rPr>
          <w:sz w:val="20"/>
          <w:szCs w:val="20"/>
          <w:color w:val="auto"/>
        </w:rPr>
      </w:pPr>
      <w:r>
        <w:rPr>
          <w:rFonts w:ascii="Arial" w:cs="Arial" w:eastAsia="Arial" w:hAnsi="Arial"/>
          <w:sz w:val="14"/>
          <w:szCs w:val="14"/>
          <w:color w:val="auto"/>
        </w:rPr>
        <w:t>Industry refining margins were higher on average in 2014 than in 2013 in the key refining hubs of the USA and Singapore, and were little changed in Europe. In particular, margins improved in the USA where increased domestic crude oil and natural gas production lowered oil acquisition costs (relative to international prices). Some demand growth, especially around the summer driving season in the USA, also contributed to higher US Gulf Coast margins. In 2015, increased demand for middle distillates is expected to be a key driver of refining margins, supported by demand for gasoline in the middle of the year. However, the overall outlook remains unclear because of continuing economic uncertainty, geopolitical tensions in some regions that could lead to supply disruptions and overcapacity in the global refining market.</w:t>
      </w:r>
    </w:p>
    <w:p>
      <w:pPr>
        <w:spacing w:after="0" w:line="166" w:lineRule="exact"/>
        <w:rPr>
          <w:sz w:val="20"/>
          <w:szCs w:val="20"/>
          <w:color w:val="auto"/>
        </w:rPr>
      </w:pPr>
    </w:p>
    <w:p>
      <w:pPr>
        <w:ind w:right="480"/>
        <w:spacing w:after="0" w:line="245" w:lineRule="auto"/>
        <w:rPr>
          <w:sz w:val="20"/>
          <w:szCs w:val="20"/>
          <w:color w:val="auto"/>
        </w:rPr>
      </w:pPr>
      <w:r>
        <w:rPr>
          <w:rFonts w:ascii="Arial" w:cs="Arial" w:eastAsia="Arial" w:hAnsi="Arial"/>
          <w:sz w:val="14"/>
          <w:szCs w:val="14"/>
          <w:color w:val="auto"/>
        </w:rPr>
        <w:t>In Chemicals, industry naphtha cracker margins increased from 2013, particularly in Asia where there was less cracker capacity available. US ethane cracker margins were high relative to naphtha cracker margins in other regions due to ample ethane supply. The outlook for petrochemicals for 2015 is dependent on the growth of the global economy, especially in Asia, and developments in raw material prices.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760" w:type="dxa"/>
            <w:vAlign w:val="bottom"/>
          </w:tcPr>
          <w:p>
            <w:pPr>
              <w:spacing w:after="0"/>
              <w:rPr>
                <w:sz w:val="20"/>
                <w:szCs w:val="20"/>
                <w:color w:val="auto"/>
              </w:rPr>
            </w:pPr>
            <w:r>
              <w:rPr>
                <w:rFonts w:ascii="Arial" w:cs="Arial" w:eastAsia="Arial" w:hAnsi="Arial"/>
                <w:sz w:val="13"/>
                <w:szCs w:val="13"/>
                <w:color w:val="333333"/>
              </w:rPr>
              <w:t>STRATEGIC REPORT</w:t>
            </w:r>
          </w:p>
        </w:tc>
        <w:tc>
          <w:tcPr>
            <w:tcW w:w="1640" w:type="dxa"/>
            <w:vAlign w:val="bottom"/>
          </w:tcPr>
          <w:p>
            <w:pPr>
              <w:jc w:val="right"/>
              <w:spacing w:after="0"/>
              <w:rPr>
                <w:sz w:val="20"/>
                <w:szCs w:val="20"/>
                <w:color w:val="auto"/>
              </w:rPr>
            </w:pPr>
            <w:r>
              <w:rPr>
                <w:rFonts w:ascii="Arial" w:cs="Arial" w:eastAsia="Arial" w:hAnsi="Arial"/>
                <w:sz w:val="11"/>
                <w:szCs w:val="11"/>
                <w:b w:val="1"/>
                <w:bCs w:val="1"/>
                <w:color w:val="333333"/>
              </w:rPr>
              <w:t>17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-584200</wp:posOffset>
            </wp:positionH>
            <wp:positionV relativeFrom="paragraph">
              <wp:posOffset>-358140</wp:posOffset>
            </wp:positionV>
            <wp:extent cx="3696335" cy="46291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3696335" cy="462915"/>
                    </a:xfrm>
                    <a:prstGeom prst="rect">
                      <a:avLst/>
                    </a:prstGeom>
                    <a:noFill/>
                  </pic:spPr>
                </pic:pic>
              </a:graphicData>
            </a:graphic>
          </wp:anchor>
        </w:drawing>
      </w:r>
    </w:p>
    <w:p>
      <w:pPr>
        <w:spacing w:after="0" w:line="141" w:lineRule="exact"/>
        <w:rPr>
          <w:sz w:val="20"/>
          <w:szCs w:val="20"/>
          <w:color w:val="auto"/>
        </w:rPr>
      </w:pPr>
    </w:p>
    <w:p>
      <w:pPr>
        <w:spacing w:after="0"/>
        <w:rPr>
          <w:sz w:val="20"/>
          <w:szCs w:val="20"/>
          <w:color w:val="auto"/>
        </w:rPr>
      </w:pPr>
      <w:r>
        <w:rPr>
          <w:rFonts w:ascii="Arial" w:cs="Arial" w:eastAsia="Arial" w:hAnsi="Arial"/>
          <w:sz w:val="11"/>
          <w:szCs w:val="11"/>
          <w:color w:val="auto"/>
        </w:rPr>
        <w:t>MARKET OVERVIEW</w:t>
      </w:r>
    </w:p>
    <w:p>
      <w:pPr>
        <w:sectPr>
          <w:pgSz w:w="11900" w:h="16838" w:orient="portrait"/>
          <w:cols w:equalWidth="0" w:num="2">
            <w:col w:w="5800" w:space="720"/>
            <w:col w:w="4400"/>
          </w:cols>
          <w:pgMar w:left="240" w:top="459" w:right="7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399415</wp:posOffset>
            </wp:positionH>
            <wp:positionV relativeFrom="paragraph">
              <wp:posOffset>300355</wp:posOffset>
            </wp:positionV>
            <wp:extent cx="8890" cy="46291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8890" cy="462915"/>
                    </a:xfrm>
                    <a:prstGeom prst="rect">
                      <a:avLst/>
                    </a:prstGeom>
                    <a:noFill/>
                  </pic:spPr>
                </pic:pic>
              </a:graphicData>
            </a:graphic>
          </wp:anchor>
        </w:drawing>
      </w:r>
    </w:p>
    <w:p>
      <w:pPr>
        <w:spacing w:after="0" w:line="200" w:lineRule="exact"/>
        <w:rPr>
          <w:sz w:val="20"/>
          <w:szCs w:val="20"/>
          <w:color w:val="auto"/>
        </w:rPr>
      </w:pP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565"/>
        </w:trPr>
        <w:tc>
          <w:tcPr>
            <w:tcW w:w="2960" w:type="dxa"/>
            <w:vAlign w:val="bottom"/>
            <w:shd w:val="clear" w:color="auto" w:fill="FF8B00"/>
          </w:tcPr>
          <w:p>
            <w:pPr>
              <w:ind w:left="260"/>
              <w:spacing w:after="0"/>
              <w:rPr>
                <w:sz w:val="20"/>
                <w:szCs w:val="20"/>
                <w:color w:val="auto"/>
              </w:rPr>
            </w:pPr>
            <w:r>
              <w:rPr>
                <w:rFonts w:ascii="Arial" w:cs="Arial" w:eastAsia="Arial" w:hAnsi="Arial"/>
                <w:sz w:val="11"/>
                <w:szCs w:val="11"/>
                <w:b w:val="1"/>
                <w:bCs w:val="1"/>
                <w:color w:val="333333"/>
              </w:rPr>
              <w:t>18</w:t>
            </w:r>
          </w:p>
        </w:tc>
        <w:tc>
          <w:tcPr>
            <w:tcW w:w="2540" w:type="dxa"/>
            <w:vAlign w:val="bottom"/>
            <w:shd w:val="clear" w:color="auto" w:fill="FF8B00"/>
          </w:tcPr>
          <w:p>
            <w:pPr>
              <w:jc w:val="right"/>
              <w:ind w:right="721"/>
              <w:spacing w:after="0"/>
              <w:rPr>
                <w:sz w:val="20"/>
                <w:szCs w:val="20"/>
                <w:color w:val="auto"/>
              </w:rPr>
            </w:pPr>
            <w:r>
              <w:rPr>
                <w:rFonts w:ascii="Arial" w:cs="Arial" w:eastAsia="Arial" w:hAnsi="Arial"/>
                <w:sz w:val="13"/>
                <w:szCs w:val="13"/>
                <w:color w:val="333333"/>
              </w:rPr>
              <w:t>STRATEGIC REPORT</w:t>
            </w:r>
          </w:p>
        </w:tc>
        <w:tc>
          <w:tcPr>
            <w:tcW w:w="15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5"/>
        </w:trPr>
        <w:tc>
          <w:tcPr>
            <w:tcW w:w="2960" w:type="dxa"/>
            <w:vAlign w:val="bottom"/>
            <w:shd w:val="clear" w:color="auto" w:fill="FF8B00"/>
          </w:tcPr>
          <w:p>
            <w:pPr>
              <w:spacing w:after="0"/>
              <w:rPr>
                <w:sz w:val="14"/>
                <w:szCs w:val="14"/>
                <w:color w:val="auto"/>
              </w:rPr>
            </w:pPr>
          </w:p>
        </w:tc>
        <w:tc>
          <w:tcPr>
            <w:tcW w:w="2540" w:type="dxa"/>
            <w:vAlign w:val="bottom"/>
            <w:shd w:val="clear" w:color="auto" w:fill="FF8B00"/>
          </w:tcPr>
          <w:p>
            <w:pPr>
              <w:spacing w:after="0"/>
              <w:rPr>
                <w:sz w:val="14"/>
                <w:szCs w:val="14"/>
                <w:color w:val="auto"/>
              </w:rPr>
            </w:pPr>
          </w:p>
        </w:tc>
        <w:tc>
          <w:tcPr>
            <w:tcW w:w="1580" w:type="dxa"/>
            <w:vAlign w:val="bottom"/>
            <w:vMerge w:val="restart"/>
          </w:tcPr>
          <w:p>
            <w:pPr>
              <w:spacing w:after="0"/>
              <w:rPr>
                <w:sz w:val="14"/>
                <w:szCs w:val="14"/>
                <w:color w:val="auto"/>
              </w:rPr>
            </w:pPr>
          </w:p>
        </w:tc>
        <w:tc>
          <w:tcPr>
            <w:tcW w:w="1440" w:type="dxa"/>
            <w:vAlign w:val="bottom"/>
          </w:tcPr>
          <w:p>
            <w:pPr>
              <w:spacing w:after="0"/>
              <w:rPr>
                <w:sz w:val="14"/>
                <w:szCs w:val="14"/>
                <w:color w:val="auto"/>
              </w:rPr>
            </w:pPr>
          </w:p>
        </w:tc>
        <w:tc>
          <w:tcPr>
            <w:tcW w:w="2920" w:type="dxa"/>
            <w:vAlign w:val="bottom"/>
            <w:gridSpan w:val="3"/>
            <w:vMerge w:val="restart"/>
          </w:tcPr>
          <w:p>
            <w:pPr>
              <w:ind w:left="500"/>
              <w:spacing w:after="0"/>
              <w:rPr>
                <w:sz w:val="20"/>
                <w:szCs w:val="20"/>
                <w:color w:val="auto"/>
              </w:rPr>
            </w:pPr>
            <w:r>
              <w:rPr>
                <w:rFonts w:ascii="Arial" w:cs="Arial" w:eastAsia="Arial" w:hAnsi="Arial"/>
                <w:sz w:val="11"/>
                <w:szCs w:val="11"/>
                <w:color w:val="auto"/>
                <w:w w:val="97"/>
              </w:rPr>
              <w:t>SHELL ANNUAL REPORT AND FORM 20-F 2014</w:t>
            </w:r>
          </w:p>
        </w:tc>
        <w:tc>
          <w:tcPr>
            <w:tcW w:w="0" w:type="dxa"/>
            <w:vAlign w:val="bottom"/>
          </w:tcPr>
          <w:p>
            <w:pPr>
              <w:spacing w:after="0"/>
              <w:rPr>
                <w:sz w:val="1"/>
                <w:szCs w:val="1"/>
                <w:color w:val="auto"/>
              </w:rPr>
            </w:pPr>
          </w:p>
        </w:tc>
      </w:tr>
      <w:tr>
        <w:trPr>
          <w:trHeight w:val="128"/>
        </w:trPr>
        <w:tc>
          <w:tcPr>
            <w:tcW w:w="2960" w:type="dxa"/>
            <w:vAlign w:val="bottom"/>
          </w:tcPr>
          <w:p>
            <w:pPr>
              <w:spacing w:after="0"/>
              <w:rPr>
                <w:sz w:val="11"/>
                <w:szCs w:val="11"/>
                <w:color w:val="auto"/>
              </w:rPr>
            </w:pPr>
          </w:p>
        </w:tc>
        <w:tc>
          <w:tcPr>
            <w:tcW w:w="2540" w:type="dxa"/>
            <w:vAlign w:val="bottom"/>
          </w:tcPr>
          <w:p>
            <w:pPr>
              <w:jc w:val="right"/>
              <w:ind w:right="721"/>
              <w:spacing w:after="0"/>
              <w:rPr>
                <w:sz w:val="20"/>
                <w:szCs w:val="20"/>
                <w:color w:val="auto"/>
              </w:rPr>
            </w:pPr>
            <w:r>
              <w:rPr>
                <w:rFonts w:ascii="Arial" w:cs="Arial" w:eastAsia="Arial" w:hAnsi="Arial"/>
                <w:sz w:val="11"/>
                <w:szCs w:val="11"/>
                <w:color w:val="auto"/>
              </w:rPr>
              <w:t>SUMMARY OF RESULTS</w:t>
            </w:r>
          </w:p>
        </w:tc>
        <w:tc>
          <w:tcPr>
            <w:tcW w:w="1580" w:type="dxa"/>
            <w:vAlign w:val="bottom"/>
            <w:vMerge w:val="continue"/>
          </w:tcPr>
          <w:p>
            <w:pPr>
              <w:spacing w:after="0"/>
              <w:rPr>
                <w:sz w:val="11"/>
                <w:szCs w:val="11"/>
                <w:color w:val="auto"/>
              </w:rPr>
            </w:pPr>
          </w:p>
        </w:tc>
        <w:tc>
          <w:tcPr>
            <w:tcW w:w="1440" w:type="dxa"/>
            <w:vAlign w:val="bottom"/>
          </w:tcPr>
          <w:p>
            <w:pPr>
              <w:spacing w:after="0"/>
              <w:rPr>
                <w:sz w:val="11"/>
                <w:szCs w:val="11"/>
                <w:color w:val="auto"/>
              </w:rPr>
            </w:pPr>
          </w:p>
        </w:tc>
        <w:tc>
          <w:tcPr>
            <w:tcW w:w="2920" w:type="dxa"/>
            <w:vAlign w:val="bottom"/>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358"/>
        </w:trPr>
        <w:tc>
          <w:tcPr>
            <w:tcW w:w="7080" w:type="dxa"/>
            <w:vAlign w:val="bottom"/>
            <w:tcBorders>
              <w:bottom w:val="single" w:sz="8" w:color="auto"/>
            </w:tcBorders>
            <w:gridSpan w:val="3"/>
          </w:tcPr>
          <w:p>
            <w:pPr>
              <w:spacing w:after="0"/>
              <w:rPr>
                <w:sz w:val="20"/>
                <w:szCs w:val="20"/>
                <w:color w:val="auto"/>
              </w:rPr>
            </w:pPr>
            <w:r>
              <w:rPr>
                <w:rFonts w:ascii="Arial" w:cs="Arial" w:eastAsia="Arial" w:hAnsi="Arial"/>
                <w:sz w:val="31"/>
                <w:szCs w:val="31"/>
                <w:color w:val="auto"/>
              </w:rPr>
              <w:t>SUMMARY OF RESULTS</w:t>
            </w:r>
          </w:p>
        </w:tc>
        <w:tc>
          <w:tcPr>
            <w:tcW w:w="144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96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2960" w:type="dxa"/>
            <w:vAlign w:val="bottom"/>
            <w:shd w:val="clear" w:color="auto" w:fill="333333"/>
          </w:tcPr>
          <w:p>
            <w:pPr>
              <w:ind w:left="80"/>
              <w:spacing w:after="0" w:line="162" w:lineRule="exact"/>
              <w:rPr>
                <w:sz w:val="20"/>
                <w:szCs w:val="20"/>
                <w:color w:val="auto"/>
              </w:rPr>
            </w:pPr>
            <w:r>
              <w:rPr>
                <w:rFonts w:ascii="Arial" w:cs="Arial" w:eastAsia="Arial" w:hAnsi="Arial"/>
                <w:sz w:val="15"/>
                <w:szCs w:val="15"/>
                <w:b w:val="1"/>
                <w:bCs w:val="1"/>
                <w:color w:val="FFFFFF"/>
              </w:rPr>
              <w:t>INCOME FOR THE PERIOD</w:t>
            </w:r>
          </w:p>
        </w:tc>
        <w:tc>
          <w:tcPr>
            <w:tcW w:w="2540" w:type="dxa"/>
            <w:vAlign w:val="bottom"/>
            <w:shd w:val="clear" w:color="auto" w:fill="333333"/>
          </w:tcPr>
          <w:p>
            <w:pPr>
              <w:spacing w:after="0"/>
              <w:rPr>
                <w:sz w:val="14"/>
                <w:szCs w:val="14"/>
                <w:color w:val="auto"/>
              </w:rPr>
            </w:pPr>
          </w:p>
        </w:tc>
        <w:tc>
          <w:tcPr>
            <w:tcW w:w="1580" w:type="dxa"/>
            <w:vAlign w:val="bottom"/>
            <w:shd w:val="clear" w:color="auto" w:fill="333333"/>
          </w:tcPr>
          <w:p>
            <w:pPr>
              <w:spacing w:after="0"/>
              <w:rPr>
                <w:sz w:val="14"/>
                <w:szCs w:val="14"/>
                <w:color w:val="auto"/>
              </w:rPr>
            </w:pPr>
          </w:p>
        </w:tc>
        <w:tc>
          <w:tcPr>
            <w:tcW w:w="1440" w:type="dxa"/>
            <w:vAlign w:val="bottom"/>
            <w:shd w:val="clear" w:color="auto" w:fill="333333"/>
          </w:tcPr>
          <w:p>
            <w:pPr>
              <w:spacing w:after="0"/>
              <w:rPr>
                <w:sz w:val="14"/>
                <w:szCs w:val="14"/>
                <w:color w:val="auto"/>
              </w:rPr>
            </w:pPr>
          </w:p>
        </w:tc>
        <w:tc>
          <w:tcPr>
            <w:tcW w:w="1520" w:type="dxa"/>
            <w:vAlign w:val="bottom"/>
            <w:shd w:val="clear" w:color="auto" w:fill="333333"/>
          </w:tcPr>
          <w:p>
            <w:pPr>
              <w:spacing w:after="0"/>
              <w:rPr>
                <w:sz w:val="14"/>
                <w:szCs w:val="14"/>
                <w:color w:val="auto"/>
              </w:rPr>
            </w:pPr>
          </w:p>
        </w:tc>
        <w:tc>
          <w:tcPr>
            <w:tcW w:w="1380" w:type="dxa"/>
            <w:vAlign w:val="bottom"/>
            <w:shd w:val="clear" w:color="auto" w:fill="333333"/>
          </w:tcPr>
          <w:p>
            <w:pPr>
              <w:jc w:val="right"/>
              <w:ind w:right="28"/>
              <w:spacing w:after="0" w:line="162" w:lineRule="exact"/>
              <w:rPr>
                <w:sz w:val="20"/>
                <w:szCs w:val="20"/>
                <w:color w:val="auto"/>
              </w:rPr>
            </w:pPr>
            <w:r>
              <w:rPr>
                <w:rFonts w:ascii="Arial" w:cs="Arial" w:eastAsia="Arial" w:hAnsi="Arial"/>
                <w:sz w:val="15"/>
                <w:szCs w:val="15"/>
                <w:color w:val="FFFFFF"/>
              </w:rPr>
              <w:t>$ MILLION</w:t>
            </w: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960" w:type="dxa"/>
            <w:vAlign w:val="bottom"/>
            <w:tcBorders>
              <w:bottom w:val="single" w:sz="8" w:color="auto"/>
            </w:tcBorders>
          </w:tcPr>
          <w:p>
            <w:pPr>
              <w:spacing w:after="0"/>
              <w:rPr>
                <w:sz w:val="12"/>
                <w:szCs w:val="12"/>
                <w:color w:val="auto"/>
              </w:rPr>
            </w:pPr>
          </w:p>
        </w:tc>
        <w:tc>
          <w:tcPr>
            <w:tcW w:w="2540" w:type="dxa"/>
            <w:vAlign w:val="bottom"/>
            <w:tcBorders>
              <w:bottom w:val="single" w:sz="8" w:color="auto"/>
            </w:tcBorders>
          </w:tcPr>
          <w:p>
            <w:pPr>
              <w:spacing w:after="0"/>
              <w:rPr>
                <w:sz w:val="12"/>
                <w:szCs w:val="12"/>
                <w:color w:val="auto"/>
              </w:rPr>
            </w:pPr>
          </w:p>
        </w:tc>
        <w:tc>
          <w:tcPr>
            <w:tcW w:w="1580" w:type="dxa"/>
            <w:vAlign w:val="bottom"/>
            <w:tcBorders>
              <w:bottom w:val="single" w:sz="8" w:color="auto"/>
            </w:tcBorders>
          </w:tcPr>
          <w:p>
            <w:pPr>
              <w:spacing w:after="0"/>
              <w:rPr>
                <w:sz w:val="12"/>
                <w:szCs w:val="12"/>
                <w:color w:val="auto"/>
              </w:rPr>
            </w:pPr>
          </w:p>
        </w:tc>
        <w:tc>
          <w:tcPr>
            <w:tcW w:w="1440" w:type="dxa"/>
            <w:vAlign w:val="bottom"/>
            <w:tcBorders>
              <w:bottom w:val="single" w:sz="8" w:color="auto"/>
            </w:tcBorders>
            <w:shd w:val="clear" w:color="auto" w:fill="D8D8D8"/>
          </w:tcPr>
          <w:p>
            <w:pPr>
              <w:jc w:val="right"/>
              <w:ind w:right="369"/>
              <w:spacing w:after="0"/>
              <w:rPr>
                <w:sz w:val="20"/>
                <w:szCs w:val="20"/>
                <w:color w:val="auto"/>
              </w:rPr>
            </w:pPr>
            <w:r>
              <w:rPr>
                <w:rFonts w:ascii="Arial" w:cs="Arial" w:eastAsia="Arial" w:hAnsi="Arial"/>
                <w:sz w:val="13"/>
                <w:szCs w:val="13"/>
                <w:color w:val="auto"/>
              </w:rPr>
              <w:t>2014</w:t>
            </w:r>
          </w:p>
        </w:tc>
        <w:tc>
          <w:tcPr>
            <w:tcW w:w="1520" w:type="dxa"/>
            <w:vAlign w:val="bottom"/>
            <w:tcBorders>
              <w:bottom w:val="single" w:sz="8" w:color="auto"/>
            </w:tcBorders>
          </w:tcPr>
          <w:p>
            <w:pPr>
              <w:jc w:val="right"/>
              <w:ind w:right="450"/>
              <w:spacing w:after="0"/>
              <w:rPr>
                <w:sz w:val="20"/>
                <w:szCs w:val="20"/>
                <w:color w:val="auto"/>
              </w:rPr>
            </w:pPr>
            <w:r>
              <w:rPr>
                <w:rFonts w:ascii="Arial" w:cs="Arial" w:eastAsia="Arial" w:hAnsi="Arial"/>
                <w:sz w:val="13"/>
                <w:szCs w:val="13"/>
                <w:color w:val="auto"/>
              </w:rPr>
              <w:t>2013</w:t>
            </w:r>
          </w:p>
        </w:tc>
        <w:tc>
          <w:tcPr>
            <w:tcW w:w="1380" w:type="dxa"/>
            <w:vAlign w:val="bottom"/>
            <w:tcBorders>
              <w:bottom w:val="single" w:sz="8" w:color="auto"/>
            </w:tcBorders>
          </w:tcPr>
          <w:p>
            <w:pPr>
              <w:jc w:val="right"/>
              <w:ind w:right="368"/>
              <w:spacing w:after="0"/>
              <w:rPr>
                <w:sz w:val="20"/>
                <w:szCs w:val="20"/>
                <w:color w:val="auto"/>
              </w:rPr>
            </w:pPr>
            <w:r>
              <w:rPr>
                <w:rFonts w:ascii="Arial" w:cs="Arial" w:eastAsia="Arial" w:hAnsi="Arial"/>
                <w:sz w:val="13"/>
                <w:szCs w:val="13"/>
                <w:color w:val="auto"/>
              </w:rPr>
              <w:t>2012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960" w:type="dxa"/>
            <w:vAlign w:val="bottom"/>
          </w:tcPr>
          <w:p>
            <w:pPr>
              <w:spacing w:after="0" w:line="155" w:lineRule="exact"/>
              <w:rPr>
                <w:sz w:val="20"/>
                <w:szCs w:val="20"/>
                <w:color w:val="auto"/>
              </w:rPr>
            </w:pPr>
            <w:r>
              <w:rPr>
                <w:rFonts w:ascii="Arial" w:cs="Arial" w:eastAsia="Arial" w:hAnsi="Arial"/>
                <w:sz w:val="14"/>
                <w:szCs w:val="14"/>
                <w:color w:val="auto"/>
              </w:rPr>
              <w:t>Earnings by segment [A]</w:t>
            </w:r>
          </w:p>
        </w:tc>
        <w:tc>
          <w:tcPr>
            <w:tcW w:w="254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1440" w:type="dxa"/>
            <w:vAlign w:val="bottom"/>
            <w:shd w:val="clear" w:color="auto" w:fill="D8D8D8"/>
          </w:tcPr>
          <w:p>
            <w:pPr>
              <w:spacing w:after="0"/>
              <w:rPr>
                <w:sz w:val="13"/>
                <w:szCs w:val="13"/>
                <w:color w:val="auto"/>
              </w:rPr>
            </w:pPr>
          </w:p>
        </w:tc>
        <w:tc>
          <w:tcPr>
            <w:tcW w:w="152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960" w:type="dxa"/>
            <w:vAlign w:val="bottom"/>
          </w:tcPr>
          <w:p>
            <w:pPr>
              <w:ind w:left="140"/>
              <w:spacing w:after="0"/>
              <w:rPr>
                <w:sz w:val="20"/>
                <w:szCs w:val="20"/>
                <w:color w:val="auto"/>
              </w:rPr>
            </w:pPr>
            <w:r>
              <w:rPr>
                <w:rFonts w:ascii="Arial" w:cs="Arial" w:eastAsia="Arial" w:hAnsi="Arial"/>
                <w:sz w:val="14"/>
                <w:szCs w:val="14"/>
                <w:color w:val="auto"/>
              </w:rPr>
              <w:t>Upstream</w:t>
            </w:r>
          </w:p>
        </w:tc>
        <w:tc>
          <w:tcPr>
            <w:tcW w:w="254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440" w:type="dxa"/>
            <w:vAlign w:val="bottom"/>
            <w:shd w:val="clear" w:color="auto" w:fill="D8D8D8"/>
          </w:tcPr>
          <w:p>
            <w:pPr>
              <w:jc w:val="right"/>
              <w:ind w:right="369"/>
              <w:spacing w:after="0"/>
              <w:rPr>
                <w:sz w:val="20"/>
                <w:szCs w:val="20"/>
                <w:color w:val="auto"/>
              </w:rPr>
            </w:pPr>
            <w:r>
              <w:rPr>
                <w:rFonts w:ascii="Arial" w:cs="Arial" w:eastAsia="Arial" w:hAnsi="Arial"/>
                <w:sz w:val="14"/>
                <w:szCs w:val="14"/>
                <w:color w:val="auto"/>
              </w:rPr>
              <w:t>15,841</w:t>
            </w:r>
          </w:p>
        </w:tc>
        <w:tc>
          <w:tcPr>
            <w:tcW w:w="1520" w:type="dxa"/>
            <w:vAlign w:val="bottom"/>
          </w:tcPr>
          <w:p>
            <w:pPr>
              <w:jc w:val="right"/>
              <w:ind w:right="450"/>
              <w:spacing w:after="0"/>
              <w:rPr>
                <w:sz w:val="20"/>
                <w:szCs w:val="20"/>
                <w:color w:val="auto"/>
              </w:rPr>
            </w:pPr>
            <w:r>
              <w:rPr>
                <w:rFonts w:ascii="Arial" w:cs="Arial" w:eastAsia="Arial" w:hAnsi="Arial"/>
                <w:sz w:val="14"/>
                <w:szCs w:val="14"/>
                <w:color w:val="auto"/>
              </w:rPr>
              <w:t>12,638</w:t>
            </w:r>
          </w:p>
        </w:tc>
        <w:tc>
          <w:tcPr>
            <w:tcW w:w="1380" w:type="dxa"/>
            <w:vAlign w:val="bottom"/>
          </w:tcPr>
          <w:p>
            <w:pPr>
              <w:jc w:val="right"/>
              <w:ind w:right="368"/>
              <w:spacing w:after="0"/>
              <w:rPr>
                <w:sz w:val="20"/>
                <w:szCs w:val="20"/>
                <w:color w:val="auto"/>
              </w:rPr>
            </w:pPr>
            <w:r>
              <w:rPr>
                <w:rFonts w:ascii="Arial" w:cs="Arial" w:eastAsia="Arial" w:hAnsi="Arial"/>
                <w:sz w:val="14"/>
                <w:szCs w:val="14"/>
                <w:color w:val="auto"/>
              </w:rPr>
              <w:t>22,244</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960" w:type="dxa"/>
            <w:vAlign w:val="bottom"/>
          </w:tcPr>
          <w:p>
            <w:pPr>
              <w:ind w:left="140"/>
              <w:spacing w:after="0"/>
              <w:rPr>
                <w:sz w:val="20"/>
                <w:szCs w:val="20"/>
                <w:color w:val="auto"/>
              </w:rPr>
            </w:pPr>
            <w:r>
              <w:rPr>
                <w:rFonts w:ascii="Arial" w:cs="Arial" w:eastAsia="Arial" w:hAnsi="Arial"/>
                <w:sz w:val="14"/>
                <w:szCs w:val="14"/>
                <w:color w:val="auto"/>
              </w:rPr>
              <w:t>Downstream</w:t>
            </w:r>
          </w:p>
        </w:tc>
        <w:tc>
          <w:tcPr>
            <w:tcW w:w="254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440" w:type="dxa"/>
            <w:vAlign w:val="bottom"/>
            <w:shd w:val="clear" w:color="auto" w:fill="D8D8D8"/>
          </w:tcPr>
          <w:p>
            <w:pPr>
              <w:jc w:val="right"/>
              <w:ind w:right="369"/>
              <w:spacing w:after="0"/>
              <w:rPr>
                <w:sz w:val="20"/>
                <w:szCs w:val="20"/>
                <w:color w:val="auto"/>
              </w:rPr>
            </w:pPr>
            <w:r>
              <w:rPr>
                <w:rFonts w:ascii="Arial" w:cs="Arial" w:eastAsia="Arial" w:hAnsi="Arial"/>
                <w:sz w:val="14"/>
                <w:szCs w:val="14"/>
                <w:color w:val="auto"/>
              </w:rPr>
              <w:t>3,411</w:t>
            </w:r>
          </w:p>
        </w:tc>
        <w:tc>
          <w:tcPr>
            <w:tcW w:w="1520" w:type="dxa"/>
            <w:vAlign w:val="bottom"/>
          </w:tcPr>
          <w:p>
            <w:pPr>
              <w:jc w:val="right"/>
              <w:ind w:right="450"/>
              <w:spacing w:after="0"/>
              <w:rPr>
                <w:sz w:val="20"/>
                <w:szCs w:val="20"/>
                <w:color w:val="auto"/>
              </w:rPr>
            </w:pPr>
            <w:r>
              <w:rPr>
                <w:rFonts w:ascii="Arial" w:cs="Arial" w:eastAsia="Arial" w:hAnsi="Arial"/>
                <w:sz w:val="14"/>
                <w:szCs w:val="14"/>
                <w:color w:val="auto"/>
              </w:rPr>
              <w:t>3,869</w:t>
            </w:r>
          </w:p>
        </w:tc>
        <w:tc>
          <w:tcPr>
            <w:tcW w:w="1380" w:type="dxa"/>
            <w:vAlign w:val="bottom"/>
          </w:tcPr>
          <w:p>
            <w:pPr>
              <w:jc w:val="right"/>
              <w:ind w:right="368"/>
              <w:spacing w:after="0"/>
              <w:rPr>
                <w:sz w:val="20"/>
                <w:szCs w:val="20"/>
                <w:color w:val="auto"/>
              </w:rPr>
            </w:pPr>
            <w:r>
              <w:rPr>
                <w:rFonts w:ascii="Arial" w:cs="Arial" w:eastAsia="Arial" w:hAnsi="Arial"/>
                <w:sz w:val="14"/>
                <w:szCs w:val="14"/>
                <w:color w:val="auto"/>
              </w:rPr>
              <w:t>5,382</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2960" w:type="dxa"/>
            <w:vAlign w:val="bottom"/>
            <w:tcBorders>
              <w:bottom w:val="single" w:sz="8" w:color="auto"/>
            </w:tcBorders>
          </w:tcPr>
          <w:p>
            <w:pPr>
              <w:ind w:left="140"/>
              <w:spacing w:after="0" w:line="157" w:lineRule="exact"/>
              <w:rPr>
                <w:sz w:val="20"/>
                <w:szCs w:val="20"/>
                <w:color w:val="auto"/>
              </w:rPr>
            </w:pPr>
            <w:r>
              <w:rPr>
                <w:rFonts w:ascii="Arial" w:cs="Arial" w:eastAsia="Arial" w:hAnsi="Arial"/>
                <w:sz w:val="14"/>
                <w:szCs w:val="14"/>
                <w:color w:val="auto"/>
              </w:rPr>
              <w:t>Corporate</w:t>
            </w:r>
          </w:p>
        </w:tc>
        <w:tc>
          <w:tcPr>
            <w:tcW w:w="2540" w:type="dxa"/>
            <w:vAlign w:val="bottom"/>
            <w:tcBorders>
              <w:bottom w:val="single" w:sz="8" w:color="auto"/>
            </w:tcBorders>
          </w:tcPr>
          <w:p>
            <w:pPr>
              <w:spacing w:after="0"/>
              <w:rPr>
                <w:sz w:val="13"/>
                <w:szCs w:val="13"/>
                <w:color w:val="auto"/>
              </w:rPr>
            </w:pPr>
          </w:p>
        </w:tc>
        <w:tc>
          <w:tcPr>
            <w:tcW w:w="1580" w:type="dxa"/>
            <w:vAlign w:val="bottom"/>
            <w:tcBorders>
              <w:bottom w:val="single" w:sz="8" w:color="auto"/>
            </w:tcBorders>
          </w:tcPr>
          <w:p>
            <w:pPr>
              <w:spacing w:after="0"/>
              <w:rPr>
                <w:sz w:val="13"/>
                <w:szCs w:val="13"/>
                <w:color w:val="auto"/>
              </w:rPr>
            </w:pPr>
          </w:p>
        </w:tc>
        <w:tc>
          <w:tcPr>
            <w:tcW w:w="1440" w:type="dxa"/>
            <w:vAlign w:val="bottom"/>
            <w:tcBorders>
              <w:bottom w:val="single" w:sz="8" w:color="auto"/>
            </w:tcBorders>
            <w:shd w:val="clear" w:color="auto" w:fill="D8D8D8"/>
          </w:tcPr>
          <w:p>
            <w:pPr>
              <w:jc w:val="right"/>
              <w:ind w:right="369"/>
              <w:spacing w:after="0" w:line="157" w:lineRule="exact"/>
              <w:rPr>
                <w:sz w:val="20"/>
                <w:szCs w:val="20"/>
                <w:color w:val="auto"/>
              </w:rPr>
            </w:pPr>
            <w:r>
              <w:rPr>
                <w:rFonts w:ascii="Arial" w:cs="Arial" w:eastAsia="Arial" w:hAnsi="Arial"/>
                <w:sz w:val="14"/>
                <w:szCs w:val="14"/>
                <w:color w:val="auto"/>
              </w:rPr>
              <w:t>(156)</w:t>
            </w:r>
          </w:p>
        </w:tc>
        <w:tc>
          <w:tcPr>
            <w:tcW w:w="1520" w:type="dxa"/>
            <w:vAlign w:val="bottom"/>
            <w:tcBorders>
              <w:bottom w:val="single" w:sz="8" w:color="auto"/>
            </w:tcBorders>
          </w:tcPr>
          <w:p>
            <w:pPr>
              <w:jc w:val="right"/>
              <w:ind w:right="450"/>
              <w:spacing w:after="0" w:line="157" w:lineRule="exact"/>
              <w:rPr>
                <w:sz w:val="20"/>
                <w:szCs w:val="20"/>
                <w:color w:val="auto"/>
              </w:rPr>
            </w:pPr>
            <w:r>
              <w:rPr>
                <w:rFonts w:ascii="Arial" w:cs="Arial" w:eastAsia="Arial" w:hAnsi="Arial"/>
                <w:sz w:val="14"/>
                <w:szCs w:val="14"/>
                <w:color w:val="auto"/>
              </w:rPr>
              <w:t>372</w:t>
            </w:r>
          </w:p>
        </w:tc>
        <w:tc>
          <w:tcPr>
            <w:tcW w:w="1380" w:type="dxa"/>
            <w:vAlign w:val="bottom"/>
            <w:tcBorders>
              <w:bottom w:val="single" w:sz="8" w:color="auto"/>
            </w:tcBorders>
          </w:tcPr>
          <w:p>
            <w:pPr>
              <w:jc w:val="right"/>
              <w:ind w:right="328"/>
              <w:spacing w:after="0" w:line="157" w:lineRule="exact"/>
              <w:rPr>
                <w:sz w:val="20"/>
                <w:szCs w:val="20"/>
                <w:color w:val="auto"/>
              </w:rPr>
            </w:pPr>
            <w:r>
              <w:rPr>
                <w:rFonts w:ascii="Arial" w:cs="Arial" w:eastAsia="Arial" w:hAnsi="Arial"/>
                <w:sz w:val="14"/>
                <w:szCs w:val="14"/>
                <w:color w:val="auto"/>
              </w:rPr>
              <w:t>(203)</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960" w:type="dxa"/>
            <w:vAlign w:val="bottom"/>
          </w:tcPr>
          <w:p>
            <w:pPr>
              <w:spacing w:after="0"/>
              <w:rPr>
                <w:sz w:val="20"/>
                <w:szCs w:val="20"/>
                <w:color w:val="auto"/>
              </w:rPr>
            </w:pPr>
            <w:r>
              <w:rPr>
                <w:rFonts w:ascii="Arial" w:cs="Arial" w:eastAsia="Arial" w:hAnsi="Arial"/>
                <w:sz w:val="14"/>
                <w:szCs w:val="14"/>
                <w:color w:val="auto"/>
              </w:rPr>
              <w:t>Total segment earnings [A]</w:t>
            </w:r>
          </w:p>
        </w:tc>
        <w:tc>
          <w:tcPr>
            <w:tcW w:w="254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1440" w:type="dxa"/>
            <w:vAlign w:val="bottom"/>
            <w:shd w:val="clear" w:color="auto" w:fill="D8D8D8"/>
          </w:tcPr>
          <w:p>
            <w:pPr>
              <w:jc w:val="right"/>
              <w:ind w:right="369"/>
              <w:spacing w:after="0"/>
              <w:rPr>
                <w:sz w:val="20"/>
                <w:szCs w:val="20"/>
                <w:color w:val="auto"/>
              </w:rPr>
            </w:pPr>
            <w:r>
              <w:rPr>
                <w:rFonts w:ascii="Arial" w:cs="Arial" w:eastAsia="Arial" w:hAnsi="Arial"/>
                <w:sz w:val="14"/>
                <w:szCs w:val="14"/>
                <w:color w:val="auto"/>
              </w:rPr>
              <w:t>19,096</w:t>
            </w:r>
          </w:p>
        </w:tc>
        <w:tc>
          <w:tcPr>
            <w:tcW w:w="1520" w:type="dxa"/>
            <w:vAlign w:val="bottom"/>
          </w:tcPr>
          <w:p>
            <w:pPr>
              <w:jc w:val="right"/>
              <w:ind w:right="450"/>
              <w:spacing w:after="0"/>
              <w:rPr>
                <w:sz w:val="20"/>
                <w:szCs w:val="20"/>
                <w:color w:val="auto"/>
              </w:rPr>
            </w:pPr>
            <w:r>
              <w:rPr>
                <w:rFonts w:ascii="Arial" w:cs="Arial" w:eastAsia="Arial" w:hAnsi="Arial"/>
                <w:sz w:val="14"/>
                <w:szCs w:val="14"/>
                <w:color w:val="auto"/>
              </w:rPr>
              <w:t>16,879</w:t>
            </w:r>
          </w:p>
        </w:tc>
        <w:tc>
          <w:tcPr>
            <w:tcW w:w="1380" w:type="dxa"/>
            <w:vAlign w:val="bottom"/>
          </w:tcPr>
          <w:p>
            <w:pPr>
              <w:jc w:val="right"/>
              <w:ind w:right="368"/>
              <w:spacing w:after="0"/>
              <w:rPr>
                <w:sz w:val="20"/>
                <w:szCs w:val="20"/>
                <w:color w:val="auto"/>
              </w:rPr>
            </w:pPr>
            <w:r>
              <w:rPr>
                <w:rFonts w:ascii="Arial" w:cs="Arial" w:eastAsia="Arial" w:hAnsi="Arial"/>
                <w:sz w:val="14"/>
                <w:szCs w:val="14"/>
                <w:color w:val="auto"/>
              </w:rPr>
              <w:t>27,423</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960" w:type="dxa"/>
            <w:vAlign w:val="bottom"/>
            <w:tcBorders>
              <w:bottom w:val="single" w:sz="8" w:color="auto"/>
            </w:tcBorders>
          </w:tcPr>
          <w:p>
            <w:pPr>
              <w:spacing w:after="0" w:line="157" w:lineRule="exact"/>
              <w:rPr>
                <w:sz w:val="20"/>
                <w:szCs w:val="20"/>
                <w:color w:val="auto"/>
              </w:rPr>
            </w:pPr>
            <w:r>
              <w:rPr>
                <w:rFonts w:ascii="Arial" w:cs="Arial" w:eastAsia="Arial" w:hAnsi="Arial"/>
                <w:sz w:val="14"/>
                <w:szCs w:val="14"/>
                <w:color w:val="auto"/>
              </w:rPr>
              <w:t>Attributable to non-controlling interest</w:t>
            </w:r>
          </w:p>
        </w:tc>
        <w:tc>
          <w:tcPr>
            <w:tcW w:w="2540" w:type="dxa"/>
            <w:vAlign w:val="bottom"/>
            <w:tcBorders>
              <w:bottom w:val="single" w:sz="8" w:color="auto"/>
            </w:tcBorders>
          </w:tcPr>
          <w:p>
            <w:pPr>
              <w:spacing w:after="0"/>
              <w:rPr>
                <w:sz w:val="13"/>
                <w:szCs w:val="13"/>
                <w:color w:val="auto"/>
              </w:rPr>
            </w:pPr>
          </w:p>
        </w:tc>
        <w:tc>
          <w:tcPr>
            <w:tcW w:w="1580" w:type="dxa"/>
            <w:vAlign w:val="bottom"/>
            <w:tcBorders>
              <w:bottom w:val="single" w:sz="8" w:color="auto"/>
            </w:tcBorders>
          </w:tcPr>
          <w:p>
            <w:pPr>
              <w:spacing w:after="0"/>
              <w:rPr>
                <w:sz w:val="13"/>
                <w:szCs w:val="13"/>
                <w:color w:val="auto"/>
              </w:rPr>
            </w:pPr>
          </w:p>
        </w:tc>
        <w:tc>
          <w:tcPr>
            <w:tcW w:w="1440" w:type="dxa"/>
            <w:vAlign w:val="bottom"/>
            <w:tcBorders>
              <w:bottom w:val="single" w:sz="8" w:color="auto"/>
            </w:tcBorders>
            <w:shd w:val="clear" w:color="auto" w:fill="D8D8D8"/>
          </w:tcPr>
          <w:p>
            <w:pPr>
              <w:jc w:val="right"/>
              <w:ind w:right="369"/>
              <w:spacing w:after="0" w:line="157" w:lineRule="exact"/>
              <w:rPr>
                <w:sz w:val="20"/>
                <w:szCs w:val="20"/>
                <w:color w:val="auto"/>
              </w:rPr>
            </w:pPr>
            <w:r>
              <w:rPr>
                <w:rFonts w:ascii="Arial" w:cs="Arial" w:eastAsia="Arial" w:hAnsi="Arial"/>
                <w:sz w:val="14"/>
                <w:szCs w:val="14"/>
                <w:color w:val="auto"/>
              </w:rPr>
              <w:t>(55)</w:t>
            </w:r>
          </w:p>
        </w:tc>
        <w:tc>
          <w:tcPr>
            <w:tcW w:w="1520" w:type="dxa"/>
            <w:vAlign w:val="bottom"/>
            <w:tcBorders>
              <w:bottom w:val="single" w:sz="8" w:color="auto"/>
            </w:tcBorders>
          </w:tcPr>
          <w:p>
            <w:pPr>
              <w:jc w:val="right"/>
              <w:ind w:right="410"/>
              <w:spacing w:after="0" w:line="157" w:lineRule="exact"/>
              <w:rPr>
                <w:sz w:val="20"/>
                <w:szCs w:val="20"/>
                <w:color w:val="auto"/>
              </w:rPr>
            </w:pPr>
            <w:r>
              <w:rPr>
                <w:rFonts w:ascii="Arial" w:cs="Arial" w:eastAsia="Arial" w:hAnsi="Arial"/>
                <w:sz w:val="14"/>
                <w:szCs w:val="14"/>
                <w:color w:val="auto"/>
              </w:rPr>
              <w:t>(134)</w:t>
            </w:r>
          </w:p>
        </w:tc>
        <w:tc>
          <w:tcPr>
            <w:tcW w:w="1380" w:type="dxa"/>
            <w:vAlign w:val="bottom"/>
            <w:tcBorders>
              <w:bottom w:val="single" w:sz="8" w:color="auto"/>
            </w:tcBorders>
          </w:tcPr>
          <w:p>
            <w:pPr>
              <w:jc w:val="right"/>
              <w:ind w:right="328"/>
              <w:spacing w:after="0" w:line="157" w:lineRule="exact"/>
              <w:rPr>
                <w:sz w:val="20"/>
                <w:szCs w:val="20"/>
                <w:color w:val="auto"/>
              </w:rPr>
            </w:pPr>
            <w:r>
              <w:rPr>
                <w:rFonts w:ascii="Arial" w:cs="Arial" w:eastAsia="Arial" w:hAnsi="Arial"/>
                <w:sz w:val="14"/>
                <w:szCs w:val="14"/>
                <w:color w:val="auto"/>
              </w:rPr>
              <w:t>(259)</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7080" w:type="dxa"/>
            <w:vAlign w:val="bottom"/>
            <w:gridSpan w:val="3"/>
          </w:tcPr>
          <w:p>
            <w:pPr>
              <w:spacing w:after="0"/>
              <w:rPr>
                <w:sz w:val="20"/>
                <w:szCs w:val="20"/>
                <w:color w:val="auto"/>
              </w:rPr>
            </w:pPr>
            <w:r>
              <w:rPr>
                <w:rFonts w:ascii="Arial" w:cs="Arial" w:eastAsia="Arial" w:hAnsi="Arial"/>
                <w:sz w:val="14"/>
                <w:szCs w:val="14"/>
                <w:color w:val="auto"/>
              </w:rPr>
              <w:t>Earnings on a current cost of supplies basis attributable to Royal Dutch Shell plc shareholders</w:t>
            </w:r>
          </w:p>
        </w:tc>
        <w:tc>
          <w:tcPr>
            <w:tcW w:w="1440" w:type="dxa"/>
            <w:vAlign w:val="bottom"/>
            <w:shd w:val="clear" w:color="auto" w:fill="D8D8D8"/>
          </w:tcPr>
          <w:p>
            <w:pPr>
              <w:jc w:val="right"/>
              <w:ind w:right="369"/>
              <w:spacing w:after="0"/>
              <w:rPr>
                <w:sz w:val="20"/>
                <w:szCs w:val="20"/>
                <w:color w:val="auto"/>
              </w:rPr>
            </w:pPr>
            <w:r>
              <w:rPr>
                <w:rFonts w:ascii="Arial" w:cs="Arial" w:eastAsia="Arial" w:hAnsi="Arial"/>
                <w:sz w:val="14"/>
                <w:szCs w:val="14"/>
                <w:color w:val="auto"/>
              </w:rPr>
              <w:t>19,041</w:t>
            </w:r>
          </w:p>
        </w:tc>
        <w:tc>
          <w:tcPr>
            <w:tcW w:w="1520" w:type="dxa"/>
            <w:vAlign w:val="bottom"/>
          </w:tcPr>
          <w:p>
            <w:pPr>
              <w:jc w:val="right"/>
              <w:ind w:right="450"/>
              <w:spacing w:after="0"/>
              <w:rPr>
                <w:sz w:val="20"/>
                <w:szCs w:val="20"/>
                <w:color w:val="auto"/>
              </w:rPr>
            </w:pPr>
            <w:r>
              <w:rPr>
                <w:rFonts w:ascii="Arial" w:cs="Arial" w:eastAsia="Arial" w:hAnsi="Arial"/>
                <w:sz w:val="14"/>
                <w:szCs w:val="14"/>
                <w:color w:val="auto"/>
              </w:rPr>
              <w:t>16,745</w:t>
            </w:r>
          </w:p>
        </w:tc>
        <w:tc>
          <w:tcPr>
            <w:tcW w:w="1380" w:type="dxa"/>
            <w:vAlign w:val="bottom"/>
          </w:tcPr>
          <w:p>
            <w:pPr>
              <w:jc w:val="right"/>
              <w:ind w:right="368"/>
              <w:spacing w:after="0"/>
              <w:rPr>
                <w:sz w:val="20"/>
                <w:szCs w:val="20"/>
                <w:color w:val="auto"/>
              </w:rPr>
            </w:pPr>
            <w:r>
              <w:rPr>
                <w:rFonts w:ascii="Arial" w:cs="Arial" w:eastAsia="Arial" w:hAnsi="Arial"/>
                <w:sz w:val="14"/>
                <w:szCs w:val="14"/>
                <w:color w:val="auto"/>
              </w:rPr>
              <w:t>27,164</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960" w:type="dxa"/>
            <w:vAlign w:val="bottom"/>
          </w:tcPr>
          <w:p>
            <w:pPr>
              <w:spacing w:after="0"/>
              <w:rPr>
                <w:sz w:val="20"/>
                <w:szCs w:val="20"/>
                <w:color w:val="auto"/>
              </w:rPr>
            </w:pPr>
            <w:r>
              <w:rPr>
                <w:rFonts w:ascii="Arial" w:cs="Arial" w:eastAsia="Arial" w:hAnsi="Arial"/>
                <w:sz w:val="14"/>
                <w:szCs w:val="14"/>
                <w:color w:val="auto"/>
              </w:rPr>
              <w:t>Current cost of supplies adjustment [A]</w:t>
            </w:r>
          </w:p>
        </w:tc>
        <w:tc>
          <w:tcPr>
            <w:tcW w:w="254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440" w:type="dxa"/>
            <w:vAlign w:val="bottom"/>
            <w:shd w:val="clear" w:color="auto" w:fill="D8D8D8"/>
          </w:tcPr>
          <w:p>
            <w:pPr>
              <w:jc w:val="right"/>
              <w:ind w:right="369"/>
              <w:spacing w:after="0"/>
              <w:rPr>
                <w:sz w:val="20"/>
                <w:szCs w:val="20"/>
                <w:color w:val="auto"/>
              </w:rPr>
            </w:pPr>
            <w:r>
              <w:rPr>
                <w:rFonts w:ascii="Arial" w:cs="Arial" w:eastAsia="Arial" w:hAnsi="Arial"/>
                <w:sz w:val="14"/>
                <w:szCs w:val="14"/>
                <w:color w:val="auto"/>
              </w:rPr>
              <w:t>(4,366)</w:t>
            </w:r>
          </w:p>
        </w:tc>
        <w:tc>
          <w:tcPr>
            <w:tcW w:w="1520" w:type="dxa"/>
            <w:vAlign w:val="bottom"/>
          </w:tcPr>
          <w:p>
            <w:pPr>
              <w:jc w:val="right"/>
              <w:ind w:right="410"/>
              <w:spacing w:after="0"/>
              <w:rPr>
                <w:sz w:val="20"/>
                <w:szCs w:val="20"/>
                <w:color w:val="auto"/>
              </w:rPr>
            </w:pPr>
            <w:r>
              <w:rPr>
                <w:rFonts w:ascii="Arial" w:cs="Arial" w:eastAsia="Arial" w:hAnsi="Arial"/>
                <w:sz w:val="14"/>
                <w:szCs w:val="14"/>
                <w:color w:val="auto"/>
              </w:rPr>
              <w:t>(353)</w:t>
            </w:r>
          </w:p>
        </w:tc>
        <w:tc>
          <w:tcPr>
            <w:tcW w:w="1380" w:type="dxa"/>
            <w:vAlign w:val="bottom"/>
          </w:tcPr>
          <w:p>
            <w:pPr>
              <w:jc w:val="right"/>
              <w:ind w:right="328"/>
              <w:spacing w:after="0"/>
              <w:rPr>
                <w:sz w:val="20"/>
                <w:szCs w:val="20"/>
                <w:color w:val="auto"/>
              </w:rPr>
            </w:pPr>
            <w:r>
              <w:rPr>
                <w:rFonts w:ascii="Arial" w:cs="Arial" w:eastAsia="Arial" w:hAnsi="Arial"/>
                <w:sz w:val="14"/>
                <w:szCs w:val="14"/>
                <w:color w:val="auto"/>
              </w:rPr>
              <w:t>(463)</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2960" w:type="dxa"/>
            <w:vAlign w:val="bottom"/>
            <w:tcBorders>
              <w:bottom w:val="single" w:sz="8" w:color="auto"/>
            </w:tcBorders>
          </w:tcPr>
          <w:p>
            <w:pPr>
              <w:spacing w:after="0" w:line="157" w:lineRule="exact"/>
              <w:rPr>
                <w:sz w:val="20"/>
                <w:szCs w:val="20"/>
                <w:color w:val="auto"/>
              </w:rPr>
            </w:pPr>
            <w:r>
              <w:rPr>
                <w:rFonts w:ascii="Arial" w:cs="Arial" w:eastAsia="Arial" w:hAnsi="Arial"/>
                <w:sz w:val="14"/>
                <w:szCs w:val="14"/>
                <w:color w:val="auto"/>
              </w:rPr>
              <w:t>Non-controlling interest</w:t>
            </w:r>
          </w:p>
        </w:tc>
        <w:tc>
          <w:tcPr>
            <w:tcW w:w="2540" w:type="dxa"/>
            <w:vAlign w:val="bottom"/>
            <w:tcBorders>
              <w:bottom w:val="single" w:sz="8" w:color="auto"/>
            </w:tcBorders>
          </w:tcPr>
          <w:p>
            <w:pPr>
              <w:spacing w:after="0"/>
              <w:rPr>
                <w:sz w:val="13"/>
                <w:szCs w:val="13"/>
                <w:color w:val="auto"/>
              </w:rPr>
            </w:pPr>
          </w:p>
        </w:tc>
        <w:tc>
          <w:tcPr>
            <w:tcW w:w="1580" w:type="dxa"/>
            <w:vAlign w:val="bottom"/>
            <w:tcBorders>
              <w:bottom w:val="single" w:sz="8" w:color="auto"/>
            </w:tcBorders>
          </w:tcPr>
          <w:p>
            <w:pPr>
              <w:spacing w:after="0"/>
              <w:rPr>
                <w:sz w:val="13"/>
                <w:szCs w:val="13"/>
                <w:color w:val="auto"/>
              </w:rPr>
            </w:pPr>
          </w:p>
        </w:tc>
        <w:tc>
          <w:tcPr>
            <w:tcW w:w="1440" w:type="dxa"/>
            <w:vAlign w:val="bottom"/>
            <w:tcBorders>
              <w:bottom w:val="single" w:sz="8" w:color="auto"/>
            </w:tcBorders>
            <w:shd w:val="clear" w:color="auto" w:fill="D8D8D8"/>
          </w:tcPr>
          <w:p>
            <w:pPr>
              <w:jc w:val="right"/>
              <w:ind w:right="369"/>
              <w:spacing w:after="0" w:line="157" w:lineRule="exact"/>
              <w:rPr>
                <w:sz w:val="20"/>
                <w:szCs w:val="20"/>
                <w:color w:val="auto"/>
              </w:rPr>
            </w:pPr>
            <w:r>
              <w:rPr>
                <w:rFonts w:ascii="Arial" w:cs="Arial" w:eastAsia="Arial" w:hAnsi="Arial"/>
                <w:sz w:val="14"/>
                <w:szCs w:val="14"/>
                <w:color w:val="auto"/>
              </w:rPr>
              <w:t>199</w:t>
            </w:r>
          </w:p>
        </w:tc>
        <w:tc>
          <w:tcPr>
            <w:tcW w:w="1520" w:type="dxa"/>
            <w:vAlign w:val="bottom"/>
            <w:tcBorders>
              <w:bottom w:val="single" w:sz="8" w:color="auto"/>
            </w:tcBorders>
          </w:tcPr>
          <w:p>
            <w:pPr>
              <w:jc w:val="right"/>
              <w:ind w:right="410"/>
              <w:spacing w:after="0" w:line="157" w:lineRule="exact"/>
              <w:rPr>
                <w:sz w:val="20"/>
                <w:szCs w:val="20"/>
                <w:color w:val="auto"/>
              </w:rPr>
            </w:pPr>
            <w:r>
              <w:rPr>
                <w:rFonts w:ascii="Arial" w:cs="Arial" w:eastAsia="Arial" w:hAnsi="Arial"/>
                <w:sz w:val="14"/>
                <w:szCs w:val="14"/>
                <w:color w:val="auto"/>
              </w:rPr>
              <w:t>(21)</w:t>
            </w:r>
          </w:p>
        </w:tc>
        <w:tc>
          <w:tcPr>
            <w:tcW w:w="1380" w:type="dxa"/>
            <w:vAlign w:val="bottom"/>
            <w:tcBorders>
              <w:bottom w:val="single" w:sz="8" w:color="auto"/>
            </w:tcBorders>
          </w:tcPr>
          <w:p>
            <w:pPr>
              <w:jc w:val="right"/>
              <w:ind w:right="368"/>
              <w:spacing w:after="0" w:line="157" w:lineRule="exact"/>
              <w:rPr>
                <w:sz w:val="20"/>
                <w:szCs w:val="20"/>
                <w:color w:val="auto"/>
              </w:rPr>
            </w:pPr>
            <w:r>
              <w:rPr>
                <w:rFonts w:ascii="Arial" w:cs="Arial" w:eastAsia="Arial" w:hAnsi="Arial"/>
                <w:sz w:val="14"/>
                <w:szCs w:val="14"/>
                <w:color w:val="auto"/>
              </w:rPr>
              <w:t>11</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7080" w:type="dxa"/>
            <w:vAlign w:val="bottom"/>
            <w:gridSpan w:val="3"/>
          </w:tcPr>
          <w:p>
            <w:pPr>
              <w:spacing w:after="0"/>
              <w:rPr>
                <w:sz w:val="20"/>
                <w:szCs w:val="20"/>
                <w:color w:val="auto"/>
              </w:rPr>
            </w:pPr>
            <w:r>
              <w:rPr>
                <w:rFonts w:ascii="Arial" w:cs="Arial" w:eastAsia="Arial" w:hAnsi="Arial"/>
                <w:sz w:val="14"/>
                <w:szCs w:val="14"/>
                <w:color w:val="auto"/>
              </w:rPr>
              <w:t>Income attributable to Royal Dutch Shell plc shareholders</w:t>
            </w:r>
          </w:p>
        </w:tc>
        <w:tc>
          <w:tcPr>
            <w:tcW w:w="1440" w:type="dxa"/>
            <w:vAlign w:val="bottom"/>
            <w:shd w:val="clear" w:color="auto" w:fill="D8D8D8"/>
          </w:tcPr>
          <w:p>
            <w:pPr>
              <w:jc w:val="right"/>
              <w:ind w:right="369"/>
              <w:spacing w:after="0"/>
              <w:rPr>
                <w:sz w:val="20"/>
                <w:szCs w:val="20"/>
                <w:color w:val="auto"/>
              </w:rPr>
            </w:pPr>
            <w:r>
              <w:rPr>
                <w:rFonts w:ascii="Arial" w:cs="Arial" w:eastAsia="Arial" w:hAnsi="Arial"/>
                <w:sz w:val="14"/>
                <w:szCs w:val="14"/>
                <w:color w:val="auto"/>
              </w:rPr>
              <w:t>14,874</w:t>
            </w:r>
          </w:p>
        </w:tc>
        <w:tc>
          <w:tcPr>
            <w:tcW w:w="1520" w:type="dxa"/>
            <w:vAlign w:val="bottom"/>
          </w:tcPr>
          <w:p>
            <w:pPr>
              <w:jc w:val="right"/>
              <w:ind w:right="450"/>
              <w:spacing w:after="0"/>
              <w:rPr>
                <w:sz w:val="20"/>
                <w:szCs w:val="20"/>
                <w:color w:val="auto"/>
              </w:rPr>
            </w:pPr>
            <w:r>
              <w:rPr>
                <w:rFonts w:ascii="Arial" w:cs="Arial" w:eastAsia="Arial" w:hAnsi="Arial"/>
                <w:sz w:val="14"/>
                <w:szCs w:val="14"/>
                <w:color w:val="auto"/>
              </w:rPr>
              <w:t>16,371</w:t>
            </w:r>
          </w:p>
        </w:tc>
        <w:tc>
          <w:tcPr>
            <w:tcW w:w="1380" w:type="dxa"/>
            <w:vAlign w:val="bottom"/>
          </w:tcPr>
          <w:p>
            <w:pPr>
              <w:jc w:val="right"/>
              <w:ind w:right="368"/>
              <w:spacing w:after="0"/>
              <w:rPr>
                <w:sz w:val="20"/>
                <w:szCs w:val="20"/>
                <w:color w:val="auto"/>
              </w:rPr>
            </w:pPr>
            <w:r>
              <w:rPr>
                <w:rFonts w:ascii="Arial" w:cs="Arial" w:eastAsia="Arial" w:hAnsi="Arial"/>
                <w:sz w:val="14"/>
                <w:szCs w:val="14"/>
                <w:color w:val="auto"/>
              </w:rPr>
              <w:t>26,712</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960" w:type="dxa"/>
            <w:vAlign w:val="bottom"/>
            <w:tcBorders>
              <w:bottom w:val="single" w:sz="8" w:color="auto"/>
            </w:tcBorders>
          </w:tcPr>
          <w:p>
            <w:pPr>
              <w:spacing w:after="0" w:line="157" w:lineRule="exact"/>
              <w:rPr>
                <w:sz w:val="20"/>
                <w:szCs w:val="20"/>
                <w:color w:val="auto"/>
              </w:rPr>
            </w:pPr>
            <w:r>
              <w:rPr>
                <w:rFonts w:ascii="Arial" w:cs="Arial" w:eastAsia="Arial" w:hAnsi="Arial"/>
                <w:sz w:val="14"/>
                <w:szCs w:val="14"/>
                <w:color w:val="auto"/>
              </w:rPr>
              <w:t>Non-controlling interest</w:t>
            </w:r>
          </w:p>
        </w:tc>
        <w:tc>
          <w:tcPr>
            <w:tcW w:w="2540" w:type="dxa"/>
            <w:vAlign w:val="bottom"/>
            <w:tcBorders>
              <w:bottom w:val="single" w:sz="8" w:color="auto"/>
            </w:tcBorders>
          </w:tcPr>
          <w:p>
            <w:pPr>
              <w:spacing w:after="0"/>
              <w:rPr>
                <w:sz w:val="13"/>
                <w:szCs w:val="13"/>
                <w:color w:val="auto"/>
              </w:rPr>
            </w:pPr>
          </w:p>
        </w:tc>
        <w:tc>
          <w:tcPr>
            <w:tcW w:w="1580" w:type="dxa"/>
            <w:vAlign w:val="bottom"/>
            <w:tcBorders>
              <w:bottom w:val="single" w:sz="8" w:color="auto"/>
            </w:tcBorders>
          </w:tcPr>
          <w:p>
            <w:pPr>
              <w:spacing w:after="0"/>
              <w:rPr>
                <w:sz w:val="13"/>
                <w:szCs w:val="13"/>
                <w:color w:val="auto"/>
              </w:rPr>
            </w:pPr>
          </w:p>
        </w:tc>
        <w:tc>
          <w:tcPr>
            <w:tcW w:w="1440" w:type="dxa"/>
            <w:vAlign w:val="bottom"/>
            <w:tcBorders>
              <w:bottom w:val="single" w:sz="8" w:color="auto"/>
            </w:tcBorders>
            <w:shd w:val="clear" w:color="auto" w:fill="D8D8D8"/>
          </w:tcPr>
          <w:p>
            <w:pPr>
              <w:jc w:val="right"/>
              <w:ind w:right="369"/>
              <w:spacing w:after="0" w:line="157" w:lineRule="exact"/>
              <w:rPr>
                <w:sz w:val="20"/>
                <w:szCs w:val="20"/>
                <w:color w:val="auto"/>
              </w:rPr>
            </w:pPr>
            <w:r>
              <w:rPr>
                <w:rFonts w:ascii="Arial" w:cs="Arial" w:eastAsia="Arial" w:hAnsi="Arial"/>
                <w:sz w:val="14"/>
                <w:szCs w:val="14"/>
                <w:color w:val="auto"/>
              </w:rPr>
              <w:t>(144)</w:t>
            </w:r>
          </w:p>
        </w:tc>
        <w:tc>
          <w:tcPr>
            <w:tcW w:w="1520" w:type="dxa"/>
            <w:vAlign w:val="bottom"/>
            <w:tcBorders>
              <w:bottom w:val="single" w:sz="8" w:color="auto"/>
            </w:tcBorders>
          </w:tcPr>
          <w:p>
            <w:pPr>
              <w:jc w:val="right"/>
              <w:ind w:right="450"/>
              <w:spacing w:after="0" w:line="157" w:lineRule="exact"/>
              <w:rPr>
                <w:sz w:val="20"/>
                <w:szCs w:val="20"/>
                <w:color w:val="auto"/>
              </w:rPr>
            </w:pPr>
            <w:r>
              <w:rPr>
                <w:rFonts w:ascii="Arial" w:cs="Arial" w:eastAsia="Arial" w:hAnsi="Arial"/>
                <w:sz w:val="14"/>
                <w:szCs w:val="14"/>
                <w:color w:val="auto"/>
              </w:rPr>
              <w:t>155</w:t>
            </w:r>
          </w:p>
        </w:tc>
        <w:tc>
          <w:tcPr>
            <w:tcW w:w="1380" w:type="dxa"/>
            <w:vAlign w:val="bottom"/>
            <w:tcBorders>
              <w:bottom w:val="single" w:sz="8" w:color="auto"/>
            </w:tcBorders>
          </w:tcPr>
          <w:p>
            <w:pPr>
              <w:jc w:val="right"/>
              <w:ind w:right="368"/>
              <w:spacing w:after="0" w:line="157" w:lineRule="exact"/>
              <w:rPr>
                <w:sz w:val="20"/>
                <w:szCs w:val="20"/>
                <w:color w:val="auto"/>
              </w:rPr>
            </w:pPr>
            <w:r>
              <w:rPr>
                <w:rFonts w:ascii="Arial" w:cs="Arial" w:eastAsia="Arial" w:hAnsi="Arial"/>
                <w:sz w:val="14"/>
                <w:szCs w:val="14"/>
                <w:color w:val="auto"/>
              </w:rPr>
              <w:t>248</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960" w:type="dxa"/>
            <w:vAlign w:val="bottom"/>
            <w:tcBorders>
              <w:bottom w:val="single" w:sz="8" w:color="auto"/>
            </w:tcBorders>
          </w:tcPr>
          <w:p>
            <w:pPr>
              <w:spacing w:after="0" w:line="155" w:lineRule="exact"/>
              <w:rPr>
                <w:sz w:val="20"/>
                <w:szCs w:val="20"/>
                <w:color w:val="auto"/>
              </w:rPr>
            </w:pPr>
            <w:r>
              <w:rPr>
                <w:rFonts w:ascii="Arial" w:cs="Arial" w:eastAsia="Arial" w:hAnsi="Arial"/>
                <w:sz w:val="14"/>
                <w:szCs w:val="14"/>
                <w:color w:val="auto"/>
              </w:rPr>
              <w:t>Income for the period</w:t>
            </w:r>
          </w:p>
        </w:tc>
        <w:tc>
          <w:tcPr>
            <w:tcW w:w="2540" w:type="dxa"/>
            <w:vAlign w:val="bottom"/>
            <w:tcBorders>
              <w:bottom w:val="single" w:sz="8" w:color="auto"/>
            </w:tcBorders>
          </w:tcPr>
          <w:p>
            <w:pPr>
              <w:spacing w:after="0"/>
              <w:rPr>
                <w:sz w:val="13"/>
                <w:szCs w:val="13"/>
                <w:color w:val="auto"/>
              </w:rPr>
            </w:pPr>
          </w:p>
        </w:tc>
        <w:tc>
          <w:tcPr>
            <w:tcW w:w="1580" w:type="dxa"/>
            <w:vAlign w:val="bottom"/>
            <w:tcBorders>
              <w:bottom w:val="single" w:sz="8" w:color="auto"/>
            </w:tcBorders>
          </w:tcPr>
          <w:p>
            <w:pPr>
              <w:spacing w:after="0"/>
              <w:rPr>
                <w:sz w:val="13"/>
                <w:szCs w:val="13"/>
                <w:color w:val="auto"/>
              </w:rPr>
            </w:pPr>
          </w:p>
        </w:tc>
        <w:tc>
          <w:tcPr>
            <w:tcW w:w="1440" w:type="dxa"/>
            <w:vAlign w:val="bottom"/>
            <w:tcBorders>
              <w:bottom w:val="single" w:sz="8" w:color="auto"/>
            </w:tcBorders>
            <w:shd w:val="clear" w:color="auto" w:fill="D8D8D8"/>
          </w:tcPr>
          <w:p>
            <w:pPr>
              <w:jc w:val="right"/>
              <w:ind w:right="369"/>
              <w:spacing w:after="0" w:line="155" w:lineRule="exact"/>
              <w:rPr>
                <w:sz w:val="20"/>
                <w:szCs w:val="20"/>
                <w:color w:val="auto"/>
              </w:rPr>
            </w:pPr>
            <w:r>
              <w:rPr>
                <w:rFonts w:ascii="Arial" w:cs="Arial" w:eastAsia="Arial" w:hAnsi="Arial"/>
                <w:sz w:val="14"/>
                <w:szCs w:val="14"/>
                <w:color w:val="auto"/>
              </w:rPr>
              <w:t>14,730</w:t>
            </w:r>
          </w:p>
        </w:tc>
        <w:tc>
          <w:tcPr>
            <w:tcW w:w="1520" w:type="dxa"/>
            <w:vAlign w:val="bottom"/>
            <w:tcBorders>
              <w:bottom w:val="single" w:sz="8" w:color="auto"/>
            </w:tcBorders>
          </w:tcPr>
          <w:p>
            <w:pPr>
              <w:jc w:val="right"/>
              <w:ind w:right="450"/>
              <w:spacing w:after="0" w:line="155" w:lineRule="exact"/>
              <w:rPr>
                <w:sz w:val="20"/>
                <w:szCs w:val="20"/>
                <w:color w:val="auto"/>
              </w:rPr>
            </w:pPr>
            <w:r>
              <w:rPr>
                <w:rFonts w:ascii="Arial" w:cs="Arial" w:eastAsia="Arial" w:hAnsi="Arial"/>
                <w:sz w:val="14"/>
                <w:szCs w:val="14"/>
                <w:color w:val="auto"/>
              </w:rPr>
              <w:t>16,526</w:t>
            </w:r>
          </w:p>
        </w:tc>
        <w:tc>
          <w:tcPr>
            <w:tcW w:w="1380" w:type="dxa"/>
            <w:vAlign w:val="bottom"/>
            <w:tcBorders>
              <w:bottom w:val="single" w:sz="8" w:color="auto"/>
            </w:tcBorders>
          </w:tcPr>
          <w:p>
            <w:pPr>
              <w:jc w:val="right"/>
              <w:ind w:right="368"/>
              <w:spacing w:after="0" w:line="155" w:lineRule="exact"/>
              <w:rPr>
                <w:sz w:val="20"/>
                <w:szCs w:val="20"/>
                <w:color w:val="auto"/>
              </w:rPr>
            </w:pPr>
            <w:r>
              <w:rPr>
                <w:rFonts w:ascii="Arial" w:cs="Arial" w:eastAsia="Arial" w:hAnsi="Arial"/>
                <w:sz w:val="14"/>
                <w:szCs w:val="14"/>
                <w:color w:val="auto"/>
              </w:rPr>
              <w:t>26,960</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37" w:lineRule="exact"/>
        <w:rPr>
          <w:sz w:val="20"/>
          <w:szCs w:val="20"/>
          <w:color w:val="auto"/>
        </w:rPr>
      </w:pPr>
    </w:p>
    <w:p>
      <w:pPr>
        <w:spacing w:after="0"/>
        <w:rPr>
          <w:sz w:val="20"/>
          <w:szCs w:val="20"/>
          <w:color w:val="auto"/>
        </w:rPr>
      </w:pPr>
      <w:r>
        <w:rPr>
          <w:rFonts w:ascii="Arial" w:cs="Arial" w:eastAsia="Arial" w:hAnsi="Arial"/>
          <w:sz w:val="11"/>
          <w:szCs w:val="11"/>
          <w:color w:val="auto"/>
        </w:rPr>
        <w:t>[A] See Note 2 to the “Consolidated Financial Statements”. Segment earnings are presented on a current cost of supplies basis.</w:t>
      </w:r>
    </w:p>
    <w:p>
      <w:pPr>
        <w:sectPr>
          <w:pgSz w:w="11900" w:h="16838" w:orient="portrait"/>
          <w:cols w:equalWidth="0" w:num="1">
            <w:col w:w="11420"/>
          </w:cols>
          <w:pgMar w:left="240" w:top="459" w:right="239" w:bottom="1440" w:gutter="0" w:footer="0" w:header="0"/>
        </w:sect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color w:val="auto"/>
        </w:rPr>
        <w:t>EARNINGS 2014-2012</w:t>
      </w:r>
    </w:p>
    <w:p>
      <w:pPr>
        <w:spacing w:after="0" w:line="1" w:lineRule="exact"/>
        <w:rPr>
          <w:sz w:val="20"/>
          <w:szCs w:val="20"/>
          <w:color w:val="auto"/>
        </w:rPr>
      </w:pPr>
    </w:p>
    <w:p>
      <w:pPr>
        <w:ind w:right="120"/>
        <w:spacing w:after="0" w:line="250" w:lineRule="auto"/>
        <w:rPr>
          <w:sz w:val="20"/>
          <w:szCs w:val="20"/>
          <w:color w:val="auto"/>
        </w:rPr>
      </w:pPr>
      <w:r>
        <w:rPr>
          <w:rFonts w:ascii="Arial" w:cs="Arial" w:eastAsia="Arial" w:hAnsi="Arial"/>
          <w:sz w:val="14"/>
          <w:szCs w:val="14"/>
          <w:color w:val="auto"/>
        </w:rPr>
        <w:t>Global realised liquids prices were 8% lower in 2014 than in 2013. Global realised natural gas prices were 6% lower than in 2013, with a 20% increase in the Americas and an 11% decrease outside the Americas.</w:t>
      </w:r>
    </w:p>
    <w:p>
      <w:pPr>
        <w:spacing w:after="0" w:line="159" w:lineRule="exact"/>
        <w:rPr>
          <w:sz w:val="20"/>
          <w:szCs w:val="20"/>
          <w:color w:val="auto"/>
        </w:rPr>
      </w:pPr>
    </w:p>
    <w:p>
      <w:pPr>
        <w:spacing w:after="0" w:line="244" w:lineRule="auto"/>
        <w:rPr>
          <w:sz w:val="20"/>
          <w:szCs w:val="20"/>
          <w:color w:val="auto"/>
        </w:rPr>
      </w:pPr>
      <w:r>
        <w:rPr>
          <w:rFonts w:ascii="Arial" w:cs="Arial" w:eastAsia="Arial" w:hAnsi="Arial"/>
          <w:sz w:val="14"/>
          <w:szCs w:val="14"/>
          <w:color w:val="auto"/>
        </w:rPr>
        <w:t>Oil and gas production available for sale in 2014 was 3,080 thousand barrels of oil equivalent per day (boe/d), compared with 3,199 thousand boe/d in 2013. Liquids production was down 4% and natural gas production decreased by 4% compared with 2013. Excluding the impact of divestments, the Abu Dhabi licence expiry, production-sharing contract price effects and security impacts in Nigeria, production volumes in 2014 increased by 2% compared with 2013.</w:t>
      </w:r>
    </w:p>
    <w:p>
      <w:pPr>
        <w:spacing w:after="0" w:line="179" w:lineRule="exact"/>
        <w:rPr>
          <w:sz w:val="20"/>
          <w:szCs w:val="20"/>
          <w:color w:val="auto"/>
        </w:rPr>
      </w:pPr>
    </w:p>
    <w:p>
      <w:pPr>
        <w:ind w:right="60"/>
        <w:spacing w:after="0" w:line="250" w:lineRule="auto"/>
        <w:rPr>
          <w:sz w:val="20"/>
          <w:szCs w:val="20"/>
          <w:color w:val="auto"/>
        </w:rPr>
      </w:pPr>
      <w:r>
        <w:rPr>
          <w:rFonts w:ascii="Arial" w:cs="Arial" w:eastAsia="Arial" w:hAnsi="Arial"/>
          <w:sz w:val="14"/>
          <w:szCs w:val="14"/>
          <w:color w:val="auto"/>
        </w:rPr>
        <w:t>Realised refining margins in 2014 were significantly higher overall and higher in all regions apart from the US West Coast compared with 2013. The increase was driven by operational improvements and a stronger margin environment in most regions.</w:t>
      </w:r>
    </w:p>
    <w:p>
      <w:pPr>
        <w:spacing w:after="0" w:line="159" w:lineRule="exact"/>
        <w:rPr>
          <w:sz w:val="20"/>
          <w:szCs w:val="20"/>
          <w:color w:val="auto"/>
        </w:rPr>
      </w:pPr>
    </w:p>
    <w:p>
      <w:pPr>
        <w:ind w:right="220"/>
        <w:spacing w:after="0" w:line="250" w:lineRule="auto"/>
        <w:rPr>
          <w:sz w:val="20"/>
          <w:szCs w:val="20"/>
          <w:color w:val="auto"/>
        </w:rPr>
      </w:pPr>
      <w:r>
        <w:rPr>
          <w:rFonts w:ascii="Arial" w:cs="Arial" w:eastAsia="Arial" w:hAnsi="Arial"/>
          <w:sz w:val="14"/>
          <w:szCs w:val="14"/>
          <w:color w:val="auto"/>
        </w:rPr>
        <w:t>Earnings on a current cost of supplies basis (CCS earnings) attributable to shareholders in 2014 were 14% higher than in 2013, which in turn were 38% lower than in 2012. Segment earnings are presented on this basis.</w:t>
      </w:r>
    </w:p>
    <w:p>
      <w:pPr>
        <w:spacing w:after="0" w:line="159" w:lineRule="exact"/>
        <w:rPr>
          <w:sz w:val="20"/>
          <w:szCs w:val="20"/>
          <w:color w:val="auto"/>
        </w:rPr>
      </w:pPr>
    </w:p>
    <w:p>
      <w:pPr>
        <w:jc w:val="both"/>
        <w:ind w:right="40"/>
        <w:spacing w:after="0" w:line="241" w:lineRule="auto"/>
        <w:rPr>
          <w:sz w:val="20"/>
          <w:szCs w:val="20"/>
          <w:color w:val="auto"/>
        </w:rPr>
      </w:pPr>
      <w:r>
        <w:rPr>
          <w:rFonts w:ascii="Arial" w:cs="Arial" w:eastAsia="Arial" w:hAnsi="Arial"/>
          <w:sz w:val="14"/>
          <w:szCs w:val="14"/>
          <w:color w:val="auto"/>
        </w:rPr>
        <w:t>CCS earnings exclude the effect of changes in the oil price on inventory valuation, as the purchase price of the volumes sold during a period is based on the current cost of supplies during the same period, after making allowance for the tax effect.</w:t>
      </w:r>
    </w:p>
    <w:p>
      <w:pPr>
        <w:spacing w:after="0" w:line="1" w:lineRule="exact"/>
        <w:rPr>
          <w:sz w:val="20"/>
          <w:szCs w:val="20"/>
          <w:color w:val="auto"/>
        </w:rPr>
      </w:pPr>
    </w:p>
    <w:p>
      <w:pPr>
        <w:ind w:right="20"/>
        <w:spacing w:after="0" w:line="244" w:lineRule="auto"/>
        <w:rPr>
          <w:sz w:val="20"/>
          <w:szCs w:val="20"/>
          <w:color w:val="auto"/>
        </w:rPr>
      </w:pPr>
      <w:r>
        <w:rPr>
          <w:rFonts w:ascii="Arial" w:cs="Arial" w:eastAsia="Arial" w:hAnsi="Arial"/>
          <w:sz w:val="14"/>
          <w:szCs w:val="14"/>
          <w:color w:val="auto"/>
        </w:rPr>
        <w:t>Accordingly, when oil prices increase during the period, CCS earnings are likely to be lower than earnings calculated on a first-in first-out (FIFO) basis. Similarly, in a period with declining oil prices, CCS earnings are likely to be higher than earnings calculated on a FIFO basis. This explains why 2014 CCS earnings were $4,366 million higher than earnings calculated on a FIFO basis (2013: $353 million higher; 2012: $463 million higher).</w:t>
      </w:r>
    </w:p>
    <w:p>
      <w:pPr>
        <w:spacing w:after="0" w:line="179" w:lineRule="exact"/>
        <w:rPr>
          <w:sz w:val="20"/>
          <w:szCs w:val="20"/>
          <w:color w:val="auto"/>
        </w:rPr>
      </w:pPr>
    </w:p>
    <w:p>
      <w:pPr>
        <w:ind w:right="40"/>
        <w:spacing w:after="0" w:line="243" w:lineRule="auto"/>
        <w:rPr>
          <w:sz w:val="20"/>
          <w:szCs w:val="20"/>
          <w:color w:val="auto"/>
        </w:rPr>
      </w:pPr>
      <w:r>
        <w:rPr>
          <w:rFonts w:ascii="Arial" w:cs="Arial" w:eastAsia="Arial" w:hAnsi="Arial"/>
          <w:sz w:val="14"/>
          <w:szCs w:val="14"/>
          <w:color w:val="auto"/>
        </w:rPr>
        <w:t>Upstream earnings in 2014 were $15,841 million, compared with $12,638 million in 2013 and $22,244 million in 2012. The 25% increase from 2013 to 2014 was mainly driven by increased contributions from liquids production volumes from both the start-up of new high-margin deep-water projects and improved operational performance, higher divestment gains, lower exploration expenses, primarily driven by fewer well write-offs, increased contributions from Trading and lower impairment charges. These effects were partially offset by the impact of declining oil prices and higher depreciation (excluding impairments). The 43% decrease from 2012 to 2013</w:t>
      </w:r>
    </w:p>
    <w:p>
      <w:pPr>
        <w:spacing w:after="0" w:line="20" w:lineRule="exact"/>
        <w:rPr>
          <w:sz w:val="20"/>
          <w:szCs w:val="20"/>
          <w:color w:val="auto"/>
        </w:rPr>
      </w:pPr>
      <w:r>
        <w:rPr>
          <w:sz w:val="20"/>
          <w:szCs w:val="20"/>
          <w:color w:val="auto"/>
        </w:rPr>
        <w:br w:type="column"/>
      </w:r>
    </w:p>
    <w:p>
      <w:pPr>
        <w:spacing w:after="0" w:line="253" w:lineRule="exact"/>
        <w:rPr>
          <w:sz w:val="20"/>
          <w:szCs w:val="20"/>
          <w:color w:val="auto"/>
        </w:rPr>
      </w:pPr>
    </w:p>
    <w:p>
      <w:pPr>
        <w:ind w:right="180"/>
        <w:spacing w:after="0" w:line="243" w:lineRule="auto"/>
        <w:rPr>
          <w:sz w:val="20"/>
          <w:szCs w:val="20"/>
          <w:color w:val="auto"/>
        </w:rPr>
      </w:pPr>
      <w:r>
        <w:rPr>
          <w:rFonts w:ascii="Arial" w:cs="Arial" w:eastAsia="Arial" w:hAnsi="Arial"/>
          <w:sz w:val="14"/>
          <w:szCs w:val="14"/>
          <w:color w:val="auto"/>
        </w:rPr>
        <w:t>reflected higher depreciation charges (partly driven by impairments), lower divestment gains, higher exploration expenses (mainly driven by well write-offs), higher operating expenses and lower liquids and LNG realisations. Earnings in 2013 were also impacted by a deterioration in the operating environment in Nigeria and the impact of the weakening Australian dollar on a deferred tax liability. These effects were partly offset by the contribution of our Pearl GTL plant in Qatar and higher gas price realisations in the Americas, together with net tax gains in 2013 compared with net tax charges and higher decommissioning provisions in 2012.</w:t>
      </w:r>
    </w:p>
    <w:p>
      <w:pPr>
        <w:spacing w:after="0" w:line="168" w:lineRule="exact"/>
        <w:rPr>
          <w:sz w:val="20"/>
          <w:szCs w:val="20"/>
          <w:color w:val="auto"/>
        </w:rPr>
      </w:pPr>
    </w:p>
    <w:p>
      <w:pPr>
        <w:ind w:right="240"/>
        <w:spacing w:after="0" w:line="244" w:lineRule="auto"/>
        <w:rPr>
          <w:sz w:val="20"/>
          <w:szCs w:val="20"/>
          <w:color w:val="auto"/>
        </w:rPr>
      </w:pPr>
      <w:r>
        <w:rPr>
          <w:rFonts w:ascii="Arial" w:cs="Arial" w:eastAsia="Arial" w:hAnsi="Arial"/>
          <w:sz w:val="14"/>
          <w:szCs w:val="14"/>
          <w:color w:val="auto"/>
        </w:rPr>
        <w:t>Downstream earnings in 2014 were $3,411 million compared with $3,869 million in 2013 and $5,382 million in 2012. The 12% decrease from 2013 to 2014 reflected significantly higher charges for impairment which were partially offset by higher realised refining margins, higher earnings from Trading and Supply and lower costs (mainly as a result of divestments). The 28% decrease from 2012 to 2013 reflected significantly lower realised refining margins and higher charges for impairment, partly offset by higher contributions from Chemicals and Trading.</w:t>
      </w:r>
    </w:p>
    <w:p>
      <w:pPr>
        <w:spacing w:after="0" w:line="178" w:lineRule="exact"/>
        <w:rPr>
          <w:sz w:val="20"/>
          <w:szCs w:val="20"/>
          <w:color w:val="auto"/>
        </w:rPr>
      </w:pPr>
    </w:p>
    <w:p>
      <w:pPr>
        <w:ind w:right="200"/>
        <w:spacing w:after="0" w:line="244" w:lineRule="auto"/>
        <w:rPr>
          <w:sz w:val="20"/>
          <w:szCs w:val="20"/>
          <w:color w:val="auto"/>
        </w:rPr>
      </w:pPr>
      <w:r>
        <w:rPr>
          <w:rFonts w:ascii="Arial" w:cs="Arial" w:eastAsia="Arial" w:hAnsi="Arial"/>
          <w:sz w:val="14"/>
          <w:szCs w:val="14"/>
          <w:color w:val="auto"/>
        </w:rPr>
        <w:t>Corporate earnings in 2014 were a loss of $156 million, compared with a gain of $372 million in 2013 and a loss of $203 million in 2012. Compared with 2013, Corporate earnings in 2014 reflected lower tax credits, higher net interest expense and adverse currency exchange rate effects. Compared with 2012, earnings in 2013 were higher mainly due to a tax credit, the recharge to the business segments of certain costs and lower net interest expense, partly offset by adverse currency exchange rate effects.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color w:val="auto"/>
        </w:rPr>
        <w:t>NET CAPITAL INVESTMENT AND GEARING</w:t>
      </w:r>
    </w:p>
    <w:p>
      <w:pPr>
        <w:spacing w:after="0" w:line="1" w:lineRule="exact"/>
        <w:rPr>
          <w:sz w:val="20"/>
          <w:szCs w:val="20"/>
          <w:color w:val="auto"/>
        </w:rPr>
      </w:pPr>
    </w:p>
    <w:p>
      <w:pPr>
        <w:ind w:right="260"/>
        <w:spacing w:after="0" w:line="250" w:lineRule="auto"/>
        <w:rPr>
          <w:sz w:val="20"/>
          <w:szCs w:val="20"/>
          <w:color w:val="auto"/>
        </w:rPr>
      </w:pPr>
      <w:r>
        <w:rPr>
          <w:rFonts w:ascii="Arial" w:cs="Arial" w:eastAsia="Arial" w:hAnsi="Arial"/>
          <w:sz w:val="14"/>
          <w:szCs w:val="14"/>
          <w:color w:val="auto"/>
        </w:rPr>
        <w:t>Net capital investment was $23.9 billion, 46% lower than in 2013. This was driven by higher proceeds from divestments and lower capital investment (see “Non-GAAP measures reconciliations”).</w:t>
      </w:r>
    </w:p>
    <w:p>
      <w:pPr>
        <w:spacing w:after="0" w:line="159" w:lineRule="exact"/>
        <w:rPr>
          <w:sz w:val="20"/>
          <w:szCs w:val="20"/>
          <w:color w:val="auto"/>
        </w:rPr>
      </w:pPr>
    </w:p>
    <w:p>
      <w:pPr>
        <w:ind w:right="160"/>
        <w:spacing w:after="0" w:line="247" w:lineRule="auto"/>
        <w:rPr>
          <w:sz w:val="20"/>
          <w:szCs w:val="20"/>
          <w:color w:val="auto"/>
        </w:rPr>
      </w:pPr>
      <w:r>
        <w:rPr>
          <w:rFonts w:ascii="Arial" w:cs="Arial" w:eastAsia="Arial" w:hAnsi="Arial"/>
          <w:sz w:val="14"/>
          <w:szCs w:val="14"/>
          <w:color w:val="auto"/>
        </w:rPr>
        <w:t>Gearing was 12.2% at the end of 2014, compared with 16.1% at the end of 2013, as a result of a significant increase in cash and cash equivalents (driven by the lower net capital investment), combined with a 2% increase in total debt and a 5% decrease in equity.</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color w:val="auto"/>
        </w:rPr>
        <w:t>PROVED RESERVES AND PRODUCTION</w:t>
      </w:r>
    </w:p>
    <w:p>
      <w:pPr>
        <w:spacing w:after="0" w:line="1" w:lineRule="exact"/>
        <w:rPr>
          <w:sz w:val="20"/>
          <w:szCs w:val="20"/>
          <w:color w:val="auto"/>
        </w:rPr>
      </w:pPr>
    </w:p>
    <w:p>
      <w:pPr>
        <w:jc w:val="both"/>
        <w:ind w:right="220"/>
        <w:spacing w:after="0" w:line="250" w:lineRule="auto"/>
        <w:rPr>
          <w:sz w:val="20"/>
          <w:szCs w:val="20"/>
          <w:color w:val="auto"/>
        </w:rPr>
      </w:pPr>
      <w:r>
        <w:rPr>
          <w:rFonts w:ascii="Arial" w:cs="Arial" w:eastAsia="Arial" w:hAnsi="Arial"/>
          <w:sz w:val="14"/>
          <w:szCs w:val="14"/>
          <w:color w:val="auto"/>
        </w:rPr>
        <w:t>Shell subsidiaries’ and the Shell share of joint ventures and associates’ estimated net proved oil and gas reserves are summarised in “Upstream” and set out in more detail in “Supplementary information – oil and gas (unaudited)”.</w:t>
      </w:r>
    </w:p>
    <w:p>
      <w:pPr>
        <w:sectPr>
          <w:pgSz w:w="11900" w:h="16838" w:orient="portrait"/>
          <w:cols w:equalWidth="0" w:num="2">
            <w:col w:w="5480" w:space="300"/>
            <w:col w:w="5640"/>
          </w:cols>
          <w:pgMar w:left="240" w:top="459" w:right="239" w:bottom="1440" w:gutter="0" w:footer="0" w:header="0"/>
          <w:type w:val="continuous"/>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3555365</wp:posOffset>
            </wp:positionH>
            <wp:positionV relativeFrom="paragraph">
              <wp:posOffset>300355</wp:posOffset>
            </wp:positionV>
            <wp:extent cx="3696335" cy="46291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3696335" cy="4629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tbl>
      <w:tblPr>
        <w:tblLayout w:type="fixed"/>
        <w:tblInd w:w="6520" w:type="dxa"/>
        <w:tblCellMar>
          <w:top w:w="0" w:type="dxa"/>
          <w:left w:w="0" w:type="dxa"/>
          <w:bottom w:w="0" w:type="dxa"/>
          <w:right w:w="0" w:type="dxa"/>
        </w:tblCellMar>
      </w:tblPr>
      <w:tr>
        <w:trPr>
          <w:trHeight w:val="161"/>
        </w:trPr>
        <w:tc>
          <w:tcPr>
            <w:tcW w:w="2760" w:type="dxa"/>
            <w:vAlign w:val="bottom"/>
          </w:tcPr>
          <w:p>
            <w:pPr>
              <w:spacing w:after="0"/>
              <w:rPr>
                <w:sz w:val="20"/>
                <w:szCs w:val="20"/>
                <w:color w:val="auto"/>
              </w:rPr>
            </w:pPr>
            <w:r>
              <w:rPr>
                <w:rFonts w:ascii="Arial" w:cs="Arial" w:eastAsia="Arial" w:hAnsi="Arial"/>
                <w:sz w:val="13"/>
                <w:szCs w:val="13"/>
                <w:color w:val="333333"/>
              </w:rPr>
              <w:t>STRATEGIC REPORT</w:t>
            </w:r>
          </w:p>
        </w:tc>
        <w:tc>
          <w:tcPr>
            <w:tcW w:w="1640" w:type="dxa"/>
            <w:vAlign w:val="bottom"/>
          </w:tcPr>
          <w:p>
            <w:pPr>
              <w:jc w:val="right"/>
              <w:spacing w:after="0"/>
              <w:rPr>
                <w:sz w:val="20"/>
                <w:szCs w:val="20"/>
                <w:color w:val="auto"/>
              </w:rPr>
            </w:pPr>
            <w:r>
              <w:rPr>
                <w:rFonts w:ascii="Arial" w:cs="Arial" w:eastAsia="Arial" w:hAnsi="Arial"/>
                <w:sz w:val="11"/>
                <w:szCs w:val="11"/>
                <w:b w:val="1"/>
                <w:bCs w:val="1"/>
                <w:color w:val="333333"/>
              </w:rPr>
              <w:t>19</w:t>
            </w:r>
          </w:p>
        </w:tc>
      </w:tr>
    </w:tbl>
    <w:p>
      <w:pPr>
        <w:spacing w:after="0" w:line="161" w:lineRule="exact"/>
        <w:rPr>
          <w:sz w:val="20"/>
          <w:szCs w:val="20"/>
          <w:color w:val="auto"/>
        </w:rPr>
      </w:pPr>
    </w:p>
    <w:p>
      <w:pPr>
        <w:spacing w:after="0"/>
        <w:tabs>
          <w:tab w:leader="none" w:pos="6500" w:val="left"/>
        </w:tabs>
        <w:rPr>
          <w:sz w:val="20"/>
          <w:szCs w:val="20"/>
          <w:color w:val="auto"/>
        </w:rPr>
      </w:pPr>
      <w:r>
        <w:rPr>
          <w:rFonts w:ascii="Arial" w:cs="Arial" w:eastAsia="Arial" w:hAnsi="Arial"/>
          <w:sz w:val="11"/>
          <w:szCs w:val="11"/>
          <w:color w:val="auto"/>
        </w:rPr>
        <w:t>SHELL ANNUAL REPORT AND FORM 20-F 2014</w:t>
      </w:r>
      <w:r>
        <w:rPr>
          <w:sz w:val="20"/>
          <w:szCs w:val="20"/>
          <w:color w:val="auto"/>
        </w:rPr>
        <w:tab/>
      </w:r>
      <w:r>
        <w:rPr>
          <w:rFonts w:ascii="Arial" w:cs="Arial" w:eastAsia="Arial" w:hAnsi="Arial"/>
          <w:sz w:val="10"/>
          <w:szCs w:val="10"/>
          <w:color w:val="auto"/>
        </w:rPr>
        <w:t>SUMMARY OF RESULTS</w:t>
      </w:r>
    </w:p>
    <w:p>
      <w:pPr>
        <w:spacing w:after="0" w:line="3" w:lineRule="exact"/>
        <w:rPr>
          <w:sz w:val="20"/>
          <w:szCs w:val="20"/>
          <w:color w:val="auto"/>
        </w:rPr>
      </w:pPr>
    </w:p>
    <w:p>
      <w:pPr>
        <w:ind w:right="20"/>
        <w:spacing w:after="0" w:line="250" w:lineRule="auto"/>
        <w:rPr>
          <w:sz w:val="20"/>
          <w:szCs w:val="20"/>
          <w:color w:val="auto"/>
        </w:rPr>
      </w:pPr>
      <w:r>
        <w:rPr>
          <w:rFonts w:ascii="Arial" w:cs="Arial" w:eastAsia="Arial" w:hAnsi="Arial"/>
          <w:sz w:val="14"/>
          <w:szCs w:val="14"/>
          <w:color w:val="auto"/>
        </w:rPr>
        <w:t>In 2014, Shell added 301 million boe of proved reserves before taking production into account, of which 271 million boe were from Shell subsidiaries and 30 million boe were from the Shell share of joint ventures and associates. These additions were positively impacted by lower commodity prices (44 million boe) and negatively impacted by sales that exceeded purchases (274 million boe).</w:t>
      </w:r>
    </w:p>
    <w:p>
      <w:pPr>
        <w:spacing w:after="0" w:line="172" w:lineRule="exact"/>
        <w:rPr>
          <w:sz w:val="20"/>
          <w:szCs w:val="20"/>
          <w:color w:val="auto"/>
        </w:rPr>
      </w:pPr>
    </w:p>
    <w:p>
      <w:pPr>
        <w:spacing w:after="0" w:line="250" w:lineRule="auto"/>
        <w:rPr>
          <w:sz w:val="20"/>
          <w:szCs w:val="20"/>
          <w:color w:val="auto"/>
        </w:rPr>
      </w:pPr>
      <w:r>
        <w:rPr>
          <w:rFonts w:ascii="Arial" w:cs="Arial" w:eastAsia="Arial" w:hAnsi="Arial"/>
          <w:sz w:val="14"/>
          <w:szCs w:val="14"/>
          <w:color w:val="auto"/>
        </w:rPr>
        <w:t>In 2014, total oil and gas production available for sale was 1,124 million boe. An additional 40 million boe was produced and consumed in operations. Production available for sale from subsidiaries was 895 million boe with an additional 30 million boe consumed in operations. The Shell share of the production available for sale of joint ventures and associates was 229 million boe with an additional 10 million boe consumed in operations.</w:t>
      </w:r>
    </w:p>
    <w:p>
      <w:pPr>
        <w:spacing w:after="0" w:line="159" w:lineRule="exact"/>
        <w:rPr>
          <w:sz w:val="20"/>
          <w:szCs w:val="20"/>
          <w:color w:val="auto"/>
        </w:rPr>
      </w:pPr>
    </w:p>
    <w:p>
      <w:pPr>
        <w:ind w:right="200"/>
        <w:spacing w:after="0" w:line="258" w:lineRule="auto"/>
        <w:rPr>
          <w:sz w:val="20"/>
          <w:szCs w:val="20"/>
          <w:color w:val="auto"/>
        </w:rPr>
      </w:pPr>
      <w:r>
        <w:rPr>
          <w:rFonts w:ascii="Arial" w:cs="Arial" w:eastAsia="Arial" w:hAnsi="Arial"/>
          <w:sz w:val="14"/>
          <w:szCs w:val="14"/>
          <w:color w:val="auto"/>
        </w:rPr>
        <w:t>Accordingly, after taking production into account, there was a decrease of 863 million boe in proved reserves, comprising a decrease of 654 million boe from subsidiaries and a decrease of 209 million boe from the Shell share of joint ventures and associates.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KEY ACCOUNTING ESTIMATES AND JUDGEMENTS</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Refer to Note 3 to the “Consolidated Financial Statements” for a discussion of key accounting estimates and judgements.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LEGAL PROCEEDINGS</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Refer to Note 25 to the “Consolidated Financial Statements” for a discussion of legal proceedings.</w:t>
      </w:r>
    </w:p>
    <w:p>
      <w:pPr>
        <w:sectPr>
          <w:pgSz w:w="11900" w:h="16838" w:orient="portrait"/>
          <w:cols w:equalWidth="0" w:num="1">
            <w:col w:w="11340"/>
          </w:cols>
          <w:pgMar w:left="240" w:top="459" w:right="31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300355</wp:posOffset>
            </wp:positionV>
            <wp:extent cx="3490595" cy="46291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3490595" cy="462915"/>
                    </a:xfrm>
                    <a:prstGeom prst="rect">
                      <a:avLst/>
                    </a:prstGeom>
                    <a:noFill/>
                  </pic:spPr>
                </pic:pic>
              </a:graphicData>
            </a:graphic>
          </wp:anchor>
        </w:drawing>
      </w:r>
    </w:p>
    <w:p>
      <w:pPr>
        <w:spacing w:after="0" w:line="200" w:lineRule="exact"/>
        <w:rPr>
          <w:sz w:val="20"/>
          <w:szCs w:val="20"/>
          <w:color w:val="auto"/>
        </w:rPr>
      </w:pP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419"/>
        </w:trPr>
        <w:tc>
          <w:tcPr>
            <w:tcW w:w="1920" w:type="dxa"/>
            <w:vAlign w:val="bottom"/>
            <w:shd w:val="clear" w:color="auto" w:fill="FF8B00"/>
          </w:tcPr>
          <w:p>
            <w:pPr>
              <w:spacing w:after="0"/>
              <w:rPr>
                <w:sz w:val="24"/>
                <w:szCs w:val="24"/>
                <w:color w:val="auto"/>
              </w:rPr>
            </w:pPr>
          </w:p>
        </w:tc>
        <w:tc>
          <w:tcPr>
            <w:tcW w:w="3580" w:type="dxa"/>
            <w:vAlign w:val="bottom"/>
            <w:shd w:val="clear" w:color="auto" w:fill="FF8B00"/>
          </w:tcPr>
          <w:p>
            <w:pPr>
              <w:spacing w:after="0"/>
              <w:rPr>
                <w:sz w:val="24"/>
                <w:szCs w:val="24"/>
                <w:color w:val="auto"/>
              </w:rPr>
            </w:pPr>
          </w:p>
        </w:tc>
      </w:tr>
      <w:tr>
        <w:trPr>
          <w:trHeight w:val="152"/>
        </w:trPr>
        <w:tc>
          <w:tcPr>
            <w:tcW w:w="1920" w:type="dxa"/>
            <w:vAlign w:val="bottom"/>
          </w:tcPr>
          <w:p>
            <w:pPr>
              <w:jc w:val="right"/>
              <w:ind w:right="1486"/>
              <w:spacing w:after="0"/>
              <w:rPr>
                <w:sz w:val="20"/>
                <w:szCs w:val="20"/>
                <w:color w:val="auto"/>
              </w:rPr>
            </w:pPr>
            <w:r>
              <w:rPr>
                <w:rFonts w:ascii="Arial" w:cs="Arial" w:eastAsia="Arial" w:hAnsi="Arial"/>
                <w:sz w:val="11"/>
                <w:szCs w:val="11"/>
                <w:b w:val="1"/>
                <w:bCs w:val="1"/>
                <w:color w:val="333333"/>
              </w:rPr>
              <w:t>20</w:t>
            </w:r>
          </w:p>
        </w:tc>
        <w:tc>
          <w:tcPr>
            <w:tcW w:w="3580" w:type="dxa"/>
            <w:vAlign w:val="bottom"/>
          </w:tcPr>
          <w:p>
            <w:pPr>
              <w:ind w:left="1540"/>
              <w:spacing w:after="0"/>
              <w:rPr>
                <w:sz w:val="20"/>
                <w:szCs w:val="20"/>
                <w:color w:val="auto"/>
              </w:rPr>
            </w:pPr>
            <w:r>
              <w:rPr>
                <w:rFonts w:ascii="Arial" w:cs="Arial" w:eastAsia="Arial" w:hAnsi="Arial"/>
                <w:sz w:val="13"/>
                <w:szCs w:val="13"/>
                <w:color w:val="333333"/>
              </w:rPr>
              <w:t>STRATEGIC REPORT</w:t>
            </w:r>
          </w:p>
        </w:tc>
      </w:tr>
    </w:tbl>
    <w:p>
      <w:pPr>
        <w:spacing w:after="0" w:line="155" w:lineRule="exact"/>
        <w:rPr>
          <w:sz w:val="20"/>
          <w:szCs w:val="20"/>
          <w:color w:val="auto"/>
        </w:rPr>
      </w:pPr>
    </w:p>
    <w:p>
      <w:pPr>
        <w:jc w:val="right"/>
        <w:spacing w:after="0"/>
        <w:tabs>
          <w:tab w:leader="none" w:pos="2380" w:val="left"/>
        </w:tabs>
        <w:rPr>
          <w:sz w:val="20"/>
          <w:szCs w:val="20"/>
          <w:color w:val="auto"/>
        </w:rPr>
      </w:pPr>
      <w:r>
        <w:rPr>
          <w:rFonts w:ascii="Arial" w:cs="Arial" w:eastAsia="Arial" w:hAnsi="Arial"/>
          <w:sz w:val="11"/>
          <w:szCs w:val="11"/>
          <w:color w:val="auto"/>
        </w:rPr>
        <w:t>PERFORMANCE INDICATORS</w:t>
      </w:r>
      <w:r>
        <w:rPr>
          <w:sz w:val="20"/>
          <w:szCs w:val="20"/>
          <w:color w:val="auto"/>
        </w:rPr>
        <w:tab/>
      </w:r>
      <w:r>
        <w:rPr>
          <w:rFonts w:ascii="Arial" w:cs="Arial" w:eastAsia="Arial" w:hAnsi="Arial"/>
          <w:sz w:val="10"/>
          <w:szCs w:val="10"/>
          <w:color w:val="auto"/>
        </w:rPr>
        <w:t>SHELL ANNUAL REPORT AND FORM 20-F 2014</w:t>
      </w:r>
    </w:p>
    <w:p>
      <w:pPr>
        <w:spacing w:after="0" w:line="5" w:lineRule="exact"/>
        <w:rPr>
          <w:sz w:val="20"/>
          <w:szCs w:val="20"/>
          <w:color w:val="auto"/>
        </w:rPr>
      </w:pPr>
    </w:p>
    <w:p>
      <w:pPr>
        <w:spacing w:after="0"/>
        <w:rPr>
          <w:sz w:val="20"/>
          <w:szCs w:val="20"/>
          <w:color w:val="auto"/>
        </w:rPr>
      </w:pPr>
      <w:r>
        <w:rPr>
          <w:rFonts w:ascii="Arial" w:cs="Arial" w:eastAsia="Arial" w:hAnsi="Arial"/>
          <w:sz w:val="31"/>
          <w:szCs w:val="31"/>
          <w:color w:val="auto"/>
        </w:rPr>
        <w:t>PERFORMANCE INDICATORS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wp:posOffset>
            </wp:positionV>
            <wp:extent cx="724662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color w:val="auto"/>
        </w:rPr>
        <w:t>KEY PERFORMANCE INDICATORS</w:t>
      </w:r>
    </w:p>
    <w:p>
      <w:pPr>
        <w:sectPr>
          <w:pgSz w:w="11900" w:h="16838" w:orient="portrait"/>
          <w:cols w:equalWidth="0" w:num="1">
            <w:col w:w="11420"/>
          </w:cols>
          <w:pgMar w:left="240" w:top="459" w:right="239" w:bottom="1440" w:gutter="0" w:footer="0" w:header="0"/>
        </w:sectPr>
      </w:pPr>
    </w:p>
    <w:p>
      <w:pPr>
        <w:spacing w:after="0" w:line="34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Total shareholder return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-113030</wp:posOffset>
            </wp:positionV>
            <wp:extent cx="347345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spacing w:after="0" w:line="8" w:lineRule="exact"/>
        <w:rPr>
          <w:sz w:val="20"/>
          <w:szCs w:val="20"/>
          <w:color w:val="auto"/>
        </w:rPr>
      </w:pPr>
    </w:p>
    <w:p>
      <w:pPr>
        <w:spacing w:after="0"/>
        <w:tabs>
          <w:tab w:leader="none" w:pos="460" w:val="left"/>
          <w:tab w:leader="none" w:pos="2780" w:val="left"/>
          <w:tab w:leader="none" w:pos="3260" w:val="left"/>
        </w:tabs>
        <w:rPr>
          <w:sz w:val="20"/>
          <w:szCs w:val="20"/>
          <w:color w:val="auto"/>
        </w:rPr>
      </w:pPr>
      <w:r>
        <w:rPr>
          <w:rFonts w:ascii="Arial" w:cs="Arial" w:eastAsia="Arial" w:hAnsi="Arial"/>
          <w:sz w:val="14"/>
          <w:szCs w:val="14"/>
          <w:color w:val="auto"/>
        </w:rPr>
        <w:t>2014</w:t>
      </w:r>
      <w:r>
        <w:rPr>
          <w:sz w:val="20"/>
          <w:szCs w:val="20"/>
          <w:color w:val="auto"/>
        </w:rPr>
        <w:tab/>
      </w:r>
      <w:r>
        <w:rPr>
          <w:rFonts w:ascii="Arial" w:cs="Arial" w:eastAsia="Arial" w:hAnsi="Arial"/>
          <w:sz w:val="14"/>
          <w:szCs w:val="14"/>
          <w:b w:val="1"/>
          <w:bCs w:val="1"/>
          <w:color w:val="auto"/>
        </w:rPr>
        <w:t>-3.0%</w:t>
      </w:r>
      <w:r>
        <w:rPr>
          <w:sz w:val="20"/>
          <w:szCs w:val="20"/>
          <w:color w:val="auto"/>
        </w:rPr>
        <w:tab/>
      </w:r>
      <w:r>
        <w:rPr>
          <w:rFonts w:ascii="Arial" w:cs="Arial" w:eastAsia="Arial" w:hAnsi="Arial"/>
          <w:sz w:val="14"/>
          <w:szCs w:val="14"/>
          <w:color w:val="auto"/>
        </w:rPr>
        <w:t>2013</w:t>
        <w:tab/>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347345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spacing w:after="0" w:line="244" w:lineRule="auto"/>
        <w:rPr>
          <w:sz w:val="20"/>
          <w:szCs w:val="20"/>
          <w:color w:val="auto"/>
        </w:rPr>
      </w:pPr>
      <w:r>
        <w:rPr>
          <w:rFonts w:ascii="Arial" w:cs="Arial" w:eastAsia="Arial" w:hAnsi="Arial"/>
          <w:sz w:val="14"/>
          <w:szCs w:val="14"/>
          <w:color w:val="auto"/>
        </w:rPr>
        <w:t>Total shareholder return (TSR) is the difference between the share price at the start of the year and the share price at the end of the year, plus gross dividends delivered during the calendar year (reinvested quarterly), expressed as a percentage of the year-start share price. The TSRs of major publicly traded oil and gas companies can be directly compared, providing a way to determine how Shell is performing against its industry peers.</w:t>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Net cash from operating activities ($ billion)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-113030</wp:posOffset>
            </wp:positionV>
            <wp:extent cx="347345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spacing w:after="0" w:line="8" w:lineRule="exact"/>
        <w:rPr>
          <w:sz w:val="20"/>
          <w:szCs w:val="20"/>
          <w:color w:val="auto"/>
        </w:rPr>
      </w:pPr>
    </w:p>
    <w:p>
      <w:pPr>
        <w:spacing w:after="0"/>
        <w:tabs>
          <w:tab w:leader="none" w:pos="460" w:val="left"/>
          <w:tab w:leader="none" w:pos="2780" w:val="left"/>
          <w:tab w:leader="none" w:pos="3260" w:val="left"/>
        </w:tabs>
        <w:rPr>
          <w:sz w:val="20"/>
          <w:szCs w:val="20"/>
          <w:color w:val="auto"/>
        </w:rPr>
      </w:pPr>
      <w:r>
        <w:rPr>
          <w:rFonts w:ascii="Arial" w:cs="Arial" w:eastAsia="Arial" w:hAnsi="Arial"/>
          <w:sz w:val="14"/>
          <w:szCs w:val="14"/>
          <w:color w:val="auto"/>
        </w:rPr>
        <w:t>2014</w:t>
      </w:r>
      <w:r>
        <w:rPr>
          <w:sz w:val="20"/>
          <w:szCs w:val="20"/>
          <w:color w:val="auto"/>
        </w:rPr>
        <w:tab/>
      </w:r>
      <w:r>
        <w:rPr>
          <w:rFonts w:ascii="Arial" w:cs="Arial" w:eastAsia="Arial" w:hAnsi="Arial"/>
          <w:sz w:val="14"/>
          <w:szCs w:val="14"/>
          <w:b w:val="1"/>
          <w:bCs w:val="1"/>
          <w:color w:val="auto"/>
        </w:rPr>
        <w:t>45</w:t>
      </w:r>
      <w:r>
        <w:rPr>
          <w:sz w:val="20"/>
          <w:szCs w:val="20"/>
          <w:color w:val="auto"/>
        </w:rPr>
        <w:tab/>
      </w:r>
      <w:r>
        <w:rPr>
          <w:rFonts w:ascii="Arial" w:cs="Arial" w:eastAsia="Arial" w:hAnsi="Arial"/>
          <w:sz w:val="14"/>
          <w:szCs w:val="14"/>
          <w:color w:val="auto"/>
        </w:rPr>
        <w:t>2013</w:t>
        <w:tab/>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347345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ind w:right="40"/>
        <w:spacing w:after="0" w:line="245" w:lineRule="auto"/>
        <w:rPr>
          <w:sz w:val="20"/>
          <w:szCs w:val="20"/>
          <w:color w:val="auto"/>
        </w:rPr>
      </w:pPr>
      <w:r>
        <w:rPr>
          <w:rFonts w:ascii="Arial" w:cs="Arial" w:eastAsia="Arial" w:hAnsi="Arial"/>
          <w:sz w:val="14"/>
          <w:szCs w:val="14"/>
          <w:color w:val="auto"/>
        </w:rPr>
        <w:t>Net cash from operating activities is the total of all cash receipts and payments associated with our sales of oil, gas, chemicals and other products. The components that provide a reconciliation from income for the period are listed in the “Consolidated Statement of Cash Flows”. This indicator reflects Shell’s ability to generate cash for both investment and distribution to shareholders.</w:t>
      </w: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Project delivery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-113030</wp:posOffset>
            </wp:positionV>
            <wp:extent cx="347345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spacing w:after="0" w:line="8" w:lineRule="exact"/>
        <w:rPr>
          <w:sz w:val="20"/>
          <w:szCs w:val="20"/>
          <w:color w:val="auto"/>
        </w:rPr>
      </w:pPr>
    </w:p>
    <w:p>
      <w:pPr>
        <w:spacing w:after="0"/>
        <w:tabs>
          <w:tab w:leader="none" w:pos="460" w:val="left"/>
          <w:tab w:leader="none" w:pos="2780" w:val="left"/>
          <w:tab w:leader="none" w:pos="3260" w:val="left"/>
        </w:tabs>
        <w:rPr>
          <w:sz w:val="20"/>
          <w:szCs w:val="20"/>
          <w:color w:val="auto"/>
        </w:rPr>
      </w:pPr>
      <w:r>
        <w:rPr>
          <w:rFonts w:ascii="Arial" w:cs="Arial" w:eastAsia="Arial" w:hAnsi="Arial"/>
          <w:sz w:val="14"/>
          <w:szCs w:val="14"/>
          <w:color w:val="auto"/>
        </w:rPr>
        <w:t>2014</w:t>
      </w:r>
      <w:r>
        <w:rPr>
          <w:sz w:val="20"/>
          <w:szCs w:val="20"/>
          <w:color w:val="auto"/>
        </w:rPr>
        <w:tab/>
      </w:r>
      <w:r>
        <w:rPr>
          <w:rFonts w:ascii="Arial" w:cs="Arial" w:eastAsia="Arial" w:hAnsi="Arial"/>
          <w:sz w:val="14"/>
          <w:szCs w:val="14"/>
          <w:b w:val="1"/>
          <w:bCs w:val="1"/>
          <w:color w:val="auto"/>
        </w:rPr>
        <w:t>83%</w:t>
      </w:r>
      <w:r>
        <w:rPr>
          <w:sz w:val="20"/>
          <w:szCs w:val="20"/>
          <w:color w:val="auto"/>
        </w:rPr>
        <w:tab/>
      </w:r>
      <w:r>
        <w:rPr>
          <w:rFonts w:ascii="Arial" w:cs="Arial" w:eastAsia="Arial" w:hAnsi="Arial"/>
          <w:sz w:val="14"/>
          <w:szCs w:val="14"/>
          <w:color w:val="auto"/>
        </w:rPr>
        <w:t>2013</w:t>
        <w:tab/>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347345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ind w:right="340"/>
        <w:spacing w:after="0" w:line="247" w:lineRule="auto"/>
        <w:rPr>
          <w:sz w:val="20"/>
          <w:szCs w:val="20"/>
          <w:color w:val="auto"/>
        </w:rPr>
      </w:pPr>
      <w:r>
        <w:rPr>
          <w:rFonts w:ascii="Arial" w:cs="Arial" w:eastAsia="Arial" w:hAnsi="Arial"/>
          <w:sz w:val="14"/>
          <w:szCs w:val="14"/>
          <w:color w:val="auto"/>
        </w:rPr>
        <w:t>Project delivery reflects Shell’s capability to complete major projects on time and within budget on the basis of targets set in the annual Business Plan. The set of projects consists of at least 20 Shell-operated capital projects that are in the execution phase (post final investment decision).</w:t>
      </w:r>
    </w:p>
    <w:p>
      <w:pPr>
        <w:spacing w:after="0" w:line="20" w:lineRule="exact"/>
        <w:rPr>
          <w:sz w:val="20"/>
          <w:szCs w:val="20"/>
          <w:color w:val="auto"/>
        </w:rPr>
      </w:pPr>
      <w:r>
        <w:rPr>
          <w:sz w:val="20"/>
          <w:szCs w:val="20"/>
          <w:color w:val="auto"/>
        </w:rPr>
        <w:br w:type="column"/>
      </w:r>
    </w:p>
    <w:p>
      <w:pPr>
        <w:spacing w:after="0" w:line="32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Equity sales of liquefied natural gas (million tonnes)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-113030</wp:posOffset>
            </wp:positionV>
            <wp:extent cx="347345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spacing w:after="0" w:line="8" w:lineRule="exact"/>
        <w:rPr>
          <w:sz w:val="20"/>
          <w:szCs w:val="20"/>
          <w:color w:val="auto"/>
        </w:rPr>
      </w:pPr>
    </w:p>
    <w:p>
      <w:pPr>
        <w:spacing w:after="0"/>
        <w:tabs>
          <w:tab w:leader="none" w:pos="460" w:val="left"/>
          <w:tab w:leader="none" w:pos="2780" w:val="left"/>
          <w:tab w:leader="none" w:pos="3260" w:val="left"/>
        </w:tabs>
        <w:rPr>
          <w:sz w:val="20"/>
          <w:szCs w:val="20"/>
          <w:color w:val="auto"/>
        </w:rPr>
      </w:pPr>
      <w:r>
        <w:rPr>
          <w:rFonts w:ascii="Arial" w:cs="Arial" w:eastAsia="Arial" w:hAnsi="Arial"/>
          <w:sz w:val="14"/>
          <w:szCs w:val="14"/>
          <w:color w:val="auto"/>
        </w:rPr>
        <w:t>2014</w:t>
      </w:r>
      <w:r>
        <w:rPr>
          <w:sz w:val="20"/>
          <w:szCs w:val="20"/>
          <w:color w:val="auto"/>
        </w:rPr>
        <w:tab/>
      </w:r>
      <w:r>
        <w:rPr>
          <w:rFonts w:ascii="Arial" w:cs="Arial" w:eastAsia="Arial" w:hAnsi="Arial"/>
          <w:sz w:val="14"/>
          <w:szCs w:val="14"/>
          <w:b w:val="1"/>
          <w:bCs w:val="1"/>
          <w:color w:val="auto"/>
        </w:rPr>
        <w:t>24.0</w:t>
      </w:r>
      <w:r>
        <w:rPr>
          <w:sz w:val="20"/>
          <w:szCs w:val="20"/>
          <w:color w:val="auto"/>
        </w:rPr>
        <w:tab/>
      </w:r>
      <w:r>
        <w:rPr>
          <w:rFonts w:ascii="Arial" w:cs="Arial" w:eastAsia="Arial" w:hAnsi="Arial"/>
          <w:sz w:val="14"/>
          <w:szCs w:val="14"/>
          <w:color w:val="auto"/>
        </w:rPr>
        <w:t>2013</w:t>
        <w:tab/>
        <w:t>19.6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-1905</wp:posOffset>
            </wp:positionV>
            <wp:extent cx="347345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ind w:right="920"/>
        <w:spacing w:after="0" w:line="258" w:lineRule="auto"/>
        <w:rPr>
          <w:sz w:val="20"/>
          <w:szCs w:val="20"/>
          <w:color w:val="auto"/>
        </w:rPr>
      </w:pPr>
      <w:r>
        <w:rPr>
          <w:rFonts w:ascii="Arial" w:cs="Arial" w:eastAsia="Arial" w:hAnsi="Arial"/>
          <w:sz w:val="14"/>
          <w:szCs w:val="14"/>
          <w:color w:val="auto"/>
        </w:rPr>
        <w:t>Equity sales of liquefied natural gas (LNG) is a measure of the operational performance of Shell’s Upstream business and LNG market demand.</w:t>
      </w: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Refinery and chemical plant availability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-113030</wp:posOffset>
            </wp:positionV>
            <wp:extent cx="347345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spacing w:after="0" w:line="8" w:lineRule="exact"/>
        <w:rPr>
          <w:sz w:val="20"/>
          <w:szCs w:val="20"/>
          <w:color w:val="auto"/>
        </w:rPr>
      </w:pPr>
    </w:p>
    <w:p>
      <w:pPr>
        <w:spacing w:after="0"/>
        <w:tabs>
          <w:tab w:leader="none" w:pos="460" w:val="left"/>
          <w:tab w:leader="none" w:pos="2780" w:val="left"/>
          <w:tab w:leader="none" w:pos="3260" w:val="left"/>
        </w:tabs>
        <w:rPr>
          <w:sz w:val="20"/>
          <w:szCs w:val="20"/>
          <w:color w:val="auto"/>
        </w:rPr>
      </w:pPr>
      <w:r>
        <w:rPr>
          <w:rFonts w:ascii="Arial" w:cs="Arial" w:eastAsia="Arial" w:hAnsi="Arial"/>
          <w:sz w:val="14"/>
          <w:szCs w:val="14"/>
          <w:color w:val="auto"/>
        </w:rPr>
        <w:t>2014</w:t>
      </w:r>
      <w:r>
        <w:rPr>
          <w:sz w:val="20"/>
          <w:szCs w:val="20"/>
          <w:color w:val="auto"/>
        </w:rPr>
        <w:tab/>
      </w:r>
      <w:r>
        <w:rPr>
          <w:rFonts w:ascii="Arial" w:cs="Arial" w:eastAsia="Arial" w:hAnsi="Arial"/>
          <w:sz w:val="14"/>
          <w:szCs w:val="14"/>
          <w:b w:val="1"/>
          <w:bCs w:val="1"/>
          <w:color w:val="auto"/>
        </w:rPr>
        <w:t>92.1%</w:t>
      </w:r>
      <w:r>
        <w:rPr>
          <w:sz w:val="20"/>
          <w:szCs w:val="20"/>
          <w:color w:val="auto"/>
        </w:rPr>
        <w:tab/>
      </w:r>
      <w:r>
        <w:rPr>
          <w:rFonts w:ascii="Arial" w:cs="Arial" w:eastAsia="Arial" w:hAnsi="Arial"/>
          <w:sz w:val="14"/>
          <w:szCs w:val="14"/>
          <w:color w:val="auto"/>
        </w:rPr>
        <w:t>2013</w:t>
        <w:tab/>
        <w:t>92.5%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-1905</wp:posOffset>
            </wp:positionV>
            <wp:extent cx="347345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ind w:right="200"/>
        <w:spacing w:after="0" w:line="245" w:lineRule="auto"/>
        <w:rPr>
          <w:sz w:val="20"/>
          <w:szCs w:val="20"/>
          <w:color w:val="auto"/>
        </w:rPr>
      </w:pPr>
      <w:r>
        <w:rPr>
          <w:rFonts w:ascii="Arial" w:cs="Arial" w:eastAsia="Arial" w:hAnsi="Arial"/>
          <w:sz w:val="14"/>
          <w:szCs w:val="14"/>
          <w:color w:val="auto"/>
        </w:rPr>
        <w:t>Refinery and chemical plant availability is the weighted average of the actual uptime of plants as a percentage of their maximum possible uptime. The weighting is based on the capital employed adjusted for cash and non-current liabilities. It excludes downtime due to uncontrollable factors, such as hurricanes. This indicator is a measure of the operational excellence of Shell’s Downstream manufacturing facilities.</w:t>
      </w: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Total recordable case frequency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-113030</wp:posOffset>
            </wp:positionV>
            <wp:extent cx="347345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(injuries per million working hours)</w:t>
      </w:r>
    </w:p>
    <w:p>
      <w:pPr>
        <w:spacing w:after="0" w:line="8" w:lineRule="exact"/>
        <w:rPr>
          <w:sz w:val="20"/>
          <w:szCs w:val="20"/>
          <w:color w:val="auto"/>
        </w:rPr>
      </w:pPr>
    </w:p>
    <w:p>
      <w:pPr>
        <w:spacing w:after="0"/>
        <w:tabs>
          <w:tab w:leader="none" w:pos="460" w:val="left"/>
          <w:tab w:leader="none" w:pos="2780" w:val="left"/>
          <w:tab w:leader="none" w:pos="3260" w:val="left"/>
        </w:tabs>
        <w:rPr>
          <w:sz w:val="20"/>
          <w:szCs w:val="20"/>
          <w:color w:val="auto"/>
        </w:rPr>
      </w:pPr>
      <w:r>
        <w:rPr>
          <w:rFonts w:ascii="Arial" w:cs="Arial" w:eastAsia="Arial" w:hAnsi="Arial"/>
          <w:sz w:val="14"/>
          <w:szCs w:val="14"/>
          <w:color w:val="auto"/>
        </w:rPr>
        <w:t>2014</w:t>
      </w:r>
      <w:r>
        <w:rPr>
          <w:sz w:val="20"/>
          <w:szCs w:val="20"/>
          <w:color w:val="auto"/>
        </w:rPr>
        <w:tab/>
      </w:r>
      <w:r>
        <w:rPr>
          <w:rFonts w:ascii="Arial" w:cs="Arial" w:eastAsia="Arial" w:hAnsi="Arial"/>
          <w:sz w:val="14"/>
          <w:szCs w:val="14"/>
          <w:b w:val="1"/>
          <w:bCs w:val="1"/>
          <w:color w:val="auto"/>
        </w:rPr>
        <w:t>0.99</w:t>
      </w:r>
      <w:r>
        <w:rPr>
          <w:sz w:val="20"/>
          <w:szCs w:val="20"/>
          <w:color w:val="auto"/>
        </w:rPr>
        <w:tab/>
      </w:r>
      <w:r>
        <w:rPr>
          <w:rFonts w:ascii="Arial" w:cs="Arial" w:eastAsia="Arial" w:hAnsi="Arial"/>
          <w:sz w:val="14"/>
          <w:szCs w:val="14"/>
          <w:color w:val="auto"/>
        </w:rPr>
        <w:t>2013</w:t>
        <w:tab/>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-1905</wp:posOffset>
            </wp:positionV>
            <wp:extent cx="347345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ind w:right="240"/>
        <w:spacing w:after="0" w:line="250" w:lineRule="auto"/>
        <w:rPr>
          <w:sz w:val="20"/>
          <w:szCs w:val="20"/>
          <w:color w:val="auto"/>
        </w:rPr>
      </w:pPr>
      <w:r>
        <w:rPr>
          <w:rFonts w:ascii="Arial" w:cs="Arial" w:eastAsia="Arial" w:hAnsi="Arial"/>
          <w:sz w:val="14"/>
          <w:szCs w:val="14"/>
          <w:color w:val="auto"/>
        </w:rPr>
        <w:t>Total recordable case frequency (TRCF) is the number of staff or contractor injuries requiring medical treatment or time off for every million hours worked. It is a standard measure of occupational safety.</w:t>
      </w:r>
    </w:p>
    <w:p>
      <w:pPr>
        <w:spacing w:after="0" w:line="805" w:lineRule="exact"/>
        <w:rPr>
          <w:sz w:val="20"/>
          <w:szCs w:val="20"/>
          <w:color w:val="auto"/>
        </w:rPr>
      </w:pPr>
    </w:p>
    <w:p>
      <w:pPr>
        <w:sectPr>
          <w:pgSz w:w="11900" w:h="16838" w:orient="portrait"/>
          <w:cols w:equalWidth="0" w:num="2">
            <w:col w:w="5460" w:space="320"/>
            <w:col w:w="5640"/>
          </w:cols>
          <w:pgMar w:left="240" w:top="459" w:right="239" w:bottom="1440" w:gutter="0" w:footer="0" w:header="0"/>
          <w:type w:val="continuous"/>
        </w:sectPr>
      </w:pPr>
    </w:p>
    <w:p>
      <w:pPr>
        <w:spacing w:after="0" w:line="27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Production available for sale (thousand boe/d)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-113030</wp:posOffset>
            </wp:positionV>
            <wp:extent cx="347345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spacing w:after="0" w:line="8" w:lineRule="exact"/>
        <w:rPr>
          <w:sz w:val="20"/>
          <w:szCs w:val="20"/>
          <w:color w:val="auto"/>
        </w:rPr>
      </w:pPr>
    </w:p>
    <w:p>
      <w:pPr>
        <w:spacing w:after="0"/>
        <w:tabs>
          <w:tab w:leader="none" w:pos="460" w:val="left"/>
          <w:tab w:leader="none" w:pos="2780" w:val="left"/>
          <w:tab w:leader="none" w:pos="3260" w:val="left"/>
        </w:tabs>
        <w:rPr>
          <w:sz w:val="20"/>
          <w:szCs w:val="20"/>
          <w:color w:val="auto"/>
        </w:rPr>
      </w:pPr>
      <w:r>
        <w:rPr>
          <w:rFonts w:ascii="Arial" w:cs="Arial" w:eastAsia="Arial" w:hAnsi="Arial"/>
          <w:sz w:val="14"/>
          <w:szCs w:val="14"/>
          <w:color w:val="auto"/>
        </w:rPr>
        <w:t>2014</w:t>
      </w:r>
      <w:r>
        <w:rPr>
          <w:sz w:val="20"/>
          <w:szCs w:val="20"/>
          <w:color w:val="auto"/>
        </w:rPr>
        <w:tab/>
      </w:r>
      <w:r>
        <w:rPr>
          <w:rFonts w:ascii="Arial" w:cs="Arial" w:eastAsia="Arial" w:hAnsi="Arial"/>
          <w:sz w:val="14"/>
          <w:szCs w:val="14"/>
          <w:b w:val="1"/>
          <w:bCs w:val="1"/>
          <w:color w:val="auto"/>
        </w:rPr>
        <w:t>3,080</w:t>
      </w:r>
      <w:r>
        <w:rPr>
          <w:sz w:val="20"/>
          <w:szCs w:val="20"/>
          <w:color w:val="auto"/>
        </w:rPr>
        <w:tab/>
      </w:r>
      <w:r>
        <w:rPr>
          <w:rFonts w:ascii="Arial" w:cs="Arial" w:eastAsia="Arial" w:hAnsi="Arial"/>
          <w:sz w:val="14"/>
          <w:szCs w:val="14"/>
          <w:color w:val="auto"/>
        </w:rPr>
        <w:t>2013</w:t>
        <w:tab/>
        <w:t>3,199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347345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spacing w:after="0"/>
        <w:rPr>
          <w:sz w:val="20"/>
          <w:szCs w:val="20"/>
          <w:color w:val="auto"/>
        </w:rPr>
      </w:pPr>
      <w:r>
        <w:rPr>
          <w:rFonts w:ascii="Arial" w:cs="Arial" w:eastAsia="Arial" w:hAnsi="Arial"/>
          <w:sz w:val="14"/>
          <w:szCs w:val="14"/>
          <w:color w:val="auto"/>
        </w:rPr>
        <w:t>Production is the sum of all average daily volumes of unrefined oil and natural gas</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produced for sale by Shell subsidiaries and Shell’s share of those produced for sale</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by joint ventures and associates. The unrefined oil comprises crude oil, natural gas</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liquids, synthetic crude oil and bitumen. The gas volume is converted to equivalent</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barrels of oil to make the summation possible. Changes in production have a</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significant impact on Shell’s cash flow.</w:t>
      </w:r>
    </w:p>
    <w:p>
      <w:pPr>
        <w:sectPr>
          <w:pgSz w:w="11900" w:h="16838" w:orient="portrait"/>
          <w:cols w:equalWidth="0" w:num="1">
            <w:col w:w="11420"/>
          </w:cols>
          <w:pgMar w:left="240" w:top="459" w:right="239" w:bottom="1440" w:gutter="0" w:footer="0" w:header="0"/>
          <w:type w:val="continuous"/>
        </w:sectPr>
      </w:pPr>
    </w:p>
    <w:bookmarkStart w:id="22" w:name="page23"/>
    <w:bookmarkEnd w:id="22"/>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3555365</wp:posOffset>
            </wp:positionH>
            <wp:positionV relativeFrom="paragraph">
              <wp:posOffset>314960</wp:posOffset>
            </wp:positionV>
            <wp:extent cx="3696335" cy="46291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3696335" cy="462915"/>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1"/>
          <w:szCs w:val="11"/>
          <w:color w:val="auto"/>
        </w:rPr>
        <w:t>SHELL ANNUAL REPORT AND FORM 20-F 2014</w:t>
      </w:r>
    </w:p>
    <w:p>
      <w:pPr>
        <w:spacing w:after="0"/>
        <w:rPr>
          <w:sz w:val="20"/>
          <w:szCs w:val="20"/>
          <w:color w:val="auto"/>
        </w:rPr>
      </w:pPr>
      <w:r>
        <w:rPr>
          <w:rFonts w:ascii="Arial" w:cs="Arial" w:eastAsia="Arial" w:hAnsi="Arial"/>
          <w:sz w:val="18"/>
          <w:szCs w:val="18"/>
          <w:color w:val="auto"/>
        </w:rPr>
        <w:t>ADDITIONAL PERFORMANCE INDICATORS</w:t>
      </w:r>
    </w:p>
    <w:p>
      <w:pPr>
        <w:spacing w:after="0" w:line="343" w:lineRule="exact"/>
        <w:rPr>
          <w:sz w:val="20"/>
          <w:szCs w:val="20"/>
          <w:color w:val="auto"/>
        </w:rPr>
      </w:pPr>
    </w:p>
    <w:p>
      <w:pPr>
        <w:ind w:right="940"/>
        <w:spacing w:after="0" w:line="261" w:lineRule="auto"/>
        <w:rPr>
          <w:sz w:val="20"/>
          <w:szCs w:val="20"/>
          <w:color w:val="auto"/>
        </w:rPr>
      </w:pPr>
      <w:r>
        <w:rPr>
          <w:rFonts w:ascii="Arial" w:cs="Arial" w:eastAsia="Arial" w:hAnsi="Arial"/>
          <w:sz w:val="16"/>
          <w:szCs w:val="16"/>
          <w:b w:val="1"/>
          <w:bCs w:val="1"/>
          <w:color w:val="auto"/>
        </w:rPr>
        <w:t>Earnings on a current cost of supplies basis attributable to Royal Dutch Shell plc shareholders ($ million)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-250825</wp:posOffset>
            </wp:positionV>
            <wp:extent cx="347345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spacing w:after="0"/>
        <w:tabs>
          <w:tab w:leader="none" w:pos="460" w:val="left"/>
          <w:tab w:leader="none" w:pos="2780" w:val="left"/>
          <w:tab w:leader="none" w:pos="3260" w:val="left"/>
        </w:tabs>
        <w:rPr>
          <w:sz w:val="20"/>
          <w:szCs w:val="20"/>
          <w:color w:val="auto"/>
        </w:rPr>
      </w:pPr>
      <w:r>
        <w:rPr>
          <w:rFonts w:ascii="Arial" w:cs="Arial" w:eastAsia="Arial" w:hAnsi="Arial"/>
          <w:sz w:val="14"/>
          <w:szCs w:val="14"/>
          <w:color w:val="auto"/>
        </w:rPr>
        <w:t>2014</w:t>
      </w:r>
      <w:r>
        <w:rPr>
          <w:sz w:val="20"/>
          <w:szCs w:val="20"/>
          <w:color w:val="auto"/>
        </w:rPr>
        <w:tab/>
      </w:r>
      <w:r>
        <w:rPr>
          <w:rFonts w:ascii="Arial" w:cs="Arial" w:eastAsia="Arial" w:hAnsi="Arial"/>
          <w:sz w:val="14"/>
          <w:szCs w:val="14"/>
          <w:b w:val="1"/>
          <w:bCs w:val="1"/>
          <w:color w:val="auto"/>
        </w:rPr>
        <w:t>19,041</w:t>
      </w:r>
      <w:r>
        <w:rPr>
          <w:sz w:val="20"/>
          <w:szCs w:val="20"/>
          <w:color w:val="auto"/>
        </w:rPr>
        <w:tab/>
      </w:r>
      <w:r>
        <w:rPr>
          <w:rFonts w:ascii="Arial" w:cs="Arial" w:eastAsia="Arial" w:hAnsi="Arial"/>
          <w:sz w:val="14"/>
          <w:szCs w:val="14"/>
          <w:color w:val="auto"/>
        </w:rPr>
        <w:t>2013</w:t>
        <w:tab/>
        <w:t>16,745</w:t>
      </w:r>
    </w:p>
    <w:p>
      <w:pPr>
        <w:spacing w:after="0" w:line="10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Earnings per share on a current cost of supplies basis ($)</w:t>
      </w:r>
    </w:p>
    <w:p>
      <w:pPr>
        <w:spacing w:after="0" w:line="28" w:lineRule="exact"/>
        <w:rPr>
          <w:sz w:val="20"/>
          <w:szCs w:val="20"/>
          <w:color w:val="auto"/>
        </w:rPr>
      </w:pPr>
    </w:p>
    <w:p>
      <w:pPr>
        <w:spacing w:after="0"/>
        <w:tabs>
          <w:tab w:leader="none" w:pos="460" w:val="left"/>
          <w:tab w:leader="none" w:pos="2780" w:val="left"/>
          <w:tab w:leader="none" w:pos="3260" w:val="left"/>
        </w:tabs>
        <w:rPr>
          <w:sz w:val="20"/>
          <w:szCs w:val="20"/>
          <w:color w:val="auto"/>
        </w:rPr>
      </w:pPr>
      <w:r>
        <w:rPr>
          <w:rFonts w:ascii="Arial" w:cs="Arial" w:eastAsia="Arial" w:hAnsi="Arial"/>
          <w:sz w:val="14"/>
          <w:szCs w:val="14"/>
          <w:color w:val="auto"/>
        </w:rPr>
        <w:t>2014</w:t>
      </w:r>
      <w:r>
        <w:rPr>
          <w:sz w:val="20"/>
          <w:szCs w:val="20"/>
          <w:color w:val="auto"/>
        </w:rPr>
        <w:tab/>
      </w:r>
      <w:r>
        <w:rPr>
          <w:rFonts w:ascii="Arial" w:cs="Arial" w:eastAsia="Arial" w:hAnsi="Arial"/>
          <w:sz w:val="14"/>
          <w:szCs w:val="14"/>
          <w:b w:val="1"/>
          <w:bCs w:val="1"/>
          <w:color w:val="auto"/>
        </w:rPr>
        <w:t>3.02</w:t>
      </w:r>
      <w:r>
        <w:rPr>
          <w:sz w:val="20"/>
          <w:szCs w:val="20"/>
          <w:color w:val="auto"/>
        </w:rPr>
        <w:tab/>
      </w:r>
      <w:r>
        <w:rPr>
          <w:rFonts w:ascii="Arial" w:cs="Arial" w:eastAsia="Arial" w:hAnsi="Arial"/>
          <w:sz w:val="14"/>
          <w:szCs w:val="14"/>
          <w:color w:val="auto"/>
        </w:rPr>
        <w:t>2013</w:t>
        <w:tab/>
        <w:t>2.66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347345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ind w:right="20"/>
        <w:spacing w:after="0" w:line="244" w:lineRule="auto"/>
        <w:rPr>
          <w:sz w:val="20"/>
          <w:szCs w:val="20"/>
          <w:color w:val="auto"/>
        </w:rPr>
      </w:pPr>
      <w:r>
        <w:rPr>
          <w:rFonts w:ascii="Arial" w:cs="Arial" w:eastAsia="Arial" w:hAnsi="Arial"/>
          <w:sz w:val="14"/>
          <w:szCs w:val="14"/>
          <w:color w:val="auto"/>
        </w:rPr>
        <w:t>Earnings on a current cost of supplies basis (CCS earnings) attributable to Royal Dutch Shell plc shareholders is the income for the period, adjusted for the after-tax effect of oil-price changes on inventory and non-controlling interest. CCS earnings per share is calculated by dividing CCS earnings attributable to shareholders by the average number of shares outstanding. See “Summary of results” and Note 2 to the “Consolidated Financial Statements”.</w:t>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Net capital investment ($ million)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-113030</wp:posOffset>
            </wp:positionV>
            <wp:extent cx="347345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spacing w:after="0" w:line="8" w:lineRule="exact"/>
        <w:rPr>
          <w:sz w:val="20"/>
          <w:szCs w:val="20"/>
          <w:color w:val="auto"/>
        </w:rPr>
      </w:pPr>
    </w:p>
    <w:p>
      <w:pPr>
        <w:spacing w:after="0"/>
        <w:tabs>
          <w:tab w:leader="none" w:pos="460" w:val="left"/>
          <w:tab w:leader="none" w:pos="2780" w:val="left"/>
          <w:tab w:leader="none" w:pos="3260" w:val="left"/>
        </w:tabs>
        <w:rPr>
          <w:sz w:val="20"/>
          <w:szCs w:val="20"/>
          <w:color w:val="auto"/>
        </w:rPr>
      </w:pPr>
      <w:r>
        <w:rPr>
          <w:rFonts w:ascii="Arial" w:cs="Arial" w:eastAsia="Arial" w:hAnsi="Arial"/>
          <w:sz w:val="14"/>
          <w:szCs w:val="14"/>
          <w:color w:val="auto"/>
        </w:rPr>
        <w:t>2014</w:t>
      </w:r>
      <w:r>
        <w:rPr>
          <w:sz w:val="20"/>
          <w:szCs w:val="20"/>
          <w:color w:val="auto"/>
        </w:rPr>
        <w:tab/>
      </w:r>
      <w:r>
        <w:rPr>
          <w:rFonts w:ascii="Arial" w:cs="Arial" w:eastAsia="Arial" w:hAnsi="Arial"/>
          <w:sz w:val="14"/>
          <w:szCs w:val="14"/>
          <w:b w:val="1"/>
          <w:bCs w:val="1"/>
          <w:color w:val="auto"/>
        </w:rPr>
        <w:t>23,899</w:t>
      </w:r>
      <w:r>
        <w:rPr>
          <w:sz w:val="20"/>
          <w:szCs w:val="20"/>
          <w:color w:val="auto"/>
        </w:rPr>
        <w:tab/>
      </w:r>
      <w:r>
        <w:rPr>
          <w:rFonts w:ascii="Arial" w:cs="Arial" w:eastAsia="Arial" w:hAnsi="Arial"/>
          <w:sz w:val="14"/>
          <w:szCs w:val="14"/>
          <w:color w:val="auto"/>
        </w:rPr>
        <w:t>2013</w:t>
        <w:tab/>
        <w:t>44,303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347345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ind w:right="80"/>
        <w:spacing w:after="0" w:line="245" w:lineRule="auto"/>
        <w:rPr>
          <w:sz w:val="20"/>
          <w:szCs w:val="20"/>
          <w:color w:val="auto"/>
        </w:rPr>
      </w:pPr>
      <w:r>
        <w:rPr>
          <w:rFonts w:ascii="Arial" w:cs="Arial" w:eastAsia="Arial" w:hAnsi="Arial"/>
          <w:sz w:val="14"/>
          <w:szCs w:val="14"/>
          <w:color w:val="auto"/>
        </w:rPr>
        <w:t>Net capital investment is a measure used to make decisions about allocating resources and assessing performance. It is defined as net cash used in investing activities as reported in the “Consolidated Statement of Cash Flows” plus exploration expense, excluding exploration wells written off, new finance leases and other adjustments. See “Non-GAAP measures reconciliations”.</w:t>
      </w: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Return on average capital employed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-113030</wp:posOffset>
            </wp:positionV>
            <wp:extent cx="347345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spacing w:after="0" w:line="8" w:lineRule="exact"/>
        <w:rPr>
          <w:sz w:val="20"/>
          <w:szCs w:val="20"/>
          <w:color w:val="auto"/>
        </w:rPr>
      </w:pPr>
    </w:p>
    <w:p>
      <w:pPr>
        <w:spacing w:after="0"/>
        <w:tabs>
          <w:tab w:leader="none" w:pos="460" w:val="left"/>
          <w:tab w:leader="none" w:pos="2780" w:val="left"/>
          <w:tab w:leader="none" w:pos="3260" w:val="left"/>
        </w:tabs>
        <w:rPr>
          <w:sz w:val="20"/>
          <w:szCs w:val="20"/>
          <w:color w:val="auto"/>
        </w:rPr>
      </w:pPr>
      <w:r>
        <w:rPr>
          <w:rFonts w:ascii="Arial" w:cs="Arial" w:eastAsia="Arial" w:hAnsi="Arial"/>
          <w:sz w:val="14"/>
          <w:szCs w:val="14"/>
          <w:color w:val="auto"/>
        </w:rPr>
        <w:t>2014</w:t>
      </w:r>
      <w:r>
        <w:rPr>
          <w:sz w:val="20"/>
          <w:szCs w:val="20"/>
          <w:color w:val="auto"/>
        </w:rPr>
        <w:tab/>
      </w:r>
      <w:r>
        <w:rPr>
          <w:rFonts w:ascii="Arial" w:cs="Arial" w:eastAsia="Arial" w:hAnsi="Arial"/>
          <w:sz w:val="14"/>
          <w:szCs w:val="14"/>
          <w:b w:val="1"/>
          <w:bCs w:val="1"/>
          <w:color w:val="auto"/>
        </w:rPr>
        <w:t>7.1%</w:t>
      </w:r>
      <w:r>
        <w:rPr>
          <w:sz w:val="20"/>
          <w:szCs w:val="20"/>
          <w:color w:val="auto"/>
        </w:rPr>
        <w:tab/>
      </w:r>
      <w:r>
        <w:rPr>
          <w:rFonts w:ascii="Arial" w:cs="Arial" w:eastAsia="Arial" w:hAnsi="Arial"/>
          <w:sz w:val="14"/>
          <w:szCs w:val="14"/>
          <w:color w:val="auto"/>
        </w:rPr>
        <w:t>2013</w:t>
        <w:tab/>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347345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spacing w:after="0" w:line="244" w:lineRule="auto"/>
        <w:rPr>
          <w:sz w:val="20"/>
          <w:szCs w:val="20"/>
          <w:color w:val="auto"/>
        </w:rPr>
      </w:pPr>
      <w:r>
        <w:rPr>
          <w:rFonts w:ascii="Arial" w:cs="Arial" w:eastAsia="Arial" w:hAnsi="Arial"/>
          <w:sz w:val="14"/>
          <w:szCs w:val="14"/>
          <w:color w:val="auto"/>
        </w:rPr>
        <w:t>Return on average capital employed (ROACE) is defined as annual income, adjusted for after-tax interest expense, as a percentage of average capital employed during the year. Capital employed is the sum of total equity and total debt. ROACE measures the efficiency of Shell’s utilisation of the capital that it employs and is a common measure of business performance. See “Liquidity and capital resources – Return on average capital employed”.</w:t>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Gearing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-113030</wp:posOffset>
            </wp:positionV>
            <wp:extent cx="347345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spacing w:after="0" w:line="8" w:lineRule="exact"/>
        <w:rPr>
          <w:sz w:val="20"/>
          <w:szCs w:val="20"/>
          <w:color w:val="auto"/>
        </w:rPr>
      </w:pPr>
    </w:p>
    <w:p>
      <w:pPr>
        <w:spacing w:after="0"/>
        <w:tabs>
          <w:tab w:leader="none" w:pos="460" w:val="left"/>
          <w:tab w:leader="none" w:pos="2780" w:val="left"/>
          <w:tab w:leader="none" w:pos="3260" w:val="left"/>
        </w:tabs>
        <w:rPr>
          <w:sz w:val="20"/>
          <w:szCs w:val="20"/>
          <w:color w:val="auto"/>
        </w:rPr>
      </w:pPr>
      <w:r>
        <w:rPr>
          <w:rFonts w:ascii="Arial" w:cs="Arial" w:eastAsia="Arial" w:hAnsi="Arial"/>
          <w:sz w:val="14"/>
          <w:szCs w:val="14"/>
          <w:color w:val="auto"/>
        </w:rPr>
        <w:t>2014</w:t>
      </w:r>
      <w:r>
        <w:rPr>
          <w:sz w:val="20"/>
          <w:szCs w:val="20"/>
          <w:color w:val="auto"/>
        </w:rPr>
        <w:tab/>
      </w:r>
      <w:r>
        <w:rPr>
          <w:rFonts w:ascii="Arial" w:cs="Arial" w:eastAsia="Arial" w:hAnsi="Arial"/>
          <w:sz w:val="14"/>
          <w:szCs w:val="14"/>
          <w:b w:val="1"/>
          <w:bCs w:val="1"/>
          <w:color w:val="auto"/>
        </w:rPr>
        <w:t>12.2%</w:t>
      </w:r>
      <w:r>
        <w:rPr>
          <w:sz w:val="20"/>
          <w:szCs w:val="20"/>
          <w:color w:val="auto"/>
        </w:rPr>
        <w:tab/>
      </w:r>
      <w:r>
        <w:rPr>
          <w:rFonts w:ascii="Arial" w:cs="Arial" w:eastAsia="Arial" w:hAnsi="Arial"/>
          <w:sz w:val="14"/>
          <w:szCs w:val="14"/>
          <w:color w:val="auto"/>
        </w:rPr>
        <w:t>2013</w:t>
        <w:tab/>
        <w:t>16.1%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347345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spacing w:after="0" w:line="247" w:lineRule="auto"/>
        <w:rPr>
          <w:sz w:val="20"/>
          <w:szCs w:val="20"/>
          <w:color w:val="auto"/>
        </w:rPr>
      </w:pPr>
      <w:r>
        <w:rPr>
          <w:rFonts w:ascii="Arial" w:cs="Arial" w:eastAsia="Arial" w:hAnsi="Arial"/>
          <w:sz w:val="14"/>
          <w:szCs w:val="14"/>
          <w:color w:val="auto"/>
        </w:rPr>
        <w:t>Gearing is defined as net debt (total debt less cash and cash equivalents) as a percentage of total capital (net debt plus total equity), at December 31. It is a measure of the degree to which Shell’s operations are financed by debt. See Note 14 to the “Consolidated Financial Statements”.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419"/>
        </w:trPr>
        <w:tc>
          <w:tcPr>
            <w:tcW w:w="3780" w:type="dxa"/>
            <w:vAlign w:val="bottom"/>
            <w:shd w:val="clear" w:color="auto" w:fill="FF8B00"/>
          </w:tcPr>
          <w:p>
            <w:pPr>
              <w:spacing w:after="0"/>
              <w:rPr>
                <w:sz w:val="24"/>
                <w:szCs w:val="24"/>
                <w:color w:val="auto"/>
              </w:rPr>
            </w:pPr>
          </w:p>
        </w:tc>
        <w:tc>
          <w:tcPr>
            <w:tcW w:w="2040" w:type="dxa"/>
            <w:vAlign w:val="bottom"/>
            <w:shd w:val="clear" w:color="auto" w:fill="FF8B00"/>
          </w:tcPr>
          <w:p>
            <w:pPr>
              <w:spacing w:after="0"/>
              <w:rPr>
                <w:sz w:val="24"/>
                <w:szCs w:val="24"/>
                <w:color w:val="auto"/>
              </w:rPr>
            </w:pPr>
          </w:p>
        </w:tc>
      </w:tr>
      <w:tr>
        <w:trPr>
          <w:trHeight w:val="152"/>
        </w:trPr>
        <w:tc>
          <w:tcPr>
            <w:tcW w:w="3780" w:type="dxa"/>
            <w:vAlign w:val="bottom"/>
          </w:tcPr>
          <w:p>
            <w:pPr>
              <w:ind w:left="940"/>
              <w:spacing w:after="0"/>
              <w:rPr>
                <w:sz w:val="20"/>
                <w:szCs w:val="20"/>
                <w:color w:val="auto"/>
              </w:rPr>
            </w:pPr>
            <w:r>
              <w:rPr>
                <w:rFonts w:ascii="Arial" w:cs="Arial" w:eastAsia="Arial" w:hAnsi="Arial"/>
                <w:sz w:val="13"/>
                <w:szCs w:val="13"/>
                <w:color w:val="333333"/>
              </w:rPr>
              <w:t>STRATEGIC REPORT</w:t>
            </w:r>
          </w:p>
        </w:tc>
        <w:tc>
          <w:tcPr>
            <w:tcW w:w="2040" w:type="dxa"/>
            <w:vAlign w:val="bottom"/>
          </w:tcPr>
          <w:p>
            <w:pPr>
              <w:jc w:val="right"/>
              <w:ind w:right="306"/>
              <w:spacing w:after="0"/>
              <w:rPr>
                <w:sz w:val="20"/>
                <w:szCs w:val="20"/>
                <w:color w:val="auto"/>
              </w:rPr>
            </w:pPr>
            <w:r>
              <w:rPr>
                <w:rFonts w:ascii="Arial" w:cs="Arial" w:eastAsia="Arial" w:hAnsi="Arial"/>
                <w:sz w:val="11"/>
                <w:szCs w:val="11"/>
                <w:b w:val="1"/>
                <w:bCs w:val="1"/>
                <w:color w:val="333333"/>
              </w:rPr>
              <w:t>21</w:t>
            </w:r>
          </w:p>
        </w:tc>
      </w:tr>
    </w:tbl>
    <w:p>
      <w:pPr>
        <w:spacing w:after="0" w:line="155" w:lineRule="exact"/>
        <w:rPr>
          <w:sz w:val="20"/>
          <w:szCs w:val="20"/>
          <w:color w:val="auto"/>
        </w:rPr>
      </w:pPr>
    </w:p>
    <w:p>
      <w:pPr>
        <w:ind w:left="940"/>
        <w:spacing w:after="0"/>
        <w:rPr>
          <w:sz w:val="20"/>
          <w:szCs w:val="20"/>
          <w:color w:val="auto"/>
        </w:rPr>
      </w:pPr>
      <w:r>
        <w:rPr>
          <w:rFonts w:ascii="Arial" w:cs="Arial" w:eastAsia="Arial" w:hAnsi="Arial"/>
          <w:sz w:val="11"/>
          <w:szCs w:val="11"/>
          <w:color w:val="auto"/>
        </w:rPr>
        <w:t>PERFORMANCE INDICATORS</w:t>
      </w:r>
    </w:p>
    <w:p>
      <w:pPr>
        <w:spacing w:after="0" w:line="200" w:lineRule="exact"/>
        <w:rPr>
          <w:sz w:val="20"/>
          <w:szCs w:val="20"/>
          <w:color w:val="auto"/>
        </w:rPr>
      </w:pPr>
    </w:p>
    <w:p>
      <w:pPr>
        <w:spacing w:after="0" w:line="347" w:lineRule="exact"/>
        <w:rPr>
          <w:sz w:val="20"/>
          <w:szCs w:val="20"/>
          <w:color w:val="auto"/>
        </w:rPr>
      </w:pPr>
    </w:p>
    <w:p>
      <w:pPr>
        <w:ind w:left="180" w:right="660"/>
        <w:spacing w:after="0" w:line="261" w:lineRule="auto"/>
        <w:rPr>
          <w:sz w:val="20"/>
          <w:szCs w:val="20"/>
          <w:color w:val="auto"/>
        </w:rPr>
      </w:pPr>
      <w:r>
        <w:rPr>
          <w:rFonts w:ascii="Arial" w:cs="Arial" w:eastAsia="Arial" w:hAnsi="Arial"/>
          <w:sz w:val="16"/>
          <w:szCs w:val="16"/>
          <w:b w:val="1"/>
          <w:bCs w:val="1"/>
          <w:color w:val="auto"/>
        </w:rPr>
        <w:t>Proved oil and gas reserves attributable to Royal Dutch Shell plc shareholders (million boe)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111125</wp:posOffset>
            </wp:positionH>
            <wp:positionV relativeFrom="paragraph">
              <wp:posOffset>-250825</wp:posOffset>
            </wp:positionV>
            <wp:extent cx="347345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ind w:left="180"/>
        <w:spacing w:after="0"/>
        <w:tabs>
          <w:tab w:leader="none" w:pos="640" w:val="left"/>
          <w:tab w:leader="none" w:pos="2960" w:val="left"/>
          <w:tab w:leader="none" w:pos="3440" w:val="left"/>
        </w:tabs>
        <w:rPr>
          <w:sz w:val="20"/>
          <w:szCs w:val="20"/>
          <w:color w:val="auto"/>
        </w:rPr>
      </w:pPr>
      <w:r>
        <w:rPr>
          <w:rFonts w:ascii="Arial" w:cs="Arial" w:eastAsia="Arial" w:hAnsi="Arial"/>
          <w:sz w:val="14"/>
          <w:szCs w:val="14"/>
          <w:color w:val="auto"/>
        </w:rPr>
        <w:t>2014</w:t>
      </w:r>
      <w:r>
        <w:rPr>
          <w:sz w:val="20"/>
          <w:szCs w:val="20"/>
          <w:color w:val="auto"/>
        </w:rPr>
        <w:tab/>
      </w:r>
      <w:r>
        <w:rPr>
          <w:rFonts w:ascii="Arial" w:cs="Arial" w:eastAsia="Arial" w:hAnsi="Arial"/>
          <w:sz w:val="14"/>
          <w:szCs w:val="14"/>
          <w:b w:val="1"/>
          <w:bCs w:val="1"/>
          <w:color w:val="auto"/>
        </w:rPr>
        <w:t>13,070</w:t>
      </w:r>
      <w:r>
        <w:rPr>
          <w:sz w:val="20"/>
          <w:szCs w:val="20"/>
          <w:color w:val="auto"/>
        </w:rPr>
        <w:tab/>
      </w:r>
      <w:r>
        <w:rPr>
          <w:rFonts w:ascii="Arial" w:cs="Arial" w:eastAsia="Arial" w:hAnsi="Arial"/>
          <w:sz w:val="14"/>
          <w:szCs w:val="14"/>
          <w:color w:val="auto"/>
        </w:rPr>
        <w:t>2013</w:t>
        <w:tab/>
        <w:t>13,932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111125</wp:posOffset>
            </wp:positionH>
            <wp:positionV relativeFrom="paragraph">
              <wp:posOffset>-1905</wp:posOffset>
            </wp:positionV>
            <wp:extent cx="347345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ind w:left="180" w:right="180"/>
        <w:spacing w:after="0" w:line="243" w:lineRule="auto"/>
        <w:rPr>
          <w:sz w:val="20"/>
          <w:szCs w:val="20"/>
          <w:color w:val="auto"/>
        </w:rPr>
      </w:pPr>
      <w:r>
        <w:rPr>
          <w:rFonts w:ascii="Arial" w:cs="Arial" w:eastAsia="Arial" w:hAnsi="Arial"/>
          <w:sz w:val="14"/>
          <w:szCs w:val="14"/>
          <w:color w:val="auto"/>
        </w:rPr>
        <w:t>Proved oil and gas reserves attributable to Royal Dutch Shell plc shareholders are the total estimated quantities of oil and gas from Shell subsidiaries (excluding reserves attributable to non-controlling interest) and Shell’s share from joint ventures and associates that geoscience and engineering data demonstrate, with reasonable certainty, to be recoverable in future years from known reservoirs, as at December 31, under existing economic conditions, operating methods and government regulations. Gas volumes are converted to barrels of oil equivalent (boe) using a factor of 5,800 standard cubic feet per barrel. Reserves are crucial to an oil and gas company, since they constitute the source of future production. Reserves estimates are subject to change based on a wide variety of factors, some of which are unpredictable. See “Risk factors”.</w:t>
      </w:r>
    </w:p>
    <w:p>
      <w:pPr>
        <w:spacing w:after="0" w:line="200" w:lineRule="exact"/>
        <w:rPr>
          <w:sz w:val="20"/>
          <w:szCs w:val="20"/>
          <w:color w:val="auto"/>
        </w:rPr>
      </w:pPr>
    </w:p>
    <w:p>
      <w:pPr>
        <w:spacing w:after="0" w:line="280" w:lineRule="exact"/>
        <w:rPr>
          <w:sz w:val="20"/>
          <w:szCs w:val="20"/>
          <w:color w:val="auto"/>
        </w:rPr>
      </w:pPr>
    </w:p>
    <w:p>
      <w:pPr>
        <w:ind w:left="180"/>
        <w:spacing w:after="0"/>
        <w:rPr>
          <w:sz w:val="20"/>
          <w:szCs w:val="20"/>
          <w:color w:val="auto"/>
        </w:rPr>
      </w:pPr>
      <w:r>
        <w:rPr>
          <w:rFonts w:ascii="Arial" w:cs="Arial" w:eastAsia="Arial" w:hAnsi="Arial"/>
          <w:sz w:val="16"/>
          <w:szCs w:val="16"/>
          <w:b w:val="1"/>
          <w:bCs w:val="1"/>
          <w:color w:val="auto"/>
        </w:rPr>
        <w:t>Operational spills of more than 100 kilograms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111125</wp:posOffset>
            </wp:positionH>
            <wp:positionV relativeFrom="paragraph">
              <wp:posOffset>-113030</wp:posOffset>
            </wp:positionV>
            <wp:extent cx="347345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spacing w:after="0" w:line="8" w:lineRule="exact"/>
        <w:rPr>
          <w:sz w:val="20"/>
          <w:szCs w:val="20"/>
          <w:color w:val="auto"/>
        </w:rPr>
      </w:pPr>
    </w:p>
    <w:p>
      <w:pPr>
        <w:ind w:left="180"/>
        <w:spacing w:after="0"/>
        <w:tabs>
          <w:tab w:leader="none" w:pos="640" w:val="left"/>
          <w:tab w:leader="none" w:pos="2960" w:val="left"/>
          <w:tab w:leader="none" w:pos="3440" w:val="left"/>
        </w:tabs>
        <w:rPr>
          <w:sz w:val="20"/>
          <w:szCs w:val="20"/>
          <w:color w:val="auto"/>
        </w:rPr>
      </w:pPr>
      <w:r>
        <w:rPr>
          <w:rFonts w:ascii="Arial" w:cs="Arial" w:eastAsia="Arial" w:hAnsi="Arial"/>
          <w:sz w:val="14"/>
          <w:szCs w:val="14"/>
          <w:color w:val="auto"/>
        </w:rPr>
        <w:t>2014</w:t>
      </w:r>
      <w:r>
        <w:rPr>
          <w:sz w:val="20"/>
          <w:szCs w:val="20"/>
          <w:color w:val="auto"/>
        </w:rPr>
        <w:tab/>
      </w:r>
      <w:r>
        <w:rPr>
          <w:rFonts w:ascii="Arial" w:cs="Arial" w:eastAsia="Arial" w:hAnsi="Arial"/>
          <w:sz w:val="14"/>
          <w:szCs w:val="14"/>
          <w:b w:val="1"/>
          <w:bCs w:val="1"/>
          <w:color w:val="auto"/>
        </w:rPr>
        <w:t>153</w:t>
      </w:r>
      <w:r>
        <w:rPr>
          <w:sz w:val="20"/>
          <w:szCs w:val="20"/>
          <w:color w:val="auto"/>
        </w:rPr>
        <w:tab/>
      </w:r>
      <w:r>
        <w:rPr>
          <w:rFonts w:ascii="Arial" w:cs="Arial" w:eastAsia="Arial" w:hAnsi="Arial"/>
          <w:sz w:val="14"/>
          <w:szCs w:val="14"/>
          <w:color w:val="auto"/>
        </w:rPr>
        <w:t>2013</w:t>
        <w:tab/>
        <w:t>174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111125</wp:posOffset>
            </wp:positionH>
            <wp:positionV relativeFrom="paragraph">
              <wp:posOffset>-1905</wp:posOffset>
            </wp:positionV>
            <wp:extent cx="347345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ind w:left="180" w:right="160"/>
        <w:spacing w:after="0" w:line="250" w:lineRule="auto"/>
        <w:rPr>
          <w:sz w:val="20"/>
          <w:szCs w:val="20"/>
          <w:color w:val="auto"/>
        </w:rPr>
      </w:pPr>
      <w:r>
        <w:rPr>
          <w:rFonts w:ascii="Arial" w:cs="Arial" w:eastAsia="Arial" w:hAnsi="Arial"/>
          <w:sz w:val="14"/>
          <w:szCs w:val="14"/>
          <w:color w:val="auto"/>
        </w:rPr>
        <w:t>The operational spills indicator is the number of incidents in respect of activities where we are the operator in which 100 kilograms or more of oil or oil products were spilled as a result of those activities.</w:t>
      </w:r>
    </w:p>
    <w:p>
      <w:pPr>
        <w:spacing w:after="0" w:line="200" w:lineRule="exact"/>
        <w:rPr>
          <w:sz w:val="20"/>
          <w:szCs w:val="20"/>
          <w:color w:val="auto"/>
        </w:rPr>
      </w:pPr>
    </w:p>
    <w:p>
      <w:pPr>
        <w:spacing w:after="0" w:line="273" w:lineRule="exact"/>
        <w:rPr>
          <w:sz w:val="20"/>
          <w:szCs w:val="20"/>
          <w:color w:val="auto"/>
        </w:rPr>
      </w:pPr>
    </w:p>
    <w:p>
      <w:pPr>
        <w:ind w:left="180"/>
        <w:spacing w:after="0"/>
        <w:rPr>
          <w:sz w:val="20"/>
          <w:szCs w:val="20"/>
          <w:color w:val="auto"/>
        </w:rPr>
      </w:pPr>
      <w:r>
        <w:rPr>
          <w:rFonts w:ascii="Arial" w:cs="Arial" w:eastAsia="Arial" w:hAnsi="Arial"/>
          <w:sz w:val="16"/>
          <w:szCs w:val="16"/>
          <w:b w:val="1"/>
          <w:bCs w:val="1"/>
          <w:color w:val="auto"/>
        </w:rPr>
        <w:t>Employees (thousand)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111125</wp:posOffset>
            </wp:positionH>
            <wp:positionV relativeFrom="paragraph">
              <wp:posOffset>-113030</wp:posOffset>
            </wp:positionV>
            <wp:extent cx="347345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spacing w:after="0" w:line="8" w:lineRule="exact"/>
        <w:rPr>
          <w:sz w:val="20"/>
          <w:szCs w:val="20"/>
          <w:color w:val="auto"/>
        </w:rPr>
      </w:pPr>
    </w:p>
    <w:p>
      <w:pPr>
        <w:ind w:left="180"/>
        <w:spacing w:after="0"/>
        <w:tabs>
          <w:tab w:leader="none" w:pos="640" w:val="left"/>
          <w:tab w:leader="none" w:pos="2960" w:val="left"/>
          <w:tab w:leader="none" w:pos="3440" w:val="left"/>
        </w:tabs>
        <w:rPr>
          <w:sz w:val="20"/>
          <w:szCs w:val="20"/>
          <w:color w:val="auto"/>
        </w:rPr>
      </w:pPr>
      <w:r>
        <w:rPr>
          <w:rFonts w:ascii="Arial" w:cs="Arial" w:eastAsia="Arial" w:hAnsi="Arial"/>
          <w:sz w:val="14"/>
          <w:szCs w:val="14"/>
          <w:color w:val="auto"/>
        </w:rPr>
        <w:t>2014</w:t>
      </w:r>
      <w:r>
        <w:rPr>
          <w:sz w:val="20"/>
          <w:szCs w:val="20"/>
          <w:color w:val="auto"/>
        </w:rPr>
        <w:tab/>
      </w:r>
      <w:r>
        <w:rPr>
          <w:rFonts w:ascii="Arial" w:cs="Arial" w:eastAsia="Arial" w:hAnsi="Arial"/>
          <w:sz w:val="14"/>
          <w:szCs w:val="14"/>
          <w:b w:val="1"/>
          <w:bCs w:val="1"/>
          <w:color w:val="auto"/>
        </w:rPr>
        <w:t>94</w:t>
      </w:r>
      <w:r>
        <w:rPr>
          <w:sz w:val="20"/>
          <w:szCs w:val="20"/>
          <w:color w:val="auto"/>
        </w:rPr>
        <w:tab/>
      </w:r>
      <w:r>
        <w:rPr>
          <w:rFonts w:ascii="Arial" w:cs="Arial" w:eastAsia="Arial" w:hAnsi="Arial"/>
          <w:sz w:val="14"/>
          <w:szCs w:val="14"/>
          <w:color w:val="auto"/>
        </w:rPr>
        <w:t>2013</w:t>
        <w:tab/>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111125</wp:posOffset>
            </wp:positionH>
            <wp:positionV relativeFrom="paragraph">
              <wp:posOffset>-1905</wp:posOffset>
            </wp:positionV>
            <wp:extent cx="347345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jc w:val="both"/>
        <w:ind w:left="180" w:right="180"/>
        <w:spacing w:after="0" w:line="250" w:lineRule="auto"/>
        <w:rPr>
          <w:sz w:val="20"/>
          <w:szCs w:val="20"/>
          <w:color w:val="auto"/>
        </w:rPr>
      </w:pPr>
      <w:r>
        <w:rPr>
          <w:rFonts w:ascii="Arial" w:cs="Arial" w:eastAsia="Arial" w:hAnsi="Arial"/>
          <w:sz w:val="14"/>
          <w:szCs w:val="14"/>
          <w:color w:val="auto"/>
        </w:rPr>
        <w:t>The employees indicator consists of the annual average full-time employee equivalent of the total number of people on full-time or part-time employment contracts with Shell subsidiaries including our share of employees of certain additional joint operations.</w:t>
      </w:r>
    </w:p>
    <w:p>
      <w:pPr>
        <w:sectPr>
          <w:pgSz w:w="11900" w:h="16838" w:orient="portrait"/>
          <w:cols w:equalWidth="0" w:num="2">
            <w:col w:w="5480" w:space="120"/>
            <w:col w:w="5820"/>
          </w:cols>
          <w:pgMar w:left="240" w:top="459" w:right="239" w:bottom="1440" w:gutter="0" w:footer="0" w:header="0"/>
          <w:type w:val="continuous"/>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300355</wp:posOffset>
            </wp:positionV>
            <wp:extent cx="3490595" cy="46291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3490595" cy="462915"/>
                    </a:xfrm>
                    <a:prstGeom prst="rect">
                      <a:avLst/>
                    </a:prstGeom>
                    <a:noFill/>
                  </pic:spPr>
                </pic:pic>
              </a:graphicData>
            </a:graphic>
          </wp:anchor>
        </w:drawing>
      </w:r>
    </w:p>
    <w:p>
      <w:pPr>
        <w:spacing w:after="0" w:line="200" w:lineRule="exact"/>
        <w:rPr>
          <w:sz w:val="20"/>
          <w:szCs w:val="20"/>
          <w:color w:val="auto"/>
        </w:rPr>
      </w:pP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419"/>
        </w:trPr>
        <w:tc>
          <w:tcPr>
            <w:tcW w:w="1920" w:type="dxa"/>
            <w:vAlign w:val="bottom"/>
            <w:shd w:val="clear" w:color="auto" w:fill="FF8B00"/>
          </w:tcPr>
          <w:p>
            <w:pPr>
              <w:spacing w:after="0"/>
              <w:rPr>
                <w:sz w:val="24"/>
                <w:szCs w:val="24"/>
                <w:color w:val="auto"/>
              </w:rPr>
            </w:pPr>
          </w:p>
        </w:tc>
        <w:tc>
          <w:tcPr>
            <w:tcW w:w="3580" w:type="dxa"/>
            <w:vAlign w:val="bottom"/>
            <w:shd w:val="clear" w:color="auto" w:fill="FF8B00"/>
          </w:tcPr>
          <w:p>
            <w:pPr>
              <w:spacing w:after="0"/>
              <w:rPr>
                <w:sz w:val="24"/>
                <w:szCs w:val="24"/>
                <w:color w:val="auto"/>
              </w:rPr>
            </w:pPr>
          </w:p>
        </w:tc>
      </w:tr>
      <w:tr>
        <w:trPr>
          <w:trHeight w:val="152"/>
        </w:trPr>
        <w:tc>
          <w:tcPr>
            <w:tcW w:w="1920" w:type="dxa"/>
            <w:vAlign w:val="bottom"/>
          </w:tcPr>
          <w:p>
            <w:pPr>
              <w:jc w:val="right"/>
              <w:ind w:right="1486"/>
              <w:spacing w:after="0"/>
              <w:rPr>
                <w:sz w:val="20"/>
                <w:szCs w:val="20"/>
                <w:color w:val="auto"/>
              </w:rPr>
            </w:pPr>
            <w:r>
              <w:rPr>
                <w:rFonts w:ascii="Arial" w:cs="Arial" w:eastAsia="Arial" w:hAnsi="Arial"/>
                <w:sz w:val="11"/>
                <w:szCs w:val="11"/>
                <w:b w:val="1"/>
                <w:bCs w:val="1"/>
                <w:color w:val="333333"/>
              </w:rPr>
              <w:t>22</w:t>
            </w:r>
          </w:p>
        </w:tc>
        <w:tc>
          <w:tcPr>
            <w:tcW w:w="3580" w:type="dxa"/>
            <w:vAlign w:val="bottom"/>
          </w:tcPr>
          <w:p>
            <w:pPr>
              <w:ind w:left="1540"/>
              <w:spacing w:after="0"/>
              <w:rPr>
                <w:sz w:val="20"/>
                <w:szCs w:val="20"/>
                <w:color w:val="auto"/>
              </w:rPr>
            </w:pPr>
            <w:r>
              <w:rPr>
                <w:rFonts w:ascii="Arial" w:cs="Arial" w:eastAsia="Arial" w:hAnsi="Arial"/>
                <w:sz w:val="13"/>
                <w:szCs w:val="13"/>
                <w:color w:val="333333"/>
              </w:rPr>
              <w:t>STRATEGIC REPORT</w:t>
            </w:r>
          </w:p>
        </w:tc>
      </w:tr>
    </w:tbl>
    <w:p>
      <w:pPr>
        <w:spacing w:after="0" w:line="155" w:lineRule="exact"/>
        <w:rPr>
          <w:sz w:val="20"/>
          <w:szCs w:val="20"/>
          <w:color w:val="auto"/>
        </w:rPr>
      </w:pPr>
    </w:p>
    <w:p>
      <w:pPr>
        <w:jc w:val="right"/>
        <w:spacing w:after="0"/>
        <w:tabs>
          <w:tab w:leader="none" w:pos="2380" w:val="left"/>
        </w:tabs>
        <w:rPr>
          <w:sz w:val="20"/>
          <w:szCs w:val="20"/>
          <w:color w:val="auto"/>
        </w:rPr>
      </w:pPr>
      <w:r>
        <w:rPr>
          <w:rFonts w:ascii="Arial" w:cs="Arial" w:eastAsia="Arial" w:hAnsi="Arial"/>
          <w:sz w:val="11"/>
          <w:szCs w:val="11"/>
          <w:color w:val="auto"/>
        </w:rPr>
        <w:t>SELECTED FINANCIAL DATA</w:t>
      </w:r>
      <w:r>
        <w:rPr>
          <w:sz w:val="20"/>
          <w:szCs w:val="20"/>
          <w:color w:val="auto"/>
        </w:rPr>
        <w:tab/>
      </w:r>
      <w:r>
        <w:rPr>
          <w:rFonts w:ascii="Arial" w:cs="Arial" w:eastAsia="Arial" w:hAnsi="Arial"/>
          <w:sz w:val="10"/>
          <w:szCs w:val="10"/>
          <w:color w:val="auto"/>
        </w:rPr>
        <w:t>SHELL ANNUAL REPORT AND FORM 20-F 2014</w:t>
      </w:r>
    </w:p>
    <w:p>
      <w:pPr>
        <w:spacing w:after="0" w:line="5" w:lineRule="exact"/>
        <w:rPr>
          <w:sz w:val="20"/>
          <w:szCs w:val="20"/>
          <w:color w:val="auto"/>
        </w:rPr>
      </w:pPr>
    </w:p>
    <w:p>
      <w:pPr>
        <w:spacing w:after="0"/>
        <w:rPr>
          <w:sz w:val="20"/>
          <w:szCs w:val="20"/>
          <w:color w:val="auto"/>
        </w:rPr>
      </w:pPr>
      <w:r>
        <w:rPr>
          <w:rFonts w:ascii="Arial" w:cs="Arial" w:eastAsia="Arial" w:hAnsi="Arial"/>
          <w:sz w:val="31"/>
          <w:szCs w:val="31"/>
          <w:color w:val="auto"/>
        </w:rPr>
        <w:t>SELECTED FINANCIAL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wp:posOffset>
            </wp:positionV>
            <wp:extent cx="724662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89" w:lineRule="exact"/>
        <w:rPr>
          <w:sz w:val="20"/>
          <w:szCs w:val="20"/>
          <w:color w:val="auto"/>
        </w:rPr>
      </w:pPr>
    </w:p>
    <w:p>
      <w:pPr>
        <w:ind w:right="560"/>
        <w:spacing w:after="0" w:line="258" w:lineRule="auto"/>
        <w:rPr>
          <w:sz w:val="20"/>
          <w:szCs w:val="20"/>
          <w:color w:val="auto"/>
        </w:rPr>
      </w:pPr>
      <w:r>
        <w:rPr>
          <w:rFonts w:ascii="Arial" w:cs="Arial" w:eastAsia="Arial" w:hAnsi="Arial"/>
          <w:sz w:val="14"/>
          <w:szCs w:val="14"/>
          <w:color w:val="auto"/>
        </w:rPr>
        <w:t>The selected financial data set out below are derived, in part, from the “Consolidated Financial Statements”. This data should be read in conjunction with the “Consolidated Financial Statements” and related Notes, as well as with this Strategic Report.</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6380" w:type="dxa"/>
            <w:vAlign w:val="bottom"/>
            <w:gridSpan w:val="2"/>
            <w:shd w:val="clear" w:color="auto" w:fill="333333"/>
          </w:tcPr>
          <w:p>
            <w:pPr>
              <w:jc w:val="right"/>
              <w:ind w:right="50"/>
              <w:spacing w:after="0"/>
              <w:rPr>
                <w:sz w:val="20"/>
                <w:szCs w:val="20"/>
                <w:color w:val="auto"/>
              </w:rPr>
            </w:pPr>
            <w:r>
              <w:rPr>
                <w:rFonts w:ascii="Arial" w:cs="Arial" w:eastAsia="Arial" w:hAnsi="Arial"/>
                <w:sz w:val="15"/>
                <w:szCs w:val="15"/>
                <w:b w:val="1"/>
                <w:bCs w:val="1"/>
                <w:color w:val="FFFFFF"/>
              </w:rPr>
              <w:t>CONSOLIDATED STATEMENT OF INCOME AND OF COMPREHENSIVE INCOME DATA</w:t>
            </w:r>
          </w:p>
        </w:tc>
        <w:tc>
          <w:tcPr>
            <w:tcW w:w="1500" w:type="dxa"/>
            <w:vAlign w:val="bottom"/>
            <w:shd w:val="clear" w:color="auto" w:fill="333333"/>
          </w:tcPr>
          <w:p>
            <w:pPr>
              <w:spacing w:after="0"/>
              <w:rPr>
                <w:sz w:val="14"/>
                <w:szCs w:val="14"/>
                <w:color w:val="auto"/>
              </w:rPr>
            </w:pPr>
          </w:p>
        </w:tc>
        <w:tc>
          <w:tcPr>
            <w:tcW w:w="1260" w:type="dxa"/>
            <w:vAlign w:val="bottom"/>
            <w:shd w:val="clear" w:color="auto" w:fill="333333"/>
          </w:tcPr>
          <w:p>
            <w:pPr>
              <w:spacing w:after="0"/>
              <w:rPr>
                <w:sz w:val="14"/>
                <w:szCs w:val="14"/>
                <w:color w:val="auto"/>
              </w:rPr>
            </w:pPr>
          </w:p>
        </w:tc>
        <w:tc>
          <w:tcPr>
            <w:tcW w:w="1020" w:type="dxa"/>
            <w:vAlign w:val="bottom"/>
            <w:shd w:val="clear" w:color="auto" w:fill="333333"/>
          </w:tcPr>
          <w:p>
            <w:pPr>
              <w:spacing w:after="0"/>
              <w:rPr>
                <w:sz w:val="14"/>
                <w:szCs w:val="14"/>
                <w:color w:val="auto"/>
              </w:rPr>
            </w:pPr>
          </w:p>
        </w:tc>
        <w:tc>
          <w:tcPr>
            <w:tcW w:w="1260" w:type="dxa"/>
            <w:vAlign w:val="bottom"/>
            <w:shd w:val="clear" w:color="auto" w:fill="333333"/>
          </w:tcPr>
          <w:p>
            <w:pPr>
              <w:jc w:val="right"/>
              <w:ind w:right="329"/>
              <w:spacing w:after="0"/>
              <w:rPr>
                <w:sz w:val="20"/>
                <w:szCs w:val="20"/>
                <w:color w:val="auto"/>
              </w:rPr>
            </w:pPr>
            <w:r>
              <w:rPr>
                <w:rFonts w:ascii="Arial" w:cs="Arial" w:eastAsia="Arial" w:hAnsi="Arial"/>
                <w:sz w:val="15"/>
                <w:szCs w:val="15"/>
                <w:color w:val="FFFFFF"/>
              </w:rPr>
              <w:t>$ MILLION</w:t>
            </w:r>
          </w:p>
        </w:tc>
      </w:tr>
      <w:tr>
        <w:trPr>
          <w:trHeight w:val="149"/>
        </w:trPr>
        <w:tc>
          <w:tcPr>
            <w:tcW w:w="5140" w:type="dxa"/>
            <w:vAlign w:val="bottom"/>
            <w:tcBorders>
              <w:bottom w:val="single" w:sz="8" w:color="auto"/>
            </w:tcBorders>
          </w:tcPr>
          <w:p>
            <w:pPr>
              <w:spacing w:after="0"/>
              <w:rPr>
                <w:sz w:val="12"/>
                <w:szCs w:val="12"/>
                <w:color w:val="auto"/>
              </w:rPr>
            </w:pPr>
          </w:p>
        </w:tc>
        <w:tc>
          <w:tcPr>
            <w:tcW w:w="1240" w:type="dxa"/>
            <w:vAlign w:val="bottom"/>
            <w:tcBorders>
              <w:bottom w:val="single" w:sz="8" w:color="auto"/>
            </w:tcBorders>
            <w:shd w:val="clear" w:color="auto" w:fill="D8D8D8"/>
          </w:tcPr>
          <w:p>
            <w:pPr>
              <w:jc w:val="right"/>
              <w:ind w:right="30"/>
              <w:spacing w:after="0"/>
              <w:rPr>
                <w:sz w:val="20"/>
                <w:szCs w:val="20"/>
                <w:color w:val="auto"/>
              </w:rPr>
            </w:pPr>
            <w:r>
              <w:rPr>
                <w:rFonts w:ascii="Arial" w:cs="Arial" w:eastAsia="Arial" w:hAnsi="Arial"/>
                <w:sz w:val="13"/>
                <w:szCs w:val="13"/>
                <w:color w:val="auto"/>
              </w:rPr>
              <w:t>2014</w:t>
            </w:r>
          </w:p>
        </w:tc>
        <w:tc>
          <w:tcPr>
            <w:tcW w:w="1500" w:type="dxa"/>
            <w:vAlign w:val="bottom"/>
            <w:tcBorders>
              <w:bottom w:val="single" w:sz="8" w:color="auto"/>
            </w:tcBorders>
          </w:tcPr>
          <w:p>
            <w:pPr>
              <w:jc w:val="right"/>
              <w:ind w:right="290"/>
              <w:spacing w:after="0"/>
              <w:rPr>
                <w:sz w:val="20"/>
                <w:szCs w:val="20"/>
                <w:color w:val="auto"/>
              </w:rPr>
            </w:pPr>
            <w:r>
              <w:rPr>
                <w:rFonts w:ascii="Arial" w:cs="Arial" w:eastAsia="Arial" w:hAnsi="Arial"/>
                <w:sz w:val="13"/>
                <w:szCs w:val="13"/>
                <w:color w:val="auto"/>
              </w:rPr>
              <w:t>2013</w:t>
            </w:r>
          </w:p>
        </w:tc>
        <w:tc>
          <w:tcPr>
            <w:tcW w:w="1260" w:type="dxa"/>
            <w:vAlign w:val="bottom"/>
            <w:tcBorders>
              <w:bottom w:val="single" w:sz="8" w:color="auto"/>
            </w:tcBorders>
          </w:tcPr>
          <w:p>
            <w:pPr>
              <w:jc w:val="right"/>
              <w:ind w:right="290"/>
              <w:spacing w:after="0"/>
              <w:rPr>
                <w:sz w:val="20"/>
                <w:szCs w:val="20"/>
                <w:color w:val="auto"/>
              </w:rPr>
            </w:pPr>
            <w:r>
              <w:rPr>
                <w:rFonts w:ascii="Arial" w:cs="Arial" w:eastAsia="Arial" w:hAnsi="Arial"/>
                <w:sz w:val="13"/>
                <w:szCs w:val="13"/>
                <w:color w:val="auto"/>
              </w:rPr>
              <w:t>2012</w:t>
            </w:r>
          </w:p>
        </w:tc>
        <w:tc>
          <w:tcPr>
            <w:tcW w:w="1020" w:type="dxa"/>
            <w:vAlign w:val="bottom"/>
            <w:tcBorders>
              <w:bottom w:val="single" w:sz="8" w:color="auto"/>
            </w:tcBorders>
          </w:tcPr>
          <w:p>
            <w:pPr>
              <w:jc w:val="right"/>
              <w:ind w:right="70"/>
              <w:spacing w:after="0"/>
              <w:rPr>
                <w:sz w:val="20"/>
                <w:szCs w:val="20"/>
                <w:color w:val="auto"/>
              </w:rPr>
            </w:pPr>
            <w:r>
              <w:rPr>
                <w:rFonts w:ascii="Arial" w:cs="Arial" w:eastAsia="Arial" w:hAnsi="Arial"/>
                <w:sz w:val="13"/>
                <w:szCs w:val="13"/>
                <w:color w:val="auto"/>
              </w:rPr>
              <w:t>2011</w:t>
            </w:r>
          </w:p>
        </w:tc>
        <w:tc>
          <w:tcPr>
            <w:tcW w:w="1260" w:type="dxa"/>
            <w:vAlign w:val="bottom"/>
            <w:tcBorders>
              <w:bottom w:val="single" w:sz="8" w:color="auto"/>
            </w:tcBorders>
          </w:tcPr>
          <w:p>
            <w:pPr>
              <w:jc w:val="right"/>
              <w:ind w:right="29"/>
              <w:spacing w:after="0"/>
              <w:rPr>
                <w:sz w:val="20"/>
                <w:szCs w:val="20"/>
                <w:color w:val="auto"/>
              </w:rPr>
            </w:pPr>
            <w:r>
              <w:rPr>
                <w:rFonts w:ascii="Arial" w:cs="Arial" w:eastAsia="Arial" w:hAnsi="Arial"/>
                <w:sz w:val="13"/>
                <w:szCs w:val="13"/>
                <w:color w:val="auto"/>
              </w:rPr>
              <w:t>2010</w:t>
            </w:r>
          </w:p>
        </w:tc>
      </w:tr>
      <w:tr>
        <w:trPr>
          <w:trHeight w:val="156"/>
        </w:trPr>
        <w:tc>
          <w:tcPr>
            <w:tcW w:w="5140" w:type="dxa"/>
            <w:vAlign w:val="bottom"/>
          </w:tcPr>
          <w:p>
            <w:pPr>
              <w:spacing w:after="0" w:line="155" w:lineRule="exact"/>
              <w:rPr>
                <w:sz w:val="20"/>
                <w:szCs w:val="20"/>
                <w:color w:val="auto"/>
              </w:rPr>
            </w:pPr>
            <w:r>
              <w:rPr>
                <w:rFonts w:ascii="Arial" w:cs="Arial" w:eastAsia="Arial" w:hAnsi="Arial"/>
                <w:sz w:val="14"/>
                <w:szCs w:val="14"/>
                <w:color w:val="auto"/>
              </w:rPr>
              <w:t>Revenue</w:t>
            </w:r>
          </w:p>
        </w:tc>
        <w:tc>
          <w:tcPr>
            <w:tcW w:w="1240" w:type="dxa"/>
            <w:vAlign w:val="bottom"/>
            <w:shd w:val="clear" w:color="auto" w:fill="D8D8D8"/>
          </w:tcPr>
          <w:p>
            <w:pPr>
              <w:jc w:val="right"/>
              <w:ind w:right="30"/>
              <w:spacing w:after="0" w:line="155" w:lineRule="exact"/>
              <w:rPr>
                <w:sz w:val="20"/>
                <w:szCs w:val="20"/>
                <w:color w:val="auto"/>
              </w:rPr>
            </w:pPr>
            <w:r>
              <w:rPr>
                <w:rFonts w:ascii="Arial" w:cs="Arial" w:eastAsia="Arial" w:hAnsi="Arial"/>
                <w:sz w:val="14"/>
                <w:szCs w:val="14"/>
                <w:color w:val="auto"/>
              </w:rPr>
              <w:t>421,105</w:t>
            </w:r>
          </w:p>
        </w:tc>
        <w:tc>
          <w:tcPr>
            <w:tcW w:w="1500" w:type="dxa"/>
            <w:vAlign w:val="bottom"/>
          </w:tcPr>
          <w:p>
            <w:pPr>
              <w:jc w:val="right"/>
              <w:ind w:right="290"/>
              <w:spacing w:after="0" w:line="155" w:lineRule="exact"/>
              <w:rPr>
                <w:sz w:val="20"/>
                <w:szCs w:val="20"/>
                <w:color w:val="auto"/>
              </w:rPr>
            </w:pPr>
            <w:r>
              <w:rPr>
                <w:rFonts w:ascii="Arial" w:cs="Arial" w:eastAsia="Arial" w:hAnsi="Arial"/>
                <w:sz w:val="14"/>
                <w:szCs w:val="14"/>
                <w:color w:val="auto"/>
              </w:rPr>
              <w:t>451,235</w:t>
            </w:r>
          </w:p>
        </w:tc>
        <w:tc>
          <w:tcPr>
            <w:tcW w:w="1260" w:type="dxa"/>
            <w:vAlign w:val="bottom"/>
          </w:tcPr>
          <w:p>
            <w:pPr>
              <w:jc w:val="right"/>
              <w:ind w:right="290"/>
              <w:spacing w:after="0" w:line="155" w:lineRule="exact"/>
              <w:rPr>
                <w:sz w:val="20"/>
                <w:szCs w:val="20"/>
                <w:color w:val="auto"/>
              </w:rPr>
            </w:pPr>
            <w:r>
              <w:rPr>
                <w:rFonts w:ascii="Arial" w:cs="Arial" w:eastAsia="Arial" w:hAnsi="Arial"/>
                <w:sz w:val="14"/>
                <w:szCs w:val="14"/>
                <w:color w:val="auto"/>
              </w:rPr>
              <w:t>467,153</w:t>
            </w:r>
          </w:p>
        </w:tc>
        <w:tc>
          <w:tcPr>
            <w:tcW w:w="1020" w:type="dxa"/>
            <w:vAlign w:val="bottom"/>
          </w:tcPr>
          <w:p>
            <w:pPr>
              <w:jc w:val="right"/>
              <w:ind w:right="70"/>
              <w:spacing w:after="0" w:line="155" w:lineRule="exact"/>
              <w:rPr>
                <w:sz w:val="20"/>
                <w:szCs w:val="20"/>
                <w:color w:val="auto"/>
              </w:rPr>
            </w:pPr>
            <w:r>
              <w:rPr>
                <w:rFonts w:ascii="Arial" w:cs="Arial" w:eastAsia="Arial" w:hAnsi="Arial"/>
                <w:sz w:val="14"/>
                <w:szCs w:val="14"/>
                <w:color w:val="auto"/>
              </w:rPr>
              <w:t>470,171</w:t>
            </w:r>
          </w:p>
        </w:tc>
        <w:tc>
          <w:tcPr>
            <w:tcW w:w="1260" w:type="dxa"/>
            <w:vAlign w:val="bottom"/>
          </w:tcPr>
          <w:p>
            <w:pPr>
              <w:jc w:val="right"/>
              <w:ind w:right="29"/>
              <w:spacing w:after="0" w:line="155" w:lineRule="exact"/>
              <w:rPr>
                <w:sz w:val="20"/>
                <w:szCs w:val="20"/>
                <w:color w:val="auto"/>
              </w:rPr>
            </w:pPr>
            <w:r>
              <w:rPr>
                <w:rFonts w:ascii="Arial" w:cs="Arial" w:eastAsia="Arial" w:hAnsi="Arial"/>
                <w:sz w:val="14"/>
                <w:szCs w:val="14"/>
                <w:color w:val="auto"/>
              </w:rPr>
              <w:t>368,056</w:t>
            </w:r>
          </w:p>
        </w:tc>
      </w:tr>
      <w:tr>
        <w:trPr>
          <w:trHeight w:val="162"/>
        </w:trPr>
        <w:tc>
          <w:tcPr>
            <w:tcW w:w="5140" w:type="dxa"/>
            <w:vAlign w:val="bottom"/>
          </w:tcPr>
          <w:p>
            <w:pPr>
              <w:spacing w:after="0"/>
              <w:rPr>
                <w:sz w:val="20"/>
                <w:szCs w:val="20"/>
                <w:color w:val="auto"/>
              </w:rPr>
            </w:pPr>
            <w:r>
              <w:rPr>
                <w:rFonts w:ascii="Arial" w:cs="Arial" w:eastAsia="Arial" w:hAnsi="Arial"/>
                <w:sz w:val="14"/>
                <w:szCs w:val="14"/>
                <w:color w:val="auto"/>
              </w:rPr>
              <w:t>Income for the period</w:t>
            </w:r>
          </w:p>
        </w:tc>
        <w:tc>
          <w:tcPr>
            <w:tcW w:w="1240" w:type="dxa"/>
            <w:vAlign w:val="bottom"/>
            <w:shd w:val="clear" w:color="auto" w:fill="D8D8D8"/>
          </w:tcPr>
          <w:p>
            <w:pPr>
              <w:jc w:val="right"/>
              <w:ind w:right="30"/>
              <w:spacing w:after="0"/>
              <w:rPr>
                <w:sz w:val="20"/>
                <w:szCs w:val="20"/>
                <w:color w:val="auto"/>
              </w:rPr>
            </w:pPr>
            <w:r>
              <w:rPr>
                <w:rFonts w:ascii="Arial" w:cs="Arial" w:eastAsia="Arial" w:hAnsi="Arial"/>
                <w:sz w:val="14"/>
                <w:szCs w:val="14"/>
                <w:color w:val="auto"/>
              </w:rPr>
              <w:t>14,730</w:t>
            </w:r>
          </w:p>
        </w:tc>
        <w:tc>
          <w:tcPr>
            <w:tcW w:w="1500" w:type="dxa"/>
            <w:vAlign w:val="bottom"/>
          </w:tcPr>
          <w:p>
            <w:pPr>
              <w:jc w:val="right"/>
              <w:ind w:right="290"/>
              <w:spacing w:after="0"/>
              <w:rPr>
                <w:sz w:val="20"/>
                <w:szCs w:val="20"/>
                <w:color w:val="auto"/>
              </w:rPr>
            </w:pPr>
            <w:r>
              <w:rPr>
                <w:rFonts w:ascii="Arial" w:cs="Arial" w:eastAsia="Arial" w:hAnsi="Arial"/>
                <w:sz w:val="14"/>
                <w:szCs w:val="14"/>
                <w:color w:val="auto"/>
              </w:rPr>
              <w:t>16,526</w:t>
            </w:r>
          </w:p>
        </w:tc>
        <w:tc>
          <w:tcPr>
            <w:tcW w:w="1260" w:type="dxa"/>
            <w:vAlign w:val="bottom"/>
          </w:tcPr>
          <w:p>
            <w:pPr>
              <w:jc w:val="right"/>
              <w:ind w:right="290"/>
              <w:spacing w:after="0"/>
              <w:rPr>
                <w:sz w:val="20"/>
                <w:szCs w:val="20"/>
                <w:color w:val="auto"/>
              </w:rPr>
            </w:pPr>
            <w:r>
              <w:rPr>
                <w:rFonts w:ascii="Arial" w:cs="Arial" w:eastAsia="Arial" w:hAnsi="Arial"/>
                <w:sz w:val="14"/>
                <w:szCs w:val="14"/>
                <w:color w:val="auto"/>
              </w:rPr>
              <w:t>26,960</w:t>
            </w:r>
          </w:p>
        </w:tc>
        <w:tc>
          <w:tcPr>
            <w:tcW w:w="1020" w:type="dxa"/>
            <w:vAlign w:val="bottom"/>
          </w:tcPr>
          <w:p>
            <w:pPr>
              <w:jc w:val="right"/>
              <w:ind w:right="70"/>
              <w:spacing w:after="0"/>
              <w:rPr>
                <w:sz w:val="20"/>
                <w:szCs w:val="20"/>
                <w:color w:val="auto"/>
              </w:rPr>
            </w:pPr>
            <w:r>
              <w:rPr>
                <w:rFonts w:ascii="Arial" w:cs="Arial" w:eastAsia="Arial" w:hAnsi="Arial"/>
                <w:sz w:val="14"/>
                <w:szCs w:val="14"/>
                <w:color w:val="auto"/>
              </w:rPr>
              <w:t>31,093</w:t>
            </w:r>
          </w:p>
        </w:tc>
        <w:tc>
          <w:tcPr>
            <w:tcW w:w="1260" w:type="dxa"/>
            <w:vAlign w:val="bottom"/>
          </w:tcPr>
          <w:p>
            <w:pPr>
              <w:jc w:val="right"/>
              <w:ind w:right="29"/>
              <w:spacing w:after="0"/>
              <w:rPr>
                <w:sz w:val="20"/>
                <w:szCs w:val="20"/>
                <w:color w:val="auto"/>
              </w:rPr>
            </w:pPr>
            <w:r>
              <w:rPr>
                <w:rFonts w:ascii="Arial" w:cs="Arial" w:eastAsia="Arial" w:hAnsi="Arial"/>
                <w:sz w:val="14"/>
                <w:szCs w:val="14"/>
                <w:color w:val="auto"/>
              </w:rPr>
              <w:t>20,474</w:t>
            </w:r>
          </w:p>
        </w:tc>
      </w:tr>
      <w:tr>
        <w:trPr>
          <w:trHeight w:val="162"/>
        </w:trPr>
        <w:tc>
          <w:tcPr>
            <w:tcW w:w="514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(Loss)/income attributable to non-controlling interest</w:t>
            </w:r>
          </w:p>
        </w:tc>
        <w:tc>
          <w:tcPr>
            <w:tcW w:w="1240" w:type="dxa"/>
            <w:vAlign w:val="bottom"/>
            <w:tcBorders>
              <w:bottom w:val="single" w:sz="8" w:color="auto"/>
            </w:tcBorders>
            <w:shd w:val="clear" w:color="auto" w:fill="D8D8D8"/>
          </w:tcPr>
          <w:p>
            <w:pPr>
              <w:jc w:val="right"/>
              <w:ind w:right="30"/>
              <w:spacing w:after="0"/>
              <w:rPr>
                <w:sz w:val="20"/>
                <w:szCs w:val="20"/>
                <w:color w:val="auto"/>
              </w:rPr>
            </w:pPr>
            <w:r>
              <w:rPr>
                <w:rFonts w:ascii="Arial" w:cs="Arial" w:eastAsia="Arial" w:hAnsi="Arial"/>
                <w:sz w:val="14"/>
                <w:szCs w:val="14"/>
                <w:color w:val="auto"/>
              </w:rPr>
              <w:t>(144)</w:t>
            </w:r>
          </w:p>
        </w:tc>
        <w:tc>
          <w:tcPr>
            <w:tcW w:w="1500" w:type="dxa"/>
            <w:vAlign w:val="bottom"/>
            <w:tcBorders>
              <w:bottom w:val="single" w:sz="8" w:color="auto"/>
            </w:tcBorders>
          </w:tcPr>
          <w:p>
            <w:pPr>
              <w:jc w:val="right"/>
              <w:ind w:right="290"/>
              <w:spacing w:after="0"/>
              <w:rPr>
                <w:sz w:val="20"/>
                <w:szCs w:val="20"/>
                <w:color w:val="auto"/>
              </w:rPr>
            </w:pPr>
            <w:r>
              <w:rPr>
                <w:rFonts w:ascii="Arial" w:cs="Arial" w:eastAsia="Arial" w:hAnsi="Arial"/>
                <w:sz w:val="14"/>
                <w:szCs w:val="14"/>
                <w:color w:val="auto"/>
              </w:rPr>
              <w:t>155</w:t>
            </w:r>
          </w:p>
        </w:tc>
        <w:tc>
          <w:tcPr>
            <w:tcW w:w="1260" w:type="dxa"/>
            <w:vAlign w:val="bottom"/>
            <w:tcBorders>
              <w:bottom w:val="single" w:sz="8" w:color="auto"/>
            </w:tcBorders>
          </w:tcPr>
          <w:p>
            <w:pPr>
              <w:jc w:val="right"/>
              <w:ind w:right="290"/>
              <w:spacing w:after="0"/>
              <w:rPr>
                <w:sz w:val="20"/>
                <w:szCs w:val="20"/>
                <w:color w:val="auto"/>
              </w:rPr>
            </w:pPr>
            <w:r>
              <w:rPr>
                <w:rFonts w:ascii="Arial" w:cs="Arial" w:eastAsia="Arial" w:hAnsi="Arial"/>
                <w:sz w:val="14"/>
                <w:szCs w:val="14"/>
                <w:color w:val="auto"/>
              </w:rPr>
              <w:t>248</w:t>
            </w:r>
          </w:p>
        </w:tc>
        <w:tc>
          <w:tcPr>
            <w:tcW w:w="1020" w:type="dxa"/>
            <w:vAlign w:val="bottom"/>
            <w:tcBorders>
              <w:bottom w:val="single" w:sz="8" w:color="auto"/>
            </w:tcBorders>
          </w:tcPr>
          <w:p>
            <w:pPr>
              <w:jc w:val="right"/>
              <w:ind w:right="70"/>
              <w:spacing w:after="0"/>
              <w:rPr>
                <w:sz w:val="20"/>
                <w:szCs w:val="20"/>
                <w:color w:val="auto"/>
              </w:rPr>
            </w:pPr>
            <w:r>
              <w:rPr>
                <w:rFonts w:ascii="Arial" w:cs="Arial" w:eastAsia="Arial" w:hAnsi="Arial"/>
                <w:sz w:val="14"/>
                <w:szCs w:val="14"/>
                <w:color w:val="auto"/>
              </w:rPr>
              <w:t>267</w:t>
            </w:r>
          </w:p>
        </w:tc>
        <w:tc>
          <w:tcPr>
            <w:tcW w:w="126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347</w:t>
            </w:r>
          </w:p>
        </w:tc>
      </w:tr>
      <w:tr>
        <w:trPr>
          <w:trHeight w:val="156"/>
        </w:trPr>
        <w:tc>
          <w:tcPr>
            <w:tcW w:w="5140" w:type="dxa"/>
            <w:vAlign w:val="bottom"/>
            <w:tcBorders>
              <w:bottom w:val="single" w:sz="8" w:color="auto"/>
            </w:tcBorders>
          </w:tcPr>
          <w:p>
            <w:pPr>
              <w:spacing w:after="0" w:line="155" w:lineRule="exact"/>
              <w:rPr>
                <w:sz w:val="20"/>
                <w:szCs w:val="20"/>
                <w:color w:val="auto"/>
              </w:rPr>
            </w:pPr>
            <w:r>
              <w:rPr>
                <w:rFonts w:ascii="Arial" w:cs="Arial" w:eastAsia="Arial" w:hAnsi="Arial"/>
                <w:sz w:val="14"/>
                <w:szCs w:val="14"/>
                <w:color w:val="auto"/>
              </w:rPr>
              <w:t>Income attributable to Royal Dutch Shell plc shareholders</w:t>
            </w:r>
          </w:p>
        </w:tc>
        <w:tc>
          <w:tcPr>
            <w:tcW w:w="1240" w:type="dxa"/>
            <w:vAlign w:val="bottom"/>
            <w:tcBorders>
              <w:bottom w:val="single" w:sz="8" w:color="auto"/>
            </w:tcBorders>
            <w:shd w:val="clear" w:color="auto" w:fill="D8D8D8"/>
          </w:tcPr>
          <w:p>
            <w:pPr>
              <w:jc w:val="right"/>
              <w:ind w:right="30"/>
              <w:spacing w:after="0" w:line="155" w:lineRule="exact"/>
              <w:rPr>
                <w:sz w:val="20"/>
                <w:szCs w:val="20"/>
                <w:color w:val="auto"/>
              </w:rPr>
            </w:pPr>
            <w:r>
              <w:rPr>
                <w:rFonts w:ascii="Arial" w:cs="Arial" w:eastAsia="Arial" w:hAnsi="Arial"/>
                <w:sz w:val="14"/>
                <w:szCs w:val="14"/>
                <w:color w:val="auto"/>
              </w:rPr>
              <w:t>14,874</w:t>
            </w:r>
          </w:p>
        </w:tc>
        <w:tc>
          <w:tcPr>
            <w:tcW w:w="1500" w:type="dxa"/>
            <w:vAlign w:val="bottom"/>
            <w:tcBorders>
              <w:bottom w:val="single" w:sz="8" w:color="auto"/>
            </w:tcBorders>
          </w:tcPr>
          <w:p>
            <w:pPr>
              <w:jc w:val="right"/>
              <w:ind w:right="290"/>
              <w:spacing w:after="0" w:line="155" w:lineRule="exact"/>
              <w:rPr>
                <w:sz w:val="20"/>
                <w:szCs w:val="20"/>
                <w:color w:val="auto"/>
              </w:rPr>
            </w:pPr>
            <w:r>
              <w:rPr>
                <w:rFonts w:ascii="Arial" w:cs="Arial" w:eastAsia="Arial" w:hAnsi="Arial"/>
                <w:sz w:val="14"/>
                <w:szCs w:val="14"/>
                <w:color w:val="auto"/>
              </w:rPr>
              <w:t>16,371</w:t>
            </w:r>
          </w:p>
        </w:tc>
        <w:tc>
          <w:tcPr>
            <w:tcW w:w="1260" w:type="dxa"/>
            <w:vAlign w:val="bottom"/>
            <w:tcBorders>
              <w:bottom w:val="single" w:sz="8" w:color="auto"/>
            </w:tcBorders>
          </w:tcPr>
          <w:p>
            <w:pPr>
              <w:jc w:val="right"/>
              <w:ind w:right="290"/>
              <w:spacing w:after="0" w:line="155" w:lineRule="exact"/>
              <w:rPr>
                <w:sz w:val="20"/>
                <w:szCs w:val="20"/>
                <w:color w:val="auto"/>
              </w:rPr>
            </w:pPr>
            <w:r>
              <w:rPr>
                <w:rFonts w:ascii="Arial" w:cs="Arial" w:eastAsia="Arial" w:hAnsi="Arial"/>
                <w:sz w:val="14"/>
                <w:szCs w:val="14"/>
                <w:color w:val="auto"/>
              </w:rPr>
              <w:t>26,712</w:t>
            </w:r>
          </w:p>
        </w:tc>
        <w:tc>
          <w:tcPr>
            <w:tcW w:w="1020" w:type="dxa"/>
            <w:vAlign w:val="bottom"/>
            <w:tcBorders>
              <w:bottom w:val="single" w:sz="8" w:color="auto"/>
            </w:tcBorders>
          </w:tcPr>
          <w:p>
            <w:pPr>
              <w:jc w:val="right"/>
              <w:ind w:right="70"/>
              <w:spacing w:after="0" w:line="155" w:lineRule="exact"/>
              <w:rPr>
                <w:sz w:val="20"/>
                <w:szCs w:val="20"/>
                <w:color w:val="auto"/>
              </w:rPr>
            </w:pPr>
            <w:r>
              <w:rPr>
                <w:rFonts w:ascii="Arial" w:cs="Arial" w:eastAsia="Arial" w:hAnsi="Arial"/>
                <w:sz w:val="14"/>
                <w:szCs w:val="14"/>
                <w:color w:val="auto"/>
              </w:rPr>
              <w:t>30,826</w:t>
            </w:r>
          </w:p>
        </w:tc>
        <w:tc>
          <w:tcPr>
            <w:tcW w:w="1260" w:type="dxa"/>
            <w:vAlign w:val="bottom"/>
            <w:tcBorders>
              <w:bottom w:val="single" w:sz="8" w:color="auto"/>
            </w:tcBorders>
          </w:tcPr>
          <w:p>
            <w:pPr>
              <w:jc w:val="right"/>
              <w:ind w:right="29"/>
              <w:spacing w:after="0" w:line="155" w:lineRule="exact"/>
              <w:rPr>
                <w:sz w:val="20"/>
                <w:szCs w:val="20"/>
                <w:color w:val="auto"/>
              </w:rPr>
            </w:pPr>
            <w:r>
              <w:rPr>
                <w:rFonts w:ascii="Arial" w:cs="Arial" w:eastAsia="Arial" w:hAnsi="Arial"/>
                <w:sz w:val="14"/>
                <w:szCs w:val="14"/>
                <w:color w:val="auto"/>
              </w:rPr>
              <w:t>20,127</w:t>
            </w:r>
          </w:p>
        </w:tc>
      </w:tr>
      <w:tr>
        <w:trPr>
          <w:trHeight w:val="156"/>
        </w:trPr>
        <w:tc>
          <w:tcPr>
            <w:tcW w:w="5140" w:type="dxa"/>
            <w:vAlign w:val="bottom"/>
            <w:tcBorders>
              <w:bottom w:val="single" w:sz="8" w:color="auto"/>
            </w:tcBorders>
          </w:tcPr>
          <w:p>
            <w:pPr>
              <w:spacing w:after="0" w:line="155" w:lineRule="exact"/>
              <w:rPr>
                <w:sz w:val="20"/>
                <w:szCs w:val="20"/>
                <w:color w:val="auto"/>
              </w:rPr>
            </w:pPr>
            <w:r>
              <w:rPr>
                <w:rFonts w:ascii="Arial" w:cs="Arial" w:eastAsia="Arial" w:hAnsi="Arial"/>
                <w:sz w:val="14"/>
                <w:szCs w:val="14"/>
                <w:color w:val="auto"/>
              </w:rPr>
              <w:t>Comprehensive income attributable to Royal Dutch Shell plc shareholders</w:t>
            </w:r>
          </w:p>
        </w:tc>
        <w:tc>
          <w:tcPr>
            <w:tcW w:w="1240" w:type="dxa"/>
            <w:vAlign w:val="bottom"/>
            <w:tcBorders>
              <w:bottom w:val="single" w:sz="8" w:color="auto"/>
            </w:tcBorders>
            <w:shd w:val="clear" w:color="auto" w:fill="D8D8D8"/>
          </w:tcPr>
          <w:p>
            <w:pPr>
              <w:jc w:val="right"/>
              <w:ind w:right="30"/>
              <w:spacing w:after="0" w:line="155" w:lineRule="exact"/>
              <w:rPr>
                <w:sz w:val="20"/>
                <w:szCs w:val="20"/>
                <w:color w:val="auto"/>
              </w:rPr>
            </w:pPr>
            <w:r>
              <w:rPr>
                <w:rFonts w:ascii="Arial" w:cs="Arial" w:eastAsia="Arial" w:hAnsi="Arial"/>
                <w:sz w:val="14"/>
                <w:szCs w:val="14"/>
                <w:color w:val="auto"/>
              </w:rPr>
              <w:t>2,692</w:t>
            </w:r>
          </w:p>
        </w:tc>
        <w:tc>
          <w:tcPr>
            <w:tcW w:w="1500" w:type="dxa"/>
            <w:vAlign w:val="bottom"/>
            <w:tcBorders>
              <w:bottom w:val="single" w:sz="8" w:color="auto"/>
            </w:tcBorders>
          </w:tcPr>
          <w:p>
            <w:pPr>
              <w:jc w:val="right"/>
              <w:ind w:right="290"/>
              <w:spacing w:after="0" w:line="155" w:lineRule="exact"/>
              <w:rPr>
                <w:sz w:val="20"/>
                <w:szCs w:val="20"/>
                <w:color w:val="auto"/>
              </w:rPr>
            </w:pPr>
            <w:r>
              <w:rPr>
                <w:rFonts w:ascii="Arial" w:cs="Arial" w:eastAsia="Arial" w:hAnsi="Arial"/>
                <w:sz w:val="14"/>
                <w:szCs w:val="14"/>
                <w:color w:val="auto"/>
              </w:rPr>
              <w:t>18,243</w:t>
            </w:r>
          </w:p>
        </w:tc>
        <w:tc>
          <w:tcPr>
            <w:tcW w:w="1260" w:type="dxa"/>
            <w:vAlign w:val="bottom"/>
            <w:tcBorders>
              <w:bottom w:val="single" w:sz="8" w:color="auto"/>
            </w:tcBorders>
          </w:tcPr>
          <w:p>
            <w:pPr>
              <w:jc w:val="right"/>
              <w:ind w:right="290"/>
              <w:spacing w:after="0" w:line="155" w:lineRule="exact"/>
              <w:rPr>
                <w:sz w:val="20"/>
                <w:szCs w:val="20"/>
                <w:color w:val="auto"/>
              </w:rPr>
            </w:pPr>
            <w:r>
              <w:rPr>
                <w:rFonts w:ascii="Arial" w:cs="Arial" w:eastAsia="Arial" w:hAnsi="Arial"/>
                <w:sz w:val="14"/>
                <w:szCs w:val="14"/>
                <w:color w:val="auto"/>
              </w:rPr>
              <w:t>24,470</w:t>
            </w:r>
          </w:p>
        </w:tc>
        <w:tc>
          <w:tcPr>
            <w:tcW w:w="1020" w:type="dxa"/>
            <w:vAlign w:val="bottom"/>
            <w:tcBorders>
              <w:bottom w:val="single" w:sz="8" w:color="auto"/>
            </w:tcBorders>
          </w:tcPr>
          <w:p>
            <w:pPr>
              <w:jc w:val="right"/>
              <w:ind w:right="70"/>
              <w:spacing w:after="0" w:line="155" w:lineRule="exact"/>
              <w:rPr>
                <w:sz w:val="20"/>
                <w:szCs w:val="20"/>
                <w:color w:val="auto"/>
              </w:rPr>
            </w:pPr>
            <w:r>
              <w:rPr>
                <w:rFonts w:ascii="Arial" w:cs="Arial" w:eastAsia="Arial" w:hAnsi="Arial"/>
                <w:sz w:val="14"/>
                <w:szCs w:val="14"/>
                <w:color w:val="auto"/>
              </w:rPr>
              <w:t>26,250</w:t>
            </w:r>
          </w:p>
        </w:tc>
        <w:tc>
          <w:tcPr>
            <w:tcW w:w="1260" w:type="dxa"/>
            <w:vAlign w:val="bottom"/>
            <w:tcBorders>
              <w:bottom w:val="single" w:sz="8" w:color="auto"/>
            </w:tcBorders>
          </w:tcPr>
          <w:p>
            <w:pPr>
              <w:jc w:val="right"/>
              <w:ind w:right="29"/>
              <w:spacing w:after="0" w:line="155" w:lineRule="exact"/>
              <w:rPr>
                <w:sz w:val="20"/>
                <w:szCs w:val="20"/>
                <w:color w:val="auto"/>
              </w:rPr>
            </w:pPr>
            <w:r>
              <w:rPr>
                <w:rFonts w:ascii="Arial" w:cs="Arial" w:eastAsia="Arial" w:hAnsi="Arial"/>
                <w:sz w:val="14"/>
                <w:szCs w:val="14"/>
                <w:color w:val="auto"/>
              </w:rPr>
              <w:t>19,893</w:t>
            </w:r>
          </w:p>
        </w:tc>
      </w:tr>
    </w:tbl>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5140" w:type="dxa"/>
            <w:vAlign w:val="bottom"/>
            <w:shd w:val="clear" w:color="auto" w:fill="333333"/>
          </w:tcPr>
          <w:p>
            <w:pPr>
              <w:ind w:left="80"/>
              <w:spacing w:after="0"/>
              <w:rPr>
                <w:sz w:val="20"/>
                <w:szCs w:val="20"/>
                <w:color w:val="auto"/>
              </w:rPr>
            </w:pPr>
            <w:r>
              <w:rPr>
                <w:rFonts w:ascii="Arial" w:cs="Arial" w:eastAsia="Arial" w:hAnsi="Arial"/>
                <w:sz w:val="15"/>
                <w:szCs w:val="15"/>
                <w:b w:val="1"/>
                <w:bCs w:val="1"/>
                <w:color w:val="FFFFFF"/>
              </w:rPr>
              <w:t>CONSOLIDATED BALANCE SHEET DATA</w:t>
            </w:r>
          </w:p>
        </w:tc>
        <w:tc>
          <w:tcPr>
            <w:tcW w:w="1240" w:type="dxa"/>
            <w:vAlign w:val="bottom"/>
            <w:shd w:val="clear" w:color="auto" w:fill="333333"/>
          </w:tcPr>
          <w:p>
            <w:pPr>
              <w:spacing w:after="0"/>
              <w:rPr>
                <w:sz w:val="14"/>
                <w:szCs w:val="14"/>
                <w:color w:val="auto"/>
              </w:rPr>
            </w:pPr>
          </w:p>
        </w:tc>
        <w:tc>
          <w:tcPr>
            <w:tcW w:w="1500" w:type="dxa"/>
            <w:vAlign w:val="bottom"/>
            <w:shd w:val="clear" w:color="auto" w:fill="333333"/>
          </w:tcPr>
          <w:p>
            <w:pPr>
              <w:spacing w:after="0"/>
              <w:rPr>
                <w:sz w:val="14"/>
                <w:szCs w:val="14"/>
                <w:color w:val="auto"/>
              </w:rPr>
            </w:pPr>
          </w:p>
        </w:tc>
        <w:tc>
          <w:tcPr>
            <w:tcW w:w="1260" w:type="dxa"/>
            <w:vAlign w:val="bottom"/>
            <w:shd w:val="clear" w:color="auto" w:fill="333333"/>
          </w:tcPr>
          <w:p>
            <w:pPr>
              <w:spacing w:after="0"/>
              <w:rPr>
                <w:sz w:val="14"/>
                <w:szCs w:val="14"/>
                <w:color w:val="auto"/>
              </w:rPr>
            </w:pPr>
          </w:p>
        </w:tc>
        <w:tc>
          <w:tcPr>
            <w:tcW w:w="1020" w:type="dxa"/>
            <w:vAlign w:val="bottom"/>
            <w:shd w:val="clear" w:color="auto" w:fill="333333"/>
          </w:tcPr>
          <w:p>
            <w:pPr>
              <w:spacing w:after="0"/>
              <w:rPr>
                <w:sz w:val="14"/>
                <w:szCs w:val="14"/>
                <w:color w:val="auto"/>
              </w:rPr>
            </w:pPr>
          </w:p>
        </w:tc>
        <w:tc>
          <w:tcPr>
            <w:tcW w:w="1260" w:type="dxa"/>
            <w:vAlign w:val="bottom"/>
            <w:shd w:val="clear" w:color="auto" w:fill="333333"/>
          </w:tcPr>
          <w:p>
            <w:pPr>
              <w:jc w:val="right"/>
              <w:ind w:right="329"/>
              <w:spacing w:after="0"/>
              <w:rPr>
                <w:sz w:val="20"/>
                <w:szCs w:val="20"/>
                <w:color w:val="auto"/>
              </w:rPr>
            </w:pPr>
            <w:r>
              <w:rPr>
                <w:rFonts w:ascii="Arial" w:cs="Arial" w:eastAsia="Arial" w:hAnsi="Arial"/>
                <w:sz w:val="15"/>
                <w:szCs w:val="15"/>
                <w:color w:val="FFFFFF"/>
              </w:rPr>
              <w:t>$ MILLION</w:t>
            </w:r>
          </w:p>
        </w:tc>
      </w:tr>
      <w:tr>
        <w:trPr>
          <w:trHeight w:val="149"/>
        </w:trPr>
        <w:tc>
          <w:tcPr>
            <w:tcW w:w="5140" w:type="dxa"/>
            <w:vAlign w:val="bottom"/>
            <w:tcBorders>
              <w:bottom w:val="single" w:sz="8" w:color="auto"/>
            </w:tcBorders>
          </w:tcPr>
          <w:p>
            <w:pPr>
              <w:spacing w:after="0"/>
              <w:rPr>
                <w:sz w:val="12"/>
                <w:szCs w:val="12"/>
                <w:color w:val="auto"/>
              </w:rPr>
            </w:pPr>
          </w:p>
        </w:tc>
        <w:tc>
          <w:tcPr>
            <w:tcW w:w="1240" w:type="dxa"/>
            <w:vAlign w:val="bottom"/>
            <w:tcBorders>
              <w:bottom w:val="single" w:sz="8" w:color="auto"/>
            </w:tcBorders>
            <w:shd w:val="clear" w:color="auto" w:fill="D8D8D8"/>
          </w:tcPr>
          <w:p>
            <w:pPr>
              <w:jc w:val="right"/>
              <w:ind w:right="30"/>
              <w:spacing w:after="0"/>
              <w:rPr>
                <w:sz w:val="20"/>
                <w:szCs w:val="20"/>
                <w:color w:val="auto"/>
              </w:rPr>
            </w:pPr>
            <w:r>
              <w:rPr>
                <w:rFonts w:ascii="Arial" w:cs="Arial" w:eastAsia="Arial" w:hAnsi="Arial"/>
                <w:sz w:val="13"/>
                <w:szCs w:val="13"/>
                <w:color w:val="auto"/>
              </w:rPr>
              <w:t>2014</w:t>
            </w:r>
          </w:p>
        </w:tc>
        <w:tc>
          <w:tcPr>
            <w:tcW w:w="1500" w:type="dxa"/>
            <w:vAlign w:val="bottom"/>
            <w:tcBorders>
              <w:bottom w:val="single" w:sz="8" w:color="auto"/>
            </w:tcBorders>
          </w:tcPr>
          <w:p>
            <w:pPr>
              <w:jc w:val="right"/>
              <w:ind w:right="290"/>
              <w:spacing w:after="0"/>
              <w:rPr>
                <w:sz w:val="20"/>
                <w:szCs w:val="20"/>
                <w:color w:val="auto"/>
              </w:rPr>
            </w:pPr>
            <w:r>
              <w:rPr>
                <w:rFonts w:ascii="Arial" w:cs="Arial" w:eastAsia="Arial" w:hAnsi="Arial"/>
                <w:sz w:val="13"/>
                <w:szCs w:val="13"/>
                <w:color w:val="auto"/>
              </w:rPr>
              <w:t>2013</w:t>
            </w:r>
          </w:p>
        </w:tc>
        <w:tc>
          <w:tcPr>
            <w:tcW w:w="1260" w:type="dxa"/>
            <w:vAlign w:val="bottom"/>
            <w:tcBorders>
              <w:bottom w:val="single" w:sz="8" w:color="auto"/>
            </w:tcBorders>
          </w:tcPr>
          <w:p>
            <w:pPr>
              <w:jc w:val="right"/>
              <w:ind w:right="290"/>
              <w:spacing w:after="0"/>
              <w:rPr>
                <w:sz w:val="20"/>
                <w:szCs w:val="20"/>
                <w:color w:val="auto"/>
              </w:rPr>
            </w:pPr>
            <w:r>
              <w:rPr>
                <w:rFonts w:ascii="Arial" w:cs="Arial" w:eastAsia="Arial" w:hAnsi="Arial"/>
                <w:sz w:val="13"/>
                <w:szCs w:val="13"/>
                <w:color w:val="auto"/>
              </w:rPr>
              <w:t>2012</w:t>
            </w:r>
          </w:p>
        </w:tc>
        <w:tc>
          <w:tcPr>
            <w:tcW w:w="1020" w:type="dxa"/>
            <w:vAlign w:val="bottom"/>
            <w:tcBorders>
              <w:bottom w:val="single" w:sz="8" w:color="auto"/>
            </w:tcBorders>
          </w:tcPr>
          <w:p>
            <w:pPr>
              <w:jc w:val="right"/>
              <w:ind w:right="70"/>
              <w:spacing w:after="0"/>
              <w:rPr>
                <w:sz w:val="20"/>
                <w:szCs w:val="20"/>
                <w:color w:val="auto"/>
              </w:rPr>
            </w:pPr>
            <w:r>
              <w:rPr>
                <w:rFonts w:ascii="Arial" w:cs="Arial" w:eastAsia="Arial" w:hAnsi="Arial"/>
                <w:sz w:val="13"/>
                <w:szCs w:val="13"/>
                <w:color w:val="auto"/>
              </w:rPr>
              <w:t>2011</w:t>
            </w:r>
          </w:p>
        </w:tc>
        <w:tc>
          <w:tcPr>
            <w:tcW w:w="1260" w:type="dxa"/>
            <w:vAlign w:val="bottom"/>
            <w:tcBorders>
              <w:bottom w:val="single" w:sz="8" w:color="auto"/>
            </w:tcBorders>
          </w:tcPr>
          <w:p>
            <w:pPr>
              <w:jc w:val="right"/>
              <w:ind w:right="29"/>
              <w:spacing w:after="0"/>
              <w:rPr>
                <w:sz w:val="20"/>
                <w:szCs w:val="20"/>
                <w:color w:val="auto"/>
              </w:rPr>
            </w:pPr>
            <w:r>
              <w:rPr>
                <w:rFonts w:ascii="Arial" w:cs="Arial" w:eastAsia="Arial" w:hAnsi="Arial"/>
                <w:sz w:val="13"/>
                <w:szCs w:val="13"/>
                <w:color w:val="auto"/>
              </w:rPr>
              <w:t>2010</w:t>
            </w:r>
          </w:p>
        </w:tc>
      </w:tr>
      <w:tr>
        <w:trPr>
          <w:trHeight w:val="156"/>
        </w:trPr>
        <w:tc>
          <w:tcPr>
            <w:tcW w:w="5140" w:type="dxa"/>
            <w:vAlign w:val="bottom"/>
          </w:tcPr>
          <w:p>
            <w:pPr>
              <w:spacing w:after="0" w:line="155" w:lineRule="exact"/>
              <w:rPr>
                <w:sz w:val="20"/>
                <w:szCs w:val="20"/>
                <w:color w:val="auto"/>
              </w:rPr>
            </w:pPr>
            <w:r>
              <w:rPr>
                <w:rFonts w:ascii="Arial" w:cs="Arial" w:eastAsia="Arial" w:hAnsi="Arial"/>
                <w:sz w:val="14"/>
                <w:szCs w:val="14"/>
                <w:color w:val="auto"/>
              </w:rPr>
              <w:t>Total assets</w:t>
            </w:r>
          </w:p>
        </w:tc>
        <w:tc>
          <w:tcPr>
            <w:tcW w:w="1240" w:type="dxa"/>
            <w:vAlign w:val="bottom"/>
            <w:shd w:val="clear" w:color="auto" w:fill="D8D8D8"/>
          </w:tcPr>
          <w:p>
            <w:pPr>
              <w:jc w:val="right"/>
              <w:ind w:right="30"/>
              <w:spacing w:after="0" w:line="155" w:lineRule="exact"/>
              <w:rPr>
                <w:sz w:val="20"/>
                <w:szCs w:val="20"/>
                <w:color w:val="auto"/>
              </w:rPr>
            </w:pPr>
            <w:r>
              <w:rPr>
                <w:rFonts w:ascii="Arial" w:cs="Arial" w:eastAsia="Arial" w:hAnsi="Arial"/>
                <w:sz w:val="14"/>
                <w:szCs w:val="14"/>
                <w:color w:val="auto"/>
              </w:rPr>
              <w:t>353,116</w:t>
            </w:r>
          </w:p>
        </w:tc>
        <w:tc>
          <w:tcPr>
            <w:tcW w:w="1500" w:type="dxa"/>
            <w:vAlign w:val="bottom"/>
          </w:tcPr>
          <w:p>
            <w:pPr>
              <w:jc w:val="right"/>
              <w:ind w:right="290"/>
              <w:spacing w:after="0" w:line="155" w:lineRule="exact"/>
              <w:rPr>
                <w:sz w:val="20"/>
                <w:szCs w:val="20"/>
                <w:color w:val="auto"/>
              </w:rPr>
            </w:pPr>
            <w:r>
              <w:rPr>
                <w:rFonts w:ascii="Arial" w:cs="Arial" w:eastAsia="Arial" w:hAnsi="Arial"/>
                <w:sz w:val="14"/>
                <w:szCs w:val="14"/>
                <w:color w:val="auto"/>
              </w:rPr>
              <w:t>357,512</w:t>
            </w:r>
          </w:p>
        </w:tc>
        <w:tc>
          <w:tcPr>
            <w:tcW w:w="1260" w:type="dxa"/>
            <w:vAlign w:val="bottom"/>
          </w:tcPr>
          <w:p>
            <w:pPr>
              <w:jc w:val="right"/>
              <w:ind w:right="290"/>
              <w:spacing w:after="0" w:line="155" w:lineRule="exact"/>
              <w:rPr>
                <w:sz w:val="20"/>
                <w:szCs w:val="20"/>
                <w:color w:val="auto"/>
              </w:rPr>
            </w:pPr>
            <w:r>
              <w:rPr>
                <w:rFonts w:ascii="Arial" w:cs="Arial" w:eastAsia="Arial" w:hAnsi="Arial"/>
                <w:sz w:val="14"/>
                <w:szCs w:val="14"/>
                <w:color w:val="auto"/>
              </w:rPr>
              <w:t>350,294</w:t>
            </w:r>
          </w:p>
        </w:tc>
        <w:tc>
          <w:tcPr>
            <w:tcW w:w="1020" w:type="dxa"/>
            <w:vAlign w:val="bottom"/>
          </w:tcPr>
          <w:p>
            <w:pPr>
              <w:jc w:val="right"/>
              <w:ind w:right="70"/>
              <w:spacing w:after="0" w:line="155" w:lineRule="exact"/>
              <w:rPr>
                <w:sz w:val="20"/>
                <w:szCs w:val="20"/>
                <w:color w:val="auto"/>
              </w:rPr>
            </w:pPr>
            <w:r>
              <w:rPr>
                <w:rFonts w:ascii="Arial" w:cs="Arial" w:eastAsia="Arial" w:hAnsi="Arial"/>
                <w:sz w:val="14"/>
                <w:szCs w:val="14"/>
                <w:color w:val="auto"/>
              </w:rPr>
              <w:t>337,474</w:t>
            </w:r>
          </w:p>
        </w:tc>
        <w:tc>
          <w:tcPr>
            <w:tcW w:w="1260" w:type="dxa"/>
            <w:vAlign w:val="bottom"/>
          </w:tcPr>
          <w:p>
            <w:pPr>
              <w:jc w:val="right"/>
              <w:ind w:right="29"/>
              <w:spacing w:after="0" w:line="155" w:lineRule="exact"/>
              <w:rPr>
                <w:sz w:val="20"/>
                <w:szCs w:val="20"/>
                <w:color w:val="auto"/>
              </w:rPr>
            </w:pPr>
            <w:r>
              <w:rPr>
                <w:rFonts w:ascii="Arial" w:cs="Arial" w:eastAsia="Arial" w:hAnsi="Arial"/>
                <w:sz w:val="14"/>
                <w:szCs w:val="14"/>
                <w:color w:val="auto"/>
              </w:rPr>
              <w:t>317,271</w:t>
            </w:r>
          </w:p>
        </w:tc>
      </w:tr>
      <w:tr>
        <w:trPr>
          <w:trHeight w:val="162"/>
        </w:trPr>
        <w:tc>
          <w:tcPr>
            <w:tcW w:w="5140" w:type="dxa"/>
            <w:vAlign w:val="bottom"/>
          </w:tcPr>
          <w:p>
            <w:pPr>
              <w:spacing w:after="0"/>
              <w:rPr>
                <w:sz w:val="20"/>
                <w:szCs w:val="20"/>
                <w:color w:val="auto"/>
              </w:rPr>
            </w:pPr>
            <w:r>
              <w:rPr>
                <w:rFonts w:ascii="Arial" w:cs="Arial" w:eastAsia="Arial" w:hAnsi="Arial"/>
                <w:sz w:val="14"/>
                <w:szCs w:val="14"/>
                <w:color w:val="auto"/>
              </w:rPr>
              <w:t>Total debt</w:t>
            </w:r>
          </w:p>
        </w:tc>
        <w:tc>
          <w:tcPr>
            <w:tcW w:w="1240" w:type="dxa"/>
            <w:vAlign w:val="bottom"/>
            <w:shd w:val="clear" w:color="auto" w:fill="D8D8D8"/>
          </w:tcPr>
          <w:p>
            <w:pPr>
              <w:jc w:val="right"/>
              <w:ind w:right="30"/>
              <w:spacing w:after="0"/>
              <w:rPr>
                <w:sz w:val="20"/>
                <w:szCs w:val="20"/>
                <w:color w:val="auto"/>
              </w:rPr>
            </w:pPr>
            <w:r>
              <w:rPr>
                <w:rFonts w:ascii="Arial" w:cs="Arial" w:eastAsia="Arial" w:hAnsi="Arial"/>
                <w:sz w:val="14"/>
                <w:szCs w:val="14"/>
                <w:color w:val="auto"/>
              </w:rPr>
              <w:t>45,540</w:t>
            </w:r>
          </w:p>
        </w:tc>
        <w:tc>
          <w:tcPr>
            <w:tcW w:w="1500" w:type="dxa"/>
            <w:vAlign w:val="bottom"/>
          </w:tcPr>
          <w:p>
            <w:pPr>
              <w:jc w:val="right"/>
              <w:ind w:right="290"/>
              <w:spacing w:after="0"/>
              <w:rPr>
                <w:sz w:val="20"/>
                <w:szCs w:val="20"/>
                <w:color w:val="auto"/>
              </w:rPr>
            </w:pPr>
            <w:r>
              <w:rPr>
                <w:rFonts w:ascii="Arial" w:cs="Arial" w:eastAsia="Arial" w:hAnsi="Arial"/>
                <w:sz w:val="14"/>
                <w:szCs w:val="14"/>
                <w:color w:val="auto"/>
              </w:rPr>
              <w:t>44,562</w:t>
            </w:r>
          </w:p>
        </w:tc>
        <w:tc>
          <w:tcPr>
            <w:tcW w:w="1260" w:type="dxa"/>
            <w:vAlign w:val="bottom"/>
          </w:tcPr>
          <w:p>
            <w:pPr>
              <w:jc w:val="right"/>
              <w:ind w:right="290"/>
              <w:spacing w:after="0"/>
              <w:rPr>
                <w:sz w:val="20"/>
                <w:szCs w:val="20"/>
                <w:color w:val="auto"/>
              </w:rPr>
            </w:pPr>
            <w:r>
              <w:rPr>
                <w:rFonts w:ascii="Arial" w:cs="Arial" w:eastAsia="Arial" w:hAnsi="Arial"/>
                <w:sz w:val="14"/>
                <w:szCs w:val="14"/>
                <w:color w:val="auto"/>
              </w:rPr>
              <w:t>37,754</w:t>
            </w:r>
          </w:p>
        </w:tc>
        <w:tc>
          <w:tcPr>
            <w:tcW w:w="1020" w:type="dxa"/>
            <w:vAlign w:val="bottom"/>
          </w:tcPr>
          <w:p>
            <w:pPr>
              <w:jc w:val="right"/>
              <w:ind w:right="70"/>
              <w:spacing w:after="0"/>
              <w:rPr>
                <w:sz w:val="20"/>
                <w:szCs w:val="20"/>
                <w:color w:val="auto"/>
              </w:rPr>
            </w:pPr>
            <w:r>
              <w:rPr>
                <w:rFonts w:ascii="Arial" w:cs="Arial" w:eastAsia="Arial" w:hAnsi="Arial"/>
                <w:sz w:val="14"/>
                <w:szCs w:val="14"/>
                <w:color w:val="auto"/>
              </w:rPr>
              <w:t>37,175</w:t>
            </w:r>
          </w:p>
        </w:tc>
        <w:tc>
          <w:tcPr>
            <w:tcW w:w="1260" w:type="dxa"/>
            <w:vAlign w:val="bottom"/>
          </w:tcPr>
          <w:p>
            <w:pPr>
              <w:jc w:val="right"/>
              <w:ind w:right="29"/>
              <w:spacing w:after="0"/>
              <w:rPr>
                <w:sz w:val="20"/>
                <w:szCs w:val="20"/>
                <w:color w:val="auto"/>
              </w:rPr>
            </w:pPr>
            <w:r>
              <w:rPr>
                <w:rFonts w:ascii="Arial" w:cs="Arial" w:eastAsia="Arial" w:hAnsi="Arial"/>
                <w:sz w:val="14"/>
                <w:szCs w:val="14"/>
                <w:color w:val="auto"/>
              </w:rPr>
              <w:t>44,332</w:t>
            </w:r>
          </w:p>
        </w:tc>
      </w:tr>
      <w:tr>
        <w:trPr>
          <w:trHeight w:val="167"/>
        </w:trPr>
        <w:tc>
          <w:tcPr>
            <w:tcW w:w="5140" w:type="dxa"/>
            <w:vAlign w:val="bottom"/>
          </w:tcPr>
          <w:p>
            <w:pPr>
              <w:spacing w:after="0"/>
              <w:rPr>
                <w:sz w:val="20"/>
                <w:szCs w:val="20"/>
                <w:color w:val="auto"/>
              </w:rPr>
            </w:pPr>
            <w:r>
              <w:rPr>
                <w:rFonts w:ascii="Arial" w:cs="Arial" w:eastAsia="Arial" w:hAnsi="Arial"/>
                <w:sz w:val="14"/>
                <w:szCs w:val="14"/>
                <w:color w:val="auto"/>
              </w:rPr>
              <w:t>Share capital</w:t>
            </w:r>
          </w:p>
        </w:tc>
        <w:tc>
          <w:tcPr>
            <w:tcW w:w="1240" w:type="dxa"/>
            <w:vAlign w:val="bottom"/>
            <w:shd w:val="clear" w:color="auto" w:fill="D8D8D8"/>
          </w:tcPr>
          <w:p>
            <w:pPr>
              <w:jc w:val="right"/>
              <w:ind w:right="30"/>
              <w:spacing w:after="0"/>
              <w:rPr>
                <w:sz w:val="20"/>
                <w:szCs w:val="20"/>
                <w:color w:val="auto"/>
              </w:rPr>
            </w:pPr>
            <w:r>
              <w:rPr>
                <w:rFonts w:ascii="Arial" w:cs="Arial" w:eastAsia="Arial" w:hAnsi="Arial"/>
                <w:sz w:val="14"/>
                <w:szCs w:val="14"/>
                <w:color w:val="auto"/>
              </w:rPr>
              <w:t>540</w:t>
            </w:r>
          </w:p>
        </w:tc>
        <w:tc>
          <w:tcPr>
            <w:tcW w:w="1500" w:type="dxa"/>
            <w:vAlign w:val="bottom"/>
          </w:tcPr>
          <w:p>
            <w:pPr>
              <w:jc w:val="right"/>
              <w:ind w:right="290"/>
              <w:spacing w:after="0"/>
              <w:rPr>
                <w:sz w:val="20"/>
                <w:szCs w:val="20"/>
                <w:color w:val="auto"/>
              </w:rPr>
            </w:pPr>
            <w:r>
              <w:rPr>
                <w:rFonts w:ascii="Arial" w:cs="Arial" w:eastAsia="Arial" w:hAnsi="Arial"/>
                <w:sz w:val="14"/>
                <w:szCs w:val="14"/>
                <w:color w:val="auto"/>
              </w:rPr>
              <w:t>542</w:t>
            </w:r>
          </w:p>
        </w:tc>
        <w:tc>
          <w:tcPr>
            <w:tcW w:w="1260" w:type="dxa"/>
            <w:vAlign w:val="bottom"/>
          </w:tcPr>
          <w:p>
            <w:pPr>
              <w:jc w:val="right"/>
              <w:ind w:right="290"/>
              <w:spacing w:after="0"/>
              <w:rPr>
                <w:sz w:val="20"/>
                <w:szCs w:val="20"/>
                <w:color w:val="auto"/>
              </w:rPr>
            </w:pPr>
            <w:r>
              <w:rPr>
                <w:rFonts w:ascii="Arial" w:cs="Arial" w:eastAsia="Arial" w:hAnsi="Arial"/>
                <w:sz w:val="14"/>
                <w:szCs w:val="14"/>
                <w:color w:val="auto"/>
              </w:rPr>
              <w:t>542</w:t>
            </w:r>
          </w:p>
        </w:tc>
        <w:tc>
          <w:tcPr>
            <w:tcW w:w="1020" w:type="dxa"/>
            <w:vAlign w:val="bottom"/>
          </w:tcPr>
          <w:p>
            <w:pPr>
              <w:jc w:val="right"/>
              <w:ind w:right="70"/>
              <w:spacing w:after="0"/>
              <w:rPr>
                <w:sz w:val="20"/>
                <w:szCs w:val="20"/>
                <w:color w:val="auto"/>
              </w:rPr>
            </w:pPr>
            <w:r>
              <w:rPr>
                <w:rFonts w:ascii="Arial" w:cs="Arial" w:eastAsia="Arial" w:hAnsi="Arial"/>
                <w:sz w:val="14"/>
                <w:szCs w:val="14"/>
                <w:color w:val="auto"/>
              </w:rPr>
              <w:t>536</w:t>
            </w:r>
          </w:p>
        </w:tc>
        <w:tc>
          <w:tcPr>
            <w:tcW w:w="1260" w:type="dxa"/>
            <w:vAlign w:val="bottom"/>
          </w:tcPr>
          <w:p>
            <w:pPr>
              <w:jc w:val="right"/>
              <w:ind w:right="29"/>
              <w:spacing w:after="0"/>
              <w:rPr>
                <w:sz w:val="20"/>
                <w:szCs w:val="20"/>
                <w:color w:val="auto"/>
              </w:rPr>
            </w:pPr>
            <w:r>
              <w:rPr>
                <w:rFonts w:ascii="Arial" w:cs="Arial" w:eastAsia="Arial" w:hAnsi="Arial"/>
                <w:sz w:val="14"/>
                <w:szCs w:val="14"/>
                <w:color w:val="auto"/>
              </w:rPr>
              <w:t>529</w:t>
            </w:r>
          </w:p>
        </w:tc>
      </w:tr>
      <w:tr>
        <w:trPr>
          <w:trHeight w:val="162"/>
        </w:trPr>
        <w:tc>
          <w:tcPr>
            <w:tcW w:w="5140" w:type="dxa"/>
            <w:vAlign w:val="bottom"/>
          </w:tcPr>
          <w:p>
            <w:pPr>
              <w:spacing w:after="0"/>
              <w:rPr>
                <w:sz w:val="20"/>
                <w:szCs w:val="20"/>
                <w:color w:val="auto"/>
              </w:rPr>
            </w:pPr>
            <w:r>
              <w:rPr>
                <w:rFonts w:ascii="Arial" w:cs="Arial" w:eastAsia="Arial" w:hAnsi="Arial"/>
                <w:sz w:val="14"/>
                <w:szCs w:val="14"/>
                <w:color w:val="auto"/>
              </w:rPr>
              <w:t>Equity attributable to Royal Dutch Shell plc shareholders</w:t>
            </w:r>
          </w:p>
        </w:tc>
        <w:tc>
          <w:tcPr>
            <w:tcW w:w="1240" w:type="dxa"/>
            <w:vAlign w:val="bottom"/>
            <w:shd w:val="clear" w:color="auto" w:fill="D8D8D8"/>
          </w:tcPr>
          <w:p>
            <w:pPr>
              <w:jc w:val="right"/>
              <w:ind w:right="30"/>
              <w:spacing w:after="0"/>
              <w:rPr>
                <w:sz w:val="20"/>
                <w:szCs w:val="20"/>
                <w:color w:val="auto"/>
              </w:rPr>
            </w:pPr>
            <w:r>
              <w:rPr>
                <w:rFonts w:ascii="Arial" w:cs="Arial" w:eastAsia="Arial" w:hAnsi="Arial"/>
                <w:sz w:val="14"/>
                <w:szCs w:val="14"/>
                <w:color w:val="auto"/>
              </w:rPr>
              <w:t>171,966</w:t>
            </w:r>
          </w:p>
        </w:tc>
        <w:tc>
          <w:tcPr>
            <w:tcW w:w="1500" w:type="dxa"/>
            <w:vAlign w:val="bottom"/>
          </w:tcPr>
          <w:p>
            <w:pPr>
              <w:jc w:val="right"/>
              <w:ind w:right="290"/>
              <w:spacing w:after="0"/>
              <w:rPr>
                <w:sz w:val="20"/>
                <w:szCs w:val="20"/>
                <w:color w:val="auto"/>
              </w:rPr>
            </w:pPr>
            <w:r>
              <w:rPr>
                <w:rFonts w:ascii="Arial" w:cs="Arial" w:eastAsia="Arial" w:hAnsi="Arial"/>
                <w:sz w:val="14"/>
                <w:szCs w:val="14"/>
                <w:color w:val="auto"/>
              </w:rPr>
              <w:t>180,047</w:t>
            </w:r>
          </w:p>
        </w:tc>
        <w:tc>
          <w:tcPr>
            <w:tcW w:w="1260" w:type="dxa"/>
            <w:vAlign w:val="bottom"/>
          </w:tcPr>
          <w:p>
            <w:pPr>
              <w:jc w:val="right"/>
              <w:ind w:right="290"/>
              <w:spacing w:after="0"/>
              <w:rPr>
                <w:sz w:val="20"/>
                <w:szCs w:val="20"/>
                <w:color w:val="auto"/>
              </w:rPr>
            </w:pPr>
            <w:r>
              <w:rPr>
                <w:rFonts w:ascii="Arial" w:cs="Arial" w:eastAsia="Arial" w:hAnsi="Arial"/>
                <w:sz w:val="14"/>
                <w:szCs w:val="14"/>
                <w:color w:val="auto"/>
              </w:rPr>
              <w:t>174,749</w:t>
            </w:r>
          </w:p>
        </w:tc>
        <w:tc>
          <w:tcPr>
            <w:tcW w:w="1020" w:type="dxa"/>
            <w:vAlign w:val="bottom"/>
          </w:tcPr>
          <w:p>
            <w:pPr>
              <w:jc w:val="right"/>
              <w:ind w:right="70"/>
              <w:spacing w:after="0"/>
              <w:rPr>
                <w:sz w:val="20"/>
                <w:szCs w:val="20"/>
                <w:color w:val="auto"/>
              </w:rPr>
            </w:pPr>
            <w:r>
              <w:rPr>
                <w:rFonts w:ascii="Arial" w:cs="Arial" w:eastAsia="Arial" w:hAnsi="Arial"/>
                <w:sz w:val="14"/>
                <w:szCs w:val="14"/>
                <w:color w:val="auto"/>
              </w:rPr>
              <w:t>158,480</w:t>
            </w:r>
          </w:p>
        </w:tc>
        <w:tc>
          <w:tcPr>
            <w:tcW w:w="1260" w:type="dxa"/>
            <w:vAlign w:val="bottom"/>
          </w:tcPr>
          <w:p>
            <w:pPr>
              <w:jc w:val="right"/>
              <w:ind w:right="29"/>
              <w:spacing w:after="0"/>
              <w:rPr>
                <w:sz w:val="20"/>
                <w:szCs w:val="20"/>
                <w:color w:val="auto"/>
              </w:rPr>
            </w:pPr>
            <w:r>
              <w:rPr>
                <w:rFonts w:ascii="Arial" w:cs="Arial" w:eastAsia="Arial" w:hAnsi="Arial"/>
                <w:sz w:val="14"/>
                <w:szCs w:val="14"/>
                <w:color w:val="auto"/>
              </w:rPr>
              <w:t>140,453</w:t>
            </w:r>
          </w:p>
        </w:tc>
      </w:tr>
      <w:tr>
        <w:trPr>
          <w:trHeight w:val="157"/>
        </w:trPr>
        <w:tc>
          <w:tcPr>
            <w:tcW w:w="5140" w:type="dxa"/>
            <w:vAlign w:val="bottom"/>
            <w:tcBorders>
              <w:bottom w:val="single" w:sz="8" w:color="auto"/>
            </w:tcBorders>
          </w:tcPr>
          <w:p>
            <w:pPr>
              <w:spacing w:after="0" w:line="157" w:lineRule="exact"/>
              <w:rPr>
                <w:sz w:val="20"/>
                <w:szCs w:val="20"/>
                <w:color w:val="auto"/>
              </w:rPr>
            </w:pPr>
            <w:r>
              <w:rPr>
                <w:rFonts w:ascii="Arial" w:cs="Arial" w:eastAsia="Arial" w:hAnsi="Arial"/>
                <w:sz w:val="14"/>
                <w:szCs w:val="14"/>
                <w:color w:val="auto"/>
              </w:rPr>
              <w:t>Non-controlling interest</w:t>
            </w:r>
          </w:p>
        </w:tc>
        <w:tc>
          <w:tcPr>
            <w:tcW w:w="1240" w:type="dxa"/>
            <w:vAlign w:val="bottom"/>
            <w:tcBorders>
              <w:bottom w:val="single" w:sz="8" w:color="auto"/>
            </w:tcBorders>
            <w:shd w:val="clear" w:color="auto" w:fill="D8D8D8"/>
          </w:tcPr>
          <w:p>
            <w:pPr>
              <w:jc w:val="right"/>
              <w:ind w:right="30"/>
              <w:spacing w:after="0" w:line="157" w:lineRule="exact"/>
              <w:rPr>
                <w:sz w:val="20"/>
                <w:szCs w:val="20"/>
                <w:color w:val="auto"/>
              </w:rPr>
            </w:pPr>
            <w:r>
              <w:rPr>
                <w:rFonts w:ascii="Arial" w:cs="Arial" w:eastAsia="Arial" w:hAnsi="Arial"/>
                <w:sz w:val="14"/>
                <w:szCs w:val="14"/>
                <w:color w:val="auto"/>
              </w:rPr>
              <w:t>820</w:t>
            </w:r>
          </w:p>
        </w:tc>
        <w:tc>
          <w:tcPr>
            <w:tcW w:w="1500" w:type="dxa"/>
            <w:vAlign w:val="bottom"/>
            <w:tcBorders>
              <w:bottom w:val="single" w:sz="8" w:color="auto"/>
            </w:tcBorders>
          </w:tcPr>
          <w:p>
            <w:pPr>
              <w:jc w:val="right"/>
              <w:ind w:right="290"/>
              <w:spacing w:after="0" w:line="157" w:lineRule="exact"/>
              <w:rPr>
                <w:sz w:val="20"/>
                <w:szCs w:val="20"/>
                <w:color w:val="auto"/>
              </w:rPr>
            </w:pPr>
            <w:r>
              <w:rPr>
                <w:rFonts w:ascii="Arial" w:cs="Arial" w:eastAsia="Arial" w:hAnsi="Arial"/>
                <w:sz w:val="14"/>
                <w:szCs w:val="14"/>
                <w:color w:val="auto"/>
              </w:rPr>
              <w:t>1,101</w:t>
            </w:r>
          </w:p>
        </w:tc>
        <w:tc>
          <w:tcPr>
            <w:tcW w:w="1260" w:type="dxa"/>
            <w:vAlign w:val="bottom"/>
            <w:tcBorders>
              <w:bottom w:val="single" w:sz="8" w:color="auto"/>
            </w:tcBorders>
          </w:tcPr>
          <w:p>
            <w:pPr>
              <w:jc w:val="right"/>
              <w:ind w:right="290"/>
              <w:spacing w:after="0" w:line="157" w:lineRule="exact"/>
              <w:rPr>
                <w:sz w:val="20"/>
                <w:szCs w:val="20"/>
                <w:color w:val="auto"/>
              </w:rPr>
            </w:pPr>
            <w:r>
              <w:rPr>
                <w:rFonts w:ascii="Arial" w:cs="Arial" w:eastAsia="Arial" w:hAnsi="Arial"/>
                <w:sz w:val="14"/>
                <w:szCs w:val="14"/>
                <w:color w:val="auto"/>
              </w:rPr>
              <w:t>1,433</w:t>
            </w:r>
          </w:p>
        </w:tc>
        <w:tc>
          <w:tcPr>
            <w:tcW w:w="1020" w:type="dxa"/>
            <w:vAlign w:val="bottom"/>
            <w:tcBorders>
              <w:bottom w:val="single" w:sz="8" w:color="auto"/>
            </w:tcBorders>
          </w:tcPr>
          <w:p>
            <w:pPr>
              <w:jc w:val="right"/>
              <w:ind w:right="70"/>
              <w:spacing w:after="0" w:line="157" w:lineRule="exact"/>
              <w:rPr>
                <w:sz w:val="20"/>
                <w:szCs w:val="20"/>
                <w:color w:val="auto"/>
              </w:rPr>
            </w:pPr>
            <w:r>
              <w:rPr>
                <w:rFonts w:ascii="Arial" w:cs="Arial" w:eastAsia="Arial" w:hAnsi="Arial"/>
                <w:sz w:val="14"/>
                <w:szCs w:val="14"/>
                <w:color w:val="auto"/>
              </w:rPr>
              <w:t>1,486</w:t>
            </w:r>
          </w:p>
        </w:tc>
        <w:tc>
          <w:tcPr>
            <w:tcW w:w="1260" w:type="dxa"/>
            <w:vAlign w:val="bottom"/>
            <w:tcBorders>
              <w:bottom w:val="single" w:sz="8" w:color="auto"/>
            </w:tcBorders>
          </w:tcPr>
          <w:p>
            <w:pPr>
              <w:jc w:val="right"/>
              <w:ind w:right="29"/>
              <w:spacing w:after="0" w:line="157" w:lineRule="exact"/>
              <w:rPr>
                <w:sz w:val="20"/>
                <w:szCs w:val="20"/>
                <w:color w:val="auto"/>
              </w:rPr>
            </w:pPr>
            <w:r>
              <w:rPr>
                <w:rFonts w:ascii="Arial" w:cs="Arial" w:eastAsia="Arial" w:hAnsi="Arial"/>
                <w:sz w:val="14"/>
                <w:szCs w:val="14"/>
                <w:color w:val="auto"/>
              </w:rPr>
              <w:t>1,767</w:t>
            </w:r>
          </w:p>
        </w:tc>
      </w:tr>
    </w:tbl>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5120" w:type="dxa"/>
            <w:vAlign w:val="bottom"/>
            <w:shd w:val="clear" w:color="auto" w:fill="333333"/>
          </w:tcPr>
          <w:p>
            <w:pPr>
              <w:ind w:left="60"/>
              <w:spacing w:after="0"/>
              <w:rPr>
                <w:sz w:val="20"/>
                <w:szCs w:val="20"/>
                <w:color w:val="auto"/>
              </w:rPr>
            </w:pPr>
            <w:r>
              <w:rPr>
                <w:rFonts w:ascii="Arial" w:cs="Arial" w:eastAsia="Arial" w:hAnsi="Arial"/>
                <w:sz w:val="15"/>
                <w:szCs w:val="15"/>
                <w:b w:val="1"/>
                <w:bCs w:val="1"/>
                <w:color w:val="FFFFFF"/>
              </w:rPr>
              <w:t>EARNINGS PER SHARE</w:t>
            </w:r>
          </w:p>
        </w:tc>
        <w:tc>
          <w:tcPr>
            <w:tcW w:w="1240" w:type="dxa"/>
            <w:vAlign w:val="bottom"/>
            <w:shd w:val="clear" w:color="auto" w:fill="333333"/>
          </w:tcPr>
          <w:p>
            <w:pPr>
              <w:spacing w:after="0"/>
              <w:rPr>
                <w:sz w:val="14"/>
                <w:szCs w:val="14"/>
                <w:color w:val="auto"/>
              </w:rPr>
            </w:pPr>
          </w:p>
        </w:tc>
        <w:tc>
          <w:tcPr>
            <w:tcW w:w="1620" w:type="dxa"/>
            <w:vAlign w:val="bottom"/>
            <w:shd w:val="clear" w:color="auto" w:fill="333333"/>
          </w:tcPr>
          <w:p>
            <w:pPr>
              <w:spacing w:after="0"/>
              <w:rPr>
                <w:sz w:val="14"/>
                <w:szCs w:val="14"/>
                <w:color w:val="auto"/>
              </w:rPr>
            </w:pPr>
          </w:p>
        </w:tc>
        <w:tc>
          <w:tcPr>
            <w:tcW w:w="1260" w:type="dxa"/>
            <w:vAlign w:val="bottom"/>
            <w:shd w:val="clear" w:color="auto" w:fill="333333"/>
          </w:tcPr>
          <w:p>
            <w:pPr>
              <w:spacing w:after="0"/>
              <w:rPr>
                <w:sz w:val="14"/>
                <w:szCs w:val="14"/>
                <w:color w:val="auto"/>
              </w:rPr>
            </w:pPr>
          </w:p>
        </w:tc>
        <w:tc>
          <w:tcPr>
            <w:tcW w:w="1280" w:type="dxa"/>
            <w:vAlign w:val="bottom"/>
            <w:shd w:val="clear" w:color="auto" w:fill="333333"/>
          </w:tcPr>
          <w:p>
            <w:pPr>
              <w:spacing w:after="0"/>
              <w:rPr>
                <w:sz w:val="14"/>
                <w:szCs w:val="14"/>
                <w:color w:val="auto"/>
              </w:rPr>
            </w:pPr>
          </w:p>
        </w:tc>
        <w:tc>
          <w:tcPr>
            <w:tcW w:w="880" w:type="dxa"/>
            <w:vAlign w:val="bottom"/>
            <w:shd w:val="clear" w:color="auto" w:fill="333333"/>
          </w:tcPr>
          <w:p>
            <w:pPr>
              <w:jc w:val="center"/>
              <w:ind w:left="329"/>
              <w:spacing w:after="0"/>
              <w:rPr>
                <w:sz w:val="20"/>
                <w:szCs w:val="20"/>
                <w:color w:val="auto"/>
              </w:rPr>
            </w:pPr>
            <w:r>
              <w:rPr>
                <w:rFonts w:ascii="Arial" w:cs="Arial" w:eastAsia="Arial" w:hAnsi="Arial"/>
                <w:sz w:val="15"/>
                <w:szCs w:val="15"/>
                <w:color w:val="FFFFFF"/>
                <w:w w:val="95"/>
              </w:rPr>
              <w:t>$</w:t>
            </w:r>
          </w:p>
        </w:tc>
      </w:tr>
      <w:tr>
        <w:trPr>
          <w:trHeight w:val="149"/>
        </w:trPr>
        <w:tc>
          <w:tcPr>
            <w:tcW w:w="20" w:type="dxa"/>
            <w:vAlign w:val="bottom"/>
          </w:tcPr>
          <w:p>
            <w:pPr>
              <w:spacing w:after="0"/>
              <w:rPr>
                <w:sz w:val="12"/>
                <w:szCs w:val="12"/>
                <w:color w:val="auto"/>
              </w:rPr>
            </w:pPr>
          </w:p>
        </w:tc>
        <w:tc>
          <w:tcPr>
            <w:tcW w:w="5120" w:type="dxa"/>
            <w:vAlign w:val="bottom"/>
            <w:tcBorders>
              <w:bottom w:val="single" w:sz="8" w:color="auto"/>
            </w:tcBorders>
          </w:tcPr>
          <w:p>
            <w:pPr>
              <w:spacing w:after="0"/>
              <w:rPr>
                <w:sz w:val="12"/>
                <w:szCs w:val="12"/>
                <w:color w:val="auto"/>
              </w:rPr>
            </w:pPr>
          </w:p>
        </w:tc>
        <w:tc>
          <w:tcPr>
            <w:tcW w:w="1240" w:type="dxa"/>
            <w:vAlign w:val="bottom"/>
            <w:tcBorders>
              <w:bottom w:val="single" w:sz="8" w:color="auto"/>
            </w:tcBorders>
            <w:shd w:val="clear" w:color="auto" w:fill="D8D8D8"/>
          </w:tcPr>
          <w:p>
            <w:pPr>
              <w:jc w:val="right"/>
              <w:ind w:right="31"/>
              <w:spacing w:after="0"/>
              <w:rPr>
                <w:sz w:val="20"/>
                <w:szCs w:val="20"/>
                <w:color w:val="auto"/>
              </w:rPr>
            </w:pPr>
            <w:r>
              <w:rPr>
                <w:rFonts w:ascii="Arial" w:cs="Arial" w:eastAsia="Arial" w:hAnsi="Arial"/>
                <w:sz w:val="13"/>
                <w:szCs w:val="13"/>
                <w:color w:val="auto"/>
              </w:rPr>
              <w:t>2014</w:t>
            </w:r>
          </w:p>
        </w:tc>
        <w:tc>
          <w:tcPr>
            <w:tcW w:w="1620" w:type="dxa"/>
            <w:vAlign w:val="bottom"/>
            <w:tcBorders>
              <w:bottom w:val="single" w:sz="8" w:color="auto"/>
            </w:tcBorders>
          </w:tcPr>
          <w:p>
            <w:pPr>
              <w:jc w:val="right"/>
              <w:ind w:right="411"/>
              <w:spacing w:after="0"/>
              <w:rPr>
                <w:sz w:val="20"/>
                <w:szCs w:val="20"/>
                <w:color w:val="auto"/>
              </w:rPr>
            </w:pPr>
            <w:r>
              <w:rPr>
                <w:rFonts w:ascii="Arial" w:cs="Arial" w:eastAsia="Arial" w:hAnsi="Arial"/>
                <w:sz w:val="13"/>
                <w:szCs w:val="13"/>
                <w:color w:val="auto"/>
              </w:rPr>
              <w:t>2013</w:t>
            </w:r>
          </w:p>
        </w:tc>
        <w:tc>
          <w:tcPr>
            <w:tcW w:w="1260" w:type="dxa"/>
            <w:vAlign w:val="bottom"/>
            <w:tcBorders>
              <w:bottom w:val="single" w:sz="8" w:color="auto"/>
            </w:tcBorders>
          </w:tcPr>
          <w:p>
            <w:pPr>
              <w:jc w:val="right"/>
              <w:ind w:right="411"/>
              <w:spacing w:after="0"/>
              <w:rPr>
                <w:sz w:val="20"/>
                <w:szCs w:val="20"/>
                <w:color w:val="auto"/>
              </w:rPr>
            </w:pPr>
            <w:r>
              <w:rPr>
                <w:rFonts w:ascii="Arial" w:cs="Arial" w:eastAsia="Arial" w:hAnsi="Arial"/>
                <w:sz w:val="13"/>
                <w:szCs w:val="13"/>
                <w:color w:val="auto"/>
              </w:rPr>
              <w:t>2012</w:t>
            </w:r>
          </w:p>
        </w:tc>
        <w:tc>
          <w:tcPr>
            <w:tcW w:w="1280" w:type="dxa"/>
            <w:vAlign w:val="bottom"/>
            <w:tcBorders>
              <w:bottom w:val="single" w:sz="8" w:color="auto"/>
            </w:tcBorders>
          </w:tcPr>
          <w:p>
            <w:pPr>
              <w:jc w:val="right"/>
              <w:ind w:right="451"/>
              <w:spacing w:after="0"/>
              <w:rPr>
                <w:sz w:val="20"/>
                <w:szCs w:val="20"/>
                <w:color w:val="auto"/>
              </w:rPr>
            </w:pPr>
            <w:r>
              <w:rPr>
                <w:rFonts w:ascii="Arial" w:cs="Arial" w:eastAsia="Arial" w:hAnsi="Arial"/>
                <w:sz w:val="13"/>
                <w:szCs w:val="13"/>
                <w:color w:val="auto"/>
              </w:rPr>
              <w:t>2011</w:t>
            </w:r>
          </w:p>
        </w:tc>
        <w:tc>
          <w:tcPr>
            <w:tcW w:w="880" w:type="dxa"/>
            <w:vAlign w:val="bottom"/>
            <w:tcBorders>
              <w:bottom w:val="single" w:sz="8" w:color="auto"/>
            </w:tcBorders>
          </w:tcPr>
          <w:p>
            <w:pPr>
              <w:jc w:val="center"/>
              <w:ind w:left="329"/>
              <w:spacing w:after="0"/>
              <w:rPr>
                <w:sz w:val="20"/>
                <w:szCs w:val="20"/>
                <w:color w:val="auto"/>
              </w:rPr>
            </w:pPr>
            <w:r>
              <w:rPr>
                <w:rFonts w:ascii="Arial" w:cs="Arial" w:eastAsia="Arial" w:hAnsi="Arial"/>
                <w:sz w:val="13"/>
                <w:szCs w:val="13"/>
                <w:color w:val="auto"/>
                <w:w w:val="96"/>
              </w:rPr>
              <w:t>2010</w:t>
            </w:r>
          </w:p>
        </w:tc>
      </w:tr>
      <w:tr>
        <w:trPr>
          <w:trHeight w:val="196"/>
        </w:trPr>
        <w:tc>
          <w:tcPr>
            <w:tcW w:w="20" w:type="dxa"/>
            <w:vAlign w:val="bottom"/>
          </w:tcPr>
          <w:p>
            <w:pPr>
              <w:spacing w:after="0"/>
              <w:rPr>
                <w:sz w:val="17"/>
                <w:szCs w:val="17"/>
                <w:color w:val="auto"/>
              </w:rPr>
            </w:pPr>
          </w:p>
        </w:tc>
        <w:tc>
          <w:tcPr>
            <w:tcW w:w="5120" w:type="dxa"/>
            <w:vAlign w:val="bottom"/>
          </w:tcPr>
          <w:p>
            <w:pPr>
              <w:spacing w:after="0"/>
              <w:rPr>
                <w:sz w:val="20"/>
                <w:szCs w:val="20"/>
                <w:color w:val="auto"/>
              </w:rPr>
            </w:pPr>
            <w:r>
              <w:rPr>
                <w:rFonts w:ascii="Arial" w:cs="Arial" w:eastAsia="Arial" w:hAnsi="Arial"/>
                <w:sz w:val="14"/>
                <w:szCs w:val="14"/>
                <w:color w:val="auto"/>
              </w:rPr>
              <w:t xml:space="preserve">Basic earnings per </w:t>
            </w:r>
            <w:r>
              <w:rPr>
                <w:rFonts w:ascii="Arial" w:cs="Arial" w:eastAsia="Arial" w:hAnsi="Arial"/>
                <w:sz w:val="16"/>
                <w:szCs w:val="16"/>
                <w:color w:val="auto"/>
              </w:rPr>
              <w:t>€</w:t>
            </w:r>
            <w:r>
              <w:rPr>
                <w:rFonts w:ascii="Arial" w:cs="Arial" w:eastAsia="Arial" w:hAnsi="Arial"/>
                <w:sz w:val="14"/>
                <w:szCs w:val="14"/>
                <w:color w:val="auto"/>
              </w:rPr>
              <w:t>0.07 ordinary share</w:t>
            </w:r>
          </w:p>
        </w:tc>
        <w:tc>
          <w:tcPr>
            <w:tcW w:w="1240" w:type="dxa"/>
            <w:vAlign w:val="bottom"/>
            <w:shd w:val="clear" w:color="auto" w:fill="D8D8D8"/>
          </w:tcPr>
          <w:p>
            <w:pPr>
              <w:jc w:val="right"/>
              <w:ind w:right="31"/>
              <w:spacing w:after="0"/>
              <w:rPr>
                <w:sz w:val="20"/>
                <w:szCs w:val="20"/>
                <w:color w:val="auto"/>
              </w:rPr>
            </w:pPr>
            <w:r>
              <w:rPr>
                <w:rFonts w:ascii="Arial" w:cs="Arial" w:eastAsia="Arial" w:hAnsi="Arial"/>
                <w:sz w:val="14"/>
                <w:szCs w:val="14"/>
                <w:color w:val="auto"/>
              </w:rPr>
              <w:t>2.36</w:t>
            </w:r>
          </w:p>
        </w:tc>
        <w:tc>
          <w:tcPr>
            <w:tcW w:w="1620" w:type="dxa"/>
            <w:vAlign w:val="bottom"/>
          </w:tcPr>
          <w:p>
            <w:pPr>
              <w:jc w:val="right"/>
              <w:ind w:right="411"/>
              <w:spacing w:after="0"/>
              <w:rPr>
                <w:sz w:val="20"/>
                <w:szCs w:val="20"/>
                <w:color w:val="auto"/>
              </w:rPr>
            </w:pPr>
            <w:r>
              <w:rPr>
                <w:rFonts w:ascii="Arial" w:cs="Arial" w:eastAsia="Arial" w:hAnsi="Arial"/>
                <w:sz w:val="14"/>
                <w:szCs w:val="14"/>
                <w:color w:val="auto"/>
              </w:rPr>
              <w:t>2.60</w:t>
            </w:r>
          </w:p>
        </w:tc>
        <w:tc>
          <w:tcPr>
            <w:tcW w:w="1260" w:type="dxa"/>
            <w:vAlign w:val="bottom"/>
          </w:tcPr>
          <w:p>
            <w:pPr>
              <w:jc w:val="right"/>
              <w:ind w:right="411"/>
              <w:spacing w:after="0"/>
              <w:rPr>
                <w:sz w:val="20"/>
                <w:szCs w:val="20"/>
                <w:color w:val="auto"/>
              </w:rPr>
            </w:pPr>
            <w:r>
              <w:rPr>
                <w:rFonts w:ascii="Arial" w:cs="Arial" w:eastAsia="Arial" w:hAnsi="Arial"/>
                <w:sz w:val="14"/>
                <w:szCs w:val="14"/>
                <w:color w:val="auto"/>
              </w:rPr>
              <w:t>4.27</w:t>
            </w:r>
          </w:p>
        </w:tc>
        <w:tc>
          <w:tcPr>
            <w:tcW w:w="1280" w:type="dxa"/>
            <w:vAlign w:val="bottom"/>
          </w:tcPr>
          <w:p>
            <w:pPr>
              <w:jc w:val="right"/>
              <w:ind w:right="451"/>
              <w:spacing w:after="0"/>
              <w:rPr>
                <w:sz w:val="20"/>
                <w:szCs w:val="20"/>
                <w:color w:val="auto"/>
              </w:rPr>
            </w:pPr>
            <w:r>
              <w:rPr>
                <w:rFonts w:ascii="Arial" w:cs="Arial" w:eastAsia="Arial" w:hAnsi="Arial"/>
                <w:sz w:val="14"/>
                <w:szCs w:val="14"/>
                <w:color w:val="auto"/>
              </w:rPr>
              <w:t>4.97</w:t>
            </w:r>
          </w:p>
        </w:tc>
        <w:tc>
          <w:tcPr>
            <w:tcW w:w="880" w:type="dxa"/>
            <w:vAlign w:val="bottom"/>
          </w:tcPr>
          <w:p>
            <w:pPr>
              <w:jc w:val="center"/>
              <w:ind w:left="329"/>
              <w:spacing w:after="0"/>
              <w:rPr>
                <w:sz w:val="20"/>
                <w:szCs w:val="20"/>
                <w:color w:val="auto"/>
              </w:rPr>
            </w:pPr>
            <w:r>
              <w:rPr>
                <w:rFonts w:ascii="Arial" w:cs="Arial" w:eastAsia="Arial" w:hAnsi="Arial"/>
                <w:sz w:val="14"/>
                <w:szCs w:val="14"/>
                <w:color w:val="auto"/>
              </w:rPr>
              <w:t>3.28</w:t>
            </w:r>
          </w:p>
        </w:tc>
      </w:tr>
      <w:tr>
        <w:trPr>
          <w:trHeight w:val="203"/>
        </w:trPr>
        <w:tc>
          <w:tcPr>
            <w:tcW w:w="5140" w:type="dxa"/>
            <w:vAlign w:val="bottom"/>
            <w:gridSpan w:val="2"/>
          </w:tcPr>
          <w:p>
            <w:pPr>
              <w:spacing w:after="0"/>
              <w:rPr>
                <w:sz w:val="20"/>
                <w:szCs w:val="20"/>
                <w:color w:val="auto"/>
              </w:rPr>
            </w:pPr>
            <w:r>
              <w:rPr>
                <w:rFonts w:ascii="Arial" w:cs="Arial" w:eastAsia="Arial" w:hAnsi="Arial"/>
                <w:sz w:val="14"/>
                <w:szCs w:val="14"/>
                <w:color w:val="auto"/>
              </w:rPr>
              <w:t xml:space="preserve">Diluted earnings per </w:t>
            </w:r>
            <w:r>
              <w:rPr>
                <w:rFonts w:ascii="Arial" w:cs="Arial" w:eastAsia="Arial" w:hAnsi="Arial"/>
                <w:sz w:val="16"/>
                <w:szCs w:val="16"/>
                <w:color w:val="auto"/>
              </w:rPr>
              <w:t>€</w:t>
            </w:r>
            <w:r>
              <w:rPr>
                <w:rFonts w:ascii="Arial" w:cs="Arial" w:eastAsia="Arial" w:hAnsi="Arial"/>
                <w:sz w:val="14"/>
                <w:szCs w:val="14"/>
                <w:color w:val="auto"/>
              </w:rPr>
              <w:t>0.07 ordinary share</w:t>
            </w:r>
          </w:p>
        </w:tc>
        <w:tc>
          <w:tcPr>
            <w:tcW w:w="1240" w:type="dxa"/>
            <w:vAlign w:val="bottom"/>
            <w:shd w:val="clear" w:color="auto" w:fill="D8D8D8"/>
          </w:tcPr>
          <w:p>
            <w:pPr>
              <w:jc w:val="right"/>
              <w:ind w:right="31"/>
              <w:spacing w:after="0"/>
              <w:rPr>
                <w:sz w:val="20"/>
                <w:szCs w:val="20"/>
                <w:color w:val="auto"/>
              </w:rPr>
            </w:pPr>
            <w:r>
              <w:rPr>
                <w:rFonts w:ascii="Arial" w:cs="Arial" w:eastAsia="Arial" w:hAnsi="Arial"/>
                <w:sz w:val="14"/>
                <w:szCs w:val="14"/>
                <w:color w:val="auto"/>
              </w:rPr>
              <w:t>2.36</w:t>
            </w:r>
          </w:p>
        </w:tc>
        <w:tc>
          <w:tcPr>
            <w:tcW w:w="1620" w:type="dxa"/>
            <w:vAlign w:val="bottom"/>
          </w:tcPr>
          <w:p>
            <w:pPr>
              <w:jc w:val="right"/>
              <w:ind w:right="411"/>
              <w:spacing w:after="0"/>
              <w:rPr>
                <w:sz w:val="20"/>
                <w:szCs w:val="20"/>
                <w:color w:val="auto"/>
              </w:rPr>
            </w:pPr>
            <w:r>
              <w:rPr>
                <w:rFonts w:ascii="Arial" w:cs="Arial" w:eastAsia="Arial" w:hAnsi="Arial"/>
                <w:sz w:val="14"/>
                <w:szCs w:val="14"/>
                <w:color w:val="auto"/>
              </w:rPr>
              <w:t>2.60</w:t>
            </w:r>
          </w:p>
        </w:tc>
        <w:tc>
          <w:tcPr>
            <w:tcW w:w="1260" w:type="dxa"/>
            <w:vAlign w:val="bottom"/>
          </w:tcPr>
          <w:p>
            <w:pPr>
              <w:jc w:val="right"/>
              <w:ind w:right="411"/>
              <w:spacing w:after="0"/>
              <w:rPr>
                <w:sz w:val="20"/>
                <w:szCs w:val="20"/>
                <w:color w:val="auto"/>
              </w:rPr>
            </w:pPr>
            <w:r>
              <w:rPr>
                <w:rFonts w:ascii="Arial" w:cs="Arial" w:eastAsia="Arial" w:hAnsi="Arial"/>
                <w:sz w:val="14"/>
                <w:szCs w:val="14"/>
                <w:color w:val="auto"/>
              </w:rPr>
              <w:t>4.26</w:t>
            </w:r>
          </w:p>
        </w:tc>
        <w:tc>
          <w:tcPr>
            <w:tcW w:w="1280" w:type="dxa"/>
            <w:vAlign w:val="bottom"/>
          </w:tcPr>
          <w:p>
            <w:pPr>
              <w:jc w:val="right"/>
              <w:ind w:right="451"/>
              <w:spacing w:after="0"/>
              <w:rPr>
                <w:sz w:val="20"/>
                <w:szCs w:val="20"/>
                <w:color w:val="auto"/>
              </w:rPr>
            </w:pPr>
            <w:r>
              <w:rPr>
                <w:rFonts w:ascii="Arial" w:cs="Arial" w:eastAsia="Arial" w:hAnsi="Arial"/>
                <w:sz w:val="14"/>
                <w:szCs w:val="14"/>
                <w:color w:val="auto"/>
              </w:rPr>
              <w:t>4.96</w:t>
            </w:r>
          </w:p>
        </w:tc>
        <w:tc>
          <w:tcPr>
            <w:tcW w:w="880" w:type="dxa"/>
            <w:vAlign w:val="bottom"/>
          </w:tcPr>
          <w:p>
            <w:pPr>
              <w:jc w:val="center"/>
              <w:ind w:left="329"/>
              <w:spacing w:after="0"/>
              <w:rPr>
                <w:sz w:val="20"/>
                <w:szCs w:val="20"/>
                <w:color w:val="auto"/>
              </w:rPr>
            </w:pPr>
            <w:r>
              <w:rPr>
                <w:rFonts w:ascii="Arial" w:cs="Arial" w:eastAsia="Arial" w:hAnsi="Arial"/>
                <w:sz w:val="14"/>
                <w:szCs w:val="14"/>
                <w:color w:val="auto"/>
              </w:rPr>
              <w:t>3.28</w:t>
            </w:r>
          </w:p>
        </w:tc>
      </w:tr>
      <w:tr>
        <w:trPr>
          <w:trHeight w:val="20"/>
        </w:trPr>
        <w:tc>
          <w:tcPr>
            <w:tcW w:w="20" w:type="dxa"/>
            <w:vAlign w:val="bottom"/>
          </w:tcPr>
          <w:p>
            <w:pPr>
              <w:spacing w:after="0" w:line="20" w:lineRule="exact"/>
              <w:rPr>
                <w:sz w:val="1"/>
                <w:szCs w:val="1"/>
                <w:color w:val="auto"/>
              </w:rPr>
            </w:pPr>
          </w:p>
        </w:tc>
        <w:tc>
          <w:tcPr>
            <w:tcW w:w="512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62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r>
    </w:tbl>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4580" w:type="dxa"/>
            <w:vAlign w:val="bottom"/>
            <w:shd w:val="clear" w:color="auto" w:fill="333333"/>
          </w:tcPr>
          <w:p>
            <w:pPr>
              <w:ind w:left="80"/>
              <w:spacing w:after="0"/>
              <w:rPr>
                <w:sz w:val="20"/>
                <w:szCs w:val="20"/>
                <w:color w:val="auto"/>
              </w:rPr>
            </w:pPr>
            <w:r>
              <w:rPr>
                <w:rFonts w:ascii="Arial" w:cs="Arial" w:eastAsia="Arial" w:hAnsi="Arial"/>
                <w:sz w:val="15"/>
                <w:szCs w:val="15"/>
                <w:b w:val="1"/>
                <w:bCs w:val="1"/>
                <w:color w:val="FFFFFF"/>
              </w:rPr>
              <w:t>SHARES</w:t>
            </w:r>
          </w:p>
        </w:tc>
        <w:tc>
          <w:tcPr>
            <w:tcW w:w="1340" w:type="dxa"/>
            <w:vAlign w:val="bottom"/>
            <w:shd w:val="clear" w:color="auto" w:fill="333333"/>
          </w:tcPr>
          <w:p>
            <w:pPr>
              <w:spacing w:after="0"/>
              <w:rPr>
                <w:sz w:val="15"/>
                <w:szCs w:val="15"/>
                <w:color w:val="auto"/>
              </w:rPr>
            </w:pPr>
          </w:p>
        </w:tc>
        <w:tc>
          <w:tcPr>
            <w:tcW w:w="1460" w:type="dxa"/>
            <w:vAlign w:val="bottom"/>
            <w:shd w:val="clear" w:color="auto" w:fill="333333"/>
          </w:tcPr>
          <w:p>
            <w:pPr>
              <w:spacing w:after="0"/>
              <w:rPr>
                <w:sz w:val="15"/>
                <w:szCs w:val="15"/>
                <w:color w:val="auto"/>
              </w:rPr>
            </w:pPr>
          </w:p>
        </w:tc>
        <w:tc>
          <w:tcPr>
            <w:tcW w:w="1380" w:type="dxa"/>
            <w:vAlign w:val="bottom"/>
            <w:shd w:val="clear" w:color="auto" w:fill="333333"/>
          </w:tcPr>
          <w:p>
            <w:pPr>
              <w:spacing w:after="0"/>
              <w:rPr>
                <w:sz w:val="15"/>
                <w:szCs w:val="15"/>
                <w:color w:val="auto"/>
              </w:rPr>
            </w:pPr>
          </w:p>
        </w:tc>
        <w:tc>
          <w:tcPr>
            <w:tcW w:w="1360" w:type="dxa"/>
            <w:vAlign w:val="bottom"/>
            <w:shd w:val="clear" w:color="auto" w:fill="333333"/>
          </w:tcPr>
          <w:p>
            <w:pPr>
              <w:spacing w:after="0"/>
              <w:rPr>
                <w:sz w:val="15"/>
                <w:szCs w:val="15"/>
                <w:color w:val="auto"/>
              </w:rPr>
            </w:pPr>
          </w:p>
        </w:tc>
        <w:tc>
          <w:tcPr>
            <w:tcW w:w="1300" w:type="dxa"/>
            <w:vAlign w:val="bottom"/>
            <w:shd w:val="clear" w:color="auto" w:fill="333333"/>
          </w:tcPr>
          <w:p>
            <w:pPr>
              <w:jc w:val="right"/>
              <w:ind w:right="329"/>
              <w:spacing w:after="0"/>
              <w:rPr>
                <w:sz w:val="20"/>
                <w:szCs w:val="20"/>
                <w:color w:val="auto"/>
              </w:rPr>
            </w:pPr>
            <w:r>
              <w:rPr>
                <w:rFonts w:ascii="Arial" w:cs="Arial" w:eastAsia="Arial" w:hAnsi="Arial"/>
                <w:sz w:val="15"/>
                <w:szCs w:val="15"/>
                <w:color w:val="FFFFFF"/>
              </w:rPr>
              <w:t>NUMBER</w:t>
            </w:r>
          </w:p>
        </w:tc>
      </w:tr>
      <w:tr>
        <w:trPr>
          <w:trHeight w:val="149"/>
        </w:trPr>
        <w:tc>
          <w:tcPr>
            <w:tcW w:w="4580" w:type="dxa"/>
            <w:vAlign w:val="bottom"/>
            <w:tcBorders>
              <w:bottom w:val="single" w:sz="8" w:color="auto"/>
            </w:tcBorders>
          </w:tcPr>
          <w:p>
            <w:pPr>
              <w:spacing w:after="0"/>
              <w:rPr>
                <w:sz w:val="12"/>
                <w:szCs w:val="12"/>
                <w:color w:val="auto"/>
              </w:rPr>
            </w:pPr>
          </w:p>
        </w:tc>
        <w:tc>
          <w:tcPr>
            <w:tcW w:w="1340" w:type="dxa"/>
            <w:vAlign w:val="bottom"/>
            <w:tcBorders>
              <w:bottom w:val="single" w:sz="8" w:color="auto"/>
            </w:tcBorders>
            <w:shd w:val="clear" w:color="auto" w:fill="D8D8D8"/>
          </w:tcPr>
          <w:p>
            <w:pPr>
              <w:jc w:val="right"/>
              <w:ind w:right="31"/>
              <w:spacing w:after="0"/>
              <w:rPr>
                <w:sz w:val="20"/>
                <w:szCs w:val="20"/>
                <w:color w:val="auto"/>
              </w:rPr>
            </w:pPr>
            <w:r>
              <w:rPr>
                <w:rFonts w:ascii="Arial" w:cs="Arial" w:eastAsia="Arial" w:hAnsi="Arial"/>
                <w:sz w:val="13"/>
                <w:szCs w:val="13"/>
                <w:color w:val="auto"/>
              </w:rPr>
              <w:t>2014</w:t>
            </w:r>
          </w:p>
        </w:tc>
        <w:tc>
          <w:tcPr>
            <w:tcW w:w="1460" w:type="dxa"/>
            <w:vAlign w:val="bottom"/>
            <w:tcBorders>
              <w:bottom w:val="single" w:sz="8" w:color="auto"/>
            </w:tcBorders>
          </w:tcPr>
          <w:p>
            <w:pPr>
              <w:jc w:val="right"/>
              <w:ind w:right="151"/>
              <w:spacing w:after="0"/>
              <w:rPr>
                <w:sz w:val="20"/>
                <w:szCs w:val="20"/>
                <w:color w:val="auto"/>
              </w:rPr>
            </w:pPr>
            <w:r>
              <w:rPr>
                <w:rFonts w:ascii="Arial" w:cs="Arial" w:eastAsia="Arial" w:hAnsi="Arial"/>
                <w:sz w:val="13"/>
                <w:szCs w:val="13"/>
                <w:color w:val="auto"/>
              </w:rPr>
              <w:t>2013</w:t>
            </w:r>
          </w:p>
        </w:tc>
        <w:tc>
          <w:tcPr>
            <w:tcW w:w="1380" w:type="dxa"/>
            <w:vAlign w:val="bottom"/>
            <w:tcBorders>
              <w:bottom w:val="single" w:sz="8" w:color="auto"/>
            </w:tcBorders>
          </w:tcPr>
          <w:p>
            <w:pPr>
              <w:jc w:val="right"/>
              <w:ind w:right="151"/>
              <w:spacing w:after="0"/>
              <w:rPr>
                <w:sz w:val="20"/>
                <w:szCs w:val="20"/>
                <w:color w:val="auto"/>
              </w:rPr>
            </w:pPr>
            <w:r>
              <w:rPr>
                <w:rFonts w:ascii="Arial" w:cs="Arial" w:eastAsia="Arial" w:hAnsi="Arial"/>
                <w:sz w:val="13"/>
                <w:szCs w:val="13"/>
                <w:color w:val="auto"/>
              </w:rPr>
              <w:t>2012</w:t>
            </w:r>
          </w:p>
        </w:tc>
        <w:tc>
          <w:tcPr>
            <w:tcW w:w="1360" w:type="dxa"/>
            <w:vAlign w:val="bottom"/>
            <w:tcBorders>
              <w:bottom w:val="single" w:sz="8" w:color="auto"/>
            </w:tcBorders>
          </w:tcPr>
          <w:p>
            <w:pPr>
              <w:jc w:val="right"/>
              <w:ind w:right="151"/>
              <w:spacing w:after="0"/>
              <w:rPr>
                <w:sz w:val="20"/>
                <w:szCs w:val="20"/>
                <w:color w:val="auto"/>
              </w:rPr>
            </w:pPr>
            <w:r>
              <w:rPr>
                <w:rFonts w:ascii="Arial" w:cs="Arial" w:eastAsia="Arial" w:hAnsi="Arial"/>
                <w:sz w:val="13"/>
                <w:szCs w:val="13"/>
                <w:color w:val="auto"/>
              </w:rPr>
              <w:t>2011</w:t>
            </w:r>
          </w:p>
        </w:tc>
        <w:tc>
          <w:tcPr>
            <w:tcW w:w="1300" w:type="dxa"/>
            <w:vAlign w:val="bottom"/>
            <w:tcBorders>
              <w:bottom w:val="single" w:sz="8" w:color="auto"/>
            </w:tcBorders>
          </w:tcPr>
          <w:p>
            <w:pPr>
              <w:jc w:val="right"/>
              <w:ind w:right="29"/>
              <w:spacing w:after="0"/>
              <w:rPr>
                <w:sz w:val="20"/>
                <w:szCs w:val="20"/>
                <w:color w:val="auto"/>
              </w:rPr>
            </w:pPr>
            <w:r>
              <w:rPr>
                <w:rFonts w:ascii="Arial" w:cs="Arial" w:eastAsia="Arial" w:hAnsi="Arial"/>
                <w:sz w:val="13"/>
                <w:szCs w:val="13"/>
                <w:color w:val="auto"/>
              </w:rPr>
              <w:t>2010</w:t>
            </w:r>
          </w:p>
        </w:tc>
      </w:tr>
      <w:tr>
        <w:trPr>
          <w:trHeight w:val="156"/>
        </w:trPr>
        <w:tc>
          <w:tcPr>
            <w:tcW w:w="4580" w:type="dxa"/>
            <w:vAlign w:val="bottom"/>
          </w:tcPr>
          <w:p>
            <w:pPr>
              <w:spacing w:after="0" w:line="155" w:lineRule="exact"/>
              <w:rPr>
                <w:sz w:val="20"/>
                <w:szCs w:val="20"/>
                <w:color w:val="auto"/>
              </w:rPr>
            </w:pPr>
            <w:r>
              <w:rPr>
                <w:rFonts w:ascii="Arial" w:cs="Arial" w:eastAsia="Arial" w:hAnsi="Arial"/>
                <w:sz w:val="14"/>
                <w:szCs w:val="14"/>
                <w:color w:val="auto"/>
              </w:rPr>
              <w:t>Basic weighted average number of A and B shares</w:t>
            </w:r>
          </w:p>
        </w:tc>
        <w:tc>
          <w:tcPr>
            <w:tcW w:w="1340" w:type="dxa"/>
            <w:vAlign w:val="bottom"/>
            <w:shd w:val="clear" w:color="auto" w:fill="D8D8D8"/>
          </w:tcPr>
          <w:p>
            <w:pPr>
              <w:jc w:val="right"/>
              <w:ind w:right="31"/>
              <w:spacing w:after="0" w:line="155" w:lineRule="exact"/>
              <w:rPr>
                <w:sz w:val="20"/>
                <w:szCs w:val="20"/>
                <w:color w:val="auto"/>
              </w:rPr>
            </w:pPr>
            <w:r>
              <w:rPr>
                <w:rFonts w:ascii="Arial" w:cs="Arial" w:eastAsia="Arial" w:hAnsi="Arial"/>
                <w:sz w:val="14"/>
                <w:szCs w:val="14"/>
                <w:color w:val="auto"/>
                <w:highlight w:val="lightGray"/>
              </w:rPr>
              <w:t>6,311,490,678</w:t>
            </w:r>
          </w:p>
        </w:tc>
        <w:tc>
          <w:tcPr>
            <w:tcW w:w="1460" w:type="dxa"/>
            <w:vAlign w:val="bottom"/>
          </w:tcPr>
          <w:p>
            <w:pPr>
              <w:jc w:val="right"/>
              <w:ind w:right="151"/>
              <w:spacing w:after="0" w:line="155" w:lineRule="exact"/>
              <w:rPr>
                <w:sz w:val="20"/>
                <w:szCs w:val="20"/>
                <w:color w:val="auto"/>
              </w:rPr>
            </w:pPr>
            <w:r>
              <w:rPr>
                <w:rFonts w:ascii="Arial" w:cs="Arial" w:eastAsia="Arial" w:hAnsi="Arial"/>
                <w:sz w:val="14"/>
                <w:szCs w:val="14"/>
                <w:color w:val="auto"/>
              </w:rPr>
              <w:t>6,291,126,326</w:t>
            </w:r>
          </w:p>
        </w:tc>
        <w:tc>
          <w:tcPr>
            <w:tcW w:w="1380" w:type="dxa"/>
            <w:vAlign w:val="bottom"/>
          </w:tcPr>
          <w:p>
            <w:pPr>
              <w:jc w:val="right"/>
              <w:ind w:right="151"/>
              <w:spacing w:after="0" w:line="155" w:lineRule="exact"/>
              <w:rPr>
                <w:sz w:val="20"/>
                <w:szCs w:val="20"/>
                <w:color w:val="auto"/>
              </w:rPr>
            </w:pPr>
            <w:r>
              <w:rPr>
                <w:rFonts w:ascii="Arial" w:cs="Arial" w:eastAsia="Arial" w:hAnsi="Arial"/>
                <w:sz w:val="14"/>
                <w:szCs w:val="14"/>
                <w:color w:val="auto"/>
              </w:rPr>
              <w:t>6,261,184,755</w:t>
            </w:r>
          </w:p>
        </w:tc>
        <w:tc>
          <w:tcPr>
            <w:tcW w:w="1360" w:type="dxa"/>
            <w:vAlign w:val="bottom"/>
          </w:tcPr>
          <w:p>
            <w:pPr>
              <w:jc w:val="right"/>
              <w:ind w:right="151"/>
              <w:spacing w:after="0" w:line="155" w:lineRule="exact"/>
              <w:rPr>
                <w:sz w:val="20"/>
                <w:szCs w:val="20"/>
                <w:color w:val="auto"/>
              </w:rPr>
            </w:pPr>
            <w:r>
              <w:rPr>
                <w:rFonts w:ascii="Arial" w:cs="Arial" w:eastAsia="Arial" w:hAnsi="Arial"/>
                <w:sz w:val="14"/>
                <w:szCs w:val="14"/>
                <w:color w:val="auto"/>
              </w:rPr>
              <w:t>6,212,532,421</w:t>
            </w:r>
          </w:p>
        </w:tc>
        <w:tc>
          <w:tcPr>
            <w:tcW w:w="1300" w:type="dxa"/>
            <w:vAlign w:val="bottom"/>
          </w:tcPr>
          <w:p>
            <w:pPr>
              <w:jc w:val="right"/>
              <w:ind w:right="29"/>
              <w:spacing w:after="0" w:line="155" w:lineRule="exact"/>
              <w:rPr>
                <w:sz w:val="20"/>
                <w:szCs w:val="20"/>
                <w:color w:val="auto"/>
              </w:rPr>
            </w:pPr>
            <w:r>
              <w:rPr>
                <w:rFonts w:ascii="Arial" w:cs="Arial" w:eastAsia="Arial" w:hAnsi="Arial"/>
                <w:sz w:val="14"/>
                <w:szCs w:val="14"/>
                <w:color w:val="auto"/>
              </w:rPr>
              <w:t>6,132,640,190</w:t>
            </w:r>
          </w:p>
        </w:tc>
      </w:tr>
      <w:tr>
        <w:trPr>
          <w:trHeight w:val="162"/>
        </w:trPr>
        <w:tc>
          <w:tcPr>
            <w:tcW w:w="458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Diluted weighted average number of A and B shares</w:t>
            </w:r>
          </w:p>
        </w:tc>
        <w:tc>
          <w:tcPr>
            <w:tcW w:w="1340" w:type="dxa"/>
            <w:vAlign w:val="bottom"/>
            <w:tcBorders>
              <w:bottom w:val="single" w:sz="8" w:color="auto"/>
            </w:tcBorders>
            <w:shd w:val="clear" w:color="auto" w:fill="D8D8D8"/>
          </w:tcPr>
          <w:p>
            <w:pPr>
              <w:jc w:val="right"/>
              <w:ind w:right="31"/>
              <w:spacing w:after="0"/>
              <w:rPr>
                <w:sz w:val="20"/>
                <w:szCs w:val="20"/>
                <w:color w:val="auto"/>
              </w:rPr>
            </w:pPr>
            <w:r>
              <w:rPr>
                <w:rFonts w:ascii="Arial" w:cs="Arial" w:eastAsia="Arial" w:hAnsi="Arial"/>
                <w:sz w:val="14"/>
                <w:szCs w:val="14"/>
                <w:color w:val="auto"/>
              </w:rPr>
              <w:t>6,311,605,118</w:t>
            </w:r>
          </w:p>
        </w:tc>
        <w:tc>
          <w:tcPr>
            <w:tcW w:w="1460" w:type="dxa"/>
            <w:vAlign w:val="bottom"/>
            <w:tcBorders>
              <w:bottom w:val="single" w:sz="8" w:color="auto"/>
            </w:tcBorders>
          </w:tcPr>
          <w:p>
            <w:pPr>
              <w:jc w:val="right"/>
              <w:ind w:right="151"/>
              <w:spacing w:after="0"/>
              <w:rPr>
                <w:sz w:val="20"/>
                <w:szCs w:val="20"/>
                <w:color w:val="auto"/>
              </w:rPr>
            </w:pPr>
            <w:r>
              <w:rPr>
                <w:rFonts w:ascii="Arial" w:cs="Arial" w:eastAsia="Arial" w:hAnsi="Arial"/>
                <w:sz w:val="14"/>
                <w:szCs w:val="14"/>
                <w:color w:val="auto"/>
              </w:rPr>
              <w:t>6,293,381,407</w:t>
            </w:r>
          </w:p>
        </w:tc>
        <w:tc>
          <w:tcPr>
            <w:tcW w:w="1380" w:type="dxa"/>
            <w:vAlign w:val="bottom"/>
            <w:tcBorders>
              <w:bottom w:val="single" w:sz="8" w:color="auto"/>
            </w:tcBorders>
          </w:tcPr>
          <w:p>
            <w:pPr>
              <w:jc w:val="right"/>
              <w:ind w:right="151"/>
              <w:spacing w:after="0"/>
              <w:rPr>
                <w:sz w:val="20"/>
                <w:szCs w:val="20"/>
                <w:color w:val="auto"/>
              </w:rPr>
            </w:pPr>
            <w:r>
              <w:rPr>
                <w:rFonts w:ascii="Arial" w:cs="Arial" w:eastAsia="Arial" w:hAnsi="Arial"/>
                <w:sz w:val="14"/>
                <w:szCs w:val="14"/>
                <w:color w:val="auto"/>
              </w:rPr>
              <w:t>6,267,839,545</w:t>
            </w:r>
          </w:p>
        </w:tc>
        <w:tc>
          <w:tcPr>
            <w:tcW w:w="1360" w:type="dxa"/>
            <w:vAlign w:val="bottom"/>
            <w:tcBorders>
              <w:bottom w:val="single" w:sz="8" w:color="auto"/>
            </w:tcBorders>
          </w:tcPr>
          <w:p>
            <w:pPr>
              <w:jc w:val="right"/>
              <w:ind w:right="151"/>
              <w:spacing w:after="0"/>
              <w:rPr>
                <w:sz w:val="20"/>
                <w:szCs w:val="20"/>
                <w:color w:val="auto"/>
              </w:rPr>
            </w:pPr>
            <w:r>
              <w:rPr>
                <w:rFonts w:ascii="Arial" w:cs="Arial" w:eastAsia="Arial" w:hAnsi="Arial"/>
                <w:sz w:val="14"/>
                <w:szCs w:val="14"/>
                <w:color w:val="auto"/>
              </w:rPr>
              <w:t>6,221,655,088</w:t>
            </w:r>
          </w:p>
        </w:tc>
        <w:tc>
          <w:tcPr>
            <w:tcW w:w="130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6,139,300,098</w:t>
            </w:r>
          </w:p>
        </w:tc>
      </w:tr>
    </w:tbl>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5140" w:type="dxa"/>
            <w:vAlign w:val="bottom"/>
            <w:shd w:val="clear" w:color="auto" w:fill="333333"/>
          </w:tcPr>
          <w:p>
            <w:pPr>
              <w:ind w:left="80"/>
              <w:spacing w:after="0"/>
              <w:rPr>
                <w:sz w:val="20"/>
                <w:szCs w:val="20"/>
                <w:color w:val="auto"/>
              </w:rPr>
            </w:pPr>
            <w:r>
              <w:rPr>
                <w:rFonts w:ascii="Arial" w:cs="Arial" w:eastAsia="Arial" w:hAnsi="Arial"/>
                <w:sz w:val="15"/>
                <w:szCs w:val="15"/>
                <w:b w:val="1"/>
                <w:bCs w:val="1"/>
                <w:color w:val="FFFFFF"/>
              </w:rPr>
              <w:t>OTHER FINANCIAL DATA</w:t>
            </w:r>
          </w:p>
        </w:tc>
        <w:tc>
          <w:tcPr>
            <w:tcW w:w="1240" w:type="dxa"/>
            <w:vAlign w:val="bottom"/>
            <w:shd w:val="clear" w:color="auto" w:fill="333333"/>
          </w:tcPr>
          <w:p>
            <w:pPr>
              <w:spacing w:after="0"/>
              <w:rPr>
                <w:sz w:val="15"/>
                <w:szCs w:val="15"/>
                <w:color w:val="auto"/>
              </w:rPr>
            </w:pPr>
          </w:p>
        </w:tc>
        <w:tc>
          <w:tcPr>
            <w:tcW w:w="1560" w:type="dxa"/>
            <w:vAlign w:val="bottom"/>
            <w:shd w:val="clear" w:color="auto" w:fill="333333"/>
          </w:tcPr>
          <w:p>
            <w:pPr>
              <w:spacing w:after="0"/>
              <w:rPr>
                <w:sz w:val="15"/>
                <w:szCs w:val="15"/>
                <w:color w:val="auto"/>
              </w:rPr>
            </w:pPr>
          </w:p>
        </w:tc>
        <w:tc>
          <w:tcPr>
            <w:tcW w:w="1260" w:type="dxa"/>
            <w:vAlign w:val="bottom"/>
            <w:shd w:val="clear" w:color="auto" w:fill="333333"/>
          </w:tcPr>
          <w:p>
            <w:pPr>
              <w:spacing w:after="0"/>
              <w:rPr>
                <w:sz w:val="15"/>
                <w:szCs w:val="15"/>
                <w:color w:val="auto"/>
              </w:rPr>
            </w:pPr>
          </w:p>
        </w:tc>
        <w:tc>
          <w:tcPr>
            <w:tcW w:w="980" w:type="dxa"/>
            <w:vAlign w:val="bottom"/>
            <w:shd w:val="clear" w:color="auto" w:fill="333333"/>
          </w:tcPr>
          <w:p>
            <w:pPr>
              <w:spacing w:after="0"/>
              <w:rPr>
                <w:sz w:val="15"/>
                <w:szCs w:val="15"/>
                <w:color w:val="auto"/>
              </w:rPr>
            </w:pPr>
          </w:p>
        </w:tc>
        <w:tc>
          <w:tcPr>
            <w:tcW w:w="1240" w:type="dxa"/>
            <w:vAlign w:val="bottom"/>
            <w:shd w:val="clear" w:color="auto" w:fill="333333"/>
          </w:tcPr>
          <w:p>
            <w:pPr>
              <w:jc w:val="right"/>
              <w:ind w:right="328"/>
              <w:spacing w:after="0"/>
              <w:rPr>
                <w:sz w:val="20"/>
                <w:szCs w:val="20"/>
                <w:color w:val="auto"/>
              </w:rPr>
            </w:pPr>
            <w:r>
              <w:rPr>
                <w:rFonts w:ascii="Arial" w:cs="Arial" w:eastAsia="Arial" w:hAnsi="Arial"/>
                <w:sz w:val="15"/>
                <w:szCs w:val="15"/>
                <w:color w:val="FFFFFF"/>
              </w:rPr>
              <w:t>$ MILLION</w:t>
            </w:r>
          </w:p>
        </w:tc>
      </w:tr>
      <w:tr>
        <w:trPr>
          <w:trHeight w:val="149"/>
        </w:trPr>
        <w:tc>
          <w:tcPr>
            <w:tcW w:w="5140" w:type="dxa"/>
            <w:vAlign w:val="bottom"/>
            <w:tcBorders>
              <w:bottom w:val="single" w:sz="8" w:color="auto"/>
            </w:tcBorders>
          </w:tcPr>
          <w:p>
            <w:pPr>
              <w:spacing w:after="0"/>
              <w:rPr>
                <w:sz w:val="12"/>
                <w:szCs w:val="12"/>
                <w:color w:val="auto"/>
              </w:rPr>
            </w:pPr>
          </w:p>
        </w:tc>
        <w:tc>
          <w:tcPr>
            <w:tcW w:w="1240" w:type="dxa"/>
            <w:vAlign w:val="bottom"/>
            <w:tcBorders>
              <w:bottom w:val="single" w:sz="8" w:color="auto"/>
            </w:tcBorders>
            <w:shd w:val="clear" w:color="auto" w:fill="D8D8D8"/>
          </w:tcPr>
          <w:p>
            <w:pPr>
              <w:jc w:val="right"/>
              <w:ind w:right="29"/>
              <w:spacing w:after="0"/>
              <w:rPr>
                <w:sz w:val="20"/>
                <w:szCs w:val="20"/>
                <w:color w:val="auto"/>
              </w:rPr>
            </w:pPr>
            <w:r>
              <w:rPr>
                <w:rFonts w:ascii="Arial" w:cs="Arial" w:eastAsia="Arial" w:hAnsi="Arial"/>
                <w:sz w:val="13"/>
                <w:szCs w:val="13"/>
                <w:color w:val="auto"/>
              </w:rPr>
              <w:t>2014</w:t>
            </w:r>
          </w:p>
        </w:tc>
        <w:tc>
          <w:tcPr>
            <w:tcW w:w="1560" w:type="dxa"/>
            <w:vAlign w:val="bottom"/>
            <w:tcBorders>
              <w:bottom w:val="single" w:sz="8" w:color="auto"/>
            </w:tcBorders>
          </w:tcPr>
          <w:p>
            <w:pPr>
              <w:jc w:val="right"/>
              <w:ind w:right="349"/>
              <w:spacing w:after="0"/>
              <w:rPr>
                <w:sz w:val="20"/>
                <w:szCs w:val="20"/>
                <w:color w:val="auto"/>
              </w:rPr>
            </w:pPr>
            <w:r>
              <w:rPr>
                <w:rFonts w:ascii="Arial" w:cs="Arial" w:eastAsia="Arial" w:hAnsi="Arial"/>
                <w:sz w:val="13"/>
                <w:szCs w:val="13"/>
                <w:color w:val="auto"/>
              </w:rPr>
              <w:t>2013</w:t>
            </w:r>
          </w:p>
        </w:tc>
        <w:tc>
          <w:tcPr>
            <w:tcW w:w="1260" w:type="dxa"/>
            <w:vAlign w:val="bottom"/>
            <w:tcBorders>
              <w:bottom w:val="single" w:sz="8" w:color="auto"/>
            </w:tcBorders>
          </w:tcPr>
          <w:p>
            <w:pPr>
              <w:jc w:val="right"/>
              <w:ind w:right="349"/>
              <w:spacing w:after="0"/>
              <w:rPr>
                <w:sz w:val="20"/>
                <w:szCs w:val="20"/>
                <w:color w:val="auto"/>
              </w:rPr>
            </w:pPr>
            <w:r>
              <w:rPr>
                <w:rFonts w:ascii="Arial" w:cs="Arial" w:eastAsia="Arial" w:hAnsi="Arial"/>
                <w:sz w:val="13"/>
                <w:szCs w:val="13"/>
                <w:color w:val="auto"/>
              </w:rPr>
              <w:t>2012</w:t>
            </w:r>
          </w:p>
        </w:tc>
        <w:tc>
          <w:tcPr>
            <w:tcW w:w="980" w:type="dxa"/>
            <w:vAlign w:val="bottom"/>
            <w:tcBorders>
              <w:bottom w:val="single" w:sz="8" w:color="auto"/>
            </w:tcBorders>
          </w:tcPr>
          <w:p>
            <w:pPr>
              <w:jc w:val="right"/>
              <w:ind w:right="89"/>
              <w:spacing w:after="0"/>
              <w:rPr>
                <w:sz w:val="20"/>
                <w:szCs w:val="20"/>
                <w:color w:val="auto"/>
              </w:rPr>
            </w:pPr>
            <w:r>
              <w:rPr>
                <w:rFonts w:ascii="Arial" w:cs="Arial" w:eastAsia="Arial" w:hAnsi="Arial"/>
                <w:sz w:val="13"/>
                <w:szCs w:val="13"/>
                <w:color w:val="auto"/>
              </w:rPr>
              <w:t>2011</w:t>
            </w:r>
          </w:p>
        </w:tc>
        <w:tc>
          <w:tcPr>
            <w:tcW w:w="1240" w:type="dxa"/>
            <w:vAlign w:val="bottom"/>
            <w:tcBorders>
              <w:bottom w:val="single" w:sz="8" w:color="auto"/>
            </w:tcBorders>
          </w:tcPr>
          <w:p>
            <w:pPr>
              <w:jc w:val="right"/>
              <w:ind w:right="28"/>
              <w:spacing w:after="0"/>
              <w:rPr>
                <w:sz w:val="20"/>
                <w:szCs w:val="20"/>
                <w:color w:val="auto"/>
              </w:rPr>
            </w:pPr>
            <w:r>
              <w:rPr>
                <w:rFonts w:ascii="Arial" w:cs="Arial" w:eastAsia="Arial" w:hAnsi="Arial"/>
                <w:sz w:val="13"/>
                <w:szCs w:val="13"/>
                <w:color w:val="auto"/>
              </w:rPr>
              <w:t>2010</w:t>
            </w:r>
          </w:p>
        </w:tc>
      </w:tr>
      <w:tr>
        <w:trPr>
          <w:trHeight w:val="156"/>
        </w:trPr>
        <w:tc>
          <w:tcPr>
            <w:tcW w:w="5140" w:type="dxa"/>
            <w:vAlign w:val="bottom"/>
          </w:tcPr>
          <w:p>
            <w:pPr>
              <w:spacing w:after="0" w:line="155" w:lineRule="exact"/>
              <w:rPr>
                <w:sz w:val="20"/>
                <w:szCs w:val="20"/>
                <w:color w:val="auto"/>
              </w:rPr>
            </w:pPr>
            <w:r>
              <w:rPr>
                <w:rFonts w:ascii="Arial" w:cs="Arial" w:eastAsia="Arial" w:hAnsi="Arial"/>
                <w:sz w:val="14"/>
                <w:szCs w:val="14"/>
                <w:color w:val="auto"/>
              </w:rPr>
              <w:t>Net cash from operating activities</w:t>
            </w:r>
          </w:p>
        </w:tc>
        <w:tc>
          <w:tcPr>
            <w:tcW w:w="1240" w:type="dxa"/>
            <w:vAlign w:val="bottom"/>
            <w:shd w:val="clear" w:color="auto" w:fill="D8D8D8"/>
          </w:tcPr>
          <w:p>
            <w:pPr>
              <w:jc w:val="right"/>
              <w:ind w:right="29"/>
              <w:spacing w:after="0" w:line="155" w:lineRule="exact"/>
              <w:rPr>
                <w:sz w:val="20"/>
                <w:szCs w:val="20"/>
                <w:color w:val="auto"/>
              </w:rPr>
            </w:pPr>
            <w:r>
              <w:rPr>
                <w:rFonts w:ascii="Arial" w:cs="Arial" w:eastAsia="Arial" w:hAnsi="Arial"/>
                <w:sz w:val="14"/>
                <w:szCs w:val="14"/>
                <w:color w:val="auto"/>
              </w:rPr>
              <w:t>45,044</w:t>
            </w:r>
          </w:p>
        </w:tc>
        <w:tc>
          <w:tcPr>
            <w:tcW w:w="1560" w:type="dxa"/>
            <w:vAlign w:val="bottom"/>
          </w:tcPr>
          <w:p>
            <w:pPr>
              <w:jc w:val="right"/>
              <w:ind w:right="349"/>
              <w:spacing w:after="0" w:line="155" w:lineRule="exact"/>
              <w:rPr>
                <w:sz w:val="20"/>
                <w:szCs w:val="20"/>
                <w:color w:val="auto"/>
              </w:rPr>
            </w:pPr>
            <w:r>
              <w:rPr>
                <w:rFonts w:ascii="Arial" w:cs="Arial" w:eastAsia="Arial" w:hAnsi="Arial"/>
                <w:sz w:val="14"/>
                <w:szCs w:val="14"/>
                <w:color w:val="auto"/>
              </w:rPr>
              <w:t>40,440</w:t>
            </w:r>
          </w:p>
        </w:tc>
        <w:tc>
          <w:tcPr>
            <w:tcW w:w="1260" w:type="dxa"/>
            <w:vAlign w:val="bottom"/>
          </w:tcPr>
          <w:p>
            <w:pPr>
              <w:jc w:val="right"/>
              <w:ind w:right="349"/>
              <w:spacing w:after="0" w:line="155" w:lineRule="exact"/>
              <w:rPr>
                <w:sz w:val="20"/>
                <w:szCs w:val="20"/>
                <w:color w:val="auto"/>
              </w:rPr>
            </w:pPr>
            <w:r>
              <w:rPr>
                <w:rFonts w:ascii="Arial" w:cs="Arial" w:eastAsia="Arial" w:hAnsi="Arial"/>
                <w:sz w:val="14"/>
                <w:szCs w:val="14"/>
                <w:color w:val="auto"/>
              </w:rPr>
              <w:t>46,140</w:t>
            </w:r>
          </w:p>
        </w:tc>
        <w:tc>
          <w:tcPr>
            <w:tcW w:w="980" w:type="dxa"/>
            <w:vAlign w:val="bottom"/>
          </w:tcPr>
          <w:p>
            <w:pPr>
              <w:jc w:val="right"/>
              <w:ind w:right="89"/>
              <w:spacing w:after="0" w:line="155" w:lineRule="exact"/>
              <w:rPr>
                <w:sz w:val="20"/>
                <w:szCs w:val="20"/>
                <w:color w:val="auto"/>
              </w:rPr>
            </w:pPr>
            <w:r>
              <w:rPr>
                <w:rFonts w:ascii="Arial" w:cs="Arial" w:eastAsia="Arial" w:hAnsi="Arial"/>
                <w:sz w:val="14"/>
                <w:szCs w:val="14"/>
                <w:color w:val="auto"/>
              </w:rPr>
              <w:t>36,771</w:t>
            </w:r>
          </w:p>
        </w:tc>
        <w:tc>
          <w:tcPr>
            <w:tcW w:w="1240" w:type="dxa"/>
            <w:vAlign w:val="bottom"/>
          </w:tcPr>
          <w:p>
            <w:pPr>
              <w:jc w:val="right"/>
              <w:ind w:right="28"/>
              <w:spacing w:after="0" w:line="155" w:lineRule="exact"/>
              <w:rPr>
                <w:sz w:val="20"/>
                <w:szCs w:val="20"/>
                <w:color w:val="auto"/>
              </w:rPr>
            </w:pPr>
            <w:r>
              <w:rPr>
                <w:rFonts w:ascii="Arial" w:cs="Arial" w:eastAsia="Arial" w:hAnsi="Arial"/>
                <w:sz w:val="14"/>
                <w:szCs w:val="14"/>
                <w:color w:val="auto"/>
              </w:rPr>
              <w:t>27,350</w:t>
            </w:r>
          </w:p>
        </w:tc>
      </w:tr>
      <w:tr>
        <w:trPr>
          <w:trHeight w:val="162"/>
        </w:trPr>
        <w:tc>
          <w:tcPr>
            <w:tcW w:w="5140" w:type="dxa"/>
            <w:vAlign w:val="bottom"/>
          </w:tcPr>
          <w:p>
            <w:pPr>
              <w:spacing w:after="0"/>
              <w:rPr>
                <w:sz w:val="20"/>
                <w:szCs w:val="20"/>
                <w:color w:val="auto"/>
              </w:rPr>
            </w:pPr>
            <w:r>
              <w:rPr>
                <w:rFonts w:ascii="Arial" w:cs="Arial" w:eastAsia="Arial" w:hAnsi="Arial"/>
                <w:sz w:val="14"/>
                <w:szCs w:val="14"/>
                <w:color w:val="auto"/>
              </w:rPr>
              <w:t>Net cash used in investing activities</w:t>
            </w:r>
          </w:p>
        </w:tc>
        <w:tc>
          <w:tcPr>
            <w:tcW w:w="1240" w:type="dxa"/>
            <w:vAlign w:val="bottom"/>
            <w:shd w:val="clear" w:color="auto" w:fill="D8D8D8"/>
          </w:tcPr>
          <w:p>
            <w:pPr>
              <w:jc w:val="right"/>
              <w:ind w:right="29"/>
              <w:spacing w:after="0"/>
              <w:rPr>
                <w:sz w:val="20"/>
                <w:szCs w:val="20"/>
                <w:color w:val="auto"/>
              </w:rPr>
            </w:pPr>
            <w:r>
              <w:rPr>
                <w:rFonts w:ascii="Arial" w:cs="Arial" w:eastAsia="Arial" w:hAnsi="Arial"/>
                <w:sz w:val="14"/>
                <w:szCs w:val="14"/>
                <w:color w:val="auto"/>
              </w:rPr>
              <w:t>19,657</w:t>
            </w:r>
          </w:p>
        </w:tc>
        <w:tc>
          <w:tcPr>
            <w:tcW w:w="1560" w:type="dxa"/>
            <w:vAlign w:val="bottom"/>
          </w:tcPr>
          <w:p>
            <w:pPr>
              <w:jc w:val="right"/>
              <w:ind w:right="349"/>
              <w:spacing w:after="0"/>
              <w:rPr>
                <w:sz w:val="20"/>
                <w:szCs w:val="20"/>
                <w:color w:val="auto"/>
              </w:rPr>
            </w:pPr>
            <w:r>
              <w:rPr>
                <w:rFonts w:ascii="Arial" w:cs="Arial" w:eastAsia="Arial" w:hAnsi="Arial"/>
                <w:sz w:val="14"/>
                <w:szCs w:val="14"/>
                <w:color w:val="auto"/>
              </w:rPr>
              <w:t>40,146</w:t>
            </w:r>
          </w:p>
        </w:tc>
        <w:tc>
          <w:tcPr>
            <w:tcW w:w="1260" w:type="dxa"/>
            <w:vAlign w:val="bottom"/>
          </w:tcPr>
          <w:p>
            <w:pPr>
              <w:jc w:val="right"/>
              <w:ind w:right="349"/>
              <w:spacing w:after="0"/>
              <w:rPr>
                <w:sz w:val="20"/>
                <w:szCs w:val="20"/>
                <w:color w:val="auto"/>
              </w:rPr>
            </w:pPr>
            <w:r>
              <w:rPr>
                <w:rFonts w:ascii="Arial" w:cs="Arial" w:eastAsia="Arial" w:hAnsi="Arial"/>
                <w:sz w:val="14"/>
                <w:szCs w:val="14"/>
                <w:color w:val="auto"/>
              </w:rPr>
              <w:t>28,453</w:t>
            </w:r>
          </w:p>
        </w:tc>
        <w:tc>
          <w:tcPr>
            <w:tcW w:w="980" w:type="dxa"/>
            <w:vAlign w:val="bottom"/>
          </w:tcPr>
          <w:p>
            <w:pPr>
              <w:jc w:val="right"/>
              <w:ind w:right="89"/>
              <w:spacing w:after="0"/>
              <w:rPr>
                <w:sz w:val="20"/>
                <w:szCs w:val="20"/>
                <w:color w:val="auto"/>
              </w:rPr>
            </w:pPr>
            <w:r>
              <w:rPr>
                <w:rFonts w:ascii="Arial" w:cs="Arial" w:eastAsia="Arial" w:hAnsi="Arial"/>
                <w:sz w:val="14"/>
                <w:szCs w:val="14"/>
                <w:color w:val="auto"/>
              </w:rPr>
              <w:t>20,443</w:t>
            </w:r>
          </w:p>
        </w:tc>
        <w:tc>
          <w:tcPr>
            <w:tcW w:w="1240" w:type="dxa"/>
            <w:vAlign w:val="bottom"/>
          </w:tcPr>
          <w:p>
            <w:pPr>
              <w:jc w:val="right"/>
              <w:ind w:right="28"/>
              <w:spacing w:after="0"/>
              <w:rPr>
                <w:sz w:val="20"/>
                <w:szCs w:val="20"/>
                <w:color w:val="auto"/>
              </w:rPr>
            </w:pPr>
            <w:r>
              <w:rPr>
                <w:rFonts w:ascii="Arial" w:cs="Arial" w:eastAsia="Arial" w:hAnsi="Arial"/>
                <w:sz w:val="14"/>
                <w:szCs w:val="14"/>
                <w:color w:val="auto"/>
              </w:rPr>
              <w:t>21,972</w:t>
            </w:r>
          </w:p>
        </w:tc>
      </w:tr>
      <w:tr>
        <w:trPr>
          <w:trHeight w:val="167"/>
        </w:trPr>
        <w:tc>
          <w:tcPr>
            <w:tcW w:w="5140" w:type="dxa"/>
            <w:vAlign w:val="bottom"/>
          </w:tcPr>
          <w:p>
            <w:pPr>
              <w:spacing w:after="0"/>
              <w:rPr>
                <w:sz w:val="20"/>
                <w:szCs w:val="20"/>
                <w:color w:val="auto"/>
              </w:rPr>
            </w:pPr>
            <w:r>
              <w:rPr>
                <w:rFonts w:ascii="Arial" w:cs="Arial" w:eastAsia="Arial" w:hAnsi="Arial"/>
                <w:sz w:val="14"/>
                <w:szCs w:val="14"/>
                <w:color w:val="auto"/>
              </w:rPr>
              <w:t>Dividends paid</w:t>
            </w:r>
          </w:p>
        </w:tc>
        <w:tc>
          <w:tcPr>
            <w:tcW w:w="1240" w:type="dxa"/>
            <w:vAlign w:val="bottom"/>
            <w:shd w:val="clear" w:color="auto" w:fill="D8D8D8"/>
          </w:tcPr>
          <w:p>
            <w:pPr>
              <w:jc w:val="right"/>
              <w:ind w:right="29"/>
              <w:spacing w:after="0"/>
              <w:rPr>
                <w:sz w:val="20"/>
                <w:szCs w:val="20"/>
                <w:color w:val="auto"/>
              </w:rPr>
            </w:pPr>
            <w:r>
              <w:rPr>
                <w:rFonts w:ascii="Arial" w:cs="Arial" w:eastAsia="Arial" w:hAnsi="Arial"/>
                <w:sz w:val="14"/>
                <w:szCs w:val="14"/>
                <w:color w:val="auto"/>
              </w:rPr>
              <w:t>9,560</w:t>
            </w:r>
          </w:p>
        </w:tc>
        <w:tc>
          <w:tcPr>
            <w:tcW w:w="1560" w:type="dxa"/>
            <w:vAlign w:val="bottom"/>
          </w:tcPr>
          <w:p>
            <w:pPr>
              <w:jc w:val="right"/>
              <w:ind w:right="349"/>
              <w:spacing w:after="0"/>
              <w:rPr>
                <w:sz w:val="20"/>
                <w:szCs w:val="20"/>
                <w:color w:val="auto"/>
              </w:rPr>
            </w:pPr>
            <w:r>
              <w:rPr>
                <w:rFonts w:ascii="Arial" w:cs="Arial" w:eastAsia="Arial" w:hAnsi="Arial"/>
                <w:sz w:val="14"/>
                <w:szCs w:val="14"/>
                <w:color w:val="auto"/>
              </w:rPr>
              <w:t>7,450</w:t>
            </w:r>
          </w:p>
        </w:tc>
        <w:tc>
          <w:tcPr>
            <w:tcW w:w="1260" w:type="dxa"/>
            <w:vAlign w:val="bottom"/>
          </w:tcPr>
          <w:p>
            <w:pPr>
              <w:jc w:val="right"/>
              <w:ind w:right="349"/>
              <w:spacing w:after="0"/>
              <w:rPr>
                <w:sz w:val="20"/>
                <w:szCs w:val="20"/>
                <w:color w:val="auto"/>
              </w:rPr>
            </w:pPr>
            <w:r>
              <w:rPr>
                <w:rFonts w:ascii="Arial" w:cs="Arial" w:eastAsia="Arial" w:hAnsi="Arial"/>
                <w:sz w:val="14"/>
                <w:szCs w:val="14"/>
                <w:color w:val="auto"/>
              </w:rPr>
              <w:t>7,682</w:t>
            </w:r>
          </w:p>
        </w:tc>
        <w:tc>
          <w:tcPr>
            <w:tcW w:w="980" w:type="dxa"/>
            <w:vAlign w:val="bottom"/>
          </w:tcPr>
          <w:p>
            <w:pPr>
              <w:jc w:val="right"/>
              <w:ind w:right="89"/>
              <w:spacing w:after="0"/>
              <w:rPr>
                <w:sz w:val="20"/>
                <w:szCs w:val="20"/>
                <w:color w:val="auto"/>
              </w:rPr>
            </w:pPr>
            <w:r>
              <w:rPr>
                <w:rFonts w:ascii="Arial" w:cs="Arial" w:eastAsia="Arial" w:hAnsi="Arial"/>
                <w:sz w:val="14"/>
                <w:szCs w:val="14"/>
                <w:color w:val="auto"/>
              </w:rPr>
              <w:t>7,315</w:t>
            </w:r>
          </w:p>
        </w:tc>
        <w:tc>
          <w:tcPr>
            <w:tcW w:w="1240" w:type="dxa"/>
            <w:vAlign w:val="bottom"/>
          </w:tcPr>
          <w:p>
            <w:pPr>
              <w:jc w:val="right"/>
              <w:ind w:right="28"/>
              <w:spacing w:after="0"/>
              <w:rPr>
                <w:sz w:val="20"/>
                <w:szCs w:val="20"/>
                <w:color w:val="auto"/>
              </w:rPr>
            </w:pPr>
            <w:r>
              <w:rPr>
                <w:rFonts w:ascii="Arial" w:cs="Arial" w:eastAsia="Arial" w:hAnsi="Arial"/>
                <w:sz w:val="14"/>
                <w:szCs w:val="14"/>
                <w:color w:val="auto"/>
              </w:rPr>
              <w:t>9,979</w:t>
            </w:r>
          </w:p>
        </w:tc>
      </w:tr>
      <w:tr>
        <w:trPr>
          <w:trHeight w:val="162"/>
        </w:trPr>
        <w:tc>
          <w:tcPr>
            <w:tcW w:w="5140" w:type="dxa"/>
            <w:vAlign w:val="bottom"/>
          </w:tcPr>
          <w:p>
            <w:pPr>
              <w:spacing w:after="0"/>
              <w:rPr>
                <w:sz w:val="20"/>
                <w:szCs w:val="20"/>
                <w:color w:val="auto"/>
              </w:rPr>
            </w:pPr>
            <w:r>
              <w:rPr>
                <w:rFonts w:ascii="Arial" w:cs="Arial" w:eastAsia="Arial" w:hAnsi="Arial"/>
                <w:sz w:val="14"/>
                <w:szCs w:val="14"/>
                <w:color w:val="auto"/>
              </w:rPr>
              <w:t>Net cash used in financing activities</w:t>
            </w:r>
          </w:p>
        </w:tc>
        <w:tc>
          <w:tcPr>
            <w:tcW w:w="1240" w:type="dxa"/>
            <w:vAlign w:val="bottom"/>
            <w:shd w:val="clear" w:color="auto" w:fill="D8D8D8"/>
          </w:tcPr>
          <w:p>
            <w:pPr>
              <w:jc w:val="right"/>
              <w:ind w:right="29"/>
              <w:spacing w:after="0"/>
              <w:rPr>
                <w:sz w:val="20"/>
                <w:szCs w:val="20"/>
                <w:color w:val="auto"/>
              </w:rPr>
            </w:pPr>
            <w:r>
              <w:rPr>
                <w:rFonts w:ascii="Arial" w:cs="Arial" w:eastAsia="Arial" w:hAnsi="Arial"/>
                <w:sz w:val="14"/>
                <w:szCs w:val="14"/>
                <w:color w:val="auto"/>
              </w:rPr>
              <w:t>12,790</w:t>
            </w:r>
          </w:p>
        </w:tc>
        <w:tc>
          <w:tcPr>
            <w:tcW w:w="1560" w:type="dxa"/>
            <w:vAlign w:val="bottom"/>
          </w:tcPr>
          <w:p>
            <w:pPr>
              <w:jc w:val="right"/>
              <w:ind w:right="349"/>
              <w:spacing w:after="0"/>
              <w:rPr>
                <w:sz w:val="20"/>
                <w:szCs w:val="20"/>
                <w:color w:val="auto"/>
              </w:rPr>
            </w:pPr>
            <w:r>
              <w:rPr>
                <w:rFonts w:ascii="Arial" w:cs="Arial" w:eastAsia="Arial" w:hAnsi="Arial"/>
                <w:sz w:val="14"/>
                <w:szCs w:val="14"/>
                <w:color w:val="auto"/>
              </w:rPr>
              <w:t>8,978</w:t>
            </w:r>
          </w:p>
        </w:tc>
        <w:tc>
          <w:tcPr>
            <w:tcW w:w="1260" w:type="dxa"/>
            <w:vAlign w:val="bottom"/>
          </w:tcPr>
          <w:p>
            <w:pPr>
              <w:jc w:val="right"/>
              <w:ind w:right="349"/>
              <w:spacing w:after="0"/>
              <w:rPr>
                <w:sz w:val="20"/>
                <w:szCs w:val="20"/>
                <w:color w:val="auto"/>
              </w:rPr>
            </w:pPr>
            <w:r>
              <w:rPr>
                <w:rFonts w:ascii="Arial" w:cs="Arial" w:eastAsia="Arial" w:hAnsi="Arial"/>
                <w:sz w:val="14"/>
                <w:szCs w:val="14"/>
                <w:color w:val="auto"/>
              </w:rPr>
              <w:t>10,630</w:t>
            </w:r>
          </w:p>
        </w:tc>
        <w:tc>
          <w:tcPr>
            <w:tcW w:w="980" w:type="dxa"/>
            <w:vAlign w:val="bottom"/>
          </w:tcPr>
          <w:p>
            <w:pPr>
              <w:jc w:val="right"/>
              <w:ind w:right="89"/>
              <w:spacing w:after="0"/>
              <w:rPr>
                <w:sz w:val="20"/>
                <w:szCs w:val="20"/>
                <w:color w:val="auto"/>
              </w:rPr>
            </w:pPr>
            <w:r>
              <w:rPr>
                <w:rFonts w:ascii="Arial" w:cs="Arial" w:eastAsia="Arial" w:hAnsi="Arial"/>
                <w:sz w:val="14"/>
                <w:szCs w:val="14"/>
                <w:color w:val="auto"/>
              </w:rPr>
              <w:t>18,131</w:t>
            </w:r>
          </w:p>
        </w:tc>
        <w:tc>
          <w:tcPr>
            <w:tcW w:w="1240" w:type="dxa"/>
            <w:vAlign w:val="bottom"/>
          </w:tcPr>
          <w:p>
            <w:pPr>
              <w:jc w:val="right"/>
              <w:ind w:right="28"/>
              <w:spacing w:after="0"/>
              <w:rPr>
                <w:sz w:val="20"/>
                <w:szCs w:val="20"/>
                <w:color w:val="auto"/>
              </w:rPr>
            </w:pPr>
            <w:r>
              <w:rPr>
                <w:rFonts w:ascii="Arial" w:cs="Arial" w:eastAsia="Arial" w:hAnsi="Arial"/>
                <w:sz w:val="14"/>
                <w:szCs w:val="14"/>
                <w:color w:val="auto"/>
              </w:rPr>
              <w:t>1,467</w:t>
            </w:r>
          </w:p>
        </w:tc>
      </w:tr>
      <w:tr>
        <w:trPr>
          <w:trHeight w:val="157"/>
        </w:trPr>
        <w:tc>
          <w:tcPr>
            <w:tcW w:w="5140" w:type="dxa"/>
            <w:vAlign w:val="bottom"/>
            <w:tcBorders>
              <w:bottom w:val="single" w:sz="8" w:color="auto"/>
            </w:tcBorders>
          </w:tcPr>
          <w:p>
            <w:pPr>
              <w:spacing w:after="0" w:line="157" w:lineRule="exact"/>
              <w:rPr>
                <w:sz w:val="20"/>
                <w:szCs w:val="20"/>
                <w:color w:val="auto"/>
              </w:rPr>
            </w:pPr>
            <w:r>
              <w:rPr>
                <w:rFonts w:ascii="Arial" w:cs="Arial" w:eastAsia="Arial" w:hAnsi="Arial"/>
                <w:sz w:val="14"/>
                <w:szCs w:val="14"/>
                <w:color w:val="auto"/>
              </w:rPr>
              <w:t>Increase/(decrease) in cash and cash equivalents</w:t>
            </w:r>
          </w:p>
        </w:tc>
        <w:tc>
          <w:tcPr>
            <w:tcW w:w="1240" w:type="dxa"/>
            <w:vAlign w:val="bottom"/>
            <w:tcBorders>
              <w:bottom w:val="single" w:sz="8" w:color="auto"/>
            </w:tcBorders>
            <w:shd w:val="clear" w:color="auto" w:fill="D8D8D8"/>
          </w:tcPr>
          <w:p>
            <w:pPr>
              <w:jc w:val="right"/>
              <w:ind w:right="29"/>
              <w:spacing w:after="0" w:line="157" w:lineRule="exact"/>
              <w:rPr>
                <w:sz w:val="20"/>
                <w:szCs w:val="20"/>
                <w:color w:val="auto"/>
              </w:rPr>
            </w:pPr>
            <w:r>
              <w:rPr>
                <w:rFonts w:ascii="Arial" w:cs="Arial" w:eastAsia="Arial" w:hAnsi="Arial"/>
                <w:sz w:val="14"/>
                <w:szCs w:val="14"/>
                <w:color w:val="auto"/>
              </w:rPr>
              <w:t>11,911</w:t>
            </w:r>
          </w:p>
        </w:tc>
        <w:tc>
          <w:tcPr>
            <w:tcW w:w="1560" w:type="dxa"/>
            <w:vAlign w:val="bottom"/>
            <w:tcBorders>
              <w:bottom w:val="single" w:sz="8" w:color="auto"/>
            </w:tcBorders>
          </w:tcPr>
          <w:p>
            <w:pPr>
              <w:jc w:val="right"/>
              <w:ind w:right="309"/>
              <w:spacing w:after="0" w:line="157" w:lineRule="exact"/>
              <w:rPr>
                <w:sz w:val="20"/>
                <w:szCs w:val="20"/>
                <w:color w:val="auto"/>
              </w:rPr>
            </w:pPr>
            <w:r>
              <w:rPr>
                <w:rFonts w:ascii="Arial" w:cs="Arial" w:eastAsia="Arial" w:hAnsi="Arial"/>
                <w:sz w:val="14"/>
                <w:szCs w:val="14"/>
                <w:color w:val="auto"/>
              </w:rPr>
              <w:t>(8,854)</w:t>
            </w:r>
          </w:p>
        </w:tc>
        <w:tc>
          <w:tcPr>
            <w:tcW w:w="1260" w:type="dxa"/>
            <w:vAlign w:val="bottom"/>
            <w:tcBorders>
              <w:bottom w:val="single" w:sz="8" w:color="auto"/>
            </w:tcBorders>
          </w:tcPr>
          <w:p>
            <w:pPr>
              <w:jc w:val="right"/>
              <w:ind w:right="349"/>
              <w:spacing w:after="0" w:line="157" w:lineRule="exact"/>
              <w:rPr>
                <w:sz w:val="20"/>
                <w:szCs w:val="20"/>
                <w:color w:val="auto"/>
              </w:rPr>
            </w:pPr>
            <w:r>
              <w:rPr>
                <w:rFonts w:ascii="Arial" w:cs="Arial" w:eastAsia="Arial" w:hAnsi="Arial"/>
                <w:sz w:val="14"/>
                <w:szCs w:val="14"/>
                <w:color w:val="auto"/>
              </w:rPr>
              <w:t>7,258</w:t>
            </w:r>
          </w:p>
        </w:tc>
        <w:tc>
          <w:tcPr>
            <w:tcW w:w="980" w:type="dxa"/>
            <w:vAlign w:val="bottom"/>
            <w:tcBorders>
              <w:bottom w:val="single" w:sz="8" w:color="auto"/>
            </w:tcBorders>
          </w:tcPr>
          <w:p>
            <w:pPr>
              <w:jc w:val="right"/>
              <w:ind w:right="29"/>
              <w:spacing w:after="0" w:line="157" w:lineRule="exact"/>
              <w:rPr>
                <w:sz w:val="20"/>
                <w:szCs w:val="20"/>
                <w:color w:val="auto"/>
              </w:rPr>
            </w:pPr>
            <w:r>
              <w:rPr>
                <w:rFonts w:ascii="Arial" w:cs="Arial" w:eastAsia="Arial" w:hAnsi="Arial"/>
                <w:sz w:val="14"/>
                <w:szCs w:val="14"/>
                <w:color w:val="auto"/>
              </w:rPr>
              <w:t>(2,152)</w:t>
            </w:r>
          </w:p>
        </w:tc>
        <w:tc>
          <w:tcPr>
            <w:tcW w:w="1240" w:type="dxa"/>
            <w:vAlign w:val="bottom"/>
            <w:tcBorders>
              <w:bottom w:val="single" w:sz="8" w:color="auto"/>
            </w:tcBorders>
          </w:tcPr>
          <w:p>
            <w:pPr>
              <w:jc w:val="right"/>
              <w:ind w:right="28"/>
              <w:spacing w:after="0" w:line="157" w:lineRule="exact"/>
              <w:rPr>
                <w:sz w:val="20"/>
                <w:szCs w:val="20"/>
                <w:color w:val="auto"/>
              </w:rPr>
            </w:pPr>
            <w:r>
              <w:rPr>
                <w:rFonts w:ascii="Arial" w:cs="Arial" w:eastAsia="Arial" w:hAnsi="Arial"/>
                <w:sz w:val="14"/>
                <w:szCs w:val="14"/>
                <w:color w:val="auto"/>
              </w:rPr>
              <w:t>3,725</w:t>
            </w:r>
          </w:p>
        </w:tc>
      </w:tr>
      <w:tr>
        <w:trPr>
          <w:trHeight w:val="160"/>
        </w:trPr>
        <w:tc>
          <w:tcPr>
            <w:tcW w:w="5140" w:type="dxa"/>
            <w:vAlign w:val="bottom"/>
          </w:tcPr>
          <w:p>
            <w:pPr>
              <w:spacing w:after="0"/>
              <w:rPr>
                <w:sz w:val="20"/>
                <w:szCs w:val="20"/>
                <w:color w:val="auto"/>
              </w:rPr>
            </w:pPr>
            <w:r>
              <w:rPr>
                <w:rFonts w:ascii="Arial" w:cs="Arial" w:eastAsia="Arial" w:hAnsi="Arial"/>
                <w:sz w:val="14"/>
                <w:szCs w:val="14"/>
                <w:color w:val="auto"/>
              </w:rPr>
              <w:t>Earnings/(losses) by segment [A]</w:t>
            </w:r>
          </w:p>
        </w:tc>
        <w:tc>
          <w:tcPr>
            <w:tcW w:w="1240" w:type="dxa"/>
            <w:vAlign w:val="bottom"/>
            <w:shd w:val="clear" w:color="auto" w:fill="D8D8D8"/>
          </w:tcPr>
          <w:p>
            <w:pPr>
              <w:spacing w:after="0"/>
              <w:rPr>
                <w:sz w:val="13"/>
                <w:szCs w:val="13"/>
                <w:color w:val="auto"/>
              </w:rPr>
            </w:pPr>
          </w:p>
        </w:tc>
        <w:tc>
          <w:tcPr>
            <w:tcW w:w="156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240" w:type="dxa"/>
            <w:vAlign w:val="bottom"/>
          </w:tcPr>
          <w:p>
            <w:pPr>
              <w:spacing w:after="0"/>
              <w:rPr>
                <w:sz w:val="13"/>
                <w:szCs w:val="13"/>
                <w:color w:val="auto"/>
              </w:rPr>
            </w:pPr>
          </w:p>
        </w:tc>
      </w:tr>
      <w:tr>
        <w:trPr>
          <w:trHeight w:val="162"/>
        </w:trPr>
        <w:tc>
          <w:tcPr>
            <w:tcW w:w="5140" w:type="dxa"/>
            <w:vAlign w:val="bottom"/>
          </w:tcPr>
          <w:p>
            <w:pPr>
              <w:ind w:left="140"/>
              <w:spacing w:after="0"/>
              <w:rPr>
                <w:sz w:val="20"/>
                <w:szCs w:val="20"/>
                <w:color w:val="auto"/>
              </w:rPr>
            </w:pPr>
            <w:r>
              <w:rPr>
                <w:rFonts w:ascii="Arial" w:cs="Arial" w:eastAsia="Arial" w:hAnsi="Arial"/>
                <w:sz w:val="14"/>
                <w:szCs w:val="14"/>
                <w:color w:val="auto"/>
              </w:rPr>
              <w:t>Upstream</w:t>
            </w:r>
          </w:p>
        </w:tc>
        <w:tc>
          <w:tcPr>
            <w:tcW w:w="1240" w:type="dxa"/>
            <w:vAlign w:val="bottom"/>
            <w:shd w:val="clear" w:color="auto" w:fill="D8D8D8"/>
          </w:tcPr>
          <w:p>
            <w:pPr>
              <w:jc w:val="right"/>
              <w:ind w:right="29"/>
              <w:spacing w:after="0"/>
              <w:rPr>
                <w:sz w:val="20"/>
                <w:szCs w:val="20"/>
                <w:color w:val="auto"/>
              </w:rPr>
            </w:pPr>
            <w:r>
              <w:rPr>
                <w:rFonts w:ascii="Arial" w:cs="Arial" w:eastAsia="Arial" w:hAnsi="Arial"/>
                <w:sz w:val="14"/>
                <w:szCs w:val="14"/>
                <w:color w:val="auto"/>
              </w:rPr>
              <w:t>15,841</w:t>
            </w:r>
          </w:p>
        </w:tc>
        <w:tc>
          <w:tcPr>
            <w:tcW w:w="1560" w:type="dxa"/>
            <w:vAlign w:val="bottom"/>
          </w:tcPr>
          <w:p>
            <w:pPr>
              <w:jc w:val="right"/>
              <w:ind w:right="349"/>
              <w:spacing w:after="0"/>
              <w:rPr>
                <w:sz w:val="20"/>
                <w:szCs w:val="20"/>
                <w:color w:val="auto"/>
              </w:rPr>
            </w:pPr>
            <w:r>
              <w:rPr>
                <w:rFonts w:ascii="Arial" w:cs="Arial" w:eastAsia="Arial" w:hAnsi="Arial"/>
                <w:sz w:val="14"/>
                <w:szCs w:val="14"/>
                <w:color w:val="auto"/>
              </w:rPr>
              <w:t>12,638</w:t>
            </w:r>
          </w:p>
        </w:tc>
        <w:tc>
          <w:tcPr>
            <w:tcW w:w="1260" w:type="dxa"/>
            <w:vAlign w:val="bottom"/>
          </w:tcPr>
          <w:p>
            <w:pPr>
              <w:jc w:val="right"/>
              <w:ind w:right="349"/>
              <w:spacing w:after="0"/>
              <w:rPr>
                <w:sz w:val="20"/>
                <w:szCs w:val="20"/>
                <w:color w:val="auto"/>
              </w:rPr>
            </w:pPr>
            <w:r>
              <w:rPr>
                <w:rFonts w:ascii="Arial" w:cs="Arial" w:eastAsia="Arial" w:hAnsi="Arial"/>
                <w:sz w:val="14"/>
                <w:szCs w:val="14"/>
                <w:color w:val="auto"/>
              </w:rPr>
              <w:t>22,244</w:t>
            </w:r>
          </w:p>
        </w:tc>
        <w:tc>
          <w:tcPr>
            <w:tcW w:w="980" w:type="dxa"/>
            <w:vAlign w:val="bottom"/>
          </w:tcPr>
          <w:p>
            <w:pPr>
              <w:jc w:val="right"/>
              <w:ind w:right="89"/>
              <w:spacing w:after="0"/>
              <w:rPr>
                <w:sz w:val="20"/>
                <w:szCs w:val="20"/>
                <w:color w:val="auto"/>
              </w:rPr>
            </w:pPr>
            <w:r>
              <w:rPr>
                <w:rFonts w:ascii="Arial" w:cs="Arial" w:eastAsia="Arial" w:hAnsi="Arial"/>
                <w:sz w:val="14"/>
                <w:szCs w:val="14"/>
                <w:color w:val="auto"/>
              </w:rPr>
              <w:t>24,466</w:t>
            </w:r>
          </w:p>
        </w:tc>
        <w:tc>
          <w:tcPr>
            <w:tcW w:w="1240" w:type="dxa"/>
            <w:vAlign w:val="bottom"/>
          </w:tcPr>
          <w:p>
            <w:pPr>
              <w:jc w:val="right"/>
              <w:ind w:right="28"/>
              <w:spacing w:after="0"/>
              <w:rPr>
                <w:sz w:val="20"/>
                <w:szCs w:val="20"/>
                <w:color w:val="auto"/>
              </w:rPr>
            </w:pPr>
            <w:r>
              <w:rPr>
                <w:rFonts w:ascii="Arial" w:cs="Arial" w:eastAsia="Arial" w:hAnsi="Arial"/>
                <w:sz w:val="14"/>
                <w:szCs w:val="14"/>
                <w:color w:val="auto"/>
              </w:rPr>
              <w:t>15,935</w:t>
            </w:r>
          </w:p>
        </w:tc>
      </w:tr>
      <w:tr>
        <w:trPr>
          <w:trHeight w:val="162"/>
        </w:trPr>
        <w:tc>
          <w:tcPr>
            <w:tcW w:w="5140" w:type="dxa"/>
            <w:vAlign w:val="bottom"/>
          </w:tcPr>
          <w:p>
            <w:pPr>
              <w:ind w:left="140"/>
              <w:spacing w:after="0"/>
              <w:rPr>
                <w:sz w:val="20"/>
                <w:szCs w:val="20"/>
                <w:color w:val="auto"/>
              </w:rPr>
            </w:pPr>
            <w:r>
              <w:rPr>
                <w:rFonts w:ascii="Arial" w:cs="Arial" w:eastAsia="Arial" w:hAnsi="Arial"/>
                <w:sz w:val="14"/>
                <w:szCs w:val="14"/>
                <w:color w:val="auto"/>
              </w:rPr>
              <w:t>Downstream</w:t>
            </w:r>
          </w:p>
        </w:tc>
        <w:tc>
          <w:tcPr>
            <w:tcW w:w="1240" w:type="dxa"/>
            <w:vAlign w:val="bottom"/>
            <w:shd w:val="clear" w:color="auto" w:fill="D8D8D8"/>
          </w:tcPr>
          <w:p>
            <w:pPr>
              <w:jc w:val="right"/>
              <w:ind w:right="29"/>
              <w:spacing w:after="0"/>
              <w:rPr>
                <w:sz w:val="20"/>
                <w:szCs w:val="20"/>
                <w:color w:val="auto"/>
              </w:rPr>
            </w:pPr>
            <w:r>
              <w:rPr>
                <w:rFonts w:ascii="Arial" w:cs="Arial" w:eastAsia="Arial" w:hAnsi="Arial"/>
                <w:sz w:val="14"/>
                <w:szCs w:val="14"/>
                <w:color w:val="auto"/>
              </w:rPr>
              <w:t>3,411</w:t>
            </w:r>
          </w:p>
        </w:tc>
        <w:tc>
          <w:tcPr>
            <w:tcW w:w="1560" w:type="dxa"/>
            <w:vAlign w:val="bottom"/>
          </w:tcPr>
          <w:p>
            <w:pPr>
              <w:jc w:val="right"/>
              <w:ind w:right="349"/>
              <w:spacing w:after="0"/>
              <w:rPr>
                <w:sz w:val="20"/>
                <w:szCs w:val="20"/>
                <w:color w:val="auto"/>
              </w:rPr>
            </w:pPr>
            <w:r>
              <w:rPr>
                <w:rFonts w:ascii="Arial" w:cs="Arial" w:eastAsia="Arial" w:hAnsi="Arial"/>
                <w:sz w:val="14"/>
                <w:szCs w:val="14"/>
                <w:color w:val="auto"/>
              </w:rPr>
              <w:t>3,869</w:t>
            </w:r>
          </w:p>
        </w:tc>
        <w:tc>
          <w:tcPr>
            <w:tcW w:w="1260" w:type="dxa"/>
            <w:vAlign w:val="bottom"/>
          </w:tcPr>
          <w:p>
            <w:pPr>
              <w:jc w:val="right"/>
              <w:ind w:right="349"/>
              <w:spacing w:after="0"/>
              <w:rPr>
                <w:sz w:val="20"/>
                <w:szCs w:val="20"/>
                <w:color w:val="auto"/>
              </w:rPr>
            </w:pPr>
            <w:r>
              <w:rPr>
                <w:rFonts w:ascii="Arial" w:cs="Arial" w:eastAsia="Arial" w:hAnsi="Arial"/>
                <w:sz w:val="14"/>
                <w:szCs w:val="14"/>
                <w:color w:val="auto"/>
              </w:rPr>
              <w:t>5,382</w:t>
            </w:r>
          </w:p>
        </w:tc>
        <w:tc>
          <w:tcPr>
            <w:tcW w:w="980" w:type="dxa"/>
            <w:vAlign w:val="bottom"/>
          </w:tcPr>
          <w:p>
            <w:pPr>
              <w:jc w:val="right"/>
              <w:ind w:right="89"/>
              <w:spacing w:after="0"/>
              <w:rPr>
                <w:sz w:val="20"/>
                <w:szCs w:val="20"/>
                <w:color w:val="auto"/>
              </w:rPr>
            </w:pPr>
            <w:r>
              <w:rPr>
                <w:rFonts w:ascii="Arial" w:cs="Arial" w:eastAsia="Arial" w:hAnsi="Arial"/>
                <w:sz w:val="14"/>
                <w:szCs w:val="14"/>
                <w:color w:val="auto"/>
              </w:rPr>
              <w:t>4,170</w:t>
            </w:r>
          </w:p>
        </w:tc>
        <w:tc>
          <w:tcPr>
            <w:tcW w:w="1240" w:type="dxa"/>
            <w:vAlign w:val="bottom"/>
          </w:tcPr>
          <w:p>
            <w:pPr>
              <w:jc w:val="right"/>
              <w:ind w:right="28"/>
              <w:spacing w:after="0"/>
              <w:rPr>
                <w:sz w:val="20"/>
                <w:szCs w:val="20"/>
                <w:color w:val="auto"/>
              </w:rPr>
            </w:pPr>
            <w:r>
              <w:rPr>
                <w:rFonts w:ascii="Arial" w:cs="Arial" w:eastAsia="Arial" w:hAnsi="Arial"/>
                <w:sz w:val="14"/>
                <w:szCs w:val="14"/>
                <w:color w:val="auto"/>
              </w:rPr>
              <w:t>2,950</w:t>
            </w:r>
          </w:p>
        </w:tc>
      </w:tr>
      <w:tr>
        <w:trPr>
          <w:trHeight w:val="157"/>
        </w:trPr>
        <w:tc>
          <w:tcPr>
            <w:tcW w:w="5140" w:type="dxa"/>
            <w:vAlign w:val="bottom"/>
            <w:tcBorders>
              <w:bottom w:val="single" w:sz="8" w:color="auto"/>
            </w:tcBorders>
          </w:tcPr>
          <w:p>
            <w:pPr>
              <w:ind w:left="140"/>
              <w:spacing w:after="0" w:line="157" w:lineRule="exact"/>
              <w:rPr>
                <w:sz w:val="20"/>
                <w:szCs w:val="20"/>
                <w:color w:val="auto"/>
              </w:rPr>
            </w:pPr>
            <w:r>
              <w:rPr>
                <w:rFonts w:ascii="Arial" w:cs="Arial" w:eastAsia="Arial" w:hAnsi="Arial"/>
                <w:sz w:val="14"/>
                <w:szCs w:val="14"/>
                <w:color w:val="auto"/>
              </w:rPr>
              <w:t>Corporate</w:t>
            </w:r>
          </w:p>
        </w:tc>
        <w:tc>
          <w:tcPr>
            <w:tcW w:w="1240" w:type="dxa"/>
            <w:vAlign w:val="bottom"/>
            <w:tcBorders>
              <w:bottom w:val="single" w:sz="8" w:color="auto"/>
            </w:tcBorders>
            <w:shd w:val="clear" w:color="auto" w:fill="D8D8D8"/>
          </w:tcPr>
          <w:p>
            <w:pPr>
              <w:jc w:val="right"/>
              <w:ind w:right="29"/>
              <w:spacing w:after="0" w:line="157" w:lineRule="exact"/>
              <w:rPr>
                <w:sz w:val="20"/>
                <w:szCs w:val="20"/>
                <w:color w:val="auto"/>
              </w:rPr>
            </w:pPr>
            <w:r>
              <w:rPr>
                <w:rFonts w:ascii="Arial" w:cs="Arial" w:eastAsia="Arial" w:hAnsi="Arial"/>
                <w:sz w:val="14"/>
                <w:szCs w:val="14"/>
                <w:color w:val="auto"/>
              </w:rPr>
              <w:t>(156)</w:t>
            </w:r>
          </w:p>
        </w:tc>
        <w:tc>
          <w:tcPr>
            <w:tcW w:w="1560" w:type="dxa"/>
            <w:vAlign w:val="bottom"/>
            <w:tcBorders>
              <w:bottom w:val="single" w:sz="8" w:color="auto"/>
            </w:tcBorders>
          </w:tcPr>
          <w:p>
            <w:pPr>
              <w:jc w:val="right"/>
              <w:ind w:right="349"/>
              <w:spacing w:after="0" w:line="157" w:lineRule="exact"/>
              <w:rPr>
                <w:sz w:val="20"/>
                <w:szCs w:val="20"/>
                <w:color w:val="auto"/>
              </w:rPr>
            </w:pPr>
            <w:r>
              <w:rPr>
                <w:rFonts w:ascii="Arial" w:cs="Arial" w:eastAsia="Arial" w:hAnsi="Arial"/>
                <w:sz w:val="14"/>
                <w:szCs w:val="14"/>
                <w:color w:val="auto"/>
              </w:rPr>
              <w:t>372</w:t>
            </w:r>
          </w:p>
        </w:tc>
        <w:tc>
          <w:tcPr>
            <w:tcW w:w="1260" w:type="dxa"/>
            <w:vAlign w:val="bottom"/>
            <w:tcBorders>
              <w:bottom w:val="single" w:sz="8" w:color="auto"/>
            </w:tcBorders>
          </w:tcPr>
          <w:p>
            <w:pPr>
              <w:jc w:val="right"/>
              <w:ind w:right="309"/>
              <w:spacing w:after="0" w:line="157" w:lineRule="exact"/>
              <w:rPr>
                <w:sz w:val="20"/>
                <w:szCs w:val="20"/>
                <w:color w:val="auto"/>
              </w:rPr>
            </w:pPr>
            <w:r>
              <w:rPr>
                <w:rFonts w:ascii="Arial" w:cs="Arial" w:eastAsia="Arial" w:hAnsi="Arial"/>
                <w:sz w:val="14"/>
                <w:szCs w:val="14"/>
                <w:color w:val="auto"/>
              </w:rPr>
              <w:t>(203)</w:t>
            </w:r>
          </w:p>
        </w:tc>
        <w:tc>
          <w:tcPr>
            <w:tcW w:w="980" w:type="dxa"/>
            <w:vAlign w:val="bottom"/>
            <w:tcBorders>
              <w:bottom w:val="single" w:sz="8" w:color="auto"/>
            </w:tcBorders>
          </w:tcPr>
          <w:p>
            <w:pPr>
              <w:jc w:val="right"/>
              <w:ind w:right="89"/>
              <w:spacing w:after="0" w:line="157" w:lineRule="exact"/>
              <w:rPr>
                <w:sz w:val="20"/>
                <w:szCs w:val="20"/>
                <w:color w:val="auto"/>
              </w:rPr>
            </w:pPr>
            <w:r>
              <w:rPr>
                <w:rFonts w:ascii="Arial" w:cs="Arial" w:eastAsia="Arial" w:hAnsi="Arial"/>
                <w:sz w:val="14"/>
                <w:szCs w:val="14"/>
                <w:color w:val="auto"/>
              </w:rPr>
              <w:t>102</w:t>
            </w:r>
          </w:p>
        </w:tc>
        <w:tc>
          <w:tcPr>
            <w:tcW w:w="1240" w:type="dxa"/>
            <w:vAlign w:val="bottom"/>
            <w:tcBorders>
              <w:bottom w:val="single" w:sz="8" w:color="auto"/>
            </w:tcBorders>
          </w:tcPr>
          <w:p>
            <w:pPr>
              <w:jc w:val="right"/>
              <w:ind w:right="28"/>
              <w:spacing w:after="0" w:line="157" w:lineRule="exact"/>
              <w:rPr>
                <w:sz w:val="20"/>
                <w:szCs w:val="20"/>
                <w:color w:val="auto"/>
              </w:rPr>
            </w:pPr>
            <w:r>
              <w:rPr>
                <w:rFonts w:ascii="Arial" w:cs="Arial" w:eastAsia="Arial" w:hAnsi="Arial"/>
                <w:sz w:val="14"/>
                <w:szCs w:val="14"/>
                <w:color w:val="auto"/>
              </w:rPr>
              <w:t>91</w:t>
            </w:r>
          </w:p>
        </w:tc>
      </w:tr>
      <w:tr>
        <w:trPr>
          <w:trHeight w:val="160"/>
        </w:trPr>
        <w:tc>
          <w:tcPr>
            <w:tcW w:w="5140" w:type="dxa"/>
            <w:vAlign w:val="bottom"/>
          </w:tcPr>
          <w:p>
            <w:pPr>
              <w:spacing w:after="0"/>
              <w:rPr>
                <w:sz w:val="20"/>
                <w:szCs w:val="20"/>
                <w:color w:val="auto"/>
              </w:rPr>
            </w:pPr>
            <w:r>
              <w:rPr>
                <w:rFonts w:ascii="Arial" w:cs="Arial" w:eastAsia="Arial" w:hAnsi="Arial"/>
                <w:sz w:val="14"/>
                <w:szCs w:val="14"/>
                <w:color w:val="auto"/>
              </w:rPr>
              <w:t>Total segment earnings</w:t>
            </w:r>
          </w:p>
        </w:tc>
        <w:tc>
          <w:tcPr>
            <w:tcW w:w="1240" w:type="dxa"/>
            <w:vAlign w:val="bottom"/>
            <w:shd w:val="clear" w:color="auto" w:fill="D8D8D8"/>
          </w:tcPr>
          <w:p>
            <w:pPr>
              <w:jc w:val="right"/>
              <w:ind w:right="29"/>
              <w:spacing w:after="0"/>
              <w:rPr>
                <w:sz w:val="20"/>
                <w:szCs w:val="20"/>
                <w:color w:val="auto"/>
              </w:rPr>
            </w:pPr>
            <w:r>
              <w:rPr>
                <w:rFonts w:ascii="Arial" w:cs="Arial" w:eastAsia="Arial" w:hAnsi="Arial"/>
                <w:sz w:val="14"/>
                <w:szCs w:val="14"/>
                <w:color w:val="auto"/>
              </w:rPr>
              <w:t>19,096</w:t>
            </w:r>
          </w:p>
        </w:tc>
        <w:tc>
          <w:tcPr>
            <w:tcW w:w="1560" w:type="dxa"/>
            <w:vAlign w:val="bottom"/>
          </w:tcPr>
          <w:p>
            <w:pPr>
              <w:jc w:val="right"/>
              <w:ind w:right="349"/>
              <w:spacing w:after="0"/>
              <w:rPr>
                <w:sz w:val="20"/>
                <w:szCs w:val="20"/>
                <w:color w:val="auto"/>
              </w:rPr>
            </w:pPr>
            <w:r>
              <w:rPr>
                <w:rFonts w:ascii="Arial" w:cs="Arial" w:eastAsia="Arial" w:hAnsi="Arial"/>
                <w:sz w:val="14"/>
                <w:szCs w:val="14"/>
                <w:color w:val="auto"/>
              </w:rPr>
              <w:t>16,879</w:t>
            </w:r>
          </w:p>
        </w:tc>
        <w:tc>
          <w:tcPr>
            <w:tcW w:w="1260" w:type="dxa"/>
            <w:vAlign w:val="bottom"/>
          </w:tcPr>
          <w:p>
            <w:pPr>
              <w:jc w:val="right"/>
              <w:ind w:right="349"/>
              <w:spacing w:after="0"/>
              <w:rPr>
                <w:sz w:val="20"/>
                <w:szCs w:val="20"/>
                <w:color w:val="auto"/>
              </w:rPr>
            </w:pPr>
            <w:r>
              <w:rPr>
                <w:rFonts w:ascii="Arial" w:cs="Arial" w:eastAsia="Arial" w:hAnsi="Arial"/>
                <w:sz w:val="14"/>
                <w:szCs w:val="14"/>
                <w:color w:val="auto"/>
              </w:rPr>
              <w:t>27,423</w:t>
            </w:r>
          </w:p>
        </w:tc>
        <w:tc>
          <w:tcPr>
            <w:tcW w:w="980" w:type="dxa"/>
            <w:vAlign w:val="bottom"/>
          </w:tcPr>
          <w:p>
            <w:pPr>
              <w:jc w:val="right"/>
              <w:ind w:right="89"/>
              <w:spacing w:after="0"/>
              <w:rPr>
                <w:sz w:val="20"/>
                <w:szCs w:val="20"/>
                <w:color w:val="auto"/>
              </w:rPr>
            </w:pPr>
            <w:r>
              <w:rPr>
                <w:rFonts w:ascii="Arial" w:cs="Arial" w:eastAsia="Arial" w:hAnsi="Arial"/>
                <w:sz w:val="14"/>
                <w:szCs w:val="14"/>
                <w:color w:val="auto"/>
              </w:rPr>
              <w:t>28,738</w:t>
            </w:r>
          </w:p>
        </w:tc>
        <w:tc>
          <w:tcPr>
            <w:tcW w:w="1240" w:type="dxa"/>
            <w:vAlign w:val="bottom"/>
          </w:tcPr>
          <w:p>
            <w:pPr>
              <w:jc w:val="right"/>
              <w:ind w:right="28"/>
              <w:spacing w:after="0"/>
              <w:rPr>
                <w:sz w:val="20"/>
                <w:szCs w:val="20"/>
                <w:color w:val="auto"/>
              </w:rPr>
            </w:pPr>
            <w:r>
              <w:rPr>
                <w:rFonts w:ascii="Arial" w:cs="Arial" w:eastAsia="Arial" w:hAnsi="Arial"/>
                <w:sz w:val="14"/>
                <w:szCs w:val="14"/>
                <w:color w:val="auto"/>
              </w:rPr>
              <w:t>18,976</w:t>
            </w:r>
          </w:p>
        </w:tc>
      </w:tr>
      <w:tr>
        <w:trPr>
          <w:trHeight w:val="157"/>
        </w:trPr>
        <w:tc>
          <w:tcPr>
            <w:tcW w:w="5140" w:type="dxa"/>
            <w:vAlign w:val="bottom"/>
            <w:tcBorders>
              <w:bottom w:val="single" w:sz="8" w:color="auto"/>
            </w:tcBorders>
          </w:tcPr>
          <w:p>
            <w:pPr>
              <w:spacing w:after="0" w:line="157" w:lineRule="exact"/>
              <w:rPr>
                <w:sz w:val="20"/>
                <w:szCs w:val="20"/>
                <w:color w:val="auto"/>
              </w:rPr>
            </w:pPr>
            <w:r>
              <w:rPr>
                <w:rFonts w:ascii="Arial" w:cs="Arial" w:eastAsia="Arial" w:hAnsi="Arial"/>
                <w:sz w:val="14"/>
                <w:szCs w:val="14"/>
                <w:color w:val="auto"/>
              </w:rPr>
              <w:t>Attributable to non-controlling interest</w:t>
            </w:r>
          </w:p>
        </w:tc>
        <w:tc>
          <w:tcPr>
            <w:tcW w:w="1240" w:type="dxa"/>
            <w:vAlign w:val="bottom"/>
            <w:tcBorders>
              <w:bottom w:val="single" w:sz="8" w:color="auto"/>
            </w:tcBorders>
            <w:shd w:val="clear" w:color="auto" w:fill="D8D8D8"/>
          </w:tcPr>
          <w:p>
            <w:pPr>
              <w:jc w:val="right"/>
              <w:ind w:right="29"/>
              <w:spacing w:after="0" w:line="157" w:lineRule="exact"/>
              <w:rPr>
                <w:sz w:val="20"/>
                <w:szCs w:val="20"/>
                <w:color w:val="auto"/>
              </w:rPr>
            </w:pPr>
            <w:r>
              <w:rPr>
                <w:rFonts w:ascii="Arial" w:cs="Arial" w:eastAsia="Arial" w:hAnsi="Arial"/>
                <w:sz w:val="14"/>
                <w:szCs w:val="14"/>
                <w:color w:val="auto"/>
              </w:rPr>
              <w:t>(55)</w:t>
            </w:r>
          </w:p>
        </w:tc>
        <w:tc>
          <w:tcPr>
            <w:tcW w:w="1560" w:type="dxa"/>
            <w:vAlign w:val="bottom"/>
            <w:tcBorders>
              <w:bottom w:val="single" w:sz="8" w:color="auto"/>
            </w:tcBorders>
          </w:tcPr>
          <w:p>
            <w:pPr>
              <w:jc w:val="right"/>
              <w:ind w:right="309"/>
              <w:spacing w:after="0" w:line="157" w:lineRule="exact"/>
              <w:rPr>
                <w:sz w:val="20"/>
                <w:szCs w:val="20"/>
                <w:color w:val="auto"/>
              </w:rPr>
            </w:pPr>
            <w:r>
              <w:rPr>
                <w:rFonts w:ascii="Arial" w:cs="Arial" w:eastAsia="Arial" w:hAnsi="Arial"/>
                <w:sz w:val="14"/>
                <w:szCs w:val="14"/>
                <w:color w:val="auto"/>
              </w:rPr>
              <w:t>(134)</w:t>
            </w:r>
          </w:p>
        </w:tc>
        <w:tc>
          <w:tcPr>
            <w:tcW w:w="1260" w:type="dxa"/>
            <w:vAlign w:val="bottom"/>
            <w:tcBorders>
              <w:bottom w:val="single" w:sz="8" w:color="auto"/>
            </w:tcBorders>
          </w:tcPr>
          <w:p>
            <w:pPr>
              <w:jc w:val="right"/>
              <w:ind w:right="309"/>
              <w:spacing w:after="0" w:line="157" w:lineRule="exact"/>
              <w:rPr>
                <w:sz w:val="20"/>
                <w:szCs w:val="20"/>
                <w:color w:val="auto"/>
              </w:rPr>
            </w:pPr>
            <w:r>
              <w:rPr>
                <w:rFonts w:ascii="Arial" w:cs="Arial" w:eastAsia="Arial" w:hAnsi="Arial"/>
                <w:sz w:val="14"/>
                <w:szCs w:val="14"/>
                <w:color w:val="auto"/>
              </w:rPr>
              <w:t>(259)</w:t>
            </w:r>
          </w:p>
        </w:tc>
        <w:tc>
          <w:tcPr>
            <w:tcW w:w="980" w:type="dxa"/>
            <w:vAlign w:val="bottom"/>
            <w:tcBorders>
              <w:bottom w:val="single" w:sz="8" w:color="auto"/>
            </w:tcBorders>
          </w:tcPr>
          <w:p>
            <w:pPr>
              <w:jc w:val="right"/>
              <w:ind w:right="29"/>
              <w:spacing w:after="0" w:line="157" w:lineRule="exact"/>
              <w:rPr>
                <w:sz w:val="20"/>
                <w:szCs w:val="20"/>
                <w:color w:val="auto"/>
              </w:rPr>
            </w:pPr>
            <w:r>
              <w:rPr>
                <w:rFonts w:ascii="Arial" w:cs="Arial" w:eastAsia="Arial" w:hAnsi="Arial"/>
                <w:sz w:val="14"/>
                <w:szCs w:val="14"/>
                <w:color w:val="auto"/>
              </w:rPr>
              <w:t>(205)</w:t>
            </w:r>
          </w:p>
        </w:tc>
        <w:tc>
          <w:tcPr>
            <w:tcW w:w="1240" w:type="dxa"/>
            <w:vAlign w:val="bottom"/>
            <w:tcBorders>
              <w:bottom w:val="single" w:sz="8" w:color="auto"/>
            </w:tcBorders>
          </w:tcPr>
          <w:p>
            <w:pPr>
              <w:jc w:val="right"/>
              <w:spacing w:after="0" w:line="157" w:lineRule="exact"/>
              <w:rPr>
                <w:sz w:val="20"/>
                <w:szCs w:val="20"/>
                <w:color w:val="auto"/>
              </w:rPr>
            </w:pPr>
            <w:r>
              <w:rPr>
                <w:rFonts w:ascii="Arial" w:cs="Arial" w:eastAsia="Arial" w:hAnsi="Arial"/>
                <w:sz w:val="14"/>
                <w:szCs w:val="14"/>
                <w:color w:val="auto"/>
              </w:rPr>
              <w:t>(333)</w:t>
            </w:r>
          </w:p>
        </w:tc>
      </w:tr>
      <w:tr>
        <w:trPr>
          <w:trHeight w:val="160"/>
        </w:trPr>
        <w:tc>
          <w:tcPr>
            <w:tcW w:w="5140" w:type="dxa"/>
            <w:vAlign w:val="bottom"/>
          </w:tcPr>
          <w:p>
            <w:pPr>
              <w:spacing w:after="0"/>
              <w:rPr>
                <w:sz w:val="20"/>
                <w:szCs w:val="20"/>
                <w:color w:val="auto"/>
              </w:rPr>
            </w:pPr>
            <w:r>
              <w:rPr>
                <w:rFonts w:ascii="Arial" w:cs="Arial" w:eastAsia="Arial" w:hAnsi="Arial"/>
                <w:sz w:val="14"/>
                <w:szCs w:val="14"/>
                <w:color w:val="auto"/>
              </w:rPr>
              <w:t>Earnings on a current cost of supplies basis attributable to Royal Dutch Shell plc</w:t>
            </w:r>
          </w:p>
        </w:tc>
        <w:tc>
          <w:tcPr>
            <w:tcW w:w="1240" w:type="dxa"/>
            <w:vAlign w:val="bottom"/>
            <w:shd w:val="clear" w:color="auto" w:fill="D8D8D8"/>
          </w:tcPr>
          <w:p>
            <w:pPr>
              <w:spacing w:after="0"/>
              <w:rPr>
                <w:sz w:val="13"/>
                <w:szCs w:val="13"/>
                <w:color w:val="auto"/>
              </w:rPr>
            </w:pPr>
          </w:p>
        </w:tc>
        <w:tc>
          <w:tcPr>
            <w:tcW w:w="156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240" w:type="dxa"/>
            <w:vAlign w:val="bottom"/>
          </w:tcPr>
          <w:p>
            <w:pPr>
              <w:spacing w:after="0"/>
              <w:rPr>
                <w:sz w:val="13"/>
                <w:szCs w:val="13"/>
                <w:color w:val="auto"/>
              </w:rPr>
            </w:pPr>
          </w:p>
        </w:tc>
      </w:tr>
      <w:tr>
        <w:trPr>
          <w:trHeight w:val="157"/>
        </w:trPr>
        <w:tc>
          <w:tcPr>
            <w:tcW w:w="5140" w:type="dxa"/>
            <w:vAlign w:val="bottom"/>
            <w:tcBorders>
              <w:bottom w:val="single" w:sz="8" w:color="auto"/>
            </w:tcBorders>
          </w:tcPr>
          <w:p>
            <w:pPr>
              <w:ind w:left="140"/>
              <w:spacing w:after="0" w:line="157" w:lineRule="exact"/>
              <w:rPr>
                <w:sz w:val="20"/>
                <w:szCs w:val="20"/>
                <w:color w:val="auto"/>
              </w:rPr>
            </w:pPr>
            <w:r>
              <w:rPr>
                <w:rFonts w:ascii="Arial" w:cs="Arial" w:eastAsia="Arial" w:hAnsi="Arial"/>
                <w:sz w:val="14"/>
                <w:szCs w:val="14"/>
                <w:color w:val="auto"/>
              </w:rPr>
              <w:t>shareholders [B]</w:t>
            </w:r>
          </w:p>
        </w:tc>
        <w:tc>
          <w:tcPr>
            <w:tcW w:w="1240" w:type="dxa"/>
            <w:vAlign w:val="bottom"/>
            <w:tcBorders>
              <w:bottom w:val="single" w:sz="8" w:color="auto"/>
            </w:tcBorders>
            <w:shd w:val="clear" w:color="auto" w:fill="D8D8D8"/>
          </w:tcPr>
          <w:p>
            <w:pPr>
              <w:jc w:val="right"/>
              <w:ind w:right="29"/>
              <w:spacing w:after="0" w:line="157" w:lineRule="exact"/>
              <w:rPr>
                <w:sz w:val="20"/>
                <w:szCs w:val="20"/>
                <w:color w:val="auto"/>
              </w:rPr>
            </w:pPr>
            <w:r>
              <w:rPr>
                <w:rFonts w:ascii="Arial" w:cs="Arial" w:eastAsia="Arial" w:hAnsi="Arial"/>
                <w:sz w:val="14"/>
                <w:szCs w:val="14"/>
                <w:color w:val="auto"/>
              </w:rPr>
              <w:t>19,041</w:t>
            </w:r>
          </w:p>
        </w:tc>
        <w:tc>
          <w:tcPr>
            <w:tcW w:w="1560" w:type="dxa"/>
            <w:vAlign w:val="bottom"/>
            <w:tcBorders>
              <w:bottom w:val="single" w:sz="8" w:color="auto"/>
            </w:tcBorders>
          </w:tcPr>
          <w:p>
            <w:pPr>
              <w:jc w:val="right"/>
              <w:ind w:right="349"/>
              <w:spacing w:after="0" w:line="157" w:lineRule="exact"/>
              <w:rPr>
                <w:sz w:val="20"/>
                <w:szCs w:val="20"/>
                <w:color w:val="auto"/>
              </w:rPr>
            </w:pPr>
            <w:r>
              <w:rPr>
                <w:rFonts w:ascii="Arial" w:cs="Arial" w:eastAsia="Arial" w:hAnsi="Arial"/>
                <w:sz w:val="14"/>
                <w:szCs w:val="14"/>
                <w:color w:val="auto"/>
              </w:rPr>
              <w:t>16,745</w:t>
            </w:r>
          </w:p>
        </w:tc>
        <w:tc>
          <w:tcPr>
            <w:tcW w:w="1260" w:type="dxa"/>
            <w:vAlign w:val="bottom"/>
            <w:tcBorders>
              <w:bottom w:val="single" w:sz="8" w:color="auto"/>
            </w:tcBorders>
          </w:tcPr>
          <w:p>
            <w:pPr>
              <w:jc w:val="right"/>
              <w:ind w:right="349"/>
              <w:spacing w:after="0" w:line="157" w:lineRule="exact"/>
              <w:rPr>
                <w:sz w:val="20"/>
                <w:szCs w:val="20"/>
                <w:color w:val="auto"/>
              </w:rPr>
            </w:pPr>
            <w:r>
              <w:rPr>
                <w:rFonts w:ascii="Arial" w:cs="Arial" w:eastAsia="Arial" w:hAnsi="Arial"/>
                <w:sz w:val="14"/>
                <w:szCs w:val="14"/>
                <w:color w:val="auto"/>
              </w:rPr>
              <w:t>27,164</w:t>
            </w:r>
          </w:p>
        </w:tc>
        <w:tc>
          <w:tcPr>
            <w:tcW w:w="980" w:type="dxa"/>
            <w:vAlign w:val="bottom"/>
            <w:tcBorders>
              <w:bottom w:val="single" w:sz="8" w:color="auto"/>
            </w:tcBorders>
          </w:tcPr>
          <w:p>
            <w:pPr>
              <w:jc w:val="right"/>
              <w:ind w:right="89"/>
              <w:spacing w:after="0" w:line="157" w:lineRule="exact"/>
              <w:rPr>
                <w:sz w:val="20"/>
                <w:szCs w:val="20"/>
                <w:color w:val="auto"/>
              </w:rPr>
            </w:pPr>
            <w:r>
              <w:rPr>
                <w:rFonts w:ascii="Arial" w:cs="Arial" w:eastAsia="Arial" w:hAnsi="Arial"/>
                <w:sz w:val="14"/>
                <w:szCs w:val="14"/>
                <w:color w:val="auto"/>
              </w:rPr>
              <w:t>28,533</w:t>
            </w:r>
          </w:p>
        </w:tc>
        <w:tc>
          <w:tcPr>
            <w:tcW w:w="1240" w:type="dxa"/>
            <w:vAlign w:val="bottom"/>
            <w:tcBorders>
              <w:bottom w:val="single" w:sz="8" w:color="auto"/>
            </w:tcBorders>
          </w:tcPr>
          <w:p>
            <w:pPr>
              <w:jc w:val="right"/>
              <w:ind w:right="28"/>
              <w:spacing w:after="0" w:line="157" w:lineRule="exact"/>
              <w:rPr>
                <w:sz w:val="20"/>
                <w:szCs w:val="20"/>
                <w:color w:val="auto"/>
              </w:rPr>
            </w:pPr>
            <w:r>
              <w:rPr>
                <w:rFonts w:ascii="Arial" w:cs="Arial" w:eastAsia="Arial" w:hAnsi="Arial"/>
                <w:sz w:val="14"/>
                <w:szCs w:val="14"/>
                <w:color w:val="auto"/>
              </w:rPr>
              <w:t>18,643</w:t>
            </w:r>
          </w:p>
        </w:tc>
      </w:tr>
      <w:tr>
        <w:trPr>
          <w:trHeight w:val="160"/>
        </w:trPr>
        <w:tc>
          <w:tcPr>
            <w:tcW w:w="5140" w:type="dxa"/>
            <w:vAlign w:val="bottom"/>
          </w:tcPr>
          <w:p>
            <w:pPr>
              <w:spacing w:after="0"/>
              <w:rPr>
                <w:sz w:val="20"/>
                <w:szCs w:val="20"/>
                <w:color w:val="auto"/>
              </w:rPr>
            </w:pPr>
            <w:r>
              <w:rPr>
                <w:rFonts w:ascii="Arial" w:cs="Arial" w:eastAsia="Arial" w:hAnsi="Arial"/>
                <w:sz w:val="14"/>
                <w:szCs w:val="14"/>
                <w:color w:val="auto"/>
              </w:rPr>
              <w:t>Net capital investment [C]</w:t>
            </w:r>
          </w:p>
        </w:tc>
        <w:tc>
          <w:tcPr>
            <w:tcW w:w="1240" w:type="dxa"/>
            <w:vAlign w:val="bottom"/>
            <w:shd w:val="clear" w:color="auto" w:fill="D8D8D8"/>
          </w:tcPr>
          <w:p>
            <w:pPr>
              <w:spacing w:after="0"/>
              <w:rPr>
                <w:sz w:val="13"/>
                <w:szCs w:val="13"/>
                <w:color w:val="auto"/>
              </w:rPr>
            </w:pPr>
          </w:p>
        </w:tc>
        <w:tc>
          <w:tcPr>
            <w:tcW w:w="156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240" w:type="dxa"/>
            <w:vAlign w:val="bottom"/>
          </w:tcPr>
          <w:p>
            <w:pPr>
              <w:spacing w:after="0"/>
              <w:rPr>
                <w:sz w:val="13"/>
                <w:szCs w:val="13"/>
                <w:color w:val="auto"/>
              </w:rPr>
            </w:pPr>
          </w:p>
        </w:tc>
      </w:tr>
      <w:tr>
        <w:trPr>
          <w:trHeight w:val="162"/>
        </w:trPr>
        <w:tc>
          <w:tcPr>
            <w:tcW w:w="5140" w:type="dxa"/>
            <w:vAlign w:val="bottom"/>
          </w:tcPr>
          <w:p>
            <w:pPr>
              <w:ind w:left="140"/>
              <w:spacing w:after="0"/>
              <w:rPr>
                <w:sz w:val="20"/>
                <w:szCs w:val="20"/>
                <w:color w:val="auto"/>
              </w:rPr>
            </w:pPr>
            <w:r>
              <w:rPr>
                <w:rFonts w:ascii="Arial" w:cs="Arial" w:eastAsia="Arial" w:hAnsi="Arial"/>
                <w:sz w:val="14"/>
                <w:szCs w:val="14"/>
                <w:color w:val="auto"/>
              </w:rPr>
              <w:t>Upstream</w:t>
            </w:r>
          </w:p>
        </w:tc>
        <w:tc>
          <w:tcPr>
            <w:tcW w:w="1240" w:type="dxa"/>
            <w:vAlign w:val="bottom"/>
            <w:shd w:val="clear" w:color="auto" w:fill="D8D8D8"/>
          </w:tcPr>
          <w:p>
            <w:pPr>
              <w:jc w:val="right"/>
              <w:ind w:right="29"/>
              <w:spacing w:after="0"/>
              <w:rPr>
                <w:sz w:val="20"/>
                <w:szCs w:val="20"/>
                <w:color w:val="auto"/>
              </w:rPr>
            </w:pPr>
            <w:r>
              <w:rPr>
                <w:rFonts w:ascii="Arial" w:cs="Arial" w:eastAsia="Arial" w:hAnsi="Arial"/>
                <w:sz w:val="14"/>
                <w:szCs w:val="14"/>
                <w:color w:val="auto"/>
              </w:rPr>
              <w:t>20,704</w:t>
            </w:r>
          </w:p>
        </w:tc>
        <w:tc>
          <w:tcPr>
            <w:tcW w:w="1560" w:type="dxa"/>
            <w:vAlign w:val="bottom"/>
          </w:tcPr>
          <w:p>
            <w:pPr>
              <w:jc w:val="right"/>
              <w:ind w:right="349"/>
              <w:spacing w:after="0"/>
              <w:rPr>
                <w:sz w:val="20"/>
                <w:szCs w:val="20"/>
                <w:color w:val="auto"/>
              </w:rPr>
            </w:pPr>
            <w:r>
              <w:rPr>
                <w:rFonts w:ascii="Arial" w:cs="Arial" w:eastAsia="Arial" w:hAnsi="Arial"/>
                <w:sz w:val="14"/>
                <w:szCs w:val="14"/>
                <w:color w:val="auto"/>
              </w:rPr>
              <w:t>39,217</w:t>
            </w:r>
          </w:p>
        </w:tc>
        <w:tc>
          <w:tcPr>
            <w:tcW w:w="1260" w:type="dxa"/>
            <w:vAlign w:val="bottom"/>
          </w:tcPr>
          <w:p>
            <w:pPr>
              <w:jc w:val="right"/>
              <w:ind w:right="349"/>
              <w:spacing w:after="0"/>
              <w:rPr>
                <w:sz w:val="20"/>
                <w:szCs w:val="20"/>
                <w:color w:val="auto"/>
              </w:rPr>
            </w:pPr>
            <w:r>
              <w:rPr>
                <w:rFonts w:ascii="Arial" w:cs="Arial" w:eastAsia="Arial" w:hAnsi="Arial"/>
                <w:sz w:val="14"/>
                <w:szCs w:val="14"/>
                <w:color w:val="auto"/>
              </w:rPr>
              <w:t>25,320</w:t>
            </w:r>
          </w:p>
        </w:tc>
        <w:tc>
          <w:tcPr>
            <w:tcW w:w="980" w:type="dxa"/>
            <w:vAlign w:val="bottom"/>
          </w:tcPr>
          <w:p>
            <w:pPr>
              <w:jc w:val="right"/>
              <w:ind w:right="89"/>
              <w:spacing w:after="0"/>
              <w:rPr>
                <w:sz w:val="20"/>
                <w:szCs w:val="20"/>
                <w:color w:val="auto"/>
              </w:rPr>
            </w:pPr>
            <w:r>
              <w:rPr>
                <w:rFonts w:ascii="Arial" w:cs="Arial" w:eastAsia="Arial" w:hAnsi="Arial"/>
                <w:sz w:val="14"/>
                <w:szCs w:val="14"/>
                <w:color w:val="auto"/>
              </w:rPr>
              <w:t>19,083</w:t>
            </w:r>
          </w:p>
        </w:tc>
        <w:tc>
          <w:tcPr>
            <w:tcW w:w="1240" w:type="dxa"/>
            <w:vAlign w:val="bottom"/>
          </w:tcPr>
          <w:p>
            <w:pPr>
              <w:jc w:val="right"/>
              <w:ind w:right="28"/>
              <w:spacing w:after="0"/>
              <w:rPr>
                <w:sz w:val="20"/>
                <w:szCs w:val="20"/>
                <w:color w:val="auto"/>
              </w:rPr>
            </w:pPr>
            <w:r>
              <w:rPr>
                <w:rFonts w:ascii="Arial" w:cs="Arial" w:eastAsia="Arial" w:hAnsi="Arial"/>
                <w:sz w:val="14"/>
                <w:szCs w:val="14"/>
                <w:color w:val="auto"/>
              </w:rPr>
              <w:t>21,222</w:t>
            </w:r>
          </w:p>
        </w:tc>
      </w:tr>
      <w:tr>
        <w:trPr>
          <w:trHeight w:val="162"/>
        </w:trPr>
        <w:tc>
          <w:tcPr>
            <w:tcW w:w="5140" w:type="dxa"/>
            <w:vAlign w:val="bottom"/>
          </w:tcPr>
          <w:p>
            <w:pPr>
              <w:ind w:left="140"/>
              <w:spacing w:after="0"/>
              <w:rPr>
                <w:sz w:val="20"/>
                <w:szCs w:val="20"/>
                <w:color w:val="auto"/>
              </w:rPr>
            </w:pPr>
            <w:r>
              <w:rPr>
                <w:rFonts w:ascii="Arial" w:cs="Arial" w:eastAsia="Arial" w:hAnsi="Arial"/>
                <w:sz w:val="14"/>
                <w:szCs w:val="14"/>
                <w:color w:val="auto"/>
              </w:rPr>
              <w:t>Downstream</w:t>
            </w:r>
          </w:p>
        </w:tc>
        <w:tc>
          <w:tcPr>
            <w:tcW w:w="1240" w:type="dxa"/>
            <w:vAlign w:val="bottom"/>
            <w:shd w:val="clear" w:color="auto" w:fill="D8D8D8"/>
          </w:tcPr>
          <w:p>
            <w:pPr>
              <w:jc w:val="right"/>
              <w:ind w:right="29"/>
              <w:spacing w:after="0"/>
              <w:rPr>
                <w:sz w:val="20"/>
                <w:szCs w:val="20"/>
                <w:color w:val="auto"/>
              </w:rPr>
            </w:pPr>
            <w:r>
              <w:rPr>
                <w:rFonts w:ascii="Arial" w:cs="Arial" w:eastAsia="Arial" w:hAnsi="Arial"/>
                <w:sz w:val="14"/>
                <w:szCs w:val="14"/>
                <w:color w:val="auto"/>
              </w:rPr>
              <w:t>3,079</w:t>
            </w:r>
          </w:p>
        </w:tc>
        <w:tc>
          <w:tcPr>
            <w:tcW w:w="1560" w:type="dxa"/>
            <w:vAlign w:val="bottom"/>
          </w:tcPr>
          <w:p>
            <w:pPr>
              <w:jc w:val="right"/>
              <w:ind w:right="349"/>
              <w:spacing w:after="0"/>
              <w:rPr>
                <w:sz w:val="20"/>
                <w:szCs w:val="20"/>
                <w:color w:val="auto"/>
              </w:rPr>
            </w:pPr>
            <w:r>
              <w:rPr>
                <w:rFonts w:ascii="Arial" w:cs="Arial" w:eastAsia="Arial" w:hAnsi="Arial"/>
                <w:sz w:val="14"/>
                <w:szCs w:val="14"/>
                <w:color w:val="auto"/>
              </w:rPr>
              <w:t>4,885</w:t>
            </w:r>
          </w:p>
        </w:tc>
        <w:tc>
          <w:tcPr>
            <w:tcW w:w="1260" w:type="dxa"/>
            <w:vAlign w:val="bottom"/>
          </w:tcPr>
          <w:p>
            <w:pPr>
              <w:jc w:val="right"/>
              <w:ind w:right="349"/>
              <w:spacing w:after="0"/>
              <w:rPr>
                <w:sz w:val="20"/>
                <w:szCs w:val="20"/>
                <w:color w:val="auto"/>
              </w:rPr>
            </w:pPr>
            <w:r>
              <w:rPr>
                <w:rFonts w:ascii="Arial" w:cs="Arial" w:eastAsia="Arial" w:hAnsi="Arial"/>
                <w:sz w:val="14"/>
                <w:szCs w:val="14"/>
                <w:color w:val="auto"/>
              </w:rPr>
              <w:t>4,275</w:t>
            </w:r>
          </w:p>
        </w:tc>
        <w:tc>
          <w:tcPr>
            <w:tcW w:w="980" w:type="dxa"/>
            <w:vAlign w:val="bottom"/>
          </w:tcPr>
          <w:p>
            <w:pPr>
              <w:jc w:val="right"/>
              <w:ind w:right="89"/>
              <w:spacing w:after="0"/>
              <w:rPr>
                <w:sz w:val="20"/>
                <w:szCs w:val="20"/>
                <w:color w:val="auto"/>
              </w:rPr>
            </w:pPr>
            <w:r>
              <w:rPr>
                <w:rFonts w:ascii="Arial" w:cs="Arial" w:eastAsia="Arial" w:hAnsi="Arial"/>
                <w:sz w:val="14"/>
                <w:szCs w:val="14"/>
                <w:color w:val="auto"/>
              </w:rPr>
              <w:t>4,342</w:t>
            </w:r>
          </w:p>
        </w:tc>
        <w:tc>
          <w:tcPr>
            <w:tcW w:w="1240" w:type="dxa"/>
            <w:vAlign w:val="bottom"/>
          </w:tcPr>
          <w:p>
            <w:pPr>
              <w:jc w:val="right"/>
              <w:ind w:right="28"/>
              <w:spacing w:after="0"/>
              <w:rPr>
                <w:sz w:val="20"/>
                <w:szCs w:val="20"/>
                <w:color w:val="auto"/>
              </w:rPr>
            </w:pPr>
            <w:r>
              <w:rPr>
                <w:rFonts w:ascii="Arial" w:cs="Arial" w:eastAsia="Arial" w:hAnsi="Arial"/>
                <w:sz w:val="14"/>
                <w:szCs w:val="14"/>
                <w:color w:val="auto"/>
              </w:rPr>
              <w:t>2,358</w:t>
            </w:r>
          </w:p>
        </w:tc>
      </w:tr>
      <w:tr>
        <w:trPr>
          <w:trHeight w:val="157"/>
        </w:trPr>
        <w:tc>
          <w:tcPr>
            <w:tcW w:w="5140" w:type="dxa"/>
            <w:vAlign w:val="bottom"/>
            <w:tcBorders>
              <w:bottom w:val="single" w:sz="8" w:color="auto"/>
            </w:tcBorders>
          </w:tcPr>
          <w:p>
            <w:pPr>
              <w:ind w:left="140"/>
              <w:spacing w:after="0" w:line="157" w:lineRule="exact"/>
              <w:rPr>
                <w:sz w:val="20"/>
                <w:szCs w:val="20"/>
                <w:color w:val="auto"/>
              </w:rPr>
            </w:pPr>
            <w:r>
              <w:rPr>
                <w:rFonts w:ascii="Arial" w:cs="Arial" w:eastAsia="Arial" w:hAnsi="Arial"/>
                <w:sz w:val="14"/>
                <w:szCs w:val="14"/>
                <w:color w:val="auto"/>
              </w:rPr>
              <w:t>Corporate</w:t>
            </w:r>
          </w:p>
        </w:tc>
        <w:tc>
          <w:tcPr>
            <w:tcW w:w="1240" w:type="dxa"/>
            <w:vAlign w:val="bottom"/>
            <w:tcBorders>
              <w:bottom w:val="single" w:sz="8" w:color="auto"/>
            </w:tcBorders>
            <w:shd w:val="clear" w:color="auto" w:fill="D8D8D8"/>
          </w:tcPr>
          <w:p>
            <w:pPr>
              <w:jc w:val="right"/>
              <w:ind w:right="29"/>
              <w:spacing w:after="0" w:line="157" w:lineRule="exact"/>
              <w:rPr>
                <w:sz w:val="20"/>
                <w:szCs w:val="20"/>
                <w:color w:val="auto"/>
              </w:rPr>
            </w:pPr>
            <w:r>
              <w:rPr>
                <w:rFonts w:ascii="Arial" w:cs="Arial" w:eastAsia="Arial" w:hAnsi="Arial"/>
                <w:sz w:val="14"/>
                <w:szCs w:val="14"/>
                <w:color w:val="auto"/>
              </w:rPr>
              <w:t>116</w:t>
            </w:r>
          </w:p>
        </w:tc>
        <w:tc>
          <w:tcPr>
            <w:tcW w:w="1560" w:type="dxa"/>
            <w:vAlign w:val="bottom"/>
            <w:tcBorders>
              <w:bottom w:val="single" w:sz="8" w:color="auto"/>
            </w:tcBorders>
          </w:tcPr>
          <w:p>
            <w:pPr>
              <w:jc w:val="right"/>
              <w:ind w:right="349"/>
              <w:spacing w:after="0" w:line="157" w:lineRule="exact"/>
              <w:rPr>
                <w:sz w:val="20"/>
                <w:szCs w:val="20"/>
                <w:color w:val="auto"/>
              </w:rPr>
            </w:pPr>
            <w:r>
              <w:rPr>
                <w:rFonts w:ascii="Arial" w:cs="Arial" w:eastAsia="Arial" w:hAnsi="Arial"/>
                <w:sz w:val="14"/>
                <w:szCs w:val="14"/>
                <w:color w:val="auto"/>
              </w:rPr>
              <w:t>201</w:t>
            </w:r>
          </w:p>
        </w:tc>
        <w:tc>
          <w:tcPr>
            <w:tcW w:w="1260" w:type="dxa"/>
            <w:vAlign w:val="bottom"/>
            <w:tcBorders>
              <w:bottom w:val="single" w:sz="8" w:color="auto"/>
            </w:tcBorders>
          </w:tcPr>
          <w:p>
            <w:pPr>
              <w:jc w:val="right"/>
              <w:ind w:right="349"/>
              <w:spacing w:after="0" w:line="157" w:lineRule="exact"/>
              <w:rPr>
                <w:sz w:val="20"/>
                <w:szCs w:val="20"/>
                <w:color w:val="auto"/>
              </w:rPr>
            </w:pPr>
            <w:r>
              <w:rPr>
                <w:rFonts w:ascii="Arial" w:cs="Arial" w:eastAsia="Arial" w:hAnsi="Arial"/>
                <w:sz w:val="14"/>
                <w:szCs w:val="14"/>
                <w:color w:val="auto"/>
              </w:rPr>
              <w:t>208</w:t>
            </w:r>
          </w:p>
        </w:tc>
        <w:tc>
          <w:tcPr>
            <w:tcW w:w="980" w:type="dxa"/>
            <w:vAlign w:val="bottom"/>
            <w:tcBorders>
              <w:bottom w:val="single" w:sz="8" w:color="auto"/>
            </w:tcBorders>
          </w:tcPr>
          <w:p>
            <w:pPr>
              <w:jc w:val="right"/>
              <w:ind w:right="89"/>
              <w:spacing w:after="0" w:line="157" w:lineRule="exact"/>
              <w:rPr>
                <w:sz w:val="20"/>
                <w:szCs w:val="20"/>
                <w:color w:val="auto"/>
              </w:rPr>
            </w:pPr>
            <w:r>
              <w:rPr>
                <w:rFonts w:ascii="Arial" w:cs="Arial" w:eastAsia="Arial" w:hAnsi="Arial"/>
                <w:sz w:val="14"/>
                <w:szCs w:val="14"/>
                <w:color w:val="auto"/>
              </w:rPr>
              <w:t>78</w:t>
            </w:r>
          </w:p>
        </w:tc>
        <w:tc>
          <w:tcPr>
            <w:tcW w:w="1240" w:type="dxa"/>
            <w:vAlign w:val="bottom"/>
            <w:tcBorders>
              <w:bottom w:val="single" w:sz="8" w:color="auto"/>
            </w:tcBorders>
          </w:tcPr>
          <w:p>
            <w:pPr>
              <w:jc w:val="right"/>
              <w:ind w:right="28"/>
              <w:spacing w:after="0" w:line="157" w:lineRule="exact"/>
              <w:rPr>
                <w:sz w:val="20"/>
                <w:szCs w:val="20"/>
                <w:color w:val="auto"/>
              </w:rPr>
            </w:pPr>
            <w:r>
              <w:rPr>
                <w:rFonts w:ascii="Arial" w:cs="Arial" w:eastAsia="Arial" w:hAnsi="Arial"/>
                <w:sz w:val="14"/>
                <w:szCs w:val="14"/>
                <w:color w:val="auto"/>
              </w:rPr>
              <w:t>100</w:t>
            </w:r>
          </w:p>
        </w:tc>
      </w:tr>
      <w:tr>
        <w:trPr>
          <w:trHeight w:val="156"/>
        </w:trPr>
        <w:tc>
          <w:tcPr>
            <w:tcW w:w="5140" w:type="dxa"/>
            <w:vAlign w:val="bottom"/>
            <w:tcBorders>
              <w:bottom w:val="single" w:sz="8" w:color="auto"/>
            </w:tcBorders>
          </w:tcPr>
          <w:p>
            <w:pPr>
              <w:spacing w:after="0" w:line="155" w:lineRule="exact"/>
              <w:rPr>
                <w:sz w:val="20"/>
                <w:szCs w:val="20"/>
                <w:color w:val="auto"/>
              </w:rPr>
            </w:pPr>
            <w:r>
              <w:rPr>
                <w:rFonts w:ascii="Arial" w:cs="Arial" w:eastAsia="Arial" w:hAnsi="Arial"/>
                <w:sz w:val="14"/>
                <w:szCs w:val="14"/>
                <w:color w:val="auto"/>
              </w:rPr>
              <w:t>Total</w:t>
            </w:r>
          </w:p>
        </w:tc>
        <w:tc>
          <w:tcPr>
            <w:tcW w:w="1240" w:type="dxa"/>
            <w:vAlign w:val="bottom"/>
            <w:tcBorders>
              <w:bottom w:val="single" w:sz="8" w:color="auto"/>
            </w:tcBorders>
            <w:shd w:val="clear" w:color="auto" w:fill="D8D8D8"/>
          </w:tcPr>
          <w:p>
            <w:pPr>
              <w:jc w:val="right"/>
              <w:ind w:right="29"/>
              <w:spacing w:after="0" w:line="155" w:lineRule="exact"/>
              <w:rPr>
                <w:sz w:val="20"/>
                <w:szCs w:val="20"/>
                <w:color w:val="auto"/>
              </w:rPr>
            </w:pPr>
            <w:r>
              <w:rPr>
                <w:rFonts w:ascii="Arial" w:cs="Arial" w:eastAsia="Arial" w:hAnsi="Arial"/>
                <w:sz w:val="14"/>
                <w:szCs w:val="14"/>
                <w:color w:val="auto"/>
              </w:rPr>
              <w:t>23,899</w:t>
            </w:r>
          </w:p>
        </w:tc>
        <w:tc>
          <w:tcPr>
            <w:tcW w:w="1560" w:type="dxa"/>
            <w:vAlign w:val="bottom"/>
            <w:tcBorders>
              <w:bottom w:val="single" w:sz="8" w:color="auto"/>
            </w:tcBorders>
          </w:tcPr>
          <w:p>
            <w:pPr>
              <w:jc w:val="right"/>
              <w:ind w:right="349"/>
              <w:spacing w:after="0" w:line="155" w:lineRule="exact"/>
              <w:rPr>
                <w:sz w:val="20"/>
                <w:szCs w:val="20"/>
                <w:color w:val="auto"/>
              </w:rPr>
            </w:pPr>
            <w:r>
              <w:rPr>
                <w:rFonts w:ascii="Arial" w:cs="Arial" w:eastAsia="Arial" w:hAnsi="Arial"/>
                <w:sz w:val="14"/>
                <w:szCs w:val="14"/>
                <w:color w:val="auto"/>
              </w:rPr>
              <w:t>44,303</w:t>
            </w:r>
          </w:p>
        </w:tc>
        <w:tc>
          <w:tcPr>
            <w:tcW w:w="1260" w:type="dxa"/>
            <w:vAlign w:val="bottom"/>
            <w:tcBorders>
              <w:bottom w:val="single" w:sz="8" w:color="auto"/>
            </w:tcBorders>
          </w:tcPr>
          <w:p>
            <w:pPr>
              <w:jc w:val="right"/>
              <w:ind w:right="349"/>
              <w:spacing w:after="0" w:line="155" w:lineRule="exact"/>
              <w:rPr>
                <w:sz w:val="20"/>
                <w:szCs w:val="20"/>
                <w:color w:val="auto"/>
              </w:rPr>
            </w:pPr>
            <w:r>
              <w:rPr>
                <w:rFonts w:ascii="Arial" w:cs="Arial" w:eastAsia="Arial" w:hAnsi="Arial"/>
                <w:sz w:val="14"/>
                <w:szCs w:val="14"/>
                <w:color w:val="auto"/>
              </w:rPr>
              <w:t>29,803</w:t>
            </w:r>
          </w:p>
        </w:tc>
        <w:tc>
          <w:tcPr>
            <w:tcW w:w="980" w:type="dxa"/>
            <w:vAlign w:val="bottom"/>
            <w:tcBorders>
              <w:bottom w:val="single" w:sz="8" w:color="auto"/>
            </w:tcBorders>
          </w:tcPr>
          <w:p>
            <w:pPr>
              <w:jc w:val="right"/>
              <w:ind w:right="89"/>
              <w:spacing w:after="0" w:line="155" w:lineRule="exact"/>
              <w:rPr>
                <w:sz w:val="20"/>
                <w:szCs w:val="20"/>
                <w:color w:val="auto"/>
              </w:rPr>
            </w:pPr>
            <w:r>
              <w:rPr>
                <w:rFonts w:ascii="Arial" w:cs="Arial" w:eastAsia="Arial" w:hAnsi="Arial"/>
                <w:sz w:val="14"/>
                <w:szCs w:val="14"/>
                <w:color w:val="auto"/>
              </w:rPr>
              <w:t>23,503</w:t>
            </w:r>
          </w:p>
        </w:tc>
        <w:tc>
          <w:tcPr>
            <w:tcW w:w="1240" w:type="dxa"/>
            <w:vAlign w:val="bottom"/>
            <w:tcBorders>
              <w:bottom w:val="single" w:sz="8" w:color="auto"/>
            </w:tcBorders>
          </w:tcPr>
          <w:p>
            <w:pPr>
              <w:jc w:val="right"/>
              <w:ind w:right="28"/>
              <w:spacing w:after="0" w:line="155" w:lineRule="exact"/>
              <w:rPr>
                <w:sz w:val="20"/>
                <w:szCs w:val="20"/>
                <w:color w:val="auto"/>
              </w:rPr>
            </w:pPr>
            <w:r>
              <w:rPr>
                <w:rFonts w:ascii="Arial" w:cs="Arial" w:eastAsia="Arial" w:hAnsi="Arial"/>
                <w:sz w:val="14"/>
                <w:szCs w:val="14"/>
                <w:color w:val="auto"/>
              </w:rPr>
              <w:t>23,680</w:t>
            </w:r>
          </w:p>
        </w:tc>
      </w:tr>
    </w:tbl>
    <w:p>
      <w:pPr>
        <w:spacing w:after="0" w:line="46" w:lineRule="exact"/>
        <w:rPr>
          <w:sz w:val="20"/>
          <w:szCs w:val="20"/>
          <w:color w:val="auto"/>
        </w:rPr>
      </w:pPr>
    </w:p>
    <w:p>
      <w:pPr>
        <w:ind w:left="180" w:hanging="172"/>
        <w:spacing w:after="0"/>
        <w:tabs>
          <w:tab w:leader="none" w:pos="180" w:val="left"/>
        </w:tabs>
        <w:numPr>
          <w:ilvl w:val="0"/>
          <w:numId w:val="25"/>
        </w:numPr>
        <w:rPr>
          <w:rFonts w:ascii="Arial" w:cs="Arial" w:eastAsia="Arial" w:hAnsi="Arial"/>
          <w:sz w:val="11"/>
          <w:szCs w:val="11"/>
          <w:color w:val="auto"/>
        </w:rPr>
      </w:pPr>
      <w:r>
        <w:rPr>
          <w:rFonts w:ascii="Arial" w:cs="Arial" w:eastAsia="Arial" w:hAnsi="Arial"/>
          <w:sz w:val="11"/>
          <w:szCs w:val="11"/>
          <w:color w:val="auto"/>
        </w:rPr>
        <w:t>See Notes 2 and 4 to the “Consolidated Financial Statements”.</w:t>
      </w:r>
    </w:p>
    <w:p>
      <w:pPr>
        <w:ind w:left="180" w:hanging="172"/>
        <w:spacing w:after="0" w:line="230" w:lineRule="auto"/>
        <w:tabs>
          <w:tab w:leader="none" w:pos="180" w:val="left"/>
        </w:tabs>
        <w:numPr>
          <w:ilvl w:val="0"/>
          <w:numId w:val="25"/>
        </w:numPr>
        <w:rPr>
          <w:rFonts w:ascii="Arial" w:cs="Arial" w:eastAsia="Arial" w:hAnsi="Arial"/>
          <w:sz w:val="11"/>
          <w:szCs w:val="11"/>
          <w:color w:val="auto"/>
        </w:rPr>
      </w:pPr>
      <w:r>
        <w:rPr>
          <w:rFonts w:ascii="Arial" w:cs="Arial" w:eastAsia="Arial" w:hAnsi="Arial"/>
          <w:sz w:val="11"/>
          <w:szCs w:val="11"/>
          <w:color w:val="auto"/>
        </w:rPr>
        <w:t>See table in “Summary of results”.</w:t>
      </w:r>
    </w:p>
    <w:p>
      <w:pPr>
        <w:ind w:left="180" w:hanging="172"/>
        <w:spacing w:after="0"/>
        <w:tabs>
          <w:tab w:leader="none" w:pos="180" w:val="left"/>
        </w:tabs>
        <w:numPr>
          <w:ilvl w:val="0"/>
          <w:numId w:val="25"/>
        </w:numPr>
        <w:rPr>
          <w:rFonts w:ascii="Arial" w:cs="Arial" w:eastAsia="Arial" w:hAnsi="Arial"/>
          <w:sz w:val="11"/>
          <w:szCs w:val="11"/>
          <w:color w:val="auto"/>
        </w:rPr>
      </w:pPr>
      <w:r>
        <w:rPr>
          <w:rFonts w:ascii="Arial" w:cs="Arial" w:eastAsia="Arial" w:hAnsi="Arial"/>
          <w:sz w:val="11"/>
          <w:szCs w:val="11"/>
          <w:color w:val="auto"/>
        </w:rPr>
        <w:t>See “Non-GAAP measures reconciliations”.</w:t>
      </w:r>
    </w:p>
    <w:p>
      <w:pPr>
        <w:sectPr>
          <w:pgSz w:w="11900" w:h="16838" w:orient="portrait"/>
          <w:cols w:equalWidth="0" w:num="1">
            <w:col w:w="11420"/>
          </w:cols>
          <w:pgMar w:left="240" w:top="459" w:right="2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6471285</wp:posOffset>
            </wp:positionH>
            <wp:positionV relativeFrom="paragraph">
              <wp:posOffset>300355</wp:posOffset>
            </wp:positionV>
            <wp:extent cx="8890" cy="46291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8890" cy="462915"/>
                    </a:xfrm>
                    <a:prstGeom prst="rect">
                      <a:avLst/>
                    </a:prstGeom>
                    <a:noFill/>
                  </pic:spPr>
                </pic:pic>
              </a:graphicData>
            </a:graphic>
          </wp:anchor>
        </w:drawing>
      </w:r>
    </w:p>
    <w:p>
      <w:pPr>
        <w:spacing w:after="0" w:line="200" w:lineRule="exact"/>
        <w:rPr>
          <w:sz w:val="20"/>
          <w:szCs w:val="20"/>
          <w:color w:val="auto"/>
        </w:rPr>
      </w:pP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565"/>
        </w:trPr>
        <w:tc>
          <w:tcPr>
            <w:tcW w:w="5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40" w:type="dxa"/>
            <w:vAlign w:val="bottom"/>
            <w:gridSpan w:val="2"/>
            <w:shd w:val="clear" w:color="auto" w:fill="FF8B00"/>
          </w:tcPr>
          <w:p>
            <w:pPr>
              <w:ind w:left="940"/>
              <w:spacing w:after="0"/>
              <w:rPr>
                <w:sz w:val="20"/>
                <w:szCs w:val="20"/>
                <w:color w:val="auto"/>
              </w:rPr>
            </w:pPr>
            <w:r>
              <w:rPr>
                <w:rFonts w:ascii="Arial" w:cs="Arial" w:eastAsia="Arial" w:hAnsi="Arial"/>
                <w:sz w:val="13"/>
                <w:szCs w:val="13"/>
                <w:color w:val="333333"/>
              </w:rPr>
              <w:t>STRATEGIC REPORT</w:t>
            </w:r>
          </w:p>
        </w:tc>
        <w:tc>
          <w:tcPr>
            <w:tcW w:w="1420" w:type="dxa"/>
            <w:vAlign w:val="bottom"/>
            <w:shd w:val="clear" w:color="auto" w:fill="FF8B00"/>
          </w:tcPr>
          <w:p>
            <w:pPr>
              <w:spacing w:after="0"/>
              <w:rPr>
                <w:sz w:val="24"/>
                <w:szCs w:val="24"/>
                <w:color w:val="auto"/>
              </w:rPr>
            </w:pPr>
          </w:p>
        </w:tc>
        <w:tc>
          <w:tcPr>
            <w:tcW w:w="1560" w:type="dxa"/>
            <w:vAlign w:val="bottom"/>
            <w:shd w:val="clear" w:color="auto" w:fill="FF8B00"/>
          </w:tcPr>
          <w:p>
            <w:pPr>
              <w:jc w:val="right"/>
              <w:ind w:right="290"/>
              <w:spacing w:after="0"/>
              <w:rPr>
                <w:sz w:val="20"/>
                <w:szCs w:val="20"/>
                <w:color w:val="auto"/>
              </w:rPr>
            </w:pPr>
            <w:r>
              <w:rPr>
                <w:rFonts w:ascii="Arial" w:cs="Arial" w:eastAsia="Arial" w:hAnsi="Arial"/>
                <w:sz w:val="11"/>
                <w:szCs w:val="11"/>
                <w:b w:val="1"/>
                <w:bCs w:val="1"/>
                <w:color w:val="333333"/>
              </w:rPr>
              <w:t>23</w:t>
            </w:r>
          </w:p>
        </w:tc>
        <w:tc>
          <w:tcPr>
            <w:tcW w:w="0" w:type="dxa"/>
            <w:vAlign w:val="bottom"/>
          </w:tcPr>
          <w:p>
            <w:pPr>
              <w:spacing w:after="0"/>
              <w:rPr>
                <w:sz w:val="1"/>
                <w:szCs w:val="1"/>
                <w:color w:val="auto"/>
              </w:rPr>
            </w:pPr>
          </w:p>
        </w:tc>
      </w:tr>
      <w:tr>
        <w:trPr>
          <w:trHeight w:val="165"/>
        </w:trPr>
        <w:tc>
          <w:tcPr>
            <w:tcW w:w="5600" w:type="dxa"/>
            <w:vAlign w:val="bottom"/>
            <w:gridSpan w:val="2"/>
            <w:vMerge w:val="restart"/>
          </w:tcPr>
          <w:p>
            <w:pPr>
              <w:spacing w:after="0"/>
              <w:rPr>
                <w:sz w:val="20"/>
                <w:szCs w:val="20"/>
                <w:color w:val="auto"/>
              </w:rPr>
            </w:pPr>
            <w:r>
              <w:rPr>
                <w:rFonts w:ascii="Arial" w:cs="Arial" w:eastAsia="Arial" w:hAnsi="Arial"/>
                <w:sz w:val="11"/>
                <w:szCs w:val="11"/>
                <w:color w:val="auto"/>
              </w:rPr>
              <w:t>SHELL ANNUAL REPORT AND FORM 20-F 2014</w:t>
            </w:r>
          </w:p>
        </w:tc>
        <w:tc>
          <w:tcPr>
            <w:tcW w:w="1360" w:type="dxa"/>
            <w:vAlign w:val="bottom"/>
            <w:shd w:val="clear" w:color="auto" w:fill="FF8B00"/>
          </w:tcPr>
          <w:p>
            <w:pPr>
              <w:spacing w:after="0"/>
              <w:rPr>
                <w:sz w:val="14"/>
                <w:szCs w:val="14"/>
                <w:color w:val="auto"/>
              </w:rPr>
            </w:pPr>
          </w:p>
        </w:tc>
        <w:tc>
          <w:tcPr>
            <w:tcW w:w="1480" w:type="dxa"/>
            <w:vAlign w:val="bottom"/>
            <w:shd w:val="clear" w:color="auto" w:fill="FF8B00"/>
          </w:tcPr>
          <w:p>
            <w:pPr>
              <w:spacing w:after="0"/>
              <w:rPr>
                <w:sz w:val="14"/>
                <w:szCs w:val="14"/>
                <w:color w:val="auto"/>
              </w:rPr>
            </w:pPr>
          </w:p>
        </w:tc>
        <w:tc>
          <w:tcPr>
            <w:tcW w:w="1420" w:type="dxa"/>
            <w:vAlign w:val="bottom"/>
            <w:shd w:val="clear" w:color="auto" w:fill="FF8B00"/>
          </w:tcPr>
          <w:p>
            <w:pPr>
              <w:spacing w:after="0"/>
              <w:rPr>
                <w:sz w:val="14"/>
                <w:szCs w:val="14"/>
                <w:color w:val="auto"/>
              </w:rPr>
            </w:pPr>
          </w:p>
        </w:tc>
        <w:tc>
          <w:tcPr>
            <w:tcW w:w="1560" w:type="dxa"/>
            <w:vAlign w:val="bottom"/>
            <w:shd w:val="clear" w:color="auto" w:fill="FF8B00"/>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5600" w:type="dxa"/>
            <w:vAlign w:val="bottom"/>
            <w:gridSpan w:val="2"/>
            <w:vMerge w:val="continue"/>
          </w:tcPr>
          <w:p>
            <w:pPr>
              <w:spacing w:after="0"/>
              <w:rPr>
                <w:sz w:val="11"/>
                <w:szCs w:val="11"/>
                <w:color w:val="auto"/>
              </w:rPr>
            </w:pPr>
          </w:p>
        </w:tc>
        <w:tc>
          <w:tcPr>
            <w:tcW w:w="2840" w:type="dxa"/>
            <w:vAlign w:val="bottom"/>
            <w:gridSpan w:val="2"/>
          </w:tcPr>
          <w:p>
            <w:pPr>
              <w:ind w:left="940"/>
              <w:spacing w:after="0"/>
              <w:rPr>
                <w:sz w:val="20"/>
                <w:szCs w:val="20"/>
                <w:color w:val="auto"/>
              </w:rPr>
            </w:pPr>
            <w:r>
              <w:rPr>
                <w:rFonts w:ascii="Arial" w:cs="Arial" w:eastAsia="Arial" w:hAnsi="Arial"/>
                <w:sz w:val="11"/>
                <w:szCs w:val="11"/>
                <w:color w:val="auto"/>
              </w:rPr>
              <w:t>UPSTREAM</w:t>
            </w:r>
          </w:p>
        </w:tc>
        <w:tc>
          <w:tcPr>
            <w:tcW w:w="1420" w:type="dxa"/>
            <w:vAlign w:val="bottom"/>
          </w:tcPr>
          <w:p>
            <w:pPr>
              <w:spacing w:after="0"/>
              <w:rPr>
                <w:sz w:val="11"/>
                <w:szCs w:val="11"/>
                <w:color w:val="auto"/>
              </w:rPr>
            </w:pPr>
          </w:p>
        </w:tc>
        <w:tc>
          <w:tcPr>
            <w:tcW w:w="15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10"/>
        </w:trPr>
        <w:tc>
          <w:tcPr>
            <w:tcW w:w="5600" w:type="dxa"/>
            <w:vAlign w:val="bottom"/>
            <w:gridSpan w:val="2"/>
          </w:tcPr>
          <w:p>
            <w:pPr>
              <w:spacing w:after="0"/>
              <w:rPr>
                <w:sz w:val="20"/>
                <w:szCs w:val="20"/>
                <w:color w:val="auto"/>
              </w:rPr>
            </w:pPr>
            <w:r>
              <w:rPr>
                <w:rFonts w:ascii="Arial" w:cs="Arial" w:eastAsia="Arial" w:hAnsi="Arial"/>
                <w:sz w:val="31"/>
                <w:szCs w:val="31"/>
                <w:color w:val="auto"/>
              </w:rPr>
              <w:t>UPSTREAM</w:t>
            </w:r>
          </w:p>
        </w:tc>
        <w:tc>
          <w:tcPr>
            <w:tcW w:w="13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54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5600" w:type="dxa"/>
            <w:vAlign w:val="bottom"/>
            <w:gridSpan w:val="2"/>
            <w:shd w:val="clear" w:color="auto" w:fill="333333"/>
          </w:tcPr>
          <w:p>
            <w:pPr>
              <w:ind w:left="80"/>
              <w:spacing w:after="0" w:line="162" w:lineRule="exact"/>
              <w:rPr>
                <w:sz w:val="20"/>
                <w:szCs w:val="20"/>
                <w:color w:val="auto"/>
              </w:rPr>
            </w:pPr>
            <w:r>
              <w:rPr>
                <w:rFonts w:ascii="Arial" w:cs="Arial" w:eastAsia="Arial" w:hAnsi="Arial"/>
                <w:sz w:val="15"/>
                <w:szCs w:val="15"/>
                <w:b w:val="1"/>
                <w:bCs w:val="1"/>
                <w:color w:val="FFFFFF"/>
              </w:rPr>
              <w:t>KEY STATISTICS</w:t>
            </w:r>
          </w:p>
        </w:tc>
        <w:tc>
          <w:tcPr>
            <w:tcW w:w="1360" w:type="dxa"/>
            <w:vAlign w:val="bottom"/>
            <w:shd w:val="clear" w:color="auto" w:fill="333333"/>
          </w:tcPr>
          <w:p>
            <w:pPr>
              <w:spacing w:after="0"/>
              <w:rPr>
                <w:sz w:val="14"/>
                <w:szCs w:val="14"/>
                <w:color w:val="auto"/>
              </w:rPr>
            </w:pPr>
          </w:p>
        </w:tc>
        <w:tc>
          <w:tcPr>
            <w:tcW w:w="1480" w:type="dxa"/>
            <w:vAlign w:val="bottom"/>
            <w:shd w:val="clear" w:color="auto" w:fill="333333"/>
          </w:tcPr>
          <w:p>
            <w:pPr>
              <w:spacing w:after="0"/>
              <w:rPr>
                <w:sz w:val="14"/>
                <w:szCs w:val="14"/>
                <w:color w:val="auto"/>
              </w:rPr>
            </w:pPr>
          </w:p>
        </w:tc>
        <w:tc>
          <w:tcPr>
            <w:tcW w:w="1420" w:type="dxa"/>
            <w:vAlign w:val="bottom"/>
            <w:shd w:val="clear" w:color="auto" w:fill="333333"/>
          </w:tcPr>
          <w:p>
            <w:pPr>
              <w:spacing w:after="0"/>
              <w:rPr>
                <w:sz w:val="14"/>
                <w:szCs w:val="14"/>
                <w:color w:val="auto"/>
              </w:rPr>
            </w:pPr>
          </w:p>
        </w:tc>
        <w:tc>
          <w:tcPr>
            <w:tcW w:w="1560" w:type="dxa"/>
            <w:vAlign w:val="bottom"/>
            <w:shd w:val="clear" w:color="auto" w:fill="333333"/>
          </w:tcPr>
          <w:p>
            <w:pPr>
              <w:jc w:val="right"/>
              <w:ind w:right="370"/>
              <w:spacing w:after="0" w:line="162" w:lineRule="exact"/>
              <w:rPr>
                <w:sz w:val="20"/>
                <w:szCs w:val="20"/>
                <w:color w:val="auto"/>
              </w:rPr>
            </w:pPr>
            <w:r>
              <w:rPr>
                <w:rFonts w:ascii="Arial" w:cs="Arial" w:eastAsia="Arial" w:hAnsi="Arial"/>
                <w:sz w:val="15"/>
                <w:szCs w:val="15"/>
                <w:color w:val="FFFFFF"/>
              </w:rPr>
              <w:t>$ MILLION</w:t>
            </w:r>
          </w:p>
        </w:tc>
        <w:tc>
          <w:tcPr>
            <w:tcW w:w="0" w:type="dxa"/>
            <w:vAlign w:val="bottom"/>
          </w:tcPr>
          <w:p>
            <w:pPr>
              <w:spacing w:after="0"/>
              <w:rPr>
                <w:sz w:val="1"/>
                <w:szCs w:val="1"/>
                <w:color w:val="auto"/>
              </w:rPr>
            </w:pPr>
          </w:p>
        </w:tc>
      </w:tr>
      <w:tr>
        <w:trPr>
          <w:trHeight w:val="149"/>
        </w:trPr>
        <w:tc>
          <w:tcPr>
            <w:tcW w:w="548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360" w:type="dxa"/>
            <w:vAlign w:val="bottom"/>
            <w:tcBorders>
              <w:bottom w:val="single" w:sz="8" w:color="auto"/>
            </w:tcBorders>
          </w:tcPr>
          <w:p>
            <w:pPr>
              <w:spacing w:after="0"/>
              <w:rPr>
                <w:sz w:val="12"/>
                <w:szCs w:val="12"/>
                <w:color w:val="auto"/>
              </w:rPr>
            </w:pPr>
          </w:p>
        </w:tc>
        <w:tc>
          <w:tcPr>
            <w:tcW w:w="1480" w:type="dxa"/>
            <w:vAlign w:val="bottom"/>
            <w:tcBorders>
              <w:bottom w:val="single" w:sz="8" w:color="auto"/>
            </w:tcBorders>
            <w:shd w:val="clear" w:color="auto" w:fill="D8D8D8"/>
          </w:tcPr>
          <w:p>
            <w:pPr>
              <w:jc w:val="right"/>
              <w:ind w:right="249"/>
              <w:spacing w:after="0"/>
              <w:rPr>
                <w:sz w:val="20"/>
                <w:szCs w:val="20"/>
                <w:color w:val="auto"/>
              </w:rPr>
            </w:pPr>
            <w:r>
              <w:rPr>
                <w:rFonts w:ascii="Arial" w:cs="Arial" w:eastAsia="Arial" w:hAnsi="Arial"/>
                <w:sz w:val="13"/>
                <w:szCs w:val="13"/>
                <w:color w:val="auto"/>
              </w:rPr>
              <w:t>2014</w:t>
            </w:r>
          </w:p>
        </w:tc>
        <w:tc>
          <w:tcPr>
            <w:tcW w:w="1420" w:type="dxa"/>
            <w:vAlign w:val="bottom"/>
            <w:tcBorders>
              <w:bottom w:val="single" w:sz="8" w:color="auto"/>
            </w:tcBorders>
          </w:tcPr>
          <w:p>
            <w:pPr>
              <w:jc w:val="right"/>
              <w:ind w:right="309"/>
              <w:spacing w:after="0"/>
              <w:rPr>
                <w:sz w:val="20"/>
                <w:szCs w:val="20"/>
                <w:color w:val="auto"/>
              </w:rPr>
            </w:pPr>
            <w:r>
              <w:rPr>
                <w:rFonts w:ascii="Arial" w:cs="Arial" w:eastAsia="Arial" w:hAnsi="Arial"/>
                <w:sz w:val="13"/>
                <w:szCs w:val="13"/>
                <w:color w:val="auto"/>
              </w:rPr>
              <w:t>2013</w:t>
            </w:r>
          </w:p>
        </w:tc>
        <w:tc>
          <w:tcPr>
            <w:tcW w:w="1560" w:type="dxa"/>
            <w:vAlign w:val="bottom"/>
            <w:tcBorders>
              <w:bottom w:val="single" w:sz="8" w:color="auto"/>
            </w:tcBorders>
          </w:tcPr>
          <w:p>
            <w:pPr>
              <w:jc w:val="right"/>
              <w:ind w:right="370"/>
              <w:spacing w:after="0"/>
              <w:rPr>
                <w:sz w:val="20"/>
                <w:szCs w:val="20"/>
                <w:color w:val="auto"/>
              </w:rPr>
            </w:pPr>
            <w:r>
              <w:rPr>
                <w:rFonts w:ascii="Arial" w:cs="Arial" w:eastAsia="Arial" w:hAnsi="Arial"/>
                <w:sz w:val="13"/>
                <w:szCs w:val="13"/>
                <w:color w:val="auto"/>
              </w:rPr>
              <w:t>2012</w:t>
            </w:r>
          </w:p>
        </w:tc>
        <w:tc>
          <w:tcPr>
            <w:tcW w:w="0" w:type="dxa"/>
            <w:vAlign w:val="bottom"/>
          </w:tcPr>
          <w:p>
            <w:pPr>
              <w:spacing w:after="0"/>
              <w:rPr>
                <w:sz w:val="1"/>
                <w:szCs w:val="1"/>
                <w:color w:val="auto"/>
              </w:rPr>
            </w:pPr>
          </w:p>
        </w:tc>
      </w:tr>
      <w:tr>
        <w:trPr>
          <w:trHeight w:val="156"/>
        </w:trPr>
        <w:tc>
          <w:tcPr>
            <w:tcW w:w="5600" w:type="dxa"/>
            <w:vAlign w:val="bottom"/>
            <w:gridSpan w:val="2"/>
          </w:tcPr>
          <w:p>
            <w:pPr>
              <w:spacing w:after="0" w:line="155" w:lineRule="exact"/>
              <w:rPr>
                <w:sz w:val="20"/>
                <w:szCs w:val="20"/>
                <w:color w:val="auto"/>
              </w:rPr>
            </w:pPr>
            <w:r>
              <w:rPr>
                <w:rFonts w:ascii="Arial" w:cs="Arial" w:eastAsia="Arial" w:hAnsi="Arial"/>
                <w:sz w:val="14"/>
                <w:szCs w:val="14"/>
                <w:color w:val="auto"/>
              </w:rPr>
              <w:t>Segment earnings</w:t>
            </w:r>
          </w:p>
        </w:tc>
        <w:tc>
          <w:tcPr>
            <w:tcW w:w="1360" w:type="dxa"/>
            <w:vAlign w:val="bottom"/>
          </w:tcPr>
          <w:p>
            <w:pPr>
              <w:spacing w:after="0"/>
              <w:rPr>
                <w:sz w:val="13"/>
                <w:szCs w:val="13"/>
                <w:color w:val="auto"/>
              </w:rPr>
            </w:pPr>
          </w:p>
        </w:tc>
        <w:tc>
          <w:tcPr>
            <w:tcW w:w="1480" w:type="dxa"/>
            <w:vAlign w:val="bottom"/>
            <w:shd w:val="clear" w:color="auto" w:fill="D8D8D8"/>
          </w:tcPr>
          <w:p>
            <w:pPr>
              <w:jc w:val="right"/>
              <w:ind w:right="249"/>
              <w:spacing w:after="0" w:line="155" w:lineRule="exact"/>
              <w:rPr>
                <w:sz w:val="20"/>
                <w:szCs w:val="20"/>
                <w:color w:val="auto"/>
              </w:rPr>
            </w:pPr>
            <w:r>
              <w:rPr>
                <w:rFonts w:ascii="Arial" w:cs="Arial" w:eastAsia="Arial" w:hAnsi="Arial"/>
                <w:sz w:val="14"/>
                <w:szCs w:val="14"/>
                <w:color w:val="auto"/>
              </w:rPr>
              <w:t>15,841</w:t>
            </w:r>
          </w:p>
        </w:tc>
        <w:tc>
          <w:tcPr>
            <w:tcW w:w="1420" w:type="dxa"/>
            <w:vAlign w:val="bottom"/>
          </w:tcPr>
          <w:p>
            <w:pPr>
              <w:jc w:val="right"/>
              <w:ind w:right="309"/>
              <w:spacing w:after="0" w:line="155" w:lineRule="exact"/>
              <w:rPr>
                <w:sz w:val="20"/>
                <w:szCs w:val="20"/>
                <w:color w:val="auto"/>
              </w:rPr>
            </w:pPr>
            <w:r>
              <w:rPr>
                <w:rFonts w:ascii="Arial" w:cs="Arial" w:eastAsia="Arial" w:hAnsi="Arial"/>
                <w:sz w:val="14"/>
                <w:szCs w:val="14"/>
                <w:color w:val="auto"/>
              </w:rPr>
              <w:t>12,638</w:t>
            </w:r>
          </w:p>
        </w:tc>
        <w:tc>
          <w:tcPr>
            <w:tcW w:w="1560" w:type="dxa"/>
            <w:vAlign w:val="bottom"/>
          </w:tcPr>
          <w:p>
            <w:pPr>
              <w:jc w:val="right"/>
              <w:ind w:right="370"/>
              <w:spacing w:after="0" w:line="155" w:lineRule="exact"/>
              <w:rPr>
                <w:sz w:val="20"/>
                <w:szCs w:val="20"/>
                <w:color w:val="auto"/>
              </w:rPr>
            </w:pPr>
            <w:r>
              <w:rPr>
                <w:rFonts w:ascii="Arial" w:cs="Arial" w:eastAsia="Arial" w:hAnsi="Arial"/>
                <w:sz w:val="14"/>
                <w:szCs w:val="14"/>
                <w:color w:val="auto"/>
              </w:rPr>
              <w:t>22,244</w:t>
            </w:r>
          </w:p>
        </w:tc>
        <w:tc>
          <w:tcPr>
            <w:tcW w:w="0" w:type="dxa"/>
            <w:vAlign w:val="bottom"/>
          </w:tcPr>
          <w:p>
            <w:pPr>
              <w:spacing w:after="0"/>
              <w:rPr>
                <w:sz w:val="1"/>
                <w:szCs w:val="1"/>
                <w:color w:val="auto"/>
              </w:rPr>
            </w:pPr>
          </w:p>
        </w:tc>
      </w:tr>
      <w:tr>
        <w:trPr>
          <w:trHeight w:val="162"/>
        </w:trPr>
        <w:tc>
          <w:tcPr>
            <w:tcW w:w="5600" w:type="dxa"/>
            <w:vAlign w:val="bottom"/>
            <w:gridSpan w:val="2"/>
          </w:tcPr>
          <w:p>
            <w:pPr>
              <w:spacing w:after="0"/>
              <w:rPr>
                <w:sz w:val="20"/>
                <w:szCs w:val="20"/>
                <w:color w:val="auto"/>
              </w:rPr>
            </w:pPr>
            <w:r>
              <w:rPr>
                <w:rFonts w:ascii="Arial" w:cs="Arial" w:eastAsia="Arial" w:hAnsi="Arial"/>
                <w:sz w:val="14"/>
                <w:szCs w:val="14"/>
                <w:color w:val="auto"/>
              </w:rPr>
              <w:t>Including:</w:t>
            </w:r>
          </w:p>
        </w:tc>
        <w:tc>
          <w:tcPr>
            <w:tcW w:w="1360" w:type="dxa"/>
            <w:vAlign w:val="bottom"/>
          </w:tcPr>
          <w:p>
            <w:pPr>
              <w:spacing w:after="0"/>
              <w:rPr>
                <w:sz w:val="14"/>
                <w:szCs w:val="14"/>
                <w:color w:val="auto"/>
              </w:rPr>
            </w:pPr>
          </w:p>
        </w:tc>
        <w:tc>
          <w:tcPr>
            <w:tcW w:w="1480" w:type="dxa"/>
            <w:vAlign w:val="bottom"/>
            <w:shd w:val="clear" w:color="auto" w:fill="D8D8D8"/>
          </w:tcPr>
          <w:p>
            <w:pPr>
              <w:spacing w:after="0"/>
              <w:rPr>
                <w:sz w:val="14"/>
                <w:szCs w:val="14"/>
                <w:color w:val="auto"/>
              </w:rPr>
            </w:pPr>
          </w:p>
        </w:tc>
        <w:tc>
          <w:tcPr>
            <w:tcW w:w="142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5600" w:type="dxa"/>
            <w:vAlign w:val="bottom"/>
            <w:gridSpan w:val="2"/>
          </w:tcPr>
          <w:p>
            <w:pPr>
              <w:ind w:left="140"/>
              <w:spacing w:after="0"/>
              <w:rPr>
                <w:sz w:val="20"/>
                <w:szCs w:val="20"/>
                <w:color w:val="auto"/>
              </w:rPr>
            </w:pPr>
            <w:r>
              <w:rPr>
                <w:rFonts w:ascii="Arial" w:cs="Arial" w:eastAsia="Arial" w:hAnsi="Arial"/>
                <w:sz w:val="14"/>
                <w:szCs w:val="14"/>
                <w:color w:val="auto"/>
              </w:rPr>
              <w:t>Revenue (including inter-segment sales)</w:t>
            </w:r>
          </w:p>
        </w:tc>
        <w:tc>
          <w:tcPr>
            <w:tcW w:w="1360" w:type="dxa"/>
            <w:vAlign w:val="bottom"/>
          </w:tcPr>
          <w:p>
            <w:pPr>
              <w:spacing w:after="0"/>
              <w:rPr>
                <w:sz w:val="14"/>
                <w:szCs w:val="14"/>
                <w:color w:val="auto"/>
              </w:rPr>
            </w:pPr>
          </w:p>
        </w:tc>
        <w:tc>
          <w:tcPr>
            <w:tcW w:w="1480" w:type="dxa"/>
            <w:vAlign w:val="bottom"/>
            <w:shd w:val="clear" w:color="auto" w:fill="D8D8D8"/>
          </w:tcPr>
          <w:p>
            <w:pPr>
              <w:jc w:val="right"/>
              <w:ind w:right="249"/>
              <w:spacing w:after="0"/>
              <w:rPr>
                <w:sz w:val="20"/>
                <w:szCs w:val="20"/>
                <w:color w:val="auto"/>
              </w:rPr>
            </w:pPr>
            <w:r>
              <w:rPr>
                <w:rFonts w:ascii="Arial" w:cs="Arial" w:eastAsia="Arial" w:hAnsi="Arial"/>
                <w:sz w:val="14"/>
                <w:szCs w:val="14"/>
                <w:color w:val="auto"/>
              </w:rPr>
              <w:t>92,299</w:t>
            </w:r>
          </w:p>
        </w:tc>
        <w:tc>
          <w:tcPr>
            <w:tcW w:w="1420" w:type="dxa"/>
            <w:vAlign w:val="bottom"/>
          </w:tcPr>
          <w:p>
            <w:pPr>
              <w:jc w:val="right"/>
              <w:ind w:right="309"/>
              <w:spacing w:after="0"/>
              <w:rPr>
                <w:sz w:val="20"/>
                <w:szCs w:val="20"/>
                <w:color w:val="auto"/>
              </w:rPr>
            </w:pPr>
            <w:r>
              <w:rPr>
                <w:rFonts w:ascii="Arial" w:cs="Arial" w:eastAsia="Arial" w:hAnsi="Arial"/>
                <w:sz w:val="14"/>
                <w:szCs w:val="14"/>
                <w:color w:val="auto"/>
              </w:rPr>
              <w:t>92,869</w:t>
            </w:r>
          </w:p>
        </w:tc>
        <w:tc>
          <w:tcPr>
            <w:tcW w:w="1560" w:type="dxa"/>
            <w:vAlign w:val="bottom"/>
          </w:tcPr>
          <w:p>
            <w:pPr>
              <w:jc w:val="right"/>
              <w:ind w:right="370"/>
              <w:spacing w:after="0"/>
              <w:rPr>
                <w:sz w:val="20"/>
                <w:szCs w:val="20"/>
                <w:color w:val="auto"/>
              </w:rPr>
            </w:pPr>
            <w:r>
              <w:rPr>
                <w:rFonts w:ascii="Arial" w:cs="Arial" w:eastAsia="Arial" w:hAnsi="Arial"/>
                <w:sz w:val="14"/>
                <w:szCs w:val="14"/>
                <w:color w:val="auto"/>
              </w:rPr>
              <w:t>94,550</w:t>
            </w:r>
          </w:p>
        </w:tc>
        <w:tc>
          <w:tcPr>
            <w:tcW w:w="0" w:type="dxa"/>
            <w:vAlign w:val="bottom"/>
          </w:tcPr>
          <w:p>
            <w:pPr>
              <w:spacing w:after="0"/>
              <w:rPr>
                <w:sz w:val="1"/>
                <w:szCs w:val="1"/>
                <w:color w:val="auto"/>
              </w:rPr>
            </w:pPr>
          </w:p>
        </w:tc>
      </w:tr>
      <w:tr>
        <w:trPr>
          <w:trHeight w:val="162"/>
        </w:trPr>
        <w:tc>
          <w:tcPr>
            <w:tcW w:w="5600" w:type="dxa"/>
            <w:vAlign w:val="bottom"/>
            <w:gridSpan w:val="2"/>
          </w:tcPr>
          <w:p>
            <w:pPr>
              <w:ind w:left="140"/>
              <w:spacing w:after="0"/>
              <w:rPr>
                <w:sz w:val="20"/>
                <w:szCs w:val="20"/>
                <w:color w:val="auto"/>
              </w:rPr>
            </w:pPr>
            <w:r>
              <w:rPr>
                <w:rFonts w:ascii="Arial" w:cs="Arial" w:eastAsia="Arial" w:hAnsi="Arial"/>
                <w:sz w:val="14"/>
                <w:szCs w:val="14"/>
                <w:color w:val="auto"/>
              </w:rPr>
              <w:t>Share of profit of joint ventures and associates</w:t>
            </w:r>
          </w:p>
        </w:tc>
        <w:tc>
          <w:tcPr>
            <w:tcW w:w="1360" w:type="dxa"/>
            <w:vAlign w:val="bottom"/>
          </w:tcPr>
          <w:p>
            <w:pPr>
              <w:spacing w:after="0"/>
              <w:rPr>
                <w:sz w:val="14"/>
                <w:szCs w:val="14"/>
                <w:color w:val="auto"/>
              </w:rPr>
            </w:pPr>
          </w:p>
        </w:tc>
        <w:tc>
          <w:tcPr>
            <w:tcW w:w="1480" w:type="dxa"/>
            <w:vAlign w:val="bottom"/>
            <w:shd w:val="clear" w:color="auto" w:fill="D8D8D8"/>
          </w:tcPr>
          <w:p>
            <w:pPr>
              <w:jc w:val="right"/>
              <w:ind w:right="249"/>
              <w:spacing w:after="0"/>
              <w:rPr>
                <w:sz w:val="20"/>
                <w:szCs w:val="20"/>
                <w:color w:val="auto"/>
              </w:rPr>
            </w:pPr>
            <w:r>
              <w:rPr>
                <w:rFonts w:ascii="Arial" w:cs="Arial" w:eastAsia="Arial" w:hAnsi="Arial"/>
                <w:sz w:val="14"/>
                <w:szCs w:val="14"/>
                <w:color w:val="auto"/>
              </w:rPr>
              <w:t>5,502</w:t>
            </w:r>
          </w:p>
        </w:tc>
        <w:tc>
          <w:tcPr>
            <w:tcW w:w="1420" w:type="dxa"/>
            <w:vAlign w:val="bottom"/>
          </w:tcPr>
          <w:p>
            <w:pPr>
              <w:jc w:val="right"/>
              <w:ind w:right="309"/>
              <w:spacing w:after="0"/>
              <w:rPr>
                <w:sz w:val="20"/>
                <w:szCs w:val="20"/>
                <w:color w:val="auto"/>
              </w:rPr>
            </w:pPr>
            <w:r>
              <w:rPr>
                <w:rFonts w:ascii="Arial" w:cs="Arial" w:eastAsia="Arial" w:hAnsi="Arial"/>
                <w:sz w:val="14"/>
                <w:szCs w:val="14"/>
                <w:color w:val="auto"/>
              </w:rPr>
              <w:t>6,120</w:t>
            </w:r>
          </w:p>
        </w:tc>
        <w:tc>
          <w:tcPr>
            <w:tcW w:w="1560" w:type="dxa"/>
            <w:vAlign w:val="bottom"/>
          </w:tcPr>
          <w:p>
            <w:pPr>
              <w:jc w:val="right"/>
              <w:ind w:right="370"/>
              <w:spacing w:after="0"/>
              <w:rPr>
                <w:sz w:val="20"/>
                <w:szCs w:val="20"/>
                <w:color w:val="auto"/>
              </w:rPr>
            </w:pPr>
            <w:r>
              <w:rPr>
                <w:rFonts w:ascii="Arial" w:cs="Arial" w:eastAsia="Arial" w:hAnsi="Arial"/>
                <w:sz w:val="14"/>
                <w:szCs w:val="14"/>
                <w:color w:val="auto"/>
              </w:rPr>
              <w:t>8,001</w:t>
            </w:r>
          </w:p>
        </w:tc>
        <w:tc>
          <w:tcPr>
            <w:tcW w:w="0" w:type="dxa"/>
            <w:vAlign w:val="bottom"/>
          </w:tcPr>
          <w:p>
            <w:pPr>
              <w:spacing w:after="0"/>
              <w:rPr>
                <w:sz w:val="1"/>
                <w:szCs w:val="1"/>
                <w:color w:val="auto"/>
              </w:rPr>
            </w:pPr>
          </w:p>
        </w:tc>
      </w:tr>
      <w:tr>
        <w:trPr>
          <w:trHeight w:val="162"/>
        </w:trPr>
        <w:tc>
          <w:tcPr>
            <w:tcW w:w="5600" w:type="dxa"/>
            <w:vAlign w:val="bottom"/>
            <w:gridSpan w:val="2"/>
          </w:tcPr>
          <w:p>
            <w:pPr>
              <w:ind w:left="140"/>
              <w:spacing w:after="0"/>
              <w:rPr>
                <w:sz w:val="20"/>
                <w:szCs w:val="20"/>
                <w:color w:val="auto"/>
              </w:rPr>
            </w:pPr>
            <w:r>
              <w:rPr>
                <w:rFonts w:ascii="Arial" w:cs="Arial" w:eastAsia="Arial" w:hAnsi="Arial"/>
                <w:sz w:val="14"/>
                <w:szCs w:val="14"/>
                <w:color w:val="auto"/>
              </w:rPr>
              <w:t>Production and manufacturing expenses</w:t>
            </w:r>
          </w:p>
        </w:tc>
        <w:tc>
          <w:tcPr>
            <w:tcW w:w="1360" w:type="dxa"/>
            <w:vAlign w:val="bottom"/>
          </w:tcPr>
          <w:p>
            <w:pPr>
              <w:spacing w:after="0"/>
              <w:rPr>
                <w:sz w:val="14"/>
                <w:szCs w:val="14"/>
                <w:color w:val="auto"/>
              </w:rPr>
            </w:pPr>
          </w:p>
        </w:tc>
        <w:tc>
          <w:tcPr>
            <w:tcW w:w="1480" w:type="dxa"/>
            <w:vAlign w:val="bottom"/>
            <w:shd w:val="clear" w:color="auto" w:fill="D8D8D8"/>
          </w:tcPr>
          <w:p>
            <w:pPr>
              <w:jc w:val="right"/>
              <w:ind w:right="249"/>
              <w:spacing w:after="0"/>
              <w:rPr>
                <w:sz w:val="20"/>
                <w:szCs w:val="20"/>
                <w:color w:val="auto"/>
              </w:rPr>
            </w:pPr>
            <w:r>
              <w:rPr>
                <w:rFonts w:ascii="Arial" w:cs="Arial" w:eastAsia="Arial" w:hAnsi="Arial"/>
                <w:sz w:val="14"/>
                <w:szCs w:val="14"/>
                <w:color w:val="auto"/>
              </w:rPr>
              <w:t>20,093</w:t>
            </w:r>
          </w:p>
        </w:tc>
        <w:tc>
          <w:tcPr>
            <w:tcW w:w="1420" w:type="dxa"/>
            <w:vAlign w:val="bottom"/>
          </w:tcPr>
          <w:p>
            <w:pPr>
              <w:jc w:val="right"/>
              <w:ind w:right="309"/>
              <w:spacing w:after="0"/>
              <w:rPr>
                <w:sz w:val="20"/>
                <w:szCs w:val="20"/>
                <w:color w:val="auto"/>
              </w:rPr>
            </w:pPr>
            <w:r>
              <w:rPr>
                <w:rFonts w:ascii="Arial" w:cs="Arial" w:eastAsia="Arial" w:hAnsi="Arial"/>
                <w:sz w:val="14"/>
                <w:szCs w:val="14"/>
                <w:color w:val="auto"/>
              </w:rPr>
              <w:t>18,471</w:t>
            </w:r>
          </w:p>
        </w:tc>
        <w:tc>
          <w:tcPr>
            <w:tcW w:w="1560" w:type="dxa"/>
            <w:vAlign w:val="bottom"/>
          </w:tcPr>
          <w:p>
            <w:pPr>
              <w:jc w:val="right"/>
              <w:ind w:right="370"/>
              <w:spacing w:after="0"/>
              <w:rPr>
                <w:sz w:val="20"/>
                <w:szCs w:val="20"/>
                <w:color w:val="auto"/>
              </w:rPr>
            </w:pPr>
            <w:r>
              <w:rPr>
                <w:rFonts w:ascii="Arial" w:cs="Arial" w:eastAsia="Arial" w:hAnsi="Arial"/>
                <w:sz w:val="14"/>
                <w:szCs w:val="14"/>
                <w:color w:val="auto"/>
              </w:rPr>
              <w:t>16,354</w:t>
            </w:r>
          </w:p>
        </w:tc>
        <w:tc>
          <w:tcPr>
            <w:tcW w:w="0" w:type="dxa"/>
            <w:vAlign w:val="bottom"/>
          </w:tcPr>
          <w:p>
            <w:pPr>
              <w:spacing w:after="0"/>
              <w:rPr>
                <w:sz w:val="1"/>
                <w:szCs w:val="1"/>
                <w:color w:val="auto"/>
              </w:rPr>
            </w:pPr>
          </w:p>
        </w:tc>
      </w:tr>
      <w:tr>
        <w:trPr>
          <w:trHeight w:val="162"/>
        </w:trPr>
        <w:tc>
          <w:tcPr>
            <w:tcW w:w="5600" w:type="dxa"/>
            <w:vAlign w:val="bottom"/>
            <w:gridSpan w:val="2"/>
          </w:tcPr>
          <w:p>
            <w:pPr>
              <w:ind w:left="140"/>
              <w:spacing w:after="0"/>
              <w:rPr>
                <w:sz w:val="20"/>
                <w:szCs w:val="20"/>
                <w:color w:val="auto"/>
              </w:rPr>
            </w:pPr>
            <w:r>
              <w:rPr>
                <w:rFonts w:ascii="Arial" w:cs="Arial" w:eastAsia="Arial" w:hAnsi="Arial"/>
                <w:sz w:val="14"/>
                <w:szCs w:val="14"/>
                <w:color w:val="auto"/>
              </w:rPr>
              <w:t>Selling, distribution and administrative expenses</w:t>
            </w:r>
          </w:p>
        </w:tc>
        <w:tc>
          <w:tcPr>
            <w:tcW w:w="1360" w:type="dxa"/>
            <w:vAlign w:val="bottom"/>
          </w:tcPr>
          <w:p>
            <w:pPr>
              <w:spacing w:after="0"/>
              <w:rPr>
                <w:sz w:val="14"/>
                <w:szCs w:val="14"/>
                <w:color w:val="auto"/>
              </w:rPr>
            </w:pPr>
          </w:p>
        </w:tc>
        <w:tc>
          <w:tcPr>
            <w:tcW w:w="1480" w:type="dxa"/>
            <w:vAlign w:val="bottom"/>
            <w:shd w:val="clear" w:color="auto" w:fill="D8D8D8"/>
          </w:tcPr>
          <w:p>
            <w:pPr>
              <w:jc w:val="right"/>
              <w:ind w:right="249"/>
              <w:spacing w:after="0"/>
              <w:rPr>
                <w:sz w:val="20"/>
                <w:szCs w:val="20"/>
                <w:color w:val="auto"/>
              </w:rPr>
            </w:pPr>
            <w:r>
              <w:rPr>
                <w:rFonts w:ascii="Arial" w:cs="Arial" w:eastAsia="Arial" w:hAnsi="Arial"/>
                <w:sz w:val="14"/>
                <w:szCs w:val="14"/>
                <w:color w:val="auto"/>
              </w:rPr>
              <w:t>1,055</w:t>
            </w:r>
          </w:p>
        </w:tc>
        <w:tc>
          <w:tcPr>
            <w:tcW w:w="1420" w:type="dxa"/>
            <w:vAlign w:val="bottom"/>
          </w:tcPr>
          <w:p>
            <w:pPr>
              <w:jc w:val="right"/>
              <w:ind w:right="309"/>
              <w:spacing w:after="0"/>
              <w:rPr>
                <w:sz w:val="20"/>
                <w:szCs w:val="20"/>
                <w:color w:val="auto"/>
              </w:rPr>
            </w:pPr>
            <w:r>
              <w:rPr>
                <w:rFonts w:ascii="Arial" w:cs="Arial" w:eastAsia="Arial" w:hAnsi="Arial"/>
                <w:sz w:val="14"/>
                <w:szCs w:val="14"/>
                <w:color w:val="auto"/>
              </w:rPr>
              <w:t>1,194</w:t>
            </w:r>
          </w:p>
        </w:tc>
        <w:tc>
          <w:tcPr>
            <w:tcW w:w="1560" w:type="dxa"/>
            <w:vAlign w:val="bottom"/>
          </w:tcPr>
          <w:p>
            <w:pPr>
              <w:jc w:val="right"/>
              <w:ind w:right="370"/>
              <w:spacing w:after="0"/>
              <w:rPr>
                <w:sz w:val="20"/>
                <w:szCs w:val="20"/>
                <w:color w:val="auto"/>
              </w:rPr>
            </w:pPr>
            <w:r>
              <w:rPr>
                <w:rFonts w:ascii="Arial" w:cs="Arial" w:eastAsia="Arial" w:hAnsi="Arial"/>
                <w:sz w:val="14"/>
                <w:szCs w:val="14"/>
                <w:color w:val="auto"/>
              </w:rPr>
              <w:t>1,211</w:t>
            </w:r>
          </w:p>
        </w:tc>
        <w:tc>
          <w:tcPr>
            <w:tcW w:w="0" w:type="dxa"/>
            <w:vAlign w:val="bottom"/>
          </w:tcPr>
          <w:p>
            <w:pPr>
              <w:spacing w:after="0"/>
              <w:rPr>
                <w:sz w:val="1"/>
                <w:szCs w:val="1"/>
                <w:color w:val="auto"/>
              </w:rPr>
            </w:pPr>
          </w:p>
        </w:tc>
      </w:tr>
      <w:tr>
        <w:trPr>
          <w:trHeight w:val="162"/>
        </w:trPr>
        <w:tc>
          <w:tcPr>
            <w:tcW w:w="5600" w:type="dxa"/>
            <w:vAlign w:val="bottom"/>
            <w:gridSpan w:val="2"/>
          </w:tcPr>
          <w:p>
            <w:pPr>
              <w:ind w:left="140"/>
              <w:spacing w:after="0"/>
              <w:rPr>
                <w:sz w:val="20"/>
                <w:szCs w:val="20"/>
                <w:color w:val="auto"/>
              </w:rPr>
            </w:pPr>
            <w:r>
              <w:rPr>
                <w:rFonts w:ascii="Arial" w:cs="Arial" w:eastAsia="Arial" w:hAnsi="Arial"/>
                <w:sz w:val="14"/>
                <w:szCs w:val="14"/>
                <w:color w:val="auto"/>
              </w:rPr>
              <w:t>Exploration</w:t>
            </w:r>
          </w:p>
        </w:tc>
        <w:tc>
          <w:tcPr>
            <w:tcW w:w="1360" w:type="dxa"/>
            <w:vAlign w:val="bottom"/>
          </w:tcPr>
          <w:p>
            <w:pPr>
              <w:spacing w:after="0"/>
              <w:rPr>
                <w:sz w:val="14"/>
                <w:szCs w:val="14"/>
                <w:color w:val="auto"/>
              </w:rPr>
            </w:pPr>
          </w:p>
        </w:tc>
        <w:tc>
          <w:tcPr>
            <w:tcW w:w="1480" w:type="dxa"/>
            <w:vAlign w:val="bottom"/>
            <w:shd w:val="clear" w:color="auto" w:fill="D8D8D8"/>
          </w:tcPr>
          <w:p>
            <w:pPr>
              <w:jc w:val="right"/>
              <w:ind w:right="249"/>
              <w:spacing w:after="0"/>
              <w:rPr>
                <w:sz w:val="20"/>
                <w:szCs w:val="20"/>
                <w:color w:val="auto"/>
              </w:rPr>
            </w:pPr>
            <w:r>
              <w:rPr>
                <w:rFonts w:ascii="Arial" w:cs="Arial" w:eastAsia="Arial" w:hAnsi="Arial"/>
                <w:sz w:val="14"/>
                <w:szCs w:val="14"/>
                <w:color w:val="auto"/>
              </w:rPr>
              <w:t>4,224</w:t>
            </w:r>
          </w:p>
        </w:tc>
        <w:tc>
          <w:tcPr>
            <w:tcW w:w="1420" w:type="dxa"/>
            <w:vAlign w:val="bottom"/>
          </w:tcPr>
          <w:p>
            <w:pPr>
              <w:jc w:val="right"/>
              <w:ind w:right="309"/>
              <w:spacing w:after="0"/>
              <w:rPr>
                <w:sz w:val="20"/>
                <w:szCs w:val="20"/>
                <w:color w:val="auto"/>
              </w:rPr>
            </w:pPr>
            <w:r>
              <w:rPr>
                <w:rFonts w:ascii="Arial" w:cs="Arial" w:eastAsia="Arial" w:hAnsi="Arial"/>
                <w:sz w:val="14"/>
                <w:szCs w:val="14"/>
                <w:color w:val="auto"/>
              </w:rPr>
              <w:t>5,278</w:t>
            </w:r>
          </w:p>
        </w:tc>
        <w:tc>
          <w:tcPr>
            <w:tcW w:w="1560" w:type="dxa"/>
            <w:vAlign w:val="bottom"/>
          </w:tcPr>
          <w:p>
            <w:pPr>
              <w:jc w:val="right"/>
              <w:ind w:right="370"/>
              <w:spacing w:after="0"/>
              <w:rPr>
                <w:sz w:val="20"/>
                <w:szCs w:val="20"/>
                <w:color w:val="auto"/>
              </w:rPr>
            </w:pPr>
            <w:r>
              <w:rPr>
                <w:rFonts w:ascii="Arial" w:cs="Arial" w:eastAsia="Arial" w:hAnsi="Arial"/>
                <w:sz w:val="14"/>
                <w:szCs w:val="14"/>
                <w:color w:val="auto"/>
              </w:rPr>
              <w:t>3,104</w:t>
            </w:r>
          </w:p>
        </w:tc>
        <w:tc>
          <w:tcPr>
            <w:tcW w:w="0" w:type="dxa"/>
            <w:vAlign w:val="bottom"/>
          </w:tcPr>
          <w:p>
            <w:pPr>
              <w:spacing w:after="0"/>
              <w:rPr>
                <w:sz w:val="1"/>
                <w:szCs w:val="1"/>
                <w:color w:val="auto"/>
              </w:rPr>
            </w:pPr>
          </w:p>
        </w:tc>
      </w:tr>
      <w:tr>
        <w:trPr>
          <w:trHeight w:val="162"/>
        </w:trPr>
        <w:tc>
          <w:tcPr>
            <w:tcW w:w="5600" w:type="dxa"/>
            <w:vAlign w:val="bottom"/>
            <w:gridSpan w:val="2"/>
          </w:tcPr>
          <w:p>
            <w:pPr>
              <w:ind w:left="140"/>
              <w:spacing w:after="0"/>
              <w:rPr>
                <w:sz w:val="20"/>
                <w:szCs w:val="20"/>
                <w:color w:val="auto"/>
              </w:rPr>
            </w:pPr>
            <w:r>
              <w:rPr>
                <w:rFonts w:ascii="Arial" w:cs="Arial" w:eastAsia="Arial" w:hAnsi="Arial"/>
                <w:sz w:val="14"/>
                <w:szCs w:val="14"/>
                <w:color w:val="auto"/>
              </w:rPr>
              <w:t>Depreciation, depletion and amortisation</w:t>
            </w:r>
          </w:p>
        </w:tc>
        <w:tc>
          <w:tcPr>
            <w:tcW w:w="1360" w:type="dxa"/>
            <w:vAlign w:val="bottom"/>
          </w:tcPr>
          <w:p>
            <w:pPr>
              <w:spacing w:after="0"/>
              <w:rPr>
                <w:sz w:val="14"/>
                <w:szCs w:val="14"/>
                <w:color w:val="auto"/>
              </w:rPr>
            </w:pPr>
          </w:p>
        </w:tc>
        <w:tc>
          <w:tcPr>
            <w:tcW w:w="1480" w:type="dxa"/>
            <w:vAlign w:val="bottom"/>
            <w:shd w:val="clear" w:color="auto" w:fill="D8D8D8"/>
          </w:tcPr>
          <w:p>
            <w:pPr>
              <w:jc w:val="right"/>
              <w:ind w:right="249"/>
              <w:spacing w:after="0"/>
              <w:rPr>
                <w:sz w:val="20"/>
                <w:szCs w:val="20"/>
                <w:color w:val="auto"/>
              </w:rPr>
            </w:pPr>
            <w:r>
              <w:rPr>
                <w:rFonts w:ascii="Arial" w:cs="Arial" w:eastAsia="Arial" w:hAnsi="Arial"/>
                <w:sz w:val="14"/>
                <w:szCs w:val="14"/>
                <w:color w:val="auto"/>
              </w:rPr>
              <w:t>17,868</w:t>
            </w:r>
          </w:p>
        </w:tc>
        <w:tc>
          <w:tcPr>
            <w:tcW w:w="1420" w:type="dxa"/>
            <w:vAlign w:val="bottom"/>
          </w:tcPr>
          <w:p>
            <w:pPr>
              <w:jc w:val="right"/>
              <w:ind w:right="309"/>
              <w:spacing w:after="0"/>
              <w:rPr>
                <w:sz w:val="20"/>
                <w:szCs w:val="20"/>
                <w:color w:val="auto"/>
              </w:rPr>
            </w:pPr>
            <w:r>
              <w:rPr>
                <w:rFonts w:ascii="Arial" w:cs="Arial" w:eastAsia="Arial" w:hAnsi="Arial"/>
                <w:sz w:val="14"/>
                <w:szCs w:val="14"/>
                <w:color w:val="auto"/>
              </w:rPr>
              <w:t>16,949</w:t>
            </w:r>
          </w:p>
        </w:tc>
        <w:tc>
          <w:tcPr>
            <w:tcW w:w="1560" w:type="dxa"/>
            <w:vAlign w:val="bottom"/>
          </w:tcPr>
          <w:p>
            <w:pPr>
              <w:jc w:val="right"/>
              <w:ind w:right="370"/>
              <w:spacing w:after="0"/>
              <w:rPr>
                <w:sz w:val="20"/>
                <w:szCs w:val="20"/>
                <w:color w:val="auto"/>
              </w:rPr>
            </w:pPr>
            <w:r>
              <w:rPr>
                <w:rFonts w:ascii="Arial" w:cs="Arial" w:eastAsia="Arial" w:hAnsi="Arial"/>
                <w:sz w:val="14"/>
                <w:szCs w:val="14"/>
                <w:color w:val="auto"/>
              </w:rPr>
              <w:t>11,387</w:t>
            </w:r>
          </w:p>
        </w:tc>
        <w:tc>
          <w:tcPr>
            <w:tcW w:w="0" w:type="dxa"/>
            <w:vAlign w:val="bottom"/>
          </w:tcPr>
          <w:p>
            <w:pPr>
              <w:spacing w:after="0"/>
              <w:rPr>
                <w:sz w:val="1"/>
                <w:szCs w:val="1"/>
                <w:color w:val="auto"/>
              </w:rPr>
            </w:pPr>
          </w:p>
        </w:tc>
      </w:tr>
      <w:tr>
        <w:trPr>
          <w:trHeight w:val="157"/>
        </w:trPr>
        <w:tc>
          <w:tcPr>
            <w:tcW w:w="5600" w:type="dxa"/>
            <w:vAlign w:val="bottom"/>
            <w:tcBorders>
              <w:bottom w:val="single" w:sz="8" w:color="auto"/>
            </w:tcBorders>
            <w:gridSpan w:val="2"/>
          </w:tcPr>
          <w:p>
            <w:pPr>
              <w:spacing w:after="0" w:line="157" w:lineRule="exact"/>
              <w:rPr>
                <w:sz w:val="20"/>
                <w:szCs w:val="20"/>
                <w:color w:val="auto"/>
              </w:rPr>
            </w:pPr>
            <w:r>
              <w:rPr>
                <w:rFonts w:ascii="Arial" w:cs="Arial" w:eastAsia="Arial" w:hAnsi="Arial"/>
                <w:sz w:val="14"/>
                <w:szCs w:val="14"/>
                <w:color w:val="auto"/>
              </w:rPr>
              <w:t>Net capital investment [A]</w:t>
            </w:r>
          </w:p>
        </w:tc>
        <w:tc>
          <w:tcPr>
            <w:tcW w:w="1360" w:type="dxa"/>
            <w:vAlign w:val="bottom"/>
            <w:tcBorders>
              <w:bottom w:val="single" w:sz="8" w:color="auto"/>
            </w:tcBorders>
          </w:tcPr>
          <w:p>
            <w:pPr>
              <w:spacing w:after="0"/>
              <w:rPr>
                <w:sz w:val="13"/>
                <w:szCs w:val="13"/>
                <w:color w:val="auto"/>
              </w:rPr>
            </w:pPr>
          </w:p>
        </w:tc>
        <w:tc>
          <w:tcPr>
            <w:tcW w:w="1480" w:type="dxa"/>
            <w:vAlign w:val="bottom"/>
            <w:tcBorders>
              <w:bottom w:val="single" w:sz="8" w:color="auto"/>
            </w:tcBorders>
            <w:shd w:val="clear" w:color="auto" w:fill="D8D8D8"/>
          </w:tcPr>
          <w:p>
            <w:pPr>
              <w:jc w:val="right"/>
              <w:ind w:right="249"/>
              <w:spacing w:after="0" w:line="157" w:lineRule="exact"/>
              <w:rPr>
                <w:sz w:val="20"/>
                <w:szCs w:val="20"/>
                <w:color w:val="auto"/>
              </w:rPr>
            </w:pPr>
            <w:r>
              <w:rPr>
                <w:rFonts w:ascii="Arial" w:cs="Arial" w:eastAsia="Arial" w:hAnsi="Arial"/>
                <w:sz w:val="14"/>
                <w:szCs w:val="14"/>
                <w:color w:val="auto"/>
              </w:rPr>
              <w:t>20,704</w:t>
            </w:r>
          </w:p>
        </w:tc>
        <w:tc>
          <w:tcPr>
            <w:tcW w:w="1420" w:type="dxa"/>
            <w:vAlign w:val="bottom"/>
            <w:tcBorders>
              <w:bottom w:val="single" w:sz="8" w:color="auto"/>
            </w:tcBorders>
          </w:tcPr>
          <w:p>
            <w:pPr>
              <w:jc w:val="right"/>
              <w:ind w:right="309"/>
              <w:spacing w:after="0" w:line="157" w:lineRule="exact"/>
              <w:rPr>
                <w:sz w:val="20"/>
                <w:szCs w:val="20"/>
                <w:color w:val="auto"/>
              </w:rPr>
            </w:pPr>
            <w:r>
              <w:rPr>
                <w:rFonts w:ascii="Arial" w:cs="Arial" w:eastAsia="Arial" w:hAnsi="Arial"/>
                <w:sz w:val="14"/>
                <w:szCs w:val="14"/>
                <w:color w:val="auto"/>
              </w:rPr>
              <w:t>39,217</w:t>
            </w:r>
          </w:p>
        </w:tc>
        <w:tc>
          <w:tcPr>
            <w:tcW w:w="1560" w:type="dxa"/>
            <w:vAlign w:val="bottom"/>
            <w:tcBorders>
              <w:bottom w:val="single" w:sz="8" w:color="auto"/>
            </w:tcBorders>
          </w:tcPr>
          <w:p>
            <w:pPr>
              <w:jc w:val="right"/>
              <w:ind w:right="370"/>
              <w:spacing w:after="0" w:line="157" w:lineRule="exact"/>
              <w:rPr>
                <w:sz w:val="20"/>
                <w:szCs w:val="20"/>
                <w:color w:val="auto"/>
              </w:rPr>
            </w:pPr>
            <w:r>
              <w:rPr>
                <w:rFonts w:ascii="Arial" w:cs="Arial" w:eastAsia="Arial" w:hAnsi="Arial"/>
                <w:sz w:val="14"/>
                <w:szCs w:val="14"/>
                <w:color w:val="auto"/>
              </w:rPr>
              <w:t>25,320</w:t>
            </w:r>
          </w:p>
        </w:tc>
        <w:tc>
          <w:tcPr>
            <w:tcW w:w="0" w:type="dxa"/>
            <w:vAlign w:val="bottom"/>
          </w:tcPr>
          <w:p>
            <w:pPr>
              <w:spacing w:after="0"/>
              <w:rPr>
                <w:sz w:val="1"/>
                <w:szCs w:val="1"/>
                <w:color w:val="auto"/>
              </w:rPr>
            </w:pPr>
          </w:p>
        </w:tc>
      </w:tr>
      <w:tr>
        <w:trPr>
          <w:trHeight w:val="160"/>
        </w:trPr>
        <w:tc>
          <w:tcPr>
            <w:tcW w:w="5600" w:type="dxa"/>
            <w:vAlign w:val="bottom"/>
            <w:gridSpan w:val="2"/>
          </w:tcPr>
          <w:p>
            <w:pPr>
              <w:spacing w:after="0"/>
              <w:rPr>
                <w:sz w:val="20"/>
                <w:szCs w:val="20"/>
                <w:color w:val="auto"/>
              </w:rPr>
            </w:pPr>
            <w:r>
              <w:rPr>
                <w:rFonts w:ascii="Arial" w:cs="Arial" w:eastAsia="Arial" w:hAnsi="Arial"/>
                <w:sz w:val="14"/>
                <w:szCs w:val="14"/>
                <w:color w:val="auto"/>
              </w:rPr>
              <w:t>Oil and gas production available for sale (thousand boe/d)</w:t>
            </w:r>
          </w:p>
        </w:tc>
        <w:tc>
          <w:tcPr>
            <w:tcW w:w="1360" w:type="dxa"/>
            <w:vAlign w:val="bottom"/>
          </w:tcPr>
          <w:p>
            <w:pPr>
              <w:spacing w:after="0"/>
              <w:rPr>
                <w:sz w:val="13"/>
                <w:szCs w:val="13"/>
                <w:color w:val="auto"/>
              </w:rPr>
            </w:pPr>
          </w:p>
        </w:tc>
        <w:tc>
          <w:tcPr>
            <w:tcW w:w="1480" w:type="dxa"/>
            <w:vAlign w:val="bottom"/>
            <w:shd w:val="clear" w:color="auto" w:fill="D8D8D8"/>
          </w:tcPr>
          <w:p>
            <w:pPr>
              <w:jc w:val="right"/>
              <w:ind w:right="249"/>
              <w:spacing w:after="0"/>
              <w:rPr>
                <w:sz w:val="20"/>
                <w:szCs w:val="20"/>
                <w:color w:val="auto"/>
              </w:rPr>
            </w:pPr>
            <w:r>
              <w:rPr>
                <w:rFonts w:ascii="Arial" w:cs="Arial" w:eastAsia="Arial" w:hAnsi="Arial"/>
                <w:sz w:val="14"/>
                <w:szCs w:val="14"/>
                <w:color w:val="auto"/>
              </w:rPr>
              <w:t>3,080</w:t>
            </w:r>
          </w:p>
        </w:tc>
        <w:tc>
          <w:tcPr>
            <w:tcW w:w="1420" w:type="dxa"/>
            <w:vAlign w:val="bottom"/>
          </w:tcPr>
          <w:p>
            <w:pPr>
              <w:jc w:val="right"/>
              <w:ind w:right="309"/>
              <w:spacing w:after="0"/>
              <w:rPr>
                <w:sz w:val="20"/>
                <w:szCs w:val="20"/>
                <w:color w:val="auto"/>
              </w:rPr>
            </w:pPr>
            <w:r>
              <w:rPr>
                <w:rFonts w:ascii="Arial" w:cs="Arial" w:eastAsia="Arial" w:hAnsi="Arial"/>
                <w:sz w:val="14"/>
                <w:szCs w:val="14"/>
                <w:color w:val="auto"/>
              </w:rPr>
              <w:t>3,199</w:t>
            </w:r>
          </w:p>
        </w:tc>
        <w:tc>
          <w:tcPr>
            <w:tcW w:w="1560" w:type="dxa"/>
            <w:vAlign w:val="bottom"/>
          </w:tcPr>
          <w:p>
            <w:pPr>
              <w:jc w:val="right"/>
              <w:ind w:right="370"/>
              <w:spacing w:after="0"/>
              <w:rPr>
                <w:sz w:val="20"/>
                <w:szCs w:val="20"/>
                <w:color w:val="auto"/>
              </w:rPr>
            </w:pPr>
            <w:r>
              <w:rPr>
                <w:rFonts w:ascii="Arial" w:cs="Arial" w:eastAsia="Arial" w:hAnsi="Arial"/>
                <w:sz w:val="14"/>
                <w:szCs w:val="14"/>
                <w:color w:val="auto"/>
              </w:rPr>
              <w:t>3,262</w:t>
            </w:r>
          </w:p>
        </w:tc>
        <w:tc>
          <w:tcPr>
            <w:tcW w:w="0" w:type="dxa"/>
            <w:vAlign w:val="bottom"/>
          </w:tcPr>
          <w:p>
            <w:pPr>
              <w:spacing w:after="0"/>
              <w:rPr>
                <w:sz w:val="1"/>
                <w:szCs w:val="1"/>
                <w:color w:val="auto"/>
              </w:rPr>
            </w:pPr>
          </w:p>
        </w:tc>
      </w:tr>
      <w:tr>
        <w:trPr>
          <w:trHeight w:val="162"/>
        </w:trPr>
        <w:tc>
          <w:tcPr>
            <w:tcW w:w="5600" w:type="dxa"/>
            <w:vAlign w:val="bottom"/>
            <w:gridSpan w:val="2"/>
          </w:tcPr>
          <w:p>
            <w:pPr>
              <w:spacing w:after="0"/>
              <w:rPr>
                <w:sz w:val="20"/>
                <w:szCs w:val="20"/>
                <w:color w:val="auto"/>
              </w:rPr>
            </w:pPr>
            <w:r>
              <w:rPr>
                <w:rFonts w:ascii="Arial" w:cs="Arial" w:eastAsia="Arial" w:hAnsi="Arial"/>
                <w:sz w:val="14"/>
                <w:szCs w:val="14"/>
                <w:color w:val="auto"/>
              </w:rPr>
              <w:t>Equity LNG sales volume (million tonnes)</w:t>
            </w:r>
          </w:p>
        </w:tc>
        <w:tc>
          <w:tcPr>
            <w:tcW w:w="1360" w:type="dxa"/>
            <w:vAlign w:val="bottom"/>
          </w:tcPr>
          <w:p>
            <w:pPr>
              <w:spacing w:after="0"/>
              <w:rPr>
                <w:sz w:val="14"/>
                <w:szCs w:val="14"/>
                <w:color w:val="auto"/>
              </w:rPr>
            </w:pPr>
          </w:p>
        </w:tc>
        <w:tc>
          <w:tcPr>
            <w:tcW w:w="1480" w:type="dxa"/>
            <w:vAlign w:val="bottom"/>
            <w:shd w:val="clear" w:color="auto" w:fill="D8D8D8"/>
          </w:tcPr>
          <w:p>
            <w:pPr>
              <w:jc w:val="right"/>
              <w:ind w:right="249"/>
              <w:spacing w:after="0"/>
              <w:rPr>
                <w:sz w:val="20"/>
                <w:szCs w:val="20"/>
                <w:color w:val="auto"/>
              </w:rPr>
            </w:pPr>
            <w:r>
              <w:rPr>
                <w:rFonts w:ascii="Arial" w:cs="Arial" w:eastAsia="Arial" w:hAnsi="Arial"/>
                <w:sz w:val="14"/>
                <w:szCs w:val="14"/>
                <w:color w:val="auto"/>
              </w:rPr>
              <w:t>24.0</w:t>
            </w:r>
          </w:p>
        </w:tc>
        <w:tc>
          <w:tcPr>
            <w:tcW w:w="1420" w:type="dxa"/>
            <w:vAlign w:val="bottom"/>
          </w:tcPr>
          <w:p>
            <w:pPr>
              <w:jc w:val="right"/>
              <w:ind w:right="309"/>
              <w:spacing w:after="0"/>
              <w:rPr>
                <w:sz w:val="20"/>
                <w:szCs w:val="20"/>
                <w:color w:val="auto"/>
              </w:rPr>
            </w:pPr>
            <w:r>
              <w:rPr>
                <w:rFonts w:ascii="Arial" w:cs="Arial" w:eastAsia="Arial" w:hAnsi="Arial"/>
                <w:sz w:val="14"/>
                <w:szCs w:val="14"/>
                <w:color w:val="auto"/>
              </w:rPr>
              <w:t>19.6</w:t>
            </w:r>
          </w:p>
        </w:tc>
        <w:tc>
          <w:tcPr>
            <w:tcW w:w="1560" w:type="dxa"/>
            <w:vAlign w:val="bottom"/>
          </w:tcPr>
          <w:p>
            <w:pPr>
              <w:jc w:val="right"/>
              <w:ind w:right="370"/>
              <w:spacing w:after="0"/>
              <w:rPr>
                <w:sz w:val="20"/>
                <w:szCs w:val="20"/>
                <w:color w:val="auto"/>
              </w:rPr>
            </w:pPr>
            <w:r>
              <w:rPr>
                <w:rFonts w:ascii="Arial" w:cs="Arial" w:eastAsia="Arial" w:hAnsi="Arial"/>
                <w:sz w:val="14"/>
                <w:szCs w:val="14"/>
                <w:color w:val="auto"/>
              </w:rPr>
              <w:t>20.2</w:t>
            </w:r>
          </w:p>
        </w:tc>
        <w:tc>
          <w:tcPr>
            <w:tcW w:w="0" w:type="dxa"/>
            <w:vAlign w:val="bottom"/>
          </w:tcPr>
          <w:p>
            <w:pPr>
              <w:spacing w:after="0"/>
              <w:rPr>
                <w:sz w:val="1"/>
                <w:szCs w:val="1"/>
                <w:color w:val="auto"/>
              </w:rPr>
            </w:pPr>
          </w:p>
        </w:tc>
      </w:tr>
      <w:tr>
        <w:trPr>
          <w:trHeight w:val="157"/>
        </w:trPr>
        <w:tc>
          <w:tcPr>
            <w:tcW w:w="5600" w:type="dxa"/>
            <w:vAlign w:val="bottom"/>
            <w:tcBorders>
              <w:bottom w:val="single" w:sz="8" w:color="auto"/>
            </w:tcBorders>
            <w:gridSpan w:val="2"/>
          </w:tcPr>
          <w:p>
            <w:pPr>
              <w:spacing w:after="0" w:line="157" w:lineRule="exact"/>
              <w:rPr>
                <w:sz w:val="20"/>
                <w:szCs w:val="20"/>
                <w:color w:val="auto"/>
              </w:rPr>
            </w:pPr>
            <w:r>
              <w:rPr>
                <w:rFonts w:ascii="Arial" w:cs="Arial" w:eastAsia="Arial" w:hAnsi="Arial"/>
                <w:sz w:val="14"/>
                <w:szCs w:val="14"/>
                <w:color w:val="auto"/>
              </w:rPr>
              <w:t>Proved oil and gas reserves at December 31 (million boe) [B]</w:t>
            </w:r>
          </w:p>
        </w:tc>
        <w:tc>
          <w:tcPr>
            <w:tcW w:w="1360" w:type="dxa"/>
            <w:vAlign w:val="bottom"/>
            <w:tcBorders>
              <w:bottom w:val="single" w:sz="8" w:color="auto"/>
            </w:tcBorders>
          </w:tcPr>
          <w:p>
            <w:pPr>
              <w:spacing w:after="0"/>
              <w:rPr>
                <w:sz w:val="13"/>
                <w:szCs w:val="13"/>
                <w:color w:val="auto"/>
              </w:rPr>
            </w:pPr>
          </w:p>
        </w:tc>
        <w:tc>
          <w:tcPr>
            <w:tcW w:w="1480" w:type="dxa"/>
            <w:vAlign w:val="bottom"/>
            <w:tcBorders>
              <w:bottom w:val="single" w:sz="8" w:color="auto"/>
            </w:tcBorders>
            <w:shd w:val="clear" w:color="auto" w:fill="D8D8D8"/>
          </w:tcPr>
          <w:p>
            <w:pPr>
              <w:jc w:val="right"/>
              <w:ind w:right="249"/>
              <w:spacing w:after="0" w:line="157" w:lineRule="exact"/>
              <w:rPr>
                <w:sz w:val="20"/>
                <w:szCs w:val="20"/>
                <w:color w:val="auto"/>
              </w:rPr>
            </w:pPr>
            <w:r>
              <w:rPr>
                <w:rFonts w:ascii="Arial" w:cs="Arial" w:eastAsia="Arial" w:hAnsi="Arial"/>
                <w:sz w:val="14"/>
                <w:szCs w:val="14"/>
                <w:color w:val="auto"/>
              </w:rPr>
              <w:t>13,070</w:t>
            </w:r>
          </w:p>
        </w:tc>
        <w:tc>
          <w:tcPr>
            <w:tcW w:w="1420" w:type="dxa"/>
            <w:vAlign w:val="bottom"/>
            <w:tcBorders>
              <w:bottom w:val="single" w:sz="8" w:color="auto"/>
            </w:tcBorders>
          </w:tcPr>
          <w:p>
            <w:pPr>
              <w:jc w:val="right"/>
              <w:ind w:right="309"/>
              <w:spacing w:after="0" w:line="157" w:lineRule="exact"/>
              <w:rPr>
                <w:sz w:val="20"/>
                <w:szCs w:val="20"/>
                <w:color w:val="auto"/>
              </w:rPr>
            </w:pPr>
            <w:r>
              <w:rPr>
                <w:rFonts w:ascii="Arial" w:cs="Arial" w:eastAsia="Arial" w:hAnsi="Arial"/>
                <w:sz w:val="14"/>
                <w:szCs w:val="14"/>
                <w:color w:val="auto"/>
              </w:rPr>
              <w:t>13,932</w:t>
            </w:r>
          </w:p>
        </w:tc>
        <w:tc>
          <w:tcPr>
            <w:tcW w:w="1560" w:type="dxa"/>
            <w:vAlign w:val="bottom"/>
            <w:tcBorders>
              <w:bottom w:val="single" w:sz="8" w:color="auto"/>
            </w:tcBorders>
          </w:tcPr>
          <w:p>
            <w:pPr>
              <w:jc w:val="right"/>
              <w:ind w:right="370"/>
              <w:spacing w:after="0" w:line="157" w:lineRule="exact"/>
              <w:rPr>
                <w:sz w:val="20"/>
                <w:szCs w:val="20"/>
                <w:color w:val="auto"/>
              </w:rPr>
            </w:pPr>
            <w:r>
              <w:rPr>
                <w:rFonts w:ascii="Arial" w:cs="Arial" w:eastAsia="Arial" w:hAnsi="Arial"/>
                <w:sz w:val="14"/>
                <w:szCs w:val="14"/>
                <w:color w:val="auto"/>
              </w:rPr>
              <w:t>13,556</w:t>
            </w:r>
          </w:p>
        </w:tc>
        <w:tc>
          <w:tcPr>
            <w:tcW w:w="0" w:type="dxa"/>
            <w:vAlign w:val="bottom"/>
          </w:tcPr>
          <w:p>
            <w:pPr>
              <w:spacing w:after="0"/>
              <w:rPr>
                <w:sz w:val="1"/>
                <w:szCs w:val="1"/>
                <w:color w:val="auto"/>
              </w:rPr>
            </w:pPr>
          </w:p>
        </w:tc>
      </w:tr>
    </w:tbl>
    <w:p>
      <w:pPr>
        <w:spacing w:after="0" w:line="32" w:lineRule="exact"/>
        <w:rPr>
          <w:sz w:val="20"/>
          <w:szCs w:val="20"/>
          <w:color w:val="auto"/>
        </w:rPr>
      </w:pPr>
    </w:p>
    <w:p>
      <w:pPr>
        <w:spacing w:after="0"/>
        <w:rPr>
          <w:sz w:val="20"/>
          <w:szCs w:val="20"/>
          <w:color w:val="auto"/>
        </w:rPr>
      </w:pPr>
      <w:r>
        <w:rPr>
          <w:rFonts w:ascii="Arial" w:cs="Arial" w:eastAsia="Arial" w:hAnsi="Arial"/>
          <w:sz w:val="11"/>
          <w:szCs w:val="11"/>
          <w:color w:val="auto"/>
        </w:rPr>
        <w:t>[A] See “Non-GAAP measures reconciliations”.</w:t>
      </w:r>
    </w:p>
    <w:p>
      <w:pPr>
        <w:spacing w:after="0"/>
        <w:rPr>
          <w:sz w:val="20"/>
          <w:szCs w:val="20"/>
          <w:color w:val="auto"/>
        </w:rPr>
      </w:pPr>
      <w:r>
        <w:rPr>
          <w:rFonts w:ascii="Arial" w:cs="Arial" w:eastAsia="Arial" w:hAnsi="Arial"/>
          <w:sz w:val="11"/>
          <w:szCs w:val="11"/>
          <w:color w:val="auto"/>
        </w:rPr>
        <w:t>[B] Excludes reserves attributable to non-controlling interest in Shell subsidiaries.</w:t>
      </w:r>
    </w:p>
    <w:p>
      <w:pPr>
        <w:sectPr>
          <w:pgSz w:w="11900" w:h="16838" w:orient="portrait"/>
          <w:cols w:equalWidth="0" w:num="1">
            <w:col w:w="11420"/>
          </w:cols>
          <w:pgMar w:left="240" w:top="459" w:right="239" w:bottom="1440" w:gutter="0" w:footer="0" w:header="0"/>
        </w:sect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color w:val="auto"/>
        </w:rPr>
        <w:t>OVERVIEW</w:t>
      </w:r>
    </w:p>
    <w:p>
      <w:pPr>
        <w:spacing w:after="0" w:line="1" w:lineRule="exact"/>
        <w:rPr>
          <w:sz w:val="20"/>
          <w:szCs w:val="20"/>
          <w:color w:val="auto"/>
        </w:rPr>
      </w:pPr>
    </w:p>
    <w:p>
      <w:pPr>
        <w:ind w:right="160"/>
        <w:spacing w:after="0" w:line="243" w:lineRule="auto"/>
        <w:rPr>
          <w:sz w:val="20"/>
          <w:szCs w:val="20"/>
          <w:color w:val="auto"/>
        </w:rPr>
      </w:pPr>
      <w:r>
        <w:rPr>
          <w:rFonts w:ascii="Arial" w:cs="Arial" w:eastAsia="Arial" w:hAnsi="Arial"/>
          <w:sz w:val="14"/>
          <w:szCs w:val="14"/>
          <w:color w:val="auto"/>
        </w:rPr>
        <w:t>Our Upstream businesses explore for and extract crude oil and natural gas, often in joint arrangements with international and national oil and gas companies. This includes the extraction of bitumen from mined oil sands which we convert into synthetic crude oil. We liquefy natural gas by cooling it and transport the liquefied natural gas (LNG) to customers around the world. We also convert natural gas to liquids (GTL) to provide high-quality fuels and other products, and we market and trade crude oil and natural gas (including LNG) in support of our Upstream businesses.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color w:val="auto"/>
        </w:rPr>
        <w:t>BUSINESS CONDITIONS</w:t>
      </w:r>
    </w:p>
    <w:p>
      <w:pPr>
        <w:spacing w:after="0" w:line="1" w:lineRule="exact"/>
        <w:rPr>
          <w:sz w:val="20"/>
          <w:szCs w:val="20"/>
          <w:color w:val="auto"/>
        </w:rPr>
      </w:pPr>
    </w:p>
    <w:p>
      <w:pPr>
        <w:ind w:right="100"/>
        <w:spacing w:after="0" w:line="245" w:lineRule="auto"/>
        <w:rPr>
          <w:sz w:val="20"/>
          <w:szCs w:val="20"/>
          <w:color w:val="auto"/>
        </w:rPr>
      </w:pPr>
      <w:r>
        <w:rPr>
          <w:rFonts w:ascii="Arial" w:cs="Arial" w:eastAsia="Arial" w:hAnsi="Arial"/>
          <w:sz w:val="14"/>
          <w:szCs w:val="14"/>
          <w:color w:val="auto"/>
        </w:rPr>
        <w:t xml:space="preserve">Global oil demand rose by 0.7% (0.6 million barrels per day (b/d)) in 2014, according to the International Energy Agency’s January 2015 </w:t>
      </w:r>
      <w:r>
        <w:rPr>
          <w:rFonts w:ascii="Arial" w:cs="Arial" w:eastAsia="Arial" w:hAnsi="Arial"/>
          <w:sz w:val="14"/>
          <w:szCs w:val="14"/>
          <w:i w:val="1"/>
          <w:iCs w:val="1"/>
          <w:color w:val="auto"/>
        </w:rPr>
        <w:t>Oil Market Report</w:t>
      </w:r>
      <w:r>
        <w:rPr>
          <w:rFonts w:ascii="Arial" w:cs="Arial" w:eastAsia="Arial" w:hAnsi="Arial"/>
          <w:sz w:val="14"/>
          <w:szCs w:val="14"/>
          <w:color w:val="auto"/>
        </w:rPr>
        <w:t>. Demand grew in emerging economies while remaining almost flat in advanced economies. The Brent crude oil price, an international crude-oil benchmark, traded in a range of $54-115 per barrel (/b) in 2014, ending the year at $55/b.</w:t>
      </w:r>
    </w:p>
    <w:p>
      <w:pPr>
        <w:spacing w:after="0" w:line="164" w:lineRule="exact"/>
        <w:rPr>
          <w:sz w:val="20"/>
          <w:szCs w:val="20"/>
          <w:color w:val="auto"/>
        </w:rPr>
      </w:pPr>
    </w:p>
    <w:p>
      <w:pPr>
        <w:spacing w:after="0" w:line="243" w:lineRule="auto"/>
        <w:rPr>
          <w:sz w:val="20"/>
          <w:szCs w:val="20"/>
          <w:color w:val="auto"/>
        </w:rPr>
      </w:pPr>
      <w:r>
        <w:rPr>
          <w:rFonts w:ascii="Arial" w:cs="Arial" w:eastAsia="Arial" w:hAnsi="Arial"/>
          <w:sz w:val="14"/>
          <w:szCs w:val="14"/>
          <w:color w:val="auto"/>
        </w:rPr>
        <w:t>We estimate that global gas demand grew by about 1% in 2014, similar to growth in 2013, which is much lower than the average annual growth rate of about 2.5% in the past decade. A combination of unusually mild weather, except in the USA, a decline in natural gas production and weak global economic growth led to a lower rate of demand growth in most regions. We believe that most of the growth in demand was in China and the USA, driven by their power generation and industrial sectors. European gas demand has weakened over the last few years and this trend is likely to have continued in 2014, according to gas industry association Eurogas.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color w:val="auto"/>
        </w:rPr>
        <w:t>EARNINGS 2014-2013</w:t>
      </w:r>
    </w:p>
    <w:p>
      <w:pPr>
        <w:spacing w:after="0" w:line="1" w:lineRule="exact"/>
        <w:rPr>
          <w:sz w:val="20"/>
          <w:szCs w:val="20"/>
          <w:color w:val="auto"/>
        </w:rPr>
      </w:pPr>
    </w:p>
    <w:p>
      <w:pPr>
        <w:ind w:right="60"/>
        <w:spacing w:after="0" w:line="243" w:lineRule="auto"/>
        <w:rPr>
          <w:sz w:val="20"/>
          <w:szCs w:val="20"/>
          <w:color w:val="auto"/>
        </w:rPr>
      </w:pPr>
      <w:r>
        <w:rPr>
          <w:rFonts w:ascii="Arial" w:cs="Arial" w:eastAsia="Arial" w:hAnsi="Arial"/>
          <w:sz w:val="14"/>
          <w:szCs w:val="14"/>
          <w:color w:val="auto"/>
        </w:rPr>
        <w:t>Segment earnings of $15,841 million included a net charge of $664 million, reflecting impairment charges of $2,406 million, predominantly related to tight-gas shale properties in the USA, and further charges of $718 million related to an update of an Australian deferred tax asset and a deferred tax liability related to an associate company. These charges were partly offset by divestment gains of $2,073 million mainly related to Wheatstone and to a portion of our shareholding in Woodside Petroleum Limited (Woodside) in Australia, Oil Mining Lease (OML) 24 in Nigeria and Haynesville in the USA. Other favourable impacts mainly related to the net effect of fair value accounting of commodity derivatives and certain gas contracts, and to amendments to our Dutch pension plan.</w:t>
      </w:r>
    </w:p>
    <w:p>
      <w:pPr>
        <w:spacing w:after="0" w:line="20" w:lineRule="exact"/>
        <w:rPr>
          <w:sz w:val="20"/>
          <w:szCs w:val="20"/>
          <w:color w:val="auto"/>
        </w:rPr>
      </w:pPr>
      <w:r>
        <w:rPr>
          <w:sz w:val="20"/>
          <w:szCs w:val="20"/>
          <w:color w:val="auto"/>
        </w:rPr>
        <w:br w:type="column"/>
      </w:r>
    </w:p>
    <w:p>
      <w:pPr>
        <w:spacing w:after="0" w:line="253" w:lineRule="exact"/>
        <w:rPr>
          <w:sz w:val="20"/>
          <w:szCs w:val="20"/>
          <w:color w:val="auto"/>
        </w:rPr>
      </w:pPr>
    </w:p>
    <w:p>
      <w:pPr>
        <w:ind w:right="240"/>
        <w:spacing w:after="0" w:line="250" w:lineRule="auto"/>
        <w:rPr>
          <w:sz w:val="20"/>
          <w:szCs w:val="20"/>
          <w:color w:val="auto"/>
        </w:rPr>
      </w:pPr>
      <w:r>
        <w:rPr>
          <w:rFonts w:ascii="Arial" w:cs="Arial" w:eastAsia="Arial" w:hAnsi="Arial"/>
          <w:sz w:val="14"/>
          <w:szCs w:val="14"/>
          <w:color w:val="auto"/>
        </w:rPr>
        <w:t>Segment earnings in 2013 of $12,638 million included a net charge of $2,479 million, primarily related to the impairment of liquids-rich shale properties in North America, partly offset by net tax gains and gains on divestments.</w:t>
      </w:r>
    </w:p>
    <w:p>
      <w:pPr>
        <w:spacing w:after="0" w:line="159" w:lineRule="exact"/>
        <w:rPr>
          <w:sz w:val="20"/>
          <w:szCs w:val="20"/>
          <w:color w:val="auto"/>
        </w:rPr>
      </w:pPr>
    </w:p>
    <w:p>
      <w:pPr>
        <w:ind w:right="200"/>
        <w:spacing w:after="0" w:line="244" w:lineRule="auto"/>
        <w:rPr>
          <w:sz w:val="20"/>
          <w:szCs w:val="20"/>
          <w:color w:val="auto"/>
        </w:rPr>
      </w:pPr>
      <w:r>
        <w:rPr>
          <w:rFonts w:ascii="Arial" w:cs="Arial" w:eastAsia="Arial" w:hAnsi="Arial"/>
          <w:sz w:val="14"/>
          <w:szCs w:val="14"/>
          <w:color w:val="auto"/>
        </w:rPr>
        <w:t>Excluding the net charges described above, segment earnings in 2014 increased by 9% compared with 2013, driven by increased contributions from liquids production volumes from both the start-up of new high-margin deep-water projects and improved operational performance. Earnings also reflected lower exploration expenses, primarily driven by fewer well write-offs, and increased contributions from Trading. Earnings were impacted by declining oil prices, losses in Upstream Americas tight-gas and liquids-rich shale, and higher depreciation.</w:t>
      </w:r>
    </w:p>
    <w:p>
      <w:pPr>
        <w:spacing w:after="0" w:line="164" w:lineRule="exact"/>
        <w:rPr>
          <w:sz w:val="20"/>
          <w:szCs w:val="20"/>
          <w:color w:val="auto"/>
        </w:rPr>
      </w:pPr>
    </w:p>
    <w:p>
      <w:pPr>
        <w:ind w:right="260"/>
        <w:spacing w:after="0" w:line="250" w:lineRule="auto"/>
        <w:rPr>
          <w:sz w:val="20"/>
          <w:szCs w:val="20"/>
          <w:color w:val="auto"/>
        </w:rPr>
      </w:pPr>
      <w:r>
        <w:rPr>
          <w:rFonts w:ascii="Arial" w:cs="Arial" w:eastAsia="Arial" w:hAnsi="Arial"/>
          <w:sz w:val="14"/>
          <w:szCs w:val="14"/>
          <w:color w:val="auto"/>
        </w:rPr>
        <w:t>Global realised liquids prices were 8% lower than in 2013. Global realised gas prices were 6% lower than in 2013, with a 20% increase in the Americas and an 11% decrease outside the Americas.</w:t>
      </w:r>
    </w:p>
    <w:p>
      <w:pPr>
        <w:spacing w:after="0" w:line="172" w:lineRule="exact"/>
        <w:rPr>
          <w:sz w:val="20"/>
          <w:szCs w:val="20"/>
          <w:color w:val="auto"/>
        </w:rPr>
      </w:pPr>
    </w:p>
    <w:p>
      <w:pPr>
        <w:ind w:right="220"/>
        <w:spacing w:after="0" w:line="245" w:lineRule="auto"/>
        <w:rPr>
          <w:sz w:val="20"/>
          <w:szCs w:val="20"/>
          <w:color w:val="auto"/>
        </w:rPr>
      </w:pPr>
      <w:r>
        <w:rPr>
          <w:rFonts w:ascii="Arial" w:cs="Arial" w:eastAsia="Arial" w:hAnsi="Arial"/>
          <w:sz w:val="14"/>
          <w:szCs w:val="14"/>
          <w:color w:val="auto"/>
        </w:rPr>
        <w:t>Equity LNG sales volumes of 24.0 million tonnes were 22% higher than in 2013, mainly reflecting the contribution from the Atlantic LNG and Peru LNG assets following the acquisition from Repsol S.A. in January 2014, and higher volumes from Nigeria LNG which in 2013 was impacted by reduced feed gas supply and the impact of a blockade of shipments.</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color w:val="auto"/>
        </w:rPr>
        <w:t>EARNINGS 2013-2012</w:t>
      </w:r>
    </w:p>
    <w:p>
      <w:pPr>
        <w:spacing w:after="0" w:line="1" w:lineRule="exact"/>
        <w:rPr>
          <w:sz w:val="20"/>
          <w:szCs w:val="20"/>
          <w:color w:val="auto"/>
        </w:rPr>
      </w:pPr>
    </w:p>
    <w:p>
      <w:pPr>
        <w:jc w:val="both"/>
        <w:ind w:right="220"/>
        <w:spacing w:after="0" w:line="247" w:lineRule="auto"/>
        <w:rPr>
          <w:sz w:val="20"/>
          <w:szCs w:val="20"/>
          <w:color w:val="auto"/>
        </w:rPr>
      </w:pPr>
      <w:r>
        <w:rPr>
          <w:rFonts w:ascii="Arial" w:cs="Arial" w:eastAsia="Arial" w:hAnsi="Arial"/>
          <w:sz w:val="14"/>
          <w:szCs w:val="14"/>
          <w:color w:val="auto"/>
        </w:rPr>
        <w:t>Segment earnings in 2013 of $12,638 million included a net charge of $2,479 million, as described above. Segment earnings in 2012 of $22,244 million included a net gain of $2,137 million, mainly related to gains on divestments, partly offset by impairments for onshore gas assets in the USA, net tax charges and decommissioning provisions.</w:t>
      </w:r>
    </w:p>
    <w:p>
      <w:pPr>
        <w:spacing w:after="0" w:line="161" w:lineRule="exact"/>
        <w:rPr>
          <w:sz w:val="20"/>
          <w:szCs w:val="20"/>
          <w:color w:val="auto"/>
        </w:rPr>
      </w:pPr>
    </w:p>
    <w:p>
      <w:pPr>
        <w:ind w:right="180"/>
        <w:spacing w:after="0" w:line="244" w:lineRule="auto"/>
        <w:rPr>
          <w:sz w:val="20"/>
          <w:szCs w:val="20"/>
          <w:color w:val="auto"/>
        </w:rPr>
      </w:pPr>
      <w:r>
        <w:rPr>
          <w:rFonts w:ascii="Arial" w:cs="Arial" w:eastAsia="Arial" w:hAnsi="Arial"/>
          <w:sz w:val="14"/>
          <w:szCs w:val="14"/>
          <w:color w:val="auto"/>
        </w:rPr>
        <w:t>Excluding the net charge and net gain described above, segment earnings in 2013 decreased by 25% compared with 2012 because of higher exploration expenses (mainly driven by well write-offs), operating expenses and depreciation, and lower liquids and LNG realisations. Earnings were also impacted by a deterioration in the operating environment in Nigeria and the impact of the weakening Australian dollar on a deferred tax liability. This was partly offset by an increased contribution from our Pearl GTL plant (Pearl) in Qatar and higher gas prices in the Americas.</w:t>
      </w:r>
    </w:p>
    <w:p>
      <w:pPr>
        <w:sectPr>
          <w:pgSz w:w="11900" w:h="16838" w:orient="portrait"/>
          <w:cols w:equalWidth="0" w:num="2">
            <w:col w:w="5480" w:space="300"/>
            <w:col w:w="5640"/>
          </w:cols>
          <w:pgMar w:left="240" w:top="459" w:right="239" w:bottom="1440" w:gutter="0" w:footer="0" w:header="0"/>
          <w:type w:val="continuous"/>
        </w:sectPr>
      </w:pPr>
    </w:p>
    <w:bookmarkStart w:id="25" w:name="page26"/>
    <w:bookmarkEnd w:id="25"/>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314960</wp:posOffset>
            </wp:positionV>
            <wp:extent cx="3627755" cy="46291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3627755" cy="462915"/>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p>
      <w:pPr>
        <w:spacing w:after="0" w:line="200" w:lineRule="exact"/>
        <w:rPr>
          <w:sz w:val="20"/>
          <w:szCs w:val="20"/>
          <w:color w:val="auto"/>
        </w:rPr>
      </w:pP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419"/>
        </w:trPr>
        <w:tc>
          <w:tcPr>
            <w:tcW w:w="2080" w:type="dxa"/>
            <w:vAlign w:val="bottom"/>
            <w:shd w:val="clear" w:color="auto" w:fill="FF8B00"/>
          </w:tcPr>
          <w:p>
            <w:pPr>
              <w:spacing w:after="0"/>
              <w:rPr>
                <w:sz w:val="24"/>
                <w:szCs w:val="24"/>
                <w:color w:val="auto"/>
              </w:rPr>
            </w:pPr>
          </w:p>
        </w:tc>
        <w:tc>
          <w:tcPr>
            <w:tcW w:w="3640" w:type="dxa"/>
            <w:vAlign w:val="bottom"/>
            <w:shd w:val="clear" w:color="auto" w:fill="FF8B00"/>
          </w:tcPr>
          <w:p>
            <w:pPr>
              <w:spacing w:after="0"/>
              <w:rPr>
                <w:sz w:val="24"/>
                <w:szCs w:val="24"/>
                <w:color w:val="auto"/>
              </w:rPr>
            </w:pPr>
          </w:p>
        </w:tc>
      </w:tr>
      <w:tr>
        <w:trPr>
          <w:trHeight w:val="152"/>
        </w:trPr>
        <w:tc>
          <w:tcPr>
            <w:tcW w:w="2080" w:type="dxa"/>
            <w:vAlign w:val="bottom"/>
          </w:tcPr>
          <w:p>
            <w:pPr>
              <w:jc w:val="right"/>
              <w:ind w:right="1546"/>
              <w:spacing w:after="0"/>
              <w:rPr>
                <w:sz w:val="20"/>
                <w:szCs w:val="20"/>
                <w:color w:val="auto"/>
              </w:rPr>
            </w:pPr>
            <w:r>
              <w:rPr>
                <w:rFonts w:ascii="Arial" w:cs="Arial" w:eastAsia="Arial" w:hAnsi="Arial"/>
                <w:sz w:val="11"/>
                <w:szCs w:val="11"/>
                <w:b w:val="1"/>
                <w:bCs w:val="1"/>
                <w:color w:val="333333"/>
              </w:rPr>
              <w:t>24</w:t>
            </w:r>
          </w:p>
        </w:tc>
        <w:tc>
          <w:tcPr>
            <w:tcW w:w="3640" w:type="dxa"/>
            <w:vAlign w:val="bottom"/>
          </w:tcPr>
          <w:p>
            <w:pPr>
              <w:ind w:left="1580"/>
              <w:spacing w:after="0"/>
              <w:rPr>
                <w:sz w:val="20"/>
                <w:szCs w:val="20"/>
                <w:color w:val="auto"/>
              </w:rPr>
            </w:pPr>
            <w:r>
              <w:rPr>
                <w:rFonts w:ascii="Arial" w:cs="Arial" w:eastAsia="Arial" w:hAnsi="Arial"/>
                <w:sz w:val="13"/>
                <w:szCs w:val="13"/>
                <w:color w:val="333333"/>
              </w:rPr>
              <w:t>STRATEGIC REPORT</w:t>
            </w:r>
          </w:p>
        </w:tc>
      </w:tr>
    </w:tbl>
    <w:p>
      <w:pPr>
        <w:spacing w:after="0" w:line="155" w:lineRule="exact"/>
        <w:rPr>
          <w:sz w:val="20"/>
          <w:szCs w:val="20"/>
          <w:color w:val="auto"/>
        </w:rPr>
      </w:pPr>
    </w:p>
    <w:p>
      <w:pPr>
        <w:ind w:left="4340"/>
        <w:spacing w:after="0"/>
        <w:rPr>
          <w:sz w:val="20"/>
          <w:szCs w:val="20"/>
          <w:color w:val="auto"/>
        </w:rPr>
      </w:pPr>
      <w:r>
        <w:rPr>
          <w:rFonts w:ascii="Arial" w:cs="Arial" w:eastAsia="Arial" w:hAnsi="Arial"/>
          <w:sz w:val="11"/>
          <w:szCs w:val="11"/>
          <w:color w:val="auto"/>
        </w:rPr>
        <w:t>UPSTREAM</w:t>
      </w:r>
    </w:p>
    <w:p>
      <w:pPr>
        <w:spacing w:after="0" w:line="48" w:lineRule="exact"/>
        <w:rPr>
          <w:sz w:val="20"/>
          <w:szCs w:val="20"/>
          <w:color w:val="auto"/>
        </w:rPr>
      </w:pPr>
    </w:p>
    <w:p>
      <w:pPr>
        <w:spacing w:after="0"/>
        <w:rPr>
          <w:sz w:val="20"/>
          <w:szCs w:val="20"/>
          <w:color w:val="auto"/>
        </w:rPr>
      </w:pPr>
      <w:r>
        <w:rPr>
          <w:rFonts w:ascii="Arial" w:cs="Arial" w:eastAsia="Arial" w:hAnsi="Arial"/>
          <w:sz w:val="24"/>
          <w:szCs w:val="24"/>
          <w:color w:val="auto"/>
        </w:rPr>
        <w:t xml:space="preserve">UPSTREAM </w:t>
      </w:r>
      <w:r>
        <w:rPr>
          <w:rFonts w:ascii="Arial" w:cs="Arial" w:eastAsia="Arial" w:hAnsi="Arial"/>
          <w:sz w:val="24"/>
          <w:szCs w:val="24"/>
          <w:color w:val="666666"/>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347345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NET CAPITAL INVESTMENT</w:t>
      </w:r>
    </w:p>
    <w:p>
      <w:pPr>
        <w:spacing w:after="0" w:line="1" w:lineRule="exact"/>
        <w:rPr>
          <w:sz w:val="20"/>
          <w:szCs w:val="20"/>
          <w:color w:val="auto"/>
        </w:rPr>
      </w:pPr>
    </w:p>
    <w:p>
      <w:pPr>
        <w:ind w:right="540"/>
        <w:spacing w:after="0" w:line="241" w:lineRule="auto"/>
        <w:rPr>
          <w:sz w:val="20"/>
          <w:szCs w:val="20"/>
          <w:color w:val="auto"/>
        </w:rPr>
      </w:pPr>
      <w:r>
        <w:rPr>
          <w:rFonts w:ascii="Arial" w:cs="Arial" w:eastAsia="Arial" w:hAnsi="Arial"/>
          <w:sz w:val="14"/>
          <w:szCs w:val="14"/>
          <w:color w:val="auto"/>
        </w:rPr>
        <w:t>Net capital investment was $21 billion in 2014, compared with $39 billion in 2013. Capital investment in 2014 was $31 billion (of which $8 billion was exploration expenditure, including acquisitions of unproved properties). Capital investment in</w:t>
      </w:r>
    </w:p>
    <w:p>
      <w:pPr>
        <w:spacing w:after="0" w:line="1" w:lineRule="exact"/>
        <w:rPr>
          <w:sz w:val="20"/>
          <w:szCs w:val="20"/>
          <w:color w:val="auto"/>
        </w:rPr>
      </w:pPr>
    </w:p>
    <w:p>
      <w:pPr>
        <w:ind w:right="240"/>
        <w:spacing w:after="0" w:line="258" w:lineRule="auto"/>
        <w:rPr>
          <w:sz w:val="20"/>
          <w:szCs w:val="20"/>
          <w:color w:val="auto"/>
        </w:rPr>
      </w:pPr>
      <w:r>
        <w:rPr>
          <w:rFonts w:ascii="Arial" w:cs="Arial" w:eastAsia="Arial" w:hAnsi="Arial"/>
          <w:sz w:val="14"/>
          <w:szCs w:val="14"/>
          <w:color w:val="auto"/>
        </w:rPr>
        <w:t>2013 was $40 billion. Divestment proceeds were $11 billion in 2014 compared with $1 billion in 2013.</w:t>
      </w:r>
    </w:p>
    <w:p>
      <w:pPr>
        <w:spacing w:after="0" w:line="154" w:lineRule="exact"/>
        <w:rPr>
          <w:sz w:val="20"/>
          <w:szCs w:val="20"/>
          <w:color w:val="auto"/>
        </w:rPr>
      </w:pPr>
    </w:p>
    <w:p>
      <w:pPr>
        <w:ind w:right="360"/>
        <w:spacing w:after="0" w:line="244" w:lineRule="auto"/>
        <w:rPr>
          <w:sz w:val="20"/>
          <w:szCs w:val="20"/>
          <w:color w:val="auto"/>
        </w:rPr>
      </w:pPr>
      <w:r>
        <w:rPr>
          <w:rFonts w:ascii="Arial" w:cs="Arial" w:eastAsia="Arial" w:hAnsi="Arial"/>
          <w:sz w:val="14"/>
          <w:szCs w:val="14"/>
          <w:color w:val="auto"/>
        </w:rPr>
        <w:t>Net capital investment was lower than in 2013 mainly due to higher divestment proceeds and lower expenditure on acquisitions. Major divestment proceeds in 2014 relate to a portion of our shareholding in Woodside and to Wheatstone in Australia, Parque das Conchas (BC-10) in Brazil and Haynesville and Pinedale in the USA. In 2014, acquisition expenditure was lower than in 2013 which included the acquisition of interests in Libra and BC-10 in Brazil and expenditure for the acquisition of LNG businesses from Repsol S.A.</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color w:val="auto"/>
        </w:rPr>
        <w:t>PORTFOLIO ACTIONS AND BUSINESS DEVELOPMENT</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We achieved the following operational milestones in 2014:</w:t>
      </w:r>
    </w:p>
    <w:p>
      <w:pPr>
        <w:spacing w:after="0" w:line="190" w:lineRule="exact"/>
        <w:rPr>
          <w:sz w:val="20"/>
          <w:szCs w:val="20"/>
          <w:color w:val="auto"/>
        </w:rPr>
      </w:pPr>
    </w:p>
    <w:p>
      <w:pPr>
        <w:ind w:right="520"/>
        <w:spacing w:after="0" w:line="247" w:lineRule="auto"/>
        <w:rPr>
          <w:sz w:val="20"/>
          <w:szCs w:val="20"/>
          <w:color w:val="auto"/>
        </w:rPr>
      </w:pPr>
      <w:r>
        <w:rPr>
          <w:rFonts w:ascii="Arial" w:cs="Arial" w:eastAsia="Arial" w:hAnsi="Arial"/>
          <w:sz w:val="14"/>
          <w:szCs w:val="14"/>
          <w:color w:val="auto"/>
        </w:rPr>
        <w:t>In Malaysia, first oil was produced from the Shell-operated Gumusut-Kakap deep-water development (Shell interest 29%). Peak production of around 135 thousand barrels of oil equivalent per day (boe/d) is expected. Work on the gas injection facilities is continuing.</w:t>
      </w:r>
    </w:p>
    <w:p>
      <w:pPr>
        <w:spacing w:after="0" w:line="161" w:lineRule="exact"/>
        <w:rPr>
          <w:sz w:val="20"/>
          <w:szCs w:val="20"/>
          <w:color w:val="auto"/>
        </w:rPr>
      </w:pPr>
    </w:p>
    <w:p>
      <w:pPr>
        <w:ind w:right="840"/>
        <w:spacing w:after="0" w:line="250" w:lineRule="auto"/>
        <w:rPr>
          <w:sz w:val="20"/>
          <w:szCs w:val="20"/>
          <w:color w:val="auto"/>
        </w:rPr>
      </w:pPr>
      <w:r>
        <w:rPr>
          <w:rFonts w:ascii="Arial" w:cs="Arial" w:eastAsia="Arial" w:hAnsi="Arial"/>
          <w:sz w:val="14"/>
          <w:szCs w:val="14"/>
          <w:color w:val="auto"/>
        </w:rPr>
        <w:t>Also in Malaysia, the Siakap North-Petai development (Shell interest 21%) commenced production and is expected to deliver peak production of around 30 thousand boe/d.</w:t>
      </w:r>
    </w:p>
    <w:p>
      <w:pPr>
        <w:spacing w:after="0" w:line="159" w:lineRule="exact"/>
        <w:rPr>
          <w:sz w:val="20"/>
          <w:szCs w:val="20"/>
          <w:color w:val="auto"/>
        </w:rPr>
      </w:pPr>
    </w:p>
    <w:p>
      <w:pPr>
        <w:ind w:right="340"/>
        <w:spacing w:after="0" w:line="245" w:lineRule="auto"/>
        <w:rPr>
          <w:sz w:val="20"/>
          <w:szCs w:val="20"/>
          <w:color w:val="auto"/>
        </w:rPr>
      </w:pPr>
      <w:r>
        <w:rPr>
          <w:rFonts w:ascii="Arial" w:cs="Arial" w:eastAsia="Arial" w:hAnsi="Arial"/>
          <w:sz w:val="14"/>
          <w:szCs w:val="14"/>
          <w:color w:val="auto"/>
        </w:rPr>
        <w:t>In Nigeria, first oil was produced from the Shell-operated Bonga North West deep-water development (Shell interest 55%) which is expected to deliver peak production of around 40 thousand boe/d. Oil from the subsea facilities is transported by a new undersea pipeline to the existing Bonga floating production, storage and offloading (FPSO) export facility, which has been upgraded to handle the additional oil flow.</w:t>
      </w:r>
    </w:p>
    <w:p>
      <w:pPr>
        <w:spacing w:after="0" w:line="178" w:lineRule="exact"/>
        <w:rPr>
          <w:sz w:val="20"/>
          <w:szCs w:val="20"/>
          <w:color w:val="auto"/>
        </w:rPr>
      </w:pPr>
    </w:p>
    <w:p>
      <w:pPr>
        <w:ind w:right="320"/>
        <w:spacing w:after="0" w:line="247" w:lineRule="auto"/>
        <w:rPr>
          <w:sz w:val="20"/>
          <w:szCs w:val="20"/>
          <w:color w:val="auto"/>
        </w:rPr>
      </w:pPr>
      <w:r>
        <w:rPr>
          <w:rFonts w:ascii="Arial" w:cs="Arial" w:eastAsia="Arial" w:hAnsi="Arial"/>
          <w:sz w:val="14"/>
          <w:szCs w:val="14"/>
          <w:color w:val="auto"/>
        </w:rPr>
        <w:t>In the USA, there were two major start-ups in the deep-water Gulf of Mexico with first oil produced from the Mars B (Shell interest 71.5%) and Cardamom (Shell interest 100%) developments. Production from these developments is planned to ramp up to 80 thousand boe/d and 50 thousand boe/d respectively.</w:t>
      </w:r>
    </w:p>
    <w:p>
      <w:pPr>
        <w:spacing w:after="0" w:line="161" w:lineRule="exact"/>
        <w:rPr>
          <w:sz w:val="20"/>
          <w:szCs w:val="20"/>
          <w:color w:val="auto"/>
        </w:rPr>
      </w:pPr>
    </w:p>
    <w:p>
      <w:pPr>
        <w:ind w:right="240"/>
        <w:spacing w:after="0" w:line="245" w:lineRule="auto"/>
        <w:rPr>
          <w:sz w:val="20"/>
          <w:szCs w:val="20"/>
          <w:color w:val="auto"/>
        </w:rPr>
      </w:pPr>
      <w:r>
        <w:rPr>
          <w:rFonts w:ascii="Arial" w:cs="Arial" w:eastAsia="Arial" w:hAnsi="Arial"/>
          <w:sz w:val="14"/>
          <w:szCs w:val="14"/>
          <w:color w:val="auto"/>
        </w:rPr>
        <w:t>The acquisition of part of Repsol S.A.’s LNG portfolio was completed in January 2014, including LNG supply positions in Peru and Trinidad and Tobago, for a net cash purchase price of $3.8 billion, adding 7.2 million tonnes per annum (mtpa) of directly managed LNG volumes through long-term off-take agreements, including 4.2 mtpa of equity LNG plant capacity.</w:t>
      </w:r>
    </w:p>
    <w:p>
      <w:pPr>
        <w:spacing w:after="0" w:line="164" w:lineRule="exact"/>
        <w:rPr>
          <w:sz w:val="20"/>
          <w:szCs w:val="20"/>
          <w:color w:val="auto"/>
        </w:rPr>
      </w:pPr>
    </w:p>
    <w:p>
      <w:pPr>
        <w:spacing w:after="0"/>
        <w:rPr>
          <w:sz w:val="20"/>
          <w:szCs w:val="20"/>
          <w:color w:val="auto"/>
        </w:rPr>
      </w:pPr>
      <w:r>
        <w:rPr>
          <w:rFonts w:ascii="Arial" w:cs="Arial" w:eastAsia="Arial" w:hAnsi="Arial"/>
          <w:sz w:val="14"/>
          <w:szCs w:val="14"/>
          <w:color w:val="auto"/>
        </w:rPr>
        <w:t>We also took several final investment decisions during 2014, including the following:</w:t>
      </w:r>
    </w:p>
    <w:p>
      <w:pPr>
        <w:spacing w:after="0" w:line="190" w:lineRule="exact"/>
        <w:rPr>
          <w:sz w:val="20"/>
          <w:szCs w:val="20"/>
          <w:color w:val="auto"/>
        </w:rPr>
      </w:pPr>
    </w:p>
    <w:p>
      <w:pPr>
        <w:ind w:right="660"/>
        <w:spacing w:after="0" w:line="250" w:lineRule="auto"/>
        <w:rPr>
          <w:sz w:val="20"/>
          <w:szCs w:val="20"/>
          <w:color w:val="auto"/>
        </w:rPr>
      </w:pPr>
      <w:r>
        <w:rPr>
          <w:rFonts w:ascii="Arial" w:cs="Arial" w:eastAsia="Arial" w:hAnsi="Arial"/>
          <w:sz w:val="14"/>
          <w:szCs w:val="14"/>
          <w:color w:val="auto"/>
        </w:rPr>
        <w:t>In Brunei, the final investment decision was taken on the Maharaja Lela South development (Shell interest 35%). The development is expected to deliver peak production of 35 thousand boe/d.</w:t>
      </w:r>
    </w:p>
    <w:p>
      <w:pPr>
        <w:spacing w:after="0" w:line="159" w:lineRule="exact"/>
        <w:rPr>
          <w:sz w:val="20"/>
          <w:szCs w:val="20"/>
          <w:color w:val="auto"/>
        </w:rPr>
      </w:pPr>
    </w:p>
    <w:p>
      <w:pPr>
        <w:ind w:right="240"/>
        <w:spacing w:after="0" w:line="250" w:lineRule="auto"/>
        <w:rPr>
          <w:sz w:val="20"/>
          <w:szCs w:val="20"/>
          <w:color w:val="auto"/>
        </w:rPr>
      </w:pPr>
      <w:r>
        <w:rPr>
          <w:rFonts w:ascii="Arial" w:cs="Arial" w:eastAsia="Arial" w:hAnsi="Arial"/>
          <w:sz w:val="14"/>
          <w:szCs w:val="14"/>
          <w:color w:val="auto"/>
        </w:rPr>
        <w:t>In Nigeria, we took the final investment decision on the Bonga Main Phase 3 project (Shell interest 55%). The development is expected to deliver some 40 thousand boe/d at peak production through the existing Bonga FPSO.</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3240"/>
        <w:spacing w:after="0"/>
        <w:rPr>
          <w:sz w:val="20"/>
          <w:szCs w:val="20"/>
          <w:color w:val="auto"/>
        </w:rPr>
      </w:pPr>
      <w:r>
        <w:rPr>
          <w:rFonts w:ascii="Arial" w:cs="Arial" w:eastAsia="Arial" w:hAnsi="Arial"/>
          <w:sz w:val="10"/>
          <w:szCs w:val="10"/>
          <w:color w:val="auto"/>
        </w:rPr>
        <w:t>SHELL ANNUAL REPORT AND FORM 20-F 2014</w:t>
      </w:r>
    </w:p>
    <w:p>
      <w:pPr>
        <w:spacing w:after="0" w:line="69" w:lineRule="exact"/>
        <w:rPr>
          <w:sz w:val="20"/>
          <w:szCs w:val="20"/>
          <w:color w:val="auto"/>
        </w:rPr>
      </w:pPr>
    </w:p>
    <w:p>
      <w:pPr>
        <w:ind w:right="180"/>
        <w:spacing w:after="0" w:line="247" w:lineRule="auto"/>
        <w:rPr>
          <w:sz w:val="20"/>
          <w:szCs w:val="20"/>
          <w:color w:val="auto"/>
        </w:rPr>
      </w:pPr>
      <w:r>
        <w:rPr>
          <w:rFonts w:ascii="Arial" w:cs="Arial" w:eastAsia="Arial" w:hAnsi="Arial"/>
          <w:sz w:val="14"/>
          <w:szCs w:val="14"/>
          <w:color w:val="auto"/>
        </w:rPr>
        <w:t>In the USA, we took the final investment decision on the Coulomb Phase 2 project (Shell interest 100%) in the Gulf of Mexico. The development is a subsea tie-back into the Na Kika semi-submersible storage platform and is expected to deliver some 20 thousand boe/d at peak production.</w:t>
      </w:r>
    </w:p>
    <w:p>
      <w:pPr>
        <w:spacing w:after="0" w:line="175" w:lineRule="exact"/>
        <w:rPr>
          <w:sz w:val="20"/>
          <w:szCs w:val="20"/>
          <w:color w:val="auto"/>
        </w:rPr>
      </w:pPr>
    </w:p>
    <w:p>
      <w:pPr>
        <w:spacing w:after="0"/>
        <w:rPr>
          <w:sz w:val="20"/>
          <w:szCs w:val="20"/>
          <w:color w:val="auto"/>
        </w:rPr>
      </w:pPr>
      <w:r>
        <w:rPr>
          <w:rFonts w:ascii="Arial" w:cs="Arial" w:eastAsia="Arial" w:hAnsi="Arial"/>
          <w:sz w:val="14"/>
          <w:szCs w:val="14"/>
          <w:color w:val="auto"/>
        </w:rPr>
        <w:t>We continued to divest selected Upstream assets during 2014, including the following:</w:t>
      </w:r>
    </w:p>
    <w:p>
      <w:pPr>
        <w:spacing w:after="0" w:line="177" w:lineRule="exact"/>
        <w:rPr>
          <w:sz w:val="20"/>
          <w:szCs w:val="20"/>
          <w:color w:val="auto"/>
        </w:rPr>
      </w:pPr>
    </w:p>
    <w:p>
      <w:pPr>
        <w:ind w:right="180"/>
        <w:spacing w:after="0" w:line="258" w:lineRule="auto"/>
        <w:rPr>
          <w:sz w:val="20"/>
          <w:szCs w:val="20"/>
          <w:color w:val="auto"/>
        </w:rPr>
      </w:pPr>
      <w:r>
        <w:rPr>
          <w:rFonts w:ascii="Arial" w:cs="Arial" w:eastAsia="Arial" w:hAnsi="Arial"/>
          <w:sz w:val="14"/>
          <w:szCs w:val="14"/>
          <w:color w:val="auto"/>
        </w:rPr>
        <w:t>In Australia, we sold 78.27 million shares in Woodside for $3.0 billion, reducing Shell’s interest from 23% to 14%.</w:t>
      </w:r>
    </w:p>
    <w:p>
      <w:pPr>
        <w:spacing w:after="0" w:line="154" w:lineRule="exact"/>
        <w:rPr>
          <w:sz w:val="20"/>
          <w:szCs w:val="20"/>
          <w:color w:val="auto"/>
        </w:rPr>
      </w:pPr>
    </w:p>
    <w:p>
      <w:pPr>
        <w:jc w:val="both"/>
        <w:ind w:right="400"/>
        <w:spacing w:after="0" w:line="250" w:lineRule="auto"/>
        <w:rPr>
          <w:sz w:val="20"/>
          <w:szCs w:val="20"/>
          <w:color w:val="auto"/>
        </w:rPr>
      </w:pPr>
      <w:r>
        <w:rPr>
          <w:rFonts w:ascii="Arial" w:cs="Arial" w:eastAsia="Arial" w:hAnsi="Arial"/>
          <w:sz w:val="14"/>
          <w:szCs w:val="14"/>
          <w:color w:val="auto"/>
        </w:rPr>
        <w:t>Also in Australia, we sold our 8% interest in the Wheatstone-lago joint venture and our 6.4% interest in the Wheatstone LNG project, which is under development, for $1.5 billion.</w:t>
      </w:r>
    </w:p>
    <w:p>
      <w:pPr>
        <w:spacing w:after="0" w:line="172" w:lineRule="exact"/>
        <w:rPr>
          <w:sz w:val="20"/>
          <w:szCs w:val="20"/>
          <w:color w:val="auto"/>
        </w:rPr>
      </w:pPr>
    </w:p>
    <w:p>
      <w:pPr>
        <w:ind w:right="380"/>
        <w:spacing w:after="0" w:line="258" w:lineRule="auto"/>
        <w:rPr>
          <w:sz w:val="20"/>
          <w:szCs w:val="20"/>
          <w:color w:val="auto"/>
        </w:rPr>
      </w:pPr>
      <w:r>
        <w:rPr>
          <w:rFonts w:ascii="Arial" w:cs="Arial" w:eastAsia="Arial" w:hAnsi="Arial"/>
          <w:sz w:val="14"/>
          <w:szCs w:val="14"/>
          <w:color w:val="auto"/>
        </w:rPr>
        <w:t>In Brazil, we sold a 23% interest in the Shell-operated deep-water project BC-10 to Qatar Petroleum International for $1.2 billion, including closing adjustment.</w:t>
      </w:r>
    </w:p>
    <w:p>
      <w:pPr>
        <w:spacing w:after="0" w:line="154" w:lineRule="exact"/>
        <w:rPr>
          <w:sz w:val="20"/>
          <w:szCs w:val="20"/>
          <w:color w:val="auto"/>
        </w:rPr>
      </w:pPr>
    </w:p>
    <w:p>
      <w:pPr>
        <w:ind w:right="240"/>
        <w:spacing w:after="0" w:line="258" w:lineRule="auto"/>
        <w:rPr>
          <w:sz w:val="20"/>
          <w:szCs w:val="20"/>
          <w:color w:val="auto"/>
        </w:rPr>
      </w:pPr>
      <w:r>
        <w:rPr>
          <w:rFonts w:ascii="Arial" w:cs="Arial" w:eastAsia="Arial" w:hAnsi="Arial"/>
          <w:sz w:val="14"/>
          <w:szCs w:val="14"/>
          <w:color w:val="auto"/>
        </w:rPr>
        <w:t>Also in Brazil, we sold our non-operated 20% interest in the BM-ES-23 concession in the Espirito Santos basin offshore for $0.2 billion.</w:t>
      </w:r>
    </w:p>
    <w:p>
      <w:pPr>
        <w:spacing w:after="0" w:line="154" w:lineRule="exact"/>
        <w:rPr>
          <w:sz w:val="20"/>
          <w:szCs w:val="20"/>
          <w:color w:val="auto"/>
        </w:rPr>
      </w:pPr>
    </w:p>
    <w:p>
      <w:pPr>
        <w:ind w:right="400"/>
        <w:spacing w:after="0" w:line="258" w:lineRule="auto"/>
        <w:rPr>
          <w:sz w:val="20"/>
          <w:szCs w:val="20"/>
          <w:color w:val="auto"/>
        </w:rPr>
      </w:pPr>
      <w:r>
        <w:rPr>
          <w:rFonts w:ascii="Arial" w:cs="Arial" w:eastAsia="Arial" w:hAnsi="Arial"/>
          <w:sz w:val="14"/>
          <w:szCs w:val="14"/>
          <w:color w:val="auto"/>
        </w:rPr>
        <w:t>In Canada, we sold our 100% interest in the Orion steam assisted gravity drainage project for $0.3 billion.</w:t>
      </w:r>
    </w:p>
    <w:p>
      <w:pPr>
        <w:spacing w:after="0" w:line="167" w:lineRule="exact"/>
        <w:rPr>
          <w:sz w:val="20"/>
          <w:szCs w:val="20"/>
          <w:color w:val="auto"/>
        </w:rPr>
      </w:pPr>
    </w:p>
    <w:p>
      <w:pPr>
        <w:ind w:right="260"/>
        <w:spacing w:after="0" w:line="258" w:lineRule="auto"/>
        <w:rPr>
          <w:sz w:val="20"/>
          <w:szCs w:val="20"/>
          <w:color w:val="auto"/>
        </w:rPr>
      </w:pPr>
      <w:r>
        <w:rPr>
          <w:rFonts w:ascii="Arial" w:cs="Arial" w:eastAsia="Arial" w:hAnsi="Arial"/>
          <w:sz w:val="14"/>
          <w:szCs w:val="14"/>
          <w:color w:val="auto"/>
        </w:rPr>
        <w:t>In Nigeria, we sold our 30% interest in OML 24 and related onshore facilities for $0.6 billion.</w:t>
      </w:r>
    </w:p>
    <w:p>
      <w:pPr>
        <w:spacing w:after="0" w:line="154" w:lineRule="exact"/>
        <w:rPr>
          <w:sz w:val="20"/>
          <w:szCs w:val="20"/>
          <w:color w:val="auto"/>
        </w:rPr>
      </w:pPr>
    </w:p>
    <w:p>
      <w:pPr>
        <w:jc w:val="both"/>
        <w:ind w:right="220"/>
        <w:spacing w:after="0" w:line="250" w:lineRule="auto"/>
        <w:rPr>
          <w:sz w:val="20"/>
          <w:szCs w:val="20"/>
          <w:color w:val="auto"/>
        </w:rPr>
      </w:pPr>
      <w:r>
        <w:rPr>
          <w:rFonts w:ascii="Arial" w:cs="Arial" w:eastAsia="Arial" w:hAnsi="Arial"/>
          <w:sz w:val="14"/>
          <w:szCs w:val="14"/>
          <w:color w:val="auto"/>
        </w:rPr>
        <w:t>In Upstream Americas tight-gas and liquids-rich shale, we completed a review of our portfolio and strategy. Major divestments of non-core positions are now complete and in 2014 included our interests in:</w:t>
      </w:r>
    </w:p>
    <w:p>
      <w:pPr>
        <w:spacing w:after="0" w:line="199" w:lineRule="exact"/>
        <w:rPr>
          <w:sz w:val="20"/>
          <w:szCs w:val="20"/>
          <w:color w:val="auto"/>
        </w:rPr>
      </w:pPr>
    </w:p>
    <w:p>
      <w:pPr>
        <w:ind w:left="160" w:right="380" w:hanging="160"/>
        <w:spacing w:after="0" w:line="182" w:lineRule="auto"/>
        <w:tabs>
          <w:tab w:leader="none" w:pos="160" w:val="left"/>
        </w:tabs>
        <w:numPr>
          <w:ilvl w:val="0"/>
          <w:numId w:val="26"/>
        </w:numPr>
        <w:rPr>
          <w:rFonts w:ascii="Arial" w:cs="Arial" w:eastAsia="Arial" w:hAnsi="Arial"/>
          <w:sz w:val="23"/>
          <w:szCs w:val="23"/>
          <w:color w:val="auto"/>
          <w:vertAlign w:val="superscript"/>
        </w:rPr>
      </w:pPr>
      <w:r>
        <w:rPr>
          <w:rFonts w:ascii="Arial" w:cs="Arial" w:eastAsia="Arial" w:hAnsi="Arial"/>
          <w:sz w:val="14"/>
          <w:szCs w:val="14"/>
          <w:color w:val="auto"/>
        </w:rPr>
        <w:t>the Haynesville tight-gas shale asset in Louisiana, USA, for $1.1 billion including closing adjustments;</w:t>
      </w:r>
    </w:p>
    <w:p>
      <w:pPr>
        <w:spacing w:after="0" w:line="1" w:lineRule="exact"/>
        <w:rPr>
          <w:rFonts w:ascii="Arial" w:cs="Arial" w:eastAsia="Arial" w:hAnsi="Arial"/>
          <w:sz w:val="23"/>
          <w:szCs w:val="23"/>
          <w:color w:val="auto"/>
          <w:vertAlign w:val="superscript"/>
        </w:rPr>
      </w:pPr>
    </w:p>
    <w:p>
      <w:pPr>
        <w:ind w:left="160" w:right="300" w:hanging="160"/>
        <w:spacing w:after="0" w:line="204" w:lineRule="auto"/>
        <w:tabs>
          <w:tab w:leader="none" w:pos="160" w:val="left"/>
        </w:tabs>
        <w:numPr>
          <w:ilvl w:val="0"/>
          <w:numId w:val="26"/>
        </w:numPr>
        <w:rPr>
          <w:rFonts w:ascii="Arial" w:cs="Arial" w:eastAsia="Arial" w:hAnsi="Arial"/>
          <w:sz w:val="24"/>
          <w:szCs w:val="24"/>
          <w:color w:val="auto"/>
          <w:vertAlign w:val="superscript"/>
        </w:rPr>
      </w:pPr>
      <w:r>
        <w:rPr>
          <w:rFonts w:ascii="Arial" w:cs="Arial" w:eastAsia="Arial" w:hAnsi="Arial"/>
          <w:sz w:val="14"/>
          <w:szCs w:val="14"/>
          <w:color w:val="auto"/>
        </w:rPr>
        <w:t>the Pinedale tight-gas shale asset in Wyoming, USA, for $0.9 billion including closing adjustments and 155 thousand net acres in the Marcellus and Utica shale areas in Pennsylvania, USA. We now hold a 100% interest in the Tioga Area of Mutual Interest;</w:t>
      </w:r>
    </w:p>
    <w:p>
      <w:pPr>
        <w:spacing w:after="0" w:line="3" w:lineRule="exact"/>
        <w:rPr>
          <w:rFonts w:ascii="Arial" w:cs="Arial" w:eastAsia="Arial" w:hAnsi="Arial"/>
          <w:sz w:val="24"/>
          <w:szCs w:val="24"/>
          <w:color w:val="auto"/>
          <w:vertAlign w:val="superscript"/>
        </w:rPr>
      </w:pPr>
    </w:p>
    <w:p>
      <w:pPr>
        <w:ind w:left="160" w:right="600" w:hanging="160"/>
        <w:spacing w:after="0" w:line="182" w:lineRule="auto"/>
        <w:tabs>
          <w:tab w:leader="none" w:pos="160" w:val="left"/>
        </w:tabs>
        <w:numPr>
          <w:ilvl w:val="0"/>
          <w:numId w:val="26"/>
        </w:numPr>
        <w:rPr>
          <w:rFonts w:ascii="Arial" w:cs="Arial" w:eastAsia="Arial" w:hAnsi="Arial"/>
          <w:sz w:val="23"/>
          <w:szCs w:val="23"/>
          <w:color w:val="auto"/>
          <w:vertAlign w:val="superscript"/>
        </w:rPr>
      </w:pPr>
      <w:r>
        <w:rPr>
          <w:rFonts w:ascii="Arial" w:cs="Arial" w:eastAsia="Arial" w:hAnsi="Arial"/>
          <w:sz w:val="14"/>
          <w:szCs w:val="14"/>
          <w:color w:val="auto"/>
        </w:rPr>
        <w:t>approximately 106,000 net acres of the Eagle Ford liquids-rich shale asset in Texas, USA, for $0.5 billion including closing adjustments;</w:t>
      </w:r>
    </w:p>
    <w:p>
      <w:pPr>
        <w:spacing w:after="0" w:line="1" w:lineRule="exact"/>
        <w:rPr>
          <w:rFonts w:ascii="Arial" w:cs="Arial" w:eastAsia="Arial" w:hAnsi="Arial"/>
          <w:sz w:val="23"/>
          <w:szCs w:val="23"/>
          <w:color w:val="auto"/>
          <w:vertAlign w:val="superscript"/>
        </w:rPr>
      </w:pPr>
    </w:p>
    <w:p>
      <w:pPr>
        <w:ind w:left="160" w:hanging="160"/>
        <w:spacing w:after="0" w:line="187" w:lineRule="auto"/>
        <w:tabs>
          <w:tab w:leader="none" w:pos="160" w:val="left"/>
        </w:tabs>
        <w:numPr>
          <w:ilvl w:val="0"/>
          <w:numId w:val="26"/>
        </w:numPr>
        <w:rPr>
          <w:rFonts w:ascii="Arial" w:cs="Arial" w:eastAsia="Arial" w:hAnsi="Arial"/>
          <w:sz w:val="18"/>
          <w:szCs w:val="18"/>
          <w:color w:val="auto"/>
          <w:vertAlign w:val="superscript"/>
        </w:rPr>
      </w:pPr>
      <w:r>
        <w:rPr>
          <w:rFonts w:ascii="Arial" w:cs="Arial" w:eastAsia="Arial" w:hAnsi="Arial"/>
          <w:sz w:val="11"/>
          <w:szCs w:val="11"/>
          <w:color w:val="auto"/>
        </w:rPr>
        <w:t>the Mississippi Lime acreage in Kansas, USA, for $0.1 billion; and</w:t>
      </w:r>
    </w:p>
    <w:p>
      <w:pPr>
        <w:ind w:left="160" w:hanging="160"/>
        <w:spacing w:after="0" w:line="189" w:lineRule="auto"/>
        <w:tabs>
          <w:tab w:leader="none" w:pos="160" w:val="left"/>
        </w:tabs>
        <w:numPr>
          <w:ilvl w:val="0"/>
          <w:numId w:val="26"/>
        </w:numPr>
        <w:rPr>
          <w:rFonts w:ascii="Arial" w:cs="Arial" w:eastAsia="Arial" w:hAnsi="Arial"/>
          <w:sz w:val="19"/>
          <w:szCs w:val="19"/>
          <w:color w:val="auto"/>
          <w:vertAlign w:val="superscript"/>
        </w:rPr>
      </w:pPr>
      <w:r>
        <w:rPr>
          <w:rFonts w:ascii="Arial" w:cs="Arial" w:eastAsia="Arial" w:hAnsi="Arial"/>
          <w:sz w:val="12"/>
          <w:szCs w:val="12"/>
          <w:color w:val="auto"/>
        </w:rPr>
        <w:t>additional assets for a total of $0.5 billion.</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color w:val="auto"/>
        </w:rPr>
        <w:t>AVAILABLE-FOR-SALE PRODUCTION</w:t>
      </w:r>
    </w:p>
    <w:p>
      <w:pPr>
        <w:spacing w:after="0" w:line="1" w:lineRule="exact"/>
        <w:rPr>
          <w:sz w:val="20"/>
          <w:szCs w:val="20"/>
          <w:color w:val="auto"/>
        </w:rPr>
      </w:pPr>
    </w:p>
    <w:p>
      <w:pPr>
        <w:ind w:right="280"/>
        <w:spacing w:after="0" w:line="250" w:lineRule="auto"/>
        <w:rPr>
          <w:sz w:val="20"/>
          <w:szCs w:val="20"/>
          <w:color w:val="auto"/>
        </w:rPr>
      </w:pPr>
      <w:r>
        <w:rPr>
          <w:rFonts w:ascii="Arial" w:cs="Arial" w:eastAsia="Arial" w:hAnsi="Arial"/>
          <w:sz w:val="14"/>
          <w:szCs w:val="14"/>
          <w:color w:val="auto"/>
        </w:rPr>
        <w:t>In 2014, production was 3,080 thousand boe/d compared with 3,199 thousand boe/d in 2013. Liquids and natural gas production both decreased by 4% compared with 2013.</w:t>
      </w:r>
    </w:p>
    <w:p>
      <w:pPr>
        <w:spacing w:after="0" w:line="172" w:lineRule="exact"/>
        <w:rPr>
          <w:sz w:val="20"/>
          <w:szCs w:val="20"/>
          <w:color w:val="auto"/>
        </w:rPr>
      </w:pPr>
    </w:p>
    <w:p>
      <w:pPr>
        <w:ind w:right="240"/>
        <w:spacing w:after="0" w:line="250" w:lineRule="auto"/>
        <w:rPr>
          <w:sz w:val="20"/>
          <w:szCs w:val="20"/>
          <w:color w:val="auto"/>
        </w:rPr>
      </w:pPr>
      <w:r>
        <w:rPr>
          <w:rFonts w:ascii="Arial" w:cs="Arial" w:eastAsia="Arial" w:hAnsi="Arial"/>
          <w:sz w:val="14"/>
          <w:szCs w:val="14"/>
          <w:color w:val="auto"/>
        </w:rPr>
        <w:t>Production was reduced by 10% as a result of the ADCO licence expiry in Abu Dhabi in January 2014, field declines and the divestment of a number of assets (mainly shale assets in the Americas and the reduction in our shareholding in Woodside).</w:t>
      </w:r>
    </w:p>
    <w:p>
      <w:pPr>
        <w:spacing w:after="0" w:line="159" w:lineRule="exact"/>
        <w:rPr>
          <w:sz w:val="20"/>
          <w:szCs w:val="20"/>
          <w:color w:val="auto"/>
        </w:rPr>
      </w:pPr>
    </w:p>
    <w:p>
      <w:pPr>
        <w:ind w:right="280"/>
        <w:spacing w:after="0" w:line="247" w:lineRule="auto"/>
        <w:rPr>
          <w:sz w:val="20"/>
          <w:szCs w:val="20"/>
          <w:color w:val="auto"/>
        </w:rPr>
      </w:pPr>
      <w:r>
        <w:rPr>
          <w:rFonts w:ascii="Arial" w:cs="Arial" w:eastAsia="Arial" w:hAnsi="Arial"/>
          <w:sz w:val="14"/>
          <w:szCs w:val="14"/>
          <w:color w:val="auto"/>
        </w:rPr>
        <w:t>This reduction was partly offset by new field start-ups and the continuing ramp-up of existing projects, in particular Majnoon in Iraq and Mars B and BC-10 Phase 2 in the Americas, which contributed some 130 thousand boe/d to production in 2014. Improved operational performance in 2014 provided further offset.</w:t>
      </w:r>
    </w:p>
    <w:p>
      <w:pPr>
        <w:sectPr>
          <w:pgSz w:w="11900" w:h="16838" w:orient="portrait"/>
          <w:cols w:equalWidth="0" w:num="2">
            <w:col w:w="5720" w:space="60"/>
            <w:col w:w="5640"/>
          </w:cols>
          <w:pgMar w:left="240" w:top="459" w:right="239" w:bottom="1440" w:gutter="0" w:footer="0" w:header="0"/>
          <w:type w:val="continuous"/>
        </w:sectPr>
      </w:pPr>
    </w:p>
    <w:bookmarkStart w:id="26" w:name="page27"/>
    <w:bookmarkEnd w:id="26"/>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3555365</wp:posOffset>
            </wp:positionH>
            <wp:positionV relativeFrom="paragraph">
              <wp:posOffset>314960</wp:posOffset>
            </wp:positionV>
            <wp:extent cx="3696335" cy="46291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3696335" cy="462915"/>
                    </a:xfrm>
                    <a:prstGeom prst="rect">
                      <a:avLst/>
                    </a:prstGeom>
                    <a:noFill/>
                  </pic:spPr>
                </pic:pic>
              </a:graphicData>
            </a:graphic>
          </wp:anchor>
        </w:drawing>
      </w:r>
    </w:p>
    <w:p>
      <w:pPr>
        <w:sectPr>
          <w:pgSz w:w="11900" w:h="16838" w:orient="portrait"/>
          <w:cols w:equalWidth="0" w:num="1">
            <w:col w:w="11260"/>
          </w:cols>
          <w:pgMar w:left="240" w:top="459" w:right="3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11"/>
          <w:szCs w:val="11"/>
          <w:color w:val="auto"/>
        </w:rPr>
        <w:t>SHELL ANNUAL REPORT AND FORM 20-F 2014</w:t>
      </w:r>
    </w:p>
    <w:p>
      <w:pPr>
        <w:spacing w:after="0" w:line="51" w:lineRule="exact"/>
        <w:rPr>
          <w:sz w:val="20"/>
          <w:szCs w:val="20"/>
          <w:color w:val="auto"/>
        </w:rPr>
      </w:pPr>
    </w:p>
    <w:p>
      <w:pPr>
        <w:spacing w:after="0"/>
        <w:rPr>
          <w:sz w:val="20"/>
          <w:szCs w:val="20"/>
          <w:color w:val="auto"/>
        </w:rPr>
      </w:pPr>
      <w:r>
        <w:rPr>
          <w:rFonts w:ascii="Arial" w:cs="Arial" w:eastAsia="Arial" w:hAnsi="Arial"/>
          <w:sz w:val="18"/>
          <w:szCs w:val="18"/>
          <w:color w:val="auto"/>
        </w:rPr>
        <w:t>PROVED RESERVES</w:t>
      </w:r>
    </w:p>
    <w:p>
      <w:pPr>
        <w:spacing w:after="0" w:line="1" w:lineRule="exact"/>
        <w:rPr>
          <w:sz w:val="20"/>
          <w:szCs w:val="20"/>
          <w:color w:val="auto"/>
        </w:rPr>
      </w:pPr>
    </w:p>
    <w:p>
      <w:pPr>
        <w:ind w:right="40"/>
        <w:spacing w:after="0" w:line="250" w:lineRule="auto"/>
        <w:rPr>
          <w:sz w:val="20"/>
          <w:szCs w:val="20"/>
          <w:color w:val="auto"/>
        </w:rPr>
      </w:pPr>
      <w:r>
        <w:rPr>
          <w:rFonts w:ascii="Arial" w:cs="Arial" w:eastAsia="Arial" w:hAnsi="Arial"/>
          <w:sz w:val="14"/>
          <w:szCs w:val="14"/>
          <w:color w:val="auto"/>
        </w:rPr>
        <w:t>Shell subsidiaries’ and the Shell share of joint ventures and associates’ estimated net proved oil and gas reserves are summarised later in this Upstream section and set out in more detail in “Supplementary information – oil and gas (unaudited)”.</w:t>
      </w:r>
    </w:p>
    <w:p>
      <w:pPr>
        <w:spacing w:after="0" w:line="172" w:lineRule="exact"/>
        <w:rPr>
          <w:sz w:val="20"/>
          <w:szCs w:val="20"/>
          <w:color w:val="auto"/>
        </w:rPr>
      </w:pPr>
    </w:p>
    <w:p>
      <w:pPr>
        <w:ind w:right="60"/>
        <w:spacing w:after="0" w:line="250" w:lineRule="auto"/>
        <w:rPr>
          <w:sz w:val="20"/>
          <w:szCs w:val="20"/>
          <w:color w:val="auto"/>
        </w:rPr>
      </w:pPr>
      <w:r>
        <w:rPr>
          <w:rFonts w:ascii="Arial" w:cs="Arial" w:eastAsia="Arial" w:hAnsi="Arial"/>
          <w:sz w:val="14"/>
          <w:szCs w:val="14"/>
          <w:color w:val="auto"/>
        </w:rPr>
        <w:t>In 2014, Shell added 301 million boe of proved reserves before taking production into account, of which 271 million boe came from Shell subsidiaries and 30 million boe from the Shell share of joint ventures and associates.</w:t>
      </w:r>
    </w:p>
    <w:p>
      <w:pPr>
        <w:spacing w:after="0" w:line="159" w:lineRule="exact"/>
        <w:rPr>
          <w:sz w:val="20"/>
          <w:szCs w:val="20"/>
          <w:color w:val="auto"/>
        </w:rPr>
      </w:pPr>
    </w:p>
    <w:p>
      <w:pPr>
        <w:ind w:right="40"/>
        <w:spacing w:after="0" w:line="258" w:lineRule="auto"/>
        <w:rPr>
          <w:sz w:val="20"/>
          <w:szCs w:val="20"/>
          <w:color w:val="auto"/>
        </w:rPr>
      </w:pPr>
      <w:r>
        <w:rPr>
          <w:rFonts w:ascii="Arial" w:cs="Arial" w:eastAsia="Arial" w:hAnsi="Arial"/>
          <w:sz w:val="14"/>
          <w:szCs w:val="14"/>
          <w:color w:val="auto"/>
        </w:rPr>
        <w:t>The change in the yearly average commodity prices between 2013 and 2014 resulted in a net positive impact on the proved reserves of 44 million boe.</w:t>
      </w:r>
    </w:p>
    <w:p>
      <w:pPr>
        <w:spacing w:after="0" w:line="154" w:lineRule="exact"/>
        <w:rPr>
          <w:sz w:val="20"/>
          <w:szCs w:val="20"/>
          <w:color w:val="auto"/>
        </w:rPr>
      </w:pPr>
    </w:p>
    <w:p>
      <w:pPr>
        <w:ind w:right="240"/>
        <w:spacing w:after="0" w:line="258" w:lineRule="auto"/>
        <w:rPr>
          <w:sz w:val="20"/>
          <w:szCs w:val="20"/>
          <w:color w:val="auto"/>
        </w:rPr>
      </w:pPr>
      <w:r>
        <w:rPr>
          <w:rFonts w:ascii="Arial" w:cs="Arial" w:eastAsia="Arial" w:hAnsi="Arial"/>
          <w:sz w:val="14"/>
          <w:szCs w:val="14"/>
          <w:color w:val="auto"/>
        </w:rPr>
        <w:t>In 2014, after taking into account production, our total proved reserves declined by 863 million boe.</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auto"/>
        </w:rPr>
        <w:t>Shell subsidiaries</w:t>
      </w:r>
    </w:p>
    <w:p>
      <w:pPr>
        <w:spacing w:after="0" w:line="1" w:lineRule="exact"/>
        <w:rPr>
          <w:sz w:val="20"/>
          <w:szCs w:val="20"/>
          <w:color w:val="auto"/>
        </w:rPr>
      </w:pPr>
    </w:p>
    <w:p>
      <w:pPr>
        <w:ind w:right="220"/>
        <w:spacing w:after="0" w:line="244" w:lineRule="auto"/>
        <w:rPr>
          <w:sz w:val="20"/>
          <w:szCs w:val="20"/>
          <w:color w:val="auto"/>
        </w:rPr>
      </w:pPr>
      <w:r>
        <w:rPr>
          <w:rFonts w:ascii="Arial" w:cs="Arial" w:eastAsia="Arial" w:hAnsi="Arial"/>
          <w:sz w:val="14"/>
          <w:szCs w:val="14"/>
          <w:color w:val="auto"/>
        </w:rPr>
        <w:t>Before taking production into account, Shell subsidiaries added 271 million boe of proved reserves in 2014. This comprised 42 million barrels of oil and natural gas liquids and 229 million boe (1,329 thousand million scf) of natural gas. Of the 271 million boe: 276 million boe were from the net effects of revisions and reclassifications; 9 million boe were from improved recovery; 191 million boe came from extensions and discoveries; and a net decrease of 205 million boe related to purchases and sales.</w:t>
      </w:r>
    </w:p>
    <w:p>
      <w:pPr>
        <w:spacing w:after="0" w:line="164" w:lineRule="exact"/>
        <w:rPr>
          <w:sz w:val="20"/>
          <w:szCs w:val="20"/>
          <w:color w:val="auto"/>
        </w:rPr>
      </w:pPr>
    </w:p>
    <w:p>
      <w:pPr>
        <w:ind w:right="160"/>
        <w:spacing w:after="0" w:line="250" w:lineRule="auto"/>
        <w:rPr>
          <w:sz w:val="20"/>
          <w:szCs w:val="20"/>
          <w:color w:val="auto"/>
        </w:rPr>
      </w:pPr>
      <w:r>
        <w:rPr>
          <w:rFonts w:ascii="Arial" w:cs="Arial" w:eastAsia="Arial" w:hAnsi="Arial"/>
          <w:sz w:val="14"/>
          <w:szCs w:val="14"/>
          <w:color w:val="auto"/>
        </w:rPr>
        <w:t>After taking into account production of 925 million boe (of which 30 million boe were consumed in operations), Shell subsidiaries’ proved reserves decreased by 654 million boe in 2014.</w:t>
      </w:r>
    </w:p>
    <w:p>
      <w:pPr>
        <w:spacing w:after="0" w:line="159" w:lineRule="exact"/>
        <w:rPr>
          <w:sz w:val="20"/>
          <w:szCs w:val="20"/>
          <w:color w:val="auto"/>
        </w:rPr>
      </w:pPr>
    </w:p>
    <w:p>
      <w:pPr>
        <w:ind w:right="160"/>
        <w:spacing w:after="0" w:line="250" w:lineRule="auto"/>
        <w:rPr>
          <w:sz w:val="20"/>
          <w:szCs w:val="20"/>
          <w:color w:val="auto"/>
        </w:rPr>
      </w:pPr>
      <w:r>
        <w:rPr>
          <w:rFonts w:ascii="Arial" w:cs="Arial" w:eastAsia="Arial" w:hAnsi="Arial"/>
          <w:sz w:val="14"/>
          <w:szCs w:val="14"/>
          <w:color w:val="auto"/>
        </w:rPr>
        <w:t>Shell subsidiaries’ proved developed reserves decreased by 12 million boe to 6,777 million boe, while proved undeveloped reserves decreased by 642 million boe to 3,404 million boe.</w:t>
      </w:r>
    </w:p>
    <w:p>
      <w:pPr>
        <w:spacing w:after="0" w:line="172" w:lineRule="exact"/>
        <w:rPr>
          <w:sz w:val="20"/>
          <w:szCs w:val="20"/>
          <w:color w:val="auto"/>
        </w:rPr>
      </w:pPr>
    </w:p>
    <w:p>
      <w:pPr>
        <w:ind w:right="100"/>
        <w:spacing w:after="0" w:line="250" w:lineRule="auto"/>
        <w:rPr>
          <w:sz w:val="20"/>
          <w:szCs w:val="20"/>
          <w:color w:val="auto"/>
        </w:rPr>
      </w:pPr>
      <w:r>
        <w:rPr>
          <w:rFonts w:ascii="Arial" w:cs="Arial" w:eastAsia="Arial" w:hAnsi="Arial"/>
          <w:sz w:val="14"/>
          <w:szCs w:val="14"/>
          <w:color w:val="auto"/>
        </w:rPr>
        <w:t>The total addition of 271 million boe before taking production into account included a net positive impact from commodity price changes of 43 million boe of proved reserves.</w:t>
      </w:r>
    </w:p>
    <w:p>
      <w:pPr>
        <w:spacing w:after="0" w:line="144" w:lineRule="exact"/>
        <w:rPr>
          <w:sz w:val="20"/>
          <w:szCs w:val="20"/>
          <w:color w:val="auto"/>
        </w:rPr>
      </w:pPr>
    </w:p>
    <w:p>
      <w:pPr>
        <w:spacing w:after="0"/>
        <w:rPr>
          <w:sz w:val="20"/>
          <w:szCs w:val="20"/>
          <w:color w:val="auto"/>
        </w:rPr>
      </w:pPr>
      <w:r>
        <w:rPr>
          <w:rFonts w:ascii="Arial" w:cs="Arial" w:eastAsia="Arial" w:hAnsi="Arial"/>
          <w:sz w:val="13"/>
          <w:szCs w:val="13"/>
          <w:color w:val="auto"/>
        </w:rPr>
        <w:t>SYNTHETIC CRUDE OIL</w:t>
      </w:r>
    </w:p>
    <w:p>
      <w:pPr>
        <w:ind w:right="60"/>
        <w:spacing w:after="0" w:line="245" w:lineRule="auto"/>
        <w:rPr>
          <w:sz w:val="20"/>
          <w:szCs w:val="20"/>
          <w:color w:val="auto"/>
        </w:rPr>
      </w:pPr>
      <w:r>
        <w:rPr>
          <w:rFonts w:ascii="Arial" w:cs="Arial" w:eastAsia="Arial" w:hAnsi="Arial"/>
          <w:sz w:val="14"/>
          <w:szCs w:val="14"/>
          <w:color w:val="auto"/>
        </w:rPr>
        <w:t>Of the 301 million boe added to proved reserves, 81 million barrels were synthetic crude oil. In 2014, we had synthetic crude oil production of 49 million barrels of which 2 million barrels were consumed in operations. At December 31, 2014, we had synthetic crude oil proved reserves of 1,763 million barrels, of which 1,273 million barrels were proved developed reserves and 490 million barrels were proved undeveloped reserves.</w:t>
      </w:r>
    </w:p>
    <w:p>
      <w:pPr>
        <w:spacing w:after="0" w:line="312" w:lineRule="exact"/>
        <w:rPr>
          <w:sz w:val="20"/>
          <w:szCs w:val="20"/>
          <w:color w:val="auto"/>
        </w:rPr>
      </w:pPr>
    </w:p>
    <w:p>
      <w:pPr>
        <w:spacing w:after="0"/>
        <w:rPr>
          <w:sz w:val="20"/>
          <w:szCs w:val="20"/>
          <w:color w:val="auto"/>
        </w:rPr>
      </w:pPr>
      <w:r>
        <w:rPr>
          <w:rFonts w:ascii="Arial" w:cs="Arial" w:eastAsia="Arial" w:hAnsi="Arial"/>
          <w:sz w:val="13"/>
          <w:szCs w:val="13"/>
          <w:color w:val="auto"/>
        </w:rPr>
        <w:t>BITUMEN</w:t>
      </w:r>
    </w:p>
    <w:p>
      <w:pPr>
        <w:spacing w:after="0" w:line="244" w:lineRule="auto"/>
        <w:rPr>
          <w:sz w:val="20"/>
          <w:szCs w:val="20"/>
          <w:color w:val="auto"/>
        </w:rPr>
      </w:pPr>
      <w:r>
        <w:rPr>
          <w:rFonts w:ascii="Arial" w:cs="Arial" w:eastAsia="Arial" w:hAnsi="Arial"/>
          <w:sz w:val="14"/>
          <w:szCs w:val="14"/>
          <w:color w:val="auto"/>
        </w:rPr>
        <w:t>Of the 301 million boe added to proved reserves, 12 million barrels were bitumen. The addition of 12 million barrels comprised an increase of 17 million barrels from net effects of revisions and reclassifications, and an addition of 1 million barrels from extensions and discoveries and a decrease from sales of 6 million barrels. After taking into account production of 6 million barrels, bitumen proved reserves were 428 million barrels at December 31, 2014.</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color w:val="auto"/>
        </w:rPr>
        <w:t>Shell share of joint ventures and associates</w:t>
      </w:r>
    </w:p>
    <w:p>
      <w:pPr>
        <w:spacing w:after="0" w:line="1" w:lineRule="exact"/>
        <w:rPr>
          <w:sz w:val="20"/>
          <w:szCs w:val="20"/>
          <w:color w:val="auto"/>
        </w:rPr>
      </w:pPr>
    </w:p>
    <w:p>
      <w:pPr>
        <w:ind w:right="20"/>
        <w:spacing w:after="0" w:line="244" w:lineRule="auto"/>
        <w:rPr>
          <w:sz w:val="20"/>
          <w:szCs w:val="20"/>
          <w:color w:val="auto"/>
        </w:rPr>
      </w:pPr>
      <w:r>
        <w:rPr>
          <w:rFonts w:ascii="Arial" w:cs="Arial" w:eastAsia="Arial" w:hAnsi="Arial"/>
          <w:sz w:val="14"/>
          <w:szCs w:val="14"/>
          <w:color w:val="auto"/>
        </w:rPr>
        <w:t>Before taking production into account, there was an increase of 30 million boe in the Shell share of joint ventures and associates’ proved reserves in 2014. This comprised 11 million barrels of oil and natural gas liquids and 19 million boe (112 thousand million scf) of natural gas. Of the 30 million boe, 91 million boe came from the net effects of revisions and reclassifications, 8 million boe came from extensions and discoveries and a decrease of 69 million boe from sales.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spacing w:after="0" w:line="1" w:lineRule="exact"/>
        <w:rPr>
          <w:sz w:val="1"/>
          <w:szCs w:val="1"/>
          <w:color w:val="auto"/>
        </w:rPr>
      </w:pPr>
    </w:p>
    <w:tbl>
      <w:tblPr>
        <w:tblLayout w:type="fixed"/>
        <w:tblInd w:w="740" w:type="dxa"/>
        <w:tblCellMar>
          <w:top w:w="0" w:type="dxa"/>
          <w:left w:w="0" w:type="dxa"/>
          <w:bottom w:w="0" w:type="dxa"/>
          <w:right w:w="0" w:type="dxa"/>
        </w:tblCellMar>
      </w:tblPr>
      <w:tr>
        <w:trPr>
          <w:trHeight w:val="161"/>
        </w:trPr>
        <w:tc>
          <w:tcPr>
            <w:tcW w:w="2760" w:type="dxa"/>
            <w:vAlign w:val="bottom"/>
          </w:tcPr>
          <w:p>
            <w:pPr>
              <w:spacing w:after="0"/>
              <w:rPr>
                <w:sz w:val="20"/>
                <w:szCs w:val="20"/>
                <w:color w:val="auto"/>
              </w:rPr>
            </w:pPr>
            <w:r>
              <w:rPr>
                <w:rFonts w:ascii="Arial" w:cs="Arial" w:eastAsia="Arial" w:hAnsi="Arial"/>
                <w:sz w:val="13"/>
                <w:szCs w:val="13"/>
                <w:color w:val="333333"/>
              </w:rPr>
              <w:t>STRATEGIC REPORT</w:t>
            </w:r>
          </w:p>
        </w:tc>
        <w:tc>
          <w:tcPr>
            <w:tcW w:w="1640" w:type="dxa"/>
            <w:vAlign w:val="bottom"/>
          </w:tcPr>
          <w:p>
            <w:pPr>
              <w:jc w:val="right"/>
              <w:spacing w:after="0"/>
              <w:rPr>
                <w:sz w:val="20"/>
                <w:szCs w:val="20"/>
                <w:color w:val="auto"/>
              </w:rPr>
            </w:pPr>
            <w:r>
              <w:rPr>
                <w:rFonts w:ascii="Arial" w:cs="Arial" w:eastAsia="Arial" w:hAnsi="Arial"/>
                <w:sz w:val="11"/>
                <w:szCs w:val="11"/>
                <w:b w:val="1"/>
                <w:bCs w:val="1"/>
                <w:color w:val="333333"/>
              </w:rPr>
              <w:t>25</w:t>
            </w:r>
          </w:p>
        </w:tc>
      </w:tr>
    </w:tbl>
    <w:p>
      <w:pPr>
        <w:spacing w:after="0" w:line="161" w:lineRule="exact"/>
        <w:rPr>
          <w:sz w:val="20"/>
          <w:szCs w:val="20"/>
          <w:color w:val="auto"/>
        </w:rPr>
      </w:pPr>
    </w:p>
    <w:p>
      <w:pPr>
        <w:ind w:left="740"/>
        <w:spacing w:after="0"/>
        <w:rPr>
          <w:sz w:val="20"/>
          <w:szCs w:val="20"/>
          <w:color w:val="auto"/>
        </w:rPr>
      </w:pPr>
      <w:r>
        <w:rPr>
          <w:rFonts w:ascii="Arial" w:cs="Arial" w:eastAsia="Arial" w:hAnsi="Arial"/>
          <w:sz w:val="11"/>
          <w:szCs w:val="11"/>
          <w:color w:val="auto"/>
        </w:rPr>
        <w:t>UPSTREAM</w:t>
      </w:r>
    </w:p>
    <w:p>
      <w:pPr>
        <w:spacing w:after="0" w:line="57" w:lineRule="exact"/>
        <w:rPr>
          <w:sz w:val="20"/>
          <w:szCs w:val="20"/>
          <w:color w:val="auto"/>
        </w:rPr>
      </w:pPr>
    </w:p>
    <w:p>
      <w:pPr>
        <w:ind w:right="160"/>
        <w:spacing w:after="0" w:line="250" w:lineRule="auto"/>
        <w:rPr>
          <w:sz w:val="20"/>
          <w:szCs w:val="20"/>
          <w:color w:val="auto"/>
        </w:rPr>
      </w:pPr>
      <w:r>
        <w:rPr>
          <w:rFonts w:ascii="Arial" w:cs="Arial" w:eastAsia="Arial" w:hAnsi="Arial"/>
          <w:sz w:val="14"/>
          <w:szCs w:val="14"/>
          <w:color w:val="auto"/>
        </w:rPr>
        <w:t>After taking into account production of 239 million boe (of which 10 million boe were consumed in operations), the Shell share of joint ventures and associates’ proved reserves decreased by 209 million boe in 2014.</w:t>
      </w:r>
    </w:p>
    <w:p>
      <w:pPr>
        <w:spacing w:after="0" w:line="172" w:lineRule="exact"/>
        <w:rPr>
          <w:sz w:val="20"/>
          <w:szCs w:val="20"/>
          <w:color w:val="auto"/>
        </w:rPr>
      </w:pPr>
    </w:p>
    <w:p>
      <w:pPr>
        <w:ind w:right="60"/>
        <w:spacing w:after="0" w:line="250" w:lineRule="auto"/>
        <w:rPr>
          <w:sz w:val="20"/>
          <w:szCs w:val="20"/>
          <w:color w:val="auto"/>
        </w:rPr>
      </w:pPr>
      <w:r>
        <w:rPr>
          <w:rFonts w:ascii="Arial" w:cs="Arial" w:eastAsia="Arial" w:hAnsi="Arial"/>
          <w:sz w:val="14"/>
          <w:szCs w:val="14"/>
          <w:color w:val="auto"/>
        </w:rPr>
        <w:t>The Shell share of joint ventures and associates’ proved developed reserves decreased by 336 million boe to 2,206 million boe, and proved undeveloped reserves increased by 127 million boe to 694 million boe.</w:t>
      </w:r>
    </w:p>
    <w:p>
      <w:pPr>
        <w:spacing w:after="0" w:line="159" w:lineRule="exact"/>
        <w:rPr>
          <w:sz w:val="20"/>
          <w:szCs w:val="20"/>
          <w:color w:val="auto"/>
        </w:rPr>
      </w:pPr>
    </w:p>
    <w:p>
      <w:pPr>
        <w:ind w:right="300"/>
        <w:spacing w:after="0" w:line="250" w:lineRule="auto"/>
        <w:rPr>
          <w:sz w:val="20"/>
          <w:szCs w:val="20"/>
          <w:color w:val="auto"/>
        </w:rPr>
      </w:pPr>
      <w:r>
        <w:rPr>
          <w:rFonts w:ascii="Arial" w:cs="Arial" w:eastAsia="Arial" w:hAnsi="Arial"/>
          <w:sz w:val="14"/>
          <w:szCs w:val="14"/>
          <w:color w:val="auto"/>
        </w:rPr>
        <w:t>The total addition of 30 million boe before taking production into account was impacted by net positive impact from commodity price changes of 1 million boe of proved reserves.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color w:val="auto"/>
        </w:rPr>
        <w:t>Proved undeveloped reserves</w:t>
      </w:r>
    </w:p>
    <w:p>
      <w:pPr>
        <w:spacing w:after="0" w:line="1" w:lineRule="exact"/>
        <w:rPr>
          <w:sz w:val="20"/>
          <w:szCs w:val="20"/>
          <w:color w:val="auto"/>
        </w:rPr>
      </w:pPr>
    </w:p>
    <w:p>
      <w:pPr>
        <w:ind w:right="80"/>
        <w:spacing w:after="0" w:line="243" w:lineRule="auto"/>
        <w:rPr>
          <w:sz w:val="20"/>
          <w:szCs w:val="20"/>
          <w:color w:val="auto"/>
        </w:rPr>
      </w:pPr>
      <w:r>
        <w:rPr>
          <w:rFonts w:ascii="Arial" w:cs="Arial" w:eastAsia="Arial" w:hAnsi="Arial"/>
          <w:sz w:val="14"/>
          <w:szCs w:val="14"/>
          <w:color w:val="auto"/>
        </w:rPr>
        <w:t>In 2014, Shell subsidiaries’ and the Shell share of joint ventures and associates‘ proved undeveloped reserves (PUD) decreased by 515 million boe to 4,098 million boe. A number of Shell fields saw some changes to proved undeveloped reserves, with the largest reductions occurring in the USA in Mars and in Europe in Schiehallion. The most significant additions to the PUD occurred in Champion and Champion West in Asia and in Canada in Muskeg River Mine. The 515 million boe decrease in proved undeveloped reserves comprised: a reduction of 259 million boe from revisions; a net reclassification of 125 million boe from proved undeveloped to proved developed reserves; a net reclassification of 266 million boe from proved undeveloped reserves to contingent resource; an addition of 208 million boe from extensions, discoveries and improved recovery; and a net decrease of 73 million boe related to purchases and sales.</w:t>
      </w:r>
    </w:p>
    <w:p>
      <w:pPr>
        <w:spacing w:after="0" w:line="178" w:lineRule="exact"/>
        <w:rPr>
          <w:sz w:val="20"/>
          <w:szCs w:val="20"/>
          <w:color w:val="auto"/>
        </w:rPr>
      </w:pPr>
    </w:p>
    <w:p>
      <w:pPr>
        <w:ind w:right="480"/>
        <w:spacing w:after="0" w:line="258" w:lineRule="auto"/>
        <w:rPr>
          <w:sz w:val="20"/>
          <w:szCs w:val="20"/>
          <w:color w:val="auto"/>
        </w:rPr>
      </w:pPr>
      <w:r>
        <w:rPr>
          <w:rFonts w:ascii="Arial" w:cs="Arial" w:eastAsia="Arial" w:hAnsi="Arial"/>
          <w:sz w:val="14"/>
          <w:szCs w:val="14"/>
          <w:color w:val="auto"/>
        </w:rPr>
        <w:t>An amount of 174 million boe was matured to proved developed reserves from contingent resource as a result of project execution during the year.</w:t>
      </w:r>
    </w:p>
    <w:p>
      <w:pPr>
        <w:spacing w:after="0" w:line="154" w:lineRule="exact"/>
        <w:rPr>
          <w:sz w:val="20"/>
          <w:szCs w:val="20"/>
          <w:color w:val="auto"/>
        </w:rPr>
      </w:pPr>
    </w:p>
    <w:p>
      <w:pPr>
        <w:spacing w:after="0" w:line="242" w:lineRule="auto"/>
        <w:rPr>
          <w:sz w:val="20"/>
          <w:szCs w:val="20"/>
          <w:color w:val="auto"/>
        </w:rPr>
      </w:pPr>
      <w:r>
        <w:rPr>
          <w:rFonts w:ascii="Arial" w:cs="Arial" w:eastAsia="Arial" w:hAnsi="Arial"/>
          <w:sz w:val="14"/>
          <w:szCs w:val="14"/>
          <w:color w:val="auto"/>
        </w:rPr>
        <w:t>Shell proved undeveloped reserves held for five years or more (PUD5+) at December 31, 2014, amount to 1,600 million boe, a net increase of 774 million boe compared with the end of 2013. These PUD5+ remain undeveloped because development either: requires the installation of gas compression and the drilling of additional wells, which will be executed when required to support existing gas delivery commitments (in Netherlands, Norway, the Philippines and Russia); requires gas cap blow down which is awaiting end-of-oil production (in Nigeria); or will take longer than five years because of the complexity and scale of the project (in countries like Kazakhstan). The increase in PUD5+ reflects the ageing of 808 million boe PUD booked in 2009 and the transfer of 34 million boe PUD to proved developed reserves. The largest contributors to the increase of PUD5+ are Muskeg River Mine, Gorgon and Jansz-lo. Two fields, Bonga and Val d’Agri, contribute to a reduction in PUD5+ due to projects being brought on stream. The Shell fields with the largest PUD5+ are now Muskeg River Mine, followed by Gorgon, Groningen (second and third stage compression), Jansz-lo and Kashaghan.</w:t>
      </w:r>
    </w:p>
    <w:p>
      <w:pPr>
        <w:spacing w:after="0" w:line="334" w:lineRule="exact"/>
        <w:rPr>
          <w:sz w:val="20"/>
          <w:szCs w:val="20"/>
          <w:color w:val="auto"/>
        </w:rPr>
      </w:pPr>
    </w:p>
    <w:p>
      <w:pPr>
        <w:ind w:right="460"/>
        <w:spacing w:after="0" w:line="258" w:lineRule="auto"/>
        <w:rPr>
          <w:sz w:val="20"/>
          <w:szCs w:val="20"/>
          <w:color w:val="auto"/>
        </w:rPr>
      </w:pPr>
      <w:r>
        <w:rPr>
          <w:rFonts w:ascii="Arial" w:cs="Arial" w:eastAsia="Arial" w:hAnsi="Arial"/>
          <w:sz w:val="14"/>
          <w:szCs w:val="14"/>
          <w:color w:val="auto"/>
        </w:rPr>
        <w:t>During 2014, Shell spent $17.3 billion on development activities related to PUD maturation.</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auto"/>
        </w:rPr>
        <w:t>DELIVERY COMMITMENTS</w:t>
      </w:r>
    </w:p>
    <w:p>
      <w:pPr>
        <w:spacing w:after="0" w:line="1" w:lineRule="exact"/>
        <w:rPr>
          <w:sz w:val="20"/>
          <w:szCs w:val="20"/>
          <w:color w:val="auto"/>
        </w:rPr>
      </w:pPr>
    </w:p>
    <w:p>
      <w:pPr>
        <w:ind w:right="40"/>
        <w:spacing w:after="0" w:line="247" w:lineRule="auto"/>
        <w:rPr>
          <w:sz w:val="20"/>
          <w:szCs w:val="20"/>
          <w:color w:val="auto"/>
        </w:rPr>
      </w:pPr>
      <w:r>
        <w:rPr>
          <w:rFonts w:ascii="Arial" w:cs="Arial" w:eastAsia="Arial" w:hAnsi="Arial"/>
          <w:sz w:val="14"/>
          <w:szCs w:val="14"/>
          <w:color w:val="auto"/>
        </w:rPr>
        <w:t>Shell sells crude oil and natural gas from its producing operations under a variety of contractual obligations. Most contracts generally commit Shell to sell quantities based on production from specified properties, although some natural gas sales contracts specify delivery of fixed and determinable quantities, as discussed below.</w:t>
      </w:r>
    </w:p>
    <w:p>
      <w:pPr>
        <w:spacing w:after="0" w:line="161" w:lineRule="exact"/>
        <w:rPr>
          <w:sz w:val="20"/>
          <w:szCs w:val="20"/>
          <w:color w:val="auto"/>
        </w:rPr>
      </w:pPr>
    </w:p>
    <w:p>
      <w:pPr>
        <w:ind w:right="60"/>
        <w:spacing w:after="0" w:line="258" w:lineRule="auto"/>
        <w:rPr>
          <w:sz w:val="20"/>
          <w:szCs w:val="20"/>
          <w:color w:val="auto"/>
        </w:rPr>
      </w:pPr>
      <w:r>
        <w:rPr>
          <w:rFonts w:ascii="Arial" w:cs="Arial" w:eastAsia="Arial" w:hAnsi="Arial"/>
          <w:sz w:val="14"/>
          <w:szCs w:val="14"/>
          <w:color w:val="auto"/>
        </w:rPr>
        <w:t>In the past three years, with the exception of Brunei, Shell met all contractual delivery commitments.</w:t>
      </w:r>
    </w:p>
    <w:p>
      <w:pPr>
        <w:spacing w:after="0" w:line="154" w:lineRule="exact"/>
        <w:rPr>
          <w:sz w:val="20"/>
          <w:szCs w:val="20"/>
          <w:color w:val="auto"/>
        </w:rPr>
      </w:pPr>
    </w:p>
    <w:p>
      <w:pPr>
        <w:ind w:right="120"/>
        <w:spacing w:after="0" w:line="258" w:lineRule="auto"/>
        <w:rPr>
          <w:sz w:val="20"/>
          <w:szCs w:val="20"/>
          <w:color w:val="auto"/>
        </w:rPr>
      </w:pPr>
      <w:r>
        <w:rPr>
          <w:rFonts w:ascii="Arial" w:cs="Arial" w:eastAsia="Arial" w:hAnsi="Arial"/>
          <w:sz w:val="14"/>
          <w:szCs w:val="14"/>
          <w:color w:val="auto"/>
        </w:rPr>
        <w:t>In the period 2015 to 2017, Shell is contractually committed to deliver to third parties and joint ventures and associates a total of</w:t>
      </w:r>
    </w:p>
    <w:p>
      <w:pPr>
        <w:sectPr>
          <w:pgSz w:w="11900" w:h="16838" w:orient="portrait"/>
          <w:cols w:equalWidth="0" w:num="2">
            <w:col w:w="5480" w:space="300"/>
            <w:col w:w="5480"/>
          </w:cols>
          <w:pgMar w:left="240" w:top="459" w:right="399" w:bottom="1440" w:gutter="0" w:footer="0" w:header="0"/>
          <w:type w:val="continuous"/>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300355</wp:posOffset>
            </wp:positionV>
            <wp:extent cx="3627755" cy="46291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3627755" cy="462915"/>
                    </a:xfrm>
                    <a:prstGeom prst="rect">
                      <a:avLst/>
                    </a:prstGeom>
                    <a:noFill/>
                  </pic:spPr>
                </pic:pic>
              </a:graphicData>
            </a:graphic>
          </wp:anchor>
        </w:drawing>
      </w:r>
    </w:p>
    <w:p>
      <w:pPr>
        <w:spacing w:after="0" w:line="200" w:lineRule="exact"/>
        <w:rPr>
          <w:sz w:val="20"/>
          <w:szCs w:val="20"/>
          <w:color w:val="auto"/>
        </w:rPr>
      </w:pP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419"/>
        </w:trPr>
        <w:tc>
          <w:tcPr>
            <w:tcW w:w="2080" w:type="dxa"/>
            <w:vAlign w:val="bottom"/>
            <w:shd w:val="clear" w:color="auto" w:fill="FF8B00"/>
          </w:tcPr>
          <w:p>
            <w:pPr>
              <w:spacing w:after="0"/>
              <w:rPr>
                <w:sz w:val="24"/>
                <w:szCs w:val="24"/>
                <w:color w:val="auto"/>
              </w:rPr>
            </w:pPr>
          </w:p>
        </w:tc>
        <w:tc>
          <w:tcPr>
            <w:tcW w:w="3640" w:type="dxa"/>
            <w:vAlign w:val="bottom"/>
            <w:shd w:val="clear" w:color="auto" w:fill="FF8B00"/>
          </w:tcPr>
          <w:p>
            <w:pPr>
              <w:spacing w:after="0"/>
              <w:rPr>
                <w:sz w:val="24"/>
                <w:szCs w:val="24"/>
                <w:color w:val="auto"/>
              </w:rPr>
            </w:pPr>
          </w:p>
        </w:tc>
      </w:tr>
      <w:tr>
        <w:trPr>
          <w:trHeight w:val="152"/>
        </w:trPr>
        <w:tc>
          <w:tcPr>
            <w:tcW w:w="2080" w:type="dxa"/>
            <w:vAlign w:val="bottom"/>
          </w:tcPr>
          <w:p>
            <w:pPr>
              <w:jc w:val="right"/>
              <w:ind w:right="1546"/>
              <w:spacing w:after="0"/>
              <w:rPr>
                <w:sz w:val="20"/>
                <w:szCs w:val="20"/>
                <w:color w:val="auto"/>
              </w:rPr>
            </w:pPr>
            <w:r>
              <w:rPr>
                <w:rFonts w:ascii="Arial" w:cs="Arial" w:eastAsia="Arial" w:hAnsi="Arial"/>
                <w:sz w:val="11"/>
                <w:szCs w:val="11"/>
                <w:b w:val="1"/>
                <w:bCs w:val="1"/>
                <w:color w:val="333333"/>
              </w:rPr>
              <w:t>26</w:t>
            </w:r>
          </w:p>
        </w:tc>
        <w:tc>
          <w:tcPr>
            <w:tcW w:w="3640" w:type="dxa"/>
            <w:vAlign w:val="bottom"/>
          </w:tcPr>
          <w:p>
            <w:pPr>
              <w:ind w:left="1580"/>
              <w:spacing w:after="0"/>
              <w:rPr>
                <w:sz w:val="20"/>
                <w:szCs w:val="20"/>
                <w:color w:val="auto"/>
              </w:rPr>
            </w:pPr>
            <w:r>
              <w:rPr>
                <w:rFonts w:ascii="Arial" w:cs="Arial" w:eastAsia="Arial" w:hAnsi="Arial"/>
                <w:sz w:val="13"/>
                <w:szCs w:val="13"/>
                <w:color w:val="333333"/>
              </w:rPr>
              <w:t>STRATEGIC REPORT</w:t>
            </w:r>
          </w:p>
        </w:tc>
      </w:tr>
    </w:tbl>
    <w:p>
      <w:pPr>
        <w:spacing w:after="0" w:line="155" w:lineRule="exact"/>
        <w:rPr>
          <w:sz w:val="20"/>
          <w:szCs w:val="20"/>
          <w:color w:val="auto"/>
        </w:rPr>
      </w:pPr>
    </w:p>
    <w:p>
      <w:pPr>
        <w:ind w:left="4340"/>
        <w:spacing w:after="0"/>
        <w:rPr>
          <w:sz w:val="20"/>
          <w:szCs w:val="20"/>
          <w:color w:val="auto"/>
        </w:rPr>
      </w:pPr>
      <w:r>
        <w:rPr>
          <w:rFonts w:ascii="Arial" w:cs="Arial" w:eastAsia="Arial" w:hAnsi="Arial"/>
          <w:sz w:val="11"/>
          <w:szCs w:val="11"/>
          <w:color w:val="auto"/>
        </w:rPr>
        <w:t>UPSTREAM</w:t>
      </w:r>
    </w:p>
    <w:p>
      <w:pPr>
        <w:spacing w:after="0" w:line="48" w:lineRule="exact"/>
        <w:rPr>
          <w:sz w:val="20"/>
          <w:szCs w:val="20"/>
          <w:color w:val="auto"/>
        </w:rPr>
      </w:pPr>
    </w:p>
    <w:p>
      <w:pPr>
        <w:spacing w:after="0"/>
        <w:rPr>
          <w:sz w:val="20"/>
          <w:szCs w:val="20"/>
          <w:color w:val="auto"/>
        </w:rPr>
      </w:pPr>
      <w:r>
        <w:rPr>
          <w:rFonts w:ascii="Arial" w:cs="Arial" w:eastAsia="Arial" w:hAnsi="Arial"/>
          <w:sz w:val="24"/>
          <w:szCs w:val="24"/>
          <w:color w:val="auto"/>
        </w:rPr>
        <w:t xml:space="preserve">UPSTREAM </w:t>
      </w:r>
      <w:r>
        <w:rPr>
          <w:rFonts w:ascii="Arial" w:cs="Arial" w:eastAsia="Arial" w:hAnsi="Arial"/>
          <w:sz w:val="24"/>
          <w:szCs w:val="24"/>
          <w:color w:val="666666"/>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347345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spacing w:after="0" w:line="199" w:lineRule="exact"/>
        <w:rPr>
          <w:sz w:val="20"/>
          <w:szCs w:val="20"/>
          <w:color w:val="auto"/>
        </w:rPr>
      </w:pPr>
    </w:p>
    <w:p>
      <w:pPr>
        <w:jc w:val="both"/>
        <w:ind w:right="320"/>
        <w:spacing w:after="0" w:line="247" w:lineRule="auto"/>
        <w:rPr>
          <w:sz w:val="20"/>
          <w:szCs w:val="20"/>
          <w:color w:val="auto"/>
        </w:rPr>
      </w:pPr>
      <w:r>
        <w:rPr>
          <w:rFonts w:ascii="Arial" w:cs="Arial" w:eastAsia="Arial" w:hAnsi="Arial"/>
          <w:sz w:val="14"/>
          <w:szCs w:val="14"/>
          <w:color w:val="auto"/>
        </w:rPr>
        <w:t>approximately 4,000 thousand million scf of natural gas from Shell subsidiaries, joint ventures and associates. The sales contracts contain a mixture of fixed and variable pricing formulae that are generally referenced to the prevailing market price for crude oil, natural gas or other petroleum products at the time of delivery.</w:t>
      </w:r>
    </w:p>
    <w:p>
      <w:pPr>
        <w:spacing w:after="0" w:line="161" w:lineRule="exact"/>
        <w:rPr>
          <w:sz w:val="20"/>
          <w:szCs w:val="20"/>
          <w:color w:val="auto"/>
        </w:rPr>
      </w:pPr>
    </w:p>
    <w:p>
      <w:pPr>
        <w:ind w:right="340"/>
        <w:spacing w:after="0" w:line="247" w:lineRule="auto"/>
        <w:rPr>
          <w:sz w:val="20"/>
          <w:szCs w:val="20"/>
          <w:color w:val="auto"/>
        </w:rPr>
      </w:pPr>
      <w:r>
        <w:rPr>
          <w:rFonts w:ascii="Arial" w:cs="Arial" w:eastAsia="Arial" w:hAnsi="Arial"/>
          <w:sz w:val="14"/>
          <w:szCs w:val="14"/>
          <w:color w:val="auto"/>
        </w:rPr>
        <w:t>The shortfall between Shell’s delivery commitments and its proved developed reserves is estimated at 21% of Shell’s total gas delivery commitments. This shortfall is expected to be met through the development of proved undeveloped reserves as well as new projects and purchases on the spot market.</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color w:val="auto"/>
        </w:rPr>
        <w:t>EXPLORATION</w:t>
      </w:r>
    </w:p>
    <w:p>
      <w:pPr>
        <w:spacing w:after="0" w:line="1" w:lineRule="exact"/>
        <w:rPr>
          <w:sz w:val="20"/>
          <w:szCs w:val="20"/>
          <w:color w:val="auto"/>
        </w:rPr>
      </w:pPr>
    </w:p>
    <w:p>
      <w:pPr>
        <w:ind w:right="640"/>
        <w:spacing w:after="0" w:line="250" w:lineRule="auto"/>
        <w:rPr>
          <w:sz w:val="20"/>
          <w:szCs w:val="20"/>
          <w:color w:val="auto"/>
        </w:rPr>
      </w:pPr>
      <w:r>
        <w:rPr>
          <w:rFonts w:ascii="Arial" w:cs="Arial" w:eastAsia="Arial" w:hAnsi="Arial"/>
          <w:sz w:val="14"/>
          <w:szCs w:val="14"/>
          <w:color w:val="auto"/>
        </w:rPr>
        <w:t>In 2014, Shell made 10 notable discoveries, including in the USA, Gabon and Malaysia. Discoveries will be evaluated further in order to establish the extent of commercially producible volumes they contain.</w:t>
      </w:r>
    </w:p>
    <w:p>
      <w:pPr>
        <w:spacing w:after="0" w:line="172" w:lineRule="exact"/>
        <w:rPr>
          <w:sz w:val="20"/>
          <w:szCs w:val="20"/>
          <w:color w:val="auto"/>
        </w:rPr>
      </w:pPr>
    </w:p>
    <w:p>
      <w:pPr>
        <w:ind w:right="440"/>
        <w:spacing w:after="0" w:line="250" w:lineRule="auto"/>
        <w:rPr>
          <w:sz w:val="20"/>
          <w:szCs w:val="20"/>
          <w:color w:val="auto"/>
        </w:rPr>
      </w:pPr>
      <w:r>
        <w:rPr>
          <w:rFonts w:ascii="Arial" w:cs="Arial" w:eastAsia="Arial" w:hAnsi="Arial"/>
          <w:sz w:val="14"/>
          <w:szCs w:val="14"/>
          <w:color w:val="auto"/>
        </w:rPr>
        <w:t>In 2014, Shell participated in 151 productive exploratory wells with proved reserves allocated (Shell share: 99 wells). For further information, see “Supplementary information – oil and gas (unaudited) – Acreage and wells”.</w:t>
      </w:r>
    </w:p>
    <w:p>
      <w:pPr>
        <w:spacing w:after="0" w:line="159" w:lineRule="exact"/>
        <w:rPr>
          <w:sz w:val="20"/>
          <w:szCs w:val="20"/>
          <w:color w:val="auto"/>
        </w:rPr>
      </w:pPr>
    </w:p>
    <w:p>
      <w:pPr>
        <w:ind w:right="300"/>
        <w:spacing w:after="0" w:line="258" w:lineRule="auto"/>
        <w:rPr>
          <w:sz w:val="20"/>
          <w:szCs w:val="20"/>
          <w:color w:val="auto"/>
        </w:rPr>
      </w:pPr>
      <w:r>
        <w:rPr>
          <w:rFonts w:ascii="Arial" w:cs="Arial" w:eastAsia="Arial" w:hAnsi="Arial"/>
          <w:sz w:val="14"/>
          <w:szCs w:val="14"/>
          <w:color w:val="auto"/>
        </w:rPr>
        <w:t>In 2014, Shell participated in a further 126 wells (Shell share: 77 wells) that remained pending determination at December 31, 2014.</w:t>
      </w:r>
    </w:p>
    <w:p>
      <w:pPr>
        <w:spacing w:after="0" w:line="154" w:lineRule="exact"/>
        <w:rPr>
          <w:sz w:val="20"/>
          <w:szCs w:val="20"/>
          <w:color w:val="auto"/>
        </w:rPr>
      </w:pPr>
    </w:p>
    <w:p>
      <w:pPr>
        <w:ind w:right="420"/>
        <w:spacing w:after="0" w:line="244" w:lineRule="auto"/>
        <w:rPr>
          <w:sz w:val="20"/>
          <w:szCs w:val="20"/>
          <w:color w:val="auto"/>
        </w:rPr>
      </w:pPr>
      <w:r>
        <w:rPr>
          <w:rFonts w:ascii="Arial" w:cs="Arial" w:eastAsia="Arial" w:hAnsi="Arial"/>
          <w:sz w:val="14"/>
          <w:szCs w:val="14"/>
          <w:color w:val="auto"/>
        </w:rPr>
        <w:t>In total, the net acreage in Shell’s exploration portfolio decreased by 34,000 square kilometres, comprising acreage decreases of 13,000 square kilometres in South America (withdrawal), 11,500 square kilometres in Australia (divestment), 8,000 square kilometres in Turkey (relinquishment), 5,000 square kilometres in Canada (divestment), and increases in acreage of 11,500 square kilometres in Namibia (licence award) and 9,000 square kilometres in Greenland (equity increase).</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color w:val="auto"/>
        </w:rPr>
        <w:t>BUSINESS AND PROPERTY</w:t>
      </w:r>
    </w:p>
    <w:p>
      <w:pPr>
        <w:spacing w:after="0" w:line="1" w:lineRule="exact"/>
        <w:rPr>
          <w:sz w:val="20"/>
          <w:szCs w:val="20"/>
          <w:color w:val="auto"/>
        </w:rPr>
      </w:pPr>
    </w:p>
    <w:p>
      <w:pPr>
        <w:ind w:right="480"/>
        <w:spacing w:after="0" w:line="247" w:lineRule="auto"/>
        <w:rPr>
          <w:sz w:val="20"/>
          <w:szCs w:val="20"/>
          <w:color w:val="auto"/>
        </w:rPr>
      </w:pPr>
      <w:r>
        <w:rPr>
          <w:rFonts w:ascii="Arial" w:cs="Arial" w:eastAsia="Arial" w:hAnsi="Arial"/>
          <w:sz w:val="14"/>
          <w:szCs w:val="14"/>
          <w:color w:val="auto"/>
        </w:rPr>
        <w:t>Shell subsidiaries, joint ventures and associates are involved in all aspects of upstream activities, including matters such as land tenure, entitlement to produced hydrocarbons, production rates, royalties, pricing, environmental protection, social impact, exports, taxes and foreign exchange.</w:t>
      </w:r>
    </w:p>
    <w:p>
      <w:pPr>
        <w:spacing w:after="0" w:line="161" w:lineRule="exact"/>
        <w:rPr>
          <w:sz w:val="20"/>
          <w:szCs w:val="20"/>
          <w:color w:val="auto"/>
        </w:rPr>
      </w:pPr>
    </w:p>
    <w:p>
      <w:pPr>
        <w:ind w:right="280"/>
        <w:spacing w:after="0" w:line="244" w:lineRule="auto"/>
        <w:rPr>
          <w:sz w:val="20"/>
          <w:szCs w:val="20"/>
          <w:color w:val="auto"/>
        </w:rPr>
      </w:pPr>
      <w:r>
        <w:rPr>
          <w:rFonts w:ascii="Arial" w:cs="Arial" w:eastAsia="Arial" w:hAnsi="Arial"/>
          <w:sz w:val="14"/>
          <w:szCs w:val="14"/>
          <w:color w:val="auto"/>
        </w:rPr>
        <w:t>The conditions of the leases, licences and contracts under which oil and gas interests are held vary from country to country. In almost all cases outside North America the legal agreements are generally granted by or entered into with a government, government entity or government-run oil and gas company, and the exploration risk usually rests with the independent oil and gas company. In North America these agreements may also be with private parties that own mineral rights. Of these agreements, the following are most relevant to Shell’s interests:</w:t>
      </w:r>
    </w:p>
    <w:p>
      <w:pPr>
        <w:spacing w:after="0" w:line="205" w:lineRule="exact"/>
        <w:rPr>
          <w:sz w:val="20"/>
          <w:szCs w:val="20"/>
          <w:color w:val="auto"/>
        </w:rPr>
      </w:pPr>
    </w:p>
    <w:p>
      <w:pPr>
        <w:ind w:left="180" w:right="240" w:hanging="172"/>
        <w:spacing w:after="0" w:line="225" w:lineRule="auto"/>
        <w:tabs>
          <w:tab w:leader="none" w:pos="180" w:val="left"/>
        </w:tabs>
        <w:numPr>
          <w:ilvl w:val="0"/>
          <w:numId w:val="27"/>
        </w:numPr>
        <w:rPr>
          <w:rFonts w:ascii="Arial" w:cs="Arial" w:eastAsia="Arial" w:hAnsi="Arial"/>
          <w:sz w:val="24"/>
          <w:szCs w:val="24"/>
          <w:color w:val="auto"/>
          <w:vertAlign w:val="superscript"/>
        </w:rPr>
      </w:pPr>
      <w:r>
        <w:rPr>
          <w:rFonts w:ascii="Arial" w:cs="Arial" w:eastAsia="Arial" w:hAnsi="Arial"/>
          <w:sz w:val="14"/>
          <w:szCs w:val="14"/>
          <w:color w:val="auto"/>
        </w:rPr>
        <w:t>Licences (or concessions), which entitle the holder to explore for hydrocarbons and exploit any commercial discoveries. Under a licence, the holder bears the risk of exploration, development and production activities, and is responsible for financing these activities. In principle, the licence holder is entitled to the totality of production less any royalties in kind. The government, government entity or government-run oil and gas company may sometimes enter as a participant in a joint arrangement sharing the rights and obligations of the licence but usually without sharing the exploration risk. In a few cases, the government entity, government-run oil and gas company or agency has an option to purchase a certain share of production.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right"/>
        <w:spacing w:after="0"/>
        <w:rPr>
          <w:sz w:val="20"/>
          <w:szCs w:val="20"/>
          <w:color w:val="auto"/>
        </w:rPr>
      </w:pPr>
      <w:r>
        <w:rPr>
          <w:rFonts w:ascii="Arial" w:cs="Arial" w:eastAsia="Arial" w:hAnsi="Arial"/>
          <w:sz w:val="11"/>
          <w:szCs w:val="11"/>
          <w:color w:val="auto"/>
        </w:rPr>
        <w:t>SHELL ANNUAL REPORT AND FORM 20-F 2014</w:t>
      </w:r>
    </w:p>
    <w:p>
      <w:pPr>
        <w:spacing w:after="0" w:line="57" w:lineRule="exact"/>
        <w:rPr>
          <w:sz w:val="20"/>
          <w:szCs w:val="20"/>
          <w:color w:val="auto"/>
        </w:rPr>
      </w:pPr>
    </w:p>
    <w:p>
      <w:pPr>
        <w:ind w:left="160" w:right="400" w:hanging="160"/>
        <w:spacing w:after="0" w:line="195" w:lineRule="auto"/>
        <w:tabs>
          <w:tab w:leader="none" w:pos="160" w:val="left"/>
        </w:tabs>
        <w:numPr>
          <w:ilvl w:val="0"/>
          <w:numId w:val="28"/>
        </w:numPr>
        <w:rPr>
          <w:rFonts w:ascii="Arial" w:cs="Arial" w:eastAsia="Arial" w:hAnsi="Arial"/>
          <w:sz w:val="24"/>
          <w:szCs w:val="24"/>
          <w:color w:val="auto"/>
          <w:vertAlign w:val="superscript"/>
        </w:rPr>
      </w:pPr>
      <w:r>
        <w:rPr>
          <w:rFonts w:ascii="Arial" w:cs="Arial" w:eastAsia="Arial" w:hAnsi="Arial"/>
          <w:sz w:val="14"/>
          <w:szCs w:val="14"/>
          <w:color w:val="auto"/>
        </w:rPr>
        <w:t>Lease agreements, which are typically used in North America and are usually governed by similar terms as licences. Participants may include governments or private entities, and royalties are either paid in cash or in kind.</w:t>
      </w:r>
    </w:p>
    <w:p>
      <w:pPr>
        <w:ind w:left="160" w:right="180" w:hanging="160"/>
        <w:spacing w:after="0" w:line="231" w:lineRule="auto"/>
        <w:tabs>
          <w:tab w:leader="none" w:pos="160" w:val="left"/>
        </w:tabs>
        <w:numPr>
          <w:ilvl w:val="0"/>
          <w:numId w:val="28"/>
        </w:numPr>
        <w:rPr>
          <w:rFonts w:ascii="Arial" w:cs="Arial" w:eastAsia="Arial" w:hAnsi="Arial"/>
          <w:sz w:val="24"/>
          <w:szCs w:val="24"/>
          <w:color w:val="auto"/>
          <w:vertAlign w:val="superscript"/>
        </w:rPr>
      </w:pPr>
      <w:r>
        <w:rPr>
          <w:rFonts w:ascii="Arial" w:cs="Arial" w:eastAsia="Arial" w:hAnsi="Arial"/>
          <w:sz w:val="14"/>
          <w:szCs w:val="14"/>
          <w:color w:val="auto"/>
        </w:rPr>
        <w:t>Production-sharing contracts (PSCs) entered into with a government, government entity or government-run oil and gas company. PSCs generally oblige the independent oil and gas company, as contractor, to provide all the financing and bear the risk of exploration, development and production activities in exchange for a share of the production. Usually, this share consists of a fixed or variable part that is reserved for the recovery of the contractor’s cost (cost oil). The remaining production is split with the government, government entity or government-run oil and gas company on a fixed or volume/revenue-dependent basis. In some cases, the government, government entity or government-run oil and gas company will participate in the rights and obligations of the contractor and will share in the costs of development and production. Such participation can be across the venture or on a field-by-field basis. Additionally, as the price of oil or gas increases above certain predetermined levels, the independent oil and gas company’s entitlement share of production normally decreases, and vice versa. Accordingly, its interest in a project may not be the same as its entitlement.</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color w:val="auto"/>
        </w:rPr>
        <w:t>Europe</w:t>
      </w:r>
    </w:p>
    <w:p>
      <w:pPr>
        <w:spacing w:after="0" w:line="162" w:lineRule="exact"/>
        <w:rPr>
          <w:sz w:val="20"/>
          <w:szCs w:val="20"/>
          <w:color w:val="auto"/>
        </w:rPr>
      </w:pPr>
    </w:p>
    <w:p>
      <w:pPr>
        <w:spacing w:after="0"/>
        <w:rPr>
          <w:sz w:val="20"/>
          <w:szCs w:val="20"/>
          <w:color w:val="auto"/>
        </w:rPr>
      </w:pPr>
      <w:r>
        <w:rPr>
          <w:rFonts w:ascii="Arial" w:cs="Arial" w:eastAsia="Arial" w:hAnsi="Arial"/>
          <w:sz w:val="13"/>
          <w:szCs w:val="13"/>
          <w:color w:val="auto"/>
        </w:rPr>
        <w:t>DENMARK</w:t>
      </w:r>
    </w:p>
    <w:p>
      <w:pPr>
        <w:jc w:val="both"/>
        <w:ind w:right="600"/>
        <w:spacing w:after="0" w:line="250" w:lineRule="auto"/>
        <w:rPr>
          <w:sz w:val="20"/>
          <w:szCs w:val="20"/>
          <w:color w:val="auto"/>
        </w:rPr>
      </w:pPr>
      <w:r>
        <w:rPr>
          <w:rFonts w:ascii="Arial" w:cs="Arial" w:eastAsia="Arial" w:hAnsi="Arial"/>
          <w:sz w:val="14"/>
          <w:szCs w:val="14"/>
          <w:color w:val="auto"/>
        </w:rPr>
        <w:t>We have a non-operating interest in a producing concession in Denmark (Shell interest 36.8%), which was granted in 1962 and will expire in 2042. The Danish government is one of our partners with a 20% interest.</w:t>
      </w:r>
    </w:p>
    <w:p>
      <w:pPr>
        <w:spacing w:after="0" w:line="144" w:lineRule="exact"/>
        <w:rPr>
          <w:sz w:val="20"/>
          <w:szCs w:val="20"/>
          <w:color w:val="auto"/>
        </w:rPr>
      </w:pPr>
    </w:p>
    <w:p>
      <w:pPr>
        <w:spacing w:after="0"/>
        <w:rPr>
          <w:sz w:val="20"/>
          <w:szCs w:val="20"/>
          <w:color w:val="auto"/>
        </w:rPr>
      </w:pPr>
      <w:r>
        <w:rPr>
          <w:rFonts w:ascii="Arial" w:cs="Arial" w:eastAsia="Arial" w:hAnsi="Arial"/>
          <w:sz w:val="13"/>
          <w:szCs w:val="13"/>
          <w:color w:val="auto"/>
        </w:rPr>
        <w:t>IRELAND</w:t>
      </w:r>
    </w:p>
    <w:p>
      <w:pPr>
        <w:ind w:right="200"/>
        <w:spacing w:after="0" w:line="244" w:lineRule="auto"/>
        <w:rPr>
          <w:sz w:val="20"/>
          <w:szCs w:val="20"/>
          <w:color w:val="auto"/>
        </w:rPr>
      </w:pPr>
      <w:r>
        <w:rPr>
          <w:rFonts w:ascii="Arial" w:cs="Arial" w:eastAsia="Arial" w:hAnsi="Arial"/>
          <w:sz w:val="14"/>
          <w:szCs w:val="14"/>
          <w:color w:val="auto"/>
        </w:rPr>
        <w:t>We are the operator of the Corrib gas project (Shell interest 45%), which is at an advanced stage of construction. Corrib has the potential to supply a significant proportion of the country’s gas requirement. The pipeline connection between the offshore wells and the onshore processing terminal is complete. Initial operation and testing of equipment has commenced at the terminal, using gas from the national grid in advance of first gas production from the field, which is expected in 2015.</w:t>
      </w:r>
    </w:p>
    <w:p>
      <w:pPr>
        <w:spacing w:after="0" w:line="165" w:lineRule="exact"/>
        <w:rPr>
          <w:sz w:val="20"/>
          <w:szCs w:val="20"/>
          <w:color w:val="auto"/>
        </w:rPr>
      </w:pPr>
    </w:p>
    <w:p>
      <w:pPr>
        <w:spacing w:after="0"/>
        <w:rPr>
          <w:sz w:val="20"/>
          <w:szCs w:val="20"/>
          <w:color w:val="auto"/>
        </w:rPr>
      </w:pPr>
      <w:r>
        <w:rPr>
          <w:rFonts w:ascii="Arial" w:cs="Arial" w:eastAsia="Arial" w:hAnsi="Arial"/>
          <w:sz w:val="13"/>
          <w:szCs w:val="13"/>
          <w:color w:val="auto"/>
        </w:rPr>
        <w:t>ITALY</w:t>
      </w:r>
    </w:p>
    <w:p>
      <w:pPr>
        <w:ind w:right="180"/>
        <w:spacing w:after="0" w:line="244" w:lineRule="auto"/>
        <w:rPr>
          <w:sz w:val="20"/>
          <w:szCs w:val="20"/>
          <w:color w:val="auto"/>
        </w:rPr>
      </w:pPr>
      <w:r>
        <w:rPr>
          <w:rFonts w:ascii="Arial" w:cs="Arial" w:eastAsia="Arial" w:hAnsi="Arial"/>
          <w:sz w:val="14"/>
          <w:szCs w:val="14"/>
          <w:color w:val="auto"/>
        </w:rPr>
        <w:t>We have two non-operating interests in Italy: the Val d’Agri producing concession (Shell interest 39.23%) and the Tempa Rossa concession (Shell interest 25%). During the second quarter of 2014 we entered the front-end engineering and design (FEED) phase on the non-operated project Val d’Agri Phase 2, which is expected to deliver peak production of some 65 thousand boe/d. The Tempa Rossa field is under development and first oil is expected in 2018.</w:t>
      </w:r>
    </w:p>
    <w:p>
      <w:pPr>
        <w:spacing w:after="0" w:line="151" w:lineRule="exact"/>
        <w:rPr>
          <w:sz w:val="20"/>
          <w:szCs w:val="20"/>
          <w:color w:val="auto"/>
        </w:rPr>
      </w:pPr>
    </w:p>
    <w:p>
      <w:pPr>
        <w:spacing w:after="0"/>
        <w:rPr>
          <w:sz w:val="20"/>
          <w:szCs w:val="20"/>
          <w:color w:val="auto"/>
        </w:rPr>
      </w:pPr>
      <w:r>
        <w:rPr>
          <w:rFonts w:ascii="Arial" w:cs="Arial" w:eastAsia="Arial" w:hAnsi="Arial"/>
          <w:sz w:val="13"/>
          <w:szCs w:val="13"/>
          <w:color w:val="auto"/>
        </w:rPr>
        <w:t>NETHERLANDS</w:t>
      </w:r>
    </w:p>
    <w:p>
      <w:pPr>
        <w:ind w:right="180"/>
        <w:spacing w:after="0" w:line="242" w:lineRule="auto"/>
        <w:rPr>
          <w:sz w:val="20"/>
          <w:szCs w:val="20"/>
          <w:color w:val="auto"/>
        </w:rPr>
      </w:pPr>
      <w:r>
        <w:rPr>
          <w:rFonts w:ascii="Arial" w:cs="Arial" w:eastAsia="Arial" w:hAnsi="Arial"/>
          <w:sz w:val="14"/>
          <w:szCs w:val="14"/>
          <w:color w:val="auto"/>
        </w:rPr>
        <w:t>Shell and ExxonMobil are 50:50 shareholders in Nederlandse Aardolie Maatschappij B.V. (NAM), the largest hydrocarbon producer in the Netherlands. An important part of NAM’s gas production comes from the onshore Groningen gas field, in which the Dutch government has a 40% interest and NAM a 60% interest. NAM also has a 60% interest in the Schoonebeek oil field, which has been redeveloped using enhanced oil recovery technology. NAM also operates a significant number of other onshore gas fields and offshore gas fields in the North Sea. In January 2015, the Minister of Economic Affairs of the Netherlands approved NAM’s production plan for the Groningen field for 2014 to 2016. This caps production levels at 42.5 billion cubic metres for 2014 and 39.4 billion cubic metres in each of 2015 and 2016, in an effort to diminish the potential for seismic activity. Since issuing his decision on the Groningen production plan, the Minister of Economic Affairs has stated that he intends to cap production at 16.5 billion cubic metres for the first half of 2015.</w:t>
      </w:r>
    </w:p>
    <w:p>
      <w:pPr>
        <w:sectPr>
          <w:pgSz w:w="11900" w:h="16838" w:orient="portrait"/>
          <w:cols w:equalWidth="0" w:num="2">
            <w:col w:w="5720" w:space="60"/>
            <w:col w:w="5640"/>
          </w:cols>
          <w:pgMar w:left="240" w:top="459" w:right="239" w:bottom="1440" w:gutter="0" w:footer="0" w:header="0"/>
        </w:sectPr>
      </w:pPr>
    </w:p>
    <w:bookmarkStart w:id="28" w:name="page29"/>
    <w:bookmarkEnd w:id="28"/>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3555365</wp:posOffset>
            </wp:positionH>
            <wp:positionV relativeFrom="paragraph">
              <wp:posOffset>314960</wp:posOffset>
            </wp:positionV>
            <wp:extent cx="3696335" cy="46291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3696335" cy="462915"/>
                    </a:xfrm>
                    <a:prstGeom prst="rect">
                      <a:avLst/>
                    </a:prstGeom>
                    <a:noFill/>
                  </pic:spPr>
                </pic:pic>
              </a:graphicData>
            </a:graphic>
          </wp:anchor>
        </w:drawing>
      </w:r>
    </w:p>
    <w:p>
      <w:pPr>
        <w:sectPr>
          <w:pgSz w:w="11900" w:h="16838" w:orient="portrait"/>
          <w:cols w:equalWidth="0" w:num="1">
            <w:col w:w="11260"/>
          </w:cols>
          <w:pgMar w:left="240" w:top="459" w:right="3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11"/>
          <w:szCs w:val="11"/>
          <w:color w:val="auto"/>
        </w:rPr>
        <w:t>SHELL ANNUAL REPORT AND FORM 20-F 2014</w:t>
      </w:r>
    </w:p>
    <w:p>
      <w:pPr>
        <w:spacing w:after="0" w:line="43" w:lineRule="exact"/>
        <w:rPr>
          <w:sz w:val="20"/>
          <w:szCs w:val="20"/>
          <w:color w:val="auto"/>
        </w:rPr>
      </w:pPr>
    </w:p>
    <w:p>
      <w:pPr>
        <w:spacing w:after="0"/>
        <w:rPr>
          <w:sz w:val="20"/>
          <w:szCs w:val="20"/>
          <w:color w:val="auto"/>
        </w:rPr>
      </w:pPr>
      <w:r>
        <w:rPr>
          <w:rFonts w:ascii="Arial" w:cs="Arial" w:eastAsia="Arial" w:hAnsi="Arial"/>
          <w:sz w:val="13"/>
          <w:szCs w:val="13"/>
          <w:color w:val="auto"/>
        </w:rPr>
        <w:t>NORWAY</w:t>
      </w:r>
    </w:p>
    <w:p>
      <w:pPr>
        <w:ind w:right="20"/>
        <w:spacing w:after="0" w:line="247" w:lineRule="auto"/>
        <w:rPr>
          <w:sz w:val="20"/>
          <w:szCs w:val="20"/>
          <w:color w:val="auto"/>
        </w:rPr>
      </w:pPr>
      <w:r>
        <w:rPr>
          <w:rFonts w:ascii="Arial" w:cs="Arial" w:eastAsia="Arial" w:hAnsi="Arial"/>
          <w:sz w:val="14"/>
          <w:szCs w:val="14"/>
          <w:color w:val="auto"/>
        </w:rPr>
        <w:t>We are a partner in more than 30 production licences on the Norwegian continental shelf. We are the operator in 14 of these, of which two are producing: the Ormen Lange gas field (Shell interest 17.8%) and the Draugen oil field (Shell interest 44.6%). The other producing fields are Troll, Gjøa, Kvitebjørn and Valemon.</w:t>
      </w:r>
    </w:p>
    <w:p>
      <w:pPr>
        <w:spacing w:after="0" w:line="160" w:lineRule="exact"/>
        <w:rPr>
          <w:sz w:val="20"/>
          <w:szCs w:val="20"/>
          <w:color w:val="auto"/>
        </w:rPr>
      </w:pPr>
    </w:p>
    <w:p>
      <w:pPr>
        <w:spacing w:after="0"/>
        <w:rPr>
          <w:sz w:val="20"/>
          <w:szCs w:val="20"/>
          <w:color w:val="auto"/>
        </w:rPr>
      </w:pPr>
      <w:r>
        <w:rPr>
          <w:rFonts w:ascii="Arial" w:cs="Arial" w:eastAsia="Arial" w:hAnsi="Arial"/>
          <w:sz w:val="13"/>
          <w:szCs w:val="13"/>
          <w:color w:val="auto"/>
        </w:rPr>
        <w:t>UK</w:t>
      </w:r>
    </w:p>
    <w:p>
      <w:pPr>
        <w:ind w:right="60"/>
        <w:spacing w:after="0" w:line="244" w:lineRule="auto"/>
        <w:rPr>
          <w:sz w:val="20"/>
          <w:szCs w:val="20"/>
          <w:color w:val="auto"/>
        </w:rPr>
      </w:pPr>
      <w:r>
        <w:rPr>
          <w:rFonts w:ascii="Arial" w:cs="Arial" w:eastAsia="Arial" w:hAnsi="Arial"/>
          <w:sz w:val="14"/>
          <w:szCs w:val="14"/>
          <w:color w:val="auto"/>
        </w:rPr>
        <w:t>We operate a significant number of our interests on the UK Continental Shelf on behalf of a 50:50 joint arrangement with ExxonMobil. Most of our UK oil and gas production comes from the North Sea. We have various non-operated interests in the Atlantic Margin area, principally in the West of Shetlands area (Clair, Shell interest 28% and Schiehallion, Shell interest approximately 55%). We also have interests ranging from 20% to 49% in the Beryl area fields.</w:t>
      </w:r>
    </w:p>
    <w:p>
      <w:pPr>
        <w:spacing w:after="0" w:line="151" w:lineRule="exact"/>
        <w:rPr>
          <w:sz w:val="20"/>
          <w:szCs w:val="20"/>
          <w:color w:val="auto"/>
        </w:rPr>
      </w:pPr>
    </w:p>
    <w:p>
      <w:pPr>
        <w:spacing w:after="0"/>
        <w:rPr>
          <w:sz w:val="20"/>
          <w:szCs w:val="20"/>
          <w:color w:val="auto"/>
        </w:rPr>
      </w:pPr>
      <w:r>
        <w:rPr>
          <w:rFonts w:ascii="Arial" w:cs="Arial" w:eastAsia="Arial" w:hAnsi="Arial"/>
          <w:sz w:val="13"/>
          <w:szCs w:val="13"/>
          <w:color w:val="auto"/>
        </w:rPr>
        <w:t>REST OF EUROPE</w:t>
      </w:r>
    </w:p>
    <w:p>
      <w:pPr>
        <w:ind w:right="180"/>
        <w:spacing w:after="0" w:line="258" w:lineRule="auto"/>
        <w:rPr>
          <w:sz w:val="20"/>
          <w:szCs w:val="20"/>
          <w:color w:val="auto"/>
        </w:rPr>
      </w:pPr>
      <w:r>
        <w:rPr>
          <w:rFonts w:ascii="Arial" w:cs="Arial" w:eastAsia="Arial" w:hAnsi="Arial"/>
          <w:sz w:val="14"/>
          <w:szCs w:val="14"/>
          <w:color w:val="auto"/>
        </w:rPr>
        <w:t>Shell also has interests in Albania, Austria, Germany, Greece, Greenland, Hungary, Slovakia, Spain and Ukraine.</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Asia (including the Middle East and Russia)</w:t>
      </w:r>
    </w:p>
    <w:p>
      <w:pPr>
        <w:spacing w:after="0" w:line="176" w:lineRule="exact"/>
        <w:rPr>
          <w:sz w:val="20"/>
          <w:szCs w:val="20"/>
          <w:color w:val="auto"/>
        </w:rPr>
      </w:pPr>
    </w:p>
    <w:p>
      <w:pPr>
        <w:spacing w:after="0"/>
        <w:rPr>
          <w:sz w:val="20"/>
          <w:szCs w:val="20"/>
          <w:color w:val="auto"/>
        </w:rPr>
      </w:pPr>
      <w:r>
        <w:rPr>
          <w:rFonts w:ascii="Arial" w:cs="Arial" w:eastAsia="Arial" w:hAnsi="Arial"/>
          <w:sz w:val="13"/>
          <w:szCs w:val="13"/>
          <w:color w:val="auto"/>
        </w:rPr>
        <w:t>BRUNEI</w:t>
      </w:r>
    </w:p>
    <w:p>
      <w:pPr>
        <w:ind w:right="100"/>
        <w:spacing w:after="0" w:line="245" w:lineRule="auto"/>
        <w:rPr>
          <w:sz w:val="20"/>
          <w:szCs w:val="20"/>
          <w:color w:val="auto"/>
        </w:rPr>
      </w:pPr>
      <w:r>
        <w:rPr>
          <w:rFonts w:ascii="Arial" w:cs="Arial" w:eastAsia="Arial" w:hAnsi="Arial"/>
          <w:sz w:val="14"/>
          <w:szCs w:val="14"/>
          <w:color w:val="auto"/>
        </w:rPr>
        <w:t>Shell and the Brunei government are 50:50 shareholders in Brunei Shell Petroleum Company Sendirian Berhad (BSP). BSP has long-term oil and gas concession rights onshore and offshore Brunei, and sells most of its gas production to Brunei LNG Sendirian Berhad (BLNG, Shell interest 25%). BLNG was the first LNG plant in Asia-Pacific and sells most of its LNG on long-term contracts to customers in Asia.</w:t>
      </w:r>
    </w:p>
    <w:p>
      <w:pPr>
        <w:spacing w:after="0" w:line="164" w:lineRule="exact"/>
        <w:rPr>
          <w:sz w:val="20"/>
          <w:szCs w:val="20"/>
          <w:color w:val="auto"/>
        </w:rPr>
      </w:pPr>
    </w:p>
    <w:p>
      <w:pPr>
        <w:spacing w:after="0" w:line="244" w:lineRule="auto"/>
        <w:rPr>
          <w:sz w:val="20"/>
          <w:szCs w:val="20"/>
          <w:color w:val="auto"/>
        </w:rPr>
      </w:pPr>
      <w:r>
        <w:rPr>
          <w:rFonts w:ascii="Arial" w:cs="Arial" w:eastAsia="Arial" w:hAnsi="Arial"/>
          <w:sz w:val="14"/>
          <w:szCs w:val="14"/>
          <w:color w:val="auto"/>
        </w:rPr>
        <w:t>We are the operator for the Block A concession (Shell interest 53.9%), which is under exploration and development, and also operator for exploration Block Q (Shell interest 50%). We have a 35% non-operating interest in the Block B concession, where gas and condensate are produced from the Maharaja Lela Field. In February 2014, the final investment decision was taken on the Maharaja Lela South development (Shell interest 35%). It is expected to deliver a total peak production of 35 thousand boe per day.</w:t>
      </w:r>
    </w:p>
    <w:p>
      <w:pPr>
        <w:spacing w:after="0" w:line="328" w:lineRule="exact"/>
        <w:rPr>
          <w:sz w:val="20"/>
          <w:szCs w:val="20"/>
          <w:color w:val="auto"/>
        </w:rPr>
      </w:pPr>
    </w:p>
    <w:p>
      <w:pPr>
        <w:jc w:val="both"/>
        <w:ind w:right="260"/>
        <w:spacing w:after="0" w:line="250" w:lineRule="auto"/>
        <w:rPr>
          <w:sz w:val="20"/>
          <w:szCs w:val="20"/>
          <w:color w:val="auto"/>
        </w:rPr>
      </w:pPr>
      <w:r>
        <w:rPr>
          <w:rFonts w:ascii="Arial" w:cs="Arial" w:eastAsia="Arial" w:hAnsi="Arial"/>
          <w:sz w:val="14"/>
          <w:szCs w:val="14"/>
          <w:color w:val="auto"/>
        </w:rPr>
        <w:t>In addition, we have non-operating interests in deep-water exploration Block CA-2 (Shell interest 12.5%) and in exploration Block N (Shell interest 50%), both under PSCs.</w:t>
      </w:r>
    </w:p>
    <w:p>
      <w:pPr>
        <w:spacing w:after="0" w:line="158" w:lineRule="exact"/>
        <w:rPr>
          <w:sz w:val="20"/>
          <w:szCs w:val="20"/>
          <w:color w:val="auto"/>
        </w:rPr>
      </w:pPr>
    </w:p>
    <w:p>
      <w:pPr>
        <w:spacing w:after="0"/>
        <w:rPr>
          <w:sz w:val="20"/>
          <w:szCs w:val="20"/>
          <w:color w:val="auto"/>
        </w:rPr>
      </w:pPr>
      <w:r>
        <w:rPr>
          <w:rFonts w:ascii="Arial" w:cs="Arial" w:eastAsia="Arial" w:hAnsi="Arial"/>
          <w:sz w:val="13"/>
          <w:szCs w:val="13"/>
          <w:color w:val="auto"/>
        </w:rPr>
        <w:t>CHINA</w:t>
      </w:r>
    </w:p>
    <w:p>
      <w:pPr>
        <w:ind w:right="80"/>
        <w:spacing w:after="0" w:line="244" w:lineRule="auto"/>
        <w:rPr>
          <w:sz w:val="20"/>
          <w:szCs w:val="20"/>
          <w:color w:val="auto"/>
        </w:rPr>
      </w:pPr>
      <w:r>
        <w:rPr>
          <w:rFonts w:ascii="Arial" w:cs="Arial" w:eastAsia="Arial" w:hAnsi="Arial"/>
          <w:sz w:val="14"/>
          <w:szCs w:val="14"/>
          <w:color w:val="auto"/>
        </w:rPr>
        <w:t>We operate the onshore Changbei tight-gas field under a PSC with China National Petroleum Corporation (CNPC). The PSC includes the development of tight gas in different geological layers of the block. In Sichuan, Shell and CNPC have agreed to appraise, develop and produce from tight-gas and liquids-rich shale formations in the Jinqiu block under a PSC (Shell interest 49%) and have a PSC for shale-gas exploration, development and production in the Fushun Yongchuan block (Shell interest 49%).</w:t>
      </w:r>
    </w:p>
    <w:p>
      <w:pPr>
        <w:spacing w:after="0" w:line="164" w:lineRule="exact"/>
        <w:rPr>
          <w:sz w:val="20"/>
          <w:szCs w:val="20"/>
          <w:color w:val="auto"/>
        </w:rPr>
      </w:pPr>
    </w:p>
    <w:p>
      <w:pPr>
        <w:ind w:right="140"/>
        <w:spacing w:after="0" w:line="258" w:lineRule="auto"/>
        <w:rPr>
          <w:sz w:val="20"/>
          <w:szCs w:val="20"/>
          <w:color w:val="auto"/>
        </w:rPr>
      </w:pPr>
      <w:r>
        <w:rPr>
          <w:rFonts w:ascii="Arial" w:cs="Arial" w:eastAsia="Arial" w:hAnsi="Arial"/>
          <w:sz w:val="14"/>
          <w:szCs w:val="14"/>
          <w:color w:val="auto"/>
        </w:rPr>
        <w:t>We also have an interest in three offshore oil and gas blocks in the Yinggehai basin, each under a PSC (Shell interest 49%).</w:t>
      </w:r>
    </w:p>
    <w:p>
      <w:pPr>
        <w:spacing w:after="0" w:line="139" w:lineRule="exact"/>
        <w:rPr>
          <w:sz w:val="20"/>
          <w:szCs w:val="20"/>
          <w:color w:val="auto"/>
        </w:rPr>
      </w:pPr>
    </w:p>
    <w:p>
      <w:pPr>
        <w:spacing w:after="0"/>
        <w:rPr>
          <w:sz w:val="20"/>
          <w:szCs w:val="20"/>
          <w:color w:val="auto"/>
        </w:rPr>
      </w:pPr>
      <w:r>
        <w:rPr>
          <w:rFonts w:ascii="Arial" w:cs="Arial" w:eastAsia="Arial" w:hAnsi="Arial"/>
          <w:sz w:val="13"/>
          <w:szCs w:val="13"/>
          <w:color w:val="auto"/>
        </w:rPr>
        <w:t>INDONESIA</w:t>
      </w:r>
    </w:p>
    <w:p>
      <w:pPr>
        <w:ind w:right="140"/>
        <w:spacing w:after="0" w:line="250" w:lineRule="auto"/>
        <w:rPr>
          <w:sz w:val="20"/>
          <w:szCs w:val="20"/>
          <w:color w:val="auto"/>
        </w:rPr>
      </w:pPr>
      <w:r>
        <w:rPr>
          <w:rFonts w:ascii="Arial" w:cs="Arial" w:eastAsia="Arial" w:hAnsi="Arial"/>
          <w:sz w:val="14"/>
          <w:szCs w:val="14"/>
          <w:color w:val="auto"/>
        </w:rPr>
        <w:t>We have a 35% participating interest in the offshore Masela block where INPEX Masela is the operator. The Masela block contains the Abadi gas field. The operator has selected a floating LNG (FLNG) concept for the field’s development phase.</w:t>
      </w:r>
    </w:p>
    <w:p>
      <w:pPr>
        <w:spacing w:after="0" w:line="158" w:lineRule="exact"/>
        <w:rPr>
          <w:sz w:val="20"/>
          <w:szCs w:val="20"/>
          <w:color w:val="auto"/>
        </w:rPr>
      </w:pPr>
    </w:p>
    <w:p>
      <w:pPr>
        <w:spacing w:after="0"/>
        <w:rPr>
          <w:sz w:val="20"/>
          <w:szCs w:val="20"/>
          <w:color w:val="auto"/>
        </w:rPr>
      </w:pPr>
      <w:r>
        <w:rPr>
          <w:rFonts w:ascii="Arial" w:cs="Arial" w:eastAsia="Arial" w:hAnsi="Arial"/>
          <w:sz w:val="13"/>
          <w:szCs w:val="13"/>
          <w:color w:val="auto"/>
        </w:rPr>
        <w:t>IRAN</w:t>
      </w:r>
    </w:p>
    <w:p>
      <w:pPr>
        <w:ind w:right="280"/>
        <w:spacing w:after="0" w:line="258" w:lineRule="auto"/>
        <w:rPr>
          <w:sz w:val="20"/>
          <w:szCs w:val="20"/>
          <w:color w:val="auto"/>
        </w:rPr>
      </w:pPr>
      <w:r>
        <w:rPr>
          <w:rFonts w:ascii="Arial" w:cs="Arial" w:eastAsia="Arial" w:hAnsi="Arial"/>
          <w:sz w:val="14"/>
          <w:szCs w:val="14"/>
          <w:color w:val="auto"/>
        </w:rPr>
        <w:t>Shell transactions with Iran are disclosed separately. See “Section 13(r) of the US Securities Exchange Act of 1934 Disclosure”.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spacing w:after="0" w:line="1" w:lineRule="exact"/>
        <w:rPr>
          <w:sz w:val="1"/>
          <w:szCs w:val="1"/>
          <w:color w:val="auto"/>
        </w:rPr>
      </w:pPr>
    </w:p>
    <w:tbl>
      <w:tblPr>
        <w:tblLayout w:type="fixed"/>
        <w:tblInd w:w="740" w:type="dxa"/>
        <w:tblCellMar>
          <w:top w:w="0" w:type="dxa"/>
          <w:left w:w="0" w:type="dxa"/>
          <w:bottom w:w="0" w:type="dxa"/>
          <w:right w:w="0" w:type="dxa"/>
        </w:tblCellMar>
      </w:tblPr>
      <w:tr>
        <w:trPr>
          <w:trHeight w:val="161"/>
        </w:trPr>
        <w:tc>
          <w:tcPr>
            <w:tcW w:w="2760" w:type="dxa"/>
            <w:vAlign w:val="bottom"/>
          </w:tcPr>
          <w:p>
            <w:pPr>
              <w:spacing w:after="0"/>
              <w:rPr>
                <w:sz w:val="20"/>
                <w:szCs w:val="20"/>
                <w:color w:val="auto"/>
              </w:rPr>
            </w:pPr>
            <w:r>
              <w:rPr>
                <w:rFonts w:ascii="Arial" w:cs="Arial" w:eastAsia="Arial" w:hAnsi="Arial"/>
                <w:sz w:val="13"/>
                <w:szCs w:val="13"/>
                <w:color w:val="333333"/>
              </w:rPr>
              <w:t>STRATEGIC REPORT</w:t>
            </w:r>
          </w:p>
        </w:tc>
        <w:tc>
          <w:tcPr>
            <w:tcW w:w="1640" w:type="dxa"/>
            <w:vAlign w:val="bottom"/>
          </w:tcPr>
          <w:p>
            <w:pPr>
              <w:jc w:val="right"/>
              <w:spacing w:after="0"/>
              <w:rPr>
                <w:sz w:val="20"/>
                <w:szCs w:val="20"/>
                <w:color w:val="auto"/>
              </w:rPr>
            </w:pPr>
            <w:r>
              <w:rPr>
                <w:rFonts w:ascii="Arial" w:cs="Arial" w:eastAsia="Arial" w:hAnsi="Arial"/>
                <w:sz w:val="11"/>
                <w:szCs w:val="11"/>
                <w:b w:val="1"/>
                <w:bCs w:val="1"/>
                <w:color w:val="333333"/>
              </w:rPr>
              <w:t>27</w:t>
            </w:r>
          </w:p>
        </w:tc>
      </w:tr>
    </w:tbl>
    <w:p>
      <w:pPr>
        <w:spacing w:after="0" w:line="161" w:lineRule="exact"/>
        <w:rPr>
          <w:sz w:val="20"/>
          <w:szCs w:val="20"/>
          <w:color w:val="auto"/>
        </w:rPr>
      </w:pPr>
    </w:p>
    <w:p>
      <w:pPr>
        <w:ind w:left="740"/>
        <w:spacing w:after="0"/>
        <w:rPr>
          <w:sz w:val="20"/>
          <w:szCs w:val="20"/>
          <w:color w:val="auto"/>
        </w:rPr>
      </w:pPr>
      <w:r>
        <w:rPr>
          <w:rFonts w:ascii="Arial" w:cs="Arial" w:eastAsia="Arial" w:hAnsi="Arial"/>
          <w:sz w:val="11"/>
          <w:szCs w:val="11"/>
          <w:color w:val="auto"/>
        </w:rPr>
        <w:t>UPSTREAM</w:t>
      </w:r>
    </w:p>
    <w:p>
      <w:pPr>
        <w:spacing w:after="0" w:line="43" w:lineRule="exact"/>
        <w:rPr>
          <w:sz w:val="20"/>
          <w:szCs w:val="20"/>
          <w:color w:val="auto"/>
        </w:rPr>
      </w:pPr>
    </w:p>
    <w:p>
      <w:pPr>
        <w:spacing w:after="0"/>
        <w:rPr>
          <w:sz w:val="20"/>
          <w:szCs w:val="20"/>
          <w:color w:val="auto"/>
        </w:rPr>
      </w:pPr>
      <w:r>
        <w:rPr>
          <w:rFonts w:ascii="Arial" w:cs="Arial" w:eastAsia="Arial" w:hAnsi="Arial"/>
          <w:sz w:val="13"/>
          <w:szCs w:val="13"/>
          <w:color w:val="auto"/>
        </w:rPr>
        <w:t>IRAQ</w:t>
      </w:r>
    </w:p>
    <w:p>
      <w:pPr>
        <w:ind w:right="100"/>
        <w:spacing w:after="0" w:line="244" w:lineRule="auto"/>
        <w:rPr>
          <w:sz w:val="20"/>
          <w:szCs w:val="20"/>
          <w:color w:val="auto"/>
        </w:rPr>
      </w:pPr>
      <w:r>
        <w:rPr>
          <w:rFonts w:ascii="Arial" w:cs="Arial" w:eastAsia="Arial" w:hAnsi="Arial"/>
          <w:sz w:val="14"/>
          <w:szCs w:val="14"/>
          <w:color w:val="auto"/>
        </w:rPr>
        <w:t>We have a 45% interest in the Majnoon oil field that we operate under a technical service contract that expires in 2030. The other Majnoon shareholders are PETRONAS (30%) and the Iraqi government (25%), which is represented by the Missan Oil Company. Majnoon is located in southern Iraq and is one of the world’s largest oil fields. In 2013, we successfully restarted production and Majnoon reached the milestone of first commercial production of 175 thousand boe/d. In 2014, production at Majnoon averaged 194 thousand boe/d.</w:t>
      </w:r>
    </w:p>
    <w:p>
      <w:pPr>
        <w:spacing w:after="0" w:line="178" w:lineRule="exact"/>
        <w:rPr>
          <w:sz w:val="20"/>
          <w:szCs w:val="20"/>
          <w:color w:val="auto"/>
        </w:rPr>
      </w:pPr>
    </w:p>
    <w:p>
      <w:pPr>
        <w:ind w:right="160"/>
        <w:spacing w:after="0" w:line="247" w:lineRule="auto"/>
        <w:rPr>
          <w:sz w:val="20"/>
          <w:szCs w:val="20"/>
          <w:color w:val="auto"/>
        </w:rPr>
      </w:pPr>
      <w:r>
        <w:rPr>
          <w:rFonts w:ascii="Arial" w:cs="Arial" w:eastAsia="Arial" w:hAnsi="Arial"/>
          <w:sz w:val="14"/>
          <w:szCs w:val="14"/>
          <w:color w:val="auto"/>
        </w:rPr>
        <w:t>We also have a 20% interest in the West Qurna 1 field. Our participating interest in the West Qurna concession has increased from 15% to 20% when the contract was renegotiated in 2014 and the government share reduced from 25% to 5% and prorated to the funding shareholders.</w:t>
      </w:r>
    </w:p>
    <w:p>
      <w:pPr>
        <w:spacing w:after="0" w:line="161" w:lineRule="exact"/>
        <w:rPr>
          <w:sz w:val="20"/>
          <w:szCs w:val="20"/>
          <w:color w:val="auto"/>
        </w:rPr>
      </w:pPr>
    </w:p>
    <w:p>
      <w:pPr>
        <w:ind w:right="160"/>
        <w:spacing w:after="0" w:line="258" w:lineRule="auto"/>
        <w:rPr>
          <w:sz w:val="20"/>
          <w:szCs w:val="20"/>
          <w:color w:val="auto"/>
        </w:rPr>
      </w:pPr>
      <w:r>
        <w:rPr>
          <w:rFonts w:ascii="Arial" w:cs="Arial" w:eastAsia="Arial" w:hAnsi="Arial"/>
          <w:sz w:val="14"/>
          <w:szCs w:val="14"/>
          <w:color w:val="auto"/>
        </w:rPr>
        <w:t>According to the provisions of both contracts, Shell’s equity entitlement volumes will be lower than the Shell interest implies.</w:t>
      </w:r>
    </w:p>
    <w:p>
      <w:pPr>
        <w:spacing w:after="0" w:line="154" w:lineRule="exact"/>
        <w:rPr>
          <w:sz w:val="20"/>
          <w:szCs w:val="20"/>
          <w:color w:val="auto"/>
        </w:rPr>
      </w:pPr>
    </w:p>
    <w:p>
      <w:pPr>
        <w:ind w:right="120"/>
        <w:spacing w:after="0" w:line="245" w:lineRule="auto"/>
        <w:rPr>
          <w:sz w:val="20"/>
          <w:szCs w:val="20"/>
          <w:color w:val="auto"/>
        </w:rPr>
      </w:pPr>
      <w:r>
        <w:rPr>
          <w:rFonts w:ascii="Arial" w:cs="Arial" w:eastAsia="Arial" w:hAnsi="Arial"/>
          <w:sz w:val="14"/>
          <w:szCs w:val="14"/>
          <w:color w:val="auto"/>
        </w:rPr>
        <w:t>We also have a 44% interest in the Basrah Gas Company, which gathers, treats and processes associated gas produced from the Rumaila, West Qurna 1 and Zubair fields that was previously being flared. The processed gas and associated products, such as condensate and liquefied petroleum gas (LPG), are sold primarily to the domestic market with the potential to export any surplus.</w:t>
      </w:r>
    </w:p>
    <w:p>
      <w:pPr>
        <w:spacing w:after="0" w:line="163" w:lineRule="exact"/>
        <w:rPr>
          <w:sz w:val="20"/>
          <w:szCs w:val="20"/>
          <w:color w:val="auto"/>
        </w:rPr>
      </w:pPr>
    </w:p>
    <w:p>
      <w:pPr>
        <w:spacing w:after="0"/>
        <w:rPr>
          <w:sz w:val="20"/>
          <w:szCs w:val="20"/>
          <w:color w:val="auto"/>
        </w:rPr>
      </w:pPr>
      <w:r>
        <w:rPr>
          <w:rFonts w:ascii="Arial" w:cs="Arial" w:eastAsia="Arial" w:hAnsi="Arial"/>
          <w:sz w:val="13"/>
          <w:szCs w:val="13"/>
          <w:color w:val="auto"/>
        </w:rPr>
        <w:t>KAZAKHSTAN</w:t>
      </w:r>
    </w:p>
    <w:p>
      <w:pPr>
        <w:ind w:right="60"/>
        <w:spacing w:after="0" w:line="243" w:lineRule="auto"/>
        <w:rPr>
          <w:sz w:val="20"/>
          <w:szCs w:val="20"/>
          <w:color w:val="auto"/>
        </w:rPr>
      </w:pPr>
      <w:r>
        <w:rPr>
          <w:rFonts w:ascii="Arial" w:cs="Arial" w:eastAsia="Arial" w:hAnsi="Arial"/>
          <w:sz w:val="14"/>
          <w:szCs w:val="14"/>
          <w:color w:val="auto"/>
        </w:rPr>
        <w:t>We have a 16.8% interest in the offshore Kashagan field, where the North Caspian Operating Company is the operator. This shallow-water field covers an area of approximately 3,400 square kilometres. Phase 1 development of the field is expected to lead to plateau production of about 300 thousand boe/d, on a 100% basis, increasing further with additional phases of development. After the start of production from the Kashagan field in September 2013, operations had to be stopped in October 2013 due to gas leaks from the sour gas pipeline. Following investigations, it has been decided that both the oil and the gas pipeline will be replaced. Replacement activities are ongoing, with production expected to restart in 2017.</w:t>
      </w:r>
    </w:p>
    <w:p>
      <w:pPr>
        <w:spacing w:after="0" w:line="167" w:lineRule="exact"/>
        <w:rPr>
          <w:sz w:val="20"/>
          <w:szCs w:val="20"/>
          <w:color w:val="auto"/>
        </w:rPr>
      </w:pPr>
    </w:p>
    <w:p>
      <w:pPr>
        <w:ind w:right="20"/>
        <w:spacing w:after="0" w:line="250" w:lineRule="auto"/>
        <w:rPr>
          <w:sz w:val="20"/>
          <w:szCs w:val="20"/>
          <w:color w:val="auto"/>
        </w:rPr>
      </w:pPr>
      <w:r>
        <w:rPr>
          <w:rFonts w:ascii="Arial" w:cs="Arial" w:eastAsia="Arial" w:hAnsi="Arial"/>
          <w:sz w:val="14"/>
          <w:szCs w:val="14"/>
          <w:color w:val="auto"/>
        </w:rPr>
        <w:t>We have an interest of 55% in the Pearls PSC, covering an area of approximately 900 square kilometres in the Kazakh sector of the Caspian Sea. It includes two oil discoveries, Auezov and Khazar.</w:t>
      </w:r>
    </w:p>
    <w:p>
      <w:pPr>
        <w:spacing w:after="0" w:line="144" w:lineRule="exact"/>
        <w:rPr>
          <w:sz w:val="20"/>
          <w:szCs w:val="20"/>
          <w:color w:val="auto"/>
        </w:rPr>
      </w:pPr>
    </w:p>
    <w:p>
      <w:pPr>
        <w:spacing w:after="0"/>
        <w:rPr>
          <w:sz w:val="20"/>
          <w:szCs w:val="20"/>
          <w:color w:val="auto"/>
        </w:rPr>
      </w:pPr>
      <w:r>
        <w:rPr>
          <w:rFonts w:ascii="Arial" w:cs="Arial" w:eastAsia="Arial" w:hAnsi="Arial"/>
          <w:sz w:val="13"/>
          <w:szCs w:val="13"/>
          <w:color w:val="auto"/>
        </w:rPr>
        <w:t>MALAYSIA</w:t>
      </w:r>
    </w:p>
    <w:p>
      <w:pPr>
        <w:ind w:right="160"/>
        <w:spacing w:after="0" w:line="258" w:lineRule="auto"/>
        <w:rPr>
          <w:sz w:val="20"/>
          <w:szCs w:val="20"/>
          <w:color w:val="auto"/>
        </w:rPr>
      </w:pPr>
      <w:r>
        <w:rPr>
          <w:rFonts w:ascii="Arial" w:cs="Arial" w:eastAsia="Arial" w:hAnsi="Arial"/>
          <w:sz w:val="14"/>
          <w:szCs w:val="14"/>
          <w:color w:val="auto"/>
        </w:rPr>
        <w:t>We explore for and produce oil and gas located offshore Sabah and Sarawak under 19 PSCs, in which our interests range from 20% to 85%.</w:t>
      </w:r>
    </w:p>
    <w:p>
      <w:pPr>
        <w:spacing w:after="0" w:line="167" w:lineRule="exact"/>
        <w:rPr>
          <w:sz w:val="20"/>
          <w:szCs w:val="20"/>
          <w:color w:val="auto"/>
        </w:rPr>
      </w:pPr>
    </w:p>
    <w:p>
      <w:pPr>
        <w:ind w:right="20"/>
        <w:spacing w:after="0" w:line="243" w:lineRule="auto"/>
        <w:rPr>
          <w:sz w:val="20"/>
          <w:szCs w:val="20"/>
          <w:color w:val="auto"/>
        </w:rPr>
      </w:pPr>
      <w:r>
        <w:rPr>
          <w:rFonts w:ascii="Arial" w:cs="Arial" w:eastAsia="Arial" w:hAnsi="Arial"/>
          <w:sz w:val="14"/>
          <w:szCs w:val="14"/>
          <w:color w:val="auto"/>
        </w:rPr>
        <w:t>Offshore Sabah, we operate five producing oil fields (Shell interests ranging from 29% to 50%). These include the Gumusut-Kakap deep-water field (Shell interest 29%) where production via a dedicated floating production system commenced in October 2014. We have additional interests ranging from 30% to 50% in PSCs for the exploration and development of four deep-water blocks. These include the Malikai field (Shell interest 35%) which is being developed with Shell as the operator. We also have a 21% interest in the Siakap North-Petai field, which commenced production in 2014, and a 30% interest in the Kebabangan field.</w:t>
      </w:r>
    </w:p>
    <w:p>
      <w:pPr>
        <w:spacing w:after="0" w:line="168" w:lineRule="exact"/>
        <w:rPr>
          <w:sz w:val="20"/>
          <w:szCs w:val="20"/>
          <w:color w:val="auto"/>
        </w:rPr>
      </w:pPr>
    </w:p>
    <w:p>
      <w:pPr>
        <w:spacing w:after="0" w:line="244" w:lineRule="auto"/>
        <w:rPr>
          <w:sz w:val="20"/>
          <w:szCs w:val="20"/>
          <w:color w:val="auto"/>
        </w:rPr>
      </w:pPr>
      <w:r>
        <w:rPr>
          <w:rFonts w:ascii="Arial" w:cs="Arial" w:eastAsia="Arial" w:hAnsi="Arial"/>
          <w:sz w:val="14"/>
          <w:szCs w:val="14"/>
          <w:color w:val="auto"/>
        </w:rPr>
        <w:t>Offshore Sarawak, we are the operator of 17 producing gas fields (Shell interests ranging from 37.5% to 70%). Nearly all of the gas produced is supplied to Malaysia LNG in Bintulu where we have a 15% interest in the Dua (where our licence is due to expire in 2015) and Tiga LNG plants. We also have a 40% interest in the 2011 Baram Delta EOR PSC and a 50% interest in Block SK-307. Additionally, we have interests in five exploration PSCs: Deepwater Block 2B, SK318, SK319, SK408 and SK320.</w:t>
      </w:r>
    </w:p>
    <w:p>
      <w:pPr>
        <w:sectPr>
          <w:pgSz w:w="11900" w:h="16838" w:orient="portrait"/>
          <w:cols w:equalWidth="0" w:num="2">
            <w:col w:w="5480" w:space="300"/>
            <w:col w:w="5480"/>
          </w:cols>
          <w:pgMar w:left="240" w:top="459" w:right="399" w:bottom="1440" w:gutter="0" w:footer="0" w:header="0"/>
          <w:type w:val="continuous"/>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300355</wp:posOffset>
            </wp:positionV>
            <wp:extent cx="3627755" cy="46291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3627755" cy="462915"/>
                    </a:xfrm>
                    <a:prstGeom prst="rect">
                      <a:avLst/>
                    </a:prstGeom>
                    <a:noFill/>
                  </pic:spPr>
                </pic:pic>
              </a:graphicData>
            </a:graphic>
          </wp:anchor>
        </w:drawing>
      </w:r>
    </w:p>
    <w:p>
      <w:pPr>
        <w:spacing w:after="0" w:line="200" w:lineRule="exact"/>
        <w:rPr>
          <w:sz w:val="20"/>
          <w:szCs w:val="20"/>
          <w:color w:val="auto"/>
        </w:rPr>
      </w:pP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419"/>
        </w:trPr>
        <w:tc>
          <w:tcPr>
            <w:tcW w:w="2080" w:type="dxa"/>
            <w:vAlign w:val="bottom"/>
            <w:shd w:val="clear" w:color="auto" w:fill="FF8B00"/>
          </w:tcPr>
          <w:p>
            <w:pPr>
              <w:spacing w:after="0"/>
              <w:rPr>
                <w:sz w:val="24"/>
                <w:szCs w:val="24"/>
                <w:color w:val="auto"/>
              </w:rPr>
            </w:pPr>
          </w:p>
        </w:tc>
        <w:tc>
          <w:tcPr>
            <w:tcW w:w="3640" w:type="dxa"/>
            <w:vAlign w:val="bottom"/>
            <w:shd w:val="clear" w:color="auto" w:fill="FF8B00"/>
          </w:tcPr>
          <w:p>
            <w:pPr>
              <w:spacing w:after="0"/>
              <w:rPr>
                <w:sz w:val="24"/>
                <w:szCs w:val="24"/>
                <w:color w:val="auto"/>
              </w:rPr>
            </w:pPr>
          </w:p>
        </w:tc>
      </w:tr>
      <w:tr>
        <w:trPr>
          <w:trHeight w:val="152"/>
        </w:trPr>
        <w:tc>
          <w:tcPr>
            <w:tcW w:w="2080" w:type="dxa"/>
            <w:vAlign w:val="bottom"/>
          </w:tcPr>
          <w:p>
            <w:pPr>
              <w:jc w:val="right"/>
              <w:ind w:right="1546"/>
              <w:spacing w:after="0"/>
              <w:rPr>
                <w:sz w:val="20"/>
                <w:szCs w:val="20"/>
                <w:color w:val="auto"/>
              </w:rPr>
            </w:pPr>
            <w:r>
              <w:rPr>
                <w:rFonts w:ascii="Arial" w:cs="Arial" w:eastAsia="Arial" w:hAnsi="Arial"/>
                <w:sz w:val="11"/>
                <w:szCs w:val="11"/>
                <w:b w:val="1"/>
                <w:bCs w:val="1"/>
                <w:color w:val="333333"/>
              </w:rPr>
              <w:t>28</w:t>
            </w:r>
          </w:p>
        </w:tc>
        <w:tc>
          <w:tcPr>
            <w:tcW w:w="3640" w:type="dxa"/>
            <w:vAlign w:val="bottom"/>
          </w:tcPr>
          <w:p>
            <w:pPr>
              <w:ind w:left="1580"/>
              <w:spacing w:after="0"/>
              <w:rPr>
                <w:sz w:val="20"/>
                <w:szCs w:val="20"/>
                <w:color w:val="auto"/>
              </w:rPr>
            </w:pPr>
            <w:r>
              <w:rPr>
                <w:rFonts w:ascii="Arial" w:cs="Arial" w:eastAsia="Arial" w:hAnsi="Arial"/>
                <w:sz w:val="13"/>
                <w:szCs w:val="13"/>
                <w:color w:val="333333"/>
              </w:rPr>
              <w:t>STRATEGIC REPORT</w:t>
            </w:r>
          </w:p>
        </w:tc>
      </w:tr>
    </w:tbl>
    <w:p>
      <w:pPr>
        <w:spacing w:after="0" w:line="155" w:lineRule="exact"/>
        <w:rPr>
          <w:sz w:val="20"/>
          <w:szCs w:val="20"/>
          <w:color w:val="auto"/>
        </w:rPr>
      </w:pPr>
    </w:p>
    <w:p>
      <w:pPr>
        <w:ind w:left="4340"/>
        <w:spacing w:after="0"/>
        <w:rPr>
          <w:sz w:val="20"/>
          <w:szCs w:val="20"/>
          <w:color w:val="auto"/>
        </w:rPr>
      </w:pPr>
      <w:r>
        <w:rPr>
          <w:rFonts w:ascii="Arial" w:cs="Arial" w:eastAsia="Arial" w:hAnsi="Arial"/>
          <w:sz w:val="11"/>
          <w:szCs w:val="11"/>
          <w:color w:val="auto"/>
        </w:rPr>
        <w:t>UPSTREAM</w:t>
      </w:r>
    </w:p>
    <w:p>
      <w:pPr>
        <w:spacing w:after="0" w:line="48" w:lineRule="exact"/>
        <w:rPr>
          <w:sz w:val="20"/>
          <w:szCs w:val="20"/>
          <w:color w:val="auto"/>
        </w:rPr>
      </w:pPr>
    </w:p>
    <w:p>
      <w:pPr>
        <w:spacing w:after="0"/>
        <w:rPr>
          <w:sz w:val="20"/>
          <w:szCs w:val="20"/>
          <w:color w:val="auto"/>
        </w:rPr>
      </w:pPr>
      <w:r>
        <w:rPr>
          <w:rFonts w:ascii="Arial" w:cs="Arial" w:eastAsia="Arial" w:hAnsi="Arial"/>
          <w:sz w:val="24"/>
          <w:szCs w:val="24"/>
          <w:color w:val="auto"/>
        </w:rPr>
        <w:t xml:space="preserve">UPSTREAM </w:t>
      </w:r>
      <w:r>
        <w:rPr>
          <w:rFonts w:ascii="Arial" w:cs="Arial" w:eastAsia="Arial" w:hAnsi="Arial"/>
          <w:sz w:val="24"/>
          <w:szCs w:val="24"/>
          <w:color w:val="666666"/>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347345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spacing w:after="0" w:line="199" w:lineRule="exact"/>
        <w:rPr>
          <w:sz w:val="20"/>
          <w:szCs w:val="20"/>
          <w:color w:val="auto"/>
        </w:rPr>
      </w:pPr>
    </w:p>
    <w:p>
      <w:pPr>
        <w:ind w:right="300"/>
        <w:spacing w:after="0" w:line="250" w:lineRule="auto"/>
        <w:rPr>
          <w:sz w:val="20"/>
          <w:szCs w:val="20"/>
          <w:color w:val="auto"/>
        </w:rPr>
      </w:pPr>
      <w:r>
        <w:rPr>
          <w:rFonts w:ascii="Arial" w:cs="Arial" w:eastAsia="Arial" w:hAnsi="Arial"/>
          <w:sz w:val="14"/>
          <w:szCs w:val="14"/>
          <w:color w:val="auto"/>
        </w:rPr>
        <w:t>We operate a gas-to-liquids (GTL) plant (Shell interest 72%) adjacent to the Malaysia LNG facilities in Bintulu. Using Shell technology, the plant converts gas into high-quality middle distillates, drilling fluids, waxes and speciality products.</w:t>
      </w:r>
    </w:p>
    <w:p>
      <w:pPr>
        <w:spacing w:after="0" w:line="144" w:lineRule="exact"/>
        <w:rPr>
          <w:sz w:val="20"/>
          <w:szCs w:val="20"/>
          <w:color w:val="auto"/>
        </w:rPr>
      </w:pPr>
    </w:p>
    <w:p>
      <w:pPr>
        <w:spacing w:after="0"/>
        <w:rPr>
          <w:sz w:val="20"/>
          <w:szCs w:val="20"/>
          <w:color w:val="auto"/>
        </w:rPr>
      </w:pPr>
      <w:r>
        <w:rPr>
          <w:rFonts w:ascii="Arial" w:cs="Arial" w:eastAsia="Arial" w:hAnsi="Arial"/>
          <w:sz w:val="13"/>
          <w:szCs w:val="13"/>
          <w:color w:val="auto"/>
        </w:rPr>
        <w:t>OMAN</w:t>
      </w:r>
    </w:p>
    <w:p>
      <w:pPr>
        <w:ind w:right="340"/>
        <w:spacing w:after="0" w:line="244" w:lineRule="auto"/>
        <w:rPr>
          <w:sz w:val="20"/>
          <w:szCs w:val="20"/>
          <w:color w:val="auto"/>
        </w:rPr>
      </w:pPr>
      <w:r>
        <w:rPr>
          <w:rFonts w:ascii="Arial" w:cs="Arial" w:eastAsia="Arial" w:hAnsi="Arial"/>
          <w:sz w:val="14"/>
          <w:szCs w:val="14"/>
          <w:color w:val="auto"/>
        </w:rPr>
        <w:t>We have a 34% interest in Petroleum Development Oman (PDO); the Omani government has a 60% interest. PDO is the operator of more than 160 oil fields, mainly located in central and southern Oman over an area of 114,000 square kilometres. The concession expires in 2044. During 2014, the Amal steam enhanced oil recovery project has been ramping up towards its expected peak production following a successful start-up in 2013.</w:t>
      </w:r>
    </w:p>
    <w:p>
      <w:pPr>
        <w:spacing w:after="0" w:line="166" w:lineRule="exact"/>
        <w:rPr>
          <w:sz w:val="20"/>
          <w:szCs w:val="20"/>
          <w:color w:val="auto"/>
        </w:rPr>
      </w:pPr>
    </w:p>
    <w:p>
      <w:pPr>
        <w:ind w:right="360"/>
        <w:spacing w:after="0" w:line="258" w:lineRule="auto"/>
        <w:rPr>
          <w:sz w:val="20"/>
          <w:szCs w:val="20"/>
          <w:color w:val="auto"/>
        </w:rPr>
      </w:pPr>
      <w:r>
        <w:rPr>
          <w:rFonts w:ascii="Arial" w:cs="Arial" w:eastAsia="Arial" w:hAnsi="Arial"/>
          <w:sz w:val="14"/>
          <w:szCs w:val="14"/>
          <w:color w:val="auto"/>
        </w:rPr>
        <w:t>We are also participating in the Mukhaizna oil field (Shell interest 17%) where steam flooding, an enhanced oil recovery method, is being applied on a large scale.</w:t>
      </w:r>
    </w:p>
    <w:p>
      <w:pPr>
        <w:spacing w:after="0" w:line="167" w:lineRule="exact"/>
        <w:rPr>
          <w:sz w:val="20"/>
          <w:szCs w:val="20"/>
          <w:color w:val="auto"/>
        </w:rPr>
      </w:pPr>
    </w:p>
    <w:p>
      <w:pPr>
        <w:jc w:val="both"/>
        <w:ind w:right="440"/>
        <w:spacing w:after="0" w:line="250" w:lineRule="auto"/>
        <w:rPr>
          <w:sz w:val="20"/>
          <w:szCs w:val="20"/>
          <w:color w:val="auto"/>
        </w:rPr>
      </w:pPr>
      <w:r>
        <w:rPr>
          <w:rFonts w:ascii="Arial" w:cs="Arial" w:eastAsia="Arial" w:hAnsi="Arial"/>
          <w:sz w:val="14"/>
          <w:szCs w:val="14"/>
          <w:color w:val="auto"/>
        </w:rPr>
        <w:t>We have a 30% interest in Oman LNG, which mainly supplies Asian markets under long-term contracts. We also have an 11% indirect interest in Qalhat LNG, another LNG facility in the country.</w:t>
      </w:r>
    </w:p>
    <w:p>
      <w:pPr>
        <w:spacing w:after="0" w:line="144" w:lineRule="exact"/>
        <w:rPr>
          <w:sz w:val="20"/>
          <w:szCs w:val="20"/>
          <w:color w:val="auto"/>
        </w:rPr>
      </w:pPr>
    </w:p>
    <w:p>
      <w:pPr>
        <w:spacing w:after="0"/>
        <w:rPr>
          <w:sz w:val="20"/>
          <w:szCs w:val="20"/>
          <w:color w:val="auto"/>
        </w:rPr>
      </w:pPr>
      <w:r>
        <w:rPr>
          <w:rFonts w:ascii="Arial" w:cs="Arial" w:eastAsia="Arial" w:hAnsi="Arial"/>
          <w:sz w:val="13"/>
          <w:szCs w:val="13"/>
          <w:color w:val="auto"/>
        </w:rPr>
        <w:t>QATAR</w:t>
      </w:r>
    </w:p>
    <w:p>
      <w:pPr>
        <w:ind w:right="300"/>
        <w:spacing w:after="0" w:line="244" w:lineRule="auto"/>
        <w:rPr>
          <w:sz w:val="20"/>
          <w:szCs w:val="20"/>
          <w:color w:val="auto"/>
        </w:rPr>
      </w:pPr>
      <w:r>
        <w:rPr>
          <w:rFonts w:ascii="Arial" w:cs="Arial" w:eastAsia="Arial" w:hAnsi="Arial"/>
          <w:sz w:val="14"/>
          <w:szCs w:val="14"/>
          <w:color w:val="auto"/>
        </w:rPr>
        <w:t>Pearl in Qatar is the world’s largest GTL plant. Shell operates it under a development and production-sharing contract with the government. The fully integrated facility includes production, transport and processing of 1.6 billion scf/d of gas from Qatar’s North Field. It has an installed capacity of about 140 thousand boe/d of high-quality liquid hydrocarbon products and 120 thousand boe/d of NGL and ethane. In 2014, Pearl produced 4.5 million tonnes of GTL products.</w:t>
      </w:r>
    </w:p>
    <w:p>
      <w:pPr>
        <w:spacing w:after="0" w:line="166" w:lineRule="exact"/>
        <w:rPr>
          <w:sz w:val="20"/>
          <w:szCs w:val="20"/>
          <w:color w:val="auto"/>
        </w:rPr>
      </w:pPr>
    </w:p>
    <w:p>
      <w:pPr>
        <w:ind w:right="460"/>
        <w:spacing w:after="0" w:line="258" w:lineRule="auto"/>
        <w:rPr>
          <w:sz w:val="20"/>
          <w:szCs w:val="20"/>
          <w:color w:val="auto"/>
        </w:rPr>
      </w:pPr>
      <w:r>
        <w:rPr>
          <w:rFonts w:ascii="Arial" w:cs="Arial" w:eastAsia="Arial" w:hAnsi="Arial"/>
          <w:sz w:val="14"/>
          <w:szCs w:val="14"/>
          <w:color w:val="auto"/>
        </w:rPr>
        <w:t>Of Pearl’s two trains, the first train is undergoing maintenance in the first quarter of 2015, for an estimated two month period.</w:t>
      </w:r>
    </w:p>
    <w:p>
      <w:pPr>
        <w:spacing w:after="0" w:line="167" w:lineRule="exact"/>
        <w:rPr>
          <w:sz w:val="20"/>
          <w:szCs w:val="20"/>
          <w:color w:val="auto"/>
        </w:rPr>
      </w:pPr>
    </w:p>
    <w:p>
      <w:pPr>
        <w:ind w:right="360"/>
        <w:spacing w:after="0" w:line="245" w:lineRule="auto"/>
        <w:rPr>
          <w:sz w:val="20"/>
          <w:szCs w:val="20"/>
          <w:color w:val="auto"/>
        </w:rPr>
      </w:pPr>
      <w:r>
        <w:rPr>
          <w:rFonts w:ascii="Arial" w:cs="Arial" w:eastAsia="Arial" w:hAnsi="Arial"/>
          <w:sz w:val="14"/>
          <w:szCs w:val="14"/>
          <w:color w:val="auto"/>
        </w:rPr>
        <w:t>We have a 30% interest in Qatargas 4, which comprises integrated facilities to produce about 1.4 billion scf/d of gas from Qatar’s North Field, an onshore gas-processing facility and an LNG train with a collective production capacity of 7.8 mtpa of LNG and 70 thousand boe/d of condensate and NGL. The LNG is shipped mainly to China, Europe and the United Arab Emirates.</w:t>
      </w:r>
    </w:p>
    <w:p>
      <w:pPr>
        <w:spacing w:after="0" w:line="150" w:lineRule="exact"/>
        <w:rPr>
          <w:sz w:val="20"/>
          <w:szCs w:val="20"/>
          <w:color w:val="auto"/>
        </w:rPr>
      </w:pPr>
    </w:p>
    <w:p>
      <w:pPr>
        <w:spacing w:after="0"/>
        <w:rPr>
          <w:sz w:val="20"/>
          <w:szCs w:val="20"/>
          <w:color w:val="auto"/>
        </w:rPr>
      </w:pPr>
      <w:r>
        <w:rPr>
          <w:rFonts w:ascii="Arial" w:cs="Arial" w:eastAsia="Arial" w:hAnsi="Arial"/>
          <w:sz w:val="13"/>
          <w:szCs w:val="13"/>
          <w:color w:val="auto"/>
        </w:rPr>
        <w:t>RUSSIA</w:t>
      </w:r>
    </w:p>
    <w:p>
      <w:pPr>
        <w:ind w:right="300"/>
        <w:spacing w:after="0" w:line="250" w:lineRule="auto"/>
        <w:rPr>
          <w:sz w:val="20"/>
          <w:szCs w:val="20"/>
          <w:color w:val="auto"/>
        </w:rPr>
      </w:pPr>
      <w:r>
        <w:rPr>
          <w:rFonts w:ascii="Arial" w:cs="Arial" w:eastAsia="Arial" w:hAnsi="Arial"/>
          <w:sz w:val="14"/>
          <w:szCs w:val="14"/>
          <w:color w:val="auto"/>
        </w:rPr>
        <w:t>We have a 27.5% interest in Sakhalin-2, an integrated oil and gas project located in a subarctic environment. In 2014, the project produced 320 thousand boe/d and the output of LNG exceeded 10 million tonnes.</w:t>
      </w:r>
    </w:p>
    <w:p>
      <w:pPr>
        <w:spacing w:after="0" w:line="159" w:lineRule="exact"/>
        <w:rPr>
          <w:sz w:val="20"/>
          <w:szCs w:val="20"/>
          <w:color w:val="auto"/>
        </w:rPr>
      </w:pPr>
    </w:p>
    <w:p>
      <w:pPr>
        <w:ind w:right="300"/>
        <w:spacing w:after="0" w:line="247" w:lineRule="auto"/>
        <w:rPr>
          <w:sz w:val="20"/>
          <w:szCs w:val="20"/>
          <w:color w:val="auto"/>
        </w:rPr>
      </w:pPr>
      <w:r>
        <w:rPr>
          <w:rFonts w:ascii="Arial" w:cs="Arial" w:eastAsia="Arial" w:hAnsi="Arial"/>
          <w:sz w:val="14"/>
          <w:szCs w:val="14"/>
          <w:color w:val="auto"/>
        </w:rPr>
        <w:t>We have a 100% interest in an exploration and production licence for the Lenzitsky block in the Yamalo Nenets Autonomous District. In 2014, we returned the Arkatoisky (also in the Yamalo Nenets Autonomous District) and the Barun-Yustinsky (in Kalmykia) licence blocks to the government.</w:t>
      </w:r>
    </w:p>
    <w:p>
      <w:pPr>
        <w:spacing w:after="0" w:line="175" w:lineRule="exact"/>
        <w:rPr>
          <w:sz w:val="20"/>
          <w:szCs w:val="20"/>
          <w:color w:val="auto"/>
        </w:rPr>
      </w:pPr>
    </w:p>
    <w:p>
      <w:pPr>
        <w:jc w:val="both"/>
        <w:ind w:right="360"/>
        <w:spacing w:after="0" w:line="250" w:lineRule="auto"/>
        <w:rPr>
          <w:sz w:val="20"/>
          <w:szCs w:val="20"/>
          <w:color w:val="auto"/>
        </w:rPr>
      </w:pPr>
      <w:r>
        <w:rPr>
          <w:rFonts w:ascii="Arial" w:cs="Arial" w:eastAsia="Arial" w:hAnsi="Arial"/>
          <w:sz w:val="14"/>
          <w:szCs w:val="14"/>
          <w:color w:val="auto"/>
        </w:rPr>
        <w:t>We also have a 50% interest through Khanty-Mansiysk Petroleum Alliance V.O.F. (a 50:50 joint venture with Gazprom Neft) in three exploration licence blocks in western Siberia: South Lungorsky 1, Yuilsky 4 and Yuilsky 5.</w:t>
      </w:r>
    </w:p>
    <w:p>
      <w:pPr>
        <w:spacing w:after="0" w:line="159" w:lineRule="exact"/>
        <w:rPr>
          <w:sz w:val="20"/>
          <w:szCs w:val="20"/>
          <w:color w:val="auto"/>
        </w:rPr>
      </w:pPr>
    </w:p>
    <w:p>
      <w:pPr>
        <w:ind w:right="320"/>
        <w:spacing w:after="0" w:line="258" w:lineRule="auto"/>
        <w:rPr>
          <w:sz w:val="20"/>
          <w:szCs w:val="20"/>
          <w:color w:val="auto"/>
        </w:rPr>
      </w:pPr>
      <w:r>
        <w:rPr>
          <w:rFonts w:ascii="Arial" w:cs="Arial" w:eastAsia="Arial" w:hAnsi="Arial"/>
          <w:sz w:val="14"/>
          <w:szCs w:val="14"/>
          <w:color w:val="auto"/>
        </w:rPr>
        <w:t>We have a 50% interest in the Salym fields in western Siberia, where production was 130 thousand boe/d in 2014.</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left="3240"/>
        <w:spacing w:after="0"/>
        <w:rPr>
          <w:sz w:val="20"/>
          <w:szCs w:val="20"/>
          <w:color w:val="auto"/>
        </w:rPr>
      </w:pPr>
      <w:r>
        <w:rPr>
          <w:rFonts w:ascii="Arial" w:cs="Arial" w:eastAsia="Arial" w:hAnsi="Arial"/>
          <w:sz w:val="10"/>
          <w:szCs w:val="10"/>
          <w:color w:val="auto"/>
        </w:rPr>
        <w:t>SHELL ANNUAL REPORT AND FORM 20-F 2014</w:t>
      </w:r>
    </w:p>
    <w:p>
      <w:pPr>
        <w:spacing w:after="0" w:line="69" w:lineRule="exact"/>
        <w:rPr>
          <w:sz w:val="20"/>
          <w:szCs w:val="20"/>
          <w:color w:val="auto"/>
        </w:rPr>
      </w:pPr>
    </w:p>
    <w:p>
      <w:pPr>
        <w:ind w:right="180"/>
        <w:spacing w:after="0" w:line="250" w:lineRule="auto"/>
        <w:rPr>
          <w:sz w:val="20"/>
          <w:szCs w:val="20"/>
          <w:color w:val="auto"/>
        </w:rPr>
      </w:pPr>
      <w:r>
        <w:rPr>
          <w:rFonts w:ascii="Arial" w:cs="Arial" w:eastAsia="Arial" w:hAnsi="Arial"/>
          <w:sz w:val="14"/>
          <w:szCs w:val="14"/>
          <w:color w:val="auto"/>
        </w:rPr>
        <w:t>As a result of EU and US sanctions prohibiting defined oil and gas activities in Russia, in 2014 we paused our liquids-rich shales exploration activities, which were being undertaken through Salym and Khanty-Mansiysk Petroleum Alliance V.O.F.</w:t>
      </w:r>
    </w:p>
    <w:p>
      <w:pPr>
        <w:spacing w:after="0" w:line="158" w:lineRule="exact"/>
        <w:rPr>
          <w:sz w:val="20"/>
          <w:szCs w:val="20"/>
          <w:color w:val="auto"/>
        </w:rPr>
      </w:pPr>
    </w:p>
    <w:p>
      <w:pPr>
        <w:spacing w:after="0"/>
        <w:rPr>
          <w:sz w:val="20"/>
          <w:szCs w:val="20"/>
          <w:color w:val="auto"/>
        </w:rPr>
      </w:pPr>
      <w:r>
        <w:rPr>
          <w:rFonts w:ascii="Arial" w:cs="Arial" w:eastAsia="Arial" w:hAnsi="Arial"/>
          <w:sz w:val="13"/>
          <w:szCs w:val="13"/>
          <w:color w:val="auto"/>
        </w:rPr>
        <w:t>UNITED ARAB EMIRATES</w:t>
      </w:r>
    </w:p>
    <w:p>
      <w:pPr>
        <w:ind w:right="280"/>
        <w:spacing w:after="0" w:line="244" w:lineRule="auto"/>
        <w:rPr>
          <w:sz w:val="20"/>
          <w:szCs w:val="20"/>
          <w:color w:val="auto"/>
        </w:rPr>
      </w:pPr>
      <w:r>
        <w:rPr>
          <w:rFonts w:ascii="Arial" w:cs="Arial" w:eastAsia="Arial" w:hAnsi="Arial"/>
          <w:sz w:val="14"/>
          <w:szCs w:val="14"/>
          <w:color w:val="auto"/>
        </w:rPr>
        <w:t>In Abu Dhabi, we held a concessionary interest of 9.5% in the oil and gas operations run by Abu Dhabi Company for Onshore Oil Operations (ADCO) from 1939 to January 2014, when the licence expired. We also have a 15% interest in the licence of Abu Dhabi Gas Industries Limited (GASCO), which expires in 2028. GASCO exports propane, butane and heavier-liquid hydrocarbons, which it extracts from the wet gas associated with the oil produced by ADCO.</w:t>
      </w:r>
    </w:p>
    <w:p>
      <w:pPr>
        <w:spacing w:after="0" w:line="166" w:lineRule="exact"/>
        <w:rPr>
          <w:sz w:val="20"/>
          <w:szCs w:val="20"/>
          <w:color w:val="auto"/>
        </w:rPr>
      </w:pPr>
    </w:p>
    <w:p>
      <w:pPr>
        <w:ind w:right="280"/>
        <w:spacing w:after="0" w:line="247" w:lineRule="auto"/>
        <w:rPr>
          <w:sz w:val="20"/>
          <w:szCs w:val="20"/>
          <w:color w:val="auto"/>
        </w:rPr>
      </w:pPr>
      <w:r>
        <w:rPr>
          <w:rFonts w:ascii="Arial" w:cs="Arial" w:eastAsia="Arial" w:hAnsi="Arial"/>
          <w:sz w:val="14"/>
          <w:szCs w:val="14"/>
          <w:color w:val="auto"/>
        </w:rPr>
        <w:t>We also participate in a 30-year joint venture to potentially develop the Bab sour gas reservoirs in Abu Dhabi (Shell interest 40%). Shell and the Abu Dhabi National Oil Company are in a period of commercial and technical work that may lead to development, subject to the signing of the respective joint-venture agreements.</w:t>
      </w:r>
    </w:p>
    <w:p>
      <w:pPr>
        <w:spacing w:after="0" w:line="147" w:lineRule="exact"/>
        <w:rPr>
          <w:sz w:val="20"/>
          <w:szCs w:val="20"/>
          <w:color w:val="auto"/>
        </w:rPr>
      </w:pPr>
    </w:p>
    <w:p>
      <w:pPr>
        <w:spacing w:after="0"/>
        <w:rPr>
          <w:sz w:val="20"/>
          <w:szCs w:val="20"/>
          <w:color w:val="auto"/>
        </w:rPr>
      </w:pPr>
      <w:r>
        <w:rPr>
          <w:rFonts w:ascii="Arial" w:cs="Arial" w:eastAsia="Arial" w:hAnsi="Arial"/>
          <w:sz w:val="13"/>
          <w:szCs w:val="13"/>
          <w:color w:val="auto"/>
        </w:rPr>
        <w:t>REST OF ASIA</w:t>
      </w:r>
    </w:p>
    <w:p>
      <w:pPr>
        <w:ind w:right="720"/>
        <w:spacing w:after="0" w:line="258" w:lineRule="auto"/>
        <w:rPr>
          <w:sz w:val="20"/>
          <w:szCs w:val="20"/>
          <w:color w:val="auto"/>
        </w:rPr>
      </w:pPr>
      <w:r>
        <w:rPr>
          <w:rFonts w:ascii="Arial" w:cs="Arial" w:eastAsia="Arial" w:hAnsi="Arial"/>
          <w:sz w:val="14"/>
          <w:szCs w:val="14"/>
          <w:color w:val="auto"/>
        </w:rPr>
        <w:t>Shell also has interests in India, Japan, Jordan, the Philippines, Saudi Arabia, Singapore, South Korea and Turkey.</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auto"/>
        </w:rPr>
        <w:t>Oceania</w:t>
      </w:r>
    </w:p>
    <w:p>
      <w:pPr>
        <w:spacing w:after="0" w:line="162" w:lineRule="exact"/>
        <w:rPr>
          <w:sz w:val="20"/>
          <w:szCs w:val="20"/>
          <w:color w:val="auto"/>
        </w:rPr>
      </w:pPr>
    </w:p>
    <w:p>
      <w:pPr>
        <w:spacing w:after="0"/>
        <w:rPr>
          <w:sz w:val="20"/>
          <w:szCs w:val="20"/>
          <w:color w:val="auto"/>
        </w:rPr>
      </w:pPr>
      <w:r>
        <w:rPr>
          <w:rFonts w:ascii="Arial" w:cs="Arial" w:eastAsia="Arial" w:hAnsi="Arial"/>
          <w:sz w:val="13"/>
          <w:szCs w:val="13"/>
          <w:color w:val="auto"/>
        </w:rPr>
        <w:t>AUSTRALIA</w:t>
      </w:r>
    </w:p>
    <w:p>
      <w:pPr>
        <w:ind w:right="220"/>
        <w:spacing w:after="0" w:line="245" w:lineRule="auto"/>
        <w:rPr>
          <w:sz w:val="20"/>
          <w:szCs w:val="20"/>
          <w:color w:val="auto"/>
        </w:rPr>
      </w:pPr>
      <w:r>
        <w:rPr>
          <w:rFonts w:ascii="Arial" w:cs="Arial" w:eastAsia="Arial" w:hAnsi="Arial"/>
          <w:sz w:val="14"/>
          <w:szCs w:val="14"/>
          <w:color w:val="auto"/>
        </w:rPr>
        <w:t>We have interests in offshore production and exploration licences in the North West Shelf (NWS) and Greater Gorgon areas of the Carnarvon Basin, as well as in the Browse Basin and Timor Sea. Some of these interests are held directly and others indirectly through a shareholding of 14% in Woodside, reduced from 23% by a sale of shares in 2014. All interests in Australian assets quoted below are direct interests.</w:t>
      </w:r>
    </w:p>
    <w:p>
      <w:pPr>
        <w:spacing w:after="0" w:line="164" w:lineRule="exact"/>
        <w:rPr>
          <w:sz w:val="20"/>
          <w:szCs w:val="20"/>
          <w:color w:val="auto"/>
        </w:rPr>
      </w:pPr>
    </w:p>
    <w:p>
      <w:pPr>
        <w:ind w:right="280"/>
        <w:spacing w:after="0" w:line="247" w:lineRule="auto"/>
        <w:rPr>
          <w:sz w:val="20"/>
          <w:szCs w:val="20"/>
          <w:color w:val="auto"/>
        </w:rPr>
      </w:pPr>
      <w:r>
        <w:rPr>
          <w:rFonts w:ascii="Arial" w:cs="Arial" w:eastAsia="Arial" w:hAnsi="Arial"/>
          <w:sz w:val="14"/>
          <w:szCs w:val="14"/>
          <w:color w:val="auto"/>
        </w:rPr>
        <w:t>Woodside is the operator of the Pluto LNG project. Woodside is also the operator on behalf of six joint-venture participants in the NWS gas, condensate and oil fields, which produced more than 500 thousand boe/d in 2014. Shell provides technical support for the NWS development.</w:t>
      </w:r>
    </w:p>
    <w:p>
      <w:pPr>
        <w:spacing w:after="0" w:line="175" w:lineRule="exact"/>
        <w:rPr>
          <w:sz w:val="20"/>
          <w:szCs w:val="20"/>
          <w:color w:val="auto"/>
        </w:rPr>
      </w:pPr>
    </w:p>
    <w:p>
      <w:pPr>
        <w:ind w:right="160"/>
        <w:spacing w:after="0" w:line="250" w:lineRule="auto"/>
        <w:rPr>
          <w:sz w:val="20"/>
          <w:szCs w:val="20"/>
          <w:color w:val="auto"/>
        </w:rPr>
      </w:pPr>
      <w:r>
        <w:rPr>
          <w:rFonts w:ascii="Arial" w:cs="Arial" w:eastAsia="Arial" w:hAnsi="Arial"/>
          <w:sz w:val="14"/>
          <w:szCs w:val="14"/>
          <w:color w:val="auto"/>
        </w:rPr>
        <w:t>We have a 50% interest in Arrow Energy Holdings Pty Limited (Arrow), a Queensland-based joint venture with PetroChina. Arrow owns coal bed methane assets and a domestic power business.</w:t>
      </w:r>
    </w:p>
    <w:p>
      <w:pPr>
        <w:spacing w:after="0" w:line="159" w:lineRule="exact"/>
        <w:rPr>
          <w:sz w:val="20"/>
          <w:szCs w:val="20"/>
          <w:color w:val="auto"/>
        </w:rPr>
      </w:pPr>
    </w:p>
    <w:p>
      <w:pPr>
        <w:ind w:right="160"/>
        <w:spacing w:after="0" w:line="245" w:lineRule="auto"/>
        <w:rPr>
          <w:sz w:val="20"/>
          <w:szCs w:val="20"/>
          <w:color w:val="auto"/>
        </w:rPr>
      </w:pPr>
      <w:r>
        <w:rPr>
          <w:rFonts w:ascii="Arial" w:cs="Arial" w:eastAsia="Arial" w:hAnsi="Arial"/>
          <w:sz w:val="14"/>
          <w:szCs w:val="14"/>
          <w:color w:val="auto"/>
        </w:rPr>
        <w:t>We have a 25% interest in the Gorgon LNG project, which involves the development of some of the largest gas discoveries to date in Australia, beginning with the offshore Gorgon (Shell interest 25%) and Jansz-lo (Shell interest 19.6%) fields. The Gorgon LNG project is under construction on Barrow Island and is expected to start before the end of 2016.</w:t>
      </w:r>
    </w:p>
    <w:p>
      <w:pPr>
        <w:spacing w:after="0" w:line="164" w:lineRule="exact"/>
        <w:rPr>
          <w:sz w:val="20"/>
          <w:szCs w:val="20"/>
          <w:color w:val="auto"/>
        </w:rPr>
      </w:pPr>
    </w:p>
    <w:p>
      <w:pPr>
        <w:ind w:right="180"/>
        <w:spacing w:after="0" w:line="244" w:lineRule="auto"/>
        <w:rPr>
          <w:sz w:val="20"/>
          <w:szCs w:val="20"/>
          <w:color w:val="auto"/>
        </w:rPr>
      </w:pPr>
      <w:r>
        <w:rPr>
          <w:rFonts w:ascii="Arial" w:cs="Arial" w:eastAsia="Arial" w:hAnsi="Arial"/>
          <w:sz w:val="14"/>
          <w:szCs w:val="14"/>
          <w:color w:val="auto"/>
        </w:rPr>
        <w:t>We are the operator of a permit in the Browse Basin in which two separate gas fields were found: Prelude in 2007 and Concerto in 2009. We are developing these fields on the basis of our FLNG technology. The Prelude FLNG project (Shell interest 67.5%) is expected to produce about 110 thousand boe/d of gas and NGL, delivering 3.6 mtpa of LNG, 1.3 mtpa of condensate and 0.4 mtpa of LPG. During 2014, construction of the Prelude FLNG project continued, with a major milestone being the lifting of the first topside modules onto the deck of the hull.</w:t>
      </w:r>
    </w:p>
    <w:p>
      <w:pPr>
        <w:spacing w:after="0" w:line="178" w:lineRule="exact"/>
        <w:rPr>
          <w:sz w:val="20"/>
          <w:szCs w:val="20"/>
          <w:color w:val="auto"/>
        </w:rPr>
      </w:pPr>
    </w:p>
    <w:p>
      <w:pPr>
        <w:ind w:right="180"/>
        <w:spacing w:after="0" w:line="247" w:lineRule="auto"/>
        <w:rPr>
          <w:sz w:val="20"/>
          <w:szCs w:val="20"/>
          <w:color w:val="auto"/>
        </w:rPr>
      </w:pPr>
      <w:r>
        <w:rPr>
          <w:rFonts w:ascii="Arial" w:cs="Arial" w:eastAsia="Arial" w:hAnsi="Arial"/>
          <w:sz w:val="14"/>
          <w:szCs w:val="14"/>
          <w:color w:val="auto"/>
        </w:rPr>
        <w:t>We are also a partner in the Browse joint ventures (Shell interests ranging from 25% to 35%) covering the Brecknock, Calliance and Torosa gas fields. In 2013, the Browse joint venture selected Shell’s FLNG technology to progress to the basis of design phase of the project.</w:t>
      </w:r>
    </w:p>
    <w:p>
      <w:pPr>
        <w:sectPr>
          <w:pgSz w:w="11900" w:h="16838" w:orient="portrait"/>
          <w:cols w:equalWidth="0" w:num="2">
            <w:col w:w="5720" w:space="60"/>
            <w:col w:w="5640"/>
          </w:cols>
          <w:pgMar w:left="240" w:top="459" w:right="239" w:bottom="1440" w:gutter="0" w:footer="0" w:header="0"/>
        </w:sectPr>
      </w:pPr>
    </w:p>
    <w:bookmarkStart w:id="30" w:name="page31"/>
    <w:bookmarkEnd w:id="30"/>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3555365</wp:posOffset>
            </wp:positionH>
            <wp:positionV relativeFrom="paragraph">
              <wp:posOffset>314960</wp:posOffset>
            </wp:positionV>
            <wp:extent cx="3696335" cy="46291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3696335" cy="462915"/>
                    </a:xfrm>
                    <a:prstGeom prst="rect">
                      <a:avLst/>
                    </a:prstGeom>
                    <a:noFill/>
                  </pic:spPr>
                </pic:pic>
              </a:graphicData>
            </a:graphic>
          </wp:anchor>
        </w:drawing>
      </w:r>
    </w:p>
    <w:p>
      <w:pPr>
        <w:sectPr>
          <w:pgSz w:w="11900" w:h="16838" w:orient="portrait"/>
          <w:cols w:equalWidth="0" w:num="1">
            <w:col w:w="11260"/>
          </w:cols>
          <w:pgMar w:left="240" w:top="459" w:right="3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11"/>
          <w:szCs w:val="11"/>
          <w:color w:val="auto"/>
        </w:rPr>
        <w:t>SHELL ANNUAL REPORT AND FORM 20-F 2014</w:t>
      </w:r>
    </w:p>
    <w:p>
      <w:pPr>
        <w:spacing w:after="0" w:line="57" w:lineRule="exact"/>
        <w:rPr>
          <w:sz w:val="20"/>
          <w:szCs w:val="20"/>
          <w:color w:val="auto"/>
        </w:rPr>
      </w:pPr>
    </w:p>
    <w:p>
      <w:pPr>
        <w:ind w:right="120"/>
        <w:spacing w:after="0" w:line="245" w:lineRule="auto"/>
        <w:rPr>
          <w:sz w:val="20"/>
          <w:szCs w:val="20"/>
          <w:color w:val="auto"/>
        </w:rPr>
      </w:pPr>
      <w:r>
        <w:rPr>
          <w:rFonts w:ascii="Arial" w:cs="Arial" w:eastAsia="Arial" w:hAnsi="Arial"/>
          <w:sz w:val="14"/>
          <w:szCs w:val="14"/>
          <w:color w:val="auto"/>
        </w:rPr>
        <w:t>Our other interests include: a joint venture with Shell as the operator of the Crux gas and condensate field (Shell interest 82%); the Shell-operated AC/P41 block (Shell interest 75%); and the Sunrise gas field in the Timor Sea (Shell interest 26.6%). We sold our interest in the Wheatstone-Iago joint venture and our 6.4% interest in the Wheatstone LNG project during the second quarter of 2014.</w:t>
      </w:r>
    </w:p>
    <w:p>
      <w:pPr>
        <w:spacing w:after="0" w:line="178" w:lineRule="exact"/>
        <w:rPr>
          <w:sz w:val="20"/>
          <w:szCs w:val="20"/>
          <w:color w:val="auto"/>
        </w:rPr>
      </w:pPr>
    </w:p>
    <w:p>
      <w:pPr>
        <w:ind w:right="280"/>
        <w:spacing w:after="0" w:line="250" w:lineRule="auto"/>
        <w:rPr>
          <w:sz w:val="20"/>
          <w:szCs w:val="20"/>
          <w:color w:val="auto"/>
        </w:rPr>
      </w:pPr>
      <w:r>
        <w:rPr>
          <w:rFonts w:ascii="Arial" w:cs="Arial" w:eastAsia="Arial" w:hAnsi="Arial"/>
          <w:sz w:val="14"/>
          <w:szCs w:val="14"/>
          <w:color w:val="auto"/>
        </w:rPr>
        <w:t>We are a partner in both Shell-operated and other, non-operated, exploration joint ventures in multiple basins including the Bonaparte, Exmouth Plateau, Greater Gorgon, Outer Canning and South Exmouth.</w:t>
      </w:r>
    </w:p>
    <w:p>
      <w:pPr>
        <w:spacing w:after="0" w:line="144" w:lineRule="exact"/>
        <w:rPr>
          <w:sz w:val="20"/>
          <w:szCs w:val="20"/>
          <w:color w:val="auto"/>
        </w:rPr>
      </w:pPr>
    </w:p>
    <w:p>
      <w:pPr>
        <w:spacing w:after="0"/>
        <w:rPr>
          <w:sz w:val="20"/>
          <w:szCs w:val="20"/>
          <w:color w:val="auto"/>
        </w:rPr>
      </w:pPr>
      <w:r>
        <w:rPr>
          <w:rFonts w:ascii="Arial" w:cs="Arial" w:eastAsia="Arial" w:hAnsi="Arial"/>
          <w:sz w:val="13"/>
          <w:szCs w:val="13"/>
          <w:color w:val="auto"/>
        </w:rPr>
        <w:t>REST OF OCEANIA</w:t>
      </w:r>
    </w:p>
    <w:p>
      <w:pPr>
        <w:spacing w:after="0"/>
        <w:rPr>
          <w:sz w:val="20"/>
          <w:szCs w:val="20"/>
          <w:color w:val="auto"/>
        </w:rPr>
      </w:pPr>
      <w:r>
        <w:rPr>
          <w:rFonts w:ascii="Arial" w:cs="Arial" w:eastAsia="Arial" w:hAnsi="Arial"/>
          <w:sz w:val="14"/>
          <w:szCs w:val="14"/>
          <w:color w:val="auto"/>
        </w:rPr>
        <w:t>Shell also has interests in New Zealand.</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Africa</w:t>
      </w:r>
    </w:p>
    <w:p>
      <w:pPr>
        <w:spacing w:after="0" w:line="176" w:lineRule="exact"/>
        <w:rPr>
          <w:sz w:val="20"/>
          <w:szCs w:val="20"/>
          <w:color w:val="auto"/>
        </w:rPr>
      </w:pPr>
    </w:p>
    <w:p>
      <w:pPr>
        <w:spacing w:after="0"/>
        <w:rPr>
          <w:sz w:val="20"/>
          <w:szCs w:val="20"/>
          <w:color w:val="auto"/>
        </w:rPr>
      </w:pPr>
      <w:r>
        <w:rPr>
          <w:rFonts w:ascii="Arial" w:cs="Arial" w:eastAsia="Arial" w:hAnsi="Arial"/>
          <w:sz w:val="13"/>
          <w:szCs w:val="13"/>
          <w:color w:val="auto"/>
        </w:rPr>
        <w:t>NIGERIA</w:t>
      </w:r>
    </w:p>
    <w:p>
      <w:pPr>
        <w:ind w:right="420"/>
        <w:spacing w:after="0" w:line="241" w:lineRule="auto"/>
        <w:rPr>
          <w:sz w:val="20"/>
          <w:szCs w:val="20"/>
          <w:color w:val="auto"/>
        </w:rPr>
      </w:pPr>
      <w:r>
        <w:rPr>
          <w:rFonts w:ascii="Arial" w:cs="Arial" w:eastAsia="Arial" w:hAnsi="Arial"/>
          <w:sz w:val="14"/>
          <w:szCs w:val="14"/>
          <w:color w:val="auto"/>
        </w:rPr>
        <w:t>Shell’s share of production, onshore and offshore, in Nigeria was approximately 300 thousand boe/d in 2014, compared with</w:t>
      </w:r>
    </w:p>
    <w:p>
      <w:pPr>
        <w:spacing w:after="0" w:line="1" w:lineRule="exact"/>
        <w:rPr>
          <w:sz w:val="20"/>
          <w:szCs w:val="20"/>
          <w:color w:val="auto"/>
        </w:rPr>
      </w:pPr>
    </w:p>
    <w:p>
      <w:pPr>
        <w:ind w:right="120"/>
        <w:spacing w:after="0" w:line="258" w:lineRule="auto"/>
        <w:rPr>
          <w:sz w:val="20"/>
          <w:szCs w:val="20"/>
          <w:color w:val="auto"/>
        </w:rPr>
      </w:pPr>
      <w:r>
        <w:rPr>
          <w:rFonts w:ascii="Arial" w:cs="Arial" w:eastAsia="Arial" w:hAnsi="Arial"/>
          <w:sz w:val="14"/>
          <w:szCs w:val="14"/>
          <w:color w:val="auto"/>
        </w:rPr>
        <w:t>approximately 265 thousand boe/d in 2013. Security issues and crude oil theft in the Niger Delta continued to be significant challenges in 2014.</w:t>
      </w:r>
    </w:p>
    <w:p>
      <w:pPr>
        <w:spacing w:after="0" w:line="154" w:lineRule="exact"/>
        <w:rPr>
          <w:sz w:val="20"/>
          <w:szCs w:val="20"/>
          <w:color w:val="auto"/>
        </w:rPr>
      </w:pPr>
    </w:p>
    <w:p>
      <w:pPr>
        <w:spacing w:after="0"/>
        <w:rPr>
          <w:sz w:val="20"/>
          <w:szCs w:val="20"/>
          <w:color w:val="auto"/>
        </w:rPr>
      </w:pPr>
      <w:r>
        <w:rPr>
          <w:rFonts w:ascii="Arial" w:cs="Arial" w:eastAsia="Arial" w:hAnsi="Arial"/>
          <w:sz w:val="14"/>
          <w:szCs w:val="14"/>
          <w:color w:val="auto"/>
        </w:rPr>
        <w:t>Onshore</w:t>
      </w:r>
    </w:p>
    <w:p>
      <w:pPr>
        <w:spacing w:after="0" w:line="1" w:lineRule="exact"/>
        <w:rPr>
          <w:sz w:val="20"/>
          <w:szCs w:val="20"/>
          <w:color w:val="auto"/>
        </w:rPr>
      </w:pPr>
    </w:p>
    <w:p>
      <w:pPr>
        <w:ind w:right="80"/>
        <w:spacing w:after="0" w:line="247" w:lineRule="auto"/>
        <w:rPr>
          <w:sz w:val="20"/>
          <w:szCs w:val="20"/>
          <w:color w:val="auto"/>
        </w:rPr>
      </w:pPr>
      <w:r>
        <w:rPr>
          <w:rFonts w:ascii="Arial" w:cs="Arial" w:eastAsia="Arial" w:hAnsi="Arial"/>
          <w:sz w:val="14"/>
          <w:szCs w:val="14"/>
          <w:color w:val="auto"/>
        </w:rPr>
        <w:t>The Shell Petroleum Development Company of Nigeria Ltd (SPDC) is the operator of a joint arrangement (Shell interest 30%) that has more than 25 Niger Delta onshore oil mining leases (OMLs), which expire in 2019. To provide funding, modified carry agreements are in place for certain key projects and are being reimbursed.</w:t>
      </w:r>
    </w:p>
    <w:p>
      <w:pPr>
        <w:spacing w:after="0" w:line="161" w:lineRule="exact"/>
        <w:rPr>
          <w:sz w:val="20"/>
          <w:szCs w:val="20"/>
          <w:color w:val="auto"/>
        </w:rPr>
      </w:pPr>
    </w:p>
    <w:p>
      <w:pPr>
        <w:ind w:right="60"/>
        <w:spacing w:after="0" w:line="244" w:lineRule="auto"/>
        <w:rPr>
          <w:sz w:val="20"/>
          <w:szCs w:val="20"/>
          <w:color w:val="auto"/>
        </w:rPr>
      </w:pPr>
      <w:r>
        <w:rPr>
          <w:rFonts w:ascii="Arial" w:cs="Arial" w:eastAsia="Arial" w:hAnsi="Arial"/>
          <w:sz w:val="14"/>
          <w:szCs w:val="14"/>
          <w:color w:val="auto"/>
        </w:rPr>
        <w:t>SPDC supplies gas to Nigeria LNG Ltd (NLNG) mainly through its Gbaran-Ubie and Soku projects. SPDC is undertaking a strategic review of its interests in the eastern Niger Delta and has divested its 30% interest in OML 24. Agreements have been signed for the divestment of the SPDC interests in three other onshore OMLs; completion is subject to the consent of the Federal Government of Nigeria. Additional divestments may occur as a result of the strategic review.</w:t>
      </w:r>
    </w:p>
    <w:p>
      <w:pPr>
        <w:spacing w:after="0" w:line="179" w:lineRule="exact"/>
        <w:rPr>
          <w:sz w:val="20"/>
          <w:szCs w:val="20"/>
          <w:color w:val="auto"/>
        </w:rPr>
      </w:pPr>
    </w:p>
    <w:p>
      <w:pPr>
        <w:ind w:right="120"/>
        <w:spacing w:after="0" w:line="247" w:lineRule="auto"/>
        <w:rPr>
          <w:sz w:val="20"/>
          <w:szCs w:val="20"/>
          <w:color w:val="auto"/>
        </w:rPr>
      </w:pPr>
      <w:r>
        <w:rPr>
          <w:rFonts w:ascii="Arial" w:cs="Arial" w:eastAsia="Arial" w:hAnsi="Arial"/>
          <w:sz w:val="14"/>
          <w:szCs w:val="14"/>
          <w:color w:val="auto"/>
        </w:rPr>
        <w:t>While the level of crude oil theft activities and sabotage in 2014 was similar to 2013, the impact on production was smaller due to various mitigation measures. During 2014, force majeure related to security issues, sabotage and crude oil theft was only declared once, compared with four times in 2013.</w:t>
      </w:r>
    </w:p>
    <w:p>
      <w:pPr>
        <w:spacing w:after="0" w:line="161" w:lineRule="exact"/>
        <w:rPr>
          <w:sz w:val="20"/>
          <w:szCs w:val="20"/>
          <w:color w:val="auto"/>
        </w:rPr>
      </w:pPr>
    </w:p>
    <w:p>
      <w:pPr>
        <w:spacing w:after="0"/>
        <w:rPr>
          <w:sz w:val="20"/>
          <w:szCs w:val="20"/>
          <w:color w:val="auto"/>
        </w:rPr>
      </w:pPr>
      <w:r>
        <w:rPr>
          <w:rFonts w:ascii="Arial" w:cs="Arial" w:eastAsia="Arial" w:hAnsi="Arial"/>
          <w:sz w:val="14"/>
          <w:szCs w:val="14"/>
          <w:color w:val="auto"/>
        </w:rPr>
        <w:t>Offshore</w:t>
      </w:r>
    </w:p>
    <w:p>
      <w:pPr>
        <w:spacing w:after="0" w:line="1" w:lineRule="exact"/>
        <w:rPr>
          <w:sz w:val="20"/>
          <w:szCs w:val="20"/>
          <w:color w:val="auto"/>
        </w:rPr>
      </w:pPr>
    </w:p>
    <w:p>
      <w:pPr>
        <w:spacing w:after="0" w:line="243" w:lineRule="auto"/>
        <w:rPr>
          <w:sz w:val="20"/>
          <w:szCs w:val="20"/>
          <w:color w:val="auto"/>
        </w:rPr>
      </w:pPr>
      <w:r>
        <w:rPr>
          <w:rFonts w:ascii="Arial" w:cs="Arial" w:eastAsia="Arial" w:hAnsi="Arial"/>
          <w:sz w:val="14"/>
          <w:szCs w:val="14"/>
          <w:color w:val="auto"/>
        </w:rPr>
        <w:t>Our main offshore deep-water activities are carried out by Shell Nigeria Exploration and Production Company (SNEPCO, Shell interest 100%) which has interests in four deep-water blocks. SNEPCO operates OMLs 118 (including the Bonga field, Shell interest 55%) and 135 (Bolia and Doro, Shell interest 55%) and holds a 43.75% interest in OML 133 (Erha) and a 50% interest in oil production lease 245 (Zabazaba, Etan). SNEPCO also has an approximate 43% interest in the Bonga Southwest/Aparo development via its 55% interest in OML 118. Deep-water offshore activities are typically governed through PSCs.</w:t>
      </w:r>
    </w:p>
    <w:p>
      <w:pPr>
        <w:spacing w:after="0" w:line="168" w:lineRule="exact"/>
        <w:rPr>
          <w:sz w:val="20"/>
          <w:szCs w:val="20"/>
          <w:color w:val="auto"/>
        </w:rPr>
      </w:pPr>
    </w:p>
    <w:p>
      <w:pPr>
        <w:ind w:right="180"/>
        <w:spacing w:after="0" w:line="247" w:lineRule="auto"/>
        <w:rPr>
          <w:sz w:val="20"/>
          <w:szCs w:val="20"/>
          <w:color w:val="auto"/>
        </w:rPr>
      </w:pPr>
      <w:r>
        <w:rPr>
          <w:rFonts w:ascii="Arial" w:cs="Arial" w:eastAsia="Arial" w:hAnsi="Arial"/>
          <w:sz w:val="14"/>
          <w:szCs w:val="14"/>
          <w:color w:val="auto"/>
        </w:rPr>
        <w:t>First oil was produced from the Bonga North West deep-water development in the third quarter of 2014, while in October the final investment decision on the Bonga Main phase 3 project was taken, which is expected to contribute some 40 thousand boe/d at peak production through the existing Bonga FPSO export facility.</w:t>
      </w:r>
    </w:p>
    <w:p>
      <w:pPr>
        <w:spacing w:after="0" w:line="175" w:lineRule="exact"/>
        <w:rPr>
          <w:sz w:val="20"/>
          <w:szCs w:val="20"/>
          <w:color w:val="auto"/>
        </w:rPr>
      </w:pPr>
    </w:p>
    <w:p>
      <w:pPr>
        <w:ind w:right="360"/>
        <w:spacing w:after="0" w:line="258" w:lineRule="auto"/>
        <w:rPr>
          <w:sz w:val="20"/>
          <w:szCs w:val="20"/>
          <w:color w:val="auto"/>
        </w:rPr>
      </w:pPr>
      <w:r>
        <w:rPr>
          <w:rFonts w:ascii="Arial" w:cs="Arial" w:eastAsia="Arial" w:hAnsi="Arial"/>
          <w:sz w:val="14"/>
          <w:szCs w:val="14"/>
          <w:color w:val="auto"/>
        </w:rPr>
        <w:t>SPDC also has an interest in six shallow-water offshore leases, of which five are under final negotiation for extension for a period of 20 years.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spacing w:after="0" w:line="1" w:lineRule="exact"/>
        <w:rPr>
          <w:sz w:val="1"/>
          <w:szCs w:val="1"/>
          <w:color w:val="auto"/>
        </w:rPr>
      </w:pPr>
    </w:p>
    <w:tbl>
      <w:tblPr>
        <w:tblLayout w:type="fixed"/>
        <w:tblInd w:w="740" w:type="dxa"/>
        <w:tblCellMar>
          <w:top w:w="0" w:type="dxa"/>
          <w:left w:w="0" w:type="dxa"/>
          <w:bottom w:w="0" w:type="dxa"/>
          <w:right w:w="0" w:type="dxa"/>
        </w:tblCellMar>
      </w:tblPr>
      <w:tr>
        <w:trPr>
          <w:trHeight w:val="161"/>
        </w:trPr>
        <w:tc>
          <w:tcPr>
            <w:tcW w:w="2760" w:type="dxa"/>
            <w:vAlign w:val="bottom"/>
          </w:tcPr>
          <w:p>
            <w:pPr>
              <w:spacing w:after="0"/>
              <w:rPr>
                <w:sz w:val="20"/>
                <w:szCs w:val="20"/>
                <w:color w:val="auto"/>
              </w:rPr>
            </w:pPr>
            <w:r>
              <w:rPr>
                <w:rFonts w:ascii="Arial" w:cs="Arial" w:eastAsia="Arial" w:hAnsi="Arial"/>
                <w:sz w:val="13"/>
                <w:szCs w:val="13"/>
                <w:color w:val="333333"/>
              </w:rPr>
              <w:t>STRATEGIC REPORT</w:t>
            </w:r>
          </w:p>
        </w:tc>
        <w:tc>
          <w:tcPr>
            <w:tcW w:w="1640" w:type="dxa"/>
            <w:vAlign w:val="bottom"/>
          </w:tcPr>
          <w:p>
            <w:pPr>
              <w:jc w:val="right"/>
              <w:spacing w:after="0"/>
              <w:rPr>
                <w:sz w:val="20"/>
                <w:szCs w:val="20"/>
                <w:color w:val="auto"/>
              </w:rPr>
            </w:pPr>
            <w:r>
              <w:rPr>
                <w:rFonts w:ascii="Arial" w:cs="Arial" w:eastAsia="Arial" w:hAnsi="Arial"/>
                <w:sz w:val="11"/>
                <w:szCs w:val="11"/>
                <w:b w:val="1"/>
                <w:bCs w:val="1"/>
                <w:color w:val="333333"/>
              </w:rPr>
              <w:t>29</w:t>
            </w:r>
          </w:p>
        </w:tc>
      </w:tr>
    </w:tbl>
    <w:p>
      <w:pPr>
        <w:spacing w:after="0" w:line="161" w:lineRule="exact"/>
        <w:rPr>
          <w:sz w:val="20"/>
          <w:szCs w:val="20"/>
          <w:color w:val="auto"/>
        </w:rPr>
      </w:pPr>
    </w:p>
    <w:p>
      <w:pPr>
        <w:ind w:left="740"/>
        <w:spacing w:after="0"/>
        <w:rPr>
          <w:sz w:val="20"/>
          <w:szCs w:val="20"/>
          <w:color w:val="auto"/>
        </w:rPr>
      </w:pPr>
      <w:r>
        <w:rPr>
          <w:rFonts w:ascii="Arial" w:cs="Arial" w:eastAsia="Arial" w:hAnsi="Arial"/>
          <w:sz w:val="11"/>
          <w:szCs w:val="11"/>
          <w:color w:val="auto"/>
        </w:rPr>
        <w:t>UPSTREAM</w:t>
      </w:r>
    </w:p>
    <w:p>
      <w:pPr>
        <w:spacing w:after="0" w:line="57" w:lineRule="exact"/>
        <w:rPr>
          <w:sz w:val="20"/>
          <w:szCs w:val="20"/>
          <w:color w:val="auto"/>
        </w:rPr>
      </w:pPr>
    </w:p>
    <w:p>
      <w:pPr>
        <w:spacing w:after="0"/>
        <w:rPr>
          <w:sz w:val="20"/>
          <w:szCs w:val="20"/>
          <w:color w:val="auto"/>
        </w:rPr>
      </w:pPr>
      <w:r>
        <w:rPr>
          <w:rFonts w:ascii="Arial" w:cs="Arial" w:eastAsia="Arial" w:hAnsi="Arial"/>
          <w:sz w:val="14"/>
          <w:szCs w:val="14"/>
          <w:color w:val="auto"/>
        </w:rPr>
        <w:t>Liquefied natural gas</w:t>
      </w:r>
    </w:p>
    <w:p>
      <w:pPr>
        <w:spacing w:after="0" w:line="1" w:lineRule="exact"/>
        <w:rPr>
          <w:sz w:val="20"/>
          <w:szCs w:val="20"/>
          <w:color w:val="auto"/>
        </w:rPr>
      </w:pPr>
    </w:p>
    <w:p>
      <w:pPr>
        <w:spacing w:after="0" w:line="247" w:lineRule="auto"/>
        <w:rPr>
          <w:sz w:val="20"/>
          <w:szCs w:val="20"/>
          <w:color w:val="auto"/>
        </w:rPr>
      </w:pPr>
      <w:r>
        <w:rPr>
          <w:rFonts w:ascii="Arial" w:cs="Arial" w:eastAsia="Arial" w:hAnsi="Arial"/>
          <w:sz w:val="14"/>
          <w:szCs w:val="14"/>
          <w:color w:val="auto"/>
        </w:rPr>
        <w:t>Shell has a 25.6% interest in NLNG, which operates six LNG trains with a total capacity of 22.0 mtpa. In 2014, LNG production was higher than in 2013, as 2013 was impacted by gas supply constraints and the impact of a blockade of NLNG export facilities by the Nigerian Maritime Administration and Safety Agency.</w:t>
      </w:r>
    </w:p>
    <w:p>
      <w:pPr>
        <w:spacing w:after="0" w:line="160" w:lineRule="exact"/>
        <w:rPr>
          <w:sz w:val="20"/>
          <w:szCs w:val="20"/>
          <w:color w:val="auto"/>
        </w:rPr>
      </w:pPr>
    </w:p>
    <w:p>
      <w:pPr>
        <w:spacing w:after="0"/>
        <w:rPr>
          <w:sz w:val="20"/>
          <w:szCs w:val="20"/>
          <w:color w:val="auto"/>
        </w:rPr>
      </w:pPr>
      <w:r>
        <w:rPr>
          <w:rFonts w:ascii="Arial" w:cs="Arial" w:eastAsia="Arial" w:hAnsi="Arial"/>
          <w:sz w:val="13"/>
          <w:szCs w:val="13"/>
          <w:color w:val="auto"/>
        </w:rPr>
        <w:t>REST OF AFRICA</w:t>
      </w:r>
    </w:p>
    <w:p>
      <w:pPr>
        <w:ind w:right="280"/>
        <w:spacing w:after="0" w:line="258" w:lineRule="auto"/>
        <w:rPr>
          <w:sz w:val="20"/>
          <w:szCs w:val="20"/>
          <w:color w:val="auto"/>
        </w:rPr>
      </w:pPr>
      <w:r>
        <w:rPr>
          <w:rFonts w:ascii="Arial" w:cs="Arial" w:eastAsia="Arial" w:hAnsi="Arial"/>
          <w:sz w:val="14"/>
          <w:szCs w:val="14"/>
          <w:color w:val="auto"/>
        </w:rPr>
        <w:t>Shell also has interests in Algeria, Benin, Egypt, Gabon, Namibia, Somalia, South Africa, Tanzania and Tunisia.</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North America</w:t>
      </w:r>
    </w:p>
    <w:p>
      <w:pPr>
        <w:spacing w:after="0" w:line="162" w:lineRule="exact"/>
        <w:rPr>
          <w:sz w:val="20"/>
          <w:szCs w:val="20"/>
          <w:color w:val="auto"/>
        </w:rPr>
      </w:pPr>
    </w:p>
    <w:p>
      <w:pPr>
        <w:spacing w:after="0"/>
        <w:rPr>
          <w:sz w:val="20"/>
          <w:szCs w:val="20"/>
          <w:color w:val="auto"/>
        </w:rPr>
      </w:pPr>
      <w:r>
        <w:rPr>
          <w:rFonts w:ascii="Arial" w:cs="Arial" w:eastAsia="Arial" w:hAnsi="Arial"/>
          <w:sz w:val="13"/>
          <w:szCs w:val="13"/>
          <w:color w:val="auto"/>
        </w:rPr>
        <w:t>CANADA</w:t>
      </w:r>
    </w:p>
    <w:p>
      <w:pPr>
        <w:ind w:right="20"/>
        <w:spacing w:after="0" w:line="244" w:lineRule="auto"/>
        <w:rPr>
          <w:sz w:val="20"/>
          <w:szCs w:val="20"/>
          <w:color w:val="auto"/>
        </w:rPr>
      </w:pPr>
      <w:r>
        <w:rPr>
          <w:rFonts w:ascii="Arial" w:cs="Arial" w:eastAsia="Arial" w:hAnsi="Arial"/>
          <w:sz w:val="14"/>
          <w:szCs w:val="14"/>
          <w:color w:val="auto"/>
        </w:rPr>
        <w:t>We have more than 1,900 mineral leases in Canada, mainly in Alberta and British Columbia. We produce and market natural gas, NGL, synthetic crude oil and bitumen. In addition, we have significant exploration acreage offshore. Bitumen is a very heavy crude oil produced through conventional methods as well as through enhanced oil recovery methods. Synthetic crude oil is produced by mining bitumen-saturated sands, extracting the bitumen from the sands and transporting it to a processing facility where hydrogen is added to produce a wide range of feedstocks for refineries.</w:t>
      </w:r>
    </w:p>
    <w:p>
      <w:pPr>
        <w:spacing w:after="0" w:line="178" w:lineRule="exact"/>
        <w:rPr>
          <w:sz w:val="20"/>
          <w:szCs w:val="20"/>
          <w:color w:val="auto"/>
        </w:rPr>
      </w:pPr>
    </w:p>
    <w:p>
      <w:pPr>
        <w:spacing w:after="0"/>
        <w:rPr>
          <w:sz w:val="20"/>
          <w:szCs w:val="20"/>
          <w:color w:val="auto"/>
        </w:rPr>
      </w:pPr>
      <w:r>
        <w:rPr>
          <w:rFonts w:ascii="Arial" w:cs="Arial" w:eastAsia="Arial" w:hAnsi="Arial"/>
          <w:sz w:val="14"/>
          <w:szCs w:val="14"/>
          <w:color w:val="auto"/>
        </w:rPr>
        <w:t>Gas and liquids-rich shale</w:t>
      </w:r>
    </w:p>
    <w:p>
      <w:pPr>
        <w:spacing w:after="0" w:line="1" w:lineRule="exact"/>
        <w:rPr>
          <w:sz w:val="20"/>
          <w:szCs w:val="20"/>
          <w:color w:val="auto"/>
        </w:rPr>
      </w:pPr>
    </w:p>
    <w:p>
      <w:pPr>
        <w:ind w:right="80"/>
        <w:spacing w:after="0" w:line="243" w:lineRule="auto"/>
        <w:rPr>
          <w:sz w:val="20"/>
          <w:szCs w:val="20"/>
          <w:color w:val="auto"/>
        </w:rPr>
      </w:pPr>
      <w:r>
        <w:rPr>
          <w:rFonts w:ascii="Arial" w:cs="Arial" w:eastAsia="Arial" w:hAnsi="Arial"/>
          <w:sz w:val="14"/>
          <w:szCs w:val="14"/>
          <w:color w:val="auto"/>
        </w:rPr>
        <w:t>We continued to develop fields in Alberta and British Columbia during 2014 through drilling programmes and investment in infrastructure to facilitate new production. We own and operate natural gas processing and sulphur-extraction plants in Alberta and natural gas processing plants in British Colombia. During 2014, we began decommissioning our Burnt Timber gas facility in Alberta. Also in 2014 we entered into a joint venture (Shell interest 50%) to evaluate an investment in an LNG export facility in Kitimat on the west coast of Canada. This project completed FEED in 2014, with the final investment decision expected not earlier than 2016 and cash flows expected early next decade.</w:t>
      </w:r>
    </w:p>
    <w:p>
      <w:pPr>
        <w:spacing w:after="0" w:line="167" w:lineRule="exact"/>
        <w:rPr>
          <w:sz w:val="20"/>
          <w:szCs w:val="20"/>
          <w:color w:val="auto"/>
        </w:rPr>
      </w:pPr>
    </w:p>
    <w:p>
      <w:pPr>
        <w:spacing w:after="0"/>
        <w:rPr>
          <w:sz w:val="20"/>
          <w:szCs w:val="20"/>
          <w:color w:val="auto"/>
        </w:rPr>
      </w:pPr>
      <w:r>
        <w:rPr>
          <w:rFonts w:ascii="Arial" w:cs="Arial" w:eastAsia="Arial" w:hAnsi="Arial"/>
          <w:sz w:val="14"/>
          <w:szCs w:val="14"/>
          <w:color w:val="auto"/>
        </w:rPr>
        <w:t>Synthetic crude oil</w:t>
      </w:r>
    </w:p>
    <w:p>
      <w:pPr>
        <w:spacing w:after="0" w:line="1" w:lineRule="exact"/>
        <w:rPr>
          <w:sz w:val="20"/>
          <w:szCs w:val="20"/>
          <w:color w:val="auto"/>
        </w:rPr>
      </w:pPr>
    </w:p>
    <w:p>
      <w:pPr>
        <w:ind w:right="120"/>
        <w:spacing w:after="0" w:line="244" w:lineRule="auto"/>
        <w:rPr>
          <w:sz w:val="20"/>
          <w:szCs w:val="20"/>
          <w:color w:val="auto"/>
        </w:rPr>
      </w:pPr>
      <w:r>
        <w:rPr>
          <w:rFonts w:ascii="Arial" w:cs="Arial" w:eastAsia="Arial" w:hAnsi="Arial"/>
          <w:sz w:val="14"/>
          <w:szCs w:val="14"/>
          <w:color w:val="auto"/>
        </w:rPr>
        <w:t>We operate the Athabasca Oil Sands Project (AOSP) in north-east Alberta as part of a joint arrangement (Shell interest 60%). The bitumen is transported by pipeline for processing at the Scotford Upgrader, which is also operated by Shell and located in the Edmonton area. The Quest carbon capture and storage project (Shell interest 60%), which is expected to capture and permanently store more than 1 mtpa of CO</w:t>
      </w:r>
      <w:r>
        <w:rPr>
          <w:rFonts w:ascii="Arial" w:cs="Arial" w:eastAsia="Arial" w:hAnsi="Arial"/>
          <w:sz w:val="12"/>
          <w:szCs w:val="12"/>
          <w:color w:val="auto"/>
        </w:rPr>
        <w:t>2</w:t>
      </w:r>
      <w:r>
        <w:rPr>
          <w:rFonts w:ascii="Arial" w:cs="Arial" w:eastAsia="Arial" w:hAnsi="Arial"/>
          <w:sz w:val="14"/>
          <w:szCs w:val="14"/>
          <w:color w:val="auto"/>
        </w:rPr>
        <w:t xml:space="preserve"> from the Scotford Upgrader, is under construction and is expected to start operation towards the end of 2015.</w:t>
      </w:r>
    </w:p>
    <w:p>
      <w:pPr>
        <w:spacing w:after="0" w:line="164" w:lineRule="exact"/>
        <w:rPr>
          <w:sz w:val="20"/>
          <w:szCs w:val="20"/>
          <w:color w:val="auto"/>
        </w:rPr>
      </w:pPr>
    </w:p>
    <w:p>
      <w:pPr>
        <w:ind w:right="140"/>
        <w:spacing w:after="0" w:line="250" w:lineRule="auto"/>
        <w:rPr>
          <w:sz w:val="20"/>
          <w:szCs w:val="20"/>
          <w:color w:val="auto"/>
        </w:rPr>
      </w:pPr>
      <w:r>
        <w:rPr>
          <w:rFonts w:ascii="Arial" w:cs="Arial" w:eastAsia="Arial" w:hAnsi="Arial"/>
          <w:sz w:val="14"/>
          <w:szCs w:val="14"/>
          <w:color w:val="auto"/>
        </w:rPr>
        <w:t>We also have a number of other minable oil sands leases in the Athabasca region with expiry dates ranging from 2018 to 2025. By completing a certain minimum level of development prior to their expiry, leases may be extended.</w:t>
      </w:r>
    </w:p>
    <w:p>
      <w:pPr>
        <w:spacing w:after="0" w:line="172" w:lineRule="exact"/>
        <w:rPr>
          <w:sz w:val="20"/>
          <w:szCs w:val="20"/>
          <w:color w:val="auto"/>
        </w:rPr>
      </w:pPr>
    </w:p>
    <w:p>
      <w:pPr>
        <w:spacing w:after="0"/>
        <w:rPr>
          <w:sz w:val="20"/>
          <w:szCs w:val="20"/>
          <w:color w:val="auto"/>
        </w:rPr>
      </w:pPr>
      <w:r>
        <w:rPr>
          <w:rFonts w:ascii="Arial" w:cs="Arial" w:eastAsia="Arial" w:hAnsi="Arial"/>
          <w:sz w:val="14"/>
          <w:szCs w:val="14"/>
          <w:color w:val="auto"/>
        </w:rPr>
        <w:t>Bitumen</w:t>
      </w:r>
    </w:p>
    <w:p>
      <w:pPr>
        <w:spacing w:after="0" w:line="1" w:lineRule="exact"/>
        <w:rPr>
          <w:sz w:val="20"/>
          <w:szCs w:val="20"/>
          <w:color w:val="auto"/>
        </w:rPr>
      </w:pPr>
    </w:p>
    <w:p>
      <w:pPr>
        <w:ind w:right="60"/>
        <w:spacing w:after="0" w:line="244" w:lineRule="auto"/>
        <w:rPr>
          <w:sz w:val="20"/>
          <w:szCs w:val="20"/>
          <w:color w:val="auto"/>
        </w:rPr>
      </w:pPr>
      <w:r>
        <w:rPr>
          <w:rFonts w:ascii="Arial" w:cs="Arial" w:eastAsia="Arial" w:hAnsi="Arial"/>
          <w:sz w:val="14"/>
          <w:szCs w:val="14"/>
          <w:color w:val="auto"/>
        </w:rPr>
        <w:t>We produce and market bitumen in the Peace River area of Alberta. Additional heavy oil resources and advanced recovery technologies are under evaluation on approximately 1,200 square kilometres in the Grosmont oil sands area, also in northern Alberta. Construction of our Carmon Creek project (Shell interest 100%), which began in 2013, continues. Carmon Creek is an in-situ project that is expected to produce up to 80 thousand boe/d.</w:t>
      </w:r>
    </w:p>
    <w:p>
      <w:pPr>
        <w:sectPr>
          <w:pgSz w:w="11900" w:h="16838" w:orient="portrait"/>
          <w:cols w:equalWidth="0" w:num="2">
            <w:col w:w="5480" w:space="300"/>
            <w:col w:w="5480"/>
          </w:cols>
          <w:pgMar w:left="240" w:top="459" w:right="399" w:bottom="1440" w:gutter="0" w:footer="0" w:header="0"/>
          <w:type w:val="continuous"/>
        </w:sectPr>
      </w:pPr>
    </w:p>
    <w:bookmarkStart w:id="31" w:name="page32"/>
    <w:bookmarkEnd w:id="31"/>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314960</wp:posOffset>
            </wp:positionV>
            <wp:extent cx="3627755" cy="46291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3627755" cy="462915"/>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p>
      <w:pPr>
        <w:spacing w:after="0" w:line="200" w:lineRule="exact"/>
        <w:rPr>
          <w:sz w:val="20"/>
          <w:szCs w:val="20"/>
          <w:color w:val="auto"/>
        </w:rPr>
      </w:pP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419"/>
        </w:trPr>
        <w:tc>
          <w:tcPr>
            <w:tcW w:w="2080" w:type="dxa"/>
            <w:vAlign w:val="bottom"/>
            <w:shd w:val="clear" w:color="auto" w:fill="FF8B00"/>
          </w:tcPr>
          <w:p>
            <w:pPr>
              <w:spacing w:after="0"/>
              <w:rPr>
                <w:sz w:val="24"/>
                <w:szCs w:val="24"/>
                <w:color w:val="auto"/>
              </w:rPr>
            </w:pPr>
          </w:p>
        </w:tc>
        <w:tc>
          <w:tcPr>
            <w:tcW w:w="3640" w:type="dxa"/>
            <w:vAlign w:val="bottom"/>
            <w:shd w:val="clear" w:color="auto" w:fill="FF8B00"/>
          </w:tcPr>
          <w:p>
            <w:pPr>
              <w:spacing w:after="0"/>
              <w:rPr>
                <w:sz w:val="24"/>
                <w:szCs w:val="24"/>
                <w:color w:val="auto"/>
              </w:rPr>
            </w:pPr>
          </w:p>
        </w:tc>
      </w:tr>
      <w:tr>
        <w:trPr>
          <w:trHeight w:val="152"/>
        </w:trPr>
        <w:tc>
          <w:tcPr>
            <w:tcW w:w="2080" w:type="dxa"/>
            <w:vAlign w:val="bottom"/>
          </w:tcPr>
          <w:p>
            <w:pPr>
              <w:jc w:val="right"/>
              <w:ind w:right="1546"/>
              <w:spacing w:after="0"/>
              <w:rPr>
                <w:sz w:val="20"/>
                <w:szCs w:val="20"/>
                <w:color w:val="auto"/>
              </w:rPr>
            </w:pPr>
            <w:r>
              <w:rPr>
                <w:rFonts w:ascii="Arial" w:cs="Arial" w:eastAsia="Arial" w:hAnsi="Arial"/>
                <w:sz w:val="11"/>
                <w:szCs w:val="11"/>
                <w:b w:val="1"/>
                <w:bCs w:val="1"/>
                <w:color w:val="333333"/>
              </w:rPr>
              <w:t>30</w:t>
            </w:r>
          </w:p>
        </w:tc>
        <w:tc>
          <w:tcPr>
            <w:tcW w:w="3640" w:type="dxa"/>
            <w:vAlign w:val="bottom"/>
          </w:tcPr>
          <w:p>
            <w:pPr>
              <w:ind w:left="1580"/>
              <w:spacing w:after="0"/>
              <w:rPr>
                <w:sz w:val="20"/>
                <w:szCs w:val="20"/>
                <w:color w:val="auto"/>
              </w:rPr>
            </w:pPr>
            <w:r>
              <w:rPr>
                <w:rFonts w:ascii="Arial" w:cs="Arial" w:eastAsia="Arial" w:hAnsi="Arial"/>
                <w:sz w:val="13"/>
                <w:szCs w:val="13"/>
                <w:color w:val="333333"/>
              </w:rPr>
              <w:t>STRATEGIC REPORT</w:t>
            </w:r>
          </w:p>
        </w:tc>
      </w:tr>
    </w:tbl>
    <w:p>
      <w:pPr>
        <w:spacing w:after="0" w:line="155" w:lineRule="exact"/>
        <w:rPr>
          <w:sz w:val="20"/>
          <w:szCs w:val="20"/>
          <w:color w:val="auto"/>
        </w:rPr>
      </w:pPr>
    </w:p>
    <w:p>
      <w:pPr>
        <w:ind w:left="4340"/>
        <w:spacing w:after="0"/>
        <w:rPr>
          <w:sz w:val="20"/>
          <w:szCs w:val="20"/>
          <w:color w:val="auto"/>
        </w:rPr>
      </w:pPr>
      <w:r>
        <w:rPr>
          <w:rFonts w:ascii="Arial" w:cs="Arial" w:eastAsia="Arial" w:hAnsi="Arial"/>
          <w:sz w:val="11"/>
          <w:szCs w:val="11"/>
          <w:color w:val="auto"/>
        </w:rPr>
        <w:t>UPSTREAM</w:t>
      </w:r>
    </w:p>
    <w:p>
      <w:pPr>
        <w:spacing w:after="0" w:line="48" w:lineRule="exact"/>
        <w:rPr>
          <w:sz w:val="20"/>
          <w:szCs w:val="20"/>
          <w:color w:val="auto"/>
        </w:rPr>
      </w:pPr>
    </w:p>
    <w:p>
      <w:pPr>
        <w:spacing w:after="0"/>
        <w:rPr>
          <w:sz w:val="20"/>
          <w:szCs w:val="20"/>
          <w:color w:val="auto"/>
        </w:rPr>
      </w:pPr>
      <w:r>
        <w:rPr>
          <w:rFonts w:ascii="Arial" w:cs="Arial" w:eastAsia="Arial" w:hAnsi="Arial"/>
          <w:sz w:val="24"/>
          <w:szCs w:val="24"/>
          <w:color w:val="auto"/>
        </w:rPr>
        <w:t xml:space="preserve">UPSTREAM </w:t>
      </w:r>
      <w:r>
        <w:rPr>
          <w:rFonts w:ascii="Arial" w:cs="Arial" w:eastAsia="Arial" w:hAnsi="Arial"/>
          <w:sz w:val="24"/>
          <w:szCs w:val="24"/>
          <w:color w:val="666666"/>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347345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spacing w:after="0" w:line="199" w:lineRule="exact"/>
        <w:rPr>
          <w:sz w:val="20"/>
          <w:szCs w:val="20"/>
          <w:color w:val="auto"/>
        </w:rPr>
      </w:pPr>
    </w:p>
    <w:p>
      <w:pPr>
        <w:spacing w:after="0"/>
        <w:rPr>
          <w:sz w:val="20"/>
          <w:szCs w:val="20"/>
          <w:color w:val="auto"/>
        </w:rPr>
      </w:pPr>
      <w:r>
        <w:rPr>
          <w:rFonts w:ascii="Arial" w:cs="Arial" w:eastAsia="Arial" w:hAnsi="Arial"/>
          <w:sz w:val="14"/>
          <w:szCs w:val="14"/>
          <w:color w:val="auto"/>
        </w:rPr>
        <w:t>Offshore</w:t>
      </w:r>
    </w:p>
    <w:p>
      <w:pPr>
        <w:spacing w:after="0" w:line="1" w:lineRule="exact"/>
        <w:rPr>
          <w:sz w:val="20"/>
          <w:szCs w:val="20"/>
          <w:color w:val="auto"/>
        </w:rPr>
      </w:pPr>
    </w:p>
    <w:p>
      <w:pPr>
        <w:ind w:right="300"/>
        <w:spacing w:after="0" w:line="244" w:lineRule="auto"/>
        <w:rPr>
          <w:sz w:val="20"/>
          <w:szCs w:val="20"/>
          <w:color w:val="auto"/>
        </w:rPr>
      </w:pPr>
      <w:r>
        <w:rPr>
          <w:rFonts w:ascii="Arial" w:cs="Arial" w:eastAsia="Arial" w:hAnsi="Arial"/>
          <w:sz w:val="14"/>
          <w:szCs w:val="14"/>
          <w:color w:val="auto"/>
        </w:rPr>
        <w:t>We have a 31.3% interest in the Sable Offshore Energy project, a natural-gas complex off the east coast of Canada and other acreages in deep-water offshore Nova Scotia and Newfoundland. During 2014, we sold a 50% interest in the Shelburne project offshore Nova Scotia and retain a 50% interest as operator. We also have a number of exploration licences off the west coast of British Columbia and in the Mackenzie Delta in the Northwest Territories.</w:t>
      </w:r>
    </w:p>
    <w:p>
      <w:pPr>
        <w:spacing w:after="0" w:line="151" w:lineRule="exact"/>
        <w:rPr>
          <w:sz w:val="20"/>
          <w:szCs w:val="20"/>
          <w:color w:val="auto"/>
        </w:rPr>
      </w:pPr>
    </w:p>
    <w:p>
      <w:pPr>
        <w:spacing w:after="0"/>
        <w:rPr>
          <w:sz w:val="20"/>
          <w:szCs w:val="20"/>
          <w:color w:val="auto"/>
        </w:rPr>
      </w:pPr>
      <w:r>
        <w:rPr>
          <w:rFonts w:ascii="Arial" w:cs="Arial" w:eastAsia="Arial" w:hAnsi="Arial"/>
          <w:sz w:val="13"/>
          <w:szCs w:val="13"/>
          <w:color w:val="auto"/>
        </w:rPr>
        <w:t>USA</w:t>
      </w:r>
    </w:p>
    <w:p>
      <w:pPr>
        <w:ind w:right="380"/>
        <w:spacing w:after="0" w:line="241" w:lineRule="auto"/>
        <w:rPr>
          <w:sz w:val="20"/>
          <w:szCs w:val="20"/>
          <w:color w:val="auto"/>
        </w:rPr>
      </w:pPr>
      <w:r>
        <w:rPr>
          <w:rFonts w:ascii="Arial" w:cs="Arial" w:eastAsia="Arial" w:hAnsi="Arial"/>
          <w:sz w:val="14"/>
          <w:szCs w:val="14"/>
          <w:color w:val="auto"/>
        </w:rPr>
        <w:t>We produce oil and gas in the Gulf of Mexico, heavy oil in California and primarily tight gas and oil from liquids-rich shales in Pennsylvania and Texas. The majority of our oil and gas production interests are acquired under leases granted by the owner of the minerals underlying the relevant acreage, including many leases for federal onshore and</w:t>
      </w:r>
    </w:p>
    <w:p>
      <w:pPr>
        <w:spacing w:after="0" w:line="2" w:lineRule="exact"/>
        <w:rPr>
          <w:sz w:val="20"/>
          <w:szCs w:val="20"/>
          <w:color w:val="auto"/>
        </w:rPr>
      </w:pPr>
    </w:p>
    <w:p>
      <w:pPr>
        <w:ind w:right="460"/>
        <w:spacing w:after="0" w:line="247" w:lineRule="auto"/>
        <w:rPr>
          <w:sz w:val="20"/>
          <w:szCs w:val="20"/>
          <w:color w:val="auto"/>
        </w:rPr>
      </w:pPr>
      <w:r>
        <w:rPr>
          <w:rFonts w:ascii="Arial" w:cs="Arial" w:eastAsia="Arial" w:hAnsi="Arial"/>
          <w:sz w:val="14"/>
          <w:szCs w:val="14"/>
          <w:color w:val="auto"/>
        </w:rPr>
        <w:t>offshore tracts. Such leases usually run on an initial fixed term that is automatically extended by the establishment of production for as long as production continues, subject to compliance with the terms of the lease (including, in the case of federal leases, extensive regulations imposed by federal law).</w:t>
      </w:r>
    </w:p>
    <w:p>
      <w:pPr>
        <w:spacing w:after="0" w:line="161" w:lineRule="exact"/>
        <w:rPr>
          <w:sz w:val="20"/>
          <w:szCs w:val="20"/>
          <w:color w:val="auto"/>
        </w:rPr>
      </w:pPr>
    </w:p>
    <w:p>
      <w:pPr>
        <w:spacing w:after="0"/>
        <w:rPr>
          <w:sz w:val="20"/>
          <w:szCs w:val="20"/>
          <w:color w:val="auto"/>
        </w:rPr>
      </w:pPr>
      <w:r>
        <w:rPr>
          <w:rFonts w:ascii="Arial" w:cs="Arial" w:eastAsia="Arial" w:hAnsi="Arial"/>
          <w:sz w:val="14"/>
          <w:szCs w:val="14"/>
          <w:color w:val="auto"/>
        </w:rPr>
        <w:t>Gulf of Mexico</w:t>
      </w:r>
    </w:p>
    <w:p>
      <w:pPr>
        <w:spacing w:after="0" w:line="1" w:lineRule="exact"/>
        <w:rPr>
          <w:sz w:val="20"/>
          <w:szCs w:val="20"/>
          <w:color w:val="auto"/>
        </w:rPr>
      </w:pPr>
    </w:p>
    <w:p>
      <w:pPr>
        <w:ind w:right="480"/>
        <w:spacing w:after="0" w:line="245" w:lineRule="auto"/>
        <w:rPr>
          <w:sz w:val="20"/>
          <w:szCs w:val="20"/>
          <w:color w:val="auto"/>
        </w:rPr>
      </w:pPr>
      <w:r>
        <w:rPr>
          <w:rFonts w:ascii="Arial" w:cs="Arial" w:eastAsia="Arial" w:hAnsi="Arial"/>
          <w:sz w:val="14"/>
          <w:szCs w:val="14"/>
          <w:color w:val="auto"/>
        </w:rPr>
        <w:t>The Gulf of Mexico is our major production area in the USA, and accounts for over 50% of Shell’s oil and gas production in the country. We have an interest in approximately 450 federal offshore leases and our share of production averaged almost 225 thousand boe/d in 2014. Key producing assets are Auger, Brutus, Enchilada, Mars, Na Kika, Olympus, Perdido, Ram-Powell and Ursa.</w:t>
      </w:r>
    </w:p>
    <w:p>
      <w:pPr>
        <w:spacing w:after="0" w:line="178" w:lineRule="exact"/>
        <w:rPr>
          <w:sz w:val="20"/>
          <w:szCs w:val="20"/>
          <w:color w:val="auto"/>
        </w:rPr>
      </w:pPr>
    </w:p>
    <w:p>
      <w:pPr>
        <w:ind w:right="320"/>
        <w:spacing w:after="0" w:line="248" w:lineRule="auto"/>
        <w:rPr>
          <w:sz w:val="20"/>
          <w:szCs w:val="20"/>
          <w:color w:val="auto"/>
        </w:rPr>
      </w:pPr>
      <w:r>
        <w:rPr>
          <w:rFonts w:ascii="Arial" w:cs="Arial" w:eastAsia="Arial" w:hAnsi="Arial"/>
          <w:sz w:val="14"/>
          <w:szCs w:val="14"/>
          <w:color w:val="auto"/>
        </w:rPr>
        <w:t>We continued significant exploration and development activities in the Gulf of Mexico in 2014, with an average contracted offshore rig fleet of nine mobile rigs and five platform rigs. We also secured five blocks in the central and western lease sales in 2014.</w:t>
      </w:r>
    </w:p>
    <w:p>
      <w:pPr>
        <w:spacing w:after="0" w:line="325" w:lineRule="exact"/>
        <w:rPr>
          <w:sz w:val="20"/>
          <w:szCs w:val="20"/>
          <w:color w:val="auto"/>
        </w:rPr>
      </w:pPr>
    </w:p>
    <w:p>
      <w:pPr>
        <w:spacing w:after="0"/>
        <w:rPr>
          <w:sz w:val="20"/>
          <w:szCs w:val="20"/>
          <w:color w:val="auto"/>
        </w:rPr>
      </w:pPr>
      <w:r>
        <w:rPr>
          <w:rFonts w:ascii="Arial" w:cs="Arial" w:eastAsia="Arial" w:hAnsi="Arial"/>
          <w:sz w:val="14"/>
          <w:szCs w:val="14"/>
          <w:color w:val="auto"/>
        </w:rPr>
        <w:t>Onshore</w:t>
      </w:r>
    </w:p>
    <w:p>
      <w:pPr>
        <w:spacing w:after="0" w:line="1" w:lineRule="exact"/>
        <w:rPr>
          <w:sz w:val="20"/>
          <w:szCs w:val="20"/>
          <w:color w:val="auto"/>
        </w:rPr>
      </w:pPr>
    </w:p>
    <w:p>
      <w:pPr>
        <w:ind w:right="640"/>
        <w:spacing w:after="0" w:line="250" w:lineRule="auto"/>
        <w:rPr>
          <w:sz w:val="20"/>
          <w:szCs w:val="20"/>
          <w:color w:val="auto"/>
        </w:rPr>
      </w:pPr>
      <w:r>
        <w:rPr>
          <w:rFonts w:ascii="Arial" w:cs="Arial" w:eastAsia="Arial" w:hAnsi="Arial"/>
          <w:sz w:val="14"/>
          <w:szCs w:val="14"/>
          <w:color w:val="auto"/>
        </w:rPr>
        <w:t>We have significant tight-gas and liquids-rich shale acreage, including in the Marcellus and Utica shales, centred on Pennsylvania in north-east USA and the Delaware Permian Basin in west Texas.</w:t>
      </w:r>
    </w:p>
    <w:p>
      <w:pPr>
        <w:spacing w:after="0" w:line="159" w:lineRule="exact"/>
        <w:rPr>
          <w:sz w:val="20"/>
          <w:szCs w:val="20"/>
          <w:color w:val="auto"/>
        </w:rPr>
      </w:pPr>
    </w:p>
    <w:p>
      <w:pPr>
        <w:ind w:right="240"/>
        <w:spacing w:after="0" w:line="245" w:lineRule="auto"/>
        <w:rPr>
          <w:sz w:val="20"/>
          <w:szCs w:val="20"/>
          <w:color w:val="auto"/>
        </w:rPr>
      </w:pPr>
      <w:r>
        <w:rPr>
          <w:rFonts w:ascii="Arial" w:cs="Arial" w:eastAsia="Arial" w:hAnsi="Arial"/>
          <w:sz w:val="14"/>
          <w:szCs w:val="14"/>
          <w:color w:val="auto"/>
        </w:rPr>
        <w:t>During 2014, we divested our interests in the Eagle Ford shale formation in Texas, the Mississippi Lime in Kansas, the Utica shale position in Ohio and our acreage in the Sandwash Niobrara basins in Colorado. In addition, we sold our Haynesville gas assets in Louisiana for cash and sold our Pinedale gas assets in Wyoming in exchange for cash and additional acreage in the Marcellus and Utica shale areas in Pennsylvania.</w:t>
      </w:r>
    </w:p>
    <w:p>
      <w:pPr>
        <w:spacing w:after="0" w:line="340" w:lineRule="exact"/>
        <w:rPr>
          <w:sz w:val="20"/>
          <w:szCs w:val="20"/>
          <w:color w:val="auto"/>
        </w:rPr>
      </w:pPr>
    </w:p>
    <w:p>
      <w:pPr>
        <w:ind w:right="260"/>
        <w:spacing w:after="0" w:line="245" w:lineRule="auto"/>
        <w:rPr>
          <w:sz w:val="20"/>
          <w:szCs w:val="20"/>
          <w:color w:val="auto"/>
        </w:rPr>
      </w:pPr>
      <w:r>
        <w:rPr>
          <w:rFonts w:ascii="Arial" w:cs="Arial" w:eastAsia="Arial" w:hAnsi="Arial"/>
          <w:sz w:val="14"/>
          <w:szCs w:val="14"/>
          <w:color w:val="auto"/>
        </w:rPr>
        <w:t>In recent years, we have invested significant amounts in our tight-gas and liquids-rich shale portfolio. There is still a large amount of drilling that must be conducted in our properties in order to establish our future plans. Following the asset sales in 2014, the current focus is on de-risking and future development of our core assets, while continuing to look for options to enhance the value of our portfolio in the current market.</w:t>
      </w:r>
    </w:p>
    <w:p>
      <w:pPr>
        <w:spacing w:after="0" w:line="326" w:lineRule="exact"/>
        <w:rPr>
          <w:sz w:val="20"/>
          <w:szCs w:val="20"/>
          <w:color w:val="auto"/>
        </w:rPr>
      </w:pPr>
    </w:p>
    <w:p>
      <w:pPr>
        <w:spacing w:after="0"/>
        <w:rPr>
          <w:sz w:val="20"/>
          <w:szCs w:val="20"/>
          <w:color w:val="auto"/>
        </w:rPr>
      </w:pPr>
      <w:r>
        <w:rPr>
          <w:rFonts w:ascii="Arial" w:cs="Arial" w:eastAsia="Arial" w:hAnsi="Arial"/>
          <w:sz w:val="14"/>
          <w:szCs w:val="14"/>
          <w:color w:val="auto"/>
        </w:rPr>
        <w:t>California</w:t>
      </w:r>
    </w:p>
    <w:p>
      <w:pPr>
        <w:spacing w:after="0" w:line="1" w:lineRule="exact"/>
        <w:rPr>
          <w:sz w:val="20"/>
          <w:szCs w:val="20"/>
          <w:color w:val="auto"/>
        </w:rPr>
      </w:pPr>
    </w:p>
    <w:p>
      <w:pPr>
        <w:jc w:val="both"/>
        <w:ind w:right="460"/>
        <w:spacing w:after="0" w:line="247" w:lineRule="auto"/>
        <w:rPr>
          <w:sz w:val="20"/>
          <w:szCs w:val="20"/>
          <w:color w:val="auto"/>
        </w:rPr>
      </w:pPr>
      <w:r>
        <w:rPr>
          <w:rFonts w:ascii="Arial" w:cs="Arial" w:eastAsia="Arial" w:hAnsi="Arial"/>
          <w:sz w:val="14"/>
          <w:szCs w:val="14"/>
          <w:color w:val="auto"/>
        </w:rPr>
        <w:t>We have a 51.8% interest in Aera Energy LLC (Aera), which has assets in the San Joaquin Valley and Los Angeles Basin areas of southern California. Aera operates more than 15,000 wells, producing approximately 130 thousand boe/d of heavy oil and gas.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right"/>
        <w:spacing w:after="0"/>
        <w:rPr>
          <w:sz w:val="20"/>
          <w:szCs w:val="20"/>
          <w:color w:val="auto"/>
        </w:rPr>
      </w:pPr>
      <w:r>
        <w:rPr>
          <w:rFonts w:ascii="Arial" w:cs="Arial" w:eastAsia="Arial" w:hAnsi="Arial"/>
          <w:sz w:val="11"/>
          <w:szCs w:val="11"/>
          <w:color w:val="auto"/>
        </w:rPr>
        <w:t>SHELL ANNUAL REPORT AND FORM 20-F 2014</w:t>
      </w:r>
    </w:p>
    <w:p>
      <w:pPr>
        <w:spacing w:after="0" w:line="57" w:lineRule="exact"/>
        <w:rPr>
          <w:sz w:val="20"/>
          <w:szCs w:val="20"/>
          <w:color w:val="auto"/>
        </w:rPr>
      </w:pPr>
    </w:p>
    <w:p>
      <w:pPr>
        <w:spacing w:after="0"/>
        <w:rPr>
          <w:sz w:val="20"/>
          <w:szCs w:val="20"/>
          <w:color w:val="auto"/>
        </w:rPr>
      </w:pPr>
      <w:r>
        <w:rPr>
          <w:rFonts w:ascii="Arial" w:cs="Arial" w:eastAsia="Arial" w:hAnsi="Arial"/>
          <w:sz w:val="14"/>
          <w:szCs w:val="14"/>
          <w:color w:val="auto"/>
        </w:rPr>
        <w:t>Alaska</w:t>
      </w:r>
    </w:p>
    <w:p>
      <w:pPr>
        <w:spacing w:after="0" w:line="1" w:lineRule="exact"/>
        <w:rPr>
          <w:sz w:val="20"/>
          <w:szCs w:val="20"/>
          <w:color w:val="auto"/>
        </w:rPr>
      </w:pPr>
    </w:p>
    <w:p>
      <w:pPr>
        <w:ind w:right="180"/>
        <w:spacing w:after="0" w:line="243" w:lineRule="auto"/>
        <w:rPr>
          <w:sz w:val="20"/>
          <w:szCs w:val="20"/>
          <w:color w:val="auto"/>
        </w:rPr>
      </w:pPr>
      <w:r>
        <w:rPr>
          <w:rFonts w:ascii="Arial" w:cs="Arial" w:eastAsia="Arial" w:hAnsi="Arial"/>
          <w:sz w:val="14"/>
          <w:szCs w:val="14"/>
          <w:color w:val="auto"/>
        </w:rPr>
        <w:t>We have more than 410 federal leases for exploration in the Beaufort and Chukchi seas in Alaska. In January 2014, we decided to suspend our 2014 drilling campaign due to obstacles raised by the Ninth Circuit Court of Appeal’s decision with regard to the Department of the Interior’s (DOI) 2008 oil and gas lease sale in the Chukchi Sea. In August 2014, we submitted an Exploration Plan for a two-rig programme in the Chukchi Sea. In November 2014, the DOI issued a draft Supplemental Environmental Impact Statement (SEIS) and the comment period closed in December 2014. We anticipate that the DOI will continue to work in accordance with their proposed timeline to complete the SEIS in sufficient time to allow us to pursue our plans to drill in 2015.</w:t>
      </w:r>
    </w:p>
    <w:p>
      <w:pPr>
        <w:spacing w:after="0" w:line="328" w:lineRule="exact"/>
        <w:rPr>
          <w:sz w:val="20"/>
          <w:szCs w:val="20"/>
          <w:color w:val="auto"/>
        </w:rPr>
      </w:pPr>
    </w:p>
    <w:p>
      <w:pPr>
        <w:spacing w:after="0"/>
        <w:rPr>
          <w:sz w:val="20"/>
          <w:szCs w:val="20"/>
          <w:color w:val="auto"/>
        </w:rPr>
      </w:pPr>
      <w:r>
        <w:rPr>
          <w:rFonts w:ascii="Arial" w:cs="Arial" w:eastAsia="Arial" w:hAnsi="Arial"/>
          <w:sz w:val="13"/>
          <w:szCs w:val="13"/>
          <w:color w:val="auto"/>
        </w:rPr>
        <w:t>REST OF NORTH AMERICA</w:t>
      </w:r>
    </w:p>
    <w:p>
      <w:pPr>
        <w:spacing w:after="0"/>
        <w:rPr>
          <w:sz w:val="20"/>
          <w:szCs w:val="20"/>
          <w:color w:val="auto"/>
        </w:rPr>
      </w:pPr>
      <w:r>
        <w:rPr>
          <w:rFonts w:ascii="Arial" w:cs="Arial" w:eastAsia="Arial" w:hAnsi="Arial"/>
          <w:sz w:val="14"/>
          <w:szCs w:val="14"/>
          <w:color w:val="auto"/>
        </w:rPr>
        <w:t>Shell also has interests in Mexico.</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South America</w:t>
      </w:r>
    </w:p>
    <w:p>
      <w:pPr>
        <w:spacing w:after="0" w:line="162" w:lineRule="exact"/>
        <w:rPr>
          <w:sz w:val="20"/>
          <w:szCs w:val="20"/>
          <w:color w:val="auto"/>
        </w:rPr>
      </w:pPr>
    </w:p>
    <w:p>
      <w:pPr>
        <w:spacing w:after="0"/>
        <w:rPr>
          <w:sz w:val="20"/>
          <w:szCs w:val="20"/>
          <w:color w:val="auto"/>
        </w:rPr>
      </w:pPr>
      <w:r>
        <w:rPr>
          <w:rFonts w:ascii="Arial" w:cs="Arial" w:eastAsia="Arial" w:hAnsi="Arial"/>
          <w:sz w:val="13"/>
          <w:szCs w:val="13"/>
          <w:color w:val="auto"/>
        </w:rPr>
        <w:t>BRAZIL</w:t>
      </w:r>
    </w:p>
    <w:p>
      <w:pPr>
        <w:ind w:right="200"/>
        <w:spacing w:after="0" w:line="244" w:lineRule="auto"/>
        <w:rPr>
          <w:sz w:val="20"/>
          <w:szCs w:val="20"/>
          <w:color w:val="auto"/>
        </w:rPr>
      </w:pPr>
      <w:r>
        <w:rPr>
          <w:rFonts w:ascii="Arial" w:cs="Arial" w:eastAsia="Arial" w:hAnsi="Arial"/>
          <w:sz w:val="14"/>
          <w:szCs w:val="14"/>
          <w:color w:val="auto"/>
        </w:rPr>
        <w:t>We are the operator of several producing fields in the Campos Basin, offshore Brazil. They include the Bijupirá and Salema fields (Shell interest 80%) and the BC-10 field (Shell interest 50%). We started production from the BC-10 Phase 2 project in October 2013, which reached peak production of 41 thousand boe/d in 2014. In 2013, we exercised our pre-emptive rights to acquire an additional 23% in the BC-10 project and in 2014 we sold a 23% interest to Qatar Petroleum International, which returned our interest to 50%.</w:t>
      </w:r>
    </w:p>
    <w:p>
      <w:pPr>
        <w:spacing w:after="0" w:line="178" w:lineRule="exact"/>
        <w:rPr>
          <w:sz w:val="20"/>
          <w:szCs w:val="20"/>
          <w:color w:val="auto"/>
        </w:rPr>
      </w:pPr>
    </w:p>
    <w:p>
      <w:pPr>
        <w:ind w:right="320"/>
        <w:spacing w:after="0" w:line="245" w:lineRule="auto"/>
        <w:rPr>
          <w:sz w:val="20"/>
          <w:szCs w:val="20"/>
          <w:color w:val="auto"/>
        </w:rPr>
      </w:pPr>
      <w:r>
        <w:rPr>
          <w:rFonts w:ascii="Arial" w:cs="Arial" w:eastAsia="Arial" w:hAnsi="Arial"/>
          <w:sz w:val="14"/>
          <w:szCs w:val="14"/>
          <w:color w:val="auto"/>
        </w:rPr>
        <w:t>We operate one block in the São Francisco onshore basin area (Shell interest 60%) and operate one offshore exploration block in the Santos Basin, BM-S-54 (Shell interest 80%). We also have an interest in one offshore exploration block in the Espirito Santo basins, BM-ES-27 (Shell interest 17.5%). In November 2014, we divested our 20% interest in BM-ES-23.</w:t>
      </w:r>
    </w:p>
    <w:p>
      <w:pPr>
        <w:spacing w:after="0" w:line="164" w:lineRule="exact"/>
        <w:rPr>
          <w:sz w:val="20"/>
          <w:szCs w:val="20"/>
          <w:color w:val="auto"/>
        </w:rPr>
      </w:pPr>
    </w:p>
    <w:p>
      <w:pPr>
        <w:ind w:right="160"/>
        <w:spacing w:after="0" w:line="258" w:lineRule="auto"/>
        <w:rPr>
          <w:sz w:val="20"/>
          <w:szCs w:val="20"/>
          <w:color w:val="auto"/>
        </w:rPr>
      </w:pPr>
      <w:r>
        <w:rPr>
          <w:rFonts w:ascii="Arial" w:cs="Arial" w:eastAsia="Arial" w:hAnsi="Arial"/>
          <w:sz w:val="14"/>
          <w:szCs w:val="14"/>
          <w:color w:val="auto"/>
        </w:rPr>
        <w:t>We also have an 18% interest in Brazil Companhia de Gas de São Paulo (Comgás), a natural gas distribution company in the state of São Paulo.</w:t>
      </w:r>
    </w:p>
    <w:p>
      <w:pPr>
        <w:spacing w:after="0" w:line="154" w:lineRule="exact"/>
        <w:rPr>
          <w:sz w:val="20"/>
          <w:szCs w:val="20"/>
          <w:color w:val="auto"/>
        </w:rPr>
      </w:pPr>
    </w:p>
    <w:p>
      <w:pPr>
        <w:ind w:right="160"/>
        <w:spacing w:after="0" w:line="258" w:lineRule="auto"/>
        <w:rPr>
          <w:sz w:val="20"/>
          <w:szCs w:val="20"/>
          <w:color w:val="auto"/>
        </w:rPr>
      </w:pPr>
      <w:r>
        <w:rPr>
          <w:rFonts w:ascii="Arial" w:cs="Arial" w:eastAsia="Arial" w:hAnsi="Arial"/>
          <w:sz w:val="14"/>
          <w:szCs w:val="14"/>
          <w:color w:val="auto"/>
        </w:rPr>
        <w:t>We have a 20% interest in a 35-year PSC to develop the Libra pre-salt oil field located in the Santos Basin.</w:t>
      </w:r>
    </w:p>
    <w:p>
      <w:pPr>
        <w:spacing w:after="0" w:line="167" w:lineRule="exact"/>
        <w:rPr>
          <w:sz w:val="20"/>
          <w:szCs w:val="20"/>
          <w:color w:val="auto"/>
        </w:rPr>
      </w:pPr>
    </w:p>
    <w:p>
      <w:pPr>
        <w:ind w:right="480"/>
        <w:spacing w:after="0" w:line="258" w:lineRule="auto"/>
        <w:rPr>
          <w:sz w:val="20"/>
          <w:szCs w:val="20"/>
          <w:color w:val="auto"/>
        </w:rPr>
      </w:pPr>
      <w:r>
        <w:rPr>
          <w:rFonts w:ascii="Arial" w:cs="Arial" w:eastAsia="Arial" w:hAnsi="Arial"/>
          <w:sz w:val="14"/>
          <w:szCs w:val="14"/>
          <w:color w:val="auto"/>
        </w:rPr>
        <w:t>In January 2015, we reached an agreement to divest our operating interest in our deep-water production asset Bijupira Salema, pending regulatory approvals.</w:t>
      </w:r>
    </w:p>
    <w:p>
      <w:pPr>
        <w:spacing w:after="0" w:line="139" w:lineRule="exact"/>
        <w:rPr>
          <w:sz w:val="20"/>
          <w:szCs w:val="20"/>
          <w:color w:val="auto"/>
        </w:rPr>
      </w:pPr>
    </w:p>
    <w:p>
      <w:pPr>
        <w:spacing w:after="0"/>
        <w:rPr>
          <w:sz w:val="20"/>
          <w:szCs w:val="20"/>
          <w:color w:val="auto"/>
        </w:rPr>
      </w:pPr>
      <w:r>
        <w:rPr>
          <w:rFonts w:ascii="Arial" w:cs="Arial" w:eastAsia="Arial" w:hAnsi="Arial"/>
          <w:sz w:val="13"/>
          <w:szCs w:val="13"/>
          <w:color w:val="auto"/>
        </w:rPr>
        <w:t>REST OF SOUTH AMERICA</w:t>
      </w:r>
    </w:p>
    <w:p>
      <w:pPr>
        <w:ind w:right="180"/>
        <w:spacing w:after="0" w:line="247" w:lineRule="auto"/>
        <w:rPr>
          <w:sz w:val="20"/>
          <w:szCs w:val="20"/>
          <w:color w:val="auto"/>
        </w:rPr>
      </w:pPr>
      <w:r>
        <w:rPr>
          <w:rFonts w:ascii="Arial" w:cs="Arial" w:eastAsia="Arial" w:hAnsi="Arial"/>
          <w:sz w:val="14"/>
          <w:szCs w:val="14"/>
          <w:color w:val="auto"/>
        </w:rPr>
        <w:t>The acquisition of part of Repsol S.A.’s LNG portfolio was completed in January 2014, including LNG supply positions in Peru and Trinidad and Tobago, adding 7.2 mtpa of directly managed LNG volumes through long-term off-take agreements, including 4.2 mtpa of equity LNG plant capacity.</w:t>
      </w:r>
    </w:p>
    <w:p>
      <w:pPr>
        <w:spacing w:after="0" w:line="161" w:lineRule="exact"/>
        <w:rPr>
          <w:sz w:val="20"/>
          <w:szCs w:val="20"/>
          <w:color w:val="auto"/>
        </w:rPr>
      </w:pPr>
    </w:p>
    <w:p>
      <w:pPr>
        <w:spacing w:after="0"/>
        <w:rPr>
          <w:sz w:val="20"/>
          <w:szCs w:val="20"/>
          <w:color w:val="auto"/>
        </w:rPr>
      </w:pPr>
      <w:r>
        <w:rPr>
          <w:rFonts w:ascii="Arial" w:cs="Arial" w:eastAsia="Arial" w:hAnsi="Arial"/>
          <w:sz w:val="14"/>
          <w:szCs w:val="14"/>
          <w:color w:val="auto"/>
        </w:rPr>
        <w:t>Shell also has interests in Argentina, Colombia, French Guiana and Venezuela.</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Trading</w:t>
      </w:r>
    </w:p>
    <w:p>
      <w:pPr>
        <w:spacing w:after="0" w:line="1" w:lineRule="exact"/>
        <w:rPr>
          <w:sz w:val="20"/>
          <w:szCs w:val="20"/>
          <w:color w:val="auto"/>
        </w:rPr>
      </w:pPr>
    </w:p>
    <w:p>
      <w:pPr>
        <w:ind w:right="240"/>
        <w:spacing w:after="0" w:line="247" w:lineRule="auto"/>
        <w:rPr>
          <w:sz w:val="20"/>
          <w:szCs w:val="20"/>
          <w:color w:val="auto"/>
        </w:rPr>
      </w:pPr>
      <w:r>
        <w:rPr>
          <w:rFonts w:ascii="Arial" w:cs="Arial" w:eastAsia="Arial" w:hAnsi="Arial"/>
          <w:sz w:val="14"/>
          <w:szCs w:val="14"/>
          <w:color w:val="auto"/>
        </w:rPr>
        <w:t>We market a portion of our share of equity production of LNG and also trade LNG volumes around the world through our hubs in Dubai and Singapore. We also market and trade natural gas, power, emission rights and crude oil from certain Shell Upstream operations in the Americas and Europe.</w:t>
      </w:r>
    </w:p>
    <w:p>
      <w:pPr>
        <w:sectPr>
          <w:pgSz w:w="11900" w:h="16838" w:orient="portrait"/>
          <w:cols w:equalWidth="0" w:num="2">
            <w:col w:w="5720" w:space="60"/>
            <w:col w:w="5640"/>
          </w:cols>
          <w:pgMar w:left="240" w:top="459" w:right="239" w:bottom="1440" w:gutter="0" w:footer="0" w:header="0"/>
          <w:type w:val="continuous"/>
        </w:sectPr>
      </w:pPr>
    </w:p>
    <w:bookmarkStart w:id="32" w:name="page33"/>
    <w:bookmarkEnd w:id="32"/>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3555365</wp:posOffset>
            </wp:positionH>
            <wp:positionV relativeFrom="paragraph">
              <wp:posOffset>314960</wp:posOffset>
            </wp:positionV>
            <wp:extent cx="3696335" cy="46291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3696335" cy="462915"/>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right"/>
        <w:spacing w:after="0"/>
        <w:rPr>
          <w:sz w:val="20"/>
          <w:szCs w:val="20"/>
          <w:color w:val="auto"/>
        </w:rPr>
      </w:pPr>
      <w:r>
        <w:rPr>
          <w:rFonts w:ascii="Arial" w:cs="Arial" w:eastAsia="Arial" w:hAnsi="Arial"/>
          <w:sz w:val="13"/>
          <w:szCs w:val="13"/>
          <w:color w:val="333333"/>
        </w:rPr>
        <w:t>STRATEGIC REPORT</w:t>
      </w:r>
    </w:p>
    <w:p>
      <w:pPr>
        <w:spacing w:after="0" w:line="159" w:lineRule="exact"/>
        <w:rPr>
          <w:sz w:val="20"/>
          <w:szCs w:val="20"/>
          <w:color w:val="auto"/>
        </w:rPr>
      </w:pPr>
    </w:p>
    <w:p>
      <w:pPr>
        <w:spacing w:after="0"/>
        <w:tabs>
          <w:tab w:leader="none" w:pos="6520" w:val="left"/>
        </w:tabs>
        <w:rPr>
          <w:sz w:val="20"/>
          <w:szCs w:val="20"/>
          <w:color w:val="auto"/>
        </w:rPr>
      </w:pPr>
      <w:r>
        <w:rPr>
          <w:rFonts w:ascii="Arial" w:cs="Arial" w:eastAsia="Arial" w:hAnsi="Arial"/>
          <w:sz w:val="11"/>
          <w:szCs w:val="11"/>
          <w:color w:val="auto"/>
        </w:rPr>
        <w:t>SHELL ANNUAL REPORT AND FORM 20-F 2014</w:t>
      </w:r>
      <w:r>
        <w:rPr>
          <w:sz w:val="20"/>
          <w:szCs w:val="20"/>
          <w:color w:val="auto"/>
        </w:rPr>
        <w:tab/>
      </w:r>
      <w:r>
        <w:rPr>
          <w:rFonts w:ascii="Arial" w:cs="Arial" w:eastAsia="Arial" w:hAnsi="Arial"/>
          <w:sz w:val="10"/>
          <w:szCs w:val="10"/>
          <w:color w:val="auto"/>
        </w:rPr>
        <w:t>UPSTREAM</w:t>
      </w:r>
    </w:p>
    <w:p>
      <w:pPr>
        <w:ind w:left="80" w:right="1260"/>
        <w:spacing w:after="0" w:line="233" w:lineRule="auto"/>
        <w:rPr>
          <w:sz w:val="20"/>
          <w:szCs w:val="20"/>
          <w:color w:val="auto"/>
        </w:rPr>
      </w:pPr>
      <w:r>
        <w:rPr>
          <w:rFonts w:ascii="Arial" w:cs="Arial" w:eastAsia="Arial" w:hAnsi="Arial"/>
          <w:sz w:val="15"/>
          <w:szCs w:val="15"/>
          <w:b w:val="1"/>
          <w:bCs w:val="1"/>
          <w:color w:val="FFFFFF"/>
        </w:rPr>
        <w:t xml:space="preserve">SUMMARY OF PROVED OIL AND GAS RESERVES OF SHELL SUBSIDIARIES AND SHELL SHARE OF JOINT VENTURES AND ASSOCIATES </w:t>
      </w:r>
      <w:r>
        <w:rPr>
          <w:rFonts w:ascii="Arial" w:cs="Arial" w:eastAsia="Arial" w:hAnsi="Arial"/>
          <w:sz w:val="15"/>
          <w:szCs w:val="15"/>
          <w:color w:val="FFFFFF"/>
        </w:rPr>
        <w:t>[A][B] (AT DECEMBER 31,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-209550</wp:posOffset>
            </wp:positionV>
            <wp:extent cx="7246620" cy="21463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46620" cy="214630"/>
                    </a:xfrm>
                    <a:prstGeom prst="rect">
                      <a:avLst/>
                    </a:prstGeom>
                    <a:noFill/>
                  </pic:spPr>
                </pic:pic>
              </a:graphicData>
            </a:graphic>
          </wp:anchor>
        </w:drawing>
      </w:r>
    </w:p>
    <w:tbl>
      <w:tblPr>
        <w:tblLayout w:type="fixed"/>
        <w:tblInd w:w="5320" w:type="dxa"/>
        <w:tblCellMar>
          <w:top w:w="0" w:type="dxa"/>
          <w:left w:w="0" w:type="dxa"/>
          <w:bottom w:w="0" w:type="dxa"/>
          <w:right w:w="0" w:type="dxa"/>
        </w:tblCellMar>
      </w:tblPr>
      <w:tr>
        <w:trPr>
          <w:trHeight w:val="135"/>
        </w:trPr>
        <w:tc>
          <w:tcPr>
            <w:tcW w:w="1100" w:type="dxa"/>
            <w:vAlign w:val="bottom"/>
          </w:tcPr>
          <w:p>
            <w:pPr>
              <w:jc w:val="right"/>
              <w:ind w:right="177"/>
              <w:spacing w:after="0" w:line="136" w:lineRule="exact"/>
              <w:rPr>
                <w:sz w:val="20"/>
                <w:szCs w:val="20"/>
                <w:color w:val="auto"/>
              </w:rPr>
            </w:pPr>
            <w:r>
              <w:rPr>
                <w:rFonts w:ascii="Arial" w:cs="Arial" w:eastAsia="Arial" w:hAnsi="Arial"/>
                <w:sz w:val="13"/>
                <w:szCs w:val="13"/>
                <w:color w:val="auto"/>
                <w:w w:val="99"/>
              </w:rPr>
              <w:t>Oil and natural</w:t>
            </w:r>
          </w:p>
        </w:tc>
        <w:tc>
          <w:tcPr>
            <w:tcW w:w="900" w:type="dxa"/>
            <w:vAlign w:val="bottom"/>
          </w:tcPr>
          <w:p>
            <w:pPr>
              <w:jc w:val="right"/>
              <w:spacing w:after="0" w:line="136" w:lineRule="exact"/>
              <w:rPr>
                <w:sz w:val="20"/>
                <w:szCs w:val="20"/>
                <w:color w:val="auto"/>
              </w:rPr>
            </w:pPr>
            <w:r>
              <w:rPr>
                <w:rFonts w:ascii="Arial" w:cs="Arial" w:eastAsia="Arial" w:hAnsi="Arial"/>
                <w:sz w:val="13"/>
                <w:szCs w:val="13"/>
                <w:color w:val="auto"/>
              </w:rPr>
              <w:t>Natural gas</w:t>
            </w:r>
          </w:p>
        </w:tc>
      </w:tr>
      <w:tr>
        <w:trPr>
          <w:trHeight w:val="135"/>
        </w:trPr>
        <w:tc>
          <w:tcPr>
            <w:tcW w:w="1100" w:type="dxa"/>
            <w:vAlign w:val="bottom"/>
          </w:tcPr>
          <w:p>
            <w:pPr>
              <w:jc w:val="right"/>
              <w:ind w:right="177"/>
              <w:spacing w:after="0" w:line="135" w:lineRule="exact"/>
              <w:rPr>
                <w:sz w:val="20"/>
                <w:szCs w:val="20"/>
                <w:color w:val="auto"/>
              </w:rPr>
            </w:pPr>
            <w:r>
              <w:rPr>
                <w:rFonts w:ascii="Arial" w:cs="Arial" w:eastAsia="Arial" w:hAnsi="Arial"/>
                <w:sz w:val="13"/>
                <w:szCs w:val="13"/>
                <w:color w:val="auto"/>
              </w:rPr>
              <w:t>gas liquids</w:t>
            </w:r>
          </w:p>
        </w:tc>
        <w:tc>
          <w:tcPr>
            <w:tcW w:w="900" w:type="dxa"/>
            <w:vAlign w:val="bottom"/>
          </w:tcPr>
          <w:p>
            <w:pPr>
              <w:jc w:val="right"/>
              <w:spacing w:after="0" w:line="135" w:lineRule="exact"/>
              <w:rPr>
                <w:sz w:val="20"/>
                <w:szCs w:val="20"/>
                <w:color w:val="auto"/>
              </w:rPr>
            </w:pPr>
            <w:r>
              <w:rPr>
                <w:rFonts w:ascii="Arial" w:cs="Arial" w:eastAsia="Arial" w:hAnsi="Arial"/>
                <w:sz w:val="13"/>
                <w:szCs w:val="13"/>
                <w:color w:val="auto"/>
              </w:rPr>
              <w:t>(thousand</w:t>
            </w:r>
          </w:p>
        </w:tc>
      </w:tr>
      <w:tr>
        <w:trPr>
          <w:trHeight w:val="152"/>
        </w:trPr>
        <w:tc>
          <w:tcPr>
            <w:tcW w:w="1100" w:type="dxa"/>
            <w:vAlign w:val="bottom"/>
          </w:tcPr>
          <w:p>
            <w:pPr>
              <w:jc w:val="right"/>
              <w:ind w:right="177"/>
              <w:spacing w:after="0"/>
              <w:rPr>
                <w:sz w:val="20"/>
                <w:szCs w:val="20"/>
                <w:color w:val="auto"/>
              </w:rPr>
            </w:pPr>
            <w:r>
              <w:rPr>
                <w:rFonts w:ascii="Arial" w:cs="Arial" w:eastAsia="Arial" w:hAnsi="Arial"/>
                <w:sz w:val="13"/>
                <w:szCs w:val="13"/>
                <w:color w:val="auto"/>
                <w:w w:val="94"/>
              </w:rPr>
              <w:t>(million barrels)</w:t>
            </w:r>
          </w:p>
        </w:tc>
        <w:tc>
          <w:tcPr>
            <w:tcW w:w="900" w:type="dxa"/>
            <w:vAlign w:val="bottom"/>
          </w:tcPr>
          <w:p>
            <w:pPr>
              <w:jc w:val="right"/>
              <w:spacing w:after="0"/>
              <w:rPr>
                <w:sz w:val="20"/>
                <w:szCs w:val="20"/>
                <w:color w:val="auto"/>
              </w:rPr>
            </w:pPr>
            <w:r>
              <w:rPr>
                <w:rFonts w:ascii="Arial" w:cs="Arial" w:eastAsia="Arial" w:hAnsi="Arial"/>
                <w:sz w:val="13"/>
                <w:szCs w:val="13"/>
                <w:color w:val="auto"/>
              </w:rPr>
              <w:t>million scf)</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2"/>
        </w:trPr>
        <w:tc>
          <w:tcPr>
            <w:tcW w:w="128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040" w:type="dxa"/>
            <w:vAlign w:val="bottom"/>
          </w:tcPr>
          <w:p>
            <w:pPr>
              <w:ind w:left="560"/>
              <w:spacing w:after="0"/>
              <w:rPr>
                <w:sz w:val="20"/>
                <w:szCs w:val="20"/>
                <w:color w:val="auto"/>
              </w:rPr>
            </w:pPr>
            <w:r>
              <w:rPr>
                <w:rFonts w:ascii="Arial" w:cs="Arial" w:eastAsia="Arial" w:hAnsi="Arial"/>
                <w:sz w:val="11"/>
                <w:szCs w:val="11"/>
                <w:b w:val="1"/>
                <w:bCs w:val="1"/>
                <w:color w:val="333333"/>
              </w:rPr>
              <w:t>31</w:t>
            </w:r>
          </w:p>
        </w:tc>
      </w:tr>
      <w:tr>
        <w:trPr>
          <w:trHeight w:val="637"/>
        </w:trPr>
        <w:tc>
          <w:tcPr>
            <w:tcW w:w="3580" w:type="dxa"/>
            <w:vAlign w:val="bottom"/>
            <w:gridSpan w:val="3"/>
          </w:tcPr>
          <w:p>
            <w:pPr>
              <w:ind w:left="660"/>
              <w:spacing w:after="0"/>
              <w:rPr>
                <w:sz w:val="20"/>
                <w:szCs w:val="20"/>
                <w:color w:val="auto"/>
              </w:rPr>
            </w:pPr>
            <w:r>
              <w:rPr>
                <w:rFonts w:ascii="Arial" w:cs="Arial" w:eastAsia="Arial" w:hAnsi="Arial"/>
                <w:sz w:val="15"/>
                <w:szCs w:val="15"/>
                <w:color w:val="FFFFFF"/>
              </w:rPr>
              <w:t>BASED ON AVERAGE PRICES FOR 2014</w:t>
            </w:r>
          </w:p>
        </w:tc>
      </w:tr>
      <w:tr>
        <w:trPr>
          <w:trHeight w:val="135"/>
        </w:trPr>
        <w:tc>
          <w:tcPr>
            <w:tcW w:w="12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040" w:type="dxa"/>
            <w:vAlign w:val="bottom"/>
          </w:tcPr>
          <w:p>
            <w:pPr>
              <w:ind w:left="560"/>
              <w:spacing w:after="0" w:line="135" w:lineRule="exact"/>
              <w:rPr>
                <w:sz w:val="20"/>
                <w:szCs w:val="20"/>
                <w:color w:val="auto"/>
              </w:rPr>
            </w:pPr>
            <w:r>
              <w:rPr>
                <w:rFonts w:ascii="Arial" w:cs="Arial" w:eastAsia="Arial" w:hAnsi="Arial"/>
                <w:sz w:val="13"/>
                <w:szCs w:val="13"/>
                <w:color w:val="auto"/>
              </w:rPr>
              <w:t>Total</w:t>
            </w:r>
          </w:p>
        </w:tc>
      </w:tr>
      <w:tr>
        <w:trPr>
          <w:trHeight w:val="135"/>
        </w:trPr>
        <w:tc>
          <w:tcPr>
            <w:tcW w:w="1280" w:type="dxa"/>
            <w:vAlign w:val="bottom"/>
          </w:tcPr>
          <w:p>
            <w:pPr>
              <w:jc w:val="right"/>
              <w:ind w:right="192"/>
              <w:spacing w:after="0" w:line="135" w:lineRule="exact"/>
              <w:rPr>
                <w:sz w:val="20"/>
                <w:szCs w:val="20"/>
                <w:color w:val="auto"/>
              </w:rPr>
            </w:pPr>
            <w:r>
              <w:rPr>
                <w:rFonts w:ascii="Arial" w:cs="Arial" w:eastAsia="Arial" w:hAnsi="Arial"/>
                <w:sz w:val="13"/>
                <w:szCs w:val="13"/>
                <w:color w:val="auto"/>
                <w:w w:val="94"/>
              </w:rPr>
              <w:t>Synthetic crude oil</w:t>
            </w:r>
          </w:p>
        </w:tc>
        <w:tc>
          <w:tcPr>
            <w:tcW w:w="1260" w:type="dxa"/>
            <w:vAlign w:val="bottom"/>
          </w:tcPr>
          <w:p>
            <w:pPr>
              <w:jc w:val="right"/>
              <w:ind w:right="77"/>
              <w:spacing w:after="0" w:line="135" w:lineRule="exact"/>
              <w:rPr>
                <w:sz w:val="20"/>
                <w:szCs w:val="20"/>
                <w:color w:val="auto"/>
              </w:rPr>
            </w:pPr>
            <w:r>
              <w:rPr>
                <w:rFonts w:ascii="Arial" w:cs="Arial" w:eastAsia="Arial" w:hAnsi="Arial"/>
                <w:sz w:val="13"/>
                <w:szCs w:val="13"/>
                <w:color w:val="auto"/>
              </w:rPr>
              <w:t>Bitumen</w:t>
            </w:r>
          </w:p>
        </w:tc>
        <w:tc>
          <w:tcPr>
            <w:tcW w:w="1040" w:type="dxa"/>
            <w:vAlign w:val="bottom"/>
          </w:tcPr>
          <w:p>
            <w:pPr>
              <w:ind w:left="180"/>
              <w:spacing w:after="0" w:line="135" w:lineRule="exact"/>
              <w:rPr>
                <w:sz w:val="20"/>
                <w:szCs w:val="20"/>
                <w:color w:val="auto"/>
              </w:rPr>
            </w:pPr>
            <w:r>
              <w:rPr>
                <w:rFonts w:ascii="Arial" w:cs="Arial" w:eastAsia="Arial" w:hAnsi="Arial"/>
                <w:sz w:val="13"/>
                <w:szCs w:val="13"/>
                <w:color w:val="auto"/>
              </w:rPr>
              <w:t>all products</w:t>
            </w:r>
          </w:p>
        </w:tc>
      </w:tr>
      <w:tr>
        <w:trPr>
          <w:trHeight w:val="155"/>
        </w:trPr>
        <w:tc>
          <w:tcPr>
            <w:tcW w:w="1280" w:type="dxa"/>
            <w:vAlign w:val="bottom"/>
          </w:tcPr>
          <w:p>
            <w:pPr>
              <w:jc w:val="right"/>
              <w:ind w:right="192"/>
              <w:spacing w:after="0"/>
              <w:rPr>
                <w:sz w:val="20"/>
                <w:szCs w:val="20"/>
                <w:color w:val="auto"/>
              </w:rPr>
            </w:pPr>
            <w:r>
              <w:rPr>
                <w:rFonts w:ascii="Arial" w:cs="Arial" w:eastAsia="Arial" w:hAnsi="Arial"/>
                <w:sz w:val="13"/>
                <w:szCs w:val="13"/>
                <w:color w:val="auto"/>
              </w:rPr>
              <w:t>(million barrels)</w:t>
            </w:r>
          </w:p>
        </w:tc>
        <w:tc>
          <w:tcPr>
            <w:tcW w:w="1260" w:type="dxa"/>
            <w:vAlign w:val="bottom"/>
          </w:tcPr>
          <w:p>
            <w:pPr>
              <w:jc w:val="right"/>
              <w:ind w:right="77"/>
              <w:spacing w:after="0"/>
              <w:rPr>
                <w:sz w:val="20"/>
                <w:szCs w:val="20"/>
                <w:color w:val="auto"/>
              </w:rPr>
            </w:pPr>
            <w:r>
              <w:rPr>
                <w:rFonts w:ascii="Arial" w:cs="Arial" w:eastAsia="Arial" w:hAnsi="Arial"/>
                <w:sz w:val="13"/>
                <w:szCs w:val="13"/>
                <w:color w:val="auto"/>
              </w:rPr>
              <w:t>(million barrels)</w:t>
            </w:r>
          </w:p>
        </w:tc>
        <w:tc>
          <w:tcPr>
            <w:tcW w:w="1040" w:type="dxa"/>
            <w:vAlign w:val="bottom"/>
          </w:tcPr>
          <w:p>
            <w:pPr>
              <w:ind w:left="140"/>
              <w:spacing w:after="0"/>
              <w:rPr>
                <w:sz w:val="20"/>
                <w:szCs w:val="20"/>
                <w:color w:val="auto"/>
              </w:rPr>
            </w:pPr>
            <w:r>
              <w:rPr>
                <w:rFonts w:ascii="Arial" w:cs="Arial" w:eastAsia="Arial" w:hAnsi="Arial"/>
                <w:sz w:val="13"/>
                <w:szCs w:val="13"/>
                <w:color w:val="auto"/>
              </w:rPr>
              <w:t>(million boe)[C]</w:t>
            </w:r>
          </w:p>
        </w:tc>
      </w:tr>
    </w:tbl>
    <w:p>
      <w:pPr>
        <w:spacing w:after="0" w:line="1" w:lineRule="exact"/>
        <w:rPr>
          <w:sz w:val="20"/>
          <w:szCs w:val="20"/>
          <w:color w:val="auto"/>
        </w:rPr>
      </w:pPr>
    </w:p>
    <w:p>
      <w:pPr>
        <w:sectPr>
          <w:pgSz w:w="11900" w:h="16838" w:orient="portrait"/>
          <w:cols w:equalWidth="0" w:num="2">
            <w:col w:w="7820" w:space="20"/>
            <w:col w:w="3580"/>
          </w:cols>
          <w:pgMar w:left="240" w:top="459" w:right="239" w:bottom="1440" w:gutter="0" w:footer="0" w:header="0"/>
          <w:type w:val="continuous"/>
        </w:sectPr>
      </w:pPr>
    </w:p>
    <w:tbl>
      <w:tblPr>
        <w:tblLayout w:type="fixed"/>
        <w:tblInd w:w="0" w:type="dxa"/>
        <w:tblCellMar>
          <w:top w:w="0" w:type="dxa"/>
          <w:left w:w="0" w:type="dxa"/>
          <w:bottom w:w="0" w:type="dxa"/>
          <w:right w:w="0" w:type="dxa"/>
        </w:tblCellMar>
      </w:tblPr>
      <w:tr>
        <w:trPr>
          <w:trHeight w:val="160"/>
        </w:trPr>
        <w:tc>
          <w:tcPr>
            <w:tcW w:w="4320" w:type="dxa"/>
            <w:vAlign w:val="bottom"/>
            <w:tcBorders>
              <w:top w:val="single" w:sz="8" w:color="auto"/>
            </w:tcBorders>
          </w:tcPr>
          <w:p>
            <w:pPr>
              <w:spacing w:after="0"/>
              <w:rPr>
                <w:sz w:val="20"/>
                <w:szCs w:val="20"/>
                <w:color w:val="auto"/>
              </w:rPr>
            </w:pPr>
            <w:r>
              <w:rPr>
                <w:rFonts w:ascii="Arial" w:cs="Arial" w:eastAsia="Arial" w:hAnsi="Arial"/>
                <w:sz w:val="14"/>
                <w:szCs w:val="14"/>
                <w:b w:val="1"/>
                <w:bCs w:val="1"/>
                <w:color w:val="auto"/>
              </w:rPr>
              <w:t>Proved developed</w:t>
            </w:r>
          </w:p>
        </w:tc>
        <w:tc>
          <w:tcPr>
            <w:tcW w:w="2200" w:type="dxa"/>
            <w:vAlign w:val="bottom"/>
            <w:tcBorders>
              <w:top w:val="single" w:sz="8" w:color="auto"/>
            </w:tcBorders>
          </w:tcPr>
          <w:p>
            <w:pPr>
              <w:spacing w:after="0"/>
              <w:rPr>
                <w:sz w:val="13"/>
                <w:szCs w:val="13"/>
                <w:color w:val="auto"/>
              </w:rPr>
            </w:pPr>
          </w:p>
        </w:tc>
        <w:tc>
          <w:tcPr>
            <w:tcW w:w="1400" w:type="dxa"/>
            <w:vAlign w:val="bottom"/>
            <w:tcBorders>
              <w:top w:val="single" w:sz="8" w:color="auto"/>
            </w:tcBorders>
          </w:tcPr>
          <w:p>
            <w:pPr>
              <w:spacing w:after="0"/>
              <w:rPr>
                <w:sz w:val="13"/>
                <w:szCs w:val="13"/>
                <w:color w:val="auto"/>
              </w:rPr>
            </w:pPr>
          </w:p>
        </w:tc>
        <w:tc>
          <w:tcPr>
            <w:tcW w:w="1500" w:type="dxa"/>
            <w:vAlign w:val="bottom"/>
            <w:tcBorders>
              <w:top w:val="single" w:sz="8" w:color="auto"/>
            </w:tcBorders>
          </w:tcPr>
          <w:p>
            <w:pPr>
              <w:spacing w:after="0"/>
              <w:rPr>
                <w:sz w:val="13"/>
                <w:szCs w:val="13"/>
                <w:color w:val="auto"/>
              </w:rPr>
            </w:pPr>
          </w:p>
        </w:tc>
        <w:tc>
          <w:tcPr>
            <w:tcW w:w="108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tcPr>
          <w:p>
            <w:pPr>
              <w:spacing w:after="0"/>
              <w:rPr>
                <w:sz w:val="13"/>
                <w:szCs w:val="13"/>
                <w:color w:val="auto"/>
              </w:rPr>
            </w:pPr>
          </w:p>
        </w:tc>
      </w:tr>
      <w:tr>
        <w:trPr>
          <w:trHeight w:val="162"/>
        </w:trPr>
        <w:tc>
          <w:tcPr>
            <w:tcW w:w="4320" w:type="dxa"/>
            <w:vAlign w:val="bottom"/>
          </w:tcPr>
          <w:p>
            <w:pPr>
              <w:spacing w:after="0"/>
              <w:rPr>
                <w:sz w:val="20"/>
                <w:szCs w:val="20"/>
                <w:color w:val="auto"/>
              </w:rPr>
            </w:pPr>
            <w:r>
              <w:rPr>
                <w:rFonts w:ascii="Arial" w:cs="Arial" w:eastAsia="Arial" w:hAnsi="Arial"/>
                <w:sz w:val="14"/>
                <w:szCs w:val="14"/>
                <w:color w:val="auto"/>
              </w:rPr>
              <w:t>Europe</w:t>
            </w:r>
          </w:p>
        </w:tc>
        <w:tc>
          <w:tcPr>
            <w:tcW w:w="2200" w:type="dxa"/>
            <w:vAlign w:val="bottom"/>
          </w:tcPr>
          <w:p>
            <w:pPr>
              <w:jc w:val="right"/>
              <w:ind w:right="268"/>
              <w:spacing w:after="0"/>
              <w:rPr>
                <w:sz w:val="20"/>
                <w:szCs w:val="20"/>
                <w:color w:val="auto"/>
              </w:rPr>
            </w:pPr>
            <w:r>
              <w:rPr>
                <w:rFonts w:ascii="Arial" w:cs="Arial" w:eastAsia="Arial" w:hAnsi="Arial"/>
                <w:sz w:val="14"/>
                <w:szCs w:val="14"/>
                <w:color w:val="auto"/>
              </w:rPr>
              <w:t>372</w:t>
            </w:r>
          </w:p>
        </w:tc>
        <w:tc>
          <w:tcPr>
            <w:tcW w:w="1400" w:type="dxa"/>
            <w:vAlign w:val="bottom"/>
          </w:tcPr>
          <w:p>
            <w:pPr>
              <w:jc w:val="right"/>
              <w:ind w:right="528"/>
              <w:spacing w:after="0"/>
              <w:rPr>
                <w:sz w:val="20"/>
                <w:szCs w:val="20"/>
                <w:color w:val="auto"/>
              </w:rPr>
            </w:pPr>
            <w:r>
              <w:rPr>
                <w:rFonts w:ascii="Arial" w:cs="Arial" w:eastAsia="Arial" w:hAnsi="Arial"/>
                <w:sz w:val="14"/>
                <w:szCs w:val="14"/>
                <w:color w:val="auto"/>
              </w:rPr>
              <w:t>10,160</w:t>
            </w:r>
          </w:p>
        </w:tc>
        <w:tc>
          <w:tcPr>
            <w:tcW w:w="1500" w:type="dxa"/>
            <w:vAlign w:val="bottom"/>
          </w:tcPr>
          <w:p>
            <w:pPr>
              <w:jc w:val="right"/>
              <w:ind w:right="488"/>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148"/>
              <w:spacing w:after="0"/>
              <w:rPr>
                <w:sz w:val="20"/>
                <w:szCs w:val="20"/>
                <w:color w:val="auto"/>
              </w:rPr>
            </w:pPr>
            <w:r>
              <w:rPr>
                <w:rFonts w:ascii="Arial" w:cs="Arial" w:eastAsia="Arial" w:hAnsi="Arial"/>
                <w:sz w:val="14"/>
                <w:szCs w:val="14"/>
                <w:color w:val="auto"/>
              </w:rPr>
              <w:t>2,124</w:t>
            </w:r>
          </w:p>
        </w:tc>
      </w:tr>
      <w:tr>
        <w:trPr>
          <w:trHeight w:val="162"/>
        </w:trPr>
        <w:tc>
          <w:tcPr>
            <w:tcW w:w="4320" w:type="dxa"/>
            <w:vAlign w:val="bottom"/>
          </w:tcPr>
          <w:p>
            <w:pPr>
              <w:spacing w:after="0"/>
              <w:rPr>
                <w:sz w:val="20"/>
                <w:szCs w:val="20"/>
                <w:color w:val="auto"/>
              </w:rPr>
            </w:pPr>
            <w:r>
              <w:rPr>
                <w:rFonts w:ascii="Arial" w:cs="Arial" w:eastAsia="Arial" w:hAnsi="Arial"/>
                <w:sz w:val="14"/>
                <w:szCs w:val="14"/>
                <w:color w:val="auto"/>
              </w:rPr>
              <w:t>Asia</w:t>
            </w:r>
          </w:p>
        </w:tc>
        <w:tc>
          <w:tcPr>
            <w:tcW w:w="2200" w:type="dxa"/>
            <w:vAlign w:val="bottom"/>
          </w:tcPr>
          <w:p>
            <w:pPr>
              <w:jc w:val="right"/>
              <w:ind w:right="268"/>
              <w:spacing w:after="0"/>
              <w:rPr>
                <w:sz w:val="20"/>
                <w:szCs w:val="20"/>
                <w:color w:val="auto"/>
              </w:rPr>
            </w:pPr>
            <w:r>
              <w:rPr>
                <w:rFonts w:ascii="Arial" w:cs="Arial" w:eastAsia="Arial" w:hAnsi="Arial"/>
                <w:sz w:val="14"/>
                <w:szCs w:val="14"/>
                <w:color w:val="auto"/>
              </w:rPr>
              <w:t>1,169</w:t>
            </w:r>
          </w:p>
        </w:tc>
        <w:tc>
          <w:tcPr>
            <w:tcW w:w="1400" w:type="dxa"/>
            <w:vAlign w:val="bottom"/>
          </w:tcPr>
          <w:p>
            <w:pPr>
              <w:jc w:val="right"/>
              <w:ind w:right="528"/>
              <w:spacing w:after="0"/>
              <w:rPr>
                <w:sz w:val="20"/>
                <w:szCs w:val="20"/>
                <w:color w:val="auto"/>
              </w:rPr>
            </w:pPr>
            <w:r>
              <w:rPr>
                <w:rFonts w:ascii="Arial" w:cs="Arial" w:eastAsia="Arial" w:hAnsi="Arial"/>
                <w:sz w:val="14"/>
                <w:szCs w:val="14"/>
                <w:color w:val="auto"/>
              </w:rPr>
              <w:t>13,615</w:t>
            </w:r>
          </w:p>
        </w:tc>
        <w:tc>
          <w:tcPr>
            <w:tcW w:w="1500" w:type="dxa"/>
            <w:vAlign w:val="bottom"/>
          </w:tcPr>
          <w:p>
            <w:pPr>
              <w:jc w:val="right"/>
              <w:ind w:right="488"/>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148"/>
              <w:spacing w:after="0"/>
              <w:rPr>
                <w:sz w:val="20"/>
                <w:szCs w:val="20"/>
                <w:color w:val="auto"/>
              </w:rPr>
            </w:pPr>
            <w:r>
              <w:rPr>
                <w:rFonts w:ascii="Arial" w:cs="Arial" w:eastAsia="Arial" w:hAnsi="Arial"/>
                <w:sz w:val="14"/>
                <w:szCs w:val="14"/>
                <w:color w:val="auto"/>
              </w:rPr>
              <w:t>3,516</w:t>
            </w:r>
          </w:p>
        </w:tc>
      </w:tr>
      <w:tr>
        <w:trPr>
          <w:trHeight w:val="162"/>
        </w:trPr>
        <w:tc>
          <w:tcPr>
            <w:tcW w:w="4320" w:type="dxa"/>
            <w:vAlign w:val="bottom"/>
          </w:tcPr>
          <w:p>
            <w:pPr>
              <w:spacing w:after="0"/>
              <w:rPr>
                <w:sz w:val="20"/>
                <w:szCs w:val="20"/>
                <w:color w:val="auto"/>
              </w:rPr>
            </w:pPr>
            <w:r>
              <w:rPr>
                <w:rFonts w:ascii="Arial" w:cs="Arial" w:eastAsia="Arial" w:hAnsi="Arial"/>
                <w:sz w:val="14"/>
                <w:szCs w:val="14"/>
                <w:color w:val="auto"/>
              </w:rPr>
              <w:t>Oceania</w:t>
            </w:r>
          </w:p>
        </w:tc>
        <w:tc>
          <w:tcPr>
            <w:tcW w:w="2200" w:type="dxa"/>
            <w:vAlign w:val="bottom"/>
          </w:tcPr>
          <w:p>
            <w:pPr>
              <w:jc w:val="right"/>
              <w:ind w:right="268"/>
              <w:spacing w:after="0"/>
              <w:rPr>
                <w:sz w:val="20"/>
                <w:szCs w:val="20"/>
                <w:color w:val="auto"/>
              </w:rPr>
            </w:pPr>
            <w:r>
              <w:rPr>
                <w:rFonts w:ascii="Arial" w:cs="Arial" w:eastAsia="Arial" w:hAnsi="Arial"/>
                <w:sz w:val="14"/>
                <w:szCs w:val="14"/>
                <w:color w:val="auto"/>
              </w:rPr>
              <w:t>51</w:t>
            </w:r>
          </w:p>
        </w:tc>
        <w:tc>
          <w:tcPr>
            <w:tcW w:w="1400" w:type="dxa"/>
            <w:vAlign w:val="bottom"/>
          </w:tcPr>
          <w:p>
            <w:pPr>
              <w:jc w:val="right"/>
              <w:ind w:right="528"/>
              <w:spacing w:after="0"/>
              <w:rPr>
                <w:sz w:val="20"/>
                <w:szCs w:val="20"/>
                <w:color w:val="auto"/>
              </w:rPr>
            </w:pPr>
            <w:r>
              <w:rPr>
                <w:rFonts w:ascii="Arial" w:cs="Arial" w:eastAsia="Arial" w:hAnsi="Arial"/>
                <w:sz w:val="14"/>
                <w:szCs w:val="14"/>
                <w:color w:val="auto"/>
              </w:rPr>
              <w:t>1,831</w:t>
            </w:r>
          </w:p>
        </w:tc>
        <w:tc>
          <w:tcPr>
            <w:tcW w:w="1500" w:type="dxa"/>
            <w:vAlign w:val="bottom"/>
          </w:tcPr>
          <w:p>
            <w:pPr>
              <w:jc w:val="right"/>
              <w:ind w:right="488"/>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148"/>
              <w:spacing w:after="0"/>
              <w:rPr>
                <w:sz w:val="20"/>
                <w:szCs w:val="20"/>
                <w:color w:val="auto"/>
              </w:rPr>
            </w:pPr>
            <w:r>
              <w:rPr>
                <w:rFonts w:ascii="Arial" w:cs="Arial" w:eastAsia="Arial" w:hAnsi="Arial"/>
                <w:sz w:val="14"/>
                <w:szCs w:val="14"/>
                <w:color w:val="auto"/>
              </w:rPr>
              <w:t>367</w:t>
            </w:r>
          </w:p>
        </w:tc>
      </w:tr>
      <w:tr>
        <w:trPr>
          <w:trHeight w:val="162"/>
        </w:trPr>
        <w:tc>
          <w:tcPr>
            <w:tcW w:w="4320" w:type="dxa"/>
            <w:vAlign w:val="bottom"/>
          </w:tcPr>
          <w:p>
            <w:pPr>
              <w:spacing w:after="0"/>
              <w:rPr>
                <w:sz w:val="20"/>
                <w:szCs w:val="20"/>
                <w:color w:val="auto"/>
              </w:rPr>
            </w:pPr>
            <w:r>
              <w:rPr>
                <w:rFonts w:ascii="Arial" w:cs="Arial" w:eastAsia="Arial" w:hAnsi="Arial"/>
                <w:sz w:val="14"/>
                <w:szCs w:val="14"/>
                <w:color w:val="auto"/>
              </w:rPr>
              <w:t>Africa</w:t>
            </w:r>
          </w:p>
        </w:tc>
        <w:tc>
          <w:tcPr>
            <w:tcW w:w="2200" w:type="dxa"/>
            <w:vAlign w:val="bottom"/>
          </w:tcPr>
          <w:p>
            <w:pPr>
              <w:jc w:val="right"/>
              <w:ind w:right="268"/>
              <w:spacing w:after="0"/>
              <w:rPr>
                <w:sz w:val="20"/>
                <w:szCs w:val="20"/>
                <w:color w:val="auto"/>
              </w:rPr>
            </w:pPr>
            <w:r>
              <w:rPr>
                <w:rFonts w:ascii="Arial" w:cs="Arial" w:eastAsia="Arial" w:hAnsi="Arial"/>
                <w:sz w:val="14"/>
                <w:szCs w:val="14"/>
                <w:color w:val="auto"/>
              </w:rPr>
              <w:t>534</w:t>
            </w:r>
          </w:p>
        </w:tc>
        <w:tc>
          <w:tcPr>
            <w:tcW w:w="1400" w:type="dxa"/>
            <w:vAlign w:val="bottom"/>
          </w:tcPr>
          <w:p>
            <w:pPr>
              <w:jc w:val="right"/>
              <w:ind w:right="528"/>
              <w:spacing w:after="0"/>
              <w:rPr>
                <w:sz w:val="20"/>
                <w:szCs w:val="20"/>
                <w:color w:val="auto"/>
              </w:rPr>
            </w:pPr>
            <w:r>
              <w:rPr>
                <w:rFonts w:ascii="Arial" w:cs="Arial" w:eastAsia="Arial" w:hAnsi="Arial"/>
                <w:sz w:val="14"/>
                <w:szCs w:val="14"/>
                <w:color w:val="auto"/>
              </w:rPr>
              <w:t>1,162</w:t>
            </w:r>
          </w:p>
        </w:tc>
        <w:tc>
          <w:tcPr>
            <w:tcW w:w="1500" w:type="dxa"/>
            <w:vAlign w:val="bottom"/>
          </w:tcPr>
          <w:p>
            <w:pPr>
              <w:jc w:val="right"/>
              <w:ind w:right="488"/>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148"/>
              <w:spacing w:after="0"/>
              <w:rPr>
                <w:sz w:val="20"/>
                <w:szCs w:val="20"/>
                <w:color w:val="auto"/>
              </w:rPr>
            </w:pPr>
            <w:r>
              <w:rPr>
                <w:rFonts w:ascii="Arial" w:cs="Arial" w:eastAsia="Arial" w:hAnsi="Arial"/>
                <w:sz w:val="14"/>
                <w:szCs w:val="14"/>
                <w:color w:val="auto"/>
              </w:rPr>
              <w:t>734</w:t>
            </w:r>
          </w:p>
        </w:tc>
      </w:tr>
      <w:tr>
        <w:trPr>
          <w:trHeight w:val="162"/>
        </w:trPr>
        <w:tc>
          <w:tcPr>
            <w:tcW w:w="4320" w:type="dxa"/>
            <w:vAlign w:val="bottom"/>
          </w:tcPr>
          <w:p>
            <w:pPr>
              <w:spacing w:after="0"/>
              <w:rPr>
                <w:sz w:val="20"/>
                <w:szCs w:val="20"/>
                <w:color w:val="auto"/>
              </w:rPr>
            </w:pPr>
            <w:r>
              <w:rPr>
                <w:rFonts w:ascii="Arial" w:cs="Arial" w:eastAsia="Arial" w:hAnsi="Arial"/>
                <w:sz w:val="14"/>
                <w:szCs w:val="14"/>
                <w:color w:val="auto"/>
              </w:rPr>
              <w:t>North America</w:t>
            </w:r>
          </w:p>
        </w:tc>
        <w:tc>
          <w:tcPr>
            <w:tcW w:w="22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2"/>
        </w:trPr>
        <w:tc>
          <w:tcPr>
            <w:tcW w:w="4320" w:type="dxa"/>
            <w:vAlign w:val="bottom"/>
          </w:tcPr>
          <w:p>
            <w:pPr>
              <w:ind w:left="140"/>
              <w:spacing w:after="0"/>
              <w:rPr>
                <w:sz w:val="20"/>
                <w:szCs w:val="20"/>
                <w:color w:val="auto"/>
              </w:rPr>
            </w:pPr>
            <w:r>
              <w:rPr>
                <w:rFonts w:ascii="Arial" w:cs="Arial" w:eastAsia="Arial" w:hAnsi="Arial"/>
                <w:sz w:val="14"/>
                <w:szCs w:val="14"/>
                <w:color w:val="auto"/>
              </w:rPr>
              <w:t>USA</w:t>
            </w:r>
          </w:p>
        </w:tc>
        <w:tc>
          <w:tcPr>
            <w:tcW w:w="2200" w:type="dxa"/>
            <w:vAlign w:val="bottom"/>
          </w:tcPr>
          <w:p>
            <w:pPr>
              <w:jc w:val="right"/>
              <w:ind w:right="268"/>
              <w:spacing w:after="0"/>
              <w:rPr>
                <w:sz w:val="20"/>
                <w:szCs w:val="20"/>
                <w:color w:val="auto"/>
              </w:rPr>
            </w:pPr>
            <w:r>
              <w:rPr>
                <w:rFonts w:ascii="Arial" w:cs="Arial" w:eastAsia="Arial" w:hAnsi="Arial"/>
                <w:sz w:val="14"/>
                <w:szCs w:val="14"/>
                <w:color w:val="auto"/>
              </w:rPr>
              <w:t>494</w:t>
            </w:r>
          </w:p>
        </w:tc>
        <w:tc>
          <w:tcPr>
            <w:tcW w:w="1400" w:type="dxa"/>
            <w:vAlign w:val="bottom"/>
          </w:tcPr>
          <w:p>
            <w:pPr>
              <w:jc w:val="right"/>
              <w:ind w:right="528"/>
              <w:spacing w:after="0"/>
              <w:rPr>
                <w:sz w:val="20"/>
                <w:szCs w:val="20"/>
                <w:color w:val="auto"/>
              </w:rPr>
            </w:pPr>
            <w:r>
              <w:rPr>
                <w:rFonts w:ascii="Arial" w:cs="Arial" w:eastAsia="Arial" w:hAnsi="Arial"/>
                <w:sz w:val="14"/>
                <w:szCs w:val="14"/>
                <w:color w:val="auto"/>
              </w:rPr>
              <w:t>1,275</w:t>
            </w:r>
          </w:p>
        </w:tc>
        <w:tc>
          <w:tcPr>
            <w:tcW w:w="1500" w:type="dxa"/>
            <w:vAlign w:val="bottom"/>
          </w:tcPr>
          <w:p>
            <w:pPr>
              <w:jc w:val="right"/>
              <w:ind w:right="488"/>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148"/>
              <w:spacing w:after="0"/>
              <w:rPr>
                <w:sz w:val="20"/>
                <w:szCs w:val="20"/>
                <w:color w:val="auto"/>
              </w:rPr>
            </w:pPr>
            <w:r>
              <w:rPr>
                <w:rFonts w:ascii="Arial" w:cs="Arial" w:eastAsia="Arial" w:hAnsi="Arial"/>
                <w:sz w:val="14"/>
                <w:szCs w:val="14"/>
                <w:color w:val="auto"/>
              </w:rPr>
              <w:t>714</w:t>
            </w:r>
          </w:p>
        </w:tc>
      </w:tr>
      <w:tr>
        <w:trPr>
          <w:trHeight w:val="162"/>
        </w:trPr>
        <w:tc>
          <w:tcPr>
            <w:tcW w:w="4320" w:type="dxa"/>
            <w:vAlign w:val="bottom"/>
          </w:tcPr>
          <w:p>
            <w:pPr>
              <w:ind w:left="140"/>
              <w:spacing w:after="0"/>
              <w:rPr>
                <w:sz w:val="20"/>
                <w:szCs w:val="20"/>
                <w:color w:val="auto"/>
              </w:rPr>
            </w:pPr>
            <w:r>
              <w:rPr>
                <w:rFonts w:ascii="Arial" w:cs="Arial" w:eastAsia="Arial" w:hAnsi="Arial"/>
                <w:sz w:val="14"/>
                <w:szCs w:val="14"/>
                <w:color w:val="auto"/>
              </w:rPr>
              <w:t>Canada</w:t>
            </w:r>
          </w:p>
        </w:tc>
        <w:tc>
          <w:tcPr>
            <w:tcW w:w="2200" w:type="dxa"/>
            <w:vAlign w:val="bottom"/>
          </w:tcPr>
          <w:p>
            <w:pPr>
              <w:jc w:val="right"/>
              <w:ind w:right="268"/>
              <w:spacing w:after="0"/>
              <w:rPr>
                <w:sz w:val="20"/>
                <w:szCs w:val="20"/>
                <w:color w:val="auto"/>
              </w:rPr>
            </w:pPr>
            <w:r>
              <w:rPr>
                <w:rFonts w:ascii="Arial" w:cs="Arial" w:eastAsia="Arial" w:hAnsi="Arial"/>
                <w:sz w:val="14"/>
                <w:szCs w:val="14"/>
                <w:color w:val="auto"/>
              </w:rPr>
              <w:t>26</w:t>
            </w:r>
          </w:p>
        </w:tc>
        <w:tc>
          <w:tcPr>
            <w:tcW w:w="1400" w:type="dxa"/>
            <w:vAlign w:val="bottom"/>
          </w:tcPr>
          <w:p>
            <w:pPr>
              <w:jc w:val="right"/>
              <w:ind w:right="528"/>
              <w:spacing w:after="0"/>
              <w:rPr>
                <w:sz w:val="20"/>
                <w:szCs w:val="20"/>
                <w:color w:val="auto"/>
              </w:rPr>
            </w:pPr>
            <w:r>
              <w:rPr>
                <w:rFonts w:ascii="Arial" w:cs="Arial" w:eastAsia="Arial" w:hAnsi="Arial"/>
                <w:sz w:val="14"/>
                <w:szCs w:val="14"/>
                <w:color w:val="auto"/>
              </w:rPr>
              <w:t>939</w:t>
            </w:r>
          </w:p>
        </w:tc>
        <w:tc>
          <w:tcPr>
            <w:tcW w:w="1500" w:type="dxa"/>
            <w:vAlign w:val="bottom"/>
          </w:tcPr>
          <w:p>
            <w:pPr>
              <w:jc w:val="right"/>
              <w:ind w:right="488"/>
              <w:spacing w:after="0"/>
              <w:rPr>
                <w:sz w:val="20"/>
                <w:szCs w:val="20"/>
                <w:color w:val="auto"/>
              </w:rPr>
            </w:pPr>
            <w:r>
              <w:rPr>
                <w:rFonts w:ascii="Arial" w:cs="Arial" w:eastAsia="Arial" w:hAnsi="Arial"/>
                <w:sz w:val="14"/>
                <w:szCs w:val="14"/>
                <w:color w:val="auto"/>
              </w:rPr>
              <w:t>1,273</w:t>
            </w:r>
          </w:p>
        </w:tc>
        <w:tc>
          <w:tcPr>
            <w:tcW w:w="1080" w:type="dxa"/>
            <w:vAlign w:val="bottom"/>
          </w:tcPr>
          <w:p>
            <w:pPr>
              <w:jc w:val="right"/>
              <w:ind w:right="188"/>
              <w:spacing w:after="0"/>
              <w:rPr>
                <w:sz w:val="20"/>
                <w:szCs w:val="20"/>
                <w:color w:val="auto"/>
              </w:rPr>
            </w:pPr>
            <w:r>
              <w:rPr>
                <w:rFonts w:ascii="Arial" w:cs="Arial" w:eastAsia="Arial" w:hAnsi="Arial"/>
                <w:sz w:val="14"/>
                <w:szCs w:val="14"/>
                <w:color w:val="auto"/>
              </w:rPr>
              <w:t>9</w:t>
            </w:r>
          </w:p>
        </w:tc>
        <w:tc>
          <w:tcPr>
            <w:tcW w:w="920" w:type="dxa"/>
            <w:vAlign w:val="bottom"/>
          </w:tcPr>
          <w:p>
            <w:pPr>
              <w:jc w:val="right"/>
              <w:ind w:right="148"/>
              <w:spacing w:after="0"/>
              <w:rPr>
                <w:sz w:val="20"/>
                <w:szCs w:val="20"/>
                <w:color w:val="auto"/>
              </w:rPr>
            </w:pPr>
            <w:r>
              <w:rPr>
                <w:rFonts w:ascii="Arial" w:cs="Arial" w:eastAsia="Arial" w:hAnsi="Arial"/>
                <w:sz w:val="14"/>
                <w:szCs w:val="14"/>
                <w:color w:val="auto"/>
              </w:rPr>
              <w:t>1,470</w:t>
            </w:r>
          </w:p>
        </w:tc>
      </w:tr>
      <w:tr>
        <w:trPr>
          <w:trHeight w:val="157"/>
        </w:trPr>
        <w:tc>
          <w:tcPr>
            <w:tcW w:w="4320" w:type="dxa"/>
            <w:vAlign w:val="bottom"/>
            <w:tcBorders>
              <w:bottom w:val="single" w:sz="8" w:color="auto"/>
            </w:tcBorders>
          </w:tcPr>
          <w:p>
            <w:pPr>
              <w:spacing w:after="0" w:line="157" w:lineRule="exact"/>
              <w:rPr>
                <w:sz w:val="20"/>
                <w:szCs w:val="20"/>
                <w:color w:val="auto"/>
              </w:rPr>
            </w:pPr>
            <w:r>
              <w:rPr>
                <w:rFonts w:ascii="Arial" w:cs="Arial" w:eastAsia="Arial" w:hAnsi="Arial"/>
                <w:sz w:val="14"/>
                <w:szCs w:val="14"/>
                <w:color w:val="auto"/>
              </w:rPr>
              <w:t>South America</w:t>
            </w:r>
          </w:p>
        </w:tc>
        <w:tc>
          <w:tcPr>
            <w:tcW w:w="2200" w:type="dxa"/>
            <w:vAlign w:val="bottom"/>
            <w:tcBorders>
              <w:bottom w:val="single" w:sz="8" w:color="auto"/>
            </w:tcBorders>
          </w:tcPr>
          <w:p>
            <w:pPr>
              <w:jc w:val="right"/>
              <w:ind w:right="268"/>
              <w:spacing w:after="0" w:line="157" w:lineRule="exact"/>
              <w:rPr>
                <w:sz w:val="20"/>
                <w:szCs w:val="20"/>
                <w:color w:val="auto"/>
              </w:rPr>
            </w:pPr>
            <w:r>
              <w:rPr>
                <w:rFonts w:ascii="Arial" w:cs="Arial" w:eastAsia="Arial" w:hAnsi="Arial"/>
                <w:sz w:val="14"/>
                <w:szCs w:val="14"/>
                <w:color w:val="auto"/>
              </w:rPr>
              <w:t>51</w:t>
            </w:r>
          </w:p>
        </w:tc>
        <w:tc>
          <w:tcPr>
            <w:tcW w:w="1400" w:type="dxa"/>
            <w:vAlign w:val="bottom"/>
            <w:tcBorders>
              <w:bottom w:val="single" w:sz="8" w:color="auto"/>
            </w:tcBorders>
          </w:tcPr>
          <w:p>
            <w:pPr>
              <w:jc w:val="right"/>
              <w:ind w:right="528"/>
              <w:spacing w:after="0" w:line="157" w:lineRule="exact"/>
              <w:rPr>
                <w:sz w:val="20"/>
                <w:szCs w:val="20"/>
                <w:color w:val="auto"/>
              </w:rPr>
            </w:pPr>
            <w:r>
              <w:rPr>
                <w:rFonts w:ascii="Arial" w:cs="Arial" w:eastAsia="Arial" w:hAnsi="Arial"/>
                <w:sz w:val="14"/>
                <w:szCs w:val="14"/>
                <w:color w:val="auto"/>
              </w:rPr>
              <w:t>42</w:t>
            </w:r>
          </w:p>
        </w:tc>
        <w:tc>
          <w:tcPr>
            <w:tcW w:w="1500" w:type="dxa"/>
            <w:vAlign w:val="bottom"/>
            <w:tcBorders>
              <w:bottom w:val="single" w:sz="8" w:color="auto"/>
            </w:tcBorders>
          </w:tcPr>
          <w:p>
            <w:pPr>
              <w:jc w:val="right"/>
              <w:ind w:right="488"/>
              <w:spacing w:after="0" w:line="157" w:lineRule="exact"/>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ind w:right="188"/>
              <w:spacing w:after="0" w:line="157" w:lineRule="exact"/>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tcPr>
          <w:p>
            <w:pPr>
              <w:jc w:val="right"/>
              <w:ind w:right="148"/>
              <w:spacing w:after="0" w:line="157" w:lineRule="exact"/>
              <w:rPr>
                <w:sz w:val="20"/>
                <w:szCs w:val="20"/>
                <w:color w:val="auto"/>
              </w:rPr>
            </w:pPr>
            <w:r>
              <w:rPr>
                <w:rFonts w:ascii="Arial" w:cs="Arial" w:eastAsia="Arial" w:hAnsi="Arial"/>
                <w:sz w:val="14"/>
                <w:szCs w:val="14"/>
                <w:color w:val="auto"/>
              </w:rPr>
              <w:t>58</w:t>
            </w:r>
          </w:p>
        </w:tc>
      </w:tr>
      <w:tr>
        <w:trPr>
          <w:trHeight w:val="156"/>
        </w:trPr>
        <w:tc>
          <w:tcPr>
            <w:tcW w:w="4320" w:type="dxa"/>
            <w:vAlign w:val="bottom"/>
            <w:tcBorders>
              <w:bottom w:val="single" w:sz="8" w:color="auto"/>
            </w:tcBorders>
          </w:tcPr>
          <w:p>
            <w:pPr>
              <w:spacing w:after="0" w:line="155" w:lineRule="exact"/>
              <w:rPr>
                <w:sz w:val="20"/>
                <w:szCs w:val="20"/>
                <w:color w:val="auto"/>
              </w:rPr>
            </w:pPr>
            <w:r>
              <w:rPr>
                <w:rFonts w:ascii="Arial" w:cs="Arial" w:eastAsia="Arial" w:hAnsi="Arial"/>
                <w:sz w:val="14"/>
                <w:szCs w:val="14"/>
                <w:color w:val="auto"/>
              </w:rPr>
              <w:t>Total proved developed</w:t>
            </w:r>
          </w:p>
        </w:tc>
        <w:tc>
          <w:tcPr>
            <w:tcW w:w="2200" w:type="dxa"/>
            <w:vAlign w:val="bottom"/>
            <w:tcBorders>
              <w:bottom w:val="single" w:sz="8" w:color="auto"/>
            </w:tcBorders>
          </w:tcPr>
          <w:p>
            <w:pPr>
              <w:jc w:val="right"/>
              <w:ind w:right="268"/>
              <w:spacing w:after="0" w:line="155" w:lineRule="exact"/>
              <w:rPr>
                <w:sz w:val="20"/>
                <w:szCs w:val="20"/>
                <w:color w:val="auto"/>
              </w:rPr>
            </w:pPr>
            <w:r>
              <w:rPr>
                <w:rFonts w:ascii="Arial" w:cs="Arial" w:eastAsia="Arial" w:hAnsi="Arial"/>
                <w:sz w:val="14"/>
                <w:szCs w:val="14"/>
                <w:color w:val="auto"/>
              </w:rPr>
              <w:t>2,697</w:t>
            </w:r>
          </w:p>
        </w:tc>
        <w:tc>
          <w:tcPr>
            <w:tcW w:w="1400" w:type="dxa"/>
            <w:vAlign w:val="bottom"/>
            <w:tcBorders>
              <w:bottom w:val="single" w:sz="8" w:color="auto"/>
            </w:tcBorders>
          </w:tcPr>
          <w:p>
            <w:pPr>
              <w:jc w:val="right"/>
              <w:ind w:right="528"/>
              <w:spacing w:after="0" w:line="155" w:lineRule="exact"/>
              <w:rPr>
                <w:sz w:val="20"/>
                <w:szCs w:val="20"/>
                <w:color w:val="auto"/>
              </w:rPr>
            </w:pPr>
            <w:r>
              <w:rPr>
                <w:rFonts w:ascii="Arial" w:cs="Arial" w:eastAsia="Arial" w:hAnsi="Arial"/>
                <w:sz w:val="14"/>
                <w:szCs w:val="14"/>
                <w:color w:val="auto"/>
              </w:rPr>
              <w:t>29,024</w:t>
            </w:r>
          </w:p>
        </w:tc>
        <w:tc>
          <w:tcPr>
            <w:tcW w:w="1500" w:type="dxa"/>
            <w:vAlign w:val="bottom"/>
            <w:tcBorders>
              <w:bottom w:val="single" w:sz="8" w:color="auto"/>
            </w:tcBorders>
          </w:tcPr>
          <w:p>
            <w:pPr>
              <w:jc w:val="right"/>
              <w:ind w:right="488"/>
              <w:spacing w:after="0" w:line="155" w:lineRule="exact"/>
              <w:rPr>
                <w:sz w:val="20"/>
                <w:szCs w:val="20"/>
                <w:color w:val="auto"/>
              </w:rPr>
            </w:pPr>
            <w:r>
              <w:rPr>
                <w:rFonts w:ascii="Arial" w:cs="Arial" w:eastAsia="Arial" w:hAnsi="Arial"/>
                <w:sz w:val="14"/>
                <w:szCs w:val="14"/>
                <w:color w:val="auto"/>
              </w:rPr>
              <w:t>1,273</w:t>
            </w:r>
          </w:p>
        </w:tc>
        <w:tc>
          <w:tcPr>
            <w:tcW w:w="1080" w:type="dxa"/>
            <w:vAlign w:val="bottom"/>
            <w:tcBorders>
              <w:bottom w:val="single" w:sz="8" w:color="auto"/>
            </w:tcBorders>
          </w:tcPr>
          <w:p>
            <w:pPr>
              <w:jc w:val="right"/>
              <w:ind w:right="188"/>
              <w:spacing w:after="0" w:line="155" w:lineRule="exact"/>
              <w:rPr>
                <w:sz w:val="20"/>
                <w:szCs w:val="20"/>
                <w:color w:val="auto"/>
              </w:rPr>
            </w:pPr>
            <w:r>
              <w:rPr>
                <w:rFonts w:ascii="Arial" w:cs="Arial" w:eastAsia="Arial" w:hAnsi="Arial"/>
                <w:sz w:val="14"/>
                <w:szCs w:val="14"/>
                <w:color w:val="auto"/>
              </w:rPr>
              <w:t>9</w:t>
            </w:r>
          </w:p>
        </w:tc>
        <w:tc>
          <w:tcPr>
            <w:tcW w:w="920" w:type="dxa"/>
            <w:vAlign w:val="bottom"/>
            <w:tcBorders>
              <w:bottom w:val="single" w:sz="8" w:color="auto"/>
            </w:tcBorders>
          </w:tcPr>
          <w:p>
            <w:pPr>
              <w:jc w:val="right"/>
              <w:ind w:right="148"/>
              <w:spacing w:after="0" w:line="155" w:lineRule="exact"/>
              <w:rPr>
                <w:sz w:val="20"/>
                <w:szCs w:val="20"/>
                <w:color w:val="auto"/>
              </w:rPr>
            </w:pPr>
            <w:r>
              <w:rPr>
                <w:rFonts w:ascii="Arial" w:cs="Arial" w:eastAsia="Arial" w:hAnsi="Arial"/>
                <w:sz w:val="14"/>
                <w:szCs w:val="14"/>
                <w:color w:val="auto"/>
              </w:rPr>
              <w:t>8,983</w:t>
            </w:r>
          </w:p>
        </w:tc>
      </w:tr>
      <w:tr>
        <w:trPr>
          <w:trHeight w:val="160"/>
        </w:trPr>
        <w:tc>
          <w:tcPr>
            <w:tcW w:w="4320" w:type="dxa"/>
            <w:vAlign w:val="bottom"/>
          </w:tcPr>
          <w:p>
            <w:pPr>
              <w:spacing w:after="0"/>
              <w:rPr>
                <w:sz w:val="20"/>
                <w:szCs w:val="20"/>
                <w:color w:val="auto"/>
              </w:rPr>
            </w:pPr>
            <w:r>
              <w:rPr>
                <w:rFonts w:ascii="Arial" w:cs="Arial" w:eastAsia="Arial" w:hAnsi="Arial"/>
                <w:sz w:val="14"/>
                <w:szCs w:val="14"/>
                <w:b w:val="1"/>
                <w:bCs w:val="1"/>
                <w:color w:val="auto"/>
              </w:rPr>
              <w:t>Proved undeveloped</w:t>
            </w:r>
          </w:p>
        </w:tc>
        <w:tc>
          <w:tcPr>
            <w:tcW w:w="220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920" w:type="dxa"/>
            <w:vAlign w:val="bottom"/>
          </w:tcPr>
          <w:p>
            <w:pPr>
              <w:spacing w:after="0"/>
              <w:rPr>
                <w:sz w:val="13"/>
                <w:szCs w:val="13"/>
                <w:color w:val="auto"/>
              </w:rPr>
            </w:pPr>
          </w:p>
        </w:tc>
      </w:tr>
      <w:tr>
        <w:trPr>
          <w:trHeight w:val="162"/>
        </w:trPr>
        <w:tc>
          <w:tcPr>
            <w:tcW w:w="4320" w:type="dxa"/>
            <w:vAlign w:val="bottom"/>
          </w:tcPr>
          <w:p>
            <w:pPr>
              <w:spacing w:after="0"/>
              <w:rPr>
                <w:sz w:val="20"/>
                <w:szCs w:val="20"/>
                <w:color w:val="auto"/>
              </w:rPr>
            </w:pPr>
            <w:r>
              <w:rPr>
                <w:rFonts w:ascii="Arial" w:cs="Arial" w:eastAsia="Arial" w:hAnsi="Arial"/>
                <w:sz w:val="14"/>
                <w:szCs w:val="14"/>
                <w:color w:val="auto"/>
              </w:rPr>
              <w:t>Europe</w:t>
            </w:r>
          </w:p>
        </w:tc>
        <w:tc>
          <w:tcPr>
            <w:tcW w:w="2200" w:type="dxa"/>
            <w:vAlign w:val="bottom"/>
          </w:tcPr>
          <w:p>
            <w:pPr>
              <w:jc w:val="right"/>
              <w:ind w:right="268"/>
              <w:spacing w:after="0"/>
              <w:rPr>
                <w:sz w:val="20"/>
                <w:szCs w:val="20"/>
                <w:color w:val="auto"/>
              </w:rPr>
            </w:pPr>
            <w:r>
              <w:rPr>
                <w:rFonts w:ascii="Arial" w:cs="Arial" w:eastAsia="Arial" w:hAnsi="Arial"/>
                <w:sz w:val="14"/>
                <w:szCs w:val="14"/>
                <w:color w:val="auto"/>
              </w:rPr>
              <w:t>236</w:t>
            </w:r>
          </w:p>
        </w:tc>
        <w:tc>
          <w:tcPr>
            <w:tcW w:w="1400" w:type="dxa"/>
            <w:vAlign w:val="bottom"/>
          </w:tcPr>
          <w:p>
            <w:pPr>
              <w:jc w:val="right"/>
              <w:ind w:right="528"/>
              <w:spacing w:after="0"/>
              <w:rPr>
                <w:sz w:val="20"/>
                <w:szCs w:val="20"/>
                <w:color w:val="auto"/>
              </w:rPr>
            </w:pPr>
            <w:r>
              <w:rPr>
                <w:rFonts w:ascii="Arial" w:cs="Arial" w:eastAsia="Arial" w:hAnsi="Arial"/>
                <w:sz w:val="14"/>
                <w:szCs w:val="14"/>
                <w:color w:val="auto"/>
              </w:rPr>
              <w:t>2,136</w:t>
            </w:r>
          </w:p>
        </w:tc>
        <w:tc>
          <w:tcPr>
            <w:tcW w:w="1500" w:type="dxa"/>
            <w:vAlign w:val="bottom"/>
          </w:tcPr>
          <w:p>
            <w:pPr>
              <w:jc w:val="right"/>
              <w:ind w:right="488"/>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148"/>
              <w:spacing w:after="0"/>
              <w:rPr>
                <w:sz w:val="20"/>
                <w:szCs w:val="20"/>
                <w:color w:val="auto"/>
              </w:rPr>
            </w:pPr>
            <w:r>
              <w:rPr>
                <w:rFonts w:ascii="Arial" w:cs="Arial" w:eastAsia="Arial" w:hAnsi="Arial"/>
                <w:sz w:val="14"/>
                <w:szCs w:val="14"/>
                <w:color w:val="auto"/>
              </w:rPr>
              <w:t>604</w:t>
            </w:r>
          </w:p>
        </w:tc>
      </w:tr>
      <w:tr>
        <w:trPr>
          <w:trHeight w:val="162"/>
        </w:trPr>
        <w:tc>
          <w:tcPr>
            <w:tcW w:w="4320" w:type="dxa"/>
            <w:vAlign w:val="bottom"/>
          </w:tcPr>
          <w:p>
            <w:pPr>
              <w:spacing w:after="0"/>
              <w:rPr>
                <w:sz w:val="20"/>
                <w:szCs w:val="20"/>
                <w:color w:val="auto"/>
              </w:rPr>
            </w:pPr>
            <w:r>
              <w:rPr>
                <w:rFonts w:ascii="Arial" w:cs="Arial" w:eastAsia="Arial" w:hAnsi="Arial"/>
                <w:sz w:val="14"/>
                <w:szCs w:val="14"/>
                <w:color w:val="auto"/>
              </w:rPr>
              <w:t>Asia</w:t>
            </w:r>
          </w:p>
        </w:tc>
        <w:tc>
          <w:tcPr>
            <w:tcW w:w="2200" w:type="dxa"/>
            <w:vAlign w:val="bottom"/>
          </w:tcPr>
          <w:p>
            <w:pPr>
              <w:jc w:val="right"/>
              <w:ind w:right="268"/>
              <w:spacing w:after="0"/>
              <w:rPr>
                <w:sz w:val="20"/>
                <w:szCs w:val="20"/>
                <w:color w:val="auto"/>
              </w:rPr>
            </w:pPr>
            <w:r>
              <w:rPr>
                <w:rFonts w:ascii="Arial" w:cs="Arial" w:eastAsia="Arial" w:hAnsi="Arial"/>
                <w:sz w:val="14"/>
                <w:szCs w:val="14"/>
                <w:color w:val="auto"/>
              </w:rPr>
              <w:t>513</w:t>
            </w:r>
          </w:p>
        </w:tc>
        <w:tc>
          <w:tcPr>
            <w:tcW w:w="1400" w:type="dxa"/>
            <w:vAlign w:val="bottom"/>
          </w:tcPr>
          <w:p>
            <w:pPr>
              <w:jc w:val="right"/>
              <w:ind w:right="528"/>
              <w:spacing w:after="0"/>
              <w:rPr>
                <w:sz w:val="20"/>
                <w:szCs w:val="20"/>
                <w:color w:val="auto"/>
              </w:rPr>
            </w:pPr>
            <w:r>
              <w:rPr>
                <w:rFonts w:ascii="Arial" w:cs="Arial" w:eastAsia="Arial" w:hAnsi="Arial"/>
                <w:sz w:val="14"/>
                <w:szCs w:val="14"/>
                <w:color w:val="auto"/>
              </w:rPr>
              <w:t>2,486</w:t>
            </w:r>
          </w:p>
        </w:tc>
        <w:tc>
          <w:tcPr>
            <w:tcW w:w="1500" w:type="dxa"/>
            <w:vAlign w:val="bottom"/>
          </w:tcPr>
          <w:p>
            <w:pPr>
              <w:jc w:val="right"/>
              <w:ind w:right="488"/>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148"/>
              <w:spacing w:after="0"/>
              <w:rPr>
                <w:sz w:val="20"/>
                <w:szCs w:val="20"/>
                <w:color w:val="auto"/>
              </w:rPr>
            </w:pPr>
            <w:r>
              <w:rPr>
                <w:rFonts w:ascii="Arial" w:cs="Arial" w:eastAsia="Arial" w:hAnsi="Arial"/>
                <w:sz w:val="14"/>
                <w:szCs w:val="14"/>
                <w:color w:val="auto"/>
              </w:rPr>
              <w:t>942</w:t>
            </w:r>
          </w:p>
        </w:tc>
      </w:tr>
      <w:tr>
        <w:trPr>
          <w:trHeight w:val="162"/>
        </w:trPr>
        <w:tc>
          <w:tcPr>
            <w:tcW w:w="4320" w:type="dxa"/>
            <w:vAlign w:val="bottom"/>
          </w:tcPr>
          <w:p>
            <w:pPr>
              <w:spacing w:after="0"/>
              <w:rPr>
                <w:sz w:val="20"/>
                <w:szCs w:val="20"/>
                <w:color w:val="auto"/>
              </w:rPr>
            </w:pPr>
            <w:r>
              <w:rPr>
                <w:rFonts w:ascii="Arial" w:cs="Arial" w:eastAsia="Arial" w:hAnsi="Arial"/>
                <w:sz w:val="14"/>
                <w:szCs w:val="14"/>
                <w:color w:val="auto"/>
              </w:rPr>
              <w:t>Oceania</w:t>
            </w:r>
          </w:p>
        </w:tc>
        <w:tc>
          <w:tcPr>
            <w:tcW w:w="2200" w:type="dxa"/>
            <w:vAlign w:val="bottom"/>
          </w:tcPr>
          <w:p>
            <w:pPr>
              <w:jc w:val="right"/>
              <w:ind w:right="268"/>
              <w:spacing w:after="0"/>
              <w:rPr>
                <w:sz w:val="20"/>
                <w:szCs w:val="20"/>
                <w:color w:val="auto"/>
              </w:rPr>
            </w:pPr>
            <w:r>
              <w:rPr>
                <w:rFonts w:ascii="Arial" w:cs="Arial" w:eastAsia="Arial" w:hAnsi="Arial"/>
                <w:sz w:val="14"/>
                <w:szCs w:val="14"/>
                <w:color w:val="auto"/>
              </w:rPr>
              <w:t>89</w:t>
            </w:r>
          </w:p>
        </w:tc>
        <w:tc>
          <w:tcPr>
            <w:tcW w:w="1400" w:type="dxa"/>
            <w:vAlign w:val="bottom"/>
          </w:tcPr>
          <w:p>
            <w:pPr>
              <w:jc w:val="right"/>
              <w:ind w:right="528"/>
              <w:spacing w:after="0"/>
              <w:rPr>
                <w:sz w:val="20"/>
                <w:szCs w:val="20"/>
                <w:color w:val="auto"/>
              </w:rPr>
            </w:pPr>
            <w:r>
              <w:rPr>
                <w:rFonts w:ascii="Arial" w:cs="Arial" w:eastAsia="Arial" w:hAnsi="Arial"/>
                <w:sz w:val="14"/>
                <w:szCs w:val="14"/>
                <w:color w:val="auto"/>
              </w:rPr>
              <w:t>4,247</w:t>
            </w:r>
          </w:p>
        </w:tc>
        <w:tc>
          <w:tcPr>
            <w:tcW w:w="1500" w:type="dxa"/>
            <w:vAlign w:val="bottom"/>
          </w:tcPr>
          <w:p>
            <w:pPr>
              <w:jc w:val="right"/>
              <w:ind w:right="488"/>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148"/>
              <w:spacing w:after="0"/>
              <w:rPr>
                <w:sz w:val="20"/>
                <w:szCs w:val="20"/>
                <w:color w:val="auto"/>
              </w:rPr>
            </w:pPr>
            <w:r>
              <w:rPr>
                <w:rFonts w:ascii="Arial" w:cs="Arial" w:eastAsia="Arial" w:hAnsi="Arial"/>
                <w:sz w:val="14"/>
                <w:szCs w:val="14"/>
                <w:color w:val="auto"/>
              </w:rPr>
              <w:t>821</w:t>
            </w:r>
          </w:p>
        </w:tc>
      </w:tr>
      <w:tr>
        <w:trPr>
          <w:trHeight w:val="162"/>
        </w:trPr>
        <w:tc>
          <w:tcPr>
            <w:tcW w:w="4320" w:type="dxa"/>
            <w:vAlign w:val="bottom"/>
          </w:tcPr>
          <w:p>
            <w:pPr>
              <w:spacing w:after="0"/>
              <w:rPr>
                <w:sz w:val="20"/>
                <w:szCs w:val="20"/>
                <w:color w:val="auto"/>
              </w:rPr>
            </w:pPr>
            <w:r>
              <w:rPr>
                <w:rFonts w:ascii="Arial" w:cs="Arial" w:eastAsia="Arial" w:hAnsi="Arial"/>
                <w:sz w:val="14"/>
                <w:szCs w:val="14"/>
                <w:color w:val="auto"/>
              </w:rPr>
              <w:t>Africa</w:t>
            </w:r>
          </w:p>
        </w:tc>
        <w:tc>
          <w:tcPr>
            <w:tcW w:w="2200" w:type="dxa"/>
            <w:vAlign w:val="bottom"/>
          </w:tcPr>
          <w:p>
            <w:pPr>
              <w:jc w:val="right"/>
              <w:ind w:right="268"/>
              <w:spacing w:after="0"/>
              <w:rPr>
                <w:sz w:val="20"/>
                <w:szCs w:val="20"/>
                <w:color w:val="auto"/>
              </w:rPr>
            </w:pPr>
            <w:r>
              <w:rPr>
                <w:rFonts w:ascii="Arial" w:cs="Arial" w:eastAsia="Arial" w:hAnsi="Arial"/>
                <w:sz w:val="14"/>
                <w:szCs w:val="14"/>
                <w:color w:val="auto"/>
              </w:rPr>
              <w:t>157</w:t>
            </w:r>
          </w:p>
        </w:tc>
        <w:tc>
          <w:tcPr>
            <w:tcW w:w="1400" w:type="dxa"/>
            <w:vAlign w:val="bottom"/>
          </w:tcPr>
          <w:p>
            <w:pPr>
              <w:jc w:val="right"/>
              <w:ind w:right="528"/>
              <w:spacing w:after="0"/>
              <w:rPr>
                <w:sz w:val="20"/>
                <w:szCs w:val="20"/>
                <w:color w:val="auto"/>
              </w:rPr>
            </w:pPr>
            <w:r>
              <w:rPr>
                <w:rFonts w:ascii="Arial" w:cs="Arial" w:eastAsia="Arial" w:hAnsi="Arial"/>
                <w:sz w:val="14"/>
                <w:szCs w:val="14"/>
                <w:color w:val="auto"/>
              </w:rPr>
              <w:t>1,459</w:t>
            </w:r>
          </w:p>
        </w:tc>
        <w:tc>
          <w:tcPr>
            <w:tcW w:w="1500" w:type="dxa"/>
            <w:vAlign w:val="bottom"/>
          </w:tcPr>
          <w:p>
            <w:pPr>
              <w:jc w:val="right"/>
              <w:ind w:right="488"/>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148"/>
              <w:spacing w:after="0"/>
              <w:rPr>
                <w:sz w:val="20"/>
                <w:szCs w:val="20"/>
                <w:color w:val="auto"/>
              </w:rPr>
            </w:pPr>
            <w:r>
              <w:rPr>
                <w:rFonts w:ascii="Arial" w:cs="Arial" w:eastAsia="Arial" w:hAnsi="Arial"/>
                <w:sz w:val="14"/>
                <w:szCs w:val="14"/>
                <w:color w:val="auto"/>
              </w:rPr>
              <w:t>409</w:t>
            </w:r>
          </w:p>
        </w:tc>
      </w:tr>
      <w:tr>
        <w:trPr>
          <w:trHeight w:val="162"/>
        </w:trPr>
        <w:tc>
          <w:tcPr>
            <w:tcW w:w="4320" w:type="dxa"/>
            <w:vAlign w:val="bottom"/>
          </w:tcPr>
          <w:p>
            <w:pPr>
              <w:spacing w:after="0"/>
              <w:rPr>
                <w:sz w:val="20"/>
                <w:szCs w:val="20"/>
                <w:color w:val="auto"/>
              </w:rPr>
            </w:pPr>
            <w:r>
              <w:rPr>
                <w:rFonts w:ascii="Arial" w:cs="Arial" w:eastAsia="Arial" w:hAnsi="Arial"/>
                <w:sz w:val="14"/>
                <w:szCs w:val="14"/>
                <w:color w:val="auto"/>
              </w:rPr>
              <w:t>North America</w:t>
            </w:r>
          </w:p>
        </w:tc>
        <w:tc>
          <w:tcPr>
            <w:tcW w:w="22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2"/>
        </w:trPr>
        <w:tc>
          <w:tcPr>
            <w:tcW w:w="4320" w:type="dxa"/>
            <w:vAlign w:val="bottom"/>
          </w:tcPr>
          <w:p>
            <w:pPr>
              <w:ind w:left="140"/>
              <w:spacing w:after="0"/>
              <w:rPr>
                <w:sz w:val="20"/>
                <w:szCs w:val="20"/>
                <w:color w:val="auto"/>
              </w:rPr>
            </w:pPr>
            <w:r>
              <w:rPr>
                <w:rFonts w:ascii="Arial" w:cs="Arial" w:eastAsia="Arial" w:hAnsi="Arial"/>
                <w:sz w:val="14"/>
                <w:szCs w:val="14"/>
                <w:color w:val="auto"/>
              </w:rPr>
              <w:t>USA</w:t>
            </w:r>
          </w:p>
        </w:tc>
        <w:tc>
          <w:tcPr>
            <w:tcW w:w="2200" w:type="dxa"/>
            <w:vAlign w:val="bottom"/>
          </w:tcPr>
          <w:p>
            <w:pPr>
              <w:jc w:val="right"/>
              <w:ind w:right="268"/>
              <w:spacing w:after="0"/>
              <w:rPr>
                <w:sz w:val="20"/>
                <w:szCs w:val="20"/>
                <w:color w:val="auto"/>
              </w:rPr>
            </w:pPr>
            <w:r>
              <w:rPr>
                <w:rFonts w:ascii="Arial" w:cs="Arial" w:eastAsia="Arial" w:hAnsi="Arial"/>
                <w:sz w:val="14"/>
                <w:szCs w:val="14"/>
                <w:color w:val="auto"/>
              </w:rPr>
              <w:t>217</w:t>
            </w:r>
          </w:p>
        </w:tc>
        <w:tc>
          <w:tcPr>
            <w:tcW w:w="1400" w:type="dxa"/>
            <w:vAlign w:val="bottom"/>
          </w:tcPr>
          <w:p>
            <w:pPr>
              <w:jc w:val="right"/>
              <w:ind w:right="528"/>
              <w:spacing w:after="0"/>
              <w:rPr>
                <w:sz w:val="20"/>
                <w:szCs w:val="20"/>
                <w:color w:val="auto"/>
              </w:rPr>
            </w:pPr>
            <w:r>
              <w:rPr>
                <w:rFonts w:ascii="Arial" w:cs="Arial" w:eastAsia="Arial" w:hAnsi="Arial"/>
                <w:sz w:val="14"/>
                <w:szCs w:val="14"/>
                <w:color w:val="auto"/>
              </w:rPr>
              <w:t>286</w:t>
            </w:r>
          </w:p>
        </w:tc>
        <w:tc>
          <w:tcPr>
            <w:tcW w:w="1500" w:type="dxa"/>
            <w:vAlign w:val="bottom"/>
          </w:tcPr>
          <w:p>
            <w:pPr>
              <w:jc w:val="right"/>
              <w:ind w:right="488"/>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148"/>
              <w:spacing w:after="0"/>
              <w:rPr>
                <w:sz w:val="20"/>
                <w:szCs w:val="20"/>
                <w:color w:val="auto"/>
              </w:rPr>
            </w:pPr>
            <w:r>
              <w:rPr>
                <w:rFonts w:ascii="Arial" w:cs="Arial" w:eastAsia="Arial" w:hAnsi="Arial"/>
                <w:sz w:val="14"/>
                <w:szCs w:val="14"/>
                <w:color w:val="auto"/>
              </w:rPr>
              <w:t>266</w:t>
            </w:r>
          </w:p>
        </w:tc>
      </w:tr>
      <w:tr>
        <w:trPr>
          <w:trHeight w:val="162"/>
        </w:trPr>
        <w:tc>
          <w:tcPr>
            <w:tcW w:w="4320" w:type="dxa"/>
            <w:vAlign w:val="bottom"/>
          </w:tcPr>
          <w:p>
            <w:pPr>
              <w:ind w:left="140"/>
              <w:spacing w:after="0"/>
              <w:rPr>
                <w:sz w:val="20"/>
                <w:szCs w:val="20"/>
                <w:color w:val="auto"/>
              </w:rPr>
            </w:pPr>
            <w:r>
              <w:rPr>
                <w:rFonts w:ascii="Arial" w:cs="Arial" w:eastAsia="Arial" w:hAnsi="Arial"/>
                <w:sz w:val="14"/>
                <w:szCs w:val="14"/>
                <w:color w:val="auto"/>
              </w:rPr>
              <w:t>Canada</w:t>
            </w:r>
          </w:p>
        </w:tc>
        <w:tc>
          <w:tcPr>
            <w:tcW w:w="2200" w:type="dxa"/>
            <w:vAlign w:val="bottom"/>
          </w:tcPr>
          <w:p>
            <w:pPr>
              <w:jc w:val="right"/>
              <w:ind w:right="268"/>
              <w:spacing w:after="0"/>
              <w:rPr>
                <w:sz w:val="20"/>
                <w:szCs w:val="20"/>
                <w:color w:val="auto"/>
              </w:rPr>
            </w:pPr>
            <w:r>
              <w:rPr>
                <w:rFonts w:ascii="Arial" w:cs="Arial" w:eastAsia="Arial" w:hAnsi="Arial"/>
                <w:sz w:val="14"/>
                <w:szCs w:val="14"/>
                <w:color w:val="auto"/>
              </w:rPr>
              <w:t>18</w:t>
            </w:r>
          </w:p>
        </w:tc>
        <w:tc>
          <w:tcPr>
            <w:tcW w:w="1400" w:type="dxa"/>
            <w:vAlign w:val="bottom"/>
          </w:tcPr>
          <w:p>
            <w:pPr>
              <w:jc w:val="right"/>
              <w:ind w:right="528"/>
              <w:spacing w:after="0"/>
              <w:rPr>
                <w:sz w:val="20"/>
                <w:szCs w:val="20"/>
                <w:color w:val="auto"/>
              </w:rPr>
            </w:pPr>
            <w:r>
              <w:rPr>
                <w:rFonts w:ascii="Arial" w:cs="Arial" w:eastAsia="Arial" w:hAnsi="Arial"/>
                <w:sz w:val="14"/>
                <w:szCs w:val="14"/>
                <w:color w:val="auto"/>
              </w:rPr>
              <w:t>672</w:t>
            </w:r>
          </w:p>
        </w:tc>
        <w:tc>
          <w:tcPr>
            <w:tcW w:w="1500" w:type="dxa"/>
            <w:vAlign w:val="bottom"/>
          </w:tcPr>
          <w:p>
            <w:pPr>
              <w:jc w:val="right"/>
              <w:ind w:right="488"/>
              <w:spacing w:after="0"/>
              <w:rPr>
                <w:sz w:val="20"/>
                <w:szCs w:val="20"/>
                <w:color w:val="auto"/>
              </w:rPr>
            </w:pPr>
            <w:r>
              <w:rPr>
                <w:rFonts w:ascii="Arial" w:cs="Arial" w:eastAsia="Arial" w:hAnsi="Arial"/>
                <w:sz w:val="14"/>
                <w:szCs w:val="14"/>
                <w:color w:val="auto"/>
              </w:rPr>
              <w:t>490</w:t>
            </w:r>
          </w:p>
        </w:tc>
        <w:tc>
          <w:tcPr>
            <w:tcW w:w="1080" w:type="dxa"/>
            <w:vAlign w:val="bottom"/>
          </w:tcPr>
          <w:p>
            <w:pPr>
              <w:jc w:val="right"/>
              <w:ind w:right="188"/>
              <w:spacing w:after="0"/>
              <w:rPr>
                <w:sz w:val="20"/>
                <w:szCs w:val="20"/>
                <w:color w:val="auto"/>
              </w:rPr>
            </w:pPr>
            <w:r>
              <w:rPr>
                <w:rFonts w:ascii="Arial" w:cs="Arial" w:eastAsia="Arial" w:hAnsi="Arial"/>
                <w:sz w:val="14"/>
                <w:szCs w:val="14"/>
                <w:color w:val="auto"/>
              </w:rPr>
              <w:t>419</w:t>
            </w:r>
          </w:p>
        </w:tc>
        <w:tc>
          <w:tcPr>
            <w:tcW w:w="920" w:type="dxa"/>
            <w:vAlign w:val="bottom"/>
          </w:tcPr>
          <w:p>
            <w:pPr>
              <w:jc w:val="right"/>
              <w:ind w:right="148"/>
              <w:spacing w:after="0"/>
              <w:rPr>
                <w:sz w:val="20"/>
                <w:szCs w:val="20"/>
                <w:color w:val="auto"/>
              </w:rPr>
            </w:pPr>
            <w:r>
              <w:rPr>
                <w:rFonts w:ascii="Arial" w:cs="Arial" w:eastAsia="Arial" w:hAnsi="Arial"/>
                <w:sz w:val="14"/>
                <w:szCs w:val="14"/>
                <w:color w:val="auto"/>
              </w:rPr>
              <w:t>1,043</w:t>
            </w:r>
          </w:p>
        </w:tc>
      </w:tr>
      <w:tr>
        <w:trPr>
          <w:trHeight w:val="157"/>
        </w:trPr>
        <w:tc>
          <w:tcPr>
            <w:tcW w:w="4320" w:type="dxa"/>
            <w:vAlign w:val="bottom"/>
            <w:tcBorders>
              <w:bottom w:val="single" w:sz="8" w:color="auto"/>
            </w:tcBorders>
          </w:tcPr>
          <w:p>
            <w:pPr>
              <w:spacing w:after="0" w:line="157" w:lineRule="exact"/>
              <w:rPr>
                <w:sz w:val="20"/>
                <w:szCs w:val="20"/>
                <w:color w:val="auto"/>
              </w:rPr>
            </w:pPr>
            <w:r>
              <w:rPr>
                <w:rFonts w:ascii="Arial" w:cs="Arial" w:eastAsia="Arial" w:hAnsi="Arial"/>
                <w:sz w:val="14"/>
                <w:szCs w:val="14"/>
                <w:color w:val="auto"/>
              </w:rPr>
              <w:t>South America</w:t>
            </w:r>
          </w:p>
        </w:tc>
        <w:tc>
          <w:tcPr>
            <w:tcW w:w="2200" w:type="dxa"/>
            <w:vAlign w:val="bottom"/>
            <w:tcBorders>
              <w:bottom w:val="single" w:sz="8" w:color="auto"/>
            </w:tcBorders>
          </w:tcPr>
          <w:p>
            <w:pPr>
              <w:jc w:val="right"/>
              <w:ind w:right="268"/>
              <w:spacing w:after="0" w:line="157" w:lineRule="exact"/>
              <w:rPr>
                <w:sz w:val="20"/>
                <w:szCs w:val="20"/>
                <w:color w:val="auto"/>
              </w:rPr>
            </w:pPr>
            <w:r>
              <w:rPr>
                <w:rFonts w:ascii="Arial" w:cs="Arial" w:eastAsia="Arial" w:hAnsi="Arial"/>
                <w:sz w:val="14"/>
                <w:szCs w:val="14"/>
                <w:color w:val="auto"/>
              </w:rPr>
              <w:t>12</w:t>
            </w:r>
          </w:p>
        </w:tc>
        <w:tc>
          <w:tcPr>
            <w:tcW w:w="1400" w:type="dxa"/>
            <w:vAlign w:val="bottom"/>
            <w:tcBorders>
              <w:bottom w:val="single" w:sz="8" w:color="auto"/>
            </w:tcBorders>
          </w:tcPr>
          <w:p>
            <w:pPr>
              <w:jc w:val="right"/>
              <w:ind w:right="528"/>
              <w:spacing w:after="0" w:line="157" w:lineRule="exact"/>
              <w:rPr>
                <w:sz w:val="20"/>
                <w:szCs w:val="20"/>
                <w:color w:val="auto"/>
              </w:rPr>
            </w:pPr>
            <w:r>
              <w:rPr>
                <w:rFonts w:ascii="Arial" w:cs="Arial" w:eastAsia="Arial" w:hAnsi="Arial"/>
                <w:sz w:val="14"/>
                <w:szCs w:val="14"/>
                <w:color w:val="auto"/>
              </w:rPr>
              <w:t>6</w:t>
            </w:r>
          </w:p>
        </w:tc>
        <w:tc>
          <w:tcPr>
            <w:tcW w:w="1500" w:type="dxa"/>
            <w:vAlign w:val="bottom"/>
            <w:tcBorders>
              <w:bottom w:val="single" w:sz="8" w:color="auto"/>
            </w:tcBorders>
          </w:tcPr>
          <w:p>
            <w:pPr>
              <w:jc w:val="right"/>
              <w:ind w:right="488"/>
              <w:spacing w:after="0" w:line="157" w:lineRule="exact"/>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ind w:right="188"/>
              <w:spacing w:after="0" w:line="157" w:lineRule="exact"/>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tcPr>
          <w:p>
            <w:pPr>
              <w:jc w:val="right"/>
              <w:ind w:right="148"/>
              <w:spacing w:after="0" w:line="157" w:lineRule="exact"/>
              <w:rPr>
                <w:sz w:val="20"/>
                <w:szCs w:val="20"/>
                <w:color w:val="auto"/>
              </w:rPr>
            </w:pPr>
            <w:r>
              <w:rPr>
                <w:rFonts w:ascii="Arial" w:cs="Arial" w:eastAsia="Arial" w:hAnsi="Arial"/>
                <w:sz w:val="14"/>
                <w:szCs w:val="14"/>
                <w:color w:val="auto"/>
              </w:rPr>
              <w:t>13</w:t>
            </w:r>
          </w:p>
        </w:tc>
      </w:tr>
      <w:tr>
        <w:trPr>
          <w:trHeight w:val="156"/>
        </w:trPr>
        <w:tc>
          <w:tcPr>
            <w:tcW w:w="4320" w:type="dxa"/>
            <w:vAlign w:val="bottom"/>
            <w:tcBorders>
              <w:bottom w:val="single" w:sz="8" w:color="auto"/>
            </w:tcBorders>
          </w:tcPr>
          <w:p>
            <w:pPr>
              <w:spacing w:after="0" w:line="155" w:lineRule="exact"/>
              <w:rPr>
                <w:sz w:val="20"/>
                <w:szCs w:val="20"/>
                <w:color w:val="auto"/>
              </w:rPr>
            </w:pPr>
            <w:r>
              <w:rPr>
                <w:rFonts w:ascii="Arial" w:cs="Arial" w:eastAsia="Arial" w:hAnsi="Arial"/>
                <w:sz w:val="14"/>
                <w:szCs w:val="14"/>
                <w:color w:val="auto"/>
              </w:rPr>
              <w:t>Total proved undeveloped</w:t>
            </w:r>
          </w:p>
        </w:tc>
        <w:tc>
          <w:tcPr>
            <w:tcW w:w="2200" w:type="dxa"/>
            <w:vAlign w:val="bottom"/>
            <w:tcBorders>
              <w:bottom w:val="single" w:sz="8" w:color="auto"/>
            </w:tcBorders>
          </w:tcPr>
          <w:p>
            <w:pPr>
              <w:jc w:val="right"/>
              <w:ind w:right="268"/>
              <w:spacing w:after="0" w:line="155" w:lineRule="exact"/>
              <w:rPr>
                <w:sz w:val="20"/>
                <w:szCs w:val="20"/>
                <w:color w:val="auto"/>
              </w:rPr>
            </w:pPr>
            <w:r>
              <w:rPr>
                <w:rFonts w:ascii="Arial" w:cs="Arial" w:eastAsia="Arial" w:hAnsi="Arial"/>
                <w:sz w:val="14"/>
                <w:szCs w:val="14"/>
                <w:color w:val="auto"/>
              </w:rPr>
              <w:t>1,242</w:t>
            </w:r>
          </w:p>
        </w:tc>
        <w:tc>
          <w:tcPr>
            <w:tcW w:w="1400" w:type="dxa"/>
            <w:vAlign w:val="bottom"/>
            <w:tcBorders>
              <w:bottom w:val="single" w:sz="8" w:color="auto"/>
            </w:tcBorders>
          </w:tcPr>
          <w:p>
            <w:pPr>
              <w:jc w:val="right"/>
              <w:ind w:right="528"/>
              <w:spacing w:after="0" w:line="155" w:lineRule="exact"/>
              <w:rPr>
                <w:sz w:val="20"/>
                <w:szCs w:val="20"/>
                <w:color w:val="auto"/>
              </w:rPr>
            </w:pPr>
            <w:r>
              <w:rPr>
                <w:rFonts w:ascii="Arial" w:cs="Arial" w:eastAsia="Arial" w:hAnsi="Arial"/>
                <w:sz w:val="14"/>
                <w:szCs w:val="14"/>
                <w:color w:val="auto"/>
              </w:rPr>
              <w:t>11,292</w:t>
            </w:r>
          </w:p>
        </w:tc>
        <w:tc>
          <w:tcPr>
            <w:tcW w:w="1500" w:type="dxa"/>
            <w:vAlign w:val="bottom"/>
            <w:tcBorders>
              <w:bottom w:val="single" w:sz="8" w:color="auto"/>
            </w:tcBorders>
          </w:tcPr>
          <w:p>
            <w:pPr>
              <w:jc w:val="right"/>
              <w:ind w:right="488"/>
              <w:spacing w:after="0" w:line="155" w:lineRule="exact"/>
              <w:rPr>
                <w:sz w:val="20"/>
                <w:szCs w:val="20"/>
                <w:color w:val="auto"/>
              </w:rPr>
            </w:pPr>
            <w:r>
              <w:rPr>
                <w:rFonts w:ascii="Arial" w:cs="Arial" w:eastAsia="Arial" w:hAnsi="Arial"/>
                <w:sz w:val="14"/>
                <w:szCs w:val="14"/>
                <w:color w:val="auto"/>
              </w:rPr>
              <w:t>490</w:t>
            </w:r>
          </w:p>
        </w:tc>
        <w:tc>
          <w:tcPr>
            <w:tcW w:w="1080" w:type="dxa"/>
            <w:vAlign w:val="bottom"/>
            <w:tcBorders>
              <w:bottom w:val="single" w:sz="8" w:color="auto"/>
            </w:tcBorders>
          </w:tcPr>
          <w:p>
            <w:pPr>
              <w:jc w:val="right"/>
              <w:ind w:right="188"/>
              <w:spacing w:after="0" w:line="155" w:lineRule="exact"/>
              <w:rPr>
                <w:sz w:val="20"/>
                <w:szCs w:val="20"/>
                <w:color w:val="auto"/>
              </w:rPr>
            </w:pPr>
            <w:r>
              <w:rPr>
                <w:rFonts w:ascii="Arial" w:cs="Arial" w:eastAsia="Arial" w:hAnsi="Arial"/>
                <w:sz w:val="14"/>
                <w:szCs w:val="14"/>
                <w:color w:val="auto"/>
              </w:rPr>
              <w:t>419</w:t>
            </w:r>
          </w:p>
        </w:tc>
        <w:tc>
          <w:tcPr>
            <w:tcW w:w="920" w:type="dxa"/>
            <w:vAlign w:val="bottom"/>
            <w:tcBorders>
              <w:bottom w:val="single" w:sz="8" w:color="auto"/>
            </w:tcBorders>
          </w:tcPr>
          <w:p>
            <w:pPr>
              <w:jc w:val="right"/>
              <w:ind w:right="148"/>
              <w:spacing w:after="0" w:line="155" w:lineRule="exact"/>
              <w:rPr>
                <w:sz w:val="20"/>
                <w:szCs w:val="20"/>
                <w:color w:val="auto"/>
              </w:rPr>
            </w:pPr>
            <w:r>
              <w:rPr>
                <w:rFonts w:ascii="Arial" w:cs="Arial" w:eastAsia="Arial" w:hAnsi="Arial"/>
                <w:sz w:val="14"/>
                <w:szCs w:val="14"/>
                <w:color w:val="auto"/>
              </w:rPr>
              <w:t>4,098</w:t>
            </w:r>
          </w:p>
        </w:tc>
      </w:tr>
      <w:tr>
        <w:trPr>
          <w:trHeight w:val="160"/>
        </w:trPr>
        <w:tc>
          <w:tcPr>
            <w:tcW w:w="4320" w:type="dxa"/>
            <w:vAlign w:val="bottom"/>
          </w:tcPr>
          <w:p>
            <w:pPr>
              <w:spacing w:after="0"/>
              <w:rPr>
                <w:sz w:val="20"/>
                <w:szCs w:val="20"/>
                <w:color w:val="auto"/>
              </w:rPr>
            </w:pPr>
            <w:r>
              <w:rPr>
                <w:rFonts w:ascii="Arial" w:cs="Arial" w:eastAsia="Arial" w:hAnsi="Arial"/>
                <w:sz w:val="14"/>
                <w:szCs w:val="14"/>
                <w:b w:val="1"/>
                <w:bCs w:val="1"/>
                <w:color w:val="auto"/>
              </w:rPr>
              <w:t>Total proved developed and undeveloped</w:t>
            </w:r>
          </w:p>
        </w:tc>
        <w:tc>
          <w:tcPr>
            <w:tcW w:w="220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920" w:type="dxa"/>
            <w:vAlign w:val="bottom"/>
          </w:tcPr>
          <w:p>
            <w:pPr>
              <w:spacing w:after="0"/>
              <w:rPr>
                <w:sz w:val="13"/>
                <w:szCs w:val="13"/>
                <w:color w:val="auto"/>
              </w:rPr>
            </w:pPr>
          </w:p>
        </w:tc>
      </w:tr>
      <w:tr>
        <w:trPr>
          <w:trHeight w:val="162"/>
        </w:trPr>
        <w:tc>
          <w:tcPr>
            <w:tcW w:w="4320" w:type="dxa"/>
            <w:vAlign w:val="bottom"/>
          </w:tcPr>
          <w:p>
            <w:pPr>
              <w:spacing w:after="0"/>
              <w:rPr>
                <w:sz w:val="20"/>
                <w:szCs w:val="20"/>
                <w:color w:val="auto"/>
              </w:rPr>
            </w:pPr>
            <w:r>
              <w:rPr>
                <w:rFonts w:ascii="Arial" w:cs="Arial" w:eastAsia="Arial" w:hAnsi="Arial"/>
                <w:sz w:val="14"/>
                <w:szCs w:val="14"/>
                <w:color w:val="auto"/>
              </w:rPr>
              <w:t>Europe</w:t>
            </w:r>
          </w:p>
        </w:tc>
        <w:tc>
          <w:tcPr>
            <w:tcW w:w="2200" w:type="dxa"/>
            <w:vAlign w:val="bottom"/>
          </w:tcPr>
          <w:p>
            <w:pPr>
              <w:jc w:val="right"/>
              <w:ind w:right="268"/>
              <w:spacing w:after="0"/>
              <w:rPr>
                <w:sz w:val="20"/>
                <w:szCs w:val="20"/>
                <w:color w:val="auto"/>
              </w:rPr>
            </w:pPr>
            <w:r>
              <w:rPr>
                <w:rFonts w:ascii="Arial" w:cs="Arial" w:eastAsia="Arial" w:hAnsi="Arial"/>
                <w:sz w:val="14"/>
                <w:szCs w:val="14"/>
                <w:color w:val="auto"/>
              </w:rPr>
              <w:t>608</w:t>
            </w:r>
          </w:p>
        </w:tc>
        <w:tc>
          <w:tcPr>
            <w:tcW w:w="1400" w:type="dxa"/>
            <w:vAlign w:val="bottom"/>
          </w:tcPr>
          <w:p>
            <w:pPr>
              <w:jc w:val="right"/>
              <w:ind w:right="528"/>
              <w:spacing w:after="0"/>
              <w:rPr>
                <w:sz w:val="20"/>
                <w:szCs w:val="20"/>
                <w:color w:val="auto"/>
              </w:rPr>
            </w:pPr>
            <w:r>
              <w:rPr>
                <w:rFonts w:ascii="Arial" w:cs="Arial" w:eastAsia="Arial" w:hAnsi="Arial"/>
                <w:sz w:val="14"/>
                <w:szCs w:val="14"/>
                <w:color w:val="auto"/>
              </w:rPr>
              <w:t>12,296</w:t>
            </w:r>
          </w:p>
        </w:tc>
        <w:tc>
          <w:tcPr>
            <w:tcW w:w="1500" w:type="dxa"/>
            <w:vAlign w:val="bottom"/>
          </w:tcPr>
          <w:p>
            <w:pPr>
              <w:jc w:val="right"/>
              <w:ind w:right="488"/>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148"/>
              <w:spacing w:after="0"/>
              <w:rPr>
                <w:sz w:val="20"/>
                <w:szCs w:val="20"/>
                <w:color w:val="auto"/>
              </w:rPr>
            </w:pPr>
            <w:r>
              <w:rPr>
                <w:rFonts w:ascii="Arial" w:cs="Arial" w:eastAsia="Arial" w:hAnsi="Arial"/>
                <w:sz w:val="14"/>
                <w:szCs w:val="14"/>
                <w:color w:val="auto"/>
              </w:rPr>
              <w:t>2,728</w:t>
            </w:r>
          </w:p>
        </w:tc>
      </w:tr>
      <w:tr>
        <w:trPr>
          <w:trHeight w:val="162"/>
        </w:trPr>
        <w:tc>
          <w:tcPr>
            <w:tcW w:w="4320" w:type="dxa"/>
            <w:vAlign w:val="bottom"/>
          </w:tcPr>
          <w:p>
            <w:pPr>
              <w:spacing w:after="0"/>
              <w:rPr>
                <w:sz w:val="20"/>
                <w:szCs w:val="20"/>
                <w:color w:val="auto"/>
              </w:rPr>
            </w:pPr>
            <w:r>
              <w:rPr>
                <w:rFonts w:ascii="Arial" w:cs="Arial" w:eastAsia="Arial" w:hAnsi="Arial"/>
                <w:sz w:val="14"/>
                <w:szCs w:val="14"/>
                <w:color w:val="auto"/>
              </w:rPr>
              <w:t>Asia</w:t>
            </w:r>
          </w:p>
        </w:tc>
        <w:tc>
          <w:tcPr>
            <w:tcW w:w="2200" w:type="dxa"/>
            <w:vAlign w:val="bottom"/>
          </w:tcPr>
          <w:p>
            <w:pPr>
              <w:jc w:val="right"/>
              <w:ind w:right="268"/>
              <w:spacing w:after="0"/>
              <w:rPr>
                <w:sz w:val="20"/>
                <w:szCs w:val="20"/>
                <w:color w:val="auto"/>
              </w:rPr>
            </w:pPr>
            <w:r>
              <w:rPr>
                <w:rFonts w:ascii="Arial" w:cs="Arial" w:eastAsia="Arial" w:hAnsi="Arial"/>
                <w:sz w:val="14"/>
                <w:szCs w:val="14"/>
                <w:color w:val="auto"/>
              </w:rPr>
              <w:t>1,682</w:t>
            </w:r>
          </w:p>
        </w:tc>
        <w:tc>
          <w:tcPr>
            <w:tcW w:w="1400" w:type="dxa"/>
            <w:vAlign w:val="bottom"/>
          </w:tcPr>
          <w:p>
            <w:pPr>
              <w:jc w:val="right"/>
              <w:ind w:right="528"/>
              <w:spacing w:after="0"/>
              <w:rPr>
                <w:sz w:val="20"/>
                <w:szCs w:val="20"/>
                <w:color w:val="auto"/>
              </w:rPr>
            </w:pPr>
            <w:r>
              <w:rPr>
                <w:rFonts w:ascii="Arial" w:cs="Arial" w:eastAsia="Arial" w:hAnsi="Arial"/>
                <w:sz w:val="14"/>
                <w:szCs w:val="14"/>
                <w:color w:val="auto"/>
              </w:rPr>
              <w:t>16,101</w:t>
            </w:r>
          </w:p>
        </w:tc>
        <w:tc>
          <w:tcPr>
            <w:tcW w:w="1500" w:type="dxa"/>
            <w:vAlign w:val="bottom"/>
          </w:tcPr>
          <w:p>
            <w:pPr>
              <w:jc w:val="right"/>
              <w:ind w:right="488"/>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148"/>
              <w:spacing w:after="0"/>
              <w:rPr>
                <w:sz w:val="20"/>
                <w:szCs w:val="20"/>
                <w:color w:val="auto"/>
              </w:rPr>
            </w:pPr>
            <w:r>
              <w:rPr>
                <w:rFonts w:ascii="Arial" w:cs="Arial" w:eastAsia="Arial" w:hAnsi="Arial"/>
                <w:sz w:val="14"/>
                <w:szCs w:val="14"/>
                <w:color w:val="auto"/>
              </w:rPr>
              <w:t>4,458</w:t>
            </w:r>
          </w:p>
        </w:tc>
      </w:tr>
      <w:tr>
        <w:trPr>
          <w:trHeight w:val="162"/>
        </w:trPr>
        <w:tc>
          <w:tcPr>
            <w:tcW w:w="4320" w:type="dxa"/>
            <w:vAlign w:val="bottom"/>
          </w:tcPr>
          <w:p>
            <w:pPr>
              <w:spacing w:after="0"/>
              <w:rPr>
                <w:sz w:val="20"/>
                <w:szCs w:val="20"/>
                <w:color w:val="auto"/>
              </w:rPr>
            </w:pPr>
            <w:r>
              <w:rPr>
                <w:rFonts w:ascii="Arial" w:cs="Arial" w:eastAsia="Arial" w:hAnsi="Arial"/>
                <w:sz w:val="14"/>
                <w:szCs w:val="14"/>
                <w:color w:val="auto"/>
              </w:rPr>
              <w:t>Oceania</w:t>
            </w:r>
          </w:p>
        </w:tc>
        <w:tc>
          <w:tcPr>
            <w:tcW w:w="2200" w:type="dxa"/>
            <w:vAlign w:val="bottom"/>
          </w:tcPr>
          <w:p>
            <w:pPr>
              <w:jc w:val="right"/>
              <w:ind w:right="268"/>
              <w:spacing w:after="0"/>
              <w:rPr>
                <w:sz w:val="20"/>
                <w:szCs w:val="20"/>
                <w:color w:val="auto"/>
              </w:rPr>
            </w:pPr>
            <w:r>
              <w:rPr>
                <w:rFonts w:ascii="Arial" w:cs="Arial" w:eastAsia="Arial" w:hAnsi="Arial"/>
                <w:sz w:val="14"/>
                <w:szCs w:val="14"/>
                <w:color w:val="auto"/>
              </w:rPr>
              <w:t>140</w:t>
            </w:r>
          </w:p>
        </w:tc>
        <w:tc>
          <w:tcPr>
            <w:tcW w:w="1400" w:type="dxa"/>
            <w:vAlign w:val="bottom"/>
          </w:tcPr>
          <w:p>
            <w:pPr>
              <w:jc w:val="right"/>
              <w:ind w:right="528"/>
              <w:spacing w:after="0"/>
              <w:rPr>
                <w:sz w:val="20"/>
                <w:szCs w:val="20"/>
                <w:color w:val="auto"/>
              </w:rPr>
            </w:pPr>
            <w:r>
              <w:rPr>
                <w:rFonts w:ascii="Arial" w:cs="Arial" w:eastAsia="Arial" w:hAnsi="Arial"/>
                <w:sz w:val="14"/>
                <w:szCs w:val="14"/>
                <w:color w:val="auto"/>
              </w:rPr>
              <w:t>6,078</w:t>
            </w:r>
          </w:p>
        </w:tc>
        <w:tc>
          <w:tcPr>
            <w:tcW w:w="1500" w:type="dxa"/>
            <w:vAlign w:val="bottom"/>
          </w:tcPr>
          <w:p>
            <w:pPr>
              <w:jc w:val="right"/>
              <w:ind w:right="488"/>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148"/>
              <w:spacing w:after="0"/>
              <w:rPr>
                <w:sz w:val="20"/>
                <w:szCs w:val="20"/>
                <w:color w:val="auto"/>
              </w:rPr>
            </w:pPr>
            <w:r>
              <w:rPr>
                <w:rFonts w:ascii="Arial" w:cs="Arial" w:eastAsia="Arial" w:hAnsi="Arial"/>
                <w:sz w:val="14"/>
                <w:szCs w:val="14"/>
                <w:color w:val="auto"/>
              </w:rPr>
              <w:t>1,188</w:t>
            </w:r>
          </w:p>
        </w:tc>
      </w:tr>
      <w:tr>
        <w:trPr>
          <w:trHeight w:val="162"/>
        </w:trPr>
        <w:tc>
          <w:tcPr>
            <w:tcW w:w="4320" w:type="dxa"/>
            <w:vAlign w:val="bottom"/>
          </w:tcPr>
          <w:p>
            <w:pPr>
              <w:spacing w:after="0"/>
              <w:rPr>
                <w:sz w:val="20"/>
                <w:szCs w:val="20"/>
                <w:color w:val="auto"/>
              </w:rPr>
            </w:pPr>
            <w:r>
              <w:rPr>
                <w:rFonts w:ascii="Arial" w:cs="Arial" w:eastAsia="Arial" w:hAnsi="Arial"/>
                <w:sz w:val="14"/>
                <w:szCs w:val="14"/>
                <w:color w:val="auto"/>
              </w:rPr>
              <w:t>Africa</w:t>
            </w:r>
          </w:p>
        </w:tc>
        <w:tc>
          <w:tcPr>
            <w:tcW w:w="2200" w:type="dxa"/>
            <w:vAlign w:val="bottom"/>
          </w:tcPr>
          <w:p>
            <w:pPr>
              <w:jc w:val="right"/>
              <w:ind w:right="268"/>
              <w:spacing w:after="0"/>
              <w:rPr>
                <w:sz w:val="20"/>
                <w:szCs w:val="20"/>
                <w:color w:val="auto"/>
              </w:rPr>
            </w:pPr>
            <w:r>
              <w:rPr>
                <w:rFonts w:ascii="Arial" w:cs="Arial" w:eastAsia="Arial" w:hAnsi="Arial"/>
                <w:sz w:val="14"/>
                <w:szCs w:val="14"/>
                <w:color w:val="auto"/>
              </w:rPr>
              <w:t>691</w:t>
            </w:r>
          </w:p>
        </w:tc>
        <w:tc>
          <w:tcPr>
            <w:tcW w:w="1400" w:type="dxa"/>
            <w:vAlign w:val="bottom"/>
          </w:tcPr>
          <w:p>
            <w:pPr>
              <w:jc w:val="right"/>
              <w:ind w:right="528"/>
              <w:spacing w:after="0"/>
              <w:rPr>
                <w:sz w:val="20"/>
                <w:szCs w:val="20"/>
                <w:color w:val="auto"/>
              </w:rPr>
            </w:pPr>
            <w:r>
              <w:rPr>
                <w:rFonts w:ascii="Arial" w:cs="Arial" w:eastAsia="Arial" w:hAnsi="Arial"/>
                <w:sz w:val="14"/>
                <w:szCs w:val="14"/>
                <w:color w:val="auto"/>
              </w:rPr>
              <w:t>2,621</w:t>
            </w:r>
          </w:p>
        </w:tc>
        <w:tc>
          <w:tcPr>
            <w:tcW w:w="1500" w:type="dxa"/>
            <w:vAlign w:val="bottom"/>
          </w:tcPr>
          <w:p>
            <w:pPr>
              <w:jc w:val="right"/>
              <w:ind w:right="488"/>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148"/>
              <w:spacing w:after="0"/>
              <w:rPr>
                <w:sz w:val="20"/>
                <w:szCs w:val="20"/>
                <w:color w:val="auto"/>
              </w:rPr>
            </w:pPr>
            <w:r>
              <w:rPr>
                <w:rFonts w:ascii="Arial" w:cs="Arial" w:eastAsia="Arial" w:hAnsi="Arial"/>
                <w:sz w:val="14"/>
                <w:szCs w:val="14"/>
                <w:color w:val="auto"/>
              </w:rPr>
              <w:t>1,143</w:t>
            </w:r>
          </w:p>
        </w:tc>
      </w:tr>
      <w:tr>
        <w:trPr>
          <w:trHeight w:val="162"/>
        </w:trPr>
        <w:tc>
          <w:tcPr>
            <w:tcW w:w="4320" w:type="dxa"/>
            <w:vAlign w:val="bottom"/>
          </w:tcPr>
          <w:p>
            <w:pPr>
              <w:spacing w:after="0"/>
              <w:rPr>
                <w:sz w:val="20"/>
                <w:szCs w:val="20"/>
                <w:color w:val="auto"/>
              </w:rPr>
            </w:pPr>
            <w:r>
              <w:rPr>
                <w:rFonts w:ascii="Arial" w:cs="Arial" w:eastAsia="Arial" w:hAnsi="Arial"/>
                <w:sz w:val="14"/>
                <w:szCs w:val="14"/>
                <w:color w:val="auto"/>
              </w:rPr>
              <w:t>North America</w:t>
            </w:r>
          </w:p>
        </w:tc>
        <w:tc>
          <w:tcPr>
            <w:tcW w:w="22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2"/>
        </w:trPr>
        <w:tc>
          <w:tcPr>
            <w:tcW w:w="4320" w:type="dxa"/>
            <w:vAlign w:val="bottom"/>
          </w:tcPr>
          <w:p>
            <w:pPr>
              <w:ind w:left="140"/>
              <w:spacing w:after="0"/>
              <w:rPr>
                <w:sz w:val="20"/>
                <w:szCs w:val="20"/>
                <w:color w:val="auto"/>
              </w:rPr>
            </w:pPr>
            <w:r>
              <w:rPr>
                <w:rFonts w:ascii="Arial" w:cs="Arial" w:eastAsia="Arial" w:hAnsi="Arial"/>
                <w:sz w:val="14"/>
                <w:szCs w:val="14"/>
                <w:color w:val="auto"/>
              </w:rPr>
              <w:t>USA</w:t>
            </w:r>
          </w:p>
        </w:tc>
        <w:tc>
          <w:tcPr>
            <w:tcW w:w="2200" w:type="dxa"/>
            <w:vAlign w:val="bottom"/>
          </w:tcPr>
          <w:p>
            <w:pPr>
              <w:jc w:val="right"/>
              <w:ind w:right="268"/>
              <w:spacing w:after="0"/>
              <w:rPr>
                <w:sz w:val="20"/>
                <w:szCs w:val="20"/>
                <w:color w:val="auto"/>
              </w:rPr>
            </w:pPr>
            <w:r>
              <w:rPr>
                <w:rFonts w:ascii="Arial" w:cs="Arial" w:eastAsia="Arial" w:hAnsi="Arial"/>
                <w:sz w:val="14"/>
                <w:szCs w:val="14"/>
                <w:color w:val="auto"/>
              </w:rPr>
              <w:t>711</w:t>
            </w:r>
          </w:p>
        </w:tc>
        <w:tc>
          <w:tcPr>
            <w:tcW w:w="1400" w:type="dxa"/>
            <w:vAlign w:val="bottom"/>
          </w:tcPr>
          <w:p>
            <w:pPr>
              <w:jc w:val="right"/>
              <w:ind w:right="528"/>
              <w:spacing w:after="0"/>
              <w:rPr>
                <w:sz w:val="20"/>
                <w:szCs w:val="20"/>
                <w:color w:val="auto"/>
              </w:rPr>
            </w:pPr>
            <w:r>
              <w:rPr>
                <w:rFonts w:ascii="Arial" w:cs="Arial" w:eastAsia="Arial" w:hAnsi="Arial"/>
                <w:sz w:val="14"/>
                <w:szCs w:val="14"/>
                <w:color w:val="auto"/>
              </w:rPr>
              <w:t>1,561</w:t>
            </w:r>
          </w:p>
        </w:tc>
        <w:tc>
          <w:tcPr>
            <w:tcW w:w="1500" w:type="dxa"/>
            <w:vAlign w:val="bottom"/>
          </w:tcPr>
          <w:p>
            <w:pPr>
              <w:jc w:val="right"/>
              <w:ind w:right="488"/>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148"/>
              <w:spacing w:after="0"/>
              <w:rPr>
                <w:sz w:val="20"/>
                <w:szCs w:val="20"/>
                <w:color w:val="auto"/>
              </w:rPr>
            </w:pPr>
            <w:r>
              <w:rPr>
                <w:rFonts w:ascii="Arial" w:cs="Arial" w:eastAsia="Arial" w:hAnsi="Arial"/>
                <w:sz w:val="14"/>
                <w:szCs w:val="14"/>
                <w:color w:val="auto"/>
              </w:rPr>
              <w:t>980</w:t>
            </w:r>
          </w:p>
        </w:tc>
      </w:tr>
      <w:tr>
        <w:trPr>
          <w:trHeight w:val="162"/>
        </w:trPr>
        <w:tc>
          <w:tcPr>
            <w:tcW w:w="4320" w:type="dxa"/>
            <w:vAlign w:val="bottom"/>
          </w:tcPr>
          <w:p>
            <w:pPr>
              <w:ind w:left="140"/>
              <w:spacing w:after="0"/>
              <w:rPr>
                <w:sz w:val="20"/>
                <w:szCs w:val="20"/>
                <w:color w:val="auto"/>
              </w:rPr>
            </w:pPr>
            <w:r>
              <w:rPr>
                <w:rFonts w:ascii="Arial" w:cs="Arial" w:eastAsia="Arial" w:hAnsi="Arial"/>
                <w:sz w:val="14"/>
                <w:szCs w:val="14"/>
                <w:color w:val="auto"/>
              </w:rPr>
              <w:t>Canada</w:t>
            </w:r>
          </w:p>
        </w:tc>
        <w:tc>
          <w:tcPr>
            <w:tcW w:w="2200" w:type="dxa"/>
            <w:vAlign w:val="bottom"/>
          </w:tcPr>
          <w:p>
            <w:pPr>
              <w:jc w:val="right"/>
              <w:ind w:right="268"/>
              <w:spacing w:after="0"/>
              <w:rPr>
                <w:sz w:val="20"/>
                <w:szCs w:val="20"/>
                <w:color w:val="auto"/>
              </w:rPr>
            </w:pPr>
            <w:r>
              <w:rPr>
                <w:rFonts w:ascii="Arial" w:cs="Arial" w:eastAsia="Arial" w:hAnsi="Arial"/>
                <w:sz w:val="14"/>
                <w:szCs w:val="14"/>
                <w:color w:val="auto"/>
              </w:rPr>
              <w:t>44</w:t>
            </w:r>
          </w:p>
        </w:tc>
        <w:tc>
          <w:tcPr>
            <w:tcW w:w="1400" w:type="dxa"/>
            <w:vAlign w:val="bottom"/>
          </w:tcPr>
          <w:p>
            <w:pPr>
              <w:jc w:val="right"/>
              <w:ind w:right="528"/>
              <w:spacing w:after="0"/>
              <w:rPr>
                <w:sz w:val="20"/>
                <w:szCs w:val="20"/>
                <w:color w:val="auto"/>
              </w:rPr>
            </w:pPr>
            <w:r>
              <w:rPr>
                <w:rFonts w:ascii="Arial" w:cs="Arial" w:eastAsia="Arial" w:hAnsi="Arial"/>
                <w:sz w:val="14"/>
                <w:szCs w:val="14"/>
                <w:color w:val="auto"/>
              </w:rPr>
              <w:t>1,611</w:t>
            </w:r>
          </w:p>
        </w:tc>
        <w:tc>
          <w:tcPr>
            <w:tcW w:w="1500" w:type="dxa"/>
            <w:vAlign w:val="bottom"/>
          </w:tcPr>
          <w:p>
            <w:pPr>
              <w:jc w:val="right"/>
              <w:ind w:right="488"/>
              <w:spacing w:after="0"/>
              <w:rPr>
                <w:sz w:val="20"/>
                <w:szCs w:val="20"/>
                <w:color w:val="auto"/>
              </w:rPr>
            </w:pPr>
            <w:r>
              <w:rPr>
                <w:rFonts w:ascii="Arial" w:cs="Arial" w:eastAsia="Arial" w:hAnsi="Arial"/>
                <w:sz w:val="14"/>
                <w:szCs w:val="14"/>
                <w:color w:val="auto"/>
              </w:rPr>
              <w:t>1,763</w:t>
            </w:r>
          </w:p>
        </w:tc>
        <w:tc>
          <w:tcPr>
            <w:tcW w:w="1080" w:type="dxa"/>
            <w:vAlign w:val="bottom"/>
          </w:tcPr>
          <w:p>
            <w:pPr>
              <w:jc w:val="right"/>
              <w:ind w:right="188"/>
              <w:spacing w:after="0"/>
              <w:rPr>
                <w:sz w:val="20"/>
                <w:szCs w:val="20"/>
                <w:color w:val="auto"/>
              </w:rPr>
            </w:pPr>
            <w:r>
              <w:rPr>
                <w:rFonts w:ascii="Arial" w:cs="Arial" w:eastAsia="Arial" w:hAnsi="Arial"/>
                <w:sz w:val="14"/>
                <w:szCs w:val="14"/>
                <w:color w:val="auto"/>
              </w:rPr>
              <w:t>428</w:t>
            </w:r>
          </w:p>
        </w:tc>
        <w:tc>
          <w:tcPr>
            <w:tcW w:w="920" w:type="dxa"/>
            <w:vAlign w:val="bottom"/>
          </w:tcPr>
          <w:p>
            <w:pPr>
              <w:jc w:val="right"/>
              <w:ind w:right="148"/>
              <w:spacing w:after="0"/>
              <w:rPr>
                <w:sz w:val="20"/>
                <w:szCs w:val="20"/>
                <w:color w:val="auto"/>
              </w:rPr>
            </w:pPr>
            <w:r>
              <w:rPr>
                <w:rFonts w:ascii="Arial" w:cs="Arial" w:eastAsia="Arial" w:hAnsi="Arial"/>
                <w:sz w:val="14"/>
                <w:szCs w:val="14"/>
                <w:color w:val="auto"/>
              </w:rPr>
              <w:t>2,513</w:t>
            </w:r>
          </w:p>
        </w:tc>
      </w:tr>
      <w:tr>
        <w:trPr>
          <w:trHeight w:val="157"/>
        </w:trPr>
        <w:tc>
          <w:tcPr>
            <w:tcW w:w="4320" w:type="dxa"/>
            <w:vAlign w:val="bottom"/>
            <w:tcBorders>
              <w:bottom w:val="single" w:sz="8" w:color="auto"/>
            </w:tcBorders>
          </w:tcPr>
          <w:p>
            <w:pPr>
              <w:spacing w:after="0" w:line="157" w:lineRule="exact"/>
              <w:rPr>
                <w:sz w:val="20"/>
                <w:szCs w:val="20"/>
                <w:color w:val="auto"/>
              </w:rPr>
            </w:pPr>
            <w:r>
              <w:rPr>
                <w:rFonts w:ascii="Arial" w:cs="Arial" w:eastAsia="Arial" w:hAnsi="Arial"/>
                <w:sz w:val="14"/>
                <w:szCs w:val="14"/>
                <w:color w:val="auto"/>
              </w:rPr>
              <w:t>South America</w:t>
            </w:r>
          </w:p>
        </w:tc>
        <w:tc>
          <w:tcPr>
            <w:tcW w:w="2200" w:type="dxa"/>
            <w:vAlign w:val="bottom"/>
            <w:tcBorders>
              <w:bottom w:val="single" w:sz="8" w:color="auto"/>
            </w:tcBorders>
          </w:tcPr>
          <w:p>
            <w:pPr>
              <w:jc w:val="right"/>
              <w:ind w:right="268"/>
              <w:spacing w:after="0" w:line="157" w:lineRule="exact"/>
              <w:rPr>
                <w:sz w:val="20"/>
                <w:szCs w:val="20"/>
                <w:color w:val="auto"/>
              </w:rPr>
            </w:pPr>
            <w:r>
              <w:rPr>
                <w:rFonts w:ascii="Arial" w:cs="Arial" w:eastAsia="Arial" w:hAnsi="Arial"/>
                <w:sz w:val="14"/>
                <w:szCs w:val="14"/>
                <w:color w:val="auto"/>
              </w:rPr>
              <w:t>63</w:t>
            </w:r>
          </w:p>
        </w:tc>
        <w:tc>
          <w:tcPr>
            <w:tcW w:w="1400" w:type="dxa"/>
            <w:vAlign w:val="bottom"/>
            <w:tcBorders>
              <w:bottom w:val="single" w:sz="8" w:color="auto"/>
            </w:tcBorders>
          </w:tcPr>
          <w:p>
            <w:pPr>
              <w:jc w:val="right"/>
              <w:ind w:right="528"/>
              <w:spacing w:after="0" w:line="157" w:lineRule="exact"/>
              <w:rPr>
                <w:sz w:val="20"/>
                <w:szCs w:val="20"/>
                <w:color w:val="auto"/>
              </w:rPr>
            </w:pPr>
            <w:r>
              <w:rPr>
                <w:rFonts w:ascii="Arial" w:cs="Arial" w:eastAsia="Arial" w:hAnsi="Arial"/>
                <w:sz w:val="14"/>
                <w:szCs w:val="14"/>
                <w:color w:val="auto"/>
              </w:rPr>
              <w:t>48</w:t>
            </w:r>
          </w:p>
        </w:tc>
        <w:tc>
          <w:tcPr>
            <w:tcW w:w="1500" w:type="dxa"/>
            <w:vAlign w:val="bottom"/>
            <w:tcBorders>
              <w:bottom w:val="single" w:sz="8" w:color="auto"/>
            </w:tcBorders>
          </w:tcPr>
          <w:p>
            <w:pPr>
              <w:jc w:val="right"/>
              <w:ind w:right="488"/>
              <w:spacing w:after="0" w:line="157" w:lineRule="exact"/>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ind w:right="188"/>
              <w:spacing w:after="0" w:line="157" w:lineRule="exact"/>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tcPr>
          <w:p>
            <w:pPr>
              <w:jc w:val="right"/>
              <w:ind w:right="148"/>
              <w:spacing w:after="0" w:line="157" w:lineRule="exact"/>
              <w:rPr>
                <w:sz w:val="20"/>
                <w:szCs w:val="20"/>
                <w:color w:val="auto"/>
              </w:rPr>
            </w:pPr>
            <w:r>
              <w:rPr>
                <w:rFonts w:ascii="Arial" w:cs="Arial" w:eastAsia="Arial" w:hAnsi="Arial"/>
                <w:sz w:val="14"/>
                <w:szCs w:val="14"/>
                <w:color w:val="auto"/>
              </w:rPr>
              <w:t>71</w:t>
            </w:r>
          </w:p>
        </w:tc>
      </w:tr>
      <w:tr>
        <w:trPr>
          <w:trHeight w:val="156"/>
        </w:trPr>
        <w:tc>
          <w:tcPr>
            <w:tcW w:w="4320" w:type="dxa"/>
            <w:vAlign w:val="bottom"/>
            <w:tcBorders>
              <w:bottom w:val="single" w:sz="8" w:color="auto"/>
            </w:tcBorders>
          </w:tcPr>
          <w:p>
            <w:pPr>
              <w:spacing w:after="0" w:line="155" w:lineRule="exact"/>
              <w:rPr>
                <w:sz w:val="20"/>
                <w:szCs w:val="20"/>
                <w:color w:val="auto"/>
              </w:rPr>
            </w:pPr>
            <w:r>
              <w:rPr>
                <w:rFonts w:ascii="Arial" w:cs="Arial" w:eastAsia="Arial" w:hAnsi="Arial"/>
                <w:sz w:val="14"/>
                <w:szCs w:val="14"/>
                <w:color w:val="auto"/>
              </w:rPr>
              <w:t>Total</w:t>
            </w:r>
          </w:p>
        </w:tc>
        <w:tc>
          <w:tcPr>
            <w:tcW w:w="2200" w:type="dxa"/>
            <w:vAlign w:val="bottom"/>
            <w:tcBorders>
              <w:bottom w:val="single" w:sz="8" w:color="auto"/>
            </w:tcBorders>
          </w:tcPr>
          <w:p>
            <w:pPr>
              <w:jc w:val="right"/>
              <w:ind w:right="268"/>
              <w:spacing w:after="0" w:line="155" w:lineRule="exact"/>
              <w:rPr>
                <w:sz w:val="20"/>
                <w:szCs w:val="20"/>
                <w:color w:val="auto"/>
              </w:rPr>
            </w:pPr>
            <w:r>
              <w:rPr>
                <w:rFonts w:ascii="Arial" w:cs="Arial" w:eastAsia="Arial" w:hAnsi="Arial"/>
                <w:sz w:val="14"/>
                <w:szCs w:val="14"/>
                <w:color w:val="auto"/>
              </w:rPr>
              <w:t>3,939</w:t>
            </w:r>
          </w:p>
        </w:tc>
        <w:tc>
          <w:tcPr>
            <w:tcW w:w="1400" w:type="dxa"/>
            <w:vAlign w:val="bottom"/>
            <w:tcBorders>
              <w:bottom w:val="single" w:sz="8" w:color="auto"/>
            </w:tcBorders>
          </w:tcPr>
          <w:p>
            <w:pPr>
              <w:jc w:val="right"/>
              <w:ind w:right="528"/>
              <w:spacing w:after="0" w:line="155" w:lineRule="exact"/>
              <w:rPr>
                <w:sz w:val="20"/>
                <w:szCs w:val="20"/>
                <w:color w:val="auto"/>
              </w:rPr>
            </w:pPr>
            <w:r>
              <w:rPr>
                <w:rFonts w:ascii="Arial" w:cs="Arial" w:eastAsia="Arial" w:hAnsi="Arial"/>
                <w:sz w:val="14"/>
                <w:szCs w:val="14"/>
                <w:color w:val="auto"/>
              </w:rPr>
              <w:t>40,316</w:t>
            </w:r>
          </w:p>
        </w:tc>
        <w:tc>
          <w:tcPr>
            <w:tcW w:w="1500" w:type="dxa"/>
            <w:vAlign w:val="bottom"/>
            <w:tcBorders>
              <w:bottom w:val="single" w:sz="8" w:color="auto"/>
            </w:tcBorders>
          </w:tcPr>
          <w:p>
            <w:pPr>
              <w:jc w:val="right"/>
              <w:ind w:right="488"/>
              <w:spacing w:after="0" w:line="155" w:lineRule="exact"/>
              <w:rPr>
                <w:sz w:val="20"/>
                <w:szCs w:val="20"/>
                <w:color w:val="auto"/>
              </w:rPr>
            </w:pPr>
            <w:r>
              <w:rPr>
                <w:rFonts w:ascii="Arial" w:cs="Arial" w:eastAsia="Arial" w:hAnsi="Arial"/>
                <w:sz w:val="14"/>
                <w:szCs w:val="14"/>
                <w:color w:val="auto"/>
              </w:rPr>
              <w:t>1,763</w:t>
            </w:r>
          </w:p>
        </w:tc>
        <w:tc>
          <w:tcPr>
            <w:tcW w:w="1080" w:type="dxa"/>
            <w:vAlign w:val="bottom"/>
            <w:tcBorders>
              <w:bottom w:val="single" w:sz="8" w:color="auto"/>
            </w:tcBorders>
          </w:tcPr>
          <w:p>
            <w:pPr>
              <w:jc w:val="right"/>
              <w:ind w:right="188"/>
              <w:spacing w:after="0" w:line="155" w:lineRule="exact"/>
              <w:rPr>
                <w:sz w:val="20"/>
                <w:szCs w:val="20"/>
                <w:color w:val="auto"/>
              </w:rPr>
            </w:pPr>
            <w:r>
              <w:rPr>
                <w:rFonts w:ascii="Arial" w:cs="Arial" w:eastAsia="Arial" w:hAnsi="Arial"/>
                <w:sz w:val="14"/>
                <w:szCs w:val="14"/>
                <w:color w:val="auto"/>
              </w:rPr>
              <w:t>428</w:t>
            </w:r>
          </w:p>
        </w:tc>
        <w:tc>
          <w:tcPr>
            <w:tcW w:w="920" w:type="dxa"/>
            <w:vAlign w:val="bottom"/>
            <w:tcBorders>
              <w:bottom w:val="single" w:sz="8" w:color="auto"/>
            </w:tcBorders>
          </w:tcPr>
          <w:p>
            <w:pPr>
              <w:jc w:val="right"/>
              <w:ind w:right="148"/>
              <w:spacing w:after="0" w:line="155" w:lineRule="exact"/>
              <w:rPr>
                <w:sz w:val="20"/>
                <w:szCs w:val="20"/>
                <w:color w:val="auto"/>
              </w:rPr>
            </w:pPr>
            <w:r>
              <w:rPr>
                <w:rFonts w:ascii="Arial" w:cs="Arial" w:eastAsia="Arial" w:hAnsi="Arial"/>
                <w:sz w:val="14"/>
                <w:szCs w:val="14"/>
                <w:color w:val="auto"/>
              </w:rPr>
              <w:t>13,081</w:t>
            </w:r>
          </w:p>
        </w:tc>
      </w:tr>
    </w:tbl>
    <w:p>
      <w:pPr>
        <w:spacing w:after="0" w:line="32" w:lineRule="exact"/>
        <w:rPr>
          <w:sz w:val="20"/>
          <w:szCs w:val="20"/>
          <w:color w:val="auto"/>
        </w:rPr>
      </w:pPr>
    </w:p>
    <w:p>
      <w:pPr>
        <w:ind w:left="180" w:hanging="172"/>
        <w:spacing w:after="0"/>
        <w:tabs>
          <w:tab w:leader="none" w:pos="180" w:val="left"/>
        </w:tabs>
        <w:numPr>
          <w:ilvl w:val="0"/>
          <w:numId w:val="29"/>
        </w:numPr>
        <w:rPr>
          <w:rFonts w:ascii="Arial" w:cs="Arial" w:eastAsia="Arial" w:hAnsi="Arial"/>
          <w:sz w:val="11"/>
          <w:szCs w:val="11"/>
          <w:color w:val="auto"/>
        </w:rPr>
      </w:pPr>
      <w:r>
        <w:rPr>
          <w:rFonts w:ascii="Arial" w:cs="Arial" w:eastAsia="Arial" w:hAnsi="Arial"/>
          <w:sz w:val="11"/>
          <w:szCs w:val="11"/>
          <w:color w:val="auto"/>
        </w:rPr>
        <w:t>Includes 11 million boe of reserves attributable to non-controlling interest in Shell subsidiaries.</w:t>
      </w:r>
    </w:p>
    <w:p>
      <w:pPr>
        <w:ind w:left="180" w:hanging="172"/>
        <w:spacing w:after="0" w:line="230" w:lineRule="auto"/>
        <w:tabs>
          <w:tab w:leader="none" w:pos="180" w:val="left"/>
        </w:tabs>
        <w:numPr>
          <w:ilvl w:val="0"/>
          <w:numId w:val="29"/>
        </w:numPr>
        <w:rPr>
          <w:rFonts w:ascii="Arial" w:cs="Arial" w:eastAsia="Arial" w:hAnsi="Arial"/>
          <w:sz w:val="11"/>
          <w:szCs w:val="11"/>
          <w:color w:val="auto"/>
        </w:rPr>
      </w:pPr>
      <w:r>
        <w:rPr>
          <w:rFonts w:ascii="Arial" w:cs="Arial" w:eastAsia="Arial" w:hAnsi="Arial"/>
          <w:sz w:val="11"/>
          <w:szCs w:val="11"/>
          <w:color w:val="auto"/>
        </w:rPr>
        <w:t>Oceania includes Shell’s 14% share of Woodside, a publicly listed company on the Australian Securities Exchange. Shell has no access to data at December 31, 2014; accordingly, the numbers are estimated.</w:t>
      </w:r>
    </w:p>
    <w:p>
      <w:pPr>
        <w:ind w:left="180" w:hanging="172"/>
        <w:spacing w:after="0"/>
        <w:tabs>
          <w:tab w:leader="none" w:pos="180" w:val="left"/>
        </w:tabs>
        <w:numPr>
          <w:ilvl w:val="0"/>
          <w:numId w:val="29"/>
        </w:numPr>
        <w:rPr>
          <w:rFonts w:ascii="Arial" w:cs="Arial" w:eastAsia="Arial" w:hAnsi="Arial"/>
          <w:sz w:val="11"/>
          <w:szCs w:val="11"/>
          <w:color w:val="auto"/>
        </w:rPr>
      </w:pPr>
      <w:r>
        <w:rPr>
          <w:rFonts w:ascii="Arial" w:cs="Arial" w:eastAsia="Arial" w:hAnsi="Arial"/>
          <w:sz w:val="11"/>
          <w:szCs w:val="11"/>
          <w:color w:val="auto"/>
        </w:rPr>
        <w:t>Natural gas volumes are converted to oil equivalent using a factor of 5,800 scf per barrel.</w:t>
      </w:r>
    </w:p>
    <w:p>
      <w:pPr>
        <w:sectPr>
          <w:pgSz w:w="11900" w:h="16838" w:orient="portrait"/>
          <w:cols w:equalWidth="0" w:num="1">
            <w:col w:w="11420"/>
          </w:cols>
          <w:pgMar w:left="240" w:top="459" w:right="239" w:bottom="1440" w:gutter="0" w:footer="0" w:header="0"/>
          <w:type w:val="continuous"/>
        </w:sectPr>
      </w:pPr>
    </w:p>
    <w:bookmarkStart w:id="33" w:name="page34"/>
    <w:bookmarkEnd w:id="33"/>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314960</wp:posOffset>
            </wp:positionV>
            <wp:extent cx="3490595" cy="46291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3490595" cy="462915"/>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p>
      <w:pPr>
        <w:spacing w:after="0" w:line="200" w:lineRule="exact"/>
        <w:rPr>
          <w:sz w:val="20"/>
          <w:szCs w:val="20"/>
          <w:color w:val="auto"/>
        </w:rPr>
      </w:pP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419"/>
        </w:trPr>
        <w:tc>
          <w:tcPr>
            <w:tcW w:w="1920" w:type="dxa"/>
            <w:vAlign w:val="bottom"/>
            <w:shd w:val="clear" w:color="auto" w:fill="FF8B00"/>
          </w:tcPr>
          <w:p>
            <w:pPr>
              <w:spacing w:after="0"/>
              <w:rPr>
                <w:sz w:val="24"/>
                <w:szCs w:val="24"/>
                <w:color w:val="auto"/>
              </w:rPr>
            </w:pPr>
          </w:p>
        </w:tc>
        <w:tc>
          <w:tcPr>
            <w:tcW w:w="3580" w:type="dxa"/>
            <w:vAlign w:val="bottom"/>
            <w:shd w:val="clear" w:color="auto" w:fill="FF8B00"/>
          </w:tcPr>
          <w:p>
            <w:pPr>
              <w:spacing w:after="0"/>
              <w:rPr>
                <w:sz w:val="24"/>
                <w:szCs w:val="24"/>
                <w:color w:val="auto"/>
              </w:rPr>
            </w:pPr>
          </w:p>
        </w:tc>
      </w:tr>
      <w:tr>
        <w:trPr>
          <w:trHeight w:val="152"/>
        </w:trPr>
        <w:tc>
          <w:tcPr>
            <w:tcW w:w="1920" w:type="dxa"/>
            <w:vAlign w:val="bottom"/>
          </w:tcPr>
          <w:p>
            <w:pPr>
              <w:jc w:val="right"/>
              <w:ind w:right="1486"/>
              <w:spacing w:after="0"/>
              <w:rPr>
                <w:sz w:val="20"/>
                <w:szCs w:val="20"/>
                <w:color w:val="auto"/>
              </w:rPr>
            </w:pPr>
            <w:r>
              <w:rPr>
                <w:rFonts w:ascii="Arial" w:cs="Arial" w:eastAsia="Arial" w:hAnsi="Arial"/>
                <w:sz w:val="11"/>
                <w:szCs w:val="11"/>
                <w:b w:val="1"/>
                <w:bCs w:val="1"/>
                <w:color w:val="333333"/>
              </w:rPr>
              <w:t>32</w:t>
            </w:r>
          </w:p>
        </w:tc>
        <w:tc>
          <w:tcPr>
            <w:tcW w:w="3580" w:type="dxa"/>
            <w:vAlign w:val="bottom"/>
          </w:tcPr>
          <w:p>
            <w:pPr>
              <w:ind w:left="1540"/>
              <w:spacing w:after="0"/>
              <w:rPr>
                <w:sz w:val="20"/>
                <w:szCs w:val="20"/>
                <w:color w:val="auto"/>
              </w:rPr>
            </w:pPr>
            <w:r>
              <w:rPr>
                <w:rFonts w:ascii="Arial" w:cs="Arial" w:eastAsia="Arial" w:hAnsi="Arial"/>
                <w:sz w:val="13"/>
                <w:szCs w:val="13"/>
                <w:color w:val="333333"/>
              </w:rPr>
              <w:t>STRATEGIC REPORT</w:t>
            </w:r>
          </w:p>
        </w:tc>
      </w:tr>
    </w:tbl>
    <w:p>
      <w:pPr>
        <w:spacing w:after="0" w:line="155" w:lineRule="exact"/>
        <w:rPr>
          <w:sz w:val="20"/>
          <w:szCs w:val="20"/>
          <w:color w:val="auto"/>
        </w:rPr>
      </w:pPr>
    </w:p>
    <w:p>
      <w:pPr>
        <w:ind w:left="4120"/>
        <w:spacing w:after="0"/>
        <w:rPr>
          <w:sz w:val="20"/>
          <w:szCs w:val="20"/>
          <w:color w:val="auto"/>
        </w:rPr>
      </w:pPr>
      <w:r>
        <w:rPr>
          <w:rFonts w:ascii="Arial" w:cs="Arial" w:eastAsia="Arial" w:hAnsi="Arial"/>
          <w:sz w:val="11"/>
          <w:szCs w:val="11"/>
          <w:color w:val="auto"/>
        </w:rPr>
        <w:t>UPSTREAM</w:t>
      </w:r>
    </w:p>
    <w:p>
      <w:pPr>
        <w:spacing w:after="0" w:line="48" w:lineRule="exact"/>
        <w:rPr>
          <w:sz w:val="20"/>
          <w:szCs w:val="20"/>
          <w:color w:val="auto"/>
        </w:rPr>
      </w:pPr>
    </w:p>
    <w:p>
      <w:pPr>
        <w:spacing w:after="0"/>
        <w:rPr>
          <w:sz w:val="20"/>
          <w:szCs w:val="20"/>
          <w:color w:val="auto"/>
        </w:rPr>
      </w:pPr>
      <w:r>
        <w:rPr>
          <w:rFonts w:ascii="Arial" w:cs="Arial" w:eastAsia="Arial" w:hAnsi="Arial"/>
          <w:sz w:val="24"/>
          <w:szCs w:val="24"/>
          <w:color w:val="auto"/>
        </w:rPr>
        <w:t xml:space="preserve">UPSTREAM </w:t>
      </w:r>
      <w:r>
        <w:rPr>
          <w:rFonts w:ascii="Arial" w:cs="Arial" w:eastAsia="Arial" w:hAnsi="Arial"/>
          <w:sz w:val="24"/>
          <w:szCs w:val="24"/>
          <w:color w:val="666666"/>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3473450"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347345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153035</wp:posOffset>
            </wp:positionV>
            <wp:extent cx="3473450" cy="25717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3473450" cy="257175"/>
                    </a:xfrm>
                    <a:prstGeom prst="rect">
                      <a:avLst/>
                    </a:prstGeom>
                    <a:noFill/>
                  </pic:spPr>
                </pic:pic>
              </a:graphicData>
            </a:graphic>
          </wp:anchor>
        </w:drawing>
      </w:r>
    </w:p>
    <w:p>
      <w:pPr>
        <w:spacing w:after="0" w:line="267" w:lineRule="exact"/>
        <w:rPr>
          <w:sz w:val="20"/>
          <w:szCs w:val="20"/>
          <w:color w:val="auto"/>
        </w:rPr>
      </w:pPr>
    </w:p>
    <w:p>
      <w:pPr>
        <w:ind w:left="80" w:right="1420"/>
        <w:spacing w:after="0" w:line="245" w:lineRule="auto"/>
        <w:rPr>
          <w:sz w:val="20"/>
          <w:szCs w:val="20"/>
          <w:color w:val="auto"/>
        </w:rPr>
      </w:pPr>
      <w:r>
        <w:rPr>
          <w:rFonts w:ascii="Arial" w:cs="Arial" w:eastAsia="Arial" w:hAnsi="Arial"/>
          <w:sz w:val="15"/>
          <w:szCs w:val="15"/>
          <w:b w:val="1"/>
          <w:bCs w:val="1"/>
          <w:color w:val="FFFFFF"/>
        </w:rPr>
        <w:t xml:space="preserve">LOCATION OF OIL AND GAS EXPLORATION AND PRODUCTION ACTIVITIES </w:t>
      </w:r>
      <w:r>
        <w:rPr>
          <w:rFonts w:ascii="Arial" w:cs="Arial" w:eastAsia="Arial" w:hAnsi="Arial"/>
          <w:sz w:val="15"/>
          <w:szCs w:val="15"/>
          <w:color w:val="FFFFFF"/>
        </w:rPr>
        <w:t>[A] (AT DECEMBER 31, 2014)</w:t>
      </w:r>
    </w:p>
    <w:p>
      <w:pPr>
        <w:jc w:val="right"/>
        <w:ind w:right="1540"/>
        <w:spacing w:after="0" w:line="218" w:lineRule="auto"/>
        <w:rPr>
          <w:sz w:val="20"/>
          <w:szCs w:val="20"/>
          <w:color w:val="auto"/>
        </w:rPr>
      </w:pPr>
      <w:r>
        <w:rPr>
          <w:rFonts w:ascii="Arial" w:cs="Arial" w:eastAsia="Arial" w:hAnsi="Arial"/>
          <w:sz w:val="13"/>
          <w:szCs w:val="13"/>
          <w:color w:val="auto"/>
        </w:rPr>
        <w:t>Development</w:t>
      </w:r>
    </w:p>
    <w:p>
      <w:pPr>
        <w:jc w:val="right"/>
        <w:ind w:right="1540"/>
        <w:spacing w:after="0" w:line="217" w:lineRule="auto"/>
        <w:rPr>
          <w:sz w:val="20"/>
          <w:szCs w:val="20"/>
          <w:color w:val="auto"/>
        </w:rPr>
      </w:pPr>
      <w:r>
        <w:rPr>
          <w:rFonts w:ascii="Arial" w:cs="Arial" w:eastAsia="Arial" w:hAnsi="Arial"/>
          <w:sz w:val="13"/>
          <w:szCs w:val="13"/>
          <w:color w:val="auto"/>
        </w:rPr>
        <w:t>and/or</w:t>
      </w:r>
    </w:p>
    <w:p>
      <w:pPr>
        <w:ind w:left="2000"/>
        <w:spacing w:after="0"/>
        <w:tabs>
          <w:tab w:leader="none" w:pos="3340" w:val="left"/>
          <w:tab w:leader="none" w:pos="4420" w:val="left"/>
        </w:tabs>
        <w:rPr>
          <w:sz w:val="20"/>
          <w:szCs w:val="20"/>
          <w:color w:val="auto"/>
        </w:rPr>
      </w:pPr>
      <w:r>
        <w:rPr>
          <w:rFonts w:ascii="Arial" w:cs="Arial" w:eastAsia="Arial" w:hAnsi="Arial"/>
          <w:sz w:val="13"/>
          <w:szCs w:val="13"/>
          <w:color w:val="auto"/>
        </w:rPr>
        <w:t>Exploration</w:t>
      </w:r>
      <w:r>
        <w:rPr>
          <w:sz w:val="20"/>
          <w:szCs w:val="20"/>
          <w:color w:val="auto"/>
        </w:rPr>
        <w:tab/>
      </w:r>
      <w:r>
        <w:rPr>
          <w:rFonts w:ascii="Arial" w:cs="Arial" w:eastAsia="Arial" w:hAnsi="Arial"/>
          <w:sz w:val="13"/>
          <w:szCs w:val="13"/>
          <w:color w:val="auto"/>
        </w:rPr>
        <w:t>production</w:t>
      </w:r>
      <w:r>
        <w:rPr>
          <w:sz w:val="20"/>
          <w:szCs w:val="20"/>
          <w:color w:val="auto"/>
        </w:rPr>
        <w:tab/>
      </w:r>
      <w:r>
        <w:rPr>
          <w:rFonts w:ascii="Arial" w:cs="Arial" w:eastAsia="Arial" w:hAnsi="Arial"/>
          <w:sz w:val="12"/>
          <w:szCs w:val="12"/>
          <w:color w:val="auto"/>
        </w:rPr>
        <w:t>Shell operator[B]</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1520" w:type="dxa"/>
            <w:vAlign w:val="bottom"/>
            <w:tcBorders>
              <w:top w:val="single" w:sz="8" w:color="auto"/>
            </w:tcBorders>
          </w:tcPr>
          <w:p>
            <w:pPr>
              <w:spacing w:after="0"/>
              <w:rPr>
                <w:sz w:val="20"/>
                <w:szCs w:val="20"/>
                <w:color w:val="auto"/>
              </w:rPr>
            </w:pPr>
            <w:r>
              <w:rPr>
                <w:rFonts w:ascii="Arial" w:cs="Arial" w:eastAsia="Arial" w:hAnsi="Arial"/>
                <w:sz w:val="14"/>
                <w:szCs w:val="14"/>
                <w:color w:val="auto"/>
              </w:rPr>
              <w:t>Europe</w:t>
            </w:r>
          </w:p>
        </w:tc>
        <w:tc>
          <w:tcPr>
            <w:tcW w:w="1020" w:type="dxa"/>
            <w:vAlign w:val="bottom"/>
            <w:tcBorders>
              <w:top w:val="single" w:sz="8" w:color="auto"/>
            </w:tcBorders>
          </w:tcPr>
          <w:p>
            <w:pPr>
              <w:spacing w:after="0"/>
              <w:rPr>
                <w:sz w:val="13"/>
                <w:szCs w:val="13"/>
                <w:color w:val="auto"/>
              </w:rPr>
            </w:pPr>
          </w:p>
        </w:tc>
        <w:tc>
          <w:tcPr>
            <w:tcW w:w="1140" w:type="dxa"/>
            <w:vAlign w:val="bottom"/>
            <w:tcBorders>
              <w:top w:val="single" w:sz="8" w:color="auto"/>
            </w:tcBorders>
          </w:tcPr>
          <w:p>
            <w:pPr>
              <w:spacing w:after="0"/>
              <w:rPr>
                <w:sz w:val="13"/>
                <w:szCs w:val="13"/>
                <w:color w:val="auto"/>
              </w:rPr>
            </w:pPr>
          </w:p>
        </w:tc>
        <w:tc>
          <w:tcPr>
            <w:tcW w:w="1800" w:type="dxa"/>
            <w:vAlign w:val="bottom"/>
            <w:tcBorders>
              <w:top w:val="single" w:sz="8" w:color="auto"/>
            </w:tcBorders>
          </w:tcPr>
          <w:p>
            <w:pPr>
              <w:spacing w:after="0"/>
              <w:rPr>
                <w:sz w:val="13"/>
                <w:szCs w:val="13"/>
                <w:color w:val="auto"/>
              </w:rPr>
            </w:pPr>
          </w:p>
        </w:tc>
      </w:tr>
      <w:tr>
        <w:trPr>
          <w:trHeight w:val="162"/>
        </w:trPr>
        <w:tc>
          <w:tcPr>
            <w:tcW w:w="1520" w:type="dxa"/>
            <w:vAlign w:val="bottom"/>
          </w:tcPr>
          <w:p>
            <w:pPr>
              <w:ind w:left="140"/>
              <w:spacing w:after="0"/>
              <w:rPr>
                <w:sz w:val="20"/>
                <w:szCs w:val="20"/>
                <w:color w:val="auto"/>
              </w:rPr>
            </w:pPr>
            <w:r>
              <w:rPr>
                <w:rFonts w:ascii="Arial" w:cs="Arial" w:eastAsia="Arial" w:hAnsi="Arial"/>
                <w:sz w:val="14"/>
                <w:szCs w:val="14"/>
                <w:color w:val="auto"/>
              </w:rPr>
              <w:t>Albania</w:t>
            </w:r>
          </w:p>
        </w:tc>
        <w:tc>
          <w:tcPr>
            <w:tcW w:w="1020" w:type="dxa"/>
            <w:vAlign w:val="bottom"/>
          </w:tcPr>
          <w:p>
            <w:pPr>
              <w:ind w:left="420"/>
              <w:spacing w:after="0"/>
              <w:rPr>
                <w:sz w:val="20"/>
                <w:szCs w:val="20"/>
                <w:color w:val="auto"/>
              </w:rPr>
            </w:pPr>
            <w:r>
              <w:rPr>
                <w:rFonts w:ascii="Arial" w:cs="Arial" w:eastAsia="Arial" w:hAnsi="Arial"/>
                <w:sz w:val="10"/>
                <w:szCs w:val="10"/>
                <w:color w:val="auto"/>
              </w:rPr>
              <w:t>n</w:t>
            </w:r>
          </w:p>
        </w:tc>
        <w:tc>
          <w:tcPr>
            <w:tcW w:w="1140" w:type="dxa"/>
            <w:vAlign w:val="bottom"/>
          </w:tcPr>
          <w:p>
            <w:pPr>
              <w:spacing w:after="0"/>
              <w:rPr>
                <w:sz w:val="14"/>
                <w:szCs w:val="14"/>
                <w:color w:val="auto"/>
              </w:rPr>
            </w:pPr>
          </w:p>
        </w:tc>
        <w:tc>
          <w:tcPr>
            <w:tcW w:w="1800" w:type="dxa"/>
            <w:vAlign w:val="bottom"/>
          </w:tcPr>
          <w:p>
            <w:pPr>
              <w:spacing w:after="0"/>
              <w:rPr>
                <w:sz w:val="14"/>
                <w:szCs w:val="14"/>
                <w:color w:val="auto"/>
              </w:rPr>
            </w:pPr>
          </w:p>
        </w:tc>
      </w:tr>
      <w:tr>
        <w:trPr>
          <w:trHeight w:val="162"/>
        </w:trPr>
        <w:tc>
          <w:tcPr>
            <w:tcW w:w="1520" w:type="dxa"/>
            <w:vAlign w:val="bottom"/>
          </w:tcPr>
          <w:p>
            <w:pPr>
              <w:ind w:left="140"/>
              <w:spacing w:after="0"/>
              <w:rPr>
                <w:sz w:val="20"/>
                <w:szCs w:val="20"/>
                <w:color w:val="auto"/>
              </w:rPr>
            </w:pPr>
            <w:r>
              <w:rPr>
                <w:rFonts w:ascii="Arial" w:cs="Arial" w:eastAsia="Arial" w:hAnsi="Arial"/>
                <w:sz w:val="14"/>
                <w:szCs w:val="14"/>
                <w:color w:val="auto"/>
              </w:rPr>
              <w:t>Denmark</w:t>
            </w:r>
          </w:p>
        </w:tc>
        <w:tc>
          <w:tcPr>
            <w:tcW w:w="1020" w:type="dxa"/>
            <w:vAlign w:val="bottom"/>
          </w:tcPr>
          <w:p>
            <w:pPr>
              <w:ind w:left="420"/>
              <w:spacing w:after="0"/>
              <w:rPr>
                <w:sz w:val="20"/>
                <w:szCs w:val="20"/>
                <w:color w:val="auto"/>
              </w:rPr>
            </w:pPr>
            <w:r>
              <w:rPr>
                <w:rFonts w:ascii="Arial" w:cs="Arial" w:eastAsia="Arial" w:hAnsi="Arial"/>
                <w:sz w:val="10"/>
                <w:szCs w:val="10"/>
                <w:color w:val="auto"/>
              </w:rPr>
              <w:t>n</w:t>
            </w:r>
          </w:p>
        </w:tc>
        <w:tc>
          <w:tcPr>
            <w:tcW w:w="1140" w:type="dxa"/>
            <w:vAlign w:val="bottom"/>
          </w:tcPr>
          <w:p>
            <w:pPr>
              <w:ind w:left="540"/>
              <w:spacing w:after="0"/>
              <w:rPr>
                <w:sz w:val="20"/>
                <w:szCs w:val="20"/>
                <w:color w:val="auto"/>
              </w:rPr>
            </w:pPr>
            <w:r>
              <w:rPr>
                <w:rFonts w:ascii="Arial" w:cs="Arial" w:eastAsia="Arial" w:hAnsi="Arial"/>
                <w:sz w:val="10"/>
                <w:szCs w:val="10"/>
                <w:color w:val="auto"/>
              </w:rPr>
              <w:t>n</w:t>
            </w:r>
          </w:p>
        </w:tc>
        <w:tc>
          <w:tcPr>
            <w:tcW w:w="1800" w:type="dxa"/>
            <w:vAlign w:val="bottom"/>
          </w:tcPr>
          <w:p>
            <w:pPr>
              <w:spacing w:after="0"/>
              <w:rPr>
                <w:sz w:val="14"/>
                <w:szCs w:val="14"/>
                <w:color w:val="auto"/>
              </w:rPr>
            </w:pPr>
          </w:p>
        </w:tc>
      </w:tr>
      <w:tr>
        <w:trPr>
          <w:trHeight w:val="162"/>
        </w:trPr>
        <w:tc>
          <w:tcPr>
            <w:tcW w:w="1520" w:type="dxa"/>
            <w:vAlign w:val="bottom"/>
          </w:tcPr>
          <w:p>
            <w:pPr>
              <w:ind w:left="140"/>
              <w:spacing w:after="0"/>
              <w:rPr>
                <w:sz w:val="20"/>
                <w:szCs w:val="20"/>
                <w:color w:val="auto"/>
              </w:rPr>
            </w:pPr>
            <w:r>
              <w:rPr>
                <w:rFonts w:ascii="Arial" w:cs="Arial" w:eastAsia="Arial" w:hAnsi="Arial"/>
                <w:sz w:val="14"/>
                <w:szCs w:val="14"/>
                <w:color w:val="auto"/>
              </w:rPr>
              <w:t>Germany</w:t>
            </w:r>
          </w:p>
        </w:tc>
        <w:tc>
          <w:tcPr>
            <w:tcW w:w="1020" w:type="dxa"/>
            <w:vAlign w:val="bottom"/>
          </w:tcPr>
          <w:p>
            <w:pPr>
              <w:ind w:left="420"/>
              <w:spacing w:after="0"/>
              <w:rPr>
                <w:sz w:val="20"/>
                <w:szCs w:val="20"/>
                <w:color w:val="auto"/>
              </w:rPr>
            </w:pPr>
            <w:r>
              <w:rPr>
                <w:rFonts w:ascii="Arial" w:cs="Arial" w:eastAsia="Arial" w:hAnsi="Arial"/>
                <w:sz w:val="10"/>
                <w:szCs w:val="10"/>
                <w:color w:val="auto"/>
              </w:rPr>
              <w:t>n</w:t>
            </w:r>
          </w:p>
        </w:tc>
        <w:tc>
          <w:tcPr>
            <w:tcW w:w="1140" w:type="dxa"/>
            <w:vAlign w:val="bottom"/>
          </w:tcPr>
          <w:p>
            <w:pPr>
              <w:ind w:left="540"/>
              <w:spacing w:after="0"/>
              <w:rPr>
                <w:sz w:val="20"/>
                <w:szCs w:val="20"/>
                <w:color w:val="auto"/>
              </w:rPr>
            </w:pPr>
            <w:r>
              <w:rPr>
                <w:rFonts w:ascii="Arial" w:cs="Arial" w:eastAsia="Arial" w:hAnsi="Arial"/>
                <w:sz w:val="10"/>
                <w:szCs w:val="10"/>
                <w:color w:val="auto"/>
              </w:rPr>
              <w:t>n</w:t>
            </w:r>
          </w:p>
        </w:tc>
        <w:tc>
          <w:tcPr>
            <w:tcW w:w="1800" w:type="dxa"/>
            <w:vAlign w:val="bottom"/>
          </w:tcPr>
          <w:p>
            <w:pPr>
              <w:spacing w:after="0"/>
              <w:rPr>
                <w:sz w:val="14"/>
                <w:szCs w:val="14"/>
                <w:color w:val="auto"/>
              </w:rPr>
            </w:pPr>
          </w:p>
        </w:tc>
      </w:tr>
      <w:tr>
        <w:trPr>
          <w:trHeight w:val="162"/>
        </w:trPr>
        <w:tc>
          <w:tcPr>
            <w:tcW w:w="1520" w:type="dxa"/>
            <w:vAlign w:val="bottom"/>
          </w:tcPr>
          <w:p>
            <w:pPr>
              <w:ind w:left="140"/>
              <w:spacing w:after="0"/>
              <w:rPr>
                <w:sz w:val="20"/>
                <w:szCs w:val="20"/>
                <w:color w:val="auto"/>
              </w:rPr>
            </w:pPr>
            <w:r>
              <w:rPr>
                <w:rFonts w:ascii="Arial" w:cs="Arial" w:eastAsia="Arial" w:hAnsi="Arial"/>
                <w:sz w:val="14"/>
                <w:szCs w:val="14"/>
                <w:color w:val="auto"/>
              </w:rPr>
              <w:t>Greenland</w:t>
            </w:r>
          </w:p>
        </w:tc>
        <w:tc>
          <w:tcPr>
            <w:tcW w:w="1020" w:type="dxa"/>
            <w:vAlign w:val="bottom"/>
          </w:tcPr>
          <w:p>
            <w:pPr>
              <w:ind w:left="420"/>
              <w:spacing w:after="0"/>
              <w:rPr>
                <w:sz w:val="20"/>
                <w:szCs w:val="20"/>
                <w:color w:val="auto"/>
              </w:rPr>
            </w:pPr>
            <w:r>
              <w:rPr>
                <w:rFonts w:ascii="Arial" w:cs="Arial" w:eastAsia="Arial" w:hAnsi="Arial"/>
                <w:sz w:val="10"/>
                <w:szCs w:val="10"/>
                <w:color w:val="auto"/>
              </w:rPr>
              <w:t>n</w:t>
            </w:r>
          </w:p>
        </w:tc>
        <w:tc>
          <w:tcPr>
            <w:tcW w:w="1140" w:type="dxa"/>
            <w:vAlign w:val="bottom"/>
          </w:tcPr>
          <w:p>
            <w:pPr>
              <w:spacing w:after="0"/>
              <w:rPr>
                <w:sz w:val="14"/>
                <w:szCs w:val="14"/>
                <w:color w:val="auto"/>
              </w:rPr>
            </w:pPr>
          </w:p>
        </w:tc>
        <w:tc>
          <w:tcPr>
            <w:tcW w:w="1800" w:type="dxa"/>
            <w:vAlign w:val="bottom"/>
          </w:tcPr>
          <w:p>
            <w:pPr>
              <w:ind w:left="560"/>
              <w:spacing w:after="0"/>
              <w:rPr>
                <w:sz w:val="20"/>
                <w:szCs w:val="20"/>
                <w:color w:val="auto"/>
              </w:rPr>
            </w:pPr>
            <w:r>
              <w:rPr>
                <w:rFonts w:ascii="Arial" w:cs="Arial" w:eastAsia="Arial" w:hAnsi="Arial"/>
                <w:sz w:val="12"/>
                <w:szCs w:val="12"/>
                <w:color w:val="auto"/>
              </w:rPr>
              <w:t>n</w:t>
            </w:r>
          </w:p>
        </w:tc>
      </w:tr>
      <w:tr>
        <w:trPr>
          <w:trHeight w:val="162"/>
        </w:trPr>
        <w:tc>
          <w:tcPr>
            <w:tcW w:w="1520" w:type="dxa"/>
            <w:vAlign w:val="bottom"/>
          </w:tcPr>
          <w:p>
            <w:pPr>
              <w:ind w:left="140"/>
              <w:spacing w:after="0"/>
              <w:rPr>
                <w:sz w:val="20"/>
                <w:szCs w:val="20"/>
                <w:color w:val="auto"/>
              </w:rPr>
            </w:pPr>
            <w:r>
              <w:rPr>
                <w:rFonts w:ascii="Arial" w:cs="Arial" w:eastAsia="Arial" w:hAnsi="Arial"/>
                <w:sz w:val="14"/>
                <w:szCs w:val="14"/>
                <w:color w:val="auto"/>
              </w:rPr>
              <w:t>Ireland</w:t>
            </w:r>
          </w:p>
        </w:tc>
        <w:tc>
          <w:tcPr>
            <w:tcW w:w="1020" w:type="dxa"/>
            <w:vAlign w:val="bottom"/>
          </w:tcPr>
          <w:p>
            <w:pPr>
              <w:spacing w:after="0"/>
              <w:rPr>
                <w:sz w:val="14"/>
                <w:szCs w:val="14"/>
                <w:color w:val="auto"/>
              </w:rPr>
            </w:pPr>
          </w:p>
        </w:tc>
        <w:tc>
          <w:tcPr>
            <w:tcW w:w="1140" w:type="dxa"/>
            <w:vAlign w:val="bottom"/>
          </w:tcPr>
          <w:p>
            <w:pPr>
              <w:ind w:left="540"/>
              <w:spacing w:after="0"/>
              <w:rPr>
                <w:sz w:val="20"/>
                <w:szCs w:val="20"/>
                <w:color w:val="auto"/>
              </w:rPr>
            </w:pPr>
            <w:r>
              <w:rPr>
                <w:rFonts w:ascii="Arial" w:cs="Arial" w:eastAsia="Arial" w:hAnsi="Arial"/>
                <w:sz w:val="10"/>
                <w:szCs w:val="10"/>
                <w:color w:val="auto"/>
              </w:rPr>
              <w:t>n</w:t>
            </w:r>
          </w:p>
        </w:tc>
        <w:tc>
          <w:tcPr>
            <w:tcW w:w="1800" w:type="dxa"/>
            <w:vAlign w:val="bottom"/>
          </w:tcPr>
          <w:p>
            <w:pPr>
              <w:ind w:left="560"/>
              <w:spacing w:after="0"/>
              <w:rPr>
                <w:sz w:val="20"/>
                <w:szCs w:val="20"/>
                <w:color w:val="auto"/>
              </w:rPr>
            </w:pPr>
            <w:r>
              <w:rPr>
                <w:rFonts w:ascii="Arial" w:cs="Arial" w:eastAsia="Arial" w:hAnsi="Arial"/>
                <w:sz w:val="10"/>
                <w:szCs w:val="10"/>
                <w:color w:val="auto"/>
              </w:rPr>
              <w:t>n</w:t>
            </w:r>
          </w:p>
        </w:tc>
      </w:tr>
      <w:tr>
        <w:trPr>
          <w:trHeight w:val="162"/>
        </w:trPr>
        <w:tc>
          <w:tcPr>
            <w:tcW w:w="1520" w:type="dxa"/>
            <w:vAlign w:val="bottom"/>
          </w:tcPr>
          <w:p>
            <w:pPr>
              <w:ind w:left="140"/>
              <w:spacing w:after="0"/>
              <w:rPr>
                <w:sz w:val="20"/>
                <w:szCs w:val="20"/>
                <w:color w:val="auto"/>
              </w:rPr>
            </w:pPr>
            <w:r>
              <w:rPr>
                <w:rFonts w:ascii="Arial" w:cs="Arial" w:eastAsia="Arial" w:hAnsi="Arial"/>
                <w:sz w:val="14"/>
                <w:szCs w:val="14"/>
                <w:color w:val="auto"/>
              </w:rPr>
              <w:t>Italy</w:t>
            </w:r>
          </w:p>
        </w:tc>
        <w:tc>
          <w:tcPr>
            <w:tcW w:w="1020" w:type="dxa"/>
            <w:vAlign w:val="bottom"/>
          </w:tcPr>
          <w:p>
            <w:pPr>
              <w:spacing w:after="0"/>
              <w:rPr>
                <w:sz w:val="14"/>
                <w:szCs w:val="14"/>
                <w:color w:val="auto"/>
              </w:rPr>
            </w:pPr>
          </w:p>
        </w:tc>
        <w:tc>
          <w:tcPr>
            <w:tcW w:w="1140" w:type="dxa"/>
            <w:vAlign w:val="bottom"/>
          </w:tcPr>
          <w:p>
            <w:pPr>
              <w:ind w:left="540"/>
              <w:spacing w:after="0"/>
              <w:rPr>
                <w:sz w:val="20"/>
                <w:szCs w:val="20"/>
                <w:color w:val="auto"/>
              </w:rPr>
            </w:pPr>
            <w:r>
              <w:rPr>
                <w:rFonts w:ascii="Arial" w:cs="Arial" w:eastAsia="Arial" w:hAnsi="Arial"/>
                <w:sz w:val="10"/>
                <w:szCs w:val="10"/>
                <w:color w:val="auto"/>
              </w:rPr>
              <w:t>n</w:t>
            </w:r>
          </w:p>
        </w:tc>
        <w:tc>
          <w:tcPr>
            <w:tcW w:w="1800" w:type="dxa"/>
            <w:vAlign w:val="bottom"/>
          </w:tcPr>
          <w:p>
            <w:pPr>
              <w:spacing w:after="0"/>
              <w:rPr>
                <w:sz w:val="14"/>
                <w:szCs w:val="14"/>
                <w:color w:val="auto"/>
              </w:rPr>
            </w:pPr>
          </w:p>
        </w:tc>
      </w:tr>
      <w:tr>
        <w:trPr>
          <w:trHeight w:val="162"/>
        </w:trPr>
        <w:tc>
          <w:tcPr>
            <w:tcW w:w="1520" w:type="dxa"/>
            <w:vAlign w:val="bottom"/>
          </w:tcPr>
          <w:p>
            <w:pPr>
              <w:ind w:left="140"/>
              <w:spacing w:after="0"/>
              <w:rPr>
                <w:sz w:val="20"/>
                <w:szCs w:val="20"/>
                <w:color w:val="auto"/>
              </w:rPr>
            </w:pPr>
            <w:r>
              <w:rPr>
                <w:rFonts w:ascii="Arial" w:cs="Arial" w:eastAsia="Arial" w:hAnsi="Arial"/>
                <w:sz w:val="14"/>
                <w:szCs w:val="14"/>
                <w:color w:val="auto"/>
              </w:rPr>
              <w:t>Netherlands</w:t>
            </w:r>
          </w:p>
        </w:tc>
        <w:tc>
          <w:tcPr>
            <w:tcW w:w="1020" w:type="dxa"/>
            <w:vAlign w:val="bottom"/>
          </w:tcPr>
          <w:p>
            <w:pPr>
              <w:ind w:left="420"/>
              <w:spacing w:after="0"/>
              <w:rPr>
                <w:sz w:val="20"/>
                <w:szCs w:val="20"/>
                <w:color w:val="auto"/>
              </w:rPr>
            </w:pPr>
            <w:r>
              <w:rPr>
                <w:rFonts w:ascii="Arial" w:cs="Arial" w:eastAsia="Arial" w:hAnsi="Arial"/>
                <w:sz w:val="10"/>
                <w:szCs w:val="10"/>
                <w:color w:val="auto"/>
              </w:rPr>
              <w:t>n</w:t>
            </w:r>
          </w:p>
        </w:tc>
        <w:tc>
          <w:tcPr>
            <w:tcW w:w="1140" w:type="dxa"/>
            <w:vAlign w:val="bottom"/>
          </w:tcPr>
          <w:p>
            <w:pPr>
              <w:ind w:left="540"/>
              <w:spacing w:after="0"/>
              <w:rPr>
                <w:sz w:val="20"/>
                <w:szCs w:val="20"/>
                <w:color w:val="auto"/>
              </w:rPr>
            </w:pPr>
            <w:r>
              <w:rPr>
                <w:rFonts w:ascii="Arial" w:cs="Arial" w:eastAsia="Arial" w:hAnsi="Arial"/>
                <w:sz w:val="10"/>
                <w:szCs w:val="10"/>
                <w:color w:val="auto"/>
              </w:rPr>
              <w:t>n</w:t>
            </w:r>
          </w:p>
        </w:tc>
        <w:tc>
          <w:tcPr>
            <w:tcW w:w="1800" w:type="dxa"/>
            <w:vAlign w:val="bottom"/>
          </w:tcPr>
          <w:p>
            <w:pPr>
              <w:ind w:left="560"/>
              <w:spacing w:after="0"/>
              <w:rPr>
                <w:sz w:val="20"/>
                <w:szCs w:val="20"/>
                <w:color w:val="auto"/>
              </w:rPr>
            </w:pPr>
            <w:r>
              <w:rPr>
                <w:rFonts w:ascii="Arial" w:cs="Arial" w:eastAsia="Arial" w:hAnsi="Arial"/>
                <w:sz w:val="10"/>
                <w:szCs w:val="10"/>
                <w:color w:val="auto"/>
              </w:rPr>
              <w:t>n</w:t>
            </w:r>
          </w:p>
        </w:tc>
      </w:tr>
      <w:tr>
        <w:trPr>
          <w:trHeight w:val="162"/>
        </w:trPr>
        <w:tc>
          <w:tcPr>
            <w:tcW w:w="1520" w:type="dxa"/>
            <w:vAlign w:val="bottom"/>
          </w:tcPr>
          <w:p>
            <w:pPr>
              <w:ind w:left="140"/>
              <w:spacing w:after="0"/>
              <w:rPr>
                <w:sz w:val="20"/>
                <w:szCs w:val="20"/>
                <w:color w:val="auto"/>
              </w:rPr>
            </w:pPr>
            <w:r>
              <w:rPr>
                <w:rFonts w:ascii="Arial" w:cs="Arial" w:eastAsia="Arial" w:hAnsi="Arial"/>
                <w:sz w:val="14"/>
                <w:szCs w:val="14"/>
                <w:color w:val="auto"/>
              </w:rPr>
              <w:t>Norway</w:t>
            </w:r>
          </w:p>
        </w:tc>
        <w:tc>
          <w:tcPr>
            <w:tcW w:w="1020" w:type="dxa"/>
            <w:vAlign w:val="bottom"/>
          </w:tcPr>
          <w:p>
            <w:pPr>
              <w:ind w:left="420"/>
              <w:spacing w:after="0"/>
              <w:rPr>
                <w:sz w:val="20"/>
                <w:szCs w:val="20"/>
                <w:color w:val="auto"/>
              </w:rPr>
            </w:pPr>
            <w:r>
              <w:rPr>
                <w:rFonts w:ascii="Arial" w:cs="Arial" w:eastAsia="Arial" w:hAnsi="Arial"/>
                <w:sz w:val="10"/>
                <w:szCs w:val="10"/>
                <w:color w:val="auto"/>
              </w:rPr>
              <w:t>n</w:t>
            </w:r>
          </w:p>
        </w:tc>
        <w:tc>
          <w:tcPr>
            <w:tcW w:w="1140" w:type="dxa"/>
            <w:vAlign w:val="bottom"/>
          </w:tcPr>
          <w:p>
            <w:pPr>
              <w:ind w:left="540"/>
              <w:spacing w:after="0"/>
              <w:rPr>
                <w:sz w:val="20"/>
                <w:szCs w:val="20"/>
                <w:color w:val="auto"/>
              </w:rPr>
            </w:pPr>
            <w:r>
              <w:rPr>
                <w:rFonts w:ascii="Arial" w:cs="Arial" w:eastAsia="Arial" w:hAnsi="Arial"/>
                <w:sz w:val="10"/>
                <w:szCs w:val="10"/>
                <w:color w:val="auto"/>
              </w:rPr>
              <w:t>n</w:t>
            </w:r>
          </w:p>
        </w:tc>
        <w:tc>
          <w:tcPr>
            <w:tcW w:w="1800" w:type="dxa"/>
            <w:vAlign w:val="bottom"/>
          </w:tcPr>
          <w:p>
            <w:pPr>
              <w:ind w:left="560"/>
              <w:spacing w:after="0"/>
              <w:rPr>
                <w:sz w:val="20"/>
                <w:szCs w:val="20"/>
                <w:color w:val="auto"/>
              </w:rPr>
            </w:pPr>
            <w:r>
              <w:rPr>
                <w:rFonts w:ascii="Arial" w:cs="Arial" w:eastAsia="Arial" w:hAnsi="Arial"/>
                <w:sz w:val="10"/>
                <w:szCs w:val="10"/>
                <w:color w:val="auto"/>
              </w:rPr>
              <w:t>n</w:t>
            </w:r>
          </w:p>
        </w:tc>
      </w:tr>
      <w:tr>
        <w:trPr>
          <w:trHeight w:val="162"/>
        </w:trPr>
        <w:tc>
          <w:tcPr>
            <w:tcW w:w="1520" w:type="dxa"/>
            <w:vAlign w:val="bottom"/>
          </w:tcPr>
          <w:p>
            <w:pPr>
              <w:ind w:left="140"/>
              <w:spacing w:after="0"/>
              <w:rPr>
                <w:sz w:val="20"/>
                <w:szCs w:val="20"/>
                <w:color w:val="auto"/>
              </w:rPr>
            </w:pPr>
            <w:r>
              <w:rPr>
                <w:rFonts w:ascii="Arial" w:cs="Arial" w:eastAsia="Arial" w:hAnsi="Arial"/>
                <w:sz w:val="14"/>
                <w:szCs w:val="14"/>
                <w:color w:val="auto"/>
              </w:rPr>
              <w:t>UK</w:t>
            </w:r>
          </w:p>
        </w:tc>
        <w:tc>
          <w:tcPr>
            <w:tcW w:w="1020" w:type="dxa"/>
            <w:vAlign w:val="bottom"/>
          </w:tcPr>
          <w:p>
            <w:pPr>
              <w:ind w:left="420"/>
              <w:spacing w:after="0"/>
              <w:rPr>
                <w:sz w:val="20"/>
                <w:szCs w:val="20"/>
                <w:color w:val="auto"/>
              </w:rPr>
            </w:pPr>
            <w:r>
              <w:rPr>
                <w:rFonts w:ascii="Arial" w:cs="Arial" w:eastAsia="Arial" w:hAnsi="Arial"/>
                <w:sz w:val="10"/>
                <w:szCs w:val="10"/>
                <w:color w:val="auto"/>
              </w:rPr>
              <w:t>n</w:t>
            </w:r>
          </w:p>
        </w:tc>
        <w:tc>
          <w:tcPr>
            <w:tcW w:w="1140" w:type="dxa"/>
            <w:vAlign w:val="bottom"/>
          </w:tcPr>
          <w:p>
            <w:pPr>
              <w:ind w:left="540"/>
              <w:spacing w:after="0"/>
              <w:rPr>
                <w:sz w:val="20"/>
                <w:szCs w:val="20"/>
                <w:color w:val="auto"/>
              </w:rPr>
            </w:pPr>
            <w:r>
              <w:rPr>
                <w:rFonts w:ascii="Arial" w:cs="Arial" w:eastAsia="Arial" w:hAnsi="Arial"/>
                <w:sz w:val="10"/>
                <w:szCs w:val="10"/>
                <w:color w:val="auto"/>
              </w:rPr>
              <w:t>n</w:t>
            </w:r>
          </w:p>
        </w:tc>
        <w:tc>
          <w:tcPr>
            <w:tcW w:w="1800" w:type="dxa"/>
            <w:vAlign w:val="bottom"/>
          </w:tcPr>
          <w:p>
            <w:pPr>
              <w:ind w:left="560"/>
              <w:spacing w:after="0"/>
              <w:rPr>
                <w:sz w:val="20"/>
                <w:szCs w:val="20"/>
                <w:color w:val="auto"/>
              </w:rPr>
            </w:pPr>
            <w:r>
              <w:rPr>
                <w:rFonts w:ascii="Arial" w:cs="Arial" w:eastAsia="Arial" w:hAnsi="Arial"/>
                <w:sz w:val="10"/>
                <w:szCs w:val="10"/>
                <w:color w:val="auto"/>
              </w:rPr>
              <w:t>n</w:t>
            </w:r>
          </w:p>
        </w:tc>
      </w:tr>
      <w:tr>
        <w:trPr>
          <w:trHeight w:val="157"/>
        </w:trPr>
        <w:tc>
          <w:tcPr>
            <w:tcW w:w="1520" w:type="dxa"/>
            <w:vAlign w:val="bottom"/>
            <w:tcBorders>
              <w:bottom w:val="single" w:sz="8" w:color="auto"/>
            </w:tcBorders>
          </w:tcPr>
          <w:p>
            <w:pPr>
              <w:ind w:left="140"/>
              <w:spacing w:after="0" w:line="157" w:lineRule="exact"/>
              <w:rPr>
                <w:sz w:val="20"/>
                <w:szCs w:val="20"/>
                <w:color w:val="auto"/>
              </w:rPr>
            </w:pPr>
            <w:r>
              <w:rPr>
                <w:rFonts w:ascii="Arial" w:cs="Arial" w:eastAsia="Arial" w:hAnsi="Arial"/>
                <w:sz w:val="14"/>
                <w:szCs w:val="14"/>
                <w:color w:val="auto"/>
              </w:rPr>
              <w:t>Ukraine</w:t>
            </w:r>
          </w:p>
        </w:tc>
        <w:tc>
          <w:tcPr>
            <w:tcW w:w="1020" w:type="dxa"/>
            <w:vAlign w:val="bottom"/>
            <w:tcBorders>
              <w:bottom w:val="single" w:sz="8" w:color="auto"/>
            </w:tcBorders>
          </w:tcPr>
          <w:p>
            <w:pPr>
              <w:ind w:left="420"/>
              <w:spacing w:after="0"/>
              <w:rPr>
                <w:sz w:val="20"/>
                <w:szCs w:val="20"/>
                <w:color w:val="auto"/>
              </w:rPr>
            </w:pPr>
            <w:r>
              <w:rPr>
                <w:rFonts w:ascii="Arial" w:cs="Arial" w:eastAsia="Arial" w:hAnsi="Arial"/>
                <w:sz w:val="10"/>
                <w:szCs w:val="10"/>
                <w:color w:val="auto"/>
              </w:rPr>
              <w:t>n</w:t>
            </w:r>
          </w:p>
        </w:tc>
        <w:tc>
          <w:tcPr>
            <w:tcW w:w="1140" w:type="dxa"/>
            <w:vAlign w:val="bottom"/>
            <w:tcBorders>
              <w:bottom w:val="single" w:sz="8" w:color="auto"/>
            </w:tcBorders>
          </w:tcPr>
          <w:p>
            <w:pPr>
              <w:spacing w:after="0"/>
              <w:rPr>
                <w:sz w:val="13"/>
                <w:szCs w:val="13"/>
                <w:color w:val="auto"/>
              </w:rPr>
            </w:pPr>
          </w:p>
        </w:tc>
        <w:tc>
          <w:tcPr>
            <w:tcW w:w="1800" w:type="dxa"/>
            <w:vAlign w:val="bottom"/>
            <w:tcBorders>
              <w:bottom w:val="single" w:sz="8" w:color="auto"/>
            </w:tcBorders>
          </w:tcPr>
          <w:p>
            <w:pPr>
              <w:ind w:left="560"/>
              <w:spacing w:after="0"/>
              <w:rPr>
                <w:sz w:val="20"/>
                <w:szCs w:val="20"/>
                <w:color w:val="auto"/>
              </w:rPr>
            </w:pPr>
            <w:r>
              <w:rPr>
                <w:rFonts w:ascii="Arial" w:cs="Arial" w:eastAsia="Arial" w:hAnsi="Arial"/>
                <w:sz w:val="10"/>
                <w:szCs w:val="10"/>
                <w:color w:val="auto"/>
              </w:rPr>
              <w:t>n</w:t>
            </w:r>
          </w:p>
        </w:tc>
      </w:tr>
      <w:tr>
        <w:trPr>
          <w:trHeight w:val="160"/>
        </w:trPr>
        <w:tc>
          <w:tcPr>
            <w:tcW w:w="1520" w:type="dxa"/>
            <w:vAlign w:val="bottom"/>
          </w:tcPr>
          <w:p>
            <w:pPr>
              <w:spacing w:after="0"/>
              <w:rPr>
                <w:sz w:val="20"/>
                <w:szCs w:val="20"/>
                <w:color w:val="auto"/>
              </w:rPr>
            </w:pPr>
            <w:r>
              <w:rPr>
                <w:rFonts w:ascii="Arial" w:cs="Arial" w:eastAsia="Arial" w:hAnsi="Arial"/>
                <w:sz w:val="14"/>
                <w:szCs w:val="14"/>
                <w:color w:val="auto"/>
              </w:rPr>
              <w:t>Asia [C]</w:t>
            </w:r>
          </w:p>
        </w:tc>
        <w:tc>
          <w:tcPr>
            <w:tcW w:w="10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800" w:type="dxa"/>
            <w:vAlign w:val="bottom"/>
          </w:tcPr>
          <w:p>
            <w:pPr>
              <w:spacing w:after="0"/>
              <w:rPr>
                <w:sz w:val="13"/>
                <w:szCs w:val="13"/>
                <w:color w:val="auto"/>
              </w:rPr>
            </w:pPr>
          </w:p>
        </w:tc>
      </w:tr>
      <w:tr>
        <w:trPr>
          <w:trHeight w:val="162"/>
        </w:trPr>
        <w:tc>
          <w:tcPr>
            <w:tcW w:w="1520" w:type="dxa"/>
            <w:vAlign w:val="bottom"/>
          </w:tcPr>
          <w:p>
            <w:pPr>
              <w:ind w:left="140"/>
              <w:spacing w:after="0"/>
              <w:rPr>
                <w:sz w:val="20"/>
                <w:szCs w:val="20"/>
                <w:color w:val="auto"/>
              </w:rPr>
            </w:pPr>
            <w:r>
              <w:rPr>
                <w:rFonts w:ascii="Arial" w:cs="Arial" w:eastAsia="Arial" w:hAnsi="Arial"/>
                <w:sz w:val="14"/>
                <w:szCs w:val="14"/>
                <w:color w:val="auto"/>
              </w:rPr>
              <w:t>Brunei</w:t>
            </w:r>
          </w:p>
        </w:tc>
        <w:tc>
          <w:tcPr>
            <w:tcW w:w="1020" w:type="dxa"/>
            <w:vAlign w:val="bottom"/>
          </w:tcPr>
          <w:p>
            <w:pPr>
              <w:ind w:left="420"/>
              <w:spacing w:after="0"/>
              <w:rPr>
                <w:sz w:val="20"/>
                <w:szCs w:val="20"/>
                <w:color w:val="auto"/>
              </w:rPr>
            </w:pPr>
            <w:r>
              <w:rPr>
                <w:rFonts w:ascii="Arial" w:cs="Arial" w:eastAsia="Arial" w:hAnsi="Arial"/>
                <w:sz w:val="10"/>
                <w:szCs w:val="10"/>
                <w:color w:val="auto"/>
              </w:rPr>
              <w:t>n</w:t>
            </w:r>
          </w:p>
        </w:tc>
        <w:tc>
          <w:tcPr>
            <w:tcW w:w="1140" w:type="dxa"/>
            <w:vAlign w:val="bottom"/>
          </w:tcPr>
          <w:p>
            <w:pPr>
              <w:ind w:left="540"/>
              <w:spacing w:after="0"/>
              <w:rPr>
                <w:sz w:val="20"/>
                <w:szCs w:val="20"/>
                <w:color w:val="auto"/>
              </w:rPr>
            </w:pPr>
            <w:r>
              <w:rPr>
                <w:rFonts w:ascii="Arial" w:cs="Arial" w:eastAsia="Arial" w:hAnsi="Arial"/>
                <w:sz w:val="10"/>
                <w:szCs w:val="10"/>
                <w:color w:val="auto"/>
              </w:rPr>
              <w:t>n</w:t>
            </w:r>
          </w:p>
        </w:tc>
        <w:tc>
          <w:tcPr>
            <w:tcW w:w="1800" w:type="dxa"/>
            <w:vAlign w:val="bottom"/>
          </w:tcPr>
          <w:p>
            <w:pPr>
              <w:ind w:left="560"/>
              <w:spacing w:after="0"/>
              <w:rPr>
                <w:sz w:val="20"/>
                <w:szCs w:val="20"/>
                <w:color w:val="auto"/>
              </w:rPr>
            </w:pPr>
            <w:r>
              <w:rPr>
                <w:rFonts w:ascii="Arial" w:cs="Arial" w:eastAsia="Arial" w:hAnsi="Arial"/>
                <w:sz w:val="10"/>
                <w:szCs w:val="10"/>
                <w:color w:val="auto"/>
              </w:rPr>
              <w:t>n</w:t>
            </w:r>
          </w:p>
        </w:tc>
      </w:tr>
      <w:tr>
        <w:trPr>
          <w:trHeight w:val="162"/>
        </w:trPr>
        <w:tc>
          <w:tcPr>
            <w:tcW w:w="1520" w:type="dxa"/>
            <w:vAlign w:val="bottom"/>
          </w:tcPr>
          <w:p>
            <w:pPr>
              <w:ind w:left="140"/>
              <w:spacing w:after="0"/>
              <w:rPr>
                <w:sz w:val="20"/>
                <w:szCs w:val="20"/>
                <w:color w:val="auto"/>
              </w:rPr>
            </w:pPr>
            <w:r>
              <w:rPr>
                <w:rFonts w:ascii="Arial" w:cs="Arial" w:eastAsia="Arial" w:hAnsi="Arial"/>
                <w:sz w:val="14"/>
                <w:szCs w:val="14"/>
                <w:color w:val="auto"/>
              </w:rPr>
              <w:t>China</w:t>
            </w:r>
          </w:p>
        </w:tc>
        <w:tc>
          <w:tcPr>
            <w:tcW w:w="1020" w:type="dxa"/>
            <w:vAlign w:val="bottom"/>
          </w:tcPr>
          <w:p>
            <w:pPr>
              <w:ind w:left="420"/>
              <w:spacing w:after="0"/>
              <w:rPr>
                <w:sz w:val="20"/>
                <w:szCs w:val="20"/>
                <w:color w:val="auto"/>
              </w:rPr>
            </w:pPr>
            <w:r>
              <w:rPr>
                <w:rFonts w:ascii="Arial" w:cs="Arial" w:eastAsia="Arial" w:hAnsi="Arial"/>
                <w:sz w:val="10"/>
                <w:szCs w:val="10"/>
                <w:color w:val="auto"/>
              </w:rPr>
              <w:t>n</w:t>
            </w:r>
          </w:p>
        </w:tc>
        <w:tc>
          <w:tcPr>
            <w:tcW w:w="1140" w:type="dxa"/>
            <w:vAlign w:val="bottom"/>
          </w:tcPr>
          <w:p>
            <w:pPr>
              <w:ind w:left="540"/>
              <w:spacing w:after="0"/>
              <w:rPr>
                <w:sz w:val="20"/>
                <w:szCs w:val="20"/>
                <w:color w:val="auto"/>
              </w:rPr>
            </w:pPr>
            <w:r>
              <w:rPr>
                <w:rFonts w:ascii="Arial" w:cs="Arial" w:eastAsia="Arial" w:hAnsi="Arial"/>
                <w:sz w:val="10"/>
                <w:szCs w:val="10"/>
                <w:color w:val="auto"/>
              </w:rPr>
              <w:t>n</w:t>
            </w:r>
          </w:p>
        </w:tc>
        <w:tc>
          <w:tcPr>
            <w:tcW w:w="1800" w:type="dxa"/>
            <w:vAlign w:val="bottom"/>
          </w:tcPr>
          <w:p>
            <w:pPr>
              <w:ind w:left="560"/>
              <w:spacing w:after="0"/>
              <w:rPr>
                <w:sz w:val="20"/>
                <w:szCs w:val="20"/>
                <w:color w:val="auto"/>
              </w:rPr>
            </w:pPr>
            <w:r>
              <w:rPr>
                <w:rFonts w:ascii="Arial" w:cs="Arial" w:eastAsia="Arial" w:hAnsi="Arial"/>
                <w:sz w:val="10"/>
                <w:szCs w:val="10"/>
                <w:color w:val="auto"/>
              </w:rPr>
              <w:t>n</w:t>
            </w:r>
          </w:p>
        </w:tc>
      </w:tr>
      <w:tr>
        <w:trPr>
          <w:trHeight w:val="162"/>
        </w:trPr>
        <w:tc>
          <w:tcPr>
            <w:tcW w:w="1520" w:type="dxa"/>
            <w:vAlign w:val="bottom"/>
          </w:tcPr>
          <w:p>
            <w:pPr>
              <w:ind w:left="140"/>
              <w:spacing w:after="0"/>
              <w:rPr>
                <w:sz w:val="20"/>
                <w:szCs w:val="20"/>
                <w:color w:val="auto"/>
              </w:rPr>
            </w:pPr>
            <w:r>
              <w:rPr>
                <w:rFonts w:ascii="Arial" w:cs="Arial" w:eastAsia="Arial" w:hAnsi="Arial"/>
                <w:sz w:val="14"/>
                <w:szCs w:val="14"/>
                <w:color w:val="auto"/>
              </w:rPr>
              <w:t>Indonesia</w:t>
            </w:r>
          </w:p>
        </w:tc>
        <w:tc>
          <w:tcPr>
            <w:tcW w:w="1020" w:type="dxa"/>
            <w:vAlign w:val="bottom"/>
          </w:tcPr>
          <w:p>
            <w:pPr>
              <w:ind w:left="420"/>
              <w:spacing w:after="0"/>
              <w:rPr>
                <w:sz w:val="20"/>
                <w:szCs w:val="20"/>
                <w:color w:val="auto"/>
              </w:rPr>
            </w:pPr>
            <w:r>
              <w:rPr>
                <w:rFonts w:ascii="Arial" w:cs="Arial" w:eastAsia="Arial" w:hAnsi="Arial"/>
                <w:sz w:val="10"/>
                <w:szCs w:val="10"/>
                <w:color w:val="auto"/>
              </w:rPr>
              <w:t>n</w:t>
            </w:r>
          </w:p>
        </w:tc>
        <w:tc>
          <w:tcPr>
            <w:tcW w:w="1140" w:type="dxa"/>
            <w:vAlign w:val="bottom"/>
          </w:tcPr>
          <w:p>
            <w:pPr>
              <w:ind w:left="540"/>
              <w:spacing w:after="0"/>
              <w:rPr>
                <w:sz w:val="20"/>
                <w:szCs w:val="20"/>
                <w:color w:val="auto"/>
              </w:rPr>
            </w:pPr>
            <w:r>
              <w:rPr>
                <w:rFonts w:ascii="Arial" w:cs="Arial" w:eastAsia="Arial" w:hAnsi="Arial"/>
                <w:sz w:val="10"/>
                <w:szCs w:val="10"/>
                <w:color w:val="auto"/>
              </w:rPr>
              <w:t>n</w:t>
            </w:r>
          </w:p>
        </w:tc>
        <w:tc>
          <w:tcPr>
            <w:tcW w:w="1800" w:type="dxa"/>
            <w:vAlign w:val="bottom"/>
          </w:tcPr>
          <w:p>
            <w:pPr>
              <w:spacing w:after="0"/>
              <w:rPr>
                <w:sz w:val="14"/>
                <w:szCs w:val="14"/>
                <w:color w:val="auto"/>
              </w:rPr>
            </w:pPr>
          </w:p>
        </w:tc>
      </w:tr>
      <w:tr>
        <w:trPr>
          <w:trHeight w:val="162"/>
        </w:trPr>
        <w:tc>
          <w:tcPr>
            <w:tcW w:w="1520" w:type="dxa"/>
            <w:vAlign w:val="bottom"/>
          </w:tcPr>
          <w:p>
            <w:pPr>
              <w:ind w:left="140"/>
              <w:spacing w:after="0"/>
              <w:rPr>
                <w:sz w:val="20"/>
                <w:szCs w:val="20"/>
                <w:color w:val="auto"/>
              </w:rPr>
            </w:pPr>
            <w:r>
              <w:rPr>
                <w:rFonts w:ascii="Arial" w:cs="Arial" w:eastAsia="Arial" w:hAnsi="Arial"/>
                <w:sz w:val="14"/>
                <w:szCs w:val="14"/>
                <w:color w:val="auto"/>
              </w:rPr>
              <w:t>Iraq</w:t>
            </w:r>
          </w:p>
        </w:tc>
        <w:tc>
          <w:tcPr>
            <w:tcW w:w="1020" w:type="dxa"/>
            <w:vAlign w:val="bottom"/>
          </w:tcPr>
          <w:p>
            <w:pPr>
              <w:spacing w:after="0"/>
              <w:rPr>
                <w:sz w:val="14"/>
                <w:szCs w:val="14"/>
                <w:color w:val="auto"/>
              </w:rPr>
            </w:pPr>
          </w:p>
        </w:tc>
        <w:tc>
          <w:tcPr>
            <w:tcW w:w="1140" w:type="dxa"/>
            <w:vAlign w:val="bottom"/>
          </w:tcPr>
          <w:p>
            <w:pPr>
              <w:ind w:left="540"/>
              <w:spacing w:after="0"/>
              <w:rPr>
                <w:sz w:val="20"/>
                <w:szCs w:val="20"/>
                <w:color w:val="auto"/>
              </w:rPr>
            </w:pPr>
            <w:r>
              <w:rPr>
                <w:rFonts w:ascii="Arial" w:cs="Arial" w:eastAsia="Arial" w:hAnsi="Arial"/>
                <w:sz w:val="10"/>
                <w:szCs w:val="10"/>
                <w:color w:val="auto"/>
              </w:rPr>
              <w:t>n</w:t>
            </w:r>
          </w:p>
        </w:tc>
        <w:tc>
          <w:tcPr>
            <w:tcW w:w="1800" w:type="dxa"/>
            <w:vAlign w:val="bottom"/>
          </w:tcPr>
          <w:p>
            <w:pPr>
              <w:ind w:left="560"/>
              <w:spacing w:after="0"/>
              <w:rPr>
                <w:sz w:val="20"/>
                <w:szCs w:val="20"/>
                <w:color w:val="auto"/>
              </w:rPr>
            </w:pPr>
            <w:r>
              <w:rPr>
                <w:rFonts w:ascii="Arial" w:cs="Arial" w:eastAsia="Arial" w:hAnsi="Arial"/>
                <w:sz w:val="10"/>
                <w:szCs w:val="10"/>
                <w:color w:val="auto"/>
              </w:rPr>
              <w:t>n</w:t>
            </w:r>
          </w:p>
        </w:tc>
      </w:tr>
      <w:tr>
        <w:trPr>
          <w:trHeight w:val="162"/>
        </w:trPr>
        <w:tc>
          <w:tcPr>
            <w:tcW w:w="1520" w:type="dxa"/>
            <w:vAlign w:val="bottom"/>
          </w:tcPr>
          <w:p>
            <w:pPr>
              <w:ind w:left="140"/>
              <w:spacing w:after="0"/>
              <w:rPr>
                <w:sz w:val="20"/>
                <w:szCs w:val="20"/>
                <w:color w:val="auto"/>
              </w:rPr>
            </w:pPr>
            <w:r>
              <w:rPr>
                <w:rFonts w:ascii="Arial" w:cs="Arial" w:eastAsia="Arial" w:hAnsi="Arial"/>
                <w:sz w:val="14"/>
                <w:szCs w:val="14"/>
                <w:color w:val="auto"/>
              </w:rPr>
              <w:t>Jordan</w:t>
            </w:r>
          </w:p>
        </w:tc>
        <w:tc>
          <w:tcPr>
            <w:tcW w:w="1020" w:type="dxa"/>
            <w:vAlign w:val="bottom"/>
          </w:tcPr>
          <w:p>
            <w:pPr>
              <w:ind w:left="420"/>
              <w:spacing w:after="0"/>
              <w:rPr>
                <w:sz w:val="20"/>
                <w:szCs w:val="20"/>
                <w:color w:val="auto"/>
              </w:rPr>
            </w:pPr>
            <w:r>
              <w:rPr>
                <w:rFonts w:ascii="Arial" w:cs="Arial" w:eastAsia="Arial" w:hAnsi="Arial"/>
                <w:sz w:val="10"/>
                <w:szCs w:val="10"/>
                <w:color w:val="auto"/>
              </w:rPr>
              <w:t>n</w:t>
            </w:r>
          </w:p>
        </w:tc>
        <w:tc>
          <w:tcPr>
            <w:tcW w:w="1140" w:type="dxa"/>
            <w:vAlign w:val="bottom"/>
          </w:tcPr>
          <w:p>
            <w:pPr>
              <w:spacing w:after="0"/>
              <w:rPr>
                <w:sz w:val="14"/>
                <w:szCs w:val="14"/>
                <w:color w:val="auto"/>
              </w:rPr>
            </w:pPr>
          </w:p>
        </w:tc>
        <w:tc>
          <w:tcPr>
            <w:tcW w:w="1800" w:type="dxa"/>
            <w:vAlign w:val="bottom"/>
          </w:tcPr>
          <w:p>
            <w:pPr>
              <w:ind w:left="560"/>
              <w:spacing w:after="0"/>
              <w:rPr>
                <w:sz w:val="20"/>
                <w:szCs w:val="20"/>
                <w:color w:val="auto"/>
              </w:rPr>
            </w:pPr>
            <w:r>
              <w:rPr>
                <w:rFonts w:ascii="Arial" w:cs="Arial" w:eastAsia="Arial" w:hAnsi="Arial"/>
                <w:sz w:val="10"/>
                <w:szCs w:val="10"/>
                <w:color w:val="auto"/>
              </w:rPr>
              <w:t>n</w:t>
            </w:r>
          </w:p>
        </w:tc>
      </w:tr>
      <w:tr>
        <w:trPr>
          <w:trHeight w:val="162"/>
        </w:trPr>
        <w:tc>
          <w:tcPr>
            <w:tcW w:w="1520" w:type="dxa"/>
            <w:vAlign w:val="bottom"/>
          </w:tcPr>
          <w:p>
            <w:pPr>
              <w:ind w:left="140"/>
              <w:spacing w:after="0"/>
              <w:rPr>
                <w:sz w:val="20"/>
                <w:szCs w:val="20"/>
                <w:color w:val="auto"/>
              </w:rPr>
            </w:pPr>
            <w:r>
              <w:rPr>
                <w:rFonts w:ascii="Arial" w:cs="Arial" w:eastAsia="Arial" w:hAnsi="Arial"/>
                <w:sz w:val="14"/>
                <w:szCs w:val="14"/>
                <w:color w:val="auto"/>
              </w:rPr>
              <w:t>Kazakhstan</w:t>
            </w:r>
          </w:p>
        </w:tc>
        <w:tc>
          <w:tcPr>
            <w:tcW w:w="1020" w:type="dxa"/>
            <w:vAlign w:val="bottom"/>
          </w:tcPr>
          <w:p>
            <w:pPr>
              <w:ind w:left="420"/>
              <w:spacing w:after="0"/>
              <w:rPr>
                <w:sz w:val="20"/>
                <w:szCs w:val="20"/>
                <w:color w:val="auto"/>
              </w:rPr>
            </w:pPr>
            <w:r>
              <w:rPr>
                <w:rFonts w:ascii="Arial" w:cs="Arial" w:eastAsia="Arial" w:hAnsi="Arial"/>
                <w:sz w:val="10"/>
                <w:szCs w:val="10"/>
                <w:color w:val="auto"/>
              </w:rPr>
              <w:t>n</w:t>
            </w:r>
          </w:p>
        </w:tc>
        <w:tc>
          <w:tcPr>
            <w:tcW w:w="1140" w:type="dxa"/>
            <w:vAlign w:val="bottom"/>
          </w:tcPr>
          <w:p>
            <w:pPr>
              <w:ind w:left="540"/>
              <w:spacing w:after="0"/>
              <w:rPr>
                <w:sz w:val="20"/>
                <w:szCs w:val="20"/>
                <w:color w:val="auto"/>
              </w:rPr>
            </w:pPr>
            <w:r>
              <w:rPr>
                <w:rFonts w:ascii="Arial" w:cs="Arial" w:eastAsia="Arial" w:hAnsi="Arial"/>
                <w:sz w:val="10"/>
                <w:szCs w:val="10"/>
                <w:color w:val="auto"/>
              </w:rPr>
              <w:t>n</w:t>
            </w:r>
          </w:p>
        </w:tc>
        <w:tc>
          <w:tcPr>
            <w:tcW w:w="1800" w:type="dxa"/>
            <w:vAlign w:val="bottom"/>
          </w:tcPr>
          <w:p>
            <w:pPr>
              <w:spacing w:after="0"/>
              <w:rPr>
                <w:sz w:val="14"/>
                <w:szCs w:val="14"/>
                <w:color w:val="auto"/>
              </w:rPr>
            </w:pPr>
          </w:p>
        </w:tc>
      </w:tr>
      <w:tr>
        <w:trPr>
          <w:trHeight w:val="162"/>
        </w:trPr>
        <w:tc>
          <w:tcPr>
            <w:tcW w:w="1520" w:type="dxa"/>
            <w:vAlign w:val="bottom"/>
          </w:tcPr>
          <w:p>
            <w:pPr>
              <w:ind w:left="140"/>
              <w:spacing w:after="0"/>
              <w:rPr>
                <w:sz w:val="20"/>
                <w:szCs w:val="20"/>
                <w:color w:val="auto"/>
              </w:rPr>
            </w:pPr>
            <w:r>
              <w:rPr>
                <w:rFonts w:ascii="Arial" w:cs="Arial" w:eastAsia="Arial" w:hAnsi="Arial"/>
                <w:sz w:val="14"/>
                <w:szCs w:val="14"/>
                <w:color w:val="auto"/>
              </w:rPr>
              <w:t>Malaysia</w:t>
            </w:r>
          </w:p>
        </w:tc>
        <w:tc>
          <w:tcPr>
            <w:tcW w:w="1020" w:type="dxa"/>
            <w:vAlign w:val="bottom"/>
          </w:tcPr>
          <w:p>
            <w:pPr>
              <w:ind w:left="420"/>
              <w:spacing w:after="0"/>
              <w:rPr>
                <w:sz w:val="20"/>
                <w:szCs w:val="20"/>
                <w:color w:val="auto"/>
              </w:rPr>
            </w:pPr>
            <w:r>
              <w:rPr>
                <w:rFonts w:ascii="Arial" w:cs="Arial" w:eastAsia="Arial" w:hAnsi="Arial"/>
                <w:sz w:val="10"/>
                <w:szCs w:val="10"/>
                <w:color w:val="auto"/>
              </w:rPr>
              <w:t>n</w:t>
            </w:r>
          </w:p>
        </w:tc>
        <w:tc>
          <w:tcPr>
            <w:tcW w:w="1140" w:type="dxa"/>
            <w:vAlign w:val="bottom"/>
          </w:tcPr>
          <w:p>
            <w:pPr>
              <w:ind w:left="540"/>
              <w:spacing w:after="0"/>
              <w:rPr>
                <w:sz w:val="20"/>
                <w:szCs w:val="20"/>
                <w:color w:val="auto"/>
              </w:rPr>
            </w:pPr>
            <w:r>
              <w:rPr>
                <w:rFonts w:ascii="Arial" w:cs="Arial" w:eastAsia="Arial" w:hAnsi="Arial"/>
                <w:sz w:val="10"/>
                <w:szCs w:val="10"/>
                <w:color w:val="auto"/>
              </w:rPr>
              <w:t>n</w:t>
            </w:r>
          </w:p>
        </w:tc>
        <w:tc>
          <w:tcPr>
            <w:tcW w:w="1800" w:type="dxa"/>
            <w:vAlign w:val="bottom"/>
          </w:tcPr>
          <w:p>
            <w:pPr>
              <w:ind w:left="560"/>
              <w:spacing w:after="0"/>
              <w:rPr>
                <w:sz w:val="20"/>
                <w:szCs w:val="20"/>
                <w:color w:val="auto"/>
              </w:rPr>
            </w:pPr>
            <w:r>
              <w:rPr>
                <w:rFonts w:ascii="Arial" w:cs="Arial" w:eastAsia="Arial" w:hAnsi="Arial"/>
                <w:sz w:val="10"/>
                <w:szCs w:val="10"/>
                <w:color w:val="auto"/>
              </w:rPr>
              <w:t>n</w:t>
            </w:r>
          </w:p>
        </w:tc>
      </w:tr>
      <w:tr>
        <w:trPr>
          <w:trHeight w:val="162"/>
        </w:trPr>
        <w:tc>
          <w:tcPr>
            <w:tcW w:w="1520" w:type="dxa"/>
            <w:vAlign w:val="bottom"/>
          </w:tcPr>
          <w:p>
            <w:pPr>
              <w:ind w:left="140"/>
              <w:spacing w:after="0"/>
              <w:rPr>
                <w:sz w:val="20"/>
                <w:szCs w:val="20"/>
                <w:color w:val="auto"/>
              </w:rPr>
            </w:pPr>
            <w:r>
              <w:rPr>
                <w:rFonts w:ascii="Arial" w:cs="Arial" w:eastAsia="Arial" w:hAnsi="Arial"/>
                <w:sz w:val="14"/>
                <w:szCs w:val="14"/>
                <w:color w:val="auto"/>
              </w:rPr>
              <w:t>Oman</w:t>
            </w:r>
          </w:p>
        </w:tc>
        <w:tc>
          <w:tcPr>
            <w:tcW w:w="1020" w:type="dxa"/>
            <w:vAlign w:val="bottom"/>
          </w:tcPr>
          <w:p>
            <w:pPr>
              <w:ind w:left="420"/>
              <w:spacing w:after="0"/>
              <w:rPr>
                <w:sz w:val="20"/>
                <w:szCs w:val="20"/>
                <w:color w:val="auto"/>
              </w:rPr>
            </w:pPr>
            <w:r>
              <w:rPr>
                <w:rFonts w:ascii="Arial" w:cs="Arial" w:eastAsia="Arial" w:hAnsi="Arial"/>
                <w:sz w:val="10"/>
                <w:szCs w:val="10"/>
                <w:color w:val="auto"/>
              </w:rPr>
              <w:t>n</w:t>
            </w:r>
          </w:p>
        </w:tc>
        <w:tc>
          <w:tcPr>
            <w:tcW w:w="1140" w:type="dxa"/>
            <w:vAlign w:val="bottom"/>
          </w:tcPr>
          <w:p>
            <w:pPr>
              <w:ind w:left="540"/>
              <w:spacing w:after="0"/>
              <w:rPr>
                <w:sz w:val="20"/>
                <w:szCs w:val="20"/>
                <w:color w:val="auto"/>
              </w:rPr>
            </w:pPr>
            <w:r>
              <w:rPr>
                <w:rFonts w:ascii="Arial" w:cs="Arial" w:eastAsia="Arial" w:hAnsi="Arial"/>
                <w:sz w:val="10"/>
                <w:szCs w:val="10"/>
                <w:color w:val="auto"/>
              </w:rPr>
              <w:t>n</w:t>
            </w:r>
          </w:p>
        </w:tc>
        <w:tc>
          <w:tcPr>
            <w:tcW w:w="1800" w:type="dxa"/>
            <w:vAlign w:val="bottom"/>
          </w:tcPr>
          <w:p>
            <w:pPr>
              <w:spacing w:after="0"/>
              <w:rPr>
                <w:sz w:val="14"/>
                <w:szCs w:val="14"/>
                <w:color w:val="auto"/>
              </w:rPr>
            </w:pPr>
          </w:p>
        </w:tc>
      </w:tr>
      <w:tr>
        <w:trPr>
          <w:trHeight w:val="162"/>
        </w:trPr>
        <w:tc>
          <w:tcPr>
            <w:tcW w:w="1520" w:type="dxa"/>
            <w:vAlign w:val="bottom"/>
          </w:tcPr>
          <w:p>
            <w:pPr>
              <w:ind w:left="140"/>
              <w:spacing w:after="0"/>
              <w:rPr>
                <w:sz w:val="20"/>
                <w:szCs w:val="20"/>
                <w:color w:val="auto"/>
              </w:rPr>
            </w:pPr>
            <w:r>
              <w:rPr>
                <w:rFonts w:ascii="Arial" w:cs="Arial" w:eastAsia="Arial" w:hAnsi="Arial"/>
                <w:sz w:val="14"/>
                <w:szCs w:val="14"/>
                <w:color w:val="auto"/>
              </w:rPr>
              <w:t>Philippines</w:t>
            </w:r>
          </w:p>
        </w:tc>
        <w:tc>
          <w:tcPr>
            <w:tcW w:w="1020" w:type="dxa"/>
            <w:vAlign w:val="bottom"/>
          </w:tcPr>
          <w:p>
            <w:pPr>
              <w:ind w:left="420"/>
              <w:spacing w:after="0"/>
              <w:rPr>
                <w:sz w:val="20"/>
                <w:szCs w:val="20"/>
                <w:color w:val="auto"/>
              </w:rPr>
            </w:pPr>
            <w:r>
              <w:rPr>
                <w:rFonts w:ascii="Arial" w:cs="Arial" w:eastAsia="Arial" w:hAnsi="Arial"/>
                <w:sz w:val="10"/>
                <w:szCs w:val="10"/>
                <w:color w:val="auto"/>
              </w:rPr>
              <w:t>n</w:t>
            </w:r>
          </w:p>
        </w:tc>
        <w:tc>
          <w:tcPr>
            <w:tcW w:w="1140" w:type="dxa"/>
            <w:vAlign w:val="bottom"/>
          </w:tcPr>
          <w:p>
            <w:pPr>
              <w:ind w:left="540"/>
              <w:spacing w:after="0"/>
              <w:rPr>
                <w:sz w:val="20"/>
                <w:szCs w:val="20"/>
                <w:color w:val="auto"/>
              </w:rPr>
            </w:pPr>
            <w:r>
              <w:rPr>
                <w:rFonts w:ascii="Arial" w:cs="Arial" w:eastAsia="Arial" w:hAnsi="Arial"/>
                <w:sz w:val="10"/>
                <w:szCs w:val="10"/>
                <w:color w:val="auto"/>
              </w:rPr>
              <w:t>n</w:t>
            </w:r>
          </w:p>
        </w:tc>
        <w:tc>
          <w:tcPr>
            <w:tcW w:w="1800" w:type="dxa"/>
            <w:vAlign w:val="bottom"/>
          </w:tcPr>
          <w:p>
            <w:pPr>
              <w:ind w:left="560"/>
              <w:spacing w:after="0"/>
              <w:rPr>
                <w:sz w:val="20"/>
                <w:szCs w:val="20"/>
                <w:color w:val="auto"/>
              </w:rPr>
            </w:pPr>
            <w:r>
              <w:rPr>
                <w:rFonts w:ascii="Arial" w:cs="Arial" w:eastAsia="Arial" w:hAnsi="Arial"/>
                <w:sz w:val="10"/>
                <w:szCs w:val="10"/>
                <w:color w:val="auto"/>
              </w:rPr>
              <w:t>n</w:t>
            </w:r>
          </w:p>
        </w:tc>
      </w:tr>
      <w:tr>
        <w:trPr>
          <w:trHeight w:val="162"/>
        </w:trPr>
        <w:tc>
          <w:tcPr>
            <w:tcW w:w="1520" w:type="dxa"/>
            <w:vAlign w:val="bottom"/>
          </w:tcPr>
          <w:p>
            <w:pPr>
              <w:ind w:left="140"/>
              <w:spacing w:after="0"/>
              <w:rPr>
                <w:sz w:val="20"/>
                <w:szCs w:val="20"/>
                <w:color w:val="auto"/>
              </w:rPr>
            </w:pPr>
            <w:r>
              <w:rPr>
                <w:rFonts w:ascii="Arial" w:cs="Arial" w:eastAsia="Arial" w:hAnsi="Arial"/>
                <w:sz w:val="14"/>
                <w:szCs w:val="14"/>
                <w:color w:val="auto"/>
              </w:rPr>
              <w:t>Qatar</w:t>
            </w:r>
          </w:p>
        </w:tc>
        <w:tc>
          <w:tcPr>
            <w:tcW w:w="1020" w:type="dxa"/>
            <w:vAlign w:val="bottom"/>
          </w:tcPr>
          <w:p>
            <w:pPr>
              <w:ind w:left="420"/>
              <w:spacing w:after="0"/>
              <w:rPr>
                <w:sz w:val="20"/>
                <w:szCs w:val="20"/>
                <w:color w:val="auto"/>
              </w:rPr>
            </w:pPr>
            <w:r>
              <w:rPr>
                <w:rFonts w:ascii="Arial" w:cs="Arial" w:eastAsia="Arial" w:hAnsi="Arial"/>
                <w:sz w:val="10"/>
                <w:szCs w:val="10"/>
                <w:color w:val="auto"/>
              </w:rPr>
              <w:t>n</w:t>
            </w:r>
          </w:p>
        </w:tc>
        <w:tc>
          <w:tcPr>
            <w:tcW w:w="1140" w:type="dxa"/>
            <w:vAlign w:val="bottom"/>
          </w:tcPr>
          <w:p>
            <w:pPr>
              <w:ind w:left="540"/>
              <w:spacing w:after="0"/>
              <w:rPr>
                <w:sz w:val="20"/>
                <w:szCs w:val="20"/>
                <w:color w:val="auto"/>
              </w:rPr>
            </w:pPr>
            <w:r>
              <w:rPr>
                <w:rFonts w:ascii="Arial" w:cs="Arial" w:eastAsia="Arial" w:hAnsi="Arial"/>
                <w:sz w:val="10"/>
                <w:szCs w:val="10"/>
                <w:color w:val="auto"/>
              </w:rPr>
              <w:t>n</w:t>
            </w:r>
          </w:p>
        </w:tc>
        <w:tc>
          <w:tcPr>
            <w:tcW w:w="1800" w:type="dxa"/>
            <w:vAlign w:val="bottom"/>
          </w:tcPr>
          <w:p>
            <w:pPr>
              <w:ind w:left="560"/>
              <w:spacing w:after="0"/>
              <w:rPr>
                <w:sz w:val="20"/>
                <w:szCs w:val="20"/>
                <w:color w:val="auto"/>
              </w:rPr>
            </w:pPr>
            <w:r>
              <w:rPr>
                <w:rFonts w:ascii="Arial" w:cs="Arial" w:eastAsia="Arial" w:hAnsi="Arial"/>
                <w:sz w:val="10"/>
                <w:szCs w:val="10"/>
                <w:color w:val="auto"/>
              </w:rPr>
              <w:t>n</w:t>
            </w:r>
          </w:p>
        </w:tc>
      </w:tr>
      <w:tr>
        <w:trPr>
          <w:trHeight w:val="162"/>
        </w:trPr>
        <w:tc>
          <w:tcPr>
            <w:tcW w:w="1520" w:type="dxa"/>
            <w:vAlign w:val="bottom"/>
          </w:tcPr>
          <w:p>
            <w:pPr>
              <w:ind w:left="140"/>
              <w:spacing w:after="0"/>
              <w:rPr>
                <w:sz w:val="20"/>
                <w:szCs w:val="20"/>
                <w:color w:val="auto"/>
              </w:rPr>
            </w:pPr>
            <w:r>
              <w:rPr>
                <w:rFonts w:ascii="Arial" w:cs="Arial" w:eastAsia="Arial" w:hAnsi="Arial"/>
                <w:sz w:val="14"/>
                <w:szCs w:val="14"/>
                <w:color w:val="auto"/>
              </w:rPr>
              <w:t>Russia</w:t>
            </w:r>
          </w:p>
        </w:tc>
        <w:tc>
          <w:tcPr>
            <w:tcW w:w="1020" w:type="dxa"/>
            <w:vAlign w:val="bottom"/>
          </w:tcPr>
          <w:p>
            <w:pPr>
              <w:ind w:left="420"/>
              <w:spacing w:after="0"/>
              <w:rPr>
                <w:sz w:val="20"/>
                <w:szCs w:val="20"/>
                <w:color w:val="auto"/>
              </w:rPr>
            </w:pPr>
            <w:r>
              <w:rPr>
                <w:rFonts w:ascii="Arial" w:cs="Arial" w:eastAsia="Arial" w:hAnsi="Arial"/>
                <w:sz w:val="10"/>
                <w:szCs w:val="10"/>
                <w:color w:val="auto"/>
              </w:rPr>
              <w:t>n</w:t>
            </w:r>
          </w:p>
        </w:tc>
        <w:tc>
          <w:tcPr>
            <w:tcW w:w="1140" w:type="dxa"/>
            <w:vAlign w:val="bottom"/>
          </w:tcPr>
          <w:p>
            <w:pPr>
              <w:ind w:left="540"/>
              <w:spacing w:after="0"/>
              <w:rPr>
                <w:sz w:val="20"/>
                <w:szCs w:val="20"/>
                <w:color w:val="auto"/>
              </w:rPr>
            </w:pPr>
            <w:r>
              <w:rPr>
                <w:rFonts w:ascii="Arial" w:cs="Arial" w:eastAsia="Arial" w:hAnsi="Arial"/>
                <w:sz w:val="10"/>
                <w:szCs w:val="10"/>
                <w:color w:val="auto"/>
              </w:rPr>
              <w:t>n</w:t>
            </w:r>
          </w:p>
        </w:tc>
        <w:tc>
          <w:tcPr>
            <w:tcW w:w="1800" w:type="dxa"/>
            <w:vAlign w:val="bottom"/>
          </w:tcPr>
          <w:p>
            <w:pPr>
              <w:ind w:left="560"/>
              <w:spacing w:after="0"/>
              <w:rPr>
                <w:sz w:val="20"/>
                <w:szCs w:val="20"/>
                <w:color w:val="auto"/>
              </w:rPr>
            </w:pPr>
            <w:r>
              <w:rPr>
                <w:rFonts w:ascii="Arial" w:cs="Arial" w:eastAsia="Arial" w:hAnsi="Arial"/>
                <w:sz w:val="10"/>
                <w:szCs w:val="10"/>
                <w:color w:val="auto"/>
              </w:rPr>
              <w:t>n</w:t>
            </w:r>
          </w:p>
        </w:tc>
      </w:tr>
      <w:tr>
        <w:trPr>
          <w:trHeight w:val="162"/>
        </w:trPr>
        <w:tc>
          <w:tcPr>
            <w:tcW w:w="1520" w:type="dxa"/>
            <w:vAlign w:val="bottom"/>
          </w:tcPr>
          <w:p>
            <w:pPr>
              <w:ind w:left="140"/>
              <w:spacing w:after="0"/>
              <w:rPr>
                <w:sz w:val="20"/>
                <w:szCs w:val="20"/>
                <w:color w:val="auto"/>
              </w:rPr>
            </w:pPr>
            <w:r>
              <w:rPr>
                <w:rFonts w:ascii="Arial" w:cs="Arial" w:eastAsia="Arial" w:hAnsi="Arial"/>
                <w:sz w:val="14"/>
                <w:szCs w:val="14"/>
                <w:color w:val="auto"/>
              </w:rPr>
              <w:t>Saudi Arabia</w:t>
            </w:r>
          </w:p>
        </w:tc>
        <w:tc>
          <w:tcPr>
            <w:tcW w:w="1020" w:type="dxa"/>
            <w:vAlign w:val="bottom"/>
          </w:tcPr>
          <w:p>
            <w:pPr>
              <w:ind w:left="420"/>
              <w:spacing w:after="0"/>
              <w:rPr>
                <w:sz w:val="20"/>
                <w:szCs w:val="20"/>
                <w:color w:val="auto"/>
              </w:rPr>
            </w:pPr>
            <w:r>
              <w:rPr>
                <w:rFonts w:ascii="Arial" w:cs="Arial" w:eastAsia="Arial" w:hAnsi="Arial"/>
                <w:sz w:val="10"/>
                <w:szCs w:val="10"/>
                <w:color w:val="auto"/>
              </w:rPr>
              <w:t>n</w:t>
            </w:r>
          </w:p>
        </w:tc>
        <w:tc>
          <w:tcPr>
            <w:tcW w:w="1140" w:type="dxa"/>
            <w:vAlign w:val="bottom"/>
          </w:tcPr>
          <w:p>
            <w:pPr>
              <w:spacing w:after="0"/>
              <w:rPr>
                <w:sz w:val="14"/>
                <w:szCs w:val="14"/>
                <w:color w:val="auto"/>
              </w:rPr>
            </w:pPr>
          </w:p>
        </w:tc>
        <w:tc>
          <w:tcPr>
            <w:tcW w:w="1800" w:type="dxa"/>
            <w:vAlign w:val="bottom"/>
          </w:tcPr>
          <w:p>
            <w:pPr>
              <w:spacing w:after="0"/>
              <w:rPr>
                <w:sz w:val="14"/>
                <w:szCs w:val="14"/>
                <w:color w:val="auto"/>
              </w:rPr>
            </w:pPr>
          </w:p>
        </w:tc>
      </w:tr>
      <w:tr>
        <w:trPr>
          <w:trHeight w:val="157"/>
        </w:trPr>
        <w:tc>
          <w:tcPr>
            <w:tcW w:w="1520" w:type="dxa"/>
            <w:vAlign w:val="bottom"/>
            <w:tcBorders>
              <w:bottom w:val="single" w:sz="8" w:color="auto"/>
            </w:tcBorders>
          </w:tcPr>
          <w:p>
            <w:pPr>
              <w:ind w:left="140"/>
              <w:spacing w:after="0" w:line="157" w:lineRule="exact"/>
              <w:rPr>
                <w:sz w:val="20"/>
                <w:szCs w:val="20"/>
                <w:color w:val="auto"/>
              </w:rPr>
            </w:pPr>
            <w:r>
              <w:rPr>
                <w:rFonts w:ascii="Arial" w:cs="Arial" w:eastAsia="Arial" w:hAnsi="Arial"/>
                <w:sz w:val="14"/>
                <w:szCs w:val="14"/>
                <w:color w:val="auto"/>
              </w:rPr>
              <w:t>Turkey</w:t>
            </w:r>
          </w:p>
        </w:tc>
        <w:tc>
          <w:tcPr>
            <w:tcW w:w="1020" w:type="dxa"/>
            <w:vAlign w:val="bottom"/>
            <w:tcBorders>
              <w:bottom w:val="single" w:sz="8" w:color="auto"/>
            </w:tcBorders>
          </w:tcPr>
          <w:p>
            <w:pPr>
              <w:ind w:left="420"/>
              <w:spacing w:after="0"/>
              <w:rPr>
                <w:sz w:val="20"/>
                <w:szCs w:val="20"/>
                <w:color w:val="auto"/>
              </w:rPr>
            </w:pPr>
            <w:r>
              <w:rPr>
                <w:rFonts w:ascii="Arial" w:cs="Arial" w:eastAsia="Arial" w:hAnsi="Arial"/>
                <w:sz w:val="10"/>
                <w:szCs w:val="10"/>
                <w:color w:val="auto"/>
              </w:rPr>
              <w:t>n</w:t>
            </w:r>
          </w:p>
        </w:tc>
        <w:tc>
          <w:tcPr>
            <w:tcW w:w="1140" w:type="dxa"/>
            <w:vAlign w:val="bottom"/>
            <w:tcBorders>
              <w:bottom w:val="single" w:sz="8" w:color="auto"/>
            </w:tcBorders>
          </w:tcPr>
          <w:p>
            <w:pPr>
              <w:spacing w:after="0"/>
              <w:rPr>
                <w:sz w:val="13"/>
                <w:szCs w:val="13"/>
                <w:color w:val="auto"/>
              </w:rPr>
            </w:pPr>
          </w:p>
        </w:tc>
        <w:tc>
          <w:tcPr>
            <w:tcW w:w="1800" w:type="dxa"/>
            <w:vAlign w:val="bottom"/>
            <w:tcBorders>
              <w:bottom w:val="single" w:sz="8" w:color="auto"/>
            </w:tcBorders>
          </w:tcPr>
          <w:p>
            <w:pPr>
              <w:ind w:left="560"/>
              <w:spacing w:after="0"/>
              <w:rPr>
                <w:sz w:val="20"/>
                <w:szCs w:val="20"/>
                <w:color w:val="auto"/>
              </w:rPr>
            </w:pPr>
            <w:r>
              <w:rPr>
                <w:rFonts w:ascii="Arial" w:cs="Arial" w:eastAsia="Arial" w:hAnsi="Arial"/>
                <w:sz w:val="10"/>
                <w:szCs w:val="10"/>
                <w:color w:val="auto"/>
              </w:rPr>
              <w:t>n</w:t>
            </w:r>
          </w:p>
        </w:tc>
      </w:tr>
      <w:tr>
        <w:trPr>
          <w:trHeight w:val="160"/>
        </w:trPr>
        <w:tc>
          <w:tcPr>
            <w:tcW w:w="1520" w:type="dxa"/>
            <w:vAlign w:val="bottom"/>
          </w:tcPr>
          <w:p>
            <w:pPr>
              <w:spacing w:after="0"/>
              <w:rPr>
                <w:sz w:val="20"/>
                <w:szCs w:val="20"/>
                <w:color w:val="auto"/>
              </w:rPr>
            </w:pPr>
            <w:r>
              <w:rPr>
                <w:rFonts w:ascii="Arial" w:cs="Arial" w:eastAsia="Arial" w:hAnsi="Arial"/>
                <w:sz w:val="14"/>
                <w:szCs w:val="14"/>
                <w:color w:val="auto"/>
              </w:rPr>
              <w:t>Oceania</w:t>
            </w:r>
          </w:p>
        </w:tc>
        <w:tc>
          <w:tcPr>
            <w:tcW w:w="10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800" w:type="dxa"/>
            <w:vAlign w:val="bottom"/>
          </w:tcPr>
          <w:p>
            <w:pPr>
              <w:spacing w:after="0"/>
              <w:rPr>
                <w:sz w:val="13"/>
                <w:szCs w:val="13"/>
                <w:color w:val="auto"/>
              </w:rPr>
            </w:pPr>
          </w:p>
        </w:tc>
      </w:tr>
      <w:tr>
        <w:trPr>
          <w:trHeight w:val="162"/>
        </w:trPr>
        <w:tc>
          <w:tcPr>
            <w:tcW w:w="1520" w:type="dxa"/>
            <w:vAlign w:val="bottom"/>
          </w:tcPr>
          <w:p>
            <w:pPr>
              <w:ind w:left="140"/>
              <w:spacing w:after="0"/>
              <w:rPr>
                <w:sz w:val="20"/>
                <w:szCs w:val="20"/>
                <w:color w:val="auto"/>
              </w:rPr>
            </w:pPr>
            <w:r>
              <w:rPr>
                <w:rFonts w:ascii="Arial" w:cs="Arial" w:eastAsia="Arial" w:hAnsi="Arial"/>
                <w:sz w:val="14"/>
                <w:szCs w:val="14"/>
                <w:color w:val="auto"/>
              </w:rPr>
              <w:t>Australia</w:t>
            </w:r>
          </w:p>
        </w:tc>
        <w:tc>
          <w:tcPr>
            <w:tcW w:w="1020" w:type="dxa"/>
            <w:vAlign w:val="bottom"/>
          </w:tcPr>
          <w:p>
            <w:pPr>
              <w:ind w:left="420"/>
              <w:spacing w:after="0"/>
              <w:rPr>
                <w:sz w:val="20"/>
                <w:szCs w:val="20"/>
                <w:color w:val="auto"/>
              </w:rPr>
            </w:pPr>
            <w:r>
              <w:rPr>
                <w:rFonts w:ascii="Arial" w:cs="Arial" w:eastAsia="Arial" w:hAnsi="Arial"/>
                <w:sz w:val="10"/>
                <w:szCs w:val="10"/>
                <w:color w:val="auto"/>
              </w:rPr>
              <w:t>n</w:t>
            </w:r>
          </w:p>
        </w:tc>
        <w:tc>
          <w:tcPr>
            <w:tcW w:w="1140" w:type="dxa"/>
            <w:vAlign w:val="bottom"/>
          </w:tcPr>
          <w:p>
            <w:pPr>
              <w:ind w:left="540"/>
              <w:spacing w:after="0"/>
              <w:rPr>
                <w:sz w:val="20"/>
                <w:szCs w:val="20"/>
                <w:color w:val="auto"/>
              </w:rPr>
            </w:pPr>
            <w:r>
              <w:rPr>
                <w:rFonts w:ascii="Arial" w:cs="Arial" w:eastAsia="Arial" w:hAnsi="Arial"/>
                <w:sz w:val="10"/>
                <w:szCs w:val="10"/>
                <w:color w:val="auto"/>
              </w:rPr>
              <w:t>n</w:t>
            </w:r>
          </w:p>
        </w:tc>
        <w:tc>
          <w:tcPr>
            <w:tcW w:w="1800" w:type="dxa"/>
            <w:vAlign w:val="bottom"/>
          </w:tcPr>
          <w:p>
            <w:pPr>
              <w:ind w:left="560"/>
              <w:spacing w:after="0"/>
              <w:rPr>
                <w:sz w:val="20"/>
                <w:szCs w:val="20"/>
                <w:color w:val="auto"/>
              </w:rPr>
            </w:pPr>
            <w:r>
              <w:rPr>
                <w:rFonts w:ascii="Arial" w:cs="Arial" w:eastAsia="Arial" w:hAnsi="Arial"/>
                <w:sz w:val="10"/>
                <w:szCs w:val="10"/>
                <w:color w:val="auto"/>
              </w:rPr>
              <w:t>n</w:t>
            </w:r>
          </w:p>
        </w:tc>
      </w:tr>
      <w:tr>
        <w:trPr>
          <w:trHeight w:val="157"/>
        </w:trPr>
        <w:tc>
          <w:tcPr>
            <w:tcW w:w="1520" w:type="dxa"/>
            <w:vAlign w:val="bottom"/>
            <w:tcBorders>
              <w:bottom w:val="single" w:sz="8" w:color="auto"/>
            </w:tcBorders>
          </w:tcPr>
          <w:p>
            <w:pPr>
              <w:ind w:left="140"/>
              <w:spacing w:after="0" w:line="157" w:lineRule="exact"/>
              <w:rPr>
                <w:sz w:val="20"/>
                <w:szCs w:val="20"/>
                <w:color w:val="auto"/>
              </w:rPr>
            </w:pPr>
            <w:r>
              <w:rPr>
                <w:rFonts w:ascii="Arial" w:cs="Arial" w:eastAsia="Arial" w:hAnsi="Arial"/>
                <w:sz w:val="14"/>
                <w:szCs w:val="14"/>
                <w:color w:val="auto"/>
              </w:rPr>
              <w:t>New Zealand</w:t>
            </w:r>
          </w:p>
        </w:tc>
        <w:tc>
          <w:tcPr>
            <w:tcW w:w="1020" w:type="dxa"/>
            <w:vAlign w:val="bottom"/>
            <w:tcBorders>
              <w:bottom w:val="single" w:sz="8" w:color="auto"/>
            </w:tcBorders>
          </w:tcPr>
          <w:p>
            <w:pPr>
              <w:ind w:left="420"/>
              <w:spacing w:after="0"/>
              <w:rPr>
                <w:sz w:val="20"/>
                <w:szCs w:val="20"/>
                <w:color w:val="auto"/>
              </w:rPr>
            </w:pPr>
            <w:r>
              <w:rPr>
                <w:rFonts w:ascii="Arial" w:cs="Arial" w:eastAsia="Arial" w:hAnsi="Arial"/>
                <w:sz w:val="10"/>
                <w:szCs w:val="10"/>
                <w:color w:val="auto"/>
              </w:rPr>
              <w:t>n</w:t>
            </w:r>
          </w:p>
        </w:tc>
        <w:tc>
          <w:tcPr>
            <w:tcW w:w="1140" w:type="dxa"/>
            <w:vAlign w:val="bottom"/>
            <w:tcBorders>
              <w:bottom w:val="single" w:sz="8" w:color="auto"/>
            </w:tcBorders>
          </w:tcPr>
          <w:p>
            <w:pPr>
              <w:ind w:left="540"/>
              <w:spacing w:after="0"/>
              <w:rPr>
                <w:sz w:val="20"/>
                <w:szCs w:val="20"/>
                <w:color w:val="auto"/>
              </w:rPr>
            </w:pPr>
            <w:r>
              <w:rPr>
                <w:rFonts w:ascii="Arial" w:cs="Arial" w:eastAsia="Arial" w:hAnsi="Arial"/>
                <w:sz w:val="10"/>
                <w:szCs w:val="10"/>
                <w:color w:val="auto"/>
              </w:rPr>
              <w:t>n</w:t>
            </w:r>
          </w:p>
        </w:tc>
        <w:tc>
          <w:tcPr>
            <w:tcW w:w="1800" w:type="dxa"/>
            <w:vAlign w:val="bottom"/>
            <w:tcBorders>
              <w:bottom w:val="single" w:sz="8" w:color="auto"/>
            </w:tcBorders>
          </w:tcPr>
          <w:p>
            <w:pPr>
              <w:ind w:left="560"/>
              <w:spacing w:after="0"/>
              <w:rPr>
                <w:sz w:val="20"/>
                <w:szCs w:val="20"/>
                <w:color w:val="auto"/>
              </w:rPr>
            </w:pPr>
            <w:r>
              <w:rPr>
                <w:rFonts w:ascii="Arial" w:cs="Arial" w:eastAsia="Arial" w:hAnsi="Arial"/>
                <w:sz w:val="10"/>
                <w:szCs w:val="10"/>
                <w:color w:val="auto"/>
              </w:rPr>
              <w:t>n</w:t>
            </w:r>
          </w:p>
        </w:tc>
      </w:tr>
      <w:tr>
        <w:trPr>
          <w:trHeight w:val="160"/>
        </w:trPr>
        <w:tc>
          <w:tcPr>
            <w:tcW w:w="1520" w:type="dxa"/>
            <w:vAlign w:val="bottom"/>
          </w:tcPr>
          <w:p>
            <w:pPr>
              <w:spacing w:after="0"/>
              <w:rPr>
                <w:sz w:val="20"/>
                <w:szCs w:val="20"/>
                <w:color w:val="auto"/>
              </w:rPr>
            </w:pPr>
            <w:r>
              <w:rPr>
                <w:rFonts w:ascii="Arial" w:cs="Arial" w:eastAsia="Arial" w:hAnsi="Arial"/>
                <w:sz w:val="14"/>
                <w:szCs w:val="14"/>
                <w:color w:val="auto"/>
              </w:rPr>
              <w:t>Africa</w:t>
            </w:r>
          </w:p>
        </w:tc>
        <w:tc>
          <w:tcPr>
            <w:tcW w:w="10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800" w:type="dxa"/>
            <w:vAlign w:val="bottom"/>
          </w:tcPr>
          <w:p>
            <w:pPr>
              <w:spacing w:after="0"/>
              <w:rPr>
                <w:sz w:val="13"/>
                <w:szCs w:val="13"/>
                <w:color w:val="auto"/>
              </w:rPr>
            </w:pPr>
          </w:p>
        </w:tc>
      </w:tr>
      <w:tr>
        <w:trPr>
          <w:trHeight w:val="162"/>
        </w:trPr>
        <w:tc>
          <w:tcPr>
            <w:tcW w:w="1520" w:type="dxa"/>
            <w:vAlign w:val="bottom"/>
          </w:tcPr>
          <w:p>
            <w:pPr>
              <w:ind w:left="140"/>
              <w:spacing w:after="0"/>
              <w:rPr>
                <w:sz w:val="20"/>
                <w:szCs w:val="20"/>
                <w:color w:val="auto"/>
              </w:rPr>
            </w:pPr>
            <w:r>
              <w:rPr>
                <w:rFonts w:ascii="Arial" w:cs="Arial" w:eastAsia="Arial" w:hAnsi="Arial"/>
                <w:sz w:val="14"/>
                <w:szCs w:val="14"/>
                <w:color w:val="auto"/>
              </w:rPr>
              <w:t>Benin</w:t>
            </w:r>
          </w:p>
        </w:tc>
        <w:tc>
          <w:tcPr>
            <w:tcW w:w="1020" w:type="dxa"/>
            <w:vAlign w:val="bottom"/>
          </w:tcPr>
          <w:p>
            <w:pPr>
              <w:ind w:left="420"/>
              <w:spacing w:after="0"/>
              <w:rPr>
                <w:sz w:val="20"/>
                <w:szCs w:val="20"/>
                <w:color w:val="auto"/>
              </w:rPr>
            </w:pPr>
            <w:r>
              <w:rPr>
                <w:rFonts w:ascii="Arial" w:cs="Arial" w:eastAsia="Arial" w:hAnsi="Arial"/>
                <w:sz w:val="10"/>
                <w:szCs w:val="10"/>
                <w:color w:val="auto"/>
              </w:rPr>
              <w:t>n</w:t>
            </w:r>
          </w:p>
        </w:tc>
        <w:tc>
          <w:tcPr>
            <w:tcW w:w="1140" w:type="dxa"/>
            <w:vAlign w:val="bottom"/>
          </w:tcPr>
          <w:p>
            <w:pPr>
              <w:spacing w:after="0"/>
              <w:rPr>
                <w:sz w:val="14"/>
                <w:szCs w:val="14"/>
                <w:color w:val="auto"/>
              </w:rPr>
            </w:pPr>
          </w:p>
        </w:tc>
        <w:tc>
          <w:tcPr>
            <w:tcW w:w="1800" w:type="dxa"/>
            <w:vAlign w:val="bottom"/>
          </w:tcPr>
          <w:p>
            <w:pPr>
              <w:spacing w:after="0"/>
              <w:rPr>
                <w:sz w:val="14"/>
                <w:szCs w:val="14"/>
                <w:color w:val="auto"/>
              </w:rPr>
            </w:pPr>
          </w:p>
        </w:tc>
      </w:tr>
      <w:tr>
        <w:trPr>
          <w:trHeight w:val="162"/>
        </w:trPr>
        <w:tc>
          <w:tcPr>
            <w:tcW w:w="1520" w:type="dxa"/>
            <w:vAlign w:val="bottom"/>
          </w:tcPr>
          <w:p>
            <w:pPr>
              <w:ind w:left="140"/>
              <w:spacing w:after="0"/>
              <w:rPr>
                <w:sz w:val="20"/>
                <w:szCs w:val="20"/>
                <w:color w:val="auto"/>
              </w:rPr>
            </w:pPr>
            <w:r>
              <w:rPr>
                <w:rFonts w:ascii="Arial" w:cs="Arial" w:eastAsia="Arial" w:hAnsi="Arial"/>
                <w:sz w:val="14"/>
                <w:szCs w:val="14"/>
                <w:color w:val="auto"/>
              </w:rPr>
              <w:t>Egypt</w:t>
            </w:r>
          </w:p>
        </w:tc>
        <w:tc>
          <w:tcPr>
            <w:tcW w:w="1020" w:type="dxa"/>
            <w:vAlign w:val="bottom"/>
          </w:tcPr>
          <w:p>
            <w:pPr>
              <w:ind w:left="420"/>
              <w:spacing w:after="0"/>
              <w:rPr>
                <w:sz w:val="20"/>
                <w:szCs w:val="20"/>
                <w:color w:val="auto"/>
              </w:rPr>
            </w:pPr>
            <w:r>
              <w:rPr>
                <w:rFonts w:ascii="Arial" w:cs="Arial" w:eastAsia="Arial" w:hAnsi="Arial"/>
                <w:sz w:val="10"/>
                <w:szCs w:val="10"/>
                <w:color w:val="auto"/>
              </w:rPr>
              <w:t>n</w:t>
            </w:r>
          </w:p>
        </w:tc>
        <w:tc>
          <w:tcPr>
            <w:tcW w:w="1140" w:type="dxa"/>
            <w:vAlign w:val="bottom"/>
          </w:tcPr>
          <w:p>
            <w:pPr>
              <w:ind w:left="540"/>
              <w:spacing w:after="0"/>
              <w:rPr>
                <w:sz w:val="20"/>
                <w:szCs w:val="20"/>
                <w:color w:val="auto"/>
              </w:rPr>
            </w:pPr>
            <w:r>
              <w:rPr>
                <w:rFonts w:ascii="Arial" w:cs="Arial" w:eastAsia="Arial" w:hAnsi="Arial"/>
                <w:sz w:val="10"/>
                <w:szCs w:val="10"/>
                <w:color w:val="auto"/>
              </w:rPr>
              <w:t>n</w:t>
            </w:r>
          </w:p>
        </w:tc>
        <w:tc>
          <w:tcPr>
            <w:tcW w:w="1800" w:type="dxa"/>
            <w:vAlign w:val="bottom"/>
          </w:tcPr>
          <w:p>
            <w:pPr>
              <w:spacing w:after="0"/>
              <w:rPr>
                <w:sz w:val="14"/>
                <w:szCs w:val="14"/>
                <w:color w:val="auto"/>
              </w:rPr>
            </w:pPr>
          </w:p>
        </w:tc>
      </w:tr>
      <w:tr>
        <w:trPr>
          <w:trHeight w:val="162"/>
        </w:trPr>
        <w:tc>
          <w:tcPr>
            <w:tcW w:w="1520" w:type="dxa"/>
            <w:vAlign w:val="bottom"/>
          </w:tcPr>
          <w:p>
            <w:pPr>
              <w:ind w:left="140"/>
              <w:spacing w:after="0"/>
              <w:rPr>
                <w:sz w:val="20"/>
                <w:szCs w:val="20"/>
                <w:color w:val="auto"/>
              </w:rPr>
            </w:pPr>
            <w:r>
              <w:rPr>
                <w:rFonts w:ascii="Arial" w:cs="Arial" w:eastAsia="Arial" w:hAnsi="Arial"/>
                <w:sz w:val="14"/>
                <w:szCs w:val="14"/>
                <w:color w:val="auto"/>
              </w:rPr>
              <w:t>Gabon</w:t>
            </w:r>
          </w:p>
        </w:tc>
        <w:tc>
          <w:tcPr>
            <w:tcW w:w="1020" w:type="dxa"/>
            <w:vAlign w:val="bottom"/>
          </w:tcPr>
          <w:p>
            <w:pPr>
              <w:ind w:left="420"/>
              <w:spacing w:after="0"/>
              <w:rPr>
                <w:sz w:val="20"/>
                <w:szCs w:val="20"/>
                <w:color w:val="auto"/>
              </w:rPr>
            </w:pPr>
            <w:r>
              <w:rPr>
                <w:rFonts w:ascii="Arial" w:cs="Arial" w:eastAsia="Arial" w:hAnsi="Arial"/>
                <w:sz w:val="10"/>
                <w:szCs w:val="10"/>
                <w:color w:val="auto"/>
              </w:rPr>
              <w:t>n</w:t>
            </w:r>
          </w:p>
        </w:tc>
        <w:tc>
          <w:tcPr>
            <w:tcW w:w="1140" w:type="dxa"/>
            <w:vAlign w:val="bottom"/>
          </w:tcPr>
          <w:p>
            <w:pPr>
              <w:ind w:left="540"/>
              <w:spacing w:after="0"/>
              <w:rPr>
                <w:sz w:val="20"/>
                <w:szCs w:val="20"/>
                <w:color w:val="auto"/>
              </w:rPr>
            </w:pPr>
            <w:r>
              <w:rPr>
                <w:rFonts w:ascii="Arial" w:cs="Arial" w:eastAsia="Arial" w:hAnsi="Arial"/>
                <w:sz w:val="10"/>
                <w:szCs w:val="10"/>
                <w:color w:val="auto"/>
              </w:rPr>
              <w:t>n</w:t>
            </w:r>
          </w:p>
        </w:tc>
        <w:tc>
          <w:tcPr>
            <w:tcW w:w="1800" w:type="dxa"/>
            <w:vAlign w:val="bottom"/>
          </w:tcPr>
          <w:p>
            <w:pPr>
              <w:ind w:left="560"/>
              <w:spacing w:after="0"/>
              <w:rPr>
                <w:sz w:val="20"/>
                <w:szCs w:val="20"/>
                <w:color w:val="auto"/>
              </w:rPr>
            </w:pPr>
            <w:r>
              <w:rPr>
                <w:rFonts w:ascii="Arial" w:cs="Arial" w:eastAsia="Arial" w:hAnsi="Arial"/>
                <w:sz w:val="10"/>
                <w:szCs w:val="10"/>
                <w:color w:val="auto"/>
              </w:rPr>
              <w:t>n</w:t>
            </w:r>
          </w:p>
        </w:tc>
      </w:tr>
      <w:tr>
        <w:trPr>
          <w:trHeight w:val="162"/>
        </w:trPr>
        <w:tc>
          <w:tcPr>
            <w:tcW w:w="1520" w:type="dxa"/>
            <w:vAlign w:val="bottom"/>
          </w:tcPr>
          <w:p>
            <w:pPr>
              <w:ind w:left="140"/>
              <w:spacing w:after="0"/>
              <w:rPr>
                <w:sz w:val="20"/>
                <w:szCs w:val="20"/>
                <w:color w:val="auto"/>
              </w:rPr>
            </w:pPr>
            <w:r>
              <w:rPr>
                <w:rFonts w:ascii="Arial" w:cs="Arial" w:eastAsia="Arial" w:hAnsi="Arial"/>
                <w:sz w:val="14"/>
                <w:szCs w:val="14"/>
                <w:color w:val="auto"/>
              </w:rPr>
              <w:t>Namibia</w:t>
            </w:r>
          </w:p>
        </w:tc>
        <w:tc>
          <w:tcPr>
            <w:tcW w:w="1020" w:type="dxa"/>
            <w:vAlign w:val="bottom"/>
          </w:tcPr>
          <w:p>
            <w:pPr>
              <w:ind w:left="420"/>
              <w:spacing w:after="0"/>
              <w:rPr>
                <w:sz w:val="20"/>
                <w:szCs w:val="20"/>
                <w:color w:val="auto"/>
              </w:rPr>
            </w:pPr>
            <w:r>
              <w:rPr>
                <w:rFonts w:ascii="Arial" w:cs="Arial" w:eastAsia="Arial" w:hAnsi="Arial"/>
                <w:sz w:val="12"/>
                <w:szCs w:val="12"/>
                <w:color w:val="auto"/>
              </w:rPr>
              <w:t>n</w:t>
            </w:r>
          </w:p>
        </w:tc>
        <w:tc>
          <w:tcPr>
            <w:tcW w:w="1140" w:type="dxa"/>
            <w:vAlign w:val="bottom"/>
          </w:tcPr>
          <w:p>
            <w:pPr>
              <w:spacing w:after="0"/>
              <w:rPr>
                <w:sz w:val="14"/>
                <w:szCs w:val="14"/>
                <w:color w:val="auto"/>
              </w:rPr>
            </w:pPr>
          </w:p>
        </w:tc>
        <w:tc>
          <w:tcPr>
            <w:tcW w:w="1800" w:type="dxa"/>
            <w:vAlign w:val="bottom"/>
          </w:tcPr>
          <w:p>
            <w:pPr>
              <w:ind w:left="560"/>
              <w:spacing w:after="0"/>
              <w:rPr>
                <w:sz w:val="20"/>
                <w:szCs w:val="20"/>
                <w:color w:val="auto"/>
              </w:rPr>
            </w:pPr>
            <w:r>
              <w:rPr>
                <w:rFonts w:ascii="Arial" w:cs="Arial" w:eastAsia="Arial" w:hAnsi="Arial"/>
                <w:sz w:val="12"/>
                <w:szCs w:val="12"/>
                <w:color w:val="auto"/>
              </w:rPr>
              <w:t>n</w:t>
            </w:r>
          </w:p>
        </w:tc>
      </w:tr>
      <w:tr>
        <w:trPr>
          <w:trHeight w:val="162"/>
        </w:trPr>
        <w:tc>
          <w:tcPr>
            <w:tcW w:w="1520" w:type="dxa"/>
            <w:vAlign w:val="bottom"/>
          </w:tcPr>
          <w:p>
            <w:pPr>
              <w:ind w:left="140"/>
              <w:spacing w:after="0"/>
              <w:rPr>
                <w:sz w:val="20"/>
                <w:szCs w:val="20"/>
                <w:color w:val="auto"/>
              </w:rPr>
            </w:pPr>
            <w:r>
              <w:rPr>
                <w:rFonts w:ascii="Arial" w:cs="Arial" w:eastAsia="Arial" w:hAnsi="Arial"/>
                <w:sz w:val="14"/>
                <w:szCs w:val="14"/>
                <w:color w:val="auto"/>
              </w:rPr>
              <w:t>Nigeria</w:t>
            </w:r>
          </w:p>
        </w:tc>
        <w:tc>
          <w:tcPr>
            <w:tcW w:w="1020" w:type="dxa"/>
            <w:vAlign w:val="bottom"/>
          </w:tcPr>
          <w:p>
            <w:pPr>
              <w:ind w:left="420"/>
              <w:spacing w:after="0"/>
              <w:rPr>
                <w:sz w:val="20"/>
                <w:szCs w:val="20"/>
                <w:color w:val="auto"/>
              </w:rPr>
            </w:pPr>
            <w:r>
              <w:rPr>
                <w:rFonts w:ascii="Arial" w:cs="Arial" w:eastAsia="Arial" w:hAnsi="Arial"/>
                <w:sz w:val="10"/>
                <w:szCs w:val="10"/>
                <w:color w:val="auto"/>
              </w:rPr>
              <w:t>n</w:t>
            </w:r>
          </w:p>
        </w:tc>
        <w:tc>
          <w:tcPr>
            <w:tcW w:w="1140" w:type="dxa"/>
            <w:vAlign w:val="bottom"/>
          </w:tcPr>
          <w:p>
            <w:pPr>
              <w:ind w:left="540"/>
              <w:spacing w:after="0"/>
              <w:rPr>
                <w:sz w:val="20"/>
                <w:szCs w:val="20"/>
                <w:color w:val="auto"/>
              </w:rPr>
            </w:pPr>
            <w:r>
              <w:rPr>
                <w:rFonts w:ascii="Arial" w:cs="Arial" w:eastAsia="Arial" w:hAnsi="Arial"/>
                <w:sz w:val="10"/>
                <w:szCs w:val="10"/>
                <w:color w:val="auto"/>
              </w:rPr>
              <w:t>n</w:t>
            </w:r>
          </w:p>
        </w:tc>
        <w:tc>
          <w:tcPr>
            <w:tcW w:w="1800" w:type="dxa"/>
            <w:vAlign w:val="bottom"/>
          </w:tcPr>
          <w:p>
            <w:pPr>
              <w:ind w:left="560"/>
              <w:spacing w:after="0"/>
              <w:rPr>
                <w:sz w:val="20"/>
                <w:szCs w:val="20"/>
                <w:color w:val="auto"/>
              </w:rPr>
            </w:pPr>
            <w:r>
              <w:rPr>
                <w:rFonts w:ascii="Arial" w:cs="Arial" w:eastAsia="Arial" w:hAnsi="Arial"/>
                <w:sz w:val="10"/>
                <w:szCs w:val="10"/>
                <w:color w:val="auto"/>
              </w:rPr>
              <w:t>n</w:t>
            </w:r>
          </w:p>
        </w:tc>
      </w:tr>
      <w:tr>
        <w:trPr>
          <w:trHeight w:val="162"/>
        </w:trPr>
        <w:tc>
          <w:tcPr>
            <w:tcW w:w="1520" w:type="dxa"/>
            <w:vAlign w:val="bottom"/>
          </w:tcPr>
          <w:p>
            <w:pPr>
              <w:ind w:left="140"/>
              <w:spacing w:after="0"/>
              <w:rPr>
                <w:sz w:val="20"/>
                <w:szCs w:val="20"/>
                <w:color w:val="auto"/>
              </w:rPr>
            </w:pPr>
            <w:r>
              <w:rPr>
                <w:rFonts w:ascii="Arial" w:cs="Arial" w:eastAsia="Arial" w:hAnsi="Arial"/>
                <w:sz w:val="14"/>
                <w:szCs w:val="14"/>
                <w:color w:val="auto"/>
              </w:rPr>
              <w:t>South Africa</w:t>
            </w:r>
          </w:p>
        </w:tc>
        <w:tc>
          <w:tcPr>
            <w:tcW w:w="1020" w:type="dxa"/>
            <w:vAlign w:val="bottom"/>
          </w:tcPr>
          <w:p>
            <w:pPr>
              <w:ind w:left="420"/>
              <w:spacing w:after="0"/>
              <w:rPr>
                <w:sz w:val="20"/>
                <w:szCs w:val="20"/>
                <w:color w:val="auto"/>
              </w:rPr>
            </w:pPr>
            <w:r>
              <w:rPr>
                <w:rFonts w:ascii="Arial" w:cs="Arial" w:eastAsia="Arial" w:hAnsi="Arial"/>
                <w:sz w:val="10"/>
                <w:szCs w:val="10"/>
                <w:color w:val="auto"/>
              </w:rPr>
              <w:t>n</w:t>
            </w:r>
          </w:p>
        </w:tc>
        <w:tc>
          <w:tcPr>
            <w:tcW w:w="1140" w:type="dxa"/>
            <w:vAlign w:val="bottom"/>
          </w:tcPr>
          <w:p>
            <w:pPr>
              <w:spacing w:after="0"/>
              <w:rPr>
                <w:sz w:val="14"/>
                <w:szCs w:val="14"/>
                <w:color w:val="auto"/>
              </w:rPr>
            </w:pPr>
          </w:p>
        </w:tc>
        <w:tc>
          <w:tcPr>
            <w:tcW w:w="1800" w:type="dxa"/>
            <w:vAlign w:val="bottom"/>
          </w:tcPr>
          <w:p>
            <w:pPr>
              <w:ind w:left="560"/>
              <w:spacing w:after="0"/>
              <w:rPr>
                <w:sz w:val="20"/>
                <w:szCs w:val="20"/>
                <w:color w:val="auto"/>
              </w:rPr>
            </w:pPr>
            <w:r>
              <w:rPr>
                <w:rFonts w:ascii="Arial" w:cs="Arial" w:eastAsia="Arial" w:hAnsi="Arial"/>
                <w:sz w:val="10"/>
                <w:szCs w:val="10"/>
                <w:color w:val="auto"/>
              </w:rPr>
              <w:t>n</w:t>
            </w:r>
          </w:p>
        </w:tc>
      </w:tr>
      <w:tr>
        <w:trPr>
          <w:trHeight w:val="162"/>
        </w:trPr>
        <w:tc>
          <w:tcPr>
            <w:tcW w:w="1520" w:type="dxa"/>
            <w:vAlign w:val="bottom"/>
          </w:tcPr>
          <w:p>
            <w:pPr>
              <w:ind w:left="140"/>
              <w:spacing w:after="0"/>
              <w:rPr>
                <w:sz w:val="20"/>
                <w:szCs w:val="20"/>
                <w:color w:val="auto"/>
              </w:rPr>
            </w:pPr>
            <w:r>
              <w:rPr>
                <w:rFonts w:ascii="Arial" w:cs="Arial" w:eastAsia="Arial" w:hAnsi="Arial"/>
                <w:sz w:val="14"/>
                <w:szCs w:val="14"/>
                <w:color w:val="auto"/>
              </w:rPr>
              <w:t>Tanzania</w:t>
            </w:r>
          </w:p>
        </w:tc>
        <w:tc>
          <w:tcPr>
            <w:tcW w:w="1020" w:type="dxa"/>
            <w:vAlign w:val="bottom"/>
          </w:tcPr>
          <w:p>
            <w:pPr>
              <w:ind w:left="420"/>
              <w:spacing w:after="0"/>
              <w:rPr>
                <w:sz w:val="20"/>
                <w:szCs w:val="20"/>
                <w:color w:val="auto"/>
              </w:rPr>
            </w:pPr>
            <w:r>
              <w:rPr>
                <w:rFonts w:ascii="Arial" w:cs="Arial" w:eastAsia="Arial" w:hAnsi="Arial"/>
                <w:sz w:val="10"/>
                <w:szCs w:val="10"/>
                <w:color w:val="auto"/>
              </w:rPr>
              <w:t>n</w:t>
            </w:r>
          </w:p>
        </w:tc>
        <w:tc>
          <w:tcPr>
            <w:tcW w:w="1140" w:type="dxa"/>
            <w:vAlign w:val="bottom"/>
          </w:tcPr>
          <w:p>
            <w:pPr>
              <w:spacing w:after="0"/>
              <w:rPr>
                <w:sz w:val="14"/>
                <w:szCs w:val="14"/>
                <w:color w:val="auto"/>
              </w:rPr>
            </w:pPr>
          </w:p>
        </w:tc>
        <w:tc>
          <w:tcPr>
            <w:tcW w:w="1800" w:type="dxa"/>
            <w:vAlign w:val="bottom"/>
          </w:tcPr>
          <w:p>
            <w:pPr>
              <w:spacing w:after="0"/>
              <w:rPr>
                <w:sz w:val="14"/>
                <w:szCs w:val="14"/>
                <w:color w:val="auto"/>
              </w:rPr>
            </w:pPr>
          </w:p>
        </w:tc>
      </w:tr>
      <w:tr>
        <w:trPr>
          <w:trHeight w:val="157"/>
        </w:trPr>
        <w:tc>
          <w:tcPr>
            <w:tcW w:w="1520" w:type="dxa"/>
            <w:vAlign w:val="bottom"/>
            <w:tcBorders>
              <w:bottom w:val="single" w:sz="8" w:color="auto"/>
            </w:tcBorders>
          </w:tcPr>
          <w:p>
            <w:pPr>
              <w:ind w:left="140"/>
              <w:spacing w:after="0" w:line="157" w:lineRule="exact"/>
              <w:rPr>
                <w:sz w:val="20"/>
                <w:szCs w:val="20"/>
                <w:color w:val="auto"/>
              </w:rPr>
            </w:pPr>
            <w:r>
              <w:rPr>
                <w:rFonts w:ascii="Arial" w:cs="Arial" w:eastAsia="Arial" w:hAnsi="Arial"/>
                <w:sz w:val="14"/>
                <w:szCs w:val="14"/>
                <w:color w:val="auto"/>
              </w:rPr>
              <w:t>Tunisia</w:t>
            </w:r>
          </w:p>
        </w:tc>
        <w:tc>
          <w:tcPr>
            <w:tcW w:w="1020" w:type="dxa"/>
            <w:vAlign w:val="bottom"/>
            <w:tcBorders>
              <w:bottom w:val="single" w:sz="8" w:color="auto"/>
            </w:tcBorders>
          </w:tcPr>
          <w:p>
            <w:pPr>
              <w:ind w:left="420"/>
              <w:spacing w:after="0"/>
              <w:rPr>
                <w:sz w:val="20"/>
                <w:szCs w:val="20"/>
                <w:color w:val="auto"/>
              </w:rPr>
            </w:pPr>
            <w:r>
              <w:rPr>
                <w:rFonts w:ascii="Arial" w:cs="Arial" w:eastAsia="Arial" w:hAnsi="Arial"/>
                <w:sz w:val="10"/>
                <w:szCs w:val="10"/>
                <w:color w:val="auto"/>
              </w:rPr>
              <w:t>n</w:t>
            </w:r>
          </w:p>
        </w:tc>
        <w:tc>
          <w:tcPr>
            <w:tcW w:w="1140" w:type="dxa"/>
            <w:vAlign w:val="bottom"/>
            <w:tcBorders>
              <w:bottom w:val="single" w:sz="8" w:color="auto"/>
            </w:tcBorders>
          </w:tcPr>
          <w:p>
            <w:pPr>
              <w:spacing w:after="0"/>
              <w:rPr>
                <w:sz w:val="13"/>
                <w:szCs w:val="13"/>
                <w:color w:val="auto"/>
              </w:rPr>
            </w:pPr>
          </w:p>
        </w:tc>
        <w:tc>
          <w:tcPr>
            <w:tcW w:w="1800" w:type="dxa"/>
            <w:vAlign w:val="bottom"/>
            <w:tcBorders>
              <w:bottom w:val="single" w:sz="8" w:color="auto"/>
            </w:tcBorders>
          </w:tcPr>
          <w:p>
            <w:pPr>
              <w:ind w:left="560"/>
              <w:spacing w:after="0"/>
              <w:rPr>
                <w:sz w:val="20"/>
                <w:szCs w:val="20"/>
                <w:color w:val="auto"/>
              </w:rPr>
            </w:pPr>
            <w:r>
              <w:rPr>
                <w:rFonts w:ascii="Arial" w:cs="Arial" w:eastAsia="Arial" w:hAnsi="Arial"/>
                <w:sz w:val="10"/>
                <w:szCs w:val="10"/>
                <w:color w:val="auto"/>
              </w:rPr>
              <w:t>n</w:t>
            </w:r>
          </w:p>
        </w:tc>
      </w:tr>
      <w:tr>
        <w:trPr>
          <w:trHeight w:val="160"/>
        </w:trPr>
        <w:tc>
          <w:tcPr>
            <w:tcW w:w="1520" w:type="dxa"/>
            <w:vAlign w:val="bottom"/>
          </w:tcPr>
          <w:p>
            <w:pPr>
              <w:spacing w:after="0"/>
              <w:rPr>
                <w:sz w:val="20"/>
                <w:szCs w:val="20"/>
                <w:color w:val="auto"/>
              </w:rPr>
            </w:pPr>
            <w:r>
              <w:rPr>
                <w:rFonts w:ascii="Arial" w:cs="Arial" w:eastAsia="Arial" w:hAnsi="Arial"/>
                <w:sz w:val="14"/>
                <w:szCs w:val="14"/>
                <w:color w:val="auto"/>
              </w:rPr>
              <w:t>North America</w:t>
            </w:r>
          </w:p>
        </w:tc>
        <w:tc>
          <w:tcPr>
            <w:tcW w:w="10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800" w:type="dxa"/>
            <w:vAlign w:val="bottom"/>
          </w:tcPr>
          <w:p>
            <w:pPr>
              <w:spacing w:after="0"/>
              <w:rPr>
                <w:sz w:val="13"/>
                <w:szCs w:val="13"/>
                <w:color w:val="auto"/>
              </w:rPr>
            </w:pPr>
          </w:p>
        </w:tc>
      </w:tr>
      <w:tr>
        <w:trPr>
          <w:trHeight w:val="162"/>
        </w:trPr>
        <w:tc>
          <w:tcPr>
            <w:tcW w:w="1520" w:type="dxa"/>
            <w:vAlign w:val="bottom"/>
          </w:tcPr>
          <w:p>
            <w:pPr>
              <w:ind w:left="140"/>
              <w:spacing w:after="0"/>
              <w:rPr>
                <w:sz w:val="20"/>
                <w:szCs w:val="20"/>
                <w:color w:val="auto"/>
              </w:rPr>
            </w:pPr>
            <w:r>
              <w:rPr>
                <w:rFonts w:ascii="Arial" w:cs="Arial" w:eastAsia="Arial" w:hAnsi="Arial"/>
                <w:sz w:val="14"/>
                <w:szCs w:val="14"/>
                <w:color w:val="auto"/>
              </w:rPr>
              <w:t>USA</w:t>
            </w:r>
          </w:p>
        </w:tc>
        <w:tc>
          <w:tcPr>
            <w:tcW w:w="1020" w:type="dxa"/>
            <w:vAlign w:val="bottom"/>
          </w:tcPr>
          <w:p>
            <w:pPr>
              <w:ind w:left="420"/>
              <w:spacing w:after="0"/>
              <w:rPr>
                <w:sz w:val="20"/>
                <w:szCs w:val="20"/>
                <w:color w:val="auto"/>
              </w:rPr>
            </w:pPr>
            <w:r>
              <w:rPr>
                <w:rFonts w:ascii="Arial" w:cs="Arial" w:eastAsia="Arial" w:hAnsi="Arial"/>
                <w:sz w:val="10"/>
                <w:szCs w:val="10"/>
                <w:color w:val="auto"/>
              </w:rPr>
              <w:t>n</w:t>
            </w:r>
          </w:p>
        </w:tc>
        <w:tc>
          <w:tcPr>
            <w:tcW w:w="1140" w:type="dxa"/>
            <w:vAlign w:val="bottom"/>
          </w:tcPr>
          <w:p>
            <w:pPr>
              <w:ind w:left="540"/>
              <w:spacing w:after="0"/>
              <w:rPr>
                <w:sz w:val="20"/>
                <w:szCs w:val="20"/>
                <w:color w:val="auto"/>
              </w:rPr>
            </w:pPr>
            <w:r>
              <w:rPr>
                <w:rFonts w:ascii="Arial" w:cs="Arial" w:eastAsia="Arial" w:hAnsi="Arial"/>
                <w:sz w:val="10"/>
                <w:szCs w:val="10"/>
                <w:color w:val="auto"/>
              </w:rPr>
              <w:t>n</w:t>
            </w:r>
          </w:p>
        </w:tc>
        <w:tc>
          <w:tcPr>
            <w:tcW w:w="1800" w:type="dxa"/>
            <w:vAlign w:val="bottom"/>
          </w:tcPr>
          <w:p>
            <w:pPr>
              <w:ind w:left="560"/>
              <w:spacing w:after="0"/>
              <w:rPr>
                <w:sz w:val="20"/>
                <w:szCs w:val="20"/>
                <w:color w:val="auto"/>
              </w:rPr>
            </w:pPr>
            <w:r>
              <w:rPr>
                <w:rFonts w:ascii="Arial" w:cs="Arial" w:eastAsia="Arial" w:hAnsi="Arial"/>
                <w:sz w:val="10"/>
                <w:szCs w:val="10"/>
                <w:color w:val="auto"/>
              </w:rPr>
              <w:t>n</w:t>
            </w:r>
          </w:p>
        </w:tc>
      </w:tr>
      <w:tr>
        <w:trPr>
          <w:trHeight w:val="157"/>
        </w:trPr>
        <w:tc>
          <w:tcPr>
            <w:tcW w:w="1520" w:type="dxa"/>
            <w:vAlign w:val="bottom"/>
            <w:tcBorders>
              <w:bottom w:val="single" w:sz="8" w:color="auto"/>
            </w:tcBorders>
          </w:tcPr>
          <w:p>
            <w:pPr>
              <w:ind w:left="140"/>
              <w:spacing w:after="0" w:line="157" w:lineRule="exact"/>
              <w:rPr>
                <w:sz w:val="20"/>
                <w:szCs w:val="20"/>
                <w:color w:val="auto"/>
              </w:rPr>
            </w:pPr>
            <w:r>
              <w:rPr>
                <w:rFonts w:ascii="Arial" w:cs="Arial" w:eastAsia="Arial" w:hAnsi="Arial"/>
                <w:sz w:val="14"/>
                <w:szCs w:val="14"/>
                <w:color w:val="auto"/>
              </w:rPr>
              <w:t>Canada</w:t>
            </w:r>
          </w:p>
        </w:tc>
        <w:tc>
          <w:tcPr>
            <w:tcW w:w="1020" w:type="dxa"/>
            <w:vAlign w:val="bottom"/>
            <w:tcBorders>
              <w:bottom w:val="single" w:sz="8" w:color="auto"/>
            </w:tcBorders>
          </w:tcPr>
          <w:p>
            <w:pPr>
              <w:ind w:left="420"/>
              <w:spacing w:after="0"/>
              <w:rPr>
                <w:sz w:val="20"/>
                <w:szCs w:val="20"/>
                <w:color w:val="auto"/>
              </w:rPr>
            </w:pPr>
            <w:r>
              <w:rPr>
                <w:rFonts w:ascii="Arial" w:cs="Arial" w:eastAsia="Arial" w:hAnsi="Arial"/>
                <w:sz w:val="10"/>
                <w:szCs w:val="10"/>
                <w:color w:val="auto"/>
              </w:rPr>
              <w:t>n</w:t>
            </w:r>
          </w:p>
        </w:tc>
        <w:tc>
          <w:tcPr>
            <w:tcW w:w="1140" w:type="dxa"/>
            <w:vAlign w:val="bottom"/>
            <w:tcBorders>
              <w:bottom w:val="single" w:sz="8" w:color="auto"/>
            </w:tcBorders>
          </w:tcPr>
          <w:p>
            <w:pPr>
              <w:ind w:left="540"/>
              <w:spacing w:after="0"/>
              <w:rPr>
                <w:sz w:val="20"/>
                <w:szCs w:val="20"/>
                <w:color w:val="auto"/>
              </w:rPr>
            </w:pPr>
            <w:r>
              <w:rPr>
                <w:rFonts w:ascii="Arial" w:cs="Arial" w:eastAsia="Arial" w:hAnsi="Arial"/>
                <w:sz w:val="10"/>
                <w:szCs w:val="10"/>
                <w:color w:val="auto"/>
              </w:rPr>
              <w:t>n</w:t>
            </w:r>
          </w:p>
        </w:tc>
        <w:tc>
          <w:tcPr>
            <w:tcW w:w="1800" w:type="dxa"/>
            <w:vAlign w:val="bottom"/>
            <w:tcBorders>
              <w:bottom w:val="single" w:sz="8" w:color="auto"/>
            </w:tcBorders>
          </w:tcPr>
          <w:p>
            <w:pPr>
              <w:ind w:left="560"/>
              <w:spacing w:after="0"/>
              <w:rPr>
                <w:sz w:val="20"/>
                <w:szCs w:val="20"/>
                <w:color w:val="auto"/>
              </w:rPr>
            </w:pPr>
            <w:r>
              <w:rPr>
                <w:rFonts w:ascii="Arial" w:cs="Arial" w:eastAsia="Arial" w:hAnsi="Arial"/>
                <w:sz w:val="10"/>
                <w:szCs w:val="10"/>
                <w:color w:val="auto"/>
              </w:rPr>
              <w:t>n</w:t>
            </w:r>
          </w:p>
        </w:tc>
      </w:tr>
      <w:tr>
        <w:trPr>
          <w:trHeight w:val="160"/>
        </w:trPr>
        <w:tc>
          <w:tcPr>
            <w:tcW w:w="1520" w:type="dxa"/>
            <w:vAlign w:val="bottom"/>
          </w:tcPr>
          <w:p>
            <w:pPr>
              <w:spacing w:after="0"/>
              <w:rPr>
                <w:sz w:val="20"/>
                <w:szCs w:val="20"/>
                <w:color w:val="auto"/>
              </w:rPr>
            </w:pPr>
            <w:r>
              <w:rPr>
                <w:rFonts w:ascii="Arial" w:cs="Arial" w:eastAsia="Arial" w:hAnsi="Arial"/>
                <w:sz w:val="14"/>
                <w:szCs w:val="14"/>
                <w:color w:val="auto"/>
              </w:rPr>
              <w:t>South America</w:t>
            </w:r>
          </w:p>
        </w:tc>
        <w:tc>
          <w:tcPr>
            <w:tcW w:w="10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800" w:type="dxa"/>
            <w:vAlign w:val="bottom"/>
          </w:tcPr>
          <w:p>
            <w:pPr>
              <w:spacing w:after="0"/>
              <w:rPr>
                <w:sz w:val="13"/>
                <w:szCs w:val="13"/>
                <w:color w:val="auto"/>
              </w:rPr>
            </w:pPr>
          </w:p>
        </w:tc>
      </w:tr>
      <w:tr>
        <w:trPr>
          <w:trHeight w:val="162"/>
        </w:trPr>
        <w:tc>
          <w:tcPr>
            <w:tcW w:w="1520" w:type="dxa"/>
            <w:vAlign w:val="bottom"/>
          </w:tcPr>
          <w:p>
            <w:pPr>
              <w:ind w:left="140"/>
              <w:spacing w:after="0"/>
              <w:rPr>
                <w:sz w:val="20"/>
                <w:szCs w:val="20"/>
                <w:color w:val="auto"/>
              </w:rPr>
            </w:pPr>
            <w:r>
              <w:rPr>
                <w:rFonts w:ascii="Arial" w:cs="Arial" w:eastAsia="Arial" w:hAnsi="Arial"/>
                <w:sz w:val="14"/>
                <w:szCs w:val="14"/>
                <w:color w:val="auto"/>
              </w:rPr>
              <w:t>Argentina</w:t>
            </w:r>
          </w:p>
        </w:tc>
        <w:tc>
          <w:tcPr>
            <w:tcW w:w="1020" w:type="dxa"/>
            <w:vAlign w:val="bottom"/>
          </w:tcPr>
          <w:p>
            <w:pPr>
              <w:ind w:left="420"/>
              <w:spacing w:after="0"/>
              <w:rPr>
                <w:sz w:val="20"/>
                <w:szCs w:val="20"/>
                <w:color w:val="auto"/>
              </w:rPr>
            </w:pPr>
            <w:r>
              <w:rPr>
                <w:rFonts w:ascii="Arial" w:cs="Arial" w:eastAsia="Arial" w:hAnsi="Arial"/>
                <w:sz w:val="10"/>
                <w:szCs w:val="10"/>
                <w:color w:val="auto"/>
              </w:rPr>
              <w:t>n</w:t>
            </w:r>
          </w:p>
        </w:tc>
        <w:tc>
          <w:tcPr>
            <w:tcW w:w="1140" w:type="dxa"/>
            <w:vAlign w:val="bottom"/>
          </w:tcPr>
          <w:p>
            <w:pPr>
              <w:ind w:left="540"/>
              <w:spacing w:after="0"/>
              <w:rPr>
                <w:sz w:val="20"/>
                <w:szCs w:val="20"/>
                <w:color w:val="auto"/>
              </w:rPr>
            </w:pPr>
            <w:r>
              <w:rPr>
                <w:rFonts w:ascii="Arial" w:cs="Arial" w:eastAsia="Arial" w:hAnsi="Arial"/>
                <w:sz w:val="10"/>
                <w:szCs w:val="10"/>
                <w:color w:val="auto"/>
              </w:rPr>
              <w:t>n</w:t>
            </w:r>
          </w:p>
        </w:tc>
        <w:tc>
          <w:tcPr>
            <w:tcW w:w="1800" w:type="dxa"/>
            <w:vAlign w:val="bottom"/>
          </w:tcPr>
          <w:p>
            <w:pPr>
              <w:ind w:left="560"/>
              <w:spacing w:after="0"/>
              <w:rPr>
                <w:sz w:val="20"/>
                <w:szCs w:val="20"/>
                <w:color w:val="auto"/>
              </w:rPr>
            </w:pPr>
            <w:r>
              <w:rPr>
                <w:rFonts w:ascii="Arial" w:cs="Arial" w:eastAsia="Arial" w:hAnsi="Arial"/>
                <w:sz w:val="12"/>
                <w:szCs w:val="12"/>
                <w:color w:val="auto"/>
              </w:rPr>
              <w:t>n</w:t>
            </w:r>
          </w:p>
        </w:tc>
      </w:tr>
      <w:tr>
        <w:trPr>
          <w:trHeight w:val="162"/>
        </w:trPr>
        <w:tc>
          <w:tcPr>
            <w:tcW w:w="1520" w:type="dxa"/>
            <w:vAlign w:val="bottom"/>
          </w:tcPr>
          <w:p>
            <w:pPr>
              <w:ind w:left="140"/>
              <w:spacing w:after="0"/>
              <w:rPr>
                <w:sz w:val="20"/>
                <w:szCs w:val="20"/>
                <w:color w:val="auto"/>
              </w:rPr>
            </w:pPr>
            <w:r>
              <w:rPr>
                <w:rFonts w:ascii="Arial" w:cs="Arial" w:eastAsia="Arial" w:hAnsi="Arial"/>
                <w:sz w:val="14"/>
                <w:szCs w:val="14"/>
                <w:color w:val="auto"/>
              </w:rPr>
              <w:t>Brazil</w:t>
            </w:r>
          </w:p>
        </w:tc>
        <w:tc>
          <w:tcPr>
            <w:tcW w:w="1020" w:type="dxa"/>
            <w:vAlign w:val="bottom"/>
          </w:tcPr>
          <w:p>
            <w:pPr>
              <w:ind w:left="420"/>
              <w:spacing w:after="0"/>
              <w:rPr>
                <w:sz w:val="20"/>
                <w:szCs w:val="20"/>
                <w:color w:val="auto"/>
              </w:rPr>
            </w:pPr>
            <w:r>
              <w:rPr>
                <w:rFonts w:ascii="Arial" w:cs="Arial" w:eastAsia="Arial" w:hAnsi="Arial"/>
                <w:sz w:val="10"/>
                <w:szCs w:val="10"/>
                <w:color w:val="auto"/>
              </w:rPr>
              <w:t>n</w:t>
            </w:r>
          </w:p>
        </w:tc>
        <w:tc>
          <w:tcPr>
            <w:tcW w:w="1140" w:type="dxa"/>
            <w:vAlign w:val="bottom"/>
          </w:tcPr>
          <w:p>
            <w:pPr>
              <w:ind w:left="540"/>
              <w:spacing w:after="0"/>
              <w:rPr>
                <w:sz w:val="20"/>
                <w:szCs w:val="20"/>
                <w:color w:val="auto"/>
              </w:rPr>
            </w:pPr>
            <w:r>
              <w:rPr>
                <w:rFonts w:ascii="Arial" w:cs="Arial" w:eastAsia="Arial" w:hAnsi="Arial"/>
                <w:sz w:val="10"/>
                <w:szCs w:val="10"/>
                <w:color w:val="auto"/>
              </w:rPr>
              <w:t>n</w:t>
            </w:r>
          </w:p>
        </w:tc>
        <w:tc>
          <w:tcPr>
            <w:tcW w:w="1800" w:type="dxa"/>
            <w:vAlign w:val="bottom"/>
          </w:tcPr>
          <w:p>
            <w:pPr>
              <w:ind w:left="560"/>
              <w:spacing w:after="0"/>
              <w:rPr>
                <w:sz w:val="20"/>
                <w:szCs w:val="20"/>
                <w:color w:val="auto"/>
              </w:rPr>
            </w:pPr>
            <w:r>
              <w:rPr>
                <w:rFonts w:ascii="Arial" w:cs="Arial" w:eastAsia="Arial" w:hAnsi="Arial"/>
                <w:sz w:val="10"/>
                <w:szCs w:val="10"/>
                <w:color w:val="auto"/>
              </w:rPr>
              <w:t>n</w:t>
            </w:r>
          </w:p>
        </w:tc>
      </w:tr>
      <w:tr>
        <w:trPr>
          <w:trHeight w:val="162"/>
        </w:trPr>
        <w:tc>
          <w:tcPr>
            <w:tcW w:w="1520" w:type="dxa"/>
            <w:vAlign w:val="bottom"/>
          </w:tcPr>
          <w:p>
            <w:pPr>
              <w:ind w:left="140"/>
              <w:spacing w:after="0"/>
              <w:rPr>
                <w:sz w:val="20"/>
                <w:szCs w:val="20"/>
                <w:color w:val="auto"/>
              </w:rPr>
            </w:pPr>
            <w:r>
              <w:rPr>
                <w:rFonts w:ascii="Arial" w:cs="Arial" w:eastAsia="Arial" w:hAnsi="Arial"/>
                <w:sz w:val="14"/>
                <w:szCs w:val="14"/>
                <w:color w:val="auto"/>
              </w:rPr>
              <w:t>Colombia</w:t>
            </w:r>
          </w:p>
        </w:tc>
        <w:tc>
          <w:tcPr>
            <w:tcW w:w="1020" w:type="dxa"/>
            <w:vAlign w:val="bottom"/>
          </w:tcPr>
          <w:p>
            <w:pPr>
              <w:ind w:left="420"/>
              <w:spacing w:after="0"/>
              <w:rPr>
                <w:sz w:val="20"/>
                <w:szCs w:val="20"/>
                <w:color w:val="auto"/>
              </w:rPr>
            </w:pPr>
            <w:r>
              <w:rPr>
                <w:rFonts w:ascii="Arial" w:cs="Arial" w:eastAsia="Arial" w:hAnsi="Arial"/>
                <w:sz w:val="10"/>
                <w:szCs w:val="10"/>
                <w:color w:val="auto"/>
              </w:rPr>
              <w:t>n</w:t>
            </w:r>
          </w:p>
        </w:tc>
        <w:tc>
          <w:tcPr>
            <w:tcW w:w="1140" w:type="dxa"/>
            <w:vAlign w:val="bottom"/>
          </w:tcPr>
          <w:p>
            <w:pPr>
              <w:spacing w:after="0"/>
              <w:rPr>
                <w:sz w:val="14"/>
                <w:szCs w:val="14"/>
                <w:color w:val="auto"/>
              </w:rPr>
            </w:pPr>
          </w:p>
        </w:tc>
        <w:tc>
          <w:tcPr>
            <w:tcW w:w="1800" w:type="dxa"/>
            <w:vAlign w:val="bottom"/>
          </w:tcPr>
          <w:p>
            <w:pPr>
              <w:ind w:left="560"/>
              <w:spacing w:after="0"/>
              <w:rPr>
                <w:sz w:val="20"/>
                <w:szCs w:val="20"/>
                <w:color w:val="auto"/>
              </w:rPr>
            </w:pPr>
            <w:r>
              <w:rPr>
                <w:rFonts w:ascii="Arial" w:cs="Arial" w:eastAsia="Arial" w:hAnsi="Arial"/>
                <w:sz w:val="10"/>
                <w:szCs w:val="10"/>
                <w:color w:val="auto"/>
              </w:rPr>
              <w:t>n</w:t>
            </w:r>
          </w:p>
        </w:tc>
      </w:tr>
      <w:tr>
        <w:trPr>
          <w:trHeight w:val="157"/>
        </w:trPr>
        <w:tc>
          <w:tcPr>
            <w:tcW w:w="1520" w:type="dxa"/>
            <w:vAlign w:val="bottom"/>
            <w:tcBorders>
              <w:bottom w:val="single" w:sz="8" w:color="auto"/>
            </w:tcBorders>
          </w:tcPr>
          <w:p>
            <w:pPr>
              <w:ind w:left="140"/>
              <w:spacing w:after="0" w:line="157" w:lineRule="exact"/>
              <w:rPr>
                <w:sz w:val="20"/>
                <w:szCs w:val="20"/>
                <w:color w:val="auto"/>
              </w:rPr>
            </w:pPr>
            <w:r>
              <w:rPr>
                <w:rFonts w:ascii="Arial" w:cs="Arial" w:eastAsia="Arial" w:hAnsi="Arial"/>
                <w:sz w:val="14"/>
                <w:szCs w:val="14"/>
                <w:color w:val="auto"/>
              </w:rPr>
              <w:t>French Guiana</w:t>
            </w:r>
          </w:p>
        </w:tc>
        <w:tc>
          <w:tcPr>
            <w:tcW w:w="1020" w:type="dxa"/>
            <w:vAlign w:val="bottom"/>
            <w:tcBorders>
              <w:bottom w:val="single" w:sz="8" w:color="auto"/>
            </w:tcBorders>
          </w:tcPr>
          <w:p>
            <w:pPr>
              <w:ind w:left="420"/>
              <w:spacing w:after="0"/>
              <w:rPr>
                <w:sz w:val="20"/>
                <w:szCs w:val="20"/>
                <w:color w:val="auto"/>
              </w:rPr>
            </w:pPr>
            <w:r>
              <w:rPr>
                <w:rFonts w:ascii="Arial" w:cs="Arial" w:eastAsia="Arial" w:hAnsi="Arial"/>
                <w:sz w:val="10"/>
                <w:szCs w:val="10"/>
                <w:color w:val="auto"/>
              </w:rPr>
              <w:t>n</w:t>
            </w:r>
          </w:p>
        </w:tc>
        <w:tc>
          <w:tcPr>
            <w:tcW w:w="1140" w:type="dxa"/>
            <w:vAlign w:val="bottom"/>
            <w:tcBorders>
              <w:bottom w:val="single" w:sz="8" w:color="auto"/>
            </w:tcBorders>
          </w:tcPr>
          <w:p>
            <w:pPr>
              <w:spacing w:after="0"/>
              <w:rPr>
                <w:sz w:val="13"/>
                <w:szCs w:val="13"/>
                <w:color w:val="auto"/>
              </w:rPr>
            </w:pPr>
          </w:p>
        </w:tc>
        <w:tc>
          <w:tcPr>
            <w:tcW w:w="1800" w:type="dxa"/>
            <w:vAlign w:val="bottom"/>
            <w:tcBorders>
              <w:bottom w:val="single" w:sz="8" w:color="auto"/>
            </w:tcBorders>
          </w:tcPr>
          <w:p>
            <w:pPr>
              <w:ind w:left="560"/>
              <w:spacing w:after="0"/>
              <w:rPr>
                <w:sz w:val="20"/>
                <w:szCs w:val="20"/>
                <w:color w:val="auto"/>
              </w:rPr>
            </w:pPr>
            <w:r>
              <w:rPr>
                <w:rFonts w:ascii="Arial" w:cs="Arial" w:eastAsia="Arial" w:hAnsi="Arial"/>
                <w:sz w:val="10"/>
                <w:szCs w:val="10"/>
                <w:color w:val="auto"/>
              </w:rPr>
              <w:t>n</w:t>
            </w:r>
          </w:p>
        </w:tc>
      </w:tr>
    </w:tbl>
    <w:p>
      <w:pPr>
        <w:spacing w:after="0" w:line="37" w:lineRule="exact"/>
        <w:rPr>
          <w:sz w:val="20"/>
          <w:szCs w:val="20"/>
          <w:color w:val="auto"/>
        </w:rPr>
      </w:pPr>
    </w:p>
    <w:p>
      <w:pPr>
        <w:ind w:right="300" w:firstLine="8"/>
        <w:spacing w:after="0" w:line="230" w:lineRule="auto"/>
        <w:tabs>
          <w:tab w:leader="none" w:pos="162" w:val="left"/>
        </w:tabs>
        <w:numPr>
          <w:ilvl w:val="0"/>
          <w:numId w:val="30"/>
        </w:numPr>
        <w:rPr>
          <w:rFonts w:ascii="Arial" w:cs="Arial" w:eastAsia="Arial" w:hAnsi="Arial"/>
          <w:sz w:val="11"/>
          <w:szCs w:val="11"/>
          <w:color w:val="auto"/>
        </w:rPr>
      </w:pPr>
      <w:r>
        <w:rPr>
          <w:rFonts w:ascii="Arial" w:cs="Arial" w:eastAsia="Arial" w:hAnsi="Arial"/>
          <w:sz w:val="11"/>
          <w:szCs w:val="11"/>
          <w:color w:val="auto"/>
        </w:rPr>
        <w:t>Includes joint ventures and associates. Where a joint venture or associate has properties outside its base country, those properties are not shown in this table.</w:t>
      </w:r>
    </w:p>
    <w:p>
      <w:pPr>
        <w:ind w:right="240" w:firstLine="8"/>
        <w:spacing w:after="0" w:line="230" w:lineRule="auto"/>
        <w:tabs>
          <w:tab w:leader="none" w:pos="162" w:val="left"/>
        </w:tabs>
        <w:numPr>
          <w:ilvl w:val="0"/>
          <w:numId w:val="30"/>
        </w:numPr>
        <w:rPr>
          <w:rFonts w:ascii="Arial" w:cs="Arial" w:eastAsia="Arial" w:hAnsi="Arial"/>
          <w:sz w:val="11"/>
          <w:szCs w:val="11"/>
          <w:color w:val="auto"/>
        </w:rPr>
      </w:pPr>
      <w:r>
        <w:rPr>
          <w:rFonts w:ascii="Arial" w:cs="Arial" w:eastAsia="Arial" w:hAnsi="Arial"/>
          <w:sz w:val="11"/>
          <w:szCs w:val="11"/>
          <w:color w:val="auto"/>
        </w:rPr>
        <w:t>In several countries where “Shell operator” is indicated, Shell is the operator of some but not all exploration and/or production ventures.</w:t>
      </w:r>
    </w:p>
    <w:p>
      <w:pPr>
        <w:ind w:left="180" w:hanging="172"/>
        <w:spacing w:after="0"/>
        <w:tabs>
          <w:tab w:leader="none" w:pos="180" w:val="left"/>
        </w:tabs>
        <w:numPr>
          <w:ilvl w:val="0"/>
          <w:numId w:val="30"/>
        </w:numPr>
        <w:rPr>
          <w:rFonts w:ascii="Arial" w:cs="Arial" w:eastAsia="Arial" w:hAnsi="Arial"/>
          <w:sz w:val="11"/>
          <w:szCs w:val="11"/>
          <w:color w:val="auto"/>
        </w:rPr>
      </w:pPr>
      <w:r>
        <w:rPr>
          <w:rFonts w:ascii="Arial" w:cs="Arial" w:eastAsia="Arial" w:hAnsi="Arial"/>
          <w:sz w:val="11"/>
          <w:szCs w:val="11"/>
          <w:color w:val="auto"/>
        </w:rPr>
        <w:t>Shell suspended all exploration and production activities in Syria in December 2011.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30"/>
        </w:trPr>
        <w:tc>
          <w:tcPr>
            <w:tcW w:w="3160" w:type="dxa"/>
            <w:vAlign w:val="bottom"/>
          </w:tcPr>
          <w:p>
            <w:pPr>
              <w:spacing w:after="0"/>
              <w:rPr>
                <w:sz w:val="11"/>
                <w:szCs w:val="11"/>
                <w:color w:val="auto"/>
              </w:rPr>
            </w:pPr>
          </w:p>
        </w:tc>
        <w:tc>
          <w:tcPr>
            <w:tcW w:w="2480" w:type="dxa"/>
            <w:vAlign w:val="bottom"/>
            <w:gridSpan w:val="4"/>
          </w:tcPr>
          <w:p>
            <w:pPr>
              <w:ind w:left="80"/>
              <w:spacing w:after="0"/>
              <w:rPr>
                <w:sz w:val="20"/>
                <w:szCs w:val="20"/>
                <w:color w:val="auto"/>
              </w:rPr>
            </w:pPr>
            <w:r>
              <w:rPr>
                <w:rFonts w:ascii="Arial" w:cs="Arial" w:eastAsia="Arial" w:hAnsi="Arial"/>
                <w:sz w:val="11"/>
                <w:szCs w:val="11"/>
                <w:color w:val="auto"/>
                <w:w w:val="96"/>
              </w:rPr>
              <w:t>SHELL ANNUAL REPORT AND FORM 20-F 2014</w:t>
            </w:r>
          </w:p>
        </w:tc>
      </w:tr>
      <w:tr>
        <w:trPr>
          <w:trHeight w:val="49"/>
        </w:trPr>
        <w:tc>
          <w:tcPr>
            <w:tcW w:w="3160" w:type="dxa"/>
            <w:vAlign w:val="bottom"/>
          </w:tcPr>
          <w:p>
            <w:pPr>
              <w:spacing w:after="0"/>
              <w:rPr>
                <w:sz w:val="4"/>
                <w:szCs w:val="4"/>
                <w:color w:val="auto"/>
              </w:rPr>
            </w:pPr>
          </w:p>
        </w:tc>
        <w:tc>
          <w:tcPr>
            <w:tcW w:w="540" w:type="dxa"/>
            <w:vAlign w:val="bottom"/>
          </w:tcPr>
          <w:p>
            <w:pPr>
              <w:spacing w:after="0"/>
              <w:rPr>
                <w:sz w:val="4"/>
                <w:szCs w:val="4"/>
                <w:color w:val="auto"/>
              </w:rPr>
            </w:pPr>
          </w:p>
        </w:tc>
        <w:tc>
          <w:tcPr>
            <w:tcW w:w="820" w:type="dxa"/>
            <w:vAlign w:val="bottom"/>
          </w:tcPr>
          <w:p>
            <w:pPr>
              <w:spacing w:after="0"/>
              <w:rPr>
                <w:sz w:val="4"/>
                <w:szCs w:val="4"/>
                <w:color w:val="auto"/>
              </w:rPr>
            </w:pPr>
          </w:p>
        </w:tc>
        <w:tc>
          <w:tcPr>
            <w:tcW w:w="940" w:type="dxa"/>
            <w:vAlign w:val="bottom"/>
          </w:tcPr>
          <w:p>
            <w:pPr>
              <w:spacing w:after="0"/>
              <w:rPr>
                <w:sz w:val="4"/>
                <w:szCs w:val="4"/>
                <w:color w:val="auto"/>
              </w:rPr>
            </w:pPr>
          </w:p>
        </w:tc>
        <w:tc>
          <w:tcPr>
            <w:tcW w:w="180" w:type="dxa"/>
            <w:vAlign w:val="bottom"/>
          </w:tcPr>
          <w:p>
            <w:pPr>
              <w:spacing w:after="0"/>
              <w:rPr>
                <w:sz w:val="4"/>
                <w:szCs w:val="4"/>
                <w:color w:val="auto"/>
              </w:rPr>
            </w:pPr>
          </w:p>
        </w:tc>
      </w:tr>
      <w:tr>
        <w:trPr>
          <w:trHeight w:val="141"/>
        </w:trPr>
        <w:tc>
          <w:tcPr>
            <w:tcW w:w="3160" w:type="dxa"/>
            <w:vAlign w:val="bottom"/>
            <w:shd w:val="clear" w:color="auto" w:fill="333333"/>
          </w:tcPr>
          <w:p>
            <w:pPr>
              <w:ind w:left="60"/>
              <w:spacing w:after="0" w:line="141" w:lineRule="exact"/>
              <w:rPr>
                <w:sz w:val="20"/>
                <w:szCs w:val="20"/>
                <w:color w:val="auto"/>
              </w:rPr>
            </w:pPr>
            <w:r>
              <w:rPr>
                <w:rFonts w:ascii="Arial" w:cs="Arial" w:eastAsia="Arial" w:hAnsi="Arial"/>
                <w:sz w:val="15"/>
                <w:szCs w:val="15"/>
                <w:b w:val="1"/>
                <w:bCs w:val="1"/>
                <w:color w:val="FFFFFF"/>
              </w:rPr>
              <w:t>CAPITAL INVESTMENT IN OIL AND GAS</w:t>
            </w:r>
          </w:p>
        </w:tc>
        <w:tc>
          <w:tcPr>
            <w:tcW w:w="540" w:type="dxa"/>
            <w:vAlign w:val="bottom"/>
            <w:shd w:val="clear" w:color="auto" w:fill="333333"/>
          </w:tcPr>
          <w:p>
            <w:pPr>
              <w:spacing w:after="0"/>
              <w:rPr>
                <w:sz w:val="12"/>
                <w:szCs w:val="12"/>
                <w:color w:val="auto"/>
              </w:rPr>
            </w:pPr>
          </w:p>
        </w:tc>
        <w:tc>
          <w:tcPr>
            <w:tcW w:w="820" w:type="dxa"/>
            <w:vAlign w:val="bottom"/>
            <w:shd w:val="clear" w:color="auto" w:fill="333333"/>
          </w:tcPr>
          <w:p>
            <w:pPr>
              <w:spacing w:after="0"/>
              <w:rPr>
                <w:sz w:val="12"/>
                <w:szCs w:val="12"/>
                <w:color w:val="auto"/>
              </w:rPr>
            </w:pPr>
          </w:p>
        </w:tc>
        <w:tc>
          <w:tcPr>
            <w:tcW w:w="940" w:type="dxa"/>
            <w:vAlign w:val="bottom"/>
            <w:shd w:val="clear" w:color="auto" w:fill="333333"/>
          </w:tcPr>
          <w:p>
            <w:pPr>
              <w:spacing w:after="0"/>
              <w:rPr>
                <w:sz w:val="12"/>
                <w:szCs w:val="12"/>
                <w:color w:val="auto"/>
              </w:rPr>
            </w:pPr>
          </w:p>
        </w:tc>
        <w:tc>
          <w:tcPr>
            <w:tcW w:w="180" w:type="dxa"/>
            <w:vAlign w:val="bottom"/>
          </w:tcPr>
          <w:p>
            <w:pPr>
              <w:spacing w:after="0"/>
              <w:rPr>
                <w:sz w:val="12"/>
                <w:szCs w:val="12"/>
                <w:color w:val="auto"/>
              </w:rPr>
            </w:pPr>
          </w:p>
        </w:tc>
      </w:tr>
      <w:tr>
        <w:trPr>
          <w:trHeight w:val="162"/>
        </w:trPr>
        <w:tc>
          <w:tcPr>
            <w:tcW w:w="3160" w:type="dxa"/>
            <w:vAlign w:val="bottom"/>
            <w:shd w:val="clear" w:color="auto" w:fill="333333"/>
          </w:tcPr>
          <w:p>
            <w:pPr>
              <w:ind w:left="60"/>
              <w:spacing w:after="0" w:line="162" w:lineRule="exact"/>
              <w:rPr>
                <w:sz w:val="20"/>
                <w:szCs w:val="20"/>
                <w:color w:val="auto"/>
              </w:rPr>
            </w:pPr>
            <w:r>
              <w:rPr>
                <w:rFonts w:ascii="Arial" w:cs="Arial" w:eastAsia="Arial" w:hAnsi="Arial"/>
                <w:sz w:val="15"/>
                <w:szCs w:val="15"/>
                <w:b w:val="1"/>
                <w:bCs w:val="1"/>
                <w:color w:val="FFFFFF"/>
              </w:rPr>
              <w:t>EXPLORATION AND PRODUCTION</w:t>
            </w:r>
          </w:p>
        </w:tc>
        <w:tc>
          <w:tcPr>
            <w:tcW w:w="540" w:type="dxa"/>
            <w:vAlign w:val="bottom"/>
            <w:shd w:val="clear" w:color="auto" w:fill="333333"/>
          </w:tcPr>
          <w:p>
            <w:pPr>
              <w:spacing w:after="0"/>
              <w:rPr>
                <w:sz w:val="14"/>
                <w:szCs w:val="14"/>
                <w:color w:val="auto"/>
              </w:rPr>
            </w:pPr>
          </w:p>
        </w:tc>
        <w:tc>
          <w:tcPr>
            <w:tcW w:w="820" w:type="dxa"/>
            <w:vAlign w:val="bottom"/>
            <w:shd w:val="clear" w:color="auto" w:fill="333333"/>
          </w:tcPr>
          <w:p>
            <w:pPr>
              <w:spacing w:after="0"/>
              <w:rPr>
                <w:sz w:val="14"/>
                <w:szCs w:val="14"/>
                <w:color w:val="auto"/>
              </w:rPr>
            </w:pPr>
          </w:p>
        </w:tc>
        <w:tc>
          <w:tcPr>
            <w:tcW w:w="940" w:type="dxa"/>
            <w:vAlign w:val="bottom"/>
            <w:shd w:val="clear" w:color="auto" w:fill="333333"/>
          </w:tcPr>
          <w:p>
            <w:pPr>
              <w:spacing w:after="0"/>
              <w:rPr>
                <w:sz w:val="14"/>
                <w:szCs w:val="14"/>
                <w:color w:val="auto"/>
              </w:rPr>
            </w:pPr>
          </w:p>
        </w:tc>
        <w:tc>
          <w:tcPr>
            <w:tcW w:w="180" w:type="dxa"/>
            <w:vAlign w:val="bottom"/>
          </w:tcPr>
          <w:p>
            <w:pPr>
              <w:spacing w:after="0"/>
              <w:rPr>
                <w:sz w:val="14"/>
                <w:szCs w:val="14"/>
                <w:color w:val="auto"/>
              </w:rPr>
            </w:pPr>
          </w:p>
        </w:tc>
      </w:tr>
      <w:tr>
        <w:trPr>
          <w:trHeight w:val="197"/>
        </w:trPr>
        <w:tc>
          <w:tcPr>
            <w:tcW w:w="3160" w:type="dxa"/>
            <w:vAlign w:val="bottom"/>
            <w:shd w:val="clear" w:color="auto" w:fill="333333"/>
          </w:tcPr>
          <w:p>
            <w:pPr>
              <w:ind w:left="60"/>
              <w:spacing w:after="0"/>
              <w:rPr>
                <w:sz w:val="20"/>
                <w:szCs w:val="20"/>
                <w:color w:val="auto"/>
              </w:rPr>
            </w:pPr>
            <w:r>
              <w:rPr>
                <w:rFonts w:ascii="Arial" w:cs="Arial" w:eastAsia="Arial" w:hAnsi="Arial"/>
                <w:sz w:val="15"/>
                <w:szCs w:val="15"/>
                <w:b w:val="1"/>
                <w:bCs w:val="1"/>
                <w:color w:val="FFFFFF"/>
              </w:rPr>
              <w:t>ACTIVITIES BY GEOGRAPHICAL AREA</w:t>
            </w:r>
          </w:p>
        </w:tc>
        <w:tc>
          <w:tcPr>
            <w:tcW w:w="540" w:type="dxa"/>
            <w:vAlign w:val="bottom"/>
            <w:shd w:val="clear" w:color="auto" w:fill="333333"/>
          </w:tcPr>
          <w:p>
            <w:pPr>
              <w:spacing w:after="0"/>
              <w:rPr>
                <w:sz w:val="17"/>
                <w:szCs w:val="17"/>
                <w:color w:val="auto"/>
              </w:rPr>
            </w:pPr>
          </w:p>
        </w:tc>
        <w:tc>
          <w:tcPr>
            <w:tcW w:w="820" w:type="dxa"/>
            <w:vAlign w:val="bottom"/>
            <w:shd w:val="clear" w:color="auto" w:fill="333333"/>
          </w:tcPr>
          <w:p>
            <w:pPr>
              <w:spacing w:after="0"/>
              <w:rPr>
                <w:sz w:val="17"/>
                <w:szCs w:val="17"/>
                <w:color w:val="auto"/>
              </w:rPr>
            </w:pPr>
          </w:p>
        </w:tc>
        <w:tc>
          <w:tcPr>
            <w:tcW w:w="940" w:type="dxa"/>
            <w:vAlign w:val="bottom"/>
            <w:shd w:val="clear" w:color="auto" w:fill="333333"/>
          </w:tcPr>
          <w:p>
            <w:pPr>
              <w:jc w:val="right"/>
              <w:ind w:right="88"/>
              <w:spacing w:after="0"/>
              <w:rPr>
                <w:sz w:val="20"/>
                <w:szCs w:val="20"/>
                <w:color w:val="auto"/>
              </w:rPr>
            </w:pPr>
            <w:r>
              <w:rPr>
                <w:rFonts w:ascii="Arial" w:cs="Arial" w:eastAsia="Arial" w:hAnsi="Arial"/>
                <w:sz w:val="15"/>
                <w:szCs w:val="15"/>
                <w:color w:val="FFFFFF"/>
              </w:rPr>
              <w:t>$ MILLION</w:t>
            </w:r>
          </w:p>
        </w:tc>
        <w:tc>
          <w:tcPr>
            <w:tcW w:w="180" w:type="dxa"/>
            <w:vAlign w:val="bottom"/>
          </w:tcPr>
          <w:p>
            <w:pPr>
              <w:spacing w:after="0"/>
              <w:rPr>
                <w:sz w:val="17"/>
                <w:szCs w:val="17"/>
                <w:color w:val="auto"/>
              </w:rPr>
            </w:pPr>
          </w:p>
        </w:tc>
      </w:tr>
      <w:tr>
        <w:trPr>
          <w:trHeight w:val="149"/>
        </w:trPr>
        <w:tc>
          <w:tcPr>
            <w:tcW w:w="316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shd w:val="clear" w:color="auto" w:fill="D8D8D8"/>
          </w:tcPr>
          <w:p>
            <w:pPr>
              <w:jc w:val="right"/>
              <w:ind w:right="29"/>
              <w:spacing w:after="0"/>
              <w:rPr>
                <w:sz w:val="20"/>
                <w:szCs w:val="20"/>
                <w:color w:val="auto"/>
              </w:rPr>
            </w:pPr>
            <w:r>
              <w:rPr>
                <w:rFonts w:ascii="Arial" w:cs="Arial" w:eastAsia="Arial" w:hAnsi="Arial"/>
                <w:sz w:val="13"/>
                <w:szCs w:val="13"/>
                <w:color w:val="auto"/>
              </w:rPr>
              <w:t>2014</w:t>
            </w:r>
          </w:p>
        </w:tc>
        <w:tc>
          <w:tcPr>
            <w:tcW w:w="940" w:type="dxa"/>
            <w:vAlign w:val="bottom"/>
            <w:tcBorders>
              <w:bottom w:val="single" w:sz="8" w:color="auto"/>
            </w:tcBorders>
          </w:tcPr>
          <w:p>
            <w:pPr>
              <w:jc w:val="right"/>
              <w:ind w:right="88"/>
              <w:spacing w:after="0"/>
              <w:rPr>
                <w:sz w:val="20"/>
                <w:szCs w:val="20"/>
                <w:color w:val="auto"/>
              </w:rPr>
            </w:pPr>
            <w:r>
              <w:rPr>
                <w:rFonts w:ascii="Arial" w:cs="Arial" w:eastAsia="Arial" w:hAnsi="Arial"/>
                <w:sz w:val="13"/>
                <w:szCs w:val="13"/>
                <w:color w:val="auto"/>
              </w:rPr>
              <w:t>2013</w:t>
            </w:r>
          </w:p>
        </w:tc>
        <w:tc>
          <w:tcPr>
            <w:tcW w:w="180" w:type="dxa"/>
            <w:vAlign w:val="bottom"/>
          </w:tcPr>
          <w:p>
            <w:pPr>
              <w:spacing w:after="0"/>
              <w:rPr>
                <w:sz w:val="12"/>
                <w:szCs w:val="12"/>
                <w:color w:val="auto"/>
              </w:rPr>
            </w:pPr>
          </w:p>
        </w:tc>
      </w:tr>
      <w:tr>
        <w:trPr>
          <w:trHeight w:val="156"/>
        </w:trPr>
        <w:tc>
          <w:tcPr>
            <w:tcW w:w="3160" w:type="dxa"/>
            <w:vAlign w:val="bottom"/>
          </w:tcPr>
          <w:p>
            <w:pPr>
              <w:spacing w:after="0" w:line="155" w:lineRule="exact"/>
              <w:rPr>
                <w:sz w:val="20"/>
                <w:szCs w:val="20"/>
                <w:color w:val="auto"/>
              </w:rPr>
            </w:pPr>
            <w:r>
              <w:rPr>
                <w:rFonts w:ascii="Arial" w:cs="Arial" w:eastAsia="Arial" w:hAnsi="Arial"/>
                <w:sz w:val="14"/>
                <w:szCs w:val="14"/>
                <w:color w:val="auto"/>
              </w:rPr>
              <w:t>Oil and gas exploration and production activities</w:t>
            </w:r>
          </w:p>
        </w:tc>
        <w:tc>
          <w:tcPr>
            <w:tcW w:w="540" w:type="dxa"/>
            <w:vAlign w:val="bottom"/>
          </w:tcPr>
          <w:p>
            <w:pPr>
              <w:spacing w:after="0"/>
              <w:rPr>
                <w:sz w:val="13"/>
                <w:szCs w:val="13"/>
                <w:color w:val="auto"/>
              </w:rPr>
            </w:pPr>
          </w:p>
        </w:tc>
        <w:tc>
          <w:tcPr>
            <w:tcW w:w="820" w:type="dxa"/>
            <w:vAlign w:val="bottom"/>
            <w:shd w:val="clear" w:color="auto" w:fill="D8D8D8"/>
          </w:tcPr>
          <w:p>
            <w:pPr>
              <w:spacing w:after="0"/>
              <w:rPr>
                <w:sz w:val="13"/>
                <w:szCs w:val="13"/>
                <w:color w:val="auto"/>
              </w:rPr>
            </w:pPr>
          </w:p>
        </w:tc>
        <w:tc>
          <w:tcPr>
            <w:tcW w:w="940" w:type="dxa"/>
            <w:vAlign w:val="bottom"/>
          </w:tcPr>
          <w:p>
            <w:pPr>
              <w:spacing w:after="0"/>
              <w:rPr>
                <w:sz w:val="13"/>
                <w:szCs w:val="13"/>
                <w:color w:val="auto"/>
              </w:rPr>
            </w:pPr>
          </w:p>
        </w:tc>
        <w:tc>
          <w:tcPr>
            <w:tcW w:w="180" w:type="dxa"/>
            <w:vAlign w:val="bottom"/>
          </w:tcPr>
          <w:p>
            <w:pPr>
              <w:spacing w:after="0"/>
              <w:rPr>
                <w:sz w:val="13"/>
                <w:szCs w:val="13"/>
                <w:color w:val="auto"/>
              </w:rPr>
            </w:pPr>
          </w:p>
        </w:tc>
      </w:tr>
      <w:tr>
        <w:trPr>
          <w:trHeight w:val="162"/>
        </w:trPr>
        <w:tc>
          <w:tcPr>
            <w:tcW w:w="3160" w:type="dxa"/>
            <w:vAlign w:val="bottom"/>
          </w:tcPr>
          <w:p>
            <w:pPr>
              <w:ind w:left="120"/>
              <w:spacing w:after="0"/>
              <w:rPr>
                <w:sz w:val="20"/>
                <w:szCs w:val="20"/>
                <w:color w:val="auto"/>
              </w:rPr>
            </w:pPr>
            <w:r>
              <w:rPr>
                <w:rFonts w:ascii="Arial" w:cs="Arial" w:eastAsia="Arial" w:hAnsi="Arial"/>
                <w:sz w:val="14"/>
                <w:szCs w:val="14"/>
                <w:color w:val="auto"/>
              </w:rPr>
              <w:t>Europe [A]</w:t>
            </w:r>
          </w:p>
        </w:tc>
        <w:tc>
          <w:tcPr>
            <w:tcW w:w="540" w:type="dxa"/>
            <w:vAlign w:val="bottom"/>
          </w:tcPr>
          <w:p>
            <w:pPr>
              <w:spacing w:after="0"/>
              <w:rPr>
                <w:sz w:val="14"/>
                <w:szCs w:val="14"/>
                <w:color w:val="auto"/>
              </w:rPr>
            </w:pPr>
          </w:p>
        </w:tc>
        <w:tc>
          <w:tcPr>
            <w:tcW w:w="820" w:type="dxa"/>
            <w:vAlign w:val="bottom"/>
            <w:shd w:val="clear" w:color="auto" w:fill="D8D8D8"/>
          </w:tcPr>
          <w:p>
            <w:pPr>
              <w:jc w:val="right"/>
              <w:ind w:right="29"/>
              <w:spacing w:after="0"/>
              <w:rPr>
                <w:sz w:val="20"/>
                <w:szCs w:val="20"/>
                <w:color w:val="auto"/>
              </w:rPr>
            </w:pPr>
            <w:r>
              <w:rPr>
                <w:rFonts w:ascii="Arial" w:cs="Arial" w:eastAsia="Arial" w:hAnsi="Arial"/>
                <w:sz w:val="14"/>
                <w:szCs w:val="14"/>
                <w:color w:val="auto"/>
              </w:rPr>
              <w:t>4,273</w:t>
            </w:r>
          </w:p>
        </w:tc>
        <w:tc>
          <w:tcPr>
            <w:tcW w:w="940" w:type="dxa"/>
            <w:vAlign w:val="bottom"/>
          </w:tcPr>
          <w:p>
            <w:pPr>
              <w:jc w:val="right"/>
              <w:ind w:right="88"/>
              <w:spacing w:after="0"/>
              <w:rPr>
                <w:sz w:val="20"/>
                <w:szCs w:val="20"/>
                <w:color w:val="auto"/>
              </w:rPr>
            </w:pPr>
            <w:r>
              <w:rPr>
                <w:rFonts w:ascii="Arial" w:cs="Arial" w:eastAsia="Arial" w:hAnsi="Arial"/>
                <w:sz w:val="14"/>
                <w:szCs w:val="14"/>
                <w:color w:val="auto"/>
              </w:rPr>
              <w:t>4,770</w:t>
            </w:r>
          </w:p>
        </w:tc>
        <w:tc>
          <w:tcPr>
            <w:tcW w:w="180" w:type="dxa"/>
            <w:vAlign w:val="bottom"/>
          </w:tcPr>
          <w:p>
            <w:pPr>
              <w:spacing w:after="0"/>
              <w:rPr>
                <w:sz w:val="14"/>
                <w:szCs w:val="14"/>
                <w:color w:val="auto"/>
              </w:rPr>
            </w:pPr>
          </w:p>
        </w:tc>
      </w:tr>
      <w:tr>
        <w:trPr>
          <w:trHeight w:val="167"/>
        </w:trPr>
        <w:tc>
          <w:tcPr>
            <w:tcW w:w="3160" w:type="dxa"/>
            <w:vAlign w:val="bottom"/>
          </w:tcPr>
          <w:p>
            <w:pPr>
              <w:ind w:left="120"/>
              <w:spacing w:after="0"/>
              <w:rPr>
                <w:sz w:val="20"/>
                <w:szCs w:val="20"/>
                <w:color w:val="auto"/>
              </w:rPr>
            </w:pPr>
            <w:r>
              <w:rPr>
                <w:rFonts w:ascii="Arial" w:cs="Arial" w:eastAsia="Arial" w:hAnsi="Arial"/>
                <w:sz w:val="14"/>
                <w:szCs w:val="14"/>
                <w:color w:val="auto"/>
              </w:rPr>
              <w:t>Asia</w:t>
            </w:r>
          </w:p>
        </w:tc>
        <w:tc>
          <w:tcPr>
            <w:tcW w:w="540" w:type="dxa"/>
            <w:vAlign w:val="bottom"/>
          </w:tcPr>
          <w:p>
            <w:pPr>
              <w:spacing w:after="0"/>
              <w:rPr>
                <w:sz w:val="14"/>
                <w:szCs w:val="14"/>
                <w:color w:val="auto"/>
              </w:rPr>
            </w:pPr>
          </w:p>
        </w:tc>
        <w:tc>
          <w:tcPr>
            <w:tcW w:w="820" w:type="dxa"/>
            <w:vAlign w:val="bottom"/>
            <w:shd w:val="clear" w:color="auto" w:fill="D8D8D8"/>
          </w:tcPr>
          <w:p>
            <w:pPr>
              <w:jc w:val="right"/>
              <w:ind w:right="29"/>
              <w:spacing w:after="0"/>
              <w:rPr>
                <w:sz w:val="20"/>
                <w:szCs w:val="20"/>
                <w:color w:val="auto"/>
              </w:rPr>
            </w:pPr>
            <w:r>
              <w:rPr>
                <w:rFonts w:ascii="Arial" w:cs="Arial" w:eastAsia="Arial" w:hAnsi="Arial"/>
                <w:sz w:val="14"/>
                <w:szCs w:val="14"/>
                <w:color w:val="auto"/>
              </w:rPr>
              <w:t>3,875</w:t>
            </w:r>
          </w:p>
        </w:tc>
        <w:tc>
          <w:tcPr>
            <w:tcW w:w="940" w:type="dxa"/>
            <w:vAlign w:val="bottom"/>
          </w:tcPr>
          <w:p>
            <w:pPr>
              <w:jc w:val="right"/>
              <w:ind w:right="88"/>
              <w:spacing w:after="0"/>
              <w:rPr>
                <w:sz w:val="20"/>
                <w:szCs w:val="20"/>
                <w:color w:val="auto"/>
              </w:rPr>
            </w:pPr>
            <w:r>
              <w:rPr>
                <w:rFonts w:ascii="Arial" w:cs="Arial" w:eastAsia="Arial" w:hAnsi="Arial"/>
                <w:sz w:val="14"/>
                <w:szCs w:val="14"/>
                <w:color w:val="auto"/>
              </w:rPr>
              <w:t>5,421</w:t>
            </w:r>
          </w:p>
        </w:tc>
        <w:tc>
          <w:tcPr>
            <w:tcW w:w="180" w:type="dxa"/>
            <w:vAlign w:val="bottom"/>
          </w:tcPr>
          <w:p>
            <w:pPr>
              <w:spacing w:after="0"/>
              <w:rPr>
                <w:sz w:val="14"/>
                <w:szCs w:val="14"/>
                <w:color w:val="auto"/>
              </w:rPr>
            </w:pPr>
          </w:p>
        </w:tc>
      </w:tr>
      <w:tr>
        <w:trPr>
          <w:trHeight w:val="162"/>
        </w:trPr>
        <w:tc>
          <w:tcPr>
            <w:tcW w:w="3160" w:type="dxa"/>
            <w:vAlign w:val="bottom"/>
          </w:tcPr>
          <w:p>
            <w:pPr>
              <w:ind w:left="120"/>
              <w:spacing w:after="0"/>
              <w:rPr>
                <w:sz w:val="20"/>
                <w:szCs w:val="20"/>
                <w:color w:val="auto"/>
              </w:rPr>
            </w:pPr>
            <w:r>
              <w:rPr>
                <w:rFonts w:ascii="Arial" w:cs="Arial" w:eastAsia="Arial" w:hAnsi="Arial"/>
                <w:sz w:val="14"/>
                <w:szCs w:val="14"/>
                <w:color w:val="auto"/>
              </w:rPr>
              <w:t>Oceania</w:t>
            </w:r>
          </w:p>
        </w:tc>
        <w:tc>
          <w:tcPr>
            <w:tcW w:w="540" w:type="dxa"/>
            <w:vAlign w:val="bottom"/>
          </w:tcPr>
          <w:p>
            <w:pPr>
              <w:spacing w:after="0"/>
              <w:rPr>
                <w:sz w:val="14"/>
                <w:szCs w:val="14"/>
                <w:color w:val="auto"/>
              </w:rPr>
            </w:pPr>
          </w:p>
        </w:tc>
        <w:tc>
          <w:tcPr>
            <w:tcW w:w="820" w:type="dxa"/>
            <w:vAlign w:val="bottom"/>
            <w:shd w:val="clear" w:color="auto" w:fill="D8D8D8"/>
          </w:tcPr>
          <w:p>
            <w:pPr>
              <w:jc w:val="right"/>
              <w:ind w:right="29"/>
              <w:spacing w:after="0"/>
              <w:rPr>
                <w:sz w:val="20"/>
                <w:szCs w:val="20"/>
                <w:color w:val="auto"/>
              </w:rPr>
            </w:pPr>
            <w:r>
              <w:rPr>
                <w:rFonts w:ascii="Arial" w:cs="Arial" w:eastAsia="Arial" w:hAnsi="Arial"/>
                <w:sz w:val="14"/>
                <w:szCs w:val="14"/>
                <w:color w:val="auto"/>
              </w:rPr>
              <w:t>5,068</w:t>
            </w:r>
          </w:p>
        </w:tc>
        <w:tc>
          <w:tcPr>
            <w:tcW w:w="940" w:type="dxa"/>
            <w:vAlign w:val="bottom"/>
          </w:tcPr>
          <w:p>
            <w:pPr>
              <w:jc w:val="right"/>
              <w:ind w:right="88"/>
              <w:spacing w:after="0"/>
              <w:rPr>
                <w:sz w:val="20"/>
                <w:szCs w:val="20"/>
                <w:color w:val="auto"/>
              </w:rPr>
            </w:pPr>
            <w:r>
              <w:rPr>
                <w:rFonts w:ascii="Arial" w:cs="Arial" w:eastAsia="Arial" w:hAnsi="Arial"/>
                <w:sz w:val="14"/>
                <w:szCs w:val="14"/>
                <w:color w:val="auto"/>
              </w:rPr>
              <w:t>6,237</w:t>
            </w:r>
          </w:p>
        </w:tc>
        <w:tc>
          <w:tcPr>
            <w:tcW w:w="180" w:type="dxa"/>
            <w:vAlign w:val="bottom"/>
          </w:tcPr>
          <w:p>
            <w:pPr>
              <w:spacing w:after="0"/>
              <w:rPr>
                <w:sz w:val="14"/>
                <w:szCs w:val="14"/>
                <w:color w:val="auto"/>
              </w:rPr>
            </w:pPr>
          </w:p>
        </w:tc>
      </w:tr>
      <w:tr>
        <w:trPr>
          <w:trHeight w:val="162"/>
        </w:trPr>
        <w:tc>
          <w:tcPr>
            <w:tcW w:w="3160" w:type="dxa"/>
            <w:vAlign w:val="bottom"/>
          </w:tcPr>
          <w:p>
            <w:pPr>
              <w:ind w:left="120"/>
              <w:spacing w:after="0"/>
              <w:rPr>
                <w:sz w:val="20"/>
                <w:szCs w:val="20"/>
                <w:color w:val="auto"/>
              </w:rPr>
            </w:pPr>
            <w:r>
              <w:rPr>
                <w:rFonts w:ascii="Arial" w:cs="Arial" w:eastAsia="Arial" w:hAnsi="Arial"/>
                <w:sz w:val="14"/>
                <w:szCs w:val="14"/>
                <w:color w:val="auto"/>
              </w:rPr>
              <w:t>Africa</w:t>
            </w:r>
          </w:p>
        </w:tc>
        <w:tc>
          <w:tcPr>
            <w:tcW w:w="540" w:type="dxa"/>
            <w:vAlign w:val="bottom"/>
          </w:tcPr>
          <w:p>
            <w:pPr>
              <w:spacing w:after="0"/>
              <w:rPr>
                <w:sz w:val="14"/>
                <w:szCs w:val="14"/>
                <w:color w:val="auto"/>
              </w:rPr>
            </w:pPr>
          </w:p>
        </w:tc>
        <w:tc>
          <w:tcPr>
            <w:tcW w:w="820" w:type="dxa"/>
            <w:vAlign w:val="bottom"/>
            <w:shd w:val="clear" w:color="auto" w:fill="D8D8D8"/>
          </w:tcPr>
          <w:p>
            <w:pPr>
              <w:jc w:val="right"/>
              <w:ind w:right="29"/>
              <w:spacing w:after="0"/>
              <w:rPr>
                <w:sz w:val="20"/>
                <w:szCs w:val="20"/>
                <w:color w:val="auto"/>
              </w:rPr>
            </w:pPr>
            <w:r>
              <w:rPr>
                <w:rFonts w:ascii="Arial" w:cs="Arial" w:eastAsia="Arial" w:hAnsi="Arial"/>
                <w:sz w:val="14"/>
                <w:szCs w:val="14"/>
                <w:color w:val="auto"/>
              </w:rPr>
              <w:t>2,825</w:t>
            </w:r>
          </w:p>
        </w:tc>
        <w:tc>
          <w:tcPr>
            <w:tcW w:w="940" w:type="dxa"/>
            <w:vAlign w:val="bottom"/>
          </w:tcPr>
          <w:p>
            <w:pPr>
              <w:jc w:val="right"/>
              <w:ind w:right="88"/>
              <w:spacing w:after="0"/>
              <w:rPr>
                <w:sz w:val="20"/>
                <w:szCs w:val="20"/>
                <w:color w:val="auto"/>
              </w:rPr>
            </w:pPr>
            <w:r>
              <w:rPr>
                <w:rFonts w:ascii="Arial" w:cs="Arial" w:eastAsia="Arial" w:hAnsi="Arial"/>
                <w:sz w:val="14"/>
                <w:szCs w:val="14"/>
                <w:color w:val="auto"/>
              </w:rPr>
              <w:t>2,639</w:t>
            </w:r>
          </w:p>
        </w:tc>
        <w:tc>
          <w:tcPr>
            <w:tcW w:w="180" w:type="dxa"/>
            <w:vAlign w:val="bottom"/>
          </w:tcPr>
          <w:p>
            <w:pPr>
              <w:spacing w:after="0"/>
              <w:rPr>
                <w:sz w:val="14"/>
                <w:szCs w:val="14"/>
                <w:color w:val="auto"/>
              </w:rPr>
            </w:pPr>
          </w:p>
        </w:tc>
      </w:tr>
      <w:tr>
        <w:trPr>
          <w:trHeight w:val="162"/>
        </w:trPr>
        <w:tc>
          <w:tcPr>
            <w:tcW w:w="3160" w:type="dxa"/>
            <w:vAlign w:val="bottom"/>
          </w:tcPr>
          <w:p>
            <w:pPr>
              <w:ind w:left="120"/>
              <w:spacing w:after="0"/>
              <w:rPr>
                <w:sz w:val="20"/>
                <w:szCs w:val="20"/>
                <w:color w:val="auto"/>
              </w:rPr>
            </w:pPr>
            <w:r>
              <w:rPr>
                <w:rFonts w:ascii="Arial" w:cs="Arial" w:eastAsia="Arial" w:hAnsi="Arial"/>
                <w:sz w:val="14"/>
                <w:szCs w:val="14"/>
                <w:color w:val="auto"/>
              </w:rPr>
              <w:t>North America – USA</w:t>
            </w:r>
          </w:p>
        </w:tc>
        <w:tc>
          <w:tcPr>
            <w:tcW w:w="540" w:type="dxa"/>
            <w:vAlign w:val="bottom"/>
          </w:tcPr>
          <w:p>
            <w:pPr>
              <w:spacing w:after="0"/>
              <w:rPr>
                <w:sz w:val="14"/>
                <w:szCs w:val="14"/>
                <w:color w:val="auto"/>
              </w:rPr>
            </w:pPr>
          </w:p>
        </w:tc>
        <w:tc>
          <w:tcPr>
            <w:tcW w:w="820" w:type="dxa"/>
            <w:vAlign w:val="bottom"/>
            <w:shd w:val="clear" w:color="auto" w:fill="D8D8D8"/>
          </w:tcPr>
          <w:p>
            <w:pPr>
              <w:jc w:val="right"/>
              <w:ind w:right="29"/>
              <w:spacing w:after="0"/>
              <w:rPr>
                <w:sz w:val="20"/>
                <w:szCs w:val="20"/>
                <w:color w:val="auto"/>
              </w:rPr>
            </w:pPr>
            <w:r>
              <w:rPr>
                <w:rFonts w:ascii="Arial" w:cs="Arial" w:eastAsia="Arial" w:hAnsi="Arial"/>
                <w:sz w:val="14"/>
                <w:szCs w:val="14"/>
                <w:color w:val="auto"/>
              </w:rPr>
              <w:t>8,210</w:t>
            </w:r>
          </w:p>
        </w:tc>
        <w:tc>
          <w:tcPr>
            <w:tcW w:w="940" w:type="dxa"/>
            <w:vAlign w:val="bottom"/>
          </w:tcPr>
          <w:p>
            <w:pPr>
              <w:jc w:val="right"/>
              <w:ind w:right="88"/>
              <w:spacing w:after="0"/>
              <w:rPr>
                <w:sz w:val="20"/>
                <w:szCs w:val="20"/>
                <w:color w:val="auto"/>
              </w:rPr>
            </w:pPr>
            <w:r>
              <w:rPr>
                <w:rFonts w:ascii="Arial" w:cs="Arial" w:eastAsia="Arial" w:hAnsi="Arial"/>
                <w:sz w:val="14"/>
                <w:szCs w:val="14"/>
                <w:color w:val="auto"/>
              </w:rPr>
              <w:t>9,155</w:t>
            </w:r>
          </w:p>
        </w:tc>
        <w:tc>
          <w:tcPr>
            <w:tcW w:w="180" w:type="dxa"/>
            <w:vAlign w:val="bottom"/>
          </w:tcPr>
          <w:p>
            <w:pPr>
              <w:spacing w:after="0"/>
              <w:rPr>
                <w:sz w:val="14"/>
                <w:szCs w:val="14"/>
                <w:color w:val="auto"/>
              </w:rPr>
            </w:pPr>
          </w:p>
        </w:tc>
      </w:tr>
      <w:tr>
        <w:trPr>
          <w:trHeight w:val="162"/>
        </w:trPr>
        <w:tc>
          <w:tcPr>
            <w:tcW w:w="3160" w:type="dxa"/>
            <w:vAlign w:val="bottom"/>
          </w:tcPr>
          <w:p>
            <w:pPr>
              <w:ind w:left="120"/>
              <w:spacing w:after="0"/>
              <w:rPr>
                <w:sz w:val="20"/>
                <w:szCs w:val="20"/>
                <w:color w:val="auto"/>
              </w:rPr>
            </w:pPr>
            <w:r>
              <w:rPr>
                <w:rFonts w:ascii="Arial" w:cs="Arial" w:eastAsia="Arial" w:hAnsi="Arial"/>
                <w:sz w:val="14"/>
                <w:szCs w:val="14"/>
                <w:color w:val="auto"/>
              </w:rPr>
              <w:t>North America – Canada</w:t>
            </w:r>
          </w:p>
        </w:tc>
        <w:tc>
          <w:tcPr>
            <w:tcW w:w="540" w:type="dxa"/>
            <w:vAlign w:val="bottom"/>
          </w:tcPr>
          <w:p>
            <w:pPr>
              <w:spacing w:after="0"/>
              <w:rPr>
                <w:sz w:val="14"/>
                <w:szCs w:val="14"/>
                <w:color w:val="auto"/>
              </w:rPr>
            </w:pPr>
          </w:p>
        </w:tc>
        <w:tc>
          <w:tcPr>
            <w:tcW w:w="820" w:type="dxa"/>
            <w:vAlign w:val="bottom"/>
            <w:shd w:val="clear" w:color="auto" w:fill="D8D8D8"/>
          </w:tcPr>
          <w:p>
            <w:pPr>
              <w:jc w:val="right"/>
              <w:ind w:right="29"/>
              <w:spacing w:after="0"/>
              <w:rPr>
                <w:sz w:val="20"/>
                <w:szCs w:val="20"/>
                <w:color w:val="auto"/>
              </w:rPr>
            </w:pPr>
            <w:r>
              <w:rPr>
                <w:rFonts w:ascii="Arial" w:cs="Arial" w:eastAsia="Arial" w:hAnsi="Arial"/>
                <w:sz w:val="14"/>
                <w:szCs w:val="14"/>
                <w:color w:val="auto"/>
              </w:rPr>
              <w:t>3,162</w:t>
            </w:r>
          </w:p>
        </w:tc>
        <w:tc>
          <w:tcPr>
            <w:tcW w:w="940" w:type="dxa"/>
            <w:vAlign w:val="bottom"/>
          </w:tcPr>
          <w:p>
            <w:pPr>
              <w:jc w:val="right"/>
              <w:ind w:right="88"/>
              <w:spacing w:after="0"/>
              <w:rPr>
                <w:sz w:val="20"/>
                <w:szCs w:val="20"/>
                <w:color w:val="auto"/>
              </w:rPr>
            </w:pPr>
            <w:r>
              <w:rPr>
                <w:rFonts w:ascii="Arial" w:cs="Arial" w:eastAsia="Arial" w:hAnsi="Arial"/>
                <w:sz w:val="14"/>
                <w:szCs w:val="14"/>
                <w:color w:val="auto"/>
              </w:rPr>
              <w:t>3,154</w:t>
            </w:r>
          </w:p>
        </w:tc>
        <w:tc>
          <w:tcPr>
            <w:tcW w:w="180" w:type="dxa"/>
            <w:vAlign w:val="bottom"/>
          </w:tcPr>
          <w:p>
            <w:pPr>
              <w:spacing w:after="0"/>
              <w:rPr>
                <w:sz w:val="14"/>
                <w:szCs w:val="14"/>
                <w:color w:val="auto"/>
              </w:rPr>
            </w:pPr>
          </w:p>
        </w:tc>
      </w:tr>
      <w:tr>
        <w:trPr>
          <w:trHeight w:val="157"/>
        </w:trPr>
        <w:tc>
          <w:tcPr>
            <w:tcW w:w="3160" w:type="dxa"/>
            <w:vAlign w:val="bottom"/>
            <w:tcBorders>
              <w:bottom w:val="single" w:sz="8" w:color="auto"/>
            </w:tcBorders>
          </w:tcPr>
          <w:p>
            <w:pPr>
              <w:ind w:left="120"/>
              <w:spacing w:after="0" w:line="157" w:lineRule="exact"/>
              <w:rPr>
                <w:sz w:val="20"/>
                <w:szCs w:val="20"/>
                <w:color w:val="auto"/>
              </w:rPr>
            </w:pPr>
            <w:r>
              <w:rPr>
                <w:rFonts w:ascii="Arial" w:cs="Arial" w:eastAsia="Arial" w:hAnsi="Arial"/>
                <w:sz w:val="14"/>
                <w:szCs w:val="14"/>
                <w:color w:val="auto"/>
              </w:rPr>
              <w:t>South America</w:t>
            </w:r>
          </w:p>
        </w:tc>
        <w:tc>
          <w:tcPr>
            <w:tcW w:w="54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shd w:val="clear" w:color="auto" w:fill="D8D8D8"/>
          </w:tcPr>
          <w:p>
            <w:pPr>
              <w:jc w:val="right"/>
              <w:ind w:right="29"/>
              <w:spacing w:after="0" w:line="157" w:lineRule="exact"/>
              <w:rPr>
                <w:sz w:val="20"/>
                <w:szCs w:val="20"/>
                <w:color w:val="auto"/>
              </w:rPr>
            </w:pPr>
            <w:r>
              <w:rPr>
                <w:rFonts w:ascii="Arial" w:cs="Arial" w:eastAsia="Arial" w:hAnsi="Arial"/>
                <w:sz w:val="14"/>
                <w:szCs w:val="14"/>
                <w:color w:val="auto"/>
              </w:rPr>
              <w:t>1,109</w:t>
            </w:r>
          </w:p>
        </w:tc>
        <w:tc>
          <w:tcPr>
            <w:tcW w:w="940" w:type="dxa"/>
            <w:vAlign w:val="bottom"/>
            <w:tcBorders>
              <w:bottom w:val="single" w:sz="8" w:color="auto"/>
            </w:tcBorders>
          </w:tcPr>
          <w:p>
            <w:pPr>
              <w:jc w:val="right"/>
              <w:ind w:right="88"/>
              <w:spacing w:after="0" w:line="157" w:lineRule="exact"/>
              <w:rPr>
                <w:sz w:val="20"/>
                <w:szCs w:val="20"/>
                <w:color w:val="auto"/>
              </w:rPr>
            </w:pPr>
            <w:r>
              <w:rPr>
                <w:rFonts w:ascii="Arial" w:cs="Arial" w:eastAsia="Arial" w:hAnsi="Arial"/>
                <w:sz w:val="14"/>
                <w:szCs w:val="14"/>
                <w:color w:val="auto"/>
              </w:rPr>
              <w:t>4,158</w:t>
            </w:r>
          </w:p>
        </w:tc>
        <w:tc>
          <w:tcPr>
            <w:tcW w:w="180" w:type="dxa"/>
            <w:vAlign w:val="bottom"/>
          </w:tcPr>
          <w:p>
            <w:pPr>
              <w:spacing w:after="0"/>
              <w:rPr>
                <w:sz w:val="13"/>
                <w:szCs w:val="13"/>
                <w:color w:val="auto"/>
              </w:rPr>
            </w:pPr>
          </w:p>
        </w:tc>
      </w:tr>
      <w:tr>
        <w:trPr>
          <w:trHeight w:val="156"/>
        </w:trPr>
        <w:tc>
          <w:tcPr>
            <w:tcW w:w="3160" w:type="dxa"/>
            <w:vAlign w:val="bottom"/>
            <w:tcBorders>
              <w:bottom w:val="single" w:sz="8" w:color="auto"/>
            </w:tcBorders>
          </w:tcPr>
          <w:p>
            <w:pPr>
              <w:spacing w:after="0" w:line="155" w:lineRule="exact"/>
              <w:rPr>
                <w:sz w:val="20"/>
                <w:szCs w:val="20"/>
                <w:color w:val="auto"/>
              </w:rPr>
            </w:pPr>
            <w:r>
              <w:rPr>
                <w:rFonts w:ascii="Arial" w:cs="Arial" w:eastAsia="Arial" w:hAnsi="Arial"/>
                <w:sz w:val="14"/>
                <w:szCs w:val="14"/>
                <w:color w:val="auto"/>
              </w:rPr>
              <w:t>Total</w:t>
            </w:r>
          </w:p>
        </w:tc>
        <w:tc>
          <w:tcPr>
            <w:tcW w:w="54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shd w:val="clear" w:color="auto" w:fill="D8D8D8"/>
          </w:tcPr>
          <w:p>
            <w:pPr>
              <w:jc w:val="right"/>
              <w:ind w:right="29"/>
              <w:spacing w:after="0" w:line="155" w:lineRule="exact"/>
              <w:rPr>
                <w:sz w:val="20"/>
                <w:szCs w:val="20"/>
                <w:color w:val="auto"/>
              </w:rPr>
            </w:pPr>
            <w:r>
              <w:rPr>
                <w:rFonts w:ascii="Arial" w:cs="Arial" w:eastAsia="Arial" w:hAnsi="Arial"/>
                <w:sz w:val="14"/>
                <w:szCs w:val="14"/>
                <w:color w:val="auto"/>
              </w:rPr>
              <w:t>28,522</w:t>
            </w:r>
          </w:p>
        </w:tc>
        <w:tc>
          <w:tcPr>
            <w:tcW w:w="940" w:type="dxa"/>
            <w:vAlign w:val="bottom"/>
            <w:tcBorders>
              <w:bottom w:val="single" w:sz="8" w:color="auto"/>
            </w:tcBorders>
          </w:tcPr>
          <w:p>
            <w:pPr>
              <w:jc w:val="right"/>
              <w:ind w:right="88"/>
              <w:spacing w:after="0" w:line="155" w:lineRule="exact"/>
              <w:rPr>
                <w:sz w:val="20"/>
                <w:szCs w:val="20"/>
                <w:color w:val="auto"/>
              </w:rPr>
            </w:pPr>
            <w:r>
              <w:rPr>
                <w:rFonts w:ascii="Arial" w:cs="Arial" w:eastAsia="Arial" w:hAnsi="Arial"/>
                <w:sz w:val="14"/>
                <w:szCs w:val="14"/>
                <w:color w:val="auto"/>
              </w:rPr>
              <w:t>35,534</w:t>
            </w:r>
          </w:p>
        </w:tc>
        <w:tc>
          <w:tcPr>
            <w:tcW w:w="180" w:type="dxa"/>
            <w:vAlign w:val="bottom"/>
          </w:tcPr>
          <w:p>
            <w:pPr>
              <w:spacing w:after="0"/>
              <w:rPr>
                <w:sz w:val="13"/>
                <w:szCs w:val="13"/>
                <w:color w:val="auto"/>
              </w:rPr>
            </w:pPr>
          </w:p>
        </w:tc>
      </w:tr>
      <w:tr>
        <w:trPr>
          <w:trHeight w:val="156"/>
        </w:trPr>
        <w:tc>
          <w:tcPr>
            <w:tcW w:w="3160" w:type="dxa"/>
            <w:vAlign w:val="bottom"/>
            <w:tcBorders>
              <w:bottom w:val="single" w:sz="8" w:color="auto"/>
            </w:tcBorders>
          </w:tcPr>
          <w:p>
            <w:pPr>
              <w:spacing w:after="0" w:line="155" w:lineRule="exact"/>
              <w:rPr>
                <w:sz w:val="20"/>
                <w:szCs w:val="20"/>
                <w:color w:val="auto"/>
              </w:rPr>
            </w:pPr>
            <w:r>
              <w:rPr>
                <w:rFonts w:ascii="Arial" w:cs="Arial" w:eastAsia="Arial" w:hAnsi="Arial"/>
                <w:sz w:val="14"/>
                <w:szCs w:val="14"/>
                <w:color w:val="auto"/>
              </w:rPr>
              <w:t>Other Upstream activities [B]</w:t>
            </w:r>
          </w:p>
        </w:tc>
        <w:tc>
          <w:tcPr>
            <w:tcW w:w="54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shd w:val="clear" w:color="auto" w:fill="D8D8D8"/>
          </w:tcPr>
          <w:p>
            <w:pPr>
              <w:jc w:val="right"/>
              <w:ind w:right="29"/>
              <w:spacing w:after="0" w:line="155" w:lineRule="exact"/>
              <w:rPr>
                <w:sz w:val="20"/>
                <w:szCs w:val="20"/>
                <w:color w:val="auto"/>
              </w:rPr>
            </w:pPr>
            <w:r>
              <w:rPr>
                <w:rFonts w:ascii="Arial" w:cs="Arial" w:eastAsia="Arial" w:hAnsi="Arial"/>
                <w:sz w:val="14"/>
                <w:szCs w:val="14"/>
                <w:color w:val="auto"/>
              </w:rPr>
              <w:t>2,771</w:t>
            </w:r>
          </w:p>
        </w:tc>
        <w:tc>
          <w:tcPr>
            <w:tcW w:w="940" w:type="dxa"/>
            <w:vAlign w:val="bottom"/>
            <w:tcBorders>
              <w:bottom w:val="single" w:sz="8" w:color="auto"/>
            </w:tcBorders>
          </w:tcPr>
          <w:p>
            <w:pPr>
              <w:jc w:val="right"/>
              <w:ind w:right="88"/>
              <w:spacing w:after="0" w:line="155" w:lineRule="exact"/>
              <w:rPr>
                <w:sz w:val="20"/>
                <w:szCs w:val="20"/>
                <w:color w:val="auto"/>
              </w:rPr>
            </w:pPr>
            <w:r>
              <w:rPr>
                <w:rFonts w:ascii="Arial" w:cs="Arial" w:eastAsia="Arial" w:hAnsi="Arial"/>
                <w:sz w:val="14"/>
                <w:szCs w:val="14"/>
                <w:color w:val="auto"/>
              </w:rPr>
              <w:t>4,769</w:t>
            </w:r>
          </w:p>
        </w:tc>
        <w:tc>
          <w:tcPr>
            <w:tcW w:w="180" w:type="dxa"/>
            <w:vAlign w:val="bottom"/>
          </w:tcPr>
          <w:p>
            <w:pPr>
              <w:spacing w:after="0"/>
              <w:rPr>
                <w:sz w:val="13"/>
                <w:szCs w:val="13"/>
                <w:color w:val="auto"/>
              </w:rPr>
            </w:pPr>
          </w:p>
        </w:tc>
      </w:tr>
      <w:tr>
        <w:trPr>
          <w:trHeight w:val="156"/>
        </w:trPr>
        <w:tc>
          <w:tcPr>
            <w:tcW w:w="3160" w:type="dxa"/>
            <w:vAlign w:val="bottom"/>
            <w:tcBorders>
              <w:bottom w:val="single" w:sz="8" w:color="auto"/>
            </w:tcBorders>
          </w:tcPr>
          <w:p>
            <w:pPr>
              <w:spacing w:after="0" w:line="155" w:lineRule="exact"/>
              <w:rPr>
                <w:sz w:val="20"/>
                <w:szCs w:val="20"/>
                <w:color w:val="auto"/>
              </w:rPr>
            </w:pPr>
            <w:r>
              <w:rPr>
                <w:rFonts w:ascii="Arial" w:cs="Arial" w:eastAsia="Arial" w:hAnsi="Arial"/>
                <w:sz w:val="14"/>
                <w:szCs w:val="14"/>
                <w:color w:val="auto"/>
              </w:rPr>
              <w:t>Total Upstream [C]</w:t>
            </w:r>
          </w:p>
        </w:tc>
        <w:tc>
          <w:tcPr>
            <w:tcW w:w="54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shd w:val="clear" w:color="auto" w:fill="D8D8D8"/>
          </w:tcPr>
          <w:p>
            <w:pPr>
              <w:jc w:val="right"/>
              <w:ind w:right="29"/>
              <w:spacing w:after="0" w:line="155" w:lineRule="exact"/>
              <w:rPr>
                <w:sz w:val="20"/>
                <w:szCs w:val="20"/>
                <w:color w:val="auto"/>
              </w:rPr>
            </w:pPr>
            <w:r>
              <w:rPr>
                <w:rFonts w:ascii="Arial" w:cs="Arial" w:eastAsia="Arial" w:hAnsi="Arial"/>
                <w:sz w:val="14"/>
                <w:szCs w:val="14"/>
                <w:color w:val="auto"/>
              </w:rPr>
              <w:t>31,293</w:t>
            </w:r>
          </w:p>
        </w:tc>
        <w:tc>
          <w:tcPr>
            <w:tcW w:w="940" w:type="dxa"/>
            <w:vAlign w:val="bottom"/>
            <w:tcBorders>
              <w:bottom w:val="single" w:sz="8" w:color="auto"/>
            </w:tcBorders>
          </w:tcPr>
          <w:p>
            <w:pPr>
              <w:jc w:val="right"/>
              <w:ind w:right="88"/>
              <w:spacing w:after="0" w:line="155" w:lineRule="exact"/>
              <w:rPr>
                <w:sz w:val="20"/>
                <w:szCs w:val="20"/>
                <w:color w:val="auto"/>
              </w:rPr>
            </w:pPr>
            <w:r>
              <w:rPr>
                <w:rFonts w:ascii="Arial" w:cs="Arial" w:eastAsia="Arial" w:hAnsi="Arial"/>
                <w:sz w:val="14"/>
                <w:szCs w:val="14"/>
                <w:color w:val="auto"/>
              </w:rPr>
              <w:t>40,303</w:t>
            </w:r>
          </w:p>
        </w:tc>
        <w:tc>
          <w:tcPr>
            <w:tcW w:w="180" w:type="dxa"/>
            <w:vAlign w:val="bottom"/>
          </w:tcPr>
          <w:p>
            <w:pPr>
              <w:spacing w:after="0"/>
              <w:rPr>
                <w:sz w:val="13"/>
                <w:szCs w:val="13"/>
                <w:color w:val="auto"/>
              </w:rPr>
            </w:pPr>
          </w:p>
        </w:tc>
      </w:tr>
    </w:tbl>
    <w:p>
      <w:pPr>
        <w:spacing w:after="0" w:line="32" w:lineRule="exact"/>
        <w:rPr>
          <w:sz w:val="20"/>
          <w:szCs w:val="20"/>
          <w:color w:val="auto"/>
        </w:rPr>
      </w:pPr>
    </w:p>
    <w:p>
      <w:pPr>
        <w:ind w:left="160" w:hanging="160"/>
        <w:spacing w:after="0"/>
        <w:tabs>
          <w:tab w:leader="none" w:pos="160" w:val="left"/>
        </w:tabs>
        <w:numPr>
          <w:ilvl w:val="0"/>
          <w:numId w:val="31"/>
        </w:numPr>
        <w:rPr>
          <w:rFonts w:ascii="Arial" w:cs="Arial" w:eastAsia="Arial" w:hAnsi="Arial"/>
          <w:sz w:val="11"/>
          <w:szCs w:val="11"/>
          <w:color w:val="auto"/>
        </w:rPr>
      </w:pPr>
      <w:r>
        <w:rPr>
          <w:rFonts w:ascii="Arial" w:cs="Arial" w:eastAsia="Arial" w:hAnsi="Arial"/>
          <w:sz w:val="11"/>
          <w:szCs w:val="11"/>
          <w:color w:val="auto"/>
        </w:rPr>
        <w:t>Includes Greenland.</w:t>
      </w:r>
    </w:p>
    <w:p>
      <w:pPr>
        <w:ind w:left="160" w:hanging="160"/>
        <w:spacing w:after="0" w:line="230" w:lineRule="auto"/>
        <w:tabs>
          <w:tab w:leader="none" w:pos="160" w:val="left"/>
        </w:tabs>
        <w:numPr>
          <w:ilvl w:val="0"/>
          <w:numId w:val="31"/>
        </w:numPr>
        <w:rPr>
          <w:rFonts w:ascii="Arial" w:cs="Arial" w:eastAsia="Arial" w:hAnsi="Arial"/>
          <w:sz w:val="11"/>
          <w:szCs w:val="11"/>
          <w:color w:val="auto"/>
        </w:rPr>
      </w:pPr>
      <w:r>
        <w:rPr>
          <w:rFonts w:ascii="Arial" w:cs="Arial" w:eastAsia="Arial" w:hAnsi="Arial"/>
          <w:sz w:val="11"/>
          <w:szCs w:val="11"/>
          <w:color w:val="auto"/>
        </w:rPr>
        <w:t>Comprise LNG, GTL, trading and wind activities.</w:t>
      </w:r>
    </w:p>
    <w:p>
      <w:pPr>
        <w:ind w:left="160" w:hanging="160"/>
        <w:spacing w:after="0"/>
        <w:tabs>
          <w:tab w:leader="none" w:pos="160" w:val="left"/>
        </w:tabs>
        <w:numPr>
          <w:ilvl w:val="0"/>
          <w:numId w:val="31"/>
        </w:numPr>
        <w:rPr>
          <w:rFonts w:ascii="Arial" w:cs="Arial" w:eastAsia="Arial" w:hAnsi="Arial"/>
          <w:sz w:val="11"/>
          <w:szCs w:val="11"/>
          <w:color w:val="auto"/>
        </w:rPr>
      </w:pPr>
      <w:r>
        <w:rPr>
          <w:rFonts w:ascii="Arial" w:cs="Arial" w:eastAsia="Arial" w:hAnsi="Arial"/>
          <w:sz w:val="11"/>
          <w:szCs w:val="11"/>
          <w:color w:val="auto"/>
        </w:rPr>
        <w:t>See “Non-GAAP measures reconciliations” for a reconciliation to capital expenditure.</w:t>
      </w:r>
    </w:p>
    <w:p>
      <w:pPr>
        <w:sectPr>
          <w:pgSz w:w="11900" w:h="16838" w:orient="portrait"/>
          <w:cols w:equalWidth="0" w:num="2">
            <w:col w:w="5500" w:space="280"/>
            <w:col w:w="5640"/>
          </w:cols>
          <w:pgMar w:left="240" w:top="459" w:right="239" w:bottom="1440" w:gutter="0" w:footer="0" w:header="0"/>
          <w:type w:val="continuous"/>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6471285</wp:posOffset>
            </wp:positionH>
            <wp:positionV relativeFrom="paragraph">
              <wp:posOffset>300355</wp:posOffset>
            </wp:positionV>
            <wp:extent cx="8890" cy="46291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8890" cy="462915"/>
                    </a:xfrm>
                    <a:prstGeom prst="rect">
                      <a:avLst/>
                    </a:prstGeom>
                    <a:noFill/>
                  </pic:spPr>
                </pic:pic>
              </a:graphicData>
            </a:graphic>
          </wp:anchor>
        </w:drawing>
      </w:r>
    </w:p>
    <w:p>
      <w:pPr>
        <w:spacing w:after="0" w:line="200" w:lineRule="exact"/>
        <w:rPr>
          <w:sz w:val="20"/>
          <w:szCs w:val="20"/>
          <w:color w:val="auto"/>
        </w:rPr>
      </w:pP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565"/>
        </w:trPr>
        <w:tc>
          <w:tcPr>
            <w:tcW w:w="37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20" w:type="dxa"/>
            <w:vAlign w:val="bottom"/>
            <w:shd w:val="clear" w:color="auto" w:fill="FF8B00"/>
          </w:tcPr>
          <w:p>
            <w:pPr>
              <w:spacing w:after="0"/>
              <w:rPr>
                <w:sz w:val="24"/>
                <w:szCs w:val="24"/>
                <w:color w:val="auto"/>
              </w:rPr>
            </w:pPr>
          </w:p>
        </w:tc>
        <w:tc>
          <w:tcPr>
            <w:tcW w:w="3040" w:type="dxa"/>
            <w:vAlign w:val="bottom"/>
            <w:gridSpan w:val="4"/>
            <w:shd w:val="clear" w:color="auto" w:fill="FF8B00"/>
          </w:tcPr>
          <w:p>
            <w:pPr>
              <w:ind w:left="320"/>
              <w:spacing w:after="0"/>
              <w:rPr>
                <w:sz w:val="20"/>
                <w:szCs w:val="20"/>
                <w:color w:val="auto"/>
              </w:rPr>
            </w:pPr>
            <w:r>
              <w:rPr>
                <w:rFonts w:ascii="Arial" w:cs="Arial" w:eastAsia="Arial" w:hAnsi="Arial"/>
                <w:sz w:val="13"/>
                <w:szCs w:val="13"/>
                <w:color w:val="333333"/>
              </w:rPr>
              <w:t>STRATEGIC REPORT</w:t>
            </w:r>
          </w:p>
        </w:tc>
        <w:tc>
          <w:tcPr>
            <w:tcW w:w="1000" w:type="dxa"/>
            <w:vAlign w:val="bottom"/>
            <w:shd w:val="clear" w:color="auto" w:fill="FF8B00"/>
          </w:tcPr>
          <w:p>
            <w:pPr>
              <w:spacing w:after="0"/>
              <w:rPr>
                <w:sz w:val="24"/>
                <w:szCs w:val="24"/>
                <w:color w:val="auto"/>
              </w:rPr>
            </w:pPr>
          </w:p>
        </w:tc>
        <w:tc>
          <w:tcPr>
            <w:tcW w:w="1160" w:type="dxa"/>
            <w:vAlign w:val="bottom"/>
            <w:shd w:val="clear" w:color="auto" w:fill="FF8B00"/>
          </w:tcPr>
          <w:p>
            <w:pPr>
              <w:jc w:val="right"/>
              <w:ind w:right="292"/>
              <w:spacing w:after="0"/>
              <w:rPr>
                <w:sz w:val="20"/>
                <w:szCs w:val="20"/>
                <w:color w:val="auto"/>
              </w:rPr>
            </w:pPr>
            <w:r>
              <w:rPr>
                <w:rFonts w:ascii="Arial" w:cs="Arial" w:eastAsia="Arial" w:hAnsi="Arial"/>
                <w:sz w:val="11"/>
                <w:szCs w:val="11"/>
                <w:b w:val="1"/>
                <w:bCs w:val="1"/>
                <w:color w:val="333333"/>
              </w:rPr>
              <w:t>33</w:t>
            </w:r>
          </w:p>
        </w:tc>
        <w:tc>
          <w:tcPr>
            <w:tcW w:w="0" w:type="dxa"/>
            <w:vAlign w:val="bottom"/>
          </w:tcPr>
          <w:p>
            <w:pPr>
              <w:spacing w:after="0"/>
              <w:rPr>
                <w:sz w:val="1"/>
                <w:szCs w:val="1"/>
                <w:color w:val="auto"/>
              </w:rPr>
            </w:pPr>
          </w:p>
        </w:tc>
      </w:tr>
      <w:tr>
        <w:trPr>
          <w:trHeight w:val="165"/>
        </w:trPr>
        <w:tc>
          <w:tcPr>
            <w:tcW w:w="3740" w:type="dxa"/>
            <w:vAlign w:val="bottom"/>
            <w:vMerge w:val="restart"/>
          </w:tcPr>
          <w:p>
            <w:pPr>
              <w:spacing w:after="0"/>
              <w:rPr>
                <w:sz w:val="20"/>
                <w:szCs w:val="20"/>
                <w:color w:val="auto"/>
              </w:rPr>
            </w:pPr>
            <w:r>
              <w:rPr>
                <w:rFonts w:ascii="Arial" w:cs="Arial" w:eastAsia="Arial" w:hAnsi="Arial"/>
                <w:sz w:val="11"/>
                <w:szCs w:val="11"/>
                <w:color w:val="auto"/>
              </w:rPr>
              <w:t>SHELL ANNUAL REPORT AND FORM 20-F 2014</w:t>
            </w:r>
          </w:p>
        </w:tc>
        <w:tc>
          <w:tcPr>
            <w:tcW w:w="1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20" w:type="dxa"/>
            <w:vAlign w:val="bottom"/>
            <w:shd w:val="clear" w:color="auto" w:fill="FF8B00"/>
          </w:tcPr>
          <w:p>
            <w:pPr>
              <w:spacing w:after="0"/>
              <w:rPr>
                <w:sz w:val="14"/>
                <w:szCs w:val="14"/>
                <w:color w:val="auto"/>
              </w:rPr>
            </w:pPr>
          </w:p>
        </w:tc>
        <w:tc>
          <w:tcPr>
            <w:tcW w:w="460" w:type="dxa"/>
            <w:vAlign w:val="bottom"/>
            <w:shd w:val="clear" w:color="auto" w:fill="FF8B00"/>
          </w:tcPr>
          <w:p>
            <w:pPr>
              <w:spacing w:after="0"/>
              <w:rPr>
                <w:sz w:val="14"/>
                <w:szCs w:val="14"/>
                <w:color w:val="auto"/>
              </w:rPr>
            </w:pPr>
          </w:p>
        </w:tc>
        <w:tc>
          <w:tcPr>
            <w:tcW w:w="1000" w:type="dxa"/>
            <w:vAlign w:val="bottom"/>
            <w:shd w:val="clear" w:color="auto" w:fill="FF8B00"/>
          </w:tcPr>
          <w:p>
            <w:pPr>
              <w:spacing w:after="0"/>
              <w:rPr>
                <w:sz w:val="14"/>
                <w:szCs w:val="14"/>
                <w:color w:val="auto"/>
              </w:rPr>
            </w:pPr>
          </w:p>
        </w:tc>
        <w:tc>
          <w:tcPr>
            <w:tcW w:w="1120" w:type="dxa"/>
            <w:vAlign w:val="bottom"/>
            <w:shd w:val="clear" w:color="auto" w:fill="FF8B00"/>
          </w:tcPr>
          <w:p>
            <w:pPr>
              <w:spacing w:after="0"/>
              <w:rPr>
                <w:sz w:val="14"/>
                <w:szCs w:val="14"/>
                <w:color w:val="auto"/>
              </w:rPr>
            </w:pPr>
          </w:p>
        </w:tc>
        <w:tc>
          <w:tcPr>
            <w:tcW w:w="460" w:type="dxa"/>
            <w:vAlign w:val="bottom"/>
            <w:shd w:val="clear" w:color="auto" w:fill="FF8B00"/>
          </w:tcPr>
          <w:p>
            <w:pPr>
              <w:spacing w:after="0"/>
              <w:rPr>
                <w:sz w:val="14"/>
                <w:szCs w:val="14"/>
                <w:color w:val="auto"/>
              </w:rPr>
            </w:pPr>
          </w:p>
        </w:tc>
        <w:tc>
          <w:tcPr>
            <w:tcW w:w="1000" w:type="dxa"/>
            <w:vAlign w:val="bottom"/>
            <w:shd w:val="clear" w:color="auto" w:fill="FF8B00"/>
          </w:tcPr>
          <w:p>
            <w:pPr>
              <w:spacing w:after="0"/>
              <w:rPr>
                <w:sz w:val="14"/>
                <w:szCs w:val="14"/>
                <w:color w:val="auto"/>
              </w:rPr>
            </w:pPr>
          </w:p>
        </w:tc>
        <w:tc>
          <w:tcPr>
            <w:tcW w:w="1160" w:type="dxa"/>
            <w:vAlign w:val="bottom"/>
            <w:shd w:val="clear" w:color="auto" w:fill="FF8B00"/>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3740" w:type="dxa"/>
            <w:vAlign w:val="bottom"/>
            <w:vMerge w:val="continue"/>
          </w:tcPr>
          <w:p>
            <w:pPr>
              <w:spacing w:after="0"/>
              <w:rPr>
                <w:sz w:val="10"/>
                <w:szCs w:val="10"/>
                <w:color w:val="auto"/>
              </w:rPr>
            </w:pPr>
          </w:p>
        </w:tc>
        <w:tc>
          <w:tcPr>
            <w:tcW w:w="11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60" w:type="dxa"/>
            <w:vAlign w:val="bottom"/>
            <w:gridSpan w:val="2"/>
          </w:tcPr>
          <w:p>
            <w:pPr>
              <w:jc w:val="right"/>
              <w:ind w:right="473"/>
              <w:spacing w:after="0" w:line="121" w:lineRule="exact"/>
              <w:rPr>
                <w:sz w:val="20"/>
                <w:szCs w:val="20"/>
                <w:color w:val="auto"/>
              </w:rPr>
            </w:pPr>
            <w:r>
              <w:rPr>
                <w:rFonts w:ascii="Arial" w:cs="Arial" w:eastAsia="Arial" w:hAnsi="Arial"/>
                <w:sz w:val="11"/>
                <w:szCs w:val="11"/>
                <w:color w:val="auto"/>
              </w:rPr>
              <w:t>UPSTREAM</w:t>
            </w:r>
          </w:p>
        </w:tc>
        <w:tc>
          <w:tcPr>
            <w:tcW w:w="1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7"/>
        </w:trPr>
        <w:tc>
          <w:tcPr>
            <w:tcW w:w="4840" w:type="dxa"/>
            <w:vAlign w:val="bottom"/>
            <w:gridSpan w:val="2"/>
          </w:tcPr>
          <w:p>
            <w:pPr>
              <w:spacing w:after="0"/>
              <w:rPr>
                <w:sz w:val="20"/>
                <w:szCs w:val="20"/>
                <w:color w:val="auto"/>
              </w:rPr>
            </w:pPr>
            <w:r>
              <w:rPr>
                <w:rFonts w:ascii="Arial" w:cs="Arial" w:eastAsia="Arial" w:hAnsi="Arial"/>
                <w:sz w:val="18"/>
                <w:szCs w:val="18"/>
                <w:color w:val="auto"/>
              </w:rPr>
              <w:t>AVERAGE REALISED PRICE BY GEOGRAPHICAL AREA</w:t>
            </w:r>
          </w:p>
        </w:tc>
        <w:tc>
          <w:tcPr>
            <w:tcW w:w="7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37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3740" w:type="dxa"/>
            <w:vAlign w:val="bottom"/>
            <w:shd w:val="clear" w:color="auto" w:fill="333333"/>
          </w:tcPr>
          <w:p>
            <w:pPr>
              <w:ind w:left="80"/>
              <w:spacing w:after="0" w:line="162" w:lineRule="exact"/>
              <w:rPr>
                <w:sz w:val="20"/>
                <w:szCs w:val="20"/>
                <w:color w:val="auto"/>
              </w:rPr>
            </w:pPr>
            <w:r>
              <w:rPr>
                <w:rFonts w:ascii="Arial" w:cs="Arial" w:eastAsia="Arial" w:hAnsi="Arial"/>
                <w:sz w:val="15"/>
                <w:szCs w:val="15"/>
                <w:b w:val="1"/>
                <w:bCs w:val="1"/>
                <w:color w:val="FFFFFF"/>
              </w:rPr>
              <w:t>OIL AND NATURAL GAS LIQUIDS</w:t>
            </w:r>
          </w:p>
        </w:tc>
        <w:tc>
          <w:tcPr>
            <w:tcW w:w="1100" w:type="dxa"/>
            <w:vAlign w:val="bottom"/>
            <w:shd w:val="clear" w:color="auto" w:fill="333333"/>
          </w:tcPr>
          <w:p>
            <w:pPr>
              <w:spacing w:after="0"/>
              <w:rPr>
                <w:sz w:val="14"/>
                <w:szCs w:val="14"/>
                <w:color w:val="auto"/>
              </w:rPr>
            </w:pPr>
          </w:p>
        </w:tc>
        <w:tc>
          <w:tcPr>
            <w:tcW w:w="760" w:type="dxa"/>
            <w:vAlign w:val="bottom"/>
            <w:shd w:val="clear" w:color="auto" w:fill="333333"/>
          </w:tcPr>
          <w:p>
            <w:pPr>
              <w:spacing w:after="0"/>
              <w:rPr>
                <w:sz w:val="14"/>
                <w:szCs w:val="14"/>
                <w:color w:val="auto"/>
              </w:rPr>
            </w:pPr>
          </w:p>
        </w:tc>
        <w:tc>
          <w:tcPr>
            <w:tcW w:w="620" w:type="dxa"/>
            <w:vAlign w:val="bottom"/>
            <w:shd w:val="clear" w:color="auto" w:fill="333333"/>
          </w:tcPr>
          <w:p>
            <w:pPr>
              <w:spacing w:after="0"/>
              <w:rPr>
                <w:sz w:val="14"/>
                <w:szCs w:val="14"/>
                <w:color w:val="auto"/>
              </w:rPr>
            </w:pPr>
          </w:p>
        </w:tc>
        <w:tc>
          <w:tcPr>
            <w:tcW w:w="460" w:type="dxa"/>
            <w:vAlign w:val="bottom"/>
            <w:shd w:val="clear" w:color="auto" w:fill="333333"/>
          </w:tcPr>
          <w:p>
            <w:pPr>
              <w:spacing w:after="0"/>
              <w:rPr>
                <w:sz w:val="14"/>
                <w:szCs w:val="14"/>
                <w:color w:val="auto"/>
              </w:rPr>
            </w:pPr>
          </w:p>
        </w:tc>
        <w:tc>
          <w:tcPr>
            <w:tcW w:w="1000" w:type="dxa"/>
            <w:vAlign w:val="bottom"/>
            <w:shd w:val="clear" w:color="auto" w:fill="333333"/>
          </w:tcPr>
          <w:p>
            <w:pPr>
              <w:spacing w:after="0"/>
              <w:rPr>
                <w:sz w:val="14"/>
                <w:szCs w:val="14"/>
                <w:color w:val="auto"/>
              </w:rPr>
            </w:pPr>
          </w:p>
        </w:tc>
        <w:tc>
          <w:tcPr>
            <w:tcW w:w="1120" w:type="dxa"/>
            <w:vAlign w:val="bottom"/>
            <w:shd w:val="clear" w:color="auto" w:fill="333333"/>
          </w:tcPr>
          <w:p>
            <w:pPr>
              <w:spacing w:after="0"/>
              <w:rPr>
                <w:sz w:val="14"/>
                <w:szCs w:val="14"/>
                <w:color w:val="auto"/>
              </w:rPr>
            </w:pPr>
          </w:p>
        </w:tc>
        <w:tc>
          <w:tcPr>
            <w:tcW w:w="460" w:type="dxa"/>
            <w:vAlign w:val="bottom"/>
            <w:shd w:val="clear" w:color="auto" w:fill="333333"/>
          </w:tcPr>
          <w:p>
            <w:pPr>
              <w:spacing w:after="0"/>
              <w:rPr>
                <w:sz w:val="14"/>
                <w:szCs w:val="14"/>
                <w:color w:val="auto"/>
              </w:rPr>
            </w:pPr>
          </w:p>
        </w:tc>
        <w:tc>
          <w:tcPr>
            <w:tcW w:w="1000" w:type="dxa"/>
            <w:vAlign w:val="bottom"/>
            <w:shd w:val="clear" w:color="auto" w:fill="333333"/>
          </w:tcPr>
          <w:p>
            <w:pPr>
              <w:spacing w:after="0"/>
              <w:rPr>
                <w:sz w:val="14"/>
                <w:szCs w:val="14"/>
                <w:color w:val="auto"/>
              </w:rPr>
            </w:pPr>
          </w:p>
        </w:tc>
        <w:tc>
          <w:tcPr>
            <w:tcW w:w="1160" w:type="dxa"/>
            <w:vAlign w:val="bottom"/>
            <w:shd w:val="clear" w:color="auto" w:fill="333333"/>
          </w:tcPr>
          <w:p>
            <w:pPr>
              <w:jc w:val="right"/>
              <w:ind w:right="152"/>
              <w:spacing w:after="0" w:line="162" w:lineRule="exact"/>
              <w:rPr>
                <w:sz w:val="20"/>
                <w:szCs w:val="20"/>
                <w:color w:val="auto"/>
              </w:rPr>
            </w:pPr>
            <w:r>
              <w:rPr>
                <w:rFonts w:ascii="Arial" w:cs="Arial" w:eastAsia="Arial" w:hAnsi="Arial"/>
                <w:sz w:val="15"/>
                <w:szCs w:val="15"/>
                <w:color w:val="FFFFFF"/>
              </w:rPr>
              <w:t>$/BARREL</w:t>
            </w:r>
          </w:p>
        </w:tc>
        <w:tc>
          <w:tcPr>
            <w:tcW w:w="0" w:type="dxa"/>
            <w:vAlign w:val="bottom"/>
          </w:tcPr>
          <w:p>
            <w:pPr>
              <w:spacing w:after="0"/>
              <w:rPr>
                <w:sz w:val="1"/>
                <w:szCs w:val="1"/>
                <w:color w:val="auto"/>
              </w:rPr>
            </w:pPr>
          </w:p>
        </w:tc>
      </w:tr>
      <w:tr>
        <w:trPr>
          <w:trHeight w:val="162"/>
        </w:trPr>
        <w:tc>
          <w:tcPr>
            <w:tcW w:w="3740" w:type="dxa"/>
            <w:vAlign w:val="bottom"/>
          </w:tcPr>
          <w:p>
            <w:pPr>
              <w:spacing w:after="0"/>
              <w:rPr>
                <w:sz w:val="14"/>
                <w:szCs w:val="14"/>
                <w:color w:val="auto"/>
              </w:rPr>
            </w:pPr>
          </w:p>
        </w:tc>
        <w:tc>
          <w:tcPr>
            <w:tcW w:w="1100" w:type="dxa"/>
            <w:vAlign w:val="bottom"/>
            <w:tcBorders>
              <w:bottom w:val="single" w:sz="8" w:color="auto"/>
            </w:tcBorders>
            <w:shd w:val="clear" w:color="auto" w:fill="D8D8D8"/>
          </w:tcPr>
          <w:p>
            <w:pPr>
              <w:spacing w:after="0"/>
              <w:rPr>
                <w:sz w:val="14"/>
                <w:szCs w:val="14"/>
                <w:color w:val="auto"/>
              </w:rPr>
            </w:pPr>
          </w:p>
        </w:tc>
        <w:tc>
          <w:tcPr>
            <w:tcW w:w="1380" w:type="dxa"/>
            <w:vAlign w:val="bottom"/>
            <w:tcBorders>
              <w:bottom w:val="single" w:sz="8" w:color="auto"/>
            </w:tcBorders>
            <w:gridSpan w:val="2"/>
            <w:shd w:val="clear" w:color="auto" w:fill="D8D8D8"/>
          </w:tcPr>
          <w:p>
            <w:pPr>
              <w:jc w:val="right"/>
              <w:ind w:right="408"/>
              <w:spacing w:after="0"/>
              <w:rPr>
                <w:sz w:val="20"/>
                <w:szCs w:val="20"/>
                <w:color w:val="auto"/>
              </w:rPr>
            </w:pPr>
            <w:r>
              <w:rPr>
                <w:rFonts w:ascii="Arial" w:cs="Arial" w:eastAsia="Arial" w:hAnsi="Arial"/>
                <w:sz w:val="13"/>
                <w:szCs w:val="13"/>
                <w:color w:val="auto"/>
              </w:rPr>
              <w:t>2014</w:t>
            </w:r>
          </w:p>
        </w:tc>
        <w:tc>
          <w:tcPr>
            <w:tcW w:w="460" w:type="dxa"/>
            <w:vAlign w:val="bottom"/>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151"/>
              <w:spacing w:after="0"/>
              <w:rPr>
                <w:sz w:val="20"/>
                <w:szCs w:val="20"/>
                <w:color w:val="auto"/>
              </w:rPr>
            </w:pPr>
            <w:r>
              <w:rPr>
                <w:rFonts w:ascii="Arial" w:cs="Arial" w:eastAsia="Arial" w:hAnsi="Arial"/>
                <w:sz w:val="13"/>
                <w:szCs w:val="13"/>
                <w:color w:val="auto"/>
              </w:rPr>
              <w:t>2013</w:t>
            </w:r>
          </w:p>
        </w:tc>
        <w:tc>
          <w:tcPr>
            <w:tcW w:w="460" w:type="dxa"/>
            <w:vAlign w:val="bottom"/>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152"/>
              <w:spacing w:after="0"/>
              <w:rPr>
                <w:sz w:val="20"/>
                <w:szCs w:val="20"/>
                <w:color w:val="auto"/>
              </w:rPr>
            </w:pPr>
            <w:r>
              <w:rPr>
                <w:rFonts w:ascii="Arial" w:cs="Arial" w:eastAsia="Arial" w:hAnsi="Arial"/>
                <w:sz w:val="13"/>
                <w:szCs w:val="13"/>
                <w:color w:val="auto"/>
              </w:rPr>
              <w:t>2012</w:t>
            </w:r>
          </w:p>
        </w:tc>
        <w:tc>
          <w:tcPr>
            <w:tcW w:w="0" w:type="dxa"/>
            <w:vAlign w:val="bottom"/>
          </w:tcPr>
          <w:p>
            <w:pPr>
              <w:spacing w:after="0"/>
              <w:rPr>
                <w:sz w:val="1"/>
                <w:szCs w:val="1"/>
                <w:color w:val="auto"/>
              </w:rPr>
            </w:pPr>
          </w:p>
        </w:tc>
      </w:tr>
      <w:tr>
        <w:trPr>
          <w:trHeight w:val="123"/>
        </w:trPr>
        <w:tc>
          <w:tcPr>
            <w:tcW w:w="3740" w:type="dxa"/>
            <w:vAlign w:val="bottom"/>
          </w:tcPr>
          <w:p>
            <w:pPr>
              <w:spacing w:after="0"/>
              <w:rPr>
                <w:sz w:val="10"/>
                <w:szCs w:val="10"/>
                <w:color w:val="auto"/>
              </w:rPr>
            </w:pPr>
          </w:p>
        </w:tc>
        <w:tc>
          <w:tcPr>
            <w:tcW w:w="1100" w:type="dxa"/>
            <w:vAlign w:val="bottom"/>
            <w:shd w:val="clear" w:color="auto" w:fill="D8D8D8"/>
          </w:tcPr>
          <w:p>
            <w:pPr>
              <w:spacing w:after="0"/>
              <w:rPr>
                <w:sz w:val="10"/>
                <w:szCs w:val="10"/>
                <w:color w:val="auto"/>
              </w:rPr>
            </w:pPr>
          </w:p>
        </w:tc>
        <w:tc>
          <w:tcPr>
            <w:tcW w:w="1380" w:type="dxa"/>
            <w:vAlign w:val="bottom"/>
            <w:gridSpan w:val="2"/>
            <w:shd w:val="clear" w:color="auto" w:fill="D8D8D8"/>
          </w:tcPr>
          <w:p>
            <w:pPr>
              <w:jc w:val="right"/>
              <w:ind w:right="408"/>
              <w:spacing w:after="0" w:line="123" w:lineRule="exact"/>
              <w:rPr>
                <w:sz w:val="20"/>
                <w:szCs w:val="20"/>
                <w:color w:val="auto"/>
              </w:rPr>
            </w:pPr>
            <w:r>
              <w:rPr>
                <w:rFonts w:ascii="Arial" w:cs="Arial" w:eastAsia="Arial" w:hAnsi="Arial"/>
                <w:sz w:val="13"/>
                <w:szCs w:val="13"/>
                <w:color w:val="auto"/>
              </w:rPr>
              <w:t>Shell share of</w:t>
            </w:r>
          </w:p>
        </w:tc>
        <w:tc>
          <w:tcPr>
            <w:tcW w:w="4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120" w:type="dxa"/>
            <w:vAlign w:val="bottom"/>
          </w:tcPr>
          <w:p>
            <w:pPr>
              <w:jc w:val="right"/>
              <w:ind w:right="151"/>
              <w:spacing w:after="0" w:line="123" w:lineRule="exact"/>
              <w:rPr>
                <w:sz w:val="20"/>
                <w:szCs w:val="20"/>
                <w:color w:val="auto"/>
              </w:rPr>
            </w:pPr>
            <w:r>
              <w:rPr>
                <w:rFonts w:ascii="Arial" w:cs="Arial" w:eastAsia="Arial" w:hAnsi="Arial"/>
                <w:sz w:val="13"/>
                <w:szCs w:val="13"/>
                <w:color w:val="auto"/>
              </w:rPr>
              <w:t>Shell share of</w:t>
            </w:r>
          </w:p>
        </w:tc>
        <w:tc>
          <w:tcPr>
            <w:tcW w:w="4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160" w:type="dxa"/>
            <w:vAlign w:val="bottom"/>
          </w:tcPr>
          <w:p>
            <w:pPr>
              <w:jc w:val="right"/>
              <w:ind w:right="152"/>
              <w:spacing w:after="0" w:line="123" w:lineRule="exact"/>
              <w:rPr>
                <w:sz w:val="20"/>
                <w:szCs w:val="20"/>
                <w:color w:val="auto"/>
              </w:rPr>
            </w:pPr>
            <w:r>
              <w:rPr>
                <w:rFonts w:ascii="Arial" w:cs="Arial" w:eastAsia="Arial" w:hAnsi="Arial"/>
                <w:sz w:val="13"/>
                <w:szCs w:val="13"/>
                <w:color w:val="auto"/>
              </w:rPr>
              <w:t>Shell share of</w:t>
            </w:r>
          </w:p>
        </w:tc>
        <w:tc>
          <w:tcPr>
            <w:tcW w:w="0" w:type="dxa"/>
            <w:vAlign w:val="bottom"/>
          </w:tcPr>
          <w:p>
            <w:pPr>
              <w:spacing w:after="0"/>
              <w:rPr>
                <w:sz w:val="1"/>
                <w:szCs w:val="1"/>
                <w:color w:val="auto"/>
              </w:rPr>
            </w:pPr>
          </w:p>
        </w:tc>
      </w:tr>
      <w:tr>
        <w:trPr>
          <w:trHeight w:val="135"/>
        </w:trPr>
        <w:tc>
          <w:tcPr>
            <w:tcW w:w="3740" w:type="dxa"/>
            <w:vAlign w:val="bottom"/>
          </w:tcPr>
          <w:p>
            <w:pPr>
              <w:spacing w:after="0"/>
              <w:rPr>
                <w:sz w:val="11"/>
                <w:szCs w:val="11"/>
                <w:color w:val="auto"/>
              </w:rPr>
            </w:pPr>
          </w:p>
        </w:tc>
        <w:tc>
          <w:tcPr>
            <w:tcW w:w="1100" w:type="dxa"/>
            <w:vAlign w:val="bottom"/>
            <w:shd w:val="clear" w:color="auto" w:fill="D8D8D8"/>
          </w:tcPr>
          <w:p>
            <w:pPr>
              <w:jc w:val="right"/>
              <w:ind w:right="230"/>
              <w:spacing w:after="0" w:line="135" w:lineRule="exact"/>
              <w:rPr>
                <w:sz w:val="20"/>
                <w:szCs w:val="20"/>
                <w:color w:val="auto"/>
              </w:rPr>
            </w:pPr>
            <w:r>
              <w:rPr>
                <w:rFonts w:ascii="Arial" w:cs="Arial" w:eastAsia="Arial" w:hAnsi="Arial"/>
                <w:sz w:val="13"/>
                <w:szCs w:val="13"/>
                <w:color w:val="auto"/>
              </w:rPr>
              <w:t>Shell</w:t>
            </w:r>
          </w:p>
        </w:tc>
        <w:tc>
          <w:tcPr>
            <w:tcW w:w="1380" w:type="dxa"/>
            <w:vAlign w:val="bottom"/>
            <w:gridSpan w:val="2"/>
            <w:shd w:val="clear" w:color="auto" w:fill="D8D8D8"/>
          </w:tcPr>
          <w:p>
            <w:pPr>
              <w:jc w:val="right"/>
              <w:ind w:right="408"/>
              <w:spacing w:after="0" w:line="135" w:lineRule="exact"/>
              <w:rPr>
                <w:sz w:val="20"/>
                <w:szCs w:val="20"/>
                <w:color w:val="auto"/>
              </w:rPr>
            </w:pPr>
            <w:r>
              <w:rPr>
                <w:rFonts w:ascii="Arial" w:cs="Arial" w:eastAsia="Arial" w:hAnsi="Arial"/>
                <w:sz w:val="13"/>
                <w:szCs w:val="13"/>
                <w:color w:val="auto"/>
              </w:rPr>
              <w:t>joint ventures</w:t>
            </w:r>
          </w:p>
        </w:tc>
        <w:tc>
          <w:tcPr>
            <w:tcW w:w="460" w:type="dxa"/>
            <w:vAlign w:val="bottom"/>
          </w:tcPr>
          <w:p>
            <w:pPr>
              <w:spacing w:after="0"/>
              <w:rPr>
                <w:sz w:val="11"/>
                <w:szCs w:val="11"/>
                <w:color w:val="auto"/>
              </w:rPr>
            </w:pPr>
          </w:p>
        </w:tc>
        <w:tc>
          <w:tcPr>
            <w:tcW w:w="1000" w:type="dxa"/>
            <w:vAlign w:val="bottom"/>
          </w:tcPr>
          <w:p>
            <w:pPr>
              <w:jc w:val="right"/>
              <w:ind w:right="173"/>
              <w:spacing w:after="0" w:line="135" w:lineRule="exact"/>
              <w:rPr>
                <w:sz w:val="20"/>
                <w:szCs w:val="20"/>
                <w:color w:val="auto"/>
              </w:rPr>
            </w:pPr>
            <w:r>
              <w:rPr>
                <w:rFonts w:ascii="Arial" w:cs="Arial" w:eastAsia="Arial" w:hAnsi="Arial"/>
                <w:sz w:val="13"/>
                <w:szCs w:val="13"/>
                <w:color w:val="auto"/>
              </w:rPr>
              <w:t>Shell</w:t>
            </w:r>
          </w:p>
        </w:tc>
        <w:tc>
          <w:tcPr>
            <w:tcW w:w="1580" w:type="dxa"/>
            <w:vAlign w:val="bottom"/>
            <w:gridSpan w:val="2"/>
          </w:tcPr>
          <w:p>
            <w:pPr>
              <w:jc w:val="right"/>
              <w:ind w:right="680"/>
              <w:spacing w:after="0" w:line="135" w:lineRule="exact"/>
              <w:rPr>
                <w:sz w:val="20"/>
                <w:szCs w:val="20"/>
                <w:color w:val="auto"/>
              </w:rPr>
            </w:pPr>
            <w:r>
              <w:rPr>
                <w:rFonts w:ascii="Arial" w:cs="Arial" w:eastAsia="Arial" w:hAnsi="Arial"/>
                <w:sz w:val="13"/>
                <w:szCs w:val="13"/>
                <w:color w:val="auto"/>
              </w:rPr>
              <w:t>joint ventures</w:t>
            </w:r>
          </w:p>
        </w:tc>
        <w:tc>
          <w:tcPr>
            <w:tcW w:w="1000" w:type="dxa"/>
            <w:vAlign w:val="bottom"/>
          </w:tcPr>
          <w:p>
            <w:pPr>
              <w:jc w:val="right"/>
              <w:ind w:right="30"/>
              <w:spacing w:after="0" w:line="135" w:lineRule="exact"/>
              <w:rPr>
                <w:sz w:val="20"/>
                <w:szCs w:val="20"/>
                <w:color w:val="auto"/>
              </w:rPr>
            </w:pPr>
            <w:r>
              <w:rPr>
                <w:rFonts w:ascii="Arial" w:cs="Arial" w:eastAsia="Arial" w:hAnsi="Arial"/>
                <w:sz w:val="13"/>
                <w:szCs w:val="13"/>
                <w:color w:val="auto"/>
              </w:rPr>
              <w:t>Shell</w:t>
            </w:r>
          </w:p>
        </w:tc>
        <w:tc>
          <w:tcPr>
            <w:tcW w:w="1160" w:type="dxa"/>
            <w:vAlign w:val="bottom"/>
          </w:tcPr>
          <w:p>
            <w:pPr>
              <w:jc w:val="right"/>
              <w:ind w:right="152"/>
              <w:spacing w:after="0" w:line="135" w:lineRule="exact"/>
              <w:rPr>
                <w:sz w:val="20"/>
                <w:szCs w:val="20"/>
                <w:color w:val="auto"/>
              </w:rPr>
            </w:pPr>
            <w:r>
              <w:rPr>
                <w:rFonts w:ascii="Arial" w:cs="Arial" w:eastAsia="Arial" w:hAnsi="Arial"/>
                <w:sz w:val="13"/>
                <w:szCs w:val="13"/>
                <w:color w:val="auto"/>
              </w:rPr>
              <w:t>joint ventures</w:t>
            </w:r>
          </w:p>
        </w:tc>
        <w:tc>
          <w:tcPr>
            <w:tcW w:w="0" w:type="dxa"/>
            <w:vAlign w:val="bottom"/>
          </w:tcPr>
          <w:p>
            <w:pPr>
              <w:spacing w:after="0"/>
              <w:rPr>
                <w:sz w:val="1"/>
                <w:szCs w:val="1"/>
                <w:color w:val="auto"/>
              </w:rPr>
            </w:pPr>
          </w:p>
        </w:tc>
      </w:tr>
      <w:tr>
        <w:trPr>
          <w:trHeight w:val="141"/>
        </w:trPr>
        <w:tc>
          <w:tcPr>
            <w:tcW w:w="374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shd w:val="clear" w:color="auto" w:fill="D8D8D8"/>
          </w:tcPr>
          <w:p>
            <w:pPr>
              <w:jc w:val="right"/>
              <w:ind w:right="230"/>
              <w:spacing w:after="0" w:line="141" w:lineRule="exact"/>
              <w:rPr>
                <w:sz w:val="20"/>
                <w:szCs w:val="20"/>
                <w:color w:val="auto"/>
              </w:rPr>
            </w:pPr>
            <w:r>
              <w:rPr>
                <w:rFonts w:ascii="Arial" w:cs="Arial" w:eastAsia="Arial" w:hAnsi="Arial"/>
                <w:sz w:val="13"/>
                <w:szCs w:val="13"/>
                <w:color w:val="auto"/>
              </w:rPr>
              <w:t>subsidiaries</w:t>
            </w:r>
          </w:p>
        </w:tc>
        <w:tc>
          <w:tcPr>
            <w:tcW w:w="1380" w:type="dxa"/>
            <w:vAlign w:val="bottom"/>
            <w:tcBorders>
              <w:bottom w:val="single" w:sz="8" w:color="auto"/>
            </w:tcBorders>
            <w:gridSpan w:val="2"/>
            <w:shd w:val="clear" w:color="auto" w:fill="D8D8D8"/>
          </w:tcPr>
          <w:p>
            <w:pPr>
              <w:jc w:val="right"/>
              <w:ind w:right="408"/>
              <w:spacing w:after="0" w:line="141" w:lineRule="exact"/>
              <w:rPr>
                <w:sz w:val="20"/>
                <w:szCs w:val="20"/>
                <w:color w:val="auto"/>
              </w:rPr>
            </w:pPr>
            <w:r>
              <w:rPr>
                <w:rFonts w:ascii="Arial" w:cs="Arial" w:eastAsia="Arial" w:hAnsi="Arial"/>
                <w:sz w:val="13"/>
                <w:szCs w:val="13"/>
                <w:color w:val="auto"/>
              </w:rPr>
              <w:t>and associates</w:t>
            </w:r>
          </w:p>
        </w:tc>
        <w:tc>
          <w:tcPr>
            <w:tcW w:w="46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ind w:right="173"/>
              <w:spacing w:after="0" w:line="141" w:lineRule="exact"/>
              <w:rPr>
                <w:sz w:val="20"/>
                <w:szCs w:val="20"/>
                <w:color w:val="auto"/>
              </w:rPr>
            </w:pPr>
            <w:r>
              <w:rPr>
                <w:rFonts w:ascii="Arial" w:cs="Arial" w:eastAsia="Arial" w:hAnsi="Arial"/>
                <w:sz w:val="13"/>
                <w:szCs w:val="13"/>
                <w:color w:val="auto"/>
              </w:rPr>
              <w:t>subsidiaries</w:t>
            </w:r>
          </w:p>
        </w:tc>
        <w:tc>
          <w:tcPr>
            <w:tcW w:w="1580" w:type="dxa"/>
            <w:vAlign w:val="bottom"/>
            <w:tcBorders>
              <w:bottom w:val="single" w:sz="8" w:color="auto"/>
            </w:tcBorders>
            <w:gridSpan w:val="2"/>
          </w:tcPr>
          <w:p>
            <w:pPr>
              <w:jc w:val="right"/>
              <w:ind w:right="680"/>
              <w:spacing w:after="0" w:line="141" w:lineRule="exact"/>
              <w:rPr>
                <w:sz w:val="20"/>
                <w:szCs w:val="20"/>
                <w:color w:val="auto"/>
              </w:rPr>
            </w:pPr>
            <w:r>
              <w:rPr>
                <w:rFonts w:ascii="Arial" w:cs="Arial" w:eastAsia="Arial" w:hAnsi="Arial"/>
                <w:sz w:val="13"/>
                <w:szCs w:val="13"/>
                <w:color w:val="auto"/>
              </w:rPr>
              <w:t>and associates</w:t>
            </w:r>
          </w:p>
        </w:tc>
        <w:tc>
          <w:tcPr>
            <w:tcW w:w="1000" w:type="dxa"/>
            <w:vAlign w:val="bottom"/>
            <w:tcBorders>
              <w:bottom w:val="single" w:sz="8" w:color="auto"/>
            </w:tcBorders>
          </w:tcPr>
          <w:p>
            <w:pPr>
              <w:jc w:val="right"/>
              <w:ind w:right="30"/>
              <w:spacing w:after="0" w:line="141" w:lineRule="exact"/>
              <w:rPr>
                <w:sz w:val="20"/>
                <w:szCs w:val="20"/>
                <w:color w:val="auto"/>
              </w:rPr>
            </w:pPr>
            <w:r>
              <w:rPr>
                <w:rFonts w:ascii="Arial" w:cs="Arial" w:eastAsia="Arial" w:hAnsi="Arial"/>
                <w:sz w:val="13"/>
                <w:szCs w:val="13"/>
                <w:color w:val="auto"/>
              </w:rPr>
              <w:t>subsidiaries</w:t>
            </w:r>
          </w:p>
        </w:tc>
        <w:tc>
          <w:tcPr>
            <w:tcW w:w="1160" w:type="dxa"/>
            <w:vAlign w:val="bottom"/>
            <w:tcBorders>
              <w:bottom w:val="single" w:sz="8" w:color="auto"/>
            </w:tcBorders>
          </w:tcPr>
          <w:p>
            <w:pPr>
              <w:jc w:val="right"/>
              <w:ind w:right="152"/>
              <w:spacing w:after="0" w:line="141" w:lineRule="exact"/>
              <w:rPr>
                <w:sz w:val="20"/>
                <w:szCs w:val="20"/>
                <w:color w:val="auto"/>
              </w:rPr>
            </w:pPr>
            <w:r>
              <w:rPr>
                <w:rFonts w:ascii="Arial" w:cs="Arial" w:eastAsia="Arial" w:hAnsi="Arial"/>
                <w:sz w:val="13"/>
                <w:szCs w:val="13"/>
                <w:color w:val="auto"/>
              </w:rPr>
              <w:t>and associates</w:t>
            </w:r>
          </w:p>
        </w:tc>
        <w:tc>
          <w:tcPr>
            <w:tcW w:w="0" w:type="dxa"/>
            <w:vAlign w:val="bottom"/>
          </w:tcPr>
          <w:p>
            <w:pPr>
              <w:spacing w:after="0"/>
              <w:rPr>
                <w:sz w:val="1"/>
                <w:szCs w:val="1"/>
                <w:color w:val="auto"/>
              </w:rPr>
            </w:pPr>
          </w:p>
        </w:tc>
      </w:tr>
      <w:tr>
        <w:trPr>
          <w:trHeight w:val="156"/>
        </w:trPr>
        <w:tc>
          <w:tcPr>
            <w:tcW w:w="3740" w:type="dxa"/>
            <w:vAlign w:val="bottom"/>
          </w:tcPr>
          <w:p>
            <w:pPr>
              <w:spacing w:after="0" w:line="155" w:lineRule="exact"/>
              <w:rPr>
                <w:sz w:val="20"/>
                <w:szCs w:val="20"/>
                <w:color w:val="auto"/>
              </w:rPr>
            </w:pPr>
            <w:r>
              <w:rPr>
                <w:rFonts w:ascii="Arial" w:cs="Arial" w:eastAsia="Arial" w:hAnsi="Arial"/>
                <w:sz w:val="14"/>
                <w:szCs w:val="14"/>
                <w:color w:val="auto"/>
              </w:rPr>
              <w:t>Europe</w:t>
            </w:r>
          </w:p>
        </w:tc>
        <w:tc>
          <w:tcPr>
            <w:tcW w:w="1100" w:type="dxa"/>
            <w:vAlign w:val="bottom"/>
            <w:shd w:val="clear" w:color="auto" w:fill="D8D8D8"/>
          </w:tcPr>
          <w:p>
            <w:pPr>
              <w:jc w:val="right"/>
              <w:ind w:right="230"/>
              <w:spacing w:after="0" w:line="155" w:lineRule="exact"/>
              <w:rPr>
                <w:sz w:val="20"/>
                <w:szCs w:val="20"/>
                <w:color w:val="auto"/>
              </w:rPr>
            </w:pPr>
            <w:r>
              <w:rPr>
                <w:rFonts w:ascii="Arial" w:cs="Arial" w:eastAsia="Arial" w:hAnsi="Arial"/>
                <w:sz w:val="14"/>
                <w:szCs w:val="14"/>
                <w:color w:val="auto"/>
              </w:rPr>
              <w:t>94.57</w:t>
            </w:r>
          </w:p>
        </w:tc>
        <w:tc>
          <w:tcPr>
            <w:tcW w:w="1380" w:type="dxa"/>
            <w:vAlign w:val="bottom"/>
            <w:gridSpan w:val="2"/>
            <w:shd w:val="clear" w:color="auto" w:fill="D8D8D8"/>
          </w:tcPr>
          <w:p>
            <w:pPr>
              <w:jc w:val="right"/>
              <w:ind w:right="408"/>
              <w:spacing w:after="0" w:line="155" w:lineRule="exact"/>
              <w:rPr>
                <w:sz w:val="20"/>
                <w:szCs w:val="20"/>
                <w:color w:val="auto"/>
              </w:rPr>
            </w:pPr>
            <w:r>
              <w:rPr>
                <w:rFonts w:ascii="Arial" w:cs="Arial" w:eastAsia="Arial" w:hAnsi="Arial"/>
                <w:sz w:val="14"/>
                <w:szCs w:val="14"/>
                <w:color w:val="auto"/>
              </w:rPr>
              <w:t>89.68</w:t>
            </w:r>
          </w:p>
        </w:tc>
        <w:tc>
          <w:tcPr>
            <w:tcW w:w="1460" w:type="dxa"/>
            <w:vAlign w:val="bottom"/>
            <w:gridSpan w:val="2"/>
          </w:tcPr>
          <w:p>
            <w:pPr>
              <w:jc w:val="right"/>
              <w:ind w:right="173"/>
              <w:spacing w:after="0" w:line="155" w:lineRule="exact"/>
              <w:rPr>
                <w:sz w:val="20"/>
                <w:szCs w:val="20"/>
                <w:color w:val="auto"/>
              </w:rPr>
            </w:pPr>
            <w:r>
              <w:rPr>
                <w:rFonts w:ascii="Arial" w:cs="Arial" w:eastAsia="Arial" w:hAnsi="Arial"/>
                <w:sz w:val="14"/>
                <w:szCs w:val="14"/>
                <w:color w:val="auto"/>
              </w:rPr>
              <w:t>105.23</w:t>
            </w:r>
          </w:p>
        </w:tc>
        <w:tc>
          <w:tcPr>
            <w:tcW w:w="1120" w:type="dxa"/>
            <w:vAlign w:val="bottom"/>
          </w:tcPr>
          <w:p>
            <w:pPr>
              <w:jc w:val="right"/>
              <w:ind w:right="151"/>
              <w:spacing w:after="0" w:line="155" w:lineRule="exact"/>
              <w:rPr>
                <w:sz w:val="20"/>
                <w:szCs w:val="20"/>
                <w:color w:val="auto"/>
              </w:rPr>
            </w:pPr>
            <w:r>
              <w:rPr>
                <w:rFonts w:ascii="Arial" w:cs="Arial" w:eastAsia="Arial" w:hAnsi="Arial"/>
                <w:sz w:val="14"/>
                <w:szCs w:val="14"/>
                <w:color w:val="auto"/>
              </w:rPr>
              <w:t>99.27</w:t>
            </w:r>
          </w:p>
        </w:tc>
        <w:tc>
          <w:tcPr>
            <w:tcW w:w="460" w:type="dxa"/>
            <w:vAlign w:val="bottom"/>
          </w:tcPr>
          <w:p>
            <w:pPr>
              <w:spacing w:after="0"/>
              <w:rPr>
                <w:sz w:val="13"/>
                <w:szCs w:val="13"/>
                <w:color w:val="auto"/>
              </w:rPr>
            </w:pPr>
          </w:p>
        </w:tc>
        <w:tc>
          <w:tcPr>
            <w:tcW w:w="1000" w:type="dxa"/>
            <w:vAlign w:val="bottom"/>
          </w:tcPr>
          <w:p>
            <w:pPr>
              <w:jc w:val="right"/>
              <w:ind w:right="30"/>
              <w:spacing w:after="0" w:line="155" w:lineRule="exact"/>
              <w:rPr>
                <w:sz w:val="20"/>
                <w:szCs w:val="20"/>
                <w:color w:val="auto"/>
              </w:rPr>
            </w:pPr>
            <w:r>
              <w:rPr>
                <w:rFonts w:ascii="Arial" w:cs="Arial" w:eastAsia="Arial" w:hAnsi="Arial"/>
                <w:sz w:val="14"/>
                <w:szCs w:val="14"/>
                <w:color w:val="auto"/>
              </w:rPr>
              <w:t>108.13</w:t>
            </w:r>
          </w:p>
        </w:tc>
        <w:tc>
          <w:tcPr>
            <w:tcW w:w="1160" w:type="dxa"/>
            <w:vAlign w:val="bottom"/>
          </w:tcPr>
          <w:p>
            <w:pPr>
              <w:jc w:val="right"/>
              <w:ind w:right="152"/>
              <w:spacing w:after="0" w:line="155" w:lineRule="exact"/>
              <w:rPr>
                <w:sz w:val="20"/>
                <w:szCs w:val="20"/>
                <w:color w:val="auto"/>
              </w:rPr>
            </w:pPr>
            <w:r>
              <w:rPr>
                <w:rFonts w:ascii="Arial" w:cs="Arial" w:eastAsia="Arial" w:hAnsi="Arial"/>
                <w:sz w:val="14"/>
                <w:szCs w:val="14"/>
                <w:color w:val="auto"/>
              </w:rPr>
              <w:t>104.60</w:t>
            </w:r>
          </w:p>
        </w:tc>
        <w:tc>
          <w:tcPr>
            <w:tcW w:w="0" w:type="dxa"/>
            <w:vAlign w:val="bottom"/>
          </w:tcPr>
          <w:p>
            <w:pPr>
              <w:spacing w:after="0"/>
              <w:rPr>
                <w:sz w:val="1"/>
                <w:szCs w:val="1"/>
                <w:color w:val="auto"/>
              </w:rPr>
            </w:pPr>
          </w:p>
        </w:tc>
      </w:tr>
      <w:tr>
        <w:trPr>
          <w:trHeight w:val="162"/>
        </w:trPr>
        <w:tc>
          <w:tcPr>
            <w:tcW w:w="3740" w:type="dxa"/>
            <w:vAlign w:val="bottom"/>
          </w:tcPr>
          <w:p>
            <w:pPr>
              <w:spacing w:after="0"/>
              <w:rPr>
                <w:sz w:val="20"/>
                <w:szCs w:val="20"/>
                <w:color w:val="auto"/>
              </w:rPr>
            </w:pPr>
            <w:r>
              <w:rPr>
                <w:rFonts w:ascii="Arial" w:cs="Arial" w:eastAsia="Arial" w:hAnsi="Arial"/>
                <w:sz w:val="14"/>
                <w:szCs w:val="14"/>
                <w:color w:val="auto"/>
              </w:rPr>
              <w:t>Asia</w:t>
            </w:r>
          </w:p>
        </w:tc>
        <w:tc>
          <w:tcPr>
            <w:tcW w:w="1100" w:type="dxa"/>
            <w:vAlign w:val="bottom"/>
            <w:shd w:val="clear" w:color="auto" w:fill="D8D8D8"/>
          </w:tcPr>
          <w:p>
            <w:pPr>
              <w:jc w:val="right"/>
              <w:ind w:right="230"/>
              <w:spacing w:after="0"/>
              <w:rPr>
                <w:sz w:val="20"/>
                <w:szCs w:val="20"/>
                <w:color w:val="auto"/>
              </w:rPr>
            </w:pPr>
            <w:r>
              <w:rPr>
                <w:rFonts w:ascii="Arial" w:cs="Arial" w:eastAsia="Arial" w:hAnsi="Arial"/>
                <w:sz w:val="14"/>
                <w:szCs w:val="14"/>
                <w:color w:val="auto"/>
              </w:rPr>
              <w:t>89.47</w:t>
            </w:r>
          </w:p>
        </w:tc>
        <w:tc>
          <w:tcPr>
            <w:tcW w:w="1380" w:type="dxa"/>
            <w:vAlign w:val="bottom"/>
            <w:gridSpan w:val="2"/>
            <w:shd w:val="clear" w:color="auto" w:fill="D8D8D8"/>
          </w:tcPr>
          <w:p>
            <w:pPr>
              <w:jc w:val="right"/>
              <w:ind w:right="408"/>
              <w:spacing w:after="0"/>
              <w:rPr>
                <w:sz w:val="20"/>
                <w:szCs w:val="20"/>
                <w:color w:val="auto"/>
              </w:rPr>
            </w:pPr>
            <w:r>
              <w:rPr>
                <w:rFonts w:ascii="Arial" w:cs="Arial" w:eastAsia="Arial" w:hAnsi="Arial"/>
                <w:sz w:val="14"/>
                <w:szCs w:val="14"/>
                <w:color w:val="auto"/>
              </w:rPr>
              <w:t>96.85</w:t>
            </w:r>
          </w:p>
        </w:tc>
        <w:tc>
          <w:tcPr>
            <w:tcW w:w="1460" w:type="dxa"/>
            <w:vAlign w:val="bottom"/>
            <w:gridSpan w:val="2"/>
          </w:tcPr>
          <w:p>
            <w:pPr>
              <w:jc w:val="right"/>
              <w:ind w:right="173"/>
              <w:spacing w:after="0"/>
              <w:rPr>
                <w:sz w:val="20"/>
                <w:szCs w:val="20"/>
                <w:color w:val="auto"/>
              </w:rPr>
            </w:pPr>
            <w:r>
              <w:rPr>
                <w:rFonts w:ascii="Arial" w:cs="Arial" w:eastAsia="Arial" w:hAnsi="Arial"/>
                <w:sz w:val="14"/>
                <w:szCs w:val="14"/>
                <w:color w:val="auto"/>
              </w:rPr>
              <w:t>96.46</w:t>
            </w:r>
          </w:p>
        </w:tc>
        <w:tc>
          <w:tcPr>
            <w:tcW w:w="1120" w:type="dxa"/>
            <w:vAlign w:val="bottom"/>
          </w:tcPr>
          <w:p>
            <w:pPr>
              <w:jc w:val="right"/>
              <w:ind w:right="151"/>
              <w:spacing w:after="0"/>
              <w:rPr>
                <w:sz w:val="20"/>
                <w:szCs w:val="20"/>
                <w:color w:val="auto"/>
              </w:rPr>
            </w:pPr>
            <w:r>
              <w:rPr>
                <w:rFonts w:ascii="Arial" w:cs="Arial" w:eastAsia="Arial" w:hAnsi="Arial"/>
                <w:sz w:val="14"/>
                <w:szCs w:val="14"/>
                <w:color w:val="auto"/>
              </w:rPr>
              <w:t>70.34</w:t>
            </w:r>
          </w:p>
        </w:tc>
        <w:tc>
          <w:tcPr>
            <w:tcW w:w="460" w:type="dxa"/>
            <w:vAlign w:val="bottom"/>
          </w:tcPr>
          <w:p>
            <w:pPr>
              <w:spacing w:after="0"/>
              <w:rPr>
                <w:sz w:val="14"/>
                <w:szCs w:val="14"/>
                <w:color w:val="auto"/>
              </w:rPr>
            </w:pPr>
          </w:p>
        </w:tc>
        <w:tc>
          <w:tcPr>
            <w:tcW w:w="1000" w:type="dxa"/>
            <w:vAlign w:val="bottom"/>
          </w:tcPr>
          <w:p>
            <w:pPr>
              <w:jc w:val="right"/>
              <w:ind w:right="30"/>
              <w:spacing w:after="0"/>
              <w:rPr>
                <w:sz w:val="20"/>
                <w:szCs w:val="20"/>
                <w:color w:val="auto"/>
              </w:rPr>
            </w:pPr>
            <w:r>
              <w:rPr>
                <w:rFonts w:ascii="Arial" w:cs="Arial" w:eastAsia="Arial" w:hAnsi="Arial"/>
                <w:sz w:val="14"/>
                <w:szCs w:val="14"/>
                <w:color w:val="auto"/>
              </w:rPr>
              <w:t>107.76</w:t>
            </w:r>
          </w:p>
        </w:tc>
        <w:tc>
          <w:tcPr>
            <w:tcW w:w="1160" w:type="dxa"/>
            <w:vAlign w:val="bottom"/>
          </w:tcPr>
          <w:p>
            <w:pPr>
              <w:jc w:val="right"/>
              <w:ind w:right="152"/>
              <w:spacing w:after="0"/>
              <w:rPr>
                <w:sz w:val="20"/>
                <w:szCs w:val="20"/>
                <w:color w:val="auto"/>
              </w:rPr>
            </w:pPr>
            <w:r>
              <w:rPr>
                <w:rFonts w:ascii="Arial" w:cs="Arial" w:eastAsia="Arial" w:hAnsi="Arial"/>
                <w:sz w:val="14"/>
                <w:szCs w:val="14"/>
                <w:color w:val="auto"/>
              </w:rPr>
              <w:t>67.33</w:t>
            </w:r>
          </w:p>
        </w:tc>
        <w:tc>
          <w:tcPr>
            <w:tcW w:w="0" w:type="dxa"/>
            <w:vAlign w:val="bottom"/>
          </w:tcPr>
          <w:p>
            <w:pPr>
              <w:spacing w:after="0"/>
              <w:rPr>
                <w:sz w:val="1"/>
                <w:szCs w:val="1"/>
                <w:color w:val="auto"/>
              </w:rPr>
            </w:pPr>
          </w:p>
        </w:tc>
      </w:tr>
      <w:tr>
        <w:trPr>
          <w:trHeight w:val="162"/>
        </w:trPr>
        <w:tc>
          <w:tcPr>
            <w:tcW w:w="3740" w:type="dxa"/>
            <w:vAlign w:val="bottom"/>
          </w:tcPr>
          <w:p>
            <w:pPr>
              <w:spacing w:after="0"/>
              <w:rPr>
                <w:sz w:val="20"/>
                <w:szCs w:val="20"/>
                <w:color w:val="auto"/>
              </w:rPr>
            </w:pPr>
            <w:r>
              <w:rPr>
                <w:rFonts w:ascii="Arial" w:cs="Arial" w:eastAsia="Arial" w:hAnsi="Arial"/>
                <w:sz w:val="14"/>
                <w:szCs w:val="14"/>
                <w:color w:val="auto"/>
              </w:rPr>
              <w:t>Oceania</w:t>
            </w:r>
          </w:p>
        </w:tc>
        <w:tc>
          <w:tcPr>
            <w:tcW w:w="1100" w:type="dxa"/>
            <w:vAlign w:val="bottom"/>
            <w:shd w:val="clear" w:color="auto" w:fill="D8D8D8"/>
          </w:tcPr>
          <w:p>
            <w:pPr>
              <w:jc w:val="right"/>
              <w:ind w:right="230"/>
              <w:spacing w:after="0"/>
              <w:rPr>
                <w:sz w:val="20"/>
                <w:szCs w:val="20"/>
                <w:color w:val="auto"/>
              </w:rPr>
            </w:pPr>
            <w:r>
              <w:rPr>
                <w:rFonts w:ascii="Arial" w:cs="Arial" w:eastAsia="Arial" w:hAnsi="Arial"/>
                <w:sz w:val="14"/>
                <w:szCs w:val="14"/>
                <w:color w:val="auto"/>
              </w:rPr>
              <w:t>82.26</w:t>
            </w:r>
          </w:p>
        </w:tc>
        <w:tc>
          <w:tcPr>
            <w:tcW w:w="1380" w:type="dxa"/>
            <w:vAlign w:val="bottom"/>
            <w:gridSpan w:val="2"/>
            <w:shd w:val="clear" w:color="auto" w:fill="D8D8D8"/>
          </w:tcPr>
          <w:p>
            <w:pPr>
              <w:jc w:val="right"/>
              <w:ind w:right="228"/>
              <w:spacing w:after="0"/>
              <w:rPr>
                <w:sz w:val="20"/>
                <w:szCs w:val="20"/>
                <w:color w:val="auto"/>
              </w:rPr>
            </w:pPr>
            <w:r>
              <w:rPr>
                <w:rFonts w:ascii="Arial" w:cs="Arial" w:eastAsia="Arial" w:hAnsi="Arial"/>
                <w:sz w:val="14"/>
                <w:szCs w:val="14"/>
                <w:color w:val="auto"/>
              </w:rPr>
              <w:t>88.07[A]</w:t>
            </w:r>
          </w:p>
        </w:tc>
        <w:tc>
          <w:tcPr>
            <w:tcW w:w="1460" w:type="dxa"/>
            <w:vAlign w:val="bottom"/>
            <w:gridSpan w:val="2"/>
          </w:tcPr>
          <w:p>
            <w:pPr>
              <w:jc w:val="right"/>
              <w:ind w:right="173"/>
              <w:spacing w:after="0"/>
              <w:rPr>
                <w:sz w:val="20"/>
                <w:szCs w:val="20"/>
                <w:color w:val="auto"/>
              </w:rPr>
            </w:pPr>
            <w:r>
              <w:rPr>
                <w:rFonts w:ascii="Arial" w:cs="Arial" w:eastAsia="Arial" w:hAnsi="Arial"/>
                <w:sz w:val="14"/>
                <w:szCs w:val="14"/>
                <w:color w:val="auto"/>
              </w:rPr>
              <w:t>90.50</w:t>
            </w:r>
          </w:p>
        </w:tc>
        <w:tc>
          <w:tcPr>
            <w:tcW w:w="1580" w:type="dxa"/>
            <w:vAlign w:val="bottom"/>
            <w:gridSpan w:val="2"/>
          </w:tcPr>
          <w:p>
            <w:pPr>
              <w:ind w:left="540"/>
              <w:spacing w:after="0"/>
              <w:rPr>
                <w:sz w:val="20"/>
                <w:szCs w:val="20"/>
                <w:color w:val="auto"/>
              </w:rPr>
            </w:pPr>
            <w:r>
              <w:rPr>
                <w:rFonts w:ascii="Arial" w:cs="Arial" w:eastAsia="Arial" w:hAnsi="Arial"/>
                <w:sz w:val="14"/>
                <w:szCs w:val="14"/>
                <w:color w:val="auto"/>
              </w:rPr>
              <w:t>91.91[A]</w:t>
            </w:r>
          </w:p>
        </w:tc>
        <w:tc>
          <w:tcPr>
            <w:tcW w:w="1000" w:type="dxa"/>
            <w:vAlign w:val="bottom"/>
          </w:tcPr>
          <w:p>
            <w:pPr>
              <w:jc w:val="right"/>
              <w:ind w:right="30"/>
              <w:spacing w:after="0"/>
              <w:rPr>
                <w:sz w:val="20"/>
                <w:szCs w:val="20"/>
                <w:color w:val="auto"/>
              </w:rPr>
            </w:pPr>
            <w:r>
              <w:rPr>
                <w:rFonts w:ascii="Arial" w:cs="Arial" w:eastAsia="Arial" w:hAnsi="Arial"/>
                <w:sz w:val="14"/>
                <w:szCs w:val="14"/>
                <w:color w:val="auto"/>
              </w:rPr>
              <w:t>91.62</w:t>
            </w:r>
          </w:p>
        </w:tc>
        <w:tc>
          <w:tcPr>
            <w:tcW w:w="1160" w:type="dxa"/>
            <w:vAlign w:val="bottom"/>
          </w:tcPr>
          <w:p>
            <w:pPr>
              <w:jc w:val="right"/>
              <w:spacing w:after="0"/>
              <w:rPr>
                <w:sz w:val="20"/>
                <w:szCs w:val="20"/>
                <w:color w:val="auto"/>
              </w:rPr>
            </w:pPr>
            <w:r>
              <w:rPr>
                <w:rFonts w:ascii="Arial" w:cs="Arial" w:eastAsia="Arial" w:hAnsi="Arial"/>
                <w:sz w:val="14"/>
                <w:szCs w:val="14"/>
                <w:color w:val="auto"/>
              </w:rPr>
              <w:t>90.14[A]</w:t>
            </w:r>
          </w:p>
        </w:tc>
        <w:tc>
          <w:tcPr>
            <w:tcW w:w="0" w:type="dxa"/>
            <w:vAlign w:val="bottom"/>
          </w:tcPr>
          <w:p>
            <w:pPr>
              <w:spacing w:after="0"/>
              <w:rPr>
                <w:sz w:val="1"/>
                <w:szCs w:val="1"/>
                <w:color w:val="auto"/>
              </w:rPr>
            </w:pPr>
          </w:p>
        </w:tc>
      </w:tr>
      <w:tr>
        <w:trPr>
          <w:trHeight w:val="162"/>
        </w:trPr>
        <w:tc>
          <w:tcPr>
            <w:tcW w:w="3740" w:type="dxa"/>
            <w:vAlign w:val="bottom"/>
          </w:tcPr>
          <w:p>
            <w:pPr>
              <w:spacing w:after="0"/>
              <w:rPr>
                <w:sz w:val="20"/>
                <w:szCs w:val="20"/>
                <w:color w:val="auto"/>
              </w:rPr>
            </w:pPr>
            <w:r>
              <w:rPr>
                <w:rFonts w:ascii="Arial" w:cs="Arial" w:eastAsia="Arial" w:hAnsi="Arial"/>
                <w:sz w:val="14"/>
                <w:szCs w:val="14"/>
                <w:color w:val="auto"/>
              </w:rPr>
              <w:t>Africa</w:t>
            </w:r>
          </w:p>
        </w:tc>
        <w:tc>
          <w:tcPr>
            <w:tcW w:w="1100" w:type="dxa"/>
            <w:vAlign w:val="bottom"/>
            <w:shd w:val="clear" w:color="auto" w:fill="D8D8D8"/>
          </w:tcPr>
          <w:p>
            <w:pPr>
              <w:jc w:val="right"/>
              <w:ind w:right="230"/>
              <w:spacing w:after="0"/>
              <w:rPr>
                <w:sz w:val="20"/>
                <w:szCs w:val="20"/>
                <w:color w:val="auto"/>
              </w:rPr>
            </w:pPr>
            <w:r>
              <w:rPr>
                <w:rFonts w:ascii="Arial" w:cs="Arial" w:eastAsia="Arial" w:hAnsi="Arial"/>
                <w:sz w:val="14"/>
                <w:szCs w:val="14"/>
                <w:color w:val="auto"/>
              </w:rPr>
              <w:t>100.55</w:t>
            </w:r>
          </w:p>
        </w:tc>
        <w:tc>
          <w:tcPr>
            <w:tcW w:w="760" w:type="dxa"/>
            <w:vAlign w:val="bottom"/>
            <w:shd w:val="clear" w:color="auto" w:fill="D8D8D8"/>
          </w:tcPr>
          <w:p>
            <w:pPr>
              <w:spacing w:after="0"/>
              <w:rPr>
                <w:sz w:val="14"/>
                <w:szCs w:val="14"/>
                <w:color w:val="auto"/>
              </w:rPr>
            </w:pPr>
          </w:p>
        </w:tc>
        <w:tc>
          <w:tcPr>
            <w:tcW w:w="620" w:type="dxa"/>
            <w:vAlign w:val="bottom"/>
            <w:shd w:val="clear" w:color="auto" w:fill="D8D8D8"/>
          </w:tcPr>
          <w:p>
            <w:pPr>
              <w:jc w:val="right"/>
              <w:ind w:right="408"/>
              <w:spacing w:after="0"/>
              <w:rPr>
                <w:sz w:val="20"/>
                <w:szCs w:val="20"/>
                <w:color w:val="auto"/>
              </w:rPr>
            </w:pPr>
            <w:r>
              <w:rPr>
                <w:rFonts w:ascii="Arial" w:cs="Arial" w:eastAsia="Arial" w:hAnsi="Arial"/>
                <w:sz w:val="14"/>
                <w:szCs w:val="14"/>
                <w:color w:val="auto"/>
              </w:rPr>
              <w:t>–</w:t>
            </w:r>
          </w:p>
        </w:tc>
        <w:tc>
          <w:tcPr>
            <w:tcW w:w="1460" w:type="dxa"/>
            <w:vAlign w:val="bottom"/>
            <w:gridSpan w:val="2"/>
          </w:tcPr>
          <w:p>
            <w:pPr>
              <w:jc w:val="right"/>
              <w:ind w:right="173"/>
              <w:spacing w:after="0"/>
              <w:rPr>
                <w:sz w:val="20"/>
                <w:szCs w:val="20"/>
                <w:color w:val="auto"/>
              </w:rPr>
            </w:pPr>
            <w:r>
              <w:rPr>
                <w:rFonts w:ascii="Arial" w:cs="Arial" w:eastAsia="Arial" w:hAnsi="Arial"/>
                <w:sz w:val="14"/>
                <w:szCs w:val="14"/>
                <w:color w:val="auto"/>
              </w:rPr>
              <w:t>110.14</w:t>
            </w:r>
          </w:p>
        </w:tc>
        <w:tc>
          <w:tcPr>
            <w:tcW w:w="1580" w:type="dxa"/>
            <w:vAlign w:val="bottom"/>
            <w:gridSpan w:val="2"/>
          </w:tcPr>
          <w:p>
            <w:pPr>
              <w:jc w:val="right"/>
              <w:ind w:right="680"/>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30"/>
              <w:spacing w:after="0"/>
              <w:rPr>
                <w:sz w:val="20"/>
                <w:szCs w:val="20"/>
                <w:color w:val="auto"/>
              </w:rPr>
            </w:pPr>
            <w:r>
              <w:rPr>
                <w:rFonts w:ascii="Arial" w:cs="Arial" w:eastAsia="Arial" w:hAnsi="Arial"/>
                <w:sz w:val="14"/>
                <w:szCs w:val="14"/>
                <w:color w:val="auto"/>
              </w:rPr>
              <w:t>112.45</w:t>
            </w:r>
          </w:p>
        </w:tc>
        <w:tc>
          <w:tcPr>
            <w:tcW w:w="1160" w:type="dxa"/>
            <w:vAlign w:val="bottom"/>
          </w:tcPr>
          <w:p>
            <w:pPr>
              <w:jc w:val="right"/>
              <w:ind w:right="152"/>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3740" w:type="dxa"/>
            <w:vAlign w:val="bottom"/>
          </w:tcPr>
          <w:p>
            <w:pPr>
              <w:spacing w:after="0"/>
              <w:rPr>
                <w:sz w:val="20"/>
                <w:szCs w:val="20"/>
                <w:color w:val="auto"/>
              </w:rPr>
            </w:pPr>
            <w:r>
              <w:rPr>
                <w:rFonts w:ascii="Arial" w:cs="Arial" w:eastAsia="Arial" w:hAnsi="Arial"/>
                <w:sz w:val="14"/>
                <w:szCs w:val="14"/>
                <w:color w:val="auto"/>
              </w:rPr>
              <w:t>North America – USA</w:t>
            </w:r>
          </w:p>
        </w:tc>
        <w:tc>
          <w:tcPr>
            <w:tcW w:w="1100" w:type="dxa"/>
            <w:vAlign w:val="bottom"/>
            <w:shd w:val="clear" w:color="auto" w:fill="D8D8D8"/>
          </w:tcPr>
          <w:p>
            <w:pPr>
              <w:jc w:val="right"/>
              <w:ind w:right="230"/>
              <w:spacing w:after="0"/>
              <w:rPr>
                <w:sz w:val="20"/>
                <w:szCs w:val="20"/>
                <w:color w:val="auto"/>
              </w:rPr>
            </w:pPr>
            <w:r>
              <w:rPr>
                <w:rFonts w:ascii="Arial" w:cs="Arial" w:eastAsia="Arial" w:hAnsi="Arial"/>
                <w:sz w:val="14"/>
                <w:szCs w:val="14"/>
                <w:color w:val="auto"/>
              </w:rPr>
              <w:t>87.90</w:t>
            </w:r>
          </w:p>
        </w:tc>
        <w:tc>
          <w:tcPr>
            <w:tcW w:w="760" w:type="dxa"/>
            <w:vAlign w:val="bottom"/>
            <w:shd w:val="clear" w:color="auto" w:fill="D8D8D8"/>
          </w:tcPr>
          <w:p>
            <w:pPr>
              <w:spacing w:after="0"/>
              <w:rPr>
                <w:sz w:val="14"/>
                <w:szCs w:val="14"/>
                <w:color w:val="auto"/>
              </w:rPr>
            </w:pPr>
          </w:p>
        </w:tc>
        <w:tc>
          <w:tcPr>
            <w:tcW w:w="620" w:type="dxa"/>
            <w:vAlign w:val="bottom"/>
            <w:shd w:val="clear" w:color="auto" w:fill="D8D8D8"/>
          </w:tcPr>
          <w:p>
            <w:pPr>
              <w:jc w:val="right"/>
              <w:ind w:right="408"/>
              <w:spacing w:after="0"/>
              <w:rPr>
                <w:sz w:val="20"/>
                <w:szCs w:val="20"/>
                <w:color w:val="auto"/>
              </w:rPr>
            </w:pPr>
            <w:r>
              <w:rPr>
                <w:rFonts w:ascii="Arial" w:cs="Arial" w:eastAsia="Arial" w:hAnsi="Arial"/>
                <w:sz w:val="14"/>
                <w:szCs w:val="14"/>
                <w:color w:val="auto"/>
              </w:rPr>
              <w:t>–</w:t>
            </w:r>
          </w:p>
        </w:tc>
        <w:tc>
          <w:tcPr>
            <w:tcW w:w="46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98.10[B]</w:t>
            </w:r>
          </w:p>
        </w:tc>
        <w:tc>
          <w:tcPr>
            <w:tcW w:w="1580" w:type="dxa"/>
            <w:vAlign w:val="bottom"/>
            <w:gridSpan w:val="2"/>
          </w:tcPr>
          <w:p>
            <w:pPr>
              <w:jc w:val="right"/>
              <w:ind w:right="680"/>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30"/>
              <w:spacing w:after="0"/>
              <w:rPr>
                <w:sz w:val="20"/>
                <w:szCs w:val="20"/>
                <w:color w:val="auto"/>
              </w:rPr>
            </w:pPr>
            <w:r>
              <w:rPr>
                <w:rFonts w:ascii="Arial" w:cs="Arial" w:eastAsia="Arial" w:hAnsi="Arial"/>
                <w:sz w:val="14"/>
                <w:szCs w:val="14"/>
                <w:color w:val="auto"/>
              </w:rPr>
              <w:t>103.59</w:t>
            </w:r>
          </w:p>
        </w:tc>
        <w:tc>
          <w:tcPr>
            <w:tcW w:w="1160" w:type="dxa"/>
            <w:vAlign w:val="bottom"/>
          </w:tcPr>
          <w:p>
            <w:pPr>
              <w:jc w:val="right"/>
              <w:ind w:right="152"/>
              <w:spacing w:after="0"/>
              <w:rPr>
                <w:sz w:val="20"/>
                <w:szCs w:val="20"/>
                <w:color w:val="auto"/>
              </w:rPr>
            </w:pPr>
            <w:r>
              <w:rPr>
                <w:rFonts w:ascii="Arial" w:cs="Arial" w:eastAsia="Arial" w:hAnsi="Arial"/>
                <w:sz w:val="14"/>
                <w:szCs w:val="14"/>
                <w:color w:val="auto"/>
              </w:rPr>
              <w:t>110.00</w:t>
            </w:r>
          </w:p>
        </w:tc>
        <w:tc>
          <w:tcPr>
            <w:tcW w:w="0" w:type="dxa"/>
            <w:vAlign w:val="bottom"/>
          </w:tcPr>
          <w:p>
            <w:pPr>
              <w:spacing w:after="0"/>
              <w:rPr>
                <w:sz w:val="1"/>
                <w:szCs w:val="1"/>
                <w:color w:val="auto"/>
              </w:rPr>
            </w:pPr>
          </w:p>
        </w:tc>
      </w:tr>
      <w:tr>
        <w:trPr>
          <w:trHeight w:val="162"/>
        </w:trPr>
        <w:tc>
          <w:tcPr>
            <w:tcW w:w="3740" w:type="dxa"/>
            <w:vAlign w:val="bottom"/>
          </w:tcPr>
          <w:p>
            <w:pPr>
              <w:spacing w:after="0"/>
              <w:rPr>
                <w:sz w:val="20"/>
                <w:szCs w:val="20"/>
                <w:color w:val="auto"/>
              </w:rPr>
            </w:pPr>
            <w:r>
              <w:rPr>
                <w:rFonts w:ascii="Arial" w:cs="Arial" w:eastAsia="Arial" w:hAnsi="Arial"/>
                <w:sz w:val="14"/>
                <w:szCs w:val="14"/>
                <w:color w:val="auto"/>
              </w:rPr>
              <w:t>North America – Canada</w:t>
            </w:r>
          </w:p>
        </w:tc>
        <w:tc>
          <w:tcPr>
            <w:tcW w:w="1100" w:type="dxa"/>
            <w:vAlign w:val="bottom"/>
            <w:shd w:val="clear" w:color="auto" w:fill="D8D8D8"/>
          </w:tcPr>
          <w:p>
            <w:pPr>
              <w:jc w:val="right"/>
              <w:ind w:right="230"/>
              <w:spacing w:after="0"/>
              <w:rPr>
                <w:sz w:val="20"/>
                <w:szCs w:val="20"/>
                <w:color w:val="auto"/>
              </w:rPr>
            </w:pPr>
            <w:r>
              <w:rPr>
                <w:rFonts w:ascii="Arial" w:cs="Arial" w:eastAsia="Arial" w:hAnsi="Arial"/>
                <w:sz w:val="14"/>
                <w:szCs w:val="14"/>
                <w:color w:val="auto"/>
              </w:rPr>
              <w:t>59.19</w:t>
            </w:r>
          </w:p>
        </w:tc>
        <w:tc>
          <w:tcPr>
            <w:tcW w:w="760" w:type="dxa"/>
            <w:vAlign w:val="bottom"/>
            <w:shd w:val="clear" w:color="auto" w:fill="D8D8D8"/>
          </w:tcPr>
          <w:p>
            <w:pPr>
              <w:spacing w:after="0"/>
              <w:rPr>
                <w:sz w:val="14"/>
                <w:szCs w:val="14"/>
                <w:color w:val="auto"/>
              </w:rPr>
            </w:pPr>
          </w:p>
        </w:tc>
        <w:tc>
          <w:tcPr>
            <w:tcW w:w="620" w:type="dxa"/>
            <w:vAlign w:val="bottom"/>
            <w:shd w:val="clear" w:color="auto" w:fill="D8D8D8"/>
          </w:tcPr>
          <w:p>
            <w:pPr>
              <w:jc w:val="right"/>
              <w:ind w:right="408"/>
              <w:spacing w:after="0"/>
              <w:rPr>
                <w:sz w:val="20"/>
                <w:szCs w:val="20"/>
                <w:color w:val="auto"/>
              </w:rPr>
            </w:pPr>
            <w:r>
              <w:rPr>
                <w:rFonts w:ascii="Arial" w:cs="Arial" w:eastAsia="Arial" w:hAnsi="Arial"/>
                <w:sz w:val="14"/>
                <w:szCs w:val="14"/>
                <w:color w:val="auto"/>
              </w:rPr>
              <w:t>–</w:t>
            </w:r>
          </w:p>
        </w:tc>
        <w:tc>
          <w:tcPr>
            <w:tcW w:w="1460" w:type="dxa"/>
            <w:vAlign w:val="bottom"/>
            <w:gridSpan w:val="2"/>
          </w:tcPr>
          <w:p>
            <w:pPr>
              <w:jc w:val="right"/>
              <w:ind w:right="173"/>
              <w:spacing w:after="0"/>
              <w:rPr>
                <w:sz w:val="20"/>
                <w:szCs w:val="20"/>
                <w:color w:val="auto"/>
              </w:rPr>
            </w:pPr>
            <w:r>
              <w:rPr>
                <w:rFonts w:ascii="Arial" w:cs="Arial" w:eastAsia="Arial" w:hAnsi="Arial"/>
                <w:sz w:val="14"/>
                <w:szCs w:val="14"/>
                <w:color w:val="auto"/>
              </w:rPr>
              <w:t>63.14</w:t>
            </w:r>
          </w:p>
        </w:tc>
        <w:tc>
          <w:tcPr>
            <w:tcW w:w="1580" w:type="dxa"/>
            <w:vAlign w:val="bottom"/>
            <w:gridSpan w:val="2"/>
          </w:tcPr>
          <w:p>
            <w:pPr>
              <w:jc w:val="right"/>
              <w:ind w:right="680"/>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30"/>
              <w:spacing w:after="0"/>
              <w:rPr>
                <w:sz w:val="20"/>
                <w:szCs w:val="20"/>
                <w:color w:val="auto"/>
              </w:rPr>
            </w:pPr>
            <w:r>
              <w:rPr>
                <w:rFonts w:ascii="Arial" w:cs="Arial" w:eastAsia="Arial" w:hAnsi="Arial"/>
                <w:sz w:val="14"/>
                <w:szCs w:val="14"/>
                <w:color w:val="auto"/>
              </w:rPr>
              <w:t>68.31</w:t>
            </w:r>
          </w:p>
        </w:tc>
        <w:tc>
          <w:tcPr>
            <w:tcW w:w="1160" w:type="dxa"/>
            <w:vAlign w:val="bottom"/>
          </w:tcPr>
          <w:p>
            <w:pPr>
              <w:jc w:val="right"/>
              <w:ind w:right="152"/>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374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South America</w:t>
            </w:r>
          </w:p>
        </w:tc>
        <w:tc>
          <w:tcPr>
            <w:tcW w:w="1100" w:type="dxa"/>
            <w:vAlign w:val="bottom"/>
            <w:tcBorders>
              <w:bottom w:val="single" w:sz="8" w:color="auto"/>
            </w:tcBorders>
            <w:shd w:val="clear" w:color="auto" w:fill="D8D8D8"/>
          </w:tcPr>
          <w:p>
            <w:pPr>
              <w:jc w:val="right"/>
              <w:ind w:right="230"/>
              <w:spacing w:after="0"/>
              <w:rPr>
                <w:sz w:val="20"/>
                <w:szCs w:val="20"/>
                <w:color w:val="auto"/>
              </w:rPr>
            </w:pPr>
            <w:r>
              <w:rPr>
                <w:rFonts w:ascii="Arial" w:cs="Arial" w:eastAsia="Arial" w:hAnsi="Arial"/>
                <w:sz w:val="14"/>
                <w:szCs w:val="14"/>
                <w:color w:val="auto"/>
              </w:rPr>
              <w:t>88.68</w:t>
            </w:r>
          </w:p>
        </w:tc>
        <w:tc>
          <w:tcPr>
            <w:tcW w:w="760" w:type="dxa"/>
            <w:vAlign w:val="bottom"/>
            <w:tcBorders>
              <w:bottom w:val="single" w:sz="8" w:color="auto"/>
            </w:tcBorders>
            <w:shd w:val="clear" w:color="auto" w:fill="D8D8D8"/>
          </w:tcPr>
          <w:p>
            <w:pPr>
              <w:spacing w:after="0"/>
              <w:rPr>
                <w:sz w:val="14"/>
                <w:szCs w:val="14"/>
                <w:color w:val="auto"/>
              </w:rPr>
            </w:pPr>
          </w:p>
        </w:tc>
        <w:tc>
          <w:tcPr>
            <w:tcW w:w="620" w:type="dxa"/>
            <w:vAlign w:val="bottom"/>
            <w:tcBorders>
              <w:bottom w:val="single" w:sz="8" w:color="auto"/>
            </w:tcBorders>
            <w:shd w:val="clear" w:color="auto" w:fill="D8D8D8"/>
          </w:tcPr>
          <w:p>
            <w:pPr>
              <w:jc w:val="right"/>
              <w:ind w:right="408"/>
              <w:spacing w:after="0"/>
              <w:rPr>
                <w:sz w:val="20"/>
                <w:szCs w:val="20"/>
                <w:color w:val="auto"/>
              </w:rPr>
            </w:pPr>
            <w:r>
              <w:rPr>
                <w:rFonts w:ascii="Arial" w:cs="Arial" w:eastAsia="Arial" w:hAnsi="Arial"/>
                <w:sz w:val="14"/>
                <w:szCs w:val="14"/>
                <w:color w:val="auto"/>
              </w:rPr>
              <w:t>–</w:t>
            </w:r>
          </w:p>
        </w:tc>
        <w:tc>
          <w:tcPr>
            <w:tcW w:w="1460" w:type="dxa"/>
            <w:vAlign w:val="bottom"/>
            <w:tcBorders>
              <w:bottom w:val="single" w:sz="8" w:color="auto"/>
            </w:tcBorders>
            <w:gridSpan w:val="2"/>
          </w:tcPr>
          <w:p>
            <w:pPr>
              <w:jc w:val="right"/>
              <w:ind w:right="173"/>
              <w:spacing w:after="0"/>
              <w:rPr>
                <w:sz w:val="20"/>
                <w:szCs w:val="20"/>
                <w:color w:val="auto"/>
              </w:rPr>
            </w:pPr>
            <w:r>
              <w:rPr>
                <w:rFonts w:ascii="Arial" w:cs="Arial" w:eastAsia="Arial" w:hAnsi="Arial"/>
                <w:sz w:val="14"/>
                <w:szCs w:val="14"/>
                <w:color w:val="auto"/>
              </w:rPr>
              <w:t>97.17</w:t>
            </w:r>
          </w:p>
        </w:tc>
        <w:tc>
          <w:tcPr>
            <w:tcW w:w="1120" w:type="dxa"/>
            <w:vAlign w:val="bottom"/>
            <w:tcBorders>
              <w:bottom w:val="single" w:sz="8" w:color="auto"/>
            </w:tcBorders>
          </w:tcPr>
          <w:p>
            <w:pPr>
              <w:jc w:val="right"/>
              <w:ind w:right="151"/>
              <w:spacing w:after="0"/>
              <w:rPr>
                <w:sz w:val="20"/>
                <w:szCs w:val="20"/>
                <w:color w:val="auto"/>
              </w:rPr>
            </w:pPr>
            <w:r>
              <w:rPr>
                <w:rFonts w:ascii="Arial" w:cs="Arial" w:eastAsia="Arial" w:hAnsi="Arial"/>
                <w:sz w:val="14"/>
                <w:szCs w:val="14"/>
                <w:color w:val="auto"/>
              </w:rPr>
              <w:t>94.01</w:t>
            </w:r>
          </w:p>
        </w:tc>
        <w:tc>
          <w:tcPr>
            <w:tcW w:w="46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100.01</w:t>
            </w:r>
          </w:p>
        </w:tc>
        <w:tc>
          <w:tcPr>
            <w:tcW w:w="1160" w:type="dxa"/>
            <w:vAlign w:val="bottom"/>
            <w:tcBorders>
              <w:bottom w:val="single" w:sz="8" w:color="auto"/>
            </w:tcBorders>
          </w:tcPr>
          <w:p>
            <w:pPr>
              <w:jc w:val="right"/>
              <w:ind w:right="152"/>
              <w:spacing w:after="0"/>
              <w:rPr>
                <w:sz w:val="20"/>
                <w:szCs w:val="20"/>
                <w:color w:val="auto"/>
              </w:rPr>
            </w:pPr>
            <w:r>
              <w:rPr>
                <w:rFonts w:ascii="Arial" w:cs="Arial" w:eastAsia="Arial" w:hAnsi="Arial"/>
                <w:sz w:val="14"/>
                <w:szCs w:val="14"/>
                <w:color w:val="auto"/>
              </w:rPr>
              <w:t>97.33</w:t>
            </w:r>
          </w:p>
        </w:tc>
        <w:tc>
          <w:tcPr>
            <w:tcW w:w="0" w:type="dxa"/>
            <w:vAlign w:val="bottom"/>
          </w:tcPr>
          <w:p>
            <w:pPr>
              <w:spacing w:after="0"/>
              <w:rPr>
                <w:sz w:val="1"/>
                <w:szCs w:val="1"/>
                <w:color w:val="auto"/>
              </w:rPr>
            </w:pPr>
          </w:p>
        </w:tc>
      </w:tr>
      <w:tr>
        <w:trPr>
          <w:trHeight w:val="156"/>
        </w:trPr>
        <w:tc>
          <w:tcPr>
            <w:tcW w:w="3740" w:type="dxa"/>
            <w:vAlign w:val="bottom"/>
            <w:tcBorders>
              <w:bottom w:val="single" w:sz="8" w:color="auto"/>
            </w:tcBorders>
          </w:tcPr>
          <w:p>
            <w:pPr>
              <w:spacing w:after="0" w:line="155" w:lineRule="exact"/>
              <w:rPr>
                <w:sz w:val="20"/>
                <w:szCs w:val="20"/>
                <w:color w:val="auto"/>
              </w:rPr>
            </w:pPr>
            <w:r>
              <w:rPr>
                <w:rFonts w:ascii="Arial" w:cs="Arial" w:eastAsia="Arial" w:hAnsi="Arial"/>
                <w:sz w:val="14"/>
                <w:szCs w:val="14"/>
                <w:color w:val="auto"/>
              </w:rPr>
              <w:t>Total</w:t>
            </w:r>
          </w:p>
        </w:tc>
        <w:tc>
          <w:tcPr>
            <w:tcW w:w="1100" w:type="dxa"/>
            <w:vAlign w:val="bottom"/>
            <w:tcBorders>
              <w:bottom w:val="single" w:sz="8" w:color="auto"/>
            </w:tcBorders>
            <w:shd w:val="clear" w:color="auto" w:fill="D8D8D8"/>
          </w:tcPr>
          <w:p>
            <w:pPr>
              <w:jc w:val="right"/>
              <w:ind w:right="230"/>
              <w:spacing w:after="0" w:line="155" w:lineRule="exact"/>
              <w:rPr>
                <w:sz w:val="20"/>
                <w:szCs w:val="20"/>
                <w:color w:val="auto"/>
              </w:rPr>
            </w:pPr>
            <w:r>
              <w:rPr>
                <w:rFonts w:ascii="Arial" w:cs="Arial" w:eastAsia="Arial" w:hAnsi="Arial"/>
                <w:sz w:val="14"/>
                <w:szCs w:val="14"/>
                <w:color w:val="auto"/>
              </w:rPr>
              <w:t>91.09</w:t>
            </w:r>
          </w:p>
        </w:tc>
        <w:tc>
          <w:tcPr>
            <w:tcW w:w="1380" w:type="dxa"/>
            <w:vAlign w:val="bottom"/>
            <w:tcBorders>
              <w:bottom w:val="single" w:sz="8" w:color="auto"/>
            </w:tcBorders>
            <w:gridSpan w:val="2"/>
            <w:shd w:val="clear" w:color="auto" w:fill="D8D8D8"/>
          </w:tcPr>
          <w:p>
            <w:pPr>
              <w:jc w:val="right"/>
              <w:ind w:right="408"/>
              <w:spacing w:after="0" w:line="155" w:lineRule="exact"/>
              <w:rPr>
                <w:sz w:val="20"/>
                <w:szCs w:val="20"/>
                <w:color w:val="auto"/>
              </w:rPr>
            </w:pPr>
            <w:r>
              <w:rPr>
                <w:rFonts w:ascii="Arial" w:cs="Arial" w:eastAsia="Arial" w:hAnsi="Arial"/>
                <w:sz w:val="14"/>
                <w:szCs w:val="14"/>
                <w:color w:val="auto"/>
              </w:rPr>
              <w:t>95.87</w:t>
            </w:r>
          </w:p>
        </w:tc>
        <w:tc>
          <w:tcPr>
            <w:tcW w:w="46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99.83[B]</w:t>
            </w:r>
          </w:p>
        </w:tc>
        <w:tc>
          <w:tcPr>
            <w:tcW w:w="1120" w:type="dxa"/>
            <w:vAlign w:val="bottom"/>
            <w:tcBorders>
              <w:bottom w:val="single" w:sz="8" w:color="auto"/>
            </w:tcBorders>
          </w:tcPr>
          <w:p>
            <w:pPr>
              <w:jc w:val="right"/>
              <w:ind w:right="151"/>
              <w:spacing w:after="0" w:line="155" w:lineRule="exact"/>
              <w:rPr>
                <w:sz w:val="20"/>
                <w:szCs w:val="20"/>
                <w:color w:val="auto"/>
              </w:rPr>
            </w:pPr>
            <w:r>
              <w:rPr>
                <w:rFonts w:ascii="Arial" w:cs="Arial" w:eastAsia="Arial" w:hAnsi="Arial"/>
                <w:sz w:val="14"/>
                <w:szCs w:val="14"/>
                <w:color w:val="auto"/>
              </w:rPr>
              <w:t>72.69</w:t>
            </w:r>
          </w:p>
        </w:tc>
        <w:tc>
          <w:tcPr>
            <w:tcW w:w="46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30"/>
              <w:spacing w:after="0" w:line="155" w:lineRule="exact"/>
              <w:rPr>
                <w:sz w:val="20"/>
                <w:szCs w:val="20"/>
                <w:color w:val="auto"/>
              </w:rPr>
            </w:pPr>
            <w:r>
              <w:rPr>
                <w:rFonts w:ascii="Arial" w:cs="Arial" w:eastAsia="Arial" w:hAnsi="Arial"/>
                <w:sz w:val="14"/>
                <w:szCs w:val="14"/>
                <w:color w:val="auto"/>
              </w:rPr>
              <w:t>107.15</w:t>
            </w:r>
          </w:p>
        </w:tc>
        <w:tc>
          <w:tcPr>
            <w:tcW w:w="1160" w:type="dxa"/>
            <w:vAlign w:val="bottom"/>
            <w:tcBorders>
              <w:bottom w:val="single" w:sz="8" w:color="auto"/>
            </w:tcBorders>
          </w:tcPr>
          <w:p>
            <w:pPr>
              <w:jc w:val="right"/>
              <w:ind w:right="152"/>
              <w:spacing w:after="0" w:line="155" w:lineRule="exact"/>
              <w:rPr>
                <w:sz w:val="20"/>
                <w:szCs w:val="20"/>
                <w:color w:val="auto"/>
              </w:rPr>
            </w:pPr>
            <w:r>
              <w:rPr>
                <w:rFonts w:ascii="Arial" w:cs="Arial" w:eastAsia="Arial" w:hAnsi="Arial"/>
                <w:sz w:val="14"/>
                <w:szCs w:val="14"/>
                <w:color w:val="auto"/>
              </w:rPr>
              <w:t>76.01</w:t>
            </w:r>
          </w:p>
        </w:tc>
        <w:tc>
          <w:tcPr>
            <w:tcW w:w="0" w:type="dxa"/>
            <w:vAlign w:val="bottom"/>
          </w:tcPr>
          <w:p>
            <w:pPr>
              <w:spacing w:after="0"/>
              <w:rPr>
                <w:sz w:val="1"/>
                <w:szCs w:val="1"/>
                <w:color w:val="auto"/>
              </w:rPr>
            </w:pPr>
          </w:p>
        </w:tc>
      </w:tr>
    </w:tbl>
    <w:p>
      <w:pPr>
        <w:spacing w:after="0" w:line="37" w:lineRule="exact"/>
        <w:rPr>
          <w:sz w:val="20"/>
          <w:szCs w:val="20"/>
          <w:color w:val="auto"/>
        </w:rPr>
      </w:pPr>
    </w:p>
    <w:p>
      <w:pPr>
        <w:ind w:right="80" w:firstLine="8"/>
        <w:spacing w:after="0" w:line="230" w:lineRule="auto"/>
        <w:tabs>
          <w:tab w:leader="none" w:pos="162" w:val="left"/>
        </w:tabs>
        <w:numPr>
          <w:ilvl w:val="0"/>
          <w:numId w:val="32"/>
        </w:numPr>
        <w:rPr>
          <w:rFonts w:ascii="Arial" w:cs="Arial" w:eastAsia="Arial" w:hAnsi="Arial"/>
          <w:sz w:val="11"/>
          <w:szCs w:val="11"/>
          <w:color w:val="auto"/>
        </w:rPr>
      </w:pPr>
      <w:r>
        <w:rPr>
          <w:rFonts w:ascii="Arial" w:cs="Arial" w:eastAsia="Arial" w:hAnsi="Arial"/>
          <w:sz w:val="11"/>
          <w:szCs w:val="11"/>
          <w:color w:val="auto"/>
        </w:rPr>
        <w:t>Includes Shell’s 14% share of Woodside as from June 2014 (previously: 23% as from April 2012; 24% before that date), a publicly listed company on the Australian Securities Exchange. We have limited access to data; accordingly, the numbers are estimated.</w:t>
      </w:r>
    </w:p>
    <w:p>
      <w:pPr>
        <w:ind w:left="180" w:hanging="172"/>
        <w:spacing w:after="0"/>
        <w:tabs>
          <w:tab w:leader="none" w:pos="180" w:val="left"/>
        </w:tabs>
        <w:numPr>
          <w:ilvl w:val="0"/>
          <w:numId w:val="32"/>
        </w:numPr>
        <w:rPr>
          <w:rFonts w:ascii="Arial" w:cs="Arial" w:eastAsia="Arial" w:hAnsi="Arial"/>
          <w:sz w:val="11"/>
          <w:szCs w:val="11"/>
          <w:color w:val="auto"/>
        </w:rPr>
      </w:pPr>
      <w:r>
        <w:rPr>
          <w:rFonts w:ascii="Arial" w:cs="Arial" w:eastAsia="Arial" w:hAnsi="Arial"/>
          <w:sz w:val="11"/>
          <w:szCs w:val="11"/>
          <w:color w:val="auto"/>
        </w:rPr>
        <w:t>Average realised prices have been corrected from $101.00/b (USA) and $100.42/b (Total).</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4120" w:type="dxa"/>
            <w:vAlign w:val="bottom"/>
            <w:shd w:val="clear" w:color="auto" w:fill="333333"/>
          </w:tcPr>
          <w:p>
            <w:pPr>
              <w:ind w:left="80"/>
              <w:spacing w:after="0"/>
              <w:rPr>
                <w:sz w:val="20"/>
                <w:szCs w:val="20"/>
                <w:color w:val="auto"/>
              </w:rPr>
            </w:pPr>
            <w:r>
              <w:rPr>
                <w:rFonts w:ascii="Arial" w:cs="Arial" w:eastAsia="Arial" w:hAnsi="Arial"/>
                <w:sz w:val="15"/>
                <w:szCs w:val="15"/>
                <w:b w:val="1"/>
                <w:bCs w:val="1"/>
                <w:color w:val="FFFFFF"/>
              </w:rPr>
              <w:t>NATURAL GAS</w:t>
            </w:r>
          </w:p>
        </w:tc>
        <w:tc>
          <w:tcPr>
            <w:tcW w:w="940" w:type="dxa"/>
            <w:vAlign w:val="bottom"/>
            <w:shd w:val="clear" w:color="auto" w:fill="333333"/>
          </w:tcPr>
          <w:p>
            <w:pPr>
              <w:spacing w:after="0"/>
              <w:rPr>
                <w:sz w:val="14"/>
                <w:szCs w:val="14"/>
                <w:color w:val="auto"/>
              </w:rPr>
            </w:pPr>
          </w:p>
        </w:tc>
        <w:tc>
          <w:tcPr>
            <w:tcW w:w="1140" w:type="dxa"/>
            <w:vAlign w:val="bottom"/>
            <w:shd w:val="clear" w:color="auto" w:fill="333333"/>
          </w:tcPr>
          <w:p>
            <w:pPr>
              <w:spacing w:after="0"/>
              <w:rPr>
                <w:sz w:val="14"/>
                <w:szCs w:val="14"/>
                <w:color w:val="auto"/>
              </w:rPr>
            </w:pPr>
          </w:p>
        </w:tc>
        <w:tc>
          <w:tcPr>
            <w:tcW w:w="500" w:type="dxa"/>
            <w:vAlign w:val="bottom"/>
            <w:shd w:val="clear" w:color="auto" w:fill="333333"/>
          </w:tcPr>
          <w:p>
            <w:pPr>
              <w:spacing w:after="0"/>
              <w:rPr>
                <w:sz w:val="14"/>
                <w:szCs w:val="14"/>
                <w:color w:val="auto"/>
              </w:rPr>
            </w:pPr>
          </w:p>
        </w:tc>
        <w:tc>
          <w:tcPr>
            <w:tcW w:w="920" w:type="dxa"/>
            <w:vAlign w:val="bottom"/>
            <w:shd w:val="clear" w:color="auto" w:fill="333333"/>
          </w:tcPr>
          <w:p>
            <w:pPr>
              <w:spacing w:after="0"/>
              <w:rPr>
                <w:sz w:val="14"/>
                <w:szCs w:val="14"/>
                <w:color w:val="auto"/>
              </w:rPr>
            </w:pPr>
          </w:p>
        </w:tc>
        <w:tc>
          <w:tcPr>
            <w:tcW w:w="1160" w:type="dxa"/>
            <w:vAlign w:val="bottom"/>
            <w:shd w:val="clear" w:color="auto" w:fill="333333"/>
          </w:tcPr>
          <w:p>
            <w:pPr>
              <w:spacing w:after="0"/>
              <w:rPr>
                <w:sz w:val="14"/>
                <w:szCs w:val="14"/>
                <w:color w:val="auto"/>
              </w:rPr>
            </w:pPr>
          </w:p>
        </w:tc>
        <w:tc>
          <w:tcPr>
            <w:tcW w:w="480" w:type="dxa"/>
            <w:vAlign w:val="bottom"/>
            <w:shd w:val="clear" w:color="auto" w:fill="333333"/>
          </w:tcPr>
          <w:p>
            <w:pPr>
              <w:spacing w:after="0"/>
              <w:rPr>
                <w:sz w:val="14"/>
                <w:szCs w:val="14"/>
                <w:color w:val="auto"/>
              </w:rPr>
            </w:pPr>
          </w:p>
        </w:tc>
        <w:tc>
          <w:tcPr>
            <w:tcW w:w="2160" w:type="dxa"/>
            <w:vAlign w:val="bottom"/>
            <w:gridSpan w:val="2"/>
            <w:shd w:val="clear" w:color="auto" w:fill="333333"/>
          </w:tcPr>
          <w:p>
            <w:pPr>
              <w:jc w:val="right"/>
              <w:ind w:right="151"/>
              <w:spacing w:after="0"/>
              <w:rPr>
                <w:sz w:val="20"/>
                <w:szCs w:val="20"/>
                <w:color w:val="auto"/>
              </w:rPr>
            </w:pPr>
            <w:r>
              <w:rPr>
                <w:rFonts w:ascii="Arial" w:cs="Arial" w:eastAsia="Arial" w:hAnsi="Arial"/>
                <w:sz w:val="15"/>
                <w:szCs w:val="15"/>
                <w:color w:val="FFFFFF"/>
              </w:rPr>
              <w:t>$/THOUSAND SCF</w:t>
            </w:r>
          </w:p>
        </w:tc>
      </w:tr>
      <w:tr>
        <w:trPr>
          <w:trHeight w:val="162"/>
        </w:trPr>
        <w:tc>
          <w:tcPr>
            <w:tcW w:w="4120" w:type="dxa"/>
            <w:vAlign w:val="bottom"/>
          </w:tcPr>
          <w:p>
            <w:pPr>
              <w:spacing w:after="0"/>
              <w:rPr>
                <w:sz w:val="14"/>
                <w:szCs w:val="14"/>
                <w:color w:val="auto"/>
              </w:rPr>
            </w:pPr>
          </w:p>
        </w:tc>
        <w:tc>
          <w:tcPr>
            <w:tcW w:w="940" w:type="dxa"/>
            <w:vAlign w:val="bottom"/>
            <w:tcBorders>
              <w:bottom w:val="single" w:sz="8" w:color="auto"/>
            </w:tcBorders>
            <w:shd w:val="clear" w:color="auto" w:fill="D8D8D8"/>
          </w:tcPr>
          <w:p>
            <w:pPr>
              <w:spacing w:after="0"/>
              <w:rPr>
                <w:sz w:val="14"/>
                <w:szCs w:val="14"/>
                <w:color w:val="auto"/>
              </w:rPr>
            </w:pPr>
          </w:p>
        </w:tc>
        <w:tc>
          <w:tcPr>
            <w:tcW w:w="1140" w:type="dxa"/>
            <w:vAlign w:val="bottom"/>
            <w:tcBorders>
              <w:bottom w:val="single" w:sz="8" w:color="auto"/>
            </w:tcBorders>
            <w:shd w:val="clear" w:color="auto" w:fill="D8D8D8"/>
          </w:tcPr>
          <w:p>
            <w:pPr>
              <w:jc w:val="right"/>
              <w:ind w:right="131"/>
              <w:spacing w:after="0"/>
              <w:rPr>
                <w:sz w:val="20"/>
                <w:szCs w:val="20"/>
                <w:color w:val="auto"/>
              </w:rPr>
            </w:pPr>
            <w:r>
              <w:rPr>
                <w:rFonts w:ascii="Arial" w:cs="Arial" w:eastAsia="Arial" w:hAnsi="Arial"/>
                <w:sz w:val="13"/>
                <w:szCs w:val="13"/>
                <w:color w:val="auto"/>
              </w:rPr>
              <w:t>2014</w:t>
            </w:r>
          </w:p>
        </w:tc>
        <w:tc>
          <w:tcPr>
            <w:tcW w:w="500" w:type="dxa"/>
            <w:vAlign w:val="bottom"/>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151"/>
              <w:spacing w:after="0"/>
              <w:rPr>
                <w:sz w:val="20"/>
                <w:szCs w:val="20"/>
                <w:color w:val="auto"/>
              </w:rPr>
            </w:pPr>
            <w:r>
              <w:rPr>
                <w:rFonts w:ascii="Arial" w:cs="Arial" w:eastAsia="Arial" w:hAnsi="Arial"/>
                <w:sz w:val="13"/>
                <w:szCs w:val="13"/>
                <w:color w:val="auto"/>
              </w:rPr>
              <w:t>2013</w:t>
            </w:r>
          </w:p>
        </w:tc>
        <w:tc>
          <w:tcPr>
            <w:tcW w:w="480" w:type="dxa"/>
            <w:vAlign w:val="bottom"/>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151"/>
              <w:spacing w:after="0"/>
              <w:rPr>
                <w:sz w:val="20"/>
                <w:szCs w:val="20"/>
                <w:color w:val="auto"/>
              </w:rPr>
            </w:pPr>
            <w:r>
              <w:rPr>
                <w:rFonts w:ascii="Arial" w:cs="Arial" w:eastAsia="Arial" w:hAnsi="Arial"/>
                <w:sz w:val="13"/>
                <w:szCs w:val="13"/>
                <w:color w:val="auto"/>
              </w:rPr>
              <w:t>2012</w:t>
            </w:r>
          </w:p>
        </w:tc>
      </w:tr>
      <w:tr>
        <w:trPr>
          <w:trHeight w:val="123"/>
        </w:trPr>
        <w:tc>
          <w:tcPr>
            <w:tcW w:w="4120" w:type="dxa"/>
            <w:vAlign w:val="bottom"/>
          </w:tcPr>
          <w:p>
            <w:pPr>
              <w:spacing w:after="0"/>
              <w:rPr>
                <w:sz w:val="10"/>
                <w:szCs w:val="10"/>
                <w:color w:val="auto"/>
              </w:rPr>
            </w:pPr>
          </w:p>
        </w:tc>
        <w:tc>
          <w:tcPr>
            <w:tcW w:w="940" w:type="dxa"/>
            <w:vAlign w:val="bottom"/>
            <w:shd w:val="clear" w:color="auto" w:fill="D8D8D8"/>
          </w:tcPr>
          <w:p>
            <w:pPr>
              <w:spacing w:after="0"/>
              <w:rPr>
                <w:sz w:val="10"/>
                <w:szCs w:val="10"/>
                <w:color w:val="auto"/>
              </w:rPr>
            </w:pPr>
          </w:p>
        </w:tc>
        <w:tc>
          <w:tcPr>
            <w:tcW w:w="1140" w:type="dxa"/>
            <w:vAlign w:val="bottom"/>
            <w:shd w:val="clear" w:color="auto" w:fill="D8D8D8"/>
          </w:tcPr>
          <w:p>
            <w:pPr>
              <w:jc w:val="right"/>
              <w:ind w:right="131"/>
              <w:spacing w:after="0" w:line="123" w:lineRule="exact"/>
              <w:rPr>
                <w:sz w:val="20"/>
                <w:szCs w:val="20"/>
                <w:color w:val="auto"/>
              </w:rPr>
            </w:pPr>
            <w:r>
              <w:rPr>
                <w:rFonts w:ascii="Arial" w:cs="Arial" w:eastAsia="Arial" w:hAnsi="Arial"/>
                <w:sz w:val="13"/>
                <w:szCs w:val="13"/>
                <w:color w:val="auto"/>
              </w:rPr>
              <w:t>Shell share of</w:t>
            </w:r>
          </w:p>
        </w:tc>
        <w:tc>
          <w:tcPr>
            <w:tcW w:w="5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160" w:type="dxa"/>
            <w:vAlign w:val="bottom"/>
          </w:tcPr>
          <w:p>
            <w:pPr>
              <w:jc w:val="right"/>
              <w:ind w:right="151"/>
              <w:spacing w:after="0" w:line="123" w:lineRule="exact"/>
              <w:rPr>
                <w:sz w:val="20"/>
                <w:szCs w:val="20"/>
                <w:color w:val="auto"/>
              </w:rPr>
            </w:pPr>
            <w:r>
              <w:rPr>
                <w:rFonts w:ascii="Arial" w:cs="Arial" w:eastAsia="Arial" w:hAnsi="Arial"/>
                <w:sz w:val="13"/>
                <w:szCs w:val="13"/>
                <w:color w:val="auto"/>
              </w:rPr>
              <w:t>Shell share of</w:t>
            </w:r>
          </w:p>
        </w:tc>
        <w:tc>
          <w:tcPr>
            <w:tcW w:w="4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140" w:type="dxa"/>
            <w:vAlign w:val="bottom"/>
          </w:tcPr>
          <w:p>
            <w:pPr>
              <w:jc w:val="right"/>
              <w:ind w:right="151"/>
              <w:spacing w:after="0" w:line="123" w:lineRule="exact"/>
              <w:rPr>
                <w:sz w:val="20"/>
                <w:szCs w:val="20"/>
                <w:color w:val="auto"/>
              </w:rPr>
            </w:pPr>
            <w:r>
              <w:rPr>
                <w:rFonts w:ascii="Arial" w:cs="Arial" w:eastAsia="Arial" w:hAnsi="Arial"/>
                <w:sz w:val="13"/>
                <w:szCs w:val="13"/>
                <w:color w:val="auto"/>
              </w:rPr>
              <w:t>Shell share of</w:t>
            </w:r>
          </w:p>
        </w:tc>
      </w:tr>
      <w:tr>
        <w:trPr>
          <w:trHeight w:val="135"/>
        </w:trPr>
        <w:tc>
          <w:tcPr>
            <w:tcW w:w="4120" w:type="dxa"/>
            <w:vAlign w:val="bottom"/>
          </w:tcPr>
          <w:p>
            <w:pPr>
              <w:spacing w:after="0"/>
              <w:rPr>
                <w:sz w:val="11"/>
                <w:szCs w:val="11"/>
                <w:color w:val="auto"/>
              </w:rPr>
            </w:pPr>
          </w:p>
        </w:tc>
        <w:tc>
          <w:tcPr>
            <w:tcW w:w="940" w:type="dxa"/>
            <w:vAlign w:val="bottom"/>
            <w:shd w:val="clear" w:color="auto" w:fill="D8D8D8"/>
          </w:tcPr>
          <w:p>
            <w:pPr>
              <w:jc w:val="right"/>
              <w:ind w:right="30"/>
              <w:spacing w:after="0" w:line="135" w:lineRule="exact"/>
              <w:rPr>
                <w:sz w:val="20"/>
                <w:szCs w:val="20"/>
                <w:color w:val="auto"/>
              </w:rPr>
            </w:pPr>
            <w:r>
              <w:rPr>
                <w:rFonts w:ascii="Arial" w:cs="Arial" w:eastAsia="Arial" w:hAnsi="Arial"/>
                <w:sz w:val="13"/>
                <w:szCs w:val="13"/>
                <w:color w:val="auto"/>
              </w:rPr>
              <w:t>Shell</w:t>
            </w:r>
          </w:p>
        </w:tc>
        <w:tc>
          <w:tcPr>
            <w:tcW w:w="1140" w:type="dxa"/>
            <w:vAlign w:val="bottom"/>
            <w:shd w:val="clear" w:color="auto" w:fill="D8D8D8"/>
          </w:tcPr>
          <w:p>
            <w:pPr>
              <w:jc w:val="right"/>
              <w:ind w:right="131"/>
              <w:spacing w:after="0" w:line="135" w:lineRule="exact"/>
              <w:rPr>
                <w:sz w:val="20"/>
                <w:szCs w:val="20"/>
                <w:color w:val="auto"/>
              </w:rPr>
            </w:pPr>
            <w:r>
              <w:rPr>
                <w:rFonts w:ascii="Arial" w:cs="Arial" w:eastAsia="Arial" w:hAnsi="Arial"/>
                <w:sz w:val="13"/>
                <w:szCs w:val="13"/>
                <w:color w:val="auto"/>
              </w:rPr>
              <w:t>joint ventures</w:t>
            </w:r>
          </w:p>
        </w:tc>
        <w:tc>
          <w:tcPr>
            <w:tcW w:w="500" w:type="dxa"/>
            <w:vAlign w:val="bottom"/>
          </w:tcPr>
          <w:p>
            <w:pPr>
              <w:spacing w:after="0"/>
              <w:rPr>
                <w:sz w:val="11"/>
                <w:szCs w:val="11"/>
                <w:color w:val="auto"/>
              </w:rPr>
            </w:pPr>
          </w:p>
        </w:tc>
        <w:tc>
          <w:tcPr>
            <w:tcW w:w="920" w:type="dxa"/>
            <w:vAlign w:val="bottom"/>
          </w:tcPr>
          <w:p>
            <w:pPr>
              <w:jc w:val="right"/>
              <w:ind w:right="37"/>
              <w:spacing w:after="0" w:line="135" w:lineRule="exact"/>
              <w:rPr>
                <w:sz w:val="20"/>
                <w:szCs w:val="20"/>
                <w:color w:val="auto"/>
              </w:rPr>
            </w:pPr>
            <w:r>
              <w:rPr>
                <w:rFonts w:ascii="Arial" w:cs="Arial" w:eastAsia="Arial" w:hAnsi="Arial"/>
                <w:sz w:val="13"/>
                <w:szCs w:val="13"/>
                <w:color w:val="auto"/>
              </w:rPr>
              <w:t>Shell</w:t>
            </w:r>
          </w:p>
        </w:tc>
        <w:tc>
          <w:tcPr>
            <w:tcW w:w="1640" w:type="dxa"/>
            <w:vAlign w:val="bottom"/>
            <w:gridSpan w:val="2"/>
          </w:tcPr>
          <w:p>
            <w:pPr>
              <w:jc w:val="right"/>
              <w:ind w:right="700"/>
              <w:spacing w:after="0" w:line="135" w:lineRule="exact"/>
              <w:rPr>
                <w:sz w:val="20"/>
                <w:szCs w:val="20"/>
                <w:color w:val="auto"/>
              </w:rPr>
            </w:pPr>
            <w:r>
              <w:rPr>
                <w:rFonts w:ascii="Arial" w:cs="Arial" w:eastAsia="Arial" w:hAnsi="Arial"/>
                <w:sz w:val="13"/>
                <w:szCs w:val="13"/>
                <w:color w:val="auto"/>
              </w:rPr>
              <w:t>joint ventures</w:t>
            </w:r>
          </w:p>
        </w:tc>
        <w:tc>
          <w:tcPr>
            <w:tcW w:w="1020" w:type="dxa"/>
            <w:vAlign w:val="bottom"/>
          </w:tcPr>
          <w:p>
            <w:pPr>
              <w:jc w:val="right"/>
              <w:ind w:right="9"/>
              <w:spacing w:after="0" w:line="135" w:lineRule="exact"/>
              <w:rPr>
                <w:sz w:val="20"/>
                <w:szCs w:val="20"/>
                <w:color w:val="auto"/>
              </w:rPr>
            </w:pPr>
            <w:r>
              <w:rPr>
                <w:rFonts w:ascii="Arial" w:cs="Arial" w:eastAsia="Arial" w:hAnsi="Arial"/>
                <w:sz w:val="13"/>
                <w:szCs w:val="13"/>
                <w:color w:val="auto"/>
              </w:rPr>
              <w:t>Shell</w:t>
            </w:r>
          </w:p>
        </w:tc>
        <w:tc>
          <w:tcPr>
            <w:tcW w:w="1140" w:type="dxa"/>
            <w:vAlign w:val="bottom"/>
          </w:tcPr>
          <w:p>
            <w:pPr>
              <w:jc w:val="right"/>
              <w:ind w:right="151"/>
              <w:spacing w:after="0" w:line="135" w:lineRule="exact"/>
              <w:rPr>
                <w:sz w:val="20"/>
                <w:szCs w:val="20"/>
                <w:color w:val="auto"/>
              </w:rPr>
            </w:pPr>
            <w:r>
              <w:rPr>
                <w:rFonts w:ascii="Arial" w:cs="Arial" w:eastAsia="Arial" w:hAnsi="Arial"/>
                <w:sz w:val="13"/>
                <w:szCs w:val="13"/>
                <w:color w:val="auto"/>
              </w:rPr>
              <w:t>joint ventures</w:t>
            </w:r>
          </w:p>
        </w:tc>
      </w:tr>
      <w:tr>
        <w:trPr>
          <w:trHeight w:val="141"/>
        </w:trPr>
        <w:tc>
          <w:tcPr>
            <w:tcW w:w="412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shd w:val="clear" w:color="auto" w:fill="D8D8D8"/>
          </w:tcPr>
          <w:p>
            <w:pPr>
              <w:jc w:val="right"/>
              <w:ind w:right="30"/>
              <w:spacing w:after="0" w:line="141" w:lineRule="exact"/>
              <w:rPr>
                <w:sz w:val="20"/>
                <w:szCs w:val="20"/>
                <w:color w:val="auto"/>
              </w:rPr>
            </w:pPr>
            <w:r>
              <w:rPr>
                <w:rFonts w:ascii="Arial" w:cs="Arial" w:eastAsia="Arial" w:hAnsi="Arial"/>
                <w:sz w:val="13"/>
                <w:szCs w:val="13"/>
                <w:color w:val="auto"/>
              </w:rPr>
              <w:t>subsidiaries</w:t>
            </w:r>
          </w:p>
        </w:tc>
        <w:tc>
          <w:tcPr>
            <w:tcW w:w="1140" w:type="dxa"/>
            <w:vAlign w:val="bottom"/>
            <w:tcBorders>
              <w:bottom w:val="single" w:sz="8" w:color="auto"/>
            </w:tcBorders>
            <w:shd w:val="clear" w:color="auto" w:fill="D8D8D8"/>
          </w:tcPr>
          <w:p>
            <w:pPr>
              <w:jc w:val="right"/>
              <w:ind w:right="131"/>
              <w:spacing w:after="0" w:line="141" w:lineRule="exact"/>
              <w:rPr>
                <w:sz w:val="20"/>
                <w:szCs w:val="20"/>
                <w:color w:val="auto"/>
              </w:rPr>
            </w:pPr>
            <w:r>
              <w:rPr>
                <w:rFonts w:ascii="Arial" w:cs="Arial" w:eastAsia="Arial" w:hAnsi="Arial"/>
                <w:sz w:val="13"/>
                <w:szCs w:val="13"/>
                <w:color w:val="auto"/>
              </w:rPr>
              <w:t>and associates</w:t>
            </w:r>
          </w:p>
        </w:tc>
        <w:tc>
          <w:tcPr>
            <w:tcW w:w="50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37"/>
              <w:spacing w:after="0" w:line="141" w:lineRule="exact"/>
              <w:rPr>
                <w:sz w:val="20"/>
                <w:szCs w:val="20"/>
                <w:color w:val="auto"/>
              </w:rPr>
            </w:pPr>
            <w:r>
              <w:rPr>
                <w:rFonts w:ascii="Arial" w:cs="Arial" w:eastAsia="Arial" w:hAnsi="Arial"/>
                <w:sz w:val="13"/>
                <w:szCs w:val="13"/>
                <w:color w:val="auto"/>
              </w:rPr>
              <w:t>subsidiaries</w:t>
            </w:r>
          </w:p>
        </w:tc>
        <w:tc>
          <w:tcPr>
            <w:tcW w:w="1640" w:type="dxa"/>
            <w:vAlign w:val="bottom"/>
            <w:tcBorders>
              <w:bottom w:val="single" w:sz="8" w:color="auto"/>
            </w:tcBorders>
            <w:gridSpan w:val="2"/>
          </w:tcPr>
          <w:p>
            <w:pPr>
              <w:jc w:val="right"/>
              <w:ind w:right="700"/>
              <w:spacing w:after="0" w:line="141" w:lineRule="exact"/>
              <w:rPr>
                <w:sz w:val="20"/>
                <w:szCs w:val="20"/>
                <w:color w:val="auto"/>
              </w:rPr>
            </w:pPr>
            <w:r>
              <w:rPr>
                <w:rFonts w:ascii="Arial" w:cs="Arial" w:eastAsia="Arial" w:hAnsi="Arial"/>
                <w:sz w:val="13"/>
                <w:szCs w:val="13"/>
                <w:color w:val="auto"/>
              </w:rPr>
              <w:t>and associates</w:t>
            </w:r>
          </w:p>
        </w:tc>
        <w:tc>
          <w:tcPr>
            <w:tcW w:w="1020" w:type="dxa"/>
            <w:vAlign w:val="bottom"/>
            <w:tcBorders>
              <w:bottom w:val="single" w:sz="8" w:color="auto"/>
            </w:tcBorders>
          </w:tcPr>
          <w:p>
            <w:pPr>
              <w:jc w:val="right"/>
              <w:ind w:right="9"/>
              <w:spacing w:after="0" w:line="141" w:lineRule="exact"/>
              <w:rPr>
                <w:sz w:val="20"/>
                <w:szCs w:val="20"/>
                <w:color w:val="auto"/>
              </w:rPr>
            </w:pPr>
            <w:r>
              <w:rPr>
                <w:rFonts w:ascii="Arial" w:cs="Arial" w:eastAsia="Arial" w:hAnsi="Arial"/>
                <w:sz w:val="13"/>
                <w:szCs w:val="13"/>
                <w:color w:val="auto"/>
              </w:rPr>
              <w:t>subsidiaries</w:t>
            </w:r>
          </w:p>
        </w:tc>
        <w:tc>
          <w:tcPr>
            <w:tcW w:w="1140" w:type="dxa"/>
            <w:vAlign w:val="bottom"/>
            <w:tcBorders>
              <w:bottom w:val="single" w:sz="8" w:color="auto"/>
            </w:tcBorders>
          </w:tcPr>
          <w:p>
            <w:pPr>
              <w:jc w:val="right"/>
              <w:ind w:right="151"/>
              <w:spacing w:after="0" w:line="141" w:lineRule="exact"/>
              <w:rPr>
                <w:sz w:val="20"/>
                <w:szCs w:val="20"/>
                <w:color w:val="auto"/>
              </w:rPr>
            </w:pPr>
            <w:r>
              <w:rPr>
                <w:rFonts w:ascii="Arial" w:cs="Arial" w:eastAsia="Arial" w:hAnsi="Arial"/>
                <w:sz w:val="13"/>
                <w:szCs w:val="13"/>
                <w:color w:val="auto"/>
              </w:rPr>
              <w:t>and associates</w:t>
            </w:r>
          </w:p>
        </w:tc>
      </w:tr>
      <w:tr>
        <w:trPr>
          <w:trHeight w:val="156"/>
        </w:trPr>
        <w:tc>
          <w:tcPr>
            <w:tcW w:w="4120" w:type="dxa"/>
            <w:vAlign w:val="bottom"/>
          </w:tcPr>
          <w:p>
            <w:pPr>
              <w:spacing w:after="0" w:line="155" w:lineRule="exact"/>
              <w:rPr>
                <w:sz w:val="20"/>
                <w:szCs w:val="20"/>
                <w:color w:val="auto"/>
              </w:rPr>
            </w:pPr>
            <w:r>
              <w:rPr>
                <w:rFonts w:ascii="Arial" w:cs="Arial" w:eastAsia="Arial" w:hAnsi="Arial"/>
                <w:sz w:val="14"/>
                <w:szCs w:val="14"/>
                <w:color w:val="auto"/>
              </w:rPr>
              <w:t>Europe</w:t>
            </w:r>
          </w:p>
        </w:tc>
        <w:tc>
          <w:tcPr>
            <w:tcW w:w="940" w:type="dxa"/>
            <w:vAlign w:val="bottom"/>
            <w:shd w:val="clear" w:color="auto" w:fill="D8D8D8"/>
          </w:tcPr>
          <w:p>
            <w:pPr>
              <w:jc w:val="right"/>
              <w:ind w:right="30"/>
              <w:spacing w:after="0" w:line="155" w:lineRule="exact"/>
              <w:rPr>
                <w:sz w:val="20"/>
                <w:szCs w:val="20"/>
                <w:color w:val="auto"/>
              </w:rPr>
            </w:pPr>
            <w:r>
              <w:rPr>
                <w:rFonts w:ascii="Arial" w:cs="Arial" w:eastAsia="Arial" w:hAnsi="Arial"/>
                <w:sz w:val="14"/>
                <w:szCs w:val="14"/>
                <w:color w:val="auto"/>
              </w:rPr>
              <w:t>8.58</w:t>
            </w:r>
          </w:p>
        </w:tc>
        <w:tc>
          <w:tcPr>
            <w:tcW w:w="1140" w:type="dxa"/>
            <w:vAlign w:val="bottom"/>
            <w:shd w:val="clear" w:color="auto" w:fill="D8D8D8"/>
          </w:tcPr>
          <w:p>
            <w:pPr>
              <w:jc w:val="right"/>
              <w:ind w:right="131"/>
              <w:spacing w:after="0" w:line="155" w:lineRule="exact"/>
              <w:rPr>
                <w:sz w:val="20"/>
                <w:szCs w:val="20"/>
                <w:color w:val="auto"/>
              </w:rPr>
            </w:pPr>
            <w:r>
              <w:rPr>
                <w:rFonts w:ascii="Arial" w:cs="Arial" w:eastAsia="Arial" w:hAnsi="Arial"/>
                <w:sz w:val="14"/>
                <w:szCs w:val="14"/>
                <w:color w:val="auto"/>
              </w:rPr>
              <w:t>8.26</w:t>
            </w:r>
          </w:p>
        </w:tc>
        <w:tc>
          <w:tcPr>
            <w:tcW w:w="1420" w:type="dxa"/>
            <w:vAlign w:val="bottom"/>
            <w:gridSpan w:val="2"/>
          </w:tcPr>
          <w:p>
            <w:pPr>
              <w:jc w:val="right"/>
              <w:ind w:right="37"/>
              <w:spacing w:after="0" w:line="155" w:lineRule="exact"/>
              <w:rPr>
                <w:sz w:val="20"/>
                <w:szCs w:val="20"/>
                <w:color w:val="auto"/>
              </w:rPr>
            </w:pPr>
            <w:r>
              <w:rPr>
                <w:rFonts w:ascii="Arial" w:cs="Arial" w:eastAsia="Arial" w:hAnsi="Arial"/>
                <w:sz w:val="14"/>
                <w:szCs w:val="14"/>
                <w:color w:val="auto"/>
              </w:rPr>
              <w:t>10.29</w:t>
            </w:r>
          </w:p>
        </w:tc>
        <w:tc>
          <w:tcPr>
            <w:tcW w:w="1160" w:type="dxa"/>
            <w:vAlign w:val="bottom"/>
          </w:tcPr>
          <w:p>
            <w:pPr>
              <w:jc w:val="right"/>
              <w:ind w:right="151"/>
              <w:spacing w:after="0" w:line="155" w:lineRule="exact"/>
              <w:rPr>
                <w:sz w:val="20"/>
                <w:szCs w:val="20"/>
                <w:color w:val="auto"/>
              </w:rPr>
            </w:pPr>
            <w:r>
              <w:rPr>
                <w:rFonts w:ascii="Arial" w:cs="Arial" w:eastAsia="Arial" w:hAnsi="Arial"/>
                <w:sz w:val="14"/>
                <w:szCs w:val="14"/>
                <w:color w:val="auto"/>
              </w:rPr>
              <w:t>9.17</w:t>
            </w:r>
          </w:p>
        </w:tc>
        <w:tc>
          <w:tcPr>
            <w:tcW w:w="480" w:type="dxa"/>
            <w:vAlign w:val="bottom"/>
          </w:tcPr>
          <w:p>
            <w:pPr>
              <w:spacing w:after="0"/>
              <w:rPr>
                <w:sz w:val="13"/>
                <w:szCs w:val="13"/>
                <w:color w:val="auto"/>
              </w:rPr>
            </w:pPr>
          </w:p>
        </w:tc>
        <w:tc>
          <w:tcPr>
            <w:tcW w:w="1020" w:type="dxa"/>
            <w:vAlign w:val="bottom"/>
          </w:tcPr>
          <w:p>
            <w:pPr>
              <w:jc w:val="right"/>
              <w:ind w:right="9"/>
              <w:spacing w:after="0" w:line="155" w:lineRule="exact"/>
              <w:rPr>
                <w:sz w:val="20"/>
                <w:szCs w:val="20"/>
                <w:color w:val="auto"/>
              </w:rPr>
            </w:pPr>
            <w:r>
              <w:rPr>
                <w:rFonts w:ascii="Arial" w:cs="Arial" w:eastAsia="Arial" w:hAnsi="Arial"/>
                <w:sz w:val="14"/>
                <w:szCs w:val="14"/>
                <w:color w:val="auto"/>
              </w:rPr>
              <w:t>9.48</w:t>
            </w:r>
          </w:p>
        </w:tc>
        <w:tc>
          <w:tcPr>
            <w:tcW w:w="1140" w:type="dxa"/>
            <w:vAlign w:val="bottom"/>
          </w:tcPr>
          <w:p>
            <w:pPr>
              <w:jc w:val="right"/>
              <w:ind w:right="151"/>
              <w:spacing w:after="0" w:line="155" w:lineRule="exact"/>
              <w:rPr>
                <w:sz w:val="20"/>
                <w:szCs w:val="20"/>
                <w:color w:val="auto"/>
              </w:rPr>
            </w:pPr>
            <w:r>
              <w:rPr>
                <w:rFonts w:ascii="Arial" w:cs="Arial" w:eastAsia="Arial" w:hAnsi="Arial"/>
                <w:sz w:val="14"/>
                <w:szCs w:val="14"/>
                <w:color w:val="auto"/>
              </w:rPr>
              <w:t>9.64</w:t>
            </w:r>
          </w:p>
        </w:tc>
      </w:tr>
      <w:tr>
        <w:trPr>
          <w:trHeight w:val="162"/>
        </w:trPr>
        <w:tc>
          <w:tcPr>
            <w:tcW w:w="4120" w:type="dxa"/>
            <w:vAlign w:val="bottom"/>
          </w:tcPr>
          <w:p>
            <w:pPr>
              <w:spacing w:after="0"/>
              <w:rPr>
                <w:sz w:val="20"/>
                <w:szCs w:val="20"/>
                <w:color w:val="auto"/>
              </w:rPr>
            </w:pPr>
            <w:r>
              <w:rPr>
                <w:rFonts w:ascii="Arial" w:cs="Arial" w:eastAsia="Arial" w:hAnsi="Arial"/>
                <w:sz w:val="14"/>
                <w:szCs w:val="14"/>
                <w:color w:val="auto"/>
              </w:rPr>
              <w:t>Asia</w:t>
            </w:r>
          </w:p>
        </w:tc>
        <w:tc>
          <w:tcPr>
            <w:tcW w:w="940" w:type="dxa"/>
            <w:vAlign w:val="bottom"/>
            <w:shd w:val="clear" w:color="auto" w:fill="D8D8D8"/>
          </w:tcPr>
          <w:p>
            <w:pPr>
              <w:jc w:val="right"/>
              <w:ind w:right="30"/>
              <w:spacing w:after="0"/>
              <w:rPr>
                <w:sz w:val="20"/>
                <w:szCs w:val="20"/>
                <w:color w:val="auto"/>
              </w:rPr>
            </w:pPr>
            <w:r>
              <w:rPr>
                <w:rFonts w:ascii="Arial" w:cs="Arial" w:eastAsia="Arial" w:hAnsi="Arial"/>
                <w:sz w:val="14"/>
                <w:szCs w:val="14"/>
                <w:color w:val="auto"/>
              </w:rPr>
              <w:t>4.57</w:t>
            </w:r>
          </w:p>
        </w:tc>
        <w:tc>
          <w:tcPr>
            <w:tcW w:w="1140" w:type="dxa"/>
            <w:vAlign w:val="bottom"/>
            <w:shd w:val="clear" w:color="auto" w:fill="D8D8D8"/>
          </w:tcPr>
          <w:p>
            <w:pPr>
              <w:jc w:val="right"/>
              <w:ind w:right="131"/>
              <w:spacing w:after="0"/>
              <w:rPr>
                <w:sz w:val="20"/>
                <w:szCs w:val="20"/>
                <w:color w:val="auto"/>
              </w:rPr>
            </w:pPr>
            <w:r>
              <w:rPr>
                <w:rFonts w:ascii="Arial" w:cs="Arial" w:eastAsia="Arial" w:hAnsi="Arial"/>
                <w:sz w:val="14"/>
                <w:szCs w:val="14"/>
                <w:color w:val="auto"/>
              </w:rPr>
              <w:t>11.50</w:t>
            </w:r>
          </w:p>
        </w:tc>
        <w:tc>
          <w:tcPr>
            <w:tcW w:w="1420" w:type="dxa"/>
            <w:vAlign w:val="bottom"/>
            <w:gridSpan w:val="2"/>
          </w:tcPr>
          <w:p>
            <w:pPr>
              <w:jc w:val="right"/>
              <w:ind w:right="37"/>
              <w:spacing w:after="0"/>
              <w:rPr>
                <w:sz w:val="20"/>
                <w:szCs w:val="20"/>
                <w:color w:val="auto"/>
              </w:rPr>
            </w:pPr>
            <w:r>
              <w:rPr>
                <w:rFonts w:ascii="Arial" w:cs="Arial" w:eastAsia="Arial" w:hAnsi="Arial"/>
                <w:sz w:val="14"/>
                <w:szCs w:val="14"/>
                <w:color w:val="auto"/>
              </w:rPr>
              <w:t>4.51</w:t>
            </w:r>
          </w:p>
        </w:tc>
        <w:tc>
          <w:tcPr>
            <w:tcW w:w="1160" w:type="dxa"/>
            <w:vAlign w:val="bottom"/>
          </w:tcPr>
          <w:p>
            <w:pPr>
              <w:jc w:val="right"/>
              <w:ind w:right="151"/>
              <w:spacing w:after="0"/>
              <w:rPr>
                <w:sz w:val="20"/>
                <w:szCs w:val="20"/>
                <w:color w:val="auto"/>
              </w:rPr>
            </w:pPr>
            <w:r>
              <w:rPr>
                <w:rFonts w:ascii="Arial" w:cs="Arial" w:eastAsia="Arial" w:hAnsi="Arial"/>
                <w:sz w:val="14"/>
                <w:szCs w:val="14"/>
                <w:color w:val="auto"/>
              </w:rPr>
              <w:t>10.73</w:t>
            </w:r>
          </w:p>
        </w:tc>
        <w:tc>
          <w:tcPr>
            <w:tcW w:w="480" w:type="dxa"/>
            <w:vAlign w:val="bottom"/>
          </w:tcPr>
          <w:p>
            <w:pPr>
              <w:spacing w:after="0"/>
              <w:rPr>
                <w:sz w:val="14"/>
                <w:szCs w:val="14"/>
                <w:color w:val="auto"/>
              </w:rPr>
            </w:pPr>
          </w:p>
        </w:tc>
        <w:tc>
          <w:tcPr>
            <w:tcW w:w="1020" w:type="dxa"/>
            <w:vAlign w:val="bottom"/>
          </w:tcPr>
          <w:p>
            <w:pPr>
              <w:jc w:val="right"/>
              <w:ind w:right="9"/>
              <w:spacing w:after="0"/>
              <w:rPr>
                <w:sz w:val="20"/>
                <w:szCs w:val="20"/>
                <w:color w:val="auto"/>
              </w:rPr>
            </w:pPr>
            <w:r>
              <w:rPr>
                <w:rFonts w:ascii="Arial" w:cs="Arial" w:eastAsia="Arial" w:hAnsi="Arial"/>
                <w:sz w:val="14"/>
                <w:szCs w:val="14"/>
                <w:color w:val="auto"/>
              </w:rPr>
              <w:t>4.81</w:t>
            </w:r>
          </w:p>
        </w:tc>
        <w:tc>
          <w:tcPr>
            <w:tcW w:w="1140" w:type="dxa"/>
            <w:vAlign w:val="bottom"/>
          </w:tcPr>
          <w:p>
            <w:pPr>
              <w:jc w:val="right"/>
              <w:ind w:right="151"/>
              <w:spacing w:after="0"/>
              <w:rPr>
                <w:sz w:val="20"/>
                <w:szCs w:val="20"/>
                <w:color w:val="auto"/>
              </w:rPr>
            </w:pPr>
            <w:r>
              <w:rPr>
                <w:rFonts w:ascii="Arial" w:cs="Arial" w:eastAsia="Arial" w:hAnsi="Arial"/>
                <w:sz w:val="14"/>
                <w:szCs w:val="14"/>
                <w:color w:val="auto"/>
              </w:rPr>
              <w:t>10.13</w:t>
            </w:r>
          </w:p>
        </w:tc>
      </w:tr>
      <w:tr>
        <w:trPr>
          <w:trHeight w:val="162"/>
        </w:trPr>
        <w:tc>
          <w:tcPr>
            <w:tcW w:w="4120" w:type="dxa"/>
            <w:vAlign w:val="bottom"/>
          </w:tcPr>
          <w:p>
            <w:pPr>
              <w:spacing w:after="0"/>
              <w:rPr>
                <w:sz w:val="20"/>
                <w:szCs w:val="20"/>
                <w:color w:val="auto"/>
              </w:rPr>
            </w:pPr>
            <w:r>
              <w:rPr>
                <w:rFonts w:ascii="Arial" w:cs="Arial" w:eastAsia="Arial" w:hAnsi="Arial"/>
                <w:sz w:val="14"/>
                <w:szCs w:val="14"/>
                <w:color w:val="auto"/>
              </w:rPr>
              <w:t>Oceania</w:t>
            </w:r>
          </w:p>
        </w:tc>
        <w:tc>
          <w:tcPr>
            <w:tcW w:w="940" w:type="dxa"/>
            <w:vAlign w:val="bottom"/>
            <w:shd w:val="clear" w:color="auto" w:fill="D8D8D8"/>
          </w:tcPr>
          <w:p>
            <w:pPr>
              <w:jc w:val="right"/>
              <w:ind w:right="30"/>
              <w:spacing w:after="0"/>
              <w:rPr>
                <w:sz w:val="20"/>
                <w:szCs w:val="20"/>
                <w:color w:val="auto"/>
              </w:rPr>
            </w:pPr>
            <w:r>
              <w:rPr>
                <w:rFonts w:ascii="Arial" w:cs="Arial" w:eastAsia="Arial" w:hAnsi="Arial"/>
                <w:sz w:val="14"/>
                <w:szCs w:val="14"/>
                <w:color w:val="auto"/>
              </w:rPr>
              <w:t>10.49</w:t>
            </w:r>
          </w:p>
        </w:tc>
        <w:tc>
          <w:tcPr>
            <w:tcW w:w="1140" w:type="dxa"/>
            <w:vAlign w:val="bottom"/>
            <w:shd w:val="clear" w:color="auto" w:fill="D8D8D8"/>
          </w:tcPr>
          <w:p>
            <w:pPr>
              <w:jc w:val="right"/>
              <w:spacing w:after="0"/>
              <w:rPr>
                <w:sz w:val="20"/>
                <w:szCs w:val="20"/>
                <w:color w:val="auto"/>
              </w:rPr>
            </w:pPr>
            <w:r>
              <w:rPr>
                <w:rFonts w:ascii="Arial" w:cs="Arial" w:eastAsia="Arial" w:hAnsi="Arial"/>
                <w:sz w:val="14"/>
                <w:szCs w:val="14"/>
                <w:color w:val="auto"/>
              </w:rPr>
              <w:t>11.01[A]</w:t>
            </w:r>
          </w:p>
        </w:tc>
        <w:tc>
          <w:tcPr>
            <w:tcW w:w="1420" w:type="dxa"/>
            <w:vAlign w:val="bottom"/>
            <w:gridSpan w:val="2"/>
          </w:tcPr>
          <w:p>
            <w:pPr>
              <w:jc w:val="right"/>
              <w:ind w:right="37"/>
              <w:spacing w:after="0"/>
              <w:rPr>
                <w:sz w:val="20"/>
                <w:szCs w:val="20"/>
                <w:color w:val="auto"/>
              </w:rPr>
            </w:pPr>
            <w:r>
              <w:rPr>
                <w:rFonts w:ascii="Arial" w:cs="Arial" w:eastAsia="Arial" w:hAnsi="Arial"/>
                <w:sz w:val="14"/>
                <w:szCs w:val="14"/>
                <w:color w:val="auto"/>
              </w:rPr>
              <w:t>11.55</w:t>
            </w:r>
          </w:p>
        </w:tc>
        <w:tc>
          <w:tcPr>
            <w:tcW w:w="1640" w:type="dxa"/>
            <w:vAlign w:val="bottom"/>
            <w:gridSpan w:val="2"/>
          </w:tcPr>
          <w:p>
            <w:pPr>
              <w:ind w:left="660"/>
              <w:spacing w:after="0"/>
              <w:rPr>
                <w:sz w:val="20"/>
                <w:szCs w:val="20"/>
                <w:color w:val="auto"/>
              </w:rPr>
            </w:pPr>
            <w:r>
              <w:rPr>
                <w:rFonts w:ascii="Arial" w:cs="Arial" w:eastAsia="Arial" w:hAnsi="Arial"/>
                <w:sz w:val="14"/>
                <w:szCs w:val="14"/>
                <w:color w:val="auto"/>
              </w:rPr>
              <w:t>9.45[A]</w:t>
            </w:r>
          </w:p>
        </w:tc>
        <w:tc>
          <w:tcPr>
            <w:tcW w:w="1020" w:type="dxa"/>
            <w:vAlign w:val="bottom"/>
          </w:tcPr>
          <w:p>
            <w:pPr>
              <w:jc w:val="right"/>
              <w:ind w:right="9"/>
              <w:spacing w:after="0"/>
              <w:rPr>
                <w:sz w:val="20"/>
                <w:szCs w:val="20"/>
                <w:color w:val="auto"/>
              </w:rPr>
            </w:pPr>
            <w:r>
              <w:rPr>
                <w:rFonts w:ascii="Arial" w:cs="Arial" w:eastAsia="Arial" w:hAnsi="Arial"/>
                <w:sz w:val="14"/>
                <w:szCs w:val="14"/>
                <w:color w:val="auto"/>
              </w:rPr>
              <w:t>11.14</w:t>
            </w:r>
          </w:p>
        </w:tc>
        <w:tc>
          <w:tcPr>
            <w:tcW w:w="1140" w:type="dxa"/>
            <w:vAlign w:val="bottom"/>
          </w:tcPr>
          <w:p>
            <w:pPr>
              <w:jc w:val="right"/>
              <w:spacing w:after="0"/>
              <w:rPr>
                <w:sz w:val="20"/>
                <w:szCs w:val="20"/>
                <w:color w:val="auto"/>
              </w:rPr>
            </w:pPr>
            <w:r>
              <w:rPr>
                <w:rFonts w:ascii="Arial" w:cs="Arial" w:eastAsia="Arial" w:hAnsi="Arial"/>
                <w:sz w:val="14"/>
                <w:szCs w:val="14"/>
                <w:color w:val="auto"/>
              </w:rPr>
              <w:t>9.48[A]</w:t>
            </w:r>
          </w:p>
        </w:tc>
      </w:tr>
      <w:tr>
        <w:trPr>
          <w:trHeight w:val="162"/>
        </w:trPr>
        <w:tc>
          <w:tcPr>
            <w:tcW w:w="4120" w:type="dxa"/>
            <w:vAlign w:val="bottom"/>
          </w:tcPr>
          <w:p>
            <w:pPr>
              <w:spacing w:after="0"/>
              <w:rPr>
                <w:sz w:val="20"/>
                <w:szCs w:val="20"/>
                <w:color w:val="auto"/>
              </w:rPr>
            </w:pPr>
            <w:r>
              <w:rPr>
                <w:rFonts w:ascii="Arial" w:cs="Arial" w:eastAsia="Arial" w:hAnsi="Arial"/>
                <w:sz w:val="14"/>
                <w:szCs w:val="14"/>
                <w:color w:val="auto"/>
              </w:rPr>
              <w:t>Africa</w:t>
            </w:r>
          </w:p>
        </w:tc>
        <w:tc>
          <w:tcPr>
            <w:tcW w:w="940" w:type="dxa"/>
            <w:vAlign w:val="bottom"/>
            <w:shd w:val="clear" w:color="auto" w:fill="D8D8D8"/>
          </w:tcPr>
          <w:p>
            <w:pPr>
              <w:jc w:val="right"/>
              <w:ind w:right="30"/>
              <w:spacing w:after="0"/>
              <w:rPr>
                <w:sz w:val="20"/>
                <w:szCs w:val="20"/>
                <w:color w:val="auto"/>
              </w:rPr>
            </w:pPr>
            <w:r>
              <w:rPr>
                <w:rFonts w:ascii="Arial" w:cs="Arial" w:eastAsia="Arial" w:hAnsi="Arial"/>
                <w:sz w:val="14"/>
                <w:szCs w:val="14"/>
                <w:color w:val="auto"/>
              </w:rPr>
              <w:t>2.71</w:t>
            </w:r>
          </w:p>
        </w:tc>
        <w:tc>
          <w:tcPr>
            <w:tcW w:w="1140" w:type="dxa"/>
            <w:vAlign w:val="bottom"/>
            <w:shd w:val="clear" w:color="auto" w:fill="D8D8D8"/>
          </w:tcPr>
          <w:p>
            <w:pPr>
              <w:jc w:val="right"/>
              <w:ind w:right="131"/>
              <w:spacing w:after="0"/>
              <w:rPr>
                <w:sz w:val="20"/>
                <w:szCs w:val="20"/>
                <w:color w:val="auto"/>
              </w:rPr>
            </w:pPr>
            <w:r>
              <w:rPr>
                <w:rFonts w:ascii="Arial" w:cs="Arial" w:eastAsia="Arial" w:hAnsi="Arial"/>
                <w:sz w:val="14"/>
                <w:szCs w:val="14"/>
                <w:color w:val="auto"/>
              </w:rPr>
              <w:t>–</w:t>
            </w:r>
          </w:p>
        </w:tc>
        <w:tc>
          <w:tcPr>
            <w:tcW w:w="1420" w:type="dxa"/>
            <w:vAlign w:val="bottom"/>
            <w:gridSpan w:val="2"/>
          </w:tcPr>
          <w:p>
            <w:pPr>
              <w:jc w:val="right"/>
              <w:ind w:right="37"/>
              <w:spacing w:after="0"/>
              <w:rPr>
                <w:sz w:val="20"/>
                <w:szCs w:val="20"/>
                <w:color w:val="auto"/>
              </w:rPr>
            </w:pPr>
            <w:r>
              <w:rPr>
                <w:rFonts w:ascii="Arial" w:cs="Arial" w:eastAsia="Arial" w:hAnsi="Arial"/>
                <w:sz w:val="14"/>
                <w:szCs w:val="14"/>
                <w:color w:val="auto"/>
              </w:rPr>
              <w:t>2.84</w:t>
            </w:r>
          </w:p>
        </w:tc>
        <w:tc>
          <w:tcPr>
            <w:tcW w:w="1640" w:type="dxa"/>
            <w:vAlign w:val="bottom"/>
            <w:gridSpan w:val="2"/>
          </w:tcPr>
          <w:p>
            <w:pPr>
              <w:jc w:val="right"/>
              <w:ind w:right="700"/>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9"/>
              <w:spacing w:after="0"/>
              <w:rPr>
                <w:sz w:val="20"/>
                <w:szCs w:val="20"/>
                <w:color w:val="auto"/>
              </w:rPr>
            </w:pPr>
            <w:r>
              <w:rPr>
                <w:rFonts w:ascii="Arial" w:cs="Arial" w:eastAsia="Arial" w:hAnsi="Arial"/>
                <w:sz w:val="14"/>
                <w:szCs w:val="14"/>
                <w:color w:val="auto"/>
              </w:rPr>
              <w:t>2.74</w:t>
            </w:r>
          </w:p>
        </w:tc>
        <w:tc>
          <w:tcPr>
            <w:tcW w:w="1140" w:type="dxa"/>
            <w:vAlign w:val="bottom"/>
          </w:tcPr>
          <w:p>
            <w:pPr>
              <w:jc w:val="right"/>
              <w:ind w:right="151"/>
              <w:spacing w:after="0"/>
              <w:rPr>
                <w:sz w:val="20"/>
                <w:szCs w:val="20"/>
                <w:color w:val="auto"/>
              </w:rPr>
            </w:pPr>
            <w:r>
              <w:rPr>
                <w:rFonts w:ascii="Arial" w:cs="Arial" w:eastAsia="Arial" w:hAnsi="Arial"/>
                <w:sz w:val="14"/>
                <w:szCs w:val="14"/>
                <w:color w:val="auto"/>
              </w:rPr>
              <w:t>–</w:t>
            </w:r>
          </w:p>
        </w:tc>
      </w:tr>
      <w:tr>
        <w:trPr>
          <w:trHeight w:val="162"/>
        </w:trPr>
        <w:tc>
          <w:tcPr>
            <w:tcW w:w="4120" w:type="dxa"/>
            <w:vAlign w:val="bottom"/>
          </w:tcPr>
          <w:p>
            <w:pPr>
              <w:spacing w:after="0"/>
              <w:rPr>
                <w:sz w:val="20"/>
                <w:szCs w:val="20"/>
                <w:color w:val="auto"/>
              </w:rPr>
            </w:pPr>
            <w:r>
              <w:rPr>
                <w:rFonts w:ascii="Arial" w:cs="Arial" w:eastAsia="Arial" w:hAnsi="Arial"/>
                <w:sz w:val="14"/>
                <w:szCs w:val="14"/>
                <w:color w:val="auto"/>
              </w:rPr>
              <w:t>North America – USA</w:t>
            </w:r>
          </w:p>
        </w:tc>
        <w:tc>
          <w:tcPr>
            <w:tcW w:w="940" w:type="dxa"/>
            <w:vAlign w:val="bottom"/>
            <w:shd w:val="clear" w:color="auto" w:fill="D8D8D8"/>
          </w:tcPr>
          <w:p>
            <w:pPr>
              <w:jc w:val="right"/>
              <w:ind w:right="30"/>
              <w:spacing w:after="0"/>
              <w:rPr>
                <w:sz w:val="20"/>
                <w:szCs w:val="20"/>
                <w:color w:val="auto"/>
              </w:rPr>
            </w:pPr>
            <w:r>
              <w:rPr>
                <w:rFonts w:ascii="Arial" w:cs="Arial" w:eastAsia="Arial" w:hAnsi="Arial"/>
                <w:sz w:val="14"/>
                <w:szCs w:val="14"/>
                <w:color w:val="auto"/>
              </w:rPr>
              <w:t>4.52</w:t>
            </w:r>
          </w:p>
        </w:tc>
        <w:tc>
          <w:tcPr>
            <w:tcW w:w="1140" w:type="dxa"/>
            <w:vAlign w:val="bottom"/>
            <w:shd w:val="clear" w:color="auto" w:fill="D8D8D8"/>
          </w:tcPr>
          <w:p>
            <w:pPr>
              <w:jc w:val="right"/>
              <w:ind w:right="131"/>
              <w:spacing w:after="0"/>
              <w:rPr>
                <w:sz w:val="20"/>
                <w:szCs w:val="20"/>
                <w:color w:val="auto"/>
              </w:rPr>
            </w:pPr>
            <w:r>
              <w:rPr>
                <w:rFonts w:ascii="Arial" w:cs="Arial" w:eastAsia="Arial" w:hAnsi="Arial"/>
                <w:sz w:val="14"/>
                <w:szCs w:val="14"/>
                <w:color w:val="auto"/>
              </w:rPr>
              <w:t>–</w:t>
            </w:r>
          </w:p>
        </w:tc>
        <w:tc>
          <w:tcPr>
            <w:tcW w:w="1420" w:type="dxa"/>
            <w:vAlign w:val="bottom"/>
            <w:gridSpan w:val="2"/>
          </w:tcPr>
          <w:p>
            <w:pPr>
              <w:jc w:val="right"/>
              <w:ind w:right="37"/>
              <w:spacing w:after="0"/>
              <w:rPr>
                <w:sz w:val="20"/>
                <w:szCs w:val="20"/>
                <w:color w:val="auto"/>
              </w:rPr>
            </w:pPr>
            <w:r>
              <w:rPr>
                <w:rFonts w:ascii="Arial" w:cs="Arial" w:eastAsia="Arial" w:hAnsi="Arial"/>
                <w:sz w:val="14"/>
                <w:szCs w:val="14"/>
                <w:color w:val="auto"/>
              </w:rPr>
              <w:t>3.92</w:t>
            </w:r>
          </w:p>
        </w:tc>
        <w:tc>
          <w:tcPr>
            <w:tcW w:w="1640" w:type="dxa"/>
            <w:vAlign w:val="bottom"/>
            <w:gridSpan w:val="2"/>
          </w:tcPr>
          <w:p>
            <w:pPr>
              <w:jc w:val="right"/>
              <w:ind w:right="700"/>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9"/>
              <w:spacing w:after="0"/>
              <w:rPr>
                <w:sz w:val="20"/>
                <w:szCs w:val="20"/>
                <w:color w:val="auto"/>
              </w:rPr>
            </w:pPr>
            <w:r>
              <w:rPr>
                <w:rFonts w:ascii="Arial" w:cs="Arial" w:eastAsia="Arial" w:hAnsi="Arial"/>
                <w:sz w:val="14"/>
                <w:szCs w:val="14"/>
                <w:color w:val="auto"/>
              </w:rPr>
              <w:t>3.17</w:t>
            </w:r>
          </w:p>
        </w:tc>
        <w:tc>
          <w:tcPr>
            <w:tcW w:w="1140" w:type="dxa"/>
            <w:vAlign w:val="bottom"/>
          </w:tcPr>
          <w:p>
            <w:pPr>
              <w:jc w:val="right"/>
              <w:ind w:right="151"/>
              <w:spacing w:after="0"/>
              <w:rPr>
                <w:sz w:val="20"/>
                <w:szCs w:val="20"/>
                <w:color w:val="auto"/>
              </w:rPr>
            </w:pPr>
            <w:r>
              <w:rPr>
                <w:rFonts w:ascii="Arial" w:cs="Arial" w:eastAsia="Arial" w:hAnsi="Arial"/>
                <w:sz w:val="14"/>
                <w:szCs w:val="14"/>
                <w:color w:val="auto"/>
              </w:rPr>
              <w:t>7.88</w:t>
            </w:r>
          </w:p>
        </w:tc>
      </w:tr>
      <w:tr>
        <w:trPr>
          <w:trHeight w:val="167"/>
        </w:trPr>
        <w:tc>
          <w:tcPr>
            <w:tcW w:w="4120" w:type="dxa"/>
            <w:vAlign w:val="bottom"/>
          </w:tcPr>
          <w:p>
            <w:pPr>
              <w:spacing w:after="0"/>
              <w:rPr>
                <w:sz w:val="20"/>
                <w:szCs w:val="20"/>
                <w:color w:val="auto"/>
              </w:rPr>
            </w:pPr>
            <w:r>
              <w:rPr>
                <w:rFonts w:ascii="Arial" w:cs="Arial" w:eastAsia="Arial" w:hAnsi="Arial"/>
                <w:sz w:val="14"/>
                <w:szCs w:val="14"/>
                <w:color w:val="auto"/>
              </w:rPr>
              <w:t>North America – Canada</w:t>
            </w:r>
          </w:p>
        </w:tc>
        <w:tc>
          <w:tcPr>
            <w:tcW w:w="940" w:type="dxa"/>
            <w:vAlign w:val="bottom"/>
            <w:shd w:val="clear" w:color="auto" w:fill="D8D8D8"/>
          </w:tcPr>
          <w:p>
            <w:pPr>
              <w:jc w:val="right"/>
              <w:ind w:right="30"/>
              <w:spacing w:after="0"/>
              <w:rPr>
                <w:sz w:val="20"/>
                <w:szCs w:val="20"/>
                <w:color w:val="auto"/>
              </w:rPr>
            </w:pPr>
            <w:r>
              <w:rPr>
                <w:rFonts w:ascii="Arial" w:cs="Arial" w:eastAsia="Arial" w:hAnsi="Arial"/>
                <w:sz w:val="14"/>
                <w:szCs w:val="14"/>
                <w:color w:val="auto"/>
              </w:rPr>
              <w:t>4.39</w:t>
            </w:r>
          </w:p>
        </w:tc>
        <w:tc>
          <w:tcPr>
            <w:tcW w:w="1140" w:type="dxa"/>
            <w:vAlign w:val="bottom"/>
            <w:shd w:val="clear" w:color="auto" w:fill="D8D8D8"/>
          </w:tcPr>
          <w:p>
            <w:pPr>
              <w:jc w:val="right"/>
              <w:ind w:right="131"/>
              <w:spacing w:after="0"/>
              <w:rPr>
                <w:sz w:val="20"/>
                <w:szCs w:val="20"/>
                <w:color w:val="auto"/>
              </w:rPr>
            </w:pPr>
            <w:r>
              <w:rPr>
                <w:rFonts w:ascii="Arial" w:cs="Arial" w:eastAsia="Arial" w:hAnsi="Arial"/>
                <w:sz w:val="14"/>
                <w:szCs w:val="14"/>
                <w:color w:val="auto"/>
              </w:rPr>
              <w:t>–</w:t>
            </w:r>
          </w:p>
        </w:tc>
        <w:tc>
          <w:tcPr>
            <w:tcW w:w="1420" w:type="dxa"/>
            <w:vAlign w:val="bottom"/>
            <w:gridSpan w:val="2"/>
          </w:tcPr>
          <w:p>
            <w:pPr>
              <w:jc w:val="right"/>
              <w:ind w:right="37"/>
              <w:spacing w:after="0"/>
              <w:rPr>
                <w:sz w:val="20"/>
                <w:szCs w:val="20"/>
                <w:color w:val="auto"/>
              </w:rPr>
            </w:pPr>
            <w:r>
              <w:rPr>
                <w:rFonts w:ascii="Arial" w:cs="Arial" w:eastAsia="Arial" w:hAnsi="Arial"/>
                <w:sz w:val="14"/>
                <w:szCs w:val="14"/>
                <w:color w:val="auto"/>
              </w:rPr>
              <w:t>3.26</w:t>
            </w:r>
          </w:p>
        </w:tc>
        <w:tc>
          <w:tcPr>
            <w:tcW w:w="1640" w:type="dxa"/>
            <w:vAlign w:val="bottom"/>
            <w:gridSpan w:val="2"/>
          </w:tcPr>
          <w:p>
            <w:pPr>
              <w:jc w:val="right"/>
              <w:ind w:right="700"/>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9"/>
              <w:spacing w:after="0"/>
              <w:rPr>
                <w:sz w:val="20"/>
                <w:szCs w:val="20"/>
                <w:color w:val="auto"/>
              </w:rPr>
            </w:pPr>
            <w:r>
              <w:rPr>
                <w:rFonts w:ascii="Arial" w:cs="Arial" w:eastAsia="Arial" w:hAnsi="Arial"/>
                <w:sz w:val="14"/>
                <w:szCs w:val="14"/>
                <w:color w:val="auto"/>
              </w:rPr>
              <w:t>2.36</w:t>
            </w:r>
          </w:p>
        </w:tc>
        <w:tc>
          <w:tcPr>
            <w:tcW w:w="1140" w:type="dxa"/>
            <w:vAlign w:val="bottom"/>
          </w:tcPr>
          <w:p>
            <w:pPr>
              <w:jc w:val="right"/>
              <w:ind w:right="151"/>
              <w:spacing w:after="0"/>
              <w:rPr>
                <w:sz w:val="20"/>
                <w:szCs w:val="20"/>
                <w:color w:val="auto"/>
              </w:rPr>
            </w:pPr>
            <w:r>
              <w:rPr>
                <w:rFonts w:ascii="Arial" w:cs="Arial" w:eastAsia="Arial" w:hAnsi="Arial"/>
                <w:sz w:val="14"/>
                <w:szCs w:val="14"/>
                <w:color w:val="auto"/>
              </w:rPr>
              <w:t>–</w:t>
            </w:r>
          </w:p>
        </w:tc>
      </w:tr>
      <w:tr>
        <w:trPr>
          <w:trHeight w:val="157"/>
        </w:trPr>
        <w:tc>
          <w:tcPr>
            <w:tcW w:w="4120" w:type="dxa"/>
            <w:vAlign w:val="bottom"/>
            <w:tcBorders>
              <w:bottom w:val="single" w:sz="8" w:color="auto"/>
            </w:tcBorders>
          </w:tcPr>
          <w:p>
            <w:pPr>
              <w:spacing w:after="0" w:line="157" w:lineRule="exact"/>
              <w:rPr>
                <w:sz w:val="20"/>
                <w:szCs w:val="20"/>
                <w:color w:val="auto"/>
              </w:rPr>
            </w:pPr>
            <w:r>
              <w:rPr>
                <w:rFonts w:ascii="Arial" w:cs="Arial" w:eastAsia="Arial" w:hAnsi="Arial"/>
                <w:sz w:val="14"/>
                <w:szCs w:val="14"/>
                <w:color w:val="auto"/>
              </w:rPr>
              <w:t>South America</w:t>
            </w:r>
          </w:p>
        </w:tc>
        <w:tc>
          <w:tcPr>
            <w:tcW w:w="940" w:type="dxa"/>
            <w:vAlign w:val="bottom"/>
            <w:tcBorders>
              <w:bottom w:val="single" w:sz="8" w:color="auto"/>
            </w:tcBorders>
            <w:shd w:val="clear" w:color="auto" w:fill="D8D8D8"/>
          </w:tcPr>
          <w:p>
            <w:pPr>
              <w:jc w:val="right"/>
              <w:ind w:right="30"/>
              <w:spacing w:after="0" w:line="157" w:lineRule="exact"/>
              <w:rPr>
                <w:sz w:val="20"/>
                <w:szCs w:val="20"/>
                <w:color w:val="auto"/>
              </w:rPr>
            </w:pPr>
            <w:r>
              <w:rPr>
                <w:rFonts w:ascii="Arial" w:cs="Arial" w:eastAsia="Arial" w:hAnsi="Arial"/>
                <w:sz w:val="14"/>
                <w:szCs w:val="14"/>
                <w:color w:val="auto"/>
              </w:rPr>
              <w:t>2.85</w:t>
            </w:r>
          </w:p>
        </w:tc>
        <w:tc>
          <w:tcPr>
            <w:tcW w:w="1140" w:type="dxa"/>
            <w:vAlign w:val="bottom"/>
            <w:tcBorders>
              <w:bottom w:val="single" w:sz="8" w:color="auto"/>
            </w:tcBorders>
            <w:shd w:val="clear" w:color="auto" w:fill="D8D8D8"/>
          </w:tcPr>
          <w:p>
            <w:pPr>
              <w:jc w:val="right"/>
              <w:ind w:right="131"/>
              <w:spacing w:after="0" w:line="157" w:lineRule="exact"/>
              <w:rPr>
                <w:sz w:val="20"/>
                <w:szCs w:val="20"/>
                <w:color w:val="auto"/>
              </w:rPr>
            </w:pPr>
            <w:r>
              <w:rPr>
                <w:rFonts w:ascii="Arial" w:cs="Arial" w:eastAsia="Arial" w:hAnsi="Arial"/>
                <w:sz w:val="14"/>
                <w:szCs w:val="14"/>
                <w:color w:val="auto"/>
              </w:rPr>
              <w:t>–</w:t>
            </w:r>
          </w:p>
        </w:tc>
        <w:tc>
          <w:tcPr>
            <w:tcW w:w="1420" w:type="dxa"/>
            <w:vAlign w:val="bottom"/>
            <w:tcBorders>
              <w:bottom w:val="single" w:sz="8" w:color="auto"/>
            </w:tcBorders>
            <w:gridSpan w:val="2"/>
          </w:tcPr>
          <w:p>
            <w:pPr>
              <w:jc w:val="right"/>
              <w:ind w:right="37"/>
              <w:spacing w:after="0" w:line="157" w:lineRule="exact"/>
              <w:rPr>
                <w:sz w:val="20"/>
                <w:szCs w:val="20"/>
                <w:color w:val="auto"/>
              </w:rPr>
            </w:pPr>
            <w:r>
              <w:rPr>
                <w:rFonts w:ascii="Arial" w:cs="Arial" w:eastAsia="Arial" w:hAnsi="Arial"/>
                <w:sz w:val="14"/>
                <w:szCs w:val="14"/>
                <w:color w:val="auto"/>
              </w:rPr>
              <w:t>2.91</w:t>
            </w:r>
          </w:p>
        </w:tc>
        <w:tc>
          <w:tcPr>
            <w:tcW w:w="1160" w:type="dxa"/>
            <w:vAlign w:val="bottom"/>
            <w:tcBorders>
              <w:bottom w:val="single" w:sz="8" w:color="auto"/>
            </w:tcBorders>
          </w:tcPr>
          <w:p>
            <w:pPr>
              <w:jc w:val="right"/>
              <w:ind w:right="151"/>
              <w:spacing w:after="0" w:line="157" w:lineRule="exact"/>
              <w:rPr>
                <w:sz w:val="20"/>
                <w:szCs w:val="20"/>
                <w:color w:val="auto"/>
              </w:rPr>
            </w:pPr>
            <w:r>
              <w:rPr>
                <w:rFonts w:ascii="Arial" w:cs="Arial" w:eastAsia="Arial" w:hAnsi="Arial"/>
                <w:sz w:val="14"/>
                <w:szCs w:val="14"/>
                <w:color w:val="auto"/>
              </w:rPr>
              <w:t>0.42</w:t>
            </w:r>
          </w:p>
        </w:tc>
        <w:tc>
          <w:tcPr>
            <w:tcW w:w="48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9"/>
              <w:spacing w:after="0" w:line="157" w:lineRule="exact"/>
              <w:rPr>
                <w:sz w:val="20"/>
                <w:szCs w:val="20"/>
                <w:color w:val="auto"/>
              </w:rPr>
            </w:pPr>
            <w:r>
              <w:rPr>
                <w:rFonts w:ascii="Arial" w:cs="Arial" w:eastAsia="Arial" w:hAnsi="Arial"/>
                <w:sz w:val="14"/>
                <w:szCs w:val="14"/>
                <w:color w:val="auto"/>
              </w:rPr>
              <w:t>2.63</w:t>
            </w:r>
          </w:p>
        </w:tc>
        <w:tc>
          <w:tcPr>
            <w:tcW w:w="1140" w:type="dxa"/>
            <w:vAlign w:val="bottom"/>
            <w:tcBorders>
              <w:bottom w:val="single" w:sz="8" w:color="auto"/>
            </w:tcBorders>
          </w:tcPr>
          <w:p>
            <w:pPr>
              <w:jc w:val="right"/>
              <w:ind w:right="151"/>
              <w:spacing w:after="0" w:line="157" w:lineRule="exact"/>
              <w:rPr>
                <w:sz w:val="20"/>
                <w:szCs w:val="20"/>
                <w:color w:val="auto"/>
              </w:rPr>
            </w:pPr>
            <w:r>
              <w:rPr>
                <w:rFonts w:ascii="Arial" w:cs="Arial" w:eastAsia="Arial" w:hAnsi="Arial"/>
                <w:sz w:val="14"/>
                <w:szCs w:val="14"/>
                <w:color w:val="auto"/>
              </w:rPr>
              <w:t>1.04</w:t>
            </w:r>
          </w:p>
        </w:tc>
      </w:tr>
      <w:tr>
        <w:trPr>
          <w:trHeight w:val="156"/>
        </w:trPr>
        <w:tc>
          <w:tcPr>
            <w:tcW w:w="4120" w:type="dxa"/>
            <w:vAlign w:val="bottom"/>
            <w:tcBorders>
              <w:bottom w:val="single" w:sz="8" w:color="auto"/>
            </w:tcBorders>
          </w:tcPr>
          <w:p>
            <w:pPr>
              <w:spacing w:after="0" w:line="155" w:lineRule="exact"/>
              <w:rPr>
                <w:sz w:val="20"/>
                <w:szCs w:val="20"/>
                <w:color w:val="auto"/>
              </w:rPr>
            </w:pPr>
            <w:r>
              <w:rPr>
                <w:rFonts w:ascii="Arial" w:cs="Arial" w:eastAsia="Arial" w:hAnsi="Arial"/>
                <w:sz w:val="14"/>
                <w:szCs w:val="14"/>
                <w:color w:val="auto"/>
              </w:rPr>
              <w:t>Total</w:t>
            </w:r>
          </w:p>
        </w:tc>
        <w:tc>
          <w:tcPr>
            <w:tcW w:w="940" w:type="dxa"/>
            <w:vAlign w:val="bottom"/>
            <w:tcBorders>
              <w:bottom w:val="single" w:sz="8" w:color="auto"/>
            </w:tcBorders>
            <w:shd w:val="clear" w:color="auto" w:fill="D8D8D8"/>
          </w:tcPr>
          <w:p>
            <w:pPr>
              <w:jc w:val="right"/>
              <w:ind w:right="30"/>
              <w:spacing w:after="0" w:line="155" w:lineRule="exact"/>
              <w:rPr>
                <w:sz w:val="20"/>
                <w:szCs w:val="20"/>
                <w:color w:val="auto"/>
              </w:rPr>
            </w:pPr>
            <w:r>
              <w:rPr>
                <w:rFonts w:ascii="Arial" w:cs="Arial" w:eastAsia="Arial" w:hAnsi="Arial"/>
                <w:sz w:val="14"/>
                <w:szCs w:val="14"/>
                <w:color w:val="auto"/>
              </w:rPr>
              <w:t>5.68</w:t>
            </w:r>
          </w:p>
        </w:tc>
        <w:tc>
          <w:tcPr>
            <w:tcW w:w="1140" w:type="dxa"/>
            <w:vAlign w:val="bottom"/>
            <w:tcBorders>
              <w:bottom w:val="single" w:sz="8" w:color="auto"/>
            </w:tcBorders>
            <w:shd w:val="clear" w:color="auto" w:fill="D8D8D8"/>
          </w:tcPr>
          <w:p>
            <w:pPr>
              <w:jc w:val="right"/>
              <w:ind w:right="131"/>
              <w:spacing w:after="0" w:line="155" w:lineRule="exact"/>
              <w:rPr>
                <w:sz w:val="20"/>
                <w:szCs w:val="20"/>
                <w:color w:val="auto"/>
              </w:rPr>
            </w:pPr>
            <w:r>
              <w:rPr>
                <w:rFonts w:ascii="Arial" w:cs="Arial" w:eastAsia="Arial" w:hAnsi="Arial"/>
                <w:sz w:val="14"/>
                <w:szCs w:val="14"/>
                <w:color w:val="auto"/>
              </w:rPr>
              <w:t>9.72</w:t>
            </w:r>
          </w:p>
        </w:tc>
        <w:tc>
          <w:tcPr>
            <w:tcW w:w="1420" w:type="dxa"/>
            <w:vAlign w:val="bottom"/>
            <w:tcBorders>
              <w:bottom w:val="single" w:sz="8" w:color="auto"/>
            </w:tcBorders>
            <w:gridSpan w:val="2"/>
          </w:tcPr>
          <w:p>
            <w:pPr>
              <w:jc w:val="right"/>
              <w:ind w:right="37"/>
              <w:spacing w:after="0" w:line="155" w:lineRule="exact"/>
              <w:rPr>
                <w:sz w:val="20"/>
                <w:szCs w:val="20"/>
                <w:color w:val="auto"/>
              </w:rPr>
            </w:pPr>
            <w:r>
              <w:rPr>
                <w:rFonts w:ascii="Arial" w:cs="Arial" w:eastAsia="Arial" w:hAnsi="Arial"/>
                <w:sz w:val="14"/>
                <w:szCs w:val="14"/>
                <w:color w:val="auto"/>
              </w:rPr>
              <w:t>5.85</w:t>
            </w:r>
          </w:p>
        </w:tc>
        <w:tc>
          <w:tcPr>
            <w:tcW w:w="1160" w:type="dxa"/>
            <w:vAlign w:val="bottom"/>
            <w:tcBorders>
              <w:bottom w:val="single" w:sz="8" w:color="auto"/>
            </w:tcBorders>
          </w:tcPr>
          <w:p>
            <w:pPr>
              <w:jc w:val="right"/>
              <w:ind w:right="151"/>
              <w:spacing w:after="0" w:line="155" w:lineRule="exact"/>
              <w:rPr>
                <w:sz w:val="20"/>
                <w:szCs w:val="20"/>
                <w:color w:val="auto"/>
              </w:rPr>
            </w:pPr>
            <w:r>
              <w:rPr>
                <w:rFonts w:ascii="Arial" w:cs="Arial" w:eastAsia="Arial" w:hAnsi="Arial"/>
                <w:sz w:val="14"/>
                <w:szCs w:val="14"/>
                <w:color w:val="auto"/>
              </w:rPr>
              <w:t>9.72</w:t>
            </w:r>
          </w:p>
        </w:tc>
        <w:tc>
          <w:tcPr>
            <w:tcW w:w="48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9"/>
              <w:spacing w:after="0" w:line="155" w:lineRule="exact"/>
              <w:rPr>
                <w:sz w:val="20"/>
                <w:szCs w:val="20"/>
                <w:color w:val="auto"/>
              </w:rPr>
            </w:pPr>
            <w:r>
              <w:rPr>
                <w:rFonts w:ascii="Arial" w:cs="Arial" w:eastAsia="Arial" w:hAnsi="Arial"/>
                <w:sz w:val="14"/>
                <w:szCs w:val="14"/>
                <w:color w:val="auto"/>
              </w:rPr>
              <w:t>5.53</w:t>
            </w:r>
          </w:p>
        </w:tc>
        <w:tc>
          <w:tcPr>
            <w:tcW w:w="1140" w:type="dxa"/>
            <w:vAlign w:val="bottom"/>
            <w:tcBorders>
              <w:bottom w:val="single" w:sz="8" w:color="auto"/>
            </w:tcBorders>
          </w:tcPr>
          <w:p>
            <w:pPr>
              <w:jc w:val="right"/>
              <w:ind w:right="151"/>
              <w:spacing w:after="0" w:line="155" w:lineRule="exact"/>
              <w:rPr>
                <w:sz w:val="20"/>
                <w:szCs w:val="20"/>
                <w:color w:val="auto"/>
              </w:rPr>
            </w:pPr>
            <w:r>
              <w:rPr>
                <w:rFonts w:ascii="Arial" w:cs="Arial" w:eastAsia="Arial" w:hAnsi="Arial"/>
                <w:sz w:val="14"/>
                <w:szCs w:val="14"/>
                <w:color w:val="auto"/>
              </w:rPr>
              <w:t>9.81</w:t>
            </w:r>
          </w:p>
        </w:tc>
      </w:tr>
    </w:tbl>
    <w:p>
      <w:pPr>
        <w:spacing w:after="0" w:line="37" w:lineRule="exact"/>
        <w:rPr>
          <w:sz w:val="20"/>
          <w:szCs w:val="20"/>
          <w:color w:val="auto"/>
        </w:rPr>
      </w:pPr>
    </w:p>
    <w:p>
      <w:pPr>
        <w:ind w:right="80" w:firstLine="8"/>
        <w:spacing w:after="0" w:line="238" w:lineRule="auto"/>
        <w:tabs>
          <w:tab w:leader="none" w:pos="162" w:val="left"/>
        </w:tabs>
        <w:numPr>
          <w:ilvl w:val="0"/>
          <w:numId w:val="33"/>
        </w:numPr>
        <w:rPr>
          <w:rFonts w:ascii="Arial" w:cs="Arial" w:eastAsia="Arial" w:hAnsi="Arial"/>
          <w:sz w:val="11"/>
          <w:szCs w:val="11"/>
          <w:color w:val="auto"/>
        </w:rPr>
      </w:pPr>
      <w:r>
        <w:rPr>
          <w:rFonts w:ascii="Arial" w:cs="Arial" w:eastAsia="Arial" w:hAnsi="Arial"/>
          <w:sz w:val="11"/>
          <w:szCs w:val="11"/>
          <w:color w:val="auto"/>
        </w:rPr>
        <w:t>Includes Shell’s 14% share of Woodside as from June 2014 (previously: 23% as from April 2012; 24% before that date), a publicly listed company on the Australian Securities Exchange. We have limited access to data; accordingly, the numbers are estimated.</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4780" w:type="dxa"/>
            <w:vAlign w:val="bottom"/>
            <w:shd w:val="clear" w:color="auto" w:fill="333333"/>
          </w:tcPr>
          <w:p>
            <w:pPr>
              <w:ind w:left="80"/>
              <w:spacing w:after="0"/>
              <w:rPr>
                <w:sz w:val="20"/>
                <w:szCs w:val="20"/>
                <w:color w:val="auto"/>
              </w:rPr>
            </w:pPr>
            <w:r>
              <w:rPr>
                <w:rFonts w:ascii="Arial" w:cs="Arial" w:eastAsia="Arial" w:hAnsi="Arial"/>
                <w:sz w:val="15"/>
                <w:szCs w:val="15"/>
                <w:b w:val="1"/>
                <w:bCs w:val="1"/>
                <w:color w:val="FFFFFF"/>
              </w:rPr>
              <w:t>SYNTHETIC CRUDE OIL</w:t>
            </w:r>
          </w:p>
        </w:tc>
        <w:tc>
          <w:tcPr>
            <w:tcW w:w="1500" w:type="dxa"/>
            <w:vAlign w:val="bottom"/>
            <w:shd w:val="clear" w:color="auto" w:fill="333333"/>
          </w:tcPr>
          <w:p>
            <w:pPr>
              <w:spacing w:after="0"/>
              <w:rPr>
                <w:sz w:val="15"/>
                <w:szCs w:val="15"/>
                <w:color w:val="auto"/>
              </w:rPr>
            </w:pPr>
          </w:p>
        </w:tc>
        <w:tc>
          <w:tcPr>
            <w:tcW w:w="780" w:type="dxa"/>
            <w:vAlign w:val="bottom"/>
            <w:shd w:val="clear" w:color="auto" w:fill="333333"/>
          </w:tcPr>
          <w:p>
            <w:pPr>
              <w:spacing w:after="0"/>
              <w:rPr>
                <w:sz w:val="15"/>
                <w:szCs w:val="15"/>
                <w:color w:val="auto"/>
              </w:rPr>
            </w:pPr>
          </w:p>
        </w:tc>
        <w:tc>
          <w:tcPr>
            <w:tcW w:w="1720" w:type="dxa"/>
            <w:vAlign w:val="bottom"/>
            <w:shd w:val="clear" w:color="auto" w:fill="333333"/>
          </w:tcPr>
          <w:p>
            <w:pPr>
              <w:spacing w:after="0"/>
              <w:rPr>
                <w:sz w:val="15"/>
                <w:szCs w:val="15"/>
                <w:color w:val="auto"/>
              </w:rPr>
            </w:pPr>
          </w:p>
        </w:tc>
        <w:tc>
          <w:tcPr>
            <w:tcW w:w="780" w:type="dxa"/>
            <w:vAlign w:val="bottom"/>
            <w:shd w:val="clear" w:color="auto" w:fill="333333"/>
          </w:tcPr>
          <w:p>
            <w:pPr>
              <w:spacing w:after="0"/>
              <w:rPr>
                <w:sz w:val="15"/>
                <w:szCs w:val="15"/>
                <w:color w:val="auto"/>
              </w:rPr>
            </w:pPr>
          </w:p>
        </w:tc>
        <w:tc>
          <w:tcPr>
            <w:tcW w:w="1860" w:type="dxa"/>
            <w:vAlign w:val="bottom"/>
            <w:shd w:val="clear" w:color="auto" w:fill="333333"/>
          </w:tcPr>
          <w:p>
            <w:pPr>
              <w:jc w:val="right"/>
              <w:ind w:right="153"/>
              <w:spacing w:after="0"/>
              <w:rPr>
                <w:sz w:val="20"/>
                <w:szCs w:val="20"/>
                <w:color w:val="auto"/>
              </w:rPr>
            </w:pPr>
            <w:r>
              <w:rPr>
                <w:rFonts w:ascii="Arial" w:cs="Arial" w:eastAsia="Arial" w:hAnsi="Arial"/>
                <w:sz w:val="15"/>
                <w:szCs w:val="15"/>
                <w:color w:val="FFFFFF"/>
              </w:rPr>
              <w:t>$/BARREL</w:t>
            </w:r>
          </w:p>
        </w:tc>
      </w:tr>
      <w:tr>
        <w:trPr>
          <w:trHeight w:val="135"/>
        </w:trPr>
        <w:tc>
          <w:tcPr>
            <w:tcW w:w="4780" w:type="dxa"/>
            <w:vAlign w:val="bottom"/>
          </w:tcPr>
          <w:p>
            <w:pPr>
              <w:spacing w:after="0"/>
              <w:rPr>
                <w:sz w:val="11"/>
                <w:szCs w:val="11"/>
                <w:color w:val="auto"/>
              </w:rPr>
            </w:pPr>
          </w:p>
        </w:tc>
        <w:tc>
          <w:tcPr>
            <w:tcW w:w="1500" w:type="dxa"/>
            <w:vAlign w:val="bottom"/>
            <w:shd w:val="clear" w:color="auto" w:fill="D8D8D8"/>
          </w:tcPr>
          <w:p>
            <w:pPr>
              <w:jc w:val="right"/>
              <w:ind w:right="155"/>
              <w:spacing w:after="0" w:line="135" w:lineRule="exact"/>
              <w:rPr>
                <w:sz w:val="20"/>
                <w:szCs w:val="20"/>
                <w:color w:val="auto"/>
              </w:rPr>
            </w:pPr>
            <w:r>
              <w:rPr>
                <w:rFonts w:ascii="Arial" w:cs="Arial" w:eastAsia="Arial" w:hAnsi="Arial"/>
                <w:sz w:val="13"/>
                <w:szCs w:val="13"/>
                <w:color w:val="auto"/>
              </w:rPr>
              <w:t>2014</w:t>
            </w:r>
          </w:p>
        </w:tc>
        <w:tc>
          <w:tcPr>
            <w:tcW w:w="2500" w:type="dxa"/>
            <w:vAlign w:val="bottom"/>
            <w:gridSpan w:val="2"/>
          </w:tcPr>
          <w:p>
            <w:pPr>
              <w:jc w:val="right"/>
              <w:ind w:right="137"/>
              <w:spacing w:after="0" w:line="135" w:lineRule="exact"/>
              <w:rPr>
                <w:sz w:val="20"/>
                <w:szCs w:val="20"/>
                <w:color w:val="auto"/>
              </w:rPr>
            </w:pPr>
            <w:r>
              <w:rPr>
                <w:rFonts w:ascii="Arial" w:cs="Arial" w:eastAsia="Arial" w:hAnsi="Arial"/>
                <w:sz w:val="13"/>
                <w:szCs w:val="13"/>
                <w:color w:val="auto"/>
              </w:rPr>
              <w:t>2013</w:t>
            </w:r>
          </w:p>
        </w:tc>
        <w:tc>
          <w:tcPr>
            <w:tcW w:w="780" w:type="dxa"/>
            <w:vAlign w:val="bottom"/>
          </w:tcPr>
          <w:p>
            <w:pPr>
              <w:spacing w:after="0"/>
              <w:rPr>
                <w:sz w:val="11"/>
                <w:szCs w:val="11"/>
                <w:color w:val="auto"/>
              </w:rPr>
            </w:pPr>
          </w:p>
        </w:tc>
        <w:tc>
          <w:tcPr>
            <w:tcW w:w="1860" w:type="dxa"/>
            <w:vAlign w:val="bottom"/>
          </w:tcPr>
          <w:p>
            <w:pPr>
              <w:jc w:val="right"/>
              <w:ind w:right="153"/>
              <w:spacing w:after="0" w:line="135" w:lineRule="exact"/>
              <w:rPr>
                <w:sz w:val="20"/>
                <w:szCs w:val="20"/>
                <w:color w:val="auto"/>
              </w:rPr>
            </w:pPr>
            <w:r>
              <w:rPr>
                <w:rFonts w:ascii="Arial" w:cs="Arial" w:eastAsia="Arial" w:hAnsi="Arial"/>
                <w:sz w:val="13"/>
                <w:szCs w:val="13"/>
                <w:color w:val="auto"/>
              </w:rPr>
              <w:t>2012</w:t>
            </w:r>
          </w:p>
        </w:tc>
      </w:tr>
      <w:tr>
        <w:trPr>
          <w:trHeight w:val="123"/>
        </w:trPr>
        <w:tc>
          <w:tcPr>
            <w:tcW w:w="4780" w:type="dxa"/>
            <w:vAlign w:val="bottom"/>
          </w:tcPr>
          <w:p>
            <w:pPr>
              <w:spacing w:after="0"/>
              <w:rPr>
                <w:sz w:val="10"/>
                <w:szCs w:val="10"/>
                <w:color w:val="auto"/>
              </w:rPr>
            </w:pPr>
          </w:p>
        </w:tc>
        <w:tc>
          <w:tcPr>
            <w:tcW w:w="1500" w:type="dxa"/>
            <w:vAlign w:val="bottom"/>
            <w:tcBorders>
              <w:top w:val="single" w:sz="8" w:color="auto"/>
            </w:tcBorders>
            <w:shd w:val="clear" w:color="auto" w:fill="D8D8D8"/>
          </w:tcPr>
          <w:p>
            <w:pPr>
              <w:jc w:val="right"/>
              <w:ind w:right="155"/>
              <w:spacing w:after="0" w:line="123" w:lineRule="exact"/>
              <w:rPr>
                <w:sz w:val="20"/>
                <w:szCs w:val="20"/>
                <w:color w:val="auto"/>
              </w:rPr>
            </w:pPr>
            <w:r>
              <w:rPr>
                <w:rFonts w:ascii="Arial" w:cs="Arial" w:eastAsia="Arial" w:hAnsi="Arial"/>
                <w:sz w:val="13"/>
                <w:szCs w:val="13"/>
                <w:color w:val="auto"/>
              </w:rPr>
              <w:t>Shell</w:t>
            </w:r>
          </w:p>
        </w:tc>
        <w:tc>
          <w:tcPr>
            <w:tcW w:w="780" w:type="dxa"/>
            <w:vAlign w:val="bottom"/>
          </w:tcPr>
          <w:p>
            <w:pPr>
              <w:spacing w:after="0"/>
              <w:rPr>
                <w:sz w:val="10"/>
                <w:szCs w:val="10"/>
                <w:color w:val="auto"/>
              </w:rPr>
            </w:pPr>
          </w:p>
        </w:tc>
        <w:tc>
          <w:tcPr>
            <w:tcW w:w="1720" w:type="dxa"/>
            <w:vAlign w:val="bottom"/>
            <w:tcBorders>
              <w:top w:val="single" w:sz="8" w:color="auto"/>
            </w:tcBorders>
          </w:tcPr>
          <w:p>
            <w:pPr>
              <w:jc w:val="right"/>
              <w:ind w:right="137"/>
              <w:spacing w:after="0" w:line="123" w:lineRule="exact"/>
              <w:rPr>
                <w:sz w:val="20"/>
                <w:szCs w:val="20"/>
                <w:color w:val="auto"/>
              </w:rPr>
            </w:pPr>
            <w:r>
              <w:rPr>
                <w:rFonts w:ascii="Arial" w:cs="Arial" w:eastAsia="Arial" w:hAnsi="Arial"/>
                <w:sz w:val="13"/>
                <w:szCs w:val="13"/>
                <w:color w:val="auto"/>
              </w:rPr>
              <w:t>Shell</w:t>
            </w:r>
          </w:p>
        </w:tc>
        <w:tc>
          <w:tcPr>
            <w:tcW w:w="780" w:type="dxa"/>
            <w:vAlign w:val="bottom"/>
          </w:tcPr>
          <w:p>
            <w:pPr>
              <w:spacing w:after="0"/>
              <w:rPr>
                <w:sz w:val="10"/>
                <w:szCs w:val="10"/>
                <w:color w:val="auto"/>
              </w:rPr>
            </w:pPr>
          </w:p>
        </w:tc>
        <w:tc>
          <w:tcPr>
            <w:tcW w:w="1860" w:type="dxa"/>
            <w:vAlign w:val="bottom"/>
            <w:tcBorders>
              <w:top w:val="single" w:sz="8" w:color="auto"/>
            </w:tcBorders>
          </w:tcPr>
          <w:p>
            <w:pPr>
              <w:jc w:val="right"/>
              <w:ind w:right="153"/>
              <w:spacing w:after="0" w:line="123" w:lineRule="exact"/>
              <w:rPr>
                <w:sz w:val="20"/>
                <w:szCs w:val="20"/>
                <w:color w:val="auto"/>
              </w:rPr>
            </w:pPr>
            <w:r>
              <w:rPr>
                <w:rFonts w:ascii="Arial" w:cs="Arial" w:eastAsia="Arial" w:hAnsi="Arial"/>
                <w:sz w:val="13"/>
                <w:szCs w:val="13"/>
                <w:color w:val="auto"/>
              </w:rPr>
              <w:t>Shell</w:t>
            </w:r>
          </w:p>
        </w:tc>
      </w:tr>
      <w:tr>
        <w:trPr>
          <w:trHeight w:val="141"/>
        </w:trPr>
        <w:tc>
          <w:tcPr>
            <w:tcW w:w="4780" w:type="dxa"/>
            <w:vAlign w:val="bottom"/>
            <w:tcBorders>
              <w:bottom w:val="single" w:sz="8" w:color="auto"/>
            </w:tcBorders>
          </w:tcPr>
          <w:p>
            <w:pPr>
              <w:spacing w:after="0"/>
              <w:rPr>
                <w:sz w:val="12"/>
                <w:szCs w:val="12"/>
                <w:color w:val="auto"/>
              </w:rPr>
            </w:pPr>
          </w:p>
        </w:tc>
        <w:tc>
          <w:tcPr>
            <w:tcW w:w="1500" w:type="dxa"/>
            <w:vAlign w:val="bottom"/>
            <w:tcBorders>
              <w:bottom w:val="single" w:sz="8" w:color="auto"/>
            </w:tcBorders>
            <w:shd w:val="clear" w:color="auto" w:fill="D8D8D8"/>
          </w:tcPr>
          <w:p>
            <w:pPr>
              <w:jc w:val="right"/>
              <w:ind w:right="155"/>
              <w:spacing w:after="0" w:line="141" w:lineRule="exact"/>
              <w:rPr>
                <w:sz w:val="20"/>
                <w:szCs w:val="20"/>
                <w:color w:val="auto"/>
              </w:rPr>
            </w:pPr>
            <w:r>
              <w:rPr>
                <w:rFonts w:ascii="Arial" w:cs="Arial" w:eastAsia="Arial" w:hAnsi="Arial"/>
                <w:sz w:val="13"/>
                <w:szCs w:val="13"/>
                <w:color w:val="auto"/>
              </w:rPr>
              <w:t>subsidiaries</w:t>
            </w:r>
          </w:p>
        </w:tc>
        <w:tc>
          <w:tcPr>
            <w:tcW w:w="780" w:type="dxa"/>
            <w:vAlign w:val="bottom"/>
            <w:tcBorders>
              <w:bottom w:val="single" w:sz="8" w:color="auto"/>
            </w:tcBorders>
          </w:tcPr>
          <w:p>
            <w:pPr>
              <w:spacing w:after="0"/>
              <w:rPr>
                <w:sz w:val="12"/>
                <w:szCs w:val="12"/>
                <w:color w:val="auto"/>
              </w:rPr>
            </w:pPr>
          </w:p>
        </w:tc>
        <w:tc>
          <w:tcPr>
            <w:tcW w:w="2500" w:type="dxa"/>
            <w:vAlign w:val="bottom"/>
            <w:tcBorders>
              <w:bottom w:val="single" w:sz="8" w:color="auto"/>
            </w:tcBorders>
            <w:gridSpan w:val="2"/>
          </w:tcPr>
          <w:p>
            <w:pPr>
              <w:jc w:val="right"/>
              <w:ind w:right="980"/>
              <w:spacing w:after="0" w:line="141" w:lineRule="exact"/>
              <w:rPr>
                <w:sz w:val="20"/>
                <w:szCs w:val="20"/>
                <w:color w:val="auto"/>
              </w:rPr>
            </w:pPr>
            <w:r>
              <w:rPr>
                <w:rFonts w:ascii="Arial" w:cs="Arial" w:eastAsia="Arial" w:hAnsi="Arial"/>
                <w:sz w:val="13"/>
                <w:szCs w:val="13"/>
                <w:color w:val="auto"/>
              </w:rPr>
              <w:t>subsidiaries</w:t>
            </w:r>
          </w:p>
        </w:tc>
        <w:tc>
          <w:tcPr>
            <w:tcW w:w="1860" w:type="dxa"/>
            <w:vAlign w:val="bottom"/>
            <w:tcBorders>
              <w:bottom w:val="single" w:sz="8" w:color="auto"/>
            </w:tcBorders>
          </w:tcPr>
          <w:p>
            <w:pPr>
              <w:jc w:val="right"/>
              <w:ind w:right="153"/>
              <w:spacing w:after="0" w:line="141" w:lineRule="exact"/>
              <w:rPr>
                <w:sz w:val="20"/>
                <w:szCs w:val="20"/>
                <w:color w:val="auto"/>
              </w:rPr>
            </w:pPr>
            <w:r>
              <w:rPr>
                <w:rFonts w:ascii="Arial" w:cs="Arial" w:eastAsia="Arial" w:hAnsi="Arial"/>
                <w:sz w:val="13"/>
                <w:szCs w:val="13"/>
                <w:color w:val="auto"/>
              </w:rPr>
              <w:t>subsidiaries</w:t>
            </w:r>
          </w:p>
        </w:tc>
      </w:tr>
      <w:tr>
        <w:trPr>
          <w:trHeight w:val="156"/>
        </w:trPr>
        <w:tc>
          <w:tcPr>
            <w:tcW w:w="4780" w:type="dxa"/>
            <w:vAlign w:val="bottom"/>
            <w:tcBorders>
              <w:bottom w:val="single" w:sz="8" w:color="auto"/>
            </w:tcBorders>
          </w:tcPr>
          <w:p>
            <w:pPr>
              <w:spacing w:after="0" w:line="155" w:lineRule="exact"/>
              <w:rPr>
                <w:sz w:val="20"/>
                <w:szCs w:val="20"/>
                <w:color w:val="auto"/>
              </w:rPr>
            </w:pPr>
            <w:r>
              <w:rPr>
                <w:rFonts w:ascii="Arial" w:cs="Arial" w:eastAsia="Arial" w:hAnsi="Arial"/>
                <w:sz w:val="14"/>
                <w:szCs w:val="14"/>
                <w:color w:val="auto"/>
              </w:rPr>
              <w:t>North America – Canada</w:t>
            </w:r>
          </w:p>
        </w:tc>
        <w:tc>
          <w:tcPr>
            <w:tcW w:w="1500" w:type="dxa"/>
            <w:vAlign w:val="bottom"/>
            <w:tcBorders>
              <w:bottom w:val="single" w:sz="8" w:color="auto"/>
            </w:tcBorders>
            <w:shd w:val="clear" w:color="auto" w:fill="D8D8D8"/>
          </w:tcPr>
          <w:p>
            <w:pPr>
              <w:jc w:val="right"/>
              <w:ind w:right="155"/>
              <w:spacing w:after="0" w:line="155" w:lineRule="exact"/>
              <w:rPr>
                <w:sz w:val="20"/>
                <w:szCs w:val="20"/>
                <w:color w:val="auto"/>
              </w:rPr>
            </w:pPr>
            <w:r>
              <w:rPr>
                <w:rFonts w:ascii="Arial" w:cs="Arial" w:eastAsia="Arial" w:hAnsi="Arial"/>
                <w:sz w:val="14"/>
                <w:szCs w:val="14"/>
                <w:color w:val="auto"/>
              </w:rPr>
              <w:t>81.83</w:t>
            </w:r>
          </w:p>
        </w:tc>
        <w:tc>
          <w:tcPr>
            <w:tcW w:w="2500" w:type="dxa"/>
            <w:vAlign w:val="bottom"/>
            <w:tcBorders>
              <w:bottom w:val="single" w:sz="8" w:color="auto"/>
            </w:tcBorders>
            <w:gridSpan w:val="2"/>
          </w:tcPr>
          <w:p>
            <w:pPr>
              <w:jc w:val="right"/>
              <w:ind w:right="137"/>
              <w:spacing w:after="0" w:line="155" w:lineRule="exact"/>
              <w:rPr>
                <w:sz w:val="20"/>
                <w:szCs w:val="20"/>
                <w:color w:val="auto"/>
              </w:rPr>
            </w:pPr>
            <w:r>
              <w:rPr>
                <w:rFonts w:ascii="Arial" w:cs="Arial" w:eastAsia="Arial" w:hAnsi="Arial"/>
                <w:sz w:val="14"/>
                <w:szCs w:val="14"/>
                <w:color w:val="auto"/>
              </w:rPr>
              <w:t>87.24</w:t>
            </w:r>
          </w:p>
        </w:tc>
        <w:tc>
          <w:tcPr>
            <w:tcW w:w="780" w:type="dxa"/>
            <w:vAlign w:val="bottom"/>
            <w:tcBorders>
              <w:bottom w:val="single" w:sz="8" w:color="auto"/>
            </w:tcBorders>
          </w:tcPr>
          <w:p>
            <w:pPr>
              <w:spacing w:after="0"/>
              <w:rPr>
                <w:sz w:val="13"/>
                <w:szCs w:val="13"/>
                <w:color w:val="auto"/>
              </w:rPr>
            </w:pPr>
          </w:p>
        </w:tc>
        <w:tc>
          <w:tcPr>
            <w:tcW w:w="1860" w:type="dxa"/>
            <w:vAlign w:val="bottom"/>
            <w:tcBorders>
              <w:bottom w:val="single" w:sz="8" w:color="auto"/>
            </w:tcBorders>
          </w:tcPr>
          <w:p>
            <w:pPr>
              <w:jc w:val="right"/>
              <w:ind w:right="153"/>
              <w:spacing w:after="0" w:line="155" w:lineRule="exact"/>
              <w:rPr>
                <w:sz w:val="20"/>
                <w:szCs w:val="20"/>
                <w:color w:val="auto"/>
              </w:rPr>
            </w:pPr>
            <w:r>
              <w:rPr>
                <w:rFonts w:ascii="Arial" w:cs="Arial" w:eastAsia="Arial" w:hAnsi="Arial"/>
                <w:sz w:val="14"/>
                <w:szCs w:val="14"/>
                <w:color w:val="auto"/>
              </w:rPr>
              <w:t>81.46</w:t>
            </w:r>
          </w:p>
        </w:tc>
      </w:tr>
    </w:tbl>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4780" w:type="dxa"/>
            <w:vAlign w:val="bottom"/>
            <w:shd w:val="clear" w:color="auto" w:fill="333333"/>
          </w:tcPr>
          <w:p>
            <w:pPr>
              <w:ind w:left="80"/>
              <w:spacing w:after="0"/>
              <w:rPr>
                <w:sz w:val="20"/>
                <w:szCs w:val="20"/>
                <w:color w:val="auto"/>
              </w:rPr>
            </w:pPr>
            <w:r>
              <w:rPr>
                <w:rFonts w:ascii="Arial" w:cs="Arial" w:eastAsia="Arial" w:hAnsi="Arial"/>
                <w:sz w:val="15"/>
                <w:szCs w:val="15"/>
                <w:b w:val="1"/>
                <w:bCs w:val="1"/>
                <w:color w:val="FFFFFF"/>
              </w:rPr>
              <w:t>BITUMEN</w:t>
            </w:r>
          </w:p>
        </w:tc>
        <w:tc>
          <w:tcPr>
            <w:tcW w:w="1500" w:type="dxa"/>
            <w:vAlign w:val="bottom"/>
            <w:shd w:val="clear" w:color="auto" w:fill="333333"/>
          </w:tcPr>
          <w:p>
            <w:pPr>
              <w:spacing w:after="0"/>
              <w:rPr>
                <w:sz w:val="15"/>
                <w:szCs w:val="15"/>
                <w:color w:val="auto"/>
              </w:rPr>
            </w:pPr>
          </w:p>
        </w:tc>
        <w:tc>
          <w:tcPr>
            <w:tcW w:w="780" w:type="dxa"/>
            <w:vAlign w:val="bottom"/>
            <w:shd w:val="clear" w:color="auto" w:fill="333333"/>
          </w:tcPr>
          <w:p>
            <w:pPr>
              <w:spacing w:after="0"/>
              <w:rPr>
                <w:sz w:val="15"/>
                <w:szCs w:val="15"/>
                <w:color w:val="auto"/>
              </w:rPr>
            </w:pPr>
          </w:p>
        </w:tc>
        <w:tc>
          <w:tcPr>
            <w:tcW w:w="1720" w:type="dxa"/>
            <w:vAlign w:val="bottom"/>
            <w:shd w:val="clear" w:color="auto" w:fill="333333"/>
          </w:tcPr>
          <w:p>
            <w:pPr>
              <w:spacing w:after="0"/>
              <w:rPr>
                <w:sz w:val="15"/>
                <w:szCs w:val="15"/>
                <w:color w:val="auto"/>
              </w:rPr>
            </w:pPr>
          </w:p>
        </w:tc>
        <w:tc>
          <w:tcPr>
            <w:tcW w:w="780" w:type="dxa"/>
            <w:vAlign w:val="bottom"/>
            <w:shd w:val="clear" w:color="auto" w:fill="333333"/>
          </w:tcPr>
          <w:p>
            <w:pPr>
              <w:spacing w:after="0"/>
              <w:rPr>
                <w:sz w:val="15"/>
                <w:szCs w:val="15"/>
                <w:color w:val="auto"/>
              </w:rPr>
            </w:pPr>
          </w:p>
        </w:tc>
        <w:tc>
          <w:tcPr>
            <w:tcW w:w="1860" w:type="dxa"/>
            <w:vAlign w:val="bottom"/>
            <w:shd w:val="clear" w:color="auto" w:fill="333333"/>
          </w:tcPr>
          <w:p>
            <w:pPr>
              <w:jc w:val="right"/>
              <w:ind w:right="153"/>
              <w:spacing w:after="0"/>
              <w:rPr>
                <w:sz w:val="20"/>
                <w:szCs w:val="20"/>
                <w:color w:val="auto"/>
              </w:rPr>
            </w:pPr>
            <w:r>
              <w:rPr>
                <w:rFonts w:ascii="Arial" w:cs="Arial" w:eastAsia="Arial" w:hAnsi="Arial"/>
                <w:sz w:val="15"/>
                <w:szCs w:val="15"/>
                <w:color w:val="FFFFFF"/>
              </w:rPr>
              <w:t>$/BARREL</w:t>
            </w:r>
          </w:p>
        </w:tc>
      </w:tr>
      <w:tr>
        <w:trPr>
          <w:trHeight w:val="135"/>
        </w:trPr>
        <w:tc>
          <w:tcPr>
            <w:tcW w:w="4780" w:type="dxa"/>
            <w:vAlign w:val="bottom"/>
          </w:tcPr>
          <w:p>
            <w:pPr>
              <w:spacing w:after="0"/>
              <w:rPr>
                <w:sz w:val="11"/>
                <w:szCs w:val="11"/>
                <w:color w:val="auto"/>
              </w:rPr>
            </w:pPr>
          </w:p>
        </w:tc>
        <w:tc>
          <w:tcPr>
            <w:tcW w:w="1500" w:type="dxa"/>
            <w:vAlign w:val="bottom"/>
            <w:shd w:val="clear" w:color="auto" w:fill="D8D8D8"/>
          </w:tcPr>
          <w:p>
            <w:pPr>
              <w:jc w:val="right"/>
              <w:ind w:right="155"/>
              <w:spacing w:after="0" w:line="135" w:lineRule="exact"/>
              <w:rPr>
                <w:sz w:val="20"/>
                <w:szCs w:val="20"/>
                <w:color w:val="auto"/>
              </w:rPr>
            </w:pPr>
            <w:r>
              <w:rPr>
                <w:rFonts w:ascii="Arial" w:cs="Arial" w:eastAsia="Arial" w:hAnsi="Arial"/>
                <w:sz w:val="13"/>
                <w:szCs w:val="13"/>
                <w:color w:val="auto"/>
              </w:rPr>
              <w:t>2014</w:t>
            </w:r>
          </w:p>
        </w:tc>
        <w:tc>
          <w:tcPr>
            <w:tcW w:w="2500" w:type="dxa"/>
            <w:vAlign w:val="bottom"/>
            <w:gridSpan w:val="2"/>
          </w:tcPr>
          <w:p>
            <w:pPr>
              <w:jc w:val="right"/>
              <w:ind w:right="137"/>
              <w:spacing w:after="0" w:line="135" w:lineRule="exact"/>
              <w:rPr>
                <w:sz w:val="20"/>
                <w:szCs w:val="20"/>
                <w:color w:val="auto"/>
              </w:rPr>
            </w:pPr>
            <w:r>
              <w:rPr>
                <w:rFonts w:ascii="Arial" w:cs="Arial" w:eastAsia="Arial" w:hAnsi="Arial"/>
                <w:sz w:val="13"/>
                <w:szCs w:val="13"/>
                <w:color w:val="auto"/>
              </w:rPr>
              <w:t>2013</w:t>
            </w:r>
          </w:p>
        </w:tc>
        <w:tc>
          <w:tcPr>
            <w:tcW w:w="780" w:type="dxa"/>
            <w:vAlign w:val="bottom"/>
          </w:tcPr>
          <w:p>
            <w:pPr>
              <w:spacing w:after="0"/>
              <w:rPr>
                <w:sz w:val="11"/>
                <w:szCs w:val="11"/>
                <w:color w:val="auto"/>
              </w:rPr>
            </w:pPr>
          </w:p>
        </w:tc>
        <w:tc>
          <w:tcPr>
            <w:tcW w:w="1860" w:type="dxa"/>
            <w:vAlign w:val="bottom"/>
          </w:tcPr>
          <w:p>
            <w:pPr>
              <w:jc w:val="right"/>
              <w:ind w:right="153"/>
              <w:spacing w:after="0" w:line="135" w:lineRule="exact"/>
              <w:rPr>
                <w:sz w:val="20"/>
                <w:szCs w:val="20"/>
                <w:color w:val="auto"/>
              </w:rPr>
            </w:pPr>
            <w:r>
              <w:rPr>
                <w:rFonts w:ascii="Arial" w:cs="Arial" w:eastAsia="Arial" w:hAnsi="Arial"/>
                <w:sz w:val="13"/>
                <w:szCs w:val="13"/>
                <w:color w:val="auto"/>
              </w:rPr>
              <w:t>2012</w:t>
            </w:r>
          </w:p>
        </w:tc>
      </w:tr>
      <w:tr>
        <w:trPr>
          <w:trHeight w:val="123"/>
        </w:trPr>
        <w:tc>
          <w:tcPr>
            <w:tcW w:w="4780" w:type="dxa"/>
            <w:vAlign w:val="bottom"/>
          </w:tcPr>
          <w:p>
            <w:pPr>
              <w:spacing w:after="0"/>
              <w:rPr>
                <w:sz w:val="10"/>
                <w:szCs w:val="10"/>
                <w:color w:val="auto"/>
              </w:rPr>
            </w:pPr>
          </w:p>
        </w:tc>
        <w:tc>
          <w:tcPr>
            <w:tcW w:w="1500" w:type="dxa"/>
            <w:vAlign w:val="bottom"/>
            <w:tcBorders>
              <w:top w:val="single" w:sz="8" w:color="auto"/>
            </w:tcBorders>
            <w:shd w:val="clear" w:color="auto" w:fill="D8D8D8"/>
          </w:tcPr>
          <w:p>
            <w:pPr>
              <w:jc w:val="right"/>
              <w:ind w:right="155"/>
              <w:spacing w:after="0" w:line="123" w:lineRule="exact"/>
              <w:rPr>
                <w:sz w:val="20"/>
                <w:szCs w:val="20"/>
                <w:color w:val="auto"/>
              </w:rPr>
            </w:pPr>
            <w:r>
              <w:rPr>
                <w:rFonts w:ascii="Arial" w:cs="Arial" w:eastAsia="Arial" w:hAnsi="Arial"/>
                <w:sz w:val="13"/>
                <w:szCs w:val="13"/>
                <w:color w:val="auto"/>
              </w:rPr>
              <w:t>Shell</w:t>
            </w:r>
          </w:p>
        </w:tc>
        <w:tc>
          <w:tcPr>
            <w:tcW w:w="780" w:type="dxa"/>
            <w:vAlign w:val="bottom"/>
          </w:tcPr>
          <w:p>
            <w:pPr>
              <w:spacing w:after="0"/>
              <w:rPr>
                <w:sz w:val="10"/>
                <w:szCs w:val="10"/>
                <w:color w:val="auto"/>
              </w:rPr>
            </w:pPr>
          </w:p>
        </w:tc>
        <w:tc>
          <w:tcPr>
            <w:tcW w:w="1720" w:type="dxa"/>
            <w:vAlign w:val="bottom"/>
            <w:tcBorders>
              <w:top w:val="single" w:sz="8" w:color="auto"/>
            </w:tcBorders>
          </w:tcPr>
          <w:p>
            <w:pPr>
              <w:jc w:val="right"/>
              <w:ind w:right="137"/>
              <w:spacing w:after="0" w:line="123" w:lineRule="exact"/>
              <w:rPr>
                <w:sz w:val="20"/>
                <w:szCs w:val="20"/>
                <w:color w:val="auto"/>
              </w:rPr>
            </w:pPr>
            <w:r>
              <w:rPr>
                <w:rFonts w:ascii="Arial" w:cs="Arial" w:eastAsia="Arial" w:hAnsi="Arial"/>
                <w:sz w:val="13"/>
                <w:szCs w:val="13"/>
                <w:color w:val="auto"/>
              </w:rPr>
              <w:t>Shell</w:t>
            </w:r>
          </w:p>
        </w:tc>
        <w:tc>
          <w:tcPr>
            <w:tcW w:w="780" w:type="dxa"/>
            <w:vAlign w:val="bottom"/>
          </w:tcPr>
          <w:p>
            <w:pPr>
              <w:spacing w:after="0"/>
              <w:rPr>
                <w:sz w:val="10"/>
                <w:szCs w:val="10"/>
                <w:color w:val="auto"/>
              </w:rPr>
            </w:pPr>
          </w:p>
        </w:tc>
        <w:tc>
          <w:tcPr>
            <w:tcW w:w="1860" w:type="dxa"/>
            <w:vAlign w:val="bottom"/>
            <w:tcBorders>
              <w:top w:val="single" w:sz="8" w:color="auto"/>
            </w:tcBorders>
          </w:tcPr>
          <w:p>
            <w:pPr>
              <w:jc w:val="right"/>
              <w:ind w:right="153"/>
              <w:spacing w:after="0" w:line="123" w:lineRule="exact"/>
              <w:rPr>
                <w:sz w:val="20"/>
                <w:szCs w:val="20"/>
                <w:color w:val="auto"/>
              </w:rPr>
            </w:pPr>
            <w:r>
              <w:rPr>
                <w:rFonts w:ascii="Arial" w:cs="Arial" w:eastAsia="Arial" w:hAnsi="Arial"/>
                <w:sz w:val="13"/>
                <w:szCs w:val="13"/>
                <w:color w:val="auto"/>
              </w:rPr>
              <w:t>Shell</w:t>
            </w:r>
          </w:p>
        </w:tc>
      </w:tr>
      <w:tr>
        <w:trPr>
          <w:trHeight w:val="141"/>
        </w:trPr>
        <w:tc>
          <w:tcPr>
            <w:tcW w:w="4780" w:type="dxa"/>
            <w:vAlign w:val="bottom"/>
            <w:tcBorders>
              <w:bottom w:val="single" w:sz="8" w:color="auto"/>
            </w:tcBorders>
          </w:tcPr>
          <w:p>
            <w:pPr>
              <w:spacing w:after="0"/>
              <w:rPr>
                <w:sz w:val="12"/>
                <w:szCs w:val="12"/>
                <w:color w:val="auto"/>
              </w:rPr>
            </w:pPr>
          </w:p>
        </w:tc>
        <w:tc>
          <w:tcPr>
            <w:tcW w:w="1500" w:type="dxa"/>
            <w:vAlign w:val="bottom"/>
            <w:tcBorders>
              <w:bottom w:val="single" w:sz="8" w:color="auto"/>
            </w:tcBorders>
            <w:shd w:val="clear" w:color="auto" w:fill="D8D8D8"/>
          </w:tcPr>
          <w:p>
            <w:pPr>
              <w:jc w:val="right"/>
              <w:ind w:right="155"/>
              <w:spacing w:after="0" w:line="141" w:lineRule="exact"/>
              <w:rPr>
                <w:sz w:val="20"/>
                <w:szCs w:val="20"/>
                <w:color w:val="auto"/>
              </w:rPr>
            </w:pPr>
            <w:r>
              <w:rPr>
                <w:rFonts w:ascii="Arial" w:cs="Arial" w:eastAsia="Arial" w:hAnsi="Arial"/>
                <w:sz w:val="13"/>
                <w:szCs w:val="13"/>
                <w:color w:val="auto"/>
              </w:rPr>
              <w:t>subsidiaries</w:t>
            </w:r>
          </w:p>
        </w:tc>
        <w:tc>
          <w:tcPr>
            <w:tcW w:w="780" w:type="dxa"/>
            <w:vAlign w:val="bottom"/>
            <w:tcBorders>
              <w:bottom w:val="single" w:sz="8" w:color="auto"/>
            </w:tcBorders>
          </w:tcPr>
          <w:p>
            <w:pPr>
              <w:spacing w:after="0"/>
              <w:rPr>
                <w:sz w:val="12"/>
                <w:szCs w:val="12"/>
                <w:color w:val="auto"/>
              </w:rPr>
            </w:pPr>
          </w:p>
        </w:tc>
        <w:tc>
          <w:tcPr>
            <w:tcW w:w="2500" w:type="dxa"/>
            <w:vAlign w:val="bottom"/>
            <w:tcBorders>
              <w:bottom w:val="single" w:sz="8" w:color="auto"/>
            </w:tcBorders>
            <w:gridSpan w:val="2"/>
          </w:tcPr>
          <w:p>
            <w:pPr>
              <w:jc w:val="right"/>
              <w:ind w:right="980"/>
              <w:spacing w:after="0" w:line="141" w:lineRule="exact"/>
              <w:rPr>
                <w:sz w:val="20"/>
                <w:szCs w:val="20"/>
                <w:color w:val="auto"/>
              </w:rPr>
            </w:pPr>
            <w:r>
              <w:rPr>
                <w:rFonts w:ascii="Arial" w:cs="Arial" w:eastAsia="Arial" w:hAnsi="Arial"/>
                <w:sz w:val="13"/>
                <w:szCs w:val="13"/>
                <w:color w:val="auto"/>
              </w:rPr>
              <w:t>subsidiaries</w:t>
            </w:r>
          </w:p>
        </w:tc>
        <w:tc>
          <w:tcPr>
            <w:tcW w:w="1860" w:type="dxa"/>
            <w:vAlign w:val="bottom"/>
            <w:tcBorders>
              <w:bottom w:val="single" w:sz="8" w:color="auto"/>
            </w:tcBorders>
          </w:tcPr>
          <w:p>
            <w:pPr>
              <w:jc w:val="right"/>
              <w:ind w:right="153"/>
              <w:spacing w:after="0" w:line="141" w:lineRule="exact"/>
              <w:rPr>
                <w:sz w:val="20"/>
                <w:szCs w:val="20"/>
                <w:color w:val="auto"/>
              </w:rPr>
            </w:pPr>
            <w:r>
              <w:rPr>
                <w:rFonts w:ascii="Arial" w:cs="Arial" w:eastAsia="Arial" w:hAnsi="Arial"/>
                <w:sz w:val="13"/>
                <w:szCs w:val="13"/>
                <w:color w:val="auto"/>
              </w:rPr>
              <w:t>subsidiaries</w:t>
            </w:r>
          </w:p>
        </w:tc>
      </w:tr>
      <w:tr>
        <w:trPr>
          <w:trHeight w:val="156"/>
        </w:trPr>
        <w:tc>
          <w:tcPr>
            <w:tcW w:w="4780" w:type="dxa"/>
            <w:vAlign w:val="bottom"/>
            <w:tcBorders>
              <w:bottom w:val="single" w:sz="8" w:color="auto"/>
            </w:tcBorders>
          </w:tcPr>
          <w:p>
            <w:pPr>
              <w:spacing w:after="0" w:line="155" w:lineRule="exact"/>
              <w:rPr>
                <w:sz w:val="20"/>
                <w:szCs w:val="20"/>
                <w:color w:val="auto"/>
              </w:rPr>
            </w:pPr>
            <w:r>
              <w:rPr>
                <w:rFonts w:ascii="Arial" w:cs="Arial" w:eastAsia="Arial" w:hAnsi="Arial"/>
                <w:sz w:val="14"/>
                <w:szCs w:val="14"/>
                <w:color w:val="auto"/>
              </w:rPr>
              <w:t>North America – Canada</w:t>
            </w:r>
          </w:p>
        </w:tc>
        <w:tc>
          <w:tcPr>
            <w:tcW w:w="1500" w:type="dxa"/>
            <w:vAlign w:val="bottom"/>
            <w:tcBorders>
              <w:bottom w:val="single" w:sz="8" w:color="auto"/>
            </w:tcBorders>
            <w:shd w:val="clear" w:color="auto" w:fill="D8D8D8"/>
          </w:tcPr>
          <w:p>
            <w:pPr>
              <w:jc w:val="right"/>
              <w:ind w:right="155"/>
              <w:spacing w:after="0" w:line="155" w:lineRule="exact"/>
              <w:rPr>
                <w:sz w:val="20"/>
                <w:szCs w:val="20"/>
                <w:color w:val="auto"/>
              </w:rPr>
            </w:pPr>
            <w:r>
              <w:rPr>
                <w:rFonts w:ascii="Arial" w:cs="Arial" w:eastAsia="Arial" w:hAnsi="Arial"/>
                <w:sz w:val="14"/>
                <w:szCs w:val="14"/>
                <w:color w:val="auto"/>
              </w:rPr>
              <w:t>70.19</w:t>
            </w:r>
          </w:p>
        </w:tc>
        <w:tc>
          <w:tcPr>
            <w:tcW w:w="2500" w:type="dxa"/>
            <w:vAlign w:val="bottom"/>
            <w:tcBorders>
              <w:bottom w:val="single" w:sz="8" w:color="auto"/>
            </w:tcBorders>
            <w:gridSpan w:val="2"/>
          </w:tcPr>
          <w:p>
            <w:pPr>
              <w:jc w:val="right"/>
              <w:ind w:right="137"/>
              <w:spacing w:after="0" w:line="155" w:lineRule="exact"/>
              <w:rPr>
                <w:sz w:val="20"/>
                <w:szCs w:val="20"/>
                <w:color w:val="auto"/>
              </w:rPr>
            </w:pPr>
            <w:r>
              <w:rPr>
                <w:rFonts w:ascii="Arial" w:cs="Arial" w:eastAsia="Arial" w:hAnsi="Arial"/>
                <w:sz w:val="14"/>
                <w:szCs w:val="14"/>
                <w:color w:val="auto"/>
              </w:rPr>
              <w:t>67.40</w:t>
            </w:r>
          </w:p>
        </w:tc>
        <w:tc>
          <w:tcPr>
            <w:tcW w:w="780" w:type="dxa"/>
            <w:vAlign w:val="bottom"/>
            <w:tcBorders>
              <w:bottom w:val="single" w:sz="8" w:color="auto"/>
            </w:tcBorders>
          </w:tcPr>
          <w:p>
            <w:pPr>
              <w:spacing w:after="0"/>
              <w:rPr>
                <w:sz w:val="13"/>
                <w:szCs w:val="13"/>
                <w:color w:val="auto"/>
              </w:rPr>
            </w:pPr>
          </w:p>
        </w:tc>
        <w:tc>
          <w:tcPr>
            <w:tcW w:w="1860" w:type="dxa"/>
            <w:vAlign w:val="bottom"/>
            <w:tcBorders>
              <w:bottom w:val="single" w:sz="8" w:color="auto"/>
            </w:tcBorders>
          </w:tcPr>
          <w:p>
            <w:pPr>
              <w:jc w:val="right"/>
              <w:ind w:right="153"/>
              <w:spacing w:after="0" w:line="155" w:lineRule="exact"/>
              <w:rPr>
                <w:sz w:val="20"/>
                <w:szCs w:val="20"/>
                <w:color w:val="auto"/>
              </w:rPr>
            </w:pPr>
            <w:r>
              <w:rPr>
                <w:rFonts w:ascii="Arial" w:cs="Arial" w:eastAsia="Arial" w:hAnsi="Arial"/>
                <w:sz w:val="14"/>
                <w:szCs w:val="14"/>
                <w:color w:val="auto"/>
              </w:rPr>
              <w:t>68.97</w:t>
            </w:r>
          </w:p>
        </w:tc>
      </w:tr>
    </w:tbl>
    <w:p>
      <w:pPr>
        <w:sectPr>
          <w:pgSz w:w="11900" w:h="16838" w:orient="portrait"/>
          <w:cols w:equalWidth="0" w:num="1">
            <w:col w:w="11420"/>
          </w:cols>
          <w:pgMar w:left="240" w:top="459" w:right="2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399415</wp:posOffset>
            </wp:positionH>
            <wp:positionV relativeFrom="paragraph">
              <wp:posOffset>300355</wp:posOffset>
            </wp:positionV>
            <wp:extent cx="8890" cy="46291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8890" cy="462915"/>
                    </a:xfrm>
                    <a:prstGeom prst="rect">
                      <a:avLst/>
                    </a:prstGeom>
                    <a:noFill/>
                  </pic:spPr>
                </pic:pic>
              </a:graphicData>
            </a:graphic>
          </wp:anchor>
        </w:drawing>
      </w:r>
    </w:p>
    <w:p>
      <w:pPr>
        <w:spacing w:after="0" w:line="200" w:lineRule="exact"/>
        <w:rPr>
          <w:sz w:val="20"/>
          <w:szCs w:val="20"/>
          <w:color w:val="auto"/>
        </w:rPr>
      </w:pP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565"/>
        </w:trPr>
        <w:tc>
          <w:tcPr>
            <w:tcW w:w="3160" w:type="dxa"/>
            <w:vAlign w:val="bottom"/>
            <w:shd w:val="clear" w:color="auto" w:fill="FF8B00"/>
          </w:tcPr>
          <w:p>
            <w:pPr>
              <w:ind w:left="260"/>
              <w:spacing w:after="0"/>
              <w:rPr>
                <w:sz w:val="20"/>
                <w:szCs w:val="20"/>
                <w:color w:val="auto"/>
              </w:rPr>
            </w:pPr>
            <w:r>
              <w:rPr>
                <w:rFonts w:ascii="Arial" w:cs="Arial" w:eastAsia="Arial" w:hAnsi="Arial"/>
                <w:sz w:val="11"/>
                <w:szCs w:val="11"/>
                <w:b w:val="1"/>
                <w:bCs w:val="1"/>
                <w:color w:val="333333"/>
              </w:rPr>
              <w:t>34</w:t>
            </w:r>
          </w:p>
        </w:tc>
        <w:tc>
          <w:tcPr>
            <w:tcW w:w="1660" w:type="dxa"/>
            <w:vAlign w:val="bottom"/>
            <w:gridSpan w:val="2"/>
            <w:shd w:val="clear" w:color="auto" w:fill="FF8B00"/>
          </w:tcPr>
          <w:p>
            <w:pPr>
              <w:jc w:val="right"/>
              <w:ind w:right="31"/>
              <w:spacing w:after="0"/>
              <w:rPr>
                <w:sz w:val="20"/>
                <w:szCs w:val="20"/>
                <w:color w:val="auto"/>
              </w:rPr>
            </w:pPr>
            <w:r>
              <w:rPr>
                <w:rFonts w:ascii="Arial" w:cs="Arial" w:eastAsia="Arial" w:hAnsi="Arial"/>
                <w:sz w:val="13"/>
                <w:szCs w:val="13"/>
                <w:color w:val="333333"/>
              </w:rPr>
              <w:t>STRATEGIC REPORT</w:t>
            </w:r>
          </w:p>
        </w:tc>
        <w:tc>
          <w:tcPr>
            <w:tcW w:w="680" w:type="dxa"/>
            <w:vAlign w:val="bottom"/>
            <w:shd w:val="clear" w:color="auto" w:fill="FF8B00"/>
          </w:tcPr>
          <w:p>
            <w:pPr>
              <w:spacing w:after="0"/>
              <w:rPr>
                <w:sz w:val="24"/>
                <w:szCs w:val="24"/>
                <w:color w:val="auto"/>
              </w:rPr>
            </w:pPr>
          </w:p>
        </w:tc>
        <w:tc>
          <w:tcPr>
            <w:tcW w:w="7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5"/>
        </w:trPr>
        <w:tc>
          <w:tcPr>
            <w:tcW w:w="3160" w:type="dxa"/>
            <w:vAlign w:val="bottom"/>
            <w:shd w:val="clear" w:color="auto" w:fill="FF8B00"/>
          </w:tcPr>
          <w:p>
            <w:pPr>
              <w:spacing w:after="0"/>
              <w:rPr>
                <w:sz w:val="14"/>
                <w:szCs w:val="14"/>
                <w:color w:val="auto"/>
              </w:rPr>
            </w:pPr>
          </w:p>
        </w:tc>
        <w:tc>
          <w:tcPr>
            <w:tcW w:w="560" w:type="dxa"/>
            <w:vAlign w:val="bottom"/>
            <w:shd w:val="clear" w:color="auto" w:fill="FF8B00"/>
          </w:tcPr>
          <w:p>
            <w:pPr>
              <w:spacing w:after="0"/>
              <w:rPr>
                <w:sz w:val="14"/>
                <w:szCs w:val="14"/>
                <w:color w:val="auto"/>
              </w:rPr>
            </w:pPr>
          </w:p>
        </w:tc>
        <w:tc>
          <w:tcPr>
            <w:tcW w:w="1100" w:type="dxa"/>
            <w:vAlign w:val="bottom"/>
            <w:shd w:val="clear" w:color="auto" w:fill="FF8B00"/>
          </w:tcPr>
          <w:p>
            <w:pPr>
              <w:spacing w:after="0"/>
              <w:rPr>
                <w:sz w:val="14"/>
                <w:szCs w:val="14"/>
                <w:color w:val="auto"/>
              </w:rPr>
            </w:pPr>
          </w:p>
        </w:tc>
        <w:tc>
          <w:tcPr>
            <w:tcW w:w="680" w:type="dxa"/>
            <w:vAlign w:val="bottom"/>
            <w:shd w:val="clear" w:color="auto" w:fill="FF8B00"/>
          </w:tcPr>
          <w:p>
            <w:pPr>
              <w:spacing w:after="0"/>
              <w:rPr>
                <w:sz w:val="14"/>
                <w:szCs w:val="14"/>
                <w:color w:val="auto"/>
              </w:rPr>
            </w:pPr>
          </w:p>
        </w:tc>
        <w:tc>
          <w:tcPr>
            <w:tcW w:w="7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640" w:type="dxa"/>
            <w:vAlign w:val="bottom"/>
            <w:gridSpan w:val="4"/>
            <w:vMerge w:val="restart"/>
          </w:tcPr>
          <w:p>
            <w:pPr>
              <w:ind w:left="220"/>
              <w:spacing w:after="0"/>
              <w:rPr>
                <w:sz w:val="20"/>
                <w:szCs w:val="20"/>
                <w:color w:val="auto"/>
              </w:rPr>
            </w:pPr>
            <w:r>
              <w:rPr>
                <w:rFonts w:ascii="Arial" w:cs="Arial" w:eastAsia="Arial" w:hAnsi="Arial"/>
                <w:sz w:val="11"/>
                <w:szCs w:val="11"/>
                <w:color w:val="auto"/>
                <w:w w:val="97"/>
              </w:rPr>
              <w:t>SHELL ANNUAL REPORT AND FORM 20-F 2014</w:t>
            </w:r>
          </w:p>
        </w:tc>
        <w:tc>
          <w:tcPr>
            <w:tcW w:w="0" w:type="dxa"/>
            <w:vAlign w:val="bottom"/>
          </w:tcPr>
          <w:p>
            <w:pPr>
              <w:spacing w:after="0"/>
              <w:rPr>
                <w:sz w:val="1"/>
                <w:szCs w:val="1"/>
                <w:color w:val="auto"/>
              </w:rPr>
            </w:pPr>
          </w:p>
        </w:tc>
      </w:tr>
      <w:tr>
        <w:trPr>
          <w:trHeight w:val="130"/>
        </w:trPr>
        <w:tc>
          <w:tcPr>
            <w:tcW w:w="3160" w:type="dxa"/>
            <w:vAlign w:val="bottom"/>
            <w:vMerge w:val="restart"/>
          </w:tcPr>
          <w:p>
            <w:pPr>
              <w:spacing w:after="0"/>
              <w:rPr>
                <w:sz w:val="20"/>
                <w:szCs w:val="20"/>
                <w:color w:val="auto"/>
              </w:rPr>
            </w:pPr>
            <w:r>
              <w:rPr>
                <w:rFonts w:ascii="Arial" w:cs="Arial" w:eastAsia="Arial" w:hAnsi="Arial"/>
                <w:sz w:val="24"/>
                <w:szCs w:val="24"/>
                <w:color w:val="auto"/>
              </w:rPr>
              <w:t xml:space="preserve">UPSTREAM </w:t>
            </w:r>
            <w:r>
              <w:rPr>
                <w:rFonts w:ascii="Arial" w:cs="Arial" w:eastAsia="Arial" w:hAnsi="Arial"/>
                <w:sz w:val="24"/>
                <w:szCs w:val="24"/>
                <w:color w:val="666666"/>
              </w:rPr>
              <w:t>CONTINUED</w:t>
            </w:r>
          </w:p>
        </w:tc>
        <w:tc>
          <w:tcPr>
            <w:tcW w:w="560" w:type="dxa"/>
            <w:vAlign w:val="bottom"/>
          </w:tcPr>
          <w:p>
            <w:pPr>
              <w:spacing w:after="0"/>
              <w:rPr>
                <w:sz w:val="11"/>
                <w:szCs w:val="11"/>
                <w:color w:val="auto"/>
              </w:rPr>
            </w:pPr>
          </w:p>
        </w:tc>
        <w:tc>
          <w:tcPr>
            <w:tcW w:w="1100" w:type="dxa"/>
            <w:vAlign w:val="bottom"/>
          </w:tcPr>
          <w:p>
            <w:pPr>
              <w:jc w:val="right"/>
              <w:ind w:right="31"/>
              <w:spacing w:after="0"/>
              <w:rPr>
                <w:sz w:val="20"/>
                <w:szCs w:val="20"/>
                <w:color w:val="auto"/>
              </w:rPr>
            </w:pPr>
            <w:r>
              <w:rPr>
                <w:rFonts w:ascii="Arial" w:cs="Arial" w:eastAsia="Arial" w:hAnsi="Arial"/>
                <w:sz w:val="11"/>
                <w:szCs w:val="11"/>
                <w:color w:val="auto"/>
              </w:rPr>
              <w:t>UPSTREAM</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2640" w:type="dxa"/>
            <w:vAlign w:val="bottom"/>
            <w:gridSpan w:val="4"/>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75"/>
        </w:trPr>
        <w:tc>
          <w:tcPr>
            <w:tcW w:w="3160" w:type="dxa"/>
            <w:vAlign w:val="bottom"/>
            <w:tcBorders>
              <w:bottom w:val="single" w:sz="8" w:color="auto"/>
            </w:tcBorders>
            <w:vMerge w:val="continue"/>
          </w:tcPr>
          <w:p>
            <w:pPr>
              <w:spacing w:after="0"/>
              <w:rPr>
                <w:sz w:val="23"/>
                <w:szCs w:val="23"/>
                <w:color w:val="auto"/>
              </w:rPr>
            </w:pPr>
          </w:p>
        </w:tc>
        <w:tc>
          <w:tcPr>
            <w:tcW w:w="56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spacing w:after="0"/>
              <w:rPr>
                <w:sz w:val="23"/>
                <w:szCs w:val="23"/>
                <w:color w:val="auto"/>
              </w:rPr>
            </w:pPr>
          </w:p>
        </w:tc>
        <w:tc>
          <w:tcPr>
            <w:tcW w:w="680" w:type="dxa"/>
            <w:vAlign w:val="bottom"/>
            <w:tcBorders>
              <w:bottom w:val="single" w:sz="8" w:color="auto"/>
            </w:tcBorders>
          </w:tcPr>
          <w:p>
            <w:pPr>
              <w:spacing w:after="0"/>
              <w:rPr>
                <w:sz w:val="23"/>
                <w:szCs w:val="23"/>
                <w:color w:val="auto"/>
              </w:rPr>
            </w:pPr>
          </w:p>
        </w:tc>
        <w:tc>
          <w:tcPr>
            <w:tcW w:w="700" w:type="dxa"/>
            <w:vAlign w:val="bottom"/>
            <w:tcBorders>
              <w:bottom w:val="single" w:sz="8" w:color="auto"/>
            </w:tcBorders>
          </w:tcPr>
          <w:p>
            <w:pPr>
              <w:spacing w:after="0"/>
              <w:rPr>
                <w:sz w:val="23"/>
                <w:szCs w:val="23"/>
                <w:color w:val="auto"/>
              </w:rPr>
            </w:pPr>
          </w:p>
        </w:tc>
        <w:tc>
          <w:tcPr>
            <w:tcW w:w="46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spacing w:after="0"/>
              <w:rPr>
                <w:sz w:val="23"/>
                <w:szCs w:val="23"/>
                <w:color w:val="auto"/>
              </w:rPr>
            </w:pPr>
          </w:p>
        </w:tc>
        <w:tc>
          <w:tcPr>
            <w:tcW w:w="46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99"/>
        </w:trPr>
        <w:tc>
          <w:tcPr>
            <w:tcW w:w="6200" w:type="dxa"/>
            <w:vAlign w:val="bottom"/>
            <w:gridSpan w:val="5"/>
          </w:tcPr>
          <w:p>
            <w:pPr>
              <w:spacing w:after="0"/>
              <w:rPr>
                <w:sz w:val="20"/>
                <w:szCs w:val="20"/>
                <w:color w:val="auto"/>
              </w:rPr>
            </w:pPr>
            <w:r>
              <w:rPr>
                <w:rFonts w:ascii="Arial" w:cs="Arial" w:eastAsia="Arial" w:hAnsi="Arial"/>
                <w:sz w:val="18"/>
                <w:szCs w:val="18"/>
                <w:color w:val="auto"/>
              </w:rPr>
              <w:t>AVERAGE PRODUCTION COST BY GEOGRAPHICAL AREA</w:t>
            </w:r>
          </w:p>
        </w:tc>
        <w:tc>
          <w:tcPr>
            <w:tcW w:w="4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3720" w:type="dxa"/>
            <w:vAlign w:val="bottom"/>
            <w:gridSpan w:val="2"/>
          </w:tcPr>
          <w:p>
            <w:pPr>
              <w:spacing w:after="0"/>
              <w:rPr>
                <w:sz w:val="17"/>
                <w:szCs w:val="17"/>
                <w:color w:val="auto"/>
              </w:rPr>
            </w:pPr>
          </w:p>
        </w:tc>
        <w:tc>
          <w:tcPr>
            <w:tcW w:w="1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4820" w:type="dxa"/>
            <w:vAlign w:val="bottom"/>
            <w:gridSpan w:val="3"/>
            <w:shd w:val="clear" w:color="auto" w:fill="333333"/>
          </w:tcPr>
          <w:p>
            <w:pPr>
              <w:jc w:val="right"/>
              <w:ind w:right="831"/>
              <w:spacing w:after="0" w:line="162" w:lineRule="exact"/>
              <w:rPr>
                <w:sz w:val="20"/>
                <w:szCs w:val="20"/>
                <w:color w:val="auto"/>
              </w:rPr>
            </w:pPr>
            <w:r>
              <w:rPr>
                <w:rFonts w:ascii="Arial" w:cs="Arial" w:eastAsia="Arial" w:hAnsi="Arial"/>
                <w:sz w:val="15"/>
                <w:szCs w:val="15"/>
                <w:b w:val="1"/>
                <w:bCs w:val="1"/>
                <w:color w:val="FFFFFF"/>
              </w:rPr>
              <w:t xml:space="preserve">OIL, NATURAL GAS LIQUIDS AND NATURAL GAS </w:t>
            </w:r>
            <w:r>
              <w:rPr>
                <w:rFonts w:ascii="Arial" w:cs="Arial" w:eastAsia="Arial" w:hAnsi="Arial"/>
                <w:sz w:val="15"/>
                <w:szCs w:val="15"/>
                <w:color w:val="FFFFFF"/>
              </w:rPr>
              <w:t>[A]</w:t>
            </w:r>
          </w:p>
        </w:tc>
        <w:tc>
          <w:tcPr>
            <w:tcW w:w="680" w:type="dxa"/>
            <w:vAlign w:val="bottom"/>
            <w:shd w:val="clear" w:color="auto" w:fill="333333"/>
          </w:tcPr>
          <w:p>
            <w:pPr>
              <w:spacing w:after="0"/>
              <w:rPr>
                <w:sz w:val="14"/>
                <w:szCs w:val="14"/>
                <w:color w:val="auto"/>
              </w:rPr>
            </w:pPr>
          </w:p>
        </w:tc>
        <w:tc>
          <w:tcPr>
            <w:tcW w:w="700" w:type="dxa"/>
            <w:vAlign w:val="bottom"/>
            <w:shd w:val="clear" w:color="auto" w:fill="333333"/>
          </w:tcPr>
          <w:p>
            <w:pPr>
              <w:spacing w:after="0"/>
              <w:rPr>
                <w:sz w:val="14"/>
                <w:szCs w:val="14"/>
                <w:color w:val="auto"/>
              </w:rPr>
            </w:pPr>
          </w:p>
        </w:tc>
        <w:tc>
          <w:tcPr>
            <w:tcW w:w="460" w:type="dxa"/>
            <w:vAlign w:val="bottom"/>
            <w:shd w:val="clear" w:color="auto" w:fill="333333"/>
          </w:tcPr>
          <w:p>
            <w:pPr>
              <w:spacing w:after="0"/>
              <w:rPr>
                <w:sz w:val="14"/>
                <w:szCs w:val="14"/>
                <w:color w:val="auto"/>
              </w:rPr>
            </w:pPr>
          </w:p>
        </w:tc>
        <w:tc>
          <w:tcPr>
            <w:tcW w:w="1000" w:type="dxa"/>
            <w:vAlign w:val="bottom"/>
            <w:shd w:val="clear" w:color="auto" w:fill="333333"/>
          </w:tcPr>
          <w:p>
            <w:pPr>
              <w:spacing w:after="0"/>
              <w:rPr>
                <w:sz w:val="14"/>
                <w:szCs w:val="14"/>
                <w:color w:val="auto"/>
              </w:rPr>
            </w:pPr>
          </w:p>
        </w:tc>
        <w:tc>
          <w:tcPr>
            <w:tcW w:w="1140" w:type="dxa"/>
            <w:vAlign w:val="bottom"/>
            <w:shd w:val="clear" w:color="auto" w:fill="333333"/>
          </w:tcPr>
          <w:p>
            <w:pPr>
              <w:spacing w:after="0"/>
              <w:rPr>
                <w:sz w:val="14"/>
                <w:szCs w:val="14"/>
                <w:color w:val="auto"/>
              </w:rPr>
            </w:pPr>
          </w:p>
        </w:tc>
        <w:tc>
          <w:tcPr>
            <w:tcW w:w="460" w:type="dxa"/>
            <w:vAlign w:val="bottom"/>
            <w:shd w:val="clear" w:color="auto" w:fill="333333"/>
          </w:tcPr>
          <w:p>
            <w:pPr>
              <w:spacing w:after="0"/>
              <w:rPr>
                <w:sz w:val="14"/>
                <w:szCs w:val="14"/>
                <w:color w:val="auto"/>
              </w:rPr>
            </w:pPr>
          </w:p>
        </w:tc>
        <w:tc>
          <w:tcPr>
            <w:tcW w:w="1000" w:type="dxa"/>
            <w:vAlign w:val="bottom"/>
            <w:shd w:val="clear" w:color="auto" w:fill="333333"/>
          </w:tcPr>
          <w:p>
            <w:pPr>
              <w:spacing w:after="0"/>
              <w:rPr>
                <w:sz w:val="14"/>
                <w:szCs w:val="14"/>
                <w:color w:val="auto"/>
              </w:rPr>
            </w:pPr>
          </w:p>
        </w:tc>
        <w:tc>
          <w:tcPr>
            <w:tcW w:w="1160" w:type="dxa"/>
            <w:vAlign w:val="bottom"/>
            <w:shd w:val="clear" w:color="auto" w:fill="333333"/>
          </w:tcPr>
          <w:p>
            <w:pPr>
              <w:jc w:val="right"/>
              <w:ind w:right="150"/>
              <w:spacing w:after="0" w:line="162" w:lineRule="exact"/>
              <w:rPr>
                <w:sz w:val="20"/>
                <w:szCs w:val="20"/>
                <w:color w:val="auto"/>
              </w:rPr>
            </w:pPr>
            <w:r>
              <w:rPr>
                <w:rFonts w:ascii="Arial" w:cs="Arial" w:eastAsia="Arial" w:hAnsi="Arial"/>
                <w:sz w:val="15"/>
                <w:szCs w:val="15"/>
                <w:color w:val="FFFFFF"/>
              </w:rPr>
              <w:t>$/BOE</w:t>
            </w: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100" w:type="dxa"/>
            <w:vAlign w:val="bottom"/>
            <w:tcBorders>
              <w:bottom w:val="single" w:sz="8" w:color="auto"/>
            </w:tcBorders>
            <w:shd w:val="clear" w:color="auto" w:fill="D8D8D8"/>
          </w:tcPr>
          <w:p>
            <w:pPr>
              <w:spacing w:after="0"/>
              <w:rPr>
                <w:sz w:val="14"/>
                <w:szCs w:val="14"/>
                <w:color w:val="auto"/>
              </w:rPr>
            </w:pPr>
          </w:p>
        </w:tc>
        <w:tc>
          <w:tcPr>
            <w:tcW w:w="1380" w:type="dxa"/>
            <w:vAlign w:val="bottom"/>
            <w:tcBorders>
              <w:bottom w:val="single" w:sz="8" w:color="auto"/>
            </w:tcBorders>
            <w:gridSpan w:val="2"/>
            <w:shd w:val="clear" w:color="auto" w:fill="D8D8D8"/>
          </w:tcPr>
          <w:p>
            <w:pPr>
              <w:jc w:val="right"/>
              <w:ind w:right="408"/>
              <w:spacing w:after="0"/>
              <w:rPr>
                <w:sz w:val="20"/>
                <w:szCs w:val="20"/>
                <w:color w:val="auto"/>
              </w:rPr>
            </w:pPr>
            <w:r>
              <w:rPr>
                <w:rFonts w:ascii="Arial" w:cs="Arial" w:eastAsia="Arial" w:hAnsi="Arial"/>
                <w:sz w:val="13"/>
                <w:szCs w:val="13"/>
                <w:color w:val="auto"/>
              </w:rPr>
              <w:t>2014</w:t>
            </w:r>
          </w:p>
        </w:tc>
        <w:tc>
          <w:tcPr>
            <w:tcW w:w="460" w:type="dxa"/>
            <w:vAlign w:val="bottom"/>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151"/>
              <w:spacing w:after="0"/>
              <w:rPr>
                <w:sz w:val="20"/>
                <w:szCs w:val="20"/>
                <w:color w:val="auto"/>
              </w:rPr>
            </w:pPr>
            <w:r>
              <w:rPr>
                <w:rFonts w:ascii="Arial" w:cs="Arial" w:eastAsia="Arial" w:hAnsi="Arial"/>
                <w:sz w:val="13"/>
                <w:szCs w:val="13"/>
                <w:color w:val="auto"/>
              </w:rPr>
              <w:t>2013</w:t>
            </w:r>
          </w:p>
        </w:tc>
        <w:tc>
          <w:tcPr>
            <w:tcW w:w="460" w:type="dxa"/>
            <w:vAlign w:val="bottom"/>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150"/>
              <w:spacing w:after="0"/>
              <w:rPr>
                <w:sz w:val="20"/>
                <w:szCs w:val="20"/>
                <w:color w:val="auto"/>
              </w:rPr>
            </w:pPr>
            <w:r>
              <w:rPr>
                <w:rFonts w:ascii="Arial" w:cs="Arial" w:eastAsia="Arial" w:hAnsi="Arial"/>
                <w:sz w:val="13"/>
                <w:szCs w:val="13"/>
                <w:color w:val="auto"/>
              </w:rPr>
              <w:t>2012</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31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100" w:type="dxa"/>
            <w:vAlign w:val="bottom"/>
            <w:shd w:val="clear" w:color="auto" w:fill="D8D8D8"/>
          </w:tcPr>
          <w:p>
            <w:pPr>
              <w:spacing w:after="0"/>
              <w:rPr>
                <w:sz w:val="10"/>
                <w:szCs w:val="10"/>
                <w:color w:val="auto"/>
              </w:rPr>
            </w:pPr>
          </w:p>
        </w:tc>
        <w:tc>
          <w:tcPr>
            <w:tcW w:w="1380" w:type="dxa"/>
            <w:vAlign w:val="bottom"/>
            <w:gridSpan w:val="2"/>
            <w:shd w:val="clear" w:color="auto" w:fill="D8D8D8"/>
          </w:tcPr>
          <w:p>
            <w:pPr>
              <w:jc w:val="right"/>
              <w:ind w:right="408"/>
              <w:spacing w:after="0" w:line="123" w:lineRule="exact"/>
              <w:rPr>
                <w:sz w:val="20"/>
                <w:szCs w:val="20"/>
                <w:color w:val="auto"/>
              </w:rPr>
            </w:pPr>
            <w:r>
              <w:rPr>
                <w:rFonts w:ascii="Arial" w:cs="Arial" w:eastAsia="Arial" w:hAnsi="Arial"/>
                <w:sz w:val="13"/>
                <w:szCs w:val="13"/>
                <w:color w:val="auto"/>
              </w:rPr>
              <w:t>Shell share of</w:t>
            </w:r>
          </w:p>
        </w:tc>
        <w:tc>
          <w:tcPr>
            <w:tcW w:w="4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140" w:type="dxa"/>
            <w:vAlign w:val="bottom"/>
          </w:tcPr>
          <w:p>
            <w:pPr>
              <w:jc w:val="right"/>
              <w:ind w:right="151"/>
              <w:spacing w:after="0" w:line="123" w:lineRule="exact"/>
              <w:rPr>
                <w:sz w:val="20"/>
                <w:szCs w:val="20"/>
                <w:color w:val="auto"/>
              </w:rPr>
            </w:pPr>
            <w:r>
              <w:rPr>
                <w:rFonts w:ascii="Arial" w:cs="Arial" w:eastAsia="Arial" w:hAnsi="Arial"/>
                <w:sz w:val="13"/>
                <w:szCs w:val="13"/>
                <w:color w:val="auto"/>
              </w:rPr>
              <w:t>Shell share of</w:t>
            </w:r>
          </w:p>
        </w:tc>
        <w:tc>
          <w:tcPr>
            <w:tcW w:w="4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160" w:type="dxa"/>
            <w:vAlign w:val="bottom"/>
          </w:tcPr>
          <w:p>
            <w:pPr>
              <w:jc w:val="right"/>
              <w:ind w:right="150"/>
              <w:spacing w:after="0" w:line="123" w:lineRule="exact"/>
              <w:rPr>
                <w:sz w:val="20"/>
                <w:szCs w:val="20"/>
                <w:color w:val="auto"/>
              </w:rPr>
            </w:pPr>
            <w:r>
              <w:rPr>
                <w:rFonts w:ascii="Arial" w:cs="Arial" w:eastAsia="Arial" w:hAnsi="Arial"/>
                <w:sz w:val="13"/>
                <w:szCs w:val="13"/>
                <w:color w:val="auto"/>
              </w:rPr>
              <w:t>Shell share of</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3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100" w:type="dxa"/>
            <w:vAlign w:val="bottom"/>
            <w:shd w:val="clear" w:color="auto" w:fill="D8D8D8"/>
          </w:tcPr>
          <w:p>
            <w:pPr>
              <w:jc w:val="right"/>
              <w:ind w:right="211"/>
              <w:spacing w:after="0" w:line="135" w:lineRule="exact"/>
              <w:rPr>
                <w:sz w:val="20"/>
                <w:szCs w:val="20"/>
                <w:color w:val="auto"/>
              </w:rPr>
            </w:pPr>
            <w:r>
              <w:rPr>
                <w:rFonts w:ascii="Arial" w:cs="Arial" w:eastAsia="Arial" w:hAnsi="Arial"/>
                <w:sz w:val="13"/>
                <w:szCs w:val="13"/>
                <w:color w:val="auto"/>
              </w:rPr>
              <w:t>Shell</w:t>
            </w:r>
          </w:p>
        </w:tc>
        <w:tc>
          <w:tcPr>
            <w:tcW w:w="1380" w:type="dxa"/>
            <w:vAlign w:val="bottom"/>
            <w:gridSpan w:val="2"/>
            <w:shd w:val="clear" w:color="auto" w:fill="D8D8D8"/>
          </w:tcPr>
          <w:p>
            <w:pPr>
              <w:jc w:val="right"/>
              <w:ind w:right="408"/>
              <w:spacing w:after="0" w:line="135" w:lineRule="exact"/>
              <w:rPr>
                <w:sz w:val="20"/>
                <w:szCs w:val="20"/>
                <w:color w:val="auto"/>
              </w:rPr>
            </w:pPr>
            <w:r>
              <w:rPr>
                <w:rFonts w:ascii="Arial" w:cs="Arial" w:eastAsia="Arial" w:hAnsi="Arial"/>
                <w:sz w:val="13"/>
                <w:szCs w:val="13"/>
                <w:color w:val="auto"/>
              </w:rPr>
              <w:t>joint ventures</w:t>
            </w:r>
          </w:p>
        </w:tc>
        <w:tc>
          <w:tcPr>
            <w:tcW w:w="460" w:type="dxa"/>
            <w:vAlign w:val="bottom"/>
          </w:tcPr>
          <w:p>
            <w:pPr>
              <w:spacing w:after="0"/>
              <w:rPr>
                <w:sz w:val="11"/>
                <w:szCs w:val="11"/>
                <w:color w:val="auto"/>
              </w:rPr>
            </w:pPr>
          </w:p>
        </w:tc>
        <w:tc>
          <w:tcPr>
            <w:tcW w:w="1000" w:type="dxa"/>
            <w:vAlign w:val="bottom"/>
          </w:tcPr>
          <w:p>
            <w:pPr>
              <w:jc w:val="right"/>
              <w:ind w:right="17"/>
              <w:spacing w:after="0" w:line="135" w:lineRule="exact"/>
              <w:rPr>
                <w:sz w:val="20"/>
                <w:szCs w:val="20"/>
                <w:color w:val="auto"/>
              </w:rPr>
            </w:pPr>
            <w:r>
              <w:rPr>
                <w:rFonts w:ascii="Arial" w:cs="Arial" w:eastAsia="Arial" w:hAnsi="Arial"/>
                <w:sz w:val="13"/>
                <w:szCs w:val="13"/>
                <w:color w:val="auto"/>
              </w:rPr>
              <w:t>Shell</w:t>
            </w:r>
          </w:p>
        </w:tc>
        <w:tc>
          <w:tcPr>
            <w:tcW w:w="1140" w:type="dxa"/>
            <w:vAlign w:val="bottom"/>
          </w:tcPr>
          <w:p>
            <w:pPr>
              <w:jc w:val="right"/>
              <w:ind w:right="151"/>
              <w:spacing w:after="0" w:line="135" w:lineRule="exact"/>
              <w:rPr>
                <w:sz w:val="20"/>
                <w:szCs w:val="20"/>
                <w:color w:val="auto"/>
              </w:rPr>
            </w:pPr>
            <w:r>
              <w:rPr>
                <w:rFonts w:ascii="Arial" w:cs="Arial" w:eastAsia="Arial" w:hAnsi="Arial"/>
                <w:sz w:val="13"/>
                <w:szCs w:val="13"/>
                <w:color w:val="auto"/>
              </w:rPr>
              <w:t>joint ventures</w:t>
            </w:r>
          </w:p>
        </w:tc>
        <w:tc>
          <w:tcPr>
            <w:tcW w:w="460" w:type="dxa"/>
            <w:vAlign w:val="bottom"/>
          </w:tcPr>
          <w:p>
            <w:pPr>
              <w:spacing w:after="0"/>
              <w:rPr>
                <w:sz w:val="11"/>
                <w:szCs w:val="11"/>
                <w:color w:val="auto"/>
              </w:rPr>
            </w:pPr>
          </w:p>
        </w:tc>
        <w:tc>
          <w:tcPr>
            <w:tcW w:w="1000" w:type="dxa"/>
            <w:vAlign w:val="bottom"/>
          </w:tcPr>
          <w:p>
            <w:pPr>
              <w:jc w:val="right"/>
              <w:ind w:right="37"/>
              <w:spacing w:after="0" w:line="135" w:lineRule="exact"/>
              <w:rPr>
                <w:sz w:val="20"/>
                <w:szCs w:val="20"/>
                <w:color w:val="auto"/>
              </w:rPr>
            </w:pPr>
            <w:r>
              <w:rPr>
                <w:rFonts w:ascii="Arial" w:cs="Arial" w:eastAsia="Arial" w:hAnsi="Arial"/>
                <w:sz w:val="13"/>
                <w:szCs w:val="13"/>
                <w:color w:val="auto"/>
              </w:rPr>
              <w:t>Shell</w:t>
            </w:r>
          </w:p>
        </w:tc>
        <w:tc>
          <w:tcPr>
            <w:tcW w:w="118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joint ventures</w:t>
            </w:r>
          </w:p>
        </w:tc>
        <w:tc>
          <w:tcPr>
            <w:tcW w:w="0" w:type="dxa"/>
            <w:vAlign w:val="bottom"/>
          </w:tcPr>
          <w:p>
            <w:pPr>
              <w:spacing w:after="0"/>
              <w:rPr>
                <w:sz w:val="1"/>
                <w:szCs w:val="1"/>
                <w:color w:val="auto"/>
              </w:rPr>
            </w:pPr>
          </w:p>
        </w:tc>
      </w:tr>
      <w:tr>
        <w:trPr>
          <w:trHeight w:val="141"/>
        </w:trPr>
        <w:tc>
          <w:tcPr>
            <w:tcW w:w="3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100" w:type="dxa"/>
            <w:vAlign w:val="bottom"/>
            <w:shd w:val="clear" w:color="auto" w:fill="D8D8D8"/>
          </w:tcPr>
          <w:p>
            <w:pPr>
              <w:jc w:val="right"/>
              <w:ind w:right="211"/>
              <w:spacing w:after="0" w:line="141" w:lineRule="exact"/>
              <w:rPr>
                <w:sz w:val="20"/>
                <w:szCs w:val="20"/>
                <w:color w:val="auto"/>
              </w:rPr>
            </w:pPr>
            <w:r>
              <w:rPr>
                <w:rFonts w:ascii="Arial" w:cs="Arial" w:eastAsia="Arial" w:hAnsi="Arial"/>
                <w:sz w:val="13"/>
                <w:szCs w:val="13"/>
                <w:color w:val="auto"/>
              </w:rPr>
              <w:t>subsidiaries</w:t>
            </w:r>
          </w:p>
        </w:tc>
        <w:tc>
          <w:tcPr>
            <w:tcW w:w="1380" w:type="dxa"/>
            <w:vAlign w:val="bottom"/>
            <w:gridSpan w:val="2"/>
            <w:shd w:val="clear" w:color="auto" w:fill="D8D8D8"/>
          </w:tcPr>
          <w:p>
            <w:pPr>
              <w:jc w:val="right"/>
              <w:ind w:right="408"/>
              <w:spacing w:after="0" w:line="141" w:lineRule="exact"/>
              <w:rPr>
                <w:sz w:val="20"/>
                <w:szCs w:val="20"/>
                <w:color w:val="auto"/>
              </w:rPr>
            </w:pPr>
            <w:r>
              <w:rPr>
                <w:rFonts w:ascii="Arial" w:cs="Arial" w:eastAsia="Arial" w:hAnsi="Arial"/>
                <w:sz w:val="13"/>
                <w:szCs w:val="13"/>
                <w:color w:val="auto"/>
              </w:rPr>
              <w:t>and associates</w:t>
            </w:r>
          </w:p>
        </w:tc>
        <w:tc>
          <w:tcPr>
            <w:tcW w:w="460" w:type="dxa"/>
            <w:vAlign w:val="bottom"/>
          </w:tcPr>
          <w:p>
            <w:pPr>
              <w:spacing w:after="0"/>
              <w:rPr>
                <w:sz w:val="12"/>
                <w:szCs w:val="12"/>
                <w:color w:val="auto"/>
              </w:rPr>
            </w:pPr>
          </w:p>
        </w:tc>
        <w:tc>
          <w:tcPr>
            <w:tcW w:w="1000" w:type="dxa"/>
            <w:vAlign w:val="bottom"/>
          </w:tcPr>
          <w:p>
            <w:pPr>
              <w:jc w:val="right"/>
              <w:ind w:right="17"/>
              <w:spacing w:after="0" w:line="141" w:lineRule="exact"/>
              <w:rPr>
                <w:sz w:val="20"/>
                <w:szCs w:val="20"/>
                <w:color w:val="auto"/>
              </w:rPr>
            </w:pPr>
            <w:r>
              <w:rPr>
                <w:rFonts w:ascii="Arial" w:cs="Arial" w:eastAsia="Arial" w:hAnsi="Arial"/>
                <w:sz w:val="13"/>
                <w:szCs w:val="13"/>
                <w:color w:val="auto"/>
              </w:rPr>
              <w:t>subsidiaries</w:t>
            </w:r>
          </w:p>
        </w:tc>
        <w:tc>
          <w:tcPr>
            <w:tcW w:w="1140" w:type="dxa"/>
            <w:vAlign w:val="bottom"/>
          </w:tcPr>
          <w:p>
            <w:pPr>
              <w:jc w:val="right"/>
              <w:ind w:right="151"/>
              <w:spacing w:after="0" w:line="141" w:lineRule="exact"/>
              <w:rPr>
                <w:sz w:val="20"/>
                <w:szCs w:val="20"/>
                <w:color w:val="auto"/>
              </w:rPr>
            </w:pPr>
            <w:r>
              <w:rPr>
                <w:rFonts w:ascii="Arial" w:cs="Arial" w:eastAsia="Arial" w:hAnsi="Arial"/>
                <w:sz w:val="13"/>
                <w:szCs w:val="13"/>
                <w:color w:val="auto"/>
              </w:rPr>
              <w:t>and associates</w:t>
            </w:r>
          </w:p>
        </w:tc>
        <w:tc>
          <w:tcPr>
            <w:tcW w:w="460" w:type="dxa"/>
            <w:vAlign w:val="bottom"/>
          </w:tcPr>
          <w:p>
            <w:pPr>
              <w:spacing w:after="0"/>
              <w:rPr>
                <w:sz w:val="12"/>
                <w:szCs w:val="12"/>
                <w:color w:val="auto"/>
              </w:rPr>
            </w:pPr>
          </w:p>
        </w:tc>
        <w:tc>
          <w:tcPr>
            <w:tcW w:w="1000" w:type="dxa"/>
            <w:vAlign w:val="bottom"/>
          </w:tcPr>
          <w:p>
            <w:pPr>
              <w:jc w:val="right"/>
              <w:ind w:right="37"/>
              <w:spacing w:after="0" w:line="141" w:lineRule="exact"/>
              <w:rPr>
                <w:sz w:val="20"/>
                <w:szCs w:val="20"/>
                <w:color w:val="auto"/>
              </w:rPr>
            </w:pPr>
            <w:r>
              <w:rPr>
                <w:rFonts w:ascii="Arial" w:cs="Arial" w:eastAsia="Arial" w:hAnsi="Arial"/>
                <w:sz w:val="13"/>
                <w:szCs w:val="13"/>
                <w:color w:val="auto"/>
              </w:rPr>
              <w:t>subsidiaries</w:t>
            </w:r>
          </w:p>
        </w:tc>
        <w:tc>
          <w:tcPr>
            <w:tcW w:w="1180" w:type="dxa"/>
            <w:vAlign w:val="bottom"/>
            <w:gridSpan w:val="2"/>
          </w:tcPr>
          <w:p>
            <w:pPr>
              <w:jc w:val="right"/>
              <w:ind w:right="240"/>
              <w:spacing w:after="0" w:line="141" w:lineRule="exact"/>
              <w:rPr>
                <w:sz w:val="20"/>
                <w:szCs w:val="20"/>
                <w:color w:val="auto"/>
              </w:rPr>
            </w:pPr>
            <w:r>
              <w:rPr>
                <w:rFonts w:ascii="Arial" w:cs="Arial" w:eastAsia="Arial" w:hAnsi="Arial"/>
                <w:sz w:val="13"/>
                <w:szCs w:val="13"/>
                <w:color w:val="auto"/>
              </w:rPr>
              <w:t>and associates</w:t>
            </w:r>
          </w:p>
        </w:tc>
        <w:tc>
          <w:tcPr>
            <w:tcW w:w="0" w:type="dxa"/>
            <w:vAlign w:val="bottom"/>
          </w:tcPr>
          <w:p>
            <w:pPr>
              <w:spacing w:after="0"/>
              <w:rPr>
                <w:sz w:val="1"/>
                <w:szCs w:val="1"/>
                <w:color w:val="auto"/>
              </w:rPr>
            </w:pPr>
          </w:p>
        </w:tc>
      </w:tr>
      <w:tr>
        <w:trPr>
          <w:trHeight w:val="156"/>
        </w:trPr>
        <w:tc>
          <w:tcPr>
            <w:tcW w:w="3160" w:type="dxa"/>
            <w:vAlign w:val="bottom"/>
            <w:tcBorders>
              <w:top w:val="single" w:sz="8" w:color="auto"/>
            </w:tcBorders>
          </w:tcPr>
          <w:p>
            <w:pPr>
              <w:spacing w:after="0" w:line="155" w:lineRule="exact"/>
              <w:rPr>
                <w:sz w:val="20"/>
                <w:szCs w:val="20"/>
                <w:color w:val="auto"/>
              </w:rPr>
            </w:pPr>
            <w:r>
              <w:rPr>
                <w:rFonts w:ascii="Arial" w:cs="Arial" w:eastAsia="Arial" w:hAnsi="Arial"/>
                <w:sz w:val="14"/>
                <w:szCs w:val="14"/>
                <w:color w:val="auto"/>
              </w:rPr>
              <w:t>Europe</w:t>
            </w:r>
          </w:p>
        </w:tc>
        <w:tc>
          <w:tcPr>
            <w:tcW w:w="560" w:type="dxa"/>
            <w:vAlign w:val="bottom"/>
            <w:tcBorders>
              <w:top w:val="single" w:sz="8" w:color="auto"/>
            </w:tcBorders>
          </w:tcPr>
          <w:p>
            <w:pPr>
              <w:spacing w:after="0"/>
              <w:rPr>
                <w:sz w:val="13"/>
                <w:szCs w:val="13"/>
                <w:color w:val="auto"/>
              </w:rPr>
            </w:pPr>
          </w:p>
        </w:tc>
        <w:tc>
          <w:tcPr>
            <w:tcW w:w="1100" w:type="dxa"/>
            <w:vAlign w:val="bottom"/>
            <w:tcBorders>
              <w:top w:val="single" w:sz="8" w:color="auto"/>
            </w:tcBorders>
            <w:shd w:val="clear" w:color="auto" w:fill="D8D8D8"/>
          </w:tcPr>
          <w:p>
            <w:pPr>
              <w:jc w:val="right"/>
              <w:ind w:right="211"/>
              <w:spacing w:after="0" w:line="155" w:lineRule="exact"/>
              <w:rPr>
                <w:sz w:val="20"/>
                <w:szCs w:val="20"/>
                <w:color w:val="auto"/>
              </w:rPr>
            </w:pPr>
            <w:r>
              <w:rPr>
                <w:rFonts w:ascii="Arial" w:cs="Arial" w:eastAsia="Arial" w:hAnsi="Arial"/>
                <w:sz w:val="14"/>
                <w:szCs w:val="14"/>
                <w:color w:val="auto"/>
              </w:rPr>
              <w:t>19.47</w:t>
            </w:r>
          </w:p>
        </w:tc>
        <w:tc>
          <w:tcPr>
            <w:tcW w:w="1380" w:type="dxa"/>
            <w:vAlign w:val="bottom"/>
            <w:tcBorders>
              <w:top w:val="single" w:sz="8" w:color="auto"/>
            </w:tcBorders>
            <w:gridSpan w:val="2"/>
            <w:shd w:val="clear" w:color="auto" w:fill="D8D8D8"/>
          </w:tcPr>
          <w:p>
            <w:pPr>
              <w:jc w:val="right"/>
              <w:ind w:right="408"/>
              <w:spacing w:after="0" w:line="155" w:lineRule="exact"/>
              <w:rPr>
                <w:sz w:val="20"/>
                <w:szCs w:val="20"/>
                <w:color w:val="auto"/>
              </w:rPr>
            </w:pPr>
            <w:r>
              <w:rPr>
                <w:rFonts w:ascii="Arial" w:cs="Arial" w:eastAsia="Arial" w:hAnsi="Arial"/>
                <w:sz w:val="14"/>
                <w:szCs w:val="14"/>
                <w:color w:val="auto"/>
              </w:rPr>
              <w:t>4.25</w:t>
            </w:r>
          </w:p>
        </w:tc>
        <w:tc>
          <w:tcPr>
            <w:tcW w:w="1460" w:type="dxa"/>
            <w:vAlign w:val="bottom"/>
            <w:tcBorders>
              <w:top w:val="single" w:sz="8" w:color="auto"/>
            </w:tcBorders>
            <w:gridSpan w:val="2"/>
          </w:tcPr>
          <w:p>
            <w:pPr>
              <w:jc w:val="right"/>
              <w:ind w:right="17"/>
              <w:spacing w:after="0" w:line="155" w:lineRule="exact"/>
              <w:rPr>
                <w:sz w:val="20"/>
                <w:szCs w:val="20"/>
                <w:color w:val="auto"/>
              </w:rPr>
            </w:pPr>
            <w:r>
              <w:rPr>
                <w:rFonts w:ascii="Arial" w:cs="Arial" w:eastAsia="Arial" w:hAnsi="Arial"/>
                <w:sz w:val="14"/>
                <w:szCs w:val="14"/>
                <w:color w:val="auto"/>
              </w:rPr>
              <w:t>17.66</w:t>
            </w:r>
          </w:p>
        </w:tc>
        <w:tc>
          <w:tcPr>
            <w:tcW w:w="1140" w:type="dxa"/>
            <w:vAlign w:val="bottom"/>
            <w:tcBorders>
              <w:top w:val="single" w:sz="8" w:color="auto"/>
            </w:tcBorders>
          </w:tcPr>
          <w:p>
            <w:pPr>
              <w:jc w:val="right"/>
              <w:ind w:right="151"/>
              <w:spacing w:after="0" w:line="155" w:lineRule="exact"/>
              <w:rPr>
                <w:sz w:val="20"/>
                <w:szCs w:val="20"/>
                <w:color w:val="auto"/>
              </w:rPr>
            </w:pPr>
            <w:r>
              <w:rPr>
                <w:rFonts w:ascii="Arial" w:cs="Arial" w:eastAsia="Arial" w:hAnsi="Arial"/>
                <w:sz w:val="14"/>
                <w:szCs w:val="14"/>
                <w:color w:val="auto"/>
              </w:rPr>
              <w:t>3.57</w:t>
            </w:r>
          </w:p>
        </w:tc>
        <w:tc>
          <w:tcPr>
            <w:tcW w:w="1460" w:type="dxa"/>
            <w:vAlign w:val="bottom"/>
            <w:tcBorders>
              <w:top w:val="single" w:sz="8" w:color="auto"/>
            </w:tcBorders>
            <w:gridSpan w:val="2"/>
          </w:tcPr>
          <w:p>
            <w:pPr>
              <w:jc w:val="right"/>
              <w:ind w:right="37"/>
              <w:spacing w:after="0" w:line="155" w:lineRule="exact"/>
              <w:rPr>
                <w:sz w:val="20"/>
                <w:szCs w:val="20"/>
                <w:color w:val="auto"/>
              </w:rPr>
            </w:pPr>
            <w:r>
              <w:rPr>
                <w:rFonts w:ascii="Arial" w:cs="Arial" w:eastAsia="Arial" w:hAnsi="Arial"/>
                <w:sz w:val="14"/>
                <w:szCs w:val="14"/>
                <w:color w:val="auto"/>
              </w:rPr>
              <w:t>14.50</w:t>
            </w:r>
          </w:p>
        </w:tc>
        <w:tc>
          <w:tcPr>
            <w:tcW w:w="1160" w:type="dxa"/>
            <w:vAlign w:val="bottom"/>
            <w:tcBorders>
              <w:top w:val="single" w:sz="8" w:color="auto"/>
            </w:tcBorders>
          </w:tcPr>
          <w:p>
            <w:pPr>
              <w:jc w:val="right"/>
              <w:ind w:right="150"/>
              <w:spacing w:after="0" w:line="155" w:lineRule="exact"/>
              <w:rPr>
                <w:sz w:val="20"/>
                <w:szCs w:val="20"/>
                <w:color w:val="auto"/>
              </w:rPr>
            </w:pPr>
            <w:r>
              <w:rPr>
                <w:rFonts w:ascii="Arial" w:cs="Arial" w:eastAsia="Arial" w:hAnsi="Arial"/>
                <w:sz w:val="14"/>
                <w:szCs w:val="14"/>
                <w:color w:val="auto"/>
              </w:rPr>
              <w:t>3.56</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160" w:type="dxa"/>
            <w:vAlign w:val="bottom"/>
          </w:tcPr>
          <w:p>
            <w:pPr>
              <w:spacing w:after="0"/>
              <w:rPr>
                <w:sz w:val="20"/>
                <w:szCs w:val="20"/>
                <w:color w:val="auto"/>
              </w:rPr>
            </w:pPr>
            <w:r>
              <w:rPr>
                <w:rFonts w:ascii="Arial" w:cs="Arial" w:eastAsia="Arial" w:hAnsi="Arial"/>
                <w:sz w:val="14"/>
                <w:szCs w:val="14"/>
                <w:color w:val="auto"/>
              </w:rPr>
              <w:t>Asia</w:t>
            </w:r>
          </w:p>
        </w:tc>
        <w:tc>
          <w:tcPr>
            <w:tcW w:w="560" w:type="dxa"/>
            <w:vAlign w:val="bottom"/>
          </w:tcPr>
          <w:p>
            <w:pPr>
              <w:spacing w:after="0"/>
              <w:rPr>
                <w:sz w:val="14"/>
                <w:szCs w:val="14"/>
                <w:color w:val="auto"/>
              </w:rPr>
            </w:pPr>
          </w:p>
        </w:tc>
        <w:tc>
          <w:tcPr>
            <w:tcW w:w="1100" w:type="dxa"/>
            <w:vAlign w:val="bottom"/>
            <w:shd w:val="clear" w:color="auto" w:fill="D8D8D8"/>
          </w:tcPr>
          <w:p>
            <w:pPr>
              <w:jc w:val="right"/>
              <w:ind w:right="211"/>
              <w:spacing w:after="0"/>
              <w:rPr>
                <w:sz w:val="20"/>
                <w:szCs w:val="20"/>
                <w:color w:val="auto"/>
              </w:rPr>
            </w:pPr>
            <w:r>
              <w:rPr>
                <w:rFonts w:ascii="Arial" w:cs="Arial" w:eastAsia="Arial" w:hAnsi="Arial"/>
                <w:sz w:val="14"/>
                <w:szCs w:val="14"/>
                <w:color w:val="auto"/>
              </w:rPr>
              <w:t>7.87</w:t>
            </w:r>
          </w:p>
        </w:tc>
        <w:tc>
          <w:tcPr>
            <w:tcW w:w="1380" w:type="dxa"/>
            <w:vAlign w:val="bottom"/>
            <w:gridSpan w:val="2"/>
            <w:shd w:val="clear" w:color="auto" w:fill="D8D8D8"/>
          </w:tcPr>
          <w:p>
            <w:pPr>
              <w:jc w:val="right"/>
              <w:ind w:right="408"/>
              <w:spacing w:after="0"/>
              <w:rPr>
                <w:sz w:val="20"/>
                <w:szCs w:val="20"/>
                <w:color w:val="auto"/>
              </w:rPr>
            </w:pPr>
            <w:r>
              <w:rPr>
                <w:rFonts w:ascii="Arial" w:cs="Arial" w:eastAsia="Arial" w:hAnsi="Arial"/>
                <w:sz w:val="14"/>
                <w:szCs w:val="14"/>
                <w:color w:val="auto"/>
              </w:rPr>
              <w:t>7.62</w:t>
            </w:r>
          </w:p>
        </w:tc>
        <w:tc>
          <w:tcPr>
            <w:tcW w:w="1460" w:type="dxa"/>
            <w:vAlign w:val="bottom"/>
            <w:gridSpan w:val="2"/>
          </w:tcPr>
          <w:p>
            <w:pPr>
              <w:jc w:val="right"/>
              <w:ind w:right="17"/>
              <w:spacing w:after="0"/>
              <w:rPr>
                <w:sz w:val="20"/>
                <w:szCs w:val="20"/>
                <w:color w:val="auto"/>
              </w:rPr>
            </w:pPr>
            <w:r>
              <w:rPr>
                <w:rFonts w:ascii="Arial" w:cs="Arial" w:eastAsia="Arial" w:hAnsi="Arial"/>
                <w:sz w:val="14"/>
                <w:szCs w:val="14"/>
                <w:color w:val="auto"/>
              </w:rPr>
              <w:t>6.52</w:t>
            </w:r>
          </w:p>
        </w:tc>
        <w:tc>
          <w:tcPr>
            <w:tcW w:w="1140" w:type="dxa"/>
            <w:vAlign w:val="bottom"/>
          </w:tcPr>
          <w:p>
            <w:pPr>
              <w:jc w:val="right"/>
              <w:ind w:right="151"/>
              <w:spacing w:after="0"/>
              <w:rPr>
                <w:sz w:val="20"/>
                <w:szCs w:val="20"/>
                <w:color w:val="auto"/>
              </w:rPr>
            </w:pPr>
            <w:r>
              <w:rPr>
                <w:rFonts w:ascii="Arial" w:cs="Arial" w:eastAsia="Arial" w:hAnsi="Arial"/>
                <w:sz w:val="14"/>
                <w:szCs w:val="14"/>
                <w:color w:val="auto"/>
              </w:rPr>
              <w:t>5.74</w:t>
            </w:r>
          </w:p>
        </w:tc>
        <w:tc>
          <w:tcPr>
            <w:tcW w:w="1460" w:type="dxa"/>
            <w:vAlign w:val="bottom"/>
            <w:gridSpan w:val="2"/>
          </w:tcPr>
          <w:p>
            <w:pPr>
              <w:jc w:val="right"/>
              <w:ind w:right="37"/>
              <w:spacing w:after="0"/>
              <w:rPr>
                <w:sz w:val="20"/>
                <w:szCs w:val="20"/>
                <w:color w:val="auto"/>
              </w:rPr>
            </w:pPr>
            <w:r>
              <w:rPr>
                <w:rFonts w:ascii="Arial" w:cs="Arial" w:eastAsia="Arial" w:hAnsi="Arial"/>
                <w:sz w:val="14"/>
                <w:szCs w:val="14"/>
                <w:color w:val="auto"/>
              </w:rPr>
              <w:t>7.53</w:t>
            </w:r>
          </w:p>
        </w:tc>
        <w:tc>
          <w:tcPr>
            <w:tcW w:w="1160" w:type="dxa"/>
            <w:vAlign w:val="bottom"/>
          </w:tcPr>
          <w:p>
            <w:pPr>
              <w:jc w:val="right"/>
              <w:ind w:right="150"/>
              <w:spacing w:after="0"/>
              <w:rPr>
                <w:sz w:val="20"/>
                <w:szCs w:val="20"/>
                <w:color w:val="auto"/>
              </w:rPr>
            </w:pPr>
            <w:r>
              <w:rPr>
                <w:rFonts w:ascii="Arial" w:cs="Arial" w:eastAsia="Arial" w:hAnsi="Arial"/>
                <w:sz w:val="14"/>
                <w:szCs w:val="14"/>
                <w:color w:val="auto"/>
              </w:rPr>
              <w:t>4.71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160" w:type="dxa"/>
            <w:vAlign w:val="bottom"/>
          </w:tcPr>
          <w:p>
            <w:pPr>
              <w:spacing w:after="0"/>
              <w:rPr>
                <w:sz w:val="20"/>
                <w:szCs w:val="20"/>
                <w:color w:val="auto"/>
              </w:rPr>
            </w:pPr>
            <w:r>
              <w:rPr>
                <w:rFonts w:ascii="Arial" w:cs="Arial" w:eastAsia="Arial" w:hAnsi="Arial"/>
                <w:sz w:val="14"/>
                <w:szCs w:val="14"/>
                <w:color w:val="auto"/>
              </w:rPr>
              <w:t>Oceania</w:t>
            </w:r>
          </w:p>
        </w:tc>
        <w:tc>
          <w:tcPr>
            <w:tcW w:w="560" w:type="dxa"/>
            <w:vAlign w:val="bottom"/>
          </w:tcPr>
          <w:p>
            <w:pPr>
              <w:spacing w:after="0"/>
              <w:rPr>
                <w:sz w:val="14"/>
                <w:szCs w:val="14"/>
                <w:color w:val="auto"/>
              </w:rPr>
            </w:pPr>
          </w:p>
        </w:tc>
        <w:tc>
          <w:tcPr>
            <w:tcW w:w="1100" w:type="dxa"/>
            <w:vAlign w:val="bottom"/>
            <w:shd w:val="clear" w:color="auto" w:fill="D8D8D8"/>
          </w:tcPr>
          <w:p>
            <w:pPr>
              <w:jc w:val="right"/>
              <w:ind w:right="211"/>
              <w:spacing w:after="0"/>
              <w:rPr>
                <w:sz w:val="20"/>
                <w:szCs w:val="20"/>
                <w:color w:val="auto"/>
              </w:rPr>
            </w:pPr>
            <w:r>
              <w:rPr>
                <w:rFonts w:ascii="Arial" w:cs="Arial" w:eastAsia="Arial" w:hAnsi="Arial"/>
                <w:sz w:val="14"/>
                <w:szCs w:val="14"/>
                <w:color w:val="auto"/>
              </w:rPr>
              <w:t>13.62</w:t>
            </w:r>
          </w:p>
        </w:tc>
        <w:tc>
          <w:tcPr>
            <w:tcW w:w="1380" w:type="dxa"/>
            <w:vAlign w:val="bottom"/>
            <w:gridSpan w:val="2"/>
            <w:shd w:val="clear" w:color="auto" w:fill="D8D8D8"/>
          </w:tcPr>
          <w:p>
            <w:pPr>
              <w:jc w:val="right"/>
              <w:ind w:right="228"/>
              <w:spacing w:after="0"/>
              <w:rPr>
                <w:sz w:val="20"/>
                <w:szCs w:val="20"/>
                <w:color w:val="auto"/>
              </w:rPr>
            </w:pPr>
            <w:r>
              <w:rPr>
                <w:rFonts w:ascii="Arial" w:cs="Arial" w:eastAsia="Arial" w:hAnsi="Arial"/>
                <w:sz w:val="14"/>
                <w:szCs w:val="14"/>
                <w:color w:val="auto"/>
              </w:rPr>
              <w:t>14.44[B]</w:t>
            </w:r>
          </w:p>
        </w:tc>
        <w:tc>
          <w:tcPr>
            <w:tcW w:w="1460" w:type="dxa"/>
            <w:vAlign w:val="bottom"/>
            <w:gridSpan w:val="2"/>
          </w:tcPr>
          <w:p>
            <w:pPr>
              <w:jc w:val="right"/>
              <w:ind w:right="17"/>
              <w:spacing w:after="0"/>
              <w:rPr>
                <w:sz w:val="20"/>
                <w:szCs w:val="20"/>
                <w:color w:val="auto"/>
              </w:rPr>
            </w:pPr>
            <w:r>
              <w:rPr>
                <w:rFonts w:ascii="Arial" w:cs="Arial" w:eastAsia="Arial" w:hAnsi="Arial"/>
                <w:sz w:val="14"/>
                <w:szCs w:val="14"/>
                <w:color w:val="auto"/>
              </w:rPr>
              <w:t>11.55</w:t>
            </w:r>
          </w:p>
        </w:tc>
        <w:tc>
          <w:tcPr>
            <w:tcW w:w="1140" w:type="dxa"/>
            <w:vAlign w:val="bottom"/>
          </w:tcPr>
          <w:p>
            <w:pPr>
              <w:jc w:val="right"/>
              <w:spacing w:after="0"/>
              <w:rPr>
                <w:sz w:val="20"/>
                <w:szCs w:val="20"/>
                <w:color w:val="auto"/>
              </w:rPr>
            </w:pPr>
            <w:r>
              <w:rPr>
                <w:rFonts w:ascii="Arial" w:cs="Arial" w:eastAsia="Arial" w:hAnsi="Arial"/>
                <w:sz w:val="14"/>
                <w:szCs w:val="14"/>
                <w:color w:val="auto"/>
              </w:rPr>
              <w:t>13.17[B]</w:t>
            </w:r>
          </w:p>
        </w:tc>
        <w:tc>
          <w:tcPr>
            <w:tcW w:w="1460" w:type="dxa"/>
            <w:vAlign w:val="bottom"/>
            <w:gridSpan w:val="2"/>
          </w:tcPr>
          <w:p>
            <w:pPr>
              <w:jc w:val="right"/>
              <w:ind w:right="37"/>
              <w:spacing w:after="0"/>
              <w:rPr>
                <w:sz w:val="20"/>
                <w:szCs w:val="20"/>
                <w:color w:val="auto"/>
              </w:rPr>
            </w:pPr>
            <w:r>
              <w:rPr>
                <w:rFonts w:ascii="Arial" w:cs="Arial" w:eastAsia="Arial" w:hAnsi="Arial"/>
                <w:sz w:val="14"/>
                <w:szCs w:val="14"/>
                <w:color w:val="auto"/>
              </w:rPr>
              <w:t>9.06</w:t>
            </w:r>
          </w:p>
        </w:tc>
        <w:tc>
          <w:tcPr>
            <w:tcW w:w="1180" w:type="dxa"/>
            <w:vAlign w:val="bottom"/>
            <w:gridSpan w:val="2"/>
          </w:tcPr>
          <w:p>
            <w:pPr>
              <w:ind w:left="580"/>
              <w:spacing w:after="0"/>
              <w:rPr>
                <w:sz w:val="20"/>
                <w:szCs w:val="20"/>
                <w:color w:val="auto"/>
              </w:rPr>
            </w:pPr>
            <w:r>
              <w:rPr>
                <w:rFonts w:ascii="Arial" w:cs="Arial" w:eastAsia="Arial" w:hAnsi="Arial"/>
                <w:sz w:val="14"/>
                <w:szCs w:val="14"/>
                <w:color w:val="auto"/>
              </w:rPr>
              <w:t>16.97[B]</w:t>
            </w:r>
          </w:p>
        </w:tc>
        <w:tc>
          <w:tcPr>
            <w:tcW w:w="0" w:type="dxa"/>
            <w:vAlign w:val="bottom"/>
          </w:tcPr>
          <w:p>
            <w:pPr>
              <w:spacing w:after="0"/>
              <w:rPr>
                <w:sz w:val="1"/>
                <w:szCs w:val="1"/>
                <w:color w:val="auto"/>
              </w:rPr>
            </w:pPr>
          </w:p>
        </w:tc>
      </w:tr>
      <w:tr>
        <w:trPr>
          <w:trHeight w:val="162"/>
        </w:trPr>
        <w:tc>
          <w:tcPr>
            <w:tcW w:w="3160" w:type="dxa"/>
            <w:vAlign w:val="bottom"/>
          </w:tcPr>
          <w:p>
            <w:pPr>
              <w:spacing w:after="0"/>
              <w:rPr>
                <w:sz w:val="20"/>
                <w:szCs w:val="20"/>
                <w:color w:val="auto"/>
              </w:rPr>
            </w:pPr>
            <w:r>
              <w:rPr>
                <w:rFonts w:ascii="Arial" w:cs="Arial" w:eastAsia="Arial" w:hAnsi="Arial"/>
                <w:sz w:val="14"/>
                <w:szCs w:val="14"/>
                <w:color w:val="auto"/>
              </w:rPr>
              <w:t>Africa</w:t>
            </w:r>
          </w:p>
        </w:tc>
        <w:tc>
          <w:tcPr>
            <w:tcW w:w="560" w:type="dxa"/>
            <w:vAlign w:val="bottom"/>
          </w:tcPr>
          <w:p>
            <w:pPr>
              <w:spacing w:after="0"/>
              <w:rPr>
                <w:sz w:val="14"/>
                <w:szCs w:val="14"/>
                <w:color w:val="auto"/>
              </w:rPr>
            </w:pPr>
          </w:p>
        </w:tc>
        <w:tc>
          <w:tcPr>
            <w:tcW w:w="1100" w:type="dxa"/>
            <w:vAlign w:val="bottom"/>
            <w:shd w:val="clear" w:color="auto" w:fill="D8D8D8"/>
          </w:tcPr>
          <w:p>
            <w:pPr>
              <w:jc w:val="right"/>
              <w:ind w:right="211"/>
              <w:spacing w:after="0"/>
              <w:rPr>
                <w:sz w:val="20"/>
                <w:szCs w:val="20"/>
                <w:color w:val="auto"/>
              </w:rPr>
            </w:pPr>
            <w:r>
              <w:rPr>
                <w:rFonts w:ascii="Arial" w:cs="Arial" w:eastAsia="Arial" w:hAnsi="Arial"/>
                <w:sz w:val="14"/>
                <w:szCs w:val="14"/>
                <w:color w:val="auto"/>
              </w:rPr>
              <w:t>14.86</w:t>
            </w:r>
          </w:p>
        </w:tc>
        <w:tc>
          <w:tcPr>
            <w:tcW w:w="680" w:type="dxa"/>
            <w:vAlign w:val="bottom"/>
            <w:shd w:val="clear" w:color="auto" w:fill="D8D8D8"/>
          </w:tcPr>
          <w:p>
            <w:pPr>
              <w:spacing w:after="0"/>
              <w:rPr>
                <w:sz w:val="14"/>
                <w:szCs w:val="14"/>
                <w:color w:val="auto"/>
              </w:rPr>
            </w:pPr>
          </w:p>
        </w:tc>
        <w:tc>
          <w:tcPr>
            <w:tcW w:w="700" w:type="dxa"/>
            <w:vAlign w:val="bottom"/>
            <w:shd w:val="clear" w:color="auto" w:fill="D8D8D8"/>
          </w:tcPr>
          <w:p>
            <w:pPr>
              <w:jc w:val="right"/>
              <w:ind w:right="408"/>
              <w:spacing w:after="0"/>
              <w:rPr>
                <w:sz w:val="20"/>
                <w:szCs w:val="20"/>
                <w:color w:val="auto"/>
              </w:rPr>
            </w:pPr>
            <w:r>
              <w:rPr>
                <w:rFonts w:ascii="Arial" w:cs="Arial" w:eastAsia="Arial" w:hAnsi="Arial"/>
                <w:sz w:val="14"/>
                <w:szCs w:val="14"/>
                <w:color w:val="auto"/>
              </w:rPr>
              <w:t>–</w:t>
            </w:r>
          </w:p>
        </w:tc>
        <w:tc>
          <w:tcPr>
            <w:tcW w:w="1460" w:type="dxa"/>
            <w:vAlign w:val="bottom"/>
            <w:gridSpan w:val="2"/>
          </w:tcPr>
          <w:p>
            <w:pPr>
              <w:jc w:val="right"/>
              <w:ind w:right="17"/>
              <w:spacing w:after="0"/>
              <w:rPr>
                <w:sz w:val="20"/>
                <w:szCs w:val="20"/>
                <w:color w:val="auto"/>
              </w:rPr>
            </w:pPr>
            <w:r>
              <w:rPr>
                <w:rFonts w:ascii="Arial" w:cs="Arial" w:eastAsia="Arial" w:hAnsi="Arial"/>
                <w:sz w:val="14"/>
                <w:szCs w:val="14"/>
                <w:color w:val="auto"/>
              </w:rPr>
              <w:t>14.43</w:t>
            </w:r>
          </w:p>
        </w:tc>
        <w:tc>
          <w:tcPr>
            <w:tcW w:w="1140" w:type="dxa"/>
            <w:vAlign w:val="bottom"/>
          </w:tcPr>
          <w:p>
            <w:pPr>
              <w:jc w:val="right"/>
              <w:ind w:right="151"/>
              <w:spacing w:after="0"/>
              <w:rPr>
                <w:sz w:val="20"/>
                <w:szCs w:val="20"/>
                <w:color w:val="auto"/>
              </w:rPr>
            </w:pPr>
            <w:r>
              <w:rPr>
                <w:rFonts w:ascii="Arial" w:cs="Arial" w:eastAsia="Arial" w:hAnsi="Arial"/>
                <w:sz w:val="14"/>
                <w:szCs w:val="14"/>
                <w:color w:val="auto"/>
              </w:rPr>
              <w:t>–</w:t>
            </w:r>
          </w:p>
        </w:tc>
        <w:tc>
          <w:tcPr>
            <w:tcW w:w="1460" w:type="dxa"/>
            <w:vAlign w:val="bottom"/>
            <w:gridSpan w:val="2"/>
          </w:tcPr>
          <w:p>
            <w:pPr>
              <w:jc w:val="right"/>
              <w:ind w:right="37"/>
              <w:spacing w:after="0"/>
              <w:rPr>
                <w:sz w:val="20"/>
                <w:szCs w:val="20"/>
                <w:color w:val="auto"/>
              </w:rPr>
            </w:pPr>
            <w:r>
              <w:rPr>
                <w:rFonts w:ascii="Arial" w:cs="Arial" w:eastAsia="Arial" w:hAnsi="Arial"/>
                <w:sz w:val="14"/>
                <w:szCs w:val="14"/>
                <w:color w:val="auto"/>
              </w:rPr>
              <w:t>9.52</w:t>
            </w:r>
          </w:p>
        </w:tc>
        <w:tc>
          <w:tcPr>
            <w:tcW w:w="11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3160" w:type="dxa"/>
            <w:vAlign w:val="bottom"/>
          </w:tcPr>
          <w:p>
            <w:pPr>
              <w:spacing w:after="0"/>
              <w:rPr>
                <w:sz w:val="20"/>
                <w:szCs w:val="20"/>
                <w:color w:val="auto"/>
              </w:rPr>
            </w:pPr>
            <w:r>
              <w:rPr>
                <w:rFonts w:ascii="Arial" w:cs="Arial" w:eastAsia="Arial" w:hAnsi="Arial"/>
                <w:sz w:val="14"/>
                <w:szCs w:val="14"/>
                <w:color w:val="auto"/>
              </w:rPr>
              <w:t>North America – USA</w:t>
            </w:r>
          </w:p>
        </w:tc>
        <w:tc>
          <w:tcPr>
            <w:tcW w:w="560" w:type="dxa"/>
            <w:vAlign w:val="bottom"/>
          </w:tcPr>
          <w:p>
            <w:pPr>
              <w:spacing w:after="0"/>
              <w:rPr>
                <w:sz w:val="14"/>
                <w:szCs w:val="14"/>
                <w:color w:val="auto"/>
              </w:rPr>
            </w:pPr>
          </w:p>
        </w:tc>
        <w:tc>
          <w:tcPr>
            <w:tcW w:w="1100" w:type="dxa"/>
            <w:vAlign w:val="bottom"/>
            <w:shd w:val="clear" w:color="auto" w:fill="D8D8D8"/>
          </w:tcPr>
          <w:p>
            <w:pPr>
              <w:jc w:val="right"/>
              <w:ind w:right="211"/>
              <w:spacing w:after="0"/>
              <w:rPr>
                <w:sz w:val="20"/>
                <w:szCs w:val="20"/>
                <w:color w:val="auto"/>
              </w:rPr>
            </w:pPr>
            <w:r>
              <w:rPr>
                <w:rFonts w:ascii="Arial" w:cs="Arial" w:eastAsia="Arial" w:hAnsi="Arial"/>
                <w:sz w:val="14"/>
                <w:szCs w:val="14"/>
                <w:color w:val="auto"/>
              </w:rPr>
              <w:t>21.35</w:t>
            </w:r>
          </w:p>
        </w:tc>
        <w:tc>
          <w:tcPr>
            <w:tcW w:w="680" w:type="dxa"/>
            <w:vAlign w:val="bottom"/>
            <w:shd w:val="clear" w:color="auto" w:fill="D8D8D8"/>
          </w:tcPr>
          <w:p>
            <w:pPr>
              <w:spacing w:after="0"/>
              <w:rPr>
                <w:sz w:val="14"/>
                <w:szCs w:val="14"/>
                <w:color w:val="auto"/>
              </w:rPr>
            </w:pPr>
          </w:p>
        </w:tc>
        <w:tc>
          <w:tcPr>
            <w:tcW w:w="700" w:type="dxa"/>
            <w:vAlign w:val="bottom"/>
            <w:shd w:val="clear" w:color="auto" w:fill="D8D8D8"/>
          </w:tcPr>
          <w:p>
            <w:pPr>
              <w:jc w:val="right"/>
              <w:ind w:right="408"/>
              <w:spacing w:after="0"/>
              <w:rPr>
                <w:sz w:val="20"/>
                <w:szCs w:val="20"/>
                <w:color w:val="auto"/>
              </w:rPr>
            </w:pPr>
            <w:r>
              <w:rPr>
                <w:rFonts w:ascii="Arial" w:cs="Arial" w:eastAsia="Arial" w:hAnsi="Arial"/>
                <w:sz w:val="14"/>
                <w:szCs w:val="14"/>
                <w:color w:val="auto"/>
              </w:rPr>
              <w:t>–</w:t>
            </w:r>
          </w:p>
        </w:tc>
        <w:tc>
          <w:tcPr>
            <w:tcW w:w="1460" w:type="dxa"/>
            <w:vAlign w:val="bottom"/>
            <w:gridSpan w:val="2"/>
          </w:tcPr>
          <w:p>
            <w:pPr>
              <w:jc w:val="right"/>
              <w:ind w:right="17"/>
              <w:spacing w:after="0"/>
              <w:rPr>
                <w:sz w:val="20"/>
                <w:szCs w:val="20"/>
                <w:color w:val="auto"/>
              </w:rPr>
            </w:pPr>
            <w:r>
              <w:rPr>
                <w:rFonts w:ascii="Arial" w:cs="Arial" w:eastAsia="Arial" w:hAnsi="Arial"/>
                <w:sz w:val="14"/>
                <w:szCs w:val="14"/>
                <w:color w:val="auto"/>
              </w:rPr>
              <w:t>21.57</w:t>
            </w:r>
          </w:p>
        </w:tc>
        <w:tc>
          <w:tcPr>
            <w:tcW w:w="1140" w:type="dxa"/>
            <w:vAlign w:val="bottom"/>
          </w:tcPr>
          <w:p>
            <w:pPr>
              <w:jc w:val="right"/>
              <w:ind w:right="151"/>
              <w:spacing w:after="0"/>
              <w:rPr>
                <w:sz w:val="20"/>
                <w:szCs w:val="20"/>
                <w:color w:val="auto"/>
              </w:rPr>
            </w:pPr>
            <w:r>
              <w:rPr>
                <w:rFonts w:ascii="Arial" w:cs="Arial" w:eastAsia="Arial" w:hAnsi="Arial"/>
                <w:sz w:val="14"/>
                <w:szCs w:val="14"/>
                <w:color w:val="auto"/>
              </w:rPr>
              <w:t>–</w:t>
            </w:r>
          </w:p>
        </w:tc>
        <w:tc>
          <w:tcPr>
            <w:tcW w:w="1460" w:type="dxa"/>
            <w:vAlign w:val="bottom"/>
            <w:gridSpan w:val="2"/>
          </w:tcPr>
          <w:p>
            <w:pPr>
              <w:jc w:val="right"/>
              <w:ind w:right="37"/>
              <w:spacing w:after="0"/>
              <w:rPr>
                <w:sz w:val="20"/>
                <w:szCs w:val="20"/>
                <w:color w:val="auto"/>
              </w:rPr>
            </w:pPr>
            <w:r>
              <w:rPr>
                <w:rFonts w:ascii="Arial" w:cs="Arial" w:eastAsia="Arial" w:hAnsi="Arial"/>
                <w:sz w:val="14"/>
                <w:szCs w:val="14"/>
                <w:color w:val="auto"/>
              </w:rPr>
              <w:t>20.09</w:t>
            </w:r>
          </w:p>
        </w:tc>
        <w:tc>
          <w:tcPr>
            <w:tcW w:w="1160" w:type="dxa"/>
            <w:vAlign w:val="bottom"/>
          </w:tcPr>
          <w:p>
            <w:pPr>
              <w:jc w:val="right"/>
              <w:ind w:right="150"/>
              <w:spacing w:after="0"/>
              <w:rPr>
                <w:sz w:val="20"/>
                <w:szCs w:val="20"/>
                <w:color w:val="auto"/>
              </w:rPr>
            </w:pPr>
            <w:r>
              <w:rPr>
                <w:rFonts w:ascii="Arial" w:cs="Arial" w:eastAsia="Arial" w:hAnsi="Arial"/>
                <w:sz w:val="14"/>
                <w:szCs w:val="14"/>
                <w:color w:val="auto"/>
              </w:rPr>
              <w:t>18.24</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160" w:type="dxa"/>
            <w:vAlign w:val="bottom"/>
          </w:tcPr>
          <w:p>
            <w:pPr>
              <w:spacing w:after="0"/>
              <w:rPr>
                <w:sz w:val="20"/>
                <w:szCs w:val="20"/>
                <w:color w:val="auto"/>
              </w:rPr>
            </w:pPr>
            <w:r>
              <w:rPr>
                <w:rFonts w:ascii="Arial" w:cs="Arial" w:eastAsia="Arial" w:hAnsi="Arial"/>
                <w:sz w:val="14"/>
                <w:szCs w:val="14"/>
                <w:color w:val="auto"/>
              </w:rPr>
              <w:t>North America – Canada</w:t>
            </w:r>
          </w:p>
        </w:tc>
        <w:tc>
          <w:tcPr>
            <w:tcW w:w="560" w:type="dxa"/>
            <w:vAlign w:val="bottom"/>
          </w:tcPr>
          <w:p>
            <w:pPr>
              <w:spacing w:after="0"/>
              <w:rPr>
                <w:sz w:val="14"/>
                <w:szCs w:val="14"/>
                <w:color w:val="auto"/>
              </w:rPr>
            </w:pPr>
          </w:p>
        </w:tc>
        <w:tc>
          <w:tcPr>
            <w:tcW w:w="1100" w:type="dxa"/>
            <w:vAlign w:val="bottom"/>
            <w:shd w:val="clear" w:color="auto" w:fill="D8D8D8"/>
          </w:tcPr>
          <w:p>
            <w:pPr>
              <w:jc w:val="right"/>
              <w:ind w:right="211"/>
              <w:spacing w:after="0"/>
              <w:rPr>
                <w:sz w:val="20"/>
                <w:szCs w:val="20"/>
                <w:color w:val="auto"/>
              </w:rPr>
            </w:pPr>
            <w:r>
              <w:rPr>
                <w:rFonts w:ascii="Arial" w:cs="Arial" w:eastAsia="Arial" w:hAnsi="Arial"/>
                <w:sz w:val="14"/>
                <w:szCs w:val="14"/>
                <w:color w:val="auto"/>
              </w:rPr>
              <w:t>22.96</w:t>
            </w:r>
          </w:p>
        </w:tc>
        <w:tc>
          <w:tcPr>
            <w:tcW w:w="680" w:type="dxa"/>
            <w:vAlign w:val="bottom"/>
            <w:shd w:val="clear" w:color="auto" w:fill="D8D8D8"/>
          </w:tcPr>
          <w:p>
            <w:pPr>
              <w:spacing w:after="0"/>
              <w:rPr>
                <w:sz w:val="14"/>
                <w:szCs w:val="14"/>
                <w:color w:val="auto"/>
              </w:rPr>
            </w:pPr>
          </w:p>
        </w:tc>
        <w:tc>
          <w:tcPr>
            <w:tcW w:w="700" w:type="dxa"/>
            <w:vAlign w:val="bottom"/>
            <w:shd w:val="clear" w:color="auto" w:fill="D8D8D8"/>
          </w:tcPr>
          <w:p>
            <w:pPr>
              <w:jc w:val="right"/>
              <w:ind w:right="408"/>
              <w:spacing w:after="0"/>
              <w:rPr>
                <w:sz w:val="20"/>
                <w:szCs w:val="20"/>
                <w:color w:val="auto"/>
              </w:rPr>
            </w:pPr>
            <w:r>
              <w:rPr>
                <w:rFonts w:ascii="Arial" w:cs="Arial" w:eastAsia="Arial" w:hAnsi="Arial"/>
                <w:sz w:val="14"/>
                <w:szCs w:val="14"/>
                <w:color w:val="auto"/>
              </w:rPr>
              <w:t>–</w:t>
            </w:r>
          </w:p>
        </w:tc>
        <w:tc>
          <w:tcPr>
            <w:tcW w:w="1460" w:type="dxa"/>
            <w:vAlign w:val="bottom"/>
            <w:gridSpan w:val="2"/>
          </w:tcPr>
          <w:p>
            <w:pPr>
              <w:jc w:val="right"/>
              <w:ind w:right="17"/>
              <w:spacing w:after="0"/>
              <w:rPr>
                <w:sz w:val="20"/>
                <w:szCs w:val="20"/>
                <w:color w:val="auto"/>
              </w:rPr>
            </w:pPr>
            <w:r>
              <w:rPr>
                <w:rFonts w:ascii="Arial" w:cs="Arial" w:eastAsia="Arial" w:hAnsi="Arial"/>
                <w:sz w:val="14"/>
                <w:szCs w:val="14"/>
                <w:color w:val="auto"/>
              </w:rPr>
              <w:t>22.20</w:t>
            </w:r>
          </w:p>
        </w:tc>
        <w:tc>
          <w:tcPr>
            <w:tcW w:w="1140" w:type="dxa"/>
            <w:vAlign w:val="bottom"/>
          </w:tcPr>
          <w:p>
            <w:pPr>
              <w:jc w:val="right"/>
              <w:ind w:right="151"/>
              <w:spacing w:after="0"/>
              <w:rPr>
                <w:sz w:val="20"/>
                <w:szCs w:val="20"/>
                <w:color w:val="auto"/>
              </w:rPr>
            </w:pPr>
            <w:r>
              <w:rPr>
                <w:rFonts w:ascii="Arial" w:cs="Arial" w:eastAsia="Arial" w:hAnsi="Arial"/>
                <w:sz w:val="14"/>
                <w:szCs w:val="14"/>
                <w:color w:val="auto"/>
              </w:rPr>
              <w:t>–</w:t>
            </w:r>
          </w:p>
        </w:tc>
        <w:tc>
          <w:tcPr>
            <w:tcW w:w="1460" w:type="dxa"/>
            <w:vAlign w:val="bottom"/>
            <w:gridSpan w:val="2"/>
          </w:tcPr>
          <w:p>
            <w:pPr>
              <w:jc w:val="right"/>
              <w:ind w:right="37"/>
              <w:spacing w:after="0"/>
              <w:rPr>
                <w:sz w:val="20"/>
                <w:szCs w:val="20"/>
                <w:color w:val="auto"/>
              </w:rPr>
            </w:pPr>
            <w:r>
              <w:rPr>
                <w:rFonts w:ascii="Arial" w:cs="Arial" w:eastAsia="Arial" w:hAnsi="Arial"/>
                <w:sz w:val="14"/>
                <w:szCs w:val="14"/>
                <w:color w:val="auto"/>
              </w:rPr>
              <w:t>19.47</w:t>
            </w:r>
          </w:p>
        </w:tc>
        <w:tc>
          <w:tcPr>
            <w:tcW w:w="11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316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South America</w:t>
            </w:r>
          </w:p>
        </w:tc>
        <w:tc>
          <w:tcPr>
            <w:tcW w:w="56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shd w:val="clear" w:color="auto" w:fill="D8D8D8"/>
          </w:tcPr>
          <w:p>
            <w:pPr>
              <w:jc w:val="right"/>
              <w:ind w:right="211"/>
              <w:spacing w:after="0"/>
              <w:rPr>
                <w:sz w:val="20"/>
                <w:szCs w:val="20"/>
                <w:color w:val="auto"/>
              </w:rPr>
            </w:pPr>
            <w:r>
              <w:rPr>
                <w:rFonts w:ascii="Arial" w:cs="Arial" w:eastAsia="Arial" w:hAnsi="Arial"/>
                <w:sz w:val="14"/>
                <w:szCs w:val="14"/>
                <w:color w:val="auto"/>
              </w:rPr>
              <w:t>25.26</w:t>
            </w:r>
          </w:p>
        </w:tc>
        <w:tc>
          <w:tcPr>
            <w:tcW w:w="680" w:type="dxa"/>
            <w:vAlign w:val="bottom"/>
            <w:tcBorders>
              <w:bottom w:val="single" w:sz="8" w:color="auto"/>
            </w:tcBorders>
            <w:shd w:val="clear" w:color="auto" w:fill="D8D8D8"/>
          </w:tcPr>
          <w:p>
            <w:pPr>
              <w:spacing w:after="0"/>
              <w:rPr>
                <w:sz w:val="14"/>
                <w:szCs w:val="14"/>
                <w:color w:val="auto"/>
              </w:rPr>
            </w:pPr>
          </w:p>
        </w:tc>
        <w:tc>
          <w:tcPr>
            <w:tcW w:w="700" w:type="dxa"/>
            <w:vAlign w:val="bottom"/>
            <w:tcBorders>
              <w:bottom w:val="single" w:sz="8" w:color="auto"/>
            </w:tcBorders>
            <w:shd w:val="clear" w:color="auto" w:fill="D8D8D8"/>
          </w:tcPr>
          <w:p>
            <w:pPr>
              <w:jc w:val="right"/>
              <w:ind w:right="408"/>
              <w:spacing w:after="0"/>
              <w:rPr>
                <w:sz w:val="20"/>
                <w:szCs w:val="20"/>
                <w:color w:val="auto"/>
              </w:rPr>
            </w:pPr>
            <w:r>
              <w:rPr>
                <w:rFonts w:ascii="Arial" w:cs="Arial" w:eastAsia="Arial" w:hAnsi="Arial"/>
                <w:sz w:val="14"/>
                <w:szCs w:val="14"/>
                <w:color w:val="auto"/>
              </w:rPr>
              <w:t>–</w:t>
            </w:r>
          </w:p>
        </w:tc>
        <w:tc>
          <w:tcPr>
            <w:tcW w:w="1460" w:type="dxa"/>
            <w:vAlign w:val="bottom"/>
            <w:tcBorders>
              <w:bottom w:val="single" w:sz="8" w:color="auto"/>
            </w:tcBorders>
            <w:gridSpan w:val="2"/>
          </w:tcPr>
          <w:p>
            <w:pPr>
              <w:jc w:val="right"/>
              <w:ind w:right="17"/>
              <w:spacing w:after="0"/>
              <w:rPr>
                <w:sz w:val="20"/>
                <w:szCs w:val="20"/>
                <w:color w:val="auto"/>
              </w:rPr>
            </w:pPr>
            <w:r>
              <w:rPr>
                <w:rFonts w:ascii="Arial" w:cs="Arial" w:eastAsia="Arial" w:hAnsi="Arial"/>
                <w:sz w:val="14"/>
                <w:szCs w:val="14"/>
                <w:color w:val="auto"/>
              </w:rPr>
              <w:t>37.72</w:t>
            </w:r>
          </w:p>
        </w:tc>
        <w:tc>
          <w:tcPr>
            <w:tcW w:w="1140" w:type="dxa"/>
            <w:vAlign w:val="bottom"/>
            <w:tcBorders>
              <w:bottom w:val="single" w:sz="8" w:color="auto"/>
            </w:tcBorders>
          </w:tcPr>
          <w:p>
            <w:pPr>
              <w:jc w:val="right"/>
              <w:ind w:right="151"/>
              <w:spacing w:after="0"/>
              <w:rPr>
                <w:sz w:val="20"/>
                <w:szCs w:val="20"/>
                <w:color w:val="auto"/>
              </w:rPr>
            </w:pPr>
            <w:r>
              <w:rPr>
                <w:rFonts w:ascii="Arial" w:cs="Arial" w:eastAsia="Arial" w:hAnsi="Arial"/>
                <w:sz w:val="14"/>
                <w:szCs w:val="14"/>
                <w:color w:val="auto"/>
              </w:rPr>
              <w:t>16.96</w:t>
            </w:r>
          </w:p>
        </w:tc>
        <w:tc>
          <w:tcPr>
            <w:tcW w:w="1460" w:type="dxa"/>
            <w:vAlign w:val="bottom"/>
            <w:tcBorders>
              <w:bottom w:val="single" w:sz="8" w:color="auto"/>
            </w:tcBorders>
            <w:gridSpan w:val="2"/>
          </w:tcPr>
          <w:p>
            <w:pPr>
              <w:jc w:val="right"/>
              <w:ind w:right="37"/>
              <w:spacing w:after="0"/>
              <w:rPr>
                <w:sz w:val="20"/>
                <w:szCs w:val="20"/>
                <w:color w:val="auto"/>
              </w:rPr>
            </w:pPr>
            <w:r>
              <w:rPr>
                <w:rFonts w:ascii="Arial" w:cs="Arial" w:eastAsia="Arial" w:hAnsi="Arial"/>
                <w:sz w:val="14"/>
                <w:szCs w:val="14"/>
                <w:color w:val="auto"/>
              </w:rPr>
              <w:t>16.36</w:t>
            </w:r>
          </w:p>
        </w:tc>
        <w:tc>
          <w:tcPr>
            <w:tcW w:w="1160" w:type="dxa"/>
            <w:vAlign w:val="bottom"/>
            <w:tcBorders>
              <w:bottom w:val="single" w:sz="8" w:color="auto"/>
            </w:tcBorders>
          </w:tcPr>
          <w:p>
            <w:pPr>
              <w:jc w:val="right"/>
              <w:ind w:right="150"/>
              <w:spacing w:after="0"/>
              <w:rPr>
                <w:sz w:val="20"/>
                <w:szCs w:val="20"/>
                <w:color w:val="auto"/>
              </w:rPr>
            </w:pPr>
            <w:r>
              <w:rPr>
                <w:rFonts w:ascii="Arial" w:cs="Arial" w:eastAsia="Arial" w:hAnsi="Arial"/>
                <w:sz w:val="14"/>
                <w:szCs w:val="14"/>
                <w:color w:val="auto"/>
              </w:rPr>
              <w:t>11.01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3160" w:type="dxa"/>
            <w:vAlign w:val="bottom"/>
            <w:tcBorders>
              <w:bottom w:val="single" w:sz="8" w:color="auto"/>
            </w:tcBorders>
          </w:tcPr>
          <w:p>
            <w:pPr>
              <w:spacing w:after="0" w:line="155" w:lineRule="exact"/>
              <w:rPr>
                <w:sz w:val="20"/>
                <w:szCs w:val="20"/>
                <w:color w:val="auto"/>
              </w:rPr>
            </w:pPr>
            <w:r>
              <w:rPr>
                <w:rFonts w:ascii="Arial" w:cs="Arial" w:eastAsia="Arial" w:hAnsi="Arial"/>
                <w:sz w:val="14"/>
                <w:szCs w:val="14"/>
                <w:color w:val="auto"/>
              </w:rPr>
              <w:t>Total</w:t>
            </w:r>
          </w:p>
        </w:tc>
        <w:tc>
          <w:tcPr>
            <w:tcW w:w="56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shd w:val="clear" w:color="auto" w:fill="D8D8D8"/>
          </w:tcPr>
          <w:p>
            <w:pPr>
              <w:jc w:val="right"/>
              <w:ind w:right="211"/>
              <w:spacing w:after="0" w:line="155" w:lineRule="exact"/>
              <w:rPr>
                <w:sz w:val="20"/>
                <w:szCs w:val="20"/>
                <w:color w:val="auto"/>
              </w:rPr>
            </w:pPr>
            <w:r>
              <w:rPr>
                <w:rFonts w:ascii="Arial" w:cs="Arial" w:eastAsia="Arial" w:hAnsi="Arial"/>
                <w:sz w:val="14"/>
                <w:szCs w:val="14"/>
                <w:color w:val="auto"/>
              </w:rPr>
              <w:t>15.10</w:t>
            </w:r>
          </w:p>
        </w:tc>
        <w:tc>
          <w:tcPr>
            <w:tcW w:w="1380" w:type="dxa"/>
            <w:vAlign w:val="bottom"/>
            <w:tcBorders>
              <w:bottom w:val="single" w:sz="8" w:color="auto"/>
            </w:tcBorders>
            <w:gridSpan w:val="2"/>
            <w:shd w:val="clear" w:color="auto" w:fill="D8D8D8"/>
          </w:tcPr>
          <w:p>
            <w:pPr>
              <w:jc w:val="right"/>
              <w:ind w:right="408"/>
              <w:spacing w:after="0" w:line="155" w:lineRule="exact"/>
              <w:rPr>
                <w:sz w:val="20"/>
                <w:szCs w:val="20"/>
                <w:color w:val="auto"/>
              </w:rPr>
            </w:pPr>
            <w:r>
              <w:rPr>
                <w:rFonts w:ascii="Arial" w:cs="Arial" w:eastAsia="Arial" w:hAnsi="Arial"/>
                <w:sz w:val="14"/>
                <w:szCs w:val="14"/>
                <w:color w:val="auto"/>
              </w:rPr>
              <w:t>6.68</w:t>
            </w:r>
          </w:p>
        </w:tc>
        <w:tc>
          <w:tcPr>
            <w:tcW w:w="1460" w:type="dxa"/>
            <w:vAlign w:val="bottom"/>
            <w:tcBorders>
              <w:bottom w:val="single" w:sz="8" w:color="auto"/>
            </w:tcBorders>
            <w:gridSpan w:val="2"/>
          </w:tcPr>
          <w:p>
            <w:pPr>
              <w:jc w:val="right"/>
              <w:ind w:right="17"/>
              <w:spacing w:after="0" w:line="155" w:lineRule="exact"/>
              <w:rPr>
                <w:sz w:val="20"/>
                <w:szCs w:val="20"/>
                <w:color w:val="auto"/>
              </w:rPr>
            </w:pPr>
            <w:r>
              <w:rPr>
                <w:rFonts w:ascii="Arial" w:cs="Arial" w:eastAsia="Arial" w:hAnsi="Arial"/>
                <w:sz w:val="14"/>
                <w:szCs w:val="14"/>
                <w:color w:val="auto"/>
              </w:rPr>
              <w:t>14.35</w:t>
            </w:r>
          </w:p>
        </w:tc>
        <w:tc>
          <w:tcPr>
            <w:tcW w:w="1140" w:type="dxa"/>
            <w:vAlign w:val="bottom"/>
            <w:tcBorders>
              <w:bottom w:val="single" w:sz="8" w:color="auto"/>
            </w:tcBorders>
          </w:tcPr>
          <w:p>
            <w:pPr>
              <w:jc w:val="right"/>
              <w:ind w:right="151"/>
              <w:spacing w:after="0" w:line="155" w:lineRule="exact"/>
              <w:rPr>
                <w:sz w:val="20"/>
                <w:szCs w:val="20"/>
                <w:color w:val="auto"/>
              </w:rPr>
            </w:pPr>
            <w:r>
              <w:rPr>
                <w:rFonts w:ascii="Arial" w:cs="Arial" w:eastAsia="Arial" w:hAnsi="Arial"/>
                <w:sz w:val="14"/>
                <w:szCs w:val="14"/>
                <w:color w:val="auto"/>
              </w:rPr>
              <w:t>5.52</w:t>
            </w:r>
          </w:p>
        </w:tc>
        <w:tc>
          <w:tcPr>
            <w:tcW w:w="1460" w:type="dxa"/>
            <w:vAlign w:val="bottom"/>
            <w:tcBorders>
              <w:bottom w:val="single" w:sz="8" w:color="auto"/>
            </w:tcBorders>
            <w:gridSpan w:val="2"/>
          </w:tcPr>
          <w:p>
            <w:pPr>
              <w:jc w:val="right"/>
              <w:ind w:right="37"/>
              <w:spacing w:after="0" w:line="155" w:lineRule="exact"/>
              <w:rPr>
                <w:sz w:val="20"/>
                <w:szCs w:val="20"/>
                <w:color w:val="auto"/>
              </w:rPr>
            </w:pPr>
            <w:r>
              <w:rPr>
                <w:rFonts w:ascii="Arial" w:cs="Arial" w:eastAsia="Arial" w:hAnsi="Arial"/>
                <w:sz w:val="14"/>
                <w:szCs w:val="14"/>
                <w:color w:val="auto"/>
              </w:rPr>
              <w:t>12.47</w:t>
            </w:r>
          </w:p>
        </w:tc>
        <w:tc>
          <w:tcPr>
            <w:tcW w:w="1160" w:type="dxa"/>
            <w:vAlign w:val="bottom"/>
            <w:tcBorders>
              <w:bottom w:val="single" w:sz="8" w:color="auto"/>
            </w:tcBorders>
          </w:tcPr>
          <w:p>
            <w:pPr>
              <w:jc w:val="right"/>
              <w:ind w:right="150"/>
              <w:spacing w:after="0" w:line="155" w:lineRule="exact"/>
              <w:rPr>
                <w:sz w:val="20"/>
                <w:szCs w:val="20"/>
                <w:color w:val="auto"/>
              </w:rPr>
            </w:pPr>
            <w:r>
              <w:rPr>
                <w:rFonts w:ascii="Arial" w:cs="Arial" w:eastAsia="Arial" w:hAnsi="Arial"/>
                <w:sz w:val="14"/>
                <w:szCs w:val="14"/>
                <w:color w:val="auto"/>
              </w:rPr>
              <w:t>6.05</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180" w:hanging="172"/>
        <w:spacing w:after="0"/>
        <w:tabs>
          <w:tab w:leader="none" w:pos="180" w:val="left"/>
        </w:tabs>
        <w:numPr>
          <w:ilvl w:val="0"/>
          <w:numId w:val="34"/>
        </w:numPr>
        <w:rPr>
          <w:rFonts w:ascii="Arial" w:cs="Arial" w:eastAsia="Arial" w:hAnsi="Arial"/>
          <w:sz w:val="11"/>
          <w:szCs w:val="11"/>
          <w:color w:val="auto"/>
        </w:rPr>
      </w:pPr>
      <w:r>
        <w:rPr>
          <w:rFonts w:ascii="Arial" w:cs="Arial" w:eastAsia="Arial" w:hAnsi="Arial"/>
          <w:sz w:val="11"/>
          <w:szCs w:val="11"/>
          <w:color w:val="auto"/>
        </w:rPr>
        <w:t>Natural gas volumes are converted to oil equivalent using a factor of 5,800 scf per barrel.</w:t>
      </w:r>
    </w:p>
    <w:p>
      <w:pPr>
        <w:ind w:right="80" w:firstLine="8"/>
        <w:spacing w:after="0" w:line="238" w:lineRule="auto"/>
        <w:tabs>
          <w:tab w:leader="none" w:pos="162" w:val="left"/>
        </w:tabs>
        <w:numPr>
          <w:ilvl w:val="0"/>
          <w:numId w:val="34"/>
        </w:numPr>
        <w:rPr>
          <w:rFonts w:ascii="Arial" w:cs="Arial" w:eastAsia="Arial" w:hAnsi="Arial"/>
          <w:sz w:val="11"/>
          <w:szCs w:val="11"/>
          <w:color w:val="auto"/>
        </w:rPr>
      </w:pPr>
      <w:r>
        <w:rPr>
          <w:rFonts w:ascii="Arial" w:cs="Arial" w:eastAsia="Arial" w:hAnsi="Arial"/>
          <w:sz w:val="11"/>
          <w:szCs w:val="11"/>
          <w:color w:val="auto"/>
        </w:rPr>
        <w:t>Includes Shell’s 14% share of Woodside as from June 2014 (previously: 23% as from April 2012; 24% before that date), a publicly listed company on the Australian Securities Exchange. We have limited access to data; accordingly, the numbers are estimated.</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5020" w:type="dxa"/>
            <w:vAlign w:val="bottom"/>
            <w:shd w:val="clear" w:color="auto" w:fill="333333"/>
          </w:tcPr>
          <w:p>
            <w:pPr>
              <w:ind w:left="80"/>
              <w:spacing w:after="0"/>
              <w:rPr>
                <w:sz w:val="20"/>
                <w:szCs w:val="20"/>
                <w:color w:val="auto"/>
              </w:rPr>
            </w:pPr>
            <w:r>
              <w:rPr>
                <w:rFonts w:ascii="Arial" w:cs="Arial" w:eastAsia="Arial" w:hAnsi="Arial"/>
                <w:sz w:val="15"/>
                <w:szCs w:val="15"/>
                <w:b w:val="1"/>
                <w:bCs w:val="1"/>
                <w:color w:val="FFFFFF"/>
              </w:rPr>
              <w:t>SYNTHETIC CRUDE OIL</w:t>
            </w:r>
          </w:p>
        </w:tc>
        <w:tc>
          <w:tcPr>
            <w:tcW w:w="1400" w:type="dxa"/>
            <w:vAlign w:val="bottom"/>
            <w:shd w:val="clear" w:color="auto" w:fill="333333"/>
          </w:tcPr>
          <w:p>
            <w:pPr>
              <w:spacing w:after="0"/>
              <w:rPr>
                <w:sz w:val="14"/>
                <w:szCs w:val="14"/>
                <w:color w:val="auto"/>
              </w:rPr>
            </w:pPr>
          </w:p>
        </w:tc>
        <w:tc>
          <w:tcPr>
            <w:tcW w:w="760" w:type="dxa"/>
            <w:vAlign w:val="bottom"/>
            <w:shd w:val="clear" w:color="auto" w:fill="333333"/>
          </w:tcPr>
          <w:p>
            <w:pPr>
              <w:spacing w:after="0"/>
              <w:rPr>
                <w:sz w:val="14"/>
                <w:szCs w:val="14"/>
                <w:color w:val="auto"/>
              </w:rPr>
            </w:pPr>
          </w:p>
        </w:tc>
        <w:tc>
          <w:tcPr>
            <w:tcW w:w="1660" w:type="dxa"/>
            <w:vAlign w:val="bottom"/>
            <w:shd w:val="clear" w:color="auto" w:fill="333333"/>
          </w:tcPr>
          <w:p>
            <w:pPr>
              <w:spacing w:after="0"/>
              <w:rPr>
                <w:sz w:val="14"/>
                <w:szCs w:val="14"/>
                <w:color w:val="auto"/>
              </w:rPr>
            </w:pPr>
          </w:p>
        </w:tc>
        <w:tc>
          <w:tcPr>
            <w:tcW w:w="760" w:type="dxa"/>
            <w:vAlign w:val="bottom"/>
            <w:shd w:val="clear" w:color="auto" w:fill="333333"/>
          </w:tcPr>
          <w:p>
            <w:pPr>
              <w:spacing w:after="0"/>
              <w:rPr>
                <w:sz w:val="14"/>
                <w:szCs w:val="14"/>
                <w:color w:val="auto"/>
              </w:rPr>
            </w:pPr>
          </w:p>
        </w:tc>
        <w:tc>
          <w:tcPr>
            <w:tcW w:w="1820" w:type="dxa"/>
            <w:vAlign w:val="bottom"/>
            <w:shd w:val="clear" w:color="auto" w:fill="333333"/>
          </w:tcPr>
          <w:p>
            <w:pPr>
              <w:jc w:val="right"/>
              <w:ind w:right="153"/>
              <w:spacing w:after="0"/>
              <w:rPr>
                <w:sz w:val="20"/>
                <w:szCs w:val="20"/>
                <w:color w:val="auto"/>
              </w:rPr>
            </w:pPr>
            <w:r>
              <w:rPr>
                <w:rFonts w:ascii="Arial" w:cs="Arial" w:eastAsia="Arial" w:hAnsi="Arial"/>
                <w:sz w:val="15"/>
                <w:szCs w:val="15"/>
                <w:color w:val="FFFFFF"/>
              </w:rPr>
              <w:t>$/BARREL</w:t>
            </w:r>
          </w:p>
        </w:tc>
      </w:tr>
      <w:tr>
        <w:trPr>
          <w:trHeight w:val="135"/>
        </w:trPr>
        <w:tc>
          <w:tcPr>
            <w:tcW w:w="5020" w:type="dxa"/>
            <w:vAlign w:val="bottom"/>
          </w:tcPr>
          <w:p>
            <w:pPr>
              <w:spacing w:after="0"/>
              <w:rPr>
                <w:sz w:val="11"/>
                <w:szCs w:val="11"/>
                <w:color w:val="auto"/>
              </w:rPr>
            </w:pPr>
          </w:p>
        </w:tc>
        <w:tc>
          <w:tcPr>
            <w:tcW w:w="1400" w:type="dxa"/>
            <w:vAlign w:val="bottom"/>
            <w:shd w:val="clear" w:color="auto" w:fill="D8D8D8"/>
          </w:tcPr>
          <w:p>
            <w:pPr>
              <w:jc w:val="right"/>
              <w:ind w:right="155"/>
              <w:spacing w:after="0" w:line="135" w:lineRule="exact"/>
              <w:rPr>
                <w:sz w:val="20"/>
                <w:szCs w:val="20"/>
                <w:color w:val="auto"/>
              </w:rPr>
            </w:pPr>
            <w:r>
              <w:rPr>
                <w:rFonts w:ascii="Arial" w:cs="Arial" w:eastAsia="Arial" w:hAnsi="Arial"/>
                <w:sz w:val="13"/>
                <w:szCs w:val="13"/>
                <w:color w:val="auto"/>
              </w:rPr>
              <w:t>2014</w:t>
            </w:r>
          </w:p>
        </w:tc>
        <w:tc>
          <w:tcPr>
            <w:tcW w:w="2420" w:type="dxa"/>
            <w:vAlign w:val="bottom"/>
            <w:gridSpan w:val="2"/>
          </w:tcPr>
          <w:p>
            <w:pPr>
              <w:jc w:val="right"/>
              <w:ind w:right="154"/>
              <w:spacing w:after="0" w:line="135" w:lineRule="exact"/>
              <w:rPr>
                <w:sz w:val="20"/>
                <w:szCs w:val="20"/>
                <w:color w:val="auto"/>
              </w:rPr>
            </w:pPr>
            <w:r>
              <w:rPr>
                <w:rFonts w:ascii="Arial" w:cs="Arial" w:eastAsia="Arial" w:hAnsi="Arial"/>
                <w:sz w:val="13"/>
                <w:szCs w:val="13"/>
                <w:color w:val="auto"/>
              </w:rPr>
              <w:t>2013</w:t>
            </w:r>
          </w:p>
        </w:tc>
        <w:tc>
          <w:tcPr>
            <w:tcW w:w="760" w:type="dxa"/>
            <w:vAlign w:val="bottom"/>
          </w:tcPr>
          <w:p>
            <w:pPr>
              <w:spacing w:after="0"/>
              <w:rPr>
                <w:sz w:val="11"/>
                <w:szCs w:val="11"/>
                <w:color w:val="auto"/>
              </w:rPr>
            </w:pPr>
          </w:p>
        </w:tc>
        <w:tc>
          <w:tcPr>
            <w:tcW w:w="1820" w:type="dxa"/>
            <w:vAlign w:val="bottom"/>
          </w:tcPr>
          <w:p>
            <w:pPr>
              <w:jc w:val="right"/>
              <w:ind w:right="153"/>
              <w:spacing w:after="0" w:line="135" w:lineRule="exact"/>
              <w:rPr>
                <w:sz w:val="20"/>
                <w:szCs w:val="20"/>
                <w:color w:val="auto"/>
              </w:rPr>
            </w:pPr>
            <w:r>
              <w:rPr>
                <w:rFonts w:ascii="Arial" w:cs="Arial" w:eastAsia="Arial" w:hAnsi="Arial"/>
                <w:sz w:val="13"/>
                <w:szCs w:val="13"/>
                <w:color w:val="auto"/>
              </w:rPr>
              <w:t>2012</w:t>
            </w:r>
          </w:p>
        </w:tc>
      </w:tr>
      <w:tr>
        <w:trPr>
          <w:trHeight w:val="123"/>
        </w:trPr>
        <w:tc>
          <w:tcPr>
            <w:tcW w:w="5020" w:type="dxa"/>
            <w:vAlign w:val="bottom"/>
          </w:tcPr>
          <w:p>
            <w:pPr>
              <w:spacing w:after="0"/>
              <w:rPr>
                <w:sz w:val="10"/>
                <w:szCs w:val="10"/>
                <w:color w:val="auto"/>
              </w:rPr>
            </w:pPr>
          </w:p>
        </w:tc>
        <w:tc>
          <w:tcPr>
            <w:tcW w:w="1400" w:type="dxa"/>
            <w:vAlign w:val="bottom"/>
            <w:tcBorders>
              <w:top w:val="single" w:sz="8" w:color="auto"/>
            </w:tcBorders>
            <w:shd w:val="clear" w:color="auto" w:fill="D8D8D8"/>
          </w:tcPr>
          <w:p>
            <w:pPr>
              <w:jc w:val="right"/>
              <w:ind w:right="155"/>
              <w:spacing w:after="0" w:line="123" w:lineRule="exact"/>
              <w:rPr>
                <w:sz w:val="20"/>
                <w:szCs w:val="20"/>
                <w:color w:val="auto"/>
              </w:rPr>
            </w:pPr>
            <w:r>
              <w:rPr>
                <w:rFonts w:ascii="Arial" w:cs="Arial" w:eastAsia="Arial" w:hAnsi="Arial"/>
                <w:sz w:val="13"/>
                <w:szCs w:val="13"/>
                <w:color w:val="auto"/>
              </w:rPr>
              <w:t>Shell</w:t>
            </w:r>
          </w:p>
        </w:tc>
        <w:tc>
          <w:tcPr>
            <w:tcW w:w="760" w:type="dxa"/>
            <w:vAlign w:val="bottom"/>
          </w:tcPr>
          <w:p>
            <w:pPr>
              <w:spacing w:after="0"/>
              <w:rPr>
                <w:sz w:val="10"/>
                <w:szCs w:val="10"/>
                <w:color w:val="auto"/>
              </w:rPr>
            </w:pPr>
          </w:p>
        </w:tc>
        <w:tc>
          <w:tcPr>
            <w:tcW w:w="1660" w:type="dxa"/>
            <w:vAlign w:val="bottom"/>
            <w:tcBorders>
              <w:top w:val="single" w:sz="8" w:color="auto"/>
            </w:tcBorders>
          </w:tcPr>
          <w:p>
            <w:pPr>
              <w:jc w:val="right"/>
              <w:ind w:right="154"/>
              <w:spacing w:after="0" w:line="123" w:lineRule="exact"/>
              <w:rPr>
                <w:sz w:val="20"/>
                <w:szCs w:val="20"/>
                <w:color w:val="auto"/>
              </w:rPr>
            </w:pPr>
            <w:r>
              <w:rPr>
                <w:rFonts w:ascii="Arial" w:cs="Arial" w:eastAsia="Arial" w:hAnsi="Arial"/>
                <w:sz w:val="13"/>
                <w:szCs w:val="13"/>
                <w:color w:val="auto"/>
              </w:rPr>
              <w:t>Shell</w:t>
            </w:r>
          </w:p>
        </w:tc>
        <w:tc>
          <w:tcPr>
            <w:tcW w:w="760" w:type="dxa"/>
            <w:vAlign w:val="bottom"/>
          </w:tcPr>
          <w:p>
            <w:pPr>
              <w:spacing w:after="0"/>
              <w:rPr>
                <w:sz w:val="10"/>
                <w:szCs w:val="10"/>
                <w:color w:val="auto"/>
              </w:rPr>
            </w:pPr>
          </w:p>
        </w:tc>
        <w:tc>
          <w:tcPr>
            <w:tcW w:w="1820" w:type="dxa"/>
            <w:vAlign w:val="bottom"/>
            <w:tcBorders>
              <w:top w:val="single" w:sz="8" w:color="auto"/>
            </w:tcBorders>
          </w:tcPr>
          <w:p>
            <w:pPr>
              <w:jc w:val="right"/>
              <w:ind w:right="153"/>
              <w:spacing w:after="0" w:line="123" w:lineRule="exact"/>
              <w:rPr>
                <w:sz w:val="20"/>
                <w:szCs w:val="20"/>
                <w:color w:val="auto"/>
              </w:rPr>
            </w:pPr>
            <w:r>
              <w:rPr>
                <w:rFonts w:ascii="Arial" w:cs="Arial" w:eastAsia="Arial" w:hAnsi="Arial"/>
                <w:sz w:val="13"/>
                <w:szCs w:val="13"/>
                <w:color w:val="auto"/>
              </w:rPr>
              <w:t>Shell</w:t>
            </w:r>
          </w:p>
        </w:tc>
      </w:tr>
      <w:tr>
        <w:trPr>
          <w:trHeight w:val="141"/>
        </w:trPr>
        <w:tc>
          <w:tcPr>
            <w:tcW w:w="5020" w:type="dxa"/>
            <w:vAlign w:val="bottom"/>
            <w:tcBorders>
              <w:bottom w:val="single" w:sz="8" w:color="auto"/>
            </w:tcBorders>
          </w:tcPr>
          <w:p>
            <w:pPr>
              <w:spacing w:after="0"/>
              <w:rPr>
                <w:sz w:val="12"/>
                <w:szCs w:val="12"/>
                <w:color w:val="auto"/>
              </w:rPr>
            </w:pPr>
          </w:p>
        </w:tc>
        <w:tc>
          <w:tcPr>
            <w:tcW w:w="1400" w:type="dxa"/>
            <w:vAlign w:val="bottom"/>
            <w:tcBorders>
              <w:bottom w:val="single" w:sz="8" w:color="auto"/>
            </w:tcBorders>
            <w:shd w:val="clear" w:color="auto" w:fill="D8D8D8"/>
          </w:tcPr>
          <w:p>
            <w:pPr>
              <w:jc w:val="right"/>
              <w:ind w:right="155"/>
              <w:spacing w:after="0" w:line="141" w:lineRule="exact"/>
              <w:rPr>
                <w:sz w:val="20"/>
                <w:szCs w:val="20"/>
                <w:color w:val="auto"/>
              </w:rPr>
            </w:pPr>
            <w:r>
              <w:rPr>
                <w:rFonts w:ascii="Arial" w:cs="Arial" w:eastAsia="Arial" w:hAnsi="Arial"/>
                <w:sz w:val="13"/>
                <w:szCs w:val="13"/>
                <w:color w:val="auto"/>
              </w:rPr>
              <w:t>subsidiaries</w:t>
            </w:r>
          </w:p>
        </w:tc>
        <w:tc>
          <w:tcPr>
            <w:tcW w:w="760" w:type="dxa"/>
            <w:vAlign w:val="bottom"/>
            <w:tcBorders>
              <w:bottom w:val="single" w:sz="8" w:color="auto"/>
            </w:tcBorders>
          </w:tcPr>
          <w:p>
            <w:pPr>
              <w:spacing w:after="0"/>
              <w:rPr>
                <w:sz w:val="12"/>
                <w:szCs w:val="12"/>
                <w:color w:val="auto"/>
              </w:rPr>
            </w:pPr>
          </w:p>
        </w:tc>
        <w:tc>
          <w:tcPr>
            <w:tcW w:w="2420" w:type="dxa"/>
            <w:vAlign w:val="bottom"/>
            <w:tcBorders>
              <w:bottom w:val="single" w:sz="8" w:color="auto"/>
            </w:tcBorders>
            <w:gridSpan w:val="2"/>
          </w:tcPr>
          <w:p>
            <w:pPr>
              <w:jc w:val="right"/>
              <w:ind w:right="980"/>
              <w:spacing w:after="0" w:line="141" w:lineRule="exact"/>
              <w:rPr>
                <w:sz w:val="20"/>
                <w:szCs w:val="20"/>
                <w:color w:val="auto"/>
              </w:rPr>
            </w:pPr>
            <w:r>
              <w:rPr>
                <w:rFonts w:ascii="Arial" w:cs="Arial" w:eastAsia="Arial" w:hAnsi="Arial"/>
                <w:sz w:val="13"/>
                <w:szCs w:val="13"/>
                <w:color w:val="auto"/>
              </w:rPr>
              <w:t>subsidiaries</w:t>
            </w:r>
          </w:p>
        </w:tc>
        <w:tc>
          <w:tcPr>
            <w:tcW w:w="1820" w:type="dxa"/>
            <w:vAlign w:val="bottom"/>
            <w:tcBorders>
              <w:bottom w:val="single" w:sz="8" w:color="auto"/>
            </w:tcBorders>
          </w:tcPr>
          <w:p>
            <w:pPr>
              <w:jc w:val="right"/>
              <w:ind w:right="153"/>
              <w:spacing w:after="0" w:line="141" w:lineRule="exact"/>
              <w:rPr>
                <w:sz w:val="20"/>
                <w:szCs w:val="20"/>
                <w:color w:val="auto"/>
              </w:rPr>
            </w:pPr>
            <w:r>
              <w:rPr>
                <w:rFonts w:ascii="Arial" w:cs="Arial" w:eastAsia="Arial" w:hAnsi="Arial"/>
                <w:sz w:val="13"/>
                <w:szCs w:val="13"/>
                <w:color w:val="auto"/>
              </w:rPr>
              <w:t>subsidiaries</w:t>
            </w:r>
          </w:p>
        </w:tc>
      </w:tr>
      <w:tr>
        <w:trPr>
          <w:trHeight w:val="156"/>
        </w:trPr>
        <w:tc>
          <w:tcPr>
            <w:tcW w:w="5020" w:type="dxa"/>
            <w:vAlign w:val="bottom"/>
            <w:tcBorders>
              <w:bottom w:val="single" w:sz="8" w:color="auto"/>
            </w:tcBorders>
          </w:tcPr>
          <w:p>
            <w:pPr>
              <w:spacing w:after="0" w:line="155" w:lineRule="exact"/>
              <w:rPr>
                <w:sz w:val="20"/>
                <w:szCs w:val="20"/>
                <w:color w:val="auto"/>
              </w:rPr>
            </w:pPr>
            <w:r>
              <w:rPr>
                <w:rFonts w:ascii="Arial" w:cs="Arial" w:eastAsia="Arial" w:hAnsi="Arial"/>
                <w:sz w:val="14"/>
                <w:szCs w:val="14"/>
                <w:color w:val="auto"/>
              </w:rPr>
              <w:t>North America – Canada</w:t>
            </w:r>
          </w:p>
        </w:tc>
        <w:tc>
          <w:tcPr>
            <w:tcW w:w="1400" w:type="dxa"/>
            <w:vAlign w:val="bottom"/>
            <w:tcBorders>
              <w:bottom w:val="single" w:sz="8" w:color="auto"/>
            </w:tcBorders>
            <w:shd w:val="clear" w:color="auto" w:fill="D8D8D8"/>
          </w:tcPr>
          <w:p>
            <w:pPr>
              <w:jc w:val="right"/>
              <w:ind w:right="155"/>
              <w:spacing w:after="0" w:line="155" w:lineRule="exact"/>
              <w:rPr>
                <w:sz w:val="20"/>
                <w:szCs w:val="20"/>
                <w:color w:val="auto"/>
              </w:rPr>
            </w:pPr>
            <w:r>
              <w:rPr>
                <w:rFonts w:ascii="Arial" w:cs="Arial" w:eastAsia="Arial" w:hAnsi="Arial"/>
                <w:sz w:val="14"/>
                <w:szCs w:val="14"/>
                <w:color w:val="auto"/>
              </w:rPr>
              <w:t>42.46</w:t>
            </w:r>
          </w:p>
        </w:tc>
        <w:tc>
          <w:tcPr>
            <w:tcW w:w="760" w:type="dxa"/>
            <w:vAlign w:val="bottom"/>
            <w:tcBorders>
              <w:bottom w:val="single" w:sz="8" w:color="auto"/>
            </w:tcBorders>
          </w:tcPr>
          <w:p>
            <w:pPr>
              <w:spacing w:after="0"/>
              <w:rPr>
                <w:sz w:val="13"/>
                <w:szCs w:val="13"/>
                <w:color w:val="auto"/>
              </w:rPr>
            </w:pPr>
          </w:p>
        </w:tc>
        <w:tc>
          <w:tcPr>
            <w:tcW w:w="2420" w:type="dxa"/>
            <w:vAlign w:val="bottom"/>
            <w:tcBorders>
              <w:bottom w:val="single" w:sz="8" w:color="auto"/>
            </w:tcBorders>
            <w:gridSpan w:val="2"/>
          </w:tcPr>
          <w:p>
            <w:pPr>
              <w:ind w:left="1080"/>
              <w:spacing w:after="0" w:line="155" w:lineRule="exact"/>
              <w:rPr>
                <w:sz w:val="20"/>
                <w:szCs w:val="20"/>
                <w:color w:val="auto"/>
              </w:rPr>
            </w:pPr>
            <w:r>
              <w:rPr>
                <w:rFonts w:ascii="Arial" w:cs="Arial" w:eastAsia="Arial" w:hAnsi="Arial"/>
                <w:sz w:val="14"/>
                <w:szCs w:val="14"/>
                <w:color w:val="auto"/>
              </w:rPr>
              <w:t>41.81[A]</w:t>
            </w:r>
          </w:p>
        </w:tc>
        <w:tc>
          <w:tcPr>
            <w:tcW w:w="18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43.40[A]</w:t>
            </w:r>
          </w:p>
        </w:tc>
      </w:tr>
    </w:tbl>
    <w:p>
      <w:pPr>
        <w:spacing w:after="0" w:line="37" w:lineRule="exact"/>
        <w:rPr>
          <w:sz w:val="20"/>
          <w:szCs w:val="20"/>
          <w:color w:val="auto"/>
        </w:rPr>
      </w:pPr>
    </w:p>
    <w:p>
      <w:pPr>
        <w:spacing w:after="0"/>
        <w:rPr>
          <w:sz w:val="20"/>
          <w:szCs w:val="20"/>
          <w:color w:val="auto"/>
        </w:rPr>
      </w:pPr>
      <w:r>
        <w:rPr>
          <w:rFonts w:ascii="Arial" w:cs="Arial" w:eastAsia="Arial" w:hAnsi="Arial"/>
          <w:sz w:val="11"/>
          <w:szCs w:val="11"/>
          <w:color w:val="auto"/>
        </w:rPr>
        <w:t>[A] Average production costs have been corrected from $38.22/b (2013) and $40.40/b (2012).</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4780" w:type="dxa"/>
            <w:vAlign w:val="bottom"/>
            <w:shd w:val="clear" w:color="auto" w:fill="333333"/>
          </w:tcPr>
          <w:p>
            <w:pPr>
              <w:ind w:left="80"/>
              <w:spacing w:after="0"/>
              <w:rPr>
                <w:sz w:val="20"/>
                <w:szCs w:val="20"/>
                <w:color w:val="auto"/>
              </w:rPr>
            </w:pPr>
            <w:r>
              <w:rPr>
                <w:rFonts w:ascii="Arial" w:cs="Arial" w:eastAsia="Arial" w:hAnsi="Arial"/>
                <w:sz w:val="15"/>
                <w:szCs w:val="15"/>
                <w:b w:val="1"/>
                <w:bCs w:val="1"/>
                <w:color w:val="FFFFFF"/>
              </w:rPr>
              <w:t>BITUMEN</w:t>
            </w:r>
          </w:p>
        </w:tc>
        <w:tc>
          <w:tcPr>
            <w:tcW w:w="1500" w:type="dxa"/>
            <w:vAlign w:val="bottom"/>
            <w:shd w:val="clear" w:color="auto" w:fill="333333"/>
          </w:tcPr>
          <w:p>
            <w:pPr>
              <w:spacing w:after="0"/>
              <w:rPr>
                <w:sz w:val="15"/>
                <w:szCs w:val="15"/>
                <w:color w:val="auto"/>
              </w:rPr>
            </w:pPr>
          </w:p>
        </w:tc>
        <w:tc>
          <w:tcPr>
            <w:tcW w:w="780" w:type="dxa"/>
            <w:vAlign w:val="bottom"/>
            <w:shd w:val="clear" w:color="auto" w:fill="333333"/>
          </w:tcPr>
          <w:p>
            <w:pPr>
              <w:spacing w:after="0"/>
              <w:rPr>
                <w:sz w:val="15"/>
                <w:szCs w:val="15"/>
                <w:color w:val="auto"/>
              </w:rPr>
            </w:pPr>
          </w:p>
        </w:tc>
        <w:tc>
          <w:tcPr>
            <w:tcW w:w="1720" w:type="dxa"/>
            <w:vAlign w:val="bottom"/>
            <w:shd w:val="clear" w:color="auto" w:fill="333333"/>
          </w:tcPr>
          <w:p>
            <w:pPr>
              <w:spacing w:after="0"/>
              <w:rPr>
                <w:sz w:val="15"/>
                <w:szCs w:val="15"/>
                <w:color w:val="auto"/>
              </w:rPr>
            </w:pPr>
          </w:p>
        </w:tc>
        <w:tc>
          <w:tcPr>
            <w:tcW w:w="780" w:type="dxa"/>
            <w:vAlign w:val="bottom"/>
            <w:shd w:val="clear" w:color="auto" w:fill="333333"/>
          </w:tcPr>
          <w:p>
            <w:pPr>
              <w:spacing w:after="0"/>
              <w:rPr>
                <w:sz w:val="15"/>
                <w:szCs w:val="15"/>
                <w:color w:val="auto"/>
              </w:rPr>
            </w:pPr>
          </w:p>
        </w:tc>
        <w:tc>
          <w:tcPr>
            <w:tcW w:w="1860" w:type="dxa"/>
            <w:vAlign w:val="bottom"/>
            <w:shd w:val="clear" w:color="auto" w:fill="333333"/>
          </w:tcPr>
          <w:p>
            <w:pPr>
              <w:jc w:val="right"/>
              <w:ind w:right="153"/>
              <w:spacing w:after="0"/>
              <w:rPr>
                <w:sz w:val="20"/>
                <w:szCs w:val="20"/>
                <w:color w:val="auto"/>
              </w:rPr>
            </w:pPr>
            <w:r>
              <w:rPr>
                <w:rFonts w:ascii="Arial" w:cs="Arial" w:eastAsia="Arial" w:hAnsi="Arial"/>
                <w:sz w:val="15"/>
                <w:szCs w:val="15"/>
                <w:color w:val="FFFFFF"/>
              </w:rPr>
              <w:t>$/BARREL</w:t>
            </w:r>
          </w:p>
        </w:tc>
      </w:tr>
      <w:tr>
        <w:trPr>
          <w:trHeight w:val="135"/>
        </w:trPr>
        <w:tc>
          <w:tcPr>
            <w:tcW w:w="4780" w:type="dxa"/>
            <w:vAlign w:val="bottom"/>
          </w:tcPr>
          <w:p>
            <w:pPr>
              <w:spacing w:after="0"/>
              <w:rPr>
                <w:sz w:val="11"/>
                <w:szCs w:val="11"/>
                <w:color w:val="auto"/>
              </w:rPr>
            </w:pPr>
          </w:p>
        </w:tc>
        <w:tc>
          <w:tcPr>
            <w:tcW w:w="1500" w:type="dxa"/>
            <w:vAlign w:val="bottom"/>
            <w:shd w:val="clear" w:color="auto" w:fill="D8D8D8"/>
          </w:tcPr>
          <w:p>
            <w:pPr>
              <w:jc w:val="right"/>
              <w:ind w:right="155"/>
              <w:spacing w:after="0" w:line="135" w:lineRule="exact"/>
              <w:rPr>
                <w:sz w:val="20"/>
                <w:szCs w:val="20"/>
                <w:color w:val="auto"/>
              </w:rPr>
            </w:pPr>
            <w:r>
              <w:rPr>
                <w:rFonts w:ascii="Arial" w:cs="Arial" w:eastAsia="Arial" w:hAnsi="Arial"/>
                <w:sz w:val="13"/>
                <w:szCs w:val="13"/>
                <w:color w:val="auto"/>
              </w:rPr>
              <w:t>2014</w:t>
            </w:r>
          </w:p>
        </w:tc>
        <w:tc>
          <w:tcPr>
            <w:tcW w:w="2500" w:type="dxa"/>
            <w:vAlign w:val="bottom"/>
            <w:gridSpan w:val="2"/>
          </w:tcPr>
          <w:p>
            <w:pPr>
              <w:jc w:val="right"/>
              <w:ind w:right="137"/>
              <w:spacing w:after="0" w:line="135" w:lineRule="exact"/>
              <w:rPr>
                <w:sz w:val="20"/>
                <w:szCs w:val="20"/>
                <w:color w:val="auto"/>
              </w:rPr>
            </w:pPr>
            <w:r>
              <w:rPr>
                <w:rFonts w:ascii="Arial" w:cs="Arial" w:eastAsia="Arial" w:hAnsi="Arial"/>
                <w:sz w:val="13"/>
                <w:szCs w:val="13"/>
                <w:color w:val="auto"/>
              </w:rPr>
              <w:t>2013</w:t>
            </w:r>
          </w:p>
        </w:tc>
        <w:tc>
          <w:tcPr>
            <w:tcW w:w="780" w:type="dxa"/>
            <w:vAlign w:val="bottom"/>
          </w:tcPr>
          <w:p>
            <w:pPr>
              <w:spacing w:after="0"/>
              <w:rPr>
                <w:sz w:val="11"/>
                <w:szCs w:val="11"/>
                <w:color w:val="auto"/>
              </w:rPr>
            </w:pPr>
          </w:p>
        </w:tc>
        <w:tc>
          <w:tcPr>
            <w:tcW w:w="1860" w:type="dxa"/>
            <w:vAlign w:val="bottom"/>
          </w:tcPr>
          <w:p>
            <w:pPr>
              <w:jc w:val="right"/>
              <w:ind w:right="153"/>
              <w:spacing w:after="0" w:line="135" w:lineRule="exact"/>
              <w:rPr>
                <w:sz w:val="20"/>
                <w:szCs w:val="20"/>
                <w:color w:val="auto"/>
              </w:rPr>
            </w:pPr>
            <w:r>
              <w:rPr>
                <w:rFonts w:ascii="Arial" w:cs="Arial" w:eastAsia="Arial" w:hAnsi="Arial"/>
                <w:sz w:val="13"/>
                <w:szCs w:val="13"/>
                <w:color w:val="auto"/>
              </w:rPr>
              <w:t>2012</w:t>
            </w:r>
          </w:p>
        </w:tc>
      </w:tr>
      <w:tr>
        <w:trPr>
          <w:trHeight w:val="123"/>
        </w:trPr>
        <w:tc>
          <w:tcPr>
            <w:tcW w:w="4780" w:type="dxa"/>
            <w:vAlign w:val="bottom"/>
          </w:tcPr>
          <w:p>
            <w:pPr>
              <w:spacing w:after="0"/>
              <w:rPr>
                <w:sz w:val="10"/>
                <w:szCs w:val="10"/>
                <w:color w:val="auto"/>
              </w:rPr>
            </w:pPr>
          </w:p>
        </w:tc>
        <w:tc>
          <w:tcPr>
            <w:tcW w:w="1500" w:type="dxa"/>
            <w:vAlign w:val="bottom"/>
            <w:tcBorders>
              <w:top w:val="single" w:sz="8" w:color="auto"/>
            </w:tcBorders>
            <w:shd w:val="clear" w:color="auto" w:fill="D8D8D8"/>
          </w:tcPr>
          <w:p>
            <w:pPr>
              <w:jc w:val="right"/>
              <w:ind w:right="155"/>
              <w:spacing w:after="0" w:line="123" w:lineRule="exact"/>
              <w:rPr>
                <w:sz w:val="20"/>
                <w:szCs w:val="20"/>
                <w:color w:val="auto"/>
              </w:rPr>
            </w:pPr>
            <w:r>
              <w:rPr>
                <w:rFonts w:ascii="Arial" w:cs="Arial" w:eastAsia="Arial" w:hAnsi="Arial"/>
                <w:sz w:val="13"/>
                <w:szCs w:val="13"/>
                <w:color w:val="auto"/>
              </w:rPr>
              <w:t>Shell</w:t>
            </w:r>
          </w:p>
        </w:tc>
        <w:tc>
          <w:tcPr>
            <w:tcW w:w="780" w:type="dxa"/>
            <w:vAlign w:val="bottom"/>
          </w:tcPr>
          <w:p>
            <w:pPr>
              <w:spacing w:after="0"/>
              <w:rPr>
                <w:sz w:val="10"/>
                <w:szCs w:val="10"/>
                <w:color w:val="auto"/>
              </w:rPr>
            </w:pPr>
          </w:p>
        </w:tc>
        <w:tc>
          <w:tcPr>
            <w:tcW w:w="1720" w:type="dxa"/>
            <w:vAlign w:val="bottom"/>
            <w:tcBorders>
              <w:top w:val="single" w:sz="8" w:color="auto"/>
            </w:tcBorders>
          </w:tcPr>
          <w:p>
            <w:pPr>
              <w:jc w:val="right"/>
              <w:ind w:right="137"/>
              <w:spacing w:after="0" w:line="123" w:lineRule="exact"/>
              <w:rPr>
                <w:sz w:val="20"/>
                <w:szCs w:val="20"/>
                <w:color w:val="auto"/>
              </w:rPr>
            </w:pPr>
            <w:r>
              <w:rPr>
                <w:rFonts w:ascii="Arial" w:cs="Arial" w:eastAsia="Arial" w:hAnsi="Arial"/>
                <w:sz w:val="13"/>
                <w:szCs w:val="13"/>
                <w:color w:val="auto"/>
              </w:rPr>
              <w:t>Shell</w:t>
            </w:r>
          </w:p>
        </w:tc>
        <w:tc>
          <w:tcPr>
            <w:tcW w:w="780" w:type="dxa"/>
            <w:vAlign w:val="bottom"/>
          </w:tcPr>
          <w:p>
            <w:pPr>
              <w:spacing w:after="0"/>
              <w:rPr>
                <w:sz w:val="10"/>
                <w:szCs w:val="10"/>
                <w:color w:val="auto"/>
              </w:rPr>
            </w:pPr>
          </w:p>
        </w:tc>
        <w:tc>
          <w:tcPr>
            <w:tcW w:w="1860" w:type="dxa"/>
            <w:vAlign w:val="bottom"/>
            <w:tcBorders>
              <w:top w:val="single" w:sz="8" w:color="auto"/>
            </w:tcBorders>
          </w:tcPr>
          <w:p>
            <w:pPr>
              <w:jc w:val="right"/>
              <w:ind w:right="153"/>
              <w:spacing w:after="0" w:line="123" w:lineRule="exact"/>
              <w:rPr>
                <w:sz w:val="20"/>
                <w:szCs w:val="20"/>
                <w:color w:val="auto"/>
              </w:rPr>
            </w:pPr>
            <w:r>
              <w:rPr>
                <w:rFonts w:ascii="Arial" w:cs="Arial" w:eastAsia="Arial" w:hAnsi="Arial"/>
                <w:sz w:val="13"/>
                <w:szCs w:val="13"/>
                <w:color w:val="auto"/>
              </w:rPr>
              <w:t>Shell</w:t>
            </w:r>
          </w:p>
        </w:tc>
      </w:tr>
      <w:tr>
        <w:trPr>
          <w:trHeight w:val="141"/>
        </w:trPr>
        <w:tc>
          <w:tcPr>
            <w:tcW w:w="4780" w:type="dxa"/>
            <w:vAlign w:val="bottom"/>
            <w:tcBorders>
              <w:bottom w:val="single" w:sz="8" w:color="auto"/>
            </w:tcBorders>
          </w:tcPr>
          <w:p>
            <w:pPr>
              <w:spacing w:after="0"/>
              <w:rPr>
                <w:sz w:val="12"/>
                <w:szCs w:val="12"/>
                <w:color w:val="auto"/>
              </w:rPr>
            </w:pPr>
          </w:p>
        </w:tc>
        <w:tc>
          <w:tcPr>
            <w:tcW w:w="1500" w:type="dxa"/>
            <w:vAlign w:val="bottom"/>
            <w:tcBorders>
              <w:bottom w:val="single" w:sz="8" w:color="auto"/>
            </w:tcBorders>
            <w:shd w:val="clear" w:color="auto" w:fill="D8D8D8"/>
          </w:tcPr>
          <w:p>
            <w:pPr>
              <w:jc w:val="right"/>
              <w:ind w:right="155"/>
              <w:spacing w:after="0" w:line="141" w:lineRule="exact"/>
              <w:rPr>
                <w:sz w:val="20"/>
                <w:szCs w:val="20"/>
                <w:color w:val="auto"/>
              </w:rPr>
            </w:pPr>
            <w:r>
              <w:rPr>
                <w:rFonts w:ascii="Arial" w:cs="Arial" w:eastAsia="Arial" w:hAnsi="Arial"/>
                <w:sz w:val="13"/>
                <w:szCs w:val="13"/>
                <w:color w:val="auto"/>
              </w:rPr>
              <w:t>subsidiaries</w:t>
            </w:r>
          </w:p>
        </w:tc>
        <w:tc>
          <w:tcPr>
            <w:tcW w:w="780" w:type="dxa"/>
            <w:vAlign w:val="bottom"/>
            <w:tcBorders>
              <w:bottom w:val="single" w:sz="8" w:color="auto"/>
            </w:tcBorders>
          </w:tcPr>
          <w:p>
            <w:pPr>
              <w:spacing w:after="0"/>
              <w:rPr>
                <w:sz w:val="12"/>
                <w:szCs w:val="12"/>
                <w:color w:val="auto"/>
              </w:rPr>
            </w:pPr>
          </w:p>
        </w:tc>
        <w:tc>
          <w:tcPr>
            <w:tcW w:w="2500" w:type="dxa"/>
            <w:vAlign w:val="bottom"/>
            <w:tcBorders>
              <w:bottom w:val="single" w:sz="8" w:color="auto"/>
            </w:tcBorders>
            <w:gridSpan w:val="2"/>
          </w:tcPr>
          <w:p>
            <w:pPr>
              <w:jc w:val="right"/>
              <w:ind w:right="980"/>
              <w:spacing w:after="0" w:line="141" w:lineRule="exact"/>
              <w:rPr>
                <w:sz w:val="20"/>
                <w:szCs w:val="20"/>
                <w:color w:val="auto"/>
              </w:rPr>
            </w:pPr>
            <w:r>
              <w:rPr>
                <w:rFonts w:ascii="Arial" w:cs="Arial" w:eastAsia="Arial" w:hAnsi="Arial"/>
                <w:sz w:val="13"/>
                <w:szCs w:val="13"/>
                <w:color w:val="auto"/>
              </w:rPr>
              <w:t>subsidiaries</w:t>
            </w:r>
          </w:p>
        </w:tc>
        <w:tc>
          <w:tcPr>
            <w:tcW w:w="1860" w:type="dxa"/>
            <w:vAlign w:val="bottom"/>
            <w:tcBorders>
              <w:bottom w:val="single" w:sz="8" w:color="auto"/>
            </w:tcBorders>
          </w:tcPr>
          <w:p>
            <w:pPr>
              <w:jc w:val="right"/>
              <w:ind w:right="153"/>
              <w:spacing w:after="0" w:line="141" w:lineRule="exact"/>
              <w:rPr>
                <w:sz w:val="20"/>
                <w:szCs w:val="20"/>
                <w:color w:val="auto"/>
              </w:rPr>
            </w:pPr>
            <w:r>
              <w:rPr>
                <w:rFonts w:ascii="Arial" w:cs="Arial" w:eastAsia="Arial" w:hAnsi="Arial"/>
                <w:sz w:val="13"/>
                <w:szCs w:val="13"/>
                <w:color w:val="auto"/>
              </w:rPr>
              <w:t>subsidiaries</w:t>
            </w:r>
          </w:p>
        </w:tc>
      </w:tr>
      <w:tr>
        <w:trPr>
          <w:trHeight w:val="156"/>
        </w:trPr>
        <w:tc>
          <w:tcPr>
            <w:tcW w:w="4780" w:type="dxa"/>
            <w:vAlign w:val="bottom"/>
            <w:tcBorders>
              <w:bottom w:val="single" w:sz="8" w:color="auto"/>
            </w:tcBorders>
          </w:tcPr>
          <w:p>
            <w:pPr>
              <w:spacing w:after="0" w:line="155" w:lineRule="exact"/>
              <w:rPr>
                <w:sz w:val="20"/>
                <w:szCs w:val="20"/>
                <w:color w:val="auto"/>
              </w:rPr>
            </w:pPr>
            <w:r>
              <w:rPr>
                <w:rFonts w:ascii="Arial" w:cs="Arial" w:eastAsia="Arial" w:hAnsi="Arial"/>
                <w:sz w:val="14"/>
                <w:szCs w:val="14"/>
                <w:color w:val="auto"/>
              </w:rPr>
              <w:t>North America – Canada</w:t>
            </w:r>
          </w:p>
        </w:tc>
        <w:tc>
          <w:tcPr>
            <w:tcW w:w="1500" w:type="dxa"/>
            <w:vAlign w:val="bottom"/>
            <w:tcBorders>
              <w:bottom w:val="single" w:sz="8" w:color="auto"/>
            </w:tcBorders>
            <w:shd w:val="clear" w:color="auto" w:fill="D8D8D8"/>
          </w:tcPr>
          <w:p>
            <w:pPr>
              <w:jc w:val="right"/>
              <w:ind w:right="155"/>
              <w:spacing w:after="0" w:line="155" w:lineRule="exact"/>
              <w:rPr>
                <w:sz w:val="20"/>
                <w:szCs w:val="20"/>
                <w:color w:val="auto"/>
              </w:rPr>
            </w:pPr>
            <w:r>
              <w:rPr>
                <w:rFonts w:ascii="Arial" w:cs="Arial" w:eastAsia="Arial" w:hAnsi="Arial"/>
                <w:sz w:val="14"/>
                <w:szCs w:val="14"/>
                <w:color w:val="auto"/>
              </w:rPr>
              <w:t>23.24</w:t>
            </w:r>
          </w:p>
        </w:tc>
        <w:tc>
          <w:tcPr>
            <w:tcW w:w="2500" w:type="dxa"/>
            <w:vAlign w:val="bottom"/>
            <w:tcBorders>
              <w:bottom w:val="single" w:sz="8" w:color="auto"/>
            </w:tcBorders>
            <w:gridSpan w:val="2"/>
          </w:tcPr>
          <w:p>
            <w:pPr>
              <w:jc w:val="right"/>
              <w:ind w:right="137"/>
              <w:spacing w:after="0" w:line="155" w:lineRule="exact"/>
              <w:rPr>
                <w:sz w:val="20"/>
                <w:szCs w:val="20"/>
                <w:color w:val="auto"/>
              </w:rPr>
            </w:pPr>
            <w:r>
              <w:rPr>
                <w:rFonts w:ascii="Arial" w:cs="Arial" w:eastAsia="Arial" w:hAnsi="Arial"/>
                <w:sz w:val="14"/>
                <w:szCs w:val="14"/>
                <w:color w:val="auto"/>
              </w:rPr>
              <w:t>23.03</w:t>
            </w:r>
          </w:p>
        </w:tc>
        <w:tc>
          <w:tcPr>
            <w:tcW w:w="780" w:type="dxa"/>
            <w:vAlign w:val="bottom"/>
            <w:tcBorders>
              <w:bottom w:val="single" w:sz="8" w:color="auto"/>
            </w:tcBorders>
          </w:tcPr>
          <w:p>
            <w:pPr>
              <w:spacing w:after="0"/>
              <w:rPr>
                <w:sz w:val="13"/>
                <w:szCs w:val="13"/>
                <w:color w:val="auto"/>
              </w:rPr>
            </w:pPr>
          </w:p>
        </w:tc>
        <w:tc>
          <w:tcPr>
            <w:tcW w:w="1860" w:type="dxa"/>
            <w:vAlign w:val="bottom"/>
            <w:tcBorders>
              <w:bottom w:val="single" w:sz="8" w:color="auto"/>
            </w:tcBorders>
          </w:tcPr>
          <w:p>
            <w:pPr>
              <w:jc w:val="right"/>
              <w:ind w:right="153"/>
              <w:spacing w:after="0" w:line="155" w:lineRule="exact"/>
              <w:rPr>
                <w:sz w:val="20"/>
                <w:szCs w:val="20"/>
                <w:color w:val="auto"/>
              </w:rPr>
            </w:pPr>
            <w:r>
              <w:rPr>
                <w:rFonts w:ascii="Arial" w:cs="Arial" w:eastAsia="Arial" w:hAnsi="Arial"/>
                <w:sz w:val="14"/>
                <w:szCs w:val="14"/>
                <w:color w:val="auto"/>
              </w:rPr>
              <w:t>24.11</w:t>
            </w:r>
          </w:p>
        </w:tc>
      </w:tr>
    </w:tbl>
    <w:p>
      <w:pPr>
        <w:sectPr>
          <w:pgSz w:w="11900" w:h="16838" w:orient="portrait"/>
          <w:cols w:equalWidth="0" w:num="1">
            <w:col w:w="11420"/>
          </w:cols>
          <w:pgMar w:left="240" w:top="459" w:right="2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6471285</wp:posOffset>
            </wp:positionH>
            <wp:positionV relativeFrom="paragraph">
              <wp:posOffset>300355</wp:posOffset>
            </wp:positionV>
            <wp:extent cx="8890" cy="46291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8890" cy="462915"/>
                    </a:xfrm>
                    <a:prstGeom prst="rect">
                      <a:avLst/>
                    </a:prstGeom>
                    <a:noFill/>
                  </pic:spPr>
                </pic:pic>
              </a:graphicData>
            </a:graphic>
          </wp:anchor>
        </w:drawing>
      </w:r>
    </w:p>
    <w:p>
      <w:pPr>
        <w:spacing w:after="0" w:line="200" w:lineRule="exact"/>
        <w:rPr>
          <w:sz w:val="20"/>
          <w:szCs w:val="20"/>
          <w:color w:val="auto"/>
        </w:rPr>
      </w:pP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565"/>
        </w:trPr>
        <w:tc>
          <w:tcPr>
            <w:tcW w:w="29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shd w:val="clear" w:color="auto" w:fill="FF8B00"/>
          </w:tcPr>
          <w:p>
            <w:pPr>
              <w:spacing w:after="0"/>
              <w:rPr>
                <w:sz w:val="24"/>
                <w:szCs w:val="24"/>
                <w:color w:val="auto"/>
              </w:rPr>
            </w:pPr>
          </w:p>
        </w:tc>
        <w:tc>
          <w:tcPr>
            <w:tcW w:w="2940" w:type="dxa"/>
            <w:vAlign w:val="bottom"/>
            <w:gridSpan w:val="3"/>
            <w:shd w:val="clear" w:color="auto" w:fill="FF8B00"/>
          </w:tcPr>
          <w:p>
            <w:pPr>
              <w:ind w:left="660"/>
              <w:spacing w:after="0"/>
              <w:rPr>
                <w:sz w:val="20"/>
                <w:szCs w:val="20"/>
                <w:color w:val="auto"/>
              </w:rPr>
            </w:pPr>
            <w:r>
              <w:rPr>
                <w:rFonts w:ascii="Arial" w:cs="Arial" w:eastAsia="Arial" w:hAnsi="Arial"/>
                <w:sz w:val="13"/>
                <w:szCs w:val="13"/>
                <w:color w:val="333333"/>
              </w:rPr>
              <w:t>STRATEGIC REPORT</w:t>
            </w:r>
          </w:p>
        </w:tc>
        <w:tc>
          <w:tcPr>
            <w:tcW w:w="1340" w:type="dxa"/>
            <w:vAlign w:val="bottom"/>
            <w:shd w:val="clear" w:color="auto" w:fill="FF8B00"/>
          </w:tcPr>
          <w:p>
            <w:pPr>
              <w:spacing w:after="0"/>
              <w:rPr>
                <w:sz w:val="24"/>
                <w:szCs w:val="24"/>
                <w:color w:val="auto"/>
              </w:rPr>
            </w:pPr>
          </w:p>
        </w:tc>
        <w:tc>
          <w:tcPr>
            <w:tcW w:w="1260" w:type="dxa"/>
            <w:vAlign w:val="bottom"/>
            <w:shd w:val="clear" w:color="auto" w:fill="FF8B00"/>
          </w:tcPr>
          <w:p>
            <w:pPr>
              <w:jc w:val="right"/>
              <w:ind w:right="290"/>
              <w:spacing w:after="0"/>
              <w:rPr>
                <w:sz w:val="20"/>
                <w:szCs w:val="20"/>
                <w:color w:val="auto"/>
              </w:rPr>
            </w:pPr>
            <w:r>
              <w:rPr>
                <w:rFonts w:ascii="Arial" w:cs="Arial" w:eastAsia="Arial" w:hAnsi="Arial"/>
                <w:sz w:val="11"/>
                <w:szCs w:val="11"/>
                <w:b w:val="1"/>
                <w:bCs w:val="1"/>
                <w:color w:val="333333"/>
              </w:rPr>
              <w:t>35</w:t>
            </w:r>
          </w:p>
        </w:tc>
        <w:tc>
          <w:tcPr>
            <w:tcW w:w="0" w:type="dxa"/>
            <w:vAlign w:val="bottom"/>
          </w:tcPr>
          <w:p>
            <w:pPr>
              <w:spacing w:after="0"/>
              <w:rPr>
                <w:sz w:val="1"/>
                <w:szCs w:val="1"/>
                <w:color w:val="auto"/>
              </w:rPr>
            </w:pPr>
          </w:p>
        </w:tc>
      </w:tr>
      <w:tr>
        <w:trPr>
          <w:trHeight w:val="165"/>
        </w:trPr>
        <w:tc>
          <w:tcPr>
            <w:tcW w:w="3340" w:type="dxa"/>
            <w:vAlign w:val="bottom"/>
            <w:gridSpan w:val="2"/>
            <w:vMerge w:val="restart"/>
          </w:tcPr>
          <w:p>
            <w:pPr>
              <w:spacing w:after="0"/>
              <w:rPr>
                <w:sz w:val="20"/>
                <w:szCs w:val="20"/>
                <w:color w:val="auto"/>
              </w:rPr>
            </w:pPr>
            <w:r>
              <w:rPr>
                <w:rFonts w:ascii="Arial" w:cs="Arial" w:eastAsia="Arial" w:hAnsi="Arial"/>
                <w:sz w:val="11"/>
                <w:szCs w:val="11"/>
                <w:color w:val="auto"/>
              </w:rPr>
              <w:t>SHELL ANNUAL REPORT AND FORM 20-F 2014</w:t>
            </w:r>
          </w:p>
        </w:tc>
        <w:tc>
          <w:tcPr>
            <w:tcW w:w="8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shd w:val="clear" w:color="auto" w:fill="FF8B00"/>
          </w:tcPr>
          <w:p>
            <w:pPr>
              <w:spacing w:after="0"/>
              <w:rPr>
                <w:sz w:val="14"/>
                <w:szCs w:val="14"/>
                <w:color w:val="auto"/>
              </w:rPr>
            </w:pPr>
          </w:p>
        </w:tc>
        <w:tc>
          <w:tcPr>
            <w:tcW w:w="1380" w:type="dxa"/>
            <w:vAlign w:val="bottom"/>
            <w:shd w:val="clear" w:color="auto" w:fill="FF8B00"/>
          </w:tcPr>
          <w:p>
            <w:pPr>
              <w:spacing w:after="0"/>
              <w:rPr>
                <w:sz w:val="14"/>
                <w:szCs w:val="14"/>
                <w:color w:val="auto"/>
              </w:rPr>
            </w:pPr>
          </w:p>
        </w:tc>
        <w:tc>
          <w:tcPr>
            <w:tcW w:w="1180" w:type="dxa"/>
            <w:vAlign w:val="bottom"/>
            <w:shd w:val="clear" w:color="auto" w:fill="FF8B00"/>
          </w:tcPr>
          <w:p>
            <w:pPr>
              <w:spacing w:after="0"/>
              <w:rPr>
                <w:sz w:val="14"/>
                <w:szCs w:val="14"/>
                <w:color w:val="auto"/>
              </w:rPr>
            </w:pPr>
          </w:p>
        </w:tc>
        <w:tc>
          <w:tcPr>
            <w:tcW w:w="380" w:type="dxa"/>
            <w:vAlign w:val="bottom"/>
            <w:shd w:val="clear" w:color="auto" w:fill="FF8B00"/>
          </w:tcPr>
          <w:p>
            <w:pPr>
              <w:spacing w:after="0"/>
              <w:rPr>
                <w:sz w:val="14"/>
                <w:szCs w:val="14"/>
                <w:color w:val="auto"/>
              </w:rPr>
            </w:pPr>
          </w:p>
        </w:tc>
        <w:tc>
          <w:tcPr>
            <w:tcW w:w="1340" w:type="dxa"/>
            <w:vAlign w:val="bottom"/>
            <w:shd w:val="clear" w:color="auto" w:fill="FF8B00"/>
          </w:tcPr>
          <w:p>
            <w:pPr>
              <w:spacing w:after="0"/>
              <w:rPr>
                <w:sz w:val="14"/>
                <w:szCs w:val="14"/>
                <w:color w:val="auto"/>
              </w:rPr>
            </w:pPr>
          </w:p>
        </w:tc>
        <w:tc>
          <w:tcPr>
            <w:tcW w:w="1260" w:type="dxa"/>
            <w:vAlign w:val="bottom"/>
            <w:shd w:val="clear" w:color="auto" w:fill="FF8B00"/>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3340" w:type="dxa"/>
            <w:vAlign w:val="bottom"/>
            <w:gridSpan w:val="2"/>
            <w:vMerge w:val="continue"/>
          </w:tcPr>
          <w:p>
            <w:pPr>
              <w:spacing w:after="0"/>
              <w:rPr>
                <w:sz w:val="10"/>
                <w:szCs w:val="10"/>
                <w:color w:val="auto"/>
              </w:rPr>
            </w:pPr>
          </w:p>
        </w:tc>
        <w:tc>
          <w:tcPr>
            <w:tcW w:w="84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380" w:type="dxa"/>
            <w:vAlign w:val="bottom"/>
          </w:tcPr>
          <w:p>
            <w:pPr>
              <w:ind w:left="660"/>
              <w:spacing w:after="0" w:line="121" w:lineRule="exact"/>
              <w:rPr>
                <w:sz w:val="20"/>
                <w:szCs w:val="20"/>
                <w:color w:val="auto"/>
              </w:rPr>
            </w:pPr>
            <w:r>
              <w:rPr>
                <w:rFonts w:ascii="Arial" w:cs="Arial" w:eastAsia="Arial" w:hAnsi="Arial"/>
                <w:sz w:val="11"/>
                <w:szCs w:val="11"/>
                <w:color w:val="auto"/>
              </w:rPr>
              <w:t>UPSTREAM</w:t>
            </w:r>
          </w:p>
        </w:tc>
        <w:tc>
          <w:tcPr>
            <w:tcW w:w="11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7"/>
        </w:trPr>
        <w:tc>
          <w:tcPr>
            <w:tcW w:w="5600" w:type="dxa"/>
            <w:vAlign w:val="bottom"/>
            <w:gridSpan w:val="5"/>
          </w:tcPr>
          <w:p>
            <w:pPr>
              <w:spacing w:after="0"/>
              <w:rPr>
                <w:sz w:val="20"/>
                <w:szCs w:val="20"/>
                <w:color w:val="auto"/>
              </w:rPr>
            </w:pPr>
            <w:r>
              <w:rPr>
                <w:rFonts w:ascii="Arial" w:cs="Arial" w:eastAsia="Arial" w:hAnsi="Arial"/>
                <w:sz w:val="18"/>
                <w:szCs w:val="18"/>
                <w:color w:val="auto"/>
              </w:rPr>
              <w:t>OIL AND GAS PRODUCTION (AVAILABLE FOR SALE)</w:t>
            </w:r>
          </w:p>
        </w:tc>
        <w:tc>
          <w:tcPr>
            <w:tcW w:w="2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9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60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3340" w:type="dxa"/>
            <w:vAlign w:val="bottom"/>
            <w:gridSpan w:val="2"/>
            <w:shd w:val="clear" w:color="auto" w:fill="333333"/>
          </w:tcPr>
          <w:p>
            <w:pPr>
              <w:ind w:left="80"/>
              <w:spacing w:after="0" w:line="162" w:lineRule="exact"/>
              <w:rPr>
                <w:sz w:val="20"/>
                <w:szCs w:val="20"/>
                <w:color w:val="auto"/>
              </w:rPr>
            </w:pPr>
            <w:r>
              <w:rPr>
                <w:rFonts w:ascii="Arial" w:cs="Arial" w:eastAsia="Arial" w:hAnsi="Arial"/>
                <w:sz w:val="15"/>
                <w:szCs w:val="15"/>
                <w:b w:val="1"/>
                <w:bCs w:val="1"/>
                <w:color w:val="FFFFFF"/>
              </w:rPr>
              <w:t xml:space="preserve">CRUDE OIL AND NATURAL GAS LIQUIDS </w:t>
            </w:r>
            <w:r>
              <w:rPr>
                <w:rFonts w:ascii="Arial" w:cs="Arial" w:eastAsia="Arial" w:hAnsi="Arial"/>
                <w:sz w:val="15"/>
                <w:szCs w:val="15"/>
                <w:color w:val="FFFFFF"/>
              </w:rPr>
              <w:t>[A]</w:t>
            </w:r>
          </w:p>
        </w:tc>
        <w:tc>
          <w:tcPr>
            <w:tcW w:w="840" w:type="dxa"/>
            <w:vAlign w:val="bottom"/>
            <w:shd w:val="clear" w:color="auto" w:fill="333333"/>
          </w:tcPr>
          <w:p>
            <w:pPr>
              <w:spacing w:after="0"/>
              <w:rPr>
                <w:sz w:val="14"/>
                <w:szCs w:val="14"/>
                <w:color w:val="auto"/>
              </w:rPr>
            </w:pPr>
          </w:p>
        </w:tc>
        <w:tc>
          <w:tcPr>
            <w:tcW w:w="1320" w:type="dxa"/>
            <w:vAlign w:val="bottom"/>
            <w:shd w:val="clear" w:color="auto" w:fill="333333"/>
          </w:tcPr>
          <w:p>
            <w:pPr>
              <w:spacing w:after="0"/>
              <w:rPr>
                <w:sz w:val="14"/>
                <w:szCs w:val="14"/>
                <w:color w:val="auto"/>
              </w:rPr>
            </w:pPr>
          </w:p>
        </w:tc>
        <w:tc>
          <w:tcPr>
            <w:tcW w:w="100" w:type="dxa"/>
            <w:vAlign w:val="bottom"/>
            <w:shd w:val="clear" w:color="auto" w:fill="333333"/>
          </w:tcPr>
          <w:p>
            <w:pPr>
              <w:spacing w:after="0"/>
              <w:rPr>
                <w:sz w:val="14"/>
                <w:szCs w:val="14"/>
                <w:color w:val="auto"/>
              </w:rPr>
            </w:pPr>
          </w:p>
        </w:tc>
        <w:tc>
          <w:tcPr>
            <w:tcW w:w="280" w:type="dxa"/>
            <w:vAlign w:val="bottom"/>
            <w:shd w:val="clear" w:color="auto" w:fill="333333"/>
          </w:tcPr>
          <w:p>
            <w:pPr>
              <w:spacing w:after="0"/>
              <w:rPr>
                <w:sz w:val="14"/>
                <w:szCs w:val="14"/>
                <w:color w:val="auto"/>
              </w:rPr>
            </w:pPr>
          </w:p>
        </w:tc>
        <w:tc>
          <w:tcPr>
            <w:tcW w:w="1380" w:type="dxa"/>
            <w:vAlign w:val="bottom"/>
            <w:shd w:val="clear" w:color="auto" w:fill="333333"/>
          </w:tcPr>
          <w:p>
            <w:pPr>
              <w:spacing w:after="0"/>
              <w:rPr>
                <w:sz w:val="14"/>
                <w:szCs w:val="14"/>
                <w:color w:val="auto"/>
              </w:rPr>
            </w:pPr>
          </w:p>
        </w:tc>
        <w:tc>
          <w:tcPr>
            <w:tcW w:w="1180" w:type="dxa"/>
            <w:vAlign w:val="bottom"/>
            <w:shd w:val="clear" w:color="auto" w:fill="333333"/>
          </w:tcPr>
          <w:p>
            <w:pPr>
              <w:spacing w:after="0"/>
              <w:rPr>
                <w:sz w:val="14"/>
                <w:szCs w:val="14"/>
                <w:color w:val="auto"/>
              </w:rPr>
            </w:pPr>
          </w:p>
        </w:tc>
        <w:tc>
          <w:tcPr>
            <w:tcW w:w="380" w:type="dxa"/>
            <w:vAlign w:val="bottom"/>
            <w:shd w:val="clear" w:color="auto" w:fill="333333"/>
          </w:tcPr>
          <w:p>
            <w:pPr>
              <w:spacing w:after="0"/>
              <w:rPr>
                <w:sz w:val="14"/>
                <w:szCs w:val="14"/>
                <w:color w:val="auto"/>
              </w:rPr>
            </w:pPr>
          </w:p>
        </w:tc>
        <w:tc>
          <w:tcPr>
            <w:tcW w:w="2600" w:type="dxa"/>
            <w:vAlign w:val="bottom"/>
            <w:gridSpan w:val="2"/>
            <w:shd w:val="clear" w:color="auto" w:fill="333333"/>
          </w:tcPr>
          <w:p>
            <w:pPr>
              <w:jc w:val="right"/>
              <w:ind w:right="70"/>
              <w:spacing w:after="0" w:line="162" w:lineRule="exact"/>
              <w:rPr>
                <w:sz w:val="20"/>
                <w:szCs w:val="20"/>
                <w:color w:val="auto"/>
              </w:rPr>
            </w:pPr>
            <w:r>
              <w:rPr>
                <w:rFonts w:ascii="Arial" w:cs="Arial" w:eastAsia="Arial" w:hAnsi="Arial"/>
                <w:sz w:val="15"/>
                <w:szCs w:val="15"/>
                <w:color w:val="FFFFFF"/>
              </w:rPr>
              <w:t>THOUSAND BARRELS</w:t>
            </w:r>
          </w:p>
        </w:tc>
        <w:tc>
          <w:tcPr>
            <w:tcW w:w="0" w:type="dxa"/>
            <w:vAlign w:val="bottom"/>
          </w:tcPr>
          <w:p>
            <w:pPr>
              <w:spacing w:after="0"/>
              <w:rPr>
                <w:sz w:val="1"/>
                <w:szCs w:val="1"/>
                <w:color w:val="auto"/>
              </w:rPr>
            </w:pPr>
          </w:p>
        </w:tc>
      </w:tr>
      <w:tr>
        <w:trPr>
          <w:trHeight w:val="135"/>
        </w:trPr>
        <w:tc>
          <w:tcPr>
            <w:tcW w:w="2960" w:type="dxa"/>
            <w:vAlign w:val="bottom"/>
          </w:tcPr>
          <w:p>
            <w:pPr>
              <w:spacing w:after="0"/>
              <w:rPr>
                <w:sz w:val="11"/>
                <w:szCs w:val="11"/>
                <w:color w:val="auto"/>
              </w:rPr>
            </w:pPr>
          </w:p>
        </w:tc>
        <w:tc>
          <w:tcPr>
            <w:tcW w:w="380" w:type="dxa"/>
            <w:vAlign w:val="bottom"/>
            <w:tcBorders>
              <w:bottom w:val="single" w:sz="8" w:color="auto"/>
            </w:tcBorders>
            <w:shd w:val="clear" w:color="auto" w:fill="D8D8D8"/>
          </w:tcPr>
          <w:p>
            <w:pPr>
              <w:spacing w:after="0"/>
              <w:rPr>
                <w:sz w:val="11"/>
                <w:szCs w:val="11"/>
                <w:color w:val="auto"/>
              </w:rPr>
            </w:pPr>
          </w:p>
        </w:tc>
        <w:tc>
          <w:tcPr>
            <w:tcW w:w="840" w:type="dxa"/>
            <w:vAlign w:val="bottom"/>
            <w:tcBorders>
              <w:bottom w:val="single" w:sz="8" w:color="auto"/>
            </w:tcBorders>
            <w:shd w:val="clear" w:color="auto" w:fill="D8D8D8"/>
          </w:tcPr>
          <w:p>
            <w:pPr>
              <w:spacing w:after="0"/>
              <w:rPr>
                <w:sz w:val="11"/>
                <w:szCs w:val="11"/>
                <w:color w:val="auto"/>
              </w:rPr>
            </w:pPr>
          </w:p>
        </w:tc>
        <w:tc>
          <w:tcPr>
            <w:tcW w:w="1320" w:type="dxa"/>
            <w:vAlign w:val="bottom"/>
            <w:tcBorders>
              <w:bottom w:val="single" w:sz="8" w:color="auto"/>
            </w:tcBorders>
            <w:shd w:val="clear" w:color="auto" w:fill="D8D8D8"/>
          </w:tcPr>
          <w:p>
            <w:pPr>
              <w:jc w:val="right"/>
              <w:ind w:right="149"/>
              <w:spacing w:after="0" w:line="135" w:lineRule="exact"/>
              <w:rPr>
                <w:sz w:val="20"/>
                <w:szCs w:val="20"/>
                <w:color w:val="auto"/>
              </w:rPr>
            </w:pPr>
            <w:r>
              <w:rPr>
                <w:rFonts w:ascii="Arial" w:cs="Arial" w:eastAsia="Arial" w:hAnsi="Arial"/>
                <w:sz w:val="13"/>
                <w:szCs w:val="13"/>
                <w:color w:val="auto"/>
              </w:rPr>
              <w:t>2014</w:t>
            </w: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380" w:type="dxa"/>
            <w:vAlign w:val="bottom"/>
            <w:tcBorders>
              <w:bottom w:val="single" w:sz="8" w:color="auto"/>
            </w:tcBorders>
          </w:tcPr>
          <w:p>
            <w:pPr>
              <w:spacing w:after="0"/>
              <w:rPr>
                <w:sz w:val="11"/>
                <w:szCs w:val="11"/>
                <w:color w:val="auto"/>
              </w:rPr>
            </w:pPr>
          </w:p>
        </w:tc>
        <w:tc>
          <w:tcPr>
            <w:tcW w:w="1180" w:type="dxa"/>
            <w:vAlign w:val="bottom"/>
            <w:tcBorders>
              <w:bottom w:val="single" w:sz="8" w:color="auto"/>
            </w:tcBorders>
          </w:tcPr>
          <w:p>
            <w:pPr>
              <w:jc w:val="right"/>
              <w:ind w:right="149"/>
              <w:spacing w:after="0" w:line="135" w:lineRule="exact"/>
              <w:rPr>
                <w:sz w:val="20"/>
                <w:szCs w:val="20"/>
                <w:color w:val="auto"/>
              </w:rPr>
            </w:pPr>
            <w:r>
              <w:rPr>
                <w:rFonts w:ascii="Arial" w:cs="Arial" w:eastAsia="Arial" w:hAnsi="Arial"/>
                <w:sz w:val="13"/>
                <w:szCs w:val="13"/>
                <w:color w:val="auto"/>
              </w:rPr>
              <w:t>2013</w:t>
            </w:r>
          </w:p>
        </w:tc>
        <w:tc>
          <w:tcPr>
            <w:tcW w:w="380" w:type="dxa"/>
            <w:vAlign w:val="bottom"/>
          </w:tcPr>
          <w:p>
            <w:pPr>
              <w:spacing w:after="0"/>
              <w:rPr>
                <w:sz w:val="11"/>
                <w:szCs w:val="11"/>
                <w:color w:val="auto"/>
              </w:rPr>
            </w:pPr>
          </w:p>
        </w:tc>
        <w:tc>
          <w:tcPr>
            <w:tcW w:w="1340" w:type="dxa"/>
            <w:vAlign w:val="bottom"/>
            <w:tcBorders>
              <w:bottom w:val="single" w:sz="8" w:color="auto"/>
            </w:tcBorders>
          </w:tcPr>
          <w:p>
            <w:pPr>
              <w:spacing w:after="0"/>
              <w:rPr>
                <w:sz w:val="11"/>
                <w:szCs w:val="11"/>
                <w:color w:val="auto"/>
              </w:rPr>
            </w:pPr>
          </w:p>
        </w:tc>
        <w:tc>
          <w:tcPr>
            <w:tcW w:w="1260" w:type="dxa"/>
            <w:vAlign w:val="bottom"/>
            <w:tcBorders>
              <w:bottom w:val="single" w:sz="8" w:color="auto"/>
            </w:tcBorders>
          </w:tcPr>
          <w:p>
            <w:pPr>
              <w:jc w:val="right"/>
              <w:ind w:right="150"/>
              <w:spacing w:after="0" w:line="135" w:lineRule="exact"/>
              <w:rPr>
                <w:sz w:val="20"/>
                <w:szCs w:val="20"/>
                <w:color w:val="auto"/>
              </w:rPr>
            </w:pPr>
            <w:r>
              <w:rPr>
                <w:rFonts w:ascii="Arial" w:cs="Arial" w:eastAsia="Arial" w:hAnsi="Arial"/>
                <w:sz w:val="13"/>
                <w:szCs w:val="13"/>
                <w:color w:val="auto"/>
              </w:rPr>
              <w:t>2012</w:t>
            </w:r>
          </w:p>
        </w:tc>
        <w:tc>
          <w:tcPr>
            <w:tcW w:w="0" w:type="dxa"/>
            <w:vAlign w:val="bottom"/>
          </w:tcPr>
          <w:p>
            <w:pPr>
              <w:spacing w:after="0"/>
              <w:rPr>
                <w:sz w:val="1"/>
                <w:szCs w:val="1"/>
                <w:color w:val="auto"/>
              </w:rPr>
            </w:pPr>
          </w:p>
        </w:tc>
      </w:tr>
      <w:tr>
        <w:trPr>
          <w:trHeight w:val="123"/>
        </w:trPr>
        <w:tc>
          <w:tcPr>
            <w:tcW w:w="2960" w:type="dxa"/>
            <w:vAlign w:val="bottom"/>
          </w:tcPr>
          <w:p>
            <w:pPr>
              <w:spacing w:after="0"/>
              <w:rPr>
                <w:sz w:val="10"/>
                <w:szCs w:val="10"/>
                <w:color w:val="auto"/>
              </w:rPr>
            </w:pPr>
          </w:p>
        </w:tc>
        <w:tc>
          <w:tcPr>
            <w:tcW w:w="380" w:type="dxa"/>
            <w:vAlign w:val="bottom"/>
            <w:shd w:val="clear" w:color="auto" w:fill="D8D8D8"/>
          </w:tcPr>
          <w:p>
            <w:pPr>
              <w:spacing w:after="0"/>
              <w:rPr>
                <w:sz w:val="10"/>
                <w:szCs w:val="10"/>
                <w:color w:val="auto"/>
              </w:rPr>
            </w:pPr>
          </w:p>
        </w:tc>
        <w:tc>
          <w:tcPr>
            <w:tcW w:w="840" w:type="dxa"/>
            <w:vAlign w:val="bottom"/>
            <w:shd w:val="clear" w:color="auto" w:fill="D8D8D8"/>
          </w:tcPr>
          <w:p>
            <w:pPr>
              <w:spacing w:after="0"/>
              <w:rPr>
                <w:sz w:val="10"/>
                <w:szCs w:val="10"/>
                <w:color w:val="auto"/>
              </w:rPr>
            </w:pPr>
          </w:p>
        </w:tc>
        <w:tc>
          <w:tcPr>
            <w:tcW w:w="1320" w:type="dxa"/>
            <w:vAlign w:val="bottom"/>
            <w:shd w:val="clear" w:color="auto" w:fill="D8D8D8"/>
          </w:tcPr>
          <w:p>
            <w:pPr>
              <w:jc w:val="right"/>
              <w:ind w:right="149"/>
              <w:spacing w:after="0" w:line="123" w:lineRule="exact"/>
              <w:rPr>
                <w:sz w:val="20"/>
                <w:szCs w:val="20"/>
                <w:color w:val="auto"/>
              </w:rPr>
            </w:pPr>
            <w:r>
              <w:rPr>
                <w:rFonts w:ascii="Arial" w:cs="Arial" w:eastAsia="Arial" w:hAnsi="Arial"/>
                <w:sz w:val="13"/>
                <w:szCs w:val="13"/>
                <w:color w:val="auto"/>
              </w:rPr>
              <w:t>Shell share of</w:t>
            </w:r>
          </w:p>
        </w:tc>
        <w:tc>
          <w:tcPr>
            <w:tcW w:w="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1180" w:type="dxa"/>
            <w:vAlign w:val="bottom"/>
          </w:tcPr>
          <w:p>
            <w:pPr>
              <w:jc w:val="right"/>
              <w:ind w:right="149"/>
              <w:spacing w:after="0" w:line="123" w:lineRule="exact"/>
              <w:rPr>
                <w:sz w:val="20"/>
                <w:szCs w:val="20"/>
                <w:color w:val="auto"/>
              </w:rPr>
            </w:pPr>
            <w:r>
              <w:rPr>
                <w:rFonts w:ascii="Arial" w:cs="Arial" w:eastAsia="Arial" w:hAnsi="Arial"/>
                <w:sz w:val="13"/>
                <w:szCs w:val="13"/>
                <w:color w:val="auto"/>
              </w:rPr>
              <w:t>Shell share of</w:t>
            </w:r>
          </w:p>
        </w:tc>
        <w:tc>
          <w:tcPr>
            <w:tcW w:w="38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1260" w:type="dxa"/>
            <w:vAlign w:val="bottom"/>
          </w:tcPr>
          <w:p>
            <w:pPr>
              <w:jc w:val="right"/>
              <w:ind w:right="150"/>
              <w:spacing w:after="0" w:line="123" w:lineRule="exact"/>
              <w:rPr>
                <w:sz w:val="20"/>
                <w:szCs w:val="20"/>
                <w:color w:val="auto"/>
              </w:rPr>
            </w:pPr>
            <w:r>
              <w:rPr>
                <w:rFonts w:ascii="Arial" w:cs="Arial" w:eastAsia="Arial" w:hAnsi="Arial"/>
                <w:sz w:val="13"/>
                <w:szCs w:val="13"/>
                <w:color w:val="auto"/>
              </w:rPr>
              <w:t>Shell share of</w:t>
            </w:r>
          </w:p>
        </w:tc>
        <w:tc>
          <w:tcPr>
            <w:tcW w:w="0" w:type="dxa"/>
            <w:vAlign w:val="bottom"/>
          </w:tcPr>
          <w:p>
            <w:pPr>
              <w:spacing w:after="0"/>
              <w:rPr>
                <w:sz w:val="1"/>
                <w:szCs w:val="1"/>
                <w:color w:val="auto"/>
              </w:rPr>
            </w:pPr>
          </w:p>
        </w:tc>
      </w:tr>
      <w:tr>
        <w:trPr>
          <w:trHeight w:val="135"/>
        </w:trPr>
        <w:tc>
          <w:tcPr>
            <w:tcW w:w="2960" w:type="dxa"/>
            <w:vAlign w:val="bottom"/>
          </w:tcPr>
          <w:p>
            <w:pPr>
              <w:spacing w:after="0"/>
              <w:rPr>
                <w:sz w:val="11"/>
                <w:szCs w:val="11"/>
                <w:color w:val="auto"/>
              </w:rPr>
            </w:pPr>
          </w:p>
        </w:tc>
        <w:tc>
          <w:tcPr>
            <w:tcW w:w="380" w:type="dxa"/>
            <w:vAlign w:val="bottom"/>
            <w:shd w:val="clear" w:color="auto" w:fill="D8D8D8"/>
          </w:tcPr>
          <w:p>
            <w:pPr>
              <w:spacing w:after="0"/>
              <w:rPr>
                <w:sz w:val="11"/>
                <w:szCs w:val="11"/>
                <w:color w:val="auto"/>
              </w:rPr>
            </w:pPr>
          </w:p>
        </w:tc>
        <w:tc>
          <w:tcPr>
            <w:tcW w:w="840" w:type="dxa"/>
            <w:vAlign w:val="bottom"/>
            <w:shd w:val="clear" w:color="auto" w:fill="D8D8D8"/>
          </w:tcPr>
          <w:p>
            <w:pPr>
              <w:jc w:val="right"/>
              <w:ind w:right="9"/>
              <w:spacing w:after="0" w:line="135" w:lineRule="exact"/>
              <w:rPr>
                <w:sz w:val="20"/>
                <w:szCs w:val="20"/>
                <w:color w:val="auto"/>
              </w:rPr>
            </w:pPr>
            <w:r>
              <w:rPr>
                <w:rFonts w:ascii="Arial" w:cs="Arial" w:eastAsia="Arial" w:hAnsi="Arial"/>
                <w:sz w:val="13"/>
                <w:szCs w:val="13"/>
                <w:color w:val="auto"/>
              </w:rPr>
              <w:t>Shell</w:t>
            </w:r>
          </w:p>
        </w:tc>
        <w:tc>
          <w:tcPr>
            <w:tcW w:w="1320" w:type="dxa"/>
            <w:vAlign w:val="bottom"/>
            <w:shd w:val="clear" w:color="auto" w:fill="D8D8D8"/>
          </w:tcPr>
          <w:p>
            <w:pPr>
              <w:jc w:val="right"/>
              <w:ind w:right="149"/>
              <w:spacing w:after="0" w:line="135" w:lineRule="exact"/>
              <w:rPr>
                <w:sz w:val="20"/>
                <w:szCs w:val="20"/>
                <w:color w:val="auto"/>
              </w:rPr>
            </w:pPr>
            <w:r>
              <w:rPr>
                <w:rFonts w:ascii="Arial" w:cs="Arial" w:eastAsia="Arial" w:hAnsi="Arial"/>
                <w:sz w:val="13"/>
                <w:szCs w:val="13"/>
                <w:color w:val="auto"/>
              </w:rPr>
              <w:t>joint ventures</w:t>
            </w: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380" w:type="dxa"/>
            <w:vAlign w:val="bottom"/>
          </w:tcPr>
          <w:p>
            <w:pPr>
              <w:jc w:val="right"/>
              <w:ind w:right="177"/>
              <w:spacing w:after="0" w:line="135" w:lineRule="exact"/>
              <w:rPr>
                <w:sz w:val="20"/>
                <w:szCs w:val="20"/>
                <w:color w:val="auto"/>
              </w:rPr>
            </w:pPr>
            <w:r>
              <w:rPr>
                <w:rFonts w:ascii="Arial" w:cs="Arial" w:eastAsia="Arial" w:hAnsi="Arial"/>
                <w:sz w:val="13"/>
                <w:szCs w:val="13"/>
                <w:color w:val="auto"/>
              </w:rPr>
              <w:t>Shell</w:t>
            </w:r>
          </w:p>
        </w:tc>
        <w:tc>
          <w:tcPr>
            <w:tcW w:w="1560" w:type="dxa"/>
            <w:vAlign w:val="bottom"/>
            <w:gridSpan w:val="2"/>
          </w:tcPr>
          <w:p>
            <w:pPr>
              <w:jc w:val="right"/>
              <w:ind w:right="600"/>
              <w:spacing w:after="0" w:line="135" w:lineRule="exact"/>
              <w:rPr>
                <w:sz w:val="20"/>
                <w:szCs w:val="20"/>
                <w:color w:val="auto"/>
              </w:rPr>
            </w:pPr>
            <w:r>
              <w:rPr>
                <w:rFonts w:ascii="Arial" w:cs="Arial" w:eastAsia="Arial" w:hAnsi="Arial"/>
                <w:sz w:val="13"/>
                <w:szCs w:val="13"/>
                <w:color w:val="auto"/>
              </w:rPr>
              <w:t>joint ventures</w:t>
            </w:r>
          </w:p>
        </w:tc>
        <w:tc>
          <w:tcPr>
            <w:tcW w:w="1340" w:type="dxa"/>
            <w:vAlign w:val="bottom"/>
          </w:tcPr>
          <w:p>
            <w:pPr>
              <w:jc w:val="right"/>
              <w:ind w:right="128"/>
              <w:spacing w:after="0" w:line="135" w:lineRule="exact"/>
              <w:rPr>
                <w:sz w:val="20"/>
                <w:szCs w:val="20"/>
                <w:color w:val="auto"/>
              </w:rPr>
            </w:pPr>
            <w:r>
              <w:rPr>
                <w:rFonts w:ascii="Arial" w:cs="Arial" w:eastAsia="Arial" w:hAnsi="Arial"/>
                <w:sz w:val="13"/>
                <w:szCs w:val="13"/>
                <w:color w:val="auto"/>
              </w:rPr>
              <w:t>Shell</w:t>
            </w:r>
          </w:p>
        </w:tc>
        <w:tc>
          <w:tcPr>
            <w:tcW w:w="1260" w:type="dxa"/>
            <w:vAlign w:val="bottom"/>
          </w:tcPr>
          <w:p>
            <w:pPr>
              <w:jc w:val="right"/>
              <w:ind w:right="150"/>
              <w:spacing w:after="0" w:line="135" w:lineRule="exact"/>
              <w:rPr>
                <w:sz w:val="20"/>
                <w:szCs w:val="20"/>
                <w:color w:val="auto"/>
              </w:rPr>
            </w:pPr>
            <w:r>
              <w:rPr>
                <w:rFonts w:ascii="Arial" w:cs="Arial" w:eastAsia="Arial" w:hAnsi="Arial"/>
                <w:sz w:val="13"/>
                <w:szCs w:val="13"/>
                <w:color w:val="auto"/>
              </w:rPr>
              <w:t>joint ventures</w:t>
            </w:r>
          </w:p>
        </w:tc>
        <w:tc>
          <w:tcPr>
            <w:tcW w:w="0" w:type="dxa"/>
            <w:vAlign w:val="bottom"/>
          </w:tcPr>
          <w:p>
            <w:pPr>
              <w:spacing w:after="0"/>
              <w:rPr>
                <w:sz w:val="1"/>
                <w:szCs w:val="1"/>
                <w:color w:val="auto"/>
              </w:rPr>
            </w:pPr>
          </w:p>
        </w:tc>
      </w:tr>
      <w:tr>
        <w:trPr>
          <w:trHeight w:val="141"/>
        </w:trPr>
        <w:tc>
          <w:tcPr>
            <w:tcW w:w="296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shd w:val="clear" w:color="auto" w:fill="D8D8D8"/>
          </w:tcPr>
          <w:p>
            <w:pPr>
              <w:spacing w:after="0"/>
              <w:rPr>
                <w:sz w:val="12"/>
                <w:szCs w:val="12"/>
                <w:color w:val="auto"/>
              </w:rPr>
            </w:pPr>
          </w:p>
        </w:tc>
        <w:tc>
          <w:tcPr>
            <w:tcW w:w="840" w:type="dxa"/>
            <w:vAlign w:val="bottom"/>
            <w:tcBorders>
              <w:bottom w:val="single" w:sz="8" w:color="auto"/>
            </w:tcBorders>
            <w:shd w:val="clear" w:color="auto" w:fill="D8D8D8"/>
          </w:tcPr>
          <w:p>
            <w:pPr>
              <w:jc w:val="right"/>
              <w:ind w:right="9"/>
              <w:spacing w:after="0" w:line="141" w:lineRule="exact"/>
              <w:rPr>
                <w:sz w:val="20"/>
                <w:szCs w:val="20"/>
                <w:color w:val="auto"/>
              </w:rPr>
            </w:pPr>
            <w:r>
              <w:rPr>
                <w:rFonts w:ascii="Arial" w:cs="Arial" w:eastAsia="Arial" w:hAnsi="Arial"/>
                <w:sz w:val="13"/>
                <w:szCs w:val="13"/>
                <w:color w:val="auto"/>
              </w:rPr>
              <w:t>subsidiaries</w:t>
            </w:r>
          </w:p>
        </w:tc>
        <w:tc>
          <w:tcPr>
            <w:tcW w:w="1320" w:type="dxa"/>
            <w:vAlign w:val="bottom"/>
            <w:tcBorders>
              <w:bottom w:val="single" w:sz="8" w:color="auto"/>
            </w:tcBorders>
            <w:shd w:val="clear" w:color="auto" w:fill="D8D8D8"/>
          </w:tcPr>
          <w:p>
            <w:pPr>
              <w:jc w:val="right"/>
              <w:ind w:right="149"/>
              <w:spacing w:after="0" w:line="141" w:lineRule="exact"/>
              <w:rPr>
                <w:sz w:val="20"/>
                <w:szCs w:val="20"/>
                <w:color w:val="auto"/>
              </w:rPr>
            </w:pPr>
            <w:r>
              <w:rPr>
                <w:rFonts w:ascii="Arial" w:cs="Arial" w:eastAsia="Arial" w:hAnsi="Arial"/>
                <w:sz w:val="13"/>
                <w:szCs w:val="13"/>
                <w:color w:val="auto"/>
              </w:rPr>
              <w:t>and associates</w:t>
            </w:r>
          </w:p>
        </w:tc>
        <w:tc>
          <w:tcPr>
            <w:tcW w:w="10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380" w:type="dxa"/>
            <w:vAlign w:val="bottom"/>
            <w:tcBorders>
              <w:bottom w:val="single" w:sz="8" w:color="auto"/>
            </w:tcBorders>
          </w:tcPr>
          <w:p>
            <w:pPr>
              <w:jc w:val="right"/>
              <w:ind w:right="177"/>
              <w:spacing w:after="0" w:line="141" w:lineRule="exact"/>
              <w:rPr>
                <w:sz w:val="20"/>
                <w:szCs w:val="20"/>
                <w:color w:val="auto"/>
              </w:rPr>
            </w:pPr>
            <w:r>
              <w:rPr>
                <w:rFonts w:ascii="Arial" w:cs="Arial" w:eastAsia="Arial" w:hAnsi="Arial"/>
                <w:sz w:val="13"/>
                <w:szCs w:val="13"/>
                <w:color w:val="auto"/>
              </w:rPr>
              <w:t>subsidiaries</w:t>
            </w:r>
          </w:p>
        </w:tc>
        <w:tc>
          <w:tcPr>
            <w:tcW w:w="1560" w:type="dxa"/>
            <w:vAlign w:val="bottom"/>
            <w:tcBorders>
              <w:bottom w:val="single" w:sz="8" w:color="auto"/>
            </w:tcBorders>
            <w:gridSpan w:val="2"/>
          </w:tcPr>
          <w:p>
            <w:pPr>
              <w:jc w:val="right"/>
              <w:ind w:right="600"/>
              <w:spacing w:after="0" w:line="141" w:lineRule="exact"/>
              <w:rPr>
                <w:sz w:val="20"/>
                <w:szCs w:val="20"/>
                <w:color w:val="auto"/>
              </w:rPr>
            </w:pPr>
            <w:r>
              <w:rPr>
                <w:rFonts w:ascii="Arial" w:cs="Arial" w:eastAsia="Arial" w:hAnsi="Arial"/>
                <w:sz w:val="13"/>
                <w:szCs w:val="13"/>
                <w:color w:val="auto"/>
              </w:rPr>
              <w:t>and associates</w:t>
            </w:r>
          </w:p>
        </w:tc>
        <w:tc>
          <w:tcPr>
            <w:tcW w:w="1340" w:type="dxa"/>
            <w:vAlign w:val="bottom"/>
            <w:tcBorders>
              <w:bottom w:val="single" w:sz="8" w:color="auto"/>
            </w:tcBorders>
          </w:tcPr>
          <w:p>
            <w:pPr>
              <w:jc w:val="right"/>
              <w:ind w:right="128"/>
              <w:spacing w:after="0" w:line="141" w:lineRule="exact"/>
              <w:rPr>
                <w:sz w:val="20"/>
                <w:szCs w:val="20"/>
                <w:color w:val="auto"/>
              </w:rPr>
            </w:pPr>
            <w:r>
              <w:rPr>
                <w:rFonts w:ascii="Arial" w:cs="Arial" w:eastAsia="Arial" w:hAnsi="Arial"/>
                <w:sz w:val="13"/>
                <w:szCs w:val="13"/>
                <w:color w:val="auto"/>
              </w:rPr>
              <w:t>subsidiaries</w:t>
            </w:r>
          </w:p>
        </w:tc>
        <w:tc>
          <w:tcPr>
            <w:tcW w:w="1260" w:type="dxa"/>
            <w:vAlign w:val="bottom"/>
            <w:tcBorders>
              <w:bottom w:val="single" w:sz="8" w:color="auto"/>
            </w:tcBorders>
          </w:tcPr>
          <w:p>
            <w:pPr>
              <w:jc w:val="right"/>
              <w:ind w:right="150"/>
              <w:spacing w:after="0" w:line="141" w:lineRule="exact"/>
              <w:rPr>
                <w:sz w:val="20"/>
                <w:szCs w:val="20"/>
                <w:color w:val="auto"/>
              </w:rPr>
            </w:pPr>
            <w:r>
              <w:rPr>
                <w:rFonts w:ascii="Arial" w:cs="Arial" w:eastAsia="Arial" w:hAnsi="Arial"/>
                <w:sz w:val="13"/>
                <w:szCs w:val="13"/>
                <w:color w:val="auto"/>
              </w:rPr>
              <w:t>and associates</w:t>
            </w:r>
          </w:p>
        </w:tc>
        <w:tc>
          <w:tcPr>
            <w:tcW w:w="0" w:type="dxa"/>
            <w:vAlign w:val="bottom"/>
          </w:tcPr>
          <w:p>
            <w:pPr>
              <w:spacing w:after="0"/>
              <w:rPr>
                <w:sz w:val="1"/>
                <w:szCs w:val="1"/>
                <w:color w:val="auto"/>
              </w:rPr>
            </w:pPr>
          </w:p>
        </w:tc>
      </w:tr>
      <w:tr>
        <w:trPr>
          <w:trHeight w:val="156"/>
        </w:trPr>
        <w:tc>
          <w:tcPr>
            <w:tcW w:w="2960" w:type="dxa"/>
            <w:vAlign w:val="bottom"/>
          </w:tcPr>
          <w:p>
            <w:pPr>
              <w:spacing w:after="0" w:line="155" w:lineRule="exact"/>
              <w:rPr>
                <w:sz w:val="20"/>
                <w:szCs w:val="20"/>
                <w:color w:val="auto"/>
              </w:rPr>
            </w:pPr>
            <w:r>
              <w:rPr>
                <w:rFonts w:ascii="Arial" w:cs="Arial" w:eastAsia="Arial" w:hAnsi="Arial"/>
                <w:sz w:val="14"/>
                <w:szCs w:val="14"/>
                <w:color w:val="auto"/>
              </w:rPr>
              <w:t>Europe</w:t>
            </w:r>
          </w:p>
        </w:tc>
        <w:tc>
          <w:tcPr>
            <w:tcW w:w="380" w:type="dxa"/>
            <w:vAlign w:val="bottom"/>
            <w:shd w:val="clear" w:color="auto" w:fill="D8D8D8"/>
          </w:tcPr>
          <w:p>
            <w:pPr>
              <w:spacing w:after="0"/>
              <w:rPr>
                <w:sz w:val="13"/>
                <w:szCs w:val="13"/>
                <w:color w:val="auto"/>
              </w:rPr>
            </w:pPr>
          </w:p>
        </w:tc>
        <w:tc>
          <w:tcPr>
            <w:tcW w:w="840" w:type="dxa"/>
            <w:vAlign w:val="bottom"/>
            <w:shd w:val="clear" w:color="auto" w:fill="D8D8D8"/>
          </w:tcPr>
          <w:p>
            <w:pPr>
              <w:spacing w:after="0"/>
              <w:rPr>
                <w:sz w:val="13"/>
                <w:szCs w:val="13"/>
                <w:color w:val="auto"/>
              </w:rPr>
            </w:pPr>
          </w:p>
        </w:tc>
        <w:tc>
          <w:tcPr>
            <w:tcW w:w="1320" w:type="dxa"/>
            <w:vAlign w:val="bottom"/>
            <w:shd w:val="clear" w:color="auto" w:fill="D8D8D8"/>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960" w:type="dxa"/>
            <w:vAlign w:val="bottom"/>
          </w:tcPr>
          <w:p>
            <w:pPr>
              <w:ind w:left="140"/>
              <w:spacing w:after="0"/>
              <w:rPr>
                <w:sz w:val="20"/>
                <w:szCs w:val="20"/>
                <w:color w:val="auto"/>
              </w:rPr>
            </w:pPr>
            <w:r>
              <w:rPr>
                <w:rFonts w:ascii="Arial" w:cs="Arial" w:eastAsia="Arial" w:hAnsi="Arial"/>
                <w:sz w:val="14"/>
                <w:szCs w:val="14"/>
                <w:color w:val="auto"/>
              </w:rPr>
              <w:t>Denmark</w:t>
            </w:r>
          </w:p>
        </w:tc>
        <w:tc>
          <w:tcPr>
            <w:tcW w:w="380" w:type="dxa"/>
            <w:vAlign w:val="bottom"/>
            <w:shd w:val="clear" w:color="auto" w:fill="D8D8D8"/>
          </w:tcPr>
          <w:p>
            <w:pPr>
              <w:spacing w:after="0"/>
              <w:rPr>
                <w:sz w:val="14"/>
                <w:szCs w:val="14"/>
                <w:color w:val="auto"/>
              </w:rPr>
            </w:pPr>
          </w:p>
        </w:tc>
        <w:tc>
          <w:tcPr>
            <w:tcW w:w="840" w:type="dxa"/>
            <w:vAlign w:val="bottom"/>
            <w:shd w:val="clear" w:color="auto" w:fill="D8D8D8"/>
          </w:tcPr>
          <w:p>
            <w:pPr>
              <w:jc w:val="right"/>
              <w:ind w:right="9"/>
              <w:spacing w:after="0"/>
              <w:rPr>
                <w:sz w:val="20"/>
                <w:szCs w:val="20"/>
                <w:color w:val="auto"/>
              </w:rPr>
            </w:pPr>
            <w:r>
              <w:rPr>
                <w:rFonts w:ascii="Arial" w:cs="Arial" w:eastAsia="Arial" w:hAnsi="Arial"/>
                <w:sz w:val="14"/>
                <w:szCs w:val="14"/>
                <w:color w:val="auto"/>
              </w:rPr>
              <w:t>18,834</w:t>
            </w:r>
          </w:p>
        </w:tc>
        <w:tc>
          <w:tcPr>
            <w:tcW w:w="1320" w:type="dxa"/>
            <w:vAlign w:val="bottom"/>
            <w:shd w:val="clear" w:color="auto" w:fill="D8D8D8"/>
          </w:tcPr>
          <w:p>
            <w:pPr>
              <w:jc w:val="right"/>
              <w:ind w:right="149"/>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660" w:type="dxa"/>
            <w:vAlign w:val="bottom"/>
            <w:gridSpan w:val="2"/>
          </w:tcPr>
          <w:p>
            <w:pPr>
              <w:jc w:val="right"/>
              <w:ind w:right="177"/>
              <w:spacing w:after="0"/>
              <w:rPr>
                <w:sz w:val="20"/>
                <w:szCs w:val="20"/>
                <w:color w:val="auto"/>
              </w:rPr>
            </w:pPr>
            <w:r>
              <w:rPr>
                <w:rFonts w:ascii="Arial" w:cs="Arial" w:eastAsia="Arial" w:hAnsi="Arial"/>
                <w:sz w:val="14"/>
                <w:szCs w:val="14"/>
                <w:color w:val="auto"/>
              </w:rPr>
              <w:t>20,927</w:t>
            </w:r>
          </w:p>
        </w:tc>
        <w:tc>
          <w:tcPr>
            <w:tcW w:w="1560" w:type="dxa"/>
            <w:vAlign w:val="bottom"/>
            <w:gridSpan w:val="2"/>
          </w:tcPr>
          <w:p>
            <w:pPr>
              <w:jc w:val="right"/>
              <w:ind w:right="600"/>
              <w:spacing w:after="0"/>
              <w:rPr>
                <w:sz w:val="20"/>
                <w:szCs w:val="20"/>
                <w:color w:val="auto"/>
              </w:rPr>
            </w:pPr>
            <w:r>
              <w:rPr>
                <w:rFonts w:ascii="Arial" w:cs="Arial" w:eastAsia="Arial" w:hAnsi="Arial"/>
                <w:sz w:val="14"/>
                <w:szCs w:val="14"/>
                <w:color w:val="auto"/>
              </w:rPr>
              <w:t>–</w:t>
            </w:r>
          </w:p>
        </w:tc>
        <w:tc>
          <w:tcPr>
            <w:tcW w:w="1340" w:type="dxa"/>
            <w:vAlign w:val="bottom"/>
          </w:tcPr>
          <w:p>
            <w:pPr>
              <w:jc w:val="right"/>
              <w:ind w:right="128"/>
              <w:spacing w:after="0"/>
              <w:rPr>
                <w:sz w:val="20"/>
                <w:szCs w:val="20"/>
                <w:color w:val="auto"/>
              </w:rPr>
            </w:pPr>
            <w:r>
              <w:rPr>
                <w:rFonts w:ascii="Arial" w:cs="Arial" w:eastAsia="Arial" w:hAnsi="Arial"/>
                <w:sz w:val="14"/>
                <w:szCs w:val="14"/>
                <w:color w:val="auto"/>
              </w:rPr>
              <w:t>26,748</w:t>
            </w:r>
          </w:p>
        </w:tc>
        <w:tc>
          <w:tcPr>
            <w:tcW w:w="1260" w:type="dxa"/>
            <w:vAlign w:val="bottom"/>
          </w:tcPr>
          <w:p>
            <w:pPr>
              <w:jc w:val="right"/>
              <w:ind w:right="15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2960" w:type="dxa"/>
            <w:vAlign w:val="bottom"/>
          </w:tcPr>
          <w:p>
            <w:pPr>
              <w:ind w:left="140"/>
              <w:spacing w:after="0"/>
              <w:rPr>
                <w:sz w:val="20"/>
                <w:szCs w:val="20"/>
                <w:color w:val="auto"/>
              </w:rPr>
            </w:pPr>
            <w:r>
              <w:rPr>
                <w:rFonts w:ascii="Arial" w:cs="Arial" w:eastAsia="Arial" w:hAnsi="Arial"/>
                <w:sz w:val="14"/>
                <w:szCs w:val="14"/>
                <w:color w:val="auto"/>
              </w:rPr>
              <w:t>Italy</w:t>
            </w:r>
          </w:p>
        </w:tc>
        <w:tc>
          <w:tcPr>
            <w:tcW w:w="380" w:type="dxa"/>
            <w:vAlign w:val="bottom"/>
            <w:shd w:val="clear" w:color="auto" w:fill="D8D8D8"/>
          </w:tcPr>
          <w:p>
            <w:pPr>
              <w:spacing w:after="0"/>
              <w:rPr>
                <w:sz w:val="14"/>
                <w:szCs w:val="14"/>
                <w:color w:val="auto"/>
              </w:rPr>
            </w:pPr>
          </w:p>
        </w:tc>
        <w:tc>
          <w:tcPr>
            <w:tcW w:w="840" w:type="dxa"/>
            <w:vAlign w:val="bottom"/>
            <w:shd w:val="clear" w:color="auto" w:fill="D8D8D8"/>
          </w:tcPr>
          <w:p>
            <w:pPr>
              <w:jc w:val="right"/>
              <w:ind w:right="9"/>
              <w:spacing w:after="0"/>
              <w:rPr>
                <w:sz w:val="20"/>
                <w:szCs w:val="20"/>
                <w:color w:val="auto"/>
              </w:rPr>
            </w:pPr>
            <w:r>
              <w:rPr>
                <w:rFonts w:ascii="Arial" w:cs="Arial" w:eastAsia="Arial" w:hAnsi="Arial"/>
                <w:sz w:val="14"/>
                <w:szCs w:val="14"/>
                <w:color w:val="auto"/>
              </w:rPr>
              <w:t>11,792</w:t>
            </w:r>
          </w:p>
        </w:tc>
        <w:tc>
          <w:tcPr>
            <w:tcW w:w="1320" w:type="dxa"/>
            <w:vAlign w:val="bottom"/>
            <w:shd w:val="clear" w:color="auto" w:fill="D8D8D8"/>
          </w:tcPr>
          <w:p>
            <w:pPr>
              <w:jc w:val="right"/>
              <w:ind w:right="149"/>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660" w:type="dxa"/>
            <w:vAlign w:val="bottom"/>
            <w:gridSpan w:val="2"/>
          </w:tcPr>
          <w:p>
            <w:pPr>
              <w:jc w:val="right"/>
              <w:ind w:right="177"/>
              <w:spacing w:after="0"/>
              <w:rPr>
                <w:sz w:val="20"/>
                <w:szCs w:val="20"/>
                <w:color w:val="auto"/>
              </w:rPr>
            </w:pPr>
            <w:r>
              <w:rPr>
                <w:rFonts w:ascii="Arial" w:cs="Arial" w:eastAsia="Arial" w:hAnsi="Arial"/>
                <w:sz w:val="14"/>
                <w:szCs w:val="14"/>
                <w:color w:val="auto"/>
              </w:rPr>
              <w:t>11,997</w:t>
            </w:r>
          </w:p>
        </w:tc>
        <w:tc>
          <w:tcPr>
            <w:tcW w:w="1560" w:type="dxa"/>
            <w:vAlign w:val="bottom"/>
            <w:gridSpan w:val="2"/>
          </w:tcPr>
          <w:p>
            <w:pPr>
              <w:jc w:val="right"/>
              <w:ind w:right="600"/>
              <w:spacing w:after="0"/>
              <w:rPr>
                <w:sz w:val="20"/>
                <w:szCs w:val="20"/>
                <w:color w:val="auto"/>
              </w:rPr>
            </w:pPr>
            <w:r>
              <w:rPr>
                <w:rFonts w:ascii="Arial" w:cs="Arial" w:eastAsia="Arial" w:hAnsi="Arial"/>
                <w:sz w:val="14"/>
                <w:szCs w:val="14"/>
                <w:color w:val="auto"/>
              </w:rPr>
              <w:t>–</w:t>
            </w:r>
          </w:p>
        </w:tc>
        <w:tc>
          <w:tcPr>
            <w:tcW w:w="1340" w:type="dxa"/>
            <w:vAlign w:val="bottom"/>
          </w:tcPr>
          <w:p>
            <w:pPr>
              <w:jc w:val="right"/>
              <w:ind w:right="128"/>
              <w:spacing w:after="0"/>
              <w:rPr>
                <w:sz w:val="20"/>
                <w:szCs w:val="20"/>
                <w:color w:val="auto"/>
              </w:rPr>
            </w:pPr>
            <w:r>
              <w:rPr>
                <w:rFonts w:ascii="Arial" w:cs="Arial" w:eastAsia="Arial" w:hAnsi="Arial"/>
                <w:sz w:val="14"/>
                <w:szCs w:val="14"/>
                <w:color w:val="auto"/>
              </w:rPr>
              <w:t>14,127</w:t>
            </w:r>
          </w:p>
        </w:tc>
        <w:tc>
          <w:tcPr>
            <w:tcW w:w="1260" w:type="dxa"/>
            <w:vAlign w:val="bottom"/>
          </w:tcPr>
          <w:p>
            <w:pPr>
              <w:jc w:val="right"/>
              <w:ind w:right="15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2960" w:type="dxa"/>
            <w:vAlign w:val="bottom"/>
          </w:tcPr>
          <w:p>
            <w:pPr>
              <w:ind w:left="140"/>
              <w:spacing w:after="0"/>
              <w:rPr>
                <w:sz w:val="20"/>
                <w:szCs w:val="20"/>
                <w:color w:val="auto"/>
              </w:rPr>
            </w:pPr>
            <w:r>
              <w:rPr>
                <w:rFonts w:ascii="Arial" w:cs="Arial" w:eastAsia="Arial" w:hAnsi="Arial"/>
                <w:sz w:val="14"/>
                <w:szCs w:val="14"/>
                <w:color w:val="auto"/>
              </w:rPr>
              <w:t>Norway</w:t>
            </w:r>
          </w:p>
        </w:tc>
        <w:tc>
          <w:tcPr>
            <w:tcW w:w="380" w:type="dxa"/>
            <w:vAlign w:val="bottom"/>
            <w:shd w:val="clear" w:color="auto" w:fill="D8D8D8"/>
          </w:tcPr>
          <w:p>
            <w:pPr>
              <w:spacing w:after="0"/>
              <w:rPr>
                <w:sz w:val="14"/>
                <w:szCs w:val="14"/>
                <w:color w:val="auto"/>
              </w:rPr>
            </w:pPr>
          </w:p>
        </w:tc>
        <w:tc>
          <w:tcPr>
            <w:tcW w:w="840" w:type="dxa"/>
            <w:vAlign w:val="bottom"/>
            <w:shd w:val="clear" w:color="auto" w:fill="D8D8D8"/>
          </w:tcPr>
          <w:p>
            <w:pPr>
              <w:jc w:val="right"/>
              <w:ind w:right="9"/>
              <w:spacing w:after="0"/>
              <w:rPr>
                <w:sz w:val="20"/>
                <w:szCs w:val="20"/>
                <w:color w:val="auto"/>
              </w:rPr>
            </w:pPr>
            <w:r>
              <w:rPr>
                <w:rFonts w:ascii="Arial" w:cs="Arial" w:eastAsia="Arial" w:hAnsi="Arial"/>
                <w:sz w:val="14"/>
                <w:szCs w:val="14"/>
                <w:color w:val="auto"/>
              </w:rPr>
              <w:t>14,893</w:t>
            </w:r>
          </w:p>
        </w:tc>
        <w:tc>
          <w:tcPr>
            <w:tcW w:w="1320" w:type="dxa"/>
            <w:vAlign w:val="bottom"/>
            <w:shd w:val="clear" w:color="auto" w:fill="D8D8D8"/>
          </w:tcPr>
          <w:p>
            <w:pPr>
              <w:jc w:val="right"/>
              <w:ind w:right="149"/>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660" w:type="dxa"/>
            <w:vAlign w:val="bottom"/>
            <w:gridSpan w:val="2"/>
          </w:tcPr>
          <w:p>
            <w:pPr>
              <w:jc w:val="right"/>
              <w:ind w:right="177"/>
              <w:spacing w:after="0"/>
              <w:rPr>
                <w:sz w:val="20"/>
                <w:szCs w:val="20"/>
                <w:color w:val="auto"/>
              </w:rPr>
            </w:pPr>
            <w:r>
              <w:rPr>
                <w:rFonts w:ascii="Arial" w:cs="Arial" w:eastAsia="Arial" w:hAnsi="Arial"/>
                <w:sz w:val="14"/>
                <w:szCs w:val="14"/>
                <w:color w:val="auto"/>
              </w:rPr>
              <w:t>14,589</w:t>
            </w:r>
          </w:p>
        </w:tc>
        <w:tc>
          <w:tcPr>
            <w:tcW w:w="1560" w:type="dxa"/>
            <w:vAlign w:val="bottom"/>
            <w:gridSpan w:val="2"/>
          </w:tcPr>
          <w:p>
            <w:pPr>
              <w:jc w:val="right"/>
              <w:ind w:right="600"/>
              <w:spacing w:after="0"/>
              <w:rPr>
                <w:sz w:val="20"/>
                <w:szCs w:val="20"/>
                <w:color w:val="auto"/>
              </w:rPr>
            </w:pPr>
            <w:r>
              <w:rPr>
                <w:rFonts w:ascii="Arial" w:cs="Arial" w:eastAsia="Arial" w:hAnsi="Arial"/>
                <w:sz w:val="14"/>
                <w:szCs w:val="14"/>
                <w:color w:val="auto"/>
              </w:rPr>
              <w:t>–</w:t>
            </w:r>
          </w:p>
        </w:tc>
        <w:tc>
          <w:tcPr>
            <w:tcW w:w="1340" w:type="dxa"/>
            <w:vAlign w:val="bottom"/>
          </w:tcPr>
          <w:p>
            <w:pPr>
              <w:jc w:val="right"/>
              <w:ind w:right="128"/>
              <w:spacing w:after="0"/>
              <w:rPr>
                <w:sz w:val="20"/>
                <w:szCs w:val="20"/>
                <w:color w:val="auto"/>
              </w:rPr>
            </w:pPr>
            <w:r>
              <w:rPr>
                <w:rFonts w:ascii="Arial" w:cs="Arial" w:eastAsia="Arial" w:hAnsi="Arial"/>
                <w:sz w:val="14"/>
                <w:szCs w:val="14"/>
                <w:color w:val="auto"/>
              </w:rPr>
              <w:t>14,568</w:t>
            </w:r>
          </w:p>
        </w:tc>
        <w:tc>
          <w:tcPr>
            <w:tcW w:w="1260" w:type="dxa"/>
            <w:vAlign w:val="bottom"/>
          </w:tcPr>
          <w:p>
            <w:pPr>
              <w:jc w:val="right"/>
              <w:ind w:right="15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2960" w:type="dxa"/>
            <w:vAlign w:val="bottom"/>
          </w:tcPr>
          <w:p>
            <w:pPr>
              <w:ind w:left="140"/>
              <w:spacing w:after="0"/>
              <w:rPr>
                <w:sz w:val="20"/>
                <w:szCs w:val="20"/>
                <w:color w:val="auto"/>
              </w:rPr>
            </w:pPr>
            <w:r>
              <w:rPr>
                <w:rFonts w:ascii="Arial" w:cs="Arial" w:eastAsia="Arial" w:hAnsi="Arial"/>
                <w:sz w:val="14"/>
                <w:szCs w:val="14"/>
                <w:color w:val="auto"/>
              </w:rPr>
              <w:t>UK</w:t>
            </w:r>
          </w:p>
        </w:tc>
        <w:tc>
          <w:tcPr>
            <w:tcW w:w="380" w:type="dxa"/>
            <w:vAlign w:val="bottom"/>
            <w:shd w:val="clear" w:color="auto" w:fill="D8D8D8"/>
          </w:tcPr>
          <w:p>
            <w:pPr>
              <w:spacing w:after="0"/>
              <w:rPr>
                <w:sz w:val="14"/>
                <w:szCs w:val="14"/>
                <w:color w:val="auto"/>
              </w:rPr>
            </w:pPr>
          </w:p>
        </w:tc>
        <w:tc>
          <w:tcPr>
            <w:tcW w:w="840" w:type="dxa"/>
            <w:vAlign w:val="bottom"/>
            <w:shd w:val="clear" w:color="auto" w:fill="D8D8D8"/>
          </w:tcPr>
          <w:p>
            <w:pPr>
              <w:jc w:val="right"/>
              <w:ind w:right="9"/>
              <w:spacing w:after="0"/>
              <w:rPr>
                <w:sz w:val="20"/>
                <w:szCs w:val="20"/>
                <w:color w:val="auto"/>
              </w:rPr>
            </w:pPr>
            <w:r>
              <w:rPr>
                <w:rFonts w:ascii="Arial" w:cs="Arial" w:eastAsia="Arial" w:hAnsi="Arial"/>
                <w:sz w:val="14"/>
                <w:szCs w:val="14"/>
                <w:color w:val="auto"/>
              </w:rPr>
              <w:t>14,746</w:t>
            </w:r>
          </w:p>
        </w:tc>
        <w:tc>
          <w:tcPr>
            <w:tcW w:w="1320" w:type="dxa"/>
            <w:vAlign w:val="bottom"/>
            <w:shd w:val="clear" w:color="auto" w:fill="D8D8D8"/>
          </w:tcPr>
          <w:p>
            <w:pPr>
              <w:jc w:val="right"/>
              <w:ind w:right="149"/>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660" w:type="dxa"/>
            <w:vAlign w:val="bottom"/>
            <w:gridSpan w:val="2"/>
          </w:tcPr>
          <w:p>
            <w:pPr>
              <w:jc w:val="right"/>
              <w:ind w:right="177"/>
              <w:spacing w:after="0"/>
              <w:rPr>
                <w:sz w:val="20"/>
                <w:szCs w:val="20"/>
                <w:color w:val="auto"/>
              </w:rPr>
            </w:pPr>
            <w:r>
              <w:rPr>
                <w:rFonts w:ascii="Arial" w:cs="Arial" w:eastAsia="Arial" w:hAnsi="Arial"/>
                <w:sz w:val="14"/>
                <w:szCs w:val="14"/>
                <w:color w:val="auto"/>
              </w:rPr>
              <w:t>14,445</w:t>
            </w:r>
          </w:p>
        </w:tc>
        <w:tc>
          <w:tcPr>
            <w:tcW w:w="1560" w:type="dxa"/>
            <w:vAlign w:val="bottom"/>
            <w:gridSpan w:val="2"/>
          </w:tcPr>
          <w:p>
            <w:pPr>
              <w:jc w:val="right"/>
              <w:ind w:right="600"/>
              <w:spacing w:after="0"/>
              <w:rPr>
                <w:sz w:val="20"/>
                <w:szCs w:val="20"/>
                <w:color w:val="auto"/>
              </w:rPr>
            </w:pPr>
            <w:r>
              <w:rPr>
                <w:rFonts w:ascii="Arial" w:cs="Arial" w:eastAsia="Arial" w:hAnsi="Arial"/>
                <w:sz w:val="14"/>
                <w:szCs w:val="14"/>
                <w:color w:val="auto"/>
              </w:rPr>
              <w:t>–</w:t>
            </w:r>
          </w:p>
        </w:tc>
        <w:tc>
          <w:tcPr>
            <w:tcW w:w="1340" w:type="dxa"/>
            <w:vAlign w:val="bottom"/>
          </w:tcPr>
          <w:p>
            <w:pPr>
              <w:jc w:val="right"/>
              <w:ind w:right="128"/>
              <w:spacing w:after="0"/>
              <w:rPr>
                <w:sz w:val="20"/>
                <w:szCs w:val="20"/>
                <w:color w:val="auto"/>
              </w:rPr>
            </w:pPr>
            <w:r>
              <w:rPr>
                <w:rFonts w:ascii="Arial" w:cs="Arial" w:eastAsia="Arial" w:hAnsi="Arial"/>
                <w:sz w:val="14"/>
                <w:szCs w:val="14"/>
                <w:color w:val="auto"/>
              </w:rPr>
              <w:t>22,075</w:t>
            </w:r>
          </w:p>
        </w:tc>
        <w:tc>
          <w:tcPr>
            <w:tcW w:w="1260" w:type="dxa"/>
            <w:vAlign w:val="bottom"/>
          </w:tcPr>
          <w:p>
            <w:pPr>
              <w:jc w:val="right"/>
              <w:ind w:right="15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2960" w:type="dxa"/>
            <w:vAlign w:val="bottom"/>
            <w:tcBorders>
              <w:bottom w:val="single" w:sz="8" w:color="auto"/>
            </w:tcBorders>
          </w:tcPr>
          <w:p>
            <w:pPr>
              <w:ind w:left="140"/>
              <w:spacing w:after="0"/>
              <w:rPr>
                <w:sz w:val="20"/>
                <w:szCs w:val="20"/>
                <w:color w:val="auto"/>
              </w:rPr>
            </w:pPr>
            <w:r>
              <w:rPr>
                <w:rFonts w:ascii="Arial" w:cs="Arial" w:eastAsia="Arial" w:hAnsi="Arial"/>
                <w:sz w:val="14"/>
                <w:szCs w:val="14"/>
                <w:color w:val="auto"/>
              </w:rPr>
              <w:t>Other [B]</w:t>
            </w:r>
          </w:p>
        </w:tc>
        <w:tc>
          <w:tcPr>
            <w:tcW w:w="380" w:type="dxa"/>
            <w:vAlign w:val="bottom"/>
            <w:tcBorders>
              <w:bottom w:val="single" w:sz="8" w:color="auto"/>
            </w:tcBorders>
            <w:shd w:val="clear" w:color="auto" w:fill="D8D8D8"/>
          </w:tcPr>
          <w:p>
            <w:pPr>
              <w:spacing w:after="0"/>
              <w:rPr>
                <w:sz w:val="14"/>
                <w:szCs w:val="14"/>
                <w:color w:val="auto"/>
              </w:rPr>
            </w:pPr>
          </w:p>
        </w:tc>
        <w:tc>
          <w:tcPr>
            <w:tcW w:w="840" w:type="dxa"/>
            <w:vAlign w:val="bottom"/>
            <w:tcBorders>
              <w:bottom w:val="single" w:sz="8" w:color="auto"/>
            </w:tcBorders>
            <w:shd w:val="clear" w:color="auto" w:fill="D8D8D8"/>
          </w:tcPr>
          <w:p>
            <w:pPr>
              <w:jc w:val="right"/>
              <w:ind w:right="9"/>
              <w:spacing w:after="0"/>
              <w:rPr>
                <w:sz w:val="20"/>
                <w:szCs w:val="20"/>
                <w:color w:val="auto"/>
              </w:rPr>
            </w:pPr>
            <w:r>
              <w:rPr>
                <w:rFonts w:ascii="Arial" w:cs="Arial" w:eastAsia="Arial" w:hAnsi="Arial"/>
                <w:sz w:val="14"/>
                <w:szCs w:val="14"/>
                <w:color w:val="auto"/>
              </w:rPr>
              <w:t>849</w:t>
            </w:r>
          </w:p>
        </w:tc>
        <w:tc>
          <w:tcPr>
            <w:tcW w:w="1320" w:type="dxa"/>
            <w:vAlign w:val="bottom"/>
            <w:tcBorders>
              <w:bottom w:val="single" w:sz="8" w:color="auto"/>
            </w:tcBorders>
            <w:shd w:val="clear" w:color="auto" w:fill="D8D8D8"/>
          </w:tcPr>
          <w:p>
            <w:pPr>
              <w:jc w:val="right"/>
              <w:ind w:right="149"/>
              <w:spacing w:after="0"/>
              <w:rPr>
                <w:sz w:val="20"/>
                <w:szCs w:val="20"/>
                <w:color w:val="auto"/>
              </w:rPr>
            </w:pPr>
            <w:r>
              <w:rPr>
                <w:rFonts w:ascii="Arial" w:cs="Arial" w:eastAsia="Arial" w:hAnsi="Arial"/>
                <w:sz w:val="14"/>
                <w:szCs w:val="14"/>
                <w:color w:val="auto"/>
              </w:rPr>
              <w:t>1,986</w:t>
            </w:r>
          </w:p>
        </w:tc>
        <w:tc>
          <w:tcPr>
            <w:tcW w:w="10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gridSpan w:val="2"/>
          </w:tcPr>
          <w:p>
            <w:pPr>
              <w:jc w:val="right"/>
              <w:ind w:right="177"/>
              <w:spacing w:after="0"/>
              <w:rPr>
                <w:sz w:val="20"/>
                <w:szCs w:val="20"/>
                <w:color w:val="auto"/>
              </w:rPr>
            </w:pPr>
            <w:r>
              <w:rPr>
                <w:rFonts w:ascii="Arial" w:cs="Arial" w:eastAsia="Arial" w:hAnsi="Arial"/>
                <w:sz w:val="14"/>
                <w:szCs w:val="14"/>
                <w:color w:val="auto"/>
              </w:rPr>
              <w:t>934</w:t>
            </w:r>
          </w:p>
        </w:tc>
        <w:tc>
          <w:tcPr>
            <w:tcW w:w="1180" w:type="dxa"/>
            <w:vAlign w:val="bottom"/>
            <w:tcBorders>
              <w:bottom w:val="single" w:sz="8" w:color="auto"/>
            </w:tcBorders>
          </w:tcPr>
          <w:p>
            <w:pPr>
              <w:jc w:val="right"/>
              <w:ind w:right="149"/>
              <w:spacing w:after="0"/>
              <w:rPr>
                <w:sz w:val="20"/>
                <w:szCs w:val="20"/>
                <w:color w:val="auto"/>
              </w:rPr>
            </w:pPr>
            <w:r>
              <w:rPr>
                <w:rFonts w:ascii="Arial" w:cs="Arial" w:eastAsia="Arial" w:hAnsi="Arial"/>
                <w:sz w:val="14"/>
                <w:szCs w:val="14"/>
                <w:color w:val="auto"/>
              </w:rPr>
              <w:t>1,952</w:t>
            </w:r>
          </w:p>
        </w:tc>
        <w:tc>
          <w:tcPr>
            <w:tcW w:w="38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1,031</w:t>
            </w:r>
          </w:p>
        </w:tc>
        <w:tc>
          <w:tcPr>
            <w:tcW w:w="1260" w:type="dxa"/>
            <w:vAlign w:val="bottom"/>
            <w:tcBorders>
              <w:bottom w:val="single" w:sz="8" w:color="auto"/>
            </w:tcBorders>
          </w:tcPr>
          <w:p>
            <w:pPr>
              <w:jc w:val="right"/>
              <w:ind w:right="150"/>
              <w:spacing w:after="0"/>
              <w:rPr>
                <w:sz w:val="20"/>
                <w:szCs w:val="20"/>
                <w:color w:val="auto"/>
              </w:rPr>
            </w:pPr>
            <w:r>
              <w:rPr>
                <w:rFonts w:ascii="Arial" w:cs="Arial" w:eastAsia="Arial" w:hAnsi="Arial"/>
                <w:sz w:val="14"/>
                <w:szCs w:val="14"/>
                <w:color w:val="auto"/>
              </w:rPr>
              <w:t>1,592</w:t>
            </w:r>
          </w:p>
        </w:tc>
        <w:tc>
          <w:tcPr>
            <w:tcW w:w="0" w:type="dxa"/>
            <w:vAlign w:val="bottom"/>
          </w:tcPr>
          <w:p>
            <w:pPr>
              <w:spacing w:after="0"/>
              <w:rPr>
                <w:sz w:val="1"/>
                <w:szCs w:val="1"/>
                <w:color w:val="auto"/>
              </w:rPr>
            </w:pPr>
          </w:p>
        </w:tc>
      </w:tr>
      <w:tr>
        <w:trPr>
          <w:trHeight w:val="156"/>
        </w:trPr>
        <w:tc>
          <w:tcPr>
            <w:tcW w:w="2960" w:type="dxa"/>
            <w:vAlign w:val="bottom"/>
            <w:tcBorders>
              <w:bottom w:val="single" w:sz="8" w:color="auto"/>
            </w:tcBorders>
          </w:tcPr>
          <w:p>
            <w:pPr>
              <w:spacing w:after="0" w:line="155" w:lineRule="exact"/>
              <w:rPr>
                <w:sz w:val="20"/>
                <w:szCs w:val="20"/>
                <w:color w:val="auto"/>
              </w:rPr>
            </w:pPr>
            <w:r>
              <w:rPr>
                <w:rFonts w:ascii="Arial" w:cs="Arial" w:eastAsia="Arial" w:hAnsi="Arial"/>
                <w:sz w:val="14"/>
                <w:szCs w:val="14"/>
                <w:color w:val="auto"/>
              </w:rPr>
              <w:t>Total Europe</w:t>
            </w:r>
          </w:p>
        </w:tc>
        <w:tc>
          <w:tcPr>
            <w:tcW w:w="380" w:type="dxa"/>
            <w:vAlign w:val="bottom"/>
            <w:tcBorders>
              <w:bottom w:val="single" w:sz="8" w:color="auto"/>
            </w:tcBorders>
            <w:shd w:val="clear" w:color="auto" w:fill="D8D8D8"/>
          </w:tcPr>
          <w:p>
            <w:pPr>
              <w:spacing w:after="0"/>
              <w:rPr>
                <w:sz w:val="13"/>
                <w:szCs w:val="13"/>
                <w:color w:val="auto"/>
              </w:rPr>
            </w:pPr>
          </w:p>
        </w:tc>
        <w:tc>
          <w:tcPr>
            <w:tcW w:w="840" w:type="dxa"/>
            <w:vAlign w:val="bottom"/>
            <w:tcBorders>
              <w:bottom w:val="single" w:sz="8" w:color="auto"/>
            </w:tcBorders>
            <w:shd w:val="clear" w:color="auto" w:fill="D8D8D8"/>
          </w:tcPr>
          <w:p>
            <w:pPr>
              <w:jc w:val="right"/>
              <w:ind w:right="9"/>
              <w:spacing w:after="0" w:line="155" w:lineRule="exact"/>
              <w:rPr>
                <w:sz w:val="20"/>
                <w:szCs w:val="20"/>
                <w:color w:val="auto"/>
              </w:rPr>
            </w:pPr>
            <w:r>
              <w:rPr>
                <w:rFonts w:ascii="Arial" w:cs="Arial" w:eastAsia="Arial" w:hAnsi="Arial"/>
                <w:sz w:val="14"/>
                <w:szCs w:val="14"/>
                <w:color w:val="auto"/>
              </w:rPr>
              <w:t>61,114</w:t>
            </w:r>
          </w:p>
        </w:tc>
        <w:tc>
          <w:tcPr>
            <w:tcW w:w="1320" w:type="dxa"/>
            <w:vAlign w:val="bottom"/>
            <w:tcBorders>
              <w:bottom w:val="single" w:sz="8" w:color="auto"/>
            </w:tcBorders>
            <w:shd w:val="clear" w:color="auto" w:fill="D8D8D8"/>
          </w:tcPr>
          <w:p>
            <w:pPr>
              <w:jc w:val="right"/>
              <w:ind w:right="149"/>
              <w:spacing w:after="0" w:line="155" w:lineRule="exact"/>
              <w:rPr>
                <w:sz w:val="20"/>
                <w:szCs w:val="20"/>
                <w:color w:val="auto"/>
              </w:rPr>
            </w:pPr>
            <w:r>
              <w:rPr>
                <w:rFonts w:ascii="Arial" w:cs="Arial" w:eastAsia="Arial" w:hAnsi="Arial"/>
                <w:sz w:val="14"/>
                <w:szCs w:val="14"/>
                <w:color w:val="auto"/>
              </w:rPr>
              <w:t>1,986</w:t>
            </w:r>
          </w:p>
        </w:tc>
        <w:tc>
          <w:tcPr>
            <w:tcW w:w="100" w:type="dxa"/>
            <w:vAlign w:val="bottom"/>
            <w:tcBorders>
              <w:bottom w:val="single" w:sz="8" w:color="auto"/>
            </w:tcBorders>
          </w:tcPr>
          <w:p>
            <w:pPr>
              <w:spacing w:after="0"/>
              <w:rPr>
                <w:sz w:val="13"/>
                <w:szCs w:val="13"/>
                <w:color w:val="auto"/>
              </w:rPr>
            </w:pPr>
          </w:p>
        </w:tc>
        <w:tc>
          <w:tcPr>
            <w:tcW w:w="1660" w:type="dxa"/>
            <w:vAlign w:val="bottom"/>
            <w:tcBorders>
              <w:bottom w:val="single" w:sz="8" w:color="auto"/>
            </w:tcBorders>
            <w:gridSpan w:val="2"/>
          </w:tcPr>
          <w:p>
            <w:pPr>
              <w:jc w:val="right"/>
              <w:ind w:right="177"/>
              <w:spacing w:after="0" w:line="155" w:lineRule="exact"/>
              <w:rPr>
                <w:sz w:val="20"/>
                <w:szCs w:val="20"/>
                <w:color w:val="auto"/>
              </w:rPr>
            </w:pPr>
            <w:r>
              <w:rPr>
                <w:rFonts w:ascii="Arial" w:cs="Arial" w:eastAsia="Arial" w:hAnsi="Arial"/>
                <w:sz w:val="14"/>
                <w:szCs w:val="14"/>
                <w:color w:val="auto"/>
              </w:rPr>
              <w:t>62,892</w:t>
            </w:r>
          </w:p>
        </w:tc>
        <w:tc>
          <w:tcPr>
            <w:tcW w:w="1180" w:type="dxa"/>
            <w:vAlign w:val="bottom"/>
            <w:tcBorders>
              <w:bottom w:val="single" w:sz="8" w:color="auto"/>
            </w:tcBorders>
          </w:tcPr>
          <w:p>
            <w:pPr>
              <w:jc w:val="right"/>
              <w:ind w:right="149"/>
              <w:spacing w:after="0" w:line="155" w:lineRule="exact"/>
              <w:rPr>
                <w:sz w:val="20"/>
                <w:szCs w:val="20"/>
                <w:color w:val="auto"/>
              </w:rPr>
            </w:pPr>
            <w:r>
              <w:rPr>
                <w:rFonts w:ascii="Arial" w:cs="Arial" w:eastAsia="Arial" w:hAnsi="Arial"/>
                <w:sz w:val="14"/>
                <w:szCs w:val="14"/>
                <w:color w:val="auto"/>
              </w:rPr>
              <w:t>1,952</w:t>
            </w:r>
          </w:p>
        </w:tc>
        <w:tc>
          <w:tcPr>
            <w:tcW w:w="38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tcPr>
          <w:p>
            <w:pPr>
              <w:jc w:val="right"/>
              <w:ind w:right="128"/>
              <w:spacing w:after="0" w:line="155" w:lineRule="exact"/>
              <w:rPr>
                <w:sz w:val="20"/>
                <w:szCs w:val="20"/>
                <w:color w:val="auto"/>
              </w:rPr>
            </w:pPr>
            <w:r>
              <w:rPr>
                <w:rFonts w:ascii="Arial" w:cs="Arial" w:eastAsia="Arial" w:hAnsi="Arial"/>
                <w:sz w:val="14"/>
                <w:szCs w:val="14"/>
                <w:color w:val="auto"/>
              </w:rPr>
              <w:t>78,549</w:t>
            </w:r>
          </w:p>
        </w:tc>
        <w:tc>
          <w:tcPr>
            <w:tcW w:w="1260" w:type="dxa"/>
            <w:vAlign w:val="bottom"/>
            <w:tcBorders>
              <w:bottom w:val="single" w:sz="8" w:color="auto"/>
            </w:tcBorders>
          </w:tcPr>
          <w:p>
            <w:pPr>
              <w:jc w:val="right"/>
              <w:ind w:right="150"/>
              <w:spacing w:after="0" w:line="155" w:lineRule="exact"/>
              <w:rPr>
                <w:sz w:val="20"/>
                <w:szCs w:val="20"/>
                <w:color w:val="auto"/>
              </w:rPr>
            </w:pPr>
            <w:r>
              <w:rPr>
                <w:rFonts w:ascii="Arial" w:cs="Arial" w:eastAsia="Arial" w:hAnsi="Arial"/>
                <w:sz w:val="14"/>
                <w:szCs w:val="14"/>
                <w:color w:val="auto"/>
              </w:rPr>
              <w:t>1,592</w:t>
            </w:r>
          </w:p>
        </w:tc>
        <w:tc>
          <w:tcPr>
            <w:tcW w:w="0" w:type="dxa"/>
            <w:vAlign w:val="bottom"/>
          </w:tcPr>
          <w:p>
            <w:pPr>
              <w:spacing w:after="0"/>
              <w:rPr>
                <w:sz w:val="1"/>
                <w:szCs w:val="1"/>
                <w:color w:val="auto"/>
              </w:rPr>
            </w:pPr>
          </w:p>
        </w:tc>
      </w:tr>
      <w:tr>
        <w:trPr>
          <w:trHeight w:val="160"/>
        </w:trPr>
        <w:tc>
          <w:tcPr>
            <w:tcW w:w="2960" w:type="dxa"/>
            <w:vAlign w:val="bottom"/>
          </w:tcPr>
          <w:p>
            <w:pPr>
              <w:spacing w:after="0"/>
              <w:rPr>
                <w:sz w:val="20"/>
                <w:szCs w:val="20"/>
                <w:color w:val="auto"/>
              </w:rPr>
            </w:pPr>
            <w:r>
              <w:rPr>
                <w:rFonts w:ascii="Arial" w:cs="Arial" w:eastAsia="Arial" w:hAnsi="Arial"/>
                <w:sz w:val="14"/>
                <w:szCs w:val="14"/>
                <w:color w:val="auto"/>
              </w:rPr>
              <w:t>Asia</w:t>
            </w:r>
          </w:p>
        </w:tc>
        <w:tc>
          <w:tcPr>
            <w:tcW w:w="380" w:type="dxa"/>
            <w:vAlign w:val="bottom"/>
            <w:shd w:val="clear" w:color="auto" w:fill="D8D8D8"/>
          </w:tcPr>
          <w:p>
            <w:pPr>
              <w:spacing w:after="0"/>
              <w:rPr>
                <w:sz w:val="13"/>
                <w:szCs w:val="13"/>
                <w:color w:val="auto"/>
              </w:rPr>
            </w:pPr>
          </w:p>
        </w:tc>
        <w:tc>
          <w:tcPr>
            <w:tcW w:w="840" w:type="dxa"/>
            <w:vAlign w:val="bottom"/>
            <w:shd w:val="clear" w:color="auto" w:fill="D8D8D8"/>
          </w:tcPr>
          <w:p>
            <w:pPr>
              <w:spacing w:after="0"/>
              <w:rPr>
                <w:sz w:val="13"/>
                <w:szCs w:val="13"/>
                <w:color w:val="auto"/>
              </w:rPr>
            </w:pPr>
          </w:p>
        </w:tc>
        <w:tc>
          <w:tcPr>
            <w:tcW w:w="1320" w:type="dxa"/>
            <w:vAlign w:val="bottom"/>
            <w:shd w:val="clear" w:color="auto" w:fill="D8D8D8"/>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960" w:type="dxa"/>
            <w:vAlign w:val="bottom"/>
          </w:tcPr>
          <w:p>
            <w:pPr>
              <w:ind w:left="140"/>
              <w:spacing w:after="0"/>
              <w:rPr>
                <w:sz w:val="20"/>
                <w:szCs w:val="20"/>
                <w:color w:val="auto"/>
              </w:rPr>
            </w:pPr>
            <w:r>
              <w:rPr>
                <w:rFonts w:ascii="Arial" w:cs="Arial" w:eastAsia="Arial" w:hAnsi="Arial"/>
                <w:sz w:val="14"/>
                <w:szCs w:val="14"/>
                <w:color w:val="auto"/>
              </w:rPr>
              <w:t>Brunei</w:t>
            </w:r>
          </w:p>
        </w:tc>
        <w:tc>
          <w:tcPr>
            <w:tcW w:w="380" w:type="dxa"/>
            <w:vAlign w:val="bottom"/>
            <w:shd w:val="clear" w:color="auto" w:fill="D8D8D8"/>
          </w:tcPr>
          <w:p>
            <w:pPr>
              <w:spacing w:after="0"/>
              <w:rPr>
                <w:sz w:val="14"/>
                <w:szCs w:val="14"/>
                <w:color w:val="auto"/>
              </w:rPr>
            </w:pPr>
          </w:p>
        </w:tc>
        <w:tc>
          <w:tcPr>
            <w:tcW w:w="840" w:type="dxa"/>
            <w:vAlign w:val="bottom"/>
            <w:shd w:val="clear" w:color="auto" w:fill="D8D8D8"/>
          </w:tcPr>
          <w:p>
            <w:pPr>
              <w:jc w:val="right"/>
              <w:ind w:right="9"/>
              <w:spacing w:after="0"/>
              <w:rPr>
                <w:sz w:val="20"/>
                <w:szCs w:val="20"/>
                <w:color w:val="auto"/>
              </w:rPr>
            </w:pPr>
            <w:r>
              <w:rPr>
                <w:rFonts w:ascii="Arial" w:cs="Arial" w:eastAsia="Arial" w:hAnsi="Arial"/>
                <w:sz w:val="14"/>
                <w:szCs w:val="14"/>
                <w:color w:val="auto"/>
              </w:rPr>
              <w:t>648</w:t>
            </w:r>
          </w:p>
        </w:tc>
        <w:tc>
          <w:tcPr>
            <w:tcW w:w="1320" w:type="dxa"/>
            <w:vAlign w:val="bottom"/>
            <w:shd w:val="clear" w:color="auto" w:fill="D8D8D8"/>
          </w:tcPr>
          <w:p>
            <w:pPr>
              <w:jc w:val="right"/>
              <w:ind w:right="149"/>
              <w:spacing w:after="0"/>
              <w:rPr>
                <w:sz w:val="20"/>
                <w:szCs w:val="20"/>
                <w:color w:val="auto"/>
              </w:rPr>
            </w:pPr>
            <w:r>
              <w:rPr>
                <w:rFonts w:ascii="Arial" w:cs="Arial" w:eastAsia="Arial" w:hAnsi="Arial"/>
                <w:sz w:val="14"/>
                <w:szCs w:val="14"/>
                <w:color w:val="auto"/>
              </w:rPr>
              <w:t>18,576</w:t>
            </w:r>
          </w:p>
        </w:tc>
        <w:tc>
          <w:tcPr>
            <w:tcW w:w="100" w:type="dxa"/>
            <w:vAlign w:val="bottom"/>
          </w:tcPr>
          <w:p>
            <w:pPr>
              <w:spacing w:after="0"/>
              <w:rPr>
                <w:sz w:val="14"/>
                <w:szCs w:val="14"/>
                <w:color w:val="auto"/>
              </w:rPr>
            </w:pPr>
          </w:p>
        </w:tc>
        <w:tc>
          <w:tcPr>
            <w:tcW w:w="1660" w:type="dxa"/>
            <w:vAlign w:val="bottom"/>
            <w:gridSpan w:val="2"/>
          </w:tcPr>
          <w:p>
            <w:pPr>
              <w:jc w:val="right"/>
              <w:ind w:right="177"/>
              <w:spacing w:after="0"/>
              <w:rPr>
                <w:sz w:val="20"/>
                <w:szCs w:val="20"/>
                <w:color w:val="auto"/>
              </w:rPr>
            </w:pPr>
            <w:r>
              <w:rPr>
                <w:rFonts w:ascii="Arial" w:cs="Arial" w:eastAsia="Arial" w:hAnsi="Arial"/>
                <w:sz w:val="14"/>
                <w:szCs w:val="14"/>
                <w:color w:val="auto"/>
              </w:rPr>
              <w:t>564</w:t>
            </w:r>
          </w:p>
        </w:tc>
        <w:tc>
          <w:tcPr>
            <w:tcW w:w="1180" w:type="dxa"/>
            <w:vAlign w:val="bottom"/>
          </w:tcPr>
          <w:p>
            <w:pPr>
              <w:jc w:val="right"/>
              <w:ind w:right="149"/>
              <w:spacing w:after="0"/>
              <w:rPr>
                <w:sz w:val="20"/>
                <w:szCs w:val="20"/>
                <w:color w:val="auto"/>
              </w:rPr>
            </w:pPr>
            <w:r>
              <w:rPr>
                <w:rFonts w:ascii="Arial" w:cs="Arial" w:eastAsia="Arial" w:hAnsi="Arial"/>
                <w:sz w:val="14"/>
                <w:szCs w:val="14"/>
                <w:color w:val="auto"/>
              </w:rPr>
              <w:t>20,011</w:t>
            </w:r>
          </w:p>
        </w:tc>
        <w:tc>
          <w:tcPr>
            <w:tcW w:w="380" w:type="dxa"/>
            <w:vAlign w:val="bottom"/>
          </w:tcPr>
          <w:p>
            <w:pPr>
              <w:spacing w:after="0"/>
              <w:rPr>
                <w:sz w:val="14"/>
                <w:szCs w:val="14"/>
                <w:color w:val="auto"/>
              </w:rPr>
            </w:pPr>
          </w:p>
        </w:tc>
        <w:tc>
          <w:tcPr>
            <w:tcW w:w="1340" w:type="dxa"/>
            <w:vAlign w:val="bottom"/>
          </w:tcPr>
          <w:p>
            <w:pPr>
              <w:jc w:val="right"/>
              <w:ind w:right="128"/>
              <w:spacing w:after="0"/>
              <w:rPr>
                <w:sz w:val="20"/>
                <w:szCs w:val="20"/>
                <w:color w:val="auto"/>
              </w:rPr>
            </w:pPr>
            <w:r>
              <w:rPr>
                <w:rFonts w:ascii="Arial" w:cs="Arial" w:eastAsia="Arial" w:hAnsi="Arial"/>
                <w:sz w:val="14"/>
                <w:szCs w:val="14"/>
                <w:color w:val="auto"/>
              </w:rPr>
              <w:t>663</w:t>
            </w:r>
          </w:p>
        </w:tc>
        <w:tc>
          <w:tcPr>
            <w:tcW w:w="1260" w:type="dxa"/>
            <w:vAlign w:val="bottom"/>
          </w:tcPr>
          <w:p>
            <w:pPr>
              <w:jc w:val="right"/>
              <w:ind w:right="150"/>
              <w:spacing w:after="0"/>
              <w:rPr>
                <w:sz w:val="20"/>
                <w:szCs w:val="20"/>
                <w:color w:val="auto"/>
              </w:rPr>
            </w:pPr>
            <w:r>
              <w:rPr>
                <w:rFonts w:ascii="Arial" w:cs="Arial" w:eastAsia="Arial" w:hAnsi="Arial"/>
                <w:sz w:val="14"/>
                <w:szCs w:val="14"/>
                <w:color w:val="auto"/>
              </w:rPr>
              <w:t>26,521</w:t>
            </w:r>
          </w:p>
        </w:tc>
        <w:tc>
          <w:tcPr>
            <w:tcW w:w="0" w:type="dxa"/>
            <w:vAlign w:val="bottom"/>
          </w:tcPr>
          <w:p>
            <w:pPr>
              <w:spacing w:after="0"/>
              <w:rPr>
                <w:sz w:val="1"/>
                <w:szCs w:val="1"/>
                <w:color w:val="auto"/>
              </w:rPr>
            </w:pPr>
          </w:p>
        </w:tc>
      </w:tr>
      <w:tr>
        <w:trPr>
          <w:trHeight w:val="162"/>
        </w:trPr>
        <w:tc>
          <w:tcPr>
            <w:tcW w:w="2960" w:type="dxa"/>
            <w:vAlign w:val="bottom"/>
          </w:tcPr>
          <w:p>
            <w:pPr>
              <w:ind w:left="140"/>
              <w:spacing w:after="0"/>
              <w:rPr>
                <w:sz w:val="20"/>
                <w:szCs w:val="20"/>
                <w:color w:val="auto"/>
              </w:rPr>
            </w:pPr>
            <w:r>
              <w:rPr>
                <w:rFonts w:ascii="Arial" w:cs="Arial" w:eastAsia="Arial" w:hAnsi="Arial"/>
                <w:sz w:val="14"/>
                <w:szCs w:val="14"/>
                <w:color w:val="auto"/>
              </w:rPr>
              <w:t>Iraq</w:t>
            </w:r>
          </w:p>
        </w:tc>
        <w:tc>
          <w:tcPr>
            <w:tcW w:w="380" w:type="dxa"/>
            <w:vAlign w:val="bottom"/>
            <w:shd w:val="clear" w:color="auto" w:fill="D8D8D8"/>
          </w:tcPr>
          <w:p>
            <w:pPr>
              <w:spacing w:after="0"/>
              <w:rPr>
                <w:sz w:val="14"/>
                <w:szCs w:val="14"/>
                <w:color w:val="auto"/>
              </w:rPr>
            </w:pPr>
          </w:p>
        </w:tc>
        <w:tc>
          <w:tcPr>
            <w:tcW w:w="840" w:type="dxa"/>
            <w:vAlign w:val="bottom"/>
            <w:shd w:val="clear" w:color="auto" w:fill="D8D8D8"/>
          </w:tcPr>
          <w:p>
            <w:pPr>
              <w:jc w:val="right"/>
              <w:ind w:right="9"/>
              <w:spacing w:after="0"/>
              <w:rPr>
                <w:sz w:val="20"/>
                <w:szCs w:val="20"/>
                <w:color w:val="auto"/>
              </w:rPr>
            </w:pPr>
            <w:r>
              <w:rPr>
                <w:rFonts w:ascii="Arial" w:cs="Arial" w:eastAsia="Arial" w:hAnsi="Arial"/>
                <w:sz w:val="14"/>
                <w:szCs w:val="14"/>
                <w:color w:val="auto"/>
              </w:rPr>
              <w:t>19,218</w:t>
            </w:r>
          </w:p>
        </w:tc>
        <w:tc>
          <w:tcPr>
            <w:tcW w:w="1320" w:type="dxa"/>
            <w:vAlign w:val="bottom"/>
            <w:shd w:val="clear" w:color="auto" w:fill="D8D8D8"/>
          </w:tcPr>
          <w:p>
            <w:pPr>
              <w:jc w:val="right"/>
              <w:ind w:right="149"/>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660" w:type="dxa"/>
            <w:vAlign w:val="bottom"/>
            <w:gridSpan w:val="2"/>
          </w:tcPr>
          <w:p>
            <w:pPr>
              <w:jc w:val="right"/>
              <w:ind w:right="177"/>
              <w:spacing w:after="0"/>
              <w:rPr>
                <w:sz w:val="20"/>
                <w:szCs w:val="20"/>
                <w:color w:val="auto"/>
              </w:rPr>
            </w:pPr>
            <w:r>
              <w:rPr>
                <w:rFonts w:ascii="Arial" w:cs="Arial" w:eastAsia="Arial" w:hAnsi="Arial"/>
                <w:sz w:val="14"/>
                <w:szCs w:val="14"/>
                <w:color w:val="auto"/>
              </w:rPr>
              <w:t>8,416</w:t>
            </w:r>
          </w:p>
        </w:tc>
        <w:tc>
          <w:tcPr>
            <w:tcW w:w="1560" w:type="dxa"/>
            <w:vAlign w:val="bottom"/>
            <w:gridSpan w:val="2"/>
          </w:tcPr>
          <w:p>
            <w:pPr>
              <w:jc w:val="right"/>
              <w:ind w:right="600"/>
              <w:spacing w:after="0"/>
              <w:rPr>
                <w:sz w:val="20"/>
                <w:szCs w:val="20"/>
                <w:color w:val="auto"/>
              </w:rPr>
            </w:pPr>
            <w:r>
              <w:rPr>
                <w:rFonts w:ascii="Arial" w:cs="Arial" w:eastAsia="Arial" w:hAnsi="Arial"/>
                <w:sz w:val="14"/>
                <w:szCs w:val="14"/>
                <w:color w:val="auto"/>
              </w:rPr>
              <w:t>–</w:t>
            </w:r>
          </w:p>
        </w:tc>
        <w:tc>
          <w:tcPr>
            <w:tcW w:w="1340" w:type="dxa"/>
            <w:vAlign w:val="bottom"/>
          </w:tcPr>
          <w:p>
            <w:pPr>
              <w:jc w:val="right"/>
              <w:ind w:right="128"/>
              <w:spacing w:after="0"/>
              <w:rPr>
                <w:sz w:val="20"/>
                <w:szCs w:val="20"/>
                <w:color w:val="auto"/>
              </w:rPr>
            </w:pPr>
            <w:r>
              <w:rPr>
                <w:rFonts w:ascii="Arial" w:cs="Arial" w:eastAsia="Arial" w:hAnsi="Arial"/>
                <w:sz w:val="14"/>
                <w:szCs w:val="14"/>
                <w:color w:val="auto"/>
              </w:rPr>
              <w:t>2,032</w:t>
            </w:r>
          </w:p>
        </w:tc>
        <w:tc>
          <w:tcPr>
            <w:tcW w:w="1260" w:type="dxa"/>
            <w:vAlign w:val="bottom"/>
          </w:tcPr>
          <w:p>
            <w:pPr>
              <w:jc w:val="right"/>
              <w:ind w:right="15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2960" w:type="dxa"/>
            <w:vAlign w:val="bottom"/>
          </w:tcPr>
          <w:p>
            <w:pPr>
              <w:ind w:left="140"/>
              <w:spacing w:after="0"/>
              <w:rPr>
                <w:sz w:val="20"/>
                <w:szCs w:val="20"/>
                <w:color w:val="auto"/>
              </w:rPr>
            </w:pPr>
            <w:r>
              <w:rPr>
                <w:rFonts w:ascii="Arial" w:cs="Arial" w:eastAsia="Arial" w:hAnsi="Arial"/>
                <w:sz w:val="14"/>
                <w:szCs w:val="14"/>
                <w:color w:val="auto"/>
              </w:rPr>
              <w:t>Malaysia</w:t>
            </w:r>
          </w:p>
        </w:tc>
        <w:tc>
          <w:tcPr>
            <w:tcW w:w="380" w:type="dxa"/>
            <w:vAlign w:val="bottom"/>
            <w:shd w:val="clear" w:color="auto" w:fill="D8D8D8"/>
          </w:tcPr>
          <w:p>
            <w:pPr>
              <w:spacing w:after="0"/>
              <w:rPr>
                <w:sz w:val="14"/>
                <w:szCs w:val="14"/>
                <w:color w:val="auto"/>
              </w:rPr>
            </w:pPr>
          </w:p>
        </w:tc>
        <w:tc>
          <w:tcPr>
            <w:tcW w:w="840" w:type="dxa"/>
            <w:vAlign w:val="bottom"/>
            <w:shd w:val="clear" w:color="auto" w:fill="D8D8D8"/>
          </w:tcPr>
          <w:p>
            <w:pPr>
              <w:jc w:val="right"/>
              <w:ind w:right="9"/>
              <w:spacing w:after="0"/>
              <w:rPr>
                <w:sz w:val="20"/>
                <w:szCs w:val="20"/>
                <w:color w:val="auto"/>
              </w:rPr>
            </w:pPr>
            <w:r>
              <w:rPr>
                <w:rFonts w:ascii="Arial" w:cs="Arial" w:eastAsia="Arial" w:hAnsi="Arial"/>
                <w:sz w:val="14"/>
                <w:szCs w:val="14"/>
                <w:color w:val="auto"/>
              </w:rPr>
              <w:t>16,754</w:t>
            </w:r>
          </w:p>
        </w:tc>
        <w:tc>
          <w:tcPr>
            <w:tcW w:w="1320" w:type="dxa"/>
            <w:vAlign w:val="bottom"/>
            <w:shd w:val="clear" w:color="auto" w:fill="D8D8D8"/>
          </w:tcPr>
          <w:p>
            <w:pPr>
              <w:jc w:val="right"/>
              <w:ind w:right="149"/>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660" w:type="dxa"/>
            <w:vAlign w:val="bottom"/>
            <w:gridSpan w:val="2"/>
          </w:tcPr>
          <w:p>
            <w:pPr>
              <w:jc w:val="right"/>
              <w:ind w:right="177"/>
              <w:spacing w:after="0"/>
              <w:rPr>
                <w:sz w:val="20"/>
                <w:szCs w:val="20"/>
                <w:color w:val="auto"/>
              </w:rPr>
            </w:pPr>
            <w:r>
              <w:rPr>
                <w:rFonts w:ascii="Arial" w:cs="Arial" w:eastAsia="Arial" w:hAnsi="Arial"/>
                <w:sz w:val="14"/>
                <w:szCs w:val="14"/>
                <w:color w:val="auto"/>
              </w:rPr>
              <w:t>15,441</w:t>
            </w:r>
          </w:p>
        </w:tc>
        <w:tc>
          <w:tcPr>
            <w:tcW w:w="1560" w:type="dxa"/>
            <w:vAlign w:val="bottom"/>
            <w:gridSpan w:val="2"/>
          </w:tcPr>
          <w:p>
            <w:pPr>
              <w:jc w:val="right"/>
              <w:ind w:right="600"/>
              <w:spacing w:after="0"/>
              <w:rPr>
                <w:sz w:val="20"/>
                <w:szCs w:val="20"/>
                <w:color w:val="auto"/>
              </w:rPr>
            </w:pPr>
            <w:r>
              <w:rPr>
                <w:rFonts w:ascii="Arial" w:cs="Arial" w:eastAsia="Arial" w:hAnsi="Arial"/>
                <w:sz w:val="14"/>
                <w:szCs w:val="14"/>
                <w:color w:val="auto"/>
              </w:rPr>
              <w:t>–</w:t>
            </w:r>
          </w:p>
        </w:tc>
        <w:tc>
          <w:tcPr>
            <w:tcW w:w="1340" w:type="dxa"/>
            <w:vAlign w:val="bottom"/>
          </w:tcPr>
          <w:p>
            <w:pPr>
              <w:jc w:val="right"/>
              <w:ind w:right="128"/>
              <w:spacing w:after="0"/>
              <w:rPr>
                <w:sz w:val="20"/>
                <w:szCs w:val="20"/>
                <w:color w:val="auto"/>
              </w:rPr>
            </w:pPr>
            <w:r>
              <w:rPr>
                <w:rFonts w:ascii="Arial" w:cs="Arial" w:eastAsia="Arial" w:hAnsi="Arial"/>
                <w:sz w:val="14"/>
                <w:szCs w:val="14"/>
                <w:color w:val="auto"/>
              </w:rPr>
              <w:t>14,916</w:t>
            </w:r>
          </w:p>
        </w:tc>
        <w:tc>
          <w:tcPr>
            <w:tcW w:w="1260" w:type="dxa"/>
            <w:vAlign w:val="bottom"/>
          </w:tcPr>
          <w:p>
            <w:pPr>
              <w:jc w:val="right"/>
              <w:ind w:right="15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2960" w:type="dxa"/>
            <w:vAlign w:val="bottom"/>
          </w:tcPr>
          <w:p>
            <w:pPr>
              <w:ind w:left="140"/>
              <w:spacing w:after="0"/>
              <w:rPr>
                <w:sz w:val="20"/>
                <w:szCs w:val="20"/>
                <w:color w:val="auto"/>
              </w:rPr>
            </w:pPr>
            <w:r>
              <w:rPr>
                <w:rFonts w:ascii="Arial" w:cs="Arial" w:eastAsia="Arial" w:hAnsi="Arial"/>
                <w:sz w:val="14"/>
                <w:szCs w:val="14"/>
                <w:color w:val="auto"/>
              </w:rPr>
              <w:t>Oman</w:t>
            </w:r>
          </w:p>
        </w:tc>
        <w:tc>
          <w:tcPr>
            <w:tcW w:w="380" w:type="dxa"/>
            <w:vAlign w:val="bottom"/>
            <w:shd w:val="clear" w:color="auto" w:fill="D8D8D8"/>
          </w:tcPr>
          <w:p>
            <w:pPr>
              <w:spacing w:after="0"/>
              <w:rPr>
                <w:sz w:val="14"/>
                <w:szCs w:val="14"/>
                <w:color w:val="auto"/>
              </w:rPr>
            </w:pPr>
          </w:p>
        </w:tc>
        <w:tc>
          <w:tcPr>
            <w:tcW w:w="840" w:type="dxa"/>
            <w:vAlign w:val="bottom"/>
            <w:shd w:val="clear" w:color="auto" w:fill="D8D8D8"/>
          </w:tcPr>
          <w:p>
            <w:pPr>
              <w:jc w:val="right"/>
              <w:ind w:right="9"/>
              <w:spacing w:after="0"/>
              <w:rPr>
                <w:sz w:val="20"/>
                <w:szCs w:val="20"/>
                <w:color w:val="auto"/>
              </w:rPr>
            </w:pPr>
            <w:r>
              <w:rPr>
                <w:rFonts w:ascii="Arial" w:cs="Arial" w:eastAsia="Arial" w:hAnsi="Arial"/>
                <w:sz w:val="14"/>
                <w:szCs w:val="14"/>
                <w:color w:val="auto"/>
              </w:rPr>
              <w:t>74,781</w:t>
            </w:r>
          </w:p>
        </w:tc>
        <w:tc>
          <w:tcPr>
            <w:tcW w:w="1320" w:type="dxa"/>
            <w:vAlign w:val="bottom"/>
            <w:shd w:val="clear" w:color="auto" w:fill="D8D8D8"/>
          </w:tcPr>
          <w:p>
            <w:pPr>
              <w:jc w:val="right"/>
              <w:ind w:right="149"/>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660" w:type="dxa"/>
            <w:vAlign w:val="bottom"/>
            <w:gridSpan w:val="2"/>
          </w:tcPr>
          <w:p>
            <w:pPr>
              <w:jc w:val="right"/>
              <w:ind w:right="177"/>
              <w:spacing w:after="0"/>
              <w:rPr>
                <w:sz w:val="20"/>
                <w:szCs w:val="20"/>
                <w:color w:val="auto"/>
              </w:rPr>
            </w:pPr>
            <w:r>
              <w:rPr>
                <w:rFonts w:ascii="Arial" w:cs="Arial" w:eastAsia="Arial" w:hAnsi="Arial"/>
                <w:sz w:val="14"/>
                <w:szCs w:val="14"/>
                <w:color w:val="auto"/>
              </w:rPr>
              <w:t>74,527</w:t>
            </w:r>
          </w:p>
        </w:tc>
        <w:tc>
          <w:tcPr>
            <w:tcW w:w="1560" w:type="dxa"/>
            <w:vAlign w:val="bottom"/>
            <w:gridSpan w:val="2"/>
          </w:tcPr>
          <w:p>
            <w:pPr>
              <w:jc w:val="right"/>
              <w:ind w:right="600"/>
              <w:spacing w:after="0"/>
              <w:rPr>
                <w:sz w:val="20"/>
                <w:szCs w:val="20"/>
                <w:color w:val="auto"/>
              </w:rPr>
            </w:pPr>
            <w:r>
              <w:rPr>
                <w:rFonts w:ascii="Arial" w:cs="Arial" w:eastAsia="Arial" w:hAnsi="Arial"/>
                <w:sz w:val="14"/>
                <w:szCs w:val="14"/>
                <w:color w:val="auto"/>
              </w:rPr>
              <w:t>–</w:t>
            </w:r>
          </w:p>
        </w:tc>
        <w:tc>
          <w:tcPr>
            <w:tcW w:w="1340" w:type="dxa"/>
            <w:vAlign w:val="bottom"/>
          </w:tcPr>
          <w:p>
            <w:pPr>
              <w:jc w:val="right"/>
              <w:ind w:right="128"/>
              <w:spacing w:after="0"/>
              <w:rPr>
                <w:sz w:val="20"/>
                <w:szCs w:val="20"/>
                <w:color w:val="auto"/>
              </w:rPr>
            </w:pPr>
            <w:r>
              <w:rPr>
                <w:rFonts w:ascii="Arial" w:cs="Arial" w:eastAsia="Arial" w:hAnsi="Arial"/>
                <w:sz w:val="14"/>
                <w:szCs w:val="14"/>
                <w:color w:val="auto"/>
              </w:rPr>
              <w:t>75,075</w:t>
            </w:r>
          </w:p>
        </w:tc>
        <w:tc>
          <w:tcPr>
            <w:tcW w:w="1260" w:type="dxa"/>
            <w:vAlign w:val="bottom"/>
          </w:tcPr>
          <w:p>
            <w:pPr>
              <w:jc w:val="right"/>
              <w:ind w:right="15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2960" w:type="dxa"/>
            <w:vAlign w:val="bottom"/>
          </w:tcPr>
          <w:p>
            <w:pPr>
              <w:ind w:left="140"/>
              <w:spacing w:after="0"/>
              <w:rPr>
                <w:sz w:val="20"/>
                <w:szCs w:val="20"/>
                <w:color w:val="auto"/>
              </w:rPr>
            </w:pPr>
            <w:r>
              <w:rPr>
                <w:rFonts w:ascii="Arial" w:cs="Arial" w:eastAsia="Arial" w:hAnsi="Arial"/>
                <w:sz w:val="14"/>
                <w:szCs w:val="14"/>
                <w:color w:val="auto"/>
              </w:rPr>
              <w:t>Russia</w:t>
            </w:r>
          </w:p>
        </w:tc>
        <w:tc>
          <w:tcPr>
            <w:tcW w:w="380" w:type="dxa"/>
            <w:vAlign w:val="bottom"/>
            <w:shd w:val="clear" w:color="auto" w:fill="D8D8D8"/>
          </w:tcPr>
          <w:p>
            <w:pPr>
              <w:spacing w:after="0"/>
              <w:rPr>
                <w:sz w:val="14"/>
                <w:szCs w:val="14"/>
                <w:color w:val="auto"/>
              </w:rPr>
            </w:pPr>
          </w:p>
        </w:tc>
        <w:tc>
          <w:tcPr>
            <w:tcW w:w="840" w:type="dxa"/>
            <w:vAlign w:val="bottom"/>
            <w:shd w:val="clear" w:color="auto" w:fill="D8D8D8"/>
          </w:tcPr>
          <w:p>
            <w:pPr>
              <w:jc w:val="right"/>
              <w:ind w:right="9"/>
              <w:spacing w:after="0"/>
              <w:rPr>
                <w:sz w:val="20"/>
                <w:szCs w:val="20"/>
                <w:color w:val="auto"/>
              </w:rPr>
            </w:pPr>
            <w:r>
              <w:rPr>
                <w:rFonts w:ascii="Arial" w:cs="Arial" w:eastAsia="Arial" w:hAnsi="Arial"/>
                <w:sz w:val="14"/>
                <w:szCs w:val="14"/>
                <w:color w:val="auto"/>
              </w:rPr>
              <w:t>23,579</w:t>
            </w:r>
          </w:p>
        </w:tc>
        <w:tc>
          <w:tcPr>
            <w:tcW w:w="1320" w:type="dxa"/>
            <w:vAlign w:val="bottom"/>
            <w:shd w:val="clear" w:color="auto" w:fill="D8D8D8"/>
          </w:tcPr>
          <w:p>
            <w:pPr>
              <w:jc w:val="right"/>
              <w:ind w:right="149"/>
              <w:spacing w:after="0"/>
              <w:rPr>
                <w:sz w:val="20"/>
                <w:szCs w:val="20"/>
                <w:color w:val="auto"/>
              </w:rPr>
            </w:pPr>
            <w:r>
              <w:rPr>
                <w:rFonts w:ascii="Arial" w:cs="Arial" w:eastAsia="Arial" w:hAnsi="Arial"/>
                <w:sz w:val="14"/>
                <w:szCs w:val="14"/>
                <w:color w:val="auto"/>
              </w:rPr>
              <w:t>10,403</w:t>
            </w:r>
          </w:p>
        </w:tc>
        <w:tc>
          <w:tcPr>
            <w:tcW w:w="100" w:type="dxa"/>
            <w:vAlign w:val="bottom"/>
          </w:tcPr>
          <w:p>
            <w:pPr>
              <w:spacing w:after="0"/>
              <w:rPr>
                <w:sz w:val="14"/>
                <w:szCs w:val="14"/>
                <w:color w:val="auto"/>
              </w:rPr>
            </w:pPr>
          </w:p>
        </w:tc>
        <w:tc>
          <w:tcPr>
            <w:tcW w:w="1660" w:type="dxa"/>
            <w:vAlign w:val="bottom"/>
            <w:gridSpan w:val="2"/>
          </w:tcPr>
          <w:p>
            <w:pPr>
              <w:jc w:val="right"/>
              <w:ind w:right="177"/>
              <w:spacing w:after="0"/>
              <w:rPr>
                <w:sz w:val="20"/>
                <w:szCs w:val="20"/>
                <w:color w:val="auto"/>
              </w:rPr>
            </w:pPr>
            <w:r>
              <w:rPr>
                <w:rFonts w:ascii="Arial" w:cs="Arial" w:eastAsia="Arial" w:hAnsi="Arial"/>
                <w:sz w:val="14"/>
                <w:szCs w:val="14"/>
                <w:color w:val="auto"/>
              </w:rPr>
              <w:t>25,152</w:t>
            </w:r>
          </w:p>
        </w:tc>
        <w:tc>
          <w:tcPr>
            <w:tcW w:w="1180" w:type="dxa"/>
            <w:vAlign w:val="bottom"/>
          </w:tcPr>
          <w:p>
            <w:pPr>
              <w:jc w:val="right"/>
              <w:ind w:right="149"/>
              <w:spacing w:after="0"/>
              <w:rPr>
                <w:sz w:val="20"/>
                <w:szCs w:val="20"/>
                <w:color w:val="auto"/>
              </w:rPr>
            </w:pPr>
            <w:r>
              <w:rPr>
                <w:rFonts w:ascii="Arial" w:cs="Arial" w:eastAsia="Arial" w:hAnsi="Arial"/>
                <w:sz w:val="14"/>
                <w:szCs w:val="14"/>
                <w:color w:val="auto"/>
              </w:rPr>
              <w:t>10,527</w:t>
            </w:r>
          </w:p>
        </w:tc>
        <w:tc>
          <w:tcPr>
            <w:tcW w:w="380" w:type="dxa"/>
            <w:vAlign w:val="bottom"/>
          </w:tcPr>
          <w:p>
            <w:pPr>
              <w:spacing w:after="0"/>
              <w:rPr>
                <w:sz w:val="14"/>
                <w:szCs w:val="14"/>
                <w:color w:val="auto"/>
              </w:rPr>
            </w:pPr>
          </w:p>
        </w:tc>
        <w:tc>
          <w:tcPr>
            <w:tcW w:w="134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260" w:type="dxa"/>
            <w:vAlign w:val="bottom"/>
          </w:tcPr>
          <w:p>
            <w:pPr>
              <w:jc w:val="right"/>
              <w:ind w:right="150"/>
              <w:spacing w:after="0"/>
              <w:rPr>
                <w:sz w:val="20"/>
                <w:szCs w:val="20"/>
                <w:color w:val="auto"/>
              </w:rPr>
            </w:pPr>
            <w:r>
              <w:rPr>
                <w:rFonts w:ascii="Arial" w:cs="Arial" w:eastAsia="Arial" w:hAnsi="Arial"/>
                <w:sz w:val="14"/>
                <w:szCs w:val="14"/>
                <w:color w:val="auto"/>
              </w:rPr>
              <w:t>38,180</w:t>
            </w:r>
          </w:p>
        </w:tc>
        <w:tc>
          <w:tcPr>
            <w:tcW w:w="0" w:type="dxa"/>
            <w:vAlign w:val="bottom"/>
          </w:tcPr>
          <w:p>
            <w:pPr>
              <w:spacing w:after="0"/>
              <w:rPr>
                <w:sz w:val="1"/>
                <w:szCs w:val="1"/>
                <w:color w:val="auto"/>
              </w:rPr>
            </w:pPr>
          </w:p>
        </w:tc>
      </w:tr>
      <w:tr>
        <w:trPr>
          <w:trHeight w:val="162"/>
        </w:trPr>
        <w:tc>
          <w:tcPr>
            <w:tcW w:w="2960" w:type="dxa"/>
            <w:vAlign w:val="bottom"/>
          </w:tcPr>
          <w:p>
            <w:pPr>
              <w:ind w:left="140"/>
              <w:spacing w:after="0"/>
              <w:rPr>
                <w:sz w:val="20"/>
                <w:szCs w:val="20"/>
                <w:color w:val="auto"/>
              </w:rPr>
            </w:pPr>
            <w:r>
              <w:rPr>
                <w:rFonts w:ascii="Arial" w:cs="Arial" w:eastAsia="Arial" w:hAnsi="Arial"/>
                <w:sz w:val="14"/>
                <w:szCs w:val="14"/>
                <w:color w:val="auto"/>
              </w:rPr>
              <w:t>United Arab Emirates</w:t>
            </w:r>
          </w:p>
        </w:tc>
        <w:tc>
          <w:tcPr>
            <w:tcW w:w="380" w:type="dxa"/>
            <w:vAlign w:val="bottom"/>
            <w:shd w:val="clear" w:color="auto" w:fill="D8D8D8"/>
          </w:tcPr>
          <w:p>
            <w:pPr>
              <w:spacing w:after="0"/>
              <w:rPr>
                <w:sz w:val="14"/>
                <w:szCs w:val="14"/>
                <w:color w:val="auto"/>
              </w:rPr>
            </w:pPr>
          </w:p>
        </w:tc>
        <w:tc>
          <w:tcPr>
            <w:tcW w:w="840" w:type="dxa"/>
            <w:vAlign w:val="bottom"/>
            <w:shd w:val="clear" w:color="auto" w:fill="D8D8D8"/>
          </w:tcPr>
          <w:p>
            <w:pPr>
              <w:jc w:val="right"/>
              <w:ind w:right="9"/>
              <w:spacing w:after="0"/>
              <w:rPr>
                <w:sz w:val="20"/>
                <w:szCs w:val="20"/>
                <w:color w:val="auto"/>
              </w:rPr>
            </w:pPr>
            <w:r>
              <w:rPr>
                <w:rFonts w:ascii="Arial" w:cs="Arial" w:eastAsia="Arial" w:hAnsi="Arial"/>
                <w:sz w:val="14"/>
                <w:szCs w:val="14"/>
                <w:color w:val="auto"/>
              </w:rPr>
              <w:t>–</w:t>
            </w:r>
          </w:p>
        </w:tc>
        <w:tc>
          <w:tcPr>
            <w:tcW w:w="1320" w:type="dxa"/>
            <w:vAlign w:val="bottom"/>
            <w:shd w:val="clear" w:color="auto" w:fill="D8D8D8"/>
          </w:tcPr>
          <w:p>
            <w:pPr>
              <w:jc w:val="right"/>
              <w:ind w:right="149"/>
              <w:spacing w:after="0"/>
              <w:rPr>
                <w:sz w:val="20"/>
                <w:szCs w:val="20"/>
                <w:color w:val="auto"/>
              </w:rPr>
            </w:pPr>
            <w:r>
              <w:rPr>
                <w:rFonts w:ascii="Arial" w:cs="Arial" w:eastAsia="Arial" w:hAnsi="Arial"/>
                <w:sz w:val="14"/>
                <w:szCs w:val="14"/>
                <w:color w:val="auto"/>
              </w:rPr>
              <w:t>2,397</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80" w:type="dxa"/>
            <w:vAlign w:val="bottom"/>
          </w:tcPr>
          <w:p>
            <w:pPr>
              <w:jc w:val="right"/>
              <w:ind w:right="177"/>
              <w:spacing w:after="0"/>
              <w:rPr>
                <w:sz w:val="20"/>
                <w:szCs w:val="20"/>
                <w:color w:val="auto"/>
              </w:rPr>
            </w:pPr>
            <w:r>
              <w:rPr>
                <w:rFonts w:ascii="Arial" w:cs="Arial" w:eastAsia="Arial" w:hAnsi="Arial"/>
                <w:sz w:val="14"/>
                <w:szCs w:val="14"/>
                <w:color w:val="auto"/>
              </w:rPr>
              <w:t>–</w:t>
            </w:r>
          </w:p>
        </w:tc>
        <w:tc>
          <w:tcPr>
            <w:tcW w:w="1180" w:type="dxa"/>
            <w:vAlign w:val="bottom"/>
          </w:tcPr>
          <w:p>
            <w:pPr>
              <w:jc w:val="right"/>
              <w:ind w:right="149"/>
              <w:spacing w:after="0"/>
              <w:rPr>
                <w:sz w:val="20"/>
                <w:szCs w:val="20"/>
                <w:color w:val="auto"/>
              </w:rPr>
            </w:pPr>
            <w:r>
              <w:rPr>
                <w:rFonts w:ascii="Arial" w:cs="Arial" w:eastAsia="Arial" w:hAnsi="Arial"/>
                <w:sz w:val="14"/>
                <w:szCs w:val="14"/>
                <w:color w:val="auto"/>
              </w:rPr>
              <w:t>58,104</w:t>
            </w:r>
          </w:p>
        </w:tc>
        <w:tc>
          <w:tcPr>
            <w:tcW w:w="380" w:type="dxa"/>
            <w:vAlign w:val="bottom"/>
          </w:tcPr>
          <w:p>
            <w:pPr>
              <w:spacing w:after="0"/>
              <w:rPr>
                <w:sz w:val="14"/>
                <w:szCs w:val="14"/>
                <w:color w:val="auto"/>
              </w:rPr>
            </w:pPr>
          </w:p>
        </w:tc>
        <w:tc>
          <w:tcPr>
            <w:tcW w:w="134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260" w:type="dxa"/>
            <w:vAlign w:val="bottom"/>
          </w:tcPr>
          <w:p>
            <w:pPr>
              <w:jc w:val="right"/>
              <w:ind w:right="150"/>
              <w:spacing w:after="0"/>
              <w:rPr>
                <w:sz w:val="20"/>
                <w:szCs w:val="20"/>
                <w:color w:val="auto"/>
              </w:rPr>
            </w:pPr>
            <w:r>
              <w:rPr>
                <w:rFonts w:ascii="Arial" w:cs="Arial" w:eastAsia="Arial" w:hAnsi="Arial"/>
                <w:sz w:val="14"/>
                <w:szCs w:val="14"/>
                <w:color w:val="auto"/>
              </w:rPr>
              <w:t>53,103</w:t>
            </w:r>
          </w:p>
        </w:tc>
        <w:tc>
          <w:tcPr>
            <w:tcW w:w="0" w:type="dxa"/>
            <w:vAlign w:val="bottom"/>
          </w:tcPr>
          <w:p>
            <w:pPr>
              <w:spacing w:after="0"/>
              <w:rPr>
                <w:sz w:val="1"/>
                <w:szCs w:val="1"/>
                <w:color w:val="auto"/>
              </w:rPr>
            </w:pPr>
          </w:p>
        </w:tc>
      </w:tr>
      <w:tr>
        <w:trPr>
          <w:trHeight w:val="157"/>
        </w:trPr>
        <w:tc>
          <w:tcPr>
            <w:tcW w:w="2960" w:type="dxa"/>
            <w:vAlign w:val="bottom"/>
            <w:tcBorders>
              <w:bottom w:val="single" w:sz="8" w:color="auto"/>
            </w:tcBorders>
          </w:tcPr>
          <w:p>
            <w:pPr>
              <w:ind w:left="140"/>
              <w:spacing w:after="0" w:line="157" w:lineRule="exact"/>
              <w:rPr>
                <w:sz w:val="20"/>
                <w:szCs w:val="20"/>
                <w:color w:val="auto"/>
              </w:rPr>
            </w:pPr>
            <w:r>
              <w:rPr>
                <w:rFonts w:ascii="Arial" w:cs="Arial" w:eastAsia="Arial" w:hAnsi="Arial"/>
                <w:sz w:val="14"/>
                <w:szCs w:val="14"/>
                <w:color w:val="auto"/>
              </w:rPr>
              <w:t>Other [B]</w:t>
            </w:r>
          </w:p>
        </w:tc>
        <w:tc>
          <w:tcPr>
            <w:tcW w:w="380" w:type="dxa"/>
            <w:vAlign w:val="bottom"/>
            <w:tcBorders>
              <w:bottom w:val="single" w:sz="8" w:color="auto"/>
            </w:tcBorders>
            <w:shd w:val="clear" w:color="auto" w:fill="D8D8D8"/>
          </w:tcPr>
          <w:p>
            <w:pPr>
              <w:spacing w:after="0"/>
              <w:rPr>
                <w:sz w:val="13"/>
                <w:szCs w:val="13"/>
                <w:color w:val="auto"/>
              </w:rPr>
            </w:pPr>
          </w:p>
        </w:tc>
        <w:tc>
          <w:tcPr>
            <w:tcW w:w="840" w:type="dxa"/>
            <w:vAlign w:val="bottom"/>
            <w:tcBorders>
              <w:bottom w:val="single" w:sz="8" w:color="auto"/>
            </w:tcBorders>
            <w:shd w:val="clear" w:color="auto" w:fill="D8D8D8"/>
          </w:tcPr>
          <w:p>
            <w:pPr>
              <w:jc w:val="right"/>
              <w:ind w:right="9"/>
              <w:spacing w:after="0" w:line="157" w:lineRule="exact"/>
              <w:rPr>
                <w:sz w:val="20"/>
                <w:szCs w:val="20"/>
                <w:color w:val="auto"/>
              </w:rPr>
            </w:pPr>
            <w:r>
              <w:rPr>
                <w:rFonts w:ascii="Arial" w:cs="Arial" w:eastAsia="Arial" w:hAnsi="Arial"/>
                <w:sz w:val="14"/>
                <w:szCs w:val="14"/>
                <w:color w:val="auto"/>
              </w:rPr>
              <w:t>27,165</w:t>
            </w:r>
          </w:p>
        </w:tc>
        <w:tc>
          <w:tcPr>
            <w:tcW w:w="1320" w:type="dxa"/>
            <w:vAlign w:val="bottom"/>
            <w:tcBorders>
              <w:bottom w:val="single" w:sz="8" w:color="auto"/>
            </w:tcBorders>
            <w:shd w:val="clear" w:color="auto" w:fill="D8D8D8"/>
          </w:tcPr>
          <w:p>
            <w:pPr>
              <w:jc w:val="right"/>
              <w:ind w:right="149"/>
              <w:spacing w:after="0" w:line="157" w:lineRule="exact"/>
              <w:rPr>
                <w:sz w:val="20"/>
                <w:szCs w:val="20"/>
                <w:color w:val="auto"/>
              </w:rPr>
            </w:pPr>
            <w:r>
              <w:rPr>
                <w:rFonts w:ascii="Arial" w:cs="Arial" w:eastAsia="Arial" w:hAnsi="Arial"/>
                <w:sz w:val="14"/>
                <w:szCs w:val="14"/>
                <w:color w:val="auto"/>
              </w:rPr>
              <w:t>8,115</w:t>
            </w:r>
          </w:p>
        </w:tc>
        <w:tc>
          <w:tcPr>
            <w:tcW w:w="100" w:type="dxa"/>
            <w:vAlign w:val="bottom"/>
            <w:tcBorders>
              <w:bottom w:val="single" w:sz="8" w:color="auto"/>
            </w:tcBorders>
          </w:tcPr>
          <w:p>
            <w:pPr>
              <w:spacing w:after="0"/>
              <w:rPr>
                <w:sz w:val="13"/>
                <w:szCs w:val="13"/>
                <w:color w:val="auto"/>
              </w:rPr>
            </w:pPr>
          </w:p>
        </w:tc>
        <w:tc>
          <w:tcPr>
            <w:tcW w:w="1660" w:type="dxa"/>
            <w:vAlign w:val="bottom"/>
            <w:tcBorders>
              <w:bottom w:val="single" w:sz="8" w:color="auto"/>
            </w:tcBorders>
            <w:gridSpan w:val="2"/>
          </w:tcPr>
          <w:p>
            <w:pPr>
              <w:jc w:val="right"/>
              <w:ind w:right="177"/>
              <w:spacing w:after="0" w:line="157" w:lineRule="exact"/>
              <w:rPr>
                <w:sz w:val="20"/>
                <w:szCs w:val="20"/>
                <w:color w:val="auto"/>
              </w:rPr>
            </w:pPr>
            <w:r>
              <w:rPr>
                <w:rFonts w:ascii="Arial" w:cs="Arial" w:eastAsia="Arial" w:hAnsi="Arial"/>
                <w:sz w:val="14"/>
                <w:szCs w:val="14"/>
                <w:color w:val="auto"/>
              </w:rPr>
              <w:t>25,202</w:t>
            </w:r>
          </w:p>
        </w:tc>
        <w:tc>
          <w:tcPr>
            <w:tcW w:w="1180" w:type="dxa"/>
            <w:vAlign w:val="bottom"/>
            <w:tcBorders>
              <w:bottom w:val="single" w:sz="8" w:color="auto"/>
            </w:tcBorders>
          </w:tcPr>
          <w:p>
            <w:pPr>
              <w:jc w:val="right"/>
              <w:ind w:right="149"/>
              <w:spacing w:after="0" w:line="157" w:lineRule="exact"/>
              <w:rPr>
                <w:sz w:val="20"/>
                <w:szCs w:val="20"/>
                <w:color w:val="auto"/>
              </w:rPr>
            </w:pPr>
            <w:r>
              <w:rPr>
                <w:rFonts w:ascii="Arial" w:cs="Arial" w:eastAsia="Arial" w:hAnsi="Arial"/>
                <w:sz w:val="14"/>
                <w:szCs w:val="14"/>
                <w:color w:val="auto"/>
              </w:rPr>
              <w:t>8,155</w:t>
            </w:r>
          </w:p>
        </w:tc>
        <w:tc>
          <w:tcPr>
            <w:tcW w:w="38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tcPr>
          <w:p>
            <w:pPr>
              <w:jc w:val="right"/>
              <w:ind w:right="128"/>
              <w:spacing w:after="0" w:line="157" w:lineRule="exact"/>
              <w:rPr>
                <w:sz w:val="20"/>
                <w:szCs w:val="20"/>
                <w:color w:val="auto"/>
              </w:rPr>
            </w:pPr>
            <w:r>
              <w:rPr>
                <w:rFonts w:ascii="Arial" w:cs="Arial" w:eastAsia="Arial" w:hAnsi="Arial"/>
                <w:sz w:val="14"/>
                <w:szCs w:val="14"/>
                <w:color w:val="auto"/>
              </w:rPr>
              <w:t>19,668</w:t>
            </w:r>
          </w:p>
        </w:tc>
        <w:tc>
          <w:tcPr>
            <w:tcW w:w="1260" w:type="dxa"/>
            <w:vAlign w:val="bottom"/>
            <w:tcBorders>
              <w:bottom w:val="single" w:sz="8" w:color="auto"/>
            </w:tcBorders>
          </w:tcPr>
          <w:p>
            <w:pPr>
              <w:jc w:val="right"/>
              <w:ind w:right="150"/>
              <w:spacing w:after="0" w:line="157" w:lineRule="exact"/>
              <w:rPr>
                <w:sz w:val="20"/>
                <w:szCs w:val="20"/>
                <w:color w:val="auto"/>
              </w:rPr>
            </w:pPr>
            <w:r>
              <w:rPr>
                <w:rFonts w:ascii="Arial" w:cs="Arial" w:eastAsia="Arial" w:hAnsi="Arial"/>
                <w:sz w:val="14"/>
                <w:szCs w:val="14"/>
                <w:color w:val="auto"/>
              </w:rPr>
              <w:t>8,341</w:t>
            </w:r>
          </w:p>
        </w:tc>
        <w:tc>
          <w:tcPr>
            <w:tcW w:w="0" w:type="dxa"/>
            <w:vAlign w:val="bottom"/>
          </w:tcPr>
          <w:p>
            <w:pPr>
              <w:spacing w:after="0"/>
              <w:rPr>
                <w:sz w:val="1"/>
                <w:szCs w:val="1"/>
                <w:color w:val="auto"/>
              </w:rPr>
            </w:pPr>
          </w:p>
        </w:tc>
      </w:tr>
      <w:tr>
        <w:trPr>
          <w:trHeight w:val="156"/>
        </w:trPr>
        <w:tc>
          <w:tcPr>
            <w:tcW w:w="2960" w:type="dxa"/>
            <w:vAlign w:val="bottom"/>
            <w:tcBorders>
              <w:bottom w:val="single" w:sz="8" w:color="auto"/>
            </w:tcBorders>
          </w:tcPr>
          <w:p>
            <w:pPr>
              <w:spacing w:after="0" w:line="155" w:lineRule="exact"/>
              <w:rPr>
                <w:sz w:val="20"/>
                <w:szCs w:val="20"/>
                <w:color w:val="auto"/>
              </w:rPr>
            </w:pPr>
            <w:r>
              <w:rPr>
                <w:rFonts w:ascii="Arial" w:cs="Arial" w:eastAsia="Arial" w:hAnsi="Arial"/>
                <w:sz w:val="14"/>
                <w:szCs w:val="14"/>
                <w:color w:val="auto"/>
              </w:rPr>
              <w:t>Total Asia</w:t>
            </w:r>
          </w:p>
        </w:tc>
        <w:tc>
          <w:tcPr>
            <w:tcW w:w="380" w:type="dxa"/>
            <w:vAlign w:val="bottom"/>
            <w:tcBorders>
              <w:bottom w:val="single" w:sz="8" w:color="auto"/>
            </w:tcBorders>
            <w:shd w:val="clear" w:color="auto" w:fill="D8D8D8"/>
          </w:tcPr>
          <w:p>
            <w:pPr>
              <w:spacing w:after="0"/>
              <w:rPr>
                <w:sz w:val="13"/>
                <w:szCs w:val="13"/>
                <w:color w:val="auto"/>
              </w:rPr>
            </w:pPr>
          </w:p>
        </w:tc>
        <w:tc>
          <w:tcPr>
            <w:tcW w:w="840" w:type="dxa"/>
            <w:vAlign w:val="bottom"/>
            <w:tcBorders>
              <w:bottom w:val="single" w:sz="8" w:color="auto"/>
            </w:tcBorders>
            <w:shd w:val="clear" w:color="auto" w:fill="D8D8D8"/>
          </w:tcPr>
          <w:p>
            <w:pPr>
              <w:jc w:val="right"/>
              <w:ind w:right="9"/>
              <w:spacing w:after="0" w:line="155" w:lineRule="exact"/>
              <w:rPr>
                <w:sz w:val="20"/>
                <w:szCs w:val="20"/>
                <w:color w:val="auto"/>
              </w:rPr>
            </w:pPr>
            <w:r>
              <w:rPr>
                <w:rFonts w:ascii="Arial" w:cs="Arial" w:eastAsia="Arial" w:hAnsi="Arial"/>
                <w:sz w:val="14"/>
                <w:szCs w:val="14"/>
                <w:color w:val="auto"/>
              </w:rPr>
              <w:t>162,145</w:t>
            </w:r>
          </w:p>
        </w:tc>
        <w:tc>
          <w:tcPr>
            <w:tcW w:w="1320" w:type="dxa"/>
            <w:vAlign w:val="bottom"/>
            <w:tcBorders>
              <w:bottom w:val="single" w:sz="8" w:color="auto"/>
            </w:tcBorders>
            <w:shd w:val="clear" w:color="auto" w:fill="D8D8D8"/>
          </w:tcPr>
          <w:p>
            <w:pPr>
              <w:jc w:val="right"/>
              <w:ind w:right="149"/>
              <w:spacing w:after="0" w:line="155" w:lineRule="exact"/>
              <w:rPr>
                <w:sz w:val="20"/>
                <w:szCs w:val="20"/>
                <w:color w:val="auto"/>
              </w:rPr>
            </w:pPr>
            <w:r>
              <w:rPr>
                <w:rFonts w:ascii="Arial" w:cs="Arial" w:eastAsia="Arial" w:hAnsi="Arial"/>
                <w:sz w:val="14"/>
                <w:szCs w:val="14"/>
                <w:color w:val="auto"/>
              </w:rPr>
              <w:t>39,491</w:t>
            </w:r>
          </w:p>
        </w:tc>
        <w:tc>
          <w:tcPr>
            <w:tcW w:w="100" w:type="dxa"/>
            <w:vAlign w:val="bottom"/>
            <w:tcBorders>
              <w:bottom w:val="single" w:sz="8" w:color="auto"/>
            </w:tcBorders>
          </w:tcPr>
          <w:p>
            <w:pPr>
              <w:spacing w:after="0"/>
              <w:rPr>
                <w:sz w:val="13"/>
                <w:szCs w:val="13"/>
                <w:color w:val="auto"/>
              </w:rPr>
            </w:pPr>
          </w:p>
        </w:tc>
        <w:tc>
          <w:tcPr>
            <w:tcW w:w="1660" w:type="dxa"/>
            <w:vAlign w:val="bottom"/>
            <w:tcBorders>
              <w:bottom w:val="single" w:sz="8" w:color="auto"/>
            </w:tcBorders>
            <w:gridSpan w:val="2"/>
          </w:tcPr>
          <w:p>
            <w:pPr>
              <w:jc w:val="right"/>
              <w:ind w:right="177"/>
              <w:spacing w:after="0" w:line="155" w:lineRule="exact"/>
              <w:rPr>
                <w:sz w:val="20"/>
                <w:szCs w:val="20"/>
                <w:color w:val="auto"/>
              </w:rPr>
            </w:pPr>
            <w:r>
              <w:rPr>
                <w:rFonts w:ascii="Arial" w:cs="Arial" w:eastAsia="Arial" w:hAnsi="Arial"/>
                <w:sz w:val="14"/>
                <w:szCs w:val="14"/>
                <w:color w:val="auto"/>
              </w:rPr>
              <w:t>149,302</w:t>
            </w:r>
          </w:p>
        </w:tc>
        <w:tc>
          <w:tcPr>
            <w:tcW w:w="1180" w:type="dxa"/>
            <w:vAlign w:val="bottom"/>
            <w:tcBorders>
              <w:bottom w:val="single" w:sz="8" w:color="auto"/>
            </w:tcBorders>
          </w:tcPr>
          <w:p>
            <w:pPr>
              <w:jc w:val="right"/>
              <w:ind w:right="149"/>
              <w:spacing w:after="0" w:line="155" w:lineRule="exact"/>
              <w:rPr>
                <w:sz w:val="20"/>
                <w:szCs w:val="20"/>
                <w:color w:val="auto"/>
              </w:rPr>
            </w:pPr>
            <w:r>
              <w:rPr>
                <w:rFonts w:ascii="Arial" w:cs="Arial" w:eastAsia="Arial" w:hAnsi="Arial"/>
                <w:sz w:val="14"/>
                <w:szCs w:val="14"/>
                <w:color w:val="auto"/>
              </w:rPr>
              <w:t>96,797</w:t>
            </w:r>
          </w:p>
        </w:tc>
        <w:tc>
          <w:tcPr>
            <w:tcW w:w="38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tcPr>
          <w:p>
            <w:pPr>
              <w:jc w:val="right"/>
              <w:ind w:right="128"/>
              <w:spacing w:after="0" w:line="155" w:lineRule="exact"/>
              <w:rPr>
                <w:sz w:val="20"/>
                <w:szCs w:val="20"/>
                <w:color w:val="auto"/>
              </w:rPr>
            </w:pPr>
            <w:r>
              <w:rPr>
                <w:rFonts w:ascii="Arial" w:cs="Arial" w:eastAsia="Arial" w:hAnsi="Arial"/>
                <w:sz w:val="14"/>
                <w:szCs w:val="14"/>
                <w:color w:val="auto"/>
              </w:rPr>
              <w:t>112,354</w:t>
            </w:r>
          </w:p>
        </w:tc>
        <w:tc>
          <w:tcPr>
            <w:tcW w:w="1260" w:type="dxa"/>
            <w:vAlign w:val="bottom"/>
            <w:tcBorders>
              <w:bottom w:val="single" w:sz="8" w:color="auto"/>
            </w:tcBorders>
          </w:tcPr>
          <w:p>
            <w:pPr>
              <w:jc w:val="right"/>
              <w:ind w:right="150"/>
              <w:spacing w:after="0" w:line="155" w:lineRule="exact"/>
              <w:rPr>
                <w:sz w:val="20"/>
                <w:szCs w:val="20"/>
                <w:color w:val="auto"/>
              </w:rPr>
            </w:pPr>
            <w:r>
              <w:rPr>
                <w:rFonts w:ascii="Arial" w:cs="Arial" w:eastAsia="Arial" w:hAnsi="Arial"/>
                <w:sz w:val="14"/>
                <w:szCs w:val="14"/>
                <w:color w:val="auto"/>
              </w:rPr>
              <w:t>126,145</w:t>
            </w:r>
          </w:p>
        </w:tc>
        <w:tc>
          <w:tcPr>
            <w:tcW w:w="0" w:type="dxa"/>
            <w:vAlign w:val="bottom"/>
          </w:tcPr>
          <w:p>
            <w:pPr>
              <w:spacing w:after="0"/>
              <w:rPr>
                <w:sz w:val="1"/>
                <w:szCs w:val="1"/>
                <w:color w:val="auto"/>
              </w:rPr>
            </w:pPr>
          </w:p>
        </w:tc>
      </w:tr>
      <w:tr>
        <w:trPr>
          <w:trHeight w:val="156"/>
        </w:trPr>
        <w:tc>
          <w:tcPr>
            <w:tcW w:w="2960" w:type="dxa"/>
            <w:vAlign w:val="bottom"/>
            <w:tcBorders>
              <w:bottom w:val="single" w:sz="8" w:color="auto"/>
            </w:tcBorders>
          </w:tcPr>
          <w:p>
            <w:pPr>
              <w:spacing w:after="0" w:line="155" w:lineRule="exact"/>
              <w:rPr>
                <w:sz w:val="20"/>
                <w:szCs w:val="20"/>
                <w:color w:val="auto"/>
              </w:rPr>
            </w:pPr>
            <w:r>
              <w:rPr>
                <w:rFonts w:ascii="Arial" w:cs="Arial" w:eastAsia="Arial" w:hAnsi="Arial"/>
                <w:sz w:val="14"/>
                <w:szCs w:val="14"/>
                <w:color w:val="auto"/>
              </w:rPr>
              <w:t>Total Oceania</w:t>
            </w:r>
          </w:p>
        </w:tc>
        <w:tc>
          <w:tcPr>
            <w:tcW w:w="380" w:type="dxa"/>
            <w:vAlign w:val="bottom"/>
            <w:tcBorders>
              <w:bottom w:val="single" w:sz="8" w:color="auto"/>
            </w:tcBorders>
            <w:shd w:val="clear" w:color="auto" w:fill="D8D8D8"/>
          </w:tcPr>
          <w:p>
            <w:pPr>
              <w:spacing w:after="0"/>
              <w:rPr>
                <w:sz w:val="13"/>
                <w:szCs w:val="13"/>
                <w:color w:val="auto"/>
              </w:rPr>
            </w:pPr>
          </w:p>
        </w:tc>
        <w:tc>
          <w:tcPr>
            <w:tcW w:w="840" w:type="dxa"/>
            <w:vAlign w:val="bottom"/>
            <w:tcBorders>
              <w:bottom w:val="single" w:sz="8" w:color="auto"/>
            </w:tcBorders>
            <w:shd w:val="clear" w:color="auto" w:fill="D8D8D8"/>
          </w:tcPr>
          <w:p>
            <w:pPr>
              <w:jc w:val="right"/>
              <w:ind w:right="9"/>
              <w:spacing w:after="0" w:line="155" w:lineRule="exact"/>
              <w:rPr>
                <w:sz w:val="20"/>
                <w:szCs w:val="20"/>
                <w:color w:val="auto"/>
              </w:rPr>
            </w:pPr>
            <w:r>
              <w:rPr>
                <w:rFonts w:ascii="Arial" w:cs="Arial" w:eastAsia="Arial" w:hAnsi="Arial"/>
                <w:sz w:val="14"/>
                <w:szCs w:val="14"/>
                <w:color w:val="auto"/>
              </w:rPr>
              <w:t>9,191</w:t>
            </w:r>
          </w:p>
        </w:tc>
        <w:tc>
          <w:tcPr>
            <w:tcW w:w="1320" w:type="dxa"/>
            <w:vAlign w:val="bottom"/>
            <w:tcBorders>
              <w:bottom w:val="single" w:sz="8" w:color="auto"/>
            </w:tcBorders>
            <w:shd w:val="clear" w:color="auto" w:fill="D8D8D8"/>
          </w:tcPr>
          <w:p>
            <w:pPr>
              <w:jc w:val="right"/>
              <w:ind w:right="149"/>
              <w:spacing w:after="0" w:line="155" w:lineRule="exact"/>
              <w:rPr>
                <w:sz w:val="20"/>
                <w:szCs w:val="20"/>
                <w:color w:val="auto"/>
              </w:rPr>
            </w:pPr>
            <w:r>
              <w:rPr>
                <w:rFonts w:ascii="Arial" w:cs="Arial" w:eastAsia="Arial" w:hAnsi="Arial"/>
                <w:sz w:val="14"/>
                <w:szCs w:val="14"/>
                <w:color w:val="auto"/>
              </w:rPr>
              <w:t>3,688</w:t>
            </w:r>
          </w:p>
        </w:tc>
        <w:tc>
          <w:tcPr>
            <w:tcW w:w="100" w:type="dxa"/>
            <w:vAlign w:val="bottom"/>
            <w:tcBorders>
              <w:bottom w:val="single" w:sz="8" w:color="auto"/>
            </w:tcBorders>
          </w:tcPr>
          <w:p>
            <w:pPr>
              <w:spacing w:after="0"/>
              <w:rPr>
                <w:sz w:val="13"/>
                <w:szCs w:val="13"/>
                <w:color w:val="auto"/>
              </w:rPr>
            </w:pPr>
          </w:p>
        </w:tc>
        <w:tc>
          <w:tcPr>
            <w:tcW w:w="1660" w:type="dxa"/>
            <w:vAlign w:val="bottom"/>
            <w:tcBorders>
              <w:bottom w:val="single" w:sz="8" w:color="auto"/>
            </w:tcBorders>
            <w:gridSpan w:val="2"/>
          </w:tcPr>
          <w:p>
            <w:pPr>
              <w:jc w:val="right"/>
              <w:ind w:right="177"/>
              <w:spacing w:after="0" w:line="155" w:lineRule="exact"/>
              <w:rPr>
                <w:sz w:val="20"/>
                <w:szCs w:val="20"/>
                <w:color w:val="auto"/>
              </w:rPr>
            </w:pPr>
            <w:r>
              <w:rPr>
                <w:rFonts w:ascii="Arial" w:cs="Arial" w:eastAsia="Arial" w:hAnsi="Arial"/>
                <w:sz w:val="14"/>
                <w:szCs w:val="14"/>
                <w:color w:val="auto"/>
              </w:rPr>
              <w:t>9,371</w:t>
            </w:r>
          </w:p>
        </w:tc>
        <w:tc>
          <w:tcPr>
            <w:tcW w:w="1180" w:type="dxa"/>
            <w:vAlign w:val="bottom"/>
            <w:tcBorders>
              <w:bottom w:val="single" w:sz="8" w:color="auto"/>
            </w:tcBorders>
          </w:tcPr>
          <w:p>
            <w:pPr>
              <w:jc w:val="right"/>
              <w:ind w:right="149"/>
              <w:spacing w:after="0" w:line="155" w:lineRule="exact"/>
              <w:rPr>
                <w:sz w:val="20"/>
                <w:szCs w:val="20"/>
                <w:color w:val="auto"/>
              </w:rPr>
            </w:pPr>
            <w:r>
              <w:rPr>
                <w:rFonts w:ascii="Arial" w:cs="Arial" w:eastAsia="Arial" w:hAnsi="Arial"/>
                <w:sz w:val="14"/>
                <w:szCs w:val="14"/>
                <w:color w:val="auto"/>
              </w:rPr>
              <w:t>4,771</w:t>
            </w:r>
          </w:p>
        </w:tc>
        <w:tc>
          <w:tcPr>
            <w:tcW w:w="38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tcPr>
          <w:p>
            <w:pPr>
              <w:jc w:val="right"/>
              <w:ind w:right="128"/>
              <w:spacing w:after="0" w:line="155" w:lineRule="exact"/>
              <w:rPr>
                <w:sz w:val="20"/>
                <w:szCs w:val="20"/>
                <w:color w:val="auto"/>
              </w:rPr>
            </w:pPr>
            <w:r>
              <w:rPr>
                <w:rFonts w:ascii="Arial" w:cs="Arial" w:eastAsia="Arial" w:hAnsi="Arial"/>
                <w:sz w:val="14"/>
                <w:szCs w:val="14"/>
                <w:color w:val="auto"/>
              </w:rPr>
              <w:t>10,181</w:t>
            </w:r>
          </w:p>
        </w:tc>
        <w:tc>
          <w:tcPr>
            <w:tcW w:w="1260" w:type="dxa"/>
            <w:vAlign w:val="bottom"/>
            <w:tcBorders>
              <w:bottom w:val="single" w:sz="8" w:color="auto"/>
            </w:tcBorders>
          </w:tcPr>
          <w:p>
            <w:pPr>
              <w:jc w:val="right"/>
              <w:ind w:right="150"/>
              <w:spacing w:after="0" w:line="155" w:lineRule="exact"/>
              <w:rPr>
                <w:sz w:val="20"/>
                <w:szCs w:val="20"/>
                <w:color w:val="auto"/>
              </w:rPr>
            </w:pPr>
            <w:r>
              <w:rPr>
                <w:rFonts w:ascii="Arial" w:cs="Arial" w:eastAsia="Arial" w:hAnsi="Arial"/>
                <w:sz w:val="14"/>
                <w:szCs w:val="14"/>
                <w:color w:val="auto"/>
              </w:rPr>
              <w:t>6,494</w:t>
            </w:r>
          </w:p>
        </w:tc>
        <w:tc>
          <w:tcPr>
            <w:tcW w:w="0" w:type="dxa"/>
            <w:vAlign w:val="bottom"/>
          </w:tcPr>
          <w:p>
            <w:pPr>
              <w:spacing w:after="0"/>
              <w:rPr>
                <w:sz w:val="1"/>
                <w:szCs w:val="1"/>
                <w:color w:val="auto"/>
              </w:rPr>
            </w:pPr>
          </w:p>
        </w:tc>
      </w:tr>
      <w:tr>
        <w:trPr>
          <w:trHeight w:val="160"/>
        </w:trPr>
        <w:tc>
          <w:tcPr>
            <w:tcW w:w="2960" w:type="dxa"/>
            <w:vAlign w:val="bottom"/>
          </w:tcPr>
          <w:p>
            <w:pPr>
              <w:spacing w:after="0"/>
              <w:rPr>
                <w:sz w:val="20"/>
                <w:szCs w:val="20"/>
                <w:color w:val="auto"/>
              </w:rPr>
            </w:pPr>
            <w:r>
              <w:rPr>
                <w:rFonts w:ascii="Arial" w:cs="Arial" w:eastAsia="Arial" w:hAnsi="Arial"/>
                <w:sz w:val="14"/>
                <w:szCs w:val="14"/>
                <w:color w:val="auto"/>
              </w:rPr>
              <w:t>Africa</w:t>
            </w:r>
          </w:p>
        </w:tc>
        <w:tc>
          <w:tcPr>
            <w:tcW w:w="380" w:type="dxa"/>
            <w:vAlign w:val="bottom"/>
            <w:shd w:val="clear" w:color="auto" w:fill="D8D8D8"/>
          </w:tcPr>
          <w:p>
            <w:pPr>
              <w:spacing w:after="0"/>
              <w:rPr>
                <w:sz w:val="13"/>
                <w:szCs w:val="13"/>
                <w:color w:val="auto"/>
              </w:rPr>
            </w:pPr>
          </w:p>
        </w:tc>
        <w:tc>
          <w:tcPr>
            <w:tcW w:w="840" w:type="dxa"/>
            <w:vAlign w:val="bottom"/>
            <w:shd w:val="clear" w:color="auto" w:fill="D8D8D8"/>
          </w:tcPr>
          <w:p>
            <w:pPr>
              <w:spacing w:after="0"/>
              <w:rPr>
                <w:sz w:val="13"/>
                <w:szCs w:val="13"/>
                <w:color w:val="auto"/>
              </w:rPr>
            </w:pPr>
          </w:p>
        </w:tc>
        <w:tc>
          <w:tcPr>
            <w:tcW w:w="1320" w:type="dxa"/>
            <w:vAlign w:val="bottom"/>
            <w:shd w:val="clear" w:color="auto" w:fill="D8D8D8"/>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960" w:type="dxa"/>
            <w:vAlign w:val="bottom"/>
          </w:tcPr>
          <w:p>
            <w:pPr>
              <w:ind w:left="140"/>
              <w:spacing w:after="0"/>
              <w:rPr>
                <w:sz w:val="20"/>
                <w:szCs w:val="20"/>
                <w:color w:val="auto"/>
              </w:rPr>
            </w:pPr>
            <w:r>
              <w:rPr>
                <w:rFonts w:ascii="Arial" w:cs="Arial" w:eastAsia="Arial" w:hAnsi="Arial"/>
                <w:sz w:val="14"/>
                <w:szCs w:val="14"/>
                <w:color w:val="auto"/>
              </w:rPr>
              <w:t>Gabon</w:t>
            </w:r>
          </w:p>
        </w:tc>
        <w:tc>
          <w:tcPr>
            <w:tcW w:w="380" w:type="dxa"/>
            <w:vAlign w:val="bottom"/>
            <w:shd w:val="clear" w:color="auto" w:fill="D8D8D8"/>
          </w:tcPr>
          <w:p>
            <w:pPr>
              <w:spacing w:after="0"/>
              <w:rPr>
                <w:sz w:val="14"/>
                <w:szCs w:val="14"/>
                <w:color w:val="auto"/>
              </w:rPr>
            </w:pPr>
          </w:p>
        </w:tc>
        <w:tc>
          <w:tcPr>
            <w:tcW w:w="840" w:type="dxa"/>
            <w:vAlign w:val="bottom"/>
            <w:shd w:val="clear" w:color="auto" w:fill="D8D8D8"/>
          </w:tcPr>
          <w:p>
            <w:pPr>
              <w:jc w:val="right"/>
              <w:ind w:right="9"/>
              <w:spacing w:after="0"/>
              <w:rPr>
                <w:sz w:val="20"/>
                <w:szCs w:val="20"/>
                <w:color w:val="auto"/>
              </w:rPr>
            </w:pPr>
            <w:r>
              <w:rPr>
                <w:rFonts w:ascii="Arial" w:cs="Arial" w:eastAsia="Arial" w:hAnsi="Arial"/>
                <w:sz w:val="14"/>
                <w:szCs w:val="14"/>
                <w:color w:val="auto"/>
              </w:rPr>
              <w:t>12,144</w:t>
            </w:r>
          </w:p>
        </w:tc>
        <w:tc>
          <w:tcPr>
            <w:tcW w:w="1320" w:type="dxa"/>
            <w:vAlign w:val="bottom"/>
            <w:shd w:val="clear" w:color="auto" w:fill="D8D8D8"/>
          </w:tcPr>
          <w:p>
            <w:pPr>
              <w:jc w:val="right"/>
              <w:ind w:right="149"/>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660" w:type="dxa"/>
            <w:vAlign w:val="bottom"/>
            <w:gridSpan w:val="2"/>
          </w:tcPr>
          <w:p>
            <w:pPr>
              <w:jc w:val="right"/>
              <w:ind w:right="177"/>
              <w:spacing w:after="0"/>
              <w:rPr>
                <w:sz w:val="20"/>
                <w:szCs w:val="20"/>
                <w:color w:val="auto"/>
              </w:rPr>
            </w:pPr>
            <w:r>
              <w:rPr>
                <w:rFonts w:ascii="Arial" w:cs="Arial" w:eastAsia="Arial" w:hAnsi="Arial"/>
                <w:sz w:val="14"/>
                <w:szCs w:val="14"/>
                <w:color w:val="auto"/>
              </w:rPr>
              <w:t>10,781</w:t>
            </w:r>
          </w:p>
        </w:tc>
        <w:tc>
          <w:tcPr>
            <w:tcW w:w="1560" w:type="dxa"/>
            <w:vAlign w:val="bottom"/>
            <w:gridSpan w:val="2"/>
          </w:tcPr>
          <w:p>
            <w:pPr>
              <w:jc w:val="right"/>
              <w:ind w:right="600"/>
              <w:spacing w:after="0"/>
              <w:rPr>
                <w:sz w:val="20"/>
                <w:szCs w:val="20"/>
                <w:color w:val="auto"/>
              </w:rPr>
            </w:pPr>
            <w:r>
              <w:rPr>
                <w:rFonts w:ascii="Arial" w:cs="Arial" w:eastAsia="Arial" w:hAnsi="Arial"/>
                <w:sz w:val="14"/>
                <w:szCs w:val="14"/>
                <w:color w:val="auto"/>
              </w:rPr>
              <w:t>–</w:t>
            </w:r>
          </w:p>
        </w:tc>
        <w:tc>
          <w:tcPr>
            <w:tcW w:w="1340" w:type="dxa"/>
            <w:vAlign w:val="bottom"/>
          </w:tcPr>
          <w:p>
            <w:pPr>
              <w:jc w:val="right"/>
              <w:ind w:right="128"/>
              <w:spacing w:after="0"/>
              <w:rPr>
                <w:sz w:val="20"/>
                <w:szCs w:val="20"/>
                <w:color w:val="auto"/>
              </w:rPr>
            </w:pPr>
            <w:r>
              <w:rPr>
                <w:rFonts w:ascii="Arial" w:cs="Arial" w:eastAsia="Arial" w:hAnsi="Arial"/>
                <w:sz w:val="14"/>
                <w:szCs w:val="14"/>
                <w:color w:val="auto"/>
              </w:rPr>
              <w:t>13,957</w:t>
            </w:r>
          </w:p>
        </w:tc>
        <w:tc>
          <w:tcPr>
            <w:tcW w:w="1260" w:type="dxa"/>
            <w:vAlign w:val="bottom"/>
          </w:tcPr>
          <w:p>
            <w:pPr>
              <w:jc w:val="right"/>
              <w:ind w:right="15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2960" w:type="dxa"/>
            <w:vAlign w:val="bottom"/>
          </w:tcPr>
          <w:p>
            <w:pPr>
              <w:ind w:left="140"/>
              <w:spacing w:after="0"/>
              <w:rPr>
                <w:sz w:val="20"/>
                <w:szCs w:val="20"/>
                <w:color w:val="auto"/>
              </w:rPr>
            </w:pPr>
            <w:r>
              <w:rPr>
                <w:rFonts w:ascii="Arial" w:cs="Arial" w:eastAsia="Arial" w:hAnsi="Arial"/>
                <w:sz w:val="14"/>
                <w:szCs w:val="14"/>
                <w:color w:val="auto"/>
              </w:rPr>
              <w:t>Nigeria</w:t>
            </w:r>
          </w:p>
        </w:tc>
        <w:tc>
          <w:tcPr>
            <w:tcW w:w="380" w:type="dxa"/>
            <w:vAlign w:val="bottom"/>
            <w:shd w:val="clear" w:color="auto" w:fill="D8D8D8"/>
          </w:tcPr>
          <w:p>
            <w:pPr>
              <w:spacing w:after="0"/>
              <w:rPr>
                <w:sz w:val="14"/>
                <w:szCs w:val="14"/>
                <w:color w:val="auto"/>
              </w:rPr>
            </w:pPr>
          </w:p>
        </w:tc>
        <w:tc>
          <w:tcPr>
            <w:tcW w:w="840" w:type="dxa"/>
            <w:vAlign w:val="bottom"/>
            <w:shd w:val="clear" w:color="auto" w:fill="D8D8D8"/>
          </w:tcPr>
          <w:p>
            <w:pPr>
              <w:jc w:val="right"/>
              <w:ind w:right="9"/>
              <w:spacing w:after="0"/>
              <w:rPr>
                <w:sz w:val="20"/>
                <w:szCs w:val="20"/>
                <w:color w:val="auto"/>
              </w:rPr>
            </w:pPr>
            <w:r>
              <w:rPr>
                <w:rFonts w:ascii="Arial" w:cs="Arial" w:eastAsia="Arial" w:hAnsi="Arial"/>
                <w:sz w:val="14"/>
                <w:szCs w:val="14"/>
                <w:color w:val="auto"/>
              </w:rPr>
              <w:t>69,851</w:t>
            </w:r>
          </w:p>
        </w:tc>
        <w:tc>
          <w:tcPr>
            <w:tcW w:w="1320" w:type="dxa"/>
            <w:vAlign w:val="bottom"/>
            <w:shd w:val="clear" w:color="auto" w:fill="D8D8D8"/>
          </w:tcPr>
          <w:p>
            <w:pPr>
              <w:jc w:val="right"/>
              <w:ind w:right="149"/>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660" w:type="dxa"/>
            <w:vAlign w:val="bottom"/>
            <w:gridSpan w:val="2"/>
          </w:tcPr>
          <w:p>
            <w:pPr>
              <w:jc w:val="right"/>
              <w:ind w:right="177"/>
              <w:spacing w:after="0"/>
              <w:rPr>
                <w:sz w:val="20"/>
                <w:szCs w:val="20"/>
                <w:color w:val="auto"/>
              </w:rPr>
            </w:pPr>
            <w:r>
              <w:rPr>
                <w:rFonts w:ascii="Arial" w:cs="Arial" w:eastAsia="Arial" w:hAnsi="Arial"/>
                <w:sz w:val="14"/>
                <w:szCs w:val="14"/>
                <w:color w:val="auto"/>
              </w:rPr>
              <w:t>63,800</w:t>
            </w:r>
          </w:p>
        </w:tc>
        <w:tc>
          <w:tcPr>
            <w:tcW w:w="1560" w:type="dxa"/>
            <w:vAlign w:val="bottom"/>
            <w:gridSpan w:val="2"/>
          </w:tcPr>
          <w:p>
            <w:pPr>
              <w:jc w:val="right"/>
              <w:ind w:right="600"/>
              <w:spacing w:after="0"/>
              <w:rPr>
                <w:sz w:val="20"/>
                <w:szCs w:val="20"/>
                <w:color w:val="auto"/>
              </w:rPr>
            </w:pPr>
            <w:r>
              <w:rPr>
                <w:rFonts w:ascii="Arial" w:cs="Arial" w:eastAsia="Arial" w:hAnsi="Arial"/>
                <w:sz w:val="14"/>
                <w:szCs w:val="14"/>
                <w:color w:val="auto"/>
              </w:rPr>
              <w:t>–</w:t>
            </w:r>
          </w:p>
        </w:tc>
        <w:tc>
          <w:tcPr>
            <w:tcW w:w="1340" w:type="dxa"/>
            <w:vAlign w:val="bottom"/>
          </w:tcPr>
          <w:p>
            <w:pPr>
              <w:jc w:val="right"/>
              <w:ind w:right="128"/>
              <w:spacing w:after="0"/>
              <w:rPr>
                <w:sz w:val="20"/>
                <w:szCs w:val="20"/>
                <w:color w:val="auto"/>
              </w:rPr>
            </w:pPr>
            <w:r>
              <w:rPr>
                <w:rFonts w:ascii="Arial" w:cs="Arial" w:eastAsia="Arial" w:hAnsi="Arial"/>
                <w:sz w:val="14"/>
                <w:szCs w:val="14"/>
                <w:color w:val="auto"/>
              </w:rPr>
              <w:t>87,592</w:t>
            </w:r>
          </w:p>
        </w:tc>
        <w:tc>
          <w:tcPr>
            <w:tcW w:w="1260" w:type="dxa"/>
            <w:vAlign w:val="bottom"/>
          </w:tcPr>
          <w:p>
            <w:pPr>
              <w:jc w:val="right"/>
              <w:ind w:right="15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7"/>
        </w:trPr>
        <w:tc>
          <w:tcPr>
            <w:tcW w:w="2960" w:type="dxa"/>
            <w:vAlign w:val="bottom"/>
            <w:tcBorders>
              <w:bottom w:val="single" w:sz="8" w:color="auto"/>
            </w:tcBorders>
          </w:tcPr>
          <w:p>
            <w:pPr>
              <w:ind w:left="140"/>
              <w:spacing w:after="0" w:line="157" w:lineRule="exact"/>
              <w:rPr>
                <w:sz w:val="20"/>
                <w:szCs w:val="20"/>
                <w:color w:val="auto"/>
              </w:rPr>
            </w:pPr>
            <w:r>
              <w:rPr>
                <w:rFonts w:ascii="Arial" w:cs="Arial" w:eastAsia="Arial" w:hAnsi="Arial"/>
                <w:sz w:val="14"/>
                <w:szCs w:val="14"/>
                <w:color w:val="auto"/>
              </w:rPr>
              <w:t>Other [B]</w:t>
            </w:r>
          </w:p>
        </w:tc>
        <w:tc>
          <w:tcPr>
            <w:tcW w:w="380" w:type="dxa"/>
            <w:vAlign w:val="bottom"/>
            <w:tcBorders>
              <w:bottom w:val="single" w:sz="8" w:color="auto"/>
            </w:tcBorders>
            <w:shd w:val="clear" w:color="auto" w:fill="D8D8D8"/>
          </w:tcPr>
          <w:p>
            <w:pPr>
              <w:spacing w:after="0"/>
              <w:rPr>
                <w:sz w:val="13"/>
                <w:szCs w:val="13"/>
                <w:color w:val="auto"/>
              </w:rPr>
            </w:pPr>
          </w:p>
        </w:tc>
        <w:tc>
          <w:tcPr>
            <w:tcW w:w="840" w:type="dxa"/>
            <w:vAlign w:val="bottom"/>
            <w:tcBorders>
              <w:bottom w:val="single" w:sz="8" w:color="auto"/>
            </w:tcBorders>
            <w:shd w:val="clear" w:color="auto" w:fill="D8D8D8"/>
          </w:tcPr>
          <w:p>
            <w:pPr>
              <w:jc w:val="right"/>
              <w:ind w:right="9"/>
              <w:spacing w:after="0" w:line="157" w:lineRule="exact"/>
              <w:rPr>
                <w:sz w:val="20"/>
                <w:szCs w:val="20"/>
                <w:color w:val="auto"/>
              </w:rPr>
            </w:pPr>
            <w:r>
              <w:rPr>
                <w:rFonts w:ascii="Arial" w:cs="Arial" w:eastAsia="Arial" w:hAnsi="Arial"/>
                <w:sz w:val="14"/>
                <w:szCs w:val="14"/>
                <w:color w:val="auto"/>
              </w:rPr>
              <w:t>5,008</w:t>
            </w:r>
          </w:p>
        </w:tc>
        <w:tc>
          <w:tcPr>
            <w:tcW w:w="1320" w:type="dxa"/>
            <w:vAlign w:val="bottom"/>
            <w:tcBorders>
              <w:bottom w:val="single" w:sz="8" w:color="auto"/>
            </w:tcBorders>
            <w:shd w:val="clear" w:color="auto" w:fill="D8D8D8"/>
          </w:tcPr>
          <w:p>
            <w:pPr>
              <w:jc w:val="right"/>
              <w:ind w:right="149"/>
              <w:spacing w:after="0" w:line="157" w:lineRule="exact"/>
              <w:rPr>
                <w:sz w:val="20"/>
                <w:szCs w:val="20"/>
                <w:color w:val="auto"/>
              </w:rPr>
            </w:pPr>
            <w:r>
              <w:rPr>
                <w:rFonts w:ascii="Arial" w:cs="Arial" w:eastAsia="Arial" w:hAnsi="Arial"/>
                <w:sz w:val="14"/>
                <w:szCs w:val="14"/>
                <w:color w:val="auto"/>
              </w:rPr>
              <w:t>–</w:t>
            </w:r>
          </w:p>
        </w:tc>
        <w:tc>
          <w:tcPr>
            <w:tcW w:w="100" w:type="dxa"/>
            <w:vAlign w:val="bottom"/>
            <w:tcBorders>
              <w:bottom w:val="single" w:sz="8" w:color="auto"/>
            </w:tcBorders>
          </w:tcPr>
          <w:p>
            <w:pPr>
              <w:spacing w:after="0"/>
              <w:rPr>
                <w:sz w:val="13"/>
                <w:szCs w:val="13"/>
                <w:color w:val="auto"/>
              </w:rPr>
            </w:pPr>
          </w:p>
        </w:tc>
        <w:tc>
          <w:tcPr>
            <w:tcW w:w="1660" w:type="dxa"/>
            <w:vAlign w:val="bottom"/>
            <w:tcBorders>
              <w:bottom w:val="single" w:sz="8" w:color="auto"/>
            </w:tcBorders>
            <w:gridSpan w:val="2"/>
          </w:tcPr>
          <w:p>
            <w:pPr>
              <w:jc w:val="right"/>
              <w:ind w:right="177"/>
              <w:spacing w:after="0" w:line="157" w:lineRule="exact"/>
              <w:rPr>
                <w:sz w:val="20"/>
                <w:szCs w:val="20"/>
                <w:color w:val="auto"/>
              </w:rPr>
            </w:pPr>
            <w:r>
              <w:rPr>
                <w:rFonts w:ascii="Arial" w:cs="Arial" w:eastAsia="Arial" w:hAnsi="Arial"/>
                <w:sz w:val="14"/>
                <w:szCs w:val="14"/>
                <w:color w:val="auto"/>
              </w:rPr>
              <w:t>4,254</w:t>
            </w:r>
          </w:p>
        </w:tc>
        <w:tc>
          <w:tcPr>
            <w:tcW w:w="1560" w:type="dxa"/>
            <w:vAlign w:val="bottom"/>
            <w:tcBorders>
              <w:bottom w:val="single" w:sz="8" w:color="auto"/>
            </w:tcBorders>
            <w:gridSpan w:val="2"/>
          </w:tcPr>
          <w:p>
            <w:pPr>
              <w:jc w:val="right"/>
              <w:ind w:right="600"/>
              <w:spacing w:after="0" w:line="157" w:lineRule="exact"/>
              <w:rPr>
                <w:sz w:val="20"/>
                <w:szCs w:val="20"/>
                <w:color w:val="auto"/>
              </w:rPr>
            </w:pPr>
            <w:r>
              <w:rPr>
                <w:rFonts w:ascii="Arial" w:cs="Arial" w:eastAsia="Arial" w:hAnsi="Arial"/>
                <w:sz w:val="14"/>
                <w:szCs w:val="14"/>
                <w:color w:val="auto"/>
              </w:rPr>
              <w:t>–</w:t>
            </w:r>
          </w:p>
        </w:tc>
        <w:tc>
          <w:tcPr>
            <w:tcW w:w="1340" w:type="dxa"/>
            <w:vAlign w:val="bottom"/>
            <w:tcBorders>
              <w:bottom w:val="single" w:sz="8" w:color="auto"/>
            </w:tcBorders>
          </w:tcPr>
          <w:p>
            <w:pPr>
              <w:jc w:val="right"/>
              <w:ind w:right="128"/>
              <w:spacing w:after="0" w:line="157" w:lineRule="exact"/>
              <w:rPr>
                <w:sz w:val="20"/>
                <w:szCs w:val="20"/>
                <w:color w:val="auto"/>
              </w:rPr>
            </w:pPr>
            <w:r>
              <w:rPr>
                <w:rFonts w:ascii="Arial" w:cs="Arial" w:eastAsia="Arial" w:hAnsi="Arial"/>
                <w:sz w:val="14"/>
                <w:szCs w:val="14"/>
                <w:color w:val="auto"/>
              </w:rPr>
              <w:t>4,477</w:t>
            </w:r>
          </w:p>
        </w:tc>
        <w:tc>
          <w:tcPr>
            <w:tcW w:w="1260" w:type="dxa"/>
            <w:vAlign w:val="bottom"/>
            <w:tcBorders>
              <w:bottom w:val="single" w:sz="8" w:color="auto"/>
            </w:tcBorders>
          </w:tcPr>
          <w:p>
            <w:pPr>
              <w:jc w:val="right"/>
              <w:ind w:right="150"/>
              <w:spacing w:after="0" w:line="157"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6"/>
        </w:trPr>
        <w:tc>
          <w:tcPr>
            <w:tcW w:w="2960" w:type="dxa"/>
            <w:vAlign w:val="bottom"/>
            <w:tcBorders>
              <w:bottom w:val="single" w:sz="8" w:color="auto"/>
            </w:tcBorders>
          </w:tcPr>
          <w:p>
            <w:pPr>
              <w:spacing w:after="0" w:line="155" w:lineRule="exact"/>
              <w:rPr>
                <w:sz w:val="20"/>
                <w:szCs w:val="20"/>
                <w:color w:val="auto"/>
              </w:rPr>
            </w:pPr>
            <w:r>
              <w:rPr>
                <w:rFonts w:ascii="Arial" w:cs="Arial" w:eastAsia="Arial" w:hAnsi="Arial"/>
                <w:sz w:val="14"/>
                <w:szCs w:val="14"/>
                <w:color w:val="auto"/>
              </w:rPr>
              <w:t>Total Africa</w:t>
            </w:r>
          </w:p>
        </w:tc>
        <w:tc>
          <w:tcPr>
            <w:tcW w:w="380" w:type="dxa"/>
            <w:vAlign w:val="bottom"/>
            <w:tcBorders>
              <w:bottom w:val="single" w:sz="8" w:color="auto"/>
            </w:tcBorders>
            <w:shd w:val="clear" w:color="auto" w:fill="D8D8D8"/>
          </w:tcPr>
          <w:p>
            <w:pPr>
              <w:spacing w:after="0"/>
              <w:rPr>
                <w:sz w:val="13"/>
                <w:szCs w:val="13"/>
                <w:color w:val="auto"/>
              </w:rPr>
            </w:pPr>
          </w:p>
        </w:tc>
        <w:tc>
          <w:tcPr>
            <w:tcW w:w="840" w:type="dxa"/>
            <w:vAlign w:val="bottom"/>
            <w:tcBorders>
              <w:bottom w:val="single" w:sz="8" w:color="auto"/>
            </w:tcBorders>
            <w:shd w:val="clear" w:color="auto" w:fill="D8D8D8"/>
          </w:tcPr>
          <w:p>
            <w:pPr>
              <w:jc w:val="right"/>
              <w:ind w:right="9"/>
              <w:spacing w:after="0" w:line="155" w:lineRule="exact"/>
              <w:rPr>
                <w:sz w:val="20"/>
                <w:szCs w:val="20"/>
                <w:color w:val="auto"/>
              </w:rPr>
            </w:pPr>
            <w:r>
              <w:rPr>
                <w:rFonts w:ascii="Arial" w:cs="Arial" w:eastAsia="Arial" w:hAnsi="Arial"/>
                <w:sz w:val="14"/>
                <w:szCs w:val="14"/>
                <w:color w:val="auto"/>
              </w:rPr>
              <w:t>87,003</w:t>
            </w:r>
          </w:p>
        </w:tc>
        <w:tc>
          <w:tcPr>
            <w:tcW w:w="1320" w:type="dxa"/>
            <w:vAlign w:val="bottom"/>
            <w:tcBorders>
              <w:bottom w:val="single" w:sz="8" w:color="auto"/>
            </w:tcBorders>
            <w:shd w:val="clear" w:color="auto" w:fill="D8D8D8"/>
          </w:tcPr>
          <w:p>
            <w:pPr>
              <w:jc w:val="right"/>
              <w:ind w:right="149"/>
              <w:spacing w:after="0" w:line="155" w:lineRule="exact"/>
              <w:rPr>
                <w:sz w:val="20"/>
                <w:szCs w:val="20"/>
                <w:color w:val="auto"/>
              </w:rPr>
            </w:pPr>
            <w:r>
              <w:rPr>
                <w:rFonts w:ascii="Arial" w:cs="Arial" w:eastAsia="Arial" w:hAnsi="Arial"/>
                <w:sz w:val="14"/>
                <w:szCs w:val="14"/>
                <w:color w:val="auto"/>
              </w:rPr>
              <w:t>–</w:t>
            </w:r>
          </w:p>
        </w:tc>
        <w:tc>
          <w:tcPr>
            <w:tcW w:w="100" w:type="dxa"/>
            <w:vAlign w:val="bottom"/>
            <w:tcBorders>
              <w:bottom w:val="single" w:sz="8" w:color="auto"/>
            </w:tcBorders>
          </w:tcPr>
          <w:p>
            <w:pPr>
              <w:spacing w:after="0"/>
              <w:rPr>
                <w:sz w:val="13"/>
                <w:szCs w:val="13"/>
                <w:color w:val="auto"/>
              </w:rPr>
            </w:pPr>
          </w:p>
        </w:tc>
        <w:tc>
          <w:tcPr>
            <w:tcW w:w="1660" w:type="dxa"/>
            <w:vAlign w:val="bottom"/>
            <w:tcBorders>
              <w:bottom w:val="single" w:sz="8" w:color="auto"/>
            </w:tcBorders>
            <w:gridSpan w:val="2"/>
          </w:tcPr>
          <w:p>
            <w:pPr>
              <w:jc w:val="right"/>
              <w:ind w:right="177"/>
              <w:spacing w:after="0" w:line="155" w:lineRule="exact"/>
              <w:rPr>
                <w:sz w:val="20"/>
                <w:szCs w:val="20"/>
                <w:color w:val="auto"/>
              </w:rPr>
            </w:pPr>
            <w:r>
              <w:rPr>
                <w:rFonts w:ascii="Arial" w:cs="Arial" w:eastAsia="Arial" w:hAnsi="Arial"/>
                <w:sz w:val="14"/>
                <w:szCs w:val="14"/>
                <w:color w:val="auto"/>
              </w:rPr>
              <w:t>78,835</w:t>
            </w:r>
          </w:p>
        </w:tc>
        <w:tc>
          <w:tcPr>
            <w:tcW w:w="1560" w:type="dxa"/>
            <w:vAlign w:val="bottom"/>
            <w:tcBorders>
              <w:bottom w:val="single" w:sz="8" w:color="auto"/>
            </w:tcBorders>
            <w:gridSpan w:val="2"/>
          </w:tcPr>
          <w:p>
            <w:pPr>
              <w:jc w:val="right"/>
              <w:ind w:right="600"/>
              <w:spacing w:after="0" w:line="155" w:lineRule="exact"/>
              <w:rPr>
                <w:sz w:val="20"/>
                <w:szCs w:val="20"/>
                <w:color w:val="auto"/>
              </w:rPr>
            </w:pPr>
            <w:r>
              <w:rPr>
                <w:rFonts w:ascii="Arial" w:cs="Arial" w:eastAsia="Arial" w:hAnsi="Arial"/>
                <w:sz w:val="14"/>
                <w:szCs w:val="14"/>
                <w:color w:val="auto"/>
              </w:rPr>
              <w:t>–</w:t>
            </w:r>
          </w:p>
        </w:tc>
        <w:tc>
          <w:tcPr>
            <w:tcW w:w="1340" w:type="dxa"/>
            <w:vAlign w:val="bottom"/>
            <w:tcBorders>
              <w:bottom w:val="single" w:sz="8" w:color="auto"/>
            </w:tcBorders>
          </w:tcPr>
          <w:p>
            <w:pPr>
              <w:jc w:val="right"/>
              <w:ind w:right="128"/>
              <w:spacing w:after="0" w:line="155" w:lineRule="exact"/>
              <w:rPr>
                <w:sz w:val="20"/>
                <w:szCs w:val="20"/>
                <w:color w:val="auto"/>
              </w:rPr>
            </w:pPr>
            <w:r>
              <w:rPr>
                <w:rFonts w:ascii="Arial" w:cs="Arial" w:eastAsia="Arial" w:hAnsi="Arial"/>
                <w:sz w:val="14"/>
                <w:szCs w:val="14"/>
                <w:color w:val="auto"/>
              </w:rPr>
              <w:t>106,026</w:t>
            </w:r>
          </w:p>
        </w:tc>
        <w:tc>
          <w:tcPr>
            <w:tcW w:w="1260" w:type="dxa"/>
            <w:vAlign w:val="bottom"/>
            <w:tcBorders>
              <w:bottom w:val="single" w:sz="8" w:color="auto"/>
            </w:tcBorders>
          </w:tcPr>
          <w:p>
            <w:pPr>
              <w:jc w:val="right"/>
              <w:ind w:right="150"/>
              <w:spacing w:after="0" w:line="155"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0"/>
        </w:trPr>
        <w:tc>
          <w:tcPr>
            <w:tcW w:w="2960" w:type="dxa"/>
            <w:vAlign w:val="bottom"/>
          </w:tcPr>
          <w:p>
            <w:pPr>
              <w:spacing w:after="0"/>
              <w:rPr>
                <w:sz w:val="20"/>
                <w:szCs w:val="20"/>
                <w:color w:val="auto"/>
              </w:rPr>
            </w:pPr>
            <w:r>
              <w:rPr>
                <w:rFonts w:ascii="Arial" w:cs="Arial" w:eastAsia="Arial" w:hAnsi="Arial"/>
                <w:sz w:val="14"/>
                <w:szCs w:val="14"/>
                <w:color w:val="auto"/>
              </w:rPr>
              <w:t>North America</w:t>
            </w:r>
          </w:p>
        </w:tc>
        <w:tc>
          <w:tcPr>
            <w:tcW w:w="380" w:type="dxa"/>
            <w:vAlign w:val="bottom"/>
            <w:shd w:val="clear" w:color="auto" w:fill="D8D8D8"/>
          </w:tcPr>
          <w:p>
            <w:pPr>
              <w:spacing w:after="0"/>
              <w:rPr>
                <w:sz w:val="13"/>
                <w:szCs w:val="13"/>
                <w:color w:val="auto"/>
              </w:rPr>
            </w:pPr>
          </w:p>
        </w:tc>
        <w:tc>
          <w:tcPr>
            <w:tcW w:w="840" w:type="dxa"/>
            <w:vAlign w:val="bottom"/>
            <w:shd w:val="clear" w:color="auto" w:fill="D8D8D8"/>
          </w:tcPr>
          <w:p>
            <w:pPr>
              <w:spacing w:after="0"/>
              <w:rPr>
                <w:sz w:val="13"/>
                <w:szCs w:val="13"/>
                <w:color w:val="auto"/>
              </w:rPr>
            </w:pPr>
          </w:p>
        </w:tc>
        <w:tc>
          <w:tcPr>
            <w:tcW w:w="1320" w:type="dxa"/>
            <w:vAlign w:val="bottom"/>
            <w:shd w:val="clear" w:color="auto" w:fill="D8D8D8"/>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960" w:type="dxa"/>
            <w:vAlign w:val="bottom"/>
          </w:tcPr>
          <w:p>
            <w:pPr>
              <w:ind w:left="140"/>
              <w:spacing w:after="0"/>
              <w:rPr>
                <w:sz w:val="20"/>
                <w:szCs w:val="20"/>
                <w:color w:val="auto"/>
              </w:rPr>
            </w:pPr>
            <w:r>
              <w:rPr>
                <w:rFonts w:ascii="Arial" w:cs="Arial" w:eastAsia="Arial" w:hAnsi="Arial"/>
                <w:sz w:val="14"/>
                <w:szCs w:val="14"/>
                <w:color w:val="auto"/>
              </w:rPr>
              <w:t>USA</w:t>
            </w:r>
          </w:p>
        </w:tc>
        <w:tc>
          <w:tcPr>
            <w:tcW w:w="380" w:type="dxa"/>
            <w:vAlign w:val="bottom"/>
            <w:shd w:val="clear" w:color="auto" w:fill="D8D8D8"/>
          </w:tcPr>
          <w:p>
            <w:pPr>
              <w:spacing w:after="0"/>
              <w:rPr>
                <w:sz w:val="14"/>
                <w:szCs w:val="14"/>
                <w:color w:val="auto"/>
              </w:rPr>
            </w:pPr>
          </w:p>
        </w:tc>
        <w:tc>
          <w:tcPr>
            <w:tcW w:w="840" w:type="dxa"/>
            <w:vAlign w:val="bottom"/>
            <w:shd w:val="clear" w:color="auto" w:fill="D8D8D8"/>
          </w:tcPr>
          <w:p>
            <w:pPr>
              <w:jc w:val="right"/>
              <w:ind w:right="9"/>
              <w:spacing w:after="0"/>
              <w:rPr>
                <w:sz w:val="20"/>
                <w:szCs w:val="20"/>
                <w:color w:val="auto"/>
              </w:rPr>
            </w:pPr>
            <w:r>
              <w:rPr>
                <w:rFonts w:ascii="Arial" w:cs="Arial" w:eastAsia="Arial" w:hAnsi="Arial"/>
                <w:sz w:val="14"/>
                <w:szCs w:val="14"/>
                <w:color w:val="auto"/>
              </w:rPr>
              <w:t>98,895</w:t>
            </w:r>
          </w:p>
        </w:tc>
        <w:tc>
          <w:tcPr>
            <w:tcW w:w="1320" w:type="dxa"/>
            <w:vAlign w:val="bottom"/>
            <w:shd w:val="clear" w:color="auto" w:fill="D8D8D8"/>
          </w:tcPr>
          <w:p>
            <w:pPr>
              <w:jc w:val="right"/>
              <w:ind w:right="149"/>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660" w:type="dxa"/>
            <w:vAlign w:val="bottom"/>
            <w:gridSpan w:val="2"/>
          </w:tcPr>
          <w:p>
            <w:pPr>
              <w:jc w:val="right"/>
              <w:ind w:right="177"/>
              <w:spacing w:after="0"/>
              <w:rPr>
                <w:sz w:val="20"/>
                <w:szCs w:val="20"/>
                <w:color w:val="auto"/>
              </w:rPr>
            </w:pPr>
            <w:r>
              <w:rPr>
                <w:rFonts w:ascii="Arial" w:cs="Arial" w:eastAsia="Arial" w:hAnsi="Arial"/>
                <w:sz w:val="14"/>
                <w:szCs w:val="14"/>
                <w:color w:val="auto"/>
              </w:rPr>
              <w:t>86,670</w:t>
            </w:r>
          </w:p>
        </w:tc>
        <w:tc>
          <w:tcPr>
            <w:tcW w:w="1560" w:type="dxa"/>
            <w:vAlign w:val="bottom"/>
            <w:gridSpan w:val="2"/>
          </w:tcPr>
          <w:p>
            <w:pPr>
              <w:jc w:val="right"/>
              <w:ind w:right="600"/>
              <w:spacing w:after="0"/>
              <w:rPr>
                <w:sz w:val="20"/>
                <w:szCs w:val="20"/>
                <w:color w:val="auto"/>
              </w:rPr>
            </w:pPr>
            <w:r>
              <w:rPr>
                <w:rFonts w:ascii="Arial" w:cs="Arial" w:eastAsia="Arial" w:hAnsi="Arial"/>
                <w:sz w:val="14"/>
                <w:szCs w:val="14"/>
                <w:color w:val="auto"/>
              </w:rPr>
              <w:t>–</w:t>
            </w:r>
          </w:p>
        </w:tc>
        <w:tc>
          <w:tcPr>
            <w:tcW w:w="1340" w:type="dxa"/>
            <w:vAlign w:val="bottom"/>
          </w:tcPr>
          <w:p>
            <w:pPr>
              <w:jc w:val="right"/>
              <w:ind w:right="128"/>
              <w:spacing w:after="0"/>
              <w:rPr>
                <w:sz w:val="20"/>
                <w:szCs w:val="20"/>
                <w:color w:val="auto"/>
              </w:rPr>
            </w:pPr>
            <w:r>
              <w:rPr>
                <w:rFonts w:ascii="Arial" w:cs="Arial" w:eastAsia="Arial" w:hAnsi="Arial"/>
                <w:sz w:val="14"/>
                <w:szCs w:val="14"/>
                <w:color w:val="auto"/>
              </w:rPr>
              <w:t>56,630</w:t>
            </w:r>
          </w:p>
        </w:tc>
        <w:tc>
          <w:tcPr>
            <w:tcW w:w="1260" w:type="dxa"/>
            <w:vAlign w:val="bottom"/>
          </w:tcPr>
          <w:p>
            <w:pPr>
              <w:jc w:val="right"/>
              <w:ind w:right="150"/>
              <w:spacing w:after="0"/>
              <w:rPr>
                <w:sz w:val="20"/>
                <w:szCs w:val="20"/>
                <w:color w:val="auto"/>
              </w:rPr>
            </w:pPr>
            <w:r>
              <w:rPr>
                <w:rFonts w:ascii="Arial" w:cs="Arial" w:eastAsia="Arial" w:hAnsi="Arial"/>
                <w:sz w:val="14"/>
                <w:szCs w:val="14"/>
                <w:color w:val="auto"/>
              </w:rPr>
              <w:t>24,540</w:t>
            </w:r>
          </w:p>
        </w:tc>
        <w:tc>
          <w:tcPr>
            <w:tcW w:w="0" w:type="dxa"/>
            <w:vAlign w:val="bottom"/>
          </w:tcPr>
          <w:p>
            <w:pPr>
              <w:spacing w:after="0"/>
              <w:rPr>
                <w:sz w:val="1"/>
                <w:szCs w:val="1"/>
                <w:color w:val="auto"/>
              </w:rPr>
            </w:pPr>
          </w:p>
        </w:tc>
      </w:tr>
      <w:tr>
        <w:trPr>
          <w:trHeight w:val="157"/>
        </w:trPr>
        <w:tc>
          <w:tcPr>
            <w:tcW w:w="2960" w:type="dxa"/>
            <w:vAlign w:val="bottom"/>
            <w:tcBorders>
              <w:bottom w:val="single" w:sz="8" w:color="auto"/>
            </w:tcBorders>
          </w:tcPr>
          <w:p>
            <w:pPr>
              <w:ind w:left="140"/>
              <w:spacing w:after="0" w:line="157" w:lineRule="exact"/>
              <w:rPr>
                <w:sz w:val="20"/>
                <w:szCs w:val="20"/>
                <w:color w:val="auto"/>
              </w:rPr>
            </w:pPr>
            <w:r>
              <w:rPr>
                <w:rFonts w:ascii="Arial" w:cs="Arial" w:eastAsia="Arial" w:hAnsi="Arial"/>
                <w:sz w:val="14"/>
                <w:szCs w:val="14"/>
                <w:color w:val="auto"/>
              </w:rPr>
              <w:t>Canada</w:t>
            </w:r>
          </w:p>
        </w:tc>
        <w:tc>
          <w:tcPr>
            <w:tcW w:w="380" w:type="dxa"/>
            <w:vAlign w:val="bottom"/>
            <w:tcBorders>
              <w:bottom w:val="single" w:sz="8" w:color="auto"/>
            </w:tcBorders>
            <w:shd w:val="clear" w:color="auto" w:fill="D8D8D8"/>
          </w:tcPr>
          <w:p>
            <w:pPr>
              <w:spacing w:after="0"/>
              <w:rPr>
                <w:sz w:val="13"/>
                <w:szCs w:val="13"/>
                <w:color w:val="auto"/>
              </w:rPr>
            </w:pPr>
          </w:p>
        </w:tc>
        <w:tc>
          <w:tcPr>
            <w:tcW w:w="840" w:type="dxa"/>
            <w:vAlign w:val="bottom"/>
            <w:tcBorders>
              <w:bottom w:val="single" w:sz="8" w:color="auto"/>
            </w:tcBorders>
            <w:shd w:val="clear" w:color="auto" w:fill="D8D8D8"/>
          </w:tcPr>
          <w:p>
            <w:pPr>
              <w:jc w:val="right"/>
              <w:ind w:right="9"/>
              <w:spacing w:after="0" w:line="157" w:lineRule="exact"/>
              <w:rPr>
                <w:sz w:val="20"/>
                <w:szCs w:val="20"/>
                <w:color w:val="auto"/>
              </w:rPr>
            </w:pPr>
            <w:r>
              <w:rPr>
                <w:rFonts w:ascii="Arial" w:cs="Arial" w:eastAsia="Arial" w:hAnsi="Arial"/>
                <w:sz w:val="14"/>
                <w:szCs w:val="14"/>
                <w:color w:val="auto"/>
              </w:rPr>
              <w:t>8,389</w:t>
            </w:r>
          </w:p>
        </w:tc>
        <w:tc>
          <w:tcPr>
            <w:tcW w:w="1320" w:type="dxa"/>
            <w:vAlign w:val="bottom"/>
            <w:tcBorders>
              <w:bottom w:val="single" w:sz="8" w:color="auto"/>
            </w:tcBorders>
            <w:shd w:val="clear" w:color="auto" w:fill="D8D8D8"/>
          </w:tcPr>
          <w:p>
            <w:pPr>
              <w:jc w:val="right"/>
              <w:ind w:right="149"/>
              <w:spacing w:after="0" w:line="157" w:lineRule="exact"/>
              <w:rPr>
                <w:sz w:val="20"/>
                <w:szCs w:val="20"/>
                <w:color w:val="auto"/>
              </w:rPr>
            </w:pPr>
            <w:r>
              <w:rPr>
                <w:rFonts w:ascii="Arial" w:cs="Arial" w:eastAsia="Arial" w:hAnsi="Arial"/>
                <w:sz w:val="14"/>
                <w:szCs w:val="14"/>
                <w:color w:val="auto"/>
              </w:rPr>
              <w:t>–</w:t>
            </w:r>
          </w:p>
        </w:tc>
        <w:tc>
          <w:tcPr>
            <w:tcW w:w="100" w:type="dxa"/>
            <w:vAlign w:val="bottom"/>
            <w:tcBorders>
              <w:bottom w:val="single" w:sz="8" w:color="auto"/>
            </w:tcBorders>
          </w:tcPr>
          <w:p>
            <w:pPr>
              <w:spacing w:after="0"/>
              <w:rPr>
                <w:sz w:val="13"/>
                <w:szCs w:val="13"/>
                <w:color w:val="auto"/>
              </w:rPr>
            </w:pPr>
          </w:p>
        </w:tc>
        <w:tc>
          <w:tcPr>
            <w:tcW w:w="1660" w:type="dxa"/>
            <w:vAlign w:val="bottom"/>
            <w:tcBorders>
              <w:bottom w:val="single" w:sz="8" w:color="auto"/>
            </w:tcBorders>
            <w:gridSpan w:val="2"/>
          </w:tcPr>
          <w:p>
            <w:pPr>
              <w:jc w:val="right"/>
              <w:ind w:right="177"/>
              <w:spacing w:after="0" w:line="157" w:lineRule="exact"/>
              <w:rPr>
                <w:sz w:val="20"/>
                <w:szCs w:val="20"/>
                <w:color w:val="auto"/>
              </w:rPr>
            </w:pPr>
            <w:r>
              <w:rPr>
                <w:rFonts w:ascii="Arial" w:cs="Arial" w:eastAsia="Arial" w:hAnsi="Arial"/>
                <w:sz w:val="14"/>
                <w:szCs w:val="14"/>
                <w:color w:val="auto"/>
              </w:rPr>
              <w:t>7,626</w:t>
            </w:r>
          </w:p>
        </w:tc>
        <w:tc>
          <w:tcPr>
            <w:tcW w:w="1560" w:type="dxa"/>
            <w:vAlign w:val="bottom"/>
            <w:tcBorders>
              <w:bottom w:val="single" w:sz="8" w:color="auto"/>
            </w:tcBorders>
            <w:gridSpan w:val="2"/>
          </w:tcPr>
          <w:p>
            <w:pPr>
              <w:jc w:val="right"/>
              <w:ind w:right="600"/>
              <w:spacing w:after="0" w:line="157" w:lineRule="exact"/>
              <w:rPr>
                <w:sz w:val="20"/>
                <w:szCs w:val="20"/>
                <w:color w:val="auto"/>
              </w:rPr>
            </w:pPr>
            <w:r>
              <w:rPr>
                <w:rFonts w:ascii="Arial" w:cs="Arial" w:eastAsia="Arial" w:hAnsi="Arial"/>
                <w:sz w:val="14"/>
                <w:szCs w:val="14"/>
                <w:color w:val="auto"/>
              </w:rPr>
              <w:t>–</w:t>
            </w:r>
          </w:p>
        </w:tc>
        <w:tc>
          <w:tcPr>
            <w:tcW w:w="1340" w:type="dxa"/>
            <w:vAlign w:val="bottom"/>
            <w:tcBorders>
              <w:bottom w:val="single" w:sz="8" w:color="auto"/>
            </w:tcBorders>
          </w:tcPr>
          <w:p>
            <w:pPr>
              <w:jc w:val="right"/>
              <w:ind w:right="128"/>
              <w:spacing w:after="0" w:line="157" w:lineRule="exact"/>
              <w:rPr>
                <w:sz w:val="20"/>
                <w:szCs w:val="20"/>
                <w:color w:val="auto"/>
              </w:rPr>
            </w:pPr>
            <w:r>
              <w:rPr>
                <w:rFonts w:ascii="Arial" w:cs="Arial" w:eastAsia="Arial" w:hAnsi="Arial"/>
                <w:sz w:val="14"/>
                <w:szCs w:val="14"/>
                <w:color w:val="auto"/>
              </w:rPr>
              <w:t>5,456</w:t>
            </w:r>
          </w:p>
        </w:tc>
        <w:tc>
          <w:tcPr>
            <w:tcW w:w="1260" w:type="dxa"/>
            <w:vAlign w:val="bottom"/>
            <w:tcBorders>
              <w:bottom w:val="single" w:sz="8" w:color="auto"/>
            </w:tcBorders>
          </w:tcPr>
          <w:p>
            <w:pPr>
              <w:jc w:val="right"/>
              <w:ind w:right="150"/>
              <w:spacing w:after="0" w:line="157"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6"/>
        </w:trPr>
        <w:tc>
          <w:tcPr>
            <w:tcW w:w="2960" w:type="dxa"/>
            <w:vAlign w:val="bottom"/>
            <w:tcBorders>
              <w:bottom w:val="single" w:sz="8" w:color="auto"/>
            </w:tcBorders>
          </w:tcPr>
          <w:p>
            <w:pPr>
              <w:spacing w:after="0" w:line="155" w:lineRule="exact"/>
              <w:rPr>
                <w:sz w:val="20"/>
                <w:szCs w:val="20"/>
                <w:color w:val="auto"/>
              </w:rPr>
            </w:pPr>
            <w:r>
              <w:rPr>
                <w:rFonts w:ascii="Arial" w:cs="Arial" w:eastAsia="Arial" w:hAnsi="Arial"/>
                <w:sz w:val="14"/>
                <w:szCs w:val="14"/>
                <w:color w:val="auto"/>
              </w:rPr>
              <w:t>Total North America</w:t>
            </w:r>
          </w:p>
        </w:tc>
        <w:tc>
          <w:tcPr>
            <w:tcW w:w="380" w:type="dxa"/>
            <w:vAlign w:val="bottom"/>
            <w:tcBorders>
              <w:bottom w:val="single" w:sz="8" w:color="auto"/>
            </w:tcBorders>
            <w:shd w:val="clear" w:color="auto" w:fill="D8D8D8"/>
          </w:tcPr>
          <w:p>
            <w:pPr>
              <w:spacing w:after="0"/>
              <w:rPr>
                <w:sz w:val="13"/>
                <w:szCs w:val="13"/>
                <w:color w:val="auto"/>
              </w:rPr>
            </w:pPr>
          </w:p>
        </w:tc>
        <w:tc>
          <w:tcPr>
            <w:tcW w:w="840" w:type="dxa"/>
            <w:vAlign w:val="bottom"/>
            <w:tcBorders>
              <w:bottom w:val="single" w:sz="8" w:color="auto"/>
            </w:tcBorders>
            <w:shd w:val="clear" w:color="auto" w:fill="D8D8D8"/>
          </w:tcPr>
          <w:p>
            <w:pPr>
              <w:jc w:val="right"/>
              <w:ind w:right="9"/>
              <w:spacing w:after="0" w:line="155" w:lineRule="exact"/>
              <w:rPr>
                <w:sz w:val="20"/>
                <w:szCs w:val="20"/>
                <w:color w:val="auto"/>
              </w:rPr>
            </w:pPr>
            <w:r>
              <w:rPr>
                <w:rFonts w:ascii="Arial" w:cs="Arial" w:eastAsia="Arial" w:hAnsi="Arial"/>
                <w:sz w:val="14"/>
                <w:szCs w:val="14"/>
                <w:color w:val="auto"/>
              </w:rPr>
              <w:t>107,284</w:t>
            </w:r>
          </w:p>
        </w:tc>
        <w:tc>
          <w:tcPr>
            <w:tcW w:w="1320" w:type="dxa"/>
            <w:vAlign w:val="bottom"/>
            <w:tcBorders>
              <w:bottom w:val="single" w:sz="8" w:color="auto"/>
            </w:tcBorders>
            <w:shd w:val="clear" w:color="auto" w:fill="D8D8D8"/>
          </w:tcPr>
          <w:p>
            <w:pPr>
              <w:jc w:val="right"/>
              <w:ind w:right="149"/>
              <w:spacing w:after="0" w:line="155" w:lineRule="exact"/>
              <w:rPr>
                <w:sz w:val="20"/>
                <w:szCs w:val="20"/>
                <w:color w:val="auto"/>
              </w:rPr>
            </w:pPr>
            <w:r>
              <w:rPr>
                <w:rFonts w:ascii="Arial" w:cs="Arial" w:eastAsia="Arial" w:hAnsi="Arial"/>
                <w:sz w:val="14"/>
                <w:szCs w:val="14"/>
                <w:color w:val="auto"/>
              </w:rPr>
              <w:t>–</w:t>
            </w:r>
          </w:p>
        </w:tc>
        <w:tc>
          <w:tcPr>
            <w:tcW w:w="100" w:type="dxa"/>
            <w:vAlign w:val="bottom"/>
            <w:tcBorders>
              <w:bottom w:val="single" w:sz="8" w:color="auto"/>
            </w:tcBorders>
          </w:tcPr>
          <w:p>
            <w:pPr>
              <w:spacing w:after="0"/>
              <w:rPr>
                <w:sz w:val="13"/>
                <w:szCs w:val="13"/>
                <w:color w:val="auto"/>
              </w:rPr>
            </w:pPr>
          </w:p>
        </w:tc>
        <w:tc>
          <w:tcPr>
            <w:tcW w:w="1660" w:type="dxa"/>
            <w:vAlign w:val="bottom"/>
            <w:tcBorders>
              <w:bottom w:val="single" w:sz="8" w:color="auto"/>
            </w:tcBorders>
            <w:gridSpan w:val="2"/>
          </w:tcPr>
          <w:p>
            <w:pPr>
              <w:jc w:val="right"/>
              <w:ind w:right="177"/>
              <w:spacing w:after="0" w:line="155" w:lineRule="exact"/>
              <w:rPr>
                <w:sz w:val="20"/>
                <w:szCs w:val="20"/>
                <w:color w:val="auto"/>
              </w:rPr>
            </w:pPr>
            <w:r>
              <w:rPr>
                <w:rFonts w:ascii="Arial" w:cs="Arial" w:eastAsia="Arial" w:hAnsi="Arial"/>
                <w:sz w:val="14"/>
                <w:szCs w:val="14"/>
                <w:color w:val="auto"/>
              </w:rPr>
              <w:t>94,296</w:t>
            </w:r>
          </w:p>
        </w:tc>
        <w:tc>
          <w:tcPr>
            <w:tcW w:w="1560" w:type="dxa"/>
            <w:vAlign w:val="bottom"/>
            <w:tcBorders>
              <w:bottom w:val="single" w:sz="8" w:color="auto"/>
            </w:tcBorders>
            <w:gridSpan w:val="2"/>
          </w:tcPr>
          <w:p>
            <w:pPr>
              <w:jc w:val="right"/>
              <w:ind w:right="600"/>
              <w:spacing w:after="0" w:line="155" w:lineRule="exact"/>
              <w:rPr>
                <w:sz w:val="20"/>
                <w:szCs w:val="20"/>
                <w:color w:val="auto"/>
              </w:rPr>
            </w:pPr>
            <w:r>
              <w:rPr>
                <w:rFonts w:ascii="Arial" w:cs="Arial" w:eastAsia="Arial" w:hAnsi="Arial"/>
                <w:sz w:val="14"/>
                <w:szCs w:val="14"/>
                <w:color w:val="auto"/>
              </w:rPr>
              <w:t>–</w:t>
            </w:r>
          </w:p>
        </w:tc>
        <w:tc>
          <w:tcPr>
            <w:tcW w:w="1340" w:type="dxa"/>
            <w:vAlign w:val="bottom"/>
            <w:tcBorders>
              <w:bottom w:val="single" w:sz="8" w:color="auto"/>
            </w:tcBorders>
          </w:tcPr>
          <w:p>
            <w:pPr>
              <w:jc w:val="right"/>
              <w:ind w:right="128"/>
              <w:spacing w:after="0" w:line="155" w:lineRule="exact"/>
              <w:rPr>
                <w:sz w:val="20"/>
                <w:szCs w:val="20"/>
                <w:color w:val="auto"/>
              </w:rPr>
            </w:pPr>
            <w:r>
              <w:rPr>
                <w:rFonts w:ascii="Arial" w:cs="Arial" w:eastAsia="Arial" w:hAnsi="Arial"/>
                <w:sz w:val="14"/>
                <w:szCs w:val="14"/>
                <w:color w:val="auto"/>
              </w:rPr>
              <w:t>62,086</w:t>
            </w:r>
          </w:p>
        </w:tc>
        <w:tc>
          <w:tcPr>
            <w:tcW w:w="1260" w:type="dxa"/>
            <w:vAlign w:val="bottom"/>
            <w:tcBorders>
              <w:bottom w:val="single" w:sz="8" w:color="auto"/>
            </w:tcBorders>
          </w:tcPr>
          <w:p>
            <w:pPr>
              <w:jc w:val="right"/>
              <w:ind w:right="150"/>
              <w:spacing w:after="0" w:line="155" w:lineRule="exact"/>
              <w:rPr>
                <w:sz w:val="20"/>
                <w:szCs w:val="20"/>
                <w:color w:val="auto"/>
              </w:rPr>
            </w:pPr>
            <w:r>
              <w:rPr>
                <w:rFonts w:ascii="Arial" w:cs="Arial" w:eastAsia="Arial" w:hAnsi="Arial"/>
                <w:sz w:val="14"/>
                <w:szCs w:val="14"/>
                <w:color w:val="auto"/>
              </w:rPr>
              <w:t>24,540</w:t>
            </w:r>
          </w:p>
        </w:tc>
        <w:tc>
          <w:tcPr>
            <w:tcW w:w="0" w:type="dxa"/>
            <w:vAlign w:val="bottom"/>
          </w:tcPr>
          <w:p>
            <w:pPr>
              <w:spacing w:after="0"/>
              <w:rPr>
                <w:sz w:val="1"/>
                <w:szCs w:val="1"/>
                <w:color w:val="auto"/>
              </w:rPr>
            </w:pPr>
          </w:p>
        </w:tc>
      </w:tr>
      <w:tr>
        <w:trPr>
          <w:trHeight w:val="160"/>
        </w:trPr>
        <w:tc>
          <w:tcPr>
            <w:tcW w:w="2960" w:type="dxa"/>
            <w:vAlign w:val="bottom"/>
          </w:tcPr>
          <w:p>
            <w:pPr>
              <w:spacing w:after="0"/>
              <w:rPr>
                <w:sz w:val="20"/>
                <w:szCs w:val="20"/>
                <w:color w:val="auto"/>
              </w:rPr>
            </w:pPr>
            <w:r>
              <w:rPr>
                <w:rFonts w:ascii="Arial" w:cs="Arial" w:eastAsia="Arial" w:hAnsi="Arial"/>
                <w:sz w:val="14"/>
                <w:szCs w:val="14"/>
                <w:color w:val="auto"/>
              </w:rPr>
              <w:t>South America</w:t>
            </w:r>
          </w:p>
        </w:tc>
        <w:tc>
          <w:tcPr>
            <w:tcW w:w="380" w:type="dxa"/>
            <w:vAlign w:val="bottom"/>
            <w:shd w:val="clear" w:color="auto" w:fill="D8D8D8"/>
          </w:tcPr>
          <w:p>
            <w:pPr>
              <w:spacing w:after="0"/>
              <w:rPr>
                <w:sz w:val="13"/>
                <w:szCs w:val="13"/>
                <w:color w:val="auto"/>
              </w:rPr>
            </w:pPr>
          </w:p>
        </w:tc>
        <w:tc>
          <w:tcPr>
            <w:tcW w:w="840" w:type="dxa"/>
            <w:vAlign w:val="bottom"/>
            <w:shd w:val="clear" w:color="auto" w:fill="D8D8D8"/>
          </w:tcPr>
          <w:p>
            <w:pPr>
              <w:spacing w:after="0"/>
              <w:rPr>
                <w:sz w:val="13"/>
                <w:szCs w:val="13"/>
                <w:color w:val="auto"/>
              </w:rPr>
            </w:pPr>
          </w:p>
        </w:tc>
        <w:tc>
          <w:tcPr>
            <w:tcW w:w="1320" w:type="dxa"/>
            <w:vAlign w:val="bottom"/>
            <w:shd w:val="clear" w:color="auto" w:fill="D8D8D8"/>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960" w:type="dxa"/>
            <w:vAlign w:val="bottom"/>
          </w:tcPr>
          <w:p>
            <w:pPr>
              <w:ind w:left="140"/>
              <w:spacing w:after="0"/>
              <w:rPr>
                <w:sz w:val="20"/>
                <w:szCs w:val="20"/>
                <w:color w:val="auto"/>
              </w:rPr>
            </w:pPr>
            <w:r>
              <w:rPr>
                <w:rFonts w:ascii="Arial" w:cs="Arial" w:eastAsia="Arial" w:hAnsi="Arial"/>
                <w:sz w:val="14"/>
                <w:szCs w:val="14"/>
                <w:color w:val="auto"/>
              </w:rPr>
              <w:t>Brazil</w:t>
            </w:r>
          </w:p>
        </w:tc>
        <w:tc>
          <w:tcPr>
            <w:tcW w:w="380" w:type="dxa"/>
            <w:vAlign w:val="bottom"/>
            <w:shd w:val="clear" w:color="auto" w:fill="D8D8D8"/>
          </w:tcPr>
          <w:p>
            <w:pPr>
              <w:spacing w:after="0"/>
              <w:rPr>
                <w:sz w:val="14"/>
                <w:szCs w:val="14"/>
                <w:color w:val="auto"/>
              </w:rPr>
            </w:pPr>
          </w:p>
        </w:tc>
        <w:tc>
          <w:tcPr>
            <w:tcW w:w="840" w:type="dxa"/>
            <w:vAlign w:val="bottom"/>
            <w:shd w:val="clear" w:color="auto" w:fill="D8D8D8"/>
          </w:tcPr>
          <w:p>
            <w:pPr>
              <w:jc w:val="right"/>
              <w:ind w:right="9"/>
              <w:spacing w:after="0"/>
              <w:rPr>
                <w:sz w:val="20"/>
                <w:szCs w:val="20"/>
                <w:color w:val="auto"/>
              </w:rPr>
            </w:pPr>
            <w:r>
              <w:rPr>
                <w:rFonts w:ascii="Arial" w:cs="Arial" w:eastAsia="Arial" w:hAnsi="Arial"/>
                <w:sz w:val="14"/>
                <w:szCs w:val="14"/>
                <w:color w:val="auto"/>
              </w:rPr>
              <w:t>16,575</w:t>
            </w:r>
          </w:p>
        </w:tc>
        <w:tc>
          <w:tcPr>
            <w:tcW w:w="1320" w:type="dxa"/>
            <w:vAlign w:val="bottom"/>
            <w:shd w:val="clear" w:color="auto" w:fill="D8D8D8"/>
          </w:tcPr>
          <w:p>
            <w:pPr>
              <w:jc w:val="right"/>
              <w:ind w:right="149"/>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660" w:type="dxa"/>
            <w:vAlign w:val="bottom"/>
            <w:gridSpan w:val="2"/>
          </w:tcPr>
          <w:p>
            <w:pPr>
              <w:jc w:val="right"/>
              <w:ind w:right="177"/>
              <w:spacing w:after="0"/>
              <w:rPr>
                <w:sz w:val="20"/>
                <w:szCs w:val="20"/>
                <w:color w:val="auto"/>
              </w:rPr>
            </w:pPr>
            <w:r>
              <w:rPr>
                <w:rFonts w:ascii="Arial" w:cs="Arial" w:eastAsia="Arial" w:hAnsi="Arial"/>
                <w:sz w:val="14"/>
                <w:szCs w:val="14"/>
                <w:color w:val="auto"/>
              </w:rPr>
              <w:t>7,706</w:t>
            </w:r>
          </w:p>
        </w:tc>
        <w:tc>
          <w:tcPr>
            <w:tcW w:w="1560" w:type="dxa"/>
            <w:vAlign w:val="bottom"/>
            <w:gridSpan w:val="2"/>
          </w:tcPr>
          <w:p>
            <w:pPr>
              <w:jc w:val="right"/>
              <w:ind w:right="600"/>
              <w:spacing w:after="0"/>
              <w:rPr>
                <w:sz w:val="20"/>
                <w:szCs w:val="20"/>
                <w:color w:val="auto"/>
              </w:rPr>
            </w:pPr>
            <w:r>
              <w:rPr>
                <w:rFonts w:ascii="Arial" w:cs="Arial" w:eastAsia="Arial" w:hAnsi="Arial"/>
                <w:sz w:val="14"/>
                <w:szCs w:val="14"/>
                <w:color w:val="auto"/>
              </w:rPr>
              <w:t>–</w:t>
            </w:r>
          </w:p>
        </w:tc>
        <w:tc>
          <w:tcPr>
            <w:tcW w:w="1340" w:type="dxa"/>
            <w:vAlign w:val="bottom"/>
          </w:tcPr>
          <w:p>
            <w:pPr>
              <w:jc w:val="right"/>
              <w:ind w:right="128"/>
              <w:spacing w:after="0"/>
              <w:rPr>
                <w:sz w:val="20"/>
                <w:szCs w:val="20"/>
                <w:color w:val="auto"/>
              </w:rPr>
            </w:pPr>
            <w:r>
              <w:rPr>
                <w:rFonts w:ascii="Arial" w:cs="Arial" w:eastAsia="Arial" w:hAnsi="Arial"/>
                <w:sz w:val="14"/>
                <w:szCs w:val="14"/>
                <w:color w:val="auto"/>
              </w:rPr>
              <w:t>12,628</w:t>
            </w:r>
          </w:p>
        </w:tc>
        <w:tc>
          <w:tcPr>
            <w:tcW w:w="1260" w:type="dxa"/>
            <w:vAlign w:val="bottom"/>
          </w:tcPr>
          <w:p>
            <w:pPr>
              <w:jc w:val="right"/>
              <w:ind w:right="15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7"/>
        </w:trPr>
        <w:tc>
          <w:tcPr>
            <w:tcW w:w="2960" w:type="dxa"/>
            <w:vAlign w:val="bottom"/>
            <w:tcBorders>
              <w:bottom w:val="single" w:sz="8" w:color="auto"/>
            </w:tcBorders>
          </w:tcPr>
          <w:p>
            <w:pPr>
              <w:ind w:left="140"/>
              <w:spacing w:after="0" w:line="157" w:lineRule="exact"/>
              <w:rPr>
                <w:sz w:val="20"/>
                <w:szCs w:val="20"/>
                <w:color w:val="auto"/>
              </w:rPr>
            </w:pPr>
            <w:r>
              <w:rPr>
                <w:rFonts w:ascii="Arial" w:cs="Arial" w:eastAsia="Arial" w:hAnsi="Arial"/>
                <w:sz w:val="14"/>
                <w:szCs w:val="14"/>
                <w:color w:val="auto"/>
              </w:rPr>
              <w:t>Other [B]</w:t>
            </w:r>
          </w:p>
        </w:tc>
        <w:tc>
          <w:tcPr>
            <w:tcW w:w="380" w:type="dxa"/>
            <w:vAlign w:val="bottom"/>
            <w:tcBorders>
              <w:bottom w:val="single" w:sz="8" w:color="auto"/>
            </w:tcBorders>
            <w:shd w:val="clear" w:color="auto" w:fill="D8D8D8"/>
          </w:tcPr>
          <w:p>
            <w:pPr>
              <w:spacing w:after="0"/>
              <w:rPr>
                <w:sz w:val="13"/>
                <w:szCs w:val="13"/>
                <w:color w:val="auto"/>
              </w:rPr>
            </w:pPr>
          </w:p>
        </w:tc>
        <w:tc>
          <w:tcPr>
            <w:tcW w:w="840" w:type="dxa"/>
            <w:vAlign w:val="bottom"/>
            <w:tcBorders>
              <w:bottom w:val="single" w:sz="8" w:color="auto"/>
            </w:tcBorders>
            <w:shd w:val="clear" w:color="auto" w:fill="D8D8D8"/>
          </w:tcPr>
          <w:p>
            <w:pPr>
              <w:jc w:val="right"/>
              <w:ind w:right="9"/>
              <w:spacing w:after="0" w:line="157" w:lineRule="exact"/>
              <w:rPr>
                <w:sz w:val="20"/>
                <w:szCs w:val="20"/>
                <w:color w:val="auto"/>
              </w:rPr>
            </w:pPr>
            <w:r>
              <w:rPr>
                <w:rFonts w:ascii="Arial" w:cs="Arial" w:eastAsia="Arial" w:hAnsi="Arial"/>
                <w:sz w:val="14"/>
                <w:szCs w:val="14"/>
                <w:color w:val="auto"/>
              </w:rPr>
              <w:t>361</w:t>
            </w:r>
          </w:p>
        </w:tc>
        <w:tc>
          <w:tcPr>
            <w:tcW w:w="1320" w:type="dxa"/>
            <w:vAlign w:val="bottom"/>
            <w:tcBorders>
              <w:bottom w:val="single" w:sz="8" w:color="auto"/>
            </w:tcBorders>
            <w:shd w:val="clear" w:color="auto" w:fill="D8D8D8"/>
          </w:tcPr>
          <w:p>
            <w:pPr>
              <w:jc w:val="right"/>
              <w:ind w:right="149"/>
              <w:spacing w:after="0" w:line="157" w:lineRule="exact"/>
              <w:rPr>
                <w:sz w:val="20"/>
                <w:szCs w:val="20"/>
                <w:color w:val="auto"/>
              </w:rPr>
            </w:pPr>
            <w:r>
              <w:rPr>
                <w:rFonts w:ascii="Arial" w:cs="Arial" w:eastAsia="Arial" w:hAnsi="Arial"/>
                <w:sz w:val="14"/>
                <w:szCs w:val="14"/>
                <w:color w:val="auto"/>
              </w:rPr>
              <w:t>–</w:t>
            </w:r>
          </w:p>
        </w:tc>
        <w:tc>
          <w:tcPr>
            <w:tcW w:w="100" w:type="dxa"/>
            <w:vAlign w:val="bottom"/>
            <w:tcBorders>
              <w:bottom w:val="single" w:sz="8" w:color="auto"/>
            </w:tcBorders>
          </w:tcPr>
          <w:p>
            <w:pPr>
              <w:spacing w:after="0"/>
              <w:rPr>
                <w:sz w:val="13"/>
                <w:szCs w:val="13"/>
                <w:color w:val="auto"/>
              </w:rPr>
            </w:pPr>
          </w:p>
        </w:tc>
        <w:tc>
          <w:tcPr>
            <w:tcW w:w="1660" w:type="dxa"/>
            <w:vAlign w:val="bottom"/>
            <w:tcBorders>
              <w:bottom w:val="single" w:sz="8" w:color="auto"/>
            </w:tcBorders>
            <w:gridSpan w:val="2"/>
          </w:tcPr>
          <w:p>
            <w:pPr>
              <w:jc w:val="right"/>
              <w:ind w:right="177"/>
              <w:spacing w:after="0" w:line="157" w:lineRule="exact"/>
              <w:rPr>
                <w:sz w:val="20"/>
                <w:szCs w:val="20"/>
                <w:color w:val="auto"/>
              </w:rPr>
            </w:pPr>
            <w:r>
              <w:rPr>
                <w:rFonts w:ascii="Arial" w:cs="Arial" w:eastAsia="Arial" w:hAnsi="Arial"/>
                <w:sz w:val="14"/>
                <w:szCs w:val="14"/>
                <w:color w:val="auto"/>
              </w:rPr>
              <w:t>273</w:t>
            </w:r>
          </w:p>
        </w:tc>
        <w:tc>
          <w:tcPr>
            <w:tcW w:w="1180" w:type="dxa"/>
            <w:vAlign w:val="bottom"/>
            <w:tcBorders>
              <w:bottom w:val="single" w:sz="8" w:color="auto"/>
            </w:tcBorders>
          </w:tcPr>
          <w:p>
            <w:pPr>
              <w:jc w:val="right"/>
              <w:ind w:right="149"/>
              <w:spacing w:after="0" w:line="157" w:lineRule="exact"/>
              <w:rPr>
                <w:sz w:val="20"/>
                <w:szCs w:val="20"/>
                <w:color w:val="auto"/>
              </w:rPr>
            </w:pPr>
            <w:r>
              <w:rPr>
                <w:rFonts w:ascii="Arial" w:cs="Arial" w:eastAsia="Arial" w:hAnsi="Arial"/>
                <w:sz w:val="14"/>
                <w:szCs w:val="14"/>
                <w:color w:val="auto"/>
              </w:rPr>
              <w:t>3,327</w:t>
            </w:r>
          </w:p>
        </w:tc>
        <w:tc>
          <w:tcPr>
            <w:tcW w:w="38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tcPr>
          <w:p>
            <w:pPr>
              <w:jc w:val="right"/>
              <w:ind w:right="128"/>
              <w:spacing w:after="0" w:line="157" w:lineRule="exact"/>
              <w:rPr>
                <w:sz w:val="20"/>
                <w:szCs w:val="20"/>
                <w:color w:val="auto"/>
              </w:rPr>
            </w:pPr>
            <w:r>
              <w:rPr>
                <w:rFonts w:ascii="Arial" w:cs="Arial" w:eastAsia="Arial" w:hAnsi="Arial"/>
                <w:sz w:val="14"/>
                <w:szCs w:val="14"/>
                <w:color w:val="auto"/>
              </w:rPr>
              <w:t>330</w:t>
            </w:r>
          </w:p>
        </w:tc>
        <w:tc>
          <w:tcPr>
            <w:tcW w:w="1260" w:type="dxa"/>
            <w:vAlign w:val="bottom"/>
            <w:tcBorders>
              <w:bottom w:val="single" w:sz="8" w:color="auto"/>
            </w:tcBorders>
          </w:tcPr>
          <w:p>
            <w:pPr>
              <w:jc w:val="right"/>
              <w:ind w:right="150"/>
              <w:spacing w:after="0" w:line="157" w:lineRule="exact"/>
              <w:rPr>
                <w:sz w:val="20"/>
                <w:szCs w:val="20"/>
                <w:color w:val="auto"/>
              </w:rPr>
            </w:pPr>
            <w:r>
              <w:rPr>
                <w:rFonts w:ascii="Arial" w:cs="Arial" w:eastAsia="Arial" w:hAnsi="Arial"/>
                <w:sz w:val="14"/>
                <w:szCs w:val="14"/>
                <w:color w:val="auto"/>
              </w:rPr>
              <w:t>3,495</w:t>
            </w:r>
          </w:p>
        </w:tc>
        <w:tc>
          <w:tcPr>
            <w:tcW w:w="0" w:type="dxa"/>
            <w:vAlign w:val="bottom"/>
          </w:tcPr>
          <w:p>
            <w:pPr>
              <w:spacing w:after="0"/>
              <w:rPr>
                <w:sz w:val="1"/>
                <w:szCs w:val="1"/>
                <w:color w:val="auto"/>
              </w:rPr>
            </w:pPr>
          </w:p>
        </w:tc>
      </w:tr>
      <w:tr>
        <w:trPr>
          <w:trHeight w:val="156"/>
        </w:trPr>
        <w:tc>
          <w:tcPr>
            <w:tcW w:w="2960" w:type="dxa"/>
            <w:vAlign w:val="bottom"/>
            <w:tcBorders>
              <w:bottom w:val="single" w:sz="8" w:color="auto"/>
            </w:tcBorders>
          </w:tcPr>
          <w:p>
            <w:pPr>
              <w:spacing w:after="0" w:line="155" w:lineRule="exact"/>
              <w:rPr>
                <w:sz w:val="20"/>
                <w:szCs w:val="20"/>
                <w:color w:val="auto"/>
              </w:rPr>
            </w:pPr>
            <w:r>
              <w:rPr>
                <w:rFonts w:ascii="Arial" w:cs="Arial" w:eastAsia="Arial" w:hAnsi="Arial"/>
                <w:sz w:val="14"/>
                <w:szCs w:val="14"/>
                <w:color w:val="auto"/>
              </w:rPr>
              <w:t>Total South America</w:t>
            </w:r>
          </w:p>
        </w:tc>
        <w:tc>
          <w:tcPr>
            <w:tcW w:w="380" w:type="dxa"/>
            <w:vAlign w:val="bottom"/>
            <w:tcBorders>
              <w:bottom w:val="single" w:sz="8" w:color="auto"/>
            </w:tcBorders>
            <w:shd w:val="clear" w:color="auto" w:fill="D8D8D8"/>
          </w:tcPr>
          <w:p>
            <w:pPr>
              <w:spacing w:after="0"/>
              <w:rPr>
                <w:sz w:val="13"/>
                <w:szCs w:val="13"/>
                <w:color w:val="auto"/>
              </w:rPr>
            </w:pPr>
          </w:p>
        </w:tc>
        <w:tc>
          <w:tcPr>
            <w:tcW w:w="840" w:type="dxa"/>
            <w:vAlign w:val="bottom"/>
            <w:tcBorders>
              <w:bottom w:val="single" w:sz="8" w:color="auto"/>
            </w:tcBorders>
            <w:shd w:val="clear" w:color="auto" w:fill="D8D8D8"/>
          </w:tcPr>
          <w:p>
            <w:pPr>
              <w:jc w:val="right"/>
              <w:ind w:right="9"/>
              <w:spacing w:after="0" w:line="155" w:lineRule="exact"/>
              <w:rPr>
                <w:sz w:val="20"/>
                <w:szCs w:val="20"/>
                <w:color w:val="auto"/>
              </w:rPr>
            </w:pPr>
            <w:r>
              <w:rPr>
                <w:rFonts w:ascii="Arial" w:cs="Arial" w:eastAsia="Arial" w:hAnsi="Arial"/>
                <w:sz w:val="14"/>
                <w:szCs w:val="14"/>
                <w:color w:val="auto"/>
              </w:rPr>
              <w:t>16,936</w:t>
            </w:r>
          </w:p>
        </w:tc>
        <w:tc>
          <w:tcPr>
            <w:tcW w:w="1320" w:type="dxa"/>
            <w:vAlign w:val="bottom"/>
            <w:tcBorders>
              <w:bottom w:val="single" w:sz="8" w:color="auto"/>
            </w:tcBorders>
            <w:shd w:val="clear" w:color="auto" w:fill="D8D8D8"/>
          </w:tcPr>
          <w:p>
            <w:pPr>
              <w:jc w:val="right"/>
              <w:ind w:right="149"/>
              <w:spacing w:after="0" w:line="155" w:lineRule="exact"/>
              <w:rPr>
                <w:sz w:val="20"/>
                <w:szCs w:val="20"/>
                <w:color w:val="auto"/>
              </w:rPr>
            </w:pPr>
            <w:r>
              <w:rPr>
                <w:rFonts w:ascii="Arial" w:cs="Arial" w:eastAsia="Arial" w:hAnsi="Arial"/>
                <w:sz w:val="14"/>
                <w:szCs w:val="14"/>
                <w:color w:val="auto"/>
              </w:rPr>
              <w:t>–</w:t>
            </w:r>
          </w:p>
        </w:tc>
        <w:tc>
          <w:tcPr>
            <w:tcW w:w="100" w:type="dxa"/>
            <w:vAlign w:val="bottom"/>
            <w:tcBorders>
              <w:bottom w:val="single" w:sz="8" w:color="auto"/>
            </w:tcBorders>
          </w:tcPr>
          <w:p>
            <w:pPr>
              <w:spacing w:after="0"/>
              <w:rPr>
                <w:sz w:val="13"/>
                <w:szCs w:val="13"/>
                <w:color w:val="auto"/>
              </w:rPr>
            </w:pPr>
          </w:p>
        </w:tc>
        <w:tc>
          <w:tcPr>
            <w:tcW w:w="1660" w:type="dxa"/>
            <w:vAlign w:val="bottom"/>
            <w:tcBorders>
              <w:bottom w:val="single" w:sz="8" w:color="auto"/>
            </w:tcBorders>
            <w:gridSpan w:val="2"/>
          </w:tcPr>
          <w:p>
            <w:pPr>
              <w:jc w:val="right"/>
              <w:ind w:right="177"/>
              <w:spacing w:after="0" w:line="155" w:lineRule="exact"/>
              <w:rPr>
                <w:sz w:val="20"/>
                <w:szCs w:val="20"/>
                <w:color w:val="auto"/>
              </w:rPr>
            </w:pPr>
            <w:r>
              <w:rPr>
                <w:rFonts w:ascii="Arial" w:cs="Arial" w:eastAsia="Arial" w:hAnsi="Arial"/>
                <w:sz w:val="14"/>
                <w:szCs w:val="14"/>
                <w:color w:val="auto"/>
              </w:rPr>
              <w:t>7,979</w:t>
            </w:r>
          </w:p>
        </w:tc>
        <w:tc>
          <w:tcPr>
            <w:tcW w:w="1180" w:type="dxa"/>
            <w:vAlign w:val="bottom"/>
            <w:tcBorders>
              <w:bottom w:val="single" w:sz="8" w:color="auto"/>
            </w:tcBorders>
          </w:tcPr>
          <w:p>
            <w:pPr>
              <w:jc w:val="right"/>
              <w:ind w:right="149"/>
              <w:spacing w:after="0" w:line="155" w:lineRule="exact"/>
              <w:rPr>
                <w:sz w:val="20"/>
                <w:szCs w:val="20"/>
                <w:color w:val="auto"/>
              </w:rPr>
            </w:pPr>
            <w:r>
              <w:rPr>
                <w:rFonts w:ascii="Arial" w:cs="Arial" w:eastAsia="Arial" w:hAnsi="Arial"/>
                <w:sz w:val="14"/>
                <w:szCs w:val="14"/>
                <w:color w:val="auto"/>
              </w:rPr>
              <w:t>3,327</w:t>
            </w:r>
          </w:p>
        </w:tc>
        <w:tc>
          <w:tcPr>
            <w:tcW w:w="38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tcPr>
          <w:p>
            <w:pPr>
              <w:jc w:val="right"/>
              <w:ind w:right="128"/>
              <w:spacing w:after="0" w:line="155" w:lineRule="exact"/>
              <w:rPr>
                <w:sz w:val="20"/>
                <w:szCs w:val="20"/>
                <w:color w:val="auto"/>
              </w:rPr>
            </w:pPr>
            <w:r>
              <w:rPr>
                <w:rFonts w:ascii="Arial" w:cs="Arial" w:eastAsia="Arial" w:hAnsi="Arial"/>
                <w:sz w:val="14"/>
                <w:szCs w:val="14"/>
                <w:color w:val="auto"/>
              </w:rPr>
              <w:t>12,958</w:t>
            </w:r>
          </w:p>
        </w:tc>
        <w:tc>
          <w:tcPr>
            <w:tcW w:w="1260" w:type="dxa"/>
            <w:vAlign w:val="bottom"/>
            <w:tcBorders>
              <w:bottom w:val="single" w:sz="8" w:color="auto"/>
            </w:tcBorders>
          </w:tcPr>
          <w:p>
            <w:pPr>
              <w:jc w:val="right"/>
              <w:ind w:right="150"/>
              <w:spacing w:after="0" w:line="155" w:lineRule="exact"/>
              <w:rPr>
                <w:sz w:val="20"/>
                <w:szCs w:val="20"/>
                <w:color w:val="auto"/>
              </w:rPr>
            </w:pPr>
            <w:r>
              <w:rPr>
                <w:rFonts w:ascii="Arial" w:cs="Arial" w:eastAsia="Arial" w:hAnsi="Arial"/>
                <w:sz w:val="14"/>
                <w:szCs w:val="14"/>
                <w:color w:val="auto"/>
              </w:rPr>
              <w:t>3,495</w:t>
            </w:r>
          </w:p>
        </w:tc>
        <w:tc>
          <w:tcPr>
            <w:tcW w:w="0" w:type="dxa"/>
            <w:vAlign w:val="bottom"/>
          </w:tcPr>
          <w:p>
            <w:pPr>
              <w:spacing w:after="0"/>
              <w:rPr>
                <w:sz w:val="1"/>
                <w:szCs w:val="1"/>
                <w:color w:val="auto"/>
              </w:rPr>
            </w:pPr>
          </w:p>
        </w:tc>
      </w:tr>
      <w:tr>
        <w:trPr>
          <w:trHeight w:val="156"/>
        </w:trPr>
        <w:tc>
          <w:tcPr>
            <w:tcW w:w="2960" w:type="dxa"/>
            <w:vAlign w:val="bottom"/>
            <w:tcBorders>
              <w:bottom w:val="single" w:sz="8" w:color="auto"/>
            </w:tcBorders>
          </w:tcPr>
          <w:p>
            <w:pPr>
              <w:spacing w:after="0" w:line="155" w:lineRule="exact"/>
              <w:rPr>
                <w:sz w:val="20"/>
                <w:szCs w:val="20"/>
                <w:color w:val="auto"/>
              </w:rPr>
            </w:pPr>
            <w:r>
              <w:rPr>
                <w:rFonts w:ascii="Arial" w:cs="Arial" w:eastAsia="Arial" w:hAnsi="Arial"/>
                <w:sz w:val="14"/>
                <w:szCs w:val="14"/>
                <w:color w:val="auto"/>
              </w:rPr>
              <w:t>Total</w:t>
            </w:r>
          </w:p>
        </w:tc>
        <w:tc>
          <w:tcPr>
            <w:tcW w:w="380" w:type="dxa"/>
            <w:vAlign w:val="bottom"/>
            <w:tcBorders>
              <w:bottom w:val="single" w:sz="8" w:color="auto"/>
            </w:tcBorders>
            <w:shd w:val="clear" w:color="auto" w:fill="D8D8D8"/>
          </w:tcPr>
          <w:p>
            <w:pPr>
              <w:spacing w:after="0"/>
              <w:rPr>
                <w:sz w:val="13"/>
                <w:szCs w:val="13"/>
                <w:color w:val="auto"/>
              </w:rPr>
            </w:pPr>
          </w:p>
        </w:tc>
        <w:tc>
          <w:tcPr>
            <w:tcW w:w="840" w:type="dxa"/>
            <w:vAlign w:val="bottom"/>
            <w:tcBorders>
              <w:bottom w:val="single" w:sz="8" w:color="auto"/>
            </w:tcBorders>
            <w:shd w:val="clear" w:color="auto" w:fill="D8D8D8"/>
          </w:tcPr>
          <w:p>
            <w:pPr>
              <w:jc w:val="right"/>
              <w:ind w:right="9"/>
              <w:spacing w:after="0" w:line="155" w:lineRule="exact"/>
              <w:rPr>
                <w:sz w:val="20"/>
                <w:szCs w:val="20"/>
                <w:color w:val="auto"/>
              </w:rPr>
            </w:pPr>
            <w:r>
              <w:rPr>
                <w:rFonts w:ascii="Arial" w:cs="Arial" w:eastAsia="Arial" w:hAnsi="Arial"/>
                <w:sz w:val="14"/>
                <w:szCs w:val="14"/>
                <w:color w:val="auto"/>
              </w:rPr>
              <w:t>443,673</w:t>
            </w:r>
          </w:p>
        </w:tc>
        <w:tc>
          <w:tcPr>
            <w:tcW w:w="1320" w:type="dxa"/>
            <w:vAlign w:val="bottom"/>
            <w:tcBorders>
              <w:bottom w:val="single" w:sz="8" w:color="auto"/>
            </w:tcBorders>
            <w:shd w:val="clear" w:color="auto" w:fill="D8D8D8"/>
          </w:tcPr>
          <w:p>
            <w:pPr>
              <w:jc w:val="right"/>
              <w:ind w:right="149"/>
              <w:spacing w:after="0" w:line="155" w:lineRule="exact"/>
              <w:rPr>
                <w:sz w:val="20"/>
                <w:szCs w:val="20"/>
                <w:color w:val="auto"/>
              </w:rPr>
            </w:pPr>
            <w:r>
              <w:rPr>
                <w:rFonts w:ascii="Arial" w:cs="Arial" w:eastAsia="Arial" w:hAnsi="Arial"/>
                <w:sz w:val="14"/>
                <w:szCs w:val="14"/>
                <w:color w:val="auto"/>
              </w:rPr>
              <w:t>45,165</w:t>
            </w:r>
          </w:p>
        </w:tc>
        <w:tc>
          <w:tcPr>
            <w:tcW w:w="100" w:type="dxa"/>
            <w:vAlign w:val="bottom"/>
            <w:tcBorders>
              <w:bottom w:val="single" w:sz="8" w:color="auto"/>
            </w:tcBorders>
          </w:tcPr>
          <w:p>
            <w:pPr>
              <w:spacing w:after="0"/>
              <w:rPr>
                <w:sz w:val="13"/>
                <w:szCs w:val="13"/>
                <w:color w:val="auto"/>
              </w:rPr>
            </w:pPr>
          </w:p>
        </w:tc>
        <w:tc>
          <w:tcPr>
            <w:tcW w:w="1660" w:type="dxa"/>
            <w:vAlign w:val="bottom"/>
            <w:tcBorders>
              <w:bottom w:val="single" w:sz="8" w:color="auto"/>
            </w:tcBorders>
            <w:gridSpan w:val="2"/>
          </w:tcPr>
          <w:p>
            <w:pPr>
              <w:jc w:val="right"/>
              <w:ind w:right="177"/>
              <w:spacing w:after="0" w:line="155" w:lineRule="exact"/>
              <w:rPr>
                <w:sz w:val="20"/>
                <w:szCs w:val="20"/>
                <w:color w:val="auto"/>
              </w:rPr>
            </w:pPr>
            <w:r>
              <w:rPr>
                <w:rFonts w:ascii="Arial" w:cs="Arial" w:eastAsia="Arial" w:hAnsi="Arial"/>
                <w:sz w:val="14"/>
                <w:szCs w:val="14"/>
                <w:color w:val="auto"/>
              </w:rPr>
              <w:t>402,675</w:t>
            </w:r>
          </w:p>
        </w:tc>
        <w:tc>
          <w:tcPr>
            <w:tcW w:w="1180" w:type="dxa"/>
            <w:vAlign w:val="bottom"/>
            <w:tcBorders>
              <w:bottom w:val="single" w:sz="8" w:color="auto"/>
            </w:tcBorders>
          </w:tcPr>
          <w:p>
            <w:pPr>
              <w:jc w:val="right"/>
              <w:ind w:right="149"/>
              <w:spacing w:after="0" w:line="155" w:lineRule="exact"/>
              <w:rPr>
                <w:sz w:val="20"/>
                <w:szCs w:val="20"/>
                <w:color w:val="auto"/>
              </w:rPr>
            </w:pPr>
            <w:r>
              <w:rPr>
                <w:rFonts w:ascii="Arial" w:cs="Arial" w:eastAsia="Arial" w:hAnsi="Arial"/>
                <w:sz w:val="14"/>
                <w:szCs w:val="14"/>
                <w:color w:val="auto"/>
              </w:rPr>
              <w:t>106,847</w:t>
            </w:r>
          </w:p>
        </w:tc>
        <w:tc>
          <w:tcPr>
            <w:tcW w:w="38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tcPr>
          <w:p>
            <w:pPr>
              <w:jc w:val="right"/>
              <w:ind w:right="128"/>
              <w:spacing w:after="0" w:line="155" w:lineRule="exact"/>
              <w:rPr>
                <w:sz w:val="20"/>
                <w:szCs w:val="20"/>
                <w:color w:val="auto"/>
              </w:rPr>
            </w:pPr>
            <w:r>
              <w:rPr>
                <w:rFonts w:ascii="Arial" w:cs="Arial" w:eastAsia="Arial" w:hAnsi="Arial"/>
                <w:sz w:val="14"/>
                <w:szCs w:val="14"/>
                <w:color w:val="auto"/>
              </w:rPr>
              <w:t>382,154</w:t>
            </w:r>
          </w:p>
        </w:tc>
        <w:tc>
          <w:tcPr>
            <w:tcW w:w="1260" w:type="dxa"/>
            <w:vAlign w:val="bottom"/>
            <w:tcBorders>
              <w:bottom w:val="single" w:sz="8" w:color="auto"/>
            </w:tcBorders>
          </w:tcPr>
          <w:p>
            <w:pPr>
              <w:jc w:val="right"/>
              <w:ind w:right="150"/>
              <w:spacing w:after="0" w:line="155" w:lineRule="exact"/>
              <w:rPr>
                <w:sz w:val="20"/>
                <w:szCs w:val="20"/>
                <w:color w:val="auto"/>
              </w:rPr>
            </w:pPr>
            <w:r>
              <w:rPr>
                <w:rFonts w:ascii="Arial" w:cs="Arial" w:eastAsia="Arial" w:hAnsi="Arial"/>
                <w:sz w:val="14"/>
                <w:szCs w:val="14"/>
                <w:color w:val="auto"/>
              </w:rPr>
              <w:t>162,266</w:t>
            </w:r>
          </w:p>
        </w:tc>
        <w:tc>
          <w:tcPr>
            <w:tcW w:w="0" w:type="dxa"/>
            <w:vAlign w:val="bottom"/>
          </w:tcPr>
          <w:p>
            <w:pPr>
              <w:spacing w:after="0"/>
              <w:rPr>
                <w:sz w:val="1"/>
                <w:szCs w:val="1"/>
                <w:color w:val="auto"/>
              </w:rPr>
            </w:pPr>
          </w:p>
        </w:tc>
      </w:tr>
    </w:tbl>
    <w:p>
      <w:pPr>
        <w:spacing w:after="0" w:line="37" w:lineRule="exact"/>
        <w:rPr>
          <w:sz w:val="20"/>
          <w:szCs w:val="20"/>
          <w:color w:val="auto"/>
        </w:rPr>
      </w:pPr>
    </w:p>
    <w:p>
      <w:pPr>
        <w:ind w:right="140" w:firstLine="8"/>
        <w:spacing w:after="0" w:line="230" w:lineRule="auto"/>
        <w:tabs>
          <w:tab w:leader="none" w:pos="162" w:val="left"/>
        </w:tabs>
        <w:numPr>
          <w:ilvl w:val="0"/>
          <w:numId w:val="35"/>
        </w:numPr>
        <w:rPr>
          <w:rFonts w:ascii="Arial" w:cs="Arial" w:eastAsia="Arial" w:hAnsi="Arial"/>
          <w:sz w:val="11"/>
          <w:szCs w:val="11"/>
          <w:color w:val="auto"/>
        </w:rPr>
      </w:pPr>
      <w:r>
        <w:rPr>
          <w:rFonts w:ascii="Arial" w:cs="Arial" w:eastAsia="Arial" w:hAnsi="Arial"/>
          <w:sz w:val="11"/>
          <w:szCs w:val="11"/>
          <w:color w:val="auto"/>
        </w:rPr>
        <w:t>Includes natural gas liquids. Royalty sales are excluded. Reflects 100% of production attributable to subsidiaries except in respect of PSCs, where the figures shown represent the entitlement of the subsidiaries concerned under those contracts.</w:t>
      </w:r>
    </w:p>
    <w:p>
      <w:pPr>
        <w:ind w:left="180" w:hanging="172"/>
        <w:spacing w:after="0"/>
        <w:tabs>
          <w:tab w:leader="none" w:pos="180" w:val="left"/>
        </w:tabs>
        <w:numPr>
          <w:ilvl w:val="0"/>
          <w:numId w:val="35"/>
        </w:numPr>
        <w:rPr>
          <w:rFonts w:ascii="Arial" w:cs="Arial" w:eastAsia="Arial" w:hAnsi="Arial"/>
          <w:sz w:val="11"/>
          <w:szCs w:val="11"/>
          <w:color w:val="auto"/>
        </w:rPr>
      </w:pPr>
      <w:r>
        <w:rPr>
          <w:rFonts w:ascii="Arial" w:cs="Arial" w:eastAsia="Arial" w:hAnsi="Arial"/>
          <w:sz w:val="11"/>
          <w:szCs w:val="11"/>
          <w:color w:val="auto"/>
        </w:rPr>
        <w:t>Comprises countries where 2014 production was lower than 7,300 thousand barrels or where specific disclosures are prohibited.</w:t>
      </w:r>
    </w:p>
    <w:p>
      <w:pPr>
        <w:sectPr>
          <w:pgSz w:w="11900" w:h="16838" w:orient="portrait"/>
          <w:cols w:equalWidth="0" w:num="1">
            <w:col w:w="11420"/>
          </w:cols>
          <w:pgMar w:left="240" w:top="459" w:right="2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399415</wp:posOffset>
            </wp:positionH>
            <wp:positionV relativeFrom="paragraph">
              <wp:posOffset>300355</wp:posOffset>
            </wp:positionV>
            <wp:extent cx="8890" cy="46291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8890" cy="462915"/>
                    </a:xfrm>
                    <a:prstGeom prst="rect">
                      <a:avLst/>
                    </a:prstGeom>
                    <a:noFill/>
                  </pic:spPr>
                </pic:pic>
              </a:graphicData>
            </a:graphic>
          </wp:anchor>
        </w:drawing>
      </w:r>
    </w:p>
    <w:p>
      <w:pPr>
        <w:spacing w:after="0" w:line="200" w:lineRule="exact"/>
        <w:rPr>
          <w:sz w:val="20"/>
          <w:szCs w:val="20"/>
          <w:color w:val="auto"/>
        </w:rPr>
      </w:pP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565"/>
        </w:trPr>
        <w:tc>
          <w:tcPr>
            <w:tcW w:w="3160" w:type="dxa"/>
            <w:vAlign w:val="bottom"/>
            <w:shd w:val="clear" w:color="auto" w:fill="FF8B00"/>
          </w:tcPr>
          <w:p>
            <w:pPr>
              <w:ind w:left="260"/>
              <w:spacing w:after="0"/>
              <w:rPr>
                <w:sz w:val="20"/>
                <w:szCs w:val="20"/>
                <w:color w:val="auto"/>
              </w:rPr>
            </w:pPr>
            <w:r>
              <w:rPr>
                <w:rFonts w:ascii="Arial" w:cs="Arial" w:eastAsia="Arial" w:hAnsi="Arial"/>
                <w:sz w:val="11"/>
                <w:szCs w:val="11"/>
                <w:b w:val="1"/>
                <w:bCs w:val="1"/>
                <w:color w:val="333333"/>
              </w:rPr>
              <w:t>36</w:t>
            </w:r>
          </w:p>
        </w:tc>
        <w:tc>
          <w:tcPr>
            <w:tcW w:w="1580" w:type="dxa"/>
            <w:vAlign w:val="bottom"/>
            <w:gridSpan w:val="2"/>
            <w:shd w:val="clear" w:color="auto" w:fill="FF8B00"/>
          </w:tcPr>
          <w:p>
            <w:pPr>
              <w:jc w:val="right"/>
              <w:spacing w:after="0"/>
              <w:rPr>
                <w:sz w:val="20"/>
                <w:szCs w:val="20"/>
                <w:color w:val="auto"/>
              </w:rPr>
            </w:pPr>
            <w:r>
              <w:rPr>
                <w:rFonts w:ascii="Arial" w:cs="Arial" w:eastAsia="Arial" w:hAnsi="Arial"/>
                <w:sz w:val="13"/>
                <w:szCs w:val="13"/>
                <w:color w:val="333333"/>
              </w:rPr>
              <w:t>STRATEGIC REPORT</w:t>
            </w:r>
          </w:p>
        </w:tc>
        <w:tc>
          <w:tcPr>
            <w:tcW w:w="760" w:type="dxa"/>
            <w:vAlign w:val="bottom"/>
            <w:shd w:val="clear" w:color="auto" w:fill="FF8B00"/>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5"/>
        </w:trPr>
        <w:tc>
          <w:tcPr>
            <w:tcW w:w="3160" w:type="dxa"/>
            <w:vAlign w:val="bottom"/>
            <w:shd w:val="clear" w:color="auto" w:fill="FF8B00"/>
          </w:tcPr>
          <w:p>
            <w:pPr>
              <w:spacing w:after="0"/>
              <w:rPr>
                <w:sz w:val="14"/>
                <w:szCs w:val="14"/>
                <w:color w:val="auto"/>
              </w:rPr>
            </w:pPr>
          </w:p>
        </w:tc>
        <w:tc>
          <w:tcPr>
            <w:tcW w:w="380" w:type="dxa"/>
            <w:vAlign w:val="bottom"/>
            <w:shd w:val="clear" w:color="auto" w:fill="FF8B00"/>
          </w:tcPr>
          <w:p>
            <w:pPr>
              <w:spacing w:after="0"/>
              <w:rPr>
                <w:sz w:val="14"/>
                <w:szCs w:val="14"/>
                <w:color w:val="auto"/>
              </w:rPr>
            </w:pPr>
          </w:p>
        </w:tc>
        <w:tc>
          <w:tcPr>
            <w:tcW w:w="1200" w:type="dxa"/>
            <w:vAlign w:val="bottom"/>
            <w:shd w:val="clear" w:color="auto" w:fill="FF8B00"/>
          </w:tcPr>
          <w:p>
            <w:pPr>
              <w:spacing w:after="0"/>
              <w:rPr>
                <w:sz w:val="14"/>
                <w:szCs w:val="14"/>
                <w:color w:val="auto"/>
              </w:rPr>
            </w:pPr>
          </w:p>
        </w:tc>
        <w:tc>
          <w:tcPr>
            <w:tcW w:w="760" w:type="dxa"/>
            <w:vAlign w:val="bottom"/>
            <w:shd w:val="clear" w:color="auto" w:fill="FF8B00"/>
          </w:tcPr>
          <w:p>
            <w:pPr>
              <w:spacing w:after="0"/>
              <w:rPr>
                <w:sz w:val="14"/>
                <w:szCs w:val="14"/>
                <w:color w:val="auto"/>
              </w:rPr>
            </w:pP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40" w:type="dxa"/>
            <w:vAlign w:val="bottom"/>
            <w:gridSpan w:val="3"/>
            <w:vMerge w:val="restart"/>
          </w:tcPr>
          <w:p>
            <w:pPr>
              <w:ind w:left="620"/>
              <w:spacing w:after="0"/>
              <w:rPr>
                <w:sz w:val="20"/>
                <w:szCs w:val="20"/>
                <w:color w:val="auto"/>
              </w:rPr>
            </w:pPr>
            <w:r>
              <w:rPr>
                <w:rFonts w:ascii="Arial" w:cs="Arial" w:eastAsia="Arial" w:hAnsi="Arial"/>
                <w:sz w:val="11"/>
                <w:szCs w:val="11"/>
                <w:color w:val="auto"/>
                <w:w w:val="97"/>
              </w:rPr>
              <w:t>SHELL ANNUAL REPORT AND FORM 20-F 2014</w:t>
            </w:r>
          </w:p>
        </w:tc>
        <w:tc>
          <w:tcPr>
            <w:tcW w:w="0" w:type="dxa"/>
            <w:vAlign w:val="bottom"/>
          </w:tcPr>
          <w:p>
            <w:pPr>
              <w:spacing w:after="0"/>
              <w:rPr>
                <w:sz w:val="1"/>
                <w:szCs w:val="1"/>
                <w:color w:val="auto"/>
              </w:rPr>
            </w:pPr>
          </w:p>
        </w:tc>
      </w:tr>
      <w:tr>
        <w:trPr>
          <w:trHeight w:val="130"/>
        </w:trPr>
        <w:tc>
          <w:tcPr>
            <w:tcW w:w="3160" w:type="dxa"/>
            <w:vAlign w:val="bottom"/>
            <w:vMerge w:val="restart"/>
          </w:tcPr>
          <w:p>
            <w:pPr>
              <w:spacing w:after="0"/>
              <w:rPr>
                <w:sz w:val="20"/>
                <w:szCs w:val="20"/>
                <w:color w:val="auto"/>
              </w:rPr>
            </w:pPr>
            <w:r>
              <w:rPr>
                <w:rFonts w:ascii="Arial" w:cs="Arial" w:eastAsia="Arial" w:hAnsi="Arial"/>
                <w:sz w:val="24"/>
                <w:szCs w:val="24"/>
                <w:color w:val="auto"/>
              </w:rPr>
              <w:t xml:space="preserve">UPSTREAM </w:t>
            </w:r>
            <w:r>
              <w:rPr>
                <w:rFonts w:ascii="Arial" w:cs="Arial" w:eastAsia="Arial" w:hAnsi="Arial"/>
                <w:sz w:val="24"/>
                <w:szCs w:val="24"/>
                <w:color w:val="666666"/>
              </w:rPr>
              <w:t>CONTINUED</w:t>
            </w:r>
          </w:p>
        </w:tc>
        <w:tc>
          <w:tcPr>
            <w:tcW w:w="380" w:type="dxa"/>
            <w:vAlign w:val="bottom"/>
          </w:tcPr>
          <w:p>
            <w:pPr>
              <w:spacing w:after="0"/>
              <w:rPr>
                <w:sz w:val="11"/>
                <w:szCs w:val="11"/>
                <w:color w:val="auto"/>
              </w:rPr>
            </w:pPr>
          </w:p>
        </w:tc>
        <w:tc>
          <w:tcPr>
            <w:tcW w:w="1200" w:type="dxa"/>
            <w:vAlign w:val="bottom"/>
          </w:tcPr>
          <w:p>
            <w:pPr>
              <w:jc w:val="right"/>
              <w:spacing w:after="0"/>
              <w:rPr>
                <w:sz w:val="20"/>
                <w:szCs w:val="20"/>
                <w:color w:val="auto"/>
              </w:rPr>
            </w:pPr>
            <w:r>
              <w:rPr>
                <w:rFonts w:ascii="Arial" w:cs="Arial" w:eastAsia="Arial" w:hAnsi="Arial"/>
                <w:sz w:val="11"/>
                <w:szCs w:val="11"/>
                <w:color w:val="auto"/>
              </w:rPr>
              <w:t>UPSTREAM</w:t>
            </w:r>
          </w:p>
        </w:tc>
        <w:tc>
          <w:tcPr>
            <w:tcW w:w="7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40" w:type="dxa"/>
            <w:vAlign w:val="bottom"/>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75"/>
        </w:trPr>
        <w:tc>
          <w:tcPr>
            <w:tcW w:w="3160" w:type="dxa"/>
            <w:vAlign w:val="bottom"/>
            <w:tcBorders>
              <w:bottom w:val="single" w:sz="8" w:color="auto"/>
            </w:tcBorders>
            <w:vMerge w:val="continue"/>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spacing w:after="0"/>
              <w:rPr>
                <w:sz w:val="23"/>
                <w:szCs w:val="23"/>
                <w:color w:val="auto"/>
              </w:rPr>
            </w:pPr>
          </w:p>
        </w:tc>
        <w:tc>
          <w:tcPr>
            <w:tcW w:w="760" w:type="dxa"/>
            <w:vAlign w:val="bottom"/>
            <w:tcBorders>
              <w:bottom w:val="single" w:sz="8" w:color="auto"/>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1680" w:type="dxa"/>
            <w:vAlign w:val="bottom"/>
            <w:tcBorders>
              <w:bottom w:val="single" w:sz="8" w:color="auto"/>
            </w:tcBorders>
          </w:tcPr>
          <w:p>
            <w:pPr>
              <w:spacing w:after="0"/>
              <w:rPr>
                <w:sz w:val="23"/>
                <w:szCs w:val="23"/>
                <w:color w:val="auto"/>
              </w:rPr>
            </w:pPr>
          </w:p>
        </w:tc>
        <w:tc>
          <w:tcPr>
            <w:tcW w:w="1340" w:type="dxa"/>
            <w:vAlign w:val="bottom"/>
            <w:tcBorders>
              <w:bottom w:val="single" w:sz="8" w:color="auto"/>
            </w:tcBorders>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0"/>
        </w:trPr>
        <w:tc>
          <w:tcPr>
            <w:tcW w:w="3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20" w:type="dxa"/>
            <w:vAlign w:val="bottom"/>
            <w:gridSpan w:val="2"/>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3160" w:type="dxa"/>
            <w:vAlign w:val="bottom"/>
            <w:shd w:val="clear" w:color="auto" w:fill="333333"/>
          </w:tcPr>
          <w:p>
            <w:pPr>
              <w:ind w:left="80"/>
              <w:spacing w:after="0" w:line="162" w:lineRule="exact"/>
              <w:rPr>
                <w:sz w:val="20"/>
                <w:szCs w:val="20"/>
                <w:color w:val="auto"/>
              </w:rPr>
            </w:pPr>
            <w:r>
              <w:rPr>
                <w:rFonts w:ascii="Arial" w:cs="Arial" w:eastAsia="Arial" w:hAnsi="Arial"/>
                <w:sz w:val="15"/>
                <w:szCs w:val="15"/>
                <w:b w:val="1"/>
                <w:bCs w:val="1"/>
                <w:color w:val="FFFFFF"/>
              </w:rPr>
              <w:t xml:space="preserve">NATURAL GAS </w:t>
            </w:r>
            <w:r>
              <w:rPr>
                <w:rFonts w:ascii="Arial" w:cs="Arial" w:eastAsia="Arial" w:hAnsi="Arial"/>
                <w:sz w:val="15"/>
                <w:szCs w:val="15"/>
                <w:color w:val="FFFFFF"/>
              </w:rPr>
              <w:t>[A]</w:t>
            </w:r>
          </w:p>
        </w:tc>
        <w:tc>
          <w:tcPr>
            <w:tcW w:w="380" w:type="dxa"/>
            <w:vAlign w:val="bottom"/>
            <w:shd w:val="clear" w:color="auto" w:fill="333333"/>
          </w:tcPr>
          <w:p>
            <w:pPr>
              <w:spacing w:after="0"/>
              <w:rPr>
                <w:sz w:val="14"/>
                <w:szCs w:val="14"/>
                <w:color w:val="auto"/>
              </w:rPr>
            </w:pPr>
          </w:p>
        </w:tc>
        <w:tc>
          <w:tcPr>
            <w:tcW w:w="1200" w:type="dxa"/>
            <w:vAlign w:val="bottom"/>
            <w:shd w:val="clear" w:color="auto" w:fill="333333"/>
          </w:tcPr>
          <w:p>
            <w:pPr>
              <w:spacing w:after="0"/>
              <w:rPr>
                <w:sz w:val="14"/>
                <w:szCs w:val="14"/>
                <w:color w:val="auto"/>
              </w:rPr>
            </w:pPr>
          </w:p>
        </w:tc>
        <w:tc>
          <w:tcPr>
            <w:tcW w:w="760" w:type="dxa"/>
            <w:vAlign w:val="bottom"/>
            <w:shd w:val="clear" w:color="auto" w:fill="333333"/>
          </w:tcPr>
          <w:p>
            <w:pPr>
              <w:spacing w:after="0"/>
              <w:rPr>
                <w:sz w:val="14"/>
                <w:szCs w:val="14"/>
                <w:color w:val="auto"/>
              </w:rPr>
            </w:pPr>
          </w:p>
        </w:tc>
        <w:tc>
          <w:tcPr>
            <w:tcW w:w="200" w:type="dxa"/>
            <w:vAlign w:val="bottom"/>
            <w:shd w:val="clear" w:color="auto" w:fill="333333"/>
          </w:tcPr>
          <w:p>
            <w:pPr>
              <w:spacing w:after="0"/>
              <w:rPr>
                <w:sz w:val="14"/>
                <w:szCs w:val="14"/>
                <w:color w:val="auto"/>
              </w:rPr>
            </w:pPr>
          </w:p>
        </w:tc>
        <w:tc>
          <w:tcPr>
            <w:tcW w:w="260" w:type="dxa"/>
            <w:vAlign w:val="bottom"/>
            <w:shd w:val="clear" w:color="auto" w:fill="333333"/>
          </w:tcPr>
          <w:p>
            <w:pPr>
              <w:spacing w:after="0"/>
              <w:rPr>
                <w:sz w:val="14"/>
                <w:szCs w:val="14"/>
                <w:color w:val="auto"/>
              </w:rPr>
            </w:pPr>
          </w:p>
        </w:tc>
        <w:tc>
          <w:tcPr>
            <w:tcW w:w="1100" w:type="dxa"/>
            <w:vAlign w:val="bottom"/>
            <w:shd w:val="clear" w:color="auto" w:fill="333333"/>
          </w:tcPr>
          <w:p>
            <w:pPr>
              <w:spacing w:after="0"/>
              <w:rPr>
                <w:sz w:val="14"/>
                <w:szCs w:val="14"/>
                <w:color w:val="auto"/>
              </w:rPr>
            </w:pPr>
          </w:p>
        </w:tc>
        <w:tc>
          <w:tcPr>
            <w:tcW w:w="1100" w:type="dxa"/>
            <w:vAlign w:val="bottom"/>
            <w:shd w:val="clear" w:color="auto" w:fill="333333"/>
          </w:tcPr>
          <w:p>
            <w:pPr>
              <w:spacing w:after="0"/>
              <w:rPr>
                <w:sz w:val="14"/>
                <w:szCs w:val="14"/>
                <w:color w:val="auto"/>
              </w:rPr>
            </w:pPr>
          </w:p>
        </w:tc>
        <w:tc>
          <w:tcPr>
            <w:tcW w:w="240" w:type="dxa"/>
            <w:vAlign w:val="bottom"/>
            <w:shd w:val="clear" w:color="auto" w:fill="333333"/>
          </w:tcPr>
          <w:p>
            <w:pPr>
              <w:spacing w:after="0"/>
              <w:rPr>
                <w:sz w:val="14"/>
                <w:szCs w:val="14"/>
                <w:color w:val="auto"/>
              </w:rPr>
            </w:pPr>
          </w:p>
        </w:tc>
        <w:tc>
          <w:tcPr>
            <w:tcW w:w="3020" w:type="dxa"/>
            <w:vAlign w:val="bottom"/>
            <w:gridSpan w:val="2"/>
            <w:shd w:val="clear" w:color="auto" w:fill="333333"/>
          </w:tcPr>
          <w:p>
            <w:pPr>
              <w:jc w:val="right"/>
              <w:ind w:right="29"/>
              <w:spacing w:after="0" w:line="162" w:lineRule="exact"/>
              <w:rPr>
                <w:sz w:val="20"/>
                <w:szCs w:val="20"/>
                <w:color w:val="auto"/>
              </w:rPr>
            </w:pPr>
            <w:r>
              <w:rPr>
                <w:rFonts w:ascii="Arial" w:cs="Arial" w:eastAsia="Arial" w:hAnsi="Arial"/>
                <w:sz w:val="15"/>
                <w:szCs w:val="15"/>
                <w:color w:val="FFFFFF"/>
              </w:rPr>
              <w:t>MILLION STANDARD CUBIC FEET</w:t>
            </w: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31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0" w:type="dxa"/>
            <w:vAlign w:val="bottom"/>
            <w:tcBorders>
              <w:bottom w:val="single" w:sz="8" w:color="auto"/>
            </w:tcBorders>
            <w:shd w:val="clear" w:color="auto" w:fill="D8D8D8"/>
          </w:tcPr>
          <w:p>
            <w:pPr>
              <w:spacing w:after="0"/>
              <w:rPr>
                <w:sz w:val="11"/>
                <w:szCs w:val="11"/>
                <w:color w:val="auto"/>
              </w:rPr>
            </w:pPr>
          </w:p>
        </w:tc>
        <w:tc>
          <w:tcPr>
            <w:tcW w:w="960" w:type="dxa"/>
            <w:vAlign w:val="bottom"/>
            <w:tcBorders>
              <w:bottom w:val="single" w:sz="8" w:color="auto"/>
            </w:tcBorders>
            <w:gridSpan w:val="2"/>
            <w:shd w:val="clear" w:color="auto" w:fill="D8D8D8"/>
          </w:tcPr>
          <w:p>
            <w:pPr>
              <w:jc w:val="right"/>
              <w:ind w:right="28"/>
              <w:spacing w:after="0" w:line="135" w:lineRule="exact"/>
              <w:rPr>
                <w:sz w:val="20"/>
                <w:szCs w:val="20"/>
                <w:color w:val="auto"/>
              </w:rPr>
            </w:pPr>
            <w:r>
              <w:rPr>
                <w:rFonts w:ascii="Arial" w:cs="Arial" w:eastAsia="Arial" w:hAnsi="Arial"/>
                <w:sz w:val="13"/>
                <w:szCs w:val="13"/>
                <w:color w:val="auto"/>
              </w:rPr>
              <w:t>2014</w:t>
            </w:r>
          </w:p>
        </w:tc>
        <w:tc>
          <w:tcPr>
            <w:tcW w:w="260" w:type="dxa"/>
            <w:vAlign w:val="bottom"/>
          </w:tcPr>
          <w:p>
            <w:pPr>
              <w:spacing w:after="0"/>
              <w:rPr>
                <w:sz w:val="11"/>
                <w:szCs w:val="11"/>
                <w:color w:val="auto"/>
              </w:rPr>
            </w:pPr>
          </w:p>
        </w:tc>
        <w:tc>
          <w:tcPr>
            <w:tcW w:w="1100" w:type="dxa"/>
            <w:vAlign w:val="bottom"/>
            <w:tcBorders>
              <w:bottom w:val="single" w:sz="8" w:color="auto"/>
            </w:tcBorders>
          </w:tcPr>
          <w:p>
            <w:pPr>
              <w:spacing w:after="0"/>
              <w:rPr>
                <w:sz w:val="11"/>
                <w:szCs w:val="11"/>
                <w:color w:val="auto"/>
              </w:rPr>
            </w:pPr>
          </w:p>
        </w:tc>
        <w:tc>
          <w:tcPr>
            <w:tcW w:w="1100" w:type="dxa"/>
            <w:vAlign w:val="bottom"/>
            <w:tcBorders>
              <w:bottom w:val="single" w:sz="8" w:color="auto"/>
            </w:tcBorders>
          </w:tcPr>
          <w:p>
            <w:pPr>
              <w:jc w:val="right"/>
              <w:ind w:right="49"/>
              <w:spacing w:after="0" w:line="135" w:lineRule="exact"/>
              <w:rPr>
                <w:sz w:val="20"/>
                <w:szCs w:val="20"/>
                <w:color w:val="auto"/>
              </w:rPr>
            </w:pPr>
            <w:r>
              <w:rPr>
                <w:rFonts w:ascii="Arial" w:cs="Arial" w:eastAsia="Arial" w:hAnsi="Arial"/>
                <w:sz w:val="13"/>
                <w:szCs w:val="13"/>
                <w:color w:val="auto"/>
              </w:rPr>
              <w:t>2013</w:t>
            </w:r>
          </w:p>
        </w:tc>
        <w:tc>
          <w:tcPr>
            <w:tcW w:w="240" w:type="dxa"/>
            <w:vAlign w:val="bottom"/>
          </w:tcPr>
          <w:p>
            <w:pPr>
              <w:spacing w:after="0"/>
              <w:rPr>
                <w:sz w:val="11"/>
                <w:szCs w:val="11"/>
                <w:color w:val="auto"/>
              </w:rPr>
            </w:pPr>
          </w:p>
        </w:tc>
        <w:tc>
          <w:tcPr>
            <w:tcW w:w="1680" w:type="dxa"/>
            <w:vAlign w:val="bottom"/>
            <w:tcBorders>
              <w:bottom w:val="single" w:sz="8" w:color="auto"/>
            </w:tcBorders>
          </w:tcPr>
          <w:p>
            <w:pPr>
              <w:spacing w:after="0"/>
              <w:rPr>
                <w:sz w:val="11"/>
                <w:szCs w:val="11"/>
                <w:color w:val="auto"/>
              </w:rPr>
            </w:pPr>
          </w:p>
        </w:tc>
        <w:tc>
          <w:tcPr>
            <w:tcW w:w="1340" w:type="dxa"/>
            <w:vAlign w:val="bottom"/>
            <w:tcBorders>
              <w:bottom w:val="single" w:sz="8" w:color="auto"/>
            </w:tcBorders>
          </w:tcPr>
          <w:p>
            <w:pPr>
              <w:jc w:val="right"/>
              <w:ind w:right="29"/>
              <w:spacing w:after="0" w:line="135" w:lineRule="exact"/>
              <w:rPr>
                <w:sz w:val="20"/>
                <w:szCs w:val="20"/>
                <w:color w:val="auto"/>
              </w:rPr>
            </w:pPr>
            <w:r>
              <w:rPr>
                <w:rFonts w:ascii="Arial" w:cs="Arial" w:eastAsia="Arial" w:hAnsi="Arial"/>
                <w:sz w:val="13"/>
                <w:szCs w:val="13"/>
                <w:color w:val="auto"/>
              </w:rPr>
              <w:t>2012</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3"/>
        </w:trPr>
        <w:tc>
          <w:tcPr>
            <w:tcW w:w="31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200" w:type="dxa"/>
            <w:vAlign w:val="bottom"/>
            <w:shd w:val="clear" w:color="auto" w:fill="D8D8D8"/>
          </w:tcPr>
          <w:p>
            <w:pPr>
              <w:spacing w:after="0"/>
              <w:rPr>
                <w:sz w:val="10"/>
                <w:szCs w:val="10"/>
                <w:color w:val="auto"/>
              </w:rPr>
            </w:pPr>
          </w:p>
        </w:tc>
        <w:tc>
          <w:tcPr>
            <w:tcW w:w="960" w:type="dxa"/>
            <w:vAlign w:val="bottom"/>
            <w:gridSpan w:val="2"/>
            <w:shd w:val="clear" w:color="auto" w:fill="D8D8D8"/>
          </w:tcPr>
          <w:p>
            <w:pPr>
              <w:jc w:val="right"/>
              <w:ind w:right="28"/>
              <w:spacing w:after="0" w:line="123" w:lineRule="exact"/>
              <w:rPr>
                <w:sz w:val="20"/>
                <w:szCs w:val="20"/>
                <w:color w:val="auto"/>
              </w:rPr>
            </w:pPr>
            <w:r>
              <w:rPr>
                <w:rFonts w:ascii="Arial" w:cs="Arial" w:eastAsia="Arial" w:hAnsi="Arial"/>
                <w:sz w:val="13"/>
                <w:szCs w:val="13"/>
                <w:color w:val="auto"/>
              </w:rPr>
              <w:t>Shell share of</w:t>
            </w:r>
          </w:p>
        </w:tc>
        <w:tc>
          <w:tcPr>
            <w:tcW w:w="26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100" w:type="dxa"/>
            <w:vAlign w:val="bottom"/>
          </w:tcPr>
          <w:p>
            <w:pPr>
              <w:jc w:val="right"/>
              <w:ind w:right="49"/>
              <w:spacing w:after="0" w:line="123" w:lineRule="exact"/>
              <w:rPr>
                <w:sz w:val="20"/>
                <w:szCs w:val="20"/>
                <w:color w:val="auto"/>
              </w:rPr>
            </w:pPr>
            <w:r>
              <w:rPr>
                <w:rFonts w:ascii="Arial" w:cs="Arial" w:eastAsia="Arial" w:hAnsi="Arial"/>
                <w:sz w:val="13"/>
                <w:szCs w:val="13"/>
                <w:color w:val="auto"/>
              </w:rPr>
              <w:t>Shell share of</w:t>
            </w:r>
          </w:p>
        </w:tc>
        <w:tc>
          <w:tcPr>
            <w:tcW w:w="240" w:type="dxa"/>
            <w:vAlign w:val="bottom"/>
          </w:tcPr>
          <w:p>
            <w:pPr>
              <w:spacing w:after="0"/>
              <w:rPr>
                <w:sz w:val="10"/>
                <w:szCs w:val="10"/>
                <w:color w:val="auto"/>
              </w:rPr>
            </w:pPr>
          </w:p>
        </w:tc>
        <w:tc>
          <w:tcPr>
            <w:tcW w:w="1680" w:type="dxa"/>
            <w:vAlign w:val="bottom"/>
          </w:tcPr>
          <w:p>
            <w:pPr>
              <w:spacing w:after="0"/>
              <w:rPr>
                <w:sz w:val="10"/>
                <w:szCs w:val="10"/>
                <w:color w:val="auto"/>
              </w:rPr>
            </w:pPr>
          </w:p>
        </w:tc>
        <w:tc>
          <w:tcPr>
            <w:tcW w:w="1340" w:type="dxa"/>
            <w:vAlign w:val="bottom"/>
          </w:tcPr>
          <w:p>
            <w:pPr>
              <w:jc w:val="right"/>
              <w:ind w:right="29"/>
              <w:spacing w:after="0" w:line="123" w:lineRule="exact"/>
              <w:rPr>
                <w:sz w:val="20"/>
                <w:szCs w:val="20"/>
                <w:color w:val="auto"/>
              </w:rPr>
            </w:pPr>
            <w:r>
              <w:rPr>
                <w:rFonts w:ascii="Arial" w:cs="Arial" w:eastAsia="Arial" w:hAnsi="Arial"/>
                <w:sz w:val="13"/>
                <w:szCs w:val="13"/>
                <w:color w:val="auto"/>
              </w:rPr>
              <w:t>Shell share of</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31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0" w:type="dxa"/>
            <w:vAlign w:val="bottom"/>
            <w:shd w:val="clear" w:color="auto" w:fill="D8D8D8"/>
          </w:tcPr>
          <w:p>
            <w:pPr>
              <w:jc w:val="right"/>
              <w:ind w:right="169"/>
              <w:spacing w:after="0" w:line="135" w:lineRule="exact"/>
              <w:rPr>
                <w:sz w:val="20"/>
                <w:szCs w:val="20"/>
                <w:color w:val="auto"/>
              </w:rPr>
            </w:pPr>
            <w:r>
              <w:rPr>
                <w:rFonts w:ascii="Arial" w:cs="Arial" w:eastAsia="Arial" w:hAnsi="Arial"/>
                <w:sz w:val="13"/>
                <w:szCs w:val="13"/>
                <w:color w:val="auto"/>
              </w:rPr>
              <w:t>Shell</w:t>
            </w:r>
          </w:p>
        </w:tc>
        <w:tc>
          <w:tcPr>
            <w:tcW w:w="960" w:type="dxa"/>
            <w:vAlign w:val="bottom"/>
            <w:gridSpan w:val="2"/>
            <w:shd w:val="clear" w:color="auto" w:fill="D8D8D8"/>
          </w:tcPr>
          <w:p>
            <w:pPr>
              <w:jc w:val="right"/>
              <w:ind w:right="28"/>
              <w:spacing w:after="0" w:line="135" w:lineRule="exact"/>
              <w:rPr>
                <w:sz w:val="20"/>
                <w:szCs w:val="20"/>
                <w:color w:val="auto"/>
              </w:rPr>
            </w:pPr>
            <w:r>
              <w:rPr>
                <w:rFonts w:ascii="Arial" w:cs="Arial" w:eastAsia="Arial" w:hAnsi="Arial"/>
                <w:sz w:val="13"/>
                <w:szCs w:val="13"/>
                <w:color w:val="auto"/>
              </w:rPr>
              <w:t>joint ventures</w:t>
            </w:r>
          </w:p>
        </w:tc>
        <w:tc>
          <w:tcPr>
            <w:tcW w:w="260" w:type="dxa"/>
            <w:vAlign w:val="bottom"/>
          </w:tcPr>
          <w:p>
            <w:pPr>
              <w:spacing w:after="0"/>
              <w:rPr>
                <w:sz w:val="11"/>
                <w:szCs w:val="11"/>
                <w:color w:val="auto"/>
              </w:rPr>
            </w:pPr>
          </w:p>
        </w:tc>
        <w:tc>
          <w:tcPr>
            <w:tcW w:w="1100" w:type="dxa"/>
            <w:vAlign w:val="bottom"/>
          </w:tcPr>
          <w:p>
            <w:pPr>
              <w:jc w:val="right"/>
              <w:ind w:right="74"/>
              <w:spacing w:after="0" w:line="135" w:lineRule="exact"/>
              <w:rPr>
                <w:sz w:val="20"/>
                <w:szCs w:val="20"/>
                <w:color w:val="auto"/>
              </w:rPr>
            </w:pPr>
            <w:r>
              <w:rPr>
                <w:rFonts w:ascii="Arial" w:cs="Arial" w:eastAsia="Arial" w:hAnsi="Arial"/>
                <w:sz w:val="13"/>
                <w:szCs w:val="13"/>
                <w:color w:val="auto"/>
              </w:rPr>
              <w:t>Shell</w:t>
            </w:r>
          </w:p>
        </w:tc>
        <w:tc>
          <w:tcPr>
            <w:tcW w:w="1340" w:type="dxa"/>
            <w:vAlign w:val="bottom"/>
            <w:gridSpan w:val="2"/>
          </w:tcPr>
          <w:p>
            <w:pPr>
              <w:jc w:val="right"/>
              <w:ind w:right="360"/>
              <w:spacing w:after="0" w:line="135" w:lineRule="exact"/>
              <w:rPr>
                <w:sz w:val="20"/>
                <w:szCs w:val="20"/>
                <w:color w:val="auto"/>
              </w:rPr>
            </w:pPr>
            <w:r>
              <w:rPr>
                <w:rFonts w:ascii="Arial" w:cs="Arial" w:eastAsia="Arial" w:hAnsi="Arial"/>
                <w:sz w:val="13"/>
                <w:szCs w:val="13"/>
                <w:color w:val="auto"/>
              </w:rPr>
              <w:t>joint ventures</w:t>
            </w:r>
          </w:p>
        </w:tc>
        <w:tc>
          <w:tcPr>
            <w:tcW w:w="1680" w:type="dxa"/>
            <w:vAlign w:val="bottom"/>
          </w:tcPr>
          <w:p>
            <w:pPr>
              <w:jc w:val="right"/>
              <w:ind w:right="309"/>
              <w:spacing w:after="0" w:line="135" w:lineRule="exact"/>
              <w:rPr>
                <w:sz w:val="20"/>
                <w:szCs w:val="20"/>
                <w:color w:val="auto"/>
              </w:rPr>
            </w:pPr>
            <w:r>
              <w:rPr>
                <w:rFonts w:ascii="Arial" w:cs="Arial" w:eastAsia="Arial" w:hAnsi="Arial"/>
                <w:sz w:val="13"/>
                <w:szCs w:val="13"/>
                <w:color w:val="auto"/>
              </w:rPr>
              <w:t>Shell</w:t>
            </w:r>
          </w:p>
        </w:tc>
        <w:tc>
          <w:tcPr>
            <w:tcW w:w="136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joint ventures</w:t>
            </w:r>
          </w:p>
        </w:tc>
        <w:tc>
          <w:tcPr>
            <w:tcW w:w="0" w:type="dxa"/>
            <w:vAlign w:val="bottom"/>
          </w:tcPr>
          <w:p>
            <w:pPr>
              <w:spacing w:after="0"/>
              <w:rPr>
                <w:sz w:val="1"/>
                <w:szCs w:val="1"/>
                <w:color w:val="auto"/>
              </w:rPr>
            </w:pPr>
          </w:p>
        </w:tc>
      </w:tr>
      <w:tr>
        <w:trPr>
          <w:trHeight w:val="141"/>
        </w:trPr>
        <w:tc>
          <w:tcPr>
            <w:tcW w:w="31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0" w:type="dxa"/>
            <w:vAlign w:val="bottom"/>
            <w:shd w:val="clear" w:color="auto" w:fill="D8D8D8"/>
          </w:tcPr>
          <w:p>
            <w:pPr>
              <w:jc w:val="right"/>
              <w:ind w:right="169"/>
              <w:spacing w:after="0" w:line="141" w:lineRule="exact"/>
              <w:rPr>
                <w:sz w:val="20"/>
                <w:szCs w:val="20"/>
                <w:color w:val="auto"/>
              </w:rPr>
            </w:pPr>
            <w:r>
              <w:rPr>
                <w:rFonts w:ascii="Arial" w:cs="Arial" w:eastAsia="Arial" w:hAnsi="Arial"/>
                <w:sz w:val="13"/>
                <w:szCs w:val="13"/>
                <w:color w:val="auto"/>
              </w:rPr>
              <w:t>subsidiaries</w:t>
            </w:r>
          </w:p>
        </w:tc>
        <w:tc>
          <w:tcPr>
            <w:tcW w:w="960" w:type="dxa"/>
            <w:vAlign w:val="bottom"/>
            <w:gridSpan w:val="2"/>
            <w:shd w:val="clear" w:color="auto" w:fill="D8D8D8"/>
          </w:tcPr>
          <w:p>
            <w:pPr>
              <w:jc w:val="right"/>
              <w:ind w:right="28"/>
              <w:spacing w:after="0" w:line="141" w:lineRule="exact"/>
              <w:rPr>
                <w:sz w:val="20"/>
                <w:szCs w:val="20"/>
                <w:color w:val="auto"/>
              </w:rPr>
            </w:pPr>
            <w:r>
              <w:rPr>
                <w:rFonts w:ascii="Arial" w:cs="Arial" w:eastAsia="Arial" w:hAnsi="Arial"/>
                <w:sz w:val="13"/>
                <w:szCs w:val="13"/>
                <w:color w:val="auto"/>
                <w:w w:val="96"/>
              </w:rPr>
              <w:t>and associates</w:t>
            </w:r>
          </w:p>
        </w:tc>
        <w:tc>
          <w:tcPr>
            <w:tcW w:w="260" w:type="dxa"/>
            <w:vAlign w:val="bottom"/>
          </w:tcPr>
          <w:p>
            <w:pPr>
              <w:spacing w:after="0"/>
              <w:rPr>
                <w:sz w:val="12"/>
                <w:szCs w:val="12"/>
                <w:color w:val="auto"/>
              </w:rPr>
            </w:pPr>
          </w:p>
        </w:tc>
        <w:tc>
          <w:tcPr>
            <w:tcW w:w="1100" w:type="dxa"/>
            <w:vAlign w:val="bottom"/>
          </w:tcPr>
          <w:p>
            <w:pPr>
              <w:jc w:val="right"/>
              <w:ind w:right="74"/>
              <w:spacing w:after="0" w:line="141" w:lineRule="exact"/>
              <w:rPr>
                <w:sz w:val="20"/>
                <w:szCs w:val="20"/>
                <w:color w:val="auto"/>
              </w:rPr>
            </w:pPr>
            <w:r>
              <w:rPr>
                <w:rFonts w:ascii="Arial" w:cs="Arial" w:eastAsia="Arial" w:hAnsi="Arial"/>
                <w:sz w:val="13"/>
                <w:szCs w:val="13"/>
                <w:color w:val="auto"/>
              </w:rPr>
              <w:t>subsidiaries</w:t>
            </w:r>
          </w:p>
        </w:tc>
        <w:tc>
          <w:tcPr>
            <w:tcW w:w="1340" w:type="dxa"/>
            <w:vAlign w:val="bottom"/>
            <w:gridSpan w:val="2"/>
          </w:tcPr>
          <w:p>
            <w:pPr>
              <w:jc w:val="right"/>
              <w:ind w:right="360"/>
              <w:spacing w:after="0" w:line="141" w:lineRule="exact"/>
              <w:rPr>
                <w:sz w:val="20"/>
                <w:szCs w:val="20"/>
                <w:color w:val="auto"/>
              </w:rPr>
            </w:pPr>
            <w:r>
              <w:rPr>
                <w:rFonts w:ascii="Arial" w:cs="Arial" w:eastAsia="Arial" w:hAnsi="Arial"/>
                <w:sz w:val="13"/>
                <w:szCs w:val="13"/>
                <w:color w:val="auto"/>
              </w:rPr>
              <w:t>and associates</w:t>
            </w:r>
          </w:p>
        </w:tc>
        <w:tc>
          <w:tcPr>
            <w:tcW w:w="1680" w:type="dxa"/>
            <w:vAlign w:val="bottom"/>
          </w:tcPr>
          <w:p>
            <w:pPr>
              <w:jc w:val="right"/>
              <w:ind w:right="309"/>
              <w:spacing w:after="0" w:line="141" w:lineRule="exact"/>
              <w:rPr>
                <w:sz w:val="20"/>
                <w:szCs w:val="20"/>
                <w:color w:val="auto"/>
              </w:rPr>
            </w:pPr>
            <w:r>
              <w:rPr>
                <w:rFonts w:ascii="Arial" w:cs="Arial" w:eastAsia="Arial" w:hAnsi="Arial"/>
                <w:sz w:val="13"/>
                <w:szCs w:val="13"/>
                <w:color w:val="auto"/>
              </w:rPr>
              <w:t>subsidiaries</w:t>
            </w:r>
          </w:p>
        </w:tc>
        <w:tc>
          <w:tcPr>
            <w:tcW w:w="1360" w:type="dxa"/>
            <w:vAlign w:val="bottom"/>
            <w:gridSpan w:val="2"/>
          </w:tcPr>
          <w:p>
            <w:pPr>
              <w:jc w:val="right"/>
              <w:ind w:right="120"/>
              <w:spacing w:after="0" w:line="141" w:lineRule="exact"/>
              <w:rPr>
                <w:sz w:val="20"/>
                <w:szCs w:val="20"/>
                <w:color w:val="auto"/>
              </w:rPr>
            </w:pPr>
            <w:r>
              <w:rPr>
                <w:rFonts w:ascii="Arial" w:cs="Arial" w:eastAsia="Arial" w:hAnsi="Arial"/>
                <w:sz w:val="13"/>
                <w:szCs w:val="13"/>
                <w:color w:val="auto"/>
              </w:rPr>
              <w:t>and associates</w:t>
            </w:r>
          </w:p>
        </w:tc>
        <w:tc>
          <w:tcPr>
            <w:tcW w:w="0" w:type="dxa"/>
            <w:vAlign w:val="bottom"/>
          </w:tcPr>
          <w:p>
            <w:pPr>
              <w:spacing w:after="0"/>
              <w:rPr>
                <w:sz w:val="1"/>
                <w:szCs w:val="1"/>
                <w:color w:val="auto"/>
              </w:rPr>
            </w:pPr>
          </w:p>
        </w:tc>
      </w:tr>
      <w:tr>
        <w:trPr>
          <w:trHeight w:val="156"/>
        </w:trPr>
        <w:tc>
          <w:tcPr>
            <w:tcW w:w="3160" w:type="dxa"/>
            <w:vAlign w:val="bottom"/>
            <w:tcBorders>
              <w:top w:val="single" w:sz="8" w:color="auto"/>
            </w:tcBorders>
          </w:tcPr>
          <w:p>
            <w:pPr>
              <w:spacing w:after="0" w:line="155" w:lineRule="exact"/>
              <w:rPr>
                <w:sz w:val="20"/>
                <w:szCs w:val="20"/>
                <w:color w:val="auto"/>
              </w:rPr>
            </w:pPr>
            <w:r>
              <w:rPr>
                <w:rFonts w:ascii="Arial" w:cs="Arial" w:eastAsia="Arial" w:hAnsi="Arial"/>
                <w:sz w:val="14"/>
                <w:szCs w:val="14"/>
                <w:color w:val="auto"/>
              </w:rPr>
              <w:t>Europe</w:t>
            </w:r>
          </w:p>
        </w:tc>
        <w:tc>
          <w:tcPr>
            <w:tcW w:w="380" w:type="dxa"/>
            <w:vAlign w:val="bottom"/>
            <w:tcBorders>
              <w:top w:val="single" w:sz="8" w:color="auto"/>
            </w:tcBorders>
          </w:tcPr>
          <w:p>
            <w:pPr>
              <w:spacing w:after="0"/>
              <w:rPr>
                <w:sz w:val="13"/>
                <w:szCs w:val="13"/>
                <w:color w:val="auto"/>
              </w:rPr>
            </w:pPr>
          </w:p>
        </w:tc>
        <w:tc>
          <w:tcPr>
            <w:tcW w:w="1200" w:type="dxa"/>
            <w:vAlign w:val="bottom"/>
            <w:tcBorders>
              <w:top w:val="single" w:sz="8" w:color="auto"/>
            </w:tcBorders>
            <w:shd w:val="clear" w:color="auto" w:fill="D8D8D8"/>
          </w:tcPr>
          <w:p>
            <w:pPr>
              <w:spacing w:after="0"/>
              <w:rPr>
                <w:sz w:val="13"/>
                <w:szCs w:val="13"/>
                <w:color w:val="auto"/>
              </w:rPr>
            </w:pPr>
          </w:p>
        </w:tc>
        <w:tc>
          <w:tcPr>
            <w:tcW w:w="760" w:type="dxa"/>
            <w:vAlign w:val="bottom"/>
            <w:tcBorders>
              <w:top w:val="single" w:sz="8" w:color="auto"/>
            </w:tcBorders>
            <w:shd w:val="clear" w:color="auto" w:fill="D8D8D8"/>
          </w:tcPr>
          <w:p>
            <w:pPr>
              <w:spacing w:after="0"/>
              <w:rPr>
                <w:sz w:val="13"/>
                <w:szCs w:val="13"/>
                <w:color w:val="auto"/>
              </w:rPr>
            </w:pPr>
          </w:p>
        </w:tc>
        <w:tc>
          <w:tcPr>
            <w:tcW w:w="200" w:type="dxa"/>
            <w:vAlign w:val="bottom"/>
            <w:tcBorders>
              <w:top w:val="single" w:sz="8" w:color="auto"/>
            </w:tcBorders>
            <w:shd w:val="clear" w:color="auto" w:fill="D8D8D8"/>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1100" w:type="dxa"/>
            <w:vAlign w:val="bottom"/>
            <w:tcBorders>
              <w:top w:val="single" w:sz="8" w:color="auto"/>
            </w:tcBorders>
          </w:tcPr>
          <w:p>
            <w:pPr>
              <w:spacing w:after="0"/>
              <w:rPr>
                <w:sz w:val="13"/>
                <w:szCs w:val="13"/>
                <w:color w:val="auto"/>
              </w:rPr>
            </w:pPr>
          </w:p>
        </w:tc>
        <w:tc>
          <w:tcPr>
            <w:tcW w:w="110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1680" w:type="dxa"/>
            <w:vAlign w:val="bottom"/>
            <w:tcBorders>
              <w:top w:val="single" w:sz="8" w:color="auto"/>
            </w:tcBorders>
          </w:tcPr>
          <w:p>
            <w:pPr>
              <w:spacing w:after="0"/>
              <w:rPr>
                <w:sz w:val="13"/>
                <w:szCs w:val="13"/>
                <w:color w:val="auto"/>
              </w:rPr>
            </w:pPr>
          </w:p>
        </w:tc>
        <w:tc>
          <w:tcPr>
            <w:tcW w:w="1340" w:type="dxa"/>
            <w:vAlign w:val="bottom"/>
            <w:tcBorders>
              <w:top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160" w:type="dxa"/>
            <w:vAlign w:val="bottom"/>
          </w:tcPr>
          <w:p>
            <w:pPr>
              <w:ind w:left="140"/>
              <w:spacing w:after="0"/>
              <w:rPr>
                <w:sz w:val="20"/>
                <w:szCs w:val="20"/>
                <w:color w:val="auto"/>
              </w:rPr>
            </w:pPr>
            <w:r>
              <w:rPr>
                <w:rFonts w:ascii="Arial" w:cs="Arial" w:eastAsia="Arial" w:hAnsi="Arial"/>
                <w:sz w:val="14"/>
                <w:szCs w:val="14"/>
                <w:color w:val="auto"/>
              </w:rPr>
              <w:t>Denmark</w:t>
            </w:r>
          </w:p>
        </w:tc>
        <w:tc>
          <w:tcPr>
            <w:tcW w:w="380" w:type="dxa"/>
            <w:vAlign w:val="bottom"/>
          </w:tcPr>
          <w:p>
            <w:pPr>
              <w:spacing w:after="0"/>
              <w:rPr>
                <w:sz w:val="14"/>
                <w:szCs w:val="14"/>
                <w:color w:val="auto"/>
              </w:rPr>
            </w:pPr>
          </w:p>
        </w:tc>
        <w:tc>
          <w:tcPr>
            <w:tcW w:w="1200" w:type="dxa"/>
            <w:vAlign w:val="bottom"/>
            <w:shd w:val="clear" w:color="auto" w:fill="D8D8D8"/>
          </w:tcPr>
          <w:p>
            <w:pPr>
              <w:jc w:val="right"/>
              <w:ind w:right="169"/>
              <w:spacing w:after="0"/>
              <w:rPr>
                <w:sz w:val="20"/>
                <w:szCs w:val="20"/>
                <w:color w:val="auto"/>
              </w:rPr>
            </w:pPr>
            <w:r>
              <w:rPr>
                <w:rFonts w:ascii="Arial" w:cs="Arial" w:eastAsia="Arial" w:hAnsi="Arial"/>
                <w:sz w:val="14"/>
                <w:szCs w:val="14"/>
                <w:color w:val="auto"/>
              </w:rPr>
              <w:t>49,708</w:t>
            </w:r>
          </w:p>
        </w:tc>
        <w:tc>
          <w:tcPr>
            <w:tcW w:w="760" w:type="dxa"/>
            <w:vAlign w:val="bottom"/>
            <w:shd w:val="clear" w:color="auto" w:fill="D8D8D8"/>
          </w:tcPr>
          <w:p>
            <w:pPr>
              <w:spacing w:after="0"/>
              <w:rPr>
                <w:sz w:val="14"/>
                <w:szCs w:val="14"/>
                <w:color w:val="auto"/>
              </w:rPr>
            </w:pPr>
          </w:p>
        </w:tc>
        <w:tc>
          <w:tcPr>
            <w:tcW w:w="200" w:type="dxa"/>
            <w:vAlign w:val="bottom"/>
            <w:shd w:val="clear" w:color="auto" w:fill="D8D8D8"/>
          </w:tcPr>
          <w:p>
            <w:pPr>
              <w:jc w:val="right"/>
              <w:ind w:right="28"/>
              <w:spacing w:after="0"/>
              <w:rPr>
                <w:sz w:val="20"/>
                <w:szCs w:val="20"/>
                <w:color w:val="auto"/>
              </w:rPr>
            </w:pPr>
            <w:r>
              <w:rPr>
                <w:rFonts w:ascii="Arial" w:cs="Arial" w:eastAsia="Arial" w:hAnsi="Arial"/>
                <w:sz w:val="14"/>
                <w:szCs w:val="14"/>
                <w:color w:val="auto"/>
              </w:rPr>
              <w:t>–</w:t>
            </w:r>
          </w:p>
        </w:tc>
        <w:tc>
          <w:tcPr>
            <w:tcW w:w="1360" w:type="dxa"/>
            <w:vAlign w:val="bottom"/>
            <w:gridSpan w:val="2"/>
          </w:tcPr>
          <w:p>
            <w:pPr>
              <w:jc w:val="right"/>
              <w:ind w:right="74"/>
              <w:spacing w:after="0"/>
              <w:rPr>
                <w:sz w:val="20"/>
                <w:szCs w:val="20"/>
                <w:color w:val="auto"/>
              </w:rPr>
            </w:pPr>
            <w:r>
              <w:rPr>
                <w:rFonts w:ascii="Arial" w:cs="Arial" w:eastAsia="Arial" w:hAnsi="Arial"/>
                <w:sz w:val="14"/>
                <w:szCs w:val="14"/>
                <w:color w:val="auto"/>
              </w:rPr>
              <w:t>53,283</w:t>
            </w:r>
          </w:p>
        </w:tc>
        <w:tc>
          <w:tcPr>
            <w:tcW w:w="1340" w:type="dxa"/>
            <w:vAlign w:val="bottom"/>
            <w:gridSpan w:val="2"/>
          </w:tcPr>
          <w:p>
            <w:pPr>
              <w:jc w:val="right"/>
              <w:ind w:right="360"/>
              <w:spacing w:after="0"/>
              <w:rPr>
                <w:sz w:val="20"/>
                <w:szCs w:val="20"/>
                <w:color w:val="auto"/>
              </w:rPr>
            </w:pPr>
            <w:r>
              <w:rPr>
                <w:rFonts w:ascii="Arial" w:cs="Arial" w:eastAsia="Arial" w:hAnsi="Arial"/>
                <w:sz w:val="14"/>
                <w:szCs w:val="14"/>
                <w:color w:val="auto"/>
              </w:rPr>
              <w:t>–</w:t>
            </w:r>
          </w:p>
        </w:tc>
        <w:tc>
          <w:tcPr>
            <w:tcW w:w="1680" w:type="dxa"/>
            <w:vAlign w:val="bottom"/>
          </w:tcPr>
          <w:p>
            <w:pPr>
              <w:jc w:val="right"/>
              <w:ind w:right="309"/>
              <w:spacing w:after="0"/>
              <w:rPr>
                <w:sz w:val="20"/>
                <w:szCs w:val="20"/>
                <w:color w:val="auto"/>
              </w:rPr>
            </w:pPr>
            <w:r>
              <w:rPr>
                <w:rFonts w:ascii="Arial" w:cs="Arial" w:eastAsia="Arial" w:hAnsi="Arial"/>
                <w:sz w:val="14"/>
                <w:szCs w:val="14"/>
                <w:color w:val="auto"/>
              </w:rPr>
              <w:t>73,809</w:t>
            </w:r>
          </w:p>
        </w:tc>
        <w:tc>
          <w:tcPr>
            <w:tcW w:w="13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3160" w:type="dxa"/>
            <w:vAlign w:val="bottom"/>
          </w:tcPr>
          <w:p>
            <w:pPr>
              <w:ind w:left="140"/>
              <w:spacing w:after="0"/>
              <w:rPr>
                <w:sz w:val="20"/>
                <w:szCs w:val="20"/>
                <w:color w:val="auto"/>
              </w:rPr>
            </w:pPr>
            <w:r>
              <w:rPr>
                <w:rFonts w:ascii="Arial" w:cs="Arial" w:eastAsia="Arial" w:hAnsi="Arial"/>
                <w:sz w:val="14"/>
                <w:szCs w:val="14"/>
                <w:color w:val="auto"/>
              </w:rPr>
              <w:t>Germany</w:t>
            </w:r>
          </w:p>
        </w:tc>
        <w:tc>
          <w:tcPr>
            <w:tcW w:w="380" w:type="dxa"/>
            <w:vAlign w:val="bottom"/>
          </w:tcPr>
          <w:p>
            <w:pPr>
              <w:spacing w:after="0"/>
              <w:rPr>
                <w:sz w:val="14"/>
                <w:szCs w:val="14"/>
                <w:color w:val="auto"/>
              </w:rPr>
            </w:pPr>
          </w:p>
        </w:tc>
        <w:tc>
          <w:tcPr>
            <w:tcW w:w="1200" w:type="dxa"/>
            <w:vAlign w:val="bottom"/>
            <w:shd w:val="clear" w:color="auto" w:fill="D8D8D8"/>
          </w:tcPr>
          <w:p>
            <w:pPr>
              <w:jc w:val="right"/>
              <w:ind w:right="169"/>
              <w:spacing w:after="0"/>
              <w:rPr>
                <w:sz w:val="20"/>
                <w:szCs w:val="20"/>
                <w:color w:val="auto"/>
              </w:rPr>
            </w:pPr>
            <w:r>
              <w:rPr>
                <w:rFonts w:ascii="Arial" w:cs="Arial" w:eastAsia="Arial" w:hAnsi="Arial"/>
                <w:sz w:val="14"/>
                <w:szCs w:val="14"/>
                <w:color w:val="auto"/>
              </w:rPr>
              <w:t>66,718</w:t>
            </w:r>
          </w:p>
        </w:tc>
        <w:tc>
          <w:tcPr>
            <w:tcW w:w="760" w:type="dxa"/>
            <w:vAlign w:val="bottom"/>
            <w:shd w:val="clear" w:color="auto" w:fill="D8D8D8"/>
          </w:tcPr>
          <w:p>
            <w:pPr>
              <w:spacing w:after="0"/>
              <w:rPr>
                <w:sz w:val="14"/>
                <w:szCs w:val="14"/>
                <w:color w:val="auto"/>
              </w:rPr>
            </w:pPr>
          </w:p>
        </w:tc>
        <w:tc>
          <w:tcPr>
            <w:tcW w:w="200" w:type="dxa"/>
            <w:vAlign w:val="bottom"/>
            <w:shd w:val="clear" w:color="auto" w:fill="D8D8D8"/>
          </w:tcPr>
          <w:p>
            <w:pPr>
              <w:jc w:val="right"/>
              <w:ind w:right="28"/>
              <w:spacing w:after="0"/>
              <w:rPr>
                <w:sz w:val="20"/>
                <w:szCs w:val="20"/>
                <w:color w:val="auto"/>
              </w:rPr>
            </w:pPr>
            <w:r>
              <w:rPr>
                <w:rFonts w:ascii="Arial" w:cs="Arial" w:eastAsia="Arial" w:hAnsi="Arial"/>
                <w:sz w:val="14"/>
                <w:szCs w:val="14"/>
                <w:color w:val="auto"/>
              </w:rPr>
              <w:t>–</w:t>
            </w:r>
          </w:p>
        </w:tc>
        <w:tc>
          <w:tcPr>
            <w:tcW w:w="1360" w:type="dxa"/>
            <w:vAlign w:val="bottom"/>
            <w:gridSpan w:val="2"/>
          </w:tcPr>
          <w:p>
            <w:pPr>
              <w:jc w:val="right"/>
              <w:ind w:right="74"/>
              <w:spacing w:after="0"/>
              <w:rPr>
                <w:sz w:val="20"/>
                <w:szCs w:val="20"/>
                <w:color w:val="auto"/>
              </w:rPr>
            </w:pPr>
            <w:r>
              <w:rPr>
                <w:rFonts w:ascii="Arial" w:cs="Arial" w:eastAsia="Arial" w:hAnsi="Arial"/>
                <w:sz w:val="14"/>
                <w:szCs w:val="14"/>
                <w:color w:val="auto"/>
              </w:rPr>
              <w:t>73,123</w:t>
            </w:r>
          </w:p>
        </w:tc>
        <w:tc>
          <w:tcPr>
            <w:tcW w:w="1340" w:type="dxa"/>
            <w:vAlign w:val="bottom"/>
            <w:gridSpan w:val="2"/>
          </w:tcPr>
          <w:p>
            <w:pPr>
              <w:jc w:val="right"/>
              <w:ind w:right="360"/>
              <w:spacing w:after="0"/>
              <w:rPr>
                <w:sz w:val="20"/>
                <w:szCs w:val="20"/>
                <w:color w:val="auto"/>
              </w:rPr>
            </w:pPr>
            <w:r>
              <w:rPr>
                <w:rFonts w:ascii="Arial" w:cs="Arial" w:eastAsia="Arial" w:hAnsi="Arial"/>
                <w:sz w:val="14"/>
                <w:szCs w:val="14"/>
                <w:color w:val="auto"/>
              </w:rPr>
              <w:t>–</w:t>
            </w:r>
          </w:p>
        </w:tc>
        <w:tc>
          <w:tcPr>
            <w:tcW w:w="1680" w:type="dxa"/>
            <w:vAlign w:val="bottom"/>
          </w:tcPr>
          <w:p>
            <w:pPr>
              <w:jc w:val="right"/>
              <w:ind w:right="309"/>
              <w:spacing w:after="0"/>
              <w:rPr>
                <w:sz w:val="20"/>
                <w:szCs w:val="20"/>
                <w:color w:val="auto"/>
              </w:rPr>
            </w:pPr>
            <w:r>
              <w:rPr>
                <w:rFonts w:ascii="Arial" w:cs="Arial" w:eastAsia="Arial" w:hAnsi="Arial"/>
                <w:sz w:val="14"/>
                <w:szCs w:val="14"/>
                <w:color w:val="auto"/>
              </w:rPr>
              <w:t>79,558</w:t>
            </w:r>
          </w:p>
        </w:tc>
        <w:tc>
          <w:tcPr>
            <w:tcW w:w="13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3160" w:type="dxa"/>
            <w:vAlign w:val="bottom"/>
          </w:tcPr>
          <w:p>
            <w:pPr>
              <w:ind w:left="140"/>
              <w:spacing w:after="0"/>
              <w:rPr>
                <w:sz w:val="20"/>
                <w:szCs w:val="20"/>
                <w:color w:val="auto"/>
              </w:rPr>
            </w:pPr>
            <w:r>
              <w:rPr>
                <w:rFonts w:ascii="Arial" w:cs="Arial" w:eastAsia="Arial" w:hAnsi="Arial"/>
                <w:sz w:val="14"/>
                <w:szCs w:val="14"/>
                <w:color w:val="auto"/>
              </w:rPr>
              <w:t>Netherlands</w:t>
            </w:r>
          </w:p>
        </w:tc>
        <w:tc>
          <w:tcPr>
            <w:tcW w:w="380" w:type="dxa"/>
            <w:vAlign w:val="bottom"/>
          </w:tcPr>
          <w:p>
            <w:pPr>
              <w:spacing w:after="0"/>
              <w:rPr>
                <w:sz w:val="14"/>
                <w:szCs w:val="14"/>
                <w:color w:val="auto"/>
              </w:rPr>
            </w:pPr>
          </w:p>
        </w:tc>
        <w:tc>
          <w:tcPr>
            <w:tcW w:w="1200" w:type="dxa"/>
            <w:vAlign w:val="bottom"/>
            <w:shd w:val="clear" w:color="auto" w:fill="D8D8D8"/>
          </w:tcPr>
          <w:p>
            <w:pPr>
              <w:jc w:val="right"/>
              <w:ind w:right="169"/>
              <w:spacing w:after="0"/>
              <w:rPr>
                <w:sz w:val="20"/>
                <w:szCs w:val="20"/>
                <w:color w:val="auto"/>
              </w:rPr>
            </w:pPr>
            <w:r>
              <w:rPr>
                <w:rFonts w:ascii="Arial" w:cs="Arial" w:eastAsia="Arial" w:hAnsi="Arial"/>
                <w:sz w:val="14"/>
                <w:szCs w:val="14"/>
                <w:color w:val="auto"/>
              </w:rPr>
              <w:t>–</w:t>
            </w:r>
          </w:p>
        </w:tc>
        <w:tc>
          <w:tcPr>
            <w:tcW w:w="960" w:type="dxa"/>
            <w:vAlign w:val="bottom"/>
            <w:gridSpan w:val="2"/>
            <w:shd w:val="clear" w:color="auto" w:fill="D8D8D8"/>
          </w:tcPr>
          <w:p>
            <w:pPr>
              <w:jc w:val="right"/>
              <w:ind w:right="28"/>
              <w:spacing w:after="0"/>
              <w:rPr>
                <w:sz w:val="20"/>
                <w:szCs w:val="20"/>
                <w:color w:val="auto"/>
              </w:rPr>
            </w:pPr>
            <w:r>
              <w:rPr>
                <w:rFonts w:ascii="Arial" w:cs="Arial" w:eastAsia="Arial" w:hAnsi="Arial"/>
                <w:sz w:val="14"/>
                <w:szCs w:val="14"/>
                <w:color w:val="auto"/>
              </w:rPr>
              <w:t>581,028</w:t>
            </w:r>
          </w:p>
        </w:tc>
        <w:tc>
          <w:tcPr>
            <w:tcW w:w="260" w:type="dxa"/>
            <w:vAlign w:val="bottom"/>
          </w:tcPr>
          <w:p>
            <w:pPr>
              <w:spacing w:after="0"/>
              <w:rPr>
                <w:sz w:val="14"/>
                <w:szCs w:val="14"/>
                <w:color w:val="auto"/>
              </w:rPr>
            </w:pPr>
          </w:p>
        </w:tc>
        <w:tc>
          <w:tcPr>
            <w:tcW w:w="1100" w:type="dxa"/>
            <w:vAlign w:val="bottom"/>
          </w:tcPr>
          <w:p>
            <w:pPr>
              <w:jc w:val="right"/>
              <w:ind w:right="74"/>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49"/>
              <w:spacing w:after="0"/>
              <w:rPr>
                <w:sz w:val="20"/>
                <w:szCs w:val="20"/>
                <w:color w:val="auto"/>
              </w:rPr>
            </w:pPr>
            <w:r>
              <w:rPr>
                <w:rFonts w:ascii="Arial" w:cs="Arial" w:eastAsia="Arial" w:hAnsi="Arial"/>
                <w:sz w:val="14"/>
                <w:szCs w:val="14"/>
                <w:color w:val="auto"/>
              </w:rPr>
              <w:t>721,344</w:t>
            </w:r>
          </w:p>
        </w:tc>
        <w:tc>
          <w:tcPr>
            <w:tcW w:w="240" w:type="dxa"/>
            <w:vAlign w:val="bottom"/>
          </w:tcPr>
          <w:p>
            <w:pPr>
              <w:spacing w:after="0"/>
              <w:rPr>
                <w:sz w:val="14"/>
                <w:szCs w:val="14"/>
                <w:color w:val="auto"/>
              </w:rPr>
            </w:pPr>
          </w:p>
        </w:tc>
        <w:tc>
          <w:tcPr>
            <w:tcW w:w="1680" w:type="dxa"/>
            <w:vAlign w:val="bottom"/>
          </w:tcPr>
          <w:p>
            <w:pPr>
              <w:jc w:val="right"/>
              <w:ind w:right="309"/>
              <w:spacing w:after="0"/>
              <w:rPr>
                <w:sz w:val="20"/>
                <w:szCs w:val="20"/>
                <w:color w:val="auto"/>
              </w:rPr>
            </w:pPr>
            <w:r>
              <w:rPr>
                <w:rFonts w:ascii="Arial" w:cs="Arial" w:eastAsia="Arial" w:hAnsi="Arial"/>
                <w:sz w:val="14"/>
                <w:szCs w:val="14"/>
                <w:color w:val="auto"/>
              </w:rPr>
              <w:t>–</w:t>
            </w:r>
          </w:p>
        </w:tc>
        <w:tc>
          <w:tcPr>
            <w:tcW w:w="1340" w:type="dxa"/>
            <w:vAlign w:val="bottom"/>
          </w:tcPr>
          <w:p>
            <w:pPr>
              <w:jc w:val="right"/>
              <w:ind w:right="29"/>
              <w:spacing w:after="0"/>
              <w:rPr>
                <w:sz w:val="20"/>
                <w:szCs w:val="20"/>
                <w:color w:val="auto"/>
              </w:rPr>
            </w:pPr>
            <w:r>
              <w:rPr>
                <w:rFonts w:ascii="Arial" w:cs="Arial" w:eastAsia="Arial" w:hAnsi="Arial"/>
                <w:sz w:val="14"/>
                <w:szCs w:val="14"/>
                <w:color w:val="auto"/>
              </w:rPr>
              <w:t>661,548</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160" w:type="dxa"/>
            <w:vAlign w:val="bottom"/>
          </w:tcPr>
          <w:p>
            <w:pPr>
              <w:ind w:left="140"/>
              <w:spacing w:after="0"/>
              <w:rPr>
                <w:sz w:val="20"/>
                <w:szCs w:val="20"/>
                <w:color w:val="auto"/>
              </w:rPr>
            </w:pPr>
            <w:r>
              <w:rPr>
                <w:rFonts w:ascii="Arial" w:cs="Arial" w:eastAsia="Arial" w:hAnsi="Arial"/>
                <w:sz w:val="14"/>
                <w:szCs w:val="14"/>
                <w:color w:val="auto"/>
              </w:rPr>
              <w:t>Norway</w:t>
            </w:r>
          </w:p>
        </w:tc>
        <w:tc>
          <w:tcPr>
            <w:tcW w:w="380" w:type="dxa"/>
            <w:vAlign w:val="bottom"/>
          </w:tcPr>
          <w:p>
            <w:pPr>
              <w:spacing w:after="0"/>
              <w:rPr>
                <w:sz w:val="14"/>
                <w:szCs w:val="14"/>
                <w:color w:val="auto"/>
              </w:rPr>
            </w:pPr>
          </w:p>
        </w:tc>
        <w:tc>
          <w:tcPr>
            <w:tcW w:w="1200" w:type="dxa"/>
            <w:vAlign w:val="bottom"/>
            <w:shd w:val="clear" w:color="auto" w:fill="D8D8D8"/>
          </w:tcPr>
          <w:p>
            <w:pPr>
              <w:jc w:val="right"/>
              <w:ind w:right="169"/>
              <w:spacing w:after="0"/>
              <w:rPr>
                <w:sz w:val="20"/>
                <w:szCs w:val="20"/>
                <w:color w:val="auto"/>
              </w:rPr>
            </w:pPr>
            <w:r>
              <w:rPr>
                <w:rFonts w:ascii="Arial" w:cs="Arial" w:eastAsia="Arial" w:hAnsi="Arial"/>
                <w:sz w:val="14"/>
                <w:szCs w:val="14"/>
                <w:color w:val="auto"/>
              </w:rPr>
              <w:t>252,284</w:t>
            </w:r>
          </w:p>
        </w:tc>
        <w:tc>
          <w:tcPr>
            <w:tcW w:w="760" w:type="dxa"/>
            <w:vAlign w:val="bottom"/>
            <w:shd w:val="clear" w:color="auto" w:fill="D8D8D8"/>
          </w:tcPr>
          <w:p>
            <w:pPr>
              <w:spacing w:after="0"/>
              <w:rPr>
                <w:sz w:val="14"/>
                <w:szCs w:val="14"/>
                <w:color w:val="auto"/>
              </w:rPr>
            </w:pPr>
          </w:p>
        </w:tc>
        <w:tc>
          <w:tcPr>
            <w:tcW w:w="200" w:type="dxa"/>
            <w:vAlign w:val="bottom"/>
            <w:shd w:val="clear" w:color="auto" w:fill="D8D8D8"/>
          </w:tcPr>
          <w:p>
            <w:pPr>
              <w:jc w:val="right"/>
              <w:ind w:right="28"/>
              <w:spacing w:after="0"/>
              <w:rPr>
                <w:sz w:val="20"/>
                <w:szCs w:val="20"/>
                <w:color w:val="auto"/>
              </w:rPr>
            </w:pPr>
            <w:r>
              <w:rPr>
                <w:rFonts w:ascii="Arial" w:cs="Arial" w:eastAsia="Arial" w:hAnsi="Arial"/>
                <w:sz w:val="14"/>
                <w:szCs w:val="14"/>
                <w:color w:val="auto"/>
              </w:rPr>
              <w:t>–</w:t>
            </w:r>
          </w:p>
        </w:tc>
        <w:tc>
          <w:tcPr>
            <w:tcW w:w="1360" w:type="dxa"/>
            <w:vAlign w:val="bottom"/>
            <w:gridSpan w:val="2"/>
          </w:tcPr>
          <w:p>
            <w:pPr>
              <w:jc w:val="right"/>
              <w:ind w:right="74"/>
              <w:spacing w:after="0"/>
              <w:rPr>
                <w:sz w:val="20"/>
                <w:szCs w:val="20"/>
                <w:color w:val="auto"/>
              </w:rPr>
            </w:pPr>
            <w:r>
              <w:rPr>
                <w:rFonts w:ascii="Arial" w:cs="Arial" w:eastAsia="Arial" w:hAnsi="Arial"/>
                <w:sz w:val="14"/>
                <w:szCs w:val="14"/>
                <w:color w:val="auto"/>
              </w:rPr>
              <w:t>256,396</w:t>
            </w:r>
          </w:p>
        </w:tc>
        <w:tc>
          <w:tcPr>
            <w:tcW w:w="1340" w:type="dxa"/>
            <w:vAlign w:val="bottom"/>
            <w:gridSpan w:val="2"/>
          </w:tcPr>
          <w:p>
            <w:pPr>
              <w:jc w:val="right"/>
              <w:ind w:right="360"/>
              <w:spacing w:after="0"/>
              <w:rPr>
                <w:sz w:val="20"/>
                <w:szCs w:val="20"/>
                <w:color w:val="auto"/>
              </w:rPr>
            </w:pPr>
            <w:r>
              <w:rPr>
                <w:rFonts w:ascii="Arial" w:cs="Arial" w:eastAsia="Arial" w:hAnsi="Arial"/>
                <w:sz w:val="14"/>
                <w:szCs w:val="14"/>
                <w:color w:val="auto"/>
              </w:rPr>
              <w:t>–</w:t>
            </w:r>
          </w:p>
        </w:tc>
        <w:tc>
          <w:tcPr>
            <w:tcW w:w="1680" w:type="dxa"/>
            <w:vAlign w:val="bottom"/>
          </w:tcPr>
          <w:p>
            <w:pPr>
              <w:jc w:val="right"/>
              <w:ind w:right="309"/>
              <w:spacing w:after="0"/>
              <w:rPr>
                <w:sz w:val="20"/>
                <w:szCs w:val="20"/>
                <w:color w:val="auto"/>
              </w:rPr>
            </w:pPr>
            <w:r>
              <w:rPr>
                <w:rFonts w:ascii="Arial" w:cs="Arial" w:eastAsia="Arial" w:hAnsi="Arial"/>
                <w:sz w:val="14"/>
                <w:szCs w:val="14"/>
                <w:color w:val="auto"/>
              </w:rPr>
              <w:t>260,742</w:t>
            </w:r>
          </w:p>
        </w:tc>
        <w:tc>
          <w:tcPr>
            <w:tcW w:w="13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7"/>
        </w:trPr>
        <w:tc>
          <w:tcPr>
            <w:tcW w:w="3160" w:type="dxa"/>
            <w:vAlign w:val="bottom"/>
          </w:tcPr>
          <w:p>
            <w:pPr>
              <w:ind w:left="140"/>
              <w:spacing w:after="0"/>
              <w:rPr>
                <w:sz w:val="20"/>
                <w:szCs w:val="20"/>
                <w:color w:val="auto"/>
              </w:rPr>
            </w:pPr>
            <w:r>
              <w:rPr>
                <w:rFonts w:ascii="Arial" w:cs="Arial" w:eastAsia="Arial" w:hAnsi="Arial"/>
                <w:sz w:val="14"/>
                <w:szCs w:val="14"/>
                <w:color w:val="auto"/>
              </w:rPr>
              <w:t>UK</w:t>
            </w:r>
          </w:p>
        </w:tc>
        <w:tc>
          <w:tcPr>
            <w:tcW w:w="380" w:type="dxa"/>
            <w:vAlign w:val="bottom"/>
          </w:tcPr>
          <w:p>
            <w:pPr>
              <w:spacing w:after="0"/>
              <w:rPr>
                <w:sz w:val="14"/>
                <w:szCs w:val="14"/>
                <w:color w:val="auto"/>
              </w:rPr>
            </w:pPr>
          </w:p>
        </w:tc>
        <w:tc>
          <w:tcPr>
            <w:tcW w:w="1200" w:type="dxa"/>
            <w:vAlign w:val="bottom"/>
            <w:shd w:val="clear" w:color="auto" w:fill="D8D8D8"/>
          </w:tcPr>
          <w:p>
            <w:pPr>
              <w:jc w:val="right"/>
              <w:ind w:right="169"/>
              <w:spacing w:after="0"/>
              <w:rPr>
                <w:sz w:val="20"/>
                <w:szCs w:val="20"/>
                <w:color w:val="auto"/>
              </w:rPr>
            </w:pPr>
            <w:r>
              <w:rPr>
                <w:rFonts w:ascii="Arial" w:cs="Arial" w:eastAsia="Arial" w:hAnsi="Arial"/>
                <w:sz w:val="14"/>
                <w:szCs w:val="14"/>
                <w:color w:val="auto"/>
              </w:rPr>
              <w:t>104,346</w:t>
            </w:r>
          </w:p>
        </w:tc>
        <w:tc>
          <w:tcPr>
            <w:tcW w:w="760" w:type="dxa"/>
            <w:vAlign w:val="bottom"/>
            <w:shd w:val="clear" w:color="auto" w:fill="D8D8D8"/>
          </w:tcPr>
          <w:p>
            <w:pPr>
              <w:spacing w:after="0"/>
              <w:rPr>
                <w:sz w:val="14"/>
                <w:szCs w:val="14"/>
                <w:color w:val="auto"/>
              </w:rPr>
            </w:pPr>
          </w:p>
        </w:tc>
        <w:tc>
          <w:tcPr>
            <w:tcW w:w="200" w:type="dxa"/>
            <w:vAlign w:val="bottom"/>
            <w:shd w:val="clear" w:color="auto" w:fill="D8D8D8"/>
          </w:tcPr>
          <w:p>
            <w:pPr>
              <w:jc w:val="right"/>
              <w:ind w:right="28"/>
              <w:spacing w:after="0"/>
              <w:rPr>
                <w:sz w:val="20"/>
                <w:szCs w:val="20"/>
                <w:color w:val="auto"/>
              </w:rPr>
            </w:pPr>
            <w:r>
              <w:rPr>
                <w:rFonts w:ascii="Arial" w:cs="Arial" w:eastAsia="Arial" w:hAnsi="Arial"/>
                <w:sz w:val="14"/>
                <w:szCs w:val="14"/>
                <w:color w:val="auto"/>
              </w:rPr>
              <w:t>–</w:t>
            </w:r>
          </w:p>
        </w:tc>
        <w:tc>
          <w:tcPr>
            <w:tcW w:w="1360" w:type="dxa"/>
            <w:vAlign w:val="bottom"/>
            <w:gridSpan w:val="2"/>
          </w:tcPr>
          <w:p>
            <w:pPr>
              <w:jc w:val="right"/>
              <w:ind w:right="74"/>
              <w:spacing w:after="0"/>
              <w:rPr>
                <w:sz w:val="20"/>
                <w:szCs w:val="20"/>
                <w:color w:val="auto"/>
              </w:rPr>
            </w:pPr>
            <w:r>
              <w:rPr>
                <w:rFonts w:ascii="Arial" w:cs="Arial" w:eastAsia="Arial" w:hAnsi="Arial"/>
                <w:sz w:val="14"/>
                <w:szCs w:val="14"/>
                <w:color w:val="auto"/>
              </w:rPr>
              <w:t>109,470</w:t>
            </w:r>
          </w:p>
        </w:tc>
        <w:tc>
          <w:tcPr>
            <w:tcW w:w="1340" w:type="dxa"/>
            <w:vAlign w:val="bottom"/>
            <w:gridSpan w:val="2"/>
          </w:tcPr>
          <w:p>
            <w:pPr>
              <w:jc w:val="right"/>
              <w:ind w:right="360"/>
              <w:spacing w:after="0"/>
              <w:rPr>
                <w:sz w:val="20"/>
                <w:szCs w:val="20"/>
                <w:color w:val="auto"/>
              </w:rPr>
            </w:pPr>
            <w:r>
              <w:rPr>
                <w:rFonts w:ascii="Arial" w:cs="Arial" w:eastAsia="Arial" w:hAnsi="Arial"/>
                <w:sz w:val="14"/>
                <w:szCs w:val="14"/>
                <w:color w:val="auto"/>
              </w:rPr>
              <w:t>–</w:t>
            </w:r>
          </w:p>
        </w:tc>
        <w:tc>
          <w:tcPr>
            <w:tcW w:w="1680" w:type="dxa"/>
            <w:vAlign w:val="bottom"/>
          </w:tcPr>
          <w:p>
            <w:pPr>
              <w:jc w:val="right"/>
              <w:ind w:right="309"/>
              <w:spacing w:after="0"/>
              <w:rPr>
                <w:sz w:val="20"/>
                <w:szCs w:val="20"/>
                <w:color w:val="auto"/>
              </w:rPr>
            </w:pPr>
            <w:r>
              <w:rPr>
                <w:rFonts w:ascii="Arial" w:cs="Arial" w:eastAsia="Arial" w:hAnsi="Arial"/>
                <w:sz w:val="14"/>
                <w:szCs w:val="14"/>
                <w:color w:val="auto"/>
              </w:rPr>
              <w:t>120,212</w:t>
            </w:r>
          </w:p>
        </w:tc>
        <w:tc>
          <w:tcPr>
            <w:tcW w:w="13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7"/>
        </w:trPr>
        <w:tc>
          <w:tcPr>
            <w:tcW w:w="3160" w:type="dxa"/>
            <w:vAlign w:val="bottom"/>
          </w:tcPr>
          <w:p>
            <w:pPr>
              <w:ind w:left="140"/>
              <w:spacing w:after="0" w:line="157" w:lineRule="exact"/>
              <w:rPr>
                <w:sz w:val="20"/>
                <w:szCs w:val="20"/>
                <w:color w:val="auto"/>
              </w:rPr>
            </w:pPr>
            <w:r>
              <w:rPr>
                <w:rFonts w:ascii="Arial" w:cs="Arial" w:eastAsia="Arial" w:hAnsi="Arial"/>
                <w:sz w:val="14"/>
                <w:szCs w:val="14"/>
                <w:color w:val="auto"/>
              </w:rPr>
              <w:t>Other [B]</w:t>
            </w:r>
          </w:p>
        </w:tc>
        <w:tc>
          <w:tcPr>
            <w:tcW w:w="380" w:type="dxa"/>
            <w:vAlign w:val="bottom"/>
          </w:tcPr>
          <w:p>
            <w:pPr>
              <w:spacing w:after="0"/>
              <w:rPr>
                <w:sz w:val="13"/>
                <w:szCs w:val="13"/>
                <w:color w:val="auto"/>
              </w:rPr>
            </w:pPr>
          </w:p>
        </w:tc>
        <w:tc>
          <w:tcPr>
            <w:tcW w:w="1200" w:type="dxa"/>
            <w:vAlign w:val="bottom"/>
            <w:shd w:val="clear" w:color="auto" w:fill="D8D8D8"/>
          </w:tcPr>
          <w:p>
            <w:pPr>
              <w:jc w:val="right"/>
              <w:ind w:right="169"/>
              <w:spacing w:after="0" w:line="157" w:lineRule="exact"/>
              <w:rPr>
                <w:sz w:val="20"/>
                <w:szCs w:val="20"/>
                <w:color w:val="auto"/>
              </w:rPr>
            </w:pPr>
            <w:r>
              <w:rPr>
                <w:rFonts w:ascii="Arial" w:cs="Arial" w:eastAsia="Arial" w:hAnsi="Arial"/>
                <w:sz w:val="14"/>
                <w:szCs w:val="14"/>
                <w:color w:val="auto"/>
              </w:rPr>
              <w:t>15,840</w:t>
            </w:r>
          </w:p>
        </w:tc>
        <w:tc>
          <w:tcPr>
            <w:tcW w:w="760" w:type="dxa"/>
            <w:vAlign w:val="bottom"/>
            <w:shd w:val="clear" w:color="auto" w:fill="D8D8D8"/>
          </w:tcPr>
          <w:p>
            <w:pPr>
              <w:spacing w:after="0"/>
              <w:rPr>
                <w:sz w:val="13"/>
                <w:szCs w:val="13"/>
                <w:color w:val="auto"/>
              </w:rPr>
            </w:pPr>
          </w:p>
        </w:tc>
        <w:tc>
          <w:tcPr>
            <w:tcW w:w="200" w:type="dxa"/>
            <w:vAlign w:val="bottom"/>
            <w:shd w:val="clear" w:color="auto" w:fill="D8D8D8"/>
          </w:tcPr>
          <w:p>
            <w:pPr>
              <w:jc w:val="right"/>
              <w:ind w:right="28"/>
              <w:spacing w:after="0" w:line="157" w:lineRule="exact"/>
              <w:rPr>
                <w:sz w:val="20"/>
                <w:szCs w:val="20"/>
                <w:color w:val="auto"/>
              </w:rPr>
            </w:pPr>
            <w:r>
              <w:rPr>
                <w:rFonts w:ascii="Arial" w:cs="Arial" w:eastAsia="Arial" w:hAnsi="Arial"/>
                <w:sz w:val="14"/>
                <w:szCs w:val="14"/>
                <w:color w:val="auto"/>
              </w:rPr>
              <w:t>–</w:t>
            </w:r>
          </w:p>
        </w:tc>
        <w:tc>
          <w:tcPr>
            <w:tcW w:w="1360" w:type="dxa"/>
            <w:vAlign w:val="bottom"/>
            <w:gridSpan w:val="2"/>
          </w:tcPr>
          <w:p>
            <w:pPr>
              <w:jc w:val="right"/>
              <w:ind w:right="74"/>
              <w:spacing w:after="0" w:line="157" w:lineRule="exact"/>
              <w:rPr>
                <w:sz w:val="20"/>
                <w:szCs w:val="20"/>
                <w:color w:val="auto"/>
              </w:rPr>
            </w:pPr>
            <w:r>
              <w:rPr>
                <w:rFonts w:ascii="Arial" w:cs="Arial" w:eastAsia="Arial" w:hAnsi="Arial"/>
                <w:sz w:val="14"/>
                <w:szCs w:val="14"/>
                <w:color w:val="auto"/>
              </w:rPr>
              <w:t>15,409</w:t>
            </w:r>
          </w:p>
        </w:tc>
        <w:tc>
          <w:tcPr>
            <w:tcW w:w="1340" w:type="dxa"/>
            <w:vAlign w:val="bottom"/>
            <w:gridSpan w:val="2"/>
          </w:tcPr>
          <w:p>
            <w:pPr>
              <w:jc w:val="right"/>
              <w:ind w:right="360"/>
              <w:spacing w:after="0" w:line="157" w:lineRule="exact"/>
              <w:rPr>
                <w:sz w:val="20"/>
                <w:szCs w:val="20"/>
                <w:color w:val="auto"/>
              </w:rPr>
            </w:pPr>
            <w:r>
              <w:rPr>
                <w:rFonts w:ascii="Arial" w:cs="Arial" w:eastAsia="Arial" w:hAnsi="Arial"/>
                <w:sz w:val="14"/>
                <w:szCs w:val="14"/>
                <w:color w:val="auto"/>
              </w:rPr>
              <w:t>–</w:t>
            </w:r>
          </w:p>
        </w:tc>
        <w:tc>
          <w:tcPr>
            <w:tcW w:w="1680" w:type="dxa"/>
            <w:vAlign w:val="bottom"/>
          </w:tcPr>
          <w:p>
            <w:pPr>
              <w:jc w:val="right"/>
              <w:ind w:right="309"/>
              <w:spacing w:after="0" w:line="157" w:lineRule="exact"/>
              <w:rPr>
                <w:sz w:val="20"/>
                <w:szCs w:val="20"/>
                <w:color w:val="auto"/>
              </w:rPr>
            </w:pPr>
            <w:r>
              <w:rPr>
                <w:rFonts w:ascii="Arial" w:cs="Arial" w:eastAsia="Arial" w:hAnsi="Arial"/>
                <w:sz w:val="14"/>
                <w:szCs w:val="14"/>
                <w:color w:val="auto"/>
              </w:rPr>
              <w:t>15,849</w:t>
            </w:r>
          </w:p>
        </w:tc>
        <w:tc>
          <w:tcPr>
            <w:tcW w:w="1360" w:type="dxa"/>
            <w:vAlign w:val="bottom"/>
            <w:gridSpan w:val="2"/>
          </w:tcPr>
          <w:p>
            <w:pPr>
              <w:jc w:val="right"/>
              <w:ind w:right="120"/>
              <w:spacing w:after="0" w:line="157"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6"/>
        </w:trPr>
        <w:tc>
          <w:tcPr>
            <w:tcW w:w="316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color w:val="auto"/>
              </w:rPr>
              <w:t>Total Europe</w:t>
            </w:r>
          </w:p>
        </w:tc>
        <w:tc>
          <w:tcPr>
            <w:tcW w:w="380" w:type="dxa"/>
            <w:vAlign w:val="bottom"/>
            <w:tcBorders>
              <w:top w:val="single" w:sz="8" w:color="auto"/>
              <w:bottom w:val="single" w:sz="8" w:color="auto"/>
            </w:tcBorders>
          </w:tcPr>
          <w:p>
            <w:pPr>
              <w:spacing w:after="0"/>
              <w:rPr>
                <w:sz w:val="13"/>
                <w:szCs w:val="13"/>
                <w:color w:val="auto"/>
              </w:rPr>
            </w:pPr>
          </w:p>
        </w:tc>
        <w:tc>
          <w:tcPr>
            <w:tcW w:w="1200" w:type="dxa"/>
            <w:vAlign w:val="bottom"/>
            <w:tcBorders>
              <w:top w:val="single" w:sz="8" w:color="auto"/>
              <w:bottom w:val="single" w:sz="8" w:color="auto"/>
            </w:tcBorders>
            <w:shd w:val="clear" w:color="auto" w:fill="D8D8D8"/>
          </w:tcPr>
          <w:p>
            <w:pPr>
              <w:jc w:val="right"/>
              <w:ind w:right="169"/>
              <w:spacing w:after="0" w:line="155" w:lineRule="exact"/>
              <w:rPr>
                <w:sz w:val="20"/>
                <w:szCs w:val="20"/>
                <w:color w:val="auto"/>
              </w:rPr>
            </w:pPr>
            <w:r>
              <w:rPr>
                <w:rFonts w:ascii="Arial" w:cs="Arial" w:eastAsia="Arial" w:hAnsi="Arial"/>
                <w:sz w:val="14"/>
                <w:szCs w:val="14"/>
                <w:color w:val="auto"/>
              </w:rPr>
              <w:t>488,896</w:t>
            </w:r>
          </w:p>
        </w:tc>
        <w:tc>
          <w:tcPr>
            <w:tcW w:w="960" w:type="dxa"/>
            <w:vAlign w:val="bottom"/>
            <w:tcBorders>
              <w:top w:val="single" w:sz="8" w:color="auto"/>
              <w:bottom w:val="single" w:sz="8" w:color="auto"/>
            </w:tcBorders>
            <w:gridSpan w:val="2"/>
            <w:shd w:val="clear" w:color="auto" w:fill="D8D8D8"/>
          </w:tcPr>
          <w:p>
            <w:pPr>
              <w:jc w:val="right"/>
              <w:ind w:right="28"/>
              <w:spacing w:after="0" w:line="155" w:lineRule="exact"/>
              <w:rPr>
                <w:sz w:val="20"/>
                <w:szCs w:val="20"/>
                <w:color w:val="auto"/>
              </w:rPr>
            </w:pPr>
            <w:r>
              <w:rPr>
                <w:rFonts w:ascii="Arial" w:cs="Arial" w:eastAsia="Arial" w:hAnsi="Arial"/>
                <w:sz w:val="14"/>
                <w:szCs w:val="14"/>
                <w:color w:val="auto"/>
              </w:rPr>
              <w:t>581,028</w:t>
            </w:r>
          </w:p>
        </w:tc>
        <w:tc>
          <w:tcPr>
            <w:tcW w:w="1360" w:type="dxa"/>
            <w:vAlign w:val="bottom"/>
            <w:tcBorders>
              <w:top w:val="single" w:sz="8" w:color="auto"/>
              <w:bottom w:val="single" w:sz="8" w:color="auto"/>
            </w:tcBorders>
            <w:gridSpan w:val="2"/>
          </w:tcPr>
          <w:p>
            <w:pPr>
              <w:jc w:val="right"/>
              <w:ind w:right="74"/>
              <w:spacing w:after="0" w:line="155" w:lineRule="exact"/>
              <w:rPr>
                <w:sz w:val="20"/>
                <w:szCs w:val="20"/>
                <w:color w:val="auto"/>
              </w:rPr>
            </w:pPr>
            <w:r>
              <w:rPr>
                <w:rFonts w:ascii="Arial" w:cs="Arial" w:eastAsia="Arial" w:hAnsi="Arial"/>
                <w:sz w:val="14"/>
                <w:szCs w:val="14"/>
                <w:color w:val="auto"/>
              </w:rPr>
              <w:t>507,681</w:t>
            </w:r>
          </w:p>
        </w:tc>
        <w:tc>
          <w:tcPr>
            <w:tcW w:w="1100" w:type="dxa"/>
            <w:vAlign w:val="bottom"/>
            <w:tcBorders>
              <w:top w:val="single" w:sz="8" w:color="auto"/>
              <w:bottom w:val="single" w:sz="8" w:color="auto"/>
            </w:tcBorders>
          </w:tcPr>
          <w:p>
            <w:pPr>
              <w:jc w:val="right"/>
              <w:ind w:right="49"/>
              <w:spacing w:after="0" w:line="155" w:lineRule="exact"/>
              <w:rPr>
                <w:sz w:val="20"/>
                <w:szCs w:val="20"/>
                <w:color w:val="auto"/>
              </w:rPr>
            </w:pPr>
            <w:r>
              <w:rPr>
                <w:rFonts w:ascii="Arial" w:cs="Arial" w:eastAsia="Arial" w:hAnsi="Arial"/>
                <w:sz w:val="14"/>
                <w:szCs w:val="14"/>
                <w:color w:val="auto"/>
              </w:rPr>
              <w:t>721,344</w:t>
            </w:r>
          </w:p>
        </w:tc>
        <w:tc>
          <w:tcPr>
            <w:tcW w:w="240" w:type="dxa"/>
            <w:vAlign w:val="bottom"/>
            <w:tcBorders>
              <w:top w:val="single" w:sz="8" w:color="auto"/>
              <w:bottom w:val="single" w:sz="8" w:color="auto"/>
            </w:tcBorders>
          </w:tcPr>
          <w:p>
            <w:pPr>
              <w:spacing w:after="0"/>
              <w:rPr>
                <w:sz w:val="13"/>
                <w:szCs w:val="13"/>
                <w:color w:val="auto"/>
              </w:rPr>
            </w:pPr>
          </w:p>
        </w:tc>
        <w:tc>
          <w:tcPr>
            <w:tcW w:w="1680" w:type="dxa"/>
            <w:vAlign w:val="bottom"/>
            <w:tcBorders>
              <w:top w:val="single" w:sz="8" w:color="auto"/>
              <w:bottom w:val="single" w:sz="8" w:color="auto"/>
            </w:tcBorders>
          </w:tcPr>
          <w:p>
            <w:pPr>
              <w:jc w:val="right"/>
              <w:ind w:right="309"/>
              <w:spacing w:after="0" w:line="155" w:lineRule="exact"/>
              <w:rPr>
                <w:sz w:val="20"/>
                <w:szCs w:val="20"/>
                <w:color w:val="auto"/>
              </w:rPr>
            </w:pPr>
            <w:r>
              <w:rPr>
                <w:rFonts w:ascii="Arial" w:cs="Arial" w:eastAsia="Arial" w:hAnsi="Arial"/>
                <w:sz w:val="14"/>
                <w:szCs w:val="14"/>
                <w:color w:val="auto"/>
              </w:rPr>
              <w:t>550,170</w:t>
            </w:r>
          </w:p>
        </w:tc>
        <w:tc>
          <w:tcPr>
            <w:tcW w:w="1340" w:type="dxa"/>
            <w:vAlign w:val="bottom"/>
            <w:tcBorders>
              <w:top w:val="single" w:sz="8" w:color="auto"/>
              <w:bottom w:val="single" w:sz="8" w:color="auto"/>
            </w:tcBorders>
          </w:tcPr>
          <w:p>
            <w:pPr>
              <w:jc w:val="right"/>
              <w:ind w:right="29"/>
              <w:spacing w:after="0" w:line="155" w:lineRule="exact"/>
              <w:rPr>
                <w:sz w:val="20"/>
                <w:szCs w:val="20"/>
                <w:color w:val="auto"/>
              </w:rPr>
            </w:pPr>
            <w:r>
              <w:rPr>
                <w:rFonts w:ascii="Arial" w:cs="Arial" w:eastAsia="Arial" w:hAnsi="Arial"/>
                <w:sz w:val="14"/>
                <w:szCs w:val="14"/>
                <w:color w:val="auto"/>
              </w:rPr>
              <w:t>661,548</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3160" w:type="dxa"/>
            <w:vAlign w:val="bottom"/>
          </w:tcPr>
          <w:p>
            <w:pPr>
              <w:spacing w:after="0"/>
              <w:rPr>
                <w:sz w:val="20"/>
                <w:szCs w:val="20"/>
                <w:color w:val="auto"/>
              </w:rPr>
            </w:pPr>
            <w:r>
              <w:rPr>
                <w:rFonts w:ascii="Arial" w:cs="Arial" w:eastAsia="Arial" w:hAnsi="Arial"/>
                <w:sz w:val="14"/>
                <w:szCs w:val="14"/>
                <w:color w:val="auto"/>
              </w:rPr>
              <w:t>Asia</w:t>
            </w:r>
          </w:p>
        </w:tc>
        <w:tc>
          <w:tcPr>
            <w:tcW w:w="380" w:type="dxa"/>
            <w:vAlign w:val="bottom"/>
          </w:tcPr>
          <w:p>
            <w:pPr>
              <w:spacing w:after="0"/>
              <w:rPr>
                <w:sz w:val="13"/>
                <w:szCs w:val="13"/>
                <w:color w:val="auto"/>
              </w:rPr>
            </w:pPr>
          </w:p>
        </w:tc>
        <w:tc>
          <w:tcPr>
            <w:tcW w:w="1200" w:type="dxa"/>
            <w:vAlign w:val="bottom"/>
            <w:shd w:val="clear" w:color="auto" w:fill="D8D8D8"/>
          </w:tcPr>
          <w:p>
            <w:pPr>
              <w:spacing w:after="0"/>
              <w:rPr>
                <w:sz w:val="13"/>
                <w:szCs w:val="13"/>
                <w:color w:val="auto"/>
              </w:rPr>
            </w:pPr>
          </w:p>
        </w:tc>
        <w:tc>
          <w:tcPr>
            <w:tcW w:w="760" w:type="dxa"/>
            <w:vAlign w:val="bottom"/>
            <w:shd w:val="clear" w:color="auto" w:fill="D8D8D8"/>
          </w:tcPr>
          <w:p>
            <w:pPr>
              <w:spacing w:after="0"/>
              <w:rPr>
                <w:sz w:val="13"/>
                <w:szCs w:val="13"/>
                <w:color w:val="auto"/>
              </w:rPr>
            </w:pPr>
          </w:p>
        </w:tc>
        <w:tc>
          <w:tcPr>
            <w:tcW w:w="200" w:type="dxa"/>
            <w:vAlign w:val="bottom"/>
            <w:shd w:val="clear" w:color="auto" w:fill="D8D8D8"/>
          </w:tcPr>
          <w:p>
            <w:pPr>
              <w:spacing w:after="0"/>
              <w:rPr>
                <w:sz w:val="13"/>
                <w:szCs w:val="13"/>
                <w:color w:val="auto"/>
              </w:rPr>
            </w:pPr>
          </w:p>
        </w:tc>
        <w:tc>
          <w:tcPr>
            <w:tcW w:w="2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160" w:type="dxa"/>
            <w:vAlign w:val="bottom"/>
          </w:tcPr>
          <w:p>
            <w:pPr>
              <w:ind w:left="140"/>
              <w:spacing w:after="0"/>
              <w:rPr>
                <w:sz w:val="20"/>
                <w:szCs w:val="20"/>
                <w:color w:val="auto"/>
              </w:rPr>
            </w:pPr>
            <w:r>
              <w:rPr>
                <w:rFonts w:ascii="Arial" w:cs="Arial" w:eastAsia="Arial" w:hAnsi="Arial"/>
                <w:sz w:val="14"/>
                <w:szCs w:val="14"/>
                <w:color w:val="auto"/>
              </w:rPr>
              <w:t>Brunei</w:t>
            </w:r>
          </w:p>
        </w:tc>
        <w:tc>
          <w:tcPr>
            <w:tcW w:w="380" w:type="dxa"/>
            <w:vAlign w:val="bottom"/>
          </w:tcPr>
          <w:p>
            <w:pPr>
              <w:spacing w:after="0"/>
              <w:rPr>
                <w:sz w:val="14"/>
                <w:szCs w:val="14"/>
                <w:color w:val="auto"/>
              </w:rPr>
            </w:pPr>
          </w:p>
        </w:tc>
        <w:tc>
          <w:tcPr>
            <w:tcW w:w="1200" w:type="dxa"/>
            <w:vAlign w:val="bottom"/>
            <w:shd w:val="clear" w:color="auto" w:fill="D8D8D8"/>
          </w:tcPr>
          <w:p>
            <w:pPr>
              <w:jc w:val="right"/>
              <w:ind w:right="169"/>
              <w:spacing w:after="0"/>
              <w:rPr>
                <w:sz w:val="20"/>
                <w:szCs w:val="20"/>
                <w:color w:val="auto"/>
              </w:rPr>
            </w:pPr>
            <w:r>
              <w:rPr>
                <w:rFonts w:ascii="Arial" w:cs="Arial" w:eastAsia="Arial" w:hAnsi="Arial"/>
                <w:sz w:val="14"/>
                <w:szCs w:val="14"/>
                <w:color w:val="auto"/>
              </w:rPr>
              <w:t>22,228</w:t>
            </w:r>
          </w:p>
        </w:tc>
        <w:tc>
          <w:tcPr>
            <w:tcW w:w="960" w:type="dxa"/>
            <w:vAlign w:val="bottom"/>
            <w:gridSpan w:val="2"/>
            <w:shd w:val="clear" w:color="auto" w:fill="D8D8D8"/>
          </w:tcPr>
          <w:p>
            <w:pPr>
              <w:jc w:val="right"/>
              <w:ind w:right="28"/>
              <w:spacing w:after="0"/>
              <w:rPr>
                <w:sz w:val="20"/>
                <w:szCs w:val="20"/>
                <w:color w:val="auto"/>
              </w:rPr>
            </w:pPr>
            <w:r>
              <w:rPr>
                <w:rFonts w:ascii="Arial" w:cs="Arial" w:eastAsia="Arial" w:hAnsi="Arial"/>
                <w:sz w:val="14"/>
                <w:szCs w:val="14"/>
                <w:color w:val="auto"/>
              </w:rPr>
              <w:t>155,244</w:t>
            </w:r>
          </w:p>
        </w:tc>
        <w:tc>
          <w:tcPr>
            <w:tcW w:w="1360" w:type="dxa"/>
            <w:vAlign w:val="bottom"/>
            <w:gridSpan w:val="2"/>
          </w:tcPr>
          <w:p>
            <w:pPr>
              <w:jc w:val="right"/>
              <w:ind w:right="74"/>
              <w:spacing w:after="0"/>
              <w:rPr>
                <w:sz w:val="20"/>
                <w:szCs w:val="20"/>
                <w:color w:val="auto"/>
              </w:rPr>
            </w:pPr>
            <w:r>
              <w:rPr>
                <w:rFonts w:ascii="Arial" w:cs="Arial" w:eastAsia="Arial" w:hAnsi="Arial"/>
                <w:sz w:val="14"/>
                <w:szCs w:val="14"/>
                <w:color w:val="auto"/>
              </w:rPr>
              <w:t>18,442</w:t>
            </w:r>
          </w:p>
        </w:tc>
        <w:tc>
          <w:tcPr>
            <w:tcW w:w="1100" w:type="dxa"/>
            <w:vAlign w:val="bottom"/>
          </w:tcPr>
          <w:p>
            <w:pPr>
              <w:jc w:val="right"/>
              <w:ind w:right="49"/>
              <w:spacing w:after="0"/>
              <w:rPr>
                <w:sz w:val="20"/>
                <w:szCs w:val="20"/>
                <w:color w:val="auto"/>
              </w:rPr>
            </w:pPr>
            <w:r>
              <w:rPr>
                <w:rFonts w:ascii="Arial" w:cs="Arial" w:eastAsia="Arial" w:hAnsi="Arial"/>
                <w:sz w:val="14"/>
                <w:szCs w:val="14"/>
                <w:color w:val="auto"/>
              </w:rPr>
              <w:t>164,446</w:t>
            </w:r>
          </w:p>
        </w:tc>
        <w:tc>
          <w:tcPr>
            <w:tcW w:w="240" w:type="dxa"/>
            <w:vAlign w:val="bottom"/>
          </w:tcPr>
          <w:p>
            <w:pPr>
              <w:spacing w:after="0"/>
              <w:rPr>
                <w:sz w:val="14"/>
                <w:szCs w:val="14"/>
                <w:color w:val="auto"/>
              </w:rPr>
            </w:pPr>
          </w:p>
        </w:tc>
        <w:tc>
          <w:tcPr>
            <w:tcW w:w="1680" w:type="dxa"/>
            <w:vAlign w:val="bottom"/>
          </w:tcPr>
          <w:p>
            <w:pPr>
              <w:jc w:val="right"/>
              <w:ind w:right="309"/>
              <w:spacing w:after="0"/>
              <w:rPr>
                <w:sz w:val="20"/>
                <w:szCs w:val="20"/>
                <w:color w:val="auto"/>
              </w:rPr>
            </w:pPr>
            <w:r>
              <w:rPr>
                <w:rFonts w:ascii="Arial" w:cs="Arial" w:eastAsia="Arial" w:hAnsi="Arial"/>
                <w:sz w:val="14"/>
                <w:szCs w:val="14"/>
                <w:color w:val="auto"/>
              </w:rPr>
              <w:t>18,616</w:t>
            </w:r>
          </w:p>
        </w:tc>
        <w:tc>
          <w:tcPr>
            <w:tcW w:w="1340" w:type="dxa"/>
            <w:vAlign w:val="bottom"/>
          </w:tcPr>
          <w:p>
            <w:pPr>
              <w:jc w:val="right"/>
              <w:ind w:right="29"/>
              <w:spacing w:after="0"/>
              <w:rPr>
                <w:sz w:val="20"/>
                <w:szCs w:val="20"/>
                <w:color w:val="auto"/>
              </w:rPr>
            </w:pPr>
            <w:r>
              <w:rPr>
                <w:rFonts w:ascii="Arial" w:cs="Arial" w:eastAsia="Arial" w:hAnsi="Arial"/>
                <w:sz w:val="14"/>
                <w:szCs w:val="14"/>
                <w:color w:val="auto"/>
              </w:rPr>
              <w:t>187,231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160" w:type="dxa"/>
            <w:vAlign w:val="bottom"/>
          </w:tcPr>
          <w:p>
            <w:pPr>
              <w:ind w:left="140"/>
              <w:spacing w:after="0"/>
              <w:rPr>
                <w:sz w:val="20"/>
                <w:szCs w:val="20"/>
                <w:color w:val="auto"/>
              </w:rPr>
            </w:pPr>
            <w:r>
              <w:rPr>
                <w:rFonts w:ascii="Arial" w:cs="Arial" w:eastAsia="Arial" w:hAnsi="Arial"/>
                <w:sz w:val="14"/>
                <w:szCs w:val="14"/>
                <w:color w:val="auto"/>
              </w:rPr>
              <w:t>China</w:t>
            </w:r>
          </w:p>
        </w:tc>
        <w:tc>
          <w:tcPr>
            <w:tcW w:w="380" w:type="dxa"/>
            <w:vAlign w:val="bottom"/>
          </w:tcPr>
          <w:p>
            <w:pPr>
              <w:spacing w:after="0"/>
              <w:rPr>
                <w:sz w:val="14"/>
                <w:szCs w:val="14"/>
                <w:color w:val="auto"/>
              </w:rPr>
            </w:pPr>
          </w:p>
        </w:tc>
        <w:tc>
          <w:tcPr>
            <w:tcW w:w="1200" w:type="dxa"/>
            <w:vAlign w:val="bottom"/>
            <w:shd w:val="clear" w:color="auto" w:fill="D8D8D8"/>
          </w:tcPr>
          <w:p>
            <w:pPr>
              <w:jc w:val="right"/>
              <w:ind w:right="169"/>
              <w:spacing w:after="0"/>
              <w:rPr>
                <w:sz w:val="20"/>
                <w:szCs w:val="20"/>
                <w:color w:val="auto"/>
              </w:rPr>
            </w:pPr>
            <w:r>
              <w:rPr>
                <w:rFonts w:ascii="Arial" w:cs="Arial" w:eastAsia="Arial" w:hAnsi="Arial"/>
                <w:sz w:val="14"/>
                <w:szCs w:val="14"/>
                <w:color w:val="auto"/>
              </w:rPr>
              <w:t>53,065</w:t>
            </w:r>
          </w:p>
        </w:tc>
        <w:tc>
          <w:tcPr>
            <w:tcW w:w="760" w:type="dxa"/>
            <w:vAlign w:val="bottom"/>
            <w:shd w:val="clear" w:color="auto" w:fill="D8D8D8"/>
          </w:tcPr>
          <w:p>
            <w:pPr>
              <w:spacing w:after="0"/>
              <w:rPr>
                <w:sz w:val="14"/>
                <w:szCs w:val="14"/>
                <w:color w:val="auto"/>
              </w:rPr>
            </w:pPr>
          </w:p>
        </w:tc>
        <w:tc>
          <w:tcPr>
            <w:tcW w:w="200" w:type="dxa"/>
            <w:vAlign w:val="bottom"/>
            <w:shd w:val="clear" w:color="auto" w:fill="D8D8D8"/>
          </w:tcPr>
          <w:p>
            <w:pPr>
              <w:jc w:val="right"/>
              <w:ind w:right="28"/>
              <w:spacing w:after="0"/>
              <w:rPr>
                <w:sz w:val="20"/>
                <w:szCs w:val="20"/>
                <w:color w:val="auto"/>
              </w:rPr>
            </w:pPr>
            <w:r>
              <w:rPr>
                <w:rFonts w:ascii="Arial" w:cs="Arial" w:eastAsia="Arial" w:hAnsi="Arial"/>
                <w:sz w:val="14"/>
                <w:szCs w:val="14"/>
                <w:color w:val="auto"/>
              </w:rPr>
              <w:t>–</w:t>
            </w:r>
          </w:p>
        </w:tc>
        <w:tc>
          <w:tcPr>
            <w:tcW w:w="1360" w:type="dxa"/>
            <w:vAlign w:val="bottom"/>
            <w:gridSpan w:val="2"/>
          </w:tcPr>
          <w:p>
            <w:pPr>
              <w:jc w:val="right"/>
              <w:ind w:right="74"/>
              <w:spacing w:after="0"/>
              <w:rPr>
                <w:sz w:val="20"/>
                <w:szCs w:val="20"/>
                <w:color w:val="auto"/>
              </w:rPr>
            </w:pPr>
            <w:r>
              <w:rPr>
                <w:rFonts w:ascii="Arial" w:cs="Arial" w:eastAsia="Arial" w:hAnsi="Arial"/>
                <w:sz w:val="14"/>
                <w:szCs w:val="14"/>
                <w:color w:val="auto"/>
              </w:rPr>
              <w:t>60,034</w:t>
            </w:r>
          </w:p>
        </w:tc>
        <w:tc>
          <w:tcPr>
            <w:tcW w:w="1340" w:type="dxa"/>
            <w:vAlign w:val="bottom"/>
            <w:gridSpan w:val="2"/>
          </w:tcPr>
          <w:p>
            <w:pPr>
              <w:jc w:val="right"/>
              <w:ind w:right="360"/>
              <w:spacing w:after="0"/>
              <w:rPr>
                <w:sz w:val="20"/>
                <w:szCs w:val="20"/>
                <w:color w:val="auto"/>
              </w:rPr>
            </w:pPr>
            <w:r>
              <w:rPr>
                <w:rFonts w:ascii="Arial" w:cs="Arial" w:eastAsia="Arial" w:hAnsi="Arial"/>
                <w:sz w:val="14"/>
                <w:szCs w:val="14"/>
                <w:color w:val="auto"/>
              </w:rPr>
              <w:t>–</w:t>
            </w:r>
          </w:p>
        </w:tc>
        <w:tc>
          <w:tcPr>
            <w:tcW w:w="1680" w:type="dxa"/>
            <w:vAlign w:val="bottom"/>
          </w:tcPr>
          <w:p>
            <w:pPr>
              <w:jc w:val="right"/>
              <w:ind w:right="309"/>
              <w:spacing w:after="0"/>
              <w:rPr>
                <w:sz w:val="20"/>
                <w:szCs w:val="20"/>
                <w:color w:val="auto"/>
              </w:rPr>
            </w:pPr>
            <w:r>
              <w:rPr>
                <w:rFonts w:ascii="Arial" w:cs="Arial" w:eastAsia="Arial" w:hAnsi="Arial"/>
                <w:sz w:val="14"/>
                <w:szCs w:val="14"/>
                <w:color w:val="auto"/>
              </w:rPr>
              <w:t>48,083</w:t>
            </w:r>
          </w:p>
        </w:tc>
        <w:tc>
          <w:tcPr>
            <w:tcW w:w="13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3160" w:type="dxa"/>
            <w:vAlign w:val="bottom"/>
          </w:tcPr>
          <w:p>
            <w:pPr>
              <w:ind w:left="140"/>
              <w:spacing w:after="0"/>
              <w:rPr>
                <w:sz w:val="20"/>
                <w:szCs w:val="20"/>
                <w:color w:val="auto"/>
              </w:rPr>
            </w:pPr>
            <w:r>
              <w:rPr>
                <w:rFonts w:ascii="Arial" w:cs="Arial" w:eastAsia="Arial" w:hAnsi="Arial"/>
                <w:sz w:val="14"/>
                <w:szCs w:val="14"/>
                <w:color w:val="auto"/>
              </w:rPr>
              <w:t>Malaysia</w:t>
            </w:r>
          </w:p>
        </w:tc>
        <w:tc>
          <w:tcPr>
            <w:tcW w:w="380" w:type="dxa"/>
            <w:vAlign w:val="bottom"/>
          </w:tcPr>
          <w:p>
            <w:pPr>
              <w:spacing w:after="0"/>
              <w:rPr>
                <w:sz w:val="14"/>
                <w:szCs w:val="14"/>
                <w:color w:val="auto"/>
              </w:rPr>
            </w:pPr>
          </w:p>
        </w:tc>
        <w:tc>
          <w:tcPr>
            <w:tcW w:w="1200" w:type="dxa"/>
            <w:vAlign w:val="bottom"/>
            <w:shd w:val="clear" w:color="auto" w:fill="D8D8D8"/>
          </w:tcPr>
          <w:p>
            <w:pPr>
              <w:jc w:val="right"/>
              <w:ind w:right="169"/>
              <w:spacing w:after="0"/>
              <w:rPr>
                <w:sz w:val="20"/>
                <w:szCs w:val="20"/>
                <w:color w:val="auto"/>
              </w:rPr>
            </w:pPr>
            <w:r>
              <w:rPr>
                <w:rFonts w:ascii="Arial" w:cs="Arial" w:eastAsia="Arial" w:hAnsi="Arial"/>
                <w:sz w:val="14"/>
                <w:szCs w:val="14"/>
                <w:color w:val="auto"/>
              </w:rPr>
              <w:t>241,908</w:t>
            </w:r>
          </w:p>
        </w:tc>
        <w:tc>
          <w:tcPr>
            <w:tcW w:w="760" w:type="dxa"/>
            <w:vAlign w:val="bottom"/>
            <w:shd w:val="clear" w:color="auto" w:fill="D8D8D8"/>
          </w:tcPr>
          <w:p>
            <w:pPr>
              <w:spacing w:after="0"/>
              <w:rPr>
                <w:sz w:val="14"/>
                <w:szCs w:val="14"/>
                <w:color w:val="auto"/>
              </w:rPr>
            </w:pPr>
          </w:p>
        </w:tc>
        <w:tc>
          <w:tcPr>
            <w:tcW w:w="200" w:type="dxa"/>
            <w:vAlign w:val="bottom"/>
            <w:shd w:val="clear" w:color="auto" w:fill="D8D8D8"/>
          </w:tcPr>
          <w:p>
            <w:pPr>
              <w:jc w:val="right"/>
              <w:ind w:right="28"/>
              <w:spacing w:after="0"/>
              <w:rPr>
                <w:sz w:val="20"/>
                <w:szCs w:val="20"/>
                <w:color w:val="auto"/>
              </w:rPr>
            </w:pPr>
            <w:r>
              <w:rPr>
                <w:rFonts w:ascii="Arial" w:cs="Arial" w:eastAsia="Arial" w:hAnsi="Arial"/>
                <w:sz w:val="14"/>
                <w:szCs w:val="14"/>
                <w:color w:val="auto"/>
              </w:rPr>
              <w:t>–</w:t>
            </w:r>
          </w:p>
        </w:tc>
        <w:tc>
          <w:tcPr>
            <w:tcW w:w="1360" w:type="dxa"/>
            <w:vAlign w:val="bottom"/>
            <w:gridSpan w:val="2"/>
          </w:tcPr>
          <w:p>
            <w:pPr>
              <w:jc w:val="right"/>
              <w:ind w:right="74"/>
              <w:spacing w:after="0"/>
              <w:rPr>
                <w:sz w:val="20"/>
                <w:szCs w:val="20"/>
                <w:color w:val="auto"/>
              </w:rPr>
            </w:pPr>
            <w:r>
              <w:rPr>
                <w:rFonts w:ascii="Arial" w:cs="Arial" w:eastAsia="Arial" w:hAnsi="Arial"/>
                <w:sz w:val="14"/>
                <w:szCs w:val="14"/>
                <w:color w:val="auto"/>
              </w:rPr>
              <w:t>238,940</w:t>
            </w:r>
          </w:p>
        </w:tc>
        <w:tc>
          <w:tcPr>
            <w:tcW w:w="1340" w:type="dxa"/>
            <w:vAlign w:val="bottom"/>
            <w:gridSpan w:val="2"/>
          </w:tcPr>
          <w:p>
            <w:pPr>
              <w:jc w:val="right"/>
              <w:ind w:right="360"/>
              <w:spacing w:after="0"/>
              <w:rPr>
                <w:sz w:val="20"/>
                <w:szCs w:val="20"/>
                <w:color w:val="auto"/>
              </w:rPr>
            </w:pPr>
            <w:r>
              <w:rPr>
                <w:rFonts w:ascii="Arial" w:cs="Arial" w:eastAsia="Arial" w:hAnsi="Arial"/>
                <w:sz w:val="14"/>
                <w:szCs w:val="14"/>
                <w:color w:val="auto"/>
              </w:rPr>
              <w:t>–</w:t>
            </w:r>
          </w:p>
        </w:tc>
        <w:tc>
          <w:tcPr>
            <w:tcW w:w="1680" w:type="dxa"/>
            <w:vAlign w:val="bottom"/>
          </w:tcPr>
          <w:p>
            <w:pPr>
              <w:jc w:val="right"/>
              <w:ind w:right="309"/>
              <w:spacing w:after="0"/>
              <w:rPr>
                <w:sz w:val="20"/>
                <w:szCs w:val="20"/>
                <w:color w:val="auto"/>
              </w:rPr>
            </w:pPr>
            <w:r>
              <w:rPr>
                <w:rFonts w:ascii="Arial" w:cs="Arial" w:eastAsia="Arial" w:hAnsi="Arial"/>
                <w:sz w:val="14"/>
                <w:szCs w:val="14"/>
                <w:color w:val="auto"/>
              </w:rPr>
              <w:t>209,505</w:t>
            </w:r>
          </w:p>
        </w:tc>
        <w:tc>
          <w:tcPr>
            <w:tcW w:w="13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3160" w:type="dxa"/>
            <w:vAlign w:val="bottom"/>
          </w:tcPr>
          <w:p>
            <w:pPr>
              <w:ind w:left="140"/>
              <w:spacing w:after="0"/>
              <w:rPr>
                <w:sz w:val="20"/>
                <w:szCs w:val="20"/>
                <w:color w:val="auto"/>
              </w:rPr>
            </w:pPr>
            <w:r>
              <w:rPr>
                <w:rFonts w:ascii="Arial" w:cs="Arial" w:eastAsia="Arial" w:hAnsi="Arial"/>
                <w:sz w:val="14"/>
                <w:szCs w:val="14"/>
                <w:color w:val="auto"/>
              </w:rPr>
              <w:t>Russia</w:t>
            </w:r>
          </w:p>
        </w:tc>
        <w:tc>
          <w:tcPr>
            <w:tcW w:w="380" w:type="dxa"/>
            <w:vAlign w:val="bottom"/>
          </w:tcPr>
          <w:p>
            <w:pPr>
              <w:spacing w:after="0"/>
              <w:rPr>
                <w:sz w:val="14"/>
                <w:szCs w:val="14"/>
                <w:color w:val="auto"/>
              </w:rPr>
            </w:pPr>
          </w:p>
        </w:tc>
        <w:tc>
          <w:tcPr>
            <w:tcW w:w="1200" w:type="dxa"/>
            <w:vAlign w:val="bottom"/>
            <w:shd w:val="clear" w:color="auto" w:fill="D8D8D8"/>
          </w:tcPr>
          <w:p>
            <w:pPr>
              <w:jc w:val="right"/>
              <w:ind w:right="169"/>
              <w:spacing w:after="0"/>
              <w:rPr>
                <w:sz w:val="20"/>
                <w:szCs w:val="20"/>
                <w:color w:val="auto"/>
              </w:rPr>
            </w:pPr>
            <w:r>
              <w:rPr>
                <w:rFonts w:ascii="Arial" w:cs="Arial" w:eastAsia="Arial" w:hAnsi="Arial"/>
                <w:sz w:val="14"/>
                <w:szCs w:val="14"/>
                <w:color w:val="auto"/>
              </w:rPr>
              <w:t>4,170</w:t>
            </w:r>
          </w:p>
        </w:tc>
        <w:tc>
          <w:tcPr>
            <w:tcW w:w="960" w:type="dxa"/>
            <w:vAlign w:val="bottom"/>
            <w:gridSpan w:val="2"/>
            <w:shd w:val="clear" w:color="auto" w:fill="D8D8D8"/>
          </w:tcPr>
          <w:p>
            <w:pPr>
              <w:jc w:val="right"/>
              <w:ind w:right="28"/>
              <w:spacing w:after="0"/>
              <w:rPr>
                <w:sz w:val="20"/>
                <w:szCs w:val="20"/>
                <w:color w:val="auto"/>
              </w:rPr>
            </w:pPr>
            <w:r>
              <w:rPr>
                <w:rFonts w:ascii="Arial" w:cs="Arial" w:eastAsia="Arial" w:hAnsi="Arial"/>
                <w:sz w:val="14"/>
                <w:szCs w:val="14"/>
                <w:color w:val="auto"/>
              </w:rPr>
              <w:t>128,175</w:t>
            </w:r>
          </w:p>
        </w:tc>
        <w:tc>
          <w:tcPr>
            <w:tcW w:w="1360" w:type="dxa"/>
            <w:vAlign w:val="bottom"/>
            <w:gridSpan w:val="2"/>
          </w:tcPr>
          <w:p>
            <w:pPr>
              <w:jc w:val="right"/>
              <w:ind w:right="74"/>
              <w:spacing w:after="0"/>
              <w:rPr>
                <w:sz w:val="20"/>
                <w:szCs w:val="20"/>
                <w:color w:val="auto"/>
              </w:rPr>
            </w:pPr>
            <w:r>
              <w:rPr>
                <w:rFonts w:ascii="Arial" w:cs="Arial" w:eastAsia="Arial" w:hAnsi="Arial"/>
                <w:sz w:val="14"/>
                <w:szCs w:val="14"/>
                <w:color w:val="auto"/>
              </w:rPr>
              <w:t>4,261</w:t>
            </w:r>
          </w:p>
        </w:tc>
        <w:tc>
          <w:tcPr>
            <w:tcW w:w="1100" w:type="dxa"/>
            <w:vAlign w:val="bottom"/>
          </w:tcPr>
          <w:p>
            <w:pPr>
              <w:jc w:val="right"/>
              <w:ind w:right="49"/>
              <w:spacing w:after="0"/>
              <w:rPr>
                <w:sz w:val="20"/>
                <w:szCs w:val="20"/>
                <w:color w:val="auto"/>
              </w:rPr>
            </w:pPr>
            <w:r>
              <w:rPr>
                <w:rFonts w:ascii="Arial" w:cs="Arial" w:eastAsia="Arial" w:hAnsi="Arial"/>
                <w:sz w:val="14"/>
                <w:szCs w:val="14"/>
                <w:color w:val="auto"/>
              </w:rPr>
              <w:t>126,764</w:t>
            </w:r>
          </w:p>
        </w:tc>
        <w:tc>
          <w:tcPr>
            <w:tcW w:w="240" w:type="dxa"/>
            <w:vAlign w:val="bottom"/>
          </w:tcPr>
          <w:p>
            <w:pPr>
              <w:spacing w:after="0"/>
              <w:rPr>
                <w:sz w:val="14"/>
                <w:szCs w:val="14"/>
                <w:color w:val="auto"/>
              </w:rPr>
            </w:pPr>
          </w:p>
        </w:tc>
        <w:tc>
          <w:tcPr>
            <w:tcW w:w="1680" w:type="dxa"/>
            <w:vAlign w:val="bottom"/>
          </w:tcPr>
          <w:p>
            <w:pPr>
              <w:jc w:val="right"/>
              <w:ind w:right="309"/>
              <w:spacing w:after="0"/>
              <w:rPr>
                <w:sz w:val="20"/>
                <w:szCs w:val="20"/>
                <w:color w:val="auto"/>
              </w:rPr>
            </w:pPr>
            <w:r>
              <w:rPr>
                <w:rFonts w:ascii="Arial" w:cs="Arial" w:eastAsia="Arial" w:hAnsi="Arial"/>
                <w:sz w:val="14"/>
                <w:szCs w:val="14"/>
                <w:color w:val="auto"/>
              </w:rPr>
              <w:t>–</w:t>
            </w:r>
          </w:p>
        </w:tc>
        <w:tc>
          <w:tcPr>
            <w:tcW w:w="1340" w:type="dxa"/>
            <w:vAlign w:val="bottom"/>
          </w:tcPr>
          <w:p>
            <w:pPr>
              <w:jc w:val="right"/>
              <w:ind w:right="29"/>
              <w:spacing w:after="0"/>
              <w:rPr>
                <w:sz w:val="20"/>
                <w:szCs w:val="20"/>
                <w:color w:val="auto"/>
              </w:rPr>
            </w:pPr>
            <w:r>
              <w:rPr>
                <w:rFonts w:ascii="Arial" w:cs="Arial" w:eastAsia="Arial" w:hAnsi="Arial"/>
                <w:sz w:val="14"/>
                <w:szCs w:val="14"/>
                <w:color w:val="auto"/>
              </w:rPr>
              <w:t>136,702</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3160" w:type="dxa"/>
            <w:vAlign w:val="bottom"/>
            <w:tcBorders>
              <w:bottom w:val="single" w:sz="8" w:color="auto"/>
            </w:tcBorders>
          </w:tcPr>
          <w:p>
            <w:pPr>
              <w:ind w:left="140"/>
              <w:spacing w:after="0" w:line="157" w:lineRule="exact"/>
              <w:rPr>
                <w:sz w:val="20"/>
                <w:szCs w:val="20"/>
                <w:color w:val="auto"/>
              </w:rPr>
            </w:pPr>
            <w:r>
              <w:rPr>
                <w:rFonts w:ascii="Arial" w:cs="Arial" w:eastAsia="Arial" w:hAnsi="Arial"/>
                <w:sz w:val="14"/>
                <w:szCs w:val="14"/>
                <w:color w:val="auto"/>
              </w:rPr>
              <w:t>Other [B]</w:t>
            </w:r>
          </w:p>
        </w:tc>
        <w:tc>
          <w:tcPr>
            <w:tcW w:w="38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shd w:val="clear" w:color="auto" w:fill="D8D8D8"/>
          </w:tcPr>
          <w:p>
            <w:pPr>
              <w:jc w:val="right"/>
              <w:ind w:right="169"/>
              <w:spacing w:after="0" w:line="157" w:lineRule="exact"/>
              <w:rPr>
                <w:sz w:val="20"/>
                <w:szCs w:val="20"/>
                <w:color w:val="auto"/>
              </w:rPr>
            </w:pPr>
            <w:r>
              <w:rPr>
                <w:rFonts w:ascii="Arial" w:cs="Arial" w:eastAsia="Arial" w:hAnsi="Arial"/>
                <w:sz w:val="14"/>
                <w:szCs w:val="14"/>
                <w:color w:val="auto"/>
              </w:rPr>
              <w:t>420,169</w:t>
            </w:r>
          </w:p>
        </w:tc>
        <w:tc>
          <w:tcPr>
            <w:tcW w:w="960" w:type="dxa"/>
            <w:vAlign w:val="bottom"/>
            <w:tcBorders>
              <w:bottom w:val="single" w:sz="8" w:color="auto"/>
            </w:tcBorders>
            <w:gridSpan w:val="2"/>
            <w:shd w:val="clear" w:color="auto" w:fill="D8D8D8"/>
          </w:tcPr>
          <w:p>
            <w:pPr>
              <w:jc w:val="right"/>
              <w:ind w:right="28"/>
              <w:spacing w:after="0" w:line="157" w:lineRule="exact"/>
              <w:rPr>
                <w:sz w:val="20"/>
                <w:szCs w:val="20"/>
                <w:color w:val="auto"/>
              </w:rPr>
            </w:pPr>
            <w:r>
              <w:rPr>
                <w:rFonts w:ascii="Arial" w:cs="Arial" w:eastAsia="Arial" w:hAnsi="Arial"/>
                <w:sz w:val="14"/>
                <w:szCs w:val="14"/>
                <w:color w:val="auto"/>
              </w:rPr>
              <w:t>118,198</w:t>
            </w:r>
          </w:p>
        </w:tc>
        <w:tc>
          <w:tcPr>
            <w:tcW w:w="1360" w:type="dxa"/>
            <w:vAlign w:val="bottom"/>
            <w:tcBorders>
              <w:bottom w:val="single" w:sz="8" w:color="auto"/>
            </w:tcBorders>
            <w:gridSpan w:val="2"/>
          </w:tcPr>
          <w:p>
            <w:pPr>
              <w:jc w:val="right"/>
              <w:ind w:right="74"/>
              <w:spacing w:after="0" w:line="157" w:lineRule="exact"/>
              <w:rPr>
                <w:sz w:val="20"/>
                <w:szCs w:val="20"/>
                <w:color w:val="auto"/>
              </w:rPr>
            </w:pPr>
            <w:r>
              <w:rPr>
                <w:rFonts w:ascii="Arial" w:cs="Arial" w:eastAsia="Arial" w:hAnsi="Arial"/>
                <w:sz w:val="14"/>
                <w:szCs w:val="14"/>
                <w:color w:val="auto"/>
              </w:rPr>
              <w:t>378,412</w:t>
            </w:r>
          </w:p>
        </w:tc>
        <w:tc>
          <w:tcPr>
            <w:tcW w:w="1100" w:type="dxa"/>
            <w:vAlign w:val="bottom"/>
            <w:tcBorders>
              <w:bottom w:val="single" w:sz="8" w:color="auto"/>
            </w:tcBorders>
          </w:tcPr>
          <w:p>
            <w:pPr>
              <w:jc w:val="right"/>
              <w:ind w:right="49"/>
              <w:spacing w:after="0" w:line="157" w:lineRule="exact"/>
              <w:rPr>
                <w:sz w:val="20"/>
                <w:szCs w:val="20"/>
                <w:color w:val="auto"/>
              </w:rPr>
            </w:pPr>
            <w:r>
              <w:rPr>
                <w:rFonts w:ascii="Arial" w:cs="Arial" w:eastAsia="Arial" w:hAnsi="Arial"/>
                <w:sz w:val="14"/>
                <w:szCs w:val="14"/>
                <w:color w:val="auto"/>
              </w:rPr>
              <w:t>115,469</w:t>
            </w:r>
          </w:p>
        </w:tc>
        <w:tc>
          <w:tcPr>
            <w:tcW w:w="240" w:type="dxa"/>
            <w:vAlign w:val="bottom"/>
            <w:tcBorders>
              <w:bottom w:val="single" w:sz="8" w:color="auto"/>
            </w:tcBorders>
          </w:tcPr>
          <w:p>
            <w:pPr>
              <w:spacing w:after="0"/>
              <w:rPr>
                <w:sz w:val="13"/>
                <w:szCs w:val="13"/>
                <w:color w:val="auto"/>
              </w:rPr>
            </w:pPr>
          </w:p>
        </w:tc>
        <w:tc>
          <w:tcPr>
            <w:tcW w:w="1680" w:type="dxa"/>
            <w:vAlign w:val="bottom"/>
            <w:tcBorders>
              <w:bottom w:val="single" w:sz="8" w:color="auto"/>
            </w:tcBorders>
          </w:tcPr>
          <w:p>
            <w:pPr>
              <w:jc w:val="right"/>
              <w:ind w:right="309"/>
              <w:spacing w:after="0" w:line="157" w:lineRule="exact"/>
              <w:rPr>
                <w:sz w:val="20"/>
                <w:szCs w:val="20"/>
                <w:color w:val="auto"/>
              </w:rPr>
            </w:pPr>
            <w:r>
              <w:rPr>
                <w:rFonts w:ascii="Arial" w:cs="Arial" w:eastAsia="Arial" w:hAnsi="Arial"/>
                <w:sz w:val="14"/>
                <w:szCs w:val="14"/>
                <w:color w:val="auto"/>
              </w:rPr>
              <w:t>291,132</w:t>
            </w:r>
          </w:p>
        </w:tc>
        <w:tc>
          <w:tcPr>
            <w:tcW w:w="1340" w:type="dxa"/>
            <w:vAlign w:val="bottom"/>
            <w:tcBorders>
              <w:bottom w:val="single" w:sz="8" w:color="auto"/>
            </w:tcBorders>
          </w:tcPr>
          <w:p>
            <w:pPr>
              <w:jc w:val="right"/>
              <w:ind w:right="29"/>
              <w:spacing w:after="0" w:line="157" w:lineRule="exact"/>
              <w:rPr>
                <w:sz w:val="20"/>
                <w:szCs w:val="20"/>
                <w:color w:val="auto"/>
              </w:rPr>
            </w:pPr>
            <w:r>
              <w:rPr>
                <w:rFonts w:ascii="Arial" w:cs="Arial" w:eastAsia="Arial" w:hAnsi="Arial"/>
                <w:sz w:val="14"/>
                <w:szCs w:val="14"/>
                <w:color w:val="auto"/>
              </w:rPr>
              <w:t>115,870</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3160" w:type="dxa"/>
            <w:vAlign w:val="bottom"/>
            <w:tcBorders>
              <w:bottom w:val="single" w:sz="8" w:color="auto"/>
            </w:tcBorders>
          </w:tcPr>
          <w:p>
            <w:pPr>
              <w:spacing w:after="0" w:line="155" w:lineRule="exact"/>
              <w:rPr>
                <w:sz w:val="20"/>
                <w:szCs w:val="20"/>
                <w:color w:val="auto"/>
              </w:rPr>
            </w:pPr>
            <w:r>
              <w:rPr>
                <w:rFonts w:ascii="Arial" w:cs="Arial" w:eastAsia="Arial" w:hAnsi="Arial"/>
                <w:sz w:val="14"/>
                <w:szCs w:val="14"/>
                <w:color w:val="auto"/>
              </w:rPr>
              <w:t>Total Asia</w:t>
            </w:r>
          </w:p>
        </w:tc>
        <w:tc>
          <w:tcPr>
            <w:tcW w:w="38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shd w:val="clear" w:color="auto" w:fill="D8D8D8"/>
          </w:tcPr>
          <w:p>
            <w:pPr>
              <w:jc w:val="right"/>
              <w:ind w:right="169"/>
              <w:spacing w:after="0" w:line="155" w:lineRule="exact"/>
              <w:rPr>
                <w:sz w:val="20"/>
                <w:szCs w:val="20"/>
                <w:color w:val="auto"/>
              </w:rPr>
            </w:pPr>
            <w:r>
              <w:rPr>
                <w:rFonts w:ascii="Arial" w:cs="Arial" w:eastAsia="Arial" w:hAnsi="Arial"/>
                <w:sz w:val="14"/>
                <w:szCs w:val="14"/>
                <w:color w:val="auto"/>
              </w:rPr>
              <w:t>741,540</w:t>
            </w:r>
          </w:p>
        </w:tc>
        <w:tc>
          <w:tcPr>
            <w:tcW w:w="960" w:type="dxa"/>
            <w:vAlign w:val="bottom"/>
            <w:tcBorders>
              <w:bottom w:val="single" w:sz="8" w:color="auto"/>
            </w:tcBorders>
            <w:gridSpan w:val="2"/>
            <w:shd w:val="clear" w:color="auto" w:fill="D8D8D8"/>
          </w:tcPr>
          <w:p>
            <w:pPr>
              <w:jc w:val="right"/>
              <w:ind w:right="28"/>
              <w:spacing w:after="0" w:line="155" w:lineRule="exact"/>
              <w:rPr>
                <w:sz w:val="20"/>
                <w:szCs w:val="20"/>
                <w:color w:val="auto"/>
              </w:rPr>
            </w:pPr>
            <w:r>
              <w:rPr>
                <w:rFonts w:ascii="Arial" w:cs="Arial" w:eastAsia="Arial" w:hAnsi="Arial"/>
                <w:sz w:val="14"/>
                <w:szCs w:val="14"/>
                <w:color w:val="auto"/>
              </w:rPr>
              <w:t>401,617</w:t>
            </w:r>
          </w:p>
        </w:tc>
        <w:tc>
          <w:tcPr>
            <w:tcW w:w="1360" w:type="dxa"/>
            <w:vAlign w:val="bottom"/>
            <w:tcBorders>
              <w:bottom w:val="single" w:sz="8" w:color="auto"/>
            </w:tcBorders>
            <w:gridSpan w:val="2"/>
          </w:tcPr>
          <w:p>
            <w:pPr>
              <w:jc w:val="right"/>
              <w:ind w:right="74"/>
              <w:spacing w:after="0" w:line="155" w:lineRule="exact"/>
              <w:rPr>
                <w:sz w:val="20"/>
                <w:szCs w:val="20"/>
                <w:color w:val="auto"/>
              </w:rPr>
            </w:pPr>
            <w:r>
              <w:rPr>
                <w:rFonts w:ascii="Arial" w:cs="Arial" w:eastAsia="Arial" w:hAnsi="Arial"/>
                <w:sz w:val="14"/>
                <w:szCs w:val="14"/>
                <w:color w:val="auto"/>
              </w:rPr>
              <w:t>700,089</w:t>
            </w:r>
          </w:p>
        </w:tc>
        <w:tc>
          <w:tcPr>
            <w:tcW w:w="1100" w:type="dxa"/>
            <w:vAlign w:val="bottom"/>
            <w:tcBorders>
              <w:bottom w:val="single" w:sz="8" w:color="auto"/>
            </w:tcBorders>
          </w:tcPr>
          <w:p>
            <w:pPr>
              <w:jc w:val="right"/>
              <w:ind w:right="49"/>
              <w:spacing w:after="0" w:line="155" w:lineRule="exact"/>
              <w:rPr>
                <w:sz w:val="20"/>
                <w:szCs w:val="20"/>
                <w:color w:val="auto"/>
              </w:rPr>
            </w:pPr>
            <w:r>
              <w:rPr>
                <w:rFonts w:ascii="Arial" w:cs="Arial" w:eastAsia="Arial" w:hAnsi="Arial"/>
                <w:sz w:val="14"/>
                <w:szCs w:val="14"/>
                <w:color w:val="auto"/>
              </w:rPr>
              <w:t>406,679</w:t>
            </w:r>
          </w:p>
        </w:tc>
        <w:tc>
          <w:tcPr>
            <w:tcW w:w="240" w:type="dxa"/>
            <w:vAlign w:val="bottom"/>
            <w:tcBorders>
              <w:bottom w:val="single" w:sz="8" w:color="auto"/>
            </w:tcBorders>
          </w:tcPr>
          <w:p>
            <w:pPr>
              <w:spacing w:after="0"/>
              <w:rPr>
                <w:sz w:val="13"/>
                <w:szCs w:val="13"/>
                <w:color w:val="auto"/>
              </w:rPr>
            </w:pPr>
          </w:p>
        </w:tc>
        <w:tc>
          <w:tcPr>
            <w:tcW w:w="1680" w:type="dxa"/>
            <w:vAlign w:val="bottom"/>
            <w:tcBorders>
              <w:bottom w:val="single" w:sz="8" w:color="auto"/>
            </w:tcBorders>
          </w:tcPr>
          <w:p>
            <w:pPr>
              <w:jc w:val="right"/>
              <w:ind w:right="309"/>
              <w:spacing w:after="0" w:line="155" w:lineRule="exact"/>
              <w:rPr>
                <w:sz w:val="20"/>
                <w:szCs w:val="20"/>
                <w:color w:val="auto"/>
              </w:rPr>
            </w:pPr>
            <w:r>
              <w:rPr>
                <w:rFonts w:ascii="Arial" w:cs="Arial" w:eastAsia="Arial" w:hAnsi="Arial"/>
                <w:sz w:val="14"/>
                <w:szCs w:val="14"/>
                <w:color w:val="auto"/>
              </w:rPr>
              <w:t>567,336</w:t>
            </w:r>
          </w:p>
        </w:tc>
        <w:tc>
          <w:tcPr>
            <w:tcW w:w="1340" w:type="dxa"/>
            <w:vAlign w:val="bottom"/>
            <w:tcBorders>
              <w:bottom w:val="single" w:sz="8" w:color="auto"/>
            </w:tcBorders>
          </w:tcPr>
          <w:p>
            <w:pPr>
              <w:jc w:val="right"/>
              <w:ind w:right="29"/>
              <w:spacing w:after="0" w:line="155" w:lineRule="exact"/>
              <w:rPr>
                <w:sz w:val="20"/>
                <w:szCs w:val="20"/>
                <w:color w:val="auto"/>
              </w:rPr>
            </w:pPr>
            <w:r>
              <w:rPr>
                <w:rFonts w:ascii="Arial" w:cs="Arial" w:eastAsia="Arial" w:hAnsi="Arial"/>
                <w:sz w:val="14"/>
                <w:szCs w:val="14"/>
                <w:color w:val="auto"/>
              </w:rPr>
              <w:t>439,803</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3160" w:type="dxa"/>
            <w:vAlign w:val="bottom"/>
          </w:tcPr>
          <w:p>
            <w:pPr>
              <w:spacing w:after="0"/>
              <w:rPr>
                <w:sz w:val="20"/>
                <w:szCs w:val="20"/>
                <w:color w:val="auto"/>
              </w:rPr>
            </w:pPr>
            <w:r>
              <w:rPr>
                <w:rFonts w:ascii="Arial" w:cs="Arial" w:eastAsia="Arial" w:hAnsi="Arial"/>
                <w:sz w:val="14"/>
                <w:szCs w:val="14"/>
                <w:color w:val="auto"/>
              </w:rPr>
              <w:t>Oceania</w:t>
            </w:r>
          </w:p>
        </w:tc>
        <w:tc>
          <w:tcPr>
            <w:tcW w:w="380" w:type="dxa"/>
            <w:vAlign w:val="bottom"/>
          </w:tcPr>
          <w:p>
            <w:pPr>
              <w:spacing w:after="0"/>
              <w:rPr>
                <w:sz w:val="13"/>
                <w:szCs w:val="13"/>
                <w:color w:val="auto"/>
              </w:rPr>
            </w:pPr>
          </w:p>
        </w:tc>
        <w:tc>
          <w:tcPr>
            <w:tcW w:w="1200" w:type="dxa"/>
            <w:vAlign w:val="bottom"/>
            <w:shd w:val="clear" w:color="auto" w:fill="D8D8D8"/>
          </w:tcPr>
          <w:p>
            <w:pPr>
              <w:spacing w:after="0"/>
              <w:rPr>
                <w:sz w:val="13"/>
                <w:szCs w:val="13"/>
                <w:color w:val="auto"/>
              </w:rPr>
            </w:pPr>
          </w:p>
        </w:tc>
        <w:tc>
          <w:tcPr>
            <w:tcW w:w="760" w:type="dxa"/>
            <w:vAlign w:val="bottom"/>
            <w:shd w:val="clear" w:color="auto" w:fill="D8D8D8"/>
          </w:tcPr>
          <w:p>
            <w:pPr>
              <w:spacing w:after="0"/>
              <w:rPr>
                <w:sz w:val="13"/>
                <w:szCs w:val="13"/>
                <w:color w:val="auto"/>
              </w:rPr>
            </w:pPr>
          </w:p>
        </w:tc>
        <w:tc>
          <w:tcPr>
            <w:tcW w:w="200" w:type="dxa"/>
            <w:vAlign w:val="bottom"/>
            <w:shd w:val="clear" w:color="auto" w:fill="D8D8D8"/>
          </w:tcPr>
          <w:p>
            <w:pPr>
              <w:spacing w:after="0"/>
              <w:rPr>
                <w:sz w:val="13"/>
                <w:szCs w:val="13"/>
                <w:color w:val="auto"/>
              </w:rPr>
            </w:pPr>
          </w:p>
        </w:tc>
        <w:tc>
          <w:tcPr>
            <w:tcW w:w="2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160" w:type="dxa"/>
            <w:vAlign w:val="bottom"/>
          </w:tcPr>
          <w:p>
            <w:pPr>
              <w:ind w:left="140"/>
              <w:spacing w:after="0"/>
              <w:rPr>
                <w:sz w:val="20"/>
                <w:szCs w:val="20"/>
                <w:color w:val="auto"/>
              </w:rPr>
            </w:pPr>
            <w:r>
              <w:rPr>
                <w:rFonts w:ascii="Arial" w:cs="Arial" w:eastAsia="Arial" w:hAnsi="Arial"/>
                <w:sz w:val="14"/>
                <w:szCs w:val="14"/>
                <w:color w:val="auto"/>
              </w:rPr>
              <w:t>Australia</w:t>
            </w:r>
          </w:p>
        </w:tc>
        <w:tc>
          <w:tcPr>
            <w:tcW w:w="380" w:type="dxa"/>
            <w:vAlign w:val="bottom"/>
          </w:tcPr>
          <w:p>
            <w:pPr>
              <w:spacing w:after="0"/>
              <w:rPr>
                <w:sz w:val="14"/>
                <w:szCs w:val="14"/>
                <w:color w:val="auto"/>
              </w:rPr>
            </w:pPr>
          </w:p>
        </w:tc>
        <w:tc>
          <w:tcPr>
            <w:tcW w:w="1200" w:type="dxa"/>
            <w:vAlign w:val="bottom"/>
            <w:shd w:val="clear" w:color="auto" w:fill="D8D8D8"/>
          </w:tcPr>
          <w:p>
            <w:pPr>
              <w:jc w:val="right"/>
              <w:ind w:right="169"/>
              <w:spacing w:after="0"/>
              <w:rPr>
                <w:sz w:val="20"/>
                <w:szCs w:val="20"/>
                <w:color w:val="auto"/>
              </w:rPr>
            </w:pPr>
            <w:r>
              <w:rPr>
                <w:rFonts w:ascii="Arial" w:cs="Arial" w:eastAsia="Arial" w:hAnsi="Arial"/>
                <w:sz w:val="14"/>
                <w:szCs w:val="14"/>
                <w:color w:val="auto"/>
              </w:rPr>
              <w:t>132,801</w:t>
            </w:r>
          </w:p>
        </w:tc>
        <w:tc>
          <w:tcPr>
            <w:tcW w:w="960" w:type="dxa"/>
            <w:vAlign w:val="bottom"/>
            <w:gridSpan w:val="2"/>
            <w:shd w:val="clear" w:color="auto" w:fill="D8D8D8"/>
          </w:tcPr>
          <w:p>
            <w:pPr>
              <w:jc w:val="right"/>
              <w:ind w:right="28"/>
              <w:spacing w:after="0"/>
              <w:rPr>
                <w:sz w:val="20"/>
                <w:szCs w:val="20"/>
                <w:color w:val="auto"/>
              </w:rPr>
            </w:pPr>
            <w:r>
              <w:rPr>
                <w:rFonts w:ascii="Arial" w:cs="Arial" w:eastAsia="Arial" w:hAnsi="Arial"/>
                <w:sz w:val="14"/>
                <w:szCs w:val="14"/>
                <w:color w:val="auto"/>
              </w:rPr>
              <w:t>87,830</w:t>
            </w:r>
          </w:p>
        </w:tc>
        <w:tc>
          <w:tcPr>
            <w:tcW w:w="1360" w:type="dxa"/>
            <w:vAlign w:val="bottom"/>
            <w:gridSpan w:val="2"/>
          </w:tcPr>
          <w:p>
            <w:pPr>
              <w:jc w:val="right"/>
              <w:ind w:right="74"/>
              <w:spacing w:after="0"/>
              <w:rPr>
                <w:sz w:val="20"/>
                <w:szCs w:val="20"/>
                <w:color w:val="auto"/>
              </w:rPr>
            </w:pPr>
            <w:r>
              <w:rPr>
                <w:rFonts w:ascii="Arial" w:cs="Arial" w:eastAsia="Arial" w:hAnsi="Arial"/>
                <w:sz w:val="14"/>
                <w:szCs w:val="14"/>
                <w:color w:val="auto"/>
              </w:rPr>
              <w:t>125,654</w:t>
            </w:r>
          </w:p>
        </w:tc>
        <w:tc>
          <w:tcPr>
            <w:tcW w:w="1100" w:type="dxa"/>
            <w:vAlign w:val="bottom"/>
          </w:tcPr>
          <w:p>
            <w:pPr>
              <w:jc w:val="right"/>
              <w:ind w:right="49"/>
              <w:spacing w:after="0"/>
              <w:rPr>
                <w:sz w:val="20"/>
                <w:szCs w:val="20"/>
                <w:color w:val="auto"/>
              </w:rPr>
            </w:pPr>
            <w:r>
              <w:rPr>
                <w:rFonts w:ascii="Arial" w:cs="Arial" w:eastAsia="Arial" w:hAnsi="Arial"/>
                <w:sz w:val="14"/>
                <w:szCs w:val="14"/>
                <w:color w:val="auto"/>
              </w:rPr>
              <w:t>100,707</w:t>
            </w:r>
          </w:p>
        </w:tc>
        <w:tc>
          <w:tcPr>
            <w:tcW w:w="240" w:type="dxa"/>
            <w:vAlign w:val="bottom"/>
          </w:tcPr>
          <w:p>
            <w:pPr>
              <w:spacing w:after="0"/>
              <w:rPr>
                <w:sz w:val="14"/>
                <w:szCs w:val="14"/>
                <w:color w:val="auto"/>
              </w:rPr>
            </w:pPr>
          </w:p>
        </w:tc>
        <w:tc>
          <w:tcPr>
            <w:tcW w:w="1680" w:type="dxa"/>
            <w:vAlign w:val="bottom"/>
          </w:tcPr>
          <w:p>
            <w:pPr>
              <w:jc w:val="right"/>
              <w:ind w:right="309"/>
              <w:spacing w:after="0"/>
              <w:rPr>
                <w:sz w:val="20"/>
                <w:szCs w:val="20"/>
                <w:color w:val="auto"/>
              </w:rPr>
            </w:pPr>
            <w:r>
              <w:rPr>
                <w:rFonts w:ascii="Arial" w:cs="Arial" w:eastAsia="Arial" w:hAnsi="Arial"/>
                <w:sz w:val="14"/>
                <w:szCs w:val="14"/>
                <w:color w:val="auto"/>
              </w:rPr>
              <w:t>128,869</w:t>
            </w:r>
          </w:p>
        </w:tc>
        <w:tc>
          <w:tcPr>
            <w:tcW w:w="1340" w:type="dxa"/>
            <w:vAlign w:val="bottom"/>
          </w:tcPr>
          <w:p>
            <w:pPr>
              <w:jc w:val="right"/>
              <w:ind w:right="29"/>
              <w:spacing w:after="0"/>
              <w:rPr>
                <w:sz w:val="20"/>
                <w:szCs w:val="20"/>
                <w:color w:val="auto"/>
              </w:rPr>
            </w:pPr>
            <w:r>
              <w:rPr>
                <w:rFonts w:ascii="Arial" w:cs="Arial" w:eastAsia="Arial" w:hAnsi="Arial"/>
                <w:sz w:val="14"/>
                <w:szCs w:val="14"/>
                <w:color w:val="auto"/>
              </w:rPr>
              <w:t>88,834</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3160" w:type="dxa"/>
            <w:vAlign w:val="bottom"/>
          </w:tcPr>
          <w:p>
            <w:pPr>
              <w:ind w:left="140"/>
              <w:spacing w:after="0" w:line="157" w:lineRule="exact"/>
              <w:rPr>
                <w:sz w:val="20"/>
                <w:szCs w:val="20"/>
                <w:color w:val="auto"/>
              </w:rPr>
            </w:pPr>
            <w:r>
              <w:rPr>
                <w:rFonts w:ascii="Arial" w:cs="Arial" w:eastAsia="Arial" w:hAnsi="Arial"/>
                <w:sz w:val="14"/>
                <w:szCs w:val="14"/>
                <w:color w:val="auto"/>
              </w:rPr>
              <w:t>New Zealand</w:t>
            </w:r>
          </w:p>
        </w:tc>
        <w:tc>
          <w:tcPr>
            <w:tcW w:w="380" w:type="dxa"/>
            <w:vAlign w:val="bottom"/>
          </w:tcPr>
          <w:p>
            <w:pPr>
              <w:spacing w:after="0"/>
              <w:rPr>
                <w:sz w:val="13"/>
                <w:szCs w:val="13"/>
                <w:color w:val="auto"/>
              </w:rPr>
            </w:pPr>
          </w:p>
        </w:tc>
        <w:tc>
          <w:tcPr>
            <w:tcW w:w="1200" w:type="dxa"/>
            <w:vAlign w:val="bottom"/>
            <w:shd w:val="clear" w:color="auto" w:fill="D8D8D8"/>
          </w:tcPr>
          <w:p>
            <w:pPr>
              <w:jc w:val="right"/>
              <w:ind w:right="169"/>
              <w:spacing w:after="0" w:line="157" w:lineRule="exact"/>
              <w:rPr>
                <w:sz w:val="20"/>
                <w:szCs w:val="20"/>
                <w:color w:val="auto"/>
              </w:rPr>
            </w:pPr>
            <w:r>
              <w:rPr>
                <w:rFonts w:ascii="Arial" w:cs="Arial" w:eastAsia="Arial" w:hAnsi="Arial"/>
                <w:sz w:val="14"/>
                <w:szCs w:val="14"/>
                <w:color w:val="auto"/>
              </w:rPr>
              <w:t>69,052</w:t>
            </w:r>
          </w:p>
        </w:tc>
        <w:tc>
          <w:tcPr>
            <w:tcW w:w="760" w:type="dxa"/>
            <w:vAlign w:val="bottom"/>
            <w:shd w:val="clear" w:color="auto" w:fill="D8D8D8"/>
          </w:tcPr>
          <w:p>
            <w:pPr>
              <w:spacing w:after="0"/>
              <w:rPr>
                <w:sz w:val="13"/>
                <w:szCs w:val="13"/>
                <w:color w:val="auto"/>
              </w:rPr>
            </w:pPr>
          </w:p>
        </w:tc>
        <w:tc>
          <w:tcPr>
            <w:tcW w:w="200" w:type="dxa"/>
            <w:vAlign w:val="bottom"/>
            <w:shd w:val="clear" w:color="auto" w:fill="D8D8D8"/>
          </w:tcPr>
          <w:p>
            <w:pPr>
              <w:jc w:val="right"/>
              <w:ind w:right="28"/>
              <w:spacing w:after="0" w:line="157" w:lineRule="exact"/>
              <w:rPr>
                <w:sz w:val="20"/>
                <w:szCs w:val="20"/>
                <w:color w:val="auto"/>
              </w:rPr>
            </w:pPr>
            <w:r>
              <w:rPr>
                <w:rFonts w:ascii="Arial" w:cs="Arial" w:eastAsia="Arial" w:hAnsi="Arial"/>
                <w:sz w:val="14"/>
                <w:szCs w:val="14"/>
                <w:color w:val="auto"/>
              </w:rPr>
              <w:t>–</w:t>
            </w:r>
          </w:p>
        </w:tc>
        <w:tc>
          <w:tcPr>
            <w:tcW w:w="1360" w:type="dxa"/>
            <w:vAlign w:val="bottom"/>
            <w:gridSpan w:val="2"/>
          </w:tcPr>
          <w:p>
            <w:pPr>
              <w:jc w:val="right"/>
              <w:ind w:right="74"/>
              <w:spacing w:after="0" w:line="157" w:lineRule="exact"/>
              <w:rPr>
                <w:sz w:val="20"/>
                <w:szCs w:val="20"/>
                <w:color w:val="auto"/>
              </w:rPr>
            </w:pPr>
            <w:r>
              <w:rPr>
                <w:rFonts w:ascii="Arial" w:cs="Arial" w:eastAsia="Arial" w:hAnsi="Arial"/>
                <w:sz w:val="14"/>
                <w:szCs w:val="14"/>
                <w:color w:val="auto"/>
              </w:rPr>
              <w:t>61,407</w:t>
            </w:r>
          </w:p>
        </w:tc>
        <w:tc>
          <w:tcPr>
            <w:tcW w:w="1340" w:type="dxa"/>
            <w:vAlign w:val="bottom"/>
            <w:gridSpan w:val="2"/>
          </w:tcPr>
          <w:p>
            <w:pPr>
              <w:jc w:val="right"/>
              <w:ind w:right="360"/>
              <w:spacing w:after="0" w:line="157" w:lineRule="exact"/>
              <w:rPr>
                <w:sz w:val="20"/>
                <w:szCs w:val="20"/>
                <w:color w:val="auto"/>
              </w:rPr>
            </w:pPr>
            <w:r>
              <w:rPr>
                <w:rFonts w:ascii="Arial" w:cs="Arial" w:eastAsia="Arial" w:hAnsi="Arial"/>
                <w:sz w:val="14"/>
                <w:szCs w:val="14"/>
                <w:color w:val="auto"/>
              </w:rPr>
              <w:t>–</w:t>
            </w:r>
          </w:p>
        </w:tc>
        <w:tc>
          <w:tcPr>
            <w:tcW w:w="1680" w:type="dxa"/>
            <w:vAlign w:val="bottom"/>
          </w:tcPr>
          <w:p>
            <w:pPr>
              <w:jc w:val="right"/>
              <w:ind w:right="309"/>
              <w:spacing w:after="0" w:line="157" w:lineRule="exact"/>
              <w:rPr>
                <w:sz w:val="20"/>
                <w:szCs w:val="20"/>
                <w:color w:val="auto"/>
              </w:rPr>
            </w:pPr>
            <w:r>
              <w:rPr>
                <w:rFonts w:ascii="Arial" w:cs="Arial" w:eastAsia="Arial" w:hAnsi="Arial"/>
                <w:sz w:val="14"/>
                <w:szCs w:val="14"/>
                <w:color w:val="auto"/>
              </w:rPr>
              <w:t>66,627</w:t>
            </w:r>
          </w:p>
        </w:tc>
        <w:tc>
          <w:tcPr>
            <w:tcW w:w="1360" w:type="dxa"/>
            <w:vAlign w:val="bottom"/>
            <w:gridSpan w:val="2"/>
          </w:tcPr>
          <w:p>
            <w:pPr>
              <w:jc w:val="right"/>
              <w:ind w:right="120"/>
              <w:spacing w:after="0" w:line="157"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6"/>
        </w:trPr>
        <w:tc>
          <w:tcPr>
            <w:tcW w:w="316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color w:val="auto"/>
              </w:rPr>
              <w:t>Total Oceania</w:t>
            </w:r>
          </w:p>
        </w:tc>
        <w:tc>
          <w:tcPr>
            <w:tcW w:w="380" w:type="dxa"/>
            <w:vAlign w:val="bottom"/>
            <w:tcBorders>
              <w:top w:val="single" w:sz="8" w:color="auto"/>
              <w:bottom w:val="single" w:sz="8" w:color="auto"/>
            </w:tcBorders>
          </w:tcPr>
          <w:p>
            <w:pPr>
              <w:spacing w:after="0"/>
              <w:rPr>
                <w:sz w:val="13"/>
                <w:szCs w:val="13"/>
                <w:color w:val="auto"/>
              </w:rPr>
            </w:pPr>
          </w:p>
        </w:tc>
        <w:tc>
          <w:tcPr>
            <w:tcW w:w="1200" w:type="dxa"/>
            <w:vAlign w:val="bottom"/>
            <w:tcBorders>
              <w:top w:val="single" w:sz="8" w:color="auto"/>
              <w:bottom w:val="single" w:sz="8" w:color="auto"/>
            </w:tcBorders>
            <w:shd w:val="clear" w:color="auto" w:fill="D8D8D8"/>
          </w:tcPr>
          <w:p>
            <w:pPr>
              <w:jc w:val="right"/>
              <w:ind w:right="169"/>
              <w:spacing w:after="0" w:line="155" w:lineRule="exact"/>
              <w:rPr>
                <w:sz w:val="20"/>
                <w:szCs w:val="20"/>
                <w:color w:val="auto"/>
              </w:rPr>
            </w:pPr>
            <w:r>
              <w:rPr>
                <w:rFonts w:ascii="Arial" w:cs="Arial" w:eastAsia="Arial" w:hAnsi="Arial"/>
                <w:sz w:val="14"/>
                <w:szCs w:val="14"/>
                <w:color w:val="auto"/>
              </w:rPr>
              <w:t>201,853</w:t>
            </w:r>
          </w:p>
        </w:tc>
        <w:tc>
          <w:tcPr>
            <w:tcW w:w="960" w:type="dxa"/>
            <w:vAlign w:val="bottom"/>
            <w:tcBorders>
              <w:top w:val="single" w:sz="8" w:color="auto"/>
              <w:bottom w:val="single" w:sz="8" w:color="auto"/>
            </w:tcBorders>
            <w:gridSpan w:val="2"/>
            <w:shd w:val="clear" w:color="auto" w:fill="D8D8D8"/>
          </w:tcPr>
          <w:p>
            <w:pPr>
              <w:jc w:val="right"/>
              <w:ind w:right="28"/>
              <w:spacing w:after="0" w:line="155" w:lineRule="exact"/>
              <w:rPr>
                <w:sz w:val="20"/>
                <w:szCs w:val="20"/>
                <w:color w:val="auto"/>
              </w:rPr>
            </w:pPr>
            <w:r>
              <w:rPr>
                <w:rFonts w:ascii="Arial" w:cs="Arial" w:eastAsia="Arial" w:hAnsi="Arial"/>
                <w:sz w:val="14"/>
                <w:szCs w:val="14"/>
                <w:color w:val="auto"/>
              </w:rPr>
              <w:t>87,830</w:t>
            </w:r>
          </w:p>
        </w:tc>
        <w:tc>
          <w:tcPr>
            <w:tcW w:w="1360" w:type="dxa"/>
            <w:vAlign w:val="bottom"/>
            <w:tcBorders>
              <w:top w:val="single" w:sz="8" w:color="auto"/>
              <w:bottom w:val="single" w:sz="8" w:color="auto"/>
            </w:tcBorders>
            <w:gridSpan w:val="2"/>
          </w:tcPr>
          <w:p>
            <w:pPr>
              <w:jc w:val="right"/>
              <w:ind w:right="74"/>
              <w:spacing w:after="0" w:line="155" w:lineRule="exact"/>
              <w:rPr>
                <w:sz w:val="20"/>
                <w:szCs w:val="20"/>
                <w:color w:val="auto"/>
              </w:rPr>
            </w:pPr>
            <w:r>
              <w:rPr>
                <w:rFonts w:ascii="Arial" w:cs="Arial" w:eastAsia="Arial" w:hAnsi="Arial"/>
                <w:sz w:val="14"/>
                <w:szCs w:val="14"/>
                <w:color w:val="auto"/>
              </w:rPr>
              <w:t>187,061</w:t>
            </w:r>
          </w:p>
        </w:tc>
        <w:tc>
          <w:tcPr>
            <w:tcW w:w="1100" w:type="dxa"/>
            <w:vAlign w:val="bottom"/>
            <w:tcBorders>
              <w:top w:val="single" w:sz="8" w:color="auto"/>
              <w:bottom w:val="single" w:sz="8" w:color="auto"/>
            </w:tcBorders>
          </w:tcPr>
          <w:p>
            <w:pPr>
              <w:jc w:val="right"/>
              <w:ind w:right="49"/>
              <w:spacing w:after="0" w:line="155" w:lineRule="exact"/>
              <w:rPr>
                <w:sz w:val="20"/>
                <w:szCs w:val="20"/>
                <w:color w:val="auto"/>
              </w:rPr>
            </w:pPr>
            <w:r>
              <w:rPr>
                <w:rFonts w:ascii="Arial" w:cs="Arial" w:eastAsia="Arial" w:hAnsi="Arial"/>
                <w:sz w:val="14"/>
                <w:szCs w:val="14"/>
                <w:color w:val="auto"/>
              </w:rPr>
              <w:t>100,707</w:t>
            </w:r>
          </w:p>
        </w:tc>
        <w:tc>
          <w:tcPr>
            <w:tcW w:w="240" w:type="dxa"/>
            <w:vAlign w:val="bottom"/>
            <w:tcBorders>
              <w:top w:val="single" w:sz="8" w:color="auto"/>
              <w:bottom w:val="single" w:sz="8" w:color="auto"/>
            </w:tcBorders>
          </w:tcPr>
          <w:p>
            <w:pPr>
              <w:spacing w:after="0"/>
              <w:rPr>
                <w:sz w:val="13"/>
                <w:szCs w:val="13"/>
                <w:color w:val="auto"/>
              </w:rPr>
            </w:pPr>
          </w:p>
        </w:tc>
        <w:tc>
          <w:tcPr>
            <w:tcW w:w="1680" w:type="dxa"/>
            <w:vAlign w:val="bottom"/>
            <w:tcBorders>
              <w:top w:val="single" w:sz="8" w:color="auto"/>
              <w:bottom w:val="single" w:sz="8" w:color="auto"/>
            </w:tcBorders>
          </w:tcPr>
          <w:p>
            <w:pPr>
              <w:jc w:val="right"/>
              <w:ind w:right="309"/>
              <w:spacing w:after="0" w:line="155" w:lineRule="exact"/>
              <w:rPr>
                <w:sz w:val="20"/>
                <w:szCs w:val="20"/>
                <w:color w:val="auto"/>
              </w:rPr>
            </w:pPr>
            <w:r>
              <w:rPr>
                <w:rFonts w:ascii="Arial" w:cs="Arial" w:eastAsia="Arial" w:hAnsi="Arial"/>
                <w:sz w:val="14"/>
                <w:szCs w:val="14"/>
                <w:color w:val="auto"/>
              </w:rPr>
              <w:t>195,496</w:t>
            </w:r>
          </w:p>
        </w:tc>
        <w:tc>
          <w:tcPr>
            <w:tcW w:w="1340" w:type="dxa"/>
            <w:vAlign w:val="bottom"/>
            <w:tcBorders>
              <w:top w:val="single" w:sz="8" w:color="auto"/>
              <w:bottom w:val="single" w:sz="8" w:color="auto"/>
            </w:tcBorders>
          </w:tcPr>
          <w:p>
            <w:pPr>
              <w:jc w:val="right"/>
              <w:ind w:right="29"/>
              <w:spacing w:after="0" w:line="155" w:lineRule="exact"/>
              <w:rPr>
                <w:sz w:val="20"/>
                <w:szCs w:val="20"/>
                <w:color w:val="auto"/>
              </w:rPr>
            </w:pPr>
            <w:r>
              <w:rPr>
                <w:rFonts w:ascii="Arial" w:cs="Arial" w:eastAsia="Arial" w:hAnsi="Arial"/>
                <w:sz w:val="14"/>
                <w:szCs w:val="14"/>
                <w:color w:val="auto"/>
              </w:rPr>
              <w:t>88,834</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3160" w:type="dxa"/>
            <w:vAlign w:val="bottom"/>
          </w:tcPr>
          <w:p>
            <w:pPr>
              <w:spacing w:after="0"/>
              <w:rPr>
                <w:sz w:val="20"/>
                <w:szCs w:val="20"/>
                <w:color w:val="auto"/>
              </w:rPr>
            </w:pPr>
            <w:r>
              <w:rPr>
                <w:rFonts w:ascii="Arial" w:cs="Arial" w:eastAsia="Arial" w:hAnsi="Arial"/>
                <w:sz w:val="14"/>
                <w:szCs w:val="14"/>
                <w:color w:val="auto"/>
              </w:rPr>
              <w:t>Africa</w:t>
            </w:r>
          </w:p>
        </w:tc>
        <w:tc>
          <w:tcPr>
            <w:tcW w:w="380" w:type="dxa"/>
            <w:vAlign w:val="bottom"/>
          </w:tcPr>
          <w:p>
            <w:pPr>
              <w:spacing w:after="0"/>
              <w:rPr>
                <w:sz w:val="13"/>
                <w:szCs w:val="13"/>
                <w:color w:val="auto"/>
              </w:rPr>
            </w:pPr>
          </w:p>
        </w:tc>
        <w:tc>
          <w:tcPr>
            <w:tcW w:w="1200" w:type="dxa"/>
            <w:vAlign w:val="bottom"/>
            <w:shd w:val="clear" w:color="auto" w:fill="D8D8D8"/>
          </w:tcPr>
          <w:p>
            <w:pPr>
              <w:spacing w:after="0"/>
              <w:rPr>
                <w:sz w:val="13"/>
                <w:szCs w:val="13"/>
                <w:color w:val="auto"/>
              </w:rPr>
            </w:pPr>
          </w:p>
        </w:tc>
        <w:tc>
          <w:tcPr>
            <w:tcW w:w="760" w:type="dxa"/>
            <w:vAlign w:val="bottom"/>
            <w:shd w:val="clear" w:color="auto" w:fill="D8D8D8"/>
          </w:tcPr>
          <w:p>
            <w:pPr>
              <w:spacing w:after="0"/>
              <w:rPr>
                <w:sz w:val="13"/>
                <w:szCs w:val="13"/>
                <w:color w:val="auto"/>
              </w:rPr>
            </w:pPr>
          </w:p>
        </w:tc>
        <w:tc>
          <w:tcPr>
            <w:tcW w:w="200" w:type="dxa"/>
            <w:vAlign w:val="bottom"/>
            <w:shd w:val="clear" w:color="auto" w:fill="D8D8D8"/>
          </w:tcPr>
          <w:p>
            <w:pPr>
              <w:spacing w:after="0"/>
              <w:rPr>
                <w:sz w:val="13"/>
                <w:szCs w:val="13"/>
                <w:color w:val="auto"/>
              </w:rPr>
            </w:pPr>
          </w:p>
        </w:tc>
        <w:tc>
          <w:tcPr>
            <w:tcW w:w="2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160" w:type="dxa"/>
            <w:vAlign w:val="bottom"/>
          </w:tcPr>
          <w:p>
            <w:pPr>
              <w:ind w:left="140"/>
              <w:spacing w:after="0"/>
              <w:rPr>
                <w:sz w:val="20"/>
                <w:szCs w:val="20"/>
                <w:color w:val="auto"/>
              </w:rPr>
            </w:pPr>
            <w:r>
              <w:rPr>
                <w:rFonts w:ascii="Arial" w:cs="Arial" w:eastAsia="Arial" w:hAnsi="Arial"/>
                <w:sz w:val="14"/>
                <w:szCs w:val="14"/>
                <w:color w:val="auto"/>
              </w:rPr>
              <w:t>Egypt</w:t>
            </w:r>
          </w:p>
        </w:tc>
        <w:tc>
          <w:tcPr>
            <w:tcW w:w="380" w:type="dxa"/>
            <w:vAlign w:val="bottom"/>
          </w:tcPr>
          <w:p>
            <w:pPr>
              <w:spacing w:after="0"/>
              <w:rPr>
                <w:sz w:val="14"/>
                <w:szCs w:val="14"/>
                <w:color w:val="auto"/>
              </w:rPr>
            </w:pPr>
          </w:p>
        </w:tc>
        <w:tc>
          <w:tcPr>
            <w:tcW w:w="1200" w:type="dxa"/>
            <w:vAlign w:val="bottom"/>
            <w:shd w:val="clear" w:color="auto" w:fill="D8D8D8"/>
          </w:tcPr>
          <w:p>
            <w:pPr>
              <w:jc w:val="right"/>
              <w:ind w:right="169"/>
              <w:spacing w:after="0"/>
              <w:rPr>
                <w:sz w:val="20"/>
                <w:szCs w:val="20"/>
                <w:color w:val="auto"/>
              </w:rPr>
            </w:pPr>
            <w:r>
              <w:rPr>
                <w:rFonts w:ascii="Arial" w:cs="Arial" w:eastAsia="Arial" w:hAnsi="Arial"/>
                <w:sz w:val="14"/>
                <w:szCs w:val="14"/>
                <w:color w:val="auto"/>
              </w:rPr>
              <w:t>54,079</w:t>
            </w:r>
          </w:p>
        </w:tc>
        <w:tc>
          <w:tcPr>
            <w:tcW w:w="760" w:type="dxa"/>
            <w:vAlign w:val="bottom"/>
            <w:shd w:val="clear" w:color="auto" w:fill="D8D8D8"/>
          </w:tcPr>
          <w:p>
            <w:pPr>
              <w:spacing w:after="0"/>
              <w:rPr>
                <w:sz w:val="14"/>
                <w:szCs w:val="14"/>
                <w:color w:val="auto"/>
              </w:rPr>
            </w:pPr>
          </w:p>
        </w:tc>
        <w:tc>
          <w:tcPr>
            <w:tcW w:w="200" w:type="dxa"/>
            <w:vAlign w:val="bottom"/>
            <w:shd w:val="clear" w:color="auto" w:fill="D8D8D8"/>
          </w:tcPr>
          <w:p>
            <w:pPr>
              <w:jc w:val="right"/>
              <w:ind w:right="28"/>
              <w:spacing w:after="0"/>
              <w:rPr>
                <w:sz w:val="20"/>
                <w:szCs w:val="20"/>
                <w:color w:val="auto"/>
              </w:rPr>
            </w:pPr>
            <w:r>
              <w:rPr>
                <w:rFonts w:ascii="Arial" w:cs="Arial" w:eastAsia="Arial" w:hAnsi="Arial"/>
                <w:sz w:val="14"/>
                <w:szCs w:val="14"/>
                <w:color w:val="auto"/>
              </w:rPr>
              <w:t>–</w:t>
            </w:r>
          </w:p>
        </w:tc>
        <w:tc>
          <w:tcPr>
            <w:tcW w:w="1360" w:type="dxa"/>
            <w:vAlign w:val="bottom"/>
            <w:gridSpan w:val="2"/>
          </w:tcPr>
          <w:p>
            <w:pPr>
              <w:jc w:val="right"/>
              <w:ind w:right="74"/>
              <w:spacing w:after="0"/>
              <w:rPr>
                <w:sz w:val="20"/>
                <w:szCs w:val="20"/>
                <w:color w:val="auto"/>
              </w:rPr>
            </w:pPr>
            <w:r>
              <w:rPr>
                <w:rFonts w:ascii="Arial" w:cs="Arial" w:eastAsia="Arial" w:hAnsi="Arial"/>
                <w:sz w:val="14"/>
                <w:szCs w:val="14"/>
                <w:color w:val="auto"/>
              </w:rPr>
              <w:t>46,072</w:t>
            </w:r>
          </w:p>
        </w:tc>
        <w:tc>
          <w:tcPr>
            <w:tcW w:w="1340" w:type="dxa"/>
            <w:vAlign w:val="bottom"/>
            <w:gridSpan w:val="2"/>
          </w:tcPr>
          <w:p>
            <w:pPr>
              <w:jc w:val="right"/>
              <w:ind w:right="360"/>
              <w:spacing w:after="0"/>
              <w:rPr>
                <w:sz w:val="20"/>
                <w:szCs w:val="20"/>
                <w:color w:val="auto"/>
              </w:rPr>
            </w:pPr>
            <w:r>
              <w:rPr>
                <w:rFonts w:ascii="Arial" w:cs="Arial" w:eastAsia="Arial" w:hAnsi="Arial"/>
                <w:sz w:val="14"/>
                <w:szCs w:val="14"/>
                <w:color w:val="auto"/>
              </w:rPr>
              <w:t>–</w:t>
            </w:r>
          </w:p>
        </w:tc>
        <w:tc>
          <w:tcPr>
            <w:tcW w:w="1680" w:type="dxa"/>
            <w:vAlign w:val="bottom"/>
          </w:tcPr>
          <w:p>
            <w:pPr>
              <w:jc w:val="right"/>
              <w:ind w:right="309"/>
              <w:spacing w:after="0"/>
              <w:rPr>
                <w:sz w:val="20"/>
                <w:szCs w:val="20"/>
                <w:color w:val="auto"/>
              </w:rPr>
            </w:pPr>
            <w:r>
              <w:rPr>
                <w:rFonts w:ascii="Arial" w:cs="Arial" w:eastAsia="Arial" w:hAnsi="Arial"/>
                <w:sz w:val="14"/>
                <w:szCs w:val="14"/>
                <w:color w:val="auto"/>
              </w:rPr>
              <w:t>51,589</w:t>
            </w:r>
          </w:p>
        </w:tc>
        <w:tc>
          <w:tcPr>
            <w:tcW w:w="13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7"/>
        </w:trPr>
        <w:tc>
          <w:tcPr>
            <w:tcW w:w="3160" w:type="dxa"/>
            <w:vAlign w:val="bottom"/>
            <w:tcBorders>
              <w:bottom w:val="single" w:sz="8" w:color="auto"/>
            </w:tcBorders>
          </w:tcPr>
          <w:p>
            <w:pPr>
              <w:ind w:left="140"/>
              <w:spacing w:after="0" w:line="157" w:lineRule="exact"/>
              <w:rPr>
                <w:sz w:val="20"/>
                <w:szCs w:val="20"/>
                <w:color w:val="auto"/>
              </w:rPr>
            </w:pPr>
            <w:r>
              <w:rPr>
                <w:rFonts w:ascii="Arial" w:cs="Arial" w:eastAsia="Arial" w:hAnsi="Arial"/>
                <w:sz w:val="14"/>
                <w:szCs w:val="14"/>
                <w:color w:val="auto"/>
              </w:rPr>
              <w:t>Nigeria</w:t>
            </w:r>
          </w:p>
        </w:tc>
        <w:tc>
          <w:tcPr>
            <w:tcW w:w="38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shd w:val="clear" w:color="auto" w:fill="D8D8D8"/>
          </w:tcPr>
          <w:p>
            <w:pPr>
              <w:jc w:val="right"/>
              <w:ind w:right="169"/>
              <w:spacing w:after="0" w:line="157" w:lineRule="exact"/>
              <w:rPr>
                <w:sz w:val="20"/>
                <w:szCs w:val="20"/>
                <w:color w:val="auto"/>
              </w:rPr>
            </w:pPr>
            <w:r>
              <w:rPr>
                <w:rFonts w:ascii="Arial" w:cs="Arial" w:eastAsia="Arial" w:hAnsi="Arial"/>
                <w:sz w:val="14"/>
                <w:szCs w:val="14"/>
                <w:color w:val="auto"/>
              </w:rPr>
              <w:t>234,599</w:t>
            </w:r>
          </w:p>
        </w:tc>
        <w:tc>
          <w:tcPr>
            <w:tcW w:w="760" w:type="dxa"/>
            <w:vAlign w:val="bottom"/>
            <w:tcBorders>
              <w:bottom w:val="single" w:sz="8" w:color="auto"/>
            </w:tcBorders>
            <w:shd w:val="clear" w:color="auto" w:fill="D8D8D8"/>
          </w:tcPr>
          <w:p>
            <w:pPr>
              <w:spacing w:after="0"/>
              <w:rPr>
                <w:sz w:val="13"/>
                <w:szCs w:val="13"/>
                <w:color w:val="auto"/>
              </w:rPr>
            </w:pPr>
          </w:p>
        </w:tc>
        <w:tc>
          <w:tcPr>
            <w:tcW w:w="200" w:type="dxa"/>
            <w:vAlign w:val="bottom"/>
            <w:tcBorders>
              <w:bottom w:val="single" w:sz="8" w:color="auto"/>
            </w:tcBorders>
            <w:shd w:val="clear" w:color="auto" w:fill="D8D8D8"/>
          </w:tcPr>
          <w:p>
            <w:pPr>
              <w:jc w:val="right"/>
              <w:ind w:right="28"/>
              <w:spacing w:after="0" w:line="157" w:lineRule="exact"/>
              <w:rPr>
                <w:sz w:val="20"/>
                <w:szCs w:val="20"/>
                <w:color w:val="auto"/>
              </w:rPr>
            </w:pPr>
            <w:r>
              <w:rPr>
                <w:rFonts w:ascii="Arial" w:cs="Arial" w:eastAsia="Arial" w:hAnsi="Arial"/>
                <w:sz w:val="14"/>
                <w:szCs w:val="14"/>
                <w:color w:val="auto"/>
              </w:rPr>
              <w:t>–</w:t>
            </w:r>
          </w:p>
        </w:tc>
        <w:tc>
          <w:tcPr>
            <w:tcW w:w="1360" w:type="dxa"/>
            <w:vAlign w:val="bottom"/>
            <w:tcBorders>
              <w:bottom w:val="single" w:sz="8" w:color="auto"/>
            </w:tcBorders>
            <w:gridSpan w:val="2"/>
          </w:tcPr>
          <w:p>
            <w:pPr>
              <w:jc w:val="right"/>
              <w:ind w:right="74"/>
              <w:spacing w:after="0" w:line="157" w:lineRule="exact"/>
              <w:rPr>
                <w:sz w:val="20"/>
                <w:szCs w:val="20"/>
                <w:color w:val="auto"/>
              </w:rPr>
            </w:pPr>
            <w:r>
              <w:rPr>
                <w:rFonts w:ascii="Arial" w:cs="Arial" w:eastAsia="Arial" w:hAnsi="Arial"/>
                <w:sz w:val="14"/>
                <w:szCs w:val="14"/>
                <w:color w:val="auto"/>
              </w:rPr>
              <w:t>201,311</w:t>
            </w:r>
          </w:p>
        </w:tc>
        <w:tc>
          <w:tcPr>
            <w:tcW w:w="1340" w:type="dxa"/>
            <w:vAlign w:val="bottom"/>
            <w:tcBorders>
              <w:bottom w:val="single" w:sz="8" w:color="auto"/>
            </w:tcBorders>
            <w:gridSpan w:val="2"/>
          </w:tcPr>
          <w:p>
            <w:pPr>
              <w:jc w:val="right"/>
              <w:ind w:right="360"/>
              <w:spacing w:after="0" w:line="157" w:lineRule="exact"/>
              <w:rPr>
                <w:sz w:val="20"/>
                <w:szCs w:val="20"/>
                <w:color w:val="auto"/>
              </w:rPr>
            </w:pPr>
            <w:r>
              <w:rPr>
                <w:rFonts w:ascii="Arial" w:cs="Arial" w:eastAsia="Arial" w:hAnsi="Arial"/>
                <w:sz w:val="14"/>
                <w:szCs w:val="14"/>
                <w:color w:val="auto"/>
              </w:rPr>
              <w:t>–</w:t>
            </w:r>
          </w:p>
        </w:tc>
        <w:tc>
          <w:tcPr>
            <w:tcW w:w="1680" w:type="dxa"/>
            <w:vAlign w:val="bottom"/>
            <w:tcBorders>
              <w:bottom w:val="single" w:sz="8" w:color="auto"/>
            </w:tcBorders>
          </w:tcPr>
          <w:p>
            <w:pPr>
              <w:jc w:val="right"/>
              <w:ind w:right="309"/>
              <w:spacing w:after="0" w:line="157" w:lineRule="exact"/>
              <w:rPr>
                <w:sz w:val="20"/>
                <w:szCs w:val="20"/>
                <w:color w:val="auto"/>
              </w:rPr>
            </w:pPr>
            <w:r>
              <w:rPr>
                <w:rFonts w:ascii="Arial" w:cs="Arial" w:eastAsia="Arial" w:hAnsi="Arial"/>
                <w:sz w:val="14"/>
                <w:szCs w:val="14"/>
                <w:color w:val="auto"/>
              </w:rPr>
              <w:t>271,051</w:t>
            </w:r>
          </w:p>
        </w:tc>
        <w:tc>
          <w:tcPr>
            <w:tcW w:w="1340" w:type="dxa"/>
            <w:vAlign w:val="bottom"/>
            <w:tcBorders>
              <w:bottom w:val="single" w:sz="8" w:color="auto"/>
            </w:tcBorders>
          </w:tcPr>
          <w:p>
            <w:pPr>
              <w:jc w:val="right"/>
              <w:ind w:right="29"/>
              <w:spacing w:after="0" w:line="157"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3160" w:type="dxa"/>
            <w:vAlign w:val="bottom"/>
          </w:tcPr>
          <w:p>
            <w:pPr>
              <w:spacing w:after="0" w:line="155" w:lineRule="exact"/>
              <w:rPr>
                <w:sz w:val="20"/>
                <w:szCs w:val="20"/>
                <w:color w:val="auto"/>
              </w:rPr>
            </w:pPr>
            <w:r>
              <w:rPr>
                <w:rFonts w:ascii="Arial" w:cs="Arial" w:eastAsia="Arial" w:hAnsi="Arial"/>
                <w:sz w:val="14"/>
                <w:szCs w:val="14"/>
                <w:color w:val="auto"/>
              </w:rPr>
              <w:t>Total Africa</w:t>
            </w:r>
          </w:p>
        </w:tc>
        <w:tc>
          <w:tcPr>
            <w:tcW w:w="380" w:type="dxa"/>
            <w:vAlign w:val="bottom"/>
          </w:tcPr>
          <w:p>
            <w:pPr>
              <w:spacing w:after="0"/>
              <w:rPr>
                <w:sz w:val="13"/>
                <w:szCs w:val="13"/>
                <w:color w:val="auto"/>
              </w:rPr>
            </w:pPr>
          </w:p>
        </w:tc>
        <w:tc>
          <w:tcPr>
            <w:tcW w:w="1200" w:type="dxa"/>
            <w:vAlign w:val="bottom"/>
            <w:shd w:val="clear" w:color="auto" w:fill="D8D8D8"/>
          </w:tcPr>
          <w:p>
            <w:pPr>
              <w:jc w:val="right"/>
              <w:ind w:right="169"/>
              <w:spacing w:after="0" w:line="155" w:lineRule="exact"/>
              <w:rPr>
                <w:sz w:val="20"/>
                <w:szCs w:val="20"/>
                <w:color w:val="auto"/>
              </w:rPr>
            </w:pPr>
            <w:r>
              <w:rPr>
                <w:rFonts w:ascii="Arial" w:cs="Arial" w:eastAsia="Arial" w:hAnsi="Arial"/>
                <w:sz w:val="14"/>
                <w:szCs w:val="14"/>
                <w:color w:val="auto"/>
              </w:rPr>
              <w:t>288,678</w:t>
            </w:r>
          </w:p>
        </w:tc>
        <w:tc>
          <w:tcPr>
            <w:tcW w:w="760" w:type="dxa"/>
            <w:vAlign w:val="bottom"/>
            <w:shd w:val="clear" w:color="auto" w:fill="D8D8D8"/>
          </w:tcPr>
          <w:p>
            <w:pPr>
              <w:spacing w:after="0"/>
              <w:rPr>
                <w:sz w:val="13"/>
                <w:szCs w:val="13"/>
                <w:color w:val="auto"/>
              </w:rPr>
            </w:pPr>
          </w:p>
        </w:tc>
        <w:tc>
          <w:tcPr>
            <w:tcW w:w="200" w:type="dxa"/>
            <w:vAlign w:val="bottom"/>
            <w:shd w:val="clear" w:color="auto" w:fill="D8D8D8"/>
          </w:tcPr>
          <w:p>
            <w:pPr>
              <w:jc w:val="right"/>
              <w:ind w:right="28"/>
              <w:spacing w:after="0" w:line="155" w:lineRule="exact"/>
              <w:rPr>
                <w:sz w:val="20"/>
                <w:szCs w:val="20"/>
                <w:color w:val="auto"/>
              </w:rPr>
            </w:pPr>
            <w:r>
              <w:rPr>
                <w:rFonts w:ascii="Arial" w:cs="Arial" w:eastAsia="Arial" w:hAnsi="Arial"/>
                <w:sz w:val="14"/>
                <w:szCs w:val="14"/>
                <w:color w:val="auto"/>
              </w:rPr>
              <w:t>–</w:t>
            </w:r>
          </w:p>
        </w:tc>
        <w:tc>
          <w:tcPr>
            <w:tcW w:w="1360" w:type="dxa"/>
            <w:vAlign w:val="bottom"/>
            <w:gridSpan w:val="2"/>
          </w:tcPr>
          <w:p>
            <w:pPr>
              <w:jc w:val="right"/>
              <w:ind w:right="74"/>
              <w:spacing w:after="0" w:line="155" w:lineRule="exact"/>
              <w:rPr>
                <w:sz w:val="20"/>
                <w:szCs w:val="20"/>
                <w:color w:val="auto"/>
              </w:rPr>
            </w:pPr>
            <w:r>
              <w:rPr>
                <w:rFonts w:ascii="Arial" w:cs="Arial" w:eastAsia="Arial" w:hAnsi="Arial"/>
                <w:sz w:val="14"/>
                <w:szCs w:val="14"/>
                <w:color w:val="auto"/>
              </w:rPr>
              <w:t>247,383</w:t>
            </w:r>
          </w:p>
        </w:tc>
        <w:tc>
          <w:tcPr>
            <w:tcW w:w="1340" w:type="dxa"/>
            <w:vAlign w:val="bottom"/>
            <w:gridSpan w:val="2"/>
          </w:tcPr>
          <w:p>
            <w:pPr>
              <w:jc w:val="right"/>
              <w:ind w:right="360"/>
              <w:spacing w:after="0" w:line="155" w:lineRule="exact"/>
              <w:rPr>
                <w:sz w:val="20"/>
                <w:szCs w:val="20"/>
                <w:color w:val="auto"/>
              </w:rPr>
            </w:pPr>
            <w:r>
              <w:rPr>
                <w:rFonts w:ascii="Arial" w:cs="Arial" w:eastAsia="Arial" w:hAnsi="Arial"/>
                <w:sz w:val="14"/>
                <w:szCs w:val="14"/>
                <w:color w:val="auto"/>
              </w:rPr>
              <w:t>–</w:t>
            </w:r>
          </w:p>
        </w:tc>
        <w:tc>
          <w:tcPr>
            <w:tcW w:w="1680" w:type="dxa"/>
            <w:vAlign w:val="bottom"/>
          </w:tcPr>
          <w:p>
            <w:pPr>
              <w:jc w:val="right"/>
              <w:ind w:right="309"/>
              <w:spacing w:after="0" w:line="155" w:lineRule="exact"/>
              <w:rPr>
                <w:sz w:val="20"/>
                <w:szCs w:val="20"/>
                <w:color w:val="auto"/>
              </w:rPr>
            </w:pPr>
            <w:r>
              <w:rPr>
                <w:rFonts w:ascii="Arial" w:cs="Arial" w:eastAsia="Arial" w:hAnsi="Arial"/>
                <w:sz w:val="14"/>
                <w:szCs w:val="14"/>
                <w:color w:val="auto"/>
              </w:rPr>
              <w:t>322,640</w:t>
            </w:r>
          </w:p>
        </w:tc>
        <w:tc>
          <w:tcPr>
            <w:tcW w:w="1360" w:type="dxa"/>
            <w:vAlign w:val="bottom"/>
            <w:gridSpan w:val="2"/>
          </w:tcPr>
          <w:p>
            <w:pPr>
              <w:jc w:val="right"/>
              <w:ind w:right="120"/>
              <w:spacing w:after="0" w:line="155"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0"/>
        </w:trPr>
        <w:tc>
          <w:tcPr>
            <w:tcW w:w="3160" w:type="dxa"/>
            <w:vAlign w:val="bottom"/>
            <w:tcBorders>
              <w:top w:val="single" w:sz="8" w:color="auto"/>
            </w:tcBorders>
          </w:tcPr>
          <w:p>
            <w:pPr>
              <w:spacing w:after="0"/>
              <w:rPr>
                <w:sz w:val="20"/>
                <w:szCs w:val="20"/>
                <w:color w:val="auto"/>
              </w:rPr>
            </w:pPr>
            <w:r>
              <w:rPr>
                <w:rFonts w:ascii="Arial" w:cs="Arial" w:eastAsia="Arial" w:hAnsi="Arial"/>
                <w:sz w:val="14"/>
                <w:szCs w:val="14"/>
                <w:color w:val="auto"/>
              </w:rPr>
              <w:t>North America</w:t>
            </w:r>
          </w:p>
        </w:tc>
        <w:tc>
          <w:tcPr>
            <w:tcW w:w="380" w:type="dxa"/>
            <w:vAlign w:val="bottom"/>
            <w:tcBorders>
              <w:top w:val="single" w:sz="8" w:color="auto"/>
            </w:tcBorders>
          </w:tcPr>
          <w:p>
            <w:pPr>
              <w:spacing w:after="0"/>
              <w:rPr>
                <w:sz w:val="13"/>
                <w:szCs w:val="13"/>
                <w:color w:val="auto"/>
              </w:rPr>
            </w:pPr>
          </w:p>
        </w:tc>
        <w:tc>
          <w:tcPr>
            <w:tcW w:w="1200" w:type="dxa"/>
            <w:vAlign w:val="bottom"/>
            <w:tcBorders>
              <w:top w:val="single" w:sz="8" w:color="auto"/>
            </w:tcBorders>
            <w:shd w:val="clear" w:color="auto" w:fill="D8D8D8"/>
          </w:tcPr>
          <w:p>
            <w:pPr>
              <w:spacing w:after="0"/>
              <w:rPr>
                <w:sz w:val="13"/>
                <w:szCs w:val="13"/>
                <w:color w:val="auto"/>
              </w:rPr>
            </w:pPr>
          </w:p>
        </w:tc>
        <w:tc>
          <w:tcPr>
            <w:tcW w:w="760" w:type="dxa"/>
            <w:vAlign w:val="bottom"/>
            <w:tcBorders>
              <w:top w:val="single" w:sz="8" w:color="auto"/>
            </w:tcBorders>
            <w:shd w:val="clear" w:color="auto" w:fill="D8D8D8"/>
          </w:tcPr>
          <w:p>
            <w:pPr>
              <w:spacing w:after="0"/>
              <w:rPr>
                <w:sz w:val="13"/>
                <w:szCs w:val="13"/>
                <w:color w:val="auto"/>
              </w:rPr>
            </w:pPr>
          </w:p>
        </w:tc>
        <w:tc>
          <w:tcPr>
            <w:tcW w:w="200" w:type="dxa"/>
            <w:vAlign w:val="bottom"/>
            <w:tcBorders>
              <w:top w:val="single" w:sz="8" w:color="auto"/>
            </w:tcBorders>
            <w:shd w:val="clear" w:color="auto" w:fill="D8D8D8"/>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1100" w:type="dxa"/>
            <w:vAlign w:val="bottom"/>
            <w:tcBorders>
              <w:top w:val="single" w:sz="8" w:color="auto"/>
            </w:tcBorders>
          </w:tcPr>
          <w:p>
            <w:pPr>
              <w:spacing w:after="0"/>
              <w:rPr>
                <w:sz w:val="13"/>
                <w:szCs w:val="13"/>
                <w:color w:val="auto"/>
              </w:rPr>
            </w:pPr>
          </w:p>
        </w:tc>
        <w:tc>
          <w:tcPr>
            <w:tcW w:w="110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1680" w:type="dxa"/>
            <w:vAlign w:val="bottom"/>
            <w:tcBorders>
              <w:top w:val="single" w:sz="8" w:color="auto"/>
            </w:tcBorders>
          </w:tcPr>
          <w:p>
            <w:pPr>
              <w:spacing w:after="0"/>
              <w:rPr>
                <w:sz w:val="13"/>
                <w:szCs w:val="13"/>
                <w:color w:val="auto"/>
              </w:rPr>
            </w:pPr>
          </w:p>
        </w:tc>
        <w:tc>
          <w:tcPr>
            <w:tcW w:w="1340" w:type="dxa"/>
            <w:vAlign w:val="bottom"/>
            <w:tcBorders>
              <w:top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160" w:type="dxa"/>
            <w:vAlign w:val="bottom"/>
          </w:tcPr>
          <w:p>
            <w:pPr>
              <w:ind w:left="140"/>
              <w:spacing w:after="0"/>
              <w:rPr>
                <w:sz w:val="20"/>
                <w:szCs w:val="20"/>
                <w:color w:val="auto"/>
              </w:rPr>
            </w:pPr>
            <w:r>
              <w:rPr>
                <w:rFonts w:ascii="Arial" w:cs="Arial" w:eastAsia="Arial" w:hAnsi="Arial"/>
                <w:sz w:val="14"/>
                <w:szCs w:val="14"/>
                <w:color w:val="auto"/>
              </w:rPr>
              <w:t>USA</w:t>
            </w:r>
          </w:p>
        </w:tc>
        <w:tc>
          <w:tcPr>
            <w:tcW w:w="380" w:type="dxa"/>
            <w:vAlign w:val="bottom"/>
          </w:tcPr>
          <w:p>
            <w:pPr>
              <w:spacing w:after="0"/>
              <w:rPr>
                <w:sz w:val="14"/>
                <w:szCs w:val="14"/>
                <w:color w:val="auto"/>
              </w:rPr>
            </w:pPr>
          </w:p>
        </w:tc>
        <w:tc>
          <w:tcPr>
            <w:tcW w:w="1200" w:type="dxa"/>
            <w:vAlign w:val="bottom"/>
            <w:shd w:val="clear" w:color="auto" w:fill="D8D8D8"/>
          </w:tcPr>
          <w:p>
            <w:pPr>
              <w:jc w:val="right"/>
              <w:ind w:right="169"/>
              <w:spacing w:after="0"/>
              <w:rPr>
                <w:sz w:val="20"/>
                <w:szCs w:val="20"/>
                <w:color w:val="auto"/>
              </w:rPr>
            </w:pPr>
            <w:r>
              <w:rPr>
                <w:rFonts w:ascii="Arial" w:cs="Arial" w:eastAsia="Arial" w:hAnsi="Arial"/>
                <w:sz w:val="14"/>
                <w:szCs w:val="14"/>
                <w:color w:val="auto"/>
              </w:rPr>
              <w:t>360,846</w:t>
            </w:r>
          </w:p>
        </w:tc>
        <w:tc>
          <w:tcPr>
            <w:tcW w:w="760" w:type="dxa"/>
            <w:vAlign w:val="bottom"/>
            <w:shd w:val="clear" w:color="auto" w:fill="D8D8D8"/>
          </w:tcPr>
          <w:p>
            <w:pPr>
              <w:spacing w:after="0"/>
              <w:rPr>
                <w:sz w:val="14"/>
                <w:szCs w:val="14"/>
                <w:color w:val="auto"/>
              </w:rPr>
            </w:pPr>
          </w:p>
        </w:tc>
        <w:tc>
          <w:tcPr>
            <w:tcW w:w="200" w:type="dxa"/>
            <w:vAlign w:val="bottom"/>
            <w:shd w:val="clear" w:color="auto" w:fill="D8D8D8"/>
          </w:tcPr>
          <w:p>
            <w:pPr>
              <w:jc w:val="right"/>
              <w:ind w:right="28"/>
              <w:spacing w:after="0"/>
              <w:rPr>
                <w:sz w:val="20"/>
                <w:szCs w:val="20"/>
                <w:color w:val="auto"/>
              </w:rPr>
            </w:pPr>
            <w:r>
              <w:rPr>
                <w:rFonts w:ascii="Arial" w:cs="Arial" w:eastAsia="Arial" w:hAnsi="Arial"/>
                <w:sz w:val="14"/>
                <w:szCs w:val="14"/>
                <w:color w:val="auto"/>
              </w:rPr>
              <w:t>–</w:t>
            </w:r>
          </w:p>
        </w:tc>
        <w:tc>
          <w:tcPr>
            <w:tcW w:w="1360" w:type="dxa"/>
            <w:vAlign w:val="bottom"/>
            <w:gridSpan w:val="2"/>
          </w:tcPr>
          <w:p>
            <w:pPr>
              <w:jc w:val="right"/>
              <w:ind w:right="74"/>
              <w:spacing w:after="0"/>
              <w:rPr>
                <w:sz w:val="20"/>
                <w:szCs w:val="20"/>
                <w:color w:val="auto"/>
              </w:rPr>
            </w:pPr>
            <w:r>
              <w:rPr>
                <w:rFonts w:ascii="Arial" w:cs="Arial" w:eastAsia="Arial" w:hAnsi="Arial"/>
                <w:sz w:val="14"/>
                <w:szCs w:val="14"/>
                <w:color w:val="auto"/>
              </w:rPr>
              <w:t>394,538</w:t>
            </w:r>
          </w:p>
        </w:tc>
        <w:tc>
          <w:tcPr>
            <w:tcW w:w="1340" w:type="dxa"/>
            <w:vAlign w:val="bottom"/>
            <w:gridSpan w:val="2"/>
          </w:tcPr>
          <w:p>
            <w:pPr>
              <w:jc w:val="right"/>
              <w:ind w:right="360"/>
              <w:spacing w:after="0"/>
              <w:rPr>
                <w:sz w:val="20"/>
                <w:szCs w:val="20"/>
                <w:color w:val="auto"/>
              </w:rPr>
            </w:pPr>
            <w:r>
              <w:rPr>
                <w:rFonts w:ascii="Arial" w:cs="Arial" w:eastAsia="Arial" w:hAnsi="Arial"/>
                <w:sz w:val="14"/>
                <w:szCs w:val="14"/>
                <w:color w:val="auto"/>
              </w:rPr>
              <w:t>–</w:t>
            </w:r>
          </w:p>
        </w:tc>
        <w:tc>
          <w:tcPr>
            <w:tcW w:w="1680" w:type="dxa"/>
            <w:vAlign w:val="bottom"/>
          </w:tcPr>
          <w:p>
            <w:pPr>
              <w:jc w:val="right"/>
              <w:ind w:right="309"/>
              <w:spacing w:after="0"/>
              <w:rPr>
                <w:sz w:val="20"/>
                <w:szCs w:val="20"/>
                <w:color w:val="auto"/>
              </w:rPr>
            </w:pPr>
            <w:r>
              <w:rPr>
                <w:rFonts w:ascii="Arial" w:cs="Arial" w:eastAsia="Arial" w:hAnsi="Arial"/>
                <w:sz w:val="14"/>
                <w:szCs w:val="14"/>
                <w:color w:val="auto"/>
              </w:rPr>
              <w:t>388,647</w:t>
            </w:r>
          </w:p>
        </w:tc>
        <w:tc>
          <w:tcPr>
            <w:tcW w:w="1340" w:type="dxa"/>
            <w:vAlign w:val="bottom"/>
          </w:tcPr>
          <w:p>
            <w:pPr>
              <w:jc w:val="right"/>
              <w:ind w:right="29"/>
              <w:spacing w:after="0"/>
              <w:rPr>
                <w:sz w:val="20"/>
                <w:szCs w:val="20"/>
                <w:color w:val="auto"/>
              </w:rPr>
            </w:pPr>
            <w:r>
              <w:rPr>
                <w:rFonts w:ascii="Arial" w:cs="Arial" w:eastAsia="Arial" w:hAnsi="Arial"/>
                <w:sz w:val="14"/>
                <w:szCs w:val="14"/>
                <w:color w:val="auto"/>
              </w:rPr>
              <w:t>1,816</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3160" w:type="dxa"/>
            <w:vAlign w:val="bottom"/>
          </w:tcPr>
          <w:p>
            <w:pPr>
              <w:ind w:left="140"/>
              <w:spacing w:after="0" w:line="157" w:lineRule="exact"/>
              <w:rPr>
                <w:sz w:val="20"/>
                <w:szCs w:val="20"/>
                <w:color w:val="auto"/>
              </w:rPr>
            </w:pPr>
            <w:r>
              <w:rPr>
                <w:rFonts w:ascii="Arial" w:cs="Arial" w:eastAsia="Arial" w:hAnsi="Arial"/>
                <w:sz w:val="14"/>
                <w:szCs w:val="14"/>
                <w:color w:val="auto"/>
              </w:rPr>
              <w:t>Canada</w:t>
            </w:r>
          </w:p>
        </w:tc>
        <w:tc>
          <w:tcPr>
            <w:tcW w:w="380" w:type="dxa"/>
            <w:vAlign w:val="bottom"/>
          </w:tcPr>
          <w:p>
            <w:pPr>
              <w:spacing w:after="0"/>
              <w:rPr>
                <w:sz w:val="13"/>
                <w:szCs w:val="13"/>
                <w:color w:val="auto"/>
              </w:rPr>
            </w:pPr>
          </w:p>
        </w:tc>
        <w:tc>
          <w:tcPr>
            <w:tcW w:w="1200" w:type="dxa"/>
            <w:vAlign w:val="bottom"/>
            <w:shd w:val="clear" w:color="auto" w:fill="D8D8D8"/>
          </w:tcPr>
          <w:p>
            <w:pPr>
              <w:jc w:val="right"/>
              <w:ind w:right="169"/>
              <w:spacing w:after="0" w:line="157" w:lineRule="exact"/>
              <w:rPr>
                <w:sz w:val="20"/>
                <w:szCs w:val="20"/>
                <w:color w:val="auto"/>
              </w:rPr>
            </w:pPr>
            <w:r>
              <w:rPr>
                <w:rFonts w:ascii="Arial" w:cs="Arial" w:eastAsia="Arial" w:hAnsi="Arial"/>
                <w:sz w:val="14"/>
                <w:szCs w:val="14"/>
                <w:color w:val="auto"/>
              </w:rPr>
              <w:t>214,756</w:t>
            </w:r>
          </w:p>
        </w:tc>
        <w:tc>
          <w:tcPr>
            <w:tcW w:w="760" w:type="dxa"/>
            <w:vAlign w:val="bottom"/>
            <w:shd w:val="clear" w:color="auto" w:fill="D8D8D8"/>
          </w:tcPr>
          <w:p>
            <w:pPr>
              <w:spacing w:after="0"/>
              <w:rPr>
                <w:sz w:val="13"/>
                <w:szCs w:val="13"/>
                <w:color w:val="auto"/>
              </w:rPr>
            </w:pPr>
          </w:p>
        </w:tc>
        <w:tc>
          <w:tcPr>
            <w:tcW w:w="200" w:type="dxa"/>
            <w:vAlign w:val="bottom"/>
            <w:shd w:val="clear" w:color="auto" w:fill="D8D8D8"/>
          </w:tcPr>
          <w:p>
            <w:pPr>
              <w:jc w:val="right"/>
              <w:ind w:right="28"/>
              <w:spacing w:after="0" w:line="157" w:lineRule="exact"/>
              <w:rPr>
                <w:sz w:val="20"/>
                <w:szCs w:val="20"/>
                <w:color w:val="auto"/>
              </w:rPr>
            </w:pPr>
            <w:r>
              <w:rPr>
                <w:rFonts w:ascii="Arial" w:cs="Arial" w:eastAsia="Arial" w:hAnsi="Arial"/>
                <w:sz w:val="14"/>
                <w:szCs w:val="14"/>
                <w:color w:val="auto"/>
              </w:rPr>
              <w:t>–</w:t>
            </w:r>
          </w:p>
        </w:tc>
        <w:tc>
          <w:tcPr>
            <w:tcW w:w="1360" w:type="dxa"/>
            <w:vAlign w:val="bottom"/>
            <w:gridSpan w:val="2"/>
          </w:tcPr>
          <w:p>
            <w:pPr>
              <w:jc w:val="right"/>
              <w:ind w:right="74"/>
              <w:spacing w:after="0" w:line="157" w:lineRule="exact"/>
              <w:rPr>
                <w:sz w:val="20"/>
                <w:szCs w:val="20"/>
                <w:color w:val="auto"/>
              </w:rPr>
            </w:pPr>
            <w:r>
              <w:rPr>
                <w:rFonts w:ascii="Arial" w:cs="Arial" w:eastAsia="Arial" w:hAnsi="Arial"/>
                <w:sz w:val="14"/>
                <w:szCs w:val="14"/>
                <w:color w:val="auto"/>
              </w:rPr>
              <w:t>231,897</w:t>
            </w:r>
          </w:p>
        </w:tc>
        <w:tc>
          <w:tcPr>
            <w:tcW w:w="1340" w:type="dxa"/>
            <w:vAlign w:val="bottom"/>
            <w:gridSpan w:val="2"/>
          </w:tcPr>
          <w:p>
            <w:pPr>
              <w:jc w:val="right"/>
              <w:ind w:right="360"/>
              <w:spacing w:after="0" w:line="157" w:lineRule="exact"/>
              <w:rPr>
                <w:sz w:val="20"/>
                <w:szCs w:val="20"/>
                <w:color w:val="auto"/>
              </w:rPr>
            </w:pPr>
            <w:r>
              <w:rPr>
                <w:rFonts w:ascii="Arial" w:cs="Arial" w:eastAsia="Arial" w:hAnsi="Arial"/>
                <w:sz w:val="14"/>
                <w:szCs w:val="14"/>
                <w:color w:val="auto"/>
              </w:rPr>
              <w:t>–</w:t>
            </w:r>
          </w:p>
        </w:tc>
        <w:tc>
          <w:tcPr>
            <w:tcW w:w="1680" w:type="dxa"/>
            <w:vAlign w:val="bottom"/>
          </w:tcPr>
          <w:p>
            <w:pPr>
              <w:jc w:val="right"/>
              <w:ind w:right="309"/>
              <w:spacing w:after="0" w:line="157" w:lineRule="exact"/>
              <w:rPr>
                <w:sz w:val="20"/>
                <w:szCs w:val="20"/>
                <w:color w:val="auto"/>
              </w:rPr>
            </w:pPr>
            <w:r>
              <w:rPr>
                <w:rFonts w:ascii="Arial" w:cs="Arial" w:eastAsia="Arial" w:hAnsi="Arial"/>
                <w:sz w:val="14"/>
                <w:szCs w:val="14"/>
                <w:color w:val="auto"/>
              </w:rPr>
              <w:t>225,265</w:t>
            </w:r>
          </w:p>
        </w:tc>
        <w:tc>
          <w:tcPr>
            <w:tcW w:w="1360" w:type="dxa"/>
            <w:vAlign w:val="bottom"/>
            <w:gridSpan w:val="2"/>
          </w:tcPr>
          <w:p>
            <w:pPr>
              <w:jc w:val="right"/>
              <w:ind w:right="120"/>
              <w:spacing w:after="0" w:line="157"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6"/>
        </w:trPr>
        <w:tc>
          <w:tcPr>
            <w:tcW w:w="316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color w:val="auto"/>
              </w:rPr>
              <w:t>Total North America</w:t>
            </w:r>
          </w:p>
        </w:tc>
        <w:tc>
          <w:tcPr>
            <w:tcW w:w="380" w:type="dxa"/>
            <w:vAlign w:val="bottom"/>
            <w:tcBorders>
              <w:top w:val="single" w:sz="8" w:color="auto"/>
              <w:bottom w:val="single" w:sz="8" w:color="auto"/>
            </w:tcBorders>
          </w:tcPr>
          <w:p>
            <w:pPr>
              <w:spacing w:after="0"/>
              <w:rPr>
                <w:sz w:val="13"/>
                <w:szCs w:val="13"/>
                <w:color w:val="auto"/>
              </w:rPr>
            </w:pPr>
          </w:p>
        </w:tc>
        <w:tc>
          <w:tcPr>
            <w:tcW w:w="1200" w:type="dxa"/>
            <w:vAlign w:val="bottom"/>
            <w:tcBorders>
              <w:top w:val="single" w:sz="8" w:color="auto"/>
              <w:bottom w:val="single" w:sz="8" w:color="auto"/>
            </w:tcBorders>
            <w:shd w:val="clear" w:color="auto" w:fill="D8D8D8"/>
          </w:tcPr>
          <w:p>
            <w:pPr>
              <w:jc w:val="right"/>
              <w:ind w:right="169"/>
              <w:spacing w:after="0" w:line="155" w:lineRule="exact"/>
              <w:rPr>
                <w:sz w:val="20"/>
                <w:szCs w:val="20"/>
                <w:color w:val="auto"/>
              </w:rPr>
            </w:pPr>
            <w:r>
              <w:rPr>
                <w:rFonts w:ascii="Arial" w:cs="Arial" w:eastAsia="Arial" w:hAnsi="Arial"/>
                <w:sz w:val="14"/>
                <w:szCs w:val="14"/>
                <w:color w:val="auto"/>
              </w:rPr>
              <w:t>575,602</w:t>
            </w:r>
          </w:p>
        </w:tc>
        <w:tc>
          <w:tcPr>
            <w:tcW w:w="760" w:type="dxa"/>
            <w:vAlign w:val="bottom"/>
            <w:tcBorders>
              <w:top w:val="single" w:sz="8" w:color="auto"/>
              <w:bottom w:val="single" w:sz="8" w:color="auto"/>
            </w:tcBorders>
            <w:shd w:val="clear" w:color="auto" w:fill="D8D8D8"/>
          </w:tcPr>
          <w:p>
            <w:pPr>
              <w:spacing w:after="0"/>
              <w:rPr>
                <w:sz w:val="13"/>
                <w:szCs w:val="13"/>
                <w:color w:val="auto"/>
              </w:rPr>
            </w:pPr>
          </w:p>
        </w:tc>
        <w:tc>
          <w:tcPr>
            <w:tcW w:w="200" w:type="dxa"/>
            <w:vAlign w:val="bottom"/>
            <w:tcBorders>
              <w:top w:val="single" w:sz="8" w:color="auto"/>
              <w:bottom w:val="single" w:sz="8" w:color="auto"/>
            </w:tcBorders>
            <w:shd w:val="clear" w:color="auto" w:fill="D8D8D8"/>
          </w:tcPr>
          <w:p>
            <w:pPr>
              <w:jc w:val="right"/>
              <w:ind w:right="28"/>
              <w:spacing w:after="0" w:line="155" w:lineRule="exact"/>
              <w:rPr>
                <w:sz w:val="20"/>
                <w:szCs w:val="20"/>
                <w:color w:val="auto"/>
              </w:rPr>
            </w:pPr>
            <w:r>
              <w:rPr>
                <w:rFonts w:ascii="Arial" w:cs="Arial" w:eastAsia="Arial" w:hAnsi="Arial"/>
                <w:sz w:val="14"/>
                <w:szCs w:val="14"/>
                <w:color w:val="auto"/>
              </w:rPr>
              <w:t>–</w:t>
            </w:r>
          </w:p>
        </w:tc>
        <w:tc>
          <w:tcPr>
            <w:tcW w:w="1360" w:type="dxa"/>
            <w:vAlign w:val="bottom"/>
            <w:tcBorders>
              <w:top w:val="single" w:sz="8" w:color="auto"/>
              <w:bottom w:val="single" w:sz="8" w:color="auto"/>
            </w:tcBorders>
            <w:gridSpan w:val="2"/>
          </w:tcPr>
          <w:p>
            <w:pPr>
              <w:jc w:val="right"/>
              <w:ind w:right="74"/>
              <w:spacing w:after="0" w:line="155" w:lineRule="exact"/>
              <w:rPr>
                <w:sz w:val="20"/>
                <w:szCs w:val="20"/>
                <w:color w:val="auto"/>
              </w:rPr>
            </w:pPr>
            <w:r>
              <w:rPr>
                <w:rFonts w:ascii="Arial" w:cs="Arial" w:eastAsia="Arial" w:hAnsi="Arial"/>
                <w:sz w:val="14"/>
                <w:szCs w:val="14"/>
                <w:color w:val="auto"/>
              </w:rPr>
              <w:t>626,435</w:t>
            </w:r>
          </w:p>
        </w:tc>
        <w:tc>
          <w:tcPr>
            <w:tcW w:w="1340" w:type="dxa"/>
            <w:vAlign w:val="bottom"/>
            <w:tcBorders>
              <w:top w:val="single" w:sz="8" w:color="auto"/>
              <w:bottom w:val="single" w:sz="8" w:color="auto"/>
            </w:tcBorders>
            <w:gridSpan w:val="2"/>
          </w:tcPr>
          <w:p>
            <w:pPr>
              <w:jc w:val="right"/>
              <w:ind w:right="360"/>
              <w:spacing w:after="0" w:line="155" w:lineRule="exact"/>
              <w:rPr>
                <w:sz w:val="20"/>
                <w:szCs w:val="20"/>
                <w:color w:val="auto"/>
              </w:rPr>
            </w:pPr>
            <w:r>
              <w:rPr>
                <w:rFonts w:ascii="Arial" w:cs="Arial" w:eastAsia="Arial" w:hAnsi="Arial"/>
                <w:sz w:val="14"/>
                <w:szCs w:val="14"/>
                <w:color w:val="auto"/>
              </w:rPr>
              <w:t>–</w:t>
            </w:r>
          </w:p>
        </w:tc>
        <w:tc>
          <w:tcPr>
            <w:tcW w:w="1680" w:type="dxa"/>
            <w:vAlign w:val="bottom"/>
            <w:tcBorders>
              <w:top w:val="single" w:sz="8" w:color="auto"/>
              <w:bottom w:val="single" w:sz="8" w:color="auto"/>
            </w:tcBorders>
          </w:tcPr>
          <w:p>
            <w:pPr>
              <w:jc w:val="right"/>
              <w:ind w:right="309"/>
              <w:spacing w:after="0" w:line="155" w:lineRule="exact"/>
              <w:rPr>
                <w:sz w:val="20"/>
                <w:szCs w:val="20"/>
                <w:color w:val="auto"/>
              </w:rPr>
            </w:pPr>
            <w:r>
              <w:rPr>
                <w:rFonts w:ascii="Arial" w:cs="Arial" w:eastAsia="Arial" w:hAnsi="Arial"/>
                <w:sz w:val="14"/>
                <w:szCs w:val="14"/>
                <w:color w:val="auto"/>
              </w:rPr>
              <w:t>613,912</w:t>
            </w:r>
          </w:p>
        </w:tc>
        <w:tc>
          <w:tcPr>
            <w:tcW w:w="1340" w:type="dxa"/>
            <w:vAlign w:val="bottom"/>
            <w:tcBorders>
              <w:top w:val="single" w:sz="8" w:color="auto"/>
              <w:bottom w:val="single" w:sz="8" w:color="auto"/>
            </w:tcBorders>
          </w:tcPr>
          <w:p>
            <w:pPr>
              <w:jc w:val="right"/>
              <w:ind w:right="29"/>
              <w:spacing w:after="0" w:line="155" w:lineRule="exact"/>
              <w:rPr>
                <w:sz w:val="20"/>
                <w:szCs w:val="20"/>
                <w:color w:val="auto"/>
              </w:rPr>
            </w:pPr>
            <w:r>
              <w:rPr>
                <w:rFonts w:ascii="Arial" w:cs="Arial" w:eastAsia="Arial" w:hAnsi="Arial"/>
                <w:sz w:val="14"/>
                <w:szCs w:val="14"/>
                <w:color w:val="auto"/>
              </w:rPr>
              <w:t>1,816</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3160" w:type="dxa"/>
            <w:vAlign w:val="bottom"/>
            <w:tcBorders>
              <w:bottom w:val="single" w:sz="8" w:color="auto"/>
            </w:tcBorders>
          </w:tcPr>
          <w:p>
            <w:pPr>
              <w:spacing w:after="0" w:line="155" w:lineRule="exact"/>
              <w:rPr>
                <w:sz w:val="20"/>
                <w:szCs w:val="20"/>
                <w:color w:val="auto"/>
              </w:rPr>
            </w:pPr>
            <w:r>
              <w:rPr>
                <w:rFonts w:ascii="Arial" w:cs="Arial" w:eastAsia="Arial" w:hAnsi="Arial"/>
                <w:sz w:val="14"/>
                <w:szCs w:val="14"/>
                <w:color w:val="auto"/>
              </w:rPr>
              <w:t>Total South America</w:t>
            </w:r>
          </w:p>
        </w:tc>
        <w:tc>
          <w:tcPr>
            <w:tcW w:w="38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shd w:val="clear" w:color="auto" w:fill="D8D8D8"/>
          </w:tcPr>
          <w:p>
            <w:pPr>
              <w:jc w:val="right"/>
              <w:ind w:right="169"/>
              <w:spacing w:after="0" w:line="155" w:lineRule="exact"/>
              <w:rPr>
                <w:sz w:val="20"/>
                <w:szCs w:val="20"/>
                <w:color w:val="auto"/>
              </w:rPr>
            </w:pPr>
            <w:r>
              <w:rPr>
                <w:rFonts w:ascii="Arial" w:cs="Arial" w:eastAsia="Arial" w:hAnsi="Arial"/>
                <w:sz w:val="14"/>
                <w:szCs w:val="14"/>
                <w:color w:val="auto"/>
              </w:rPr>
              <w:t>12,449</w:t>
            </w:r>
          </w:p>
        </w:tc>
        <w:tc>
          <w:tcPr>
            <w:tcW w:w="760" w:type="dxa"/>
            <w:vAlign w:val="bottom"/>
            <w:tcBorders>
              <w:bottom w:val="single" w:sz="8" w:color="auto"/>
            </w:tcBorders>
            <w:shd w:val="clear" w:color="auto" w:fill="D8D8D8"/>
          </w:tcPr>
          <w:p>
            <w:pPr>
              <w:spacing w:after="0"/>
              <w:rPr>
                <w:sz w:val="13"/>
                <w:szCs w:val="13"/>
                <w:color w:val="auto"/>
              </w:rPr>
            </w:pPr>
          </w:p>
        </w:tc>
        <w:tc>
          <w:tcPr>
            <w:tcW w:w="200" w:type="dxa"/>
            <w:vAlign w:val="bottom"/>
            <w:tcBorders>
              <w:bottom w:val="single" w:sz="8" w:color="auto"/>
            </w:tcBorders>
            <w:shd w:val="clear" w:color="auto" w:fill="D8D8D8"/>
          </w:tcPr>
          <w:p>
            <w:pPr>
              <w:jc w:val="right"/>
              <w:ind w:right="28"/>
              <w:spacing w:after="0" w:line="155" w:lineRule="exact"/>
              <w:rPr>
                <w:sz w:val="20"/>
                <w:szCs w:val="20"/>
                <w:color w:val="auto"/>
              </w:rPr>
            </w:pPr>
            <w:r>
              <w:rPr>
                <w:rFonts w:ascii="Arial" w:cs="Arial" w:eastAsia="Arial" w:hAnsi="Arial"/>
                <w:sz w:val="14"/>
                <w:szCs w:val="14"/>
                <w:color w:val="auto"/>
              </w:rPr>
              <w:t>–</w:t>
            </w:r>
          </w:p>
        </w:tc>
        <w:tc>
          <w:tcPr>
            <w:tcW w:w="1360" w:type="dxa"/>
            <w:vAlign w:val="bottom"/>
            <w:tcBorders>
              <w:bottom w:val="single" w:sz="8" w:color="auto"/>
            </w:tcBorders>
            <w:gridSpan w:val="2"/>
          </w:tcPr>
          <w:p>
            <w:pPr>
              <w:jc w:val="right"/>
              <w:ind w:right="74"/>
              <w:spacing w:after="0" w:line="155" w:lineRule="exact"/>
              <w:rPr>
                <w:sz w:val="20"/>
                <w:szCs w:val="20"/>
                <w:color w:val="auto"/>
              </w:rPr>
            </w:pPr>
            <w:r>
              <w:rPr>
                <w:rFonts w:ascii="Arial" w:cs="Arial" w:eastAsia="Arial" w:hAnsi="Arial"/>
                <w:sz w:val="14"/>
                <w:szCs w:val="14"/>
                <w:color w:val="auto"/>
              </w:rPr>
              <w:t>11,896</w:t>
            </w:r>
          </w:p>
        </w:tc>
        <w:tc>
          <w:tcPr>
            <w:tcW w:w="1100" w:type="dxa"/>
            <w:vAlign w:val="bottom"/>
            <w:tcBorders>
              <w:bottom w:val="single" w:sz="8" w:color="auto"/>
            </w:tcBorders>
          </w:tcPr>
          <w:p>
            <w:pPr>
              <w:jc w:val="right"/>
              <w:ind w:right="49"/>
              <w:spacing w:after="0" w:line="155" w:lineRule="exact"/>
              <w:rPr>
                <w:sz w:val="20"/>
                <w:szCs w:val="20"/>
                <w:color w:val="auto"/>
              </w:rPr>
            </w:pPr>
            <w:r>
              <w:rPr>
                <w:rFonts w:ascii="Arial" w:cs="Arial" w:eastAsia="Arial" w:hAnsi="Arial"/>
                <w:sz w:val="14"/>
                <w:szCs w:val="14"/>
                <w:color w:val="auto"/>
              </w:rPr>
              <w:t>444</w:t>
            </w:r>
          </w:p>
        </w:tc>
        <w:tc>
          <w:tcPr>
            <w:tcW w:w="240" w:type="dxa"/>
            <w:vAlign w:val="bottom"/>
            <w:tcBorders>
              <w:bottom w:val="single" w:sz="8" w:color="auto"/>
            </w:tcBorders>
          </w:tcPr>
          <w:p>
            <w:pPr>
              <w:spacing w:after="0"/>
              <w:rPr>
                <w:sz w:val="13"/>
                <w:szCs w:val="13"/>
                <w:color w:val="auto"/>
              </w:rPr>
            </w:pPr>
          </w:p>
        </w:tc>
        <w:tc>
          <w:tcPr>
            <w:tcW w:w="1680" w:type="dxa"/>
            <w:vAlign w:val="bottom"/>
            <w:tcBorders>
              <w:bottom w:val="single" w:sz="8" w:color="auto"/>
            </w:tcBorders>
          </w:tcPr>
          <w:p>
            <w:pPr>
              <w:jc w:val="right"/>
              <w:ind w:right="309"/>
              <w:spacing w:after="0" w:line="155" w:lineRule="exact"/>
              <w:rPr>
                <w:sz w:val="20"/>
                <w:szCs w:val="20"/>
                <w:color w:val="auto"/>
              </w:rPr>
            </w:pPr>
            <w:r>
              <w:rPr>
                <w:rFonts w:ascii="Arial" w:cs="Arial" w:eastAsia="Arial" w:hAnsi="Arial"/>
                <w:sz w:val="14"/>
                <w:szCs w:val="14"/>
                <w:color w:val="auto"/>
              </w:rPr>
              <w:t>16,213</w:t>
            </w:r>
          </w:p>
        </w:tc>
        <w:tc>
          <w:tcPr>
            <w:tcW w:w="1340" w:type="dxa"/>
            <w:vAlign w:val="bottom"/>
            <w:tcBorders>
              <w:bottom w:val="single" w:sz="8" w:color="auto"/>
            </w:tcBorders>
          </w:tcPr>
          <w:p>
            <w:pPr>
              <w:jc w:val="right"/>
              <w:ind w:right="29"/>
              <w:spacing w:after="0" w:line="155" w:lineRule="exact"/>
              <w:rPr>
                <w:sz w:val="20"/>
                <w:szCs w:val="20"/>
                <w:color w:val="auto"/>
              </w:rPr>
            </w:pPr>
            <w:r>
              <w:rPr>
                <w:rFonts w:ascii="Arial" w:cs="Arial" w:eastAsia="Arial" w:hAnsi="Arial"/>
                <w:sz w:val="14"/>
                <w:szCs w:val="14"/>
                <w:color w:val="auto"/>
              </w:rPr>
              <w:t>377</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3160" w:type="dxa"/>
            <w:vAlign w:val="bottom"/>
            <w:tcBorders>
              <w:bottom w:val="single" w:sz="8" w:color="auto"/>
            </w:tcBorders>
          </w:tcPr>
          <w:p>
            <w:pPr>
              <w:spacing w:after="0" w:line="155" w:lineRule="exact"/>
              <w:rPr>
                <w:sz w:val="20"/>
                <w:szCs w:val="20"/>
                <w:color w:val="auto"/>
              </w:rPr>
            </w:pPr>
            <w:r>
              <w:rPr>
                <w:rFonts w:ascii="Arial" w:cs="Arial" w:eastAsia="Arial" w:hAnsi="Arial"/>
                <w:sz w:val="14"/>
                <w:szCs w:val="14"/>
                <w:color w:val="auto"/>
              </w:rPr>
              <w:t>Total</w:t>
            </w:r>
          </w:p>
        </w:tc>
        <w:tc>
          <w:tcPr>
            <w:tcW w:w="38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shd w:val="clear" w:color="auto" w:fill="D8D8D8"/>
          </w:tcPr>
          <w:p>
            <w:pPr>
              <w:jc w:val="right"/>
              <w:ind w:right="169"/>
              <w:spacing w:after="0" w:line="155" w:lineRule="exact"/>
              <w:rPr>
                <w:sz w:val="20"/>
                <w:szCs w:val="20"/>
                <w:color w:val="auto"/>
              </w:rPr>
            </w:pPr>
            <w:r>
              <w:rPr>
                <w:rFonts w:ascii="Arial" w:cs="Arial" w:eastAsia="Arial" w:hAnsi="Arial"/>
                <w:sz w:val="14"/>
                <w:szCs w:val="14"/>
                <w:color w:val="auto"/>
              </w:rPr>
              <w:t>2,309,018</w:t>
            </w:r>
          </w:p>
        </w:tc>
        <w:tc>
          <w:tcPr>
            <w:tcW w:w="960" w:type="dxa"/>
            <w:vAlign w:val="bottom"/>
            <w:tcBorders>
              <w:bottom w:val="single" w:sz="8" w:color="auto"/>
            </w:tcBorders>
            <w:gridSpan w:val="2"/>
            <w:shd w:val="clear" w:color="auto" w:fill="D8D8D8"/>
          </w:tcPr>
          <w:p>
            <w:pPr>
              <w:jc w:val="right"/>
              <w:ind w:right="28"/>
              <w:spacing w:after="0" w:line="155" w:lineRule="exact"/>
              <w:rPr>
                <w:sz w:val="20"/>
                <w:szCs w:val="20"/>
                <w:color w:val="auto"/>
              </w:rPr>
            </w:pPr>
            <w:r>
              <w:rPr>
                <w:rFonts w:ascii="Arial" w:cs="Arial" w:eastAsia="Arial" w:hAnsi="Arial"/>
                <w:sz w:val="14"/>
                <w:szCs w:val="14"/>
                <w:color w:val="auto"/>
              </w:rPr>
              <w:t>1,070,475</w:t>
            </w:r>
          </w:p>
        </w:tc>
        <w:tc>
          <w:tcPr>
            <w:tcW w:w="1360" w:type="dxa"/>
            <w:vAlign w:val="bottom"/>
            <w:tcBorders>
              <w:bottom w:val="single" w:sz="8" w:color="auto"/>
            </w:tcBorders>
            <w:gridSpan w:val="2"/>
          </w:tcPr>
          <w:p>
            <w:pPr>
              <w:jc w:val="right"/>
              <w:ind w:right="74"/>
              <w:spacing w:after="0" w:line="155" w:lineRule="exact"/>
              <w:rPr>
                <w:sz w:val="20"/>
                <w:szCs w:val="20"/>
                <w:color w:val="auto"/>
              </w:rPr>
            </w:pPr>
            <w:r>
              <w:rPr>
                <w:rFonts w:ascii="Arial" w:cs="Arial" w:eastAsia="Arial" w:hAnsi="Arial"/>
                <w:sz w:val="14"/>
                <w:szCs w:val="14"/>
                <w:color w:val="auto"/>
              </w:rPr>
              <w:t>2,280,545</w:t>
            </w:r>
          </w:p>
        </w:tc>
        <w:tc>
          <w:tcPr>
            <w:tcW w:w="1100" w:type="dxa"/>
            <w:vAlign w:val="bottom"/>
            <w:tcBorders>
              <w:bottom w:val="single" w:sz="8" w:color="auto"/>
            </w:tcBorders>
          </w:tcPr>
          <w:p>
            <w:pPr>
              <w:jc w:val="right"/>
              <w:ind w:right="49"/>
              <w:spacing w:after="0" w:line="155" w:lineRule="exact"/>
              <w:rPr>
                <w:sz w:val="20"/>
                <w:szCs w:val="20"/>
                <w:color w:val="auto"/>
              </w:rPr>
            </w:pPr>
            <w:r>
              <w:rPr>
                <w:rFonts w:ascii="Arial" w:cs="Arial" w:eastAsia="Arial" w:hAnsi="Arial"/>
                <w:sz w:val="14"/>
                <w:szCs w:val="14"/>
                <w:color w:val="auto"/>
              </w:rPr>
              <w:t>1,229,174</w:t>
            </w:r>
          </w:p>
        </w:tc>
        <w:tc>
          <w:tcPr>
            <w:tcW w:w="240" w:type="dxa"/>
            <w:vAlign w:val="bottom"/>
            <w:tcBorders>
              <w:bottom w:val="single" w:sz="8" w:color="auto"/>
            </w:tcBorders>
          </w:tcPr>
          <w:p>
            <w:pPr>
              <w:spacing w:after="0"/>
              <w:rPr>
                <w:sz w:val="13"/>
                <w:szCs w:val="13"/>
                <w:color w:val="auto"/>
              </w:rPr>
            </w:pPr>
          </w:p>
        </w:tc>
        <w:tc>
          <w:tcPr>
            <w:tcW w:w="1680" w:type="dxa"/>
            <w:vAlign w:val="bottom"/>
            <w:tcBorders>
              <w:bottom w:val="single" w:sz="8" w:color="auto"/>
            </w:tcBorders>
          </w:tcPr>
          <w:p>
            <w:pPr>
              <w:jc w:val="right"/>
              <w:ind w:right="309"/>
              <w:spacing w:after="0" w:line="155" w:lineRule="exact"/>
              <w:rPr>
                <w:sz w:val="20"/>
                <w:szCs w:val="20"/>
                <w:color w:val="auto"/>
              </w:rPr>
            </w:pPr>
            <w:r>
              <w:rPr>
                <w:rFonts w:ascii="Arial" w:cs="Arial" w:eastAsia="Arial" w:hAnsi="Arial"/>
                <w:sz w:val="14"/>
                <w:szCs w:val="14"/>
                <w:color w:val="auto"/>
              </w:rPr>
              <w:t>2,265,767</w:t>
            </w:r>
          </w:p>
        </w:tc>
        <w:tc>
          <w:tcPr>
            <w:tcW w:w="1340" w:type="dxa"/>
            <w:vAlign w:val="bottom"/>
            <w:tcBorders>
              <w:bottom w:val="single" w:sz="8" w:color="auto"/>
            </w:tcBorders>
          </w:tcPr>
          <w:p>
            <w:pPr>
              <w:jc w:val="right"/>
              <w:ind w:right="29"/>
              <w:spacing w:after="0" w:line="155" w:lineRule="exact"/>
              <w:rPr>
                <w:sz w:val="20"/>
                <w:szCs w:val="20"/>
                <w:color w:val="auto"/>
              </w:rPr>
            </w:pPr>
            <w:r>
              <w:rPr>
                <w:rFonts w:ascii="Arial" w:cs="Arial" w:eastAsia="Arial" w:hAnsi="Arial"/>
                <w:sz w:val="14"/>
                <w:szCs w:val="14"/>
                <w:color w:val="auto"/>
              </w:rPr>
              <w:t>1,192,378</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32" w:lineRule="exact"/>
        <w:rPr>
          <w:sz w:val="20"/>
          <w:szCs w:val="20"/>
          <w:color w:val="auto"/>
        </w:rPr>
      </w:pPr>
    </w:p>
    <w:p>
      <w:pPr>
        <w:ind w:left="180" w:hanging="172"/>
        <w:spacing w:after="0"/>
        <w:tabs>
          <w:tab w:leader="none" w:pos="180" w:val="left"/>
        </w:tabs>
        <w:numPr>
          <w:ilvl w:val="0"/>
          <w:numId w:val="36"/>
        </w:numPr>
        <w:rPr>
          <w:rFonts w:ascii="Arial" w:cs="Arial" w:eastAsia="Arial" w:hAnsi="Arial"/>
          <w:sz w:val="11"/>
          <w:szCs w:val="11"/>
          <w:color w:val="auto"/>
        </w:rPr>
      </w:pPr>
      <w:r>
        <w:rPr>
          <w:rFonts w:ascii="Arial" w:cs="Arial" w:eastAsia="Arial" w:hAnsi="Arial"/>
          <w:sz w:val="11"/>
          <w:szCs w:val="11"/>
          <w:color w:val="auto"/>
        </w:rPr>
        <w:t>Reflects 100% of production attributable to subsidiaries except in respect of PSCs, where the figures shown represent the entitlement of the companies concerned under those contracts.</w:t>
      </w:r>
    </w:p>
    <w:p>
      <w:pPr>
        <w:ind w:left="180" w:hanging="172"/>
        <w:spacing w:after="0"/>
        <w:tabs>
          <w:tab w:leader="none" w:pos="180" w:val="left"/>
        </w:tabs>
        <w:numPr>
          <w:ilvl w:val="0"/>
          <w:numId w:val="36"/>
        </w:numPr>
        <w:rPr>
          <w:rFonts w:ascii="Arial" w:cs="Arial" w:eastAsia="Arial" w:hAnsi="Arial"/>
          <w:sz w:val="11"/>
          <w:szCs w:val="11"/>
          <w:color w:val="auto"/>
        </w:rPr>
      </w:pPr>
      <w:r>
        <w:rPr>
          <w:rFonts w:ascii="Arial" w:cs="Arial" w:eastAsia="Arial" w:hAnsi="Arial"/>
          <w:sz w:val="11"/>
          <w:szCs w:val="11"/>
          <w:color w:val="auto"/>
        </w:rPr>
        <w:t>Comprises countries where 2014 production was lower than 41,795 million scf or where specific disclosures are prohibited.</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3760" w:type="dxa"/>
            <w:vAlign w:val="bottom"/>
            <w:shd w:val="clear" w:color="auto" w:fill="333333"/>
          </w:tcPr>
          <w:p>
            <w:pPr>
              <w:ind w:left="80"/>
              <w:spacing w:after="0"/>
              <w:rPr>
                <w:sz w:val="20"/>
                <w:szCs w:val="20"/>
                <w:color w:val="auto"/>
              </w:rPr>
            </w:pPr>
            <w:r>
              <w:rPr>
                <w:rFonts w:ascii="Arial" w:cs="Arial" w:eastAsia="Arial" w:hAnsi="Arial"/>
                <w:sz w:val="15"/>
                <w:szCs w:val="15"/>
                <w:b w:val="1"/>
                <w:bCs w:val="1"/>
                <w:color w:val="FFFFFF"/>
              </w:rPr>
              <w:t>SYNTHETIC CRUDE OIL</w:t>
            </w:r>
          </w:p>
        </w:tc>
        <w:tc>
          <w:tcPr>
            <w:tcW w:w="1900" w:type="dxa"/>
            <w:vAlign w:val="bottom"/>
            <w:shd w:val="clear" w:color="auto" w:fill="333333"/>
          </w:tcPr>
          <w:p>
            <w:pPr>
              <w:spacing w:after="0"/>
              <w:rPr>
                <w:sz w:val="15"/>
                <w:szCs w:val="15"/>
                <w:color w:val="auto"/>
              </w:rPr>
            </w:pPr>
          </w:p>
        </w:tc>
        <w:tc>
          <w:tcPr>
            <w:tcW w:w="600" w:type="dxa"/>
            <w:vAlign w:val="bottom"/>
            <w:shd w:val="clear" w:color="auto" w:fill="333333"/>
          </w:tcPr>
          <w:p>
            <w:pPr>
              <w:spacing w:after="0"/>
              <w:rPr>
                <w:sz w:val="15"/>
                <w:szCs w:val="15"/>
                <w:color w:val="auto"/>
              </w:rPr>
            </w:pPr>
          </w:p>
        </w:tc>
        <w:tc>
          <w:tcPr>
            <w:tcW w:w="1900" w:type="dxa"/>
            <w:vAlign w:val="bottom"/>
            <w:shd w:val="clear" w:color="auto" w:fill="333333"/>
          </w:tcPr>
          <w:p>
            <w:pPr>
              <w:spacing w:after="0"/>
              <w:rPr>
                <w:sz w:val="15"/>
                <w:szCs w:val="15"/>
                <w:color w:val="auto"/>
              </w:rPr>
            </w:pPr>
          </w:p>
        </w:tc>
        <w:tc>
          <w:tcPr>
            <w:tcW w:w="600" w:type="dxa"/>
            <w:vAlign w:val="bottom"/>
            <w:shd w:val="clear" w:color="auto" w:fill="333333"/>
          </w:tcPr>
          <w:p>
            <w:pPr>
              <w:spacing w:after="0"/>
              <w:rPr>
                <w:sz w:val="15"/>
                <w:szCs w:val="15"/>
                <w:color w:val="auto"/>
              </w:rPr>
            </w:pPr>
          </w:p>
        </w:tc>
        <w:tc>
          <w:tcPr>
            <w:tcW w:w="2660" w:type="dxa"/>
            <w:vAlign w:val="bottom"/>
            <w:shd w:val="clear" w:color="auto" w:fill="333333"/>
          </w:tcPr>
          <w:p>
            <w:pPr>
              <w:jc w:val="right"/>
              <w:ind w:right="273"/>
              <w:spacing w:after="0"/>
              <w:rPr>
                <w:sz w:val="20"/>
                <w:szCs w:val="20"/>
                <w:color w:val="auto"/>
              </w:rPr>
            </w:pPr>
            <w:r>
              <w:rPr>
                <w:rFonts w:ascii="Arial" w:cs="Arial" w:eastAsia="Arial" w:hAnsi="Arial"/>
                <w:sz w:val="15"/>
                <w:szCs w:val="15"/>
                <w:color w:val="FFFFFF"/>
              </w:rPr>
              <w:t>THOUSAND BARRELS</w:t>
            </w:r>
          </w:p>
        </w:tc>
      </w:tr>
      <w:tr>
        <w:trPr>
          <w:trHeight w:val="135"/>
        </w:trPr>
        <w:tc>
          <w:tcPr>
            <w:tcW w:w="3760" w:type="dxa"/>
            <w:vAlign w:val="bottom"/>
          </w:tcPr>
          <w:p>
            <w:pPr>
              <w:spacing w:after="0"/>
              <w:rPr>
                <w:sz w:val="11"/>
                <w:szCs w:val="11"/>
                <w:color w:val="auto"/>
              </w:rPr>
            </w:pPr>
          </w:p>
        </w:tc>
        <w:tc>
          <w:tcPr>
            <w:tcW w:w="1900" w:type="dxa"/>
            <w:vAlign w:val="bottom"/>
            <w:tcBorders>
              <w:bottom w:val="single" w:sz="8" w:color="auto"/>
            </w:tcBorders>
            <w:shd w:val="clear" w:color="auto" w:fill="D8D8D8"/>
          </w:tcPr>
          <w:p>
            <w:pPr>
              <w:jc w:val="right"/>
              <w:ind w:right="135"/>
              <w:spacing w:after="0" w:line="135" w:lineRule="exact"/>
              <w:rPr>
                <w:sz w:val="20"/>
                <w:szCs w:val="20"/>
                <w:color w:val="auto"/>
              </w:rPr>
            </w:pPr>
            <w:r>
              <w:rPr>
                <w:rFonts w:ascii="Arial" w:cs="Arial" w:eastAsia="Arial" w:hAnsi="Arial"/>
                <w:sz w:val="13"/>
                <w:szCs w:val="13"/>
                <w:color w:val="auto"/>
              </w:rPr>
              <w:t>2014</w:t>
            </w:r>
          </w:p>
        </w:tc>
        <w:tc>
          <w:tcPr>
            <w:tcW w:w="600" w:type="dxa"/>
            <w:vAlign w:val="bottom"/>
          </w:tcPr>
          <w:p>
            <w:pPr>
              <w:spacing w:after="0"/>
              <w:rPr>
                <w:sz w:val="11"/>
                <w:szCs w:val="11"/>
                <w:color w:val="auto"/>
              </w:rPr>
            </w:pPr>
          </w:p>
        </w:tc>
        <w:tc>
          <w:tcPr>
            <w:tcW w:w="1900" w:type="dxa"/>
            <w:vAlign w:val="bottom"/>
            <w:tcBorders>
              <w:bottom w:val="single" w:sz="8" w:color="auto"/>
            </w:tcBorders>
          </w:tcPr>
          <w:p>
            <w:pPr>
              <w:jc w:val="right"/>
              <w:ind w:right="277"/>
              <w:spacing w:after="0" w:line="135" w:lineRule="exact"/>
              <w:rPr>
                <w:sz w:val="20"/>
                <w:szCs w:val="20"/>
                <w:color w:val="auto"/>
              </w:rPr>
            </w:pPr>
            <w:r>
              <w:rPr>
                <w:rFonts w:ascii="Arial" w:cs="Arial" w:eastAsia="Arial" w:hAnsi="Arial"/>
                <w:sz w:val="13"/>
                <w:szCs w:val="13"/>
                <w:color w:val="auto"/>
              </w:rPr>
              <w:t>2013</w:t>
            </w:r>
          </w:p>
        </w:tc>
        <w:tc>
          <w:tcPr>
            <w:tcW w:w="600" w:type="dxa"/>
            <w:vAlign w:val="bottom"/>
          </w:tcPr>
          <w:p>
            <w:pPr>
              <w:spacing w:after="0"/>
              <w:rPr>
                <w:sz w:val="11"/>
                <w:szCs w:val="11"/>
                <w:color w:val="auto"/>
              </w:rPr>
            </w:pPr>
          </w:p>
        </w:tc>
        <w:tc>
          <w:tcPr>
            <w:tcW w:w="2660" w:type="dxa"/>
            <w:vAlign w:val="bottom"/>
            <w:tcBorders>
              <w:bottom w:val="single" w:sz="8" w:color="auto"/>
            </w:tcBorders>
          </w:tcPr>
          <w:p>
            <w:pPr>
              <w:jc w:val="right"/>
              <w:ind w:right="273"/>
              <w:spacing w:after="0" w:line="135" w:lineRule="exact"/>
              <w:rPr>
                <w:sz w:val="20"/>
                <w:szCs w:val="20"/>
                <w:color w:val="auto"/>
              </w:rPr>
            </w:pPr>
            <w:r>
              <w:rPr>
                <w:rFonts w:ascii="Arial" w:cs="Arial" w:eastAsia="Arial" w:hAnsi="Arial"/>
                <w:sz w:val="13"/>
                <w:szCs w:val="13"/>
                <w:color w:val="auto"/>
              </w:rPr>
              <w:t>2012</w:t>
            </w:r>
          </w:p>
        </w:tc>
      </w:tr>
      <w:tr>
        <w:trPr>
          <w:trHeight w:val="123"/>
        </w:trPr>
        <w:tc>
          <w:tcPr>
            <w:tcW w:w="3760" w:type="dxa"/>
            <w:vAlign w:val="bottom"/>
          </w:tcPr>
          <w:p>
            <w:pPr>
              <w:spacing w:after="0"/>
              <w:rPr>
                <w:sz w:val="10"/>
                <w:szCs w:val="10"/>
                <w:color w:val="auto"/>
              </w:rPr>
            </w:pPr>
          </w:p>
        </w:tc>
        <w:tc>
          <w:tcPr>
            <w:tcW w:w="1900" w:type="dxa"/>
            <w:vAlign w:val="bottom"/>
            <w:shd w:val="clear" w:color="auto" w:fill="D8D8D8"/>
          </w:tcPr>
          <w:p>
            <w:pPr>
              <w:jc w:val="right"/>
              <w:ind w:right="135"/>
              <w:spacing w:after="0" w:line="123" w:lineRule="exact"/>
              <w:rPr>
                <w:sz w:val="20"/>
                <w:szCs w:val="20"/>
                <w:color w:val="auto"/>
              </w:rPr>
            </w:pPr>
            <w:r>
              <w:rPr>
                <w:rFonts w:ascii="Arial" w:cs="Arial" w:eastAsia="Arial" w:hAnsi="Arial"/>
                <w:sz w:val="13"/>
                <w:szCs w:val="13"/>
                <w:color w:val="auto"/>
              </w:rPr>
              <w:t>Shell</w:t>
            </w:r>
          </w:p>
        </w:tc>
        <w:tc>
          <w:tcPr>
            <w:tcW w:w="600" w:type="dxa"/>
            <w:vAlign w:val="bottom"/>
          </w:tcPr>
          <w:p>
            <w:pPr>
              <w:spacing w:after="0"/>
              <w:rPr>
                <w:sz w:val="10"/>
                <w:szCs w:val="10"/>
                <w:color w:val="auto"/>
              </w:rPr>
            </w:pPr>
          </w:p>
        </w:tc>
        <w:tc>
          <w:tcPr>
            <w:tcW w:w="2500" w:type="dxa"/>
            <w:vAlign w:val="bottom"/>
            <w:gridSpan w:val="2"/>
          </w:tcPr>
          <w:p>
            <w:pPr>
              <w:jc w:val="right"/>
              <w:ind w:right="940"/>
              <w:spacing w:after="0" w:line="123" w:lineRule="exact"/>
              <w:rPr>
                <w:sz w:val="20"/>
                <w:szCs w:val="20"/>
                <w:color w:val="auto"/>
              </w:rPr>
            </w:pPr>
            <w:r>
              <w:rPr>
                <w:rFonts w:ascii="Arial" w:cs="Arial" w:eastAsia="Arial" w:hAnsi="Arial"/>
                <w:sz w:val="13"/>
                <w:szCs w:val="13"/>
                <w:color w:val="auto"/>
              </w:rPr>
              <w:t>Shell</w:t>
            </w:r>
          </w:p>
        </w:tc>
        <w:tc>
          <w:tcPr>
            <w:tcW w:w="2660" w:type="dxa"/>
            <w:vAlign w:val="bottom"/>
          </w:tcPr>
          <w:p>
            <w:pPr>
              <w:jc w:val="right"/>
              <w:ind w:right="273"/>
              <w:spacing w:after="0" w:line="123" w:lineRule="exact"/>
              <w:rPr>
                <w:sz w:val="20"/>
                <w:szCs w:val="20"/>
                <w:color w:val="auto"/>
              </w:rPr>
            </w:pPr>
            <w:r>
              <w:rPr>
                <w:rFonts w:ascii="Arial" w:cs="Arial" w:eastAsia="Arial" w:hAnsi="Arial"/>
                <w:sz w:val="13"/>
                <w:szCs w:val="13"/>
                <w:color w:val="auto"/>
              </w:rPr>
              <w:t>Shell</w:t>
            </w:r>
          </w:p>
        </w:tc>
      </w:tr>
      <w:tr>
        <w:trPr>
          <w:trHeight w:val="155"/>
        </w:trPr>
        <w:tc>
          <w:tcPr>
            <w:tcW w:w="3760" w:type="dxa"/>
            <w:vAlign w:val="bottom"/>
            <w:tcBorders>
              <w:bottom w:val="single" w:sz="8" w:color="auto"/>
            </w:tcBorders>
          </w:tcPr>
          <w:p>
            <w:pPr>
              <w:spacing w:after="0"/>
              <w:rPr>
                <w:sz w:val="13"/>
                <w:szCs w:val="13"/>
                <w:color w:val="auto"/>
              </w:rPr>
            </w:pPr>
          </w:p>
        </w:tc>
        <w:tc>
          <w:tcPr>
            <w:tcW w:w="1900" w:type="dxa"/>
            <w:vAlign w:val="bottom"/>
            <w:tcBorders>
              <w:bottom w:val="single" w:sz="8" w:color="auto"/>
            </w:tcBorders>
            <w:shd w:val="clear" w:color="auto" w:fill="D8D8D8"/>
          </w:tcPr>
          <w:p>
            <w:pPr>
              <w:jc w:val="right"/>
              <w:ind w:right="135"/>
              <w:spacing w:after="0"/>
              <w:rPr>
                <w:sz w:val="20"/>
                <w:szCs w:val="20"/>
                <w:color w:val="auto"/>
              </w:rPr>
            </w:pPr>
            <w:r>
              <w:rPr>
                <w:rFonts w:ascii="Arial" w:cs="Arial" w:eastAsia="Arial" w:hAnsi="Arial"/>
                <w:sz w:val="13"/>
                <w:szCs w:val="13"/>
                <w:color w:val="auto"/>
              </w:rPr>
              <w:t>subsidiaries</w:t>
            </w:r>
          </w:p>
        </w:tc>
        <w:tc>
          <w:tcPr>
            <w:tcW w:w="600" w:type="dxa"/>
            <w:vAlign w:val="bottom"/>
            <w:tcBorders>
              <w:bottom w:val="single" w:sz="8" w:color="auto"/>
            </w:tcBorders>
          </w:tcPr>
          <w:p>
            <w:pPr>
              <w:spacing w:after="0"/>
              <w:rPr>
                <w:sz w:val="13"/>
                <w:szCs w:val="13"/>
                <w:color w:val="auto"/>
              </w:rPr>
            </w:pPr>
          </w:p>
        </w:tc>
        <w:tc>
          <w:tcPr>
            <w:tcW w:w="2500" w:type="dxa"/>
            <w:vAlign w:val="bottom"/>
            <w:tcBorders>
              <w:bottom w:val="single" w:sz="8" w:color="auto"/>
            </w:tcBorders>
            <w:gridSpan w:val="2"/>
          </w:tcPr>
          <w:p>
            <w:pPr>
              <w:jc w:val="right"/>
              <w:ind w:right="940"/>
              <w:spacing w:after="0"/>
              <w:rPr>
                <w:sz w:val="20"/>
                <w:szCs w:val="20"/>
                <w:color w:val="auto"/>
              </w:rPr>
            </w:pPr>
            <w:r>
              <w:rPr>
                <w:rFonts w:ascii="Arial" w:cs="Arial" w:eastAsia="Arial" w:hAnsi="Arial"/>
                <w:sz w:val="13"/>
                <w:szCs w:val="13"/>
                <w:color w:val="auto"/>
              </w:rPr>
              <w:t>subsidiaries</w:t>
            </w:r>
          </w:p>
        </w:tc>
        <w:tc>
          <w:tcPr>
            <w:tcW w:w="2660" w:type="dxa"/>
            <w:vAlign w:val="bottom"/>
            <w:tcBorders>
              <w:bottom w:val="single" w:sz="8" w:color="auto"/>
            </w:tcBorders>
          </w:tcPr>
          <w:p>
            <w:pPr>
              <w:jc w:val="right"/>
              <w:ind w:right="273"/>
              <w:spacing w:after="0"/>
              <w:rPr>
                <w:sz w:val="20"/>
                <w:szCs w:val="20"/>
                <w:color w:val="auto"/>
              </w:rPr>
            </w:pPr>
            <w:r>
              <w:rPr>
                <w:rFonts w:ascii="Arial" w:cs="Arial" w:eastAsia="Arial" w:hAnsi="Arial"/>
                <w:sz w:val="13"/>
                <w:szCs w:val="13"/>
                <w:color w:val="auto"/>
              </w:rPr>
              <w:t>subsidiaries</w:t>
            </w:r>
          </w:p>
        </w:tc>
      </w:tr>
      <w:tr>
        <w:trPr>
          <w:trHeight w:val="156"/>
        </w:trPr>
        <w:tc>
          <w:tcPr>
            <w:tcW w:w="3760" w:type="dxa"/>
            <w:vAlign w:val="bottom"/>
            <w:tcBorders>
              <w:bottom w:val="single" w:sz="8" w:color="auto"/>
            </w:tcBorders>
          </w:tcPr>
          <w:p>
            <w:pPr>
              <w:spacing w:after="0" w:line="155" w:lineRule="exact"/>
              <w:rPr>
                <w:sz w:val="20"/>
                <w:szCs w:val="20"/>
                <w:color w:val="auto"/>
              </w:rPr>
            </w:pPr>
            <w:r>
              <w:rPr>
                <w:rFonts w:ascii="Arial" w:cs="Arial" w:eastAsia="Arial" w:hAnsi="Arial"/>
                <w:sz w:val="14"/>
                <w:szCs w:val="14"/>
                <w:color w:val="auto"/>
              </w:rPr>
              <w:t>North America – Canada</w:t>
            </w:r>
          </w:p>
        </w:tc>
        <w:tc>
          <w:tcPr>
            <w:tcW w:w="1900" w:type="dxa"/>
            <w:vAlign w:val="bottom"/>
            <w:tcBorders>
              <w:bottom w:val="single" w:sz="8" w:color="auto"/>
            </w:tcBorders>
            <w:shd w:val="clear" w:color="auto" w:fill="D8D8D8"/>
          </w:tcPr>
          <w:p>
            <w:pPr>
              <w:jc w:val="right"/>
              <w:ind w:right="135"/>
              <w:spacing w:after="0" w:line="155" w:lineRule="exact"/>
              <w:rPr>
                <w:sz w:val="20"/>
                <w:szCs w:val="20"/>
                <w:color w:val="auto"/>
              </w:rPr>
            </w:pPr>
            <w:r>
              <w:rPr>
                <w:rFonts w:ascii="Arial" w:cs="Arial" w:eastAsia="Arial" w:hAnsi="Arial"/>
                <w:sz w:val="14"/>
                <w:szCs w:val="14"/>
                <w:color w:val="auto"/>
              </w:rPr>
              <w:t>46,934</w:t>
            </w:r>
          </w:p>
        </w:tc>
        <w:tc>
          <w:tcPr>
            <w:tcW w:w="2500" w:type="dxa"/>
            <w:vAlign w:val="bottom"/>
            <w:tcBorders>
              <w:bottom w:val="single" w:sz="8" w:color="auto"/>
            </w:tcBorders>
            <w:gridSpan w:val="2"/>
          </w:tcPr>
          <w:p>
            <w:pPr>
              <w:jc w:val="right"/>
              <w:ind w:right="277"/>
              <w:spacing w:after="0" w:line="155" w:lineRule="exact"/>
              <w:rPr>
                <w:sz w:val="20"/>
                <w:szCs w:val="20"/>
                <w:color w:val="auto"/>
              </w:rPr>
            </w:pPr>
            <w:r>
              <w:rPr>
                <w:rFonts w:ascii="Arial" w:cs="Arial" w:eastAsia="Arial" w:hAnsi="Arial"/>
                <w:sz w:val="14"/>
                <w:szCs w:val="14"/>
                <w:color w:val="auto"/>
              </w:rPr>
              <w:t>46,017</w:t>
            </w:r>
          </w:p>
        </w:tc>
        <w:tc>
          <w:tcPr>
            <w:tcW w:w="600" w:type="dxa"/>
            <w:vAlign w:val="bottom"/>
            <w:tcBorders>
              <w:bottom w:val="single" w:sz="8" w:color="auto"/>
            </w:tcBorders>
          </w:tcPr>
          <w:p>
            <w:pPr>
              <w:spacing w:after="0"/>
              <w:rPr>
                <w:sz w:val="13"/>
                <w:szCs w:val="13"/>
                <w:color w:val="auto"/>
              </w:rPr>
            </w:pPr>
          </w:p>
        </w:tc>
        <w:tc>
          <w:tcPr>
            <w:tcW w:w="2660" w:type="dxa"/>
            <w:vAlign w:val="bottom"/>
            <w:tcBorders>
              <w:bottom w:val="single" w:sz="8" w:color="auto"/>
            </w:tcBorders>
          </w:tcPr>
          <w:p>
            <w:pPr>
              <w:jc w:val="right"/>
              <w:ind w:right="273"/>
              <w:spacing w:after="0" w:line="155" w:lineRule="exact"/>
              <w:rPr>
                <w:sz w:val="20"/>
                <w:szCs w:val="20"/>
                <w:color w:val="auto"/>
              </w:rPr>
            </w:pPr>
            <w:r>
              <w:rPr>
                <w:rFonts w:ascii="Arial" w:cs="Arial" w:eastAsia="Arial" w:hAnsi="Arial"/>
                <w:sz w:val="14"/>
                <w:szCs w:val="14"/>
                <w:color w:val="auto"/>
              </w:rPr>
              <w:t>45,903</w:t>
            </w:r>
          </w:p>
        </w:tc>
      </w:tr>
    </w:tbl>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3760" w:type="dxa"/>
            <w:vAlign w:val="bottom"/>
            <w:shd w:val="clear" w:color="auto" w:fill="333333"/>
          </w:tcPr>
          <w:p>
            <w:pPr>
              <w:ind w:left="80"/>
              <w:spacing w:after="0"/>
              <w:rPr>
                <w:sz w:val="20"/>
                <w:szCs w:val="20"/>
                <w:color w:val="auto"/>
              </w:rPr>
            </w:pPr>
            <w:r>
              <w:rPr>
                <w:rFonts w:ascii="Arial" w:cs="Arial" w:eastAsia="Arial" w:hAnsi="Arial"/>
                <w:sz w:val="15"/>
                <w:szCs w:val="15"/>
                <w:b w:val="1"/>
                <w:bCs w:val="1"/>
                <w:color w:val="FFFFFF"/>
              </w:rPr>
              <w:t>BITUMEN</w:t>
            </w:r>
          </w:p>
        </w:tc>
        <w:tc>
          <w:tcPr>
            <w:tcW w:w="1900" w:type="dxa"/>
            <w:vAlign w:val="bottom"/>
            <w:shd w:val="clear" w:color="auto" w:fill="333333"/>
          </w:tcPr>
          <w:p>
            <w:pPr>
              <w:spacing w:after="0"/>
              <w:rPr>
                <w:sz w:val="15"/>
                <w:szCs w:val="15"/>
                <w:color w:val="auto"/>
              </w:rPr>
            </w:pPr>
          </w:p>
        </w:tc>
        <w:tc>
          <w:tcPr>
            <w:tcW w:w="600" w:type="dxa"/>
            <w:vAlign w:val="bottom"/>
            <w:shd w:val="clear" w:color="auto" w:fill="333333"/>
          </w:tcPr>
          <w:p>
            <w:pPr>
              <w:spacing w:after="0"/>
              <w:rPr>
                <w:sz w:val="15"/>
                <w:szCs w:val="15"/>
                <w:color w:val="auto"/>
              </w:rPr>
            </w:pPr>
          </w:p>
        </w:tc>
        <w:tc>
          <w:tcPr>
            <w:tcW w:w="1900" w:type="dxa"/>
            <w:vAlign w:val="bottom"/>
            <w:shd w:val="clear" w:color="auto" w:fill="333333"/>
          </w:tcPr>
          <w:p>
            <w:pPr>
              <w:spacing w:after="0"/>
              <w:rPr>
                <w:sz w:val="15"/>
                <w:szCs w:val="15"/>
                <w:color w:val="auto"/>
              </w:rPr>
            </w:pPr>
          </w:p>
        </w:tc>
        <w:tc>
          <w:tcPr>
            <w:tcW w:w="600" w:type="dxa"/>
            <w:vAlign w:val="bottom"/>
            <w:shd w:val="clear" w:color="auto" w:fill="333333"/>
          </w:tcPr>
          <w:p>
            <w:pPr>
              <w:spacing w:after="0"/>
              <w:rPr>
                <w:sz w:val="15"/>
                <w:szCs w:val="15"/>
                <w:color w:val="auto"/>
              </w:rPr>
            </w:pPr>
          </w:p>
        </w:tc>
        <w:tc>
          <w:tcPr>
            <w:tcW w:w="2660" w:type="dxa"/>
            <w:vAlign w:val="bottom"/>
            <w:shd w:val="clear" w:color="auto" w:fill="333333"/>
          </w:tcPr>
          <w:p>
            <w:pPr>
              <w:jc w:val="right"/>
              <w:ind w:right="273"/>
              <w:spacing w:after="0"/>
              <w:rPr>
                <w:sz w:val="20"/>
                <w:szCs w:val="20"/>
                <w:color w:val="auto"/>
              </w:rPr>
            </w:pPr>
            <w:r>
              <w:rPr>
                <w:rFonts w:ascii="Arial" w:cs="Arial" w:eastAsia="Arial" w:hAnsi="Arial"/>
                <w:sz w:val="15"/>
                <w:szCs w:val="15"/>
                <w:color w:val="FFFFFF"/>
              </w:rPr>
              <w:t>THOUSAND BARRELS</w:t>
            </w:r>
          </w:p>
        </w:tc>
      </w:tr>
      <w:tr>
        <w:trPr>
          <w:trHeight w:val="135"/>
        </w:trPr>
        <w:tc>
          <w:tcPr>
            <w:tcW w:w="3760" w:type="dxa"/>
            <w:vAlign w:val="bottom"/>
          </w:tcPr>
          <w:p>
            <w:pPr>
              <w:spacing w:after="0"/>
              <w:rPr>
                <w:sz w:val="11"/>
                <w:szCs w:val="11"/>
                <w:color w:val="auto"/>
              </w:rPr>
            </w:pPr>
          </w:p>
        </w:tc>
        <w:tc>
          <w:tcPr>
            <w:tcW w:w="1900" w:type="dxa"/>
            <w:vAlign w:val="bottom"/>
            <w:tcBorders>
              <w:bottom w:val="single" w:sz="8" w:color="auto"/>
            </w:tcBorders>
            <w:shd w:val="clear" w:color="auto" w:fill="D8D8D8"/>
          </w:tcPr>
          <w:p>
            <w:pPr>
              <w:jc w:val="right"/>
              <w:ind w:right="135"/>
              <w:spacing w:after="0" w:line="135" w:lineRule="exact"/>
              <w:rPr>
                <w:sz w:val="20"/>
                <w:szCs w:val="20"/>
                <w:color w:val="auto"/>
              </w:rPr>
            </w:pPr>
            <w:r>
              <w:rPr>
                <w:rFonts w:ascii="Arial" w:cs="Arial" w:eastAsia="Arial" w:hAnsi="Arial"/>
                <w:sz w:val="13"/>
                <w:szCs w:val="13"/>
                <w:color w:val="auto"/>
              </w:rPr>
              <w:t>2014</w:t>
            </w:r>
          </w:p>
        </w:tc>
        <w:tc>
          <w:tcPr>
            <w:tcW w:w="600" w:type="dxa"/>
            <w:vAlign w:val="bottom"/>
          </w:tcPr>
          <w:p>
            <w:pPr>
              <w:spacing w:after="0"/>
              <w:rPr>
                <w:sz w:val="11"/>
                <w:szCs w:val="11"/>
                <w:color w:val="auto"/>
              </w:rPr>
            </w:pPr>
          </w:p>
        </w:tc>
        <w:tc>
          <w:tcPr>
            <w:tcW w:w="1900" w:type="dxa"/>
            <w:vAlign w:val="bottom"/>
            <w:tcBorders>
              <w:bottom w:val="single" w:sz="8" w:color="auto"/>
            </w:tcBorders>
          </w:tcPr>
          <w:p>
            <w:pPr>
              <w:jc w:val="right"/>
              <w:ind w:right="277"/>
              <w:spacing w:after="0" w:line="135" w:lineRule="exact"/>
              <w:rPr>
                <w:sz w:val="20"/>
                <w:szCs w:val="20"/>
                <w:color w:val="auto"/>
              </w:rPr>
            </w:pPr>
            <w:r>
              <w:rPr>
                <w:rFonts w:ascii="Arial" w:cs="Arial" w:eastAsia="Arial" w:hAnsi="Arial"/>
                <w:sz w:val="13"/>
                <w:szCs w:val="13"/>
                <w:color w:val="auto"/>
              </w:rPr>
              <w:t>2013</w:t>
            </w:r>
          </w:p>
        </w:tc>
        <w:tc>
          <w:tcPr>
            <w:tcW w:w="600" w:type="dxa"/>
            <w:vAlign w:val="bottom"/>
          </w:tcPr>
          <w:p>
            <w:pPr>
              <w:spacing w:after="0"/>
              <w:rPr>
                <w:sz w:val="11"/>
                <w:szCs w:val="11"/>
                <w:color w:val="auto"/>
              </w:rPr>
            </w:pPr>
          </w:p>
        </w:tc>
        <w:tc>
          <w:tcPr>
            <w:tcW w:w="2660" w:type="dxa"/>
            <w:vAlign w:val="bottom"/>
            <w:tcBorders>
              <w:bottom w:val="single" w:sz="8" w:color="auto"/>
            </w:tcBorders>
          </w:tcPr>
          <w:p>
            <w:pPr>
              <w:jc w:val="right"/>
              <w:ind w:right="273"/>
              <w:spacing w:after="0" w:line="135" w:lineRule="exact"/>
              <w:rPr>
                <w:sz w:val="20"/>
                <w:szCs w:val="20"/>
                <w:color w:val="auto"/>
              </w:rPr>
            </w:pPr>
            <w:r>
              <w:rPr>
                <w:rFonts w:ascii="Arial" w:cs="Arial" w:eastAsia="Arial" w:hAnsi="Arial"/>
                <w:sz w:val="13"/>
                <w:szCs w:val="13"/>
                <w:color w:val="auto"/>
              </w:rPr>
              <w:t>2012</w:t>
            </w:r>
          </w:p>
        </w:tc>
      </w:tr>
      <w:tr>
        <w:trPr>
          <w:trHeight w:val="123"/>
        </w:trPr>
        <w:tc>
          <w:tcPr>
            <w:tcW w:w="3760" w:type="dxa"/>
            <w:vAlign w:val="bottom"/>
          </w:tcPr>
          <w:p>
            <w:pPr>
              <w:spacing w:after="0"/>
              <w:rPr>
                <w:sz w:val="10"/>
                <w:szCs w:val="10"/>
                <w:color w:val="auto"/>
              </w:rPr>
            </w:pPr>
          </w:p>
        </w:tc>
        <w:tc>
          <w:tcPr>
            <w:tcW w:w="1900" w:type="dxa"/>
            <w:vAlign w:val="bottom"/>
            <w:shd w:val="clear" w:color="auto" w:fill="D8D8D8"/>
          </w:tcPr>
          <w:p>
            <w:pPr>
              <w:jc w:val="right"/>
              <w:ind w:right="135"/>
              <w:spacing w:after="0" w:line="123" w:lineRule="exact"/>
              <w:rPr>
                <w:sz w:val="20"/>
                <w:szCs w:val="20"/>
                <w:color w:val="auto"/>
              </w:rPr>
            </w:pPr>
            <w:r>
              <w:rPr>
                <w:rFonts w:ascii="Arial" w:cs="Arial" w:eastAsia="Arial" w:hAnsi="Arial"/>
                <w:sz w:val="13"/>
                <w:szCs w:val="13"/>
                <w:color w:val="auto"/>
              </w:rPr>
              <w:t>Shell</w:t>
            </w:r>
          </w:p>
        </w:tc>
        <w:tc>
          <w:tcPr>
            <w:tcW w:w="600" w:type="dxa"/>
            <w:vAlign w:val="bottom"/>
          </w:tcPr>
          <w:p>
            <w:pPr>
              <w:spacing w:after="0"/>
              <w:rPr>
                <w:sz w:val="10"/>
                <w:szCs w:val="10"/>
                <w:color w:val="auto"/>
              </w:rPr>
            </w:pPr>
          </w:p>
        </w:tc>
        <w:tc>
          <w:tcPr>
            <w:tcW w:w="2500" w:type="dxa"/>
            <w:vAlign w:val="bottom"/>
            <w:gridSpan w:val="2"/>
          </w:tcPr>
          <w:p>
            <w:pPr>
              <w:jc w:val="right"/>
              <w:ind w:right="940"/>
              <w:spacing w:after="0" w:line="123" w:lineRule="exact"/>
              <w:rPr>
                <w:sz w:val="20"/>
                <w:szCs w:val="20"/>
                <w:color w:val="auto"/>
              </w:rPr>
            </w:pPr>
            <w:r>
              <w:rPr>
                <w:rFonts w:ascii="Arial" w:cs="Arial" w:eastAsia="Arial" w:hAnsi="Arial"/>
                <w:sz w:val="13"/>
                <w:szCs w:val="13"/>
                <w:color w:val="auto"/>
              </w:rPr>
              <w:t>Shell</w:t>
            </w:r>
          </w:p>
        </w:tc>
        <w:tc>
          <w:tcPr>
            <w:tcW w:w="2660" w:type="dxa"/>
            <w:vAlign w:val="bottom"/>
          </w:tcPr>
          <w:p>
            <w:pPr>
              <w:jc w:val="right"/>
              <w:ind w:right="273"/>
              <w:spacing w:after="0" w:line="123" w:lineRule="exact"/>
              <w:rPr>
                <w:sz w:val="20"/>
                <w:szCs w:val="20"/>
                <w:color w:val="auto"/>
              </w:rPr>
            </w:pPr>
            <w:r>
              <w:rPr>
                <w:rFonts w:ascii="Arial" w:cs="Arial" w:eastAsia="Arial" w:hAnsi="Arial"/>
                <w:sz w:val="13"/>
                <w:szCs w:val="13"/>
                <w:color w:val="auto"/>
              </w:rPr>
              <w:t>Shell</w:t>
            </w:r>
          </w:p>
        </w:tc>
      </w:tr>
      <w:tr>
        <w:trPr>
          <w:trHeight w:val="155"/>
        </w:trPr>
        <w:tc>
          <w:tcPr>
            <w:tcW w:w="3760" w:type="dxa"/>
            <w:vAlign w:val="bottom"/>
            <w:tcBorders>
              <w:bottom w:val="single" w:sz="8" w:color="auto"/>
            </w:tcBorders>
          </w:tcPr>
          <w:p>
            <w:pPr>
              <w:spacing w:after="0"/>
              <w:rPr>
                <w:sz w:val="13"/>
                <w:szCs w:val="13"/>
                <w:color w:val="auto"/>
              </w:rPr>
            </w:pPr>
          </w:p>
        </w:tc>
        <w:tc>
          <w:tcPr>
            <w:tcW w:w="1900" w:type="dxa"/>
            <w:vAlign w:val="bottom"/>
            <w:tcBorders>
              <w:bottom w:val="single" w:sz="8" w:color="auto"/>
            </w:tcBorders>
            <w:shd w:val="clear" w:color="auto" w:fill="D8D8D8"/>
          </w:tcPr>
          <w:p>
            <w:pPr>
              <w:jc w:val="right"/>
              <w:ind w:right="135"/>
              <w:spacing w:after="0"/>
              <w:rPr>
                <w:sz w:val="20"/>
                <w:szCs w:val="20"/>
                <w:color w:val="auto"/>
              </w:rPr>
            </w:pPr>
            <w:r>
              <w:rPr>
                <w:rFonts w:ascii="Arial" w:cs="Arial" w:eastAsia="Arial" w:hAnsi="Arial"/>
                <w:sz w:val="13"/>
                <w:szCs w:val="13"/>
                <w:color w:val="auto"/>
              </w:rPr>
              <w:t>subsidiaries</w:t>
            </w:r>
          </w:p>
        </w:tc>
        <w:tc>
          <w:tcPr>
            <w:tcW w:w="600" w:type="dxa"/>
            <w:vAlign w:val="bottom"/>
            <w:tcBorders>
              <w:bottom w:val="single" w:sz="8" w:color="auto"/>
            </w:tcBorders>
          </w:tcPr>
          <w:p>
            <w:pPr>
              <w:spacing w:after="0"/>
              <w:rPr>
                <w:sz w:val="13"/>
                <w:szCs w:val="13"/>
                <w:color w:val="auto"/>
              </w:rPr>
            </w:pPr>
          </w:p>
        </w:tc>
        <w:tc>
          <w:tcPr>
            <w:tcW w:w="2500" w:type="dxa"/>
            <w:vAlign w:val="bottom"/>
            <w:tcBorders>
              <w:bottom w:val="single" w:sz="8" w:color="auto"/>
            </w:tcBorders>
            <w:gridSpan w:val="2"/>
          </w:tcPr>
          <w:p>
            <w:pPr>
              <w:jc w:val="right"/>
              <w:ind w:right="940"/>
              <w:spacing w:after="0"/>
              <w:rPr>
                <w:sz w:val="20"/>
                <w:szCs w:val="20"/>
                <w:color w:val="auto"/>
              </w:rPr>
            </w:pPr>
            <w:r>
              <w:rPr>
                <w:rFonts w:ascii="Arial" w:cs="Arial" w:eastAsia="Arial" w:hAnsi="Arial"/>
                <w:sz w:val="13"/>
                <w:szCs w:val="13"/>
                <w:color w:val="auto"/>
              </w:rPr>
              <w:t>subsidiaries</w:t>
            </w:r>
          </w:p>
        </w:tc>
        <w:tc>
          <w:tcPr>
            <w:tcW w:w="2660" w:type="dxa"/>
            <w:vAlign w:val="bottom"/>
            <w:tcBorders>
              <w:bottom w:val="single" w:sz="8" w:color="auto"/>
            </w:tcBorders>
          </w:tcPr>
          <w:p>
            <w:pPr>
              <w:jc w:val="right"/>
              <w:ind w:right="273"/>
              <w:spacing w:after="0"/>
              <w:rPr>
                <w:sz w:val="20"/>
                <w:szCs w:val="20"/>
                <w:color w:val="auto"/>
              </w:rPr>
            </w:pPr>
            <w:r>
              <w:rPr>
                <w:rFonts w:ascii="Arial" w:cs="Arial" w:eastAsia="Arial" w:hAnsi="Arial"/>
                <w:sz w:val="13"/>
                <w:szCs w:val="13"/>
                <w:color w:val="auto"/>
              </w:rPr>
              <w:t>subsidiaries</w:t>
            </w:r>
          </w:p>
        </w:tc>
      </w:tr>
      <w:tr>
        <w:trPr>
          <w:trHeight w:val="156"/>
        </w:trPr>
        <w:tc>
          <w:tcPr>
            <w:tcW w:w="3760" w:type="dxa"/>
            <w:vAlign w:val="bottom"/>
            <w:tcBorders>
              <w:bottom w:val="single" w:sz="8" w:color="auto"/>
            </w:tcBorders>
          </w:tcPr>
          <w:p>
            <w:pPr>
              <w:spacing w:after="0" w:line="155" w:lineRule="exact"/>
              <w:rPr>
                <w:sz w:val="20"/>
                <w:szCs w:val="20"/>
                <w:color w:val="auto"/>
              </w:rPr>
            </w:pPr>
            <w:r>
              <w:rPr>
                <w:rFonts w:ascii="Arial" w:cs="Arial" w:eastAsia="Arial" w:hAnsi="Arial"/>
                <w:sz w:val="14"/>
                <w:szCs w:val="14"/>
                <w:color w:val="auto"/>
              </w:rPr>
              <w:t>North America – Canada</w:t>
            </w:r>
          </w:p>
        </w:tc>
        <w:tc>
          <w:tcPr>
            <w:tcW w:w="1900" w:type="dxa"/>
            <w:vAlign w:val="bottom"/>
            <w:tcBorders>
              <w:bottom w:val="single" w:sz="8" w:color="auto"/>
            </w:tcBorders>
            <w:shd w:val="clear" w:color="auto" w:fill="D8D8D8"/>
          </w:tcPr>
          <w:p>
            <w:pPr>
              <w:jc w:val="right"/>
              <w:ind w:right="135"/>
              <w:spacing w:after="0" w:line="155" w:lineRule="exact"/>
              <w:rPr>
                <w:sz w:val="20"/>
                <w:szCs w:val="20"/>
                <w:color w:val="auto"/>
              </w:rPr>
            </w:pPr>
            <w:r>
              <w:rPr>
                <w:rFonts w:ascii="Arial" w:cs="Arial" w:eastAsia="Arial" w:hAnsi="Arial"/>
                <w:sz w:val="14"/>
                <w:szCs w:val="14"/>
                <w:color w:val="auto"/>
              </w:rPr>
              <w:t>5,779</w:t>
            </w:r>
          </w:p>
        </w:tc>
        <w:tc>
          <w:tcPr>
            <w:tcW w:w="2500" w:type="dxa"/>
            <w:vAlign w:val="bottom"/>
            <w:tcBorders>
              <w:bottom w:val="single" w:sz="8" w:color="auto"/>
            </w:tcBorders>
            <w:gridSpan w:val="2"/>
          </w:tcPr>
          <w:p>
            <w:pPr>
              <w:jc w:val="right"/>
              <w:ind w:right="277"/>
              <w:spacing w:after="0" w:line="155" w:lineRule="exact"/>
              <w:rPr>
                <w:sz w:val="20"/>
                <w:szCs w:val="20"/>
                <w:color w:val="auto"/>
              </w:rPr>
            </w:pPr>
            <w:r>
              <w:rPr>
                <w:rFonts w:ascii="Arial" w:cs="Arial" w:eastAsia="Arial" w:hAnsi="Arial"/>
                <w:sz w:val="14"/>
                <w:szCs w:val="14"/>
                <w:color w:val="auto"/>
              </w:rPr>
              <w:t>6,903</w:t>
            </w:r>
          </w:p>
        </w:tc>
        <w:tc>
          <w:tcPr>
            <w:tcW w:w="600" w:type="dxa"/>
            <w:vAlign w:val="bottom"/>
            <w:tcBorders>
              <w:bottom w:val="single" w:sz="8" w:color="auto"/>
            </w:tcBorders>
          </w:tcPr>
          <w:p>
            <w:pPr>
              <w:spacing w:after="0"/>
              <w:rPr>
                <w:sz w:val="13"/>
                <w:szCs w:val="13"/>
                <w:color w:val="auto"/>
              </w:rPr>
            </w:pPr>
          </w:p>
        </w:tc>
        <w:tc>
          <w:tcPr>
            <w:tcW w:w="2660" w:type="dxa"/>
            <w:vAlign w:val="bottom"/>
            <w:tcBorders>
              <w:bottom w:val="single" w:sz="8" w:color="auto"/>
            </w:tcBorders>
          </w:tcPr>
          <w:p>
            <w:pPr>
              <w:jc w:val="right"/>
              <w:ind w:right="273"/>
              <w:spacing w:after="0" w:line="155" w:lineRule="exact"/>
              <w:rPr>
                <w:sz w:val="20"/>
                <w:szCs w:val="20"/>
                <w:color w:val="auto"/>
              </w:rPr>
            </w:pPr>
            <w:r>
              <w:rPr>
                <w:rFonts w:ascii="Arial" w:cs="Arial" w:eastAsia="Arial" w:hAnsi="Arial"/>
                <w:sz w:val="14"/>
                <w:szCs w:val="14"/>
                <w:color w:val="auto"/>
              </w:rPr>
              <w:t>7,401</w:t>
            </w:r>
          </w:p>
        </w:tc>
      </w:tr>
    </w:tbl>
    <w:p>
      <w:pPr>
        <w:sectPr>
          <w:pgSz w:w="11900" w:h="16838" w:orient="portrait"/>
          <w:cols w:equalWidth="0" w:num="1">
            <w:col w:w="11420"/>
          </w:cols>
          <w:pgMar w:left="240" w:top="459" w:right="2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6471285</wp:posOffset>
            </wp:positionH>
            <wp:positionV relativeFrom="paragraph">
              <wp:posOffset>300355</wp:posOffset>
            </wp:positionV>
            <wp:extent cx="8890" cy="46291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8890" cy="462915"/>
                    </a:xfrm>
                    <a:prstGeom prst="rect">
                      <a:avLst/>
                    </a:prstGeom>
                    <a:noFill/>
                  </pic:spPr>
                </pic:pic>
              </a:graphicData>
            </a:graphic>
          </wp:anchor>
        </w:drawing>
      </w:r>
    </w:p>
    <w:p>
      <w:pPr>
        <w:spacing w:after="0" w:line="200" w:lineRule="exact"/>
        <w:rPr>
          <w:sz w:val="20"/>
          <w:szCs w:val="20"/>
          <w:color w:val="auto"/>
        </w:rPr>
      </w:pP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565"/>
        </w:trPr>
        <w:tc>
          <w:tcPr>
            <w:tcW w:w="5600" w:type="dxa"/>
            <w:vAlign w:val="bottom"/>
          </w:tcPr>
          <w:p>
            <w:pPr>
              <w:spacing w:after="0"/>
              <w:rPr>
                <w:sz w:val="24"/>
                <w:szCs w:val="24"/>
                <w:color w:val="auto"/>
              </w:rPr>
            </w:pPr>
          </w:p>
        </w:tc>
        <w:tc>
          <w:tcPr>
            <w:tcW w:w="3180" w:type="dxa"/>
            <w:vAlign w:val="bottom"/>
            <w:gridSpan w:val="3"/>
            <w:shd w:val="clear" w:color="auto" w:fill="FF8B00"/>
          </w:tcPr>
          <w:p>
            <w:pPr>
              <w:ind w:left="940"/>
              <w:spacing w:after="0"/>
              <w:rPr>
                <w:sz w:val="20"/>
                <w:szCs w:val="20"/>
                <w:color w:val="auto"/>
              </w:rPr>
            </w:pPr>
            <w:r>
              <w:rPr>
                <w:rFonts w:ascii="Arial" w:cs="Arial" w:eastAsia="Arial" w:hAnsi="Arial"/>
                <w:sz w:val="13"/>
                <w:szCs w:val="13"/>
                <w:color w:val="333333"/>
              </w:rPr>
              <w:t>STRATEGIC REPORT</w:t>
            </w:r>
          </w:p>
        </w:tc>
        <w:tc>
          <w:tcPr>
            <w:tcW w:w="1220" w:type="dxa"/>
            <w:vAlign w:val="bottom"/>
            <w:shd w:val="clear" w:color="auto" w:fill="FF8B00"/>
          </w:tcPr>
          <w:p>
            <w:pPr>
              <w:spacing w:after="0"/>
              <w:rPr>
                <w:sz w:val="24"/>
                <w:szCs w:val="24"/>
                <w:color w:val="auto"/>
              </w:rPr>
            </w:pPr>
          </w:p>
        </w:tc>
        <w:tc>
          <w:tcPr>
            <w:tcW w:w="1420" w:type="dxa"/>
            <w:vAlign w:val="bottom"/>
            <w:shd w:val="clear" w:color="auto" w:fill="FF8B00"/>
          </w:tcPr>
          <w:p>
            <w:pPr>
              <w:jc w:val="right"/>
              <w:ind w:right="290"/>
              <w:spacing w:after="0"/>
              <w:rPr>
                <w:sz w:val="20"/>
                <w:szCs w:val="20"/>
                <w:color w:val="auto"/>
              </w:rPr>
            </w:pPr>
            <w:r>
              <w:rPr>
                <w:rFonts w:ascii="Arial" w:cs="Arial" w:eastAsia="Arial" w:hAnsi="Arial"/>
                <w:sz w:val="11"/>
                <w:szCs w:val="11"/>
                <w:b w:val="1"/>
                <w:bCs w:val="1"/>
                <w:color w:val="333333"/>
              </w:rPr>
              <w:t>37</w:t>
            </w:r>
          </w:p>
        </w:tc>
        <w:tc>
          <w:tcPr>
            <w:tcW w:w="0" w:type="dxa"/>
            <w:vAlign w:val="bottom"/>
          </w:tcPr>
          <w:p>
            <w:pPr>
              <w:spacing w:after="0"/>
              <w:rPr>
                <w:sz w:val="1"/>
                <w:szCs w:val="1"/>
                <w:color w:val="auto"/>
              </w:rPr>
            </w:pPr>
          </w:p>
        </w:tc>
      </w:tr>
      <w:tr>
        <w:trPr>
          <w:trHeight w:val="165"/>
        </w:trPr>
        <w:tc>
          <w:tcPr>
            <w:tcW w:w="5600" w:type="dxa"/>
            <w:vAlign w:val="bottom"/>
            <w:vMerge w:val="restart"/>
          </w:tcPr>
          <w:p>
            <w:pPr>
              <w:spacing w:after="0"/>
              <w:rPr>
                <w:sz w:val="20"/>
                <w:szCs w:val="20"/>
                <w:color w:val="auto"/>
              </w:rPr>
            </w:pPr>
            <w:r>
              <w:rPr>
                <w:rFonts w:ascii="Arial" w:cs="Arial" w:eastAsia="Arial" w:hAnsi="Arial"/>
                <w:sz w:val="11"/>
                <w:szCs w:val="11"/>
                <w:color w:val="auto"/>
              </w:rPr>
              <w:t>SHELL ANNUAL REPORT AND FORM 20-F 2014</w:t>
            </w:r>
          </w:p>
        </w:tc>
        <w:tc>
          <w:tcPr>
            <w:tcW w:w="1360" w:type="dxa"/>
            <w:vAlign w:val="bottom"/>
            <w:shd w:val="clear" w:color="auto" w:fill="FF8B00"/>
          </w:tcPr>
          <w:p>
            <w:pPr>
              <w:spacing w:after="0"/>
              <w:rPr>
                <w:sz w:val="14"/>
                <w:szCs w:val="14"/>
                <w:color w:val="auto"/>
              </w:rPr>
            </w:pPr>
          </w:p>
        </w:tc>
        <w:tc>
          <w:tcPr>
            <w:tcW w:w="1460" w:type="dxa"/>
            <w:vAlign w:val="bottom"/>
            <w:shd w:val="clear" w:color="auto" w:fill="FF8B00"/>
          </w:tcPr>
          <w:p>
            <w:pPr>
              <w:spacing w:after="0"/>
              <w:rPr>
                <w:sz w:val="14"/>
                <w:szCs w:val="14"/>
                <w:color w:val="auto"/>
              </w:rPr>
            </w:pPr>
          </w:p>
        </w:tc>
        <w:tc>
          <w:tcPr>
            <w:tcW w:w="360" w:type="dxa"/>
            <w:vAlign w:val="bottom"/>
            <w:shd w:val="clear" w:color="auto" w:fill="FF8B00"/>
          </w:tcPr>
          <w:p>
            <w:pPr>
              <w:spacing w:after="0"/>
              <w:rPr>
                <w:sz w:val="14"/>
                <w:szCs w:val="14"/>
                <w:color w:val="auto"/>
              </w:rPr>
            </w:pPr>
          </w:p>
        </w:tc>
        <w:tc>
          <w:tcPr>
            <w:tcW w:w="1220" w:type="dxa"/>
            <w:vAlign w:val="bottom"/>
            <w:shd w:val="clear" w:color="auto" w:fill="FF8B00"/>
          </w:tcPr>
          <w:p>
            <w:pPr>
              <w:spacing w:after="0"/>
              <w:rPr>
                <w:sz w:val="14"/>
                <w:szCs w:val="14"/>
                <w:color w:val="auto"/>
              </w:rPr>
            </w:pPr>
          </w:p>
        </w:tc>
        <w:tc>
          <w:tcPr>
            <w:tcW w:w="1420" w:type="dxa"/>
            <w:vAlign w:val="bottom"/>
            <w:shd w:val="clear" w:color="auto" w:fill="FF8B00"/>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5600" w:type="dxa"/>
            <w:vAlign w:val="bottom"/>
            <w:vMerge w:val="continue"/>
          </w:tcPr>
          <w:p>
            <w:pPr>
              <w:spacing w:after="0"/>
              <w:rPr>
                <w:sz w:val="10"/>
                <w:szCs w:val="10"/>
                <w:color w:val="auto"/>
              </w:rPr>
            </w:pPr>
          </w:p>
        </w:tc>
        <w:tc>
          <w:tcPr>
            <w:tcW w:w="3180" w:type="dxa"/>
            <w:vAlign w:val="bottom"/>
            <w:gridSpan w:val="3"/>
          </w:tcPr>
          <w:p>
            <w:pPr>
              <w:ind w:left="940"/>
              <w:spacing w:after="0" w:line="121" w:lineRule="exact"/>
              <w:rPr>
                <w:sz w:val="20"/>
                <w:szCs w:val="20"/>
                <w:color w:val="auto"/>
              </w:rPr>
            </w:pPr>
            <w:r>
              <w:rPr>
                <w:rFonts w:ascii="Arial" w:cs="Arial" w:eastAsia="Arial" w:hAnsi="Arial"/>
                <w:sz w:val="11"/>
                <w:szCs w:val="11"/>
                <w:color w:val="auto"/>
              </w:rPr>
              <w:t>UPSTREAM</w:t>
            </w:r>
          </w:p>
        </w:tc>
        <w:tc>
          <w:tcPr>
            <w:tcW w:w="1220" w:type="dxa"/>
            <w:vAlign w:val="bottom"/>
          </w:tcPr>
          <w:p>
            <w:pPr>
              <w:spacing w:after="0"/>
              <w:rPr>
                <w:sz w:val="10"/>
                <w:szCs w:val="10"/>
                <w:color w:val="auto"/>
              </w:rPr>
            </w:pPr>
          </w:p>
        </w:tc>
        <w:tc>
          <w:tcPr>
            <w:tcW w:w="14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7"/>
        </w:trPr>
        <w:tc>
          <w:tcPr>
            <w:tcW w:w="5600" w:type="dxa"/>
            <w:vAlign w:val="bottom"/>
          </w:tcPr>
          <w:p>
            <w:pPr>
              <w:spacing w:after="0"/>
              <w:rPr>
                <w:sz w:val="20"/>
                <w:szCs w:val="20"/>
                <w:color w:val="auto"/>
              </w:rPr>
            </w:pPr>
            <w:r>
              <w:rPr>
                <w:rFonts w:ascii="Arial" w:cs="Arial" w:eastAsia="Arial" w:hAnsi="Arial"/>
                <w:sz w:val="18"/>
                <w:szCs w:val="18"/>
                <w:color w:val="auto"/>
              </w:rPr>
              <w:t>LNG AND GTL PLANTS AT DECEMBER 31, 2014</w:t>
            </w:r>
          </w:p>
        </w:tc>
        <w:tc>
          <w:tcPr>
            <w:tcW w:w="13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56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5600" w:type="dxa"/>
            <w:vAlign w:val="bottom"/>
            <w:shd w:val="clear" w:color="auto" w:fill="333333"/>
          </w:tcPr>
          <w:p>
            <w:pPr>
              <w:ind w:left="80"/>
              <w:spacing w:after="0" w:line="162" w:lineRule="exact"/>
              <w:rPr>
                <w:sz w:val="20"/>
                <w:szCs w:val="20"/>
                <w:color w:val="auto"/>
              </w:rPr>
            </w:pPr>
            <w:r>
              <w:rPr>
                <w:rFonts w:ascii="Arial" w:cs="Arial" w:eastAsia="Arial" w:hAnsi="Arial"/>
                <w:sz w:val="15"/>
                <w:szCs w:val="15"/>
                <w:b w:val="1"/>
                <w:bCs w:val="1"/>
                <w:color w:val="FFFFFF"/>
              </w:rPr>
              <w:t>LNG LIQUEFACTION PLANTS IN OPERATION</w:t>
            </w:r>
          </w:p>
        </w:tc>
        <w:tc>
          <w:tcPr>
            <w:tcW w:w="1360" w:type="dxa"/>
            <w:vAlign w:val="bottom"/>
            <w:shd w:val="clear" w:color="auto" w:fill="333333"/>
          </w:tcPr>
          <w:p>
            <w:pPr>
              <w:spacing w:after="0"/>
              <w:rPr>
                <w:sz w:val="14"/>
                <w:szCs w:val="14"/>
                <w:color w:val="auto"/>
              </w:rPr>
            </w:pPr>
          </w:p>
        </w:tc>
        <w:tc>
          <w:tcPr>
            <w:tcW w:w="1460" w:type="dxa"/>
            <w:vAlign w:val="bottom"/>
            <w:shd w:val="clear" w:color="auto" w:fill="333333"/>
          </w:tcPr>
          <w:p>
            <w:pPr>
              <w:spacing w:after="0"/>
              <w:rPr>
                <w:sz w:val="14"/>
                <w:szCs w:val="14"/>
                <w:color w:val="auto"/>
              </w:rPr>
            </w:pPr>
          </w:p>
        </w:tc>
        <w:tc>
          <w:tcPr>
            <w:tcW w:w="360" w:type="dxa"/>
            <w:vAlign w:val="bottom"/>
            <w:shd w:val="clear" w:color="auto" w:fill="333333"/>
          </w:tcPr>
          <w:p>
            <w:pPr>
              <w:spacing w:after="0"/>
              <w:rPr>
                <w:sz w:val="14"/>
                <w:szCs w:val="14"/>
                <w:color w:val="auto"/>
              </w:rPr>
            </w:pPr>
          </w:p>
        </w:tc>
        <w:tc>
          <w:tcPr>
            <w:tcW w:w="1220" w:type="dxa"/>
            <w:vAlign w:val="bottom"/>
            <w:shd w:val="clear" w:color="auto" w:fill="333333"/>
          </w:tcPr>
          <w:p>
            <w:pPr>
              <w:spacing w:after="0"/>
              <w:rPr>
                <w:sz w:val="14"/>
                <w:szCs w:val="14"/>
                <w:color w:val="auto"/>
              </w:rPr>
            </w:pPr>
          </w:p>
        </w:tc>
        <w:tc>
          <w:tcPr>
            <w:tcW w:w="1420" w:type="dxa"/>
            <w:vAlign w:val="bottom"/>
            <w:shd w:val="clear" w:color="auto" w:fill="333333"/>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560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20" w:type="dxa"/>
            <w:vAlign w:val="bottom"/>
          </w:tcPr>
          <w:p>
            <w:pPr>
              <w:jc w:val="right"/>
              <w:ind w:right="110"/>
              <w:spacing w:after="0" w:line="129" w:lineRule="exact"/>
              <w:rPr>
                <w:sz w:val="20"/>
                <w:szCs w:val="20"/>
                <w:color w:val="auto"/>
              </w:rPr>
            </w:pPr>
            <w:r>
              <w:rPr>
                <w:rFonts w:ascii="Arial" w:cs="Arial" w:eastAsia="Arial" w:hAnsi="Arial"/>
                <w:sz w:val="13"/>
                <w:szCs w:val="13"/>
                <w:color w:val="auto"/>
              </w:rPr>
              <w:t>Shell</w:t>
            </w:r>
          </w:p>
        </w:tc>
        <w:tc>
          <w:tcPr>
            <w:tcW w:w="1420" w:type="dxa"/>
            <w:vAlign w:val="bottom"/>
          </w:tcPr>
          <w:p>
            <w:pPr>
              <w:jc w:val="right"/>
              <w:ind w:right="270"/>
              <w:spacing w:after="0" w:line="129" w:lineRule="exact"/>
              <w:rPr>
                <w:sz w:val="20"/>
                <w:szCs w:val="20"/>
                <w:color w:val="auto"/>
              </w:rPr>
            </w:pPr>
            <w:r>
              <w:rPr>
                <w:rFonts w:ascii="Arial" w:cs="Arial" w:eastAsia="Arial" w:hAnsi="Arial"/>
                <w:sz w:val="13"/>
                <w:szCs w:val="13"/>
                <w:color w:val="auto"/>
              </w:rPr>
              <w:t>100% capacity</w:t>
            </w:r>
          </w:p>
        </w:tc>
        <w:tc>
          <w:tcPr>
            <w:tcW w:w="0" w:type="dxa"/>
            <w:vAlign w:val="bottom"/>
          </w:tcPr>
          <w:p>
            <w:pPr>
              <w:spacing w:after="0"/>
              <w:rPr>
                <w:sz w:val="1"/>
                <w:szCs w:val="1"/>
                <w:color w:val="auto"/>
              </w:rPr>
            </w:pPr>
          </w:p>
        </w:tc>
      </w:tr>
      <w:tr>
        <w:trPr>
          <w:trHeight w:val="141"/>
        </w:trPr>
        <w:tc>
          <w:tcPr>
            <w:tcW w:w="5600" w:type="dxa"/>
            <w:vAlign w:val="bottom"/>
            <w:tcBorders>
              <w:bottom w:val="single" w:sz="8" w:color="auto"/>
            </w:tcBorders>
          </w:tcPr>
          <w:p>
            <w:pPr>
              <w:spacing w:after="0"/>
              <w:rPr>
                <w:sz w:val="12"/>
                <w:szCs w:val="12"/>
                <w:color w:val="auto"/>
              </w:rPr>
            </w:pPr>
          </w:p>
        </w:tc>
        <w:tc>
          <w:tcPr>
            <w:tcW w:w="1360" w:type="dxa"/>
            <w:vAlign w:val="bottom"/>
            <w:tcBorders>
              <w:bottom w:val="single" w:sz="8" w:color="auto"/>
            </w:tcBorders>
          </w:tcPr>
          <w:p>
            <w:pPr>
              <w:spacing w:after="0"/>
              <w:rPr>
                <w:sz w:val="12"/>
                <w:szCs w:val="12"/>
                <w:color w:val="auto"/>
              </w:rPr>
            </w:pPr>
          </w:p>
        </w:tc>
        <w:tc>
          <w:tcPr>
            <w:tcW w:w="1820" w:type="dxa"/>
            <w:vAlign w:val="bottom"/>
            <w:tcBorders>
              <w:bottom w:val="single" w:sz="8" w:color="auto"/>
            </w:tcBorders>
            <w:gridSpan w:val="2"/>
          </w:tcPr>
          <w:p>
            <w:pPr>
              <w:ind w:left="440"/>
              <w:spacing w:after="0" w:line="141" w:lineRule="exact"/>
              <w:rPr>
                <w:sz w:val="20"/>
                <w:szCs w:val="20"/>
                <w:color w:val="auto"/>
              </w:rPr>
            </w:pPr>
            <w:r>
              <w:rPr>
                <w:rFonts w:ascii="Arial" w:cs="Arial" w:eastAsia="Arial" w:hAnsi="Arial"/>
                <w:sz w:val="13"/>
                <w:szCs w:val="13"/>
                <w:color w:val="auto"/>
              </w:rPr>
              <w:t>Location</w:t>
            </w:r>
          </w:p>
        </w:tc>
        <w:tc>
          <w:tcPr>
            <w:tcW w:w="1220" w:type="dxa"/>
            <w:vAlign w:val="bottom"/>
            <w:tcBorders>
              <w:bottom w:val="single" w:sz="8" w:color="auto"/>
            </w:tcBorders>
          </w:tcPr>
          <w:p>
            <w:pPr>
              <w:jc w:val="right"/>
              <w:spacing w:after="0" w:line="141" w:lineRule="exact"/>
              <w:rPr>
                <w:sz w:val="20"/>
                <w:szCs w:val="20"/>
                <w:color w:val="auto"/>
              </w:rPr>
            </w:pPr>
            <w:r>
              <w:rPr>
                <w:rFonts w:ascii="Arial" w:cs="Arial" w:eastAsia="Arial" w:hAnsi="Arial"/>
                <w:sz w:val="13"/>
                <w:szCs w:val="13"/>
                <w:color w:val="auto"/>
              </w:rPr>
              <w:t>interest (%)[A]</w:t>
            </w:r>
          </w:p>
        </w:tc>
        <w:tc>
          <w:tcPr>
            <w:tcW w:w="1420" w:type="dxa"/>
            <w:vAlign w:val="bottom"/>
            <w:tcBorders>
              <w:bottom w:val="single" w:sz="8" w:color="auto"/>
            </w:tcBorders>
          </w:tcPr>
          <w:p>
            <w:pPr>
              <w:jc w:val="right"/>
              <w:ind w:right="110"/>
              <w:spacing w:after="0" w:line="141" w:lineRule="exact"/>
              <w:rPr>
                <w:sz w:val="20"/>
                <w:szCs w:val="20"/>
                <w:color w:val="auto"/>
              </w:rPr>
            </w:pPr>
            <w:r>
              <w:rPr>
                <w:rFonts w:ascii="Arial" w:cs="Arial" w:eastAsia="Arial" w:hAnsi="Arial"/>
                <w:sz w:val="13"/>
                <w:szCs w:val="13"/>
                <w:color w:val="auto"/>
              </w:rPr>
              <w:t>(mtpa)[B]</w:t>
            </w:r>
          </w:p>
        </w:tc>
        <w:tc>
          <w:tcPr>
            <w:tcW w:w="0" w:type="dxa"/>
            <w:vAlign w:val="bottom"/>
          </w:tcPr>
          <w:p>
            <w:pPr>
              <w:spacing w:after="0"/>
              <w:rPr>
                <w:sz w:val="1"/>
                <w:szCs w:val="1"/>
                <w:color w:val="auto"/>
              </w:rPr>
            </w:pPr>
          </w:p>
        </w:tc>
      </w:tr>
      <w:tr>
        <w:trPr>
          <w:trHeight w:val="160"/>
        </w:trPr>
        <w:tc>
          <w:tcPr>
            <w:tcW w:w="5600" w:type="dxa"/>
            <w:vAlign w:val="bottom"/>
          </w:tcPr>
          <w:p>
            <w:pPr>
              <w:spacing w:after="0"/>
              <w:rPr>
                <w:sz w:val="20"/>
                <w:szCs w:val="20"/>
                <w:color w:val="auto"/>
              </w:rPr>
            </w:pPr>
            <w:r>
              <w:rPr>
                <w:rFonts w:ascii="Arial" w:cs="Arial" w:eastAsia="Arial" w:hAnsi="Arial"/>
                <w:sz w:val="14"/>
                <w:szCs w:val="14"/>
                <w:color w:val="auto"/>
              </w:rPr>
              <w:t>Atlantic LNG</w:t>
            </w:r>
          </w:p>
        </w:tc>
        <w:tc>
          <w:tcPr>
            <w:tcW w:w="1360" w:type="dxa"/>
            <w:vAlign w:val="bottom"/>
          </w:tcPr>
          <w:p>
            <w:pPr>
              <w:spacing w:after="0"/>
              <w:rPr>
                <w:sz w:val="13"/>
                <w:szCs w:val="13"/>
                <w:color w:val="auto"/>
              </w:rPr>
            </w:pPr>
          </w:p>
        </w:tc>
        <w:tc>
          <w:tcPr>
            <w:tcW w:w="1820" w:type="dxa"/>
            <w:vAlign w:val="bottom"/>
            <w:gridSpan w:val="2"/>
          </w:tcPr>
          <w:p>
            <w:pPr>
              <w:ind w:left="440"/>
              <w:spacing w:after="0"/>
              <w:rPr>
                <w:sz w:val="20"/>
                <w:szCs w:val="20"/>
                <w:color w:val="auto"/>
              </w:rPr>
            </w:pPr>
            <w:r>
              <w:rPr>
                <w:rFonts w:ascii="Arial" w:cs="Arial" w:eastAsia="Arial" w:hAnsi="Arial"/>
                <w:sz w:val="14"/>
                <w:szCs w:val="14"/>
                <w:color w:val="auto"/>
              </w:rPr>
              <w:t>Point Fortin</w:t>
            </w:r>
          </w:p>
        </w:tc>
        <w:tc>
          <w:tcPr>
            <w:tcW w:w="1220" w:type="dxa"/>
            <w:vAlign w:val="bottom"/>
          </w:tcPr>
          <w:p>
            <w:pPr>
              <w:jc w:val="right"/>
              <w:ind w:right="110"/>
              <w:spacing w:after="0"/>
              <w:rPr>
                <w:sz w:val="20"/>
                <w:szCs w:val="20"/>
                <w:color w:val="auto"/>
              </w:rPr>
            </w:pPr>
            <w:r>
              <w:rPr>
                <w:rFonts w:ascii="Arial" w:cs="Arial" w:eastAsia="Arial" w:hAnsi="Arial"/>
                <w:sz w:val="14"/>
                <w:szCs w:val="14"/>
                <w:color w:val="auto"/>
              </w:rPr>
              <w:t>20-25</w:t>
            </w:r>
          </w:p>
        </w:tc>
        <w:tc>
          <w:tcPr>
            <w:tcW w:w="1420" w:type="dxa"/>
            <w:vAlign w:val="bottom"/>
          </w:tcPr>
          <w:p>
            <w:pPr>
              <w:jc w:val="right"/>
              <w:ind w:right="270"/>
              <w:spacing w:after="0"/>
              <w:rPr>
                <w:sz w:val="20"/>
                <w:szCs w:val="20"/>
                <w:color w:val="auto"/>
              </w:rPr>
            </w:pPr>
            <w:r>
              <w:rPr>
                <w:rFonts w:ascii="Arial" w:cs="Arial" w:eastAsia="Arial" w:hAnsi="Arial"/>
                <w:sz w:val="14"/>
                <w:szCs w:val="14"/>
                <w:color w:val="auto"/>
              </w:rPr>
              <w:t>14.8</w:t>
            </w:r>
          </w:p>
        </w:tc>
        <w:tc>
          <w:tcPr>
            <w:tcW w:w="0" w:type="dxa"/>
            <w:vAlign w:val="bottom"/>
          </w:tcPr>
          <w:p>
            <w:pPr>
              <w:spacing w:after="0"/>
              <w:rPr>
                <w:sz w:val="1"/>
                <w:szCs w:val="1"/>
                <w:color w:val="auto"/>
              </w:rPr>
            </w:pPr>
          </w:p>
        </w:tc>
      </w:tr>
      <w:tr>
        <w:trPr>
          <w:trHeight w:val="162"/>
        </w:trPr>
        <w:tc>
          <w:tcPr>
            <w:tcW w:w="5600" w:type="dxa"/>
            <w:vAlign w:val="bottom"/>
          </w:tcPr>
          <w:p>
            <w:pPr>
              <w:spacing w:after="0"/>
              <w:rPr>
                <w:sz w:val="20"/>
                <w:szCs w:val="20"/>
                <w:color w:val="auto"/>
              </w:rPr>
            </w:pPr>
            <w:r>
              <w:rPr>
                <w:rFonts w:ascii="Arial" w:cs="Arial" w:eastAsia="Arial" w:hAnsi="Arial"/>
                <w:sz w:val="14"/>
                <w:szCs w:val="14"/>
                <w:color w:val="auto"/>
              </w:rPr>
              <w:t>Australia North West Shelf</w:t>
            </w:r>
          </w:p>
        </w:tc>
        <w:tc>
          <w:tcPr>
            <w:tcW w:w="1360" w:type="dxa"/>
            <w:vAlign w:val="bottom"/>
          </w:tcPr>
          <w:p>
            <w:pPr>
              <w:spacing w:after="0"/>
              <w:rPr>
                <w:sz w:val="14"/>
                <w:szCs w:val="14"/>
                <w:color w:val="auto"/>
              </w:rPr>
            </w:pPr>
          </w:p>
        </w:tc>
        <w:tc>
          <w:tcPr>
            <w:tcW w:w="1820" w:type="dxa"/>
            <w:vAlign w:val="bottom"/>
            <w:gridSpan w:val="2"/>
          </w:tcPr>
          <w:p>
            <w:pPr>
              <w:ind w:left="440"/>
              <w:spacing w:after="0"/>
              <w:rPr>
                <w:sz w:val="20"/>
                <w:szCs w:val="20"/>
                <w:color w:val="auto"/>
              </w:rPr>
            </w:pPr>
            <w:r>
              <w:rPr>
                <w:rFonts w:ascii="Arial" w:cs="Arial" w:eastAsia="Arial" w:hAnsi="Arial"/>
                <w:sz w:val="14"/>
                <w:szCs w:val="14"/>
                <w:color w:val="auto"/>
              </w:rPr>
              <w:t>Karratha</w:t>
            </w:r>
          </w:p>
        </w:tc>
        <w:tc>
          <w:tcPr>
            <w:tcW w:w="1220" w:type="dxa"/>
            <w:vAlign w:val="bottom"/>
          </w:tcPr>
          <w:p>
            <w:pPr>
              <w:jc w:val="right"/>
              <w:ind w:right="110"/>
              <w:spacing w:after="0"/>
              <w:rPr>
                <w:sz w:val="20"/>
                <w:szCs w:val="20"/>
                <w:color w:val="auto"/>
              </w:rPr>
            </w:pPr>
            <w:r>
              <w:rPr>
                <w:rFonts w:ascii="Arial" w:cs="Arial" w:eastAsia="Arial" w:hAnsi="Arial"/>
                <w:sz w:val="14"/>
                <w:szCs w:val="14"/>
                <w:color w:val="auto"/>
              </w:rPr>
              <w:t>19</w:t>
            </w:r>
          </w:p>
        </w:tc>
        <w:tc>
          <w:tcPr>
            <w:tcW w:w="1420" w:type="dxa"/>
            <w:vAlign w:val="bottom"/>
          </w:tcPr>
          <w:p>
            <w:pPr>
              <w:jc w:val="right"/>
              <w:ind w:right="270"/>
              <w:spacing w:after="0"/>
              <w:rPr>
                <w:sz w:val="20"/>
                <w:szCs w:val="20"/>
                <w:color w:val="auto"/>
              </w:rPr>
            </w:pPr>
            <w:r>
              <w:rPr>
                <w:rFonts w:ascii="Arial" w:cs="Arial" w:eastAsia="Arial" w:hAnsi="Arial"/>
                <w:sz w:val="14"/>
                <w:szCs w:val="14"/>
                <w:color w:val="auto"/>
              </w:rPr>
              <w:t>16.3</w:t>
            </w:r>
          </w:p>
        </w:tc>
        <w:tc>
          <w:tcPr>
            <w:tcW w:w="0" w:type="dxa"/>
            <w:vAlign w:val="bottom"/>
          </w:tcPr>
          <w:p>
            <w:pPr>
              <w:spacing w:after="0"/>
              <w:rPr>
                <w:sz w:val="1"/>
                <w:szCs w:val="1"/>
                <w:color w:val="auto"/>
              </w:rPr>
            </w:pPr>
          </w:p>
        </w:tc>
      </w:tr>
      <w:tr>
        <w:trPr>
          <w:trHeight w:val="162"/>
        </w:trPr>
        <w:tc>
          <w:tcPr>
            <w:tcW w:w="5600" w:type="dxa"/>
            <w:vAlign w:val="bottom"/>
          </w:tcPr>
          <w:p>
            <w:pPr>
              <w:spacing w:after="0"/>
              <w:rPr>
                <w:sz w:val="20"/>
                <w:szCs w:val="20"/>
                <w:color w:val="auto"/>
              </w:rPr>
            </w:pPr>
            <w:r>
              <w:rPr>
                <w:rFonts w:ascii="Arial" w:cs="Arial" w:eastAsia="Arial" w:hAnsi="Arial"/>
                <w:sz w:val="14"/>
                <w:szCs w:val="14"/>
                <w:color w:val="auto"/>
              </w:rPr>
              <w:t>Australia Pluto 1</w:t>
            </w:r>
          </w:p>
        </w:tc>
        <w:tc>
          <w:tcPr>
            <w:tcW w:w="1360" w:type="dxa"/>
            <w:vAlign w:val="bottom"/>
          </w:tcPr>
          <w:p>
            <w:pPr>
              <w:spacing w:after="0"/>
              <w:rPr>
                <w:sz w:val="14"/>
                <w:szCs w:val="14"/>
                <w:color w:val="auto"/>
              </w:rPr>
            </w:pPr>
          </w:p>
        </w:tc>
        <w:tc>
          <w:tcPr>
            <w:tcW w:w="1820" w:type="dxa"/>
            <w:vAlign w:val="bottom"/>
            <w:gridSpan w:val="2"/>
          </w:tcPr>
          <w:p>
            <w:pPr>
              <w:ind w:left="440"/>
              <w:spacing w:after="0"/>
              <w:rPr>
                <w:sz w:val="20"/>
                <w:szCs w:val="20"/>
                <w:color w:val="auto"/>
              </w:rPr>
            </w:pPr>
            <w:r>
              <w:rPr>
                <w:rFonts w:ascii="Arial" w:cs="Arial" w:eastAsia="Arial" w:hAnsi="Arial"/>
                <w:sz w:val="14"/>
                <w:szCs w:val="14"/>
                <w:color w:val="auto"/>
              </w:rPr>
              <w:t>Karratha</w:t>
            </w:r>
          </w:p>
        </w:tc>
        <w:tc>
          <w:tcPr>
            <w:tcW w:w="1220" w:type="dxa"/>
            <w:vAlign w:val="bottom"/>
          </w:tcPr>
          <w:p>
            <w:pPr>
              <w:jc w:val="right"/>
              <w:ind w:right="110"/>
              <w:spacing w:after="0"/>
              <w:rPr>
                <w:sz w:val="20"/>
                <w:szCs w:val="20"/>
                <w:color w:val="auto"/>
              </w:rPr>
            </w:pPr>
            <w:r>
              <w:rPr>
                <w:rFonts w:ascii="Arial" w:cs="Arial" w:eastAsia="Arial" w:hAnsi="Arial"/>
                <w:sz w:val="14"/>
                <w:szCs w:val="14"/>
                <w:color w:val="auto"/>
              </w:rPr>
              <w:t>12</w:t>
            </w:r>
          </w:p>
        </w:tc>
        <w:tc>
          <w:tcPr>
            <w:tcW w:w="1420" w:type="dxa"/>
            <w:vAlign w:val="bottom"/>
          </w:tcPr>
          <w:p>
            <w:pPr>
              <w:jc w:val="right"/>
              <w:ind w:right="270"/>
              <w:spacing w:after="0"/>
              <w:rPr>
                <w:sz w:val="20"/>
                <w:szCs w:val="20"/>
                <w:color w:val="auto"/>
              </w:rPr>
            </w:pPr>
            <w:r>
              <w:rPr>
                <w:rFonts w:ascii="Arial" w:cs="Arial" w:eastAsia="Arial" w:hAnsi="Arial"/>
                <w:sz w:val="14"/>
                <w:szCs w:val="14"/>
                <w:color w:val="auto"/>
              </w:rPr>
              <w:t>4.3</w:t>
            </w:r>
          </w:p>
        </w:tc>
        <w:tc>
          <w:tcPr>
            <w:tcW w:w="0" w:type="dxa"/>
            <w:vAlign w:val="bottom"/>
          </w:tcPr>
          <w:p>
            <w:pPr>
              <w:spacing w:after="0"/>
              <w:rPr>
                <w:sz w:val="1"/>
                <w:szCs w:val="1"/>
                <w:color w:val="auto"/>
              </w:rPr>
            </w:pPr>
          </w:p>
        </w:tc>
      </w:tr>
      <w:tr>
        <w:trPr>
          <w:trHeight w:val="162"/>
        </w:trPr>
        <w:tc>
          <w:tcPr>
            <w:tcW w:w="5600" w:type="dxa"/>
            <w:vAlign w:val="bottom"/>
          </w:tcPr>
          <w:p>
            <w:pPr>
              <w:spacing w:after="0"/>
              <w:rPr>
                <w:sz w:val="20"/>
                <w:szCs w:val="20"/>
                <w:color w:val="auto"/>
              </w:rPr>
            </w:pPr>
            <w:r>
              <w:rPr>
                <w:rFonts w:ascii="Arial" w:cs="Arial" w:eastAsia="Arial" w:hAnsi="Arial"/>
                <w:sz w:val="14"/>
                <w:szCs w:val="14"/>
                <w:color w:val="auto"/>
              </w:rPr>
              <w:t>Brunei LNG</w:t>
            </w:r>
          </w:p>
        </w:tc>
        <w:tc>
          <w:tcPr>
            <w:tcW w:w="1360" w:type="dxa"/>
            <w:vAlign w:val="bottom"/>
          </w:tcPr>
          <w:p>
            <w:pPr>
              <w:spacing w:after="0"/>
              <w:rPr>
                <w:sz w:val="14"/>
                <w:szCs w:val="14"/>
                <w:color w:val="auto"/>
              </w:rPr>
            </w:pPr>
          </w:p>
        </w:tc>
        <w:tc>
          <w:tcPr>
            <w:tcW w:w="1820" w:type="dxa"/>
            <w:vAlign w:val="bottom"/>
            <w:gridSpan w:val="2"/>
          </w:tcPr>
          <w:p>
            <w:pPr>
              <w:ind w:left="440"/>
              <w:spacing w:after="0"/>
              <w:rPr>
                <w:sz w:val="20"/>
                <w:szCs w:val="20"/>
                <w:color w:val="auto"/>
              </w:rPr>
            </w:pPr>
            <w:r>
              <w:rPr>
                <w:rFonts w:ascii="Arial" w:cs="Arial" w:eastAsia="Arial" w:hAnsi="Arial"/>
                <w:sz w:val="14"/>
                <w:szCs w:val="14"/>
                <w:color w:val="auto"/>
              </w:rPr>
              <w:t>Lumut</w:t>
            </w:r>
          </w:p>
        </w:tc>
        <w:tc>
          <w:tcPr>
            <w:tcW w:w="1220" w:type="dxa"/>
            <w:vAlign w:val="bottom"/>
          </w:tcPr>
          <w:p>
            <w:pPr>
              <w:jc w:val="right"/>
              <w:ind w:right="110"/>
              <w:spacing w:after="0"/>
              <w:rPr>
                <w:sz w:val="20"/>
                <w:szCs w:val="20"/>
                <w:color w:val="auto"/>
              </w:rPr>
            </w:pPr>
            <w:r>
              <w:rPr>
                <w:rFonts w:ascii="Arial" w:cs="Arial" w:eastAsia="Arial" w:hAnsi="Arial"/>
                <w:sz w:val="14"/>
                <w:szCs w:val="14"/>
                <w:color w:val="auto"/>
              </w:rPr>
              <w:t>25</w:t>
            </w:r>
          </w:p>
        </w:tc>
        <w:tc>
          <w:tcPr>
            <w:tcW w:w="1420" w:type="dxa"/>
            <w:vAlign w:val="bottom"/>
          </w:tcPr>
          <w:p>
            <w:pPr>
              <w:jc w:val="right"/>
              <w:ind w:right="270"/>
              <w:spacing w:after="0"/>
              <w:rPr>
                <w:sz w:val="20"/>
                <w:szCs w:val="20"/>
                <w:color w:val="auto"/>
              </w:rPr>
            </w:pPr>
            <w:r>
              <w:rPr>
                <w:rFonts w:ascii="Arial" w:cs="Arial" w:eastAsia="Arial" w:hAnsi="Arial"/>
                <w:sz w:val="14"/>
                <w:szCs w:val="14"/>
                <w:color w:val="auto"/>
              </w:rPr>
              <w:t>7.8</w:t>
            </w:r>
          </w:p>
        </w:tc>
        <w:tc>
          <w:tcPr>
            <w:tcW w:w="0" w:type="dxa"/>
            <w:vAlign w:val="bottom"/>
          </w:tcPr>
          <w:p>
            <w:pPr>
              <w:spacing w:after="0"/>
              <w:rPr>
                <w:sz w:val="1"/>
                <w:szCs w:val="1"/>
                <w:color w:val="auto"/>
              </w:rPr>
            </w:pPr>
          </w:p>
        </w:tc>
      </w:tr>
      <w:tr>
        <w:trPr>
          <w:trHeight w:val="162"/>
        </w:trPr>
        <w:tc>
          <w:tcPr>
            <w:tcW w:w="5600" w:type="dxa"/>
            <w:vAlign w:val="bottom"/>
          </w:tcPr>
          <w:p>
            <w:pPr>
              <w:spacing w:after="0"/>
              <w:rPr>
                <w:sz w:val="20"/>
                <w:szCs w:val="20"/>
                <w:color w:val="auto"/>
              </w:rPr>
            </w:pPr>
            <w:r>
              <w:rPr>
                <w:rFonts w:ascii="Arial" w:cs="Arial" w:eastAsia="Arial" w:hAnsi="Arial"/>
                <w:sz w:val="14"/>
                <w:szCs w:val="14"/>
                <w:color w:val="auto"/>
              </w:rPr>
              <w:t>Malaysia LNG (Dua) [C]</w:t>
            </w:r>
          </w:p>
        </w:tc>
        <w:tc>
          <w:tcPr>
            <w:tcW w:w="1360" w:type="dxa"/>
            <w:vAlign w:val="bottom"/>
          </w:tcPr>
          <w:p>
            <w:pPr>
              <w:spacing w:after="0"/>
              <w:rPr>
                <w:sz w:val="14"/>
                <w:szCs w:val="14"/>
                <w:color w:val="auto"/>
              </w:rPr>
            </w:pPr>
          </w:p>
        </w:tc>
        <w:tc>
          <w:tcPr>
            <w:tcW w:w="1820" w:type="dxa"/>
            <w:vAlign w:val="bottom"/>
            <w:gridSpan w:val="2"/>
          </w:tcPr>
          <w:p>
            <w:pPr>
              <w:ind w:left="440"/>
              <w:spacing w:after="0"/>
              <w:rPr>
                <w:sz w:val="20"/>
                <w:szCs w:val="20"/>
                <w:color w:val="auto"/>
              </w:rPr>
            </w:pPr>
            <w:r>
              <w:rPr>
                <w:rFonts w:ascii="Arial" w:cs="Arial" w:eastAsia="Arial" w:hAnsi="Arial"/>
                <w:sz w:val="14"/>
                <w:szCs w:val="14"/>
                <w:color w:val="auto"/>
              </w:rPr>
              <w:t>Bintulu</w:t>
            </w:r>
          </w:p>
        </w:tc>
        <w:tc>
          <w:tcPr>
            <w:tcW w:w="1220" w:type="dxa"/>
            <w:vAlign w:val="bottom"/>
          </w:tcPr>
          <w:p>
            <w:pPr>
              <w:jc w:val="right"/>
              <w:ind w:right="110"/>
              <w:spacing w:after="0"/>
              <w:rPr>
                <w:sz w:val="20"/>
                <w:szCs w:val="20"/>
                <w:color w:val="auto"/>
              </w:rPr>
            </w:pPr>
            <w:r>
              <w:rPr>
                <w:rFonts w:ascii="Arial" w:cs="Arial" w:eastAsia="Arial" w:hAnsi="Arial"/>
                <w:sz w:val="14"/>
                <w:szCs w:val="14"/>
                <w:color w:val="auto"/>
              </w:rPr>
              <w:t>15</w:t>
            </w:r>
          </w:p>
        </w:tc>
        <w:tc>
          <w:tcPr>
            <w:tcW w:w="1420" w:type="dxa"/>
            <w:vAlign w:val="bottom"/>
          </w:tcPr>
          <w:p>
            <w:pPr>
              <w:jc w:val="right"/>
              <w:ind w:right="270"/>
              <w:spacing w:after="0"/>
              <w:rPr>
                <w:sz w:val="20"/>
                <w:szCs w:val="20"/>
                <w:color w:val="auto"/>
              </w:rPr>
            </w:pPr>
            <w:r>
              <w:rPr>
                <w:rFonts w:ascii="Arial" w:cs="Arial" w:eastAsia="Arial" w:hAnsi="Arial"/>
                <w:sz w:val="14"/>
                <w:szCs w:val="14"/>
                <w:color w:val="auto"/>
              </w:rPr>
              <w:t>9.6</w:t>
            </w:r>
          </w:p>
        </w:tc>
        <w:tc>
          <w:tcPr>
            <w:tcW w:w="0" w:type="dxa"/>
            <w:vAlign w:val="bottom"/>
          </w:tcPr>
          <w:p>
            <w:pPr>
              <w:spacing w:after="0"/>
              <w:rPr>
                <w:sz w:val="1"/>
                <w:szCs w:val="1"/>
                <w:color w:val="auto"/>
              </w:rPr>
            </w:pPr>
          </w:p>
        </w:tc>
      </w:tr>
      <w:tr>
        <w:trPr>
          <w:trHeight w:val="162"/>
        </w:trPr>
        <w:tc>
          <w:tcPr>
            <w:tcW w:w="5600" w:type="dxa"/>
            <w:vAlign w:val="bottom"/>
          </w:tcPr>
          <w:p>
            <w:pPr>
              <w:spacing w:after="0"/>
              <w:rPr>
                <w:sz w:val="20"/>
                <w:szCs w:val="20"/>
                <w:color w:val="auto"/>
              </w:rPr>
            </w:pPr>
            <w:r>
              <w:rPr>
                <w:rFonts w:ascii="Arial" w:cs="Arial" w:eastAsia="Arial" w:hAnsi="Arial"/>
                <w:sz w:val="14"/>
                <w:szCs w:val="14"/>
                <w:color w:val="auto"/>
              </w:rPr>
              <w:t>Malaysia LNG (Tiga)</w:t>
            </w:r>
          </w:p>
        </w:tc>
        <w:tc>
          <w:tcPr>
            <w:tcW w:w="1360" w:type="dxa"/>
            <w:vAlign w:val="bottom"/>
          </w:tcPr>
          <w:p>
            <w:pPr>
              <w:spacing w:after="0"/>
              <w:rPr>
                <w:sz w:val="14"/>
                <w:szCs w:val="14"/>
                <w:color w:val="auto"/>
              </w:rPr>
            </w:pPr>
          </w:p>
        </w:tc>
        <w:tc>
          <w:tcPr>
            <w:tcW w:w="1820" w:type="dxa"/>
            <w:vAlign w:val="bottom"/>
            <w:gridSpan w:val="2"/>
          </w:tcPr>
          <w:p>
            <w:pPr>
              <w:ind w:left="440"/>
              <w:spacing w:after="0"/>
              <w:rPr>
                <w:sz w:val="20"/>
                <w:szCs w:val="20"/>
                <w:color w:val="auto"/>
              </w:rPr>
            </w:pPr>
            <w:r>
              <w:rPr>
                <w:rFonts w:ascii="Arial" w:cs="Arial" w:eastAsia="Arial" w:hAnsi="Arial"/>
                <w:sz w:val="14"/>
                <w:szCs w:val="14"/>
                <w:color w:val="auto"/>
              </w:rPr>
              <w:t>Bintulu</w:t>
            </w:r>
          </w:p>
        </w:tc>
        <w:tc>
          <w:tcPr>
            <w:tcW w:w="1220" w:type="dxa"/>
            <w:vAlign w:val="bottom"/>
          </w:tcPr>
          <w:p>
            <w:pPr>
              <w:jc w:val="right"/>
              <w:ind w:right="110"/>
              <w:spacing w:after="0"/>
              <w:rPr>
                <w:sz w:val="20"/>
                <w:szCs w:val="20"/>
                <w:color w:val="auto"/>
              </w:rPr>
            </w:pPr>
            <w:r>
              <w:rPr>
                <w:rFonts w:ascii="Arial" w:cs="Arial" w:eastAsia="Arial" w:hAnsi="Arial"/>
                <w:sz w:val="14"/>
                <w:szCs w:val="14"/>
                <w:color w:val="auto"/>
              </w:rPr>
              <w:t>15</w:t>
            </w:r>
          </w:p>
        </w:tc>
        <w:tc>
          <w:tcPr>
            <w:tcW w:w="1420" w:type="dxa"/>
            <w:vAlign w:val="bottom"/>
          </w:tcPr>
          <w:p>
            <w:pPr>
              <w:jc w:val="right"/>
              <w:ind w:right="270"/>
              <w:spacing w:after="0"/>
              <w:rPr>
                <w:sz w:val="20"/>
                <w:szCs w:val="20"/>
                <w:color w:val="auto"/>
              </w:rPr>
            </w:pPr>
            <w:r>
              <w:rPr>
                <w:rFonts w:ascii="Arial" w:cs="Arial" w:eastAsia="Arial" w:hAnsi="Arial"/>
                <w:sz w:val="14"/>
                <w:szCs w:val="14"/>
                <w:color w:val="auto"/>
              </w:rPr>
              <w:t>7.7</w:t>
            </w:r>
          </w:p>
        </w:tc>
        <w:tc>
          <w:tcPr>
            <w:tcW w:w="0" w:type="dxa"/>
            <w:vAlign w:val="bottom"/>
          </w:tcPr>
          <w:p>
            <w:pPr>
              <w:spacing w:after="0"/>
              <w:rPr>
                <w:sz w:val="1"/>
                <w:szCs w:val="1"/>
                <w:color w:val="auto"/>
              </w:rPr>
            </w:pPr>
          </w:p>
        </w:tc>
      </w:tr>
      <w:tr>
        <w:trPr>
          <w:trHeight w:val="162"/>
        </w:trPr>
        <w:tc>
          <w:tcPr>
            <w:tcW w:w="5600" w:type="dxa"/>
            <w:vAlign w:val="bottom"/>
          </w:tcPr>
          <w:p>
            <w:pPr>
              <w:spacing w:after="0"/>
              <w:rPr>
                <w:sz w:val="20"/>
                <w:szCs w:val="20"/>
                <w:color w:val="auto"/>
              </w:rPr>
            </w:pPr>
            <w:r>
              <w:rPr>
                <w:rFonts w:ascii="Arial" w:cs="Arial" w:eastAsia="Arial" w:hAnsi="Arial"/>
                <w:sz w:val="14"/>
                <w:szCs w:val="14"/>
                <w:color w:val="auto"/>
              </w:rPr>
              <w:t>Nigeria LNG</w:t>
            </w:r>
          </w:p>
        </w:tc>
        <w:tc>
          <w:tcPr>
            <w:tcW w:w="1360" w:type="dxa"/>
            <w:vAlign w:val="bottom"/>
          </w:tcPr>
          <w:p>
            <w:pPr>
              <w:spacing w:after="0"/>
              <w:rPr>
                <w:sz w:val="14"/>
                <w:szCs w:val="14"/>
                <w:color w:val="auto"/>
              </w:rPr>
            </w:pPr>
          </w:p>
        </w:tc>
        <w:tc>
          <w:tcPr>
            <w:tcW w:w="1820" w:type="dxa"/>
            <w:vAlign w:val="bottom"/>
            <w:gridSpan w:val="2"/>
          </w:tcPr>
          <w:p>
            <w:pPr>
              <w:ind w:left="440"/>
              <w:spacing w:after="0"/>
              <w:rPr>
                <w:sz w:val="20"/>
                <w:szCs w:val="20"/>
                <w:color w:val="auto"/>
              </w:rPr>
            </w:pPr>
            <w:r>
              <w:rPr>
                <w:rFonts w:ascii="Arial" w:cs="Arial" w:eastAsia="Arial" w:hAnsi="Arial"/>
                <w:sz w:val="14"/>
                <w:szCs w:val="14"/>
                <w:color w:val="auto"/>
              </w:rPr>
              <w:t>Bonny</w:t>
            </w:r>
          </w:p>
        </w:tc>
        <w:tc>
          <w:tcPr>
            <w:tcW w:w="1220" w:type="dxa"/>
            <w:vAlign w:val="bottom"/>
          </w:tcPr>
          <w:p>
            <w:pPr>
              <w:jc w:val="right"/>
              <w:ind w:right="110"/>
              <w:spacing w:after="0"/>
              <w:rPr>
                <w:sz w:val="20"/>
                <w:szCs w:val="20"/>
                <w:color w:val="auto"/>
              </w:rPr>
            </w:pPr>
            <w:r>
              <w:rPr>
                <w:rFonts w:ascii="Arial" w:cs="Arial" w:eastAsia="Arial" w:hAnsi="Arial"/>
                <w:sz w:val="14"/>
                <w:szCs w:val="14"/>
                <w:color w:val="auto"/>
              </w:rPr>
              <w:t>26</w:t>
            </w:r>
          </w:p>
        </w:tc>
        <w:tc>
          <w:tcPr>
            <w:tcW w:w="1420" w:type="dxa"/>
            <w:vAlign w:val="bottom"/>
          </w:tcPr>
          <w:p>
            <w:pPr>
              <w:jc w:val="right"/>
              <w:ind w:right="270"/>
              <w:spacing w:after="0"/>
              <w:rPr>
                <w:sz w:val="20"/>
                <w:szCs w:val="20"/>
                <w:color w:val="auto"/>
              </w:rPr>
            </w:pPr>
            <w:r>
              <w:rPr>
                <w:rFonts w:ascii="Arial" w:cs="Arial" w:eastAsia="Arial" w:hAnsi="Arial"/>
                <w:sz w:val="14"/>
                <w:szCs w:val="14"/>
                <w:color w:val="auto"/>
              </w:rPr>
              <w:t>22.0</w:t>
            </w:r>
          </w:p>
        </w:tc>
        <w:tc>
          <w:tcPr>
            <w:tcW w:w="0" w:type="dxa"/>
            <w:vAlign w:val="bottom"/>
          </w:tcPr>
          <w:p>
            <w:pPr>
              <w:spacing w:after="0"/>
              <w:rPr>
                <w:sz w:val="1"/>
                <w:szCs w:val="1"/>
                <w:color w:val="auto"/>
              </w:rPr>
            </w:pPr>
          </w:p>
        </w:tc>
      </w:tr>
      <w:tr>
        <w:trPr>
          <w:trHeight w:val="162"/>
        </w:trPr>
        <w:tc>
          <w:tcPr>
            <w:tcW w:w="5600" w:type="dxa"/>
            <w:vAlign w:val="bottom"/>
          </w:tcPr>
          <w:p>
            <w:pPr>
              <w:spacing w:after="0"/>
              <w:rPr>
                <w:sz w:val="20"/>
                <w:szCs w:val="20"/>
                <w:color w:val="auto"/>
              </w:rPr>
            </w:pPr>
            <w:r>
              <w:rPr>
                <w:rFonts w:ascii="Arial" w:cs="Arial" w:eastAsia="Arial" w:hAnsi="Arial"/>
                <w:sz w:val="14"/>
                <w:szCs w:val="14"/>
                <w:color w:val="auto"/>
              </w:rPr>
              <w:t>Oman LNG</w:t>
            </w:r>
          </w:p>
        </w:tc>
        <w:tc>
          <w:tcPr>
            <w:tcW w:w="1360" w:type="dxa"/>
            <w:vAlign w:val="bottom"/>
          </w:tcPr>
          <w:p>
            <w:pPr>
              <w:spacing w:after="0"/>
              <w:rPr>
                <w:sz w:val="14"/>
                <w:szCs w:val="14"/>
                <w:color w:val="auto"/>
              </w:rPr>
            </w:pPr>
          </w:p>
        </w:tc>
        <w:tc>
          <w:tcPr>
            <w:tcW w:w="1820" w:type="dxa"/>
            <w:vAlign w:val="bottom"/>
            <w:gridSpan w:val="2"/>
          </w:tcPr>
          <w:p>
            <w:pPr>
              <w:ind w:left="440"/>
              <w:spacing w:after="0"/>
              <w:rPr>
                <w:sz w:val="20"/>
                <w:szCs w:val="20"/>
                <w:color w:val="auto"/>
              </w:rPr>
            </w:pPr>
            <w:r>
              <w:rPr>
                <w:rFonts w:ascii="Arial" w:cs="Arial" w:eastAsia="Arial" w:hAnsi="Arial"/>
                <w:sz w:val="14"/>
                <w:szCs w:val="14"/>
                <w:color w:val="auto"/>
              </w:rPr>
              <w:t>Sur</w:t>
            </w:r>
          </w:p>
        </w:tc>
        <w:tc>
          <w:tcPr>
            <w:tcW w:w="1220" w:type="dxa"/>
            <w:vAlign w:val="bottom"/>
          </w:tcPr>
          <w:p>
            <w:pPr>
              <w:jc w:val="right"/>
              <w:ind w:right="110"/>
              <w:spacing w:after="0"/>
              <w:rPr>
                <w:sz w:val="20"/>
                <w:szCs w:val="20"/>
                <w:color w:val="auto"/>
              </w:rPr>
            </w:pPr>
            <w:r>
              <w:rPr>
                <w:rFonts w:ascii="Arial" w:cs="Arial" w:eastAsia="Arial" w:hAnsi="Arial"/>
                <w:sz w:val="14"/>
                <w:szCs w:val="14"/>
                <w:color w:val="auto"/>
              </w:rPr>
              <w:t>30</w:t>
            </w:r>
          </w:p>
        </w:tc>
        <w:tc>
          <w:tcPr>
            <w:tcW w:w="1420" w:type="dxa"/>
            <w:vAlign w:val="bottom"/>
          </w:tcPr>
          <w:p>
            <w:pPr>
              <w:jc w:val="right"/>
              <w:ind w:right="270"/>
              <w:spacing w:after="0"/>
              <w:rPr>
                <w:sz w:val="20"/>
                <w:szCs w:val="20"/>
                <w:color w:val="auto"/>
              </w:rPr>
            </w:pPr>
            <w:r>
              <w:rPr>
                <w:rFonts w:ascii="Arial" w:cs="Arial" w:eastAsia="Arial" w:hAnsi="Arial"/>
                <w:sz w:val="14"/>
                <w:szCs w:val="14"/>
                <w:color w:val="auto"/>
              </w:rPr>
              <w:t>7.1</w:t>
            </w:r>
          </w:p>
        </w:tc>
        <w:tc>
          <w:tcPr>
            <w:tcW w:w="0" w:type="dxa"/>
            <w:vAlign w:val="bottom"/>
          </w:tcPr>
          <w:p>
            <w:pPr>
              <w:spacing w:after="0"/>
              <w:rPr>
                <w:sz w:val="1"/>
                <w:szCs w:val="1"/>
                <w:color w:val="auto"/>
              </w:rPr>
            </w:pPr>
          </w:p>
        </w:tc>
      </w:tr>
      <w:tr>
        <w:trPr>
          <w:trHeight w:val="162"/>
        </w:trPr>
        <w:tc>
          <w:tcPr>
            <w:tcW w:w="5600" w:type="dxa"/>
            <w:vAlign w:val="bottom"/>
          </w:tcPr>
          <w:p>
            <w:pPr>
              <w:spacing w:after="0"/>
              <w:rPr>
                <w:sz w:val="20"/>
                <w:szCs w:val="20"/>
                <w:color w:val="auto"/>
              </w:rPr>
            </w:pPr>
            <w:r>
              <w:rPr>
                <w:rFonts w:ascii="Arial" w:cs="Arial" w:eastAsia="Arial" w:hAnsi="Arial"/>
                <w:sz w:val="14"/>
                <w:szCs w:val="14"/>
                <w:color w:val="auto"/>
              </w:rPr>
              <w:t>Peru LNG</w:t>
            </w:r>
          </w:p>
        </w:tc>
        <w:tc>
          <w:tcPr>
            <w:tcW w:w="1360" w:type="dxa"/>
            <w:vAlign w:val="bottom"/>
          </w:tcPr>
          <w:p>
            <w:pPr>
              <w:spacing w:after="0"/>
              <w:rPr>
                <w:sz w:val="14"/>
                <w:szCs w:val="14"/>
                <w:color w:val="auto"/>
              </w:rPr>
            </w:pPr>
          </w:p>
        </w:tc>
        <w:tc>
          <w:tcPr>
            <w:tcW w:w="1820" w:type="dxa"/>
            <w:vAlign w:val="bottom"/>
            <w:gridSpan w:val="2"/>
          </w:tcPr>
          <w:p>
            <w:pPr>
              <w:ind w:left="440"/>
              <w:spacing w:after="0"/>
              <w:rPr>
                <w:sz w:val="20"/>
                <w:szCs w:val="20"/>
                <w:color w:val="auto"/>
              </w:rPr>
            </w:pPr>
            <w:r>
              <w:rPr>
                <w:rFonts w:ascii="Arial" w:cs="Arial" w:eastAsia="Arial" w:hAnsi="Arial"/>
                <w:sz w:val="14"/>
                <w:szCs w:val="14"/>
                <w:color w:val="auto"/>
              </w:rPr>
              <w:t>Pampa Melchorita</w:t>
            </w:r>
          </w:p>
        </w:tc>
        <w:tc>
          <w:tcPr>
            <w:tcW w:w="1220" w:type="dxa"/>
            <w:vAlign w:val="bottom"/>
          </w:tcPr>
          <w:p>
            <w:pPr>
              <w:jc w:val="right"/>
              <w:ind w:right="110"/>
              <w:spacing w:after="0"/>
              <w:rPr>
                <w:sz w:val="20"/>
                <w:szCs w:val="20"/>
                <w:color w:val="auto"/>
              </w:rPr>
            </w:pPr>
            <w:r>
              <w:rPr>
                <w:rFonts w:ascii="Arial" w:cs="Arial" w:eastAsia="Arial" w:hAnsi="Arial"/>
                <w:sz w:val="14"/>
                <w:szCs w:val="14"/>
                <w:color w:val="auto"/>
              </w:rPr>
              <w:t>20</w:t>
            </w:r>
          </w:p>
        </w:tc>
        <w:tc>
          <w:tcPr>
            <w:tcW w:w="1420" w:type="dxa"/>
            <w:vAlign w:val="bottom"/>
          </w:tcPr>
          <w:p>
            <w:pPr>
              <w:jc w:val="right"/>
              <w:ind w:right="270"/>
              <w:spacing w:after="0"/>
              <w:rPr>
                <w:sz w:val="20"/>
                <w:szCs w:val="20"/>
                <w:color w:val="auto"/>
              </w:rPr>
            </w:pPr>
            <w:r>
              <w:rPr>
                <w:rFonts w:ascii="Arial" w:cs="Arial" w:eastAsia="Arial" w:hAnsi="Arial"/>
                <w:sz w:val="14"/>
                <w:szCs w:val="14"/>
                <w:color w:val="auto"/>
              </w:rPr>
              <w:t>4.5</w:t>
            </w:r>
          </w:p>
        </w:tc>
        <w:tc>
          <w:tcPr>
            <w:tcW w:w="0" w:type="dxa"/>
            <w:vAlign w:val="bottom"/>
          </w:tcPr>
          <w:p>
            <w:pPr>
              <w:spacing w:after="0"/>
              <w:rPr>
                <w:sz w:val="1"/>
                <w:szCs w:val="1"/>
                <w:color w:val="auto"/>
              </w:rPr>
            </w:pPr>
          </w:p>
        </w:tc>
      </w:tr>
      <w:tr>
        <w:trPr>
          <w:trHeight w:val="162"/>
        </w:trPr>
        <w:tc>
          <w:tcPr>
            <w:tcW w:w="5600" w:type="dxa"/>
            <w:vAlign w:val="bottom"/>
          </w:tcPr>
          <w:p>
            <w:pPr>
              <w:spacing w:after="0"/>
              <w:rPr>
                <w:sz w:val="20"/>
                <w:szCs w:val="20"/>
                <w:color w:val="auto"/>
              </w:rPr>
            </w:pPr>
            <w:r>
              <w:rPr>
                <w:rFonts w:ascii="Arial" w:cs="Arial" w:eastAsia="Arial" w:hAnsi="Arial"/>
                <w:sz w:val="14"/>
                <w:szCs w:val="14"/>
                <w:color w:val="auto"/>
              </w:rPr>
              <w:t>Qalhat (Oman) LNG</w:t>
            </w:r>
          </w:p>
        </w:tc>
        <w:tc>
          <w:tcPr>
            <w:tcW w:w="1360" w:type="dxa"/>
            <w:vAlign w:val="bottom"/>
          </w:tcPr>
          <w:p>
            <w:pPr>
              <w:spacing w:after="0"/>
              <w:rPr>
                <w:sz w:val="14"/>
                <w:szCs w:val="14"/>
                <w:color w:val="auto"/>
              </w:rPr>
            </w:pPr>
          </w:p>
        </w:tc>
        <w:tc>
          <w:tcPr>
            <w:tcW w:w="1820" w:type="dxa"/>
            <w:vAlign w:val="bottom"/>
            <w:gridSpan w:val="2"/>
          </w:tcPr>
          <w:p>
            <w:pPr>
              <w:ind w:left="440"/>
              <w:spacing w:after="0"/>
              <w:rPr>
                <w:sz w:val="20"/>
                <w:szCs w:val="20"/>
                <w:color w:val="auto"/>
              </w:rPr>
            </w:pPr>
            <w:r>
              <w:rPr>
                <w:rFonts w:ascii="Arial" w:cs="Arial" w:eastAsia="Arial" w:hAnsi="Arial"/>
                <w:sz w:val="14"/>
                <w:szCs w:val="14"/>
                <w:color w:val="auto"/>
              </w:rPr>
              <w:t>Sur</w:t>
            </w:r>
          </w:p>
        </w:tc>
        <w:tc>
          <w:tcPr>
            <w:tcW w:w="1220" w:type="dxa"/>
            <w:vAlign w:val="bottom"/>
          </w:tcPr>
          <w:p>
            <w:pPr>
              <w:jc w:val="right"/>
              <w:ind w:right="110"/>
              <w:spacing w:after="0"/>
              <w:rPr>
                <w:sz w:val="20"/>
                <w:szCs w:val="20"/>
                <w:color w:val="auto"/>
              </w:rPr>
            </w:pPr>
            <w:r>
              <w:rPr>
                <w:rFonts w:ascii="Arial" w:cs="Arial" w:eastAsia="Arial" w:hAnsi="Arial"/>
                <w:sz w:val="14"/>
                <w:szCs w:val="14"/>
                <w:color w:val="auto"/>
              </w:rPr>
              <w:t>11</w:t>
            </w:r>
          </w:p>
        </w:tc>
        <w:tc>
          <w:tcPr>
            <w:tcW w:w="1420" w:type="dxa"/>
            <w:vAlign w:val="bottom"/>
          </w:tcPr>
          <w:p>
            <w:pPr>
              <w:jc w:val="right"/>
              <w:ind w:right="270"/>
              <w:spacing w:after="0"/>
              <w:rPr>
                <w:sz w:val="20"/>
                <w:szCs w:val="20"/>
                <w:color w:val="auto"/>
              </w:rPr>
            </w:pPr>
            <w:r>
              <w:rPr>
                <w:rFonts w:ascii="Arial" w:cs="Arial" w:eastAsia="Arial" w:hAnsi="Arial"/>
                <w:sz w:val="14"/>
                <w:szCs w:val="14"/>
                <w:color w:val="auto"/>
              </w:rPr>
              <w:t>3.7</w:t>
            </w:r>
          </w:p>
        </w:tc>
        <w:tc>
          <w:tcPr>
            <w:tcW w:w="0" w:type="dxa"/>
            <w:vAlign w:val="bottom"/>
          </w:tcPr>
          <w:p>
            <w:pPr>
              <w:spacing w:after="0"/>
              <w:rPr>
                <w:sz w:val="1"/>
                <w:szCs w:val="1"/>
                <w:color w:val="auto"/>
              </w:rPr>
            </w:pPr>
          </w:p>
        </w:tc>
      </w:tr>
      <w:tr>
        <w:trPr>
          <w:trHeight w:val="162"/>
        </w:trPr>
        <w:tc>
          <w:tcPr>
            <w:tcW w:w="5600" w:type="dxa"/>
            <w:vAlign w:val="bottom"/>
          </w:tcPr>
          <w:p>
            <w:pPr>
              <w:spacing w:after="0"/>
              <w:rPr>
                <w:sz w:val="20"/>
                <w:szCs w:val="20"/>
                <w:color w:val="auto"/>
              </w:rPr>
            </w:pPr>
            <w:r>
              <w:rPr>
                <w:rFonts w:ascii="Arial" w:cs="Arial" w:eastAsia="Arial" w:hAnsi="Arial"/>
                <w:sz w:val="14"/>
                <w:szCs w:val="14"/>
                <w:color w:val="auto"/>
              </w:rPr>
              <w:t>Qatargas 4</w:t>
            </w:r>
          </w:p>
        </w:tc>
        <w:tc>
          <w:tcPr>
            <w:tcW w:w="1360" w:type="dxa"/>
            <w:vAlign w:val="bottom"/>
          </w:tcPr>
          <w:p>
            <w:pPr>
              <w:spacing w:after="0"/>
              <w:rPr>
                <w:sz w:val="14"/>
                <w:szCs w:val="14"/>
                <w:color w:val="auto"/>
              </w:rPr>
            </w:pPr>
          </w:p>
        </w:tc>
        <w:tc>
          <w:tcPr>
            <w:tcW w:w="1820" w:type="dxa"/>
            <w:vAlign w:val="bottom"/>
            <w:gridSpan w:val="2"/>
          </w:tcPr>
          <w:p>
            <w:pPr>
              <w:ind w:left="440"/>
              <w:spacing w:after="0"/>
              <w:rPr>
                <w:sz w:val="20"/>
                <w:szCs w:val="20"/>
                <w:color w:val="auto"/>
              </w:rPr>
            </w:pPr>
            <w:r>
              <w:rPr>
                <w:rFonts w:ascii="Arial" w:cs="Arial" w:eastAsia="Arial" w:hAnsi="Arial"/>
                <w:sz w:val="14"/>
                <w:szCs w:val="14"/>
                <w:color w:val="auto"/>
              </w:rPr>
              <w:t>Ras Laffan</w:t>
            </w:r>
          </w:p>
        </w:tc>
        <w:tc>
          <w:tcPr>
            <w:tcW w:w="1220" w:type="dxa"/>
            <w:vAlign w:val="bottom"/>
          </w:tcPr>
          <w:p>
            <w:pPr>
              <w:jc w:val="right"/>
              <w:ind w:right="110"/>
              <w:spacing w:after="0"/>
              <w:rPr>
                <w:sz w:val="20"/>
                <w:szCs w:val="20"/>
                <w:color w:val="auto"/>
              </w:rPr>
            </w:pPr>
            <w:r>
              <w:rPr>
                <w:rFonts w:ascii="Arial" w:cs="Arial" w:eastAsia="Arial" w:hAnsi="Arial"/>
                <w:sz w:val="14"/>
                <w:szCs w:val="14"/>
                <w:color w:val="auto"/>
              </w:rPr>
              <w:t>30</w:t>
            </w:r>
          </w:p>
        </w:tc>
        <w:tc>
          <w:tcPr>
            <w:tcW w:w="1420" w:type="dxa"/>
            <w:vAlign w:val="bottom"/>
          </w:tcPr>
          <w:p>
            <w:pPr>
              <w:jc w:val="right"/>
              <w:ind w:right="270"/>
              <w:spacing w:after="0"/>
              <w:rPr>
                <w:sz w:val="20"/>
                <w:szCs w:val="20"/>
                <w:color w:val="auto"/>
              </w:rPr>
            </w:pPr>
            <w:r>
              <w:rPr>
                <w:rFonts w:ascii="Arial" w:cs="Arial" w:eastAsia="Arial" w:hAnsi="Arial"/>
                <w:sz w:val="14"/>
                <w:szCs w:val="14"/>
                <w:color w:val="auto"/>
              </w:rPr>
              <w:t>7.8</w:t>
            </w:r>
          </w:p>
        </w:tc>
        <w:tc>
          <w:tcPr>
            <w:tcW w:w="0" w:type="dxa"/>
            <w:vAlign w:val="bottom"/>
          </w:tcPr>
          <w:p>
            <w:pPr>
              <w:spacing w:after="0"/>
              <w:rPr>
                <w:sz w:val="1"/>
                <w:szCs w:val="1"/>
                <w:color w:val="auto"/>
              </w:rPr>
            </w:pPr>
          </w:p>
        </w:tc>
      </w:tr>
      <w:tr>
        <w:trPr>
          <w:trHeight w:val="157"/>
        </w:trPr>
        <w:tc>
          <w:tcPr>
            <w:tcW w:w="5600" w:type="dxa"/>
            <w:vAlign w:val="bottom"/>
            <w:tcBorders>
              <w:bottom w:val="single" w:sz="8" w:color="auto"/>
            </w:tcBorders>
          </w:tcPr>
          <w:p>
            <w:pPr>
              <w:spacing w:after="0" w:line="157" w:lineRule="exact"/>
              <w:rPr>
                <w:sz w:val="20"/>
                <w:szCs w:val="20"/>
                <w:color w:val="auto"/>
              </w:rPr>
            </w:pPr>
            <w:r>
              <w:rPr>
                <w:rFonts w:ascii="Arial" w:cs="Arial" w:eastAsia="Arial" w:hAnsi="Arial"/>
                <w:sz w:val="14"/>
                <w:szCs w:val="14"/>
                <w:color w:val="auto"/>
              </w:rPr>
              <w:t>Sakhalin LNG</w:t>
            </w:r>
          </w:p>
        </w:tc>
        <w:tc>
          <w:tcPr>
            <w:tcW w:w="1360" w:type="dxa"/>
            <w:vAlign w:val="bottom"/>
            <w:tcBorders>
              <w:bottom w:val="single" w:sz="8" w:color="auto"/>
            </w:tcBorders>
          </w:tcPr>
          <w:p>
            <w:pPr>
              <w:spacing w:after="0"/>
              <w:rPr>
                <w:sz w:val="13"/>
                <w:szCs w:val="13"/>
                <w:color w:val="auto"/>
              </w:rPr>
            </w:pPr>
          </w:p>
        </w:tc>
        <w:tc>
          <w:tcPr>
            <w:tcW w:w="1820" w:type="dxa"/>
            <w:vAlign w:val="bottom"/>
            <w:tcBorders>
              <w:bottom w:val="single" w:sz="8" w:color="auto"/>
            </w:tcBorders>
            <w:gridSpan w:val="2"/>
          </w:tcPr>
          <w:p>
            <w:pPr>
              <w:ind w:left="440"/>
              <w:spacing w:after="0" w:line="157" w:lineRule="exact"/>
              <w:rPr>
                <w:sz w:val="20"/>
                <w:szCs w:val="20"/>
                <w:color w:val="auto"/>
              </w:rPr>
            </w:pPr>
            <w:r>
              <w:rPr>
                <w:rFonts w:ascii="Arial" w:cs="Arial" w:eastAsia="Arial" w:hAnsi="Arial"/>
                <w:sz w:val="14"/>
                <w:szCs w:val="14"/>
                <w:color w:val="auto"/>
              </w:rPr>
              <w:t>Prigorodnoye</w:t>
            </w:r>
          </w:p>
        </w:tc>
        <w:tc>
          <w:tcPr>
            <w:tcW w:w="1220" w:type="dxa"/>
            <w:vAlign w:val="bottom"/>
            <w:tcBorders>
              <w:bottom w:val="single" w:sz="8" w:color="auto"/>
            </w:tcBorders>
          </w:tcPr>
          <w:p>
            <w:pPr>
              <w:jc w:val="right"/>
              <w:ind w:right="110"/>
              <w:spacing w:after="0" w:line="157" w:lineRule="exact"/>
              <w:rPr>
                <w:sz w:val="20"/>
                <w:szCs w:val="20"/>
                <w:color w:val="auto"/>
              </w:rPr>
            </w:pPr>
            <w:r>
              <w:rPr>
                <w:rFonts w:ascii="Arial" w:cs="Arial" w:eastAsia="Arial" w:hAnsi="Arial"/>
                <w:sz w:val="14"/>
                <w:szCs w:val="14"/>
                <w:color w:val="auto"/>
              </w:rPr>
              <w:t>27.5</w:t>
            </w:r>
          </w:p>
        </w:tc>
        <w:tc>
          <w:tcPr>
            <w:tcW w:w="1420" w:type="dxa"/>
            <w:vAlign w:val="bottom"/>
            <w:tcBorders>
              <w:bottom w:val="single" w:sz="8" w:color="auto"/>
            </w:tcBorders>
          </w:tcPr>
          <w:p>
            <w:pPr>
              <w:jc w:val="right"/>
              <w:ind w:right="270"/>
              <w:spacing w:after="0" w:line="157" w:lineRule="exact"/>
              <w:rPr>
                <w:sz w:val="20"/>
                <w:szCs w:val="20"/>
                <w:color w:val="auto"/>
              </w:rPr>
            </w:pPr>
            <w:r>
              <w:rPr>
                <w:rFonts w:ascii="Arial" w:cs="Arial" w:eastAsia="Arial" w:hAnsi="Arial"/>
                <w:sz w:val="14"/>
                <w:szCs w:val="14"/>
                <w:color w:val="auto"/>
              </w:rPr>
              <w:t>9.6</w:t>
            </w:r>
          </w:p>
        </w:tc>
        <w:tc>
          <w:tcPr>
            <w:tcW w:w="0" w:type="dxa"/>
            <w:vAlign w:val="bottom"/>
          </w:tcPr>
          <w:p>
            <w:pPr>
              <w:spacing w:after="0"/>
              <w:rPr>
                <w:sz w:val="1"/>
                <w:szCs w:val="1"/>
                <w:color w:val="auto"/>
              </w:rPr>
            </w:pPr>
          </w:p>
        </w:tc>
      </w:tr>
      <w:tr>
        <w:trPr>
          <w:trHeight w:val="152"/>
        </w:trPr>
        <w:tc>
          <w:tcPr>
            <w:tcW w:w="5600" w:type="dxa"/>
            <w:vAlign w:val="bottom"/>
          </w:tcPr>
          <w:p>
            <w:pPr>
              <w:spacing w:after="0"/>
              <w:rPr>
                <w:sz w:val="20"/>
                <w:szCs w:val="20"/>
                <w:color w:val="auto"/>
              </w:rPr>
            </w:pPr>
            <w:r>
              <w:rPr>
                <w:rFonts w:ascii="Arial" w:cs="Arial" w:eastAsia="Arial" w:hAnsi="Arial"/>
                <w:sz w:val="11"/>
                <w:szCs w:val="11"/>
                <w:color w:val="auto"/>
              </w:rPr>
              <w:t>[A] Interest may be held via indirect shareholding.</w:t>
            </w:r>
          </w:p>
        </w:tc>
        <w:tc>
          <w:tcPr>
            <w:tcW w:w="136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5600" w:type="dxa"/>
            <w:vAlign w:val="bottom"/>
          </w:tcPr>
          <w:p>
            <w:pPr>
              <w:spacing w:after="0" w:line="122" w:lineRule="exact"/>
              <w:rPr>
                <w:sz w:val="20"/>
                <w:szCs w:val="20"/>
                <w:color w:val="auto"/>
              </w:rPr>
            </w:pPr>
            <w:r>
              <w:rPr>
                <w:rFonts w:ascii="Arial" w:cs="Arial" w:eastAsia="Arial" w:hAnsi="Arial"/>
                <w:sz w:val="11"/>
                <w:szCs w:val="11"/>
                <w:color w:val="auto"/>
              </w:rPr>
              <w:t>[B] As reported by the operator.</w:t>
            </w:r>
          </w:p>
        </w:tc>
        <w:tc>
          <w:tcPr>
            <w:tcW w:w="136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4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0"/>
        </w:trPr>
        <w:tc>
          <w:tcPr>
            <w:tcW w:w="5600" w:type="dxa"/>
            <w:vAlign w:val="bottom"/>
          </w:tcPr>
          <w:p>
            <w:pPr>
              <w:spacing w:after="0"/>
              <w:rPr>
                <w:sz w:val="20"/>
                <w:szCs w:val="20"/>
                <w:color w:val="auto"/>
              </w:rPr>
            </w:pPr>
            <w:r>
              <w:rPr>
                <w:rFonts w:ascii="Arial" w:cs="Arial" w:eastAsia="Arial" w:hAnsi="Arial"/>
                <w:sz w:val="11"/>
                <w:szCs w:val="11"/>
                <w:color w:val="auto"/>
              </w:rPr>
              <w:t>[C] Our interest in the Dua plant is due to expire in 2015.</w:t>
            </w:r>
          </w:p>
        </w:tc>
        <w:tc>
          <w:tcPr>
            <w:tcW w:w="136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1"/>
        </w:trPr>
        <w:tc>
          <w:tcPr>
            <w:tcW w:w="56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5600" w:type="dxa"/>
            <w:vAlign w:val="bottom"/>
            <w:shd w:val="clear" w:color="auto" w:fill="333333"/>
          </w:tcPr>
          <w:p>
            <w:pPr>
              <w:ind w:left="80"/>
              <w:spacing w:after="0" w:line="162" w:lineRule="exact"/>
              <w:rPr>
                <w:sz w:val="20"/>
                <w:szCs w:val="20"/>
                <w:color w:val="auto"/>
              </w:rPr>
            </w:pPr>
            <w:r>
              <w:rPr>
                <w:rFonts w:ascii="Arial" w:cs="Arial" w:eastAsia="Arial" w:hAnsi="Arial"/>
                <w:sz w:val="15"/>
                <w:szCs w:val="15"/>
                <w:b w:val="1"/>
                <w:bCs w:val="1"/>
                <w:color w:val="FFFFFF"/>
              </w:rPr>
              <w:t>LNG LIQUEFACTION PLANTS UNDER CONSTRUCTION</w:t>
            </w:r>
          </w:p>
        </w:tc>
        <w:tc>
          <w:tcPr>
            <w:tcW w:w="1360" w:type="dxa"/>
            <w:vAlign w:val="bottom"/>
            <w:shd w:val="clear" w:color="auto" w:fill="333333"/>
          </w:tcPr>
          <w:p>
            <w:pPr>
              <w:spacing w:after="0"/>
              <w:rPr>
                <w:sz w:val="14"/>
                <w:szCs w:val="14"/>
                <w:color w:val="auto"/>
              </w:rPr>
            </w:pPr>
          </w:p>
        </w:tc>
        <w:tc>
          <w:tcPr>
            <w:tcW w:w="1460" w:type="dxa"/>
            <w:vAlign w:val="bottom"/>
            <w:shd w:val="clear" w:color="auto" w:fill="333333"/>
          </w:tcPr>
          <w:p>
            <w:pPr>
              <w:spacing w:after="0"/>
              <w:rPr>
                <w:sz w:val="14"/>
                <w:szCs w:val="14"/>
                <w:color w:val="auto"/>
              </w:rPr>
            </w:pPr>
          </w:p>
        </w:tc>
        <w:tc>
          <w:tcPr>
            <w:tcW w:w="360" w:type="dxa"/>
            <w:vAlign w:val="bottom"/>
            <w:shd w:val="clear" w:color="auto" w:fill="333333"/>
          </w:tcPr>
          <w:p>
            <w:pPr>
              <w:spacing w:after="0"/>
              <w:rPr>
                <w:sz w:val="14"/>
                <w:szCs w:val="14"/>
                <w:color w:val="auto"/>
              </w:rPr>
            </w:pPr>
          </w:p>
        </w:tc>
        <w:tc>
          <w:tcPr>
            <w:tcW w:w="1220" w:type="dxa"/>
            <w:vAlign w:val="bottom"/>
            <w:shd w:val="clear" w:color="auto" w:fill="333333"/>
          </w:tcPr>
          <w:p>
            <w:pPr>
              <w:spacing w:after="0"/>
              <w:rPr>
                <w:sz w:val="14"/>
                <w:szCs w:val="14"/>
                <w:color w:val="auto"/>
              </w:rPr>
            </w:pPr>
          </w:p>
        </w:tc>
        <w:tc>
          <w:tcPr>
            <w:tcW w:w="1420" w:type="dxa"/>
            <w:vAlign w:val="bottom"/>
            <w:shd w:val="clear" w:color="auto" w:fill="333333"/>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560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20" w:type="dxa"/>
            <w:vAlign w:val="bottom"/>
          </w:tcPr>
          <w:p>
            <w:pPr>
              <w:jc w:val="right"/>
              <w:ind w:right="70"/>
              <w:spacing w:after="0" w:line="129" w:lineRule="exact"/>
              <w:rPr>
                <w:sz w:val="20"/>
                <w:szCs w:val="20"/>
                <w:color w:val="auto"/>
              </w:rPr>
            </w:pPr>
            <w:r>
              <w:rPr>
                <w:rFonts w:ascii="Arial" w:cs="Arial" w:eastAsia="Arial" w:hAnsi="Arial"/>
                <w:sz w:val="13"/>
                <w:szCs w:val="13"/>
                <w:color w:val="auto"/>
              </w:rPr>
              <w:t>Shell</w:t>
            </w:r>
          </w:p>
        </w:tc>
        <w:tc>
          <w:tcPr>
            <w:tcW w:w="1420" w:type="dxa"/>
            <w:vAlign w:val="bottom"/>
          </w:tcPr>
          <w:p>
            <w:pPr>
              <w:jc w:val="right"/>
              <w:ind w:right="270"/>
              <w:spacing w:after="0" w:line="129" w:lineRule="exact"/>
              <w:rPr>
                <w:sz w:val="20"/>
                <w:szCs w:val="20"/>
                <w:color w:val="auto"/>
              </w:rPr>
            </w:pPr>
            <w:r>
              <w:rPr>
                <w:rFonts w:ascii="Arial" w:cs="Arial" w:eastAsia="Arial" w:hAnsi="Arial"/>
                <w:sz w:val="13"/>
                <w:szCs w:val="13"/>
                <w:color w:val="auto"/>
              </w:rPr>
              <w:t>100% capacity</w:t>
            </w:r>
          </w:p>
        </w:tc>
        <w:tc>
          <w:tcPr>
            <w:tcW w:w="0" w:type="dxa"/>
            <w:vAlign w:val="bottom"/>
          </w:tcPr>
          <w:p>
            <w:pPr>
              <w:spacing w:after="0"/>
              <w:rPr>
                <w:sz w:val="1"/>
                <w:szCs w:val="1"/>
                <w:color w:val="auto"/>
              </w:rPr>
            </w:pPr>
          </w:p>
        </w:tc>
      </w:tr>
      <w:tr>
        <w:trPr>
          <w:trHeight w:val="141"/>
        </w:trPr>
        <w:tc>
          <w:tcPr>
            <w:tcW w:w="5600" w:type="dxa"/>
            <w:vAlign w:val="bottom"/>
            <w:tcBorders>
              <w:bottom w:val="single" w:sz="8" w:color="auto"/>
            </w:tcBorders>
          </w:tcPr>
          <w:p>
            <w:pPr>
              <w:spacing w:after="0"/>
              <w:rPr>
                <w:sz w:val="12"/>
                <w:szCs w:val="12"/>
                <w:color w:val="auto"/>
              </w:rPr>
            </w:pPr>
          </w:p>
        </w:tc>
        <w:tc>
          <w:tcPr>
            <w:tcW w:w="1360" w:type="dxa"/>
            <w:vAlign w:val="bottom"/>
            <w:tcBorders>
              <w:bottom w:val="single" w:sz="8" w:color="auto"/>
            </w:tcBorders>
          </w:tcPr>
          <w:p>
            <w:pPr>
              <w:spacing w:after="0"/>
              <w:rPr>
                <w:sz w:val="12"/>
                <w:szCs w:val="12"/>
                <w:color w:val="auto"/>
              </w:rPr>
            </w:pPr>
          </w:p>
        </w:tc>
        <w:tc>
          <w:tcPr>
            <w:tcW w:w="1820" w:type="dxa"/>
            <w:vAlign w:val="bottom"/>
            <w:tcBorders>
              <w:bottom w:val="single" w:sz="8" w:color="auto"/>
            </w:tcBorders>
            <w:gridSpan w:val="2"/>
          </w:tcPr>
          <w:p>
            <w:pPr>
              <w:ind w:left="340"/>
              <w:spacing w:after="0" w:line="141" w:lineRule="exact"/>
              <w:rPr>
                <w:sz w:val="20"/>
                <w:szCs w:val="20"/>
                <w:color w:val="auto"/>
              </w:rPr>
            </w:pPr>
            <w:r>
              <w:rPr>
                <w:rFonts w:ascii="Arial" w:cs="Arial" w:eastAsia="Arial" w:hAnsi="Arial"/>
                <w:sz w:val="13"/>
                <w:szCs w:val="13"/>
                <w:color w:val="auto"/>
              </w:rPr>
              <w:t>Location</w:t>
            </w:r>
          </w:p>
        </w:tc>
        <w:tc>
          <w:tcPr>
            <w:tcW w:w="1220" w:type="dxa"/>
            <w:vAlign w:val="bottom"/>
            <w:tcBorders>
              <w:bottom w:val="single" w:sz="8" w:color="auto"/>
            </w:tcBorders>
          </w:tcPr>
          <w:p>
            <w:pPr>
              <w:jc w:val="right"/>
              <w:ind w:right="70"/>
              <w:spacing w:after="0" w:line="141" w:lineRule="exact"/>
              <w:rPr>
                <w:sz w:val="20"/>
                <w:szCs w:val="20"/>
                <w:color w:val="auto"/>
              </w:rPr>
            </w:pPr>
            <w:r>
              <w:rPr>
                <w:rFonts w:ascii="Arial" w:cs="Arial" w:eastAsia="Arial" w:hAnsi="Arial"/>
                <w:sz w:val="13"/>
                <w:szCs w:val="13"/>
                <w:color w:val="auto"/>
              </w:rPr>
              <w:t>interest (%)</w:t>
            </w:r>
          </w:p>
        </w:tc>
        <w:tc>
          <w:tcPr>
            <w:tcW w:w="1420" w:type="dxa"/>
            <w:vAlign w:val="bottom"/>
            <w:tcBorders>
              <w:bottom w:val="single" w:sz="8" w:color="auto"/>
            </w:tcBorders>
          </w:tcPr>
          <w:p>
            <w:pPr>
              <w:jc w:val="right"/>
              <w:ind w:right="270"/>
              <w:spacing w:after="0" w:line="141" w:lineRule="exact"/>
              <w:rPr>
                <w:sz w:val="20"/>
                <w:szCs w:val="20"/>
                <w:color w:val="auto"/>
              </w:rPr>
            </w:pPr>
            <w:r>
              <w:rPr>
                <w:rFonts w:ascii="Arial" w:cs="Arial" w:eastAsia="Arial" w:hAnsi="Arial"/>
                <w:sz w:val="13"/>
                <w:szCs w:val="13"/>
                <w:color w:val="auto"/>
              </w:rPr>
              <w:t>(mtpa)</w:t>
            </w:r>
          </w:p>
        </w:tc>
        <w:tc>
          <w:tcPr>
            <w:tcW w:w="0" w:type="dxa"/>
            <w:vAlign w:val="bottom"/>
          </w:tcPr>
          <w:p>
            <w:pPr>
              <w:spacing w:after="0"/>
              <w:rPr>
                <w:sz w:val="1"/>
                <w:szCs w:val="1"/>
                <w:color w:val="auto"/>
              </w:rPr>
            </w:pPr>
          </w:p>
        </w:tc>
      </w:tr>
      <w:tr>
        <w:trPr>
          <w:trHeight w:val="160"/>
        </w:trPr>
        <w:tc>
          <w:tcPr>
            <w:tcW w:w="5600" w:type="dxa"/>
            <w:vAlign w:val="bottom"/>
          </w:tcPr>
          <w:p>
            <w:pPr>
              <w:spacing w:after="0"/>
              <w:rPr>
                <w:sz w:val="20"/>
                <w:szCs w:val="20"/>
                <w:color w:val="auto"/>
              </w:rPr>
            </w:pPr>
            <w:r>
              <w:rPr>
                <w:rFonts w:ascii="Arial" w:cs="Arial" w:eastAsia="Arial" w:hAnsi="Arial"/>
                <w:sz w:val="14"/>
                <w:szCs w:val="14"/>
                <w:color w:val="auto"/>
              </w:rPr>
              <w:t>Gorgon</w:t>
            </w:r>
          </w:p>
        </w:tc>
        <w:tc>
          <w:tcPr>
            <w:tcW w:w="1360" w:type="dxa"/>
            <w:vAlign w:val="bottom"/>
          </w:tcPr>
          <w:p>
            <w:pPr>
              <w:spacing w:after="0"/>
              <w:rPr>
                <w:sz w:val="13"/>
                <w:szCs w:val="13"/>
                <w:color w:val="auto"/>
              </w:rPr>
            </w:pPr>
          </w:p>
        </w:tc>
        <w:tc>
          <w:tcPr>
            <w:tcW w:w="1820" w:type="dxa"/>
            <w:vAlign w:val="bottom"/>
            <w:gridSpan w:val="2"/>
          </w:tcPr>
          <w:p>
            <w:pPr>
              <w:ind w:left="340"/>
              <w:spacing w:after="0"/>
              <w:rPr>
                <w:sz w:val="20"/>
                <w:szCs w:val="20"/>
                <w:color w:val="auto"/>
              </w:rPr>
            </w:pPr>
            <w:r>
              <w:rPr>
                <w:rFonts w:ascii="Arial" w:cs="Arial" w:eastAsia="Arial" w:hAnsi="Arial"/>
                <w:sz w:val="14"/>
                <w:szCs w:val="14"/>
                <w:color w:val="auto"/>
              </w:rPr>
              <w:t>Barrow Island</w:t>
            </w:r>
          </w:p>
        </w:tc>
        <w:tc>
          <w:tcPr>
            <w:tcW w:w="1220" w:type="dxa"/>
            <w:vAlign w:val="bottom"/>
          </w:tcPr>
          <w:p>
            <w:pPr>
              <w:jc w:val="right"/>
              <w:ind w:right="70"/>
              <w:spacing w:after="0"/>
              <w:rPr>
                <w:sz w:val="20"/>
                <w:szCs w:val="20"/>
                <w:color w:val="auto"/>
              </w:rPr>
            </w:pPr>
            <w:r>
              <w:rPr>
                <w:rFonts w:ascii="Arial" w:cs="Arial" w:eastAsia="Arial" w:hAnsi="Arial"/>
                <w:sz w:val="14"/>
                <w:szCs w:val="14"/>
                <w:color w:val="auto"/>
              </w:rPr>
              <w:t>25</w:t>
            </w:r>
          </w:p>
        </w:tc>
        <w:tc>
          <w:tcPr>
            <w:tcW w:w="1420" w:type="dxa"/>
            <w:vAlign w:val="bottom"/>
          </w:tcPr>
          <w:p>
            <w:pPr>
              <w:jc w:val="right"/>
              <w:ind w:right="270"/>
              <w:spacing w:after="0"/>
              <w:rPr>
                <w:sz w:val="20"/>
                <w:szCs w:val="20"/>
                <w:color w:val="auto"/>
              </w:rPr>
            </w:pPr>
            <w:r>
              <w:rPr>
                <w:rFonts w:ascii="Arial" w:cs="Arial" w:eastAsia="Arial" w:hAnsi="Arial"/>
                <w:sz w:val="14"/>
                <w:szCs w:val="14"/>
                <w:color w:val="auto"/>
              </w:rPr>
              <w:t>15.3</w:t>
            </w:r>
          </w:p>
        </w:tc>
        <w:tc>
          <w:tcPr>
            <w:tcW w:w="0" w:type="dxa"/>
            <w:vAlign w:val="bottom"/>
          </w:tcPr>
          <w:p>
            <w:pPr>
              <w:spacing w:after="0"/>
              <w:rPr>
                <w:sz w:val="1"/>
                <w:szCs w:val="1"/>
                <w:color w:val="auto"/>
              </w:rPr>
            </w:pPr>
          </w:p>
        </w:tc>
      </w:tr>
      <w:tr>
        <w:trPr>
          <w:trHeight w:val="162"/>
        </w:trPr>
        <w:tc>
          <w:tcPr>
            <w:tcW w:w="5600" w:type="dxa"/>
            <w:vAlign w:val="bottom"/>
          </w:tcPr>
          <w:p>
            <w:pPr>
              <w:spacing w:after="0"/>
              <w:rPr>
                <w:sz w:val="20"/>
                <w:szCs w:val="20"/>
                <w:color w:val="auto"/>
              </w:rPr>
            </w:pPr>
            <w:r>
              <w:rPr>
                <w:rFonts w:ascii="Arial" w:cs="Arial" w:eastAsia="Arial" w:hAnsi="Arial"/>
                <w:sz w:val="14"/>
                <w:szCs w:val="14"/>
                <w:color w:val="auto"/>
              </w:rPr>
              <w:t>MMLS LNG</w:t>
            </w:r>
          </w:p>
        </w:tc>
        <w:tc>
          <w:tcPr>
            <w:tcW w:w="1360" w:type="dxa"/>
            <w:vAlign w:val="bottom"/>
          </w:tcPr>
          <w:p>
            <w:pPr>
              <w:spacing w:after="0"/>
              <w:rPr>
                <w:sz w:val="14"/>
                <w:szCs w:val="14"/>
                <w:color w:val="auto"/>
              </w:rPr>
            </w:pPr>
          </w:p>
        </w:tc>
        <w:tc>
          <w:tcPr>
            <w:tcW w:w="1820" w:type="dxa"/>
            <w:vAlign w:val="bottom"/>
            <w:gridSpan w:val="2"/>
          </w:tcPr>
          <w:p>
            <w:pPr>
              <w:ind w:left="340"/>
              <w:spacing w:after="0"/>
              <w:rPr>
                <w:sz w:val="20"/>
                <w:szCs w:val="20"/>
                <w:color w:val="auto"/>
              </w:rPr>
            </w:pPr>
            <w:r>
              <w:rPr>
                <w:rFonts w:ascii="Arial" w:cs="Arial" w:eastAsia="Arial" w:hAnsi="Arial"/>
                <w:sz w:val="14"/>
                <w:szCs w:val="14"/>
                <w:color w:val="auto"/>
              </w:rPr>
              <w:t>Moveable units [A]</w:t>
            </w:r>
          </w:p>
        </w:tc>
        <w:tc>
          <w:tcPr>
            <w:tcW w:w="1220" w:type="dxa"/>
            <w:vAlign w:val="bottom"/>
          </w:tcPr>
          <w:p>
            <w:pPr>
              <w:jc w:val="right"/>
              <w:ind w:right="70"/>
              <w:spacing w:after="0"/>
              <w:rPr>
                <w:sz w:val="20"/>
                <w:szCs w:val="20"/>
                <w:color w:val="auto"/>
              </w:rPr>
            </w:pPr>
            <w:r>
              <w:rPr>
                <w:rFonts w:ascii="Arial" w:cs="Arial" w:eastAsia="Arial" w:hAnsi="Arial"/>
                <w:sz w:val="14"/>
                <w:szCs w:val="14"/>
                <w:color w:val="auto"/>
              </w:rPr>
              <w:t>49</w:t>
            </w:r>
          </w:p>
        </w:tc>
        <w:tc>
          <w:tcPr>
            <w:tcW w:w="1420" w:type="dxa"/>
            <w:vAlign w:val="bottom"/>
          </w:tcPr>
          <w:p>
            <w:pPr>
              <w:jc w:val="right"/>
              <w:ind w:right="270"/>
              <w:spacing w:after="0"/>
              <w:rPr>
                <w:sz w:val="20"/>
                <w:szCs w:val="20"/>
                <w:color w:val="auto"/>
              </w:rPr>
            </w:pPr>
            <w:r>
              <w:rPr>
                <w:rFonts w:ascii="Arial" w:cs="Arial" w:eastAsia="Arial" w:hAnsi="Arial"/>
                <w:sz w:val="14"/>
                <w:szCs w:val="14"/>
                <w:color w:val="auto"/>
              </w:rPr>
              <w:t>2.5</w:t>
            </w:r>
          </w:p>
        </w:tc>
        <w:tc>
          <w:tcPr>
            <w:tcW w:w="0" w:type="dxa"/>
            <w:vAlign w:val="bottom"/>
          </w:tcPr>
          <w:p>
            <w:pPr>
              <w:spacing w:after="0"/>
              <w:rPr>
                <w:sz w:val="1"/>
                <w:szCs w:val="1"/>
                <w:color w:val="auto"/>
              </w:rPr>
            </w:pPr>
          </w:p>
        </w:tc>
      </w:tr>
      <w:tr>
        <w:trPr>
          <w:trHeight w:val="157"/>
        </w:trPr>
        <w:tc>
          <w:tcPr>
            <w:tcW w:w="5600" w:type="dxa"/>
            <w:vAlign w:val="bottom"/>
            <w:tcBorders>
              <w:bottom w:val="single" w:sz="8" w:color="auto"/>
            </w:tcBorders>
          </w:tcPr>
          <w:p>
            <w:pPr>
              <w:spacing w:after="0" w:line="157" w:lineRule="exact"/>
              <w:rPr>
                <w:sz w:val="20"/>
                <w:szCs w:val="20"/>
                <w:color w:val="auto"/>
              </w:rPr>
            </w:pPr>
            <w:r>
              <w:rPr>
                <w:rFonts w:ascii="Arial" w:cs="Arial" w:eastAsia="Arial" w:hAnsi="Arial"/>
                <w:sz w:val="14"/>
                <w:szCs w:val="14"/>
                <w:color w:val="auto"/>
              </w:rPr>
              <w:t>Prelude</w:t>
            </w:r>
          </w:p>
        </w:tc>
        <w:tc>
          <w:tcPr>
            <w:tcW w:w="1360" w:type="dxa"/>
            <w:vAlign w:val="bottom"/>
            <w:tcBorders>
              <w:bottom w:val="single" w:sz="8" w:color="auto"/>
            </w:tcBorders>
          </w:tcPr>
          <w:p>
            <w:pPr>
              <w:spacing w:after="0"/>
              <w:rPr>
                <w:sz w:val="13"/>
                <w:szCs w:val="13"/>
                <w:color w:val="auto"/>
              </w:rPr>
            </w:pPr>
          </w:p>
        </w:tc>
        <w:tc>
          <w:tcPr>
            <w:tcW w:w="1820" w:type="dxa"/>
            <w:vAlign w:val="bottom"/>
            <w:tcBorders>
              <w:bottom w:val="single" w:sz="8" w:color="auto"/>
            </w:tcBorders>
            <w:gridSpan w:val="2"/>
          </w:tcPr>
          <w:p>
            <w:pPr>
              <w:ind w:left="340"/>
              <w:spacing w:after="0" w:line="157" w:lineRule="exact"/>
              <w:rPr>
                <w:sz w:val="20"/>
                <w:szCs w:val="20"/>
                <w:color w:val="auto"/>
              </w:rPr>
            </w:pPr>
            <w:r>
              <w:rPr>
                <w:rFonts w:ascii="Arial" w:cs="Arial" w:eastAsia="Arial" w:hAnsi="Arial"/>
                <w:sz w:val="14"/>
                <w:szCs w:val="14"/>
                <w:color w:val="auto"/>
              </w:rPr>
              <w:t>Offshore Australia</w:t>
            </w:r>
          </w:p>
        </w:tc>
        <w:tc>
          <w:tcPr>
            <w:tcW w:w="1220" w:type="dxa"/>
            <w:vAlign w:val="bottom"/>
            <w:tcBorders>
              <w:bottom w:val="single" w:sz="8" w:color="auto"/>
            </w:tcBorders>
          </w:tcPr>
          <w:p>
            <w:pPr>
              <w:jc w:val="right"/>
              <w:ind w:right="70"/>
              <w:spacing w:after="0" w:line="157" w:lineRule="exact"/>
              <w:rPr>
                <w:sz w:val="20"/>
                <w:szCs w:val="20"/>
                <w:color w:val="auto"/>
              </w:rPr>
            </w:pPr>
            <w:r>
              <w:rPr>
                <w:rFonts w:ascii="Arial" w:cs="Arial" w:eastAsia="Arial" w:hAnsi="Arial"/>
                <w:sz w:val="14"/>
                <w:szCs w:val="14"/>
                <w:color w:val="auto"/>
              </w:rPr>
              <w:t>67.5</w:t>
            </w:r>
          </w:p>
        </w:tc>
        <w:tc>
          <w:tcPr>
            <w:tcW w:w="1420" w:type="dxa"/>
            <w:vAlign w:val="bottom"/>
            <w:tcBorders>
              <w:bottom w:val="single" w:sz="8" w:color="auto"/>
            </w:tcBorders>
          </w:tcPr>
          <w:p>
            <w:pPr>
              <w:jc w:val="right"/>
              <w:ind w:right="270"/>
              <w:spacing w:after="0" w:line="157" w:lineRule="exact"/>
              <w:rPr>
                <w:sz w:val="20"/>
                <w:szCs w:val="20"/>
                <w:color w:val="auto"/>
              </w:rPr>
            </w:pPr>
            <w:r>
              <w:rPr>
                <w:rFonts w:ascii="Arial" w:cs="Arial" w:eastAsia="Arial" w:hAnsi="Arial"/>
                <w:sz w:val="14"/>
                <w:szCs w:val="14"/>
                <w:color w:val="auto"/>
              </w:rPr>
              <w:t>3.6</w:t>
            </w:r>
          </w:p>
        </w:tc>
        <w:tc>
          <w:tcPr>
            <w:tcW w:w="0" w:type="dxa"/>
            <w:vAlign w:val="bottom"/>
          </w:tcPr>
          <w:p>
            <w:pPr>
              <w:spacing w:after="0"/>
              <w:rPr>
                <w:sz w:val="1"/>
                <w:szCs w:val="1"/>
                <w:color w:val="auto"/>
              </w:rPr>
            </w:pPr>
          </w:p>
        </w:tc>
      </w:tr>
      <w:tr>
        <w:trPr>
          <w:trHeight w:val="123"/>
        </w:trPr>
        <w:tc>
          <w:tcPr>
            <w:tcW w:w="5600" w:type="dxa"/>
            <w:vAlign w:val="bottom"/>
          </w:tcPr>
          <w:p>
            <w:pPr>
              <w:spacing w:after="0" w:line="123" w:lineRule="exact"/>
              <w:rPr>
                <w:sz w:val="20"/>
                <w:szCs w:val="20"/>
                <w:color w:val="auto"/>
              </w:rPr>
            </w:pPr>
            <w:r>
              <w:rPr>
                <w:rFonts w:ascii="Arial" w:cs="Arial" w:eastAsia="Arial" w:hAnsi="Arial"/>
                <w:sz w:val="11"/>
                <w:szCs w:val="11"/>
                <w:color w:val="auto"/>
              </w:rPr>
              <w:t>[A] Location pending final investment decision.</w:t>
            </w:r>
          </w:p>
        </w:tc>
        <w:tc>
          <w:tcPr>
            <w:tcW w:w="136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4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8"/>
        </w:trPr>
        <w:tc>
          <w:tcPr>
            <w:tcW w:w="56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5600" w:type="dxa"/>
            <w:vAlign w:val="bottom"/>
            <w:shd w:val="clear" w:color="auto" w:fill="333333"/>
          </w:tcPr>
          <w:p>
            <w:pPr>
              <w:ind w:left="80"/>
              <w:spacing w:after="0" w:line="162" w:lineRule="exact"/>
              <w:rPr>
                <w:sz w:val="20"/>
                <w:szCs w:val="20"/>
                <w:color w:val="auto"/>
              </w:rPr>
            </w:pPr>
            <w:r>
              <w:rPr>
                <w:rFonts w:ascii="Arial" w:cs="Arial" w:eastAsia="Arial" w:hAnsi="Arial"/>
                <w:sz w:val="15"/>
                <w:szCs w:val="15"/>
                <w:b w:val="1"/>
                <w:bCs w:val="1"/>
                <w:color w:val="FFFFFF"/>
              </w:rPr>
              <w:t>GTL PLANTS IN OPERATION</w:t>
            </w:r>
          </w:p>
        </w:tc>
        <w:tc>
          <w:tcPr>
            <w:tcW w:w="1360" w:type="dxa"/>
            <w:vAlign w:val="bottom"/>
            <w:shd w:val="clear" w:color="auto" w:fill="333333"/>
          </w:tcPr>
          <w:p>
            <w:pPr>
              <w:spacing w:after="0"/>
              <w:rPr>
                <w:sz w:val="14"/>
                <w:szCs w:val="14"/>
                <w:color w:val="auto"/>
              </w:rPr>
            </w:pPr>
          </w:p>
        </w:tc>
        <w:tc>
          <w:tcPr>
            <w:tcW w:w="1460" w:type="dxa"/>
            <w:vAlign w:val="bottom"/>
            <w:shd w:val="clear" w:color="auto" w:fill="333333"/>
          </w:tcPr>
          <w:p>
            <w:pPr>
              <w:spacing w:after="0"/>
              <w:rPr>
                <w:sz w:val="14"/>
                <w:szCs w:val="14"/>
                <w:color w:val="auto"/>
              </w:rPr>
            </w:pPr>
          </w:p>
        </w:tc>
        <w:tc>
          <w:tcPr>
            <w:tcW w:w="360" w:type="dxa"/>
            <w:vAlign w:val="bottom"/>
            <w:shd w:val="clear" w:color="auto" w:fill="333333"/>
          </w:tcPr>
          <w:p>
            <w:pPr>
              <w:spacing w:after="0"/>
              <w:rPr>
                <w:sz w:val="14"/>
                <w:szCs w:val="14"/>
                <w:color w:val="auto"/>
              </w:rPr>
            </w:pPr>
          </w:p>
        </w:tc>
        <w:tc>
          <w:tcPr>
            <w:tcW w:w="1220" w:type="dxa"/>
            <w:vAlign w:val="bottom"/>
            <w:shd w:val="clear" w:color="auto" w:fill="333333"/>
          </w:tcPr>
          <w:p>
            <w:pPr>
              <w:spacing w:after="0"/>
              <w:rPr>
                <w:sz w:val="14"/>
                <w:szCs w:val="14"/>
                <w:color w:val="auto"/>
              </w:rPr>
            </w:pPr>
          </w:p>
        </w:tc>
        <w:tc>
          <w:tcPr>
            <w:tcW w:w="1420" w:type="dxa"/>
            <w:vAlign w:val="bottom"/>
            <w:shd w:val="clear" w:color="auto" w:fill="333333"/>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560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20" w:type="dxa"/>
            <w:vAlign w:val="bottom"/>
          </w:tcPr>
          <w:p>
            <w:pPr>
              <w:jc w:val="right"/>
              <w:ind w:right="290"/>
              <w:spacing w:after="0" w:line="129" w:lineRule="exact"/>
              <w:rPr>
                <w:sz w:val="20"/>
                <w:szCs w:val="20"/>
                <w:color w:val="auto"/>
              </w:rPr>
            </w:pPr>
            <w:r>
              <w:rPr>
                <w:rFonts w:ascii="Arial" w:cs="Arial" w:eastAsia="Arial" w:hAnsi="Arial"/>
                <w:sz w:val="13"/>
                <w:szCs w:val="13"/>
                <w:color w:val="auto"/>
              </w:rPr>
              <w:t>Shell</w:t>
            </w:r>
          </w:p>
        </w:tc>
        <w:tc>
          <w:tcPr>
            <w:tcW w:w="1420" w:type="dxa"/>
            <w:vAlign w:val="bottom"/>
          </w:tcPr>
          <w:p>
            <w:pPr>
              <w:jc w:val="right"/>
              <w:ind w:right="370"/>
              <w:spacing w:after="0" w:line="129" w:lineRule="exact"/>
              <w:rPr>
                <w:sz w:val="20"/>
                <w:szCs w:val="20"/>
                <w:color w:val="auto"/>
              </w:rPr>
            </w:pPr>
            <w:r>
              <w:rPr>
                <w:rFonts w:ascii="Arial" w:cs="Arial" w:eastAsia="Arial" w:hAnsi="Arial"/>
                <w:sz w:val="13"/>
                <w:szCs w:val="13"/>
                <w:color w:val="auto"/>
              </w:rPr>
              <w:t>100% capacity</w:t>
            </w:r>
          </w:p>
        </w:tc>
        <w:tc>
          <w:tcPr>
            <w:tcW w:w="0" w:type="dxa"/>
            <w:vAlign w:val="bottom"/>
          </w:tcPr>
          <w:p>
            <w:pPr>
              <w:spacing w:after="0"/>
              <w:rPr>
                <w:sz w:val="1"/>
                <w:szCs w:val="1"/>
                <w:color w:val="auto"/>
              </w:rPr>
            </w:pPr>
          </w:p>
        </w:tc>
      </w:tr>
      <w:tr>
        <w:trPr>
          <w:trHeight w:val="155"/>
        </w:trPr>
        <w:tc>
          <w:tcPr>
            <w:tcW w:w="560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tcPr>
          <w:p>
            <w:pPr>
              <w:spacing w:after="0"/>
              <w:rPr>
                <w:sz w:val="13"/>
                <w:szCs w:val="13"/>
                <w:color w:val="auto"/>
              </w:rPr>
            </w:pPr>
          </w:p>
        </w:tc>
        <w:tc>
          <w:tcPr>
            <w:tcW w:w="1820" w:type="dxa"/>
            <w:vAlign w:val="bottom"/>
            <w:tcBorders>
              <w:bottom w:val="single" w:sz="8" w:color="auto"/>
            </w:tcBorders>
            <w:gridSpan w:val="2"/>
          </w:tcPr>
          <w:p>
            <w:pPr>
              <w:ind w:left="580"/>
              <w:spacing w:after="0"/>
              <w:rPr>
                <w:sz w:val="20"/>
                <w:szCs w:val="20"/>
                <w:color w:val="auto"/>
              </w:rPr>
            </w:pPr>
            <w:r>
              <w:rPr>
                <w:rFonts w:ascii="Arial" w:cs="Arial" w:eastAsia="Arial" w:hAnsi="Arial"/>
                <w:sz w:val="13"/>
                <w:szCs w:val="13"/>
                <w:color w:val="auto"/>
              </w:rPr>
              <w:t>Country</w:t>
            </w:r>
          </w:p>
        </w:tc>
        <w:tc>
          <w:tcPr>
            <w:tcW w:w="1220" w:type="dxa"/>
            <w:vAlign w:val="bottom"/>
            <w:tcBorders>
              <w:bottom w:val="single" w:sz="8" w:color="auto"/>
            </w:tcBorders>
          </w:tcPr>
          <w:p>
            <w:pPr>
              <w:jc w:val="right"/>
              <w:ind w:right="290"/>
              <w:spacing w:after="0"/>
              <w:rPr>
                <w:sz w:val="20"/>
                <w:szCs w:val="20"/>
                <w:color w:val="auto"/>
              </w:rPr>
            </w:pPr>
            <w:r>
              <w:rPr>
                <w:rFonts w:ascii="Arial" w:cs="Arial" w:eastAsia="Arial" w:hAnsi="Arial"/>
                <w:sz w:val="13"/>
                <w:szCs w:val="13"/>
                <w:color w:val="auto"/>
              </w:rPr>
              <w:t>interest (%)</w:t>
            </w:r>
          </w:p>
        </w:tc>
        <w:tc>
          <w:tcPr>
            <w:tcW w:w="1420" w:type="dxa"/>
            <w:vAlign w:val="bottom"/>
            <w:tcBorders>
              <w:bottom w:val="single" w:sz="8" w:color="auto"/>
            </w:tcBorders>
          </w:tcPr>
          <w:p>
            <w:pPr>
              <w:jc w:val="right"/>
              <w:ind w:right="370"/>
              <w:spacing w:after="0"/>
              <w:rPr>
                <w:sz w:val="20"/>
                <w:szCs w:val="20"/>
                <w:color w:val="auto"/>
              </w:rPr>
            </w:pPr>
            <w:r>
              <w:rPr>
                <w:rFonts w:ascii="Arial" w:cs="Arial" w:eastAsia="Arial" w:hAnsi="Arial"/>
                <w:sz w:val="13"/>
                <w:szCs w:val="13"/>
                <w:color w:val="auto"/>
              </w:rPr>
              <w:t>(b/d)</w:t>
            </w:r>
          </w:p>
        </w:tc>
        <w:tc>
          <w:tcPr>
            <w:tcW w:w="0" w:type="dxa"/>
            <w:vAlign w:val="bottom"/>
          </w:tcPr>
          <w:p>
            <w:pPr>
              <w:spacing w:after="0"/>
              <w:rPr>
                <w:sz w:val="1"/>
                <w:szCs w:val="1"/>
                <w:color w:val="auto"/>
              </w:rPr>
            </w:pPr>
          </w:p>
        </w:tc>
      </w:tr>
      <w:tr>
        <w:trPr>
          <w:trHeight w:val="160"/>
        </w:trPr>
        <w:tc>
          <w:tcPr>
            <w:tcW w:w="5600" w:type="dxa"/>
            <w:vAlign w:val="bottom"/>
          </w:tcPr>
          <w:p>
            <w:pPr>
              <w:spacing w:after="0"/>
              <w:rPr>
                <w:sz w:val="20"/>
                <w:szCs w:val="20"/>
                <w:color w:val="auto"/>
              </w:rPr>
            </w:pPr>
            <w:r>
              <w:rPr>
                <w:rFonts w:ascii="Arial" w:cs="Arial" w:eastAsia="Arial" w:hAnsi="Arial"/>
                <w:sz w:val="14"/>
                <w:szCs w:val="14"/>
                <w:color w:val="auto"/>
              </w:rPr>
              <w:t>Bintulu</w:t>
            </w:r>
          </w:p>
        </w:tc>
        <w:tc>
          <w:tcPr>
            <w:tcW w:w="1360" w:type="dxa"/>
            <w:vAlign w:val="bottom"/>
          </w:tcPr>
          <w:p>
            <w:pPr>
              <w:spacing w:after="0"/>
              <w:rPr>
                <w:sz w:val="13"/>
                <w:szCs w:val="13"/>
                <w:color w:val="auto"/>
              </w:rPr>
            </w:pPr>
          </w:p>
        </w:tc>
        <w:tc>
          <w:tcPr>
            <w:tcW w:w="1820" w:type="dxa"/>
            <w:vAlign w:val="bottom"/>
            <w:gridSpan w:val="2"/>
          </w:tcPr>
          <w:p>
            <w:pPr>
              <w:ind w:left="580"/>
              <w:spacing w:after="0"/>
              <w:rPr>
                <w:sz w:val="20"/>
                <w:szCs w:val="20"/>
                <w:color w:val="auto"/>
              </w:rPr>
            </w:pPr>
            <w:r>
              <w:rPr>
                <w:rFonts w:ascii="Arial" w:cs="Arial" w:eastAsia="Arial" w:hAnsi="Arial"/>
                <w:sz w:val="14"/>
                <w:szCs w:val="14"/>
                <w:color w:val="auto"/>
              </w:rPr>
              <w:t>Malaysia</w:t>
            </w:r>
          </w:p>
        </w:tc>
        <w:tc>
          <w:tcPr>
            <w:tcW w:w="1220" w:type="dxa"/>
            <w:vAlign w:val="bottom"/>
          </w:tcPr>
          <w:p>
            <w:pPr>
              <w:jc w:val="right"/>
              <w:ind w:right="290"/>
              <w:spacing w:after="0"/>
              <w:rPr>
                <w:sz w:val="20"/>
                <w:szCs w:val="20"/>
                <w:color w:val="auto"/>
              </w:rPr>
            </w:pPr>
            <w:r>
              <w:rPr>
                <w:rFonts w:ascii="Arial" w:cs="Arial" w:eastAsia="Arial" w:hAnsi="Arial"/>
                <w:sz w:val="14"/>
                <w:szCs w:val="14"/>
                <w:color w:val="auto"/>
              </w:rPr>
              <w:t>72</w:t>
            </w:r>
          </w:p>
        </w:tc>
        <w:tc>
          <w:tcPr>
            <w:tcW w:w="1420" w:type="dxa"/>
            <w:vAlign w:val="bottom"/>
          </w:tcPr>
          <w:p>
            <w:pPr>
              <w:jc w:val="right"/>
              <w:ind w:right="370"/>
              <w:spacing w:after="0"/>
              <w:rPr>
                <w:sz w:val="20"/>
                <w:szCs w:val="20"/>
                <w:color w:val="auto"/>
              </w:rPr>
            </w:pPr>
            <w:r>
              <w:rPr>
                <w:rFonts w:ascii="Arial" w:cs="Arial" w:eastAsia="Arial" w:hAnsi="Arial"/>
                <w:sz w:val="14"/>
                <w:szCs w:val="14"/>
                <w:color w:val="auto"/>
              </w:rPr>
              <w:t>14,700</w:t>
            </w:r>
          </w:p>
        </w:tc>
        <w:tc>
          <w:tcPr>
            <w:tcW w:w="0" w:type="dxa"/>
            <w:vAlign w:val="bottom"/>
          </w:tcPr>
          <w:p>
            <w:pPr>
              <w:spacing w:after="0"/>
              <w:rPr>
                <w:sz w:val="1"/>
                <w:szCs w:val="1"/>
                <w:color w:val="auto"/>
              </w:rPr>
            </w:pPr>
          </w:p>
        </w:tc>
      </w:tr>
      <w:tr>
        <w:trPr>
          <w:trHeight w:val="157"/>
        </w:trPr>
        <w:tc>
          <w:tcPr>
            <w:tcW w:w="5600" w:type="dxa"/>
            <w:vAlign w:val="bottom"/>
            <w:tcBorders>
              <w:bottom w:val="single" w:sz="8" w:color="auto"/>
            </w:tcBorders>
          </w:tcPr>
          <w:p>
            <w:pPr>
              <w:spacing w:after="0" w:line="157" w:lineRule="exact"/>
              <w:rPr>
                <w:sz w:val="20"/>
                <w:szCs w:val="20"/>
                <w:color w:val="auto"/>
              </w:rPr>
            </w:pPr>
            <w:r>
              <w:rPr>
                <w:rFonts w:ascii="Arial" w:cs="Arial" w:eastAsia="Arial" w:hAnsi="Arial"/>
                <w:sz w:val="14"/>
                <w:szCs w:val="14"/>
                <w:color w:val="auto"/>
              </w:rPr>
              <w:t>Pearl</w:t>
            </w:r>
          </w:p>
        </w:tc>
        <w:tc>
          <w:tcPr>
            <w:tcW w:w="1360" w:type="dxa"/>
            <w:vAlign w:val="bottom"/>
            <w:tcBorders>
              <w:bottom w:val="single" w:sz="8" w:color="auto"/>
            </w:tcBorders>
          </w:tcPr>
          <w:p>
            <w:pPr>
              <w:spacing w:after="0"/>
              <w:rPr>
                <w:sz w:val="13"/>
                <w:szCs w:val="13"/>
                <w:color w:val="auto"/>
              </w:rPr>
            </w:pPr>
          </w:p>
        </w:tc>
        <w:tc>
          <w:tcPr>
            <w:tcW w:w="1820" w:type="dxa"/>
            <w:vAlign w:val="bottom"/>
            <w:tcBorders>
              <w:bottom w:val="single" w:sz="8" w:color="auto"/>
            </w:tcBorders>
            <w:gridSpan w:val="2"/>
          </w:tcPr>
          <w:p>
            <w:pPr>
              <w:ind w:left="580"/>
              <w:spacing w:after="0" w:line="157" w:lineRule="exact"/>
              <w:rPr>
                <w:sz w:val="20"/>
                <w:szCs w:val="20"/>
                <w:color w:val="auto"/>
              </w:rPr>
            </w:pPr>
            <w:r>
              <w:rPr>
                <w:rFonts w:ascii="Arial" w:cs="Arial" w:eastAsia="Arial" w:hAnsi="Arial"/>
                <w:sz w:val="14"/>
                <w:szCs w:val="14"/>
                <w:color w:val="auto"/>
              </w:rPr>
              <w:t>Qatar</w:t>
            </w:r>
          </w:p>
        </w:tc>
        <w:tc>
          <w:tcPr>
            <w:tcW w:w="1220" w:type="dxa"/>
            <w:vAlign w:val="bottom"/>
            <w:tcBorders>
              <w:bottom w:val="single" w:sz="8" w:color="auto"/>
            </w:tcBorders>
          </w:tcPr>
          <w:p>
            <w:pPr>
              <w:jc w:val="right"/>
              <w:ind w:right="290"/>
              <w:spacing w:after="0" w:line="157" w:lineRule="exact"/>
              <w:rPr>
                <w:sz w:val="20"/>
                <w:szCs w:val="20"/>
                <w:color w:val="auto"/>
              </w:rPr>
            </w:pPr>
            <w:r>
              <w:rPr>
                <w:rFonts w:ascii="Arial" w:cs="Arial" w:eastAsia="Arial" w:hAnsi="Arial"/>
                <w:sz w:val="14"/>
                <w:szCs w:val="14"/>
                <w:color w:val="auto"/>
              </w:rPr>
              <w:t>100</w:t>
            </w:r>
          </w:p>
        </w:tc>
        <w:tc>
          <w:tcPr>
            <w:tcW w:w="1420" w:type="dxa"/>
            <w:vAlign w:val="bottom"/>
            <w:tcBorders>
              <w:bottom w:val="single" w:sz="8" w:color="auto"/>
            </w:tcBorders>
          </w:tcPr>
          <w:p>
            <w:pPr>
              <w:jc w:val="right"/>
              <w:ind w:right="370"/>
              <w:spacing w:after="0" w:line="157" w:lineRule="exact"/>
              <w:rPr>
                <w:sz w:val="20"/>
                <w:szCs w:val="20"/>
                <w:color w:val="auto"/>
              </w:rPr>
            </w:pPr>
            <w:r>
              <w:rPr>
                <w:rFonts w:ascii="Arial" w:cs="Arial" w:eastAsia="Arial" w:hAnsi="Arial"/>
                <w:sz w:val="14"/>
                <w:szCs w:val="14"/>
                <w:color w:val="auto"/>
              </w:rPr>
              <w:t>140,000</w:t>
            </w:r>
          </w:p>
        </w:tc>
        <w:tc>
          <w:tcPr>
            <w:tcW w:w="0" w:type="dxa"/>
            <w:vAlign w:val="bottom"/>
          </w:tcPr>
          <w:p>
            <w:pPr>
              <w:spacing w:after="0"/>
              <w:rPr>
                <w:sz w:val="1"/>
                <w:szCs w:val="1"/>
                <w:color w:val="auto"/>
              </w:rPr>
            </w:pPr>
          </w:p>
        </w:tc>
      </w:tr>
      <w:tr>
        <w:trPr>
          <w:trHeight w:val="385"/>
        </w:trPr>
        <w:tc>
          <w:tcPr>
            <w:tcW w:w="5600" w:type="dxa"/>
            <w:vAlign w:val="bottom"/>
          </w:tcPr>
          <w:p>
            <w:pPr>
              <w:spacing w:after="0"/>
              <w:rPr>
                <w:sz w:val="20"/>
                <w:szCs w:val="20"/>
                <w:color w:val="auto"/>
              </w:rPr>
            </w:pPr>
            <w:r>
              <w:rPr>
                <w:rFonts w:ascii="Arial" w:cs="Arial" w:eastAsia="Arial" w:hAnsi="Arial"/>
                <w:sz w:val="18"/>
                <w:szCs w:val="18"/>
                <w:color w:val="auto"/>
              </w:rPr>
              <w:t>EQUITY LNG SALES VOLUMES</w:t>
            </w:r>
          </w:p>
        </w:tc>
        <w:tc>
          <w:tcPr>
            <w:tcW w:w="13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56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5600" w:type="dxa"/>
            <w:vAlign w:val="bottom"/>
            <w:shd w:val="clear" w:color="auto" w:fill="333333"/>
          </w:tcPr>
          <w:p>
            <w:pPr>
              <w:ind w:left="80"/>
              <w:spacing w:after="0" w:line="162" w:lineRule="exact"/>
              <w:rPr>
                <w:sz w:val="20"/>
                <w:szCs w:val="20"/>
                <w:color w:val="auto"/>
              </w:rPr>
            </w:pPr>
            <w:r>
              <w:rPr>
                <w:rFonts w:ascii="Arial" w:cs="Arial" w:eastAsia="Arial" w:hAnsi="Arial"/>
                <w:sz w:val="15"/>
                <w:szCs w:val="15"/>
                <w:b w:val="1"/>
                <w:bCs w:val="1"/>
                <w:color w:val="FFFFFF"/>
              </w:rPr>
              <w:t>SHELL SHARE OF EQUITY LNG SALES VOLUMES</w:t>
            </w:r>
          </w:p>
        </w:tc>
        <w:tc>
          <w:tcPr>
            <w:tcW w:w="1360" w:type="dxa"/>
            <w:vAlign w:val="bottom"/>
            <w:shd w:val="clear" w:color="auto" w:fill="333333"/>
          </w:tcPr>
          <w:p>
            <w:pPr>
              <w:spacing w:after="0"/>
              <w:rPr>
                <w:sz w:val="14"/>
                <w:szCs w:val="14"/>
                <w:color w:val="auto"/>
              </w:rPr>
            </w:pPr>
          </w:p>
        </w:tc>
        <w:tc>
          <w:tcPr>
            <w:tcW w:w="1460" w:type="dxa"/>
            <w:vAlign w:val="bottom"/>
            <w:shd w:val="clear" w:color="auto" w:fill="333333"/>
          </w:tcPr>
          <w:p>
            <w:pPr>
              <w:spacing w:after="0"/>
              <w:rPr>
                <w:sz w:val="14"/>
                <w:szCs w:val="14"/>
                <w:color w:val="auto"/>
              </w:rPr>
            </w:pPr>
          </w:p>
        </w:tc>
        <w:tc>
          <w:tcPr>
            <w:tcW w:w="360" w:type="dxa"/>
            <w:vAlign w:val="bottom"/>
            <w:shd w:val="clear" w:color="auto" w:fill="333333"/>
          </w:tcPr>
          <w:p>
            <w:pPr>
              <w:spacing w:after="0"/>
              <w:rPr>
                <w:sz w:val="14"/>
                <w:szCs w:val="14"/>
                <w:color w:val="auto"/>
              </w:rPr>
            </w:pPr>
          </w:p>
        </w:tc>
        <w:tc>
          <w:tcPr>
            <w:tcW w:w="1220" w:type="dxa"/>
            <w:vAlign w:val="bottom"/>
            <w:shd w:val="clear" w:color="auto" w:fill="333333"/>
          </w:tcPr>
          <w:p>
            <w:pPr>
              <w:spacing w:after="0"/>
              <w:rPr>
                <w:sz w:val="14"/>
                <w:szCs w:val="14"/>
                <w:color w:val="auto"/>
              </w:rPr>
            </w:pPr>
          </w:p>
        </w:tc>
        <w:tc>
          <w:tcPr>
            <w:tcW w:w="1420" w:type="dxa"/>
            <w:vAlign w:val="bottom"/>
            <w:shd w:val="clear" w:color="auto" w:fill="333333"/>
          </w:tcPr>
          <w:p>
            <w:pPr>
              <w:jc w:val="right"/>
              <w:ind w:right="30"/>
              <w:spacing w:after="0" w:line="162" w:lineRule="exact"/>
              <w:rPr>
                <w:sz w:val="20"/>
                <w:szCs w:val="20"/>
                <w:color w:val="auto"/>
              </w:rPr>
            </w:pPr>
            <w:r>
              <w:rPr>
                <w:rFonts w:ascii="Arial" w:cs="Arial" w:eastAsia="Arial" w:hAnsi="Arial"/>
                <w:sz w:val="15"/>
                <w:szCs w:val="15"/>
                <w:color w:val="FFFFFF"/>
              </w:rPr>
              <w:t>MILLION TONNES</w:t>
            </w:r>
          </w:p>
        </w:tc>
        <w:tc>
          <w:tcPr>
            <w:tcW w:w="0" w:type="dxa"/>
            <w:vAlign w:val="bottom"/>
          </w:tcPr>
          <w:p>
            <w:pPr>
              <w:spacing w:after="0"/>
              <w:rPr>
                <w:sz w:val="1"/>
                <w:szCs w:val="1"/>
                <w:color w:val="auto"/>
              </w:rPr>
            </w:pPr>
          </w:p>
        </w:tc>
      </w:tr>
      <w:tr>
        <w:trPr>
          <w:trHeight w:val="149"/>
        </w:trPr>
        <w:tc>
          <w:tcPr>
            <w:tcW w:w="5600" w:type="dxa"/>
            <w:vAlign w:val="bottom"/>
            <w:tcBorders>
              <w:bottom w:val="single" w:sz="8" w:color="auto"/>
            </w:tcBorders>
          </w:tcPr>
          <w:p>
            <w:pPr>
              <w:spacing w:after="0"/>
              <w:rPr>
                <w:sz w:val="12"/>
                <w:szCs w:val="12"/>
                <w:color w:val="auto"/>
              </w:rPr>
            </w:pPr>
          </w:p>
        </w:tc>
        <w:tc>
          <w:tcPr>
            <w:tcW w:w="1360" w:type="dxa"/>
            <w:vAlign w:val="bottom"/>
            <w:tcBorders>
              <w:bottom w:val="single" w:sz="8" w:color="auto"/>
            </w:tcBorders>
          </w:tcPr>
          <w:p>
            <w:pPr>
              <w:spacing w:after="0"/>
              <w:rPr>
                <w:sz w:val="12"/>
                <w:szCs w:val="12"/>
                <w:color w:val="auto"/>
              </w:rPr>
            </w:pPr>
          </w:p>
        </w:tc>
        <w:tc>
          <w:tcPr>
            <w:tcW w:w="1460" w:type="dxa"/>
            <w:vAlign w:val="bottom"/>
            <w:tcBorders>
              <w:bottom w:val="single" w:sz="8" w:color="auto"/>
            </w:tcBorders>
            <w:shd w:val="clear" w:color="auto" w:fill="D8D8D8"/>
          </w:tcPr>
          <w:p>
            <w:pPr>
              <w:jc w:val="right"/>
              <w:ind w:right="489"/>
              <w:spacing w:after="0"/>
              <w:rPr>
                <w:sz w:val="20"/>
                <w:szCs w:val="20"/>
                <w:color w:val="auto"/>
              </w:rPr>
            </w:pPr>
            <w:r>
              <w:rPr>
                <w:rFonts w:ascii="Arial" w:cs="Arial" w:eastAsia="Arial" w:hAnsi="Arial"/>
                <w:sz w:val="13"/>
                <w:szCs w:val="13"/>
                <w:color w:val="auto"/>
              </w:rPr>
              <w:t>2014</w:t>
            </w:r>
          </w:p>
        </w:tc>
        <w:tc>
          <w:tcPr>
            <w:tcW w:w="360" w:type="dxa"/>
            <w:vAlign w:val="bottom"/>
            <w:tcBorders>
              <w:bottom w:val="single" w:sz="8" w:color="auto"/>
            </w:tcBorders>
          </w:tcPr>
          <w:p>
            <w:pPr>
              <w:spacing w:after="0"/>
              <w:rPr>
                <w:sz w:val="12"/>
                <w:szCs w:val="12"/>
                <w:color w:val="auto"/>
              </w:rPr>
            </w:pPr>
          </w:p>
        </w:tc>
        <w:tc>
          <w:tcPr>
            <w:tcW w:w="1220" w:type="dxa"/>
            <w:vAlign w:val="bottom"/>
            <w:tcBorders>
              <w:bottom w:val="single" w:sz="8" w:color="auto"/>
            </w:tcBorders>
          </w:tcPr>
          <w:p>
            <w:pPr>
              <w:jc w:val="right"/>
              <w:ind w:right="50"/>
              <w:spacing w:after="0"/>
              <w:rPr>
                <w:sz w:val="20"/>
                <w:szCs w:val="20"/>
                <w:color w:val="auto"/>
              </w:rPr>
            </w:pPr>
            <w:r>
              <w:rPr>
                <w:rFonts w:ascii="Arial" w:cs="Arial" w:eastAsia="Arial" w:hAnsi="Arial"/>
                <w:sz w:val="13"/>
                <w:szCs w:val="13"/>
                <w:color w:val="auto"/>
              </w:rPr>
              <w:t>2013</w:t>
            </w:r>
          </w:p>
        </w:tc>
        <w:tc>
          <w:tcPr>
            <w:tcW w:w="1420" w:type="dxa"/>
            <w:vAlign w:val="bottom"/>
            <w:tcBorders>
              <w:bottom w:val="single" w:sz="8" w:color="auto"/>
            </w:tcBorders>
          </w:tcPr>
          <w:p>
            <w:pPr>
              <w:jc w:val="right"/>
              <w:ind w:right="490"/>
              <w:spacing w:after="0"/>
              <w:rPr>
                <w:sz w:val="20"/>
                <w:szCs w:val="20"/>
                <w:color w:val="auto"/>
              </w:rPr>
            </w:pPr>
            <w:r>
              <w:rPr>
                <w:rFonts w:ascii="Arial" w:cs="Arial" w:eastAsia="Arial" w:hAnsi="Arial"/>
                <w:sz w:val="13"/>
                <w:szCs w:val="13"/>
                <w:color w:val="auto"/>
              </w:rPr>
              <w:t>2012</w:t>
            </w:r>
          </w:p>
        </w:tc>
        <w:tc>
          <w:tcPr>
            <w:tcW w:w="0" w:type="dxa"/>
            <w:vAlign w:val="bottom"/>
          </w:tcPr>
          <w:p>
            <w:pPr>
              <w:spacing w:after="0"/>
              <w:rPr>
                <w:sz w:val="1"/>
                <w:szCs w:val="1"/>
                <w:color w:val="auto"/>
              </w:rPr>
            </w:pPr>
          </w:p>
        </w:tc>
      </w:tr>
      <w:tr>
        <w:trPr>
          <w:trHeight w:val="156"/>
        </w:trPr>
        <w:tc>
          <w:tcPr>
            <w:tcW w:w="5600" w:type="dxa"/>
            <w:vAlign w:val="bottom"/>
          </w:tcPr>
          <w:p>
            <w:pPr>
              <w:spacing w:after="0" w:line="155" w:lineRule="exact"/>
              <w:rPr>
                <w:sz w:val="20"/>
                <w:szCs w:val="20"/>
                <w:color w:val="auto"/>
              </w:rPr>
            </w:pPr>
            <w:r>
              <w:rPr>
                <w:rFonts w:ascii="Arial" w:cs="Arial" w:eastAsia="Arial" w:hAnsi="Arial"/>
                <w:sz w:val="14"/>
                <w:szCs w:val="14"/>
                <w:color w:val="auto"/>
              </w:rPr>
              <w:t>Australia</w:t>
            </w:r>
          </w:p>
        </w:tc>
        <w:tc>
          <w:tcPr>
            <w:tcW w:w="1360" w:type="dxa"/>
            <w:vAlign w:val="bottom"/>
          </w:tcPr>
          <w:p>
            <w:pPr>
              <w:spacing w:after="0"/>
              <w:rPr>
                <w:sz w:val="13"/>
                <w:szCs w:val="13"/>
                <w:color w:val="auto"/>
              </w:rPr>
            </w:pPr>
          </w:p>
        </w:tc>
        <w:tc>
          <w:tcPr>
            <w:tcW w:w="1460" w:type="dxa"/>
            <w:vAlign w:val="bottom"/>
            <w:shd w:val="clear" w:color="auto" w:fill="D8D8D8"/>
          </w:tcPr>
          <w:p>
            <w:pPr>
              <w:jc w:val="right"/>
              <w:ind w:right="489"/>
              <w:spacing w:after="0" w:line="155" w:lineRule="exact"/>
              <w:rPr>
                <w:sz w:val="20"/>
                <w:szCs w:val="20"/>
                <w:color w:val="auto"/>
              </w:rPr>
            </w:pPr>
            <w:r>
              <w:rPr>
                <w:rFonts w:ascii="Arial" w:cs="Arial" w:eastAsia="Arial" w:hAnsi="Arial"/>
                <w:sz w:val="14"/>
                <w:szCs w:val="14"/>
                <w:color w:val="auto"/>
              </w:rPr>
              <w:t>3.7</w:t>
            </w:r>
          </w:p>
        </w:tc>
        <w:tc>
          <w:tcPr>
            <w:tcW w:w="360" w:type="dxa"/>
            <w:vAlign w:val="bottom"/>
          </w:tcPr>
          <w:p>
            <w:pPr>
              <w:spacing w:after="0"/>
              <w:rPr>
                <w:sz w:val="13"/>
                <w:szCs w:val="13"/>
                <w:color w:val="auto"/>
              </w:rPr>
            </w:pPr>
          </w:p>
        </w:tc>
        <w:tc>
          <w:tcPr>
            <w:tcW w:w="1220" w:type="dxa"/>
            <w:vAlign w:val="bottom"/>
          </w:tcPr>
          <w:p>
            <w:pPr>
              <w:jc w:val="right"/>
              <w:ind w:right="50"/>
              <w:spacing w:after="0" w:line="155" w:lineRule="exact"/>
              <w:rPr>
                <w:sz w:val="20"/>
                <w:szCs w:val="20"/>
                <w:color w:val="auto"/>
              </w:rPr>
            </w:pPr>
            <w:r>
              <w:rPr>
                <w:rFonts w:ascii="Arial" w:cs="Arial" w:eastAsia="Arial" w:hAnsi="Arial"/>
                <w:sz w:val="14"/>
                <w:szCs w:val="14"/>
                <w:color w:val="auto"/>
              </w:rPr>
              <w:t>3.7</w:t>
            </w:r>
          </w:p>
        </w:tc>
        <w:tc>
          <w:tcPr>
            <w:tcW w:w="1420" w:type="dxa"/>
            <w:vAlign w:val="bottom"/>
          </w:tcPr>
          <w:p>
            <w:pPr>
              <w:jc w:val="right"/>
              <w:ind w:right="490"/>
              <w:spacing w:after="0" w:line="155" w:lineRule="exact"/>
              <w:rPr>
                <w:sz w:val="20"/>
                <w:szCs w:val="20"/>
                <w:color w:val="auto"/>
              </w:rPr>
            </w:pPr>
            <w:r>
              <w:rPr>
                <w:rFonts w:ascii="Arial" w:cs="Arial" w:eastAsia="Arial" w:hAnsi="Arial"/>
                <w:sz w:val="14"/>
                <w:szCs w:val="14"/>
                <w:color w:val="auto"/>
              </w:rPr>
              <w:t>3.6</w:t>
            </w:r>
          </w:p>
        </w:tc>
        <w:tc>
          <w:tcPr>
            <w:tcW w:w="0" w:type="dxa"/>
            <w:vAlign w:val="bottom"/>
          </w:tcPr>
          <w:p>
            <w:pPr>
              <w:spacing w:after="0"/>
              <w:rPr>
                <w:sz w:val="1"/>
                <w:szCs w:val="1"/>
                <w:color w:val="auto"/>
              </w:rPr>
            </w:pPr>
          </w:p>
        </w:tc>
      </w:tr>
      <w:tr>
        <w:trPr>
          <w:trHeight w:val="162"/>
        </w:trPr>
        <w:tc>
          <w:tcPr>
            <w:tcW w:w="5600" w:type="dxa"/>
            <w:vAlign w:val="bottom"/>
          </w:tcPr>
          <w:p>
            <w:pPr>
              <w:spacing w:after="0"/>
              <w:rPr>
                <w:sz w:val="20"/>
                <w:szCs w:val="20"/>
                <w:color w:val="auto"/>
              </w:rPr>
            </w:pPr>
            <w:r>
              <w:rPr>
                <w:rFonts w:ascii="Arial" w:cs="Arial" w:eastAsia="Arial" w:hAnsi="Arial"/>
                <w:sz w:val="14"/>
                <w:szCs w:val="14"/>
                <w:color w:val="auto"/>
              </w:rPr>
              <w:t>Brunei</w:t>
            </w:r>
          </w:p>
        </w:tc>
        <w:tc>
          <w:tcPr>
            <w:tcW w:w="1360" w:type="dxa"/>
            <w:vAlign w:val="bottom"/>
          </w:tcPr>
          <w:p>
            <w:pPr>
              <w:spacing w:after="0"/>
              <w:rPr>
                <w:sz w:val="14"/>
                <w:szCs w:val="14"/>
                <w:color w:val="auto"/>
              </w:rPr>
            </w:pPr>
          </w:p>
        </w:tc>
        <w:tc>
          <w:tcPr>
            <w:tcW w:w="1460" w:type="dxa"/>
            <w:vAlign w:val="bottom"/>
            <w:shd w:val="clear" w:color="auto" w:fill="D8D8D8"/>
          </w:tcPr>
          <w:p>
            <w:pPr>
              <w:jc w:val="right"/>
              <w:ind w:right="489"/>
              <w:spacing w:after="0"/>
              <w:rPr>
                <w:sz w:val="20"/>
                <w:szCs w:val="20"/>
                <w:color w:val="auto"/>
              </w:rPr>
            </w:pPr>
            <w:r>
              <w:rPr>
                <w:rFonts w:ascii="Arial" w:cs="Arial" w:eastAsia="Arial" w:hAnsi="Arial"/>
                <w:sz w:val="14"/>
                <w:szCs w:val="14"/>
                <w:color w:val="auto"/>
              </w:rPr>
              <w:t>1.5</w:t>
            </w:r>
          </w:p>
        </w:tc>
        <w:tc>
          <w:tcPr>
            <w:tcW w:w="360" w:type="dxa"/>
            <w:vAlign w:val="bottom"/>
          </w:tcPr>
          <w:p>
            <w:pPr>
              <w:spacing w:after="0"/>
              <w:rPr>
                <w:sz w:val="14"/>
                <w:szCs w:val="14"/>
                <w:color w:val="auto"/>
              </w:rPr>
            </w:pPr>
          </w:p>
        </w:tc>
        <w:tc>
          <w:tcPr>
            <w:tcW w:w="1220" w:type="dxa"/>
            <w:vAlign w:val="bottom"/>
          </w:tcPr>
          <w:p>
            <w:pPr>
              <w:jc w:val="right"/>
              <w:ind w:right="50"/>
              <w:spacing w:after="0"/>
              <w:rPr>
                <w:sz w:val="20"/>
                <w:szCs w:val="20"/>
                <w:color w:val="auto"/>
              </w:rPr>
            </w:pPr>
            <w:r>
              <w:rPr>
                <w:rFonts w:ascii="Arial" w:cs="Arial" w:eastAsia="Arial" w:hAnsi="Arial"/>
                <w:sz w:val="14"/>
                <w:szCs w:val="14"/>
                <w:color w:val="auto"/>
              </w:rPr>
              <w:t>1.7</w:t>
            </w:r>
          </w:p>
        </w:tc>
        <w:tc>
          <w:tcPr>
            <w:tcW w:w="1420" w:type="dxa"/>
            <w:vAlign w:val="bottom"/>
          </w:tcPr>
          <w:p>
            <w:pPr>
              <w:jc w:val="right"/>
              <w:ind w:right="490"/>
              <w:spacing w:after="0"/>
              <w:rPr>
                <w:sz w:val="20"/>
                <w:szCs w:val="20"/>
                <w:color w:val="auto"/>
              </w:rPr>
            </w:pPr>
            <w:r>
              <w:rPr>
                <w:rFonts w:ascii="Arial" w:cs="Arial" w:eastAsia="Arial" w:hAnsi="Arial"/>
                <w:sz w:val="14"/>
                <w:szCs w:val="14"/>
                <w:color w:val="auto"/>
              </w:rPr>
              <w:t>1.7</w:t>
            </w:r>
          </w:p>
        </w:tc>
        <w:tc>
          <w:tcPr>
            <w:tcW w:w="0" w:type="dxa"/>
            <w:vAlign w:val="bottom"/>
          </w:tcPr>
          <w:p>
            <w:pPr>
              <w:spacing w:after="0"/>
              <w:rPr>
                <w:sz w:val="1"/>
                <w:szCs w:val="1"/>
                <w:color w:val="auto"/>
              </w:rPr>
            </w:pPr>
          </w:p>
        </w:tc>
      </w:tr>
      <w:tr>
        <w:trPr>
          <w:trHeight w:val="167"/>
        </w:trPr>
        <w:tc>
          <w:tcPr>
            <w:tcW w:w="5600" w:type="dxa"/>
            <w:vAlign w:val="bottom"/>
          </w:tcPr>
          <w:p>
            <w:pPr>
              <w:spacing w:after="0"/>
              <w:rPr>
                <w:sz w:val="20"/>
                <w:szCs w:val="20"/>
                <w:color w:val="auto"/>
              </w:rPr>
            </w:pPr>
            <w:r>
              <w:rPr>
                <w:rFonts w:ascii="Arial" w:cs="Arial" w:eastAsia="Arial" w:hAnsi="Arial"/>
                <w:sz w:val="14"/>
                <w:szCs w:val="14"/>
                <w:color w:val="auto"/>
              </w:rPr>
              <w:t>Malaysia</w:t>
            </w:r>
          </w:p>
        </w:tc>
        <w:tc>
          <w:tcPr>
            <w:tcW w:w="1360" w:type="dxa"/>
            <w:vAlign w:val="bottom"/>
          </w:tcPr>
          <w:p>
            <w:pPr>
              <w:spacing w:after="0"/>
              <w:rPr>
                <w:sz w:val="14"/>
                <w:szCs w:val="14"/>
                <w:color w:val="auto"/>
              </w:rPr>
            </w:pPr>
          </w:p>
        </w:tc>
        <w:tc>
          <w:tcPr>
            <w:tcW w:w="1460" w:type="dxa"/>
            <w:vAlign w:val="bottom"/>
            <w:shd w:val="clear" w:color="auto" w:fill="D8D8D8"/>
          </w:tcPr>
          <w:p>
            <w:pPr>
              <w:jc w:val="right"/>
              <w:ind w:right="489"/>
              <w:spacing w:after="0"/>
              <w:rPr>
                <w:sz w:val="20"/>
                <w:szCs w:val="20"/>
                <w:color w:val="auto"/>
              </w:rPr>
            </w:pPr>
            <w:r>
              <w:rPr>
                <w:rFonts w:ascii="Arial" w:cs="Arial" w:eastAsia="Arial" w:hAnsi="Arial"/>
                <w:sz w:val="14"/>
                <w:szCs w:val="14"/>
                <w:color w:val="auto"/>
              </w:rPr>
              <w:t>2.7</w:t>
            </w:r>
          </w:p>
        </w:tc>
        <w:tc>
          <w:tcPr>
            <w:tcW w:w="360" w:type="dxa"/>
            <w:vAlign w:val="bottom"/>
          </w:tcPr>
          <w:p>
            <w:pPr>
              <w:spacing w:after="0"/>
              <w:rPr>
                <w:sz w:val="14"/>
                <w:szCs w:val="14"/>
                <w:color w:val="auto"/>
              </w:rPr>
            </w:pPr>
          </w:p>
        </w:tc>
        <w:tc>
          <w:tcPr>
            <w:tcW w:w="1220" w:type="dxa"/>
            <w:vAlign w:val="bottom"/>
          </w:tcPr>
          <w:p>
            <w:pPr>
              <w:jc w:val="right"/>
              <w:ind w:right="50"/>
              <w:spacing w:after="0"/>
              <w:rPr>
                <w:sz w:val="20"/>
                <w:szCs w:val="20"/>
                <w:color w:val="auto"/>
              </w:rPr>
            </w:pPr>
            <w:r>
              <w:rPr>
                <w:rFonts w:ascii="Arial" w:cs="Arial" w:eastAsia="Arial" w:hAnsi="Arial"/>
                <w:sz w:val="14"/>
                <w:szCs w:val="14"/>
                <w:color w:val="auto"/>
              </w:rPr>
              <w:t>2.6</w:t>
            </w:r>
          </w:p>
        </w:tc>
        <w:tc>
          <w:tcPr>
            <w:tcW w:w="1420" w:type="dxa"/>
            <w:vAlign w:val="bottom"/>
          </w:tcPr>
          <w:p>
            <w:pPr>
              <w:jc w:val="right"/>
              <w:ind w:right="490"/>
              <w:spacing w:after="0"/>
              <w:rPr>
                <w:sz w:val="20"/>
                <w:szCs w:val="20"/>
                <w:color w:val="auto"/>
              </w:rPr>
            </w:pPr>
            <w:r>
              <w:rPr>
                <w:rFonts w:ascii="Arial" w:cs="Arial" w:eastAsia="Arial" w:hAnsi="Arial"/>
                <w:sz w:val="14"/>
                <w:szCs w:val="14"/>
                <w:color w:val="auto"/>
              </w:rPr>
              <w:t>2.5</w:t>
            </w:r>
          </w:p>
        </w:tc>
        <w:tc>
          <w:tcPr>
            <w:tcW w:w="0" w:type="dxa"/>
            <w:vAlign w:val="bottom"/>
          </w:tcPr>
          <w:p>
            <w:pPr>
              <w:spacing w:after="0"/>
              <w:rPr>
                <w:sz w:val="1"/>
                <w:szCs w:val="1"/>
                <w:color w:val="auto"/>
              </w:rPr>
            </w:pPr>
          </w:p>
        </w:tc>
      </w:tr>
      <w:tr>
        <w:trPr>
          <w:trHeight w:val="162"/>
        </w:trPr>
        <w:tc>
          <w:tcPr>
            <w:tcW w:w="5600" w:type="dxa"/>
            <w:vAlign w:val="bottom"/>
          </w:tcPr>
          <w:p>
            <w:pPr>
              <w:spacing w:after="0"/>
              <w:rPr>
                <w:sz w:val="20"/>
                <w:szCs w:val="20"/>
                <w:color w:val="auto"/>
              </w:rPr>
            </w:pPr>
            <w:r>
              <w:rPr>
                <w:rFonts w:ascii="Arial" w:cs="Arial" w:eastAsia="Arial" w:hAnsi="Arial"/>
                <w:sz w:val="14"/>
                <w:szCs w:val="14"/>
                <w:color w:val="auto"/>
              </w:rPr>
              <w:t>Nigeria</w:t>
            </w:r>
          </w:p>
        </w:tc>
        <w:tc>
          <w:tcPr>
            <w:tcW w:w="1360" w:type="dxa"/>
            <w:vAlign w:val="bottom"/>
          </w:tcPr>
          <w:p>
            <w:pPr>
              <w:spacing w:after="0"/>
              <w:rPr>
                <w:sz w:val="14"/>
                <w:szCs w:val="14"/>
                <w:color w:val="auto"/>
              </w:rPr>
            </w:pPr>
          </w:p>
        </w:tc>
        <w:tc>
          <w:tcPr>
            <w:tcW w:w="1460" w:type="dxa"/>
            <w:vAlign w:val="bottom"/>
            <w:shd w:val="clear" w:color="auto" w:fill="D8D8D8"/>
          </w:tcPr>
          <w:p>
            <w:pPr>
              <w:jc w:val="right"/>
              <w:ind w:right="489"/>
              <w:spacing w:after="0"/>
              <w:rPr>
                <w:sz w:val="20"/>
                <w:szCs w:val="20"/>
                <w:color w:val="auto"/>
              </w:rPr>
            </w:pPr>
            <w:r>
              <w:rPr>
                <w:rFonts w:ascii="Arial" w:cs="Arial" w:eastAsia="Arial" w:hAnsi="Arial"/>
                <w:sz w:val="14"/>
                <w:szCs w:val="14"/>
                <w:color w:val="auto"/>
              </w:rPr>
              <w:t>5.0</w:t>
            </w:r>
          </w:p>
        </w:tc>
        <w:tc>
          <w:tcPr>
            <w:tcW w:w="360" w:type="dxa"/>
            <w:vAlign w:val="bottom"/>
          </w:tcPr>
          <w:p>
            <w:pPr>
              <w:spacing w:after="0"/>
              <w:rPr>
                <w:sz w:val="14"/>
                <w:szCs w:val="14"/>
                <w:color w:val="auto"/>
              </w:rPr>
            </w:pPr>
          </w:p>
        </w:tc>
        <w:tc>
          <w:tcPr>
            <w:tcW w:w="1220" w:type="dxa"/>
            <w:vAlign w:val="bottom"/>
          </w:tcPr>
          <w:p>
            <w:pPr>
              <w:jc w:val="right"/>
              <w:ind w:right="50"/>
              <w:spacing w:after="0"/>
              <w:rPr>
                <w:sz w:val="20"/>
                <w:szCs w:val="20"/>
                <w:color w:val="auto"/>
              </w:rPr>
            </w:pPr>
            <w:r>
              <w:rPr>
                <w:rFonts w:ascii="Arial" w:cs="Arial" w:eastAsia="Arial" w:hAnsi="Arial"/>
                <w:sz w:val="14"/>
                <w:szCs w:val="14"/>
                <w:color w:val="auto"/>
              </w:rPr>
              <w:t>4.4</w:t>
            </w:r>
          </w:p>
        </w:tc>
        <w:tc>
          <w:tcPr>
            <w:tcW w:w="1420" w:type="dxa"/>
            <w:vAlign w:val="bottom"/>
          </w:tcPr>
          <w:p>
            <w:pPr>
              <w:jc w:val="right"/>
              <w:ind w:right="490"/>
              <w:spacing w:after="0"/>
              <w:rPr>
                <w:sz w:val="20"/>
                <w:szCs w:val="20"/>
                <w:color w:val="auto"/>
              </w:rPr>
            </w:pPr>
            <w:r>
              <w:rPr>
                <w:rFonts w:ascii="Arial" w:cs="Arial" w:eastAsia="Arial" w:hAnsi="Arial"/>
                <w:sz w:val="14"/>
                <w:szCs w:val="14"/>
                <w:color w:val="auto"/>
              </w:rPr>
              <w:t>5.1</w:t>
            </w:r>
          </w:p>
        </w:tc>
        <w:tc>
          <w:tcPr>
            <w:tcW w:w="0" w:type="dxa"/>
            <w:vAlign w:val="bottom"/>
          </w:tcPr>
          <w:p>
            <w:pPr>
              <w:spacing w:after="0"/>
              <w:rPr>
                <w:sz w:val="1"/>
                <w:szCs w:val="1"/>
                <w:color w:val="auto"/>
              </w:rPr>
            </w:pPr>
          </w:p>
        </w:tc>
      </w:tr>
      <w:tr>
        <w:trPr>
          <w:trHeight w:val="162"/>
        </w:trPr>
        <w:tc>
          <w:tcPr>
            <w:tcW w:w="5600" w:type="dxa"/>
            <w:vAlign w:val="bottom"/>
          </w:tcPr>
          <w:p>
            <w:pPr>
              <w:spacing w:after="0"/>
              <w:rPr>
                <w:sz w:val="20"/>
                <w:szCs w:val="20"/>
                <w:color w:val="auto"/>
              </w:rPr>
            </w:pPr>
            <w:r>
              <w:rPr>
                <w:rFonts w:ascii="Arial" w:cs="Arial" w:eastAsia="Arial" w:hAnsi="Arial"/>
                <w:sz w:val="14"/>
                <w:szCs w:val="14"/>
                <w:color w:val="auto"/>
              </w:rPr>
              <w:t>Oman</w:t>
            </w:r>
          </w:p>
        </w:tc>
        <w:tc>
          <w:tcPr>
            <w:tcW w:w="1360" w:type="dxa"/>
            <w:vAlign w:val="bottom"/>
          </w:tcPr>
          <w:p>
            <w:pPr>
              <w:spacing w:after="0"/>
              <w:rPr>
                <w:sz w:val="14"/>
                <w:szCs w:val="14"/>
                <w:color w:val="auto"/>
              </w:rPr>
            </w:pPr>
          </w:p>
        </w:tc>
        <w:tc>
          <w:tcPr>
            <w:tcW w:w="1460" w:type="dxa"/>
            <w:vAlign w:val="bottom"/>
            <w:shd w:val="clear" w:color="auto" w:fill="D8D8D8"/>
          </w:tcPr>
          <w:p>
            <w:pPr>
              <w:jc w:val="right"/>
              <w:ind w:right="489"/>
              <w:spacing w:after="0"/>
              <w:rPr>
                <w:sz w:val="20"/>
                <w:szCs w:val="20"/>
                <w:color w:val="auto"/>
              </w:rPr>
            </w:pPr>
            <w:r>
              <w:rPr>
                <w:rFonts w:ascii="Arial" w:cs="Arial" w:eastAsia="Arial" w:hAnsi="Arial"/>
                <w:sz w:val="14"/>
                <w:szCs w:val="14"/>
                <w:color w:val="auto"/>
              </w:rPr>
              <w:t>1.8</w:t>
            </w:r>
          </w:p>
        </w:tc>
        <w:tc>
          <w:tcPr>
            <w:tcW w:w="360" w:type="dxa"/>
            <w:vAlign w:val="bottom"/>
          </w:tcPr>
          <w:p>
            <w:pPr>
              <w:spacing w:after="0"/>
              <w:rPr>
                <w:sz w:val="14"/>
                <w:szCs w:val="14"/>
                <w:color w:val="auto"/>
              </w:rPr>
            </w:pPr>
          </w:p>
        </w:tc>
        <w:tc>
          <w:tcPr>
            <w:tcW w:w="1220" w:type="dxa"/>
            <w:vAlign w:val="bottom"/>
          </w:tcPr>
          <w:p>
            <w:pPr>
              <w:jc w:val="right"/>
              <w:ind w:right="50"/>
              <w:spacing w:after="0"/>
              <w:rPr>
                <w:sz w:val="20"/>
                <w:szCs w:val="20"/>
                <w:color w:val="auto"/>
              </w:rPr>
            </w:pPr>
            <w:r>
              <w:rPr>
                <w:rFonts w:ascii="Arial" w:cs="Arial" w:eastAsia="Arial" w:hAnsi="Arial"/>
                <w:sz w:val="14"/>
                <w:szCs w:val="14"/>
                <w:color w:val="auto"/>
              </w:rPr>
              <w:t>2.0</w:t>
            </w:r>
          </w:p>
        </w:tc>
        <w:tc>
          <w:tcPr>
            <w:tcW w:w="1420" w:type="dxa"/>
            <w:vAlign w:val="bottom"/>
          </w:tcPr>
          <w:p>
            <w:pPr>
              <w:jc w:val="right"/>
              <w:ind w:right="490"/>
              <w:spacing w:after="0"/>
              <w:rPr>
                <w:sz w:val="20"/>
                <w:szCs w:val="20"/>
                <w:color w:val="auto"/>
              </w:rPr>
            </w:pPr>
            <w:r>
              <w:rPr>
                <w:rFonts w:ascii="Arial" w:cs="Arial" w:eastAsia="Arial" w:hAnsi="Arial"/>
                <w:sz w:val="14"/>
                <w:szCs w:val="14"/>
                <w:color w:val="auto"/>
              </w:rPr>
              <w:t>1.9</w:t>
            </w:r>
          </w:p>
        </w:tc>
        <w:tc>
          <w:tcPr>
            <w:tcW w:w="0" w:type="dxa"/>
            <w:vAlign w:val="bottom"/>
          </w:tcPr>
          <w:p>
            <w:pPr>
              <w:spacing w:after="0"/>
              <w:rPr>
                <w:sz w:val="1"/>
                <w:szCs w:val="1"/>
                <w:color w:val="auto"/>
              </w:rPr>
            </w:pPr>
          </w:p>
        </w:tc>
      </w:tr>
      <w:tr>
        <w:trPr>
          <w:trHeight w:val="162"/>
        </w:trPr>
        <w:tc>
          <w:tcPr>
            <w:tcW w:w="5600" w:type="dxa"/>
            <w:vAlign w:val="bottom"/>
          </w:tcPr>
          <w:p>
            <w:pPr>
              <w:spacing w:after="0"/>
              <w:rPr>
                <w:sz w:val="20"/>
                <w:szCs w:val="20"/>
                <w:color w:val="auto"/>
              </w:rPr>
            </w:pPr>
            <w:r>
              <w:rPr>
                <w:rFonts w:ascii="Arial" w:cs="Arial" w:eastAsia="Arial" w:hAnsi="Arial"/>
                <w:sz w:val="14"/>
                <w:szCs w:val="14"/>
                <w:color w:val="auto"/>
              </w:rPr>
              <w:t>Peru</w:t>
            </w:r>
          </w:p>
        </w:tc>
        <w:tc>
          <w:tcPr>
            <w:tcW w:w="1360" w:type="dxa"/>
            <w:vAlign w:val="bottom"/>
          </w:tcPr>
          <w:p>
            <w:pPr>
              <w:spacing w:after="0"/>
              <w:rPr>
                <w:sz w:val="14"/>
                <w:szCs w:val="14"/>
                <w:color w:val="auto"/>
              </w:rPr>
            </w:pPr>
          </w:p>
        </w:tc>
        <w:tc>
          <w:tcPr>
            <w:tcW w:w="1460" w:type="dxa"/>
            <w:vAlign w:val="bottom"/>
            <w:shd w:val="clear" w:color="auto" w:fill="D8D8D8"/>
          </w:tcPr>
          <w:p>
            <w:pPr>
              <w:jc w:val="right"/>
              <w:ind w:right="489"/>
              <w:spacing w:after="0"/>
              <w:rPr>
                <w:sz w:val="20"/>
                <w:szCs w:val="20"/>
                <w:color w:val="auto"/>
              </w:rPr>
            </w:pPr>
            <w:r>
              <w:rPr>
                <w:rFonts w:ascii="Arial" w:cs="Arial" w:eastAsia="Arial" w:hAnsi="Arial"/>
                <w:sz w:val="14"/>
                <w:szCs w:val="14"/>
                <w:color w:val="auto"/>
              </w:rPr>
              <w:t>0.8</w:t>
            </w:r>
          </w:p>
        </w:tc>
        <w:tc>
          <w:tcPr>
            <w:tcW w:w="360" w:type="dxa"/>
            <w:vAlign w:val="bottom"/>
          </w:tcPr>
          <w:p>
            <w:pPr>
              <w:spacing w:after="0"/>
              <w:rPr>
                <w:sz w:val="14"/>
                <w:szCs w:val="14"/>
                <w:color w:val="auto"/>
              </w:rPr>
            </w:pPr>
          </w:p>
        </w:tc>
        <w:tc>
          <w:tcPr>
            <w:tcW w:w="1220" w:type="dxa"/>
            <w:vAlign w:val="bottom"/>
          </w:tcPr>
          <w:p>
            <w:pPr>
              <w:jc w:val="right"/>
              <w:ind w:right="50"/>
              <w:spacing w:after="0"/>
              <w:rPr>
                <w:sz w:val="20"/>
                <w:szCs w:val="20"/>
                <w:color w:val="auto"/>
              </w:rPr>
            </w:pPr>
            <w:r>
              <w:rPr>
                <w:rFonts w:ascii="Arial" w:cs="Arial" w:eastAsia="Arial" w:hAnsi="Arial"/>
                <w:sz w:val="14"/>
                <w:szCs w:val="14"/>
                <w:color w:val="auto"/>
              </w:rPr>
              <w:t>–</w:t>
            </w:r>
          </w:p>
        </w:tc>
        <w:tc>
          <w:tcPr>
            <w:tcW w:w="1420" w:type="dxa"/>
            <w:vAlign w:val="bottom"/>
          </w:tcPr>
          <w:p>
            <w:pPr>
              <w:jc w:val="right"/>
              <w:ind w:right="49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5600" w:type="dxa"/>
            <w:vAlign w:val="bottom"/>
          </w:tcPr>
          <w:p>
            <w:pPr>
              <w:spacing w:after="0"/>
              <w:rPr>
                <w:sz w:val="20"/>
                <w:szCs w:val="20"/>
                <w:color w:val="auto"/>
              </w:rPr>
            </w:pPr>
            <w:r>
              <w:rPr>
                <w:rFonts w:ascii="Arial" w:cs="Arial" w:eastAsia="Arial" w:hAnsi="Arial"/>
                <w:sz w:val="14"/>
                <w:szCs w:val="14"/>
                <w:color w:val="auto"/>
              </w:rPr>
              <w:t>Qatar</w:t>
            </w:r>
          </w:p>
        </w:tc>
        <w:tc>
          <w:tcPr>
            <w:tcW w:w="1360" w:type="dxa"/>
            <w:vAlign w:val="bottom"/>
          </w:tcPr>
          <w:p>
            <w:pPr>
              <w:spacing w:after="0"/>
              <w:rPr>
                <w:sz w:val="14"/>
                <w:szCs w:val="14"/>
                <w:color w:val="auto"/>
              </w:rPr>
            </w:pPr>
          </w:p>
        </w:tc>
        <w:tc>
          <w:tcPr>
            <w:tcW w:w="1460" w:type="dxa"/>
            <w:vAlign w:val="bottom"/>
            <w:shd w:val="clear" w:color="auto" w:fill="D8D8D8"/>
          </w:tcPr>
          <w:p>
            <w:pPr>
              <w:jc w:val="right"/>
              <w:ind w:right="489"/>
              <w:spacing w:after="0"/>
              <w:rPr>
                <w:sz w:val="20"/>
                <w:szCs w:val="20"/>
                <w:color w:val="auto"/>
              </w:rPr>
            </w:pPr>
            <w:r>
              <w:rPr>
                <w:rFonts w:ascii="Arial" w:cs="Arial" w:eastAsia="Arial" w:hAnsi="Arial"/>
                <w:sz w:val="14"/>
                <w:szCs w:val="14"/>
                <w:color w:val="auto"/>
              </w:rPr>
              <w:t>2.4</w:t>
            </w:r>
          </w:p>
        </w:tc>
        <w:tc>
          <w:tcPr>
            <w:tcW w:w="360" w:type="dxa"/>
            <w:vAlign w:val="bottom"/>
          </w:tcPr>
          <w:p>
            <w:pPr>
              <w:spacing w:after="0"/>
              <w:rPr>
                <w:sz w:val="14"/>
                <w:szCs w:val="14"/>
                <w:color w:val="auto"/>
              </w:rPr>
            </w:pPr>
          </w:p>
        </w:tc>
        <w:tc>
          <w:tcPr>
            <w:tcW w:w="1220" w:type="dxa"/>
            <w:vAlign w:val="bottom"/>
          </w:tcPr>
          <w:p>
            <w:pPr>
              <w:jc w:val="right"/>
              <w:ind w:right="50"/>
              <w:spacing w:after="0"/>
              <w:rPr>
                <w:sz w:val="20"/>
                <w:szCs w:val="20"/>
                <w:color w:val="auto"/>
              </w:rPr>
            </w:pPr>
            <w:r>
              <w:rPr>
                <w:rFonts w:ascii="Arial" w:cs="Arial" w:eastAsia="Arial" w:hAnsi="Arial"/>
                <w:sz w:val="14"/>
                <w:szCs w:val="14"/>
                <w:color w:val="auto"/>
              </w:rPr>
              <w:t>2.3</w:t>
            </w:r>
          </w:p>
        </w:tc>
        <w:tc>
          <w:tcPr>
            <w:tcW w:w="1420" w:type="dxa"/>
            <w:vAlign w:val="bottom"/>
          </w:tcPr>
          <w:p>
            <w:pPr>
              <w:jc w:val="right"/>
              <w:ind w:right="490"/>
              <w:spacing w:after="0"/>
              <w:rPr>
                <w:sz w:val="20"/>
                <w:szCs w:val="20"/>
                <w:color w:val="auto"/>
              </w:rPr>
            </w:pPr>
            <w:r>
              <w:rPr>
                <w:rFonts w:ascii="Arial" w:cs="Arial" w:eastAsia="Arial" w:hAnsi="Arial"/>
                <w:sz w:val="14"/>
                <w:szCs w:val="14"/>
                <w:color w:val="auto"/>
              </w:rPr>
              <w:t>2.4</w:t>
            </w:r>
          </w:p>
        </w:tc>
        <w:tc>
          <w:tcPr>
            <w:tcW w:w="0" w:type="dxa"/>
            <w:vAlign w:val="bottom"/>
          </w:tcPr>
          <w:p>
            <w:pPr>
              <w:spacing w:after="0"/>
              <w:rPr>
                <w:sz w:val="1"/>
                <w:szCs w:val="1"/>
                <w:color w:val="auto"/>
              </w:rPr>
            </w:pPr>
          </w:p>
        </w:tc>
      </w:tr>
      <w:tr>
        <w:trPr>
          <w:trHeight w:val="162"/>
        </w:trPr>
        <w:tc>
          <w:tcPr>
            <w:tcW w:w="5600" w:type="dxa"/>
            <w:vAlign w:val="bottom"/>
          </w:tcPr>
          <w:p>
            <w:pPr>
              <w:spacing w:after="0"/>
              <w:rPr>
                <w:sz w:val="20"/>
                <w:szCs w:val="20"/>
                <w:color w:val="auto"/>
              </w:rPr>
            </w:pPr>
            <w:r>
              <w:rPr>
                <w:rFonts w:ascii="Arial" w:cs="Arial" w:eastAsia="Arial" w:hAnsi="Arial"/>
                <w:sz w:val="14"/>
                <w:szCs w:val="14"/>
                <w:color w:val="auto"/>
              </w:rPr>
              <w:t>Sakhalin</w:t>
            </w:r>
          </w:p>
        </w:tc>
        <w:tc>
          <w:tcPr>
            <w:tcW w:w="1360" w:type="dxa"/>
            <w:vAlign w:val="bottom"/>
          </w:tcPr>
          <w:p>
            <w:pPr>
              <w:spacing w:after="0"/>
              <w:rPr>
                <w:sz w:val="14"/>
                <w:szCs w:val="14"/>
                <w:color w:val="auto"/>
              </w:rPr>
            </w:pPr>
          </w:p>
        </w:tc>
        <w:tc>
          <w:tcPr>
            <w:tcW w:w="1460" w:type="dxa"/>
            <w:vAlign w:val="bottom"/>
            <w:shd w:val="clear" w:color="auto" w:fill="D8D8D8"/>
          </w:tcPr>
          <w:p>
            <w:pPr>
              <w:jc w:val="right"/>
              <w:ind w:right="489"/>
              <w:spacing w:after="0"/>
              <w:rPr>
                <w:sz w:val="20"/>
                <w:szCs w:val="20"/>
                <w:color w:val="auto"/>
              </w:rPr>
            </w:pPr>
            <w:r>
              <w:rPr>
                <w:rFonts w:ascii="Arial" w:cs="Arial" w:eastAsia="Arial" w:hAnsi="Arial"/>
                <w:sz w:val="14"/>
                <w:szCs w:val="14"/>
                <w:color w:val="auto"/>
              </w:rPr>
              <w:t>2.9</w:t>
            </w:r>
          </w:p>
        </w:tc>
        <w:tc>
          <w:tcPr>
            <w:tcW w:w="360" w:type="dxa"/>
            <w:vAlign w:val="bottom"/>
          </w:tcPr>
          <w:p>
            <w:pPr>
              <w:spacing w:after="0"/>
              <w:rPr>
                <w:sz w:val="14"/>
                <w:szCs w:val="14"/>
                <w:color w:val="auto"/>
              </w:rPr>
            </w:pPr>
          </w:p>
        </w:tc>
        <w:tc>
          <w:tcPr>
            <w:tcW w:w="1220" w:type="dxa"/>
            <w:vAlign w:val="bottom"/>
          </w:tcPr>
          <w:p>
            <w:pPr>
              <w:jc w:val="right"/>
              <w:ind w:right="50"/>
              <w:spacing w:after="0"/>
              <w:rPr>
                <w:sz w:val="20"/>
                <w:szCs w:val="20"/>
                <w:color w:val="auto"/>
              </w:rPr>
            </w:pPr>
            <w:r>
              <w:rPr>
                <w:rFonts w:ascii="Arial" w:cs="Arial" w:eastAsia="Arial" w:hAnsi="Arial"/>
                <w:sz w:val="14"/>
                <w:szCs w:val="14"/>
                <w:color w:val="auto"/>
              </w:rPr>
              <w:t>2.9</w:t>
            </w:r>
          </w:p>
        </w:tc>
        <w:tc>
          <w:tcPr>
            <w:tcW w:w="1420" w:type="dxa"/>
            <w:vAlign w:val="bottom"/>
          </w:tcPr>
          <w:p>
            <w:pPr>
              <w:jc w:val="right"/>
              <w:ind w:right="490"/>
              <w:spacing w:after="0"/>
              <w:rPr>
                <w:sz w:val="20"/>
                <w:szCs w:val="20"/>
                <w:color w:val="auto"/>
              </w:rPr>
            </w:pPr>
            <w:r>
              <w:rPr>
                <w:rFonts w:ascii="Arial" w:cs="Arial" w:eastAsia="Arial" w:hAnsi="Arial"/>
                <w:sz w:val="14"/>
                <w:szCs w:val="14"/>
                <w:color w:val="auto"/>
              </w:rPr>
              <w:t>3.0</w:t>
            </w:r>
          </w:p>
        </w:tc>
        <w:tc>
          <w:tcPr>
            <w:tcW w:w="0" w:type="dxa"/>
            <w:vAlign w:val="bottom"/>
          </w:tcPr>
          <w:p>
            <w:pPr>
              <w:spacing w:after="0"/>
              <w:rPr>
                <w:sz w:val="1"/>
                <w:szCs w:val="1"/>
                <w:color w:val="auto"/>
              </w:rPr>
            </w:pPr>
          </w:p>
        </w:tc>
      </w:tr>
      <w:tr>
        <w:trPr>
          <w:trHeight w:val="157"/>
        </w:trPr>
        <w:tc>
          <w:tcPr>
            <w:tcW w:w="5600" w:type="dxa"/>
            <w:vAlign w:val="bottom"/>
            <w:tcBorders>
              <w:bottom w:val="single" w:sz="8" w:color="auto"/>
            </w:tcBorders>
          </w:tcPr>
          <w:p>
            <w:pPr>
              <w:spacing w:after="0" w:line="157" w:lineRule="exact"/>
              <w:rPr>
                <w:sz w:val="20"/>
                <w:szCs w:val="20"/>
                <w:color w:val="auto"/>
              </w:rPr>
            </w:pPr>
            <w:r>
              <w:rPr>
                <w:rFonts w:ascii="Arial" w:cs="Arial" w:eastAsia="Arial" w:hAnsi="Arial"/>
                <w:sz w:val="14"/>
                <w:szCs w:val="14"/>
                <w:color w:val="auto"/>
              </w:rPr>
              <w:t>Trinidad and Tobago</w:t>
            </w:r>
          </w:p>
        </w:tc>
        <w:tc>
          <w:tcPr>
            <w:tcW w:w="1360" w:type="dxa"/>
            <w:vAlign w:val="bottom"/>
            <w:tcBorders>
              <w:bottom w:val="single" w:sz="8" w:color="auto"/>
            </w:tcBorders>
          </w:tcPr>
          <w:p>
            <w:pPr>
              <w:spacing w:after="0"/>
              <w:rPr>
                <w:sz w:val="13"/>
                <w:szCs w:val="13"/>
                <w:color w:val="auto"/>
              </w:rPr>
            </w:pPr>
          </w:p>
        </w:tc>
        <w:tc>
          <w:tcPr>
            <w:tcW w:w="1460" w:type="dxa"/>
            <w:vAlign w:val="bottom"/>
            <w:tcBorders>
              <w:bottom w:val="single" w:sz="8" w:color="auto"/>
            </w:tcBorders>
            <w:shd w:val="clear" w:color="auto" w:fill="D8D8D8"/>
          </w:tcPr>
          <w:p>
            <w:pPr>
              <w:jc w:val="right"/>
              <w:ind w:right="489"/>
              <w:spacing w:after="0" w:line="157" w:lineRule="exact"/>
              <w:rPr>
                <w:sz w:val="20"/>
                <w:szCs w:val="20"/>
                <w:color w:val="auto"/>
              </w:rPr>
            </w:pPr>
            <w:r>
              <w:rPr>
                <w:rFonts w:ascii="Arial" w:cs="Arial" w:eastAsia="Arial" w:hAnsi="Arial"/>
                <w:sz w:val="14"/>
                <w:szCs w:val="14"/>
                <w:color w:val="auto"/>
              </w:rPr>
              <w:t>3.2</w:t>
            </w:r>
          </w:p>
        </w:tc>
        <w:tc>
          <w:tcPr>
            <w:tcW w:w="36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jc w:val="right"/>
              <w:ind w:right="50"/>
              <w:spacing w:after="0" w:line="157" w:lineRule="exact"/>
              <w:rPr>
                <w:sz w:val="20"/>
                <w:szCs w:val="20"/>
                <w:color w:val="auto"/>
              </w:rPr>
            </w:pPr>
            <w:r>
              <w:rPr>
                <w:rFonts w:ascii="Arial" w:cs="Arial" w:eastAsia="Arial" w:hAnsi="Arial"/>
                <w:sz w:val="14"/>
                <w:szCs w:val="14"/>
                <w:color w:val="auto"/>
              </w:rPr>
              <w:t>–</w:t>
            </w:r>
          </w:p>
        </w:tc>
        <w:tc>
          <w:tcPr>
            <w:tcW w:w="1420" w:type="dxa"/>
            <w:vAlign w:val="bottom"/>
            <w:tcBorders>
              <w:bottom w:val="single" w:sz="8" w:color="auto"/>
            </w:tcBorders>
          </w:tcPr>
          <w:p>
            <w:pPr>
              <w:jc w:val="right"/>
              <w:ind w:right="490"/>
              <w:spacing w:after="0" w:line="157"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6"/>
        </w:trPr>
        <w:tc>
          <w:tcPr>
            <w:tcW w:w="5600" w:type="dxa"/>
            <w:vAlign w:val="bottom"/>
            <w:tcBorders>
              <w:bottom w:val="single" w:sz="8" w:color="auto"/>
            </w:tcBorders>
          </w:tcPr>
          <w:p>
            <w:pPr>
              <w:spacing w:after="0" w:line="155" w:lineRule="exact"/>
              <w:rPr>
                <w:sz w:val="20"/>
                <w:szCs w:val="20"/>
                <w:color w:val="auto"/>
              </w:rPr>
            </w:pPr>
            <w:r>
              <w:rPr>
                <w:rFonts w:ascii="Arial" w:cs="Arial" w:eastAsia="Arial" w:hAnsi="Arial"/>
                <w:sz w:val="14"/>
                <w:szCs w:val="14"/>
                <w:color w:val="auto"/>
              </w:rPr>
              <w:t>Total</w:t>
            </w:r>
          </w:p>
        </w:tc>
        <w:tc>
          <w:tcPr>
            <w:tcW w:w="1360" w:type="dxa"/>
            <w:vAlign w:val="bottom"/>
            <w:tcBorders>
              <w:bottom w:val="single" w:sz="8" w:color="auto"/>
            </w:tcBorders>
          </w:tcPr>
          <w:p>
            <w:pPr>
              <w:spacing w:after="0"/>
              <w:rPr>
                <w:sz w:val="13"/>
                <w:szCs w:val="13"/>
                <w:color w:val="auto"/>
              </w:rPr>
            </w:pPr>
          </w:p>
        </w:tc>
        <w:tc>
          <w:tcPr>
            <w:tcW w:w="1460" w:type="dxa"/>
            <w:vAlign w:val="bottom"/>
            <w:tcBorders>
              <w:bottom w:val="single" w:sz="8" w:color="auto"/>
            </w:tcBorders>
            <w:shd w:val="clear" w:color="auto" w:fill="D8D8D8"/>
          </w:tcPr>
          <w:p>
            <w:pPr>
              <w:jc w:val="right"/>
              <w:ind w:right="489"/>
              <w:spacing w:after="0" w:line="155" w:lineRule="exact"/>
              <w:rPr>
                <w:sz w:val="20"/>
                <w:szCs w:val="20"/>
                <w:color w:val="auto"/>
              </w:rPr>
            </w:pPr>
            <w:r>
              <w:rPr>
                <w:rFonts w:ascii="Arial" w:cs="Arial" w:eastAsia="Arial" w:hAnsi="Arial"/>
                <w:sz w:val="14"/>
                <w:szCs w:val="14"/>
                <w:color w:val="auto"/>
              </w:rPr>
              <w:t>24.0</w:t>
            </w:r>
          </w:p>
        </w:tc>
        <w:tc>
          <w:tcPr>
            <w:tcW w:w="36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jc w:val="right"/>
              <w:ind w:right="50"/>
              <w:spacing w:after="0" w:line="155" w:lineRule="exact"/>
              <w:rPr>
                <w:sz w:val="20"/>
                <w:szCs w:val="20"/>
                <w:color w:val="auto"/>
              </w:rPr>
            </w:pPr>
            <w:r>
              <w:rPr>
                <w:rFonts w:ascii="Arial" w:cs="Arial" w:eastAsia="Arial" w:hAnsi="Arial"/>
                <w:sz w:val="14"/>
                <w:szCs w:val="14"/>
                <w:color w:val="auto"/>
              </w:rPr>
              <w:t>19.6</w:t>
            </w:r>
          </w:p>
        </w:tc>
        <w:tc>
          <w:tcPr>
            <w:tcW w:w="1420" w:type="dxa"/>
            <w:vAlign w:val="bottom"/>
            <w:tcBorders>
              <w:bottom w:val="single" w:sz="8" w:color="auto"/>
            </w:tcBorders>
          </w:tcPr>
          <w:p>
            <w:pPr>
              <w:jc w:val="right"/>
              <w:ind w:right="490"/>
              <w:spacing w:after="0" w:line="155" w:lineRule="exact"/>
              <w:rPr>
                <w:sz w:val="20"/>
                <w:szCs w:val="20"/>
                <w:color w:val="auto"/>
              </w:rPr>
            </w:pPr>
            <w:r>
              <w:rPr>
                <w:rFonts w:ascii="Arial" w:cs="Arial" w:eastAsia="Arial" w:hAnsi="Arial"/>
                <w:sz w:val="14"/>
                <w:szCs w:val="14"/>
                <w:color w:val="auto"/>
              </w:rPr>
              <w:t>20.2</w:t>
            </w: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399415</wp:posOffset>
            </wp:positionH>
            <wp:positionV relativeFrom="paragraph">
              <wp:posOffset>300355</wp:posOffset>
            </wp:positionV>
            <wp:extent cx="8890" cy="46291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8890" cy="462915"/>
                    </a:xfrm>
                    <a:prstGeom prst="rect">
                      <a:avLst/>
                    </a:prstGeom>
                    <a:noFill/>
                  </pic:spPr>
                </pic:pic>
              </a:graphicData>
            </a:graphic>
          </wp:anchor>
        </w:drawing>
      </w:r>
    </w:p>
    <w:p>
      <w:pPr>
        <w:spacing w:after="0" w:line="200" w:lineRule="exact"/>
        <w:rPr>
          <w:sz w:val="20"/>
          <w:szCs w:val="20"/>
          <w:color w:val="auto"/>
        </w:rPr>
      </w:pP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565"/>
        </w:trPr>
        <w:tc>
          <w:tcPr>
            <w:tcW w:w="20" w:type="dxa"/>
            <w:vAlign w:val="bottom"/>
          </w:tcPr>
          <w:p>
            <w:pPr>
              <w:spacing w:after="0"/>
              <w:rPr>
                <w:sz w:val="24"/>
                <w:szCs w:val="24"/>
                <w:color w:val="auto"/>
              </w:rPr>
            </w:pPr>
          </w:p>
        </w:tc>
        <w:tc>
          <w:tcPr>
            <w:tcW w:w="3240" w:type="dxa"/>
            <w:vAlign w:val="bottom"/>
            <w:shd w:val="clear" w:color="auto" w:fill="FF8B00"/>
          </w:tcPr>
          <w:p>
            <w:pPr>
              <w:jc w:val="right"/>
              <w:ind w:right="2811"/>
              <w:spacing w:after="0"/>
              <w:rPr>
                <w:sz w:val="20"/>
                <w:szCs w:val="20"/>
                <w:color w:val="auto"/>
              </w:rPr>
            </w:pPr>
            <w:r>
              <w:rPr>
                <w:rFonts w:ascii="Arial" w:cs="Arial" w:eastAsia="Arial" w:hAnsi="Arial"/>
                <w:sz w:val="11"/>
                <w:szCs w:val="11"/>
                <w:b w:val="1"/>
                <w:bCs w:val="1"/>
                <w:color w:val="333333"/>
              </w:rPr>
              <w:t>38</w:t>
            </w:r>
          </w:p>
        </w:tc>
        <w:tc>
          <w:tcPr>
            <w:tcW w:w="2240" w:type="dxa"/>
            <w:vAlign w:val="bottom"/>
            <w:gridSpan w:val="2"/>
            <w:shd w:val="clear" w:color="auto" w:fill="FF8B00"/>
          </w:tcPr>
          <w:p>
            <w:pPr>
              <w:jc w:val="right"/>
              <w:ind w:right="708"/>
              <w:spacing w:after="0"/>
              <w:rPr>
                <w:sz w:val="20"/>
                <w:szCs w:val="20"/>
                <w:color w:val="auto"/>
              </w:rPr>
            </w:pPr>
            <w:r>
              <w:rPr>
                <w:rFonts w:ascii="Arial" w:cs="Arial" w:eastAsia="Arial" w:hAnsi="Arial"/>
                <w:sz w:val="13"/>
                <w:szCs w:val="13"/>
                <w:color w:val="333333"/>
              </w:rPr>
              <w:t>STRATEGIC REPORT</w:t>
            </w: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3240" w:type="dxa"/>
            <w:vAlign w:val="bottom"/>
            <w:shd w:val="clear" w:color="auto" w:fill="FF8B00"/>
          </w:tcPr>
          <w:p>
            <w:pPr>
              <w:spacing w:after="0"/>
              <w:rPr>
                <w:sz w:val="14"/>
                <w:szCs w:val="14"/>
                <w:color w:val="auto"/>
              </w:rPr>
            </w:pPr>
          </w:p>
        </w:tc>
        <w:tc>
          <w:tcPr>
            <w:tcW w:w="2240" w:type="dxa"/>
            <w:vAlign w:val="bottom"/>
            <w:gridSpan w:val="2"/>
            <w:shd w:val="clear" w:color="auto" w:fill="FF8B00"/>
          </w:tcPr>
          <w:p>
            <w:pPr>
              <w:spacing w:after="0"/>
              <w:rPr>
                <w:sz w:val="14"/>
                <w:szCs w:val="14"/>
                <w:color w:val="auto"/>
              </w:rPr>
            </w:pPr>
          </w:p>
        </w:tc>
        <w:tc>
          <w:tcPr>
            <w:tcW w:w="140" w:type="dxa"/>
            <w:vAlign w:val="bottom"/>
            <w:vMerge w:val="restart"/>
          </w:tcPr>
          <w:p>
            <w:pPr>
              <w:spacing w:after="0"/>
              <w:rPr>
                <w:sz w:val="14"/>
                <w:szCs w:val="14"/>
                <w:color w:val="auto"/>
              </w:rPr>
            </w:pPr>
          </w:p>
        </w:tc>
        <w:tc>
          <w:tcPr>
            <w:tcW w:w="8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560" w:type="dxa"/>
            <w:vAlign w:val="bottom"/>
            <w:gridSpan w:val="8"/>
            <w:vMerge w:val="restart"/>
          </w:tcPr>
          <w:p>
            <w:pPr>
              <w:ind w:left="140"/>
              <w:spacing w:after="0"/>
              <w:rPr>
                <w:sz w:val="20"/>
                <w:szCs w:val="20"/>
                <w:color w:val="auto"/>
              </w:rPr>
            </w:pPr>
            <w:r>
              <w:rPr>
                <w:rFonts w:ascii="Arial" w:cs="Arial" w:eastAsia="Arial" w:hAnsi="Arial"/>
                <w:sz w:val="11"/>
                <w:szCs w:val="11"/>
                <w:color w:val="auto"/>
                <w:w w:val="97"/>
              </w:rPr>
              <w:t>SHELL ANNUAL REPORT AND FORM 20-F 2014</w:t>
            </w:r>
          </w:p>
        </w:tc>
        <w:tc>
          <w:tcPr>
            <w:tcW w:w="0" w:type="dxa"/>
            <w:vAlign w:val="bottom"/>
          </w:tcPr>
          <w:p>
            <w:pPr>
              <w:spacing w:after="0"/>
              <w:rPr>
                <w:sz w:val="1"/>
                <w:szCs w:val="1"/>
                <w:color w:val="auto"/>
              </w:rPr>
            </w:pPr>
          </w:p>
        </w:tc>
      </w:tr>
      <w:tr>
        <w:trPr>
          <w:trHeight w:val="130"/>
        </w:trPr>
        <w:tc>
          <w:tcPr>
            <w:tcW w:w="3260" w:type="dxa"/>
            <w:vAlign w:val="bottom"/>
            <w:gridSpan w:val="2"/>
            <w:vMerge w:val="restart"/>
          </w:tcPr>
          <w:p>
            <w:pPr>
              <w:spacing w:after="0"/>
              <w:rPr>
                <w:sz w:val="20"/>
                <w:szCs w:val="20"/>
                <w:color w:val="auto"/>
              </w:rPr>
            </w:pPr>
            <w:r>
              <w:rPr>
                <w:rFonts w:ascii="Arial" w:cs="Arial" w:eastAsia="Arial" w:hAnsi="Arial"/>
                <w:sz w:val="24"/>
                <w:szCs w:val="24"/>
                <w:color w:val="auto"/>
              </w:rPr>
              <w:t xml:space="preserve">UPSTREAM </w:t>
            </w:r>
            <w:r>
              <w:rPr>
                <w:rFonts w:ascii="Arial" w:cs="Arial" w:eastAsia="Arial" w:hAnsi="Arial"/>
                <w:sz w:val="24"/>
                <w:szCs w:val="24"/>
                <w:color w:val="666666"/>
              </w:rPr>
              <w:t>CONTINUED</w:t>
            </w:r>
          </w:p>
        </w:tc>
        <w:tc>
          <w:tcPr>
            <w:tcW w:w="2240" w:type="dxa"/>
            <w:vAlign w:val="bottom"/>
            <w:gridSpan w:val="2"/>
          </w:tcPr>
          <w:p>
            <w:pPr>
              <w:jc w:val="right"/>
              <w:ind w:right="708"/>
              <w:spacing w:after="0"/>
              <w:rPr>
                <w:sz w:val="20"/>
                <w:szCs w:val="20"/>
                <w:color w:val="auto"/>
              </w:rPr>
            </w:pPr>
            <w:r>
              <w:rPr>
                <w:rFonts w:ascii="Arial" w:cs="Arial" w:eastAsia="Arial" w:hAnsi="Arial"/>
                <w:sz w:val="11"/>
                <w:szCs w:val="11"/>
                <w:color w:val="auto"/>
              </w:rPr>
              <w:t>UPSTREAM</w:t>
            </w:r>
          </w:p>
        </w:tc>
        <w:tc>
          <w:tcPr>
            <w:tcW w:w="140" w:type="dxa"/>
            <w:vAlign w:val="bottom"/>
            <w:vMerge w:val="continue"/>
          </w:tcPr>
          <w:p>
            <w:pPr>
              <w:spacing w:after="0"/>
              <w:rPr>
                <w:sz w:val="11"/>
                <w:szCs w:val="11"/>
                <w:color w:val="auto"/>
              </w:rPr>
            </w:pPr>
          </w:p>
        </w:tc>
        <w:tc>
          <w:tcPr>
            <w:tcW w:w="8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560" w:type="dxa"/>
            <w:vAlign w:val="bottom"/>
            <w:gridSpan w:val="8"/>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75"/>
        </w:trPr>
        <w:tc>
          <w:tcPr>
            <w:tcW w:w="3260" w:type="dxa"/>
            <w:vAlign w:val="bottom"/>
            <w:tcBorders>
              <w:bottom w:val="single" w:sz="8" w:color="auto"/>
            </w:tcBorders>
            <w:gridSpan w:val="2"/>
            <w:vMerge w:val="continue"/>
          </w:tcPr>
          <w:p>
            <w:pPr>
              <w:spacing w:after="0"/>
              <w:rPr>
                <w:sz w:val="23"/>
                <w:szCs w:val="23"/>
                <w:color w:val="auto"/>
              </w:rPr>
            </w:pPr>
          </w:p>
        </w:tc>
        <w:tc>
          <w:tcPr>
            <w:tcW w:w="138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spacing w:after="0"/>
              <w:rPr>
                <w:sz w:val="23"/>
                <w:szCs w:val="23"/>
                <w:color w:val="auto"/>
              </w:rPr>
            </w:pPr>
          </w:p>
        </w:tc>
        <w:tc>
          <w:tcPr>
            <w:tcW w:w="760" w:type="dxa"/>
            <w:vAlign w:val="bottom"/>
            <w:tcBorders>
              <w:bottom w:val="single" w:sz="8" w:color="auto"/>
            </w:tcBorders>
          </w:tcPr>
          <w:p>
            <w:pPr>
              <w:spacing w:after="0"/>
              <w:rPr>
                <w:sz w:val="23"/>
                <w:szCs w:val="23"/>
                <w:color w:val="auto"/>
              </w:rPr>
            </w:pPr>
          </w:p>
        </w:tc>
        <w:tc>
          <w:tcPr>
            <w:tcW w:w="80" w:type="dxa"/>
            <w:vAlign w:val="bottom"/>
            <w:tcBorders>
              <w:bottom w:val="single" w:sz="8" w:color="auto"/>
            </w:tcBorders>
          </w:tcPr>
          <w:p>
            <w:pPr>
              <w:spacing w:after="0"/>
              <w:rPr>
                <w:sz w:val="23"/>
                <w:szCs w:val="23"/>
                <w:color w:val="auto"/>
              </w:rPr>
            </w:pPr>
          </w:p>
        </w:tc>
        <w:tc>
          <w:tcPr>
            <w:tcW w:w="500" w:type="dxa"/>
            <w:vAlign w:val="bottom"/>
            <w:tcBorders>
              <w:bottom w:val="single" w:sz="8" w:color="auto"/>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spacing w:after="0"/>
              <w:rPr>
                <w:sz w:val="23"/>
                <w:szCs w:val="23"/>
                <w:color w:val="auto"/>
              </w:rPr>
            </w:pPr>
          </w:p>
        </w:tc>
        <w:tc>
          <w:tcPr>
            <w:tcW w:w="540" w:type="dxa"/>
            <w:vAlign w:val="bottom"/>
            <w:tcBorders>
              <w:bottom w:val="single" w:sz="8" w:color="auto"/>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600" w:type="dxa"/>
            <w:vAlign w:val="bottom"/>
            <w:tcBorders>
              <w:bottom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8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99"/>
        </w:trPr>
        <w:tc>
          <w:tcPr>
            <w:tcW w:w="4640" w:type="dxa"/>
            <w:vAlign w:val="bottom"/>
            <w:gridSpan w:val="3"/>
          </w:tcPr>
          <w:p>
            <w:pPr>
              <w:spacing w:after="0"/>
              <w:rPr>
                <w:sz w:val="20"/>
                <w:szCs w:val="20"/>
                <w:color w:val="auto"/>
              </w:rPr>
            </w:pPr>
            <w:r>
              <w:rPr>
                <w:rFonts w:ascii="Arial" w:cs="Arial" w:eastAsia="Arial" w:hAnsi="Arial"/>
                <w:sz w:val="18"/>
                <w:szCs w:val="18"/>
                <w:color w:val="auto"/>
              </w:rPr>
              <w:t>EARNINGS AND CASH FLOW INFORMATION</w:t>
            </w: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32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3240" w:type="dxa"/>
            <w:vAlign w:val="bottom"/>
            <w:shd w:val="clear" w:color="auto" w:fill="333333"/>
          </w:tcPr>
          <w:p>
            <w:pPr>
              <w:jc w:val="right"/>
              <w:ind w:right="2771"/>
              <w:spacing w:after="0" w:line="162" w:lineRule="exact"/>
              <w:rPr>
                <w:sz w:val="20"/>
                <w:szCs w:val="20"/>
                <w:color w:val="auto"/>
              </w:rPr>
            </w:pPr>
            <w:r>
              <w:rPr>
                <w:rFonts w:ascii="Arial" w:cs="Arial" w:eastAsia="Arial" w:hAnsi="Arial"/>
                <w:sz w:val="15"/>
                <w:szCs w:val="15"/>
                <w:b w:val="1"/>
                <w:bCs w:val="1"/>
                <w:color w:val="FFFFFF"/>
              </w:rPr>
              <w:t>2014</w:t>
            </w:r>
          </w:p>
        </w:tc>
        <w:tc>
          <w:tcPr>
            <w:tcW w:w="1380" w:type="dxa"/>
            <w:vAlign w:val="bottom"/>
            <w:shd w:val="clear" w:color="auto" w:fill="333333"/>
          </w:tcPr>
          <w:p>
            <w:pPr>
              <w:spacing w:after="0"/>
              <w:rPr>
                <w:sz w:val="14"/>
                <w:szCs w:val="14"/>
                <w:color w:val="auto"/>
              </w:rPr>
            </w:pPr>
          </w:p>
        </w:tc>
        <w:tc>
          <w:tcPr>
            <w:tcW w:w="860" w:type="dxa"/>
            <w:vAlign w:val="bottom"/>
            <w:shd w:val="clear" w:color="auto" w:fill="333333"/>
          </w:tcPr>
          <w:p>
            <w:pPr>
              <w:spacing w:after="0"/>
              <w:rPr>
                <w:sz w:val="14"/>
                <w:szCs w:val="14"/>
                <w:color w:val="auto"/>
              </w:rPr>
            </w:pPr>
          </w:p>
        </w:tc>
        <w:tc>
          <w:tcPr>
            <w:tcW w:w="140" w:type="dxa"/>
            <w:vAlign w:val="bottom"/>
            <w:shd w:val="clear" w:color="auto" w:fill="333333"/>
          </w:tcPr>
          <w:p>
            <w:pPr>
              <w:spacing w:after="0"/>
              <w:rPr>
                <w:sz w:val="14"/>
                <w:szCs w:val="14"/>
                <w:color w:val="auto"/>
              </w:rPr>
            </w:pPr>
          </w:p>
        </w:tc>
        <w:tc>
          <w:tcPr>
            <w:tcW w:w="840" w:type="dxa"/>
            <w:vAlign w:val="bottom"/>
            <w:shd w:val="clear" w:color="auto" w:fill="333333"/>
          </w:tcPr>
          <w:p>
            <w:pPr>
              <w:spacing w:after="0"/>
              <w:rPr>
                <w:sz w:val="14"/>
                <w:szCs w:val="14"/>
                <w:color w:val="auto"/>
              </w:rPr>
            </w:pPr>
          </w:p>
        </w:tc>
        <w:tc>
          <w:tcPr>
            <w:tcW w:w="760" w:type="dxa"/>
            <w:vAlign w:val="bottom"/>
            <w:shd w:val="clear" w:color="auto" w:fill="333333"/>
          </w:tcPr>
          <w:p>
            <w:pPr>
              <w:spacing w:after="0"/>
              <w:rPr>
                <w:sz w:val="14"/>
                <w:szCs w:val="14"/>
                <w:color w:val="auto"/>
              </w:rPr>
            </w:pPr>
          </w:p>
        </w:tc>
        <w:tc>
          <w:tcPr>
            <w:tcW w:w="80" w:type="dxa"/>
            <w:vAlign w:val="bottom"/>
            <w:shd w:val="clear" w:color="auto" w:fill="333333"/>
          </w:tcPr>
          <w:p>
            <w:pPr>
              <w:spacing w:after="0"/>
              <w:rPr>
                <w:sz w:val="14"/>
                <w:szCs w:val="14"/>
                <w:color w:val="auto"/>
              </w:rPr>
            </w:pPr>
          </w:p>
        </w:tc>
        <w:tc>
          <w:tcPr>
            <w:tcW w:w="500" w:type="dxa"/>
            <w:vAlign w:val="bottom"/>
            <w:shd w:val="clear" w:color="auto" w:fill="333333"/>
          </w:tcPr>
          <w:p>
            <w:pPr>
              <w:spacing w:after="0"/>
              <w:rPr>
                <w:sz w:val="14"/>
                <w:szCs w:val="14"/>
                <w:color w:val="auto"/>
              </w:rPr>
            </w:pPr>
          </w:p>
        </w:tc>
        <w:tc>
          <w:tcPr>
            <w:tcW w:w="220" w:type="dxa"/>
            <w:vAlign w:val="bottom"/>
            <w:shd w:val="clear" w:color="auto" w:fill="333333"/>
          </w:tcPr>
          <w:p>
            <w:pPr>
              <w:spacing w:after="0"/>
              <w:rPr>
                <w:sz w:val="14"/>
                <w:szCs w:val="14"/>
                <w:color w:val="auto"/>
              </w:rPr>
            </w:pPr>
          </w:p>
        </w:tc>
        <w:tc>
          <w:tcPr>
            <w:tcW w:w="840" w:type="dxa"/>
            <w:vAlign w:val="bottom"/>
            <w:shd w:val="clear" w:color="auto" w:fill="333333"/>
          </w:tcPr>
          <w:p>
            <w:pPr>
              <w:spacing w:after="0"/>
              <w:rPr>
                <w:sz w:val="14"/>
                <w:szCs w:val="14"/>
                <w:color w:val="auto"/>
              </w:rPr>
            </w:pPr>
          </w:p>
        </w:tc>
        <w:tc>
          <w:tcPr>
            <w:tcW w:w="540" w:type="dxa"/>
            <w:vAlign w:val="bottom"/>
            <w:shd w:val="clear" w:color="auto" w:fill="333333"/>
          </w:tcPr>
          <w:p>
            <w:pPr>
              <w:spacing w:after="0"/>
              <w:rPr>
                <w:sz w:val="14"/>
                <w:szCs w:val="14"/>
                <w:color w:val="auto"/>
              </w:rPr>
            </w:pPr>
          </w:p>
        </w:tc>
        <w:tc>
          <w:tcPr>
            <w:tcW w:w="140" w:type="dxa"/>
            <w:vAlign w:val="bottom"/>
            <w:shd w:val="clear" w:color="auto" w:fill="333333"/>
          </w:tcPr>
          <w:p>
            <w:pPr>
              <w:spacing w:after="0"/>
              <w:rPr>
                <w:sz w:val="14"/>
                <w:szCs w:val="14"/>
                <w:color w:val="auto"/>
              </w:rPr>
            </w:pPr>
          </w:p>
        </w:tc>
        <w:tc>
          <w:tcPr>
            <w:tcW w:w="600" w:type="dxa"/>
            <w:vAlign w:val="bottom"/>
            <w:shd w:val="clear" w:color="auto" w:fill="333333"/>
          </w:tcPr>
          <w:p>
            <w:pPr>
              <w:spacing w:after="0"/>
              <w:rPr>
                <w:sz w:val="14"/>
                <w:szCs w:val="14"/>
                <w:color w:val="auto"/>
              </w:rPr>
            </w:pPr>
          </w:p>
        </w:tc>
        <w:tc>
          <w:tcPr>
            <w:tcW w:w="100" w:type="dxa"/>
            <w:vAlign w:val="bottom"/>
            <w:shd w:val="clear" w:color="auto" w:fill="333333"/>
          </w:tcPr>
          <w:p>
            <w:pPr>
              <w:spacing w:after="0"/>
              <w:rPr>
                <w:sz w:val="14"/>
                <w:szCs w:val="14"/>
                <w:color w:val="auto"/>
              </w:rPr>
            </w:pPr>
          </w:p>
        </w:tc>
        <w:tc>
          <w:tcPr>
            <w:tcW w:w="20" w:type="dxa"/>
            <w:vAlign w:val="bottom"/>
            <w:shd w:val="clear" w:color="auto" w:fill="333333"/>
          </w:tcPr>
          <w:p>
            <w:pPr>
              <w:spacing w:after="0"/>
              <w:rPr>
                <w:sz w:val="14"/>
                <w:szCs w:val="14"/>
                <w:color w:val="auto"/>
              </w:rPr>
            </w:pPr>
          </w:p>
        </w:tc>
        <w:tc>
          <w:tcPr>
            <w:tcW w:w="80" w:type="dxa"/>
            <w:vAlign w:val="bottom"/>
            <w:shd w:val="clear" w:color="auto" w:fill="333333"/>
          </w:tcPr>
          <w:p>
            <w:pPr>
              <w:spacing w:after="0"/>
              <w:rPr>
                <w:sz w:val="14"/>
                <w:szCs w:val="14"/>
                <w:color w:val="auto"/>
              </w:rPr>
            </w:pPr>
          </w:p>
        </w:tc>
        <w:tc>
          <w:tcPr>
            <w:tcW w:w="1060" w:type="dxa"/>
            <w:vAlign w:val="bottom"/>
            <w:shd w:val="clear" w:color="auto" w:fill="333333"/>
          </w:tcPr>
          <w:p>
            <w:pPr>
              <w:jc w:val="right"/>
              <w:ind w:right="28"/>
              <w:spacing w:after="0" w:line="162" w:lineRule="exact"/>
              <w:rPr>
                <w:sz w:val="20"/>
                <w:szCs w:val="20"/>
                <w:color w:val="auto"/>
              </w:rPr>
            </w:pPr>
            <w:r>
              <w:rPr>
                <w:rFonts w:ascii="Arial" w:cs="Arial" w:eastAsia="Arial" w:hAnsi="Arial"/>
                <w:sz w:val="15"/>
                <w:szCs w:val="15"/>
                <w:color w:val="FFFFFF"/>
              </w:rPr>
              <w:t>$ MILLION</w:t>
            </w: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24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520" w:type="dxa"/>
            <w:vAlign w:val="bottom"/>
            <w:gridSpan w:val="3"/>
          </w:tcPr>
          <w:p>
            <w:pPr>
              <w:jc w:val="right"/>
              <w:ind w:right="240"/>
              <w:spacing w:after="0" w:line="129" w:lineRule="exact"/>
              <w:rPr>
                <w:sz w:val="20"/>
                <w:szCs w:val="20"/>
                <w:color w:val="auto"/>
              </w:rPr>
            </w:pPr>
            <w:r>
              <w:rPr>
                <w:rFonts w:ascii="Arial" w:cs="Arial" w:eastAsia="Arial" w:hAnsi="Arial"/>
                <w:sz w:val="13"/>
                <w:szCs w:val="13"/>
                <w:color w:val="auto"/>
              </w:rPr>
              <w:t>North America</w:t>
            </w:r>
          </w:p>
        </w:tc>
        <w:tc>
          <w:tcPr>
            <w:tcW w:w="800" w:type="dxa"/>
            <w:vAlign w:val="bottom"/>
            <w:gridSpan w:val="4"/>
          </w:tcPr>
          <w:p>
            <w:pPr>
              <w:jc w:val="right"/>
              <w:ind w:right="200"/>
              <w:spacing w:after="0" w:line="129" w:lineRule="exact"/>
              <w:rPr>
                <w:sz w:val="20"/>
                <w:szCs w:val="20"/>
                <w:color w:val="auto"/>
              </w:rPr>
            </w:pPr>
            <w:r>
              <w:rPr>
                <w:rFonts w:ascii="Arial" w:cs="Arial" w:eastAsia="Arial" w:hAnsi="Arial"/>
                <w:sz w:val="13"/>
                <w:szCs w:val="13"/>
                <w:color w:val="auto"/>
              </w:rPr>
              <w:t>South</w:t>
            </w:r>
          </w:p>
        </w:tc>
        <w:tc>
          <w:tcPr>
            <w:tcW w:w="10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24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1000" w:type="dxa"/>
            <w:vAlign w:val="bottom"/>
            <w:gridSpan w:val="2"/>
          </w:tcPr>
          <w:p>
            <w:pPr>
              <w:jc w:val="right"/>
              <w:ind w:right="340"/>
              <w:spacing w:after="0" w:line="135" w:lineRule="exact"/>
              <w:rPr>
                <w:sz w:val="20"/>
                <w:szCs w:val="20"/>
                <w:color w:val="auto"/>
              </w:rPr>
            </w:pPr>
            <w:r>
              <w:rPr>
                <w:rFonts w:ascii="Arial" w:cs="Arial" w:eastAsia="Arial" w:hAnsi="Arial"/>
                <w:sz w:val="13"/>
                <w:szCs w:val="13"/>
                <w:color w:val="auto"/>
              </w:rPr>
              <w:t>Europe[A]</w:t>
            </w:r>
          </w:p>
        </w:tc>
        <w:tc>
          <w:tcPr>
            <w:tcW w:w="840" w:type="dxa"/>
            <w:vAlign w:val="bottom"/>
          </w:tcPr>
          <w:p>
            <w:pPr>
              <w:jc w:val="right"/>
              <w:ind w:right="288"/>
              <w:spacing w:after="0" w:line="135" w:lineRule="exact"/>
              <w:rPr>
                <w:sz w:val="20"/>
                <w:szCs w:val="20"/>
                <w:color w:val="auto"/>
              </w:rPr>
            </w:pPr>
            <w:r>
              <w:rPr>
                <w:rFonts w:ascii="Arial" w:cs="Arial" w:eastAsia="Arial" w:hAnsi="Arial"/>
                <w:sz w:val="13"/>
                <w:szCs w:val="13"/>
                <w:color w:val="auto"/>
              </w:rPr>
              <w:t>Asia</w:t>
            </w:r>
          </w:p>
        </w:tc>
        <w:tc>
          <w:tcPr>
            <w:tcW w:w="760" w:type="dxa"/>
            <w:vAlign w:val="bottom"/>
          </w:tcPr>
          <w:p>
            <w:pPr>
              <w:jc w:val="right"/>
              <w:ind w:right="188"/>
              <w:spacing w:after="0" w:line="135" w:lineRule="exact"/>
              <w:rPr>
                <w:sz w:val="20"/>
                <w:szCs w:val="20"/>
                <w:color w:val="auto"/>
              </w:rPr>
            </w:pPr>
            <w:r>
              <w:rPr>
                <w:rFonts w:ascii="Arial" w:cs="Arial" w:eastAsia="Arial" w:hAnsi="Arial"/>
                <w:sz w:val="13"/>
                <w:szCs w:val="13"/>
                <w:color w:val="auto"/>
                <w:w w:val="99"/>
              </w:rPr>
              <w:t>Oceania</w:t>
            </w:r>
          </w:p>
        </w:tc>
        <w:tc>
          <w:tcPr>
            <w:tcW w:w="80" w:type="dxa"/>
            <w:vAlign w:val="bottom"/>
          </w:tcPr>
          <w:p>
            <w:pPr>
              <w:spacing w:after="0"/>
              <w:rPr>
                <w:sz w:val="11"/>
                <w:szCs w:val="11"/>
                <w:color w:val="auto"/>
              </w:rPr>
            </w:pPr>
          </w:p>
        </w:tc>
        <w:tc>
          <w:tcPr>
            <w:tcW w:w="500" w:type="dxa"/>
            <w:vAlign w:val="bottom"/>
          </w:tcPr>
          <w:p>
            <w:pPr>
              <w:jc w:val="right"/>
              <w:ind w:right="49"/>
              <w:spacing w:after="0" w:line="135" w:lineRule="exact"/>
              <w:rPr>
                <w:sz w:val="20"/>
                <w:szCs w:val="20"/>
                <w:color w:val="auto"/>
              </w:rPr>
            </w:pPr>
            <w:r>
              <w:rPr>
                <w:rFonts w:ascii="Arial" w:cs="Arial" w:eastAsia="Arial" w:hAnsi="Arial"/>
                <w:sz w:val="13"/>
                <w:szCs w:val="13"/>
                <w:color w:val="auto"/>
              </w:rPr>
              <w:t>Africa</w:t>
            </w:r>
          </w:p>
        </w:tc>
        <w:tc>
          <w:tcPr>
            <w:tcW w:w="22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tcPr>
          <w:p>
            <w:pPr>
              <w:jc w:val="right"/>
              <w:ind w:right="229"/>
              <w:spacing w:after="0" w:line="135" w:lineRule="exact"/>
              <w:rPr>
                <w:sz w:val="20"/>
                <w:szCs w:val="20"/>
                <w:color w:val="auto"/>
              </w:rPr>
            </w:pPr>
            <w:r>
              <w:rPr>
                <w:rFonts w:ascii="Arial" w:cs="Arial" w:eastAsia="Arial" w:hAnsi="Arial"/>
                <w:sz w:val="13"/>
                <w:szCs w:val="13"/>
                <w:color w:val="auto"/>
              </w:rPr>
              <w:t>USA</w:t>
            </w:r>
          </w:p>
        </w:tc>
        <w:tc>
          <w:tcPr>
            <w:tcW w:w="540" w:type="dxa"/>
            <w:vAlign w:val="bottom"/>
            <w:tcBorders>
              <w:top w:val="single" w:sz="8" w:color="auto"/>
            </w:tcBorders>
          </w:tcPr>
          <w:p>
            <w:pPr>
              <w:jc w:val="right"/>
              <w:ind w:right="29"/>
              <w:spacing w:after="0" w:line="135" w:lineRule="exact"/>
              <w:rPr>
                <w:sz w:val="20"/>
                <w:szCs w:val="20"/>
                <w:color w:val="auto"/>
              </w:rPr>
            </w:pPr>
            <w:r>
              <w:rPr>
                <w:rFonts w:ascii="Arial" w:cs="Arial" w:eastAsia="Arial" w:hAnsi="Arial"/>
                <w:sz w:val="13"/>
                <w:szCs w:val="13"/>
                <w:color w:val="auto"/>
              </w:rPr>
              <w:t>Other</w:t>
            </w:r>
          </w:p>
        </w:tc>
        <w:tc>
          <w:tcPr>
            <w:tcW w:w="140" w:type="dxa"/>
            <w:vAlign w:val="bottom"/>
          </w:tcPr>
          <w:p>
            <w:pPr>
              <w:spacing w:after="0"/>
              <w:rPr>
                <w:sz w:val="11"/>
                <w:szCs w:val="11"/>
                <w:color w:val="auto"/>
              </w:rPr>
            </w:pPr>
          </w:p>
        </w:tc>
        <w:tc>
          <w:tcPr>
            <w:tcW w:w="800" w:type="dxa"/>
            <w:vAlign w:val="bottom"/>
            <w:gridSpan w:val="4"/>
          </w:tcPr>
          <w:p>
            <w:pPr>
              <w:jc w:val="right"/>
              <w:ind w:right="200"/>
              <w:spacing w:after="0" w:line="132" w:lineRule="exact"/>
              <w:rPr>
                <w:sz w:val="20"/>
                <w:szCs w:val="20"/>
                <w:color w:val="auto"/>
              </w:rPr>
            </w:pPr>
            <w:r>
              <w:rPr>
                <w:rFonts w:ascii="Arial" w:cs="Arial" w:eastAsia="Arial" w:hAnsi="Arial"/>
                <w:sz w:val="13"/>
                <w:szCs w:val="13"/>
                <w:color w:val="auto"/>
              </w:rPr>
              <w:t>America</w:t>
            </w:r>
          </w:p>
        </w:tc>
        <w:tc>
          <w:tcPr>
            <w:tcW w:w="108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Total</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4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580" w:type="dxa"/>
            <w:vAlign w:val="bottom"/>
            <w:gridSpan w:val="2"/>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3260" w:type="dxa"/>
            <w:vAlign w:val="bottom"/>
            <w:gridSpan w:val="2"/>
          </w:tcPr>
          <w:p>
            <w:pPr>
              <w:spacing w:after="0"/>
              <w:rPr>
                <w:sz w:val="20"/>
                <w:szCs w:val="20"/>
                <w:color w:val="auto"/>
              </w:rPr>
            </w:pPr>
            <w:r>
              <w:rPr>
                <w:rFonts w:ascii="Arial" w:cs="Arial" w:eastAsia="Arial" w:hAnsi="Arial"/>
                <w:sz w:val="14"/>
                <w:szCs w:val="14"/>
                <w:color w:val="auto"/>
              </w:rPr>
              <w:t>Revenue</w:t>
            </w:r>
          </w:p>
        </w:tc>
        <w:tc>
          <w:tcPr>
            <w:tcW w:w="1380" w:type="dxa"/>
            <w:vAlign w:val="bottom"/>
          </w:tcPr>
          <w:p>
            <w:pPr>
              <w:spacing w:after="0"/>
              <w:rPr>
                <w:sz w:val="13"/>
                <w:szCs w:val="13"/>
                <w:color w:val="auto"/>
              </w:rPr>
            </w:pPr>
          </w:p>
        </w:tc>
        <w:tc>
          <w:tcPr>
            <w:tcW w:w="860" w:type="dxa"/>
            <w:vAlign w:val="bottom"/>
          </w:tcPr>
          <w:p>
            <w:pPr>
              <w:jc w:val="right"/>
              <w:ind w:right="268"/>
              <w:spacing w:after="0"/>
              <w:rPr>
                <w:sz w:val="20"/>
                <w:szCs w:val="20"/>
                <w:color w:val="auto"/>
              </w:rPr>
            </w:pPr>
            <w:r>
              <w:rPr>
                <w:rFonts w:ascii="Arial" w:cs="Arial" w:eastAsia="Arial" w:hAnsi="Arial"/>
                <w:sz w:val="14"/>
                <w:szCs w:val="14"/>
                <w:color w:val="auto"/>
              </w:rPr>
              <w:t>17,891</w:t>
            </w:r>
          </w:p>
        </w:tc>
        <w:tc>
          <w:tcPr>
            <w:tcW w:w="140" w:type="dxa"/>
            <w:vAlign w:val="bottom"/>
          </w:tcPr>
          <w:p>
            <w:pPr>
              <w:spacing w:after="0"/>
              <w:rPr>
                <w:sz w:val="13"/>
                <w:szCs w:val="13"/>
                <w:color w:val="auto"/>
              </w:rPr>
            </w:pPr>
          </w:p>
        </w:tc>
        <w:tc>
          <w:tcPr>
            <w:tcW w:w="840" w:type="dxa"/>
            <w:vAlign w:val="bottom"/>
          </w:tcPr>
          <w:p>
            <w:pPr>
              <w:jc w:val="right"/>
              <w:ind w:right="288"/>
              <w:spacing w:after="0"/>
              <w:rPr>
                <w:sz w:val="20"/>
                <w:szCs w:val="20"/>
                <w:color w:val="auto"/>
              </w:rPr>
            </w:pPr>
            <w:r>
              <w:rPr>
                <w:rFonts w:ascii="Arial" w:cs="Arial" w:eastAsia="Arial" w:hAnsi="Arial"/>
                <w:sz w:val="14"/>
                <w:szCs w:val="14"/>
                <w:color w:val="auto"/>
              </w:rPr>
              <w:t>35,629</w:t>
            </w:r>
          </w:p>
        </w:tc>
        <w:tc>
          <w:tcPr>
            <w:tcW w:w="760" w:type="dxa"/>
            <w:vAlign w:val="bottom"/>
          </w:tcPr>
          <w:p>
            <w:pPr>
              <w:jc w:val="right"/>
              <w:ind w:right="188"/>
              <w:spacing w:after="0"/>
              <w:rPr>
                <w:sz w:val="20"/>
                <w:szCs w:val="20"/>
                <w:color w:val="auto"/>
              </w:rPr>
            </w:pPr>
            <w:r>
              <w:rPr>
                <w:rFonts w:ascii="Arial" w:cs="Arial" w:eastAsia="Arial" w:hAnsi="Arial"/>
                <w:sz w:val="14"/>
                <w:szCs w:val="14"/>
                <w:color w:val="auto"/>
              </w:rPr>
              <w:t>3,299</w:t>
            </w:r>
          </w:p>
        </w:tc>
        <w:tc>
          <w:tcPr>
            <w:tcW w:w="580" w:type="dxa"/>
            <w:vAlign w:val="bottom"/>
            <w:gridSpan w:val="2"/>
          </w:tcPr>
          <w:p>
            <w:pPr>
              <w:jc w:val="right"/>
              <w:ind w:right="49"/>
              <w:spacing w:after="0"/>
              <w:rPr>
                <w:sz w:val="20"/>
                <w:szCs w:val="20"/>
                <w:color w:val="auto"/>
              </w:rPr>
            </w:pPr>
            <w:r>
              <w:rPr>
                <w:rFonts w:ascii="Arial" w:cs="Arial" w:eastAsia="Arial" w:hAnsi="Arial"/>
                <w:sz w:val="14"/>
                <w:szCs w:val="14"/>
                <w:color w:val="auto"/>
              </w:rPr>
              <w:t>11,129</w:t>
            </w:r>
          </w:p>
        </w:tc>
        <w:tc>
          <w:tcPr>
            <w:tcW w:w="220" w:type="dxa"/>
            <w:vAlign w:val="bottom"/>
          </w:tcPr>
          <w:p>
            <w:pPr>
              <w:spacing w:after="0"/>
              <w:rPr>
                <w:sz w:val="13"/>
                <w:szCs w:val="13"/>
                <w:color w:val="auto"/>
              </w:rPr>
            </w:pPr>
          </w:p>
        </w:tc>
        <w:tc>
          <w:tcPr>
            <w:tcW w:w="840" w:type="dxa"/>
            <w:vAlign w:val="bottom"/>
          </w:tcPr>
          <w:p>
            <w:pPr>
              <w:jc w:val="right"/>
              <w:ind w:right="229"/>
              <w:spacing w:after="0"/>
              <w:rPr>
                <w:sz w:val="20"/>
                <w:szCs w:val="20"/>
                <w:color w:val="auto"/>
              </w:rPr>
            </w:pPr>
            <w:r>
              <w:rPr>
                <w:rFonts w:ascii="Arial" w:cs="Arial" w:eastAsia="Arial" w:hAnsi="Arial"/>
                <w:sz w:val="14"/>
                <w:szCs w:val="14"/>
                <w:color w:val="auto"/>
              </w:rPr>
              <w:t>13,553</w:t>
            </w:r>
          </w:p>
        </w:tc>
        <w:tc>
          <w:tcPr>
            <w:tcW w:w="540" w:type="dxa"/>
            <w:vAlign w:val="bottom"/>
          </w:tcPr>
          <w:p>
            <w:pPr>
              <w:jc w:val="right"/>
              <w:ind w:right="29"/>
              <w:spacing w:after="0"/>
              <w:rPr>
                <w:sz w:val="20"/>
                <w:szCs w:val="20"/>
                <w:color w:val="auto"/>
              </w:rPr>
            </w:pPr>
            <w:r>
              <w:rPr>
                <w:rFonts w:ascii="Arial" w:cs="Arial" w:eastAsia="Arial" w:hAnsi="Arial"/>
                <w:sz w:val="14"/>
                <w:szCs w:val="14"/>
                <w:color w:val="auto"/>
              </w:rPr>
              <w:t>9,250</w:t>
            </w:r>
          </w:p>
        </w:tc>
        <w:tc>
          <w:tcPr>
            <w:tcW w:w="140" w:type="dxa"/>
            <w:vAlign w:val="bottom"/>
          </w:tcPr>
          <w:p>
            <w:pPr>
              <w:spacing w:after="0"/>
              <w:rPr>
                <w:sz w:val="13"/>
                <w:szCs w:val="13"/>
                <w:color w:val="auto"/>
              </w:rPr>
            </w:pPr>
          </w:p>
        </w:tc>
        <w:tc>
          <w:tcPr>
            <w:tcW w:w="700" w:type="dxa"/>
            <w:vAlign w:val="bottom"/>
            <w:gridSpan w:val="2"/>
          </w:tcPr>
          <w:p>
            <w:pPr>
              <w:jc w:val="right"/>
              <w:ind w:right="28"/>
              <w:spacing w:after="0"/>
              <w:rPr>
                <w:sz w:val="20"/>
                <w:szCs w:val="20"/>
                <w:color w:val="auto"/>
              </w:rPr>
            </w:pPr>
            <w:r>
              <w:rPr>
                <w:rFonts w:ascii="Arial" w:cs="Arial" w:eastAsia="Arial" w:hAnsi="Arial"/>
                <w:sz w:val="14"/>
                <w:szCs w:val="14"/>
                <w:color w:val="auto"/>
              </w:rPr>
              <w:t>1,548</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92,299</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260" w:type="dxa"/>
            <w:vAlign w:val="bottom"/>
            <w:gridSpan w:val="2"/>
          </w:tcPr>
          <w:p>
            <w:pPr>
              <w:spacing w:after="0"/>
              <w:rPr>
                <w:sz w:val="20"/>
                <w:szCs w:val="20"/>
                <w:color w:val="auto"/>
              </w:rPr>
            </w:pPr>
            <w:r>
              <w:rPr>
                <w:rFonts w:ascii="Arial" w:cs="Arial" w:eastAsia="Arial" w:hAnsi="Arial"/>
                <w:sz w:val="14"/>
                <w:szCs w:val="14"/>
                <w:color w:val="auto"/>
              </w:rPr>
              <w:t>Share of profit of joint ventures and associates</w:t>
            </w:r>
          </w:p>
        </w:tc>
        <w:tc>
          <w:tcPr>
            <w:tcW w:w="1380" w:type="dxa"/>
            <w:vAlign w:val="bottom"/>
          </w:tcPr>
          <w:p>
            <w:pPr>
              <w:spacing w:after="0"/>
              <w:rPr>
                <w:sz w:val="14"/>
                <w:szCs w:val="14"/>
                <w:color w:val="auto"/>
              </w:rPr>
            </w:pPr>
          </w:p>
        </w:tc>
        <w:tc>
          <w:tcPr>
            <w:tcW w:w="860" w:type="dxa"/>
            <w:vAlign w:val="bottom"/>
          </w:tcPr>
          <w:p>
            <w:pPr>
              <w:jc w:val="right"/>
              <w:ind w:right="268"/>
              <w:spacing w:after="0"/>
              <w:rPr>
                <w:sz w:val="20"/>
                <w:szCs w:val="20"/>
                <w:color w:val="auto"/>
              </w:rPr>
            </w:pPr>
            <w:r>
              <w:rPr>
                <w:rFonts w:ascii="Arial" w:cs="Arial" w:eastAsia="Arial" w:hAnsi="Arial"/>
                <w:sz w:val="14"/>
                <w:szCs w:val="14"/>
                <w:color w:val="auto"/>
              </w:rPr>
              <w:t>1,128</w:t>
            </w:r>
          </w:p>
        </w:tc>
        <w:tc>
          <w:tcPr>
            <w:tcW w:w="140" w:type="dxa"/>
            <w:vAlign w:val="bottom"/>
          </w:tcPr>
          <w:p>
            <w:pPr>
              <w:spacing w:after="0"/>
              <w:rPr>
                <w:sz w:val="14"/>
                <w:szCs w:val="14"/>
                <w:color w:val="auto"/>
              </w:rPr>
            </w:pPr>
          </w:p>
        </w:tc>
        <w:tc>
          <w:tcPr>
            <w:tcW w:w="840" w:type="dxa"/>
            <w:vAlign w:val="bottom"/>
          </w:tcPr>
          <w:p>
            <w:pPr>
              <w:jc w:val="right"/>
              <w:ind w:right="288"/>
              <w:spacing w:after="0"/>
              <w:rPr>
                <w:sz w:val="20"/>
                <w:szCs w:val="20"/>
                <w:color w:val="auto"/>
              </w:rPr>
            </w:pPr>
            <w:r>
              <w:rPr>
                <w:rFonts w:ascii="Arial" w:cs="Arial" w:eastAsia="Arial" w:hAnsi="Arial"/>
                <w:sz w:val="14"/>
                <w:szCs w:val="14"/>
                <w:color w:val="auto"/>
              </w:rPr>
              <w:t>3,173</w:t>
            </w:r>
          </w:p>
        </w:tc>
        <w:tc>
          <w:tcPr>
            <w:tcW w:w="760" w:type="dxa"/>
            <w:vAlign w:val="bottom"/>
          </w:tcPr>
          <w:p>
            <w:pPr>
              <w:jc w:val="right"/>
              <w:ind w:right="188"/>
              <w:spacing w:after="0"/>
              <w:rPr>
                <w:sz w:val="20"/>
                <w:szCs w:val="20"/>
                <w:color w:val="auto"/>
              </w:rPr>
            </w:pPr>
            <w:r>
              <w:rPr>
                <w:rFonts w:ascii="Arial" w:cs="Arial" w:eastAsia="Arial" w:hAnsi="Arial"/>
                <w:sz w:val="14"/>
                <w:szCs w:val="14"/>
                <w:color w:val="auto"/>
              </w:rPr>
              <w:t>266</w:t>
            </w:r>
          </w:p>
        </w:tc>
        <w:tc>
          <w:tcPr>
            <w:tcW w:w="80" w:type="dxa"/>
            <w:vAlign w:val="bottom"/>
          </w:tcPr>
          <w:p>
            <w:pPr>
              <w:spacing w:after="0"/>
              <w:rPr>
                <w:sz w:val="14"/>
                <w:szCs w:val="14"/>
                <w:color w:val="auto"/>
              </w:rPr>
            </w:pPr>
          </w:p>
        </w:tc>
        <w:tc>
          <w:tcPr>
            <w:tcW w:w="500" w:type="dxa"/>
            <w:vAlign w:val="bottom"/>
          </w:tcPr>
          <w:p>
            <w:pPr>
              <w:jc w:val="right"/>
              <w:ind w:right="49"/>
              <w:spacing w:after="0"/>
              <w:rPr>
                <w:sz w:val="20"/>
                <w:szCs w:val="20"/>
                <w:color w:val="auto"/>
              </w:rPr>
            </w:pPr>
            <w:r>
              <w:rPr>
                <w:rFonts w:ascii="Arial" w:cs="Arial" w:eastAsia="Arial" w:hAnsi="Arial"/>
                <w:sz w:val="14"/>
                <w:szCs w:val="14"/>
                <w:color w:val="auto"/>
              </w:rPr>
              <w:t>937</w:t>
            </w:r>
          </w:p>
        </w:tc>
        <w:tc>
          <w:tcPr>
            <w:tcW w:w="220" w:type="dxa"/>
            <w:vAlign w:val="bottom"/>
          </w:tcPr>
          <w:p>
            <w:pPr>
              <w:spacing w:after="0"/>
              <w:rPr>
                <w:sz w:val="14"/>
                <w:szCs w:val="14"/>
                <w:color w:val="auto"/>
              </w:rPr>
            </w:pPr>
          </w:p>
        </w:tc>
        <w:tc>
          <w:tcPr>
            <w:tcW w:w="840" w:type="dxa"/>
            <w:vAlign w:val="bottom"/>
          </w:tcPr>
          <w:p>
            <w:pPr>
              <w:jc w:val="right"/>
              <w:ind w:right="189"/>
              <w:spacing w:after="0"/>
              <w:rPr>
                <w:sz w:val="20"/>
                <w:szCs w:val="20"/>
                <w:color w:val="auto"/>
              </w:rPr>
            </w:pPr>
            <w:r>
              <w:rPr>
                <w:rFonts w:ascii="Arial" w:cs="Arial" w:eastAsia="Arial" w:hAnsi="Arial"/>
                <w:sz w:val="14"/>
                <w:szCs w:val="14"/>
                <w:color w:val="auto"/>
              </w:rPr>
              <w:t>(4)</w:t>
            </w:r>
          </w:p>
        </w:tc>
        <w:tc>
          <w:tcPr>
            <w:tcW w:w="540" w:type="dxa"/>
            <w:vAlign w:val="bottom"/>
          </w:tcPr>
          <w:p>
            <w:pPr>
              <w:jc w:val="right"/>
              <w:ind w:right="29"/>
              <w:spacing w:after="0"/>
              <w:rPr>
                <w:sz w:val="20"/>
                <w:szCs w:val="20"/>
                <w:color w:val="auto"/>
              </w:rPr>
            </w:pPr>
            <w:r>
              <w:rPr>
                <w:rFonts w:ascii="Arial" w:cs="Arial" w:eastAsia="Arial" w:hAnsi="Arial"/>
                <w:sz w:val="14"/>
                <w:szCs w:val="14"/>
                <w:color w:val="auto"/>
              </w:rPr>
              <w:t>77</w:t>
            </w:r>
          </w:p>
        </w:tc>
        <w:tc>
          <w:tcPr>
            <w:tcW w:w="140" w:type="dxa"/>
            <w:vAlign w:val="bottom"/>
          </w:tcPr>
          <w:p>
            <w:pPr>
              <w:spacing w:after="0"/>
              <w:rPr>
                <w:sz w:val="14"/>
                <w:szCs w:val="14"/>
                <w:color w:val="auto"/>
              </w:rPr>
            </w:pPr>
          </w:p>
        </w:tc>
        <w:tc>
          <w:tcPr>
            <w:tcW w:w="700" w:type="dxa"/>
            <w:vAlign w:val="bottom"/>
            <w:gridSpan w:val="2"/>
          </w:tcPr>
          <w:p>
            <w:pPr>
              <w:jc w:val="right"/>
              <w:spacing w:after="0"/>
              <w:rPr>
                <w:sz w:val="20"/>
                <w:szCs w:val="20"/>
                <w:color w:val="auto"/>
              </w:rPr>
            </w:pPr>
            <w:r>
              <w:rPr>
                <w:rFonts w:ascii="Arial" w:cs="Arial" w:eastAsia="Arial" w:hAnsi="Arial"/>
                <w:sz w:val="14"/>
                <w:szCs w:val="14"/>
                <w:color w:val="auto"/>
              </w:rPr>
              <w:t>(75)</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5,502</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3260" w:type="dxa"/>
            <w:vAlign w:val="bottom"/>
            <w:tcBorders>
              <w:bottom w:val="single" w:sz="8" w:color="auto"/>
            </w:tcBorders>
            <w:gridSpan w:val="2"/>
          </w:tcPr>
          <w:p>
            <w:pPr>
              <w:spacing w:after="0" w:line="157" w:lineRule="exact"/>
              <w:rPr>
                <w:sz w:val="20"/>
                <w:szCs w:val="20"/>
                <w:color w:val="auto"/>
              </w:rPr>
            </w:pPr>
            <w:r>
              <w:rPr>
                <w:rFonts w:ascii="Arial" w:cs="Arial" w:eastAsia="Arial" w:hAnsi="Arial"/>
                <w:sz w:val="14"/>
                <w:szCs w:val="14"/>
                <w:color w:val="auto"/>
              </w:rPr>
              <w:t>Interest and other income</w:t>
            </w:r>
          </w:p>
        </w:tc>
        <w:tc>
          <w:tcPr>
            <w:tcW w:w="138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268"/>
              <w:spacing w:after="0" w:line="157" w:lineRule="exact"/>
              <w:rPr>
                <w:sz w:val="20"/>
                <w:szCs w:val="20"/>
                <w:color w:val="auto"/>
              </w:rPr>
            </w:pPr>
            <w:r>
              <w:rPr>
                <w:rFonts w:ascii="Arial" w:cs="Arial" w:eastAsia="Arial" w:hAnsi="Arial"/>
                <w:sz w:val="14"/>
                <w:szCs w:val="14"/>
                <w:color w:val="auto"/>
              </w:rPr>
              <w:t>68</w:t>
            </w:r>
          </w:p>
        </w:tc>
        <w:tc>
          <w:tcPr>
            <w:tcW w:w="14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288"/>
              <w:spacing w:after="0" w:line="157" w:lineRule="exact"/>
              <w:rPr>
                <w:sz w:val="20"/>
                <w:szCs w:val="20"/>
                <w:color w:val="auto"/>
              </w:rPr>
            </w:pPr>
            <w:r>
              <w:rPr>
                <w:rFonts w:ascii="Arial" w:cs="Arial" w:eastAsia="Arial" w:hAnsi="Arial"/>
                <w:sz w:val="14"/>
                <w:szCs w:val="14"/>
                <w:color w:val="auto"/>
              </w:rPr>
              <w:t>845</w:t>
            </w:r>
          </w:p>
        </w:tc>
        <w:tc>
          <w:tcPr>
            <w:tcW w:w="760" w:type="dxa"/>
            <w:vAlign w:val="bottom"/>
            <w:tcBorders>
              <w:bottom w:val="single" w:sz="8" w:color="auto"/>
            </w:tcBorders>
          </w:tcPr>
          <w:p>
            <w:pPr>
              <w:jc w:val="right"/>
              <w:ind w:right="188"/>
              <w:spacing w:after="0" w:line="157" w:lineRule="exact"/>
              <w:rPr>
                <w:sz w:val="20"/>
                <w:szCs w:val="20"/>
                <w:color w:val="auto"/>
              </w:rPr>
            </w:pPr>
            <w:r>
              <w:rPr>
                <w:rFonts w:ascii="Arial" w:cs="Arial" w:eastAsia="Arial" w:hAnsi="Arial"/>
                <w:sz w:val="14"/>
                <w:szCs w:val="14"/>
                <w:color w:val="auto"/>
              </w:rPr>
              <w:t>2,292</w:t>
            </w:r>
          </w:p>
        </w:tc>
        <w:tc>
          <w:tcPr>
            <w:tcW w:w="8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jc w:val="right"/>
              <w:ind w:right="49"/>
              <w:spacing w:after="0" w:line="157" w:lineRule="exact"/>
              <w:rPr>
                <w:sz w:val="20"/>
                <w:szCs w:val="20"/>
                <w:color w:val="auto"/>
              </w:rPr>
            </w:pPr>
            <w:r>
              <w:rPr>
                <w:rFonts w:ascii="Arial" w:cs="Arial" w:eastAsia="Arial" w:hAnsi="Arial"/>
                <w:sz w:val="14"/>
                <w:szCs w:val="14"/>
                <w:color w:val="auto"/>
              </w:rPr>
              <w:t>503</w:t>
            </w:r>
          </w:p>
        </w:tc>
        <w:tc>
          <w:tcPr>
            <w:tcW w:w="22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229"/>
              <w:spacing w:after="0" w:line="157" w:lineRule="exact"/>
              <w:rPr>
                <w:sz w:val="20"/>
                <w:szCs w:val="20"/>
                <w:color w:val="auto"/>
              </w:rPr>
            </w:pPr>
            <w:r>
              <w:rPr>
                <w:rFonts w:ascii="Arial" w:cs="Arial" w:eastAsia="Arial" w:hAnsi="Arial"/>
                <w:sz w:val="14"/>
                <w:szCs w:val="14"/>
                <w:color w:val="auto"/>
              </w:rPr>
              <w:t>327</w:t>
            </w:r>
          </w:p>
        </w:tc>
        <w:tc>
          <w:tcPr>
            <w:tcW w:w="540" w:type="dxa"/>
            <w:vAlign w:val="bottom"/>
            <w:tcBorders>
              <w:bottom w:val="single" w:sz="8" w:color="auto"/>
            </w:tcBorders>
          </w:tcPr>
          <w:p>
            <w:pPr>
              <w:jc w:val="right"/>
              <w:spacing w:after="0" w:line="157" w:lineRule="exact"/>
              <w:rPr>
                <w:sz w:val="20"/>
                <w:szCs w:val="20"/>
                <w:color w:val="auto"/>
              </w:rPr>
            </w:pPr>
            <w:r>
              <w:rPr>
                <w:rFonts w:ascii="Arial" w:cs="Arial" w:eastAsia="Arial" w:hAnsi="Arial"/>
                <w:sz w:val="14"/>
                <w:szCs w:val="14"/>
                <w:color w:val="auto"/>
              </w:rPr>
              <w:t>(71)</w:t>
            </w:r>
          </w:p>
        </w:tc>
        <w:tc>
          <w:tcPr>
            <w:tcW w:w="14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gridSpan w:val="2"/>
          </w:tcPr>
          <w:p>
            <w:pPr>
              <w:jc w:val="right"/>
              <w:ind w:right="28"/>
              <w:spacing w:after="0" w:line="157" w:lineRule="exact"/>
              <w:rPr>
                <w:sz w:val="20"/>
                <w:szCs w:val="20"/>
                <w:color w:val="auto"/>
              </w:rPr>
            </w:pPr>
            <w:r>
              <w:rPr>
                <w:rFonts w:ascii="Arial" w:cs="Arial" w:eastAsia="Arial" w:hAnsi="Arial"/>
                <w:sz w:val="14"/>
                <w:szCs w:val="14"/>
                <w:color w:val="auto"/>
              </w:rPr>
              <w:t>65</w:t>
            </w:r>
          </w:p>
        </w:tc>
        <w:tc>
          <w:tcPr>
            <w:tcW w:w="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ind w:right="28"/>
              <w:spacing w:after="0" w:line="157" w:lineRule="exact"/>
              <w:rPr>
                <w:sz w:val="20"/>
                <w:szCs w:val="20"/>
                <w:color w:val="auto"/>
              </w:rPr>
            </w:pPr>
            <w:r>
              <w:rPr>
                <w:rFonts w:ascii="Arial" w:cs="Arial" w:eastAsia="Arial" w:hAnsi="Arial"/>
                <w:sz w:val="14"/>
                <w:szCs w:val="14"/>
                <w:color w:val="auto"/>
              </w:rPr>
              <w:t>4,029</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3260" w:type="dxa"/>
            <w:vAlign w:val="bottom"/>
            <w:gridSpan w:val="2"/>
          </w:tcPr>
          <w:p>
            <w:pPr>
              <w:spacing w:after="0"/>
              <w:rPr>
                <w:sz w:val="20"/>
                <w:szCs w:val="20"/>
                <w:color w:val="auto"/>
              </w:rPr>
            </w:pPr>
            <w:r>
              <w:rPr>
                <w:rFonts w:ascii="Arial" w:cs="Arial" w:eastAsia="Arial" w:hAnsi="Arial"/>
                <w:sz w:val="14"/>
                <w:szCs w:val="14"/>
                <w:color w:val="auto"/>
              </w:rPr>
              <w:t>Total revenue and other income</w:t>
            </w:r>
          </w:p>
        </w:tc>
        <w:tc>
          <w:tcPr>
            <w:tcW w:w="1380" w:type="dxa"/>
            <w:vAlign w:val="bottom"/>
          </w:tcPr>
          <w:p>
            <w:pPr>
              <w:spacing w:after="0"/>
              <w:rPr>
                <w:sz w:val="13"/>
                <w:szCs w:val="13"/>
                <w:color w:val="auto"/>
              </w:rPr>
            </w:pPr>
          </w:p>
        </w:tc>
        <w:tc>
          <w:tcPr>
            <w:tcW w:w="860" w:type="dxa"/>
            <w:vAlign w:val="bottom"/>
          </w:tcPr>
          <w:p>
            <w:pPr>
              <w:jc w:val="right"/>
              <w:ind w:right="268"/>
              <w:spacing w:after="0"/>
              <w:rPr>
                <w:sz w:val="20"/>
                <w:szCs w:val="20"/>
                <w:color w:val="auto"/>
              </w:rPr>
            </w:pPr>
            <w:r>
              <w:rPr>
                <w:rFonts w:ascii="Arial" w:cs="Arial" w:eastAsia="Arial" w:hAnsi="Arial"/>
                <w:sz w:val="14"/>
                <w:szCs w:val="14"/>
                <w:color w:val="auto"/>
              </w:rPr>
              <w:t>19,087</w:t>
            </w:r>
          </w:p>
        </w:tc>
        <w:tc>
          <w:tcPr>
            <w:tcW w:w="140" w:type="dxa"/>
            <w:vAlign w:val="bottom"/>
          </w:tcPr>
          <w:p>
            <w:pPr>
              <w:spacing w:after="0"/>
              <w:rPr>
                <w:sz w:val="13"/>
                <w:szCs w:val="13"/>
                <w:color w:val="auto"/>
              </w:rPr>
            </w:pPr>
          </w:p>
        </w:tc>
        <w:tc>
          <w:tcPr>
            <w:tcW w:w="840" w:type="dxa"/>
            <w:vAlign w:val="bottom"/>
          </w:tcPr>
          <w:p>
            <w:pPr>
              <w:jc w:val="right"/>
              <w:ind w:right="288"/>
              <w:spacing w:after="0"/>
              <w:rPr>
                <w:sz w:val="20"/>
                <w:szCs w:val="20"/>
                <w:color w:val="auto"/>
              </w:rPr>
            </w:pPr>
            <w:r>
              <w:rPr>
                <w:rFonts w:ascii="Arial" w:cs="Arial" w:eastAsia="Arial" w:hAnsi="Arial"/>
                <w:sz w:val="14"/>
                <w:szCs w:val="14"/>
                <w:color w:val="auto"/>
              </w:rPr>
              <w:t>39,647</w:t>
            </w:r>
          </w:p>
        </w:tc>
        <w:tc>
          <w:tcPr>
            <w:tcW w:w="760" w:type="dxa"/>
            <w:vAlign w:val="bottom"/>
          </w:tcPr>
          <w:p>
            <w:pPr>
              <w:jc w:val="right"/>
              <w:ind w:right="188"/>
              <w:spacing w:after="0"/>
              <w:rPr>
                <w:sz w:val="20"/>
                <w:szCs w:val="20"/>
                <w:color w:val="auto"/>
              </w:rPr>
            </w:pPr>
            <w:r>
              <w:rPr>
                <w:rFonts w:ascii="Arial" w:cs="Arial" w:eastAsia="Arial" w:hAnsi="Arial"/>
                <w:sz w:val="14"/>
                <w:szCs w:val="14"/>
                <w:color w:val="auto"/>
              </w:rPr>
              <w:t>5,857</w:t>
            </w:r>
          </w:p>
        </w:tc>
        <w:tc>
          <w:tcPr>
            <w:tcW w:w="580" w:type="dxa"/>
            <w:vAlign w:val="bottom"/>
            <w:gridSpan w:val="2"/>
          </w:tcPr>
          <w:p>
            <w:pPr>
              <w:jc w:val="right"/>
              <w:ind w:right="49"/>
              <w:spacing w:after="0"/>
              <w:rPr>
                <w:sz w:val="20"/>
                <w:szCs w:val="20"/>
                <w:color w:val="auto"/>
              </w:rPr>
            </w:pPr>
            <w:r>
              <w:rPr>
                <w:rFonts w:ascii="Arial" w:cs="Arial" w:eastAsia="Arial" w:hAnsi="Arial"/>
                <w:sz w:val="14"/>
                <w:szCs w:val="14"/>
                <w:color w:val="auto"/>
              </w:rPr>
              <w:t>12,569</w:t>
            </w:r>
          </w:p>
        </w:tc>
        <w:tc>
          <w:tcPr>
            <w:tcW w:w="220" w:type="dxa"/>
            <w:vAlign w:val="bottom"/>
          </w:tcPr>
          <w:p>
            <w:pPr>
              <w:spacing w:after="0"/>
              <w:rPr>
                <w:sz w:val="13"/>
                <w:szCs w:val="13"/>
                <w:color w:val="auto"/>
              </w:rPr>
            </w:pPr>
          </w:p>
        </w:tc>
        <w:tc>
          <w:tcPr>
            <w:tcW w:w="840" w:type="dxa"/>
            <w:vAlign w:val="bottom"/>
          </w:tcPr>
          <w:p>
            <w:pPr>
              <w:jc w:val="right"/>
              <w:ind w:right="229"/>
              <w:spacing w:after="0"/>
              <w:rPr>
                <w:sz w:val="20"/>
                <w:szCs w:val="20"/>
                <w:color w:val="auto"/>
              </w:rPr>
            </w:pPr>
            <w:r>
              <w:rPr>
                <w:rFonts w:ascii="Arial" w:cs="Arial" w:eastAsia="Arial" w:hAnsi="Arial"/>
                <w:sz w:val="14"/>
                <w:szCs w:val="14"/>
                <w:color w:val="auto"/>
              </w:rPr>
              <w:t>13,876</w:t>
            </w:r>
          </w:p>
        </w:tc>
        <w:tc>
          <w:tcPr>
            <w:tcW w:w="540" w:type="dxa"/>
            <w:vAlign w:val="bottom"/>
          </w:tcPr>
          <w:p>
            <w:pPr>
              <w:jc w:val="right"/>
              <w:ind w:right="29"/>
              <w:spacing w:after="0"/>
              <w:rPr>
                <w:sz w:val="20"/>
                <w:szCs w:val="20"/>
                <w:color w:val="auto"/>
              </w:rPr>
            </w:pPr>
            <w:r>
              <w:rPr>
                <w:rFonts w:ascii="Arial" w:cs="Arial" w:eastAsia="Arial" w:hAnsi="Arial"/>
                <w:sz w:val="14"/>
                <w:szCs w:val="14"/>
                <w:color w:val="auto"/>
              </w:rPr>
              <w:t>9,256</w:t>
            </w:r>
          </w:p>
        </w:tc>
        <w:tc>
          <w:tcPr>
            <w:tcW w:w="140" w:type="dxa"/>
            <w:vAlign w:val="bottom"/>
          </w:tcPr>
          <w:p>
            <w:pPr>
              <w:spacing w:after="0"/>
              <w:rPr>
                <w:sz w:val="13"/>
                <w:szCs w:val="13"/>
                <w:color w:val="auto"/>
              </w:rPr>
            </w:pPr>
          </w:p>
        </w:tc>
        <w:tc>
          <w:tcPr>
            <w:tcW w:w="700" w:type="dxa"/>
            <w:vAlign w:val="bottom"/>
            <w:gridSpan w:val="2"/>
          </w:tcPr>
          <w:p>
            <w:pPr>
              <w:jc w:val="right"/>
              <w:ind w:right="28"/>
              <w:spacing w:after="0"/>
              <w:rPr>
                <w:sz w:val="20"/>
                <w:szCs w:val="20"/>
                <w:color w:val="auto"/>
              </w:rPr>
            </w:pPr>
            <w:r>
              <w:rPr>
                <w:rFonts w:ascii="Arial" w:cs="Arial" w:eastAsia="Arial" w:hAnsi="Arial"/>
                <w:sz w:val="14"/>
                <w:szCs w:val="14"/>
                <w:color w:val="auto"/>
              </w:rPr>
              <w:t>1,538</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101,830</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260" w:type="dxa"/>
            <w:vAlign w:val="bottom"/>
            <w:gridSpan w:val="2"/>
          </w:tcPr>
          <w:p>
            <w:pPr>
              <w:spacing w:after="0"/>
              <w:rPr>
                <w:sz w:val="20"/>
                <w:szCs w:val="20"/>
                <w:color w:val="auto"/>
              </w:rPr>
            </w:pPr>
            <w:r>
              <w:rPr>
                <w:rFonts w:ascii="Arial" w:cs="Arial" w:eastAsia="Arial" w:hAnsi="Arial"/>
                <w:sz w:val="14"/>
                <w:szCs w:val="14"/>
                <w:color w:val="auto"/>
              </w:rPr>
              <w:t>Purchases excluding taxes</w:t>
            </w:r>
          </w:p>
        </w:tc>
        <w:tc>
          <w:tcPr>
            <w:tcW w:w="1380" w:type="dxa"/>
            <w:vAlign w:val="bottom"/>
          </w:tcPr>
          <w:p>
            <w:pPr>
              <w:spacing w:after="0"/>
              <w:rPr>
                <w:sz w:val="14"/>
                <w:szCs w:val="14"/>
                <w:color w:val="auto"/>
              </w:rPr>
            </w:pPr>
          </w:p>
        </w:tc>
        <w:tc>
          <w:tcPr>
            <w:tcW w:w="860" w:type="dxa"/>
            <w:vAlign w:val="bottom"/>
          </w:tcPr>
          <w:p>
            <w:pPr>
              <w:jc w:val="right"/>
              <w:ind w:right="268"/>
              <w:spacing w:after="0"/>
              <w:rPr>
                <w:sz w:val="20"/>
                <w:szCs w:val="20"/>
                <w:color w:val="auto"/>
              </w:rPr>
            </w:pPr>
            <w:r>
              <w:rPr>
                <w:rFonts w:ascii="Arial" w:cs="Arial" w:eastAsia="Arial" w:hAnsi="Arial"/>
                <w:sz w:val="14"/>
                <w:szCs w:val="14"/>
                <w:color w:val="auto"/>
              </w:rPr>
              <w:t>5,848</w:t>
            </w:r>
          </w:p>
        </w:tc>
        <w:tc>
          <w:tcPr>
            <w:tcW w:w="140" w:type="dxa"/>
            <w:vAlign w:val="bottom"/>
          </w:tcPr>
          <w:p>
            <w:pPr>
              <w:spacing w:after="0"/>
              <w:rPr>
                <w:sz w:val="14"/>
                <w:szCs w:val="14"/>
                <w:color w:val="auto"/>
              </w:rPr>
            </w:pPr>
          </w:p>
        </w:tc>
        <w:tc>
          <w:tcPr>
            <w:tcW w:w="840" w:type="dxa"/>
            <w:vAlign w:val="bottom"/>
          </w:tcPr>
          <w:p>
            <w:pPr>
              <w:jc w:val="right"/>
              <w:ind w:right="288"/>
              <w:spacing w:after="0"/>
              <w:rPr>
                <w:sz w:val="20"/>
                <w:szCs w:val="20"/>
                <w:color w:val="auto"/>
              </w:rPr>
            </w:pPr>
            <w:r>
              <w:rPr>
                <w:rFonts w:ascii="Arial" w:cs="Arial" w:eastAsia="Arial" w:hAnsi="Arial"/>
                <w:sz w:val="14"/>
                <w:szCs w:val="14"/>
                <w:color w:val="auto"/>
              </w:rPr>
              <w:t>10,113</w:t>
            </w:r>
          </w:p>
        </w:tc>
        <w:tc>
          <w:tcPr>
            <w:tcW w:w="760" w:type="dxa"/>
            <w:vAlign w:val="bottom"/>
          </w:tcPr>
          <w:p>
            <w:pPr>
              <w:jc w:val="right"/>
              <w:ind w:right="188"/>
              <w:spacing w:after="0"/>
              <w:rPr>
                <w:sz w:val="20"/>
                <w:szCs w:val="20"/>
                <w:color w:val="auto"/>
              </w:rPr>
            </w:pPr>
            <w:r>
              <w:rPr>
                <w:rFonts w:ascii="Arial" w:cs="Arial" w:eastAsia="Arial" w:hAnsi="Arial"/>
                <w:sz w:val="14"/>
                <w:szCs w:val="14"/>
                <w:color w:val="auto"/>
              </w:rPr>
              <w:t>344</w:t>
            </w:r>
          </w:p>
        </w:tc>
        <w:tc>
          <w:tcPr>
            <w:tcW w:w="80" w:type="dxa"/>
            <w:vAlign w:val="bottom"/>
          </w:tcPr>
          <w:p>
            <w:pPr>
              <w:spacing w:after="0"/>
              <w:rPr>
                <w:sz w:val="14"/>
                <w:szCs w:val="14"/>
                <w:color w:val="auto"/>
              </w:rPr>
            </w:pPr>
          </w:p>
        </w:tc>
        <w:tc>
          <w:tcPr>
            <w:tcW w:w="500" w:type="dxa"/>
            <w:vAlign w:val="bottom"/>
          </w:tcPr>
          <w:p>
            <w:pPr>
              <w:jc w:val="right"/>
              <w:ind w:right="49"/>
              <w:spacing w:after="0"/>
              <w:rPr>
                <w:sz w:val="20"/>
                <w:szCs w:val="20"/>
                <w:color w:val="auto"/>
              </w:rPr>
            </w:pPr>
            <w:r>
              <w:rPr>
                <w:rFonts w:ascii="Arial" w:cs="Arial" w:eastAsia="Arial" w:hAnsi="Arial"/>
                <w:sz w:val="14"/>
                <w:szCs w:val="14"/>
                <w:color w:val="auto"/>
              </w:rPr>
              <w:t>1,505</w:t>
            </w:r>
          </w:p>
        </w:tc>
        <w:tc>
          <w:tcPr>
            <w:tcW w:w="220" w:type="dxa"/>
            <w:vAlign w:val="bottom"/>
          </w:tcPr>
          <w:p>
            <w:pPr>
              <w:spacing w:after="0"/>
              <w:rPr>
                <w:sz w:val="14"/>
                <w:szCs w:val="14"/>
                <w:color w:val="auto"/>
              </w:rPr>
            </w:pPr>
          </w:p>
        </w:tc>
        <w:tc>
          <w:tcPr>
            <w:tcW w:w="840" w:type="dxa"/>
            <w:vAlign w:val="bottom"/>
          </w:tcPr>
          <w:p>
            <w:pPr>
              <w:jc w:val="right"/>
              <w:ind w:right="229"/>
              <w:spacing w:after="0"/>
              <w:rPr>
                <w:sz w:val="20"/>
                <w:szCs w:val="20"/>
                <w:color w:val="auto"/>
              </w:rPr>
            </w:pPr>
            <w:r>
              <w:rPr>
                <w:rFonts w:ascii="Arial" w:cs="Arial" w:eastAsia="Arial" w:hAnsi="Arial"/>
                <w:sz w:val="14"/>
                <w:szCs w:val="14"/>
                <w:color w:val="auto"/>
              </w:rPr>
              <w:t>1,909</w:t>
            </w:r>
          </w:p>
        </w:tc>
        <w:tc>
          <w:tcPr>
            <w:tcW w:w="540" w:type="dxa"/>
            <w:vAlign w:val="bottom"/>
          </w:tcPr>
          <w:p>
            <w:pPr>
              <w:jc w:val="right"/>
              <w:ind w:right="29"/>
              <w:spacing w:after="0"/>
              <w:rPr>
                <w:sz w:val="20"/>
                <w:szCs w:val="20"/>
                <w:color w:val="auto"/>
              </w:rPr>
            </w:pPr>
            <w:r>
              <w:rPr>
                <w:rFonts w:ascii="Arial" w:cs="Arial" w:eastAsia="Arial" w:hAnsi="Arial"/>
                <w:sz w:val="14"/>
                <w:szCs w:val="14"/>
                <w:color w:val="auto"/>
              </w:rPr>
              <w:t>3,383</w:t>
            </w:r>
          </w:p>
        </w:tc>
        <w:tc>
          <w:tcPr>
            <w:tcW w:w="140" w:type="dxa"/>
            <w:vAlign w:val="bottom"/>
          </w:tcPr>
          <w:p>
            <w:pPr>
              <w:spacing w:after="0"/>
              <w:rPr>
                <w:sz w:val="14"/>
                <w:szCs w:val="14"/>
                <w:color w:val="auto"/>
              </w:rPr>
            </w:pPr>
          </w:p>
        </w:tc>
        <w:tc>
          <w:tcPr>
            <w:tcW w:w="700" w:type="dxa"/>
            <w:vAlign w:val="bottom"/>
            <w:gridSpan w:val="2"/>
          </w:tcPr>
          <w:p>
            <w:pPr>
              <w:jc w:val="right"/>
              <w:spacing w:after="0"/>
              <w:rPr>
                <w:sz w:val="20"/>
                <w:szCs w:val="20"/>
                <w:color w:val="auto"/>
              </w:rPr>
            </w:pPr>
            <w:r>
              <w:rPr>
                <w:rFonts w:ascii="Arial" w:cs="Arial" w:eastAsia="Arial" w:hAnsi="Arial"/>
                <w:sz w:val="14"/>
                <w:szCs w:val="14"/>
                <w:color w:val="auto"/>
              </w:rPr>
              <w:t>(63)</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23,039</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260" w:type="dxa"/>
            <w:vAlign w:val="bottom"/>
            <w:gridSpan w:val="2"/>
          </w:tcPr>
          <w:p>
            <w:pPr>
              <w:spacing w:after="0"/>
              <w:rPr>
                <w:sz w:val="20"/>
                <w:szCs w:val="20"/>
                <w:color w:val="auto"/>
              </w:rPr>
            </w:pPr>
            <w:r>
              <w:rPr>
                <w:rFonts w:ascii="Arial" w:cs="Arial" w:eastAsia="Arial" w:hAnsi="Arial"/>
                <w:sz w:val="14"/>
                <w:szCs w:val="14"/>
                <w:color w:val="auto"/>
              </w:rPr>
              <w:t>Production and manufacturing expenses</w:t>
            </w:r>
          </w:p>
        </w:tc>
        <w:tc>
          <w:tcPr>
            <w:tcW w:w="1380" w:type="dxa"/>
            <w:vAlign w:val="bottom"/>
          </w:tcPr>
          <w:p>
            <w:pPr>
              <w:spacing w:after="0"/>
              <w:rPr>
                <w:sz w:val="14"/>
                <w:szCs w:val="14"/>
                <w:color w:val="auto"/>
              </w:rPr>
            </w:pPr>
          </w:p>
        </w:tc>
        <w:tc>
          <w:tcPr>
            <w:tcW w:w="860" w:type="dxa"/>
            <w:vAlign w:val="bottom"/>
          </w:tcPr>
          <w:p>
            <w:pPr>
              <w:jc w:val="right"/>
              <w:ind w:right="268"/>
              <w:spacing w:after="0"/>
              <w:rPr>
                <w:sz w:val="20"/>
                <w:szCs w:val="20"/>
                <w:color w:val="auto"/>
              </w:rPr>
            </w:pPr>
            <w:r>
              <w:rPr>
                <w:rFonts w:ascii="Arial" w:cs="Arial" w:eastAsia="Arial" w:hAnsi="Arial"/>
                <w:sz w:val="14"/>
                <w:szCs w:val="14"/>
                <w:color w:val="auto"/>
              </w:rPr>
              <w:t>3,255</w:t>
            </w:r>
          </w:p>
        </w:tc>
        <w:tc>
          <w:tcPr>
            <w:tcW w:w="140" w:type="dxa"/>
            <w:vAlign w:val="bottom"/>
          </w:tcPr>
          <w:p>
            <w:pPr>
              <w:spacing w:after="0"/>
              <w:rPr>
                <w:sz w:val="14"/>
                <w:szCs w:val="14"/>
                <w:color w:val="auto"/>
              </w:rPr>
            </w:pPr>
          </w:p>
        </w:tc>
        <w:tc>
          <w:tcPr>
            <w:tcW w:w="840" w:type="dxa"/>
            <w:vAlign w:val="bottom"/>
          </w:tcPr>
          <w:p>
            <w:pPr>
              <w:jc w:val="right"/>
              <w:ind w:right="288"/>
              <w:spacing w:after="0"/>
              <w:rPr>
                <w:sz w:val="20"/>
                <w:szCs w:val="20"/>
                <w:color w:val="auto"/>
              </w:rPr>
            </w:pPr>
            <w:r>
              <w:rPr>
                <w:rFonts w:ascii="Arial" w:cs="Arial" w:eastAsia="Arial" w:hAnsi="Arial"/>
                <w:sz w:val="14"/>
                <w:szCs w:val="14"/>
                <w:color w:val="auto"/>
              </w:rPr>
              <w:t>4,905</w:t>
            </w:r>
          </w:p>
        </w:tc>
        <w:tc>
          <w:tcPr>
            <w:tcW w:w="760" w:type="dxa"/>
            <w:vAlign w:val="bottom"/>
          </w:tcPr>
          <w:p>
            <w:pPr>
              <w:jc w:val="right"/>
              <w:ind w:right="188"/>
              <w:spacing w:after="0"/>
              <w:rPr>
                <w:sz w:val="20"/>
                <w:szCs w:val="20"/>
                <w:color w:val="auto"/>
              </w:rPr>
            </w:pPr>
            <w:r>
              <w:rPr>
                <w:rFonts w:ascii="Arial" w:cs="Arial" w:eastAsia="Arial" w:hAnsi="Arial"/>
                <w:sz w:val="14"/>
                <w:szCs w:val="14"/>
                <w:color w:val="auto"/>
              </w:rPr>
              <w:t>809</w:t>
            </w:r>
          </w:p>
        </w:tc>
        <w:tc>
          <w:tcPr>
            <w:tcW w:w="80" w:type="dxa"/>
            <w:vAlign w:val="bottom"/>
          </w:tcPr>
          <w:p>
            <w:pPr>
              <w:spacing w:after="0"/>
              <w:rPr>
                <w:sz w:val="14"/>
                <w:szCs w:val="14"/>
                <w:color w:val="auto"/>
              </w:rPr>
            </w:pPr>
          </w:p>
        </w:tc>
        <w:tc>
          <w:tcPr>
            <w:tcW w:w="500" w:type="dxa"/>
            <w:vAlign w:val="bottom"/>
          </w:tcPr>
          <w:p>
            <w:pPr>
              <w:jc w:val="right"/>
              <w:ind w:right="49"/>
              <w:spacing w:after="0"/>
              <w:rPr>
                <w:sz w:val="20"/>
                <w:szCs w:val="20"/>
                <w:color w:val="auto"/>
              </w:rPr>
            </w:pPr>
            <w:r>
              <w:rPr>
                <w:rFonts w:ascii="Arial" w:cs="Arial" w:eastAsia="Arial" w:hAnsi="Arial"/>
                <w:sz w:val="14"/>
                <w:szCs w:val="14"/>
                <w:color w:val="auto"/>
              </w:rPr>
              <w:t>2,483</w:t>
            </w:r>
          </w:p>
        </w:tc>
        <w:tc>
          <w:tcPr>
            <w:tcW w:w="220" w:type="dxa"/>
            <w:vAlign w:val="bottom"/>
          </w:tcPr>
          <w:p>
            <w:pPr>
              <w:spacing w:after="0"/>
              <w:rPr>
                <w:sz w:val="14"/>
                <w:szCs w:val="14"/>
                <w:color w:val="auto"/>
              </w:rPr>
            </w:pPr>
          </w:p>
        </w:tc>
        <w:tc>
          <w:tcPr>
            <w:tcW w:w="840" w:type="dxa"/>
            <w:vAlign w:val="bottom"/>
          </w:tcPr>
          <w:p>
            <w:pPr>
              <w:jc w:val="right"/>
              <w:ind w:right="229"/>
              <w:spacing w:after="0"/>
              <w:rPr>
                <w:sz w:val="20"/>
                <w:szCs w:val="20"/>
                <w:color w:val="auto"/>
              </w:rPr>
            </w:pPr>
            <w:r>
              <w:rPr>
                <w:rFonts w:ascii="Arial" w:cs="Arial" w:eastAsia="Arial" w:hAnsi="Arial"/>
                <w:sz w:val="14"/>
                <w:szCs w:val="14"/>
                <w:color w:val="auto"/>
              </w:rPr>
              <w:t>4,572</w:t>
            </w:r>
          </w:p>
        </w:tc>
        <w:tc>
          <w:tcPr>
            <w:tcW w:w="540" w:type="dxa"/>
            <w:vAlign w:val="bottom"/>
          </w:tcPr>
          <w:p>
            <w:pPr>
              <w:jc w:val="right"/>
              <w:ind w:right="29"/>
              <w:spacing w:after="0"/>
              <w:rPr>
                <w:sz w:val="20"/>
                <w:szCs w:val="20"/>
                <w:color w:val="auto"/>
              </w:rPr>
            </w:pPr>
            <w:r>
              <w:rPr>
                <w:rFonts w:ascii="Arial" w:cs="Arial" w:eastAsia="Arial" w:hAnsi="Arial"/>
                <w:sz w:val="14"/>
                <w:szCs w:val="14"/>
                <w:color w:val="auto"/>
              </w:rPr>
              <w:t>3,391</w:t>
            </w:r>
          </w:p>
        </w:tc>
        <w:tc>
          <w:tcPr>
            <w:tcW w:w="140" w:type="dxa"/>
            <w:vAlign w:val="bottom"/>
          </w:tcPr>
          <w:p>
            <w:pPr>
              <w:spacing w:after="0"/>
              <w:rPr>
                <w:sz w:val="14"/>
                <w:szCs w:val="14"/>
                <w:color w:val="auto"/>
              </w:rPr>
            </w:pPr>
          </w:p>
        </w:tc>
        <w:tc>
          <w:tcPr>
            <w:tcW w:w="700" w:type="dxa"/>
            <w:vAlign w:val="bottom"/>
            <w:gridSpan w:val="2"/>
          </w:tcPr>
          <w:p>
            <w:pPr>
              <w:jc w:val="right"/>
              <w:ind w:right="28"/>
              <w:spacing w:after="0"/>
              <w:rPr>
                <w:sz w:val="20"/>
                <w:szCs w:val="20"/>
                <w:color w:val="auto"/>
              </w:rPr>
            </w:pPr>
            <w:r>
              <w:rPr>
                <w:rFonts w:ascii="Arial" w:cs="Arial" w:eastAsia="Arial" w:hAnsi="Arial"/>
                <w:sz w:val="14"/>
                <w:szCs w:val="14"/>
                <w:color w:val="auto"/>
              </w:rPr>
              <w:t>678</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20,093</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260" w:type="dxa"/>
            <w:vAlign w:val="bottom"/>
            <w:gridSpan w:val="2"/>
          </w:tcPr>
          <w:p>
            <w:pPr>
              <w:spacing w:after="0"/>
              <w:rPr>
                <w:sz w:val="20"/>
                <w:szCs w:val="20"/>
                <w:color w:val="auto"/>
              </w:rPr>
            </w:pPr>
            <w:r>
              <w:rPr>
                <w:rFonts w:ascii="Arial" w:cs="Arial" w:eastAsia="Arial" w:hAnsi="Arial"/>
                <w:sz w:val="14"/>
                <w:szCs w:val="14"/>
                <w:color w:val="auto"/>
              </w:rPr>
              <w:t>Taxes other than income tax</w:t>
            </w:r>
          </w:p>
        </w:tc>
        <w:tc>
          <w:tcPr>
            <w:tcW w:w="1380" w:type="dxa"/>
            <w:vAlign w:val="bottom"/>
          </w:tcPr>
          <w:p>
            <w:pPr>
              <w:spacing w:after="0"/>
              <w:rPr>
                <w:sz w:val="14"/>
                <w:szCs w:val="14"/>
                <w:color w:val="auto"/>
              </w:rPr>
            </w:pPr>
          </w:p>
        </w:tc>
        <w:tc>
          <w:tcPr>
            <w:tcW w:w="860" w:type="dxa"/>
            <w:vAlign w:val="bottom"/>
          </w:tcPr>
          <w:p>
            <w:pPr>
              <w:jc w:val="right"/>
              <w:ind w:right="268"/>
              <w:spacing w:after="0"/>
              <w:rPr>
                <w:sz w:val="20"/>
                <w:szCs w:val="20"/>
                <w:color w:val="auto"/>
              </w:rPr>
            </w:pPr>
            <w:r>
              <w:rPr>
                <w:rFonts w:ascii="Arial" w:cs="Arial" w:eastAsia="Arial" w:hAnsi="Arial"/>
                <w:sz w:val="14"/>
                <w:szCs w:val="14"/>
                <w:color w:val="auto"/>
              </w:rPr>
              <w:t>264</w:t>
            </w:r>
          </w:p>
        </w:tc>
        <w:tc>
          <w:tcPr>
            <w:tcW w:w="140" w:type="dxa"/>
            <w:vAlign w:val="bottom"/>
          </w:tcPr>
          <w:p>
            <w:pPr>
              <w:spacing w:after="0"/>
              <w:rPr>
                <w:sz w:val="14"/>
                <w:szCs w:val="14"/>
                <w:color w:val="auto"/>
              </w:rPr>
            </w:pPr>
          </w:p>
        </w:tc>
        <w:tc>
          <w:tcPr>
            <w:tcW w:w="840" w:type="dxa"/>
            <w:vAlign w:val="bottom"/>
          </w:tcPr>
          <w:p>
            <w:pPr>
              <w:jc w:val="right"/>
              <w:ind w:right="288"/>
              <w:spacing w:after="0"/>
              <w:rPr>
                <w:sz w:val="20"/>
                <w:szCs w:val="20"/>
                <w:color w:val="auto"/>
              </w:rPr>
            </w:pPr>
            <w:r>
              <w:rPr>
                <w:rFonts w:ascii="Arial" w:cs="Arial" w:eastAsia="Arial" w:hAnsi="Arial"/>
                <w:sz w:val="14"/>
                <w:szCs w:val="14"/>
                <w:color w:val="auto"/>
              </w:rPr>
              <w:t>948</w:t>
            </w:r>
          </w:p>
        </w:tc>
        <w:tc>
          <w:tcPr>
            <w:tcW w:w="760" w:type="dxa"/>
            <w:vAlign w:val="bottom"/>
          </w:tcPr>
          <w:p>
            <w:pPr>
              <w:jc w:val="right"/>
              <w:ind w:right="188"/>
              <w:spacing w:after="0"/>
              <w:rPr>
                <w:sz w:val="20"/>
                <w:szCs w:val="20"/>
                <w:color w:val="auto"/>
              </w:rPr>
            </w:pPr>
            <w:r>
              <w:rPr>
                <w:rFonts w:ascii="Arial" w:cs="Arial" w:eastAsia="Arial" w:hAnsi="Arial"/>
                <w:sz w:val="14"/>
                <w:szCs w:val="14"/>
                <w:color w:val="auto"/>
              </w:rPr>
              <w:t>211</w:t>
            </w:r>
          </w:p>
        </w:tc>
        <w:tc>
          <w:tcPr>
            <w:tcW w:w="80" w:type="dxa"/>
            <w:vAlign w:val="bottom"/>
          </w:tcPr>
          <w:p>
            <w:pPr>
              <w:spacing w:after="0"/>
              <w:rPr>
                <w:sz w:val="14"/>
                <w:szCs w:val="14"/>
                <w:color w:val="auto"/>
              </w:rPr>
            </w:pPr>
          </w:p>
        </w:tc>
        <w:tc>
          <w:tcPr>
            <w:tcW w:w="500" w:type="dxa"/>
            <w:vAlign w:val="bottom"/>
          </w:tcPr>
          <w:p>
            <w:pPr>
              <w:jc w:val="right"/>
              <w:ind w:right="49"/>
              <w:spacing w:after="0"/>
              <w:rPr>
                <w:sz w:val="20"/>
                <w:szCs w:val="20"/>
                <w:color w:val="auto"/>
              </w:rPr>
            </w:pPr>
            <w:r>
              <w:rPr>
                <w:rFonts w:ascii="Arial" w:cs="Arial" w:eastAsia="Arial" w:hAnsi="Arial"/>
                <w:sz w:val="14"/>
                <w:szCs w:val="14"/>
                <w:color w:val="auto"/>
              </w:rPr>
              <w:t>836</w:t>
            </w:r>
          </w:p>
        </w:tc>
        <w:tc>
          <w:tcPr>
            <w:tcW w:w="220" w:type="dxa"/>
            <w:vAlign w:val="bottom"/>
          </w:tcPr>
          <w:p>
            <w:pPr>
              <w:spacing w:after="0"/>
              <w:rPr>
                <w:sz w:val="14"/>
                <w:szCs w:val="14"/>
                <w:color w:val="auto"/>
              </w:rPr>
            </w:pPr>
          </w:p>
        </w:tc>
        <w:tc>
          <w:tcPr>
            <w:tcW w:w="840" w:type="dxa"/>
            <w:vAlign w:val="bottom"/>
          </w:tcPr>
          <w:p>
            <w:pPr>
              <w:jc w:val="right"/>
              <w:ind w:right="229"/>
              <w:spacing w:after="0"/>
              <w:rPr>
                <w:sz w:val="20"/>
                <w:szCs w:val="20"/>
                <w:color w:val="auto"/>
              </w:rPr>
            </w:pPr>
            <w:r>
              <w:rPr>
                <w:rFonts w:ascii="Arial" w:cs="Arial" w:eastAsia="Arial" w:hAnsi="Arial"/>
                <w:sz w:val="14"/>
                <w:szCs w:val="14"/>
                <w:color w:val="auto"/>
              </w:rPr>
              <w:t>201</w:t>
            </w:r>
          </w:p>
        </w:tc>
        <w:tc>
          <w:tcPr>
            <w:tcW w:w="6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28"/>
              <w:spacing w:after="0"/>
              <w:rPr>
                <w:sz w:val="20"/>
                <w:szCs w:val="20"/>
                <w:color w:val="auto"/>
              </w:rPr>
            </w:pPr>
            <w:r>
              <w:rPr>
                <w:rFonts w:ascii="Arial" w:cs="Arial" w:eastAsia="Arial" w:hAnsi="Arial"/>
                <w:sz w:val="14"/>
                <w:szCs w:val="14"/>
                <w:color w:val="auto"/>
              </w:rPr>
              <w:t>165</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2,625</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260" w:type="dxa"/>
            <w:vAlign w:val="bottom"/>
            <w:gridSpan w:val="2"/>
          </w:tcPr>
          <w:p>
            <w:pPr>
              <w:spacing w:after="0"/>
              <w:rPr>
                <w:sz w:val="20"/>
                <w:szCs w:val="20"/>
                <w:color w:val="auto"/>
              </w:rPr>
            </w:pPr>
            <w:r>
              <w:rPr>
                <w:rFonts w:ascii="Arial" w:cs="Arial" w:eastAsia="Arial" w:hAnsi="Arial"/>
                <w:sz w:val="14"/>
                <w:szCs w:val="14"/>
                <w:color w:val="auto"/>
              </w:rPr>
              <w:t>Selling, distribution and administrative expenses</w:t>
            </w:r>
          </w:p>
        </w:tc>
        <w:tc>
          <w:tcPr>
            <w:tcW w:w="1380" w:type="dxa"/>
            <w:vAlign w:val="bottom"/>
          </w:tcPr>
          <w:p>
            <w:pPr>
              <w:spacing w:after="0"/>
              <w:rPr>
                <w:sz w:val="14"/>
                <w:szCs w:val="14"/>
                <w:color w:val="auto"/>
              </w:rPr>
            </w:pPr>
          </w:p>
        </w:tc>
        <w:tc>
          <w:tcPr>
            <w:tcW w:w="860" w:type="dxa"/>
            <w:vAlign w:val="bottom"/>
          </w:tcPr>
          <w:p>
            <w:pPr>
              <w:jc w:val="right"/>
              <w:ind w:right="268"/>
              <w:spacing w:after="0"/>
              <w:rPr>
                <w:sz w:val="20"/>
                <w:szCs w:val="20"/>
                <w:color w:val="auto"/>
              </w:rPr>
            </w:pPr>
            <w:r>
              <w:rPr>
                <w:rFonts w:ascii="Arial" w:cs="Arial" w:eastAsia="Arial" w:hAnsi="Arial"/>
                <w:sz w:val="14"/>
                <w:szCs w:val="14"/>
                <w:color w:val="auto"/>
              </w:rPr>
              <w:t>777</w:t>
            </w:r>
          </w:p>
        </w:tc>
        <w:tc>
          <w:tcPr>
            <w:tcW w:w="140" w:type="dxa"/>
            <w:vAlign w:val="bottom"/>
          </w:tcPr>
          <w:p>
            <w:pPr>
              <w:spacing w:after="0"/>
              <w:rPr>
                <w:sz w:val="14"/>
                <w:szCs w:val="14"/>
                <w:color w:val="auto"/>
              </w:rPr>
            </w:pPr>
          </w:p>
        </w:tc>
        <w:tc>
          <w:tcPr>
            <w:tcW w:w="840" w:type="dxa"/>
            <w:vAlign w:val="bottom"/>
          </w:tcPr>
          <w:p>
            <w:pPr>
              <w:jc w:val="right"/>
              <w:ind w:right="288"/>
              <w:spacing w:after="0"/>
              <w:rPr>
                <w:sz w:val="20"/>
                <w:szCs w:val="20"/>
                <w:color w:val="auto"/>
              </w:rPr>
            </w:pPr>
            <w:r>
              <w:rPr>
                <w:rFonts w:ascii="Arial" w:cs="Arial" w:eastAsia="Arial" w:hAnsi="Arial"/>
                <w:sz w:val="14"/>
                <w:szCs w:val="14"/>
                <w:color w:val="auto"/>
              </w:rPr>
              <w:t>103</w:t>
            </w:r>
          </w:p>
        </w:tc>
        <w:tc>
          <w:tcPr>
            <w:tcW w:w="760" w:type="dxa"/>
            <w:vAlign w:val="bottom"/>
          </w:tcPr>
          <w:p>
            <w:pPr>
              <w:jc w:val="right"/>
              <w:ind w:right="188"/>
              <w:spacing w:after="0"/>
              <w:rPr>
                <w:sz w:val="20"/>
                <w:szCs w:val="20"/>
                <w:color w:val="auto"/>
              </w:rPr>
            </w:pPr>
            <w:r>
              <w:rPr>
                <w:rFonts w:ascii="Arial" w:cs="Arial" w:eastAsia="Arial" w:hAnsi="Arial"/>
                <w:sz w:val="14"/>
                <w:szCs w:val="14"/>
                <w:color w:val="auto"/>
              </w:rPr>
              <w:t>9</w:t>
            </w:r>
          </w:p>
        </w:tc>
        <w:tc>
          <w:tcPr>
            <w:tcW w:w="80" w:type="dxa"/>
            <w:vAlign w:val="bottom"/>
          </w:tcPr>
          <w:p>
            <w:pPr>
              <w:spacing w:after="0"/>
              <w:rPr>
                <w:sz w:val="14"/>
                <w:szCs w:val="14"/>
                <w:color w:val="auto"/>
              </w:rPr>
            </w:pPr>
          </w:p>
        </w:tc>
        <w:tc>
          <w:tcPr>
            <w:tcW w:w="500" w:type="dxa"/>
            <w:vAlign w:val="bottom"/>
          </w:tcPr>
          <w:p>
            <w:pPr>
              <w:jc w:val="right"/>
              <w:ind w:right="49"/>
              <w:spacing w:after="0"/>
              <w:rPr>
                <w:sz w:val="20"/>
                <w:szCs w:val="20"/>
                <w:color w:val="auto"/>
              </w:rPr>
            </w:pPr>
            <w:r>
              <w:rPr>
                <w:rFonts w:ascii="Arial" w:cs="Arial" w:eastAsia="Arial" w:hAnsi="Arial"/>
                <w:sz w:val="14"/>
                <w:szCs w:val="14"/>
                <w:color w:val="auto"/>
              </w:rPr>
              <w:t>1</w:t>
            </w:r>
          </w:p>
        </w:tc>
        <w:tc>
          <w:tcPr>
            <w:tcW w:w="220" w:type="dxa"/>
            <w:vAlign w:val="bottom"/>
          </w:tcPr>
          <w:p>
            <w:pPr>
              <w:spacing w:after="0"/>
              <w:rPr>
                <w:sz w:val="14"/>
                <w:szCs w:val="14"/>
                <w:color w:val="auto"/>
              </w:rPr>
            </w:pPr>
          </w:p>
        </w:tc>
        <w:tc>
          <w:tcPr>
            <w:tcW w:w="840" w:type="dxa"/>
            <w:vAlign w:val="bottom"/>
          </w:tcPr>
          <w:p>
            <w:pPr>
              <w:jc w:val="right"/>
              <w:ind w:right="229"/>
              <w:spacing w:after="0"/>
              <w:rPr>
                <w:sz w:val="20"/>
                <w:szCs w:val="20"/>
                <w:color w:val="auto"/>
              </w:rPr>
            </w:pPr>
            <w:r>
              <w:rPr>
                <w:rFonts w:ascii="Arial" w:cs="Arial" w:eastAsia="Arial" w:hAnsi="Arial"/>
                <w:sz w:val="14"/>
                <w:szCs w:val="14"/>
                <w:color w:val="auto"/>
              </w:rPr>
              <w:t>136</w:t>
            </w:r>
          </w:p>
        </w:tc>
        <w:tc>
          <w:tcPr>
            <w:tcW w:w="540" w:type="dxa"/>
            <w:vAlign w:val="bottom"/>
          </w:tcPr>
          <w:p>
            <w:pPr>
              <w:jc w:val="right"/>
              <w:ind w:right="29"/>
              <w:spacing w:after="0"/>
              <w:rPr>
                <w:sz w:val="20"/>
                <w:szCs w:val="20"/>
                <w:color w:val="auto"/>
              </w:rPr>
            </w:pPr>
            <w:r>
              <w:rPr>
                <w:rFonts w:ascii="Arial" w:cs="Arial" w:eastAsia="Arial" w:hAnsi="Arial"/>
                <w:sz w:val="14"/>
                <w:szCs w:val="14"/>
                <w:color w:val="auto"/>
              </w:rPr>
              <w:t>7</w:t>
            </w:r>
          </w:p>
        </w:tc>
        <w:tc>
          <w:tcPr>
            <w:tcW w:w="140" w:type="dxa"/>
            <w:vAlign w:val="bottom"/>
          </w:tcPr>
          <w:p>
            <w:pPr>
              <w:spacing w:after="0"/>
              <w:rPr>
                <w:sz w:val="14"/>
                <w:szCs w:val="14"/>
                <w:color w:val="auto"/>
              </w:rPr>
            </w:pPr>
          </w:p>
        </w:tc>
        <w:tc>
          <w:tcPr>
            <w:tcW w:w="700" w:type="dxa"/>
            <w:vAlign w:val="bottom"/>
            <w:gridSpan w:val="2"/>
          </w:tcPr>
          <w:p>
            <w:pPr>
              <w:jc w:val="right"/>
              <w:ind w:right="28"/>
              <w:spacing w:after="0"/>
              <w:rPr>
                <w:sz w:val="20"/>
                <w:szCs w:val="20"/>
                <w:color w:val="auto"/>
              </w:rPr>
            </w:pPr>
            <w:r>
              <w:rPr>
                <w:rFonts w:ascii="Arial" w:cs="Arial" w:eastAsia="Arial" w:hAnsi="Arial"/>
                <w:sz w:val="14"/>
                <w:szCs w:val="14"/>
                <w:color w:val="auto"/>
              </w:rPr>
              <w:t>22</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1,055</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260" w:type="dxa"/>
            <w:vAlign w:val="bottom"/>
            <w:gridSpan w:val="2"/>
          </w:tcPr>
          <w:p>
            <w:pPr>
              <w:spacing w:after="0"/>
              <w:rPr>
                <w:sz w:val="20"/>
                <w:szCs w:val="20"/>
                <w:color w:val="auto"/>
              </w:rPr>
            </w:pPr>
            <w:r>
              <w:rPr>
                <w:rFonts w:ascii="Arial" w:cs="Arial" w:eastAsia="Arial" w:hAnsi="Arial"/>
                <w:sz w:val="14"/>
                <w:szCs w:val="14"/>
                <w:color w:val="auto"/>
              </w:rPr>
              <w:t>Research and development</w:t>
            </w:r>
          </w:p>
        </w:tc>
        <w:tc>
          <w:tcPr>
            <w:tcW w:w="1380" w:type="dxa"/>
            <w:vAlign w:val="bottom"/>
          </w:tcPr>
          <w:p>
            <w:pPr>
              <w:spacing w:after="0"/>
              <w:rPr>
                <w:sz w:val="14"/>
                <w:szCs w:val="14"/>
                <w:color w:val="auto"/>
              </w:rPr>
            </w:pPr>
          </w:p>
        </w:tc>
        <w:tc>
          <w:tcPr>
            <w:tcW w:w="860" w:type="dxa"/>
            <w:vAlign w:val="bottom"/>
          </w:tcPr>
          <w:p>
            <w:pPr>
              <w:jc w:val="right"/>
              <w:ind w:right="268"/>
              <w:spacing w:after="0"/>
              <w:rPr>
                <w:sz w:val="20"/>
                <w:szCs w:val="20"/>
                <w:color w:val="auto"/>
              </w:rPr>
            </w:pPr>
            <w:r>
              <w:rPr>
                <w:rFonts w:ascii="Arial" w:cs="Arial" w:eastAsia="Arial" w:hAnsi="Arial"/>
                <w:sz w:val="14"/>
                <w:szCs w:val="14"/>
                <w:color w:val="auto"/>
              </w:rPr>
              <w:t>642</w:t>
            </w:r>
          </w:p>
        </w:tc>
        <w:tc>
          <w:tcPr>
            <w:tcW w:w="140" w:type="dxa"/>
            <w:vAlign w:val="bottom"/>
          </w:tcPr>
          <w:p>
            <w:pPr>
              <w:spacing w:after="0"/>
              <w:rPr>
                <w:sz w:val="14"/>
                <w:szCs w:val="14"/>
                <w:color w:val="auto"/>
              </w:rPr>
            </w:pPr>
          </w:p>
        </w:tc>
        <w:tc>
          <w:tcPr>
            <w:tcW w:w="840" w:type="dxa"/>
            <w:vAlign w:val="bottom"/>
          </w:tcPr>
          <w:p>
            <w:pPr>
              <w:jc w:val="right"/>
              <w:ind w:right="288"/>
              <w:spacing w:after="0"/>
              <w:rPr>
                <w:sz w:val="20"/>
                <w:szCs w:val="20"/>
                <w:color w:val="auto"/>
              </w:rPr>
            </w:pPr>
            <w:r>
              <w:rPr>
                <w:rFonts w:ascii="Arial" w:cs="Arial" w:eastAsia="Arial" w:hAnsi="Arial"/>
                <w:sz w:val="14"/>
                <w:szCs w:val="14"/>
                <w:color w:val="auto"/>
              </w:rPr>
              <w:t>28</w:t>
            </w:r>
          </w:p>
        </w:tc>
        <w:tc>
          <w:tcPr>
            <w:tcW w:w="7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720" w:type="dxa"/>
            <w:vAlign w:val="bottom"/>
            <w:gridSpan w:val="2"/>
          </w:tcPr>
          <w:p>
            <w:pPr>
              <w:jc w:val="right"/>
              <w:ind w:right="268"/>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229"/>
              <w:spacing w:after="0"/>
              <w:rPr>
                <w:sz w:val="20"/>
                <w:szCs w:val="20"/>
                <w:color w:val="auto"/>
              </w:rPr>
            </w:pPr>
            <w:r>
              <w:rPr>
                <w:rFonts w:ascii="Arial" w:cs="Arial" w:eastAsia="Arial" w:hAnsi="Arial"/>
                <w:sz w:val="14"/>
                <w:szCs w:val="14"/>
                <w:color w:val="auto"/>
              </w:rPr>
              <w:t>134</w:t>
            </w:r>
          </w:p>
        </w:tc>
        <w:tc>
          <w:tcPr>
            <w:tcW w:w="540" w:type="dxa"/>
            <w:vAlign w:val="bottom"/>
          </w:tcPr>
          <w:p>
            <w:pPr>
              <w:jc w:val="right"/>
              <w:ind w:right="29"/>
              <w:spacing w:after="0"/>
              <w:rPr>
                <w:sz w:val="20"/>
                <w:szCs w:val="20"/>
                <w:color w:val="auto"/>
              </w:rPr>
            </w:pPr>
            <w:r>
              <w:rPr>
                <w:rFonts w:ascii="Arial" w:cs="Arial" w:eastAsia="Arial" w:hAnsi="Arial"/>
                <w:sz w:val="14"/>
                <w:szCs w:val="14"/>
                <w:color w:val="auto"/>
              </w:rPr>
              <w:t>51</w:t>
            </w:r>
          </w:p>
        </w:tc>
        <w:tc>
          <w:tcPr>
            <w:tcW w:w="140" w:type="dxa"/>
            <w:vAlign w:val="bottom"/>
          </w:tcPr>
          <w:p>
            <w:pPr>
              <w:spacing w:after="0"/>
              <w:rPr>
                <w:sz w:val="14"/>
                <w:szCs w:val="14"/>
                <w:color w:val="auto"/>
              </w:rPr>
            </w:pPr>
          </w:p>
        </w:tc>
        <w:tc>
          <w:tcPr>
            <w:tcW w:w="800" w:type="dxa"/>
            <w:vAlign w:val="bottom"/>
            <w:gridSpan w:val="4"/>
          </w:tcPr>
          <w:p>
            <w:pPr>
              <w:jc w:val="right"/>
              <w:ind w:right="200"/>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855</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260" w:type="dxa"/>
            <w:vAlign w:val="bottom"/>
            <w:gridSpan w:val="2"/>
          </w:tcPr>
          <w:p>
            <w:pPr>
              <w:spacing w:after="0"/>
              <w:rPr>
                <w:sz w:val="20"/>
                <w:szCs w:val="20"/>
                <w:color w:val="auto"/>
              </w:rPr>
            </w:pPr>
            <w:r>
              <w:rPr>
                <w:rFonts w:ascii="Arial" w:cs="Arial" w:eastAsia="Arial" w:hAnsi="Arial"/>
                <w:sz w:val="14"/>
                <w:szCs w:val="14"/>
                <w:color w:val="auto"/>
              </w:rPr>
              <w:t>Exploration</w:t>
            </w:r>
          </w:p>
        </w:tc>
        <w:tc>
          <w:tcPr>
            <w:tcW w:w="1380" w:type="dxa"/>
            <w:vAlign w:val="bottom"/>
          </w:tcPr>
          <w:p>
            <w:pPr>
              <w:spacing w:after="0"/>
              <w:rPr>
                <w:sz w:val="14"/>
                <w:szCs w:val="14"/>
                <w:color w:val="auto"/>
              </w:rPr>
            </w:pPr>
          </w:p>
        </w:tc>
        <w:tc>
          <w:tcPr>
            <w:tcW w:w="860" w:type="dxa"/>
            <w:vAlign w:val="bottom"/>
          </w:tcPr>
          <w:p>
            <w:pPr>
              <w:jc w:val="right"/>
              <w:ind w:right="268"/>
              <w:spacing w:after="0"/>
              <w:rPr>
                <w:sz w:val="20"/>
                <w:szCs w:val="20"/>
                <w:color w:val="auto"/>
              </w:rPr>
            </w:pPr>
            <w:r>
              <w:rPr>
                <w:rFonts w:ascii="Arial" w:cs="Arial" w:eastAsia="Arial" w:hAnsi="Arial"/>
                <w:sz w:val="14"/>
                <w:szCs w:val="14"/>
                <w:color w:val="auto"/>
              </w:rPr>
              <w:t>458</w:t>
            </w:r>
          </w:p>
        </w:tc>
        <w:tc>
          <w:tcPr>
            <w:tcW w:w="140" w:type="dxa"/>
            <w:vAlign w:val="bottom"/>
          </w:tcPr>
          <w:p>
            <w:pPr>
              <w:spacing w:after="0"/>
              <w:rPr>
                <w:sz w:val="14"/>
                <w:szCs w:val="14"/>
                <w:color w:val="auto"/>
              </w:rPr>
            </w:pPr>
          </w:p>
        </w:tc>
        <w:tc>
          <w:tcPr>
            <w:tcW w:w="840" w:type="dxa"/>
            <w:vAlign w:val="bottom"/>
          </w:tcPr>
          <w:p>
            <w:pPr>
              <w:jc w:val="right"/>
              <w:ind w:right="288"/>
              <w:spacing w:after="0"/>
              <w:rPr>
                <w:sz w:val="20"/>
                <w:szCs w:val="20"/>
                <w:color w:val="auto"/>
              </w:rPr>
            </w:pPr>
            <w:r>
              <w:rPr>
                <w:rFonts w:ascii="Arial" w:cs="Arial" w:eastAsia="Arial" w:hAnsi="Arial"/>
                <w:sz w:val="14"/>
                <w:szCs w:val="14"/>
                <w:color w:val="auto"/>
              </w:rPr>
              <w:t>1,331</w:t>
            </w:r>
          </w:p>
        </w:tc>
        <w:tc>
          <w:tcPr>
            <w:tcW w:w="760" w:type="dxa"/>
            <w:vAlign w:val="bottom"/>
          </w:tcPr>
          <w:p>
            <w:pPr>
              <w:jc w:val="right"/>
              <w:ind w:right="188"/>
              <w:spacing w:after="0"/>
              <w:rPr>
                <w:sz w:val="20"/>
                <w:szCs w:val="20"/>
                <w:color w:val="auto"/>
              </w:rPr>
            </w:pPr>
            <w:r>
              <w:rPr>
                <w:rFonts w:ascii="Arial" w:cs="Arial" w:eastAsia="Arial" w:hAnsi="Arial"/>
                <w:sz w:val="14"/>
                <w:szCs w:val="14"/>
                <w:color w:val="auto"/>
              </w:rPr>
              <w:t>232</w:t>
            </w:r>
          </w:p>
        </w:tc>
        <w:tc>
          <w:tcPr>
            <w:tcW w:w="80" w:type="dxa"/>
            <w:vAlign w:val="bottom"/>
          </w:tcPr>
          <w:p>
            <w:pPr>
              <w:spacing w:after="0"/>
              <w:rPr>
                <w:sz w:val="14"/>
                <w:szCs w:val="14"/>
                <w:color w:val="auto"/>
              </w:rPr>
            </w:pPr>
          </w:p>
        </w:tc>
        <w:tc>
          <w:tcPr>
            <w:tcW w:w="500" w:type="dxa"/>
            <w:vAlign w:val="bottom"/>
          </w:tcPr>
          <w:p>
            <w:pPr>
              <w:jc w:val="right"/>
              <w:ind w:right="49"/>
              <w:spacing w:after="0"/>
              <w:rPr>
                <w:sz w:val="20"/>
                <w:szCs w:val="20"/>
                <w:color w:val="auto"/>
              </w:rPr>
            </w:pPr>
            <w:r>
              <w:rPr>
                <w:rFonts w:ascii="Arial" w:cs="Arial" w:eastAsia="Arial" w:hAnsi="Arial"/>
                <w:sz w:val="14"/>
                <w:szCs w:val="14"/>
                <w:color w:val="auto"/>
              </w:rPr>
              <w:t>307</w:t>
            </w:r>
          </w:p>
        </w:tc>
        <w:tc>
          <w:tcPr>
            <w:tcW w:w="220" w:type="dxa"/>
            <w:vAlign w:val="bottom"/>
          </w:tcPr>
          <w:p>
            <w:pPr>
              <w:spacing w:after="0"/>
              <w:rPr>
                <w:sz w:val="14"/>
                <w:szCs w:val="14"/>
                <w:color w:val="auto"/>
              </w:rPr>
            </w:pPr>
          </w:p>
        </w:tc>
        <w:tc>
          <w:tcPr>
            <w:tcW w:w="840" w:type="dxa"/>
            <w:vAlign w:val="bottom"/>
          </w:tcPr>
          <w:p>
            <w:pPr>
              <w:jc w:val="right"/>
              <w:ind w:right="229"/>
              <w:spacing w:after="0"/>
              <w:rPr>
                <w:sz w:val="20"/>
                <w:szCs w:val="20"/>
                <w:color w:val="auto"/>
              </w:rPr>
            </w:pPr>
            <w:r>
              <w:rPr>
                <w:rFonts w:ascii="Arial" w:cs="Arial" w:eastAsia="Arial" w:hAnsi="Arial"/>
                <w:sz w:val="14"/>
                <w:szCs w:val="14"/>
                <w:color w:val="auto"/>
              </w:rPr>
              <w:t>1,548</w:t>
            </w:r>
          </w:p>
        </w:tc>
        <w:tc>
          <w:tcPr>
            <w:tcW w:w="540" w:type="dxa"/>
            <w:vAlign w:val="bottom"/>
          </w:tcPr>
          <w:p>
            <w:pPr>
              <w:jc w:val="right"/>
              <w:ind w:right="29"/>
              <w:spacing w:after="0"/>
              <w:rPr>
                <w:sz w:val="20"/>
                <w:szCs w:val="20"/>
                <w:color w:val="auto"/>
              </w:rPr>
            </w:pPr>
            <w:r>
              <w:rPr>
                <w:rFonts w:ascii="Arial" w:cs="Arial" w:eastAsia="Arial" w:hAnsi="Arial"/>
                <w:sz w:val="14"/>
                <w:szCs w:val="14"/>
                <w:color w:val="auto"/>
              </w:rPr>
              <w:t>88</w:t>
            </w:r>
          </w:p>
        </w:tc>
        <w:tc>
          <w:tcPr>
            <w:tcW w:w="140" w:type="dxa"/>
            <w:vAlign w:val="bottom"/>
          </w:tcPr>
          <w:p>
            <w:pPr>
              <w:spacing w:after="0"/>
              <w:rPr>
                <w:sz w:val="14"/>
                <w:szCs w:val="14"/>
                <w:color w:val="auto"/>
              </w:rPr>
            </w:pPr>
          </w:p>
        </w:tc>
        <w:tc>
          <w:tcPr>
            <w:tcW w:w="700" w:type="dxa"/>
            <w:vAlign w:val="bottom"/>
            <w:gridSpan w:val="2"/>
          </w:tcPr>
          <w:p>
            <w:pPr>
              <w:jc w:val="right"/>
              <w:ind w:right="28"/>
              <w:spacing w:after="0"/>
              <w:rPr>
                <w:sz w:val="20"/>
                <w:szCs w:val="20"/>
                <w:color w:val="auto"/>
              </w:rPr>
            </w:pPr>
            <w:r>
              <w:rPr>
                <w:rFonts w:ascii="Arial" w:cs="Arial" w:eastAsia="Arial" w:hAnsi="Arial"/>
                <w:sz w:val="14"/>
                <w:szCs w:val="14"/>
                <w:color w:val="auto"/>
              </w:rPr>
              <w:t>260</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4,224</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260" w:type="dxa"/>
            <w:vAlign w:val="bottom"/>
            <w:gridSpan w:val="2"/>
          </w:tcPr>
          <w:p>
            <w:pPr>
              <w:spacing w:after="0"/>
              <w:rPr>
                <w:sz w:val="20"/>
                <w:szCs w:val="20"/>
                <w:color w:val="auto"/>
              </w:rPr>
            </w:pPr>
            <w:r>
              <w:rPr>
                <w:rFonts w:ascii="Arial" w:cs="Arial" w:eastAsia="Arial" w:hAnsi="Arial"/>
                <w:sz w:val="14"/>
                <w:szCs w:val="14"/>
                <w:color w:val="auto"/>
              </w:rPr>
              <w:t>Depreciation, depletion and amortisation</w:t>
            </w:r>
          </w:p>
        </w:tc>
        <w:tc>
          <w:tcPr>
            <w:tcW w:w="1380" w:type="dxa"/>
            <w:vAlign w:val="bottom"/>
          </w:tcPr>
          <w:p>
            <w:pPr>
              <w:spacing w:after="0"/>
              <w:rPr>
                <w:sz w:val="14"/>
                <w:szCs w:val="14"/>
                <w:color w:val="auto"/>
              </w:rPr>
            </w:pPr>
          </w:p>
        </w:tc>
        <w:tc>
          <w:tcPr>
            <w:tcW w:w="860" w:type="dxa"/>
            <w:vAlign w:val="bottom"/>
          </w:tcPr>
          <w:p>
            <w:pPr>
              <w:jc w:val="right"/>
              <w:ind w:right="268"/>
              <w:spacing w:after="0"/>
              <w:rPr>
                <w:sz w:val="20"/>
                <w:szCs w:val="20"/>
                <w:color w:val="auto"/>
              </w:rPr>
            </w:pPr>
            <w:r>
              <w:rPr>
                <w:rFonts w:ascii="Arial" w:cs="Arial" w:eastAsia="Arial" w:hAnsi="Arial"/>
                <w:sz w:val="14"/>
                <w:szCs w:val="14"/>
                <w:color w:val="auto"/>
              </w:rPr>
              <w:t>1,815</w:t>
            </w:r>
          </w:p>
        </w:tc>
        <w:tc>
          <w:tcPr>
            <w:tcW w:w="140" w:type="dxa"/>
            <w:vAlign w:val="bottom"/>
          </w:tcPr>
          <w:p>
            <w:pPr>
              <w:spacing w:after="0"/>
              <w:rPr>
                <w:sz w:val="14"/>
                <w:szCs w:val="14"/>
                <w:color w:val="auto"/>
              </w:rPr>
            </w:pPr>
          </w:p>
        </w:tc>
        <w:tc>
          <w:tcPr>
            <w:tcW w:w="840" w:type="dxa"/>
            <w:vAlign w:val="bottom"/>
          </w:tcPr>
          <w:p>
            <w:pPr>
              <w:jc w:val="right"/>
              <w:ind w:right="288"/>
              <w:spacing w:after="0"/>
              <w:rPr>
                <w:sz w:val="20"/>
                <w:szCs w:val="20"/>
                <w:color w:val="auto"/>
              </w:rPr>
            </w:pPr>
            <w:r>
              <w:rPr>
                <w:rFonts w:ascii="Arial" w:cs="Arial" w:eastAsia="Arial" w:hAnsi="Arial"/>
                <w:sz w:val="14"/>
                <w:szCs w:val="14"/>
                <w:color w:val="auto"/>
              </w:rPr>
              <w:t>4,621</w:t>
            </w:r>
          </w:p>
        </w:tc>
        <w:tc>
          <w:tcPr>
            <w:tcW w:w="760" w:type="dxa"/>
            <w:vAlign w:val="bottom"/>
          </w:tcPr>
          <w:p>
            <w:pPr>
              <w:jc w:val="right"/>
              <w:ind w:right="188"/>
              <w:spacing w:after="0"/>
              <w:rPr>
                <w:sz w:val="20"/>
                <w:szCs w:val="20"/>
                <w:color w:val="auto"/>
              </w:rPr>
            </w:pPr>
            <w:r>
              <w:rPr>
                <w:rFonts w:ascii="Arial" w:cs="Arial" w:eastAsia="Arial" w:hAnsi="Arial"/>
                <w:sz w:val="14"/>
                <w:szCs w:val="14"/>
                <w:color w:val="auto"/>
              </w:rPr>
              <w:t>430</w:t>
            </w:r>
          </w:p>
        </w:tc>
        <w:tc>
          <w:tcPr>
            <w:tcW w:w="80" w:type="dxa"/>
            <w:vAlign w:val="bottom"/>
          </w:tcPr>
          <w:p>
            <w:pPr>
              <w:spacing w:after="0"/>
              <w:rPr>
                <w:sz w:val="14"/>
                <w:szCs w:val="14"/>
                <w:color w:val="auto"/>
              </w:rPr>
            </w:pPr>
          </w:p>
        </w:tc>
        <w:tc>
          <w:tcPr>
            <w:tcW w:w="500" w:type="dxa"/>
            <w:vAlign w:val="bottom"/>
          </w:tcPr>
          <w:p>
            <w:pPr>
              <w:jc w:val="right"/>
              <w:ind w:right="49"/>
              <w:spacing w:after="0"/>
              <w:rPr>
                <w:sz w:val="20"/>
                <w:szCs w:val="20"/>
                <w:color w:val="auto"/>
              </w:rPr>
            </w:pPr>
            <w:r>
              <w:rPr>
                <w:rFonts w:ascii="Arial" w:cs="Arial" w:eastAsia="Arial" w:hAnsi="Arial"/>
                <w:sz w:val="14"/>
                <w:szCs w:val="14"/>
                <w:color w:val="auto"/>
              </w:rPr>
              <w:t>2,054</w:t>
            </w:r>
          </w:p>
        </w:tc>
        <w:tc>
          <w:tcPr>
            <w:tcW w:w="220" w:type="dxa"/>
            <w:vAlign w:val="bottom"/>
          </w:tcPr>
          <w:p>
            <w:pPr>
              <w:spacing w:after="0"/>
              <w:rPr>
                <w:sz w:val="14"/>
                <w:szCs w:val="14"/>
                <w:color w:val="auto"/>
              </w:rPr>
            </w:pPr>
          </w:p>
        </w:tc>
        <w:tc>
          <w:tcPr>
            <w:tcW w:w="840" w:type="dxa"/>
            <w:vAlign w:val="bottom"/>
          </w:tcPr>
          <w:p>
            <w:pPr>
              <w:jc w:val="right"/>
              <w:ind w:right="229"/>
              <w:spacing w:after="0"/>
              <w:rPr>
                <w:sz w:val="20"/>
                <w:szCs w:val="20"/>
                <w:color w:val="auto"/>
              </w:rPr>
            </w:pPr>
            <w:r>
              <w:rPr>
                <w:rFonts w:ascii="Arial" w:cs="Arial" w:eastAsia="Arial" w:hAnsi="Arial"/>
                <w:sz w:val="14"/>
                <w:szCs w:val="14"/>
                <w:color w:val="auto"/>
              </w:rPr>
              <w:t>6,665</w:t>
            </w:r>
          </w:p>
        </w:tc>
        <w:tc>
          <w:tcPr>
            <w:tcW w:w="540" w:type="dxa"/>
            <w:vAlign w:val="bottom"/>
          </w:tcPr>
          <w:p>
            <w:pPr>
              <w:jc w:val="right"/>
              <w:ind w:right="29"/>
              <w:spacing w:after="0"/>
              <w:rPr>
                <w:sz w:val="20"/>
                <w:szCs w:val="20"/>
                <w:color w:val="auto"/>
              </w:rPr>
            </w:pPr>
            <w:r>
              <w:rPr>
                <w:rFonts w:ascii="Arial" w:cs="Arial" w:eastAsia="Arial" w:hAnsi="Arial"/>
                <w:sz w:val="14"/>
                <w:szCs w:val="14"/>
                <w:color w:val="auto"/>
              </w:rPr>
              <w:t>1,808</w:t>
            </w:r>
          </w:p>
        </w:tc>
        <w:tc>
          <w:tcPr>
            <w:tcW w:w="140" w:type="dxa"/>
            <w:vAlign w:val="bottom"/>
          </w:tcPr>
          <w:p>
            <w:pPr>
              <w:spacing w:after="0"/>
              <w:rPr>
                <w:sz w:val="14"/>
                <w:szCs w:val="14"/>
                <w:color w:val="auto"/>
              </w:rPr>
            </w:pPr>
          </w:p>
        </w:tc>
        <w:tc>
          <w:tcPr>
            <w:tcW w:w="700" w:type="dxa"/>
            <w:vAlign w:val="bottom"/>
            <w:gridSpan w:val="2"/>
          </w:tcPr>
          <w:p>
            <w:pPr>
              <w:jc w:val="right"/>
              <w:ind w:right="28"/>
              <w:spacing w:after="0"/>
              <w:rPr>
                <w:sz w:val="20"/>
                <w:szCs w:val="20"/>
                <w:color w:val="auto"/>
              </w:rPr>
            </w:pPr>
            <w:r>
              <w:rPr>
                <w:rFonts w:ascii="Arial" w:cs="Arial" w:eastAsia="Arial" w:hAnsi="Arial"/>
                <w:sz w:val="14"/>
                <w:szCs w:val="14"/>
                <w:color w:val="auto"/>
              </w:rPr>
              <w:t>475</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17,868</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3260" w:type="dxa"/>
            <w:vAlign w:val="bottom"/>
            <w:tcBorders>
              <w:bottom w:val="single" w:sz="8" w:color="auto"/>
            </w:tcBorders>
            <w:gridSpan w:val="2"/>
          </w:tcPr>
          <w:p>
            <w:pPr>
              <w:spacing w:after="0" w:line="157" w:lineRule="exact"/>
              <w:rPr>
                <w:sz w:val="20"/>
                <w:szCs w:val="20"/>
                <w:color w:val="auto"/>
              </w:rPr>
            </w:pPr>
            <w:r>
              <w:rPr>
                <w:rFonts w:ascii="Arial" w:cs="Arial" w:eastAsia="Arial" w:hAnsi="Arial"/>
                <w:sz w:val="14"/>
                <w:szCs w:val="14"/>
                <w:color w:val="auto"/>
              </w:rPr>
              <w:t>Interest expense</w:t>
            </w:r>
          </w:p>
        </w:tc>
        <w:tc>
          <w:tcPr>
            <w:tcW w:w="138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268"/>
              <w:spacing w:after="0" w:line="157" w:lineRule="exact"/>
              <w:rPr>
                <w:sz w:val="20"/>
                <w:szCs w:val="20"/>
                <w:color w:val="auto"/>
              </w:rPr>
            </w:pPr>
            <w:r>
              <w:rPr>
                <w:rFonts w:ascii="Arial" w:cs="Arial" w:eastAsia="Arial" w:hAnsi="Arial"/>
                <w:sz w:val="14"/>
                <w:szCs w:val="14"/>
                <w:color w:val="auto"/>
              </w:rPr>
              <w:t>364</w:t>
            </w:r>
          </w:p>
        </w:tc>
        <w:tc>
          <w:tcPr>
            <w:tcW w:w="14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288"/>
              <w:spacing w:after="0" w:line="157" w:lineRule="exact"/>
              <w:rPr>
                <w:sz w:val="20"/>
                <w:szCs w:val="20"/>
                <w:color w:val="auto"/>
              </w:rPr>
            </w:pPr>
            <w:r>
              <w:rPr>
                <w:rFonts w:ascii="Arial" w:cs="Arial" w:eastAsia="Arial" w:hAnsi="Arial"/>
                <w:sz w:val="14"/>
                <w:szCs w:val="14"/>
                <w:color w:val="auto"/>
              </w:rPr>
              <w:t>90</w:t>
            </w:r>
          </w:p>
        </w:tc>
        <w:tc>
          <w:tcPr>
            <w:tcW w:w="760" w:type="dxa"/>
            <w:vAlign w:val="bottom"/>
            <w:tcBorders>
              <w:bottom w:val="single" w:sz="8" w:color="auto"/>
            </w:tcBorders>
          </w:tcPr>
          <w:p>
            <w:pPr>
              <w:jc w:val="right"/>
              <w:ind w:right="188"/>
              <w:spacing w:after="0" w:line="157" w:lineRule="exact"/>
              <w:rPr>
                <w:sz w:val="20"/>
                <w:szCs w:val="20"/>
                <w:color w:val="auto"/>
              </w:rPr>
            </w:pPr>
            <w:r>
              <w:rPr>
                <w:rFonts w:ascii="Arial" w:cs="Arial" w:eastAsia="Arial" w:hAnsi="Arial"/>
                <w:sz w:val="14"/>
                <w:szCs w:val="14"/>
                <w:color w:val="auto"/>
              </w:rPr>
              <w:t>55</w:t>
            </w:r>
          </w:p>
        </w:tc>
        <w:tc>
          <w:tcPr>
            <w:tcW w:w="8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jc w:val="right"/>
              <w:ind w:right="49"/>
              <w:spacing w:after="0" w:line="157" w:lineRule="exact"/>
              <w:rPr>
                <w:sz w:val="20"/>
                <w:szCs w:val="20"/>
                <w:color w:val="auto"/>
              </w:rPr>
            </w:pPr>
            <w:r>
              <w:rPr>
                <w:rFonts w:ascii="Arial" w:cs="Arial" w:eastAsia="Arial" w:hAnsi="Arial"/>
                <w:sz w:val="14"/>
                <w:szCs w:val="14"/>
                <w:color w:val="auto"/>
              </w:rPr>
              <w:t>144</w:t>
            </w:r>
          </w:p>
        </w:tc>
        <w:tc>
          <w:tcPr>
            <w:tcW w:w="22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229"/>
              <w:spacing w:after="0" w:line="157" w:lineRule="exact"/>
              <w:rPr>
                <w:sz w:val="20"/>
                <w:szCs w:val="20"/>
                <w:color w:val="auto"/>
              </w:rPr>
            </w:pPr>
            <w:r>
              <w:rPr>
                <w:rFonts w:ascii="Arial" w:cs="Arial" w:eastAsia="Arial" w:hAnsi="Arial"/>
                <w:sz w:val="14"/>
                <w:szCs w:val="14"/>
                <w:color w:val="auto"/>
              </w:rPr>
              <w:t>211</w:t>
            </w:r>
          </w:p>
        </w:tc>
        <w:tc>
          <w:tcPr>
            <w:tcW w:w="540" w:type="dxa"/>
            <w:vAlign w:val="bottom"/>
            <w:tcBorders>
              <w:bottom w:val="single" w:sz="8" w:color="auto"/>
            </w:tcBorders>
          </w:tcPr>
          <w:p>
            <w:pPr>
              <w:jc w:val="right"/>
              <w:ind w:right="29"/>
              <w:spacing w:after="0" w:line="157" w:lineRule="exact"/>
              <w:rPr>
                <w:sz w:val="20"/>
                <w:szCs w:val="20"/>
                <w:color w:val="auto"/>
              </w:rPr>
            </w:pPr>
            <w:r>
              <w:rPr>
                <w:rFonts w:ascii="Arial" w:cs="Arial" w:eastAsia="Arial" w:hAnsi="Arial"/>
                <w:sz w:val="14"/>
                <w:szCs w:val="14"/>
                <w:color w:val="auto"/>
              </w:rPr>
              <w:t>60</w:t>
            </w:r>
          </w:p>
        </w:tc>
        <w:tc>
          <w:tcPr>
            <w:tcW w:w="14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gridSpan w:val="2"/>
          </w:tcPr>
          <w:p>
            <w:pPr>
              <w:jc w:val="right"/>
              <w:ind w:right="28"/>
              <w:spacing w:after="0" w:line="157" w:lineRule="exact"/>
              <w:rPr>
                <w:sz w:val="20"/>
                <w:szCs w:val="20"/>
                <w:color w:val="auto"/>
              </w:rPr>
            </w:pPr>
            <w:r>
              <w:rPr>
                <w:rFonts w:ascii="Arial" w:cs="Arial" w:eastAsia="Arial" w:hAnsi="Arial"/>
                <w:sz w:val="14"/>
                <w:szCs w:val="14"/>
                <w:color w:val="auto"/>
              </w:rPr>
              <w:t>29</w:t>
            </w:r>
          </w:p>
        </w:tc>
        <w:tc>
          <w:tcPr>
            <w:tcW w:w="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ind w:right="28"/>
              <w:spacing w:after="0" w:line="157" w:lineRule="exact"/>
              <w:rPr>
                <w:sz w:val="20"/>
                <w:szCs w:val="20"/>
                <w:color w:val="auto"/>
              </w:rPr>
            </w:pPr>
            <w:r>
              <w:rPr>
                <w:rFonts w:ascii="Arial" w:cs="Arial" w:eastAsia="Arial" w:hAnsi="Arial"/>
                <w:sz w:val="14"/>
                <w:szCs w:val="14"/>
                <w:color w:val="auto"/>
              </w:rPr>
              <w:t>953</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3260" w:type="dxa"/>
            <w:vAlign w:val="bottom"/>
            <w:gridSpan w:val="2"/>
          </w:tcPr>
          <w:p>
            <w:pPr>
              <w:spacing w:after="0"/>
              <w:rPr>
                <w:sz w:val="20"/>
                <w:szCs w:val="20"/>
                <w:color w:val="auto"/>
              </w:rPr>
            </w:pPr>
            <w:r>
              <w:rPr>
                <w:rFonts w:ascii="Arial" w:cs="Arial" w:eastAsia="Arial" w:hAnsi="Arial"/>
                <w:sz w:val="14"/>
                <w:szCs w:val="14"/>
                <w:color w:val="auto"/>
              </w:rPr>
              <w:t>Income before taxation</w:t>
            </w:r>
          </w:p>
        </w:tc>
        <w:tc>
          <w:tcPr>
            <w:tcW w:w="1380" w:type="dxa"/>
            <w:vAlign w:val="bottom"/>
          </w:tcPr>
          <w:p>
            <w:pPr>
              <w:spacing w:after="0"/>
              <w:rPr>
                <w:sz w:val="13"/>
                <w:szCs w:val="13"/>
                <w:color w:val="auto"/>
              </w:rPr>
            </w:pPr>
          </w:p>
        </w:tc>
        <w:tc>
          <w:tcPr>
            <w:tcW w:w="860" w:type="dxa"/>
            <w:vAlign w:val="bottom"/>
          </w:tcPr>
          <w:p>
            <w:pPr>
              <w:jc w:val="right"/>
              <w:ind w:right="268"/>
              <w:spacing w:after="0"/>
              <w:rPr>
                <w:sz w:val="20"/>
                <w:szCs w:val="20"/>
                <w:color w:val="auto"/>
              </w:rPr>
            </w:pPr>
            <w:r>
              <w:rPr>
                <w:rFonts w:ascii="Arial" w:cs="Arial" w:eastAsia="Arial" w:hAnsi="Arial"/>
                <w:sz w:val="14"/>
                <w:szCs w:val="14"/>
                <w:color w:val="auto"/>
              </w:rPr>
              <w:t>5,664</w:t>
            </w:r>
          </w:p>
        </w:tc>
        <w:tc>
          <w:tcPr>
            <w:tcW w:w="140" w:type="dxa"/>
            <w:vAlign w:val="bottom"/>
          </w:tcPr>
          <w:p>
            <w:pPr>
              <w:spacing w:after="0"/>
              <w:rPr>
                <w:sz w:val="13"/>
                <w:szCs w:val="13"/>
                <w:color w:val="auto"/>
              </w:rPr>
            </w:pPr>
          </w:p>
        </w:tc>
        <w:tc>
          <w:tcPr>
            <w:tcW w:w="840" w:type="dxa"/>
            <w:vAlign w:val="bottom"/>
          </w:tcPr>
          <w:p>
            <w:pPr>
              <w:jc w:val="right"/>
              <w:ind w:right="288"/>
              <w:spacing w:after="0"/>
              <w:rPr>
                <w:sz w:val="20"/>
                <w:szCs w:val="20"/>
                <w:color w:val="auto"/>
              </w:rPr>
            </w:pPr>
            <w:r>
              <w:rPr>
                <w:rFonts w:ascii="Arial" w:cs="Arial" w:eastAsia="Arial" w:hAnsi="Arial"/>
                <w:sz w:val="14"/>
                <w:szCs w:val="14"/>
                <w:color w:val="auto"/>
              </w:rPr>
              <w:t>17,508</w:t>
            </w:r>
          </w:p>
        </w:tc>
        <w:tc>
          <w:tcPr>
            <w:tcW w:w="760" w:type="dxa"/>
            <w:vAlign w:val="bottom"/>
          </w:tcPr>
          <w:p>
            <w:pPr>
              <w:jc w:val="right"/>
              <w:ind w:right="188"/>
              <w:spacing w:after="0"/>
              <w:rPr>
                <w:sz w:val="20"/>
                <w:szCs w:val="20"/>
                <w:color w:val="auto"/>
              </w:rPr>
            </w:pPr>
            <w:r>
              <w:rPr>
                <w:rFonts w:ascii="Arial" w:cs="Arial" w:eastAsia="Arial" w:hAnsi="Arial"/>
                <w:sz w:val="14"/>
                <w:szCs w:val="14"/>
                <w:color w:val="auto"/>
              </w:rPr>
              <w:t>3,767</w:t>
            </w:r>
          </w:p>
        </w:tc>
        <w:tc>
          <w:tcPr>
            <w:tcW w:w="80" w:type="dxa"/>
            <w:vAlign w:val="bottom"/>
          </w:tcPr>
          <w:p>
            <w:pPr>
              <w:spacing w:after="0"/>
              <w:rPr>
                <w:sz w:val="13"/>
                <w:szCs w:val="13"/>
                <w:color w:val="auto"/>
              </w:rPr>
            </w:pPr>
          </w:p>
        </w:tc>
        <w:tc>
          <w:tcPr>
            <w:tcW w:w="500" w:type="dxa"/>
            <w:vAlign w:val="bottom"/>
          </w:tcPr>
          <w:p>
            <w:pPr>
              <w:jc w:val="right"/>
              <w:ind w:right="49"/>
              <w:spacing w:after="0"/>
              <w:rPr>
                <w:sz w:val="20"/>
                <w:szCs w:val="20"/>
                <w:color w:val="auto"/>
              </w:rPr>
            </w:pPr>
            <w:r>
              <w:rPr>
                <w:rFonts w:ascii="Arial" w:cs="Arial" w:eastAsia="Arial" w:hAnsi="Arial"/>
                <w:sz w:val="14"/>
                <w:szCs w:val="14"/>
                <w:color w:val="auto"/>
              </w:rPr>
              <w:t>5,239</w:t>
            </w:r>
          </w:p>
        </w:tc>
        <w:tc>
          <w:tcPr>
            <w:tcW w:w="220" w:type="dxa"/>
            <w:vAlign w:val="bottom"/>
          </w:tcPr>
          <w:p>
            <w:pPr>
              <w:spacing w:after="0"/>
              <w:rPr>
                <w:sz w:val="13"/>
                <w:szCs w:val="13"/>
                <w:color w:val="auto"/>
              </w:rPr>
            </w:pPr>
          </w:p>
        </w:tc>
        <w:tc>
          <w:tcPr>
            <w:tcW w:w="840" w:type="dxa"/>
            <w:vAlign w:val="bottom"/>
          </w:tcPr>
          <w:p>
            <w:pPr>
              <w:jc w:val="right"/>
              <w:ind w:right="189"/>
              <w:spacing w:after="0"/>
              <w:rPr>
                <w:sz w:val="20"/>
                <w:szCs w:val="20"/>
                <w:color w:val="auto"/>
              </w:rPr>
            </w:pPr>
            <w:r>
              <w:rPr>
                <w:rFonts w:ascii="Arial" w:cs="Arial" w:eastAsia="Arial" w:hAnsi="Arial"/>
                <w:sz w:val="14"/>
                <w:szCs w:val="14"/>
                <w:color w:val="auto"/>
              </w:rPr>
              <w:t>(1,500)</w:t>
            </w:r>
          </w:p>
        </w:tc>
        <w:tc>
          <w:tcPr>
            <w:tcW w:w="540" w:type="dxa"/>
            <w:vAlign w:val="bottom"/>
          </w:tcPr>
          <w:p>
            <w:pPr>
              <w:jc w:val="right"/>
              <w:ind w:right="29"/>
              <w:spacing w:after="0"/>
              <w:rPr>
                <w:sz w:val="20"/>
                <w:szCs w:val="20"/>
                <w:color w:val="auto"/>
              </w:rPr>
            </w:pPr>
            <w:r>
              <w:rPr>
                <w:rFonts w:ascii="Arial" w:cs="Arial" w:eastAsia="Arial" w:hAnsi="Arial"/>
                <w:sz w:val="14"/>
                <w:szCs w:val="14"/>
                <w:color w:val="auto"/>
              </w:rPr>
              <w:t>468</w:t>
            </w:r>
          </w:p>
        </w:tc>
        <w:tc>
          <w:tcPr>
            <w:tcW w:w="140" w:type="dxa"/>
            <w:vAlign w:val="bottom"/>
          </w:tcPr>
          <w:p>
            <w:pPr>
              <w:spacing w:after="0"/>
              <w:rPr>
                <w:sz w:val="13"/>
                <w:szCs w:val="13"/>
                <w:color w:val="auto"/>
              </w:rPr>
            </w:pPr>
          </w:p>
        </w:tc>
        <w:tc>
          <w:tcPr>
            <w:tcW w:w="700" w:type="dxa"/>
            <w:vAlign w:val="bottom"/>
            <w:gridSpan w:val="2"/>
          </w:tcPr>
          <w:p>
            <w:pPr>
              <w:jc w:val="right"/>
              <w:spacing w:after="0"/>
              <w:rPr>
                <w:sz w:val="20"/>
                <w:szCs w:val="20"/>
                <w:color w:val="auto"/>
              </w:rPr>
            </w:pPr>
            <w:r>
              <w:rPr>
                <w:rFonts w:ascii="Arial" w:cs="Arial" w:eastAsia="Arial" w:hAnsi="Arial"/>
                <w:sz w:val="14"/>
                <w:szCs w:val="14"/>
                <w:color w:val="auto"/>
              </w:rPr>
              <w:t>(28)</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31,118</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3260" w:type="dxa"/>
            <w:vAlign w:val="bottom"/>
            <w:tcBorders>
              <w:bottom w:val="single" w:sz="8" w:color="auto"/>
            </w:tcBorders>
            <w:gridSpan w:val="2"/>
          </w:tcPr>
          <w:p>
            <w:pPr>
              <w:spacing w:after="0" w:line="157" w:lineRule="exact"/>
              <w:rPr>
                <w:sz w:val="20"/>
                <w:szCs w:val="20"/>
                <w:color w:val="auto"/>
              </w:rPr>
            </w:pPr>
            <w:r>
              <w:rPr>
                <w:rFonts w:ascii="Arial" w:cs="Arial" w:eastAsia="Arial" w:hAnsi="Arial"/>
                <w:sz w:val="14"/>
                <w:szCs w:val="14"/>
                <w:color w:val="auto"/>
              </w:rPr>
              <w:t>Taxation</w:t>
            </w:r>
          </w:p>
        </w:tc>
        <w:tc>
          <w:tcPr>
            <w:tcW w:w="138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268"/>
              <w:spacing w:after="0" w:line="157" w:lineRule="exact"/>
              <w:rPr>
                <w:sz w:val="20"/>
                <w:szCs w:val="20"/>
                <w:color w:val="auto"/>
              </w:rPr>
            </w:pPr>
            <w:r>
              <w:rPr>
                <w:rFonts w:ascii="Arial" w:cs="Arial" w:eastAsia="Arial" w:hAnsi="Arial"/>
                <w:sz w:val="14"/>
                <w:szCs w:val="14"/>
                <w:color w:val="auto"/>
              </w:rPr>
              <w:t>3,599</w:t>
            </w:r>
          </w:p>
        </w:tc>
        <w:tc>
          <w:tcPr>
            <w:tcW w:w="14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288"/>
              <w:spacing w:after="0" w:line="157" w:lineRule="exact"/>
              <w:rPr>
                <w:sz w:val="20"/>
                <w:szCs w:val="20"/>
                <w:color w:val="auto"/>
              </w:rPr>
            </w:pPr>
            <w:r>
              <w:rPr>
                <w:rFonts w:ascii="Arial" w:cs="Arial" w:eastAsia="Arial" w:hAnsi="Arial"/>
                <w:sz w:val="14"/>
                <w:szCs w:val="14"/>
                <w:color w:val="auto"/>
              </w:rPr>
              <w:t>7,542</w:t>
            </w:r>
          </w:p>
        </w:tc>
        <w:tc>
          <w:tcPr>
            <w:tcW w:w="760" w:type="dxa"/>
            <w:vAlign w:val="bottom"/>
            <w:tcBorders>
              <w:bottom w:val="single" w:sz="8" w:color="auto"/>
            </w:tcBorders>
          </w:tcPr>
          <w:p>
            <w:pPr>
              <w:jc w:val="right"/>
              <w:ind w:right="188"/>
              <w:spacing w:after="0" w:line="157" w:lineRule="exact"/>
              <w:rPr>
                <w:sz w:val="20"/>
                <w:szCs w:val="20"/>
                <w:color w:val="auto"/>
              </w:rPr>
            </w:pPr>
            <w:r>
              <w:rPr>
                <w:rFonts w:ascii="Arial" w:cs="Arial" w:eastAsia="Arial" w:hAnsi="Arial"/>
                <w:sz w:val="14"/>
                <w:szCs w:val="14"/>
                <w:color w:val="auto"/>
              </w:rPr>
              <w:t>2,103</w:t>
            </w:r>
          </w:p>
        </w:tc>
        <w:tc>
          <w:tcPr>
            <w:tcW w:w="8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jc w:val="right"/>
              <w:ind w:right="49"/>
              <w:spacing w:after="0" w:line="157" w:lineRule="exact"/>
              <w:rPr>
                <w:sz w:val="20"/>
                <w:szCs w:val="20"/>
                <w:color w:val="auto"/>
              </w:rPr>
            </w:pPr>
            <w:r>
              <w:rPr>
                <w:rFonts w:ascii="Arial" w:cs="Arial" w:eastAsia="Arial" w:hAnsi="Arial"/>
                <w:sz w:val="14"/>
                <w:szCs w:val="14"/>
                <w:color w:val="auto"/>
              </w:rPr>
              <w:t>2,416</w:t>
            </w:r>
          </w:p>
        </w:tc>
        <w:tc>
          <w:tcPr>
            <w:tcW w:w="22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189"/>
              <w:spacing w:after="0" w:line="157" w:lineRule="exact"/>
              <w:rPr>
                <w:sz w:val="20"/>
                <w:szCs w:val="20"/>
                <w:color w:val="auto"/>
              </w:rPr>
            </w:pPr>
            <w:r>
              <w:rPr>
                <w:rFonts w:ascii="Arial" w:cs="Arial" w:eastAsia="Arial" w:hAnsi="Arial"/>
                <w:sz w:val="14"/>
                <w:szCs w:val="14"/>
                <w:color w:val="auto"/>
              </w:rPr>
              <w:t>(626)</w:t>
            </w:r>
          </w:p>
        </w:tc>
        <w:tc>
          <w:tcPr>
            <w:tcW w:w="540" w:type="dxa"/>
            <w:vAlign w:val="bottom"/>
            <w:tcBorders>
              <w:bottom w:val="single" w:sz="8" w:color="auto"/>
            </w:tcBorders>
          </w:tcPr>
          <w:p>
            <w:pPr>
              <w:jc w:val="right"/>
              <w:ind w:right="29"/>
              <w:spacing w:after="0" w:line="157" w:lineRule="exact"/>
              <w:rPr>
                <w:sz w:val="20"/>
                <w:szCs w:val="20"/>
                <w:color w:val="auto"/>
              </w:rPr>
            </w:pPr>
            <w:r>
              <w:rPr>
                <w:rFonts w:ascii="Arial" w:cs="Arial" w:eastAsia="Arial" w:hAnsi="Arial"/>
                <w:sz w:val="14"/>
                <w:szCs w:val="14"/>
                <w:color w:val="auto"/>
              </w:rPr>
              <w:t>78</w:t>
            </w:r>
          </w:p>
        </w:tc>
        <w:tc>
          <w:tcPr>
            <w:tcW w:w="14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gridSpan w:val="2"/>
          </w:tcPr>
          <w:p>
            <w:pPr>
              <w:jc w:val="right"/>
              <w:ind w:right="28"/>
              <w:spacing w:after="0" w:line="157" w:lineRule="exact"/>
              <w:rPr>
                <w:sz w:val="20"/>
                <w:szCs w:val="20"/>
                <w:color w:val="auto"/>
              </w:rPr>
            </w:pPr>
            <w:r>
              <w:rPr>
                <w:rFonts w:ascii="Arial" w:cs="Arial" w:eastAsia="Arial" w:hAnsi="Arial"/>
                <w:sz w:val="14"/>
                <w:szCs w:val="14"/>
                <w:color w:val="auto"/>
              </w:rPr>
              <w:t>165</w:t>
            </w:r>
          </w:p>
        </w:tc>
        <w:tc>
          <w:tcPr>
            <w:tcW w:w="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ind w:right="28"/>
              <w:spacing w:after="0" w:line="157" w:lineRule="exact"/>
              <w:rPr>
                <w:sz w:val="20"/>
                <w:szCs w:val="20"/>
                <w:color w:val="auto"/>
              </w:rPr>
            </w:pPr>
            <w:r>
              <w:rPr>
                <w:rFonts w:ascii="Arial" w:cs="Arial" w:eastAsia="Arial" w:hAnsi="Arial"/>
                <w:sz w:val="14"/>
                <w:szCs w:val="14"/>
                <w:color w:val="auto"/>
              </w:rPr>
              <w:t>15,277</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3260" w:type="dxa"/>
            <w:vAlign w:val="bottom"/>
            <w:tcBorders>
              <w:bottom w:val="single" w:sz="8" w:color="auto"/>
            </w:tcBorders>
            <w:gridSpan w:val="2"/>
          </w:tcPr>
          <w:p>
            <w:pPr>
              <w:spacing w:after="0" w:line="155" w:lineRule="exact"/>
              <w:rPr>
                <w:sz w:val="20"/>
                <w:szCs w:val="20"/>
                <w:color w:val="auto"/>
              </w:rPr>
            </w:pPr>
            <w:r>
              <w:rPr>
                <w:rFonts w:ascii="Arial" w:cs="Arial" w:eastAsia="Arial" w:hAnsi="Arial"/>
                <w:sz w:val="14"/>
                <w:szCs w:val="14"/>
                <w:color w:val="auto"/>
              </w:rPr>
              <w:t>Income after taxation</w:t>
            </w:r>
          </w:p>
        </w:tc>
        <w:tc>
          <w:tcPr>
            <w:tcW w:w="138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268"/>
              <w:spacing w:after="0" w:line="155" w:lineRule="exact"/>
              <w:rPr>
                <w:sz w:val="20"/>
                <w:szCs w:val="20"/>
                <w:color w:val="auto"/>
              </w:rPr>
            </w:pPr>
            <w:r>
              <w:rPr>
                <w:rFonts w:ascii="Arial" w:cs="Arial" w:eastAsia="Arial" w:hAnsi="Arial"/>
                <w:sz w:val="14"/>
                <w:szCs w:val="14"/>
                <w:color w:val="auto"/>
              </w:rPr>
              <w:t>2,065</w:t>
            </w:r>
          </w:p>
        </w:tc>
        <w:tc>
          <w:tcPr>
            <w:tcW w:w="14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288"/>
              <w:spacing w:after="0" w:line="155" w:lineRule="exact"/>
              <w:rPr>
                <w:sz w:val="20"/>
                <w:szCs w:val="20"/>
                <w:color w:val="auto"/>
              </w:rPr>
            </w:pPr>
            <w:r>
              <w:rPr>
                <w:rFonts w:ascii="Arial" w:cs="Arial" w:eastAsia="Arial" w:hAnsi="Arial"/>
                <w:sz w:val="14"/>
                <w:szCs w:val="14"/>
                <w:color w:val="auto"/>
              </w:rPr>
              <w:t>9,966</w:t>
            </w:r>
          </w:p>
        </w:tc>
        <w:tc>
          <w:tcPr>
            <w:tcW w:w="760" w:type="dxa"/>
            <w:vAlign w:val="bottom"/>
            <w:tcBorders>
              <w:bottom w:val="single" w:sz="8" w:color="auto"/>
            </w:tcBorders>
          </w:tcPr>
          <w:p>
            <w:pPr>
              <w:jc w:val="right"/>
              <w:ind w:right="188"/>
              <w:spacing w:after="0" w:line="155" w:lineRule="exact"/>
              <w:rPr>
                <w:sz w:val="20"/>
                <w:szCs w:val="20"/>
                <w:color w:val="auto"/>
              </w:rPr>
            </w:pPr>
            <w:r>
              <w:rPr>
                <w:rFonts w:ascii="Arial" w:cs="Arial" w:eastAsia="Arial" w:hAnsi="Arial"/>
                <w:sz w:val="14"/>
                <w:szCs w:val="14"/>
                <w:color w:val="auto"/>
              </w:rPr>
              <w:t>1,664</w:t>
            </w:r>
          </w:p>
        </w:tc>
        <w:tc>
          <w:tcPr>
            <w:tcW w:w="8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jc w:val="right"/>
              <w:ind w:right="49"/>
              <w:spacing w:after="0" w:line="155" w:lineRule="exact"/>
              <w:rPr>
                <w:sz w:val="20"/>
                <w:szCs w:val="20"/>
                <w:color w:val="auto"/>
              </w:rPr>
            </w:pPr>
            <w:r>
              <w:rPr>
                <w:rFonts w:ascii="Arial" w:cs="Arial" w:eastAsia="Arial" w:hAnsi="Arial"/>
                <w:sz w:val="14"/>
                <w:szCs w:val="14"/>
                <w:color w:val="auto"/>
              </w:rPr>
              <w:t>2,823</w:t>
            </w:r>
          </w:p>
        </w:tc>
        <w:tc>
          <w:tcPr>
            <w:tcW w:w="22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189"/>
              <w:spacing w:after="0" w:line="155" w:lineRule="exact"/>
              <w:rPr>
                <w:sz w:val="20"/>
                <w:szCs w:val="20"/>
                <w:color w:val="auto"/>
              </w:rPr>
            </w:pPr>
            <w:r>
              <w:rPr>
                <w:rFonts w:ascii="Arial" w:cs="Arial" w:eastAsia="Arial" w:hAnsi="Arial"/>
                <w:sz w:val="14"/>
                <w:szCs w:val="14"/>
                <w:color w:val="auto"/>
              </w:rPr>
              <w:t>(874)</w:t>
            </w:r>
          </w:p>
        </w:tc>
        <w:tc>
          <w:tcPr>
            <w:tcW w:w="540" w:type="dxa"/>
            <w:vAlign w:val="bottom"/>
            <w:tcBorders>
              <w:bottom w:val="single" w:sz="8" w:color="auto"/>
            </w:tcBorders>
          </w:tcPr>
          <w:p>
            <w:pPr>
              <w:jc w:val="right"/>
              <w:ind w:right="29"/>
              <w:spacing w:after="0" w:line="155" w:lineRule="exact"/>
              <w:rPr>
                <w:sz w:val="20"/>
                <w:szCs w:val="20"/>
                <w:color w:val="auto"/>
              </w:rPr>
            </w:pPr>
            <w:r>
              <w:rPr>
                <w:rFonts w:ascii="Arial" w:cs="Arial" w:eastAsia="Arial" w:hAnsi="Arial"/>
                <w:sz w:val="14"/>
                <w:szCs w:val="14"/>
                <w:color w:val="auto"/>
              </w:rPr>
              <w:t>390</w:t>
            </w:r>
          </w:p>
        </w:tc>
        <w:tc>
          <w:tcPr>
            <w:tcW w:w="14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gridSpan w:val="2"/>
          </w:tcPr>
          <w:p>
            <w:pPr>
              <w:jc w:val="right"/>
              <w:spacing w:after="0" w:line="155" w:lineRule="exact"/>
              <w:rPr>
                <w:sz w:val="20"/>
                <w:szCs w:val="20"/>
                <w:color w:val="auto"/>
              </w:rPr>
            </w:pPr>
            <w:r>
              <w:rPr>
                <w:rFonts w:ascii="Arial" w:cs="Arial" w:eastAsia="Arial" w:hAnsi="Arial"/>
                <w:sz w:val="14"/>
                <w:szCs w:val="14"/>
                <w:color w:val="auto"/>
              </w:rPr>
              <w:t>(193)</w:t>
            </w:r>
          </w:p>
        </w:tc>
        <w:tc>
          <w:tcPr>
            <w:tcW w:w="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ind w:right="28"/>
              <w:spacing w:after="0" w:line="155" w:lineRule="exact"/>
              <w:rPr>
                <w:sz w:val="20"/>
                <w:szCs w:val="20"/>
                <w:color w:val="auto"/>
              </w:rPr>
            </w:pPr>
            <w:r>
              <w:rPr>
                <w:rFonts w:ascii="Arial" w:cs="Arial" w:eastAsia="Arial" w:hAnsi="Arial"/>
                <w:sz w:val="14"/>
                <w:szCs w:val="14"/>
                <w:color w:val="auto"/>
              </w:rPr>
              <w:t>15,841</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3260" w:type="dxa"/>
            <w:vAlign w:val="bottom"/>
            <w:gridSpan w:val="2"/>
          </w:tcPr>
          <w:p>
            <w:pPr>
              <w:spacing w:after="0"/>
              <w:rPr>
                <w:sz w:val="20"/>
                <w:szCs w:val="20"/>
                <w:color w:val="auto"/>
              </w:rPr>
            </w:pPr>
            <w:r>
              <w:rPr>
                <w:rFonts w:ascii="Arial" w:cs="Arial" w:eastAsia="Arial" w:hAnsi="Arial"/>
                <w:sz w:val="14"/>
                <w:szCs w:val="14"/>
                <w:color w:val="auto"/>
              </w:rPr>
              <w:t>Net cash from operating activities</w:t>
            </w:r>
          </w:p>
        </w:tc>
        <w:tc>
          <w:tcPr>
            <w:tcW w:w="1380" w:type="dxa"/>
            <w:vAlign w:val="bottom"/>
          </w:tcPr>
          <w:p>
            <w:pPr>
              <w:spacing w:after="0"/>
              <w:rPr>
                <w:sz w:val="13"/>
                <w:szCs w:val="13"/>
                <w:color w:val="auto"/>
              </w:rPr>
            </w:pPr>
          </w:p>
        </w:tc>
        <w:tc>
          <w:tcPr>
            <w:tcW w:w="860" w:type="dxa"/>
            <w:vAlign w:val="bottom"/>
          </w:tcPr>
          <w:p>
            <w:pPr>
              <w:jc w:val="right"/>
              <w:ind w:right="268"/>
              <w:spacing w:after="0"/>
              <w:rPr>
                <w:sz w:val="20"/>
                <w:szCs w:val="20"/>
                <w:color w:val="auto"/>
              </w:rPr>
            </w:pPr>
            <w:r>
              <w:rPr>
                <w:rFonts w:ascii="Arial" w:cs="Arial" w:eastAsia="Arial" w:hAnsi="Arial"/>
                <w:sz w:val="14"/>
                <w:szCs w:val="14"/>
                <w:color w:val="auto"/>
              </w:rPr>
              <w:t>3,975</w:t>
            </w:r>
          </w:p>
        </w:tc>
        <w:tc>
          <w:tcPr>
            <w:tcW w:w="140" w:type="dxa"/>
            <w:vAlign w:val="bottom"/>
          </w:tcPr>
          <w:p>
            <w:pPr>
              <w:spacing w:after="0"/>
              <w:rPr>
                <w:sz w:val="13"/>
                <w:szCs w:val="13"/>
                <w:color w:val="auto"/>
              </w:rPr>
            </w:pPr>
          </w:p>
        </w:tc>
        <w:tc>
          <w:tcPr>
            <w:tcW w:w="840" w:type="dxa"/>
            <w:vAlign w:val="bottom"/>
          </w:tcPr>
          <w:p>
            <w:pPr>
              <w:jc w:val="right"/>
              <w:ind w:right="288"/>
              <w:spacing w:after="0"/>
              <w:rPr>
                <w:sz w:val="20"/>
                <w:szCs w:val="20"/>
                <w:color w:val="auto"/>
              </w:rPr>
            </w:pPr>
            <w:r>
              <w:rPr>
                <w:rFonts w:ascii="Arial" w:cs="Arial" w:eastAsia="Arial" w:hAnsi="Arial"/>
                <w:sz w:val="14"/>
                <w:szCs w:val="14"/>
                <w:color w:val="auto"/>
              </w:rPr>
              <w:t>14,619</w:t>
            </w:r>
          </w:p>
        </w:tc>
        <w:tc>
          <w:tcPr>
            <w:tcW w:w="760" w:type="dxa"/>
            <w:vAlign w:val="bottom"/>
          </w:tcPr>
          <w:p>
            <w:pPr>
              <w:jc w:val="right"/>
              <w:ind w:right="188"/>
              <w:spacing w:after="0"/>
              <w:rPr>
                <w:sz w:val="20"/>
                <w:szCs w:val="20"/>
                <w:color w:val="auto"/>
              </w:rPr>
            </w:pPr>
            <w:r>
              <w:rPr>
                <w:rFonts w:ascii="Arial" w:cs="Arial" w:eastAsia="Arial" w:hAnsi="Arial"/>
                <w:sz w:val="14"/>
                <w:szCs w:val="14"/>
                <w:color w:val="auto"/>
              </w:rPr>
              <w:t>1,684</w:t>
            </w:r>
          </w:p>
        </w:tc>
        <w:tc>
          <w:tcPr>
            <w:tcW w:w="80" w:type="dxa"/>
            <w:vAlign w:val="bottom"/>
          </w:tcPr>
          <w:p>
            <w:pPr>
              <w:spacing w:after="0"/>
              <w:rPr>
                <w:sz w:val="13"/>
                <w:szCs w:val="13"/>
                <w:color w:val="auto"/>
              </w:rPr>
            </w:pPr>
          </w:p>
        </w:tc>
        <w:tc>
          <w:tcPr>
            <w:tcW w:w="500" w:type="dxa"/>
            <w:vAlign w:val="bottom"/>
          </w:tcPr>
          <w:p>
            <w:pPr>
              <w:jc w:val="right"/>
              <w:ind w:right="49"/>
              <w:spacing w:after="0"/>
              <w:rPr>
                <w:sz w:val="20"/>
                <w:szCs w:val="20"/>
                <w:color w:val="auto"/>
              </w:rPr>
            </w:pPr>
            <w:r>
              <w:rPr>
                <w:rFonts w:ascii="Arial" w:cs="Arial" w:eastAsia="Arial" w:hAnsi="Arial"/>
                <w:sz w:val="14"/>
                <w:szCs w:val="14"/>
                <w:color w:val="auto"/>
              </w:rPr>
              <w:t>4,629</w:t>
            </w:r>
          </w:p>
        </w:tc>
        <w:tc>
          <w:tcPr>
            <w:tcW w:w="220" w:type="dxa"/>
            <w:vAlign w:val="bottom"/>
          </w:tcPr>
          <w:p>
            <w:pPr>
              <w:spacing w:after="0"/>
              <w:rPr>
                <w:sz w:val="13"/>
                <w:szCs w:val="13"/>
                <w:color w:val="auto"/>
              </w:rPr>
            </w:pPr>
          </w:p>
        </w:tc>
        <w:tc>
          <w:tcPr>
            <w:tcW w:w="840" w:type="dxa"/>
            <w:vAlign w:val="bottom"/>
          </w:tcPr>
          <w:p>
            <w:pPr>
              <w:jc w:val="right"/>
              <w:ind w:right="229"/>
              <w:spacing w:after="0"/>
              <w:rPr>
                <w:sz w:val="20"/>
                <w:szCs w:val="20"/>
                <w:color w:val="auto"/>
              </w:rPr>
            </w:pPr>
            <w:r>
              <w:rPr>
                <w:rFonts w:ascii="Arial" w:cs="Arial" w:eastAsia="Arial" w:hAnsi="Arial"/>
                <w:sz w:val="14"/>
                <w:szCs w:val="14"/>
                <w:color w:val="auto"/>
              </w:rPr>
              <w:t>3,935</w:t>
            </w:r>
          </w:p>
        </w:tc>
        <w:tc>
          <w:tcPr>
            <w:tcW w:w="540" w:type="dxa"/>
            <w:vAlign w:val="bottom"/>
          </w:tcPr>
          <w:p>
            <w:pPr>
              <w:jc w:val="right"/>
              <w:ind w:right="29"/>
              <w:spacing w:after="0"/>
              <w:rPr>
                <w:sz w:val="20"/>
                <w:szCs w:val="20"/>
                <w:color w:val="auto"/>
              </w:rPr>
            </w:pPr>
            <w:r>
              <w:rPr>
                <w:rFonts w:ascii="Arial" w:cs="Arial" w:eastAsia="Arial" w:hAnsi="Arial"/>
                <w:sz w:val="14"/>
                <w:szCs w:val="14"/>
                <w:color w:val="auto"/>
              </w:rPr>
              <w:t>2,685</w:t>
            </w:r>
          </w:p>
        </w:tc>
        <w:tc>
          <w:tcPr>
            <w:tcW w:w="140" w:type="dxa"/>
            <w:vAlign w:val="bottom"/>
          </w:tcPr>
          <w:p>
            <w:pPr>
              <w:spacing w:after="0"/>
              <w:rPr>
                <w:sz w:val="13"/>
                <w:szCs w:val="13"/>
                <w:color w:val="auto"/>
              </w:rPr>
            </w:pPr>
          </w:p>
        </w:tc>
        <w:tc>
          <w:tcPr>
            <w:tcW w:w="700" w:type="dxa"/>
            <w:vAlign w:val="bottom"/>
            <w:gridSpan w:val="2"/>
          </w:tcPr>
          <w:p>
            <w:pPr>
              <w:jc w:val="right"/>
              <w:ind w:right="28"/>
              <w:spacing w:after="0"/>
              <w:rPr>
                <w:sz w:val="20"/>
                <w:szCs w:val="20"/>
                <w:color w:val="auto"/>
              </w:rPr>
            </w:pPr>
            <w:r>
              <w:rPr>
                <w:rFonts w:ascii="Arial" w:cs="Arial" w:eastAsia="Arial" w:hAnsi="Arial"/>
                <w:sz w:val="14"/>
                <w:szCs w:val="14"/>
                <w:color w:val="auto"/>
              </w:rPr>
              <w:t>312</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31,839</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3260" w:type="dxa"/>
            <w:vAlign w:val="bottom"/>
            <w:tcBorders>
              <w:bottom w:val="single" w:sz="8" w:color="auto"/>
            </w:tcBorders>
            <w:gridSpan w:val="2"/>
          </w:tcPr>
          <w:p>
            <w:pPr>
              <w:spacing w:after="0" w:line="157" w:lineRule="exact"/>
              <w:rPr>
                <w:sz w:val="20"/>
                <w:szCs w:val="20"/>
                <w:color w:val="auto"/>
              </w:rPr>
            </w:pPr>
            <w:r>
              <w:rPr>
                <w:rFonts w:ascii="Arial" w:cs="Arial" w:eastAsia="Arial" w:hAnsi="Arial"/>
                <w:sz w:val="14"/>
                <w:szCs w:val="14"/>
                <w:color w:val="auto"/>
              </w:rPr>
              <w:t>Less: working capital movements</w:t>
            </w:r>
          </w:p>
        </w:tc>
        <w:tc>
          <w:tcPr>
            <w:tcW w:w="138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268"/>
              <w:spacing w:after="0" w:line="157" w:lineRule="exact"/>
              <w:rPr>
                <w:sz w:val="20"/>
                <w:szCs w:val="20"/>
                <w:color w:val="auto"/>
              </w:rPr>
            </w:pPr>
            <w:r>
              <w:rPr>
                <w:rFonts w:ascii="Arial" w:cs="Arial" w:eastAsia="Arial" w:hAnsi="Arial"/>
                <w:sz w:val="14"/>
                <w:szCs w:val="14"/>
                <w:color w:val="auto"/>
              </w:rPr>
              <w:t>1,148</w:t>
            </w:r>
          </w:p>
        </w:tc>
        <w:tc>
          <w:tcPr>
            <w:tcW w:w="14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248"/>
              <w:spacing w:after="0" w:line="157" w:lineRule="exact"/>
              <w:rPr>
                <w:sz w:val="20"/>
                <w:szCs w:val="20"/>
                <w:color w:val="auto"/>
              </w:rPr>
            </w:pPr>
            <w:r>
              <w:rPr>
                <w:rFonts w:ascii="Arial" w:cs="Arial" w:eastAsia="Arial" w:hAnsi="Arial"/>
                <w:sz w:val="14"/>
                <w:szCs w:val="14"/>
                <w:color w:val="auto"/>
              </w:rPr>
              <w:t>(1,470)</w:t>
            </w:r>
          </w:p>
        </w:tc>
        <w:tc>
          <w:tcPr>
            <w:tcW w:w="760" w:type="dxa"/>
            <w:vAlign w:val="bottom"/>
            <w:tcBorders>
              <w:bottom w:val="single" w:sz="8" w:color="auto"/>
            </w:tcBorders>
          </w:tcPr>
          <w:p>
            <w:pPr>
              <w:jc w:val="right"/>
              <w:ind w:right="148"/>
              <w:spacing w:after="0" w:line="157" w:lineRule="exact"/>
              <w:rPr>
                <w:sz w:val="20"/>
                <w:szCs w:val="20"/>
                <w:color w:val="auto"/>
              </w:rPr>
            </w:pPr>
            <w:r>
              <w:rPr>
                <w:rFonts w:ascii="Arial" w:cs="Arial" w:eastAsia="Arial" w:hAnsi="Arial"/>
                <w:sz w:val="14"/>
                <w:szCs w:val="14"/>
                <w:color w:val="auto"/>
              </w:rPr>
              <w:t>(845)</w:t>
            </w:r>
          </w:p>
        </w:tc>
        <w:tc>
          <w:tcPr>
            <w:tcW w:w="8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jc w:val="right"/>
              <w:ind w:right="49"/>
              <w:spacing w:after="0" w:line="157" w:lineRule="exact"/>
              <w:rPr>
                <w:sz w:val="20"/>
                <w:szCs w:val="20"/>
                <w:color w:val="auto"/>
              </w:rPr>
            </w:pPr>
            <w:r>
              <w:rPr>
                <w:rFonts w:ascii="Arial" w:cs="Arial" w:eastAsia="Arial" w:hAnsi="Arial"/>
                <w:sz w:val="14"/>
                <w:szCs w:val="14"/>
                <w:color w:val="auto"/>
              </w:rPr>
              <w:t>616</w:t>
            </w:r>
          </w:p>
        </w:tc>
        <w:tc>
          <w:tcPr>
            <w:tcW w:w="22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189"/>
              <w:spacing w:after="0" w:line="157" w:lineRule="exact"/>
              <w:rPr>
                <w:sz w:val="20"/>
                <w:szCs w:val="20"/>
                <w:color w:val="auto"/>
              </w:rPr>
            </w:pPr>
            <w:r>
              <w:rPr>
                <w:rFonts w:ascii="Arial" w:cs="Arial" w:eastAsia="Arial" w:hAnsi="Arial"/>
                <w:sz w:val="14"/>
                <w:szCs w:val="14"/>
                <w:color w:val="auto"/>
              </w:rPr>
              <w:t>(994)</w:t>
            </w:r>
          </w:p>
        </w:tc>
        <w:tc>
          <w:tcPr>
            <w:tcW w:w="540" w:type="dxa"/>
            <w:vAlign w:val="bottom"/>
            <w:tcBorders>
              <w:bottom w:val="single" w:sz="8" w:color="auto"/>
            </w:tcBorders>
          </w:tcPr>
          <w:p>
            <w:pPr>
              <w:jc w:val="right"/>
              <w:ind w:right="29"/>
              <w:spacing w:after="0" w:line="157" w:lineRule="exact"/>
              <w:rPr>
                <w:sz w:val="20"/>
                <w:szCs w:val="20"/>
                <w:color w:val="auto"/>
              </w:rPr>
            </w:pPr>
            <w:r>
              <w:rPr>
                <w:rFonts w:ascii="Arial" w:cs="Arial" w:eastAsia="Arial" w:hAnsi="Arial"/>
                <w:sz w:val="14"/>
                <w:szCs w:val="14"/>
                <w:color w:val="auto"/>
              </w:rPr>
              <w:t>360</w:t>
            </w:r>
          </w:p>
        </w:tc>
        <w:tc>
          <w:tcPr>
            <w:tcW w:w="14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gridSpan w:val="2"/>
          </w:tcPr>
          <w:p>
            <w:pPr>
              <w:jc w:val="right"/>
              <w:spacing w:after="0" w:line="157" w:lineRule="exact"/>
              <w:rPr>
                <w:sz w:val="20"/>
                <w:szCs w:val="20"/>
                <w:color w:val="auto"/>
              </w:rPr>
            </w:pPr>
            <w:r>
              <w:rPr>
                <w:rFonts w:ascii="Arial" w:cs="Arial" w:eastAsia="Arial" w:hAnsi="Arial"/>
                <w:sz w:val="14"/>
                <w:szCs w:val="14"/>
                <w:color w:val="auto"/>
              </w:rPr>
              <w:t>(285)</w:t>
            </w:r>
          </w:p>
        </w:tc>
        <w:tc>
          <w:tcPr>
            <w:tcW w:w="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spacing w:after="0" w:line="157" w:lineRule="exact"/>
              <w:rPr>
                <w:sz w:val="20"/>
                <w:szCs w:val="20"/>
                <w:color w:val="auto"/>
              </w:rPr>
            </w:pPr>
            <w:r>
              <w:rPr>
                <w:rFonts w:ascii="Arial" w:cs="Arial" w:eastAsia="Arial" w:hAnsi="Arial"/>
                <w:sz w:val="14"/>
                <w:szCs w:val="14"/>
                <w:color w:val="auto"/>
              </w:rPr>
              <w:t>(1,470)</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4640" w:type="dxa"/>
            <w:vAlign w:val="bottom"/>
            <w:tcBorders>
              <w:bottom w:val="single" w:sz="8" w:color="auto"/>
            </w:tcBorders>
            <w:gridSpan w:val="3"/>
          </w:tcPr>
          <w:p>
            <w:pPr>
              <w:spacing w:after="0" w:line="155" w:lineRule="exact"/>
              <w:rPr>
                <w:sz w:val="20"/>
                <w:szCs w:val="20"/>
                <w:color w:val="auto"/>
              </w:rPr>
            </w:pPr>
            <w:r>
              <w:rPr>
                <w:rFonts w:ascii="Arial" w:cs="Arial" w:eastAsia="Arial" w:hAnsi="Arial"/>
                <w:sz w:val="14"/>
                <w:szCs w:val="14"/>
                <w:color w:val="auto"/>
              </w:rPr>
              <w:t>Net cash from operating activities excluding working capital movements</w:t>
            </w:r>
          </w:p>
        </w:tc>
        <w:tc>
          <w:tcPr>
            <w:tcW w:w="860" w:type="dxa"/>
            <w:vAlign w:val="bottom"/>
            <w:tcBorders>
              <w:bottom w:val="single" w:sz="8" w:color="auto"/>
            </w:tcBorders>
          </w:tcPr>
          <w:p>
            <w:pPr>
              <w:jc w:val="right"/>
              <w:ind w:right="268"/>
              <w:spacing w:after="0" w:line="155" w:lineRule="exact"/>
              <w:rPr>
                <w:sz w:val="20"/>
                <w:szCs w:val="20"/>
                <w:color w:val="auto"/>
              </w:rPr>
            </w:pPr>
            <w:r>
              <w:rPr>
                <w:rFonts w:ascii="Arial" w:cs="Arial" w:eastAsia="Arial" w:hAnsi="Arial"/>
                <w:sz w:val="14"/>
                <w:szCs w:val="14"/>
                <w:color w:val="auto"/>
              </w:rPr>
              <w:t>2,827</w:t>
            </w:r>
          </w:p>
        </w:tc>
        <w:tc>
          <w:tcPr>
            <w:tcW w:w="14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288"/>
              <w:spacing w:after="0" w:line="155" w:lineRule="exact"/>
              <w:rPr>
                <w:sz w:val="20"/>
                <w:szCs w:val="20"/>
                <w:color w:val="auto"/>
              </w:rPr>
            </w:pPr>
            <w:r>
              <w:rPr>
                <w:rFonts w:ascii="Arial" w:cs="Arial" w:eastAsia="Arial" w:hAnsi="Arial"/>
                <w:sz w:val="14"/>
                <w:szCs w:val="14"/>
                <w:color w:val="auto"/>
              </w:rPr>
              <w:t>16,089</w:t>
            </w:r>
          </w:p>
        </w:tc>
        <w:tc>
          <w:tcPr>
            <w:tcW w:w="760" w:type="dxa"/>
            <w:vAlign w:val="bottom"/>
            <w:tcBorders>
              <w:bottom w:val="single" w:sz="8" w:color="auto"/>
            </w:tcBorders>
          </w:tcPr>
          <w:p>
            <w:pPr>
              <w:jc w:val="right"/>
              <w:ind w:right="188"/>
              <w:spacing w:after="0" w:line="155" w:lineRule="exact"/>
              <w:rPr>
                <w:sz w:val="20"/>
                <w:szCs w:val="20"/>
                <w:color w:val="auto"/>
              </w:rPr>
            </w:pPr>
            <w:r>
              <w:rPr>
                <w:rFonts w:ascii="Arial" w:cs="Arial" w:eastAsia="Arial" w:hAnsi="Arial"/>
                <w:sz w:val="14"/>
                <w:szCs w:val="14"/>
                <w:color w:val="auto"/>
              </w:rPr>
              <w:t>2,529</w:t>
            </w:r>
          </w:p>
        </w:tc>
        <w:tc>
          <w:tcPr>
            <w:tcW w:w="8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jc w:val="right"/>
              <w:ind w:right="49"/>
              <w:spacing w:after="0" w:line="155" w:lineRule="exact"/>
              <w:rPr>
                <w:sz w:val="20"/>
                <w:szCs w:val="20"/>
                <w:color w:val="auto"/>
              </w:rPr>
            </w:pPr>
            <w:r>
              <w:rPr>
                <w:rFonts w:ascii="Arial" w:cs="Arial" w:eastAsia="Arial" w:hAnsi="Arial"/>
                <w:sz w:val="14"/>
                <w:szCs w:val="14"/>
                <w:color w:val="auto"/>
              </w:rPr>
              <w:t>4,013</w:t>
            </w:r>
          </w:p>
        </w:tc>
        <w:tc>
          <w:tcPr>
            <w:tcW w:w="22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229"/>
              <w:spacing w:after="0" w:line="155" w:lineRule="exact"/>
              <w:rPr>
                <w:sz w:val="20"/>
                <w:szCs w:val="20"/>
                <w:color w:val="auto"/>
              </w:rPr>
            </w:pPr>
            <w:r>
              <w:rPr>
                <w:rFonts w:ascii="Arial" w:cs="Arial" w:eastAsia="Arial" w:hAnsi="Arial"/>
                <w:sz w:val="14"/>
                <w:szCs w:val="14"/>
                <w:color w:val="auto"/>
              </w:rPr>
              <w:t>4,929</w:t>
            </w:r>
          </w:p>
        </w:tc>
        <w:tc>
          <w:tcPr>
            <w:tcW w:w="540" w:type="dxa"/>
            <w:vAlign w:val="bottom"/>
            <w:tcBorders>
              <w:bottom w:val="single" w:sz="8" w:color="auto"/>
            </w:tcBorders>
          </w:tcPr>
          <w:p>
            <w:pPr>
              <w:jc w:val="right"/>
              <w:ind w:right="29"/>
              <w:spacing w:after="0" w:line="155" w:lineRule="exact"/>
              <w:rPr>
                <w:sz w:val="20"/>
                <w:szCs w:val="20"/>
                <w:color w:val="auto"/>
              </w:rPr>
            </w:pPr>
            <w:r>
              <w:rPr>
                <w:rFonts w:ascii="Arial" w:cs="Arial" w:eastAsia="Arial" w:hAnsi="Arial"/>
                <w:sz w:val="14"/>
                <w:szCs w:val="14"/>
                <w:color w:val="auto"/>
              </w:rPr>
              <w:t>2,325</w:t>
            </w:r>
          </w:p>
        </w:tc>
        <w:tc>
          <w:tcPr>
            <w:tcW w:w="14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gridSpan w:val="2"/>
          </w:tcPr>
          <w:p>
            <w:pPr>
              <w:jc w:val="right"/>
              <w:ind w:right="28"/>
              <w:spacing w:after="0" w:line="155" w:lineRule="exact"/>
              <w:rPr>
                <w:sz w:val="20"/>
                <w:szCs w:val="20"/>
                <w:color w:val="auto"/>
              </w:rPr>
            </w:pPr>
            <w:r>
              <w:rPr>
                <w:rFonts w:ascii="Arial" w:cs="Arial" w:eastAsia="Arial" w:hAnsi="Arial"/>
                <w:sz w:val="14"/>
                <w:szCs w:val="14"/>
                <w:color w:val="auto"/>
              </w:rPr>
              <w:t>597</w:t>
            </w:r>
          </w:p>
        </w:tc>
        <w:tc>
          <w:tcPr>
            <w:tcW w:w="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ind w:right="28"/>
              <w:spacing w:after="0" w:line="155" w:lineRule="exact"/>
              <w:rPr>
                <w:sz w:val="20"/>
                <w:szCs w:val="20"/>
                <w:color w:val="auto"/>
              </w:rPr>
            </w:pPr>
            <w:r>
              <w:rPr>
                <w:rFonts w:ascii="Arial" w:cs="Arial" w:eastAsia="Arial" w:hAnsi="Arial"/>
                <w:sz w:val="14"/>
                <w:szCs w:val="14"/>
                <w:color w:val="auto"/>
              </w:rPr>
              <w:t>33,309</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7"/>
        </w:trPr>
        <w:tc>
          <w:tcPr>
            <w:tcW w:w="3260" w:type="dxa"/>
            <w:vAlign w:val="bottom"/>
            <w:gridSpan w:val="2"/>
          </w:tcPr>
          <w:p>
            <w:pPr>
              <w:spacing w:after="0"/>
              <w:rPr>
                <w:sz w:val="20"/>
                <w:szCs w:val="20"/>
                <w:color w:val="auto"/>
              </w:rPr>
            </w:pPr>
            <w:r>
              <w:rPr>
                <w:rFonts w:ascii="Arial" w:cs="Arial" w:eastAsia="Arial" w:hAnsi="Arial"/>
                <w:sz w:val="11"/>
                <w:szCs w:val="11"/>
                <w:color w:val="auto"/>
              </w:rPr>
              <w:t>[A] Includes Greenland.</w:t>
            </w:r>
          </w:p>
        </w:tc>
        <w:tc>
          <w:tcPr>
            <w:tcW w:w="13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1"/>
        </w:trPr>
        <w:tc>
          <w:tcPr>
            <w:tcW w:w="20" w:type="dxa"/>
            <w:vAlign w:val="bottom"/>
            <w:vMerge w:val="restart"/>
          </w:tcPr>
          <w:p>
            <w:pPr>
              <w:spacing w:after="0"/>
              <w:rPr>
                <w:sz w:val="18"/>
                <w:szCs w:val="18"/>
                <w:color w:val="auto"/>
              </w:rPr>
            </w:pPr>
          </w:p>
        </w:tc>
        <w:tc>
          <w:tcPr>
            <w:tcW w:w="32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3240" w:type="dxa"/>
            <w:vAlign w:val="bottom"/>
            <w:shd w:val="clear" w:color="auto" w:fill="333333"/>
          </w:tcPr>
          <w:p>
            <w:pPr>
              <w:jc w:val="right"/>
              <w:ind w:right="2771"/>
              <w:spacing w:after="0" w:line="162" w:lineRule="exact"/>
              <w:rPr>
                <w:sz w:val="20"/>
                <w:szCs w:val="20"/>
                <w:color w:val="auto"/>
              </w:rPr>
            </w:pPr>
            <w:r>
              <w:rPr>
                <w:rFonts w:ascii="Arial" w:cs="Arial" w:eastAsia="Arial" w:hAnsi="Arial"/>
                <w:sz w:val="15"/>
                <w:szCs w:val="15"/>
                <w:b w:val="1"/>
                <w:bCs w:val="1"/>
                <w:color w:val="FFFFFF"/>
              </w:rPr>
              <w:t>2013</w:t>
            </w:r>
          </w:p>
        </w:tc>
        <w:tc>
          <w:tcPr>
            <w:tcW w:w="1380" w:type="dxa"/>
            <w:vAlign w:val="bottom"/>
            <w:shd w:val="clear" w:color="auto" w:fill="333333"/>
          </w:tcPr>
          <w:p>
            <w:pPr>
              <w:spacing w:after="0"/>
              <w:rPr>
                <w:sz w:val="14"/>
                <w:szCs w:val="14"/>
                <w:color w:val="auto"/>
              </w:rPr>
            </w:pPr>
          </w:p>
        </w:tc>
        <w:tc>
          <w:tcPr>
            <w:tcW w:w="860" w:type="dxa"/>
            <w:vAlign w:val="bottom"/>
            <w:shd w:val="clear" w:color="auto" w:fill="333333"/>
          </w:tcPr>
          <w:p>
            <w:pPr>
              <w:spacing w:after="0"/>
              <w:rPr>
                <w:sz w:val="14"/>
                <w:szCs w:val="14"/>
                <w:color w:val="auto"/>
              </w:rPr>
            </w:pPr>
          </w:p>
        </w:tc>
        <w:tc>
          <w:tcPr>
            <w:tcW w:w="140" w:type="dxa"/>
            <w:vAlign w:val="bottom"/>
            <w:shd w:val="clear" w:color="auto" w:fill="333333"/>
          </w:tcPr>
          <w:p>
            <w:pPr>
              <w:spacing w:after="0"/>
              <w:rPr>
                <w:sz w:val="14"/>
                <w:szCs w:val="14"/>
                <w:color w:val="auto"/>
              </w:rPr>
            </w:pPr>
          </w:p>
        </w:tc>
        <w:tc>
          <w:tcPr>
            <w:tcW w:w="840" w:type="dxa"/>
            <w:vAlign w:val="bottom"/>
            <w:shd w:val="clear" w:color="auto" w:fill="333333"/>
          </w:tcPr>
          <w:p>
            <w:pPr>
              <w:spacing w:after="0"/>
              <w:rPr>
                <w:sz w:val="14"/>
                <w:szCs w:val="14"/>
                <w:color w:val="auto"/>
              </w:rPr>
            </w:pPr>
          </w:p>
        </w:tc>
        <w:tc>
          <w:tcPr>
            <w:tcW w:w="760" w:type="dxa"/>
            <w:vAlign w:val="bottom"/>
            <w:shd w:val="clear" w:color="auto" w:fill="333333"/>
          </w:tcPr>
          <w:p>
            <w:pPr>
              <w:spacing w:after="0"/>
              <w:rPr>
                <w:sz w:val="14"/>
                <w:szCs w:val="14"/>
                <w:color w:val="auto"/>
              </w:rPr>
            </w:pPr>
          </w:p>
        </w:tc>
        <w:tc>
          <w:tcPr>
            <w:tcW w:w="80" w:type="dxa"/>
            <w:vAlign w:val="bottom"/>
            <w:shd w:val="clear" w:color="auto" w:fill="333333"/>
          </w:tcPr>
          <w:p>
            <w:pPr>
              <w:spacing w:after="0"/>
              <w:rPr>
                <w:sz w:val="14"/>
                <w:szCs w:val="14"/>
                <w:color w:val="auto"/>
              </w:rPr>
            </w:pPr>
          </w:p>
        </w:tc>
        <w:tc>
          <w:tcPr>
            <w:tcW w:w="500" w:type="dxa"/>
            <w:vAlign w:val="bottom"/>
            <w:shd w:val="clear" w:color="auto" w:fill="333333"/>
          </w:tcPr>
          <w:p>
            <w:pPr>
              <w:spacing w:after="0"/>
              <w:rPr>
                <w:sz w:val="14"/>
                <w:szCs w:val="14"/>
                <w:color w:val="auto"/>
              </w:rPr>
            </w:pPr>
          </w:p>
        </w:tc>
        <w:tc>
          <w:tcPr>
            <w:tcW w:w="220" w:type="dxa"/>
            <w:vAlign w:val="bottom"/>
            <w:shd w:val="clear" w:color="auto" w:fill="333333"/>
          </w:tcPr>
          <w:p>
            <w:pPr>
              <w:spacing w:after="0"/>
              <w:rPr>
                <w:sz w:val="14"/>
                <w:szCs w:val="14"/>
                <w:color w:val="auto"/>
              </w:rPr>
            </w:pPr>
          </w:p>
        </w:tc>
        <w:tc>
          <w:tcPr>
            <w:tcW w:w="840" w:type="dxa"/>
            <w:vAlign w:val="bottom"/>
            <w:shd w:val="clear" w:color="auto" w:fill="333333"/>
          </w:tcPr>
          <w:p>
            <w:pPr>
              <w:spacing w:after="0"/>
              <w:rPr>
                <w:sz w:val="14"/>
                <w:szCs w:val="14"/>
                <w:color w:val="auto"/>
              </w:rPr>
            </w:pPr>
          </w:p>
        </w:tc>
        <w:tc>
          <w:tcPr>
            <w:tcW w:w="540" w:type="dxa"/>
            <w:vAlign w:val="bottom"/>
            <w:shd w:val="clear" w:color="auto" w:fill="333333"/>
          </w:tcPr>
          <w:p>
            <w:pPr>
              <w:spacing w:after="0"/>
              <w:rPr>
                <w:sz w:val="14"/>
                <w:szCs w:val="14"/>
                <w:color w:val="auto"/>
              </w:rPr>
            </w:pPr>
          </w:p>
        </w:tc>
        <w:tc>
          <w:tcPr>
            <w:tcW w:w="140" w:type="dxa"/>
            <w:vAlign w:val="bottom"/>
            <w:shd w:val="clear" w:color="auto" w:fill="333333"/>
          </w:tcPr>
          <w:p>
            <w:pPr>
              <w:spacing w:after="0"/>
              <w:rPr>
                <w:sz w:val="14"/>
                <w:szCs w:val="14"/>
                <w:color w:val="auto"/>
              </w:rPr>
            </w:pPr>
          </w:p>
        </w:tc>
        <w:tc>
          <w:tcPr>
            <w:tcW w:w="600" w:type="dxa"/>
            <w:vAlign w:val="bottom"/>
            <w:shd w:val="clear" w:color="auto" w:fill="333333"/>
          </w:tcPr>
          <w:p>
            <w:pPr>
              <w:spacing w:after="0"/>
              <w:rPr>
                <w:sz w:val="14"/>
                <w:szCs w:val="14"/>
                <w:color w:val="auto"/>
              </w:rPr>
            </w:pPr>
          </w:p>
        </w:tc>
        <w:tc>
          <w:tcPr>
            <w:tcW w:w="100" w:type="dxa"/>
            <w:vAlign w:val="bottom"/>
            <w:shd w:val="clear" w:color="auto" w:fill="333333"/>
          </w:tcPr>
          <w:p>
            <w:pPr>
              <w:spacing w:after="0"/>
              <w:rPr>
                <w:sz w:val="14"/>
                <w:szCs w:val="14"/>
                <w:color w:val="auto"/>
              </w:rPr>
            </w:pPr>
          </w:p>
        </w:tc>
        <w:tc>
          <w:tcPr>
            <w:tcW w:w="20" w:type="dxa"/>
            <w:vAlign w:val="bottom"/>
            <w:shd w:val="clear" w:color="auto" w:fill="333333"/>
          </w:tcPr>
          <w:p>
            <w:pPr>
              <w:spacing w:after="0"/>
              <w:rPr>
                <w:sz w:val="14"/>
                <w:szCs w:val="14"/>
                <w:color w:val="auto"/>
              </w:rPr>
            </w:pPr>
          </w:p>
        </w:tc>
        <w:tc>
          <w:tcPr>
            <w:tcW w:w="80" w:type="dxa"/>
            <w:vAlign w:val="bottom"/>
            <w:shd w:val="clear" w:color="auto" w:fill="333333"/>
          </w:tcPr>
          <w:p>
            <w:pPr>
              <w:spacing w:after="0"/>
              <w:rPr>
                <w:sz w:val="14"/>
                <w:szCs w:val="14"/>
                <w:color w:val="auto"/>
              </w:rPr>
            </w:pPr>
          </w:p>
        </w:tc>
        <w:tc>
          <w:tcPr>
            <w:tcW w:w="1060" w:type="dxa"/>
            <w:vAlign w:val="bottom"/>
            <w:shd w:val="clear" w:color="auto" w:fill="333333"/>
          </w:tcPr>
          <w:p>
            <w:pPr>
              <w:jc w:val="right"/>
              <w:ind w:right="28"/>
              <w:spacing w:after="0" w:line="162" w:lineRule="exact"/>
              <w:rPr>
                <w:sz w:val="20"/>
                <w:szCs w:val="20"/>
                <w:color w:val="auto"/>
              </w:rPr>
            </w:pPr>
            <w:r>
              <w:rPr>
                <w:rFonts w:ascii="Arial" w:cs="Arial" w:eastAsia="Arial" w:hAnsi="Arial"/>
                <w:sz w:val="15"/>
                <w:szCs w:val="15"/>
                <w:color w:val="FFFFFF"/>
              </w:rPr>
              <w:t>$ MILLION</w:t>
            </w: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24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520" w:type="dxa"/>
            <w:vAlign w:val="bottom"/>
            <w:tcBorders>
              <w:bottom w:val="single" w:sz="8" w:color="auto"/>
            </w:tcBorders>
            <w:gridSpan w:val="3"/>
          </w:tcPr>
          <w:p>
            <w:pPr>
              <w:jc w:val="right"/>
              <w:ind w:right="100"/>
              <w:spacing w:after="0" w:line="135" w:lineRule="exact"/>
              <w:rPr>
                <w:sz w:val="20"/>
                <w:szCs w:val="20"/>
                <w:color w:val="auto"/>
              </w:rPr>
            </w:pPr>
            <w:r>
              <w:rPr>
                <w:rFonts w:ascii="Arial" w:cs="Arial" w:eastAsia="Arial" w:hAnsi="Arial"/>
                <w:sz w:val="13"/>
                <w:szCs w:val="13"/>
                <w:color w:val="auto"/>
              </w:rPr>
              <w:t>North America</w:t>
            </w:r>
          </w:p>
        </w:tc>
        <w:tc>
          <w:tcPr>
            <w:tcW w:w="800" w:type="dxa"/>
            <w:vAlign w:val="bottom"/>
            <w:gridSpan w:val="4"/>
          </w:tcPr>
          <w:p>
            <w:pPr>
              <w:jc w:val="right"/>
              <w:ind w:right="100"/>
              <w:spacing w:after="0" w:line="135" w:lineRule="exact"/>
              <w:rPr>
                <w:sz w:val="20"/>
                <w:szCs w:val="20"/>
                <w:color w:val="auto"/>
              </w:rPr>
            </w:pPr>
            <w:r>
              <w:rPr>
                <w:rFonts w:ascii="Arial" w:cs="Arial" w:eastAsia="Arial" w:hAnsi="Arial"/>
                <w:sz w:val="13"/>
                <w:szCs w:val="13"/>
                <w:color w:val="auto"/>
              </w:rPr>
              <w:t>South</w:t>
            </w:r>
          </w:p>
        </w:tc>
        <w:tc>
          <w:tcPr>
            <w:tcW w:w="10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240" w:type="dxa"/>
            <w:vAlign w:val="bottom"/>
            <w:tcBorders>
              <w:bottom w:val="single" w:sz="8" w:color="auto"/>
            </w:tcBorders>
          </w:tcPr>
          <w:p>
            <w:pPr>
              <w:spacing w:after="0"/>
              <w:rPr>
                <w:sz w:val="11"/>
                <w:szCs w:val="11"/>
                <w:color w:val="auto"/>
              </w:rPr>
            </w:pPr>
          </w:p>
        </w:tc>
        <w:tc>
          <w:tcPr>
            <w:tcW w:w="1380" w:type="dxa"/>
            <w:vAlign w:val="bottom"/>
            <w:tcBorders>
              <w:bottom w:val="single" w:sz="8" w:color="auto"/>
            </w:tcBorders>
          </w:tcPr>
          <w:p>
            <w:pPr>
              <w:spacing w:after="0"/>
              <w:rPr>
                <w:sz w:val="11"/>
                <w:szCs w:val="11"/>
                <w:color w:val="auto"/>
              </w:rPr>
            </w:pPr>
          </w:p>
        </w:tc>
        <w:tc>
          <w:tcPr>
            <w:tcW w:w="1000" w:type="dxa"/>
            <w:vAlign w:val="bottom"/>
            <w:tcBorders>
              <w:bottom w:val="single" w:sz="8" w:color="auto"/>
            </w:tcBorders>
            <w:gridSpan w:val="2"/>
          </w:tcPr>
          <w:p>
            <w:pPr>
              <w:jc w:val="right"/>
              <w:ind w:right="20"/>
              <w:spacing w:after="0" w:line="129" w:lineRule="exact"/>
              <w:rPr>
                <w:sz w:val="20"/>
                <w:szCs w:val="20"/>
                <w:color w:val="auto"/>
              </w:rPr>
            </w:pPr>
            <w:r>
              <w:rPr>
                <w:rFonts w:ascii="Arial" w:cs="Arial" w:eastAsia="Arial" w:hAnsi="Arial"/>
                <w:sz w:val="13"/>
                <w:szCs w:val="13"/>
                <w:color w:val="auto"/>
              </w:rPr>
              <w:t>Europe[A]</w:t>
            </w:r>
          </w:p>
        </w:tc>
        <w:tc>
          <w:tcPr>
            <w:tcW w:w="840" w:type="dxa"/>
            <w:vAlign w:val="bottom"/>
            <w:tcBorders>
              <w:bottom w:val="single" w:sz="8" w:color="auto"/>
            </w:tcBorders>
          </w:tcPr>
          <w:p>
            <w:pPr>
              <w:jc w:val="right"/>
              <w:ind w:right="8"/>
              <w:spacing w:after="0" w:line="129" w:lineRule="exact"/>
              <w:rPr>
                <w:sz w:val="20"/>
                <w:szCs w:val="20"/>
                <w:color w:val="auto"/>
              </w:rPr>
            </w:pPr>
            <w:r>
              <w:rPr>
                <w:rFonts w:ascii="Arial" w:cs="Arial" w:eastAsia="Arial" w:hAnsi="Arial"/>
                <w:sz w:val="13"/>
                <w:szCs w:val="13"/>
                <w:color w:val="auto"/>
              </w:rPr>
              <w:t>Asia</w:t>
            </w:r>
          </w:p>
        </w:tc>
        <w:tc>
          <w:tcPr>
            <w:tcW w:w="76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Oceania</w:t>
            </w:r>
          </w:p>
        </w:tc>
        <w:tc>
          <w:tcPr>
            <w:tcW w:w="8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gridSpan w:val="2"/>
          </w:tcPr>
          <w:p>
            <w:pPr>
              <w:jc w:val="right"/>
              <w:ind w:right="28"/>
              <w:spacing w:after="0" w:line="129" w:lineRule="exact"/>
              <w:rPr>
                <w:sz w:val="20"/>
                <w:szCs w:val="20"/>
                <w:color w:val="auto"/>
              </w:rPr>
            </w:pPr>
            <w:r>
              <w:rPr>
                <w:rFonts w:ascii="Arial" w:cs="Arial" w:eastAsia="Arial" w:hAnsi="Arial"/>
                <w:sz w:val="13"/>
                <w:szCs w:val="13"/>
                <w:color w:val="auto"/>
              </w:rPr>
              <w:t>Africa</w:t>
            </w:r>
          </w:p>
        </w:tc>
        <w:tc>
          <w:tcPr>
            <w:tcW w:w="840" w:type="dxa"/>
            <w:vAlign w:val="bottom"/>
            <w:tcBorders>
              <w:bottom w:val="single" w:sz="8" w:color="auto"/>
            </w:tcBorders>
          </w:tcPr>
          <w:p>
            <w:pPr>
              <w:jc w:val="right"/>
              <w:ind w:right="69"/>
              <w:spacing w:after="0" w:line="129" w:lineRule="exact"/>
              <w:rPr>
                <w:sz w:val="20"/>
                <w:szCs w:val="20"/>
                <w:color w:val="auto"/>
              </w:rPr>
            </w:pPr>
            <w:r>
              <w:rPr>
                <w:rFonts w:ascii="Arial" w:cs="Arial" w:eastAsia="Arial" w:hAnsi="Arial"/>
                <w:sz w:val="13"/>
                <w:szCs w:val="13"/>
                <w:color w:val="auto"/>
              </w:rPr>
              <w:t>USA</w:t>
            </w:r>
          </w:p>
        </w:tc>
        <w:tc>
          <w:tcPr>
            <w:tcW w:w="680" w:type="dxa"/>
            <w:vAlign w:val="bottom"/>
            <w:tcBorders>
              <w:bottom w:val="single" w:sz="8" w:color="auto"/>
            </w:tcBorders>
            <w:gridSpan w:val="2"/>
          </w:tcPr>
          <w:p>
            <w:pPr>
              <w:jc w:val="right"/>
              <w:ind w:right="100"/>
              <w:spacing w:after="0" w:line="129" w:lineRule="exact"/>
              <w:rPr>
                <w:sz w:val="20"/>
                <w:szCs w:val="20"/>
                <w:color w:val="auto"/>
              </w:rPr>
            </w:pPr>
            <w:r>
              <w:rPr>
                <w:rFonts w:ascii="Arial" w:cs="Arial" w:eastAsia="Arial" w:hAnsi="Arial"/>
                <w:sz w:val="13"/>
                <w:szCs w:val="13"/>
                <w:color w:val="auto"/>
              </w:rPr>
              <w:t>Other</w:t>
            </w:r>
          </w:p>
        </w:tc>
        <w:tc>
          <w:tcPr>
            <w:tcW w:w="700" w:type="dxa"/>
            <w:vAlign w:val="bottom"/>
            <w:tcBorders>
              <w:bottom w:val="single" w:sz="8" w:color="auto"/>
            </w:tcBorders>
            <w:gridSpan w:val="2"/>
          </w:tcPr>
          <w:p>
            <w:pPr>
              <w:jc w:val="right"/>
              <w:spacing w:after="0" w:line="129" w:lineRule="exact"/>
              <w:rPr>
                <w:sz w:val="20"/>
                <w:szCs w:val="20"/>
                <w:color w:val="auto"/>
              </w:rPr>
            </w:pPr>
            <w:r>
              <w:rPr>
                <w:rFonts w:ascii="Arial" w:cs="Arial" w:eastAsia="Arial" w:hAnsi="Arial"/>
                <w:sz w:val="13"/>
                <w:szCs w:val="13"/>
                <w:color w:val="auto"/>
              </w:rPr>
              <w:t>America</w:t>
            </w:r>
          </w:p>
        </w:tc>
        <w:tc>
          <w:tcPr>
            <w:tcW w:w="100" w:type="dxa"/>
            <w:vAlign w:val="bottom"/>
            <w:gridSpan w:val="2"/>
          </w:tcPr>
          <w:p>
            <w:pPr>
              <w:spacing w:after="0"/>
              <w:rPr>
                <w:sz w:val="11"/>
                <w:szCs w:val="11"/>
                <w:color w:val="auto"/>
              </w:rPr>
            </w:pPr>
          </w:p>
        </w:tc>
        <w:tc>
          <w:tcPr>
            <w:tcW w:w="1060" w:type="dxa"/>
            <w:vAlign w:val="bottom"/>
            <w:tcBorders>
              <w:bottom w:val="single" w:sz="8" w:color="auto"/>
            </w:tcBorders>
          </w:tcPr>
          <w:p>
            <w:pPr>
              <w:jc w:val="right"/>
              <w:ind w:right="28"/>
              <w:spacing w:after="0" w:line="129" w:lineRule="exact"/>
              <w:rPr>
                <w:sz w:val="20"/>
                <w:szCs w:val="20"/>
                <w:color w:val="auto"/>
              </w:rPr>
            </w:pPr>
            <w:r>
              <w:rPr>
                <w:rFonts w:ascii="Arial" w:cs="Arial" w:eastAsia="Arial" w:hAnsi="Arial"/>
                <w:sz w:val="13"/>
                <w:szCs w:val="13"/>
                <w:color w:val="auto"/>
              </w:rPr>
              <w:t>Total</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3260" w:type="dxa"/>
            <w:vAlign w:val="bottom"/>
            <w:gridSpan w:val="2"/>
          </w:tcPr>
          <w:p>
            <w:pPr>
              <w:spacing w:after="0"/>
              <w:rPr>
                <w:sz w:val="20"/>
                <w:szCs w:val="20"/>
                <w:color w:val="auto"/>
              </w:rPr>
            </w:pPr>
            <w:r>
              <w:rPr>
                <w:rFonts w:ascii="Arial" w:cs="Arial" w:eastAsia="Arial" w:hAnsi="Arial"/>
                <w:sz w:val="14"/>
                <w:szCs w:val="14"/>
                <w:color w:val="auto"/>
              </w:rPr>
              <w:t>Revenue</w:t>
            </w:r>
          </w:p>
        </w:tc>
        <w:tc>
          <w:tcPr>
            <w:tcW w:w="138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23,144</w:t>
            </w:r>
          </w:p>
        </w:tc>
        <w:tc>
          <w:tcPr>
            <w:tcW w:w="140" w:type="dxa"/>
            <w:vAlign w:val="bottom"/>
          </w:tcPr>
          <w:p>
            <w:pPr>
              <w:spacing w:after="0"/>
              <w:rPr>
                <w:sz w:val="13"/>
                <w:szCs w:val="13"/>
                <w:color w:val="auto"/>
              </w:rPr>
            </w:pP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35,916</w:t>
            </w:r>
          </w:p>
        </w:tc>
        <w:tc>
          <w:tcPr>
            <w:tcW w:w="760" w:type="dxa"/>
            <w:vAlign w:val="bottom"/>
          </w:tcPr>
          <w:p>
            <w:pPr>
              <w:jc w:val="right"/>
              <w:spacing w:after="0"/>
              <w:rPr>
                <w:sz w:val="20"/>
                <w:szCs w:val="20"/>
                <w:color w:val="auto"/>
              </w:rPr>
            </w:pPr>
            <w:r>
              <w:rPr>
                <w:rFonts w:ascii="Arial" w:cs="Arial" w:eastAsia="Arial" w:hAnsi="Arial"/>
                <w:sz w:val="14"/>
                <w:szCs w:val="14"/>
                <w:color w:val="auto"/>
              </w:rPr>
              <w:t>3,414</w:t>
            </w:r>
          </w:p>
        </w:tc>
        <w:tc>
          <w:tcPr>
            <w:tcW w:w="80" w:type="dxa"/>
            <w:vAlign w:val="bottom"/>
          </w:tcPr>
          <w:p>
            <w:pPr>
              <w:spacing w:after="0"/>
              <w:rPr>
                <w:sz w:val="13"/>
                <w:szCs w:val="13"/>
                <w:color w:val="auto"/>
              </w:rPr>
            </w:pPr>
          </w:p>
        </w:tc>
        <w:tc>
          <w:tcPr>
            <w:tcW w:w="720" w:type="dxa"/>
            <w:vAlign w:val="bottom"/>
            <w:gridSpan w:val="2"/>
          </w:tcPr>
          <w:p>
            <w:pPr>
              <w:jc w:val="right"/>
              <w:ind w:right="28"/>
              <w:spacing w:after="0"/>
              <w:rPr>
                <w:sz w:val="20"/>
                <w:szCs w:val="20"/>
                <w:color w:val="auto"/>
              </w:rPr>
            </w:pPr>
            <w:r>
              <w:rPr>
                <w:rFonts w:ascii="Arial" w:cs="Arial" w:eastAsia="Arial" w:hAnsi="Arial"/>
                <w:sz w:val="14"/>
                <w:szCs w:val="14"/>
                <w:color w:val="auto"/>
              </w:rPr>
              <w:t>11,007</w:t>
            </w:r>
          </w:p>
        </w:tc>
        <w:tc>
          <w:tcPr>
            <w:tcW w:w="840" w:type="dxa"/>
            <w:vAlign w:val="bottom"/>
          </w:tcPr>
          <w:p>
            <w:pPr>
              <w:jc w:val="right"/>
              <w:ind w:right="69"/>
              <w:spacing w:after="0"/>
              <w:rPr>
                <w:sz w:val="20"/>
                <w:szCs w:val="20"/>
                <w:color w:val="auto"/>
              </w:rPr>
            </w:pPr>
            <w:r>
              <w:rPr>
                <w:rFonts w:ascii="Arial" w:cs="Arial" w:eastAsia="Arial" w:hAnsi="Arial"/>
                <w:sz w:val="14"/>
                <w:szCs w:val="14"/>
                <w:color w:val="auto"/>
              </w:rPr>
              <w:t>9,762</w:t>
            </w:r>
          </w:p>
        </w:tc>
        <w:tc>
          <w:tcPr>
            <w:tcW w:w="680" w:type="dxa"/>
            <w:vAlign w:val="bottom"/>
            <w:gridSpan w:val="2"/>
          </w:tcPr>
          <w:p>
            <w:pPr>
              <w:jc w:val="right"/>
              <w:ind w:right="100"/>
              <w:spacing w:after="0"/>
              <w:rPr>
                <w:sz w:val="20"/>
                <w:szCs w:val="20"/>
                <w:color w:val="auto"/>
              </w:rPr>
            </w:pPr>
            <w:r>
              <w:rPr>
                <w:rFonts w:ascii="Arial" w:cs="Arial" w:eastAsia="Arial" w:hAnsi="Arial"/>
                <w:sz w:val="14"/>
                <w:szCs w:val="14"/>
                <w:color w:val="auto"/>
              </w:rPr>
              <w:t>8,878</w:t>
            </w:r>
          </w:p>
        </w:tc>
        <w:tc>
          <w:tcPr>
            <w:tcW w:w="720" w:type="dxa"/>
            <w:vAlign w:val="bottom"/>
            <w:gridSpan w:val="3"/>
          </w:tcPr>
          <w:p>
            <w:pPr>
              <w:jc w:val="right"/>
              <w:ind w:right="20"/>
              <w:spacing w:after="0"/>
              <w:rPr>
                <w:sz w:val="20"/>
                <w:szCs w:val="20"/>
                <w:color w:val="auto"/>
              </w:rPr>
            </w:pPr>
            <w:r>
              <w:rPr>
                <w:rFonts w:ascii="Arial" w:cs="Arial" w:eastAsia="Arial" w:hAnsi="Arial"/>
                <w:sz w:val="14"/>
                <w:szCs w:val="14"/>
                <w:color w:val="auto"/>
              </w:rPr>
              <w:t>748</w:t>
            </w:r>
          </w:p>
        </w:tc>
        <w:tc>
          <w:tcPr>
            <w:tcW w:w="80" w:type="dxa"/>
            <w:vAlign w:val="bottom"/>
          </w:tcPr>
          <w:p>
            <w:pPr>
              <w:spacing w:after="0"/>
              <w:rPr>
                <w:sz w:val="13"/>
                <w:szCs w:val="13"/>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92,869</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260" w:type="dxa"/>
            <w:vAlign w:val="bottom"/>
            <w:gridSpan w:val="2"/>
          </w:tcPr>
          <w:p>
            <w:pPr>
              <w:spacing w:after="0"/>
              <w:rPr>
                <w:sz w:val="20"/>
                <w:szCs w:val="20"/>
                <w:color w:val="auto"/>
              </w:rPr>
            </w:pPr>
            <w:r>
              <w:rPr>
                <w:rFonts w:ascii="Arial" w:cs="Arial" w:eastAsia="Arial" w:hAnsi="Arial"/>
                <w:sz w:val="14"/>
                <w:szCs w:val="14"/>
                <w:color w:val="auto"/>
              </w:rPr>
              <w:t>Share of profit of joint ventures and associates</w:t>
            </w:r>
          </w:p>
        </w:tc>
        <w:tc>
          <w:tcPr>
            <w:tcW w:w="138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1,469</w:t>
            </w:r>
          </w:p>
        </w:tc>
        <w:tc>
          <w:tcPr>
            <w:tcW w:w="140" w:type="dxa"/>
            <w:vAlign w:val="bottom"/>
          </w:tcPr>
          <w:p>
            <w:pPr>
              <w:spacing w:after="0"/>
              <w:rPr>
                <w:sz w:val="14"/>
                <w:szCs w:val="14"/>
                <w:color w:val="auto"/>
              </w:rPr>
            </w:pP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3,235</w:t>
            </w:r>
          </w:p>
        </w:tc>
        <w:tc>
          <w:tcPr>
            <w:tcW w:w="760" w:type="dxa"/>
            <w:vAlign w:val="bottom"/>
          </w:tcPr>
          <w:p>
            <w:pPr>
              <w:jc w:val="right"/>
              <w:spacing w:after="0"/>
              <w:rPr>
                <w:sz w:val="20"/>
                <w:szCs w:val="20"/>
                <w:color w:val="auto"/>
              </w:rPr>
            </w:pPr>
            <w:r>
              <w:rPr>
                <w:rFonts w:ascii="Arial" w:cs="Arial" w:eastAsia="Arial" w:hAnsi="Arial"/>
                <w:sz w:val="14"/>
                <w:szCs w:val="14"/>
                <w:color w:val="auto"/>
              </w:rPr>
              <w:t>111</w:t>
            </w:r>
          </w:p>
        </w:tc>
        <w:tc>
          <w:tcPr>
            <w:tcW w:w="80" w:type="dxa"/>
            <w:vAlign w:val="bottom"/>
          </w:tcPr>
          <w:p>
            <w:pPr>
              <w:spacing w:after="0"/>
              <w:rPr>
                <w:sz w:val="14"/>
                <w:szCs w:val="14"/>
                <w:color w:val="auto"/>
              </w:rPr>
            </w:pPr>
          </w:p>
        </w:tc>
        <w:tc>
          <w:tcPr>
            <w:tcW w:w="720" w:type="dxa"/>
            <w:vAlign w:val="bottom"/>
            <w:gridSpan w:val="2"/>
          </w:tcPr>
          <w:p>
            <w:pPr>
              <w:jc w:val="right"/>
              <w:ind w:right="28"/>
              <w:spacing w:after="0"/>
              <w:rPr>
                <w:sz w:val="20"/>
                <w:szCs w:val="20"/>
                <w:color w:val="auto"/>
              </w:rPr>
            </w:pPr>
            <w:r>
              <w:rPr>
                <w:rFonts w:ascii="Arial" w:cs="Arial" w:eastAsia="Arial" w:hAnsi="Arial"/>
                <w:sz w:val="14"/>
                <w:szCs w:val="14"/>
                <w:color w:val="auto"/>
              </w:rPr>
              <w:t>1,162</w:t>
            </w:r>
          </w:p>
        </w:tc>
        <w:tc>
          <w:tcPr>
            <w:tcW w:w="840" w:type="dxa"/>
            <w:vAlign w:val="bottom"/>
          </w:tcPr>
          <w:p>
            <w:pPr>
              <w:jc w:val="right"/>
              <w:ind w:right="69"/>
              <w:spacing w:after="0"/>
              <w:rPr>
                <w:sz w:val="20"/>
                <w:szCs w:val="20"/>
                <w:color w:val="auto"/>
              </w:rPr>
            </w:pPr>
            <w:r>
              <w:rPr>
                <w:rFonts w:ascii="Arial" w:cs="Arial" w:eastAsia="Arial" w:hAnsi="Arial"/>
                <w:sz w:val="14"/>
                <w:szCs w:val="14"/>
                <w:color w:val="auto"/>
              </w:rPr>
              <w:t>1</w:t>
            </w:r>
          </w:p>
        </w:tc>
        <w:tc>
          <w:tcPr>
            <w:tcW w:w="680" w:type="dxa"/>
            <w:vAlign w:val="bottom"/>
            <w:gridSpan w:val="2"/>
          </w:tcPr>
          <w:p>
            <w:pPr>
              <w:jc w:val="right"/>
              <w:ind w:right="100"/>
              <w:spacing w:after="0"/>
              <w:rPr>
                <w:sz w:val="20"/>
                <w:szCs w:val="20"/>
                <w:color w:val="auto"/>
              </w:rPr>
            </w:pPr>
            <w:r>
              <w:rPr>
                <w:rFonts w:ascii="Arial" w:cs="Arial" w:eastAsia="Arial" w:hAnsi="Arial"/>
                <w:sz w:val="14"/>
                <w:szCs w:val="14"/>
                <w:color w:val="auto"/>
              </w:rPr>
              <w:t>55</w:t>
            </w:r>
          </w:p>
        </w:tc>
        <w:tc>
          <w:tcPr>
            <w:tcW w:w="720" w:type="dxa"/>
            <w:vAlign w:val="bottom"/>
            <w:gridSpan w:val="3"/>
          </w:tcPr>
          <w:p>
            <w:pPr>
              <w:jc w:val="right"/>
              <w:ind w:right="20"/>
              <w:spacing w:after="0"/>
              <w:rPr>
                <w:sz w:val="20"/>
                <w:szCs w:val="20"/>
                <w:color w:val="auto"/>
              </w:rPr>
            </w:pPr>
            <w:r>
              <w:rPr>
                <w:rFonts w:ascii="Arial" w:cs="Arial" w:eastAsia="Arial" w:hAnsi="Arial"/>
                <w:sz w:val="14"/>
                <w:szCs w:val="14"/>
                <w:color w:val="auto"/>
              </w:rPr>
              <w:t>87</w:t>
            </w:r>
          </w:p>
        </w:tc>
        <w:tc>
          <w:tcPr>
            <w:tcW w:w="80" w:type="dxa"/>
            <w:vAlign w:val="bottom"/>
          </w:tcPr>
          <w:p>
            <w:pPr>
              <w:spacing w:after="0"/>
              <w:rPr>
                <w:sz w:val="14"/>
                <w:szCs w:val="14"/>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6,120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3260" w:type="dxa"/>
            <w:vAlign w:val="bottom"/>
            <w:tcBorders>
              <w:bottom w:val="single" w:sz="8" w:color="auto"/>
            </w:tcBorders>
            <w:gridSpan w:val="2"/>
          </w:tcPr>
          <w:p>
            <w:pPr>
              <w:spacing w:after="0" w:line="157" w:lineRule="exact"/>
              <w:rPr>
                <w:sz w:val="20"/>
                <w:szCs w:val="20"/>
                <w:color w:val="auto"/>
              </w:rPr>
            </w:pPr>
            <w:r>
              <w:rPr>
                <w:rFonts w:ascii="Arial" w:cs="Arial" w:eastAsia="Arial" w:hAnsi="Arial"/>
                <w:sz w:val="14"/>
                <w:szCs w:val="14"/>
                <w:color w:val="auto"/>
              </w:rPr>
              <w:t>Interest and other income</w:t>
            </w:r>
          </w:p>
        </w:tc>
        <w:tc>
          <w:tcPr>
            <w:tcW w:w="138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gridSpan w:val="2"/>
          </w:tcPr>
          <w:p>
            <w:pPr>
              <w:jc w:val="right"/>
              <w:ind w:right="120"/>
              <w:spacing w:after="0" w:line="157" w:lineRule="exact"/>
              <w:rPr>
                <w:sz w:val="20"/>
                <w:szCs w:val="20"/>
                <w:color w:val="auto"/>
              </w:rPr>
            </w:pPr>
            <w:r>
              <w:rPr>
                <w:rFonts w:ascii="Arial" w:cs="Arial" w:eastAsia="Arial" w:hAnsi="Arial"/>
                <w:sz w:val="14"/>
                <w:szCs w:val="14"/>
                <w:color w:val="auto"/>
              </w:rPr>
              <w:t>(123)</w:t>
            </w:r>
          </w:p>
        </w:tc>
        <w:tc>
          <w:tcPr>
            <w:tcW w:w="840" w:type="dxa"/>
            <w:vAlign w:val="bottom"/>
            <w:tcBorders>
              <w:bottom w:val="single" w:sz="8" w:color="auto"/>
            </w:tcBorders>
          </w:tcPr>
          <w:p>
            <w:pPr>
              <w:jc w:val="right"/>
              <w:ind w:right="8"/>
              <w:spacing w:after="0" w:line="157" w:lineRule="exact"/>
              <w:rPr>
                <w:sz w:val="20"/>
                <w:szCs w:val="20"/>
                <w:color w:val="auto"/>
              </w:rPr>
            </w:pPr>
            <w:r>
              <w:rPr>
                <w:rFonts w:ascii="Arial" w:cs="Arial" w:eastAsia="Arial" w:hAnsi="Arial"/>
                <w:sz w:val="14"/>
                <w:szCs w:val="14"/>
                <w:color w:val="auto"/>
              </w:rPr>
              <w:t>572</w:t>
            </w:r>
          </w:p>
        </w:tc>
        <w:tc>
          <w:tcPr>
            <w:tcW w:w="760" w:type="dxa"/>
            <w:vAlign w:val="bottom"/>
            <w:tcBorders>
              <w:bottom w:val="single" w:sz="8" w:color="auto"/>
            </w:tcBorders>
          </w:tcPr>
          <w:p>
            <w:pPr>
              <w:jc w:val="right"/>
              <w:spacing w:after="0" w:line="157" w:lineRule="exact"/>
              <w:rPr>
                <w:sz w:val="20"/>
                <w:szCs w:val="20"/>
                <w:color w:val="auto"/>
              </w:rPr>
            </w:pPr>
            <w:r>
              <w:rPr>
                <w:rFonts w:ascii="Arial" w:cs="Arial" w:eastAsia="Arial" w:hAnsi="Arial"/>
                <w:sz w:val="14"/>
                <w:szCs w:val="14"/>
                <w:color w:val="auto"/>
              </w:rPr>
              <w:t>172</w:t>
            </w:r>
          </w:p>
        </w:tc>
        <w:tc>
          <w:tcPr>
            <w:tcW w:w="8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gridSpan w:val="2"/>
          </w:tcPr>
          <w:p>
            <w:pPr>
              <w:jc w:val="right"/>
              <w:spacing w:after="0" w:line="157" w:lineRule="exact"/>
              <w:rPr>
                <w:sz w:val="20"/>
                <w:szCs w:val="20"/>
                <w:color w:val="auto"/>
              </w:rPr>
            </w:pPr>
            <w:r>
              <w:rPr>
                <w:rFonts w:ascii="Arial" w:cs="Arial" w:eastAsia="Arial" w:hAnsi="Arial"/>
                <w:sz w:val="14"/>
                <w:szCs w:val="14"/>
                <w:color w:val="auto"/>
              </w:rPr>
              <w:t>(14)</w:t>
            </w:r>
          </w:p>
        </w:tc>
        <w:tc>
          <w:tcPr>
            <w:tcW w:w="840" w:type="dxa"/>
            <w:vAlign w:val="bottom"/>
            <w:tcBorders>
              <w:bottom w:val="single" w:sz="8" w:color="auto"/>
            </w:tcBorders>
          </w:tcPr>
          <w:p>
            <w:pPr>
              <w:jc w:val="right"/>
              <w:ind w:right="69"/>
              <w:spacing w:after="0" w:line="157" w:lineRule="exact"/>
              <w:rPr>
                <w:sz w:val="20"/>
                <w:szCs w:val="20"/>
                <w:color w:val="auto"/>
              </w:rPr>
            </w:pPr>
            <w:r>
              <w:rPr>
                <w:rFonts w:ascii="Arial" w:cs="Arial" w:eastAsia="Arial" w:hAnsi="Arial"/>
                <w:sz w:val="14"/>
                <w:szCs w:val="14"/>
                <w:color w:val="auto"/>
              </w:rPr>
              <w:t>20</w:t>
            </w:r>
          </w:p>
        </w:tc>
        <w:tc>
          <w:tcPr>
            <w:tcW w:w="680" w:type="dxa"/>
            <w:vAlign w:val="bottom"/>
            <w:tcBorders>
              <w:bottom w:val="single" w:sz="8" w:color="auto"/>
            </w:tcBorders>
            <w:gridSpan w:val="2"/>
          </w:tcPr>
          <w:p>
            <w:pPr>
              <w:jc w:val="right"/>
              <w:ind w:right="100"/>
              <w:spacing w:after="0" w:line="157" w:lineRule="exact"/>
              <w:rPr>
                <w:sz w:val="20"/>
                <w:szCs w:val="20"/>
                <w:color w:val="auto"/>
              </w:rPr>
            </w:pPr>
            <w:r>
              <w:rPr>
                <w:rFonts w:ascii="Arial" w:cs="Arial" w:eastAsia="Arial" w:hAnsi="Arial"/>
                <w:sz w:val="14"/>
                <w:szCs w:val="14"/>
                <w:color w:val="auto"/>
              </w:rPr>
              <w:t>52</w:t>
            </w:r>
          </w:p>
        </w:tc>
        <w:tc>
          <w:tcPr>
            <w:tcW w:w="800" w:type="dxa"/>
            <w:vAlign w:val="bottom"/>
            <w:tcBorders>
              <w:bottom w:val="single" w:sz="8" w:color="auto"/>
            </w:tcBorders>
            <w:gridSpan w:val="4"/>
          </w:tcPr>
          <w:p>
            <w:pPr>
              <w:jc w:val="right"/>
              <w:ind w:right="60"/>
              <w:spacing w:after="0" w:line="157" w:lineRule="exact"/>
              <w:rPr>
                <w:sz w:val="20"/>
                <w:szCs w:val="20"/>
                <w:color w:val="auto"/>
              </w:rPr>
            </w:pPr>
            <w:r>
              <w:rPr>
                <w:rFonts w:ascii="Arial" w:cs="Arial" w:eastAsia="Arial" w:hAnsi="Arial"/>
                <w:sz w:val="14"/>
                <w:szCs w:val="14"/>
                <w:color w:val="auto"/>
              </w:rPr>
              <w:t>(20)</w:t>
            </w:r>
          </w:p>
        </w:tc>
        <w:tc>
          <w:tcPr>
            <w:tcW w:w="1060" w:type="dxa"/>
            <w:vAlign w:val="bottom"/>
            <w:tcBorders>
              <w:bottom w:val="single" w:sz="8" w:color="auto"/>
            </w:tcBorders>
          </w:tcPr>
          <w:p>
            <w:pPr>
              <w:jc w:val="right"/>
              <w:ind w:right="28"/>
              <w:spacing w:after="0" w:line="157" w:lineRule="exact"/>
              <w:rPr>
                <w:sz w:val="20"/>
                <w:szCs w:val="20"/>
                <w:color w:val="auto"/>
              </w:rPr>
            </w:pPr>
            <w:r>
              <w:rPr>
                <w:rFonts w:ascii="Arial" w:cs="Arial" w:eastAsia="Arial" w:hAnsi="Arial"/>
                <w:sz w:val="14"/>
                <w:szCs w:val="14"/>
                <w:color w:val="auto"/>
              </w:rPr>
              <w:t>659</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3260" w:type="dxa"/>
            <w:vAlign w:val="bottom"/>
            <w:gridSpan w:val="2"/>
          </w:tcPr>
          <w:p>
            <w:pPr>
              <w:spacing w:after="0"/>
              <w:rPr>
                <w:sz w:val="20"/>
                <w:szCs w:val="20"/>
                <w:color w:val="auto"/>
              </w:rPr>
            </w:pPr>
            <w:r>
              <w:rPr>
                <w:rFonts w:ascii="Arial" w:cs="Arial" w:eastAsia="Arial" w:hAnsi="Arial"/>
                <w:sz w:val="14"/>
                <w:szCs w:val="14"/>
                <w:color w:val="auto"/>
              </w:rPr>
              <w:t>Total revenue and other income</w:t>
            </w:r>
          </w:p>
        </w:tc>
        <w:tc>
          <w:tcPr>
            <w:tcW w:w="138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24,490</w:t>
            </w:r>
          </w:p>
        </w:tc>
        <w:tc>
          <w:tcPr>
            <w:tcW w:w="140" w:type="dxa"/>
            <w:vAlign w:val="bottom"/>
          </w:tcPr>
          <w:p>
            <w:pPr>
              <w:spacing w:after="0"/>
              <w:rPr>
                <w:sz w:val="13"/>
                <w:szCs w:val="13"/>
                <w:color w:val="auto"/>
              </w:rPr>
            </w:pP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39,723</w:t>
            </w:r>
          </w:p>
        </w:tc>
        <w:tc>
          <w:tcPr>
            <w:tcW w:w="760" w:type="dxa"/>
            <w:vAlign w:val="bottom"/>
          </w:tcPr>
          <w:p>
            <w:pPr>
              <w:jc w:val="right"/>
              <w:spacing w:after="0"/>
              <w:rPr>
                <w:sz w:val="20"/>
                <w:szCs w:val="20"/>
                <w:color w:val="auto"/>
              </w:rPr>
            </w:pPr>
            <w:r>
              <w:rPr>
                <w:rFonts w:ascii="Arial" w:cs="Arial" w:eastAsia="Arial" w:hAnsi="Arial"/>
                <w:sz w:val="14"/>
                <w:szCs w:val="14"/>
                <w:color w:val="auto"/>
              </w:rPr>
              <w:t>3,697</w:t>
            </w:r>
          </w:p>
        </w:tc>
        <w:tc>
          <w:tcPr>
            <w:tcW w:w="80" w:type="dxa"/>
            <w:vAlign w:val="bottom"/>
          </w:tcPr>
          <w:p>
            <w:pPr>
              <w:spacing w:after="0"/>
              <w:rPr>
                <w:sz w:val="13"/>
                <w:szCs w:val="13"/>
                <w:color w:val="auto"/>
              </w:rPr>
            </w:pPr>
          </w:p>
        </w:tc>
        <w:tc>
          <w:tcPr>
            <w:tcW w:w="720" w:type="dxa"/>
            <w:vAlign w:val="bottom"/>
            <w:gridSpan w:val="2"/>
          </w:tcPr>
          <w:p>
            <w:pPr>
              <w:jc w:val="right"/>
              <w:ind w:right="28"/>
              <w:spacing w:after="0"/>
              <w:rPr>
                <w:sz w:val="20"/>
                <w:szCs w:val="20"/>
                <w:color w:val="auto"/>
              </w:rPr>
            </w:pPr>
            <w:r>
              <w:rPr>
                <w:rFonts w:ascii="Arial" w:cs="Arial" w:eastAsia="Arial" w:hAnsi="Arial"/>
                <w:sz w:val="14"/>
                <w:szCs w:val="14"/>
                <w:color w:val="auto"/>
              </w:rPr>
              <w:t>12,155</w:t>
            </w:r>
          </w:p>
        </w:tc>
        <w:tc>
          <w:tcPr>
            <w:tcW w:w="840" w:type="dxa"/>
            <w:vAlign w:val="bottom"/>
          </w:tcPr>
          <w:p>
            <w:pPr>
              <w:jc w:val="right"/>
              <w:ind w:right="69"/>
              <w:spacing w:after="0"/>
              <w:rPr>
                <w:sz w:val="20"/>
                <w:szCs w:val="20"/>
                <w:color w:val="auto"/>
              </w:rPr>
            </w:pPr>
            <w:r>
              <w:rPr>
                <w:rFonts w:ascii="Arial" w:cs="Arial" w:eastAsia="Arial" w:hAnsi="Arial"/>
                <w:sz w:val="14"/>
                <w:szCs w:val="14"/>
                <w:color w:val="auto"/>
              </w:rPr>
              <w:t>9,783</w:t>
            </w:r>
          </w:p>
        </w:tc>
        <w:tc>
          <w:tcPr>
            <w:tcW w:w="680" w:type="dxa"/>
            <w:vAlign w:val="bottom"/>
            <w:gridSpan w:val="2"/>
          </w:tcPr>
          <w:p>
            <w:pPr>
              <w:jc w:val="right"/>
              <w:ind w:right="100"/>
              <w:spacing w:after="0"/>
              <w:rPr>
                <w:sz w:val="20"/>
                <w:szCs w:val="20"/>
                <w:color w:val="auto"/>
              </w:rPr>
            </w:pPr>
            <w:r>
              <w:rPr>
                <w:rFonts w:ascii="Arial" w:cs="Arial" w:eastAsia="Arial" w:hAnsi="Arial"/>
                <w:sz w:val="14"/>
                <w:szCs w:val="14"/>
                <w:color w:val="auto"/>
              </w:rPr>
              <w:t>8,985</w:t>
            </w:r>
          </w:p>
        </w:tc>
        <w:tc>
          <w:tcPr>
            <w:tcW w:w="720" w:type="dxa"/>
            <w:vAlign w:val="bottom"/>
            <w:gridSpan w:val="3"/>
          </w:tcPr>
          <w:p>
            <w:pPr>
              <w:jc w:val="right"/>
              <w:ind w:right="20"/>
              <w:spacing w:after="0"/>
              <w:rPr>
                <w:sz w:val="20"/>
                <w:szCs w:val="20"/>
                <w:color w:val="auto"/>
              </w:rPr>
            </w:pPr>
            <w:r>
              <w:rPr>
                <w:rFonts w:ascii="Arial" w:cs="Arial" w:eastAsia="Arial" w:hAnsi="Arial"/>
                <w:sz w:val="14"/>
                <w:szCs w:val="14"/>
                <w:color w:val="auto"/>
              </w:rPr>
              <w:t>815</w:t>
            </w:r>
          </w:p>
        </w:tc>
        <w:tc>
          <w:tcPr>
            <w:tcW w:w="80" w:type="dxa"/>
            <w:vAlign w:val="bottom"/>
          </w:tcPr>
          <w:p>
            <w:pPr>
              <w:spacing w:after="0"/>
              <w:rPr>
                <w:sz w:val="13"/>
                <w:szCs w:val="13"/>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99,648</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260" w:type="dxa"/>
            <w:vAlign w:val="bottom"/>
            <w:gridSpan w:val="2"/>
          </w:tcPr>
          <w:p>
            <w:pPr>
              <w:spacing w:after="0"/>
              <w:rPr>
                <w:sz w:val="20"/>
                <w:szCs w:val="20"/>
                <w:color w:val="auto"/>
              </w:rPr>
            </w:pPr>
            <w:r>
              <w:rPr>
                <w:rFonts w:ascii="Arial" w:cs="Arial" w:eastAsia="Arial" w:hAnsi="Arial"/>
                <w:sz w:val="14"/>
                <w:szCs w:val="14"/>
                <w:color w:val="auto"/>
              </w:rPr>
              <w:t>Purchases excluding taxes</w:t>
            </w:r>
          </w:p>
        </w:tc>
        <w:tc>
          <w:tcPr>
            <w:tcW w:w="138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9,088</w:t>
            </w:r>
          </w:p>
        </w:tc>
        <w:tc>
          <w:tcPr>
            <w:tcW w:w="140" w:type="dxa"/>
            <w:vAlign w:val="bottom"/>
          </w:tcPr>
          <w:p>
            <w:pPr>
              <w:spacing w:after="0"/>
              <w:rPr>
                <w:sz w:val="14"/>
                <w:szCs w:val="14"/>
                <w:color w:val="auto"/>
              </w:rPr>
            </w:pP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9,761</w:t>
            </w:r>
          </w:p>
        </w:tc>
        <w:tc>
          <w:tcPr>
            <w:tcW w:w="760" w:type="dxa"/>
            <w:vAlign w:val="bottom"/>
          </w:tcPr>
          <w:p>
            <w:pPr>
              <w:jc w:val="right"/>
              <w:spacing w:after="0"/>
              <w:rPr>
                <w:sz w:val="20"/>
                <w:szCs w:val="20"/>
                <w:color w:val="auto"/>
              </w:rPr>
            </w:pPr>
            <w:r>
              <w:rPr>
                <w:rFonts w:ascii="Arial" w:cs="Arial" w:eastAsia="Arial" w:hAnsi="Arial"/>
                <w:sz w:val="14"/>
                <w:szCs w:val="14"/>
                <w:color w:val="auto"/>
              </w:rPr>
              <w:t>290</w:t>
            </w:r>
          </w:p>
        </w:tc>
        <w:tc>
          <w:tcPr>
            <w:tcW w:w="80" w:type="dxa"/>
            <w:vAlign w:val="bottom"/>
          </w:tcPr>
          <w:p>
            <w:pPr>
              <w:spacing w:after="0"/>
              <w:rPr>
                <w:sz w:val="14"/>
                <w:szCs w:val="14"/>
                <w:color w:val="auto"/>
              </w:rPr>
            </w:pPr>
          </w:p>
        </w:tc>
        <w:tc>
          <w:tcPr>
            <w:tcW w:w="720" w:type="dxa"/>
            <w:vAlign w:val="bottom"/>
            <w:gridSpan w:val="2"/>
          </w:tcPr>
          <w:p>
            <w:pPr>
              <w:jc w:val="right"/>
              <w:ind w:right="28"/>
              <w:spacing w:after="0"/>
              <w:rPr>
                <w:sz w:val="20"/>
                <w:szCs w:val="20"/>
                <w:color w:val="auto"/>
              </w:rPr>
            </w:pPr>
            <w:r>
              <w:rPr>
                <w:rFonts w:ascii="Arial" w:cs="Arial" w:eastAsia="Arial" w:hAnsi="Arial"/>
                <w:sz w:val="14"/>
                <w:szCs w:val="14"/>
                <w:color w:val="auto"/>
              </w:rPr>
              <w:t>1,378</w:t>
            </w:r>
          </w:p>
        </w:tc>
        <w:tc>
          <w:tcPr>
            <w:tcW w:w="840" w:type="dxa"/>
            <w:vAlign w:val="bottom"/>
          </w:tcPr>
          <w:p>
            <w:pPr>
              <w:jc w:val="right"/>
              <w:ind w:right="29"/>
              <w:spacing w:after="0"/>
              <w:rPr>
                <w:sz w:val="20"/>
                <w:szCs w:val="20"/>
                <w:color w:val="auto"/>
              </w:rPr>
            </w:pPr>
            <w:r>
              <w:rPr>
                <w:rFonts w:ascii="Arial" w:cs="Arial" w:eastAsia="Arial" w:hAnsi="Arial"/>
                <w:sz w:val="14"/>
                <w:szCs w:val="14"/>
                <w:color w:val="auto"/>
              </w:rPr>
              <w:t>(1,175)</w:t>
            </w:r>
          </w:p>
        </w:tc>
        <w:tc>
          <w:tcPr>
            <w:tcW w:w="680" w:type="dxa"/>
            <w:vAlign w:val="bottom"/>
            <w:gridSpan w:val="2"/>
          </w:tcPr>
          <w:p>
            <w:pPr>
              <w:jc w:val="right"/>
              <w:ind w:right="100"/>
              <w:spacing w:after="0"/>
              <w:rPr>
                <w:sz w:val="20"/>
                <w:szCs w:val="20"/>
                <w:color w:val="auto"/>
              </w:rPr>
            </w:pPr>
            <w:r>
              <w:rPr>
                <w:rFonts w:ascii="Arial" w:cs="Arial" w:eastAsia="Arial" w:hAnsi="Arial"/>
                <w:sz w:val="14"/>
                <w:szCs w:val="14"/>
                <w:color w:val="auto"/>
              </w:rPr>
              <w:t>2,989</w:t>
            </w:r>
          </w:p>
        </w:tc>
        <w:tc>
          <w:tcPr>
            <w:tcW w:w="720" w:type="dxa"/>
            <w:vAlign w:val="bottom"/>
            <w:gridSpan w:val="3"/>
          </w:tcPr>
          <w:p>
            <w:pPr>
              <w:jc w:val="right"/>
              <w:ind w:right="20"/>
              <w:spacing w:after="0"/>
              <w:rPr>
                <w:sz w:val="20"/>
                <w:szCs w:val="20"/>
                <w:color w:val="auto"/>
              </w:rPr>
            </w:pPr>
            <w:r>
              <w:rPr>
                <w:rFonts w:ascii="Arial" w:cs="Arial" w:eastAsia="Arial" w:hAnsi="Arial"/>
                <w:sz w:val="14"/>
                <w:szCs w:val="14"/>
                <w:color w:val="auto"/>
              </w:rPr>
              <w:t>48</w:t>
            </w:r>
          </w:p>
        </w:tc>
        <w:tc>
          <w:tcPr>
            <w:tcW w:w="80" w:type="dxa"/>
            <w:vAlign w:val="bottom"/>
          </w:tcPr>
          <w:p>
            <w:pPr>
              <w:spacing w:after="0"/>
              <w:rPr>
                <w:sz w:val="14"/>
                <w:szCs w:val="14"/>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22,379</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260" w:type="dxa"/>
            <w:vAlign w:val="bottom"/>
            <w:gridSpan w:val="2"/>
          </w:tcPr>
          <w:p>
            <w:pPr>
              <w:spacing w:after="0"/>
              <w:rPr>
                <w:sz w:val="20"/>
                <w:szCs w:val="20"/>
                <w:color w:val="auto"/>
              </w:rPr>
            </w:pPr>
            <w:r>
              <w:rPr>
                <w:rFonts w:ascii="Arial" w:cs="Arial" w:eastAsia="Arial" w:hAnsi="Arial"/>
                <w:sz w:val="14"/>
                <w:szCs w:val="14"/>
                <w:color w:val="auto"/>
              </w:rPr>
              <w:t>Production and manufacturing expenses</w:t>
            </w:r>
          </w:p>
        </w:tc>
        <w:tc>
          <w:tcPr>
            <w:tcW w:w="138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2,998</w:t>
            </w:r>
          </w:p>
        </w:tc>
        <w:tc>
          <w:tcPr>
            <w:tcW w:w="140" w:type="dxa"/>
            <w:vAlign w:val="bottom"/>
          </w:tcPr>
          <w:p>
            <w:pPr>
              <w:spacing w:after="0"/>
              <w:rPr>
                <w:sz w:val="14"/>
                <w:szCs w:val="14"/>
                <w:color w:val="auto"/>
              </w:rPr>
            </w:pP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4,162</w:t>
            </w:r>
          </w:p>
        </w:tc>
        <w:tc>
          <w:tcPr>
            <w:tcW w:w="760" w:type="dxa"/>
            <w:vAlign w:val="bottom"/>
          </w:tcPr>
          <w:p>
            <w:pPr>
              <w:jc w:val="right"/>
              <w:spacing w:after="0"/>
              <w:rPr>
                <w:sz w:val="20"/>
                <w:szCs w:val="20"/>
                <w:color w:val="auto"/>
              </w:rPr>
            </w:pPr>
            <w:r>
              <w:rPr>
                <w:rFonts w:ascii="Arial" w:cs="Arial" w:eastAsia="Arial" w:hAnsi="Arial"/>
                <w:sz w:val="14"/>
                <w:szCs w:val="14"/>
                <w:color w:val="auto"/>
              </w:rPr>
              <w:t>762</w:t>
            </w:r>
          </w:p>
        </w:tc>
        <w:tc>
          <w:tcPr>
            <w:tcW w:w="80" w:type="dxa"/>
            <w:vAlign w:val="bottom"/>
          </w:tcPr>
          <w:p>
            <w:pPr>
              <w:spacing w:after="0"/>
              <w:rPr>
                <w:sz w:val="14"/>
                <w:szCs w:val="14"/>
                <w:color w:val="auto"/>
              </w:rPr>
            </w:pPr>
          </w:p>
        </w:tc>
        <w:tc>
          <w:tcPr>
            <w:tcW w:w="720" w:type="dxa"/>
            <w:vAlign w:val="bottom"/>
            <w:gridSpan w:val="2"/>
          </w:tcPr>
          <w:p>
            <w:pPr>
              <w:jc w:val="right"/>
              <w:ind w:right="28"/>
              <w:spacing w:after="0"/>
              <w:rPr>
                <w:sz w:val="20"/>
                <w:szCs w:val="20"/>
                <w:color w:val="auto"/>
              </w:rPr>
            </w:pPr>
            <w:r>
              <w:rPr>
                <w:rFonts w:ascii="Arial" w:cs="Arial" w:eastAsia="Arial" w:hAnsi="Arial"/>
                <w:sz w:val="14"/>
                <w:szCs w:val="14"/>
                <w:color w:val="auto"/>
              </w:rPr>
              <w:t>1,978</w:t>
            </w:r>
          </w:p>
        </w:tc>
        <w:tc>
          <w:tcPr>
            <w:tcW w:w="840" w:type="dxa"/>
            <w:vAlign w:val="bottom"/>
          </w:tcPr>
          <w:p>
            <w:pPr>
              <w:jc w:val="right"/>
              <w:ind w:right="69"/>
              <w:spacing w:after="0"/>
              <w:rPr>
                <w:sz w:val="20"/>
                <w:szCs w:val="20"/>
                <w:color w:val="auto"/>
              </w:rPr>
            </w:pPr>
            <w:r>
              <w:rPr>
                <w:rFonts w:ascii="Arial" w:cs="Arial" w:eastAsia="Arial" w:hAnsi="Arial"/>
                <w:sz w:val="14"/>
                <w:szCs w:val="14"/>
                <w:color w:val="auto"/>
              </w:rPr>
              <w:t>4,588</w:t>
            </w:r>
          </w:p>
        </w:tc>
        <w:tc>
          <w:tcPr>
            <w:tcW w:w="680" w:type="dxa"/>
            <w:vAlign w:val="bottom"/>
            <w:gridSpan w:val="2"/>
          </w:tcPr>
          <w:p>
            <w:pPr>
              <w:jc w:val="right"/>
              <w:ind w:right="100"/>
              <w:spacing w:after="0"/>
              <w:rPr>
                <w:sz w:val="20"/>
                <w:szCs w:val="20"/>
                <w:color w:val="auto"/>
              </w:rPr>
            </w:pPr>
            <w:r>
              <w:rPr>
                <w:rFonts w:ascii="Arial" w:cs="Arial" w:eastAsia="Arial" w:hAnsi="Arial"/>
                <w:sz w:val="14"/>
                <w:szCs w:val="14"/>
                <w:color w:val="auto"/>
              </w:rPr>
              <w:t>3,594</w:t>
            </w:r>
          </w:p>
        </w:tc>
        <w:tc>
          <w:tcPr>
            <w:tcW w:w="720" w:type="dxa"/>
            <w:vAlign w:val="bottom"/>
            <w:gridSpan w:val="3"/>
          </w:tcPr>
          <w:p>
            <w:pPr>
              <w:jc w:val="right"/>
              <w:ind w:right="20"/>
              <w:spacing w:after="0"/>
              <w:rPr>
                <w:sz w:val="20"/>
                <w:szCs w:val="20"/>
                <w:color w:val="auto"/>
              </w:rPr>
            </w:pPr>
            <w:r>
              <w:rPr>
                <w:rFonts w:ascii="Arial" w:cs="Arial" w:eastAsia="Arial" w:hAnsi="Arial"/>
                <w:sz w:val="14"/>
                <w:szCs w:val="14"/>
                <w:color w:val="auto"/>
              </w:rPr>
              <w:t>389</w:t>
            </w:r>
          </w:p>
        </w:tc>
        <w:tc>
          <w:tcPr>
            <w:tcW w:w="80" w:type="dxa"/>
            <w:vAlign w:val="bottom"/>
          </w:tcPr>
          <w:p>
            <w:pPr>
              <w:spacing w:after="0"/>
              <w:rPr>
                <w:sz w:val="14"/>
                <w:szCs w:val="14"/>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18,471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260" w:type="dxa"/>
            <w:vAlign w:val="bottom"/>
            <w:gridSpan w:val="2"/>
          </w:tcPr>
          <w:p>
            <w:pPr>
              <w:spacing w:after="0"/>
              <w:rPr>
                <w:sz w:val="20"/>
                <w:szCs w:val="20"/>
                <w:color w:val="auto"/>
              </w:rPr>
            </w:pPr>
            <w:r>
              <w:rPr>
                <w:rFonts w:ascii="Arial" w:cs="Arial" w:eastAsia="Arial" w:hAnsi="Arial"/>
                <w:sz w:val="14"/>
                <w:szCs w:val="14"/>
                <w:color w:val="auto"/>
              </w:rPr>
              <w:t>Taxes other than income tax</w:t>
            </w:r>
          </w:p>
        </w:tc>
        <w:tc>
          <w:tcPr>
            <w:tcW w:w="138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328</w:t>
            </w:r>
          </w:p>
        </w:tc>
        <w:tc>
          <w:tcPr>
            <w:tcW w:w="140" w:type="dxa"/>
            <w:vAlign w:val="bottom"/>
          </w:tcPr>
          <w:p>
            <w:pPr>
              <w:spacing w:after="0"/>
              <w:rPr>
                <w:sz w:val="14"/>
                <w:szCs w:val="14"/>
                <w:color w:val="auto"/>
              </w:rPr>
            </w:pP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1,254</w:t>
            </w:r>
          </w:p>
        </w:tc>
        <w:tc>
          <w:tcPr>
            <w:tcW w:w="760" w:type="dxa"/>
            <w:vAlign w:val="bottom"/>
          </w:tcPr>
          <w:p>
            <w:pPr>
              <w:jc w:val="right"/>
              <w:spacing w:after="0"/>
              <w:rPr>
                <w:sz w:val="20"/>
                <w:szCs w:val="20"/>
                <w:color w:val="auto"/>
              </w:rPr>
            </w:pPr>
            <w:r>
              <w:rPr>
                <w:rFonts w:ascii="Arial" w:cs="Arial" w:eastAsia="Arial" w:hAnsi="Arial"/>
                <w:sz w:val="14"/>
                <w:szCs w:val="14"/>
                <w:color w:val="auto"/>
              </w:rPr>
              <w:t>226</w:t>
            </w:r>
          </w:p>
        </w:tc>
        <w:tc>
          <w:tcPr>
            <w:tcW w:w="80" w:type="dxa"/>
            <w:vAlign w:val="bottom"/>
          </w:tcPr>
          <w:p>
            <w:pPr>
              <w:spacing w:after="0"/>
              <w:rPr>
                <w:sz w:val="14"/>
                <w:szCs w:val="14"/>
                <w:color w:val="auto"/>
              </w:rPr>
            </w:pPr>
          </w:p>
        </w:tc>
        <w:tc>
          <w:tcPr>
            <w:tcW w:w="720" w:type="dxa"/>
            <w:vAlign w:val="bottom"/>
            <w:gridSpan w:val="2"/>
          </w:tcPr>
          <w:p>
            <w:pPr>
              <w:jc w:val="right"/>
              <w:ind w:right="28"/>
              <w:spacing w:after="0"/>
              <w:rPr>
                <w:sz w:val="20"/>
                <w:szCs w:val="20"/>
                <w:color w:val="auto"/>
              </w:rPr>
            </w:pPr>
            <w:r>
              <w:rPr>
                <w:rFonts w:ascii="Arial" w:cs="Arial" w:eastAsia="Arial" w:hAnsi="Arial"/>
                <w:sz w:val="14"/>
                <w:szCs w:val="14"/>
                <w:color w:val="auto"/>
              </w:rPr>
              <w:t>963</w:t>
            </w:r>
          </w:p>
        </w:tc>
        <w:tc>
          <w:tcPr>
            <w:tcW w:w="840" w:type="dxa"/>
            <w:vAlign w:val="bottom"/>
          </w:tcPr>
          <w:p>
            <w:pPr>
              <w:jc w:val="right"/>
              <w:ind w:right="69"/>
              <w:spacing w:after="0"/>
              <w:rPr>
                <w:sz w:val="20"/>
                <w:szCs w:val="20"/>
                <w:color w:val="auto"/>
              </w:rPr>
            </w:pPr>
            <w:r>
              <w:rPr>
                <w:rFonts w:ascii="Arial" w:cs="Arial" w:eastAsia="Arial" w:hAnsi="Arial"/>
                <w:sz w:val="14"/>
                <w:szCs w:val="14"/>
                <w:color w:val="auto"/>
              </w:rPr>
              <w:t>223</w:t>
            </w:r>
          </w:p>
        </w:tc>
        <w:tc>
          <w:tcPr>
            <w:tcW w:w="6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720" w:type="dxa"/>
            <w:vAlign w:val="bottom"/>
            <w:gridSpan w:val="3"/>
          </w:tcPr>
          <w:p>
            <w:pPr>
              <w:jc w:val="right"/>
              <w:ind w:right="20"/>
              <w:spacing w:after="0"/>
              <w:rPr>
                <w:sz w:val="20"/>
                <w:szCs w:val="20"/>
                <w:color w:val="auto"/>
              </w:rPr>
            </w:pPr>
            <w:r>
              <w:rPr>
                <w:rFonts w:ascii="Arial" w:cs="Arial" w:eastAsia="Arial" w:hAnsi="Arial"/>
                <w:sz w:val="14"/>
                <w:szCs w:val="14"/>
                <w:color w:val="auto"/>
              </w:rPr>
              <w:t>85</w:t>
            </w:r>
          </w:p>
        </w:tc>
        <w:tc>
          <w:tcPr>
            <w:tcW w:w="80" w:type="dxa"/>
            <w:vAlign w:val="bottom"/>
          </w:tcPr>
          <w:p>
            <w:pPr>
              <w:spacing w:after="0"/>
              <w:rPr>
                <w:sz w:val="14"/>
                <w:szCs w:val="14"/>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3,079</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260" w:type="dxa"/>
            <w:vAlign w:val="bottom"/>
            <w:gridSpan w:val="2"/>
          </w:tcPr>
          <w:p>
            <w:pPr>
              <w:spacing w:after="0"/>
              <w:rPr>
                <w:sz w:val="20"/>
                <w:szCs w:val="20"/>
                <w:color w:val="auto"/>
              </w:rPr>
            </w:pPr>
            <w:r>
              <w:rPr>
                <w:rFonts w:ascii="Arial" w:cs="Arial" w:eastAsia="Arial" w:hAnsi="Arial"/>
                <w:sz w:val="14"/>
                <w:szCs w:val="14"/>
                <w:color w:val="auto"/>
              </w:rPr>
              <w:t>Selling, distribution and administrative expenses</w:t>
            </w:r>
          </w:p>
        </w:tc>
        <w:tc>
          <w:tcPr>
            <w:tcW w:w="138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993</w:t>
            </w:r>
          </w:p>
        </w:tc>
        <w:tc>
          <w:tcPr>
            <w:tcW w:w="140" w:type="dxa"/>
            <w:vAlign w:val="bottom"/>
          </w:tcPr>
          <w:p>
            <w:pPr>
              <w:spacing w:after="0"/>
              <w:rPr>
                <w:sz w:val="14"/>
                <w:szCs w:val="14"/>
                <w:color w:val="auto"/>
              </w:rPr>
            </w:pP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85</w:t>
            </w:r>
          </w:p>
        </w:tc>
        <w:tc>
          <w:tcPr>
            <w:tcW w:w="760" w:type="dxa"/>
            <w:vAlign w:val="bottom"/>
          </w:tcPr>
          <w:p>
            <w:pPr>
              <w:jc w:val="right"/>
              <w:spacing w:after="0"/>
              <w:rPr>
                <w:sz w:val="20"/>
                <w:szCs w:val="20"/>
                <w:color w:val="auto"/>
              </w:rPr>
            </w:pPr>
            <w:r>
              <w:rPr>
                <w:rFonts w:ascii="Arial" w:cs="Arial" w:eastAsia="Arial" w:hAnsi="Arial"/>
                <w:sz w:val="14"/>
                <w:szCs w:val="14"/>
                <w:color w:val="auto"/>
              </w:rPr>
              <w:t>7</w:t>
            </w:r>
          </w:p>
        </w:tc>
        <w:tc>
          <w:tcPr>
            <w:tcW w:w="80" w:type="dxa"/>
            <w:vAlign w:val="bottom"/>
          </w:tcPr>
          <w:p>
            <w:pPr>
              <w:spacing w:after="0"/>
              <w:rPr>
                <w:sz w:val="14"/>
                <w:szCs w:val="14"/>
                <w:color w:val="auto"/>
              </w:rPr>
            </w:pPr>
          </w:p>
        </w:tc>
        <w:tc>
          <w:tcPr>
            <w:tcW w:w="720" w:type="dxa"/>
            <w:vAlign w:val="bottom"/>
            <w:gridSpan w:val="2"/>
          </w:tcPr>
          <w:p>
            <w:pPr>
              <w:jc w:val="right"/>
              <w:ind w:right="28"/>
              <w:spacing w:after="0"/>
              <w:rPr>
                <w:sz w:val="20"/>
                <w:szCs w:val="20"/>
                <w:color w:val="auto"/>
              </w:rPr>
            </w:pPr>
            <w:r>
              <w:rPr>
                <w:rFonts w:ascii="Arial" w:cs="Arial" w:eastAsia="Arial" w:hAnsi="Arial"/>
                <w:sz w:val="14"/>
                <w:szCs w:val="14"/>
                <w:color w:val="auto"/>
              </w:rPr>
              <w:t>1</w:t>
            </w:r>
          </w:p>
        </w:tc>
        <w:tc>
          <w:tcPr>
            <w:tcW w:w="840" w:type="dxa"/>
            <w:vAlign w:val="bottom"/>
          </w:tcPr>
          <w:p>
            <w:pPr>
              <w:jc w:val="right"/>
              <w:ind w:right="69"/>
              <w:spacing w:after="0"/>
              <w:rPr>
                <w:sz w:val="20"/>
                <w:szCs w:val="20"/>
                <w:color w:val="auto"/>
              </w:rPr>
            </w:pPr>
            <w:r>
              <w:rPr>
                <w:rFonts w:ascii="Arial" w:cs="Arial" w:eastAsia="Arial" w:hAnsi="Arial"/>
                <w:sz w:val="14"/>
                <w:szCs w:val="14"/>
                <w:color w:val="auto"/>
              </w:rPr>
              <w:t>47</w:t>
            </w:r>
          </w:p>
        </w:tc>
        <w:tc>
          <w:tcPr>
            <w:tcW w:w="680" w:type="dxa"/>
            <w:vAlign w:val="bottom"/>
            <w:gridSpan w:val="2"/>
          </w:tcPr>
          <w:p>
            <w:pPr>
              <w:jc w:val="right"/>
              <w:ind w:right="100"/>
              <w:spacing w:after="0"/>
              <w:rPr>
                <w:sz w:val="20"/>
                <w:szCs w:val="20"/>
                <w:color w:val="auto"/>
              </w:rPr>
            </w:pPr>
            <w:r>
              <w:rPr>
                <w:rFonts w:ascii="Arial" w:cs="Arial" w:eastAsia="Arial" w:hAnsi="Arial"/>
                <w:sz w:val="14"/>
                <w:szCs w:val="14"/>
                <w:color w:val="auto"/>
              </w:rPr>
              <w:t>26</w:t>
            </w:r>
          </w:p>
        </w:tc>
        <w:tc>
          <w:tcPr>
            <w:tcW w:w="720" w:type="dxa"/>
            <w:vAlign w:val="bottom"/>
            <w:gridSpan w:val="3"/>
          </w:tcPr>
          <w:p>
            <w:pPr>
              <w:jc w:val="right"/>
              <w:ind w:right="20"/>
              <w:spacing w:after="0"/>
              <w:rPr>
                <w:sz w:val="20"/>
                <w:szCs w:val="20"/>
                <w:color w:val="auto"/>
              </w:rPr>
            </w:pPr>
            <w:r>
              <w:rPr>
                <w:rFonts w:ascii="Arial" w:cs="Arial" w:eastAsia="Arial" w:hAnsi="Arial"/>
                <w:sz w:val="14"/>
                <w:szCs w:val="14"/>
                <w:color w:val="auto"/>
              </w:rPr>
              <w:t>35</w:t>
            </w:r>
          </w:p>
        </w:tc>
        <w:tc>
          <w:tcPr>
            <w:tcW w:w="80" w:type="dxa"/>
            <w:vAlign w:val="bottom"/>
          </w:tcPr>
          <w:p>
            <w:pPr>
              <w:spacing w:after="0"/>
              <w:rPr>
                <w:sz w:val="14"/>
                <w:szCs w:val="14"/>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1,194</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260" w:type="dxa"/>
            <w:vAlign w:val="bottom"/>
            <w:gridSpan w:val="2"/>
          </w:tcPr>
          <w:p>
            <w:pPr>
              <w:spacing w:after="0"/>
              <w:rPr>
                <w:sz w:val="20"/>
                <w:szCs w:val="20"/>
                <w:color w:val="auto"/>
              </w:rPr>
            </w:pPr>
            <w:r>
              <w:rPr>
                <w:rFonts w:ascii="Arial" w:cs="Arial" w:eastAsia="Arial" w:hAnsi="Arial"/>
                <w:sz w:val="14"/>
                <w:szCs w:val="14"/>
                <w:color w:val="auto"/>
              </w:rPr>
              <w:t>Research and development</w:t>
            </w:r>
          </w:p>
        </w:tc>
        <w:tc>
          <w:tcPr>
            <w:tcW w:w="138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648</w:t>
            </w:r>
          </w:p>
        </w:tc>
        <w:tc>
          <w:tcPr>
            <w:tcW w:w="140" w:type="dxa"/>
            <w:vAlign w:val="bottom"/>
          </w:tcPr>
          <w:p>
            <w:pPr>
              <w:spacing w:after="0"/>
              <w:rPr>
                <w:sz w:val="14"/>
                <w:szCs w:val="14"/>
                <w:color w:val="auto"/>
              </w:rPr>
            </w:pP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15</w:t>
            </w:r>
          </w:p>
        </w:tc>
        <w:tc>
          <w:tcPr>
            <w:tcW w:w="76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69"/>
              <w:spacing w:after="0"/>
              <w:rPr>
                <w:sz w:val="20"/>
                <w:szCs w:val="20"/>
                <w:color w:val="auto"/>
              </w:rPr>
            </w:pPr>
            <w:r>
              <w:rPr>
                <w:rFonts w:ascii="Arial" w:cs="Arial" w:eastAsia="Arial" w:hAnsi="Arial"/>
                <w:sz w:val="14"/>
                <w:szCs w:val="14"/>
                <w:color w:val="auto"/>
              </w:rPr>
              <w:t>178</w:t>
            </w:r>
          </w:p>
        </w:tc>
        <w:tc>
          <w:tcPr>
            <w:tcW w:w="680" w:type="dxa"/>
            <w:vAlign w:val="bottom"/>
            <w:gridSpan w:val="2"/>
          </w:tcPr>
          <w:p>
            <w:pPr>
              <w:jc w:val="right"/>
              <w:ind w:right="100"/>
              <w:spacing w:after="0"/>
              <w:rPr>
                <w:sz w:val="20"/>
                <w:szCs w:val="20"/>
                <w:color w:val="auto"/>
              </w:rPr>
            </w:pPr>
            <w:r>
              <w:rPr>
                <w:rFonts w:ascii="Arial" w:cs="Arial" w:eastAsia="Arial" w:hAnsi="Arial"/>
                <w:sz w:val="14"/>
                <w:szCs w:val="14"/>
                <w:color w:val="auto"/>
              </w:rPr>
              <w:t>106</w:t>
            </w:r>
          </w:p>
        </w:tc>
        <w:tc>
          <w:tcPr>
            <w:tcW w:w="600" w:type="dxa"/>
            <w:vAlign w:val="bottom"/>
          </w:tcPr>
          <w:p>
            <w:pPr>
              <w:spacing w:after="0"/>
              <w:rPr>
                <w:sz w:val="14"/>
                <w:szCs w:val="14"/>
                <w:color w:val="auto"/>
              </w:rPr>
            </w:pPr>
          </w:p>
        </w:tc>
        <w:tc>
          <w:tcPr>
            <w:tcW w:w="200" w:type="dxa"/>
            <w:vAlign w:val="bottom"/>
            <w:gridSpan w:val="3"/>
          </w:tcPr>
          <w:p>
            <w:pPr>
              <w:jc w:val="right"/>
              <w:ind w:right="100"/>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947</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260" w:type="dxa"/>
            <w:vAlign w:val="bottom"/>
            <w:gridSpan w:val="2"/>
          </w:tcPr>
          <w:p>
            <w:pPr>
              <w:spacing w:after="0"/>
              <w:rPr>
                <w:sz w:val="20"/>
                <w:szCs w:val="20"/>
                <w:color w:val="auto"/>
              </w:rPr>
            </w:pPr>
            <w:r>
              <w:rPr>
                <w:rFonts w:ascii="Arial" w:cs="Arial" w:eastAsia="Arial" w:hAnsi="Arial"/>
                <w:sz w:val="14"/>
                <w:szCs w:val="14"/>
                <w:color w:val="auto"/>
              </w:rPr>
              <w:t>Exploration</w:t>
            </w:r>
          </w:p>
        </w:tc>
        <w:tc>
          <w:tcPr>
            <w:tcW w:w="138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627</w:t>
            </w:r>
          </w:p>
        </w:tc>
        <w:tc>
          <w:tcPr>
            <w:tcW w:w="140" w:type="dxa"/>
            <w:vAlign w:val="bottom"/>
          </w:tcPr>
          <w:p>
            <w:pPr>
              <w:spacing w:after="0"/>
              <w:rPr>
                <w:sz w:val="14"/>
                <w:szCs w:val="14"/>
                <w:color w:val="auto"/>
              </w:rPr>
            </w:pP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1,082</w:t>
            </w:r>
          </w:p>
        </w:tc>
        <w:tc>
          <w:tcPr>
            <w:tcW w:w="760" w:type="dxa"/>
            <w:vAlign w:val="bottom"/>
          </w:tcPr>
          <w:p>
            <w:pPr>
              <w:jc w:val="right"/>
              <w:spacing w:after="0"/>
              <w:rPr>
                <w:sz w:val="20"/>
                <w:szCs w:val="20"/>
                <w:color w:val="auto"/>
              </w:rPr>
            </w:pPr>
            <w:r>
              <w:rPr>
                <w:rFonts w:ascii="Arial" w:cs="Arial" w:eastAsia="Arial" w:hAnsi="Arial"/>
                <w:sz w:val="14"/>
                <w:szCs w:val="14"/>
                <w:color w:val="auto"/>
              </w:rPr>
              <w:t>396</w:t>
            </w:r>
          </w:p>
        </w:tc>
        <w:tc>
          <w:tcPr>
            <w:tcW w:w="80" w:type="dxa"/>
            <w:vAlign w:val="bottom"/>
          </w:tcPr>
          <w:p>
            <w:pPr>
              <w:spacing w:after="0"/>
              <w:rPr>
                <w:sz w:val="14"/>
                <w:szCs w:val="14"/>
                <w:color w:val="auto"/>
              </w:rPr>
            </w:pPr>
          </w:p>
        </w:tc>
        <w:tc>
          <w:tcPr>
            <w:tcW w:w="720" w:type="dxa"/>
            <w:vAlign w:val="bottom"/>
            <w:gridSpan w:val="2"/>
          </w:tcPr>
          <w:p>
            <w:pPr>
              <w:jc w:val="right"/>
              <w:ind w:right="28"/>
              <w:spacing w:after="0"/>
              <w:rPr>
                <w:sz w:val="20"/>
                <w:szCs w:val="20"/>
                <w:color w:val="auto"/>
              </w:rPr>
            </w:pPr>
            <w:r>
              <w:rPr>
                <w:rFonts w:ascii="Arial" w:cs="Arial" w:eastAsia="Arial" w:hAnsi="Arial"/>
                <w:sz w:val="14"/>
                <w:szCs w:val="14"/>
                <w:color w:val="auto"/>
              </w:rPr>
              <w:t>354</w:t>
            </w:r>
          </w:p>
        </w:tc>
        <w:tc>
          <w:tcPr>
            <w:tcW w:w="840" w:type="dxa"/>
            <w:vAlign w:val="bottom"/>
          </w:tcPr>
          <w:p>
            <w:pPr>
              <w:jc w:val="right"/>
              <w:ind w:right="69"/>
              <w:spacing w:after="0"/>
              <w:rPr>
                <w:sz w:val="20"/>
                <w:szCs w:val="20"/>
                <w:color w:val="auto"/>
              </w:rPr>
            </w:pPr>
            <w:r>
              <w:rPr>
                <w:rFonts w:ascii="Arial" w:cs="Arial" w:eastAsia="Arial" w:hAnsi="Arial"/>
                <w:sz w:val="14"/>
                <w:szCs w:val="14"/>
                <w:color w:val="auto"/>
              </w:rPr>
              <w:t>1,790</w:t>
            </w:r>
          </w:p>
        </w:tc>
        <w:tc>
          <w:tcPr>
            <w:tcW w:w="680" w:type="dxa"/>
            <w:vAlign w:val="bottom"/>
            <w:gridSpan w:val="2"/>
          </w:tcPr>
          <w:p>
            <w:pPr>
              <w:jc w:val="right"/>
              <w:ind w:right="100"/>
              <w:spacing w:after="0"/>
              <w:rPr>
                <w:sz w:val="20"/>
                <w:szCs w:val="20"/>
                <w:color w:val="auto"/>
              </w:rPr>
            </w:pPr>
            <w:r>
              <w:rPr>
                <w:rFonts w:ascii="Arial" w:cs="Arial" w:eastAsia="Arial" w:hAnsi="Arial"/>
                <w:sz w:val="14"/>
                <w:szCs w:val="14"/>
                <w:color w:val="auto"/>
              </w:rPr>
              <w:t>312</w:t>
            </w:r>
          </w:p>
        </w:tc>
        <w:tc>
          <w:tcPr>
            <w:tcW w:w="720" w:type="dxa"/>
            <w:vAlign w:val="bottom"/>
            <w:gridSpan w:val="3"/>
          </w:tcPr>
          <w:p>
            <w:pPr>
              <w:jc w:val="right"/>
              <w:ind w:right="20"/>
              <w:spacing w:after="0"/>
              <w:rPr>
                <w:sz w:val="20"/>
                <w:szCs w:val="20"/>
                <w:color w:val="auto"/>
              </w:rPr>
            </w:pPr>
            <w:r>
              <w:rPr>
                <w:rFonts w:ascii="Arial" w:cs="Arial" w:eastAsia="Arial" w:hAnsi="Arial"/>
                <w:sz w:val="14"/>
                <w:szCs w:val="14"/>
                <w:color w:val="auto"/>
              </w:rPr>
              <w:t>717</w:t>
            </w:r>
          </w:p>
        </w:tc>
        <w:tc>
          <w:tcPr>
            <w:tcW w:w="80" w:type="dxa"/>
            <w:vAlign w:val="bottom"/>
          </w:tcPr>
          <w:p>
            <w:pPr>
              <w:spacing w:after="0"/>
              <w:rPr>
                <w:sz w:val="14"/>
                <w:szCs w:val="14"/>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5,278</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260" w:type="dxa"/>
            <w:vAlign w:val="bottom"/>
            <w:gridSpan w:val="2"/>
          </w:tcPr>
          <w:p>
            <w:pPr>
              <w:spacing w:after="0"/>
              <w:rPr>
                <w:sz w:val="20"/>
                <w:szCs w:val="20"/>
                <w:color w:val="auto"/>
              </w:rPr>
            </w:pPr>
            <w:r>
              <w:rPr>
                <w:rFonts w:ascii="Arial" w:cs="Arial" w:eastAsia="Arial" w:hAnsi="Arial"/>
                <w:sz w:val="14"/>
                <w:szCs w:val="14"/>
                <w:color w:val="auto"/>
              </w:rPr>
              <w:t>Depreciation, depletion and amortisation</w:t>
            </w:r>
          </w:p>
        </w:tc>
        <w:tc>
          <w:tcPr>
            <w:tcW w:w="138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1,444</w:t>
            </w:r>
          </w:p>
        </w:tc>
        <w:tc>
          <w:tcPr>
            <w:tcW w:w="140" w:type="dxa"/>
            <w:vAlign w:val="bottom"/>
          </w:tcPr>
          <w:p>
            <w:pPr>
              <w:spacing w:after="0"/>
              <w:rPr>
                <w:sz w:val="14"/>
                <w:szCs w:val="14"/>
                <w:color w:val="auto"/>
              </w:rPr>
            </w:pP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3,114</w:t>
            </w:r>
          </w:p>
        </w:tc>
        <w:tc>
          <w:tcPr>
            <w:tcW w:w="760" w:type="dxa"/>
            <w:vAlign w:val="bottom"/>
          </w:tcPr>
          <w:p>
            <w:pPr>
              <w:jc w:val="right"/>
              <w:spacing w:after="0"/>
              <w:rPr>
                <w:sz w:val="20"/>
                <w:szCs w:val="20"/>
                <w:color w:val="auto"/>
              </w:rPr>
            </w:pPr>
            <w:r>
              <w:rPr>
                <w:rFonts w:ascii="Arial" w:cs="Arial" w:eastAsia="Arial" w:hAnsi="Arial"/>
                <w:sz w:val="14"/>
                <w:szCs w:val="14"/>
                <w:color w:val="auto"/>
              </w:rPr>
              <w:t>434</w:t>
            </w:r>
          </w:p>
        </w:tc>
        <w:tc>
          <w:tcPr>
            <w:tcW w:w="80" w:type="dxa"/>
            <w:vAlign w:val="bottom"/>
          </w:tcPr>
          <w:p>
            <w:pPr>
              <w:spacing w:after="0"/>
              <w:rPr>
                <w:sz w:val="14"/>
                <w:szCs w:val="14"/>
                <w:color w:val="auto"/>
              </w:rPr>
            </w:pPr>
          </w:p>
        </w:tc>
        <w:tc>
          <w:tcPr>
            <w:tcW w:w="720" w:type="dxa"/>
            <w:vAlign w:val="bottom"/>
            <w:gridSpan w:val="2"/>
          </w:tcPr>
          <w:p>
            <w:pPr>
              <w:jc w:val="right"/>
              <w:ind w:right="28"/>
              <w:spacing w:after="0"/>
              <w:rPr>
                <w:sz w:val="20"/>
                <w:szCs w:val="20"/>
                <w:color w:val="auto"/>
              </w:rPr>
            </w:pPr>
            <w:r>
              <w:rPr>
                <w:rFonts w:ascii="Arial" w:cs="Arial" w:eastAsia="Arial" w:hAnsi="Arial"/>
                <w:sz w:val="14"/>
                <w:szCs w:val="14"/>
                <w:color w:val="auto"/>
              </w:rPr>
              <w:t>1,293</w:t>
            </w:r>
          </w:p>
        </w:tc>
        <w:tc>
          <w:tcPr>
            <w:tcW w:w="840" w:type="dxa"/>
            <w:vAlign w:val="bottom"/>
          </w:tcPr>
          <w:p>
            <w:pPr>
              <w:jc w:val="right"/>
              <w:ind w:right="69"/>
              <w:spacing w:after="0"/>
              <w:rPr>
                <w:sz w:val="20"/>
                <w:szCs w:val="20"/>
                <w:color w:val="auto"/>
              </w:rPr>
            </w:pPr>
            <w:r>
              <w:rPr>
                <w:rFonts w:ascii="Arial" w:cs="Arial" w:eastAsia="Arial" w:hAnsi="Arial"/>
                <w:sz w:val="14"/>
                <w:szCs w:val="14"/>
                <w:color w:val="auto"/>
              </w:rPr>
              <w:t>7,954</w:t>
            </w:r>
          </w:p>
        </w:tc>
        <w:tc>
          <w:tcPr>
            <w:tcW w:w="680" w:type="dxa"/>
            <w:vAlign w:val="bottom"/>
            <w:gridSpan w:val="2"/>
          </w:tcPr>
          <w:p>
            <w:pPr>
              <w:jc w:val="right"/>
              <w:ind w:right="100"/>
              <w:spacing w:after="0"/>
              <w:rPr>
                <w:sz w:val="20"/>
                <w:szCs w:val="20"/>
                <w:color w:val="auto"/>
              </w:rPr>
            </w:pPr>
            <w:r>
              <w:rPr>
                <w:rFonts w:ascii="Arial" w:cs="Arial" w:eastAsia="Arial" w:hAnsi="Arial"/>
                <w:sz w:val="14"/>
                <w:szCs w:val="14"/>
                <w:color w:val="auto"/>
              </w:rPr>
              <w:t>2,550</w:t>
            </w:r>
          </w:p>
        </w:tc>
        <w:tc>
          <w:tcPr>
            <w:tcW w:w="720" w:type="dxa"/>
            <w:vAlign w:val="bottom"/>
            <w:gridSpan w:val="3"/>
          </w:tcPr>
          <w:p>
            <w:pPr>
              <w:jc w:val="right"/>
              <w:ind w:right="20"/>
              <w:spacing w:after="0"/>
              <w:rPr>
                <w:sz w:val="20"/>
                <w:szCs w:val="20"/>
                <w:color w:val="auto"/>
              </w:rPr>
            </w:pPr>
            <w:r>
              <w:rPr>
                <w:rFonts w:ascii="Arial" w:cs="Arial" w:eastAsia="Arial" w:hAnsi="Arial"/>
                <w:sz w:val="14"/>
                <w:szCs w:val="14"/>
                <w:color w:val="auto"/>
              </w:rPr>
              <w:t>160</w:t>
            </w:r>
          </w:p>
        </w:tc>
        <w:tc>
          <w:tcPr>
            <w:tcW w:w="80" w:type="dxa"/>
            <w:vAlign w:val="bottom"/>
          </w:tcPr>
          <w:p>
            <w:pPr>
              <w:spacing w:after="0"/>
              <w:rPr>
                <w:sz w:val="14"/>
                <w:szCs w:val="14"/>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16,949</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3260" w:type="dxa"/>
            <w:vAlign w:val="bottom"/>
            <w:tcBorders>
              <w:bottom w:val="single" w:sz="8" w:color="auto"/>
            </w:tcBorders>
            <w:gridSpan w:val="2"/>
          </w:tcPr>
          <w:p>
            <w:pPr>
              <w:spacing w:after="0" w:line="157" w:lineRule="exact"/>
              <w:rPr>
                <w:sz w:val="20"/>
                <w:szCs w:val="20"/>
                <w:color w:val="auto"/>
              </w:rPr>
            </w:pPr>
            <w:r>
              <w:rPr>
                <w:rFonts w:ascii="Arial" w:cs="Arial" w:eastAsia="Arial" w:hAnsi="Arial"/>
                <w:sz w:val="14"/>
                <w:szCs w:val="14"/>
                <w:color w:val="auto"/>
              </w:rPr>
              <w:t>Interest expense</w:t>
            </w:r>
          </w:p>
        </w:tc>
        <w:tc>
          <w:tcPr>
            <w:tcW w:w="138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spacing w:after="0" w:line="157" w:lineRule="exact"/>
              <w:rPr>
                <w:sz w:val="20"/>
                <w:szCs w:val="20"/>
                <w:color w:val="auto"/>
              </w:rPr>
            </w:pPr>
            <w:r>
              <w:rPr>
                <w:rFonts w:ascii="Arial" w:cs="Arial" w:eastAsia="Arial" w:hAnsi="Arial"/>
                <w:sz w:val="14"/>
                <w:szCs w:val="14"/>
                <w:color w:val="auto"/>
              </w:rPr>
              <w:t>359</w:t>
            </w:r>
          </w:p>
        </w:tc>
        <w:tc>
          <w:tcPr>
            <w:tcW w:w="14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8"/>
              <w:spacing w:after="0" w:line="157" w:lineRule="exact"/>
              <w:rPr>
                <w:sz w:val="20"/>
                <w:szCs w:val="20"/>
                <w:color w:val="auto"/>
              </w:rPr>
            </w:pPr>
            <w:r>
              <w:rPr>
                <w:rFonts w:ascii="Arial" w:cs="Arial" w:eastAsia="Arial" w:hAnsi="Arial"/>
                <w:sz w:val="14"/>
                <w:szCs w:val="14"/>
                <w:color w:val="auto"/>
              </w:rPr>
              <w:t>76</w:t>
            </w:r>
          </w:p>
        </w:tc>
        <w:tc>
          <w:tcPr>
            <w:tcW w:w="760" w:type="dxa"/>
            <w:vAlign w:val="bottom"/>
            <w:tcBorders>
              <w:bottom w:val="single" w:sz="8" w:color="auto"/>
            </w:tcBorders>
          </w:tcPr>
          <w:p>
            <w:pPr>
              <w:jc w:val="right"/>
              <w:spacing w:after="0" w:line="157" w:lineRule="exact"/>
              <w:rPr>
                <w:sz w:val="20"/>
                <w:szCs w:val="20"/>
                <w:color w:val="auto"/>
              </w:rPr>
            </w:pPr>
            <w:r>
              <w:rPr>
                <w:rFonts w:ascii="Arial" w:cs="Arial" w:eastAsia="Arial" w:hAnsi="Arial"/>
                <w:sz w:val="14"/>
                <w:szCs w:val="14"/>
                <w:color w:val="auto"/>
              </w:rPr>
              <w:t>47</w:t>
            </w:r>
          </w:p>
        </w:tc>
        <w:tc>
          <w:tcPr>
            <w:tcW w:w="8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gridSpan w:val="2"/>
          </w:tcPr>
          <w:p>
            <w:pPr>
              <w:jc w:val="right"/>
              <w:ind w:right="28"/>
              <w:spacing w:after="0" w:line="157" w:lineRule="exact"/>
              <w:rPr>
                <w:sz w:val="20"/>
                <w:szCs w:val="20"/>
                <w:color w:val="auto"/>
              </w:rPr>
            </w:pPr>
            <w:r>
              <w:rPr>
                <w:rFonts w:ascii="Arial" w:cs="Arial" w:eastAsia="Arial" w:hAnsi="Arial"/>
                <w:sz w:val="14"/>
                <w:szCs w:val="14"/>
                <w:color w:val="auto"/>
              </w:rPr>
              <w:t>133</w:t>
            </w:r>
          </w:p>
        </w:tc>
        <w:tc>
          <w:tcPr>
            <w:tcW w:w="840" w:type="dxa"/>
            <w:vAlign w:val="bottom"/>
            <w:tcBorders>
              <w:bottom w:val="single" w:sz="8" w:color="auto"/>
            </w:tcBorders>
          </w:tcPr>
          <w:p>
            <w:pPr>
              <w:jc w:val="right"/>
              <w:ind w:right="69"/>
              <w:spacing w:after="0" w:line="157" w:lineRule="exact"/>
              <w:rPr>
                <w:sz w:val="20"/>
                <w:szCs w:val="20"/>
                <w:color w:val="auto"/>
              </w:rPr>
            </w:pPr>
            <w:r>
              <w:rPr>
                <w:rFonts w:ascii="Arial" w:cs="Arial" w:eastAsia="Arial" w:hAnsi="Arial"/>
                <w:sz w:val="14"/>
                <w:szCs w:val="14"/>
                <w:color w:val="auto"/>
              </w:rPr>
              <w:t>210</w:t>
            </w:r>
          </w:p>
        </w:tc>
        <w:tc>
          <w:tcPr>
            <w:tcW w:w="680" w:type="dxa"/>
            <w:vAlign w:val="bottom"/>
            <w:tcBorders>
              <w:bottom w:val="single" w:sz="8" w:color="auto"/>
            </w:tcBorders>
            <w:gridSpan w:val="2"/>
          </w:tcPr>
          <w:p>
            <w:pPr>
              <w:jc w:val="right"/>
              <w:ind w:right="100"/>
              <w:spacing w:after="0" w:line="157" w:lineRule="exact"/>
              <w:rPr>
                <w:sz w:val="20"/>
                <w:szCs w:val="20"/>
                <w:color w:val="auto"/>
              </w:rPr>
            </w:pPr>
            <w:r>
              <w:rPr>
                <w:rFonts w:ascii="Arial" w:cs="Arial" w:eastAsia="Arial" w:hAnsi="Arial"/>
                <w:sz w:val="14"/>
                <w:szCs w:val="14"/>
                <w:color w:val="auto"/>
              </w:rPr>
              <w:t>61</w:t>
            </w:r>
          </w:p>
        </w:tc>
        <w:tc>
          <w:tcPr>
            <w:tcW w:w="720" w:type="dxa"/>
            <w:vAlign w:val="bottom"/>
            <w:tcBorders>
              <w:bottom w:val="single" w:sz="8" w:color="auto"/>
            </w:tcBorders>
            <w:gridSpan w:val="3"/>
          </w:tcPr>
          <w:p>
            <w:pPr>
              <w:jc w:val="right"/>
              <w:ind w:right="20"/>
              <w:spacing w:after="0" w:line="157" w:lineRule="exact"/>
              <w:rPr>
                <w:sz w:val="20"/>
                <w:szCs w:val="20"/>
                <w:color w:val="auto"/>
              </w:rPr>
            </w:pPr>
            <w:r>
              <w:rPr>
                <w:rFonts w:ascii="Arial" w:cs="Arial" w:eastAsia="Arial" w:hAnsi="Arial"/>
                <w:sz w:val="14"/>
                <w:szCs w:val="14"/>
                <w:color w:val="auto"/>
              </w:rPr>
              <w:t>24</w:t>
            </w:r>
          </w:p>
        </w:tc>
        <w:tc>
          <w:tcPr>
            <w:tcW w:w="8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ind w:right="28"/>
              <w:spacing w:after="0" w:line="157" w:lineRule="exact"/>
              <w:rPr>
                <w:sz w:val="20"/>
                <w:szCs w:val="20"/>
                <w:color w:val="auto"/>
              </w:rPr>
            </w:pPr>
            <w:r>
              <w:rPr>
                <w:rFonts w:ascii="Arial" w:cs="Arial" w:eastAsia="Arial" w:hAnsi="Arial"/>
                <w:sz w:val="14"/>
                <w:szCs w:val="14"/>
                <w:color w:val="auto"/>
              </w:rPr>
              <w:t>910</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3260" w:type="dxa"/>
            <w:vAlign w:val="bottom"/>
            <w:gridSpan w:val="2"/>
          </w:tcPr>
          <w:p>
            <w:pPr>
              <w:spacing w:after="0"/>
              <w:rPr>
                <w:sz w:val="20"/>
                <w:szCs w:val="20"/>
                <w:color w:val="auto"/>
              </w:rPr>
            </w:pPr>
            <w:r>
              <w:rPr>
                <w:rFonts w:ascii="Arial" w:cs="Arial" w:eastAsia="Arial" w:hAnsi="Arial"/>
                <w:sz w:val="14"/>
                <w:szCs w:val="14"/>
                <w:color w:val="auto"/>
              </w:rPr>
              <w:t>Income before taxation</w:t>
            </w:r>
          </w:p>
        </w:tc>
        <w:tc>
          <w:tcPr>
            <w:tcW w:w="138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8,005</w:t>
            </w:r>
          </w:p>
        </w:tc>
        <w:tc>
          <w:tcPr>
            <w:tcW w:w="140" w:type="dxa"/>
            <w:vAlign w:val="bottom"/>
          </w:tcPr>
          <w:p>
            <w:pPr>
              <w:spacing w:after="0"/>
              <w:rPr>
                <w:sz w:val="13"/>
                <w:szCs w:val="13"/>
                <w:color w:val="auto"/>
              </w:rPr>
            </w:pP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20,174</w:t>
            </w:r>
          </w:p>
        </w:tc>
        <w:tc>
          <w:tcPr>
            <w:tcW w:w="760" w:type="dxa"/>
            <w:vAlign w:val="bottom"/>
          </w:tcPr>
          <w:p>
            <w:pPr>
              <w:jc w:val="right"/>
              <w:spacing w:after="0"/>
              <w:rPr>
                <w:sz w:val="20"/>
                <w:szCs w:val="20"/>
                <w:color w:val="auto"/>
              </w:rPr>
            </w:pPr>
            <w:r>
              <w:rPr>
                <w:rFonts w:ascii="Arial" w:cs="Arial" w:eastAsia="Arial" w:hAnsi="Arial"/>
                <w:sz w:val="14"/>
                <w:szCs w:val="14"/>
                <w:color w:val="auto"/>
              </w:rPr>
              <w:t>1,535</w:t>
            </w:r>
          </w:p>
        </w:tc>
        <w:tc>
          <w:tcPr>
            <w:tcW w:w="80" w:type="dxa"/>
            <w:vAlign w:val="bottom"/>
          </w:tcPr>
          <w:p>
            <w:pPr>
              <w:spacing w:after="0"/>
              <w:rPr>
                <w:sz w:val="13"/>
                <w:szCs w:val="13"/>
                <w:color w:val="auto"/>
              </w:rPr>
            </w:pPr>
          </w:p>
        </w:tc>
        <w:tc>
          <w:tcPr>
            <w:tcW w:w="720" w:type="dxa"/>
            <w:vAlign w:val="bottom"/>
            <w:gridSpan w:val="2"/>
          </w:tcPr>
          <w:p>
            <w:pPr>
              <w:jc w:val="right"/>
              <w:ind w:right="28"/>
              <w:spacing w:after="0"/>
              <w:rPr>
                <w:sz w:val="20"/>
                <w:szCs w:val="20"/>
                <w:color w:val="auto"/>
              </w:rPr>
            </w:pPr>
            <w:r>
              <w:rPr>
                <w:rFonts w:ascii="Arial" w:cs="Arial" w:eastAsia="Arial" w:hAnsi="Arial"/>
                <w:sz w:val="14"/>
                <w:szCs w:val="14"/>
                <w:color w:val="auto"/>
              </w:rPr>
              <w:t>6,055</w:t>
            </w:r>
          </w:p>
        </w:tc>
        <w:tc>
          <w:tcPr>
            <w:tcW w:w="840" w:type="dxa"/>
            <w:vAlign w:val="bottom"/>
          </w:tcPr>
          <w:p>
            <w:pPr>
              <w:jc w:val="right"/>
              <w:ind w:right="29"/>
              <w:spacing w:after="0"/>
              <w:rPr>
                <w:sz w:val="20"/>
                <w:szCs w:val="20"/>
                <w:color w:val="auto"/>
              </w:rPr>
            </w:pPr>
            <w:r>
              <w:rPr>
                <w:rFonts w:ascii="Arial" w:cs="Arial" w:eastAsia="Arial" w:hAnsi="Arial"/>
                <w:sz w:val="14"/>
                <w:szCs w:val="14"/>
                <w:color w:val="auto"/>
              </w:rPr>
              <w:t>(4,032)</w:t>
            </w:r>
          </w:p>
        </w:tc>
        <w:tc>
          <w:tcPr>
            <w:tcW w:w="680" w:type="dxa"/>
            <w:vAlign w:val="bottom"/>
            <w:gridSpan w:val="2"/>
          </w:tcPr>
          <w:p>
            <w:pPr>
              <w:jc w:val="right"/>
              <w:ind w:right="60"/>
              <w:spacing w:after="0"/>
              <w:rPr>
                <w:sz w:val="20"/>
                <w:szCs w:val="20"/>
                <w:color w:val="auto"/>
              </w:rPr>
            </w:pPr>
            <w:r>
              <w:rPr>
                <w:rFonts w:ascii="Arial" w:cs="Arial" w:eastAsia="Arial" w:hAnsi="Arial"/>
                <w:sz w:val="14"/>
                <w:szCs w:val="14"/>
                <w:color w:val="auto"/>
              </w:rPr>
              <w:t>(653)</w:t>
            </w:r>
          </w:p>
        </w:tc>
        <w:tc>
          <w:tcPr>
            <w:tcW w:w="800" w:type="dxa"/>
            <w:vAlign w:val="bottom"/>
            <w:gridSpan w:val="4"/>
          </w:tcPr>
          <w:p>
            <w:pPr>
              <w:jc w:val="right"/>
              <w:ind w:right="60"/>
              <w:spacing w:after="0"/>
              <w:rPr>
                <w:sz w:val="20"/>
                <w:szCs w:val="20"/>
                <w:color w:val="auto"/>
              </w:rPr>
            </w:pPr>
            <w:r>
              <w:rPr>
                <w:rFonts w:ascii="Arial" w:cs="Arial" w:eastAsia="Arial" w:hAnsi="Arial"/>
                <w:sz w:val="14"/>
                <w:szCs w:val="14"/>
                <w:color w:val="auto"/>
              </w:rPr>
              <w:t>(643)</w:t>
            </w: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30,441</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3260" w:type="dxa"/>
            <w:vAlign w:val="bottom"/>
            <w:tcBorders>
              <w:bottom w:val="single" w:sz="8" w:color="auto"/>
            </w:tcBorders>
            <w:gridSpan w:val="2"/>
          </w:tcPr>
          <w:p>
            <w:pPr>
              <w:spacing w:after="0" w:line="157" w:lineRule="exact"/>
              <w:rPr>
                <w:sz w:val="20"/>
                <w:szCs w:val="20"/>
                <w:color w:val="auto"/>
              </w:rPr>
            </w:pPr>
            <w:r>
              <w:rPr>
                <w:rFonts w:ascii="Arial" w:cs="Arial" w:eastAsia="Arial" w:hAnsi="Arial"/>
                <w:sz w:val="14"/>
                <w:szCs w:val="14"/>
                <w:color w:val="auto"/>
              </w:rPr>
              <w:t>Taxation</w:t>
            </w:r>
          </w:p>
        </w:tc>
        <w:tc>
          <w:tcPr>
            <w:tcW w:w="138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spacing w:after="0" w:line="157" w:lineRule="exact"/>
              <w:rPr>
                <w:sz w:val="20"/>
                <w:szCs w:val="20"/>
                <w:color w:val="auto"/>
              </w:rPr>
            </w:pPr>
            <w:r>
              <w:rPr>
                <w:rFonts w:ascii="Arial" w:cs="Arial" w:eastAsia="Arial" w:hAnsi="Arial"/>
                <w:sz w:val="14"/>
                <w:szCs w:val="14"/>
                <w:color w:val="auto"/>
              </w:rPr>
              <w:t>4,883</w:t>
            </w:r>
          </w:p>
        </w:tc>
        <w:tc>
          <w:tcPr>
            <w:tcW w:w="14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8"/>
              <w:spacing w:after="0" w:line="157" w:lineRule="exact"/>
              <w:rPr>
                <w:sz w:val="20"/>
                <w:szCs w:val="20"/>
                <w:color w:val="auto"/>
              </w:rPr>
            </w:pPr>
            <w:r>
              <w:rPr>
                <w:rFonts w:ascii="Arial" w:cs="Arial" w:eastAsia="Arial" w:hAnsi="Arial"/>
                <w:sz w:val="14"/>
                <w:szCs w:val="14"/>
                <w:color w:val="auto"/>
              </w:rPr>
              <w:t>10,977</w:t>
            </w:r>
          </w:p>
        </w:tc>
        <w:tc>
          <w:tcPr>
            <w:tcW w:w="760" w:type="dxa"/>
            <w:vAlign w:val="bottom"/>
            <w:tcBorders>
              <w:bottom w:val="single" w:sz="8" w:color="auto"/>
            </w:tcBorders>
          </w:tcPr>
          <w:p>
            <w:pPr>
              <w:jc w:val="right"/>
              <w:spacing w:after="0" w:line="157" w:lineRule="exact"/>
              <w:rPr>
                <w:sz w:val="20"/>
                <w:szCs w:val="20"/>
                <w:color w:val="auto"/>
              </w:rPr>
            </w:pPr>
            <w:r>
              <w:rPr>
                <w:rFonts w:ascii="Arial" w:cs="Arial" w:eastAsia="Arial" w:hAnsi="Arial"/>
                <w:sz w:val="14"/>
                <w:szCs w:val="14"/>
                <w:color w:val="auto"/>
              </w:rPr>
              <w:t>475</w:t>
            </w:r>
          </w:p>
        </w:tc>
        <w:tc>
          <w:tcPr>
            <w:tcW w:w="8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gridSpan w:val="2"/>
          </w:tcPr>
          <w:p>
            <w:pPr>
              <w:jc w:val="right"/>
              <w:ind w:right="28"/>
              <w:spacing w:after="0" w:line="157" w:lineRule="exact"/>
              <w:rPr>
                <w:sz w:val="20"/>
                <w:szCs w:val="20"/>
                <w:color w:val="auto"/>
              </w:rPr>
            </w:pPr>
            <w:r>
              <w:rPr>
                <w:rFonts w:ascii="Arial" w:cs="Arial" w:eastAsia="Arial" w:hAnsi="Arial"/>
                <w:sz w:val="14"/>
                <w:szCs w:val="14"/>
                <w:color w:val="auto"/>
              </w:rPr>
              <w:t>3,100</w:t>
            </w:r>
          </w:p>
        </w:tc>
        <w:tc>
          <w:tcPr>
            <w:tcW w:w="840" w:type="dxa"/>
            <w:vAlign w:val="bottom"/>
            <w:tcBorders>
              <w:bottom w:val="single" w:sz="8" w:color="auto"/>
            </w:tcBorders>
          </w:tcPr>
          <w:p>
            <w:pPr>
              <w:jc w:val="right"/>
              <w:ind w:right="29"/>
              <w:spacing w:after="0" w:line="157" w:lineRule="exact"/>
              <w:rPr>
                <w:sz w:val="20"/>
                <w:szCs w:val="20"/>
                <w:color w:val="auto"/>
              </w:rPr>
            </w:pPr>
            <w:r>
              <w:rPr>
                <w:rFonts w:ascii="Arial" w:cs="Arial" w:eastAsia="Arial" w:hAnsi="Arial"/>
                <w:sz w:val="14"/>
                <w:szCs w:val="14"/>
                <w:color w:val="auto"/>
              </w:rPr>
              <w:t>(1,500)</w:t>
            </w:r>
          </w:p>
        </w:tc>
        <w:tc>
          <w:tcPr>
            <w:tcW w:w="680" w:type="dxa"/>
            <w:vAlign w:val="bottom"/>
            <w:tcBorders>
              <w:bottom w:val="single" w:sz="8" w:color="auto"/>
            </w:tcBorders>
            <w:gridSpan w:val="2"/>
          </w:tcPr>
          <w:p>
            <w:pPr>
              <w:jc w:val="right"/>
              <w:ind w:right="60"/>
              <w:spacing w:after="0" w:line="157" w:lineRule="exact"/>
              <w:rPr>
                <w:sz w:val="20"/>
                <w:szCs w:val="20"/>
                <w:color w:val="auto"/>
              </w:rPr>
            </w:pPr>
            <w:r>
              <w:rPr>
                <w:rFonts w:ascii="Arial" w:cs="Arial" w:eastAsia="Arial" w:hAnsi="Arial"/>
                <w:sz w:val="14"/>
                <w:szCs w:val="14"/>
                <w:color w:val="auto"/>
              </w:rPr>
              <w:t>(203)</w:t>
            </w:r>
          </w:p>
        </w:tc>
        <w:tc>
          <w:tcPr>
            <w:tcW w:w="720" w:type="dxa"/>
            <w:vAlign w:val="bottom"/>
            <w:tcBorders>
              <w:bottom w:val="single" w:sz="8" w:color="auto"/>
            </w:tcBorders>
            <w:gridSpan w:val="3"/>
          </w:tcPr>
          <w:p>
            <w:pPr>
              <w:jc w:val="right"/>
              <w:ind w:right="20"/>
              <w:spacing w:after="0" w:line="157" w:lineRule="exact"/>
              <w:rPr>
                <w:sz w:val="20"/>
                <w:szCs w:val="20"/>
                <w:color w:val="auto"/>
              </w:rPr>
            </w:pPr>
            <w:r>
              <w:rPr>
                <w:rFonts w:ascii="Arial" w:cs="Arial" w:eastAsia="Arial" w:hAnsi="Arial"/>
                <w:sz w:val="14"/>
                <w:szCs w:val="14"/>
                <w:color w:val="auto"/>
              </w:rPr>
              <w:t>71</w:t>
            </w:r>
          </w:p>
        </w:tc>
        <w:tc>
          <w:tcPr>
            <w:tcW w:w="8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ind w:right="28"/>
              <w:spacing w:after="0" w:line="157" w:lineRule="exact"/>
              <w:rPr>
                <w:sz w:val="20"/>
                <w:szCs w:val="20"/>
                <w:color w:val="auto"/>
              </w:rPr>
            </w:pPr>
            <w:r>
              <w:rPr>
                <w:rFonts w:ascii="Arial" w:cs="Arial" w:eastAsia="Arial" w:hAnsi="Arial"/>
                <w:sz w:val="14"/>
                <w:szCs w:val="14"/>
                <w:color w:val="auto"/>
              </w:rPr>
              <w:t>17,803</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3260" w:type="dxa"/>
            <w:vAlign w:val="bottom"/>
            <w:tcBorders>
              <w:bottom w:val="single" w:sz="8" w:color="auto"/>
            </w:tcBorders>
            <w:gridSpan w:val="2"/>
          </w:tcPr>
          <w:p>
            <w:pPr>
              <w:spacing w:after="0" w:line="155" w:lineRule="exact"/>
              <w:rPr>
                <w:sz w:val="20"/>
                <w:szCs w:val="20"/>
                <w:color w:val="auto"/>
              </w:rPr>
            </w:pPr>
            <w:r>
              <w:rPr>
                <w:rFonts w:ascii="Arial" w:cs="Arial" w:eastAsia="Arial" w:hAnsi="Arial"/>
                <w:sz w:val="14"/>
                <w:szCs w:val="14"/>
                <w:color w:val="auto"/>
              </w:rPr>
              <w:t>Income after taxation</w:t>
            </w:r>
          </w:p>
        </w:tc>
        <w:tc>
          <w:tcPr>
            <w:tcW w:w="138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3,122</w:t>
            </w:r>
          </w:p>
        </w:tc>
        <w:tc>
          <w:tcPr>
            <w:tcW w:w="14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8"/>
              <w:spacing w:after="0" w:line="155" w:lineRule="exact"/>
              <w:rPr>
                <w:sz w:val="20"/>
                <w:szCs w:val="20"/>
                <w:color w:val="auto"/>
              </w:rPr>
            </w:pPr>
            <w:r>
              <w:rPr>
                <w:rFonts w:ascii="Arial" w:cs="Arial" w:eastAsia="Arial" w:hAnsi="Arial"/>
                <w:sz w:val="14"/>
                <w:szCs w:val="14"/>
                <w:color w:val="auto"/>
              </w:rPr>
              <w:t>9,197</w:t>
            </w:r>
          </w:p>
        </w:tc>
        <w:tc>
          <w:tcPr>
            <w:tcW w:w="7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1,060</w:t>
            </w:r>
          </w:p>
        </w:tc>
        <w:tc>
          <w:tcPr>
            <w:tcW w:w="8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gridSpan w:val="2"/>
          </w:tcPr>
          <w:p>
            <w:pPr>
              <w:jc w:val="right"/>
              <w:ind w:right="28"/>
              <w:spacing w:after="0" w:line="155" w:lineRule="exact"/>
              <w:rPr>
                <w:sz w:val="20"/>
                <w:szCs w:val="20"/>
                <w:color w:val="auto"/>
              </w:rPr>
            </w:pPr>
            <w:r>
              <w:rPr>
                <w:rFonts w:ascii="Arial" w:cs="Arial" w:eastAsia="Arial" w:hAnsi="Arial"/>
                <w:sz w:val="14"/>
                <w:szCs w:val="14"/>
                <w:color w:val="auto"/>
              </w:rPr>
              <w:t>2,955</w:t>
            </w:r>
          </w:p>
        </w:tc>
        <w:tc>
          <w:tcPr>
            <w:tcW w:w="840" w:type="dxa"/>
            <w:vAlign w:val="bottom"/>
            <w:tcBorders>
              <w:bottom w:val="single" w:sz="8" w:color="auto"/>
            </w:tcBorders>
          </w:tcPr>
          <w:p>
            <w:pPr>
              <w:jc w:val="right"/>
              <w:ind w:right="29"/>
              <w:spacing w:after="0" w:line="155" w:lineRule="exact"/>
              <w:rPr>
                <w:sz w:val="20"/>
                <w:szCs w:val="20"/>
                <w:color w:val="auto"/>
              </w:rPr>
            </w:pPr>
            <w:r>
              <w:rPr>
                <w:rFonts w:ascii="Arial" w:cs="Arial" w:eastAsia="Arial" w:hAnsi="Arial"/>
                <w:sz w:val="14"/>
                <w:szCs w:val="14"/>
                <w:color w:val="auto"/>
              </w:rPr>
              <w:t>(2,532)</w:t>
            </w:r>
          </w:p>
        </w:tc>
        <w:tc>
          <w:tcPr>
            <w:tcW w:w="680" w:type="dxa"/>
            <w:vAlign w:val="bottom"/>
            <w:tcBorders>
              <w:bottom w:val="single" w:sz="8" w:color="auto"/>
            </w:tcBorders>
            <w:gridSpan w:val="2"/>
          </w:tcPr>
          <w:p>
            <w:pPr>
              <w:jc w:val="right"/>
              <w:ind w:right="60"/>
              <w:spacing w:after="0" w:line="155" w:lineRule="exact"/>
              <w:rPr>
                <w:sz w:val="20"/>
                <w:szCs w:val="20"/>
                <w:color w:val="auto"/>
              </w:rPr>
            </w:pPr>
            <w:r>
              <w:rPr>
                <w:rFonts w:ascii="Arial" w:cs="Arial" w:eastAsia="Arial" w:hAnsi="Arial"/>
                <w:sz w:val="14"/>
                <w:szCs w:val="14"/>
                <w:color w:val="auto"/>
              </w:rPr>
              <w:t>(450)</w:t>
            </w:r>
          </w:p>
        </w:tc>
        <w:tc>
          <w:tcPr>
            <w:tcW w:w="800" w:type="dxa"/>
            <w:vAlign w:val="bottom"/>
            <w:tcBorders>
              <w:bottom w:val="single" w:sz="8" w:color="auto"/>
            </w:tcBorders>
            <w:gridSpan w:val="4"/>
          </w:tcPr>
          <w:p>
            <w:pPr>
              <w:jc w:val="right"/>
              <w:ind w:right="60"/>
              <w:spacing w:after="0" w:line="155" w:lineRule="exact"/>
              <w:rPr>
                <w:sz w:val="20"/>
                <w:szCs w:val="20"/>
                <w:color w:val="auto"/>
              </w:rPr>
            </w:pPr>
            <w:r>
              <w:rPr>
                <w:rFonts w:ascii="Arial" w:cs="Arial" w:eastAsia="Arial" w:hAnsi="Arial"/>
                <w:sz w:val="14"/>
                <w:szCs w:val="14"/>
                <w:color w:val="auto"/>
              </w:rPr>
              <w:t>(714)</w:t>
            </w:r>
          </w:p>
        </w:tc>
        <w:tc>
          <w:tcPr>
            <w:tcW w:w="1060" w:type="dxa"/>
            <w:vAlign w:val="bottom"/>
            <w:tcBorders>
              <w:bottom w:val="single" w:sz="8" w:color="auto"/>
            </w:tcBorders>
          </w:tcPr>
          <w:p>
            <w:pPr>
              <w:jc w:val="right"/>
              <w:ind w:right="28"/>
              <w:spacing w:after="0" w:line="155" w:lineRule="exact"/>
              <w:rPr>
                <w:sz w:val="20"/>
                <w:szCs w:val="20"/>
                <w:color w:val="auto"/>
              </w:rPr>
            </w:pPr>
            <w:r>
              <w:rPr>
                <w:rFonts w:ascii="Arial" w:cs="Arial" w:eastAsia="Arial" w:hAnsi="Arial"/>
                <w:sz w:val="14"/>
                <w:szCs w:val="14"/>
                <w:color w:val="auto"/>
              </w:rPr>
              <w:t>12,638</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3260" w:type="dxa"/>
            <w:vAlign w:val="bottom"/>
            <w:gridSpan w:val="2"/>
          </w:tcPr>
          <w:p>
            <w:pPr>
              <w:spacing w:after="0"/>
              <w:rPr>
                <w:sz w:val="20"/>
                <w:szCs w:val="20"/>
                <w:color w:val="auto"/>
              </w:rPr>
            </w:pPr>
            <w:r>
              <w:rPr>
                <w:rFonts w:ascii="Arial" w:cs="Arial" w:eastAsia="Arial" w:hAnsi="Arial"/>
                <w:sz w:val="14"/>
                <w:szCs w:val="14"/>
                <w:color w:val="auto"/>
              </w:rPr>
              <w:t>Net cash from operating activities</w:t>
            </w:r>
          </w:p>
        </w:tc>
        <w:tc>
          <w:tcPr>
            <w:tcW w:w="138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5,215</w:t>
            </w:r>
          </w:p>
        </w:tc>
        <w:tc>
          <w:tcPr>
            <w:tcW w:w="140" w:type="dxa"/>
            <w:vAlign w:val="bottom"/>
          </w:tcPr>
          <w:p>
            <w:pPr>
              <w:spacing w:after="0"/>
              <w:rPr>
                <w:sz w:val="13"/>
                <w:szCs w:val="13"/>
                <w:color w:val="auto"/>
              </w:rPr>
            </w:pP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12,834</w:t>
            </w:r>
          </w:p>
        </w:tc>
        <w:tc>
          <w:tcPr>
            <w:tcW w:w="760" w:type="dxa"/>
            <w:vAlign w:val="bottom"/>
          </w:tcPr>
          <w:p>
            <w:pPr>
              <w:jc w:val="right"/>
              <w:spacing w:after="0"/>
              <w:rPr>
                <w:sz w:val="20"/>
                <w:szCs w:val="20"/>
                <w:color w:val="auto"/>
              </w:rPr>
            </w:pPr>
            <w:r>
              <w:rPr>
                <w:rFonts w:ascii="Arial" w:cs="Arial" w:eastAsia="Arial" w:hAnsi="Arial"/>
                <w:sz w:val="14"/>
                <w:szCs w:val="14"/>
                <w:color w:val="auto"/>
              </w:rPr>
              <w:t>1,717</w:t>
            </w:r>
          </w:p>
        </w:tc>
        <w:tc>
          <w:tcPr>
            <w:tcW w:w="80" w:type="dxa"/>
            <w:vAlign w:val="bottom"/>
          </w:tcPr>
          <w:p>
            <w:pPr>
              <w:spacing w:after="0"/>
              <w:rPr>
                <w:sz w:val="13"/>
                <w:szCs w:val="13"/>
                <w:color w:val="auto"/>
              </w:rPr>
            </w:pPr>
          </w:p>
        </w:tc>
        <w:tc>
          <w:tcPr>
            <w:tcW w:w="720" w:type="dxa"/>
            <w:vAlign w:val="bottom"/>
            <w:gridSpan w:val="2"/>
          </w:tcPr>
          <w:p>
            <w:pPr>
              <w:jc w:val="right"/>
              <w:ind w:right="28"/>
              <w:spacing w:after="0"/>
              <w:rPr>
                <w:sz w:val="20"/>
                <w:szCs w:val="20"/>
                <w:color w:val="auto"/>
              </w:rPr>
            </w:pPr>
            <w:r>
              <w:rPr>
                <w:rFonts w:ascii="Arial" w:cs="Arial" w:eastAsia="Arial" w:hAnsi="Arial"/>
                <w:sz w:val="14"/>
                <w:szCs w:val="14"/>
                <w:color w:val="auto"/>
              </w:rPr>
              <w:t>5,027</w:t>
            </w:r>
          </w:p>
        </w:tc>
        <w:tc>
          <w:tcPr>
            <w:tcW w:w="840" w:type="dxa"/>
            <w:vAlign w:val="bottom"/>
          </w:tcPr>
          <w:p>
            <w:pPr>
              <w:jc w:val="right"/>
              <w:ind w:right="69"/>
              <w:spacing w:after="0"/>
              <w:rPr>
                <w:sz w:val="20"/>
                <w:szCs w:val="20"/>
                <w:color w:val="auto"/>
              </w:rPr>
            </w:pPr>
            <w:r>
              <w:rPr>
                <w:rFonts w:ascii="Arial" w:cs="Arial" w:eastAsia="Arial" w:hAnsi="Arial"/>
                <w:sz w:val="14"/>
                <w:szCs w:val="14"/>
                <w:color w:val="auto"/>
              </w:rPr>
              <w:t>3,775</w:t>
            </w:r>
          </w:p>
        </w:tc>
        <w:tc>
          <w:tcPr>
            <w:tcW w:w="680" w:type="dxa"/>
            <w:vAlign w:val="bottom"/>
            <w:gridSpan w:val="2"/>
          </w:tcPr>
          <w:p>
            <w:pPr>
              <w:jc w:val="right"/>
              <w:ind w:right="100"/>
              <w:spacing w:after="0"/>
              <w:rPr>
                <w:sz w:val="20"/>
                <w:szCs w:val="20"/>
                <w:color w:val="auto"/>
              </w:rPr>
            </w:pPr>
            <w:r>
              <w:rPr>
                <w:rFonts w:ascii="Arial" w:cs="Arial" w:eastAsia="Arial" w:hAnsi="Arial"/>
                <w:sz w:val="14"/>
                <w:szCs w:val="14"/>
                <w:color w:val="auto"/>
              </w:rPr>
              <w:t>1,414</w:t>
            </w:r>
          </w:p>
        </w:tc>
        <w:tc>
          <w:tcPr>
            <w:tcW w:w="720" w:type="dxa"/>
            <w:vAlign w:val="bottom"/>
            <w:gridSpan w:val="3"/>
          </w:tcPr>
          <w:p>
            <w:pPr>
              <w:jc w:val="right"/>
              <w:ind w:right="20"/>
              <w:spacing w:after="0"/>
              <w:rPr>
                <w:sz w:val="20"/>
                <w:szCs w:val="20"/>
                <w:color w:val="auto"/>
              </w:rPr>
            </w:pPr>
            <w:r>
              <w:rPr>
                <w:rFonts w:ascii="Arial" w:cs="Arial" w:eastAsia="Arial" w:hAnsi="Arial"/>
                <w:sz w:val="14"/>
                <w:szCs w:val="14"/>
                <w:color w:val="auto"/>
              </w:rPr>
              <w:t>132</w:t>
            </w:r>
          </w:p>
        </w:tc>
        <w:tc>
          <w:tcPr>
            <w:tcW w:w="80" w:type="dxa"/>
            <w:vAlign w:val="bottom"/>
          </w:tcPr>
          <w:p>
            <w:pPr>
              <w:spacing w:after="0"/>
              <w:rPr>
                <w:sz w:val="13"/>
                <w:szCs w:val="13"/>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30,114</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3260" w:type="dxa"/>
            <w:vAlign w:val="bottom"/>
            <w:tcBorders>
              <w:bottom w:val="single" w:sz="8" w:color="auto"/>
            </w:tcBorders>
            <w:gridSpan w:val="2"/>
          </w:tcPr>
          <w:p>
            <w:pPr>
              <w:spacing w:after="0" w:line="157" w:lineRule="exact"/>
              <w:rPr>
                <w:sz w:val="20"/>
                <w:szCs w:val="20"/>
                <w:color w:val="auto"/>
              </w:rPr>
            </w:pPr>
            <w:r>
              <w:rPr>
                <w:rFonts w:ascii="Arial" w:cs="Arial" w:eastAsia="Arial" w:hAnsi="Arial"/>
                <w:sz w:val="14"/>
                <w:szCs w:val="14"/>
                <w:color w:val="auto"/>
              </w:rPr>
              <w:t>Less: working capital movements</w:t>
            </w:r>
          </w:p>
        </w:tc>
        <w:tc>
          <w:tcPr>
            <w:tcW w:w="138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spacing w:after="0" w:line="157" w:lineRule="exact"/>
              <w:rPr>
                <w:sz w:val="20"/>
                <w:szCs w:val="20"/>
                <w:color w:val="auto"/>
              </w:rPr>
            </w:pPr>
            <w:r>
              <w:rPr>
                <w:rFonts w:ascii="Arial" w:cs="Arial" w:eastAsia="Arial" w:hAnsi="Arial"/>
                <w:sz w:val="14"/>
                <w:szCs w:val="14"/>
                <w:color w:val="auto"/>
              </w:rPr>
              <w:t>1,251</w:t>
            </w:r>
          </w:p>
        </w:tc>
        <w:tc>
          <w:tcPr>
            <w:tcW w:w="14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spacing w:after="0" w:line="157" w:lineRule="exact"/>
              <w:rPr>
                <w:sz w:val="20"/>
                <w:szCs w:val="20"/>
                <w:color w:val="auto"/>
              </w:rPr>
            </w:pPr>
            <w:r>
              <w:rPr>
                <w:rFonts w:ascii="Arial" w:cs="Arial" w:eastAsia="Arial" w:hAnsi="Arial"/>
                <w:sz w:val="14"/>
                <w:szCs w:val="14"/>
                <w:color w:val="auto"/>
              </w:rPr>
              <w:t>(88)</w:t>
            </w:r>
          </w:p>
        </w:tc>
        <w:tc>
          <w:tcPr>
            <w:tcW w:w="840" w:type="dxa"/>
            <w:vAlign w:val="bottom"/>
            <w:tcBorders>
              <w:bottom w:val="single" w:sz="8" w:color="auto"/>
            </w:tcBorders>
            <w:gridSpan w:val="2"/>
          </w:tcPr>
          <w:p>
            <w:pPr>
              <w:jc w:val="right"/>
              <w:spacing w:after="0" w:line="157" w:lineRule="exact"/>
              <w:rPr>
                <w:sz w:val="20"/>
                <w:szCs w:val="20"/>
                <w:color w:val="auto"/>
              </w:rPr>
            </w:pPr>
            <w:r>
              <w:rPr>
                <w:rFonts w:ascii="Arial" w:cs="Arial" w:eastAsia="Arial" w:hAnsi="Arial"/>
                <w:sz w:val="14"/>
                <w:szCs w:val="14"/>
                <w:color w:val="auto"/>
              </w:rPr>
              <w:t>(929)</w:t>
            </w:r>
          </w:p>
        </w:tc>
        <w:tc>
          <w:tcPr>
            <w:tcW w:w="720" w:type="dxa"/>
            <w:vAlign w:val="bottom"/>
            <w:tcBorders>
              <w:bottom w:val="single" w:sz="8" w:color="auto"/>
            </w:tcBorders>
            <w:gridSpan w:val="2"/>
          </w:tcPr>
          <w:p>
            <w:pPr>
              <w:jc w:val="right"/>
              <w:ind w:right="28"/>
              <w:spacing w:after="0" w:line="157" w:lineRule="exact"/>
              <w:rPr>
                <w:sz w:val="20"/>
                <w:szCs w:val="20"/>
                <w:color w:val="auto"/>
              </w:rPr>
            </w:pPr>
            <w:r>
              <w:rPr>
                <w:rFonts w:ascii="Arial" w:cs="Arial" w:eastAsia="Arial" w:hAnsi="Arial"/>
                <w:sz w:val="14"/>
                <w:szCs w:val="14"/>
                <w:color w:val="auto"/>
              </w:rPr>
              <w:t>1,391</w:t>
            </w:r>
          </w:p>
        </w:tc>
        <w:tc>
          <w:tcPr>
            <w:tcW w:w="840" w:type="dxa"/>
            <w:vAlign w:val="bottom"/>
            <w:tcBorders>
              <w:bottom w:val="single" w:sz="8" w:color="auto"/>
            </w:tcBorders>
          </w:tcPr>
          <w:p>
            <w:pPr>
              <w:jc w:val="right"/>
              <w:ind w:right="29"/>
              <w:spacing w:after="0" w:line="157" w:lineRule="exact"/>
              <w:rPr>
                <w:sz w:val="20"/>
                <w:szCs w:val="20"/>
                <w:color w:val="auto"/>
              </w:rPr>
            </w:pPr>
            <w:r>
              <w:rPr>
                <w:rFonts w:ascii="Arial" w:cs="Arial" w:eastAsia="Arial" w:hAnsi="Arial"/>
                <w:sz w:val="14"/>
                <w:szCs w:val="14"/>
                <w:color w:val="auto"/>
              </w:rPr>
              <w:t>(86)</w:t>
            </w:r>
          </w:p>
        </w:tc>
        <w:tc>
          <w:tcPr>
            <w:tcW w:w="680" w:type="dxa"/>
            <w:vAlign w:val="bottom"/>
            <w:tcBorders>
              <w:bottom w:val="single" w:sz="8" w:color="auto"/>
            </w:tcBorders>
            <w:gridSpan w:val="2"/>
          </w:tcPr>
          <w:p>
            <w:pPr>
              <w:jc w:val="right"/>
              <w:ind w:right="60"/>
              <w:spacing w:after="0" w:line="157" w:lineRule="exact"/>
              <w:rPr>
                <w:sz w:val="20"/>
                <w:szCs w:val="20"/>
                <w:color w:val="auto"/>
              </w:rPr>
            </w:pPr>
            <w:r>
              <w:rPr>
                <w:rFonts w:ascii="Arial" w:cs="Arial" w:eastAsia="Arial" w:hAnsi="Arial"/>
                <w:sz w:val="14"/>
                <w:szCs w:val="14"/>
                <w:color w:val="auto"/>
              </w:rPr>
              <w:t>(346)</w:t>
            </w:r>
          </w:p>
        </w:tc>
        <w:tc>
          <w:tcPr>
            <w:tcW w:w="720" w:type="dxa"/>
            <w:vAlign w:val="bottom"/>
            <w:tcBorders>
              <w:bottom w:val="single" w:sz="8" w:color="auto"/>
            </w:tcBorders>
            <w:gridSpan w:val="3"/>
          </w:tcPr>
          <w:p>
            <w:pPr>
              <w:jc w:val="right"/>
              <w:ind w:right="20"/>
              <w:spacing w:after="0" w:line="157" w:lineRule="exact"/>
              <w:rPr>
                <w:sz w:val="20"/>
                <w:szCs w:val="20"/>
                <w:color w:val="auto"/>
              </w:rPr>
            </w:pPr>
            <w:r>
              <w:rPr>
                <w:rFonts w:ascii="Arial" w:cs="Arial" w:eastAsia="Arial" w:hAnsi="Arial"/>
                <w:sz w:val="14"/>
                <w:szCs w:val="14"/>
                <w:color w:val="auto"/>
              </w:rPr>
              <w:t>119</w:t>
            </w:r>
          </w:p>
        </w:tc>
        <w:tc>
          <w:tcPr>
            <w:tcW w:w="8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ind w:right="28"/>
              <w:spacing w:after="0" w:line="157" w:lineRule="exact"/>
              <w:rPr>
                <w:sz w:val="20"/>
                <w:szCs w:val="20"/>
                <w:color w:val="auto"/>
              </w:rPr>
            </w:pPr>
            <w:r>
              <w:rPr>
                <w:rFonts w:ascii="Arial" w:cs="Arial" w:eastAsia="Arial" w:hAnsi="Arial"/>
                <w:sz w:val="14"/>
                <w:szCs w:val="14"/>
                <w:color w:val="auto"/>
              </w:rPr>
              <w:t>1,312</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4640" w:type="dxa"/>
            <w:vAlign w:val="bottom"/>
            <w:tcBorders>
              <w:bottom w:val="single" w:sz="8" w:color="auto"/>
            </w:tcBorders>
            <w:gridSpan w:val="3"/>
          </w:tcPr>
          <w:p>
            <w:pPr>
              <w:spacing w:after="0" w:line="155" w:lineRule="exact"/>
              <w:rPr>
                <w:sz w:val="20"/>
                <w:szCs w:val="20"/>
                <w:color w:val="auto"/>
              </w:rPr>
            </w:pPr>
            <w:r>
              <w:rPr>
                <w:rFonts w:ascii="Arial" w:cs="Arial" w:eastAsia="Arial" w:hAnsi="Arial"/>
                <w:sz w:val="14"/>
                <w:szCs w:val="14"/>
                <w:color w:val="auto"/>
              </w:rPr>
              <w:t>Net cash from operating activities excluding working capital movements</w:t>
            </w:r>
          </w:p>
        </w:tc>
        <w:tc>
          <w:tcPr>
            <w:tcW w:w="8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3,964</w:t>
            </w:r>
          </w:p>
        </w:tc>
        <w:tc>
          <w:tcPr>
            <w:tcW w:w="14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8"/>
              <w:spacing w:after="0" w:line="155" w:lineRule="exact"/>
              <w:rPr>
                <w:sz w:val="20"/>
                <w:szCs w:val="20"/>
                <w:color w:val="auto"/>
              </w:rPr>
            </w:pPr>
            <w:r>
              <w:rPr>
                <w:rFonts w:ascii="Arial" w:cs="Arial" w:eastAsia="Arial" w:hAnsi="Arial"/>
                <w:sz w:val="14"/>
                <w:szCs w:val="14"/>
                <w:color w:val="auto"/>
              </w:rPr>
              <w:t>12,922</w:t>
            </w:r>
          </w:p>
        </w:tc>
        <w:tc>
          <w:tcPr>
            <w:tcW w:w="7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2,646</w:t>
            </w:r>
          </w:p>
        </w:tc>
        <w:tc>
          <w:tcPr>
            <w:tcW w:w="8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gridSpan w:val="2"/>
          </w:tcPr>
          <w:p>
            <w:pPr>
              <w:jc w:val="right"/>
              <w:ind w:right="28"/>
              <w:spacing w:after="0" w:line="155" w:lineRule="exact"/>
              <w:rPr>
                <w:sz w:val="20"/>
                <w:szCs w:val="20"/>
                <w:color w:val="auto"/>
              </w:rPr>
            </w:pPr>
            <w:r>
              <w:rPr>
                <w:rFonts w:ascii="Arial" w:cs="Arial" w:eastAsia="Arial" w:hAnsi="Arial"/>
                <w:sz w:val="14"/>
                <w:szCs w:val="14"/>
                <w:color w:val="auto"/>
              </w:rPr>
              <w:t>3,636</w:t>
            </w:r>
          </w:p>
        </w:tc>
        <w:tc>
          <w:tcPr>
            <w:tcW w:w="840" w:type="dxa"/>
            <w:vAlign w:val="bottom"/>
            <w:tcBorders>
              <w:bottom w:val="single" w:sz="8" w:color="auto"/>
            </w:tcBorders>
          </w:tcPr>
          <w:p>
            <w:pPr>
              <w:jc w:val="right"/>
              <w:ind w:right="69"/>
              <w:spacing w:after="0" w:line="155" w:lineRule="exact"/>
              <w:rPr>
                <w:sz w:val="20"/>
                <w:szCs w:val="20"/>
                <w:color w:val="auto"/>
              </w:rPr>
            </w:pPr>
            <w:r>
              <w:rPr>
                <w:rFonts w:ascii="Arial" w:cs="Arial" w:eastAsia="Arial" w:hAnsi="Arial"/>
                <w:sz w:val="14"/>
                <w:szCs w:val="14"/>
                <w:color w:val="auto"/>
              </w:rPr>
              <w:t>3,861</w:t>
            </w:r>
          </w:p>
        </w:tc>
        <w:tc>
          <w:tcPr>
            <w:tcW w:w="680" w:type="dxa"/>
            <w:vAlign w:val="bottom"/>
            <w:tcBorders>
              <w:bottom w:val="single" w:sz="8" w:color="auto"/>
            </w:tcBorders>
            <w:gridSpan w:val="2"/>
          </w:tcPr>
          <w:p>
            <w:pPr>
              <w:jc w:val="right"/>
              <w:ind w:right="100"/>
              <w:spacing w:after="0" w:line="155" w:lineRule="exact"/>
              <w:rPr>
                <w:sz w:val="20"/>
                <w:szCs w:val="20"/>
                <w:color w:val="auto"/>
              </w:rPr>
            </w:pPr>
            <w:r>
              <w:rPr>
                <w:rFonts w:ascii="Arial" w:cs="Arial" w:eastAsia="Arial" w:hAnsi="Arial"/>
                <w:sz w:val="14"/>
                <w:szCs w:val="14"/>
                <w:color w:val="auto"/>
              </w:rPr>
              <w:t>1,760</w:t>
            </w:r>
          </w:p>
        </w:tc>
        <w:tc>
          <w:tcPr>
            <w:tcW w:w="720" w:type="dxa"/>
            <w:vAlign w:val="bottom"/>
            <w:tcBorders>
              <w:bottom w:val="single" w:sz="8" w:color="auto"/>
            </w:tcBorders>
            <w:gridSpan w:val="3"/>
          </w:tcPr>
          <w:p>
            <w:pPr>
              <w:jc w:val="right"/>
              <w:ind w:right="20"/>
              <w:spacing w:after="0" w:line="155" w:lineRule="exact"/>
              <w:rPr>
                <w:sz w:val="20"/>
                <w:szCs w:val="20"/>
                <w:color w:val="auto"/>
              </w:rPr>
            </w:pPr>
            <w:r>
              <w:rPr>
                <w:rFonts w:ascii="Arial" w:cs="Arial" w:eastAsia="Arial" w:hAnsi="Arial"/>
                <w:sz w:val="14"/>
                <w:szCs w:val="14"/>
                <w:color w:val="auto"/>
              </w:rPr>
              <w:t>13</w:t>
            </w:r>
          </w:p>
        </w:tc>
        <w:tc>
          <w:tcPr>
            <w:tcW w:w="8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ind w:right="28"/>
              <w:spacing w:after="0" w:line="155" w:lineRule="exact"/>
              <w:rPr>
                <w:sz w:val="20"/>
                <w:szCs w:val="20"/>
                <w:color w:val="auto"/>
              </w:rPr>
            </w:pPr>
            <w:r>
              <w:rPr>
                <w:rFonts w:ascii="Arial" w:cs="Arial" w:eastAsia="Arial" w:hAnsi="Arial"/>
                <w:sz w:val="14"/>
                <w:szCs w:val="14"/>
                <w:color w:val="auto"/>
              </w:rPr>
              <w:t>28,802</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37" w:lineRule="exact"/>
        <w:rPr>
          <w:sz w:val="20"/>
          <w:szCs w:val="20"/>
          <w:color w:val="auto"/>
        </w:rPr>
      </w:pPr>
    </w:p>
    <w:p>
      <w:pPr>
        <w:spacing w:after="0"/>
        <w:rPr>
          <w:sz w:val="20"/>
          <w:szCs w:val="20"/>
          <w:color w:val="auto"/>
        </w:rPr>
      </w:pPr>
      <w:r>
        <w:rPr>
          <w:rFonts w:ascii="Arial" w:cs="Arial" w:eastAsia="Arial" w:hAnsi="Arial"/>
          <w:sz w:val="11"/>
          <w:szCs w:val="11"/>
          <w:color w:val="auto"/>
        </w:rPr>
        <w:t>[A] Includes Greenland.</w:t>
      </w:r>
    </w:p>
    <w:p>
      <w:pPr>
        <w:sectPr>
          <w:pgSz w:w="11900" w:h="16838" w:orient="portrait"/>
          <w:cols w:equalWidth="0" w:num="1">
            <w:col w:w="11420"/>
          </w:cols>
          <w:pgMar w:left="240" w:top="459" w:right="2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6471285</wp:posOffset>
            </wp:positionH>
            <wp:positionV relativeFrom="paragraph">
              <wp:posOffset>300355</wp:posOffset>
            </wp:positionV>
            <wp:extent cx="8890" cy="46291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8890" cy="462915"/>
                    </a:xfrm>
                    <a:prstGeom prst="rect">
                      <a:avLst/>
                    </a:prstGeom>
                    <a:noFill/>
                  </pic:spPr>
                </pic:pic>
              </a:graphicData>
            </a:graphic>
          </wp:anchor>
        </w:drawing>
      </w:r>
    </w:p>
    <w:p>
      <w:pPr>
        <w:spacing w:after="0" w:line="200" w:lineRule="exact"/>
        <w:rPr>
          <w:sz w:val="20"/>
          <w:szCs w:val="20"/>
          <w:color w:val="auto"/>
        </w:rPr>
      </w:pP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565"/>
        </w:trPr>
        <w:tc>
          <w:tcPr>
            <w:tcW w:w="5600" w:type="dxa"/>
            <w:vAlign w:val="bottom"/>
          </w:tcPr>
          <w:p>
            <w:pPr>
              <w:spacing w:after="0"/>
              <w:rPr>
                <w:sz w:val="24"/>
                <w:szCs w:val="24"/>
                <w:color w:val="auto"/>
              </w:rPr>
            </w:pPr>
          </w:p>
        </w:tc>
        <w:tc>
          <w:tcPr>
            <w:tcW w:w="3780" w:type="dxa"/>
            <w:vAlign w:val="bottom"/>
            <w:shd w:val="clear" w:color="auto" w:fill="FF8B00"/>
          </w:tcPr>
          <w:p>
            <w:pPr>
              <w:ind w:left="940"/>
              <w:spacing w:after="0"/>
              <w:rPr>
                <w:sz w:val="20"/>
                <w:szCs w:val="20"/>
                <w:color w:val="auto"/>
              </w:rPr>
            </w:pPr>
            <w:r>
              <w:rPr>
                <w:rFonts w:ascii="Arial" w:cs="Arial" w:eastAsia="Arial" w:hAnsi="Arial"/>
                <w:sz w:val="13"/>
                <w:szCs w:val="13"/>
                <w:color w:val="333333"/>
              </w:rPr>
              <w:t>STRATEGIC REPORT</w:t>
            </w:r>
          </w:p>
        </w:tc>
        <w:tc>
          <w:tcPr>
            <w:tcW w:w="2040" w:type="dxa"/>
            <w:vAlign w:val="bottom"/>
            <w:shd w:val="clear" w:color="auto" w:fill="FF8B00"/>
          </w:tcPr>
          <w:p>
            <w:pPr>
              <w:jc w:val="right"/>
              <w:ind w:right="306"/>
              <w:spacing w:after="0"/>
              <w:rPr>
                <w:sz w:val="20"/>
                <w:szCs w:val="20"/>
                <w:color w:val="auto"/>
              </w:rPr>
            </w:pPr>
            <w:r>
              <w:rPr>
                <w:rFonts w:ascii="Arial" w:cs="Arial" w:eastAsia="Arial" w:hAnsi="Arial"/>
                <w:sz w:val="11"/>
                <w:szCs w:val="11"/>
                <w:b w:val="1"/>
                <w:bCs w:val="1"/>
                <w:color w:val="333333"/>
              </w:rPr>
              <w:t>39</w:t>
            </w:r>
          </w:p>
        </w:tc>
        <w:tc>
          <w:tcPr>
            <w:tcW w:w="0" w:type="dxa"/>
            <w:vAlign w:val="bottom"/>
          </w:tcPr>
          <w:p>
            <w:pPr>
              <w:spacing w:after="0"/>
              <w:rPr>
                <w:sz w:val="1"/>
                <w:szCs w:val="1"/>
                <w:color w:val="auto"/>
              </w:rPr>
            </w:pPr>
          </w:p>
        </w:tc>
      </w:tr>
      <w:tr>
        <w:trPr>
          <w:trHeight w:val="165"/>
        </w:trPr>
        <w:tc>
          <w:tcPr>
            <w:tcW w:w="5600" w:type="dxa"/>
            <w:vAlign w:val="bottom"/>
            <w:vMerge w:val="restart"/>
          </w:tcPr>
          <w:p>
            <w:pPr>
              <w:spacing w:after="0"/>
              <w:rPr>
                <w:sz w:val="20"/>
                <w:szCs w:val="20"/>
                <w:color w:val="auto"/>
              </w:rPr>
            </w:pPr>
            <w:r>
              <w:rPr>
                <w:rFonts w:ascii="Arial" w:cs="Arial" w:eastAsia="Arial" w:hAnsi="Arial"/>
                <w:sz w:val="11"/>
                <w:szCs w:val="11"/>
                <w:color w:val="auto"/>
              </w:rPr>
              <w:t>SHELL ANNUAL REPORT AND FORM 20-F 2014</w:t>
            </w:r>
          </w:p>
        </w:tc>
        <w:tc>
          <w:tcPr>
            <w:tcW w:w="3780" w:type="dxa"/>
            <w:vAlign w:val="bottom"/>
            <w:shd w:val="clear" w:color="auto" w:fill="FF8B00"/>
          </w:tcPr>
          <w:p>
            <w:pPr>
              <w:spacing w:after="0"/>
              <w:rPr>
                <w:sz w:val="14"/>
                <w:szCs w:val="14"/>
                <w:color w:val="auto"/>
              </w:rPr>
            </w:pPr>
          </w:p>
        </w:tc>
        <w:tc>
          <w:tcPr>
            <w:tcW w:w="2040" w:type="dxa"/>
            <w:vAlign w:val="bottom"/>
            <w:shd w:val="clear" w:color="auto" w:fill="FF8B00"/>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5600" w:type="dxa"/>
            <w:vAlign w:val="bottom"/>
            <w:vMerge w:val="continue"/>
          </w:tcPr>
          <w:p>
            <w:pPr>
              <w:spacing w:after="0"/>
              <w:rPr>
                <w:sz w:val="11"/>
                <w:szCs w:val="11"/>
                <w:color w:val="auto"/>
              </w:rPr>
            </w:pPr>
          </w:p>
        </w:tc>
        <w:tc>
          <w:tcPr>
            <w:tcW w:w="3780" w:type="dxa"/>
            <w:vAlign w:val="bottom"/>
          </w:tcPr>
          <w:p>
            <w:pPr>
              <w:ind w:left="940"/>
              <w:spacing w:after="0"/>
              <w:rPr>
                <w:sz w:val="20"/>
                <w:szCs w:val="20"/>
                <w:color w:val="auto"/>
              </w:rPr>
            </w:pPr>
            <w:r>
              <w:rPr>
                <w:rFonts w:ascii="Arial" w:cs="Arial" w:eastAsia="Arial" w:hAnsi="Arial"/>
                <w:sz w:val="11"/>
                <w:szCs w:val="11"/>
                <w:color w:val="auto"/>
              </w:rPr>
              <w:t>UPSTREAM</w:t>
            </w:r>
          </w:p>
        </w:tc>
        <w:tc>
          <w:tcPr>
            <w:tcW w:w="204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4640" w:type="dxa"/>
            <w:vAlign w:val="bottom"/>
            <w:shd w:val="clear" w:color="auto" w:fill="333333"/>
          </w:tcPr>
          <w:p>
            <w:pPr>
              <w:ind w:left="80"/>
              <w:spacing w:after="0"/>
              <w:rPr>
                <w:sz w:val="20"/>
                <w:szCs w:val="20"/>
                <w:color w:val="auto"/>
              </w:rPr>
            </w:pPr>
            <w:r>
              <w:rPr>
                <w:rFonts w:ascii="Arial" w:cs="Arial" w:eastAsia="Arial" w:hAnsi="Arial"/>
                <w:sz w:val="15"/>
                <w:szCs w:val="15"/>
                <w:b w:val="1"/>
                <w:bCs w:val="1"/>
                <w:color w:val="FFFFFF"/>
              </w:rPr>
              <w:t>2012</w:t>
            </w:r>
          </w:p>
        </w:tc>
        <w:tc>
          <w:tcPr>
            <w:tcW w:w="860" w:type="dxa"/>
            <w:vAlign w:val="bottom"/>
            <w:shd w:val="clear" w:color="auto" w:fill="333333"/>
          </w:tcPr>
          <w:p>
            <w:pPr>
              <w:spacing w:after="0"/>
              <w:rPr>
                <w:sz w:val="14"/>
                <w:szCs w:val="14"/>
                <w:color w:val="auto"/>
              </w:rPr>
            </w:pPr>
          </w:p>
        </w:tc>
        <w:tc>
          <w:tcPr>
            <w:tcW w:w="840" w:type="dxa"/>
            <w:vAlign w:val="bottom"/>
            <w:shd w:val="clear" w:color="auto" w:fill="333333"/>
          </w:tcPr>
          <w:p>
            <w:pPr>
              <w:spacing w:after="0"/>
              <w:rPr>
                <w:sz w:val="14"/>
                <w:szCs w:val="14"/>
                <w:color w:val="auto"/>
              </w:rPr>
            </w:pPr>
          </w:p>
        </w:tc>
        <w:tc>
          <w:tcPr>
            <w:tcW w:w="780" w:type="dxa"/>
            <w:vAlign w:val="bottom"/>
            <w:shd w:val="clear" w:color="auto" w:fill="333333"/>
          </w:tcPr>
          <w:p>
            <w:pPr>
              <w:spacing w:after="0"/>
              <w:rPr>
                <w:sz w:val="14"/>
                <w:szCs w:val="14"/>
                <w:color w:val="auto"/>
              </w:rPr>
            </w:pPr>
          </w:p>
        </w:tc>
        <w:tc>
          <w:tcPr>
            <w:tcW w:w="700" w:type="dxa"/>
            <w:vAlign w:val="bottom"/>
            <w:shd w:val="clear" w:color="auto" w:fill="333333"/>
          </w:tcPr>
          <w:p>
            <w:pPr>
              <w:spacing w:after="0"/>
              <w:rPr>
                <w:sz w:val="14"/>
                <w:szCs w:val="14"/>
                <w:color w:val="auto"/>
              </w:rPr>
            </w:pPr>
          </w:p>
        </w:tc>
        <w:tc>
          <w:tcPr>
            <w:tcW w:w="980" w:type="dxa"/>
            <w:vAlign w:val="bottom"/>
            <w:shd w:val="clear" w:color="auto" w:fill="333333"/>
          </w:tcPr>
          <w:p>
            <w:pPr>
              <w:spacing w:after="0"/>
              <w:rPr>
                <w:sz w:val="14"/>
                <w:szCs w:val="14"/>
                <w:color w:val="auto"/>
              </w:rPr>
            </w:pPr>
          </w:p>
        </w:tc>
        <w:tc>
          <w:tcPr>
            <w:tcW w:w="620" w:type="dxa"/>
            <w:vAlign w:val="bottom"/>
            <w:shd w:val="clear" w:color="auto" w:fill="333333"/>
          </w:tcPr>
          <w:p>
            <w:pPr>
              <w:spacing w:after="0"/>
              <w:rPr>
                <w:sz w:val="14"/>
                <w:szCs w:val="14"/>
                <w:color w:val="auto"/>
              </w:rPr>
            </w:pPr>
          </w:p>
        </w:tc>
        <w:tc>
          <w:tcPr>
            <w:tcW w:w="740" w:type="dxa"/>
            <w:vAlign w:val="bottom"/>
            <w:shd w:val="clear" w:color="auto" w:fill="333333"/>
          </w:tcPr>
          <w:p>
            <w:pPr>
              <w:spacing w:after="0"/>
              <w:rPr>
                <w:sz w:val="14"/>
                <w:szCs w:val="14"/>
                <w:color w:val="auto"/>
              </w:rPr>
            </w:pPr>
          </w:p>
        </w:tc>
        <w:tc>
          <w:tcPr>
            <w:tcW w:w="120" w:type="dxa"/>
            <w:vAlign w:val="bottom"/>
            <w:shd w:val="clear" w:color="auto" w:fill="333333"/>
          </w:tcPr>
          <w:p>
            <w:pPr>
              <w:spacing w:after="0"/>
              <w:rPr>
                <w:sz w:val="14"/>
                <w:szCs w:val="14"/>
                <w:color w:val="auto"/>
              </w:rPr>
            </w:pPr>
          </w:p>
        </w:tc>
        <w:tc>
          <w:tcPr>
            <w:tcW w:w="1140" w:type="dxa"/>
            <w:vAlign w:val="bottom"/>
            <w:shd w:val="clear" w:color="auto" w:fill="333333"/>
          </w:tcPr>
          <w:p>
            <w:pPr>
              <w:jc w:val="right"/>
              <w:ind w:right="28"/>
              <w:spacing w:after="0"/>
              <w:rPr>
                <w:sz w:val="20"/>
                <w:szCs w:val="20"/>
                <w:color w:val="auto"/>
              </w:rPr>
            </w:pPr>
            <w:r>
              <w:rPr>
                <w:rFonts w:ascii="Arial" w:cs="Arial" w:eastAsia="Arial" w:hAnsi="Arial"/>
                <w:sz w:val="15"/>
                <w:szCs w:val="15"/>
                <w:color w:val="FFFFFF"/>
              </w:rPr>
              <w:t>$ MILLION</w:t>
            </w:r>
          </w:p>
        </w:tc>
      </w:tr>
      <w:tr>
        <w:trPr>
          <w:trHeight w:val="135"/>
        </w:trPr>
        <w:tc>
          <w:tcPr>
            <w:tcW w:w="46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0" w:type="dxa"/>
            <w:vAlign w:val="bottom"/>
            <w:tcBorders>
              <w:bottom w:val="single" w:sz="8" w:color="auto"/>
            </w:tcBorders>
            <w:gridSpan w:val="2"/>
          </w:tcPr>
          <w:p>
            <w:pPr>
              <w:jc w:val="right"/>
              <w:ind w:right="28"/>
              <w:spacing w:after="0" w:line="135" w:lineRule="exact"/>
              <w:rPr>
                <w:sz w:val="20"/>
                <w:szCs w:val="20"/>
                <w:color w:val="auto"/>
              </w:rPr>
            </w:pPr>
            <w:r>
              <w:rPr>
                <w:rFonts w:ascii="Arial" w:cs="Arial" w:eastAsia="Arial" w:hAnsi="Arial"/>
                <w:sz w:val="13"/>
                <w:szCs w:val="13"/>
                <w:color w:val="auto"/>
              </w:rPr>
              <w:t>North America</w:t>
            </w:r>
          </w:p>
        </w:tc>
        <w:tc>
          <w:tcPr>
            <w:tcW w:w="86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South</w:t>
            </w:r>
          </w:p>
        </w:tc>
        <w:tc>
          <w:tcPr>
            <w:tcW w:w="1140" w:type="dxa"/>
            <w:vAlign w:val="bottom"/>
          </w:tcPr>
          <w:p>
            <w:pPr>
              <w:spacing w:after="0"/>
              <w:rPr>
                <w:sz w:val="11"/>
                <w:szCs w:val="11"/>
                <w:color w:val="auto"/>
              </w:rPr>
            </w:pPr>
          </w:p>
        </w:tc>
      </w:tr>
      <w:tr>
        <w:trPr>
          <w:trHeight w:val="129"/>
        </w:trPr>
        <w:tc>
          <w:tcPr>
            <w:tcW w:w="4640" w:type="dxa"/>
            <w:vAlign w:val="bottom"/>
          </w:tcPr>
          <w:p>
            <w:pPr>
              <w:spacing w:after="0"/>
              <w:rPr>
                <w:sz w:val="11"/>
                <w:szCs w:val="11"/>
                <w:color w:val="auto"/>
              </w:rPr>
            </w:pPr>
          </w:p>
        </w:tc>
        <w:tc>
          <w:tcPr>
            <w:tcW w:w="860" w:type="dxa"/>
            <w:vAlign w:val="bottom"/>
          </w:tcPr>
          <w:p>
            <w:pPr>
              <w:jc w:val="right"/>
              <w:ind w:right="128"/>
              <w:spacing w:after="0" w:line="129" w:lineRule="exact"/>
              <w:rPr>
                <w:sz w:val="20"/>
                <w:szCs w:val="20"/>
                <w:color w:val="auto"/>
              </w:rPr>
            </w:pPr>
            <w:r>
              <w:rPr>
                <w:rFonts w:ascii="Arial" w:cs="Arial" w:eastAsia="Arial" w:hAnsi="Arial"/>
                <w:sz w:val="13"/>
                <w:szCs w:val="13"/>
                <w:color w:val="auto"/>
              </w:rPr>
              <w:t>Europe[A]</w:t>
            </w:r>
          </w:p>
        </w:tc>
        <w:tc>
          <w:tcPr>
            <w:tcW w:w="840" w:type="dxa"/>
            <w:vAlign w:val="bottom"/>
          </w:tcPr>
          <w:p>
            <w:pPr>
              <w:jc w:val="right"/>
              <w:ind w:right="148"/>
              <w:spacing w:after="0" w:line="129" w:lineRule="exact"/>
              <w:rPr>
                <w:sz w:val="20"/>
                <w:szCs w:val="20"/>
                <w:color w:val="auto"/>
              </w:rPr>
            </w:pPr>
            <w:r>
              <w:rPr>
                <w:rFonts w:ascii="Arial" w:cs="Arial" w:eastAsia="Arial" w:hAnsi="Arial"/>
                <w:sz w:val="13"/>
                <w:szCs w:val="13"/>
                <w:color w:val="auto"/>
              </w:rPr>
              <w:t>Asia</w:t>
            </w:r>
          </w:p>
        </w:tc>
        <w:tc>
          <w:tcPr>
            <w:tcW w:w="780" w:type="dxa"/>
            <w:vAlign w:val="bottom"/>
          </w:tcPr>
          <w:p>
            <w:pPr>
              <w:jc w:val="right"/>
              <w:ind w:right="68"/>
              <w:spacing w:after="0" w:line="129" w:lineRule="exact"/>
              <w:rPr>
                <w:sz w:val="20"/>
                <w:szCs w:val="20"/>
                <w:color w:val="auto"/>
              </w:rPr>
            </w:pPr>
            <w:r>
              <w:rPr>
                <w:rFonts w:ascii="Arial" w:cs="Arial" w:eastAsia="Arial" w:hAnsi="Arial"/>
                <w:sz w:val="13"/>
                <w:szCs w:val="13"/>
                <w:color w:val="auto"/>
              </w:rPr>
              <w:t>Oceania</w:t>
            </w:r>
          </w:p>
        </w:tc>
        <w:tc>
          <w:tcPr>
            <w:tcW w:w="700" w:type="dxa"/>
            <w:vAlign w:val="bottom"/>
          </w:tcPr>
          <w:p>
            <w:pPr>
              <w:jc w:val="right"/>
              <w:ind w:right="48"/>
              <w:spacing w:after="0" w:line="129" w:lineRule="exact"/>
              <w:rPr>
                <w:sz w:val="20"/>
                <w:szCs w:val="20"/>
                <w:color w:val="auto"/>
              </w:rPr>
            </w:pPr>
            <w:r>
              <w:rPr>
                <w:rFonts w:ascii="Arial" w:cs="Arial" w:eastAsia="Arial" w:hAnsi="Arial"/>
                <w:sz w:val="13"/>
                <w:szCs w:val="13"/>
                <w:color w:val="auto"/>
              </w:rPr>
              <w:t>Africa</w:t>
            </w:r>
          </w:p>
        </w:tc>
        <w:tc>
          <w:tcPr>
            <w:tcW w:w="980" w:type="dxa"/>
            <w:vAlign w:val="bottom"/>
          </w:tcPr>
          <w:p>
            <w:pPr>
              <w:jc w:val="right"/>
              <w:ind w:right="149"/>
              <w:spacing w:after="0" w:line="129" w:lineRule="exact"/>
              <w:rPr>
                <w:sz w:val="20"/>
                <w:szCs w:val="20"/>
                <w:color w:val="auto"/>
              </w:rPr>
            </w:pPr>
            <w:r>
              <w:rPr>
                <w:rFonts w:ascii="Arial" w:cs="Arial" w:eastAsia="Arial" w:hAnsi="Arial"/>
                <w:sz w:val="13"/>
                <w:szCs w:val="13"/>
                <w:color w:val="auto"/>
              </w:rPr>
              <w:t>USA</w:t>
            </w:r>
          </w:p>
        </w:tc>
        <w:tc>
          <w:tcPr>
            <w:tcW w:w="620" w:type="dxa"/>
            <w:vAlign w:val="bottom"/>
          </w:tcPr>
          <w:p>
            <w:pPr>
              <w:jc w:val="right"/>
              <w:ind w:right="28"/>
              <w:spacing w:after="0" w:line="129" w:lineRule="exact"/>
              <w:rPr>
                <w:sz w:val="20"/>
                <w:szCs w:val="20"/>
                <w:color w:val="auto"/>
              </w:rPr>
            </w:pPr>
            <w:r>
              <w:rPr>
                <w:rFonts w:ascii="Arial" w:cs="Arial" w:eastAsia="Arial" w:hAnsi="Arial"/>
                <w:sz w:val="13"/>
                <w:szCs w:val="13"/>
                <w:color w:val="auto"/>
              </w:rPr>
              <w:t>Other</w:t>
            </w:r>
          </w:p>
        </w:tc>
        <w:tc>
          <w:tcPr>
            <w:tcW w:w="860" w:type="dxa"/>
            <w:vAlign w:val="bottom"/>
            <w:gridSpan w:val="2"/>
          </w:tcPr>
          <w:p>
            <w:pPr>
              <w:jc w:val="right"/>
              <w:ind w:right="120"/>
              <w:spacing w:after="0" w:line="129" w:lineRule="exact"/>
              <w:rPr>
                <w:sz w:val="20"/>
                <w:szCs w:val="20"/>
                <w:color w:val="auto"/>
              </w:rPr>
            </w:pPr>
            <w:r>
              <w:rPr>
                <w:rFonts w:ascii="Arial" w:cs="Arial" w:eastAsia="Arial" w:hAnsi="Arial"/>
                <w:sz w:val="13"/>
                <w:szCs w:val="13"/>
                <w:color w:val="auto"/>
              </w:rPr>
              <w:t>America</w:t>
            </w:r>
          </w:p>
        </w:tc>
        <w:tc>
          <w:tcPr>
            <w:tcW w:w="1140" w:type="dxa"/>
            <w:vAlign w:val="bottom"/>
          </w:tcPr>
          <w:p>
            <w:pPr>
              <w:jc w:val="right"/>
              <w:ind w:right="28"/>
              <w:spacing w:after="0" w:line="129" w:lineRule="exact"/>
              <w:rPr>
                <w:sz w:val="20"/>
                <w:szCs w:val="20"/>
                <w:color w:val="auto"/>
              </w:rPr>
            </w:pPr>
            <w:r>
              <w:rPr>
                <w:rFonts w:ascii="Arial" w:cs="Arial" w:eastAsia="Arial" w:hAnsi="Arial"/>
                <w:sz w:val="13"/>
                <w:szCs w:val="13"/>
                <w:color w:val="auto"/>
              </w:rPr>
              <w:t>Total</w:t>
            </w:r>
          </w:p>
        </w:tc>
      </w:tr>
      <w:tr>
        <w:trPr>
          <w:trHeight w:val="20"/>
        </w:trPr>
        <w:tc>
          <w:tcPr>
            <w:tcW w:w="46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r>
      <w:tr>
        <w:trPr>
          <w:trHeight w:val="160"/>
        </w:trPr>
        <w:tc>
          <w:tcPr>
            <w:tcW w:w="4640" w:type="dxa"/>
            <w:vAlign w:val="bottom"/>
          </w:tcPr>
          <w:p>
            <w:pPr>
              <w:spacing w:after="0"/>
              <w:rPr>
                <w:sz w:val="20"/>
                <w:szCs w:val="20"/>
                <w:color w:val="auto"/>
              </w:rPr>
            </w:pPr>
            <w:r>
              <w:rPr>
                <w:rFonts w:ascii="Arial" w:cs="Arial" w:eastAsia="Arial" w:hAnsi="Arial"/>
                <w:sz w:val="14"/>
                <w:szCs w:val="14"/>
                <w:color w:val="auto"/>
              </w:rPr>
              <w:t>Revenue</w:t>
            </w:r>
          </w:p>
        </w:tc>
        <w:tc>
          <w:tcPr>
            <w:tcW w:w="860" w:type="dxa"/>
            <w:vAlign w:val="bottom"/>
          </w:tcPr>
          <w:p>
            <w:pPr>
              <w:jc w:val="right"/>
              <w:ind w:right="268"/>
              <w:spacing w:after="0"/>
              <w:rPr>
                <w:sz w:val="20"/>
                <w:szCs w:val="20"/>
                <w:color w:val="auto"/>
              </w:rPr>
            </w:pPr>
            <w:r>
              <w:rPr>
                <w:rFonts w:ascii="Arial" w:cs="Arial" w:eastAsia="Arial" w:hAnsi="Arial"/>
                <w:sz w:val="14"/>
                <w:szCs w:val="14"/>
                <w:color w:val="auto"/>
              </w:rPr>
              <w:t>26,569</w:t>
            </w:r>
          </w:p>
        </w:tc>
        <w:tc>
          <w:tcPr>
            <w:tcW w:w="840" w:type="dxa"/>
            <w:vAlign w:val="bottom"/>
          </w:tcPr>
          <w:p>
            <w:pPr>
              <w:jc w:val="right"/>
              <w:ind w:right="148"/>
              <w:spacing w:after="0"/>
              <w:rPr>
                <w:sz w:val="20"/>
                <w:szCs w:val="20"/>
                <w:color w:val="auto"/>
              </w:rPr>
            </w:pPr>
            <w:r>
              <w:rPr>
                <w:rFonts w:ascii="Arial" w:cs="Arial" w:eastAsia="Arial" w:hAnsi="Arial"/>
                <w:sz w:val="14"/>
                <w:szCs w:val="14"/>
                <w:color w:val="auto"/>
              </w:rPr>
              <w:t>31,438</w:t>
            </w:r>
          </w:p>
        </w:tc>
        <w:tc>
          <w:tcPr>
            <w:tcW w:w="780" w:type="dxa"/>
            <w:vAlign w:val="bottom"/>
          </w:tcPr>
          <w:p>
            <w:pPr>
              <w:jc w:val="right"/>
              <w:ind w:right="68"/>
              <w:spacing w:after="0"/>
              <w:rPr>
                <w:sz w:val="20"/>
                <w:szCs w:val="20"/>
                <w:color w:val="auto"/>
              </w:rPr>
            </w:pPr>
            <w:r>
              <w:rPr>
                <w:rFonts w:ascii="Arial" w:cs="Arial" w:eastAsia="Arial" w:hAnsi="Arial"/>
                <w:sz w:val="14"/>
                <w:szCs w:val="14"/>
                <w:color w:val="auto"/>
              </w:rPr>
              <w:t>3,463</w:t>
            </w:r>
          </w:p>
        </w:tc>
        <w:tc>
          <w:tcPr>
            <w:tcW w:w="700" w:type="dxa"/>
            <w:vAlign w:val="bottom"/>
          </w:tcPr>
          <w:p>
            <w:pPr>
              <w:jc w:val="right"/>
              <w:ind w:right="48"/>
              <w:spacing w:after="0"/>
              <w:rPr>
                <w:sz w:val="20"/>
                <w:szCs w:val="20"/>
                <w:color w:val="auto"/>
              </w:rPr>
            </w:pPr>
            <w:r>
              <w:rPr>
                <w:rFonts w:ascii="Arial" w:cs="Arial" w:eastAsia="Arial" w:hAnsi="Arial"/>
                <w:sz w:val="14"/>
                <w:szCs w:val="14"/>
                <w:color w:val="auto"/>
              </w:rPr>
              <w:t>14,966</w:t>
            </w:r>
          </w:p>
        </w:tc>
        <w:tc>
          <w:tcPr>
            <w:tcW w:w="980" w:type="dxa"/>
            <w:vAlign w:val="bottom"/>
          </w:tcPr>
          <w:p>
            <w:pPr>
              <w:jc w:val="right"/>
              <w:ind w:right="149"/>
              <w:spacing w:after="0"/>
              <w:rPr>
                <w:sz w:val="20"/>
                <w:szCs w:val="20"/>
                <w:color w:val="auto"/>
              </w:rPr>
            </w:pPr>
            <w:r>
              <w:rPr>
                <w:rFonts w:ascii="Arial" w:cs="Arial" w:eastAsia="Arial" w:hAnsi="Arial"/>
                <w:sz w:val="14"/>
                <w:szCs w:val="14"/>
                <w:color w:val="auto"/>
              </w:rPr>
              <w:t>8,657</w:t>
            </w:r>
          </w:p>
        </w:tc>
        <w:tc>
          <w:tcPr>
            <w:tcW w:w="620" w:type="dxa"/>
            <w:vAlign w:val="bottom"/>
          </w:tcPr>
          <w:p>
            <w:pPr>
              <w:jc w:val="right"/>
              <w:ind w:right="28"/>
              <w:spacing w:after="0"/>
              <w:rPr>
                <w:sz w:val="20"/>
                <w:szCs w:val="20"/>
                <w:color w:val="auto"/>
              </w:rPr>
            </w:pPr>
            <w:r>
              <w:rPr>
                <w:rFonts w:ascii="Arial" w:cs="Arial" w:eastAsia="Arial" w:hAnsi="Arial"/>
                <w:sz w:val="14"/>
                <w:szCs w:val="14"/>
                <w:color w:val="auto"/>
              </w:rPr>
              <w:t>8,003</w:t>
            </w:r>
          </w:p>
        </w:tc>
        <w:tc>
          <w:tcPr>
            <w:tcW w:w="860" w:type="dxa"/>
            <w:vAlign w:val="bottom"/>
            <w:gridSpan w:val="2"/>
          </w:tcPr>
          <w:p>
            <w:pPr>
              <w:jc w:val="right"/>
              <w:ind w:right="120"/>
              <w:spacing w:after="0"/>
              <w:rPr>
                <w:sz w:val="20"/>
                <w:szCs w:val="20"/>
                <w:color w:val="auto"/>
              </w:rPr>
            </w:pPr>
            <w:r>
              <w:rPr>
                <w:rFonts w:ascii="Arial" w:cs="Arial" w:eastAsia="Arial" w:hAnsi="Arial"/>
                <w:sz w:val="14"/>
                <w:szCs w:val="14"/>
                <w:color w:val="auto"/>
              </w:rPr>
              <w:t>1,454</w:t>
            </w: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94,550</w:t>
            </w:r>
          </w:p>
        </w:tc>
      </w:tr>
      <w:tr>
        <w:trPr>
          <w:trHeight w:val="162"/>
        </w:trPr>
        <w:tc>
          <w:tcPr>
            <w:tcW w:w="4640" w:type="dxa"/>
            <w:vAlign w:val="bottom"/>
          </w:tcPr>
          <w:p>
            <w:pPr>
              <w:spacing w:after="0"/>
              <w:rPr>
                <w:sz w:val="20"/>
                <w:szCs w:val="20"/>
                <w:color w:val="auto"/>
              </w:rPr>
            </w:pPr>
            <w:r>
              <w:rPr>
                <w:rFonts w:ascii="Arial" w:cs="Arial" w:eastAsia="Arial" w:hAnsi="Arial"/>
                <w:sz w:val="14"/>
                <w:szCs w:val="14"/>
                <w:color w:val="auto"/>
              </w:rPr>
              <w:t>Share of profit of joint ventures and associates</w:t>
            </w:r>
          </w:p>
        </w:tc>
        <w:tc>
          <w:tcPr>
            <w:tcW w:w="860" w:type="dxa"/>
            <w:vAlign w:val="bottom"/>
          </w:tcPr>
          <w:p>
            <w:pPr>
              <w:jc w:val="right"/>
              <w:ind w:right="268"/>
              <w:spacing w:after="0"/>
              <w:rPr>
                <w:sz w:val="20"/>
                <w:szCs w:val="20"/>
                <w:color w:val="auto"/>
              </w:rPr>
            </w:pPr>
            <w:r>
              <w:rPr>
                <w:rFonts w:ascii="Arial" w:cs="Arial" w:eastAsia="Arial" w:hAnsi="Arial"/>
                <w:sz w:val="14"/>
                <w:szCs w:val="14"/>
                <w:color w:val="auto"/>
              </w:rPr>
              <w:t>1,667</w:t>
            </w:r>
          </w:p>
        </w:tc>
        <w:tc>
          <w:tcPr>
            <w:tcW w:w="840" w:type="dxa"/>
            <w:vAlign w:val="bottom"/>
          </w:tcPr>
          <w:p>
            <w:pPr>
              <w:jc w:val="right"/>
              <w:ind w:right="148"/>
              <w:spacing w:after="0"/>
              <w:rPr>
                <w:sz w:val="20"/>
                <w:szCs w:val="20"/>
                <w:color w:val="auto"/>
              </w:rPr>
            </w:pPr>
            <w:r>
              <w:rPr>
                <w:rFonts w:ascii="Arial" w:cs="Arial" w:eastAsia="Arial" w:hAnsi="Arial"/>
                <w:sz w:val="14"/>
                <w:szCs w:val="14"/>
                <w:color w:val="auto"/>
              </w:rPr>
              <w:t>3,866</w:t>
            </w:r>
          </w:p>
        </w:tc>
        <w:tc>
          <w:tcPr>
            <w:tcW w:w="780" w:type="dxa"/>
            <w:vAlign w:val="bottom"/>
          </w:tcPr>
          <w:p>
            <w:pPr>
              <w:jc w:val="right"/>
              <w:ind w:right="68"/>
              <w:spacing w:after="0"/>
              <w:rPr>
                <w:sz w:val="20"/>
                <w:szCs w:val="20"/>
                <w:color w:val="auto"/>
              </w:rPr>
            </w:pPr>
            <w:r>
              <w:rPr>
                <w:rFonts w:ascii="Arial" w:cs="Arial" w:eastAsia="Arial" w:hAnsi="Arial"/>
                <w:sz w:val="14"/>
                <w:szCs w:val="14"/>
                <w:color w:val="auto"/>
              </w:rPr>
              <w:t>395</w:t>
            </w:r>
          </w:p>
        </w:tc>
        <w:tc>
          <w:tcPr>
            <w:tcW w:w="700" w:type="dxa"/>
            <w:vAlign w:val="bottom"/>
          </w:tcPr>
          <w:p>
            <w:pPr>
              <w:jc w:val="right"/>
              <w:ind w:right="48"/>
              <w:spacing w:after="0"/>
              <w:rPr>
                <w:sz w:val="20"/>
                <w:szCs w:val="20"/>
                <w:color w:val="auto"/>
              </w:rPr>
            </w:pPr>
            <w:r>
              <w:rPr>
                <w:rFonts w:ascii="Arial" w:cs="Arial" w:eastAsia="Arial" w:hAnsi="Arial"/>
                <w:sz w:val="14"/>
                <w:szCs w:val="14"/>
                <w:color w:val="auto"/>
              </w:rPr>
              <w:t>950</w:t>
            </w:r>
          </w:p>
        </w:tc>
        <w:tc>
          <w:tcPr>
            <w:tcW w:w="980" w:type="dxa"/>
            <w:vAlign w:val="bottom"/>
          </w:tcPr>
          <w:p>
            <w:pPr>
              <w:jc w:val="right"/>
              <w:ind w:right="149"/>
              <w:spacing w:after="0"/>
              <w:rPr>
                <w:sz w:val="20"/>
                <w:szCs w:val="20"/>
                <w:color w:val="auto"/>
              </w:rPr>
            </w:pPr>
            <w:r>
              <w:rPr>
                <w:rFonts w:ascii="Arial" w:cs="Arial" w:eastAsia="Arial" w:hAnsi="Arial"/>
                <w:sz w:val="14"/>
                <w:szCs w:val="14"/>
                <w:color w:val="auto"/>
              </w:rPr>
              <w:t>1,150</w:t>
            </w:r>
          </w:p>
        </w:tc>
        <w:tc>
          <w:tcPr>
            <w:tcW w:w="620" w:type="dxa"/>
            <w:vAlign w:val="bottom"/>
          </w:tcPr>
          <w:p>
            <w:pPr>
              <w:jc w:val="right"/>
              <w:ind w:right="28"/>
              <w:spacing w:after="0"/>
              <w:rPr>
                <w:sz w:val="20"/>
                <w:szCs w:val="20"/>
                <w:color w:val="auto"/>
              </w:rPr>
            </w:pPr>
            <w:r>
              <w:rPr>
                <w:rFonts w:ascii="Arial" w:cs="Arial" w:eastAsia="Arial" w:hAnsi="Arial"/>
                <w:sz w:val="14"/>
                <w:szCs w:val="14"/>
                <w:color w:val="auto"/>
              </w:rPr>
              <w:t>25</w:t>
            </w:r>
          </w:p>
        </w:tc>
        <w:tc>
          <w:tcPr>
            <w:tcW w:w="860" w:type="dxa"/>
            <w:vAlign w:val="bottom"/>
            <w:gridSpan w:val="2"/>
          </w:tcPr>
          <w:p>
            <w:pPr>
              <w:jc w:val="right"/>
              <w:ind w:right="60"/>
              <w:spacing w:after="0"/>
              <w:rPr>
                <w:sz w:val="20"/>
                <w:szCs w:val="20"/>
                <w:color w:val="auto"/>
              </w:rPr>
            </w:pPr>
            <w:r>
              <w:rPr>
                <w:rFonts w:ascii="Arial" w:cs="Arial" w:eastAsia="Arial" w:hAnsi="Arial"/>
                <w:sz w:val="14"/>
                <w:szCs w:val="14"/>
                <w:color w:val="auto"/>
              </w:rPr>
              <w:t>(52)</w:t>
            </w: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8,001</w:t>
            </w:r>
          </w:p>
        </w:tc>
      </w:tr>
      <w:tr>
        <w:trPr>
          <w:trHeight w:val="157"/>
        </w:trPr>
        <w:tc>
          <w:tcPr>
            <w:tcW w:w="4640" w:type="dxa"/>
            <w:vAlign w:val="bottom"/>
            <w:tcBorders>
              <w:bottom w:val="single" w:sz="8" w:color="auto"/>
            </w:tcBorders>
          </w:tcPr>
          <w:p>
            <w:pPr>
              <w:spacing w:after="0" w:line="157" w:lineRule="exact"/>
              <w:rPr>
                <w:sz w:val="20"/>
                <w:szCs w:val="20"/>
                <w:color w:val="auto"/>
              </w:rPr>
            </w:pPr>
            <w:r>
              <w:rPr>
                <w:rFonts w:ascii="Arial" w:cs="Arial" w:eastAsia="Arial" w:hAnsi="Arial"/>
                <w:sz w:val="14"/>
                <w:szCs w:val="14"/>
                <w:color w:val="auto"/>
              </w:rPr>
              <w:t>Interest and other income</w:t>
            </w:r>
          </w:p>
        </w:tc>
        <w:tc>
          <w:tcPr>
            <w:tcW w:w="860" w:type="dxa"/>
            <w:vAlign w:val="bottom"/>
            <w:tcBorders>
              <w:bottom w:val="single" w:sz="8" w:color="auto"/>
            </w:tcBorders>
          </w:tcPr>
          <w:p>
            <w:pPr>
              <w:jc w:val="right"/>
              <w:ind w:right="268"/>
              <w:spacing w:after="0" w:line="157" w:lineRule="exact"/>
              <w:rPr>
                <w:sz w:val="20"/>
                <w:szCs w:val="20"/>
                <w:color w:val="auto"/>
              </w:rPr>
            </w:pPr>
            <w:r>
              <w:rPr>
                <w:rFonts w:ascii="Arial" w:cs="Arial" w:eastAsia="Arial" w:hAnsi="Arial"/>
                <w:sz w:val="14"/>
                <w:szCs w:val="14"/>
                <w:color w:val="auto"/>
              </w:rPr>
              <w:t>70</w:t>
            </w:r>
          </w:p>
        </w:tc>
        <w:tc>
          <w:tcPr>
            <w:tcW w:w="840" w:type="dxa"/>
            <w:vAlign w:val="bottom"/>
            <w:tcBorders>
              <w:bottom w:val="single" w:sz="8" w:color="auto"/>
            </w:tcBorders>
          </w:tcPr>
          <w:p>
            <w:pPr>
              <w:jc w:val="right"/>
              <w:ind w:right="148"/>
              <w:spacing w:after="0" w:line="157" w:lineRule="exact"/>
              <w:rPr>
                <w:sz w:val="20"/>
                <w:szCs w:val="20"/>
                <w:color w:val="auto"/>
              </w:rPr>
            </w:pPr>
            <w:r>
              <w:rPr>
                <w:rFonts w:ascii="Arial" w:cs="Arial" w:eastAsia="Arial" w:hAnsi="Arial"/>
                <w:sz w:val="14"/>
                <w:szCs w:val="14"/>
                <w:color w:val="auto"/>
              </w:rPr>
              <w:t>793</w:t>
            </w:r>
          </w:p>
        </w:tc>
        <w:tc>
          <w:tcPr>
            <w:tcW w:w="780" w:type="dxa"/>
            <w:vAlign w:val="bottom"/>
            <w:tcBorders>
              <w:bottom w:val="single" w:sz="8" w:color="auto"/>
            </w:tcBorders>
          </w:tcPr>
          <w:p>
            <w:pPr>
              <w:jc w:val="right"/>
              <w:ind w:right="68"/>
              <w:spacing w:after="0" w:line="157" w:lineRule="exact"/>
              <w:rPr>
                <w:sz w:val="20"/>
                <w:szCs w:val="20"/>
                <w:color w:val="auto"/>
              </w:rPr>
            </w:pPr>
            <w:r>
              <w:rPr>
                <w:rFonts w:ascii="Arial" w:cs="Arial" w:eastAsia="Arial" w:hAnsi="Arial"/>
                <w:sz w:val="14"/>
                <w:szCs w:val="14"/>
                <w:color w:val="auto"/>
              </w:rPr>
              <w:t>2,107</w:t>
            </w:r>
          </w:p>
        </w:tc>
        <w:tc>
          <w:tcPr>
            <w:tcW w:w="700" w:type="dxa"/>
            <w:vAlign w:val="bottom"/>
            <w:tcBorders>
              <w:bottom w:val="single" w:sz="8" w:color="auto"/>
            </w:tcBorders>
          </w:tcPr>
          <w:p>
            <w:pPr>
              <w:jc w:val="right"/>
              <w:ind w:right="48"/>
              <w:spacing w:after="0" w:line="157" w:lineRule="exact"/>
              <w:rPr>
                <w:sz w:val="20"/>
                <w:szCs w:val="20"/>
                <w:color w:val="auto"/>
              </w:rPr>
            </w:pPr>
            <w:r>
              <w:rPr>
                <w:rFonts w:ascii="Arial" w:cs="Arial" w:eastAsia="Arial" w:hAnsi="Arial"/>
                <w:sz w:val="14"/>
                <w:szCs w:val="14"/>
                <w:color w:val="auto"/>
              </w:rPr>
              <w:t>984</w:t>
            </w:r>
          </w:p>
        </w:tc>
        <w:tc>
          <w:tcPr>
            <w:tcW w:w="980" w:type="dxa"/>
            <w:vAlign w:val="bottom"/>
            <w:tcBorders>
              <w:bottom w:val="single" w:sz="8" w:color="auto"/>
            </w:tcBorders>
          </w:tcPr>
          <w:p>
            <w:pPr>
              <w:jc w:val="right"/>
              <w:ind w:right="149"/>
              <w:spacing w:after="0" w:line="157" w:lineRule="exact"/>
              <w:rPr>
                <w:sz w:val="20"/>
                <w:szCs w:val="20"/>
                <w:color w:val="auto"/>
              </w:rPr>
            </w:pPr>
            <w:r>
              <w:rPr>
                <w:rFonts w:ascii="Arial" w:cs="Arial" w:eastAsia="Arial" w:hAnsi="Arial"/>
                <w:sz w:val="14"/>
                <w:szCs w:val="14"/>
                <w:color w:val="auto"/>
              </w:rPr>
              <w:t>569</w:t>
            </w:r>
          </w:p>
        </w:tc>
        <w:tc>
          <w:tcPr>
            <w:tcW w:w="620" w:type="dxa"/>
            <w:vAlign w:val="bottom"/>
            <w:tcBorders>
              <w:bottom w:val="single" w:sz="8" w:color="auto"/>
            </w:tcBorders>
          </w:tcPr>
          <w:p>
            <w:pPr>
              <w:jc w:val="right"/>
              <w:ind w:right="28"/>
              <w:spacing w:after="0" w:line="157" w:lineRule="exact"/>
              <w:rPr>
                <w:sz w:val="20"/>
                <w:szCs w:val="20"/>
                <w:color w:val="auto"/>
              </w:rPr>
            </w:pPr>
            <w:r>
              <w:rPr>
                <w:rFonts w:ascii="Arial" w:cs="Arial" w:eastAsia="Arial" w:hAnsi="Arial"/>
                <w:sz w:val="14"/>
                <w:szCs w:val="14"/>
                <w:color w:val="auto"/>
              </w:rPr>
              <w:t>149</w:t>
            </w:r>
          </w:p>
        </w:tc>
        <w:tc>
          <w:tcPr>
            <w:tcW w:w="860" w:type="dxa"/>
            <w:vAlign w:val="bottom"/>
            <w:tcBorders>
              <w:bottom w:val="single" w:sz="8" w:color="auto"/>
            </w:tcBorders>
            <w:gridSpan w:val="2"/>
          </w:tcPr>
          <w:p>
            <w:pPr>
              <w:jc w:val="right"/>
              <w:ind w:right="120"/>
              <w:spacing w:after="0" w:line="157" w:lineRule="exact"/>
              <w:rPr>
                <w:sz w:val="20"/>
                <w:szCs w:val="20"/>
                <w:color w:val="auto"/>
              </w:rPr>
            </w:pPr>
            <w:r>
              <w:rPr>
                <w:rFonts w:ascii="Arial" w:cs="Arial" w:eastAsia="Arial" w:hAnsi="Arial"/>
                <w:sz w:val="14"/>
                <w:szCs w:val="14"/>
                <w:color w:val="auto"/>
              </w:rPr>
              <w:t>164</w:t>
            </w:r>
          </w:p>
        </w:tc>
        <w:tc>
          <w:tcPr>
            <w:tcW w:w="1140" w:type="dxa"/>
            <w:vAlign w:val="bottom"/>
            <w:tcBorders>
              <w:bottom w:val="single" w:sz="8" w:color="auto"/>
            </w:tcBorders>
          </w:tcPr>
          <w:p>
            <w:pPr>
              <w:jc w:val="right"/>
              <w:ind w:right="28"/>
              <w:spacing w:after="0" w:line="157" w:lineRule="exact"/>
              <w:rPr>
                <w:sz w:val="20"/>
                <w:szCs w:val="20"/>
                <w:color w:val="auto"/>
              </w:rPr>
            </w:pPr>
            <w:r>
              <w:rPr>
                <w:rFonts w:ascii="Arial" w:cs="Arial" w:eastAsia="Arial" w:hAnsi="Arial"/>
                <w:sz w:val="14"/>
                <w:szCs w:val="14"/>
                <w:color w:val="auto"/>
              </w:rPr>
              <w:t>4,836</w:t>
            </w:r>
          </w:p>
        </w:tc>
      </w:tr>
      <w:tr>
        <w:trPr>
          <w:trHeight w:val="160"/>
        </w:trPr>
        <w:tc>
          <w:tcPr>
            <w:tcW w:w="4640" w:type="dxa"/>
            <w:vAlign w:val="bottom"/>
          </w:tcPr>
          <w:p>
            <w:pPr>
              <w:spacing w:after="0"/>
              <w:rPr>
                <w:sz w:val="20"/>
                <w:szCs w:val="20"/>
                <w:color w:val="auto"/>
              </w:rPr>
            </w:pPr>
            <w:r>
              <w:rPr>
                <w:rFonts w:ascii="Arial" w:cs="Arial" w:eastAsia="Arial" w:hAnsi="Arial"/>
                <w:sz w:val="14"/>
                <w:szCs w:val="14"/>
                <w:color w:val="auto"/>
              </w:rPr>
              <w:t>Total revenue and other income</w:t>
            </w:r>
          </w:p>
        </w:tc>
        <w:tc>
          <w:tcPr>
            <w:tcW w:w="860" w:type="dxa"/>
            <w:vAlign w:val="bottom"/>
          </w:tcPr>
          <w:p>
            <w:pPr>
              <w:jc w:val="right"/>
              <w:ind w:right="268"/>
              <w:spacing w:after="0"/>
              <w:rPr>
                <w:sz w:val="20"/>
                <w:szCs w:val="20"/>
                <w:color w:val="auto"/>
              </w:rPr>
            </w:pPr>
            <w:r>
              <w:rPr>
                <w:rFonts w:ascii="Arial" w:cs="Arial" w:eastAsia="Arial" w:hAnsi="Arial"/>
                <w:sz w:val="14"/>
                <w:szCs w:val="14"/>
                <w:color w:val="auto"/>
              </w:rPr>
              <w:t>28,306</w:t>
            </w:r>
          </w:p>
        </w:tc>
        <w:tc>
          <w:tcPr>
            <w:tcW w:w="840" w:type="dxa"/>
            <w:vAlign w:val="bottom"/>
          </w:tcPr>
          <w:p>
            <w:pPr>
              <w:jc w:val="right"/>
              <w:ind w:right="148"/>
              <w:spacing w:after="0"/>
              <w:rPr>
                <w:sz w:val="20"/>
                <w:szCs w:val="20"/>
                <w:color w:val="auto"/>
              </w:rPr>
            </w:pPr>
            <w:r>
              <w:rPr>
                <w:rFonts w:ascii="Arial" w:cs="Arial" w:eastAsia="Arial" w:hAnsi="Arial"/>
                <w:sz w:val="14"/>
                <w:szCs w:val="14"/>
                <w:color w:val="auto"/>
              </w:rPr>
              <w:t>36,097</w:t>
            </w:r>
          </w:p>
        </w:tc>
        <w:tc>
          <w:tcPr>
            <w:tcW w:w="780" w:type="dxa"/>
            <w:vAlign w:val="bottom"/>
          </w:tcPr>
          <w:p>
            <w:pPr>
              <w:jc w:val="right"/>
              <w:ind w:right="68"/>
              <w:spacing w:after="0"/>
              <w:rPr>
                <w:sz w:val="20"/>
                <w:szCs w:val="20"/>
                <w:color w:val="auto"/>
              </w:rPr>
            </w:pPr>
            <w:r>
              <w:rPr>
                <w:rFonts w:ascii="Arial" w:cs="Arial" w:eastAsia="Arial" w:hAnsi="Arial"/>
                <w:sz w:val="14"/>
                <w:szCs w:val="14"/>
                <w:color w:val="auto"/>
              </w:rPr>
              <w:t>5,965</w:t>
            </w:r>
          </w:p>
        </w:tc>
        <w:tc>
          <w:tcPr>
            <w:tcW w:w="700" w:type="dxa"/>
            <w:vAlign w:val="bottom"/>
          </w:tcPr>
          <w:p>
            <w:pPr>
              <w:jc w:val="right"/>
              <w:ind w:right="48"/>
              <w:spacing w:after="0"/>
              <w:rPr>
                <w:sz w:val="20"/>
                <w:szCs w:val="20"/>
                <w:color w:val="auto"/>
              </w:rPr>
            </w:pPr>
            <w:r>
              <w:rPr>
                <w:rFonts w:ascii="Arial" w:cs="Arial" w:eastAsia="Arial" w:hAnsi="Arial"/>
                <w:sz w:val="14"/>
                <w:szCs w:val="14"/>
                <w:color w:val="auto"/>
              </w:rPr>
              <w:t>16,900</w:t>
            </w:r>
          </w:p>
        </w:tc>
        <w:tc>
          <w:tcPr>
            <w:tcW w:w="980" w:type="dxa"/>
            <w:vAlign w:val="bottom"/>
          </w:tcPr>
          <w:p>
            <w:pPr>
              <w:jc w:val="right"/>
              <w:ind w:right="149"/>
              <w:spacing w:after="0"/>
              <w:rPr>
                <w:sz w:val="20"/>
                <w:szCs w:val="20"/>
                <w:color w:val="auto"/>
              </w:rPr>
            </w:pPr>
            <w:r>
              <w:rPr>
                <w:rFonts w:ascii="Arial" w:cs="Arial" w:eastAsia="Arial" w:hAnsi="Arial"/>
                <w:sz w:val="14"/>
                <w:szCs w:val="14"/>
                <w:color w:val="auto"/>
              </w:rPr>
              <w:t>10,376</w:t>
            </w:r>
          </w:p>
        </w:tc>
        <w:tc>
          <w:tcPr>
            <w:tcW w:w="620" w:type="dxa"/>
            <w:vAlign w:val="bottom"/>
          </w:tcPr>
          <w:p>
            <w:pPr>
              <w:jc w:val="right"/>
              <w:ind w:right="28"/>
              <w:spacing w:after="0"/>
              <w:rPr>
                <w:sz w:val="20"/>
                <w:szCs w:val="20"/>
                <w:color w:val="auto"/>
              </w:rPr>
            </w:pPr>
            <w:r>
              <w:rPr>
                <w:rFonts w:ascii="Arial" w:cs="Arial" w:eastAsia="Arial" w:hAnsi="Arial"/>
                <w:sz w:val="14"/>
                <w:szCs w:val="14"/>
                <w:color w:val="auto"/>
              </w:rPr>
              <w:t>8,177</w:t>
            </w:r>
          </w:p>
        </w:tc>
        <w:tc>
          <w:tcPr>
            <w:tcW w:w="860" w:type="dxa"/>
            <w:vAlign w:val="bottom"/>
            <w:gridSpan w:val="2"/>
          </w:tcPr>
          <w:p>
            <w:pPr>
              <w:jc w:val="right"/>
              <w:ind w:right="120"/>
              <w:spacing w:after="0"/>
              <w:rPr>
                <w:sz w:val="20"/>
                <w:szCs w:val="20"/>
                <w:color w:val="auto"/>
              </w:rPr>
            </w:pPr>
            <w:r>
              <w:rPr>
                <w:rFonts w:ascii="Arial" w:cs="Arial" w:eastAsia="Arial" w:hAnsi="Arial"/>
                <w:sz w:val="14"/>
                <w:szCs w:val="14"/>
                <w:color w:val="auto"/>
              </w:rPr>
              <w:t>1,566</w:t>
            </w: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107,387</w:t>
            </w:r>
          </w:p>
        </w:tc>
      </w:tr>
      <w:tr>
        <w:trPr>
          <w:trHeight w:val="162"/>
        </w:trPr>
        <w:tc>
          <w:tcPr>
            <w:tcW w:w="4640" w:type="dxa"/>
            <w:vAlign w:val="bottom"/>
          </w:tcPr>
          <w:p>
            <w:pPr>
              <w:spacing w:after="0"/>
              <w:rPr>
                <w:sz w:val="20"/>
                <w:szCs w:val="20"/>
                <w:color w:val="auto"/>
              </w:rPr>
            </w:pPr>
            <w:r>
              <w:rPr>
                <w:rFonts w:ascii="Arial" w:cs="Arial" w:eastAsia="Arial" w:hAnsi="Arial"/>
                <w:sz w:val="14"/>
                <w:szCs w:val="14"/>
                <w:color w:val="auto"/>
              </w:rPr>
              <w:t>Purchases excluding taxes</w:t>
            </w:r>
          </w:p>
        </w:tc>
        <w:tc>
          <w:tcPr>
            <w:tcW w:w="860" w:type="dxa"/>
            <w:vAlign w:val="bottom"/>
          </w:tcPr>
          <w:p>
            <w:pPr>
              <w:jc w:val="right"/>
              <w:ind w:right="268"/>
              <w:spacing w:after="0"/>
              <w:rPr>
                <w:sz w:val="20"/>
                <w:szCs w:val="20"/>
                <w:color w:val="auto"/>
              </w:rPr>
            </w:pPr>
            <w:r>
              <w:rPr>
                <w:rFonts w:ascii="Arial" w:cs="Arial" w:eastAsia="Arial" w:hAnsi="Arial"/>
                <w:sz w:val="14"/>
                <w:szCs w:val="14"/>
                <w:color w:val="auto"/>
              </w:rPr>
              <w:t>10,689</w:t>
            </w:r>
          </w:p>
        </w:tc>
        <w:tc>
          <w:tcPr>
            <w:tcW w:w="840" w:type="dxa"/>
            <w:vAlign w:val="bottom"/>
          </w:tcPr>
          <w:p>
            <w:pPr>
              <w:jc w:val="right"/>
              <w:ind w:right="148"/>
              <w:spacing w:after="0"/>
              <w:rPr>
                <w:sz w:val="20"/>
                <w:szCs w:val="20"/>
                <w:color w:val="auto"/>
              </w:rPr>
            </w:pPr>
            <w:r>
              <w:rPr>
                <w:rFonts w:ascii="Arial" w:cs="Arial" w:eastAsia="Arial" w:hAnsi="Arial"/>
                <w:sz w:val="14"/>
                <w:szCs w:val="14"/>
                <w:color w:val="auto"/>
              </w:rPr>
              <w:t>8,699</w:t>
            </w:r>
          </w:p>
        </w:tc>
        <w:tc>
          <w:tcPr>
            <w:tcW w:w="780" w:type="dxa"/>
            <w:vAlign w:val="bottom"/>
          </w:tcPr>
          <w:p>
            <w:pPr>
              <w:jc w:val="right"/>
              <w:ind w:right="68"/>
              <w:spacing w:after="0"/>
              <w:rPr>
                <w:sz w:val="20"/>
                <w:szCs w:val="20"/>
                <w:color w:val="auto"/>
              </w:rPr>
            </w:pPr>
            <w:r>
              <w:rPr>
                <w:rFonts w:ascii="Arial" w:cs="Arial" w:eastAsia="Arial" w:hAnsi="Arial"/>
                <w:sz w:val="14"/>
                <w:szCs w:val="14"/>
                <w:color w:val="auto"/>
              </w:rPr>
              <w:t>277</w:t>
            </w:r>
          </w:p>
        </w:tc>
        <w:tc>
          <w:tcPr>
            <w:tcW w:w="700" w:type="dxa"/>
            <w:vAlign w:val="bottom"/>
          </w:tcPr>
          <w:p>
            <w:pPr>
              <w:jc w:val="right"/>
              <w:ind w:right="48"/>
              <w:spacing w:after="0"/>
              <w:rPr>
                <w:sz w:val="20"/>
                <w:szCs w:val="20"/>
                <w:color w:val="auto"/>
              </w:rPr>
            </w:pPr>
            <w:r>
              <w:rPr>
                <w:rFonts w:ascii="Arial" w:cs="Arial" w:eastAsia="Arial" w:hAnsi="Arial"/>
                <w:sz w:val="14"/>
                <w:szCs w:val="14"/>
                <w:color w:val="auto"/>
              </w:rPr>
              <w:t>1,878</w:t>
            </w:r>
          </w:p>
        </w:tc>
        <w:tc>
          <w:tcPr>
            <w:tcW w:w="980" w:type="dxa"/>
            <w:vAlign w:val="bottom"/>
          </w:tcPr>
          <w:p>
            <w:pPr>
              <w:jc w:val="right"/>
              <w:ind w:right="149"/>
              <w:spacing w:after="0"/>
              <w:rPr>
                <w:sz w:val="20"/>
                <w:szCs w:val="20"/>
                <w:color w:val="auto"/>
              </w:rPr>
            </w:pPr>
            <w:r>
              <w:rPr>
                <w:rFonts w:ascii="Arial" w:cs="Arial" w:eastAsia="Arial" w:hAnsi="Arial"/>
                <w:sz w:val="14"/>
                <w:szCs w:val="14"/>
                <w:color w:val="auto"/>
              </w:rPr>
              <w:t>659</w:t>
            </w:r>
          </w:p>
        </w:tc>
        <w:tc>
          <w:tcPr>
            <w:tcW w:w="620" w:type="dxa"/>
            <w:vAlign w:val="bottom"/>
          </w:tcPr>
          <w:p>
            <w:pPr>
              <w:jc w:val="right"/>
              <w:ind w:right="28"/>
              <w:spacing w:after="0"/>
              <w:rPr>
                <w:sz w:val="20"/>
                <w:szCs w:val="20"/>
                <w:color w:val="auto"/>
              </w:rPr>
            </w:pPr>
            <w:r>
              <w:rPr>
                <w:rFonts w:ascii="Arial" w:cs="Arial" w:eastAsia="Arial" w:hAnsi="Arial"/>
                <w:sz w:val="14"/>
                <w:szCs w:val="14"/>
                <w:color w:val="auto"/>
              </w:rPr>
              <w:t>2,958</w:t>
            </w:r>
          </w:p>
        </w:tc>
        <w:tc>
          <w:tcPr>
            <w:tcW w:w="860" w:type="dxa"/>
            <w:vAlign w:val="bottom"/>
            <w:gridSpan w:val="2"/>
          </w:tcPr>
          <w:p>
            <w:pPr>
              <w:jc w:val="right"/>
              <w:ind w:right="120"/>
              <w:spacing w:after="0"/>
              <w:rPr>
                <w:sz w:val="20"/>
                <w:szCs w:val="20"/>
                <w:color w:val="auto"/>
              </w:rPr>
            </w:pPr>
            <w:r>
              <w:rPr>
                <w:rFonts w:ascii="Arial" w:cs="Arial" w:eastAsia="Arial" w:hAnsi="Arial"/>
                <w:sz w:val="14"/>
                <w:szCs w:val="14"/>
                <w:color w:val="auto"/>
              </w:rPr>
              <w:t>85</w:t>
            </w: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25,245</w:t>
            </w:r>
          </w:p>
        </w:tc>
      </w:tr>
      <w:tr>
        <w:trPr>
          <w:trHeight w:val="162"/>
        </w:trPr>
        <w:tc>
          <w:tcPr>
            <w:tcW w:w="4640" w:type="dxa"/>
            <w:vAlign w:val="bottom"/>
          </w:tcPr>
          <w:p>
            <w:pPr>
              <w:spacing w:after="0"/>
              <w:rPr>
                <w:sz w:val="20"/>
                <w:szCs w:val="20"/>
                <w:color w:val="auto"/>
              </w:rPr>
            </w:pPr>
            <w:r>
              <w:rPr>
                <w:rFonts w:ascii="Arial" w:cs="Arial" w:eastAsia="Arial" w:hAnsi="Arial"/>
                <w:sz w:val="14"/>
                <w:szCs w:val="14"/>
                <w:color w:val="auto"/>
              </w:rPr>
              <w:t>Production and manufacturing expenses</w:t>
            </w:r>
          </w:p>
        </w:tc>
        <w:tc>
          <w:tcPr>
            <w:tcW w:w="860" w:type="dxa"/>
            <w:vAlign w:val="bottom"/>
          </w:tcPr>
          <w:p>
            <w:pPr>
              <w:jc w:val="right"/>
              <w:ind w:right="268"/>
              <w:spacing w:after="0"/>
              <w:rPr>
                <w:sz w:val="20"/>
                <w:szCs w:val="20"/>
                <w:color w:val="auto"/>
              </w:rPr>
            </w:pPr>
            <w:r>
              <w:rPr>
                <w:rFonts w:ascii="Arial" w:cs="Arial" w:eastAsia="Arial" w:hAnsi="Arial"/>
                <w:sz w:val="14"/>
                <w:szCs w:val="14"/>
                <w:color w:val="auto"/>
              </w:rPr>
              <w:t>2,651</w:t>
            </w:r>
          </w:p>
        </w:tc>
        <w:tc>
          <w:tcPr>
            <w:tcW w:w="840" w:type="dxa"/>
            <w:vAlign w:val="bottom"/>
          </w:tcPr>
          <w:p>
            <w:pPr>
              <w:jc w:val="right"/>
              <w:ind w:right="148"/>
              <w:spacing w:after="0"/>
              <w:rPr>
                <w:sz w:val="20"/>
                <w:szCs w:val="20"/>
                <w:color w:val="auto"/>
              </w:rPr>
            </w:pPr>
            <w:r>
              <w:rPr>
                <w:rFonts w:ascii="Arial" w:cs="Arial" w:eastAsia="Arial" w:hAnsi="Arial"/>
                <w:sz w:val="14"/>
                <w:szCs w:val="14"/>
                <w:color w:val="auto"/>
              </w:rPr>
              <w:t>3,761</w:t>
            </w:r>
          </w:p>
        </w:tc>
        <w:tc>
          <w:tcPr>
            <w:tcW w:w="780" w:type="dxa"/>
            <w:vAlign w:val="bottom"/>
          </w:tcPr>
          <w:p>
            <w:pPr>
              <w:jc w:val="right"/>
              <w:ind w:right="68"/>
              <w:spacing w:after="0"/>
              <w:rPr>
                <w:sz w:val="20"/>
                <w:szCs w:val="20"/>
                <w:color w:val="auto"/>
              </w:rPr>
            </w:pPr>
            <w:r>
              <w:rPr>
                <w:rFonts w:ascii="Arial" w:cs="Arial" w:eastAsia="Arial" w:hAnsi="Arial"/>
                <w:sz w:val="14"/>
                <w:szCs w:val="14"/>
                <w:color w:val="auto"/>
              </w:rPr>
              <w:t>834</w:t>
            </w:r>
          </w:p>
        </w:tc>
        <w:tc>
          <w:tcPr>
            <w:tcW w:w="700" w:type="dxa"/>
            <w:vAlign w:val="bottom"/>
          </w:tcPr>
          <w:p>
            <w:pPr>
              <w:jc w:val="right"/>
              <w:ind w:right="48"/>
              <w:spacing w:after="0"/>
              <w:rPr>
                <w:sz w:val="20"/>
                <w:szCs w:val="20"/>
                <w:color w:val="auto"/>
              </w:rPr>
            </w:pPr>
            <w:r>
              <w:rPr>
                <w:rFonts w:ascii="Arial" w:cs="Arial" w:eastAsia="Arial" w:hAnsi="Arial"/>
                <w:sz w:val="14"/>
                <w:szCs w:val="14"/>
                <w:color w:val="auto"/>
              </w:rPr>
              <w:t>1,915</w:t>
            </w:r>
          </w:p>
        </w:tc>
        <w:tc>
          <w:tcPr>
            <w:tcW w:w="980" w:type="dxa"/>
            <w:vAlign w:val="bottom"/>
          </w:tcPr>
          <w:p>
            <w:pPr>
              <w:jc w:val="right"/>
              <w:ind w:right="149"/>
              <w:spacing w:after="0"/>
              <w:rPr>
                <w:sz w:val="20"/>
                <w:szCs w:val="20"/>
                <w:color w:val="auto"/>
              </w:rPr>
            </w:pPr>
            <w:r>
              <w:rPr>
                <w:rFonts w:ascii="Arial" w:cs="Arial" w:eastAsia="Arial" w:hAnsi="Arial"/>
                <w:sz w:val="14"/>
                <w:szCs w:val="14"/>
                <w:color w:val="auto"/>
              </w:rPr>
              <w:t>3,477</w:t>
            </w:r>
          </w:p>
        </w:tc>
        <w:tc>
          <w:tcPr>
            <w:tcW w:w="620" w:type="dxa"/>
            <w:vAlign w:val="bottom"/>
          </w:tcPr>
          <w:p>
            <w:pPr>
              <w:jc w:val="right"/>
              <w:ind w:right="28"/>
              <w:spacing w:after="0"/>
              <w:rPr>
                <w:sz w:val="20"/>
                <w:szCs w:val="20"/>
                <w:color w:val="auto"/>
              </w:rPr>
            </w:pPr>
            <w:r>
              <w:rPr>
                <w:rFonts w:ascii="Arial" w:cs="Arial" w:eastAsia="Arial" w:hAnsi="Arial"/>
                <w:sz w:val="14"/>
                <w:szCs w:val="14"/>
                <w:color w:val="auto"/>
              </w:rPr>
              <w:t>3,434</w:t>
            </w:r>
          </w:p>
        </w:tc>
        <w:tc>
          <w:tcPr>
            <w:tcW w:w="860" w:type="dxa"/>
            <w:vAlign w:val="bottom"/>
            <w:gridSpan w:val="2"/>
          </w:tcPr>
          <w:p>
            <w:pPr>
              <w:jc w:val="right"/>
              <w:ind w:right="120"/>
              <w:spacing w:after="0"/>
              <w:rPr>
                <w:sz w:val="20"/>
                <w:szCs w:val="20"/>
                <w:color w:val="auto"/>
              </w:rPr>
            </w:pPr>
            <w:r>
              <w:rPr>
                <w:rFonts w:ascii="Arial" w:cs="Arial" w:eastAsia="Arial" w:hAnsi="Arial"/>
                <w:sz w:val="14"/>
                <w:szCs w:val="14"/>
                <w:color w:val="auto"/>
              </w:rPr>
              <w:t>282</w:t>
            </w: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16,354</w:t>
            </w:r>
          </w:p>
        </w:tc>
      </w:tr>
      <w:tr>
        <w:trPr>
          <w:trHeight w:val="162"/>
        </w:trPr>
        <w:tc>
          <w:tcPr>
            <w:tcW w:w="4640" w:type="dxa"/>
            <w:vAlign w:val="bottom"/>
          </w:tcPr>
          <w:p>
            <w:pPr>
              <w:spacing w:after="0"/>
              <w:rPr>
                <w:sz w:val="20"/>
                <w:szCs w:val="20"/>
                <w:color w:val="auto"/>
              </w:rPr>
            </w:pPr>
            <w:r>
              <w:rPr>
                <w:rFonts w:ascii="Arial" w:cs="Arial" w:eastAsia="Arial" w:hAnsi="Arial"/>
                <w:sz w:val="14"/>
                <w:szCs w:val="14"/>
                <w:color w:val="auto"/>
              </w:rPr>
              <w:t>Taxes other than income tax</w:t>
            </w:r>
          </w:p>
        </w:tc>
        <w:tc>
          <w:tcPr>
            <w:tcW w:w="860" w:type="dxa"/>
            <w:vAlign w:val="bottom"/>
          </w:tcPr>
          <w:p>
            <w:pPr>
              <w:jc w:val="right"/>
              <w:ind w:right="268"/>
              <w:spacing w:after="0"/>
              <w:rPr>
                <w:sz w:val="20"/>
                <w:szCs w:val="20"/>
                <w:color w:val="auto"/>
              </w:rPr>
            </w:pPr>
            <w:r>
              <w:rPr>
                <w:rFonts w:ascii="Arial" w:cs="Arial" w:eastAsia="Arial" w:hAnsi="Arial"/>
                <w:sz w:val="14"/>
                <w:szCs w:val="14"/>
                <w:color w:val="auto"/>
              </w:rPr>
              <w:t>350</w:t>
            </w:r>
          </w:p>
        </w:tc>
        <w:tc>
          <w:tcPr>
            <w:tcW w:w="840" w:type="dxa"/>
            <w:vAlign w:val="bottom"/>
          </w:tcPr>
          <w:p>
            <w:pPr>
              <w:jc w:val="right"/>
              <w:ind w:right="148"/>
              <w:spacing w:after="0"/>
              <w:rPr>
                <w:sz w:val="20"/>
                <w:szCs w:val="20"/>
                <w:color w:val="auto"/>
              </w:rPr>
            </w:pPr>
            <w:r>
              <w:rPr>
                <w:rFonts w:ascii="Arial" w:cs="Arial" w:eastAsia="Arial" w:hAnsi="Arial"/>
                <w:sz w:val="14"/>
                <w:szCs w:val="14"/>
                <w:color w:val="auto"/>
              </w:rPr>
              <w:t>410</w:t>
            </w:r>
          </w:p>
        </w:tc>
        <w:tc>
          <w:tcPr>
            <w:tcW w:w="780" w:type="dxa"/>
            <w:vAlign w:val="bottom"/>
          </w:tcPr>
          <w:p>
            <w:pPr>
              <w:jc w:val="right"/>
              <w:ind w:right="68"/>
              <w:spacing w:after="0"/>
              <w:rPr>
                <w:sz w:val="20"/>
                <w:szCs w:val="20"/>
                <w:color w:val="auto"/>
              </w:rPr>
            </w:pPr>
            <w:r>
              <w:rPr>
                <w:rFonts w:ascii="Arial" w:cs="Arial" w:eastAsia="Arial" w:hAnsi="Arial"/>
                <w:sz w:val="14"/>
                <w:szCs w:val="14"/>
                <w:color w:val="auto"/>
              </w:rPr>
              <w:t>318</w:t>
            </w:r>
          </w:p>
        </w:tc>
        <w:tc>
          <w:tcPr>
            <w:tcW w:w="700" w:type="dxa"/>
            <w:vAlign w:val="bottom"/>
          </w:tcPr>
          <w:p>
            <w:pPr>
              <w:jc w:val="right"/>
              <w:ind w:right="48"/>
              <w:spacing w:after="0"/>
              <w:rPr>
                <w:sz w:val="20"/>
                <w:szCs w:val="20"/>
                <w:color w:val="auto"/>
              </w:rPr>
            </w:pPr>
            <w:r>
              <w:rPr>
                <w:rFonts w:ascii="Arial" w:cs="Arial" w:eastAsia="Arial" w:hAnsi="Arial"/>
                <w:sz w:val="14"/>
                <w:szCs w:val="14"/>
                <w:color w:val="auto"/>
              </w:rPr>
              <w:t>1,248</w:t>
            </w:r>
          </w:p>
        </w:tc>
        <w:tc>
          <w:tcPr>
            <w:tcW w:w="980" w:type="dxa"/>
            <w:vAlign w:val="bottom"/>
          </w:tcPr>
          <w:p>
            <w:pPr>
              <w:jc w:val="right"/>
              <w:ind w:right="149"/>
              <w:spacing w:after="0"/>
              <w:rPr>
                <w:sz w:val="20"/>
                <w:szCs w:val="20"/>
                <w:color w:val="auto"/>
              </w:rPr>
            </w:pPr>
            <w:r>
              <w:rPr>
                <w:rFonts w:ascii="Arial" w:cs="Arial" w:eastAsia="Arial" w:hAnsi="Arial"/>
                <w:sz w:val="14"/>
                <w:szCs w:val="14"/>
                <w:color w:val="auto"/>
              </w:rPr>
              <w:t>39</w:t>
            </w:r>
          </w:p>
        </w:tc>
        <w:tc>
          <w:tcPr>
            <w:tcW w:w="6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120"/>
              <w:spacing w:after="0"/>
              <w:rPr>
                <w:sz w:val="20"/>
                <w:szCs w:val="20"/>
                <w:color w:val="auto"/>
              </w:rPr>
            </w:pPr>
            <w:r>
              <w:rPr>
                <w:rFonts w:ascii="Arial" w:cs="Arial" w:eastAsia="Arial" w:hAnsi="Arial"/>
                <w:sz w:val="14"/>
                <w:szCs w:val="14"/>
                <w:color w:val="auto"/>
              </w:rPr>
              <w:t>144</w:t>
            </w: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2,509</w:t>
            </w:r>
          </w:p>
        </w:tc>
      </w:tr>
      <w:tr>
        <w:trPr>
          <w:trHeight w:val="162"/>
        </w:trPr>
        <w:tc>
          <w:tcPr>
            <w:tcW w:w="4640" w:type="dxa"/>
            <w:vAlign w:val="bottom"/>
          </w:tcPr>
          <w:p>
            <w:pPr>
              <w:spacing w:after="0"/>
              <w:rPr>
                <w:sz w:val="20"/>
                <w:szCs w:val="20"/>
                <w:color w:val="auto"/>
              </w:rPr>
            </w:pPr>
            <w:r>
              <w:rPr>
                <w:rFonts w:ascii="Arial" w:cs="Arial" w:eastAsia="Arial" w:hAnsi="Arial"/>
                <w:sz w:val="14"/>
                <w:szCs w:val="14"/>
                <w:color w:val="auto"/>
              </w:rPr>
              <w:t>Selling, distribution and administrative expenses</w:t>
            </w:r>
          </w:p>
        </w:tc>
        <w:tc>
          <w:tcPr>
            <w:tcW w:w="860" w:type="dxa"/>
            <w:vAlign w:val="bottom"/>
          </w:tcPr>
          <w:p>
            <w:pPr>
              <w:jc w:val="right"/>
              <w:ind w:right="268"/>
              <w:spacing w:after="0"/>
              <w:rPr>
                <w:sz w:val="20"/>
                <w:szCs w:val="20"/>
                <w:color w:val="auto"/>
              </w:rPr>
            </w:pPr>
            <w:r>
              <w:rPr>
                <w:rFonts w:ascii="Arial" w:cs="Arial" w:eastAsia="Arial" w:hAnsi="Arial"/>
                <w:sz w:val="14"/>
                <w:szCs w:val="14"/>
                <w:color w:val="auto"/>
              </w:rPr>
              <w:t>843</w:t>
            </w:r>
          </w:p>
        </w:tc>
        <w:tc>
          <w:tcPr>
            <w:tcW w:w="840" w:type="dxa"/>
            <w:vAlign w:val="bottom"/>
          </w:tcPr>
          <w:p>
            <w:pPr>
              <w:jc w:val="right"/>
              <w:ind w:right="148"/>
              <w:spacing w:after="0"/>
              <w:rPr>
                <w:sz w:val="20"/>
                <w:szCs w:val="20"/>
                <w:color w:val="auto"/>
              </w:rPr>
            </w:pPr>
            <w:r>
              <w:rPr>
                <w:rFonts w:ascii="Arial" w:cs="Arial" w:eastAsia="Arial" w:hAnsi="Arial"/>
                <w:sz w:val="14"/>
                <w:szCs w:val="14"/>
                <w:color w:val="auto"/>
              </w:rPr>
              <w:t>196</w:t>
            </w:r>
          </w:p>
        </w:tc>
        <w:tc>
          <w:tcPr>
            <w:tcW w:w="780" w:type="dxa"/>
            <w:vAlign w:val="bottom"/>
          </w:tcPr>
          <w:p>
            <w:pPr>
              <w:jc w:val="right"/>
              <w:ind w:right="68"/>
              <w:spacing w:after="0"/>
              <w:rPr>
                <w:sz w:val="20"/>
                <w:szCs w:val="20"/>
                <w:color w:val="auto"/>
              </w:rPr>
            </w:pPr>
            <w:r>
              <w:rPr>
                <w:rFonts w:ascii="Arial" w:cs="Arial" w:eastAsia="Arial" w:hAnsi="Arial"/>
                <w:sz w:val="14"/>
                <w:szCs w:val="14"/>
                <w:color w:val="auto"/>
              </w:rPr>
              <w:t>4</w:t>
            </w:r>
          </w:p>
        </w:tc>
        <w:tc>
          <w:tcPr>
            <w:tcW w:w="700" w:type="dxa"/>
            <w:vAlign w:val="bottom"/>
          </w:tcPr>
          <w:p>
            <w:pPr>
              <w:jc w:val="right"/>
              <w:ind w:right="48"/>
              <w:spacing w:after="0"/>
              <w:rPr>
                <w:sz w:val="20"/>
                <w:szCs w:val="20"/>
                <w:color w:val="auto"/>
              </w:rPr>
            </w:pPr>
            <w:r>
              <w:rPr>
                <w:rFonts w:ascii="Arial" w:cs="Arial" w:eastAsia="Arial" w:hAnsi="Arial"/>
                <w:sz w:val="14"/>
                <w:szCs w:val="14"/>
                <w:color w:val="auto"/>
              </w:rPr>
              <w:t>3</w:t>
            </w:r>
          </w:p>
        </w:tc>
        <w:tc>
          <w:tcPr>
            <w:tcW w:w="980" w:type="dxa"/>
            <w:vAlign w:val="bottom"/>
          </w:tcPr>
          <w:p>
            <w:pPr>
              <w:jc w:val="right"/>
              <w:ind w:right="149"/>
              <w:spacing w:after="0"/>
              <w:rPr>
                <w:sz w:val="20"/>
                <w:szCs w:val="20"/>
                <w:color w:val="auto"/>
              </w:rPr>
            </w:pPr>
            <w:r>
              <w:rPr>
                <w:rFonts w:ascii="Arial" w:cs="Arial" w:eastAsia="Arial" w:hAnsi="Arial"/>
                <w:sz w:val="14"/>
                <w:szCs w:val="14"/>
                <w:color w:val="auto"/>
              </w:rPr>
              <w:t>126</w:t>
            </w:r>
          </w:p>
        </w:tc>
        <w:tc>
          <w:tcPr>
            <w:tcW w:w="620" w:type="dxa"/>
            <w:vAlign w:val="bottom"/>
          </w:tcPr>
          <w:p>
            <w:pPr>
              <w:jc w:val="right"/>
              <w:ind w:right="28"/>
              <w:spacing w:after="0"/>
              <w:rPr>
                <w:sz w:val="20"/>
                <w:szCs w:val="20"/>
                <w:color w:val="auto"/>
              </w:rPr>
            </w:pPr>
            <w:r>
              <w:rPr>
                <w:rFonts w:ascii="Arial" w:cs="Arial" w:eastAsia="Arial" w:hAnsi="Arial"/>
                <w:sz w:val="14"/>
                <w:szCs w:val="14"/>
                <w:color w:val="auto"/>
              </w:rPr>
              <w:t>19</w:t>
            </w:r>
          </w:p>
        </w:tc>
        <w:tc>
          <w:tcPr>
            <w:tcW w:w="860" w:type="dxa"/>
            <w:vAlign w:val="bottom"/>
            <w:gridSpan w:val="2"/>
          </w:tcPr>
          <w:p>
            <w:pPr>
              <w:jc w:val="right"/>
              <w:ind w:right="120"/>
              <w:spacing w:after="0"/>
              <w:rPr>
                <w:sz w:val="20"/>
                <w:szCs w:val="20"/>
                <w:color w:val="auto"/>
              </w:rPr>
            </w:pPr>
            <w:r>
              <w:rPr>
                <w:rFonts w:ascii="Arial" w:cs="Arial" w:eastAsia="Arial" w:hAnsi="Arial"/>
                <w:sz w:val="14"/>
                <w:szCs w:val="14"/>
                <w:color w:val="auto"/>
              </w:rPr>
              <w:t>20</w:t>
            </w: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1,211</w:t>
            </w:r>
          </w:p>
        </w:tc>
      </w:tr>
      <w:tr>
        <w:trPr>
          <w:trHeight w:val="162"/>
        </w:trPr>
        <w:tc>
          <w:tcPr>
            <w:tcW w:w="4640" w:type="dxa"/>
            <w:vAlign w:val="bottom"/>
          </w:tcPr>
          <w:p>
            <w:pPr>
              <w:spacing w:after="0"/>
              <w:rPr>
                <w:sz w:val="20"/>
                <w:szCs w:val="20"/>
                <w:color w:val="auto"/>
              </w:rPr>
            </w:pPr>
            <w:r>
              <w:rPr>
                <w:rFonts w:ascii="Arial" w:cs="Arial" w:eastAsia="Arial" w:hAnsi="Arial"/>
                <w:sz w:val="14"/>
                <w:szCs w:val="14"/>
                <w:color w:val="auto"/>
              </w:rPr>
              <w:t>Research and development</w:t>
            </w:r>
          </w:p>
        </w:tc>
        <w:tc>
          <w:tcPr>
            <w:tcW w:w="860" w:type="dxa"/>
            <w:vAlign w:val="bottom"/>
          </w:tcPr>
          <w:p>
            <w:pPr>
              <w:jc w:val="right"/>
              <w:ind w:right="268"/>
              <w:spacing w:after="0"/>
              <w:rPr>
                <w:sz w:val="20"/>
                <w:szCs w:val="20"/>
                <w:color w:val="auto"/>
              </w:rPr>
            </w:pPr>
            <w:r>
              <w:rPr>
                <w:rFonts w:ascii="Arial" w:cs="Arial" w:eastAsia="Arial" w:hAnsi="Arial"/>
                <w:sz w:val="14"/>
                <w:szCs w:val="14"/>
                <w:color w:val="auto"/>
              </w:rPr>
              <w:t>595</w:t>
            </w:r>
          </w:p>
        </w:tc>
        <w:tc>
          <w:tcPr>
            <w:tcW w:w="840" w:type="dxa"/>
            <w:vAlign w:val="bottom"/>
          </w:tcPr>
          <w:p>
            <w:pPr>
              <w:jc w:val="right"/>
              <w:ind w:right="148"/>
              <w:spacing w:after="0"/>
              <w:rPr>
                <w:sz w:val="20"/>
                <w:szCs w:val="20"/>
                <w:color w:val="auto"/>
              </w:rPr>
            </w:pPr>
            <w:r>
              <w:rPr>
                <w:rFonts w:ascii="Arial" w:cs="Arial" w:eastAsia="Arial" w:hAnsi="Arial"/>
                <w:sz w:val="14"/>
                <w:szCs w:val="14"/>
                <w:color w:val="auto"/>
              </w:rPr>
              <w:t>16</w:t>
            </w:r>
          </w:p>
        </w:tc>
        <w:tc>
          <w:tcPr>
            <w:tcW w:w="78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149"/>
              <w:spacing w:after="0"/>
              <w:rPr>
                <w:sz w:val="20"/>
                <w:szCs w:val="20"/>
                <w:color w:val="auto"/>
              </w:rPr>
            </w:pPr>
            <w:r>
              <w:rPr>
                <w:rFonts w:ascii="Arial" w:cs="Arial" w:eastAsia="Arial" w:hAnsi="Arial"/>
                <w:sz w:val="14"/>
                <w:szCs w:val="14"/>
                <w:color w:val="auto"/>
              </w:rPr>
              <w:t>135</w:t>
            </w:r>
          </w:p>
        </w:tc>
        <w:tc>
          <w:tcPr>
            <w:tcW w:w="620" w:type="dxa"/>
            <w:vAlign w:val="bottom"/>
          </w:tcPr>
          <w:p>
            <w:pPr>
              <w:jc w:val="right"/>
              <w:ind w:right="28"/>
              <w:spacing w:after="0"/>
              <w:rPr>
                <w:sz w:val="20"/>
                <w:szCs w:val="20"/>
                <w:color w:val="auto"/>
              </w:rPr>
            </w:pPr>
            <w:r>
              <w:rPr>
                <w:rFonts w:ascii="Arial" w:cs="Arial" w:eastAsia="Arial" w:hAnsi="Arial"/>
                <w:sz w:val="14"/>
                <w:szCs w:val="14"/>
                <w:color w:val="auto"/>
              </w:rPr>
              <w:t>121</w:t>
            </w:r>
          </w:p>
        </w:tc>
        <w:tc>
          <w:tcPr>
            <w:tcW w:w="860" w:type="dxa"/>
            <w:vAlign w:val="bottom"/>
            <w:gridSpan w:val="2"/>
          </w:tcPr>
          <w:p>
            <w:pPr>
              <w:jc w:val="right"/>
              <w:ind w:right="120"/>
              <w:spacing w:after="0"/>
              <w:rPr>
                <w:sz w:val="20"/>
                <w:szCs w:val="20"/>
                <w:color w:val="auto"/>
              </w:rPr>
            </w:pPr>
            <w:r>
              <w:rPr>
                <w:rFonts w:ascii="Arial" w:cs="Arial" w:eastAsia="Arial" w:hAnsi="Arial"/>
                <w:sz w:val="14"/>
                <w:szCs w:val="14"/>
                <w:color w:val="auto"/>
              </w:rPr>
              <w:t>2</w:t>
            </w: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869</w:t>
            </w:r>
          </w:p>
        </w:tc>
      </w:tr>
      <w:tr>
        <w:trPr>
          <w:trHeight w:val="162"/>
        </w:trPr>
        <w:tc>
          <w:tcPr>
            <w:tcW w:w="4640" w:type="dxa"/>
            <w:vAlign w:val="bottom"/>
          </w:tcPr>
          <w:p>
            <w:pPr>
              <w:spacing w:after="0"/>
              <w:rPr>
                <w:sz w:val="20"/>
                <w:szCs w:val="20"/>
                <w:color w:val="auto"/>
              </w:rPr>
            </w:pPr>
            <w:r>
              <w:rPr>
                <w:rFonts w:ascii="Arial" w:cs="Arial" w:eastAsia="Arial" w:hAnsi="Arial"/>
                <w:sz w:val="14"/>
                <w:szCs w:val="14"/>
                <w:color w:val="auto"/>
              </w:rPr>
              <w:t>Exploration</w:t>
            </w:r>
          </w:p>
        </w:tc>
        <w:tc>
          <w:tcPr>
            <w:tcW w:w="860" w:type="dxa"/>
            <w:vAlign w:val="bottom"/>
          </w:tcPr>
          <w:p>
            <w:pPr>
              <w:jc w:val="right"/>
              <w:ind w:right="268"/>
              <w:spacing w:after="0"/>
              <w:rPr>
                <w:sz w:val="20"/>
                <w:szCs w:val="20"/>
                <w:color w:val="auto"/>
              </w:rPr>
            </w:pPr>
            <w:r>
              <w:rPr>
                <w:rFonts w:ascii="Arial" w:cs="Arial" w:eastAsia="Arial" w:hAnsi="Arial"/>
                <w:sz w:val="14"/>
                <w:szCs w:val="14"/>
                <w:color w:val="auto"/>
              </w:rPr>
              <w:t>398</w:t>
            </w:r>
          </w:p>
        </w:tc>
        <w:tc>
          <w:tcPr>
            <w:tcW w:w="840" w:type="dxa"/>
            <w:vAlign w:val="bottom"/>
          </w:tcPr>
          <w:p>
            <w:pPr>
              <w:jc w:val="right"/>
              <w:ind w:right="148"/>
              <w:spacing w:after="0"/>
              <w:rPr>
                <w:sz w:val="20"/>
                <w:szCs w:val="20"/>
                <w:color w:val="auto"/>
              </w:rPr>
            </w:pPr>
            <w:r>
              <w:rPr>
                <w:rFonts w:ascii="Arial" w:cs="Arial" w:eastAsia="Arial" w:hAnsi="Arial"/>
                <w:sz w:val="14"/>
                <w:szCs w:val="14"/>
                <w:color w:val="auto"/>
              </w:rPr>
              <w:t>460</w:t>
            </w:r>
          </w:p>
        </w:tc>
        <w:tc>
          <w:tcPr>
            <w:tcW w:w="780" w:type="dxa"/>
            <w:vAlign w:val="bottom"/>
          </w:tcPr>
          <w:p>
            <w:pPr>
              <w:jc w:val="right"/>
              <w:ind w:right="68"/>
              <w:spacing w:after="0"/>
              <w:rPr>
                <w:sz w:val="20"/>
                <w:szCs w:val="20"/>
                <w:color w:val="auto"/>
              </w:rPr>
            </w:pPr>
            <w:r>
              <w:rPr>
                <w:rFonts w:ascii="Arial" w:cs="Arial" w:eastAsia="Arial" w:hAnsi="Arial"/>
                <w:sz w:val="14"/>
                <w:szCs w:val="14"/>
                <w:color w:val="auto"/>
              </w:rPr>
              <w:t>175</w:t>
            </w:r>
          </w:p>
        </w:tc>
        <w:tc>
          <w:tcPr>
            <w:tcW w:w="700" w:type="dxa"/>
            <w:vAlign w:val="bottom"/>
          </w:tcPr>
          <w:p>
            <w:pPr>
              <w:jc w:val="right"/>
              <w:ind w:right="48"/>
              <w:spacing w:after="0"/>
              <w:rPr>
                <w:sz w:val="20"/>
                <w:szCs w:val="20"/>
                <w:color w:val="auto"/>
              </w:rPr>
            </w:pPr>
            <w:r>
              <w:rPr>
                <w:rFonts w:ascii="Arial" w:cs="Arial" w:eastAsia="Arial" w:hAnsi="Arial"/>
                <w:sz w:val="14"/>
                <w:szCs w:val="14"/>
                <w:color w:val="auto"/>
              </w:rPr>
              <w:t>699</w:t>
            </w:r>
          </w:p>
        </w:tc>
        <w:tc>
          <w:tcPr>
            <w:tcW w:w="980" w:type="dxa"/>
            <w:vAlign w:val="bottom"/>
          </w:tcPr>
          <w:p>
            <w:pPr>
              <w:jc w:val="right"/>
              <w:ind w:right="149"/>
              <w:spacing w:after="0"/>
              <w:rPr>
                <w:sz w:val="20"/>
                <w:szCs w:val="20"/>
                <w:color w:val="auto"/>
              </w:rPr>
            </w:pPr>
            <w:r>
              <w:rPr>
                <w:rFonts w:ascii="Arial" w:cs="Arial" w:eastAsia="Arial" w:hAnsi="Arial"/>
                <w:sz w:val="14"/>
                <w:szCs w:val="14"/>
                <w:color w:val="auto"/>
              </w:rPr>
              <w:t>802</w:t>
            </w:r>
          </w:p>
        </w:tc>
        <w:tc>
          <w:tcPr>
            <w:tcW w:w="620" w:type="dxa"/>
            <w:vAlign w:val="bottom"/>
          </w:tcPr>
          <w:p>
            <w:pPr>
              <w:jc w:val="right"/>
              <w:ind w:right="28"/>
              <w:spacing w:after="0"/>
              <w:rPr>
                <w:sz w:val="20"/>
                <w:szCs w:val="20"/>
                <w:color w:val="auto"/>
              </w:rPr>
            </w:pPr>
            <w:r>
              <w:rPr>
                <w:rFonts w:ascii="Arial" w:cs="Arial" w:eastAsia="Arial" w:hAnsi="Arial"/>
                <w:sz w:val="14"/>
                <w:szCs w:val="14"/>
                <w:color w:val="auto"/>
              </w:rPr>
              <w:t>372</w:t>
            </w:r>
          </w:p>
        </w:tc>
        <w:tc>
          <w:tcPr>
            <w:tcW w:w="860" w:type="dxa"/>
            <w:vAlign w:val="bottom"/>
            <w:gridSpan w:val="2"/>
          </w:tcPr>
          <w:p>
            <w:pPr>
              <w:jc w:val="right"/>
              <w:ind w:right="120"/>
              <w:spacing w:after="0"/>
              <w:rPr>
                <w:sz w:val="20"/>
                <w:szCs w:val="20"/>
                <w:color w:val="auto"/>
              </w:rPr>
            </w:pPr>
            <w:r>
              <w:rPr>
                <w:rFonts w:ascii="Arial" w:cs="Arial" w:eastAsia="Arial" w:hAnsi="Arial"/>
                <w:sz w:val="14"/>
                <w:szCs w:val="14"/>
                <w:color w:val="auto"/>
              </w:rPr>
              <w:t>198</w:t>
            </w: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3,104</w:t>
            </w:r>
          </w:p>
        </w:tc>
      </w:tr>
      <w:tr>
        <w:trPr>
          <w:trHeight w:val="162"/>
        </w:trPr>
        <w:tc>
          <w:tcPr>
            <w:tcW w:w="4640" w:type="dxa"/>
            <w:vAlign w:val="bottom"/>
          </w:tcPr>
          <w:p>
            <w:pPr>
              <w:spacing w:after="0"/>
              <w:rPr>
                <w:sz w:val="20"/>
                <w:szCs w:val="20"/>
                <w:color w:val="auto"/>
              </w:rPr>
            </w:pPr>
            <w:r>
              <w:rPr>
                <w:rFonts w:ascii="Arial" w:cs="Arial" w:eastAsia="Arial" w:hAnsi="Arial"/>
                <w:sz w:val="14"/>
                <w:szCs w:val="14"/>
                <w:color w:val="auto"/>
              </w:rPr>
              <w:t>Depreciation, depletion and amortisation</w:t>
            </w:r>
          </w:p>
        </w:tc>
        <w:tc>
          <w:tcPr>
            <w:tcW w:w="860" w:type="dxa"/>
            <w:vAlign w:val="bottom"/>
          </w:tcPr>
          <w:p>
            <w:pPr>
              <w:jc w:val="right"/>
              <w:ind w:right="268"/>
              <w:spacing w:after="0"/>
              <w:rPr>
                <w:sz w:val="20"/>
                <w:szCs w:val="20"/>
                <w:color w:val="auto"/>
              </w:rPr>
            </w:pPr>
            <w:r>
              <w:rPr>
                <w:rFonts w:ascii="Arial" w:cs="Arial" w:eastAsia="Arial" w:hAnsi="Arial"/>
                <w:sz w:val="14"/>
                <w:szCs w:val="14"/>
                <w:color w:val="auto"/>
              </w:rPr>
              <w:t>1,583</w:t>
            </w:r>
          </w:p>
        </w:tc>
        <w:tc>
          <w:tcPr>
            <w:tcW w:w="840" w:type="dxa"/>
            <w:vAlign w:val="bottom"/>
          </w:tcPr>
          <w:p>
            <w:pPr>
              <w:jc w:val="right"/>
              <w:ind w:right="148"/>
              <w:spacing w:after="0"/>
              <w:rPr>
                <w:sz w:val="20"/>
                <w:szCs w:val="20"/>
                <w:color w:val="auto"/>
              </w:rPr>
            </w:pPr>
            <w:r>
              <w:rPr>
                <w:rFonts w:ascii="Arial" w:cs="Arial" w:eastAsia="Arial" w:hAnsi="Arial"/>
                <w:sz w:val="14"/>
                <w:szCs w:val="14"/>
                <w:color w:val="auto"/>
              </w:rPr>
              <w:t>1,903</w:t>
            </w:r>
          </w:p>
        </w:tc>
        <w:tc>
          <w:tcPr>
            <w:tcW w:w="780" w:type="dxa"/>
            <w:vAlign w:val="bottom"/>
          </w:tcPr>
          <w:p>
            <w:pPr>
              <w:jc w:val="right"/>
              <w:ind w:right="68"/>
              <w:spacing w:after="0"/>
              <w:rPr>
                <w:sz w:val="20"/>
                <w:szCs w:val="20"/>
                <w:color w:val="auto"/>
              </w:rPr>
            </w:pPr>
            <w:r>
              <w:rPr>
                <w:rFonts w:ascii="Arial" w:cs="Arial" w:eastAsia="Arial" w:hAnsi="Arial"/>
                <w:sz w:val="14"/>
                <w:szCs w:val="14"/>
                <w:color w:val="auto"/>
              </w:rPr>
              <w:t>306</w:t>
            </w:r>
          </w:p>
        </w:tc>
        <w:tc>
          <w:tcPr>
            <w:tcW w:w="700" w:type="dxa"/>
            <w:vAlign w:val="bottom"/>
          </w:tcPr>
          <w:p>
            <w:pPr>
              <w:jc w:val="right"/>
              <w:ind w:right="48"/>
              <w:spacing w:after="0"/>
              <w:rPr>
                <w:sz w:val="20"/>
                <w:szCs w:val="20"/>
                <w:color w:val="auto"/>
              </w:rPr>
            </w:pPr>
            <w:r>
              <w:rPr>
                <w:rFonts w:ascii="Arial" w:cs="Arial" w:eastAsia="Arial" w:hAnsi="Arial"/>
                <w:sz w:val="14"/>
                <w:szCs w:val="14"/>
                <w:color w:val="auto"/>
              </w:rPr>
              <w:t>1,277</w:t>
            </w:r>
          </w:p>
        </w:tc>
        <w:tc>
          <w:tcPr>
            <w:tcW w:w="980" w:type="dxa"/>
            <w:vAlign w:val="bottom"/>
          </w:tcPr>
          <w:p>
            <w:pPr>
              <w:jc w:val="right"/>
              <w:ind w:right="149"/>
              <w:spacing w:after="0"/>
              <w:rPr>
                <w:sz w:val="20"/>
                <w:szCs w:val="20"/>
                <w:color w:val="auto"/>
              </w:rPr>
            </w:pPr>
            <w:r>
              <w:rPr>
                <w:rFonts w:ascii="Arial" w:cs="Arial" w:eastAsia="Arial" w:hAnsi="Arial"/>
                <w:sz w:val="14"/>
                <w:szCs w:val="14"/>
                <w:color w:val="auto"/>
              </w:rPr>
              <w:t>3,930</w:t>
            </w:r>
          </w:p>
        </w:tc>
        <w:tc>
          <w:tcPr>
            <w:tcW w:w="620" w:type="dxa"/>
            <w:vAlign w:val="bottom"/>
          </w:tcPr>
          <w:p>
            <w:pPr>
              <w:jc w:val="right"/>
              <w:ind w:right="28"/>
              <w:spacing w:after="0"/>
              <w:rPr>
                <w:sz w:val="20"/>
                <w:szCs w:val="20"/>
                <w:color w:val="auto"/>
              </w:rPr>
            </w:pPr>
            <w:r>
              <w:rPr>
                <w:rFonts w:ascii="Arial" w:cs="Arial" w:eastAsia="Arial" w:hAnsi="Arial"/>
                <w:sz w:val="14"/>
                <w:szCs w:val="14"/>
                <w:color w:val="auto"/>
              </w:rPr>
              <w:t>2,072</w:t>
            </w:r>
          </w:p>
        </w:tc>
        <w:tc>
          <w:tcPr>
            <w:tcW w:w="860" w:type="dxa"/>
            <w:vAlign w:val="bottom"/>
            <w:gridSpan w:val="2"/>
          </w:tcPr>
          <w:p>
            <w:pPr>
              <w:jc w:val="right"/>
              <w:ind w:right="120"/>
              <w:spacing w:after="0"/>
              <w:rPr>
                <w:sz w:val="20"/>
                <w:szCs w:val="20"/>
                <w:color w:val="auto"/>
              </w:rPr>
            </w:pPr>
            <w:r>
              <w:rPr>
                <w:rFonts w:ascii="Arial" w:cs="Arial" w:eastAsia="Arial" w:hAnsi="Arial"/>
                <w:sz w:val="14"/>
                <w:szCs w:val="14"/>
                <w:color w:val="auto"/>
              </w:rPr>
              <w:t>316</w:t>
            </w: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11,387</w:t>
            </w:r>
          </w:p>
        </w:tc>
      </w:tr>
      <w:tr>
        <w:trPr>
          <w:trHeight w:val="157"/>
        </w:trPr>
        <w:tc>
          <w:tcPr>
            <w:tcW w:w="4640" w:type="dxa"/>
            <w:vAlign w:val="bottom"/>
            <w:tcBorders>
              <w:bottom w:val="single" w:sz="8" w:color="auto"/>
            </w:tcBorders>
          </w:tcPr>
          <w:p>
            <w:pPr>
              <w:spacing w:after="0" w:line="157" w:lineRule="exact"/>
              <w:rPr>
                <w:sz w:val="20"/>
                <w:szCs w:val="20"/>
                <w:color w:val="auto"/>
              </w:rPr>
            </w:pPr>
            <w:r>
              <w:rPr>
                <w:rFonts w:ascii="Arial" w:cs="Arial" w:eastAsia="Arial" w:hAnsi="Arial"/>
                <w:sz w:val="14"/>
                <w:szCs w:val="14"/>
                <w:color w:val="auto"/>
              </w:rPr>
              <w:t>Interest expense</w:t>
            </w:r>
          </w:p>
        </w:tc>
        <w:tc>
          <w:tcPr>
            <w:tcW w:w="860" w:type="dxa"/>
            <w:vAlign w:val="bottom"/>
            <w:tcBorders>
              <w:bottom w:val="single" w:sz="8" w:color="auto"/>
            </w:tcBorders>
          </w:tcPr>
          <w:p>
            <w:pPr>
              <w:jc w:val="right"/>
              <w:ind w:right="268"/>
              <w:spacing w:after="0" w:line="157" w:lineRule="exact"/>
              <w:rPr>
                <w:sz w:val="20"/>
                <w:szCs w:val="20"/>
                <w:color w:val="auto"/>
              </w:rPr>
            </w:pPr>
            <w:r>
              <w:rPr>
                <w:rFonts w:ascii="Arial" w:cs="Arial" w:eastAsia="Arial" w:hAnsi="Arial"/>
                <w:sz w:val="14"/>
                <w:szCs w:val="14"/>
                <w:color w:val="auto"/>
              </w:rPr>
              <w:t>311</w:t>
            </w:r>
          </w:p>
        </w:tc>
        <w:tc>
          <w:tcPr>
            <w:tcW w:w="840" w:type="dxa"/>
            <w:vAlign w:val="bottom"/>
            <w:tcBorders>
              <w:bottom w:val="single" w:sz="8" w:color="auto"/>
            </w:tcBorders>
          </w:tcPr>
          <w:p>
            <w:pPr>
              <w:jc w:val="right"/>
              <w:ind w:right="148"/>
              <w:spacing w:after="0" w:line="157" w:lineRule="exact"/>
              <w:rPr>
                <w:sz w:val="20"/>
                <w:szCs w:val="20"/>
                <w:color w:val="auto"/>
              </w:rPr>
            </w:pPr>
            <w:r>
              <w:rPr>
                <w:rFonts w:ascii="Arial" w:cs="Arial" w:eastAsia="Arial" w:hAnsi="Arial"/>
                <w:sz w:val="14"/>
                <w:szCs w:val="14"/>
                <w:color w:val="auto"/>
              </w:rPr>
              <w:t>68</w:t>
            </w:r>
          </w:p>
        </w:tc>
        <w:tc>
          <w:tcPr>
            <w:tcW w:w="780" w:type="dxa"/>
            <w:vAlign w:val="bottom"/>
            <w:tcBorders>
              <w:bottom w:val="single" w:sz="8" w:color="auto"/>
            </w:tcBorders>
          </w:tcPr>
          <w:p>
            <w:pPr>
              <w:jc w:val="right"/>
              <w:ind w:right="68"/>
              <w:spacing w:after="0" w:line="157" w:lineRule="exact"/>
              <w:rPr>
                <w:sz w:val="20"/>
                <w:szCs w:val="20"/>
                <w:color w:val="auto"/>
              </w:rPr>
            </w:pPr>
            <w:r>
              <w:rPr>
                <w:rFonts w:ascii="Arial" w:cs="Arial" w:eastAsia="Arial" w:hAnsi="Arial"/>
                <w:sz w:val="14"/>
                <w:szCs w:val="14"/>
                <w:color w:val="auto"/>
              </w:rPr>
              <w:t>34</w:t>
            </w:r>
          </w:p>
        </w:tc>
        <w:tc>
          <w:tcPr>
            <w:tcW w:w="700" w:type="dxa"/>
            <w:vAlign w:val="bottom"/>
            <w:tcBorders>
              <w:bottom w:val="single" w:sz="8" w:color="auto"/>
            </w:tcBorders>
          </w:tcPr>
          <w:p>
            <w:pPr>
              <w:jc w:val="right"/>
              <w:ind w:right="48"/>
              <w:spacing w:after="0" w:line="157" w:lineRule="exact"/>
              <w:rPr>
                <w:sz w:val="20"/>
                <w:szCs w:val="20"/>
                <w:color w:val="auto"/>
              </w:rPr>
            </w:pPr>
            <w:r>
              <w:rPr>
                <w:rFonts w:ascii="Arial" w:cs="Arial" w:eastAsia="Arial" w:hAnsi="Arial"/>
                <w:sz w:val="14"/>
                <w:szCs w:val="14"/>
                <w:color w:val="auto"/>
              </w:rPr>
              <w:t>116</w:t>
            </w:r>
          </w:p>
        </w:tc>
        <w:tc>
          <w:tcPr>
            <w:tcW w:w="980" w:type="dxa"/>
            <w:vAlign w:val="bottom"/>
            <w:tcBorders>
              <w:bottom w:val="single" w:sz="8" w:color="auto"/>
            </w:tcBorders>
          </w:tcPr>
          <w:p>
            <w:pPr>
              <w:jc w:val="right"/>
              <w:ind w:right="149"/>
              <w:spacing w:after="0" w:line="157" w:lineRule="exact"/>
              <w:rPr>
                <w:sz w:val="20"/>
                <w:szCs w:val="20"/>
                <w:color w:val="auto"/>
              </w:rPr>
            </w:pPr>
            <w:r>
              <w:rPr>
                <w:rFonts w:ascii="Arial" w:cs="Arial" w:eastAsia="Arial" w:hAnsi="Arial"/>
                <w:sz w:val="14"/>
                <w:szCs w:val="14"/>
                <w:color w:val="auto"/>
              </w:rPr>
              <w:t>170</w:t>
            </w:r>
          </w:p>
        </w:tc>
        <w:tc>
          <w:tcPr>
            <w:tcW w:w="620" w:type="dxa"/>
            <w:vAlign w:val="bottom"/>
            <w:tcBorders>
              <w:bottom w:val="single" w:sz="8" w:color="auto"/>
            </w:tcBorders>
          </w:tcPr>
          <w:p>
            <w:pPr>
              <w:jc w:val="right"/>
              <w:ind w:right="28"/>
              <w:spacing w:after="0" w:line="157" w:lineRule="exact"/>
              <w:rPr>
                <w:sz w:val="20"/>
                <w:szCs w:val="20"/>
                <w:color w:val="auto"/>
              </w:rPr>
            </w:pPr>
            <w:r>
              <w:rPr>
                <w:rFonts w:ascii="Arial" w:cs="Arial" w:eastAsia="Arial" w:hAnsi="Arial"/>
                <w:sz w:val="14"/>
                <w:szCs w:val="14"/>
                <w:color w:val="auto"/>
              </w:rPr>
              <w:t>53</w:t>
            </w:r>
          </w:p>
        </w:tc>
        <w:tc>
          <w:tcPr>
            <w:tcW w:w="860" w:type="dxa"/>
            <w:vAlign w:val="bottom"/>
            <w:tcBorders>
              <w:bottom w:val="single" w:sz="8" w:color="auto"/>
            </w:tcBorders>
            <w:gridSpan w:val="2"/>
          </w:tcPr>
          <w:p>
            <w:pPr>
              <w:jc w:val="right"/>
              <w:ind w:right="120"/>
              <w:spacing w:after="0" w:line="157" w:lineRule="exact"/>
              <w:rPr>
                <w:sz w:val="20"/>
                <w:szCs w:val="20"/>
                <w:color w:val="auto"/>
              </w:rPr>
            </w:pPr>
            <w:r>
              <w:rPr>
                <w:rFonts w:ascii="Arial" w:cs="Arial" w:eastAsia="Arial" w:hAnsi="Arial"/>
                <w:sz w:val="14"/>
                <w:szCs w:val="14"/>
                <w:color w:val="auto"/>
              </w:rPr>
              <w:t>22</w:t>
            </w:r>
          </w:p>
        </w:tc>
        <w:tc>
          <w:tcPr>
            <w:tcW w:w="1140" w:type="dxa"/>
            <w:vAlign w:val="bottom"/>
            <w:tcBorders>
              <w:bottom w:val="single" w:sz="8" w:color="auto"/>
            </w:tcBorders>
          </w:tcPr>
          <w:p>
            <w:pPr>
              <w:jc w:val="right"/>
              <w:ind w:right="28"/>
              <w:spacing w:after="0" w:line="157" w:lineRule="exact"/>
              <w:rPr>
                <w:sz w:val="20"/>
                <w:szCs w:val="20"/>
                <w:color w:val="auto"/>
              </w:rPr>
            </w:pPr>
            <w:r>
              <w:rPr>
                <w:rFonts w:ascii="Arial" w:cs="Arial" w:eastAsia="Arial" w:hAnsi="Arial"/>
                <w:sz w:val="14"/>
                <w:szCs w:val="14"/>
                <w:color w:val="auto"/>
              </w:rPr>
              <w:t>774</w:t>
            </w:r>
          </w:p>
        </w:tc>
      </w:tr>
      <w:tr>
        <w:trPr>
          <w:trHeight w:val="160"/>
        </w:trPr>
        <w:tc>
          <w:tcPr>
            <w:tcW w:w="4640" w:type="dxa"/>
            <w:vAlign w:val="bottom"/>
          </w:tcPr>
          <w:p>
            <w:pPr>
              <w:spacing w:after="0"/>
              <w:rPr>
                <w:sz w:val="20"/>
                <w:szCs w:val="20"/>
                <w:color w:val="auto"/>
              </w:rPr>
            </w:pPr>
            <w:r>
              <w:rPr>
                <w:rFonts w:ascii="Arial" w:cs="Arial" w:eastAsia="Arial" w:hAnsi="Arial"/>
                <w:sz w:val="14"/>
                <w:szCs w:val="14"/>
                <w:color w:val="auto"/>
              </w:rPr>
              <w:t>Income before taxation</w:t>
            </w:r>
          </w:p>
        </w:tc>
        <w:tc>
          <w:tcPr>
            <w:tcW w:w="860" w:type="dxa"/>
            <w:vAlign w:val="bottom"/>
          </w:tcPr>
          <w:p>
            <w:pPr>
              <w:jc w:val="right"/>
              <w:ind w:right="268"/>
              <w:spacing w:after="0"/>
              <w:rPr>
                <w:sz w:val="20"/>
                <w:szCs w:val="20"/>
                <w:color w:val="auto"/>
              </w:rPr>
            </w:pPr>
            <w:r>
              <w:rPr>
                <w:rFonts w:ascii="Arial" w:cs="Arial" w:eastAsia="Arial" w:hAnsi="Arial"/>
                <w:sz w:val="14"/>
                <w:szCs w:val="14"/>
                <w:color w:val="auto"/>
              </w:rPr>
              <w:t>10,886</w:t>
            </w:r>
          </w:p>
        </w:tc>
        <w:tc>
          <w:tcPr>
            <w:tcW w:w="840" w:type="dxa"/>
            <w:vAlign w:val="bottom"/>
          </w:tcPr>
          <w:p>
            <w:pPr>
              <w:jc w:val="right"/>
              <w:ind w:right="148"/>
              <w:spacing w:after="0"/>
              <w:rPr>
                <w:sz w:val="20"/>
                <w:szCs w:val="20"/>
                <w:color w:val="auto"/>
              </w:rPr>
            </w:pPr>
            <w:r>
              <w:rPr>
                <w:rFonts w:ascii="Arial" w:cs="Arial" w:eastAsia="Arial" w:hAnsi="Arial"/>
                <w:sz w:val="14"/>
                <w:szCs w:val="14"/>
                <w:color w:val="auto"/>
              </w:rPr>
              <w:t>20,584</w:t>
            </w:r>
          </w:p>
        </w:tc>
        <w:tc>
          <w:tcPr>
            <w:tcW w:w="780" w:type="dxa"/>
            <w:vAlign w:val="bottom"/>
          </w:tcPr>
          <w:p>
            <w:pPr>
              <w:jc w:val="right"/>
              <w:ind w:right="68"/>
              <w:spacing w:after="0"/>
              <w:rPr>
                <w:sz w:val="20"/>
                <w:szCs w:val="20"/>
                <w:color w:val="auto"/>
              </w:rPr>
            </w:pPr>
            <w:r>
              <w:rPr>
                <w:rFonts w:ascii="Arial" w:cs="Arial" w:eastAsia="Arial" w:hAnsi="Arial"/>
                <w:sz w:val="14"/>
                <w:szCs w:val="14"/>
                <w:color w:val="auto"/>
              </w:rPr>
              <w:t>4,017</w:t>
            </w:r>
          </w:p>
        </w:tc>
        <w:tc>
          <w:tcPr>
            <w:tcW w:w="700" w:type="dxa"/>
            <w:vAlign w:val="bottom"/>
          </w:tcPr>
          <w:p>
            <w:pPr>
              <w:jc w:val="right"/>
              <w:ind w:right="48"/>
              <w:spacing w:after="0"/>
              <w:rPr>
                <w:sz w:val="20"/>
                <w:szCs w:val="20"/>
                <w:color w:val="auto"/>
              </w:rPr>
            </w:pPr>
            <w:r>
              <w:rPr>
                <w:rFonts w:ascii="Arial" w:cs="Arial" w:eastAsia="Arial" w:hAnsi="Arial"/>
                <w:sz w:val="14"/>
                <w:szCs w:val="14"/>
                <w:color w:val="auto"/>
              </w:rPr>
              <w:t>9,764</w:t>
            </w:r>
          </w:p>
        </w:tc>
        <w:tc>
          <w:tcPr>
            <w:tcW w:w="980" w:type="dxa"/>
            <w:vAlign w:val="bottom"/>
          </w:tcPr>
          <w:p>
            <w:pPr>
              <w:jc w:val="right"/>
              <w:ind w:right="149"/>
              <w:spacing w:after="0"/>
              <w:rPr>
                <w:sz w:val="20"/>
                <w:szCs w:val="20"/>
                <w:color w:val="auto"/>
              </w:rPr>
            </w:pPr>
            <w:r>
              <w:rPr>
                <w:rFonts w:ascii="Arial" w:cs="Arial" w:eastAsia="Arial" w:hAnsi="Arial"/>
                <w:sz w:val="14"/>
                <w:szCs w:val="14"/>
                <w:color w:val="auto"/>
              </w:rPr>
              <w:t>1,038</w:t>
            </w:r>
          </w:p>
        </w:tc>
        <w:tc>
          <w:tcPr>
            <w:tcW w:w="620" w:type="dxa"/>
            <w:vAlign w:val="bottom"/>
          </w:tcPr>
          <w:p>
            <w:pPr>
              <w:jc w:val="right"/>
              <w:spacing w:after="0"/>
              <w:rPr>
                <w:sz w:val="20"/>
                <w:szCs w:val="20"/>
                <w:color w:val="auto"/>
              </w:rPr>
            </w:pPr>
            <w:r>
              <w:rPr>
                <w:rFonts w:ascii="Arial" w:cs="Arial" w:eastAsia="Arial" w:hAnsi="Arial"/>
                <w:sz w:val="14"/>
                <w:szCs w:val="14"/>
                <w:color w:val="auto"/>
              </w:rPr>
              <w:t>(852)</w:t>
            </w:r>
          </w:p>
        </w:tc>
        <w:tc>
          <w:tcPr>
            <w:tcW w:w="860" w:type="dxa"/>
            <w:vAlign w:val="bottom"/>
            <w:gridSpan w:val="2"/>
          </w:tcPr>
          <w:p>
            <w:pPr>
              <w:jc w:val="right"/>
              <w:ind w:right="120"/>
              <w:spacing w:after="0"/>
              <w:rPr>
                <w:sz w:val="20"/>
                <w:szCs w:val="20"/>
                <w:color w:val="auto"/>
              </w:rPr>
            </w:pPr>
            <w:r>
              <w:rPr>
                <w:rFonts w:ascii="Arial" w:cs="Arial" w:eastAsia="Arial" w:hAnsi="Arial"/>
                <w:sz w:val="14"/>
                <w:szCs w:val="14"/>
                <w:color w:val="auto"/>
              </w:rPr>
              <w:t>497</w:t>
            </w: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45,934</w:t>
            </w:r>
          </w:p>
        </w:tc>
      </w:tr>
      <w:tr>
        <w:trPr>
          <w:trHeight w:val="157"/>
        </w:trPr>
        <w:tc>
          <w:tcPr>
            <w:tcW w:w="4640" w:type="dxa"/>
            <w:vAlign w:val="bottom"/>
            <w:tcBorders>
              <w:bottom w:val="single" w:sz="8" w:color="auto"/>
            </w:tcBorders>
          </w:tcPr>
          <w:p>
            <w:pPr>
              <w:spacing w:after="0" w:line="157" w:lineRule="exact"/>
              <w:rPr>
                <w:sz w:val="20"/>
                <w:szCs w:val="20"/>
                <w:color w:val="auto"/>
              </w:rPr>
            </w:pPr>
            <w:r>
              <w:rPr>
                <w:rFonts w:ascii="Arial" w:cs="Arial" w:eastAsia="Arial" w:hAnsi="Arial"/>
                <w:sz w:val="14"/>
                <w:szCs w:val="14"/>
                <w:color w:val="auto"/>
              </w:rPr>
              <w:t>Taxation</w:t>
            </w:r>
          </w:p>
        </w:tc>
        <w:tc>
          <w:tcPr>
            <w:tcW w:w="860" w:type="dxa"/>
            <w:vAlign w:val="bottom"/>
            <w:tcBorders>
              <w:bottom w:val="single" w:sz="8" w:color="auto"/>
            </w:tcBorders>
          </w:tcPr>
          <w:p>
            <w:pPr>
              <w:jc w:val="right"/>
              <w:ind w:right="268"/>
              <w:spacing w:after="0" w:line="157" w:lineRule="exact"/>
              <w:rPr>
                <w:sz w:val="20"/>
                <w:szCs w:val="20"/>
                <w:color w:val="auto"/>
              </w:rPr>
            </w:pPr>
            <w:r>
              <w:rPr>
                <w:rFonts w:ascii="Arial" w:cs="Arial" w:eastAsia="Arial" w:hAnsi="Arial"/>
                <w:sz w:val="14"/>
                <w:szCs w:val="14"/>
                <w:color w:val="auto"/>
              </w:rPr>
              <w:t>6,421</w:t>
            </w:r>
          </w:p>
        </w:tc>
        <w:tc>
          <w:tcPr>
            <w:tcW w:w="840" w:type="dxa"/>
            <w:vAlign w:val="bottom"/>
            <w:tcBorders>
              <w:bottom w:val="single" w:sz="8" w:color="auto"/>
            </w:tcBorders>
          </w:tcPr>
          <w:p>
            <w:pPr>
              <w:jc w:val="right"/>
              <w:ind w:right="148"/>
              <w:spacing w:after="0" w:line="157" w:lineRule="exact"/>
              <w:rPr>
                <w:sz w:val="20"/>
                <w:szCs w:val="20"/>
                <w:color w:val="auto"/>
              </w:rPr>
            </w:pPr>
            <w:r>
              <w:rPr>
                <w:rFonts w:ascii="Arial" w:cs="Arial" w:eastAsia="Arial" w:hAnsi="Arial"/>
                <w:sz w:val="14"/>
                <w:szCs w:val="14"/>
                <w:color w:val="auto"/>
              </w:rPr>
              <w:t>11,205</w:t>
            </w:r>
          </w:p>
        </w:tc>
        <w:tc>
          <w:tcPr>
            <w:tcW w:w="780" w:type="dxa"/>
            <w:vAlign w:val="bottom"/>
            <w:tcBorders>
              <w:bottom w:val="single" w:sz="8" w:color="auto"/>
            </w:tcBorders>
          </w:tcPr>
          <w:p>
            <w:pPr>
              <w:jc w:val="right"/>
              <w:ind w:right="68"/>
              <w:spacing w:after="0" w:line="157" w:lineRule="exact"/>
              <w:rPr>
                <w:sz w:val="20"/>
                <w:szCs w:val="20"/>
                <w:color w:val="auto"/>
              </w:rPr>
            </w:pPr>
            <w:r>
              <w:rPr>
                <w:rFonts w:ascii="Arial" w:cs="Arial" w:eastAsia="Arial" w:hAnsi="Arial"/>
                <w:sz w:val="14"/>
                <w:szCs w:val="14"/>
                <w:color w:val="auto"/>
              </w:rPr>
              <w:t>1,095</w:t>
            </w:r>
          </w:p>
        </w:tc>
        <w:tc>
          <w:tcPr>
            <w:tcW w:w="700" w:type="dxa"/>
            <w:vAlign w:val="bottom"/>
            <w:tcBorders>
              <w:bottom w:val="single" w:sz="8" w:color="auto"/>
            </w:tcBorders>
          </w:tcPr>
          <w:p>
            <w:pPr>
              <w:jc w:val="right"/>
              <w:ind w:right="48"/>
              <w:spacing w:after="0" w:line="157" w:lineRule="exact"/>
              <w:rPr>
                <w:sz w:val="20"/>
                <w:szCs w:val="20"/>
                <w:color w:val="auto"/>
              </w:rPr>
            </w:pPr>
            <w:r>
              <w:rPr>
                <w:rFonts w:ascii="Arial" w:cs="Arial" w:eastAsia="Arial" w:hAnsi="Arial"/>
                <w:sz w:val="14"/>
                <w:szCs w:val="14"/>
                <w:color w:val="auto"/>
              </w:rPr>
              <w:t>5,361</w:t>
            </w:r>
          </w:p>
        </w:tc>
        <w:tc>
          <w:tcPr>
            <w:tcW w:w="980" w:type="dxa"/>
            <w:vAlign w:val="bottom"/>
            <w:tcBorders>
              <w:bottom w:val="single" w:sz="8" w:color="auto"/>
            </w:tcBorders>
          </w:tcPr>
          <w:p>
            <w:pPr>
              <w:jc w:val="right"/>
              <w:ind w:right="109"/>
              <w:spacing w:after="0" w:line="157" w:lineRule="exact"/>
              <w:rPr>
                <w:sz w:val="20"/>
                <w:szCs w:val="20"/>
                <w:color w:val="auto"/>
              </w:rPr>
            </w:pPr>
            <w:r>
              <w:rPr>
                <w:rFonts w:ascii="Arial" w:cs="Arial" w:eastAsia="Arial" w:hAnsi="Arial"/>
                <w:sz w:val="14"/>
                <w:szCs w:val="14"/>
                <w:color w:val="auto"/>
              </w:rPr>
              <w:t>(121)</w:t>
            </w:r>
          </w:p>
        </w:tc>
        <w:tc>
          <w:tcPr>
            <w:tcW w:w="620" w:type="dxa"/>
            <w:vAlign w:val="bottom"/>
            <w:tcBorders>
              <w:bottom w:val="single" w:sz="8" w:color="auto"/>
            </w:tcBorders>
          </w:tcPr>
          <w:p>
            <w:pPr>
              <w:jc w:val="right"/>
              <w:spacing w:after="0" w:line="157" w:lineRule="exact"/>
              <w:rPr>
                <w:sz w:val="20"/>
                <w:szCs w:val="20"/>
                <w:color w:val="auto"/>
              </w:rPr>
            </w:pPr>
            <w:r>
              <w:rPr>
                <w:rFonts w:ascii="Arial" w:cs="Arial" w:eastAsia="Arial" w:hAnsi="Arial"/>
                <w:sz w:val="14"/>
                <w:szCs w:val="14"/>
                <w:color w:val="auto"/>
              </w:rPr>
              <w:t>(408)</w:t>
            </w:r>
          </w:p>
        </w:tc>
        <w:tc>
          <w:tcPr>
            <w:tcW w:w="860" w:type="dxa"/>
            <w:vAlign w:val="bottom"/>
            <w:tcBorders>
              <w:bottom w:val="single" w:sz="8" w:color="auto"/>
            </w:tcBorders>
            <w:gridSpan w:val="2"/>
          </w:tcPr>
          <w:p>
            <w:pPr>
              <w:jc w:val="right"/>
              <w:ind w:right="120"/>
              <w:spacing w:after="0" w:line="157" w:lineRule="exact"/>
              <w:rPr>
                <w:sz w:val="20"/>
                <w:szCs w:val="20"/>
                <w:color w:val="auto"/>
              </w:rPr>
            </w:pPr>
            <w:r>
              <w:rPr>
                <w:rFonts w:ascii="Arial" w:cs="Arial" w:eastAsia="Arial" w:hAnsi="Arial"/>
                <w:sz w:val="14"/>
                <w:szCs w:val="14"/>
                <w:color w:val="auto"/>
              </w:rPr>
              <w:t>137</w:t>
            </w:r>
          </w:p>
        </w:tc>
        <w:tc>
          <w:tcPr>
            <w:tcW w:w="1140" w:type="dxa"/>
            <w:vAlign w:val="bottom"/>
            <w:tcBorders>
              <w:bottom w:val="single" w:sz="8" w:color="auto"/>
            </w:tcBorders>
          </w:tcPr>
          <w:p>
            <w:pPr>
              <w:jc w:val="right"/>
              <w:ind w:right="28"/>
              <w:spacing w:after="0" w:line="157" w:lineRule="exact"/>
              <w:rPr>
                <w:sz w:val="20"/>
                <w:szCs w:val="20"/>
                <w:color w:val="auto"/>
              </w:rPr>
            </w:pPr>
            <w:r>
              <w:rPr>
                <w:rFonts w:ascii="Arial" w:cs="Arial" w:eastAsia="Arial" w:hAnsi="Arial"/>
                <w:sz w:val="14"/>
                <w:szCs w:val="14"/>
                <w:color w:val="auto"/>
              </w:rPr>
              <w:t>23,690</w:t>
            </w:r>
          </w:p>
        </w:tc>
      </w:tr>
      <w:tr>
        <w:trPr>
          <w:trHeight w:val="156"/>
        </w:trPr>
        <w:tc>
          <w:tcPr>
            <w:tcW w:w="4640" w:type="dxa"/>
            <w:vAlign w:val="bottom"/>
            <w:tcBorders>
              <w:bottom w:val="single" w:sz="8" w:color="auto"/>
            </w:tcBorders>
          </w:tcPr>
          <w:p>
            <w:pPr>
              <w:spacing w:after="0" w:line="155" w:lineRule="exact"/>
              <w:rPr>
                <w:sz w:val="20"/>
                <w:szCs w:val="20"/>
                <w:color w:val="auto"/>
              </w:rPr>
            </w:pPr>
            <w:r>
              <w:rPr>
                <w:rFonts w:ascii="Arial" w:cs="Arial" w:eastAsia="Arial" w:hAnsi="Arial"/>
                <w:sz w:val="14"/>
                <w:szCs w:val="14"/>
                <w:color w:val="auto"/>
              </w:rPr>
              <w:t>Income after taxation</w:t>
            </w:r>
          </w:p>
        </w:tc>
        <w:tc>
          <w:tcPr>
            <w:tcW w:w="860" w:type="dxa"/>
            <w:vAlign w:val="bottom"/>
            <w:tcBorders>
              <w:bottom w:val="single" w:sz="8" w:color="auto"/>
            </w:tcBorders>
          </w:tcPr>
          <w:p>
            <w:pPr>
              <w:jc w:val="right"/>
              <w:ind w:right="268"/>
              <w:spacing w:after="0" w:line="155" w:lineRule="exact"/>
              <w:rPr>
                <w:sz w:val="20"/>
                <w:szCs w:val="20"/>
                <w:color w:val="auto"/>
              </w:rPr>
            </w:pPr>
            <w:r>
              <w:rPr>
                <w:rFonts w:ascii="Arial" w:cs="Arial" w:eastAsia="Arial" w:hAnsi="Arial"/>
                <w:sz w:val="14"/>
                <w:szCs w:val="14"/>
                <w:color w:val="auto"/>
              </w:rPr>
              <w:t>4,465</w:t>
            </w:r>
          </w:p>
        </w:tc>
        <w:tc>
          <w:tcPr>
            <w:tcW w:w="840" w:type="dxa"/>
            <w:vAlign w:val="bottom"/>
            <w:tcBorders>
              <w:bottom w:val="single" w:sz="8" w:color="auto"/>
            </w:tcBorders>
          </w:tcPr>
          <w:p>
            <w:pPr>
              <w:jc w:val="right"/>
              <w:ind w:right="148"/>
              <w:spacing w:after="0" w:line="155" w:lineRule="exact"/>
              <w:rPr>
                <w:sz w:val="20"/>
                <w:szCs w:val="20"/>
                <w:color w:val="auto"/>
              </w:rPr>
            </w:pPr>
            <w:r>
              <w:rPr>
                <w:rFonts w:ascii="Arial" w:cs="Arial" w:eastAsia="Arial" w:hAnsi="Arial"/>
                <w:sz w:val="14"/>
                <w:szCs w:val="14"/>
                <w:color w:val="auto"/>
              </w:rPr>
              <w:t>9,379</w:t>
            </w:r>
          </w:p>
        </w:tc>
        <w:tc>
          <w:tcPr>
            <w:tcW w:w="780" w:type="dxa"/>
            <w:vAlign w:val="bottom"/>
            <w:tcBorders>
              <w:bottom w:val="single" w:sz="8" w:color="auto"/>
            </w:tcBorders>
          </w:tcPr>
          <w:p>
            <w:pPr>
              <w:jc w:val="right"/>
              <w:ind w:right="68"/>
              <w:spacing w:after="0" w:line="155" w:lineRule="exact"/>
              <w:rPr>
                <w:sz w:val="20"/>
                <w:szCs w:val="20"/>
                <w:color w:val="auto"/>
              </w:rPr>
            </w:pPr>
            <w:r>
              <w:rPr>
                <w:rFonts w:ascii="Arial" w:cs="Arial" w:eastAsia="Arial" w:hAnsi="Arial"/>
                <w:sz w:val="14"/>
                <w:szCs w:val="14"/>
                <w:color w:val="auto"/>
              </w:rPr>
              <w:t>2,922</w:t>
            </w:r>
          </w:p>
        </w:tc>
        <w:tc>
          <w:tcPr>
            <w:tcW w:w="700" w:type="dxa"/>
            <w:vAlign w:val="bottom"/>
            <w:tcBorders>
              <w:bottom w:val="single" w:sz="8" w:color="auto"/>
            </w:tcBorders>
          </w:tcPr>
          <w:p>
            <w:pPr>
              <w:jc w:val="right"/>
              <w:ind w:right="48"/>
              <w:spacing w:after="0" w:line="155" w:lineRule="exact"/>
              <w:rPr>
                <w:sz w:val="20"/>
                <w:szCs w:val="20"/>
                <w:color w:val="auto"/>
              </w:rPr>
            </w:pPr>
            <w:r>
              <w:rPr>
                <w:rFonts w:ascii="Arial" w:cs="Arial" w:eastAsia="Arial" w:hAnsi="Arial"/>
                <w:sz w:val="14"/>
                <w:szCs w:val="14"/>
                <w:color w:val="auto"/>
              </w:rPr>
              <w:t>4,403</w:t>
            </w:r>
          </w:p>
        </w:tc>
        <w:tc>
          <w:tcPr>
            <w:tcW w:w="980" w:type="dxa"/>
            <w:vAlign w:val="bottom"/>
            <w:tcBorders>
              <w:bottom w:val="single" w:sz="8" w:color="auto"/>
            </w:tcBorders>
          </w:tcPr>
          <w:p>
            <w:pPr>
              <w:jc w:val="right"/>
              <w:ind w:right="149"/>
              <w:spacing w:after="0" w:line="155" w:lineRule="exact"/>
              <w:rPr>
                <w:sz w:val="20"/>
                <w:szCs w:val="20"/>
                <w:color w:val="auto"/>
              </w:rPr>
            </w:pPr>
            <w:r>
              <w:rPr>
                <w:rFonts w:ascii="Arial" w:cs="Arial" w:eastAsia="Arial" w:hAnsi="Arial"/>
                <w:sz w:val="14"/>
                <w:szCs w:val="14"/>
                <w:color w:val="auto"/>
              </w:rPr>
              <w:t>1,159</w:t>
            </w:r>
          </w:p>
        </w:tc>
        <w:tc>
          <w:tcPr>
            <w:tcW w:w="6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(444)</w:t>
            </w:r>
          </w:p>
        </w:tc>
        <w:tc>
          <w:tcPr>
            <w:tcW w:w="860" w:type="dxa"/>
            <w:vAlign w:val="bottom"/>
            <w:tcBorders>
              <w:bottom w:val="single" w:sz="8" w:color="auto"/>
            </w:tcBorders>
            <w:gridSpan w:val="2"/>
          </w:tcPr>
          <w:p>
            <w:pPr>
              <w:jc w:val="right"/>
              <w:ind w:right="120"/>
              <w:spacing w:after="0" w:line="155" w:lineRule="exact"/>
              <w:rPr>
                <w:sz w:val="20"/>
                <w:szCs w:val="20"/>
                <w:color w:val="auto"/>
              </w:rPr>
            </w:pPr>
            <w:r>
              <w:rPr>
                <w:rFonts w:ascii="Arial" w:cs="Arial" w:eastAsia="Arial" w:hAnsi="Arial"/>
                <w:sz w:val="14"/>
                <w:szCs w:val="14"/>
                <w:color w:val="auto"/>
              </w:rPr>
              <w:t>360</w:t>
            </w:r>
          </w:p>
        </w:tc>
        <w:tc>
          <w:tcPr>
            <w:tcW w:w="1140" w:type="dxa"/>
            <w:vAlign w:val="bottom"/>
            <w:tcBorders>
              <w:bottom w:val="single" w:sz="8" w:color="auto"/>
            </w:tcBorders>
          </w:tcPr>
          <w:p>
            <w:pPr>
              <w:jc w:val="right"/>
              <w:ind w:right="28"/>
              <w:spacing w:after="0" w:line="155" w:lineRule="exact"/>
              <w:rPr>
                <w:sz w:val="20"/>
                <w:szCs w:val="20"/>
                <w:color w:val="auto"/>
              </w:rPr>
            </w:pPr>
            <w:r>
              <w:rPr>
                <w:rFonts w:ascii="Arial" w:cs="Arial" w:eastAsia="Arial" w:hAnsi="Arial"/>
                <w:sz w:val="14"/>
                <w:szCs w:val="14"/>
                <w:color w:val="auto"/>
              </w:rPr>
              <w:t>22,244</w:t>
            </w:r>
          </w:p>
        </w:tc>
      </w:tr>
      <w:tr>
        <w:trPr>
          <w:trHeight w:val="160"/>
        </w:trPr>
        <w:tc>
          <w:tcPr>
            <w:tcW w:w="4640" w:type="dxa"/>
            <w:vAlign w:val="bottom"/>
          </w:tcPr>
          <w:p>
            <w:pPr>
              <w:spacing w:after="0"/>
              <w:rPr>
                <w:sz w:val="20"/>
                <w:szCs w:val="20"/>
                <w:color w:val="auto"/>
              </w:rPr>
            </w:pPr>
            <w:r>
              <w:rPr>
                <w:rFonts w:ascii="Arial" w:cs="Arial" w:eastAsia="Arial" w:hAnsi="Arial"/>
                <w:sz w:val="14"/>
                <w:szCs w:val="14"/>
                <w:color w:val="auto"/>
              </w:rPr>
              <w:t>Net cash from operating activities</w:t>
            </w:r>
          </w:p>
        </w:tc>
        <w:tc>
          <w:tcPr>
            <w:tcW w:w="860" w:type="dxa"/>
            <w:vAlign w:val="bottom"/>
          </w:tcPr>
          <w:p>
            <w:pPr>
              <w:jc w:val="right"/>
              <w:ind w:right="268"/>
              <w:spacing w:after="0"/>
              <w:rPr>
                <w:sz w:val="20"/>
                <w:szCs w:val="20"/>
                <w:color w:val="auto"/>
              </w:rPr>
            </w:pPr>
            <w:r>
              <w:rPr>
                <w:rFonts w:ascii="Arial" w:cs="Arial" w:eastAsia="Arial" w:hAnsi="Arial"/>
                <w:sz w:val="14"/>
                <w:szCs w:val="14"/>
                <w:color w:val="auto"/>
              </w:rPr>
              <w:t>6,677</w:t>
            </w:r>
          </w:p>
        </w:tc>
        <w:tc>
          <w:tcPr>
            <w:tcW w:w="840" w:type="dxa"/>
            <w:vAlign w:val="bottom"/>
          </w:tcPr>
          <w:p>
            <w:pPr>
              <w:jc w:val="right"/>
              <w:ind w:right="148"/>
              <w:spacing w:after="0"/>
              <w:rPr>
                <w:sz w:val="20"/>
                <w:szCs w:val="20"/>
                <w:color w:val="auto"/>
              </w:rPr>
            </w:pPr>
            <w:r>
              <w:rPr>
                <w:rFonts w:ascii="Arial" w:cs="Arial" w:eastAsia="Arial" w:hAnsi="Arial"/>
                <w:sz w:val="14"/>
                <w:szCs w:val="14"/>
                <w:color w:val="auto"/>
              </w:rPr>
              <w:t>11,457</w:t>
            </w:r>
          </w:p>
        </w:tc>
        <w:tc>
          <w:tcPr>
            <w:tcW w:w="780" w:type="dxa"/>
            <w:vAlign w:val="bottom"/>
          </w:tcPr>
          <w:p>
            <w:pPr>
              <w:jc w:val="right"/>
              <w:ind w:right="68"/>
              <w:spacing w:after="0"/>
              <w:rPr>
                <w:sz w:val="20"/>
                <w:szCs w:val="20"/>
                <w:color w:val="auto"/>
              </w:rPr>
            </w:pPr>
            <w:r>
              <w:rPr>
                <w:rFonts w:ascii="Arial" w:cs="Arial" w:eastAsia="Arial" w:hAnsi="Arial"/>
                <w:sz w:val="14"/>
                <w:szCs w:val="14"/>
                <w:color w:val="auto"/>
              </w:rPr>
              <w:t>2,107</w:t>
            </w:r>
          </w:p>
        </w:tc>
        <w:tc>
          <w:tcPr>
            <w:tcW w:w="700" w:type="dxa"/>
            <w:vAlign w:val="bottom"/>
          </w:tcPr>
          <w:p>
            <w:pPr>
              <w:jc w:val="right"/>
              <w:ind w:right="48"/>
              <w:spacing w:after="0"/>
              <w:rPr>
                <w:sz w:val="20"/>
                <w:szCs w:val="20"/>
                <w:color w:val="auto"/>
              </w:rPr>
            </w:pPr>
            <w:r>
              <w:rPr>
                <w:rFonts w:ascii="Arial" w:cs="Arial" w:eastAsia="Arial" w:hAnsi="Arial"/>
                <w:sz w:val="14"/>
                <w:szCs w:val="14"/>
                <w:color w:val="auto"/>
              </w:rPr>
              <w:t>6,615</w:t>
            </w:r>
          </w:p>
        </w:tc>
        <w:tc>
          <w:tcPr>
            <w:tcW w:w="980" w:type="dxa"/>
            <w:vAlign w:val="bottom"/>
          </w:tcPr>
          <w:p>
            <w:pPr>
              <w:jc w:val="right"/>
              <w:ind w:right="149"/>
              <w:spacing w:after="0"/>
              <w:rPr>
                <w:sz w:val="20"/>
                <w:szCs w:val="20"/>
                <w:color w:val="auto"/>
              </w:rPr>
            </w:pPr>
            <w:r>
              <w:rPr>
                <w:rFonts w:ascii="Arial" w:cs="Arial" w:eastAsia="Arial" w:hAnsi="Arial"/>
                <w:sz w:val="14"/>
                <w:szCs w:val="14"/>
                <w:color w:val="auto"/>
              </w:rPr>
              <w:t>4,483</w:t>
            </w:r>
          </w:p>
        </w:tc>
        <w:tc>
          <w:tcPr>
            <w:tcW w:w="620" w:type="dxa"/>
            <w:vAlign w:val="bottom"/>
          </w:tcPr>
          <w:p>
            <w:pPr>
              <w:jc w:val="right"/>
              <w:ind w:right="28"/>
              <w:spacing w:after="0"/>
              <w:rPr>
                <w:sz w:val="20"/>
                <w:szCs w:val="20"/>
                <w:color w:val="auto"/>
              </w:rPr>
            </w:pPr>
            <w:r>
              <w:rPr>
                <w:rFonts w:ascii="Arial" w:cs="Arial" w:eastAsia="Arial" w:hAnsi="Arial"/>
                <w:sz w:val="14"/>
                <w:szCs w:val="14"/>
                <w:color w:val="auto"/>
              </w:rPr>
              <w:t>1,047</w:t>
            </w:r>
          </w:p>
        </w:tc>
        <w:tc>
          <w:tcPr>
            <w:tcW w:w="860" w:type="dxa"/>
            <w:vAlign w:val="bottom"/>
            <w:gridSpan w:val="2"/>
          </w:tcPr>
          <w:p>
            <w:pPr>
              <w:jc w:val="right"/>
              <w:ind w:right="120"/>
              <w:spacing w:after="0"/>
              <w:rPr>
                <w:sz w:val="20"/>
                <w:szCs w:val="20"/>
                <w:color w:val="auto"/>
              </w:rPr>
            </w:pPr>
            <w:r>
              <w:rPr>
                <w:rFonts w:ascii="Arial" w:cs="Arial" w:eastAsia="Arial" w:hAnsi="Arial"/>
                <w:sz w:val="14"/>
                <w:szCs w:val="14"/>
                <w:color w:val="auto"/>
              </w:rPr>
              <w:t>675</w:t>
            </w: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33,061</w:t>
            </w:r>
          </w:p>
        </w:tc>
      </w:tr>
      <w:tr>
        <w:trPr>
          <w:trHeight w:val="157"/>
        </w:trPr>
        <w:tc>
          <w:tcPr>
            <w:tcW w:w="4640" w:type="dxa"/>
            <w:vAlign w:val="bottom"/>
            <w:tcBorders>
              <w:bottom w:val="single" w:sz="8" w:color="auto"/>
            </w:tcBorders>
          </w:tcPr>
          <w:p>
            <w:pPr>
              <w:spacing w:after="0" w:line="157" w:lineRule="exact"/>
              <w:rPr>
                <w:sz w:val="20"/>
                <w:szCs w:val="20"/>
                <w:color w:val="auto"/>
              </w:rPr>
            </w:pPr>
            <w:r>
              <w:rPr>
                <w:rFonts w:ascii="Arial" w:cs="Arial" w:eastAsia="Arial" w:hAnsi="Arial"/>
                <w:sz w:val="14"/>
                <w:szCs w:val="14"/>
                <w:color w:val="auto"/>
              </w:rPr>
              <w:t>Less: working capital movements</w:t>
            </w:r>
          </w:p>
        </w:tc>
        <w:tc>
          <w:tcPr>
            <w:tcW w:w="860" w:type="dxa"/>
            <w:vAlign w:val="bottom"/>
            <w:tcBorders>
              <w:bottom w:val="single" w:sz="8" w:color="auto"/>
            </w:tcBorders>
          </w:tcPr>
          <w:p>
            <w:pPr>
              <w:jc w:val="right"/>
              <w:ind w:right="268"/>
              <w:spacing w:after="0" w:line="157" w:lineRule="exact"/>
              <w:rPr>
                <w:sz w:val="20"/>
                <w:szCs w:val="20"/>
                <w:color w:val="auto"/>
              </w:rPr>
            </w:pPr>
            <w:r>
              <w:rPr>
                <w:rFonts w:ascii="Arial" w:cs="Arial" w:eastAsia="Arial" w:hAnsi="Arial"/>
                <w:sz w:val="14"/>
                <w:szCs w:val="14"/>
                <w:color w:val="auto"/>
              </w:rPr>
              <w:t>18</w:t>
            </w:r>
          </w:p>
        </w:tc>
        <w:tc>
          <w:tcPr>
            <w:tcW w:w="840" w:type="dxa"/>
            <w:vAlign w:val="bottom"/>
            <w:tcBorders>
              <w:bottom w:val="single" w:sz="8" w:color="auto"/>
            </w:tcBorders>
          </w:tcPr>
          <w:p>
            <w:pPr>
              <w:jc w:val="right"/>
              <w:ind w:right="108"/>
              <w:spacing w:after="0" w:line="157" w:lineRule="exact"/>
              <w:rPr>
                <w:sz w:val="20"/>
                <w:szCs w:val="20"/>
                <w:color w:val="auto"/>
              </w:rPr>
            </w:pPr>
            <w:r>
              <w:rPr>
                <w:rFonts w:ascii="Arial" w:cs="Arial" w:eastAsia="Arial" w:hAnsi="Arial"/>
                <w:sz w:val="14"/>
                <w:szCs w:val="14"/>
                <w:color w:val="auto"/>
              </w:rPr>
              <w:t>(587)</w:t>
            </w:r>
          </w:p>
        </w:tc>
        <w:tc>
          <w:tcPr>
            <w:tcW w:w="780" w:type="dxa"/>
            <w:vAlign w:val="bottom"/>
            <w:tcBorders>
              <w:bottom w:val="single" w:sz="8" w:color="auto"/>
            </w:tcBorders>
          </w:tcPr>
          <w:p>
            <w:pPr>
              <w:jc w:val="right"/>
              <w:ind w:right="68"/>
              <w:spacing w:after="0" w:line="157" w:lineRule="exact"/>
              <w:rPr>
                <w:sz w:val="20"/>
                <w:szCs w:val="20"/>
                <w:color w:val="auto"/>
              </w:rPr>
            </w:pPr>
            <w:r>
              <w:rPr>
                <w:rFonts w:ascii="Arial" w:cs="Arial" w:eastAsia="Arial" w:hAnsi="Arial"/>
                <w:sz w:val="14"/>
                <w:szCs w:val="14"/>
                <w:color w:val="auto"/>
              </w:rPr>
              <w:t>469</w:t>
            </w:r>
          </w:p>
        </w:tc>
        <w:tc>
          <w:tcPr>
            <w:tcW w:w="700" w:type="dxa"/>
            <w:vAlign w:val="bottom"/>
            <w:tcBorders>
              <w:bottom w:val="single" w:sz="8" w:color="auto"/>
            </w:tcBorders>
          </w:tcPr>
          <w:p>
            <w:pPr>
              <w:jc w:val="right"/>
              <w:spacing w:after="0" w:line="157" w:lineRule="exact"/>
              <w:rPr>
                <w:sz w:val="20"/>
                <w:szCs w:val="20"/>
                <w:color w:val="auto"/>
              </w:rPr>
            </w:pPr>
            <w:r>
              <w:rPr>
                <w:rFonts w:ascii="Arial" w:cs="Arial" w:eastAsia="Arial" w:hAnsi="Arial"/>
                <w:sz w:val="14"/>
                <w:szCs w:val="14"/>
                <w:color w:val="auto"/>
              </w:rPr>
              <w:t>(410)</w:t>
            </w:r>
          </w:p>
        </w:tc>
        <w:tc>
          <w:tcPr>
            <w:tcW w:w="980" w:type="dxa"/>
            <w:vAlign w:val="bottom"/>
            <w:tcBorders>
              <w:bottom w:val="single" w:sz="8" w:color="auto"/>
            </w:tcBorders>
          </w:tcPr>
          <w:p>
            <w:pPr>
              <w:jc w:val="right"/>
              <w:ind w:right="149"/>
              <w:spacing w:after="0" w:line="157" w:lineRule="exact"/>
              <w:rPr>
                <w:sz w:val="20"/>
                <w:szCs w:val="20"/>
                <w:color w:val="auto"/>
              </w:rPr>
            </w:pPr>
            <w:r>
              <w:rPr>
                <w:rFonts w:ascii="Arial" w:cs="Arial" w:eastAsia="Arial" w:hAnsi="Arial"/>
                <w:sz w:val="14"/>
                <w:szCs w:val="14"/>
                <w:color w:val="auto"/>
              </w:rPr>
              <w:t>526</w:t>
            </w:r>
          </w:p>
        </w:tc>
        <w:tc>
          <w:tcPr>
            <w:tcW w:w="620" w:type="dxa"/>
            <w:vAlign w:val="bottom"/>
            <w:tcBorders>
              <w:bottom w:val="single" w:sz="8" w:color="auto"/>
            </w:tcBorders>
          </w:tcPr>
          <w:p>
            <w:pPr>
              <w:jc w:val="right"/>
              <w:spacing w:after="0" w:line="157" w:lineRule="exact"/>
              <w:rPr>
                <w:sz w:val="20"/>
                <w:szCs w:val="20"/>
                <w:color w:val="auto"/>
              </w:rPr>
            </w:pPr>
            <w:r>
              <w:rPr>
                <w:rFonts w:ascii="Arial" w:cs="Arial" w:eastAsia="Arial" w:hAnsi="Arial"/>
                <w:sz w:val="14"/>
                <w:szCs w:val="14"/>
                <w:color w:val="auto"/>
              </w:rPr>
              <w:t>(73)</w:t>
            </w:r>
          </w:p>
        </w:tc>
        <w:tc>
          <w:tcPr>
            <w:tcW w:w="860" w:type="dxa"/>
            <w:vAlign w:val="bottom"/>
            <w:tcBorders>
              <w:bottom w:val="single" w:sz="8" w:color="auto"/>
            </w:tcBorders>
            <w:gridSpan w:val="2"/>
          </w:tcPr>
          <w:p>
            <w:pPr>
              <w:jc w:val="right"/>
              <w:ind w:right="120"/>
              <w:spacing w:after="0" w:line="157" w:lineRule="exact"/>
              <w:rPr>
                <w:sz w:val="20"/>
                <w:szCs w:val="20"/>
                <w:color w:val="auto"/>
              </w:rPr>
            </w:pPr>
            <w:r>
              <w:rPr>
                <w:rFonts w:ascii="Arial" w:cs="Arial" w:eastAsia="Arial" w:hAnsi="Arial"/>
                <w:sz w:val="14"/>
                <w:szCs w:val="14"/>
                <w:color w:val="auto"/>
              </w:rPr>
              <w:t>167</w:t>
            </w:r>
          </w:p>
        </w:tc>
        <w:tc>
          <w:tcPr>
            <w:tcW w:w="1140" w:type="dxa"/>
            <w:vAlign w:val="bottom"/>
            <w:tcBorders>
              <w:bottom w:val="single" w:sz="8" w:color="auto"/>
            </w:tcBorders>
          </w:tcPr>
          <w:p>
            <w:pPr>
              <w:jc w:val="right"/>
              <w:ind w:right="28"/>
              <w:spacing w:after="0" w:line="157" w:lineRule="exact"/>
              <w:rPr>
                <w:sz w:val="20"/>
                <w:szCs w:val="20"/>
                <w:color w:val="auto"/>
              </w:rPr>
            </w:pPr>
            <w:r>
              <w:rPr>
                <w:rFonts w:ascii="Arial" w:cs="Arial" w:eastAsia="Arial" w:hAnsi="Arial"/>
                <w:sz w:val="14"/>
                <w:szCs w:val="14"/>
                <w:color w:val="auto"/>
              </w:rPr>
              <w:t>110</w:t>
            </w:r>
          </w:p>
        </w:tc>
      </w:tr>
      <w:tr>
        <w:trPr>
          <w:trHeight w:val="156"/>
        </w:trPr>
        <w:tc>
          <w:tcPr>
            <w:tcW w:w="4640" w:type="dxa"/>
            <w:vAlign w:val="bottom"/>
            <w:tcBorders>
              <w:bottom w:val="single" w:sz="8" w:color="auto"/>
            </w:tcBorders>
          </w:tcPr>
          <w:p>
            <w:pPr>
              <w:spacing w:after="0" w:line="155" w:lineRule="exact"/>
              <w:rPr>
                <w:sz w:val="20"/>
                <w:szCs w:val="20"/>
                <w:color w:val="auto"/>
              </w:rPr>
            </w:pPr>
            <w:r>
              <w:rPr>
                <w:rFonts w:ascii="Arial" w:cs="Arial" w:eastAsia="Arial" w:hAnsi="Arial"/>
                <w:sz w:val="14"/>
                <w:szCs w:val="14"/>
                <w:color w:val="auto"/>
              </w:rPr>
              <w:t>Net cash from operating activities excluding working capital movements</w:t>
            </w:r>
          </w:p>
        </w:tc>
        <w:tc>
          <w:tcPr>
            <w:tcW w:w="860" w:type="dxa"/>
            <w:vAlign w:val="bottom"/>
            <w:tcBorders>
              <w:bottom w:val="single" w:sz="8" w:color="auto"/>
            </w:tcBorders>
          </w:tcPr>
          <w:p>
            <w:pPr>
              <w:jc w:val="right"/>
              <w:ind w:right="268"/>
              <w:spacing w:after="0" w:line="155" w:lineRule="exact"/>
              <w:rPr>
                <w:sz w:val="20"/>
                <w:szCs w:val="20"/>
                <w:color w:val="auto"/>
              </w:rPr>
            </w:pPr>
            <w:r>
              <w:rPr>
                <w:rFonts w:ascii="Arial" w:cs="Arial" w:eastAsia="Arial" w:hAnsi="Arial"/>
                <w:sz w:val="14"/>
                <w:szCs w:val="14"/>
                <w:color w:val="auto"/>
              </w:rPr>
              <w:t>6,659</w:t>
            </w:r>
          </w:p>
        </w:tc>
        <w:tc>
          <w:tcPr>
            <w:tcW w:w="840" w:type="dxa"/>
            <w:vAlign w:val="bottom"/>
            <w:tcBorders>
              <w:bottom w:val="single" w:sz="8" w:color="auto"/>
            </w:tcBorders>
          </w:tcPr>
          <w:p>
            <w:pPr>
              <w:jc w:val="right"/>
              <w:ind w:right="148"/>
              <w:spacing w:after="0" w:line="155" w:lineRule="exact"/>
              <w:rPr>
                <w:sz w:val="20"/>
                <w:szCs w:val="20"/>
                <w:color w:val="auto"/>
              </w:rPr>
            </w:pPr>
            <w:r>
              <w:rPr>
                <w:rFonts w:ascii="Arial" w:cs="Arial" w:eastAsia="Arial" w:hAnsi="Arial"/>
                <w:sz w:val="14"/>
                <w:szCs w:val="14"/>
                <w:color w:val="auto"/>
              </w:rPr>
              <w:t>12,044</w:t>
            </w:r>
          </w:p>
        </w:tc>
        <w:tc>
          <w:tcPr>
            <w:tcW w:w="780" w:type="dxa"/>
            <w:vAlign w:val="bottom"/>
            <w:tcBorders>
              <w:bottom w:val="single" w:sz="8" w:color="auto"/>
            </w:tcBorders>
          </w:tcPr>
          <w:p>
            <w:pPr>
              <w:jc w:val="right"/>
              <w:ind w:right="68"/>
              <w:spacing w:after="0" w:line="155" w:lineRule="exact"/>
              <w:rPr>
                <w:sz w:val="20"/>
                <w:szCs w:val="20"/>
                <w:color w:val="auto"/>
              </w:rPr>
            </w:pPr>
            <w:r>
              <w:rPr>
                <w:rFonts w:ascii="Arial" w:cs="Arial" w:eastAsia="Arial" w:hAnsi="Arial"/>
                <w:sz w:val="14"/>
                <w:szCs w:val="14"/>
                <w:color w:val="auto"/>
              </w:rPr>
              <w:t>1,638</w:t>
            </w:r>
          </w:p>
        </w:tc>
        <w:tc>
          <w:tcPr>
            <w:tcW w:w="700" w:type="dxa"/>
            <w:vAlign w:val="bottom"/>
            <w:tcBorders>
              <w:bottom w:val="single" w:sz="8" w:color="auto"/>
            </w:tcBorders>
          </w:tcPr>
          <w:p>
            <w:pPr>
              <w:jc w:val="right"/>
              <w:ind w:right="48"/>
              <w:spacing w:after="0" w:line="155" w:lineRule="exact"/>
              <w:rPr>
                <w:sz w:val="20"/>
                <w:szCs w:val="20"/>
                <w:color w:val="auto"/>
              </w:rPr>
            </w:pPr>
            <w:r>
              <w:rPr>
                <w:rFonts w:ascii="Arial" w:cs="Arial" w:eastAsia="Arial" w:hAnsi="Arial"/>
                <w:sz w:val="14"/>
                <w:szCs w:val="14"/>
                <w:color w:val="auto"/>
              </w:rPr>
              <w:t>7,025</w:t>
            </w:r>
          </w:p>
        </w:tc>
        <w:tc>
          <w:tcPr>
            <w:tcW w:w="980" w:type="dxa"/>
            <w:vAlign w:val="bottom"/>
            <w:tcBorders>
              <w:bottom w:val="single" w:sz="8" w:color="auto"/>
            </w:tcBorders>
          </w:tcPr>
          <w:p>
            <w:pPr>
              <w:jc w:val="right"/>
              <w:ind w:right="149"/>
              <w:spacing w:after="0" w:line="155" w:lineRule="exact"/>
              <w:rPr>
                <w:sz w:val="20"/>
                <w:szCs w:val="20"/>
                <w:color w:val="auto"/>
              </w:rPr>
            </w:pPr>
            <w:r>
              <w:rPr>
                <w:rFonts w:ascii="Arial" w:cs="Arial" w:eastAsia="Arial" w:hAnsi="Arial"/>
                <w:sz w:val="14"/>
                <w:szCs w:val="14"/>
                <w:color w:val="auto"/>
              </w:rPr>
              <w:t>3,957</w:t>
            </w:r>
          </w:p>
        </w:tc>
        <w:tc>
          <w:tcPr>
            <w:tcW w:w="620" w:type="dxa"/>
            <w:vAlign w:val="bottom"/>
            <w:tcBorders>
              <w:bottom w:val="single" w:sz="8" w:color="auto"/>
            </w:tcBorders>
          </w:tcPr>
          <w:p>
            <w:pPr>
              <w:jc w:val="right"/>
              <w:ind w:right="28"/>
              <w:spacing w:after="0" w:line="155" w:lineRule="exact"/>
              <w:rPr>
                <w:sz w:val="20"/>
                <w:szCs w:val="20"/>
                <w:color w:val="auto"/>
              </w:rPr>
            </w:pPr>
            <w:r>
              <w:rPr>
                <w:rFonts w:ascii="Arial" w:cs="Arial" w:eastAsia="Arial" w:hAnsi="Arial"/>
                <w:sz w:val="14"/>
                <w:szCs w:val="14"/>
                <w:color w:val="auto"/>
              </w:rPr>
              <w:t>1,120</w:t>
            </w:r>
          </w:p>
        </w:tc>
        <w:tc>
          <w:tcPr>
            <w:tcW w:w="860" w:type="dxa"/>
            <w:vAlign w:val="bottom"/>
            <w:tcBorders>
              <w:bottom w:val="single" w:sz="8" w:color="auto"/>
            </w:tcBorders>
            <w:gridSpan w:val="2"/>
          </w:tcPr>
          <w:p>
            <w:pPr>
              <w:jc w:val="right"/>
              <w:ind w:right="120"/>
              <w:spacing w:after="0" w:line="155" w:lineRule="exact"/>
              <w:rPr>
                <w:sz w:val="20"/>
                <w:szCs w:val="20"/>
                <w:color w:val="auto"/>
              </w:rPr>
            </w:pPr>
            <w:r>
              <w:rPr>
                <w:rFonts w:ascii="Arial" w:cs="Arial" w:eastAsia="Arial" w:hAnsi="Arial"/>
                <w:sz w:val="14"/>
                <w:szCs w:val="14"/>
                <w:color w:val="auto"/>
              </w:rPr>
              <w:t>508</w:t>
            </w:r>
          </w:p>
        </w:tc>
        <w:tc>
          <w:tcPr>
            <w:tcW w:w="1140" w:type="dxa"/>
            <w:vAlign w:val="bottom"/>
            <w:tcBorders>
              <w:bottom w:val="single" w:sz="8" w:color="auto"/>
            </w:tcBorders>
          </w:tcPr>
          <w:p>
            <w:pPr>
              <w:jc w:val="right"/>
              <w:ind w:right="28"/>
              <w:spacing w:after="0" w:line="155" w:lineRule="exact"/>
              <w:rPr>
                <w:sz w:val="20"/>
                <w:szCs w:val="20"/>
                <w:color w:val="auto"/>
              </w:rPr>
            </w:pPr>
            <w:r>
              <w:rPr>
                <w:rFonts w:ascii="Arial" w:cs="Arial" w:eastAsia="Arial" w:hAnsi="Arial"/>
                <w:sz w:val="14"/>
                <w:szCs w:val="14"/>
                <w:color w:val="auto"/>
              </w:rPr>
              <w:t>32,951</w:t>
            </w:r>
          </w:p>
        </w:tc>
      </w:tr>
    </w:tbl>
    <w:p>
      <w:pPr>
        <w:spacing w:after="0" w:line="37" w:lineRule="exact"/>
        <w:rPr>
          <w:sz w:val="20"/>
          <w:szCs w:val="20"/>
          <w:color w:val="auto"/>
        </w:rPr>
      </w:pPr>
    </w:p>
    <w:p>
      <w:pPr>
        <w:spacing w:after="0"/>
        <w:rPr>
          <w:sz w:val="20"/>
          <w:szCs w:val="20"/>
          <w:color w:val="auto"/>
        </w:rPr>
      </w:pPr>
      <w:r>
        <w:rPr>
          <w:rFonts w:ascii="Arial" w:cs="Arial" w:eastAsia="Arial" w:hAnsi="Arial"/>
          <w:sz w:val="11"/>
          <w:szCs w:val="11"/>
          <w:color w:val="auto"/>
        </w:rPr>
        <w:t>[A] Includes Greenland.</w:t>
      </w:r>
    </w:p>
    <w:p>
      <w:pPr>
        <w:sectPr>
          <w:pgSz w:w="11900" w:h="16838" w:orient="portrait"/>
          <w:cols w:equalWidth="0" w:num="1">
            <w:col w:w="11420"/>
          </w:cols>
          <w:pgMar w:left="240" w:top="459" w:right="2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399415</wp:posOffset>
            </wp:positionH>
            <wp:positionV relativeFrom="paragraph">
              <wp:posOffset>300355</wp:posOffset>
            </wp:positionV>
            <wp:extent cx="8890" cy="46291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8890" cy="462915"/>
                    </a:xfrm>
                    <a:prstGeom prst="rect">
                      <a:avLst/>
                    </a:prstGeom>
                    <a:noFill/>
                  </pic:spPr>
                </pic:pic>
              </a:graphicData>
            </a:graphic>
          </wp:anchor>
        </w:drawing>
      </w:r>
    </w:p>
    <w:p>
      <w:pPr>
        <w:spacing w:after="0" w:line="200" w:lineRule="exact"/>
        <w:rPr>
          <w:sz w:val="20"/>
          <w:szCs w:val="20"/>
          <w:color w:val="auto"/>
        </w:rPr>
      </w:pP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565"/>
        </w:trPr>
        <w:tc>
          <w:tcPr>
            <w:tcW w:w="3340" w:type="dxa"/>
            <w:vAlign w:val="bottom"/>
            <w:shd w:val="clear" w:color="auto" w:fill="FF8B00"/>
          </w:tcPr>
          <w:p>
            <w:pPr>
              <w:ind w:left="260"/>
              <w:spacing w:after="0"/>
              <w:rPr>
                <w:sz w:val="20"/>
                <w:szCs w:val="20"/>
                <w:color w:val="auto"/>
              </w:rPr>
            </w:pPr>
            <w:r>
              <w:rPr>
                <w:rFonts w:ascii="Arial" w:cs="Arial" w:eastAsia="Arial" w:hAnsi="Arial"/>
                <w:sz w:val="11"/>
                <w:szCs w:val="11"/>
                <w:b w:val="1"/>
                <w:bCs w:val="1"/>
                <w:color w:val="333333"/>
              </w:rPr>
              <w:t>40</w:t>
            </w:r>
          </w:p>
        </w:tc>
        <w:tc>
          <w:tcPr>
            <w:tcW w:w="2160" w:type="dxa"/>
            <w:vAlign w:val="bottom"/>
            <w:gridSpan w:val="2"/>
            <w:shd w:val="clear" w:color="auto" w:fill="FF8B00"/>
          </w:tcPr>
          <w:p>
            <w:pPr>
              <w:jc w:val="right"/>
              <w:ind w:right="780"/>
              <w:spacing w:after="0"/>
              <w:rPr>
                <w:sz w:val="20"/>
                <w:szCs w:val="20"/>
                <w:color w:val="auto"/>
              </w:rPr>
            </w:pPr>
            <w:r>
              <w:rPr>
                <w:rFonts w:ascii="Arial" w:cs="Arial" w:eastAsia="Arial" w:hAnsi="Arial"/>
                <w:sz w:val="13"/>
                <w:szCs w:val="13"/>
                <w:color w:val="333333"/>
              </w:rPr>
              <w:t>STRATEGIC REPORT</w:t>
            </w:r>
          </w:p>
        </w:tc>
        <w:tc>
          <w:tcPr>
            <w:tcW w:w="14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5"/>
        </w:trPr>
        <w:tc>
          <w:tcPr>
            <w:tcW w:w="3340" w:type="dxa"/>
            <w:vAlign w:val="bottom"/>
            <w:shd w:val="clear" w:color="auto" w:fill="FF8B00"/>
          </w:tcPr>
          <w:p>
            <w:pPr>
              <w:spacing w:after="0"/>
              <w:rPr>
                <w:sz w:val="14"/>
                <w:szCs w:val="14"/>
                <w:color w:val="auto"/>
              </w:rPr>
            </w:pPr>
          </w:p>
        </w:tc>
        <w:tc>
          <w:tcPr>
            <w:tcW w:w="1960" w:type="dxa"/>
            <w:vAlign w:val="bottom"/>
            <w:shd w:val="clear" w:color="auto" w:fill="FF8B00"/>
          </w:tcPr>
          <w:p>
            <w:pPr>
              <w:spacing w:after="0"/>
              <w:rPr>
                <w:sz w:val="14"/>
                <w:szCs w:val="14"/>
                <w:color w:val="auto"/>
              </w:rPr>
            </w:pPr>
          </w:p>
        </w:tc>
        <w:tc>
          <w:tcPr>
            <w:tcW w:w="200" w:type="dxa"/>
            <w:vAlign w:val="bottom"/>
            <w:shd w:val="clear" w:color="auto" w:fill="FF8B00"/>
          </w:tcPr>
          <w:p>
            <w:pPr>
              <w:spacing w:after="0"/>
              <w:rPr>
                <w:sz w:val="14"/>
                <w:szCs w:val="14"/>
                <w:color w:val="auto"/>
              </w:rPr>
            </w:pPr>
          </w:p>
        </w:tc>
        <w:tc>
          <w:tcPr>
            <w:tcW w:w="14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3000" w:type="dxa"/>
            <w:vAlign w:val="bottom"/>
            <w:gridSpan w:val="3"/>
            <w:vMerge w:val="restart"/>
          </w:tcPr>
          <w:p>
            <w:pPr>
              <w:ind w:left="580"/>
              <w:spacing w:after="0"/>
              <w:rPr>
                <w:sz w:val="20"/>
                <w:szCs w:val="20"/>
                <w:color w:val="auto"/>
              </w:rPr>
            </w:pPr>
            <w:r>
              <w:rPr>
                <w:rFonts w:ascii="Arial" w:cs="Arial" w:eastAsia="Arial" w:hAnsi="Arial"/>
                <w:sz w:val="11"/>
                <w:szCs w:val="11"/>
                <w:color w:val="auto"/>
                <w:w w:val="97"/>
              </w:rPr>
              <w:t>SHELL ANNUAL REPORT AND FORM 20-F 2014</w:t>
            </w:r>
          </w:p>
        </w:tc>
        <w:tc>
          <w:tcPr>
            <w:tcW w:w="0" w:type="dxa"/>
            <w:vAlign w:val="bottom"/>
          </w:tcPr>
          <w:p>
            <w:pPr>
              <w:spacing w:after="0"/>
              <w:rPr>
                <w:sz w:val="1"/>
                <w:szCs w:val="1"/>
                <w:color w:val="auto"/>
              </w:rPr>
            </w:pPr>
          </w:p>
        </w:tc>
      </w:tr>
      <w:tr>
        <w:trPr>
          <w:trHeight w:val="128"/>
        </w:trPr>
        <w:tc>
          <w:tcPr>
            <w:tcW w:w="3340" w:type="dxa"/>
            <w:vAlign w:val="bottom"/>
          </w:tcPr>
          <w:p>
            <w:pPr>
              <w:spacing w:after="0"/>
              <w:rPr>
                <w:sz w:val="11"/>
                <w:szCs w:val="11"/>
                <w:color w:val="auto"/>
              </w:rPr>
            </w:pPr>
          </w:p>
        </w:tc>
        <w:tc>
          <w:tcPr>
            <w:tcW w:w="2160" w:type="dxa"/>
            <w:vAlign w:val="bottom"/>
            <w:gridSpan w:val="2"/>
          </w:tcPr>
          <w:p>
            <w:pPr>
              <w:jc w:val="right"/>
              <w:ind w:right="780"/>
              <w:spacing w:after="0"/>
              <w:rPr>
                <w:sz w:val="20"/>
                <w:szCs w:val="20"/>
                <w:color w:val="auto"/>
              </w:rPr>
            </w:pPr>
            <w:r>
              <w:rPr>
                <w:rFonts w:ascii="Arial" w:cs="Arial" w:eastAsia="Arial" w:hAnsi="Arial"/>
                <w:sz w:val="11"/>
                <w:szCs w:val="11"/>
                <w:color w:val="auto"/>
              </w:rPr>
              <w:t>DOWNSTREAM</w:t>
            </w:r>
          </w:p>
        </w:tc>
        <w:tc>
          <w:tcPr>
            <w:tcW w:w="146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3000" w:type="dxa"/>
            <w:vAlign w:val="bottom"/>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358"/>
        </w:trPr>
        <w:tc>
          <w:tcPr>
            <w:tcW w:w="3340" w:type="dxa"/>
            <w:vAlign w:val="bottom"/>
            <w:tcBorders>
              <w:bottom w:val="single" w:sz="8" w:color="auto"/>
            </w:tcBorders>
          </w:tcPr>
          <w:p>
            <w:pPr>
              <w:spacing w:after="0"/>
              <w:rPr>
                <w:sz w:val="20"/>
                <w:szCs w:val="20"/>
                <w:color w:val="auto"/>
              </w:rPr>
            </w:pPr>
            <w:r>
              <w:rPr>
                <w:rFonts w:ascii="Arial" w:cs="Arial" w:eastAsia="Arial" w:hAnsi="Arial"/>
                <w:sz w:val="31"/>
                <w:szCs w:val="31"/>
                <w:color w:val="auto"/>
              </w:rPr>
              <w:t>DOWNSTREAM</w:t>
            </w:r>
          </w:p>
        </w:tc>
        <w:tc>
          <w:tcPr>
            <w:tcW w:w="1960" w:type="dxa"/>
            <w:vAlign w:val="bottom"/>
            <w:tcBorders>
              <w:bottom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334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3340" w:type="dxa"/>
            <w:vAlign w:val="bottom"/>
            <w:shd w:val="clear" w:color="auto" w:fill="333333"/>
          </w:tcPr>
          <w:p>
            <w:pPr>
              <w:ind w:left="80"/>
              <w:spacing w:after="0" w:line="162" w:lineRule="exact"/>
              <w:rPr>
                <w:sz w:val="20"/>
                <w:szCs w:val="20"/>
                <w:color w:val="auto"/>
              </w:rPr>
            </w:pPr>
            <w:r>
              <w:rPr>
                <w:rFonts w:ascii="Arial" w:cs="Arial" w:eastAsia="Arial" w:hAnsi="Arial"/>
                <w:sz w:val="15"/>
                <w:szCs w:val="15"/>
                <w:b w:val="1"/>
                <w:bCs w:val="1"/>
                <w:color w:val="FFFFFF"/>
              </w:rPr>
              <w:t>KEY STATISTICS</w:t>
            </w:r>
          </w:p>
        </w:tc>
        <w:tc>
          <w:tcPr>
            <w:tcW w:w="1960" w:type="dxa"/>
            <w:vAlign w:val="bottom"/>
            <w:shd w:val="clear" w:color="auto" w:fill="333333"/>
          </w:tcPr>
          <w:p>
            <w:pPr>
              <w:spacing w:after="0"/>
              <w:rPr>
                <w:sz w:val="14"/>
                <w:szCs w:val="14"/>
                <w:color w:val="auto"/>
              </w:rPr>
            </w:pPr>
          </w:p>
        </w:tc>
        <w:tc>
          <w:tcPr>
            <w:tcW w:w="200" w:type="dxa"/>
            <w:vAlign w:val="bottom"/>
            <w:shd w:val="clear" w:color="auto" w:fill="333333"/>
          </w:tcPr>
          <w:p>
            <w:pPr>
              <w:spacing w:after="0"/>
              <w:rPr>
                <w:sz w:val="14"/>
                <w:szCs w:val="14"/>
                <w:color w:val="auto"/>
              </w:rPr>
            </w:pPr>
          </w:p>
        </w:tc>
        <w:tc>
          <w:tcPr>
            <w:tcW w:w="1460" w:type="dxa"/>
            <w:vAlign w:val="bottom"/>
            <w:shd w:val="clear" w:color="auto" w:fill="333333"/>
          </w:tcPr>
          <w:p>
            <w:pPr>
              <w:spacing w:after="0"/>
              <w:rPr>
                <w:sz w:val="14"/>
                <w:szCs w:val="14"/>
                <w:color w:val="auto"/>
              </w:rPr>
            </w:pPr>
          </w:p>
        </w:tc>
        <w:tc>
          <w:tcPr>
            <w:tcW w:w="1480" w:type="dxa"/>
            <w:vAlign w:val="bottom"/>
            <w:shd w:val="clear" w:color="auto" w:fill="333333"/>
          </w:tcPr>
          <w:p>
            <w:pPr>
              <w:spacing w:after="0"/>
              <w:rPr>
                <w:sz w:val="14"/>
                <w:szCs w:val="14"/>
                <w:color w:val="auto"/>
              </w:rPr>
            </w:pPr>
          </w:p>
        </w:tc>
        <w:tc>
          <w:tcPr>
            <w:tcW w:w="1760" w:type="dxa"/>
            <w:vAlign w:val="bottom"/>
            <w:shd w:val="clear" w:color="auto" w:fill="333333"/>
          </w:tcPr>
          <w:p>
            <w:pPr>
              <w:spacing w:after="0"/>
              <w:rPr>
                <w:sz w:val="14"/>
                <w:szCs w:val="14"/>
                <w:color w:val="auto"/>
              </w:rPr>
            </w:pPr>
          </w:p>
        </w:tc>
        <w:tc>
          <w:tcPr>
            <w:tcW w:w="1220" w:type="dxa"/>
            <w:vAlign w:val="bottom"/>
            <w:shd w:val="clear" w:color="auto" w:fill="333333"/>
          </w:tcPr>
          <w:p>
            <w:pPr>
              <w:jc w:val="right"/>
              <w:ind w:right="28"/>
              <w:spacing w:after="0" w:line="162" w:lineRule="exact"/>
              <w:rPr>
                <w:sz w:val="20"/>
                <w:szCs w:val="20"/>
                <w:color w:val="auto"/>
              </w:rPr>
            </w:pPr>
            <w:r>
              <w:rPr>
                <w:rFonts w:ascii="Arial" w:cs="Arial" w:eastAsia="Arial" w:hAnsi="Arial"/>
                <w:sz w:val="15"/>
                <w:szCs w:val="15"/>
                <w:color w:val="FFFFFF"/>
              </w:rPr>
              <w:t>$ MILLION</w:t>
            </w: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340" w:type="dxa"/>
            <w:vAlign w:val="bottom"/>
            <w:tcBorders>
              <w:bottom w:val="single" w:sz="8" w:color="auto"/>
            </w:tcBorders>
          </w:tcPr>
          <w:p>
            <w:pPr>
              <w:spacing w:after="0"/>
              <w:rPr>
                <w:sz w:val="12"/>
                <w:szCs w:val="12"/>
                <w:color w:val="auto"/>
              </w:rPr>
            </w:pPr>
          </w:p>
        </w:tc>
        <w:tc>
          <w:tcPr>
            <w:tcW w:w="196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460" w:type="dxa"/>
            <w:vAlign w:val="bottom"/>
            <w:tcBorders>
              <w:bottom w:val="single" w:sz="8" w:color="auto"/>
            </w:tcBorders>
          </w:tcPr>
          <w:p>
            <w:pPr>
              <w:spacing w:after="0"/>
              <w:rPr>
                <w:sz w:val="12"/>
                <w:szCs w:val="12"/>
                <w:color w:val="auto"/>
              </w:rPr>
            </w:pPr>
          </w:p>
        </w:tc>
        <w:tc>
          <w:tcPr>
            <w:tcW w:w="1480" w:type="dxa"/>
            <w:vAlign w:val="bottom"/>
            <w:tcBorders>
              <w:bottom w:val="single" w:sz="8" w:color="auto"/>
            </w:tcBorders>
            <w:shd w:val="clear" w:color="auto" w:fill="D8D8D8"/>
          </w:tcPr>
          <w:p>
            <w:pPr>
              <w:jc w:val="right"/>
              <w:ind w:right="49"/>
              <w:spacing w:after="0"/>
              <w:rPr>
                <w:sz w:val="20"/>
                <w:szCs w:val="20"/>
                <w:color w:val="auto"/>
              </w:rPr>
            </w:pPr>
            <w:r>
              <w:rPr>
                <w:rFonts w:ascii="Arial" w:cs="Arial" w:eastAsia="Arial" w:hAnsi="Arial"/>
                <w:sz w:val="13"/>
                <w:szCs w:val="13"/>
                <w:color w:val="auto"/>
              </w:rPr>
              <w:t>2014</w:t>
            </w:r>
          </w:p>
        </w:tc>
        <w:tc>
          <w:tcPr>
            <w:tcW w:w="1760" w:type="dxa"/>
            <w:vAlign w:val="bottom"/>
            <w:tcBorders>
              <w:bottom w:val="single" w:sz="8" w:color="auto"/>
            </w:tcBorders>
          </w:tcPr>
          <w:p>
            <w:pPr>
              <w:jc w:val="right"/>
              <w:ind w:right="310"/>
              <w:spacing w:after="0"/>
              <w:rPr>
                <w:sz w:val="20"/>
                <w:szCs w:val="20"/>
                <w:color w:val="auto"/>
              </w:rPr>
            </w:pPr>
            <w:r>
              <w:rPr>
                <w:rFonts w:ascii="Arial" w:cs="Arial" w:eastAsia="Arial" w:hAnsi="Arial"/>
                <w:sz w:val="13"/>
                <w:szCs w:val="13"/>
                <w:color w:val="auto"/>
              </w:rPr>
              <w:t>2013</w:t>
            </w:r>
          </w:p>
        </w:tc>
        <w:tc>
          <w:tcPr>
            <w:tcW w:w="1220" w:type="dxa"/>
            <w:vAlign w:val="bottom"/>
            <w:tcBorders>
              <w:bottom w:val="single" w:sz="8" w:color="auto"/>
            </w:tcBorders>
          </w:tcPr>
          <w:p>
            <w:pPr>
              <w:jc w:val="right"/>
              <w:ind w:right="28"/>
              <w:spacing w:after="0"/>
              <w:rPr>
                <w:sz w:val="20"/>
                <w:szCs w:val="20"/>
                <w:color w:val="auto"/>
              </w:rPr>
            </w:pPr>
            <w:r>
              <w:rPr>
                <w:rFonts w:ascii="Arial" w:cs="Arial" w:eastAsia="Arial" w:hAnsi="Arial"/>
                <w:sz w:val="13"/>
                <w:szCs w:val="13"/>
                <w:color w:val="auto"/>
              </w:rPr>
              <w:t>2012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3340" w:type="dxa"/>
            <w:vAlign w:val="bottom"/>
          </w:tcPr>
          <w:p>
            <w:pPr>
              <w:spacing w:after="0" w:line="155" w:lineRule="exact"/>
              <w:rPr>
                <w:sz w:val="20"/>
                <w:szCs w:val="20"/>
                <w:color w:val="auto"/>
              </w:rPr>
            </w:pPr>
            <w:r>
              <w:rPr>
                <w:rFonts w:ascii="Arial" w:cs="Arial" w:eastAsia="Arial" w:hAnsi="Arial"/>
                <w:sz w:val="14"/>
                <w:szCs w:val="14"/>
                <w:color w:val="auto"/>
              </w:rPr>
              <w:t>Segment earnings [A]</w:t>
            </w:r>
          </w:p>
        </w:tc>
        <w:tc>
          <w:tcPr>
            <w:tcW w:w="19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480" w:type="dxa"/>
            <w:vAlign w:val="bottom"/>
            <w:shd w:val="clear" w:color="auto" w:fill="D8D8D8"/>
          </w:tcPr>
          <w:p>
            <w:pPr>
              <w:jc w:val="right"/>
              <w:ind w:right="49"/>
              <w:spacing w:after="0" w:line="155" w:lineRule="exact"/>
              <w:rPr>
                <w:sz w:val="20"/>
                <w:szCs w:val="20"/>
                <w:color w:val="auto"/>
              </w:rPr>
            </w:pPr>
            <w:r>
              <w:rPr>
                <w:rFonts w:ascii="Arial" w:cs="Arial" w:eastAsia="Arial" w:hAnsi="Arial"/>
                <w:sz w:val="14"/>
                <w:szCs w:val="14"/>
                <w:color w:val="auto"/>
              </w:rPr>
              <w:t>3,411</w:t>
            </w:r>
          </w:p>
        </w:tc>
        <w:tc>
          <w:tcPr>
            <w:tcW w:w="1760" w:type="dxa"/>
            <w:vAlign w:val="bottom"/>
          </w:tcPr>
          <w:p>
            <w:pPr>
              <w:jc w:val="right"/>
              <w:ind w:right="310"/>
              <w:spacing w:after="0" w:line="155" w:lineRule="exact"/>
              <w:rPr>
                <w:sz w:val="20"/>
                <w:szCs w:val="20"/>
                <w:color w:val="auto"/>
              </w:rPr>
            </w:pPr>
            <w:r>
              <w:rPr>
                <w:rFonts w:ascii="Arial" w:cs="Arial" w:eastAsia="Arial" w:hAnsi="Arial"/>
                <w:sz w:val="14"/>
                <w:szCs w:val="14"/>
                <w:color w:val="auto"/>
              </w:rPr>
              <w:t>3,869</w:t>
            </w:r>
          </w:p>
        </w:tc>
        <w:tc>
          <w:tcPr>
            <w:tcW w:w="1220" w:type="dxa"/>
            <w:vAlign w:val="bottom"/>
          </w:tcPr>
          <w:p>
            <w:pPr>
              <w:jc w:val="right"/>
              <w:ind w:right="28"/>
              <w:spacing w:after="0" w:line="155" w:lineRule="exact"/>
              <w:rPr>
                <w:sz w:val="20"/>
                <w:szCs w:val="20"/>
                <w:color w:val="auto"/>
              </w:rPr>
            </w:pPr>
            <w:r>
              <w:rPr>
                <w:rFonts w:ascii="Arial" w:cs="Arial" w:eastAsia="Arial" w:hAnsi="Arial"/>
                <w:sz w:val="14"/>
                <w:szCs w:val="14"/>
                <w:color w:val="auto"/>
              </w:rPr>
              <w:t>5,382</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340" w:type="dxa"/>
            <w:vAlign w:val="bottom"/>
          </w:tcPr>
          <w:p>
            <w:pPr>
              <w:spacing w:after="0"/>
              <w:rPr>
                <w:sz w:val="20"/>
                <w:szCs w:val="20"/>
                <w:color w:val="auto"/>
              </w:rPr>
            </w:pPr>
            <w:r>
              <w:rPr>
                <w:rFonts w:ascii="Arial" w:cs="Arial" w:eastAsia="Arial" w:hAnsi="Arial"/>
                <w:sz w:val="14"/>
                <w:szCs w:val="14"/>
                <w:color w:val="auto"/>
              </w:rPr>
              <w:t>Including:</w:t>
            </w:r>
          </w:p>
        </w:tc>
        <w:tc>
          <w:tcPr>
            <w:tcW w:w="19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480" w:type="dxa"/>
            <w:vAlign w:val="bottom"/>
            <w:shd w:val="clear" w:color="auto" w:fill="D8D8D8"/>
          </w:tcPr>
          <w:p>
            <w:pPr>
              <w:spacing w:after="0"/>
              <w:rPr>
                <w:sz w:val="14"/>
                <w:szCs w:val="14"/>
                <w:color w:val="auto"/>
              </w:rPr>
            </w:pPr>
          </w:p>
        </w:tc>
        <w:tc>
          <w:tcPr>
            <w:tcW w:w="17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3340" w:type="dxa"/>
            <w:vAlign w:val="bottom"/>
          </w:tcPr>
          <w:p>
            <w:pPr>
              <w:ind w:left="140"/>
              <w:spacing w:after="0"/>
              <w:rPr>
                <w:sz w:val="20"/>
                <w:szCs w:val="20"/>
                <w:color w:val="auto"/>
              </w:rPr>
            </w:pPr>
            <w:r>
              <w:rPr>
                <w:rFonts w:ascii="Arial" w:cs="Arial" w:eastAsia="Arial" w:hAnsi="Arial"/>
                <w:sz w:val="14"/>
                <w:szCs w:val="14"/>
                <w:color w:val="auto"/>
              </w:rPr>
              <w:t>Revenue (including inter-segment sales)</w:t>
            </w:r>
          </w:p>
        </w:tc>
        <w:tc>
          <w:tcPr>
            <w:tcW w:w="19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480" w:type="dxa"/>
            <w:vAlign w:val="bottom"/>
            <w:shd w:val="clear" w:color="auto" w:fill="D8D8D8"/>
          </w:tcPr>
          <w:p>
            <w:pPr>
              <w:jc w:val="right"/>
              <w:ind w:right="49"/>
              <w:spacing w:after="0"/>
              <w:rPr>
                <w:sz w:val="20"/>
                <w:szCs w:val="20"/>
                <w:color w:val="auto"/>
              </w:rPr>
            </w:pPr>
            <w:r>
              <w:rPr>
                <w:rFonts w:ascii="Arial" w:cs="Arial" w:eastAsia="Arial" w:hAnsi="Arial"/>
                <w:sz w:val="14"/>
                <w:szCs w:val="14"/>
                <w:color w:val="auto"/>
              </w:rPr>
              <w:t>378,046</w:t>
            </w:r>
          </w:p>
        </w:tc>
        <w:tc>
          <w:tcPr>
            <w:tcW w:w="1760" w:type="dxa"/>
            <w:vAlign w:val="bottom"/>
          </w:tcPr>
          <w:p>
            <w:pPr>
              <w:jc w:val="right"/>
              <w:ind w:right="310"/>
              <w:spacing w:after="0"/>
              <w:rPr>
                <w:sz w:val="20"/>
                <w:szCs w:val="20"/>
                <w:color w:val="auto"/>
              </w:rPr>
            </w:pPr>
            <w:r>
              <w:rPr>
                <w:rFonts w:ascii="Arial" w:cs="Arial" w:eastAsia="Arial" w:hAnsi="Arial"/>
                <w:sz w:val="14"/>
                <w:szCs w:val="14"/>
                <w:color w:val="auto"/>
              </w:rPr>
              <w:t>404,427</w:t>
            </w:r>
          </w:p>
        </w:tc>
        <w:tc>
          <w:tcPr>
            <w:tcW w:w="1220" w:type="dxa"/>
            <w:vAlign w:val="bottom"/>
          </w:tcPr>
          <w:p>
            <w:pPr>
              <w:jc w:val="right"/>
              <w:ind w:right="28"/>
              <w:spacing w:after="0"/>
              <w:rPr>
                <w:sz w:val="20"/>
                <w:szCs w:val="20"/>
                <w:color w:val="auto"/>
              </w:rPr>
            </w:pPr>
            <w:r>
              <w:rPr>
                <w:rFonts w:ascii="Arial" w:cs="Arial" w:eastAsia="Arial" w:hAnsi="Arial"/>
                <w:sz w:val="14"/>
                <w:szCs w:val="14"/>
                <w:color w:val="auto"/>
              </w:rPr>
              <w:t>424,410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500" w:type="dxa"/>
            <w:vAlign w:val="bottom"/>
            <w:gridSpan w:val="3"/>
          </w:tcPr>
          <w:p>
            <w:pPr>
              <w:ind w:left="140"/>
              <w:spacing w:after="0"/>
              <w:rPr>
                <w:sz w:val="20"/>
                <w:szCs w:val="20"/>
                <w:color w:val="auto"/>
              </w:rPr>
            </w:pPr>
            <w:r>
              <w:rPr>
                <w:rFonts w:ascii="Arial" w:cs="Arial" w:eastAsia="Arial" w:hAnsi="Arial"/>
                <w:sz w:val="14"/>
                <w:szCs w:val="14"/>
                <w:color w:val="auto"/>
              </w:rPr>
              <w:t>Share of earnings of joint ventures and associates [A]</w:t>
            </w:r>
          </w:p>
        </w:tc>
        <w:tc>
          <w:tcPr>
            <w:tcW w:w="1460" w:type="dxa"/>
            <w:vAlign w:val="bottom"/>
          </w:tcPr>
          <w:p>
            <w:pPr>
              <w:spacing w:after="0"/>
              <w:rPr>
                <w:sz w:val="14"/>
                <w:szCs w:val="14"/>
                <w:color w:val="auto"/>
              </w:rPr>
            </w:pPr>
          </w:p>
        </w:tc>
        <w:tc>
          <w:tcPr>
            <w:tcW w:w="1480" w:type="dxa"/>
            <w:vAlign w:val="bottom"/>
            <w:shd w:val="clear" w:color="auto" w:fill="D8D8D8"/>
          </w:tcPr>
          <w:p>
            <w:pPr>
              <w:jc w:val="right"/>
              <w:ind w:right="49"/>
              <w:spacing w:after="0"/>
              <w:rPr>
                <w:sz w:val="20"/>
                <w:szCs w:val="20"/>
                <w:color w:val="auto"/>
              </w:rPr>
            </w:pPr>
            <w:r>
              <w:rPr>
                <w:rFonts w:ascii="Arial" w:cs="Arial" w:eastAsia="Arial" w:hAnsi="Arial"/>
                <w:sz w:val="14"/>
                <w:szCs w:val="14"/>
                <w:color w:val="auto"/>
              </w:rPr>
              <w:t>1,698</w:t>
            </w:r>
          </w:p>
        </w:tc>
        <w:tc>
          <w:tcPr>
            <w:tcW w:w="1760" w:type="dxa"/>
            <w:vAlign w:val="bottom"/>
          </w:tcPr>
          <w:p>
            <w:pPr>
              <w:jc w:val="right"/>
              <w:ind w:right="310"/>
              <w:spacing w:after="0"/>
              <w:rPr>
                <w:sz w:val="20"/>
                <w:szCs w:val="20"/>
                <w:color w:val="auto"/>
              </w:rPr>
            </w:pPr>
            <w:r>
              <w:rPr>
                <w:rFonts w:ascii="Arial" w:cs="Arial" w:eastAsia="Arial" w:hAnsi="Arial"/>
                <w:sz w:val="14"/>
                <w:szCs w:val="14"/>
                <w:color w:val="auto"/>
              </w:rPr>
              <w:t>1,525</w:t>
            </w:r>
          </w:p>
        </w:tc>
        <w:tc>
          <w:tcPr>
            <w:tcW w:w="1220" w:type="dxa"/>
            <w:vAlign w:val="bottom"/>
          </w:tcPr>
          <w:p>
            <w:pPr>
              <w:jc w:val="right"/>
              <w:ind w:right="28"/>
              <w:spacing w:after="0"/>
              <w:rPr>
                <w:sz w:val="20"/>
                <w:szCs w:val="20"/>
                <w:color w:val="auto"/>
              </w:rPr>
            </w:pPr>
            <w:r>
              <w:rPr>
                <w:rFonts w:ascii="Arial" w:cs="Arial" w:eastAsia="Arial" w:hAnsi="Arial"/>
                <w:sz w:val="14"/>
                <w:szCs w:val="14"/>
                <w:color w:val="auto"/>
              </w:rPr>
              <w:t>1,354</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340" w:type="dxa"/>
            <w:vAlign w:val="bottom"/>
          </w:tcPr>
          <w:p>
            <w:pPr>
              <w:ind w:left="140"/>
              <w:spacing w:after="0"/>
              <w:rPr>
                <w:sz w:val="20"/>
                <w:szCs w:val="20"/>
                <w:color w:val="auto"/>
              </w:rPr>
            </w:pPr>
            <w:r>
              <w:rPr>
                <w:rFonts w:ascii="Arial" w:cs="Arial" w:eastAsia="Arial" w:hAnsi="Arial"/>
                <w:sz w:val="14"/>
                <w:szCs w:val="14"/>
                <w:color w:val="auto"/>
              </w:rPr>
              <w:t>Production and manufacturing expenses</w:t>
            </w:r>
          </w:p>
        </w:tc>
        <w:tc>
          <w:tcPr>
            <w:tcW w:w="19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480" w:type="dxa"/>
            <w:vAlign w:val="bottom"/>
            <w:shd w:val="clear" w:color="auto" w:fill="D8D8D8"/>
          </w:tcPr>
          <w:p>
            <w:pPr>
              <w:jc w:val="right"/>
              <w:ind w:right="49"/>
              <w:spacing w:after="0"/>
              <w:rPr>
                <w:sz w:val="20"/>
                <w:szCs w:val="20"/>
                <w:color w:val="auto"/>
              </w:rPr>
            </w:pPr>
            <w:r>
              <w:rPr>
                <w:rFonts w:ascii="Arial" w:cs="Arial" w:eastAsia="Arial" w:hAnsi="Arial"/>
                <w:sz w:val="14"/>
                <w:szCs w:val="14"/>
                <w:color w:val="auto"/>
              </w:rPr>
              <w:t>9,845</w:t>
            </w:r>
          </w:p>
        </w:tc>
        <w:tc>
          <w:tcPr>
            <w:tcW w:w="1760" w:type="dxa"/>
            <w:vAlign w:val="bottom"/>
          </w:tcPr>
          <w:p>
            <w:pPr>
              <w:jc w:val="right"/>
              <w:ind w:right="310"/>
              <w:spacing w:after="0"/>
              <w:rPr>
                <w:sz w:val="20"/>
                <w:szCs w:val="20"/>
                <w:color w:val="auto"/>
              </w:rPr>
            </w:pPr>
            <w:r>
              <w:rPr>
                <w:rFonts w:ascii="Arial" w:cs="Arial" w:eastAsia="Arial" w:hAnsi="Arial"/>
                <w:sz w:val="14"/>
                <w:szCs w:val="14"/>
                <w:color w:val="auto"/>
              </w:rPr>
              <w:t>9,807</w:t>
            </w:r>
          </w:p>
        </w:tc>
        <w:tc>
          <w:tcPr>
            <w:tcW w:w="1220" w:type="dxa"/>
            <w:vAlign w:val="bottom"/>
          </w:tcPr>
          <w:p>
            <w:pPr>
              <w:jc w:val="right"/>
              <w:ind w:right="28"/>
              <w:spacing w:after="0"/>
              <w:rPr>
                <w:sz w:val="20"/>
                <w:szCs w:val="20"/>
                <w:color w:val="auto"/>
              </w:rPr>
            </w:pPr>
            <w:r>
              <w:rPr>
                <w:rFonts w:ascii="Arial" w:cs="Arial" w:eastAsia="Arial" w:hAnsi="Arial"/>
                <w:sz w:val="14"/>
                <w:szCs w:val="14"/>
                <w:color w:val="auto"/>
              </w:rPr>
              <w:t>9,539</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340" w:type="dxa"/>
            <w:vAlign w:val="bottom"/>
          </w:tcPr>
          <w:p>
            <w:pPr>
              <w:ind w:left="140"/>
              <w:spacing w:after="0"/>
              <w:rPr>
                <w:sz w:val="20"/>
                <w:szCs w:val="20"/>
                <w:color w:val="auto"/>
              </w:rPr>
            </w:pPr>
            <w:r>
              <w:rPr>
                <w:rFonts w:ascii="Arial" w:cs="Arial" w:eastAsia="Arial" w:hAnsi="Arial"/>
                <w:sz w:val="14"/>
                <w:szCs w:val="14"/>
                <w:color w:val="auto"/>
              </w:rPr>
              <w:t>Selling, distribution and administrative expenses</w:t>
            </w:r>
          </w:p>
        </w:tc>
        <w:tc>
          <w:tcPr>
            <w:tcW w:w="19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480" w:type="dxa"/>
            <w:vAlign w:val="bottom"/>
            <w:shd w:val="clear" w:color="auto" w:fill="D8D8D8"/>
          </w:tcPr>
          <w:p>
            <w:pPr>
              <w:jc w:val="right"/>
              <w:ind w:right="49"/>
              <w:spacing w:after="0"/>
              <w:rPr>
                <w:sz w:val="20"/>
                <w:szCs w:val="20"/>
                <w:color w:val="auto"/>
              </w:rPr>
            </w:pPr>
            <w:r>
              <w:rPr>
                <w:rFonts w:ascii="Arial" w:cs="Arial" w:eastAsia="Arial" w:hAnsi="Arial"/>
                <w:sz w:val="14"/>
                <w:szCs w:val="14"/>
                <w:color w:val="auto"/>
              </w:rPr>
              <w:t>12,489</w:t>
            </w:r>
          </w:p>
        </w:tc>
        <w:tc>
          <w:tcPr>
            <w:tcW w:w="1760" w:type="dxa"/>
            <w:vAlign w:val="bottom"/>
          </w:tcPr>
          <w:p>
            <w:pPr>
              <w:jc w:val="right"/>
              <w:ind w:right="310"/>
              <w:spacing w:after="0"/>
              <w:rPr>
                <w:sz w:val="20"/>
                <w:szCs w:val="20"/>
                <w:color w:val="auto"/>
              </w:rPr>
            </w:pPr>
            <w:r>
              <w:rPr>
                <w:rFonts w:ascii="Arial" w:cs="Arial" w:eastAsia="Arial" w:hAnsi="Arial"/>
                <w:sz w:val="14"/>
                <w:szCs w:val="14"/>
                <w:color w:val="auto"/>
              </w:rPr>
              <w:t>13,114</w:t>
            </w:r>
          </w:p>
        </w:tc>
        <w:tc>
          <w:tcPr>
            <w:tcW w:w="1220" w:type="dxa"/>
            <w:vAlign w:val="bottom"/>
          </w:tcPr>
          <w:p>
            <w:pPr>
              <w:jc w:val="right"/>
              <w:ind w:right="28"/>
              <w:spacing w:after="0"/>
              <w:rPr>
                <w:sz w:val="20"/>
                <w:szCs w:val="20"/>
                <w:color w:val="auto"/>
              </w:rPr>
            </w:pPr>
            <w:r>
              <w:rPr>
                <w:rFonts w:ascii="Arial" w:cs="Arial" w:eastAsia="Arial" w:hAnsi="Arial"/>
                <w:sz w:val="14"/>
                <w:szCs w:val="14"/>
                <w:color w:val="auto"/>
              </w:rPr>
              <w:t>12,860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340" w:type="dxa"/>
            <w:vAlign w:val="bottom"/>
          </w:tcPr>
          <w:p>
            <w:pPr>
              <w:ind w:left="140"/>
              <w:spacing w:after="0"/>
              <w:rPr>
                <w:sz w:val="20"/>
                <w:szCs w:val="20"/>
                <w:color w:val="auto"/>
              </w:rPr>
            </w:pPr>
            <w:r>
              <w:rPr>
                <w:rFonts w:ascii="Arial" w:cs="Arial" w:eastAsia="Arial" w:hAnsi="Arial"/>
                <w:sz w:val="14"/>
                <w:szCs w:val="14"/>
                <w:color w:val="auto"/>
              </w:rPr>
              <w:t>Depreciation, depletion and amortisation</w:t>
            </w:r>
          </w:p>
        </w:tc>
        <w:tc>
          <w:tcPr>
            <w:tcW w:w="19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480" w:type="dxa"/>
            <w:vAlign w:val="bottom"/>
            <w:shd w:val="clear" w:color="auto" w:fill="D8D8D8"/>
          </w:tcPr>
          <w:p>
            <w:pPr>
              <w:jc w:val="right"/>
              <w:ind w:right="49"/>
              <w:spacing w:after="0"/>
              <w:rPr>
                <w:sz w:val="20"/>
                <w:szCs w:val="20"/>
                <w:color w:val="auto"/>
              </w:rPr>
            </w:pPr>
            <w:r>
              <w:rPr>
                <w:rFonts w:ascii="Arial" w:cs="Arial" w:eastAsia="Arial" w:hAnsi="Arial"/>
                <w:sz w:val="14"/>
                <w:szCs w:val="14"/>
                <w:color w:val="auto"/>
              </w:rPr>
              <w:t>6,619</w:t>
            </w:r>
          </w:p>
        </w:tc>
        <w:tc>
          <w:tcPr>
            <w:tcW w:w="1760" w:type="dxa"/>
            <w:vAlign w:val="bottom"/>
          </w:tcPr>
          <w:p>
            <w:pPr>
              <w:jc w:val="right"/>
              <w:ind w:right="310"/>
              <w:spacing w:after="0"/>
              <w:rPr>
                <w:sz w:val="20"/>
                <w:szCs w:val="20"/>
                <w:color w:val="auto"/>
              </w:rPr>
            </w:pPr>
            <w:r>
              <w:rPr>
                <w:rFonts w:ascii="Arial" w:cs="Arial" w:eastAsia="Arial" w:hAnsi="Arial"/>
                <w:sz w:val="14"/>
                <w:szCs w:val="14"/>
                <w:color w:val="auto"/>
              </w:rPr>
              <w:t>4,421</w:t>
            </w:r>
          </w:p>
        </w:tc>
        <w:tc>
          <w:tcPr>
            <w:tcW w:w="1220" w:type="dxa"/>
            <w:vAlign w:val="bottom"/>
          </w:tcPr>
          <w:p>
            <w:pPr>
              <w:jc w:val="right"/>
              <w:ind w:right="28"/>
              <w:spacing w:after="0"/>
              <w:rPr>
                <w:sz w:val="20"/>
                <w:szCs w:val="20"/>
                <w:color w:val="auto"/>
              </w:rPr>
            </w:pPr>
            <w:r>
              <w:rPr>
                <w:rFonts w:ascii="Arial" w:cs="Arial" w:eastAsia="Arial" w:hAnsi="Arial"/>
                <w:sz w:val="14"/>
                <w:szCs w:val="14"/>
                <w:color w:val="auto"/>
              </w:rPr>
              <w:t>3,083</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3340" w:type="dxa"/>
            <w:vAlign w:val="bottom"/>
            <w:tcBorders>
              <w:bottom w:val="single" w:sz="8" w:color="auto"/>
            </w:tcBorders>
          </w:tcPr>
          <w:p>
            <w:pPr>
              <w:spacing w:after="0" w:line="157" w:lineRule="exact"/>
              <w:rPr>
                <w:sz w:val="20"/>
                <w:szCs w:val="20"/>
                <w:color w:val="auto"/>
              </w:rPr>
            </w:pPr>
            <w:r>
              <w:rPr>
                <w:rFonts w:ascii="Arial" w:cs="Arial" w:eastAsia="Arial" w:hAnsi="Arial"/>
                <w:sz w:val="14"/>
                <w:szCs w:val="14"/>
                <w:color w:val="auto"/>
              </w:rPr>
              <w:t>Net capital investment [B]</w:t>
            </w:r>
          </w:p>
        </w:tc>
        <w:tc>
          <w:tcPr>
            <w:tcW w:w="196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460" w:type="dxa"/>
            <w:vAlign w:val="bottom"/>
            <w:tcBorders>
              <w:bottom w:val="single" w:sz="8" w:color="auto"/>
            </w:tcBorders>
          </w:tcPr>
          <w:p>
            <w:pPr>
              <w:spacing w:after="0"/>
              <w:rPr>
                <w:sz w:val="13"/>
                <w:szCs w:val="13"/>
                <w:color w:val="auto"/>
              </w:rPr>
            </w:pPr>
          </w:p>
        </w:tc>
        <w:tc>
          <w:tcPr>
            <w:tcW w:w="1480" w:type="dxa"/>
            <w:vAlign w:val="bottom"/>
            <w:tcBorders>
              <w:bottom w:val="single" w:sz="8" w:color="auto"/>
            </w:tcBorders>
            <w:shd w:val="clear" w:color="auto" w:fill="D8D8D8"/>
          </w:tcPr>
          <w:p>
            <w:pPr>
              <w:jc w:val="right"/>
              <w:ind w:right="49"/>
              <w:spacing w:after="0" w:line="157" w:lineRule="exact"/>
              <w:rPr>
                <w:sz w:val="20"/>
                <w:szCs w:val="20"/>
                <w:color w:val="auto"/>
              </w:rPr>
            </w:pPr>
            <w:r>
              <w:rPr>
                <w:rFonts w:ascii="Arial" w:cs="Arial" w:eastAsia="Arial" w:hAnsi="Arial"/>
                <w:sz w:val="14"/>
                <w:szCs w:val="14"/>
                <w:color w:val="auto"/>
              </w:rPr>
              <w:t>3,079</w:t>
            </w:r>
          </w:p>
        </w:tc>
        <w:tc>
          <w:tcPr>
            <w:tcW w:w="1760" w:type="dxa"/>
            <w:vAlign w:val="bottom"/>
            <w:tcBorders>
              <w:bottom w:val="single" w:sz="8" w:color="auto"/>
            </w:tcBorders>
          </w:tcPr>
          <w:p>
            <w:pPr>
              <w:jc w:val="right"/>
              <w:ind w:right="310"/>
              <w:spacing w:after="0" w:line="157" w:lineRule="exact"/>
              <w:rPr>
                <w:sz w:val="20"/>
                <w:szCs w:val="20"/>
                <w:color w:val="auto"/>
              </w:rPr>
            </w:pPr>
            <w:r>
              <w:rPr>
                <w:rFonts w:ascii="Arial" w:cs="Arial" w:eastAsia="Arial" w:hAnsi="Arial"/>
                <w:sz w:val="14"/>
                <w:szCs w:val="14"/>
                <w:color w:val="auto"/>
              </w:rPr>
              <w:t>4,885</w:t>
            </w:r>
          </w:p>
        </w:tc>
        <w:tc>
          <w:tcPr>
            <w:tcW w:w="1220" w:type="dxa"/>
            <w:vAlign w:val="bottom"/>
            <w:tcBorders>
              <w:bottom w:val="single" w:sz="8" w:color="auto"/>
            </w:tcBorders>
          </w:tcPr>
          <w:p>
            <w:pPr>
              <w:jc w:val="right"/>
              <w:ind w:right="28"/>
              <w:spacing w:after="0" w:line="157" w:lineRule="exact"/>
              <w:rPr>
                <w:sz w:val="20"/>
                <w:szCs w:val="20"/>
                <w:color w:val="auto"/>
              </w:rPr>
            </w:pPr>
            <w:r>
              <w:rPr>
                <w:rFonts w:ascii="Arial" w:cs="Arial" w:eastAsia="Arial" w:hAnsi="Arial"/>
                <w:sz w:val="14"/>
                <w:szCs w:val="14"/>
                <w:color w:val="auto"/>
              </w:rPr>
              <w:t>4,275</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3340" w:type="dxa"/>
            <w:vAlign w:val="bottom"/>
          </w:tcPr>
          <w:p>
            <w:pPr>
              <w:spacing w:after="0"/>
              <w:rPr>
                <w:sz w:val="20"/>
                <w:szCs w:val="20"/>
                <w:color w:val="auto"/>
              </w:rPr>
            </w:pPr>
            <w:r>
              <w:rPr>
                <w:rFonts w:ascii="Arial" w:cs="Arial" w:eastAsia="Arial" w:hAnsi="Arial"/>
                <w:sz w:val="14"/>
                <w:szCs w:val="14"/>
                <w:color w:val="auto"/>
              </w:rPr>
              <w:t>Refinery availability (%) [C]</w:t>
            </w:r>
          </w:p>
        </w:tc>
        <w:tc>
          <w:tcPr>
            <w:tcW w:w="19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480" w:type="dxa"/>
            <w:vAlign w:val="bottom"/>
            <w:shd w:val="clear" w:color="auto" w:fill="D8D8D8"/>
          </w:tcPr>
          <w:p>
            <w:pPr>
              <w:jc w:val="right"/>
              <w:ind w:right="49"/>
              <w:spacing w:after="0"/>
              <w:rPr>
                <w:sz w:val="20"/>
                <w:szCs w:val="20"/>
                <w:color w:val="auto"/>
              </w:rPr>
            </w:pPr>
            <w:r>
              <w:rPr>
                <w:rFonts w:ascii="Arial" w:cs="Arial" w:eastAsia="Arial" w:hAnsi="Arial"/>
                <w:sz w:val="14"/>
                <w:szCs w:val="14"/>
                <w:color w:val="auto"/>
              </w:rPr>
              <w:t>94</w:t>
            </w:r>
          </w:p>
        </w:tc>
        <w:tc>
          <w:tcPr>
            <w:tcW w:w="1760" w:type="dxa"/>
            <w:vAlign w:val="bottom"/>
          </w:tcPr>
          <w:p>
            <w:pPr>
              <w:jc w:val="right"/>
              <w:ind w:right="310"/>
              <w:spacing w:after="0"/>
              <w:rPr>
                <w:sz w:val="20"/>
                <w:szCs w:val="20"/>
                <w:color w:val="auto"/>
              </w:rPr>
            </w:pPr>
            <w:r>
              <w:rPr>
                <w:rFonts w:ascii="Arial" w:cs="Arial" w:eastAsia="Arial" w:hAnsi="Arial"/>
                <w:sz w:val="14"/>
                <w:szCs w:val="14"/>
                <w:color w:val="auto"/>
              </w:rPr>
              <w:t>92</w:t>
            </w:r>
          </w:p>
        </w:tc>
        <w:tc>
          <w:tcPr>
            <w:tcW w:w="1220" w:type="dxa"/>
            <w:vAlign w:val="bottom"/>
          </w:tcPr>
          <w:p>
            <w:pPr>
              <w:jc w:val="right"/>
              <w:ind w:right="28"/>
              <w:spacing w:after="0"/>
              <w:rPr>
                <w:sz w:val="20"/>
                <w:szCs w:val="20"/>
                <w:color w:val="auto"/>
              </w:rPr>
            </w:pPr>
            <w:r>
              <w:rPr>
                <w:rFonts w:ascii="Arial" w:cs="Arial" w:eastAsia="Arial" w:hAnsi="Arial"/>
                <w:sz w:val="14"/>
                <w:szCs w:val="14"/>
                <w:color w:val="auto"/>
              </w:rPr>
              <w:t>93</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340" w:type="dxa"/>
            <w:vAlign w:val="bottom"/>
          </w:tcPr>
          <w:p>
            <w:pPr>
              <w:spacing w:after="0"/>
              <w:rPr>
                <w:sz w:val="20"/>
                <w:szCs w:val="20"/>
                <w:color w:val="auto"/>
              </w:rPr>
            </w:pPr>
            <w:r>
              <w:rPr>
                <w:rFonts w:ascii="Arial" w:cs="Arial" w:eastAsia="Arial" w:hAnsi="Arial"/>
                <w:sz w:val="14"/>
                <w:szCs w:val="14"/>
                <w:color w:val="auto"/>
              </w:rPr>
              <w:t>Chemical plant availability (%) [C]</w:t>
            </w:r>
          </w:p>
        </w:tc>
        <w:tc>
          <w:tcPr>
            <w:tcW w:w="19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480" w:type="dxa"/>
            <w:vAlign w:val="bottom"/>
            <w:shd w:val="clear" w:color="auto" w:fill="D8D8D8"/>
          </w:tcPr>
          <w:p>
            <w:pPr>
              <w:jc w:val="right"/>
              <w:ind w:right="49"/>
              <w:spacing w:after="0"/>
              <w:rPr>
                <w:sz w:val="20"/>
                <w:szCs w:val="20"/>
                <w:color w:val="auto"/>
              </w:rPr>
            </w:pPr>
            <w:r>
              <w:rPr>
                <w:rFonts w:ascii="Arial" w:cs="Arial" w:eastAsia="Arial" w:hAnsi="Arial"/>
                <w:sz w:val="14"/>
                <w:szCs w:val="14"/>
                <w:color w:val="auto"/>
              </w:rPr>
              <w:t>85</w:t>
            </w:r>
          </w:p>
        </w:tc>
        <w:tc>
          <w:tcPr>
            <w:tcW w:w="1760" w:type="dxa"/>
            <w:vAlign w:val="bottom"/>
          </w:tcPr>
          <w:p>
            <w:pPr>
              <w:jc w:val="right"/>
              <w:ind w:right="310"/>
              <w:spacing w:after="0"/>
              <w:rPr>
                <w:sz w:val="20"/>
                <w:szCs w:val="20"/>
                <w:color w:val="auto"/>
              </w:rPr>
            </w:pPr>
            <w:r>
              <w:rPr>
                <w:rFonts w:ascii="Arial" w:cs="Arial" w:eastAsia="Arial" w:hAnsi="Arial"/>
                <w:sz w:val="14"/>
                <w:szCs w:val="14"/>
                <w:color w:val="auto"/>
              </w:rPr>
              <w:t>92</w:t>
            </w:r>
          </w:p>
        </w:tc>
        <w:tc>
          <w:tcPr>
            <w:tcW w:w="1220" w:type="dxa"/>
            <w:vAlign w:val="bottom"/>
          </w:tcPr>
          <w:p>
            <w:pPr>
              <w:jc w:val="right"/>
              <w:ind w:right="28"/>
              <w:spacing w:after="0"/>
              <w:rPr>
                <w:sz w:val="20"/>
                <w:szCs w:val="20"/>
                <w:color w:val="auto"/>
              </w:rPr>
            </w:pPr>
            <w:r>
              <w:rPr>
                <w:rFonts w:ascii="Arial" w:cs="Arial" w:eastAsia="Arial" w:hAnsi="Arial"/>
                <w:sz w:val="14"/>
                <w:szCs w:val="14"/>
                <w:color w:val="auto"/>
              </w:rPr>
              <w:t>91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340" w:type="dxa"/>
            <w:vAlign w:val="bottom"/>
          </w:tcPr>
          <w:p>
            <w:pPr>
              <w:spacing w:after="0"/>
              <w:rPr>
                <w:sz w:val="20"/>
                <w:szCs w:val="20"/>
                <w:color w:val="auto"/>
              </w:rPr>
            </w:pPr>
            <w:r>
              <w:rPr>
                <w:rFonts w:ascii="Arial" w:cs="Arial" w:eastAsia="Arial" w:hAnsi="Arial"/>
                <w:sz w:val="14"/>
                <w:szCs w:val="14"/>
                <w:color w:val="auto"/>
              </w:rPr>
              <w:t>Refinery processing intake (thousand b/d)</w:t>
            </w:r>
          </w:p>
        </w:tc>
        <w:tc>
          <w:tcPr>
            <w:tcW w:w="19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480" w:type="dxa"/>
            <w:vAlign w:val="bottom"/>
            <w:shd w:val="clear" w:color="auto" w:fill="D8D8D8"/>
          </w:tcPr>
          <w:p>
            <w:pPr>
              <w:jc w:val="right"/>
              <w:ind w:right="49"/>
              <w:spacing w:after="0"/>
              <w:rPr>
                <w:sz w:val="20"/>
                <w:szCs w:val="20"/>
                <w:color w:val="auto"/>
              </w:rPr>
            </w:pPr>
            <w:r>
              <w:rPr>
                <w:rFonts w:ascii="Arial" w:cs="Arial" w:eastAsia="Arial" w:hAnsi="Arial"/>
                <w:sz w:val="14"/>
                <w:szCs w:val="14"/>
                <w:color w:val="auto"/>
              </w:rPr>
              <w:t>2,903</w:t>
            </w:r>
          </w:p>
        </w:tc>
        <w:tc>
          <w:tcPr>
            <w:tcW w:w="1760" w:type="dxa"/>
            <w:vAlign w:val="bottom"/>
          </w:tcPr>
          <w:p>
            <w:pPr>
              <w:jc w:val="right"/>
              <w:ind w:right="310"/>
              <w:spacing w:after="0"/>
              <w:rPr>
                <w:sz w:val="20"/>
                <w:szCs w:val="20"/>
                <w:color w:val="auto"/>
              </w:rPr>
            </w:pPr>
            <w:r>
              <w:rPr>
                <w:rFonts w:ascii="Arial" w:cs="Arial" w:eastAsia="Arial" w:hAnsi="Arial"/>
                <w:sz w:val="14"/>
                <w:szCs w:val="14"/>
                <w:color w:val="auto"/>
              </w:rPr>
              <w:t>2,915</w:t>
            </w:r>
          </w:p>
        </w:tc>
        <w:tc>
          <w:tcPr>
            <w:tcW w:w="1220" w:type="dxa"/>
            <w:vAlign w:val="bottom"/>
          </w:tcPr>
          <w:p>
            <w:pPr>
              <w:jc w:val="right"/>
              <w:ind w:right="28"/>
              <w:spacing w:after="0"/>
              <w:rPr>
                <w:sz w:val="20"/>
                <w:szCs w:val="20"/>
                <w:color w:val="auto"/>
              </w:rPr>
            </w:pPr>
            <w:r>
              <w:rPr>
                <w:rFonts w:ascii="Arial" w:cs="Arial" w:eastAsia="Arial" w:hAnsi="Arial"/>
                <w:sz w:val="14"/>
                <w:szCs w:val="14"/>
                <w:color w:val="auto"/>
              </w:rPr>
              <w:t>2,819</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340" w:type="dxa"/>
            <w:vAlign w:val="bottom"/>
          </w:tcPr>
          <w:p>
            <w:pPr>
              <w:spacing w:after="0"/>
              <w:rPr>
                <w:sz w:val="20"/>
                <w:szCs w:val="20"/>
                <w:color w:val="auto"/>
              </w:rPr>
            </w:pPr>
            <w:r>
              <w:rPr>
                <w:rFonts w:ascii="Arial" w:cs="Arial" w:eastAsia="Arial" w:hAnsi="Arial"/>
                <w:sz w:val="14"/>
                <w:szCs w:val="14"/>
                <w:color w:val="auto"/>
              </w:rPr>
              <w:t>Oil products sales volumes (thousand b/d)</w:t>
            </w:r>
          </w:p>
        </w:tc>
        <w:tc>
          <w:tcPr>
            <w:tcW w:w="19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480" w:type="dxa"/>
            <w:vAlign w:val="bottom"/>
            <w:shd w:val="clear" w:color="auto" w:fill="D8D8D8"/>
          </w:tcPr>
          <w:p>
            <w:pPr>
              <w:jc w:val="right"/>
              <w:ind w:right="49"/>
              <w:spacing w:after="0"/>
              <w:rPr>
                <w:sz w:val="20"/>
                <w:szCs w:val="20"/>
                <w:color w:val="auto"/>
              </w:rPr>
            </w:pPr>
            <w:r>
              <w:rPr>
                <w:rFonts w:ascii="Arial" w:cs="Arial" w:eastAsia="Arial" w:hAnsi="Arial"/>
                <w:sz w:val="14"/>
                <w:szCs w:val="14"/>
                <w:color w:val="auto"/>
              </w:rPr>
              <w:t>6,365</w:t>
            </w:r>
          </w:p>
        </w:tc>
        <w:tc>
          <w:tcPr>
            <w:tcW w:w="1760" w:type="dxa"/>
            <w:vAlign w:val="bottom"/>
          </w:tcPr>
          <w:p>
            <w:pPr>
              <w:jc w:val="right"/>
              <w:ind w:right="310"/>
              <w:spacing w:after="0"/>
              <w:rPr>
                <w:sz w:val="20"/>
                <w:szCs w:val="20"/>
                <w:color w:val="auto"/>
              </w:rPr>
            </w:pPr>
            <w:r>
              <w:rPr>
                <w:rFonts w:ascii="Arial" w:cs="Arial" w:eastAsia="Arial" w:hAnsi="Arial"/>
                <w:sz w:val="14"/>
                <w:szCs w:val="14"/>
                <w:color w:val="auto"/>
              </w:rPr>
              <w:t>6,164</w:t>
            </w:r>
          </w:p>
        </w:tc>
        <w:tc>
          <w:tcPr>
            <w:tcW w:w="1220" w:type="dxa"/>
            <w:vAlign w:val="bottom"/>
          </w:tcPr>
          <w:p>
            <w:pPr>
              <w:jc w:val="right"/>
              <w:ind w:right="28"/>
              <w:spacing w:after="0"/>
              <w:rPr>
                <w:sz w:val="20"/>
                <w:szCs w:val="20"/>
                <w:color w:val="auto"/>
              </w:rPr>
            </w:pPr>
            <w:r>
              <w:rPr>
                <w:rFonts w:ascii="Arial" w:cs="Arial" w:eastAsia="Arial" w:hAnsi="Arial"/>
                <w:sz w:val="14"/>
                <w:szCs w:val="14"/>
                <w:color w:val="auto"/>
              </w:rPr>
              <w:t>6,235</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3340" w:type="dxa"/>
            <w:vAlign w:val="bottom"/>
            <w:tcBorders>
              <w:bottom w:val="single" w:sz="8" w:color="auto"/>
            </w:tcBorders>
          </w:tcPr>
          <w:p>
            <w:pPr>
              <w:spacing w:after="0" w:line="157" w:lineRule="exact"/>
              <w:rPr>
                <w:sz w:val="20"/>
                <w:szCs w:val="20"/>
                <w:color w:val="auto"/>
              </w:rPr>
            </w:pPr>
            <w:r>
              <w:rPr>
                <w:rFonts w:ascii="Arial" w:cs="Arial" w:eastAsia="Arial" w:hAnsi="Arial"/>
                <w:sz w:val="14"/>
                <w:szCs w:val="14"/>
                <w:color w:val="auto"/>
              </w:rPr>
              <w:t>Chemicals sales volumes (thousand tonnes)</w:t>
            </w:r>
          </w:p>
        </w:tc>
        <w:tc>
          <w:tcPr>
            <w:tcW w:w="196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460" w:type="dxa"/>
            <w:vAlign w:val="bottom"/>
            <w:tcBorders>
              <w:bottom w:val="single" w:sz="8" w:color="auto"/>
            </w:tcBorders>
          </w:tcPr>
          <w:p>
            <w:pPr>
              <w:spacing w:after="0"/>
              <w:rPr>
                <w:sz w:val="13"/>
                <w:szCs w:val="13"/>
                <w:color w:val="auto"/>
              </w:rPr>
            </w:pPr>
          </w:p>
        </w:tc>
        <w:tc>
          <w:tcPr>
            <w:tcW w:w="1480" w:type="dxa"/>
            <w:vAlign w:val="bottom"/>
            <w:tcBorders>
              <w:bottom w:val="single" w:sz="8" w:color="auto"/>
            </w:tcBorders>
            <w:shd w:val="clear" w:color="auto" w:fill="D8D8D8"/>
          </w:tcPr>
          <w:p>
            <w:pPr>
              <w:jc w:val="right"/>
              <w:ind w:right="49"/>
              <w:spacing w:after="0" w:line="157" w:lineRule="exact"/>
              <w:rPr>
                <w:sz w:val="20"/>
                <w:szCs w:val="20"/>
                <w:color w:val="auto"/>
              </w:rPr>
            </w:pPr>
            <w:r>
              <w:rPr>
                <w:rFonts w:ascii="Arial" w:cs="Arial" w:eastAsia="Arial" w:hAnsi="Arial"/>
                <w:sz w:val="14"/>
                <w:szCs w:val="14"/>
                <w:color w:val="auto"/>
              </w:rPr>
              <w:t>17,008</w:t>
            </w:r>
          </w:p>
        </w:tc>
        <w:tc>
          <w:tcPr>
            <w:tcW w:w="1760" w:type="dxa"/>
            <w:vAlign w:val="bottom"/>
            <w:tcBorders>
              <w:bottom w:val="single" w:sz="8" w:color="auto"/>
            </w:tcBorders>
          </w:tcPr>
          <w:p>
            <w:pPr>
              <w:jc w:val="right"/>
              <w:ind w:right="310"/>
              <w:spacing w:after="0" w:line="157" w:lineRule="exact"/>
              <w:rPr>
                <w:sz w:val="20"/>
                <w:szCs w:val="20"/>
                <w:color w:val="auto"/>
              </w:rPr>
            </w:pPr>
            <w:r>
              <w:rPr>
                <w:rFonts w:ascii="Arial" w:cs="Arial" w:eastAsia="Arial" w:hAnsi="Arial"/>
                <w:sz w:val="14"/>
                <w:szCs w:val="14"/>
                <w:color w:val="auto"/>
              </w:rPr>
              <w:t>17,386</w:t>
            </w:r>
          </w:p>
        </w:tc>
        <w:tc>
          <w:tcPr>
            <w:tcW w:w="1220" w:type="dxa"/>
            <w:vAlign w:val="bottom"/>
            <w:tcBorders>
              <w:bottom w:val="single" w:sz="8" w:color="auto"/>
            </w:tcBorders>
          </w:tcPr>
          <w:p>
            <w:pPr>
              <w:jc w:val="right"/>
              <w:ind w:right="28"/>
              <w:spacing w:after="0" w:line="157" w:lineRule="exact"/>
              <w:rPr>
                <w:sz w:val="20"/>
                <w:szCs w:val="20"/>
                <w:color w:val="auto"/>
              </w:rPr>
            </w:pPr>
            <w:r>
              <w:rPr>
                <w:rFonts w:ascii="Arial" w:cs="Arial" w:eastAsia="Arial" w:hAnsi="Arial"/>
                <w:sz w:val="14"/>
                <w:szCs w:val="14"/>
                <w:color w:val="auto"/>
              </w:rPr>
              <w:t>18,669</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32" w:lineRule="exact"/>
        <w:rPr>
          <w:sz w:val="20"/>
          <w:szCs w:val="20"/>
          <w:color w:val="auto"/>
        </w:rPr>
      </w:pPr>
    </w:p>
    <w:p>
      <w:pPr>
        <w:ind w:left="180" w:hanging="172"/>
        <w:spacing w:after="0"/>
        <w:tabs>
          <w:tab w:leader="none" w:pos="180" w:val="left"/>
        </w:tabs>
        <w:numPr>
          <w:ilvl w:val="0"/>
          <w:numId w:val="37"/>
        </w:numPr>
        <w:rPr>
          <w:rFonts w:ascii="Arial" w:cs="Arial" w:eastAsia="Arial" w:hAnsi="Arial"/>
          <w:sz w:val="11"/>
          <w:szCs w:val="11"/>
          <w:color w:val="auto"/>
        </w:rPr>
      </w:pPr>
      <w:r>
        <w:rPr>
          <w:rFonts w:ascii="Arial" w:cs="Arial" w:eastAsia="Arial" w:hAnsi="Arial"/>
          <w:sz w:val="11"/>
          <w:szCs w:val="11"/>
          <w:color w:val="auto"/>
        </w:rPr>
        <w:t>See Notes 2 and 4 to the “Consolidated Financial Statements”. Segment earnings are presented on a current cost of supplies basis.</w:t>
      </w:r>
    </w:p>
    <w:p>
      <w:pPr>
        <w:ind w:left="180" w:hanging="172"/>
        <w:spacing w:after="0" w:line="230" w:lineRule="auto"/>
        <w:tabs>
          <w:tab w:leader="none" w:pos="180" w:val="left"/>
        </w:tabs>
        <w:numPr>
          <w:ilvl w:val="0"/>
          <w:numId w:val="37"/>
        </w:numPr>
        <w:rPr>
          <w:rFonts w:ascii="Arial" w:cs="Arial" w:eastAsia="Arial" w:hAnsi="Arial"/>
          <w:sz w:val="11"/>
          <w:szCs w:val="11"/>
          <w:color w:val="auto"/>
        </w:rPr>
      </w:pPr>
      <w:r>
        <w:rPr>
          <w:rFonts w:ascii="Arial" w:cs="Arial" w:eastAsia="Arial" w:hAnsi="Arial"/>
          <w:sz w:val="11"/>
          <w:szCs w:val="11"/>
          <w:color w:val="auto"/>
        </w:rPr>
        <w:t>See “Non-GAAP measures reconciliation”.</w:t>
      </w:r>
    </w:p>
    <w:p>
      <w:pPr>
        <w:ind w:left="180" w:hanging="172"/>
        <w:spacing w:after="0"/>
        <w:tabs>
          <w:tab w:leader="none" w:pos="180" w:val="left"/>
        </w:tabs>
        <w:numPr>
          <w:ilvl w:val="0"/>
          <w:numId w:val="37"/>
        </w:numPr>
        <w:rPr>
          <w:rFonts w:ascii="Arial" w:cs="Arial" w:eastAsia="Arial" w:hAnsi="Arial"/>
          <w:sz w:val="11"/>
          <w:szCs w:val="11"/>
          <w:color w:val="auto"/>
        </w:rPr>
      </w:pPr>
      <w:r>
        <w:rPr>
          <w:rFonts w:ascii="Arial" w:cs="Arial" w:eastAsia="Arial" w:hAnsi="Arial"/>
          <w:sz w:val="11"/>
          <w:szCs w:val="11"/>
          <w:color w:val="auto"/>
        </w:rPr>
        <w:t>The basis of calculation differs from that used for the “Refinery and chemical plant availability” measure in “Performance indicators”, which excludes downtime due to uncontrollable factors.</w:t>
      </w:r>
    </w:p>
    <w:p>
      <w:pPr>
        <w:sectPr>
          <w:pgSz w:w="11900" w:h="16838" w:orient="portrait"/>
          <w:cols w:equalWidth="0" w:num="1">
            <w:col w:w="11420"/>
          </w:cols>
          <w:pgMar w:left="240" w:top="459" w:right="239" w:bottom="1440" w:gutter="0" w:footer="0" w:header="0"/>
        </w:sect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color w:val="auto"/>
        </w:rPr>
        <w:t>OVERVIEW</w:t>
      </w:r>
    </w:p>
    <w:p>
      <w:pPr>
        <w:spacing w:after="0" w:line="1" w:lineRule="exact"/>
        <w:rPr>
          <w:sz w:val="20"/>
          <w:szCs w:val="20"/>
          <w:color w:val="auto"/>
        </w:rPr>
      </w:pPr>
    </w:p>
    <w:p>
      <w:pPr>
        <w:ind w:right="20"/>
        <w:spacing w:after="0" w:line="244" w:lineRule="auto"/>
        <w:rPr>
          <w:sz w:val="20"/>
          <w:szCs w:val="20"/>
          <w:color w:val="auto"/>
        </w:rPr>
      </w:pPr>
      <w:r>
        <w:rPr>
          <w:rFonts w:ascii="Arial" w:cs="Arial" w:eastAsia="Arial" w:hAnsi="Arial"/>
          <w:sz w:val="14"/>
          <w:szCs w:val="14"/>
          <w:color w:val="auto"/>
        </w:rPr>
        <w:t>Shell’s Downstream organisation is made up of a number of different business activities, part of an integrated value chain, that collectively turn crude oil into a range of refined products, which are moved and marketed around the world for domestic, industrial and transport use. The products we sell include gasoline, diesel, heating oil, aviation fuel, marine fuel, liquefied natural gas (LNG) for transport, lubricants, bitumen, sulphur and liquefied petroleum gas (LPG). In addition, we produce and sell petrochemicals for industrial use worldwide.</w:t>
      </w:r>
    </w:p>
    <w:p>
      <w:pPr>
        <w:spacing w:after="0" w:line="164" w:lineRule="exact"/>
        <w:rPr>
          <w:sz w:val="20"/>
          <w:szCs w:val="20"/>
          <w:color w:val="auto"/>
        </w:rPr>
      </w:pPr>
    </w:p>
    <w:p>
      <w:pPr>
        <w:ind w:right="140"/>
        <w:spacing w:after="0" w:line="244" w:lineRule="auto"/>
        <w:rPr>
          <w:sz w:val="20"/>
          <w:szCs w:val="20"/>
          <w:color w:val="auto"/>
        </w:rPr>
      </w:pPr>
      <w:r>
        <w:rPr>
          <w:rFonts w:ascii="Arial" w:cs="Arial" w:eastAsia="Arial" w:hAnsi="Arial"/>
          <w:sz w:val="14"/>
          <w:szCs w:val="14"/>
          <w:color w:val="auto"/>
        </w:rPr>
        <w:t>Our Downstream activities comprise Refining, Pipelines, Marketing, Chemicals and Trading and Supply. Marketing includes Retail, Lubricants, Business to Business (B2B) and Alternative Energies. Chemicals has major manufacturing plants, located close to refineries, and its own marketing network. In Trading and Supply, we trade crude oil, oil products and petrochemicals, to optimise feedstocks for Refining and Chemicals, to supply our Marketing businesses and third parties, and for our own profit.</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color w:val="auto"/>
        </w:rPr>
        <w:t>BUSINESS CONDITIONS</w:t>
      </w:r>
    </w:p>
    <w:p>
      <w:pPr>
        <w:spacing w:after="0" w:line="1" w:lineRule="exact"/>
        <w:rPr>
          <w:sz w:val="20"/>
          <w:szCs w:val="20"/>
          <w:color w:val="auto"/>
        </w:rPr>
      </w:pPr>
    </w:p>
    <w:p>
      <w:pPr>
        <w:spacing w:after="0" w:line="244" w:lineRule="auto"/>
        <w:rPr>
          <w:sz w:val="20"/>
          <w:szCs w:val="20"/>
          <w:color w:val="auto"/>
        </w:rPr>
      </w:pPr>
      <w:r>
        <w:rPr>
          <w:rFonts w:ascii="Arial" w:cs="Arial" w:eastAsia="Arial" w:hAnsi="Arial"/>
          <w:sz w:val="14"/>
          <w:szCs w:val="14"/>
          <w:color w:val="auto"/>
        </w:rPr>
        <w:t>Industry refining margins were higher on average in 2014 than in 2013 in the key refining hubs of the USA and Singapore, and were little changed in Europe. In particular, margins improved in the USA where increased domestic crude oil and natural gas production lowered oil acquisition costs (relative to international prices). Some demand growth, especially around the summer driving season in the USA, also contributed to higher US Gulf Coast margins.</w:t>
      </w:r>
    </w:p>
    <w:p>
      <w:pPr>
        <w:spacing w:after="0" w:line="166" w:lineRule="exact"/>
        <w:rPr>
          <w:sz w:val="20"/>
          <w:szCs w:val="20"/>
          <w:color w:val="auto"/>
        </w:rPr>
      </w:pPr>
    </w:p>
    <w:p>
      <w:pPr>
        <w:spacing w:after="0" w:line="245" w:lineRule="auto"/>
        <w:rPr>
          <w:sz w:val="20"/>
          <w:szCs w:val="20"/>
          <w:color w:val="auto"/>
        </w:rPr>
      </w:pPr>
      <w:r>
        <w:rPr>
          <w:rFonts w:ascii="Arial" w:cs="Arial" w:eastAsia="Arial" w:hAnsi="Arial"/>
          <w:sz w:val="14"/>
          <w:szCs w:val="14"/>
          <w:color w:val="auto"/>
        </w:rPr>
        <w:t>In 2015, increased demand for middle distillates is expected to be a key driver of refining margins, supported by demand for gasoline in the middle of the year. However, the overall outlook remains unclear because of continuing economic uncertainty, geopolitical tensions in some regions that could lead to supply disruptions and overcapacity in the global refining market.</w:t>
      </w:r>
    </w:p>
    <w:p>
      <w:pPr>
        <w:spacing w:after="0" w:line="164" w:lineRule="exact"/>
        <w:rPr>
          <w:sz w:val="20"/>
          <w:szCs w:val="20"/>
          <w:color w:val="auto"/>
        </w:rPr>
      </w:pPr>
    </w:p>
    <w:p>
      <w:pPr>
        <w:ind w:right="140"/>
        <w:spacing w:after="0" w:line="245" w:lineRule="auto"/>
        <w:rPr>
          <w:sz w:val="20"/>
          <w:szCs w:val="20"/>
          <w:color w:val="auto"/>
        </w:rPr>
      </w:pPr>
      <w:r>
        <w:rPr>
          <w:rFonts w:ascii="Arial" w:cs="Arial" w:eastAsia="Arial" w:hAnsi="Arial"/>
          <w:sz w:val="14"/>
          <w:szCs w:val="14"/>
          <w:color w:val="auto"/>
        </w:rPr>
        <w:t>In Chemicals, industry naphtha cracker margins increased from 2013, particularly in Asia where there was less cracker capacity available. US ethane cracker margins were high relative to naphtha cracker margins in other regions due to ample ethane supply. The outlook for petrochemicals for 2015 is dependent on the growth of the global economy, especially in Asia, and developments in raw material prices.</w:t>
      </w:r>
    </w:p>
    <w:p>
      <w:pPr>
        <w:spacing w:after="0" w:line="20" w:lineRule="exact"/>
        <w:rPr>
          <w:sz w:val="20"/>
          <w:szCs w:val="20"/>
          <w:color w:val="auto"/>
        </w:rPr>
      </w:pPr>
      <w:r>
        <w:rPr>
          <w:sz w:val="20"/>
          <w:szCs w:val="20"/>
          <w:color w:val="auto"/>
        </w:rPr>
        <w:br w:type="column"/>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EARNINGS 2014-2013</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Segment earnings are presented on a current cost of supplies basis (see “Summary</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of results”), which in 2014 were $4,366 million higher than earnings if presented on</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first-in, first-out basis (2013: $353 million higher). Segment earnings in 2014 were</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$3,411 million, 12% lower than 2013. Earnings in 2014 included net charges of</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$2,854 million, mainly impairments, and in 2013 included net charges of $597 million,</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described at the end of this section. Excluding the impact of these net charges,</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earnings in 2014 were 40% higher. The improvement was driven by higher realised</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refining margins from improved operating performance and a stronger industry</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environment, higher earnings from Trading and Supply, and lower costs mainly as a</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result of divestments. Partly offsetting these benefits were lower earnings from</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Chemicals, impacted by market conditions for intermediate products and shutdowns</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of some units at Moerdijk in the Netherlands.</w:t>
      </w:r>
    </w:p>
    <w:p>
      <w:pPr>
        <w:spacing w:after="0" w:line="177" w:lineRule="exact"/>
        <w:rPr>
          <w:sz w:val="20"/>
          <w:szCs w:val="20"/>
          <w:color w:val="auto"/>
        </w:rPr>
      </w:pPr>
    </w:p>
    <w:p>
      <w:pPr>
        <w:ind w:right="220"/>
        <w:spacing w:after="0" w:line="242" w:lineRule="auto"/>
        <w:rPr>
          <w:sz w:val="20"/>
          <w:szCs w:val="20"/>
          <w:color w:val="auto"/>
        </w:rPr>
      </w:pPr>
      <w:r>
        <w:rPr>
          <w:rFonts w:ascii="Arial" w:cs="Arial" w:eastAsia="Arial" w:hAnsi="Arial"/>
          <w:sz w:val="14"/>
          <w:szCs w:val="14"/>
          <w:color w:val="auto"/>
        </w:rPr>
        <w:t>Refining made a profit in 2014, compared with a loss in 2013. Realised refining margins were significantly higher overall and higher in all regions except the US West Coast. The increase was driven by operational improvements and stronger industry margin environments in most regions. In Europe, despite a slightly weaker margin environment, realised margins benefited from strong operational performances at the Pernis and Rheinland sites. Realised margins in Canada were higher in 2014 because the Scotford Upgrader was shut for part of 2013. US Gulf Coast realised margins benefited from improved operational performance. The margin environment in Asia improved. There was a loss of margins from the Geelong refinery in Australia which was sold in 2014. US West Coast realised margins were lower mainly due to a maintenance shutdown at Puget Sound in 2014. Motiva’s performance was stronger in 2014 through both improved operational performance and a stronger margin environment. Overall refinery availability increased to 94% from 92% in 2013.</w:t>
      </w:r>
    </w:p>
    <w:p>
      <w:pPr>
        <w:spacing w:after="0" w:line="186" w:lineRule="exact"/>
        <w:rPr>
          <w:sz w:val="20"/>
          <w:szCs w:val="20"/>
          <w:color w:val="auto"/>
        </w:rPr>
      </w:pPr>
    </w:p>
    <w:p>
      <w:pPr>
        <w:ind w:right="360"/>
        <w:spacing w:after="0" w:line="250" w:lineRule="auto"/>
        <w:rPr>
          <w:sz w:val="20"/>
          <w:szCs w:val="20"/>
          <w:color w:val="auto"/>
        </w:rPr>
      </w:pPr>
      <w:r>
        <w:rPr>
          <w:rFonts w:ascii="Arial" w:cs="Arial" w:eastAsia="Arial" w:hAnsi="Arial"/>
          <w:sz w:val="14"/>
          <w:szCs w:val="14"/>
          <w:color w:val="auto"/>
        </w:rPr>
        <w:t>Trading and Supply earnings were significantly higher than 2013, benefiting from increased price volatility and profitable short positions in an oil market where prices declined during the second half of 2014.</w:t>
      </w:r>
    </w:p>
    <w:p>
      <w:pPr>
        <w:spacing w:after="0" w:line="159" w:lineRule="exact"/>
        <w:rPr>
          <w:sz w:val="20"/>
          <w:szCs w:val="20"/>
          <w:color w:val="auto"/>
        </w:rPr>
      </w:pPr>
    </w:p>
    <w:p>
      <w:pPr>
        <w:ind w:right="160"/>
        <w:spacing w:after="0" w:line="245" w:lineRule="auto"/>
        <w:rPr>
          <w:sz w:val="20"/>
          <w:szCs w:val="20"/>
          <w:color w:val="auto"/>
        </w:rPr>
      </w:pPr>
      <w:r>
        <w:rPr>
          <w:rFonts w:ascii="Arial" w:cs="Arial" w:eastAsia="Arial" w:hAnsi="Arial"/>
          <w:sz w:val="14"/>
          <w:szCs w:val="14"/>
          <w:color w:val="auto"/>
        </w:rPr>
        <w:t>Chemicals earnings were lower than in 2013, impacted by two incidents at Moerdijk that disrupted operations. The first, an explosion and fire at the MSPO2 unit, caused a partial shutdown of the site but had only limited financial impact. The second incident, a contamination of the steam boiler water feed, caused a temporary shutdown of all units for the fourth quarter of 2014 with more significant financial impact.</w:t>
      </w:r>
    </w:p>
    <w:p>
      <w:pPr>
        <w:sectPr>
          <w:pgSz w:w="11900" w:h="16838" w:orient="portrait"/>
          <w:cols w:equalWidth="0" w:num="2">
            <w:col w:w="5460" w:space="320"/>
            <w:col w:w="5640"/>
          </w:cols>
          <w:pgMar w:left="240" w:top="459" w:right="239" w:bottom="1440" w:gutter="0" w:footer="0" w:header="0"/>
          <w:type w:val="continuous"/>
        </w:sectPr>
      </w:pPr>
    </w:p>
    <w:bookmarkStart w:id="42" w:name="page43"/>
    <w:bookmarkEnd w:id="42"/>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3555365</wp:posOffset>
            </wp:positionH>
            <wp:positionV relativeFrom="paragraph">
              <wp:posOffset>314960</wp:posOffset>
            </wp:positionV>
            <wp:extent cx="3696335" cy="46291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3696335" cy="462915"/>
                    </a:xfrm>
                    <a:prstGeom prst="rect">
                      <a:avLst/>
                    </a:prstGeom>
                    <a:noFill/>
                  </pic:spPr>
                </pic:pic>
              </a:graphicData>
            </a:graphic>
          </wp:anchor>
        </w:drawing>
      </w:r>
    </w:p>
    <w:p>
      <w:pPr>
        <w:sectPr>
          <w:pgSz w:w="11900" w:h="16838" w:orient="portrait"/>
          <w:cols w:equalWidth="0" w:num="1">
            <w:col w:w="11240"/>
          </w:cols>
          <w:pgMar w:left="240" w:top="459" w:right="4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11"/>
          <w:szCs w:val="11"/>
          <w:color w:val="auto"/>
        </w:rPr>
        <w:t>SHELL ANNUAL REPORT AND FORM 20-F 2014</w:t>
      </w:r>
    </w:p>
    <w:p>
      <w:pPr>
        <w:spacing w:after="0" w:line="57" w:lineRule="exact"/>
        <w:rPr>
          <w:sz w:val="20"/>
          <w:szCs w:val="20"/>
          <w:color w:val="auto"/>
        </w:rPr>
      </w:pPr>
    </w:p>
    <w:p>
      <w:pPr>
        <w:ind w:right="140"/>
        <w:spacing w:after="0" w:line="247" w:lineRule="auto"/>
        <w:rPr>
          <w:sz w:val="20"/>
          <w:szCs w:val="20"/>
          <w:color w:val="auto"/>
        </w:rPr>
      </w:pPr>
      <w:r>
        <w:rPr>
          <w:rFonts w:ascii="Arial" w:cs="Arial" w:eastAsia="Arial" w:hAnsi="Arial"/>
          <w:sz w:val="14"/>
          <w:szCs w:val="14"/>
          <w:color w:val="auto"/>
        </w:rPr>
        <w:t>We expect a significant impact to earnings in 2015 from some units continuing to be non-operational. Additionally, earnings decreased for intermediate products due to weaker general market conditions compared with 2013. Sales prices were higher in 2013 due to industry supply constraints caused by competitor production outages.</w:t>
      </w:r>
    </w:p>
    <w:p>
      <w:pPr>
        <w:spacing w:after="0" w:line="175" w:lineRule="exact"/>
        <w:rPr>
          <w:sz w:val="20"/>
          <w:szCs w:val="20"/>
          <w:color w:val="auto"/>
        </w:rPr>
      </w:pPr>
    </w:p>
    <w:p>
      <w:pPr>
        <w:ind w:right="20"/>
        <w:spacing w:after="0" w:line="244" w:lineRule="auto"/>
        <w:rPr>
          <w:sz w:val="20"/>
          <w:szCs w:val="20"/>
          <w:color w:val="auto"/>
        </w:rPr>
      </w:pPr>
      <w:r>
        <w:rPr>
          <w:rFonts w:ascii="Arial" w:cs="Arial" w:eastAsia="Arial" w:hAnsi="Arial"/>
          <w:sz w:val="14"/>
          <w:szCs w:val="14"/>
          <w:color w:val="auto"/>
        </w:rPr>
        <w:t>Marketing earnings were higher than in 2013 across most businesses despite the divestment of businesses in Australia and Italy. Driving the improvement were stronger unit margins, helped by premium product pricing in Retail, active price management in Lubricants and LPG, and lower costs in Retail. Earnings from Raizen, our biofuels joint venture in Brazil, were higher than in 2013 despite the negative effects of the weakening Brazilian real, mainly as a result of stronger unit margins in the Marketing business.</w:t>
      </w:r>
    </w:p>
    <w:p>
      <w:pPr>
        <w:spacing w:after="0" w:line="164" w:lineRule="exact"/>
        <w:rPr>
          <w:sz w:val="20"/>
          <w:szCs w:val="20"/>
          <w:color w:val="auto"/>
        </w:rPr>
      </w:pPr>
    </w:p>
    <w:p>
      <w:pPr>
        <w:ind w:right="40"/>
        <w:spacing w:after="0" w:line="247" w:lineRule="auto"/>
        <w:rPr>
          <w:sz w:val="20"/>
          <w:szCs w:val="20"/>
          <w:color w:val="auto"/>
        </w:rPr>
      </w:pPr>
      <w:r>
        <w:rPr>
          <w:rFonts w:ascii="Arial" w:cs="Arial" w:eastAsia="Arial" w:hAnsi="Arial"/>
          <w:sz w:val="14"/>
          <w:szCs w:val="14"/>
          <w:color w:val="auto"/>
        </w:rPr>
        <w:t>Oil products sales volumes were 3% higher than in 2013. Higher Trading volumes more than offset lower Marketing volumes, which were impacted by the sale of businesses in Australia and Italy. Excluding these portfolio effects, Marketing volumes were similar to 2013.</w:t>
      </w:r>
    </w:p>
    <w:p>
      <w:pPr>
        <w:spacing w:after="0" w:line="161" w:lineRule="exact"/>
        <w:rPr>
          <w:sz w:val="20"/>
          <w:szCs w:val="20"/>
          <w:color w:val="auto"/>
        </w:rPr>
      </w:pPr>
    </w:p>
    <w:p>
      <w:pPr>
        <w:spacing w:after="0" w:line="250" w:lineRule="auto"/>
        <w:rPr>
          <w:sz w:val="20"/>
          <w:szCs w:val="20"/>
          <w:color w:val="auto"/>
        </w:rPr>
      </w:pPr>
      <w:r>
        <w:rPr>
          <w:rFonts w:ascii="Arial" w:cs="Arial" w:eastAsia="Arial" w:hAnsi="Arial"/>
          <w:sz w:val="14"/>
          <w:szCs w:val="14"/>
          <w:color w:val="auto"/>
        </w:rPr>
        <w:t>Chemicals sales volumes were 2% lower than in 2013, mainly as a result of plant outages at Moerdijk. Chemicals plant availability decreased to 85% from 92% in 2013, mainly due to these outages.</w:t>
      </w:r>
    </w:p>
    <w:p>
      <w:pPr>
        <w:spacing w:after="0" w:line="172" w:lineRule="exact"/>
        <w:rPr>
          <w:sz w:val="20"/>
          <w:szCs w:val="20"/>
          <w:color w:val="auto"/>
        </w:rPr>
      </w:pPr>
    </w:p>
    <w:p>
      <w:pPr>
        <w:ind w:right="60"/>
        <w:spacing w:after="0" w:line="244" w:lineRule="auto"/>
        <w:rPr>
          <w:sz w:val="20"/>
          <w:szCs w:val="20"/>
          <w:color w:val="auto"/>
        </w:rPr>
      </w:pPr>
      <w:r>
        <w:rPr>
          <w:rFonts w:ascii="Arial" w:cs="Arial" w:eastAsia="Arial" w:hAnsi="Arial"/>
          <w:sz w:val="14"/>
          <w:szCs w:val="14"/>
          <w:color w:val="auto"/>
        </w:rPr>
        <w:t>Overall, operating expenses were 3% lower than in 2013. Production and manufacturing expenses were similar to 2013 as the effects of inflation and higher maintenance costs were offset by more favourable exchange rates and divestments. Selling, distribution and administrative expenses decreased due to divestments, reduced spending related to lower volumes in some businesses and more favourable exchange rates.</w:t>
      </w:r>
    </w:p>
    <w:p>
      <w:pPr>
        <w:spacing w:after="0" w:line="166" w:lineRule="exact"/>
        <w:rPr>
          <w:sz w:val="20"/>
          <w:szCs w:val="20"/>
          <w:color w:val="auto"/>
        </w:rPr>
      </w:pPr>
    </w:p>
    <w:p>
      <w:pPr>
        <w:ind w:right="220"/>
        <w:spacing w:after="0" w:line="247" w:lineRule="auto"/>
        <w:rPr>
          <w:sz w:val="20"/>
          <w:szCs w:val="20"/>
          <w:color w:val="auto"/>
        </w:rPr>
      </w:pPr>
      <w:r>
        <w:rPr>
          <w:rFonts w:ascii="Arial" w:cs="Arial" w:eastAsia="Arial" w:hAnsi="Arial"/>
          <w:sz w:val="14"/>
          <w:szCs w:val="14"/>
          <w:color w:val="auto"/>
        </w:rPr>
        <w:t>Depreciation, depletion and amortisation significantly increased in 2014 compared with 2013, mainly due to impairments described below. Excluding the impairments, depreciation decreased compared with 2013 due to divestments and reduced depreciation from impaired assets.</w:t>
      </w:r>
    </w:p>
    <w:p>
      <w:pPr>
        <w:spacing w:after="0" w:line="161" w:lineRule="exact"/>
        <w:rPr>
          <w:sz w:val="20"/>
          <w:szCs w:val="20"/>
          <w:color w:val="auto"/>
        </w:rPr>
      </w:pPr>
    </w:p>
    <w:p>
      <w:pPr>
        <w:ind w:right="80"/>
        <w:spacing w:after="0" w:line="245" w:lineRule="auto"/>
        <w:rPr>
          <w:sz w:val="20"/>
          <w:szCs w:val="20"/>
          <w:color w:val="auto"/>
        </w:rPr>
      </w:pPr>
      <w:r>
        <w:rPr>
          <w:rFonts w:ascii="Arial" w:cs="Arial" w:eastAsia="Arial" w:hAnsi="Arial"/>
          <w:sz w:val="14"/>
          <w:szCs w:val="14"/>
          <w:color w:val="auto"/>
        </w:rPr>
        <w:t>Segment earnings in 2014 included a net charge of $2,854 million, primarily from impairments (mainly in respect of refineries in Asia and Europe) and also from restructuring charges, fair value accounting of commodity derivatives and a provision connected to a prior year sale obligation. Partly offsetting these charges was a gain related to Dutch pension plan amendments.</w:t>
      </w:r>
    </w:p>
    <w:p>
      <w:pPr>
        <w:spacing w:after="0" w:line="178" w:lineRule="exact"/>
        <w:rPr>
          <w:sz w:val="20"/>
          <w:szCs w:val="20"/>
          <w:color w:val="auto"/>
        </w:rPr>
      </w:pPr>
    </w:p>
    <w:p>
      <w:pPr>
        <w:ind w:right="200"/>
        <w:spacing w:after="0" w:line="250" w:lineRule="auto"/>
        <w:rPr>
          <w:sz w:val="20"/>
          <w:szCs w:val="20"/>
          <w:color w:val="auto"/>
        </w:rPr>
      </w:pPr>
      <w:r>
        <w:rPr>
          <w:rFonts w:ascii="Arial" w:cs="Arial" w:eastAsia="Arial" w:hAnsi="Arial"/>
          <w:sz w:val="14"/>
          <w:szCs w:val="14"/>
          <w:color w:val="auto"/>
        </w:rPr>
        <w:t>Segment earnings in 2013 included a net charge of $597 million, resulting primarily from impairments and deferred tax adjustments which were partly offset by a beneficial tax rate change in the UK and gains on divestments.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color w:val="auto"/>
        </w:rPr>
        <w:t>EARNINGS 2013-2012</w:t>
      </w:r>
    </w:p>
    <w:p>
      <w:pPr>
        <w:spacing w:after="0" w:line="1" w:lineRule="exact"/>
        <w:rPr>
          <w:sz w:val="20"/>
          <w:szCs w:val="20"/>
          <w:color w:val="auto"/>
        </w:rPr>
      </w:pPr>
    </w:p>
    <w:p>
      <w:pPr>
        <w:spacing w:after="0" w:line="244" w:lineRule="auto"/>
        <w:rPr>
          <w:sz w:val="20"/>
          <w:szCs w:val="20"/>
          <w:color w:val="auto"/>
        </w:rPr>
      </w:pPr>
      <w:r>
        <w:rPr>
          <w:rFonts w:ascii="Arial" w:cs="Arial" w:eastAsia="Arial" w:hAnsi="Arial"/>
          <w:sz w:val="14"/>
          <w:szCs w:val="14"/>
          <w:color w:val="auto"/>
        </w:rPr>
        <w:t>Segment earnings in 2013 were $3,869 million, 28% lower than in 2012. Segment earnings were 16% lower excluding the impact of the net charge of $597 million in 2013 described above and the net gain of $39 million in 2012 resulting from net gains on divestments and a tax credit, partly offset by legal and environmental provisions. The 16% decrease was mostly due to Refining making a loss, due to weaker margins, which was partly offset by higher contributions from Chemicals and Trading. Contributions from Marketing were broadly similar to 2012.</w:t>
      </w:r>
    </w:p>
    <w:p>
      <w:pPr>
        <w:spacing w:after="0" w:line="164" w:lineRule="exact"/>
        <w:rPr>
          <w:sz w:val="20"/>
          <w:szCs w:val="20"/>
          <w:color w:val="auto"/>
        </w:rPr>
      </w:pPr>
    </w:p>
    <w:p>
      <w:pPr>
        <w:ind w:right="80"/>
        <w:spacing w:after="0" w:line="245" w:lineRule="auto"/>
        <w:rPr>
          <w:sz w:val="20"/>
          <w:szCs w:val="20"/>
          <w:color w:val="auto"/>
        </w:rPr>
      </w:pPr>
      <w:r>
        <w:rPr>
          <w:rFonts w:ascii="Arial" w:cs="Arial" w:eastAsia="Arial" w:hAnsi="Arial"/>
          <w:sz w:val="14"/>
          <w:szCs w:val="14"/>
          <w:color w:val="auto"/>
        </w:rPr>
        <w:t>Realised refining margins were significantly lower than in 2012 due to a deterioration in industry conditions. Industry refining margins were lower in all regions, except for US Gulf Coast margins which were slightly higher. Lower US West Coast margins in 2013 reflected an excess supply of gasoline in the region. Margins in 2013 were also impacted by a narrower spread between the Brent and West Texas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spacing w:after="0" w:line="1" w:lineRule="exact"/>
        <w:rPr>
          <w:sz w:val="1"/>
          <w:szCs w:val="1"/>
          <w:color w:val="auto"/>
        </w:rPr>
      </w:pPr>
    </w:p>
    <w:tbl>
      <w:tblPr>
        <w:tblLayout w:type="fixed"/>
        <w:tblInd w:w="740" w:type="dxa"/>
        <w:tblCellMar>
          <w:top w:w="0" w:type="dxa"/>
          <w:left w:w="0" w:type="dxa"/>
          <w:bottom w:w="0" w:type="dxa"/>
          <w:right w:w="0" w:type="dxa"/>
        </w:tblCellMar>
      </w:tblPr>
      <w:tr>
        <w:trPr>
          <w:trHeight w:val="161"/>
        </w:trPr>
        <w:tc>
          <w:tcPr>
            <w:tcW w:w="2760" w:type="dxa"/>
            <w:vAlign w:val="bottom"/>
          </w:tcPr>
          <w:p>
            <w:pPr>
              <w:spacing w:after="0"/>
              <w:rPr>
                <w:sz w:val="20"/>
                <w:szCs w:val="20"/>
                <w:color w:val="auto"/>
              </w:rPr>
            </w:pPr>
            <w:r>
              <w:rPr>
                <w:rFonts w:ascii="Arial" w:cs="Arial" w:eastAsia="Arial" w:hAnsi="Arial"/>
                <w:sz w:val="13"/>
                <w:szCs w:val="13"/>
                <w:color w:val="333333"/>
              </w:rPr>
              <w:t>STRATEGIC REPORT</w:t>
            </w:r>
          </w:p>
        </w:tc>
        <w:tc>
          <w:tcPr>
            <w:tcW w:w="1640" w:type="dxa"/>
            <w:vAlign w:val="bottom"/>
          </w:tcPr>
          <w:p>
            <w:pPr>
              <w:jc w:val="right"/>
              <w:spacing w:after="0"/>
              <w:rPr>
                <w:sz w:val="20"/>
                <w:szCs w:val="20"/>
                <w:color w:val="auto"/>
              </w:rPr>
            </w:pPr>
            <w:r>
              <w:rPr>
                <w:rFonts w:ascii="Arial" w:cs="Arial" w:eastAsia="Arial" w:hAnsi="Arial"/>
                <w:sz w:val="11"/>
                <w:szCs w:val="11"/>
                <w:b w:val="1"/>
                <w:bCs w:val="1"/>
                <w:color w:val="333333"/>
              </w:rPr>
              <w:t>41</w:t>
            </w:r>
          </w:p>
        </w:tc>
      </w:tr>
    </w:tbl>
    <w:p>
      <w:pPr>
        <w:spacing w:after="0" w:line="161" w:lineRule="exact"/>
        <w:rPr>
          <w:sz w:val="20"/>
          <w:szCs w:val="20"/>
          <w:color w:val="auto"/>
        </w:rPr>
      </w:pPr>
    </w:p>
    <w:p>
      <w:pPr>
        <w:ind w:left="740"/>
        <w:spacing w:after="0"/>
        <w:rPr>
          <w:sz w:val="20"/>
          <w:szCs w:val="20"/>
          <w:color w:val="auto"/>
        </w:rPr>
      </w:pPr>
      <w:r>
        <w:rPr>
          <w:rFonts w:ascii="Arial" w:cs="Arial" w:eastAsia="Arial" w:hAnsi="Arial"/>
          <w:sz w:val="11"/>
          <w:szCs w:val="11"/>
          <w:color w:val="auto"/>
        </w:rPr>
        <w:t>DOWNSTREAM</w:t>
      </w:r>
    </w:p>
    <w:p>
      <w:pPr>
        <w:spacing w:after="0" w:line="57" w:lineRule="exact"/>
        <w:rPr>
          <w:sz w:val="20"/>
          <w:szCs w:val="20"/>
          <w:color w:val="auto"/>
        </w:rPr>
      </w:pPr>
    </w:p>
    <w:p>
      <w:pPr>
        <w:ind w:right="120"/>
        <w:spacing w:after="0" w:line="244" w:lineRule="auto"/>
        <w:rPr>
          <w:sz w:val="20"/>
          <w:szCs w:val="20"/>
          <w:color w:val="auto"/>
        </w:rPr>
      </w:pPr>
      <w:r>
        <w:rPr>
          <w:rFonts w:ascii="Arial" w:cs="Arial" w:eastAsia="Arial" w:hAnsi="Arial"/>
          <w:sz w:val="14"/>
          <w:szCs w:val="14"/>
          <w:color w:val="auto"/>
        </w:rPr>
        <w:t>Intermediate (WTI) crude oil price benchmarks, as an expansion in pipeline capacity increased the ability to move oil from the landlocked area of Cushing, Oklahoma, where WTI is delivered. In Europe, margins remained weak due to: low regional demand; increased imports from Asia, Russia and the USA; and limited export opportunities to the USA due to high gasoline inventories there. Margins in Asia-Pacific were impacted by excess capacity and weak demand due to an economic slowdown.</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color w:val="auto"/>
        </w:rPr>
        <w:t>NET CAPITAL INVESTMENT</w:t>
      </w:r>
    </w:p>
    <w:p>
      <w:pPr>
        <w:spacing w:after="0" w:line="1" w:lineRule="exact"/>
        <w:rPr>
          <w:sz w:val="20"/>
          <w:szCs w:val="20"/>
          <w:color w:val="auto"/>
        </w:rPr>
      </w:pPr>
    </w:p>
    <w:p>
      <w:pPr>
        <w:ind w:right="260"/>
        <w:spacing w:after="0" w:line="250" w:lineRule="auto"/>
        <w:rPr>
          <w:sz w:val="20"/>
          <w:szCs w:val="20"/>
          <w:color w:val="auto"/>
        </w:rPr>
      </w:pPr>
      <w:r>
        <w:rPr>
          <w:rFonts w:ascii="Arial" w:cs="Arial" w:eastAsia="Arial" w:hAnsi="Arial"/>
          <w:sz w:val="14"/>
          <w:szCs w:val="14"/>
          <w:color w:val="auto"/>
        </w:rPr>
        <w:t>Net capital investment was $3.1 billion in 2014 compared with $4.9 billion in 2013. The decrease was primarily due to higher divestment proceeds, which were $2.8 billion in 2014 compared with $0.6 billion in 2013.</w:t>
      </w:r>
    </w:p>
    <w:p>
      <w:pPr>
        <w:spacing w:after="0" w:line="159" w:lineRule="exact"/>
        <w:rPr>
          <w:sz w:val="20"/>
          <w:szCs w:val="20"/>
          <w:color w:val="auto"/>
        </w:rPr>
      </w:pPr>
    </w:p>
    <w:p>
      <w:pPr>
        <w:spacing w:after="0" w:line="245" w:lineRule="auto"/>
        <w:rPr>
          <w:sz w:val="20"/>
          <w:szCs w:val="20"/>
          <w:color w:val="auto"/>
        </w:rPr>
      </w:pPr>
      <w:r>
        <w:rPr>
          <w:rFonts w:ascii="Arial" w:cs="Arial" w:eastAsia="Arial" w:hAnsi="Arial"/>
          <w:sz w:val="14"/>
          <w:szCs w:val="14"/>
          <w:color w:val="auto"/>
        </w:rPr>
        <w:t>Capital investment was $5.9 billion in 2014 compared with $5.5 billion in 2013. In Refining and Chemicals, it increased by $0.5 billion to $3.7 billion and in Marketing it decreased by $0.1 billion to $2.2 billion. In 2014, 54% of our capital investment was used to maintain the integrity and performance of our asset base, compared with 61% in 2013.</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color w:val="auto"/>
        </w:rPr>
        <w:t>PORTFOLIO ACTIONS</w:t>
      </w:r>
    </w:p>
    <w:p>
      <w:pPr>
        <w:spacing w:after="0" w:line="1" w:lineRule="exact"/>
        <w:rPr>
          <w:sz w:val="20"/>
          <w:szCs w:val="20"/>
          <w:color w:val="auto"/>
        </w:rPr>
      </w:pPr>
    </w:p>
    <w:p>
      <w:pPr>
        <w:ind w:right="40"/>
        <w:spacing w:after="0" w:line="258" w:lineRule="auto"/>
        <w:rPr>
          <w:sz w:val="20"/>
          <w:szCs w:val="20"/>
          <w:color w:val="auto"/>
        </w:rPr>
      </w:pPr>
      <w:r>
        <w:rPr>
          <w:rFonts w:ascii="Arial" w:cs="Arial" w:eastAsia="Arial" w:hAnsi="Arial"/>
          <w:sz w:val="14"/>
          <w:szCs w:val="14"/>
          <w:color w:val="auto"/>
        </w:rPr>
        <w:t>In Pipelines, we formed Shell Midstream Partners, L.P. (see “Business and property – Pipelines” in this section).</w:t>
      </w:r>
    </w:p>
    <w:p>
      <w:pPr>
        <w:spacing w:after="0" w:line="167" w:lineRule="exact"/>
        <w:rPr>
          <w:sz w:val="20"/>
          <w:szCs w:val="20"/>
          <w:color w:val="auto"/>
        </w:rPr>
      </w:pPr>
    </w:p>
    <w:p>
      <w:pPr>
        <w:ind w:right="20"/>
        <w:spacing w:after="0" w:line="244" w:lineRule="auto"/>
        <w:rPr>
          <w:sz w:val="20"/>
          <w:szCs w:val="20"/>
          <w:color w:val="auto"/>
        </w:rPr>
      </w:pPr>
      <w:r>
        <w:rPr>
          <w:rFonts w:ascii="Arial" w:cs="Arial" w:eastAsia="Arial" w:hAnsi="Arial"/>
          <w:sz w:val="14"/>
          <w:szCs w:val="14"/>
          <w:color w:val="auto"/>
        </w:rPr>
        <w:t>In Lubricants, with our joint-venture partner Hyundai Oilbank, we opened a base oil manufacturing plant in Daesan, South Korea (Shell interest 40%). The plant has the capacity to produce some 13 thousand barrels of AP1 Group II base oils per day. The first batch of base oil was successfully blended in the Zhapu lubricant oil blending plant in China in August 2014. Shell will take a majority of the output from this plant in the first few years which will significantly increase the volume of Group II base oils for our supply chain in the region.</w:t>
      </w:r>
    </w:p>
    <w:p>
      <w:pPr>
        <w:spacing w:after="0" w:line="164" w:lineRule="exact"/>
        <w:rPr>
          <w:sz w:val="20"/>
          <w:szCs w:val="20"/>
          <w:color w:val="auto"/>
        </w:rPr>
      </w:pPr>
    </w:p>
    <w:p>
      <w:pPr>
        <w:ind w:right="20"/>
        <w:spacing w:after="0" w:line="244" w:lineRule="auto"/>
        <w:rPr>
          <w:sz w:val="20"/>
          <w:szCs w:val="20"/>
          <w:color w:val="auto"/>
        </w:rPr>
      </w:pPr>
      <w:r>
        <w:rPr>
          <w:rFonts w:ascii="Arial" w:cs="Arial" w:eastAsia="Arial" w:hAnsi="Arial"/>
          <w:sz w:val="14"/>
          <w:szCs w:val="14"/>
          <w:color w:val="auto"/>
        </w:rPr>
        <w:t>In Chemicals, Shell has taken full control of Ellba Eastern (Pte) Ltd, through the acquisition of the outstanding 50% interest. The company, which was already operated by Shell, produces styrene monomer and propylene oxide. The buyout enables integration with and optimisation of Shell’s existing asset base on Jurong Island, in Singapore, allowing for future growth. With our partner Qatar Petroleum, we have decided not to proceed with the Al Karaana petrochemicals project in Qatar.</w:t>
      </w:r>
    </w:p>
    <w:p>
      <w:pPr>
        <w:spacing w:after="0" w:line="166" w:lineRule="exact"/>
        <w:rPr>
          <w:sz w:val="20"/>
          <w:szCs w:val="20"/>
          <w:color w:val="auto"/>
        </w:rPr>
      </w:pPr>
    </w:p>
    <w:p>
      <w:pPr>
        <w:ind w:right="100"/>
        <w:spacing w:after="0" w:line="246" w:lineRule="auto"/>
        <w:rPr>
          <w:sz w:val="20"/>
          <w:szCs w:val="20"/>
          <w:color w:val="auto"/>
        </w:rPr>
      </w:pPr>
      <w:r>
        <w:rPr>
          <w:rFonts w:ascii="Arial" w:cs="Arial" w:eastAsia="Arial" w:hAnsi="Arial"/>
          <w:sz w:val="14"/>
          <w:szCs w:val="14"/>
          <w:color w:val="auto"/>
        </w:rPr>
        <w:t>Our Raízen joint venture in Brazil has commissioned a second-generation biofuels plant, which will use technology from Iogen Energy to produce about 40 million litres of cellulosic ethanol a year from leaves, bark and other sugar cane waste. Additionally, Raizen acquired the fuel distributor Distribuidora Latina and its 200-plus retail stations.</w:t>
      </w:r>
    </w:p>
    <w:p>
      <w:pPr>
        <w:spacing w:after="0" w:line="339" w:lineRule="exact"/>
        <w:rPr>
          <w:sz w:val="20"/>
          <w:szCs w:val="20"/>
          <w:color w:val="auto"/>
        </w:rPr>
      </w:pPr>
    </w:p>
    <w:p>
      <w:pPr>
        <w:ind w:right="80"/>
        <w:spacing w:after="0" w:line="258" w:lineRule="auto"/>
        <w:rPr>
          <w:sz w:val="20"/>
          <w:szCs w:val="20"/>
          <w:color w:val="auto"/>
        </w:rPr>
      </w:pPr>
      <w:r>
        <w:rPr>
          <w:rFonts w:ascii="Arial" w:cs="Arial" w:eastAsia="Arial" w:hAnsi="Arial"/>
          <w:sz w:val="14"/>
          <w:szCs w:val="14"/>
          <w:color w:val="auto"/>
        </w:rPr>
        <w:t>We continued to review our portfolio to divest positions that fail to deliver competitive performance or no longer meet our longer-term strategic objectives.</w:t>
      </w:r>
    </w:p>
    <w:p>
      <w:pPr>
        <w:spacing w:after="0" w:line="154" w:lineRule="exact"/>
        <w:rPr>
          <w:sz w:val="20"/>
          <w:szCs w:val="20"/>
          <w:color w:val="auto"/>
        </w:rPr>
      </w:pPr>
    </w:p>
    <w:p>
      <w:pPr>
        <w:ind w:right="20"/>
        <w:spacing w:after="0" w:line="258" w:lineRule="auto"/>
        <w:rPr>
          <w:sz w:val="20"/>
          <w:szCs w:val="20"/>
          <w:color w:val="auto"/>
        </w:rPr>
      </w:pPr>
      <w:r>
        <w:rPr>
          <w:rFonts w:ascii="Arial" w:cs="Arial" w:eastAsia="Arial" w:hAnsi="Arial"/>
          <w:sz w:val="14"/>
          <w:szCs w:val="14"/>
          <w:color w:val="auto"/>
        </w:rPr>
        <w:t>We sold the majority of our Downstream businesses in Australia and Italy. In Australia we retained the aviation business; in Italy we retained the lubricants business.</w:t>
      </w:r>
    </w:p>
    <w:p>
      <w:pPr>
        <w:spacing w:after="0" w:line="154" w:lineRule="exact"/>
        <w:rPr>
          <w:sz w:val="20"/>
          <w:szCs w:val="20"/>
          <w:color w:val="auto"/>
        </w:rPr>
      </w:pPr>
    </w:p>
    <w:p>
      <w:pPr>
        <w:ind w:right="80"/>
        <w:spacing w:after="0" w:line="247" w:lineRule="auto"/>
        <w:rPr>
          <w:sz w:val="20"/>
          <w:szCs w:val="20"/>
          <w:color w:val="auto"/>
        </w:rPr>
      </w:pPr>
      <w:r>
        <w:rPr>
          <w:rFonts w:ascii="Arial" w:cs="Arial" w:eastAsia="Arial" w:hAnsi="Arial"/>
          <w:sz w:val="14"/>
          <w:szCs w:val="14"/>
          <w:color w:val="auto"/>
        </w:rPr>
        <w:t>We sold our shareholdings in the Kralupy and Litvinov refineries in the Czech Republic. We announced the intention to explore viable options for the Port Dickson refinery in Malaysia (Shell interest 51%), including the potential sale or conversion of operations to a storage terminal.</w:t>
      </w:r>
    </w:p>
    <w:p>
      <w:pPr>
        <w:spacing w:after="0" w:line="175" w:lineRule="exact"/>
        <w:rPr>
          <w:sz w:val="20"/>
          <w:szCs w:val="20"/>
          <w:color w:val="auto"/>
        </w:rPr>
      </w:pPr>
    </w:p>
    <w:p>
      <w:pPr>
        <w:jc w:val="both"/>
        <w:ind w:right="80"/>
        <w:spacing w:after="0" w:line="250" w:lineRule="auto"/>
        <w:rPr>
          <w:sz w:val="20"/>
          <w:szCs w:val="20"/>
          <w:color w:val="auto"/>
        </w:rPr>
      </w:pPr>
      <w:r>
        <w:rPr>
          <w:rFonts w:ascii="Arial" w:cs="Arial" w:eastAsia="Arial" w:hAnsi="Arial"/>
          <w:sz w:val="14"/>
          <w:szCs w:val="14"/>
          <w:color w:val="auto"/>
        </w:rPr>
        <w:t>We signed an agreement to sell our retail, commercial fuels and bitumen businesses and supply terminals in Norway to ST1. They will continue to operate under the Shell brand. We intend to continue to</w:t>
      </w:r>
    </w:p>
    <w:p>
      <w:pPr>
        <w:sectPr>
          <w:pgSz w:w="11900" w:h="16838" w:orient="portrait"/>
          <w:cols w:equalWidth="0" w:num="2">
            <w:col w:w="5480" w:space="300"/>
            <w:col w:w="5460"/>
          </w:cols>
          <w:pgMar w:left="240" w:top="459" w:right="419" w:bottom="1440" w:gutter="0" w:footer="0" w:header="0"/>
          <w:type w:val="continuous"/>
        </w:sectPr>
      </w:pPr>
    </w:p>
    <w:bookmarkStart w:id="43" w:name="page44"/>
    <w:bookmarkEnd w:id="43"/>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314960</wp:posOffset>
            </wp:positionV>
            <wp:extent cx="3627755" cy="46291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3627755" cy="462915"/>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p>
      <w:pPr>
        <w:spacing w:after="0" w:line="200" w:lineRule="exact"/>
        <w:rPr>
          <w:sz w:val="20"/>
          <w:szCs w:val="20"/>
          <w:color w:val="auto"/>
        </w:rPr>
      </w:pP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419"/>
        </w:trPr>
        <w:tc>
          <w:tcPr>
            <w:tcW w:w="2080" w:type="dxa"/>
            <w:vAlign w:val="bottom"/>
            <w:shd w:val="clear" w:color="auto" w:fill="FF8B00"/>
          </w:tcPr>
          <w:p>
            <w:pPr>
              <w:spacing w:after="0"/>
              <w:rPr>
                <w:sz w:val="24"/>
                <w:szCs w:val="24"/>
                <w:color w:val="auto"/>
              </w:rPr>
            </w:pPr>
          </w:p>
        </w:tc>
        <w:tc>
          <w:tcPr>
            <w:tcW w:w="3640" w:type="dxa"/>
            <w:vAlign w:val="bottom"/>
            <w:shd w:val="clear" w:color="auto" w:fill="FF8B00"/>
          </w:tcPr>
          <w:p>
            <w:pPr>
              <w:spacing w:after="0"/>
              <w:rPr>
                <w:sz w:val="24"/>
                <w:szCs w:val="24"/>
                <w:color w:val="auto"/>
              </w:rPr>
            </w:pPr>
          </w:p>
        </w:tc>
      </w:tr>
      <w:tr>
        <w:trPr>
          <w:trHeight w:val="152"/>
        </w:trPr>
        <w:tc>
          <w:tcPr>
            <w:tcW w:w="2080" w:type="dxa"/>
            <w:vAlign w:val="bottom"/>
          </w:tcPr>
          <w:p>
            <w:pPr>
              <w:jc w:val="right"/>
              <w:ind w:right="1546"/>
              <w:spacing w:after="0"/>
              <w:rPr>
                <w:sz w:val="20"/>
                <w:szCs w:val="20"/>
                <w:color w:val="auto"/>
              </w:rPr>
            </w:pPr>
            <w:r>
              <w:rPr>
                <w:rFonts w:ascii="Arial" w:cs="Arial" w:eastAsia="Arial" w:hAnsi="Arial"/>
                <w:sz w:val="11"/>
                <w:szCs w:val="11"/>
                <w:b w:val="1"/>
                <w:bCs w:val="1"/>
                <w:color w:val="333333"/>
              </w:rPr>
              <w:t>42</w:t>
            </w:r>
          </w:p>
        </w:tc>
        <w:tc>
          <w:tcPr>
            <w:tcW w:w="3640" w:type="dxa"/>
            <w:vAlign w:val="bottom"/>
          </w:tcPr>
          <w:p>
            <w:pPr>
              <w:ind w:left="1580"/>
              <w:spacing w:after="0"/>
              <w:rPr>
                <w:sz w:val="20"/>
                <w:szCs w:val="20"/>
                <w:color w:val="auto"/>
              </w:rPr>
            </w:pPr>
            <w:r>
              <w:rPr>
                <w:rFonts w:ascii="Arial" w:cs="Arial" w:eastAsia="Arial" w:hAnsi="Arial"/>
                <w:sz w:val="13"/>
                <w:szCs w:val="13"/>
                <w:color w:val="333333"/>
              </w:rPr>
              <w:t>STRATEGIC REPORT</w:t>
            </w:r>
          </w:p>
        </w:tc>
      </w:tr>
    </w:tbl>
    <w:p>
      <w:pPr>
        <w:spacing w:after="0" w:line="155" w:lineRule="exact"/>
        <w:rPr>
          <w:sz w:val="20"/>
          <w:szCs w:val="20"/>
          <w:color w:val="auto"/>
        </w:rPr>
      </w:pPr>
    </w:p>
    <w:p>
      <w:pPr>
        <w:ind w:left="4140"/>
        <w:spacing w:after="0"/>
        <w:rPr>
          <w:sz w:val="20"/>
          <w:szCs w:val="20"/>
          <w:color w:val="auto"/>
        </w:rPr>
      </w:pPr>
      <w:r>
        <w:rPr>
          <w:rFonts w:ascii="Arial" w:cs="Arial" w:eastAsia="Arial" w:hAnsi="Arial"/>
          <w:sz w:val="11"/>
          <w:szCs w:val="11"/>
          <w:color w:val="auto"/>
        </w:rPr>
        <w:t>DOWNSTREAM</w:t>
      </w:r>
    </w:p>
    <w:p>
      <w:pPr>
        <w:spacing w:after="0" w:line="48" w:lineRule="exact"/>
        <w:rPr>
          <w:sz w:val="20"/>
          <w:szCs w:val="20"/>
          <w:color w:val="auto"/>
        </w:rPr>
      </w:pPr>
    </w:p>
    <w:p>
      <w:pPr>
        <w:spacing w:after="0"/>
        <w:rPr>
          <w:sz w:val="20"/>
          <w:szCs w:val="20"/>
          <w:color w:val="auto"/>
        </w:rPr>
      </w:pPr>
      <w:r>
        <w:rPr>
          <w:rFonts w:ascii="Arial" w:cs="Arial" w:eastAsia="Arial" w:hAnsi="Arial"/>
          <w:sz w:val="24"/>
          <w:szCs w:val="24"/>
          <w:color w:val="auto"/>
        </w:rPr>
        <w:t>DOWNSTREAM</w:t>
      </w:r>
    </w:p>
    <w:p>
      <w:pPr>
        <w:spacing w:after="0" w:line="8" w:lineRule="exact"/>
        <w:rPr>
          <w:sz w:val="20"/>
          <w:szCs w:val="20"/>
          <w:color w:val="auto"/>
        </w:rPr>
      </w:pPr>
    </w:p>
    <w:p>
      <w:pPr>
        <w:spacing w:after="0"/>
        <w:rPr>
          <w:sz w:val="20"/>
          <w:szCs w:val="20"/>
          <w:color w:val="auto"/>
        </w:rPr>
      </w:pPr>
      <w:r>
        <w:rPr>
          <w:rFonts w:ascii="Arial" w:cs="Arial" w:eastAsia="Arial" w:hAnsi="Arial"/>
          <w:sz w:val="24"/>
          <w:szCs w:val="24"/>
          <w:color w:val="666666"/>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1612265"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1612265" cy="8890"/>
                    </a:xfrm>
                    <a:prstGeom prst="rect">
                      <a:avLst/>
                    </a:prstGeom>
                    <a:noFill/>
                  </pic:spPr>
                </pic:pic>
              </a:graphicData>
            </a:graphic>
          </wp:anchor>
        </w:drawing>
      </w:r>
    </w:p>
    <w:p>
      <w:pPr>
        <w:spacing w:after="0" w:line="199" w:lineRule="exact"/>
        <w:rPr>
          <w:sz w:val="20"/>
          <w:szCs w:val="20"/>
          <w:color w:val="auto"/>
        </w:rPr>
      </w:pPr>
    </w:p>
    <w:p>
      <w:pPr>
        <w:ind w:right="480"/>
        <w:spacing w:after="0" w:line="258" w:lineRule="auto"/>
        <w:rPr>
          <w:sz w:val="20"/>
          <w:szCs w:val="20"/>
          <w:color w:val="auto"/>
        </w:rPr>
      </w:pPr>
      <w:r>
        <w:rPr>
          <w:rFonts w:ascii="Arial" w:cs="Arial" w:eastAsia="Arial" w:hAnsi="Arial"/>
          <w:sz w:val="14"/>
          <w:szCs w:val="14"/>
          <w:color w:val="auto"/>
        </w:rPr>
        <w:t>operate the aviation business as a joint venture with ST1. The Gasnor, marine and lubricants businesses are not included in the agreement.</w:t>
      </w:r>
    </w:p>
    <w:p>
      <w:pPr>
        <w:spacing w:after="0" w:line="154" w:lineRule="exact"/>
        <w:rPr>
          <w:sz w:val="20"/>
          <w:szCs w:val="20"/>
          <w:color w:val="auto"/>
        </w:rPr>
      </w:pPr>
    </w:p>
    <w:p>
      <w:pPr>
        <w:ind w:right="340"/>
        <w:spacing w:after="0" w:line="250" w:lineRule="auto"/>
        <w:rPr>
          <w:sz w:val="20"/>
          <w:szCs w:val="20"/>
          <w:color w:val="auto"/>
        </w:rPr>
      </w:pPr>
      <w:r>
        <w:rPr>
          <w:rFonts w:ascii="Arial" w:cs="Arial" w:eastAsia="Arial" w:hAnsi="Arial"/>
          <w:sz w:val="14"/>
          <w:szCs w:val="14"/>
          <w:color w:val="auto"/>
        </w:rPr>
        <w:t>We have announced our intention to sell the Fredericia refinery, retail, aviation and commercial fuels businesses in Denmark. We intend to continue to sell lubricants via a distributor.</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color w:val="auto"/>
        </w:rPr>
        <w:t>BUSINESS AND PROPERTY</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Refining</w:t>
      </w:r>
    </w:p>
    <w:p>
      <w:pPr>
        <w:spacing w:after="0" w:line="1" w:lineRule="exact"/>
        <w:rPr>
          <w:sz w:val="20"/>
          <w:szCs w:val="20"/>
          <w:color w:val="auto"/>
        </w:rPr>
      </w:pPr>
    </w:p>
    <w:p>
      <w:pPr>
        <w:ind w:right="400"/>
        <w:spacing w:after="0" w:line="247" w:lineRule="auto"/>
        <w:rPr>
          <w:sz w:val="20"/>
          <w:szCs w:val="20"/>
          <w:color w:val="auto"/>
        </w:rPr>
      </w:pPr>
      <w:r>
        <w:rPr>
          <w:rFonts w:ascii="Arial" w:cs="Arial" w:eastAsia="Arial" w:hAnsi="Arial"/>
          <w:sz w:val="14"/>
          <w:szCs w:val="14"/>
          <w:color w:val="auto"/>
        </w:rPr>
        <w:t>We have interests in 24 refineries worldwide with the capacity to process a total of over 3.1 million barrels of crude oil per day (Shell share). Approximately 35% of our refining capacity is in Europe and Africa, with 39% in the Americas and 26% in Asia and Oceania.</w:t>
      </w:r>
    </w:p>
    <w:p>
      <w:pPr>
        <w:spacing w:after="0" w:line="161" w:lineRule="exact"/>
        <w:rPr>
          <w:sz w:val="20"/>
          <w:szCs w:val="20"/>
          <w:color w:val="auto"/>
        </w:rPr>
      </w:pPr>
    </w:p>
    <w:p>
      <w:pPr>
        <w:ind w:right="320"/>
        <w:spacing w:after="0" w:line="250" w:lineRule="auto"/>
        <w:rPr>
          <w:sz w:val="20"/>
          <w:szCs w:val="20"/>
          <w:color w:val="auto"/>
        </w:rPr>
      </w:pPr>
      <w:r>
        <w:rPr>
          <w:rFonts w:ascii="Arial" w:cs="Arial" w:eastAsia="Arial" w:hAnsi="Arial"/>
          <w:sz w:val="14"/>
          <w:szCs w:val="14"/>
          <w:color w:val="auto"/>
        </w:rPr>
        <w:t>The Port Arthur refinery in Texas, USA, owned by Motiva Enterprises LLC (Shell interest 50%), is the largest refinery in North America and includes one of the world’s largest single-site base oil manufacturing plants.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color w:val="auto"/>
        </w:rPr>
        <w:t>Pipelines</w:t>
      </w:r>
    </w:p>
    <w:p>
      <w:pPr>
        <w:spacing w:after="0" w:line="1" w:lineRule="exact"/>
        <w:rPr>
          <w:sz w:val="20"/>
          <w:szCs w:val="20"/>
          <w:color w:val="auto"/>
        </w:rPr>
      </w:pPr>
    </w:p>
    <w:p>
      <w:pPr>
        <w:ind w:right="300"/>
        <w:spacing w:after="0" w:line="245" w:lineRule="auto"/>
        <w:rPr>
          <w:sz w:val="20"/>
          <w:szCs w:val="20"/>
          <w:color w:val="auto"/>
        </w:rPr>
      </w:pPr>
      <w:r>
        <w:rPr>
          <w:rFonts w:ascii="Arial" w:cs="Arial" w:eastAsia="Arial" w:hAnsi="Arial"/>
          <w:sz w:val="14"/>
          <w:szCs w:val="14"/>
          <w:color w:val="auto"/>
        </w:rPr>
        <w:t>Shell Pipeline Company owns and operates seven tank farms across the USA and transports more than 1.5 billion barrels of crude oil and refined products a year through 3,800 miles of pipelines in the Gulf of Mexico and five US states. Our various non-operated ownership interests provide a further 8,000 pipeline miles and offer opportunities for sharing best practices with other pipeline operators.</w:t>
      </w:r>
    </w:p>
    <w:p>
      <w:pPr>
        <w:spacing w:after="0" w:line="178" w:lineRule="exact"/>
        <w:rPr>
          <w:sz w:val="20"/>
          <w:szCs w:val="20"/>
          <w:color w:val="auto"/>
        </w:rPr>
      </w:pPr>
    </w:p>
    <w:p>
      <w:pPr>
        <w:ind w:right="500"/>
        <w:spacing w:after="0" w:line="258" w:lineRule="auto"/>
        <w:rPr>
          <w:sz w:val="20"/>
          <w:szCs w:val="20"/>
          <w:color w:val="auto"/>
        </w:rPr>
      </w:pPr>
      <w:r>
        <w:rPr>
          <w:rFonts w:ascii="Arial" w:cs="Arial" w:eastAsia="Arial" w:hAnsi="Arial"/>
          <w:sz w:val="14"/>
          <w:szCs w:val="14"/>
          <w:color w:val="auto"/>
        </w:rPr>
        <w:t>We carry more than 40 types of crude oil and more than 20 grades of gasoline, as well as diesel fuel, aviation fuel, chemicals and ethylene.</w:t>
      </w:r>
    </w:p>
    <w:p>
      <w:pPr>
        <w:spacing w:after="0" w:line="154" w:lineRule="exact"/>
        <w:rPr>
          <w:sz w:val="20"/>
          <w:szCs w:val="20"/>
          <w:color w:val="auto"/>
        </w:rPr>
      </w:pPr>
    </w:p>
    <w:p>
      <w:pPr>
        <w:ind w:right="280"/>
        <w:spacing w:after="0" w:line="243" w:lineRule="auto"/>
        <w:rPr>
          <w:sz w:val="20"/>
          <w:szCs w:val="20"/>
          <w:color w:val="auto"/>
        </w:rPr>
      </w:pPr>
      <w:r>
        <w:rPr>
          <w:rFonts w:ascii="Arial" w:cs="Arial" w:eastAsia="Arial" w:hAnsi="Arial"/>
          <w:sz w:val="14"/>
          <w:szCs w:val="14"/>
          <w:color w:val="auto"/>
        </w:rPr>
        <w:t>Shell Midstream Partners L.P., was formed to own, operate, develop and acquire pipelines and other midstream assets, and was listed on the New York Stock Exchange under the ticker symbol “SHLX” on October 29, 2014. The partnership’s initial assets, which include a portion of Shell’s interest in four pipelines that transport crude oil and refined products offshore from the Gulf of Mexico and along the US Gulf Coast and East Coast, consist of interests in entities that own crude oil and refined products pipelines which serve as key infrastructure for transporting growing volumes of oil, produced onshore and offshore, to Gulf Coast refining markets. It also delivers refined products from those refineries to major demand centres. Shell controls the general partner and holds a majority share in the limited partnership.</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auto"/>
        </w:rPr>
        <w:t>Marketing</w:t>
      </w:r>
    </w:p>
    <w:p>
      <w:pPr>
        <w:spacing w:after="0" w:line="176" w:lineRule="exact"/>
        <w:rPr>
          <w:sz w:val="20"/>
          <w:szCs w:val="20"/>
          <w:color w:val="auto"/>
        </w:rPr>
      </w:pPr>
    </w:p>
    <w:p>
      <w:pPr>
        <w:spacing w:after="0"/>
        <w:rPr>
          <w:sz w:val="20"/>
          <w:szCs w:val="20"/>
          <w:color w:val="auto"/>
        </w:rPr>
      </w:pPr>
      <w:r>
        <w:rPr>
          <w:rFonts w:ascii="Arial" w:cs="Arial" w:eastAsia="Arial" w:hAnsi="Arial"/>
          <w:sz w:val="13"/>
          <w:szCs w:val="13"/>
          <w:color w:val="auto"/>
        </w:rPr>
        <w:t>RETAIL</w:t>
      </w:r>
    </w:p>
    <w:p>
      <w:pPr>
        <w:ind w:right="240"/>
        <w:spacing w:after="0" w:line="245" w:lineRule="auto"/>
        <w:rPr>
          <w:sz w:val="20"/>
          <w:szCs w:val="20"/>
          <w:color w:val="auto"/>
        </w:rPr>
      </w:pPr>
      <w:r>
        <w:rPr>
          <w:rFonts w:ascii="Arial" w:cs="Arial" w:eastAsia="Arial" w:hAnsi="Arial"/>
          <w:sz w:val="14"/>
          <w:szCs w:val="14"/>
          <w:color w:val="auto"/>
        </w:rPr>
        <w:t>There were close to 43,000 Shell-branded retail stations in over 70 countries at the end of 2014. We have more than 100 years’ experience in fuel development. In recent years, we have concentrated on developing fuels with special formulations designed to clean engines and improve performance. We sell such fuels under the Shell V-Power brand in more than 60 countries.</w:t>
      </w:r>
    </w:p>
    <w:p>
      <w:pPr>
        <w:spacing w:after="0" w:line="150" w:lineRule="exact"/>
        <w:rPr>
          <w:sz w:val="20"/>
          <w:szCs w:val="20"/>
          <w:color w:val="auto"/>
        </w:rPr>
      </w:pPr>
    </w:p>
    <w:p>
      <w:pPr>
        <w:spacing w:after="0"/>
        <w:rPr>
          <w:sz w:val="20"/>
          <w:szCs w:val="20"/>
          <w:color w:val="auto"/>
        </w:rPr>
      </w:pPr>
      <w:r>
        <w:rPr>
          <w:rFonts w:ascii="Arial" w:cs="Arial" w:eastAsia="Arial" w:hAnsi="Arial"/>
          <w:sz w:val="13"/>
          <w:szCs w:val="13"/>
          <w:color w:val="auto"/>
        </w:rPr>
        <w:t>LUBRICANTS</w:t>
      </w:r>
    </w:p>
    <w:p>
      <w:pPr>
        <w:ind w:right="480"/>
        <w:spacing w:after="0" w:line="247" w:lineRule="auto"/>
        <w:rPr>
          <w:sz w:val="20"/>
          <w:szCs w:val="20"/>
          <w:color w:val="auto"/>
        </w:rPr>
      </w:pPr>
      <w:r>
        <w:rPr>
          <w:rFonts w:ascii="Arial" w:cs="Arial" w:eastAsia="Arial" w:hAnsi="Arial"/>
          <w:sz w:val="14"/>
          <w:szCs w:val="14"/>
          <w:color w:val="auto"/>
        </w:rPr>
        <w:t>Across approximately 100 countries we make, market or sell technically-advanced lubricants not only for passenger cars, trucks and coaches but also for industrial machinery in the manufacturing, mining, power generation, agriculture and construction sectors.</w:t>
      </w:r>
    </w:p>
    <w:p>
      <w:pPr>
        <w:spacing w:after="0" w:line="161" w:lineRule="exact"/>
        <w:rPr>
          <w:sz w:val="20"/>
          <w:szCs w:val="20"/>
          <w:color w:val="auto"/>
        </w:rPr>
      </w:pPr>
    </w:p>
    <w:p>
      <w:pPr>
        <w:ind w:right="380"/>
        <w:spacing w:after="0" w:line="250" w:lineRule="auto"/>
        <w:rPr>
          <w:sz w:val="20"/>
          <w:szCs w:val="20"/>
          <w:color w:val="auto"/>
        </w:rPr>
      </w:pPr>
      <w:r>
        <w:rPr>
          <w:rFonts w:ascii="Arial" w:cs="Arial" w:eastAsia="Arial" w:hAnsi="Arial"/>
          <w:sz w:val="14"/>
          <w:szCs w:val="14"/>
          <w:color w:val="auto"/>
        </w:rPr>
        <w:t>We lead the global market in branded lubricants. Our passenger car and heavy-duty engine oil brands are the most popular in the USA and China – the world’s largest markets for lubricants.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3240"/>
        <w:spacing w:after="0"/>
        <w:rPr>
          <w:sz w:val="20"/>
          <w:szCs w:val="20"/>
          <w:color w:val="auto"/>
        </w:rPr>
      </w:pPr>
      <w:r>
        <w:rPr>
          <w:rFonts w:ascii="Arial" w:cs="Arial" w:eastAsia="Arial" w:hAnsi="Arial"/>
          <w:sz w:val="10"/>
          <w:szCs w:val="10"/>
          <w:color w:val="auto"/>
        </w:rPr>
        <w:t>SHELL ANNUAL REPORT AND FORM 20-F 2014</w:t>
      </w:r>
    </w:p>
    <w:p>
      <w:pPr>
        <w:spacing w:after="0" w:line="69" w:lineRule="exact"/>
        <w:rPr>
          <w:sz w:val="20"/>
          <w:szCs w:val="20"/>
          <w:color w:val="auto"/>
        </w:rPr>
      </w:pPr>
    </w:p>
    <w:p>
      <w:pPr>
        <w:ind w:right="280"/>
        <w:spacing w:after="0" w:line="250" w:lineRule="auto"/>
        <w:rPr>
          <w:sz w:val="20"/>
          <w:szCs w:val="20"/>
          <w:color w:val="auto"/>
        </w:rPr>
      </w:pPr>
      <w:r>
        <w:rPr>
          <w:rFonts w:ascii="Arial" w:cs="Arial" w:eastAsia="Arial" w:hAnsi="Arial"/>
          <w:sz w:val="14"/>
          <w:szCs w:val="14"/>
          <w:color w:val="auto"/>
        </w:rPr>
        <w:t>We have a global lubricants supply chain with a network of eight base oil manufacturing plants, 50 lubricant blending plants, 18 grease plants and four gas-to-liquids base oil storage hubs.</w:t>
      </w:r>
    </w:p>
    <w:p>
      <w:pPr>
        <w:spacing w:after="0" w:line="172" w:lineRule="exact"/>
        <w:rPr>
          <w:sz w:val="20"/>
          <w:szCs w:val="20"/>
          <w:color w:val="auto"/>
        </w:rPr>
      </w:pPr>
    </w:p>
    <w:p>
      <w:pPr>
        <w:ind w:right="200"/>
        <w:spacing w:after="0" w:line="247" w:lineRule="auto"/>
        <w:rPr>
          <w:sz w:val="20"/>
          <w:szCs w:val="20"/>
          <w:color w:val="auto"/>
        </w:rPr>
      </w:pPr>
      <w:r>
        <w:rPr>
          <w:rFonts w:ascii="Arial" w:cs="Arial" w:eastAsia="Arial" w:hAnsi="Arial"/>
          <w:sz w:val="14"/>
          <w:szCs w:val="14"/>
          <w:color w:val="auto"/>
        </w:rPr>
        <w:t>Through our marine activities we primarily provide lubricants, but also fuels and related technical services, to the shipping and maritime sectors. We supply almost 100 grades of lubricants and 10 types of fuel to vessels worldwide, ranging from large ocean-going tankers to small fishing boats.</w:t>
      </w:r>
    </w:p>
    <w:p>
      <w:pPr>
        <w:spacing w:after="0" w:line="147" w:lineRule="exact"/>
        <w:rPr>
          <w:sz w:val="20"/>
          <w:szCs w:val="20"/>
          <w:color w:val="auto"/>
        </w:rPr>
      </w:pPr>
    </w:p>
    <w:p>
      <w:pPr>
        <w:spacing w:after="0"/>
        <w:rPr>
          <w:sz w:val="20"/>
          <w:szCs w:val="20"/>
          <w:color w:val="auto"/>
        </w:rPr>
      </w:pPr>
      <w:r>
        <w:rPr>
          <w:rFonts w:ascii="Arial" w:cs="Arial" w:eastAsia="Arial" w:hAnsi="Arial"/>
          <w:sz w:val="13"/>
          <w:szCs w:val="13"/>
          <w:color w:val="auto"/>
        </w:rPr>
        <w:t>BUSINESS TO BUSINESS</w:t>
      </w:r>
    </w:p>
    <w:p>
      <w:pPr>
        <w:ind w:right="260"/>
        <w:spacing w:after="0" w:line="258" w:lineRule="auto"/>
        <w:rPr>
          <w:sz w:val="20"/>
          <w:szCs w:val="20"/>
          <w:color w:val="auto"/>
        </w:rPr>
      </w:pPr>
      <w:r>
        <w:rPr>
          <w:rFonts w:ascii="Arial" w:cs="Arial" w:eastAsia="Arial" w:hAnsi="Arial"/>
          <w:sz w:val="14"/>
          <w:szCs w:val="14"/>
          <w:color w:val="auto"/>
        </w:rPr>
        <w:t>Our Business to Business (B2B) activities encompass the sale of fuels and speciality products and services to a broad range of commercial customers.</w:t>
      </w:r>
    </w:p>
    <w:p>
      <w:pPr>
        <w:spacing w:after="0" w:line="154" w:lineRule="exact"/>
        <w:rPr>
          <w:sz w:val="20"/>
          <w:szCs w:val="20"/>
          <w:color w:val="auto"/>
        </w:rPr>
      </w:pPr>
    </w:p>
    <w:p>
      <w:pPr>
        <w:ind w:right="300"/>
        <w:spacing w:after="0" w:line="258" w:lineRule="auto"/>
        <w:rPr>
          <w:sz w:val="20"/>
          <w:szCs w:val="20"/>
          <w:color w:val="auto"/>
        </w:rPr>
      </w:pPr>
      <w:r>
        <w:rPr>
          <w:rFonts w:ascii="Arial" w:cs="Arial" w:eastAsia="Arial" w:hAnsi="Arial"/>
          <w:sz w:val="14"/>
          <w:szCs w:val="14"/>
          <w:color w:val="auto"/>
        </w:rPr>
        <w:t>Shell Aviation fuels more than 7,000 aircraft every day at approximately 800 airports in around 40 countries. On average, we refuel an aircraft every 12 seconds.</w:t>
      </w:r>
    </w:p>
    <w:p>
      <w:pPr>
        <w:spacing w:after="0" w:line="167" w:lineRule="exact"/>
        <w:rPr>
          <w:sz w:val="20"/>
          <w:szCs w:val="20"/>
          <w:color w:val="auto"/>
        </w:rPr>
      </w:pPr>
    </w:p>
    <w:p>
      <w:pPr>
        <w:ind w:right="540"/>
        <w:spacing w:after="0" w:line="258" w:lineRule="auto"/>
        <w:rPr>
          <w:sz w:val="20"/>
          <w:szCs w:val="20"/>
          <w:color w:val="auto"/>
        </w:rPr>
      </w:pPr>
      <w:r>
        <w:rPr>
          <w:rFonts w:ascii="Arial" w:cs="Arial" w:eastAsia="Arial" w:hAnsi="Arial"/>
          <w:sz w:val="14"/>
          <w:szCs w:val="14"/>
          <w:color w:val="auto"/>
        </w:rPr>
        <w:t>Shell Gas (LPG) provides liquefied petroleum gas and related services to retail, commercial and industrial customers for cooking, heating, lighting and transport.</w:t>
      </w:r>
    </w:p>
    <w:p>
      <w:pPr>
        <w:spacing w:after="0" w:line="154" w:lineRule="exact"/>
        <w:rPr>
          <w:sz w:val="20"/>
          <w:szCs w:val="20"/>
          <w:color w:val="auto"/>
        </w:rPr>
      </w:pPr>
    </w:p>
    <w:p>
      <w:pPr>
        <w:ind w:right="180"/>
        <w:spacing w:after="0" w:line="243" w:lineRule="auto"/>
        <w:rPr>
          <w:sz w:val="20"/>
          <w:szCs w:val="20"/>
          <w:color w:val="auto"/>
        </w:rPr>
      </w:pPr>
      <w:r>
        <w:rPr>
          <w:rFonts w:ascii="Arial" w:cs="Arial" w:eastAsia="Arial" w:hAnsi="Arial"/>
          <w:sz w:val="14"/>
          <w:szCs w:val="14"/>
          <w:color w:val="auto"/>
        </w:rPr>
        <w:t>Shell Commercial Fuels provides transport, industrial and heating fuels. Our range of products, from reliable main-grade fuels to premium products, can offer tangible benefits. These include fuel economy, enhanced equipment performance, reduction in maintenance frequency and costs as well as environmental benefits, such as reduced emissions. We continue to pursue opportunities in the LNG for transport sector, developing projects that provide us and our customers with the best commercial value. Shell is the first customer of a new, dedicated LNG for transport infrastructure at the Gas Access to Europe (Gate) terminal in the port of Rotterdam in the Netherlands. Shell has committed to buy capacity from the Gate terminal, which has enabled investment in the terminal expansion.</w:t>
      </w:r>
    </w:p>
    <w:p>
      <w:pPr>
        <w:spacing w:after="0" w:line="166" w:lineRule="exact"/>
        <w:rPr>
          <w:sz w:val="20"/>
          <w:szCs w:val="20"/>
          <w:color w:val="auto"/>
        </w:rPr>
      </w:pPr>
    </w:p>
    <w:p>
      <w:pPr>
        <w:ind w:right="300"/>
        <w:spacing w:after="0" w:line="250" w:lineRule="auto"/>
        <w:rPr>
          <w:sz w:val="20"/>
          <w:szCs w:val="20"/>
          <w:color w:val="auto"/>
        </w:rPr>
      </w:pPr>
      <w:r>
        <w:rPr>
          <w:rFonts w:ascii="Arial" w:cs="Arial" w:eastAsia="Arial" w:hAnsi="Arial"/>
          <w:sz w:val="14"/>
          <w:szCs w:val="14"/>
          <w:color w:val="auto"/>
        </w:rPr>
        <w:t>Shell Bitumen supplies on average 11,000 tonnes of products every day to 1,600 customers worldwide and invests in technology research and development to create innovative products.</w:t>
      </w:r>
    </w:p>
    <w:p>
      <w:pPr>
        <w:spacing w:after="0" w:line="172" w:lineRule="exact"/>
        <w:rPr>
          <w:sz w:val="20"/>
          <w:szCs w:val="20"/>
          <w:color w:val="auto"/>
        </w:rPr>
      </w:pPr>
    </w:p>
    <w:p>
      <w:pPr>
        <w:ind w:right="220"/>
        <w:spacing w:after="0" w:line="247" w:lineRule="auto"/>
        <w:rPr>
          <w:sz w:val="20"/>
          <w:szCs w:val="20"/>
          <w:color w:val="auto"/>
        </w:rPr>
      </w:pPr>
      <w:r>
        <w:rPr>
          <w:rFonts w:ascii="Arial" w:cs="Arial" w:eastAsia="Arial" w:hAnsi="Arial"/>
          <w:sz w:val="14"/>
          <w:szCs w:val="14"/>
          <w:color w:val="auto"/>
        </w:rPr>
        <w:t>Shell Sulphur Solutions is a business which manages the complete value chain of sulphur, from refining to marketing. The business provides sulphur for industries such as mining and textiles and also develops new products which incorporate sulphur, such as fertilisers.</w:t>
      </w:r>
    </w:p>
    <w:p>
      <w:pPr>
        <w:spacing w:after="0" w:line="147" w:lineRule="exact"/>
        <w:rPr>
          <w:sz w:val="20"/>
          <w:szCs w:val="20"/>
          <w:color w:val="auto"/>
        </w:rPr>
      </w:pPr>
    </w:p>
    <w:p>
      <w:pPr>
        <w:spacing w:after="0"/>
        <w:rPr>
          <w:sz w:val="20"/>
          <w:szCs w:val="20"/>
          <w:color w:val="auto"/>
        </w:rPr>
      </w:pPr>
      <w:r>
        <w:rPr>
          <w:rFonts w:ascii="Arial" w:cs="Arial" w:eastAsia="Arial" w:hAnsi="Arial"/>
          <w:sz w:val="13"/>
          <w:szCs w:val="13"/>
          <w:color w:val="auto"/>
        </w:rPr>
        <w:t>ALTERNATIVE ENERGIES</w:t>
      </w:r>
    </w:p>
    <w:p>
      <w:pPr>
        <w:ind w:right="160"/>
        <w:spacing w:after="0" w:line="244" w:lineRule="auto"/>
        <w:rPr>
          <w:sz w:val="20"/>
          <w:szCs w:val="20"/>
          <w:color w:val="auto"/>
        </w:rPr>
      </w:pPr>
      <w:r>
        <w:rPr>
          <w:rFonts w:ascii="Arial" w:cs="Arial" w:eastAsia="Arial" w:hAnsi="Arial"/>
          <w:sz w:val="14"/>
          <w:szCs w:val="14"/>
          <w:color w:val="auto"/>
        </w:rPr>
        <w:t>Raízen, our joint venture in Brazil, produces ethanol from sugar cane, and manages a retail network. With an annual production capacity of more than 2 billion litres, it is one of the largest biofuel producers in the world. We investigate alternative energy technologies with a long-term view to develop them into profitable business opportunities. We were one of the first companies to invest in advanced biofuels and continue to research and explore the potential of hydrogen as a fuel.</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color w:val="auto"/>
        </w:rPr>
        <w:t>Chemicals</w:t>
      </w:r>
    </w:p>
    <w:p>
      <w:pPr>
        <w:spacing w:after="0" w:line="176" w:lineRule="exact"/>
        <w:rPr>
          <w:sz w:val="20"/>
          <w:szCs w:val="20"/>
          <w:color w:val="auto"/>
        </w:rPr>
      </w:pPr>
    </w:p>
    <w:p>
      <w:pPr>
        <w:spacing w:after="0"/>
        <w:rPr>
          <w:sz w:val="20"/>
          <w:szCs w:val="20"/>
          <w:color w:val="auto"/>
        </w:rPr>
      </w:pPr>
      <w:r>
        <w:rPr>
          <w:rFonts w:ascii="Arial" w:cs="Arial" w:eastAsia="Arial" w:hAnsi="Arial"/>
          <w:sz w:val="13"/>
          <w:szCs w:val="13"/>
          <w:color w:val="auto"/>
        </w:rPr>
        <w:t>MANUFACTURING</w:t>
      </w:r>
    </w:p>
    <w:p>
      <w:pPr>
        <w:ind w:right="260"/>
        <w:spacing w:after="0" w:line="247" w:lineRule="auto"/>
        <w:rPr>
          <w:sz w:val="20"/>
          <w:szCs w:val="20"/>
          <w:color w:val="auto"/>
        </w:rPr>
      </w:pPr>
      <w:r>
        <w:rPr>
          <w:rFonts w:ascii="Arial" w:cs="Arial" w:eastAsia="Arial" w:hAnsi="Arial"/>
          <w:sz w:val="14"/>
          <w:szCs w:val="14"/>
          <w:color w:val="auto"/>
        </w:rPr>
        <w:t>Our plants produce a range of base chemicals, including ethylene, propylene and aromatics, as well as intermediate chemicals, such as styrene monomer, propylene oxide, solvents, detergent alcohols, ethylene oxide and ethylene glycol. We have the capacity to produce nearly 6 million tonnes of ethylene a year.</w:t>
      </w:r>
    </w:p>
    <w:p>
      <w:pPr>
        <w:sectPr>
          <w:pgSz w:w="11900" w:h="16838" w:orient="portrait"/>
          <w:cols w:equalWidth="0" w:num="2">
            <w:col w:w="5720" w:space="60"/>
            <w:col w:w="5640"/>
          </w:cols>
          <w:pgMar w:left="240" w:top="459" w:right="239" w:bottom="1440" w:gutter="0" w:footer="0" w:header="0"/>
          <w:type w:val="continuous"/>
        </w:sectPr>
      </w:pPr>
    </w:p>
    <w:bookmarkStart w:id="44" w:name="page45"/>
    <w:bookmarkEnd w:id="4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1"/>
          <w:szCs w:val="11"/>
          <w:color w:val="auto"/>
        </w:rPr>
        <w:t>SHELL ANNUAL REPORT AND FORM 20-F 2014</w:t>
      </w:r>
    </w:p>
    <w:p>
      <w:pPr>
        <w:spacing w:after="0" w:line="43" w:lineRule="exact"/>
        <w:rPr>
          <w:sz w:val="20"/>
          <w:szCs w:val="20"/>
          <w:color w:val="auto"/>
        </w:rPr>
      </w:pPr>
    </w:p>
    <w:p>
      <w:pPr>
        <w:spacing w:after="0"/>
        <w:rPr>
          <w:sz w:val="20"/>
          <w:szCs w:val="20"/>
          <w:color w:val="auto"/>
        </w:rPr>
      </w:pPr>
      <w:r>
        <w:rPr>
          <w:rFonts w:ascii="Arial" w:cs="Arial" w:eastAsia="Arial" w:hAnsi="Arial"/>
          <w:sz w:val="13"/>
          <w:szCs w:val="13"/>
          <w:color w:val="auto"/>
        </w:rPr>
        <w:t>MARKETING</w:t>
      </w:r>
    </w:p>
    <w:p>
      <w:pPr>
        <w:ind w:right="100"/>
        <w:spacing w:after="0" w:line="247" w:lineRule="auto"/>
        <w:rPr>
          <w:sz w:val="20"/>
          <w:szCs w:val="20"/>
          <w:color w:val="auto"/>
        </w:rPr>
      </w:pPr>
      <w:r>
        <w:rPr>
          <w:rFonts w:ascii="Arial" w:cs="Arial" w:eastAsia="Arial" w:hAnsi="Arial"/>
          <w:sz w:val="14"/>
          <w:szCs w:val="14"/>
          <w:color w:val="auto"/>
        </w:rPr>
        <w:t>We sell petrochemicals to about 1,000 major industrial customers worldwide. Our Chemicals business is one of the top 10 chemicals enterprises in the world by revenue. Its products are used to make numerous everyday items, from clothing and cars to detergents and bicycle helmets.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color w:val="auto"/>
        </w:rPr>
        <w:t>Trading and Supply</w:t>
      </w:r>
    </w:p>
    <w:p>
      <w:pPr>
        <w:spacing w:after="0" w:line="1" w:lineRule="exact"/>
        <w:rPr>
          <w:sz w:val="20"/>
          <w:szCs w:val="20"/>
          <w:color w:val="auto"/>
        </w:rPr>
      </w:pPr>
    </w:p>
    <w:p>
      <w:pPr>
        <w:ind w:right="560"/>
        <w:spacing w:after="0" w:line="258" w:lineRule="auto"/>
        <w:rPr>
          <w:sz w:val="20"/>
          <w:szCs w:val="20"/>
          <w:color w:val="auto"/>
        </w:rPr>
      </w:pPr>
      <w:r>
        <w:rPr>
          <w:rFonts w:ascii="Arial" w:cs="Arial" w:eastAsia="Arial" w:hAnsi="Arial"/>
          <w:sz w:val="14"/>
          <w:szCs w:val="14"/>
          <w:color w:val="auto"/>
        </w:rPr>
        <w:t>We trade in physical and financial contracts, lease storage and transportation capacities, and manage shipping activities globally.</w:t>
      </w:r>
    </w:p>
    <w:p>
      <w:pPr>
        <w:spacing w:after="0" w:line="154" w:lineRule="exact"/>
        <w:rPr>
          <w:sz w:val="20"/>
          <w:szCs w:val="20"/>
          <w:color w:val="auto"/>
        </w:rPr>
      </w:pPr>
    </w:p>
    <w:p>
      <w:pPr>
        <w:ind w:right="260"/>
        <w:spacing w:after="0" w:line="245" w:lineRule="auto"/>
        <w:rPr>
          <w:sz w:val="20"/>
          <w:szCs w:val="20"/>
          <w:color w:val="auto"/>
        </w:rPr>
      </w:pPr>
      <w:r>
        <w:rPr>
          <w:rFonts w:ascii="Arial" w:cs="Arial" w:eastAsia="Arial" w:hAnsi="Arial"/>
          <w:sz w:val="14"/>
          <w:szCs w:val="14"/>
          <w:color w:val="auto"/>
        </w:rPr>
        <w:t>With more than 1,500 storage tanks and approximately 150 distribution facilities in around 25 countries, our supply and distribution infrastructure is well positioned to make deliveries around the world. This includes supplying feedstocks for our refineries and chemical plants and finished products such as gasoline, diesel and aviation fuel to our Marketing businesses and customers.</w:t>
      </w:r>
    </w:p>
    <w:p>
      <w:pPr>
        <w:spacing w:after="0" w:line="159" w:lineRule="exact"/>
        <w:rPr>
          <w:sz w:val="20"/>
          <w:szCs w:val="20"/>
          <w:color w:val="auto"/>
        </w:rPr>
      </w:pPr>
    </w:p>
    <w:p>
      <w:pPr>
        <w:ind w:right="20"/>
        <w:spacing w:after="0" w:line="246" w:lineRule="auto"/>
        <w:rPr>
          <w:sz w:val="20"/>
          <w:szCs w:val="20"/>
          <w:color w:val="auto"/>
        </w:rPr>
      </w:pPr>
      <w:r>
        <w:rPr>
          <w:rFonts w:ascii="Arial" w:cs="Arial" w:eastAsia="Arial" w:hAnsi="Arial"/>
          <w:sz w:val="18"/>
          <w:szCs w:val="18"/>
          <w:color w:val="auto"/>
        </w:rPr>
        <w:t>DOWNSTREAM BUSINESS ACTIVITIES WITH IRAN, SUDAN AND SYRIA</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Iran</w:t>
      </w:r>
    </w:p>
    <w:p>
      <w:pPr>
        <w:spacing w:after="0" w:line="1" w:lineRule="exact"/>
        <w:rPr>
          <w:sz w:val="20"/>
          <w:szCs w:val="20"/>
          <w:color w:val="auto"/>
        </w:rPr>
      </w:pPr>
    </w:p>
    <w:p>
      <w:pPr>
        <w:ind w:right="280"/>
        <w:spacing w:after="0" w:line="258" w:lineRule="auto"/>
        <w:rPr>
          <w:sz w:val="20"/>
          <w:szCs w:val="20"/>
          <w:color w:val="auto"/>
        </w:rPr>
      </w:pPr>
      <w:r>
        <w:rPr>
          <w:rFonts w:ascii="Arial" w:cs="Arial" w:eastAsia="Arial" w:hAnsi="Arial"/>
          <w:sz w:val="14"/>
          <w:szCs w:val="14"/>
          <w:color w:val="auto"/>
        </w:rPr>
        <w:t>Shell transactions with Iran are disclosed separately. See “Section 13(r) of the US Securities Exchange Act of 1934 Disclosure”.</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Sudan</w:t>
      </w:r>
    </w:p>
    <w:p>
      <w:pPr>
        <w:spacing w:after="0" w:line="1" w:lineRule="exact"/>
        <w:rPr>
          <w:sz w:val="20"/>
          <w:szCs w:val="20"/>
          <w:color w:val="auto"/>
        </w:rPr>
      </w:pPr>
    </w:p>
    <w:p>
      <w:pPr>
        <w:ind w:right="140"/>
        <w:spacing w:after="0" w:line="258" w:lineRule="auto"/>
        <w:rPr>
          <w:sz w:val="20"/>
          <w:szCs w:val="20"/>
          <w:color w:val="auto"/>
        </w:rPr>
      </w:pPr>
      <w:r>
        <w:rPr>
          <w:rFonts w:ascii="Arial" w:cs="Arial" w:eastAsia="Arial" w:hAnsi="Arial"/>
          <w:sz w:val="14"/>
          <w:szCs w:val="14"/>
          <w:color w:val="auto"/>
        </w:rPr>
        <w:t>We ceased all operational activities in Sudan in 2008. We have, however, continued soil remediation in 2014 related to earlier operations in the country.</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Syria</w:t>
      </w:r>
    </w:p>
    <w:p>
      <w:pPr>
        <w:spacing w:after="0" w:line="1" w:lineRule="exact"/>
        <w:rPr>
          <w:sz w:val="20"/>
          <w:szCs w:val="20"/>
          <w:color w:val="auto"/>
        </w:rPr>
      </w:pPr>
    </w:p>
    <w:p>
      <w:pPr>
        <w:ind w:right="180"/>
        <w:spacing w:after="0" w:line="247" w:lineRule="auto"/>
        <w:rPr>
          <w:sz w:val="20"/>
          <w:szCs w:val="20"/>
          <w:color w:val="auto"/>
        </w:rPr>
      </w:pPr>
      <w:r>
        <w:rPr>
          <w:rFonts w:ascii="Arial" w:cs="Arial" w:eastAsia="Arial" w:hAnsi="Arial"/>
          <w:sz w:val="14"/>
          <w:szCs w:val="14"/>
          <w:color w:val="auto"/>
        </w:rPr>
        <w:t>We are in compliance with all EU and US sanctions. We supply limited quantities of polyols via a Netherlands-based distributor to private sector customers in Syria. Polyols are commonly used for the production of foam in mattresses and soft furnishings.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color w:val="auto"/>
        </w:rPr>
        <w:t>DOWNSTREAM DATA TABLES</w:t>
      </w:r>
    </w:p>
    <w:p>
      <w:pPr>
        <w:spacing w:after="0" w:line="1" w:lineRule="exact"/>
        <w:rPr>
          <w:sz w:val="20"/>
          <w:szCs w:val="20"/>
          <w:color w:val="auto"/>
        </w:rPr>
      </w:pPr>
    </w:p>
    <w:p>
      <w:pPr>
        <w:ind w:right="60"/>
        <w:spacing w:after="0" w:line="250" w:lineRule="auto"/>
        <w:rPr>
          <w:sz w:val="20"/>
          <w:szCs w:val="20"/>
          <w:color w:val="auto"/>
        </w:rPr>
      </w:pPr>
      <w:r>
        <w:rPr>
          <w:rFonts w:ascii="Arial" w:cs="Arial" w:eastAsia="Arial" w:hAnsi="Arial"/>
          <w:sz w:val="14"/>
          <w:szCs w:val="14"/>
          <w:color w:val="auto"/>
        </w:rPr>
        <w:t>The tables below reflect Shell subsidiaries, the 50% Shell interest in Motiva in the USA and instances where Shell owns the crude oil or feedstocks processed by a refinery. Other joint ventures and associates are only included where explicitly stated.</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960" w:type="dxa"/>
            <w:vAlign w:val="bottom"/>
            <w:gridSpan w:val="2"/>
            <w:shd w:val="clear" w:color="auto" w:fill="333333"/>
          </w:tcPr>
          <w:p>
            <w:pPr>
              <w:ind w:left="80"/>
              <w:spacing w:after="0"/>
              <w:rPr>
                <w:sz w:val="20"/>
                <w:szCs w:val="20"/>
                <w:color w:val="auto"/>
              </w:rPr>
            </w:pPr>
            <w:r>
              <w:rPr>
                <w:rFonts w:ascii="Arial" w:cs="Arial" w:eastAsia="Arial" w:hAnsi="Arial"/>
                <w:sz w:val="15"/>
                <w:szCs w:val="15"/>
                <w:b w:val="1"/>
                <w:bCs w:val="1"/>
                <w:color w:val="FFFFFF"/>
              </w:rPr>
              <w:t>OIL PRODUCTS – COST OF CRUDE OIL</w:t>
            </w:r>
          </w:p>
        </w:tc>
        <w:tc>
          <w:tcPr>
            <w:tcW w:w="540" w:type="dxa"/>
            <w:vAlign w:val="bottom"/>
            <w:shd w:val="clear" w:color="auto" w:fill="333333"/>
          </w:tcPr>
          <w:p>
            <w:pPr>
              <w:spacing w:after="0"/>
              <w:rPr>
                <w:sz w:val="15"/>
                <w:szCs w:val="15"/>
                <w:color w:val="auto"/>
              </w:rPr>
            </w:pPr>
          </w:p>
        </w:tc>
        <w:tc>
          <w:tcPr>
            <w:tcW w:w="800" w:type="dxa"/>
            <w:vAlign w:val="bottom"/>
            <w:shd w:val="clear" w:color="auto" w:fill="333333"/>
          </w:tcPr>
          <w:p>
            <w:pPr>
              <w:spacing w:after="0"/>
              <w:rPr>
                <w:sz w:val="15"/>
                <w:szCs w:val="15"/>
                <w:color w:val="auto"/>
              </w:rPr>
            </w:pPr>
          </w:p>
        </w:tc>
        <w:tc>
          <w:tcPr>
            <w:tcW w:w="1180" w:type="dxa"/>
            <w:vAlign w:val="bottom"/>
            <w:shd w:val="clear" w:color="auto" w:fill="333333"/>
          </w:tcPr>
          <w:p>
            <w:pPr>
              <w:spacing w:after="0"/>
              <w:rPr>
                <w:sz w:val="15"/>
                <w:szCs w:val="15"/>
                <w:color w:val="auto"/>
              </w:rPr>
            </w:pPr>
          </w:p>
        </w:tc>
      </w:tr>
      <w:tr>
        <w:trPr>
          <w:trHeight w:val="197"/>
        </w:trPr>
        <w:tc>
          <w:tcPr>
            <w:tcW w:w="2960" w:type="dxa"/>
            <w:vAlign w:val="bottom"/>
            <w:gridSpan w:val="2"/>
            <w:shd w:val="clear" w:color="auto" w:fill="333333"/>
          </w:tcPr>
          <w:p>
            <w:pPr>
              <w:ind w:left="80"/>
              <w:spacing w:after="0"/>
              <w:rPr>
                <w:sz w:val="20"/>
                <w:szCs w:val="20"/>
                <w:color w:val="auto"/>
              </w:rPr>
            </w:pPr>
            <w:r>
              <w:rPr>
                <w:rFonts w:ascii="Arial" w:cs="Arial" w:eastAsia="Arial" w:hAnsi="Arial"/>
                <w:sz w:val="15"/>
                <w:szCs w:val="15"/>
                <w:b w:val="1"/>
                <w:bCs w:val="1"/>
                <w:color w:val="FFFFFF"/>
              </w:rPr>
              <w:t xml:space="preserve">PROCESSED OR CONSUMED </w:t>
            </w:r>
            <w:r>
              <w:rPr>
                <w:rFonts w:ascii="Arial" w:cs="Arial" w:eastAsia="Arial" w:hAnsi="Arial"/>
                <w:sz w:val="15"/>
                <w:szCs w:val="15"/>
                <w:color w:val="FFFFFF"/>
              </w:rPr>
              <w:t>[A]</w:t>
            </w:r>
          </w:p>
        </w:tc>
        <w:tc>
          <w:tcPr>
            <w:tcW w:w="540" w:type="dxa"/>
            <w:vAlign w:val="bottom"/>
            <w:shd w:val="clear" w:color="auto" w:fill="333333"/>
          </w:tcPr>
          <w:p>
            <w:pPr>
              <w:spacing w:after="0"/>
              <w:rPr>
                <w:sz w:val="17"/>
                <w:szCs w:val="17"/>
                <w:color w:val="auto"/>
              </w:rPr>
            </w:pPr>
          </w:p>
        </w:tc>
        <w:tc>
          <w:tcPr>
            <w:tcW w:w="800" w:type="dxa"/>
            <w:vAlign w:val="bottom"/>
            <w:shd w:val="clear" w:color="auto" w:fill="333333"/>
          </w:tcPr>
          <w:p>
            <w:pPr>
              <w:spacing w:after="0"/>
              <w:rPr>
                <w:sz w:val="17"/>
                <w:szCs w:val="17"/>
                <w:color w:val="auto"/>
              </w:rPr>
            </w:pPr>
          </w:p>
        </w:tc>
        <w:tc>
          <w:tcPr>
            <w:tcW w:w="1180" w:type="dxa"/>
            <w:vAlign w:val="bottom"/>
            <w:shd w:val="clear" w:color="auto" w:fill="333333"/>
          </w:tcPr>
          <w:p>
            <w:pPr>
              <w:jc w:val="right"/>
              <w:spacing w:after="0"/>
              <w:rPr>
                <w:sz w:val="20"/>
                <w:szCs w:val="20"/>
                <w:color w:val="auto"/>
              </w:rPr>
            </w:pPr>
            <w:r>
              <w:rPr>
                <w:rFonts w:ascii="Arial" w:cs="Arial" w:eastAsia="Arial" w:hAnsi="Arial"/>
                <w:sz w:val="15"/>
                <w:szCs w:val="15"/>
                <w:color w:val="FFFFFF"/>
              </w:rPr>
              <w:t>$ PER BARREL</w:t>
            </w:r>
          </w:p>
        </w:tc>
      </w:tr>
      <w:tr>
        <w:trPr>
          <w:trHeight w:val="149"/>
        </w:trPr>
        <w:tc>
          <w:tcPr>
            <w:tcW w:w="268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shd w:val="clear" w:color="auto" w:fill="D8D8D8"/>
          </w:tcPr>
          <w:p>
            <w:pPr>
              <w:spacing w:after="0"/>
              <w:rPr>
                <w:sz w:val="12"/>
                <w:szCs w:val="12"/>
                <w:color w:val="auto"/>
              </w:rPr>
            </w:pPr>
          </w:p>
        </w:tc>
        <w:tc>
          <w:tcPr>
            <w:tcW w:w="540" w:type="dxa"/>
            <w:vAlign w:val="bottom"/>
            <w:tcBorders>
              <w:bottom w:val="single" w:sz="8" w:color="auto"/>
            </w:tcBorders>
            <w:shd w:val="clear" w:color="auto" w:fill="D8D8D8"/>
          </w:tcPr>
          <w:p>
            <w:pPr>
              <w:jc w:val="right"/>
              <w:ind w:right="93"/>
              <w:spacing w:after="0"/>
              <w:rPr>
                <w:sz w:val="20"/>
                <w:szCs w:val="20"/>
                <w:color w:val="auto"/>
              </w:rPr>
            </w:pPr>
            <w:r>
              <w:rPr>
                <w:rFonts w:ascii="Arial" w:cs="Arial" w:eastAsia="Arial" w:hAnsi="Arial"/>
                <w:sz w:val="13"/>
                <w:szCs w:val="13"/>
                <w:color w:val="auto"/>
              </w:rPr>
              <w:t>2014</w:t>
            </w:r>
          </w:p>
        </w:tc>
        <w:tc>
          <w:tcPr>
            <w:tcW w:w="800" w:type="dxa"/>
            <w:vAlign w:val="bottom"/>
            <w:tcBorders>
              <w:bottom w:val="single" w:sz="8" w:color="auto"/>
            </w:tcBorders>
          </w:tcPr>
          <w:p>
            <w:pPr>
              <w:jc w:val="right"/>
              <w:ind w:right="13"/>
              <w:spacing w:after="0"/>
              <w:rPr>
                <w:sz w:val="20"/>
                <w:szCs w:val="20"/>
                <w:color w:val="auto"/>
              </w:rPr>
            </w:pPr>
            <w:r>
              <w:rPr>
                <w:rFonts w:ascii="Arial" w:cs="Arial" w:eastAsia="Arial" w:hAnsi="Arial"/>
                <w:sz w:val="13"/>
                <w:szCs w:val="13"/>
                <w:color w:val="auto"/>
              </w:rPr>
              <w:t>2013</w:t>
            </w:r>
          </w:p>
        </w:tc>
        <w:tc>
          <w:tcPr>
            <w:tcW w:w="1180" w:type="dxa"/>
            <w:vAlign w:val="bottom"/>
            <w:tcBorders>
              <w:bottom w:val="single" w:sz="8" w:color="auto"/>
            </w:tcBorders>
          </w:tcPr>
          <w:p>
            <w:pPr>
              <w:jc w:val="right"/>
              <w:ind w:right="150"/>
              <w:spacing w:after="0"/>
              <w:rPr>
                <w:sz w:val="20"/>
                <w:szCs w:val="20"/>
                <w:color w:val="auto"/>
              </w:rPr>
            </w:pPr>
            <w:r>
              <w:rPr>
                <w:rFonts w:ascii="Arial" w:cs="Arial" w:eastAsia="Arial" w:hAnsi="Arial"/>
                <w:sz w:val="13"/>
                <w:szCs w:val="13"/>
                <w:color w:val="auto"/>
              </w:rPr>
              <w:t>2012</w:t>
            </w:r>
          </w:p>
        </w:tc>
      </w:tr>
      <w:tr>
        <w:trPr>
          <w:trHeight w:val="156"/>
        </w:trPr>
        <w:tc>
          <w:tcPr>
            <w:tcW w:w="2680" w:type="dxa"/>
            <w:vAlign w:val="bottom"/>
            <w:tcBorders>
              <w:bottom w:val="single" w:sz="8" w:color="auto"/>
            </w:tcBorders>
          </w:tcPr>
          <w:p>
            <w:pPr>
              <w:ind w:left="20"/>
              <w:spacing w:after="0" w:line="155" w:lineRule="exact"/>
              <w:rPr>
                <w:sz w:val="20"/>
                <w:szCs w:val="20"/>
                <w:color w:val="auto"/>
              </w:rPr>
            </w:pPr>
            <w:r>
              <w:rPr>
                <w:rFonts w:ascii="Arial" w:cs="Arial" w:eastAsia="Arial" w:hAnsi="Arial"/>
                <w:sz w:val="14"/>
                <w:szCs w:val="14"/>
                <w:color w:val="auto"/>
              </w:rPr>
              <w:t>Total</w:t>
            </w:r>
          </w:p>
        </w:tc>
        <w:tc>
          <w:tcPr>
            <w:tcW w:w="280" w:type="dxa"/>
            <w:vAlign w:val="bottom"/>
            <w:tcBorders>
              <w:bottom w:val="single" w:sz="8" w:color="auto"/>
            </w:tcBorders>
            <w:shd w:val="clear" w:color="auto" w:fill="D8D8D8"/>
          </w:tcPr>
          <w:p>
            <w:pPr>
              <w:spacing w:after="0"/>
              <w:rPr>
                <w:sz w:val="13"/>
                <w:szCs w:val="13"/>
                <w:color w:val="auto"/>
              </w:rPr>
            </w:pPr>
          </w:p>
        </w:tc>
        <w:tc>
          <w:tcPr>
            <w:tcW w:w="540" w:type="dxa"/>
            <w:vAlign w:val="bottom"/>
            <w:tcBorders>
              <w:bottom w:val="single" w:sz="8" w:color="auto"/>
            </w:tcBorders>
            <w:shd w:val="clear" w:color="auto" w:fill="D8D8D8"/>
          </w:tcPr>
          <w:p>
            <w:pPr>
              <w:jc w:val="right"/>
              <w:ind w:right="93"/>
              <w:spacing w:after="0" w:line="155" w:lineRule="exact"/>
              <w:rPr>
                <w:sz w:val="20"/>
                <w:szCs w:val="20"/>
                <w:color w:val="auto"/>
              </w:rPr>
            </w:pPr>
            <w:r>
              <w:rPr>
                <w:rFonts w:ascii="Arial" w:cs="Arial" w:eastAsia="Arial" w:hAnsi="Arial"/>
                <w:sz w:val="14"/>
                <w:szCs w:val="14"/>
                <w:color w:val="auto"/>
              </w:rPr>
              <w:t>82.76</w:t>
            </w:r>
          </w:p>
        </w:tc>
        <w:tc>
          <w:tcPr>
            <w:tcW w:w="800" w:type="dxa"/>
            <w:vAlign w:val="bottom"/>
            <w:tcBorders>
              <w:bottom w:val="single" w:sz="8" w:color="auto"/>
            </w:tcBorders>
          </w:tcPr>
          <w:p>
            <w:pPr>
              <w:jc w:val="right"/>
              <w:ind w:right="13"/>
              <w:spacing w:after="0" w:line="155" w:lineRule="exact"/>
              <w:rPr>
                <w:sz w:val="20"/>
                <w:szCs w:val="20"/>
                <w:color w:val="auto"/>
              </w:rPr>
            </w:pPr>
            <w:r>
              <w:rPr>
                <w:rFonts w:ascii="Arial" w:cs="Arial" w:eastAsia="Arial" w:hAnsi="Arial"/>
                <w:sz w:val="14"/>
                <w:szCs w:val="14"/>
                <w:color w:val="auto"/>
              </w:rPr>
              <w:t>90.36</w:t>
            </w:r>
          </w:p>
        </w:tc>
        <w:tc>
          <w:tcPr>
            <w:tcW w:w="1180" w:type="dxa"/>
            <w:vAlign w:val="bottom"/>
            <w:tcBorders>
              <w:bottom w:val="single" w:sz="8" w:color="auto"/>
            </w:tcBorders>
          </w:tcPr>
          <w:p>
            <w:pPr>
              <w:jc w:val="right"/>
              <w:ind w:right="150"/>
              <w:spacing w:after="0" w:line="155" w:lineRule="exact"/>
              <w:rPr>
                <w:sz w:val="20"/>
                <w:szCs w:val="20"/>
                <w:color w:val="auto"/>
              </w:rPr>
            </w:pPr>
            <w:r>
              <w:rPr>
                <w:rFonts w:ascii="Arial" w:cs="Arial" w:eastAsia="Arial" w:hAnsi="Arial"/>
                <w:sz w:val="14"/>
                <w:szCs w:val="14"/>
                <w:color w:val="auto"/>
              </w:rPr>
              <w:t>106.82</w:t>
            </w:r>
          </w:p>
        </w:tc>
      </w:tr>
    </w:tbl>
    <w:p>
      <w:pPr>
        <w:spacing w:after="0" w:line="24" w:lineRule="exact"/>
        <w:rPr>
          <w:sz w:val="20"/>
          <w:szCs w:val="20"/>
          <w:color w:val="auto"/>
        </w:rPr>
      </w:pPr>
    </w:p>
    <w:p>
      <w:pPr>
        <w:spacing w:after="0"/>
        <w:rPr>
          <w:sz w:val="20"/>
          <w:szCs w:val="20"/>
          <w:color w:val="auto"/>
        </w:rPr>
      </w:pPr>
      <w:r>
        <w:rPr>
          <w:rFonts w:ascii="Arial" w:cs="Arial" w:eastAsia="Arial" w:hAnsi="Arial"/>
          <w:sz w:val="11"/>
          <w:szCs w:val="11"/>
          <w:color w:val="auto"/>
        </w:rPr>
        <w:t>[A] Includes Upstream margin on crude oil supplied by Shell subsidiaries, joint ventures and associates.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620" w:type="dxa"/>
            <w:vAlign w:val="bottom"/>
            <w:shd w:val="clear" w:color="auto" w:fill="333333"/>
          </w:tcPr>
          <w:p>
            <w:pPr>
              <w:ind w:left="80"/>
              <w:spacing w:after="0"/>
              <w:rPr>
                <w:sz w:val="20"/>
                <w:szCs w:val="20"/>
                <w:color w:val="auto"/>
              </w:rPr>
            </w:pPr>
            <w:r>
              <w:rPr>
                <w:rFonts w:ascii="Arial" w:cs="Arial" w:eastAsia="Arial" w:hAnsi="Arial"/>
                <w:sz w:val="15"/>
                <w:szCs w:val="15"/>
                <w:b w:val="1"/>
                <w:bCs w:val="1"/>
                <w:color w:val="FFFFFF"/>
              </w:rPr>
              <w:t>CRUDE DISTILLATION</w:t>
            </w:r>
          </w:p>
        </w:tc>
        <w:tc>
          <w:tcPr>
            <w:tcW w:w="880" w:type="dxa"/>
            <w:vAlign w:val="bottom"/>
            <w:shd w:val="clear" w:color="auto" w:fill="333333"/>
          </w:tcPr>
          <w:p>
            <w:pPr>
              <w:spacing w:after="0"/>
              <w:rPr>
                <w:sz w:val="15"/>
                <w:szCs w:val="15"/>
                <w:color w:val="auto"/>
              </w:rPr>
            </w:pPr>
          </w:p>
        </w:tc>
        <w:tc>
          <w:tcPr>
            <w:tcW w:w="1040" w:type="dxa"/>
            <w:vAlign w:val="bottom"/>
            <w:shd w:val="clear" w:color="auto" w:fill="333333"/>
          </w:tcPr>
          <w:p>
            <w:pPr>
              <w:spacing w:after="0"/>
              <w:rPr>
                <w:sz w:val="15"/>
                <w:szCs w:val="15"/>
                <w:color w:val="auto"/>
              </w:rPr>
            </w:pPr>
          </w:p>
        </w:tc>
        <w:tc>
          <w:tcPr>
            <w:tcW w:w="940" w:type="dxa"/>
            <w:vAlign w:val="bottom"/>
            <w:shd w:val="clear" w:color="auto" w:fill="333333"/>
          </w:tcPr>
          <w:p>
            <w:pPr>
              <w:spacing w:after="0"/>
              <w:rPr>
                <w:sz w:val="15"/>
                <w:szCs w:val="15"/>
                <w:color w:val="auto"/>
              </w:rPr>
            </w:pPr>
          </w:p>
        </w:tc>
      </w:tr>
      <w:tr>
        <w:trPr>
          <w:trHeight w:val="197"/>
        </w:trPr>
        <w:tc>
          <w:tcPr>
            <w:tcW w:w="2620" w:type="dxa"/>
            <w:vAlign w:val="bottom"/>
            <w:shd w:val="clear" w:color="auto" w:fill="333333"/>
          </w:tcPr>
          <w:p>
            <w:pPr>
              <w:ind w:left="80"/>
              <w:spacing w:after="0"/>
              <w:rPr>
                <w:sz w:val="20"/>
                <w:szCs w:val="20"/>
                <w:color w:val="auto"/>
              </w:rPr>
            </w:pPr>
            <w:r>
              <w:rPr>
                <w:rFonts w:ascii="Arial" w:cs="Arial" w:eastAsia="Arial" w:hAnsi="Arial"/>
                <w:sz w:val="15"/>
                <w:szCs w:val="15"/>
                <w:b w:val="1"/>
                <w:bCs w:val="1"/>
                <w:color w:val="FFFFFF"/>
              </w:rPr>
              <w:t xml:space="preserve">CAPACITY </w:t>
            </w:r>
            <w:r>
              <w:rPr>
                <w:rFonts w:ascii="Arial" w:cs="Arial" w:eastAsia="Arial" w:hAnsi="Arial"/>
                <w:sz w:val="15"/>
                <w:szCs w:val="15"/>
                <w:color w:val="FFFFFF"/>
              </w:rPr>
              <w:t>[A]</w:t>
            </w:r>
          </w:p>
        </w:tc>
        <w:tc>
          <w:tcPr>
            <w:tcW w:w="2860" w:type="dxa"/>
            <w:vAlign w:val="bottom"/>
            <w:gridSpan w:val="3"/>
            <w:shd w:val="clear" w:color="auto" w:fill="333333"/>
          </w:tcPr>
          <w:p>
            <w:pPr>
              <w:jc w:val="right"/>
              <w:spacing w:after="0"/>
              <w:rPr>
                <w:sz w:val="20"/>
                <w:szCs w:val="20"/>
                <w:color w:val="auto"/>
              </w:rPr>
            </w:pPr>
            <w:r>
              <w:rPr>
                <w:rFonts w:ascii="Arial" w:cs="Arial" w:eastAsia="Arial" w:hAnsi="Arial"/>
                <w:sz w:val="15"/>
                <w:szCs w:val="15"/>
                <w:color w:val="FFFFFF"/>
              </w:rPr>
              <w:t>THOUSAND B/CALENDAR DAY [B]</w:t>
            </w:r>
          </w:p>
        </w:tc>
      </w:tr>
      <w:tr>
        <w:trPr>
          <w:trHeight w:val="149"/>
        </w:trPr>
        <w:tc>
          <w:tcPr>
            <w:tcW w:w="262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shd w:val="clear" w:color="auto" w:fill="D8D8D8"/>
          </w:tcPr>
          <w:p>
            <w:pPr>
              <w:jc w:val="right"/>
              <w:ind w:right="149"/>
              <w:spacing w:after="0"/>
              <w:rPr>
                <w:sz w:val="20"/>
                <w:szCs w:val="20"/>
                <w:color w:val="auto"/>
              </w:rPr>
            </w:pPr>
            <w:r>
              <w:rPr>
                <w:rFonts w:ascii="Arial" w:cs="Arial" w:eastAsia="Arial" w:hAnsi="Arial"/>
                <w:sz w:val="13"/>
                <w:szCs w:val="13"/>
                <w:color w:val="auto"/>
              </w:rPr>
              <w:t>2014</w:t>
            </w:r>
          </w:p>
        </w:tc>
        <w:tc>
          <w:tcPr>
            <w:tcW w:w="1040" w:type="dxa"/>
            <w:vAlign w:val="bottom"/>
            <w:tcBorders>
              <w:bottom w:val="single" w:sz="8" w:color="auto"/>
            </w:tcBorders>
          </w:tcPr>
          <w:p>
            <w:pPr>
              <w:jc w:val="right"/>
              <w:ind w:right="249"/>
              <w:spacing w:after="0"/>
              <w:rPr>
                <w:sz w:val="20"/>
                <w:szCs w:val="20"/>
                <w:color w:val="auto"/>
              </w:rPr>
            </w:pPr>
            <w:r>
              <w:rPr>
                <w:rFonts w:ascii="Arial" w:cs="Arial" w:eastAsia="Arial" w:hAnsi="Arial"/>
                <w:sz w:val="13"/>
                <w:szCs w:val="13"/>
                <w:color w:val="auto"/>
              </w:rPr>
              <w:t>2013</w:t>
            </w:r>
          </w:p>
        </w:tc>
        <w:tc>
          <w:tcPr>
            <w:tcW w:w="940" w:type="dxa"/>
            <w:vAlign w:val="bottom"/>
            <w:tcBorders>
              <w:bottom w:val="single" w:sz="8" w:color="auto"/>
            </w:tcBorders>
          </w:tcPr>
          <w:p>
            <w:pPr>
              <w:jc w:val="right"/>
              <w:ind w:right="189"/>
              <w:spacing w:after="0"/>
              <w:rPr>
                <w:sz w:val="20"/>
                <w:szCs w:val="20"/>
                <w:color w:val="auto"/>
              </w:rPr>
            </w:pPr>
            <w:r>
              <w:rPr>
                <w:rFonts w:ascii="Arial" w:cs="Arial" w:eastAsia="Arial" w:hAnsi="Arial"/>
                <w:sz w:val="13"/>
                <w:szCs w:val="13"/>
                <w:color w:val="auto"/>
              </w:rPr>
              <w:t>2012</w:t>
            </w:r>
          </w:p>
        </w:tc>
      </w:tr>
      <w:tr>
        <w:trPr>
          <w:trHeight w:val="156"/>
        </w:trPr>
        <w:tc>
          <w:tcPr>
            <w:tcW w:w="2620" w:type="dxa"/>
            <w:vAlign w:val="bottom"/>
          </w:tcPr>
          <w:p>
            <w:pPr>
              <w:ind w:left="20"/>
              <w:spacing w:after="0" w:line="155" w:lineRule="exact"/>
              <w:rPr>
                <w:sz w:val="20"/>
                <w:szCs w:val="20"/>
                <w:color w:val="auto"/>
              </w:rPr>
            </w:pPr>
            <w:r>
              <w:rPr>
                <w:rFonts w:ascii="Arial" w:cs="Arial" w:eastAsia="Arial" w:hAnsi="Arial"/>
                <w:sz w:val="14"/>
                <w:szCs w:val="14"/>
                <w:color w:val="auto"/>
              </w:rPr>
              <w:t>Europe</w:t>
            </w:r>
          </w:p>
        </w:tc>
        <w:tc>
          <w:tcPr>
            <w:tcW w:w="880" w:type="dxa"/>
            <w:vAlign w:val="bottom"/>
            <w:shd w:val="clear" w:color="auto" w:fill="D8D8D8"/>
          </w:tcPr>
          <w:p>
            <w:pPr>
              <w:jc w:val="right"/>
              <w:ind w:right="149"/>
              <w:spacing w:after="0" w:line="155" w:lineRule="exact"/>
              <w:rPr>
                <w:sz w:val="20"/>
                <w:szCs w:val="20"/>
                <w:color w:val="auto"/>
              </w:rPr>
            </w:pPr>
            <w:r>
              <w:rPr>
                <w:rFonts w:ascii="Arial" w:cs="Arial" w:eastAsia="Arial" w:hAnsi="Arial"/>
                <w:sz w:val="14"/>
                <w:szCs w:val="14"/>
                <w:color w:val="auto"/>
              </w:rPr>
              <w:t>1,033</w:t>
            </w:r>
          </w:p>
        </w:tc>
        <w:tc>
          <w:tcPr>
            <w:tcW w:w="1040" w:type="dxa"/>
            <w:vAlign w:val="bottom"/>
          </w:tcPr>
          <w:p>
            <w:pPr>
              <w:jc w:val="right"/>
              <w:ind w:right="249"/>
              <w:spacing w:after="0" w:line="155" w:lineRule="exact"/>
              <w:rPr>
                <w:sz w:val="20"/>
                <w:szCs w:val="20"/>
                <w:color w:val="auto"/>
              </w:rPr>
            </w:pPr>
            <w:r>
              <w:rPr>
                <w:rFonts w:ascii="Arial" w:cs="Arial" w:eastAsia="Arial" w:hAnsi="Arial"/>
                <w:sz w:val="14"/>
                <w:szCs w:val="14"/>
                <w:color w:val="auto"/>
              </w:rPr>
              <w:t>1,033</w:t>
            </w:r>
          </w:p>
        </w:tc>
        <w:tc>
          <w:tcPr>
            <w:tcW w:w="940" w:type="dxa"/>
            <w:vAlign w:val="bottom"/>
          </w:tcPr>
          <w:p>
            <w:pPr>
              <w:jc w:val="right"/>
              <w:ind w:right="189"/>
              <w:spacing w:after="0" w:line="155" w:lineRule="exact"/>
              <w:rPr>
                <w:sz w:val="20"/>
                <w:szCs w:val="20"/>
                <w:color w:val="auto"/>
              </w:rPr>
            </w:pPr>
            <w:r>
              <w:rPr>
                <w:rFonts w:ascii="Arial" w:cs="Arial" w:eastAsia="Arial" w:hAnsi="Arial"/>
                <w:sz w:val="14"/>
                <w:szCs w:val="14"/>
                <w:color w:val="auto"/>
              </w:rPr>
              <w:t>1,084</w:t>
            </w:r>
          </w:p>
        </w:tc>
      </w:tr>
      <w:tr>
        <w:trPr>
          <w:trHeight w:val="162"/>
        </w:trPr>
        <w:tc>
          <w:tcPr>
            <w:tcW w:w="2620" w:type="dxa"/>
            <w:vAlign w:val="bottom"/>
          </w:tcPr>
          <w:p>
            <w:pPr>
              <w:ind w:left="20"/>
              <w:spacing w:after="0"/>
              <w:rPr>
                <w:sz w:val="20"/>
                <w:szCs w:val="20"/>
                <w:color w:val="auto"/>
              </w:rPr>
            </w:pPr>
            <w:r>
              <w:rPr>
                <w:rFonts w:ascii="Arial" w:cs="Arial" w:eastAsia="Arial" w:hAnsi="Arial"/>
                <w:sz w:val="14"/>
                <w:szCs w:val="14"/>
                <w:color w:val="auto"/>
              </w:rPr>
              <w:t>Asia</w:t>
            </w:r>
          </w:p>
        </w:tc>
        <w:tc>
          <w:tcPr>
            <w:tcW w:w="880" w:type="dxa"/>
            <w:vAlign w:val="bottom"/>
            <w:shd w:val="clear" w:color="auto" w:fill="D8D8D8"/>
          </w:tcPr>
          <w:p>
            <w:pPr>
              <w:jc w:val="right"/>
              <w:ind w:right="149"/>
              <w:spacing w:after="0"/>
              <w:rPr>
                <w:sz w:val="20"/>
                <w:szCs w:val="20"/>
                <w:color w:val="auto"/>
              </w:rPr>
            </w:pPr>
            <w:r>
              <w:rPr>
                <w:rFonts w:ascii="Arial" w:cs="Arial" w:eastAsia="Arial" w:hAnsi="Arial"/>
                <w:sz w:val="14"/>
                <w:szCs w:val="14"/>
                <w:color w:val="auto"/>
              </w:rPr>
              <w:t>810</w:t>
            </w:r>
          </w:p>
        </w:tc>
        <w:tc>
          <w:tcPr>
            <w:tcW w:w="1040" w:type="dxa"/>
            <w:vAlign w:val="bottom"/>
          </w:tcPr>
          <w:p>
            <w:pPr>
              <w:jc w:val="right"/>
              <w:ind w:right="249"/>
              <w:spacing w:after="0"/>
              <w:rPr>
                <w:sz w:val="20"/>
                <w:szCs w:val="20"/>
                <w:color w:val="auto"/>
              </w:rPr>
            </w:pPr>
            <w:r>
              <w:rPr>
                <w:rFonts w:ascii="Arial" w:cs="Arial" w:eastAsia="Arial" w:hAnsi="Arial"/>
                <w:sz w:val="14"/>
                <w:szCs w:val="14"/>
                <w:color w:val="auto"/>
              </w:rPr>
              <w:t>810</w:t>
            </w:r>
          </w:p>
        </w:tc>
        <w:tc>
          <w:tcPr>
            <w:tcW w:w="940" w:type="dxa"/>
            <w:vAlign w:val="bottom"/>
          </w:tcPr>
          <w:p>
            <w:pPr>
              <w:jc w:val="right"/>
              <w:ind w:right="189"/>
              <w:spacing w:after="0"/>
              <w:rPr>
                <w:sz w:val="20"/>
                <w:szCs w:val="20"/>
                <w:color w:val="auto"/>
              </w:rPr>
            </w:pPr>
            <w:r>
              <w:rPr>
                <w:rFonts w:ascii="Arial" w:cs="Arial" w:eastAsia="Arial" w:hAnsi="Arial"/>
                <w:sz w:val="14"/>
                <w:szCs w:val="14"/>
                <w:color w:val="auto"/>
              </w:rPr>
              <w:t>664</w:t>
            </w:r>
          </w:p>
        </w:tc>
      </w:tr>
      <w:tr>
        <w:trPr>
          <w:trHeight w:val="167"/>
        </w:trPr>
        <w:tc>
          <w:tcPr>
            <w:tcW w:w="2620" w:type="dxa"/>
            <w:vAlign w:val="bottom"/>
          </w:tcPr>
          <w:p>
            <w:pPr>
              <w:ind w:left="20"/>
              <w:spacing w:after="0"/>
              <w:rPr>
                <w:sz w:val="20"/>
                <w:szCs w:val="20"/>
                <w:color w:val="auto"/>
              </w:rPr>
            </w:pPr>
            <w:r>
              <w:rPr>
                <w:rFonts w:ascii="Arial" w:cs="Arial" w:eastAsia="Arial" w:hAnsi="Arial"/>
                <w:sz w:val="14"/>
                <w:szCs w:val="14"/>
                <w:color w:val="auto"/>
              </w:rPr>
              <w:t>Oceania</w:t>
            </w:r>
          </w:p>
        </w:tc>
        <w:tc>
          <w:tcPr>
            <w:tcW w:w="880" w:type="dxa"/>
            <w:vAlign w:val="bottom"/>
            <w:shd w:val="clear" w:color="auto" w:fill="D8D8D8"/>
          </w:tcPr>
          <w:p>
            <w:pPr>
              <w:jc w:val="right"/>
              <w:ind w:right="149"/>
              <w:spacing w:after="0"/>
              <w:rPr>
                <w:sz w:val="20"/>
                <w:szCs w:val="20"/>
                <w:color w:val="auto"/>
              </w:rPr>
            </w:pPr>
            <w:r>
              <w:rPr>
                <w:rFonts w:ascii="Arial" w:cs="Arial" w:eastAsia="Arial" w:hAnsi="Arial"/>
                <w:sz w:val="14"/>
                <w:szCs w:val="14"/>
                <w:color w:val="auto"/>
              </w:rPr>
              <w:t>80</w:t>
            </w:r>
          </w:p>
        </w:tc>
        <w:tc>
          <w:tcPr>
            <w:tcW w:w="1040" w:type="dxa"/>
            <w:vAlign w:val="bottom"/>
          </w:tcPr>
          <w:p>
            <w:pPr>
              <w:jc w:val="right"/>
              <w:ind w:right="249"/>
              <w:spacing w:after="0"/>
              <w:rPr>
                <w:sz w:val="20"/>
                <w:szCs w:val="20"/>
                <w:color w:val="auto"/>
              </w:rPr>
            </w:pPr>
            <w:r>
              <w:rPr>
                <w:rFonts w:ascii="Arial" w:cs="Arial" w:eastAsia="Arial" w:hAnsi="Arial"/>
                <w:sz w:val="14"/>
                <w:szCs w:val="14"/>
                <w:color w:val="auto"/>
              </w:rPr>
              <w:t>118</w:t>
            </w:r>
          </w:p>
        </w:tc>
        <w:tc>
          <w:tcPr>
            <w:tcW w:w="940" w:type="dxa"/>
            <w:vAlign w:val="bottom"/>
          </w:tcPr>
          <w:p>
            <w:pPr>
              <w:jc w:val="right"/>
              <w:ind w:right="189"/>
              <w:spacing w:after="0"/>
              <w:rPr>
                <w:sz w:val="20"/>
                <w:szCs w:val="20"/>
                <w:color w:val="auto"/>
              </w:rPr>
            </w:pPr>
            <w:r>
              <w:rPr>
                <w:rFonts w:ascii="Arial" w:cs="Arial" w:eastAsia="Arial" w:hAnsi="Arial"/>
                <w:sz w:val="14"/>
                <w:szCs w:val="14"/>
                <w:color w:val="auto"/>
              </w:rPr>
              <w:t>158</w:t>
            </w:r>
          </w:p>
        </w:tc>
      </w:tr>
      <w:tr>
        <w:trPr>
          <w:trHeight w:val="162"/>
        </w:trPr>
        <w:tc>
          <w:tcPr>
            <w:tcW w:w="2620" w:type="dxa"/>
            <w:vAlign w:val="bottom"/>
          </w:tcPr>
          <w:p>
            <w:pPr>
              <w:ind w:left="20"/>
              <w:spacing w:after="0"/>
              <w:rPr>
                <w:sz w:val="20"/>
                <w:szCs w:val="20"/>
                <w:color w:val="auto"/>
              </w:rPr>
            </w:pPr>
            <w:r>
              <w:rPr>
                <w:rFonts w:ascii="Arial" w:cs="Arial" w:eastAsia="Arial" w:hAnsi="Arial"/>
                <w:sz w:val="14"/>
                <w:szCs w:val="14"/>
                <w:color w:val="auto"/>
              </w:rPr>
              <w:t>Africa</w:t>
            </w:r>
          </w:p>
        </w:tc>
        <w:tc>
          <w:tcPr>
            <w:tcW w:w="880" w:type="dxa"/>
            <w:vAlign w:val="bottom"/>
            <w:shd w:val="clear" w:color="auto" w:fill="D8D8D8"/>
          </w:tcPr>
          <w:p>
            <w:pPr>
              <w:jc w:val="right"/>
              <w:ind w:right="149"/>
              <w:spacing w:after="0"/>
              <w:rPr>
                <w:sz w:val="20"/>
                <w:szCs w:val="20"/>
                <w:color w:val="auto"/>
              </w:rPr>
            </w:pPr>
            <w:r>
              <w:rPr>
                <w:rFonts w:ascii="Arial" w:cs="Arial" w:eastAsia="Arial" w:hAnsi="Arial"/>
                <w:sz w:val="14"/>
                <w:szCs w:val="14"/>
                <w:color w:val="auto"/>
              </w:rPr>
              <w:t>82</w:t>
            </w:r>
          </w:p>
        </w:tc>
        <w:tc>
          <w:tcPr>
            <w:tcW w:w="1040" w:type="dxa"/>
            <w:vAlign w:val="bottom"/>
          </w:tcPr>
          <w:p>
            <w:pPr>
              <w:jc w:val="right"/>
              <w:ind w:right="249"/>
              <w:spacing w:after="0"/>
              <w:rPr>
                <w:sz w:val="20"/>
                <w:szCs w:val="20"/>
                <w:color w:val="auto"/>
              </w:rPr>
            </w:pPr>
            <w:r>
              <w:rPr>
                <w:rFonts w:ascii="Arial" w:cs="Arial" w:eastAsia="Arial" w:hAnsi="Arial"/>
                <w:sz w:val="14"/>
                <w:szCs w:val="14"/>
                <w:color w:val="auto"/>
              </w:rPr>
              <w:t>82</w:t>
            </w:r>
          </w:p>
        </w:tc>
        <w:tc>
          <w:tcPr>
            <w:tcW w:w="940" w:type="dxa"/>
            <w:vAlign w:val="bottom"/>
          </w:tcPr>
          <w:p>
            <w:pPr>
              <w:jc w:val="right"/>
              <w:ind w:right="189"/>
              <w:spacing w:after="0"/>
              <w:rPr>
                <w:sz w:val="20"/>
                <w:szCs w:val="20"/>
                <w:color w:val="auto"/>
              </w:rPr>
            </w:pPr>
            <w:r>
              <w:rPr>
                <w:rFonts w:ascii="Arial" w:cs="Arial" w:eastAsia="Arial" w:hAnsi="Arial"/>
                <w:sz w:val="14"/>
                <w:szCs w:val="14"/>
                <w:color w:val="auto"/>
              </w:rPr>
              <w:t>83</w:t>
            </w:r>
          </w:p>
        </w:tc>
      </w:tr>
      <w:tr>
        <w:trPr>
          <w:trHeight w:val="157"/>
        </w:trPr>
        <w:tc>
          <w:tcPr>
            <w:tcW w:w="2620" w:type="dxa"/>
            <w:vAlign w:val="bottom"/>
            <w:tcBorders>
              <w:bottom w:val="single" w:sz="8" w:color="auto"/>
            </w:tcBorders>
          </w:tcPr>
          <w:p>
            <w:pPr>
              <w:ind w:left="20"/>
              <w:spacing w:after="0" w:line="157" w:lineRule="exact"/>
              <w:rPr>
                <w:sz w:val="20"/>
                <w:szCs w:val="20"/>
                <w:color w:val="auto"/>
              </w:rPr>
            </w:pPr>
            <w:r>
              <w:rPr>
                <w:rFonts w:ascii="Arial" w:cs="Arial" w:eastAsia="Arial" w:hAnsi="Arial"/>
                <w:sz w:val="14"/>
                <w:szCs w:val="14"/>
                <w:color w:val="auto"/>
              </w:rPr>
              <w:t>Americas</w:t>
            </w:r>
          </w:p>
        </w:tc>
        <w:tc>
          <w:tcPr>
            <w:tcW w:w="880" w:type="dxa"/>
            <w:vAlign w:val="bottom"/>
            <w:tcBorders>
              <w:bottom w:val="single" w:sz="8" w:color="auto"/>
            </w:tcBorders>
            <w:shd w:val="clear" w:color="auto" w:fill="D8D8D8"/>
          </w:tcPr>
          <w:p>
            <w:pPr>
              <w:jc w:val="right"/>
              <w:ind w:right="149"/>
              <w:spacing w:after="0" w:line="157" w:lineRule="exact"/>
              <w:rPr>
                <w:sz w:val="20"/>
                <w:szCs w:val="20"/>
                <w:color w:val="auto"/>
              </w:rPr>
            </w:pPr>
            <w:r>
              <w:rPr>
                <w:rFonts w:ascii="Arial" w:cs="Arial" w:eastAsia="Arial" w:hAnsi="Arial"/>
                <w:sz w:val="14"/>
                <w:szCs w:val="14"/>
                <w:color w:val="auto"/>
              </w:rPr>
              <w:t>1,212</w:t>
            </w:r>
          </w:p>
        </w:tc>
        <w:tc>
          <w:tcPr>
            <w:tcW w:w="1040" w:type="dxa"/>
            <w:vAlign w:val="bottom"/>
            <w:tcBorders>
              <w:bottom w:val="single" w:sz="8" w:color="auto"/>
            </w:tcBorders>
          </w:tcPr>
          <w:p>
            <w:pPr>
              <w:jc w:val="right"/>
              <w:ind w:right="249"/>
              <w:spacing w:after="0" w:line="157" w:lineRule="exact"/>
              <w:rPr>
                <w:sz w:val="20"/>
                <w:szCs w:val="20"/>
                <w:color w:val="auto"/>
              </w:rPr>
            </w:pPr>
            <w:r>
              <w:rPr>
                <w:rFonts w:ascii="Arial" w:cs="Arial" w:eastAsia="Arial" w:hAnsi="Arial"/>
                <w:sz w:val="14"/>
                <w:szCs w:val="14"/>
                <w:color w:val="auto"/>
              </w:rPr>
              <w:t>1,212</w:t>
            </w:r>
          </w:p>
        </w:tc>
        <w:tc>
          <w:tcPr>
            <w:tcW w:w="940" w:type="dxa"/>
            <w:vAlign w:val="bottom"/>
            <w:tcBorders>
              <w:bottom w:val="single" w:sz="8" w:color="auto"/>
            </w:tcBorders>
          </w:tcPr>
          <w:p>
            <w:pPr>
              <w:jc w:val="right"/>
              <w:ind w:right="189"/>
              <w:spacing w:after="0" w:line="157" w:lineRule="exact"/>
              <w:rPr>
                <w:sz w:val="20"/>
                <w:szCs w:val="20"/>
                <w:color w:val="auto"/>
              </w:rPr>
            </w:pPr>
            <w:r>
              <w:rPr>
                <w:rFonts w:ascii="Arial" w:cs="Arial" w:eastAsia="Arial" w:hAnsi="Arial"/>
                <w:sz w:val="14"/>
                <w:szCs w:val="14"/>
                <w:color w:val="auto"/>
              </w:rPr>
              <w:t>1,212</w:t>
            </w:r>
          </w:p>
        </w:tc>
      </w:tr>
      <w:tr>
        <w:trPr>
          <w:trHeight w:val="156"/>
        </w:trPr>
        <w:tc>
          <w:tcPr>
            <w:tcW w:w="2620" w:type="dxa"/>
            <w:vAlign w:val="bottom"/>
            <w:tcBorders>
              <w:bottom w:val="single" w:sz="8" w:color="auto"/>
            </w:tcBorders>
          </w:tcPr>
          <w:p>
            <w:pPr>
              <w:ind w:left="20"/>
              <w:spacing w:after="0" w:line="155" w:lineRule="exact"/>
              <w:rPr>
                <w:sz w:val="20"/>
                <w:szCs w:val="20"/>
                <w:color w:val="auto"/>
              </w:rPr>
            </w:pPr>
            <w:r>
              <w:rPr>
                <w:rFonts w:ascii="Arial" w:cs="Arial" w:eastAsia="Arial" w:hAnsi="Arial"/>
                <w:sz w:val="14"/>
                <w:szCs w:val="14"/>
                <w:color w:val="auto"/>
              </w:rPr>
              <w:t>Total</w:t>
            </w:r>
          </w:p>
        </w:tc>
        <w:tc>
          <w:tcPr>
            <w:tcW w:w="880" w:type="dxa"/>
            <w:vAlign w:val="bottom"/>
            <w:tcBorders>
              <w:bottom w:val="single" w:sz="8" w:color="auto"/>
            </w:tcBorders>
            <w:shd w:val="clear" w:color="auto" w:fill="D8D8D8"/>
          </w:tcPr>
          <w:p>
            <w:pPr>
              <w:jc w:val="right"/>
              <w:ind w:right="149"/>
              <w:spacing w:after="0" w:line="155" w:lineRule="exact"/>
              <w:rPr>
                <w:sz w:val="20"/>
                <w:szCs w:val="20"/>
                <w:color w:val="auto"/>
              </w:rPr>
            </w:pPr>
            <w:r>
              <w:rPr>
                <w:rFonts w:ascii="Arial" w:cs="Arial" w:eastAsia="Arial" w:hAnsi="Arial"/>
                <w:sz w:val="14"/>
                <w:szCs w:val="14"/>
                <w:color w:val="auto"/>
              </w:rPr>
              <w:t>3,217</w:t>
            </w:r>
          </w:p>
        </w:tc>
        <w:tc>
          <w:tcPr>
            <w:tcW w:w="1040" w:type="dxa"/>
            <w:vAlign w:val="bottom"/>
            <w:tcBorders>
              <w:bottom w:val="single" w:sz="8" w:color="auto"/>
            </w:tcBorders>
          </w:tcPr>
          <w:p>
            <w:pPr>
              <w:jc w:val="right"/>
              <w:ind w:right="249"/>
              <w:spacing w:after="0" w:line="155" w:lineRule="exact"/>
              <w:rPr>
                <w:sz w:val="20"/>
                <w:szCs w:val="20"/>
                <w:color w:val="auto"/>
              </w:rPr>
            </w:pPr>
            <w:r>
              <w:rPr>
                <w:rFonts w:ascii="Arial" w:cs="Arial" w:eastAsia="Arial" w:hAnsi="Arial"/>
                <w:sz w:val="14"/>
                <w:szCs w:val="14"/>
                <w:color w:val="auto"/>
              </w:rPr>
              <w:t>3,255</w:t>
            </w:r>
          </w:p>
        </w:tc>
        <w:tc>
          <w:tcPr>
            <w:tcW w:w="940" w:type="dxa"/>
            <w:vAlign w:val="bottom"/>
            <w:tcBorders>
              <w:bottom w:val="single" w:sz="8" w:color="auto"/>
            </w:tcBorders>
          </w:tcPr>
          <w:p>
            <w:pPr>
              <w:jc w:val="right"/>
              <w:ind w:right="189"/>
              <w:spacing w:after="0" w:line="155" w:lineRule="exact"/>
              <w:rPr>
                <w:sz w:val="20"/>
                <w:szCs w:val="20"/>
                <w:color w:val="auto"/>
              </w:rPr>
            </w:pPr>
            <w:r>
              <w:rPr>
                <w:rFonts w:ascii="Arial" w:cs="Arial" w:eastAsia="Arial" w:hAnsi="Arial"/>
                <w:sz w:val="14"/>
                <w:szCs w:val="14"/>
                <w:color w:val="auto"/>
              </w:rPr>
              <w:t>3,201</w:t>
            </w:r>
          </w:p>
        </w:tc>
      </w:tr>
    </w:tbl>
    <w:p>
      <w:pPr>
        <w:spacing w:after="0" w:line="32" w:lineRule="exact"/>
        <w:rPr>
          <w:sz w:val="20"/>
          <w:szCs w:val="20"/>
          <w:color w:val="auto"/>
        </w:rPr>
      </w:pPr>
    </w:p>
    <w:p>
      <w:pPr>
        <w:ind w:left="180" w:hanging="172"/>
        <w:spacing w:after="0"/>
        <w:tabs>
          <w:tab w:leader="none" w:pos="180" w:val="left"/>
        </w:tabs>
        <w:numPr>
          <w:ilvl w:val="0"/>
          <w:numId w:val="38"/>
        </w:numPr>
        <w:rPr>
          <w:rFonts w:ascii="Arial" w:cs="Arial" w:eastAsia="Arial" w:hAnsi="Arial"/>
          <w:sz w:val="11"/>
          <w:szCs w:val="11"/>
          <w:color w:val="auto"/>
        </w:rPr>
      </w:pPr>
      <w:r>
        <w:rPr>
          <w:rFonts w:ascii="Arial" w:cs="Arial" w:eastAsia="Arial" w:hAnsi="Arial"/>
          <w:sz w:val="11"/>
          <w:szCs w:val="11"/>
          <w:color w:val="auto"/>
        </w:rPr>
        <w:t>Average operating capacity for the year, excluding mothballed capacity.</w:t>
      </w:r>
    </w:p>
    <w:p>
      <w:pPr>
        <w:ind w:left="180" w:hanging="172"/>
        <w:spacing w:after="0"/>
        <w:tabs>
          <w:tab w:leader="none" w:pos="180" w:val="left"/>
        </w:tabs>
        <w:numPr>
          <w:ilvl w:val="0"/>
          <w:numId w:val="38"/>
        </w:numPr>
        <w:rPr>
          <w:rFonts w:ascii="Arial" w:cs="Arial" w:eastAsia="Arial" w:hAnsi="Arial"/>
          <w:sz w:val="11"/>
          <w:szCs w:val="11"/>
          <w:color w:val="auto"/>
        </w:rPr>
      </w:pPr>
      <w:r>
        <w:rPr>
          <w:rFonts w:ascii="Arial" w:cs="Arial" w:eastAsia="Arial" w:hAnsi="Arial"/>
          <w:sz w:val="11"/>
          <w:szCs w:val="11"/>
          <w:color w:val="auto"/>
        </w:rPr>
        <w:t>Calendar day capacity is the maximum sustainable capacity adjusted for normal unit downtime.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565"/>
        </w:trPr>
        <w:tc>
          <w:tcPr>
            <w:tcW w:w="180" w:type="dxa"/>
            <w:vAlign w:val="bottom"/>
            <w:shd w:val="clear" w:color="auto" w:fill="FF8B00"/>
          </w:tcPr>
          <w:p>
            <w:pPr>
              <w:spacing w:after="0"/>
              <w:rPr>
                <w:sz w:val="24"/>
                <w:szCs w:val="24"/>
                <w:color w:val="auto"/>
              </w:rPr>
            </w:pPr>
          </w:p>
        </w:tc>
        <w:tc>
          <w:tcPr>
            <w:tcW w:w="2620" w:type="dxa"/>
            <w:vAlign w:val="bottom"/>
            <w:shd w:val="clear" w:color="auto" w:fill="FF8B00"/>
          </w:tcPr>
          <w:p>
            <w:pPr>
              <w:ind w:left="760"/>
              <w:spacing w:after="0"/>
              <w:rPr>
                <w:sz w:val="20"/>
                <w:szCs w:val="20"/>
                <w:color w:val="auto"/>
              </w:rPr>
            </w:pPr>
            <w:r>
              <w:rPr>
                <w:rFonts w:ascii="Arial" w:cs="Arial" w:eastAsia="Arial" w:hAnsi="Arial"/>
                <w:sz w:val="13"/>
                <w:szCs w:val="13"/>
                <w:color w:val="333333"/>
              </w:rPr>
              <w:t>STRATEGIC REPORT</w:t>
            </w:r>
          </w:p>
        </w:tc>
        <w:tc>
          <w:tcPr>
            <w:tcW w:w="660" w:type="dxa"/>
            <w:vAlign w:val="bottom"/>
            <w:shd w:val="clear" w:color="auto" w:fill="FF8B00"/>
          </w:tcPr>
          <w:p>
            <w:pPr>
              <w:spacing w:after="0"/>
              <w:rPr>
                <w:sz w:val="24"/>
                <w:szCs w:val="24"/>
                <w:color w:val="auto"/>
              </w:rPr>
            </w:pPr>
          </w:p>
        </w:tc>
        <w:tc>
          <w:tcPr>
            <w:tcW w:w="220" w:type="dxa"/>
            <w:vAlign w:val="bottom"/>
            <w:shd w:val="clear" w:color="auto" w:fill="FF8B00"/>
          </w:tcPr>
          <w:p>
            <w:pPr>
              <w:spacing w:after="0"/>
              <w:rPr>
                <w:sz w:val="24"/>
                <w:szCs w:val="24"/>
                <w:color w:val="auto"/>
              </w:rPr>
            </w:pPr>
          </w:p>
        </w:tc>
        <w:tc>
          <w:tcPr>
            <w:tcW w:w="1020" w:type="dxa"/>
            <w:vAlign w:val="bottom"/>
            <w:shd w:val="clear" w:color="auto" w:fill="FF8B00"/>
          </w:tcPr>
          <w:p>
            <w:pPr>
              <w:spacing w:after="0"/>
              <w:rPr>
                <w:sz w:val="24"/>
                <w:szCs w:val="24"/>
                <w:color w:val="auto"/>
              </w:rPr>
            </w:pPr>
          </w:p>
        </w:tc>
        <w:tc>
          <w:tcPr>
            <w:tcW w:w="960" w:type="dxa"/>
            <w:vAlign w:val="bottom"/>
            <w:shd w:val="clear" w:color="auto" w:fill="FF8B00"/>
          </w:tcPr>
          <w:p>
            <w:pPr>
              <w:jc w:val="right"/>
              <w:ind w:right="131"/>
              <w:spacing w:after="0"/>
              <w:rPr>
                <w:sz w:val="20"/>
                <w:szCs w:val="20"/>
                <w:color w:val="auto"/>
              </w:rPr>
            </w:pPr>
            <w:r>
              <w:rPr>
                <w:rFonts w:ascii="Arial" w:cs="Arial" w:eastAsia="Arial" w:hAnsi="Arial"/>
                <w:sz w:val="11"/>
                <w:szCs w:val="11"/>
                <w:b w:val="1"/>
                <w:bCs w:val="1"/>
                <w:color w:val="333333"/>
              </w:rPr>
              <w:t>43</w:t>
            </w:r>
          </w:p>
        </w:tc>
        <w:tc>
          <w:tcPr>
            <w:tcW w:w="160" w:type="dxa"/>
            <w:vAlign w:val="bottom"/>
            <w:shd w:val="clear" w:color="auto" w:fill="FF8B00"/>
          </w:tcPr>
          <w:p>
            <w:pPr>
              <w:spacing w:after="0"/>
              <w:rPr>
                <w:sz w:val="24"/>
                <w:szCs w:val="24"/>
                <w:color w:val="auto"/>
              </w:rPr>
            </w:pPr>
          </w:p>
        </w:tc>
        <w:tc>
          <w:tcPr>
            <w:tcW w:w="0" w:type="dxa"/>
            <w:vAlign w:val="bottom"/>
          </w:tcPr>
          <w:p>
            <w:pPr>
              <w:spacing w:after="0"/>
              <w:rPr>
                <w:sz w:val="1"/>
                <w:szCs w:val="1"/>
                <w:color w:val="auto"/>
              </w:rPr>
            </w:pPr>
          </w:p>
        </w:tc>
      </w:tr>
      <w:tr>
        <w:trPr>
          <w:trHeight w:val="165"/>
        </w:trPr>
        <w:tc>
          <w:tcPr>
            <w:tcW w:w="180" w:type="dxa"/>
            <w:vAlign w:val="bottom"/>
            <w:shd w:val="clear" w:color="auto" w:fill="FF8B00"/>
          </w:tcPr>
          <w:p>
            <w:pPr>
              <w:spacing w:after="0"/>
              <w:rPr>
                <w:sz w:val="14"/>
                <w:szCs w:val="14"/>
                <w:color w:val="auto"/>
              </w:rPr>
            </w:pPr>
          </w:p>
        </w:tc>
        <w:tc>
          <w:tcPr>
            <w:tcW w:w="2620" w:type="dxa"/>
            <w:vAlign w:val="bottom"/>
            <w:shd w:val="clear" w:color="auto" w:fill="FF8B00"/>
          </w:tcPr>
          <w:p>
            <w:pPr>
              <w:spacing w:after="0"/>
              <w:rPr>
                <w:sz w:val="14"/>
                <w:szCs w:val="14"/>
                <w:color w:val="auto"/>
              </w:rPr>
            </w:pPr>
          </w:p>
        </w:tc>
        <w:tc>
          <w:tcPr>
            <w:tcW w:w="660" w:type="dxa"/>
            <w:vAlign w:val="bottom"/>
            <w:shd w:val="clear" w:color="auto" w:fill="FF8B00"/>
          </w:tcPr>
          <w:p>
            <w:pPr>
              <w:spacing w:after="0"/>
              <w:rPr>
                <w:sz w:val="14"/>
                <w:szCs w:val="14"/>
                <w:color w:val="auto"/>
              </w:rPr>
            </w:pPr>
          </w:p>
        </w:tc>
        <w:tc>
          <w:tcPr>
            <w:tcW w:w="220" w:type="dxa"/>
            <w:vAlign w:val="bottom"/>
            <w:shd w:val="clear" w:color="auto" w:fill="FF8B00"/>
          </w:tcPr>
          <w:p>
            <w:pPr>
              <w:spacing w:after="0"/>
              <w:rPr>
                <w:sz w:val="14"/>
                <w:szCs w:val="14"/>
                <w:color w:val="auto"/>
              </w:rPr>
            </w:pPr>
          </w:p>
        </w:tc>
        <w:tc>
          <w:tcPr>
            <w:tcW w:w="1020" w:type="dxa"/>
            <w:vAlign w:val="bottom"/>
            <w:shd w:val="clear" w:color="auto" w:fill="FF8B00"/>
          </w:tcPr>
          <w:p>
            <w:pPr>
              <w:spacing w:after="0"/>
              <w:rPr>
                <w:sz w:val="14"/>
                <w:szCs w:val="14"/>
                <w:color w:val="auto"/>
              </w:rPr>
            </w:pPr>
          </w:p>
        </w:tc>
        <w:tc>
          <w:tcPr>
            <w:tcW w:w="960" w:type="dxa"/>
            <w:vAlign w:val="bottom"/>
            <w:shd w:val="clear" w:color="auto" w:fill="FF8B00"/>
          </w:tcPr>
          <w:p>
            <w:pPr>
              <w:spacing w:after="0"/>
              <w:rPr>
                <w:sz w:val="14"/>
                <w:szCs w:val="14"/>
                <w:color w:val="auto"/>
              </w:rPr>
            </w:pPr>
          </w:p>
        </w:tc>
        <w:tc>
          <w:tcPr>
            <w:tcW w:w="160" w:type="dxa"/>
            <w:vAlign w:val="bottom"/>
            <w:shd w:val="clear" w:color="auto" w:fill="FF8B00"/>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180" w:type="dxa"/>
            <w:vAlign w:val="bottom"/>
          </w:tcPr>
          <w:p>
            <w:pPr>
              <w:spacing w:after="0"/>
              <w:rPr>
                <w:sz w:val="11"/>
                <w:szCs w:val="11"/>
                <w:color w:val="auto"/>
              </w:rPr>
            </w:pPr>
          </w:p>
        </w:tc>
        <w:tc>
          <w:tcPr>
            <w:tcW w:w="2620" w:type="dxa"/>
            <w:vAlign w:val="bottom"/>
          </w:tcPr>
          <w:p>
            <w:pPr>
              <w:ind w:left="760"/>
              <w:spacing w:after="0"/>
              <w:rPr>
                <w:sz w:val="20"/>
                <w:szCs w:val="20"/>
                <w:color w:val="auto"/>
              </w:rPr>
            </w:pPr>
            <w:r>
              <w:rPr>
                <w:rFonts w:ascii="Arial" w:cs="Arial" w:eastAsia="Arial" w:hAnsi="Arial"/>
                <w:sz w:val="11"/>
                <w:szCs w:val="11"/>
                <w:color w:val="auto"/>
              </w:rPr>
              <w:t>DOWNSTREAM</w:t>
            </w: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6"/>
        </w:trPr>
        <w:tc>
          <w:tcPr>
            <w:tcW w:w="180" w:type="dxa"/>
            <w:vAlign w:val="bottom"/>
          </w:tcPr>
          <w:p>
            <w:pPr>
              <w:spacing w:after="0"/>
              <w:rPr>
                <w:sz w:val="3"/>
                <w:szCs w:val="3"/>
                <w:color w:val="auto"/>
              </w:rPr>
            </w:pPr>
          </w:p>
        </w:tc>
        <w:tc>
          <w:tcPr>
            <w:tcW w:w="2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20" w:type="dxa"/>
            <w:vAlign w:val="bottom"/>
          </w:tcPr>
          <w:p>
            <w:pPr>
              <w:spacing w:after="0"/>
              <w:rPr>
                <w:sz w:val="3"/>
                <w:szCs w:val="3"/>
                <w:color w:val="auto"/>
              </w:rPr>
            </w:pPr>
          </w:p>
        </w:tc>
        <w:tc>
          <w:tcPr>
            <w:tcW w:w="1980" w:type="dxa"/>
            <w:vAlign w:val="bottom"/>
            <w:gridSpan w:val="2"/>
          </w:tcPr>
          <w:p>
            <w:pPr>
              <w:spacing w:after="0"/>
              <w:rPr>
                <w:sz w:val="3"/>
                <w:szCs w:val="3"/>
                <w:color w:val="auto"/>
              </w:rPr>
            </w:pPr>
          </w:p>
        </w:tc>
        <w:tc>
          <w:tcPr>
            <w:tcW w:w="160" w:type="dxa"/>
            <w:vAlign w:val="bottom"/>
            <w:vMerge w:val="restart"/>
          </w:tcPr>
          <w:p>
            <w:pPr>
              <w:spacing w:after="0"/>
              <w:rPr>
                <w:sz w:val="3"/>
                <w:szCs w:val="3"/>
                <w:color w:val="auto"/>
              </w:rPr>
            </w:pPr>
          </w:p>
        </w:tc>
        <w:tc>
          <w:tcPr>
            <w:tcW w:w="0" w:type="dxa"/>
            <w:vAlign w:val="bottom"/>
          </w:tcPr>
          <w:p>
            <w:pPr>
              <w:spacing w:after="0"/>
              <w:rPr>
                <w:sz w:val="1"/>
                <w:szCs w:val="1"/>
                <w:color w:val="auto"/>
              </w:rPr>
            </w:pPr>
          </w:p>
        </w:tc>
      </w:tr>
      <w:tr>
        <w:trPr>
          <w:trHeight w:val="162"/>
        </w:trPr>
        <w:tc>
          <w:tcPr>
            <w:tcW w:w="180" w:type="dxa"/>
            <w:vAlign w:val="bottom"/>
          </w:tcPr>
          <w:p>
            <w:pPr>
              <w:spacing w:after="0"/>
              <w:rPr>
                <w:sz w:val="14"/>
                <w:szCs w:val="14"/>
                <w:color w:val="auto"/>
              </w:rPr>
            </w:pPr>
          </w:p>
        </w:tc>
        <w:tc>
          <w:tcPr>
            <w:tcW w:w="2620" w:type="dxa"/>
            <w:vAlign w:val="bottom"/>
            <w:shd w:val="clear" w:color="auto" w:fill="333333"/>
          </w:tcPr>
          <w:p>
            <w:pPr>
              <w:ind w:left="60"/>
              <w:spacing w:after="0" w:line="162" w:lineRule="exact"/>
              <w:rPr>
                <w:sz w:val="20"/>
                <w:szCs w:val="20"/>
                <w:color w:val="auto"/>
              </w:rPr>
            </w:pPr>
            <w:r>
              <w:rPr>
                <w:rFonts w:ascii="Arial" w:cs="Arial" w:eastAsia="Arial" w:hAnsi="Arial"/>
                <w:sz w:val="15"/>
                <w:szCs w:val="15"/>
                <w:b w:val="1"/>
                <w:bCs w:val="1"/>
                <w:color w:val="FFFFFF"/>
              </w:rPr>
              <w:t xml:space="preserve">ETHYLENE CAPACITY </w:t>
            </w:r>
            <w:r>
              <w:rPr>
                <w:rFonts w:ascii="Arial" w:cs="Arial" w:eastAsia="Arial" w:hAnsi="Arial"/>
                <w:sz w:val="15"/>
                <w:szCs w:val="15"/>
                <w:color w:val="FFFFFF"/>
              </w:rPr>
              <w:t>[A]</w:t>
            </w:r>
          </w:p>
        </w:tc>
        <w:tc>
          <w:tcPr>
            <w:tcW w:w="660" w:type="dxa"/>
            <w:vAlign w:val="bottom"/>
            <w:shd w:val="clear" w:color="auto" w:fill="333333"/>
          </w:tcPr>
          <w:p>
            <w:pPr>
              <w:spacing w:after="0"/>
              <w:rPr>
                <w:sz w:val="14"/>
                <w:szCs w:val="14"/>
                <w:color w:val="auto"/>
              </w:rPr>
            </w:pPr>
          </w:p>
        </w:tc>
        <w:tc>
          <w:tcPr>
            <w:tcW w:w="2200" w:type="dxa"/>
            <w:vAlign w:val="bottom"/>
            <w:gridSpan w:val="3"/>
            <w:shd w:val="clear" w:color="auto" w:fill="333333"/>
          </w:tcPr>
          <w:p>
            <w:pPr>
              <w:jc w:val="right"/>
              <w:spacing w:after="0" w:line="162" w:lineRule="exact"/>
              <w:rPr>
                <w:sz w:val="20"/>
                <w:szCs w:val="20"/>
                <w:color w:val="auto"/>
              </w:rPr>
            </w:pPr>
            <w:r>
              <w:rPr>
                <w:rFonts w:ascii="Arial" w:cs="Arial" w:eastAsia="Arial" w:hAnsi="Arial"/>
                <w:sz w:val="15"/>
                <w:szCs w:val="15"/>
                <w:color w:val="FFFFFF"/>
              </w:rPr>
              <w:t>THOUSAND TONNES/YEAR</w:t>
            </w:r>
          </w:p>
        </w:tc>
        <w:tc>
          <w:tcPr>
            <w:tcW w:w="1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80" w:type="dxa"/>
            <w:vAlign w:val="bottom"/>
          </w:tcPr>
          <w:p>
            <w:pPr>
              <w:spacing w:after="0"/>
              <w:rPr>
                <w:sz w:val="12"/>
                <w:szCs w:val="12"/>
                <w:color w:val="auto"/>
              </w:rPr>
            </w:pPr>
          </w:p>
        </w:tc>
        <w:tc>
          <w:tcPr>
            <w:tcW w:w="262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shd w:val="clear" w:color="auto" w:fill="D8D8D8"/>
          </w:tcPr>
          <w:p>
            <w:pPr>
              <w:jc w:val="right"/>
              <w:spacing w:after="0"/>
              <w:rPr>
                <w:sz w:val="20"/>
                <w:szCs w:val="20"/>
                <w:color w:val="auto"/>
              </w:rPr>
            </w:pPr>
            <w:r>
              <w:rPr>
                <w:rFonts w:ascii="Arial" w:cs="Arial" w:eastAsia="Arial" w:hAnsi="Arial"/>
                <w:sz w:val="13"/>
                <w:szCs w:val="13"/>
                <w:color w:val="auto"/>
              </w:rPr>
              <w:t>2014</w:t>
            </w:r>
          </w:p>
        </w:tc>
        <w:tc>
          <w:tcPr>
            <w:tcW w:w="220" w:type="dxa"/>
            <w:vAlign w:val="bottom"/>
            <w:tcBorders>
              <w:bottom w:val="single" w:sz="8" w:color="auto"/>
            </w:tcBorders>
            <w:shd w:val="clear" w:color="auto" w:fill="D8D8D8"/>
          </w:tcPr>
          <w:p>
            <w:pPr>
              <w:spacing w:after="0"/>
              <w:rPr>
                <w:sz w:val="12"/>
                <w:szCs w:val="12"/>
                <w:color w:val="auto"/>
              </w:rPr>
            </w:pPr>
          </w:p>
        </w:tc>
        <w:tc>
          <w:tcPr>
            <w:tcW w:w="1020" w:type="dxa"/>
            <w:vAlign w:val="bottom"/>
            <w:tcBorders>
              <w:bottom w:val="single" w:sz="8" w:color="auto"/>
            </w:tcBorders>
          </w:tcPr>
          <w:p>
            <w:pPr>
              <w:jc w:val="right"/>
              <w:ind w:right="249"/>
              <w:spacing w:after="0"/>
              <w:rPr>
                <w:sz w:val="20"/>
                <w:szCs w:val="20"/>
                <w:color w:val="auto"/>
              </w:rPr>
            </w:pPr>
            <w:r>
              <w:rPr>
                <w:rFonts w:ascii="Arial" w:cs="Arial" w:eastAsia="Arial" w:hAnsi="Arial"/>
                <w:sz w:val="13"/>
                <w:szCs w:val="13"/>
                <w:color w:val="auto"/>
              </w:rPr>
              <w:t>2013</w:t>
            </w:r>
          </w:p>
        </w:tc>
        <w:tc>
          <w:tcPr>
            <w:tcW w:w="960" w:type="dxa"/>
            <w:vAlign w:val="bottom"/>
            <w:tcBorders>
              <w:bottom w:val="single" w:sz="8" w:color="auto"/>
            </w:tcBorders>
          </w:tcPr>
          <w:p>
            <w:pPr>
              <w:jc w:val="right"/>
              <w:ind w:right="211"/>
              <w:spacing w:after="0"/>
              <w:rPr>
                <w:sz w:val="20"/>
                <w:szCs w:val="20"/>
                <w:color w:val="auto"/>
              </w:rPr>
            </w:pPr>
            <w:r>
              <w:rPr>
                <w:rFonts w:ascii="Arial" w:cs="Arial" w:eastAsia="Arial" w:hAnsi="Arial"/>
                <w:sz w:val="13"/>
                <w:szCs w:val="13"/>
                <w:color w:val="auto"/>
              </w:rPr>
              <w:t>2012</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180" w:type="dxa"/>
            <w:vAlign w:val="bottom"/>
          </w:tcPr>
          <w:p>
            <w:pPr>
              <w:spacing w:after="0"/>
              <w:rPr>
                <w:sz w:val="13"/>
                <w:szCs w:val="13"/>
                <w:color w:val="auto"/>
              </w:rPr>
            </w:pPr>
          </w:p>
        </w:tc>
        <w:tc>
          <w:tcPr>
            <w:tcW w:w="2620" w:type="dxa"/>
            <w:vAlign w:val="bottom"/>
          </w:tcPr>
          <w:p>
            <w:pPr>
              <w:spacing w:after="0" w:line="155" w:lineRule="exact"/>
              <w:rPr>
                <w:sz w:val="20"/>
                <w:szCs w:val="20"/>
                <w:color w:val="auto"/>
              </w:rPr>
            </w:pPr>
            <w:r>
              <w:rPr>
                <w:rFonts w:ascii="Arial" w:cs="Arial" w:eastAsia="Arial" w:hAnsi="Arial"/>
                <w:sz w:val="14"/>
                <w:szCs w:val="14"/>
                <w:color w:val="auto"/>
              </w:rPr>
              <w:t>Europe</w:t>
            </w:r>
          </w:p>
        </w:tc>
        <w:tc>
          <w:tcPr>
            <w:tcW w:w="660" w:type="dxa"/>
            <w:vAlign w:val="bottom"/>
            <w:shd w:val="clear" w:color="auto" w:fill="D8D8D8"/>
          </w:tcPr>
          <w:p>
            <w:pPr>
              <w:jc w:val="right"/>
              <w:spacing w:after="0" w:line="155" w:lineRule="exact"/>
              <w:rPr>
                <w:sz w:val="20"/>
                <w:szCs w:val="20"/>
                <w:color w:val="auto"/>
              </w:rPr>
            </w:pPr>
            <w:r>
              <w:rPr>
                <w:rFonts w:ascii="Arial" w:cs="Arial" w:eastAsia="Arial" w:hAnsi="Arial"/>
                <w:sz w:val="14"/>
                <w:szCs w:val="14"/>
                <w:color w:val="auto"/>
              </w:rPr>
              <w:t>1,659</w:t>
            </w:r>
          </w:p>
        </w:tc>
        <w:tc>
          <w:tcPr>
            <w:tcW w:w="220" w:type="dxa"/>
            <w:vAlign w:val="bottom"/>
            <w:shd w:val="clear" w:color="auto" w:fill="D8D8D8"/>
          </w:tcPr>
          <w:p>
            <w:pPr>
              <w:spacing w:after="0"/>
              <w:rPr>
                <w:sz w:val="13"/>
                <w:szCs w:val="13"/>
                <w:color w:val="auto"/>
              </w:rPr>
            </w:pPr>
          </w:p>
        </w:tc>
        <w:tc>
          <w:tcPr>
            <w:tcW w:w="1020" w:type="dxa"/>
            <w:vAlign w:val="bottom"/>
          </w:tcPr>
          <w:p>
            <w:pPr>
              <w:jc w:val="right"/>
              <w:ind w:right="249"/>
              <w:spacing w:after="0" w:line="155" w:lineRule="exact"/>
              <w:rPr>
                <w:sz w:val="20"/>
                <w:szCs w:val="20"/>
                <w:color w:val="auto"/>
              </w:rPr>
            </w:pPr>
            <w:r>
              <w:rPr>
                <w:rFonts w:ascii="Arial" w:cs="Arial" w:eastAsia="Arial" w:hAnsi="Arial"/>
                <w:sz w:val="14"/>
                <w:szCs w:val="14"/>
                <w:color w:val="auto"/>
              </w:rPr>
              <w:t>1,659</w:t>
            </w:r>
          </w:p>
        </w:tc>
        <w:tc>
          <w:tcPr>
            <w:tcW w:w="960" w:type="dxa"/>
            <w:vAlign w:val="bottom"/>
          </w:tcPr>
          <w:p>
            <w:pPr>
              <w:jc w:val="right"/>
              <w:ind w:right="211"/>
              <w:spacing w:after="0" w:line="155" w:lineRule="exact"/>
              <w:rPr>
                <w:sz w:val="20"/>
                <w:szCs w:val="20"/>
                <w:color w:val="auto"/>
              </w:rPr>
            </w:pPr>
            <w:r>
              <w:rPr>
                <w:rFonts w:ascii="Arial" w:cs="Arial" w:eastAsia="Arial" w:hAnsi="Arial"/>
                <w:sz w:val="14"/>
                <w:szCs w:val="14"/>
                <w:color w:val="auto"/>
              </w:rPr>
              <w:t>1,659</w:t>
            </w: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180" w:type="dxa"/>
            <w:vAlign w:val="bottom"/>
          </w:tcPr>
          <w:p>
            <w:pPr>
              <w:spacing w:after="0"/>
              <w:rPr>
                <w:sz w:val="14"/>
                <w:szCs w:val="14"/>
                <w:color w:val="auto"/>
              </w:rPr>
            </w:pPr>
          </w:p>
        </w:tc>
        <w:tc>
          <w:tcPr>
            <w:tcW w:w="2620" w:type="dxa"/>
            <w:vAlign w:val="bottom"/>
          </w:tcPr>
          <w:p>
            <w:pPr>
              <w:spacing w:after="0"/>
              <w:rPr>
                <w:sz w:val="20"/>
                <w:szCs w:val="20"/>
                <w:color w:val="auto"/>
              </w:rPr>
            </w:pPr>
            <w:r>
              <w:rPr>
                <w:rFonts w:ascii="Arial" w:cs="Arial" w:eastAsia="Arial" w:hAnsi="Arial"/>
                <w:sz w:val="14"/>
                <w:szCs w:val="14"/>
                <w:color w:val="auto"/>
              </w:rPr>
              <w:t>Asia</w:t>
            </w:r>
          </w:p>
        </w:tc>
        <w:tc>
          <w:tcPr>
            <w:tcW w:w="660" w:type="dxa"/>
            <w:vAlign w:val="bottom"/>
            <w:shd w:val="clear" w:color="auto" w:fill="D8D8D8"/>
          </w:tcPr>
          <w:p>
            <w:pPr>
              <w:jc w:val="right"/>
              <w:spacing w:after="0"/>
              <w:rPr>
                <w:sz w:val="20"/>
                <w:szCs w:val="20"/>
                <w:color w:val="auto"/>
              </w:rPr>
            </w:pPr>
            <w:r>
              <w:rPr>
                <w:rFonts w:ascii="Arial" w:cs="Arial" w:eastAsia="Arial" w:hAnsi="Arial"/>
                <w:sz w:val="14"/>
                <w:szCs w:val="14"/>
                <w:color w:val="auto"/>
              </w:rPr>
              <w:t>1,922</w:t>
            </w:r>
          </w:p>
        </w:tc>
        <w:tc>
          <w:tcPr>
            <w:tcW w:w="220" w:type="dxa"/>
            <w:vAlign w:val="bottom"/>
            <w:shd w:val="clear" w:color="auto" w:fill="D8D8D8"/>
          </w:tcPr>
          <w:p>
            <w:pPr>
              <w:spacing w:after="0"/>
              <w:rPr>
                <w:sz w:val="14"/>
                <w:szCs w:val="14"/>
                <w:color w:val="auto"/>
              </w:rPr>
            </w:pPr>
          </w:p>
        </w:tc>
        <w:tc>
          <w:tcPr>
            <w:tcW w:w="1020" w:type="dxa"/>
            <w:vAlign w:val="bottom"/>
          </w:tcPr>
          <w:p>
            <w:pPr>
              <w:jc w:val="right"/>
              <w:ind w:right="249"/>
              <w:spacing w:after="0"/>
              <w:rPr>
                <w:sz w:val="20"/>
                <w:szCs w:val="20"/>
                <w:color w:val="auto"/>
              </w:rPr>
            </w:pPr>
            <w:r>
              <w:rPr>
                <w:rFonts w:ascii="Arial" w:cs="Arial" w:eastAsia="Arial" w:hAnsi="Arial"/>
                <w:sz w:val="14"/>
                <w:szCs w:val="14"/>
                <w:color w:val="auto"/>
              </w:rPr>
              <w:t>1,922</w:t>
            </w:r>
          </w:p>
        </w:tc>
        <w:tc>
          <w:tcPr>
            <w:tcW w:w="960" w:type="dxa"/>
            <w:vAlign w:val="bottom"/>
          </w:tcPr>
          <w:p>
            <w:pPr>
              <w:jc w:val="right"/>
              <w:ind w:right="211"/>
              <w:spacing w:after="0"/>
              <w:rPr>
                <w:sz w:val="20"/>
                <w:szCs w:val="20"/>
                <w:color w:val="auto"/>
              </w:rPr>
            </w:pPr>
            <w:r>
              <w:rPr>
                <w:rFonts w:ascii="Arial" w:cs="Arial" w:eastAsia="Arial" w:hAnsi="Arial"/>
                <w:sz w:val="14"/>
                <w:szCs w:val="14"/>
                <w:color w:val="auto"/>
              </w:rPr>
              <w:t>1,922</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180" w:type="dxa"/>
            <w:vAlign w:val="bottom"/>
          </w:tcPr>
          <w:p>
            <w:pPr>
              <w:spacing w:after="0"/>
              <w:rPr>
                <w:sz w:val="14"/>
                <w:szCs w:val="14"/>
                <w:color w:val="auto"/>
              </w:rPr>
            </w:pPr>
          </w:p>
        </w:tc>
        <w:tc>
          <w:tcPr>
            <w:tcW w:w="2620" w:type="dxa"/>
            <w:vAlign w:val="bottom"/>
          </w:tcPr>
          <w:p>
            <w:pPr>
              <w:spacing w:after="0"/>
              <w:rPr>
                <w:sz w:val="20"/>
                <w:szCs w:val="20"/>
                <w:color w:val="auto"/>
              </w:rPr>
            </w:pPr>
            <w:r>
              <w:rPr>
                <w:rFonts w:ascii="Arial" w:cs="Arial" w:eastAsia="Arial" w:hAnsi="Arial"/>
                <w:sz w:val="14"/>
                <w:szCs w:val="14"/>
                <w:color w:val="auto"/>
              </w:rPr>
              <w:t>Oceania</w:t>
            </w:r>
          </w:p>
        </w:tc>
        <w:tc>
          <w:tcPr>
            <w:tcW w:w="660" w:type="dxa"/>
            <w:vAlign w:val="bottom"/>
            <w:shd w:val="clear" w:color="auto" w:fill="D8D8D8"/>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D8D8D8"/>
          </w:tcPr>
          <w:p>
            <w:pPr>
              <w:spacing w:after="0"/>
              <w:rPr>
                <w:sz w:val="14"/>
                <w:szCs w:val="14"/>
                <w:color w:val="auto"/>
              </w:rPr>
            </w:pPr>
          </w:p>
        </w:tc>
        <w:tc>
          <w:tcPr>
            <w:tcW w:w="1020" w:type="dxa"/>
            <w:vAlign w:val="bottom"/>
          </w:tcPr>
          <w:p>
            <w:pPr>
              <w:jc w:val="right"/>
              <w:ind w:right="249"/>
              <w:spacing w:after="0"/>
              <w:rPr>
                <w:sz w:val="20"/>
                <w:szCs w:val="20"/>
                <w:color w:val="auto"/>
              </w:rPr>
            </w:pPr>
            <w:r>
              <w:rPr>
                <w:rFonts w:ascii="Arial" w:cs="Arial" w:eastAsia="Arial" w:hAnsi="Arial"/>
                <w:sz w:val="14"/>
                <w:szCs w:val="14"/>
                <w:color w:val="auto"/>
              </w:rPr>
              <w:t>–</w:t>
            </w:r>
          </w:p>
        </w:tc>
        <w:tc>
          <w:tcPr>
            <w:tcW w:w="1120" w:type="dxa"/>
            <w:vAlign w:val="bottom"/>
            <w:gridSpan w:val="2"/>
          </w:tcPr>
          <w:p>
            <w:pPr>
              <w:jc w:val="right"/>
              <w:ind w:right="4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180" w:type="dxa"/>
            <w:vAlign w:val="bottom"/>
          </w:tcPr>
          <w:p>
            <w:pPr>
              <w:spacing w:after="0"/>
              <w:rPr>
                <w:sz w:val="14"/>
                <w:szCs w:val="14"/>
                <w:color w:val="auto"/>
              </w:rPr>
            </w:pPr>
          </w:p>
        </w:tc>
        <w:tc>
          <w:tcPr>
            <w:tcW w:w="2620" w:type="dxa"/>
            <w:vAlign w:val="bottom"/>
          </w:tcPr>
          <w:p>
            <w:pPr>
              <w:spacing w:after="0"/>
              <w:rPr>
                <w:sz w:val="20"/>
                <w:szCs w:val="20"/>
                <w:color w:val="auto"/>
              </w:rPr>
            </w:pPr>
            <w:r>
              <w:rPr>
                <w:rFonts w:ascii="Arial" w:cs="Arial" w:eastAsia="Arial" w:hAnsi="Arial"/>
                <w:sz w:val="14"/>
                <w:szCs w:val="14"/>
                <w:color w:val="auto"/>
              </w:rPr>
              <w:t>Africa</w:t>
            </w:r>
          </w:p>
        </w:tc>
        <w:tc>
          <w:tcPr>
            <w:tcW w:w="660" w:type="dxa"/>
            <w:vAlign w:val="bottom"/>
            <w:shd w:val="clear" w:color="auto" w:fill="D8D8D8"/>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D8D8D8"/>
          </w:tcPr>
          <w:p>
            <w:pPr>
              <w:spacing w:after="0"/>
              <w:rPr>
                <w:sz w:val="14"/>
                <w:szCs w:val="14"/>
                <w:color w:val="auto"/>
              </w:rPr>
            </w:pPr>
          </w:p>
        </w:tc>
        <w:tc>
          <w:tcPr>
            <w:tcW w:w="1020" w:type="dxa"/>
            <w:vAlign w:val="bottom"/>
          </w:tcPr>
          <w:p>
            <w:pPr>
              <w:jc w:val="right"/>
              <w:ind w:right="249"/>
              <w:spacing w:after="0"/>
              <w:rPr>
                <w:sz w:val="20"/>
                <w:szCs w:val="20"/>
                <w:color w:val="auto"/>
              </w:rPr>
            </w:pPr>
            <w:r>
              <w:rPr>
                <w:rFonts w:ascii="Arial" w:cs="Arial" w:eastAsia="Arial" w:hAnsi="Arial"/>
                <w:sz w:val="14"/>
                <w:szCs w:val="14"/>
                <w:color w:val="auto"/>
              </w:rPr>
              <w:t>–</w:t>
            </w:r>
          </w:p>
        </w:tc>
        <w:tc>
          <w:tcPr>
            <w:tcW w:w="1120" w:type="dxa"/>
            <w:vAlign w:val="bottom"/>
            <w:gridSpan w:val="2"/>
          </w:tcPr>
          <w:p>
            <w:pPr>
              <w:jc w:val="right"/>
              <w:ind w:right="4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7"/>
        </w:trPr>
        <w:tc>
          <w:tcPr>
            <w:tcW w:w="180" w:type="dxa"/>
            <w:vAlign w:val="bottom"/>
          </w:tcPr>
          <w:p>
            <w:pPr>
              <w:spacing w:after="0"/>
              <w:rPr>
                <w:sz w:val="13"/>
                <w:szCs w:val="13"/>
                <w:color w:val="auto"/>
              </w:rPr>
            </w:pPr>
          </w:p>
        </w:tc>
        <w:tc>
          <w:tcPr>
            <w:tcW w:w="2620" w:type="dxa"/>
            <w:vAlign w:val="bottom"/>
            <w:tcBorders>
              <w:bottom w:val="single" w:sz="8" w:color="auto"/>
            </w:tcBorders>
          </w:tcPr>
          <w:p>
            <w:pPr>
              <w:spacing w:after="0" w:line="157" w:lineRule="exact"/>
              <w:rPr>
                <w:sz w:val="20"/>
                <w:szCs w:val="20"/>
                <w:color w:val="auto"/>
              </w:rPr>
            </w:pPr>
            <w:r>
              <w:rPr>
                <w:rFonts w:ascii="Arial" w:cs="Arial" w:eastAsia="Arial" w:hAnsi="Arial"/>
                <w:sz w:val="14"/>
                <w:szCs w:val="14"/>
                <w:color w:val="auto"/>
              </w:rPr>
              <w:t>Americas</w:t>
            </w:r>
          </w:p>
        </w:tc>
        <w:tc>
          <w:tcPr>
            <w:tcW w:w="660" w:type="dxa"/>
            <w:vAlign w:val="bottom"/>
            <w:tcBorders>
              <w:bottom w:val="single" w:sz="8" w:color="auto"/>
            </w:tcBorders>
            <w:shd w:val="clear" w:color="auto" w:fill="D8D8D8"/>
          </w:tcPr>
          <w:p>
            <w:pPr>
              <w:jc w:val="right"/>
              <w:spacing w:after="0" w:line="157" w:lineRule="exact"/>
              <w:rPr>
                <w:sz w:val="20"/>
                <w:szCs w:val="20"/>
                <w:color w:val="auto"/>
              </w:rPr>
            </w:pPr>
            <w:r>
              <w:rPr>
                <w:rFonts w:ascii="Arial" w:cs="Arial" w:eastAsia="Arial" w:hAnsi="Arial"/>
                <w:sz w:val="14"/>
                <w:szCs w:val="14"/>
                <w:color w:val="auto"/>
              </w:rPr>
              <w:t>2,212</w:t>
            </w:r>
          </w:p>
        </w:tc>
        <w:tc>
          <w:tcPr>
            <w:tcW w:w="220" w:type="dxa"/>
            <w:vAlign w:val="bottom"/>
            <w:tcBorders>
              <w:bottom w:val="single" w:sz="8" w:color="auto"/>
            </w:tcBorders>
            <w:shd w:val="clear" w:color="auto" w:fill="D8D8D8"/>
          </w:tcPr>
          <w:p>
            <w:pPr>
              <w:spacing w:after="0"/>
              <w:rPr>
                <w:sz w:val="13"/>
                <w:szCs w:val="13"/>
                <w:color w:val="auto"/>
              </w:rPr>
            </w:pPr>
          </w:p>
        </w:tc>
        <w:tc>
          <w:tcPr>
            <w:tcW w:w="1020" w:type="dxa"/>
            <w:vAlign w:val="bottom"/>
            <w:tcBorders>
              <w:bottom w:val="single" w:sz="8" w:color="auto"/>
            </w:tcBorders>
          </w:tcPr>
          <w:p>
            <w:pPr>
              <w:jc w:val="right"/>
              <w:ind w:right="249"/>
              <w:spacing w:after="0" w:line="157" w:lineRule="exact"/>
              <w:rPr>
                <w:sz w:val="20"/>
                <w:szCs w:val="20"/>
                <w:color w:val="auto"/>
              </w:rPr>
            </w:pPr>
            <w:r>
              <w:rPr>
                <w:rFonts w:ascii="Arial" w:cs="Arial" w:eastAsia="Arial" w:hAnsi="Arial"/>
                <w:sz w:val="14"/>
                <w:szCs w:val="14"/>
                <w:color w:val="auto"/>
              </w:rPr>
              <w:t>2,212</w:t>
            </w:r>
          </w:p>
        </w:tc>
        <w:tc>
          <w:tcPr>
            <w:tcW w:w="960" w:type="dxa"/>
            <w:vAlign w:val="bottom"/>
            <w:tcBorders>
              <w:bottom w:val="single" w:sz="8" w:color="auto"/>
            </w:tcBorders>
          </w:tcPr>
          <w:p>
            <w:pPr>
              <w:jc w:val="right"/>
              <w:ind w:right="211"/>
              <w:spacing w:after="0" w:line="157" w:lineRule="exact"/>
              <w:rPr>
                <w:sz w:val="20"/>
                <w:szCs w:val="20"/>
                <w:color w:val="auto"/>
              </w:rPr>
            </w:pPr>
            <w:r>
              <w:rPr>
                <w:rFonts w:ascii="Arial" w:cs="Arial" w:eastAsia="Arial" w:hAnsi="Arial"/>
                <w:sz w:val="14"/>
                <w:szCs w:val="14"/>
                <w:color w:val="auto"/>
              </w:rPr>
              <w:t>2,212</w:t>
            </w: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80" w:type="dxa"/>
            <w:vAlign w:val="bottom"/>
          </w:tcPr>
          <w:p>
            <w:pPr>
              <w:spacing w:after="0"/>
              <w:rPr>
                <w:sz w:val="13"/>
                <w:szCs w:val="13"/>
                <w:color w:val="auto"/>
              </w:rPr>
            </w:pPr>
          </w:p>
        </w:tc>
        <w:tc>
          <w:tcPr>
            <w:tcW w:w="2620" w:type="dxa"/>
            <w:vAlign w:val="bottom"/>
            <w:tcBorders>
              <w:bottom w:val="single" w:sz="8" w:color="auto"/>
            </w:tcBorders>
          </w:tcPr>
          <w:p>
            <w:pPr>
              <w:spacing w:after="0" w:line="155" w:lineRule="exact"/>
              <w:rPr>
                <w:sz w:val="20"/>
                <w:szCs w:val="20"/>
                <w:color w:val="auto"/>
              </w:rPr>
            </w:pPr>
            <w:r>
              <w:rPr>
                <w:rFonts w:ascii="Arial" w:cs="Arial" w:eastAsia="Arial" w:hAnsi="Arial"/>
                <w:sz w:val="14"/>
                <w:szCs w:val="14"/>
                <w:color w:val="auto"/>
              </w:rPr>
              <w:t>Total</w:t>
            </w:r>
          </w:p>
        </w:tc>
        <w:tc>
          <w:tcPr>
            <w:tcW w:w="660" w:type="dxa"/>
            <w:vAlign w:val="bottom"/>
            <w:tcBorders>
              <w:bottom w:val="single" w:sz="8" w:color="auto"/>
            </w:tcBorders>
            <w:shd w:val="clear" w:color="auto" w:fill="D8D8D8"/>
          </w:tcPr>
          <w:p>
            <w:pPr>
              <w:jc w:val="right"/>
              <w:spacing w:after="0" w:line="155" w:lineRule="exact"/>
              <w:rPr>
                <w:sz w:val="20"/>
                <w:szCs w:val="20"/>
                <w:color w:val="auto"/>
              </w:rPr>
            </w:pPr>
            <w:r>
              <w:rPr>
                <w:rFonts w:ascii="Arial" w:cs="Arial" w:eastAsia="Arial" w:hAnsi="Arial"/>
                <w:sz w:val="14"/>
                <w:szCs w:val="14"/>
                <w:color w:val="auto"/>
              </w:rPr>
              <w:t>5,793</w:t>
            </w:r>
          </w:p>
        </w:tc>
        <w:tc>
          <w:tcPr>
            <w:tcW w:w="220" w:type="dxa"/>
            <w:vAlign w:val="bottom"/>
            <w:tcBorders>
              <w:bottom w:val="single" w:sz="8" w:color="auto"/>
            </w:tcBorders>
            <w:shd w:val="clear" w:color="auto" w:fill="D8D8D8"/>
          </w:tcPr>
          <w:p>
            <w:pPr>
              <w:spacing w:after="0"/>
              <w:rPr>
                <w:sz w:val="13"/>
                <w:szCs w:val="13"/>
                <w:color w:val="auto"/>
              </w:rPr>
            </w:pPr>
          </w:p>
        </w:tc>
        <w:tc>
          <w:tcPr>
            <w:tcW w:w="1020" w:type="dxa"/>
            <w:vAlign w:val="bottom"/>
            <w:tcBorders>
              <w:bottom w:val="single" w:sz="8" w:color="auto"/>
            </w:tcBorders>
          </w:tcPr>
          <w:p>
            <w:pPr>
              <w:jc w:val="right"/>
              <w:ind w:right="249"/>
              <w:spacing w:after="0" w:line="155" w:lineRule="exact"/>
              <w:rPr>
                <w:sz w:val="20"/>
                <w:szCs w:val="20"/>
                <w:color w:val="auto"/>
              </w:rPr>
            </w:pPr>
            <w:r>
              <w:rPr>
                <w:rFonts w:ascii="Arial" w:cs="Arial" w:eastAsia="Arial" w:hAnsi="Arial"/>
                <w:sz w:val="14"/>
                <w:szCs w:val="14"/>
                <w:color w:val="auto"/>
              </w:rPr>
              <w:t>5,793</w:t>
            </w:r>
          </w:p>
        </w:tc>
        <w:tc>
          <w:tcPr>
            <w:tcW w:w="960" w:type="dxa"/>
            <w:vAlign w:val="bottom"/>
            <w:tcBorders>
              <w:bottom w:val="single" w:sz="8" w:color="auto"/>
            </w:tcBorders>
          </w:tcPr>
          <w:p>
            <w:pPr>
              <w:jc w:val="right"/>
              <w:ind w:right="211"/>
              <w:spacing w:after="0" w:line="155" w:lineRule="exact"/>
              <w:rPr>
                <w:sz w:val="20"/>
                <w:szCs w:val="20"/>
                <w:color w:val="auto"/>
              </w:rPr>
            </w:pPr>
            <w:r>
              <w:rPr>
                <w:rFonts w:ascii="Arial" w:cs="Arial" w:eastAsia="Arial" w:hAnsi="Arial"/>
                <w:sz w:val="14"/>
                <w:szCs w:val="14"/>
                <w:color w:val="auto"/>
              </w:rPr>
              <w:t>5,793</w:t>
            </w: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-3562985</wp:posOffset>
            </wp:positionH>
            <wp:positionV relativeFrom="paragraph">
              <wp:posOffset>-2049145</wp:posOffset>
            </wp:positionV>
            <wp:extent cx="7289165" cy="381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89165" cy="38100"/>
                    </a:xfrm>
                    <a:prstGeom prst="rect">
                      <a:avLst/>
                    </a:prstGeom>
                    <a:noFill/>
                  </pic:spPr>
                </pic:pic>
              </a:graphicData>
            </a:graphic>
          </wp:anchor>
        </w:drawing>
        <w:drawing>
          <wp:anchor simplePos="0" relativeHeight="251657728" behindDoc="1" locked="0" layoutInCell="0" allowOverlap="1">
            <wp:simplePos x="0" y="0"/>
            <wp:positionH relativeFrom="column">
              <wp:posOffset>2915285</wp:posOffset>
            </wp:positionH>
            <wp:positionV relativeFrom="paragraph">
              <wp:posOffset>-1414145</wp:posOffset>
            </wp:positionV>
            <wp:extent cx="8890" cy="46291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8890" cy="462915"/>
                    </a:xfrm>
                    <a:prstGeom prst="rect">
                      <a:avLst/>
                    </a:prstGeom>
                    <a:noFill/>
                  </pic:spPr>
                </pic:pic>
              </a:graphicData>
            </a:graphic>
          </wp:anchor>
        </w:drawing>
      </w:r>
    </w:p>
    <w:p>
      <w:pPr>
        <w:spacing w:after="0" w:line="17" w:lineRule="exact"/>
        <w:rPr>
          <w:sz w:val="20"/>
          <w:szCs w:val="20"/>
          <w:color w:val="auto"/>
        </w:rPr>
      </w:pPr>
    </w:p>
    <w:p>
      <w:pPr>
        <w:ind w:left="180" w:right="240"/>
        <w:spacing w:after="0" w:line="238" w:lineRule="auto"/>
        <w:tabs>
          <w:tab w:leader="none" w:pos="342" w:val="left"/>
        </w:tabs>
        <w:numPr>
          <w:ilvl w:val="0"/>
          <w:numId w:val="39"/>
        </w:numPr>
        <w:rPr>
          <w:rFonts w:ascii="Arial" w:cs="Arial" w:eastAsia="Arial" w:hAnsi="Arial"/>
          <w:sz w:val="11"/>
          <w:szCs w:val="11"/>
          <w:color w:val="auto"/>
        </w:rPr>
      </w:pPr>
      <w:r>
        <w:rPr>
          <w:rFonts w:ascii="Arial" w:cs="Arial" w:eastAsia="Arial" w:hAnsi="Arial"/>
          <w:sz w:val="11"/>
          <w:szCs w:val="11"/>
          <w:color w:val="auto"/>
        </w:rPr>
        <w:t>Includes the Shell share of capacity entitlement (offtake rights) of joint ventures and associates, which may be different from nominal equity interest. Nominal capacity is quoted as at December 31.</w:t>
      </w:r>
    </w:p>
    <w:p>
      <w:pPr>
        <w:spacing w:after="0" w:line="180" w:lineRule="exact"/>
        <w:rPr>
          <w:sz w:val="20"/>
          <w:szCs w:val="20"/>
          <w:color w:val="auto"/>
        </w:rPr>
      </w:pPr>
    </w:p>
    <w:tbl>
      <w:tblPr>
        <w:tblLayout w:type="fixed"/>
        <w:tblInd w:w="180" w:type="dxa"/>
        <w:tblCellMar>
          <w:top w:w="0" w:type="dxa"/>
          <w:left w:w="0" w:type="dxa"/>
          <w:bottom w:w="0" w:type="dxa"/>
          <w:right w:w="0" w:type="dxa"/>
        </w:tblCellMar>
      </w:tblPr>
      <w:tr>
        <w:trPr>
          <w:trHeight w:val="172"/>
        </w:trPr>
        <w:tc>
          <w:tcPr>
            <w:tcW w:w="2560" w:type="dxa"/>
            <w:vAlign w:val="bottom"/>
            <w:shd w:val="clear" w:color="auto" w:fill="333333"/>
          </w:tcPr>
          <w:p>
            <w:pPr>
              <w:ind w:left="60"/>
              <w:spacing w:after="0"/>
              <w:rPr>
                <w:sz w:val="20"/>
                <w:szCs w:val="20"/>
                <w:color w:val="auto"/>
              </w:rPr>
            </w:pPr>
            <w:r>
              <w:rPr>
                <w:rFonts w:ascii="Arial" w:cs="Arial" w:eastAsia="Arial" w:hAnsi="Arial"/>
                <w:sz w:val="15"/>
                <w:szCs w:val="15"/>
                <w:b w:val="1"/>
                <w:bCs w:val="1"/>
                <w:color w:val="FFFFFF"/>
              </w:rPr>
              <w:t>OIL PRODUCTS – CRUDE OIL</w:t>
            </w:r>
          </w:p>
        </w:tc>
        <w:tc>
          <w:tcPr>
            <w:tcW w:w="880" w:type="dxa"/>
            <w:vAlign w:val="bottom"/>
            <w:shd w:val="clear" w:color="auto" w:fill="333333"/>
          </w:tcPr>
          <w:p>
            <w:pPr>
              <w:spacing w:after="0"/>
              <w:rPr>
                <w:sz w:val="14"/>
                <w:szCs w:val="14"/>
                <w:color w:val="auto"/>
              </w:rPr>
            </w:pPr>
          </w:p>
        </w:tc>
        <w:tc>
          <w:tcPr>
            <w:tcW w:w="1080" w:type="dxa"/>
            <w:vAlign w:val="bottom"/>
            <w:shd w:val="clear" w:color="auto" w:fill="333333"/>
          </w:tcPr>
          <w:p>
            <w:pPr>
              <w:spacing w:after="0"/>
              <w:rPr>
                <w:sz w:val="14"/>
                <w:szCs w:val="14"/>
                <w:color w:val="auto"/>
              </w:rPr>
            </w:pPr>
          </w:p>
        </w:tc>
        <w:tc>
          <w:tcPr>
            <w:tcW w:w="960" w:type="dxa"/>
            <w:vAlign w:val="bottom"/>
            <w:shd w:val="clear" w:color="auto" w:fill="333333"/>
          </w:tcPr>
          <w:p>
            <w:pPr>
              <w:spacing w:after="0"/>
              <w:rPr>
                <w:sz w:val="14"/>
                <w:szCs w:val="14"/>
                <w:color w:val="auto"/>
              </w:rPr>
            </w:pPr>
          </w:p>
        </w:tc>
      </w:tr>
      <w:tr>
        <w:trPr>
          <w:trHeight w:val="197"/>
        </w:trPr>
        <w:tc>
          <w:tcPr>
            <w:tcW w:w="2560" w:type="dxa"/>
            <w:vAlign w:val="bottom"/>
            <w:shd w:val="clear" w:color="auto" w:fill="333333"/>
          </w:tcPr>
          <w:p>
            <w:pPr>
              <w:ind w:left="60"/>
              <w:spacing w:after="0"/>
              <w:rPr>
                <w:sz w:val="20"/>
                <w:szCs w:val="20"/>
                <w:color w:val="auto"/>
              </w:rPr>
            </w:pPr>
            <w:r>
              <w:rPr>
                <w:rFonts w:ascii="Arial" w:cs="Arial" w:eastAsia="Arial" w:hAnsi="Arial"/>
                <w:sz w:val="15"/>
                <w:szCs w:val="15"/>
                <w:b w:val="1"/>
                <w:bCs w:val="1"/>
                <w:color w:val="FFFFFF"/>
              </w:rPr>
              <w:t xml:space="preserve">PROCESSED </w:t>
            </w:r>
            <w:r>
              <w:rPr>
                <w:rFonts w:ascii="Arial" w:cs="Arial" w:eastAsia="Arial" w:hAnsi="Arial"/>
                <w:sz w:val="15"/>
                <w:szCs w:val="15"/>
                <w:color w:val="FFFFFF"/>
              </w:rPr>
              <w:t>[A]</w:t>
            </w:r>
          </w:p>
        </w:tc>
        <w:tc>
          <w:tcPr>
            <w:tcW w:w="880" w:type="dxa"/>
            <w:vAlign w:val="bottom"/>
            <w:shd w:val="clear" w:color="auto" w:fill="333333"/>
          </w:tcPr>
          <w:p>
            <w:pPr>
              <w:spacing w:after="0"/>
              <w:rPr>
                <w:sz w:val="17"/>
                <w:szCs w:val="17"/>
                <w:color w:val="auto"/>
              </w:rPr>
            </w:pPr>
          </w:p>
        </w:tc>
        <w:tc>
          <w:tcPr>
            <w:tcW w:w="2040" w:type="dxa"/>
            <w:vAlign w:val="bottom"/>
            <w:gridSpan w:val="2"/>
            <w:shd w:val="clear" w:color="auto" w:fill="333333"/>
          </w:tcPr>
          <w:p>
            <w:pPr>
              <w:jc w:val="right"/>
              <w:ind w:right="209"/>
              <w:spacing w:after="0"/>
              <w:rPr>
                <w:sz w:val="20"/>
                <w:szCs w:val="20"/>
                <w:color w:val="auto"/>
              </w:rPr>
            </w:pPr>
            <w:r>
              <w:rPr>
                <w:rFonts w:ascii="Arial" w:cs="Arial" w:eastAsia="Arial" w:hAnsi="Arial"/>
                <w:sz w:val="15"/>
                <w:szCs w:val="15"/>
                <w:color w:val="FFFFFF"/>
              </w:rPr>
              <w:t>THOUSAND B/D</w:t>
            </w:r>
          </w:p>
        </w:tc>
      </w:tr>
      <w:tr>
        <w:trPr>
          <w:trHeight w:val="149"/>
        </w:trPr>
        <w:tc>
          <w:tcPr>
            <w:tcW w:w="256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shd w:val="clear" w:color="auto" w:fill="D8D8D8"/>
          </w:tcPr>
          <w:p>
            <w:pPr>
              <w:jc w:val="right"/>
              <w:ind w:right="149"/>
              <w:spacing w:after="0"/>
              <w:rPr>
                <w:sz w:val="20"/>
                <w:szCs w:val="20"/>
                <w:color w:val="auto"/>
              </w:rPr>
            </w:pPr>
            <w:r>
              <w:rPr>
                <w:rFonts w:ascii="Arial" w:cs="Arial" w:eastAsia="Arial" w:hAnsi="Arial"/>
                <w:sz w:val="13"/>
                <w:szCs w:val="13"/>
                <w:color w:val="auto"/>
              </w:rPr>
              <w:t>2014</w:t>
            </w:r>
          </w:p>
        </w:tc>
        <w:tc>
          <w:tcPr>
            <w:tcW w:w="1080" w:type="dxa"/>
            <w:vAlign w:val="bottom"/>
            <w:tcBorders>
              <w:bottom w:val="single" w:sz="8" w:color="auto"/>
            </w:tcBorders>
          </w:tcPr>
          <w:p>
            <w:pPr>
              <w:jc w:val="right"/>
              <w:ind w:right="269"/>
              <w:spacing w:after="0"/>
              <w:rPr>
                <w:sz w:val="20"/>
                <w:szCs w:val="20"/>
                <w:color w:val="auto"/>
              </w:rPr>
            </w:pPr>
            <w:r>
              <w:rPr>
                <w:rFonts w:ascii="Arial" w:cs="Arial" w:eastAsia="Arial" w:hAnsi="Arial"/>
                <w:sz w:val="13"/>
                <w:szCs w:val="13"/>
                <w:color w:val="auto"/>
              </w:rPr>
              <w:t>2013</w:t>
            </w:r>
          </w:p>
        </w:tc>
        <w:tc>
          <w:tcPr>
            <w:tcW w:w="960" w:type="dxa"/>
            <w:vAlign w:val="bottom"/>
            <w:tcBorders>
              <w:bottom w:val="single" w:sz="8" w:color="auto"/>
            </w:tcBorders>
          </w:tcPr>
          <w:p>
            <w:pPr>
              <w:jc w:val="right"/>
              <w:ind w:right="209"/>
              <w:spacing w:after="0"/>
              <w:rPr>
                <w:sz w:val="20"/>
                <w:szCs w:val="20"/>
                <w:color w:val="auto"/>
              </w:rPr>
            </w:pPr>
            <w:r>
              <w:rPr>
                <w:rFonts w:ascii="Arial" w:cs="Arial" w:eastAsia="Arial" w:hAnsi="Arial"/>
                <w:sz w:val="13"/>
                <w:szCs w:val="13"/>
                <w:color w:val="auto"/>
              </w:rPr>
              <w:t>2012</w:t>
            </w:r>
          </w:p>
        </w:tc>
      </w:tr>
      <w:tr>
        <w:trPr>
          <w:trHeight w:val="156"/>
        </w:trPr>
        <w:tc>
          <w:tcPr>
            <w:tcW w:w="2560" w:type="dxa"/>
            <w:vAlign w:val="bottom"/>
          </w:tcPr>
          <w:p>
            <w:pPr>
              <w:spacing w:after="0" w:line="155" w:lineRule="exact"/>
              <w:rPr>
                <w:sz w:val="20"/>
                <w:szCs w:val="20"/>
                <w:color w:val="auto"/>
              </w:rPr>
            </w:pPr>
            <w:r>
              <w:rPr>
                <w:rFonts w:ascii="Arial" w:cs="Arial" w:eastAsia="Arial" w:hAnsi="Arial"/>
                <w:sz w:val="14"/>
                <w:szCs w:val="14"/>
                <w:color w:val="auto"/>
              </w:rPr>
              <w:t>Europe</w:t>
            </w:r>
          </w:p>
        </w:tc>
        <w:tc>
          <w:tcPr>
            <w:tcW w:w="880" w:type="dxa"/>
            <w:vAlign w:val="bottom"/>
            <w:shd w:val="clear" w:color="auto" w:fill="D8D8D8"/>
          </w:tcPr>
          <w:p>
            <w:pPr>
              <w:jc w:val="right"/>
              <w:ind w:right="149"/>
              <w:spacing w:after="0" w:line="155" w:lineRule="exact"/>
              <w:rPr>
                <w:sz w:val="20"/>
                <w:szCs w:val="20"/>
                <w:color w:val="auto"/>
              </w:rPr>
            </w:pPr>
            <w:r>
              <w:rPr>
                <w:rFonts w:ascii="Arial" w:cs="Arial" w:eastAsia="Arial" w:hAnsi="Arial"/>
                <w:sz w:val="14"/>
                <w:szCs w:val="14"/>
                <w:color w:val="auto"/>
              </w:rPr>
              <w:t>941</w:t>
            </w:r>
          </w:p>
        </w:tc>
        <w:tc>
          <w:tcPr>
            <w:tcW w:w="1080" w:type="dxa"/>
            <w:vAlign w:val="bottom"/>
          </w:tcPr>
          <w:p>
            <w:pPr>
              <w:jc w:val="right"/>
              <w:ind w:right="269"/>
              <w:spacing w:after="0" w:line="155" w:lineRule="exact"/>
              <w:rPr>
                <w:sz w:val="20"/>
                <w:szCs w:val="20"/>
                <w:color w:val="auto"/>
              </w:rPr>
            </w:pPr>
            <w:r>
              <w:rPr>
                <w:rFonts w:ascii="Arial" w:cs="Arial" w:eastAsia="Arial" w:hAnsi="Arial"/>
                <w:sz w:val="14"/>
                <w:szCs w:val="14"/>
                <w:color w:val="auto"/>
              </w:rPr>
              <w:t>1,010</w:t>
            </w:r>
          </w:p>
        </w:tc>
        <w:tc>
          <w:tcPr>
            <w:tcW w:w="960" w:type="dxa"/>
            <w:vAlign w:val="bottom"/>
          </w:tcPr>
          <w:p>
            <w:pPr>
              <w:jc w:val="right"/>
              <w:ind w:right="209"/>
              <w:spacing w:after="0" w:line="155" w:lineRule="exact"/>
              <w:rPr>
                <w:sz w:val="20"/>
                <w:szCs w:val="20"/>
                <w:color w:val="auto"/>
              </w:rPr>
            </w:pPr>
            <w:r>
              <w:rPr>
                <w:rFonts w:ascii="Arial" w:cs="Arial" w:eastAsia="Arial" w:hAnsi="Arial"/>
                <w:sz w:val="14"/>
                <w:szCs w:val="14"/>
                <w:color w:val="auto"/>
              </w:rPr>
              <w:t>1,069</w:t>
            </w:r>
          </w:p>
        </w:tc>
      </w:tr>
      <w:tr>
        <w:trPr>
          <w:trHeight w:val="162"/>
        </w:trPr>
        <w:tc>
          <w:tcPr>
            <w:tcW w:w="2560" w:type="dxa"/>
            <w:vAlign w:val="bottom"/>
          </w:tcPr>
          <w:p>
            <w:pPr>
              <w:spacing w:after="0"/>
              <w:rPr>
                <w:sz w:val="20"/>
                <w:szCs w:val="20"/>
                <w:color w:val="auto"/>
              </w:rPr>
            </w:pPr>
            <w:r>
              <w:rPr>
                <w:rFonts w:ascii="Arial" w:cs="Arial" w:eastAsia="Arial" w:hAnsi="Arial"/>
                <w:sz w:val="14"/>
                <w:szCs w:val="14"/>
                <w:color w:val="auto"/>
              </w:rPr>
              <w:t>Asia</w:t>
            </w:r>
          </w:p>
        </w:tc>
        <w:tc>
          <w:tcPr>
            <w:tcW w:w="880" w:type="dxa"/>
            <w:vAlign w:val="bottom"/>
            <w:shd w:val="clear" w:color="auto" w:fill="D8D8D8"/>
          </w:tcPr>
          <w:p>
            <w:pPr>
              <w:jc w:val="right"/>
              <w:ind w:right="149"/>
              <w:spacing w:after="0"/>
              <w:rPr>
                <w:sz w:val="20"/>
                <w:szCs w:val="20"/>
                <w:color w:val="auto"/>
              </w:rPr>
            </w:pPr>
            <w:r>
              <w:rPr>
                <w:rFonts w:ascii="Arial" w:cs="Arial" w:eastAsia="Arial" w:hAnsi="Arial"/>
                <w:sz w:val="14"/>
                <w:szCs w:val="14"/>
                <w:color w:val="auto"/>
              </w:rPr>
              <w:t>688</w:t>
            </w:r>
          </w:p>
        </w:tc>
        <w:tc>
          <w:tcPr>
            <w:tcW w:w="1080" w:type="dxa"/>
            <w:vAlign w:val="bottom"/>
          </w:tcPr>
          <w:p>
            <w:pPr>
              <w:jc w:val="right"/>
              <w:ind w:right="269"/>
              <w:spacing w:after="0"/>
              <w:rPr>
                <w:sz w:val="20"/>
                <w:szCs w:val="20"/>
                <w:color w:val="auto"/>
              </w:rPr>
            </w:pPr>
            <w:r>
              <w:rPr>
                <w:rFonts w:ascii="Arial" w:cs="Arial" w:eastAsia="Arial" w:hAnsi="Arial"/>
                <w:sz w:val="14"/>
                <w:szCs w:val="14"/>
                <w:color w:val="auto"/>
              </w:rPr>
              <w:t>706</w:t>
            </w:r>
          </w:p>
        </w:tc>
        <w:tc>
          <w:tcPr>
            <w:tcW w:w="960" w:type="dxa"/>
            <w:vAlign w:val="bottom"/>
          </w:tcPr>
          <w:p>
            <w:pPr>
              <w:jc w:val="right"/>
              <w:ind w:right="209"/>
              <w:spacing w:after="0"/>
              <w:rPr>
                <w:sz w:val="20"/>
                <w:szCs w:val="20"/>
                <w:color w:val="auto"/>
              </w:rPr>
            </w:pPr>
            <w:r>
              <w:rPr>
                <w:rFonts w:ascii="Arial" w:cs="Arial" w:eastAsia="Arial" w:hAnsi="Arial"/>
                <w:sz w:val="14"/>
                <w:szCs w:val="14"/>
                <w:color w:val="auto"/>
              </w:rPr>
              <w:t>761</w:t>
            </w:r>
          </w:p>
        </w:tc>
      </w:tr>
      <w:tr>
        <w:trPr>
          <w:trHeight w:val="167"/>
        </w:trPr>
        <w:tc>
          <w:tcPr>
            <w:tcW w:w="2560" w:type="dxa"/>
            <w:vAlign w:val="bottom"/>
          </w:tcPr>
          <w:p>
            <w:pPr>
              <w:spacing w:after="0"/>
              <w:rPr>
                <w:sz w:val="20"/>
                <w:szCs w:val="20"/>
                <w:color w:val="auto"/>
              </w:rPr>
            </w:pPr>
            <w:r>
              <w:rPr>
                <w:rFonts w:ascii="Arial" w:cs="Arial" w:eastAsia="Arial" w:hAnsi="Arial"/>
                <w:sz w:val="14"/>
                <w:szCs w:val="14"/>
                <w:color w:val="auto"/>
              </w:rPr>
              <w:t>Oceania</w:t>
            </w:r>
          </w:p>
        </w:tc>
        <w:tc>
          <w:tcPr>
            <w:tcW w:w="880" w:type="dxa"/>
            <w:vAlign w:val="bottom"/>
            <w:shd w:val="clear" w:color="auto" w:fill="D8D8D8"/>
          </w:tcPr>
          <w:p>
            <w:pPr>
              <w:jc w:val="right"/>
              <w:ind w:right="149"/>
              <w:spacing w:after="0"/>
              <w:rPr>
                <w:sz w:val="20"/>
                <w:szCs w:val="20"/>
                <w:color w:val="auto"/>
              </w:rPr>
            </w:pPr>
            <w:r>
              <w:rPr>
                <w:rFonts w:ascii="Arial" w:cs="Arial" w:eastAsia="Arial" w:hAnsi="Arial"/>
                <w:sz w:val="14"/>
                <w:szCs w:val="14"/>
                <w:color w:val="auto"/>
              </w:rPr>
              <w:t>59</w:t>
            </w:r>
          </w:p>
        </w:tc>
        <w:tc>
          <w:tcPr>
            <w:tcW w:w="1080" w:type="dxa"/>
            <w:vAlign w:val="bottom"/>
          </w:tcPr>
          <w:p>
            <w:pPr>
              <w:jc w:val="right"/>
              <w:ind w:right="269"/>
              <w:spacing w:after="0"/>
              <w:rPr>
                <w:sz w:val="20"/>
                <w:szCs w:val="20"/>
                <w:color w:val="auto"/>
              </w:rPr>
            </w:pPr>
            <w:r>
              <w:rPr>
                <w:rFonts w:ascii="Arial" w:cs="Arial" w:eastAsia="Arial" w:hAnsi="Arial"/>
                <w:sz w:val="14"/>
                <w:szCs w:val="14"/>
                <w:color w:val="auto"/>
              </w:rPr>
              <w:t>116</w:t>
            </w:r>
          </w:p>
        </w:tc>
        <w:tc>
          <w:tcPr>
            <w:tcW w:w="960" w:type="dxa"/>
            <w:vAlign w:val="bottom"/>
          </w:tcPr>
          <w:p>
            <w:pPr>
              <w:jc w:val="right"/>
              <w:ind w:right="209"/>
              <w:spacing w:after="0"/>
              <w:rPr>
                <w:sz w:val="20"/>
                <w:szCs w:val="20"/>
                <w:color w:val="auto"/>
              </w:rPr>
            </w:pPr>
            <w:r>
              <w:rPr>
                <w:rFonts w:ascii="Arial" w:cs="Arial" w:eastAsia="Arial" w:hAnsi="Arial"/>
                <w:sz w:val="14"/>
                <w:szCs w:val="14"/>
                <w:color w:val="auto"/>
              </w:rPr>
              <w:t>93</w:t>
            </w:r>
          </w:p>
        </w:tc>
      </w:tr>
      <w:tr>
        <w:trPr>
          <w:trHeight w:val="162"/>
        </w:trPr>
        <w:tc>
          <w:tcPr>
            <w:tcW w:w="2560" w:type="dxa"/>
            <w:vAlign w:val="bottom"/>
          </w:tcPr>
          <w:p>
            <w:pPr>
              <w:spacing w:after="0"/>
              <w:rPr>
                <w:sz w:val="20"/>
                <w:szCs w:val="20"/>
                <w:color w:val="auto"/>
              </w:rPr>
            </w:pPr>
            <w:r>
              <w:rPr>
                <w:rFonts w:ascii="Arial" w:cs="Arial" w:eastAsia="Arial" w:hAnsi="Arial"/>
                <w:sz w:val="14"/>
                <w:szCs w:val="14"/>
                <w:color w:val="auto"/>
              </w:rPr>
              <w:t>Africa</w:t>
            </w:r>
          </w:p>
        </w:tc>
        <w:tc>
          <w:tcPr>
            <w:tcW w:w="880" w:type="dxa"/>
            <w:vAlign w:val="bottom"/>
            <w:shd w:val="clear" w:color="auto" w:fill="D8D8D8"/>
          </w:tcPr>
          <w:p>
            <w:pPr>
              <w:jc w:val="right"/>
              <w:ind w:right="149"/>
              <w:spacing w:after="0"/>
              <w:rPr>
                <w:sz w:val="20"/>
                <w:szCs w:val="20"/>
                <w:color w:val="auto"/>
              </w:rPr>
            </w:pPr>
            <w:r>
              <w:rPr>
                <w:rFonts w:ascii="Arial" w:cs="Arial" w:eastAsia="Arial" w:hAnsi="Arial"/>
                <w:sz w:val="14"/>
                <w:szCs w:val="14"/>
                <w:color w:val="auto"/>
              </w:rPr>
              <w:t>69</w:t>
            </w:r>
          </w:p>
        </w:tc>
        <w:tc>
          <w:tcPr>
            <w:tcW w:w="1080" w:type="dxa"/>
            <w:vAlign w:val="bottom"/>
          </w:tcPr>
          <w:p>
            <w:pPr>
              <w:jc w:val="right"/>
              <w:ind w:right="269"/>
              <w:spacing w:after="0"/>
              <w:rPr>
                <w:sz w:val="20"/>
                <w:szCs w:val="20"/>
                <w:color w:val="auto"/>
              </w:rPr>
            </w:pPr>
            <w:r>
              <w:rPr>
                <w:rFonts w:ascii="Arial" w:cs="Arial" w:eastAsia="Arial" w:hAnsi="Arial"/>
                <w:sz w:val="14"/>
                <w:szCs w:val="14"/>
                <w:color w:val="auto"/>
              </w:rPr>
              <w:t>61</w:t>
            </w:r>
          </w:p>
        </w:tc>
        <w:tc>
          <w:tcPr>
            <w:tcW w:w="960" w:type="dxa"/>
            <w:vAlign w:val="bottom"/>
          </w:tcPr>
          <w:p>
            <w:pPr>
              <w:jc w:val="right"/>
              <w:ind w:right="209"/>
              <w:spacing w:after="0"/>
              <w:rPr>
                <w:sz w:val="20"/>
                <w:szCs w:val="20"/>
                <w:color w:val="auto"/>
              </w:rPr>
            </w:pPr>
            <w:r>
              <w:rPr>
                <w:rFonts w:ascii="Arial" w:cs="Arial" w:eastAsia="Arial" w:hAnsi="Arial"/>
                <w:sz w:val="14"/>
                <w:szCs w:val="14"/>
                <w:color w:val="auto"/>
              </w:rPr>
              <w:t>70</w:t>
            </w:r>
          </w:p>
        </w:tc>
      </w:tr>
      <w:tr>
        <w:trPr>
          <w:trHeight w:val="157"/>
        </w:trPr>
        <w:tc>
          <w:tcPr>
            <w:tcW w:w="2560" w:type="dxa"/>
            <w:vAlign w:val="bottom"/>
            <w:tcBorders>
              <w:bottom w:val="single" w:sz="8" w:color="auto"/>
            </w:tcBorders>
          </w:tcPr>
          <w:p>
            <w:pPr>
              <w:spacing w:after="0" w:line="157" w:lineRule="exact"/>
              <w:rPr>
                <w:sz w:val="20"/>
                <w:szCs w:val="20"/>
                <w:color w:val="auto"/>
              </w:rPr>
            </w:pPr>
            <w:r>
              <w:rPr>
                <w:rFonts w:ascii="Arial" w:cs="Arial" w:eastAsia="Arial" w:hAnsi="Arial"/>
                <w:sz w:val="14"/>
                <w:szCs w:val="14"/>
                <w:color w:val="auto"/>
              </w:rPr>
              <w:t>Americas</w:t>
            </w:r>
          </w:p>
        </w:tc>
        <w:tc>
          <w:tcPr>
            <w:tcW w:w="880" w:type="dxa"/>
            <w:vAlign w:val="bottom"/>
            <w:tcBorders>
              <w:bottom w:val="single" w:sz="8" w:color="auto"/>
            </w:tcBorders>
            <w:shd w:val="clear" w:color="auto" w:fill="D8D8D8"/>
          </w:tcPr>
          <w:p>
            <w:pPr>
              <w:jc w:val="right"/>
              <w:ind w:right="149"/>
              <w:spacing w:after="0" w:line="157" w:lineRule="exact"/>
              <w:rPr>
                <w:sz w:val="20"/>
                <w:szCs w:val="20"/>
                <w:color w:val="auto"/>
              </w:rPr>
            </w:pPr>
            <w:r>
              <w:rPr>
                <w:rFonts w:ascii="Arial" w:cs="Arial" w:eastAsia="Arial" w:hAnsi="Arial"/>
                <w:sz w:val="14"/>
                <w:szCs w:val="14"/>
                <w:color w:val="auto"/>
              </w:rPr>
              <w:t>1,149</w:t>
            </w:r>
          </w:p>
        </w:tc>
        <w:tc>
          <w:tcPr>
            <w:tcW w:w="1080" w:type="dxa"/>
            <w:vAlign w:val="bottom"/>
            <w:tcBorders>
              <w:bottom w:val="single" w:sz="8" w:color="auto"/>
            </w:tcBorders>
          </w:tcPr>
          <w:p>
            <w:pPr>
              <w:jc w:val="right"/>
              <w:ind w:right="269"/>
              <w:spacing w:after="0" w:line="157" w:lineRule="exact"/>
              <w:rPr>
                <w:sz w:val="20"/>
                <w:szCs w:val="20"/>
                <w:color w:val="auto"/>
              </w:rPr>
            </w:pPr>
            <w:r>
              <w:rPr>
                <w:rFonts w:ascii="Arial" w:cs="Arial" w:eastAsia="Arial" w:hAnsi="Arial"/>
                <w:sz w:val="14"/>
                <w:szCs w:val="14"/>
                <w:color w:val="auto"/>
              </w:rPr>
              <w:t>1,100</w:t>
            </w:r>
          </w:p>
        </w:tc>
        <w:tc>
          <w:tcPr>
            <w:tcW w:w="960" w:type="dxa"/>
            <w:vAlign w:val="bottom"/>
            <w:tcBorders>
              <w:bottom w:val="single" w:sz="8" w:color="auto"/>
            </w:tcBorders>
          </w:tcPr>
          <w:p>
            <w:pPr>
              <w:jc w:val="right"/>
              <w:ind w:right="209"/>
              <w:spacing w:after="0" w:line="157" w:lineRule="exact"/>
              <w:rPr>
                <w:sz w:val="20"/>
                <w:szCs w:val="20"/>
                <w:color w:val="auto"/>
              </w:rPr>
            </w:pPr>
            <w:r>
              <w:rPr>
                <w:rFonts w:ascii="Arial" w:cs="Arial" w:eastAsia="Arial" w:hAnsi="Arial"/>
                <w:sz w:val="14"/>
                <w:szCs w:val="14"/>
                <w:color w:val="auto"/>
              </w:rPr>
              <w:t>1,024</w:t>
            </w:r>
          </w:p>
        </w:tc>
      </w:tr>
      <w:tr>
        <w:trPr>
          <w:trHeight w:val="156"/>
        </w:trPr>
        <w:tc>
          <w:tcPr>
            <w:tcW w:w="2560" w:type="dxa"/>
            <w:vAlign w:val="bottom"/>
            <w:tcBorders>
              <w:bottom w:val="single" w:sz="8" w:color="auto"/>
            </w:tcBorders>
          </w:tcPr>
          <w:p>
            <w:pPr>
              <w:spacing w:after="0" w:line="155" w:lineRule="exact"/>
              <w:rPr>
                <w:sz w:val="20"/>
                <w:szCs w:val="20"/>
                <w:color w:val="auto"/>
              </w:rPr>
            </w:pPr>
            <w:r>
              <w:rPr>
                <w:rFonts w:ascii="Arial" w:cs="Arial" w:eastAsia="Arial" w:hAnsi="Arial"/>
                <w:sz w:val="14"/>
                <w:szCs w:val="14"/>
                <w:color w:val="auto"/>
              </w:rPr>
              <w:t>Total</w:t>
            </w:r>
          </w:p>
        </w:tc>
        <w:tc>
          <w:tcPr>
            <w:tcW w:w="880" w:type="dxa"/>
            <w:vAlign w:val="bottom"/>
            <w:tcBorders>
              <w:bottom w:val="single" w:sz="8" w:color="auto"/>
            </w:tcBorders>
            <w:shd w:val="clear" w:color="auto" w:fill="D8D8D8"/>
          </w:tcPr>
          <w:p>
            <w:pPr>
              <w:jc w:val="right"/>
              <w:ind w:right="149"/>
              <w:spacing w:after="0" w:line="155" w:lineRule="exact"/>
              <w:rPr>
                <w:sz w:val="20"/>
                <w:szCs w:val="20"/>
                <w:color w:val="auto"/>
              </w:rPr>
            </w:pPr>
            <w:r>
              <w:rPr>
                <w:rFonts w:ascii="Arial" w:cs="Arial" w:eastAsia="Arial" w:hAnsi="Arial"/>
                <w:sz w:val="14"/>
                <w:szCs w:val="14"/>
                <w:color w:val="auto"/>
              </w:rPr>
              <w:t>2,906</w:t>
            </w:r>
          </w:p>
        </w:tc>
        <w:tc>
          <w:tcPr>
            <w:tcW w:w="1080" w:type="dxa"/>
            <w:vAlign w:val="bottom"/>
            <w:tcBorders>
              <w:bottom w:val="single" w:sz="8" w:color="auto"/>
            </w:tcBorders>
          </w:tcPr>
          <w:p>
            <w:pPr>
              <w:jc w:val="right"/>
              <w:ind w:right="269"/>
              <w:spacing w:after="0" w:line="155" w:lineRule="exact"/>
              <w:rPr>
                <w:sz w:val="20"/>
                <w:szCs w:val="20"/>
                <w:color w:val="auto"/>
              </w:rPr>
            </w:pPr>
            <w:r>
              <w:rPr>
                <w:rFonts w:ascii="Arial" w:cs="Arial" w:eastAsia="Arial" w:hAnsi="Arial"/>
                <w:sz w:val="14"/>
                <w:szCs w:val="14"/>
                <w:color w:val="auto"/>
              </w:rPr>
              <w:t>2,993</w:t>
            </w:r>
          </w:p>
        </w:tc>
        <w:tc>
          <w:tcPr>
            <w:tcW w:w="960" w:type="dxa"/>
            <w:vAlign w:val="bottom"/>
            <w:tcBorders>
              <w:bottom w:val="single" w:sz="8" w:color="auto"/>
            </w:tcBorders>
          </w:tcPr>
          <w:p>
            <w:pPr>
              <w:jc w:val="right"/>
              <w:ind w:right="209"/>
              <w:spacing w:after="0" w:line="155" w:lineRule="exact"/>
              <w:rPr>
                <w:sz w:val="20"/>
                <w:szCs w:val="20"/>
                <w:color w:val="auto"/>
              </w:rPr>
            </w:pPr>
            <w:r>
              <w:rPr>
                <w:rFonts w:ascii="Arial" w:cs="Arial" w:eastAsia="Arial" w:hAnsi="Arial"/>
                <w:sz w:val="14"/>
                <w:szCs w:val="14"/>
                <w:color w:val="auto"/>
              </w:rPr>
              <w:t>3,017</w:t>
            </w:r>
          </w:p>
        </w:tc>
      </w:tr>
    </w:tbl>
    <w:p>
      <w:pPr>
        <w:spacing w:after="0" w:line="37" w:lineRule="exact"/>
        <w:rPr>
          <w:sz w:val="20"/>
          <w:szCs w:val="20"/>
          <w:color w:val="auto"/>
        </w:rPr>
      </w:pPr>
    </w:p>
    <w:p>
      <w:pPr>
        <w:ind w:left="180"/>
        <w:spacing w:after="0"/>
        <w:rPr>
          <w:sz w:val="20"/>
          <w:szCs w:val="20"/>
          <w:color w:val="auto"/>
        </w:rPr>
      </w:pPr>
      <w:r>
        <w:rPr>
          <w:rFonts w:ascii="Arial" w:cs="Arial" w:eastAsia="Arial" w:hAnsi="Arial"/>
          <w:sz w:val="11"/>
          <w:szCs w:val="11"/>
          <w:color w:val="auto"/>
        </w:rPr>
        <w:t>[A] Includes natural gas liquids, share of joint ventures and associates and processing for others.</w:t>
      </w:r>
    </w:p>
    <w:p>
      <w:pPr>
        <w:spacing w:after="0" w:line="183" w:lineRule="exact"/>
        <w:rPr>
          <w:sz w:val="20"/>
          <w:szCs w:val="20"/>
          <w:color w:val="auto"/>
        </w:rPr>
      </w:pPr>
    </w:p>
    <w:tbl>
      <w:tblPr>
        <w:tblLayout w:type="fixed"/>
        <w:tblInd w:w="180" w:type="dxa"/>
        <w:tblCellMar>
          <w:top w:w="0" w:type="dxa"/>
          <w:left w:w="0" w:type="dxa"/>
          <w:bottom w:w="0" w:type="dxa"/>
          <w:right w:w="0" w:type="dxa"/>
        </w:tblCellMar>
      </w:tblPr>
      <w:tr>
        <w:trPr>
          <w:trHeight w:val="172"/>
        </w:trPr>
        <w:tc>
          <w:tcPr>
            <w:tcW w:w="2620" w:type="dxa"/>
            <w:vAlign w:val="bottom"/>
            <w:shd w:val="clear" w:color="auto" w:fill="333333"/>
          </w:tcPr>
          <w:p>
            <w:pPr>
              <w:ind w:left="60"/>
              <w:spacing w:after="0"/>
              <w:rPr>
                <w:sz w:val="20"/>
                <w:szCs w:val="20"/>
                <w:color w:val="auto"/>
              </w:rPr>
            </w:pPr>
            <w:r>
              <w:rPr>
                <w:rFonts w:ascii="Arial" w:cs="Arial" w:eastAsia="Arial" w:hAnsi="Arial"/>
                <w:sz w:val="15"/>
                <w:szCs w:val="15"/>
                <w:b w:val="1"/>
                <w:bCs w:val="1"/>
                <w:color w:val="FFFFFF"/>
              </w:rPr>
              <w:t>REFINERY PROCESSING</w:t>
            </w:r>
          </w:p>
        </w:tc>
        <w:tc>
          <w:tcPr>
            <w:tcW w:w="820" w:type="dxa"/>
            <w:vAlign w:val="bottom"/>
            <w:shd w:val="clear" w:color="auto" w:fill="333333"/>
          </w:tcPr>
          <w:p>
            <w:pPr>
              <w:spacing w:after="0"/>
              <w:rPr>
                <w:sz w:val="14"/>
                <w:szCs w:val="14"/>
                <w:color w:val="auto"/>
              </w:rPr>
            </w:pPr>
          </w:p>
        </w:tc>
        <w:tc>
          <w:tcPr>
            <w:tcW w:w="1080" w:type="dxa"/>
            <w:vAlign w:val="bottom"/>
            <w:shd w:val="clear" w:color="auto" w:fill="333333"/>
          </w:tcPr>
          <w:p>
            <w:pPr>
              <w:spacing w:after="0"/>
              <w:rPr>
                <w:sz w:val="14"/>
                <w:szCs w:val="14"/>
                <w:color w:val="auto"/>
              </w:rPr>
            </w:pPr>
          </w:p>
        </w:tc>
        <w:tc>
          <w:tcPr>
            <w:tcW w:w="960" w:type="dxa"/>
            <w:vAlign w:val="bottom"/>
            <w:shd w:val="clear" w:color="auto" w:fill="333333"/>
          </w:tcPr>
          <w:p>
            <w:pPr>
              <w:spacing w:after="0"/>
              <w:rPr>
                <w:sz w:val="14"/>
                <w:szCs w:val="14"/>
                <w:color w:val="auto"/>
              </w:rPr>
            </w:pPr>
          </w:p>
        </w:tc>
      </w:tr>
      <w:tr>
        <w:trPr>
          <w:trHeight w:val="197"/>
        </w:trPr>
        <w:tc>
          <w:tcPr>
            <w:tcW w:w="2620" w:type="dxa"/>
            <w:vAlign w:val="bottom"/>
            <w:shd w:val="clear" w:color="auto" w:fill="333333"/>
          </w:tcPr>
          <w:p>
            <w:pPr>
              <w:ind w:left="60"/>
              <w:spacing w:after="0"/>
              <w:rPr>
                <w:sz w:val="20"/>
                <w:szCs w:val="20"/>
                <w:color w:val="auto"/>
              </w:rPr>
            </w:pPr>
            <w:r>
              <w:rPr>
                <w:rFonts w:ascii="Arial" w:cs="Arial" w:eastAsia="Arial" w:hAnsi="Arial"/>
                <w:sz w:val="15"/>
                <w:szCs w:val="15"/>
                <w:b w:val="1"/>
                <w:bCs w:val="1"/>
                <w:color w:val="FFFFFF"/>
              </w:rPr>
              <w:t xml:space="preserve">INTAKE </w:t>
            </w:r>
            <w:r>
              <w:rPr>
                <w:rFonts w:ascii="Arial" w:cs="Arial" w:eastAsia="Arial" w:hAnsi="Arial"/>
                <w:sz w:val="15"/>
                <w:szCs w:val="15"/>
                <w:color w:val="FFFFFF"/>
              </w:rPr>
              <w:t>[A]</w:t>
            </w:r>
          </w:p>
        </w:tc>
        <w:tc>
          <w:tcPr>
            <w:tcW w:w="820" w:type="dxa"/>
            <w:vAlign w:val="bottom"/>
            <w:shd w:val="clear" w:color="auto" w:fill="333333"/>
          </w:tcPr>
          <w:p>
            <w:pPr>
              <w:spacing w:after="0"/>
              <w:rPr>
                <w:sz w:val="17"/>
                <w:szCs w:val="17"/>
                <w:color w:val="auto"/>
              </w:rPr>
            </w:pPr>
          </w:p>
        </w:tc>
        <w:tc>
          <w:tcPr>
            <w:tcW w:w="2040" w:type="dxa"/>
            <w:vAlign w:val="bottom"/>
            <w:gridSpan w:val="2"/>
            <w:shd w:val="clear" w:color="auto" w:fill="333333"/>
          </w:tcPr>
          <w:p>
            <w:pPr>
              <w:jc w:val="right"/>
              <w:ind w:right="209"/>
              <w:spacing w:after="0"/>
              <w:rPr>
                <w:sz w:val="20"/>
                <w:szCs w:val="20"/>
                <w:color w:val="auto"/>
              </w:rPr>
            </w:pPr>
            <w:r>
              <w:rPr>
                <w:rFonts w:ascii="Arial" w:cs="Arial" w:eastAsia="Arial" w:hAnsi="Arial"/>
                <w:sz w:val="15"/>
                <w:szCs w:val="15"/>
                <w:color w:val="FFFFFF"/>
              </w:rPr>
              <w:t>THOUSAND B/D</w:t>
            </w:r>
          </w:p>
        </w:tc>
      </w:tr>
      <w:tr>
        <w:trPr>
          <w:trHeight w:val="149"/>
        </w:trPr>
        <w:tc>
          <w:tcPr>
            <w:tcW w:w="262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shd w:val="clear" w:color="auto" w:fill="D8D8D8"/>
          </w:tcPr>
          <w:p>
            <w:pPr>
              <w:jc w:val="right"/>
              <w:ind w:right="149"/>
              <w:spacing w:after="0"/>
              <w:rPr>
                <w:sz w:val="20"/>
                <w:szCs w:val="20"/>
                <w:color w:val="auto"/>
              </w:rPr>
            </w:pPr>
            <w:r>
              <w:rPr>
                <w:rFonts w:ascii="Arial" w:cs="Arial" w:eastAsia="Arial" w:hAnsi="Arial"/>
                <w:sz w:val="13"/>
                <w:szCs w:val="13"/>
                <w:color w:val="auto"/>
              </w:rPr>
              <w:t>2014</w:t>
            </w:r>
          </w:p>
        </w:tc>
        <w:tc>
          <w:tcPr>
            <w:tcW w:w="1080" w:type="dxa"/>
            <w:vAlign w:val="bottom"/>
            <w:tcBorders>
              <w:bottom w:val="single" w:sz="8" w:color="auto"/>
            </w:tcBorders>
          </w:tcPr>
          <w:p>
            <w:pPr>
              <w:jc w:val="right"/>
              <w:ind w:right="268"/>
              <w:spacing w:after="0"/>
              <w:rPr>
                <w:sz w:val="20"/>
                <w:szCs w:val="20"/>
                <w:color w:val="auto"/>
              </w:rPr>
            </w:pPr>
            <w:r>
              <w:rPr>
                <w:rFonts w:ascii="Arial" w:cs="Arial" w:eastAsia="Arial" w:hAnsi="Arial"/>
                <w:sz w:val="13"/>
                <w:szCs w:val="13"/>
                <w:color w:val="auto"/>
              </w:rPr>
              <w:t>2013</w:t>
            </w:r>
          </w:p>
        </w:tc>
        <w:tc>
          <w:tcPr>
            <w:tcW w:w="960" w:type="dxa"/>
            <w:vAlign w:val="bottom"/>
            <w:tcBorders>
              <w:bottom w:val="single" w:sz="8" w:color="auto"/>
            </w:tcBorders>
          </w:tcPr>
          <w:p>
            <w:pPr>
              <w:jc w:val="right"/>
              <w:ind w:right="209"/>
              <w:spacing w:after="0"/>
              <w:rPr>
                <w:sz w:val="20"/>
                <w:szCs w:val="20"/>
                <w:color w:val="auto"/>
              </w:rPr>
            </w:pPr>
            <w:r>
              <w:rPr>
                <w:rFonts w:ascii="Arial" w:cs="Arial" w:eastAsia="Arial" w:hAnsi="Arial"/>
                <w:sz w:val="13"/>
                <w:szCs w:val="13"/>
                <w:color w:val="auto"/>
              </w:rPr>
              <w:t>2012</w:t>
            </w:r>
          </w:p>
        </w:tc>
      </w:tr>
      <w:tr>
        <w:trPr>
          <w:trHeight w:val="156"/>
        </w:trPr>
        <w:tc>
          <w:tcPr>
            <w:tcW w:w="2620" w:type="dxa"/>
            <w:vAlign w:val="bottom"/>
          </w:tcPr>
          <w:p>
            <w:pPr>
              <w:spacing w:after="0" w:line="155" w:lineRule="exact"/>
              <w:rPr>
                <w:sz w:val="20"/>
                <w:szCs w:val="20"/>
                <w:color w:val="auto"/>
              </w:rPr>
            </w:pPr>
            <w:r>
              <w:rPr>
                <w:rFonts w:ascii="Arial" w:cs="Arial" w:eastAsia="Arial" w:hAnsi="Arial"/>
                <w:sz w:val="14"/>
                <w:szCs w:val="14"/>
                <w:color w:val="auto"/>
              </w:rPr>
              <w:t>Crude oil</w:t>
            </w:r>
          </w:p>
        </w:tc>
        <w:tc>
          <w:tcPr>
            <w:tcW w:w="820" w:type="dxa"/>
            <w:vAlign w:val="bottom"/>
            <w:shd w:val="clear" w:color="auto" w:fill="D8D8D8"/>
          </w:tcPr>
          <w:p>
            <w:pPr>
              <w:jc w:val="right"/>
              <w:ind w:right="149"/>
              <w:spacing w:after="0" w:line="155" w:lineRule="exact"/>
              <w:rPr>
                <w:sz w:val="20"/>
                <w:szCs w:val="20"/>
                <w:color w:val="auto"/>
              </w:rPr>
            </w:pPr>
            <w:r>
              <w:rPr>
                <w:rFonts w:ascii="Arial" w:cs="Arial" w:eastAsia="Arial" w:hAnsi="Arial"/>
                <w:sz w:val="14"/>
                <w:szCs w:val="14"/>
                <w:color w:val="auto"/>
              </w:rPr>
              <w:t>2,716</w:t>
            </w:r>
          </w:p>
        </w:tc>
        <w:tc>
          <w:tcPr>
            <w:tcW w:w="1080" w:type="dxa"/>
            <w:vAlign w:val="bottom"/>
          </w:tcPr>
          <w:p>
            <w:pPr>
              <w:jc w:val="right"/>
              <w:ind w:right="268"/>
              <w:spacing w:after="0" w:line="155" w:lineRule="exact"/>
              <w:rPr>
                <w:sz w:val="20"/>
                <w:szCs w:val="20"/>
                <w:color w:val="auto"/>
              </w:rPr>
            </w:pPr>
            <w:r>
              <w:rPr>
                <w:rFonts w:ascii="Arial" w:cs="Arial" w:eastAsia="Arial" w:hAnsi="Arial"/>
                <w:sz w:val="14"/>
                <w:szCs w:val="14"/>
                <w:color w:val="auto"/>
              </w:rPr>
              <w:t>2,732</w:t>
            </w:r>
          </w:p>
        </w:tc>
        <w:tc>
          <w:tcPr>
            <w:tcW w:w="960" w:type="dxa"/>
            <w:vAlign w:val="bottom"/>
          </w:tcPr>
          <w:p>
            <w:pPr>
              <w:jc w:val="right"/>
              <w:ind w:right="209"/>
              <w:spacing w:after="0" w:line="155" w:lineRule="exact"/>
              <w:rPr>
                <w:sz w:val="20"/>
                <w:szCs w:val="20"/>
                <w:color w:val="auto"/>
              </w:rPr>
            </w:pPr>
            <w:r>
              <w:rPr>
                <w:rFonts w:ascii="Arial" w:cs="Arial" w:eastAsia="Arial" w:hAnsi="Arial"/>
                <w:sz w:val="14"/>
                <w:szCs w:val="14"/>
                <w:color w:val="auto"/>
              </w:rPr>
              <w:t>2,620</w:t>
            </w:r>
          </w:p>
        </w:tc>
      </w:tr>
      <w:tr>
        <w:trPr>
          <w:trHeight w:val="162"/>
        </w:trPr>
        <w:tc>
          <w:tcPr>
            <w:tcW w:w="262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Feedstocks</w:t>
            </w:r>
          </w:p>
        </w:tc>
        <w:tc>
          <w:tcPr>
            <w:tcW w:w="820" w:type="dxa"/>
            <w:vAlign w:val="bottom"/>
            <w:tcBorders>
              <w:bottom w:val="single" w:sz="8" w:color="auto"/>
            </w:tcBorders>
            <w:shd w:val="clear" w:color="auto" w:fill="D8D8D8"/>
          </w:tcPr>
          <w:p>
            <w:pPr>
              <w:jc w:val="right"/>
              <w:ind w:right="149"/>
              <w:spacing w:after="0"/>
              <w:rPr>
                <w:sz w:val="20"/>
                <w:szCs w:val="20"/>
                <w:color w:val="auto"/>
              </w:rPr>
            </w:pPr>
            <w:r>
              <w:rPr>
                <w:rFonts w:ascii="Arial" w:cs="Arial" w:eastAsia="Arial" w:hAnsi="Arial"/>
                <w:sz w:val="14"/>
                <w:szCs w:val="14"/>
                <w:color w:val="auto"/>
              </w:rPr>
              <w:t>187</w:t>
            </w:r>
          </w:p>
        </w:tc>
        <w:tc>
          <w:tcPr>
            <w:tcW w:w="108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color w:val="auto"/>
              </w:rPr>
              <w:t>183</w:t>
            </w:r>
          </w:p>
        </w:tc>
        <w:tc>
          <w:tcPr>
            <w:tcW w:w="960" w:type="dxa"/>
            <w:vAlign w:val="bottom"/>
            <w:tcBorders>
              <w:bottom w:val="single" w:sz="8" w:color="auto"/>
            </w:tcBorders>
          </w:tcPr>
          <w:p>
            <w:pPr>
              <w:jc w:val="right"/>
              <w:ind w:right="209"/>
              <w:spacing w:after="0"/>
              <w:rPr>
                <w:sz w:val="20"/>
                <w:szCs w:val="20"/>
                <w:color w:val="auto"/>
              </w:rPr>
            </w:pPr>
            <w:r>
              <w:rPr>
                <w:rFonts w:ascii="Arial" w:cs="Arial" w:eastAsia="Arial" w:hAnsi="Arial"/>
                <w:sz w:val="14"/>
                <w:szCs w:val="14"/>
                <w:color w:val="auto"/>
              </w:rPr>
              <w:t>199</w:t>
            </w:r>
          </w:p>
        </w:tc>
      </w:tr>
      <w:tr>
        <w:trPr>
          <w:trHeight w:val="156"/>
        </w:trPr>
        <w:tc>
          <w:tcPr>
            <w:tcW w:w="2620" w:type="dxa"/>
            <w:vAlign w:val="bottom"/>
            <w:tcBorders>
              <w:bottom w:val="single" w:sz="8" w:color="auto"/>
            </w:tcBorders>
          </w:tcPr>
          <w:p>
            <w:pPr>
              <w:spacing w:after="0" w:line="155" w:lineRule="exact"/>
              <w:rPr>
                <w:sz w:val="20"/>
                <w:szCs w:val="20"/>
                <w:color w:val="auto"/>
              </w:rPr>
            </w:pPr>
            <w:r>
              <w:rPr>
                <w:rFonts w:ascii="Arial" w:cs="Arial" w:eastAsia="Arial" w:hAnsi="Arial"/>
                <w:sz w:val="14"/>
                <w:szCs w:val="14"/>
                <w:color w:val="auto"/>
              </w:rPr>
              <w:t>Total</w:t>
            </w:r>
          </w:p>
        </w:tc>
        <w:tc>
          <w:tcPr>
            <w:tcW w:w="820" w:type="dxa"/>
            <w:vAlign w:val="bottom"/>
            <w:tcBorders>
              <w:bottom w:val="single" w:sz="8" w:color="auto"/>
            </w:tcBorders>
            <w:shd w:val="clear" w:color="auto" w:fill="D8D8D8"/>
          </w:tcPr>
          <w:p>
            <w:pPr>
              <w:jc w:val="right"/>
              <w:ind w:right="149"/>
              <w:spacing w:after="0" w:line="155" w:lineRule="exact"/>
              <w:rPr>
                <w:sz w:val="20"/>
                <w:szCs w:val="20"/>
                <w:color w:val="auto"/>
              </w:rPr>
            </w:pPr>
            <w:r>
              <w:rPr>
                <w:rFonts w:ascii="Arial" w:cs="Arial" w:eastAsia="Arial" w:hAnsi="Arial"/>
                <w:sz w:val="14"/>
                <w:szCs w:val="14"/>
                <w:color w:val="auto"/>
              </w:rPr>
              <w:t>2,903</w:t>
            </w:r>
          </w:p>
        </w:tc>
        <w:tc>
          <w:tcPr>
            <w:tcW w:w="1080" w:type="dxa"/>
            <w:vAlign w:val="bottom"/>
            <w:tcBorders>
              <w:bottom w:val="single" w:sz="8" w:color="auto"/>
            </w:tcBorders>
          </w:tcPr>
          <w:p>
            <w:pPr>
              <w:jc w:val="right"/>
              <w:ind w:right="268"/>
              <w:spacing w:after="0" w:line="155" w:lineRule="exact"/>
              <w:rPr>
                <w:sz w:val="20"/>
                <w:szCs w:val="20"/>
                <w:color w:val="auto"/>
              </w:rPr>
            </w:pPr>
            <w:r>
              <w:rPr>
                <w:rFonts w:ascii="Arial" w:cs="Arial" w:eastAsia="Arial" w:hAnsi="Arial"/>
                <w:sz w:val="14"/>
                <w:szCs w:val="14"/>
                <w:color w:val="auto"/>
              </w:rPr>
              <w:t>2,915</w:t>
            </w:r>
          </w:p>
        </w:tc>
        <w:tc>
          <w:tcPr>
            <w:tcW w:w="960" w:type="dxa"/>
            <w:vAlign w:val="bottom"/>
            <w:tcBorders>
              <w:bottom w:val="single" w:sz="8" w:color="auto"/>
            </w:tcBorders>
          </w:tcPr>
          <w:p>
            <w:pPr>
              <w:jc w:val="right"/>
              <w:ind w:right="209"/>
              <w:spacing w:after="0" w:line="155" w:lineRule="exact"/>
              <w:rPr>
                <w:sz w:val="20"/>
                <w:szCs w:val="20"/>
                <w:color w:val="auto"/>
              </w:rPr>
            </w:pPr>
            <w:r>
              <w:rPr>
                <w:rFonts w:ascii="Arial" w:cs="Arial" w:eastAsia="Arial" w:hAnsi="Arial"/>
                <w:sz w:val="14"/>
                <w:szCs w:val="14"/>
                <w:color w:val="auto"/>
              </w:rPr>
              <w:t>2,819</w:t>
            </w:r>
          </w:p>
        </w:tc>
      </w:tr>
      <w:tr>
        <w:trPr>
          <w:trHeight w:val="160"/>
        </w:trPr>
        <w:tc>
          <w:tcPr>
            <w:tcW w:w="2620" w:type="dxa"/>
            <w:vAlign w:val="bottom"/>
          </w:tcPr>
          <w:p>
            <w:pPr>
              <w:spacing w:after="0"/>
              <w:rPr>
                <w:sz w:val="20"/>
                <w:szCs w:val="20"/>
                <w:color w:val="auto"/>
              </w:rPr>
            </w:pPr>
            <w:r>
              <w:rPr>
                <w:rFonts w:ascii="Arial" w:cs="Arial" w:eastAsia="Arial" w:hAnsi="Arial"/>
                <w:sz w:val="14"/>
                <w:szCs w:val="14"/>
                <w:color w:val="auto"/>
              </w:rPr>
              <w:t>Europe</w:t>
            </w:r>
          </w:p>
        </w:tc>
        <w:tc>
          <w:tcPr>
            <w:tcW w:w="820" w:type="dxa"/>
            <w:vAlign w:val="bottom"/>
            <w:shd w:val="clear" w:color="auto" w:fill="D8D8D8"/>
          </w:tcPr>
          <w:p>
            <w:pPr>
              <w:jc w:val="right"/>
              <w:ind w:right="149"/>
              <w:spacing w:after="0"/>
              <w:rPr>
                <w:sz w:val="20"/>
                <w:szCs w:val="20"/>
                <w:color w:val="auto"/>
              </w:rPr>
            </w:pPr>
            <w:r>
              <w:rPr>
                <w:rFonts w:ascii="Arial" w:cs="Arial" w:eastAsia="Arial" w:hAnsi="Arial"/>
                <w:sz w:val="14"/>
                <w:szCs w:val="14"/>
                <w:color w:val="auto"/>
              </w:rPr>
              <w:t>941</w:t>
            </w:r>
          </w:p>
        </w:tc>
        <w:tc>
          <w:tcPr>
            <w:tcW w:w="1080" w:type="dxa"/>
            <w:vAlign w:val="bottom"/>
          </w:tcPr>
          <w:p>
            <w:pPr>
              <w:jc w:val="right"/>
              <w:ind w:right="268"/>
              <w:spacing w:after="0"/>
              <w:rPr>
                <w:sz w:val="20"/>
                <w:szCs w:val="20"/>
                <w:color w:val="auto"/>
              </w:rPr>
            </w:pPr>
            <w:r>
              <w:rPr>
                <w:rFonts w:ascii="Arial" w:cs="Arial" w:eastAsia="Arial" w:hAnsi="Arial"/>
                <w:sz w:val="14"/>
                <w:szCs w:val="14"/>
                <w:color w:val="auto"/>
              </w:rPr>
              <w:t>933</w:t>
            </w:r>
          </w:p>
        </w:tc>
        <w:tc>
          <w:tcPr>
            <w:tcW w:w="960" w:type="dxa"/>
            <w:vAlign w:val="bottom"/>
          </w:tcPr>
          <w:p>
            <w:pPr>
              <w:jc w:val="right"/>
              <w:ind w:right="209"/>
              <w:spacing w:after="0"/>
              <w:rPr>
                <w:sz w:val="20"/>
                <w:szCs w:val="20"/>
                <w:color w:val="auto"/>
              </w:rPr>
            </w:pPr>
            <w:r>
              <w:rPr>
                <w:rFonts w:ascii="Arial" w:cs="Arial" w:eastAsia="Arial" w:hAnsi="Arial"/>
                <w:sz w:val="14"/>
                <w:szCs w:val="14"/>
                <w:color w:val="auto"/>
              </w:rPr>
              <w:t>970</w:t>
            </w:r>
          </w:p>
        </w:tc>
      </w:tr>
      <w:tr>
        <w:trPr>
          <w:trHeight w:val="162"/>
        </w:trPr>
        <w:tc>
          <w:tcPr>
            <w:tcW w:w="2620" w:type="dxa"/>
            <w:vAlign w:val="bottom"/>
          </w:tcPr>
          <w:p>
            <w:pPr>
              <w:spacing w:after="0"/>
              <w:rPr>
                <w:sz w:val="20"/>
                <w:szCs w:val="20"/>
                <w:color w:val="auto"/>
              </w:rPr>
            </w:pPr>
            <w:r>
              <w:rPr>
                <w:rFonts w:ascii="Arial" w:cs="Arial" w:eastAsia="Arial" w:hAnsi="Arial"/>
                <w:sz w:val="14"/>
                <w:szCs w:val="14"/>
                <w:color w:val="auto"/>
              </w:rPr>
              <w:t>Asia</w:t>
            </w:r>
          </w:p>
        </w:tc>
        <w:tc>
          <w:tcPr>
            <w:tcW w:w="820" w:type="dxa"/>
            <w:vAlign w:val="bottom"/>
            <w:shd w:val="clear" w:color="auto" w:fill="D8D8D8"/>
          </w:tcPr>
          <w:p>
            <w:pPr>
              <w:jc w:val="right"/>
              <w:ind w:right="149"/>
              <w:spacing w:after="0"/>
              <w:rPr>
                <w:sz w:val="20"/>
                <w:szCs w:val="20"/>
                <w:color w:val="auto"/>
              </w:rPr>
            </w:pPr>
            <w:r>
              <w:rPr>
                <w:rFonts w:ascii="Arial" w:cs="Arial" w:eastAsia="Arial" w:hAnsi="Arial"/>
                <w:sz w:val="14"/>
                <w:szCs w:val="14"/>
                <w:color w:val="auto"/>
              </w:rPr>
              <w:t>639</w:t>
            </w:r>
          </w:p>
        </w:tc>
        <w:tc>
          <w:tcPr>
            <w:tcW w:w="1080" w:type="dxa"/>
            <w:vAlign w:val="bottom"/>
          </w:tcPr>
          <w:p>
            <w:pPr>
              <w:jc w:val="right"/>
              <w:ind w:right="268"/>
              <w:spacing w:after="0"/>
              <w:rPr>
                <w:sz w:val="20"/>
                <w:szCs w:val="20"/>
                <w:color w:val="auto"/>
              </w:rPr>
            </w:pPr>
            <w:r>
              <w:rPr>
                <w:rFonts w:ascii="Arial" w:cs="Arial" w:eastAsia="Arial" w:hAnsi="Arial"/>
                <w:sz w:val="14"/>
                <w:szCs w:val="14"/>
                <w:color w:val="auto"/>
              </w:rPr>
              <w:t>634</w:t>
            </w:r>
          </w:p>
        </w:tc>
        <w:tc>
          <w:tcPr>
            <w:tcW w:w="960" w:type="dxa"/>
            <w:vAlign w:val="bottom"/>
          </w:tcPr>
          <w:p>
            <w:pPr>
              <w:jc w:val="right"/>
              <w:ind w:right="209"/>
              <w:spacing w:after="0"/>
              <w:rPr>
                <w:sz w:val="20"/>
                <w:szCs w:val="20"/>
                <w:color w:val="auto"/>
              </w:rPr>
            </w:pPr>
            <w:r>
              <w:rPr>
                <w:rFonts w:ascii="Arial" w:cs="Arial" w:eastAsia="Arial" w:hAnsi="Arial"/>
                <w:sz w:val="14"/>
                <w:szCs w:val="14"/>
                <w:color w:val="auto"/>
              </w:rPr>
              <w:t>520</w:t>
            </w:r>
          </w:p>
        </w:tc>
      </w:tr>
      <w:tr>
        <w:trPr>
          <w:trHeight w:val="162"/>
        </w:trPr>
        <w:tc>
          <w:tcPr>
            <w:tcW w:w="2620" w:type="dxa"/>
            <w:vAlign w:val="bottom"/>
          </w:tcPr>
          <w:p>
            <w:pPr>
              <w:spacing w:after="0"/>
              <w:rPr>
                <w:sz w:val="20"/>
                <w:szCs w:val="20"/>
                <w:color w:val="auto"/>
              </w:rPr>
            </w:pPr>
            <w:r>
              <w:rPr>
                <w:rFonts w:ascii="Arial" w:cs="Arial" w:eastAsia="Arial" w:hAnsi="Arial"/>
                <w:sz w:val="14"/>
                <w:szCs w:val="14"/>
                <w:color w:val="auto"/>
              </w:rPr>
              <w:t>Oceania</w:t>
            </w:r>
          </w:p>
        </w:tc>
        <w:tc>
          <w:tcPr>
            <w:tcW w:w="820" w:type="dxa"/>
            <w:vAlign w:val="bottom"/>
            <w:shd w:val="clear" w:color="auto" w:fill="D8D8D8"/>
          </w:tcPr>
          <w:p>
            <w:pPr>
              <w:jc w:val="right"/>
              <w:ind w:right="149"/>
              <w:spacing w:after="0"/>
              <w:rPr>
                <w:sz w:val="20"/>
                <w:szCs w:val="20"/>
                <w:color w:val="auto"/>
              </w:rPr>
            </w:pPr>
            <w:r>
              <w:rPr>
                <w:rFonts w:ascii="Arial" w:cs="Arial" w:eastAsia="Arial" w:hAnsi="Arial"/>
                <w:sz w:val="14"/>
                <w:szCs w:val="14"/>
                <w:color w:val="auto"/>
              </w:rPr>
              <w:t>64</w:t>
            </w:r>
          </w:p>
        </w:tc>
        <w:tc>
          <w:tcPr>
            <w:tcW w:w="1080" w:type="dxa"/>
            <w:vAlign w:val="bottom"/>
          </w:tcPr>
          <w:p>
            <w:pPr>
              <w:jc w:val="right"/>
              <w:ind w:right="268"/>
              <w:spacing w:after="0"/>
              <w:rPr>
                <w:sz w:val="20"/>
                <w:szCs w:val="20"/>
                <w:color w:val="auto"/>
              </w:rPr>
            </w:pPr>
            <w:r>
              <w:rPr>
                <w:rFonts w:ascii="Arial" w:cs="Arial" w:eastAsia="Arial" w:hAnsi="Arial"/>
                <w:sz w:val="14"/>
                <w:szCs w:val="14"/>
                <w:color w:val="auto"/>
              </w:rPr>
              <w:t>105</w:t>
            </w:r>
          </w:p>
        </w:tc>
        <w:tc>
          <w:tcPr>
            <w:tcW w:w="960" w:type="dxa"/>
            <w:vAlign w:val="bottom"/>
          </w:tcPr>
          <w:p>
            <w:pPr>
              <w:jc w:val="right"/>
              <w:ind w:right="209"/>
              <w:spacing w:after="0"/>
              <w:rPr>
                <w:sz w:val="20"/>
                <w:szCs w:val="20"/>
                <w:color w:val="auto"/>
              </w:rPr>
            </w:pPr>
            <w:r>
              <w:rPr>
                <w:rFonts w:ascii="Arial" w:cs="Arial" w:eastAsia="Arial" w:hAnsi="Arial"/>
                <w:sz w:val="14"/>
                <w:szCs w:val="14"/>
                <w:color w:val="auto"/>
              </w:rPr>
              <w:t>150</w:t>
            </w:r>
          </w:p>
        </w:tc>
      </w:tr>
      <w:tr>
        <w:trPr>
          <w:trHeight w:val="162"/>
        </w:trPr>
        <w:tc>
          <w:tcPr>
            <w:tcW w:w="2620" w:type="dxa"/>
            <w:vAlign w:val="bottom"/>
          </w:tcPr>
          <w:p>
            <w:pPr>
              <w:spacing w:after="0"/>
              <w:rPr>
                <w:sz w:val="20"/>
                <w:szCs w:val="20"/>
                <w:color w:val="auto"/>
              </w:rPr>
            </w:pPr>
            <w:r>
              <w:rPr>
                <w:rFonts w:ascii="Arial" w:cs="Arial" w:eastAsia="Arial" w:hAnsi="Arial"/>
                <w:sz w:val="14"/>
                <w:szCs w:val="14"/>
                <w:color w:val="auto"/>
              </w:rPr>
              <w:t>Africa</w:t>
            </w:r>
          </w:p>
        </w:tc>
        <w:tc>
          <w:tcPr>
            <w:tcW w:w="820" w:type="dxa"/>
            <w:vAlign w:val="bottom"/>
            <w:shd w:val="clear" w:color="auto" w:fill="D8D8D8"/>
          </w:tcPr>
          <w:p>
            <w:pPr>
              <w:jc w:val="right"/>
              <w:ind w:right="149"/>
              <w:spacing w:after="0"/>
              <w:rPr>
                <w:sz w:val="20"/>
                <w:szCs w:val="20"/>
                <w:color w:val="auto"/>
              </w:rPr>
            </w:pPr>
            <w:r>
              <w:rPr>
                <w:rFonts w:ascii="Arial" w:cs="Arial" w:eastAsia="Arial" w:hAnsi="Arial"/>
                <w:sz w:val="14"/>
                <w:szCs w:val="14"/>
                <w:color w:val="auto"/>
              </w:rPr>
              <w:t>69</w:t>
            </w:r>
          </w:p>
        </w:tc>
        <w:tc>
          <w:tcPr>
            <w:tcW w:w="1080" w:type="dxa"/>
            <w:vAlign w:val="bottom"/>
          </w:tcPr>
          <w:p>
            <w:pPr>
              <w:jc w:val="right"/>
              <w:ind w:right="268"/>
              <w:spacing w:after="0"/>
              <w:rPr>
                <w:sz w:val="20"/>
                <w:szCs w:val="20"/>
                <w:color w:val="auto"/>
              </w:rPr>
            </w:pPr>
            <w:r>
              <w:rPr>
                <w:rFonts w:ascii="Arial" w:cs="Arial" w:eastAsia="Arial" w:hAnsi="Arial"/>
                <w:sz w:val="14"/>
                <w:szCs w:val="14"/>
                <w:color w:val="auto"/>
              </w:rPr>
              <w:t>54</w:t>
            </w:r>
          </w:p>
        </w:tc>
        <w:tc>
          <w:tcPr>
            <w:tcW w:w="960" w:type="dxa"/>
            <w:vAlign w:val="bottom"/>
          </w:tcPr>
          <w:p>
            <w:pPr>
              <w:jc w:val="right"/>
              <w:ind w:right="209"/>
              <w:spacing w:after="0"/>
              <w:rPr>
                <w:sz w:val="20"/>
                <w:szCs w:val="20"/>
                <w:color w:val="auto"/>
              </w:rPr>
            </w:pPr>
            <w:r>
              <w:rPr>
                <w:rFonts w:ascii="Arial" w:cs="Arial" w:eastAsia="Arial" w:hAnsi="Arial"/>
                <w:sz w:val="14"/>
                <w:szCs w:val="14"/>
                <w:color w:val="auto"/>
              </w:rPr>
              <w:t>62</w:t>
            </w:r>
          </w:p>
        </w:tc>
      </w:tr>
      <w:tr>
        <w:trPr>
          <w:trHeight w:val="157"/>
        </w:trPr>
        <w:tc>
          <w:tcPr>
            <w:tcW w:w="2620" w:type="dxa"/>
            <w:vAlign w:val="bottom"/>
            <w:tcBorders>
              <w:bottom w:val="single" w:sz="8" w:color="auto"/>
            </w:tcBorders>
          </w:tcPr>
          <w:p>
            <w:pPr>
              <w:spacing w:after="0" w:line="157" w:lineRule="exact"/>
              <w:rPr>
                <w:sz w:val="20"/>
                <w:szCs w:val="20"/>
                <w:color w:val="auto"/>
              </w:rPr>
            </w:pPr>
            <w:r>
              <w:rPr>
                <w:rFonts w:ascii="Arial" w:cs="Arial" w:eastAsia="Arial" w:hAnsi="Arial"/>
                <w:sz w:val="14"/>
                <w:szCs w:val="14"/>
                <w:color w:val="auto"/>
              </w:rPr>
              <w:t>Americas</w:t>
            </w:r>
          </w:p>
        </w:tc>
        <w:tc>
          <w:tcPr>
            <w:tcW w:w="820" w:type="dxa"/>
            <w:vAlign w:val="bottom"/>
            <w:tcBorders>
              <w:bottom w:val="single" w:sz="8" w:color="auto"/>
            </w:tcBorders>
            <w:shd w:val="clear" w:color="auto" w:fill="D8D8D8"/>
          </w:tcPr>
          <w:p>
            <w:pPr>
              <w:jc w:val="right"/>
              <w:ind w:right="149"/>
              <w:spacing w:after="0" w:line="157" w:lineRule="exact"/>
              <w:rPr>
                <w:sz w:val="20"/>
                <w:szCs w:val="20"/>
                <w:color w:val="auto"/>
              </w:rPr>
            </w:pPr>
            <w:r>
              <w:rPr>
                <w:rFonts w:ascii="Arial" w:cs="Arial" w:eastAsia="Arial" w:hAnsi="Arial"/>
                <w:sz w:val="14"/>
                <w:szCs w:val="14"/>
                <w:color w:val="auto"/>
              </w:rPr>
              <w:t>1,190</w:t>
            </w:r>
          </w:p>
        </w:tc>
        <w:tc>
          <w:tcPr>
            <w:tcW w:w="1080" w:type="dxa"/>
            <w:vAlign w:val="bottom"/>
            <w:tcBorders>
              <w:bottom w:val="single" w:sz="8" w:color="auto"/>
            </w:tcBorders>
          </w:tcPr>
          <w:p>
            <w:pPr>
              <w:jc w:val="right"/>
              <w:ind w:right="268"/>
              <w:spacing w:after="0" w:line="157" w:lineRule="exact"/>
              <w:rPr>
                <w:sz w:val="20"/>
                <w:szCs w:val="20"/>
                <w:color w:val="auto"/>
              </w:rPr>
            </w:pPr>
            <w:r>
              <w:rPr>
                <w:rFonts w:ascii="Arial" w:cs="Arial" w:eastAsia="Arial" w:hAnsi="Arial"/>
                <w:sz w:val="14"/>
                <w:szCs w:val="14"/>
                <w:color w:val="auto"/>
              </w:rPr>
              <w:t>1,189</w:t>
            </w:r>
          </w:p>
        </w:tc>
        <w:tc>
          <w:tcPr>
            <w:tcW w:w="960" w:type="dxa"/>
            <w:vAlign w:val="bottom"/>
            <w:tcBorders>
              <w:bottom w:val="single" w:sz="8" w:color="auto"/>
            </w:tcBorders>
          </w:tcPr>
          <w:p>
            <w:pPr>
              <w:jc w:val="right"/>
              <w:ind w:right="209"/>
              <w:spacing w:after="0" w:line="157" w:lineRule="exact"/>
              <w:rPr>
                <w:sz w:val="20"/>
                <w:szCs w:val="20"/>
                <w:color w:val="auto"/>
              </w:rPr>
            </w:pPr>
            <w:r>
              <w:rPr>
                <w:rFonts w:ascii="Arial" w:cs="Arial" w:eastAsia="Arial" w:hAnsi="Arial"/>
                <w:sz w:val="14"/>
                <w:szCs w:val="14"/>
                <w:color w:val="auto"/>
              </w:rPr>
              <w:t>1,117</w:t>
            </w:r>
          </w:p>
        </w:tc>
      </w:tr>
      <w:tr>
        <w:trPr>
          <w:trHeight w:val="156"/>
        </w:trPr>
        <w:tc>
          <w:tcPr>
            <w:tcW w:w="2620" w:type="dxa"/>
            <w:vAlign w:val="bottom"/>
            <w:tcBorders>
              <w:bottom w:val="single" w:sz="8" w:color="auto"/>
            </w:tcBorders>
          </w:tcPr>
          <w:p>
            <w:pPr>
              <w:spacing w:after="0" w:line="155" w:lineRule="exact"/>
              <w:rPr>
                <w:sz w:val="20"/>
                <w:szCs w:val="20"/>
                <w:color w:val="auto"/>
              </w:rPr>
            </w:pPr>
            <w:r>
              <w:rPr>
                <w:rFonts w:ascii="Arial" w:cs="Arial" w:eastAsia="Arial" w:hAnsi="Arial"/>
                <w:sz w:val="14"/>
                <w:szCs w:val="14"/>
                <w:color w:val="auto"/>
              </w:rPr>
              <w:t>Total</w:t>
            </w:r>
          </w:p>
        </w:tc>
        <w:tc>
          <w:tcPr>
            <w:tcW w:w="820" w:type="dxa"/>
            <w:vAlign w:val="bottom"/>
            <w:tcBorders>
              <w:bottom w:val="single" w:sz="8" w:color="auto"/>
            </w:tcBorders>
            <w:shd w:val="clear" w:color="auto" w:fill="D8D8D8"/>
          </w:tcPr>
          <w:p>
            <w:pPr>
              <w:jc w:val="right"/>
              <w:ind w:right="149"/>
              <w:spacing w:after="0" w:line="155" w:lineRule="exact"/>
              <w:rPr>
                <w:sz w:val="20"/>
                <w:szCs w:val="20"/>
                <w:color w:val="auto"/>
              </w:rPr>
            </w:pPr>
            <w:r>
              <w:rPr>
                <w:rFonts w:ascii="Arial" w:cs="Arial" w:eastAsia="Arial" w:hAnsi="Arial"/>
                <w:sz w:val="14"/>
                <w:szCs w:val="14"/>
                <w:color w:val="auto"/>
              </w:rPr>
              <w:t>2,903</w:t>
            </w:r>
          </w:p>
        </w:tc>
        <w:tc>
          <w:tcPr>
            <w:tcW w:w="1080" w:type="dxa"/>
            <w:vAlign w:val="bottom"/>
            <w:tcBorders>
              <w:bottom w:val="single" w:sz="8" w:color="auto"/>
            </w:tcBorders>
          </w:tcPr>
          <w:p>
            <w:pPr>
              <w:jc w:val="right"/>
              <w:ind w:right="268"/>
              <w:spacing w:after="0" w:line="155" w:lineRule="exact"/>
              <w:rPr>
                <w:sz w:val="20"/>
                <w:szCs w:val="20"/>
                <w:color w:val="auto"/>
              </w:rPr>
            </w:pPr>
            <w:r>
              <w:rPr>
                <w:rFonts w:ascii="Arial" w:cs="Arial" w:eastAsia="Arial" w:hAnsi="Arial"/>
                <w:sz w:val="14"/>
                <w:szCs w:val="14"/>
                <w:color w:val="auto"/>
              </w:rPr>
              <w:t>2,915</w:t>
            </w:r>
          </w:p>
        </w:tc>
        <w:tc>
          <w:tcPr>
            <w:tcW w:w="960" w:type="dxa"/>
            <w:vAlign w:val="bottom"/>
            <w:tcBorders>
              <w:bottom w:val="single" w:sz="8" w:color="auto"/>
            </w:tcBorders>
          </w:tcPr>
          <w:p>
            <w:pPr>
              <w:jc w:val="right"/>
              <w:ind w:right="209"/>
              <w:spacing w:after="0" w:line="155" w:lineRule="exact"/>
              <w:rPr>
                <w:sz w:val="20"/>
                <w:szCs w:val="20"/>
                <w:color w:val="auto"/>
              </w:rPr>
            </w:pPr>
            <w:r>
              <w:rPr>
                <w:rFonts w:ascii="Arial" w:cs="Arial" w:eastAsia="Arial" w:hAnsi="Arial"/>
                <w:sz w:val="14"/>
                <w:szCs w:val="14"/>
                <w:color w:val="auto"/>
              </w:rPr>
              <w:t>2,819</w:t>
            </w:r>
          </w:p>
        </w:tc>
      </w:tr>
    </w:tbl>
    <w:p>
      <w:pPr>
        <w:spacing w:after="0" w:line="24" w:lineRule="exact"/>
        <w:rPr>
          <w:sz w:val="20"/>
          <w:szCs w:val="20"/>
          <w:color w:val="auto"/>
        </w:rPr>
      </w:pPr>
    </w:p>
    <w:p>
      <w:pPr>
        <w:ind w:left="180" w:right="400"/>
        <w:spacing w:after="0" w:line="238" w:lineRule="auto"/>
        <w:tabs>
          <w:tab w:leader="none" w:pos="342" w:val="left"/>
        </w:tabs>
        <w:numPr>
          <w:ilvl w:val="0"/>
          <w:numId w:val="40"/>
        </w:numPr>
        <w:rPr>
          <w:rFonts w:ascii="Arial" w:cs="Arial" w:eastAsia="Arial" w:hAnsi="Arial"/>
          <w:sz w:val="11"/>
          <w:szCs w:val="11"/>
          <w:color w:val="auto"/>
        </w:rPr>
      </w:pPr>
      <w:r>
        <w:rPr>
          <w:rFonts w:ascii="Arial" w:cs="Arial" w:eastAsia="Arial" w:hAnsi="Arial"/>
          <w:sz w:val="11"/>
          <w:szCs w:val="11"/>
          <w:color w:val="auto"/>
        </w:rPr>
        <w:t>Includes crude oil, natural gas liquids and feedstocks processed in crude distillation units and in secondary conversion units.</w:t>
      </w:r>
    </w:p>
    <w:p>
      <w:pPr>
        <w:spacing w:after="0" w:line="180" w:lineRule="exact"/>
        <w:rPr>
          <w:sz w:val="20"/>
          <w:szCs w:val="20"/>
          <w:color w:val="auto"/>
        </w:rPr>
      </w:pPr>
    </w:p>
    <w:tbl>
      <w:tblPr>
        <w:tblLayout w:type="fixed"/>
        <w:tblInd w:w="180" w:type="dxa"/>
        <w:tblCellMar>
          <w:top w:w="0" w:type="dxa"/>
          <w:left w:w="0" w:type="dxa"/>
          <w:bottom w:w="0" w:type="dxa"/>
          <w:right w:w="0" w:type="dxa"/>
        </w:tblCellMar>
      </w:tblPr>
      <w:tr>
        <w:trPr>
          <w:trHeight w:val="172"/>
        </w:trPr>
        <w:tc>
          <w:tcPr>
            <w:tcW w:w="2620" w:type="dxa"/>
            <w:vAlign w:val="bottom"/>
            <w:shd w:val="clear" w:color="auto" w:fill="333333"/>
          </w:tcPr>
          <w:p>
            <w:pPr>
              <w:ind w:left="60"/>
              <w:spacing w:after="0"/>
              <w:rPr>
                <w:sz w:val="20"/>
                <w:szCs w:val="20"/>
                <w:color w:val="auto"/>
              </w:rPr>
            </w:pPr>
            <w:r>
              <w:rPr>
                <w:rFonts w:ascii="Arial" w:cs="Arial" w:eastAsia="Arial" w:hAnsi="Arial"/>
                <w:sz w:val="15"/>
                <w:szCs w:val="15"/>
                <w:b w:val="1"/>
                <w:bCs w:val="1"/>
                <w:color w:val="FFFFFF"/>
              </w:rPr>
              <w:t>REFINERY PROCESSING</w:t>
            </w:r>
          </w:p>
        </w:tc>
        <w:tc>
          <w:tcPr>
            <w:tcW w:w="820" w:type="dxa"/>
            <w:vAlign w:val="bottom"/>
            <w:shd w:val="clear" w:color="auto" w:fill="333333"/>
          </w:tcPr>
          <w:p>
            <w:pPr>
              <w:spacing w:after="0"/>
              <w:rPr>
                <w:sz w:val="15"/>
                <w:szCs w:val="15"/>
                <w:color w:val="auto"/>
              </w:rPr>
            </w:pPr>
          </w:p>
        </w:tc>
        <w:tc>
          <w:tcPr>
            <w:tcW w:w="1080" w:type="dxa"/>
            <w:vAlign w:val="bottom"/>
            <w:shd w:val="clear" w:color="auto" w:fill="333333"/>
          </w:tcPr>
          <w:p>
            <w:pPr>
              <w:spacing w:after="0"/>
              <w:rPr>
                <w:sz w:val="15"/>
                <w:szCs w:val="15"/>
                <w:color w:val="auto"/>
              </w:rPr>
            </w:pPr>
          </w:p>
        </w:tc>
        <w:tc>
          <w:tcPr>
            <w:tcW w:w="960" w:type="dxa"/>
            <w:vAlign w:val="bottom"/>
            <w:shd w:val="clear" w:color="auto" w:fill="333333"/>
          </w:tcPr>
          <w:p>
            <w:pPr>
              <w:spacing w:after="0"/>
              <w:rPr>
                <w:sz w:val="15"/>
                <w:szCs w:val="15"/>
                <w:color w:val="auto"/>
              </w:rPr>
            </w:pPr>
          </w:p>
        </w:tc>
      </w:tr>
      <w:tr>
        <w:trPr>
          <w:trHeight w:val="197"/>
        </w:trPr>
        <w:tc>
          <w:tcPr>
            <w:tcW w:w="2620" w:type="dxa"/>
            <w:vAlign w:val="bottom"/>
            <w:shd w:val="clear" w:color="auto" w:fill="333333"/>
          </w:tcPr>
          <w:p>
            <w:pPr>
              <w:ind w:left="60"/>
              <w:spacing w:after="0"/>
              <w:rPr>
                <w:sz w:val="20"/>
                <w:szCs w:val="20"/>
                <w:color w:val="auto"/>
              </w:rPr>
            </w:pPr>
            <w:r>
              <w:rPr>
                <w:rFonts w:ascii="Arial" w:cs="Arial" w:eastAsia="Arial" w:hAnsi="Arial"/>
                <w:sz w:val="15"/>
                <w:szCs w:val="15"/>
                <w:b w:val="1"/>
                <w:bCs w:val="1"/>
                <w:color w:val="FFFFFF"/>
              </w:rPr>
              <w:t xml:space="preserve">OUTTURN </w:t>
            </w:r>
            <w:r>
              <w:rPr>
                <w:rFonts w:ascii="Arial" w:cs="Arial" w:eastAsia="Arial" w:hAnsi="Arial"/>
                <w:sz w:val="15"/>
                <w:szCs w:val="15"/>
                <w:color w:val="FFFFFF"/>
              </w:rPr>
              <w:t>[A]</w:t>
            </w:r>
          </w:p>
        </w:tc>
        <w:tc>
          <w:tcPr>
            <w:tcW w:w="820" w:type="dxa"/>
            <w:vAlign w:val="bottom"/>
            <w:shd w:val="clear" w:color="auto" w:fill="333333"/>
          </w:tcPr>
          <w:p>
            <w:pPr>
              <w:spacing w:after="0"/>
              <w:rPr>
                <w:sz w:val="17"/>
                <w:szCs w:val="17"/>
                <w:color w:val="auto"/>
              </w:rPr>
            </w:pPr>
          </w:p>
        </w:tc>
        <w:tc>
          <w:tcPr>
            <w:tcW w:w="2040" w:type="dxa"/>
            <w:vAlign w:val="bottom"/>
            <w:gridSpan w:val="2"/>
            <w:shd w:val="clear" w:color="auto" w:fill="333333"/>
          </w:tcPr>
          <w:p>
            <w:pPr>
              <w:jc w:val="right"/>
              <w:ind w:right="209"/>
              <w:spacing w:after="0"/>
              <w:rPr>
                <w:sz w:val="20"/>
                <w:szCs w:val="20"/>
                <w:color w:val="auto"/>
              </w:rPr>
            </w:pPr>
            <w:r>
              <w:rPr>
                <w:rFonts w:ascii="Arial" w:cs="Arial" w:eastAsia="Arial" w:hAnsi="Arial"/>
                <w:sz w:val="15"/>
                <w:szCs w:val="15"/>
                <w:color w:val="FFFFFF"/>
              </w:rPr>
              <w:t>THOUSAND B/D</w:t>
            </w:r>
          </w:p>
        </w:tc>
      </w:tr>
      <w:tr>
        <w:trPr>
          <w:trHeight w:val="149"/>
        </w:trPr>
        <w:tc>
          <w:tcPr>
            <w:tcW w:w="262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shd w:val="clear" w:color="auto" w:fill="D8D8D8"/>
          </w:tcPr>
          <w:p>
            <w:pPr>
              <w:jc w:val="right"/>
              <w:ind w:right="149"/>
              <w:spacing w:after="0"/>
              <w:rPr>
                <w:sz w:val="20"/>
                <w:szCs w:val="20"/>
                <w:color w:val="auto"/>
              </w:rPr>
            </w:pPr>
            <w:r>
              <w:rPr>
                <w:rFonts w:ascii="Arial" w:cs="Arial" w:eastAsia="Arial" w:hAnsi="Arial"/>
                <w:sz w:val="13"/>
                <w:szCs w:val="13"/>
                <w:color w:val="auto"/>
              </w:rPr>
              <w:t>2014</w:t>
            </w:r>
          </w:p>
        </w:tc>
        <w:tc>
          <w:tcPr>
            <w:tcW w:w="1080" w:type="dxa"/>
            <w:vAlign w:val="bottom"/>
            <w:tcBorders>
              <w:bottom w:val="single" w:sz="8" w:color="auto"/>
            </w:tcBorders>
          </w:tcPr>
          <w:p>
            <w:pPr>
              <w:jc w:val="right"/>
              <w:ind w:right="269"/>
              <w:spacing w:after="0"/>
              <w:rPr>
                <w:sz w:val="20"/>
                <w:szCs w:val="20"/>
                <w:color w:val="auto"/>
              </w:rPr>
            </w:pPr>
            <w:r>
              <w:rPr>
                <w:rFonts w:ascii="Arial" w:cs="Arial" w:eastAsia="Arial" w:hAnsi="Arial"/>
                <w:sz w:val="13"/>
                <w:szCs w:val="13"/>
                <w:color w:val="auto"/>
              </w:rPr>
              <w:t>2013</w:t>
            </w:r>
          </w:p>
        </w:tc>
        <w:tc>
          <w:tcPr>
            <w:tcW w:w="960" w:type="dxa"/>
            <w:vAlign w:val="bottom"/>
            <w:tcBorders>
              <w:bottom w:val="single" w:sz="8" w:color="auto"/>
            </w:tcBorders>
          </w:tcPr>
          <w:p>
            <w:pPr>
              <w:jc w:val="right"/>
              <w:ind w:right="209"/>
              <w:spacing w:after="0"/>
              <w:rPr>
                <w:sz w:val="20"/>
                <w:szCs w:val="20"/>
                <w:color w:val="auto"/>
              </w:rPr>
            </w:pPr>
            <w:r>
              <w:rPr>
                <w:rFonts w:ascii="Arial" w:cs="Arial" w:eastAsia="Arial" w:hAnsi="Arial"/>
                <w:sz w:val="13"/>
                <w:szCs w:val="13"/>
                <w:color w:val="auto"/>
              </w:rPr>
              <w:t>2012</w:t>
            </w:r>
          </w:p>
        </w:tc>
      </w:tr>
      <w:tr>
        <w:trPr>
          <w:trHeight w:val="156"/>
        </w:trPr>
        <w:tc>
          <w:tcPr>
            <w:tcW w:w="2620" w:type="dxa"/>
            <w:vAlign w:val="bottom"/>
          </w:tcPr>
          <w:p>
            <w:pPr>
              <w:spacing w:after="0" w:line="155" w:lineRule="exact"/>
              <w:rPr>
                <w:sz w:val="20"/>
                <w:szCs w:val="20"/>
                <w:color w:val="auto"/>
              </w:rPr>
            </w:pPr>
            <w:r>
              <w:rPr>
                <w:rFonts w:ascii="Arial" w:cs="Arial" w:eastAsia="Arial" w:hAnsi="Arial"/>
                <w:sz w:val="14"/>
                <w:szCs w:val="14"/>
                <w:color w:val="auto"/>
              </w:rPr>
              <w:t>Gasolines</w:t>
            </w:r>
          </w:p>
        </w:tc>
        <w:tc>
          <w:tcPr>
            <w:tcW w:w="820" w:type="dxa"/>
            <w:vAlign w:val="bottom"/>
            <w:shd w:val="clear" w:color="auto" w:fill="D8D8D8"/>
          </w:tcPr>
          <w:p>
            <w:pPr>
              <w:jc w:val="right"/>
              <w:ind w:right="149"/>
              <w:spacing w:after="0" w:line="155" w:lineRule="exact"/>
              <w:rPr>
                <w:sz w:val="20"/>
                <w:szCs w:val="20"/>
                <w:color w:val="auto"/>
              </w:rPr>
            </w:pPr>
            <w:r>
              <w:rPr>
                <w:rFonts w:ascii="Arial" w:cs="Arial" w:eastAsia="Arial" w:hAnsi="Arial"/>
                <w:sz w:val="14"/>
                <w:szCs w:val="14"/>
                <w:color w:val="auto"/>
              </w:rPr>
              <w:t>1,049</w:t>
            </w:r>
          </w:p>
        </w:tc>
        <w:tc>
          <w:tcPr>
            <w:tcW w:w="1080" w:type="dxa"/>
            <w:vAlign w:val="bottom"/>
          </w:tcPr>
          <w:p>
            <w:pPr>
              <w:jc w:val="right"/>
              <w:ind w:right="269"/>
              <w:spacing w:after="0" w:line="155" w:lineRule="exact"/>
              <w:rPr>
                <w:sz w:val="20"/>
                <w:szCs w:val="20"/>
                <w:color w:val="auto"/>
              </w:rPr>
            </w:pPr>
            <w:r>
              <w:rPr>
                <w:rFonts w:ascii="Arial" w:cs="Arial" w:eastAsia="Arial" w:hAnsi="Arial"/>
                <w:sz w:val="14"/>
                <w:szCs w:val="14"/>
                <w:color w:val="auto"/>
              </w:rPr>
              <w:t>1,049</w:t>
            </w:r>
          </w:p>
        </w:tc>
        <w:tc>
          <w:tcPr>
            <w:tcW w:w="960" w:type="dxa"/>
            <w:vAlign w:val="bottom"/>
          </w:tcPr>
          <w:p>
            <w:pPr>
              <w:jc w:val="right"/>
              <w:ind w:right="209"/>
              <w:spacing w:after="0" w:line="155" w:lineRule="exact"/>
              <w:rPr>
                <w:sz w:val="20"/>
                <w:szCs w:val="20"/>
                <w:color w:val="auto"/>
              </w:rPr>
            </w:pPr>
            <w:r>
              <w:rPr>
                <w:rFonts w:ascii="Arial" w:cs="Arial" w:eastAsia="Arial" w:hAnsi="Arial"/>
                <w:sz w:val="14"/>
                <w:szCs w:val="14"/>
                <w:color w:val="auto"/>
              </w:rPr>
              <w:t>995</w:t>
            </w:r>
          </w:p>
        </w:tc>
      </w:tr>
      <w:tr>
        <w:trPr>
          <w:trHeight w:val="162"/>
        </w:trPr>
        <w:tc>
          <w:tcPr>
            <w:tcW w:w="2620" w:type="dxa"/>
            <w:vAlign w:val="bottom"/>
          </w:tcPr>
          <w:p>
            <w:pPr>
              <w:spacing w:after="0"/>
              <w:rPr>
                <w:sz w:val="20"/>
                <w:szCs w:val="20"/>
                <w:color w:val="auto"/>
              </w:rPr>
            </w:pPr>
            <w:r>
              <w:rPr>
                <w:rFonts w:ascii="Arial" w:cs="Arial" w:eastAsia="Arial" w:hAnsi="Arial"/>
                <w:sz w:val="14"/>
                <w:szCs w:val="14"/>
                <w:color w:val="auto"/>
              </w:rPr>
              <w:t>Kerosines</w:t>
            </w:r>
          </w:p>
        </w:tc>
        <w:tc>
          <w:tcPr>
            <w:tcW w:w="820" w:type="dxa"/>
            <w:vAlign w:val="bottom"/>
            <w:shd w:val="clear" w:color="auto" w:fill="D8D8D8"/>
          </w:tcPr>
          <w:p>
            <w:pPr>
              <w:jc w:val="right"/>
              <w:ind w:right="149"/>
              <w:spacing w:after="0"/>
              <w:rPr>
                <w:sz w:val="20"/>
                <w:szCs w:val="20"/>
                <w:color w:val="auto"/>
              </w:rPr>
            </w:pPr>
            <w:r>
              <w:rPr>
                <w:rFonts w:ascii="Arial" w:cs="Arial" w:eastAsia="Arial" w:hAnsi="Arial"/>
                <w:sz w:val="14"/>
                <w:szCs w:val="14"/>
                <w:color w:val="auto"/>
              </w:rPr>
              <w:t>331</w:t>
            </w:r>
          </w:p>
        </w:tc>
        <w:tc>
          <w:tcPr>
            <w:tcW w:w="1080" w:type="dxa"/>
            <w:vAlign w:val="bottom"/>
          </w:tcPr>
          <w:p>
            <w:pPr>
              <w:jc w:val="right"/>
              <w:ind w:right="269"/>
              <w:spacing w:after="0"/>
              <w:rPr>
                <w:sz w:val="20"/>
                <w:szCs w:val="20"/>
                <w:color w:val="auto"/>
              </w:rPr>
            </w:pPr>
            <w:r>
              <w:rPr>
                <w:rFonts w:ascii="Arial" w:cs="Arial" w:eastAsia="Arial" w:hAnsi="Arial"/>
                <w:sz w:val="14"/>
                <w:szCs w:val="14"/>
                <w:color w:val="auto"/>
              </w:rPr>
              <w:t>368</w:t>
            </w:r>
          </w:p>
        </w:tc>
        <w:tc>
          <w:tcPr>
            <w:tcW w:w="960" w:type="dxa"/>
            <w:vAlign w:val="bottom"/>
          </w:tcPr>
          <w:p>
            <w:pPr>
              <w:jc w:val="right"/>
              <w:ind w:right="209"/>
              <w:spacing w:after="0"/>
              <w:rPr>
                <w:sz w:val="20"/>
                <w:szCs w:val="20"/>
                <w:color w:val="auto"/>
              </w:rPr>
            </w:pPr>
            <w:r>
              <w:rPr>
                <w:rFonts w:ascii="Arial" w:cs="Arial" w:eastAsia="Arial" w:hAnsi="Arial"/>
                <w:sz w:val="14"/>
                <w:szCs w:val="14"/>
                <w:color w:val="auto"/>
              </w:rPr>
              <w:t>321</w:t>
            </w:r>
          </w:p>
        </w:tc>
      </w:tr>
      <w:tr>
        <w:trPr>
          <w:trHeight w:val="167"/>
        </w:trPr>
        <w:tc>
          <w:tcPr>
            <w:tcW w:w="2620" w:type="dxa"/>
            <w:vAlign w:val="bottom"/>
          </w:tcPr>
          <w:p>
            <w:pPr>
              <w:spacing w:after="0"/>
              <w:rPr>
                <w:sz w:val="20"/>
                <w:szCs w:val="20"/>
                <w:color w:val="auto"/>
              </w:rPr>
            </w:pPr>
            <w:r>
              <w:rPr>
                <w:rFonts w:ascii="Arial" w:cs="Arial" w:eastAsia="Arial" w:hAnsi="Arial"/>
                <w:sz w:val="14"/>
                <w:szCs w:val="14"/>
                <w:color w:val="auto"/>
              </w:rPr>
              <w:t>Gas/Diesel oils</w:t>
            </w:r>
          </w:p>
        </w:tc>
        <w:tc>
          <w:tcPr>
            <w:tcW w:w="820" w:type="dxa"/>
            <w:vAlign w:val="bottom"/>
            <w:shd w:val="clear" w:color="auto" w:fill="D8D8D8"/>
          </w:tcPr>
          <w:p>
            <w:pPr>
              <w:jc w:val="right"/>
              <w:ind w:right="149"/>
              <w:spacing w:after="0"/>
              <w:rPr>
                <w:sz w:val="20"/>
                <w:szCs w:val="20"/>
                <w:color w:val="auto"/>
              </w:rPr>
            </w:pPr>
            <w:r>
              <w:rPr>
                <w:rFonts w:ascii="Arial" w:cs="Arial" w:eastAsia="Arial" w:hAnsi="Arial"/>
                <w:sz w:val="14"/>
                <w:szCs w:val="14"/>
                <w:color w:val="auto"/>
              </w:rPr>
              <w:t>1,047</w:t>
            </w:r>
          </w:p>
        </w:tc>
        <w:tc>
          <w:tcPr>
            <w:tcW w:w="1080" w:type="dxa"/>
            <w:vAlign w:val="bottom"/>
          </w:tcPr>
          <w:p>
            <w:pPr>
              <w:jc w:val="right"/>
              <w:ind w:right="269"/>
              <w:spacing w:after="0"/>
              <w:rPr>
                <w:sz w:val="20"/>
                <w:szCs w:val="20"/>
                <w:color w:val="auto"/>
              </w:rPr>
            </w:pPr>
            <w:r>
              <w:rPr>
                <w:rFonts w:ascii="Arial" w:cs="Arial" w:eastAsia="Arial" w:hAnsi="Arial"/>
                <w:sz w:val="14"/>
                <w:szCs w:val="14"/>
                <w:color w:val="auto"/>
              </w:rPr>
              <w:t>1,014</w:t>
            </w:r>
          </w:p>
        </w:tc>
        <w:tc>
          <w:tcPr>
            <w:tcW w:w="960" w:type="dxa"/>
            <w:vAlign w:val="bottom"/>
          </w:tcPr>
          <w:p>
            <w:pPr>
              <w:jc w:val="right"/>
              <w:ind w:right="209"/>
              <w:spacing w:after="0"/>
              <w:rPr>
                <w:sz w:val="20"/>
                <w:szCs w:val="20"/>
                <w:color w:val="auto"/>
              </w:rPr>
            </w:pPr>
            <w:r>
              <w:rPr>
                <w:rFonts w:ascii="Arial" w:cs="Arial" w:eastAsia="Arial" w:hAnsi="Arial"/>
                <w:sz w:val="14"/>
                <w:szCs w:val="14"/>
                <w:color w:val="auto"/>
              </w:rPr>
              <w:t>996</w:t>
            </w:r>
          </w:p>
        </w:tc>
      </w:tr>
      <w:tr>
        <w:trPr>
          <w:trHeight w:val="162"/>
        </w:trPr>
        <w:tc>
          <w:tcPr>
            <w:tcW w:w="2620" w:type="dxa"/>
            <w:vAlign w:val="bottom"/>
          </w:tcPr>
          <w:p>
            <w:pPr>
              <w:spacing w:after="0"/>
              <w:rPr>
                <w:sz w:val="20"/>
                <w:szCs w:val="20"/>
                <w:color w:val="auto"/>
              </w:rPr>
            </w:pPr>
            <w:r>
              <w:rPr>
                <w:rFonts w:ascii="Arial" w:cs="Arial" w:eastAsia="Arial" w:hAnsi="Arial"/>
                <w:sz w:val="14"/>
                <w:szCs w:val="14"/>
                <w:color w:val="auto"/>
              </w:rPr>
              <w:t>Fuel oil</w:t>
            </w:r>
          </w:p>
        </w:tc>
        <w:tc>
          <w:tcPr>
            <w:tcW w:w="820" w:type="dxa"/>
            <w:vAlign w:val="bottom"/>
            <w:shd w:val="clear" w:color="auto" w:fill="D8D8D8"/>
          </w:tcPr>
          <w:p>
            <w:pPr>
              <w:jc w:val="right"/>
              <w:ind w:right="149"/>
              <w:spacing w:after="0"/>
              <w:rPr>
                <w:sz w:val="20"/>
                <w:szCs w:val="20"/>
                <w:color w:val="auto"/>
              </w:rPr>
            </w:pPr>
            <w:r>
              <w:rPr>
                <w:rFonts w:ascii="Arial" w:cs="Arial" w:eastAsia="Arial" w:hAnsi="Arial"/>
                <w:sz w:val="14"/>
                <w:szCs w:val="14"/>
                <w:color w:val="auto"/>
              </w:rPr>
              <w:t>316</w:t>
            </w:r>
          </w:p>
        </w:tc>
        <w:tc>
          <w:tcPr>
            <w:tcW w:w="1080" w:type="dxa"/>
            <w:vAlign w:val="bottom"/>
          </w:tcPr>
          <w:p>
            <w:pPr>
              <w:jc w:val="right"/>
              <w:ind w:right="269"/>
              <w:spacing w:after="0"/>
              <w:rPr>
                <w:sz w:val="20"/>
                <w:szCs w:val="20"/>
                <w:color w:val="auto"/>
              </w:rPr>
            </w:pPr>
            <w:r>
              <w:rPr>
                <w:rFonts w:ascii="Arial" w:cs="Arial" w:eastAsia="Arial" w:hAnsi="Arial"/>
                <w:sz w:val="14"/>
                <w:szCs w:val="14"/>
                <w:color w:val="auto"/>
              </w:rPr>
              <w:t>274</w:t>
            </w:r>
          </w:p>
        </w:tc>
        <w:tc>
          <w:tcPr>
            <w:tcW w:w="960" w:type="dxa"/>
            <w:vAlign w:val="bottom"/>
          </w:tcPr>
          <w:p>
            <w:pPr>
              <w:jc w:val="right"/>
              <w:ind w:right="209"/>
              <w:spacing w:after="0"/>
              <w:rPr>
                <w:sz w:val="20"/>
                <w:szCs w:val="20"/>
                <w:color w:val="auto"/>
              </w:rPr>
            </w:pPr>
            <w:r>
              <w:rPr>
                <w:rFonts w:ascii="Arial" w:cs="Arial" w:eastAsia="Arial" w:hAnsi="Arial"/>
                <w:sz w:val="14"/>
                <w:szCs w:val="14"/>
                <w:color w:val="auto"/>
              </w:rPr>
              <w:t>256</w:t>
            </w:r>
          </w:p>
        </w:tc>
      </w:tr>
      <w:tr>
        <w:trPr>
          <w:trHeight w:val="157"/>
        </w:trPr>
        <w:tc>
          <w:tcPr>
            <w:tcW w:w="2620" w:type="dxa"/>
            <w:vAlign w:val="bottom"/>
            <w:tcBorders>
              <w:bottom w:val="single" w:sz="8" w:color="auto"/>
            </w:tcBorders>
          </w:tcPr>
          <w:p>
            <w:pPr>
              <w:spacing w:after="0" w:line="157" w:lineRule="exact"/>
              <w:rPr>
                <w:sz w:val="20"/>
                <w:szCs w:val="20"/>
                <w:color w:val="auto"/>
              </w:rPr>
            </w:pPr>
            <w:r>
              <w:rPr>
                <w:rFonts w:ascii="Arial" w:cs="Arial" w:eastAsia="Arial" w:hAnsi="Arial"/>
                <w:sz w:val="14"/>
                <w:szCs w:val="14"/>
                <w:color w:val="auto"/>
              </w:rPr>
              <w:t>Other</w:t>
            </w:r>
          </w:p>
        </w:tc>
        <w:tc>
          <w:tcPr>
            <w:tcW w:w="820" w:type="dxa"/>
            <w:vAlign w:val="bottom"/>
            <w:tcBorders>
              <w:bottom w:val="single" w:sz="8" w:color="auto"/>
            </w:tcBorders>
            <w:shd w:val="clear" w:color="auto" w:fill="D8D8D8"/>
          </w:tcPr>
          <w:p>
            <w:pPr>
              <w:jc w:val="right"/>
              <w:ind w:right="149"/>
              <w:spacing w:after="0" w:line="157" w:lineRule="exact"/>
              <w:rPr>
                <w:sz w:val="20"/>
                <w:szCs w:val="20"/>
                <w:color w:val="auto"/>
              </w:rPr>
            </w:pPr>
            <w:r>
              <w:rPr>
                <w:rFonts w:ascii="Arial" w:cs="Arial" w:eastAsia="Arial" w:hAnsi="Arial"/>
                <w:sz w:val="14"/>
                <w:szCs w:val="14"/>
                <w:color w:val="auto"/>
              </w:rPr>
              <w:t>395</w:t>
            </w:r>
          </w:p>
        </w:tc>
        <w:tc>
          <w:tcPr>
            <w:tcW w:w="1080" w:type="dxa"/>
            <w:vAlign w:val="bottom"/>
            <w:tcBorders>
              <w:bottom w:val="single" w:sz="8" w:color="auto"/>
            </w:tcBorders>
          </w:tcPr>
          <w:p>
            <w:pPr>
              <w:jc w:val="right"/>
              <w:ind w:right="269"/>
              <w:spacing w:after="0" w:line="157" w:lineRule="exact"/>
              <w:rPr>
                <w:sz w:val="20"/>
                <w:szCs w:val="20"/>
                <w:color w:val="auto"/>
              </w:rPr>
            </w:pPr>
            <w:r>
              <w:rPr>
                <w:rFonts w:ascii="Arial" w:cs="Arial" w:eastAsia="Arial" w:hAnsi="Arial"/>
                <w:sz w:val="14"/>
                <w:szCs w:val="14"/>
                <w:color w:val="auto"/>
              </w:rPr>
              <w:t>389</w:t>
            </w:r>
          </w:p>
        </w:tc>
        <w:tc>
          <w:tcPr>
            <w:tcW w:w="960" w:type="dxa"/>
            <w:vAlign w:val="bottom"/>
            <w:tcBorders>
              <w:bottom w:val="single" w:sz="8" w:color="auto"/>
            </w:tcBorders>
          </w:tcPr>
          <w:p>
            <w:pPr>
              <w:jc w:val="right"/>
              <w:ind w:right="209"/>
              <w:spacing w:after="0" w:line="157" w:lineRule="exact"/>
              <w:rPr>
                <w:sz w:val="20"/>
                <w:szCs w:val="20"/>
                <w:color w:val="auto"/>
              </w:rPr>
            </w:pPr>
            <w:r>
              <w:rPr>
                <w:rFonts w:ascii="Arial" w:cs="Arial" w:eastAsia="Arial" w:hAnsi="Arial"/>
                <w:sz w:val="14"/>
                <w:szCs w:val="14"/>
                <w:color w:val="auto"/>
              </w:rPr>
              <w:t>452</w:t>
            </w:r>
          </w:p>
        </w:tc>
      </w:tr>
      <w:tr>
        <w:trPr>
          <w:trHeight w:val="156"/>
        </w:trPr>
        <w:tc>
          <w:tcPr>
            <w:tcW w:w="2620" w:type="dxa"/>
            <w:vAlign w:val="bottom"/>
            <w:tcBorders>
              <w:bottom w:val="single" w:sz="8" w:color="auto"/>
            </w:tcBorders>
          </w:tcPr>
          <w:p>
            <w:pPr>
              <w:spacing w:after="0" w:line="155" w:lineRule="exact"/>
              <w:rPr>
                <w:sz w:val="20"/>
                <w:szCs w:val="20"/>
                <w:color w:val="auto"/>
              </w:rPr>
            </w:pPr>
            <w:r>
              <w:rPr>
                <w:rFonts w:ascii="Arial" w:cs="Arial" w:eastAsia="Arial" w:hAnsi="Arial"/>
                <w:sz w:val="14"/>
                <w:szCs w:val="14"/>
                <w:color w:val="auto"/>
              </w:rPr>
              <w:t>Total</w:t>
            </w:r>
          </w:p>
        </w:tc>
        <w:tc>
          <w:tcPr>
            <w:tcW w:w="820" w:type="dxa"/>
            <w:vAlign w:val="bottom"/>
            <w:tcBorders>
              <w:bottom w:val="single" w:sz="8" w:color="auto"/>
            </w:tcBorders>
            <w:shd w:val="clear" w:color="auto" w:fill="D8D8D8"/>
          </w:tcPr>
          <w:p>
            <w:pPr>
              <w:jc w:val="right"/>
              <w:ind w:right="149"/>
              <w:spacing w:after="0" w:line="155" w:lineRule="exact"/>
              <w:rPr>
                <w:sz w:val="20"/>
                <w:szCs w:val="20"/>
                <w:color w:val="auto"/>
              </w:rPr>
            </w:pPr>
            <w:r>
              <w:rPr>
                <w:rFonts w:ascii="Arial" w:cs="Arial" w:eastAsia="Arial" w:hAnsi="Arial"/>
                <w:sz w:val="14"/>
                <w:szCs w:val="14"/>
                <w:color w:val="auto"/>
              </w:rPr>
              <w:t>3,138</w:t>
            </w:r>
          </w:p>
        </w:tc>
        <w:tc>
          <w:tcPr>
            <w:tcW w:w="1080" w:type="dxa"/>
            <w:vAlign w:val="bottom"/>
            <w:tcBorders>
              <w:bottom w:val="single" w:sz="8" w:color="auto"/>
            </w:tcBorders>
          </w:tcPr>
          <w:p>
            <w:pPr>
              <w:jc w:val="right"/>
              <w:ind w:right="269"/>
              <w:spacing w:after="0" w:line="155" w:lineRule="exact"/>
              <w:rPr>
                <w:sz w:val="20"/>
                <w:szCs w:val="20"/>
                <w:color w:val="auto"/>
              </w:rPr>
            </w:pPr>
            <w:r>
              <w:rPr>
                <w:rFonts w:ascii="Arial" w:cs="Arial" w:eastAsia="Arial" w:hAnsi="Arial"/>
                <w:sz w:val="14"/>
                <w:szCs w:val="14"/>
                <w:color w:val="auto"/>
              </w:rPr>
              <w:t>3,094</w:t>
            </w:r>
          </w:p>
        </w:tc>
        <w:tc>
          <w:tcPr>
            <w:tcW w:w="960" w:type="dxa"/>
            <w:vAlign w:val="bottom"/>
            <w:tcBorders>
              <w:bottom w:val="single" w:sz="8" w:color="auto"/>
            </w:tcBorders>
          </w:tcPr>
          <w:p>
            <w:pPr>
              <w:jc w:val="right"/>
              <w:ind w:right="209"/>
              <w:spacing w:after="0" w:line="155" w:lineRule="exact"/>
              <w:rPr>
                <w:sz w:val="20"/>
                <w:szCs w:val="20"/>
                <w:color w:val="auto"/>
              </w:rPr>
            </w:pPr>
            <w:r>
              <w:rPr>
                <w:rFonts w:ascii="Arial" w:cs="Arial" w:eastAsia="Arial" w:hAnsi="Arial"/>
                <w:sz w:val="14"/>
                <w:szCs w:val="14"/>
                <w:color w:val="auto"/>
              </w:rPr>
              <w:t>3,020</w:t>
            </w:r>
          </w:p>
        </w:tc>
      </w:tr>
    </w:tbl>
    <w:p>
      <w:pPr>
        <w:spacing w:after="0" w:line="37" w:lineRule="exact"/>
        <w:rPr>
          <w:sz w:val="20"/>
          <w:szCs w:val="20"/>
          <w:color w:val="auto"/>
        </w:rPr>
      </w:pPr>
    </w:p>
    <w:p>
      <w:pPr>
        <w:ind w:left="180"/>
        <w:spacing w:after="0"/>
        <w:rPr>
          <w:sz w:val="20"/>
          <w:szCs w:val="20"/>
          <w:color w:val="auto"/>
        </w:rPr>
      </w:pPr>
      <w:r>
        <w:rPr>
          <w:rFonts w:ascii="Arial" w:cs="Arial" w:eastAsia="Arial" w:hAnsi="Arial"/>
          <w:sz w:val="11"/>
          <w:szCs w:val="11"/>
          <w:color w:val="auto"/>
        </w:rPr>
        <w:t>[A] Excludes “own use” and products acquired for blending purposes.</w:t>
      </w:r>
    </w:p>
    <w:p>
      <w:pPr>
        <w:sectPr>
          <w:pgSz w:w="11900" w:h="16838" w:orient="portrait"/>
          <w:cols w:equalWidth="0" w:num="2">
            <w:col w:w="5480" w:space="120"/>
            <w:col w:w="5820"/>
          </w:cols>
          <w:pgMar w:left="240" w:top="459" w:right="239" w:bottom="1440" w:gutter="0" w:footer="0" w:header="0"/>
        </w:sectPr>
      </w:pPr>
    </w:p>
    <w:bookmarkStart w:id="45" w:name="page46"/>
    <w:bookmarkEnd w:id="45"/>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399415</wp:posOffset>
            </wp:positionH>
            <wp:positionV relativeFrom="paragraph">
              <wp:posOffset>314960</wp:posOffset>
            </wp:positionV>
            <wp:extent cx="8890" cy="46291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8890" cy="462915"/>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p>
      <w:pPr>
        <w:spacing w:after="0" w:line="200" w:lineRule="exact"/>
        <w:rPr>
          <w:sz w:val="20"/>
          <w:szCs w:val="20"/>
          <w:color w:val="auto"/>
        </w:rPr>
      </w:pP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565"/>
        </w:trPr>
        <w:tc>
          <w:tcPr>
            <w:tcW w:w="2800" w:type="dxa"/>
            <w:vAlign w:val="bottom"/>
            <w:shd w:val="clear" w:color="auto" w:fill="FF8B00"/>
          </w:tcPr>
          <w:p>
            <w:pPr>
              <w:ind w:left="260"/>
              <w:spacing w:after="0"/>
              <w:rPr>
                <w:sz w:val="20"/>
                <w:szCs w:val="20"/>
                <w:color w:val="auto"/>
              </w:rPr>
            </w:pPr>
            <w:r>
              <w:rPr>
                <w:rFonts w:ascii="Arial" w:cs="Arial" w:eastAsia="Arial" w:hAnsi="Arial"/>
                <w:sz w:val="11"/>
                <w:szCs w:val="11"/>
                <w:b w:val="1"/>
                <w:bCs w:val="1"/>
                <w:color w:val="333333"/>
              </w:rPr>
              <w:t>44</w:t>
            </w:r>
          </w:p>
        </w:tc>
        <w:tc>
          <w:tcPr>
            <w:tcW w:w="620" w:type="dxa"/>
            <w:vAlign w:val="bottom"/>
            <w:shd w:val="clear" w:color="auto" w:fill="FF8B00"/>
          </w:tcPr>
          <w:p>
            <w:pPr>
              <w:spacing w:after="0"/>
              <w:rPr>
                <w:sz w:val="24"/>
                <w:szCs w:val="24"/>
                <w:color w:val="auto"/>
              </w:rPr>
            </w:pPr>
          </w:p>
        </w:tc>
        <w:tc>
          <w:tcPr>
            <w:tcW w:w="1440" w:type="dxa"/>
            <w:vAlign w:val="bottom"/>
            <w:shd w:val="clear" w:color="auto" w:fill="FF8B00"/>
          </w:tcPr>
          <w:p>
            <w:pPr>
              <w:jc w:val="right"/>
              <w:ind w:right="69"/>
              <w:spacing w:after="0"/>
              <w:rPr>
                <w:sz w:val="20"/>
                <w:szCs w:val="20"/>
                <w:color w:val="auto"/>
              </w:rPr>
            </w:pPr>
            <w:r>
              <w:rPr>
                <w:rFonts w:ascii="Arial" w:cs="Arial" w:eastAsia="Arial" w:hAnsi="Arial"/>
                <w:sz w:val="13"/>
                <w:szCs w:val="13"/>
                <w:color w:val="333333"/>
                <w:w w:val="96"/>
              </w:rPr>
              <w:t>STRATEGIC REPORT</w:t>
            </w:r>
          </w:p>
        </w:tc>
        <w:tc>
          <w:tcPr>
            <w:tcW w:w="440" w:type="dxa"/>
            <w:vAlign w:val="bottom"/>
            <w:shd w:val="clear" w:color="auto" w:fill="FF8B00"/>
          </w:tcPr>
          <w:p>
            <w:pPr>
              <w:spacing w:after="0"/>
              <w:rPr>
                <w:sz w:val="24"/>
                <w:szCs w:val="24"/>
                <w:color w:val="auto"/>
              </w:rPr>
            </w:pPr>
          </w:p>
        </w:tc>
        <w:tc>
          <w:tcPr>
            <w:tcW w:w="180" w:type="dxa"/>
            <w:vAlign w:val="bottom"/>
            <w:shd w:val="clear" w:color="auto" w:fill="FF8B00"/>
          </w:tcPr>
          <w:p>
            <w:pPr>
              <w:spacing w:after="0"/>
              <w:rPr>
                <w:sz w:val="24"/>
                <w:szCs w:val="24"/>
                <w:color w:val="auto"/>
              </w:rPr>
            </w:pPr>
          </w:p>
        </w:tc>
        <w:tc>
          <w:tcPr>
            <w:tcW w:w="20" w:type="dxa"/>
            <w:vAlign w:val="bottom"/>
            <w:shd w:val="clear" w:color="auto" w:fill="FF8B00"/>
          </w:tcPr>
          <w:p>
            <w:pPr>
              <w:spacing w:after="0"/>
              <w:rPr>
                <w:sz w:val="24"/>
                <w:szCs w:val="24"/>
                <w:color w:val="auto"/>
              </w:rPr>
            </w:pPr>
          </w:p>
        </w:tc>
        <w:tc>
          <w:tcPr>
            <w:tcW w:w="0" w:type="dxa"/>
            <w:vAlign w:val="bottom"/>
          </w:tcPr>
          <w:p>
            <w:pPr>
              <w:spacing w:after="0"/>
              <w:rPr>
                <w:sz w:val="1"/>
                <w:szCs w:val="1"/>
                <w:color w:val="auto"/>
              </w:rPr>
            </w:pPr>
          </w:p>
        </w:tc>
      </w:tr>
      <w:tr>
        <w:trPr>
          <w:trHeight w:val="165"/>
        </w:trPr>
        <w:tc>
          <w:tcPr>
            <w:tcW w:w="2800" w:type="dxa"/>
            <w:vAlign w:val="bottom"/>
            <w:shd w:val="clear" w:color="auto" w:fill="FF8B00"/>
          </w:tcPr>
          <w:p>
            <w:pPr>
              <w:spacing w:after="0"/>
              <w:rPr>
                <w:sz w:val="14"/>
                <w:szCs w:val="14"/>
                <w:color w:val="auto"/>
              </w:rPr>
            </w:pPr>
          </w:p>
        </w:tc>
        <w:tc>
          <w:tcPr>
            <w:tcW w:w="620" w:type="dxa"/>
            <w:vAlign w:val="bottom"/>
            <w:shd w:val="clear" w:color="auto" w:fill="FF8B00"/>
          </w:tcPr>
          <w:p>
            <w:pPr>
              <w:spacing w:after="0"/>
              <w:rPr>
                <w:sz w:val="14"/>
                <w:szCs w:val="14"/>
                <w:color w:val="auto"/>
              </w:rPr>
            </w:pPr>
          </w:p>
        </w:tc>
        <w:tc>
          <w:tcPr>
            <w:tcW w:w="1440" w:type="dxa"/>
            <w:vAlign w:val="bottom"/>
            <w:shd w:val="clear" w:color="auto" w:fill="FF8B00"/>
          </w:tcPr>
          <w:p>
            <w:pPr>
              <w:spacing w:after="0"/>
              <w:rPr>
                <w:sz w:val="14"/>
                <w:szCs w:val="14"/>
                <w:color w:val="auto"/>
              </w:rPr>
            </w:pPr>
          </w:p>
        </w:tc>
        <w:tc>
          <w:tcPr>
            <w:tcW w:w="440" w:type="dxa"/>
            <w:vAlign w:val="bottom"/>
            <w:shd w:val="clear" w:color="auto" w:fill="FF8B00"/>
          </w:tcPr>
          <w:p>
            <w:pPr>
              <w:spacing w:after="0"/>
              <w:rPr>
                <w:sz w:val="14"/>
                <w:szCs w:val="14"/>
                <w:color w:val="auto"/>
              </w:rPr>
            </w:pPr>
          </w:p>
        </w:tc>
        <w:tc>
          <w:tcPr>
            <w:tcW w:w="180" w:type="dxa"/>
            <w:vAlign w:val="bottom"/>
            <w:shd w:val="clear" w:color="auto" w:fill="FF8B00"/>
          </w:tcPr>
          <w:p>
            <w:pPr>
              <w:spacing w:after="0"/>
              <w:rPr>
                <w:sz w:val="14"/>
                <w:szCs w:val="14"/>
                <w:color w:val="auto"/>
              </w:rPr>
            </w:pPr>
          </w:p>
        </w:tc>
        <w:tc>
          <w:tcPr>
            <w:tcW w:w="20" w:type="dxa"/>
            <w:vAlign w:val="bottom"/>
            <w:shd w:val="clear" w:color="auto" w:fill="FF8B00"/>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3420" w:type="dxa"/>
            <w:vAlign w:val="bottom"/>
            <w:gridSpan w:val="2"/>
            <w:vMerge w:val="restart"/>
          </w:tcPr>
          <w:p>
            <w:pPr>
              <w:spacing w:after="0"/>
              <w:rPr>
                <w:sz w:val="20"/>
                <w:szCs w:val="20"/>
                <w:color w:val="auto"/>
              </w:rPr>
            </w:pPr>
            <w:r>
              <w:rPr>
                <w:rFonts w:ascii="Arial" w:cs="Arial" w:eastAsia="Arial" w:hAnsi="Arial"/>
                <w:sz w:val="24"/>
                <w:szCs w:val="24"/>
                <w:color w:val="auto"/>
              </w:rPr>
              <w:t xml:space="preserve">DOWNSTREAM </w:t>
            </w:r>
            <w:r>
              <w:rPr>
                <w:rFonts w:ascii="Arial" w:cs="Arial" w:eastAsia="Arial" w:hAnsi="Arial"/>
                <w:sz w:val="24"/>
                <w:szCs w:val="24"/>
                <w:color w:val="666666"/>
              </w:rPr>
              <w:t>CONTINUED</w:t>
            </w:r>
          </w:p>
        </w:tc>
        <w:tc>
          <w:tcPr>
            <w:tcW w:w="1440" w:type="dxa"/>
            <w:vAlign w:val="bottom"/>
          </w:tcPr>
          <w:p>
            <w:pPr>
              <w:jc w:val="right"/>
              <w:ind w:right="69"/>
              <w:spacing w:after="0"/>
              <w:rPr>
                <w:sz w:val="20"/>
                <w:szCs w:val="20"/>
                <w:color w:val="auto"/>
              </w:rPr>
            </w:pPr>
            <w:r>
              <w:rPr>
                <w:rFonts w:ascii="Arial" w:cs="Arial" w:eastAsia="Arial" w:hAnsi="Arial"/>
                <w:sz w:val="11"/>
                <w:szCs w:val="11"/>
                <w:color w:val="auto"/>
              </w:rPr>
              <w:t>DOWNSTREAM</w:t>
            </w: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75"/>
        </w:trPr>
        <w:tc>
          <w:tcPr>
            <w:tcW w:w="3420" w:type="dxa"/>
            <w:vAlign w:val="bottom"/>
            <w:tcBorders>
              <w:bottom w:val="single" w:sz="8" w:color="auto"/>
            </w:tcBorders>
            <w:gridSpan w:val="2"/>
            <w:vMerge w:val="continue"/>
          </w:tcPr>
          <w:p>
            <w:pPr>
              <w:spacing w:after="0"/>
              <w:rPr>
                <w:sz w:val="23"/>
                <w:szCs w:val="23"/>
                <w:color w:val="auto"/>
              </w:rPr>
            </w:pPr>
          </w:p>
        </w:tc>
        <w:tc>
          <w:tcPr>
            <w:tcW w:w="1440" w:type="dxa"/>
            <w:vAlign w:val="bottom"/>
            <w:tcBorders>
              <w:bottom w:val="single" w:sz="8" w:color="auto"/>
            </w:tcBorders>
          </w:tcPr>
          <w:p>
            <w:pPr>
              <w:spacing w:after="0"/>
              <w:rPr>
                <w:sz w:val="23"/>
                <w:szCs w:val="23"/>
                <w:color w:val="auto"/>
              </w:rPr>
            </w:pPr>
          </w:p>
        </w:tc>
        <w:tc>
          <w:tcPr>
            <w:tcW w:w="440" w:type="dxa"/>
            <w:vAlign w:val="bottom"/>
            <w:tcBorders>
              <w:bottom w:val="single" w:sz="8" w:color="auto"/>
            </w:tcBorders>
          </w:tcPr>
          <w:p>
            <w:pPr>
              <w:spacing w:after="0"/>
              <w:rPr>
                <w:sz w:val="23"/>
                <w:szCs w:val="23"/>
                <w:color w:val="auto"/>
              </w:rPr>
            </w:pPr>
          </w:p>
        </w:tc>
        <w:tc>
          <w:tcPr>
            <w:tcW w:w="1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28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060" w:type="dxa"/>
            <w:vAlign w:val="bottom"/>
            <w:gridSpan w:val="3"/>
          </w:tcPr>
          <w:p>
            <w:pPr>
              <w:spacing w:after="0"/>
              <w:rPr>
                <w:sz w:val="22"/>
                <w:szCs w:val="22"/>
                <w:color w:val="auto"/>
              </w:rPr>
            </w:pPr>
          </w:p>
        </w:tc>
        <w:tc>
          <w:tcPr>
            <w:tcW w:w="20" w:type="dxa"/>
            <w:vAlign w:val="bottom"/>
            <w:vMerge w:val="restart"/>
          </w:tcPr>
          <w:p>
            <w:pPr>
              <w:spacing w:after="0"/>
              <w:rPr>
                <w:sz w:val="22"/>
                <w:szCs w:val="22"/>
                <w:color w:val="auto"/>
              </w:rPr>
            </w:pPr>
          </w:p>
        </w:tc>
        <w:tc>
          <w:tcPr>
            <w:tcW w:w="0" w:type="dxa"/>
            <w:vAlign w:val="bottom"/>
          </w:tcPr>
          <w:p>
            <w:pPr>
              <w:spacing w:after="0"/>
              <w:rPr>
                <w:sz w:val="1"/>
                <w:szCs w:val="1"/>
                <w:color w:val="auto"/>
              </w:rPr>
            </w:pPr>
          </w:p>
        </w:tc>
      </w:tr>
      <w:tr>
        <w:trPr>
          <w:trHeight w:val="162"/>
        </w:trPr>
        <w:tc>
          <w:tcPr>
            <w:tcW w:w="2800" w:type="dxa"/>
            <w:vAlign w:val="bottom"/>
            <w:shd w:val="clear" w:color="auto" w:fill="333333"/>
          </w:tcPr>
          <w:p>
            <w:pPr>
              <w:ind w:left="80"/>
              <w:spacing w:after="0" w:line="162" w:lineRule="exact"/>
              <w:rPr>
                <w:sz w:val="20"/>
                <w:szCs w:val="20"/>
                <w:color w:val="auto"/>
              </w:rPr>
            </w:pPr>
            <w:r>
              <w:rPr>
                <w:rFonts w:ascii="Arial" w:cs="Arial" w:eastAsia="Arial" w:hAnsi="Arial"/>
                <w:sz w:val="15"/>
                <w:szCs w:val="15"/>
                <w:b w:val="1"/>
                <w:bCs w:val="1"/>
                <w:color w:val="FFFFFF"/>
              </w:rPr>
              <w:t xml:space="preserve">OIL PRODUCT SALES VOLUMES </w:t>
            </w:r>
            <w:r>
              <w:rPr>
                <w:rFonts w:ascii="Arial" w:cs="Arial" w:eastAsia="Arial" w:hAnsi="Arial"/>
                <w:sz w:val="15"/>
                <w:szCs w:val="15"/>
                <w:color w:val="FFFFFF"/>
              </w:rPr>
              <w:t>[A]</w:t>
            </w:r>
          </w:p>
        </w:tc>
        <w:tc>
          <w:tcPr>
            <w:tcW w:w="620" w:type="dxa"/>
            <w:vAlign w:val="bottom"/>
            <w:shd w:val="clear" w:color="auto" w:fill="333333"/>
          </w:tcPr>
          <w:p>
            <w:pPr>
              <w:spacing w:after="0"/>
              <w:rPr>
                <w:sz w:val="14"/>
                <w:szCs w:val="14"/>
                <w:color w:val="auto"/>
              </w:rPr>
            </w:pPr>
          </w:p>
        </w:tc>
        <w:tc>
          <w:tcPr>
            <w:tcW w:w="2060" w:type="dxa"/>
            <w:vAlign w:val="bottom"/>
            <w:gridSpan w:val="3"/>
            <w:shd w:val="clear" w:color="auto" w:fill="333333"/>
          </w:tcPr>
          <w:p>
            <w:pPr>
              <w:jc w:val="right"/>
              <w:ind w:right="100"/>
              <w:spacing w:after="0" w:line="162" w:lineRule="exact"/>
              <w:rPr>
                <w:sz w:val="20"/>
                <w:szCs w:val="20"/>
                <w:color w:val="auto"/>
              </w:rPr>
            </w:pPr>
            <w:r>
              <w:rPr>
                <w:rFonts w:ascii="Arial" w:cs="Arial" w:eastAsia="Arial" w:hAnsi="Arial"/>
                <w:sz w:val="15"/>
                <w:szCs w:val="15"/>
                <w:color w:val="FFFFFF"/>
              </w:rPr>
              <w:t>THOUSAND B/D</w:t>
            </w: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80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shd w:val="clear" w:color="auto" w:fill="D8D8D8"/>
          </w:tcPr>
          <w:p>
            <w:pPr>
              <w:jc w:val="right"/>
              <w:ind w:right="68"/>
              <w:spacing w:after="0"/>
              <w:rPr>
                <w:sz w:val="20"/>
                <w:szCs w:val="20"/>
                <w:color w:val="auto"/>
              </w:rPr>
            </w:pPr>
            <w:r>
              <w:rPr>
                <w:rFonts w:ascii="Arial" w:cs="Arial" w:eastAsia="Arial" w:hAnsi="Arial"/>
                <w:sz w:val="13"/>
                <w:szCs w:val="13"/>
                <w:color w:val="auto"/>
              </w:rPr>
              <w:t>2014</w:t>
            </w:r>
          </w:p>
        </w:tc>
        <w:tc>
          <w:tcPr>
            <w:tcW w:w="1440" w:type="dxa"/>
            <w:vAlign w:val="bottom"/>
            <w:tcBorders>
              <w:bottom w:val="single" w:sz="8" w:color="auto"/>
            </w:tcBorders>
          </w:tcPr>
          <w:p>
            <w:pPr>
              <w:jc w:val="right"/>
              <w:ind w:right="849"/>
              <w:spacing w:after="0"/>
              <w:rPr>
                <w:sz w:val="20"/>
                <w:szCs w:val="20"/>
                <w:color w:val="auto"/>
              </w:rPr>
            </w:pPr>
            <w:r>
              <w:rPr>
                <w:rFonts w:ascii="Arial" w:cs="Arial" w:eastAsia="Arial" w:hAnsi="Arial"/>
                <w:sz w:val="13"/>
                <w:szCs w:val="13"/>
                <w:color w:val="auto"/>
              </w:rPr>
              <w:t>2013</w:t>
            </w:r>
          </w:p>
        </w:tc>
        <w:tc>
          <w:tcPr>
            <w:tcW w:w="62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3"/>
                <w:szCs w:val="13"/>
                <w:color w:val="auto"/>
              </w:rPr>
              <w:t>2012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800" w:type="dxa"/>
            <w:vAlign w:val="bottom"/>
          </w:tcPr>
          <w:p>
            <w:pPr>
              <w:ind w:left="20"/>
              <w:spacing w:after="0" w:line="155" w:lineRule="exact"/>
              <w:rPr>
                <w:sz w:val="20"/>
                <w:szCs w:val="20"/>
                <w:color w:val="auto"/>
              </w:rPr>
            </w:pPr>
            <w:r>
              <w:rPr>
                <w:rFonts w:ascii="Arial" w:cs="Arial" w:eastAsia="Arial" w:hAnsi="Arial"/>
                <w:sz w:val="14"/>
                <w:szCs w:val="14"/>
                <w:color w:val="auto"/>
              </w:rPr>
              <w:t>Europe</w:t>
            </w:r>
          </w:p>
        </w:tc>
        <w:tc>
          <w:tcPr>
            <w:tcW w:w="620" w:type="dxa"/>
            <w:vAlign w:val="bottom"/>
            <w:shd w:val="clear" w:color="auto" w:fill="D8D8D8"/>
          </w:tcPr>
          <w:p>
            <w:pPr>
              <w:spacing w:after="0"/>
              <w:rPr>
                <w:sz w:val="13"/>
                <w:szCs w:val="13"/>
                <w:color w:val="auto"/>
              </w:rPr>
            </w:pPr>
          </w:p>
        </w:tc>
        <w:tc>
          <w:tcPr>
            <w:tcW w:w="14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800" w:type="dxa"/>
            <w:vAlign w:val="bottom"/>
          </w:tcPr>
          <w:p>
            <w:pPr>
              <w:ind w:left="140"/>
              <w:spacing w:after="0"/>
              <w:rPr>
                <w:sz w:val="20"/>
                <w:szCs w:val="20"/>
                <w:color w:val="auto"/>
              </w:rPr>
            </w:pPr>
            <w:r>
              <w:rPr>
                <w:rFonts w:ascii="Arial" w:cs="Arial" w:eastAsia="Arial" w:hAnsi="Arial"/>
                <w:sz w:val="14"/>
                <w:szCs w:val="14"/>
                <w:color w:val="auto"/>
              </w:rPr>
              <w:t>Gasolines</w:t>
            </w:r>
          </w:p>
        </w:tc>
        <w:tc>
          <w:tcPr>
            <w:tcW w:w="620" w:type="dxa"/>
            <w:vAlign w:val="bottom"/>
            <w:shd w:val="clear" w:color="auto" w:fill="D8D8D8"/>
          </w:tcPr>
          <w:p>
            <w:pPr>
              <w:jc w:val="right"/>
              <w:ind w:right="68"/>
              <w:spacing w:after="0"/>
              <w:rPr>
                <w:sz w:val="20"/>
                <w:szCs w:val="20"/>
                <w:color w:val="auto"/>
              </w:rPr>
            </w:pPr>
            <w:r>
              <w:rPr>
                <w:rFonts w:ascii="Arial" w:cs="Arial" w:eastAsia="Arial" w:hAnsi="Arial"/>
                <w:sz w:val="14"/>
                <w:szCs w:val="14"/>
                <w:color w:val="auto"/>
              </w:rPr>
              <w:t>405</w:t>
            </w:r>
          </w:p>
        </w:tc>
        <w:tc>
          <w:tcPr>
            <w:tcW w:w="1440" w:type="dxa"/>
            <w:vAlign w:val="bottom"/>
          </w:tcPr>
          <w:p>
            <w:pPr>
              <w:jc w:val="right"/>
              <w:ind w:right="849"/>
              <w:spacing w:after="0"/>
              <w:rPr>
                <w:sz w:val="20"/>
                <w:szCs w:val="20"/>
                <w:color w:val="auto"/>
              </w:rPr>
            </w:pPr>
            <w:r>
              <w:rPr>
                <w:rFonts w:ascii="Arial" w:cs="Arial" w:eastAsia="Arial" w:hAnsi="Arial"/>
                <w:sz w:val="14"/>
                <w:szCs w:val="14"/>
                <w:color w:val="auto"/>
              </w:rPr>
              <w:t>415</w:t>
            </w:r>
          </w:p>
        </w:tc>
        <w:tc>
          <w:tcPr>
            <w:tcW w:w="620" w:type="dxa"/>
            <w:vAlign w:val="bottom"/>
            <w:gridSpan w:val="2"/>
          </w:tcPr>
          <w:p>
            <w:pPr>
              <w:jc w:val="right"/>
              <w:ind w:right="100"/>
              <w:spacing w:after="0"/>
              <w:rPr>
                <w:sz w:val="20"/>
                <w:szCs w:val="20"/>
                <w:color w:val="auto"/>
              </w:rPr>
            </w:pPr>
            <w:r>
              <w:rPr>
                <w:rFonts w:ascii="Arial" w:cs="Arial" w:eastAsia="Arial" w:hAnsi="Arial"/>
                <w:sz w:val="14"/>
                <w:szCs w:val="14"/>
                <w:color w:val="auto"/>
              </w:rPr>
              <w:t>450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800" w:type="dxa"/>
            <w:vAlign w:val="bottom"/>
          </w:tcPr>
          <w:p>
            <w:pPr>
              <w:ind w:left="140"/>
              <w:spacing w:after="0"/>
              <w:rPr>
                <w:sz w:val="20"/>
                <w:szCs w:val="20"/>
                <w:color w:val="auto"/>
              </w:rPr>
            </w:pPr>
            <w:r>
              <w:rPr>
                <w:rFonts w:ascii="Arial" w:cs="Arial" w:eastAsia="Arial" w:hAnsi="Arial"/>
                <w:sz w:val="14"/>
                <w:szCs w:val="14"/>
                <w:color w:val="auto"/>
              </w:rPr>
              <w:t>Kerosines</w:t>
            </w:r>
          </w:p>
        </w:tc>
        <w:tc>
          <w:tcPr>
            <w:tcW w:w="620" w:type="dxa"/>
            <w:vAlign w:val="bottom"/>
            <w:shd w:val="clear" w:color="auto" w:fill="D8D8D8"/>
          </w:tcPr>
          <w:p>
            <w:pPr>
              <w:jc w:val="right"/>
              <w:ind w:right="68"/>
              <w:spacing w:after="0"/>
              <w:rPr>
                <w:sz w:val="20"/>
                <w:szCs w:val="20"/>
                <w:color w:val="auto"/>
              </w:rPr>
            </w:pPr>
            <w:r>
              <w:rPr>
                <w:rFonts w:ascii="Arial" w:cs="Arial" w:eastAsia="Arial" w:hAnsi="Arial"/>
                <w:sz w:val="14"/>
                <w:szCs w:val="14"/>
                <w:color w:val="auto"/>
              </w:rPr>
              <w:t>264</w:t>
            </w:r>
          </w:p>
        </w:tc>
        <w:tc>
          <w:tcPr>
            <w:tcW w:w="1440" w:type="dxa"/>
            <w:vAlign w:val="bottom"/>
          </w:tcPr>
          <w:p>
            <w:pPr>
              <w:jc w:val="right"/>
              <w:ind w:right="849"/>
              <w:spacing w:after="0"/>
              <w:rPr>
                <w:sz w:val="20"/>
                <w:szCs w:val="20"/>
                <w:color w:val="auto"/>
              </w:rPr>
            </w:pPr>
            <w:r>
              <w:rPr>
                <w:rFonts w:ascii="Arial" w:cs="Arial" w:eastAsia="Arial" w:hAnsi="Arial"/>
                <w:sz w:val="14"/>
                <w:szCs w:val="14"/>
                <w:color w:val="auto"/>
              </w:rPr>
              <w:t>226</w:t>
            </w:r>
          </w:p>
        </w:tc>
        <w:tc>
          <w:tcPr>
            <w:tcW w:w="620" w:type="dxa"/>
            <w:vAlign w:val="bottom"/>
            <w:gridSpan w:val="2"/>
          </w:tcPr>
          <w:p>
            <w:pPr>
              <w:jc w:val="right"/>
              <w:ind w:right="100"/>
              <w:spacing w:after="0"/>
              <w:rPr>
                <w:sz w:val="20"/>
                <w:szCs w:val="20"/>
                <w:color w:val="auto"/>
              </w:rPr>
            </w:pPr>
            <w:r>
              <w:rPr>
                <w:rFonts w:ascii="Arial" w:cs="Arial" w:eastAsia="Arial" w:hAnsi="Arial"/>
                <w:sz w:val="14"/>
                <w:szCs w:val="14"/>
                <w:color w:val="auto"/>
              </w:rPr>
              <w:t>234</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800" w:type="dxa"/>
            <w:vAlign w:val="bottom"/>
          </w:tcPr>
          <w:p>
            <w:pPr>
              <w:ind w:left="140"/>
              <w:spacing w:after="0"/>
              <w:rPr>
                <w:sz w:val="20"/>
                <w:szCs w:val="20"/>
                <w:color w:val="auto"/>
              </w:rPr>
            </w:pPr>
            <w:r>
              <w:rPr>
                <w:rFonts w:ascii="Arial" w:cs="Arial" w:eastAsia="Arial" w:hAnsi="Arial"/>
                <w:sz w:val="14"/>
                <w:szCs w:val="14"/>
                <w:color w:val="auto"/>
              </w:rPr>
              <w:t>Gas/Diesel oils</w:t>
            </w:r>
          </w:p>
        </w:tc>
        <w:tc>
          <w:tcPr>
            <w:tcW w:w="620" w:type="dxa"/>
            <w:vAlign w:val="bottom"/>
            <w:shd w:val="clear" w:color="auto" w:fill="D8D8D8"/>
          </w:tcPr>
          <w:p>
            <w:pPr>
              <w:jc w:val="right"/>
              <w:ind w:right="68"/>
              <w:spacing w:after="0"/>
              <w:rPr>
                <w:sz w:val="20"/>
                <w:szCs w:val="20"/>
                <w:color w:val="auto"/>
              </w:rPr>
            </w:pPr>
            <w:r>
              <w:rPr>
                <w:rFonts w:ascii="Arial" w:cs="Arial" w:eastAsia="Arial" w:hAnsi="Arial"/>
                <w:sz w:val="14"/>
                <w:szCs w:val="14"/>
                <w:color w:val="auto"/>
              </w:rPr>
              <w:t>841</w:t>
            </w:r>
          </w:p>
        </w:tc>
        <w:tc>
          <w:tcPr>
            <w:tcW w:w="1440" w:type="dxa"/>
            <w:vAlign w:val="bottom"/>
          </w:tcPr>
          <w:p>
            <w:pPr>
              <w:jc w:val="right"/>
              <w:ind w:right="849"/>
              <w:spacing w:after="0"/>
              <w:rPr>
                <w:sz w:val="20"/>
                <w:szCs w:val="20"/>
                <w:color w:val="auto"/>
              </w:rPr>
            </w:pPr>
            <w:r>
              <w:rPr>
                <w:rFonts w:ascii="Arial" w:cs="Arial" w:eastAsia="Arial" w:hAnsi="Arial"/>
                <w:sz w:val="14"/>
                <w:szCs w:val="14"/>
                <w:color w:val="auto"/>
              </w:rPr>
              <w:t>962</w:t>
            </w:r>
          </w:p>
        </w:tc>
        <w:tc>
          <w:tcPr>
            <w:tcW w:w="620" w:type="dxa"/>
            <w:vAlign w:val="bottom"/>
            <w:gridSpan w:val="2"/>
          </w:tcPr>
          <w:p>
            <w:pPr>
              <w:jc w:val="right"/>
              <w:ind w:right="100"/>
              <w:spacing w:after="0"/>
              <w:rPr>
                <w:sz w:val="20"/>
                <w:szCs w:val="20"/>
                <w:color w:val="auto"/>
              </w:rPr>
            </w:pPr>
            <w:r>
              <w:rPr>
                <w:rFonts w:ascii="Arial" w:cs="Arial" w:eastAsia="Arial" w:hAnsi="Arial"/>
                <w:sz w:val="14"/>
                <w:szCs w:val="14"/>
                <w:color w:val="auto"/>
              </w:rPr>
              <w:t>909</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800" w:type="dxa"/>
            <w:vAlign w:val="bottom"/>
          </w:tcPr>
          <w:p>
            <w:pPr>
              <w:ind w:left="140"/>
              <w:spacing w:after="0"/>
              <w:rPr>
                <w:sz w:val="20"/>
                <w:szCs w:val="20"/>
                <w:color w:val="auto"/>
              </w:rPr>
            </w:pPr>
            <w:r>
              <w:rPr>
                <w:rFonts w:ascii="Arial" w:cs="Arial" w:eastAsia="Arial" w:hAnsi="Arial"/>
                <w:sz w:val="14"/>
                <w:szCs w:val="14"/>
                <w:color w:val="auto"/>
              </w:rPr>
              <w:t>Fuel oil</w:t>
            </w:r>
          </w:p>
        </w:tc>
        <w:tc>
          <w:tcPr>
            <w:tcW w:w="620" w:type="dxa"/>
            <w:vAlign w:val="bottom"/>
            <w:shd w:val="clear" w:color="auto" w:fill="D8D8D8"/>
          </w:tcPr>
          <w:p>
            <w:pPr>
              <w:jc w:val="right"/>
              <w:ind w:right="68"/>
              <w:spacing w:after="0"/>
              <w:rPr>
                <w:sz w:val="20"/>
                <w:szCs w:val="20"/>
                <w:color w:val="auto"/>
              </w:rPr>
            </w:pPr>
            <w:r>
              <w:rPr>
                <w:rFonts w:ascii="Arial" w:cs="Arial" w:eastAsia="Arial" w:hAnsi="Arial"/>
                <w:sz w:val="14"/>
                <w:szCs w:val="14"/>
                <w:color w:val="auto"/>
              </w:rPr>
              <w:t>176</w:t>
            </w:r>
          </w:p>
        </w:tc>
        <w:tc>
          <w:tcPr>
            <w:tcW w:w="1440" w:type="dxa"/>
            <w:vAlign w:val="bottom"/>
          </w:tcPr>
          <w:p>
            <w:pPr>
              <w:jc w:val="right"/>
              <w:ind w:right="849"/>
              <w:spacing w:after="0"/>
              <w:rPr>
                <w:sz w:val="20"/>
                <w:szCs w:val="20"/>
                <w:color w:val="auto"/>
              </w:rPr>
            </w:pPr>
            <w:r>
              <w:rPr>
                <w:rFonts w:ascii="Arial" w:cs="Arial" w:eastAsia="Arial" w:hAnsi="Arial"/>
                <w:sz w:val="14"/>
                <w:szCs w:val="14"/>
                <w:color w:val="auto"/>
              </w:rPr>
              <w:t>194</w:t>
            </w:r>
          </w:p>
        </w:tc>
        <w:tc>
          <w:tcPr>
            <w:tcW w:w="620" w:type="dxa"/>
            <w:vAlign w:val="bottom"/>
            <w:gridSpan w:val="2"/>
          </w:tcPr>
          <w:p>
            <w:pPr>
              <w:jc w:val="right"/>
              <w:ind w:right="100"/>
              <w:spacing w:after="0"/>
              <w:rPr>
                <w:sz w:val="20"/>
                <w:szCs w:val="20"/>
                <w:color w:val="auto"/>
              </w:rPr>
            </w:pPr>
            <w:r>
              <w:rPr>
                <w:rFonts w:ascii="Arial" w:cs="Arial" w:eastAsia="Arial" w:hAnsi="Arial"/>
                <w:sz w:val="14"/>
                <w:szCs w:val="14"/>
                <w:color w:val="auto"/>
              </w:rPr>
              <w:t>180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2800" w:type="dxa"/>
            <w:vAlign w:val="bottom"/>
            <w:tcBorders>
              <w:bottom w:val="single" w:sz="8" w:color="auto"/>
            </w:tcBorders>
          </w:tcPr>
          <w:p>
            <w:pPr>
              <w:ind w:left="140"/>
              <w:spacing w:after="0" w:line="157" w:lineRule="exact"/>
              <w:rPr>
                <w:sz w:val="20"/>
                <w:szCs w:val="20"/>
                <w:color w:val="auto"/>
              </w:rPr>
            </w:pPr>
            <w:r>
              <w:rPr>
                <w:rFonts w:ascii="Arial" w:cs="Arial" w:eastAsia="Arial" w:hAnsi="Arial"/>
                <w:sz w:val="14"/>
                <w:szCs w:val="14"/>
                <w:color w:val="auto"/>
              </w:rPr>
              <w:t>Other products</w:t>
            </w:r>
          </w:p>
        </w:tc>
        <w:tc>
          <w:tcPr>
            <w:tcW w:w="620" w:type="dxa"/>
            <w:vAlign w:val="bottom"/>
            <w:tcBorders>
              <w:bottom w:val="single" w:sz="8" w:color="auto"/>
            </w:tcBorders>
            <w:shd w:val="clear" w:color="auto" w:fill="D8D8D8"/>
          </w:tcPr>
          <w:p>
            <w:pPr>
              <w:jc w:val="right"/>
              <w:ind w:right="68"/>
              <w:spacing w:after="0" w:line="157" w:lineRule="exact"/>
              <w:rPr>
                <w:sz w:val="20"/>
                <w:szCs w:val="20"/>
                <w:color w:val="auto"/>
              </w:rPr>
            </w:pPr>
            <w:r>
              <w:rPr>
                <w:rFonts w:ascii="Arial" w:cs="Arial" w:eastAsia="Arial" w:hAnsi="Arial"/>
                <w:sz w:val="14"/>
                <w:szCs w:val="14"/>
                <w:color w:val="auto"/>
              </w:rPr>
              <w:t>205</w:t>
            </w:r>
          </w:p>
        </w:tc>
        <w:tc>
          <w:tcPr>
            <w:tcW w:w="1440" w:type="dxa"/>
            <w:vAlign w:val="bottom"/>
            <w:tcBorders>
              <w:bottom w:val="single" w:sz="8" w:color="auto"/>
            </w:tcBorders>
          </w:tcPr>
          <w:p>
            <w:pPr>
              <w:jc w:val="right"/>
              <w:ind w:right="849"/>
              <w:spacing w:after="0" w:line="157" w:lineRule="exact"/>
              <w:rPr>
                <w:sz w:val="20"/>
                <w:szCs w:val="20"/>
                <w:color w:val="auto"/>
              </w:rPr>
            </w:pPr>
            <w:r>
              <w:rPr>
                <w:rFonts w:ascii="Arial" w:cs="Arial" w:eastAsia="Arial" w:hAnsi="Arial"/>
                <w:sz w:val="14"/>
                <w:szCs w:val="14"/>
                <w:color w:val="auto"/>
              </w:rPr>
              <w:t>168</w:t>
            </w:r>
          </w:p>
        </w:tc>
        <w:tc>
          <w:tcPr>
            <w:tcW w:w="620" w:type="dxa"/>
            <w:vAlign w:val="bottom"/>
            <w:tcBorders>
              <w:bottom w:val="single" w:sz="8" w:color="auto"/>
            </w:tcBorders>
            <w:gridSpan w:val="2"/>
          </w:tcPr>
          <w:p>
            <w:pPr>
              <w:jc w:val="right"/>
              <w:ind w:right="100"/>
              <w:spacing w:after="0" w:line="157" w:lineRule="exact"/>
              <w:rPr>
                <w:sz w:val="20"/>
                <w:szCs w:val="20"/>
                <w:color w:val="auto"/>
              </w:rPr>
            </w:pPr>
            <w:r>
              <w:rPr>
                <w:rFonts w:ascii="Arial" w:cs="Arial" w:eastAsia="Arial" w:hAnsi="Arial"/>
                <w:sz w:val="14"/>
                <w:szCs w:val="14"/>
                <w:color w:val="auto"/>
              </w:rPr>
              <w:t>184</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800" w:type="dxa"/>
            <w:vAlign w:val="bottom"/>
            <w:tcBorders>
              <w:bottom w:val="single" w:sz="8" w:color="auto"/>
            </w:tcBorders>
          </w:tcPr>
          <w:p>
            <w:pPr>
              <w:ind w:left="20"/>
              <w:spacing w:after="0" w:line="155" w:lineRule="exact"/>
              <w:rPr>
                <w:sz w:val="20"/>
                <w:szCs w:val="20"/>
                <w:color w:val="auto"/>
              </w:rPr>
            </w:pPr>
            <w:r>
              <w:rPr>
                <w:rFonts w:ascii="Arial" w:cs="Arial" w:eastAsia="Arial" w:hAnsi="Arial"/>
                <w:sz w:val="14"/>
                <w:szCs w:val="14"/>
                <w:color w:val="auto"/>
              </w:rPr>
              <w:t>Total</w:t>
            </w:r>
          </w:p>
        </w:tc>
        <w:tc>
          <w:tcPr>
            <w:tcW w:w="620" w:type="dxa"/>
            <w:vAlign w:val="bottom"/>
            <w:tcBorders>
              <w:bottom w:val="single" w:sz="8" w:color="auto"/>
            </w:tcBorders>
            <w:shd w:val="clear" w:color="auto" w:fill="D8D8D8"/>
          </w:tcPr>
          <w:p>
            <w:pPr>
              <w:jc w:val="right"/>
              <w:ind w:right="68"/>
              <w:spacing w:after="0" w:line="155" w:lineRule="exact"/>
              <w:rPr>
                <w:sz w:val="20"/>
                <w:szCs w:val="20"/>
                <w:color w:val="auto"/>
              </w:rPr>
            </w:pPr>
            <w:r>
              <w:rPr>
                <w:rFonts w:ascii="Arial" w:cs="Arial" w:eastAsia="Arial" w:hAnsi="Arial"/>
                <w:sz w:val="14"/>
                <w:szCs w:val="14"/>
                <w:color w:val="auto"/>
              </w:rPr>
              <w:t>1,891</w:t>
            </w:r>
          </w:p>
        </w:tc>
        <w:tc>
          <w:tcPr>
            <w:tcW w:w="1440" w:type="dxa"/>
            <w:vAlign w:val="bottom"/>
            <w:tcBorders>
              <w:bottom w:val="single" w:sz="8" w:color="auto"/>
            </w:tcBorders>
          </w:tcPr>
          <w:p>
            <w:pPr>
              <w:jc w:val="right"/>
              <w:ind w:right="849"/>
              <w:spacing w:after="0" w:line="155" w:lineRule="exact"/>
              <w:rPr>
                <w:sz w:val="20"/>
                <w:szCs w:val="20"/>
                <w:color w:val="auto"/>
              </w:rPr>
            </w:pPr>
            <w:r>
              <w:rPr>
                <w:rFonts w:ascii="Arial" w:cs="Arial" w:eastAsia="Arial" w:hAnsi="Arial"/>
                <w:sz w:val="14"/>
                <w:szCs w:val="14"/>
                <w:color w:val="auto"/>
              </w:rPr>
              <w:t>1,965</w:t>
            </w:r>
          </w:p>
        </w:tc>
        <w:tc>
          <w:tcPr>
            <w:tcW w:w="620" w:type="dxa"/>
            <w:vAlign w:val="bottom"/>
            <w:tcBorders>
              <w:bottom w:val="single" w:sz="8" w:color="auto"/>
            </w:tcBorders>
            <w:gridSpan w:val="2"/>
          </w:tcPr>
          <w:p>
            <w:pPr>
              <w:jc w:val="right"/>
              <w:ind w:right="100"/>
              <w:spacing w:after="0" w:line="155" w:lineRule="exact"/>
              <w:rPr>
                <w:sz w:val="20"/>
                <w:szCs w:val="20"/>
                <w:color w:val="auto"/>
              </w:rPr>
            </w:pPr>
            <w:r>
              <w:rPr>
                <w:rFonts w:ascii="Arial" w:cs="Arial" w:eastAsia="Arial" w:hAnsi="Arial"/>
                <w:sz w:val="14"/>
                <w:szCs w:val="14"/>
                <w:color w:val="auto"/>
              </w:rPr>
              <w:t>1,957</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800" w:type="dxa"/>
            <w:vAlign w:val="bottom"/>
          </w:tcPr>
          <w:p>
            <w:pPr>
              <w:ind w:left="20"/>
              <w:spacing w:after="0"/>
              <w:rPr>
                <w:sz w:val="20"/>
                <w:szCs w:val="20"/>
                <w:color w:val="auto"/>
              </w:rPr>
            </w:pPr>
            <w:r>
              <w:rPr>
                <w:rFonts w:ascii="Arial" w:cs="Arial" w:eastAsia="Arial" w:hAnsi="Arial"/>
                <w:sz w:val="14"/>
                <w:szCs w:val="14"/>
                <w:color w:val="auto"/>
              </w:rPr>
              <w:t>Asia</w:t>
            </w:r>
          </w:p>
        </w:tc>
        <w:tc>
          <w:tcPr>
            <w:tcW w:w="620" w:type="dxa"/>
            <w:vAlign w:val="bottom"/>
            <w:shd w:val="clear" w:color="auto" w:fill="D8D8D8"/>
          </w:tcPr>
          <w:p>
            <w:pPr>
              <w:spacing w:after="0"/>
              <w:rPr>
                <w:sz w:val="13"/>
                <w:szCs w:val="13"/>
                <w:color w:val="auto"/>
              </w:rPr>
            </w:pPr>
          </w:p>
        </w:tc>
        <w:tc>
          <w:tcPr>
            <w:tcW w:w="14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800" w:type="dxa"/>
            <w:vAlign w:val="bottom"/>
          </w:tcPr>
          <w:p>
            <w:pPr>
              <w:ind w:left="140"/>
              <w:spacing w:after="0"/>
              <w:rPr>
                <w:sz w:val="20"/>
                <w:szCs w:val="20"/>
                <w:color w:val="auto"/>
              </w:rPr>
            </w:pPr>
            <w:r>
              <w:rPr>
                <w:rFonts w:ascii="Arial" w:cs="Arial" w:eastAsia="Arial" w:hAnsi="Arial"/>
                <w:sz w:val="14"/>
                <w:szCs w:val="14"/>
                <w:color w:val="auto"/>
              </w:rPr>
              <w:t>Gasolines</w:t>
            </w:r>
          </w:p>
        </w:tc>
        <w:tc>
          <w:tcPr>
            <w:tcW w:w="620" w:type="dxa"/>
            <w:vAlign w:val="bottom"/>
            <w:shd w:val="clear" w:color="auto" w:fill="D8D8D8"/>
          </w:tcPr>
          <w:p>
            <w:pPr>
              <w:jc w:val="right"/>
              <w:ind w:right="68"/>
              <w:spacing w:after="0"/>
              <w:rPr>
                <w:sz w:val="20"/>
                <w:szCs w:val="20"/>
                <w:color w:val="auto"/>
              </w:rPr>
            </w:pPr>
            <w:r>
              <w:rPr>
                <w:rFonts w:ascii="Arial" w:cs="Arial" w:eastAsia="Arial" w:hAnsi="Arial"/>
                <w:sz w:val="14"/>
                <w:szCs w:val="14"/>
                <w:color w:val="auto"/>
              </w:rPr>
              <w:t>343</w:t>
            </w:r>
          </w:p>
        </w:tc>
        <w:tc>
          <w:tcPr>
            <w:tcW w:w="1440" w:type="dxa"/>
            <w:vAlign w:val="bottom"/>
          </w:tcPr>
          <w:p>
            <w:pPr>
              <w:jc w:val="right"/>
              <w:ind w:right="849"/>
              <w:spacing w:after="0"/>
              <w:rPr>
                <w:sz w:val="20"/>
                <w:szCs w:val="20"/>
                <w:color w:val="auto"/>
              </w:rPr>
            </w:pPr>
            <w:r>
              <w:rPr>
                <w:rFonts w:ascii="Arial" w:cs="Arial" w:eastAsia="Arial" w:hAnsi="Arial"/>
                <w:sz w:val="14"/>
                <w:szCs w:val="14"/>
                <w:color w:val="auto"/>
              </w:rPr>
              <w:t>325</w:t>
            </w:r>
          </w:p>
        </w:tc>
        <w:tc>
          <w:tcPr>
            <w:tcW w:w="620" w:type="dxa"/>
            <w:vAlign w:val="bottom"/>
            <w:gridSpan w:val="2"/>
          </w:tcPr>
          <w:p>
            <w:pPr>
              <w:jc w:val="right"/>
              <w:ind w:right="100"/>
              <w:spacing w:after="0"/>
              <w:rPr>
                <w:sz w:val="20"/>
                <w:szCs w:val="20"/>
                <w:color w:val="auto"/>
              </w:rPr>
            </w:pPr>
            <w:r>
              <w:rPr>
                <w:rFonts w:ascii="Arial" w:cs="Arial" w:eastAsia="Arial" w:hAnsi="Arial"/>
                <w:sz w:val="14"/>
                <w:szCs w:val="14"/>
                <w:color w:val="auto"/>
              </w:rPr>
              <w:t>352</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800" w:type="dxa"/>
            <w:vAlign w:val="bottom"/>
          </w:tcPr>
          <w:p>
            <w:pPr>
              <w:ind w:left="140"/>
              <w:spacing w:after="0"/>
              <w:rPr>
                <w:sz w:val="20"/>
                <w:szCs w:val="20"/>
                <w:color w:val="auto"/>
              </w:rPr>
            </w:pPr>
            <w:r>
              <w:rPr>
                <w:rFonts w:ascii="Arial" w:cs="Arial" w:eastAsia="Arial" w:hAnsi="Arial"/>
                <w:sz w:val="14"/>
                <w:szCs w:val="14"/>
                <w:color w:val="auto"/>
              </w:rPr>
              <w:t>Kerosines</w:t>
            </w:r>
          </w:p>
        </w:tc>
        <w:tc>
          <w:tcPr>
            <w:tcW w:w="620" w:type="dxa"/>
            <w:vAlign w:val="bottom"/>
            <w:shd w:val="clear" w:color="auto" w:fill="D8D8D8"/>
          </w:tcPr>
          <w:p>
            <w:pPr>
              <w:jc w:val="right"/>
              <w:ind w:right="68"/>
              <w:spacing w:after="0"/>
              <w:rPr>
                <w:sz w:val="20"/>
                <w:szCs w:val="20"/>
                <w:color w:val="auto"/>
              </w:rPr>
            </w:pPr>
            <w:r>
              <w:rPr>
                <w:rFonts w:ascii="Arial" w:cs="Arial" w:eastAsia="Arial" w:hAnsi="Arial"/>
                <w:sz w:val="14"/>
                <w:szCs w:val="14"/>
                <w:color w:val="auto"/>
              </w:rPr>
              <w:t>191</w:t>
            </w:r>
          </w:p>
        </w:tc>
        <w:tc>
          <w:tcPr>
            <w:tcW w:w="1440" w:type="dxa"/>
            <w:vAlign w:val="bottom"/>
          </w:tcPr>
          <w:p>
            <w:pPr>
              <w:jc w:val="right"/>
              <w:ind w:right="849"/>
              <w:spacing w:after="0"/>
              <w:rPr>
                <w:sz w:val="20"/>
                <w:szCs w:val="20"/>
                <w:color w:val="auto"/>
              </w:rPr>
            </w:pPr>
            <w:r>
              <w:rPr>
                <w:rFonts w:ascii="Arial" w:cs="Arial" w:eastAsia="Arial" w:hAnsi="Arial"/>
                <w:sz w:val="14"/>
                <w:szCs w:val="14"/>
                <w:color w:val="auto"/>
              </w:rPr>
              <w:t>191</w:t>
            </w:r>
          </w:p>
        </w:tc>
        <w:tc>
          <w:tcPr>
            <w:tcW w:w="620" w:type="dxa"/>
            <w:vAlign w:val="bottom"/>
            <w:gridSpan w:val="2"/>
          </w:tcPr>
          <w:p>
            <w:pPr>
              <w:jc w:val="right"/>
              <w:ind w:right="100"/>
              <w:spacing w:after="0"/>
              <w:rPr>
                <w:sz w:val="20"/>
                <w:szCs w:val="20"/>
                <w:color w:val="auto"/>
              </w:rPr>
            </w:pPr>
            <w:r>
              <w:rPr>
                <w:rFonts w:ascii="Arial" w:cs="Arial" w:eastAsia="Arial" w:hAnsi="Arial"/>
                <w:sz w:val="14"/>
                <w:szCs w:val="14"/>
                <w:color w:val="auto"/>
              </w:rPr>
              <w:t>172</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800" w:type="dxa"/>
            <w:vAlign w:val="bottom"/>
          </w:tcPr>
          <w:p>
            <w:pPr>
              <w:ind w:left="140"/>
              <w:spacing w:after="0"/>
              <w:rPr>
                <w:sz w:val="20"/>
                <w:szCs w:val="20"/>
                <w:color w:val="auto"/>
              </w:rPr>
            </w:pPr>
            <w:r>
              <w:rPr>
                <w:rFonts w:ascii="Arial" w:cs="Arial" w:eastAsia="Arial" w:hAnsi="Arial"/>
                <w:sz w:val="14"/>
                <w:szCs w:val="14"/>
                <w:color w:val="auto"/>
              </w:rPr>
              <w:t>Gas/Diesel oils</w:t>
            </w:r>
          </w:p>
        </w:tc>
        <w:tc>
          <w:tcPr>
            <w:tcW w:w="620" w:type="dxa"/>
            <w:vAlign w:val="bottom"/>
            <w:shd w:val="clear" w:color="auto" w:fill="D8D8D8"/>
          </w:tcPr>
          <w:p>
            <w:pPr>
              <w:jc w:val="right"/>
              <w:ind w:right="68"/>
              <w:spacing w:after="0"/>
              <w:rPr>
                <w:sz w:val="20"/>
                <w:szCs w:val="20"/>
                <w:color w:val="auto"/>
              </w:rPr>
            </w:pPr>
            <w:r>
              <w:rPr>
                <w:rFonts w:ascii="Arial" w:cs="Arial" w:eastAsia="Arial" w:hAnsi="Arial"/>
                <w:sz w:val="14"/>
                <w:szCs w:val="14"/>
                <w:color w:val="auto"/>
              </w:rPr>
              <w:t>515</w:t>
            </w:r>
          </w:p>
        </w:tc>
        <w:tc>
          <w:tcPr>
            <w:tcW w:w="1440" w:type="dxa"/>
            <w:vAlign w:val="bottom"/>
          </w:tcPr>
          <w:p>
            <w:pPr>
              <w:jc w:val="right"/>
              <w:ind w:right="849"/>
              <w:spacing w:after="0"/>
              <w:rPr>
                <w:sz w:val="20"/>
                <w:szCs w:val="20"/>
                <w:color w:val="auto"/>
              </w:rPr>
            </w:pPr>
            <w:r>
              <w:rPr>
                <w:rFonts w:ascii="Arial" w:cs="Arial" w:eastAsia="Arial" w:hAnsi="Arial"/>
                <w:sz w:val="14"/>
                <w:szCs w:val="14"/>
                <w:color w:val="auto"/>
              </w:rPr>
              <w:t>483</w:t>
            </w:r>
          </w:p>
        </w:tc>
        <w:tc>
          <w:tcPr>
            <w:tcW w:w="620" w:type="dxa"/>
            <w:vAlign w:val="bottom"/>
            <w:gridSpan w:val="2"/>
          </w:tcPr>
          <w:p>
            <w:pPr>
              <w:jc w:val="right"/>
              <w:ind w:right="100"/>
              <w:spacing w:after="0"/>
              <w:rPr>
                <w:sz w:val="20"/>
                <w:szCs w:val="20"/>
                <w:color w:val="auto"/>
              </w:rPr>
            </w:pPr>
            <w:r>
              <w:rPr>
                <w:rFonts w:ascii="Arial" w:cs="Arial" w:eastAsia="Arial" w:hAnsi="Arial"/>
                <w:sz w:val="14"/>
                <w:szCs w:val="14"/>
                <w:color w:val="auto"/>
              </w:rPr>
              <w:t>515</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800" w:type="dxa"/>
            <w:vAlign w:val="bottom"/>
          </w:tcPr>
          <w:p>
            <w:pPr>
              <w:ind w:left="140"/>
              <w:spacing w:after="0"/>
              <w:rPr>
                <w:sz w:val="20"/>
                <w:szCs w:val="20"/>
                <w:color w:val="auto"/>
              </w:rPr>
            </w:pPr>
            <w:r>
              <w:rPr>
                <w:rFonts w:ascii="Arial" w:cs="Arial" w:eastAsia="Arial" w:hAnsi="Arial"/>
                <w:sz w:val="14"/>
                <w:szCs w:val="14"/>
                <w:color w:val="auto"/>
              </w:rPr>
              <w:t>Fuel oil</w:t>
            </w:r>
          </w:p>
        </w:tc>
        <w:tc>
          <w:tcPr>
            <w:tcW w:w="620" w:type="dxa"/>
            <w:vAlign w:val="bottom"/>
            <w:shd w:val="clear" w:color="auto" w:fill="D8D8D8"/>
          </w:tcPr>
          <w:p>
            <w:pPr>
              <w:jc w:val="right"/>
              <w:ind w:right="68"/>
              <w:spacing w:after="0"/>
              <w:rPr>
                <w:sz w:val="20"/>
                <w:szCs w:val="20"/>
                <w:color w:val="auto"/>
              </w:rPr>
            </w:pPr>
            <w:r>
              <w:rPr>
                <w:rFonts w:ascii="Arial" w:cs="Arial" w:eastAsia="Arial" w:hAnsi="Arial"/>
                <w:sz w:val="14"/>
                <w:szCs w:val="14"/>
                <w:color w:val="auto"/>
              </w:rPr>
              <w:t>325</w:t>
            </w:r>
          </w:p>
        </w:tc>
        <w:tc>
          <w:tcPr>
            <w:tcW w:w="1440" w:type="dxa"/>
            <w:vAlign w:val="bottom"/>
          </w:tcPr>
          <w:p>
            <w:pPr>
              <w:jc w:val="right"/>
              <w:ind w:right="849"/>
              <w:spacing w:after="0"/>
              <w:rPr>
                <w:sz w:val="20"/>
                <w:szCs w:val="20"/>
                <w:color w:val="auto"/>
              </w:rPr>
            </w:pPr>
            <w:r>
              <w:rPr>
                <w:rFonts w:ascii="Arial" w:cs="Arial" w:eastAsia="Arial" w:hAnsi="Arial"/>
                <w:sz w:val="14"/>
                <w:szCs w:val="14"/>
                <w:color w:val="auto"/>
              </w:rPr>
              <w:t>322</w:t>
            </w:r>
          </w:p>
        </w:tc>
        <w:tc>
          <w:tcPr>
            <w:tcW w:w="620" w:type="dxa"/>
            <w:vAlign w:val="bottom"/>
            <w:gridSpan w:val="2"/>
          </w:tcPr>
          <w:p>
            <w:pPr>
              <w:jc w:val="right"/>
              <w:ind w:right="100"/>
              <w:spacing w:after="0"/>
              <w:rPr>
                <w:sz w:val="20"/>
                <w:szCs w:val="20"/>
                <w:color w:val="auto"/>
              </w:rPr>
            </w:pPr>
            <w:r>
              <w:rPr>
                <w:rFonts w:ascii="Arial" w:cs="Arial" w:eastAsia="Arial" w:hAnsi="Arial"/>
                <w:sz w:val="14"/>
                <w:szCs w:val="14"/>
                <w:color w:val="auto"/>
              </w:rPr>
              <w:t>355</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2800" w:type="dxa"/>
            <w:vAlign w:val="bottom"/>
            <w:tcBorders>
              <w:bottom w:val="single" w:sz="8" w:color="auto"/>
            </w:tcBorders>
          </w:tcPr>
          <w:p>
            <w:pPr>
              <w:ind w:left="140"/>
              <w:spacing w:after="0" w:line="157" w:lineRule="exact"/>
              <w:rPr>
                <w:sz w:val="20"/>
                <w:szCs w:val="20"/>
                <w:color w:val="auto"/>
              </w:rPr>
            </w:pPr>
            <w:r>
              <w:rPr>
                <w:rFonts w:ascii="Arial" w:cs="Arial" w:eastAsia="Arial" w:hAnsi="Arial"/>
                <w:sz w:val="14"/>
                <w:szCs w:val="14"/>
                <w:color w:val="auto"/>
              </w:rPr>
              <w:t>Other products</w:t>
            </w:r>
          </w:p>
        </w:tc>
        <w:tc>
          <w:tcPr>
            <w:tcW w:w="620" w:type="dxa"/>
            <w:vAlign w:val="bottom"/>
            <w:tcBorders>
              <w:bottom w:val="single" w:sz="8" w:color="auto"/>
            </w:tcBorders>
            <w:shd w:val="clear" w:color="auto" w:fill="D8D8D8"/>
          </w:tcPr>
          <w:p>
            <w:pPr>
              <w:jc w:val="right"/>
              <w:ind w:right="68"/>
              <w:spacing w:after="0" w:line="157" w:lineRule="exact"/>
              <w:rPr>
                <w:sz w:val="20"/>
                <w:szCs w:val="20"/>
                <w:color w:val="auto"/>
              </w:rPr>
            </w:pPr>
            <w:r>
              <w:rPr>
                <w:rFonts w:ascii="Arial" w:cs="Arial" w:eastAsia="Arial" w:hAnsi="Arial"/>
                <w:sz w:val="14"/>
                <w:szCs w:val="14"/>
                <w:color w:val="auto"/>
              </w:rPr>
              <w:t>441</w:t>
            </w:r>
          </w:p>
        </w:tc>
        <w:tc>
          <w:tcPr>
            <w:tcW w:w="1440" w:type="dxa"/>
            <w:vAlign w:val="bottom"/>
            <w:tcBorders>
              <w:bottom w:val="single" w:sz="8" w:color="auto"/>
            </w:tcBorders>
          </w:tcPr>
          <w:p>
            <w:pPr>
              <w:jc w:val="right"/>
              <w:ind w:right="849"/>
              <w:spacing w:after="0" w:line="157" w:lineRule="exact"/>
              <w:rPr>
                <w:sz w:val="20"/>
                <w:szCs w:val="20"/>
                <w:color w:val="auto"/>
              </w:rPr>
            </w:pPr>
            <w:r>
              <w:rPr>
                <w:rFonts w:ascii="Arial" w:cs="Arial" w:eastAsia="Arial" w:hAnsi="Arial"/>
                <w:sz w:val="14"/>
                <w:szCs w:val="14"/>
                <w:color w:val="auto"/>
              </w:rPr>
              <w:t>255</w:t>
            </w:r>
          </w:p>
        </w:tc>
        <w:tc>
          <w:tcPr>
            <w:tcW w:w="620" w:type="dxa"/>
            <w:vAlign w:val="bottom"/>
            <w:tcBorders>
              <w:bottom w:val="single" w:sz="8" w:color="auto"/>
            </w:tcBorders>
            <w:gridSpan w:val="2"/>
          </w:tcPr>
          <w:p>
            <w:pPr>
              <w:jc w:val="right"/>
              <w:ind w:right="100"/>
              <w:spacing w:after="0" w:line="157" w:lineRule="exact"/>
              <w:rPr>
                <w:sz w:val="20"/>
                <w:szCs w:val="20"/>
                <w:color w:val="auto"/>
              </w:rPr>
            </w:pPr>
            <w:r>
              <w:rPr>
                <w:rFonts w:ascii="Arial" w:cs="Arial" w:eastAsia="Arial" w:hAnsi="Arial"/>
                <w:sz w:val="14"/>
                <w:szCs w:val="14"/>
                <w:color w:val="auto"/>
              </w:rPr>
              <w:t>220</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800" w:type="dxa"/>
            <w:vAlign w:val="bottom"/>
            <w:tcBorders>
              <w:bottom w:val="single" w:sz="8" w:color="auto"/>
            </w:tcBorders>
          </w:tcPr>
          <w:p>
            <w:pPr>
              <w:ind w:left="20"/>
              <w:spacing w:after="0" w:line="155" w:lineRule="exact"/>
              <w:rPr>
                <w:sz w:val="20"/>
                <w:szCs w:val="20"/>
                <w:color w:val="auto"/>
              </w:rPr>
            </w:pPr>
            <w:r>
              <w:rPr>
                <w:rFonts w:ascii="Arial" w:cs="Arial" w:eastAsia="Arial" w:hAnsi="Arial"/>
                <w:sz w:val="14"/>
                <w:szCs w:val="14"/>
                <w:color w:val="auto"/>
              </w:rPr>
              <w:t>Total</w:t>
            </w:r>
          </w:p>
        </w:tc>
        <w:tc>
          <w:tcPr>
            <w:tcW w:w="620" w:type="dxa"/>
            <w:vAlign w:val="bottom"/>
            <w:tcBorders>
              <w:bottom w:val="single" w:sz="8" w:color="auto"/>
            </w:tcBorders>
            <w:shd w:val="clear" w:color="auto" w:fill="D8D8D8"/>
          </w:tcPr>
          <w:p>
            <w:pPr>
              <w:jc w:val="right"/>
              <w:ind w:right="68"/>
              <w:spacing w:after="0" w:line="155" w:lineRule="exact"/>
              <w:rPr>
                <w:sz w:val="20"/>
                <w:szCs w:val="20"/>
                <w:color w:val="auto"/>
              </w:rPr>
            </w:pPr>
            <w:r>
              <w:rPr>
                <w:rFonts w:ascii="Arial" w:cs="Arial" w:eastAsia="Arial" w:hAnsi="Arial"/>
                <w:sz w:val="14"/>
                <w:szCs w:val="14"/>
                <w:color w:val="auto"/>
              </w:rPr>
              <w:t>1,815</w:t>
            </w:r>
          </w:p>
        </w:tc>
        <w:tc>
          <w:tcPr>
            <w:tcW w:w="1440" w:type="dxa"/>
            <w:vAlign w:val="bottom"/>
            <w:tcBorders>
              <w:bottom w:val="single" w:sz="8" w:color="auto"/>
            </w:tcBorders>
          </w:tcPr>
          <w:p>
            <w:pPr>
              <w:jc w:val="right"/>
              <w:ind w:right="849"/>
              <w:spacing w:after="0" w:line="155" w:lineRule="exact"/>
              <w:rPr>
                <w:sz w:val="20"/>
                <w:szCs w:val="20"/>
                <w:color w:val="auto"/>
              </w:rPr>
            </w:pPr>
            <w:r>
              <w:rPr>
                <w:rFonts w:ascii="Arial" w:cs="Arial" w:eastAsia="Arial" w:hAnsi="Arial"/>
                <w:sz w:val="14"/>
                <w:szCs w:val="14"/>
                <w:color w:val="auto"/>
              </w:rPr>
              <w:t>1,576</w:t>
            </w:r>
          </w:p>
        </w:tc>
        <w:tc>
          <w:tcPr>
            <w:tcW w:w="620" w:type="dxa"/>
            <w:vAlign w:val="bottom"/>
            <w:tcBorders>
              <w:bottom w:val="single" w:sz="8" w:color="auto"/>
            </w:tcBorders>
            <w:gridSpan w:val="2"/>
          </w:tcPr>
          <w:p>
            <w:pPr>
              <w:jc w:val="right"/>
              <w:ind w:right="100"/>
              <w:spacing w:after="0" w:line="155" w:lineRule="exact"/>
              <w:rPr>
                <w:sz w:val="20"/>
                <w:szCs w:val="20"/>
                <w:color w:val="auto"/>
              </w:rPr>
            </w:pPr>
            <w:r>
              <w:rPr>
                <w:rFonts w:ascii="Arial" w:cs="Arial" w:eastAsia="Arial" w:hAnsi="Arial"/>
                <w:sz w:val="14"/>
                <w:szCs w:val="14"/>
                <w:color w:val="auto"/>
              </w:rPr>
              <w:t>1,614</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800" w:type="dxa"/>
            <w:vAlign w:val="bottom"/>
          </w:tcPr>
          <w:p>
            <w:pPr>
              <w:ind w:left="20"/>
              <w:spacing w:after="0"/>
              <w:rPr>
                <w:sz w:val="20"/>
                <w:szCs w:val="20"/>
                <w:color w:val="auto"/>
              </w:rPr>
            </w:pPr>
            <w:r>
              <w:rPr>
                <w:rFonts w:ascii="Arial" w:cs="Arial" w:eastAsia="Arial" w:hAnsi="Arial"/>
                <w:sz w:val="14"/>
                <w:szCs w:val="14"/>
                <w:color w:val="auto"/>
              </w:rPr>
              <w:t>Oceania</w:t>
            </w:r>
          </w:p>
        </w:tc>
        <w:tc>
          <w:tcPr>
            <w:tcW w:w="620" w:type="dxa"/>
            <w:vAlign w:val="bottom"/>
            <w:shd w:val="clear" w:color="auto" w:fill="D8D8D8"/>
          </w:tcPr>
          <w:p>
            <w:pPr>
              <w:spacing w:after="0"/>
              <w:rPr>
                <w:sz w:val="13"/>
                <w:szCs w:val="13"/>
                <w:color w:val="auto"/>
              </w:rPr>
            </w:pPr>
          </w:p>
        </w:tc>
        <w:tc>
          <w:tcPr>
            <w:tcW w:w="14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800" w:type="dxa"/>
            <w:vAlign w:val="bottom"/>
          </w:tcPr>
          <w:p>
            <w:pPr>
              <w:ind w:left="140"/>
              <w:spacing w:after="0"/>
              <w:rPr>
                <w:sz w:val="20"/>
                <w:szCs w:val="20"/>
                <w:color w:val="auto"/>
              </w:rPr>
            </w:pPr>
            <w:r>
              <w:rPr>
                <w:rFonts w:ascii="Arial" w:cs="Arial" w:eastAsia="Arial" w:hAnsi="Arial"/>
                <w:sz w:val="14"/>
                <w:szCs w:val="14"/>
                <w:color w:val="auto"/>
              </w:rPr>
              <w:t>Gasolines</w:t>
            </w:r>
          </w:p>
        </w:tc>
        <w:tc>
          <w:tcPr>
            <w:tcW w:w="620" w:type="dxa"/>
            <w:vAlign w:val="bottom"/>
            <w:shd w:val="clear" w:color="auto" w:fill="D8D8D8"/>
          </w:tcPr>
          <w:p>
            <w:pPr>
              <w:jc w:val="right"/>
              <w:ind w:right="68"/>
              <w:spacing w:after="0"/>
              <w:rPr>
                <w:sz w:val="20"/>
                <w:szCs w:val="20"/>
                <w:color w:val="auto"/>
              </w:rPr>
            </w:pPr>
            <w:r>
              <w:rPr>
                <w:rFonts w:ascii="Arial" w:cs="Arial" w:eastAsia="Arial" w:hAnsi="Arial"/>
                <w:sz w:val="14"/>
                <w:szCs w:val="14"/>
                <w:color w:val="auto"/>
              </w:rPr>
              <w:t>52</w:t>
            </w:r>
          </w:p>
        </w:tc>
        <w:tc>
          <w:tcPr>
            <w:tcW w:w="1440" w:type="dxa"/>
            <w:vAlign w:val="bottom"/>
          </w:tcPr>
          <w:p>
            <w:pPr>
              <w:jc w:val="right"/>
              <w:ind w:right="849"/>
              <w:spacing w:after="0"/>
              <w:rPr>
                <w:sz w:val="20"/>
                <w:szCs w:val="20"/>
                <w:color w:val="auto"/>
              </w:rPr>
            </w:pPr>
            <w:r>
              <w:rPr>
                <w:rFonts w:ascii="Arial" w:cs="Arial" w:eastAsia="Arial" w:hAnsi="Arial"/>
                <w:sz w:val="14"/>
                <w:szCs w:val="14"/>
                <w:color w:val="auto"/>
              </w:rPr>
              <w:t>87</w:t>
            </w:r>
          </w:p>
        </w:tc>
        <w:tc>
          <w:tcPr>
            <w:tcW w:w="620" w:type="dxa"/>
            <w:vAlign w:val="bottom"/>
            <w:gridSpan w:val="2"/>
          </w:tcPr>
          <w:p>
            <w:pPr>
              <w:jc w:val="right"/>
              <w:ind w:right="100"/>
              <w:spacing w:after="0"/>
              <w:rPr>
                <w:sz w:val="20"/>
                <w:szCs w:val="20"/>
                <w:color w:val="auto"/>
              </w:rPr>
            </w:pPr>
            <w:r>
              <w:rPr>
                <w:rFonts w:ascii="Arial" w:cs="Arial" w:eastAsia="Arial" w:hAnsi="Arial"/>
                <w:sz w:val="14"/>
                <w:szCs w:val="14"/>
                <w:color w:val="auto"/>
              </w:rPr>
              <w:t>93</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800" w:type="dxa"/>
            <w:vAlign w:val="bottom"/>
          </w:tcPr>
          <w:p>
            <w:pPr>
              <w:ind w:left="140"/>
              <w:spacing w:after="0"/>
              <w:rPr>
                <w:sz w:val="20"/>
                <w:szCs w:val="20"/>
                <w:color w:val="auto"/>
              </w:rPr>
            </w:pPr>
            <w:r>
              <w:rPr>
                <w:rFonts w:ascii="Arial" w:cs="Arial" w:eastAsia="Arial" w:hAnsi="Arial"/>
                <w:sz w:val="14"/>
                <w:szCs w:val="14"/>
                <w:color w:val="auto"/>
              </w:rPr>
              <w:t>Kerosines</w:t>
            </w:r>
          </w:p>
        </w:tc>
        <w:tc>
          <w:tcPr>
            <w:tcW w:w="620" w:type="dxa"/>
            <w:vAlign w:val="bottom"/>
            <w:shd w:val="clear" w:color="auto" w:fill="D8D8D8"/>
          </w:tcPr>
          <w:p>
            <w:pPr>
              <w:jc w:val="right"/>
              <w:ind w:right="68"/>
              <w:spacing w:after="0"/>
              <w:rPr>
                <w:sz w:val="20"/>
                <w:szCs w:val="20"/>
                <w:color w:val="auto"/>
              </w:rPr>
            </w:pPr>
            <w:r>
              <w:rPr>
                <w:rFonts w:ascii="Arial" w:cs="Arial" w:eastAsia="Arial" w:hAnsi="Arial"/>
                <w:sz w:val="14"/>
                <w:szCs w:val="14"/>
                <w:color w:val="auto"/>
              </w:rPr>
              <w:t>48</w:t>
            </w:r>
          </w:p>
        </w:tc>
        <w:tc>
          <w:tcPr>
            <w:tcW w:w="1440" w:type="dxa"/>
            <w:vAlign w:val="bottom"/>
          </w:tcPr>
          <w:p>
            <w:pPr>
              <w:jc w:val="right"/>
              <w:ind w:right="849"/>
              <w:spacing w:after="0"/>
              <w:rPr>
                <w:sz w:val="20"/>
                <w:szCs w:val="20"/>
                <w:color w:val="auto"/>
              </w:rPr>
            </w:pPr>
            <w:r>
              <w:rPr>
                <w:rFonts w:ascii="Arial" w:cs="Arial" w:eastAsia="Arial" w:hAnsi="Arial"/>
                <w:sz w:val="14"/>
                <w:szCs w:val="14"/>
                <w:color w:val="auto"/>
              </w:rPr>
              <w:t>51</w:t>
            </w:r>
          </w:p>
        </w:tc>
        <w:tc>
          <w:tcPr>
            <w:tcW w:w="620" w:type="dxa"/>
            <w:vAlign w:val="bottom"/>
            <w:gridSpan w:val="2"/>
          </w:tcPr>
          <w:p>
            <w:pPr>
              <w:jc w:val="right"/>
              <w:ind w:right="100"/>
              <w:spacing w:after="0"/>
              <w:rPr>
                <w:sz w:val="20"/>
                <w:szCs w:val="20"/>
                <w:color w:val="auto"/>
              </w:rPr>
            </w:pPr>
            <w:r>
              <w:rPr>
                <w:rFonts w:ascii="Arial" w:cs="Arial" w:eastAsia="Arial" w:hAnsi="Arial"/>
                <w:sz w:val="14"/>
                <w:szCs w:val="14"/>
                <w:color w:val="auto"/>
              </w:rPr>
              <w:t>48</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800" w:type="dxa"/>
            <w:vAlign w:val="bottom"/>
          </w:tcPr>
          <w:p>
            <w:pPr>
              <w:ind w:left="140"/>
              <w:spacing w:after="0"/>
              <w:rPr>
                <w:sz w:val="20"/>
                <w:szCs w:val="20"/>
                <w:color w:val="auto"/>
              </w:rPr>
            </w:pPr>
            <w:r>
              <w:rPr>
                <w:rFonts w:ascii="Arial" w:cs="Arial" w:eastAsia="Arial" w:hAnsi="Arial"/>
                <w:sz w:val="14"/>
                <w:szCs w:val="14"/>
                <w:color w:val="auto"/>
              </w:rPr>
              <w:t>Gas/Diesel oils</w:t>
            </w:r>
          </w:p>
        </w:tc>
        <w:tc>
          <w:tcPr>
            <w:tcW w:w="620" w:type="dxa"/>
            <w:vAlign w:val="bottom"/>
            <w:shd w:val="clear" w:color="auto" w:fill="D8D8D8"/>
          </w:tcPr>
          <w:p>
            <w:pPr>
              <w:jc w:val="right"/>
              <w:ind w:right="68"/>
              <w:spacing w:after="0"/>
              <w:rPr>
                <w:sz w:val="20"/>
                <w:szCs w:val="20"/>
                <w:color w:val="auto"/>
              </w:rPr>
            </w:pPr>
            <w:r>
              <w:rPr>
                <w:rFonts w:ascii="Arial" w:cs="Arial" w:eastAsia="Arial" w:hAnsi="Arial"/>
                <w:sz w:val="14"/>
                <w:szCs w:val="14"/>
                <w:color w:val="auto"/>
              </w:rPr>
              <w:t>64</w:t>
            </w:r>
          </w:p>
        </w:tc>
        <w:tc>
          <w:tcPr>
            <w:tcW w:w="1440" w:type="dxa"/>
            <w:vAlign w:val="bottom"/>
          </w:tcPr>
          <w:p>
            <w:pPr>
              <w:jc w:val="right"/>
              <w:ind w:right="849"/>
              <w:spacing w:after="0"/>
              <w:rPr>
                <w:sz w:val="20"/>
                <w:szCs w:val="20"/>
                <w:color w:val="auto"/>
              </w:rPr>
            </w:pPr>
            <w:r>
              <w:rPr>
                <w:rFonts w:ascii="Arial" w:cs="Arial" w:eastAsia="Arial" w:hAnsi="Arial"/>
                <w:sz w:val="14"/>
                <w:szCs w:val="14"/>
                <w:color w:val="auto"/>
              </w:rPr>
              <w:t>115</w:t>
            </w:r>
          </w:p>
        </w:tc>
        <w:tc>
          <w:tcPr>
            <w:tcW w:w="620" w:type="dxa"/>
            <w:vAlign w:val="bottom"/>
            <w:gridSpan w:val="2"/>
          </w:tcPr>
          <w:p>
            <w:pPr>
              <w:jc w:val="right"/>
              <w:ind w:right="100"/>
              <w:spacing w:after="0"/>
              <w:rPr>
                <w:sz w:val="20"/>
                <w:szCs w:val="20"/>
                <w:color w:val="auto"/>
              </w:rPr>
            </w:pPr>
            <w:r>
              <w:rPr>
                <w:rFonts w:ascii="Arial" w:cs="Arial" w:eastAsia="Arial" w:hAnsi="Arial"/>
                <w:sz w:val="14"/>
                <w:szCs w:val="14"/>
                <w:color w:val="auto"/>
              </w:rPr>
              <w:t>107</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800" w:type="dxa"/>
            <w:vAlign w:val="bottom"/>
          </w:tcPr>
          <w:p>
            <w:pPr>
              <w:ind w:left="140"/>
              <w:spacing w:after="0"/>
              <w:rPr>
                <w:sz w:val="20"/>
                <w:szCs w:val="20"/>
                <w:color w:val="auto"/>
              </w:rPr>
            </w:pPr>
            <w:r>
              <w:rPr>
                <w:rFonts w:ascii="Arial" w:cs="Arial" w:eastAsia="Arial" w:hAnsi="Arial"/>
                <w:sz w:val="14"/>
                <w:szCs w:val="14"/>
                <w:color w:val="auto"/>
              </w:rPr>
              <w:t>Fuel oil</w:t>
            </w:r>
          </w:p>
        </w:tc>
        <w:tc>
          <w:tcPr>
            <w:tcW w:w="620" w:type="dxa"/>
            <w:vAlign w:val="bottom"/>
            <w:shd w:val="clear" w:color="auto" w:fill="D8D8D8"/>
          </w:tcPr>
          <w:p>
            <w:pPr>
              <w:jc w:val="right"/>
              <w:ind w:right="68"/>
              <w:spacing w:after="0"/>
              <w:rPr>
                <w:sz w:val="20"/>
                <w:szCs w:val="20"/>
                <w:color w:val="auto"/>
              </w:rPr>
            </w:pPr>
            <w:r>
              <w:rPr>
                <w:rFonts w:ascii="Arial" w:cs="Arial" w:eastAsia="Arial" w:hAnsi="Arial"/>
                <w:sz w:val="14"/>
                <w:szCs w:val="14"/>
                <w:color w:val="auto"/>
              </w:rPr>
              <w:t>–</w:t>
            </w:r>
          </w:p>
        </w:tc>
        <w:tc>
          <w:tcPr>
            <w:tcW w:w="1440" w:type="dxa"/>
            <w:vAlign w:val="bottom"/>
          </w:tcPr>
          <w:p>
            <w:pPr>
              <w:jc w:val="right"/>
              <w:ind w:right="849"/>
              <w:spacing w:after="0"/>
              <w:rPr>
                <w:sz w:val="20"/>
                <w:szCs w:val="20"/>
                <w:color w:val="auto"/>
              </w:rPr>
            </w:pPr>
            <w:r>
              <w:rPr>
                <w:rFonts w:ascii="Arial" w:cs="Arial" w:eastAsia="Arial" w:hAnsi="Arial"/>
                <w:sz w:val="14"/>
                <w:szCs w:val="14"/>
                <w:color w:val="auto"/>
              </w:rPr>
              <w:t>–</w:t>
            </w:r>
          </w:p>
        </w:tc>
        <w:tc>
          <w:tcPr>
            <w:tcW w:w="620" w:type="dxa"/>
            <w:vAlign w:val="bottom"/>
            <w:gridSpan w:val="2"/>
          </w:tcPr>
          <w:p>
            <w:pPr>
              <w:jc w:val="right"/>
              <w:ind w:right="100"/>
              <w:spacing w:after="0"/>
              <w:rPr>
                <w:sz w:val="20"/>
                <w:szCs w:val="20"/>
                <w:color w:val="auto"/>
              </w:rPr>
            </w:pPr>
            <w:r>
              <w:rPr>
                <w:rFonts w:ascii="Arial" w:cs="Arial" w:eastAsia="Arial" w:hAnsi="Arial"/>
                <w:sz w:val="14"/>
                <w:szCs w:val="14"/>
                <w:color w:val="auto"/>
              </w:rPr>
              <w:t>4</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2800" w:type="dxa"/>
            <w:vAlign w:val="bottom"/>
            <w:tcBorders>
              <w:bottom w:val="single" w:sz="8" w:color="auto"/>
            </w:tcBorders>
          </w:tcPr>
          <w:p>
            <w:pPr>
              <w:ind w:left="140"/>
              <w:spacing w:after="0" w:line="157" w:lineRule="exact"/>
              <w:rPr>
                <w:sz w:val="20"/>
                <w:szCs w:val="20"/>
                <w:color w:val="auto"/>
              </w:rPr>
            </w:pPr>
            <w:r>
              <w:rPr>
                <w:rFonts w:ascii="Arial" w:cs="Arial" w:eastAsia="Arial" w:hAnsi="Arial"/>
                <w:sz w:val="14"/>
                <w:szCs w:val="14"/>
                <w:color w:val="auto"/>
              </w:rPr>
              <w:t>Other products</w:t>
            </w:r>
          </w:p>
        </w:tc>
        <w:tc>
          <w:tcPr>
            <w:tcW w:w="620" w:type="dxa"/>
            <w:vAlign w:val="bottom"/>
            <w:tcBorders>
              <w:bottom w:val="single" w:sz="8" w:color="auto"/>
            </w:tcBorders>
            <w:shd w:val="clear" w:color="auto" w:fill="D8D8D8"/>
          </w:tcPr>
          <w:p>
            <w:pPr>
              <w:jc w:val="right"/>
              <w:ind w:right="68"/>
              <w:spacing w:after="0" w:line="157" w:lineRule="exact"/>
              <w:rPr>
                <w:sz w:val="20"/>
                <w:szCs w:val="20"/>
                <w:color w:val="auto"/>
              </w:rPr>
            </w:pPr>
            <w:r>
              <w:rPr>
                <w:rFonts w:ascii="Arial" w:cs="Arial" w:eastAsia="Arial" w:hAnsi="Arial"/>
                <w:sz w:val="14"/>
                <w:szCs w:val="14"/>
                <w:color w:val="auto"/>
              </w:rPr>
              <w:t>10</w:t>
            </w:r>
          </w:p>
        </w:tc>
        <w:tc>
          <w:tcPr>
            <w:tcW w:w="1440" w:type="dxa"/>
            <w:vAlign w:val="bottom"/>
            <w:tcBorders>
              <w:bottom w:val="single" w:sz="8" w:color="auto"/>
            </w:tcBorders>
          </w:tcPr>
          <w:p>
            <w:pPr>
              <w:jc w:val="right"/>
              <w:ind w:right="849"/>
              <w:spacing w:after="0" w:line="157" w:lineRule="exact"/>
              <w:rPr>
                <w:sz w:val="20"/>
                <w:szCs w:val="20"/>
                <w:color w:val="auto"/>
              </w:rPr>
            </w:pPr>
            <w:r>
              <w:rPr>
                <w:rFonts w:ascii="Arial" w:cs="Arial" w:eastAsia="Arial" w:hAnsi="Arial"/>
                <w:sz w:val="14"/>
                <w:szCs w:val="14"/>
                <w:color w:val="auto"/>
              </w:rPr>
              <w:t>19</w:t>
            </w:r>
          </w:p>
        </w:tc>
        <w:tc>
          <w:tcPr>
            <w:tcW w:w="620" w:type="dxa"/>
            <w:vAlign w:val="bottom"/>
            <w:tcBorders>
              <w:bottom w:val="single" w:sz="8" w:color="auto"/>
            </w:tcBorders>
            <w:gridSpan w:val="2"/>
          </w:tcPr>
          <w:p>
            <w:pPr>
              <w:jc w:val="right"/>
              <w:ind w:right="100"/>
              <w:spacing w:after="0" w:line="157" w:lineRule="exact"/>
              <w:rPr>
                <w:sz w:val="20"/>
                <w:szCs w:val="20"/>
                <w:color w:val="auto"/>
              </w:rPr>
            </w:pPr>
            <w:r>
              <w:rPr>
                <w:rFonts w:ascii="Arial" w:cs="Arial" w:eastAsia="Arial" w:hAnsi="Arial"/>
                <w:sz w:val="14"/>
                <w:szCs w:val="14"/>
                <w:color w:val="auto"/>
              </w:rPr>
              <w:t>26</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800" w:type="dxa"/>
            <w:vAlign w:val="bottom"/>
            <w:tcBorders>
              <w:bottom w:val="single" w:sz="8" w:color="auto"/>
            </w:tcBorders>
          </w:tcPr>
          <w:p>
            <w:pPr>
              <w:ind w:left="20"/>
              <w:spacing w:after="0" w:line="155" w:lineRule="exact"/>
              <w:rPr>
                <w:sz w:val="20"/>
                <w:szCs w:val="20"/>
                <w:color w:val="auto"/>
              </w:rPr>
            </w:pPr>
            <w:r>
              <w:rPr>
                <w:rFonts w:ascii="Arial" w:cs="Arial" w:eastAsia="Arial" w:hAnsi="Arial"/>
                <w:sz w:val="14"/>
                <w:szCs w:val="14"/>
                <w:color w:val="auto"/>
              </w:rPr>
              <w:t>Total</w:t>
            </w:r>
          </w:p>
        </w:tc>
        <w:tc>
          <w:tcPr>
            <w:tcW w:w="620" w:type="dxa"/>
            <w:vAlign w:val="bottom"/>
            <w:tcBorders>
              <w:bottom w:val="single" w:sz="8" w:color="auto"/>
            </w:tcBorders>
            <w:shd w:val="clear" w:color="auto" w:fill="D8D8D8"/>
          </w:tcPr>
          <w:p>
            <w:pPr>
              <w:jc w:val="right"/>
              <w:ind w:right="68"/>
              <w:spacing w:after="0" w:line="155" w:lineRule="exact"/>
              <w:rPr>
                <w:sz w:val="20"/>
                <w:szCs w:val="20"/>
                <w:color w:val="auto"/>
              </w:rPr>
            </w:pPr>
            <w:r>
              <w:rPr>
                <w:rFonts w:ascii="Arial" w:cs="Arial" w:eastAsia="Arial" w:hAnsi="Arial"/>
                <w:sz w:val="14"/>
                <w:szCs w:val="14"/>
                <w:color w:val="auto"/>
              </w:rPr>
              <w:t>174</w:t>
            </w:r>
          </w:p>
        </w:tc>
        <w:tc>
          <w:tcPr>
            <w:tcW w:w="1440" w:type="dxa"/>
            <w:vAlign w:val="bottom"/>
            <w:tcBorders>
              <w:bottom w:val="single" w:sz="8" w:color="auto"/>
            </w:tcBorders>
          </w:tcPr>
          <w:p>
            <w:pPr>
              <w:jc w:val="right"/>
              <w:ind w:right="849"/>
              <w:spacing w:after="0" w:line="155" w:lineRule="exact"/>
              <w:rPr>
                <w:sz w:val="20"/>
                <w:szCs w:val="20"/>
                <w:color w:val="auto"/>
              </w:rPr>
            </w:pPr>
            <w:r>
              <w:rPr>
                <w:rFonts w:ascii="Arial" w:cs="Arial" w:eastAsia="Arial" w:hAnsi="Arial"/>
                <w:sz w:val="14"/>
                <w:szCs w:val="14"/>
                <w:color w:val="auto"/>
              </w:rPr>
              <w:t>272</w:t>
            </w:r>
          </w:p>
        </w:tc>
        <w:tc>
          <w:tcPr>
            <w:tcW w:w="620" w:type="dxa"/>
            <w:vAlign w:val="bottom"/>
            <w:tcBorders>
              <w:bottom w:val="single" w:sz="8" w:color="auto"/>
            </w:tcBorders>
            <w:gridSpan w:val="2"/>
          </w:tcPr>
          <w:p>
            <w:pPr>
              <w:jc w:val="right"/>
              <w:ind w:right="100"/>
              <w:spacing w:after="0" w:line="155" w:lineRule="exact"/>
              <w:rPr>
                <w:sz w:val="20"/>
                <w:szCs w:val="20"/>
                <w:color w:val="auto"/>
              </w:rPr>
            </w:pPr>
            <w:r>
              <w:rPr>
                <w:rFonts w:ascii="Arial" w:cs="Arial" w:eastAsia="Arial" w:hAnsi="Arial"/>
                <w:sz w:val="14"/>
                <w:szCs w:val="14"/>
                <w:color w:val="auto"/>
              </w:rPr>
              <w:t>278</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800" w:type="dxa"/>
            <w:vAlign w:val="bottom"/>
          </w:tcPr>
          <w:p>
            <w:pPr>
              <w:ind w:left="20"/>
              <w:spacing w:after="0"/>
              <w:rPr>
                <w:sz w:val="20"/>
                <w:szCs w:val="20"/>
                <w:color w:val="auto"/>
              </w:rPr>
            </w:pPr>
            <w:r>
              <w:rPr>
                <w:rFonts w:ascii="Arial" w:cs="Arial" w:eastAsia="Arial" w:hAnsi="Arial"/>
                <w:sz w:val="14"/>
                <w:szCs w:val="14"/>
                <w:color w:val="auto"/>
              </w:rPr>
              <w:t>Africa</w:t>
            </w:r>
          </w:p>
        </w:tc>
        <w:tc>
          <w:tcPr>
            <w:tcW w:w="620" w:type="dxa"/>
            <w:vAlign w:val="bottom"/>
            <w:shd w:val="clear" w:color="auto" w:fill="D8D8D8"/>
          </w:tcPr>
          <w:p>
            <w:pPr>
              <w:spacing w:after="0"/>
              <w:rPr>
                <w:sz w:val="13"/>
                <w:szCs w:val="13"/>
                <w:color w:val="auto"/>
              </w:rPr>
            </w:pPr>
          </w:p>
        </w:tc>
        <w:tc>
          <w:tcPr>
            <w:tcW w:w="14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800" w:type="dxa"/>
            <w:vAlign w:val="bottom"/>
          </w:tcPr>
          <w:p>
            <w:pPr>
              <w:ind w:left="140"/>
              <w:spacing w:after="0"/>
              <w:rPr>
                <w:sz w:val="20"/>
                <w:szCs w:val="20"/>
                <w:color w:val="auto"/>
              </w:rPr>
            </w:pPr>
            <w:r>
              <w:rPr>
                <w:rFonts w:ascii="Arial" w:cs="Arial" w:eastAsia="Arial" w:hAnsi="Arial"/>
                <w:sz w:val="14"/>
                <w:szCs w:val="14"/>
                <w:color w:val="auto"/>
              </w:rPr>
              <w:t>Gasolines</w:t>
            </w:r>
          </w:p>
        </w:tc>
        <w:tc>
          <w:tcPr>
            <w:tcW w:w="620" w:type="dxa"/>
            <w:vAlign w:val="bottom"/>
            <w:shd w:val="clear" w:color="auto" w:fill="D8D8D8"/>
          </w:tcPr>
          <w:p>
            <w:pPr>
              <w:jc w:val="right"/>
              <w:ind w:right="68"/>
              <w:spacing w:after="0"/>
              <w:rPr>
                <w:sz w:val="20"/>
                <w:szCs w:val="20"/>
                <w:color w:val="auto"/>
              </w:rPr>
            </w:pPr>
            <w:r>
              <w:rPr>
                <w:rFonts w:ascii="Arial" w:cs="Arial" w:eastAsia="Arial" w:hAnsi="Arial"/>
                <w:sz w:val="14"/>
                <w:szCs w:val="14"/>
                <w:color w:val="auto"/>
              </w:rPr>
              <w:t>36</w:t>
            </w:r>
          </w:p>
        </w:tc>
        <w:tc>
          <w:tcPr>
            <w:tcW w:w="1440" w:type="dxa"/>
            <w:vAlign w:val="bottom"/>
          </w:tcPr>
          <w:p>
            <w:pPr>
              <w:jc w:val="right"/>
              <w:ind w:right="849"/>
              <w:spacing w:after="0"/>
              <w:rPr>
                <w:sz w:val="20"/>
                <w:szCs w:val="20"/>
                <w:color w:val="auto"/>
              </w:rPr>
            </w:pPr>
            <w:r>
              <w:rPr>
                <w:rFonts w:ascii="Arial" w:cs="Arial" w:eastAsia="Arial" w:hAnsi="Arial"/>
                <w:sz w:val="14"/>
                <w:szCs w:val="14"/>
                <w:color w:val="auto"/>
              </w:rPr>
              <w:t>45</w:t>
            </w:r>
          </w:p>
        </w:tc>
        <w:tc>
          <w:tcPr>
            <w:tcW w:w="620" w:type="dxa"/>
            <w:vAlign w:val="bottom"/>
            <w:gridSpan w:val="2"/>
          </w:tcPr>
          <w:p>
            <w:pPr>
              <w:jc w:val="right"/>
              <w:ind w:right="100"/>
              <w:spacing w:after="0"/>
              <w:rPr>
                <w:sz w:val="20"/>
                <w:szCs w:val="20"/>
                <w:color w:val="auto"/>
              </w:rPr>
            </w:pPr>
            <w:r>
              <w:rPr>
                <w:rFonts w:ascii="Arial" w:cs="Arial" w:eastAsia="Arial" w:hAnsi="Arial"/>
                <w:sz w:val="14"/>
                <w:szCs w:val="14"/>
                <w:color w:val="auto"/>
              </w:rPr>
              <w:t>58</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800" w:type="dxa"/>
            <w:vAlign w:val="bottom"/>
          </w:tcPr>
          <w:p>
            <w:pPr>
              <w:ind w:left="140"/>
              <w:spacing w:after="0"/>
              <w:rPr>
                <w:sz w:val="20"/>
                <w:szCs w:val="20"/>
                <w:color w:val="auto"/>
              </w:rPr>
            </w:pPr>
            <w:r>
              <w:rPr>
                <w:rFonts w:ascii="Arial" w:cs="Arial" w:eastAsia="Arial" w:hAnsi="Arial"/>
                <w:sz w:val="14"/>
                <w:szCs w:val="14"/>
                <w:color w:val="auto"/>
              </w:rPr>
              <w:t>Kerosines</w:t>
            </w:r>
          </w:p>
        </w:tc>
        <w:tc>
          <w:tcPr>
            <w:tcW w:w="620" w:type="dxa"/>
            <w:vAlign w:val="bottom"/>
            <w:shd w:val="clear" w:color="auto" w:fill="D8D8D8"/>
          </w:tcPr>
          <w:p>
            <w:pPr>
              <w:jc w:val="right"/>
              <w:ind w:right="68"/>
              <w:spacing w:after="0"/>
              <w:rPr>
                <w:sz w:val="20"/>
                <w:szCs w:val="20"/>
                <w:color w:val="auto"/>
              </w:rPr>
            </w:pPr>
            <w:r>
              <w:rPr>
                <w:rFonts w:ascii="Arial" w:cs="Arial" w:eastAsia="Arial" w:hAnsi="Arial"/>
                <w:sz w:val="14"/>
                <w:szCs w:val="14"/>
                <w:color w:val="auto"/>
              </w:rPr>
              <w:t>9</w:t>
            </w:r>
          </w:p>
        </w:tc>
        <w:tc>
          <w:tcPr>
            <w:tcW w:w="1440" w:type="dxa"/>
            <w:vAlign w:val="bottom"/>
          </w:tcPr>
          <w:p>
            <w:pPr>
              <w:jc w:val="right"/>
              <w:ind w:right="849"/>
              <w:spacing w:after="0"/>
              <w:rPr>
                <w:sz w:val="20"/>
                <w:szCs w:val="20"/>
                <w:color w:val="auto"/>
              </w:rPr>
            </w:pPr>
            <w:r>
              <w:rPr>
                <w:rFonts w:ascii="Arial" w:cs="Arial" w:eastAsia="Arial" w:hAnsi="Arial"/>
                <w:sz w:val="14"/>
                <w:szCs w:val="14"/>
                <w:color w:val="auto"/>
              </w:rPr>
              <w:t>9</w:t>
            </w:r>
          </w:p>
        </w:tc>
        <w:tc>
          <w:tcPr>
            <w:tcW w:w="620" w:type="dxa"/>
            <w:vAlign w:val="bottom"/>
            <w:gridSpan w:val="2"/>
          </w:tcPr>
          <w:p>
            <w:pPr>
              <w:jc w:val="right"/>
              <w:ind w:right="100"/>
              <w:spacing w:after="0"/>
              <w:rPr>
                <w:sz w:val="20"/>
                <w:szCs w:val="20"/>
                <w:color w:val="auto"/>
              </w:rPr>
            </w:pPr>
            <w:r>
              <w:rPr>
                <w:rFonts w:ascii="Arial" w:cs="Arial" w:eastAsia="Arial" w:hAnsi="Arial"/>
                <w:sz w:val="14"/>
                <w:szCs w:val="14"/>
                <w:color w:val="auto"/>
              </w:rPr>
              <w:t>16</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800" w:type="dxa"/>
            <w:vAlign w:val="bottom"/>
          </w:tcPr>
          <w:p>
            <w:pPr>
              <w:ind w:left="140"/>
              <w:spacing w:after="0"/>
              <w:rPr>
                <w:sz w:val="20"/>
                <w:szCs w:val="20"/>
                <w:color w:val="auto"/>
              </w:rPr>
            </w:pPr>
            <w:r>
              <w:rPr>
                <w:rFonts w:ascii="Arial" w:cs="Arial" w:eastAsia="Arial" w:hAnsi="Arial"/>
                <w:sz w:val="14"/>
                <w:szCs w:val="14"/>
                <w:color w:val="auto"/>
              </w:rPr>
              <w:t>Gas/Diesel oils</w:t>
            </w:r>
          </w:p>
        </w:tc>
        <w:tc>
          <w:tcPr>
            <w:tcW w:w="620" w:type="dxa"/>
            <w:vAlign w:val="bottom"/>
            <w:shd w:val="clear" w:color="auto" w:fill="D8D8D8"/>
          </w:tcPr>
          <w:p>
            <w:pPr>
              <w:jc w:val="right"/>
              <w:ind w:right="68"/>
              <w:spacing w:after="0"/>
              <w:rPr>
                <w:sz w:val="20"/>
                <w:szCs w:val="20"/>
                <w:color w:val="auto"/>
              </w:rPr>
            </w:pPr>
            <w:r>
              <w:rPr>
                <w:rFonts w:ascii="Arial" w:cs="Arial" w:eastAsia="Arial" w:hAnsi="Arial"/>
                <w:sz w:val="14"/>
                <w:szCs w:val="14"/>
                <w:color w:val="auto"/>
              </w:rPr>
              <w:t>52</w:t>
            </w:r>
          </w:p>
        </w:tc>
        <w:tc>
          <w:tcPr>
            <w:tcW w:w="1440" w:type="dxa"/>
            <w:vAlign w:val="bottom"/>
          </w:tcPr>
          <w:p>
            <w:pPr>
              <w:jc w:val="right"/>
              <w:ind w:right="849"/>
              <w:spacing w:after="0"/>
              <w:rPr>
                <w:sz w:val="20"/>
                <w:szCs w:val="20"/>
                <w:color w:val="auto"/>
              </w:rPr>
            </w:pPr>
            <w:r>
              <w:rPr>
                <w:rFonts w:ascii="Arial" w:cs="Arial" w:eastAsia="Arial" w:hAnsi="Arial"/>
                <w:sz w:val="14"/>
                <w:szCs w:val="14"/>
                <w:color w:val="auto"/>
              </w:rPr>
              <w:t>43</w:t>
            </w:r>
          </w:p>
        </w:tc>
        <w:tc>
          <w:tcPr>
            <w:tcW w:w="620" w:type="dxa"/>
            <w:vAlign w:val="bottom"/>
            <w:gridSpan w:val="2"/>
          </w:tcPr>
          <w:p>
            <w:pPr>
              <w:jc w:val="right"/>
              <w:ind w:right="100"/>
              <w:spacing w:after="0"/>
              <w:rPr>
                <w:sz w:val="20"/>
                <w:szCs w:val="20"/>
                <w:color w:val="auto"/>
              </w:rPr>
            </w:pPr>
            <w:r>
              <w:rPr>
                <w:rFonts w:ascii="Arial" w:cs="Arial" w:eastAsia="Arial" w:hAnsi="Arial"/>
                <w:sz w:val="14"/>
                <w:szCs w:val="14"/>
                <w:color w:val="auto"/>
              </w:rPr>
              <w:t>53</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800" w:type="dxa"/>
            <w:vAlign w:val="bottom"/>
          </w:tcPr>
          <w:p>
            <w:pPr>
              <w:ind w:left="140"/>
              <w:spacing w:after="0"/>
              <w:rPr>
                <w:sz w:val="20"/>
                <w:szCs w:val="20"/>
                <w:color w:val="auto"/>
              </w:rPr>
            </w:pPr>
            <w:r>
              <w:rPr>
                <w:rFonts w:ascii="Arial" w:cs="Arial" w:eastAsia="Arial" w:hAnsi="Arial"/>
                <w:sz w:val="14"/>
                <w:szCs w:val="14"/>
                <w:color w:val="auto"/>
              </w:rPr>
              <w:t>Fuel oil</w:t>
            </w:r>
          </w:p>
        </w:tc>
        <w:tc>
          <w:tcPr>
            <w:tcW w:w="620" w:type="dxa"/>
            <w:vAlign w:val="bottom"/>
            <w:shd w:val="clear" w:color="auto" w:fill="D8D8D8"/>
          </w:tcPr>
          <w:p>
            <w:pPr>
              <w:jc w:val="right"/>
              <w:ind w:right="68"/>
              <w:spacing w:after="0"/>
              <w:rPr>
                <w:sz w:val="20"/>
                <w:szCs w:val="20"/>
                <w:color w:val="auto"/>
              </w:rPr>
            </w:pPr>
            <w:r>
              <w:rPr>
                <w:rFonts w:ascii="Arial" w:cs="Arial" w:eastAsia="Arial" w:hAnsi="Arial"/>
                <w:sz w:val="14"/>
                <w:szCs w:val="14"/>
                <w:color w:val="auto"/>
              </w:rPr>
              <w:t>–</w:t>
            </w:r>
          </w:p>
        </w:tc>
        <w:tc>
          <w:tcPr>
            <w:tcW w:w="1440" w:type="dxa"/>
            <w:vAlign w:val="bottom"/>
          </w:tcPr>
          <w:p>
            <w:pPr>
              <w:jc w:val="right"/>
              <w:ind w:right="849"/>
              <w:spacing w:after="0"/>
              <w:rPr>
                <w:sz w:val="20"/>
                <w:szCs w:val="20"/>
                <w:color w:val="auto"/>
              </w:rPr>
            </w:pPr>
            <w:r>
              <w:rPr>
                <w:rFonts w:ascii="Arial" w:cs="Arial" w:eastAsia="Arial" w:hAnsi="Arial"/>
                <w:sz w:val="14"/>
                <w:szCs w:val="14"/>
                <w:color w:val="auto"/>
              </w:rPr>
              <w:t>3</w:t>
            </w:r>
          </w:p>
        </w:tc>
        <w:tc>
          <w:tcPr>
            <w:tcW w:w="620" w:type="dxa"/>
            <w:vAlign w:val="bottom"/>
            <w:gridSpan w:val="2"/>
          </w:tcPr>
          <w:p>
            <w:pPr>
              <w:jc w:val="right"/>
              <w:ind w:right="100"/>
              <w:spacing w:after="0"/>
              <w:rPr>
                <w:sz w:val="20"/>
                <w:szCs w:val="20"/>
                <w:color w:val="auto"/>
              </w:rPr>
            </w:pPr>
            <w:r>
              <w:rPr>
                <w:rFonts w:ascii="Arial" w:cs="Arial" w:eastAsia="Arial" w:hAnsi="Arial"/>
                <w:sz w:val="14"/>
                <w:szCs w:val="14"/>
                <w:color w:val="auto"/>
              </w:rPr>
              <w:t>9</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2800" w:type="dxa"/>
            <w:vAlign w:val="bottom"/>
            <w:tcBorders>
              <w:bottom w:val="single" w:sz="8" w:color="auto"/>
            </w:tcBorders>
          </w:tcPr>
          <w:p>
            <w:pPr>
              <w:ind w:left="140"/>
              <w:spacing w:after="0" w:line="157" w:lineRule="exact"/>
              <w:rPr>
                <w:sz w:val="20"/>
                <w:szCs w:val="20"/>
                <w:color w:val="auto"/>
              </w:rPr>
            </w:pPr>
            <w:r>
              <w:rPr>
                <w:rFonts w:ascii="Arial" w:cs="Arial" w:eastAsia="Arial" w:hAnsi="Arial"/>
                <w:sz w:val="14"/>
                <w:szCs w:val="14"/>
                <w:color w:val="auto"/>
              </w:rPr>
              <w:t>Other products</w:t>
            </w:r>
          </w:p>
        </w:tc>
        <w:tc>
          <w:tcPr>
            <w:tcW w:w="620" w:type="dxa"/>
            <w:vAlign w:val="bottom"/>
            <w:tcBorders>
              <w:bottom w:val="single" w:sz="8" w:color="auto"/>
            </w:tcBorders>
            <w:shd w:val="clear" w:color="auto" w:fill="D8D8D8"/>
          </w:tcPr>
          <w:p>
            <w:pPr>
              <w:jc w:val="right"/>
              <w:ind w:right="68"/>
              <w:spacing w:after="0" w:line="157" w:lineRule="exact"/>
              <w:rPr>
                <w:sz w:val="20"/>
                <w:szCs w:val="20"/>
                <w:color w:val="auto"/>
              </w:rPr>
            </w:pPr>
            <w:r>
              <w:rPr>
                <w:rFonts w:ascii="Arial" w:cs="Arial" w:eastAsia="Arial" w:hAnsi="Arial"/>
                <w:sz w:val="14"/>
                <w:szCs w:val="14"/>
                <w:color w:val="auto"/>
              </w:rPr>
              <w:t>7</w:t>
            </w:r>
          </w:p>
        </w:tc>
        <w:tc>
          <w:tcPr>
            <w:tcW w:w="1440" w:type="dxa"/>
            <w:vAlign w:val="bottom"/>
            <w:tcBorders>
              <w:bottom w:val="single" w:sz="8" w:color="auto"/>
            </w:tcBorders>
          </w:tcPr>
          <w:p>
            <w:pPr>
              <w:jc w:val="right"/>
              <w:ind w:right="849"/>
              <w:spacing w:after="0" w:line="157" w:lineRule="exact"/>
              <w:rPr>
                <w:sz w:val="20"/>
                <w:szCs w:val="20"/>
                <w:color w:val="auto"/>
              </w:rPr>
            </w:pPr>
            <w:r>
              <w:rPr>
                <w:rFonts w:ascii="Arial" w:cs="Arial" w:eastAsia="Arial" w:hAnsi="Arial"/>
                <w:sz w:val="14"/>
                <w:szCs w:val="14"/>
                <w:color w:val="auto"/>
              </w:rPr>
              <w:t>15</w:t>
            </w:r>
          </w:p>
        </w:tc>
        <w:tc>
          <w:tcPr>
            <w:tcW w:w="620" w:type="dxa"/>
            <w:vAlign w:val="bottom"/>
            <w:tcBorders>
              <w:bottom w:val="single" w:sz="8" w:color="auto"/>
            </w:tcBorders>
            <w:gridSpan w:val="2"/>
          </w:tcPr>
          <w:p>
            <w:pPr>
              <w:jc w:val="right"/>
              <w:ind w:right="100"/>
              <w:spacing w:after="0" w:line="157" w:lineRule="exact"/>
              <w:rPr>
                <w:sz w:val="20"/>
                <w:szCs w:val="20"/>
                <w:color w:val="auto"/>
              </w:rPr>
            </w:pPr>
            <w:r>
              <w:rPr>
                <w:rFonts w:ascii="Arial" w:cs="Arial" w:eastAsia="Arial" w:hAnsi="Arial"/>
                <w:sz w:val="14"/>
                <w:szCs w:val="14"/>
                <w:color w:val="auto"/>
              </w:rPr>
              <w:t>13</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800" w:type="dxa"/>
            <w:vAlign w:val="bottom"/>
            <w:tcBorders>
              <w:bottom w:val="single" w:sz="8" w:color="auto"/>
            </w:tcBorders>
          </w:tcPr>
          <w:p>
            <w:pPr>
              <w:ind w:left="20"/>
              <w:spacing w:after="0" w:line="155" w:lineRule="exact"/>
              <w:rPr>
                <w:sz w:val="20"/>
                <w:szCs w:val="20"/>
                <w:color w:val="auto"/>
              </w:rPr>
            </w:pPr>
            <w:r>
              <w:rPr>
                <w:rFonts w:ascii="Arial" w:cs="Arial" w:eastAsia="Arial" w:hAnsi="Arial"/>
                <w:sz w:val="14"/>
                <w:szCs w:val="14"/>
                <w:color w:val="auto"/>
              </w:rPr>
              <w:t>Total</w:t>
            </w:r>
          </w:p>
        </w:tc>
        <w:tc>
          <w:tcPr>
            <w:tcW w:w="620" w:type="dxa"/>
            <w:vAlign w:val="bottom"/>
            <w:tcBorders>
              <w:bottom w:val="single" w:sz="8" w:color="auto"/>
            </w:tcBorders>
            <w:shd w:val="clear" w:color="auto" w:fill="D8D8D8"/>
          </w:tcPr>
          <w:p>
            <w:pPr>
              <w:jc w:val="right"/>
              <w:ind w:right="68"/>
              <w:spacing w:after="0" w:line="155" w:lineRule="exact"/>
              <w:rPr>
                <w:sz w:val="20"/>
                <w:szCs w:val="20"/>
                <w:color w:val="auto"/>
              </w:rPr>
            </w:pPr>
            <w:r>
              <w:rPr>
                <w:rFonts w:ascii="Arial" w:cs="Arial" w:eastAsia="Arial" w:hAnsi="Arial"/>
                <w:sz w:val="14"/>
                <w:szCs w:val="14"/>
                <w:color w:val="auto"/>
              </w:rPr>
              <w:t>104</w:t>
            </w:r>
          </w:p>
        </w:tc>
        <w:tc>
          <w:tcPr>
            <w:tcW w:w="1440" w:type="dxa"/>
            <w:vAlign w:val="bottom"/>
            <w:tcBorders>
              <w:bottom w:val="single" w:sz="8" w:color="auto"/>
            </w:tcBorders>
          </w:tcPr>
          <w:p>
            <w:pPr>
              <w:jc w:val="right"/>
              <w:ind w:right="849"/>
              <w:spacing w:after="0" w:line="155" w:lineRule="exact"/>
              <w:rPr>
                <w:sz w:val="20"/>
                <w:szCs w:val="20"/>
                <w:color w:val="auto"/>
              </w:rPr>
            </w:pPr>
            <w:r>
              <w:rPr>
                <w:rFonts w:ascii="Arial" w:cs="Arial" w:eastAsia="Arial" w:hAnsi="Arial"/>
                <w:sz w:val="14"/>
                <w:szCs w:val="14"/>
                <w:color w:val="auto"/>
              </w:rPr>
              <w:t>115</w:t>
            </w:r>
          </w:p>
        </w:tc>
        <w:tc>
          <w:tcPr>
            <w:tcW w:w="620" w:type="dxa"/>
            <w:vAlign w:val="bottom"/>
            <w:tcBorders>
              <w:bottom w:val="single" w:sz="8" w:color="auto"/>
            </w:tcBorders>
            <w:gridSpan w:val="2"/>
          </w:tcPr>
          <w:p>
            <w:pPr>
              <w:jc w:val="right"/>
              <w:ind w:right="100"/>
              <w:spacing w:after="0" w:line="155" w:lineRule="exact"/>
              <w:rPr>
                <w:sz w:val="20"/>
                <w:szCs w:val="20"/>
                <w:color w:val="auto"/>
              </w:rPr>
            </w:pPr>
            <w:r>
              <w:rPr>
                <w:rFonts w:ascii="Arial" w:cs="Arial" w:eastAsia="Arial" w:hAnsi="Arial"/>
                <w:sz w:val="14"/>
                <w:szCs w:val="14"/>
                <w:color w:val="auto"/>
              </w:rPr>
              <w:t>149</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800" w:type="dxa"/>
            <w:vAlign w:val="bottom"/>
          </w:tcPr>
          <w:p>
            <w:pPr>
              <w:ind w:left="20"/>
              <w:spacing w:after="0"/>
              <w:rPr>
                <w:sz w:val="20"/>
                <w:szCs w:val="20"/>
                <w:color w:val="auto"/>
              </w:rPr>
            </w:pPr>
            <w:r>
              <w:rPr>
                <w:rFonts w:ascii="Arial" w:cs="Arial" w:eastAsia="Arial" w:hAnsi="Arial"/>
                <w:sz w:val="14"/>
                <w:szCs w:val="14"/>
                <w:color w:val="auto"/>
              </w:rPr>
              <w:t>Americas</w:t>
            </w:r>
          </w:p>
        </w:tc>
        <w:tc>
          <w:tcPr>
            <w:tcW w:w="620" w:type="dxa"/>
            <w:vAlign w:val="bottom"/>
            <w:shd w:val="clear" w:color="auto" w:fill="D8D8D8"/>
          </w:tcPr>
          <w:p>
            <w:pPr>
              <w:spacing w:after="0"/>
              <w:rPr>
                <w:sz w:val="13"/>
                <w:szCs w:val="13"/>
                <w:color w:val="auto"/>
              </w:rPr>
            </w:pPr>
          </w:p>
        </w:tc>
        <w:tc>
          <w:tcPr>
            <w:tcW w:w="14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800" w:type="dxa"/>
            <w:vAlign w:val="bottom"/>
          </w:tcPr>
          <w:p>
            <w:pPr>
              <w:ind w:left="140"/>
              <w:spacing w:after="0"/>
              <w:rPr>
                <w:sz w:val="20"/>
                <w:szCs w:val="20"/>
                <w:color w:val="auto"/>
              </w:rPr>
            </w:pPr>
            <w:r>
              <w:rPr>
                <w:rFonts w:ascii="Arial" w:cs="Arial" w:eastAsia="Arial" w:hAnsi="Arial"/>
                <w:sz w:val="14"/>
                <w:szCs w:val="14"/>
                <w:color w:val="auto"/>
              </w:rPr>
              <w:t>Gasolines</w:t>
            </w:r>
          </w:p>
        </w:tc>
        <w:tc>
          <w:tcPr>
            <w:tcW w:w="620" w:type="dxa"/>
            <w:vAlign w:val="bottom"/>
            <w:shd w:val="clear" w:color="auto" w:fill="D8D8D8"/>
          </w:tcPr>
          <w:p>
            <w:pPr>
              <w:jc w:val="right"/>
              <w:ind w:right="68"/>
              <w:spacing w:after="0"/>
              <w:rPr>
                <w:sz w:val="20"/>
                <w:szCs w:val="20"/>
                <w:color w:val="auto"/>
              </w:rPr>
            </w:pPr>
            <w:r>
              <w:rPr>
                <w:rFonts w:ascii="Arial" w:cs="Arial" w:eastAsia="Arial" w:hAnsi="Arial"/>
                <w:sz w:val="14"/>
                <w:szCs w:val="14"/>
                <w:color w:val="auto"/>
              </w:rPr>
              <w:t>1,268</w:t>
            </w:r>
          </w:p>
        </w:tc>
        <w:tc>
          <w:tcPr>
            <w:tcW w:w="1440" w:type="dxa"/>
            <w:vAlign w:val="bottom"/>
          </w:tcPr>
          <w:p>
            <w:pPr>
              <w:jc w:val="right"/>
              <w:ind w:right="849"/>
              <w:spacing w:after="0"/>
              <w:rPr>
                <w:sz w:val="20"/>
                <w:szCs w:val="20"/>
                <w:color w:val="auto"/>
              </w:rPr>
            </w:pPr>
            <w:r>
              <w:rPr>
                <w:rFonts w:ascii="Arial" w:cs="Arial" w:eastAsia="Arial" w:hAnsi="Arial"/>
                <w:sz w:val="14"/>
                <w:szCs w:val="14"/>
                <w:color w:val="auto"/>
              </w:rPr>
              <w:t>1,149</w:t>
            </w:r>
          </w:p>
        </w:tc>
        <w:tc>
          <w:tcPr>
            <w:tcW w:w="620" w:type="dxa"/>
            <w:vAlign w:val="bottom"/>
            <w:gridSpan w:val="2"/>
          </w:tcPr>
          <w:p>
            <w:pPr>
              <w:jc w:val="right"/>
              <w:ind w:right="100"/>
              <w:spacing w:after="0"/>
              <w:rPr>
                <w:sz w:val="20"/>
                <w:szCs w:val="20"/>
                <w:color w:val="auto"/>
              </w:rPr>
            </w:pPr>
            <w:r>
              <w:rPr>
                <w:rFonts w:ascii="Arial" w:cs="Arial" w:eastAsia="Arial" w:hAnsi="Arial"/>
                <w:sz w:val="14"/>
                <w:szCs w:val="14"/>
                <w:color w:val="auto"/>
              </w:rPr>
              <w:t>1,123</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800" w:type="dxa"/>
            <w:vAlign w:val="bottom"/>
          </w:tcPr>
          <w:p>
            <w:pPr>
              <w:ind w:left="140"/>
              <w:spacing w:after="0"/>
              <w:rPr>
                <w:sz w:val="20"/>
                <w:szCs w:val="20"/>
                <w:color w:val="auto"/>
              </w:rPr>
            </w:pPr>
            <w:r>
              <w:rPr>
                <w:rFonts w:ascii="Arial" w:cs="Arial" w:eastAsia="Arial" w:hAnsi="Arial"/>
                <w:sz w:val="14"/>
                <w:szCs w:val="14"/>
                <w:color w:val="auto"/>
              </w:rPr>
              <w:t>Kerosines</w:t>
            </w:r>
          </w:p>
        </w:tc>
        <w:tc>
          <w:tcPr>
            <w:tcW w:w="620" w:type="dxa"/>
            <w:vAlign w:val="bottom"/>
            <w:shd w:val="clear" w:color="auto" w:fill="D8D8D8"/>
          </w:tcPr>
          <w:p>
            <w:pPr>
              <w:jc w:val="right"/>
              <w:ind w:right="68"/>
              <w:spacing w:after="0"/>
              <w:rPr>
                <w:sz w:val="20"/>
                <w:szCs w:val="20"/>
                <w:color w:val="auto"/>
              </w:rPr>
            </w:pPr>
            <w:r>
              <w:rPr>
                <w:rFonts w:ascii="Arial" w:cs="Arial" w:eastAsia="Arial" w:hAnsi="Arial"/>
                <w:sz w:val="14"/>
                <w:szCs w:val="14"/>
                <w:color w:val="auto"/>
              </w:rPr>
              <w:t>206</w:t>
            </w:r>
          </w:p>
        </w:tc>
        <w:tc>
          <w:tcPr>
            <w:tcW w:w="1440" w:type="dxa"/>
            <w:vAlign w:val="bottom"/>
          </w:tcPr>
          <w:p>
            <w:pPr>
              <w:jc w:val="right"/>
              <w:ind w:right="849"/>
              <w:spacing w:after="0"/>
              <w:rPr>
                <w:sz w:val="20"/>
                <w:szCs w:val="20"/>
                <w:color w:val="auto"/>
              </w:rPr>
            </w:pPr>
            <w:r>
              <w:rPr>
                <w:rFonts w:ascii="Arial" w:cs="Arial" w:eastAsia="Arial" w:hAnsi="Arial"/>
                <w:sz w:val="14"/>
                <w:szCs w:val="14"/>
                <w:color w:val="auto"/>
              </w:rPr>
              <w:t>234</w:t>
            </w:r>
          </w:p>
        </w:tc>
        <w:tc>
          <w:tcPr>
            <w:tcW w:w="620" w:type="dxa"/>
            <w:vAlign w:val="bottom"/>
            <w:gridSpan w:val="2"/>
          </w:tcPr>
          <w:p>
            <w:pPr>
              <w:jc w:val="right"/>
              <w:ind w:right="100"/>
              <w:spacing w:after="0"/>
              <w:rPr>
                <w:sz w:val="20"/>
                <w:szCs w:val="20"/>
                <w:color w:val="auto"/>
              </w:rPr>
            </w:pPr>
            <w:r>
              <w:rPr>
                <w:rFonts w:ascii="Arial" w:cs="Arial" w:eastAsia="Arial" w:hAnsi="Arial"/>
                <w:sz w:val="14"/>
                <w:szCs w:val="14"/>
                <w:color w:val="auto"/>
              </w:rPr>
              <w:t>264</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800" w:type="dxa"/>
            <w:vAlign w:val="bottom"/>
          </w:tcPr>
          <w:p>
            <w:pPr>
              <w:ind w:left="140"/>
              <w:spacing w:after="0"/>
              <w:rPr>
                <w:sz w:val="20"/>
                <w:szCs w:val="20"/>
                <w:color w:val="auto"/>
              </w:rPr>
            </w:pPr>
            <w:r>
              <w:rPr>
                <w:rFonts w:ascii="Arial" w:cs="Arial" w:eastAsia="Arial" w:hAnsi="Arial"/>
                <w:sz w:val="14"/>
                <w:szCs w:val="14"/>
                <w:color w:val="auto"/>
              </w:rPr>
              <w:t>Gas/Diesel oils</w:t>
            </w:r>
          </w:p>
        </w:tc>
        <w:tc>
          <w:tcPr>
            <w:tcW w:w="620" w:type="dxa"/>
            <w:vAlign w:val="bottom"/>
            <w:shd w:val="clear" w:color="auto" w:fill="D8D8D8"/>
          </w:tcPr>
          <w:p>
            <w:pPr>
              <w:jc w:val="right"/>
              <w:ind w:right="68"/>
              <w:spacing w:after="0"/>
              <w:rPr>
                <w:sz w:val="20"/>
                <w:szCs w:val="20"/>
                <w:color w:val="auto"/>
              </w:rPr>
            </w:pPr>
            <w:r>
              <w:rPr>
                <w:rFonts w:ascii="Arial" w:cs="Arial" w:eastAsia="Arial" w:hAnsi="Arial"/>
                <w:sz w:val="14"/>
                <w:szCs w:val="14"/>
                <w:color w:val="auto"/>
              </w:rPr>
              <w:t>583</w:t>
            </w:r>
          </w:p>
        </w:tc>
        <w:tc>
          <w:tcPr>
            <w:tcW w:w="1440" w:type="dxa"/>
            <w:vAlign w:val="bottom"/>
          </w:tcPr>
          <w:p>
            <w:pPr>
              <w:jc w:val="right"/>
              <w:ind w:right="849"/>
              <w:spacing w:after="0"/>
              <w:rPr>
                <w:sz w:val="20"/>
                <w:szCs w:val="20"/>
                <w:color w:val="auto"/>
              </w:rPr>
            </w:pPr>
            <w:r>
              <w:rPr>
                <w:rFonts w:ascii="Arial" w:cs="Arial" w:eastAsia="Arial" w:hAnsi="Arial"/>
                <w:sz w:val="14"/>
                <w:szCs w:val="14"/>
                <w:color w:val="auto"/>
              </w:rPr>
              <w:t>519</w:t>
            </w:r>
          </w:p>
        </w:tc>
        <w:tc>
          <w:tcPr>
            <w:tcW w:w="620" w:type="dxa"/>
            <w:vAlign w:val="bottom"/>
            <w:gridSpan w:val="2"/>
          </w:tcPr>
          <w:p>
            <w:pPr>
              <w:jc w:val="right"/>
              <w:ind w:right="100"/>
              <w:spacing w:after="0"/>
              <w:rPr>
                <w:sz w:val="20"/>
                <w:szCs w:val="20"/>
                <w:color w:val="auto"/>
              </w:rPr>
            </w:pPr>
            <w:r>
              <w:rPr>
                <w:rFonts w:ascii="Arial" w:cs="Arial" w:eastAsia="Arial" w:hAnsi="Arial"/>
                <w:sz w:val="14"/>
                <w:szCs w:val="14"/>
                <w:color w:val="auto"/>
              </w:rPr>
              <w:t>528</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800" w:type="dxa"/>
            <w:vAlign w:val="bottom"/>
          </w:tcPr>
          <w:p>
            <w:pPr>
              <w:ind w:left="140"/>
              <w:spacing w:after="0"/>
              <w:rPr>
                <w:sz w:val="20"/>
                <w:szCs w:val="20"/>
                <w:color w:val="auto"/>
              </w:rPr>
            </w:pPr>
            <w:r>
              <w:rPr>
                <w:rFonts w:ascii="Arial" w:cs="Arial" w:eastAsia="Arial" w:hAnsi="Arial"/>
                <w:sz w:val="14"/>
                <w:szCs w:val="14"/>
                <w:color w:val="auto"/>
              </w:rPr>
              <w:t>Fuel oil</w:t>
            </w:r>
          </w:p>
        </w:tc>
        <w:tc>
          <w:tcPr>
            <w:tcW w:w="620" w:type="dxa"/>
            <w:vAlign w:val="bottom"/>
            <w:shd w:val="clear" w:color="auto" w:fill="D8D8D8"/>
          </w:tcPr>
          <w:p>
            <w:pPr>
              <w:jc w:val="right"/>
              <w:ind w:right="68"/>
              <w:spacing w:after="0"/>
              <w:rPr>
                <w:sz w:val="20"/>
                <w:szCs w:val="20"/>
                <w:color w:val="auto"/>
              </w:rPr>
            </w:pPr>
            <w:r>
              <w:rPr>
                <w:rFonts w:ascii="Arial" w:cs="Arial" w:eastAsia="Arial" w:hAnsi="Arial"/>
                <w:sz w:val="14"/>
                <w:szCs w:val="14"/>
                <w:color w:val="auto"/>
              </w:rPr>
              <w:t>68</w:t>
            </w:r>
          </w:p>
        </w:tc>
        <w:tc>
          <w:tcPr>
            <w:tcW w:w="1440" w:type="dxa"/>
            <w:vAlign w:val="bottom"/>
          </w:tcPr>
          <w:p>
            <w:pPr>
              <w:jc w:val="right"/>
              <w:ind w:right="849"/>
              <w:spacing w:after="0"/>
              <w:rPr>
                <w:sz w:val="20"/>
                <w:szCs w:val="20"/>
                <w:color w:val="auto"/>
              </w:rPr>
            </w:pPr>
            <w:r>
              <w:rPr>
                <w:rFonts w:ascii="Arial" w:cs="Arial" w:eastAsia="Arial" w:hAnsi="Arial"/>
                <w:sz w:val="14"/>
                <w:szCs w:val="14"/>
                <w:color w:val="auto"/>
              </w:rPr>
              <w:t>96</w:t>
            </w:r>
          </w:p>
        </w:tc>
        <w:tc>
          <w:tcPr>
            <w:tcW w:w="620" w:type="dxa"/>
            <w:vAlign w:val="bottom"/>
            <w:gridSpan w:val="2"/>
          </w:tcPr>
          <w:p>
            <w:pPr>
              <w:jc w:val="right"/>
              <w:ind w:right="100"/>
              <w:spacing w:after="0"/>
              <w:rPr>
                <w:sz w:val="20"/>
                <w:szCs w:val="20"/>
                <w:color w:val="auto"/>
              </w:rPr>
            </w:pPr>
            <w:r>
              <w:rPr>
                <w:rFonts w:ascii="Arial" w:cs="Arial" w:eastAsia="Arial" w:hAnsi="Arial"/>
                <w:sz w:val="14"/>
                <w:szCs w:val="14"/>
                <w:color w:val="auto"/>
              </w:rPr>
              <w:t>89</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2800" w:type="dxa"/>
            <w:vAlign w:val="bottom"/>
            <w:tcBorders>
              <w:bottom w:val="single" w:sz="8" w:color="auto"/>
            </w:tcBorders>
          </w:tcPr>
          <w:p>
            <w:pPr>
              <w:ind w:left="140"/>
              <w:spacing w:after="0" w:line="157" w:lineRule="exact"/>
              <w:rPr>
                <w:sz w:val="20"/>
                <w:szCs w:val="20"/>
                <w:color w:val="auto"/>
              </w:rPr>
            </w:pPr>
            <w:r>
              <w:rPr>
                <w:rFonts w:ascii="Arial" w:cs="Arial" w:eastAsia="Arial" w:hAnsi="Arial"/>
                <w:sz w:val="14"/>
                <w:szCs w:val="14"/>
                <w:color w:val="auto"/>
              </w:rPr>
              <w:t>Other products</w:t>
            </w:r>
          </w:p>
        </w:tc>
        <w:tc>
          <w:tcPr>
            <w:tcW w:w="620" w:type="dxa"/>
            <w:vAlign w:val="bottom"/>
            <w:tcBorders>
              <w:bottom w:val="single" w:sz="8" w:color="auto"/>
            </w:tcBorders>
            <w:shd w:val="clear" w:color="auto" w:fill="D8D8D8"/>
          </w:tcPr>
          <w:p>
            <w:pPr>
              <w:jc w:val="right"/>
              <w:ind w:right="68"/>
              <w:spacing w:after="0" w:line="157" w:lineRule="exact"/>
              <w:rPr>
                <w:sz w:val="20"/>
                <w:szCs w:val="20"/>
                <w:color w:val="auto"/>
              </w:rPr>
            </w:pPr>
            <w:r>
              <w:rPr>
                <w:rFonts w:ascii="Arial" w:cs="Arial" w:eastAsia="Arial" w:hAnsi="Arial"/>
                <w:sz w:val="14"/>
                <w:szCs w:val="14"/>
                <w:color w:val="auto"/>
              </w:rPr>
              <w:t>256</w:t>
            </w:r>
          </w:p>
        </w:tc>
        <w:tc>
          <w:tcPr>
            <w:tcW w:w="1440" w:type="dxa"/>
            <w:vAlign w:val="bottom"/>
            <w:tcBorders>
              <w:bottom w:val="single" w:sz="8" w:color="auto"/>
            </w:tcBorders>
          </w:tcPr>
          <w:p>
            <w:pPr>
              <w:jc w:val="right"/>
              <w:ind w:right="849"/>
              <w:spacing w:after="0" w:line="157" w:lineRule="exact"/>
              <w:rPr>
                <w:sz w:val="20"/>
                <w:szCs w:val="20"/>
                <w:color w:val="auto"/>
              </w:rPr>
            </w:pPr>
            <w:r>
              <w:rPr>
                <w:rFonts w:ascii="Arial" w:cs="Arial" w:eastAsia="Arial" w:hAnsi="Arial"/>
                <w:sz w:val="14"/>
                <w:szCs w:val="14"/>
                <w:color w:val="auto"/>
              </w:rPr>
              <w:t>238</w:t>
            </w:r>
          </w:p>
        </w:tc>
        <w:tc>
          <w:tcPr>
            <w:tcW w:w="620" w:type="dxa"/>
            <w:vAlign w:val="bottom"/>
            <w:tcBorders>
              <w:bottom w:val="single" w:sz="8" w:color="auto"/>
            </w:tcBorders>
            <w:gridSpan w:val="2"/>
          </w:tcPr>
          <w:p>
            <w:pPr>
              <w:jc w:val="right"/>
              <w:ind w:right="100"/>
              <w:spacing w:after="0" w:line="157" w:lineRule="exact"/>
              <w:rPr>
                <w:sz w:val="20"/>
                <w:szCs w:val="20"/>
                <w:color w:val="auto"/>
              </w:rPr>
            </w:pPr>
            <w:r>
              <w:rPr>
                <w:rFonts w:ascii="Arial" w:cs="Arial" w:eastAsia="Arial" w:hAnsi="Arial"/>
                <w:sz w:val="14"/>
                <w:szCs w:val="14"/>
                <w:color w:val="auto"/>
              </w:rPr>
              <w:t>233</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800" w:type="dxa"/>
            <w:vAlign w:val="bottom"/>
            <w:tcBorders>
              <w:bottom w:val="single" w:sz="8" w:color="auto"/>
            </w:tcBorders>
          </w:tcPr>
          <w:p>
            <w:pPr>
              <w:ind w:left="20"/>
              <w:spacing w:after="0" w:line="155" w:lineRule="exact"/>
              <w:rPr>
                <w:sz w:val="20"/>
                <w:szCs w:val="20"/>
                <w:color w:val="auto"/>
              </w:rPr>
            </w:pPr>
            <w:r>
              <w:rPr>
                <w:rFonts w:ascii="Arial" w:cs="Arial" w:eastAsia="Arial" w:hAnsi="Arial"/>
                <w:sz w:val="14"/>
                <w:szCs w:val="14"/>
                <w:color w:val="auto"/>
              </w:rPr>
              <w:t>Total</w:t>
            </w:r>
          </w:p>
        </w:tc>
        <w:tc>
          <w:tcPr>
            <w:tcW w:w="620" w:type="dxa"/>
            <w:vAlign w:val="bottom"/>
            <w:tcBorders>
              <w:bottom w:val="single" w:sz="8" w:color="auto"/>
            </w:tcBorders>
            <w:shd w:val="clear" w:color="auto" w:fill="D8D8D8"/>
          </w:tcPr>
          <w:p>
            <w:pPr>
              <w:jc w:val="right"/>
              <w:ind w:right="68"/>
              <w:spacing w:after="0" w:line="155" w:lineRule="exact"/>
              <w:rPr>
                <w:sz w:val="20"/>
                <w:szCs w:val="20"/>
                <w:color w:val="auto"/>
              </w:rPr>
            </w:pPr>
            <w:r>
              <w:rPr>
                <w:rFonts w:ascii="Arial" w:cs="Arial" w:eastAsia="Arial" w:hAnsi="Arial"/>
                <w:sz w:val="14"/>
                <w:szCs w:val="14"/>
                <w:color w:val="auto"/>
              </w:rPr>
              <w:t>2,381</w:t>
            </w:r>
          </w:p>
        </w:tc>
        <w:tc>
          <w:tcPr>
            <w:tcW w:w="1440" w:type="dxa"/>
            <w:vAlign w:val="bottom"/>
            <w:tcBorders>
              <w:bottom w:val="single" w:sz="8" w:color="auto"/>
            </w:tcBorders>
          </w:tcPr>
          <w:p>
            <w:pPr>
              <w:jc w:val="right"/>
              <w:ind w:right="849"/>
              <w:spacing w:after="0" w:line="155" w:lineRule="exact"/>
              <w:rPr>
                <w:sz w:val="20"/>
                <w:szCs w:val="20"/>
                <w:color w:val="auto"/>
              </w:rPr>
            </w:pPr>
            <w:r>
              <w:rPr>
                <w:rFonts w:ascii="Arial" w:cs="Arial" w:eastAsia="Arial" w:hAnsi="Arial"/>
                <w:sz w:val="14"/>
                <w:szCs w:val="14"/>
                <w:color w:val="auto"/>
              </w:rPr>
              <w:t>2,236</w:t>
            </w:r>
          </w:p>
        </w:tc>
        <w:tc>
          <w:tcPr>
            <w:tcW w:w="620" w:type="dxa"/>
            <w:vAlign w:val="bottom"/>
            <w:tcBorders>
              <w:bottom w:val="single" w:sz="8" w:color="auto"/>
            </w:tcBorders>
            <w:gridSpan w:val="2"/>
          </w:tcPr>
          <w:p>
            <w:pPr>
              <w:jc w:val="right"/>
              <w:ind w:right="100"/>
              <w:spacing w:after="0" w:line="155" w:lineRule="exact"/>
              <w:rPr>
                <w:sz w:val="20"/>
                <w:szCs w:val="20"/>
                <w:color w:val="auto"/>
              </w:rPr>
            </w:pPr>
            <w:r>
              <w:rPr>
                <w:rFonts w:ascii="Arial" w:cs="Arial" w:eastAsia="Arial" w:hAnsi="Arial"/>
                <w:sz w:val="14"/>
                <w:szCs w:val="14"/>
                <w:color w:val="auto"/>
              </w:rPr>
              <w:t>2,237</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800" w:type="dxa"/>
            <w:vAlign w:val="bottom"/>
          </w:tcPr>
          <w:p>
            <w:pPr>
              <w:ind w:left="20"/>
              <w:spacing w:after="0"/>
              <w:rPr>
                <w:sz w:val="20"/>
                <w:szCs w:val="20"/>
                <w:color w:val="auto"/>
              </w:rPr>
            </w:pPr>
            <w:r>
              <w:rPr>
                <w:rFonts w:ascii="Arial" w:cs="Arial" w:eastAsia="Arial" w:hAnsi="Arial"/>
                <w:sz w:val="14"/>
                <w:szCs w:val="14"/>
                <w:color w:val="auto"/>
              </w:rPr>
              <w:t>Total product sales [B]</w:t>
            </w:r>
          </w:p>
        </w:tc>
        <w:tc>
          <w:tcPr>
            <w:tcW w:w="620" w:type="dxa"/>
            <w:vAlign w:val="bottom"/>
            <w:shd w:val="clear" w:color="auto" w:fill="D8D8D8"/>
          </w:tcPr>
          <w:p>
            <w:pPr>
              <w:spacing w:after="0"/>
              <w:rPr>
                <w:sz w:val="13"/>
                <w:szCs w:val="13"/>
                <w:color w:val="auto"/>
              </w:rPr>
            </w:pPr>
          </w:p>
        </w:tc>
        <w:tc>
          <w:tcPr>
            <w:tcW w:w="14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800" w:type="dxa"/>
            <w:vAlign w:val="bottom"/>
          </w:tcPr>
          <w:p>
            <w:pPr>
              <w:ind w:left="140"/>
              <w:spacing w:after="0"/>
              <w:rPr>
                <w:sz w:val="20"/>
                <w:szCs w:val="20"/>
                <w:color w:val="auto"/>
              </w:rPr>
            </w:pPr>
            <w:r>
              <w:rPr>
                <w:rFonts w:ascii="Arial" w:cs="Arial" w:eastAsia="Arial" w:hAnsi="Arial"/>
                <w:sz w:val="14"/>
                <w:szCs w:val="14"/>
                <w:color w:val="auto"/>
              </w:rPr>
              <w:t>Gasolines</w:t>
            </w:r>
          </w:p>
        </w:tc>
        <w:tc>
          <w:tcPr>
            <w:tcW w:w="620" w:type="dxa"/>
            <w:vAlign w:val="bottom"/>
            <w:shd w:val="clear" w:color="auto" w:fill="D8D8D8"/>
          </w:tcPr>
          <w:p>
            <w:pPr>
              <w:jc w:val="right"/>
              <w:ind w:right="68"/>
              <w:spacing w:after="0"/>
              <w:rPr>
                <w:sz w:val="20"/>
                <w:szCs w:val="20"/>
                <w:color w:val="auto"/>
              </w:rPr>
            </w:pPr>
            <w:r>
              <w:rPr>
                <w:rFonts w:ascii="Arial" w:cs="Arial" w:eastAsia="Arial" w:hAnsi="Arial"/>
                <w:sz w:val="14"/>
                <w:szCs w:val="14"/>
                <w:color w:val="auto"/>
              </w:rPr>
              <w:t>2,104</w:t>
            </w:r>
          </w:p>
        </w:tc>
        <w:tc>
          <w:tcPr>
            <w:tcW w:w="1440" w:type="dxa"/>
            <w:vAlign w:val="bottom"/>
          </w:tcPr>
          <w:p>
            <w:pPr>
              <w:jc w:val="right"/>
              <w:ind w:right="849"/>
              <w:spacing w:after="0"/>
              <w:rPr>
                <w:sz w:val="20"/>
                <w:szCs w:val="20"/>
                <w:color w:val="auto"/>
              </w:rPr>
            </w:pPr>
            <w:r>
              <w:rPr>
                <w:rFonts w:ascii="Arial" w:cs="Arial" w:eastAsia="Arial" w:hAnsi="Arial"/>
                <w:sz w:val="14"/>
                <w:szCs w:val="14"/>
                <w:color w:val="auto"/>
              </w:rPr>
              <w:t>2,021</w:t>
            </w:r>
          </w:p>
        </w:tc>
        <w:tc>
          <w:tcPr>
            <w:tcW w:w="620" w:type="dxa"/>
            <w:vAlign w:val="bottom"/>
            <w:gridSpan w:val="2"/>
          </w:tcPr>
          <w:p>
            <w:pPr>
              <w:jc w:val="right"/>
              <w:ind w:right="100"/>
              <w:spacing w:after="0"/>
              <w:rPr>
                <w:sz w:val="20"/>
                <w:szCs w:val="20"/>
                <w:color w:val="auto"/>
              </w:rPr>
            </w:pPr>
            <w:r>
              <w:rPr>
                <w:rFonts w:ascii="Arial" w:cs="Arial" w:eastAsia="Arial" w:hAnsi="Arial"/>
                <w:sz w:val="14"/>
                <w:szCs w:val="14"/>
                <w:color w:val="auto"/>
              </w:rPr>
              <w:t>2,076</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800" w:type="dxa"/>
            <w:vAlign w:val="bottom"/>
          </w:tcPr>
          <w:p>
            <w:pPr>
              <w:ind w:left="140"/>
              <w:spacing w:after="0"/>
              <w:rPr>
                <w:sz w:val="20"/>
                <w:szCs w:val="20"/>
                <w:color w:val="auto"/>
              </w:rPr>
            </w:pPr>
            <w:r>
              <w:rPr>
                <w:rFonts w:ascii="Arial" w:cs="Arial" w:eastAsia="Arial" w:hAnsi="Arial"/>
                <w:sz w:val="14"/>
                <w:szCs w:val="14"/>
                <w:color w:val="auto"/>
              </w:rPr>
              <w:t>Kerosines</w:t>
            </w:r>
          </w:p>
        </w:tc>
        <w:tc>
          <w:tcPr>
            <w:tcW w:w="620" w:type="dxa"/>
            <w:vAlign w:val="bottom"/>
            <w:shd w:val="clear" w:color="auto" w:fill="D8D8D8"/>
          </w:tcPr>
          <w:p>
            <w:pPr>
              <w:jc w:val="right"/>
              <w:ind w:right="68"/>
              <w:spacing w:after="0"/>
              <w:rPr>
                <w:sz w:val="20"/>
                <w:szCs w:val="20"/>
                <w:color w:val="auto"/>
              </w:rPr>
            </w:pPr>
            <w:r>
              <w:rPr>
                <w:rFonts w:ascii="Arial" w:cs="Arial" w:eastAsia="Arial" w:hAnsi="Arial"/>
                <w:sz w:val="14"/>
                <w:szCs w:val="14"/>
                <w:color w:val="auto"/>
              </w:rPr>
              <w:t>718</w:t>
            </w:r>
          </w:p>
        </w:tc>
        <w:tc>
          <w:tcPr>
            <w:tcW w:w="1440" w:type="dxa"/>
            <w:vAlign w:val="bottom"/>
          </w:tcPr>
          <w:p>
            <w:pPr>
              <w:jc w:val="right"/>
              <w:ind w:right="849"/>
              <w:spacing w:after="0"/>
              <w:rPr>
                <w:sz w:val="20"/>
                <w:szCs w:val="20"/>
                <w:color w:val="auto"/>
              </w:rPr>
            </w:pPr>
            <w:r>
              <w:rPr>
                <w:rFonts w:ascii="Arial" w:cs="Arial" w:eastAsia="Arial" w:hAnsi="Arial"/>
                <w:sz w:val="14"/>
                <w:szCs w:val="14"/>
                <w:color w:val="auto"/>
              </w:rPr>
              <w:t>711</w:t>
            </w:r>
          </w:p>
        </w:tc>
        <w:tc>
          <w:tcPr>
            <w:tcW w:w="620" w:type="dxa"/>
            <w:vAlign w:val="bottom"/>
            <w:gridSpan w:val="2"/>
          </w:tcPr>
          <w:p>
            <w:pPr>
              <w:jc w:val="right"/>
              <w:ind w:right="100"/>
              <w:spacing w:after="0"/>
              <w:rPr>
                <w:sz w:val="20"/>
                <w:szCs w:val="20"/>
                <w:color w:val="auto"/>
              </w:rPr>
            </w:pPr>
            <w:r>
              <w:rPr>
                <w:rFonts w:ascii="Arial" w:cs="Arial" w:eastAsia="Arial" w:hAnsi="Arial"/>
                <w:sz w:val="14"/>
                <w:szCs w:val="14"/>
                <w:color w:val="auto"/>
              </w:rPr>
              <w:t>734</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800" w:type="dxa"/>
            <w:vAlign w:val="bottom"/>
          </w:tcPr>
          <w:p>
            <w:pPr>
              <w:ind w:left="140"/>
              <w:spacing w:after="0"/>
              <w:rPr>
                <w:sz w:val="20"/>
                <w:szCs w:val="20"/>
                <w:color w:val="auto"/>
              </w:rPr>
            </w:pPr>
            <w:r>
              <w:rPr>
                <w:rFonts w:ascii="Arial" w:cs="Arial" w:eastAsia="Arial" w:hAnsi="Arial"/>
                <w:sz w:val="14"/>
                <w:szCs w:val="14"/>
                <w:color w:val="auto"/>
              </w:rPr>
              <w:t>Gas/Diesel oils</w:t>
            </w:r>
          </w:p>
        </w:tc>
        <w:tc>
          <w:tcPr>
            <w:tcW w:w="620" w:type="dxa"/>
            <w:vAlign w:val="bottom"/>
            <w:shd w:val="clear" w:color="auto" w:fill="D8D8D8"/>
          </w:tcPr>
          <w:p>
            <w:pPr>
              <w:jc w:val="right"/>
              <w:ind w:right="68"/>
              <w:spacing w:after="0"/>
              <w:rPr>
                <w:sz w:val="20"/>
                <w:szCs w:val="20"/>
                <w:color w:val="auto"/>
              </w:rPr>
            </w:pPr>
            <w:r>
              <w:rPr>
                <w:rFonts w:ascii="Arial" w:cs="Arial" w:eastAsia="Arial" w:hAnsi="Arial"/>
                <w:sz w:val="14"/>
                <w:szCs w:val="14"/>
                <w:color w:val="auto"/>
              </w:rPr>
              <w:t>2,055</w:t>
            </w:r>
          </w:p>
        </w:tc>
        <w:tc>
          <w:tcPr>
            <w:tcW w:w="1440" w:type="dxa"/>
            <w:vAlign w:val="bottom"/>
          </w:tcPr>
          <w:p>
            <w:pPr>
              <w:jc w:val="right"/>
              <w:ind w:right="849"/>
              <w:spacing w:after="0"/>
              <w:rPr>
                <w:sz w:val="20"/>
                <w:szCs w:val="20"/>
                <w:color w:val="auto"/>
              </w:rPr>
            </w:pPr>
            <w:r>
              <w:rPr>
                <w:rFonts w:ascii="Arial" w:cs="Arial" w:eastAsia="Arial" w:hAnsi="Arial"/>
                <w:sz w:val="14"/>
                <w:szCs w:val="14"/>
                <w:color w:val="auto"/>
              </w:rPr>
              <w:t>2,122</w:t>
            </w:r>
          </w:p>
        </w:tc>
        <w:tc>
          <w:tcPr>
            <w:tcW w:w="620" w:type="dxa"/>
            <w:vAlign w:val="bottom"/>
            <w:gridSpan w:val="2"/>
          </w:tcPr>
          <w:p>
            <w:pPr>
              <w:jc w:val="right"/>
              <w:ind w:right="100"/>
              <w:spacing w:after="0"/>
              <w:rPr>
                <w:sz w:val="20"/>
                <w:szCs w:val="20"/>
                <w:color w:val="auto"/>
              </w:rPr>
            </w:pPr>
            <w:r>
              <w:rPr>
                <w:rFonts w:ascii="Arial" w:cs="Arial" w:eastAsia="Arial" w:hAnsi="Arial"/>
                <w:sz w:val="14"/>
                <w:szCs w:val="14"/>
                <w:color w:val="auto"/>
              </w:rPr>
              <w:t>2,112</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800" w:type="dxa"/>
            <w:vAlign w:val="bottom"/>
          </w:tcPr>
          <w:p>
            <w:pPr>
              <w:ind w:left="140"/>
              <w:spacing w:after="0"/>
              <w:rPr>
                <w:sz w:val="20"/>
                <w:szCs w:val="20"/>
                <w:color w:val="auto"/>
              </w:rPr>
            </w:pPr>
            <w:r>
              <w:rPr>
                <w:rFonts w:ascii="Arial" w:cs="Arial" w:eastAsia="Arial" w:hAnsi="Arial"/>
                <w:sz w:val="14"/>
                <w:szCs w:val="14"/>
                <w:color w:val="auto"/>
              </w:rPr>
              <w:t>Fuel oil</w:t>
            </w:r>
          </w:p>
        </w:tc>
        <w:tc>
          <w:tcPr>
            <w:tcW w:w="620" w:type="dxa"/>
            <w:vAlign w:val="bottom"/>
            <w:shd w:val="clear" w:color="auto" w:fill="D8D8D8"/>
          </w:tcPr>
          <w:p>
            <w:pPr>
              <w:jc w:val="right"/>
              <w:ind w:right="68"/>
              <w:spacing w:after="0"/>
              <w:rPr>
                <w:sz w:val="20"/>
                <w:szCs w:val="20"/>
                <w:color w:val="auto"/>
              </w:rPr>
            </w:pPr>
            <w:r>
              <w:rPr>
                <w:rFonts w:ascii="Arial" w:cs="Arial" w:eastAsia="Arial" w:hAnsi="Arial"/>
                <w:sz w:val="14"/>
                <w:szCs w:val="14"/>
                <w:color w:val="auto"/>
              </w:rPr>
              <w:t>569</w:t>
            </w:r>
          </w:p>
        </w:tc>
        <w:tc>
          <w:tcPr>
            <w:tcW w:w="1440" w:type="dxa"/>
            <w:vAlign w:val="bottom"/>
          </w:tcPr>
          <w:p>
            <w:pPr>
              <w:jc w:val="right"/>
              <w:ind w:right="849"/>
              <w:spacing w:after="0"/>
              <w:rPr>
                <w:sz w:val="20"/>
                <w:szCs w:val="20"/>
                <w:color w:val="auto"/>
              </w:rPr>
            </w:pPr>
            <w:r>
              <w:rPr>
                <w:rFonts w:ascii="Arial" w:cs="Arial" w:eastAsia="Arial" w:hAnsi="Arial"/>
                <w:sz w:val="14"/>
                <w:szCs w:val="14"/>
                <w:color w:val="auto"/>
              </w:rPr>
              <w:t>615</w:t>
            </w:r>
          </w:p>
        </w:tc>
        <w:tc>
          <w:tcPr>
            <w:tcW w:w="620" w:type="dxa"/>
            <w:vAlign w:val="bottom"/>
            <w:gridSpan w:val="2"/>
          </w:tcPr>
          <w:p>
            <w:pPr>
              <w:jc w:val="right"/>
              <w:ind w:right="100"/>
              <w:spacing w:after="0"/>
              <w:rPr>
                <w:sz w:val="20"/>
                <w:szCs w:val="20"/>
                <w:color w:val="auto"/>
              </w:rPr>
            </w:pPr>
            <w:r>
              <w:rPr>
                <w:rFonts w:ascii="Arial" w:cs="Arial" w:eastAsia="Arial" w:hAnsi="Arial"/>
                <w:sz w:val="14"/>
                <w:szCs w:val="14"/>
                <w:color w:val="auto"/>
              </w:rPr>
              <w:t>637</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2800" w:type="dxa"/>
            <w:vAlign w:val="bottom"/>
            <w:tcBorders>
              <w:bottom w:val="single" w:sz="8" w:color="auto"/>
            </w:tcBorders>
          </w:tcPr>
          <w:p>
            <w:pPr>
              <w:ind w:left="140"/>
              <w:spacing w:after="0" w:line="157" w:lineRule="exact"/>
              <w:rPr>
                <w:sz w:val="20"/>
                <w:szCs w:val="20"/>
                <w:color w:val="auto"/>
              </w:rPr>
            </w:pPr>
            <w:r>
              <w:rPr>
                <w:rFonts w:ascii="Arial" w:cs="Arial" w:eastAsia="Arial" w:hAnsi="Arial"/>
                <w:sz w:val="14"/>
                <w:szCs w:val="14"/>
                <w:color w:val="auto"/>
              </w:rPr>
              <w:t>Other products</w:t>
            </w:r>
          </w:p>
        </w:tc>
        <w:tc>
          <w:tcPr>
            <w:tcW w:w="620" w:type="dxa"/>
            <w:vAlign w:val="bottom"/>
            <w:tcBorders>
              <w:bottom w:val="single" w:sz="8" w:color="auto"/>
            </w:tcBorders>
            <w:shd w:val="clear" w:color="auto" w:fill="D8D8D8"/>
          </w:tcPr>
          <w:p>
            <w:pPr>
              <w:jc w:val="right"/>
              <w:ind w:right="68"/>
              <w:spacing w:after="0" w:line="157" w:lineRule="exact"/>
              <w:rPr>
                <w:sz w:val="20"/>
                <w:szCs w:val="20"/>
                <w:color w:val="auto"/>
              </w:rPr>
            </w:pPr>
            <w:r>
              <w:rPr>
                <w:rFonts w:ascii="Arial" w:cs="Arial" w:eastAsia="Arial" w:hAnsi="Arial"/>
                <w:sz w:val="14"/>
                <w:szCs w:val="14"/>
                <w:color w:val="auto"/>
              </w:rPr>
              <w:t>919</w:t>
            </w:r>
          </w:p>
        </w:tc>
        <w:tc>
          <w:tcPr>
            <w:tcW w:w="1440" w:type="dxa"/>
            <w:vAlign w:val="bottom"/>
            <w:tcBorders>
              <w:bottom w:val="single" w:sz="8" w:color="auto"/>
            </w:tcBorders>
          </w:tcPr>
          <w:p>
            <w:pPr>
              <w:jc w:val="right"/>
              <w:ind w:right="849"/>
              <w:spacing w:after="0" w:line="157" w:lineRule="exact"/>
              <w:rPr>
                <w:sz w:val="20"/>
                <w:szCs w:val="20"/>
                <w:color w:val="auto"/>
              </w:rPr>
            </w:pPr>
            <w:r>
              <w:rPr>
                <w:rFonts w:ascii="Arial" w:cs="Arial" w:eastAsia="Arial" w:hAnsi="Arial"/>
                <w:sz w:val="14"/>
                <w:szCs w:val="14"/>
                <w:color w:val="auto"/>
              </w:rPr>
              <w:t>695</w:t>
            </w:r>
          </w:p>
        </w:tc>
        <w:tc>
          <w:tcPr>
            <w:tcW w:w="620" w:type="dxa"/>
            <w:vAlign w:val="bottom"/>
            <w:tcBorders>
              <w:bottom w:val="single" w:sz="8" w:color="auto"/>
            </w:tcBorders>
            <w:gridSpan w:val="2"/>
          </w:tcPr>
          <w:p>
            <w:pPr>
              <w:jc w:val="right"/>
              <w:ind w:right="100"/>
              <w:spacing w:after="0" w:line="157" w:lineRule="exact"/>
              <w:rPr>
                <w:sz w:val="20"/>
                <w:szCs w:val="20"/>
                <w:color w:val="auto"/>
              </w:rPr>
            </w:pPr>
            <w:r>
              <w:rPr>
                <w:rFonts w:ascii="Arial" w:cs="Arial" w:eastAsia="Arial" w:hAnsi="Arial"/>
                <w:sz w:val="14"/>
                <w:szCs w:val="14"/>
                <w:color w:val="auto"/>
              </w:rPr>
              <w:t>676</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800" w:type="dxa"/>
            <w:vAlign w:val="bottom"/>
            <w:tcBorders>
              <w:bottom w:val="single" w:sz="8" w:color="auto"/>
            </w:tcBorders>
          </w:tcPr>
          <w:p>
            <w:pPr>
              <w:ind w:left="20"/>
              <w:spacing w:after="0" w:line="155" w:lineRule="exact"/>
              <w:rPr>
                <w:sz w:val="20"/>
                <w:szCs w:val="20"/>
                <w:color w:val="auto"/>
              </w:rPr>
            </w:pPr>
            <w:r>
              <w:rPr>
                <w:rFonts w:ascii="Arial" w:cs="Arial" w:eastAsia="Arial" w:hAnsi="Arial"/>
                <w:sz w:val="14"/>
                <w:szCs w:val="14"/>
                <w:color w:val="auto"/>
              </w:rPr>
              <w:t>Total</w:t>
            </w:r>
          </w:p>
        </w:tc>
        <w:tc>
          <w:tcPr>
            <w:tcW w:w="620" w:type="dxa"/>
            <w:vAlign w:val="bottom"/>
            <w:tcBorders>
              <w:bottom w:val="single" w:sz="8" w:color="auto"/>
            </w:tcBorders>
            <w:shd w:val="clear" w:color="auto" w:fill="D8D8D8"/>
          </w:tcPr>
          <w:p>
            <w:pPr>
              <w:jc w:val="right"/>
              <w:ind w:right="68"/>
              <w:spacing w:after="0" w:line="155" w:lineRule="exact"/>
              <w:rPr>
                <w:sz w:val="20"/>
                <w:szCs w:val="20"/>
                <w:color w:val="auto"/>
              </w:rPr>
            </w:pPr>
            <w:r>
              <w:rPr>
                <w:rFonts w:ascii="Arial" w:cs="Arial" w:eastAsia="Arial" w:hAnsi="Arial"/>
                <w:sz w:val="14"/>
                <w:szCs w:val="14"/>
                <w:color w:val="auto"/>
              </w:rPr>
              <w:t>6,365</w:t>
            </w:r>
          </w:p>
        </w:tc>
        <w:tc>
          <w:tcPr>
            <w:tcW w:w="1440" w:type="dxa"/>
            <w:vAlign w:val="bottom"/>
            <w:tcBorders>
              <w:bottom w:val="single" w:sz="8" w:color="auto"/>
            </w:tcBorders>
          </w:tcPr>
          <w:p>
            <w:pPr>
              <w:jc w:val="right"/>
              <w:ind w:right="849"/>
              <w:spacing w:after="0" w:line="155" w:lineRule="exact"/>
              <w:rPr>
                <w:sz w:val="20"/>
                <w:szCs w:val="20"/>
                <w:color w:val="auto"/>
              </w:rPr>
            </w:pPr>
            <w:r>
              <w:rPr>
                <w:rFonts w:ascii="Arial" w:cs="Arial" w:eastAsia="Arial" w:hAnsi="Arial"/>
                <w:sz w:val="14"/>
                <w:szCs w:val="14"/>
                <w:color w:val="auto"/>
              </w:rPr>
              <w:t>6,164</w:t>
            </w:r>
          </w:p>
        </w:tc>
        <w:tc>
          <w:tcPr>
            <w:tcW w:w="620" w:type="dxa"/>
            <w:vAlign w:val="bottom"/>
            <w:tcBorders>
              <w:bottom w:val="single" w:sz="8" w:color="auto"/>
            </w:tcBorders>
            <w:gridSpan w:val="2"/>
          </w:tcPr>
          <w:p>
            <w:pPr>
              <w:jc w:val="right"/>
              <w:ind w:right="100"/>
              <w:spacing w:after="0" w:line="155" w:lineRule="exact"/>
              <w:rPr>
                <w:sz w:val="20"/>
                <w:szCs w:val="20"/>
                <w:color w:val="auto"/>
              </w:rPr>
            </w:pPr>
            <w:r>
              <w:rPr>
                <w:rFonts w:ascii="Arial" w:cs="Arial" w:eastAsia="Arial" w:hAnsi="Arial"/>
                <w:sz w:val="14"/>
                <w:szCs w:val="14"/>
                <w:color w:val="auto"/>
              </w:rPr>
              <w:t>6,235</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37" w:lineRule="exact"/>
        <w:rPr>
          <w:sz w:val="20"/>
          <w:szCs w:val="20"/>
          <w:color w:val="auto"/>
        </w:rPr>
      </w:pPr>
    </w:p>
    <w:p>
      <w:pPr>
        <w:ind w:right="220" w:firstLine="8"/>
        <w:spacing w:after="0" w:line="230" w:lineRule="auto"/>
        <w:tabs>
          <w:tab w:leader="none" w:pos="162" w:val="left"/>
        </w:tabs>
        <w:numPr>
          <w:ilvl w:val="0"/>
          <w:numId w:val="41"/>
        </w:numPr>
        <w:rPr>
          <w:rFonts w:ascii="Arial" w:cs="Arial" w:eastAsia="Arial" w:hAnsi="Arial"/>
          <w:sz w:val="11"/>
          <w:szCs w:val="11"/>
          <w:color w:val="auto"/>
        </w:rPr>
      </w:pPr>
      <w:r>
        <w:rPr>
          <w:rFonts w:ascii="Arial" w:cs="Arial" w:eastAsia="Arial" w:hAnsi="Arial"/>
          <w:sz w:val="11"/>
          <w:szCs w:val="11"/>
          <w:color w:val="auto"/>
        </w:rPr>
        <w:t>Excludes deliveries to other companies under reciprocal sale and purchase arrangements, which are in the nature of exchanges. Sales of condensate and natural gas liquids are included.</w:t>
      </w:r>
    </w:p>
    <w:p>
      <w:pPr>
        <w:ind w:right="200" w:firstLine="8"/>
        <w:spacing w:after="0" w:line="238" w:lineRule="auto"/>
        <w:tabs>
          <w:tab w:leader="none" w:pos="162" w:val="left"/>
        </w:tabs>
        <w:numPr>
          <w:ilvl w:val="0"/>
          <w:numId w:val="41"/>
        </w:numPr>
        <w:rPr>
          <w:rFonts w:ascii="Arial" w:cs="Arial" w:eastAsia="Arial" w:hAnsi="Arial"/>
          <w:sz w:val="11"/>
          <w:szCs w:val="11"/>
          <w:color w:val="auto"/>
        </w:rPr>
      </w:pPr>
      <w:r>
        <w:rPr>
          <w:rFonts w:ascii="Arial" w:cs="Arial" w:eastAsia="Arial" w:hAnsi="Arial"/>
          <w:sz w:val="11"/>
          <w:szCs w:val="11"/>
          <w:color w:val="auto"/>
        </w:rPr>
        <w:t>Certain contracts are held for trading purposes and reported net rather than gross. The effect in 2014 was a reduction in oil product sales of 1,067,000 b/d (2013: 921,000 b/d; 2012: 856,000 b/d).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right"/>
        <w:spacing w:after="0"/>
        <w:rPr>
          <w:sz w:val="20"/>
          <w:szCs w:val="20"/>
          <w:color w:val="auto"/>
        </w:rPr>
      </w:pPr>
      <w:r>
        <w:rPr>
          <w:rFonts w:ascii="Arial" w:cs="Arial" w:eastAsia="Arial" w:hAnsi="Arial"/>
          <w:sz w:val="11"/>
          <w:szCs w:val="11"/>
          <w:color w:val="auto"/>
        </w:rPr>
        <w:t>SHELL ANNUAL REPORT AND FORM 20-F 2014</w:t>
      </w:r>
    </w:p>
    <w:p>
      <w:pPr>
        <w:spacing w:after="0" w:line="200" w:lineRule="exact"/>
        <w:rPr>
          <w:sz w:val="20"/>
          <w:szCs w:val="20"/>
          <w:color w:val="auto"/>
        </w:rPr>
      </w:pPr>
    </w:p>
    <w:p>
      <w:pPr>
        <w:spacing w:after="0" w:line="355"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660" w:type="dxa"/>
            <w:vAlign w:val="bottom"/>
            <w:shd w:val="clear" w:color="auto" w:fill="333333"/>
          </w:tcPr>
          <w:p>
            <w:pPr>
              <w:ind w:left="60"/>
              <w:spacing w:after="0"/>
              <w:rPr>
                <w:sz w:val="20"/>
                <w:szCs w:val="20"/>
                <w:color w:val="auto"/>
              </w:rPr>
            </w:pPr>
            <w:r>
              <w:rPr>
                <w:rFonts w:ascii="Arial" w:cs="Arial" w:eastAsia="Arial" w:hAnsi="Arial"/>
                <w:sz w:val="15"/>
                <w:szCs w:val="15"/>
                <w:b w:val="1"/>
                <w:bCs w:val="1"/>
                <w:color w:val="FFFFFF"/>
              </w:rPr>
              <w:t xml:space="preserve">CHEMICALS SALES VOLUMES </w:t>
            </w:r>
            <w:r>
              <w:rPr>
                <w:rFonts w:ascii="Arial" w:cs="Arial" w:eastAsia="Arial" w:hAnsi="Arial"/>
                <w:sz w:val="15"/>
                <w:szCs w:val="15"/>
                <w:color w:val="FFFFFF"/>
              </w:rPr>
              <w:t>[A]</w:t>
            </w:r>
          </w:p>
        </w:tc>
        <w:tc>
          <w:tcPr>
            <w:tcW w:w="740" w:type="dxa"/>
            <w:vAlign w:val="bottom"/>
            <w:shd w:val="clear" w:color="auto" w:fill="333333"/>
          </w:tcPr>
          <w:p>
            <w:pPr>
              <w:spacing w:after="0"/>
              <w:rPr>
                <w:sz w:val="14"/>
                <w:szCs w:val="14"/>
                <w:color w:val="auto"/>
              </w:rPr>
            </w:pPr>
          </w:p>
        </w:tc>
        <w:tc>
          <w:tcPr>
            <w:tcW w:w="2080" w:type="dxa"/>
            <w:vAlign w:val="bottom"/>
            <w:gridSpan w:val="2"/>
            <w:shd w:val="clear" w:color="auto" w:fill="333333"/>
          </w:tcPr>
          <w:p>
            <w:pPr>
              <w:jc w:val="right"/>
              <w:ind w:right="88"/>
              <w:spacing w:after="0"/>
              <w:rPr>
                <w:sz w:val="20"/>
                <w:szCs w:val="20"/>
                <w:color w:val="auto"/>
              </w:rPr>
            </w:pPr>
            <w:r>
              <w:rPr>
                <w:rFonts w:ascii="Arial" w:cs="Arial" w:eastAsia="Arial" w:hAnsi="Arial"/>
                <w:sz w:val="15"/>
                <w:szCs w:val="15"/>
                <w:color w:val="FFFFFF"/>
              </w:rPr>
              <w:t>THOUSAND TONNES</w:t>
            </w:r>
          </w:p>
        </w:tc>
      </w:tr>
      <w:tr>
        <w:trPr>
          <w:trHeight w:val="149"/>
        </w:trPr>
        <w:tc>
          <w:tcPr>
            <w:tcW w:w="266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shd w:val="clear" w:color="auto" w:fill="D8D8D8"/>
          </w:tcPr>
          <w:p>
            <w:pPr>
              <w:jc w:val="right"/>
              <w:ind w:right="88"/>
              <w:spacing w:after="0"/>
              <w:rPr>
                <w:sz w:val="20"/>
                <w:szCs w:val="20"/>
                <w:color w:val="auto"/>
              </w:rPr>
            </w:pPr>
            <w:r>
              <w:rPr>
                <w:rFonts w:ascii="Arial" w:cs="Arial" w:eastAsia="Arial" w:hAnsi="Arial"/>
                <w:sz w:val="13"/>
                <w:szCs w:val="13"/>
                <w:color w:val="auto"/>
              </w:rPr>
              <w:t>2014</w:t>
            </w:r>
          </w:p>
        </w:tc>
        <w:tc>
          <w:tcPr>
            <w:tcW w:w="1160" w:type="dxa"/>
            <w:vAlign w:val="bottom"/>
            <w:tcBorders>
              <w:bottom w:val="single" w:sz="8" w:color="auto"/>
            </w:tcBorders>
          </w:tcPr>
          <w:p>
            <w:pPr>
              <w:jc w:val="right"/>
              <w:ind w:right="228"/>
              <w:spacing w:after="0"/>
              <w:rPr>
                <w:sz w:val="20"/>
                <w:szCs w:val="20"/>
                <w:color w:val="auto"/>
              </w:rPr>
            </w:pPr>
            <w:r>
              <w:rPr>
                <w:rFonts w:ascii="Arial" w:cs="Arial" w:eastAsia="Arial" w:hAnsi="Arial"/>
                <w:sz w:val="13"/>
                <w:szCs w:val="13"/>
                <w:color w:val="auto"/>
              </w:rPr>
              <w:t>2013</w:t>
            </w:r>
          </w:p>
        </w:tc>
        <w:tc>
          <w:tcPr>
            <w:tcW w:w="920" w:type="dxa"/>
            <w:vAlign w:val="bottom"/>
            <w:tcBorders>
              <w:bottom w:val="single" w:sz="8" w:color="auto"/>
            </w:tcBorders>
          </w:tcPr>
          <w:p>
            <w:pPr>
              <w:jc w:val="right"/>
              <w:ind w:right="88"/>
              <w:spacing w:after="0"/>
              <w:rPr>
                <w:sz w:val="20"/>
                <w:szCs w:val="20"/>
                <w:color w:val="auto"/>
              </w:rPr>
            </w:pPr>
            <w:r>
              <w:rPr>
                <w:rFonts w:ascii="Arial" w:cs="Arial" w:eastAsia="Arial" w:hAnsi="Arial"/>
                <w:sz w:val="13"/>
                <w:szCs w:val="13"/>
                <w:color w:val="auto"/>
              </w:rPr>
              <w:t>2012</w:t>
            </w:r>
          </w:p>
        </w:tc>
      </w:tr>
      <w:tr>
        <w:trPr>
          <w:trHeight w:val="156"/>
        </w:trPr>
        <w:tc>
          <w:tcPr>
            <w:tcW w:w="2660" w:type="dxa"/>
            <w:vAlign w:val="bottom"/>
          </w:tcPr>
          <w:p>
            <w:pPr>
              <w:spacing w:after="0" w:line="155" w:lineRule="exact"/>
              <w:rPr>
                <w:sz w:val="20"/>
                <w:szCs w:val="20"/>
                <w:color w:val="auto"/>
              </w:rPr>
            </w:pPr>
            <w:r>
              <w:rPr>
                <w:rFonts w:ascii="Arial" w:cs="Arial" w:eastAsia="Arial" w:hAnsi="Arial"/>
                <w:sz w:val="14"/>
                <w:szCs w:val="14"/>
                <w:color w:val="auto"/>
              </w:rPr>
              <w:t>Europe</w:t>
            </w:r>
          </w:p>
        </w:tc>
        <w:tc>
          <w:tcPr>
            <w:tcW w:w="740" w:type="dxa"/>
            <w:vAlign w:val="bottom"/>
            <w:shd w:val="clear" w:color="auto" w:fill="D8D8D8"/>
          </w:tcPr>
          <w:p>
            <w:pPr>
              <w:spacing w:after="0"/>
              <w:rPr>
                <w:sz w:val="13"/>
                <w:szCs w:val="13"/>
                <w:color w:val="auto"/>
              </w:rPr>
            </w:pPr>
          </w:p>
        </w:tc>
        <w:tc>
          <w:tcPr>
            <w:tcW w:w="1160" w:type="dxa"/>
            <w:vAlign w:val="bottom"/>
          </w:tcPr>
          <w:p>
            <w:pPr>
              <w:spacing w:after="0"/>
              <w:rPr>
                <w:sz w:val="13"/>
                <w:szCs w:val="13"/>
                <w:color w:val="auto"/>
              </w:rPr>
            </w:pPr>
          </w:p>
        </w:tc>
        <w:tc>
          <w:tcPr>
            <w:tcW w:w="920" w:type="dxa"/>
            <w:vAlign w:val="bottom"/>
          </w:tcPr>
          <w:p>
            <w:pPr>
              <w:spacing w:after="0"/>
              <w:rPr>
                <w:sz w:val="13"/>
                <w:szCs w:val="13"/>
                <w:color w:val="auto"/>
              </w:rPr>
            </w:pPr>
          </w:p>
        </w:tc>
      </w:tr>
      <w:tr>
        <w:trPr>
          <w:trHeight w:val="162"/>
        </w:trPr>
        <w:tc>
          <w:tcPr>
            <w:tcW w:w="2660" w:type="dxa"/>
            <w:vAlign w:val="bottom"/>
          </w:tcPr>
          <w:p>
            <w:pPr>
              <w:ind w:left="140"/>
              <w:spacing w:after="0"/>
              <w:rPr>
                <w:sz w:val="20"/>
                <w:szCs w:val="20"/>
                <w:color w:val="auto"/>
              </w:rPr>
            </w:pPr>
            <w:r>
              <w:rPr>
                <w:rFonts w:ascii="Arial" w:cs="Arial" w:eastAsia="Arial" w:hAnsi="Arial"/>
                <w:sz w:val="14"/>
                <w:szCs w:val="14"/>
                <w:color w:val="auto"/>
              </w:rPr>
              <w:t>Base chemicals</w:t>
            </w:r>
          </w:p>
        </w:tc>
        <w:tc>
          <w:tcPr>
            <w:tcW w:w="740" w:type="dxa"/>
            <w:vAlign w:val="bottom"/>
            <w:shd w:val="clear" w:color="auto" w:fill="D8D8D8"/>
          </w:tcPr>
          <w:p>
            <w:pPr>
              <w:jc w:val="right"/>
              <w:ind w:right="88"/>
              <w:spacing w:after="0"/>
              <w:rPr>
                <w:sz w:val="20"/>
                <w:szCs w:val="20"/>
                <w:color w:val="auto"/>
              </w:rPr>
            </w:pPr>
            <w:r>
              <w:rPr>
                <w:rFonts w:ascii="Arial" w:cs="Arial" w:eastAsia="Arial" w:hAnsi="Arial"/>
                <w:sz w:val="14"/>
                <w:szCs w:val="14"/>
                <w:color w:val="auto"/>
              </w:rPr>
              <w:t>3,287</w:t>
            </w:r>
          </w:p>
        </w:tc>
        <w:tc>
          <w:tcPr>
            <w:tcW w:w="1160" w:type="dxa"/>
            <w:vAlign w:val="bottom"/>
          </w:tcPr>
          <w:p>
            <w:pPr>
              <w:jc w:val="right"/>
              <w:ind w:right="228"/>
              <w:spacing w:after="0"/>
              <w:rPr>
                <w:sz w:val="20"/>
                <w:szCs w:val="20"/>
                <w:color w:val="auto"/>
              </w:rPr>
            </w:pPr>
            <w:r>
              <w:rPr>
                <w:rFonts w:ascii="Arial" w:cs="Arial" w:eastAsia="Arial" w:hAnsi="Arial"/>
                <w:sz w:val="14"/>
                <w:szCs w:val="14"/>
                <w:color w:val="auto"/>
              </w:rPr>
              <w:t>3,423</w:t>
            </w:r>
          </w:p>
        </w:tc>
        <w:tc>
          <w:tcPr>
            <w:tcW w:w="920" w:type="dxa"/>
            <w:vAlign w:val="bottom"/>
          </w:tcPr>
          <w:p>
            <w:pPr>
              <w:jc w:val="right"/>
              <w:ind w:right="88"/>
              <w:spacing w:after="0"/>
              <w:rPr>
                <w:sz w:val="20"/>
                <w:szCs w:val="20"/>
                <w:color w:val="auto"/>
              </w:rPr>
            </w:pPr>
            <w:r>
              <w:rPr>
                <w:rFonts w:ascii="Arial" w:cs="Arial" w:eastAsia="Arial" w:hAnsi="Arial"/>
                <w:sz w:val="14"/>
                <w:szCs w:val="14"/>
                <w:color w:val="auto"/>
              </w:rPr>
              <w:t>3,771</w:t>
            </w:r>
          </w:p>
        </w:tc>
      </w:tr>
      <w:tr>
        <w:trPr>
          <w:trHeight w:val="162"/>
        </w:trPr>
        <w:tc>
          <w:tcPr>
            <w:tcW w:w="2660" w:type="dxa"/>
            <w:vAlign w:val="bottom"/>
            <w:tcBorders>
              <w:bottom w:val="single" w:sz="8" w:color="auto"/>
            </w:tcBorders>
          </w:tcPr>
          <w:p>
            <w:pPr>
              <w:ind w:left="140"/>
              <w:spacing w:after="0"/>
              <w:rPr>
                <w:sz w:val="20"/>
                <w:szCs w:val="20"/>
                <w:color w:val="auto"/>
              </w:rPr>
            </w:pPr>
            <w:r>
              <w:rPr>
                <w:rFonts w:ascii="Arial" w:cs="Arial" w:eastAsia="Arial" w:hAnsi="Arial"/>
                <w:sz w:val="14"/>
                <w:szCs w:val="14"/>
                <w:color w:val="auto"/>
              </w:rPr>
              <w:t>First-line derivatives and others</w:t>
            </w:r>
          </w:p>
        </w:tc>
        <w:tc>
          <w:tcPr>
            <w:tcW w:w="740" w:type="dxa"/>
            <w:vAlign w:val="bottom"/>
            <w:tcBorders>
              <w:bottom w:val="single" w:sz="8" w:color="auto"/>
            </w:tcBorders>
            <w:shd w:val="clear" w:color="auto" w:fill="D8D8D8"/>
          </w:tcPr>
          <w:p>
            <w:pPr>
              <w:jc w:val="right"/>
              <w:ind w:right="88"/>
              <w:spacing w:after="0"/>
              <w:rPr>
                <w:sz w:val="20"/>
                <w:szCs w:val="20"/>
                <w:color w:val="auto"/>
              </w:rPr>
            </w:pPr>
            <w:r>
              <w:rPr>
                <w:rFonts w:ascii="Arial" w:cs="Arial" w:eastAsia="Arial" w:hAnsi="Arial"/>
                <w:sz w:val="14"/>
                <w:szCs w:val="14"/>
                <w:color w:val="auto"/>
              </w:rPr>
              <w:t>2,019</w:t>
            </w:r>
          </w:p>
        </w:tc>
        <w:tc>
          <w:tcPr>
            <w:tcW w:w="116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rPr>
              <w:t>2,281</w:t>
            </w:r>
          </w:p>
        </w:tc>
        <w:tc>
          <w:tcPr>
            <w:tcW w:w="9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2,626</w:t>
            </w:r>
          </w:p>
        </w:tc>
      </w:tr>
      <w:tr>
        <w:trPr>
          <w:trHeight w:val="156"/>
        </w:trPr>
        <w:tc>
          <w:tcPr>
            <w:tcW w:w="2660" w:type="dxa"/>
            <w:vAlign w:val="bottom"/>
            <w:tcBorders>
              <w:bottom w:val="single" w:sz="8" w:color="auto"/>
            </w:tcBorders>
          </w:tcPr>
          <w:p>
            <w:pPr>
              <w:spacing w:after="0" w:line="155" w:lineRule="exact"/>
              <w:rPr>
                <w:sz w:val="20"/>
                <w:szCs w:val="20"/>
                <w:color w:val="auto"/>
              </w:rPr>
            </w:pPr>
            <w:r>
              <w:rPr>
                <w:rFonts w:ascii="Arial" w:cs="Arial" w:eastAsia="Arial" w:hAnsi="Arial"/>
                <w:sz w:val="14"/>
                <w:szCs w:val="14"/>
                <w:color w:val="auto"/>
              </w:rPr>
              <w:t>Total</w:t>
            </w:r>
          </w:p>
        </w:tc>
        <w:tc>
          <w:tcPr>
            <w:tcW w:w="740" w:type="dxa"/>
            <w:vAlign w:val="bottom"/>
            <w:tcBorders>
              <w:bottom w:val="single" w:sz="8" w:color="auto"/>
            </w:tcBorders>
            <w:shd w:val="clear" w:color="auto" w:fill="D8D8D8"/>
          </w:tcPr>
          <w:p>
            <w:pPr>
              <w:jc w:val="right"/>
              <w:ind w:right="88"/>
              <w:spacing w:after="0" w:line="155" w:lineRule="exact"/>
              <w:rPr>
                <w:sz w:val="20"/>
                <w:szCs w:val="20"/>
                <w:color w:val="auto"/>
              </w:rPr>
            </w:pPr>
            <w:r>
              <w:rPr>
                <w:rFonts w:ascii="Arial" w:cs="Arial" w:eastAsia="Arial" w:hAnsi="Arial"/>
                <w:sz w:val="14"/>
                <w:szCs w:val="14"/>
                <w:color w:val="auto"/>
              </w:rPr>
              <w:t>5,306</w:t>
            </w:r>
          </w:p>
        </w:tc>
        <w:tc>
          <w:tcPr>
            <w:tcW w:w="1160" w:type="dxa"/>
            <w:vAlign w:val="bottom"/>
            <w:tcBorders>
              <w:bottom w:val="single" w:sz="8" w:color="auto"/>
            </w:tcBorders>
          </w:tcPr>
          <w:p>
            <w:pPr>
              <w:jc w:val="right"/>
              <w:ind w:right="228"/>
              <w:spacing w:after="0" w:line="155" w:lineRule="exact"/>
              <w:rPr>
                <w:sz w:val="20"/>
                <w:szCs w:val="20"/>
                <w:color w:val="auto"/>
              </w:rPr>
            </w:pPr>
            <w:r>
              <w:rPr>
                <w:rFonts w:ascii="Arial" w:cs="Arial" w:eastAsia="Arial" w:hAnsi="Arial"/>
                <w:sz w:val="14"/>
                <w:szCs w:val="14"/>
                <w:color w:val="auto"/>
              </w:rPr>
              <w:t>5,704</w:t>
            </w:r>
          </w:p>
        </w:tc>
        <w:tc>
          <w:tcPr>
            <w:tcW w:w="920" w:type="dxa"/>
            <w:vAlign w:val="bottom"/>
            <w:tcBorders>
              <w:bottom w:val="single" w:sz="8" w:color="auto"/>
            </w:tcBorders>
          </w:tcPr>
          <w:p>
            <w:pPr>
              <w:jc w:val="right"/>
              <w:ind w:right="88"/>
              <w:spacing w:after="0" w:line="155" w:lineRule="exact"/>
              <w:rPr>
                <w:sz w:val="20"/>
                <w:szCs w:val="20"/>
                <w:color w:val="auto"/>
              </w:rPr>
            </w:pPr>
            <w:r>
              <w:rPr>
                <w:rFonts w:ascii="Arial" w:cs="Arial" w:eastAsia="Arial" w:hAnsi="Arial"/>
                <w:sz w:val="14"/>
                <w:szCs w:val="14"/>
                <w:color w:val="auto"/>
              </w:rPr>
              <w:t>6,397</w:t>
            </w:r>
          </w:p>
        </w:tc>
      </w:tr>
      <w:tr>
        <w:trPr>
          <w:trHeight w:val="160"/>
        </w:trPr>
        <w:tc>
          <w:tcPr>
            <w:tcW w:w="2660" w:type="dxa"/>
            <w:vAlign w:val="bottom"/>
          </w:tcPr>
          <w:p>
            <w:pPr>
              <w:spacing w:after="0"/>
              <w:rPr>
                <w:sz w:val="20"/>
                <w:szCs w:val="20"/>
                <w:color w:val="auto"/>
              </w:rPr>
            </w:pPr>
            <w:r>
              <w:rPr>
                <w:rFonts w:ascii="Arial" w:cs="Arial" w:eastAsia="Arial" w:hAnsi="Arial"/>
                <w:sz w:val="14"/>
                <w:szCs w:val="14"/>
                <w:color w:val="auto"/>
              </w:rPr>
              <w:t>Asia</w:t>
            </w:r>
          </w:p>
        </w:tc>
        <w:tc>
          <w:tcPr>
            <w:tcW w:w="740" w:type="dxa"/>
            <w:vAlign w:val="bottom"/>
            <w:shd w:val="clear" w:color="auto" w:fill="D8D8D8"/>
          </w:tcPr>
          <w:p>
            <w:pPr>
              <w:spacing w:after="0"/>
              <w:rPr>
                <w:sz w:val="13"/>
                <w:szCs w:val="13"/>
                <w:color w:val="auto"/>
              </w:rPr>
            </w:pPr>
          </w:p>
        </w:tc>
        <w:tc>
          <w:tcPr>
            <w:tcW w:w="1160" w:type="dxa"/>
            <w:vAlign w:val="bottom"/>
          </w:tcPr>
          <w:p>
            <w:pPr>
              <w:spacing w:after="0"/>
              <w:rPr>
                <w:sz w:val="13"/>
                <w:szCs w:val="13"/>
                <w:color w:val="auto"/>
              </w:rPr>
            </w:pPr>
          </w:p>
        </w:tc>
        <w:tc>
          <w:tcPr>
            <w:tcW w:w="920" w:type="dxa"/>
            <w:vAlign w:val="bottom"/>
          </w:tcPr>
          <w:p>
            <w:pPr>
              <w:spacing w:after="0"/>
              <w:rPr>
                <w:sz w:val="13"/>
                <w:szCs w:val="13"/>
                <w:color w:val="auto"/>
              </w:rPr>
            </w:pPr>
          </w:p>
        </w:tc>
      </w:tr>
      <w:tr>
        <w:trPr>
          <w:trHeight w:val="162"/>
        </w:trPr>
        <w:tc>
          <w:tcPr>
            <w:tcW w:w="2660" w:type="dxa"/>
            <w:vAlign w:val="bottom"/>
          </w:tcPr>
          <w:p>
            <w:pPr>
              <w:ind w:left="140"/>
              <w:spacing w:after="0"/>
              <w:rPr>
                <w:sz w:val="20"/>
                <w:szCs w:val="20"/>
                <w:color w:val="auto"/>
              </w:rPr>
            </w:pPr>
            <w:r>
              <w:rPr>
                <w:rFonts w:ascii="Arial" w:cs="Arial" w:eastAsia="Arial" w:hAnsi="Arial"/>
                <w:sz w:val="14"/>
                <w:szCs w:val="14"/>
                <w:color w:val="auto"/>
              </w:rPr>
              <w:t>Base chemicals</w:t>
            </w:r>
          </w:p>
        </w:tc>
        <w:tc>
          <w:tcPr>
            <w:tcW w:w="740" w:type="dxa"/>
            <w:vAlign w:val="bottom"/>
            <w:shd w:val="clear" w:color="auto" w:fill="D8D8D8"/>
          </w:tcPr>
          <w:p>
            <w:pPr>
              <w:jc w:val="right"/>
              <w:ind w:right="88"/>
              <w:spacing w:after="0"/>
              <w:rPr>
                <w:sz w:val="20"/>
                <w:szCs w:val="20"/>
                <w:color w:val="auto"/>
              </w:rPr>
            </w:pPr>
            <w:r>
              <w:rPr>
                <w:rFonts w:ascii="Arial" w:cs="Arial" w:eastAsia="Arial" w:hAnsi="Arial"/>
                <w:sz w:val="14"/>
                <w:szCs w:val="14"/>
                <w:color w:val="auto"/>
              </w:rPr>
              <w:t>2,220</w:t>
            </w:r>
          </w:p>
        </w:tc>
        <w:tc>
          <w:tcPr>
            <w:tcW w:w="1160" w:type="dxa"/>
            <w:vAlign w:val="bottom"/>
          </w:tcPr>
          <w:p>
            <w:pPr>
              <w:jc w:val="right"/>
              <w:ind w:right="228"/>
              <w:spacing w:after="0"/>
              <w:rPr>
                <w:sz w:val="20"/>
                <w:szCs w:val="20"/>
                <w:color w:val="auto"/>
              </w:rPr>
            </w:pPr>
            <w:r>
              <w:rPr>
                <w:rFonts w:ascii="Arial" w:cs="Arial" w:eastAsia="Arial" w:hAnsi="Arial"/>
                <w:sz w:val="14"/>
                <w:szCs w:val="14"/>
                <w:color w:val="auto"/>
              </w:rPr>
              <w:t>2,266</w:t>
            </w:r>
          </w:p>
        </w:tc>
        <w:tc>
          <w:tcPr>
            <w:tcW w:w="920" w:type="dxa"/>
            <w:vAlign w:val="bottom"/>
          </w:tcPr>
          <w:p>
            <w:pPr>
              <w:jc w:val="right"/>
              <w:ind w:right="88"/>
              <w:spacing w:after="0"/>
              <w:rPr>
                <w:sz w:val="20"/>
                <w:szCs w:val="20"/>
                <w:color w:val="auto"/>
              </w:rPr>
            </w:pPr>
            <w:r>
              <w:rPr>
                <w:rFonts w:ascii="Arial" w:cs="Arial" w:eastAsia="Arial" w:hAnsi="Arial"/>
                <w:sz w:val="14"/>
                <w:szCs w:val="14"/>
                <w:color w:val="auto"/>
              </w:rPr>
              <w:t>2,588</w:t>
            </w:r>
          </w:p>
        </w:tc>
      </w:tr>
      <w:tr>
        <w:trPr>
          <w:trHeight w:val="157"/>
        </w:trPr>
        <w:tc>
          <w:tcPr>
            <w:tcW w:w="2660" w:type="dxa"/>
            <w:vAlign w:val="bottom"/>
            <w:tcBorders>
              <w:bottom w:val="single" w:sz="8" w:color="auto"/>
            </w:tcBorders>
          </w:tcPr>
          <w:p>
            <w:pPr>
              <w:ind w:left="140"/>
              <w:spacing w:after="0" w:line="157" w:lineRule="exact"/>
              <w:rPr>
                <w:sz w:val="20"/>
                <w:szCs w:val="20"/>
                <w:color w:val="auto"/>
              </w:rPr>
            </w:pPr>
            <w:r>
              <w:rPr>
                <w:rFonts w:ascii="Arial" w:cs="Arial" w:eastAsia="Arial" w:hAnsi="Arial"/>
                <w:sz w:val="14"/>
                <w:szCs w:val="14"/>
                <w:color w:val="auto"/>
              </w:rPr>
              <w:t>First-line derivatives and others</w:t>
            </w:r>
          </w:p>
        </w:tc>
        <w:tc>
          <w:tcPr>
            <w:tcW w:w="740" w:type="dxa"/>
            <w:vAlign w:val="bottom"/>
            <w:tcBorders>
              <w:bottom w:val="single" w:sz="8" w:color="auto"/>
            </w:tcBorders>
            <w:shd w:val="clear" w:color="auto" w:fill="D8D8D8"/>
          </w:tcPr>
          <w:p>
            <w:pPr>
              <w:jc w:val="right"/>
              <w:ind w:right="88"/>
              <w:spacing w:after="0" w:line="157" w:lineRule="exact"/>
              <w:rPr>
                <w:sz w:val="20"/>
                <w:szCs w:val="20"/>
                <w:color w:val="auto"/>
              </w:rPr>
            </w:pPr>
            <w:r>
              <w:rPr>
                <w:rFonts w:ascii="Arial" w:cs="Arial" w:eastAsia="Arial" w:hAnsi="Arial"/>
                <w:sz w:val="14"/>
                <w:szCs w:val="14"/>
                <w:color w:val="auto"/>
              </w:rPr>
              <w:t>2,901</w:t>
            </w:r>
          </w:p>
        </w:tc>
        <w:tc>
          <w:tcPr>
            <w:tcW w:w="1160" w:type="dxa"/>
            <w:vAlign w:val="bottom"/>
            <w:tcBorders>
              <w:bottom w:val="single" w:sz="8" w:color="auto"/>
            </w:tcBorders>
          </w:tcPr>
          <w:p>
            <w:pPr>
              <w:jc w:val="right"/>
              <w:ind w:right="228"/>
              <w:spacing w:after="0" w:line="157" w:lineRule="exact"/>
              <w:rPr>
                <w:sz w:val="20"/>
                <w:szCs w:val="20"/>
                <w:color w:val="auto"/>
              </w:rPr>
            </w:pPr>
            <w:r>
              <w:rPr>
                <w:rFonts w:ascii="Arial" w:cs="Arial" w:eastAsia="Arial" w:hAnsi="Arial"/>
                <w:sz w:val="14"/>
                <w:szCs w:val="14"/>
                <w:color w:val="auto"/>
              </w:rPr>
              <w:t>2,989</w:t>
            </w:r>
          </w:p>
        </w:tc>
        <w:tc>
          <w:tcPr>
            <w:tcW w:w="920" w:type="dxa"/>
            <w:vAlign w:val="bottom"/>
            <w:tcBorders>
              <w:bottom w:val="single" w:sz="8" w:color="auto"/>
            </w:tcBorders>
          </w:tcPr>
          <w:p>
            <w:pPr>
              <w:jc w:val="right"/>
              <w:ind w:right="88"/>
              <w:spacing w:after="0" w:line="157" w:lineRule="exact"/>
              <w:rPr>
                <w:sz w:val="20"/>
                <w:szCs w:val="20"/>
                <w:color w:val="auto"/>
              </w:rPr>
            </w:pPr>
            <w:r>
              <w:rPr>
                <w:rFonts w:ascii="Arial" w:cs="Arial" w:eastAsia="Arial" w:hAnsi="Arial"/>
                <w:sz w:val="14"/>
                <w:szCs w:val="14"/>
                <w:color w:val="auto"/>
              </w:rPr>
              <w:t>3,074</w:t>
            </w:r>
          </w:p>
        </w:tc>
      </w:tr>
      <w:tr>
        <w:trPr>
          <w:trHeight w:val="156"/>
        </w:trPr>
        <w:tc>
          <w:tcPr>
            <w:tcW w:w="2660" w:type="dxa"/>
            <w:vAlign w:val="bottom"/>
            <w:tcBorders>
              <w:bottom w:val="single" w:sz="8" w:color="auto"/>
            </w:tcBorders>
          </w:tcPr>
          <w:p>
            <w:pPr>
              <w:spacing w:after="0" w:line="155" w:lineRule="exact"/>
              <w:rPr>
                <w:sz w:val="20"/>
                <w:szCs w:val="20"/>
                <w:color w:val="auto"/>
              </w:rPr>
            </w:pPr>
            <w:r>
              <w:rPr>
                <w:rFonts w:ascii="Arial" w:cs="Arial" w:eastAsia="Arial" w:hAnsi="Arial"/>
                <w:sz w:val="14"/>
                <w:szCs w:val="14"/>
                <w:color w:val="auto"/>
              </w:rPr>
              <w:t>Total</w:t>
            </w:r>
          </w:p>
        </w:tc>
        <w:tc>
          <w:tcPr>
            <w:tcW w:w="740" w:type="dxa"/>
            <w:vAlign w:val="bottom"/>
            <w:tcBorders>
              <w:bottom w:val="single" w:sz="8" w:color="auto"/>
            </w:tcBorders>
            <w:shd w:val="clear" w:color="auto" w:fill="D8D8D8"/>
          </w:tcPr>
          <w:p>
            <w:pPr>
              <w:jc w:val="right"/>
              <w:ind w:right="88"/>
              <w:spacing w:after="0" w:line="155" w:lineRule="exact"/>
              <w:rPr>
                <w:sz w:val="20"/>
                <w:szCs w:val="20"/>
                <w:color w:val="auto"/>
              </w:rPr>
            </w:pPr>
            <w:r>
              <w:rPr>
                <w:rFonts w:ascii="Arial" w:cs="Arial" w:eastAsia="Arial" w:hAnsi="Arial"/>
                <w:sz w:val="14"/>
                <w:szCs w:val="14"/>
                <w:color w:val="auto"/>
              </w:rPr>
              <w:t>5,121</w:t>
            </w:r>
          </w:p>
        </w:tc>
        <w:tc>
          <w:tcPr>
            <w:tcW w:w="1160" w:type="dxa"/>
            <w:vAlign w:val="bottom"/>
            <w:tcBorders>
              <w:bottom w:val="single" w:sz="8" w:color="auto"/>
            </w:tcBorders>
          </w:tcPr>
          <w:p>
            <w:pPr>
              <w:jc w:val="right"/>
              <w:ind w:right="228"/>
              <w:spacing w:after="0" w:line="155" w:lineRule="exact"/>
              <w:rPr>
                <w:sz w:val="20"/>
                <w:szCs w:val="20"/>
                <w:color w:val="auto"/>
              </w:rPr>
            </w:pPr>
            <w:r>
              <w:rPr>
                <w:rFonts w:ascii="Arial" w:cs="Arial" w:eastAsia="Arial" w:hAnsi="Arial"/>
                <w:sz w:val="14"/>
                <w:szCs w:val="14"/>
                <w:color w:val="auto"/>
              </w:rPr>
              <w:t>5,255</w:t>
            </w:r>
          </w:p>
        </w:tc>
        <w:tc>
          <w:tcPr>
            <w:tcW w:w="920" w:type="dxa"/>
            <w:vAlign w:val="bottom"/>
            <w:tcBorders>
              <w:bottom w:val="single" w:sz="8" w:color="auto"/>
            </w:tcBorders>
          </w:tcPr>
          <w:p>
            <w:pPr>
              <w:jc w:val="right"/>
              <w:ind w:right="88"/>
              <w:spacing w:after="0" w:line="155" w:lineRule="exact"/>
              <w:rPr>
                <w:sz w:val="20"/>
                <w:szCs w:val="20"/>
                <w:color w:val="auto"/>
              </w:rPr>
            </w:pPr>
            <w:r>
              <w:rPr>
                <w:rFonts w:ascii="Arial" w:cs="Arial" w:eastAsia="Arial" w:hAnsi="Arial"/>
                <w:sz w:val="14"/>
                <w:szCs w:val="14"/>
                <w:color w:val="auto"/>
              </w:rPr>
              <w:t>5,662</w:t>
            </w:r>
          </w:p>
        </w:tc>
      </w:tr>
      <w:tr>
        <w:trPr>
          <w:trHeight w:val="160"/>
        </w:trPr>
        <w:tc>
          <w:tcPr>
            <w:tcW w:w="2660" w:type="dxa"/>
            <w:vAlign w:val="bottom"/>
          </w:tcPr>
          <w:p>
            <w:pPr>
              <w:spacing w:after="0"/>
              <w:rPr>
                <w:sz w:val="20"/>
                <w:szCs w:val="20"/>
                <w:color w:val="auto"/>
              </w:rPr>
            </w:pPr>
            <w:r>
              <w:rPr>
                <w:rFonts w:ascii="Arial" w:cs="Arial" w:eastAsia="Arial" w:hAnsi="Arial"/>
                <w:sz w:val="14"/>
                <w:szCs w:val="14"/>
                <w:color w:val="auto"/>
              </w:rPr>
              <w:t>Oceania</w:t>
            </w:r>
          </w:p>
        </w:tc>
        <w:tc>
          <w:tcPr>
            <w:tcW w:w="740" w:type="dxa"/>
            <w:vAlign w:val="bottom"/>
            <w:shd w:val="clear" w:color="auto" w:fill="D8D8D8"/>
          </w:tcPr>
          <w:p>
            <w:pPr>
              <w:spacing w:after="0"/>
              <w:rPr>
                <w:sz w:val="13"/>
                <w:szCs w:val="13"/>
                <w:color w:val="auto"/>
              </w:rPr>
            </w:pPr>
          </w:p>
        </w:tc>
        <w:tc>
          <w:tcPr>
            <w:tcW w:w="1160" w:type="dxa"/>
            <w:vAlign w:val="bottom"/>
          </w:tcPr>
          <w:p>
            <w:pPr>
              <w:spacing w:after="0"/>
              <w:rPr>
                <w:sz w:val="13"/>
                <w:szCs w:val="13"/>
                <w:color w:val="auto"/>
              </w:rPr>
            </w:pPr>
          </w:p>
        </w:tc>
        <w:tc>
          <w:tcPr>
            <w:tcW w:w="920" w:type="dxa"/>
            <w:vAlign w:val="bottom"/>
          </w:tcPr>
          <w:p>
            <w:pPr>
              <w:spacing w:after="0"/>
              <w:rPr>
                <w:sz w:val="13"/>
                <w:szCs w:val="13"/>
                <w:color w:val="auto"/>
              </w:rPr>
            </w:pPr>
          </w:p>
        </w:tc>
      </w:tr>
      <w:tr>
        <w:trPr>
          <w:trHeight w:val="162"/>
        </w:trPr>
        <w:tc>
          <w:tcPr>
            <w:tcW w:w="2660" w:type="dxa"/>
            <w:vAlign w:val="bottom"/>
          </w:tcPr>
          <w:p>
            <w:pPr>
              <w:ind w:left="140"/>
              <w:spacing w:after="0"/>
              <w:rPr>
                <w:sz w:val="20"/>
                <w:szCs w:val="20"/>
                <w:color w:val="auto"/>
              </w:rPr>
            </w:pPr>
            <w:r>
              <w:rPr>
                <w:rFonts w:ascii="Arial" w:cs="Arial" w:eastAsia="Arial" w:hAnsi="Arial"/>
                <w:sz w:val="14"/>
                <w:szCs w:val="14"/>
                <w:color w:val="auto"/>
              </w:rPr>
              <w:t>Base chemicals</w:t>
            </w:r>
          </w:p>
        </w:tc>
        <w:tc>
          <w:tcPr>
            <w:tcW w:w="740" w:type="dxa"/>
            <w:vAlign w:val="bottom"/>
            <w:shd w:val="clear" w:color="auto" w:fill="D8D8D8"/>
          </w:tcPr>
          <w:p>
            <w:pPr>
              <w:jc w:val="right"/>
              <w:ind w:right="88"/>
              <w:spacing w:after="0"/>
              <w:rPr>
                <w:sz w:val="20"/>
                <w:szCs w:val="20"/>
                <w:color w:val="auto"/>
              </w:rPr>
            </w:pPr>
            <w:r>
              <w:rPr>
                <w:rFonts w:ascii="Arial" w:cs="Arial" w:eastAsia="Arial" w:hAnsi="Arial"/>
                <w:sz w:val="14"/>
                <w:szCs w:val="14"/>
                <w:color w:val="auto"/>
              </w:rPr>
              <w:t>–</w:t>
            </w:r>
          </w:p>
        </w:tc>
        <w:tc>
          <w:tcPr>
            <w:tcW w:w="1160" w:type="dxa"/>
            <w:vAlign w:val="bottom"/>
          </w:tcPr>
          <w:p>
            <w:pPr>
              <w:jc w:val="right"/>
              <w:ind w:right="228"/>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88"/>
              <w:spacing w:after="0"/>
              <w:rPr>
                <w:sz w:val="20"/>
                <w:szCs w:val="20"/>
                <w:color w:val="auto"/>
              </w:rPr>
            </w:pPr>
            <w:r>
              <w:rPr>
                <w:rFonts w:ascii="Arial" w:cs="Arial" w:eastAsia="Arial" w:hAnsi="Arial"/>
                <w:sz w:val="14"/>
                <w:szCs w:val="14"/>
                <w:color w:val="auto"/>
              </w:rPr>
              <w:t>–</w:t>
            </w:r>
          </w:p>
        </w:tc>
      </w:tr>
      <w:tr>
        <w:trPr>
          <w:trHeight w:val="157"/>
        </w:trPr>
        <w:tc>
          <w:tcPr>
            <w:tcW w:w="2660" w:type="dxa"/>
            <w:vAlign w:val="bottom"/>
            <w:tcBorders>
              <w:bottom w:val="single" w:sz="8" w:color="auto"/>
            </w:tcBorders>
          </w:tcPr>
          <w:p>
            <w:pPr>
              <w:ind w:left="140"/>
              <w:spacing w:after="0" w:line="157" w:lineRule="exact"/>
              <w:rPr>
                <w:sz w:val="20"/>
                <w:szCs w:val="20"/>
                <w:color w:val="auto"/>
              </w:rPr>
            </w:pPr>
            <w:r>
              <w:rPr>
                <w:rFonts w:ascii="Arial" w:cs="Arial" w:eastAsia="Arial" w:hAnsi="Arial"/>
                <w:sz w:val="14"/>
                <w:szCs w:val="14"/>
                <w:color w:val="auto"/>
              </w:rPr>
              <w:t>First-line derivatives and others</w:t>
            </w:r>
          </w:p>
        </w:tc>
        <w:tc>
          <w:tcPr>
            <w:tcW w:w="740" w:type="dxa"/>
            <w:vAlign w:val="bottom"/>
            <w:tcBorders>
              <w:bottom w:val="single" w:sz="8" w:color="auto"/>
            </w:tcBorders>
            <w:shd w:val="clear" w:color="auto" w:fill="D8D8D8"/>
          </w:tcPr>
          <w:p>
            <w:pPr>
              <w:jc w:val="right"/>
              <w:ind w:right="88"/>
              <w:spacing w:after="0" w:line="157" w:lineRule="exact"/>
              <w:rPr>
                <w:sz w:val="20"/>
                <w:szCs w:val="20"/>
                <w:color w:val="auto"/>
              </w:rPr>
            </w:pPr>
            <w:r>
              <w:rPr>
                <w:rFonts w:ascii="Arial" w:cs="Arial" w:eastAsia="Arial" w:hAnsi="Arial"/>
                <w:sz w:val="14"/>
                <w:szCs w:val="14"/>
                <w:color w:val="auto"/>
              </w:rPr>
              <w:t>35</w:t>
            </w:r>
          </w:p>
        </w:tc>
        <w:tc>
          <w:tcPr>
            <w:tcW w:w="1160" w:type="dxa"/>
            <w:vAlign w:val="bottom"/>
            <w:tcBorders>
              <w:bottom w:val="single" w:sz="8" w:color="auto"/>
            </w:tcBorders>
          </w:tcPr>
          <w:p>
            <w:pPr>
              <w:jc w:val="right"/>
              <w:ind w:right="228"/>
              <w:spacing w:after="0" w:line="157" w:lineRule="exact"/>
              <w:rPr>
                <w:sz w:val="20"/>
                <w:szCs w:val="20"/>
                <w:color w:val="auto"/>
              </w:rPr>
            </w:pPr>
            <w:r>
              <w:rPr>
                <w:rFonts w:ascii="Arial" w:cs="Arial" w:eastAsia="Arial" w:hAnsi="Arial"/>
                <w:sz w:val="14"/>
                <w:szCs w:val="14"/>
                <w:color w:val="auto"/>
              </w:rPr>
              <w:t>62</w:t>
            </w:r>
          </w:p>
        </w:tc>
        <w:tc>
          <w:tcPr>
            <w:tcW w:w="920" w:type="dxa"/>
            <w:vAlign w:val="bottom"/>
            <w:tcBorders>
              <w:bottom w:val="single" w:sz="8" w:color="auto"/>
            </w:tcBorders>
          </w:tcPr>
          <w:p>
            <w:pPr>
              <w:jc w:val="right"/>
              <w:ind w:right="88"/>
              <w:spacing w:after="0" w:line="157" w:lineRule="exact"/>
              <w:rPr>
                <w:sz w:val="20"/>
                <w:szCs w:val="20"/>
                <w:color w:val="auto"/>
              </w:rPr>
            </w:pPr>
            <w:r>
              <w:rPr>
                <w:rFonts w:ascii="Arial" w:cs="Arial" w:eastAsia="Arial" w:hAnsi="Arial"/>
                <w:sz w:val="14"/>
                <w:szCs w:val="14"/>
                <w:color w:val="auto"/>
              </w:rPr>
              <w:t>75</w:t>
            </w:r>
          </w:p>
        </w:tc>
      </w:tr>
      <w:tr>
        <w:trPr>
          <w:trHeight w:val="156"/>
        </w:trPr>
        <w:tc>
          <w:tcPr>
            <w:tcW w:w="2660" w:type="dxa"/>
            <w:vAlign w:val="bottom"/>
            <w:tcBorders>
              <w:bottom w:val="single" w:sz="8" w:color="auto"/>
            </w:tcBorders>
          </w:tcPr>
          <w:p>
            <w:pPr>
              <w:spacing w:after="0" w:line="155" w:lineRule="exact"/>
              <w:rPr>
                <w:sz w:val="20"/>
                <w:szCs w:val="20"/>
                <w:color w:val="auto"/>
              </w:rPr>
            </w:pPr>
            <w:r>
              <w:rPr>
                <w:rFonts w:ascii="Arial" w:cs="Arial" w:eastAsia="Arial" w:hAnsi="Arial"/>
                <w:sz w:val="14"/>
                <w:szCs w:val="14"/>
                <w:color w:val="auto"/>
              </w:rPr>
              <w:t>Total</w:t>
            </w:r>
          </w:p>
        </w:tc>
        <w:tc>
          <w:tcPr>
            <w:tcW w:w="740" w:type="dxa"/>
            <w:vAlign w:val="bottom"/>
            <w:tcBorders>
              <w:bottom w:val="single" w:sz="8" w:color="auto"/>
            </w:tcBorders>
            <w:shd w:val="clear" w:color="auto" w:fill="D8D8D8"/>
          </w:tcPr>
          <w:p>
            <w:pPr>
              <w:jc w:val="right"/>
              <w:ind w:right="88"/>
              <w:spacing w:after="0" w:line="155" w:lineRule="exact"/>
              <w:rPr>
                <w:sz w:val="20"/>
                <w:szCs w:val="20"/>
                <w:color w:val="auto"/>
              </w:rPr>
            </w:pPr>
            <w:r>
              <w:rPr>
                <w:rFonts w:ascii="Arial" w:cs="Arial" w:eastAsia="Arial" w:hAnsi="Arial"/>
                <w:sz w:val="14"/>
                <w:szCs w:val="14"/>
                <w:color w:val="auto"/>
              </w:rPr>
              <w:t>35</w:t>
            </w:r>
          </w:p>
        </w:tc>
        <w:tc>
          <w:tcPr>
            <w:tcW w:w="1160" w:type="dxa"/>
            <w:vAlign w:val="bottom"/>
            <w:tcBorders>
              <w:bottom w:val="single" w:sz="8" w:color="auto"/>
            </w:tcBorders>
          </w:tcPr>
          <w:p>
            <w:pPr>
              <w:jc w:val="right"/>
              <w:ind w:right="228"/>
              <w:spacing w:after="0" w:line="155" w:lineRule="exact"/>
              <w:rPr>
                <w:sz w:val="20"/>
                <w:szCs w:val="20"/>
                <w:color w:val="auto"/>
              </w:rPr>
            </w:pPr>
            <w:r>
              <w:rPr>
                <w:rFonts w:ascii="Arial" w:cs="Arial" w:eastAsia="Arial" w:hAnsi="Arial"/>
                <w:sz w:val="14"/>
                <w:szCs w:val="14"/>
                <w:color w:val="auto"/>
              </w:rPr>
              <w:t>62</w:t>
            </w:r>
          </w:p>
        </w:tc>
        <w:tc>
          <w:tcPr>
            <w:tcW w:w="920" w:type="dxa"/>
            <w:vAlign w:val="bottom"/>
            <w:tcBorders>
              <w:bottom w:val="single" w:sz="8" w:color="auto"/>
            </w:tcBorders>
          </w:tcPr>
          <w:p>
            <w:pPr>
              <w:jc w:val="right"/>
              <w:ind w:right="88"/>
              <w:spacing w:after="0" w:line="155" w:lineRule="exact"/>
              <w:rPr>
                <w:sz w:val="20"/>
                <w:szCs w:val="20"/>
                <w:color w:val="auto"/>
              </w:rPr>
            </w:pPr>
            <w:r>
              <w:rPr>
                <w:rFonts w:ascii="Arial" w:cs="Arial" w:eastAsia="Arial" w:hAnsi="Arial"/>
                <w:sz w:val="14"/>
                <w:szCs w:val="14"/>
                <w:color w:val="auto"/>
              </w:rPr>
              <w:t>75</w:t>
            </w:r>
          </w:p>
        </w:tc>
      </w:tr>
      <w:tr>
        <w:trPr>
          <w:trHeight w:val="160"/>
        </w:trPr>
        <w:tc>
          <w:tcPr>
            <w:tcW w:w="2660" w:type="dxa"/>
            <w:vAlign w:val="bottom"/>
          </w:tcPr>
          <w:p>
            <w:pPr>
              <w:spacing w:after="0"/>
              <w:rPr>
                <w:sz w:val="20"/>
                <w:szCs w:val="20"/>
                <w:color w:val="auto"/>
              </w:rPr>
            </w:pPr>
            <w:r>
              <w:rPr>
                <w:rFonts w:ascii="Arial" w:cs="Arial" w:eastAsia="Arial" w:hAnsi="Arial"/>
                <w:sz w:val="14"/>
                <w:szCs w:val="14"/>
                <w:color w:val="auto"/>
              </w:rPr>
              <w:t>Africa</w:t>
            </w:r>
          </w:p>
        </w:tc>
        <w:tc>
          <w:tcPr>
            <w:tcW w:w="740" w:type="dxa"/>
            <w:vAlign w:val="bottom"/>
            <w:shd w:val="clear" w:color="auto" w:fill="D8D8D8"/>
          </w:tcPr>
          <w:p>
            <w:pPr>
              <w:spacing w:after="0"/>
              <w:rPr>
                <w:sz w:val="13"/>
                <w:szCs w:val="13"/>
                <w:color w:val="auto"/>
              </w:rPr>
            </w:pPr>
          </w:p>
        </w:tc>
        <w:tc>
          <w:tcPr>
            <w:tcW w:w="1160" w:type="dxa"/>
            <w:vAlign w:val="bottom"/>
          </w:tcPr>
          <w:p>
            <w:pPr>
              <w:spacing w:after="0"/>
              <w:rPr>
                <w:sz w:val="13"/>
                <w:szCs w:val="13"/>
                <w:color w:val="auto"/>
              </w:rPr>
            </w:pPr>
          </w:p>
        </w:tc>
        <w:tc>
          <w:tcPr>
            <w:tcW w:w="920" w:type="dxa"/>
            <w:vAlign w:val="bottom"/>
          </w:tcPr>
          <w:p>
            <w:pPr>
              <w:spacing w:after="0"/>
              <w:rPr>
                <w:sz w:val="13"/>
                <w:szCs w:val="13"/>
                <w:color w:val="auto"/>
              </w:rPr>
            </w:pPr>
          </w:p>
        </w:tc>
      </w:tr>
      <w:tr>
        <w:trPr>
          <w:trHeight w:val="162"/>
        </w:trPr>
        <w:tc>
          <w:tcPr>
            <w:tcW w:w="2660" w:type="dxa"/>
            <w:vAlign w:val="bottom"/>
          </w:tcPr>
          <w:p>
            <w:pPr>
              <w:ind w:left="140"/>
              <w:spacing w:after="0"/>
              <w:rPr>
                <w:sz w:val="20"/>
                <w:szCs w:val="20"/>
                <w:color w:val="auto"/>
              </w:rPr>
            </w:pPr>
            <w:r>
              <w:rPr>
                <w:rFonts w:ascii="Arial" w:cs="Arial" w:eastAsia="Arial" w:hAnsi="Arial"/>
                <w:sz w:val="14"/>
                <w:szCs w:val="14"/>
                <w:color w:val="auto"/>
              </w:rPr>
              <w:t>Base chemicals</w:t>
            </w:r>
          </w:p>
        </w:tc>
        <w:tc>
          <w:tcPr>
            <w:tcW w:w="740" w:type="dxa"/>
            <w:vAlign w:val="bottom"/>
            <w:shd w:val="clear" w:color="auto" w:fill="D8D8D8"/>
          </w:tcPr>
          <w:p>
            <w:pPr>
              <w:jc w:val="right"/>
              <w:ind w:right="88"/>
              <w:spacing w:after="0"/>
              <w:rPr>
                <w:sz w:val="20"/>
                <w:szCs w:val="20"/>
                <w:color w:val="auto"/>
              </w:rPr>
            </w:pPr>
            <w:r>
              <w:rPr>
                <w:rFonts w:ascii="Arial" w:cs="Arial" w:eastAsia="Arial" w:hAnsi="Arial"/>
                <w:sz w:val="14"/>
                <w:szCs w:val="14"/>
                <w:color w:val="auto"/>
              </w:rPr>
              <w:t>–</w:t>
            </w:r>
          </w:p>
        </w:tc>
        <w:tc>
          <w:tcPr>
            <w:tcW w:w="1160" w:type="dxa"/>
            <w:vAlign w:val="bottom"/>
          </w:tcPr>
          <w:p>
            <w:pPr>
              <w:jc w:val="right"/>
              <w:ind w:right="228"/>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88"/>
              <w:spacing w:after="0"/>
              <w:rPr>
                <w:sz w:val="20"/>
                <w:szCs w:val="20"/>
                <w:color w:val="auto"/>
              </w:rPr>
            </w:pPr>
            <w:r>
              <w:rPr>
                <w:rFonts w:ascii="Arial" w:cs="Arial" w:eastAsia="Arial" w:hAnsi="Arial"/>
                <w:sz w:val="14"/>
                <w:szCs w:val="14"/>
                <w:color w:val="auto"/>
              </w:rPr>
              <w:t>–</w:t>
            </w:r>
          </w:p>
        </w:tc>
      </w:tr>
      <w:tr>
        <w:trPr>
          <w:trHeight w:val="157"/>
        </w:trPr>
        <w:tc>
          <w:tcPr>
            <w:tcW w:w="2660" w:type="dxa"/>
            <w:vAlign w:val="bottom"/>
            <w:tcBorders>
              <w:bottom w:val="single" w:sz="8" w:color="auto"/>
            </w:tcBorders>
          </w:tcPr>
          <w:p>
            <w:pPr>
              <w:ind w:left="140"/>
              <w:spacing w:after="0" w:line="157" w:lineRule="exact"/>
              <w:rPr>
                <w:sz w:val="20"/>
                <w:szCs w:val="20"/>
                <w:color w:val="auto"/>
              </w:rPr>
            </w:pPr>
            <w:r>
              <w:rPr>
                <w:rFonts w:ascii="Arial" w:cs="Arial" w:eastAsia="Arial" w:hAnsi="Arial"/>
                <w:sz w:val="14"/>
                <w:szCs w:val="14"/>
                <w:color w:val="auto"/>
              </w:rPr>
              <w:t>First-line derivatives and others</w:t>
            </w:r>
          </w:p>
        </w:tc>
        <w:tc>
          <w:tcPr>
            <w:tcW w:w="740" w:type="dxa"/>
            <w:vAlign w:val="bottom"/>
            <w:tcBorders>
              <w:bottom w:val="single" w:sz="8" w:color="auto"/>
            </w:tcBorders>
            <w:shd w:val="clear" w:color="auto" w:fill="D8D8D8"/>
          </w:tcPr>
          <w:p>
            <w:pPr>
              <w:jc w:val="right"/>
              <w:ind w:right="88"/>
              <w:spacing w:after="0" w:line="157" w:lineRule="exact"/>
              <w:rPr>
                <w:sz w:val="20"/>
                <w:szCs w:val="20"/>
                <w:color w:val="auto"/>
              </w:rPr>
            </w:pPr>
            <w:r>
              <w:rPr>
                <w:rFonts w:ascii="Arial" w:cs="Arial" w:eastAsia="Arial" w:hAnsi="Arial"/>
                <w:sz w:val="14"/>
                <w:szCs w:val="14"/>
                <w:color w:val="auto"/>
              </w:rPr>
              <w:t>43</w:t>
            </w:r>
          </w:p>
        </w:tc>
        <w:tc>
          <w:tcPr>
            <w:tcW w:w="1160" w:type="dxa"/>
            <w:vAlign w:val="bottom"/>
            <w:tcBorders>
              <w:bottom w:val="single" w:sz="8" w:color="auto"/>
            </w:tcBorders>
          </w:tcPr>
          <w:p>
            <w:pPr>
              <w:jc w:val="right"/>
              <w:ind w:right="228"/>
              <w:spacing w:after="0" w:line="157" w:lineRule="exact"/>
              <w:rPr>
                <w:sz w:val="20"/>
                <w:szCs w:val="20"/>
                <w:color w:val="auto"/>
              </w:rPr>
            </w:pPr>
            <w:r>
              <w:rPr>
                <w:rFonts w:ascii="Arial" w:cs="Arial" w:eastAsia="Arial" w:hAnsi="Arial"/>
                <w:sz w:val="14"/>
                <w:szCs w:val="14"/>
                <w:color w:val="auto"/>
              </w:rPr>
              <w:t>47</w:t>
            </w:r>
          </w:p>
        </w:tc>
        <w:tc>
          <w:tcPr>
            <w:tcW w:w="920" w:type="dxa"/>
            <w:vAlign w:val="bottom"/>
            <w:tcBorders>
              <w:bottom w:val="single" w:sz="8" w:color="auto"/>
            </w:tcBorders>
          </w:tcPr>
          <w:p>
            <w:pPr>
              <w:jc w:val="right"/>
              <w:ind w:right="88"/>
              <w:spacing w:after="0" w:line="157" w:lineRule="exact"/>
              <w:rPr>
                <w:sz w:val="20"/>
                <w:szCs w:val="20"/>
                <w:color w:val="auto"/>
              </w:rPr>
            </w:pPr>
            <w:r>
              <w:rPr>
                <w:rFonts w:ascii="Arial" w:cs="Arial" w:eastAsia="Arial" w:hAnsi="Arial"/>
                <w:sz w:val="14"/>
                <w:szCs w:val="14"/>
                <w:color w:val="auto"/>
              </w:rPr>
              <w:t>54</w:t>
            </w:r>
          </w:p>
        </w:tc>
      </w:tr>
      <w:tr>
        <w:trPr>
          <w:trHeight w:val="156"/>
        </w:trPr>
        <w:tc>
          <w:tcPr>
            <w:tcW w:w="2660" w:type="dxa"/>
            <w:vAlign w:val="bottom"/>
            <w:tcBorders>
              <w:bottom w:val="single" w:sz="8" w:color="auto"/>
            </w:tcBorders>
          </w:tcPr>
          <w:p>
            <w:pPr>
              <w:spacing w:after="0" w:line="155" w:lineRule="exact"/>
              <w:rPr>
                <w:sz w:val="20"/>
                <w:szCs w:val="20"/>
                <w:color w:val="auto"/>
              </w:rPr>
            </w:pPr>
            <w:r>
              <w:rPr>
                <w:rFonts w:ascii="Arial" w:cs="Arial" w:eastAsia="Arial" w:hAnsi="Arial"/>
                <w:sz w:val="14"/>
                <w:szCs w:val="14"/>
                <w:color w:val="auto"/>
              </w:rPr>
              <w:t>Total</w:t>
            </w:r>
          </w:p>
        </w:tc>
        <w:tc>
          <w:tcPr>
            <w:tcW w:w="740" w:type="dxa"/>
            <w:vAlign w:val="bottom"/>
            <w:tcBorders>
              <w:bottom w:val="single" w:sz="8" w:color="auto"/>
            </w:tcBorders>
            <w:shd w:val="clear" w:color="auto" w:fill="D8D8D8"/>
          </w:tcPr>
          <w:p>
            <w:pPr>
              <w:jc w:val="right"/>
              <w:ind w:right="88"/>
              <w:spacing w:after="0" w:line="155" w:lineRule="exact"/>
              <w:rPr>
                <w:sz w:val="20"/>
                <w:szCs w:val="20"/>
                <w:color w:val="auto"/>
              </w:rPr>
            </w:pPr>
            <w:r>
              <w:rPr>
                <w:rFonts w:ascii="Arial" w:cs="Arial" w:eastAsia="Arial" w:hAnsi="Arial"/>
                <w:sz w:val="14"/>
                <w:szCs w:val="14"/>
                <w:color w:val="auto"/>
              </w:rPr>
              <w:t>43</w:t>
            </w:r>
          </w:p>
        </w:tc>
        <w:tc>
          <w:tcPr>
            <w:tcW w:w="1160" w:type="dxa"/>
            <w:vAlign w:val="bottom"/>
            <w:tcBorders>
              <w:bottom w:val="single" w:sz="8" w:color="auto"/>
            </w:tcBorders>
          </w:tcPr>
          <w:p>
            <w:pPr>
              <w:jc w:val="right"/>
              <w:ind w:right="228"/>
              <w:spacing w:after="0" w:line="155" w:lineRule="exact"/>
              <w:rPr>
                <w:sz w:val="20"/>
                <w:szCs w:val="20"/>
                <w:color w:val="auto"/>
              </w:rPr>
            </w:pPr>
            <w:r>
              <w:rPr>
                <w:rFonts w:ascii="Arial" w:cs="Arial" w:eastAsia="Arial" w:hAnsi="Arial"/>
                <w:sz w:val="14"/>
                <w:szCs w:val="14"/>
                <w:color w:val="auto"/>
              </w:rPr>
              <w:t>47</w:t>
            </w:r>
          </w:p>
        </w:tc>
        <w:tc>
          <w:tcPr>
            <w:tcW w:w="920" w:type="dxa"/>
            <w:vAlign w:val="bottom"/>
            <w:tcBorders>
              <w:bottom w:val="single" w:sz="8" w:color="auto"/>
            </w:tcBorders>
          </w:tcPr>
          <w:p>
            <w:pPr>
              <w:jc w:val="right"/>
              <w:ind w:right="88"/>
              <w:spacing w:after="0" w:line="155" w:lineRule="exact"/>
              <w:rPr>
                <w:sz w:val="20"/>
                <w:szCs w:val="20"/>
                <w:color w:val="auto"/>
              </w:rPr>
            </w:pPr>
            <w:r>
              <w:rPr>
                <w:rFonts w:ascii="Arial" w:cs="Arial" w:eastAsia="Arial" w:hAnsi="Arial"/>
                <w:sz w:val="14"/>
                <w:szCs w:val="14"/>
                <w:color w:val="auto"/>
              </w:rPr>
              <w:t>54</w:t>
            </w:r>
          </w:p>
        </w:tc>
      </w:tr>
      <w:tr>
        <w:trPr>
          <w:trHeight w:val="160"/>
        </w:trPr>
        <w:tc>
          <w:tcPr>
            <w:tcW w:w="2660" w:type="dxa"/>
            <w:vAlign w:val="bottom"/>
          </w:tcPr>
          <w:p>
            <w:pPr>
              <w:spacing w:after="0"/>
              <w:rPr>
                <w:sz w:val="20"/>
                <w:szCs w:val="20"/>
                <w:color w:val="auto"/>
              </w:rPr>
            </w:pPr>
            <w:r>
              <w:rPr>
                <w:rFonts w:ascii="Arial" w:cs="Arial" w:eastAsia="Arial" w:hAnsi="Arial"/>
                <w:sz w:val="14"/>
                <w:szCs w:val="14"/>
                <w:color w:val="auto"/>
              </w:rPr>
              <w:t>Americas</w:t>
            </w:r>
          </w:p>
        </w:tc>
        <w:tc>
          <w:tcPr>
            <w:tcW w:w="740" w:type="dxa"/>
            <w:vAlign w:val="bottom"/>
            <w:shd w:val="clear" w:color="auto" w:fill="D8D8D8"/>
          </w:tcPr>
          <w:p>
            <w:pPr>
              <w:spacing w:after="0"/>
              <w:rPr>
                <w:sz w:val="13"/>
                <w:szCs w:val="13"/>
                <w:color w:val="auto"/>
              </w:rPr>
            </w:pPr>
          </w:p>
        </w:tc>
        <w:tc>
          <w:tcPr>
            <w:tcW w:w="1160" w:type="dxa"/>
            <w:vAlign w:val="bottom"/>
          </w:tcPr>
          <w:p>
            <w:pPr>
              <w:spacing w:after="0"/>
              <w:rPr>
                <w:sz w:val="13"/>
                <w:szCs w:val="13"/>
                <w:color w:val="auto"/>
              </w:rPr>
            </w:pPr>
          </w:p>
        </w:tc>
        <w:tc>
          <w:tcPr>
            <w:tcW w:w="920" w:type="dxa"/>
            <w:vAlign w:val="bottom"/>
          </w:tcPr>
          <w:p>
            <w:pPr>
              <w:spacing w:after="0"/>
              <w:rPr>
                <w:sz w:val="13"/>
                <w:szCs w:val="13"/>
                <w:color w:val="auto"/>
              </w:rPr>
            </w:pPr>
          </w:p>
        </w:tc>
      </w:tr>
      <w:tr>
        <w:trPr>
          <w:trHeight w:val="162"/>
        </w:trPr>
        <w:tc>
          <w:tcPr>
            <w:tcW w:w="2660" w:type="dxa"/>
            <w:vAlign w:val="bottom"/>
          </w:tcPr>
          <w:p>
            <w:pPr>
              <w:ind w:left="140"/>
              <w:spacing w:after="0"/>
              <w:rPr>
                <w:sz w:val="20"/>
                <w:szCs w:val="20"/>
                <w:color w:val="auto"/>
              </w:rPr>
            </w:pPr>
            <w:r>
              <w:rPr>
                <w:rFonts w:ascii="Arial" w:cs="Arial" w:eastAsia="Arial" w:hAnsi="Arial"/>
                <w:sz w:val="14"/>
                <w:szCs w:val="14"/>
                <w:color w:val="auto"/>
              </w:rPr>
              <w:t>Base chemicals</w:t>
            </w:r>
          </w:p>
        </w:tc>
        <w:tc>
          <w:tcPr>
            <w:tcW w:w="740" w:type="dxa"/>
            <w:vAlign w:val="bottom"/>
            <w:shd w:val="clear" w:color="auto" w:fill="D8D8D8"/>
          </w:tcPr>
          <w:p>
            <w:pPr>
              <w:jc w:val="right"/>
              <w:ind w:right="88"/>
              <w:spacing w:after="0"/>
              <w:rPr>
                <w:sz w:val="20"/>
                <w:szCs w:val="20"/>
                <w:color w:val="auto"/>
              </w:rPr>
            </w:pPr>
            <w:r>
              <w:rPr>
                <w:rFonts w:ascii="Arial" w:cs="Arial" w:eastAsia="Arial" w:hAnsi="Arial"/>
                <w:sz w:val="14"/>
                <w:szCs w:val="14"/>
                <w:color w:val="auto"/>
              </w:rPr>
              <w:t>3,251</w:t>
            </w:r>
          </w:p>
        </w:tc>
        <w:tc>
          <w:tcPr>
            <w:tcW w:w="1160" w:type="dxa"/>
            <w:vAlign w:val="bottom"/>
          </w:tcPr>
          <w:p>
            <w:pPr>
              <w:jc w:val="right"/>
              <w:ind w:right="228"/>
              <w:spacing w:after="0"/>
              <w:rPr>
                <w:sz w:val="20"/>
                <w:szCs w:val="20"/>
                <w:color w:val="auto"/>
              </w:rPr>
            </w:pPr>
            <w:r>
              <w:rPr>
                <w:rFonts w:ascii="Arial" w:cs="Arial" w:eastAsia="Arial" w:hAnsi="Arial"/>
                <w:sz w:val="14"/>
                <w:szCs w:val="14"/>
                <w:color w:val="auto"/>
              </w:rPr>
              <w:t>3,218</w:t>
            </w:r>
          </w:p>
        </w:tc>
        <w:tc>
          <w:tcPr>
            <w:tcW w:w="920" w:type="dxa"/>
            <w:vAlign w:val="bottom"/>
          </w:tcPr>
          <w:p>
            <w:pPr>
              <w:jc w:val="right"/>
              <w:ind w:right="88"/>
              <w:spacing w:after="0"/>
              <w:rPr>
                <w:sz w:val="20"/>
                <w:szCs w:val="20"/>
                <w:color w:val="auto"/>
              </w:rPr>
            </w:pPr>
            <w:r>
              <w:rPr>
                <w:rFonts w:ascii="Arial" w:cs="Arial" w:eastAsia="Arial" w:hAnsi="Arial"/>
                <w:sz w:val="14"/>
                <w:szCs w:val="14"/>
                <w:color w:val="auto"/>
              </w:rPr>
              <w:t>3,336</w:t>
            </w:r>
          </w:p>
        </w:tc>
      </w:tr>
      <w:tr>
        <w:trPr>
          <w:trHeight w:val="157"/>
        </w:trPr>
        <w:tc>
          <w:tcPr>
            <w:tcW w:w="2660" w:type="dxa"/>
            <w:vAlign w:val="bottom"/>
            <w:tcBorders>
              <w:bottom w:val="single" w:sz="8" w:color="auto"/>
            </w:tcBorders>
          </w:tcPr>
          <w:p>
            <w:pPr>
              <w:ind w:left="140"/>
              <w:spacing w:after="0" w:line="157" w:lineRule="exact"/>
              <w:rPr>
                <w:sz w:val="20"/>
                <w:szCs w:val="20"/>
                <w:color w:val="auto"/>
              </w:rPr>
            </w:pPr>
            <w:r>
              <w:rPr>
                <w:rFonts w:ascii="Arial" w:cs="Arial" w:eastAsia="Arial" w:hAnsi="Arial"/>
                <w:sz w:val="14"/>
                <w:szCs w:val="14"/>
                <w:color w:val="auto"/>
              </w:rPr>
              <w:t>First-line derivatives and others</w:t>
            </w:r>
          </w:p>
        </w:tc>
        <w:tc>
          <w:tcPr>
            <w:tcW w:w="740" w:type="dxa"/>
            <w:vAlign w:val="bottom"/>
            <w:tcBorders>
              <w:bottom w:val="single" w:sz="8" w:color="auto"/>
            </w:tcBorders>
            <w:shd w:val="clear" w:color="auto" w:fill="D8D8D8"/>
          </w:tcPr>
          <w:p>
            <w:pPr>
              <w:jc w:val="right"/>
              <w:ind w:right="88"/>
              <w:spacing w:after="0" w:line="157" w:lineRule="exact"/>
              <w:rPr>
                <w:sz w:val="20"/>
                <w:szCs w:val="20"/>
                <w:color w:val="auto"/>
              </w:rPr>
            </w:pPr>
            <w:r>
              <w:rPr>
                <w:rFonts w:ascii="Arial" w:cs="Arial" w:eastAsia="Arial" w:hAnsi="Arial"/>
                <w:sz w:val="14"/>
                <w:szCs w:val="14"/>
                <w:color w:val="auto"/>
              </w:rPr>
              <w:t>3,252</w:t>
            </w:r>
          </w:p>
        </w:tc>
        <w:tc>
          <w:tcPr>
            <w:tcW w:w="1160" w:type="dxa"/>
            <w:vAlign w:val="bottom"/>
            <w:tcBorders>
              <w:bottom w:val="single" w:sz="8" w:color="auto"/>
            </w:tcBorders>
          </w:tcPr>
          <w:p>
            <w:pPr>
              <w:jc w:val="right"/>
              <w:ind w:right="228"/>
              <w:spacing w:after="0" w:line="157" w:lineRule="exact"/>
              <w:rPr>
                <w:sz w:val="20"/>
                <w:szCs w:val="20"/>
                <w:color w:val="auto"/>
              </w:rPr>
            </w:pPr>
            <w:r>
              <w:rPr>
                <w:rFonts w:ascii="Arial" w:cs="Arial" w:eastAsia="Arial" w:hAnsi="Arial"/>
                <w:sz w:val="14"/>
                <w:szCs w:val="14"/>
                <w:color w:val="auto"/>
              </w:rPr>
              <w:t>3,100</w:t>
            </w:r>
          </w:p>
        </w:tc>
        <w:tc>
          <w:tcPr>
            <w:tcW w:w="920" w:type="dxa"/>
            <w:vAlign w:val="bottom"/>
            <w:tcBorders>
              <w:bottom w:val="single" w:sz="8" w:color="auto"/>
            </w:tcBorders>
          </w:tcPr>
          <w:p>
            <w:pPr>
              <w:jc w:val="right"/>
              <w:ind w:right="88"/>
              <w:spacing w:after="0" w:line="157" w:lineRule="exact"/>
              <w:rPr>
                <w:sz w:val="20"/>
                <w:szCs w:val="20"/>
                <w:color w:val="auto"/>
              </w:rPr>
            </w:pPr>
            <w:r>
              <w:rPr>
                <w:rFonts w:ascii="Arial" w:cs="Arial" w:eastAsia="Arial" w:hAnsi="Arial"/>
                <w:sz w:val="14"/>
                <w:szCs w:val="14"/>
                <w:color w:val="auto"/>
              </w:rPr>
              <w:t>3,145</w:t>
            </w:r>
          </w:p>
        </w:tc>
      </w:tr>
      <w:tr>
        <w:trPr>
          <w:trHeight w:val="156"/>
        </w:trPr>
        <w:tc>
          <w:tcPr>
            <w:tcW w:w="2660" w:type="dxa"/>
            <w:vAlign w:val="bottom"/>
            <w:tcBorders>
              <w:bottom w:val="single" w:sz="8" w:color="auto"/>
            </w:tcBorders>
          </w:tcPr>
          <w:p>
            <w:pPr>
              <w:spacing w:after="0" w:line="155" w:lineRule="exact"/>
              <w:rPr>
                <w:sz w:val="20"/>
                <w:szCs w:val="20"/>
                <w:color w:val="auto"/>
              </w:rPr>
            </w:pPr>
            <w:r>
              <w:rPr>
                <w:rFonts w:ascii="Arial" w:cs="Arial" w:eastAsia="Arial" w:hAnsi="Arial"/>
                <w:sz w:val="14"/>
                <w:szCs w:val="14"/>
                <w:color w:val="auto"/>
              </w:rPr>
              <w:t>Total</w:t>
            </w:r>
          </w:p>
        </w:tc>
        <w:tc>
          <w:tcPr>
            <w:tcW w:w="740" w:type="dxa"/>
            <w:vAlign w:val="bottom"/>
            <w:tcBorders>
              <w:bottom w:val="single" w:sz="8" w:color="auto"/>
            </w:tcBorders>
            <w:shd w:val="clear" w:color="auto" w:fill="D8D8D8"/>
          </w:tcPr>
          <w:p>
            <w:pPr>
              <w:jc w:val="right"/>
              <w:ind w:right="88"/>
              <w:spacing w:after="0" w:line="155" w:lineRule="exact"/>
              <w:rPr>
                <w:sz w:val="20"/>
                <w:szCs w:val="20"/>
                <w:color w:val="auto"/>
              </w:rPr>
            </w:pPr>
            <w:r>
              <w:rPr>
                <w:rFonts w:ascii="Arial" w:cs="Arial" w:eastAsia="Arial" w:hAnsi="Arial"/>
                <w:sz w:val="14"/>
                <w:szCs w:val="14"/>
                <w:color w:val="auto"/>
              </w:rPr>
              <w:t>6,503</w:t>
            </w:r>
          </w:p>
        </w:tc>
        <w:tc>
          <w:tcPr>
            <w:tcW w:w="1160" w:type="dxa"/>
            <w:vAlign w:val="bottom"/>
            <w:tcBorders>
              <w:bottom w:val="single" w:sz="8" w:color="auto"/>
            </w:tcBorders>
          </w:tcPr>
          <w:p>
            <w:pPr>
              <w:jc w:val="right"/>
              <w:ind w:right="228"/>
              <w:spacing w:after="0" w:line="155" w:lineRule="exact"/>
              <w:rPr>
                <w:sz w:val="20"/>
                <w:szCs w:val="20"/>
                <w:color w:val="auto"/>
              </w:rPr>
            </w:pPr>
            <w:r>
              <w:rPr>
                <w:rFonts w:ascii="Arial" w:cs="Arial" w:eastAsia="Arial" w:hAnsi="Arial"/>
                <w:sz w:val="14"/>
                <w:szCs w:val="14"/>
                <w:color w:val="auto"/>
              </w:rPr>
              <w:t>6,318</w:t>
            </w:r>
          </w:p>
        </w:tc>
        <w:tc>
          <w:tcPr>
            <w:tcW w:w="920" w:type="dxa"/>
            <w:vAlign w:val="bottom"/>
            <w:tcBorders>
              <w:bottom w:val="single" w:sz="8" w:color="auto"/>
            </w:tcBorders>
          </w:tcPr>
          <w:p>
            <w:pPr>
              <w:jc w:val="right"/>
              <w:ind w:right="88"/>
              <w:spacing w:after="0" w:line="155" w:lineRule="exact"/>
              <w:rPr>
                <w:sz w:val="20"/>
                <w:szCs w:val="20"/>
                <w:color w:val="auto"/>
              </w:rPr>
            </w:pPr>
            <w:r>
              <w:rPr>
                <w:rFonts w:ascii="Arial" w:cs="Arial" w:eastAsia="Arial" w:hAnsi="Arial"/>
                <w:sz w:val="14"/>
                <w:szCs w:val="14"/>
                <w:color w:val="auto"/>
              </w:rPr>
              <w:t>6,481</w:t>
            </w:r>
          </w:p>
        </w:tc>
      </w:tr>
      <w:tr>
        <w:trPr>
          <w:trHeight w:val="160"/>
        </w:trPr>
        <w:tc>
          <w:tcPr>
            <w:tcW w:w="2660" w:type="dxa"/>
            <w:vAlign w:val="bottom"/>
          </w:tcPr>
          <w:p>
            <w:pPr>
              <w:spacing w:after="0"/>
              <w:rPr>
                <w:sz w:val="20"/>
                <w:szCs w:val="20"/>
                <w:color w:val="auto"/>
              </w:rPr>
            </w:pPr>
            <w:r>
              <w:rPr>
                <w:rFonts w:ascii="Arial" w:cs="Arial" w:eastAsia="Arial" w:hAnsi="Arial"/>
                <w:sz w:val="14"/>
                <w:szCs w:val="14"/>
                <w:color w:val="auto"/>
              </w:rPr>
              <w:t>Total product sales</w:t>
            </w:r>
          </w:p>
        </w:tc>
        <w:tc>
          <w:tcPr>
            <w:tcW w:w="740" w:type="dxa"/>
            <w:vAlign w:val="bottom"/>
            <w:shd w:val="clear" w:color="auto" w:fill="D8D8D8"/>
          </w:tcPr>
          <w:p>
            <w:pPr>
              <w:spacing w:after="0"/>
              <w:rPr>
                <w:sz w:val="13"/>
                <w:szCs w:val="13"/>
                <w:color w:val="auto"/>
              </w:rPr>
            </w:pPr>
          </w:p>
        </w:tc>
        <w:tc>
          <w:tcPr>
            <w:tcW w:w="1160" w:type="dxa"/>
            <w:vAlign w:val="bottom"/>
          </w:tcPr>
          <w:p>
            <w:pPr>
              <w:spacing w:after="0"/>
              <w:rPr>
                <w:sz w:val="13"/>
                <w:szCs w:val="13"/>
                <w:color w:val="auto"/>
              </w:rPr>
            </w:pPr>
          </w:p>
        </w:tc>
        <w:tc>
          <w:tcPr>
            <w:tcW w:w="920" w:type="dxa"/>
            <w:vAlign w:val="bottom"/>
          </w:tcPr>
          <w:p>
            <w:pPr>
              <w:spacing w:after="0"/>
              <w:rPr>
                <w:sz w:val="13"/>
                <w:szCs w:val="13"/>
                <w:color w:val="auto"/>
              </w:rPr>
            </w:pPr>
          </w:p>
        </w:tc>
      </w:tr>
      <w:tr>
        <w:trPr>
          <w:trHeight w:val="162"/>
        </w:trPr>
        <w:tc>
          <w:tcPr>
            <w:tcW w:w="2660" w:type="dxa"/>
            <w:vAlign w:val="bottom"/>
          </w:tcPr>
          <w:p>
            <w:pPr>
              <w:ind w:left="140"/>
              <w:spacing w:after="0"/>
              <w:rPr>
                <w:sz w:val="20"/>
                <w:szCs w:val="20"/>
                <w:color w:val="auto"/>
              </w:rPr>
            </w:pPr>
            <w:r>
              <w:rPr>
                <w:rFonts w:ascii="Arial" w:cs="Arial" w:eastAsia="Arial" w:hAnsi="Arial"/>
                <w:sz w:val="14"/>
                <w:szCs w:val="14"/>
                <w:color w:val="auto"/>
              </w:rPr>
              <w:t>Base chemicals</w:t>
            </w:r>
          </w:p>
        </w:tc>
        <w:tc>
          <w:tcPr>
            <w:tcW w:w="740" w:type="dxa"/>
            <w:vAlign w:val="bottom"/>
            <w:shd w:val="clear" w:color="auto" w:fill="D8D8D8"/>
          </w:tcPr>
          <w:p>
            <w:pPr>
              <w:jc w:val="right"/>
              <w:ind w:right="88"/>
              <w:spacing w:after="0"/>
              <w:rPr>
                <w:sz w:val="20"/>
                <w:szCs w:val="20"/>
                <w:color w:val="auto"/>
              </w:rPr>
            </w:pPr>
            <w:r>
              <w:rPr>
                <w:rFonts w:ascii="Arial" w:cs="Arial" w:eastAsia="Arial" w:hAnsi="Arial"/>
                <w:sz w:val="14"/>
                <w:szCs w:val="14"/>
                <w:color w:val="auto"/>
              </w:rPr>
              <w:t>8,758</w:t>
            </w:r>
          </w:p>
        </w:tc>
        <w:tc>
          <w:tcPr>
            <w:tcW w:w="1160" w:type="dxa"/>
            <w:vAlign w:val="bottom"/>
          </w:tcPr>
          <w:p>
            <w:pPr>
              <w:jc w:val="right"/>
              <w:ind w:right="228"/>
              <w:spacing w:after="0"/>
              <w:rPr>
                <w:sz w:val="20"/>
                <w:szCs w:val="20"/>
                <w:color w:val="auto"/>
              </w:rPr>
            </w:pPr>
            <w:r>
              <w:rPr>
                <w:rFonts w:ascii="Arial" w:cs="Arial" w:eastAsia="Arial" w:hAnsi="Arial"/>
                <w:sz w:val="14"/>
                <w:szCs w:val="14"/>
                <w:color w:val="auto"/>
              </w:rPr>
              <w:t>8,907</w:t>
            </w:r>
          </w:p>
        </w:tc>
        <w:tc>
          <w:tcPr>
            <w:tcW w:w="920" w:type="dxa"/>
            <w:vAlign w:val="bottom"/>
          </w:tcPr>
          <w:p>
            <w:pPr>
              <w:jc w:val="right"/>
              <w:ind w:right="88"/>
              <w:spacing w:after="0"/>
              <w:rPr>
                <w:sz w:val="20"/>
                <w:szCs w:val="20"/>
                <w:color w:val="auto"/>
              </w:rPr>
            </w:pPr>
            <w:r>
              <w:rPr>
                <w:rFonts w:ascii="Arial" w:cs="Arial" w:eastAsia="Arial" w:hAnsi="Arial"/>
                <w:sz w:val="14"/>
                <w:szCs w:val="14"/>
                <w:color w:val="auto"/>
              </w:rPr>
              <w:t>9,695</w:t>
            </w:r>
          </w:p>
        </w:tc>
      </w:tr>
      <w:tr>
        <w:trPr>
          <w:trHeight w:val="157"/>
        </w:trPr>
        <w:tc>
          <w:tcPr>
            <w:tcW w:w="2660" w:type="dxa"/>
            <w:vAlign w:val="bottom"/>
            <w:tcBorders>
              <w:bottom w:val="single" w:sz="8" w:color="auto"/>
            </w:tcBorders>
          </w:tcPr>
          <w:p>
            <w:pPr>
              <w:ind w:left="140"/>
              <w:spacing w:after="0" w:line="157" w:lineRule="exact"/>
              <w:rPr>
                <w:sz w:val="20"/>
                <w:szCs w:val="20"/>
                <w:color w:val="auto"/>
              </w:rPr>
            </w:pPr>
            <w:r>
              <w:rPr>
                <w:rFonts w:ascii="Arial" w:cs="Arial" w:eastAsia="Arial" w:hAnsi="Arial"/>
                <w:sz w:val="14"/>
                <w:szCs w:val="14"/>
                <w:color w:val="auto"/>
              </w:rPr>
              <w:t>First-line derivatives and others</w:t>
            </w:r>
          </w:p>
        </w:tc>
        <w:tc>
          <w:tcPr>
            <w:tcW w:w="740" w:type="dxa"/>
            <w:vAlign w:val="bottom"/>
            <w:tcBorders>
              <w:bottom w:val="single" w:sz="8" w:color="auto"/>
            </w:tcBorders>
            <w:shd w:val="clear" w:color="auto" w:fill="D8D8D8"/>
          </w:tcPr>
          <w:p>
            <w:pPr>
              <w:jc w:val="right"/>
              <w:ind w:right="88"/>
              <w:spacing w:after="0" w:line="157" w:lineRule="exact"/>
              <w:rPr>
                <w:sz w:val="20"/>
                <w:szCs w:val="20"/>
                <w:color w:val="auto"/>
              </w:rPr>
            </w:pPr>
            <w:r>
              <w:rPr>
                <w:rFonts w:ascii="Arial" w:cs="Arial" w:eastAsia="Arial" w:hAnsi="Arial"/>
                <w:sz w:val="14"/>
                <w:szCs w:val="14"/>
                <w:color w:val="auto"/>
              </w:rPr>
              <w:t>8,250</w:t>
            </w:r>
          </w:p>
        </w:tc>
        <w:tc>
          <w:tcPr>
            <w:tcW w:w="1160" w:type="dxa"/>
            <w:vAlign w:val="bottom"/>
            <w:tcBorders>
              <w:bottom w:val="single" w:sz="8" w:color="auto"/>
            </w:tcBorders>
          </w:tcPr>
          <w:p>
            <w:pPr>
              <w:jc w:val="right"/>
              <w:ind w:right="228"/>
              <w:spacing w:after="0" w:line="157" w:lineRule="exact"/>
              <w:rPr>
                <w:sz w:val="20"/>
                <w:szCs w:val="20"/>
                <w:color w:val="auto"/>
              </w:rPr>
            </w:pPr>
            <w:r>
              <w:rPr>
                <w:rFonts w:ascii="Arial" w:cs="Arial" w:eastAsia="Arial" w:hAnsi="Arial"/>
                <w:sz w:val="14"/>
                <w:szCs w:val="14"/>
                <w:color w:val="auto"/>
              </w:rPr>
              <w:t>8,479</w:t>
            </w:r>
          </w:p>
        </w:tc>
        <w:tc>
          <w:tcPr>
            <w:tcW w:w="920" w:type="dxa"/>
            <w:vAlign w:val="bottom"/>
            <w:tcBorders>
              <w:bottom w:val="single" w:sz="8" w:color="auto"/>
            </w:tcBorders>
          </w:tcPr>
          <w:p>
            <w:pPr>
              <w:jc w:val="right"/>
              <w:ind w:right="88"/>
              <w:spacing w:after="0" w:line="157" w:lineRule="exact"/>
              <w:rPr>
                <w:sz w:val="20"/>
                <w:szCs w:val="20"/>
                <w:color w:val="auto"/>
              </w:rPr>
            </w:pPr>
            <w:r>
              <w:rPr>
                <w:rFonts w:ascii="Arial" w:cs="Arial" w:eastAsia="Arial" w:hAnsi="Arial"/>
                <w:sz w:val="14"/>
                <w:szCs w:val="14"/>
                <w:color w:val="auto"/>
              </w:rPr>
              <w:t>8,974</w:t>
            </w:r>
          </w:p>
        </w:tc>
      </w:tr>
      <w:tr>
        <w:trPr>
          <w:trHeight w:val="156"/>
        </w:trPr>
        <w:tc>
          <w:tcPr>
            <w:tcW w:w="2660" w:type="dxa"/>
            <w:vAlign w:val="bottom"/>
            <w:tcBorders>
              <w:bottom w:val="single" w:sz="8" w:color="auto"/>
            </w:tcBorders>
          </w:tcPr>
          <w:p>
            <w:pPr>
              <w:spacing w:after="0" w:line="155" w:lineRule="exact"/>
              <w:rPr>
                <w:sz w:val="20"/>
                <w:szCs w:val="20"/>
                <w:color w:val="auto"/>
              </w:rPr>
            </w:pPr>
            <w:r>
              <w:rPr>
                <w:rFonts w:ascii="Arial" w:cs="Arial" w:eastAsia="Arial" w:hAnsi="Arial"/>
                <w:sz w:val="14"/>
                <w:szCs w:val="14"/>
                <w:color w:val="auto"/>
              </w:rPr>
              <w:t>Total</w:t>
            </w:r>
          </w:p>
        </w:tc>
        <w:tc>
          <w:tcPr>
            <w:tcW w:w="740" w:type="dxa"/>
            <w:vAlign w:val="bottom"/>
            <w:tcBorders>
              <w:bottom w:val="single" w:sz="8" w:color="auto"/>
            </w:tcBorders>
            <w:shd w:val="clear" w:color="auto" w:fill="D8D8D8"/>
          </w:tcPr>
          <w:p>
            <w:pPr>
              <w:jc w:val="right"/>
              <w:ind w:right="88"/>
              <w:spacing w:after="0" w:line="155" w:lineRule="exact"/>
              <w:rPr>
                <w:sz w:val="20"/>
                <w:szCs w:val="20"/>
                <w:color w:val="auto"/>
              </w:rPr>
            </w:pPr>
            <w:r>
              <w:rPr>
                <w:rFonts w:ascii="Arial" w:cs="Arial" w:eastAsia="Arial" w:hAnsi="Arial"/>
                <w:sz w:val="14"/>
                <w:szCs w:val="14"/>
                <w:color w:val="auto"/>
              </w:rPr>
              <w:t>17,008</w:t>
            </w:r>
          </w:p>
        </w:tc>
        <w:tc>
          <w:tcPr>
            <w:tcW w:w="1160" w:type="dxa"/>
            <w:vAlign w:val="bottom"/>
            <w:tcBorders>
              <w:bottom w:val="single" w:sz="8" w:color="auto"/>
            </w:tcBorders>
          </w:tcPr>
          <w:p>
            <w:pPr>
              <w:jc w:val="right"/>
              <w:ind w:right="228"/>
              <w:spacing w:after="0" w:line="155" w:lineRule="exact"/>
              <w:rPr>
                <w:sz w:val="20"/>
                <w:szCs w:val="20"/>
                <w:color w:val="auto"/>
              </w:rPr>
            </w:pPr>
            <w:r>
              <w:rPr>
                <w:rFonts w:ascii="Arial" w:cs="Arial" w:eastAsia="Arial" w:hAnsi="Arial"/>
                <w:sz w:val="14"/>
                <w:szCs w:val="14"/>
                <w:color w:val="auto"/>
              </w:rPr>
              <w:t>17,386</w:t>
            </w:r>
          </w:p>
        </w:tc>
        <w:tc>
          <w:tcPr>
            <w:tcW w:w="920" w:type="dxa"/>
            <w:vAlign w:val="bottom"/>
            <w:tcBorders>
              <w:bottom w:val="single" w:sz="8" w:color="auto"/>
            </w:tcBorders>
          </w:tcPr>
          <w:p>
            <w:pPr>
              <w:jc w:val="right"/>
              <w:ind w:right="88"/>
              <w:spacing w:after="0" w:line="155" w:lineRule="exact"/>
              <w:rPr>
                <w:sz w:val="20"/>
                <w:szCs w:val="20"/>
                <w:color w:val="auto"/>
              </w:rPr>
            </w:pPr>
            <w:r>
              <w:rPr>
                <w:rFonts w:ascii="Arial" w:cs="Arial" w:eastAsia="Arial" w:hAnsi="Arial"/>
                <w:sz w:val="14"/>
                <w:szCs w:val="14"/>
                <w:color w:val="auto"/>
              </w:rPr>
              <w:t>18,669</w:t>
            </w:r>
          </w:p>
        </w:tc>
      </w:tr>
    </w:tbl>
    <w:p>
      <w:pPr>
        <w:spacing w:after="0" w:line="37" w:lineRule="exact"/>
        <w:rPr>
          <w:sz w:val="20"/>
          <w:szCs w:val="20"/>
          <w:color w:val="auto"/>
        </w:rPr>
      </w:pPr>
    </w:p>
    <w:p>
      <w:pPr>
        <w:spacing w:after="0"/>
        <w:rPr>
          <w:sz w:val="20"/>
          <w:szCs w:val="20"/>
          <w:color w:val="auto"/>
        </w:rPr>
      </w:pPr>
      <w:r>
        <w:rPr>
          <w:rFonts w:ascii="Arial" w:cs="Arial" w:eastAsia="Arial" w:hAnsi="Arial"/>
          <w:sz w:val="11"/>
          <w:szCs w:val="11"/>
          <w:color w:val="auto"/>
        </w:rPr>
        <w:t>[A] Excludes feedstock trading and by-products.</w:t>
      </w:r>
    </w:p>
    <w:p>
      <w:pPr>
        <w:sectPr>
          <w:pgSz w:w="11900" w:h="16838" w:orient="portrait"/>
          <w:cols w:equalWidth="0" w:num="2">
            <w:col w:w="5500" w:space="280"/>
            <w:col w:w="5640"/>
          </w:cols>
          <w:pgMar w:left="240" w:top="459" w:right="239" w:bottom="1440" w:gutter="0" w:footer="0" w:header="0"/>
          <w:type w:val="continuous"/>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6471285</wp:posOffset>
            </wp:positionH>
            <wp:positionV relativeFrom="paragraph">
              <wp:posOffset>300355</wp:posOffset>
            </wp:positionV>
            <wp:extent cx="8890" cy="46291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8890" cy="462915"/>
                    </a:xfrm>
                    <a:prstGeom prst="rect">
                      <a:avLst/>
                    </a:prstGeom>
                    <a:noFill/>
                  </pic:spPr>
                </pic:pic>
              </a:graphicData>
            </a:graphic>
          </wp:anchor>
        </w:drawing>
      </w:r>
    </w:p>
    <w:p>
      <w:pPr>
        <w:spacing w:after="0" w:line="200" w:lineRule="exact"/>
        <w:rPr>
          <w:sz w:val="20"/>
          <w:szCs w:val="20"/>
          <w:color w:val="auto"/>
        </w:rPr>
      </w:pP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565"/>
        </w:trPr>
        <w:tc>
          <w:tcPr>
            <w:tcW w:w="328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260" w:type="dxa"/>
            <w:vAlign w:val="bottom"/>
            <w:shd w:val="clear" w:color="auto" w:fill="FF8B00"/>
          </w:tcPr>
          <w:p>
            <w:pPr>
              <w:spacing w:after="0"/>
              <w:rPr>
                <w:sz w:val="24"/>
                <w:szCs w:val="24"/>
                <w:color w:val="auto"/>
              </w:rPr>
            </w:pPr>
          </w:p>
        </w:tc>
        <w:tc>
          <w:tcPr>
            <w:tcW w:w="2300" w:type="dxa"/>
            <w:vAlign w:val="bottom"/>
            <w:gridSpan w:val="2"/>
            <w:shd w:val="clear" w:color="auto" w:fill="FF8B00"/>
          </w:tcPr>
          <w:p>
            <w:pPr>
              <w:jc w:val="center"/>
              <w:ind w:left="274"/>
              <w:spacing w:after="0"/>
              <w:rPr>
                <w:sz w:val="20"/>
                <w:szCs w:val="20"/>
                <w:color w:val="auto"/>
              </w:rPr>
            </w:pPr>
            <w:r>
              <w:rPr>
                <w:rFonts w:ascii="Arial" w:cs="Arial" w:eastAsia="Arial" w:hAnsi="Arial"/>
                <w:sz w:val="13"/>
                <w:szCs w:val="13"/>
                <w:color w:val="333333"/>
                <w:w w:val="96"/>
              </w:rPr>
              <w:t>STRATEGIC REPORT</w:t>
            </w:r>
          </w:p>
        </w:tc>
        <w:tc>
          <w:tcPr>
            <w:tcW w:w="840" w:type="dxa"/>
            <w:vAlign w:val="bottom"/>
            <w:shd w:val="clear" w:color="auto" w:fill="FF8B00"/>
          </w:tcPr>
          <w:p>
            <w:pPr>
              <w:spacing w:after="0"/>
              <w:rPr>
                <w:sz w:val="24"/>
                <w:szCs w:val="24"/>
                <w:color w:val="auto"/>
              </w:rPr>
            </w:pPr>
          </w:p>
        </w:tc>
        <w:tc>
          <w:tcPr>
            <w:tcW w:w="920" w:type="dxa"/>
            <w:vAlign w:val="bottom"/>
            <w:shd w:val="clear" w:color="auto" w:fill="FF8B00"/>
          </w:tcPr>
          <w:p>
            <w:pPr>
              <w:spacing w:after="0"/>
              <w:rPr>
                <w:sz w:val="24"/>
                <w:szCs w:val="24"/>
                <w:color w:val="auto"/>
              </w:rPr>
            </w:pPr>
          </w:p>
        </w:tc>
        <w:tc>
          <w:tcPr>
            <w:tcW w:w="720" w:type="dxa"/>
            <w:vAlign w:val="bottom"/>
            <w:shd w:val="clear" w:color="auto" w:fill="FF8B00"/>
          </w:tcPr>
          <w:p>
            <w:pPr>
              <w:spacing w:after="0"/>
              <w:rPr>
                <w:sz w:val="24"/>
                <w:szCs w:val="24"/>
                <w:color w:val="auto"/>
              </w:rPr>
            </w:pPr>
          </w:p>
        </w:tc>
        <w:tc>
          <w:tcPr>
            <w:tcW w:w="780" w:type="dxa"/>
            <w:vAlign w:val="bottom"/>
            <w:shd w:val="clear" w:color="auto" w:fill="FF8B00"/>
          </w:tcPr>
          <w:p>
            <w:pPr>
              <w:jc w:val="right"/>
              <w:ind w:right="289"/>
              <w:spacing w:after="0"/>
              <w:rPr>
                <w:sz w:val="20"/>
                <w:szCs w:val="20"/>
                <w:color w:val="auto"/>
              </w:rPr>
            </w:pPr>
            <w:r>
              <w:rPr>
                <w:rFonts w:ascii="Arial" w:cs="Arial" w:eastAsia="Arial" w:hAnsi="Arial"/>
                <w:sz w:val="11"/>
                <w:szCs w:val="11"/>
                <w:b w:val="1"/>
                <w:bCs w:val="1"/>
                <w:color w:val="333333"/>
              </w:rPr>
              <w:t>45</w:t>
            </w:r>
          </w:p>
        </w:tc>
        <w:tc>
          <w:tcPr>
            <w:tcW w:w="0" w:type="dxa"/>
            <w:vAlign w:val="bottom"/>
          </w:tcPr>
          <w:p>
            <w:pPr>
              <w:spacing w:after="0"/>
              <w:rPr>
                <w:sz w:val="1"/>
                <w:szCs w:val="1"/>
                <w:color w:val="auto"/>
              </w:rPr>
            </w:pPr>
          </w:p>
        </w:tc>
      </w:tr>
      <w:tr>
        <w:trPr>
          <w:trHeight w:val="165"/>
        </w:trPr>
        <w:tc>
          <w:tcPr>
            <w:tcW w:w="3280" w:type="dxa"/>
            <w:vAlign w:val="bottom"/>
            <w:vMerge w:val="restart"/>
          </w:tcPr>
          <w:p>
            <w:pPr>
              <w:spacing w:after="0"/>
              <w:rPr>
                <w:sz w:val="20"/>
                <w:szCs w:val="20"/>
                <w:color w:val="auto"/>
              </w:rPr>
            </w:pPr>
            <w:r>
              <w:rPr>
                <w:rFonts w:ascii="Arial" w:cs="Arial" w:eastAsia="Arial" w:hAnsi="Arial"/>
                <w:sz w:val="11"/>
                <w:szCs w:val="11"/>
                <w:color w:val="auto"/>
              </w:rPr>
              <w:t>SHELL ANNUAL REPORT AND FORM 20-F 2014</w:t>
            </w:r>
          </w:p>
        </w:tc>
        <w:tc>
          <w:tcPr>
            <w:tcW w:w="2320" w:type="dxa"/>
            <w:vAlign w:val="bottom"/>
          </w:tcPr>
          <w:p>
            <w:pPr>
              <w:spacing w:after="0"/>
              <w:rPr>
                <w:sz w:val="14"/>
                <w:szCs w:val="14"/>
                <w:color w:val="auto"/>
              </w:rPr>
            </w:pPr>
          </w:p>
        </w:tc>
        <w:tc>
          <w:tcPr>
            <w:tcW w:w="260" w:type="dxa"/>
            <w:vAlign w:val="bottom"/>
            <w:shd w:val="clear" w:color="auto" w:fill="FF8B00"/>
          </w:tcPr>
          <w:p>
            <w:pPr>
              <w:spacing w:after="0"/>
              <w:rPr>
                <w:sz w:val="14"/>
                <w:szCs w:val="14"/>
                <w:color w:val="auto"/>
              </w:rPr>
            </w:pPr>
          </w:p>
        </w:tc>
        <w:tc>
          <w:tcPr>
            <w:tcW w:w="2300" w:type="dxa"/>
            <w:vAlign w:val="bottom"/>
            <w:gridSpan w:val="2"/>
            <w:shd w:val="clear" w:color="auto" w:fill="FF8B00"/>
          </w:tcPr>
          <w:p>
            <w:pPr>
              <w:spacing w:after="0"/>
              <w:rPr>
                <w:sz w:val="14"/>
                <w:szCs w:val="14"/>
                <w:color w:val="auto"/>
              </w:rPr>
            </w:pPr>
          </w:p>
        </w:tc>
        <w:tc>
          <w:tcPr>
            <w:tcW w:w="840" w:type="dxa"/>
            <w:vAlign w:val="bottom"/>
            <w:shd w:val="clear" w:color="auto" w:fill="FF8B00"/>
          </w:tcPr>
          <w:p>
            <w:pPr>
              <w:spacing w:after="0"/>
              <w:rPr>
                <w:sz w:val="14"/>
                <w:szCs w:val="14"/>
                <w:color w:val="auto"/>
              </w:rPr>
            </w:pPr>
          </w:p>
        </w:tc>
        <w:tc>
          <w:tcPr>
            <w:tcW w:w="920" w:type="dxa"/>
            <w:vAlign w:val="bottom"/>
            <w:shd w:val="clear" w:color="auto" w:fill="FF8B00"/>
          </w:tcPr>
          <w:p>
            <w:pPr>
              <w:spacing w:after="0"/>
              <w:rPr>
                <w:sz w:val="14"/>
                <w:szCs w:val="14"/>
                <w:color w:val="auto"/>
              </w:rPr>
            </w:pPr>
          </w:p>
        </w:tc>
        <w:tc>
          <w:tcPr>
            <w:tcW w:w="720" w:type="dxa"/>
            <w:vAlign w:val="bottom"/>
            <w:shd w:val="clear" w:color="auto" w:fill="FF8B00"/>
          </w:tcPr>
          <w:p>
            <w:pPr>
              <w:spacing w:after="0"/>
              <w:rPr>
                <w:sz w:val="14"/>
                <w:szCs w:val="14"/>
                <w:color w:val="auto"/>
              </w:rPr>
            </w:pPr>
          </w:p>
        </w:tc>
        <w:tc>
          <w:tcPr>
            <w:tcW w:w="780" w:type="dxa"/>
            <w:vAlign w:val="bottom"/>
            <w:shd w:val="clear" w:color="auto" w:fill="FF8B00"/>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3280" w:type="dxa"/>
            <w:vAlign w:val="bottom"/>
            <w:vMerge w:val="continue"/>
          </w:tcPr>
          <w:p>
            <w:pPr>
              <w:spacing w:after="0"/>
              <w:rPr>
                <w:sz w:val="10"/>
                <w:szCs w:val="10"/>
                <w:color w:val="auto"/>
              </w:rPr>
            </w:pPr>
          </w:p>
        </w:tc>
        <w:tc>
          <w:tcPr>
            <w:tcW w:w="23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300" w:type="dxa"/>
            <w:vAlign w:val="bottom"/>
            <w:gridSpan w:val="2"/>
          </w:tcPr>
          <w:p>
            <w:pPr>
              <w:jc w:val="right"/>
              <w:ind w:right="749"/>
              <w:spacing w:after="0" w:line="121" w:lineRule="exact"/>
              <w:rPr>
                <w:sz w:val="20"/>
                <w:szCs w:val="20"/>
                <w:color w:val="auto"/>
              </w:rPr>
            </w:pPr>
            <w:r>
              <w:rPr>
                <w:rFonts w:ascii="Arial" w:cs="Arial" w:eastAsia="Arial" w:hAnsi="Arial"/>
                <w:sz w:val="11"/>
                <w:szCs w:val="11"/>
                <w:color w:val="auto"/>
              </w:rPr>
              <w:t>DOWNSTREAM</w:t>
            </w:r>
          </w:p>
        </w:tc>
        <w:tc>
          <w:tcPr>
            <w:tcW w:w="8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7"/>
        </w:trPr>
        <w:tc>
          <w:tcPr>
            <w:tcW w:w="5600" w:type="dxa"/>
            <w:vAlign w:val="bottom"/>
            <w:gridSpan w:val="2"/>
          </w:tcPr>
          <w:p>
            <w:pPr>
              <w:spacing w:after="0"/>
              <w:rPr>
                <w:sz w:val="20"/>
                <w:szCs w:val="20"/>
                <w:color w:val="auto"/>
              </w:rPr>
            </w:pPr>
            <w:r>
              <w:rPr>
                <w:rFonts w:ascii="Arial" w:cs="Arial" w:eastAsia="Arial" w:hAnsi="Arial"/>
                <w:sz w:val="18"/>
                <w:szCs w:val="18"/>
                <w:color w:val="auto"/>
              </w:rPr>
              <w:t>MANUFACTURING PLANTS AT DECEMBER 31, 2014</w:t>
            </w:r>
          </w:p>
        </w:tc>
        <w:tc>
          <w:tcPr>
            <w:tcW w:w="2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328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3280" w:type="dxa"/>
            <w:vAlign w:val="bottom"/>
            <w:shd w:val="clear" w:color="auto" w:fill="333333"/>
          </w:tcPr>
          <w:p>
            <w:pPr>
              <w:ind w:left="80"/>
              <w:spacing w:after="0" w:line="162" w:lineRule="exact"/>
              <w:rPr>
                <w:sz w:val="20"/>
                <w:szCs w:val="20"/>
                <w:color w:val="auto"/>
              </w:rPr>
            </w:pPr>
            <w:r>
              <w:rPr>
                <w:rFonts w:ascii="Arial" w:cs="Arial" w:eastAsia="Arial" w:hAnsi="Arial"/>
                <w:sz w:val="15"/>
                <w:szCs w:val="15"/>
                <w:b w:val="1"/>
                <w:bCs w:val="1"/>
                <w:color w:val="FFFFFF"/>
              </w:rPr>
              <w:t>REFINERIES IN OPERATION</w:t>
            </w:r>
          </w:p>
        </w:tc>
        <w:tc>
          <w:tcPr>
            <w:tcW w:w="2320" w:type="dxa"/>
            <w:vAlign w:val="bottom"/>
            <w:shd w:val="clear" w:color="auto" w:fill="333333"/>
          </w:tcPr>
          <w:p>
            <w:pPr>
              <w:spacing w:after="0"/>
              <w:rPr>
                <w:sz w:val="14"/>
                <w:szCs w:val="14"/>
                <w:color w:val="auto"/>
              </w:rPr>
            </w:pPr>
          </w:p>
        </w:tc>
        <w:tc>
          <w:tcPr>
            <w:tcW w:w="260" w:type="dxa"/>
            <w:vAlign w:val="bottom"/>
            <w:shd w:val="clear" w:color="auto" w:fill="333333"/>
          </w:tcPr>
          <w:p>
            <w:pPr>
              <w:spacing w:after="0"/>
              <w:rPr>
                <w:sz w:val="14"/>
                <w:szCs w:val="14"/>
                <w:color w:val="auto"/>
              </w:rPr>
            </w:pPr>
          </w:p>
        </w:tc>
        <w:tc>
          <w:tcPr>
            <w:tcW w:w="1400" w:type="dxa"/>
            <w:vAlign w:val="bottom"/>
            <w:shd w:val="clear" w:color="auto" w:fill="333333"/>
          </w:tcPr>
          <w:p>
            <w:pPr>
              <w:spacing w:after="0"/>
              <w:rPr>
                <w:sz w:val="14"/>
                <w:szCs w:val="14"/>
                <w:color w:val="auto"/>
              </w:rPr>
            </w:pPr>
          </w:p>
        </w:tc>
        <w:tc>
          <w:tcPr>
            <w:tcW w:w="900" w:type="dxa"/>
            <w:vAlign w:val="bottom"/>
            <w:shd w:val="clear" w:color="auto" w:fill="333333"/>
          </w:tcPr>
          <w:p>
            <w:pPr>
              <w:spacing w:after="0"/>
              <w:rPr>
                <w:sz w:val="14"/>
                <w:szCs w:val="14"/>
                <w:color w:val="auto"/>
              </w:rPr>
            </w:pPr>
          </w:p>
        </w:tc>
        <w:tc>
          <w:tcPr>
            <w:tcW w:w="840" w:type="dxa"/>
            <w:vAlign w:val="bottom"/>
            <w:shd w:val="clear" w:color="auto" w:fill="333333"/>
          </w:tcPr>
          <w:p>
            <w:pPr>
              <w:spacing w:after="0"/>
              <w:rPr>
                <w:sz w:val="14"/>
                <w:szCs w:val="14"/>
                <w:color w:val="auto"/>
              </w:rPr>
            </w:pPr>
          </w:p>
        </w:tc>
        <w:tc>
          <w:tcPr>
            <w:tcW w:w="920" w:type="dxa"/>
            <w:vAlign w:val="bottom"/>
            <w:shd w:val="clear" w:color="auto" w:fill="333333"/>
          </w:tcPr>
          <w:p>
            <w:pPr>
              <w:spacing w:after="0"/>
              <w:rPr>
                <w:sz w:val="14"/>
                <w:szCs w:val="14"/>
                <w:color w:val="auto"/>
              </w:rPr>
            </w:pPr>
          </w:p>
        </w:tc>
        <w:tc>
          <w:tcPr>
            <w:tcW w:w="720" w:type="dxa"/>
            <w:vAlign w:val="bottom"/>
            <w:shd w:val="clear" w:color="auto" w:fill="333333"/>
          </w:tcPr>
          <w:p>
            <w:pPr>
              <w:spacing w:after="0"/>
              <w:rPr>
                <w:sz w:val="14"/>
                <w:szCs w:val="14"/>
                <w:color w:val="auto"/>
              </w:rPr>
            </w:pPr>
          </w:p>
        </w:tc>
        <w:tc>
          <w:tcPr>
            <w:tcW w:w="780" w:type="dxa"/>
            <w:vAlign w:val="bottom"/>
            <w:shd w:val="clear" w:color="auto" w:fill="333333"/>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28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260" w:type="dxa"/>
            <w:vAlign w:val="bottom"/>
            <w:tcBorders>
              <w:bottom w:val="single" w:sz="8" w:color="auto"/>
            </w:tcBorders>
            <w:gridSpan w:val="4"/>
          </w:tcPr>
          <w:p>
            <w:pPr>
              <w:jc w:val="right"/>
              <w:ind w:right="149"/>
              <w:spacing w:after="0"/>
              <w:rPr>
                <w:sz w:val="20"/>
                <w:szCs w:val="20"/>
                <w:color w:val="auto"/>
              </w:rPr>
            </w:pPr>
            <w:r>
              <w:rPr>
                <w:rFonts w:ascii="Arial" w:cs="Arial" w:eastAsia="Arial" w:hAnsi="Arial"/>
                <w:sz w:val="13"/>
                <w:szCs w:val="13"/>
                <w:color w:val="auto"/>
              </w:rPr>
              <w:t>Thousand barrels/calendar day, 100% capacity[B]</w:t>
            </w:r>
          </w:p>
        </w:tc>
        <w:tc>
          <w:tcPr>
            <w:tcW w:w="0" w:type="dxa"/>
            <w:vAlign w:val="bottom"/>
          </w:tcPr>
          <w:p>
            <w:pPr>
              <w:spacing w:after="0"/>
              <w:rPr>
                <w:sz w:val="1"/>
                <w:szCs w:val="1"/>
                <w:color w:val="auto"/>
              </w:rPr>
            </w:pPr>
          </w:p>
        </w:tc>
      </w:tr>
      <w:tr>
        <w:trPr>
          <w:trHeight w:val="123"/>
        </w:trPr>
        <w:tc>
          <w:tcPr>
            <w:tcW w:w="3280" w:type="dxa"/>
            <w:vAlign w:val="bottom"/>
          </w:tcPr>
          <w:p>
            <w:pPr>
              <w:spacing w:after="0"/>
              <w:rPr>
                <w:sz w:val="10"/>
                <w:szCs w:val="10"/>
                <w:color w:val="auto"/>
              </w:rPr>
            </w:pPr>
          </w:p>
        </w:tc>
        <w:tc>
          <w:tcPr>
            <w:tcW w:w="23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920" w:type="dxa"/>
            <w:vAlign w:val="bottom"/>
          </w:tcPr>
          <w:p>
            <w:pPr>
              <w:jc w:val="right"/>
              <w:ind w:right="49"/>
              <w:spacing w:after="0" w:line="123" w:lineRule="exact"/>
              <w:rPr>
                <w:sz w:val="20"/>
                <w:szCs w:val="20"/>
                <w:color w:val="auto"/>
              </w:rPr>
            </w:pPr>
            <w:r>
              <w:rPr>
                <w:rFonts w:ascii="Arial" w:cs="Arial" w:eastAsia="Arial" w:hAnsi="Arial"/>
                <w:sz w:val="13"/>
                <w:szCs w:val="13"/>
                <w:color w:val="auto"/>
              </w:rPr>
              <w:t>Thermal</w:t>
            </w:r>
          </w:p>
        </w:tc>
        <w:tc>
          <w:tcPr>
            <w:tcW w:w="7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3280" w:type="dxa"/>
            <w:vAlign w:val="bottom"/>
          </w:tcPr>
          <w:p>
            <w:pPr>
              <w:spacing w:after="0"/>
              <w:rPr>
                <w:sz w:val="11"/>
                <w:szCs w:val="11"/>
                <w:color w:val="auto"/>
              </w:rPr>
            </w:pPr>
          </w:p>
        </w:tc>
        <w:tc>
          <w:tcPr>
            <w:tcW w:w="23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0" w:type="dxa"/>
            <w:vAlign w:val="bottom"/>
            <w:vMerge w:val="restart"/>
          </w:tcPr>
          <w:p>
            <w:pPr>
              <w:jc w:val="right"/>
              <w:spacing w:after="0"/>
              <w:rPr>
                <w:sz w:val="20"/>
                <w:szCs w:val="20"/>
                <w:color w:val="auto"/>
              </w:rPr>
            </w:pPr>
            <w:r>
              <w:rPr>
                <w:rFonts w:ascii="Arial" w:cs="Arial" w:eastAsia="Arial" w:hAnsi="Arial"/>
                <w:sz w:val="13"/>
                <w:szCs w:val="13"/>
                <w:color w:val="auto"/>
              </w:rPr>
              <w:t>Asset</w:t>
            </w:r>
          </w:p>
        </w:tc>
        <w:tc>
          <w:tcPr>
            <w:tcW w:w="900" w:type="dxa"/>
            <w:vAlign w:val="bottom"/>
          </w:tcPr>
          <w:p>
            <w:pPr>
              <w:spacing w:after="0"/>
              <w:rPr>
                <w:sz w:val="11"/>
                <w:szCs w:val="11"/>
                <w:color w:val="auto"/>
              </w:rPr>
            </w:pPr>
          </w:p>
        </w:tc>
        <w:tc>
          <w:tcPr>
            <w:tcW w:w="840" w:type="dxa"/>
            <w:vAlign w:val="bottom"/>
          </w:tcPr>
          <w:p>
            <w:pPr>
              <w:jc w:val="right"/>
              <w:ind w:right="69"/>
              <w:spacing w:after="0" w:line="135" w:lineRule="exact"/>
              <w:rPr>
                <w:sz w:val="20"/>
                <w:szCs w:val="20"/>
                <w:color w:val="auto"/>
              </w:rPr>
            </w:pPr>
            <w:r>
              <w:rPr>
                <w:rFonts w:ascii="Arial" w:cs="Arial" w:eastAsia="Arial" w:hAnsi="Arial"/>
                <w:sz w:val="13"/>
                <w:szCs w:val="13"/>
                <w:color w:val="auto"/>
              </w:rPr>
              <w:t>Crude</w:t>
            </w:r>
          </w:p>
        </w:tc>
        <w:tc>
          <w:tcPr>
            <w:tcW w:w="920" w:type="dxa"/>
            <w:vAlign w:val="bottom"/>
          </w:tcPr>
          <w:p>
            <w:pPr>
              <w:jc w:val="right"/>
              <w:ind w:right="49"/>
              <w:spacing w:after="0" w:line="135" w:lineRule="exact"/>
              <w:rPr>
                <w:sz w:val="20"/>
                <w:szCs w:val="20"/>
                <w:color w:val="auto"/>
              </w:rPr>
            </w:pPr>
            <w:r>
              <w:rPr>
                <w:rFonts w:ascii="Arial" w:cs="Arial" w:eastAsia="Arial" w:hAnsi="Arial"/>
                <w:sz w:val="13"/>
                <w:szCs w:val="13"/>
                <w:color w:val="auto"/>
              </w:rPr>
              <w:t>cracking/</w:t>
            </w: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3280" w:type="dxa"/>
            <w:vAlign w:val="bottom"/>
          </w:tcPr>
          <w:p>
            <w:pPr>
              <w:spacing w:after="0"/>
              <w:rPr>
                <w:sz w:val="10"/>
                <w:szCs w:val="10"/>
                <w:color w:val="auto"/>
              </w:rPr>
            </w:pPr>
          </w:p>
        </w:tc>
        <w:tc>
          <w:tcPr>
            <w:tcW w:w="23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400" w:type="dxa"/>
            <w:vAlign w:val="bottom"/>
            <w:vMerge w:val="continue"/>
          </w:tcPr>
          <w:p>
            <w:pPr>
              <w:spacing w:after="0"/>
              <w:rPr>
                <w:sz w:val="10"/>
                <w:szCs w:val="10"/>
                <w:color w:val="auto"/>
              </w:rPr>
            </w:pPr>
          </w:p>
        </w:tc>
        <w:tc>
          <w:tcPr>
            <w:tcW w:w="900" w:type="dxa"/>
            <w:vAlign w:val="bottom"/>
          </w:tcPr>
          <w:p>
            <w:pPr>
              <w:jc w:val="right"/>
              <w:ind w:right="149"/>
              <w:spacing w:after="0" w:line="122" w:lineRule="exact"/>
              <w:rPr>
                <w:sz w:val="20"/>
                <w:szCs w:val="20"/>
                <w:color w:val="auto"/>
              </w:rPr>
            </w:pPr>
            <w:r>
              <w:rPr>
                <w:rFonts w:ascii="Arial" w:cs="Arial" w:eastAsia="Arial" w:hAnsi="Arial"/>
                <w:sz w:val="13"/>
                <w:szCs w:val="13"/>
                <w:color w:val="auto"/>
              </w:rPr>
              <w:t>Shell</w:t>
            </w:r>
          </w:p>
        </w:tc>
        <w:tc>
          <w:tcPr>
            <w:tcW w:w="840" w:type="dxa"/>
            <w:vAlign w:val="bottom"/>
          </w:tcPr>
          <w:p>
            <w:pPr>
              <w:jc w:val="right"/>
              <w:ind w:right="69"/>
              <w:spacing w:after="0" w:line="122" w:lineRule="exact"/>
              <w:rPr>
                <w:sz w:val="20"/>
                <w:szCs w:val="20"/>
                <w:color w:val="auto"/>
              </w:rPr>
            </w:pPr>
            <w:r>
              <w:rPr>
                <w:rFonts w:ascii="Arial" w:cs="Arial" w:eastAsia="Arial" w:hAnsi="Arial"/>
                <w:sz w:val="13"/>
                <w:szCs w:val="13"/>
                <w:color w:val="auto"/>
              </w:rPr>
              <w:t>distillation</w:t>
            </w:r>
          </w:p>
        </w:tc>
        <w:tc>
          <w:tcPr>
            <w:tcW w:w="920" w:type="dxa"/>
            <w:vAlign w:val="bottom"/>
          </w:tcPr>
          <w:p>
            <w:pPr>
              <w:jc w:val="right"/>
              <w:ind w:right="49"/>
              <w:spacing w:after="0" w:line="122" w:lineRule="exact"/>
              <w:rPr>
                <w:sz w:val="20"/>
                <w:szCs w:val="20"/>
                <w:color w:val="auto"/>
              </w:rPr>
            </w:pPr>
            <w:r>
              <w:rPr>
                <w:rFonts w:ascii="Arial" w:cs="Arial" w:eastAsia="Arial" w:hAnsi="Arial"/>
                <w:sz w:val="13"/>
                <w:szCs w:val="13"/>
                <w:color w:val="auto"/>
              </w:rPr>
              <w:t>visbreaking/</w:t>
            </w:r>
          </w:p>
        </w:tc>
        <w:tc>
          <w:tcPr>
            <w:tcW w:w="720" w:type="dxa"/>
            <w:vAlign w:val="bottom"/>
          </w:tcPr>
          <w:p>
            <w:pPr>
              <w:jc w:val="right"/>
              <w:ind w:right="29"/>
              <w:spacing w:after="0" w:line="122" w:lineRule="exact"/>
              <w:rPr>
                <w:sz w:val="20"/>
                <w:szCs w:val="20"/>
                <w:color w:val="auto"/>
              </w:rPr>
            </w:pPr>
            <w:r>
              <w:rPr>
                <w:rFonts w:ascii="Arial" w:cs="Arial" w:eastAsia="Arial" w:hAnsi="Arial"/>
                <w:sz w:val="13"/>
                <w:szCs w:val="13"/>
                <w:color w:val="auto"/>
              </w:rPr>
              <w:t>Catalytic</w:t>
            </w:r>
          </w:p>
        </w:tc>
        <w:tc>
          <w:tcPr>
            <w:tcW w:w="780" w:type="dxa"/>
            <w:vAlign w:val="bottom"/>
          </w:tcPr>
          <w:p>
            <w:pPr>
              <w:jc w:val="right"/>
              <w:ind w:right="149"/>
              <w:spacing w:after="0" w:line="122" w:lineRule="exact"/>
              <w:rPr>
                <w:sz w:val="20"/>
                <w:szCs w:val="20"/>
                <w:color w:val="auto"/>
              </w:rPr>
            </w:pPr>
            <w:r>
              <w:rPr>
                <w:rFonts w:ascii="Arial" w:cs="Arial" w:eastAsia="Arial" w:hAnsi="Arial"/>
                <w:sz w:val="13"/>
                <w:szCs w:val="13"/>
                <w:color w:val="auto"/>
              </w:rPr>
              <w:t>Hydro-</w:t>
            </w:r>
          </w:p>
        </w:tc>
        <w:tc>
          <w:tcPr>
            <w:tcW w:w="0" w:type="dxa"/>
            <w:vAlign w:val="bottom"/>
          </w:tcPr>
          <w:p>
            <w:pPr>
              <w:spacing w:after="0"/>
              <w:rPr>
                <w:sz w:val="1"/>
                <w:szCs w:val="1"/>
                <w:color w:val="auto"/>
              </w:rPr>
            </w:pPr>
          </w:p>
        </w:tc>
      </w:tr>
      <w:tr>
        <w:trPr>
          <w:trHeight w:val="155"/>
        </w:trPr>
        <w:tc>
          <w:tcPr>
            <w:tcW w:w="3280" w:type="dxa"/>
            <w:vAlign w:val="bottom"/>
            <w:tcBorders>
              <w:bottom w:val="single" w:sz="8" w:color="auto"/>
            </w:tcBorders>
          </w:tcPr>
          <w:p>
            <w:pPr>
              <w:spacing w:after="0"/>
              <w:rPr>
                <w:sz w:val="13"/>
                <w:szCs w:val="13"/>
                <w:color w:val="auto"/>
              </w:rPr>
            </w:pPr>
          </w:p>
        </w:tc>
        <w:tc>
          <w:tcPr>
            <w:tcW w:w="2320" w:type="dxa"/>
            <w:vAlign w:val="bottom"/>
            <w:tcBorders>
              <w:bottom w:val="single" w:sz="8" w:color="auto"/>
            </w:tcBorders>
          </w:tcPr>
          <w:p>
            <w:pPr>
              <w:ind w:left="880"/>
              <w:spacing w:after="0"/>
              <w:rPr>
                <w:sz w:val="20"/>
                <w:szCs w:val="20"/>
                <w:color w:val="auto"/>
              </w:rPr>
            </w:pPr>
            <w:r>
              <w:rPr>
                <w:rFonts w:ascii="Arial" w:cs="Arial" w:eastAsia="Arial" w:hAnsi="Arial"/>
                <w:sz w:val="13"/>
                <w:szCs w:val="13"/>
                <w:color w:val="auto"/>
              </w:rPr>
              <w:t>Location</w:t>
            </w:r>
          </w:p>
        </w:tc>
        <w:tc>
          <w:tcPr>
            <w:tcW w:w="260" w:type="dxa"/>
            <w:vAlign w:val="bottom"/>
            <w:tcBorders>
              <w:bottom w:val="single" w:sz="8" w:color="auto"/>
            </w:tcBorders>
          </w:tcPr>
          <w:p>
            <w:pPr>
              <w:spacing w:after="0"/>
              <w:rPr>
                <w:sz w:val="13"/>
                <w:szCs w:val="13"/>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class</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99"/>
              </w:rPr>
              <w:t>interest (%)[A]</w:t>
            </w:r>
          </w:p>
        </w:tc>
        <w:tc>
          <w:tcPr>
            <w:tcW w:w="840" w:type="dxa"/>
            <w:vAlign w:val="bottom"/>
            <w:tcBorders>
              <w:bottom w:val="single" w:sz="8" w:color="auto"/>
            </w:tcBorders>
          </w:tcPr>
          <w:p>
            <w:pPr>
              <w:jc w:val="right"/>
              <w:ind w:right="69"/>
              <w:spacing w:after="0"/>
              <w:rPr>
                <w:sz w:val="20"/>
                <w:szCs w:val="20"/>
                <w:color w:val="auto"/>
              </w:rPr>
            </w:pPr>
            <w:r>
              <w:rPr>
                <w:rFonts w:ascii="Arial" w:cs="Arial" w:eastAsia="Arial" w:hAnsi="Arial"/>
                <w:sz w:val="13"/>
                <w:szCs w:val="13"/>
                <w:color w:val="auto"/>
              </w:rPr>
              <w:t>capacity</w:t>
            </w:r>
          </w:p>
        </w:tc>
        <w:tc>
          <w:tcPr>
            <w:tcW w:w="920" w:type="dxa"/>
            <w:vAlign w:val="bottom"/>
            <w:tcBorders>
              <w:bottom w:val="single" w:sz="8" w:color="auto"/>
            </w:tcBorders>
          </w:tcPr>
          <w:p>
            <w:pPr>
              <w:jc w:val="right"/>
              <w:ind w:right="49"/>
              <w:spacing w:after="0"/>
              <w:rPr>
                <w:sz w:val="20"/>
                <w:szCs w:val="20"/>
                <w:color w:val="auto"/>
              </w:rPr>
            </w:pPr>
            <w:r>
              <w:rPr>
                <w:rFonts w:ascii="Arial" w:cs="Arial" w:eastAsia="Arial" w:hAnsi="Arial"/>
                <w:sz w:val="13"/>
                <w:szCs w:val="13"/>
                <w:color w:val="auto"/>
              </w:rPr>
              <w:t>coking</w:t>
            </w:r>
          </w:p>
        </w:tc>
        <w:tc>
          <w:tcPr>
            <w:tcW w:w="720" w:type="dxa"/>
            <w:vAlign w:val="bottom"/>
            <w:tcBorders>
              <w:bottom w:val="single" w:sz="8" w:color="auto"/>
            </w:tcBorders>
          </w:tcPr>
          <w:p>
            <w:pPr>
              <w:jc w:val="right"/>
              <w:ind w:right="29"/>
              <w:spacing w:after="0"/>
              <w:rPr>
                <w:sz w:val="20"/>
                <w:szCs w:val="20"/>
                <w:color w:val="auto"/>
              </w:rPr>
            </w:pPr>
            <w:r>
              <w:rPr>
                <w:rFonts w:ascii="Arial" w:cs="Arial" w:eastAsia="Arial" w:hAnsi="Arial"/>
                <w:sz w:val="13"/>
                <w:szCs w:val="13"/>
                <w:color w:val="auto"/>
              </w:rPr>
              <w:t>cracking</w:t>
            </w:r>
          </w:p>
        </w:tc>
        <w:tc>
          <w:tcPr>
            <w:tcW w:w="780" w:type="dxa"/>
            <w:vAlign w:val="bottom"/>
            <w:tcBorders>
              <w:bottom w:val="single" w:sz="8" w:color="auto"/>
            </w:tcBorders>
          </w:tcPr>
          <w:p>
            <w:pPr>
              <w:jc w:val="right"/>
              <w:ind w:right="149"/>
              <w:spacing w:after="0"/>
              <w:rPr>
                <w:sz w:val="20"/>
                <w:szCs w:val="20"/>
                <w:color w:val="auto"/>
              </w:rPr>
            </w:pPr>
            <w:r>
              <w:rPr>
                <w:rFonts w:ascii="Arial" w:cs="Arial" w:eastAsia="Arial" w:hAnsi="Arial"/>
                <w:sz w:val="13"/>
                <w:szCs w:val="13"/>
                <w:color w:val="auto"/>
              </w:rPr>
              <w:t>cracking</w:t>
            </w:r>
          </w:p>
        </w:tc>
        <w:tc>
          <w:tcPr>
            <w:tcW w:w="0" w:type="dxa"/>
            <w:vAlign w:val="bottom"/>
          </w:tcPr>
          <w:p>
            <w:pPr>
              <w:spacing w:after="0"/>
              <w:rPr>
                <w:sz w:val="1"/>
                <w:szCs w:val="1"/>
                <w:color w:val="auto"/>
              </w:rPr>
            </w:pPr>
          </w:p>
        </w:tc>
      </w:tr>
      <w:tr>
        <w:trPr>
          <w:trHeight w:val="160"/>
        </w:trPr>
        <w:tc>
          <w:tcPr>
            <w:tcW w:w="3280" w:type="dxa"/>
            <w:vAlign w:val="bottom"/>
          </w:tcPr>
          <w:p>
            <w:pPr>
              <w:spacing w:after="0"/>
              <w:rPr>
                <w:sz w:val="20"/>
                <w:szCs w:val="20"/>
                <w:color w:val="auto"/>
              </w:rPr>
            </w:pPr>
            <w:r>
              <w:rPr>
                <w:rFonts w:ascii="Arial" w:cs="Arial" w:eastAsia="Arial" w:hAnsi="Arial"/>
                <w:sz w:val="14"/>
                <w:szCs w:val="14"/>
                <w:color w:val="auto"/>
              </w:rPr>
              <w:t>Europe</w:t>
            </w:r>
          </w:p>
        </w:tc>
        <w:tc>
          <w:tcPr>
            <w:tcW w:w="23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00" w:type="dxa"/>
            <w:vAlign w:val="bottom"/>
            <w:vMerge w:val="restart"/>
          </w:tcPr>
          <w:p>
            <w:pPr>
              <w:jc w:val="center"/>
              <w:ind w:left="1134"/>
              <w:spacing w:after="0"/>
              <w:rPr>
                <w:sz w:val="20"/>
                <w:szCs w:val="20"/>
                <w:color w:val="auto"/>
              </w:rPr>
            </w:pPr>
            <w:r>
              <w:rPr>
                <w:rFonts w:ascii="Arial" w:cs="Arial" w:eastAsia="Arial" w:hAnsi="Arial"/>
                <w:sz w:val="14"/>
                <w:szCs w:val="14"/>
                <w:color w:val="auto"/>
              </w:rPr>
              <w:t>l</w:t>
            </w:r>
          </w:p>
        </w:tc>
        <w:tc>
          <w:tcPr>
            <w:tcW w:w="9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3280" w:type="dxa"/>
            <w:vAlign w:val="bottom"/>
          </w:tcPr>
          <w:p>
            <w:pPr>
              <w:ind w:left="140"/>
              <w:spacing w:after="0" w:line="152" w:lineRule="exact"/>
              <w:rPr>
                <w:sz w:val="20"/>
                <w:szCs w:val="20"/>
                <w:color w:val="auto"/>
              </w:rPr>
            </w:pPr>
            <w:r>
              <w:rPr>
                <w:rFonts w:ascii="Arial" w:cs="Arial" w:eastAsia="Arial" w:hAnsi="Arial"/>
                <w:sz w:val="14"/>
                <w:szCs w:val="14"/>
                <w:color w:val="auto"/>
              </w:rPr>
              <w:t>Denmark</w:t>
            </w:r>
          </w:p>
        </w:tc>
        <w:tc>
          <w:tcPr>
            <w:tcW w:w="2320" w:type="dxa"/>
            <w:vAlign w:val="bottom"/>
          </w:tcPr>
          <w:p>
            <w:pPr>
              <w:ind w:left="880"/>
              <w:spacing w:after="0" w:line="152" w:lineRule="exact"/>
              <w:rPr>
                <w:sz w:val="20"/>
                <w:szCs w:val="20"/>
                <w:color w:val="auto"/>
              </w:rPr>
            </w:pPr>
            <w:r>
              <w:rPr>
                <w:rFonts w:ascii="Arial" w:cs="Arial" w:eastAsia="Arial" w:hAnsi="Arial"/>
                <w:sz w:val="14"/>
                <w:szCs w:val="14"/>
                <w:color w:val="auto"/>
              </w:rPr>
              <w:t>Fredericia</w:t>
            </w:r>
          </w:p>
        </w:tc>
        <w:tc>
          <w:tcPr>
            <w:tcW w:w="260" w:type="dxa"/>
            <w:vAlign w:val="bottom"/>
          </w:tcPr>
          <w:p>
            <w:pPr>
              <w:spacing w:after="0"/>
              <w:rPr>
                <w:sz w:val="13"/>
                <w:szCs w:val="13"/>
                <w:color w:val="auto"/>
              </w:rPr>
            </w:pPr>
          </w:p>
        </w:tc>
        <w:tc>
          <w:tcPr>
            <w:tcW w:w="1400" w:type="dxa"/>
            <w:vAlign w:val="bottom"/>
            <w:vMerge w:val="continue"/>
          </w:tcPr>
          <w:p>
            <w:pPr>
              <w:spacing w:after="0"/>
              <w:rPr>
                <w:sz w:val="13"/>
                <w:szCs w:val="13"/>
                <w:color w:val="auto"/>
              </w:rPr>
            </w:pPr>
          </w:p>
        </w:tc>
        <w:tc>
          <w:tcPr>
            <w:tcW w:w="900" w:type="dxa"/>
            <w:vAlign w:val="bottom"/>
          </w:tcPr>
          <w:p>
            <w:pPr>
              <w:jc w:val="right"/>
              <w:ind w:right="149"/>
              <w:spacing w:after="0" w:line="152" w:lineRule="exact"/>
              <w:rPr>
                <w:sz w:val="20"/>
                <w:szCs w:val="20"/>
                <w:color w:val="auto"/>
              </w:rPr>
            </w:pPr>
            <w:r>
              <w:rPr>
                <w:rFonts w:ascii="Arial" w:cs="Arial" w:eastAsia="Arial" w:hAnsi="Arial"/>
                <w:sz w:val="14"/>
                <w:szCs w:val="14"/>
                <w:color w:val="auto"/>
              </w:rPr>
              <w:t>100</w:t>
            </w:r>
          </w:p>
        </w:tc>
        <w:tc>
          <w:tcPr>
            <w:tcW w:w="840" w:type="dxa"/>
            <w:vAlign w:val="bottom"/>
          </w:tcPr>
          <w:p>
            <w:pPr>
              <w:jc w:val="right"/>
              <w:ind w:right="69"/>
              <w:spacing w:after="0" w:line="152" w:lineRule="exact"/>
              <w:rPr>
                <w:sz w:val="20"/>
                <w:szCs w:val="20"/>
                <w:color w:val="auto"/>
              </w:rPr>
            </w:pPr>
            <w:r>
              <w:rPr>
                <w:rFonts w:ascii="Arial" w:cs="Arial" w:eastAsia="Arial" w:hAnsi="Arial"/>
                <w:sz w:val="14"/>
                <w:szCs w:val="14"/>
                <w:color w:val="auto"/>
              </w:rPr>
              <w:t>63</w:t>
            </w:r>
          </w:p>
        </w:tc>
        <w:tc>
          <w:tcPr>
            <w:tcW w:w="920" w:type="dxa"/>
            <w:vAlign w:val="bottom"/>
          </w:tcPr>
          <w:p>
            <w:pPr>
              <w:jc w:val="right"/>
              <w:ind w:right="49"/>
              <w:spacing w:after="0" w:line="152" w:lineRule="exact"/>
              <w:rPr>
                <w:sz w:val="20"/>
                <w:szCs w:val="20"/>
                <w:color w:val="auto"/>
              </w:rPr>
            </w:pPr>
            <w:r>
              <w:rPr>
                <w:rFonts w:ascii="Arial" w:cs="Arial" w:eastAsia="Arial" w:hAnsi="Arial"/>
                <w:sz w:val="14"/>
                <w:szCs w:val="14"/>
                <w:color w:val="auto"/>
              </w:rPr>
              <w:t>40</w:t>
            </w:r>
          </w:p>
        </w:tc>
        <w:tc>
          <w:tcPr>
            <w:tcW w:w="720" w:type="dxa"/>
            <w:vAlign w:val="bottom"/>
          </w:tcPr>
          <w:p>
            <w:pPr>
              <w:jc w:val="right"/>
              <w:ind w:right="29"/>
              <w:spacing w:after="0" w:line="152" w:lineRule="exact"/>
              <w:rPr>
                <w:sz w:val="20"/>
                <w:szCs w:val="20"/>
                <w:color w:val="auto"/>
              </w:rPr>
            </w:pPr>
            <w:r>
              <w:rPr>
                <w:rFonts w:ascii="Arial" w:cs="Arial" w:eastAsia="Arial" w:hAnsi="Arial"/>
                <w:sz w:val="14"/>
                <w:szCs w:val="14"/>
                <w:color w:val="auto"/>
              </w:rPr>
              <w:t>–</w:t>
            </w:r>
          </w:p>
        </w:tc>
        <w:tc>
          <w:tcPr>
            <w:tcW w:w="780" w:type="dxa"/>
            <w:vAlign w:val="bottom"/>
          </w:tcPr>
          <w:p>
            <w:pPr>
              <w:jc w:val="right"/>
              <w:ind w:right="149"/>
              <w:spacing w:after="0" w:line="152"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2"/>
        </w:trPr>
        <w:tc>
          <w:tcPr>
            <w:tcW w:w="3280" w:type="dxa"/>
            <w:vAlign w:val="bottom"/>
          </w:tcPr>
          <w:p>
            <w:pPr>
              <w:ind w:left="140"/>
              <w:spacing w:after="0"/>
              <w:rPr>
                <w:sz w:val="20"/>
                <w:szCs w:val="20"/>
                <w:color w:val="auto"/>
              </w:rPr>
            </w:pPr>
            <w:r>
              <w:rPr>
                <w:rFonts w:ascii="Arial" w:cs="Arial" w:eastAsia="Arial" w:hAnsi="Arial"/>
                <w:sz w:val="14"/>
                <w:szCs w:val="14"/>
                <w:color w:val="auto"/>
              </w:rPr>
              <w:t>Germany</w:t>
            </w:r>
          </w:p>
        </w:tc>
        <w:tc>
          <w:tcPr>
            <w:tcW w:w="2320" w:type="dxa"/>
            <w:vAlign w:val="bottom"/>
          </w:tcPr>
          <w:p>
            <w:pPr>
              <w:ind w:left="880"/>
              <w:spacing w:after="0"/>
              <w:rPr>
                <w:sz w:val="20"/>
                <w:szCs w:val="20"/>
                <w:color w:val="auto"/>
              </w:rPr>
            </w:pPr>
            <w:r>
              <w:rPr>
                <w:rFonts w:ascii="Arial" w:cs="Arial" w:eastAsia="Arial" w:hAnsi="Arial"/>
                <w:sz w:val="14"/>
                <w:szCs w:val="14"/>
                <w:color w:val="auto"/>
              </w:rPr>
              <w:t>Harburg</w:t>
            </w:r>
          </w:p>
        </w:tc>
        <w:tc>
          <w:tcPr>
            <w:tcW w:w="260" w:type="dxa"/>
            <w:vAlign w:val="bottom"/>
          </w:tcPr>
          <w:p>
            <w:pPr>
              <w:spacing w:after="0"/>
              <w:rPr>
                <w:sz w:val="14"/>
                <w:szCs w:val="14"/>
                <w:color w:val="auto"/>
              </w:rPr>
            </w:pPr>
          </w:p>
        </w:tc>
        <w:tc>
          <w:tcPr>
            <w:tcW w:w="1400" w:type="dxa"/>
            <w:vAlign w:val="bottom"/>
          </w:tcPr>
          <w:p>
            <w:pPr>
              <w:jc w:val="center"/>
              <w:ind w:left="1134"/>
              <w:spacing w:after="0"/>
              <w:rPr>
                <w:sz w:val="20"/>
                <w:szCs w:val="20"/>
                <w:color w:val="auto"/>
              </w:rPr>
            </w:pPr>
            <w:r>
              <w:rPr>
                <w:rFonts w:ascii="Arial" w:cs="Arial" w:eastAsia="Arial" w:hAnsi="Arial"/>
                <w:sz w:val="14"/>
                <w:szCs w:val="14"/>
                <w:color w:val="auto"/>
              </w:rPr>
              <w:t>l</w:t>
            </w:r>
          </w:p>
        </w:tc>
        <w:tc>
          <w:tcPr>
            <w:tcW w:w="900" w:type="dxa"/>
            <w:vAlign w:val="bottom"/>
          </w:tcPr>
          <w:p>
            <w:pPr>
              <w:jc w:val="right"/>
              <w:ind w:right="149"/>
              <w:spacing w:after="0"/>
              <w:rPr>
                <w:sz w:val="20"/>
                <w:szCs w:val="20"/>
                <w:color w:val="auto"/>
              </w:rPr>
            </w:pPr>
            <w:r>
              <w:rPr>
                <w:rFonts w:ascii="Arial" w:cs="Arial" w:eastAsia="Arial" w:hAnsi="Arial"/>
                <w:sz w:val="14"/>
                <w:szCs w:val="14"/>
                <w:color w:val="auto"/>
              </w:rPr>
              <w:t>100</w:t>
            </w:r>
          </w:p>
        </w:tc>
        <w:tc>
          <w:tcPr>
            <w:tcW w:w="840" w:type="dxa"/>
            <w:vAlign w:val="bottom"/>
          </w:tcPr>
          <w:p>
            <w:pPr>
              <w:jc w:val="right"/>
              <w:ind w:right="69"/>
              <w:spacing w:after="0"/>
              <w:rPr>
                <w:sz w:val="20"/>
                <w:szCs w:val="20"/>
                <w:color w:val="auto"/>
              </w:rPr>
            </w:pPr>
            <w:r>
              <w:rPr>
                <w:rFonts w:ascii="Arial" w:cs="Arial" w:eastAsia="Arial" w:hAnsi="Arial"/>
                <w:sz w:val="14"/>
                <w:szCs w:val="14"/>
                <w:color w:val="auto"/>
              </w:rPr>
              <w:t>58</w:t>
            </w:r>
          </w:p>
        </w:tc>
        <w:tc>
          <w:tcPr>
            <w:tcW w:w="920" w:type="dxa"/>
            <w:vAlign w:val="bottom"/>
          </w:tcPr>
          <w:p>
            <w:pPr>
              <w:jc w:val="right"/>
              <w:ind w:right="49"/>
              <w:spacing w:after="0"/>
              <w:rPr>
                <w:sz w:val="20"/>
                <w:szCs w:val="20"/>
                <w:color w:val="auto"/>
              </w:rPr>
            </w:pPr>
            <w:r>
              <w:rPr>
                <w:rFonts w:ascii="Arial" w:cs="Arial" w:eastAsia="Arial" w:hAnsi="Arial"/>
                <w:sz w:val="14"/>
                <w:szCs w:val="14"/>
                <w:color w:val="auto"/>
              </w:rPr>
              <w:t>14</w:t>
            </w:r>
          </w:p>
        </w:tc>
        <w:tc>
          <w:tcPr>
            <w:tcW w:w="72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14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3280" w:type="dxa"/>
            <w:vAlign w:val="bottom"/>
          </w:tcPr>
          <w:p>
            <w:pPr>
              <w:spacing w:after="0"/>
              <w:rPr>
                <w:sz w:val="14"/>
                <w:szCs w:val="14"/>
                <w:color w:val="auto"/>
              </w:rPr>
            </w:pPr>
          </w:p>
        </w:tc>
        <w:tc>
          <w:tcPr>
            <w:tcW w:w="2320" w:type="dxa"/>
            <w:vAlign w:val="bottom"/>
          </w:tcPr>
          <w:p>
            <w:pPr>
              <w:ind w:left="880"/>
              <w:spacing w:after="0"/>
              <w:rPr>
                <w:sz w:val="20"/>
                <w:szCs w:val="20"/>
                <w:color w:val="auto"/>
              </w:rPr>
            </w:pPr>
            <w:r>
              <w:rPr>
                <w:rFonts w:ascii="Arial" w:cs="Arial" w:eastAsia="Arial" w:hAnsi="Arial"/>
                <w:sz w:val="14"/>
                <w:szCs w:val="14"/>
                <w:color w:val="auto"/>
              </w:rPr>
              <w:t>Miro [C]</w:t>
            </w:r>
          </w:p>
        </w:tc>
        <w:tc>
          <w:tcPr>
            <w:tcW w:w="260" w:type="dxa"/>
            <w:vAlign w:val="bottom"/>
          </w:tcPr>
          <w:p>
            <w:pPr>
              <w:spacing w:after="0"/>
              <w:rPr>
                <w:sz w:val="14"/>
                <w:szCs w:val="14"/>
                <w:color w:val="auto"/>
              </w:rPr>
            </w:pPr>
          </w:p>
        </w:tc>
        <w:tc>
          <w:tcPr>
            <w:tcW w:w="1400" w:type="dxa"/>
            <w:vAlign w:val="bottom"/>
            <w:vMerge w:val="restart"/>
          </w:tcPr>
          <w:p>
            <w:pPr>
              <w:jc w:val="right"/>
              <w:ind w:right="14"/>
              <w:spacing w:after="0"/>
              <w:rPr>
                <w:sz w:val="20"/>
                <w:szCs w:val="20"/>
                <w:color w:val="auto"/>
              </w:rPr>
            </w:pPr>
            <w:r>
              <w:rPr>
                <w:rFonts w:ascii="Arial" w:cs="Arial" w:eastAsia="Arial" w:hAnsi="Arial"/>
                <w:sz w:val="12"/>
                <w:szCs w:val="12"/>
                <w:color w:val="auto"/>
              </w:rPr>
              <w:t xml:space="preserve">n </w:t>
            </w:r>
            <w:r>
              <w:rPr>
                <w:rFonts w:ascii="Arial" w:cs="Arial" w:eastAsia="Arial" w:hAnsi="Arial"/>
                <w:sz w:val="14"/>
                <w:szCs w:val="14"/>
                <w:color w:val="auto"/>
              </w:rPr>
              <w:t>l</w:t>
            </w:r>
          </w:p>
        </w:tc>
        <w:tc>
          <w:tcPr>
            <w:tcW w:w="900" w:type="dxa"/>
            <w:vAlign w:val="bottom"/>
          </w:tcPr>
          <w:p>
            <w:pPr>
              <w:jc w:val="right"/>
              <w:ind w:right="149"/>
              <w:spacing w:after="0"/>
              <w:rPr>
                <w:sz w:val="20"/>
                <w:szCs w:val="20"/>
                <w:color w:val="auto"/>
              </w:rPr>
            </w:pPr>
            <w:r>
              <w:rPr>
                <w:rFonts w:ascii="Arial" w:cs="Arial" w:eastAsia="Arial" w:hAnsi="Arial"/>
                <w:sz w:val="14"/>
                <w:szCs w:val="14"/>
                <w:color w:val="auto"/>
              </w:rPr>
              <w:t>32</w:t>
            </w:r>
          </w:p>
        </w:tc>
        <w:tc>
          <w:tcPr>
            <w:tcW w:w="840" w:type="dxa"/>
            <w:vAlign w:val="bottom"/>
          </w:tcPr>
          <w:p>
            <w:pPr>
              <w:jc w:val="right"/>
              <w:ind w:right="69"/>
              <w:spacing w:after="0"/>
              <w:rPr>
                <w:sz w:val="20"/>
                <w:szCs w:val="20"/>
                <w:color w:val="auto"/>
              </w:rPr>
            </w:pPr>
            <w:r>
              <w:rPr>
                <w:rFonts w:ascii="Arial" w:cs="Arial" w:eastAsia="Arial" w:hAnsi="Arial"/>
                <w:sz w:val="14"/>
                <w:szCs w:val="14"/>
                <w:color w:val="auto"/>
              </w:rPr>
              <w:t>310</w:t>
            </w:r>
          </w:p>
        </w:tc>
        <w:tc>
          <w:tcPr>
            <w:tcW w:w="920" w:type="dxa"/>
            <w:vAlign w:val="bottom"/>
          </w:tcPr>
          <w:p>
            <w:pPr>
              <w:jc w:val="right"/>
              <w:ind w:right="49"/>
              <w:spacing w:after="0"/>
              <w:rPr>
                <w:sz w:val="20"/>
                <w:szCs w:val="20"/>
                <w:color w:val="auto"/>
              </w:rPr>
            </w:pPr>
            <w:r>
              <w:rPr>
                <w:rFonts w:ascii="Arial" w:cs="Arial" w:eastAsia="Arial" w:hAnsi="Arial"/>
                <w:sz w:val="14"/>
                <w:szCs w:val="14"/>
                <w:color w:val="auto"/>
              </w:rPr>
              <w:t>65</w:t>
            </w:r>
          </w:p>
        </w:tc>
        <w:tc>
          <w:tcPr>
            <w:tcW w:w="720" w:type="dxa"/>
            <w:vAlign w:val="bottom"/>
          </w:tcPr>
          <w:p>
            <w:pPr>
              <w:jc w:val="right"/>
              <w:ind w:right="29"/>
              <w:spacing w:after="0"/>
              <w:rPr>
                <w:sz w:val="20"/>
                <w:szCs w:val="20"/>
                <w:color w:val="auto"/>
              </w:rPr>
            </w:pPr>
            <w:r>
              <w:rPr>
                <w:rFonts w:ascii="Arial" w:cs="Arial" w:eastAsia="Arial" w:hAnsi="Arial"/>
                <w:sz w:val="14"/>
                <w:szCs w:val="14"/>
                <w:color w:val="auto"/>
              </w:rPr>
              <w:t>89</w:t>
            </w:r>
          </w:p>
        </w:tc>
        <w:tc>
          <w:tcPr>
            <w:tcW w:w="780" w:type="dxa"/>
            <w:vAlign w:val="bottom"/>
          </w:tcPr>
          <w:p>
            <w:pPr>
              <w:jc w:val="right"/>
              <w:ind w:right="14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3280" w:type="dxa"/>
            <w:vAlign w:val="bottom"/>
          </w:tcPr>
          <w:p>
            <w:pPr>
              <w:spacing w:after="0"/>
              <w:rPr>
                <w:sz w:val="14"/>
                <w:szCs w:val="14"/>
                <w:color w:val="auto"/>
              </w:rPr>
            </w:pPr>
          </w:p>
        </w:tc>
        <w:tc>
          <w:tcPr>
            <w:tcW w:w="2320" w:type="dxa"/>
            <w:vAlign w:val="bottom"/>
          </w:tcPr>
          <w:p>
            <w:pPr>
              <w:ind w:left="880"/>
              <w:spacing w:after="0"/>
              <w:rPr>
                <w:sz w:val="20"/>
                <w:szCs w:val="20"/>
                <w:color w:val="auto"/>
              </w:rPr>
            </w:pPr>
            <w:r>
              <w:rPr>
                <w:rFonts w:ascii="Arial" w:cs="Arial" w:eastAsia="Arial" w:hAnsi="Arial"/>
                <w:sz w:val="14"/>
                <w:szCs w:val="14"/>
                <w:color w:val="auto"/>
              </w:rPr>
              <w:t>Rheinland</w:t>
            </w:r>
          </w:p>
        </w:tc>
        <w:tc>
          <w:tcPr>
            <w:tcW w:w="26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900" w:type="dxa"/>
            <w:vAlign w:val="bottom"/>
          </w:tcPr>
          <w:p>
            <w:pPr>
              <w:jc w:val="right"/>
              <w:ind w:right="149"/>
              <w:spacing w:after="0"/>
              <w:rPr>
                <w:sz w:val="20"/>
                <w:szCs w:val="20"/>
                <w:color w:val="auto"/>
              </w:rPr>
            </w:pPr>
            <w:r>
              <w:rPr>
                <w:rFonts w:ascii="Arial" w:cs="Arial" w:eastAsia="Arial" w:hAnsi="Arial"/>
                <w:sz w:val="14"/>
                <w:szCs w:val="14"/>
                <w:color w:val="auto"/>
              </w:rPr>
              <w:t>100</w:t>
            </w:r>
          </w:p>
        </w:tc>
        <w:tc>
          <w:tcPr>
            <w:tcW w:w="840" w:type="dxa"/>
            <w:vAlign w:val="bottom"/>
          </w:tcPr>
          <w:p>
            <w:pPr>
              <w:jc w:val="right"/>
              <w:ind w:right="69"/>
              <w:spacing w:after="0"/>
              <w:rPr>
                <w:sz w:val="20"/>
                <w:szCs w:val="20"/>
                <w:color w:val="auto"/>
              </w:rPr>
            </w:pPr>
            <w:r>
              <w:rPr>
                <w:rFonts w:ascii="Arial" w:cs="Arial" w:eastAsia="Arial" w:hAnsi="Arial"/>
                <w:sz w:val="14"/>
                <w:szCs w:val="14"/>
                <w:color w:val="auto"/>
              </w:rPr>
              <w:t>325</w:t>
            </w:r>
          </w:p>
        </w:tc>
        <w:tc>
          <w:tcPr>
            <w:tcW w:w="920" w:type="dxa"/>
            <w:vAlign w:val="bottom"/>
          </w:tcPr>
          <w:p>
            <w:pPr>
              <w:jc w:val="right"/>
              <w:ind w:right="49"/>
              <w:spacing w:after="0"/>
              <w:rPr>
                <w:sz w:val="20"/>
                <w:szCs w:val="20"/>
                <w:color w:val="auto"/>
              </w:rPr>
            </w:pPr>
            <w:r>
              <w:rPr>
                <w:rFonts w:ascii="Arial" w:cs="Arial" w:eastAsia="Arial" w:hAnsi="Arial"/>
                <w:sz w:val="14"/>
                <w:szCs w:val="14"/>
                <w:color w:val="auto"/>
              </w:rPr>
              <w:t>44</w:t>
            </w:r>
          </w:p>
        </w:tc>
        <w:tc>
          <w:tcPr>
            <w:tcW w:w="72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149"/>
              <w:spacing w:after="0"/>
              <w:rPr>
                <w:sz w:val="20"/>
                <w:szCs w:val="20"/>
                <w:color w:val="auto"/>
              </w:rPr>
            </w:pPr>
            <w:r>
              <w:rPr>
                <w:rFonts w:ascii="Arial" w:cs="Arial" w:eastAsia="Arial" w:hAnsi="Arial"/>
                <w:sz w:val="14"/>
                <w:szCs w:val="14"/>
                <w:color w:val="auto"/>
              </w:rPr>
              <w:t>80</w:t>
            </w:r>
          </w:p>
        </w:tc>
        <w:tc>
          <w:tcPr>
            <w:tcW w:w="0" w:type="dxa"/>
            <w:vAlign w:val="bottom"/>
          </w:tcPr>
          <w:p>
            <w:pPr>
              <w:spacing w:after="0"/>
              <w:rPr>
                <w:sz w:val="1"/>
                <w:szCs w:val="1"/>
                <w:color w:val="auto"/>
              </w:rPr>
            </w:pPr>
          </w:p>
        </w:tc>
      </w:tr>
      <w:tr>
        <w:trPr>
          <w:trHeight w:val="162"/>
        </w:trPr>
        <w:tc>
          <w:tcPr>
            <w:tcW w:w="3280" w:type="dxa"/>
            <w:vAlign w:val="bottom"/>
          </w:tcPr>
          <w:p>
            <w:pPr>
              <w:spacing w:after="0"/>
              <w:rPr>
                <w:sz w:val="14"/>
                <w:szCs w:val="14"/>
                <w:color w:val="auto"/>
              </w:rPr>
            </w:pPr>
          </w:p>
        </w:tc>
        <w:tc>
          <w:tcPr>
            <w:tcW w:w="2320" w:type="dxa"/>
            <w:vAlign w:val="bottom"/>
          </w:tcPr>
          <w:p>
            <w:pPr>
              <w:ind w:left="880"/>
              <w:spacing w:after="0"/>
              <w:rPr>
                <w:sz w:val="20"/>
                <w:szCs w:val="20"/>
                <w:color w:val="auto"/>
              </w:rPr>
            </w:pPr>
            <w:r>
              <w:rPr>
                <w:rFonts w:ascii="Arial" w:cs="Arial" w:eastAsia="Arial" w:hAnsi="Arial"/>
                <w:sz w:val="14"/>
                <w:szCs w:val="14"/>
                <w:color w:val="auto"/>
              </w:rPr>
              <w:t>Schwedt [C]</w:t>
            </w:r>
          </w:p>
        </w:tc>
        <w:tc>
          <w:tcPr>
            <w:tcW w:w="260" w:type="dxa"/>
            <w:vAlign w:val="bottom"/>
          </w:tcPr>
          <w:p>
            <w:pPr>
              <w:spacing w:after="0"/>
              <w:rPr>
                <w:sz w:val="14"/>
                <w:szCs w:val="14"/>
                <w:color w:val="auto"/>
              </w:rPr>
            </w:pPr>
          </w:p>
        </w:tc>
        <w:tc>
          <w:tcPr>
            <w:tcW w:w="1400" w:type="dxa"/>
            <w:vAlign w:val="bottom"/>
            <w:vMerge w:val="restart"/>
          </w:tcPr>
          <w:p>
            <w:pPr>
              <w:jc w:val="right"/>
              <w:ind w:right="14"/>
              <w:spacing w:after="0"/>
              <w:rPr>
                <w:sz w:val="20"/>
                <w:szCs w:val="20"/>
                <w:color w:val="auto"/>
              </w:rPr>
            </w:pPr>
            <w:r>
              <w:rPr>
                <w:rFonts w:ascii="Arial" w:cs="Arial" w:eastAsia="Arial" w:hAnsi="Arial"/>
                <w:sz w:val="12"/>
                <w:szCs w:val="12"/>
                <w:color w:val="auto"/>
              </w:rPr>
              <w:t xml:space="preserve">n </w:t>
            </w:r>
            <w:r>
              <w:rPr>
                <w:rFonts w:ascii="Arial" w:cs="Arial" w:eastAsia="Arial" w:hAnsi="Arial"/>
                <w:sz w:val="14"/>
                <w:szCs w:val="14"/>
                <w:color w:val="auto"/>
              </w:rPr>
              <w:t>l</w:t>
            </w:r>
          </w:p>
        </w:tc>
        <w:tc>
          <w:tcPr>
            <w:tcW w:w="900" w:type="dxa"/>
            <w:vAlign w:val="bottom"/>
          </w:tcPr>
          <w:p>
            <w:pPr>
              <w:jc w:val="right"/>
              <w:ind w:right="149"/>
              <w:spacing w:after="0"/>
              <w:rPr>
                <w:sz w:val="20"/>
                <w:szCs w:val="20"/>
                <w:color w:val="auto"/>
              </w:rPr>
            </w:pPr>
            <w:r>
              <w:rPr>
                <w:rFonts w:ascii="Arial" w:cs="Arial" w:eastAsia="Arial" w:hAnsi="Arial"/>
                <w:sz w:val="14"/>
                <w:szCs w:val="14"/>
                <w:color w:val="auto"/>
              </w:rPr>
              <w:t>38</w:t>
            </w:r>
          </w:p>
        </w:tc>
        <w:tc>
          <w:tcPr>
            <w:tcW w:w="840" w:type="dxa"/>
            <w:vAlign w:val="bottom"/>
          </w:tcPr>
          <w:p>
            <w:pPr>
              <w:jc w:val="right"/>
              <w:ind w:right="69"/>
              <w:spacing w:after="0"/>
              <w:rPr>
                <w:sz w:val="20"/>
                <w:szCs w:val="20"/>
                <w:color w:val="auto"/>
              </w:rPr>
            </w:pPr>
            <w:r>
              <w:rPr>
                <w:rFonts w:ascii="Arial" w:cs="Arial" w:eastAsia="Arial" w:hAnsi="Arial"/>
                <w:sz w:val="14"/>
                <w:szCs w:val="14"/>
                <w:color w:val="auto"/>
              </w:rPr>
              <w:t>220</w:t>
            </w:r>
          </w:p>
        </w:tc>
        <w:tc>
          <w:tcPr>
            <w:tcW w:w="920" w:type="dxa"/>
            <w:vAlign w:val="bottom"/>
          </w:tcPr>
          <w:p>
            <w:pPr>
              <w:jc w:val="right"/>
              <w:ind w:right="49"/>
              <w:spacing w:after="0"/>
              <w:rPr>
                <w:sz w:val="20"/>
                <w:szCs w:val="20"/>
                <w:color w:val="auto"/>
              </w:rPr>
            </w:pPr>
            <w:r>
              <w:rPr>
                <w:rFonts w:ascii="Arial" w:cs="Arial" w:eastAsia="Arial" w:hAnsi="Arial"/>
                <w:sz w:val="14"/>
                <w:szCs w:val="14"/>
                <w:color w:val="auto"/>
              </w:rPr>
              <w:t>47</w:t>
            </w:r>
          </w:p>
        </w:tc>
        <w:tc>
          <w:tcPr>
            <w:tcW w:w="720" w:type="dxa"/>
            <w:vAlign w:val="bottom"/>
          </w:tcPr>
          <w:p>
            <w:pPr>
              <w:jc w:val="right"/>
              <w:ind w:right="29"/>
              <w:spacing w:after="0"/>
              <w:rPr>
                <w:sz w:val="20"/>
                <w:szCs w:val="20"/>
                <w:color w:val="auto"/>
              </w:rPr>
            </w:pPr>
            <w:r>
              <w:rPr>
                <w:rFonts w:ascii="Arial" w:cs="Arial" w:eastAsia="Arial" w:hAnsi="Arial"/>
                <w:sz w:val="14"/>
                <w:szCs w:val="14"/>
                <w:color w:val="auto"/>
              </w:rPr>
              <w:t>50</w:t>
            </w:r>
          </w:p>
        </w:tc>
        <w:tc>
          <w:tcPr>
            <w:tcW w:w="780" w:type="dxa"/>
            <w:vAlign w:val="bottom"/>
          </w:tcPr>
          <w:p>
            <w:pPr>
              <w:jc w:val="right"/>
              <w:ind w:right="14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7"/>
        </w:trPr>
        <w:tc>
          <w:tcPr>
            <w:tcW w:w="3280" w:type="dxa"/>
            <w:vAlign w:val="bottom"/>
            <w:tcBorders>
              <w:bottom w:val="single" w:sz="8" w:color="auto"/>
            </w:tcBorders>
          </w:tcPr>
          <w:p>
            <w:pPr>
              <w:ind w:left="140"/>
              <w:spacing w:after="0" w:line="157" w:lineRule="exact"/>
              <w:rPr>
                <w:sz w:val="20"/>
                <w:szCs w:val="20"/>
                <w:color w:val="auto"/>
              </w:rPr>
            </w:pPr>
            <w:r>
              <w:rPr>
                <w:rFonts w:ascii="Arial" w:cs="Arial" w:eastAsia="Arial" w:hAnsi="Arial"/>
                <w:sz w:val="14"/>
                <w:szCs w:val="14"/>
                <w:color w:val="auto"/>
              </w:rPr>
              <w:t>Netherlands</w:t>
            </w:r>
          </w:p>
        </w:tc>
        <w:tc>
          <w:tcPr>
            <w:tcW w:w="2320" w:type="dxa"/>
            <w:vAlign w:val="bottom"/>
            <w:tcBorders>
              <w:bottom w:val="single" w:sz="8" w:color="auto"/>
            </w:tcBorders>
          </w:tcPr>
          <w:p>
            <w:pPr>
              <w:ind w:left="880"/>
              <w:spacing w:after="0" w:line="157" w:lineRule="exact"/>
              <w:rPr>
                <w:sz w:val="20"/>
                <w:szCs w:val="20"/>
                <w:color w:val="auto"/>
              </w:rPr>
            </w:pPr>
            <w:r>
              <w:rPr>
                <w:rFonts w:ascii="Arial" w:cs="Arial" w:eastAsia="Arial" w:hAnsi="Arial"/>
                <w:sz w:val="14"/>
                <w:szCs w:val="14"/>
                <w:color w:val="auto"/>
              </w:rPr>
              <w:t>Pernis</w:t>
            </w:r>
          </w:p>
        </w:tc>
        <w:tc>
          <w:tcPr>
            <w:tcW w:w="260" w:type="dxa"/>
            <w:vAlign w:val="bottom"/>
            <w:tcBorders>
              <w:bottom w:val="single" w:sz="8" w:color="auto"/>
            </w:tcBorders>
          </w:tcPr>
          <w:p>
            <w:pPr>
              <w:spacing w:after="0"/>
              <w:rPr>
                <w:sz w:val="13"/>
                <w:szCs w:val="13"/>
                <w:color w:val="auto"/>
              </w:rPr>
            </w:pPr>
          </w:p>
        </w:tc>
        <w:tc>
          <w:tcPr>
            <w:tcW w:w="1400" w:type="dxa"/>
            <w:vAlign w:val="bottom"/>
            <w:tcBorders>
              <w:bottom w:val="single" w:sz="8" w:color="auto"/>
            </w:tcBorders>
            <w:vMerge w:val="continue"/>
          </w:tcPr>
          <w:p>
            <w:pPr>
              <w:spacing w:after="0"/>
              <w:rPr>
                <w:sz w:val="13"/>
                <w:szCs w:val="13"/>
                <w:color w:val="auto"/>
              </w:rPr>
            </w:pPr>
          </w:p>
        </w:tc>
        <w:tc>
          <w:tcPr>
            <w:tcW w:w="900" w:type="dxa"/>
            <w:vAlign w:val="bottom"/>
            <w:tcBorders>
              <w:bottom w:val="single" w:sz="8" w:color="auto"/>
            </w:tcBorders>
          </w:tcPr>
          <w:p>
            <w:pPr>
              <w:jc w:val="right"/>
              <w:ind w:right="149"/>
              <w:spacing w:after="0" w:line="157" w:lineRule="exact"/>
              <w:rPr>
                <w:sz w:val="20"/>
                <w:szCs w:val="20"/>
                <w:color w:val="auto"/>
              </w:rPr>
            </w:pPr>
            <w:r>
              <w:rPr>
                <w:rFonts w:ascii="Arial" w:cs="Arial" w:eastAsia="Arial" w:hAnsi="Arial"/>
                <w:sz w:val="14"/>
                <w:szCs w:val="14"/>
                <w:color w:val="auto"/>
              </w:rPr>
              <w:t>100</w:t>
            </w:r>
          </w:p>
        </w:tc>
        <w:tc>
          <w:tcPr>
            <w:tcW w:w="840" w:type="dxa"/>
            <w:vAlign w:val="bottom"/>
            <w:tcBorders>
              <w:bottom w:val="single" w:sz="8" w:color="auto"/>
            </w:tcBorders>
          </w:tcPr>
          <w:p>
            <w:pPr>
              <w:jc w:val="right"/>
              <w:ind w:right="69"/>
              <w:spacing w:after="0" w:line="157" w:lineRule="exact"/>
              <w:rPr>
                <w:sz w:val="20"/>
                <w:szCs w:val="20"/>
                <w:color w:val="auto"/>
              </w:rPr>
            </w:pPr>
            <w:r>
              <w:rPr>
                <w:rFonts w:ascii="Arial" w:cs="Arial" w:eastAsia="Arial" w:hAnsi="Arial"/>
                <w:sz w:val="14"/>
                <w:szCs w:val="14"/>
                <w:color w:val="auto"/>
              </w:rPr>
              <w:t>404</w:t>
            </w:r>
          </w:p>
        </w:tc>
        <w:tc>
          <w:tcPr>
            <w:tcW w:w="920" w:type="dxa"/>
            <w:vAlign w:val="bottom"/>
            <w:tcBorders>
              <w:bottom w:val="single" w:sz="8" w:color="auto"/>
            </w:tcBorders>
          </w:tcPr>
          <w:p>
            <w:pPr>
              <w:jc w:val="right"/>
              <w:ind w:right="49"/>
              <w:spacing w:after="0" w:line="157" w:lineRule="exact"/>
              <w:rPr>
                <w:sz w:val="20"/>
                <w:szCs w:val="20"/>
                <w:color w:val="auto"/>
              </w:rPr>
            </w:pPr>
            <w:r>
              <w:rPr>
                <w:rFonts w:ascii="Arial" w:cs="Arial" w:eastAsia="Arial" w:hAnsi="Arial"/>
                <w:sz w:val="14"/>
                <w:szCs w:val="14"/>
                <w:color w:val="auto"/>
              </w:rPr>
              <w:t>45</w:t>
            </w:r>
          </w:p>
        </w:tc>
        <w:tc>
          <w:tcPr>
            <w:tcW w:w="720" w:type="dxa"/>
            <w:vAlign w:val="bottom"/>
            <w:tcBorders>
              <w:bottom w:val="single" w:sz="8" w:color="auto"/>
            </w:tcBorders>
          </w:tcPr>
          <w:p>
            <w:pPr>
              <w:jc w:val="right"/>
              <w:ind w:right="29"/>
              <w:spacing w:after="0" w:line="157" w:lineRule="exact"/>
              <w:rPr>
                <w:sz w:val="20"/>
                <w:szCs w:val="20"/>
                <w:color w:val="auto"/>
              </w:rPr>
            </w:pPr>
            <w:r>
              <w:rPr>
                <w:rFonts w:ascii="Arial" w:cs="Arial" w:eastAsia="Arial" w:hAnsi="Arial"/>
                <w:sz w:val="14"/>
                <w:szCs w:val="14"/>
                <w:color w:val="auto"/>
              </w:rPr>
              <w:t>48</w:t>
            </w:r>
          </w:p>
        </w:tc>
        <w:tc>
          <w:tcPr>
            <w:tcW w:w="780" w:type="dxa"/>
            <w:vAlign w:val="bottom"/>
            <w:tcBorders>
              <w:bottom w:val="single" w:sz="8" w:color="auto"/>
            </w:tcBorders>
          </w:tcPr>
          <w:p>
            <w:pPr>
              <w:jc w:val="right"/>
              <w:ind w:right="149"/>
              <w:spacing w:after="0" w:line="157" w:lineRule="exact"/>
              <w:rPr>
                <w:sz w:val="20"/>
                <w:szCs w:val="20"/>
                <w:color w:val="auto"/>
              </w:rPr>
            </w:pPr>
            <w:r>
              <w:rPr>
                <w:rFonts w:ascii="Arial" w:cs="Arial" w:eastAsia="Arial" w:hAnsi="Arial"/>
                <w:sz w:val="14"/>
                <w:szCs w:val="14"/>
                <w:color w:val="auto"/>
              </w:rPr>
              <w:t>81</w:t>
            </w:r>
          </w:p>
        </w:tc>
        <w:tc>
          <w:tcPr>
            <w:tcW w:w="0" w:type="dxa"/>
            <w:vAlign w:val="bottom"/>
          </w:tcPr>
          <w:p>
            <w:pPr>
              <w:spacing w:after="0"/>
              <w:rPr>
                <w:sz w:val="1"/>
                <w:szCs w:val="1"/>
                <w:color w:val="auto"/>
              </w:rPr>
            </w:pPr>
          </w:p>
        </w:tc>
      </w:tr>
      <w:tr>
        <w:trPr>
          <w:trHeight w:val="160"/>
        </w:trPr>
        <w:tc>
          <w:tcPr>
            <w:tcW w:w="3280" w:type="dxa"/>
            <w:vAlign w:val="bottom"/>
          </w:tcPr>
          <w:p>
            <w:pPr>
              <w:spacing w:after="0"/>
              <w:rPr>
                <w:sz w:val="20"/>
                <w:szCs w:val="20"/>
                <w:color w:val="auto"/>
              </w:rPr>
            </w:pPr>
            <w:r>
              <w:rPr>
                <w:rFonts w:ascii="Arial" w:cs="Arial" w:eastAsia="Arial" w:hAnsi="Arial"/>
                <w:sz w:val="14"/>
                <w:szCs w:val="14"/>
                <w:color w:val="auto"/>
              </w:rPr>
              <w:t>Asia</w:t>
            </w:r>
          </w:p>
        </w:tc>
        <w:tc>
          <w:tcPr>
            <w:tcW w:w="23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00" w:type="dxa"/>
            <w:vAlign w:val="bottom"/>
            <w:vMerge w:val="restart"/>
          </w:tcPr>
          <w:p>
            <w:pPr>
              <w:jc w:val="center"/>
              <w:ind w:left="1154"/>
              <w:spacing w:after="0"/>
              <w:rPr>
                <w:sz w:val="20"/>
                <w:szCs w:val="20"/>
                <w:color w:val="auto"/>
              </w:rPr>
            </w:pPr>
            <w:r>
              <w:rPr>
                <w:rFonts w:ascii="Arial" w:cs="Arial" w:eastAsia="Arial" w:hAnsi="Arial"/>
                <w:sz w:val="14"/>
                <w:szCs w:val="14"/>
                <w:color w:val="auto"/>
                <w:w w:val="85"/>
              </w:rPr>
              <w:t>l¿</w:t>
            </w:r>
          </w:p>
        </w:tc>
        <w:tc>
          <w:tcPr>
            <w:tcW w:w="9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3280" w:type="dxa"/>
            <w:vAlign w:val="bottom"/>
          </w:tcPr>
          <w:p>
            <w:pPr>
              <w:ind w:left="140"/>
              <w:spacing w:after="0" w:line="152" w:lineRule="exact"/>
              <w:rPr>
                <w:sz w:val="20"/>
                <w:szCs w:val="20"/>
                <w:color w:val="auto"/>
              </w:rPr>
            </w:pPr>
            <w:r>
              <w:rPr>
                <w:rFonts w:ascii="Arial" w:cs="Arial" w:eastAsia="Arial" w:hAnsi="Arial"/>
                <w:sz w:val="14"/>
                <w:szCs w:val="14"/>
                <w:color w:val="auto"/>
              </w:rPr>
              <w:t>Japan</w:t>
            </w:r>
          </w:p>
        </w:tc>
        <w:tc>
          <w:tcPr>
            <w:tcW w:w="2320" w:type="dxa"/>
            <w:vAlign w:val="bottom"/>
          </w:tcPr>
          <w:p>
            <w:pPr>
              <w:ind w:left="880"/>
              <w:spacing w:after="0" w:line="152" w:lineRule="exact"/>
              <w:rPr>
                <w:sz w:val="20"/>
                <w:szCs w:val="20"/>
                <w:color w:val="auto"/>
              </w:rPr>
            </w:pPr>
            <w:r>
              <w:rPr>
                <w:rFonts w:ascii="Arial" w:cs="Arial" w:eastAsia="Arial" w:hAnsi="Arial"/>
                <w:sz w:val="14"/>
                <w:szCs w:val="14"/>
                <w:color w:val="auto"/>
              </w:rPr>
              <w:t>Mizue (Toa) [C]</w:t>
            </w:r>
          </w:p>
        </w:tc>
        <w:tc>
          <w:tcPr>
            <w:tcW w:w="260" w:type="dxa"/>
            <w:vAlign w:val="bottom"/>
          </w:tcPr>
          <w:p>
            <w:pPr>
              <w:spacing w:after="0"/>
              <w:rPr>
                <w:sz w:val="13"/>
                <w:szCs w:val="13"/>
                <w:color w:val="auto"/>
              </w:rPr>
            </w:pPr>
          </w:p>
        </w:tc>
        <w:tc>
          <w:tcPr>
            <w:tcW w:w="1400" w:type="dxa"/>
            <w:vAlign w:val="bottom"/>
            <w:vMerge w:val="continue"/>
          </w:tcPr>
          <w:p>
            <w:pPr>
              <w:spacing w:after="0"/>
              <w:rPr>
                <w:sz w:val="13"/>
                <w:szCs w:val="13"/>
                <w:color w:val="auto"/>
              </w:rPr>
            </w:pPr>
          </w:p>
        </w:tc>
        <w:tc>
          <w:tcPr>
            <w:tcW w:w="900" w:type="dxa"/>
            <w:vAlign w:val="bottom"/>
          </w:tcPr>
          <w:p>
            <w:pPr>
              <w:jc w:val="right"/>
              <w:ind w:right="149"/>
              <w:spacing w:after="0" w:line="152" w:lineRule="exact"/>
              <w:rPr>
                <w:sz w:val="20"/>
                <w:szCs w:val="20"/>
                <w:color w:val="auto"/>
              </w:rPr>
            </w:pPr>
            <w:r>
              <w:rPr>
                <w:rFonts w:ascii="Arial" w:cs="Arial" w:eastAsia="Arial" w:hAnsi="Arial"/>
                <w:sz w:val="14"/>
                <w:szCs w:val="14"/>
                <w:color w:val="auto"/>
              </w:rPr>
              <w:t>18</w:t>
            </w:r>
          </w:p>
        </w:tc>
        <w:tc>
          <w:tcPr>
            <w:tcW w:w="840" w:type="dxa"/>
            <w:vAlign w:val="bottom"/>
          </w:tcPr>
          <w:p>
            <w:pPr>
              <w:jc w:val="right"/>
              <w:ind w:right="69"/>
              <w:spacing w:after="0" w:line="152" w:lineRule="exact"/>
              <w:rPr>
                <w:sz w:val="20"/>
                <w:szCs w:val="20"/>
                <w:color w:val="auto"/>
              </w:rPr>
            </w:pPr>
            <w:r>
              <w:rPr>
                <w:rFonts w:ascii="Arial" w:cs="Arial" w:eastAsia="Arial" w:hAnsi="Arial"/>
                <w:sz w:val="14"/>
                <w:szCs w:val="14"/>
                <w:color w:val="auto"/>
              </w:rPr>
              <w:t>64</w:t>
            </w:r>
          </w:p>
        </w:tc>
        <w:tc>
          <w:tcPr>
            <w:tcW w:w="920" w:type="dxa"/>
            <w:vAlign w:val="bottom"/>
          </w:tcPr>
          <w:p>
            <w:pPr>
              <w:jc w:val="right"/>
              <w:ind w:right="49"/>
              <w:spacing w:after="0" w:line="152" w:lineRule="exact"/>
              <w:rPr>
                <w:sz w:val="20"/>
                <w:szCs w:val="20"/>
                <w:color w:val="auto"/>
              </w:rPr>
            </w:pPr>
            <w:r>
              <w:rPr>
                <w:rFonts w:ascii="Arial" w:cs="Arial" w:eastAsia="Arial" w:hAnsi="Arial"/>
                <w:sz w:val="14"/>
                <w:szCs w:val="14"/>
                <w:color w:val="auto"/>
              </w:rPr>
              <w:t>24</w:t>
            </w:r>
          </w:p>
        </w:tc>
        <w:tc>
          <w:tcPr>
            <w:tcW w:w="720" w:type="dxa"/>
            <w:vAlign w:val="bottom"/>
          </w:tcPr>
          <w:p>
            <w:pPr>
              <w:jc w:val="right"/>
              <w:ind w:right="29"/>
              <w:spacing w:after="0" w:line="152" w:lineRule="exact"/>
              <w:rPr>
                <w:sz w:val="20"/>
                <w:szCs w:val="20"/>
                <w:color w:val="auto"/>
              </w:rPr>
            </w:pPr>
            <w:r>
              <w:rPr>
                <w:rFonts w:ascii="Arial" w:cs="Arial" w:eastAsia="Arial" w:hAnsi="Arial"/>
                <w:sz w:val="14"/>
                <w:szCs w:val="14"/>
                <w:color w:val="auto"/>
              </w:rPr>
              <w:t>38</w:t>
            </w:r>
          </w:p>
        </w:tc>
        <w:tc>
          <w:tcPr>
            <w:tcW w:w="780" w:type="dxa"/>
            <w:vAlign w:val="bottom"/>
          </w:tcPr>
          <w:p>
            <w:pPr>
              <w:jc w:val="right"/>
              <w:ind w:right="149"/>
              <w:spacing w:after="0" w:line="152"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3280" w:type="dxa"/>
            <w:vAlign w:val="bottom"/>
          </w:tcPr>
          <w:p>
            <w:pPr>
              <w:spacing w:after="0"/>
              <w:rPr>
                <w:sz w:val="14"/>
                <w:szCs w:val="14"/>
                <w:color w:val="auto"/>
              </w:rPr>
            </w:pPr>
          </w:p>
        </w:tc>
        <w:tc>
          <w:tcPr>
            <w:tcW w:w="2320" w:type="dxa"/>
            <w:vAlign w:val="bottom"/>
          </w:tcPr>
          <w:p>
            <w:pPr>
              <w:ind w:left="880"/>
              <w:spacing w:after="0"/>
              <w:rPr>
                <w:sz w:val="20"/>
                <w:szCs w:val="20"/>
                <w:color w:val="auto"/>
              </w:rPr>
            </w:pPr>
            <w:r>
              <w:rPr>
                <w:rFonts w:ascii="Arial" w:cs="Arial" w:eastAsia="Arial" w:hAnsi="Arial"/>
                <w:sz w:val="14"/>
                <w:szCs w:val="14"/>
                <w:color w:val="auto"/>
              </w:rPr>
              <w:t>Yamaguchi [C]</w:t>
            </w:r>
          </w:p>
        </w:tc>
        <w:tc>
          <w:tcPr>
            <w:tcW w:w="1660" w:type="dxa"/>
            <w:vAlign w:val="bottom"/>
            <w:gridSpan w:val="2"/>
          </w:tcPr>
          <w:p>
            <w:pPr>
              <w:jc w:val="center"/>
              <w:ind w:left="1453"/>
              <w:spacing w:after="0"/>
              <w:rPr>
                <w:sz w:val="20"/>
                <w:szCs w:val="20"/>
                <w:color w:val="auto"/>
              </w:rPr>
            </w:pPr>
            <w:r>
              <w:rPr>
                <w:rFonts w:ascii="Arial" w:cs="Arial" w:eastAsia="Arial" w:hAnsi="Arial"/>
                <w:sz w:val="13"/>
                <w:szCs w:val="13"/>
                <w:color w:val="auto"/>
                <w:w w:val="74"/>
              </w:rPr>
              <w:t>¿</w:t>
            </w:r>
          </w:p>
        </w:tc>
        <w:tc>
          <w:tcPr>
            <w:tcW w:w="900" w:type="dxa"/>
            <w:vAlign w:val="bottom"/>
          </w:tcPr>
          <w:p>
            <w:pPr>
              <w:jc w:val="right"/>
              <w:ind w:right="149"/>
              <w:spacing w:after="0"/>
              <w:rPr>
                <w:sz w:val="20"/>
                <w:szCs w:val="20"/>
                <w:color w:val="auto"/>
              </w:rPr>
            </w:pPr>
            <w:r>
              <w:rPr>
                <w:rFonts w:ascii="Arial" w:cs="Arial" w:eastAsia="Arial" w:hAnsi="Arial"/>
                <w:sz w:val="14"/>
                <w:szCs w:val="14"/>
                <w:color w:val="auto"/>
              </w:rPr>
              <w:t>13</w:t>
            </w:r>
          </w:p>
        </w:tc>
        <w:tc>
          <w:tcPr>
            <w:tcW w:w="840" w:type="dxa"/>
            <w:vAlign w:val="bottom"/>
          </w:tcPr>
          <w:p>
            <w:pPr>
              <w:jc w:val="right"/>
              <w:ind w:right="69"/>
              <w:spacing w:after="0"/>
              <w:rPr>
                <w:sz w:val="20"/>
                <w:szCs w:val="20"/>
                <w:color w:val="auto"/>
              </w:rPr>
            </w:pPr>
            <w:r>
              <w:rPr>
                <w:rFonts w:ascii="Arial" w:cs="Arial" w:eastAsia="Arial" w:hAnsi="Arial"/>
                <w:sz w:val="14"/>
                <w:szCs w:val="14"/>
                <w:color w:val="auto"/>
              </w:rPr>
              <w:t>110</w:t>
            </w:r>
          </w:p>
        </w:tc>
        <w:tc>
          <w:tcPr>
            <w:tcW w:w="92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29"/>
              <w:spacing w:after="0"/>
              <w:rPr>
                <w:sz w:val="20"/>
                <w:szCs w:val="20"/>
                <w:color w:val="auto"/>
              </w:rPr>
            </w:pPr>
            <w:r>
              <w:rPr>
                <w:rFonts w:ascii="Arial" w:cs="Arial" w:eastAsia="Arial" w:hAnsi="Arial"/>
                <w:sz w:val="14"/>
                <w:szCs w:val="14"/>
                <w:color w:val="auto"/>
              </w:rPr>
              <w:t>25</w:t>
            </w:r>
          </w:p>
        </w:tc>
        <w:tc>
          <w:tcPr>
            <w:tcW w:w="780" w:type="dxa"/>
            <w:vAlign w:val="bottom"/>
          </w:tcPr>
          <w:p>
            <w:pPr>
              <w:jc w:val="right"/>
              <w:ind w:right="14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3280" w:type="dxa"/>
            <w:vAlign w:val="bottom"/>
          </w:tcPr>
          <w:p>
            <w:pPr>
              <w:spacing w:after="0"/>
              <w:rPr>
                <w:sz w:val="14"/>
                <w:szCs w:val="14"/>
                <w:color w:val="auto"/>
              </w:rPr>
            </w:pPr>
          </w:p>
        </w:tc>
        <w:tc>
          <w:tcPr>
            <w:tcW w:w="2320" w:type="dxa"/>
            <w:vAlign w:val="bottom"/>
          </w:tcPr>
          <w:p>
            <w:pPr>
              <w:ind w:left="880"/>
              <w:spacing w:after="0"/>
              <w:rPr>
                <w:sz w:val="20"/>
                <w:szCs w:val="20"/>
                <w:color w:val="auto"/>
              </w:rPr>
            </w:pPr>
            <w:r>
              <w:rPr>
                <w:rFonts w:ascii="Arial" w:cs="Arial" w:eastAsia="Arial" w:hAnsi="Arial"/>
                <w:sz w:val="14"/>
                <w:szCs w:val="14"/>
                <w:color w:val="auto"/>
              </w:rPr>
              <w:t>Yokkaichi [C]</w:t>
            </w:r>
          </w:p>
        </w:tc>
        <w:tc>
          <w:tcPr>
            <w:tcW w:w="260" w:type="dxa"/>
            <w:vAlign w:val="bottom"/>
          </w:tcPr>
          <w:p>
            <w:pPr>
              <w:spacing w:after="0"/>
              <w:rPr>
                <w:sz w:val="14"/>
                <w:szCs w:val="14"/>
                <w:color w:val="auto"/>
              </w:rPr>
            </w:pPr>
          </w:p>
        </w:tc>
        <w:tc>
          <w:tcPr>
            <w:tcW w:w="1400" w:type="dxa"/>
            <w:vAlign w:val="bottom"/>
          </w:tcPr>
          <w:p>
            <w:pPr>
              <w:jc w:val="center"/>
              <w:ind w:left="1154"/>
              <w:spacing w:after="0"/>
              <w:rPr>
                <w:sz w:val="20"/>
                <w:szCs w:val="20"/>
                <w:color w:val="auto"/>
              </w:rPr>
            </w:pPr>
            <w:r>
              <w:rPr>
                <w:rFonts w:ascii="Arial" w:cs="Arial" w:eastAsia="Arial" w:hAnsi="Arial"/>
                <w:sz w:val="14"/>
                <w:szCs w:val="14"/>
                <w:color w:val="auto"/>
                <w:w w:val="85"/>
              </w:rPr>
              <w:t>l¿</w:t>
            </w:r>
          </w:p>
        </w:tc>
        <w:tc>
          <w:tcPr>
            <w:tcW w:w="900" w:type="dxa"/>
            <w:vAlign w:val="bottom"/>
          </w:tcPr>
          <w:p>
            <w:pPr>
              <w:jc w:val="right"/>
              <w:ind w:right="149"/>
              <w:spacing w:after="0"/>
              <w:rPr>
                <w:sz w:val="20"/>
                <w:szCs w:val="20"/>
                <w:color w:val="auto"/>
              </w:rPr>
            </w:pPr>
            <w:r>
              <w:rPr>
                <w:rFonts w:ascii="Arial" w:cs="Arial" w:eastAsia="Arial" w:hAnsi="Arial"/>
                <w:sz w:val="14"/>
                <w:szCs w:val="14"/>
                <w:color w:val="auto"/>
              </w:rPr>
              <w:t>26</w:t>
            </w:r>
          </w:p>
        </w:tc>
        <w:tc>
          <w:tcPr>
            <w:tcW w:w="840" w:type="dxa"/>
            <w:vAlign w:val="bottom"/>
          </w:tcPr>
          <w:p>
            <w:pPr>
              <w:jc w:val="right"/>
              <w:ind w:right="69"/>
              <w:spacing w:after="0"/>
              <w:rPr>
                <w:sz w:val="20"/>
                <w:szCs w:val="20"/>
                <w:color w:val="auto"/>
              </w:rPr>
            </w:pPr>
            <w:r>
              <w:rPr>
                <w:rFonts w:ascii="Arial" w:cs="Arial" w:eastAsia="Arial" w:hAnsi="Arial"/>
                <w:sz w:val="14"/>
                <w:szCs w:val="14"/>
                <w:color w:val="auto"/>
              </w:rPr>
              <w:t>234</w:t>
            </w:r>
          </w:p>
        </w:tc>
        <w:tc>
          <w:tcPr>
            <w:tcW w:w="92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29"/>
              <w:spacing w:after="0"/>
              <w:rPr>
                <w:sz w:val="20"/>
                <w:szCs w:val="20"/>
                <w:color w:val="auto"/>
              </w:rPr>
            </w:pPr>
            <w:r>
              <w:rPr>
                <w:rFonts w:ascii="Arial" w:cs="Arial" w:eastAsia="Arial" w:hAnsi="Arial"/>
                <w:sz w:val="14"/>
                <w:szCs w:val="14"/>
                <w:color w:val="auto"/>
              </w:rPr>
              <w:t>55</w:t>
            </w:r>
          </w:p>
        </w:tc>
        <w:tc>
          <w:tcPr>
            <w:tcW w:w="780" w:type="dxa"/>
            <w:vAlign w:val="bottom"/>
          </w:tcPr>
          <w:p>
            <w:pPr>
              <w:jc w:val="right"/>
              <w:ind w:right="14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2"/>
        </w:trPr>
        <w:tc>
          <w:tcPr>
            <w:tcW w:w="3280" w:type="dxa"/>
            <w:vAlign w:val="bottom"/>
          </w:tcPr>
          <w:p>
            <w:pPr>
              <w:ind w:left="140"/>
              <w:spacing w:after="0"/>
              <w:rPr>
                <w:sz w:val="20"/>
                <w:szCs w:val="20"/>
                <w:color w:val="auto"/>
              </w:rPr>
            </w:pPr>
            <w:r>
              <w:rPr>
                <w:rFonts w:ascii="Arial" w:cs="Arial" w:eastAsia="Arial" w:hAnsi="Arial"/>
                <w:sz w:val="14"/>
                <w:szCs w:val="14"/>
                <w:color w:val="auto"/>
              </w:rPr>
              <w:t>Malaysia</w:t>
            </w:r>
          </w:p>
        </w:tc>
        <w:tc>
          <w:tcPr>
            <w:tcW w:w="2320" w:type="dxa"/>
            <w:vAlign w:val="bottom"/>
          </w:tcPr>
          <w:p>
            <w:pPr>
              <w:ind w:left="880"/>
              <w:spacing w:after="0"/>
              <w:rPr>
                <w:sz w:val="20"/>
                <w:szCs w:val="20"/>
                <w:color w:val="auto"/>
              </w:rPr>
            </w:pPr>
            <w:r>
              <w:rPr>
                <w:rFonts w:ascii="Arial" w:cs="Arial" w:eastAsia="Arial" w:hAnsi="Arial"/>
                <w:sz w:val="14"/>
                <w:szCs w:val="14"/>
                <w:color w:val="auto"/>
              </w:rPr>
              <w:t>Port Dickson</w:t>
            </w:r>
          </w:p>
        </w:tc>
        <w:tc>
          <w:tcPr>
            <w:tcW w:w="1660" w:type="dxa"/>
            <w:vAlign w:val="bottom"/>
            <w:gridSpan w:val="2"/>
          </w:tcPr>
          <w:p>
            <w:pPr>
              <w:jc w:val="center"/>
              <w:ind w:left="1453"/>
              <w:spacing w:after="0"/>
              <w:rPr>
                <w:sz w:val="20"/>
                <w:szCs w:val="20"/>
                <w:color w:val="auto"/>
              </w:rPr>
            </w:pPr>
            <w:r>
              <w:rPr>
                <w:rFonts w:ascii="Arial" w:cs="Arial" w:eastAsia="Arial" w:hAnsi="Arial"/>
                <w:sz w:val="13"/>
                <w:szCs w:val="13"/>
                <w:color w:val="auto"/>
                <w:w w:val="74"/>
              </w:rPr>
              <w:t>¿</w:t>
            </w:r>
          </w:p>
        </w:tc>
        <w:tc>
          <w:tcPr>
            <w:tcW w:w="900" w:type="dxa"/>
            <w:vAlign w:val="bottom"/>
          </w:tcPr>
          <w:p>
            <w:pPr>
              <w:jc w:val="right"/>
              <w:ind w:right="149"/>
              <w:spacing w:after="0"/>
              <w:rPr>
                <w:sz w:val="20"/>
                <w:szCs w:val="20"/>
                <w:color w:val="auto"/>
              </w:rPr>
            </w:pPr>
            <w:r>
              <w:rPr>
                <w:rFonts w:ascii="Arial" w:cs="Arial" w:eastAsia="Arial" w:hAnsi="Arial"/>
                <w:sz w:val="14"/>
                <w:szCs w:val="14"/>
                <w:color w:val="auto"/>
              </w:rPr>
              <w:t>51</w:t>
            </w:r>
          </w:p>
        </w:tc>
        <w:tc>
          <w:tcPr>
            <w:tcW w:w="840" w:type="dxa"/>
            <w:vAlign w:val="bottom"/>
          </w:tcPr>
          <w:p>
            <w:pPr>
              <w:jc w:val="right"/>
              <w:ind w:right="69"/>
              <w:spacing w:after="0"/>
              <w:rPr>
                <w:sz w:val="20"/>
                <w:szCs w:val="20"/>
                <w:color w:val="auto"/>
              </w:rPr>
            </w:pPr>
            <w:r>
              <w:rPr>
                <w:rFonts w:ascii="Arial" w:cs="Arial" w:eastAsia="Arial" w:hAnsi="Arial"/>
                <w:sz w:val="14"/>
                <w:szCs w:val="14"/>
                <w:color w:val="auto"/>
              </w:rPr>
              <w:t>107</w:t>
            </w:r>
          </w:p>
        </w:tc>
        <w:tc>
          <w:tcPr>
            <w:tcW w:w="92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29"/>
              <w:spacing w:after="0"/>
              <w:rPr>
                <w:sz w:val="20"/>
                <w:szCs w:val="20"/>
                <w:color w:val="auto"/>
              </w:rPr>
            </w:pPr>
            <w:r>
              <w:rPr>
                <w:rFonts w:ascii="Arial" w:cs="Arial" w:eastAsia="Arial" w:hAnsi="Arial"/>
                <w:sz w:val="14"/>
                <w:szCs w:val="14"/>
                <w:color w:val="auto"/>
              </w:rPr>
              <w:t>39</w:t>
            </w:r>
          </w:p>
        </w:tc>
        <w:tc>
          <w:tcPr>
            <w:tcW w:w="780" w:type="dxa"/>
            <w:vAlign w:val="bottom"/>
          </w:tcPr>
          <w:p>
            <w:pPr>
              <w:jc w:val="right"/>
              <w:ind w:right="14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3280" w:type="dxa"/>
            <w:vAlign w:val="bottom"/>
          </w:tcPr>
          <w:p>
            <w:pPr>
              <w:ind w:left="140"/>
              <w:spacing w:after="0"/>
              <w:rPr>
                <w:sz w:val="20"/>
                <w:szCs w:val="20"/>
                <w:color w:val="auto"/>
              </w:rPr>
            </w:pPr>
            <w:r>
              <w:rPr>
                <w:rFonts w:ascii="Arial" w:cs="Arial" w:eastAsia="Arial" w:hAnsi="Arial"/>
                <w:sz w:val="14"/>
                <w:szCs w:val="14"/>
                <w:color w:val="auto"/>
              </w:rPr>
              <w:t>Pakistan</w:t>
            </w:r>
          </w:p>
        </w:tc>
        <w:tc>
          <w:tcPr>
            <w:tcW w:w="2320" w:type="dxa"/>
            <w:vAlign w:val="bottom"/>
          </w:tcPr>
          <w:p>
            <w:pPr>
              <w:ind w:left="880"/>
              <w:spacing w:after="0"/>
              <w:rPr>
                <w:sz w:val="20"/>
                <w:szCs w:val="20"/>
                <w:color w:val="auto"/>
              </w:rPr>
            </w:pPr>
            <w:r>
              <w:rPr>
                <w:rFonts w:ascii="Arial" w:cs="Arial" w:eastAsia="Arial" w:hAnsi="Arial"/>
                <w:sz w:val="14"/>
                <w:szCs w:val="14"/>
                <w:color w:val="auto"/>
              </w:rPr>
              <w:t>Karachi [C]</w:t>
            </w:r>
          </w:p>
        </w:tc>
        <w:tc>
          <w:tcPr>
            <w:tcW w:w="26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900" w:type="dxa"/>
            <w:vAlign w:val="bottom"/>
          </w:tcPr>
          <w:p>
            <w:pPr>
              <w:jc w:val="right"/>
              <w:ind w:right="149"/>
              <w:spacing w:after="0"/>
              <w:rPr>
                <w:sz w:val="20"/>
                <w:szCs w:val="20"/>
                <w:color w:val="auto"/>
              </w:rPr>
            </w:pPr>
            <w:r>
              <w:rPr>
                <w:rFonts w:ascii="Arial" w:cs="Arial" w:eastAsia="Arial" w:hAnsi="Arial"/>
                <w:sz w:val="14"/>
                <w:szCs w:val="14"/>
                <w:color w:val="auto"/>
              </w:rPr>
              <w:t>30</w:t>
            </w:r>
          </w:p>
        </w:tc>
        <w:tc>
          <w:tcPr>
            <w:tcW w:w="840" w:type="dxa"/>
            <w:vAlign w:val="bottom"/>
          </w:tcPr>
          <w:p>
            <w:pPr>
              <w:jc w:val="right"/>
              <w:ind w:right="69"/>
              <w:spacing w:after="0"/>
              <w:rPr>
                <w:sz w:val="20"/>
                <w:szCs w:val="20"/>
                <w:color w:val="auto"/>
              </w:rPr>
            </w:pPr>
            <w:r>
              <w:rPr>
                <w:rFonts w:ascii="Arial" w:cs="Arial" w:eastAsia="Arial" w:hAnsi="Arial"/>
                <w:sz w:val="14"/>
                <w:szCs w:val="14"/>
                <w:color w:val="auto"/>
              </w:rPr>
              <w:t>43</w:t>
            </w:r>
          </w:p>
        </w:tc>
        <w:tc>
          <w:tcPr>
            <w:tcW w:w="92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14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3280" w:type="dxa"/>
            <w:vAlign w:val="bottom"/>
          </w:tcPr>
          <w:p>
            <w:pPr>
              <w:ind w:left="140"/>
              <w:spacing w:after="0"/>
              <w:rPr>
                <w:sz w:val="20"/>
                <w:szCs w:val="20"/>
                <w:color w:val="auto"/>
              </w:rPr>
            </w:pPr>
            <w:r>
              <w:rPr>
                <w:rFonts w:ascii="Arial" w:cs="Arial" w:eastAsia="Arial" w:hAnsi="Arial"/>
                <w:sz w:val="14"/>
                <w:szCs w:val="14"/>
                <w:color w:val="auto"/>
              </w:rPr>
              <w:t>Philippines</w:t>
            </w:r>
          </w:p>
        </w:tc>
        <w:tc>
          <w:tcPr>
            <w:tcW w:w="2320" w:type="dxa"/>
            <w:vAlign w:val="bottom"/>
          </w:tcPr>
          <w:p>
            <w:pPr>
              <w:ind w:left="880"/>
              <w:spacing w:after="0"/>
              <w:rPr>
                <w:sz w:val="20"/>
                <w:szCs w:val="20"/>
                <w:color w:val="auto"/>
              </w:rPr>
            </w:pPr>
            <w:r>
              <w:rPr>
                <w:rFonts w:ascii="Arial" w:cs="Arial" w:eastAsia="Arial" w:hAnsi="Arial"/>
                <w:sz w:val="14"/>
                <w:szCs w:val="14"/>
                <w:color w:val="auto"/>
              </w:rPr>
              <w:t>Tabangao</w:t>
            </w:r>
          </w:p>
        </w:tc>
        <w:tc>
          <w:tcPr>
            <w:tcW w:w="260" w:type="dxa"/>
            <w:vAlign w:val="bottom"/>
          </w:tcPr>
          <w:p>
            <w:pPr>
              <w:spacing w:after="0"/>
              <w:rPr>
                <w:sz w:val="14"/>
                <w:szCs w:val="14"/>
                <w:color w:val="auto"/>
              </w:rPr>
            </w:pPr>
          </w:p>
        </w:tc>
        <w:tc>
          <w:tcPr>
            <w:tcW w:w="1400" w:type="dxa"/>
            <w:vAlign w:val="bottom"/>
            <w:vMerge w:val="restart"/>
          </w:tcPr>
          <w:p>
            <w:pPr>
              <w:jc w:val="center"/>
              <w:ind w:left="1154"/>
              <w:spacing w:after="0"/>
              <w:rPr>
                <w:sz w:val="20"/>
                <w:szCs w:val="20"/>
                <w:color w:val="auto"/>
              </w:rPr>
            </w:pPr>
            <w:r>
              <w:rPr>
                <w:rFonts w:ascii="Arial" w:cs="Arial" w:eastAsia="Arial" w:hAnsi="Arial"/>
                <w:sz w:val="14"/>
                <w:szCs w:val="14"/>
                <w:color w:val="auto"/>
                <w:w w:val="85"/>
              </w:rPr>
              <w:t>l¿</w:t>
            </w:r>
          </w:p>
        </w:tc>
        <w:tc>
          <w:tcPr>
            <w:tcW w:w="900" w:type="dxa"/>
            <w:vAlign w:val="bottom"/>
          </w:tcPr>
          <w:p>
            <w:pPr>
              <w:jc w:val="right"/>
              <w:ind w:right="149"/>
              <w:spacing w:after="0"/>
              <w:rPr>
                <w:sz w:val="20"/>
                <w:szCs w:val="20"/>
                <w:color w:val="auto"/>
              </w:rPr>
            </w:pPr>
            <w:r>
              <w:rPr>
                <w:rFonts w:ascii="Arial" w:cs="Arial" w:eastAsia="Arial" w:hAnsi="Arial"/>
                <w:sz w:val="14"/>
                <w:szCs w:val="14"/>
                <w:color w:val="auto"/>
              </w:rPr>
              <w:t>67</w:t>
            </w:r>
          </w:p>
        </w:tc>
        <w:tc>
          <w:tcPr>
            <w:tcW w:w="840" w:type="dxa"/>
            <w:vAlign w:val="bottom"/>
          </w:tcPr>
          <w:p>
            <w:pPr>
              <w:jc w:val="right"/>
              <w:ind w:right="69"/>
              <w:spacing w:after="0"/>
              <w:rPr>
                <w:sz w:val="20"/>
                <w:szCs w:val="20"/>
                <w:color w:val="auto"/>
              </w:rPr>
            </w:pPr>
            <w:r>
              <w:rPr>
                <w:rFonts w:ascii="Arial" w:cs="Arial" w:eastAsia="Arial" w:hAnsi="Arial"/>
                <w:sz w:val="14"/>
                <w:szCs w:val="14"/>
                <w:color w:val="auto"/>
              </w:rPr>
              <w:t>96</w:t>
            </w:r>
          </w:p>
        </w:tc>
        <w:tc>
          <w:tcPr>
            <w:tcW w:w="920" w:type="dxa"/>
            <w:vAlign w:val="bottom"/>
          </w:tcPr>
          <w:p>
            <w:pPr>
              <w:jc w:val="right"/>
              <w:ind w:right="49"/>
              <w:spacing w:after="0"/>
              <w:rPr>
                <w:sz w:val="20"/>
                <w:szCs w:val="20"/>
                <w:color w:val="auto"/>
              </w:rPr>
            </w:pPr>
            <w:r>
              <w:rPr>
                <w:rFonts w:ascii="Arial" w:cs="Arial" w:eastAsia="Arial" w:hAnsi="Arial"/>
                <w:sz w:val="14"/>
                <w:szCs w:val="14"/>
                <w:color w:val="auto"/>
              </w:rPr>
              <w:t>31</w:t>
            </w:r>
          </w:p>
        </w:tc>
        <w:tc>
          <w:tcPr>
            <w:tcW w:w="72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14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2"/>
        </w:trPr>
        <w:tc>
          <w:tcPr>
            <w:tcW w:w="3280" w:type="dxa"/>
            <w:vAlign w:val="bottom"/>
          </w:tcPr>
          <w:p>
            <w:pPr>
              <w:ind w:left="140"/>
              <w:spacing w:after="0" w:line="152" w:lineRule="exact"/>
              <w:rPr>
                <w:sz w:val="20"/>
                <w:szCs w:val="20"/>
                <w:color w:val="auto"/>
              </w:rPr>
            </w:pPr>
            <w:r>
              <w:rPr>
                <w:rFonts w:ascii="Arial" w:cs="Arial" w:eastAsia="Arial" w:hAnsi="Arial"/>
                <w:sz w:val="14"/>
                <w:szCs w:val="14"/>
                <w:color w:val="auto"/>
              </w:rPr>
              <w:t>Saudi Arabia</w:t>
            </w:r>
          </w:p>
        </w:tc>
        <w:tc>
          <w:tcPr>
            <w:tcW w:w="2320" w:type="dxa"/>
            <w:vAlign w:val="bottom"/>
          </w:tcPr>
          <w:p>
            <w:pPr>
              <w:ind w:left="880"/>
              <w:spacing w:after="0" w:line="152" w:lineRule="exact"/>
              <w:rPr>
                <w:sz w:val="20"/>
                <w:szCs w:val="20"/>
                <w:color w:val="auto"/>
              </w:rPr>
            </w:pPr>
            <w:r>
              <w:rPr>
                <w:rFonts w:ascii="Arial" w:cs="Arial" w:eastAsia="Arial" w:hAnsi="Arial"/>
                <w:sz w:val="14"/>
                <w:szCs w:val="14"/>
                <w:color w:val="auto"/>
              </w:rPr>
              <w:t>Al Jubail [C]</w:t>
            </w:r>
          </w:p>
        </w:tc>
        <w:tc>
          <w:tcPr>
            <w:tcW w:w="260" w:type="dxa"/>
            <w:vAlign w:val="bottom"/>
          </w:tcPr>
          <w:p>
            <w:pPr>
              <w:spacing w:after="0"/>
              <w:rPr>
                <w:sz w:val="13"/>
                <w:szCs w:val="13"/>
                <w:color w:val="auto"/>
              </w:rPr>
            </w:pPr>
          </w:p>
        </w:tc>
        <w:tc>
          <w:tcPr>
            <w:tcW w:w="1400" w:type="dxa"/>
            <w:vAlign w:val="bottom"/>
            <w:vMerge w:val="continue"/>
          </w:tcPr>
          <w:p>
            <w:pPr>
              <w:spacing w:after="0"/>
              <w:rPr>
                <w:sz w:val="13"/>
                <w:szCs w:val="13"/>
                <w:color w:val="auto"/>
              </w:rPr>
            </w:pPr>
          </w:p>
        </w:tc>
        <w:tc>
          <w:tcPr>
            <w:tcW w:w="900" w:type="dxa"/>
            <w:vAlign w:val="bottom"/>
          </w:tcPr>
          <w:p>
            <w:pPr>
              <w:jc w:val="right"/>
              <w:ind w:right="149"/>
              <w:spacing w:after="0" w:line="152" w:lineRule="exact"/>
              <w:rPr>
                <w:sz w:val="20"/>
                <w:szCs w:val="20"/>
                <w:color w:val="auto"/>
              </w:rPr>
            </w:pPr>
            <w:r>
              <w:rPr>
                <w:rFonts w:ascii="Arial" w:cs="Arial" w:eastAsia="Arial" w:hAnsi="Arial"/>
                <w:sz w:val="14"/>
                <w:szCs w:val="14"/>
                <w:color w:val="auto"/>
              </w:rPr>
              <w:t>50</w:t>
            </w:r>
          </w:p>
        </w:tc>
        <w:tc>
          <w:tcPr>
            <w:tcW w:w="840" w:type="dxa"/>
            <w:vAlign w:val="bottom"/>
          </w:tcPr>
          <w:p>
            <w:pPr>
              <w:jc w:val="right"/>
              <w:ind w:right="69"/>
              <w:spacing w:after="0" w:line="152" w:lineRule="exact"/>
              <w:rPr>
                <w:sz w:val="20"/>
                <w:szCs w:val="20"/>
                <w:color w:val="auto"/>
              </w:rPr>
            </w:pPr>
            <w:r>
              <w:rPr>
                <w:rFonts w:ascii="Arial" w:cs="Arial" w:eastAsia="Arial" w:hAnsi="Arial"/>
                <w:sz w:val="14"/>
                <w:szCs w:val="14"/>
                <w:color w:val="auto"/>
              </w:rPr>
              <w:t>292</w:t>
            </w:r>
          </w:p>
        </w:tc>
        <w:tc>
          <w:tcPr>
            <w:tcW w:w="920" w:type="dxa"/>
            <w:vAlign w:val="bottom"/>
          </w:tcPr>
          <w:p>
            <w:pPr>
              <w:jc w:val="right"/>
              <w:ind w:right="49"/>
              <w:spacing w:after="0" w:line="152" w:lineRule="exact"/>
              <w:rPr>
                <w:sz w:val="20"/>
                <w:szCs w:val="20"/>
                <w:color w:val="auto"/>
              </w:rPr>
            </w:pPr>
            <w:r>
              <w:rPr>
                <w:rFonts w:ascii="Arial" w:cs="Arial" w:eastAsia="Arial" w:hAnsi="Arial"/>
                <w:sz w:val="14"/>
                <w:szCs w:val="14"/>
                <w:color w:val="auto"/>
              </w:rPr>
              <w:t>85</w:t>
            </w:r>
          </w:p>
        </w:tc>
        <w:tc>
          <w:tcPr>
            <w:tcW w:w="720" w:type="dxa"/>
            <w:vAlign w:val="bottom"/>
          </w:tcPr>
          <w:p>
            <w:pPr>
              <w:jc w:val="right"/>
              <w:ind w:right="29"/>
              <w:spacing w:after="0" w:line="152" w:lineRule="exact"/>
              <w:rPr>
                <w:sz w:val="20"/>
                <w:szCs w:val="20"/>
                <w:color w:val="auto"/>
              </w:rPr>
            </w:pPr>
            <w:r>
              <w:rPr>
                <w:rFonts w:ascii="Arial" w:cs="Arial" w:eastAsia="Arial" w:hAnsi="Arial"/>
                <w:sz w:val="14"/>
                <w:szCs w:val="14"/>
                <w:color w:val="auto"/>
              </w:rPr>
              <w:t>–</w:t>
            </w:r>
          </w:p>
        </w:tc>
        <w:tc>
          <w:tcPr>
            <w:tcW w:w="780" w:type="dxa"/>
            <w:vAlign w:val="bottom"/>
          </w:tcPr>
          <w:p>
            <w:pPr>
              <w:jc w:val="right"/>
              <w:ind w:right="149"/>
              <w:spacing w:after="0" w:line="152" w:lineRule="exact"/>
              <w:rPr>
                <w:sz w:val="20"/>
                <w:szCs w:val="20"/>
                <w:color w:val="auto"/>
              </w:rPr>
            </w:pPr>
            <w:r>
              <w:rPr>
                <w:rFonts w:ascii="Arial" w:cs="Arial" w:eastAsia="Arial" w:hAnsi="Arial"/>
                <w:sz w:val="14"/>
                <w:szCs w:val="14"/>
                <w:color w:val="auto"/>
              </w:rPr>
              <w:t>45</w:t>
            </w:r>
          </w:p>
        </w:tc>
        <w:tc>
          <w:tcPr>
            <w:tcW w:w="0" w:type="dxa"/>
            <w:vAlign w:val="bottom"/>
          </w:tcPr>
          <w:p>
            <w:pPr>
              <w:spacing w:after="0"/>
              <w:rPr>
                <w:sz w:val="1"/>
                <w:szCs w:val="1"/>
                <w:color w:val="auto"/>
              </w:rPr>
            </w:pPr>
          </w:p>
        </w:tc>
      </w:tr>
      <w:tr>
        <w:trPr>
          <w:trHeight w:val="167"/>
        </w:trPr>
        <w:tc>
          <w:tcPr>
            <w:tcW w:w="3280" w:type="dxa"/>
            <w:vAlign w:val="bottom"/>
            <w:tcBorders>
              <w:bottom w:val="single" w:sz="8" w:color="auto"/>
            </w:tcBorders>
          </w:tcPr>
          <w:p>
            <w:pPr>
              <w:ind w:left="140"/>
              <w:spacing w:after="0"/>
              <w:rPr>
                <w:sz w:val="20"/>
                <w:szCs w:val="20"/>
                <w:color w:val="auto"/>
              </w:rPr>
            </w:pPr>
            <w:r>
              <w:rPr>
                <w:rFonts w:ascii="Arial" w:cs="Arial" w:eastAsia="Arial" w:hAnsi="Arial"/>
                <w:sz w:val="14"/>
                <w:szCs w:val="14"/>
                <w:color w:val="auto"/>
              </w:rPr>
              <w:t>Singapore</w:t>
            </w:r>
          </w:p>
        </w:tc>
        <w:tc>
          <w:tcPr>
            <w:tcW w:w="2320" w:type="dxa"/>
            <w:vAlign w:val="bottom"/>
            <w:tcBorders>
              <w:bottom w:val="single" w:sz="8" w:color="auto"/>
            </w:tcBorders>
          </w:tcPr>
          <w:p>
            <w:pPr>
              <w:ind w:left="880"/>
              <w:spacing w:after="0"/>
              <w:rPr>
                <w:sz w:val="20"/>
                <w:szCs w:val="20"/>
                <w:color w:val="auto"/>
              </w:rPr>
            </w:pPr>
            <w:r>
              <w:rPr>
                <w:rFonts w:ascii="Arial" w:cs="Arial" w:eastAsia="Arial" w:hAnsi="Arial"/>
                <w:sz w:val="14"/>
                <w:szCs w:val="14"/>
                <w:color w:val="auto"/>
              </w:rPr>
              <w:t>Pulau Bukom</w:t>
            </w:r>
          </w:p>
        </w:tc>
        <w:tc>
          <w:tcPr>
            <w:tcW w:w="26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tcPr>
          <w:p>
            <w:pPr>
              <w:jc w:val="right"/>
              <w:ind w:right="14"/>
              <w:spacing w:after="0"/>
              <w:rPr>
                <w:sz w:val="20"/>
                <w:szCs w:val="20"/>
                <w:color w:val="auto"/>
              </w:rPr>
            </w:pPr>
            <w:r>
              <w:rPr>
                <w:rFonts w:ascii="Arial" w:cs="Arial" w:eastAsia="Arial" w:hAnsi="Arial"/>
                <w:sz w:val="12"/>
                <w:szCs w:val="12"/>
                <w:color w:val="auto"/>
              </w:rPr>
              <w:t xml:space="preserve">n </w:t>
            </w:r>
            <w:r>
              <w:rPr>
                <w:rFonts w:ascii="Arial" w:cs="Arial" w:eastAsia="Arial" w:hAnsi="Arial"/>
                <w:sz w:val="14"/>
                <w:szCs w:val="14"/>
                <w:color w:val="auto"/>
              </w:rPr>
              <w:t>l</w:t>
            </w:r>
          </w:p>
        </w:tc>
        <w:tc>
          <w:tcPr>
            <w:tcW w:w="900" w:type="dxa"/>
            <w:vAlign w:val="bottom"/>
            <w:tcBorders>
              <w:bottom w:val="single" w:sz="8" w:color="auto"/>
            </w:tcBorders>
          </w:tcPr>
          <w:p>
            <w:pPr>
              <w:jc w:val="right"/>
              <w:ind w:right="149"/>
              <w:spacing w:after="0"/>
              <w:rPr>
                <w:sz w:val="20"/>
                <w:szCs w:val="20"/>
                <w:color w:val="auto"/>
              </w:rPr>
            </w:pPr>
            <w:r>
              <w:rPr>
                <w:rFonts w:ascii="Arial" w:cs="Arial" w:eastAsia="Arial" w:hAnsi="Arial"/>
                <w:sz w:val="14"/>
                <w:szCs w:val="14"/>
                <w:color w:val="auto"/>
              </w:rPr>
              <w:t>100</w:t>
            </w:r>
          </w:p>
        </w:tc>
        <w:tc>
          <w:tcPr>
            <w:tcW w:w="84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color w:val="auto"/>
              </w:rPr>
              <w:t>462</w:t>
            </w:r>
          </w:p>
        </w:tc>
        <w:tc>
          <w:tcPr>
            <w:tcW w:w="92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77</w:t>
            </w:r>
          </w:p>
        </w:tc>
        <w:tc>
          <w:tcPr>
            <w:tcW w:w="72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34</w:t>
            </w:r>
          </w:p>
        </w:tc>
        <w:tc>
          <w:tcPr>
            <w:tcW w:w="780" w:type="dxa"/>
            <w:vAlign w:val="bottom"/>
            <w:tcBorders>
              <w:bottom w:val="single" w:sz="8" w:color="auto"/>
            </w:tcBorders>
          </w:tcPr>
          <w:p>
            <w:pPr>
              <w:jc w:val="right"/>
              <w:ind w:right="149"/>
              <w:spacing w:after="0"/>
              <w:rPr>
                <w:sz w:val="20"/>
                <w:szCs w:val="20"/>
                <w:color w:val="auto"/>
              </w:rPr>
            </w:pPr>
            <w:r>
              <w:rPr>
                <w:rFonts w:ascii="Arial" w:cs="Arial" w:eastAsia="Arial" w:hAnsi="Arial"/>
                <w:sz w:val="14"/>
                <w:szCs w:val="14"/>
                <w:color w:val="auto"/>
              </w:rPr>
              <w:t>55</w:t>
            </w:r>
          </w:p>
        </w:tc>
        <w:tc>
          <w:tcPr>
            <w:tcW w:w="0" w:type="dxa"/>
            <w:vAlign w:val="bottom"/>
          </w:tcPr>
          <w:p>
            <w:pPr>
              <w:spacing w:after="0"/>
              <w:rPr>
                <w:sz w:val="1"/>
                <w:szCs w:val="1"/>
                <w:color w:val="auto"/>
              </w:rPr>
            </w:pPr>
          </w:p>
        </w:tc>
      </w:tr>
      <w:tr>
        <w:trPr>
          <w:trHeight w:val="160"/>
        </w:trPr>
        <w:tc>
          <w:tcPr>
            <w:tcW w:w="3280" w:type="dxa"/>
            <w:vAlign w:val="bottom"/>
          </w:tcPr>
          <w:p>
            <w:pPr>
              <w:spacing w:after="0"/>
              <w:rPr>
                <w:sz w:val="20"/>
                <w:szCs w:val="20"/>
                <w:color w:val="auto"/>
              </w:rPr>
            </w:pPr>
            <w:r>
              <w:rPr>
                <w:rFonts w:ascii="Arial" w:cs="Arial" w:eastAsia="Arial" w:hAnsi="Arial"/>
                <w:sz w:val="14"/>
                <w:szCs w:val="14"/>
                <w:color w:val="auto"/>
              </w:rPr>
              <w:t>Africa</w:t>
            </w:r>
          </w:p>
        </w:tc>
        <w:tc>
          <w:tcPr>
            <w:tcW w:w="2320" w:type="dxa"/>
            <w:vAlign w:val="bottom"/>
          </w:tcPr>
          <w:p>
            <w:pPr>
              <w:spacing w:after="0"/>
              <w:rPr>
                <w:sz w:val="13"/>
                <w:szCs w:val="13"/>
                <w:color w:val="auto"/>
              </w:rPr>
            </w:pPr>
          </w:p>
        </w:tc>
        <w:tc>
          <w:tcPr>
            <w:tcW w:w="1660" w:type="dxa"/>
            <w:vAlign w:val="bottom"/>
            <w:gridSpan w:val="2"/>
            <w:vMerge w:val="restart"/>
          </w:tcPr>
          <w:p>
            <w:pPr>
              <w:jc w:val="center"/>
              <w:ind w:left="1453"/>
              <w:spacing w:after="0"/>
              <w:rPr>
                <w:sz w:val="20"/>
                <w:szCs w:val="20"/>
                <w:color w:val="auto"/>
              </w:rPr>
            </w:pPr>
            <w:r>
              <w:rPr>
                <w:rFonts w:ascii="Arial" w:cs="Arial" w:eastAsia="Arial" w:hAnsi="Arial"/>
                <w:sz w:val="13"/>
                <w:szCs w:val="13"/>
                <w:color w:val="auto"/>
                <w:w w:val="74"/>
              </w:rPr>
              <w:t>¿</w:t>
            </w:r>
          </w:p>
        </w:tc>
        <w:tc>
          <w:tcPr>
            <w:tcW w:w="9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3280" w:type="dxa"/>
            <w:vAlign w:val="bottom"/>
            <w:tcBorders>
              <w:bottom w:val="single" w:sz="8" w:color="auto"/>
            </w:tcBorders>
          </w:tcPr>
          <w:p>
            <w:pPr>
              <w:ind w:left="140"/>
              <w:spacing w:after="0" w:line="157" w:lineRule="exact"/>
              <w:rPr>
                <w:sz w:val="20"/>
                <w:szCs w:val="20"/>
                <w:color w:val="auto"/>
              </w:rPr>
            </w:pPr>
            <w:r>
              <w:rPr>
                <w:rFonts w:ascii="Arial" w:cs="Arial" w:eastAsia="Arial" w:hAnsi="Arial"/>
                <w:sz w:val="14"/>
                <w:szCs w:val="14"/>
                <w:color w:val="auto"/>
              </w:rPr>
              <w:t>South Africa</w:t>
            </w:r>
          </w:p>
        </w:tc>
        <w:tc>
          <w:tcPr>
            <w:tcW w:w="2320" w:type="dxa"/>
            <w:vAlign w:val="bottom"/>
            <w:tcBorders>
              <w:bottom w:val="single" w:sz="8" w:color="auto"/>
            </w:tcBorders>
          </w:tcPr>
          <w:p>
            <w:pPr>
              <w:ind w:left="880"/>
              <w:spacing w:after="0" w:line="157" w:lineRule="exact"/>
              <w:rPr>
                <w:sz w:val="20"/>
                <w:szCs w:val="20"/>
                <w:color w:val="auto"/>
              </w:rPr>
            </w:pPr>
            <w:r>
              <w:rPr>
                <w:rFonts w:ascii="Arial" w:cs="Arial" w:eastAsia="Arial" w:hAnsi="Arial"/>
                <w:sz w:val="14"/>
                <w:szCs w:val="14"/>
                <w:color w:val="auto"/>
              </w:rPr>
              <w:t>Durban [C]</w:t>
            </w:r>
          </w:p>
        </w:tc>
        <w:tc>
          <w:tcPr>
            <w:tcW w:w="1660" w:type="dxa"/>
            <w:vAlign w:val="bottom"/>
            <w:tcBorders>
              <w:bottom w:val="single" w:sz="8" w:color="auto"/>
            </w:tcBorders>
            <w:gridSpan w:val="2"/>
            <w:vMerge w:val="continue"/>
          </w:tcPr>
          <w:p>
            <w:pPr>
              <w:spacing w:after="0"/>
              <w:rPr>
                <w:sz w:val="13"/>
                <w:szCs w:val="13"/>
                <w:color w:val="auto"/>
              </w:rPr>
            </w:pPr>
          </w:p>
        </w:tc>
        <w:tc>
          <w:tcPr>
            <w:tcW w:w="900" w:type="dxa"/>
            <w:vAlign w:val="bottom"/>
            <w:tcBorders>
              <w:bottom w:val="single" w:sz="8" w:color="auto"/>
            </w:tcBorders>
          </w:tcPr>
          <w:p>
            <w:pPr>
              <w:jc w:val="right"/>
              <w:ind w:right="149"/>
              <w:spacing w:after="0" w:line="157" w:lineRule="exact"/>
              <w:rPr>
                <w:sz w:val="20"/>
                <w:szCs w:val="20"/>
                <w:color w:val="auto"/>
              </w:rPr>
            </w:pPr>
            <w:r>
              <w:rPr>
                <w:rFonts w:ascii="Arial" w:cs="Arial" w:eastAsia="Arial" w:hAnsi="Arial"/>
                <w:sz w:val="14"/>
                <w:szCs w:val="14"/>
                <w:color w:val="auto"/>
              </w:rPr>
              <w:t>38</w:t>
            </w:r>
          </w:p>
        </w:tc>
        <w:tc>
          <w:tcPr>
            <w:tcW w:w="840" w:type="dxa"/>
            <w:vAlign w:val="bottom"/>
            <w:tcBorders>
              <w:bottom w:val="single" w:sz="8" w:color="auto"/>
            </w:tcBorders>
          </w:tcPr>
          <w:p>
            <w:pPr>
              <w:jc w:val="right"/>
              <w:ind w:right="69"/>
              <w:spacing w:after="0" w:line="157" w:lineRule="exact"/>
              <w:rPr>
                <w:sz w:val="20"/>
                <w:szCs w:val="20"/>
                <w:color w:val="auto"/>
              </w:rPr>
            </w:pPr>
            <w:r>
              <w:rPr>
                <w:rFonts w:ascii="Arial" w:cs="Arial" w:eastAsia="Arial" w:hAnsi="Arial"/>
                <w:sz w:val="14"/>
                <w:szCs w:val="14"/>
                <w:color w:val="auto"/>
              </w:rPr>
              <w:t>165</w:t>
            </w:r>
          </w:p>
        </w:tc>
        <w:tc>
          <w:tcPr>
            <w:tcW w:w="920" w:type="dxa"/>
            <w:vAlign w:val="bottom"/>
            <w:tcBorders>
              <w:bottom w:val="single" w:sz="8" w:color="auto"/>
            </w:tcBorders>
          </w:tcPr>
          <w:p>
            <w:pPr>
              <w:jc w:val="right"/>
              <w:ind w:right="49"/>
              <w:spacing w:after="0" w:line="157" w:lineRule="exact"/>
              <w:rPr>
                <w:sz w:val="20"/>
                <w:szCs w:val="20"/>
                <w:color w:val="auto"/>
              </w:rPr>
            </w:pPr>
            <w:r>
              <w:rPr>
                <w:rFonts w:ascii="Arial" w:cs="Arial" w:eastAsia="Arial" w:hAnsi="Arial"/>
                <w:sz w:val="14"/>
                <w:szCs w:val="14"/>
                <w:color w:val="auto"/>
              </w:rPr>
              <w:t>23</w:t>
            </w:r>
          </w:p>
        </w:tc>
        <w:tc>
          <w:tcPr>
            <w:tcW w:w="720" w:type="dxa"/>
            <w:vAlign w:val="bottom"/>
            <w:tcBorders>
              <w:bottom w:val="single" w:sz="8" w:color="auto"/>
            </w:tcBorders>
          </w:tcPr>
          <w:p>
            <w:pPr>
              <w:jc w:val="right"/>
              <w:ind w:right="29"/>
              <w:spacing w:after="0" w:line="157" w:lineRule="exact"/>
              <w:rPr>
                <w:sz w:val="20"/>
                <w:szCs w:val="20"/>
                <w:color w:val="auto"/>
              </w:rPr>
            </w:pPr>
            <w:r>
              <w:rPr>
                <w:rFonts w:ascii="Arial" w:cs="Arial" w:eastAsia="Arial" w:hAnsi="Arial"/>
                <w:sz w:val="14"/>
                <w:szCs w:val="14"/>
                <w:color w:val="auto"/>
              </w:rPr>
              <w:t>34</w:t>
            </w:r>
          </w:p>
        </w:tc>
        <w:tc>
          <w:tcPr>
            <w:tcW w:w="780" w:type="dxa"/>
            <w:vAlign w:val="bottom"/>
            <w:tcBorders>
              <w:bottom w:val="single" w:sz="8" w:color="auto"/>
            </w:tcBorders>
          </w:tcPr>
          <w:p>
            <w:pPr>
              <w:jc w:val="right"/>
              <w:ind w:right="149"/>
              <w:spacing w:after="0" w:line="157"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0"/>
        </w:trPr>
        <w:tc>
          <w:tcPr>
            <w:tcW w:w="3280" w:type="dxa"/>
            <w:vAlign w:val="bottom"/>
          </w:tcPr>
          <w:p>
            <w:pPr>
              <w:spacing w:after="0"/>
              <w:rPr>
                <w:sz w:val="20"/>
                <w:szCs w:val="20"/>
                <w:color w:val="auto"/>
              </w:rPr>
            </w:pPr>
            <w:r>
              <w:rPr>
                <w:rFonts w:ascii="Arial" w:cs="Arial" w:eastAsia="Arial" w:hAnsi="Arial"/>
                <w:sz w:val="14"/>
                <w:szCs w:val="14"/>
                <w:color w:val="auto"/>
              </w:rPr>
              <w:t>Americas</w:t>
            </w:r>
          </w:p>
        </w:tc>
        <w:tc>
          <w:tcPr>
            <w:tcW w:w="23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00" w:type="dxa"/>
            <w:vAlign w:val="bottom"/>
            <w:vMerge w:val="restart"/>
          </w:tcPr>
          <w:p>
            <w:pPr>
              <w:jc w:val="center"/>
              <w:ind w:left="1154"/>
              <w:spacing w:after="0"/>
              <w:rPr>
                <w:sz w:val="20"/>
                <w:szCs w:val="20"/>
                <w:color w:val="auto"/>
              </w:rPr>
            </w:pPr>
            <w:r>
              <w:rPr>
                <w:rFonts w:ascii="Arial" w:cs="Arial" w:eastAsia="Arial" w:hAnsi="Arial"/>
                <w:sz w:val="14"/>
                <w:szCs w:val="14"/>
                <w:color w:val="auto"/>
                <w:w w:val="85"/>
              </w:rPr>
              <w:t>l¿</w:t>
            </w:r>
          </w:p>
        </w:tc>
        <w:tc>
          <w:tcPr>
            <w:tcW w:w="9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280" w:type="dxa"/>
            <w:vAlign w:val="bottom"/>
          </w:tcPr>
          <w:p>
            <w:pPr>
              <w:ind w:left="140"/>
              <w:spacing w:after="0"/>
              <w:rPr>
                <w:sz w:val="20"/>
                <w:szCs w:val="20"/>
                <w:color w:val="auto"/>
              </w:rPr>
            </w:pPr>
            <w:r>
              <w:rPr>
                <w:rFonts w:ascii="Arial" w:cs="Arial" w:eastAsia="Arial" w:hAnsi="Arial"/>
                <w:sz w:val="14"/>
                <w:szCs w:val="14"/>
                <w:color w:val="auto"/>
              </w:rPr>
              <w:t>Argentina</w:t>
            </w:r>
          </w:p>
        </w:tc>
        <w:tc>
          <w:tcPr>
            <w:tcW w:w="2320" w:type="dxa"/>
            <w:vAlign w:val="bottom"/>
          </w:tcPr>
          <w:p>
            <w:pPr>
              <w:ind w:left="880"/>
              <w:spacing w:after="0"/>
              <w:rPr>
                <w:sz w:val="20"/>
                <w:szCs w:val="20"/>
                <w:color w:val="auto"/>
              </w:rPr>
            </w:pPr>
            <w:r>
              <w:rPr>
                <w:rFonts w:ascii="Arial" w:cs="Arial" w:eastAsia="Arial" w:hAnsi="Arial"/>
                <w:sz w:val="14"/>
                <w:szCs w:val="14"/>
                <w:color w:val="auto"/>
              </w:rPr>
              <w:t>Buenos Aires</w:t>
            </w:r>
          </w:p>
        </w:tc>
        <w:tc>
          <w:tcPr>
            <w:tcW w:w="26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900" w:type="dxa"/>
            <w:vAlign w:val="bottom"/>
          </w:tcPr>
          <w:p>
            <w:pPr>
              <w:jc w:val="right"/>
              <w:ind w:right="149"/>
              <w:spacing w:after="0"/>
              <w:rPr>
                <w:sz w:val="20"/>
                <w:szCs w:val="20"/>
                <w:color w:val="auto"/>
              </w:rPr>
            </w:pPr>
            <w:r>
              <w:rPr>
                <w:rFonts w:ascii="Arial" w:cs="Arial" w:eastAsia="Arial" w:hAnsi="Arial"/>
                <w:sz w:val="14"/>
                <w:szCs w:val="14"/>
                <w:color w:val="auto"/>
              </w:rPr>
              <w:t>100</w:t>
            </w:r>
          </w:p>
        </w:tc>
        <w:tc>
          <w:tcPr>
            <w:tcW w:w="840" w:type="dxa"/>
            <w:vAlign w:val="bottom"/>
          </w:tcPr>
          <w:p>
            <w:pPr>
              <w:jc w:val="right"/>
              <w:ind w:right="69"/>
              <w:spacing w:after="0"/>
              <w:rPr>
                <w:sz w:val="20"/>
                <w:szCs w:val="20"/>
                <w:color w:val="auto"/>
              </w:rPr>
            </w:pPr>
            <w:r>
              <w:rPr>
                <w:rFonts w:ascii="Arial" w:cs="Arial" w:eastAsia="Arial" w:hAnsi="Arial"/>
                <w:sz w:val="14"/>
                <w:szCs w:val="14"/>
                <w:color w:val="auto"/>
              </w:rPr>
              <w:t>100</w:t>
            </w:r>
          </w:p>
        </w:tc>
        <w:tc>
          <w:tcPr>
            <w:tcW w:w="920" w:type="dxa"/>
            <w:vAlign w:val="bottom"/>
          </w:tcPr>
          <w:p>
            <w:pPr>
              <w:jc w:val="right"/>
              <w:ind w:right="49"/>
              <w:spacing w:after="0"/>
              <w:rPr>
                <w:sz w:val="20"/>
                <w:szCs w:val="20"/>
                <w:color w:val="auto"/>
              </w:rPr>
            </w:pPr>
            <w:r>
              <w:rPr>
                <w:rFonts w:ascii="Arial" w:cs="Arial" w:eastAsia="Arial" w:hAnsi="Arial"/>
                <w:sz w:val="14"/>
                <w:szCs w:val="14"/>
                <w:color w:val="auto"/>
              </w:rPr>
              <w:t>18</w:t>
            </w:r>
          </w:p>
        </w:tc>
        <w:tc>
          <w:tcPr>
            <w:tcW w:w="720" w:type="dxa"/>
            <w:vAlign w:val="bottom"/>
          </w:tcPr>
          <w:p>
            <w:pPr>
              <w:jc w:val="right"/>
              <w:ind w:right="29"/>
              <w:spacing w:after="0"/>
              <w:rPr>
                <w:sz w:val="20"/>
                <w:szCs w:val="20"/>
                <w:color w:val="auto"/>
              </w:rPr>
            </w:pPr>
            <w:r>
              <w:rPr>
                <w:rFonts w:ascii="Arial" w:cs="Arial" w:eastAsia="Arial" w:hAnsi="Arial"/>
                <w:sz w:val="14"/>
                <w:szCs w:val="14"/>
                <w:color w:val="auto"/>
              </w:rPr>
              <w:t>20</w:t>
            </w:r>
          </w:p>
        </w:tc>
        <w:tc>
          <w:tcPr>
            <w:tcW w:w="780" w:type="dxa"/>
            <w:vAlign w:val="bottom"/>
          </w:tcPr>
          <w:p>
            <w:pPr>
              <w:jc w:val="right"/>
              <w:ind w:right="14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3280" w:type="dxa"/>
            <w:vAlign w:val="bottom"/>
          </w:tcPr>
          <w:p>
            <w:pPr>
              <w:ind w:left="140"/>
              <w:spacing w:after="0"/>
              <w:rPr>
                <w:sz w:val="20"/>
                <w:szCs w:val="20"/>
                <w:color w:val="auto"/>
              </w:rPr>
            </w:pPr>
            <w:r>
              <w:rPr>
                <w:rFonts w:ascii="Arial" w:cs="Arial" w:eastAsia="Arial" w:hAnsi="Arial"/>
                <w:sz w:val="14"/>
                <w:szCs w:val="14"/>
                <w:color w:val="auto"/>
              </w:rPr>
              <w:t>Canada</w:t>
            </w:r>
          </w:p>
        </w:tc>
        <w:tc>
          <w:tcPr>
            <w:tcW w:w="2320" w:type="dxa"/>
            <w:vAlign w:val="bottom"/>
          </w:tcPr>
          <w:p>
            <w:pPr>
              <w:spacing w:after="0"/>
              <w:rPr>
                <w:sz w:val="14"/>
                <w:szCs w:val="14"/>
                <w:color w:val="auto"/>
              </w:rPr>
            </w:pPr>
          </w:p>
        </w:tc>
        <w:tc>
          <w:tcPr>
            <w:tcW w:w="1660" w:type="dxa"/>
            <w:vAlign w:val="bottom"/>
            <w:gridSpan w:val="2"/>
            <w:vMerge w:val="restart"/>
          </w:tcPr>
          <w:p>
            <w:pPr>
              <w:jc w:val="center"/>
              <w:ind w:left="1453"/>
              <w:spacing w:after="0"/>
              <w:rPr>
                <w:sz w:val="20"/>
                <w:szCs w:val="20"/>
                <w:color w:val="auto"/>
              </w:rPr>
            </w:pPr>
            <w:r>
              <w:rPr>
                <w:rFonts w:ascii="Arial" w:cs="Arial" w:eastAsia="Arial" w:hAnsi="Arial"/>
                <w:sz w:val="13"/>
                <w:szCs w:val="13"/>
                <w:color w:val="auto"/>
                <w:w w:val="74"/>
              </w:rPr>
              <w:t>¿</w:t>
            </w:r>
          </w:p>
        </w:tc>
        <w:tc>
          <w:tcPr>
            <w:tcW w:w="9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2"/>
        </w:trPr>
        <w:tc>
          <w:tcPr>
            <w:tcW w:w="3280" w:type="dxa"/>
            <w:vAlign w:val="bottom"/>
          </w:tcPr>
          <w:p>
            <w:pPr>
              <w:ind w:left="260"/>
              <w:spacing w:after="0" w:line="152" w:lineRule="exact"/>
              <w:rPr>
                <w:sz w:val="20"/>
                <w:szCs w:val="20"/>
                <w:color w:val="auto"/>
              </w:rPr>
            </w:pPr>
            <w:r>
              <w:rPr>
                <w:rFonts w:ascii="Arial" w:cs="Arial" w:eastAsia="Arial" w:hAnsi="Arial"/>
                <w:sz w:val="14"/>
                <w:szCs w:val="14"/>
                <w:color w:val="auto"/>
              </w:rPr>
              <w:t>Alberta</w:t>
            </w:r>
          </w:p>
        </w:tc>
        <w:tc>
          <w:tcPr>
            <w:tcW w:w="2320" w:type="dxa"/>
            <w:vAlign w:val="bottom"/>
          </w:tcPr>
          <w:p>
            <w:pPr>
              <w:ind w:left="880"/>
              <w:spacing w:after="0" w:line="152" w:lineRule="exact"/>
              <w:rPr>
                <w:sz w:val="20"/>
                <w:szCs w:val="20"/>
                <w:color w:val="auto"/>
              </w:rPr>
            </w:pPr>
            <w:r>
              <w:rPr>
                <w:rFonts w:ascii="Arial" w:cs="Arial" w:eastAsia="Arial" w:hAnsi="Arial"/>
                <w:sz w:val="14"/>
                <w:szCs w:val="14"/>
                <w:color w:val="auto"/>
              </w:rPr>
              <w:t>Scotford</w:t>
            </w:r>
          </w:p>
        </w:tc>
        <w:tc>
          <w:tcPr>
            <w:tcW w:w="1660" w:type="dxa"/>
            <w:vAlign w:val="bottom"/>
            <w:gridSpan w:val="2"/>
            <w:vMerge w:val="continue"/>
          </w:tcPr>
          <w:p>
            <w:pPr>
              <w:spacing w:after="0"/>
              <w:rPr>
                <w:sz w:val="13"/>
                <w:szCs w:val="13"/>
                <w:color w:val="auto"/>
              </w:rPr>
            </w:pPr>
          </w:p>
        </w:tc>
        <w:tc>
          <w:tcPr>
            <w:tcW w:w="900" w:type="dxa"/>
            <w:vAlign w:val="bottom"/>
          </w:tcPr>
          <w:p>
            <w:pPr>
              <w:jc w:val="right"/>
              <w:ind w:right="149"/>
              <w:spacing w:after="0" w:line="152" w:lineRule="exact"/>
              <w:rPr>
                <w:sz w:val="20"/>
                <w:szCs w:val="20"/>
                <w:color w:val="auto"/>
              </w:rPr>
            </w:pPr>
            <w:r>
              <w:rPr>
                <w:rFonts w:ascii="Arial" w:cs="Arial" w:eastAsia="Arial" w:hAnsi="Arial"/>
                <w:sz w:val="14"/>
                <w:szCs w:val="14"/>
                <w:color w:val="auto"/>
              </w:rPr>
              <w:t>100</w:t>
            </w:r>
          </w:p>
        </w:tc>
        <w:tc>
          <w:tcPr>
            <w:tcW w:w="840" w:type="dxa"/>
            <w:vAlign w:val="bottom"/>
          </w:tcPr>
          <w:p>
            <w:pPr>
              <w:jc w:val="right"/>
              <w:ind w:right="69"/>
              <w:spacing w:after="0" w:line="152" w:lineRule="exact"/>
              <w:rPr>
                <w:sz w:val="20"/>
                <w:szCs w:val="20"/>
                <w:color w:val="auto"/>
              </w:rPr>
            </w:pPr>
            <w:r>
              <w:rPr>
                <w:rFonts w:ascii="Arial" w:cs="Arial" w:eastAsia="Arial" w:hAnsi="Arial"/>
                <w:sz w:val="14"/>
                <w:szCs w:val="14"/>
                <w:color w:val="auto"/>
              </w:rPr>
              <w:t>92</w:t>
            </w:r>
          </w:p>
        </w:tc>
        <w:tc>
          <w:tcPr>
            <w:tcW w:w="920" w:type="dxa"/>
            <w:vAlign w:val="bottom"/>
          </w:tcPr>
          <w:p>
            <w:pPr>
              <w:jc w:val="right"/>
              <w:ind w:right="49"/>
              <w:spacing w:after="0" w:line="152" w:lineRule="exact"/>
              <w:rPr>
                <w:sz w:val="20"/>
                <w:szCs w:val="20"/>
                <w:color w:val="auto"/>
              </w:rPr>
            </w:pPr>
            <w:r>
              <w:rPr>
                <w:rFonts w:ascii="Arial" w:cs="Arial" w:eastAsia="Arial" w:hAnsi="Arial"/>
                <w:sz w:val="14"/>
                <w:szCs w:val="14"/>
                <w:color w:val="auto"/>
              </w:rPr>
              <w:t>–</w:t>
            </w:r>
          </w:p>
        </w:tc>
        <w:tc>
          <w:tcPr>
            <w:tcW w:w="720" w:type="dxa"/>
            <w:vAlign w:val="bottom"/>
          </w:tcPr>
          <w:p>
            <w:pPr>
              <w:jc w:val="right"/>
              <w:ind w:right="29"/>
              <w:spacing w:after="0" w:line="152" w:lineRule="exact"/>
              <w:rPr>
                <w:sz w:val="20"/>
                <w:szCs w:val="20"/>
                <w:color w:val="auto"/>
              </w:rPr>
            </w:pPr>
            <w:r>
              <w:rPr>
                <w:rFonts w:ascii="Arial" w:cs="Arial" w:eastAsia="Arial" w:hAnsi="Arial"/>
                <w:sz w:val="14"/>
                <w:szCs w:val="14"/>
                <w:color w:val="auto"/>
              </w:rPr>
              <w:t>–</w:t>
            </w:r>
          </w:p>
        </w:tc>
        <w:tc>
          <w:tcPr>
            <w:tcW w:w="780" w:type="dxa"/>
            <w:vAlign w:val="bottom"/>
          </w:tcPr>
          <w:p>
            <w:pPr>
              <w:jc w:val="right"/>
              <w:ind w:right="149"/>
              <w:spacing w:after="0" w:line="152" w:lineRule="exact"/>
              <w:rPr>
                <w:sz w:val="20"/>
                <w:szCs w:val="20"/>
                <w:color w:val="auto"/>
              </w:rPr>
            </w:pPr>
            <w:r>
              <w:rPr>
                <w:rFonts w:ascii="Arial" w:cs="Arial" w:eastAsia="Arial" w:hAnsi="Arial"/>
                <w:sz w:val="14"/>
                <w:szCs w:val="14"/>
                <w:color w:val="auto"/>
              </w:rPr>
              <w:t>62</w:t>
            </w:r>
          </w:p>
        </w:tc>
        <w:tc>
          <w:tcPr>
            <w:tcW w:w="0" w:type="dxa"/>
            <w:vAlign w:val="bottom"/>
          </w:tcPr>
          <w:p>
            <w:pPr>
              <w:spacing w:after="0"/>
              <w:rPr>
                <w:sz w:val="1"/>
                <w:szCs w:val="1"/>
                <w:color w:val="auto"/>
              </w:rPr>
            </w:pPr>
          </w:p>
        </w:tc>
      </w:tr>
      <w:tr>
        <w:trPr>
          <w:trHeight w:val="172"/>
        </w:trPr>
        <w:tc>
          <w:tcPr>
            <w:tcW w:w="3280" w:type="dxa"/>
            <w:vAlign w:val="bottom"/>
          </w:tcPr>
          <w:p>
            <w:pPr>
              <w:ind w:left="260"/>
              <w:spacing w:after="0"/>
              <w:rPr>
                <w:sz w:val="20"/>
                <w:szCs w:val="20"/>
                <w:color w:val="auto"/>
              </w:rPr>
            </w:pPr>
            <w:r>
              <w:rPr>
                <w:rFonts w:ascii="Arial" w:cs="Arial" w:eastAsia="Arial" w:hAnsi="Arial"/>
                <w:sz w:val="14"/>
                <w:szCs w:val="14"/>
                <w:color w:val="auto"/>
              </w:rPr>
              <w:t>Ontario</w:t>
            </w:r>
          </w:p>
        </w:tc>
        <w:tc>
          <w:tcPr>
            <w:tcW w:w="2320" w:type="dxa"/>
            <w:vAlign w:val="bottom"/>
          </w:tcPr>
          <w:p>
            <w:pPr>
              <w:ind w:left="880"/>
              <w:spacing w:after="0"/>
              <w:rPr>
                <w:sz w:val="20"/>
                <w:szCs w:val="20"/>
                <w:color w:val="auto"/>
              </w:rPr>
            </w:pPr>
            <w:r>
              <w:rPr>
                <w:rFonts w:ascii="Arial" w:cs="Arial" w:eastAsia="Arial" w:hAnsi="Arial"/>
                <w:sz w:val="14"/>
                <w:szCs w:val="14"/>
                <w:color w:val="auto"/>
              </w:rPr>
              <w:t>Sarnia</w:t>
            </w:r>
          </w:p>
        </w:tc>
        <w:tc>
          <w:tcPr>
            <w:tcW w:w="1660" w:type="dxa"/>
            <w:vAlign w:val="bottom"/>
            <w:gridSpan w:val="2"/>
          </w:tcPr>
          <w:p>
            <w:pPr>
              <w:jc w:val="center"/>
              <w:ind w:left="1453"/>
              <w:spacing w:after="0"/>
              <w:rPr>
                <w:sz w:val="20"/>
                <w:szCs w:val="20"/>
                <w:color w:val="auto"/>
              </w:rPr>
            </w:pPr>
            <w:r>
              <w:rPr>
                <w:rFonts w:ascii="Arial" w:cs="Arial" w:eastAsia="Arial" w:hAnsi="Arial"/>
                <w:sz w:val="13"/>
                <w:szCs w:val="13"/>
                <w:color w:val="auto"/>
                <w:w w:val="74"/>
              </w:rPr>
              <w:t>¿</w:t>
            </w:r>
          </w:p>
        </w:tc>
        <w:tc>
          <w:tcPr>
            <w:tcW w:w="900" w:type="dxa"/>
            <w:vAlign w:val="bottom"/>
          </w:tcPr>
          <w:p>
            <w:pPr>
              <w:jc w:val="right"/>
              <w:ind w:right="149"/>
              <w:spacing w:after="0"/>
              <w:rPr>
                <w:sz w:val="20"/>
                <w:szCs w:val="20"/>
                <w:color w:val="auto"/>
              </w:rPr>
            </w:pPr>
            <w:r>
              <w:rPr>
                <w:rFonts w:ascii="Arial" w:cs="Arial" w:eastAsia="Arial" w:hAnsi="Arial"/>
                <w:sz w:val="14"/>
                <w:szCs w:val="14"/>
                <w:color w:val="auto"/>
              </w:rPr>
              <w:t>100</w:t>
            </w:r>
          </w:p>
        </w:tc>
        <w:tc>
          <w:tcPr>
            <w:tcW w:w="840" w:type="dxa"/>
            <w:vAlign w:val="bottom"/>
          </w:tcPr>
          <w:p>
            <w:pPr>
              <w:jc w:val="right"/>
              <w:ind w:right="69"/>
              <w:spacing w:after="0"/>
              <w:rPr>
                <w:sz w:val="20"/>
                <w:szCs w:val="20"/>
                <w:color w:val="auto"/>
              </w:rPr>
            </w:pPr>
            <w:r>
              <w:rPr>
                <w:rFonts w:ascii="Arial" w:cs="Arial" w:eastAsia="Arial" w:hAnsi="Arial"/>
                <w:sz w:val="14"/>
                <w:szCs w:val="14"/>
                <w:color w:val="auto"/>
              </w:rPr>
              <w:t>71</w:t>
            </w:r>
          </w:p>
        </w:tc>
        <w:tc>
          <w:tcPr>
            <w:tcW w:w="920" w:type="dxa"/>
            <w:vAlign w:val="bottom"/>
          </w:tcPr>
          <w:p>
            <w:pPr>
              <w:jc w:val="right"/>
              <w:ind w:right="49"/>
              <w:spacing w:after="0"/>
              <w:rPr>
                <w:sz w:val="20"/>
                <w:szCs w:val="20"/>
                <w:color w:val="auto"/>
              </w:rPr>
            </w:pPr>
            <w:r>
              <w:rPr>
                <w:rFonts w:ascii="Arial" w:cs="Arial" w:eastAsia="Arial" w:hAnsi="Arial"/>
                <w:sz w:val="14"/>
                <w:szCs w:val="14"/>
                <w:color w:val="auto"/>
              </w:rPr>
              <w:t>5</w:t>
            </w:r>
          </w:p>
        </w:tc>
        <w:tc>
          <w:tcPr>
            <w:tcW w:w="720" w:type="dxa"/>
            <w:vAlign w:val="bottom"/>
          </w:tcPr>
          <w:p>
            <w:pPr>
              <w:jc w:val="right"/>
              <w:ind w:right="29"/>
              <w:spacing w:after="0"/>
              <w:rPr>
                <w:sz w:val="20"/>
                <w:szCs w:val="20"/>
                <w:color w:val="auto"/>
              </w:rPr>
            </w:pPr>
            <w:r>
              <w:rPr>
                <w:rFonts w:ascii="Arial" w:cs="Arial" w:eastAsia="Arial" w:hAnsi="Arial"/>
                <w:sz w:val="14"/>
                <w:szCs w:val="14"/>
                <w:color w:val="auto"/>
              </w:rPr>
              <w:t>19</w:t>
            </w:r>
          </w:p>
        </w:tc>
        <w:tc>
          <w:tcPr>
            <w:tcW w:w="780" w:type="dxa"/>
            <w:vAlign w:val="bottom"/>
          </w:tcPr>
          <w:p>
            <w:pPr>
              <w:jc w:val="right"/>
              <w:ind w:right="149"/>
              <w:spacing w:after="0"/>
              <w:rPr>
                <w:sz w:val="20"/>
                <w:szCs w:val="20"/>
                <w:color w:val="auto"/>
              </w:rPr>
            </w:pPr>
            <w:r>
              <w:rPr>
                <w:rFonts w:ascii="Arial" w:cs="Arial" w:eastAsia="Arial" w:hAnsi="Arial"/>
                <w:sz w:val="14"/>
                <w:szCs w:val="14"/>
                <w:color w:val="auto"/>
              </w:rPr>
              <w:t>9</w:t>
            </w:r>
          </w:p>
        </w:tc>
        <w:tc>
          <w:tcPr>
            <w:tcW w:w="0" w:type="dxa"/>
            <w:vAlign w:val="bottom"/>
          </w:tcPr>
          <w:p>
            <w:pPr>
              <w:spacing w:after="0"/>
              <w:rPr>
                <w:sz w:val="1"/>
                <w:szCs w:val="1"/>
                <w:color w:val="auto"/>
              </w:rPr>
            </w:pPr>
          </w:p>
        </w:tc>
      </w:tr>
      <w:tr>
        <w:trPr>
          <w:trHeight w:val="162"/>
        </w:trPr>
        <w:tc>
          <w:tcPr>
            <w:tcW w:w="3280" w:type="dxa"/>
            <w:vAlign w:val="bottom"/>
          </w:tcPr>
          <w:p>
            <w:pPr>
              <w:ind w:left="140"/>
              <w:spacing w:after="0"/>
              <w:rPr>
                <w:sz w:val="20"/>
                <w:szCs w:val="20"/>
                <w:color w:val="auto"/>
              </w:rPr>
            </w:pPr>
            <w:r>
              <w:rPr>
                <w:rFonts w:ascii="Arial" w:cs="Arial" w:eastAsia="Arial" w:hAnsi="Arial"/>
                <w:sz w:val="14"/>
                <w:szCs w:val="14"/>
                <w:color w:val="auto"/>
              </w:rPr>
              <w:t>USA</w:t>
            </w:r>
          </w:p>
        </w:tc>
        <w:tc>
          <w:tcPr>
            <w:tcW w:w="2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0" w:type="dxa"/>
            <w:vAlign w:val="bottom"/>
            <w:vMerge w:val="restart"/>
          </w:tcPr>
          <w:p>
            <w:pPr>
              <w:jc w:val="center"/>
              <w:ind w:left="1134"/>
              <w:spacing w:after="0"/>
              <w:rPr>
                <w:sz w:val="20"/>
                <w:szCs w:val="20"/>
                <w:color w:val="auto"/>
              </w:rPr>
            </w:pPr>
            <w:r>
              <w:rPr>
                <w:rFonts w:ascii="Arial" w:cs="Arial" w:eastAsia="Arial" w:hAnsi="Arial"/>
                <w:sz w:val="14"/>
                <w:szCs w:val="14"/>
                <w:color w:val="auto"/>
              </w:rPr>
              <w:t>l</w:t>
            </w:r>
          </w:p>
        </w:tc>
        <w:tc>
          <w:tcPr>
            <w:tcW w:w="9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2"/>
        </w:trPr>
        <w:tc>
          <w:tcPr>
            <w:tcW w:w="3280" w:type="dxa"/>
            <w:vAlign w:val="bottom"/>
          </w:tcPr>
          <w:p>
            <w:pPr>
              <w:ind w:left="260"/>
              <w:spacing w:after="0" w:line="152" w:lineRule="exact"/>
              <w:rPr>
                <w:sz w:val="20"/>
                <w:szCs w:val="20"/>
                <w:color w:val="auto"/>
              </w:rPr>
            </w:pPr>
            <w:r>
              <w:rPr>
                <w:rFonts w:ascii="Arial" w:cs="Arial" w:eastAsia="Arial" w:hAnsi="Arial"/>
                <w:sz w:val="14"/>
                <w:szCs w:val="14"/>
                <w:color w:val="auto"/>
              </w:rPr>
              <w:t>California</w:t>
            </w:r>
          </w:p>
        </w:tc>
        <w:tc>
          <w:tcPr>
            <w:tcW w:w="2320" w:type="dxa"/>
            <w:vAlign w:val="bottom"/>
          </w:tcPr>
          <w:p>
            <w:pPr>
              <w:ind w:left="880"/>
              <w:spacing w:after="0" w:line="152" w:lineRule="exact"/>
              <w:rPr>
                <w:sz w:val="20"/>
                <w:szCs w:val="20"/>
                <w:color w:val="auto"/>
              </w:rPr>
            </w:pPr>
            <w:r>
              <w:rPr>
                <w:rFonts w:ascii="Arial" w:cs="Arial" w:eastAsia="Arial" w:hAnsi="Arial"/>
                <w:sz w:val="14"/>
                <w:szCs w:val="14"/>
                <w:color w:val="auto"/>
              </w:rPr>
              <w:t>Martinez</w:t>
            </w:r>
          </w:p>
        </w:tc>
        <w:tc>
          <w:tcPr>
            <w:tcW w:w="260" w:type="dxa"/>
            <w:vAlign w:val="bottom"/>
          </w:tcPr>
          <w:p>
            <w:pPr>
              <w:spacing w:after="0"/>
              <w:rPr>
                <w:sz w:val="13"/>
                <w:szCs w:val="13"/>
                <w:color w:val="auto"/>
              </w:rPr>
            </w:pPr>
          </w:p>
        </w:tc>
        <w:tc>
          <w:tcPr>
            <w:tcW w:w="1400" w:type="dxa"/>
            <w:vAlign w:val="bottom"/>
            <w:vMerge w:val="continue"/>
          </w:tcPr>
          <w:p>
            <w:pPr>
              <w:spacing w:after="0"/>
              <w:rPr>
                <w:sz w:val="13"/>
                <w:szCs w:val="13"/>
                <w:color w:val="auto"/>
              </w:rPr>
            </w:pPr>
          </w:p>
        </w:tc>
        <w:tc>
          <w:tcPr>
            <w:tcW w:w="900" w:type="dxa"/>
            <w:vAlign w:val="bottom"/>
          </w:tcPr>
          <w:p>
            <w:pPr>
              <w:jc w:val="right"/>
              <w:ind w:right="149"/>
              <w:spacing w:after="0" w:line="152" w:lineRule="exact"/>
              <w:rPr>
                <w:sz w:val="20"/>
                <w:szCs w:val="20"/>
                <w:color w:val="auto"/>
              </w:rPr>
            </w:pPr>
            <w:r>
              <w:rPr>
                <w:rFonts w:ascii="Arial" w:cs="Arial" w:eastAsia="Arial" w:hAnsi="Arial"/>
                <w:sz w:val="14"/>
                <w:szCs w:val="14"/>
                <w:color w:val="auto"/>
              </w:rPr>
              <w:t>100</w:t>
            </w:r>
          </w:p>
        </w:tc>
        <w:tc>
          <w:tcPr>
            <w:tcW w:w="840" w:type="dxa"/>
            <w:vAlign w:val="bottom"/>
          </w:tcPr>
          <w:p>
            <w:pPr>
              <w:jc w:val="right"/>
              <w:ind w:right="69"/>
              <w:spacing w:after="0" w:line="152" w:lineRule="exact"/>
              <w:rPr>
                <w:sz w:val="20"/>
                <w:szCs w:val="20"/>
                <w:color w:val="auto"/>
              </w:rPr>
            </w:pPr>
            <w:r>
              <w:rPr>
                <w:rFonts w:ascii="Arial" w:cs="Arial" w:eastAsia="Arial" w:hAnsi="Arial"/>
                <w:sz w:val="14"/>
                <w:szCs w:val="14"/>
                <w:color w:val="auto"/>
              </w:rPr>
              <w:t>144</w:t>
            </w:r>
          </w:p>
        </w:tc>
        <w:tc>
          <w:tcPr>
            <w:tcW w:w="920" w:type="dxa"/>
            <w:vAlign w:val="bottom"/>
          </w:tcPr>
          <w:p>
            <w:pPr>
              <w:jc w:val="right"/>
              <w:ind w:right="49"/>
              <w:spacing w:after="0" w:line="152" w:lineRule="exact"/>
              <w:rPr>
                <w:sz w:val="20"/>
                <w:szCs w:val="20"/>
                <w:color w:val="auto"/>
              </w:rPr>
            </w:pPr>
            <w:r>
              <w:rPr>
                <w:rFonts w:ascii="Arial" w:cs="Arial" w:eastAsia="Arial" w:hAnsi="Arial"/>
                <w:sz w:val="14"/>
                <w:szCs w:val="14"/>
                <w:color w:val="auto"/>
              </w:rPr>
              <w:t>42</w:t>
            </w:r>
          </w:p>
        </w:tc>
        <w:tc>
          <w:tcPr>
            <w:tcW w:w="720" w:type="dxa"/>
            <w:vAlign w:val="bottom"/>
          </w:tcPr>
          <w:p>
            <w:pPr>
              <w:jc w:val="right"/>
              <w:ind w:right="29"/>
              <w:spacing w:after="0" w:line="152" w:lineRule="exact"/>
              <w:rPr>
                <w:sz w:val="20"/>
                <w:szCs w:val="20"/>
                <w:color w:val="auto"/>
              </w:rPr>
            </w:pPr>
            <w:r>
              <w:rPr>
                <w:rFonts w:ascii="Arial" w:cs="Arial" w:eastAsia="Arial" w:hAnsi="Arial"/>
                <w:sz w:val="14"/>
                <w:szCs w:val="14"/>
                <w:color w:val="auto"/>
              </w:rPr>
              <w:t>65</w:t>
            </w:r>
          </w:p>
        </w:tc>
        <w:tc>
          <w:tcPr>
            <w:tcW w:w="780" w:type="dxa"/>
            <w:vAlign w:val="bottom"/>
          </w:tcPr>
          <w:p>
            <w:pPr>
              <w:jc w:val="right"/>
              <w:ind w:right="149"/>
              <w:spacing w:after="0" w:line="152" w:lineRule="exact"/>
              <w:rPr>
                <w:sz w:val="20"/>
                <w:szCs w:val="20"/>
                <w:color w:val="auto"/>
              </w:rPr>
            </w:pPr>
            <w:r>
              <w:rPr>
                <w:rFonts w:ascii="Arial" w:cs="Arial" w:eastAsia="Arial" w:hAnsi="Arial"/>
                <w:sz w:val="14"/>
                <w:szCs w:val="14"/>
                <w:color w:val="auto"/>
              </w:rPr>
              <w:t>37</w:t>
            </w:r>
          </w:p>
        </w:tc>
        <w:tc>
          <w:tcPr>
            <w:tcW w:w="0" w:type="dxa"/>
            <w:vAlign w:val="bottom"/>
          </w:tcPr>
          <w:p>
            <w:pPr>
              <w:spacing w:after="0"/>
              <w:rPr>
                <w:sz w:val="1"/>
                <w:szCs w:val="1"/>
                <w:color w:val="auto"/>
              </w:rPr>
            </w:pPr>
          </w:p>
        </w:tc>
      </w:tr>
      <w:tr>
        <w:trPr>
          <w:trHeight w:val="172"/>
        </w:trPr>
        <w:tc>
          <w:tcPr>
            <w:tcW w:w="3280" w:type="dxa"/>
            <w:vAlign w:val="bottom"/>
          </w:tcPr>
          <w:p>
            <w:pPr>
              <w:ind w:left="260"/>
              <w:spacing w:after="0"/>
              <w:rPr>
                <w:sz w:val="20"/>
                <w:szCs w:val="20"/>
                <w:color w:val="auto"/>
              </w:rPr>
            </w:pPr>
            <w:r>
              <w:rPr>
                <w:rFonts w:ascii="Arial" w:cs="Arial" w:eastAsia="Arial" w:hAnsi="Arial"/>
                <w:sz w:val="14"/>
                <w:szCs w:val="14"/>
                <w:color w:val="auto"/>
              </w:rPr>
              <w:t>Louisiana</w:t>
            </w:r>
          </w:p>
        </w:tc>
        <w:tc>
          <w:tcPr>
            <w:tcW w:w="2320" w:type="dxa"/>
            <w:vAlign w:val="bottom"/>
          </w:tcPr>
          <w:p>
            <w:pPr>
              <w:ind w:left="880"/>
              <w:spacing w:after="0"/>
              <w:rPr>
                <w:sz w:val="20"/>
                <w:szCs w:val="20"/>
                <w:color w:val="auto"/>
              </w:rPr>
            </w:pPr>
            <w:r>
              <w:rPr>
                <w:rFonts w:ascii="Arial" w:cs="Arial" w:eastAsia="Arial" w:hAnsi="Arial"/>
                <w:sz w:val="14"/>
                <w:szCs w:val="14"/>
                <w:color w:val="auto"/>
              </w:rPr>
              <w:t>Convent [C]</w:t>
            </w:r>
          </w:p>
        </w:tc>
        <w:tc>
          <w:tcPr>
            <w:tcW w:w="1660" w:type="dxa"/>
            <w:vAlign w:val="bottom"/>
            <w:gridSpan w:val="2"/>
          </w:tcPr>
          <w:p>
            <w:pPr>
              <w:jc w:val="center"/>
              <w:ind w:left="1453"/>
              <w:spacing w:after="0"/>
              <w:rPr>
                <w:sz w:val="20"/>
                <w:szCs w:val="20"/>
                <w:color w:val="auto"/>
              </w:rPr>
            </w:pPr>
            <w:r>
              <w:rPr>
                <w:rFonts w:ascii="Arial" w:cs="Arial" w:eastAsia="Arial" w:hAnsi="Arial"/>
                <w:sz w:val="13"/>
                <w:szCs w:val="13"/>
                <w:color w:val="auto"/>
                <w:w w:val="74"/>
              </w:rPr>
              <w:t>¿</w:t>
            </w:r>
          </w:p>
        </w:tc>
        <w:tc>
          <w:tcPr>
            <w:tcW w:w="900" w:type="dxa"/>
            <w:vAlign w:val="bottom"/>
          </w:tcPr>
          <w:p>
            <w:pPr>
              <w:jc w:val="right"/>
              <w:ind w:right="149"/>
              <w:spacing w:after="0"/>
              <w:rPr>
                <w:sz w:val="20"/>
                <w:szCs w:val="20"/>
                <w:color w:val="auto"/>
              </w:rPr>
            </w:pPr>
            <w:r>
              <w:rPr>
                <w:rFonts w:ascii="Arial" w:cs="Arial" w:eastAsia="Arial" w:hAnsi="Arial"/>
                <w:sz w:val="14"/>
                <w:szCs w:val="14"/>
                <w:color w:val="auto"/>
              </w:rPr>
              <w:t>50</w:t>
            </w:r>
          </w:p>
        </w:tc>
        <w:tc>
          <w:tcPr>
            <w:tcW w:w="840" w:type="dxa"/>
            <w:vAlign w:val="bottom"/>
          </w:tcPr>
          <w:p>
            <w:pPr>
              <w:jc w:val="right"/>
              <w:ind w:right="69"/>
              <w:spacing w:after="0"/>
              <w:rPr>
                <w:sz w:val="20"/>
                <w:szCs w:val="20"/>
                <w:color w:val="auto"/>
              </w:rPr>
            </w:pPr>
            <w:r>
              <w:rPr>
                <w:rFonts w:ascii="Arial" w:cs="Arial" w:eastAsia="Arial" w:hAnsi="Arial"/>
                <w:sz w:val="14"/>
                <w:szCs w:val="14"/>
                <w:color w:val="auto"/>
              </w:rPr>
              <w:t>227</w:t>
            </w:r>
          </w:p>
        </w:tc>
        <w:tc>
          <w:tcPr>
            <w:tcW w:w="92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29"/>
              <w:spacing w:after="0"/>
              <w:rPr>
                <w:sz w:val="20"/>
                <w:szCs w:val="20"/>
                <w:color w:val="auto"/>
              </w:rPr>
            </w:pPr>
            <w:r>
              <w:rPr>
                <w:rFonts w:ascii="Arial" w:cs="Arial" w:eastAsia="Arial" w:hAnsi="Arial"/>
                <w:sz w:val="14"/>
                <w:szCs w:val="14"/>
                <w:color w:val="auto"/>
              </w:rPr>
              <w:t>82</w:t>
            </w:r>
          </w:p>
        </w:tc>
        <w:tc>
          <w:tcPr>
            <w:tcW w:w="780" w:type="dxa"/>
            <w:vAlign w:val="bottom"/>
          </w:tcPr>
          <w:p>
            <w:pPr>
              <w:jc w:val="right"/>
              <w:ind w:right="149"/>
              <w:spacing w:after="0"/>
              <w:rPr>
                <w:sz w:val="20"/>
                <w:szCs w:val="20"/>
                <w:color w:val="auto"/>
              </w:rPr>
            </w:pPr>
            <w:r>
              <w:rPr>
                <w:rFonts w:ascii="Arial" w:cs="Arial" w:eastAsia="Arial" w:hAnsi="Arial"/>
                <w:sz w:val="14"/>
                <w:szCs w:val="14"/>
                <w:color w:val="auto"/>
              </w:rPr>
              <w:t>45</w:t>
            </w:r>
          </w:p>
        </w:tc>
        <w:tc>
          <w:tcPr>
            <w:tcW w:w="0" w:type="dxa"/>
            <w:vAlign w:val="bottom"/>
          </w:tcPr>
          <w:p>
            <w:pPr>
              <w:spacing w:after="0"/>
              <w:rPr>
                <w:sz w:val="1"/>
                <w:szCs w:val="1"/>
                <w:color w:val="auto"/>
              </w:rPr>
            </w:pPr>
          </w:p>
        </w:tc>
      </w:tr>
      <w:tr>
        <w:trPr>
          <w:trHeight w:val="152"/>
        </w:trPr>
        <w:tc>
          <w:tcPr>
            <w:tcW w:w="3280" w:type="dxa"/>
            <w:vAlign w:val="bottom"/>
          </w:tcPr>
          <w:p>
            <w:pPr>
              <w:spacing w:after="0"/>
              <w:rPr>
                <w:sz w:val="13"/>
                <w:szCs w:val="13"/>
                <w:color w:val="auto"/>
              </w:rPr>
            </w:pPr>
          </w:p>
        </w:tc>
        <w:tc>
          <w:tcPr>
            <w:tcW w:w="2320" w:type="dxa"/>
            <w:vAlign w:val="bottom"/>
          </w:tcPr>
          <w:p>
            <w:pPr>
              <w:ind w:left="880"/>
              <w:spacing w:after="0" w:line="152" w:lineRule="exact"/>
              <w:rPr>
                <w:sz w:val="20"/>
                <w:szCs w:val="20"/>
                <w:color w:val="auto"/>
              </w:rPr>
            </w:pPr>
            <w:r>
              <w:rPr>
                <w:rFonts w:ascii="Arial" w:cs="Arial" w:eastAsia="Arial" w:hAnsi="Arial"/>
                <w:sz w:val="14"/>
                <w:szCs w:val="14"/>
                <w:color w:val="auto"/>
              </w:rPr>
              <w:t>Norco [C]</w:t>
            </w:r>
          </w:p>
        </w:tc>
        <w:tc>
          <w:tcPr>
            <w:tcW w:w="260" w:type="dxa"/>
            <w:vAlign w:val="bottom"/>
          </w:tcPr>
          <w:p>
            <w:pPr>
              <w:spacing w:after="0"/>
              <w:rPr>
                <w:sz w:val="13"/>
                <w:szCs w:val="13"/>
                <w:color w:val="auto"/>
              </w:rPr>
            </w:pPr>
          </w:p>
        </w:tc>
        <w:tc>
          <w:tcPr>
            <w:tcW w:w="1400" w:type="dxa"/>
            <w:vAlign w:val="bottom"/>
          </w:tcPr>
          <w:p>
            <w:pPr>
              <w:jc w:val="right"/>
              <w:ind w:right="14"/>
              <w:spacing w:after="0"/>
              <w:rPr>
                <w:sz w:val="20"/>
                <w:szCs w:val="20"/>
                <w:color w:val="auto"/>
              </w:rPr>
            </w:pPr>
            <w:r>
              <w:rPr>
                <w:rFonts w:ascii="Arial" w:cs="Arial" w:eastAsia="Arial" w:hAnsi="Arial"/>
                <w:sz w:val="12"/>
                <w:szCs w:val="12"/>
                <w:color w:val="auto"/>
              </w:rPr>
              <w:t>n</w:t>
            </w:r>
          </w:p>
        </w:tc>
        <w:tc>
          <w:tcPr>
            <w:tcW w:w="900" w:type="dxa"/>
            <w:vAlign w:val="bottom"/>
          </w:tcPr>
          <w:p>
            <w:pPr>
              <w:jc w:val="right"/>
              <w:ind w:right="149"/>
              <w:spacing w:after="0" w:line="152" w:lineRule="exact"/>
              <w:rPr>
                <w:sz w:val="20"/>
                <w:szCs w:val="20"/>
                <w:color w:val="auto"/>
              </w:rPr>
            </w:pPr>
            <w:r>
              <w:rPr>
                <w:rFonts w:ascii="Arial" w:cs="Arial" w:eastAsia="Arial" w:hAnsi="Arial"/>
                <w:sz w:val="14"/>
                <w:szCs w:val="14"/>
                <w:color w:val="auto"/>
              </w:rPr>
              <w:t>50</w:t>
            </w:r>
          </w:p>
        </w:tc>
        <w:tc>
          <w:tcPr>
            <w:tcW w:w="840" w:type="dxa"/>
            <w:vAlign w:val="bottom"/>
          </w:tcPr>
          <w:p>
            <w:pPr>
              <w:jc w:val="right"/>
              <w:ind w:right="69"/>
              <w:spacing w:after="0" w:line="152" w:lineRule="exact"/>
              <w:rPr>
                <w:sz w:val="20"/>
                <w:szCs w:val="20"/>
                <w:color w:val="auto"/>
              </w:rPr>
            </w:pPr>
            <w:r>
              <w:rPr>
                <w:rFonts w:ascii="Arial" w:cs="Arial" w:eastAsia="Arial" w:hAnsi="Arial"/>
                <w:sz w:val="14"/>
                <w:szCs w:val="14"/>
                <w:color w:val="auto"/>
              </w:rPr>
              <w:t>229</w:t>
            </w:r>
          </w:p>
        </w:tc>
        <w:tc>
          <w:tcPr>
            <w:tcW w:w="920" w:type="dxa"/>
            <w:vAlign w:val="bottom"/>
          </w:tcPr>
          <w:p>
            <w:pPr>
              <w:jc w:val="right"/>
              <w:ind w:right="49"/>
              <w:spacing w:after="0" w:line="152" w:lineRule="exact"/>
              <w:rPr>
                <w:sz w:val="20"/>
                <w:szCs w:val="20"/>
                <w:color w:val="auto"/>
              </w:rPr>
            </w:pPr>
            <w:r>
              <w:rPr>
                <w:rFonts w:ascii="Arial" w:cs="Arial" w:eastAsia="Arial" w:hAnsi="Arial"/>
                <w:sz w:val="14"/>
                <w:szCs w:val="14"/>
                <w:color w:val="auto"/>
              </w:rPr>
              <w:t>25</w:t>
            </w:r>
          </w:p>
        </w:tc>
        <w:tc>
          <w:tcPr>
            <w:tcW w:w="720" w:type="dxa"/>
            <w:vAlign w:val="bottom"/>
          </w:tcPr>
          <w:p>
            <w:pPr>
              <w:jc w:val="right"/>
              <w:ind w:right="29"/>
              <w:spacing w:after="0" w:line="152" w:lineRule="exact"/>
              <w:rPr>
                <w:sz w:val="20"/>
                <w:szCs w:val="20"/>
                <w:color w:val="auto"/>
              </w:rPr>
            </w:pPr>
            <w:r>
              <w:rPr>
                <w:rFonts w:ascii="Arial" w:cs="Arial" w:eastAsia="Arial" w:hAnsi="Arial"/>
                <w:sz w:val="14"/>
                <w:szCs w:val="14"/>
                <w:color w:val="auto"/>
              </w:rPr>
              <w:t>107</w:t>
            </w:r>
          </w:p>
        </w:tc>
        <w:tc>
          <w:tcPr>
            <w:tcW w:w="780" w:type="dxa"/>
            <w:vAlign w:val="bottom"/>
          </w:tcPr>
          <w:p>
            <w:pPr>
              <w:jc w:val="right"/>
              <w:ind w:right="149"/>
              <w:spacing w:after="0" w:line="152" w:lineRule="exact"/>
              <w:rPr>
                <w:sz w:val="20"/>
                <w:szCs w:val="20"/>
                <w:color w:val="auto"/>
              </w:rPr>
            </w:pPr>
            <w:r>
              <w:rPr>
                <w:rFonts w:ascii="Arial" w:cs="Arial" w:eastAsia="Arial" w:hAnsi="Arial"/>
                <w:sz w:val="14"/>
                <w:szCs w:val="14"/>
                <w:color w:val="auto"/>
              </w:rPr>
              <w:t>39</w:t>
            </w:r>
          </w:p>
        </w:tc>
        <w:tc>
          <w:tcPr>
            <w:tcW w:w="0" w:type="dxa"/>
            <w:vAlign w:val="bottom"/>
          </w:tcPr>
          <w:p>
            <w:pPr>
              <w:spacing w:after="0"/>
              <w:rPr>
                <w:sz w:val="1"/>
                <w:szCs w:val="1"/>
                <w:color w:val="auto"/>
              </w:rPr>
            </w:pPr>
          </w:p>
        </w:tc>
      </w:tr>
      <w:tr>
        <w:trPr>
          <w:trHeight w:val="162"/>
        </w:trPr>
        <w:tc>
          <w:tcPr>
            <w:tcW w:w="3280" w:type="dxa"/>
            <w:vAlign w:val="bottom"/>
          </w:tcPr>
          <w:p>
            <w:pPr>
              <w:ind w:left="260"/>
              <w:spacing w:after="0"/>
              <w:rPr>
                <w:sz w:val="20"/>
                <w:szCs w:val="20"/>
                <w:color w:val="auto"/>
              </w:rPr>
            </w:pPr>
            <w:r>
              <w:rPr>
                <w:rFonts w:ascii="Arial" w:cs="Arial" w:eastAsia="Arial" w:hAnsi="Arial"/>
                <w:sz w:val="14"/>
                <w:szCs w:val="14"/>
                <w:color w:val="auto"/>
              </w:rPr>
              <w:t>Texas</w:t>
            </w:r>
          </w:p>
        </w:tc>
        <w:tc>
          <w:tcPr>
            <w:tcW w:w="2320" w:type="dxa"/>
            <w:vAlign w:val="bottom"/>
          </w:tcPr>
          <w:p>
            <w:pPr>
              <w:ind w:left="880"/>
              <w:spacing w:after="0"/>
              <w:rPr>
                <w:sz w:val="20"/>
                <w:szCs w:val="20"/>
                <w:color w:val="auto"/>
              </w:rPr>
            </w:pPr>
            <w:r>
              <w:rPr>
                <w:rFonts w:ascii="Arial" w:cs="Arial" w:eastAsia="Arial" w:hAnsi="Arial"/>
                <w:sz w:val="14"/>
                <w:szCs w:val="14"/>
                <w:color w:val="auto"/>
              </w:rPr>
              <w:t>Deer Park</w:t>
            </w:r>
          </w:p>
        </w:tc>
        <w:tc>
          <w:tcPr>
            <w:tcW w:w="260" w:type="dxa"/>
            <w:vAlign w:val="bottom"/>
          </w:tcPr>
          <w:p>
            <w:pPr>
              <w:spacing w:after="0"/>
              <w:rPr>
                <w:sz w:val="14"/>
                <w:szCs w:val="14"/>
                <w:color w:val="auto"/>
              </w:rPr>
            </w:pPr>
          </w:p>
        </w:tc>
        <w:tc>
          <w:tcPr>
            <w:tcW w:w="1400" w:type="dxa"/>
            <w:vAlign w:val="bottom"/>
          </w:tcPr>
          <w:p>
            <w:pPr>
              <w:jc w:val="right"/>
              <w:ind w:right="14"/>
              <w:spacing w:after="0"/>
              <w:rPr>
                <w:sz w:val="20"/>
                <w:szCs w:val="20"/>
                <w:color w:val="auto"/>
              </w:rPr>
            </w:pPr>
            <w:r>
              <w:rPr>
                <w:rFonts w:ascii="Arial" w:cs="Arial" w:eastAsia="Arial" w:hAnsi="Arial"/>
                <w:sz w:val="12"/>
                <w:szCs w:val="12"/>
                <w:color w:val="auto"/>
              </w:rPr>
              <w:t xml:space="preserve">n </w:t>
            </w:r>
            <w:r>
              <w:rPr>
                <w:rFonts w:ascii="Arial" w:cs="Arial" w:eastAsia="Arial" w:hAnsi="Arial"/>
                <w:sz w:val="14"/>
                <w:szCs w:val="14"/>
                <w:color w:val="auto"/>
              </w:rPr>
              <w:t>l</w:t>
            </w:r>
          </w:p>
        </w:tc>
        <w:tc>
          <w:tcPr>
            <w:tcW w:w="900" w:type="dxa"/>
            <w:vAlign w:val="bottom"/>
          </w:tcPr>
          <w:p>
            <w:pPr>
              <w:jc w:val="right"/>
              <w:ind w:right="149"/>
              <w:spacing w:after="0"/>
              <w:rPr>
                <w:sz w:val="20"/>
                <w:szCs w:val="20"/>
                <w:color w:val="auto"/>
              </w:rPr>
            </w:pPr>
            <w:r>
              <w:rPr>
                <w:rFonts w:ascii="Arial" w:cs="Arial" w:eastAsia="Arial" w:hAnsi="Arial"/>
                <w:sz w:val="14"/>
                <w:szCs w:val="14"/>
                <w:color w:val="auto"/>
              </w:rPr>
              <w:t>50</w:t>
            </w:r>
          </w:p>
        </w:tc>
        <w:tc>
          <w:tcPr>
            <w:tcW w:w="840" w:type="dxa"/>
            <w:vAlign w:val="bottom"/>
          </w:tcPr>
          <w:p>
            <w:pPr>
              <w:jc w:val="right"/>
              <w:ind w:right="69"/>
              <w:spacing w:after="0"/>
              <w:rPr>
                <w:sz w:val="20"/>
                <w:szCs w:val="20"/>
                <w:color w:val="auto"/>
              </w:rPr>
            </w:pPr>
            <w:r>
              <w:rPr>
                <w:rFonts w:ascii="Arial" w:cs="Arial" w:eastAsia="Arial" w:hAnsi="Arial"/>
                <w:sz w:val="14"/>
                <w:szCs w:val="14"/>
                <w:color w:val="auto"/>
              </w:rPr>
              <w:t>312</w:t>
            </w:r>
          </w:p>
        </w:tc>
        <w:tc>
          <w:tcPr>
            <w:tcW w:w="920" w:type="dxa"/>
            <w:vAlign w:val="bottom"/>
          </w:tcPr>
          <w:p>
            <w:pPr>
              <w:jc w:val="right"/>
              <w:ind w:right="49"/>
              <w:spacing w:after="0"/>
              <w:rPr>
                <w:sz w:val="20"/>
                <w:szCs w:val="20"/>
                <w:color w:val="auto"/>
              </w:rPr>
            </w:pPr>
            <w:r>
              <w:rPr>
                <w:rFonts w:ascii="Arial" w:cs="Arial" w:eastAsia="Arial" w:hAnsi="Arial"/>
                <w:sz w:val="14"/>
                <w:szCs w:val="14"/>
                <w:color w:val="auto"/>
              </w:rPr>
              <w:t>79</w:t>
            </w:r>
          </w:p>
        </w:tc>
        <w:tc>
          <w:tcPr>
            <w:tcW w:w="720" w:type="dxa"/>
            <w:vAlign w:val="bottom"/>
          </w:tcPr>
          <w:p>
            <w:pPr>
              <w:jc w:val="right"/>
              <w:ind w:right="29"/>
              <w:spacing w:after="0"/>
              <w:rPr>
                <w:sz w:val="20"/>
                <w:szCs w:val="20"/>
                <w:color w:val="auto"/>
              </w:rPr>
            </w:pPr>
            <w:r>
              <w:rPr>
                <w:rFonts w:ascii="Arial" w:cs="Arial" w:eastAsia="Arial" w:hAnsi="Arial"/>
                <w:sz w:val="14"/>
                <w:szCs w:val="14"/>
                <w:color w:val="auto"/>
              </w:rPr>
              <w:t>63</w:t>
            </w:r>
          </w:p>
        </w:tc>
        <w:tc>
          <w:tcPr>
            <w:tcW w:w="780" w:type="dxa"/>
            <w:vAlign w:val="bottom"/>
          </w:tcPr>
          <w:p>
            <w:pPr>
              <w:jc w:val="right"/>
              <w:ind w:right="149"/>
              <w:spacing w:after="0"/>
              <w:rPr>
                <w:sz w:val="20"/>
                <w:szCs w:val="20"/>
                <w:color w:val="auto"/>
              </w:rPr>
            </w:pPr>
            <w:r>
              <w:rPr>
                <w:rFonts w:ascii="Arial" w:cs="Arial" w:eastAsia="Arial" w:hAnsi="Arial"/>
                <w:sz w:val="14"/>
                <w:szCs w:val="14"/>
                <w:color w:val="auto"/>
              </w:rPr>
              <w:t>53</w:t>
            </w:r>
          </w:p>
        </w:tc>
        <w:tc>
          <w:tcPr>
            <w:tcW w:w="0" w:type="dxa"/>
            <w:vAlign w:val="bottom"/>
          </w:tcPr>
          <w:p>
            <w:pPr>
              <w:spacing w:after="0"/>
              <w:rPr>
                <w:sz w:val="1"/>
                <w:szCs w:val="1"/>
                <w:color w:val="auto"/>
              </w:rPr>
            </w:pPr>
          </w:p>
        </w:tc>
      </w:tr>
      <w:tr>
        <w:trPr>
          <w:trHeight w:val="162"/>
        </w:trPr>
        <w:tc>
          <w:tcPr>
            <w:tcW w:w="3280" w:type="dxa"/>
            <w:vAlign w:val="bottom"/>
          </w:tcPr>
          <w:p>
            <w:pPr>
              <w:spacing w:after="0"/>
              <w:rPr>
                <w:sz w:val="14"/>
                <w:szCs w:val="14"/>
                <w:color w:val="auto"/>
              </w:rPr>
            </w:pPr>
          </w:p>
        </w:tc>
        <w:tc>
          <w:tcPr>
            <w:tcW w:w="2320" w:type="dxa"/>
            <w:vAlign w:val="bottom"/>
          </w:tcPr>
          <w:p>
            <w:pPr>
              <w:ind w:left="880"/>
              <w:spacing w:after="0"/>
              <w:rPr>
                <w:sz w:val="20"/>
                <w:szCs w:val="20"/>
                <w:color w:val="auto"/>
              </w:rPr>
            </w:pPr>
            <w:r>
              <w:rPr>
                <w:rFonts w:ascii="Arial" w:cs="Arial" w:eastAsia="Arial" w:hAnsi="Arial"/>
                <w:sz w:val="14"/>
                <w:szCs w:val="14"/>
                <w:color w:val="auto"/>
              </w:rPr>
              <w:t>Port Arthur [C]</w:t>
            </w:r>
          </w:p>
        </w:tc>
        <w:tc>
          <w:tcPr>
            <w:tcW w:w="260" w:type="dxa"/>
            <w:vAlign w:val="bottom"/>
          </w:tcPr>
          <w:p>
            <w:pPr>
              <w:spacing w:after="0"/>
              <w:rPr>
                <w:sz w:val="14"/>
                <w:szCs w:val="14"/>
                <w:color w:val="auto"/>
              </w:rPr>
            </w:pPr>
          </w:p>
        </w:tc>
        <w:tc>
          <w:tcPr>
            <w:tcW w:w="1400" w:type="dxa"/>
            <w:vAlign w:val="bottom"/>
          </w:tcPr>
          <w:p>
            <w:pPr>
              <w:jc w:val="center"/>
              <w:ind w:left="1134"/>
              <w:spacing w:after="0"/>
              <w:rPr>
                <w:sz w:val="20"/>
                <w:szCs w:val="20"/>
                <w:color w:val="auto"/>
              </w:rPr>
            </w:pPr>
            <w:r>
              <w:rPr>
                <w:rFonts w:ascii="Arial" w:cs="Arial" w:eastAsia="Arial" w:hAnsi="Arial"/>
                <w:sz w:val="14"/>
                <w:szCs w:val="14"/>
                <w:color w:val="auto"/>
              </w:rPr>
              <w:t>l</w:t>
            </w:r>
          </w:p>
        </w:tc>
        <w:tc>
          <w:tcPr>
            <w:tcW w:w="900" w:type="dxa"/>
            <w:vAlign w:val="bottom"/>
          </w:tcPr>
          <w:p>
            <w:pPr>
              <w:jc w:val="right"/>
              <w:ind w:right="149"/>
              <w:spacing w:after="0"/>
              <w:rPr>
                <w:sz w:val="20"/>
                <w:szCs w:val="20"/>
                <w:color w:val="auto"/>
              </w:rPr>
            </w:pPr>
            <w:r>
              <w:rPr>
                <w:rFonts w:ascii="Arial" w:cs="Arial" w:eastAsia="Arial" w:hAnsi="Arial"/>
                <w:sz w:val="14"/>
                <w:szCs w:val="14"/>
                <w:color w:val="auto"/>
              </w:rPr>
              <w:t>50</w:t>
            </w:r>
          </w:p>
        </w:tc>
        <w:tc>
          <w:tcPr>
            <w:tcW w:w="840" w:type="dxa"/>
            <w:vAlign w:val="bottom"/>
          </w:tcPr>
          <w:p>
            <w:pPr>
              <w:jc w:val="right"/>
              <w:ind w:right="69"/>
              <w:spacing w:after="0"/>
              <w:rPr>
                <w:sz w:val="20"/>
                <w:szCs w:val="20"/>
                <w:color w:val="auto"/>
              </w:rPr>
            </w:pPr>
            <w:r>
              <w:rPr>
                <w:rFonts w:ascii="Arial" w:cs="Arial" w:eastAsia="Arial" w:hAnsi="Arial"/>
                <w:sz w:val="14"/>
                <w:szCs w:val="14"/>
                <w:color w:val="auto"/>
              </w:rPr>
              <w:t>569</w:t>
            </w:r>
          </w:p>
        </w:tc>
        <w:tc>
          <w:tcPr>
            <w:tcW w:w="920" w:type="dxa"/>
            <w:vAlign w:val="bottom"/>
          </w:tcPr>
          <w:p>
            <w:pPr>
              <w:jc w:val="right"/>
              <w:ind w:right="49"/>
              <w:spacing w:after="0"/>
              <w:rPr>
                <w:sz w:val="20"/>
                <w:szCs w:val="20"/>
                <w:color w:val="auto"/>
              </w:rPr>
            </w:pPr>
            <w:r>
              <w:rPr>
                <w:rFonts w:ascii="Arial" w:cs="Arial" w:eastAsia="Arial" w:hAnsi="Arial"/>
                <w:sz w:val="14"/>
                <w:szCs w:val="14"/>
                <w:color w:val="auto"/>
              </w:rPr>
              <w:t>138</w:t>
            </w:r>
          </w:p>
        </w:tc>
        <w:tc>
          <w:tcPr>
            <w:tcW w:w="720" w:type="dxa"/>
            <w:vAlign w:val="bottom"/>
          </w:tcPr>
          <w:p>
            <w:pPr>
              <w:jc w:val="right"/>
              <w:ind w:right="29"/>
              <w:spacing w:after="0"/>
              <w:rPr>
                <w:sz w:val="20"/>
                <w:szCs w:val="20"/>
                <w:color w:val="auto"/>
              </w:rPr>
            </w:pPr>
            <w:r>
              <w:rPr>
                <w:rFonts w:ascii="Arial" w:cs="Arial" w:eastAsia="Arial" w:hAnsi="Arial"/>
                <w:sz w:val="14"/>
                <w:szCs w:val="14"/>
                <w:color w:val="auto"/>
              </w:rPr>
              <w:t>81</w:t>
            </w:r>
          </w:p>
        </w:tc>
        <w:tc>
          <w:tcPr>
            <w:tcW w:w="780" w:type="dxa"/>
            <w:vAlign w:val="bottom"/>
          </w:tcPr>
          <w:p>
            <w:pPr>
              <w:jc w:val="right"/>
              <w:ind w:right="149"/>
              <w:spacing w:after="0"/>
              <w:rPr>
                <w:sz w:val="20"/>
                <w:szCs w:val="20"/>
                <w:color w:val="auto"/>
              </w:rPr>
            </w:pPr>
            <w:r>
              <w:rPr>
                <w:rFonts w:ascii="Arial" w:cs="Arial" w:eastAsia="Arial" w:hAnsi="Arial"/>
                <w:sz w:val="14"/>
                <w:szCs w:val="14"/>
                <w:color w:val="auto"/>
              </w:rPr>
              <w:t>67</w:t>
            </w:r>
          </w:p>
        </w:tc>
        <w:tc>
          <w:tcPr>
            <w:tcW w:w="0" w:type="dxa"/>
            <w:vAlign w:val="bottom"/>
          </w:tcPr>
          <w:p>
            <w:pPr>
              <w:spacing w:after="0"/>
              <w:rPr>
                <w:sz w:val="1"/>
                <w:szCs w:val="1"/>
                <w:color w:val="auto"/>
              </w:rPr>
            </w:pPr>
          </w:p>
        </w:tc>
      </w:tr>
      <w:tr>
        <w:trPr>
          <w:trHeight w:val="167"/>
        </w:trPr>
        <w:tc>
          <w:tcPr>
            <w:tcW w:w="3280" w:type="dxa"/>
            <w:vAlign w:val="bottom"/>
            <w:tcBorders>
              <w:bottom w:val="single" w:sz="8" w:color="auto"/>
            </w:tcBorders>
          </w:tcPr>
          <w:p>
            <w:pPr>
              <w:ind w:left="260"/>
              <w:spacing w:after="0"/>
              <w:rPr>
                <w:sz w:val="20"/>
                <w:szCs w:val="20"/>
                <w:color w:val="auto"/>
              </w:rPr>
            </w:pPr>
            <w:r>
              <w:rPr>
                <w:rFonts w:ascii="Arial" w:cs="Arial" w:eastAsia="Arial" w:hAnsi="Arial"/>
                <w:sz w:val="14"/>
                <w:szCs w:val="14"/>
                <w:color w:val="auto"/>
              </w:rPr>
              <w:t>Washington</w:t>
            </w:r>
          </w:p>
        </w:tc>
        <w:tc>
          <w:tcPr>
            <w:tcW w:w="2320" w:type="dxa"/>
            <w:vAlign w:val="bottom"/>
            <w:tcBorders>
              <w:bottom w:val="single" w:sz="8" w:color="auto"/>
            </w:tcBorders>
          </w:tcPr>
          <w:p>
            <w:pPr>
              <w:ind w:left="880"/>
              <w:spacing w:after="0"/>
              <w:rPr>
                <w:sz w:val="20"/>
                <w:szCs w:val="20"/>
                <w:color w:val="auto"/>
              </w:rPr>
            </w:pPr>
            <w:r>
              <w:rPr>
                <w:rFonts w:ascii="Arial" w:cs="Arial" w:eastAsia="Arial" w:hAnsi="Arial"/>
                <w:sz w:val="14"/>
                <w:szCs w:val="14"/>
                <w:color w:val="auto"/>
              </w:rPr>
              <w:t>Puget Sound</w:t>
            </w:r>
          </w:p>
        </w:tc>
        <w:tc>
          <w:tcPr>
            <w:tcW w:w="26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tcPr>
          <w:p>
            <w:pPr>
              <w:jc w:val="center"/>
              <w:ind w:left="1154"/>
              <w:spacing w:after="0"/>
              <w:rPr>
                <w:sz w:val="20"/>
                <w:szCs w:val="20"/>
                <w:color w:val="auto"/>
              </w:rPr>
            </w:pPr>
            <w:r>
              <w:rPr>
                <w:rFonts w:ascii="Arial" w:cs="Arial" w:eastAsia="Arial" w:hAnsi="Arial"/>
                <w:sz w:val="14"/>
                <w:szCs w:val="14"/>
                <w:color w:val="auto"/>
                <w:w w:val="85"/>
              </w:rPr>
              <w:t>l¿</w:t>
            </w:r>
          </w:p>
        </w:tc>
        <w:tc>
          <w:tcPr>
            <w:tcW w:w="900" w:type="dxa"/>
            <w:vAlign w:val="bottom"/>
            <w:tcBorders>
              <w:bottom w:val="single" w:sz="8" w:color="auto"/>
            </w:tcBorders>
          </w:tcPr>
          <w:p>
            <w:pPr>
              <w:jc w:val="right"/>
              <w:ind w:right="149"/>
              <w:spacing w:after="0"/>
              <w:rPr>
                <w:sz w:val="20"/>
                <w:szCs w:val="20"/>
                <w:color w:val="auto"/>
              </w:rPr>
            </w:pPr>
            <w:r>
              <w:rPr>
                <w:rFonts w:ascii="Arial" w:cs="Arial" w:eastAsia="Arial" w:hAnsi="Arial"/>
                <w:sz w:val="14"/>
                <w:szCs w:val="14"/>
                <w:color w:val="auto"/>
              </w:rPr>
              <w:t>100</w:t>
            </w:r>
          </w:p>
        </w:tc>
        <w:tc>
          <w:tcPr>
            <w:tcW w:w="84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color w:val="auto"/>
              </w:rPr>
              <w:t>137</w:t>
            </w:r>
          </w:p>
        </w:tc>
        <w:tc>
          <w:tcPr>
            <w:tcW w:w="92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23</w:t>
            </w:r>
          </w:p>
        </w:tc>
        <w:tc>
          <w:tcPr>
            <w:tcW w:w="72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52</w:t>
            </w:r>
          </w:p>
        </w:tc>
        <w:tc>
          <w:tcPr>
            <w:tcW w:w="780" w:type="dxa"/>
            <w:vAlign w:val="bottom"/>
            <w:tcBorders>
              <w:bottom w:val="single" w:sz="8" w:color="auto"/>
            </w:tcBorders>
          </w:tcPr>
          <w:p>
            <w:pPr>
              <w:jc w:val="right"/>
              <w:ind w:right="14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bl>
    <w:p>
      <w:pPr>
        <w:spacing w:after="0" w:line="32" w:lineRule="exact"/>
        <w:rPr>
          <w:sz w:val="20"/>
          <w:szCs w:val="20"/>
          <w:color w:val="auto"/>
        </w:rPr>
      </w:pPr>
    </w:p>
    <w:p>
      <w:pPr>
        <w:ind w:left="180" w:hanging="172"/>
        <w:spacing w:after="0"/>
        <w:tabs>
          <w:tab w:leader="none" w:pos="180" w:val="left"/>
        </w:tabs>
        <w:numPr>
          <w:ilvl w:val="0"/>
          <w:numId w:val="42"/>
        </w:numPr>
        <w:rPr>
          <w:rFonts w:ascii="Arial" w:cs="Arial" w:eastAsia="Arial" w:hAnsi="Arial"/>
          <w:sz w:val="11"/>
          <w:szCs w:val="11"/>
          <w:color w:val="auto"/>
        </w:rPr>
      </w:pPr>
      <w:r>
        <w:rPr>
          <w:rFonts w:ascii="Arial" w:cs="Arial" w:eastAsia="Arial" w:hAnsi="Arial"/>
          <w:sz w:val="11"/>
          <w:szCs w:val="11"/>
          <w:color w:val="auto"/>
        </w:rPr>
        <w:t>Shell interest rounded to nearest whole percentage point; Shell share of production capacity may differ.</w:t>
      </w:r>
    </w:p>
    <w:p>
      <w:pPr>
        <w:ind w:left="180" w:hanging="172"/>
        <w:spacing w:after="0" w:line="230" w:lineRule="auto"/>
        <w:tabs>
          <w:tab w:leader="none" w:pos="180" w:val="left"/>
        </w:tabs>
        <w:numPr>
          <w:ilvl w:val="0"/>
          <w:numId w:val="42"/>
        </w:numPr>
        <w:rPr>
          <w:rFonts w:ascii="Arial" w:cs="Arial" w:eastAsia="Arial" w:hAnsi="Arial"/>
          <w:sz w:val="11"/>
          <w:szCs w:val="11"/>
          <w:color w:val="auto"/>
        </w:rPr>
      </w:pPr>
      <w:r>
        <w:rPr>
          <w:rFonts w:ascii="Arial" w:cs="Arial" w:eastAsia="Arial" w:hAnsi="Arial"/>
          <w:sz w:val="11"/>
          <w:szCs w:val="11"/>
          <w:color w:val="auto"/>
        </w:rPr>
        <w:t>Calendar day capacity is the maximum sustainable capacity adjusted for normal unit downtime.</w:t>
      </w:r>
    </w:p>
    <w:p>
      <w:pPr>
        <w:ind w:left="180" w:hanging="172"/>
        <w:spacing w:after="0"/>
        <w:tabs>
          <w:tab w:leader="none" w:pos="180" w:val="left"/>
        </w:tabs>
        <w:numPr>
          <w:ilvl w:val="0"/>
          <w:numId w:val="42"/>
        </w:numPr>
        <w:rPr>
          <w:rFonts w:ascii="Arial" w:cs="Arial" w:eastAsia="Arial" w:hAnsi="Arial"/>
          <w:sz w:val="11"/>
          <w:szCs w:val="11"/>
          <w:color w:val="auto"/>
        </w:rPr>
      </w:pPr>
      <w:r>
        <w:rPr>
          <w:rFonts w:ascii="Arial" w:cs="Arial" w:eastAsia="Arial" w:hAnsi="Arial"/>
          <w:sz w:val="11"/>
          <w:szCs w:val="11"/>
          <w:color w:val="auto"/>
        </w:rPr>
        <w:t>Not operated by Shell.</w:t>
      </w:r>
    </w:p>
    <w:p>
      <w:pPr>
        <w:spacing w:after="0" w:line="166" w:lineRule="exact"/>
        <w:rPr>
          <w:sz w:val="20"/>
          <w:szCs w:val="20"/>
          <w:color w:val="auto"/>
        </w:rPr>
      </w:pPr>
    </w:p>
    <w:p>
      <w:pPr>
        <w:ind w:left="120" w:hanging="112"/>
        <w:spacing w:after="0"/>
        <w:tabs>
          <w:tab w:leader="none" w:pos="120" w:val="left"/>
        </w:tabs>
        <w:numPr>
          <w:ilvl w:val="0"/>
          <w:numId w:val="43"/>
        </w:numPr>
        <w:rPr>
          <w:rFonts w:ascii="Arial" w:cs="Arial" w:eastAsia="Arial" w:hAnsi="Arial"/>
          <w:sz w:val="9"/>
          <w:szCs w:val="9"/>
          <w:color w:val="auto"/>
        </w:rPr>
      </w:pPr>
      <w:r>
        <w:rPr>
          <w:rFonts w:ascii="Arial" w:cs="Arial" w:eastAsia="Arial" w:hAnsi="Arial"/>
          <w:sz w:val="11"/>
          <w:szCs w:val="11"/>
          <w:color w:val="auto"/>
        </w:rPr>
        <w:t>Integrated refinery and chemical complex.</w:t>
      </w:r>
    </w:p>
    <w:p>
      <w:pPr>
        <w:ind w:right="9160" w:firstLine="8"/>
        <w:spacing w:after="0" w:line="284" w:lineRule="auto"/>
        <w:tabs>
          <w:tab w:leader="none" w:pos="90" w:val="left"/>
        </w:tabs>
        <w:numPr>
          <w:ilvl w:val="0"/>
          <w:numId w:val="44"/>
        </w:numPr>
        <w:rPr>
          <w:rFonts w:ascii="Arial" w:cs="Arial" w:eastAsia="Arial" w:hAnsi="Arial"/>
          <w:sz w:val="10"/>
          <w:szCs w:val="10"/>
          <w:color w:val="auto"/>
        </w:rPr>
      </w:pPr>
      <w:r>
        <w:rPr>
          <w:rFonts w:ascii="Arial" w:cs="Arial" w:eastAsia="Arial" w:hAnsi="Arial"/>
          <w:sz w:val="10"/>
          <w:szCs w:val="10"/>
          <w:color w:val="auto"/>
        </w:rPr>
        <w:t>Refinery complex with cogeneration capacity. ¿ Refinery complex with chemical unit(s).</w:t>
      </w:r>
    </w:p>
    <w:p>
      <w:pPr>
        <w:sectPr>
          <w:pgSz w:w="11900" w:h="16838" w:orient="portrait"/>
          <w:cols w:equalWidth="0" w:num="1">
            <w:col w:w="11420"/>
          </w:cols>
          <w:pgMar w:left="240" w:top="459" w:right="23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399415</wp:posOffset>
            </wp:positionH>
            <wp:positionV relativeFrom="paragraph">
              <wp:posOffset>300355</wp:posOffset>
            </wp:positionV>
            <wp:extent cx="8890" cy="46291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8890" cy="462915"/>
                    </a:xfrm>
                    <a:prstGeom prst="rect">
                      <a:avLst/>
                    </a:prstGeom>
                    <a:noFill/>
                  </pic:spPr>
                </pic:pic>
              </a:graphicData>
            </a:graphic>
          </wp:anchor>
        </w:drawing>
      </w:r>
    </w:p>
    <w:p>
      <w:pPr>
        <w:spacing w:after="0" w:line="200" w:lineRule="exact"/>
        <w:rPr>
          <w:sz w:val="20"/>
          <w:szCs w:val="20"/>
          <w:color w:val="auto"/>
        </w:rPr>
      </w:pP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565"/>
        </w:trPr>
        <w:tc>
          <w:tcPr>
            <w:tcW w:w="3300" w:type="dxa"/>
            <w:vAlign w:val="bottom"/>
            <w:shd w:val="clear" w:color="auto" w:fill="FF8B00"/>
          </w:tcPr>
          <w:p>
            <w:pPr>
              <w:ind w:left="260"/>
              <w:spacing w:after="0"/>
              <w:rPr>
                <w:sz w:val="20"/>
                <w:szCs w:val="20"/>
                <w:color w:val="auto"/>
              </w:rPr>
            </w:pPr>
            <w:r>
              <w:rPr>
                <w:rFonts w:ascii="Arial" w:cs="Arial" w:eastAsia="Arial" w:hAnsi="Arial"/>
                <w:sz w:val="11"/>
                <w:szCs w:val="11"/>
                <w:b w:val="1"/>
                <w:bCs w:val="1"/>
                <w:color w:val="333333"/>
              </w:rPr>
              <w:t>46</w:t>
            </w:r>
          </w:p>
        </w:tc>
        <w:tc>
          <w:tcPr>
            <w:tcW w:w="2200" w:type="dxa"/>
            <w:vAlign w:val="bottom"/>
            <w:gridSpan w:val="3"/>
            <w:shd w:val="clear" w:color="auto" w:fill="FF8B00"/>
          </w:tcPr>
          <w:p>
            <w:pPr>
              <w:jc w:val="right"/>
              <w:ind w:right="780"/>
              <w:spacing w:after="0"/>
              <w:rPr>
                <w:sz w:val="20"/>
                <w:szCs w:val="20"/>
                <w:color w:val="auto"/>
              </w:rPr>
            </w:pPr>
            <w:r>
              <w:rPr>
                <w:rFonts w:ascii="Arial" w:cs="Arial" w:eastAsia="Arial" w:hAnsi="Arial"/>
                <w:sz w:val="13"/>
                <w:szCs w:val="13"/>
                <w:color w:val="333333"/>
              </w:rPr>
              <w:t>STRATEGIC REPORT</w:t>
            </w:r>
          </w:p>
        </w:tc>
        <w:tc>
          <w:tcPr>
            <w:tcW w:w="9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5"/>
        </w:trPr>
        <w:tc>
          <w:tcPr>
            <w:tcW w:w="3300" w:type="dxa"/>
            <w:vAlign w:val="bottom"/>
            <w:shd w:val="clear" w:color="auto" w:fill="FF8B00"/>
          </w:tcPr>
          <w:p>
            <w:pPr>
              <w:spacing w:after="0"/>
              <w:rPr>
                <w:sz w:val="14"/>
                <w:szCs w:val="14"/>
                <w:color w:val="auto"/>
              </w:rPr>
            </w:pPr>
          </w:p>
        </w:tc>
        <w:tc>
          <w:tcPr>
            <w:tcW w:w="1480" w:type="dxa"/>
            <w:vAlign w:val="bottom"/>
            <w:shd w:val="clear" w:color="auto" w:fill="FF8B00"/>
          </w:tcPr>
          <w:p>
            <w:pPr>
              <w:spacing w:after="0"/>
              <w:rPr>
                <w:sz w:val="14"/>
                <w:szCs w:val="14"/>
                <w:color w:val="auto"/>
              </w:rPr>
            </w:pPr>
          </w:p>
        </w:tc>
        <w:tc>
          <w:tcPr>
            <w:tcW w:w="520" w:type="dxa"/>
            <w:vAlign w:val="bottom"/>
            <w:shd w:val="clear" w:color="auto" w:fill="FF8B00"/>
          </w:tcPr>
          <w:p>
            <w:pPr>
              <w:spacing w:after="0"/>
              <w:rPr>
                <w:sz w:val="14"/>
                <w:szCs w:val="14"/>
                <w:color w:val="auto"/>
              </w:rPr>
            </w:pPr>
          </w:p>
        </w:tc>
        <w:tc>
          <w:tcPr>
            <w:tcW w:w="200" w:type="dxa"/>
            <w:vAlign w:val="bottom"/>
            <w:shd w:val="clear" w:color="auto" w:fill="FF8B00"/>
          </w:tcPr>
          <w:p>
            <w:pPr>
              <w:spacing w:after="0"/>
              <w:rPr>
                <w:sz w:val="14"/>
                <w:szCs w:val="14"/>
                <w:color w:val="auto"/>
              </w:rPr>
            </w:pPr>
          </w:p>
        </w:tc>
        <w:tc>
          <w:tcPr>
            <w:tcW w:w="9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500" w:type="dxa"/>
            <w:vAlign w:val="bottom"/>
            <w:gridSpan w:val="2"/>
            <w:vMerge w:val="restart"/>
          </w:tcPr>
          <w:p>
            <w:pPr>
              <w:jc w:val="right"/>
              <w:spacing w:after="0"/>
              <w:rPr>
                <w:sz w:val="20"/>
                <w:szCs w:val="20"/>
                <w:color w:val="auto"/>
              </w:rPr>
            </w:pPr>
            <w:r>
              <w:rPr>
                <w:rFonts w:ascii="Arial" w:cs="Arial" w:eastAsia="Arial" w:hAnsi="Arial"/>
                <w:sz w:val="11"/>
                <w:szCs w:val="11"/>
                <w:color w:val="auto"/>
              </w:rPr>
              <w:t>SHELL ANNUAL REPORT AND FORM 20-F 2014</w:t>
            </w:r>
          </w:p>
        </w:tc>
        <w:tc>
          <w:tcPr>
            <w:tcW w:w="0" w:type="dxa"/>
            <w:vAlign w:val="bottom"/>
          </w:tcPr>
          <w:p>
            <w:pPr>
              <w:spacing w:after="0"/>
              <w:rPr>
                <w:sz w:val="1"/>
                <w:szCs w:val="1"/>
                <w:color w:val="auto"/>
              </w:rPr>
            </w:pPr>
          </w:p>
        </w:tc>
      </w:tr>
      <w:tr>
        <w:trPr>
          <w:trHeight w:val="130"/>
        </w:trPr>
        <w:tc>
          <w:tcPr>
            <w:tcW w:w="3300" w:type="dxa"/>
            <w:vAlign w:val="bottom"/>
            <w:vMerge w:val="restart"/>
          </w:tcPr>
          <w:p>
            <w:pPr>
              <w:spacing w:after="0"/>
              <w:rPr>
                <w:sz w:val="20"/>
                <w:szCs w:val="20"/>
                <w:color w:val="auto"/>
              </w:rPr>
            </w:pPr>
            <w:r>
              <w:rPr>
                <w:rFonts w:ascii="Arial" w:cs="Arial" w:eastAsia="Arial" w:hAnsi="Arial"/>
                <w:sz w:val="24"/>
                <w:szCs w:val="24"/>
                <w:color w:val="auto"/>
              </w:rPr>
              <w:t xml:space="preserve">DOWNSTREAM </w:t>
            </w:r>
            <w:r>
              <w:rPr>
                <w:rFonts w:ascii="Arial" w:cs="Arial" w:eastAsia="Arial" w:hAnsi="Arial"/>
                <w:sz w:val="24"/>
                <w:szCs w:val="24"/>
                <w:color w:val="666666"/>
              </w:rPr>
              <w:t>CONTINUED</w:t>
            </w:r>
          </w:p>
        </w:tc>
        <w:tc>
          <w:tcPr>
            <w:tcW w:w="2200" w:type="dxa"/>
            <w:vAlign w:val="bottom"/>
            <w:gridSpan w:val="3"/>
          </w:tcPr>
          <w:p>
            <w:pPr>
              <w:jc w:val="right"/>
              <w:ind w:right="780"/>
              <w:spacing w:after="0"/>
              <w:rPr>
                <w:sz w:val="20"/>
                <w:szCs w:val="20"/>
                <w:color w:val="auto"/>
              </w:rPr>
            </w:pPr>
            <w:r>
              <w:rPr>
                <w:rFonts w:ascii="Arial" w:cs="Arial" w:eastAsia="Arial" w:hAnsi="Arial"/>
                <w:sz w:val="11"/>
                <w:szCs w:val="11"/>
                <w:color w:val="auto"/>
              </w:rPr>
              <w:t>DOWNSTREAM</w:t>
            </w:r>
          </w:p>
        </w:tc>
        <w:tc>
          <w:tcPr>
            <w:tcW w:w="98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50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75"/>
        </w:trPr>
        <w:tc>
          <w:tcPr>
            <w:tcW w:w="3300" w:type="dxa"/>
            <w:vAlign w:val="bottom"/>
            <w:tcBorders>
              <w:bottom w:val="single" w:sz="8" w:color="auto"/>
            </w:tcBorders>
            <w:vMerge w:val="continue"/>
          </w:tcPr>
          <w:p>
            <w:pPr>
              <w:spacing w:after="0"/>
              <w:rPr>
                <w:sz w:val="23"/>
                <w:szCs w:val="23"/>
                <w:color w:val="auto"/>
              </w:rPr>
            </w:pPr>
          </w:p>
        </w:tc>
        <w:tc>
          <w:tcPr>
            <w:tcW w:w="1480" w:type="dxa"/>
            <w:vAlign w:val="bottom"/>
            <w:tcBorders>
              <w:bottom w:val="single" w:sz="8" w:color="auto"/>
            </w:tcBorders>
          </w:tcPr>
          <w:p>
            <w:pPr>
              <w:spacing w:after="0"/>
              <w:rPr>
                <w:sz w:val="23"/>
                <w:szCs w:val="23"/>
                <w:color w:val="auto"/>
              </w:rPr>
            </w:pPr>
          </w:p>
        </w:tc>
        <w:tc>
          <w:tcPr>
            <w:tcW w:w="520" w:type="dxa"/>
            <w:vAlign w:val="bottom"/>
            <w:tcBorders>
              <w:bottom w:val="single" w:sz="8" w:color="auto"/>
            </w:tcBorders>
          </w:tcPr>
          <w:p>
            <w:pPr>
              <w:spacing w:after="0"/>
              <w:rPr>
                <w:sz w:val="23"/>
                <w:szCs w:val="23"/>
                <w:color w:val="auto"/>
              </w:rPr>
            </w:pPr>
          </w:p>
        </w:tc>
        <w:tc>
          <w:tcPr>
            <w:tcW w:w="20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96"/>
        </w:trPr>
        <w:tc>
          <w:tcPr>
            <w:tcW w:w="4780" w:type="dxa"/>
            <w:vAlign w:val="bottom"/>
            <w:gridSpan w:val="2"/>
          </w:tcPr>
          <w:p>
            <w:pPr>
              <w:spacing w:after="0"/>
              <w:rPr>
                <w:sz w:val="17"/>
                <w:szCs w:val="17"/>
                <w:color w:val="auto"/>
              </w:rPr>
            </w:pPr>
          </w:p>
        </w:tc>
        <w:tc>
          <w:tcPr>
            <w:tcW w:w="720" w:type="dxa"/>
            <w:vAlign w:val="bottom"/>
            <w:gridSpan w:val="2"/>
          </w:tcPr>
          <w:p>
            <w:pPr>
              <w:spacing w:after="0"/>
              <w:rPr>
                <w:sz w:val="17"/>
                <w:szCs w:val="17"/>
                <w:color w:val="auto"/>
              </w:rPr>
            </w:pPr>
          </w:p>
        </w:tc>
        <w:tc>
          <w:tcPr>
            <w:tcW w:w="98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5500" w:type="dxa"/>
            <w:vAlign w:val="bottom"/>
            <w:gridSpan w:val="4"/>
            <w:shd w:val="clear" w:color="auto" w:fill="333333"/>
          </w:tcPr>
          <w:p>
            <w:pPr>
              <w:ind w:left="80"/>
              <w:spacing w:after="0" w:line="162" w:lineRule="exact"/>
              <w:rPr>
                <w:sz w:val="20"/>
                <w:szCs w:val="20"/>
                <w:color w:val="auto"/>
              </w:rPr>
            </w:pPr>
            <w:r>
              <w:rPr>
                <w:rFonts w:ascii="Arial" w:cs="Arial" w:eastAsia="Arial" w:hAnsi="Arial"/>
                <w:sz w:val="15"/>
                <w:szCs w:val="15"/>
                <w:b w:val="1"/>
                <w:bCs w:val="1"/>
                <w:color w:val="FFFFFF"/>
              </w:rPr>
              <w:t xml:space="preserve">MAJOR CHEMICAL PLANTS IN OPERATION </w:t>
            </w:r>
            <w:r>
              <w:rPr>
                <w:rFonts w:ascii="Arial" w:cs="Arial" w:eastAsia="Arial" w:hAnsi="Arial"/>
                <w:sz w:val="15"/>
                <w:szCs w:val="15"/>
                <w:color w:val="FFFFFF"/>
              </w:rPr>
              <w:t>[A]</w:t>
            </w:r>
          </w:p>
        </w:tc>
        <w:tc>
          <w:tcPr>
            <w:tcW w:w="980" w:type="dxa"/>
            <w:vAlign w:val="bottom"/>
            <w:shd w:val="clear" w:color="auto" w:fill="333333"/>
          </w:tcPr>
          <w:p>
            <w:pPr>
              <w:spacing w:after="0"/>
              <w:rPr>
                <w:sz w:val="14"/>
                <w:szCs w:val="14"/>
                <w:color w:val="auto"/>
              </w:rPr>
            </w:pPr>
          </w:p>
        </w:tc>
        <w:tc>
          <w:tcPr>
            <w:tcW w:w="1400" w:type="dxa"/>
            <w:vAlign w:val="bottom"/>
            <w:shd w:val="clear" w:color="auto" w:fill="333333"/>
          </w:tcPr>
          <w:p>
            <w:pPr>
              <w:spacing w:after="0"/>
              <w:rPr>
                <w:sz w:val="14"/>
                <w:szCs w:val="14"/>
                <w:color w:val="auto"/>
              </w:rPr>
            </w:pPr>
          </w:p>
        </w:tc>
        <w:tc>
          <w:tcPr>
            <w:tcW w:w="1040" w:type="dxa"/>
            <w:vAlign w:val="bottom"/>
            <w:shd w:val="clear" w:color="auto" w:fill="333333"/>
          </w:tcPr>
          <w:p>
            <w:pPr>
              <w:spacing w:after="0"/>
              <w:rPr>
                <w:sz w:val="14"/>
                <w:szCs w:val="14"/>
                <w:color w:val="auto"/>
              </w:rPr>
            </w:pPr>
          </w:p>
        </w:tc>
        <w:tc>
          <w:tcPr>
            <w:tcW w:w="1100" w:type="dxa"/>
            <w:vAlign w:val="bottom"/>
            <w:shd w:val="clear" w:color="auto" w:fill="333333"/>
          </w:tcPr>
          <w:p>
            <w:pPr>
              <w:spacing w:after="0"/>
              <w:rPr>
                <w:sz w:val="14"/>
                <w:szCs w:val="14"/>
                <w:color w:val="auto"/>
              </w:rPr>
            </w:pPr>
          </w:p>
        </w:tc>
        <w:tc>
          <w:tcPr>
            <w:tcW w:w="1400" w:type="dxa"/>
            <w:vAlign w:val="bottom"/>
            <w:shd w:val="clear" w:color="auto" w:fill="333333"/>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330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980" w:type="dxa"/>
            <w:vAlign w:val="bottom"/>
            <w:tcBorders>
              <w:bottom w:val="single" w:sz="8" w:color="auto"/>
            </w:tcBorders>
          </w:tcPr>
          <w:p>
            <w:pPr>
              <w:spacing w:after="0"/>
              <w:rPr>
                <w:sz w:val="11"/>
                <w:szCs w:val="11"/>
                <w:color w:val="auto"/>
              </w:rPr>
            </w:pPr>
          </w:p>
        </w:tc>
        <w:tc>
          <w:tcPr>
            <w:tcW w:w="3540" w:type="dxa"/>
            <w:vAlign w:val="bottom"/>
            <w:tcBorders>
              <w:bottom w:val="single" w:sz="8" w:color="auto"/>
            </w:tcBorders>
            <w:gridSpan w:val="3"/>
          </w:tcPr>
          <w:p>
            <w:pPr>
              <w:jc w:val="right"/>
              <w:ind w:right="370"/>
              <w:spacing w:after="0" w:line="135" w:lineRule="exact"/>
              <w:rPr>
                <w:sz w:val="20"/>
                <w:szCs w:val="20"/>
                <w:color w:val="auto"/>
              </w:rPr>
            </w:pPr>
            <w:r>
              <w:rPr>
                <w:rFonts w:ascii="Arial" w:cs="Arial" w:eastAsia="Arial" w:hAnsi="Arial"/>
                <w:sz w:val="13"/>
                <w:szCs w:val="13"/>
                <w:color w:val="auto"/>
              </w:rPr>
              <w:t>Thousand tonnes/year, Shell share capacity</w:t>
            </w:r>
          </w:p>
        </w:tc>
        <w:tc>
          <w:tcPr>
            <w:tcW w:w="1400" w:type="dxa"/>
            <w:vAlign w:val="bottom"/>
            <w:vMerge w:val="restart"/>
          </w:tcPr>
          <w:p>
            <w:pPr>
              <w:jc w:val="right"/>
              <w:ind w:right="269"/>
              <w:spacing w:after="0"/>
              <w:rPr>
                <w:sz w:val="20"/>
                <w:szCs w:val="20"/>
                <w:color w:val="auto"/>
              </w:rPr>
            </w:pPr>
            <w:r>
              <w:rPr>
                <w:rFonts w:ascii="Arial" w:cs="Arial" w:eastAsia="Arial" w:hAnsi="Arial"/>
                <w:sz w:val="13"/>
                <w:szCs w:val="13"/>
                <w:color w:val="auto"/>
              </w:rPr>
              <w:t>Additional</w:t>
            </w:r>
          </w:p>
        </w:tc>
        <w:tc>
          <w:tcPr>
            <w:tcW w:w="0" w:type="dxa"/>
            <w:vAlign w:val="bottom"/>
          </w:tcPr>
          <w:p>
            <w:pPr>
              <w:spacing w:after="0"/>
              <w:rPr>
                <w:sz w:val="1"/>
                <w:szCs w:val="1"/>
                <w:color w:val="auto"/>
              </w:rPr>
            </w:pPr>
          </w:p>
        </w:tc>
      </w:tr>
      <w:tr>
        <w:trPr>
          <w:trHeight w:val="123"/>
        </w:trPr>
        <w:tc>
          <w:tcPr>
            <w:tcW w:w="330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400" w:type="dxa"/>
            <w:vAlign w:val="bottom"/>
          </w:tcPr>
          <w:p>
            <w:pPr>
              <w:jc w:val="right"/>
              <w:ind w:right="370"/>
              <w:spacing w:after="0" w:line="123" w:lineRule="exact"/>
              <w:rPr>
                <w:sz w:val="20"/>
                <w:szCs w:val="20"/>
                <w:color w:val="auto"/>
              </w:rPr>
            </w:pPr>
            <w:r>
              <w:rPr>
                <w:rFonts w:ascii="Arial" w:cs="Arial" w:eastAsia="Arial" w:hAnsi="Arial"/>
                <w:sz w:val="13"/>
                <w:szCs w:val="13"/>
                <w:color w:val="auto"/>
              </w:rPr>
              <w:t>Styrene</w:t>
            </w:r>
          </w:p>
        </w:tc>
        <w:tc>
          <w:tcPr>
            <w:tcW w:w="1040" w:type="dxa"/>
            <w:vAlign w:val="bottom"/>
          </w:tcPr>
          <w:p>
            <w:pPr>
              <w:jc w:val="right"/>
              <w:ind w:right="29"/>
              <w:spacing w:after="0" w:line="123" w:lineRule="exact"/>
              <w:rPr>
                <w:sz w:val="20"/>
                <w:szCs w:val="20"/>
                <w:color w:val="auto"/>
              </w:rPr>
            </w:pPr>
            <w:r>
              <w:rPr>
                <w:rFonts w:ascii="Arial" w:cs="Arial" w:eastAsia="Arial" w:hAnsi="Arial"/>
                <w:sz w:val="13"/>
                <w:szCs w:val="13"/>
                <w:color w:val="auto"/>
              </w:rPr>
              <w:t>Ethylene</w:t>
            </w:r>
          </w:p>
        </w:tc>
        <w:tc>
          <w:tcPr>
            <w:tcW w:w="1100" w:type="dxa"/>
            <w:vAlign w:val="bottom"/>
          </w:tcPr>
          <w:p>
            <w:pPr>
              <w:jc w:val="right"/>
              <w:ind w:right="370"/>
              <w:spacing w:after="0" w:line="123" w:lineRule="exact"/>
              <w:rPr>
                <w:sz w:val="20"/>
                <w:szCs w:val="20"/>
                <w:color w:val="auto"/>
              </w:rPr>
            </w:pPr>
            <w:r>
              <w:rPr>
                <w:rFonts w:ascii="Arial" w:cs="Arial" w:eastAsia="Arial" w:hAnsi="Arial"/>
                <w:sz w:val="13"/>
                <w:szCs w:val="13"/>
                <w:color w:val="auto"/>
              </w:rPr>
              <w:t>Higher</w:t>
            </w:r>
          </w:p>
        </w:tc>
        <w:tc>
          <w:tcPr>
            <w:tcW w:w="14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1"/>
        </w:trPr>
        <w:tc>
          <w:tcPr>
            <w:tcW w:w="3300" w:type="dxa"/>
            <w:vAlign w:val="bottom"/>
            <w:tcBorders>
              <w:bottom w:val="single" w:sz="8" w:color="auto"/>
            </w:tcBorders>
          </w:tcPr>
          <w:p>
            <w:pPr>
              <w:spacing w:after="0"/>
              <w:rPr>
                <w:sz w:val="12"/>
                <w:szCs w:val="12"/>
                <w:color w:val="auto"/>
              </w:rPr>
            </w:pPr>
          </w:p>
        </w:tc>
        <w:tc>
          <w:tcPr>
            <w:tcW w:w="2200" w:type="dxa"/>
            <w:vAlign w:val="bottom"/>
            <w:tcBorders>
              <w:bottom w:val="single" w:sz="8" w:color="auto"/>
            </w:tcBorders>
            <w:gridSpan w:val="3"/>
          </w:tcPr>
          <w:p>
            <w:pPr>
              <w:spacing w:after="0" w:line="141" w:lineRule="exact"/>
              <w:rPr>
                <w:sz w:val="20"/>
                <w:szCs w:val="20"/>
                <w:color w:val="auto"/>
              </w:rPr>
            </w:pPr>
            <w:r>
              <w:rPr>
                <w:rFonts w:ascii="Arial" w:cs="Arial" w:eastAsia="Arial" w:hAnsi="Arial"/>
                <w:sz w:val="13"/>
                <w:szCs w:val="13"/>
                <w:color w:val="auto"/>
              </w:rPr>
              <w:t>Location</w:t>
            </w:r>
          </w:p>
        </w:tc>
        <w:tc>
          <w:tcPr>
            <w:tcW w:w="980" w:type="dxa"/>
            <w:vAlign w:val="bottom"/>
            <w:tcBorders>
              <w:bottom w:val="single" w:sz="8" w:color="auto"/>
            </w:tcBorders>
          </w:tcPr>
          <w:p>
            <w:pPr>
              <w:jc w:val="right"/>
              <w:ind w:right="369"/>
              <w:spacing w:after="0" w:line="141" w:lineRule="exact"/>
              <w:rPr>
                <w:sz w:val="20"/>
                <w:szCs w:val="20"/>
                <w:color w:val="auto"/>
              </w:rPr>
            </w:pPr>
            <w:r>
              <w:rPr>
                <w:rFonts w:ascii="Arial" w:cs="Arial" w:eastAsia="Arial" w:hAnsi="Arial"/>
                <w:sz w:val="13"/>
                <w:szCs w:val="13"/>
                <w:color w:val="auto"/>
              </w:rPr>
              <w:t>Ethylene</w:t>
            </w:r>
          </w:p>
        </w:tc>
        <w:tc>
          <w:tcPr>
            <w:tcW w:w="1400" w:type="dxa"/>
            <w:vAlign w:val="bottom"/>
            <w:tcBorders>
              <w:bottom w:val="single" w:sz="8" w:color="auto"/>
            </w:tcBorders>
          </w:tcPr>
          <w:p>
            <w:pPr>
              <w:jc w:val="right"/>
              <w:ind w:right="370"/>
              <w:spacing w:after="0" w:line="141" w:lineRule="exact"/>
              <w:rPr>
                <w:sz w:val="20"/>
                <w:szCs w:val="20"/>
                <w:color w:val="auto"/>
              </w:rPr>
            </w:pPr>
            <w:r>
              <w:rPr>
                <w:rFonts w:ascii="Arial" w:cs="Arial" w:eastAsia="Arial" w:hAnsi="Arial"/>
                <w:sz w:val="13"/>
                <w:szCs w:val="13"/>
                <w:color w:val="auto"/>
              </w:rPr>
              <w:t>monomer</w:t>
            </w:r>
          </w:p>
        </w:tc>
        <w:tc>
          <w:tcPr>
            <w:tcW w:w="1040" w:type="dxa"/>
            <w:vAlign w:val="bottom"/>
            <w:tcBorders>
              <w:bottom w:val="single" w:sz="8" w:color="auto"/>
            </w:tcBorders>
          </w:tcPr>
          <w:p>
            <w:pPr>
              <w:jc w:val="right"/>
              <w:ind w:right="29"/>
              <w:spacing w:after="0" w:line="141" w:lineRule="exact"/>
              <w:rPr>
                <w:sz w:val="20"/>
                <w:szCs w:val="20"/>
                <w:color w:val="auto"/>
              </w:rPr>
            </w:pPr>
            <w:r>
              <w:rPr>
                <w:rFonts w:ascii="Arial" w:cs="Arial" w:eastAsia="Arial" w:hAnsi="Arial"/>
                <w:sz w:val="13"/>
                <w:szCs w:val="13"/>
                <w:color w:val="auto"/>
              </w:rPr>
              <w:t>glycol</w:t>
            </w:r>
          </w:p>
        </w:tc>
        <w:tc>
          <w:tcPr>
            <w:tcW w:w="1100" w:type="dxa"/>
            <w:vAlign w:val="bottom"/>
            <w:tcBorders>
              <w:bottom w:val="single" w:sz="8" w:color="auto"/>
            </w:tcBorders>
          </w:tcPr>
          <w:p>
            <w:pPr>
              <w:jc w:val="right"/>
              <w:ind w:right="210"/>
              <w:spacing w:after="0" w:line="141" w:lineRule="exact"/>
              <w:rPr>
                <w:sz w:val="20"/>
                <w:szCs w:val="20"/>
                <w:color w:val="auto"/>
              </w:rPr>
            </w:pPr>
            <w:r>
              <w:rPr>
                <w:rFonts w:ascii="Arial" w:cs="Arial" w:eastAsia="Arial" w:hAnsi="Arial"/>
                <w:sz w:val="13"/>
                <w:szCs w:val="13"/>
                <w:color w:val="auto"/>
              </w:rPr>
              <w:t>olefins[B]</w:t>
            </w:r>
          </w:p>
        </w:tc>
        <w:tc>
          <w:tcPr>
            <w:tcW w:w="1400" w:type="dxa"/>
            <w:vAlign w:val="bottom"/>
            <w:tcBorders>
              <w:bottom w:val="single" w:sz="8" w:color="auto"/>
            </w:tcBorders>
          </w:tcPr>
          <w:p>
            <w:pPr>
              <w:jc w:val="right"/>
              <w:ind w:right="269"/>
              <w:spacing w:after="0" w:line="141" w:lineRule="exact"/>
              <w:rPr>
                <w:sz w:val="20"/>
                <w:szCs w:val="20"/>
                <w:color w:val="auto"/>
              </w:rPr>
            </w:pPr>
            <w:r>
              <w:rPr>
                <w:rFonts w:ascii="Arial" w:cs="Arial" w:eastAsia="Arial" w:hAnsi="Arial"/>
                <w:sz w:val="13"/>
                <w:szCs w:val="13"/>
                <w:color w:val="auto"/>
              </w:rPr>
              <w:t>products</w:t>
            </w:r>
          </w:p>
        </w:tc>
        <w:tc>
          <w:tcPr>
            <w:tcW w:w="0" w:type="dxa"/>
            <w:vAlign w:val="bottom"/>
          </w:tcPr>
          <w:p>
            <w:pPr>
              <w:spacing w:after="0"/>
              <w:rPr>
                <w:sz w:val="1"/>
                <w:szCs w:val="1"/>
                <w:color w:val="auto"/>
              </w:rPr>
            </w:pPr>
          </w:p>
        </w:tc>
      </w:tr>
      <w:tr>
        <w:trPr>
          <w:trHeight w:val="160"/>
        </w:trPr>
        <w:tc>
          <w:tcPr>
            <w:tcW w:w="3300" w:type="dxa"/>
            <w:vAlign w:val="bottom"/>
          </w:tcPr>
          <w:p>
            <w:pPr>
              <w:spacing w:after="0"/>
              <w:rPr>
                <w:sz w:val="20"/>
                <w:szCs w:val="20"/>
                <w:color w:val="auto"/>
              </w:rPr>
            </w:pPr>
            <w:r>
              <w:rPr>
                <w:rFonts w:ascii="Arial" w:cs="Arial" w:eastAsia="Arial" w:hAnsi="Arial"/>
                <w:sz w:val="14"/>
                <w:szCs w:val="14"/>
                <w:color w:val="auto"/>
              </w:rPr>
              <w:t>Europe</w:t>
            </w:r>
          </w:p>
        </w:tc>
        <w:tc>
          <w:tcPr>
            <w:tcW w:w="14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300" w:type="dxa"/>
            <w:vAlign w:val="bottom"/>
          </w:tcPr>
          <w:p>
            <w:pPr>
              <w:ind w:left="140"/>
              <w:spacing w:after="0"/>
              <w:rPr>
                <w:sz w:val="20"/>
                <w:szCs w:val="20"/>
                <w:color w:val="auto"/>
              </w:rPr>
            </w:pPr>
            <w:r>
              <w:rPr>
                <w:rFonts w:ascii="Arial" w:cs="Arial" w:eastAsia="Arial" w:hAnsi="Arial"/>
                <w:sz w:val="14"/>
                <w:szCs w:val="14"/>
                <w:color w:val="auto"/>
              </w:rPr>
              <w:t>Germany</w:t>
            </w:r>
          </w:p>
        </w:tc>
        <w:tc>
          <w:tcPr>
            <w:tcW w:w="2200" w:type="dxa"/>
            <w:vAlign w:val="bottom"/>
            <w:gridSpan w:val="3"/>
          </w:tcPr>
          <w:p>
            <w:pPr>
              <w:spacing w:after="0"/>
              <w:rPr>
                <w:sz w:val="20"/>
                <w:szCs w:val="20"/>
                <w:color w:val="auto"/>
              </w:rPr>
            </w:pPr>
            <w:r>
              <w:rPr>
                <w:rFonts w:ascii="Arial" w:cs="Arial" w:eastAsia="Arial" w:hAnsi="Arial"/>
                <w:sz w:val="14"/>
                <w:szCs w:val="14"/>
                <w:color w:val="auto"/>
              </w:rPr>
              <w:t>Rheinland</w:t>
            </w:r>
          </w:p>
        </w:tc>
        <w:tc>
          <w:tcPr>
            <w:tcW w:w="980" w:type="dxa"/>
            <w:vAlign w:val="bottom"/>
          </w:tcPr>
          <w:p>
            <w:pPr>
              <w:jc w:val="right"/>
              <w:ind w:right="369"/>
              <w:spacing w:after="0"/>
              <w:rPr>
                <w:sz w:val="20"/>
                <w:szCs w:val="20"/>
                <w:color w:val="auto"/>
              </w:rPr>
            </w:pPr>
            <w:r>
              <w:rPr>
                <w:rFonts w:ascii="Arial" w:cs="Arial" w:eastAsia="Arial" w:hAnsi="Arial"/>
                <w:sz w:val="14"/>
                <w:szCs w:val="14"/>
                <w:color w:val="auto"/>
              </w:rPr>
              <w:t>272</w:t>
            </w:r>
          </w:p>
        </w:tc>
        <w:tc>
          <w:tcPr>
            <w:tcW w:w="1400" w:type="dxa"/>
            <w:vAlign w:val="bottom"/>
          </w:tcPr>
          <w:p>
            <w:pPr>
              <w:jc w:val="right"/>
              <w:ind w:right="370"/>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370"/>
              <w:spacing w:after="0"/>
              <w:rPr>
                <w:sz w:val="20"/>
                <w:szCs w:val="20"/>
                <w:color w:val="auto"/>
              </w:rPr>
            </w:pPr>
            <w:r>
              <w:rPr>
                <w:rFonts w:ascii="Arial" w:cs="Arial" w:eastAsia="Arial" w:hAnsi="Arial"/>
                <w:sz w:val="14"/>
                <w:szCs w:val="14"/>
                <w:color w:val="auto"/>
              </w:rPr>
              <w:t>–</w:t>
            </w:r>
          </w:p>
        </w:tc>
        <w:tc>
          <w:tcPr>
            <w:tcW w:w="1400" w:type="dxa"/>
            <w:vAlign w:val="bottom"/>
          </w:tcPr>
          <w:p>
            <w:pPr>
              <w:jc w:val="right"/>
              <w:ind w:right="269"/>
              <w:spacing w:after="0"/>
              <w:rPr>
                <w:sz w:val="20"/>
                <w:szCs w:val="20"/>
                <w:color w:val="auto"/>
              </w:rPr>
            </w:pPr>
            <w:r>
              <w:rPr>
                <w:rFonts w:ascii="Arial" w:cs="Arial" w:eastAsia="Arial" w:hAnsi="Arial"/>
                <w:sz w:val="14"/>
                <w:szCs w:val="14"/>
                <w:color w:val="auto"/>
              </w:rPr>
              <w:t>A</w:t>
            </w:r>
          </w:p>
        </w:tc>
        <w:tc>
          <w:tcPr>
            <w:tcW w:w="0" w:type="dxa"/>
            <w:vAlign w:val="bottom"/>
          </w:tcPr>
          <w:p>
            <w:pPr>
              <w:spacing w:after="0"/>
              <w:rPr>
                <w:sz w:val="1"/>
                <w:szCs w:val="1"/>
                <w:color w:val="auto"/>
              </w:rPr>
            </w:pPr>
          </w:p>
        </w:tc>
      </w:tr>
      <w:tr>
        <w:trPr>
          <w:trHeight w:val="162"/>
        </w:trPr>
        <w:tc>
          <w:tcPr>
            <w:tcW w:w="3300" w:type="dxa"/>
            <w:vAlign w:val="bottom"/>
          </w:tcPr>
          <w:p>
            <w:pPr>
              <w:ind w:left="140"/>
              <w:spacing w:after="0"/>
              <w:rPr>
                <w:sz w:val="20"/>
                <w:szCs w:val="20"/>
                <w:color w:val="auto"/>
              </w:rPr>
            </w:pPr>
            <w:r>
              <w:rPr>
                <w:rFonts w:ascii="Arial" w:cs="Arial" w:eastAsia="Arial" w:hAnsi="Arial"/>
                <w:sz w:val="14"/>
                <w:szCs w:val="14"/>
                <w:color w:val="auto"/>
              </w:rPr>
              <w:t>Netherlands</w:t>
            </w:r>
          </w:p>
        </w:tc>
        <w:tc>
          <w:tcPr>
            <w:tcW w:w="2200" w:type="dxa"/>
            <w:vAlign w:val="bottom"/>
            <w:gridSpan w:val="3"/>
          </w:tcPr>
          <w:p>
            <w:pPr>
              <w:spacing w:after="0"/>
              <w:rPr>
                <w:sz w:val="20"/>
                <w:szCs w:val="20"/>
                <w:color w:val="auto"/>
              </w:rPr>
            </w:pPr>
            <w:r>
              <w:rPr>
                <w:rFonts w:ascii="Arial" w:cs="Arial" w:eastAsia="Arial" w:hAnsi="Arial"/>
                <w:sz w:val="14"/>
                <w:szCs w:val="14"/>
                <w:color w:val="auto"/>
              </w:rPr>
              <w:t>Moerdijk [C]</w:t>
            </w:r>
          </w:p>
        </w:tc>
        <w:tc>
          <w:tcPr>
            <w:tcW w:w="980" w:type="dxa"/>
            <w:vAlign w:val="bottom"/>
          </w:tcPr>
          <w:p>
            <w:pPr>
              <w:jc w:val="right"/>
              <w:ind w:right="369"/>
              <w:spacing w:after="0"/>
              <w:rPr>
                <w:sz w:val="20"/>
                <w:szCs w:val="20"/>
                <w:color w:val="auto"/>
              </w:rPr>
            </w:pPr>
            <w:r>
              <w:rPr>
                <w:rFonts w:ascii="Arial" w:cs="Arial" w:eastAsia="Arial" w:hAnsi="Arial"/>
                <w:sz w:val="14"/>
                <w:szCs w:val="14"/>
                <w:color w:val="auto"/>
              </w:rPr>
              <w:t>972</w:t>
            </w:r>
          </w:p>
        </w:tc>
        <w:tc>
          <w:tcPr>
            <w:tcW w:w="1400" w:type="dxa"/>
            <w:vAlign w:val="bottom"/>
          </w:tcPr>
          <w:p>
            <w:pPr>
              <w:jc w:val="right"/>
              <w:ind w:right="370"/>
              <w:spacing w:after="0"/>
              <w:rPr>
                <w:sz w:val="20"/>
                <w:szCs w:val="20"/>
                <w:color w:val="auto"/>
              </w:rPr>
            </w:pPr>
            <w:r>
              <w:rPr>
                <w:rFonts w:ascii="Arial" w:cs="Arial" w:eastAsia="Arial" w:hAnsi="Arial"/>
                <w:sz w:val="14"/>
                <w:szCs w:val="14"/>
                <w:color w:val="auto"/>
              </w:rPr>
              <w:t>725</w:t>
            </w:r>
          </w:p>
        </w:tc>
        <w:tc>
          <w:tcPr>
            <w:tcW w:w="1040" w:type="dxa"/>
            <w:vAlign w:val="bottom"/>
          </w:tcPr>
          <w:p>
            <w:pPr>
              <w:jc w:val="right"/>
              <w:ind w:right="29"/>
              <w:spacing w:after="0"/>
              <w:rPr>
                <w:sz w:val="20"/>
                <w:szCs w:val="20"/>
                <w:color w:val="auto"/>
              </w:rPr>
            </w:pPr>
            <w:r>
              <w:rPr>
                <w:rFonts w:ascii="Arial" w:cs="Arial" w:eastAsia="Arial" w:hAnsi="Arial"/>
                <w:sz w:val="14"/>
                <w:szCs w:val="14"/>
                <w:color w:val="auto"/>
              </w:rPr>
              <w:t>155</w:t>
            </w:r>
          </w:p>
        </w:tc>
        <w:tc>
          <w:tcPr>
            <w:tcW w:w="1100" w:type="dxa"/>
            <w:vAlign w:val="bottom"/>
          </w:tcPr>
          <w:p>
            <w:pPr>
              <w:jc w:val="right"/>
              <w:ind w:right="370"/>
              <w:spacing w:after="0"/>
              <w:rPr>
                <w:sz w:val="20"/>
                <w:szCs w:val="20"/>
                <w:color w:val="auto"/>
              </w:rPr>
            </w:pPr>
            <w:r>
              <w:rPr>
                <w:rFonts w:ascii="Arial" w:cs="Arial" w:eastAsia="Arial" w:hAnsi="Arial"/>
                <w:sz w:val="14"/>
                <w:szCs w:val="14"/>
                <w:color w:val="auto"/>
              </w:rPr>
              <w:t>–</w:t>
            </w:r>
          </w:p>
        </w:tc>
        <w:tc>
          <w:tcPr>
            <w:tcW w:w="1400" w:type="dxa"/>
            <w:vAlign w:val="bottom"/>
          </w:tcPr>
          <w:p>
            <w:pPr>
              <w:jc w:val="right"/>
              <w:ind w:right="269"/>
              <w:spacing w:after="0"/>
              <w:rPr>
                <w:sz w:val="20"/>
                <w:szCs w:val="20"/>
                <w:color w:val="auto"/>
              </w:rPr>
            </w:pPr>
            <w:r>
              <w:rPr>
                <w:rFonts w:ascii="Arial" w:cs="Arial" w:eastAsia="Arial" w:hAnsi="Arial"/>
                <w:sz w:val="14"/>
                <w:szCs w:val="14"/>
                <w:color w:val="auto"/>
              </w:rPr>
              <w:t>A, I</w:t>
            </w:r>
          </w:p>
        </w:tc>
        <w:tc>
          <w:tcPr>
            <w:tcW w:w="0" w:type="dxa"/>
            <w:vAlign w:val="bottom"/>
          </w:tcPr>
          <w:p>
            <w:pPr>
              <w:spacing w:after="0"/>
              <w:rPr>
                <w:sz w:val="1"/>
                <w:szCs w:val="1"/>
                <w:color w:val="auto"/>
              </w:rPr>
            </w:pPr>
          </w:p>
        </w:tc>
      </w:tr>
      <w:tr>
        <w:trPr>
          <w:trHeight w:val="162"/>
        </w:trPr>
        <w:tc>
          <w:tcPr>
            <w:tcW w:w="3300" w:type="dxa"/>
            <w:vAlign w:val="bottom"/>
          </w:tcPr>
          <w:p>
            <w:pPr>
              <w:ind w:left="140"/>
              <w:spacing w:after="0"/>
              <w:rPr>
                <w:sz w:val="20"/>
                <w:szCs w:val="20"/>
                <w:color w:val="auto"/>
              </w:rPr>
            </w:pPr>
            <w:r>
              <w:rPr>
                <w:rFonts w:ascii="Arial" w:cs="Arial" w:eastAsia="Arial" w:hAnsi="Arial"/>
                <w:sz w:val="14"/>
                <w:szCs w:val="14"/>
                <w:color w:val="auto"/>
              </w:rPr>
              <w:t>UK</w:t>
            </w:r>
          </w:p>
        </w:tc>
        <w:tc>
          <w:tcPr>
            <w:tcW w:w="2200" w:type="dxa"/>
            <w:vAlign w:val="bottom"/>
            <w:gridSpan w:val="3"/>
          </w:tcPr>
          <w:p>
            <w:pPr>
              <w:spacing w:after="0"/>
              <w:rPr>
                <w:sz w:val="20"/>
                <w:szCs w:val="20"/>
                <w:color w:val="auto"/>
              </w:rPr>
            </w:pPr>
            <w:r>
              <w:rPr>
                <w:rFonts w:ascii="Arial" w:cs="Arial" w:eastAsia="Arial" w:hAnsi="Arial"/>
                <w:sz w:val="14"/>
                <w:szCs w:val="14"/>
                <w:color w:val="auto"/>
              </w:rPr>
              <w:t>Mossmorran [D]</w:t>
            </w:r>
          </w:p>
        </w:tc>
        <w:tc>
          <w:tcPr>
            <w:tcW w:w="980" w:type="dxa"/>
            <w:vAlign w:val="bottom"/>
          </w:tcPr>
          <w:p>
            <w:pPr>
              <w:jc w:val="right"/>
              <w:ind w:right="369"/>
              <w:spacing w:after="0"/>
              <w:rPr>
                <w:sz w:val="20"/>
                <w:szCs w:val="20"/>
                <w:color w:val="auto"/>
              </w:rPr>
            </w:pPr>
            <w:r>
              <w:rPr>
                <w:rFonts w:ascii="Arial" w:cs="Arial" w:eastAsia="Arial" w:hAnsi="Arial"/>
                <w:sz w:val="14"/>
                <w:szCs w:val="14"/>
                <w:color w:val="auto"/>
              </w:rPr>
              <w:t>415</w:t>
            </w:r>
          </w:p>
        </w:tc>
        <w:tc>
          <w:tcPr>
            <w:tcW w:w="1400" w:type="dxa"/>
            <w:vAlign w:val="bottom"/>
          </w:tcPr>
          <w:p>
            <w:pPr>
              <w:jc w:val="right"/>
              <w:ind w:right="370"/>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370"/>
              <w:spacing w:after="0"/>
              <w:rPr>
                <w:sz w:val="20"/>
                <w:szCs w:val="20"/>
                <w:color w:val="auto"/>
              </w:rPr>
            </w:pPr>
            <w:r>
              <w:rPr>
                <w:rFonts w:ascii="Arial" w:cs="Arial" w:eastAsia="Arial" w:hAnsi="Arial"/>
                <w:sz w:val="14"/>
                <w:szCs w:val="14"/>
                <w:color w:val="auto"/>
              </w:rPr>
              <w:t>–</w:t>
            </w:r>
          </w:p>
        </w:tc>
        <w:tc>
          <w:tcPr>
            <w:tcW w:w="1400" w:type="dxa"/>
            <w:vAlign w:val="bottom"/>
          </w:tcPr>
          <w:p>
            <w:pPr>
              <w:jc w:val="right"/>
              <w:ind w:right="26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7"/>
        </w:trPr>
        <w:tc>
          <w:tcPr>
            <w:tcW w:w="3300" w:type="dxa"/>
            <w:vAlign w:val="bottom"/>
            <w:tcBorders>
              <w:bottom w:val="single" w:sz="8" w:color="auto"/>
            </w:tcBorders>
          </w:tcPr>
          <w:p>
            <w:pPr>
              <w:spacing w:after="0"/>
              <w:rPr>
                <w:sz w:val="13"/>
                <w:szCs w:val="13"/>
                <w:color w:val="auto"/>
              </w:rPr>
            </w:pPr>
          </w:p>
        </w:tc>
        <w:tc>
          <w:tcPr>
            <w:tcW w:w="2200" w:type="dxa"/>
            <w:vAlign w:val="bottom"/>
            <w:tcBorders>
              <w:bottom w:val="single" w:sz="8" w:color="auto"/>
            </w:tcBorders>
            <w:gridSpan w:val="3"/>
          </w:tcPr>
          <w:p>
            <w:pPr>
              <w:spacing w:after="0" w:line="157" w:lineRule="exact"/>
              <w:rPr>
                <w:sz w:val="20"/>
                <w:szCs w:val="20"/>
                <w:color w:val="auto"/>
              </w:rPr>
            </w:pPr>
            <w:r>
              <w:rPr>
                <w:rFonts w:ascii="Arial" w:cs="Arial" w:eastAsia="Arial" w:hAnsi="Arial"/>
                <w:sz w:val="14"/>
                <w:szCs w:val="14"/>
                <w:color w:val="auto"/>
              </w:rPr>
              <w:t>Stanlow [D]</w:t>
            </w:r>
          </w:p>
        </w:tc>
        <w:tc>
          <w:tcPr>
            <w:tcW w:w="980" w:type="dxa"/>
            <w:vAlign w:val="bottom"/>
            <w:tcBorders>
              <w:bottom w:val="single" w:sz="8" w:color="auto"/>
            </w:tcBorders>
          </w:tcPr>
          <w:p>
            <w:pPr>
              <w:jc w:val="right"/>
              <w:ind w:right="369"/>
              <w:spacing w:after="0" w:line="157" w:lineRule="exact"/>
              <w:rPr>
                <w:sz w:val="20"/>
                <w:szCs w:val="20"/>
                <w:color w:val="auto"/>
              </w:rPr>
            </w:pPr>
            <w:r>
              <w:rPr>
                <w:rFonts w:ascii="Arial" w:cs="Arial" w:eastAsia="Arial" w:hAnsi="Arial"/>
                <w:sz w:val="14"/>
                <w:szCs w:val="14"/>
                <w:color w:val="auto"/>
              </w:rPr>
              <w:t>–</w:t>
            </w:r>
          </w:p>
        </w:tc>
        <w:tc>
          <w:tcPr>
            <w:tcW w:w="1400" w:type="dxa"/>
            <w:vAlign w:val="bottom"/>
            <w:tcBorders>
              <w:bottom w:val="single" w:sz="8" w:color="auto"/>
            </w:tcBorders>
          </w:tcPr>
          <w:p>
            <w:pPr>
              <w:jc w:val="right"/>
              <w:ind w:right="370"/>
              <w:spacing w:after="0" w:line="157" w:lineRule="exact"/>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tcPr>
          <w:p>
            <w:pPr>
              <w:jc w:val="right"/>
              <w:ind w:right="29"/>
              <w:spacing w:after="0" w:line="157" w:lineRule="exact"/>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tcPr>
          <w:p>
            <w:pPr>
              <w:jc w:val="right"/>
              <w:ind w:right="370"/>
              <w:spacing w:after="0" w:line="157" w:lineRule="exact"/>
              <w:rPr>
                <w:sz w:val="20"/>
                <w:szCs w:val="20"/>
                <w:color w:val="auto"/>
              </w:rPr>
            </w:pPr>
            <w:r>
              <w:rPr>
                <w:rFonts w:ascii="Arial" w:cs="Arial" w:eastAsia="Arial" w:hAnsi="Arial"/>
                <w:sz w:val="14"/>
                <w:szCs w:val="14"/>
                <w:color w:val="auto"/>
              </w:rPr>
              <w:t>330</w:t>
            </w:r>
          </w:p>
        </w:tc>
        <w:tc>
          <w:tcPr>
            <w:tcW w:w="1400" w:type="dxa"/>
            <w:vAlign w:val="bottom"/>
            <w:tcBorders>
              <w:bottom w:val="single" w:sz="8" w:color="auto"/>
            </w:tcBorders>
          </w:tcPr>
          <w:p>
            <w:pPr>
              <w:jc w:val="right"/>
              <w:ind w:right="269"/>
              <w:spacing w:after="0" w:line="157" w:lineRule="exact"/>
              <w:rPr>
                <w:sz w:val="20"/>
                <w:szCs w:val="20"/>
                <w:color w:val="auto"/>
              </w:rPr>
            </w:pPr>
            <w:r>
              <w:rPr>
                <w:rFonts w:ascii="Arial" w:cs="Arial" w:eastAsia="Arial" w:hAnsi="Arial"/>
                <w:sz w:val="14"/>
                <w:szCs w:val="14"/>
                <w:color w:val="auto"/>
              </w:rPr>
              <w:t>I</w:t>
            </w:r>
          </w:p>
        </w:tc>
        <w:tc>
          <w:tcPr>
            <w:tcW w:w="0" w:type="dxa"/>
            <w:vAlign w:val="bottom"/>
          </w:tcPr>
          <w:p>
            <w:pPr>
              <w:spacing w:after="0"/>
              <w:rPr>
                <w:sz w:val="1"/>
                <w:szCs w:val="1"/>
                <w:color w:val="auto"/>
              </w:rPr>
            </w:pPr>
          </w:p>
        </w:tc>
      </w:tr>
      <w:tr>
        <w:trPr>
          <w:trHeight w:val="160"/>
        </w:trPr>
        <w:tc>
          <w:tcPr>
            <w:tcW w:w="3300" w:type="dxa"/>
            <w:vAlign w:val="bottom"/>
          </w:tcPr>
          <w:p>
            <w:pPr>
              <w:spacing w:after="0"/>
              <w:rPr>
                <w:sz w:val="20"/>
                <w:szCs w:val="20"/>
                <w:color w:val="auto"/>
              </w:rPr>
            </w:pPr>
            <w:r>
              <w:rPr>
                <w:rFonts w:ascii="Arial" w:cs="Arial" w:eastAsia="Arial" w:hAnsi="Arial"/>
                <w:sz w:val="14"/>
                <w:szCs w:val="14"/>
                <w:color w:val="auto"/>
              </w:rPr>
              <w:t>Asia</w:t>
            </w:r>
          </w:p>
        </w:tc>
        <w:tc>
          <w:tcPr>
            <w:tcW w:w="14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300" w:type="dxa"/>
            <w:vAlign w:val="bottom"/>
          </w:tcPr>
          <w:p>
            <w:pPr>
              <w:ind w:left="140"/>
              <w:spacing w:after="0"/>
              <w:rPr>
                <w:sz w:val="20"/>
                <w:szCs w:val="20"/>
                <w:color w:val="auto"/>
              </w:rPr>
            </w:pPr>
            <w:r>
              <w:rPr>
                <w:rFonts w:ascii="Arial" w:cs="Arial" w:eastAsia="Arial" w:hAnsi="Arial"/>
                <w:sz w:val="14"/>
                <w:szCs w:val="14"/>
                <w:color w:val="auto"/>
              </w:rPr>
              <w:t>China</w:t>
            </w:r>
          </w:p>
        </w:tc>
        <w:tc>
          <w:tcPr>
            <w:tcW w:w="2200" w:type="dxa"/>
            <w:vAlign w:val="bottom"/>
            <w:gridSpan w:val="3"/>
          </w:tcPr>
          <w:p>
            <w:pPr>
              <w:spacing w:after="0"/>
              <w:rPr>
                <w:sz w:val="20"/>
                <w:szCs w:val="20"/>
                <w:color w:val="auto"/>
              </w:rPr>
            </w:pPr>
            <w:r>
              <w:rPr>
                <w:rFonts w:ascii="Arial" w:cs="Arial" w:eastAsia="Arial" w:hAnsi="Arial"/>
                <w:sz w:val="14"/>
                <w:szCs w:val="14"/>
                <w:color w:val="auto"/>
              </w:rPr>
              <w:t>Nanhai [D]</w:t>
            </w:r>
          </w:p>
        </w:tc>
        <w:tc>
          <w:tcPr>
            <w:tcW w:w="980" w:type="dxa"/>
            <w:vAlign w:val="bottom"/>
          </w:tcPr>
          <w:p>
            <w:pPr>
              <w:jc w:val="right"/>
              <w:ind w:right="369"/>
              <w:spacing w:after="0"/>
              <w:rPr>
                <w:sz w:val="20"/>
                <w:szCs w:val="20"/>
                <w:color w:val="auto"/>
              </w:rPr>
            </w:pPr>
            <w:r>
              <w:rPr>
                <w:rFonts w:ascii="Arial" w:cs="Arial" w:eastAsia="Arial" w:hAnsi="Arial"/>
                <w:sz w:val="14"/>
                <w:szCs w:val="14"/>
                <w:color w:val="auto"/>
              </w:rPr>
              <w:t>475</w:t>
            </w:r>
          </w:p>
        </w:tc>
        <w:tc>
          <w:tcPr>
            <w:tcW w:w="1400" w:type="dxa"/>
            <w:vAlign w:val="bottom"/>
          </w:tcPr>
          <w:p>
            <w:pPr>
              <w:jc w:val="right"/>
              <w:ind w:right="370"/>
              <w:spacing w:after="0"/>
              <w:rPr>
                <w:sz w:val="20"/>
                <w:szCs w:val="20"/>
                <w:color w:val="auto"/>
              </w:rPr>
            </w:pPr>
            <w:r>
              <w:rPr>
                <w:rFonts w:ascii="Arial" w:cs="Arial" w:eastAsia="Arial" w:hAnsi="Arial"/>
                <w:sz w:val="14"/>
                <w:szCs w:val="14"/>
                <w:color w:val="auto"/>
              </w:rPr>
              <w:t>320</w:t>
            </w:r>
          </w:p>
        </w:tc>
        <w:tc>
          <w:tcPr>
            <w:tcW w:w="1040" w:type="dxa"/>
            <w:vAlign w:val="bottom"/>
          </w:tcPr>
          <w:p>
            <w:pPr>
              <w:jc w:val="right"/>
              <w:ind w:right="29"/>
              <w:spacing w:after="0"/>
              <w:rPr>
                <w:sz w:val="20"/>
                <w:szCs w:val="20"/>
                <w:color w:val="auto"/>
              </w:rPr>
            </w:pPr>
            <w:r>
              <w:rPr>
                <w:rFonts w:ascii="Arial" w:cs="Arial" w:eastAsia="Arial" w:hAnsi="Arial"/>
                <w:sz w:val="14"/>
                <w:szCs w:val="14"/>
                <w:color w:val="auto"/>
              </w:rPr>
              <w:t>175</w:t>
            </w:r>
          </w:p>
        </w:tc>
        <w:tc>
          <w:tcPr>
            <w:tcW w:w="1100" w:type="dxa"/>
            <w:vAlign w:val="bottom"/>
          </w:tcPr>
          <w:p>
            <w:pPr>
              <w:jc w:val="right"/>
              <w:ind w:right="370"/>
              <w:spacing w:after="0"/>
              <w:rPr>
                <w:sz w:val="20"/>
                <w:szCs w:val="20"/>
                <w:color w:val="auto"/>
              </w:rPr>
            </w:pPr>
            <w:r>
              <w:rPr>
                <w:rFonts w:ascii="Arial" w:cs="Arial" w:eastAsia="Arial" w:hAnsi="Arial"/>
                <w:sz w:val="14"/>
                <w:szCs w:val="14"/>
                <w:color w:val="auto"/>
              </w:rPr>
              <w:t>–</w:t>
            </w:r>
          </w:p>
        </w:tc>
        <w:tc>
          <w:tcPr>
            <w:tcW w:w="1400" w:type="dxa"/>
            <w:vAlign w:val="bottom"/>
          </w:tcPr>
          <w:p>
            <w:pPr>
              <w:jc w:val="right"/>
              <w:ind w:right="269"/>
              <w:spacing w:after="0"/>
              <w:rPr>
                <w:sz w:val="20"/>
                <w:szCs w:val="20"/>
                <w:color w:val="auto"/>
              </w:rPr>
            </w:pPr>
            <w:r>
              <w:rPr>
                <w:rFonts w:ascii="Arial" w:cs="Arial" w:eastAsia="Arial" w:hAnsi="Arial"/>
                <w:sz w:val="14"/>
                <w:szCs w:val="14"/>
                <w:color w:val="auto"/>
              </w:rPr>
              <w:t>A, I, P</w:t>
            </w:r>
          </w:p>
        </w:tc>
        <w:tc>
          <w:tcPr>
            <w:tcW w:w="0" w:type="dxa"/>
            <w:vAlign w:val="bottom"/>
          </w:tcPr>
          <w:p>
            <w:pPr>
              <w:spacing w:after="0"/>
              <w:rPr>
                <w:sz w:val="1"/>
                <w:szCs w:val="1"/>
                <w:color w:val="auto"/>
              </w:rPr>
            </w:pPr>
          </w:p>
        </w:tc>
      </w:tr>
      <w:tr>
        <w:trPr>
          <w:trHeight w:val="162"/>
        </w:trPr>
        <w:tc>
          <w:tcPr>
            <w:tcW w:w="3300" w:type="dxa"/>
            <w:vAlign w:val="bottom"/>
          </w:tcPr>
          <w:p>
            <w:pPr>
              <w:ind w:left="140"/>
              <w:spacing w:after="0"/>
              <w:rPr>
                <w:sz w:val="20"/>
                <w:szCs w:val="20"/>
                <w:color w:val="auto"/>
              </w:rPr>
            </w:pPr>
            <w:r>
              <w:rPr>
                <w:rFonts w:ascii="Arial" w:cs="Arial" w:eastAsia="Arial" w:hAnsi="Arial"/>
                <w:sz w:val="14"/>
                <w:szCs w:val="14"/>
                <w:color w:val="auto"/>
              </w:rPr>
              <w:t>Japan</w:t>
            </w:r>
          </w:p>
        </w:tc>
        <w:tc>
          <w:tcPr>
            <w:tcW w:w="2200" w:type="dxa"/>
            <w:vAlign w:val="bottom"/>
            <w:gridSpan w:val="3"/>
          </w:tcPr>
          <w:p>
            <w:pPr>
              <w:spacing w:after="0"/>
              <w:rPr>
                <w:sz w:val="20"/>
                <w:szCs w:val="20"/>
                <w:color w:val="auto"/>
              </w:rPr>
            </w:pPr>
            <w:r>
              <w:rPr>
                <w:rFonts w:ascii="Arial" w:cs="Arial" w:eastAsia="Arial" w:hAnsi="Arial"/>
                <w:sz w:val="14"/>
                <w:szCs w:val="14"/>
                <w:color w:val="auto"/>
              </w:rPr>
              <w:t>Yamaguchi [D]</w:t>
            </w:r>
          </w:p>
        </w:tc>
        <w:tc>
          <w:tcPr>
            <w:tcW w:w="980" w:type="dxa"/>
            <w:vAlign w:val="bottom"/>
          </w:tcPr>
          <w:p>
            <w:pPr>
              <w:jc w:val="right"/>
              <w:ind w:right="369"/>
              <w:spacing w:after="0"/>
              <w:rPr>
                <w:sz w:val="20"/>
                <w:szCs w:val="20"/>
                <w:color w:val="auto"/>
              </w:rPr>
            </w:pPr>
            <w:r>
              <w:rPr>
                <w:rFonts w:ascii="Arial" w:cs="Arial" w:eastAsia="Arial" w:hAnsi="Arial"/>
                <w:sz w:val="14"/>
                <w:szCs w:val="14"/>
                <w:color w:val="auto"/>
              </w:rPr>
              <w:t>–</w:t>
            </w:r>
          </w:p>
        </w:tc>
        <w:tc>
          <w:tcPr>
            <w:tcW w:w="1400" w:type="dxa"/>
            <w:vAlign w:val="bottom"/>
          </w:tcPr>
          <w:p>
            <w:pPr>
              <w:jc w:val="right"/>
              <w:ind w:right="370"/>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370"/>
              <w:spacing w:after="0"/>
              <w:rPr>
                <w:sz w:val="20"/>
                <w:szCs w:val="20"/>
                <w:color w:val="auto"/>
              </w:rPr>
            </w:pPr>
            <w:r>
              <w:rPr>
                <w:rFonts w:ascii="Arial" w:cs="Arial" w:eastAsia="Arial" w:hAnsi="Arial"/>
                <w:sz w:val="14"/>
                <w:szCs w:val="14"/>
                <w:color w:val="auto"/>
              </w:rPr>
              <w:t>11</w:t>
            </w:r>
          </w:p>
        </w:tc>
        <w:tc>
          <w:tcPr>
            <w:tcW w:w="1400" w:type="dxa"/>
            <w:vAlign w:val="bottom"/>
          </w:tcPr>
          <w:p>
            <w:pPr>
              <w:jc w:val="right"/>
              <w:ind w:right="269"/>
              <w:spacing w:after="0"/>
              <w:rPr>
                <w:sz w:val="20"/>
                <w:szCs w:val="20"/>
                <w:color w:val="auto"/>
              </w:rPr>
            </w:pPr>
            <w:r>
              <w:rPr>
                <w:rFonts w:ascii="Arial" w:cs="Arial" w:eastAsia="Arial" w:hAnsi="Arial"/>
                <w:sz w:val="14"/>
                <w:szCs w:val="14"/>
                <w:color w:val="auto"/>
              </w:rPr>
              <w:t>A, I</w:t>
            </w:r>
          </w:p>
        </w:tc>
        <w:tc>
          <w:tcPr>
            <w:tcW w:w="0" w:type="dxa"/>
            <w:vAlign w:val="bottom"/>
          </w:tcPr>
          <w:p>
            <w:pPr>
              <w:spacing w:after="0"/>
              <w:rPr>
                <w:sz w:val="1"/>
                <w:szCs w:val="1"/>
                <w:color w:val="auto"/>
              </w:rPr>
            </w:pPr>
          </w:p>
        </w:tc>
      </w:tr>
      <w:tr>
        <w:trPr>
          <w:trHeight w:val="162"/>
        </w:trPr>
        <w:tc>
          <w:tcPr>
            <w:tcW w:w="3300" w:type="dxa"/>
            <w:vAlign w:val="bottom"/>
          </w:tcPr>
          <w:p>
            <w:pPr>
              <w:ind w:left="140"/>
              <w:spacing w:after="0"/>
              <w:rPr>
                <w:sz w:val="20"/>
                <w:szCs w:val="20"/>
                <w:color w:val="auto"/>
              </w:rPr>
            </w:pPr>
            <w:r>
              <w:rPr>
                <w:rFonts w:ascii="Arial" w:cs="Arial" w:eastAsia="Arial" w:hAnsi="Arial"/>
                <w:sz w:val="14"/>
                <w:szCs w:val="14"/>
                <w:color w:val="auto"/>
              </w:rPr>
              <w:t>Saudi Arabia</w:t>
            </w:r>
          </w:p>
        </w:tc>
        <w:tc>
          <w:tcPr>
            <w:tcW w:w="2200" w:type="dxa"/>
            <w:vAlign w:val="bottom"/>
            <w:gridSpan w:val="3"/>
          </w:tcPr>
          <w:p>
            <w:pPr>
              <w:spacing w:after="0"/>
              <w:rPr>
                <w:sz w:val="20"/>
                <w:szCs w:val="20"/>
                <w:color w:val="auto"/>
              </w:rPr>
            </w:pPr>
            <w:r>
              <w:rPr>
                <w:rFonts w:ascii="Arial" w:cs="Arial" w:eastAsia="Arial" w:hAnsi="Arial"/>
                <w:sz w:val="14"/>
                <w:szCs w:val="14"/>
                <w:color w:val="auto"/>
              </w:rPr>
              <w:t>Al Jubail [D]</w:t>
            </w:r>
          </w:p>
        </w:tc>
        <w:tc>
          <w:tcPr>
            <w:tcW w:w="980" w:type="dxa"/>
            <w:vAlign w:val="bottom"/>
          </w:tcPr>
          <w:p>
            <w:pPr>
              <w:jc w:val="right"/>
              <w:ind w:right="369"/>
              <w:spacing w:after="0"/>
              <w:rPr>
                <w:sz w:val="20"/>
                <w:szCs w:val="20"/>
                <w:color w:val="auto"/>
              </w:rPr>
            </w:pPr>
            <w:r>
              <w:rPr>
                <w:rFonts w:ascii="Arial" w:cs="Arial" w:eastAsia="Arial" w:hAnsi="Arial"/>
                <w:sz w:val="14"/>
                <w:szCs w:val="14"/>
                <w:color w:val="auto"/>
              </w:rPr>
              <w:t>366</w:t>
            </w:r>
          </w:p>
        </w:tc>
        <w:tc>
          <w:tcPr>
            <w:tcW w:w="1400" w:type="dxa"/>
            <w:vAlign w:val="bottom"/>
          </w:tcPr>
          <w:p>
            <w:pPr>
              <w:jc w:val="right"/>
              <w:ind w:right="370"/>
              <w:spacing w:after="0"/>
              <w:rPr>
                <w:sz w:val="20"/>
                <w:szCs w:val="20"/>
                <w:color w:val="auto"/>
              </w:rPr>
            </w:pPr>
            <w:r>
              <w:rPr>
                <w:rFonts w:ascii="Arial" w:cs="Arial" w:eastAsia="Arial" w:hAnsi="Arial"/>
                <w:sz w:val="14"/>
                <w:szCs w:val="14"/>
                <w:color w:val="auto"/>
              </w:rPr>
              <w:t>400</w:t>
            </w:r>
          </w:p>
        </w:tc>
        <w:tc>
          <w:tcPr>
            <w:tcW w:w="104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370"/>
              <w:spacing w:after="0"/>
              <w:rPr>
                <w:sz w:val="20"/>
                <w:szCs w:val="20"/>
                <w:color w:val="auto"/>
              </w:rPr>
            </w:pPr>
            <w:r>
              <w:rPr>
                <w:rFonts w:ascii="Arial" w:cs="Arial" w:eastAsia="Arial" w:hAnsi="Arial"/>
                <w:sz w:val="14"/>
                <w:szCs w:val="14"/>
                <w:color w:val="auto"/>
              </w:rPr>
              <w:t>–</w:t>
            </w:r>
          </w:p>
        </w:tc>
        <w:tc>
          <w:tcPr>
            <w:tcW w:w="1400" w:type="dxa"/>
            <w:vAlign w:val="bottom"/>
          </w:tcPr>
          <w:p>
            <w:pPr>
              <w:jc w:val="right"/>
              <w:ind w:right="269"/>
              <w:spacing w:after="0"/>
              <w:rPr>
                <w:sz w:val="20"/>
                <w:szCs w:val="20"/>
                <w:color w:val="auto"/>
              </w:rPr>
            </w:pPr>
            <w:r>
              <w:rPr>
                <w:rFonts w:ascii="Arial" w:cs="Arial" w:eastAsia="Arial" w:hAnsi="Arial"/>
                <w:sz w:val="14"/>
                <w:szCs w:val="14"/>
                <w:color w:val="auto"/>
              </w:rPr>
              <w:t>A, O</w:t>
            </w:r>
          </w:p>
        </w:tc>
        <w:tc>
          <w:tcPr>
            <w:tcW w:w="0" w:type="dxa"/>
            <w:vAlign w:val="bottom"/>
          </w:tcPr>
          <w:p>
            <w:pPr>
              <w:spacing w:after="0"/>
              <w:rPr>
                <w:sz w:val="1"/>
                <w:szCs w:val="1"/>
                <w:color w:val="auto"/>
              </w:rPr>
            </w:pPr>
          </w:p>
        </w:tc>
      </w:tr>
      <w:tr>
        <w:trPr>
          <w:trHeight w:val="162"/>
        </w:trPr>
        <w:tc>
          <w:tcPr>
            <w:tcW w:w="3300" w:type="dxa"/>
            <w:vAlign w:val="bottom"/>
          </w:tcPr>
          <w:p>
            <w:pPr>
              <w:ind w:left="140"/>
              <w:spacing w:after="0"/>
              <w:rPr>
                <w:sz w:val="20"/>
                <w:szCs w:val="20"/>
                <w:color w:val="auto"/>
              </w:rPr>
            </w:pPr>
            <w:r>
              <w:rPr>
                <w:rFonts w:ascii="Arial" w:cs="Arial" w:eastAsia="Arial" w:hAnsi="Arial"/>
                <w:sz w:val="14"/>
                <w:szCs w:val="14"/>
                <w:color w:val="auto"/>
              </w:rPr>
              <w:t>Singapore</w:t>
            </w:r>
          </w:p>
        </w:tc>
        <w:tc>
          <w:tcPr>
            <w:tcW w:w="2200" w:type="dxa"/>
            <w:vAlign w:val="bottom"/>
            <w:gridSpan w:val="3"/>
          </w:tcPr>
          <w:p>
            <w:pPr>
              <w:spacing w:after="0"/>
              <w:rPr>
                <w:sz w:val="20"/>
                <w:szCs w:val="20"/>
                <w:color w:val="auto"/>
              </w:rPr>
            </w:pPr>
            <w:r>
              <w:rPr>
                <w:rFonts w:ascii="Arial" w:cs="Arial" w:eastAsia="Arial" w:hAnsi="Arial"/>
                <w:sz w:val="14"/>
                <w:szCs w:val="14"/>
                <w:color w:val="auto"/>
              </w:rPr>
              <w:t>Jurong Island</w:t>
            </w:r>
          </w:p>
        </w:tc>
        <w:tc>
          <w:tcPr>
            <w:tcW w:w="980" w:type="dxa"/>
            <w:vAlign w:val="bottom"/>
          </w:tcPr>
          <w:p>
            <w:pPr>
              <w:jc w:val="right"/>
              <w:ind w:right="369"/>
              <w:spacing w:after="0"/>
              <w:rPr>
                <w:sz w:val="20"/>
                <w:szCs w:val="20"/>
                <w:color w:val="auto"/>
              </w:rPr>
            </w:pPr>
            <w:r>
              <w:rPr>
                <w:rFonts w:ascii="Arial" w:cs="Arial" w:eastAsia="Arial" w:hAnsi="Arial"/>
                <w:sz w:val="14"/>
                <w:szCs w:val="14"/>
                <w:color w:val="auto"/>
              </w:rPr>
              <w:t>281</w:t>
            </w:r>
          </w:p>
        </w:tc>
        <w:tc>
          <w:tcPr>
            <w:tcW w:w="1400" w:type="dxa"/>
            <w:vAlign w:val="bottom"/>
          </w:tcPr>
          <w:p>
            <w:pPr>
              <w:jc w:val="right"/>
              <w:ind w:right="370"/>
              <w:spacing w:after="0"/>
              <w:rPr>
                <w:sz w:val="20"/>
                <w:szCs w:val="20"/>
                <w:color w:val="auto"/>
              </w:rPr>
            </w:pPr>
            <w:r>
              <w:rPr>
                <w:rFonts w:ascii="Arial" w:cs="Arial" w:eastAsia="Arial" w:hAnsi="Arial"/>
                <w:sz w:val="14"/>
                <w:szCs w:val="14"/>
                <w:color w:val="auto"/>
              </w:rPr>
              <w:t>1,069</w:t>
            </w:r>
          </w:p>
        </w:tc>
        <w:tc>
          <w:tcPr>
            <w:tcW w:w="1040" w:type="dxa"/>
            <w:vAlign w:val="bottom"/>
          </w:tcPr>
          <w:p>
            <w:pPr>
              <w:jc w:val="right"/>
              <w:ind w:right="29"/>
              <w:spacing w:after="0"/>
              <w:rPr>
                <w:sz w:val="20"/>
                <w:szCs w:val="20"/>
                <w:color w:val="auto"/>
              </w:rPr>
            </w:pPr>
            <w:r>
              <w:rPr>
                <w:rFonts w:ascii="Arial" w:cs="Arial" w:eastAsia="Arial" w:hAnsi="Arial"/>
                <w:sz w:val="14"/>
                <w:szCs w:val="14"/>
                <w:color w:val="auto"/>
              </w:rPr>
              <w:t>1,005</w:t>
            </w:r>
          </w:p>
        </w:tc>
        <w:tc>
          <w:tcPr>
            <w:tcW w:w="1100" w:type="dxa"/>
            <w:vAlign w:val="bottom"/>
          </w:tcPr>
          <w:p>
            <w:pPr>
              <w:jc w:val="right"/>
              <w:ind w:right="370"/>
              <w:spacing w:after="0"/>
              <w:rPr>
                <w:sz w:val="20"/>
                <w:szCs w:val="20"/>
                <w:color w:val="auto"/>
              </w:rPr>
            </w:pPr>
            <w:r>
              <w:rPr>
                <w:rFonts w:ascii="Arial" w:cs="Arial" w:eastAsia="Arial" w:hAnsi="Arial"/>
                <w:sz w:val="14"/>
                <w:szCs w:val="14"/>
                <w:color w:val="auto"/>
              </w:rPr>
              <w:t>–</w:t>
            </w:r>
          </w:p>
        </w:tc>
        <w:tc>
          <w:tcPr>
            <w:tcW w:w="1400" w:type="dxa"/>
            <w:vAlign w:val="bottom"/>
          </w:tcPr>
          <w:p>
            <w:pPr>
              <w:jc w:val="right"/>
              <w:ind w:right="269"/>
              <w:spacing w:after="0"/>
              <w:rPr>
                <w:sz w:val="20"/>
                <w:szCs w:val="20"/>
                <w:color w:val="auto"/>
              </w:rPr>
            </w:pPr>
            <w:r>
              <w:rPr>
                <w:rFonts w:ascii="Arial" w:cs="Arial" w:eastAsia="Arial" w:hAnsi="Arial"/>
                <w:sz w:val="14"/>
                <w:szCs w:val="14"/>
                <w:color w:val="auto"/>
              </w:rPr>
              <w:t>A, I, P, O</w:t>
            </w:r>
          </w:p>
        </w:tc>
        <w:tc>
          <w:tcPr>
            <w:tcW w:w="0" w:type="dxa"/>
            <w:vAlign w:val="bottom"/>
          </w:tcPr>
          <w:p>
            <w:pPr>
              <w:spacing w:after="0"/>
              <w:rPr>
                <w:sz w:val="1"/>
                <w:szCs w:val="1"/>
                <w:color w:val="auto"/>
              </w:rPr>
            </w:pPr>
          </w:p>
        </w:tc>
      </w:tr>
      <w:tr>
        <w:trPr>
          <w:trHeight w:val="157"/>
        </w:trPr>
        <w:tc>
          <w:tcPr>
            <w:tcW w:w="3300" w:type="dxa"/>
            <w:vAlign w:val="bottom"/>
            <w:tcBorders>
              <w:bottom w:val="single" w:sz="8" w:color="auto"/>
            </w:tcBorders>
          </w:tcPr>
          <w:p>
            <w:pPr>
              <w:spacing w:after="0"/>
              <w:rPr>
                <w:sz w:val="13"/>
                <w:szCs w:val="13"/>
                <w:color w:val="auto"/>
              </w:rPr>
            </w:pPr>
          </w:p>
        </w:tc>
        <w:tc>
          <w:tcPr>
            <w:tcW w:w="2200" w:type="dxa"/>
            <w:vAlign w:val="bottom"/>
            <w:tcBorders>
              <w:bottom w:val="single" w:sz="8" w:color="auto"/>
            </w:tcBorders>
            <w:gridSpan w:val="3"/>
          </w:tcPr>
          <w:p>
            <w:pPr>
              <w:spacing w:after="0" w:line="157" w:lineRule="exact"/>
              <w:rPr>
                <w:sz w:val="20"/>
                <w:szCs w:val="20"/>
                <w:color w:val="auto"/>
              </w:rPr>
            </w:pPr>
            <w:r>
              <w:rPr>
                <w:rFonts w:ascii="Arial" w:cs="Arial" w:eastAsia="Arial" w:hAnsi="Arial"/>
                <w:sz w:val="14"/>
                <w:szCs w:val="14"/>
                <w:color w:val="auto"/>
              </w:rPr>
              <w:t>Pulau Bukom</w:t>
            </w:r>
          </w:p>
        </w:tc>
        <w:tc>
          <w:tcPr>
            <w:tcW w:w="980" w:type="dxa"/>
            <w:vAlign w:val="bottom"/>
            <w:tcBorders>
              <w:bottom w:val="single" w:sz="8" w:color="auto"/>
            </w:tcBorders>
          </w:tcPr>
          <w:p>
            <w:pPr>
              <w:jc w:val="right"/>
              <w:ind w:right="369"/>
              <w:spacing w:after="0" w:line="157" w:lineRule="exact"/>
              <w:rPr>
                <w:sz w:val="20"/>
                <w:szCs w:val="20"/>
                <w:color w:val="auto"/>
              </w:rPr>
            </w:pPr>
            <w:r>
              <w:rPr>
                <w:rFonts w:ascii="Arial" w:cs="Arial" w:eastAsia="Arial" w:hAnsi="Arial"/>
                <w:sz w:val="14"/>
                <w:szCs w:val="14"/>
                <w:color w:val="auto"/>
              </w:rPr>
              <w:t>800</w:t>
            </w:r>
          </w:p>
        </w:tc>
        <w:tc>
          <w:tcPr>
            <w:tcW w:w="1400" w:type="dxa"/>
            <w:vAlign w:val="bottom"/>
            <w:tcBorders>
              <w:bottom w:val="single" w:sz="8" w:color="auto"/>
            </w:tcBorders>
          </w:tcPr>
          <w:p>
            <w:pPr>
              <w:jc w:val="right"/>
              <w:ind w:right="370"/>
              <w:spacing w:after="0" w:line="157" w:lineRule="exact"/>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tcPr>
          <w:p>
            <w:pPr>
              <w:jc w:val="right"/>
              <w:ind w:right="29"/>
              <w:spacing w:after="0" w:line="157" w:lineRule="exact"/>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tcPr>
          <w:p>
            <w:pPr>
              <w:jc w:val="right"/>
              <w:ind w:right="370"/>
              <w:spacing w:after="0" w:line="157" w:lineRule="exact"/>
              <w:rPr>
                <w:sz w:val="20"/>
                <w:szCs w:val="20"/>
                <w:color w:val="auto"/>
              </w:rPr>
            </w:pPr>
            <w:r>
              <w:rPr>
                <w:rFonts w:ascii="Arial" w:cs="Arial" w:eastAsia="Arial" w:hAnsi="Arial"/>
                <w:sz w:val="14"/>
                <w:szCs w:val="14"/>
                <w:color w:val="auto"/>
              </w:rPr>
              <w:t>–</w:t>
            </w:r>
          </w:p>
        </w:tc>
        <w:tc>
          <w:tcPr>
            <w:tcW w:w="1400" w:type="dxa"/>
            <w:vAlign w:val="bottom"/>
            <w:tcBorders>
              <w:bottom w:val="single" w:sz="8" w:color="auto"/>
            </w:tcBorders>
          </w:tcPr>
          <w:p>
            <w:pPr>
              <w:jc w:val="right"/>
              <w:ind w:right="269"/>
              <w:spacing w:after="0" w:line="157" w:lineRule="exact"/>
              <w:rPr>
                <w:sz w:val="20"/>
                <w:szCs w:val="20"/>
                <w:color w:val="auto"/>
              </w:rPr>
            </w:pPr>
            <w:r>
              <w:rPr>
                <w:rFonts w:ascii="Arial" w:cs="Arial" w:eastAsia="Arial" w:hAnsi="Arial"/>
                <w:sz w:val="14"/>
                <w:szCs w:val="14"/>
                <w:color w:val="auto"/>
              </w:rPr>
              <w:t>A, I</w:t>
            </w:r>
          </w:p>
        </w:tc>
        <w:tc>
          <w:tcPr>
            <w:tcW w:w="0" w:type="dxa"/>
            <w:vAlign w:val="bottom"/>
          </w:tcPr>
          <w:p>
            <w:pPr>
              <w:spacing w:after="0"/>
              <w:rPr>
                <w:sz w:val="1"/>
                <w:szCs w:val="1"/>
                <w:color w:val="auto"/>
              </w:rPr>
            </w:pPr>
          </w:p>
        </w:tc>
      </w:tr>
      <w:tr>
        <w:trPr>
          <w:trHeight w:val="160"/>
        </w:trPr>
        <w:tc>
          <w:tcPr>
            <w:tcW w:w="3300" w:type="dxa"/>
            <w:vAlign w:val="bottom"/>
          </w:tcPr>
          <w:p>
            <w:pPr>
              <w:spacing w:after="0"/>
              <w:rPr>
                <w:sz w:val="20"/>
                <w:szCs w:val="20"/>
                <w:color w:val="auto"/>
              </w:rPr>
            </w:pPr>
            <w:r>
              <w:rPr>
                <w:rFonts w:ascii="Arial" w:cs="Arial" w:eastAsia="Arial" w:hAnsi="Arial"/>
                <w:sz w:val="14"/>
                <w:szCs w:val="14"/>
                <w:color w:val="auto"/>
              </w:rPr>
              <w:t>Americas</w:t>
            </w:r>
          </w:p>
        </w:tc>
        <w:tc>
          <w:tcPr>
            <w:tcW w:w="14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300" w:type="dxa"/>
            <w:vAlign w:val="bottom"/>
          </w:tcPr>
          <w:p>
            <w:pPr>
              <w:ind w:left="140"/>
              <w:spacing w:after="0"/>
              <w:rPr>
                <w:sz w:val="20"/>
                <w:szCs w:val="20"/>
                <w:color w:val="auto"/>
              </w:rPr>
            </w:pPr>
            <w:r>
              <w:rPr>
                <w:rFonts w:ascii="Arial" w:cs="Arial" w:eastAsia="Arial" w:hAnsi="Arial"/>
                <w:sz w:val="14"/>
                <w:szCs w:val="14"/>
                <w:color w:val="auto"/>
              </w:rPr>
              <w:t>Canada</w:t>
            </w:r>
          </w:p>
        </w:tc>
        <w:tc>
          <w:tcPr>
            <w:tcW w:w="2200" w:type="dxa"/>
            <w:vAlign w:val="bottom"/>
            <w:gridSpan w:val="3"/>
          </w:tcPr>
          <w:p>
            <w:pPr>
              <w:spacing w:after="0"/>
              <w:rPr>
                <w:sz w:val="20"/>
                <w:szCs w:val="20"/>
                <w:color w:val="auto"/>
              </w:rPr>
            </w:pPr>
            <w:r>
              <w:rPr>
                <w:rFonts w:ascii="Arial" w:cs="Arial" w:eastAsia="Arial" w:hAnsi="Arial"/>
                <w:sz w:val="14"/>
                <w:szCs w:val="14"/>
                <w:color w:val="auto"/>
              </w:rPr>
              <w:t>Scotford</w:t>
            </w:r>
          </w:p>
        </w:tc>
        <w:tc>
          <w:tcPr>
            <w:tcW w:w="980" w:type="dxa"/>
            <w:vAlign w:val="bottom"/>
          </w:tcPr>
          <w:p>
            <w:pPr>
              <w:jc w:val="right"/>
              <w:ind w:right="369"/>
              <w:spacing w:after="0"/>
              <w:rPr>
                <w:sz w:val="20"/>
                <w:szCs w:val="20"/>
                <w:color w:val="auto"/>
              </w:rPr>
            </w:pPr>
            <w:r>
              <w:rPr>
                <w:rFonts w:ascii="Arial" w:cs="Arial" w:eastAsia="Arial" w:hAnsi="Arial"/>
                <w:sz w:val="14"/>
                <w:szCs w:val="14"/>
                <w:color w:val="auto"/>
              </w:rPr>
              <w:t>–</w:t>
            </w:r>
          </w:p>
        </w:tc>
        <w:tc>
          <w:tcPr>
            <w:tcW w:w="1400" w:type="dxa"/>
            <w:vAlign w:val="bottom"/>
          </w:tcPr>
          <w:p>
            <w:pPr>
              <w:jc w:val="right"/>
              <w:ind w:right="370"/>
              <w:spacing w:after="0"/>
              <w:rPr>
                <w:sz w:val="20"/>
                <w:szCs w:val="20"/>
                <w:color w:val="auto"/>
              </w:rPr>
            </w:pPr>
            <w:r>
              <w:rPr>
                <w:rFonts w:ascii="Arial" w:cs="Arial" w:eastAsia="Arial" w:hAnsi="Arial"/>
                <w:sz w:val="14"/>
                <w:szCs w:val="14"/>
                <w:color w:val="auto"/>
              </w:rPr>
              <w:t>485</w:t>
            </w:r>
          </w:p>
        </w:tc>
        <w:tc>
          <w:tcPr>
            <w:tcW w:w="1040" w:type="dxa"/>
            <w:vAlign w:val="bottom"/>
          </w:tcPr>
          <w:p>
            <w:pPr>
              <w:jc w:val="right"/>
              <w:ind w:right="29"/>
              <w:spacing w:after="0"/>
              <w:rPr>
                <w:sz w:val="20"/>
                <w:szCs w:val="20"/>
                <w:color w:val="auto"/>
              </w:rPr>
            </w:pPr>
            <w:r>
              <w:rPr>
                <w:rFonts w:ascii="Arial" w:cs="Arial" w:eastAsia="Arial" w:hAnsi="Arial"/>
                <w:sz w:val="14"/>
                <w:szCs w:val="14"/>
                <w:color w:val="auto"/>
              </w:rPr>
              <w:t>520</w:t>
            </w:r>
          </w:p>
        </w:tc>
        <w:tc>
          <w:tcPr>
            <w:tcW w:w="1100" w:type="dxa"/>
            <w:vAlign w:val="bottom"/>
          </w:tcPr>
          <w:p>
            <w:pPr>
              <w:jc w:val="right"/>
              <w:ind w:right="370"/>
              <w:spacing w:after="0"/>
              <w:rPr>
                <w:sz w:val="20"/>
                <w:szCs w:val="20"/>
                <w:color w:val="auto"/>
              </w:rPr>
            </w:pPr>
            <w:r>
              <w:rPr>
                <w:rFonts w:ascii="Arial" w:cs="Arial" w:eastAsia="Arial" w:hAnsi="Arial"/>
                <w:sz w:val="14"/>
                <w:szCs w:val="14"/>
                <w:color w:val="auto"/>
              </w:rPr>
              <w:t>–</w:t>
            </w:r>
          </w:p>
        </w:tc>
        <w:tc>
          <w:tcPr>
            <w:tcW w:w="1400" w:type="dxa"/>
            <w:vAlign w:val="bottom"/>
          </w:tcPr>
          <w:p>
            <w:pPr>
              <w:jc w:val="right"/>
              <w:ind w:right="269"/>
              <w:spacing w:after="0"/>
              <w:rPr>
                <w:sz w:val="20"/>
                <w:szCs w:val="20"/>
                <w:color w:val="auto"/>
              </w:rPr>
            </w:pPr>
            <w:r>
              <w:rPr>
                <w:rFonts w:ascii="Arial" w:cs="Arial" w:eastAsia="Arial" w:hAnsi="Arial"/>
                <w:sz w:val="14"/>
                <w:szCs w:val="14"/>
                <w:color w:val="auto"/>
              </w:rPr>
              <w:t>A, I</w:t>
            </w:r>
          </w:p>
        </w:tc>
        <w:tc>
          <w:tcPr>
            <w:tcW w:w="0" w:type="dxa"/>
            <w:vAlign w:val="bottom"/>
          </w:tcPr>
          <w:p>
            <w:pPr>
              <w:spacing w:after="0"/>
              <w:rPr>
                <w:sz w:val="1"/>
                <w:szCs w:val="1"/>
                <w:color w:val="auto"/>
              </w:rPr>
            </w:pPr>
          </w:p>
        </w:tc>
      </w:tr>
      <w:tr>
        <w:trPr>
          <w:trHeight w:val="162"/>
        </w:trPr>
        <w:tc>
          <w:tcPr>
            <w:tcW w:w="3300" w:type="dxa"/>
            <w:vAlign w:val="bottom"/>
          </w:tcPr>
          <w:p>
            <w:pPr>
              <w:ind w:left="140"/>
              <w:spacing w:after="0"/>
              <w:rPr>
                <w:sz w:val="20"/>
                <w:szCs w:val="20"/>
                <w:color w:val="auto"/>
              </w:rPr>
            </w:pPr>
            <w:r>
              <w:rPr>
                <w:rFonts w:ascii="Arial" w:cs="Arial" w:eastAsia="Arial" w:hAnsi="Arial"/>
                <w:sz w:val="14"/>
                <w:szCs w:val="14"/>
                <w:color w:val="auto"/>
              </w:rPr>
              <w:t>USA</w:t>
            </w:r>
          </w:p>
        </w:tc>
        <w:tc>
          <w:tcPr>
            <w:tcW w:w="2200" w:type="dxa"/>
            <w:vAlign w:val="bottom"/>
            <w:gridSpan w:val="3"/>
          </w:tcPr>
          <w:p>
            <w:pPr>
              <w:spacing w:after="0"/>
              <w:rPr>
                <w:sz w:val="20"/>
                <w:szCs w:val="20"/>
                <w:color w:val="auto"/>
              </w:rPr>
            </w:pPr>
            <w:r>
              <w:rPr>
                <w:rFonts w:ascii="Arial" w:cs="Arial" w:eastAsia="Arial" w:hAnsi="Arial"/>
                <w:sz w:val="14"/>
                <w:szCs w:val="14"/>
                <w:color w:val="auto"/>
              </w:rPr>
              <w:t>Deer Park</w:t>
            </w:r>
          </w:p>
        </w:tc>
        <w:tc>
          <w:tcPr>
            <w:tcW w:w="980" w:type="dxa"/>
            <w:vAlign w:val="bottom"/>
          </w:tcPr>
          <w:p>
            <w:pPr>
              <w:jc w:val="right"/>
              <w:ind w:right="369"/>
              <w:spacing w:after="0"/>
              <w:rPr>
                <w:sz w:val="20"/>
                <w:szCs w:val="20"/>
                <w:color w:val="auto"/>
              </w:rPr>
            </w:pPr>
            <w:r>
              <w:rPr>
                <w:rFonts w:ascii="Arial" w:cs="Arial" w:eastAsia="Arial" w:hAnsi="Arial"/>
                <w:sz w:val="14"/>
                <w:szCs w:val="14"/>
                <w:color w:val="auto"/>
              </w:rPr>
              <w:t>836</w:t>
            </w:r>
          </w:p>
        </w:tc>
        <w:tc>
          <w:tcPr>
            <w:tcW w:w="1400" w:type="dxa"/>
            <w:vAlign w:val="bottom"/>
          </w:tcPr>
          <w:p>
            <w:pPr>
              <w:jc w:val="right"/>
              <w:ind w:right="370"/>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370"/>
              <w:spacing w:after="0"/>
              <w:rPr>
                <w:sz w:val="20"/>
                <w:szCs w:val="20"/>
                <w:color w:val="auto"/>
              </w:rPr>
            </w:pPr>
            <w:r>
              <w:rPr>
                <w:rFonts w:ascii="Arial" w:cs="Arial" w:eastAsia="Arial" w:hAnsi="Arial"/>
                <w:sz w:val="14"/>
                <w:szCs w:val="14"/>
                <w:color w:val="auto"/>
              </w:rPr>
              <w:t>–</w:t>
            </w:r>
          </w:p>
        </w:tc>
        <w:tc>
          <w:tcPr>
            <w:tcW w:w="1400" w:type="dxa"/>
            <w:vAlign w:val="bottom"/>
          </w:tcPr>
          <w:p>
            <w:pPr>
              <w:jc w:val="right"/>
              <w:ind w:right="269"/>
              <w:spacing w:after="0"/>
              <w:rPr>
                <w:sz w:val="20"/>
                <w:szCs w:val="20"/>
                <w:color w:val="auto"/>
              </w:rPr>
            </w:pPr>
            <w:r>
              <w:rPr>
                <w:rFonts w:ascii="Arial" w:cs="Arial" w:eastAsia="Arial" w:hAnsi="Arial"/>
                <w:sz w:val="14"/>
                <w:szCs w:val="14"/>
                <w:color w:val="auto"/>
              </w:rPr>
              <w:t>A, I</w:t>
            </w:r>
          </w:p>
        </w:tc>
        <w:tc>
          <w:tcPr>
            <w:tcW w:w="0" w:type="dxa"/>
            <w:vAlign w:val="bottom"/>
          </w:tcPr>
          <w:p>
            <w:pPr>
              <w:spacing w:after="0"/>
              <w:rPr>
                <w:sz w:val="1"/>
                <w:szCs w:val="1"/>
                <w:color w:val="auto"/>
              </w:rPr>
            </w:pPr>
          </w:p>
        </w:tc>
      </w:tr>
      <w:tr>
        <w:trPr>
          <w:trHeight w:val="162"/>
        </w:trPr>
        <w:tc>
          <w:tcPr>
            <w:tcW w:w="3300" w:type="dxa"/>
            <w:vAlign w:val="bottom"/>
          </w:tcPr>
          <w:p>
            <w:pPr>
              <w:spacing w:after="0"/>
              <w:rPr>
                <w:sz w:val="14"/>
                <w:szCs w:val="14"/>
                <w:color w:val="auto"/>
              </w:rPr>
            </w:pPr>
          </w:p>
        </w:tc>
        <w:tc>
          <w:tcPr>
            <w:tcW w:w="2200" w:type="dxa"/>
            <w:vAlign w:val="bottom"/>
            <w:gridSpan w:val="3"/>
          </w:tcPr>
          <w:p>
            <w:pPr>
              <w:spacing w:after="0"/>
              <w:rPr>
                <w:sz w:val="20"/>
                <w:szCs w:val="20"/>
                <w:color w:val="auto"/>
              </w:rPr>
            </w:pPr>
            <w:r>
              <w:rPr>
                <w:rFonts w:ascii="Arial" w:cs="Arial" w:eastAsia="Arial" w:hAnsi="Arial"/>
                <w:sz w:val="14"/>
                <w:szCs w:val="14"/>
                <w:color w:val="auto"/>
              </w:rPr>
              <w:t>Geismar</w:t>
            </w:r>
          </w:p>
        </w:tc>
        <w:tc>
          <w:tcPr>
            <w:tcW w:w="980" w:type="dxa"/>
            <w:vAlign w:val="bottom"/>
          </w:tcPr>
          <w:p>
            <w:pPr>
              <w:jc w:val="right"/>
              <w:ind w:right="369"/>
              <w:spacing w:after="0"/>
              <w:rPr>
                <w:sz w:val="20"/>
                <w:szCs w:val="20"/>
                <w:color w:val="auto"/>
              </w:rPr>
            </w:pPr>
            <w:r>
              <w:rPr>
                <w:rFonts w:ascii="Arial" w:cs="Arial" w:eastAsia="Arial" w:hAnsi="Arial"/>
                <w:sz w:val="14"/>
                <w:szCs w:val="14"/>
                <w:color w:val="auto"/>
              </w:rPr>
              <w:t>–</w:t>
            </w:r>
          </w:p>
        </w:tc>
        <w:tc>
          <w:tcPr>
            <w:tcW w:w="1400" w:type="dxa"/>
            <w:vAlign w:val="bottom"/>
          </w:tcPr>
          <w:p>
            <w:pPr>
              <w:jc w:val="right"/>
              <w:ind w:right="370"/>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29"/>
              <w:spacing w:after="0"/>
              <w:rPr>
                <w:sz w:val="20"/>
                <w:szCs w:val="20"/>
                <w:color w:val="auto"/>
              </w:rPr>
            </w:pPr>
            <w:r>
              <w:rPr>
                <w:rFonts w:ascii="Arial" w:cs="Arial" w:eastAsia="Arial" w:hAnsi="Arial"/>
                <w:sz w:val="14"/>
                <w:szCs w:val="14"/>
                <w:color w:val="auto"/>
              </w:rPr>
              <w:t>400</w:t>
            </w:r>
          </w:p>
        </w:tc>
        <w:tc>
          <w:tcPr>
            <w:tcW w:w="1100" w:type="dxa"/>
            <w:vAlign w:val="bottom"/>
          </w:tcPr>
          <w:p>
            <w:pPr>
              <w:jc w:val="right"/>
              <w:ind w:right="370"/>
              <w:spacing w:after="0"/>
              <w:rPr>
                <w:sz w:val="20"/>
                <w:szCs w:val="20"/>
                <w:color w:val="auto"/>
              </w:rPr>
            </w:pPr>
            <w:r>
              <w:rPr>
                <w:rFonts w:ascii="Arial" w:cs="Arial" w:eastAsia="Arial" w:hAnsi="Arial"/>
                <w:sz w:val="14"/>
                <w:szCs w:val="14"/>
                <w:color w:val="auto"/>
              </w:rPr>
              <w:t>920</w:t>
            </w:r>
          </w:p>
        </w:tc>
        <w:tc>
          <w:tcPr>
            <w:tcW w:w="1400" w:type="dxa"/>
            <w:vAlign w:val="bottom"/>
          </w:tcPr>
          <w:p>
            <w:pPr>
              <w:jc w:val="right"/>
              <w:ind w:right="269"/>
              <w:spacing w:after="0"/>
              <w:rPr>
                <w:sz w:val="20"/>
                <w:szCs w:val="20"/>
                <w:color w:val="auto"/>
              </w:rPr>
            </w:pPr>
            <w:r>
              <w:rPr>
                <w:rFonts w:ascii="Arial" w:cs="Arial" w:eastAsia="Arial" w:hAnsi="Arial"/>
                <w:sz w:val="14"/>
                <w:szCs w:val="14"/>
                <w:color w:val="auto"/>
              </w:rPr>
              <w:t>I</w:t>
            </w:r>
          </w:p>
        </w:tc>
        <w:tc>
          <w:tcPr>
            <w:tcW w:w="0" w:type="dxa"/>
            <w:vAlign w:val="bottom"/>
          </w:tcPr>
          <w:p>
            <w:pPr>
              <w:spacing w:after="0"/>
              <w:rPr>
                <w:sz w:val="1"/>
                <w:szCs w:val="1"/>
                <w:color w:val="auto"/>
              </w:rPr>
            </w:pPr>
          </w:p>
        </w:tc>
      </w:tr>
      <w:tr>
        <w:trPr>
          <w:trHeight w:val="157"/>
        </w:trPr>
        <w:tc>
          <w:tcPr>
            <w:tcW w:w="3300" w:type="dxa"/>
            <w:vAlign w:val="bottom"/>
            <w:tcBorders>
              <w:bottom w:val="single" w:sz="8" w:color="auto"/>
            </w:tcBorders>
          </w:tcPr>
          <w:p>
            <w:pPr>
              <w:spacing w:after="0"/>
              <w:rPr>
                <w:sz w:val="13"/>
                <w:szCs w:val="13"/>
                <w:color w:val="auto"/>
              </w:rPr>
            </w:pPr>
          </w:p>
        </w:tc>
        <w:tc>
          <w:tcPr>
            <w:tcW w:w="2200" w:type="dxa"/>
            <w:vAlign w:val="bottom"/>
            <w:tcBorders>
              <w:bottom w:val="single" w:sz="8" w:color="auto"/>
            </w:tcBorders>
            <w:gridSpan w:val="3"/>
          </w:tcPr>
          <w:p>
            <w:pPr>
              <w:spacing w:after="0" w:line="157" w:lineRule="exact"/>
              <w:rPr>
                <w:sz w:val="20"/>
                <w:szCs w:val="20"/>
                <w:color w:val="auto"/>
              </w:rPr>
            </w:pPr>
            <w:r>
              <w:rPr>
                <w:rFonts w:ascii="Arial" w:cs="Arial" w:eastAsia="Arial" w:hAnsi="Arial"/>
                <w:sz w:val="14"/>
                <w:szCs w:val="14"/>
                <w:color w:val="auto"/>
              </w:rPr>
              <w:t>Norco</w:t>
            </w:r>
          </w:p>
        </w:tc>
        <w:tc>
          <w:tcPr>
            <w:tcW w:w="980" w:type="dxa"/>
            <w:vAlign w:val="bottom"/>
            <w:tcBorders>
              <w:bottom w:val="single" w:sz="8" w:color="auto"/>
            </w:tcBorders>
          </w:tcPr>
          <w:p>
            <w:pPr>
              <w:jc w:val="right"/>
              <w:ind w:right="369"/>
              <w:spacing w:after="0" w:line="157" w:lineRule="exact"/>
              <w:rPr>
                <w:sz w:val="20"/>
                <w:szCs w:val="20"/>
                <w:color w:val="auto"/>
              </w:rPr>
            </w:pPr>
            <w:r>
              <w:rPr>
                <w:rFonts w:ascii="Arial" w:cs="Arial" w:eastAsia="Arial" w:hAnsi="Arial"/>
                <w:sz w:val="14"/>
                <w:szCs w:val="14"/>
                <w:color w:val="auto"/>
              </w:rPr>
              <w:t>1,376</w:t>
            </w:r>
          </w:p>
        </w:tc>
        <w:tc>
          <w:tcPr>
            <w:tcW w:w="1400" w:type="dxa"/>
            <w:vAlign w:val="bottom"/>
            <w:tcBorders>
              <w:bottom w:val="single" w:sz="8" w:color="auto"/>
            </w:tcBorders>
          </w:tcPr>
          <w:p>
            <w:pPr>
              <w:jc w:val="right"/>
              <w:ind w:right="370"/>
              <w:spacing w:after="0" w:line="157" w:lineRule="exact"/>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tcPr>
          <w:p>
            <w:pPr>
              <w:jc w:val="right"/>
              <w:ind w:right="29"/>
              <w:spacing w:after="0" w:line="157" w:lineRule="exact"/>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tcPr>
          <w:p>
            <w:pPr>
              <w:jc w:val="right"/>
              <w:ind w:right="370"/>
              <w:spacing w:after="0" w:line="157" w:lineRule="exact"/>
              <w:rPr>
                <w:sz w:val="20"/>
                <w:szCs w:val="20"/>
                <w:color w:val="auto"/>
              </w:rPr>
            </w:pPr>
            <w:r>
              <w:rPr>
                <w:rFonts w:ascii="Arial" w:cs="Arial" w:eastAsia="Arial" w:hAnsi="Arial"/>
                <w:sz w:val="14"/>
                <w:szCs w:val="14"/>
                <w:color w:val="auto"/>
              </w:rPr>
              <w:t>–</w:t>
            </w:r>
          </w:p>
        </w:tc>
        <w:tc>
          <w:tcPr>
            <w:tcW w:w="1400" w:type="dxa"/>
            <w:vAlign w:val="bottom"/>
            <w:tcBorders>
              <w:bottom w:val="single" w:sz="8" w:color="auto"/>
            </w:tcBorders>
          </w:tcPr>
          <w:p>
            <w:pPr>
              <w:jc w:val="right"/>
              <w:ind w:right="269"/>
              <w:spacing w:after="0" w:line="157" w:lineRule="exact"/>
              <w:rPr>
                <w:sz w:val="20"/>
                <w:szCs w:val="20"/>
                <w:color w:val="auto"/>
              </w:rPr>
            </w:pPr>
            <w:r>
              <w:rPr>
                <w:rFonts w:ascii="Arial" w:cs="Arial" w:eastAsia="Arial" w:hAnsi="Arial"/>
                <w:sz w:val="14"/>
                <w:szCs w:val="14"/>
                <w:color w:val="auto"/>
              </w:rPr>
              <w:t>A</w:t>
            </w:r>
          </w:p>
        </w:tc>
        <w:tc>
          <w:tcPr>
            <w:tcW w:w="0" w:type="dxa"/>
            <w:vAlign w:val="bottom"/>
          </w:tcPr>
          <w:p>
            <w:pPr>
              <w:spacing w:after="0"/>
              <w:rPr>
                <w:sz w:val="1"/>
                <w:szCs w:val="1"/>
                <w:color w:val="auto"/>
              </w:rPr>
            </w:pPr>
          </w:p>
        </w:tc>
      </w:tr>
      <w:tr>
        <w:trPr>
          <w:trHeight w:val="156"/>
        </w:trPr>
        <w:tc>
          <w:tcPr>
            <w:tcW w:w="3300" w:type="dxa"/>
            <w:vAlign w:val="bottom"/>
            <w:tcBorders>
              <w:bottom w:val="single" w:sz="8" w:color="auto"/>
            </w:tcBorders>
          </w:tcPr>
          <w:p>
            <w:pPr>
              <w:spacing w:after="0" w:line="155" w:lineRule="exact"/>
              <w:rPr>
                <w:sz w:val="20"/>
                <w:szCs w:val="20"/>
                <w:color w:val="auto"/>
              </w:rPr>
            </w:pPr>
            <w:r>
              <w:rPr>
                <w:rFonts w:ascii="Arial" w:cs="Arial" w:eastAsia="Arial" w:hAnsi="Arial"/>
                <w:sz w:val="14"/>
                <w:szCs w:val="14"/>
                <w:color w:val="auto"/>
              </w:rPr>
              <w:t>Total</w:t>
            </w:r>
          </w:p>
        </w:tc>
        <w:tc>
          <w:tcPr>
            <w:tcW w:w="148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369"/>
              <w:spacing w:after="0" w:line="155" w:lineRule="exact"/>
              <w:rPr>
                <w:sz w:val="20"/>
                <w:szCs w:val="20"/>
                <w:color w:val="auto"/>
              </w:rPr>
            </w:pPr>
            <w:r>
              <w:rPr>
                <w:rFonts w:ascii="Arial" w:cs="Arial" w:eastAsia="Arial" w:hAnsi="Arial"/>
                <w:sz w:val="14"/>
                <w:szCs w:val="14"/>
                <w:color w:val="auto"/>
              </w:rPr>
              <w:t>5,793</w:t>
            </w:r>
          </w:p>
        </w:tc>
        <w:tc>
          <w:tcPr>
            <w:tcW w:w="1400" w:type="dxa"/>
            <w:vAlign w:val="bottom"/>
            <w:tcBorders>
              <w:bottom w:val="single" w:sz="8" w:color="auto"/>
            </w:tcBorders>
          </w:tcPr>
          <w:p>
            <w:pPr>
              <w:jc w:val="right"/>
              <w:ind w:right="370"/>
              <w:spacing w:after="0" w:line="155" w:lineRule="exact"/>
              <w:rPr>
                <w:sz w:val="20"/>
                <w:szCs w:val="20"/>
                <w:color w:val="auto"/>
              </w:rPr>
            </w:pPr>
            <w:r>
              <w:rPr>
                <w:rFonts w:ascii="Arial" w:cs="Arial" w:eastAsia="Arial" w:hAnsi="Arial"/>
                <w:sz w:val="14"/>
                <w:szCs w:val="14"/>
                <w:color w:val="auto"/>
              </w:rPr>
              <w:t>2,999</w:t>
            </w:r>
          </w:p>
        </w:tc>
        <w:tc>
          <w:tcPr>
            <w:tcW w:w="1040" w:type="dxa"/>
            <w:vAlign w:val="bottom"/>
            <w:tcBorders>
              <w:bottom w:val="single" w:sz="8" w:color="auto"/>
            </w:tcBorders>
          </w:tcPr>
          <w:p>
            <w:pPr>
              <w:jc w:val="right"/>
              <w:ind w:right="29"/>
              <w:spacing w:after="0" w:line="155" w:lineRule="exact"/>
              <w:rPr>
                <w:sz w:val="20"/>
                <w:szCs w:val="20"/>
                <w:color w:val="auto"/>
              </w:rPr>
            </w:pPr>
            <w:r>
              <w:rPr>
                <w:rFonts w:ascii="Arial" w:cs="Arial" w:eastAsia="Arial" w:hAnsi="Arial"/>
                <w:sz w:val="14"/>
                <w:szCs w:val="14"/>
                <w:color w:val="auto"/>
              </w:rPr>
              <w:t>2,255</w:t>
            </w:r>
          </w:p>
        </w:tc>
        <w:tc>
          <w:tcPr>
            <w:tcW w:w="1100" w:type="dxa"/>
            <w:vAlign w:val="bottom"/>
            <w:tcBorders>
              <w:bottom w:val="single" w:sz="8" w:color="auto"/>
            </w:tcBorders>
          </w:tcPr>
          <w:p>
            <w:pPr>
              <w:jc w:val="right"/>
              <w:ind w:right="370"/>
              <w:spacing w:after="0" w:line="155" w:lineRule="exact"/>
              <w:rPr>
                <w:sz w:val="20"/>
                <w:szCs w:val="20"/>
                <w:color w:val="auto"/>
              </w:rPr>
            </w:pPr>
            <w:r>
              <w:rPr>
                <w:rFonts w:ascii="Arial" w:cs="Arial" w:eastAsia="Arial" w:hAnsi="Arial"/>
                <w:sz w:val="14"/>
                <w:szCs w:val="14"/>
                <w:color w:val="auto"/>
              </w:rPr>
              <w:t>1,261</w:t>
            </w:r>
          </w:p>
        </w:tc>
        <w:tc>
          <w:tcPr>
            <w:tcW w:w="140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bl>
    <w:p>
      <w:pPr>
        <w:spacing w:after="0" w:line="32" w:lineRule="exact"/>
        <w:rPr>
          <w:sz w:val="20"/>
          <w:szCs w:val="20"/>
          <w:color w:val="auto"/>
        </w:rPr>
      </w:pPr>
    </w:p>
    <w:p>
      <w:pPr>
        <w:ind w:left="180" w:hanging="172"/>
        <w:spacing w:after="0"/>
        <w:tabs>
          <w:tab w:leader="none" w:pos="180" w:val="left"/>
        </w:tabs>
        <w:numPr>
          <w:ilvl w:val="0"/>
          <w:numId w:val="45"/>
        </w:numPr>
        <w:rPr>
          <w:rFonts w:ascii="Arial" w:cs="Arial" w:eastAsia="Arial" w:hAnsi="Arial"/>
          <w:sz w:val="11"/>
          <w:szCs w:val="11"/>
          <w:color w:val="auto"/>
        </w:rPr>
      </w:pPr>
      <w:r>
        <w:rPr>
          <w:rFonts w:ascii="Arial" w:cs="Arial" w:eastAsia="Arial" w:hAnsi="Arial"/>
          <w:sz w:val="11"/>
          <w:szCs w:val="11"/>
          <w:color w:val="auto"/>
        </w:rPr>
        <w:t>Shell share of capacity of subsidiaries, joint arrangements and associates (Shell and non-Shell operated), excluding capacity of the Infineum additives joint ventures.</w:t>
      </w:r>
    </w:p>
    <w:p>
      <w:pPr>
        <w:ind w:left="180" w:hanging="172"/>
        <w:spacing w:after="0" w:line="230" w:lineRule="auto"/>
        <w:tabs>
          <w:tab w:leader="none" w:pos="180" w:val="left"/>
        </w:tabs>
        <w:numPr>
          <w:ilvl w:val="0"/>
          <w:numId w:val="45"/>
        </w:numPr>
        <w:rPr>
          <w:rFonts w:ascii="Arial" w:cs="Arial" w:eastAsia="Arial" w:hAnsi="Arial"/>
          <w:sz w:val="11"/>
          <w:szCs w:val="11"/>
          <w:color w:val="auto"/>
        </w:rPr>
      </w:pPr>
      <w:r>
        <w:rPr>
          <w:rFonts w:ascii="Arial" w:cs="Arial" w:eastAsia="Arial" w:hAnsi="Arial"/>
          <w:sz w:val="11"/>
          <w:szCs w:val="11"/>
          <w:color w:val="auto"/>
        </w:rPr>
        <w:t>Higher olefins are linear alpha and internal olefins (products range from C6-C2024).</w:t>
      </w:r>
    </w:p>
    <w:p>
      <w:pPr>
        <w:ind w:left="180" w:hanging="172"/>
        <w:spacing w:after="0" w:line="230" w:lineRule="auto"/>
        <w:tabs>
          <w:tab w:leader="none" w:pos="180" w:val="left"/>
        </w:tabs>
        <w:numPr>
          <w:ilvl w:val="0"/>
          <w:numId w:val="45"/>
        </w:numPr>
        <w:rPr>
          <w:rFonts w:ascii="Arial" w:cs="Arial" w:eastAsia="Arial" w:hAnsi="Arial"/>
          <w:sz w:val="11"/>
          <w:szCs w:val="11"/>
          <w:color w:val="auto"/>
        </w:rPr>
      </w:pPr>
      <w:r>
        <w:rPr>
          <w:rFonts w:ascii="Arial" w:cs="Arial" w:eastAsia="Arial" w:hAnsi="Arial"/>
          <w:sz w:val="11"/>
          <w:szCs w:val="11"/>
          <w:color w:val="auto"/>
        </w:rPr>
        <w:t>Due to a fire and separate breakdown of the steam boilers in 2014, Moerdijk was not fully in operation at December 31, 2014.</w:t>
      </w:r>
    </w:p>
    <w:p>
      <w:pPr>
        <w:ind w:left="180" w:hanging="172"/>
        <w:spacing w:after="0"/>
        <w:tabs>
          <w:tab w:leader="none" w:pos="180" w:val="left"/>
        </w:tabs>
        <w:numPr>
          <w:ilvl w:val="0"/>
          <w:numId w:val="45"/>
        </w:numPr>
        <w:rPr>
          <w:rFonts w:ascii="Arial" w:cs="Arial" w:eastAsia="Arial" w:hAnsi="Arial"/>
          <w:sz w:val="11"/>
          <w:szCs w:val="11"/>
          <w:color w:val="auto"/>
        </w:rPr>
      </w:pPr>
      <w:r>
        <w:rPr>
          <w:rFonts w:ascii="Arial" w:cs="Arial" w:eastAsia="Arial" w:hAnsi="Arial"/>
          <w:sz w:val="11"/>
          <w:szCs w:val="11"/>
          <w:color w:val="auto"/>
        </w:rPr>
        <w:t>Not operated by Shell.</w:t>
      </w:r>
    </w:p>
    <w:p>
      <w:pPr>
        <w:spacing w:after="0" w:line="171" w:lineRule="exact"/>
        <w:rPr>
          <w:sz w:val="20"/>
          <w:szCs w:val="20"/>
          <w:color w:val="auto"/>
        </w:rPr>
      </w:pPr>
    </w:p>
    <w:p>
      <w:pPr>
        <w:ind w:right="10120" w:firstLine="8"/>
        <w:spacing w:after="0" w:line="230" w:lineRule="auto"/>
        <w:tabs>
          <w:tab w:leader="none" w:pos="126" w:val="left"/>
        </w:tabs>
        <w:numPr>
          <w:ilvl w:val="0"/>
          <w:numId w:val="46"/>
        </w:numPr>
        <w:rPr>
          <w:rFonts w:ascii="Arial" w:cs="Arial" w:eastAsia="Arial" w:hAnsi="Arial"/>
          <w:sz w:val="11"/>
          <w:szCs w:val="11"/>
          <w:color w:val="auto"/>
        </w:rPr>
      </w:pPr>
      <w:r>
        <w:rPr>
          <w:rFonts w:ascii="Arial" w:cs="Arial" w:eastAsia="Arial" w:hAnsi="Arial"/>
          <w:sz w:val="11"/>
          <w:szCs w:val="11"/>
          <w:color w:val="auto"/>
        </w:rPr>
        <w:t>Aromatics, lower olefins. I Intermediates.</w:t>
      </w:r>
    </w:p>
    <w:p>
      <w:pPr>
        <w:ind w:right="9900"/>
        <w:spacing w:after="0" w:line="238" w:lineRule="auto"/>
        <w:rPr>
          <w:rFonts w:ascii="Arial" w:cs="Arial" w:eastAsia="Arial" w:hAnsi="Arial"/>
          <w:sz w:val="11"/>
          <w:szCs w:val="11"/>
          <w:color w:val="auto"/>
        </w:rPr>
      </w:pPr>
      <w:r>
        <w:rPr>
          <w:rFonts w:ascii="Arial" w:cs="Arial" w:eastAsia="Arial" w:hAnsi="Arial"/>
          <w:sz w:val="11"/>
          <w:szCs w:val="11"/>
          <w:color w:val="auto"/>
        </w:rPr>
        <w:t>P Polyethylene, polypropylene. O Other.</w:t>
      </w:r>
    </w:p>
    <w:p>
      <w:pPr>
        <w:spacing w:after="0" w:line="298" w:lineRule="exact"/>
        <w:rPr>
          <w:sz w:val="20"/>
          <w:szCs w:val="20"/>
          <w:color w:val="auto"/>
        </w:rPr>
      </w:pPr>
    </w:p>
    <w:p>
      <w:pPr>
        <w:ind w:left="80"/>
        <w:spacing w:after="0"/>
        <w:rPr>
          <w:sz w:val="20"/>
          <w:szCs w:val="20"/>
          <w:color w:val="auto"/>
        </w:rPr>
      </w:pPr>
      <w:r>
        <w:rPr>
          <w:rFonts w:ascii="Arial" w:cs="Arial" w:eastAsia="Arial" w:hAnsi="Arial"/>
          <w:sz w:val="15"/>
          <w:szCs w:val="15"/>
          <w:b w:val="1"/>
          <w:bCs w:val="1"/>
          <w:color w:val="FFFFFF"/>
        </w:rPr>
        <w:t>OTHER CHEMICAL LOCATIONS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-95250</wp:posOffset>
            </wp:positionV>
            <wp:extent cx="3473450" cy="10287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3473450" cy="10287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49"/>
        </w:trPr>
        <w:tc>
          <w:tcPr>
            <w:tcW w:w="1460" w:type="dxa"/>
            <w:vAlign w:val="bottom"/>
            <w:tcBorders>
              <w:bottom w:val="single" w:sz="8" w:color="auto"/>
            </w:tcBorders>
          </w:tcPr>
          <w:p>
            <w:pPr>
              <w:spacing w:after="0"/>
              <w:rPr>
                <w:sz w:val="12"/>
                <w:szCs w:val="12"/>
                <w:color w:val="auto"/>
              </w:rPr>
            </w:pPr>
          </w:p>
        </w:tc>
        <w:tc>
          <w:tcPr>
            <w:tcW w:w="2460" w:type="dxa"/>
            <w:vAlign w:val="bottom"/>
            <w:tcBorders>
              <w:bottom w:val="single" w:sz="8" w:color="auto"/>
            </w:tcBorders>
          </w:tcPr>
          <w:p>
            <w:pPr>
              <w:ind w:left="540"/>
              <w:spacing w:after="0"/>
              <w:rPr>
                <w:sz w:val="20"/>
                <w:szCs w:val="20"/>
                <w:color w:val="auto"/>
              </w:rPr>
            </w:pPr>
            <w:r>
              <w:rPr>
                <w:rFonts w:ascii="Arial" w:cs="Arial" w:eastAsia="Arial" w:hAnsi="Arial"/>
                <w:sz w:val="13"/>
                <w:szCs w:val="13"/>
                <w:color w:val="auto"/>
              </w:rPr>
              <w:t>Location</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Products</w:t>
            </w:r>
          </w:p>
        </w:tc>
      </w:tr>
      <w:tr>
        <w:trPr>
          <w:trHeight w:val="160"/>
        </w:trPr>
        <w:tc>
          <w:tcPr>
            <w:tcW w:w="1460" w:type="dxa"/>
            <w:vAlign w:val="bottom"/>
          </w:tcPr>
          <w:p>
            <w:pPr>
              <w:ind w:left="20"/>
              <w:spacing w:after="0"/>
              <w:rPr>
                <w:sz w:val="20"/>
                <w:szCs w:val="20"/>
                <w:color w:val="auto"/>
              </w:rPr>
            </w:pPr>
            <w:r>
              <w:rPr>
                <w:rFonts w:ascii="Arial" w:cs="Arial" w:eastAsia="Arial" w:hAnsi="Arial"/>
                <w:sz w:val="14"/>
                <w:szCs w:val="14"/>
                <w:color w:val="auto"/>
              </w:rPr>
              <w:t>Europe</w:t>
            </w:r>
          </w:p>
        </w:tc>
        <w:tc>
          <w:tcPr>
            <w:tcW w:w="2460" w:type="dxa"/>
            <w:vAlign w:val="bottom"/>
          </w:tcPr>
          <w:p>
            <w:pPr>
              <w:spacing w:after="0"/>
              <w:rPr>
                <w:sz w:val="13"/>
                <w:szCs w:val="13"/>
                <w:color w:val="auto"/>
              </w:rPr>
            </w:pPr>
          </w:p>
        </w:tc>
        <w:tc>
          <w:tcPr>
            <w:tcW w:w="1560" w:type="dxa"/>
            <w:vAlign w:val="bottom"/>
          </w:tcPr>
          <w:p>
            <w:pPr>
              <w:spacing w:after="0"/>
              <w:rPr>
                <w:sz w:val="13"/>
                <w:szCs w:val="13"/>
                <w:color w:val="auto"/>
              </w:rPr>
            </w:pPr>
          </w:p>
        </w:tc>
      </w:tr>
      <w:tr>
        <w:trPr>
          <w:trHeight w:val="172"/>
        </w:trPr>
        <w:tc>
          <w:tcPr>
            <w:tcW w:w="1460" w:type="dxa"/>
            <w:vAlign w:val="bottom"/>
          </w:tcPr>
          <w:p>
            <w:pPr>
              <w:ind w:left="140"/>
              <w:spacing w:after="0"/>
              <w:rPr>
                <w:sz w:val="20"/>
                <w:szCs w:val="20"/>
                <w:color w:val="auto"/>
              </w:rPr>
            </w:pPr>
            <w:r>
              <w:rPr>
                <w:rFonts w:ascii="Arial" w:cs="Arial" w:eastAsia="Arial" w:hAnsi="Arial"/>
                <w:sz w:val="14"/>
                <w:szCs w:val="14"/>
                <w:color w:val="auto"/>
              </w:rPr>
              <w:t>Germany</w:t>
            </w:r>
          </w:p>
        </w:tc>
        <w:tc>
          <w:tcPr>
            <w:tcW w:w="2460" w:type="dxa"/>
            <w:vAlign w:val="bottom"/>
          </w:tcPr>
          <w:p>
            <w:pPr>
              <w:ind w:left="540"/>
              <w:spacing w:after="0"/>
              <w:rPr>
                <w:sz w:val="20"/>
                <w:szCs w:val="20"/>
                <w:color w:val="auto"/>
              </w:rPr>
            </w:pPr>
            <w:r>
              <w:rPr>
                <w:rFonts w:ascii="Arial" w:cs="Arial" w:eastAsia="Arial" w:hAnsi="Arial"/>
                <w:sz w:val="14"/>
                <w:szCs w:val="14"/>
                <w:color w:val="auto"/>
              </w:rPr>
              <w:t>Karlsruhe</w:t>
            </w:r>
          </w:p>
        </w:tc>
        <w:tc>
          <w:tcPr>
            <w:tcW w:w="1560" w:type="dxa"/>
            <w:vAlign w:val="bottom"/>
          </w:tcPr>
          <w:p>
            <w:pPr>
              <w:jc w:val="right"/>
              <w:spacing w:after="0"/>
              <w:rPr>
                <w:sz w:val="20"/>
                <w:szCs w:val="20"/>
                <w:color w:val="auto"/>
              </w:rPr>
            </w:pPr>
            <w:r>
              <w:rPr>
                <w:rFonts w:ascii="Arial" w:cs="Arial" w:eastAsia="Arial" w:hAnsi="Arial"/>
                <w:sz w:val="14"/>
                <w:szCs w:val="14"/>
                <w:color w:val="auto"/>
              </w:rPr>
              <w:t>A</w:t>
            </w:r>
          </w:p>
        </w:tc>
      </w:tr>
      <w:tr>
        <w:trPr>
          <w:trHeight w:val="165"/>
        </w:trPr>
        <w:tc>
          <w:tcPr>
            <w:tcW w:w="1460" w:type="dxa"/>
            <w:vAlign w:val="bottom"/>
          </w:tcPr>
          <w:p>
            <w:pPr>
              <w:spacing w:after="0"/>
              <w:rPr>
                <w:sz w:val="14"/>
                <w:szCs w:val="14"/>
                <w:color w:val="auto"/>
              </w:rPr>
            </w:pPr>
          </w:p>
        </w:tc>
        <w:tc>
          <w:tcPr>
            <w:tcW w:w="2460" w:type="dxa"/>
            <w:vAlign w:val="bottom"/>
          </w:tcPr>
          <w:p>
            <w:pPr>
              <w:ind w:left="540"/>
              <w:spacing w:after="0"/>
              <w:rPr>
                <w:sz w:val="20"/>
                <w:szCs w:val="20"/>
                <w:color w:val="auto"/>
              </w:rPr>
            </w:pPr>
            <w:r>
              <w:rPr>
                <w:rFonts w:ascii="Arial" w:cs="Arial" w:eastAsia="Arial" w:hAnsi="Arial"/>
                <w:sz w:val="14"/>
                <w:szCs w:val="14"/>
                <w:color w:val="auto"/>
              </w:rPr>
              <w:t>Schwedt</w:t>
            </w:r>
          </w:p>
        </w:tc>
        <w:tc>
          <w:tcPr>
            <w:tcW w:w="1560" w:type="dxa"/>
            <w:vAlign w:val="bottom"/>
          </w:tcPr>
          <w:p>
            <w:pPr>
              <w:jc w:val="right"/>
              <w:spacing w:after="0"/>
              <w:rPr>
                <w:sz w:val="20"/>
                <w:szCs w:val="20"/>
                <w:color w:val="auto"/>
              </w:rPr>
            </w:pPr>
            <w:r>
              <w:rPr>
                <w:rFonts w:ascii="Arial" w:cs="Arial" w:eastAsia="Arial" w:hAnsi="Arial"/>
                <w:sz w:val="14"/>
                <w:szCs w:val="14"/>
                <w:color w:val="auto"/>
              </w:rPr>
              <w:t>A</w:t>
            </w:r>
          </w:p>
        </w:tc>
      </w:tr>
      <w:tr>
        <w:trPr>
          <w:trHeight w:val="157"/>
        </w:trPr>
        <w:tc>
          <w:tcPr>
            <w:tcW w:w="1460" w:type="dxa"/>
            <w:vAlign w:val="bottom"/>
            <w:tcBorders>
              <w:bottom w:val="single" w:sz="8" w:color="auto"/>
            </w:tcBorders>
          </w:tcPr>
          <w:p>
            <w:pPr>
              <w:ind w:left="140"/>
              <w:spacing w:after="0" w:line="157" w:lineRule="exact"/>
              <w:rPr>
                <w:sz w:val="20"/>
                <w:szCs w:val="20"/>
                <w:color w:val="auto"/>
              </w:rPr>
            </w:pPr>
            <w:r>
              <w:rPr>
                <w:rFonts w:ascii="Arial" w:cs="Arial" w:eastAsia="Arial" w:hAnsi="Arial"/>
                <w:sz w:val="14"/>
                <w:szCs w:val="14"/>
                <w:color w:val="auto"/>
              </w:rPr>
              <w:t>Netherlands</w:t>
            </w:r>
          </w:p>
        </w:tc>
        <w:tc>
          <w:tcPr>
            <w:tcW w:w="2460" w:type="dxa"/>
            <w:vAlign w:val="bottom"/>
            <w:tcBorders>
              <w:bottom w:val="single" w:sz="8" w:color="auto"/>
            </w:tcBorders>
          </w:tcPr>
          <w:p>
            <w:pPr>
              <w:ind w:left="540"/>
              <w:spacing w:after="0" w:line="157" w:lineRule="exact"/>
              <w:rPr>
                <w:sz w:val="20"/>
                <w:szCs w:val="20"/>
                <w:color w:val="auto"/>
              </w:rPr>
            </w:pPr>
            <w:r>
              <w:rPr>
                <w:rFonts w:ascii="Arial" w:cs="Arial" w:eastAsia="Arial" w:hAnsi="Arial"/>
                <w:sz w:val="14"/>
                <w:szCs w:val="14"/>
                <w:color w:val="auto"/>
              </w:rPr>
              <w:t>Pernis</w:t>
            </w:r>
          </w:p>
        </w:tc>
        <w:tc>
          <w:tcPr>
            <w:tcW w:w="1560" w:type="dxa"/>
            <w:vAlign w:val="bottom"/>
            <w:tcBorders>
              <w:bottom w:val="single" w:sz="8" w:color="auto"/>
            </w:tcBorders>
          </w:tcPr>
          <w:p>
            <w:pPr>
              <w:jc w:val="right"/>
              <w:spacing w:after="0" w:line="157" w:lineRule="exact"/>
              <w:rPr>
                <w:sz w:val="20"/>
                <w:szCs w:val="20"/>
                <w:color w:val="auto"/>
              </w:rPr>
            </w:pPr>
            <w:r>
              <w:rPr>
                <w:rFonts w:ascii="Arial" w:cs="Arial" w:eastAsia="Arial" w:hAnsi="Arial"/>
                <w:sz w:val="14"/>
                <w:szCs w:val="14"/>
                <w:color w:val="auto"/>
              </w:rPr>
              <w:t>A, I, O</w:t>
            </w:r>
          </w:p>
        </w:tc>
      </w:tr>
      <w:tr>
        <w:trPr>
          <w:trHeight w:val="160"/>
        </w:trPr>
        <w:tc>
          <w:tcPr>
            <w:tcW w:w="1460" w:type="dxa"/>
            <w:vAlign w:val="bottom"/>
          </w:tcPr>
          <w:p>
            <w:pPr>
              <w:ind w:left="20"/>
              <w:spacing w:after="0"/>
              <w:rPr>
                <w:sz w:val="20"/>
                <w:szCs w:val="20"/>
                <w:color w:val="auto"/>
              </w:rPr>
            </w:pPr>
            <w:r>
              <w:rPr>
                <w:rFonts w:ascii="Arial" w:cs="Arial" w:eastAsia="Arial" w:hAnsi="Arial"/>
                <w:sz w:val="14"/>
                <w:szCs w:val="14"/>
                <w:color w:val="auto"/>
              </w:rPr>
              <w:t>Asia</w:t>
            </w:r>
          </w:p>
        </w:tc>
        <w:tc>
          <w:tcPr>
            <w:tcW w:w="2460" w:type="dxa"/>
            <w:vAlign w:val="bottom"/>
          </w:tcPr>
          <w:p>
            <w:pPr>
              <w:spacing w:after="0"/>
              <w:rPr>
                <w:sz w:val="13"/>
                <w:szCs w:val="13"/>
                <w:color w:val="auto"/>
              </w:rPr>
            </w:pPr>
          </w:p>
        </w:tc>
        <w:tc>
          <w:tcPr>
            <w:tcW w:w="1560" w:type="dxa"/>
            <w:vAlign w:val="bottom"/>
          </w:tcPr>
          <w:p>
            <w:pPr>
              <w:spacing w:after="0"/>
              <w:rPr>
                <w:sz w:val="13"/>
                <w:szCs w:val="13"/>
                <w:color w:val="auto"/>
              </w:rPr>
            </w:pPr>
          </w:p>
        </w:tc>
      </w:tr>
      <w:tr>
        <w:trPr>
          <w:trHeight w:val="162"/>
        </w:trPr>
        <w:tc>
          <w:tcPr>
            <w:tcW w:w="1460" w:type="dxa"/>
            <w:vAlign w:val="bottom"/>
          </w:tcPr>
          <w:p>
            <w:pPr>
              <w:ind w:left="140"/>
              <w:spacing w:after="0"/>
              <w:rPr>
                <w:sz w:val="20"/>
                <w:szCs w:val="20"/>
                <w:color w:val="auto"/>
              </w:rPr>
            </w:pPr>
            <w:r>
              <w:rPr>
                <w:rFonts w:ascii="Arial" w:cs="Arial" w:eastAsia="Arial" w:hAnsi="Arial"/>
                <w:sz w:val="14"/>
                <w:szCs w:val="14"/>
                <w:color w:val="auto"/>
              </w:rPr>
              <w:t>Japan</w:t>
            </w:r>
          </w:p>
        </w:tc>
        <w:tc>
          <w:tcPr>
            <w:tcW w:w="2460" w:type="dxa"/>
            <w:vAlign w:val="bottom"/>
          </w:tcPr>
          <w:p>
            <w:pPr>
              <w:ind w:left="540"/>
              <w:spacing w:after="0"/>
              <w:rPr>
                <w:sz w:val="20"/>
                <w:szCs w:val="20"/>
                <w:color w:val="auto"/>
              </w:rPr>
            </w:pPr>
            <w:r>
              <w:rPr>
                <w:rFonts w:ascii="Arial" w:cs="Arial" w:eastAsia="Arial" w:hAnsi="Arial"/>
                <w:sz w:val="14"/>
                <w:szCs w:val="14"/>
                <w:color w:val="auto"/>
              </w:rPr>
              <w:t>Kawasaki</w:t>
            </w:r>
          </w:p>
        </w:tc>
        <w:tc>
          <w:tcPr>
            <w:tcW w:w="1560" w:type="dxa"/>
            <w:vAlign w:val="bottom"/>
          </w:tcPr>
          <w:p>
            <w:pPr>
              <w:jc w:val="right"/>
              <w:spacing w:after="0"/>
              <w:rPr>
                <w:sz w:val="20"/>
                <w:szCs w:val="20"/>
                <w:color w:val="auto"/>
              </w:rPr>
            </w:pPr>
            <w:r>
              <w:rPr>
                <w:rFonts w:ascii="Arial" w:cs="Arial" w:eastAsia="Arial" w:hAnsi="Arial"/>
                <w:sz w:val="14"/>
                <w:szCs w:val="14"/>
                <w:color w:val="auto"/>
              </w:rPr>
              <w:t>A, I</w:t>
            </w:r>
          </w:p>
        </w:tc>
      </w:tr>
      <w:tr>
        <w:trPr>
          <w:trHeight w:val="162"/>
        </w:trPr>
        <w:tc>
          <w:tcPr>
            <w:tcW w:w="1460" w:type="dxa"/>
            <w:vAlign w:val="bottom"/>
          </w:tcPr>
          <w:p>
            <w:pPr>
              <w:spacing w:after="0"/>
              <w:rPr>
                <w:sz w:val="14"/>
                <w:szCs w:val="14"/>
                <w:color w:val="auto"/>
              </w:rPr>
            </w:pPr>
          </w:p>
        </w:tc>
        <w:tc>
          <w:tcPr>
            <w:tcW w:w="2460" w:type="dxa"/>
            <w:vAlign w:val="bottom"/>
          </w:tcPr>
          <w:p>
            <w:pPr>
              <w:ind w:left="540"/>
              <w:spacing w:after="0"/>
              <w:rPr>
                <w:sz w:val="20"/>
                <w:szCs w:val="20"/>
                <w:color w:val="auto"/>
              </w:rPr>
            </w:pPr>
            <w:r>
              <w:rPr>
                <w:rFonts w:ascii="Arial" w:cs="Arial" w:eastAsia="Arial" w:hAnsi="Arial"/>
                <w:sz w:val="14"/>
                <w:szCs w:val="14"/>
                <w:color w:val="auto"/>
              </w:rPr>
              <w:t>Yokkaichi</w:t>
            </w:r>
          </w:p>
        </w:tc>
        <w:tc>
          <w:tcPr>
            <w:tcW w:w="1560" w:type="dxa"/>
            <w:vAlign w:val="bottom"/>
          </w:tcPr>
          <w:p>
            <w:pPr>
              <w:jc w:val="right"/>
              <w:spacing w:after="0"/>
              <w:rPr>
                <w:sz w:val="20"/>
                <w:szCs w:val="20"/>
                <w:color w:val="auto"/>
              </w:rPr>
            </w:pPr>
            <w:r>
              <w:rPr>
                <w:rFonts w:ascii="Arial" w:cs="Arial" w:eastAsia="Arial" w:hAnsi="Arial"/>
                <w:sz w:val="14"/>
                <w:szCs w:val="14"/>
                <w:color w:val="auto"/>
              </w:rPr>
              <w:t>A</w:t>
            </w:r>
          </w:p>
        </w:tc>
      </w:tr>
      <w:tr>
        <w:trPr>
          <w:trHeight w:val="162"/>
        </w:trPr>
        <w:tc>
          <w:tcPr>
            <w:tcW w:w="1460" w:type="dxa"/>
            <w:vAlign w:val="bottom"/>
          </w:tcPr>
          <w:p>
            <w:pPr>
              <w:ind w:left="140"/>
              <w:spacing w:after="0"/>
              <w:rPr>
                <w:sz w:val="20"/>
                <w:szCs w:val="20"/>
                <w:color w:val="auto"/>
              </w:rPr>
            </w:pPr>
            <w:r>
              <w:rPr>
                <w:rFonts w:ascii="Arial" w:cs="Arial" w:eastAsia="Arial" w:hAnsi="Arial"/>
                <w:sz w:val="14"/>
                <w:szCs w:val="14"/>
                <w:color w:val="auto"/>
              </w:rPr>
              <w:t>Malaysia</w:t>
            </w:r>
          </w:p>
        </w:tc>
        <w:tc>
          <w:tcPr>
            <w:tcW w:w="2460" w:type="dxa"/>
            <w:vAlign w:val="bottom"/>
          </w:tcPr>
          <w:p>
            <w:pPr>
              <w:ind w:left="540"/>
              <w:spacing w:after="0"/>
              <w:rPr>
                <w:sz w:val="20"/>
                <w:szCs w:val="20"/>
                <w:color w:val="auto"/>
              </w:rPr>
            </w:pPr>
            <w:r>
              <w:rPr>
                <w:rFonts w:ascii="Arial" w:cs="Arial" w:eastAsia="Arial" w:hAnsi="Arial"/>
                <w:sz w:val="14"/>
                <w:szCs w:val="14"/>
                <w:color w:val="auto"/>
              </w:rPr>
              <w:t>Bintulu</w:t>
            </w:r>
          </w:p>
        </w:tc>
        <w:tc>
          <w:tcPr>
            <w:tcW w:w="1560" w:type="dxa"/>
            <w:vAlign w:val="bottom"/>
          </w:tcPr>
          <w:p>
            <w:pPr>
              <w:jc w:val="right"/>
              <w:spacing w:after="0"/>
              <w:rPr>
                <w:sz w:val="20"/>
                <w:szCs w:val="20"/>
                <w:color w:val="auto"/>
              </w:rPr>
            </w:pPr>
            <w:r>
              <w:rPr>
                <w:rFonts w:ascii="Arial" w:cs="Arial" w:eastAsia="Arial" w:hAnsi="Arial"/>
                <w:sz w:val="14"/>
                <w:szCs w:val="14"/>
                <w:color w:val="auto"/>
              </w:rPr>
              <w:t>I</w:t>
            </w:r>
          </w:p>
        </w:tc>
      </w:tr>
      <w:tr>
        <w:trPr>
          <w:trHeight w:val="157"/>
        </w:trPr>
        <w:tc>
          <w:tcPr>
            <w:tcW w:w="1460" w:type="dxa"/>
            <w:vAlign w:val="bottom"/>
            <w:tcBorders>
              <w:bottom w:val="single" w:sz="8" w:color="auto"/>
            </w:tcBorders>
          </w:tcPr>
          <w:p>
            <w:pPr>
              <w:spacing w:after="0"/>
              <w:rPr>
                <w:sz w:val="13"/>
                <w:szCs w:val="13"/>
                <w:color w:val="auto"/>
              </w:rPr>
            </w:pPr>
          </w:p>
        </w:tc>
        <w:tc>
          <w:tcPr>
            <w:tcW w:w="2460" w:type="dxa"/>
            <w:vAlign w:val="bottom"/>
            <w:tcBorders>
              <w:bottom w:val="single" w:sz="8" w:color="auto"/>
            </w:tcBorders>
          </w:tcPr>
          <w:p>
            <w:pPr>
              <w:ind w:left="540"/>
              <w:spacing w:after="0" w:line="157" w:lineRule="exact"/>
              <w:rPr>
                <w:sz w:val="20"/>
                <w:szCs w:val="20"/>
                <w:color w:val="auto"/>
              </w:rPr>
            </w:pPr>
            <w:r>
              <w:rPr>
                <w:rFonts w:ascii="Arial" w:cs="Arial" w:eastAsia="Arial" w:hAnsi="Arial"/>
                <w:sz w:val="14"/>
                <w:szCs w:val="14"/>
                <w:color w:val="auto"/>
              </w:rPr>
              <w:t>Port Dickson</w:t>
            </w:r>
          </w:p>
        </w:tc>
        <w:tc>
          <w:tcPr>
            <w:tcW w:w="1560" w:type="dxa"/>
            <w:vAlign w:val="bottom"/>
            <w:tcBorders>
              <w:bottom w:val="single" w:sz="8" w:color="auto"/>
            </w:tcBorders>
          </w:tcPr>
          <w:p>
            <w:pPr>
              <w:jc w:val="right"/>
              <w:spacing w:after="0" w:line="157" w:lineRule="exact"/>
              <w:rPr>
                <w:sz w:val="20"/>
                <w:szCs w:val="20"/>
                <w:color w:val="auto"/>
              </w:rPr>
            </w:pPr>
            <w:r>
              <w:rPr>
                <w:rFonts w:ascii="Arial" w:cs="Arial" w:eastAsia="Arial" w:hAnsi="Arial"/>
                <w:sz w:val="14"/>
                <w:szCs w:val="14"/>
                <w:color w:val="auto"/>
              </w:rPr>
              <w:t>A</w:t>
            </w:r>
          </w:p>
        </w:tc>
      </w:tr>
      <w:tr>
        <w:trPr>
          <w:trHeight w:val="160"/>
        </w:trPr>
        <w:tc>
          <w:tcPr>
            <w:tcW w:w="1460" w:type="dxa"/>
            <w:vAlign w:val="bottom"/>
          </w:tcPr>
          <w:p>
            <w:pPr>
              <w:ind w:left="20"/>
              <w:spacing w:after="0"/>
              <w:rPr>
                <w:sz w:val="20"/>
                <w:szCs w:val="20"/>
                <w:color w:val="auto"/>
              </w:rPr>
            </w:pPr>
            <w:r>
              <w:rPr>
                <w:rFonts w:ascii="Arial" w:cs="Arial" w:eastAsia="Arial" w:hAnsi="Arial"/>
                <w:sz w:val="14"/>
                <w:szCs w:val="14"/>
                <w:color w:val="auto"/>
              </w:rPr>
              <w:t>Africa</w:t>
            </w:r>
          </w:p>
        </w:tc>
        <w:tc>
          <w:tcPr>
            <w:tcW w:w="2460" w:type="dxa"/>
            <w:vAlign w:val="bottom"/>
          </w:tcPr>
          <w:p>
            <w:pPr>
              <w:spacing w:after="0"/>
              <w:rPr>
                <w:sz w:val="13"/>
                <w:szCs w:val="13"/>
                <w:color w:val="auto"/>
              </w:rPr>
            </w:pPr>
          </w:p>
        </w:tc>
        <w:tc>
          <w:tcPr>
            <w:tcW w:w="1560" w:type="dxa"/>
            <w:vAlign w:val="bottom"/>
          </w:tcPr>
          <w:p>
            <w:pPr>
              <w:spacing w:after="0"/>
              <w:rPr>
                <w:sz w:val="13"/>
                <w:szCs w:val="13"/>
                <w:color w:val="auto"/>
              </w:rPr>
            </w:pPr>
          </w:p>
        </w:tc>
      </w:tr>
      <w:tr>
        <w:trPr>
          <w:trHeight w:val="157"/>
        </w:trPr>
        <w:tc>
          <w:tcPr>
            <w:tcW w:w="1460" w:type="dxa"/>
            <w:vAlign w:val="bottom"/>
            <w:tcBorders>
              <w:bottom w:val="single" w:sz="8" w:color="auto"/>
            </w:tcBorders>
          </w:tcPr>
          <w:p>
            <w:pPr>
              <w:ind w:left="140"/>
              <w:spacing w:after="0" w:line="157" w:lineRule="exact"/>
              <w:rPr>
                <w:sz w:val="20"/>
                <w:szCs w:val="20"/>
                <w:color w:val="auto"/>
              </w:rPr>
            </w:pPr>
            <w:r>
              <w:rPr>
                <w:rFonts w:ascii="Arial" w:cs="Arial" w:eastAsia="Arial" w:hAnsi="Arial"/>
                <w:sz w:val="14"/>
                <w:szCs w:val="14"/>
                <w:color w:val="auto"/>
              </w:rPr>
              <w:t>South Africa</w:t>
            </w:r>
          </w:p>
        </w:tc>
        <w:tc>
          <w:tcPr>
            <w:tcW w:w="2460" w:type="dxa"/>
            <w:vAlign w:val="bottom"/>
            <w:tcBorders>
              <w:bottom w:val="single" w:sz="8" w:color="auto"/>
            </w:tcBorders>
          </w:tcPr>
          <w:p>
            <w:pPr>
              <w:ind w:left="540"/>
              <w:spacing w:after="0" w:line="157" w:lineRule="exact"/>
              <w:rPr>
                <w:sz w:val="20"/>
                <w:szCs w:val="20"/>
                <w:color w:val="auto"/>
              </w:rPr>
            </w:pPr>
            <w:r>
              <w:rPr>
                <w:rFonts w:ascii="Arial" w:cs="Arial" w:eastAsia="Arial" w:hAnsi="Arial"/>
                <w:sz w:val="14"/>
                <w:szCs w:val="14"/>
                <w:color w:val="auto"/>
              </w:rPr>
              <w:t>Durban</w:t>
            </w:r>
          </w:p>
        </w:tc>
        <w:tc>
          <w:tcPr>
            <w:tcW w:w="1560" w:type="dxa"/>
            <w:vAlign w:val="bottom"/>
            <w:tcBorders>
              <w:bottom w:val="single" w:sz="8" w:color="auto"/>
            </w:tcBorders>
          </w:tcPr>
          <w:p>
            <w:pPr>
              <w:jc w:val="right"/>
              <w:spacing w:after="0" w:line="157" w:lineRule="exact"/>
              <w:rPr>
                <w:sz w:val="20"/>
                <w:szCs w:val="20"/>
                <w:color w:val="auto"/>
              </w:rPr>
            </w:pPr>
            <w:r>
              <w:rPr>
                <w:rFonts w:ascii="Arial" w:cs="Arial" w:eastAsia="Arial" w:hAnsi="Arial"/>
                <w:sz w:val="14"/>
                <w:szCs w:val="14"/>
                <w:color w:val="auto"/>
              </w:rPr>
              <w:t>I</w:t>
            </w:r>
          </w:p>
        </w:tc>
      </w:tr>
      <w:tr>
        <w:trPr>
          <w:trHeight w:val="160"/>
        </w:trPr>
        <w:tc>
          <w:tcPr>
            <w:tcW w:w="1460" w:type="dxa"/>
            <w:vAlign w:val="bottom"/>
          </w:tcPr>
          <w:p>
            <w:pPr>
              <w:ind w:left="20"/>
              <w:spacing w:after="0"/>
              <w:rPr>
                <w:sz w:val="20"/>
                <w:szCs w:val="20"/>
                <w:color w:val="auto"/>
              </w:rPr>
            </w:pPr>
            <w:r>
              <w:rPr>
                <w:rFonts w:ascii="Arial" w:cs="Arial" w:eastAsia="Arial" w:hAnsi="Arial"/>
                <w:sz w:val="14"/>
                <w:szCs w:val="14"/>
                <w:color w:val="auto"/>
              </w:rPr>
              <w:t>Americas</w:t>
            </w:r>
          </w:p>
        </w:tc>
        <w:tc>
          <w:tcPr>
            <w:tcW w:w="2460" w:type="dxa"/>
            <w:vAlign w:val="bottom"/>
          </w:tcPr>
          <w:p>
            <w:pPr>
              <w:spacing w:after="0"/>
              <w:rPr>
                <w:sz w:val="13"/>
                <w:szCs w:val="13"/>
                <w:color w:val="auto"/>
              </w:rPr>
            </w:pPr>
          </w:p>
        </w:tc>
        <w:tc>
          <w:tcPr>
            <w:tcW w:w="1560" w:type="dxa"/>
            <w:vAlign w:val="bottom"/>
          </w:tcPr>
          <w:p>
            <w:pPr>
              <w:spacing w:after="0"/>
              <w:rPr>
                <w:sz w:val="13"/>
                <w:szCs w:val="13"/>
                <w:color w:val="auto"/>
              </w:rPr>
            </w:pPr>
          </w:p>
        </w:tc>
      </w:tr>
      <w:tr>
        <w:trPr>
          <w:trHeight w:val="162"/>
        </w:trPr>
        <w:tc>
          <w:tcPr>
            <w:tcW w:w="1460" w:type="dxa"/>
            <w:vAlign w:val="bottom"/>
          </w:tcPr>
          <w:p>
            <w:pPr>
              <w:ind w:left="140"/>
              <w:spacing w:after="0"/>
              <w:rPr>
                <w:sz w:val="20"/>
                <w:szCs w:val="20"/>
                <w:color w:val="auto"/>
              </w:rPr>
            </w:pPr>
            <w:r>
              <w:rPr>
                <w:rFonts w:ascii="Arial" w:cs="Arial" w:eastAsia="Arial" w:hAnsi="Arial"/>
                <w:sz w:val="14"/>
                <w:szCs w:val="14"/>
                <w:color w:val="auto"/>
              </w:rPr>
              <w:t>Argentina</w:t>
            </w:r>
          </w:p>
        </w:tc>
        <w:tc>
          <w:tcPr>
            <w:tcW w:w="2460" w:type="dxa"/>
            <w:vAlign w:val="bottom"/>
          </w:tcPr>
          <w:p>
            <w:pPr>
              <w:ind w:left="540"/>
              <w:spacing w:after="0"/>
              <w:rPr>
                <w:sz w:val="20"/>
                <w:szCs w:val="20"/>
                <w:color w:val="auto"/>
              </w:rPr>
            </w:pPr>
            <w:r>
              <w:rPr>
                <w:rFonts w:ascii="Arial" w:cs="Arial" w:eastAsia="Arial" w:hAnsi="Arial"/>
                <w:sz w:val="14"/>
                <w:szCs w:val="14"/>
                <w:color w:val="auto"/>
              </w:rPr>
              <w:t>Buenos Aires</w:t>
            </w:r>
          </w:p>
        </w:tc>
        <w:tc>
          <w:tcPr>
            <w:tcW w:w="1560" w:type="dxa"/>
            <w:vAlign w:val="bottom"/>
          </w:tcPr>
          <w:p>
            <w:pPr>
              <w:jc w:val="right"/>
              <w:spacing w:after="0"/>
              <w:rPr>
                <w:sz w:val="20"/>
                <w:szCs w:val="20"/>
                <w:color w:val="auto"/>
              </w:rPr>
            </w:pPr>
            <w:r>
              <w:rPr>
                <w:rFonts w:ascii="Arial" w:cs="Arial" w:eastAsia="Arial" w:hAnsi="Arial"/>
                <w:sz w:val="14"/>
                <w:szCs w:val="14"/>
                <w:color w:val="auto"/>
              </w:rPr>
              <w:t>I</w:t>
            </w:r>
          </w:p>
        </w:tc>
      </w:tr>
      <w:tr>
        <w:trPr>
          <w:trHeight w:val="162"/>
        </w:trPr>
        <w:tc>
          <w:tcPr>
            <w:tcW w:w="1460" w:type="dxa"/>
            <w:vAlign w:val="bottom"/>
          </w:tcPr>
          <w:p>
            <w:pPr>
              <w:ind w:left="140"/>
              <w:spacing w:after="0"/>
              <w:rPr>
                <w:sz w:val="20"/>
                <w:szCs w:val="20"/>
                <w:color w:val="auto"/>
              </w:rPr>
            </w:pPr>
            <w:r>
              <w:rPr>
                <w:rFonts w:ascii="Arial" w:cs="Arial" w:eastAsia="Arial" w:hAnsi="Arial"/>
                <w:sz w:val="14"/>
                <w:szCs w:val="14"/>
                <w:color w:val="auto"/>
              </w:rPr>
              <w:t>Canada</w:t>
            </w:r>
          </w:p>
        </w:tc>
        <w:tc>
          <w:tcPr>
            <w:tcW w:w="2460" w:type="dxa"/>
            <w:vAlign w:val="bottom"/>
          </w:tcPr>
          <w:p>
            <w:pPr>
              <w:ind w:left="540"/>
              <w:spacing w:after="0"/>
              <w:rPr>
                <w:sz w:val="20"/>
                <w:szCs w:val="20"/>
                <w:color w:val="auto"/>
              </w:rPr>
            </w:pPr>
            <w:r>
              <w:rPr>
                <w:rFonts w:ascii="Arial" w:cs="Arial" w:eastAsia="Arial" w:hAnsi="Arial"/>
                <w:sz w:val="14"/>
                <w:szCs w:val="14"/>
                <w:color w:val="auto"/>
              </w:rPr>
              <w:t>Sarnia</w:t>
            </w:r>
          </w:p>
        </w:tc>
        <w:tc>
          <w:tcPr>
            <w:tcW w:w="1560" w:type="dxa"/>
            <w:vAlign w:val="bottom"/>
          </w:tcPr>
          <w:p>
            <w:pPr>
              <w:jc w:val="right"/>
              <w:spacing w:after="0"/>
              <w:rPr>
                <w:sz w:val="20"/>
                <w:szCs w:val="20"/>
                <w:color w:val="auto"/>
              </w:rPr>
            </w:pPr>
            <w:r>
              <w:rPr>
                <w:rFonts w:ascii="Arial" w:cs="Arial" w:eastAsia="Arial" w:hAnsi="Arial"/>
                <w:sz w:val="14"/>
                <w:szCs w:val="14"/>
                <w:color w:val="auto"/>
              </w:rPr>
              <w:t>A, I</w:t>
            </w:r>
          </w:p>
        </w:tc>
      </w:tr>
      <w:tr>
        <w:trPr>
          <w:trHeight w:val="162"/>
        </w:trPr>
        <w:tc>
          <w:tcPr>
            <w:tcW w:w="1460" w:type="dxa"/>
            <w:vAlign w:val="bottom"/>
          </w:tcPr>
          <w:p>
            <w:pPr>
              <w:ind w:left="140"/>
              <w:spacing w:after="0"/>
              <w:rPr>
                <w:sz w:val="20"/>
                <w:szCs w:val="20"/>
                <w:color w:val="auto"/>
              </w:rPr>
            </w:pPr>
            <w:r>
              <w:rPr>
                <w:rFonts w:ascii="Arial" w:cs="Arial" w:eastAsia="Arial" w:hAnsi="Arial"/>
                <w:sz w:val="14"/>
                <w:szCs w:val="14"/>
                <w:color w:val="auto"/>
              </w:rPr>
              <w:t>USA</w:t>
            </w:r>
          </w:p>
        </w:tc>
        <w:tc>
          <w:tcPr>
            <w:tcW w:w="2460" w:type="dxa"/>
            <w:vAlign w:val="bottom"/>
          </w:tcPr>
          <w:p>
            <w:pPr>
              <w:ind w:left="540"/>
              <w:spacing w:after="0"/>
              <w:rPr>
                <w:sz w:val="20"/>
                <w:szCs w:val="20"/>
                <w:color w:val="auto"/>
              </w:rPr>
            </w:pPr>
            <w:r>
              <w:rPr>
                <w:rFonts w:ascii="Arial" w:cs="Arial" w:eastAsia="Arial" w:hAnsi="Arial"/>
                <w:sz w:val="14"/>
                <w:szCs w:val="14"/>
                <w:color w:val="auto"/>
              </w:rPr>
              <w:t>Martinez</w:t>
            </w:r>
          </w:p>
        </w:tc>
        <w:tc>
          <w:tcPr>
            <w:tcW w:w="1560" w:type="dxa"/>
            <w:vAlign w:val="bottom"/>
          </w:tcPr>
          <w:p>
            <w:pPr>
              <w:jc w:val="right"/>
              <w:spacing w:after="0"/>
              <w:rPr>
                <w:sz w:val="20"/>
                <w:szCs w:val="20"/>
                <w:color w:val="auto"/>
              </w:rPr>
            </w:pPr>
            <w:r>
              <w:rPr>
                <w:rFonts w:ascii="Arial" w:cs="Arial" w:eastAsia="Arial" w:hAnsi="Arial"/>
                <w:sz w:val="14"/>
                <w:szCs w:val="14"/>
                <w:color w:val="auto"/>
              </w:rPr>
              <w:t>O</w:t>
            </w:r>
          </w:p>
        </w:tc>
      </w:tr>
      <w:tr>
        <w:trPr>
          <w:trHeight w:val="162"/>
        </w:trPr>
        <w:tc>
          <w:tcPr>
            <w:tcW w:w="1460" w:type="dxa"/>
            <w:vAlign w:val="bottom"/>
          </w:tcPr>
          <w:p>
            <w:pPr>
              <w:spacing w:after="0"/>
              <w:rPr>
                <w:sz w:val="14"/>
                <w:szCs w:val="14"/>
                <w:color w:val="auto"/>
              </w:rPr>
            </w:pPr>
          </w:p>
        </w:tc>
        <w:tc>
          <w:tcPr>
            <w:tcW w:w="2460" w:type="dxa"/>
            <w:vAlign w:val="bottom"/>
          </w:tcPr>
          <w:p>
            <w:pPr>
              <w:ind w:left="540"/>
              <w:spacing w:after="0"/>
              <w:rPr>
                <w:sz w:val="20"/>
                <w:szCs w:val="20"/>
                <w:color w:val="auto"/>
              </w:rPr>
            </w:pPr>
            <w:r>
              <w:rPr>
                <w:rFonts w:ascii="Arial" w:cs="Arial" w:eastAsia="Arial" w:hAnsi="Arial"/>
                <w:sz w:val="14"/>
                <w:szCs w:val="14"/>
                <w:color w:val="auto"/>
              </w:rPr>
              <w:t>Mobile</w:t>
            </w:r>
          </w:p>
        </w:tc>
        <w:tc>
          <w:tcPr>
            <w:tcW w:w="1560" w:type="dxa"/>
            <w:vAlign w:val="bottom"/>
          </w:tcPr>
          <w:p>
            <w:pPr>
              <w:jc w:val="right"/>
              <w:spacing w:after="0"/>
              <w:rPr>
                <w:sz w:val="20"/>
                <w:szCs w:val="20"/>
                <w:color w:val="auto"/>
              </w:rPr>
            </w:pPr>
            <w:r>
              <w:rPr>
                <w:rFonts w:ascii="Arial" w:cs="Arial" w:eastAsia="Arial" w:hAnsi="Arial"/>
                <w:sz w:val="14"/>
                <w:szCs w:val="14"/>
                <w:color w:val="auto"/>
              </w:rPr>
              <w:t>A</w:t>
            </w:r>
          </w:p>
        </w:tc>
      </w:tr>
      <w:tr>
        <w:trPr>
          <w:trHeight w:val="157"/>
        </w:trPr>
        <w:tc>
          <w:tcPr>
            <w:tcW w:w="1460" w:type="dxa"/>
            <w:vAlign w:val="bottom"/>
            <w:tcBorders>
              <w:bottom w:val="single" w:sz="8" w:color="auto"/>
            </w:tcBorders>
          </w:tcPr>
          <w:p>
            <w:pPr>
              <w:spacing w:after="0"/>
              <w:rPr>
                <w:sz w:val="13"/>
                <w:szCs w:val="13"/>
                <w:color w:val="auto"/>
              </w:rPr>
            </w:pPr>
          </w:p>
        </w:tc>
        <w:tc>
          <w:tcPr>
            <w:tcW w:w="2460" w:type="dxa"/>
            <w:vAlign w:val="bottom"/>
            <w:tcBorders>
              <w:bottom w:val="single" w:sz="8" w:color="auto"/>
            </w:tcBorders>
          </w:tcPr>
          <w:p>
            <w:pPr>
              <w:ind w:left="540"/>
              <w:spacing w:after="0" w:line="157" w:lineRule="exact"/>
              <w:rPr>
                <w:sz w:val="20"/>
                <w:szCs w:val="20"/>
                <w:color w:val="auto"/>
              </w:rPr>
            </w:pPr>
            <w:r>
              <w:rPr>
                <w:rFonts w:ascii="Arial" w:cs="Arial" w:eastAsia="Arial" w:hAnsi="Arial"/>
                <w:sz w:val="14"/>
                <w:szCs w:val="14"/>
                <w:color w:val="auto"/>
              </w:rPr>
              <w:t>Puget Sound</w:t>
            </w:r>
          </w:p>
        </w:tc>
        <w:tc>
          <w:tcPr>
            <w:tcW w:w="1560" w:type="dxa"/>
            <w:vAlign w:val="bottom"/>
            <w:tcBorders>
              <w:bottom w:val="single" w:sz="8" w:color="auto"/>
            </w:tcBorders>
          </w:tcPr>
          <w:p>
            <w:pPr>
              <w:jc w:val="right"/>
              <w:spacing w:after="0" w:line="157" w:lineRule="exact"/>
              <w:rPr>
                <w:sz w:val="20"/>
                <w:szCs w:val="20"/>
                <w:color w:val="auto"/>
              </w:rPr>
            </w:pPr>
            <w:r>
              <w:rPr>
                <w:rFonts w:ascii="Arial" w:cs="Arial" w:eastAsia="Arial" w:hAnsi="Arial"/>
                <w:sz w:val="14"/>
                <w:szCs w:val="14"/>
                <w:color w:val="auto"/>
              </w:rPr>
              <w:t>I</w:t>
            </w:r>
          </w:p>
        </w:tc>
      </w:tr>
    </w:tbl>
    <w:p>
      <w:pPr>
        <w:spacing w:after="0" w:line="37" w:lineRule="exact"/>
        <w:rPr>
          <w:sz w:val="20"/>
          <w:szCs w:val="20"/>
          <w:color w:val="auto"/>
        </w:rPr>
      </w:pPr>
    </w:p>
    <w:p>
      <w:pPr>
        <w:ind w:right="10120" w:firstLine="8"/>
        <w:spacing w:after="0" w:line="230" w:lineRule="auto"/>
        <w:tabs>
          <w:tab w:leader="none" w:pos="126" w:val="left"/>
        </w:tabs>
        <w:numPr>
          <w:ilvl w:val="0"/>
          <w:numId w:val="47"/>
        </w:numPr>
        <w:rPr>
          <w:rFonts w:ascii="Arial" w:cs="Arial" w:eastAsia="Arial" w:hAnsi="Arial"/>
          <w:sz w:val="11"/>
          <w:szCs w:val="11"/>
          <w:color w:val="auto"/>
        </w:rPr>
      </w:pPr>
      <w:r>
        <w:rPr>
          <w:rFonts w:ascii="Arial" w:cs="Arial" w:eastAsia="Arial" w:hAnsi="Arial"/>
          <w:sz w:val="11"/>
          <w:szCs w:val="11"/>
          <w:color w:val="auto"/>
        </w:rPr>
        <w:t>Aromatics, lower olefins. I Intermediates.</w:t>
      </w:r>
    </w:p>
    <w:p>
      <w:pPr>
        <w:spacing w:after="0"/>
        <w:rPr>
          <w:rFonts w:ascii="Arial" w:cs="Arial" w:eastAsia="Arial" w:hAnsi="Arial"/>
          <w:sz w:val="11"/>
          <w:szCs w:val="11"/>
          <w:color w:val="auto"/>
        </w:rPr>
      </w:pPr>
      <w:r>
        <w:rPr>
          <w:rFonts w:ascii="Arial" w:cs="Arial" w:eastAsia="Arial" w:hAnsi="Arial"/>
          <w:sz w:val="11"/>
          <w:szCs w:val="11"/>
          <w:color w:val="auto"/>
        </w:rPr>
        <w:t>O Other.</w:t>
      </w:r>
    </w:p>
    <w:p>
      <w:pPr>
        <w:sectPr>
          <w:pgSz w:w="11900" w:h="16838" w:orient="portrait"/>
          <w:cols w:equalWidth="0" w:num="1">
            <w:col w:w="11420"/>
          </w:cols>
          <w:pgMar w:left="240" w:top="459" w:right="23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6471285</wp:posOffset>
            </wp:positionH>
            <wp:positionV relativeFrom="paragraph">
              <wp:posOffset>300355</wp:posOffset>
            </wp:positionV>
            <wp:extent cx="8890" cy="46291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8890" cy="462915"/>
                    </a:xfrm>
                    <a:prstGeom prst="rect">
                      <a:avLst/>
                    </a:prstGeom>
                    <a:noFill/>
                  </pic:spPr>
                </pic:pic>
              </a:graphicData>
            </a:graphic>
          </wp:anchor>
        </w:drawing>
      </w:r>
    </w:p>
    <w:p>
      <w:pPr>
        <w:spacing w:after="0" w:line="200" w:lineRule="exact"/>
        <w:rPr>
          <w:sz w:val="20"/>
          <w:szCs w:val="20"/>
          <w:color w:val="auto"/>
        </w:rPr>
      </w:pP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565"/>
        </w:trPr>
        <w:tc>
          <w:tcPr>
            <w:tcW w:w="5600" w:type="dxa"/>
            <w:vAlign w:val="bottom"/>
          </w:tcPr>
          <w:p>
            <w:pPr>
              <w:spacing w:after="0"/>
              <w:rPr>
                <w:sz w:val="24"/>
                <w:szCs w:val="24"/>
                <w:color w:val="auto"/>
              </w:rPr>
            </w:pPr>
          </w:p>
        </w:tc>
        <w:tc>
          <w:tcPr>
            <w:tcW w:w="2800" w:type="dxa"/>
            <w:vAlign w:val="bottom"/>
            <w:gridSpan w:val="2"/>
            <w:shd w:val="clear" w:color="auto" w:fill="FF8B00"/>
          </w:tcPr>
          <w:p>
            <w:pPr>
              <w:ind w:left="940"/>
              <w:spacing w:after="0"/>
              <w:rPr>
                <w:sz w:val="20"/>
                <w:szCs w:val="20"/>
                <w:color w:val="auto"/>
              </w:rPr>
            </w:pPr>
            <w:r>
              <w:rPr>
                <w:rFonts w:ascii="Arial" w:cs="Arial" w:eastAsia="Arial" w:hAnsi="Arial"/>
                <w:sz w:val="13"/>
                <w:szCs w:val="13"/>
                <w:color w:val="333333"/>
              </w:rPr>
              <w:t>STRATEGIC REPORT</w:t>
            </w:r>
          </w:p>
        </w:tc>
        <w:tc>
          <w:tcPr>
            <w:tcW w:w="1620" w:type="dxa"/>
            <w:vAlign w:val="bottom"/>
            <w:shd w:val="clear" w:color="auto" w:fill="FF8B00"/>
          </w:tcPr>
          <w:p>
            <w:pPr>
              <w:spacing w:after="0"/>
              <w:rPr>
                <w:sz w:val="24"/>
                <w:szCs w:val="24"/>
                <w:color w:val="auto"/>
              </w:rPr>
            </w:pPr>
          </w:p>
        </w:tc>
        <w:tc>
          <w:tcPr>
            <w:tcW w:w="1400" w:type="dxa"/>
            <w:vAlign w:val="bottom"/>
            <w:shd w:val="clear" w:color="auto" w:fill="FF8B00"/>
          </w:tcPr>
          <w:p>
            <w:pPr>
              <w:jc w:val="right"/>
              <w:ind w:right="291"/>
              <w:spacing w:after="0"/>
              <w:rPr>
                <w:sz w:val="20"/>
                <w:szCs w:val="20"/>
                <w:color w:val="auto"/>
              </w:rPr>
            </w:pPr>
            <w:r>
              <w:rPr>
                <w:rFonts w:ascii="Arial" w:cs="Arial" w:eastAsia="Arial" w:hAnsi="Arial"/>
                <w:sz w:val="11"/>
                <w:szCs w:val="11"/>
                <w:b w:val="1"/>
                <w:bCs w:val="1"/>
                <w:color w:val="333333"/>
              </w:rPr>
              <w:t>47</w:t>
            </w:r>
          </w:p>
        </w:tc>
        <w:tc>
          <w:tcPr>
            <w:tcW w:w="0" w:type="dxa"/>
            <w:vAlign w:val="bottom"/>
          </w:tcPr>
          <w:p>
            <w:pPr>
              <w:spacing w:after="0"/>
              <w:rPr>
                <w:sz w:val="1"/>
                <w:szCs w:val="1"/>
                <w:color w:val="auto"/>
              </w:rPr>
            </w:pPr>
          </w:p>
        </w:tc>
      </w:tr>
      <w:tr>
        <w:trPr>
          <w:trHeight w:val="165"/>
        </w:trPr>
        <w:tc>
          <w:tcPr>
            <w:tcW w:w="5600" w:type="dxa"/>
            <w:vAlign w:val="bottom"/>
            <w:vMerge w:val="restart"/>
          </w:tcPr>
          <w:p>
            <w:pPr>
              <w:spacing w:after="0"/>
              <w:rPr>
                <w:sz w:val="20"/>
                <w:szCs w:val="20"/>
                <w:color w:val="auto"/>
              </w:rPr>
            </w:pPr>
            <w:r>
              <w:rPr>
                <w:rFonts w:ascii="Arial" w:cs="Arial" w:eastAsia="Arial" w:hAnsi="Arial"/>
                <w:sz w:val="11"/>
                <w:szCs w:val="11"/>
                <w:color w:val="auto"/>
              </w:rPr>
              <w:t>SHELL ANNUAL REPORT AND FORM 20-F 2014</w:t>
            </w:r>
          </w:p>
        </w:tc>
        <w:tc>
          <w:tcPr>
            <w:tcW w:w="1360" w:type="dxa"/>
            <w:vAlign w:val="bottom"/>
            <w:shd w:val="clear" w:color="auto" w:fill="FF8B00"/>
          </w:tcPr>
          <w:p>
            <w:pPr>
              <w:spacing w:after="0"/>
              <w:rPr>
                <w:sz w:val="14"/>
                <w:szCs w:val="14"/>
                <w:color w:val="auto"/>
              </w:rPr>
            </w:pPr>
          </w:p>
        </w:tc>
        <w:tc>
          <w:tcPr>
            <w:tcW w:w="1440" w:type="dxa"/>
            <w:vAlign w:val="bottom"/>
            <w:shd w:val="clear" w:color="auto" w:fill="FF8B00"/>
          </w:tcPr>
          <w:p>
            <w:pPr>
              <w:spacing w:after="0"/>
              <w:rPr>
                <w:sz w:val="14"/>
                <w:szCs w:val="14"/>
                <w:color w:val="auto"/>
              </w:rPr>
            </w:pPr>
          </w:p>
        </w:tc>
        <w:tc>
          <w:tcPr>
            <w:tcW w:w="1620" w:type="dxa"/>
            <w:vAlign w:val="bottom"/>
            <w:shd w:val="clear" w:color="auto" w:fill="FF8B00"/>
          </w:tcPr>
          <w:p>
            <w:pPr>
              <w:spacing w:after="0"/>
              <w:rPr>
                <w:sz w:val="14"/>
                <w:szCs w:val="14"/>
                <w:color w:val="auto"/>
              </w:rPr>
            </w:pPr>
          </w:p>
        </w:tc>
        <w:tc>
          <w:tcPr>
            <w:tcW w:w="1400" w:type="dxa"/>
            <w:vAlign w:val="bottom"/>
            <w:shd w:val="clear" w:color="auto" w:fill="FF8B00"/>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5600" w:type="dxa"/>
            <w:vAlign w:val="bottom"/>
            <w:vMerge w:val="continue"/>
          </w:tcPr>
          <w:p>
            <w:pPr>
              <w:spacing w:after="0"/>
              <w:rPr>
                <w:sz w:val="11"/>
                <w:szCs w:val="11"/>
                <w:color w:val="auto"/>
              </w:rPr>
            </w:pPr>
          </w:p>
        </w:tc>
        <w:tc>
          <w:tcPr>
            <w:tcW w:w="2800" w:type="dxa"/>
            <w:vAlign w:val="bottom"/>
            <w:gridSpan w:val="2"/>
          </w:tcPr>
          <w:p>
            <w:pPr>
              <w:ind w:left="940"/>
              <w:spacing w:after="0"/>
              <w:rPr>
                <w:sz w:val="20"/>
                <w:szCs w:val="20"/>
                <w:color w:val="auto"/>
              </w:rPr>
            </w:pPr>
            <w:r>
              <w:rPr>
                <w:rFonts w:ascii="Arial" w:cs="Arial" w:eastAsia="Arial" w:hAnsi="Arial"/>
                <w:sz w:val="11"/>
                <w:szCs w:val="11"/>
                <w:color w:val="auto"/>
              </w:rPr>
              <w:t>CORPORATE</w:t>
            </w:r>
          </w:p>
        </w:tc>
        <w:tc>
          <w:tcPr>
            <w:tcW w:w="162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58"/>
        </w:trPr>
        <w:tc>
          <w:tcPr>
            <w:tcW w:w="5600" w:type="dxa"/>
            <w:vAlign w:val="bottom"/>
            <w:tcBorders>
              <w:bottom w:val="single" w:sz="8" w:color="auto"/>
            </w:tcBorders>
          </w:tcPr>
          <w:p>
            <w:pPr>
              <w:spacing w:after="0"/>
              <w:rPr>
                <w:sz w:val="20"/>
                <w:szCs w:val="20"/>
                <w:color w:val="auto"/>
              </w:rPr>
            </w:pPr>
            <w:r>
              <w:rPr>
                <w:rFonts w:ascii="Arial" w:cs="Arial" w:eastAsia="Arial" w:hAnsi="Arial"/>
                <w:sz w:val="31"/>
                <w:szCs w:val="31"/>
                <w:color w:val="auto"/>
              </w:rPr>
              <w:t>CORPORATE</w:t>
            </w:r>
          </w:p>
        </w:tc>
        <w:tc>
          <w:tcPr>
            <w:tcW w:w="136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56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5600" w:type="dxa"/>
            <w:vAlign w:val="bottom"/>
            <w:shd w:val="clear" w:color="auto" w:fill="333333"/>
          </w:tcPr>
          <w:p>
            <w:pPr>
              <w:ind w:left="80"/>
              <w:spacing w:after="0" w:line="162" w:lineRule="exact"/>
              <w:rPr>
                <w:sz w:val="20"/>
                <w:szCs w:val="20"/>
                <w:color w:val="auto"/>
              </w:rPr>
            </w:pPr>
            <w:r>
              <w:rPr>
                <w:rFonts w:ascii="Arial" w:cs="Arial" w:eastAsia="Arial" w:hAnsi="Arial"/>
                <w:sz w:val="15"/>
                <w:szCs w:val="15"/>
                <w:b w:val="1"/>
                <w:bCs w:val="1"/>
                <w:color w:val="FFFFFF"/>
              </w:rPr>
              <w:t>EARNINGS</w:t>
            </w:r>
          </w:p>
        </w:tc>
        <w:tc>
          <w:tcPr>
            <w:tcW w:w="1360" w:type="dxa"/>
            <w:vAlign w:val="bottom"/>
            <w:shd w:val="clear" w:color="auto" w:fill="333333"/>
          </w:tcPr>
          <w:p>
            <w:pPr>
              <w:spacing w:after="0"/>
              <w:rPr>
                <w:sz w:val="14"/>
                <w:szCs w:val="14"/>
                <w:color w:val="auto"/>
              </w:rPr>
            </w:pPr>
          </w:p>
        </w:tc>
        <w:tc>
          <w:tcPr>
            <w:tcW w:w="1440" w:type="dxa"/>
            <w:vAlign w:val="bottom"/>
            <w:shd w:val="clear" w:color="auto" w:fill="333333"/>
          </w:tcPr>
          <w:p>
            <w:pPr>
              <w:spacing w:after="0"/>
              <w:rPr>
                <w:sz w:val="14"/>
                <w:szCs w:val="14"/>
                <w:color w:val="auto"/>
              </w:rPr>
            </w:pPr>
          </w:p>
        </w:tc>
        <w:tc>
          <w:tcPr>
            <w:tcW w:w="1620" w:type="dxa"/>
            <w:vAlign w:val="bottom"/>
            <w:shd w:val="clear" w:color="auto" w:fill="333333"/>
          </w:tcPr>
          <w:p>
            <w:pPr>
              <w:spacing w:after="0"/>
              <w:rPr>
                <w:sz w:val="14"/>
                <w:szCs w:val="14"/>
                <w:color w:val="auto"/>
              </w:rPr>
            </w:pPr>
          </w:p>
        </w:tc>
        <w:tc>
          <w:tcPr>
            <w:tcW w:w="1400" w:type="dxa"/>
            <w:vAlign w:val="bottom"/>
            <w:shd w:val="clear" w:color="auto" w:fill="333333"/>
          </w:tcPr>
          <w:p>
            <w:pPr>
              <w:jc w:val="right"/>
              <w:ind w:right="31"/>
              <w:spacing w:after="0" w:line="162" w:lineRule="exact"/>
              <w:rPr>
                <w:sz w:val="20"/>
                <w:szCs w:val="20"/>
                <w:color w:val="auto"/>
              </w:rPr>
            </w:pPr>
            <w:r>
              <w:rPr>
                <w:rFonts w:ascii="Arial" w:cs="Arial" w:eastAsia="Arial" w:hAnsi="Arial"/>
                <w:sz w:val="15"/>
                <w:szCs w:val="15"/>
                <w:color w:val="FFFFFF"/>
              </w:rPr>
              <w:t>$ MILLION</w:t>
            </w:r>
          </w:p>
        </w:tc>
        <w:tc>
          <w:tcPr>
            <w:tcW w:w="0" w:type="dxa"/>
            <w:vAlign w:val="bottom"/>
          </w:tcPr>
          <w:p>
            <w:pPr>
              <w:spacing w:after="0"/>
              <w:rPr>
                <w:sz w:val="1"/>
                <w:szCs w:val="1"/>
                <w:color w:val="auto"/>
              </w:rPr>
            </w:pPr>
          </w:p>
        </w:tc>
      </w:tr>
      <w:tr>
        <w:trPr>
          <w:trHeight w:val="149"/>
        </w:trPr>
        <w:tc>
          <w:tcPr>
            <w:tcW w:w="5600" w:type="dxa"/>
            <w:vAlign w:val="bottom"/>
            <w:tcBorders>
              <w:bottom w:val="single" w:sz="8" w:color="auto"/>
            </w:tcBorders>
          </w:tcPr>
          <w:p>
            <w:pPr>
              <w:spacing w:after="0"/>
              <w:rPr>
                <w:sz w:val="12"/>
                <w:szCs w:val="12"/>
                <w:color w:val="auto"/>
              </w:rPr>
            </w:pPr>
          </w:p>
        </w:tc>
        <w:tc>
          <w:tcPr>
            <w:tcW w:w="1360" w:type="dxa"/>
            <w:vAlign w:val="bottom"/>
            <w:tcBorders>
              <w:bottom w:val="single" w:sz="8" w:color="auto"/>
            </w:tcBorders>
          </w:tcPr>
          <w:p>
            <w:pPr>
              <w:spacing w:after="0"/>
              <w:rPr>
                <w:sz w:val="12"/>
                <w:szCs w:val="12"/>
                <w:color w:val="auto"/>
              </w:rPr>
            </w:pPr>
          </w:p>
        </w:tc>
        <w:tc>
          <w:tcPr>
            <w:tcW w:w="1440" w:type="dxa"/>
            <w:vAlign w:val="bottom"/>
            <w:tcBorders>
              <w:bottom w:val="single" w:sz="8" w:color="auto"/>
            </w:tcBorders>
            <w:shd w:val="clear" w:color="auto" w:fill="D8D8D8"/>
          </w:tcPr>
          <w:p>
            <w:pPr>
              <w:jc w:val="right"/>
              <w:ind w:right="370"/>
              <w:spacing w:after="0"/>
              <w:rPr>
                <w:sz w:val="20"/>
                <w:szCs w:val="20"/>
                <w:color w:val="auto"/>
              </w:rPr>
            </w:pPr>
            <w:r>
              <w:rPr>
                <w:rFonts w:ascii="Arial" w:cs="Arial" w:eastAsia="Arial" w:hAnsi="Arial"/>
                <w:sz w:val="13"/>
                <w:szCs w:val="13"/>
                <w:color w:val="auto"/>
              </w:rPr>
              <w:t>2014</w:t>
            </w:r>
          </w:p>
        </w:tc>
        <w:tc>
          <w:tcPr>
            <w:tcW w:w="1620" w:type="dxa"/>
            <w:vAlign w:val="bottom"/>
            <w:tcBorders>
              <w:bottom w:val="single" w:sz="8" w:color="auto"/>
            </w:tcBorders>
          </w:tcPr>
          <w:p>
            <w:pPr>
              <w:jc w:val="right"/>
              <w:ind w:right="530"/>
              <w:spacing w:after="0"/>
              <w:rPr>
                <w:sz w:val="20"/>
                <w:szCs w:val="20"/>
                <w:color w:val="auto"/>
              </w:rPr>
            </w:pPr>
            <w:r>
              <w:rPr>
                <w:rFonts w:ascii="Arial" w:cs="Arial" w:eastAsia="Arial" w:hAnsi="Arial"/>
                <w:sz w:val="13"/>
                <w:szCs w:val="13"/>
                <w:color w:val="auto"/>
              </w:rPr>
              <w:t>2013</w:t>
            </w:r>
          </w:p>
        </w:tc>
        <w:tc>
          <w:tcPr>
            <w:tcW w:w="1400" w:type="dxa"/>
            <w:vAlign w:val="bottom"/>
            <w:tcBorders>
              <w:bottom w:val="single" w:sz="8" w:color="auto"/>
            </w:tcBorders>
          </w:tcPr>
          <w:p>
            <w:pPr>
              <w:jc w:val="right"/>
              <w:ind w:right="371"/>
              <w:spacing w:after="0"/>
              <w:rPr>
                <w:sz w:val="20"/>
                <w:szCs w:val="20"/>
                <w:color w:val="auto"/>
              </w:rPr>
            </w:pPr>
            <w:r>
              <w:rPr>
                <w:rFonts w:ascii="Arial" w:cs="Arial" w:eastAsia="Arial" w:hAnsi="Arial"/>
                <w:sz w:val="13"/>
                <w:szCs w:val="13"/>
                <w:color w:val="auto"/>
              </w:rPr>
              <w:t>2012</w:t>
            </w:r>
          </w:p>
        </w:tc>
        <w:tc>
          <w:tcPr>
            <w:tcW w:w="0" w:type="dxa"/>
            <w:vAlign w:val="bottom"/>
          </w:tcPr>
          <w:p>
            <w:pPr>
              <w:spacing w:after="0"/>
              <w:rPr>
                <w:sz w:val="1"/>
                <w:szCs w:val="1"/>
                <w:color w:val="auto"/>
              </w:rPr>
            </w:pPr>
          </w:p>
        </w:tc>
      </w:tr>
      <w:tr>
        <w:trPr>
          <w:trHeight w:val="156"/>
        </w:trPr>
        <w:tc>
          <w:tcPr>
            <w:tcW w:w="5600" w:type="dxa"/>
            <w:vAlign w:val="bottom"/>
          </w:tcPr>
          <w:p>
            <w:pPr>
              <w:spacing w:after="0" w:line="155" w:lineRule="exact"/>
              <w:rPr>
                <w:sz w:val="20"/>
                <w:szCs w:val="20"/>
                <w:color w:val="auto"/>
              </w:rPr>
            </w:pPr>
            <w:r>
              <w:rPr>
                <w:rFonts w:ascii="Arial" w:cs="Arial" w:eastAsia="Arial" w:hAnsi="Arial"/>
                <w:sz w:val="14"/>
                <w:szCs w:val="14"/>
                <w:color w:val="auto"/>
              </w:rPr>
              <w:t>Net interest and investment expense</w:t>
            </w:r>
          </w:p>
        </w:tc>
        <w:tc>
          <w:tcPr>
            <w:tcW w:w="1360" w:type="dxa"/>
            <w:vAlign w:val="bottom"/>
          </w:tcPr>
          <w:p>
            <w:pPr>
              <w:spacing w:after="0"/>
              <w:rPr>
                <w:sz w:val="13"/>
                <w:szCs w:val="13"/>
                <w:color w:val="auto"/>
              </w:rPr>
            </w:pPr>
          </w:p>
        </w:tc>
        <w:tc>
          <w:tcPr>
            <w:tcW w:w="1440" w:type="dxa"/>
            <w:vAlign w:val="bottom"/>
            <w:shd w:val="clear" w:color="auto" w:fill="D8D8D8"/>
          </w:tcPr>
          <w:p>
            <w:pPr>
              <w:jc w:val="right"/>
              <w:ind w:right="310"/>
              <w:spacing w:after="0" w:line="155" w:lineRule="exact"/>
              <w:rPr>
                <w:sz w:val="20"/>
                <w:szCs w:val="20"/>
                <w:color w:val="auto"/>
              </w:rPr>
            </w:pPr>
            <w:r>
              <w:rPr>
                <w:rFonts w:ascii="Arial" w:cs="Arial" w:eastAsia="Arial" w:hAnsi="Arial"/>
                <w:sz w:val="14"/>
                <w:szCs w:val="14"/>
                <w:color w:val="auto"/>
              </w:rPr>
              <w:t>(913)</w:t>
            </w:r>
          </w:p>
        </w:tc>
        <w:tc>
          <w:tcPr>
            <w:tcW w:w="1620" w:type="dxa"/>
            <w:vAlign w:val="bottom"/>
          </w:tcPr>
          <w:p>
            <w:pPr>
              <w:jc w:val="right"/>
              <w:ind w:right="490"/>
              <w:spacing w:after="0" w:line="155" w:lineRule="exact"/>
              <w:rPr>
                <w:sz w:val="20"/>
                <w:szCs w:val="20"/>
                <w:color w:val="auto"/>
              </w:rPr>
            </w:pPr>
            <w:r>
              <w:rPr>
                <w:rFonts w:ascii="Arial" w:cs="Arial" w:eastAsia="Arial" w:hAnsi="Arial"/>
                <w:sz w:val="14"/>
                <w:szCs w:val="14"/>
                <w:color w:val="auto"/>
              </w:rPr>
              <w:t>(832)</w:t>
            </w:r>
          </w:p>
        </w:tc>
        <w:tc>
          <w:tcPr>
            <w:tcW w:w="1400" w:type="dxa"/>
            <w:vAlign w:val="bottom"/>
          </w:tcPr>
          <w:p>
            <w:pPr>
              <w:jc w:val="right"/>
              <w:ind w:right="331"/>
              <w:spacing w:after="0" w:line="155" w:lineRule="exact"/>
              <w:rPr>
                <w:sz w:val="20"/>
                <w:szCs w:val="20"/>
                <w:color w:val="auto"/>
              </w:rPr>
            </w:pPr>
            <w:r>
              <w:rPr>
                <w:rFonts w:ascii="Arial" w:cs="Arial" w:eastAsia="Arial" w:hAnsi="Arial"/>
                <w:sz w:val="14"/>
                <w:szCs w:val="14"/>
                <w:color w:val="auto"/>
              </w:rPr>
              <w:t>(1,001)</w:t>
            </w:r>
          </w:p>
        </w:tc>
        <w:tc>
          <w:tcPr>
            <w:tcW w:w="0" w:type="dxa"/>
            <w:vAlign w:val="bottom"/>
          </w:tcPr>
          <w:p>
            <w:pPr>
              <w:spacing w:after="0"/>
              <w:rPr>
                <w:sz w:val="1"/>
                <w:szCs w:val="1"/>
                <w:color w:val="auto"/>
              </w:rPr>
            </w:pPr>
          </w:p>
        </w:tc>
      </w:tr>
      <w:tr>
        <w:trPr>
          <w:trHeight w:val="162"/>
        </w:trPr>
        <w:tc>
          <w:tcPr>
            <w:tcW w:w="5600" w:type="dxa"/>
            <w:vAlign w:val="bottom"/>
          </w:tcPr>
          <w:p>
            <w:pPr>
              <w:spacing w:after="0"/>
              <w:rPr>
                <w:sz w:val="20"/>
                <w:szCs w:val="20"/>
                <w:color w:val="auto"/>
              </w:rPr>
            </w:pPr>
            <w:r>
              <w:rPr>
                <w:rFonts w:ascii="Arial" w:cs="Arial" w:eastAsia="Arial" w:hAnsi="Arial"/>
                <w:sz w:val="14"/>
                <w:szCs w:val="14"/>
                <w:color w:val="auto"/>
              </w:rPr>
              <w:t>Foreign exchange (losses)/gains</w:t>
            </w:r>
          </w:p>
        </w:tc>
        <w:tc>
          <w:tcPr>
            <w:tcW w:w="1360" w:type="dxa"/>
            <w:vAlign w:val="bottom"/>
          </w:tcPr>
          <w:p>
            <w:pPr>
              <w:spacing w:after="0"/>
              <w:rPr>
                <w:sz w:val="14"/>
                <w:szCs w:val="14"/>
                <w:color w:val="auto"/>
              </w:rPr>
            </w:pPr>
          </w:p>
        </w:tc>
        <w:tc>
          <w:tcPr>
            <w:tcW w:w="1440" w:type="dxa"/>
            <w:vAlign w:val="bottom"/>
            <w:shd w:val="clear" w:color="auto" w:fill="D8D8D8"/>
          </w:tcPr>
          <w:p>
            <w:pPr>
              <w:jc w:val="right"/>
              <w:ind w:right="370"/>
              <w:spacing w:after="0"/>
              <w:rPr>
                <w:sz w:val="20"/>
                <w:szCs w:val="20"/>
                <w:color w:val="auto"/>
              </w:rPr>
            </w:pPr>
            <w:r>
              <w:rPr>
                <w:rFonts w:ascii="Arial" w:cs="Arial" w:eastAsia="Arial" w:hAnsi="Arial"/>
                <w:sz w:val="14"/>
                <w:szCs w:val="14"/>
                <w:color w:val="auto"/>
              </w:rPr>
              <w:t>(263)</w:t>
            </w:r>
          </w:p>
        </w:tc>
        <w:tc>
          <w:tcPr>
            <w:tcW w:w="1620" w:type="dxa"/>
            <w:vAlign w:val="bottom"/>
          </w:tcPr>
          <w:p>
            <w:pPr>
              <w:jc w:val="right"/>
              <w:ind w:right="490"/>
              <w:spacing w:after="0"/>
              <w:rPr>
                <w:sz w:val="20"/>
                <w:szCs w:val="20"/>
                <w:color w:val="auto"/>
              </w:rPr>
            </w:pPr>
            <w:r>
              <w:rPr>
                <w:rFonts w:ascii="Arial" w:cs="Arial" w:eastAsia="Arial" w:hAnsi="Arial"/>
                <w:sz w:val="14"/>
                <w:szCs w:val="14"/>
                <w:color w:val="auto"/>
              </w:rPr>
              <w:t>(189)</w:t>
            </w:r>
          </w:p>
        </w:tc>
        <w:tc>
          <w:tcPr>
            <w:tcW w:w="1400" w:type="dxa"/>
            <w:vAlign w:val="bottom"/>
          </w:tcPr>
          <w:p>
            <w:pPr>
              <w:jc w:val="right"/>
              <w:ind w:right="371"/>
              <w:spacing w:after="0"/>
              <w:rPr>
                <w:sz w:val="20"/>
                <w:szCs w:val="20"/>
                <w:color w:val="auto"/>
              </w:rPr>
            </w:pPr>
            <w:r>
              <w:rPr>
                <w:rFonts w:ascii="Arial" w:cs="Arial" w:eastAsia="Arial" w:hAnsi="Arial"/>
                <w:sz w:val="14"/>
                <w:szCs w:val="14"/>
                <w:color w:val="auto"/>
              </w:rPr>
              <w:t>169</w:t>
            </w:r>
          </w:p>
        </w:tc>
        <w:tc>
          <w:tcPr>
            <w:tcW w:w="0" w:type="dxa"/>
            <w:vAlign w:val="bottom"/>
          </w:tcPr>
          <w:p>
            <w:pPr>
              <w:spacing w:after="0"/>
              <w:rPr>
                <w:sz w:val="1"/>
                <w:szCs w:val="1"/>
                <w:color w:val="auto"/>
              </w:rPr>
            </w:pPr>
          </w:p>
        </w:tc>
      </w:tr>
      <w:tr>
        <w:trPr>
          <w:trHeight w:val="162"/>
        </w:trPr>
        <w:tc>
          <w:tcPr>
            <w:tcW w:w="560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Other – including taxation</w:t>
            </w:r>
          </w:p>
        </w:tc>
        <w:tc>
          <w:tcPr>
            <w:tcW w:w="136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shd w:val="clear" w:color="auto" w:fill="D8D8D8"/>
          </w:tcPr>
          <w:p>
            <w:pPr>
              <w:jc w:val="right"/>
              <w:ind w:right="370"/>
              <w:spacing w:after="0"/>
              <w:rPr>
                <w:sz w:val="20"/>
                <w:szCs w:val="20"/>
                <w:color w:val="auto"/>
              </w:rPr>
            </w:pPr>
            <w:r>
              <w:rPr>
                <w:rFonts w:ascii="Arial" w:cs="Arial" w:eastAsia="Arial" w:hAnsi="Arial"/>
                <w:sz w:val="14"/>
                <w:szCs w:val="14"/>
                <w:color w:val="auto"/>
              </w:rPr>
              <w:t>1,020</w:t>
            </w:r>
          </w:p>
        </w:tc>
        <w:tc>
          <w:tcPr>
            <w:tcW w:w="1620" w:type="dxa"/>
            <w:vAlign w:val="bottom"/>
            <w:tcBorders>
              <w:bottom w:val="single" w:sz="8" w:color="auto"/>
            </w:tcBorders>
          </w:tcPr>
          <w:p>
            <w:pPr>
              <w:jc w:val="right"/>
              <w:ind w:right="530"/>
              <w:spacing w:after="0"/>
              <w:rPr>
                <w:sz w:val="20"/>
                <w:szCs w:val="20"/>
                <w:color w:val="auto"/>
              </w:rPr>
            </w:pPr>
            <w:r>
              <w:rPr>
                <w:rFonts w:ascii="Arial" w:cs="Arial" w:eastAsia="Arial" w:hAnsi="Arial"/>
                <w:sz w:val="14"/>
                <w:szCs w:val="14"/>
                <w:color w:val="auto"/>
              </w:rPr>
              <w:t>1,393</w:t>
            </w:r>
          </w:p>
        </w:tc>
        <w:tc>
          <w:tcPr>
            <w:tcW w:w="1400" w:type="dxa"/>
            <w:vAlign w:val="bottom"/>
            <w:tcBorders>
              <w:bottom w:val="single" w:sz="8" w:color="auto"/>
            </w:tcBorders>
          </w:tcPr>
          <w:p>
            <w:pPr>
              <w:jc w:val="right"/>
              <w:ind w:right="371"/>
              <w:spacing w:after="0"/>
              <w:rPr>
                <w:sz w:val="20"/>
                <w:szCs w:val="20"/>
                <w:color w:val="auto"/>
              </w:rPr>
            </w:pPr>
            <w:r>
              <w:rPr>
                <w:rFonts w:ascii="Arial" w:cs="Arial" w:eastAsia="Arial" w:hAnsi="Arial"/>
                <w:sz w:val="14"/>
                <w:szCs w:val="14"/>
                <w:color w:val="auto"/>
              </w:rPr>
              <w:t>629</w:t>
            </w:r>
          </w:p>
        </w:tc>
        <w:tc>
          <w:tcPr>
            <w:tcW w:w="0" w:type="dxa"/>
            <w:vAlign w:val="bottom"/>
          </w:tcPr>
          <w:p>
            <w:pPr>
              <w:spacing w:after="0"/>
              <w:rPr>
                <w:sz w:val="1"/>
                <w:szCs w:val="1"/>
                <w:color w:val="auto"/>
              </w:rPr>
            </w:pPr>
          </w:p>
        </w:tc>
      </w:tr>
      <w:tr>
        <w:trPr>
          <w:trHeight w:val="156"/>
        </w:trPr>
        <w:tc>
          <w:tcPr>
            <w:tcW w:w="5600" w:type="dxa"/>
            <w:vAlign w:val="bottom"/>
            <w:tcBorders>
              <w:bottom w:val="single" w:sz="8" w:color="auto"/>
            </w:tcBorders>
          </w:tcPr>
          <w:p>
            <w:pPr>
              <w:spacing w:after="0" w:line="155" w:lineRule="exact"/>
              <w:rPr>
                <w:sz w:val="20"/>
                <w:szCs w:val="20"/>
                <w:color w:val="auto"/>
              </w:rPr>
            </w:pPr>
            <w:r>
              <w:rPr>
                <w:rFonts w:ascii="Arial" w:cs="Arial" w:eastAsia="Arial" w:hAnsi="Arial"/>
                <w:sz w:val="14"/>
                <w:szCs w:val="14"/>
                <w:color w:val="auto"/>
              </w:rPr>
              <w:t>Segment earnings</w:t>
            </w:r>
          </w:p>
        </w:tc>
        <w:tc>
          <w:tcPr>
            <w:tcW w:w="1360" w:type="dxa"/>
            <w:vAlign w:val="bottom"/>
            <w:tcBorders>
              <w:bottom w:val="single" w:sz="8" w:color="auto"/>
            </w:tcBorders>
          </w:tcPr>
          <w:p>
            <w:pPr>
              <w:spacing w:after="0"/>
              <w:rPr>
                <w:sz w:val="13"/>
                <w:szCs w:val="13"/>
                <w:color w:val="auto"/>
              </w:rPr>
            </w:pPr>
          </w:p>
        </w:tc>
        <w:tc>
          <w:tcPr>
            <w:tcW w:w="1440" w:type="dxa"/>
            <w:vAlign w:val="bottom"/>
            <w:tcBorders>
              <w:bottom w:val="single" w:sz="8" w:color="auto"/>
            </w:tcBorders>
            <w:shd w:val="clear" w:color="auto" w:fill="D8D8D8"/>
          </w:tcPr>
          <w:p>
            <w:pPr>
              <w:jc w:val="right"/>
              <w:ind w:right="370"/>
              <w:spacing w:after="0" w:line="155" w:lineRule="exact"/>
              <w:rPr>
                <w:sz w:val="20"/>
                <w:szCs w:val="20"/>
                <w:color w:val="auto"/>
              </w:rPr>
            </w:pPr>
            <w:r>
              <w:rPr>
                <w:rFonts w:ascii="Arial" w:cs="Arial" w:eastAsia="Arial" w:hAnsi="Arial"/>
                <w:sz w:val="14"/>
                <w:szCs w:val="14"/>
                <w:color w:val="auto"/>
              </w:rPr>
              <w:t>(156)</w:t>
            </w:r>
          </w:p>
        </w:tc>
        <w:tc>
          <w:tcPr>
            <w:tcW w:w="1620" w:type="dxa"/>
            <w:vAlign w:val="bottom"/>
            <w:tcBorders>
              <w:bottom w:val="single" w:sz="8" w:color="auto"/>
            </w:tcBorders>
          </w:tcPr>
          <w:p>
            <w:pPr>
              <w:jc w:val="right"/>
              <w:ind w:right="530"/>
              <w:spacing w:after="0" w:line="155" w:lineRule="exact"/>
              <w:rPr>
                <w:sz w:val="20"/>
                <w:szCs w:val="20"/>
                <w:color w:val="auto"/>
              </w:rPr>
            </w:pPr>
            <w:r>
              <w:rPr>
                <w:rFonts w:ascii="Arial" w:cs="Arial" w:eastAsia="Arial" w:hAnsi="Arial"/>
                <w:sz w:val="14"/>
                <w:szCs w:val="14"/>
                <w:color w:val="auto"/>
              </w:rPr>
              <w:t>372</w:t>
            </w:r>
          </w:p>
        </w:tc>
        <w:tc>
          <w:tcPr>
            <w:tcW w:w="1400" w:type="dxa"/>
            <w:vAlign w:val="bottom"/>
            <w:tcBorders>
              <w:bottom w:val="single" w:sz="8" w:color="auto"/>
            </w:tcBorders>
          </w:tcPr>
          <w:p>
            <w:pPr>
              <w:jc w:val="right"/>
              <w:ind w:right="331"/>
              <w:spacing w:after="0" w:line="155" w:lineRule="exact"/>
              <w:rPr>
                <w:sz w:val="20"/>
                <w:szCs w:val="20"/>
                <w:color w:val="auto"/>
              </w:rPr>
            </w:pPr>
            <w:r>
              <w:rPr>
                <w:rFonts w:ascii="Arial" w:cs="Arial" w:eastAsia="Arial" w:hAnsi="Arial"/>
                <w:sz w:val="14"/>
                <w:szCs w:val="14"/>
                <w:color w:val="auto"/>
              </w:rPr>
              <w:t>(203)</w:t>
            </w:r>
          </w:p>
        </w:tc>
        <w:tc>
          <w:tcPr>
            <w:tcW w:w="0" w:type="dxa"/>
            <w:vAlign w:val="bottom"/>
          </w:tcPr>
          <w:p>
            <w:pPr>
              <w:spacing w:after="0"/>
              <w:rPr>
                <w:sz w:val="1"/>
                <w:szCs w:val="1"/>
                <w:color w:val="auto"/>
              </w:rPr>
            </w:pPr>
          </w:p>
        </w:tc>
      </w:tr>
      <w:tr>
        <w:trPr>
          <w:trHeight w:val="484"/>
        </w:trPr>
        <w:tc>
          <w:tcPr>
            <w:tcW w:w="5600" w:type="dxa"/>
            <w:vAlign w:val="bottom"/>
          </w:tcPr>
          <w:p>
            <w:pPr>
              <w:spacing w:after="0"/>
              <w:rPr>
                <w:sz w:val="20"/>
                <w:szCs w:val="20"/>
                <w:color w:val="auto"/>
              </w:rPr>
            </w:pPr>
            <w:r>
              <w:rPr>
                <w:rFonts w:ascii="Arial" w:cs="Arial" w:eastAsia="Arial" w:hAnsi="Arial"/>
                <w:sz w:val="18"/>
                <w:szCs w:val="18"/>
                <w:color w:val="auto"/>
              </w:rPr>
              <w:t>OVERVIEW</w:t>
            </w:r>
          </w:p>
        </w:tc>
        <w:tc>
          <w:tcPr>
            <w:tcW w:w="2800" w:type="dxa"/>
            <w:vAlign w:val="bottom"/>
            <w:gridSpan w:val="2"/>
          </w:tcPr>
          <w:p>
            <w:pPr>
              <w:jc w:val="right"/>
              <w:ind w:right="690"/>
              <w:spacing w:after="0"/>
              <w:rPr>
                <w:sz w:val="20"/>
                <w:szCs w:val="20"/>
                <w:color w:val="auto"/>
              </w:rPr>
            </w:pPr>
            <w:r>
              <w:rPr>
                <w:rFonts w:ascii="Arial" w:cs="Arial" w:eastAsia="Arial" w:hAnsi="Arial"/>
                <w:sz w:val="18"/>
                <w:szCs w:val="18"/>
                <w:color w:val="auto"/>
              </w:rPr>
              <w:t>EARNINGS 2014-2012</w:t>
            </w:r>
          </w:p>
        </w:tc>
        <w:tc>
          <w:tcPr>
            <w:tcW w:w="16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1420"/>
          </w:cols>
          <w:pgMar w:left="240" w:top="459" w:right="239" w:bottom="1440" w:gutter="0" w:footer="0" w:header="0"/>
        </w:sectPr>
      </w:pPr>
    </w:p>
    <w:p>
      <w:pPr>
        <w:ind w:right="100"/>
        <w:spacing w:after="0" w:line="245" w:lineRule="auto"/>
        <w:rPr>
          <w:sz w:val="20"/>
          <w:szCs w:val="20"/>
          <w:color w:val="auto"/>
        </w:rPr>
      </w:pPr>
      <w:r>
        <w:rPr>
          <w:rFonts w:ascii="Arial" w:cs="Arial" w:eastAsia="Arial" w:hAnsi="Arial"/>
          <w:sz w:val="14"/>
          <w:szCs w:val="14"/>
          <w:color w:val="auto"/>
        </w:rPr>
        <w:t>The Corporate segment covers the non-operating activities supporting Shell. It comprises Shell’s holdings and treasury organisation, including its self-insurance activities as well as its headquarters and central functions. All finance expense and income as well as related taxes are included in the Corporate segment earnings rather than in the earnings of the business segments.</w:t>
      </w:r>
    </w:p>
    <w:p>
      <w:pPr>
        <w:spacing w:after="0" w:line="178" w:lineRule="exact"/>
        <w:rPr>
          <w:sz w:val="20"/>
          <w:szCs w:val="20"/>
          <w:color w:val="auto"/>
        </w:rPr>
      </w:pPr>
    </w:p>
    <w:p>
      <w:pPr>
        <w:spacing w:after="0" w:line="245" w:lineRule="auto"/>
        <w:rPr>
          <w:sz w:val="20"/>
          <w:szCs w:val="20"/>
          <w:color w:val="auto"/>
        </w:rPr>
      </w:pPr>
      <w:r>
        <w:rPr>
          <w:rFonts w:ascii="Arial" w:cs="Arial" w:eastAsia="Arial" w:hAnsi="Arial"/>
          <w:sz w:val="14"/>
          <w:szCs w:val="14"/>
          <w:color w:val="auto"/>
        </w:rPr>
        <w:t>The holdings and treasury organisation manages many of the Corporate entities and is the point of contact between Shell and the external capital markets. It conducts a broad range of transactions – from raising debt instruments to transacting foreign exchange. Treasury centres in London, Singapore and Rio de Janeiro support these activities.</w:t>
      </w:r>
    </w:p>
    <w:p>
      <w:pPr>
        <w:spacing w:after="0" w:line="164" w:lineRule="exact"/>
        <w:rPr>
          <w:sz w:val="20"/>
          <w:szCs w:val="20"/>
          <w:color w:val="auto"/>
        </w:rPr>
      </w:pPr>
    </w:p>
    <w:p>
      <w:pPr>
        <w:ind w:right="40"/>
        <w:spacing w:after="0" w:line="243" w:lineRule="auto"/>
        <w:rPr>
          <w:sz w:val="20"/>
          <w:szCs w:val="20"/>
          <w:color w:val="auto"/>
        </w:rPr>
      </w:pPr>
      <w:r>
        <w:rPr>
          <w:rFonts w:ascii="Arial" w:cs="Arial" w:eastAsia="Arial" w:hAnsi="Arial"/>
          <w:sz w:val="14"/>
          <w:szCs w:val="14"/>
          <w:color w:val="auto"/>
        </w:rPr>
        <w:t>Headquarters and central functions provide business support in the areas of communications, finance, health, human resources, information technology, legal services, real estate and security. They also provide support for the shareholder-related activities of the Company. The central functions are supported by business service centres located around the world which process transactions, manage data and produce statutory returns, among other services. The majority of the headquarters and central-function costs are recovered from the business segments. Those costs that are not recovered are retained in Corporate.</w:t>
      </w:r>
    </w:p>
    <w:p>
      <w:pPr>
        <w:spacing w:after="0" w:line="20" w:lineRule="exact"/>
        <w:rPr>
          <w:sz w:val="20"/>
          <w:szCs w:val="20"/>
          <w:color w:val="auto"/>
        </w:rPr>
      </w:pPr>
      <w:r>
        <w:rPr>
          <w:sz w:val="20"/>
          <w:szCs w:val="20"/>
          <w:color w:val="auto"/>
        </w:rPr>
        <w:br w:type="column"/>
      </w:r>
    </w:p>
    <w:p>
      <w:pPr>
        <w:ind w:right="200"/>
        <w:spacing w:after="0" w:line="258" w:lineRule="auto"/>
        <w:rPr>
          <w:sz w:val="20"/>
          <w:szCs w:val="20"/>
          <w:color w:val="auto"/>
        </w:rPr>
      </w:pPr>
      <w:r>
        <w:rPr>
          <w:rFonts w:ascii="Arial" w:cs="Arial" w:eastAsia="Arial" w:hAnsi="Arial"/>
          <w:sz w:val="14"/>
          <w:szCs w:val="14"/>
          <w:color w:val="auto"/>
        </w:rPr>
        <w:t>Segment earnings for 2014 were a loss of $156 million, compared with a gain of $372 million in 2013 and a loss of $203 million in 2012.</w:t>
      </w:r>
    </w:p>
    <w:p>
      <w:pPr>
        <w:spacing w:after="0" w:line="167" w:lineRule="exact"/>
        <w:rPr>
          <w:sz w:val="20"/>
          <w:szCs w:val="20"/>
          <w:color w:val="auto"/>
        </w:rPr>
      </w:pPr>
    </w:p>
    <w:p>
      <w:pPr>
        <w:ind w:right="160"/>
        <w:spacing w:after="0" w:line="243" w:lineRule="auto"/>
        <w:rPr>
          <w:sz w:val="20"/>
          <w:szCs w:val="20"/>
          <w:color w:val="auto"/>
        </w:rPr>
      </w:pPr>
      <w:r>
        <w:rPr>
          <w:rFonts w:ascii="Arial" w:cs="Arial" w:eastAsia="Arial" w:hAnsi="Arial"/>
          <w:sz w:val="14"/>
          <w:szCs w:val="14"/>
          <w:color w:val="auto"/>
        </w:rPr>
        <w:t>Net interest and investment expense increased by $81 million between 2013 and 2014. Interest expense was higher, mostly driven by new bond issuances and additional finance leases, including those assumed as a result of the acquisition of Repsol LNG businesses. These effects were partly offset by an improvement in the liquidity premium associated with currency swaps. In 2013, net interest and investment expense decreased by $169 million compared with 2012. Interest expense was lower, mostly driven by an increase in the amount of interest capitalised due to the continued ramp-up of projects in Australia and the Gulf of Mexico, and an improvement in the liquidity premium associated with currency swaps. These effects were partly offset by lower interest income.</w:t>
      </w:r>
    </w:p>
    <w:p>
      <w:pPr>
        <w:spacing w:after="0" w:line="166" w:lineRule="exact"/>
        <w:rPr>
          <w:sz w:val="20"/>
          <w:szCs w:val="20"/>
          <w:color w:val="auto"/>
        </w:rPr>
      </w:pPr>
    </w:p>
    <w:p>
      <w:pPr>
        <w:ind w:right="260"/>
        <w:spacing w:after="0" w:line="250" w:lineRule="auto"/>
        <w:rPr>
          <w:sz w:val="20"/>
          <w:szCs w:val="20"/>
          <w:color w:val="auto"/>
        </w:rPr>
      </w:pPr>
      <w:r>
        <w:rPr>
          <w:rFonts w:ascii="Arial" w:cs="Arial" w:eastAsia="Arial" w:hAnsi="Arial"/>
          <w:sz w:val="14"/>
          <w:szCs w:val="14"/>
          <w:color w:val="auto"/>
        </w:rPr>
        <w:t>Foreign exchange losses of $263 million in 2014 (2013: losses of $189 million; 2012: gains of $169 million) were mainly due to the impact of exchange rates on non-functional currency loans and cash balances in operating units.</w:t>
      </w:r>
    </w:p>
    <w:p>
      <w:pPr>
        <w:spacing w:after="0" w:line="159" w:lineRule="exact"/>
        <w:rPr>
          <w:sz w:val="20"/>
          <w:szCs w:val="20"/>
          <w:color w:val="auto"/>
        </w:rPr>
      </w:pPr>
    </w:p>
    <w:p>
      <w:pPr>
        <w:ind w:right="200"/>
        <w:spacing w:after="0" w:line="247" w:lineRule="auto"/>
        <w:rPr>
          <w:sz w:val="20"/>
          <w:szCs w:val="20"/>
          <w:color w:val="auto"/>
        </w:rPr>
      </w:pPr>
      <w:r>
        <w:rPr>
          <w:rFonts w:ascii="Arial" w:cs="Arial" w:eastAsia="Arial" w:hAnsi="Arial"/>
          <w:sz w:val="14"/>
          <w:szCs w:val="14"/>
          <w:color w:val="auto"/>
        </w:rPr>
        <w:t>Other earnings decreased by $373 million in 2014 compared with 2013, mainly due to lower tax credits. In 2013, other earnings were $764 million higher than in 2012, mainly due to a Danish tax credit and the recharge to the business segments of certain costs which were previously reported in Corporate.</w:t>
      </w:r>
    </w:p>
    <w:p>
      <w:pPr>
        <w:sectPr>
          <w:pgSz w:w="11900" w:h="16838" w:orient="portrait"/>
          <w:cols w:equalWidth="0" w:num="2">
            <w:col w:w="5380" w:space="400"/>
            <w:col w:w="5640"/>
          </w:cols>
          <w:pgMar w:left="240" w:top="459" w:right="239" w:bottom="1440" w:gutter="0" w:footer="0" w:header="0"/>
          <w:type w:val="continuous"/>
        </w:sectPr>
      </w:pPr>
    </w:p>
    <w:bookmarkStart w:id="49" w:name="page50"/>
    <w:bookmarkEnd w:id="49"/>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314960</wp:posOffset>
            </wp:positionV>
            <wp:extent cx="3490595" cy="46291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3490595" cy="462915"/>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p>
      <w:pPr>
        <w:spacing w:after="0" w:line="200" w:lineRule="exact"/>
        <w:rPr>
          <w:sz w:val="20"/>
          <w:szCs w:val="20"/>
          <w:color w:val="auto"/>
        </w:rPr>
      </w:pP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419"/>
        </w:trPr>
        <w:tc>
          <w:tcPr>
            <w:tcW w:w="1920" w:type="dxa"/>
            <w:vAlign w:val="bottom"/>
            <w:shd w:val="clear" w:color="auto" w:fill="FF8B00"/>
          </w:tcPr>
          <w:p>
            <w:pPr>
              <w:spacing w:after="0"/>
              <w:rPr>
                <w:sz w:val="24"/>
                <w:szCs w:val="24"/>
                <w:color w:val="auto"/>
              </w:rPr>
            </w:pPr>
          </w:p>
        </w:tc>
        <w:tc>
          <w:tcPr>
            <w:tcW w:w="3580" w:type="dxa"/>
            <w:vAlign w:val="bottom"/>
            <w:shd w:val="clear" w:color="auto" w:fill="FF8B00"/>
          </w:tcPr>
          <w:p>
            <w:pPr>
              <w:spacing w:after="0"/>
              <w:rPr>
                <w:sz w:val="24"/>
                <w:szCs w:val="24"/>
                <w:color w:val="auto"/>
              </w:rPr>
            </w:pPr>
          </w:p>
        </w:tc>
      </w:tr>
      <w:tr>
        <w:trPr>
          <w:trHeight w:val="152"/>
        </w:trPr>
        <w:tc>
          <w:tcPr>
            <w:tcW w:w="1920" w:type="dxa"/>
            <w:vAlign w:val="bottom"/>
          </w:tcPr>
          <w:p>
            <w:pPr>
              <w:jc w:val="right"/>
              <w:ind w:right="1486"/>
              <w:spacing w:after="0"/>
              <w:rPr>
                <w:sz w:val="20"/>
                <w:szCs w:val="20"/>
                <w:color w:val="auto"/>
              </w:rPr>
            </w:pPr>
            <w:r>
              <w:rPr>
                <w:rFonts w:ascii="Arial" w:cs="Arial" w:eastAsia="Arial" w:hAnsi="Arial"/>
                <w:sz w:val="11"/>
                <w:szCs w:val="11"/>
                <w:b w:val="1"/>
                <w:bCs w:val="1"/>
                <w:color w:val="333333"/>
              </w:rPr>
              <w:t>48</w:t>
            </w:r>
          </w:p>
        </w:tc>
        <w:tc>
          <w:tcPr>
            <w:tcW w:w="3580" w:type="dxa"/>
            <w:vAlign w:val="bottom"/>
          </w:tcPr>
          <w:p>
            <w:pPr>
              <w:ind w:left="1540"/>
              <w:spacing w:after="0"/>
              <w:rPr>
                <w:sz w:val="20"/>
                <w:szCs w:val="20"/>
                <w:color w:val="auto"/>
              </w:rPr>
            </w:pPr>
            <w:r>
              <w:rPr>
                <w:rFonts w:ascii="Arial" w:cs="Arial" w:eastAsia="Arial" w:hAnsi="Arial"/>
                <w:sz w:val="13"/>
                <w:szCs w:val="13"/>
                <w:color w:val="333333"/>
              </w:rPr>
              <w:t>STRATEGIC REPORT</w:t>
            </w:r>
          </w:p>
        </w:tc>
      </w:tr>
    </w:tbl>
    <w:p>
      <w:pPr>
        <w:spacing w:after="0" w:line="155" w:lineRule="exact"/>
        <w:rPr>
          <w:sz w:val="20"/>
          <w:szCs w:val="20"/>
          <w:color w:val="auto"/>
        </w:rPr>
      </w:pPr>
    </w:p>
    <w:p>
      <w:pPr>
        <w:ind w:left="2760"/>
        <w:spacing w:after="0"/>
        <w:rPr>
          <w:sz w:val="20"/>
          <w:szCs w:val="20"/>
          <w:color w:val="auto"/>
        </w:rPr>
      </w:pPr>
      <w:r>
        <w:rPr>
          <w:rFonts w:ascii="Arial" w:cs="Arial" w:eastAsia="Arial" w:hAnsi="Arial"/>
          <w:sz w:val="11"/>
          <w:szCs w:val="11"/>
          <w:color w:val="auto"/>
        </w:rPr>
        <w:t>LIQUIDITY AND CAPITAL RESOURCES</w:t>
      </w:r>
    </w:p>
    <w:p>
      <w:pPr>
        <w:spacing w:after="0" w:line="59" w:lineRule="exact"/>
        <w:rPr>
          <w:sz w:val="20"/>
          <w:szCs w:val="20"/>
          <w:color w:val="auto"/>
        </w:rPr>
      </w:pPr>
    </w:p>
    <w:p>
      <w:pPr>
        <w:ind w:right="1940"/>
        <w:spacing w:after="0" w:line="253" w:lineRule="auto"/>
        <w:rPr>
          <w:sz w:val="20"/>
          <w:szCs w:val="20"/>
          <w:color w:val="auto"/>
        </w:rPr>
      </w:pPr>
      <w:r>
        <w:rPr>
          <w:rFonts w:ascii="Arial" w:cs="Arial" w:eastAsia="Arial" w:hAnsi="Arial"/>
          <w:sz w:val="31"/>
          <w:szCs w:val="31"/>
          <w:color w:val="auto"/>
        </w:rPr>
        <w:t>LIQUIDITY AND CAPITAL RESOURCES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3473450"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spacing w:after="0" w:line="104" w:lineRule="exact"/>
        <w:rPr>
          <w:sz w:val="20"/>
          <w:szCs w:val="20"/>
          <w:color w:val="auto"/>
        </w:rPr>
      </w:pPr>
    </w:p>
    <w:p>
      <w:pPr>
        <w:ind w:right="60"/>
        <w:spacing w:after="0" w:line="247" w:lineRule="auto"/>
        <w:rPr>
          <w:sz w:val="20"/>
          <w:szCs w:val="20"/>
          <w:color w:val="auto"/>
        </w:rPr>
      </w:pPr>
      <w:r>
        <w:rPr>
          <w:rFonts w:ascii="Arial" w:cs="Arial" w:eastAsia="Arial" w:hAnsi="Arial"/>
          <w:sz w:val="14"/>
          <w:szCs w:val="14"/>
          <w:color w:val="auto"/>
        </w:rPr>
        <w:t>We manage our businesses to deliver strong cash flows to fund investment for profitable growth. Our aim is that, across the business cycle, “cash in” (including cash from operations and divestments) at least equals “cash out” (including capital expenditure, interest and dividends), while maintaining a strong balance sheet.</w:t>
      </w:r>
    </w:p>
    <w:p>
      <w:pPr>
        <w:spacing w:after="0" w:line="161" w:lineRule="exact"/>
        <w:rPr>
          <w:sz w:val="20"/>
          <w:szCs w:val="20"/>
          <w:color w:val="auto"/>
        </w:rPr>
      </w:pPr>
    </w:p>
    <w:p>
      <w:pPr>
        <w:ind w:right="100"/>
        <w:spacing w:after="0" w:line="245" w:lineRule="auto"/>
        <w:rPr>
          <w:sz w:val="20"/>
          <w:szCs w:val="20"/>
          <w:color w:val="auto"/>
        </w:rPr>
      </w:pPr>
      <w:r>
        <w:rPr>
          <w:rFonts w:ascii="Arial" w:cs="Arial" w:eastAsia="Arial" w:hAnsi="Arial"/>
          <w:sz w:val="14"/>
          <w:szCs w:val="14"/>
          <w:color w:val="auto"/>
        </w:rPr>
        <w:t>Gearing, calculated as net debt (total debt less cash and cash equivalents) as a percentage of total capital (net debt plus total equity), is a key measure of our capital structure. Across the business cycle we aim to manage gearing within a range of 0-30%. During 2014, gearing ranged from 11.7% to 16.1% (2013: 9.1% to 16.1%). See Note 14 to the “Consolidated Financial Statements”.</w:t>
      </w:r>
    </w:p>
    <w:p>
      <w:pPr>
        <w:spacing w:after="0" w:line="164" w:lineRule="exact"/>
        <w:rPr>
          <w:sz w:val="20"/>
          <w:szCs w:val="20"/>
          <w:color w:val="auto"/>
        </w:rPr>
      </w:pPr>
    </w:p>
    <w:p>
      <w:pPr>
        <w:ind w:right="180"/>
        <w:spacing w:after="0" w:line="250" w:lineRule="auto"/>
        <w:rPr>
          <w:sz w:val="20"/>
          <w:szCs w:val="20"/>
          <w:color w:val="auto"/>
        </w:rPr>
      </w:pPr>
      <w:r>
        <w:rPr>
          <w:rFonts w:ascii="Arial" w:cs="Arial" w:eastAsia="Arial" w:hAnsi="Arial"/>
          <w:sz w:val="14"/>
          <w:szCs w:val="14"/>
          <w:color w:val="auto"/>
        </w:rPr>
        <w:t>With respect to the objective of maintaining a strong balance sheet, our priorities for applying our cash are servicing debt commitments, paying dividends, investing for organic and inorganic growth, and returning surplus cash to our shareholders.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OVERVIEW</w:t>
      </w:r>
    </w:p>
    <w:p>
      <w:pPr>
        <w:spacing w:after="0" w:line="1" w:lineRule="exact"/>
        <w:rPr>
          <w:sz w:val="20"/>
          <w:szCs w:val="20"/>
          <w:color w:val="auto"/>
        </w:rPr>
      </w:pPr>
    </w:p>
    <w:p>
      <w:pPr>
        <w:ind w:right="20"/>
        <w:spacing w:after="0" w:line="247" w:lineRule="auto"/>
        <w:rPr>
          <w:sz w:val="20"/>
          <w:szCs w:val="20"/>
          <w:color w:val="auto"/>
        </w:rPr>
      </w:pPr>
      <w:r>
        <w:rPr>
          <w:rFonts w:ascii="Arial" w:cs="Arial" w:eastAsia="Arial" w:hAnsi="Arial"/>
          <w:sz w:val="14"/>
          <w:szCs w:val="14"/>
          <w:color w:val="auto"/>
        </w:rPr>
        <w:t>The most significant factors affecting our operating cash flow are earnings and movements in working capital, which are mainly impacted by: realised prices for crude oil and natural gas; production levels of crude oil and natural gas; and refining and marketing margins.</w:t>
      </w:r>
    </w:p>
    <w:p>
      <w:pPr>
        <w:spacing w:after="0" w:line="161" w:lineRule="exact"/>
        <w:rPr>
          <w:sz w:val="20"/>
          <w:szCs w:val="20"/>
          <w:color w:val="auto"/>
        </w:rPr>
      </w:pPr>
    </w:p>
    <w:p>
      <w:pPr>
        <w:ind w:right="100"/>
        <w:spacing w:after="0" w:line="242" w:lineRule="auto"/>
        <w:rPr>
          <w:sz w:val="20"/>
          <w:szCs w:val="20"/>
          <w:color w:val="auto"/>
        </w:rPr>
      </w:pPr>
      <w:r>
        <w:rPr>
          <w:rFonts w:ascii="Arial" w:cs="Arial" w:eastAsia="Arial" w:hAnsi="Arial"/>
          <w:sz w:val="14"/>
          <w:szCs w:val="14"/>
          <w:color w:val="auto"/>
        </w:rPr>
        <w:t>Since the contribution of Upstream to earnings is larger than that of Downstream, changes affecting Upstream – particularly changes in realised crude oil and natural gas prices and production levels – have the largest impact on Shell’s operating cash flow. While Upstream benefits from higher realised crude oil and natural gas prices, the extent of such benefit (and the extent of an impact from a decline in these prices) depends on: the extent to which contractual arrangements are tied to market prices; the dynamics of production-sharing contracts; the existence of agreements with governments or national oil and gas companies that have limited sensitivity to crude oil prices; tax impacts; and the extent to which changes in commodity prices flow through into operating costs. Changes in benchmark prices of crude oil and natural gas in any particular period therefore provide only a broad indicator of changes in Upstream earnings experienced in that period. In the longer term, replacement of proved oil and gas reserves will affect our ability to maintain or increase production levels in Upstream, which in turn will affect our cash flow and earnings.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3240"/>
        <w:spacing w:after="0"/>
        <w:rPr>
          <w:sz w:val="20"/>
          <w:szCs w:val="20"/>
          <w:color w:val="auto"/>
        </w:rPr>
      </w:pPr>
      <w:r>
        <w:rPr>
          <w:rFonts w:ascii="Arial" w:cs="Arial" w:eastAsia="Arial" w:hAnsi="Arial"/>
          <w:sz w:val="10"/>
          <w:szCs w:val="10"/>
          <w:color w:val="auto"/>
        </w:rPr>
        <w:t>SHELL ANNUAL REPORT AND FORM 20-F 2014</w:t>
      </w:r>
    </w:p>
    <w:p>
      <w:pPr>
        <w:spacing w:after="0" w:line="69" w:lineRule="exact"/>
        <w:rPr>
          <w:sz w:val="20"/>
          <w:szCs w:val="20"/>
          <w:color w:val="auto"/>
        </w:rPr>
      </w:pPr>
    </w:p>
    <w:p>
      <w:pPr>
        <w:ind w:right="200"/>
        <w:spacing w:after="0" w:line="243" w:lineRule="auto"/>
        <w:rPr>
          <w:sz w:val="20"/>
          <w:szCs w:val="20"/>
          <w:color w:val="auto"/>
        </w:rPr>
      </w:pPr>
      <w:r>
        <w:rPr>
          <w:rFonts w:ascii="Arial" w:cs="Arial" w:eastAsia="Arial" w:hAnsi="Arial"/>
          <w:sz w:val="14"/>
          <w:szCs w:val="14"/>
          <w:color w:val="auto"/>
        </w:rPr>
        <w:t>In Downstream, changes in any one of a range of factors derived from either within the industry or the broader economic environment can influence margins. The precise impact of any such changes depends on how the oil markets respond to them. The market response is affected by factors such as: whether the change affects all crude oil types or only a specific grade; regional and global crude-oil and refined-products inventories; and the collective speed of response of the industry refiners and product marketers in adjusting their operations. As a result, refinery and marketing margins fluctuate from region to region and from period to period. Downstream earnings are reported on a current cost of supplies basis, which excludes the effect of changes in the oil price on inventory carrying amounts. However, cash flow from operations is not affected by the reporting basis.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auto"/>
        </w:rPr>
        <w:t>STATEMENT OF CASH FLOWS</w:t>
      </w:r>
    </w:p>
    <w:p>
      <w:pPr>
        <w:spacing w:after="0" w:line="1" w:lineRule="exact"/>
        <w:rPr>
          <w:sz w:val="20"/>
          <w:szCs w:val="20"/>
          <w:color w:val="auto"/>
        </w:rPr>
      </w:pPr>
    </w:p>
    <w:p>
      <w:pPr>
        <w:ind w:right="340"/>
        <w:spacing w:after="0" w:line="245" w:lineRule="auto"/>
        <w:rPr>
          <w:sz w:val="20"/>
          <w:szCs w:val="20"/>
          <w:color w:val="auto"/>
        </w:rPr>
      </w:pPr>
      <w:r>
        <w:rPr>
          <w:rFonts w:ascii="Arial" w:cs="Arial" w:eastAsia="Arial" w:hAnsi="Arial"/>
          <w:sz w:val="14"/>
          <w:szCs w:val="14"/>
          <w:color w:val="auto"/>
        </w:rPr>
        <w:t>Net cash from operating activities in 2014 was $45.0 billion, an increase from $40.4 billion in 2013. There was a cash inflow from working capital movements of $6.4 billion in 2014, compared with $2.9 billion in 2013. The decrease in net cash from operating activities in 2013 compared with 2012 ($46.1 billion) mainly reflected the reduction in earnings and lower dividends from joint ventures and associates</w:t>
      </w:r>
    </w:p>
    <w:p>
      <w:pPr>
        <w:spacing w:after="0" w:line="164" w:lineRule="exact"/>
        <w:rPr>
          <w:sz w:val="20"/>
          <w:szCs w:val="20"/>
          <w:color w:val="auto"/>
        </w:rPr>
      </w:pPr>
    </w:p>
    <w:p>
      <w:pPr>
        <w:ind w:right="240"/>
        <w:spacing w:after="0" w:line="245" w:lineRule="auto"/>
        <w:rPr>
          <w:sz w:val="20"/>
          <w:szCs w:val="20"/>
          <w:color w:val="auto"/>
        </w:rPr>
      </w:pPr>
      <w:r>
        <w:rPr>
          <w:rFonts w:ascii="Arial" w:cs="Arial" w:eastAsia="Arial" w:hAnsi="Arial"/>
          <w:sz w:val="14"/>
          <w:szCs w:val="14"/>
          <w:color w:val="auto"/>
        </w:rPr>
        <w:t>Net cash used in investing activities was $19.7 billion in 2014, a decrease from $40.1 billion in 2013. The decrease was mainly the result of lower capital expenditure ($8.3 billion) and higher proceeds from the sale of assets ($8.7 billion). The increase in net cash used in investing activities in 2013 compared with 2012 ($28.4 billion) was mainly the result of higher capital expenditure and lower proceeds from the sale of assets.</w:t>
      </w:r>
    </w:p>
    <w:p>
      <w:pPr>
        <w:spacing w:after="0" w:line="326" w:lineRule="exact"/>
        <w:rPr>
          <w:sz w:val="20"/>
          <w:szCs w:val="20"/>
          <w:color w:val="auto"/>
        </w:rPr>
      </w:pPr>
    </w:p>
    <w:p>
      <w:pPr>
        <w:spacing w:after="0"/>
        <w:rPr>
          <w:sz w:val="20"/>
          <w:szCs w:val="20"/>
          <w:color w:val="auto"/>
        </w:rPr>
      </w:pPr>
      <w:r>
        <w:rPr>
          <w:rFonts w:ascii="Arial" w:cs="Arial" w:eastAsia="Arial" w:hAnsi="Arial"/>
          <w:sz w:val="14"/>
          <w:szCs w:val="14"/>
          <w:color w:val="auto"/>
        </w:rPr>
        <w:t>Net cash used in financing activities in 2014 was $12.8 billion (2013: $9.0 billion;</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2012: $10.6 billion). This included payment of dividends to Royal Dutch Shell plc</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shareholders of $9.4 billion (2013: $7.2 billion; 2012: $7.4 billion), repurchases of</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shares of $3.3 billion (2013: $5.0 billion; 2012: $1.5 billion) and interest paid of</w:t>
      </w:r>
    </w:p>
    <w:p>
      <w:pPr>
        <w:spacing w:after="0" w:line="1" w:lineRule="exact"/>
        <w:rPr>
          <w:sz w:val="20"/>
          <w:szCs w:val="20"/>
          <w:color w:val="auto"/>
        </w:rPr>
      </w:pPr>
    </w:p>
    <w:p>
      <w:pPr>
        <w:ind w:right="180"/>
        <w:spacing w:after="0" w:line="247" w:lineRule="auto"/>
        <w:rPr>
          <w:sz w:val="20"/>
          <w:szCs w:val="20"/>
          <w:color w:val="auto"/>
        </w:rPr>
      </w:pPr>
      <w:r>
        <w:rPr>
          <w:rFonts w:ascii="Arial" w:cs="Arial" w:eastAsia="Arial" w:hAnsi="Arial"/>
          <w:sz w:val="14"/>
          <w:szCs w:val="14"/>
          <w:color w:val="auto"/>
        </w:rPr>
        <w:t>$1.5 billion (2013: $1.3 billion; 2012: $1.4 billion), partly offset in 2014 by $1.0 billion received from the Shell Midstream Partners, L.P. initial public offering and by net debt issued of $0.4 billion (2013: net debt issued of $5.4 billion; 2012: issued debt offset by debt repaid).</w:t>
      </w:r>
    </w:p>
    <w:p>
      <w:pPr>
        <w:spacing w:after="0" w:line="175" w:lineRule="exact"/>
        <w:rPr>
          <w:sz w:val="20"/>
          <w:szCs w:val="20"/>
          <w:color w:val="auto"/>
        </w:rPr>
      </w:pPr>
    </w:p>
    <w:p>
      <w:pPr>
        <w:spacing w:after="0"/>
        <w:rPr>
          <w:sz w:val="20"/>
          <w:szCs w:val="20"/>
          <w:color w:val="auto"/>
        </w:rPr>
      </w:pPr>
      <w:r>
        <w:rPr>
          <w:rFonts w:ascii="Arial" w:cs="Arial" w:eastAsia="Arial" w:hAnsi="Arial"/>
          <w:sz w:val="14"/>
          <w:szCs w:val="14"/>
          <w:color w:val="auto"/>
        </w:rPr>
        <w:t>Cash and cash equivalents were $21.6 billion at December 31, 2014 (2013: $9.7</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billion; 2012: $18.6 billion).</w:t>
      </w:r>
    </w:p>
    <w:p>
      <w:pPr>
        <w:spacing w:after="0" w:line="745" w:lineRule="exact"/>
        <w:rPr>
          <w:sz w:val="20"/>
          <w:szCs w:val="20"/>
          <w:color w:val="auto"/>
        </w:rPr>
      </w:pPr>
    </w:p>
    <w:p>
      <w:pPr>
        <w:sectPr>
          <w:pgSz w:w="11900" w:h="16838" w:orient="portrait"/>
          <w:cols w:equalWidth="0" w:num="2">
            <w:col w:w="5500" w:space="280"/>
            <w:col w:w="5640"/>
          </w:cols>
          <w:pgMar w:left="240" w:top="459" w:right="239" w:bottom="1440" w:gutter="0" w:footer="0" w:header="0"/>
          <w:type w:val="continuous"/>
        </w:sectPr>
      </w:pP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6960" w:type="dxa"/>
            <w:vAlign w:val="bottom"/>
            <w:shd w:val="clear" w:color="auto" w:fill="333333"/>
          </w:tcPr>
          <w:p>
            <w:pPr>
              <w:ind w:left="80"/>
              <w:spacing w:after="0"/>
              <w:rPr>
                <w:sz w:val="20"/>
                <w:szCs w:val="20"/>
                <w:color w:val="auto"/>
              </w:rPr>
            </w:pPr>
            <w:r>
              <w:rPr>
                <w:rFonts w:ascii="Arial" w:cs="Arial" w:eastAsia="Arial" w:hAnsi="Arial"/>
                <w:sz w:val="15"/>
                <w:szCs w:val="15"/>
                <w:b w:val="1"/>
                <w:bCs w:val="1"/>
                <w:color w:val="FFFFFF"/>
              </w:rPr>
              <w:t xml:space="preserve">CASH FLOW INFORMATION </w:t>
            </w:r>
            <w:r>
              <w:rPr>
                <w:rFonts w:ascii="Arial" w:cs="Arial" w:eastAsia="Arial" w:hAnsi="Arial"/>
                <w:sz w:val="15"/>
                <w:szCs w:val="15"/>
                <w:color w:val="FFFFFF"/>
              </w:rPr>
              <w:t>[A]</w:t>
            </w:r>
          </w:p>
        </w:tc>
        <w:tc>
          <w:tcPr>
            <w:tcW w:w="480" w:type="dxa"/>
            <w:vAlign w:val="bottom"/>
            <w:shd w:val="clear" w:color="auto" w:fill="333333"/>
          </w:tcPr>
          <w:p>
            <w:pPr>
              <w:spacing w:after="0"/>
              <w:rPr>
                <w:sz w:val="15"/>
                <w:szCs w:val="15"/>
                <w:color w:val="auto"/>
              </w:rPr>
            </w:pPr>
          </w:p>
        </w:tc>
        <w:tc>
          <w:tcPr>
            <w:tcW w:w="920" w:type="dxa"/>
            <w:vAlign w:val="bottom"/>
            <w:shd w:val="clear" w:color="auto" w:fill="333333"/>
          </w:tcPr>
          <w:p>
            <w:pPr>
              <w:spacing w:after="0"/>
              <w:rPr>
                <w:sz w:val="15"/>
                <w:szCs w:val="15"/>
                <w:color w:val="auto"/>
              </w:rPr>
            </w:pPr>
          </w:p>
        </w:tc>
        <w:tc>
          <w:tcPr>
            <w:tcW w:w="1860" w:type="dxa"/>
            <w:vAlign w:val="bottom"/>
            <w:shd w:val="clear" w:color="auto" w:fill="333333"/>
          </w:tcPr>
          <w:p>
            <w:pPr>
              <w:spacing w:after="0"/>
              <w:rPr>
                <w:sz w:val="15"/>
                <w:szCs w:val="15"/>
                <w:color w:val="auto"/>
              </w:rPr>
            </w:pPr>
          </w:p>
        </w:tc>
        <w:tc>
          <w:tcPr>
            <w:tcW w:w="1200" w:type="dxa"/>
            <w:vAlign w:val="bottom"/>
            <w:shd w:val="clear" w:color="auto" w:fill="333333"/>
          </w:tcPr>
          <w:p>
            <w:pPr>
              <w:jc w:val="right"/>
              <w:ind w:right="28"/>
              <w:spacing w:after="0"/>
              <w:rPr>
                <w:sz w:val="20"/>
                <w:szCs w:val="20"/>
                <w:color w:val="auto"/>
              </w:rPr>
            </w:pPr>
            <w:r>
              <w:rPr>
                <w:rFonts w:ascii="Arial" w:cs="Arial" w:eastAsia="Arial" w:hAnsi="Arial"/>
                <w:sz w:val="15"/>
                <w:szCs w:val="15"/>
                <w:color w:val="FFFFFF"/>
              </w:rPr>
              <w:t>$ BILLION</w:t>
            </w:r>
          </w:p>
        </w:tc>
      </w:tr>
      <w:tr>
        <w:trPr>
          <w:trHeight w:val="149"/>
        </w:trPr>
        <w:tc>
          <w:tcPr>
            <w:tcW w:w="6960" w:type="dxa"/>
            <w:vAlign w:val="bottom"/>
            <w:tcBorders>
              <w:bottom w:val="single" w:sz="8" w:color="auto"/>
            </w:tcBorders>
          </w:tcPr>
          <w:p>
            <w:pPr>
              <w:spacing w:after="0"/>
              <w:rPr>
                <w:sz w:val="12"/>
                <w:szCs w:val="12"/>
                <w:color w:val="auto"/>
              </w:rPr>
            </w:pPr>
          </w:p>
        </w:tc>
        <w:tc>
          <w:tcPr>
            <w:tcW w:w="1400" w:type="dxa"/>
            <w:vAlign w:val="bottom"/>
            <w:tcBorders>
              <w:bottom w:val="single" w:sz="8" w:color="auto"/>
            </w:tcBorders>
            <w:gridSpan w:val="2"/>
            <w:shd w:val="clear" w:color="auto" w:fill="D8D8D8"/>
          </w:tcPr>
          <w:p>
            <w:pPr>
              <w:jc w:val="right"/>
              <w:ind w:right="488"/>
              <w:spacing w:after="0"/>
              <w:rPr>
                <w:sz w:val="20"/>
                <w:szCs w:val="20"/>
                <w:color w:val="auto"/>
              </w:rPr>
            </w:pPr>
            <w:r>
              <w:rPr>
                <w:rFonts w:ascii="Arial" w:cs="Arial" w:eastAsia="Arial" w:hAnsi="Arial"/>
                <w:sz w:val="13"/>
                <w:szCs w:val="13"/>
                <w:color w:val="auto"/>
              </w:rPr>
              <w:t>2014</w:t>
            </w:r>
          </w:p>
        </w:tc>
        <w:tc>
          <w:tcPr>
            <w:tcW w:w="1860" w:type="dxa"/>
            <w:vAlign w:val="bottom"/>
            <w:tcBorders>
              <w:bottom w:val="single" w:sz="8" w:color="auto"/>
            </w:tcBorders>
          </w:tcPr>
          <w:p>
            <w:pPr>
              <w:jc w:val="right"/>
              <w:ind w:right="369"/>
              <w:spacing w:after="0"/>
              <w:rPr>
                <w:sz w:val="20"/>
                <w:szCs w:val="20"/>
                <w:color w:val="auto"/>
              </w:rPr>
            </w:pPr>
            <w:r>
              <w:rPr>
                <w:rFonts w:ascii="Arial" w:cs="Arial" w:eastAsia="Arial" w:hAnsi="Arial"/>
                <w:sz w:val="13"/>
                <w:szCs w:val="13"/>
                <w:color w:val="auto"/>
              </w:rPr>
              <w:t>2013</w:t>
            </w:r>
          </w:p>
        </w:tc>
        <w:tc>
          <w:tcPr>
            <w:tcW w:w="1200" w:type="dxa"/>
            <w:vAlign w:val="bottom"/>
            <w:tcBorders>
              <w:bottom w:val="single" w:sz="8" w:color="auto"/>
            </w:tcBorders>
          </w:tcPr>
          <w:p>
            <w:pPr>
              <w:jc w:val="right"/>
              <w:ind w:right="28"/>
              <w:spacing w:after="0"/>
              <w:rPr>
                <w:sz w:val="20"/>
                <w:szCs w:val="20"/>
                <w:color w:val="auto"/>
              </w:rPr>
            </w:pPr>
            <w:r>
              <w:rPr>
                <w:rFonts w:ascii="Arial" w:cs="Arial" w:eastAsia="Arial" w:hAnsi="Arial"/>
                <w:sz w:val="13"/>
                <w:szCs w:val="13"/>
                <w:color w:val="auto"/>
              </w:rPr>
              <w:t>2012</w:t>
            </w:r>
          </w:p>
        </w:tc>
      </w:tr>
      <w:tr>
        <w:trPr>
          <w:trHeight w:val="156"/>
        </w:trPr>
        <w:tc>
          <w:tcPr>
            <w:tcW w:w="6960" w:type="dxa"/>
            <w:vAlign w:val="bottom"/>
          </w:tcPr>
          <w:p>
            <w:pPr>
              <w:spacing w:after="0" w:line="155" w:lineRule="exact"/>
              <w:rPr>
                <w:sz w:val="20"/>
                <w:szCs w:val="20"/>
                <w:color w:val="auto"/>
              </w:rPr>
            </w:pPr>
            <w:r>
              <w:rPr>
                <w:rFonts w:ascii="Arial" w:cs="Arial" w:eastAsia="Arial" w:hAnsi="Arial"/>
                <w:sz w:val="14"/>
                <w:szCs w:val="14"/>
                <w:color w:val="auto"/>
              </w:rPr>
              <w:t>Net cash from operating activities excluding working capital movements</w:t>
            </w:r>
          </w:p>
        </w:tc>
        <w:tc>
          <w:tcPr>
            <w:tcW w:w="480" w:type="dxa"/>
            <w:vAlign w:val="bottom"/>
            <w:shd w:val="clear" w:color="auto" w:fill="D8D8D8"/>
          </w:tcPr>
          <w:p>
            <w:pPr>
              <w:spacing w:after="0"/>
              <w:rPr>
                <w:sz w:val="13"/>
                <w:szCs w:val="13"/>
                <w:color w:val="auto"/>
              </w:rPr>
            </w:pPr>
          </w:p>
        </w:tc>
        <w:tc>
          <w:tcPr>
            <w:tcW w:w="920" w:type="dxa"/>
            <w:vAlign w:val="bottom"/>
            <w:shd w:val="clear" w:color="auto" w:fill="D8D8D8"/>
          </w:tcPr>
          <w:p>
            <w:pPr>
              <w:spacing w:after="0"/>
              <w:rPr>
                <w:sz w:val="13"/>
                <w:szCs w:val="13"/>
                <w:color w:val="auto"/>
              </w:rPr>
            </w:pPr>
          </w:p>
        </w:tc>
        <w:tc>
          <w:tcPr>
            <w:tcW w:w="1860" w:type="dxa"/>
            <w:vAlign w:val="bottom"/>
          </w:tcPr>
          <w:p>
            <w:pPr>
              <w:spacing w:after="0"/>
              <w:rPr>
                <w:sz w:val="13"/>
                <w:szCs w:val="13"/>
                <w:color w:val="auto"/>
              </w:rPr>
            </w:pPr>
          </w:p>
        </w:tc>
        <w:tc>
          <w:tcPr>
            <w:tcW w:w="1200" w:type="dxa"/>
            <w:vAlign w:val="bottom"/>
          </w:tcPr>
          <w:p>
            <w:pPr>
              <w:spacing w:after="0"/>
              <w:rPr>
                <w:sz w:val="13"/>
                <w:szCs w:val="13"/>
                <w:color w:val="auto"/>
              </w:rPr>
            </w:pPr>
          </w:p>
        </w:tc>
      </w:tr>
      <w:tr>
        <w:trPr>
          <w:trHeight w:val="162"/>
        </w:trPr>
        <w:tc>
          <w:tcPr>
            <w:tcW w:w="6960" w:type="dxa"/>
            <w:vAlign w:val="bottom"/>
          </w:tcPr>
          <w:p>
            <w:pPr>
              <w:ind w:left="140"/>
              <w:spacing w:after="0"/>
              <w:rPr>
                <w:sz w:val="20"/>
                <w:szCs w:val="20"/>
                <w:color w:val="auto"/>
              </w:rPr>
            </w:pPr>
            <w:r>
              <w:rPr>
                <w:rFonts w:ascii="Arial" w:cs="Arial" w:eastAsia="Arial" w:hAnsi="Arial"/>
                <w:sz w:val="14"/>
                <w:szCs w:val="14"/>
                <w:color w:val="auto"/>
              </w:rPr>
              <w:t>Upstream</w:t>
            </w:r>
          </w:p>
        </w:tc>
        <w:tc>
          <w:tcPr>
            <w:tcW w:w="480" w:type="dxa"/>
            <w:vAlign w:val="bottom"/>
            <w:shd w:val="clear" w:color="auto" w:fill="D8D8D8"/>
          </w:tcPr>
          <w:p>
            <w:pPr>
              <w:spacing w:after="0"/>
              <w:rPr>
                <w:sz w:val="14"/>
                <w:szCs w:val="14"/>
                <w:color w:val="auto"/>
              </w:rPr>
            </w:pPr>
          </w:p>
        </w:tc>
        <w:tc>
          <w:tcPr>
            <w:tcW w:w="920" w:type="dxa"/>
            <w:vAlign w:val="bottom"/>
            <w:shd w:val="clear" w:color="auto" w:fill="D8D8D8"/>
          </w:tcPr>
          <w:p>
            <w:pPr>
              <w:jc w:val="right"/>
              <w:ind w:right="488"/>
              <w:spacing w:after="0"/>
              <w:rPr>
                <w:sz w:val="20"/>
                <w:szCs w:val="20"/>
                <w:color w:val="auto"/>
              </w:rPr>
            </w:pPr>
            <w:r>
              <w:rPr>
                <w:rFonts w:ascii="Arial" w:cs="Arial" w:eastAsia="Arial" w:hAnsi="Arial"/>
                <w:sz w:val="14"/>
                <w:szCs w:val="14"/>
                <w:color w:val="auto"/>
              </w:rPr>
              <w:t>33.3</w:t>
            </w:r>
          </w:p>
        </w:tc>
        <w:tc>
          <w:tcPr>
            <w:tcW w:w="1860" w:type="dxa"/>
            <w:vAlign w:val="bottom"/>
          </w:tcPr>
          <w:p>
            <w:pPr>
              <w:jc w:val="right"/>
              <w:ind w:right="369"/>
              <w:spacing w:after="0"/>
              <w:rPr>
                <w:sz w:val="20"/>
                <w:szCs w:val="20"/>
                <w:color w:val="auto"/>
              </w:rPr>
            </w:pPr>
            <w:r>
              <w:rPr>
                <w:rFonts w:ascii="Arial" w:cs="Arial" w:eastAsia="Arial" w:hAnsi="Arial"/>
                <w:sz w:val="14"/>
                <w:szCs w:val="14"/>
                <w:color w:val="auto"/>
              </w:rPr>
              <w:t>28.8</w:t>
            </w:r>
          </w:p>
        </w:tc>
        <w:tc>
          <w:tcPr>
            <w:tcW w:w="1200" w:type="dxa"/>
            <w:vAlign w:val="bottom"/>
          </w:tcPr>
          <w:p>
            <w:pPr>
              <w:jc w:val="right"/>
              <w:ind w:right="28"/>
              <w:spacing w:after="0"/>
              <w:rPr>
                <w:sz w:val="20"/>
                <w:szCs w:val="20"/>
                <w:color w:val="auto"/>
              </w:rPr>
            </w:pPr>
            <w:r>
              <w:rPr>
                <w:rFonts w:ascii="Arial" w:cs="Arial" w:eastAsia="Arial" w:hAnsi="Arial"/>
                <w:sz w:val="14"/>
                <w:szCs w:val="14"/>
                <w:color w:val="auto"/>
              </w:rPr>
              <w:t>32.9</w:t>
            </w:r>
          </w:p>
        </w:tc>
      </w:tr>
      <w:tr>
        <w:trPr>
          <w:trHeight w:val="167"/>
        </w:trPr>
        <w:tc>
          <w:tcPr>
            <w:tcW w:w="6960" w:type="dxa"/>
            <w:vAlign w:val="bottom"/>
          </w:tcPr>
          <w:p>
            <w:pPr>
              <w:ind w:left="140"/>
              <w:spacing w:after="0"/>
              <w:rPr>
                <w:sz w:val="20"/>
                <w:szCs w:val="20"/>
                <w:color w:val="auto"/>
              </w:rPr>
            </w:pPr>
            <w:r>
              <w:rPr>
                <w:rFonts w:ascii="Arial" w:cs="Arial" w:eastAsia="Arial" w:hAnsi="Arial"/>
                <w:sz w:val="14"/>
                <w:szCs w:val="14"/>
                <w:color w:val="auto"/>
              </w:rPr>
              <w:t>Downstream</w:t>
            </w:r>
          </w:p>
        </w:tc>
        <w:tc>
          <w:tcPr>
            <w:tcW w:w="480" w:type="dxa"/>
            <w:vAlign w:val="bottom"/>
            <w:shd w:val="clear" w:color="auto" w:fill="D8D8D8"/>
          </w:tcPr>
          <w:p>
            <w:pPr>
              <w:spacing w:after="0"/>
              <w:rPr>
                <w:sz w:val="14"/>
                <w:szCs w:val="14"/>
                <w:color w:val="auto"/>
              </w:rPr>
            </w:pPr>
          </w:p>
        </w:tc>
        <w:tc>
          <w:tcPr>
            <w:tcW w:w="920" w:type="dxa"/>
            <w:vAlign w:val="bottom"/>
          </w:tcPr>
          <w:p>
            <w:pPr>
              <w:jc w:val="right"/>
              <w:ind w:right="488"/>
              <w:spacing w:after="0"/>
              <w:rPr>
                <w:sz w:val="20"/>
                <w:szCs w:val="20"/>
                <w:color w:val="auto"/>
              </w:rPr>
            </w:pPr>
            <w:r>
              <w:rPr>
                <w:rFonts w:ascii="Arial" w:cs="Arial" w:eastAsia="Arial" w:hAnsi="Arial"/>
                <w:sz w:val="14"/>
                <w:szCs w:val="14"/>
                <w:color w:val="auto"/>
              </w:rPr>
              <w:t>4.5</w:t>
            </w:r>
          </w:p>
        </w:tc>
        <w:tc>
          <w:tcPr>
            <w:tcW w:w="1860" w:type="dxa"/>
            <w:vAlign w:val="bottom"/>
          </w:tcPr>
          <w:p>
            <w:pPr>
              <w:jc w:val="right"/>
              <w:ind w:right="369"/>
              <w:spacing w:after="0"/>
              <w:rPr>
                <w:sz w:val="20"/>
                <w:szCs w:val="20"/>
                <w:color w:val="auto"/>
              </w:rPr>
            </w:pPr>
            <w:r>
              <w:rPr>
                <w:rFonts w:ascii="Arial" w:cs="Arial" w:eastAsia="Arial" w:hAnsi="Arial"/>
                <w:sz w:val="14"/>
                <w:szCs w:val="14"/>
                <w:color w:val="auto"/>
              </w:rPr>
              <w:t>7.5</w:t>
            </w:r>
          </w:p>
        </w:tc>
        <w:tc>
          <w:tcPr>
            <w:tcW w:w="1200" w:type="dxa"/>
            <w:vAlign w:val="bottom"/>
          </w:tcPr>
          <w:p>
            <w:pPr>
              <w:jc w:val="right"/>
              <w:ind w:right="28"/>
              <w:spacing w:after="0"/>
              <w:rPr>
                <w:sz w:val="20"/>
                <w:szCs w:val="20"/>
                <w:color w:val="auto"/>
              </w:rPr>
            </w:pPr>
            <w:r>
              <w:rPr>
                <w:rFonts w:ascii="Arial" w:cs="Arial" w:eastAsia="Arial" w:hAnsi="Arial"/>
                <w:sz w:val="14"/>
                <w:szCs w:val="14"/>
                <w:color w:val="auto"/>
              </w:rPr>
              <w:t>8.0</w:t>
            </w:r>
          </w:p>
        </w:tc>
      </w:tr>
      <w:tr>
        <w:trPr>
          <w:trHeight w:val="157"/>
        </w:trPr>
        <w:tc>
          <w:tcPr>
            <w:tcW w:w="6960" w:type="dxa"/>
            <w:vAlign w:val="bottom"/>
            <w:tcBorders>
              <w:bottom w:val="single" w:sz="8" w:color="auto"/>
            </w:tcBorders>
          </w:tcPr>
          <w:p>
            <w:pPr>
              <w:ind w:left="140"/>
              <w:spacing w:after="0" w:line="157" w:lineRule="exact"/>
              <w:rPr>
                <w:sz w:val="20"/>
                <w:szCs w:val="20"/>
                <w:color w:val="auto"/>
              </w:rPr>
            </w:pPr>
            <w:r>
              <w:rPr>
                <w:rFonts w:ascii="Arial" w:cs="Arial" w:eastAsia="Arial" w:hAnsi="Arial"/>
                <w:sz w:val="14"/>
                <w:szCs w:val="14"/>
                <w:color w:val="auto"/>
              </w:rPr>
              <w:t>Corporate</w:t>
            </w:r>
          </w:p>
        </w:tc>
        <w:tc>
          <w:tcPr>
            <w:tcW w:w="480" w:type="dxa"/>
            <w:vAlign w:val="bottom"/>
            <w:tcBorders>
              <w:bottom w:val="single" w:sz="8" w:color="auto"/>
            </w:tcBorders>
            <w:shd w:val="clear" w:color="auto" w:fill="D8D8D8"/>
          </w:tcPr>
          <w:p>
            <w:pPr>
              <w:spacing w:after="0"/>
              <w:rPr>
                <w:sz w:val="13"/>
                <w:szCs w:val="13"/>
                <w:color w:val="auto"/>
              </w:rPr>
            </w:pPr>
          </w:p>
        </w:tc>
        <w:tc>
          <w:tcPr>
            <w:tcW w:w="920" w:type="dxa"/>
            <w:vAlign w:val="bottom"/>
            <w:tcBorders>
              <w:bottom w:val="single" w:sz="8" w:color="auto"/>
            </w:tcBorders>
          </w:tcPr>
          <w:p>
            <w:pPr>
              <w:jc w:val="right"/>
              <w:ind w:right="488"/>
              <w:spacing w:after="0" w:line="157" w:lineRule="exact"/>
              <w:rPr>
                <w:sz w:val="20"/>
                <w:szCs w:val="20"/>
                <w:color w:val="auto"/>
              </w:rPr>
            </w:pPr>
            <w:r>
              <w:rPr>
                <w:rFonts w:ascii="Arial" w:cs="Arial" w:eastAsia="Arial" w:hAnsi="Arial"/>
                <w:sz w:val="14"/>
                <w:szCs w:val="14"/>
                <w:color w:val="auto"/>
              </w:rPr>
              <w:t>0.8</w:t>
            </w:r>
          </w:p>
        </w:tc>
        <w:tc>
          <w:tcPr>
            <w:tcW w:w="1860" w:type="dxa"/>
            <w:vAlign w:val="bottom"/>
            <w:tcBorders>
              <w:bottom w:val="single" w:sz="8" w:color="auto"/>
            </w:tcBorders>
          </w:tcPr>
          <w:p>
            <w:pPr>
              <w:jc w:val="right"/>
              <w:ind w:right="369"/>
              <w:spacing w:after="0" w:line="157" w:lineRule="exact"/>
              <w:rPr>
                <w:sz w:val="20"/>
                <w:szCs w:val="20"/>
                <w:color w:val="auto"/>
              </w:rPr>
            </w:pPr>
            <w:r>
              <w:rPr>
                <w:rFonts w:ascii="Arial" w:cs="Arial" w:eastAsia="Arial" w:hAnsi="Arial"/>
                <w:sz w:val="14"/>
                <w:szCs w:val="14"/>
                <w:color w:val="auto"/>
              </w:rPr>
              <w:t>1.2</w:t>
            </w:r>
          </w:p>
        </w:tc>
        <w:tc>
          <w:tcPr>
            <w:tcW w:w="1200" w:type="dxa"/>
            <w:vAlign w:val="bottom"/>
            <w:tcBorders>
              <w:bottom w:val="single" w:sz="8" w:color="auto"/>
            </w:tcBorders>
          </w:tcPr>
          <w:p>
            <w:pPr>
              <w:jc w:val="right"/>
              <w:ind w:right="28"/>
              <w:spacing w:after="0" w:line="157" w:lineRule="exact"/>
              <w:rPr>
                <w:sz w:val="20"/>
                <w:szCs w:val="20"/>
                <w:color w:val="auto"/>
              </w:rPr>
            </w:pPr>
            <w:r>
              <w:rPr>
                <w:rFonts w:ascii="Arial" w:cs="Arial" w:eastAsia="Arial" w:hAnsi="Arial"/>
                <w:sz w:val="14"/>
                <w:szCs w:val="14"/>
                <w:color w:val="auto"/>
              </w:rPr>
              <w:t>1.8</w:t>
            </w:r>
          </w:p>
        </w:tc>
      </w:tr>
      <w:tr>
        <w:trPr>
          <w:trHeight w:val="160"/>
        </w:trPr>
        <w:tc>
          <w:tcPr>
            <w:tcW w:w="6960" w:type="dxa"/>
            <w:vAlign w:val="bottom"/>
          </w:tcPr>
          <w:p>
            <w:pPr>
              <w:spacing w:after="0"/>
              <w:rPr>
                <w:sz w:val="20"/>
                <w:szCs w:val="20"/>
                <w:color w:val="auto"/>
              </w:rPr>
            </w:pPr>
            <w:r>
              <w:rPr>
                <w:rFonts w:ascii="Arial" w:cs="Arial" w:eastAsia="Arial" w:hAnsi="Arial"/>
                <w:sz w:val="14"/>
                <w:szCs w:val="14"/>
                <w:color w:val="auto"/>
              </w:rPr>
              <w:t>Total</w:t>
            </w:r>
          </w:p>
        </w:tc>
        <w:tc>
          <w:tcPr>
            <w:tcW w:w="480" w:type="dxa"/>
            <w:vAlign w:val="bottom"/>
            <w:shd w:val="clear" w:color="auto" w:fill="D8D8D8"/>
          </w:tcPr>
          <w:p>
            <w:pPr>
              <w:spacing w:after="0"/>
              <w:rPr>
                <w:sz w:val="13"/>
                <w:szCs w:val="13"/>
                <w:color w:val="auto"/>
              </w:rPr>
            </w:pPr>
          </w:p>
        </w:tc>
        <w:tc>
          <w:tcPr>
            <w:tcW w:w="920" w:type="dxa"/>
            <w:vAlign w:val="bottom"/>
          </w:tcPr>
          <w:p>
            <w:pPr>
              <w:jc w:val="right"/>
              <w:ind w:right="488"/>
              <w:spacing w:after="0"/>
              <w:rPr>
                <w:sz w:val="20"/>
                <w:szCs w:val="20"/>
                <w:color w:val="auto"/>
              </w:rPr>
            </w:pPr>
            <w:r>
              <w:rPr>
                <w:rFonts w:ascii="Arial" w:cs="Arial" w:eastAsia="Arial" w:hAnsi="Arial"/>
                <w:sz w:val="14"/>
                <w:szCs w:val="14"/>
                <w:color w:val="auto"/>
              </w:rPr>
              <w:t>38.6</w:t>
            </w:r>
          </w:p>
        </w:tc>
        <w:tc>
          <w:tcPr>
            <w:tcW w:w="1860" w:type="dxa"/>
            <w:vAlign w:val="bottom"/>
          </w:tcPr>
          <w:p>
            <w:pPr>
              <w:jc w:val="right"/>
              <w:ind w:right="369"/>
              <w:spacing w:after="0"/>
              <w:rPr>
                <w:sz w:val="20"/>
                <w:szCs w:val="20"/>
                <w:color w:val="auto"/>
              </w:rPr>
            </w:pPr>
            <w:r>
              <w:rPr>
                <w:rFonts w:ascii="Arial" w:cs="Arial" w:eastAsia="Arial" w:hAnsi="Arial"/>
                <w:sz w:val="14"/>
                <w:szCs w:val="14"/>
                <w:color w:val="auto"/>
              </w:rPr>
              <w:t>37.5</w:t>
            </w:r>
          </w:p>
        </w:tc>
        <w:tc>
          <w:tcPr>
            <w:tcW w:w="1200" w:type="dxa"/>
            <w:vAlign w:val="bottom"/>
          </w:tcPr>
          <w:p>
            <w:pPr>
              <w:jc w:val="right"/>
              <w:ind w:right="28"/>
              <w:spacing w:after="0"/>
              <w:rPr>
                <w:sz w:val="20"/>
                <w:szCs w:val="20"/>
                <w:color w:val="auto"/>
              </w:rPr>
            </w:pPr>
            <w:r>
              <w:rPr>
                <w:rFonts w:ascii="Arial" w:cs="Arial" w:eastAsia="Arial" w:hAnsi="Arial"/>
                <w:sz w:val="14"/>
                <w:szCs w:val="14"/>
                <w:color w:val="auto"/>
              </w:rPr>
              <w:t>42.7</w:t>
            </w:r>
          </w:p>
        </w:tc>
      </w:tr>
      <w:tr>
        <w:trPr>
          <w:trHeight w:val="162"/>
        </w:trPr>
        <w:tc>
          <w:tcPr>
            <w:tcW w:w="6960" w:type="dxa"/>
            <w:vAlign w:val="bottom"/>
          </w:tcPr>
          <w:p>
            <w:pPr>
              <w:spacing w:after="0"/>
              <w:rPr>
                <w:sz w:val="20"/>
                <w:szCs w:val="20"/>
                <w:color w:val="auto"/>
              </w:rPr>
            </w:pPr>
            <w:r>
              <w:rPr>
                <w:rFonts w:ascii="Arial" w:cs="Arial" w:eastAsia="Arial" w:hAnsi="Arial"/>
                <w:sz w:val="14"/>
                <w:szCs w:val="14"/>
                <w:color w:val="auto"/>
              </w:rPr>
              <w:t>Decrease/(increase) in inventories</w:t>
            </w:r>
          </w:p>
        </w:tc>
        <w:tc>
          <w:tcPr>
            <w:tcW w:w="480" w:type="dxa"/>
            <w:vAlign w:val="bottom"/>
            <w:shd w:val="clear" w:color="auto" w:fill="D8D8D8"/>
          </w:tcPr>
          <w:p>
            <w:pPr>
              <w:spacing w:after="0"/>
              <w:rPr>
                <w:sz w:val="14"/>
                <w:szCs w:val="14"/>
                <w:color w:val="auto"/>
              </w:rPr>
            </w:pPr>
          </w:p>
        </w:tc>
        <w:tc>
          <w:tcPr>
            <w:tcW w:w="920" w:type="dxa"/>
            <w:vAlign w:val="bottom"/>
          </w:tcPr>
          <w:p>
            <w:pPr>
              <w:jc w:val="right"/>
              <w:ind w:right="488"/>
              <w:spacing w:after="0"/>
              <w:rPr>
                <w:sz w:val="20"/>
                <w:szCs w:val="20"/>
                <w:color w:val="auto"/>
              </w:rPr>
            </w:pPr>
            <w:r>
              <w:rPr>
                <w:rFonts w:ascii="Arial" w:cs="Arial" w:eastAsia="Arial" w:hAnsi="Arial"/>
                <w:sz w:val="14"/>
                <w:szCs w:val="14"/>
                <w:color w:val="auto"/>
              </w:rPr>
              <w:t>8.0</w:t>
            </w:r>
          </w:p>
        </w:tc>
        <w:tc>
          <w:tcPr>
            <w:tcW w:w="1860" w:type="dxa"/>
            <w:vAlign w:val="bottom"/>
          </w:tcPr>
          <w:p>
            <w:pPr>
              <w:jc w:val="right"/>
              <w:ind w:right="369"/>
              <w:spacing w:after="0"/>
              <w:rPr>
                <w:sz w:val="20"/>
                <w:szCs w:val="20"/>
                <w:color w:val="auto"/>
              </w:rPr>
            </w:pPr>
            <w:r>
              <w:rPr>
                <w:rFonts w:ascii="Arial" w:cs="Arial" w:eastAsia="Arial" w:hAnsi="Arial"/>
                <w:sz w:val="14"/>
                <w:szCs w:val="14"/>
                <w:color w:val="auto"/>
              </w:rPr>
              <w:t>0.6</w:t>
            </w:r>
          </w:p>
        </w:tc>
        <w:tc>
          <w:tcPr>
            <w:tcW w:w="1200" w:type="dxa"/>
            <w:vAlign w:val="bottom"/>
          </w:tcPr>
          <w:p>
            <w:pPr>
              <w:jc w:val="right"/>
              <w:spacing w:after="0"/>
              <w:rPr>
                <w:sz w:val="20"/>
                <w:szCs w:val="20"/>
                <w:color w:val="auto"/>
              </w:rPr>
            </w:pPr>
            <w:r>
              <w:rPr>
                <w:rFonts w:ascii="Arial" w:cs="Arial" w:eastAsia="Arial" w:hAnsi="Arial"/>
                <w:sz w:val="14"/>
                <w:szCs w:val="14"/>
                <w:color w:val="auto"/>
              </w:rPr>
              <w:t>(1.7)</w:t>
            </w:r>
          </w:p>
        </w:tc>
      </w:tr>
      <w:tr>
        <w:trPr>
          <w:trHeight w:val="162"/>
        </w:trPr>
        <w:tc>
          <w:tcPr>
            <w:tcW w:w="6960" w:type="dxa"/>
            <w:vAlign w:val="bottom"/>
          </w:tcPr>
          <w:p>
            <w:pPr>
              <w:spacing w:after="0"/>
              <w:rPr>
                <w:sz w:val="20"/>
                <w:szCs w:val="20"/>
                <w:color w:val="auto"/>
              </w:rPr>
            </w:pPr>
            <w:r>
              <w:rPr>
                <w:rFonts w:ascii="Arial" w:cs="Arial" w:eastAsia="Arial" w:hAnsi="Arial"/>
                <w:sz w:val="14"/>
                <w:szCs w:val="14"/>
                <w:color w:val="auto"/>
              </w:rPr>
              <w:t>(Increase)/decrease in current receivables</w:t>
            </w:r>
          </w:p>
        </w:tc>
        <w:tc>
          <w:tcPr>
            <w:tcW w:w="480" w:type="dxa"/>
            <w:vAlign w:val="bottom"/>
            <w:shd w:val="clear" w:color="auto" w:fill="D8D8D8"/>
          </w:tcPr>
          <w:p>
            <w:pPr>
              <w:spacing w:after="0"/>
              <w:rPr>
                <w:sz w:val="14"/>
                <w:szCs w:val="14"/>
                <w:color w:val="auto"/>
              </w:rPr>
            </w:pPr>
          </w:p>
        </w:tc>
        <w:tc>
          <w:tcPr>
            <w:tcW w:w="920" w:type="dxa"/>
            <w:vAlign w:val="bottom"/>
          </w:tcPr>
          <w:p>
            <w:pPr>
              <w:jc w:val="right"/>
              <w:ind w:right="448"/>
              <w:spacing w:after="0"/>
              <w:rPr>
                <w:sz w:val="20"/>
                <w:szCs w:val="20"/>
                <w:color w:val="auto"/>
              </w:rPr>
            </w:pPr>
            <w:r>
              <w:rPr>
                <w:rFonts w:ascii="Arial" w:cs="Arial" w:eastAsia="Arial" w:hAnsi="Arial"/>
                <w:sz w:val="14"/>
                <w:szCs w:val="14"/>
                <w:color w:val="auto"/>
              </w:rPr>
              <w:t>(1.6)</w:t>
            </w:r>
          </w:p>
        </w:tc>
        <w:tc>
          <w:tcPr>
            <w:tcW w:w="1860" w:type="dxa"/>
            <w:vAlign w:val="bottom"/>
          </w:tcPr>
          <w:p>
            <w:pPr>
              <w:jc w:val="right"/>
              <w:ind w:right="369"/>
              <w:spacing w:after="0"/>
              <w:rPr>
                <w:sz w:val="20"/>
                <w:szCs w:val="20"/>
                <w:color w:val="auto"/>
              </w:rPr>
            </w:pPr>
            <w:r>
              <w:rPr>
                <w:rFonts w:ascii="Arial" w:cs="Arial" w:eastAsia="Arial" w:hAnsi="Arial"/>
                <w:sz w:val="14"/>
                <w:szCs w:val="14"/>
                <w:color w:val="auto"/>
              </w:rPr>
              <w:t>5.6</w:t>
            </w:r>
          </w:p>
        </w:tc>
        <w:tc>
          <w:tcPr>
            <w:tcW w:w="1200" w:type="dxa"/>
            <w:vAlign w:val="bottom"/>
          </w:tcPr>
          <w:p>
            <w:pPr>
              <w:jc w:val="right"/>
              <w:ind w:right="28"/>
              <w:spacing w:after="0"/>
              <w:rPr>
                <w:sz w:val="20"/>
                <w:szCs w:val="20"/>
                <w:color w:val="auto"/>
              </w:rPr>
            </w:pPr>
            <w:r>
              <w:rPr>
                <w:rFonts w:ascii="Arial" w:cs="Arial" w:eastAsia="Arial" w:hAnsi="Arial"/>
                <w:sz w:val="14"/>
                <w:szCs w:val="14"/>
                <w:color w:val="auto"/>
              </w:rPr>
              <w:t>14.1</w:t>
            </w:r>
          </w:p>
        </w:tc>
      </w:tr>
      <w:tr>
        <w:trPr>
          <w:trHeight w:val="157"/>
        </w:trPr>
        <w:tc>
          <w:tcPr>
            <w:tcW w:w="6960" w:type="dxa"/>
            <w:vAlign w:val="bottom"/>
            <w:tcBorders>
              <w:bottom w:val="single" w:sz="8" w:color="auto"/>
            </w:tcBorders>
          </w:tcPr>
          <w:p>
            <w:pPr>
              <w:spacing w:after="0" w:line="157" w:lineRule="exact"/>
              <w:rPr>
                <w:sz w:val="20"/>
                <w:szCs w:val="20"/>
                <w:color w:val="auto"/>
              </w:rPr>
            </w:pPr>
            <w:r>
              <w:rPr>
                <w:rFonts w:ascii="Arial" w:cs="Arial" w:eastAsia="Arial" w:hAnsi="Arial"/>
                <w:sz w:val="14"/>
                <w:szCs w:val="14"/>
                <w:color w:val="auto"/>
              </w:rPr>
              <w:t>Decrease in current payables</w:t>
            </w:r>
          </w:p>
        </w:tc>
        <w:tc>
          <w:tcPr>
            <w:tcW w:w="480" w:type="dxa"/>
            <w:vAlign w:val="bottom"/>
            <w:tcBorders>
              <w:bottom w:val="single" w:sz="8" w:color="auto"/>
            </w:tcBorders>
            <w:shd w:val="clear" w:color="auto" w:fill="D8D8D8"/>
          </w:tcPr>
          <w:p>
            <w:pPr>
              <w:spacing w:after="0"/>
              <w:rPr>
                <w:sz w:val="13"/>
                <w:szCs w:val="13"/>
                <w:color w:val="auto"/>
              </w:rPr>
            </w:pPr>
          </w:p>
        </w:tc>
        <w:tc>
          <w:tcPr>
            <w:tcW w:w="920" w:type="dxa"/>
            <w:vAlign w:val="bottom"/>
            <w:tcBorders>
              <w:bottom w:val="single" w:sz="8" w:color="auto"/>
            </w:tcBorders>
          </w:tcPr>
          <w:p>
            <w:pPr>
              <w:jc w:val="right"/>
              <w:ind w:right="488"/>
              <w:spacing w:after="0" w:line="157" w:lineRule="exact"/>
              <w:rPr>
                <w:sz w:val="20"/>
                <w:szCs w:val="20"/>
                <w:color w:val="auto"/>
              </w:rPr>
            </w:pPr>
            <w:r>
              <w:rPr>
                <w:rFonts w:ascii="Arial" w:cs="Arial" w:eastAsia="Arial" w:hAnsi="Arial"/>
                <w:sz w:val="14"/>
                <w:szCs w:val="14"/>
                <w:color w:val="auto"/>
              </w:rPr>
              <w:t>–</w:t>
            </w:r>
          </w:p>
        </w:tc>
        <w:tc>
          <w:tcPr>
            <w:tcW w:w="1860" w:type="dxa"/>
            <w:vAlign w:val="bottom"/>
            <w:tcBorders>
              <w:bottom w:val="single" w:sz="8" w:color="auto"/>
            </w:tcBorders>
          </w:tcPr>
          <w:p>
            <w:pPr>
              <w:jc w:val="right"/>
              <w:ind w:right="309"/>
              <w:spacing w:after="0" w:line="157" w:lineRule="exact"/>
              <w:rPr>
                <w:sz w:val="20"/>
                <w:szCs w:val="20"/>
                <w:color w:val="auto"/>
              </w:rPr>
            </w:pPr>
            <w:r>
              <w:rPr>
                <w:rFonts w:ascii="Arial" w:cs="Arial" w:eastAsia="Arial" w:hAnsi="Arial"/>
                <w:sz w:val="14"/>
                <w:szCs w:val="14"/>
                <w:color w:val="auto"/>
              </w:rPr>
              <w:t>(3.3)</w:t>
            </w:r>
          </w:p>
        </w:tc>
        <w:tc>
          <w:tcPr>
            <w:tcW w:w="1200" w:type="dxa"/>
            <w:vAlign w:val="bottom"/>
            <w:tcBorders>
              <w:bottom w:val="single" w:sz="8" w:color="auto"/>
            </w:tcBorders>
          </w:tcPr>
          <w:p>
            <w:pPr>
              <w:jc w:val="right"/>
              <w:spacing w:after="0" w:line="157" w:lineRule="exact"/>
              <w:rPr>
                <w:sz w:val="20"/>
                <w:szCs w:val="20"/>
                <w:color w:val="auto"/>
              </w:rPr>
            </w:pPr>
            <w:r>
              <w:rPr>
                <w:rFonts w:ascii="Arial" w:cs="Arial" w:eastAsia="Arial" w:hAnsi="Arial"/>
                <w:sz w:val="14"/>
                <w:szCs w:val="14"/>
                <w:color w:val="auto"/>
              </w:rPr>
              <w:t>(9.0)</w:t>
            </w:r>
          </w:p>
        </w:tc>
      </w:tr>
      <w:tr>
        <w:trPr>
          <w:trHeight w:val="156"/>
        </w:trPr>
        <w:tc>
          <w:tcPr>
            <w:tcW w:w="6960" w:type="dxa"/>
            <w:vAlign w:val="bottom"/>
            <w:tcBorders>
              <w:bottom w:val="single" w:sz="8" w:color="auto"/>
            </w:tcBorders>
          </w:tcPr>
          <w:p>
            <w:pPr>
              <w:spacing w:after="0" w:line="155" w:lineRule="exact"/>
              <w:rPr>
                <w:sz w:val="20"/>
                <w:szCs w:val="20"/>
                <w:color w:val="auto"/>
              </w:rPr>
            </w:pPr>
            <w:r>
              <w:rPr>
                <w:rFonts w:ascii="Arial" w:cs="Arial" w:eastAsia="Arial" w:hAnsi="Arial"/>
                <w:sz w:val="14"/>
                <w:szCs w:val="14"/>
                <w:color w:val="auto"/>
              </w:rPr>
              <w:t>Decrease in working capital</w:t>
            </w:r>
          </w:p>
        </w:tc>
        <w:tc>
          <w:tcPr>
            <w:tcW w:w="480" w:type="dxa"/>
            <w:vAlign w:val="bottom"/>
            <w:tcBorders>
              <w:bottom w:val="single" w:sz="8" w:color="auto"/>
            </w:tcBorders>
            <w:shd w:val="clear" w:color="auto" w:fill="D8D8D8"/>
          </w:tcPr>
          <w:p>
            <w:pPr>
              <w:spacing w:after="0"/>
              <w:rPr>
                <w:sz w:val="13"/>
                <w:szCs w:val="13"/>
                <w:color w:val="auto"/>
              </w:rPr>
            </w:pPr>
          </w:p>
        </w:tc>
        <w:tc>
          <w:tcPr>
            <w:tcW w:w="920" w:type="dxa"/>
            <w:vAlign w:val="bottom"/>
            <w:tcBorders>
              <w:bottom w:val="single" w:sz="8" w:color="auto"/>
            </w:tcBorders>
          </w:tcPr>
          <w:p>
            <w:pPr>
              <w:jc w:val="right"/>
              <w:ind w:right="488"/>
              <w:spacing w:after="0" w:line="155" w:lineRule="exact"/>
              <w:rPr>
                <w:sz w:val="20"/>
                <w:szCs w:val="20"/>
                <w:color w:val="auto"/>
              </w:rPr>
            </w:pPr>
            <w:r>
              <w:rPr>
                <w:rFonts w:ascii="Arial" w:cs="Arial" w:eastAsia="Arial" w:hAnsi="Arial"/>
                <w:sz w:val="14"/>
                <w:szCs w:val="14"/>
                <w:color w:val="auto"/>
              </w:rPr>
              <w:t>6.4</w:t>
            </w:r>
          </w:p>
        </w:tc>
        <w:tc>
          <w:tcPr>
            <w:tcW w:w="1860" w:type="dxa"/>
            <w:vAlign w:val="bottom"/>
            <w:tcBorders>
              <w:bottom w:val="single" w:sz="8" w:color="auto"/>
            </w:tcBorders>
          </w:tcPr>
          <w:p>
            <w:pPr>
              <w:jc w:val="right"/>
              <w:ind w:right="369"/>
              <w:spacing w:after="0" w:line="155" w:lineRule="exact"/>
              <w:rPr>
                <w:sz w:val="20"/>
                <w:szCs w:val="20"/>
                <w:color w:val="auto"/>
              </w:rPr>
            </w:pPr>
            <w:r>
              <w:rPr>
                <w:rFonts w:ascii="Arial" w:cs="Arial" w:eastAsia="Arial" w:hAnsi="Arial"/>
                <w:sz w:val="14"/>
                <w:szCs w:val="14"/>
                <w:color w:val="auto"/>
              </w:rPr>
              <w:t>2.9</w:t>
            </w:r>
          </w:p>
        </w:tc>
        <w:tc>
          <w:tcPr>
            <w:tcW w:w="1200" w:type="dxa"/>
            <w:vAlign w:val="bottom"/>
            <w:tcBorders>
              <w:bottom w:val="single" w:sz="8" w:color="auto"/>
            </w:tcBorders>
          </w:tcPr>
          <w:p>
            <w:pPr>
              <w:jc w:val="right"/>
              <w:ind w:right="28"/>
              <w:spacing w:after="0" w:line="155" w:lineRule="exact"/>
              <w:rPr>
                <w:sz w:val="20"/>
                <w:szCs w:val="20"/>
                <w:color w:val="auto"/>
              </w:rPr>
            </w:pPr>
            <w:r>
              <w:rPr>
                <w:rFonts w:ascii="Arial" w:cs="Arial" w:eastAsia="Arial" w:hAnsi="Arial"/>
                <w:sz w:val="14"/>
                <w:szCs w:val="14"/>
                <w:color w:val="auto"/>
              </w:rPr>
              <w:t>3.4</w:t>
            </w:r>
          </w:p>
        </w:tc>
      </w:tr>
      <w:tr>
        <w:trPr>
          <w:trHeight w:val="160"/>
        </w:trPr>
        <w:tc>
          <w:tcPr>
            <w:tcW w:w="6960" w:type="dxa"/>
            <w:vAlign w:val="bottom"/>
          </w:tcPr>
          <w:p>
            <w:pPr>
              <w:spacing w:after="0"/>
              <w:rPr>
                <w:sz w:val="20"/>
                <w:szCs w:val="20"/>
                <w:color w:val="auto"/>
              </w:rPr>
            </w:pPr>
            <w:r>
              <w:rPr>
                <w:rFonts w:ascii="Arial" w:cs="Arial" w:eastAsia="Arial" w:hAnsi="Arial"/>
                <w:sz w:val="14"/>
                <w:szCs w:val="14"/>
                <w:color w:val="auto"/>
              </w:rPr>
              <w:t>Net cash from operating activities</w:t>
            </w:r>
          </w:p>
        </w:tc>
        <w:tc>
          <w:tcPr>
            <w:tcW w:w="480" w:type="dxa"/>
            <w:vAlign w:val="bottom"/>
            <w:shd w:val="clear" w:color="auto" w:fill="D8D8D8"/>
          </w:tcPr>
          <w:p>
            <w:pPr>
              <w:spacing w:after="0"/>
              <w:rPr>
                <w:sz w:val="13"/>
                <w:szCs w:val="13"/>
                <w:color w:val="auto"/>
              </w:rPr>
            </w:pPr>
          </w:p>
        </w:tc>
        <w:tc>
          <w:tcPr>
            <w:tcW w:w="920" w:type="dxa"/>
            <w:vAlign w:val="bottom"/>
          </w:tcPr>
          <w:p>
            <w:pPr>
              <w:jc w:val="right"/>
              <w:ind w:right="488"/>
              <w:spacing w:after="0"/>
              <w:rPr>
                <w:sz w:val="20"/>
                <w:szCs w:val="20"/>
                <w:color w:val="auto"/>
              </w:rPr>
            </w:pPr>
            <w:r>
              <w:rPr>
                <w:rFonts w:ascii="Arial" w:cs="Arial" w:eastAsia="Arial" w:hAnsi="Arial"/>
                <w:sz w:val="14"/>
                <w:szCs w:val="14"/>
                <w:color w:val="auto"/>
              </w:rPr>
              <w:t>45.0</w:t>
            </w:r>
          </w:p>
        </w:tc>
        <w:tc>
          <w:tcPr>
            <w:tcW w:w="1860" w:type="dxa"/>
            <w:vAlign w:val="bottom"/>
          </w:tcPr>
          <w:p>
            <w:pPr>
              <w:jc w:val="right"/>
              <w:ind w:right="369"/>
              <w:spacing w:after="0"/>
              <w:rPr>
                <w:sz w:val="20"/>
                <w:szCs w:val="20"/>
                <w:color w:val="auto"/>
              </w:rPr>
            </w:pPr>
            <w:r>
              <w:rPr>
                <w:rFonts w:ascii="Arial" w:cs="Arial" w:eastAsia="Arial" w:hAnsi="Arial"/>
                <w:sz w:val="14"/>
                <w:szCs w:val="14"/>
                <w:color w:val="auto"/>
              </w:rPr>
              <w:t>40.4</w:t>
            </w:r>
          </w:p>
        </w:tc>
        <w:tc>
          <w:tcPr>
            <w:tcW w:w="1200" w:type="dxa"/>
            <w:vAlign w:val="bottom"/>
          </w:tcPr>
          <w:p>
            <w:pPr>
              <w:jc w:val="right"/>
              <w:ind w:right="28"/>
              <w:spacing w:after="0"/>
              <w:rPr>
                <w:sz w:val="20"/>
                <w:szCs w:val="20"/>
                <w:color w:val="auto"/>
              </w:rPr>
            </w:pPr>
            <w:r>
              <w:rPr>
                <w:rFonts w:ascii="Arial" w:cs="Arial" w:eastAsia="Arial" w:hAnsi="Arial"/>
                <w:sz w:val="14"/>
                <w:szCs w:val="14"/>
                <w:color w:val="auto"/>
              </w:rPr>
              <w:t>46.1</w:t>
            </w:r>
          </w:p>
        </w:tc>
      </w:tr>
      <w:tr>
        <w:trPr>
          <w:trHeight w:val="162"/>
        </w:trPr>
        <w:tc>
          <w:tcPr>
            <w:tcW w:w="6960" w:type="dxa"/>
            <w:vAlign w:val="bottom"/>
          </w:tcPr>
          <w:p>
            <w:pPr>
              <w:spacing w:after="0"/>
              <w:rPr>
                <w:sz w:val="20"/>
                <w:szCs w:val="20"/>
                <w:color w:val="auto"/>
              </w:rPr>
            </w:pPr>
            <w:r>
              <w:rPr>
                <w:rFonts w:ascii="Arial" w:cs="Arial" w:eastAsia="Arial" w:hAnsi="Arial"/>
                <w:sz w:val="14"/>
                <w:szCs w:val="14"/>
                <w:color w:val="auto"/>
              </w:rPr>
              <w:t>Net cash used in investing activities</w:t>
            </w:r>
          </w:p>
        </w:tc>
        <w:tc>
          <w:tcPr>
            <w:tcW w:w="480" w:type="dxa"/>
            <w:vAlign w:val="bottom"/>
            <w:shd w:val="clear" w:color="auto" w:fill="D8D8D8"/>
          </w:tcPr>
          <w:p>
            <w:pPr>
              <w:spacing w:after="0"/>
              <w:rPr>
                <w:sz w:val="14"/>
                <w:szCs w:val="14"/>
                <w:color w:val="auto"/>
              </w:rPr>
            </w:pPr>
          </w:p>
        </w:tc>
        <w:tc>
          <w:tcPr>
            <w:tcW w:w="920" w:type="dxa"/>
            <w:vAlign w:val="bottom"/>
          </w:tcPr>
          <w:p>
            <w:pPr>
              <w:jc w:val="right"/>
              <w:ind w:right="448"/>
              <w:spacing w:after="0"/>
              <w:rPr>
                <w:sz w:val="20"/>
                <w:szCs w:val="20"/>
                <w:color w:val="auto"/>
              </w:rPr>
            </w:pPr>
            <w:r>
              <w:rPr>
                <w:rFonts w:ascii="Arial" w:cs="Arial" w:eastAsia="Arial" w:hAnsi="Arial"/>
                <w:sz w:val="14"/>
                <w:szCs w:val="14"/>
                <w:color w:val="auto"/>
              </w:rPr>
              <w:t>(19.7)</w:t>
            </w:r>
          </w:p>
        </w:tc>
        <w:tc>
          <w:tcPr>
            <w:tcW w:w="1860" w:type="dxa"/>
            <w:vAlign w:val="bottom"/>
          </w:tcPr>
          <w:p>
            <w:pPr>
              <w:jc w:val="right"/>
              <w:ind w:right="309"/>
              <w:spacing w:after="0"/>
              <w:rPr>
                <w:sz w:val="20"/>
                <w:szCs w:val="20"/>
                <w:color w:val="auto"/>
              </w:rPr>
            </w:pPr>
            <w:r>
              <w:rPr>
                <w:rFonts w:ascii="Arial" w:cs="Arial" w:eastAsia="Arial" w:hAnsi="Arial"/>
                <w:sz w:val="14"/>
                <w:szCs w:val="14"/>
                <w:color w:val="auto"/>
              </w:rPr>
              <w:t>(40.1)</w:t>
            </w:r>
          </w:p>
        </w:tc>
        <w:tc>
          <w:tcPr>
            <w:tcW w:w="1200" w:type="dxa"/>
            <w:vAlign w:val="bottom"/>
          </w:tcPr>
          <w:p>
            <w:pPr>
              <w:jc w:val="right"/>
              <w:spacing w:after="0"/>
              <w:rPr>
                <w:sz w:val="20"/>
                <w:szCs w:val="20"/>
                <w:color w:val="auto"/>
              </w:rPr>
            </w:pPr>
            <w:r>
              <w:rPr>
                <w:rFonts w:ascii="Arial" w:cs="Arial" w:eastAsia="Arial" w:hAnsi="Arial"/>
                <w:sz w:val="14"/>
                <w:szCs w:val="14"/>
                <w:color w:val="auto"/>
              </w:rPr>
              <w:t>(28.4)</w:t>
            </w:r>
          </w:p>
        </w:tc>
      </w:tr>
      <w:tr>
        <w:trPr>
          <w:trHeight w:val="162"/>
        </w:trPr>
        <w:tc>
          <w:tcPr>
            <w:tcW w:w="6960" w:type="dxa"/>
            <w:vAlign w:val="bottom"/>
          </w:tcPr>
          <w:p>
            <w:pPr>
              <w:spacing w:after="0"/>
              <w:rPr>
                <w:sz w:val="20"/>
                <w:szCs w:val="20"/>
                <w:color w:val="auto"/>
              </w:rPr>
            </w:pPr>
            <w:r>
              <w:rPr>
                <w:rFonts w:ascii="Arial" w:cs="Arial" w:eastAsia="Arial" w:hAnsi="Arial"/>
                <w:sz w:val="14"/>
                <w:szCs w:val="14"/>
                <w:color w:val="auto"/>
              </w:rPr>
              <w:t>Net cash used in financing activities</w:t>
            </w:r>
          </w:p>
        </w:tc>
        <w:tc>
          <w:tcPr>
            <w:tcW w:w="480" w:type="dxa"/>
            <w:vAlign w:val="bottom"/>
            <w:shd w:val="clear" w:color="auto" w:fill="D8D8D8"/>
          </w:tcPr>
          <w:p>
            <w:pPr>
              <w:spacing w:after="0"/>
              <w:rPr>
                <w:sz w:val="14"/>
                <w:szCs w:val="14"/>
                <w:color w:val="auto"/>
              </w:rPr>
            </w:pPr>
          </w:p>
        </w:tc>
        <w:tc>
          <w:tcPr>
            <w:tcW w:w="920" w:type="dxa"/>
            <w:vAlign w:val="bottom"/>
          </w:tcPr>
          <w:p>
            <w:pPr>
              <w:jc w:val="right"/>
              <w:ind w:right="448"/>
              <w:spacing w:after="0"/>
              <w:rPr>
                <w:sz w:val="20"/>
                <w:szCs w:val="20"/>
                <w:color w:val="auto"/>
              </w:rPr>
            </w:pPr>
            <w:r>
              <w:rPr>
                <w:rFonts w:ascii="Arial" w:cs="Arial" w:eastAsia="Arial" w:hAnsi="Arial"/>
                <w:sz w:val="14"/>
                <w:szCs w:val="14"/>
                <w:color w:val="auto"/>
              </w:rPr>
              <w:t>(12.8)</w:t>
            </w:r>
          </w:p>
        </w:tc>
        <w:tc>
          <w:tcPr>
            <w:tcW w:w="1860" w:type="dxa"/>
            <w:vAlign w:val="bottom"/>
          </w:tcPr>
          <w:p>
            <w:pPr>
              <w:jc w:val="right"/>
              <w:ind w:right="309"/>
              <w:spacing w:after="0"/>
              <w:rPr>
                <w:sz w:val="20"/>
                <w:szCs w:val="20"/>
                <w:color w:val="auto"/>
              </w:rPr>
            </w:pPr>
            <w:r>
              <w:rPr>
                <w:rFonts w:ascii="Arial" w:cs="Arial" w:eastAsia="Arial" w:hAnsi="Arial"/>
                <w:sz w:val="14"/>
                <w:szCs w:val="14"/>
                <w:color w:val="auto"/>
              </w:rPr>
              <w:t>(9.0)</w:t>
            </w:r>
          </w:p>
        </w:tc>
        <w:tc>
          <w:tcPr>
            <w:tcW w:w="1200" w:type="dxa"/>
            <w:vAlign w:val="bottom"/>
          </w:tcPr>
          <w:p>
            <w:pPr>
              <w:jc w:val="right"/>
              <w:spacing w:after="0"/>
              <w:rPr>
                <w:sz w:val="20"/>
                <w:szCs w:val="20"/>
                <w:color w:val="auto"/>
              </w:rPr>
            </w:pPr>
            <w:r>
              <w:rPr>
                <w:rFonts w:ascii="Arial" w:cs="Arial" w:eastAsia="Arial" w:hAnsi="Arial"/>
                <w:sz w:val="14"/>
                <w:szCs w:val="14"/>
                <w:color w:val="auto"/>
              </w:rPr>
              <w:t>(10.6)</w:t>
            </w:r>
          </w:p>
        </w:tc>
      </w:tr>
      <w:tr>
        <w:trPr>
          <w:trHeight w:val="157"/>
        </w:trPr>
        <w:tc>
          <w:tcPr>
            <w:tcW w:w="6960" w:type="dxa"/>
            <w:vAlign w:val="bottom"/>
            <w:tcBorders>
              <w:bottom w:val="single" w:sz="8" w:color="auto"/>
            </w:tcBorders>
          </w:tcPr>
          <w:p>
            <w:pPr>
              <w:spacing w:after="0" w:line="157" w:lineRule="exact"/>
              <w:rPr>
                <w:sz w:val="20"/>
                <w:szCs w:val="20"/>
                <w:color w:val="auto"/>
              </w:rPr>
            </w:pPr>
            <w:r>
              <w:rPr>
                <w:rFonts w:ascii="Arial" w:cs="Arial" w:eastAsia="Arial" w:hAnsi="Arial"/>
                <w:sz w:val="14"/>
                <w:szCs w:val="14"/>
                <w:color w:val="auto"/>
              </w:rPr>
              <w:t>Currency translation differences relating to cash and cash equivalents</w:t>
            </w:r>
          </w:p>
        </w:tc>
        <w:tc>
          <w:tcPr>
            <w:tcW w:w="480" w:type="dxa"/>
            <w:vAlign w:val="bottom"/>
            <w:tcBorders>
              <w:bottom w:val="single" w:sz="8" w:color="auto"/>
            </w:tcBorders>
            <w:shd w:val="clear" w:color="auto" w:fill="D8D8D8"/>
          </w:tcPr>
          <w:p>
            <w:pPr>
              <w:spacing w:after="0"/>
              <w:rPr>
                <w:sz w:val="13"/>
                <w:szCs w:val="13"/>
                <w:color w:val="auto"/>
              </w:rPr>
            </w:pPr>
          </w:p>
        </w:tc>
        <w:tc>
          <w:tcPr>
            <w:tcW w:w="920" w:type="dxa"/>
            <w:vAlign w:val="bottom"/>
            <w:tcBorders>
              <w:bottom w:val="single" w:sz="8" w:color="auto"/>
            </w:tcBorders>
          </w:tcPr>
          <w:p>
            <w:pPr>
              <w:jc w:val="right"/>
              <w:ind w:right="448"/>
              <w:spacing w:after="0" w:line="157" w:lineRule="exact"/>
              <w:rPr>
                <w:sz w:val="20"/>
                <w:szCs w:val="20"/>
                <w:color w:val="auto"/>
              </w:rPr>
            </w:pPr>
            <w:r>
              <w:rPr>
                <w:rFonts w:ascii="Arial" w:cs="Arial" w:eastAsia="Arial" w:hAnsi="Arial"/>
                <w:sz w:val="14"/>
                <w:szCs w:val="14"/>
                <w:color w:val="auto"/>
              </w:rPr>
              <w:t>(0.6)</w:t>
            </w:r>
          </w:p>
        </w:tc>
        <w:tc>
          <w:tcPr>
            <w:tcW w:w="1860" w:type="dxa"/>
            <w:vAlign w:val="bottom"/>
            <w:tcBorders>
              <w:bottom w:val="single" w:sz="8" w:color="auto"/>
            </w:tcBorders>
          </w:tcPr>
          <w:p>
            <w:pPr>
              <w:jc w:val="right"/>
              <w:ind w:right="309"/>
              <w:spacing w:after="0" w:line="157" w:lineRule="exact"/>
              <w:rPr>
                <w:sz w:val="20"/>
                <w:szCs w:val="20"/>
                <w:color w:val="auto"/>
              </w:rPr>
            </w:pPr>
            <w:r>
              <w:rPr>
                <w:rFonts w:ascii="Arial" w:cs="Arial" w:eastAsia="Arial" w:hAnsi="Arial"/>
                <w:sz w:val="14"/>
                <w:szCs w:val="14"/>
                <w:color w:val="auto"/>
              </w:rPr>
              <w:t>(0.2)</w:t>
            </w:r>
          </w:p>
        </w:tc>
        <w:tc>
          <w:tcPr>
            <w:tcW w:w="1200" w:type="dxa"/>
            <w:vAlign w:val="bottom"/>
            <w:tcBorders>
              <w:bottom w:val="single" w:sz="8" w:color="auto"/>
            </w:tcBorders>
          </w:tcPr>
          <w:p>
            <w:pPr>
              <w:jc w:val="right"/>
              <w:ind w:right="28"/>
              <w:spacing w:after="0" w:line="157" w:lineRule="exact"/>
              <w:rPr>
                <w:sz w:val="20"/>
                <w:szCs w:val="20"/>
                <w:color w:val="auto"/>
              </w:rPr>
            </w:pPr>
            <w:r>
              <w:rPr>
                <w:rFonts w:ascii="Arial" w:cs="Arial" w:eastAsia="Arial" w:hAnsi="Arial"/>
                <w:sz w:val="14"/>
                <w:szCs w:val="14"/>
                <w:color w:val="auto"/>
              </w:rPr>
              <w:t>0.2</w:t>
            </w:r>
          </w:p>
        </w:tc>
      </w:tr>
      <w:tr>
        <w:trPr>
          <w:trHeight w:val="160"/>
        </w:trPr>
        <w:tc>
          <w:tcPr>
            <w:tcW w:w="6960" w:type="dxa"/>
            <w:vAlign w:val="bottom"/>
          </w:tcPr>
          <w:p>
            <w:pPr>
              <w:spacing w:after="0"/>
              <w:rPr>
                <w:sz w:val="20"/>
                <w:szCs w:val="20"/>
                <w:color w:val="auto"/>
              </w:rPr>
            </w:pPr>
            <w:r>
              <w:rPr>
                <w:rFonts w:ascii="Arial" w:cs="Arial" w:eastAsia="Arial" w:hAnsi="Arial"/>
                <w:sz w:val="14"/>
                <w:szCs w:val="14"/>
                <w:color w:val="auto"/>
              </w:rPr>
              <w:t>Increase/(decrease) in cash and cash equivalents</w:t>
            </w:r>
          </w:p>
        </w:tc>
        <w:tc>
          <w:tcPr>
            <w:tcW w:w="480" w:type="dxa"/>
            <w:vAlign w:val="bottom"/>
            <w:shd w:val="clear" w:color="auto" w:fill="D8D8D8"/>
          </w:tcPr>
          <w:p>
            <w:pPr>
              <w:spacing w:after="0"/>
              <w:rPr>
                <w:sz w:val="13"/>
                <w:szCs w:val="13"/>
                <w:color w:val="auto"/>
              </w:rPr>
            </w:pPr>
          </w:p>
        </w:tc>
        <w:tc>
          <w:tcPr>
            <w:tcW w:w="920" w:type="dxa"/>
            <w:vAlign w:val="bottom"/>
          </w:tcPr>
          <w:p>
            <w:pPr>
              <w:jc w:val="right"/>
              <w:ind w:right="488"/>
              <w:spacing w:after="0"/>
              <w:rPr>
                <w:sz w:val="20"/>
                <w:szCs w:val="20"/>
                <w:color w:val="auto"/>
              </w:rPr>
            </w:pPr>
            <w:r>
              <w:rPr>
                <w:rFonts w:ascii="Arial" w:cs="Arial" w:eastAsia="Arial" w:hAnsi="Arial"/>
                <w:sz w:val="14"/>
                <w:szCs w:val="14"/>
                <w:color w:val="auto"/>
              </w:rPr>
              <w:t>11.9</w:t>
            </w:r>
          </w:p>
        </w:tc>
        <w:tc>
          <w:tcPr>
            <w:tcW w:w="1860" w:type="dxa"/>
            <w:vAlign w:val="bottom"/>
          </w:tcPr>
          <w:p>
            <w:pPr>
              <w:jc w:val="right"/>
              <w:ind w:right="309"/>
              <w:spacing w:after="0"/>
              <w:rPr>
                <w:sz w:val="20"/>
                <w:szCs w:val="20"/>
                <w:color w:val="auto"/>
              </w:rPr>
            </w:pPr>
            <w:r>
              <w:rPr>
                <w:rFonts w:ascii="Arial" w:cs="Arial" w:eastAsia="Arial" w:hAnsi="Arial"/>
                <w:sz w:val="14"/>
                <w:szCs w:val="14"/>
                <w:color w:val="auto"/>
              </w:rPr>
              <w:t>(8.9)</w:t>
            </w:r>
          </w:p>
        </w:tc>
        <w:tc>
          <w:tcPr>
            <w:tcW w:w="1200" w:type="dxa"/>
            <w:vAlign w:val="bottom"/>
          </w:tcPr>
          <w:p>
            <w:pPr>
              <w:jc w:val="right"/>
              <w:ind w:right="28"/>
              <w:spacing w:after="0"/>
              <w:rPr>
                <w:sz w:val="20"/>
                <w:szCs w:val="20"/>
                <w:color w:val="auto"/>
              </w:rPr>
            </w:pPr>
            <w:r>
              <w:rPr>
                <w:rFonts w:ascii="Arial" w:cs="Arial" w:eastAsia="Arial" w:hAnsi="Arial"/>
                <w:sz w:val="14"/>
                <w:szCs w:val="14"/>
                <w:color w:val="auto"/>
              </w:rPr>
              <w:t>7.3</w:t>
            </w:r>
          </w:p>
        </w:tc>
      </w:tr>
      <w:tr>
        <w:trPr>
          <w:trHeight w:val="157"/>
        </w:trPr>
        <w:tc>
          <w:tcPr>
            <w:tcW w:w="6960" w:type="dxa"/>
            <w:vAlign w:val="bottom"/>
            <w:tcBorders>
              <w:bottom w:val="single" w:sz="8" w:color="auto"/>
            </w:tcBorders>
          </w:tcPr>
          <w:p>
            <w:pPr>
              <w:spacing w:after="0" w:line="157" w:lineRule="exact"/>
              <w:rPr>
                <w:sz w:val="20"/>
                <w:szCs w:val="20"/>
                <w:color w:val="auto"/>
              </w:rPr>
            </w:pPr>
            <w:r>
              <w:rPr>
                <w:rFonts w:ascii="Arial" w:cs="Arial" w:eastAsia="Arial" w:hAnsi="Arial"/>
                <w:sz w:val="14"/>
                <w:szCs w:val="14"/>
                <w:color w:val="auto"/>
              </w:rPr>
              <w:t>Cash and cash equivalents at the beginning of the year</w:t>
            </w:r>
          </w:p>
        </w:tc>
        <w:tc>
          <w:tcPr>
            <w:tcW w:w="480" w:type="dxa"/>
            <w:vAlign w:val="bottom"/>
            <w:tcBorders>
              <w:bottom w:val="single" w:sz="8" w:color="auto"/>
            </w:tcBorders>
            <w:shd w:val="clear" w:color="auto" w:fill="D8D8D8"/>
          </w:tcPr>
          <w:p>
            <w:pPr>
              <w:spacing w:after="0"/>
              <w:rPr>
                <w:sz w:val="13"/>
                <w:szCs w:val="13"/>
                <w:color w:val="auto"/>
              </w:rPr>
            </w:pPr>
          </w:p>
        </w:tc>
        <w:tc>
          <w:tcPr>
            <w:tcW w:w="920" w:type="dxa"/>
            <w:vAlign w:val="bottom"/>
            <w:tcBorders>
              <w:bottom w:val="single" w:sz="8" w:color="auto"/>
            </w:tcBorders>
          </w:tcPr>
          <w:p>
            <w:pPr>
              <w:jc w:val="right"/>
              <w:ind w:right="488"/>
              <w:spacing w:after="0" w:line="157" w:lineRule="exact"/>
              <w:rPr>
                <w:sz w:val="20"/>
                <w:szCs w:val="20"/>
                <w:color w:val="auto"/>
              </w:rPr>
            </w:pPr>
            <w:r>
              <w:rPr>
                <w:rFonts w:ascii="Arial" w:cs="Arial" w:eastAsia="Arial" w:hAnsi="Arial"/>
                <w:sz w:val="14"/>
                <w:szCs w:val="14"/>
                <w:color w:val="auto"/>
              </w:rPr>
              <w:t>9.7</w:t>
            </w:r>
          </w:p>
        </w:tc>
        <w:tc>
          <w:tcPr>
            <w:tcW w:w="1860" w:type="dxa"/>
            <w:vAlign w:val="bottom"/>
            <w:tcBorders>
              <w:bottom w:val="single" w:sz="8" w:color="auto"/>
            </w:tcBorders>
          </w:tcPr>
          <w:p>
            <w:pPr>
              <w:jc w:val="right"/>
              <w:ind w:right="369"/>
              <w:spacing w:after="0" w:line="157" w:lineRule="exact"/>
              <w:rPr>
                <w:sz w:val="20"/>
                <w:szCs w:val="20"/>
                <w:color w:val="auto"/>
              </w:rPr>
            </w:pPr>
            <w:r>
              <w:rPr>
                <w:rFonts w:ascii="Arial" w:cs="Arial" w:eastAsia="Arial" w:hAnsi="Arial"/>
                <w:sz w:val="14"/>
                <w:szCs w:val="14"/>
                <w:color w:val="auto"/>
              </w:rPr>
              <w:t>18.6</w:t>
            </w:r>
          </w:p>
        </w:tc>
        <w:tc>
          <w:tcPr>
            <w:tcW w:w="1200" w:type="dxa"/>
            <w:vAlign w:val="bottom"/>
            <w:tcBorders>
              <w:bottom w:val="single" w:sz="8" w:color="auto"/>
            </w:tcBorders>
          </w:tcPr>
          <w:p>
            <w:pPr>
              <w:jc w:val="right"/>
              <w:ind w:right="28"/>
              <w:spacing w:after="0" w:line="157" w:lineRule="exact"/>
              <w:rPr>
                <w:sz w:val="20"/>
                <w:szCs w:val="20"/>
                <w:color w:val="auto"/>
              </w:rPr>
            </w:pPr>
            <w:r>
              <w:rPr>
                <w:rFonts w:ascii="Arial" w:cs="Arial" w:eastAsia="Arial" w:hAnsi="Arial"/>
                <w:sz w:val="14"/>
                <w:szCs w:val="14"/>
                <w:color w:val="auto"/>
              </w:rPr>
              <w:t>11.3</w:t>
            </w:r>
          </w:p>
        </w:tc>
      </w:tr>
      <w:tr>
        <w:trPr>
          <w:trHeight w:val="156"/>
        </w:trPr>
        <w:tc>
          <w:tcPr>
            <w:tcW w:w="6960" w:type="dxa"/>
            <w:vAlign w:val="bottom"/>
            <w:tcBorders>
              <w:bottom w:val="single" w:sz="8" w:color="auto"/>
            </w:tcBorders>
          </w:tcPr>
          <w:p>
            <w:pPr>
              <w:spacing w:after="0" w:line="155" w:lineRule="exact"/>
              <w:rPr>
                <w:sz w:val="20"/>
                <w:szCs w:val="20"/>
                <w:color w:val="auto"/>
              </w:rPr>
            </w:pPr>
            <w:r>
              <w:rPr>
                <w:rFonts w:ascii="Arial" w:cs="Arial" w:eastAsia="Arial" w:hAnsi="Arial"/>
                <w:sz w:val="14"/>
                <w:szCs w:val="14"/>
                <w:color w:val="auto"/>
              </w:rPr>
              <w:t>Cash and cash equivalents at the end of the year</w:t>
            </w:r>
          </w:p>
        </w:tc>
        <w:tc>
          <w:tcPr>
            <w:tcW w:w="480" w:type="dxa"/>
            <w:vAlign w:val="bottom"/>
            <w:tcBorders>
              <w:bottom w:val="single" w:sz="8" w:color="auto"/>
            </w:tcBorders>
            <w:shd w:val="clear" w:color="auto" w:fill="D8D8D8"/>
          </w:tcPr>
          <w:p>
            <w:pPr>
              <w:spacing w:after="0"/>
              <w:rPr>
                <w:sz w:val="13"/>
                <w:szCs w:val="13"/>
                <w:color w:val="auto"/>
              </w:rPr>
            </w:pPr>
          </w:p>
        </w:tc>
        <w:tc>
          <w:tcPr>
            <w:tcW w:w="920" w:type="dxa"/>
            <w:vAlign w:val="bottom"/>
            <w:tcBorders>
              <w:bottom w:val="single" w:sz="8" w:color="auto"/>
            </w:tcBorders>
          </w:tcPr>
          <w:p>
            <w:pPr>
              <w:jc w:val="right"/>
              <w:ind w:right="488"/>
              <w:spacing w:after="0" w:line="155" w:lineRule="exact"/>
              <w:rPr>
                <w:sz w:val="20"/>
                <w:szCs w:val="20"/>
                <w:color w:val="auto"/>
              </w:rPr>
            </w:pPr>
            <w:r>
              <w:rPr>
                <w:rFonts w:ascii="Arial" w:cs="Arial" w:eastAsia="Arial" w:hAnsi="Arial"/>
                <w:sz w:val="14"/>
                <w:szCs w:val="14"/>
                <w:color w:val="auto"/>
              </w:rPr>
              <w:t>21.6</w:t>
            </w:r>
          </w:p>
        </w:tc>
        <w:tc>
          <w:tcPr>
            <w:tcW w:w="1860" w:type="dxa"/>
            <w:vAlign w:val="bottom"/>
            <w:tcBorders>
              <w:bottom w:val="single" w:sz="8" w:color="auto"/>
            </w:tcBorders>
          </w:tcPr>
          <w:p>
            <w:pPr>
              <w:jc w:val="right"/>
              <w:ind w:right="369"/>
              <w:spacing w:after="0" w:line="155" w:lineRule="exact"/>
              <w:rPr>
                <w:sz w:val="20"/>
                <w:szCs w:val="20"/>
                <w:color w:val="auto"/>
              </w:rPr>
            </w:pPr>
            <w:r>
              <w:rPr>
                <w:rFonts w:ascii="Arial" w:cs="Arial" w:eastAsia="Arial" w:hAnsi="Arial"/>
                <w:sz w:val="14"/>
                <w:szCs w:val="14"/>
                <w:color w:val="auto"/>
              </w:rPr>
              <w:t>9.7</w:t>
            </w:r>
          </w:p>
        </w:tc>
        <w:tc>
          <w:tcPr>
            <w:tcW w:w="1200" w:type="dxa"/>
            <w:vAlign w:val="bottom"/>
            <w:tcBorders>
              <w:bottom w:val="single" w:sz="8" w:color="auto"/>
            </w:tcBorders>
          </w:tcPr>
          <w:p>
            <w:pPr>
              <w:jc w:val="right"/>
              <w:ind w:right="28"/>
              <w:spacing w:after="0" w:line="155" w:lineRule="exact"/>
              <w:rPr>
                <w:sz w:val="20"/>
                <w:szCs w:val="20"/>
                <w:color w:val="auto"/>
              </w:rPr>
            </w:pPr>
            <w:r>
              <w:rPr>
                <w:rFonts w:ascii="Arial" w:cs="Arial" w:eastAsia="Arial" w:hAnsi="Arial"/>
                <w:sz w:val="14"/>
                <w:szCs w:val="14"/>
                <w:color w:val="auto"/>
              </w:rPr>
              <w:t>18.6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4730115</wp:posOffset>
            </wp:positionH>
            <wp:positionV relativeFrom="paragraph">
              <wp:posOffset>-1594485</wp:posOffset>
            </wp:positionV>
            <wp:extent cx="582930" cy="158623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582930" cy="1586230"/>
                    </a:xfrm>
                    <a:prstGeom prst="rect">
                      <a:avLst/>
                    </a:prstGeom>
                    <a:noFill/>
                  </pic:spPr>
                </pic:pic>
              </a:graphicData>
            </a:graphic>
          </wp:anchor>
        </w:drawing>
      </w:r>
    </w:p>
    <w:p>
      <w:pPr>
        <w:spacing w:after="0" w:line="4" w:lineRule="exact"/>
        <w:rPr>
          <w:sz w:val="20"/>
          <w:szCs w:val="20"/>
          <w:color w:val="auto"/>
        </w:rPr>
      </w:pPr>
    </w:p>
    <w:p>
      <w:pPr>
        <w:spacing w:after="0"/>
        <w:rPr>
          <w:sz w:val="20"/>
          <w:szCs w:val="20"/>
          <w:color w:val="auto"/>
        </w:rPr>
      </w:pPr>
      <w:r>
        <w:rPr>
          <w:rFonts w:ascii="Arial" w:cs="Arial" w:eastAsia="Arial" w:hAnsi="Arial"/>
          <w:sz w:val="11"/>
          <w:szCs w:val="11"/>
          <w:color w:val="auto"/>
        </w:rPr>
        <w:t>[A] See the “Consolidated Statement of Cash Flows”.</w:t>
      </w:r>
    </w:p>
    <w:p>
      <w:pPr>
        <w:sectPr>
          <w:pgSz w:w="11900" w:h="16838" w:orient="portrait"/>
          <w:cols w:equalWidth="0" w:num="1">
            <w:col w:w="11420"/>
          </w:cols>
          <w:pgMar w:left="240" w:top="459" w:right="239" w:bottom="1440" w:gutter="0" w:footer="0" w:header="0"/>
          <w:type w:val="continuous"/>
        </w:sectPr>
      </w:pPr>
    </w:p>
    <w:bookmarkStart w:id="50" w:name="page51"/>
    <w:bookmarkEnd w:id="50"/>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3555365</wp:posOffset>
            </wp:positionH>
            <wp:positionV relativeFrom="paragraph">
              <wp:posOffset>314960</wp:posOffset>
            </wp:positionV>
            <wp:extent cx="3696335" cy="46291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3696335" cy="462915"/>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11"/>
          <w:szCs w:val="11"/>
          <w:color w:val="auto"/>
        </w:rPr>
        <w:t>SHELL ANNUAL REPORT AND FORM 20-F 2014</w:t>
      </w:r>
    </w:p>
    <w:p>
      <w:pPr>
        <w:spacing w:after="0" w:line="51" w:lineRule="exact"/>
        <w:rPr>
          <w:sz w:val="20"/>
          <w:szCs w:val="20"/>
          <w:color w:val="auto"/>
        </w:rPr>
      </w:pPr>
    </w:p>
    <w:p>
      <w:pPr>
        <w:spacing w:after="0"/>
        <w:rPr>
          <w:sz w:val="20"/>
          <w:szCs w:val="20"/>
          <w:color w:val="auto"/>
        </w:rPr>
      </w:pPr>
      <w:r>
        <w:rPr>
          <w:rFonts w:ascii="Arial" w:cs="Arial" w:eastAsia="Arial" w:hAnsi="Arial"/>
          <w:sz w:val="18"/>
          <w:szCs w:val="18"/>
          <w:color w:val="auto"/>
        </w:rPr>
        <w:t>FINANCIAL CONDITION AND LIQUIDITY</w:t>
      </w:r>
    </w:p>
    <w:p>
      <w:pPr>
        <w:spacing w:after="0" w:line="1" w:lineRule="exact"/>
        <w:rPr>
          <w:sz w:val="20"/>
          <w:szCs w:val="20"/>
          <w:color w:val="auto"/>
        </w:rPr>
      </w:pPr>
    </w:p>
    <w:p>
      <w:pPr>
        <w:ind w:right="40"/>
        <w:spacing w:after="0" w:line="241" w:lineRule="auto"/>
        <w:rPr>
          <w:sz w:val="20"/>
          <w:szCs w:val="20"/>
          <w:color w:val="auto"/>
        </w:rPr>
      </w:pPr>
      <w:r>
        <w:rPr>
          <w:rFonts w:ascii="Arial" w:cs="Arial" w:eastAsia="Arial" w:hAnsi="Arial"/>
          <w:sz w:val="14"/>
          <w:szCs w:val="14"/>
          <w:color w:val="auto"/>
        </w:rPr>
        <w:t>Our financial position is strong. In 2014, we generated a return on average capital employed (ROACE) of 7.1% (see “Return on average capital employed” in this section) and year-end gearing was 12.2% (2013: 16.1%). We returned $11.8 billion to our shareholders through dividends in 2014. Some of those dividends were paid out as 64.6 million shares issued to shareholders who had elected to receive new shares instead of cash. To offset the dilution created by the issuance of those shares,</w:t>
      </w:r>
    </w:p>
    <w:p>
      <w:pPr>
        <w:spacing w:after="0" w:line="2" w:lineRule="exact"/>
        <w:rPr>
          <w:sz w:val="20"/>
          <w:szCs w:val="20"/>
          <w:color w:val="auto"/>
        </w:rPr>
      </w:pPr>
    </w:p>
    <w:p>
      <w:pPr>
        <w:spacing w:after="0" w:line="244" w:lineRule="auto"/>
        <w:rPr>
          <w:sz w:val="20"/>
          <w:szCs w:val="20"/>
          <w:color w:val="auto"/>
        </w:rPr>
      </w:pPr>
      <w:r>
        <w:rPr>
          <w:rFonts w:ascii="Arial" w:cs="Arial" w:eastAsia="Arial" w:hAnsi="Arial"/>
          <w:sz w:val="14"/>
          <w:szCs w:val="14"/>
          <w:color w:val="auto"/>
        </w:rPr>
        <w:t>87.7 million shares were repurchased and cancelled as part of our share buyback programme. In May 2014, we announced the cancellation of our Scrip Dividend Programme. As a result, the second and third quarter 2014 interim dividends have been, and the fourth quarter 2014 interim dividend will be, settled entirely in cash, rather than offering a share-based alternative. In March 2015, we announced that the Scrip Dividend Programme is being reintroduced with effect from the first quarter 2015 interim dividend onwards.</w:t>
      </w:r>
    </w:p>
    <w:p>
      <w:pPr>
        <w:spacing w:after="0" w:line="178" w:lineRule="exact"/>
        <w:rPr>
          <w:sz w:val="20"/>
          <w:szCs w:val="20"/>
          <w:color w:val="auto"/>
        </w:rPr>
      </w:pPr>
    </w:p>
    <w:p>
      <w:pPr>
        <w:ind w:right="140"/>
        <w:spacing w:after="0" w:line="247" w:lineRule="auto"/>
        <w:rPr>
          <w:sz w:val="20"/>
          <w:szCs w:val="20"/>
          <w:color w:val="auto"/>
        </w:rPr>
      </w:pPr>
      <w:r>
        <w:rPr>
          <w:rFonts w:ascii="Arial" w:cs="Arial" w:eastAsia="Arial" w:hAnsi="Arial"/>
          <w:sz w:val="14"/>
          <w:szCs w:val="14"/>
          <w:color w:val="auto"/>
        </w:rPr>
        <w:t>The size and scope of our businesses require a robust financial control framework and effective management of our various risk exposures. Financial turbulence in the eurozone and the USA, and other international events continue to put significant stress on the business environment in which we operate.</w:t>
      </w:r>
    </w:p>
    <w:p>
      <w:pPr>
        <w:spacing w:after="0" w:line="161" w:lineRule="exact"/>
        <w:rPr>
          <w:sz w:val="20"/>
          <w:szCs w:val="20"/>
          <w:color w:val="auto"/>
        </w:rPr>
      </w:pPr>
    </w:p>
    <w:p>
      <w:pPr>
        <w:ind w:right="20"/>
        <w:spacing w:after="0" w:line="250" w:lineRule="auto"/>
        <w:rPr>
          <w:sz w:val="20"/>
          <w:szCs w:val="20"/>
          <w:color w:val="auto"/>
        </w:rPr>
      </w:pPr>
      <w:r>
        <w:rPr>
          <w:rFonts w:ascii="Arial" w:cs="Arial" w:eastAsia="Arial" w:hAnsi="Arial"/>
          <w:sz w:val="14"/>
          <w:szCs w:val="14"/>
          <w:color w:val="auto"/>
        </w:rPr>
        <w:t>Our treasury and trading operations are highly centralised, and seek to manage credit exposures associated with our substantial cash, foreign exchange and commodity positions.</w:t>
      </w:r>
    </w:p>
    <w:p>
      <w:pPr>
        <w:spacing w:after="0" w:line="159" w:lineRule="exact"/>
        <w:rPr>
          <w:sz w:val="20"/>
          <w:szCs w:val="20"/>
          <w:color w:val="auto"/>
        </w:rPr>
      </w:pPr>
    </w:p>
    <w:p>
      <w:pPr>
        <w:ind w:right="60"/>
        <w:spacing w:after="0" w:line="247" w:lineRule="auto"/>
        <w:rPr>
          <w:sz w:val="20"/>
          <w:szCs w:val="20"/>
          <w:color w:val="auto"/>
        </w:rPr>
      </w:pPr>
      <w:r>
        <w:rPr>
          <w:rFonts w:ascii="Arial" w:cs="Arial" w:eastAsia="Arial" w:hAnsi="Arial"/>
          <w:sz w:val="14"/>
          <w:szCs w:val="14"/>
          <w:color w:val="auto"/>
        </w:rPr>
        <w:t>We diversify our cash investments across a range of financial instruments and counterparties in an effort to avoid concentrating risk in any one type of investment or country. We carefully monitor our investments and adjust them in light of new market information.</w:t>
      </w:r>
    </w:p>
    <w:p>
      <w:pPr>
        <w:spacing w:after="0" w:line="175" w:lineRule="exact"/>
        <w:rPr>
          <w:sz w:val="20"/>
          <w:szCs w:val="20"/>
          <w:color w:val="auto"/>
        </w:rPr>
      </w:pPr>
    </w:p>
    <w:p>
      <w:pPr>
        <w:ind w:right="120"/>
        <w:spacing w:after="0" w:line="258" w:lineRule="auto"/>
        <w:rPr>
          <w:sz w:val="20"/>
          <w:szCs w:val="20"/>
          <w:color w:val="auto"/>
        </w:rPr>
      </w:pPr>
      <w:r>
        <w:rPr>
          <w:rFonts w:ascii="Arial" w:cs="Arial" w:eastAsia="Arial" w:hAnsi="Arial"/>
          <w:sz w:val="14"/>
          <w:szCs w:val="14"/>
          <w:color w:val="auto"/>
        </w:rPr>
        <w:t>Exposure to failed financial and trading counterparties was not material in 2014 (see Note 19 to the “Consolidated Financial Statements”).</w:t>
      </w:r>
    </w:p>
    <w:p>
      <w:pPr>
        <w:spacing w:after="0" w:line="154" w:lineRule="exact"/>
        <w:rPr>
          <w:sz w:val="20"/>
          <w:szCs w:val="20"/>
          <w:color w:val="auto"/>
        </w:rPr>
      </w:pPr>
    </w:p>
    <w:p>
      <w:pPr>
        <w:ind w:right="180"/>
        <w:spacing w:after="0" w:line="247" w:lineRule="auto"/>
        <w:rPr>
          <w:sz w:val="20"/>
          <w:szCs w:val="20"/>
          <w:color w:val="auto"/>
        </w:rPr>
      </w:pPr>
      <w:r>
        <w:rPr>
          <w:rFonts w:ascii="Arial" w:cs="Arial" w:eastAsia="Arial" w:hAnsi="Arial"/>
          <w:sz w:val="14"/>
          <w:szCs w:val="14"/>
          <w:color w:val="auto"/>
        </w:rPr>
        <w:t>Total employer contributions to our defined benefit pension plans in 2014 were $1.8 billion (2013: $2.6 billion) and are estimated to be $2.0 billion in 2015, reflecting current funding levels. See Notes 3 and 17 to the “Consolidated Financial Statements”.</w:t>
      </w:r>
    </w:p>
    <w:p>
      <w:pPr>
        <w:spacing w:after="0" w:line="161" w:lineRule="exact"/>
        <w:rPr>
          <w:sz w:val="20"/>
          <w:szCs w:val="20"/>
          <w:color w:val="auto"/>
        </w:rPr>
      </w:pPr>
    </w:p>
    <w:p>
      <w:pPr>
        <w:spacing w:after="0" w:line="244" w:lineRule="auto"/>
        <w:rPr>
          <w:sz w:val="20"/>
          <w:szCs w:val="20"/>
          <w:color w:val="auto"/>
        </w:rPr>
      </w:pPr>
      <w:r>
        <w:rPr>
          <w:rFonts w:ascii="Arial" w:cs="Arial" w:eastAsia="Arial" w:hAnsi="Arial"/>
          <w:sz w:val="14"/>
          <w:szCs w:val="14"/>
          <w:color w:val="auto"/>
        </w:rPr>
        <w:t>Cash and cash equivalents amounted to $21.6 billion at the end of 2014 (2013: $9.7 billion). Cash and cash equivalents are held in various currencies but primarily in dollars, euros and sterling. Total debt increased by $1.0 billion in 2014 to $45.5 billion at December 31, 2014. The total debt outstanding (excluding leases) at December 31, 2014, will mature as follows: 18% in 2015; 10% in 2016; 10% in 2017; 15% in 2018; and 47% in 2019 and beyond. The debt maturing in 2015 is expected to be repaid from a combination of cash balances and cash generated from operations.</w:t>
      </w:r>
    </w:p>
    <w:p>
      <w:pPr>
        <w:spacing w:after="0" w:line="178" w:lineRule="exact"/>
        <w:rPr>
          <w:sz w:val="20"/>
          <w:szCs w:val="20"/>
          <w:color w:val="auto"/>
        </w:rPr>
      </w:pPr>
    </w:p>
    <w:p>
      <w:pPr>
        <w:ind w:right="160"/>
        <w:spacing w:after="0" w:line="247" w:lineRule="auto"/>
        <w:rPr>
          <w:sz w:val="20"/>
          <w:szCs w:val="20"/>
          <w:color w:val="auto"/>
        </w:rPr>
      </w:pPr>
      <w:r>
        <w:rPr>
          <w:rFonts w:ascii="Arial" w:cs="Arial" w:eastAsia="Arial" w:hAnsi="Arial"/>
          <w:sz w:val="14"/>
          <w:szCs w:val="14"/>
          <w:color w:val="auto"/>
        </w:rPr>
        <w:t>We also maintain a $7.48 billion committed credit facility that was undrawn as at December 31, 2014. Following a one-year extension agreed in November 2014, the facility currently expires in 2019, but may in November 2015, by mutual agreement, be extended for one further year.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419"/>
        </w:trPr>
        <w:tc>
          <w:tcPr>
            <w:tcW w:w="3780" w:type="dxa"/>
            <w:vAlign w:val="bottom"/>
            <w:shd w:val="clear" w:color="auto" w:fill="FF8B00"/>
          </w:tcPr>
          <w:p>
            <w:pPr>
              <w:spacing w:after="0"/>
              <w:rPr>
                <w:sz w:val="24"/>
                <w:szCs w:val="24"/>
                <w:color w:val="auto"/>
              </w:rPr>
            </w:pPr>
          </w:p>
        </w:tc>
        <w:tc>
          <w:tcPr>
            <w:tcW w:w="2040" w:type="dxa"/>
            <w:vAlign w:val="bottom"/>
            <w:shd w:val="clear" w:color="auto" w:fill="FF8B00"/>
          </w:tcPr>
          <w:p>
            <w:pPr>
              <w:spacing w:after="0"/>
              <w:rPr>
                <w:sz w:val="24"/>
                <w:szCs w:val="24"/>
                <w:color w:val="auto"/>
              </w:rPr>
            </w:pPr>
          </w:p>
        </w:tc>
      </w:tr>
      <w:tr>
        <w:trPr>
          <w:trHeight w:val="152"/>
        </w:trPr>
        <w:tc>
          <w:tcPr>
            <w:tcW w:w="3780" w:type="dxa"/>
            <w:vAlign w:val="bottom"/>
          </w:tcPr>
          <w:p>
            <w:pPr>
              <w:ind w:left="940"/>
              <w:spacing w:after="0"/>
              <w:rPr>
                <w:sz w:val="20"/>
                <w:szCs w:val="20"/>
                <w:color w:val="auto"/>
              </w:rPr>
            </w:pPr>
            <w:r>
              <w:rPr>
                <w:rFonts w:ascii="Arial" w:cs="Arial" w:eastAsia="Arial" w:hAnsi="Arial"/>
                <w:sz w:val="13"/>
                <w:szCs w:val="13"/>
                <w:color w:val="333333"/>
              </w:rPr>
              <w:t>STRATEGIC REPORT</w:t>
            </w:r>
          </w:p>
        </w:tc>
        <w:tc>
          <w:tcPr>
            <w:tcW w:w="2040" w:type="dxa"/>
            <w:vAlign w:val="bottom"/>
          </w:tcPr>
          <w:p>
            <w:pPr>
              <w:jc w:val="right"/>
              <w:ind w:right="306"/>
              <w:spacing w:after="0"/>
              <w:rPr>
                <w:sz w:val="20"/>
                <w:szCs w:val="20"/>
                <w:color w:val="auto"/>
              </w:rPr>
            </w:pPr>
            <w:r>
              <w:rPr>
                <w:rFonts w:ascii="Arial" w:cs="Arial" w:eastAsia="Arial" w:hAnsi="Arial"/>
                <w:sz w:val="11"/>
                <w:szCs w:val="11"/>
                <w:b w:val="1"/>
                <w:bCs w:val="1"/>
                <w:color w:val="333333"/>
              </w:rPr>
              <w:t>49</w:t>
            </w:r>
          </w:p>
        </w:tc>
      </w:tr>
    </w:tbl>
    <w:p>
      <w:pPr>
        <w:spacing w:after="0" w:line="155" w:lineRule="exact"/>
        <w:rPr>
          <w:sz w:val="20"/>
          <w:szCs w:val="20"/>
          <w:color w:val="auto"/>
        </w:rPr>
      </w:pPr>
    </w:p>
    <w:p>
      <w:pPr>
        <w:ind w:left="940"/>
        <w:spacing w:after="0"/>
        <w:rPr>
          <w:sz w:val="20"/>
          <w:szCs w:val="20"/>
          <w:color w:val="auto"/>
        </w:rPr>
      </w:pPr>
      <w:r>
        <w:rPr>
          <w:rFonts w:ascii="Arial" w:cs="Arial" w:eastAsia="Arial" w:hAnsi="Arial"/>
          <w:sz w:val="11"/>
          <w:szCs w:val="11"/>
          <w:color w:val="auto"/>
        </w:rPr>
        <w:t>LIQUIDITY AND CAPITAL RESOURCES</w:t>
      </w:r>
    </w:p>
    <w:p>
      <w:pPr>
        <w:spacing w:after="0" w:line="57" w:lineRule="exact"/>
        <w:rPr>
          <w:sz w:val="20"/>
          <w:szCs w:val="20"/>
          <w:color w:val="auto"/>
        </w:rPr>
      </w:pPr>
    </w:p>
    <w:p>
      <w:pPr>
        <w:ind w:left="180" w:right="200"/>
        <w:spacing w:after="0" w:line="245" w:lineRule="auto"/>
        <w:rPr>
          <w:sz w:val="20"/>
          <w:szCs w:val="20"/>
          <w:color w:val="auto"/>
        </w:rPr>
      </w:pPr>
      <w:r>
        <w:rPr>
          <w:rFonts w:ascii="Arial" w:cs="Arial" w:eastAsia="Arial" w:hAnsi="Arial"/>
          <w:sz w:val="14"/>
          <w:szCs w:val="14"/>
          <w:color w:val="auto"/>
        </w:rPr>
        <w:t>We believe our current working capital is sufficient for present requirements. We satisfy our funding and working capital requirements from the cash generated by our businesses and through the issuance of external debt. Our external debt is principally financed from the international debt capital markets through central debt programmes consisting of:</w:t>
      </w:r>
    </w:p>
    <w:p>
      <w:pPr>
        <w:spacing w:after="0" w:line="205" w:lineRule="exact"/>
        <w:rPr>
          <w:sz w:val="20"/>
          <w:szCs w:val="20"/>
          <w:color w:val="auto"/>
        </w:rPr>
      </w:pPr>
    </w:p>
    <w:p>
      <w:pPr>
        <w:ind w:left="340" w:right="360" w:hanging="160"/>
        <w:spacing w:after="0" w:line="195" w:lineRule="auto"/>
        <w:tabs>
          <w:tab w:leader="none" w:pos="340" w:val="left"/>
        </w:tabs>
        <w:numPr>
          <w:ilvl w:val="0"/>
          <w:numId w:val="48"/>
        </w:numPr>
        <w:rPr>
          <w:rFonts w:ascii="Arial" w:cs="Arial" w:eastAsia="Arial" w:hAnsi="Arial"/>
          <w:sz w:val="24"/>
          <w:szCs w:val="24"/>
          <w:color w:val="auto"/>
          <w:vertAlign w:val="superscript"/>
        </w:rPr>
      </w:pPr>
      <w:r>
        <w:rPr>
          <w:rFonts w:ascii="Arial" w:cs="Arial" w:eastAsia="Arial" w:hAnsi="Arial"/>
          <w:sz w:val="14"/>
          <w:szCs w:val="14"/>
          <w:color w:val="auto"/>
        </w:rPr>
        <w:t>a $10 billion global commercial paper (CP) programme, exempt from registration under section 3 (a)(3) of the US Securities Act of 1933, with maturities not exceeding 270 days;</w:t>
      </w:r>
    </w:p>
    <w:p>
      <w:pPr>
        <w:ind w:left="340" w:right="220" w:hanging="160"/>
        <w:spacing w:after="0" w:line="182" w:lineRule="auto"/>
        <w:tabs>
          <w:tab w:leader="none" w:pos="340" w:val="left"/>
        </w:tabs>
        <w:numPr>
          <w:ilvl w:val="0"/>
          <w:numId w:val="48"/>
        </w:numPr>
        <w:rPr>
          <w:rFonts w:ascii="Arial" w:cs="Arial" w:eastAsia="Arial" w:hAnsi="Arial"/>
          <w:sz w:val="23"/>
          <w:szCs w:val="23"/>
          <w:color w:val="auto"/>
          <w:vertAlign w:val="superscript"/>
        </w:rPr>
      </w:pPr>
      <w:r>
        <w:rPr>
          <w:rFonts w:ascii="Arial" w:cs="Arial" w:eastAsia="Arial" w:hAnsi="Arial"/>
          <w:sz w:val="14"/>
          <w:szCs w:val="14"/>
          <w:color w:val="auto"/>
        </w:rPr>
        <w:t>a $10 billion CP programme, exempt from registration under section 4(2) of the US Securities Act of 1933, with maturities not exceeding 397 days;</w:t>
      </w:r>
    </w:p>
    <w:p>
      <w:pPr>
        <w:spacing w:after="0" w:line="1" w:lineRule="exact"/>
        <w:rPr>
          <w:rFonts w:ascii="Arial" w:cs="Arial" w:eastAsia="Arial" w:hAnsi="Arial"/>
          <w:sz w:val="23"/>
          <w:szCs w:val="23"/>
          <w:color w:val="auto"/>
          <w:vertAlign w:val="superscript"/>
        </w:rPr>
      </w:pPr>
    </w:p>
    <w:p>
      <w:pPr>
        <w:ind w:left="340" w:hanging="160"/>
        <w:spacing w:after="0" w:line="187" w:lineRule="auto"/>
        <w:tabs>
          <w:tab w:leader="none" w:pos="340" w:val="left"/>
        </w:tabs>
        <w:numPr>
          <w:ilvl w:val="0"/>
          <w:numId w:val="48"/>
        </w:numPr>
        <w:rPr>
          <w:rFonts w:ascii="Arial" w:cs="Arial" w:eastAsia="Arial" w:hAnsi="Arial"/>
          <w:sz w:val="18"/>
          <w:szCs w:val="18"/>
          <w:color w:val="auto"/>
          <w:vertAlign w:val="superscript"/>
        </w:rPr>
      </w:pPr>
      <w:r>
        <w:rPr>
          <w:rFonts w:ascii="Arial" w:cs="Arial" w:eastAsia="Arial" w:hAnsi="Arial"/>
          <w:sz w:val="11"/>
          <w:szCs w:val="11"/>
          <w:color w:val="auto"/>
        </w:rPr>
        <w:t>$25 billion euro medium-term note (EMTN) programme; and</w:t>
      </w:r>
    </w:p>
    <w:p>
      <w:pPr>
        <w:ind w:left="340" w:hanging="160"/>
        <w:spacing w:after="0" w:line="189" w:lineRule="auto"/>
        <w:tabs>
          <w:tab w:leader="none" w:pos="340" w:val="left"/>
        </w:tabs>
        <w:numPr>
          <w:ilvl w:val="0"/>
          <w:numId w:val="48"/>
        </w:numPr>
        <w:rPr>
          <w:rFonts w:ascii="Arial" w:cs="Arial" w:eastAsia="Arial" w:hAnsi="Arial"/>
          <w:sz w:val="19"/>
          <w:szCs w:val="19"/>
          <w:color w:val="auto"/>
          <w:vertAlign w:val="superscript"/>
        </w:rPr>
      </w:pPr>
      <w:r>
        <w:rPr>
          <w:rFonts w:ascii="Arial" w:cs="Arial" w:eastAsia="Arial" w:hAnsi="Arial"/>
          <w:sz w:val="12"/>
          <w:szCs w:val="12"/>
          <w:color w:val="auto"/>
        </w:rPr>
        <w:t>an unlimited US universal shelf (US shelf) registration.</w:t>
      </w:r>
    </w:p>
    <w:p>
      <w:pPr>
        <w:spacing w:after="0" w:line="179" w:lineRule="exact"/>
        <w:rPr>
          <w:sz w:val="20"/>
          <w:szCs w:val="20"/>
          <w:color w:val="auto"/>
        </w:rPr>
      </w:pPr>
    </w:p>
    <w:p>
      <w:pPr>
        <w:ind w:left="180" w:right="380"/>
        <w:spacing w:after="0" w:line="250" w:lineRule="auto"/>
        <w:rPr>
          <w:sz w:val="20"/>
          <w:szCs w:val="20"/>
          <w:color w:val="auto"/>
        </w:rPr>
      </w:pPr>
      <w:r>
        <w:rPr>
          <w:rFonts w:ascii="Arial" w:cs="Arial" w:eastAsia="Arial" w:hAnsi="Arial"/>
          <w:sz w:val="14"/>
          <w:szCs w:val="14"/>
          <w:color w:val="auto"/>
        </w:rPr>
        <w:t>All CP, EMTN and US shelf issuances have been undertaken by Shell International Finance B.V., the issuance company for Shell, with its debt being guaranteed by Royal Dutch Shell plc.</w:t>
      </w:r>
    </w:p>
    <w:p>
      <w:pPr>
        <w:spacing w:after="0" w:line="159" w:lineRule="exact"/>
        <w:rPr>
          <w:sz w:val="20"/>
          <w:szCs w:val="20"/>
          <w:color w:val="auto"/>
        </w:rPr>
      </w:pPr>
    </w:p>
    <w:p>
      <w:pPr>
        <w:ind w:left="180"/>
        <w:spacing w:after="0"/>
        <w:rPr>
          <w:sz w:val="20"/>
          <w:szCs w:val="20"/>
          <w:color w:val="auto"/>
        </w:rPr>
      </w:pPr>
      <w:r>
        <w:rPr>
          <w:rFonts w:ascii="Arial" w:cs="Arial" w:eastAsia="Arial" w:hAnsi="Arial"/>
          <w:sz w:val="14"/>
          <w:szCs w:val="14"/>
          <w:color w:val="auto"/>
        </w:rPr>
        <w:t>Further information is included in Note 14 to the “Consolidated Financial Statements”.</w:t>
      </w:r>
    </w:p>
    <w:p>
      <w:pPr>
        <w:spacing w:after="0" w:line="177" w:lineRule="exact"/>
        <w:rPr>
          <w:sz w:val="20"/>
          <w:szCs w:val="20"/>
          <w:color w:val="auto"/>
        </w:rPr>
      </w:pPr>
    </w:p>
    <w:p>
      <w:pPr>
        <w:ind w:left="180" w:right="160"/>
        <w:spacing w:after="0" w:line="245" w:lineRule="auto"/>
        <w:rPr>
          <w:sz w:val="20"/>
          <w:szCs w:val="20"/>
          <w:color w:val="auto"/>
        </w:rPr>
      </w:pPr>
      <w:r>
        <w:rPr>
          <w:rFonts w:ascii="Arial" w:cs="Arial" w:eastAsia="Arial" w:hAnsi="Arial"/>
          <w:sz w:val="14"/>
          <w:szCs w:val="14"/>
          <w:color w:val="auto"/>
        </w:rPr>
        <w:t>In 2014, we took advantage of relatively favourable market conditions in the European market (compared with the US market) and issued $6.4 billion of bonds under our EMTN programme, partly to pre-finance bond maturities in 2015. Periodically, for working capital purposes, we issued commercial paper (2013: we issued commercial paper and $7.75 billion of long-term bonds).</w:t>
      </w:r>
    </w:p>
    <w:p>
      <w:pPr>
        <w:spacing w:after="0" w:line="178" w:lineRule="exact"/>
        <w:rPr>
          <w:sz w:val="20"/>
          <w:szCs w:val="20"/>
          <w:color w:val="auto"/>
        </w:rPr>
      </w:pPr>
    </w:p>
    <w:p>
      <w:pPr>
        <w:ind w:left="180" w:right="300"/>
        <w:spacing w:after="0" w:line="245" w:lineRule="auto"/>
        <w:rPr>
          <w:sz w:val="20"/>
          <w:szCs w:val="20"/>
          <w:color w:val="auto"/>
        </w:rPr>
      </w:pPr>
      <w:r>
        <w:rPr>
          <w:rFonts w:ascii="Arial" w:cs="Arial" w:eastAsia="Arial" w:hAnsi="Arial"/>
          <w:sz w:val="14"/>
          <w:szCs w:val="14"/>
          <w:color w:val="auto"/>
        </w:rPr>
        <w:t>Our $7.48 billion committed credit facility and internally available liquidity provide back-up coverage for commercial paper. Other than certain borrowings in local subsidiaries, we do not have any other committed credit facilities. We consider additional facilities to be neither necessary nor cost-effective for financing purposes, given our size, credit rating and cash-generative nature.</w:t>
      </w:r>
    </w:p>
    <w:p>
      <w:pPr>
        <w:spacing w:after="0" w:line="164" w:lineRule="exact"/>
        <w:rPr>
          <w:sz w:val="20"/>
          <w:szCs w:val="20"/>
          <w:color w:val="auto"/>
        </w:rPr>
      </w:pPr>
    </w:p>
    <w:p>
      <w:pPr>
        <w:ind w:left="180" w:right="180"/>
        <w:spacing w:after="0" w:line="250" w:lineRule="auto"/>
        <w:rPr>
          <w:sz w:val="20"/>
          <w:szCs w:val="20"/>
          <w:color w:val="auto"/>
        </w:rPr>
      </w:pPr>
      <w:r>
        <w:rPr>
          <w:rFonts w:ascii="Arial" w:cs="Arial" w:eastAsia="Arial" w:hAnsi="Arial"/>
          <w:sz w:val="14"/>
          <w:szCs w:val="14"/>
          <w:color w:val="auto"/>
        </w:rPr>
        <w:t>The maturity profile of our outstanding commercial paper is actively managed in an effort to ensure that the amount of commercial paper maturing within 30 days remains consistent with the level of supporting liquidity.</w:t>
      </w:r>
    </w:p>
    <w:p>
      <w:pPr>
        <w:spacing w:after="0" w:line="159" w:lineRule="exact"/>
        <w:rPr>
          <w:sz w:val="20"/>
          <w:szCs w:val="20"/>
          <w:color w:val="auto"/>
        </w:rPr>
      </w:pPr>
    </w:p>
    <w:p>
      <w:pPr>
        <w:ind w:left="180" w:right="200"/>
        <w:spacing w:after="0" w:line="248" w:lineRule="auto"/>
        <w:rPr>
          <w:sz w:val="20"/>
          <w:szCs w:val="20"/>
          <w:color w:val="auto"/>
        </w:rPr>
      </w:pPr>
      <w:r>
        <w:rPr>
          <w:rFonts w:ascii="Arial" w:cs="Arial" w:eastAsia="Arial" w:hAnsi="Arial"/>
          <w:sz w:val="14"/>
          <w:szCs w:val="14"/>
          <w:color w:val="auto"/>
        </w:rPr>
        <w:t>While our subsidiaries are subject to restrictions, such as foreign withholding taxes on the transfer of funds in the form of cash dividends, loans or advances, such restrictions are not expected to have a material impact on our ability to meet our cash obligations.</w:t>
      </w:r>
    </w:p>
    <w:p>
      <w:pPr>
        <w:spacing w:after="0" w:line="338" w:lineRule="exact"/>
        <w:rPr>
          <w:sz w:val="20"/>
          <w:szCs w:val="20"/>
          <w:color w:val="auto"/>
        </w:rPr>
      </w:pPr>
    </w:p>
    <w:p>
      <w:pPr>
        <w:ind w:left="180" w:right="520"/>
        <w:spacing w:after="0" w:line="258" w:lineRule="auto"/>
        <w:rPr>
          <w:sz w:val="20"/>
          <w:szCs w:val="20"/>
          <w:color w:val="auto"/>
        </w:rPr>
      </w:pPr>
      <w:r>
        <w:rPr>
          <w:rFonts w:ascii="Arial" w:cs="Arial" w:eastAsia="Arial" w:hAnsi="Arial"/>
          <w:sz w:val="14"/>
          <w:szCs w:val="14"/>
          <w:color w:val="auto"/>
        </w:rPr>
        <w:t>The consolidated ratio of earnings to fixed charges of Shell for each of five years ended December 31, 2010-2014, is as follows:</w:t>
      </w:r>
    </w:p>
    <w:p>
      <w:pPr>
        <w:spacing w:after="0" w:line="222" w:lineRule="exact"/>
        <w:rPr>
          <w:sz w:val="20"/>
          <w:szCs w:val="20"/>
          <w:color w:val="auto"/>
        </w:rPr>
      </w:pPr>
    </w:p>
    <w:p>
      <w:pPr>
        <w:ind w:left="240"/>
        <w:spacing w:after="0"/>
        <w:rPr>
          <w:sz w:val="20"/>
          <w:szCs w:val="20"/>
          <w:color w:val="auto"/>
        </w:rPr>
      </w:pPr>
      <w:r>
        <w:rPr>
          <w:rFonts w:ascii="Arial" w:cs="Arial" w:eastAsia="Arial" w:hAnsi="Arial"/>
          <w:sz w:val="15"/>
          <w:szCs w:val="15"/>
          <w:b w:val="1"/>
          <w:bCs w:val="1"/>
          <w:color w:val="FFFFFF"/>
        </w:rPr>
        <w:t>RATIO OF EARNINGS TO FIXED CHARGES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119380</wp:posOffset>
            </wp:positionH>
            <wp:positionV relativeFrom="paragraph">
              <wp:posOffset>-95250</wp:posOffset>
            </wp:positionV>
            <wp:extent cx="3473450" cy="10287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3473450" cy="102870"/>
                    </a:xfrm>
                    <a:prstGeom prst="rect">
                      <a:avLst/>
                    </a:prstGeom>
                    <a:noFill/>
                  </pic:spPr>
                </pic:pic>
              </a:graphicData>
            </a:graphic>
          </wp:anchor>
        </w:drawing>
      </w:r>
    </w:p>
    <w:tbl>
      <w:tblPr>
        <w:tblLayout w:type="fixed"/>
        <w:tblInd w:w="180" w:type="dxa"/>
        <w:tblCellMar>
          <w:top w:w="0" w:type="dxa"/>
          <w:left w:w="0" w:type="dxa"/>
          <w:bottom w:w="0" w:type="dxa"/>
          <w:right w:w="0" w:type="dxa"/>
        </w:tblCellMar>
      </w:tblPr>
      <w:tr>
        <w:trPr>
          <w:trHeight w:val="149"/>
        </w:trPr>
        <w:tc>
          <w:tcPr>
            <w:tcW w:w="212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shd w:val="clear" w:color="auto" w:fill="D8D8D8"/>
          </w:tcPr>
          <w:p>
            <w:pPr>
              <w:jc w:val="right"/>
              <w:ind w:right="53"/>
              <w:spacing w:after="0"/>
              <w:rPr>
                <w:sz w:val="20"/>
                <w:szCs w:val="20"/>
                <w:color w:val="auto"/>
              </w:rPr>
            </w:pPr>
            <w:r>
              <w:rPr>
                <w:rFonts w:ascii="Arial" w:cs="Arial" w:eastAsia="Arial" w:hAnsi="Arial"/>
                <w:sz w:val="13"/>
                <w:szCs w:val="13"/>
                <w:color w:val="auto"/>
              </w:rPr>
              <w:t>2014</w:t>
            </w:r>
          </w:p>
        </w:tc>
        <w:tc>
          <w:tcPr>
            <w:tcW w:w="640" w:type="dxa"/>
            <w:vAlign w:val="bottom"/>
            <w:tcBorders>
              <w:bottom w:val="single" w:sz="8" w:color="auto"/>
            </w:tcBorders>
          </w:tcPr>
          <w:p>
            <w:pPr>
              <w:jc w:val="right"/>
              <w:ind w:right="73"/>
              <w:spacing w:after="0"/>
              <w:rPr>
                <w:sz w:val="20"/>
                <w:szCs w:val="20"/>
                <w:color w:val="auto"/>
              </w:rPr>
            </w:pPr>
            <w:r>
              <w:rPr>
                <w:rFonts w:ascii="Arial" w:cs="Arial" w:eastAsia="Arial" w:hAnsi="Arial"/>
                <w:sz w:val="13"/>
                <w:szCs w:val="13"/>
                <w:color w:val="auto"/>
              </w:rPr>
              <w:t>2013</w:t>
            </w:r>
          </w:p>
        </w:tc>
        <w:tc>
          <w:tcPr>
            <w:tcW w:w="620" w:type="dxa"/>
            <w:vAlign w:val="bottom"/>
            <w:tcBorders>
              <w:bottom w:val="single" w:sz="8" w:color="auto"/>
            </w:tcBorders>
          </w:tcPr>
          <w:p>
            <w:pPr>
              <w:jc w:val="right"/>
              <w:ind w:right="73"/>
              <w:spacing w:after="0"/>
              <w:rPr>
                <w:sz w:val="20"/>
                <w:szCs w:val="20"/>
                <w:color w:val="auto"/>
              </w:rPr>
            </w:pPr>
            <w:r>
              <w:rPr>
                <w:rFonts w:ascii="Arial" w:cs="Arial" w:eastAsia="Arial" w:hAnsi="Arial"/>
                <w:sz w:val="13"/>
                <w:szCs w:val="13"/>
                <w:color w:val="auto"/>
              </w:rPr>
              <w:t>2012</w:t>
            </w:r>
          </w:p>
        </w:tc>
        <w:tc>
          <w:tcPr>
            <w:tcW w:w="700" w:type="dxa"/>
            <w:vAlign w:val="bottom"/>
            <w:tcBorders>
              <w:bottom w:val="single" w:sz="8" w:color="auto"/>
            </w:tcBorders>
          </w:tcPr>
          <w:p>
            <w:pPr>
              <w:jc w:val="right"/>
              <w:ind w:right="153"/>
              <w:spacing w:after="0"/>
              <w:rPr>
                <w:sz w:val="20"/>
                <w:szCs w:val="20"/>
                <w:color w:val="auto"/>
              </w:rPr>
            </w:pPr>
            <w:r>
              <w:rPr>
                <w:rFonts w:ascii="Arial" w:cs="Arial" w:eastAsia="Arial" w:hAnsi="Arial"/>
                <w:sz w:val="13"/>
                <w:szCs w:val="13"/>
                <w:color w:val="auto"/>
              </w:rPr>
              <w:t>2011</w:t>
            </w:r>
          </w:p>
        </w:tc>
        <w:tc>
          <w:tcPr>
            <w:tcW w:w="780" w:type="dxa"/>
            <w:vAlign w:val="bottom"/>
            <w:tcBorders>
              <w:bottom w:val="single" w:sz="8" w:color="auto"/>
            </w:tcBorders>
          </w:tcPr>
          <w:p>
            <w:pPr>
              <w:jc w:val="right"/>
              <w:ind w:right="133"/>
              <w:spacing w:after="0"/>
              <w:rPr>
                <w:sz w:val="20"/>
                <w:szCs w:val="20"/>
                <w:color w:val="auto"/>
              </w:rPr>
            </w:pPr>
            <w:r>
              <w:rPr>
                <w:rFonts w:ascii="Arial" w:cs="Arial" w:eastAsia="Arial" w:hAnsi="Arial"/>
                <w:sz w:val="13"/>
                <w:szCs w:val="13"/>
                <w:color w:val="auto"/>
              </w:rPr>
              <w:t>2010</w:t>
            </w:r>
          </w:p>
        </w:tc>
      </w:tr>
      <w:tr>
        <w:trPr>
          <w:trHeight w:val="160"/>
        </w:trPr>
        <w:tc>
          <w:tcPr>
            <w:tcW w:w="2120" w:type="dxa"/>
            <w:vAlign w:val="bottom"/>
          </w:tcPr>
          <w:p>
            <w:pPr>
              <w:spacing w:after="0"/>
              <w:rPr>
                <w:sz w:val="20"/>
                <w:szCs w:val="20"/>
                <w:color w:val="auto"/>
              </w:rPr>
            </w:pPr>
            <w:r>
              <w:rPr>
                <w:rFonts w:ascii="Arial" w:cs="Arial" w:eastAsia="Arial" w:hAnsi="Arial"/>
                <w:sz w:val="14"/>
                <w:szCs w:val="14"/>
                <w:color w:val="auto"/>
              </w:rPr>
              <w:t>Ratio of earnings to fixed</w:t>
            </w:r>
          </w:p>
        </w:tc>
        <w:tc>
          <w:tcPr>
            <w:tcW w:w="620" w:type="dxa"/>
            <w:vAlign w:val="bottom"/>
            <w:shd w:val="clear" w:color="auto" w:fill="D8D8D8"/>
          </w:tcPr>
          <w:p>
            <w:pPr>
              <w:spacing w:after="0"/>
              <w:rPr>
                <w:sz w:val="13"/>
                <w:szCs w:val="13"/>
                <w:color w:val="auto"/>
              </w:rPr>
            </w:pPr>
          </w:p>
        </w:tc>
        <w:tc>
          <w:tcPr>
            <w:tcW w:w="6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r>
      <w:tr>
        <w:trPr>
          <w:trHeight w:val="157"/>
        </w:trPr>
        <w:tc>
          <w:tcPr>
            <w:tcW w:w="2120" w:type="dxa"/>
            <w:vAlign w:val="bottom"/>
            <w:tcBorders>
              <w:bottom w:val="single" w:sz="8" w:color="auto"/>
            </w:tcBorders>
          </w:tcPr>
          <w:p>
            <w:pPr>
              <w:ind w:left="140"/>
              <w:spacing w:after="0" w:line="157" w:lineRule="exact"/>
              <w:rPr>
                <w:sz w:val="20"/>
                <w:szCs w:val="20"/>
                <w:color w:val="auto"/>
              </w:rPr>
            </w:pPr>
            <w:r>
              <w:rPr>
                <w:rFonts w:ascii="Arial" w:cs="Arial" w:eastAsia="Arial" w:hAnsi="Arial"/>
                <w:sz w:val="14"/>
                <w:szCs w:val="14"/>
                <w:color w:val="auto"/>
              </w:rPr>
              <w:t>charges</w:t>
            </w:r>
          </w:p>
        </w:tc>
        <w:tc>
          <w:tcPr>
            <w:tcW w:w="620" w:type="dxa"/>
            <w:vAlign w:val="bottom"/>
            <w:tcBorders>
              <w:bottom w:val="single" w:sz="8" w:color="auto"/>
            </w:tcBorders>
            <w:shd w:val="clear" w:color="auto" w:fill="D8D8D8"/>
          </w:tcPr>
          <w:p>
            <w:pPr>
              <w:jc w:val="right"/>
              <w:ind w:right="53"/>
              <w:spacing w:after="0" w:line="157" w:lineRule="exact"/>
              <w:rPr>
                <w:sz w:val="20"/>
                <w:szCs w:val="20"/>
                <w:color w:val="auto"/>
              </w:rPr>
            </w:pPr>
            <w:r>
              <w:rPr>
                <w:rFonts w:ascii="Arial" w:cs="Arial" w:eastAsia="Arial" w:hAnsi="Arial"/>
                <w:sz w:val="14"/>
                <w:szCs w:val="14"/>
                <w:color w:val="auto"/>
              </w:rPr>
              <w:t>14.41</w:t>
            </w:r>
          </w:p>
        </w:tc>
        <w:tc>
          <w:tcPr>
            <w:tcW w:w="640" w:type="dxa"/>
            <w:vAlign w:val="bottom"/>
            <w:tcBorders>
              <w:bottom w:val="single" w:sz="8" w:color="auto"/>
            </w:tcBorders>
          </w:tcPr>
          <w:p>
            <w:pPr>
              <w:jc w:val="right"/>
              <w:ind w:right="73"/>
              <w:spacing w:after="0" w:line="157" w:lineRule="exact"/>
              <w:rPr>
                <w:sz w:val="20"/>
                <w:szCs w:val="20"/>
                <w:color w:val="auto"/>
              </w:rPr>
            </w:pPr>
            <w:r>
              <w:rPr>
                <w:rFonts w:ascii="Arial" w:cs="Arial" w:eastAsia="Arial" w:hAnsi="Arial"/>
                <w:sz w:val="14"/>
                <w:szCs w:val="14"/>
                <w:color w:val="auto"/>
              </w:rPr>
              <w:t>20.11</w:t>
            </w:r>
          </w:p>
        </w:tc>
        <w:tc>
          <w:tcPr>
            <w:tcW w:w="620" w:type="dxa"/>
            <w:vAlign w:val="bottom"/>
            <w:tcBorders>
              <w:bottom w:val="single" w:sz="8" w:color="auto"/>
            </w:tcBorders>
          </w:tcPr>
          <w:p>
            <w:pPr>
              <w:jc w:val="right"/>
              <w:ind w:right="73"/>
              <w:spacing w:after="0" w:line="157" w:lineRule="exact"/>
              <w:rPr>
                <w:sz w:val="20"/>
                <w:szCs w:val="20"/>
                <w:color w:val="auto"/>
              </w:rPr>
            </w:pPr>
            <w:r>
              <w:rPr>
                <w:rFonts w:ascii="Arial" w:cs="Arial" w:eastAsia="Arial" w:hAnsi="Arial"/>
                <w:sz w:val="14"/>
                <w:szCs w:val="14"/>
                <w:color w:val="auto"/>
              </w:rPr>
              <w:t>31.12</w:t>
            </w:r>
          </w:p>
        </w:tc>
        <w:tc>
          <w:tcPr>
            <w:tcW w:w="700" w:type="dxa"/>
            <w:vAlign w:val="bottom"/>
            <w:tcBorders>
              <w:bottom w:val="single" w:sz="8" w:color="auto"/>
            </w:tcBorders>
          </w:tcPr>
          <w:p>
            <w:pPr>
              <w:jc w:val="right"/>
              <w:ind w:right="153"/>
              <w:spacing w:after="0" w:line="157" w:lineRule="exact"/>
              <w:rPr>
                <w:sz w:val="20"/>
                <w:szCs w:val="20"/>
                <w:color w:val="auto"/>
              </w:rPr>
            </w:pPr>
            <w:r>
              <w:rPr>
                <w:rFonts w:ascii="Arial" w:cs="Arial" w:eastAsia="Arial" w:hAnsi="Arial"/>
                <w:sz w:val="14"/>
                <w:szCs w:val="14"/>
                <w:color w:val="auto"/>
              </w:rPr>
              <w:t>35.71</w:t>
            </w:r>
          </w:p>
        </w:tc>
        <w:tc>
          <w:tcPr>
            <w:tcW w:w="780" w:type="dxa"/>
            <w:vAlign w:val="bottom"/>
            <w:tcBorders>
              <w:bottom w:val="single" w:sz="8" w:color="auto"/>
            </w:tcBorders>
          </w:tcPr>
          <w:p>
            <w:pPr>
              <w:jc w:val="right"/>
              <w:ind w:right="133"/>
              <w:spacing w:after="0" w:line="157" w:lineRule="exact"/>
              <w:rPr>
                <w:sz w:val="20"/>
                <w:szCs w:val="20"/>
                <w:color w:val="auto"/>
              </w:rPr>
            </w:pPr>
            <w:r>
              <w:rPr>
                <w:rFonts w:ascii="Arial" w:cs="Arial" w:eastAsia="Arial" w:hAnsi="Arial"/>
                <w:sz w:val="14"/>
                <w:szCs w:val="14"/>
                <w:color w:val="auto"/>
              </w:rPr>
              <w:t>21.75</w:t>
            </w:r>
          </w:p>
        </w:tc>
      </w:tr>
    </w:tbl>
    <w:p>
      <w:pPr>
        <w:spacing w:after="0" w:line="180" w:lineRule="exact"/>
        <w:rPr>
          <w:sz w:val="20"/>
          <w:szCs w:val="20"/>
          <w:color w:val="auto"/>
        </w:rPr>
      </w:pPr>
    </w:p>
    <w:p>
      <w:pPr>
        <w:ind w:left="180" w:right="180"/>
        <w:spacing w:after="0" w:line="244" w:lineRule="auto"/>
        <w:rPr>
          <w:sz w:val="20"/>
          <w:szCs w:val="20"/>
          <w:color w:val="auto"/>
        </w:rPr>
      </w:pPr>
      <w:r>
        <w:rPr>
          <w:rFonts w:ascii="Arial" w:cs="Arial" w:eastAsia="Arial" w:hAnsi="Arial"/>
          <w:sz w:val="14"/>
          <w:szCs w:val="14"/>
          <w:color w:val="auto"/>
        </w:rPr>
        <w:t>For the purposes of the table above, earnings consist of pre-tax income from continuing operations (before adjustment for non-controlling interest) plus fixed charges (excluding capitalised interest) less undistributed income of joint ventures and associates. Fixed charges consist of expensed and capitalised interest (excluding accretion expense) plus interest within rental expenses (for operating leases). Refer to “Exhibit 7.1” regarding the calculation of the ratio of earnings to fixed charges.</w:t>
      </w:r>
    </w:p>
    <w:p>
      <w:pPr>
        <w:sectPr>
          <w:pgSz w:w="11900" w:h="16838" w:orient="portrait"/>
          <w:cols w:equalWidth="0" w:num="2">
            <w:col w:w="5480" w:space="120"/>
            <w:col w:w="5820"/>
          </w:cols>
          <w:pgMar w:left="240" w:top="459" w:right="239" w:bottom="1440" w:gutter="0" w:footer="0" w:header="0"/>
          <w:type w:val="continuous"/>
        </w:sectPr>
      </w:pPr>
    </w:p>
    <w:bookmarkStart w:id="51" w:name="page52"/>
    <w:bookmarkEnd w:id="51"/>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314960</wp:posOffset>
            </wp:positionV>
            <wp:extent cx="3490595" cy="46291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3490595" cy="462915"/>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p>
      <w:pPr>
        <w:spacing w:after="0" w:line="200" w:lineRule="exact"/>
        <w:rPr>
          <w:sz w:val="20"/>
          <w:szCs w:val="20"/>
          <w:color w:val="auto"/>
        </w:rPr>
      </w:pP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419"/>
        </w:trPr>
        <w:tc>
          <w:tcPr>
            <w:tcW w:w="1920" w:type="dxa"/>
            <w:vAlign w:val="bottom"/>
            <w:shd w:val="clear" w:color="auto" w:fill="FF8B00"/>
          </w:tcPr>
          <w:p>
            <w:pPr>
              <w:spacing w:after="0"/>
              <w:rPr>
                <w:sz w:val="24"/>
                <w:szCs w:val="24"/>
                <w:color w:val="auto"/>
              </w:rPr>
            </w:pPr>
          </w:p>
        </w:tc>
        <w:tc>
          <w:tcPr>
            <w:tcW w:w="3580" w:type="dxa"/>
            <w:vAlign w:val="bottom"/>
            <w:shd w:val="clear" w:color="auto" w:fill="FF8B00"/>
          </w:tcPr>
          <w:p>
            <w:pPr>
              <w:spacing w:after="0"/>
              <w:rPr>
                <w:sz w:val="24"/>
                <w:szCs w:val="24"/>
                <w:color w:val="auto"/>
              </w:rPr>
            </w:pPr>
          </w:p>
        </w:tc>
      </w:tr>
      <w:tr>
        <w:trPr>
          <w:trHeight w:val="152"/>
        </w:trPr>
        <w:tc>
          <w:tcPr>
            <w:tcW w:w="1920" w:type="dxa"/>
            <w:vAlign w:val="bottom"/>
          </w:tcPr>
          <w:p>
            <w:pPr>
              <w:jc w:val="right"/>
              <w:ind w:right="1486"/>
              <w:spacing w:after="0"/>
              <w:rPr>
                <w:sz w:val="20"/>
                <w:szCs w:val="20"/>
                <w:color w:val="auto"/>
              </w:rPr>
            </w:pPr>
            <w:r>
              <w:rPr>
                <w:rFonts w:ascii="Arial" w:cs="Arial" w:eastAsia="Arial" w:hAnsi="Arial"/>
                <w:sz w:val="11"/>
                <w:szCs w:val="11"/>
                <w:b w:val="1"/>
                <w:bCs w:val="1"/>
                <w:color w:val="333333"/>
              </w:rPr>
              <w:t>50</w:t>
            </w:r>
          </w:p>
        </w:tc>
        <w:tc>
          <w:tcPr>
            <w:tcW w:w="3580" w:type="dxa"/>
            <w:vAlign w:val="bottom"/>
          </w:tcPr>
          <w:p>
            <w:pPr>
              <w:ind w:left="1540"/>
              <w:spacing w:after="0"/>
              <w:rPr>
                <w:sz w:val="20"/>
                <w:szCs w:val="20"/>
                <w:color w:val="auto"/>
              </w:rPr>
            </w:pPr>
            <w:r>
              <w:rPr>
                <w:rFonts w:ascii="Arial" w:cs="Arial" w:eastAsia="Arial" w:hAnsi="Arial"/>
                <w:sz w:val="13"/>
                <w:szCs w:val="13"/>
                <w:color w:val="333333"/>
              </w:rPr>
              <w:t>STRATEGIC REPORT</w:t>
            </w:r>
          </w:p>
        </w:tc>
      </w:tr>
    </w:tbl>
    <w:p>
      <w:pPr>
        <w:spacing w:after="0" w:line="155" w:lineRule="exact"/>
        <w:rPr>
          <w:sz w:val="20"/>
          <w:szCs w:val="20"/>
          <w:color w:val="auto"/>
        </w:rPr>
      </w:pPr>
    </w:p>
    <w:p>
      <w:pPr>
        <w:ind w:left="2760"/>
        <w:spacing w:after="0"/>
        <w:rPr>
          <w:sz w:val="20"/>
          <w:szCs w:val="20"/>
          <w:color w:val="auto"/>
        </w:rPr>
      </w:pPr>
      <w:r>
        <w:rPr>
          <w:rFonts w:ascii="Arial" w:cs="Arial" w:eastAsia="Arial" w:hAnsi="Arial"/>
          <w:sz w:val="11"/>
          <w:szCs w:val="11"/>
          <w:color w:val="auto"/>
        </w:rPr>
        <w:t>LIQUIDITY AND CAPITAL RESOURCES</w:t>
      </w:r>
    </w:p>
    <w:p>
      <w:pPr>
        <w:spacing w:after="0" w:line="48" w:lineRule="exact"/>
        <w:rPr>
          <w:sz w:val="20"/>
          <w:szCs w:val="20"/>
          <w:color w:val="auto"/>
        </w:rPr>
      </w:pPr>
    </w:p>
    <w:p>
      <w:pPr>
        <w:spacing w:after="0"/>
        <w:rPr>
          <w:sz w:val="20"/>
          <w:szCs w:val="20"/>
          <w:color w:val="auto"/>
        </w:rPr>
      </w:pPr>
      <w:r>
        <w:rPr>
          <w:rFonts w:ascii="Arial" w:cs="Arial" w:eastAsia="Arial" w:hAnsi="Arial"/>
          <w:sz w:val="24"/>
          <w:szCs w:val="24"/>
          <w:color w:val="auto"/>
        </w:rPr>
        <w:t>LIQUIDITY AND</w:t>
      </w:r>
    </w:p>
    <w:p>
      <w:pPr>
        <w:spacing w:after="0" w:line="8" w:lineRule="exact"/>
        <w:rPr>
          <w:sz w:val="20"/>
          <w:szCs w:val="20"/>
          <w:color w:val="auto"/>
        </w:rPr>
      </w:pPr>
    </w:p>
    <w:p>
      <w:pPr>
        <w:spacing w:after="0"/>
        <w:rPr>
          <w:sz w:val="20"/>
          <w:szCs w:val="20"/>
          <w:color w:val="auto"/>
        </w:rPr>
      </w:pPr>
      <w:r>
        <w:rPr>
          <w:rFonts w:ascii="Arial" w:cs="Arial" w:eastAsia="Arial" w:hAnsi="Arial"/>
          <w:sz w:val="24"/>
          <w:szCs w:val="24"/>
          <w:color w:val="auto"/>
        </w:rPr>
        <w:t>CAPITAL</w:t>
      </w:r>
    </w:p>
    <w:p>
      <w:pPr>
        <w:spacing w:after="0" w:line="8" w:lineRule="exact"/>
        <w:rPr>
          <w:sz w:val="20"/>
          <w:szCs w:val="20"/>
          <w:color w:val="auto"/>
        </w:rPr>
      </w:pPr>
    </w:p>
    <w:p>
      <w:pPr>
        <w:spacing w:after="0"/>
        <w:rPr>
          <w:sz w:val="20"/>
          <w:szCs w:val="20"/>
          <w:color w:val="auto"/>
        </w:rPr>
      </w:pPr>
      <w:r>
        <w:rPr>
          <w:rFonts w:ascii="Arial" w:cs="Arial" w:eastAsia="Arial" w:hAnsi="Arial"/>
          <w:sz w:val="24"/>
          <w:szCs w:val="24"/>
          <w:color w:val="auto"/>
        </w:rPr>
        <w:t>RESOURCES</w:t>
      </w:r>
    </w:p>
    <w:p>
      <w:pPr>
        <w:spacing w:after="0" w:line="8" w:lineRule="exact"/>
        <w:rPr>
          <w:sz w:val="20"/>
          <w:szCs w:val="20"/>
          <w:color w:val="auto"/>
        </w:rPr>
      </w:pPr>
    </w:p>
    <w:p>
      <w:pPr>
        <w:spacing w:after="0"/>
        <w:rPr>
          <w:sz w:val="20"/>
          <w:szCs w:val="20"/>
          <w:color w:val="auto"/>
        </w:rPr>
      </w:pPr>
      <w:r>
        <w:rPr>
          <w:rFonts w:ascii="Arial" w:cs="Arial" w:eastAsia="Arial" w:hAnsi="Arial"/>
          <w:sz w:val="24"/>
          <w:szCs w:val="24"/>
          <w:color w:val="666666"/>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1612265"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1612265" cy="8890"/>
                    </a:xfrm>
                    <a:prstGeom prst="rect">
                      <a:avLst/>
                    </a:prstGeom>
                    <a:noFill/>
                  </pic:spPr>
                </pic:pic>
              </a:graphicData>
            </a:graphic>
          </wp:anchor>
        </w:drawing>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880" w:type="dxa"/>
            <w:vAlign w:val="bottom"/>
            <w:shd w:val="clear" w:color="auto" w:fill="333333"/>
          </w:tcPr>
          <w:p>
            <w:pPr>
              <w:ind w:left="80"/>
              <w:spacing w:after="0"/>
              <w:rPr>
                <w:sz w:val="20"/>
                <w:szCs w:val="20"/>
                <w:color w:val="auto"/>
              </w:rPr>
            </w:pPr>
            <w:r>
              <w:rPr>
                <w:rFonts w:ascii="Arial" w:cs="Arial" w:eastAsia="Arial" w:hAnsi="Arial"/>
                <w:sz w:val="15"/>
                <w:szCs w:val="15"/>
                <w:b w:val="1"/>
                <w:bCs w:val="1"/>
                <w:color w:val="FFFFFF"/>
              </w:rPr>
              <w:t>CAPITALISATION TABLE</w:t>
            </w:r>
          </w:p>
        </w:tc>
        <w:tc>
          <w:tcPr>
            <w:tcW w:w="1180" w:type="dxa"/>
            <w:vAlign w:val="bottom"/>
            <w:shd w:val="clear" w:color="auto" w:fill="333333"/>
          </w:tcPr>
          <w:p>
            <w:pPr>
              <w:spacing w:after="0"/>
              <w:rPr>
                <w:sz w:val="14"/>
                <w:szCs w:val="14"/>
                <w:color w:val="auto"/>
              </w:rPr>
            </w:pPr>
          </w:p>
        </w:tc>
        <w:tc>
          <w:tcPr>
            <w:tcW w:w="1420" w:type="dxa"/>
            <w:vAlign w:val="bottom"/>
            <w:shd w:val="clear" w:color="auto" w:fill="333333"/>
          </w:tcPr>
          <w:p>
            <w:pPr>
              <w:jc w:val="right"/>
              <w:ind w:right="29"/>
              <w:spacing w:after="0"/>
              <w:rPr>
                <w:sz w:val="20"/>
                <w:szCs w:val="20"/>
                <w:color w:val="auto"/>
              </w:rPr>
            </w:pPr>
            <w:r>
              <w:rPr>
                <w:rFonts w:ascii="Arial" w:cs="Arial" w:eastAsia="Arial" w:hAnsi="Arial"/>
                <w:sz w:val="15"/>
                <w:szCs w:val="15"/>
                <w:color w:val="FFFFFF"/>
              </w:rPr>
              <w:t>$ MILLION</w:t>
            </w:r>
          </w:p>
        </w:tc>
      </w:tr>
      <w:tr>
        <w:trPr>
          <w:trHeight w:val="135"/>
        </w:trPr>
        <w:tc>
          <w:tcPr>
            <w:tcW w:w="2880" w:type="dxa"/>
            <w:vAlign w:val="bottom"/>
            <w:tcBorders>
              <w:bottom w:val="single" w:sz="8" w:color="auto"/>
            </w:tcBorders>
          </w:tcPr>
          <w:p>
            <w:pPr>
              <w:spacing w:after="0"/>
              <w:rPr>
                <w:sz w:val="11"/>
                <w:szCs w:val="11"/>
                <w:color w:val="auto"/>
              </w:rPr>
            </w:pPr>
          </w:p>
        </w:tc>
        <w:tc>
          <w:tcPr>
            <w:tcW w:w="1180" w:type="dxa"/>
            <w:vAlign w:val="bottom"/>
            <w:tcBorders>
              <w:bottom w:val="single" w:sz="8" w:color="auto"/>
            </w:tcBorders>
            <w:shd w:val="clear" w:color="auto" w:fill="D8D8D8"/>
          </w:tcPr>
          <w:p>
            <w:pPr>
              <w:jc w:val="right"/>
              <w:ind w:right="150"/>
              <w:spacing w:after="0" w:line="135" w:lineRule="exact"/>
              <w:rPr>
                <w:sz w:val="20"/>
                <w:szCs w:val="20"/>
                <w:color w:val="auto"/>
              </w:rPr>
            </w:pPr>
            <w:r>
              <w:rPr>
                <w:rFonts w:ascii="Arial" w:cs="Arial" w:eastAsia="Arial" w:hAnsi="Arial"/>
                <w:sz w:val="13"/>
                <w:szCs w:val="13"/>
                <w:color w:val="auto"/>
              </w:rPr>
              <w:t>Dec 31, 2014</w:t>
            </w:r>
          </w:p>
        </w:tc>
        <w:tc>
          <w:tcPr>
            <w:tcW w:w="1420" w:type="dxa"/>
            <w:vAlign w:val="bottom"/>
            <w:tcBorders>
              <w:bottom w:val="single" w:sz="8" w:color="auto"/>
            </w:tcBorders>
          </w:tcPr>
          <w:p>
            <w:pPr>
              <w:jc w:val="right"/>
              <w:ind w:right="29"/>
              <w:spacing w:after="0" w:line="135" w:lineRule="exact"/>
              <w:rPr>
                <w:sz w:val="20"/>
                <w:szCs w:val="20"/>
                <w:color w:val="auto"/>
              </w:rPr>
            </w:pPr>
            <w:r>
              <w:rPr>
                <w:rFonts w:ascii="Arial" w:cs="Arial" w:eastAsia="Arial" w:hAnsi="Arial"/>
                <w:sz w:val="13"/>
                <w:szCs w:val="13"/>
                <w:color w:val="auto"/>
              </w:rPr>
              <w:t>Dec 31, 2013</w:t>
            </w:r>
          </w:p>
        </w:tc>
      </w:tr>
      <w:tr>
        <w:trPr>
          <w:trHeight w:val="160"/>
        </w:trPr>
        <w:tc>
          <w:tcPr>
            <w:tcW w:w="2880" w:type="dxa"/>
            <w:vAlign w:val="bottom"/>
          </w:tcPr>
          <w:p>
            <w:pPr>
              <w:ind w:left="20"/>
              <w:spacing w:after="0"/>
              <w:rPr>
                <w:sz w:val="20"/>
                <w:szCs w:val="20"/>
                <w:color w:val="auto"/>
              </w:rPr>
            </w:pPr>
            <w:r>
              <w:rPr>
                <w:rFonts w:ascii="Arial" w:cs="Arial" w:eastAsia="Arial" w:hAnsi="Arial"/>
                <w:sz w:val="14"/>
                <w:szCs w:val="14"/>
                <w:color w:val="auto"/>
              </w:rPr>
              <w:t>Equity attributable to Royal Dutch Shell plc</w:t>
            </w:r>
          </w:p>
        </w:tc>
        <w:tc>
          <w:tcPr>
            <w:tcW w:w="1180" w:type="dxa"/>
            <w:vAlign w:val="bottom"/>
            <w:shd w:val="clear" w:color="auto" w:fill="D8D8D8"/>
          </w:tcPr>
          <w:p>
            <w:pPr>
              <w:spacing w:after="0"/>
              <w:rPr>
                <w:sz w:val="13"/>
                <w:szCs w:val="13"/>
                <w:color w:val="auto"/>
              </w:rPr>
            </w:pPr>
          </w:p>
        </w:tc>
        <w:tc>
          <w:tcPr>
            <w:tcW w:w="1420" w:type="dxa"/>
            <w:vAlign w:val="bottom"/>
          </w:tcPr>
          <w:p>
            <w:pPr>
              <w:spacing w:after="0"/>
              <w:rPr>
                <w:sz w:val="13"/>
                <w:szCs w:val="13"/>
                <w:color w:val="auto"/>
              </w:rPr>
            </w:pPr>
          </w:p>
        </w:tc>
      </w:tr>
      <w:tr>
        <w:trPr>
          <w:trHeight w:val="157"/>
        </w:trPr>
        <w:tc>
          <w:tcPr>
            <w:tcW w:w="2880" w:type="dxa"/>
            <w:vAlign w:val="bottom"/>
          </w:tcPr>
          <w:p>
            <w:pPr>
              <w:ind w:left="160"/>
              <w:spacing w:after="0" w:line="157" w:lineRule="exact"/>
              <w:rPr>
                <w:sz w:val="20"/>
                <w:szCs w:val="20"/>
                <w:color w:val="auto"/>
              </w:rPr>
            </w:pPr>
            <w:r>
              <w:rPr>
                <w:rFonts w:ascii="Arial" w:cs="Arial" w:eastAsia="Arial" w:hAnsi="Arial"/>
                <w:sz w:val="14"/>
                <w:szCs w:val="14"/>
                <w:color w:val="auto"/>
              </w:rPr>
              <w:t>shareholders</w:t>
            </w:r>
          </w:p>
        </w:tc>
        <w:tc>
          <w:tcPr>
            <w:tcW w:w="1180" w:type="dxa"/>
            <w:vAlign w:val="bottom"/>
            <w:shd w:val="clear" w:color="auto" w:fill="D8D8D8"/>
          </w:tcPr>
          <w:p>
            <w:pPr>
              <w:jc w:val="right"/>
              <w:ind w:right="150"/>
              <w:spacing w:after="0" w:line="157" w:lineRule="exact"/>
              <w:rPr>
                <w:sz w:val="20"/>
                <w:szCs w:val="20"/>
                <w:color w:val="auto"/>
              </w:rPr>
            </w:pPr>
            <w:r>
              <w:rPr>
                <w:rFonts w:ascii="Arial" w:cs="Arial" w:eastAsia="Arial" w:hAnsi="Arial"/>
                <w:sz w:val="14"/>
                <w:szCs w:val="14"/>
                <w:color w:val="auto"/>
              </w:rPr>
              <w:t>171,966</w:t>
            </w:r>
          </w:p>
        </w:tc>
        <w:tc>
          <w:tcPr>
            <w:tcW w:w="1420" w:type="dxa"/>
            <w:vAlign w:val="bottom"/>
          </w:tcPr>
          <w:p>
            <w:pPr>
              <w:jc w:val="right"/>
              <w:ind w:right="29"/>
              <w:spacing w:after="0" w:line="157" w:lineRule="exact"/>
              <w:rPr>
                <w:sz w:val="20"/>
                <w:szCs w:val="20"/>
                <w:color w:val="auto"/>
              </w:rPr>
            </w:pPr>
            <w:r>
              <w:rPr>
                <w:rFonts w:ascii="Arial" w:cs="Arial" w:eastAsia="Arial" w:hAnsi="Arial"/>
                <w:sz w:val="14"/>
                <w:szCs w:val="14"/>
                <w:color w:val="auto"/>
              </w:rPr>
              <w:t>180,047</w:t>
            </w:r>
          </w:p>
        </w:tc>
      </w:tr>
      <w:tr>
        <w:trPr>
          <w:trHeight w:val="162"/>
        </w:trPr>
        <w:tc>
          <w:tcPr>
            <w:tcW w:w="2880" w:type="dxa"/>
            <w:vAlign w:val="bottom"/>
          </w:tcPr>
          <w:p>
            <w:pPr>
              <w:ind w:left="20"/>
              <w:spacing w:after="0"/>
              <w:rPr>
                <w:sz w:val="20"/>
                <w:szCs w:val="20"/>
                <w:color w:val="auto"/>
              </w:rPr>
            </w:pPr>
            <w:r>
              <w:rPr>
                <w:rFonts w:ascii="Arial" w:cs="Arial" w:eastAsia="Arial" w:hAnsi="Arial"/>
                <w:sz w:val="14"/>
                <w:szCs w:val="14"/>
                <w:color w:val="auto"/>
              </w:rPr>
              <w:t>Current debt</w:t>
            </w:r>
          </w:p>
        </w:tc>
        <w:tc>
          <w:tcPr>
            <w:tcW w:w="1180" w:type="dxa"/>
            <w:vAlign w:val="bottom"/>
            <w:shd w:val="clear" w:color="auto" w:fill="D8D8D8"/>
          </w:tcPr>
          <w:p>
            <w:pPr>
              <w:jc w:val="right"/>
              <w:ind w:right="150"/>
              <w:spacing w:after="0"/>
              <w:rPr>
                <w:sz w:val="20"/>
                <w:szCs w:val="20"/>
                <w:color w:val="auto"/>
              </w:rPr>
            </w:pPr>
            <w:r>
              <w:rPr>
                <w:rFonts w:ascii="Arial" w:cs="Arial" w:eastAsia="Arial" w:hAnsi="Arial"/>
                <w:sz w:val="14"/>
                <w:szCs w:val="14"/>
                <w:color w:val="auto"/>
              </w:rPr>
              <w:t>7,208</w:t>
            </w:r>
          </w:p>
        </w:tc>
        <w:tc>
          <w:tcPr>
            <w:tcW w:w="1420" w:type="dxa"/>
            <w:vAlign w:val="bottom"/>
          </w:tcPr>
          <w:p>
            <w:pPr>
              <w:jc w:val="right"/>
              <w:ind w:right="29"/>
              <w:spacing w:after="0"/>
              <w:rPr>
                <w:sz w:val="20"/>
                <w:szCs w:val="20"/>
                <w:color w:val="auto"/>
              </w:rPr>
            </w:pPr>
            <w:r>
              <w:rPr>
                <w:rFonts w:ascii="Arial" w:cs="Arial" w:eastAsia="Arial" w:hAnsi="Arial"/>
                <w:sz w:val="14"/>
                <w:szCs w:val="14"/>
                <w:color w:val="auto"/>
              </w:rPr>
              <w:t>8,344</w:t>
            </w:r>
          </w:p>
        </w:tc>
      </w:tr>
      <w:tr>
        <w:trPr>
          <w:trHeight w:val="162"/>
        </w:trPr>
        <w:tc>
          <w:tcPr>
            <w:tcW w:w="28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Non-current debt</w:t>
            </w:r>
          </w:p>
        </w:tc>
        <w:tc>
          <w:tcPr>
            <w:tcW w:w="1180" w:type="dxa"/>
            <w:vAlign w:val="bottom"/>
            <w:tcBorders>
              <w:bottom w:val="single" w:sz="8" w:color="auto"/>
            </w:tcBorders>
            <w:shd w:val="clear" w:color="auto" w:fill="D8D8D8"/>
          </w:tcPr>
          <w:p>
            <w:pPr>
              <w:jc w:val="right"/>
              <w:ind w:right="150"/>
              <w:spacing w:after="0"/>
              <w:rPr>
                <w:sz w:val="20"/>
                <w:szCs w:val="20"/>
                <w:color w:val="auto"/>
              </w:rPr>
            </w:pPr>
            <w:r>
              <w:rPr>
                <w:rFonts w:ascii="Arial" w:cs="Arial" w:eastAsia="Arial" w:hAnsi="Arial"/>
                <w:sz w:val="14"/>
                <w:szCs w:val="14"/>
                <w:color w:val="auto"/>
              </w:rPr>
              <w:t>38,332</w:t>
            </w:r>
          </w:p>
        </w:tc>
        <w:tc>
          <w:tcPr>
            <w:tcW w:w="142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36,218</w:t>
            </w:r>
          </w:p>
        </w:tc>
      </w:tr>
      <w:tr>
        <w:trPr>
          <w:trHeight w:val="156"/>
        </w:trPr>
        <w:tc>
          <w:tcPr>
            <w:tcW w:w="2880" w:type="dxa"/>
            <w:vAlign w:val="bottom"/>
            <w:tcBorders>
              <w:bottom w:val="single" w:sz="8" w:color="auto"/>
            </w:tcBorders>
          </w:tcPr>
          <w:p>
            <w:pPr>
              <w:ind w:left="20"/>
              <w:spacing w:after="0" w:line="155" w:lineRule="exact"/>
              <w:rPr>
                <w:sz w:val="20"/>
                <w:szCs w:val="20"/>
                <w:color w:val="auto"/>
              </w:rPr>
            </w:pPr>
            <w:r>
              <w:rPr>
                <w:rFonts w:ascii="Arial" w:cs="Arial" w:eastAsia="Arial" w:hAnsi="Arial"/>
                <w:sz w:val="14"/>
                <w:szCs w:val="14"/>
                <w:color w:val="auto"/>
              </w:rPr>
              <w:t>Total debt [A]</w:t>
            </w:r>
          </w:p>
        </w:tc>
        <w:tc>
          <w:tcPr>
            <w:tcW w:w="1180" w:type="dxa"/>
            <w:vAlign w:val="bottom"/>
            <w:tcBorders>
              <w:bottom w:val="single" w:sz="8" w:color="auto"/>
            </w:tcBorders>
            <w:shd w:val="clear" w:color="auto" w:fill="D8D8D8"/>
          </w:tcPr>
          <w:p>
            <w:pPr>
              <w:jc w:val="right"/>
              <w:ind w:right="150"/>
              <w:spacing w:after="0" w:line="155" w:lineRule="exact"/>
              <w:rPr>
                <w:sz w:val="20"/>
                <w:szCs w:val="20"/>
                <w:color w:val="auto"/>
              </w:rPr>
            </w:pPr>
            <w:r>
              <w:rPr>
                <w:rFonts w:ascii="Arial" w:cs="Arial" w:eastAsia="Arial" w:hAnsi="Arial"/>
                <w:sz w:val="14"/>
                <w:szCs w:val="14"/>
                <w:color w:val="auto"/>
              </w:rPr>
              <w:t>45,540</w:t>
            </w:r>
          </w:p>
        </w:tc>
        <w:tc>
          <w:tcPr>
            <w:tcW w:w="1420" w:type="dxa"/>
            <w:vAlign w:val="bottom"/>
            <w:tcBorders>
              <w:bottom w:val="single" w:sz="8" w:color="auto"/>
            </w:tcBorders>
          </w:tcPr>
          <w:p>
            <w:pPr>
              <w:jc w:val="right"/>
              <w:ind w:right="29"/>
              <w:spacing w:after="0" w:line="155" w:lineRule="exact"/>
              <w:rPr>
                <w:sz w:val="20"/>
                <w:szCs w:val="20"/>
                <w:color w:val="auto"/>
              </w:rPr>
            </w:pPr>
            <w:r>
              <w:rPr>
                <w:rFonts w:ascii="Arial" w:cs="Arial" w:eastAsia="Arial" w:hAnsi="Arial"/>
                <w:sz w:val="14"/>
                <w:szCs w:val="14"/>
                <w:color w:val="auto"/>
              </w:rPr>
              <w:t>44,562</w:t>
            </w:r>
          </w:p>
        </w:tc>
      </w:tr>
      <w:tr>
        <w:trPr>
          <w:trHeight w:val="156"/>
        </w:trPr>
        <w:tc>
          <w:tcPr>
            <w:tcW w:w="2880" w:type="dxa"/>
            <w:vAlign w:val="bottom"/>
            <w:tcBorders>
              <w:bottom w:val="single" w:sz="8" w:color="auto"/>
            </w:tcBorders>
          </w:tcPr>
          <w:p>
            <w:pPr>
              <w:ind w:left="20"/>
              <w:spacing w:after="0" w:line="155" w:lineRule="exact"/>
              <w:rPr>
                <w:sz w:val="20"/>
                <w:szCs w:val="20"/>
                <w:color w:val="auto"/>
              </w:rPr>
            </w:pPr>
            <w:r>
              <w:rPr>
                <w:rFonts w:ascii="Arial" w:cs="Arial" w:eastAsia="Arial" w:hAnsi="Arial"/>
                <w:sz w:val="14"/>
                <w:szCs w:val="14"/>
                <w:color w:val="auto"/>
              </w:rPr>
              <w:t>Total capitalisation</w:t>
            </w:r>
          </w:p>
        </w:tc>
        <w:tc>
          <w:tcPr>
            <w:tcW w:w="1180" w:type="dxa"/>
            <w:vAlign w:val="bottom"/>
            <w:tcBorders>
              <w:bottom w:val="single" w:sz="8" w:color="auto"/>
            </w:tcBorders>
            <w:shd w:val="clear" w:color="auto" w:fill="D8D8D8"/>
          </w:tcPr>
          <w:p>
            <w:pPr>
              <w:jc w:val="right"/>
              <w:ind w:right="150"/>
              <w:spacing w:after="0" w:line="155" w:lineRule="exact"/>
              <w:rPr>
                <w:sz w:val="20"/>
                <w:szCs w:val="20"/>
                <w:color w:val="auto"/>
              </w:rPr>
            </w:pPr>
            <w:r>
              <w:rPr>
                <w:rFonts w:ascii="Arial" w:cs="Arial" w:eastAsia="Arial" w:hAnsi="Arial"/>
                <w:sz w:val="14"/>
                <w:szCs w:val="14"/>
                <w:color w:val="auto"/>
              </w:rPr>
              <w:t>217,506</w:t>
            </w:r>
          </w:p>
        </w:tc>
        <w:tc>
          <w:tcPr>
            <w:tcW w:w="1420" w:type="dxa"/>
            <w:vAlign w:val="bottom"/>
            <w:tcBorders>
              <w:bottom w:val="single" w:sz="8" w:color="auto"/>
            </w:tcBorders>
          </w:tcPr>
          <w:p>
            <w:pPr>
              <w:jc w:val="right"/>
              <w:ind w:right="29"/>
              <w:spacing w:after="0" w:line="155" w:lineRule="exact"/>
              <w:rPr>
                <w:sz w:val="20"/>
                <w:szCs w:val="20"/>
                <w:color w:val="auto"/>
              </w:rPr>
            </w:pPr>
            <w:r>
              <w:rPr>
                <w:rFonts w:ascii="Arial" w:cs="Arial" w:eastAsia="Arial" w:hAnsi="Arial"/>
                <w:sz w:val="14"/>
                <w:szCs w:val="14"/>
                <w:color w:val="auto"/>
              </w:rPr>
              <w:t>224,609</w:t>
            </w:r>
          </w:p>
        </w:tc>
      </w:tr>
    </w:tbl>
    <w:p>
      <w:pPr>
        <w:spacing w:after="0" w:line="37" w:lineRule="exact"/>
        <w:rPr>
          <w:sz w:val="20"/>
          <w:szCs w:val="20"/>
          <w:color w:val="auto"/>
        </w:rPr>
      </w:pPr>
    </w:p>
    <w:p>
      <w:pPr>
        <w:ind w:right="20" w:firstLine="8"/>
        <w:spacing w:after="0" w:line="235" w:lineRule="auto"/>
        <w:tabs>
          <w:tab w:leader="none" w:pos="162" w:val="left"/>
        </w:tabs>
        <w:numPr>
          <w:ilvl w:val="0"/>
          <w:numId w:val="49"/>
        </w:numPr>
        <w:rPr>
          <w:rFonts w:ascii="Arial" w:cs="Arial" w:eastAsia="Arial" w:hAnsi="Arial"/>
          <w:sz w:val="11"/>
          <w:szCs w:val="11"/>
          <w:color w:val="auto"/>
        </w:rPr>
      </w:pPr>
      <w:r>
        <w:rPr>
          <w:rFonts w:ascii="Arial" w:cs="Arial" w:eastAsia="Arial" w:hAnsi="Arial"/>
          <w:sz w:val="11"/>
          <w:szCs w:val="11"/>
          <w:color w:val="auto"/>
        </w:rPr>
        <w:t>Of total debt, $39.5 billion (2013: $40.0 billion) was unsecured and $6.0 billion (2013: $4.6 billion) was secured. Further disclosure on debt, including the amount guaranteed by Royal Dutch Shell plc, is in Note 14 to the “Consolidated Financial Statements”.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DIVIDENDS</w:t>
      </w:r>
    </w:p>
    <w:p>
      <w:pPr>
        <w:spacing w:after="0" w:line="1" w:lineRule="exact"/>
        <w:rPr>
          <w:sz w:val="20"/>
          <w:szCs w:val="20"/>
          <w:color w:val="auto"/>
        </w:rPr>
      </w:pPr>
    </w:p>
    <w:p>
      <w:pPr>
        <w:ind w:right="40"/>
        <w:spacing w:after="0" w:line="244" w:lineRule="auto"/>
        <w:rPr>
          <w:sz w:val="20"/>
          <w:szCs w:val="20"/>
          <w:color w:val="auto"/>
        </w:rPr>
      </w:pPr>
      <w:r>
        <w:rPr>
          <w:rFonts w:ascii="Arial" w:cs="Arial" w:eastAsia="Arial" w:hAnsi="Arial"/>
          <w:sz w:val="14"/>
          <w:szCs w:val="14"/>
          <w:color w:val="auto"/>
        </w:rPr>
        <w:t>Our policy is to grow the US dollar dividend through time in line with our view of Shell’s underlying earnings and cash flow. When setting the dividend, the Board of Directors looks at a range of factors, including the macro environment, the current balance sheet and future investment plans. We have announced an interim dividend in respect of the fourth quarter of 2014 of $0.47 per share, a 4.4% increase compared with the US dollar dividend for the same quarter of 2013. The Board expects that the first quarter 2015 interim dividend will be $0.47 per share, in line with the same quarter of 2014.</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right"/>
        <w:spacing w:after="0"/>
        <w:rPr>
          <w:sz w:val="20"/>
          <w:szCs w:val="20"/>
          <w:color w:val="auto"/>
        </w:rPr>
      </w:pPr>
      <w:r>
        <w:rPr>
          <w:rFonts w:ascii="Arial" w:cs="Arial" w:eastAsia="Arial" w:hAnsi="Arial"/>
          <w:sz w:val="11"/>
          <w:szCs w:val="11"/>
          <w:color w:val="auto"/>
        </w:rPr>
        <w:t>SHELL ANNUAL REPORT AND FORM 20-F 2014</w:t>
      </w:r>
    </w:p>
    <w:p>
      <w:pPr>
        <w:spacing w:after="0" w:line="51" w:lineRule="exact"/>
        <w:rPr>
          <w:sz w:val="20"/>
          <w:szCs w:val="20"/>
          <w:color w:val="auto"/>
        </w:rPr>
      </w:pPr>
    </w:p>
    <w:p>
      <w:pPr>
        <w:spacing w:after="0"/>
        <w:rPr>
          <w:sz w:val="20"/>
          <w:szCs w:val="20"/>
          <w:color w:val="auto"/>
        </w:rPr>
      </w:pPr>
      <w:r>
        <w:rPr>
          <w:rFonts w:ascii="Arial" w:cs="Arial" w:eastAsia="Arial" w:hAnsi="Arial"/>
          <w:sz w:val="18"/>
          <w:szCs w:val="18"/>
          <w:color w:val="auto"/>
        </w:rPr>
        <w:t>NET CAPITAL INVESTMENT</w:t>
      </w:r>
    </w:p>
    <w:p>
      <w:pPr>
        <w:spacing w:after="0" w:line="1" w:lineRule="exact"/>
        <w:rPr>
          <w:sz w:val="20"/>
          <w:szCs w:val="20"/>
          <w:color w:val="auto"/>
        </w:rPr>
      </w:pPr>
    </w:p>
    <w:p>
      <w:pPr>
        <w:jc w:val="both"/>
        <w:ind w:right="400"/>
        <w:spacing w:after="0" w:line="250" w:lineRule="auto"/>
        <w:rPr>
          <w:sz w:val="20"/>
          <w:szCs w:val="20"/>
          <w:color w:val="auto"/>
        </w:rPr>
      </w:pPr>
      <w:r>
        <w:rPr>
          <w:rFonts w:ascii="Arial" w:cs="Arial" w:eastAsia="Arial" w:hAnsi="Arial"/>
          <w:sz w:val="14"/>
          <w:szCs w:val="14"/>
          <w:color w:val="auto"/>
        </w:rPr>
        <w:t>The reduction in net capital investment in 2014 compared with 2013 was driven by higher proceeds from divestments and lower capital investment. See “Non-GAAP measures reconciliations”.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3620" w:type="dxa"/>
            <w:vAlign w:val="bottom"/>
            <w:shd w:val="clear" w:color="auto" w:fill="333333"/>
          </w:tcPr>
          <w:p>
            <w:pPr>
              <w:ind w:left="60"/>
              <w:spacing w:after="0"/>
              <w:rPr>
                <w:sz w:val="20"/>
                <w:szCs w:val="20"/>
                <w:color w:val="auto"/>
              </w:rPr>
            </w:pPr>
            <w:r>
              <w:rPr>
                <w:rFonts w:ascii="Arial" w:cs="Arial" w:eastAsia="Arial" w:hAnsi="Arial"/>
                <w:sz w:val="15"/>
                <w:szCs w:val="15"/>
                <w:b w:val="1"/>
                <w:bCs w:val="1"/>
                <w:color w:val="FFFFFF"/>
              </w:rPr>
              <w:t>NET CAPITAL INVESTMENT</w:t>
            </w:r>
          </w:p>
        </w:tc>
        <w:tc>
          <w:tcPr>
            <w:tcW w:w="800" w:type="dxa"/>
            <w:vAlign w:val="bottom"/>
            <w:shd w:val="clear" w:color="auto" w:fill="333333"/>
          </w:tcPr>
          <w:p>
            <w:pPr>
              <w:spacing w:after="0"/>
              <w:rPr>
                <w:sz w:val="14"/>
                <w:szCs w:val="14"/>
                <w:color w:val="auto"/>
              </w:rPr>
            </w:pPr>
          </w:p>
        </w:tc>
        <w:tc>
          <w:tcPr>
            <w:tcW w:w="1060" w:type="dxa"/>
            <w:vAlign w:val="bottom"/>
            <w:shd w:val="clear" w:color="auto" w:fill="333333"/>
          </w:tcPr>
          <w:p>
            <w:pPr>
              <w:jc w:val="right"/>
              <w:ind w:right="89"/>
              <w:spacing w:after="0"/>
              <w:rPr>
                <w:sz w:val="20"/>
                <w:szCs w:val="20"/>
                <w:color w:val="auto"/>
              </w:rPr>
            </w:pPr>
            <w:r>
              <w:rPr>
                <w:rFonts w:ascii="Arial" w:cs="Arial" w:eastAsia="Arial" w:hAnsi="Arial"/>
                <w:sz w:val="15"/>
                <w:szCs w:val="15"/>
                <w:color w:val="FFFFFF"/>
              </w:rPr>
              <w:t>$ MILLION</w:t>
            </w:r>
          </w:p>
        </w:tc>
      </w:tr>
      <w:tr>
        <w:trPr>
          <w:trHeight w:val="149"/>
        </w:trPr>
        <w:tc>
          <w:tcPr>
            <w:tcW w:w="362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shd w:val="clear" w:color="auto" w:fill="D8D8D8"/>
          </w:tcPr>
          <w:p>
            <w:pPr>
              <w:jc w:val="right"/>
              <w:ind w:right="90"/>
              <w:spacing w:after="0"/>
              <w:rPr>
                <w:sz w:val="20"/>
                <w:szCs w:val="20"/>
                <w:color w:val="auto"/>
              </w:rPr>
            </w:pPr>
            <w:r>
              <w:rPr>
                <w:rFonts w:ascii="Arial" w:cs="Arial" w:eastAsia="Arial" w:hAnsi="Arial"/>
                <w:sz w:val="13"/>
                <w:szCs w:val="13"/>
                <w:color w:val="auto"/>
              </w:rPr>
              <w:t>2014</w:t>
            </w:r>
          </w:p>
        </w:tc>
        <w:tc>
          <w:tcPr>
            <w:tcW w:w="1060" w:type="dxa"/>
            <w:vAlign w:val="bottom"/>
            <w:tcBorders>
              <w:bottom w:val="single" w:sz="8" w:color="auto"/>
            </w:tcBorders>
          </w:tcPr>
          <w:p>
            <w:pPr>
              <w:jc w:val="right"/>
              <w:ind w:right="89"/>
              <w:spacing w:after="0"/>
              <w:rPr>
                <w:sz w:val="20"/>
                <w:szCs w:val="20"/>
                <w:color w:val="auto"/>
              </w:rPr>
            </w:pPr>
            <w:r>
              <w:rPr>
                <w:rFonts w:ascii="Arial" w:cs="Arial" w:eastAsia="Arial" w:hAnsi="Arial"/>
                <w:sz w:val="13"/>
                <w:szCs w:val="13"/>
                <w:color w:val="auto"/>
              </w:rPr>
              <w:t>2013</w:t>
            </w:r>
          </w:p>
        </w:tc>
      </w:tr>
      <w:tr>
        <w:trPr>
          <w:trHeight w:val="156"/>
        </w:trPr>
        <w:tc>
          <w:tcPr>
            <w:tcW w:w="3620" w:type="dxa"/>
            <w:vAlign w:val="bottom"/>
          </w:tcPr>
          <w:p>
            <w:pPr>
              <w:spacing w:after="0" w:line="155" w:lineRule="exact"/>
              <w:rPr>
                <w:sz w:val="20"/>
                <w:szCs w:val="20"/>
                <w:color w:val="auto"/>
              </w:rPr>
            </w:pPr>
            <w:r>
              <w:rPr>
                <w:rFonts w:ascii="Arial" w:cs="Arial" w:eastAsia="Arial" w:hAnsi="Arial"/>
                <w:sz w:val="14"/>
                <w:szCs w:val="14"/>
                <w:color w:val="auto"/>
              </w:rPr>
              <w:t>Upstream</w:t>
            </w:r>
          </w:p>
        </w:tc>
        <w:tc>
          <w:tcPr>
            <w:tcW w:w="800" w:type="dxa"/>
            <w:vAlign w:val="bottom"/>
            <w:shd w:val="clear" w:color="auto" w:fill="D8D8D8"/>
          </w:tcPr>
          <w:p>
            <w:pPr>
              <w:jc w:val="right"/>
              <w:ind w:right="90"/>
              <w:spacing w:after="0" w:line="155" w:lineRule="exact"/>
              <w:rPr>
                <w:sz w:val="20"/>
                <w:szCs w:val="20"/>
                <w:color w:val="auto"/>
              </w:rPr>
            </w:pPr>
            <w:r>
              <w:rPr>
                <w:rFonts w:ascii="Arial" w:cs="Arial" w:eastAsia="Arial" w:hAnsi="Arial"/>
                <w:sz w:val="14"/>
                <w:szCs w:val="14"/>
                <w:color w:val="auto"/>
              </w:rPr>
              <w:t>20,704</w:t>
            </w:r>
          </w:p>
        </w:tc>
        <w:tc>
          <w:tcPr>
            <w:tcW w:w="1060" w:type="dxa"/>
            <w:vAlign w:val="bottom"/>
          </w:tcPr>
          <w:p>
            <w:pPr>
              <w:jc w:val="right"/>
              <w:ind w:right="89"/>
              <w:spacing w:after="0" w:line="155" w:lineRule="exact"/>
              <w:rPr>
                <w:sz w:val="20"/>
                <w:szCs w:val="20"/>
                <w:color w:val="auto"/>
              </w:rPr>
            </w:pPr>
            <w:r>
              <w:rPr>
                <w:rFonts w:ascii="Arial" w:cs="Arial" w:eastAsia="Arial" w:hAnsi="Arial"/>
                <w:sz w:val="14"/>
                <w:szCs w:val="14"/>
                <w:color w:val="auto"/>
              </w:rPr>
              <w:t>39,217</w:t>
            </w:r>
          </w:p>
        </w:tc>
      </w:tr>
      <w:tr>
        <w:trPr>
          <w:trHeight w:val="162"/>
        </w:trPr>
        <w:tc>
          <w:tcPr>
            <w:tcW w:w="3620" w:type="dxa"/>
            <w:vAlign w:val="bottom"/>
          </w:tcPr>
          <w:p>
            <w:pPr>
              <w:spacing w:after="0"/>
              <w:rPr>
                <w:sz w:val="20"/>
                <w:szCs w:val="20"/>
                <w:color w:val="auto"/>
              </w:rPr>
            </w:pPr>
            <w:r>
              <w:rPr>
                <w:rFonts w:ascii="Arial" w:cs="Arial" w:eastAsia="Arial" w:hAnsi="Arial"/>
                <w:sz w:val="14"/>
                <w:szCs w:val="14"/>
                <w:color w:val="auto"/>
              </w:rPr>
              <w:t>Downstream</w:t>
            </w:r>
          </w:p>
        </w:tc>
        <w:tc>
          <w:tcPr>
            <w:tcW w:w="800" w:type="dxa"/>
            <w:vAlign w:val="bottom"/>
            <w:shd w:val="clear" w:color="auto" w:fill="D8D8D8"/>
          </w:tcPr>
          <w:p>
            <w:pPr>
              <w:jc w:val="right"/>
              <w:ind w:right="90"/>
              <w:spacing w:after="0"/>
              <w:rPr>
                <w:sz w:val="20"/>
                <w:szCs w:val="20"/>
                <w:color w:val="auto"/>
              </w:rPr>
            </w:pPr>
            <w:r>
              <w:rPr>
                <w:rFonts w:ascii="Arial" w:cs="Arial" w:eastAsia="Arial" w:hAnsi="Arial"/>
                <w:sz w:val="14"/>
                <w:szCs w:val="14"/>
                <w:color w:val="auto"/>
              </w:rPr>
              <w:t>3,079</w:t>
            </w:r>
          </w:p>
        </w:tc>
        <w:tc>
          <w:tcPr>
            <w:tcW w:w="1060" w:type="dxa"/>
            <w:vAlign w:val="bottom"/>
          </w:tcPr>
          <w:p>
            <w:pPr>
              <w:jc w:val="right"/>
              <w:ind w:right="89"/>
              <w:spacing w:after="0"/>
              <w:rPr>
                <w:sz w:val="20"/>
                <w:szCs w:val="20"/>
                <w:color w:val="auto"/>
              </w:rPr>
            </w:pPr>
            <w:r>
              <w:rPr>
                <w:rFonts w:ascii="Arial" w:cs="Arial" w:eastAsia="Arial" w:hAnsi="Arial"/>
                <w:sz w:val="14"/>
                <w:szCs w:val="14"/>
                <w:color w:val="auto"/>
              </w:rPr>
              <w:t>4,885</w:t>
            </w:r>
          </w:p>
        </w:tc>
      </w:tr>
      <w:tr>
        <w:trPr>
          <w:trHeight w:val="162"/>
        </w:trPr>
        <w:tc>
          <w:tcPr>
            <w:tcW w:w="362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Corporate</w:t>
            </w:r>
          </w:p>
        </w:tc>
        <w:tc>
          <w:tcPr>
            <w:tcW w:w="800" w:type="dxa"/>
            <w:vAlign w:val="bottom"/>
            <w:tcBorders>
              <w:bottom w:val="single" w:sz="8" w:color="auto"/>
            </w:tcBorders>
            <w:shd w:val="clear" w:color="auto" w:fill="D8D8D8"/>
          </w:tcPr>
          <w:p>
            <w:pPr>
              <w:jc w:val="right"/>
              <w:ind w:right="90"/>
              <w:spacing w:after="0"/>
              <w:rPr>
                <w:sz w:val="20"/>
                <w:szCs w:val="20"/>
                <w:color w:val="auto"/>
              </w:rPr>
            </w:pPr>
            <w:r>
              <w:rPr>
                <w:rFonts w:ascii="Arial" w:cs="Arial" w:eastAsia="Arial" w:hAnsi="Arial"/>
                <w:sz w:val="14"/>
                <w:szCs w:val="14"/>
                <w:color w:val="auto"/>
              </w:rPr>
              <w:t>116</w:t>
            </w:r>
          </w:p>
        </w:tc>
        <w:tc>
          <w:tcPr>
            <w:tcW w:w="1060" w:type="dxa"/>
            <w:vAlign w:val="bottom"/>
            <w:tcBorders>
              <w:bottom w:val="single" w:sz="8" w:color="auto"/>
            </w:tcBorders>
          </w:tcPr>
          <w:p>
            <w:pPr>
              <w:jc w:val="right"/>
              <w:ind w:right="89"/>
              <w:spacing w:after="0"/>
              <w:rPr>
                <w:sz w:val="20"/>
                <w:szCs w:val="20"/>
                <w:color w:val="auto"/>
              </w:rPr>
            </w:pPr>
            <w:r>
              <w:rPr>
                <w:rFonts w:ascii="Arial" w:cs="Arial" w:eastAsia="Arial" w:hAnsi="Arial"/>
                <w:sz w:val="14"/>
                <w:szCs w:val="14"/>
                <w:color w:val="auto"/>
              </w:rPr>
              <w:t>201</w:t>
            </w:r>
          </w:p>
        </w:tc>
      </w:tr>
      <w:tr>
        <w:trPr>
          <w:trHeight w:val="156"/>
        </w:trPr>
        <w:tc>
          <w:tcPr>
            <w:tcW w:w="3620" w:type="dxa"/>
            <w:vAlign w:val="bottom"/>
            <w:tcBorders>
              <w:bottom w:val="single" w:sz="8" w:color="auto"/>
            </w:tcBorders>
          </w:tcPr>
          <w:p>
            <w:pPr>
              <w:spacing w:after="0" w:line="155" w:lineRule="exact"/>
              <w:rPr>
                <w:sz w:val="20"/>
                <w:szCs w:val="20"/>
                <w:color w:val="auto"/>
              </w:rPr>
            </w:pPr>
            <w:r>
              <w:rPr>
                <w:rFonts w:ascii="Arial" w:cs="Arial" w:eastAsia="Arial" w:hAnsi="Arial"/>
                <w:sz w:val="14"/>
                <w:szCs w:val="14"/>
                <w:color w:val="auto"/>
              </w:rPr>
              <w:t>Total</w:t>
            </w:r>
          </w:p>
        </w:tc>
        <w:tc>
          <w:tcPr>
            <w:tcW w:w="800" w:type="dxa"/>
            <w:vAlign w:val="bottom"/>
            <w:tcBorders>
              <w:bottom w:val="single" w:sz="8" w:color="auto"/>
            </w:tcBorders>
            <w:shd w:val="clear" w:color="auto" w:fill="D8D8D8"/>
          </w:tcPr>
          <w:p>
            <w:pPr>
              <w:jc w:val="right"/>
              <w:ind w:right="90"/>
              <w:spacing w:after="0" w:line="155" w:lineRule="exact"/>
              <w:rPr>
                <w:sz w:val="20"/>
                <w:szCs w:val="20"/>
                <w:color w:val="auto"/>
              </w:rPr>
            </w:pPr>
            <w:r>
              <w:rPr>
                <w:rFonts w:ascii="Arial" w:cs="Arial" w:eastAsia="Arial" w:hAnsi="Arial"/>
                <w:sz w:val="14"/>
                <w:szCs w:val="14"/>
                <w:color w:val="auto"/>
              </w:rPr>
              <w:t>23,899</w:t>
            </w:r>
          </w:p>
        </w:tc>
        <w:tc>
          <w:tcPr>
            <w:tcW w:w="1060" w:type="dxa"/>
            <w:vAlign w:val="bottom"/>
            <w:tcBorders>
              <w:bottom w:val="single" w:sz="8" w:color="auto"/>
            </w:tcBorders>
          </w:tcPr>
          <w:p>
            <w:pPr>
              <w:jc w:val="right"/>
              <w:ind w:right="89"/>
              <w:spacing w:after="0" w:line="155" w:lineRule="exact"/>
              <w:rPr>
                <w:sz w:val="20"/>
                <w:szCs w:val="20"/>
                <w:color w:val="auto"/>
              </w:rPr>
            </w:pPr>
            <w:r>
              <w:rPr>
                <w:rFonts w:ascii="Arial" w:cs="Arial" w:eastAsia="Arial" w:hAnsi="Arial"/>
                <w:sz w:val="14"/>
                <w:szCs w:val="14"/>
                <w:color w:val="auto"/>
              </w:rPr>
              <w:t>44,303</w:t>
            </w:r>
          </w:p>
        </w:tc>
      </w:tr>
    </w:tbl>
    <w:p>
      <w:pPr>
        <w:spacing w:after="0" w:line="269" w:lineRule="exact"/>
        <w:rPr>
          <w:sz w:val="20"/>
          <w:szCs w:val="20"/>
          <w:color w:val="auto"/>
        </w:rPr>
      </w:pPr>
    </w:p>
    <w:p>
      <w:pPr>
        <w:spacing w:after="0"/>
        <w:rPr>
          <w:sz w:val="20"/>
          <w:szCs w:val="20"/>
          <w:color w:val="auto"/>
        </w:rPr>
      </w:pPr>
      <w:r>
        <w:rPr>
          <w:rFonts w:ascii="Arial" w:cs="Arial" w:eastAsia="Arial" w:hAnsi="Arial"/>
          <w:sz w:val="18"/>
          <w:szCs w:val="18"/>
          <w:color w:val="auto"/>
        </w:rPr>
        <w:t>PURCHASES OF SECURITIES</w:t>
      </w:r>
    </w:p>
    <w:p>
      <w:pPr>
        <w:spacing w:after="0" w:line="1" w:lineRule="exact"/>
        <w:rPr>
          <w:sz w:val="20"/>
          <w:szCs w:val="20"/>
          <w:color w:val="auto"/>
        </w:rPr>
      </w:pPr>
    </w:p>
    <w:p>
      <w:pPr>
        <w:ind w:right="180"/>
        <w:spacing w:after="0" w:line="243" w:lineRule="auto"/>
        <w:rPr>
          <w:sz w:val="20"/>
          <w:szCs w:val="20"/>
          <w:color w:val="auto"/>
        </w:rPr>
      </w:pPr>
      <w:r>
        <w:rPr>
          <w:rFonts w:ascii="Arial" w:cs="Arial" w:eastAsia="Arial" w:hAnsi="Arial"/>
          <w:sz w:val="14"/>
          <w:szCs w:val="14"/>
          <w:color w:val="auto"/>
        </w:rPr>
        <w:t>At the 2014 Annual General Meeting (AGM), shareholders granted an authority, which will expire at the end of the 2015 AGM, for the Company to repurchase up to 633 million of its shares. Under this authority, and a similar authority granted at the 2013 AGM, in 2014 we continued a share buyback programme to offset the dilution created by the issuance of shares under our Scrip Dividend Programme. All of the shares purchased under the buyback programme are cancelled. A resolution will be proposed at the 2015 AGM to renew authority for the Company to purchase its own share capital up to specified limits for another year. Shares are also purchased by the employee share ownership trusts and trust-like entities (see the “Directors’ Report”) to meet delivery commitments under employee share plans. All share purchases are made in open-market transactions.</w:t>
      </w:r>
    </w:p>
    <w:p>
      <w:pPr>
        <w:spacing w:after="0" w:line="179" w:lineRule="exact"/>
        <w:rPr>
          <w:sz w:val="20"/>
          <w:szCs w:val="20"/>
          <w:color w:val="auto"/>
        </w:rPr>
      </w:pPr>
    </w:p>
    <w:p>
      <w:pPr>
        <w:ind w:right="320"/>
        <w:spacing w:after="0" w:line="250" w:lineRule="auto"/>
        <w:rPr>
          <w:sz w:val="20"/>
          <w:szCs w:val="20"/>
          <w:color w:val="auto"/>
        </w:rPr>
      </w:pPr>
      <w:r>
        <w:rPr>
          <w:rFonts w:ascii="Arial" w:cs="Arial" w:eastAsia="Arial" w:hAnsi="Arial"/>
          <w:sz w:val="14"/>
          <w:szCs w:val="14"/>
          <w:color w:val="auto"/>
        </w:rPr>
        <w:t>The table below provides information on purchases of shares in 2014 and up to February 17, 2015, by the issuer and affiliated purchasers. Purchases in euros and sterling are converted into dollars using the exchange rate at each transaction date.</w:t>
      </w:r>
    </w:p>
    <w:p>
      <w:pPr>
        <w:spacing w:after="0" w:line="200" w:lineRule="exact"/>
        <w:rPr>
          <w:sz w:val="20"/>
          <w:szCs w:val="20"/>
          <w:color w:val="auto"/>
        </w:rPr>
      </w:pPr>
    </w:p>
    <w:p>
      <w:pPr>
        <w:sectPr>
          <w:pgSz w:w="11900" w:h="16838" w:orient="portrait"/>
          <w:cols w:equalWidth="0" w:num="2">
            <w:col w:w="5500" w:space="280"/>
            <w:col w:w="5640"/>
          </w:cols>
          <w:pgMar w:left="240" w:top="459" w:right="239" w:bottom="1440" w:gutter="0" w:footer="0" w:header="0"/>
          <w:type w:val="continuous"/>
        </w:sectPr>
      </w:pPr>
    </w:p>
    <w:p>
      <w:pPr>
        <w:spacing w:after="0" w:line="108" w:lineRule="exact"/>
        <w:rPr>
          <w:sz w:val="20"/>
          <w:szCs w:val="20"/>
          <w:color w:val="auto"/>
        </w:rPr>
      </w:pPr>
    </w:p>
    <w:p>
      <w:pPr>
        <w:ind w:left="80"/>
        <w:spacing w:after="0"/>
        <w:rPr>
          <w:sz w:val="20"/>
          <w:szCs w:val="20"/>
          <w:color w:val="auto"/>
        </w:rPr>
      </w:pPr>
      <w:r>
        <w:rPr>
          <w:rFonts w:ascii="Arial" w:cs="Arial" w:eastAsia="Arial" w:hAnsi="Arial"/>
          <w:sz w:val="15"/>
          <w:szCs w:val="15"/>
          <w:b w:val="1"/>
          <w:bCs w:val="1"/>
          <w:color w:val="FFFFFF"/>
        </w:rPr>
        <w:t xml:space="preserve">PURCHASES OF EQUITY SECURITIES BY ISSUER AND AFFILIATED PURCHASERS </w:t>
      </w:r>
      <w:r>
        <w:rPr>
          <w:rFonts w:ascii="Arial" w:cs="Arial" w:eastAsia="Arial" w:hAnsi="Arial"/>
          <w:sz w:val="15"/>
          <w:szCs w:val="15"/>
          <w:color w:val="FFFFFF"/>
        </w:rPr>
        <w: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-95250</wp:posOffset>
            </wp:positionV>
            <wp:extent cx="7246620" cy="10287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46620" cy="102870"/>
                    </a:xfrm>
                    <a:prstGeom prst="rect">
                      <a:avLst/>
                    </a:prstGeom>
                    <a:noFill/>
                  </pic:spPr>
                </pic:pic>
              </a:graphicData>
            </a:graphic>
          </wp:anchor>
        </w:drawing>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9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3"/>
                <w:szCs w:val="13"/>
                <w:color w:val="auto"/>
              </w:rPr>
              <w:t>A shares</w:t>
            </w:r>
          </w:p>
        </w:tc>
        <w:tc>
          <w:tcPr>
            <w:tcW w:w="108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920" w:type="dxa"/>
            <w:vAlign w:val="bottom"/>
            <w:gridSpan w:val="2"/>
          </w:tcPr>
          <w:p>
            <w:pPr>
              <w:jc w:val="right"/>
              <w:ind w:right="300"/>
              <w:spacing w:after="0"/>
              <w:rPr>
                <w:sz w:val="20"/>
                <w:szCs w:val="20"/>
                <w:color w:val="auto"/>
              </w:rPr>
            </w:pPr>
            <w:r>
              <w:rPr>
                <w:rFonts w:ascii="Arial" w:cs="Arial" w:eastAsia="Arial" w:hAnsi="Arial"/>
                <w:sz w:val="13"/>
                <w:szCs w:val="13"/>
                <w:color w:val="auto"/>
              </w:rPr>
              <w:t>B shares</w:t>
            </w:r>
          </w:p>
        </w:tc>
        <w:tc>
          <w:tcPr>
            <w:tcW w:w="1080" w:type="dxa"/>
            <w:vAlign w:val="bottom"/>
          </w:tcPr>
          <w:p>
            <w:pPr>
              <w:spacing w:after="0"/>
              <w:rPr>
                <w:sz w:val="12"/>
                <w:szCs w:val="12"/>
                <w:color w:val="auto"/>
              </w:rPr>
            </w:pPr>
          </w:p>
        </w:tc>
        <w:tc>
          <w:tcPr>
            <w:tcW w:w="980" w:type="dxa"/>
            <w:vAlign w:val="bottom"/>
          </w:tcPr>
          <w:p>
            <w:pPr>
              <w:jc w:val="right"/>
              <w:ind w:right="170"/>
              <w:spacing w:after="0"/>
              <w:rPr>
                <w:sz w:val="20"/>
                <w:szCs w:val="20"/>
                <w:color w:val="auto"/>
              </w:rPr>
            </w:pPr>
            <w:r>
              <w:rPr>
                <w:rFonts w:ascii="Arial" w:cs="Arial" w:eastAsia="Arial" w:hAnsi="Arial"/>
                <w:sz w:val="13"/>
                <w:szCs w:val="13"/>
                <w:color w:val="auto"/>
              </w:rPr>
              <w:t>A ADSs</w:t>
            </w:r>
          </w:p>
        </w:tc>
      </w:tr>
      <w:tr>
        <w:trPr>
          <w:trHeight w:val="123"/>
        </w:trPr>
        <w:tc>
          <w:tcPr>
            <w:tcW w:w="2960" w:type="dxa"/>
            <w:vAlign w:val="bottom"/>
          </w:tcPr>
          <w:p>
            <w:pPr>
              <w:spacing w:after="0"/>
              <w:rPr>
                <w:sz w:val="10"/>
                <w:szCs w:val="10"/>
                <w:color w:val="auto"/>
              </w:rPr>
            </w:pPr>
          </w:p>
        </w:tc>
        <w:tc>
          <w:tcPr>
            <w:tcW w:w="960" w:type="dxa"/>
            <w:vAlign w:val="bottom"/>
            <w:tcBorders>
              <w:top w:val="single" w:sz="8" w:color="auto"/>
            </w:tcBorders>
          </w:tcPr>
          <w:p>
            <w:pPr>
              <w:jc w:val="right"/>
              <w:ind w:right="70"/>
              <w:spacing w:after="0" w:line="123" w:lineRule="exact"/>
              <w:rPr>
                <w:sz w:val="20"/>
                <w:szCs w:val="20"/>
                <w:color w:val="auto"/>
              </w:rPr>
            </w:pPr>
            <w:r>
              <w:rPr>
                <w:rFonts w:ascii="Arial" w:cs="Arial" w:eastAsia="Arial" w:hAnsi="Arial"/>
                <w:sz w:val="13"/>
                <w:szCs w:val="13"/>
                <w:color w:val="auto"/>
              </w:rPr>
              <w:t>Number</w:t>
            </w:r>
          </w:p>
        </w:tc>
        <w:tc>
          <w:tcPr>
            <w:tcW w:w="1240" w:type="dxa"/>
            <w:vAlign w:val="bottom"/>
            <w:tcBorders>
              <w:top w:val="single" w:sz="8" w:color="auto"/>
            </w:tcBorders>
          </w:tcPr>
          <w:p>
            <w:pPr>
              <w:spacing w:after="0"/>
              <w:rPr>
                <w:sz w:val="10"/>
                <w:szCs w:val="10"/>
                <w:color w:val="auto"/>
              </w:rPr>
            </w:pPr>
          </w:p>
        </w:tc>
        <w:tc>
          <w:tcPr>
            <w:tcW w:w="84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1080" w:type="dxa"/>
            <w:vAlign w:val="bottom"/>
            <w:tcBorders>
              <w:top w:val="single" w:sz="8" w:color="auto"/>
            </w:tcBorders>
          </w:tcPr>
          <w:p>
            <w:pPr>
              <w:jc w:val="right"/>
              <w:ind w:right="110"/>
              <w:spacing w:after="0" w:line="123" w:lineRule="exact"/>
              <w:rPr>
                <w:sz w:val="20"/>
                <w:szCs w:val="20"/>
                <w:color w:val="auto"/>
              </w:rPr>
            </w:pPr>
            <w:r>
              <w:rPr>
                <w:rFonts w:ascii="Arial" w:cs="Arial" w:eastAsia="Arial" w:hAnsi="Arial"/>
                <w:sz w:val="13"/>
                <w:szCs w:val="13"/>
                <w:color w:val="auto"/>
              </w:rPr>
              <w:t>Number</w:t>
            </w:r>
          </w:p>
        </w:tc>
        <w:tc>
          <w:tcPr>
            <w:tcW w:w="1280" w:type="dxa"/>
            <w:vAlign w:val="bottom"/>
            <w:tcBorders>
              <w:top w:val="single" w:sz="8" w:color="auto"/>
            </w:tcBorders>
          </w:tcPr>
          <w:p>
            <w:pPr>
              <w:spacing w:after="0"/>
              <w:rPr>
                <w:sz w:val="10"/>
                <w:szCs w:val="10"/>
                <w:color w:val="auto"/>
              </w:rPr>
            </w:pPr>
          </w:p>
        </w:tc>
        <w:tc>
          <w:tcPr>
            <w:tcW w:w="84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1080" w:type="dxa"/>
            <w:vAlign w:val="bottom"/>
            <w:tcBorders>
              <w:top w:val="single" w:sz="8" w:color="auto"/>
            </w:tcBorders>
          </w:tcPr>
          <w:p>
            <w:pPr>
              <w:jc w:val="right"/>
              <w:ind w:right="130"/>
              <w:spacing w:after="0" w:line="123" w:lineRule="exact"/>
              <w:rPr>
                <w:sz w:val="20"/>
                <w:szCs w:val="20"/>
                <w:color w:val="auto"/>
              </w:rPr>
            </w:pPr>
            <w:r>
              <w:rPr>
                <w:rFonts w:ascii="Arial" w:cs="Arial" w:eastAsia="Arial" w:hAnsi="Arial"/>
                <w:sz w:val="13"/>
                <w:szCs w:val="13"/>
                <w:color w:val="auto"/>
              </w:rPr>
              <w:t>Number</w:t>
            </w:r>
          </w:p>
        </w:tc>
        <w:tc>
          <w:tcPr>
            <w:tcW w:w="980" w:type="dxa"/>
            <w:vAlign w:val="bottom"/>
            <w:tcBorders>
              <w:top w:val="single" w:sz="8" w:color="auto"/>
            </w:tcBorders>
          </w:tcPr>
          <w:p>
            <w:pPr>
              <w:spacing w:after="0"/>
              <w:rPr>
                <w:sz w:val="10"/>
                <w:szCs w:val="10"/>
                <w:color w:val="auto"/>
              </w:rPr>
            </w:pPr>
          </w:p>
        </w:tc>
      </w:tr>
      <w:tr>
        <w:trPr>
          <w:trHeight w:val="135"/>
        </w:trPr>
        <w:tc>
          <w:tcPr>
            <w:tcW w:w="2960" w:type="dxa"/>
            <w:vAlign w:val="bottom"/>
          </w:tcPr>
          <w:p>
            <w:pPr>
              <w:spacing w:after="0"/>
              <w:rPr>
                <w:sz w:val="11"/>
                <w:szCs w:val="11"/>
                <w:color w:val="auto"/>
              </w:rPr>
            </w:pPr>
          </w:p>
        </w:tc>
        <w:tc>
          <w:tcPr>
            <w:tcW w:w="960" w:type="dxa"/>
            <w:vAlign w:val="bottom"/>
          </w:tcPr>
          <w:p>
            <w:pPr>
              <w:jc w:val="right"/>
              <w:ind w:right="70"/>
              <w:spacing w:after="0" w:line="135" w:lineRule="exact"/>
              <w:rPr>
                <w:sz w:val="20"/>
                <w:szCs w:val="20"/>
                <w:color w:val="auto"/>
              </w:rPr>
            </w:pPr>
            <w:r>
              <w:rPr>
                <w:rFonts w:ascii="Arial" w:cs="Arial" w:eastAsia="Arial" w:hAnsi="Arial"/>
                <w:sz w:val="13"/>
                <w:szCs w:val="13"/>
                <w:color w:val="auto"/>
              </w:rPr>
              <w:t>purchased</w:t>
            </w:r>
          </w:p>
        </w:tc>
        <w:tc>
          <w:tcPr>
            <w:tcW w:w="1240" w:type="dxa"/>
            <w:vAlign w:val="bottom"/>
          </w:tcPr>
          <w:p>
            <w:pPr>
              <w:jc w:val="right"/>
              <w:ind w:right="169"/>
              <w:spacing w:after="0" w:line="135" w:lineRule="exact"/>
              <w:rPr>
                <w:sz w:val="20"/>
                <w:szCs w:val="20"/>
                <w:color w:val="auto"/>
              </w:rPr>
            </w:pPr>
            <w:r>
              <w:rPr>
                <w:rFonts w:ascii="Arial" w:cs="Arial" w:eastAsia="Arial" w:hAnsi="Arial"/>
                <w:sz w:val="13"/>
                <w:szCs w:val="13"/>
                <w:color w:val="auto"/>
              </w:rPr>
              <w:t>Number</w:t>
            </w:r>
          </w:p>
        </w:tc>
        <w:tc>
          <w:tcPr>
            <w:tcW w:w="920" w:type="dxa"/>
            <w:vAlign w:val="bottom"/>
            <w:gridSpan w:val="2"/>
          </w:tcPr>
          <w:p>
            <w:pPr>
              <w:jc w:val="right"/>
              <w:ind w:right="320"/>
              <w:spacing w:after="0" w:line="135" w:lineRule="exact"/>
              <w:rPr>
                <w:sz w:val="20"/>
                <w:szCs w:val="20"/>
                <w:color w:val="auto"/>
              </w:rPr>
            </w:pPr>
            <w:r>
              <w:rPr>
                <w:rFonts w:ascii="Arial" w:cs="Arial" w:eastAsia="Arial" w:hAnsi="Arial"/>
                <w:sz w:val="13"/>
                <w:szCs w:val="13"/>
                <w:color w:val="auto"/>
              </w:rPr>
              <w:t>Weighted</w:t>
            </w:r>
          </w:p>
        </w:tc>
        <w:tc>
          <w:tcPr>
            <w:tcW w:w="1080" w:type="dxa"/>
            <w:vAlign w:val="bottom"/>
          </w:tcPr>
          <w:p>
            <w:pPr>
              <w:jc w:val="right"/>
              <w:ind w:right="110"/>
              <w:spacing w:after="0" w:line="135" w:lineRule="exact"/>
              <w:rPr>
                <w:sz w:val="20"/>
                <w:szCs w:val="20"/>
                <w:color w:val="auto"/>
              </w:rPr>
            </w:pPr>
            <w:r>
              <w:rPr>
                <w:rFonts w:ascii="Arial" w:cs="Arial" w:eastAsia="Arial" w:hAnsi="Arial"/>
                <w:sz w:val="13"/>
                <w:szCs w:val="13"/>
                <w:color w:val="auto"/>
              </w:rPr>
              <w:t>purchased</w:t>
            </w:r>
          </w:p>
        </w:tc>
        <w:tc>
          <w:tcPr>
            <w:tcW w:w="1280" w:type="dxa"/>
            <w:vAlign w:val="bottom"/>
          </w:tcPr>
          <w:p>
            <w:pPr>
              <w:jc w:val="right"/>
              <w:ind w:right="169"/>
              <w:spacing w:after="0" w:line="135" w:lineRule="exact"/>
              <w:rPr>
                <w:sz w:val="20"/>
                <w:szCs w:val="20"/>
                <w:color w:val="auto"/>
              </w:rPr>
            </w:pPr>
            <w:r>
              <w:rPr>
                <w:rFonts w:ascii="Arial" w:cs="Arial" w:eastAsia="Arial" w:hAnsi="Arial"/>
                <w:sz w:val="13"/>
                <w:szCs w:val="13"/>
                <w:color w:val="auto"/>
              </w:rPr>
              <w:t>Number</w:t>
            </w:r>
          </w:p>
        </w:tc>
        <w:tc>
          <w:tcPr>
            <w:tcW w:w="920" w:type="dxa"/>
            <w:vAlign w:val="bottom"/>
            <w:gridSpan w:val="2"/>
          </w:tcPr>
          <w:p>
            <w:pPr>
              <w:jc w:val="right"/>
              <w:ind w:right="300"/>
              <w:spacing w:after="0" w:line="135" w:lineRule="exact"/>
              <w:rPr>
                <w:sz w:val="20"/>
                <w:szCs w:val="20"/>
                <w:color w:val="auto"/>
              </w:rPr>
            </w:pPr>
            <w:r>
              <w:rPr>
                <w:rFonts w:ascii="Arial" w:cs="Arial" w:eastAsia="Arial" w:hAnsi="Arial"/>
                <w:sz w:val="13"/>
                <w:szCs w:val="13"/>
                <w:color w:val="auto"/>
              </w:rPr>
              <w:t>Weighted</w:t>
            </w:r>
          </w:p>
        </w:tc>
        <w:tc>
          <w:tcPr>
            <w:tcW w:w="1080" w:type="dxa"/>
            <w:vAlign w:val="bottom"/>
          </w:tcPr>
          <w:p>
            <w:pPr>
              <w:jc w:val="right"/>
              <w:ind w:right="130"/>
              <w:spacing w:after="0" w:line="135" w:lineRule="exact"/>
              <w:rPr>
                <w:sz w:val="20"/>
                <w:szCs w:val="20"/>
                <w:color w:val="auto"/>
              </w:rPr>
            </w:pPr>
            <w:r>
              <w:rPr>
                <w:rFonts w:ascii="Arial" w:cs="Arial" w:eastAsia="Arial" w:hAnsi="Arial"/>
                <w:sz w:val="13"/>
                <w:szCs w:val="13"/>
                <w:color w:val="auto"/>
              </w:rPr>
              <w:t>purchased</w:t>
            </w:r>
          </w:p>
        </w:tc>
        <w:tc>
          <w:tcPr>
            <w:tcW w:w="980" w:type="dxa"/>
            <w:vAlign w:val="bottom"/>
          </w:tcPr>
          <w:p>
            <w:pPr>
              <w:jc w:val="right"/>
              <w:ind w:right="170"/>
              <w:spacing w:after="0" w:line="135" w:lineRule="exact"/>
              <w:rPr>
                <w:sz w:val="20"/>
                <w:szCs w:val="20"/>
                <w:color w:val="auto"/>
              </w:rPr>
            </w:pPr>
            <w:r>
              <w:rPr>
                <w:rFonts w:ascii="Arial" w:cs="Arial" w:eastAsia="Arial" w:hAnsi="Arial"/>
                <w:sz w:val="13"/>
                <w:szCs w:val="13"/>
                <w:color w:val="auto"/>
              </w:rPr>
              <w:t>Weighted</w:t>
            </w:r>
          </w:p>
        </w:tc>
      </w:tr>
      <w:tr>
        <w:trPr>
          <w:trHeight w:val="135"/>
        </w:trPr>
        <w:tc>
          <w:tcPr>
            <w:tcW w:w="2960" w:type="dxa"/>
            <w:vAlign w:val="bottom"/>
          </w:tcPr>
          <w:p>
            <w:pPr>
              <w:spacing w:after="0"/>
              <w:rPr>
                <w:sz w:val="11"/>
                <w:szCs w:val="11"/>
                <w:color w:val="auto"/>
              </w:rPr>
            </w:pPr>
          </w:p>
        </w:tc>
        <w:tc>
          <w:tcPr>
            <w:tcW w:w="960" w:type="dxa"/>
            <w:vAlign w:val="bottom"/>
          </w:tcPr>
          <w:p>
            <w:pPr>
              <w:jc w:val="right"/>
              <w:ind w:right="70"/>
              <w:spacing w:after="0" w:line="135" w:lineRule="exact"/>
              <w:rPr>
                <w:sz w:val="20"/>
                <w:szCs w:val="20"/>
                <w:color w:val="auto"/>
              </w:rPr>
            </w:pPr>
            <w:r>
              <w:rPr>
                <w:rFonts w:ascii="Arial" w:cs="Arial" w:eastAsia="Arial" w:hAnsi="Arial"/>
                <w:sz w:val="13"/>
                <w:szCs w:val="13"/>
                <w:color w:val="auto"/>
              </w:rPr>
              <w:t>for employee</w:t>
            </w:r>
          </w:p>
        </w:tc>
        <w:tc>
          <w:tcPr>
            <w:tcW w:w="1240" w:type="dxa"/>
            <w:vAlign w:val="bottom"/>
          </w:tcPr>
          <w:p>
            <w:pPr>
              <w:jc w:val="right"/>
              <w:ind w:right="169"/>
              <w:spacing w:after="0" w:line="135" w:lineRule="exact"/>
              <w:rPr>
                <w:sz w:val="20"/>
                <w:szCs w:val="20"/>
                <w:color w:val="auto"/>
              </w:rPr>
            </w:pPr>
            <w:r>
              <w:rPr>
                <w:rFonts w:ascii="Arial" w:cs="Arial" w:eastAsia="Arial" w:hAnsi="Arial"/>
                <w:sz w:val="13"/>
                <w:szCs w:val="13"/>
                <w:color w:val="auto"/>
              </w:rPr>
              <w:t>purchased</w:t>
            </w:r>
          </w:p>
        </w:tc>
        <w:tc>
          <w:tcPr>
            <w:tcW w:w="920" w:type="dxa"/>
            <w:vAlign w:val="bottom"/>
            <w:gridSpan w:val="2"/>
          </w:tcPr>
          <w:p>
            <w:pPr>
              <w:jc w:val="right"/>
              <w:ind w:right="320"/>
              <w:spacing w:after="0" w:line="135" w:lineRule="exact"/>
              <w:rPr>
                <w:sz w:val="20"/>
                <w:szCs w:val="20"/>
                <w:color w:val="auto"/>
              </w:rPr>
            </w:pPr>
            <w:r>
              <w:rPr>
                <w:rFonts w:ascii="Arial" w:cs="Arial" w:eastAsia="Arial" w:hAnsi="Arial"/>
                <w:sz w:val="13"/>
                <w:szCs w:val="13"/>
                <w:color w:val="auto"/>
              </w:rPr>
              <w:t>average</w:t>
            </w:r>
          </w:p>
        </w:tc>
        <w:tc>
          <w:tcPr>
            <w:tcW w:w="1080" w:type="dxa"/>
            <w:vAlign w:val="bottom"/>
          </w:tcPr>
          <w:p>
            <w:pPr>
              <w:jc w:val="right"/>
              <w:ind w:right="110"/>
              <w:spacing w:after="0" w:line="135" w:lineRule="exact"/>
              <w:rPr>
                <w:sz w:val="20"/>
                <w:szCs w:val="20"/>
                <w:color w:val="auto"/>
              </w:rPr>
            </w:pPr>
            <w:r>
              <w:rPr>
                <w:rFonts w:ascii="Arial" w:cs="Arial" w:eastAsia="Arial" w:hAnsi="Arial"/>
                <w:sz w:val="13"/>
                <w:szCs w:val="13"/>
                <w:color w:val="auto"/>
              </w:rPr>
              <w:t>for employee</w:t>
            </w:r>
          </w:p>
        </w:tc>
        <w:tc>
          <w:tcPr>
            <w:tcW w:w="1280" w:type="dxa"/>
            <w:vAlign w:val="bottom"/>
          </w:tcPr>
          <w:p>
            <w:pPr>
              <w:jc w:val="right"/>
              <w:ind w:right="169"/>
              <w:spacing w:after="0" w:line="135" w:lineRule="exact"/>
              <w:rPr>
                <w:sz w:val="20"/>
                <w:szCs w:val="20"/>
                <w:color w:val="auto"/>
              </w:rPr>
            </w:pPr>
            <w:r>
              <w:rPr>
                <w:rFonts w:ascii="Arial" w:cs="Arial" w:eastAsia="Arial" w:hAnsi="Arial"/>
                <w:sz w:val="13"/>
                <w:szCs w:val="13"/>
                <w:color w:val="auto"/>
              </w:rPr>
              <w:t>purchased</w:t>
            </w:r>
          </w:p>
        </w:tc>
        <w:tc>
          <w:tcPr>
            <w:tcW w:w="920" w:type="dxa"/>
            <w:vAlign w:val="bottom"/>
            <w:gridSpan w:val="2"/>
          </w:tcPr>
          <w:p>
            <w:pPr>
              <w:jc w:val="right"/>
              <w:ind w:right="300"/>
              <w:spacing w:after="0" w:line="135" w:lineRule="exact"/>
              <w:rPr>
                <w:sz w:val="20"/>
                <w:szCs w:val="20"/>
                <w:color w:val="auto"/>
              </w:rPr>
            </w:pPr>
            <w:r>
              <w:rPr>
                <w:rFonts w:ascii="Arial" w:cs="Arial" w:eastAsia="Arial" w:hAnsi="Arial"/>
                <w:sz w:val="13"/>
                <w:szCs w:val="13"/>
                <w:color w:val="auto"/>
              </w:rPr>
              <w:t>average</w:t>
            </w:r>
          </w:p>
        </w:tc>
        <w:tc>
          <w:tcPr>
            <w:tcW w:w="1080" w:type="dxa"/>
            <w:vAlign w:val="bottom"/>
          </w:tcPr>
          <w:p>
            <w:pPr>
              <w:jc w:val="right"/>
              <w:ind w:right="130"/>
              <w:spacing w:after="0" w:line="135" w:lineRule="exact"/>
              <w:rPr>
                <w:sz w:val="20"/>
                <w:szCs w:val="20"/>
                <w:color w:val="auto"/>
              </w:rPr>
            </w:pPr>
            <w:r>
              <w:rPr>
                <w:rFonts w:ascii="Arial" w:cs="Arial" w:eastAsia="Arial" w:hAnsi="Arial"/>
                <w:sz w:val="13"/>
                <w:szCs w:val="13"/>
                <w:color w:val="auto"/>
              </w:rPr>
              <w:t>for employee</w:t>
            </w:r>
          </w:p>
        </w:tc>
        <w:tc>
          <w:tcPr>
            <w:tcW w:w="980" w:type="dxa"/>
            <w:vAlign w:val="bottom"/>
          </w:tcPr>
          <w:p>
            <w:pPr>
              <w:jc w:val="right"/>
              <w:ind w:right="170"/>
              <w:spacing w:after="0" w:line="135" w:lineRule="exact"/>
              <w:rPr>
                <w:sz w:val="20"/>
                <w:szCs w:val="20"/>
                <w:color w:val="auto"/>
              </w:rPr>
            </w:pPr>
            <w:r>
              <w:rPr>
                <w:rFonts w:ascii="Arial" w:cs="Arial" w:eastAsia="Arial" w:hAnsi="Arial"/>
                <w:sz w:val="13"/>
                <w:szCs w:val="13"/>
                <w:color w:val="auto"/>
              </w:rPr>
              <w:t>average</w:t>
            </w:r>
          </w:p>
        </w:tc>
      </w:tr>
      <w:tr>
        <w:trPr>
          <w:trHeight w:val="155"/>
        </w:trPr>
        <w:tc>
          <w:tcPr>
            <w:tcW w:w="296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Purchase period</w:t>
            </w:r>
          </w:p>
        </w:tc>
        <w:tc>
          <w:tcPr>
            <w:tcW w:w="960" w:type="dxa"/>
            <w:vAlign w:val="bottom"/>
            <w:tcBorders>
              <w:bottom w:val="single" w:sz="8" w:color="auto"/>
            </w:tcBorders>
          </w:tcPr>
          <w:p>
            <w:pPr>
              <w:jc w:val="right"/>
              <w:ind w:right="70"/>
              <w:spacing w:after="0"/>
              <w:rPr>
                <w:sz w:val="20"/>
                <w:szCs w:val="20"/>
                <w:color w:val="auto"/>
              </w:rPr>
            </w:pPr>
            <w:r>
              <w:rPr>
                <w:rFonts w:ascii="Arial" w:cs="Arial" w:eastAsia="Arial" w:hAnsi="Arial"/>
                <w:sz w:val="13"/>
                <w:szCs w:val="13"/>
                <w:color w:val="auto"/>
              </w:rPr>
              <w:t>share plans</w:t>
            </w:r>
          </w:p>
        </w:tc>
        <w:tc>
          <w:tcPr>
            <w:tcW w:w="1240" w:type="dxa"/>
            <w:vAlign w:val="bottom"/>
            <w:tcBorders>
              <w:bottom w:val="single" w:sz="8" w:color="auto"/>
            </w:tcBorders>
          </w:tcPr>
          <w:p>
            <w:pPr>
              <w:jc w:val="right"/>
              <w:ind w:right="9"/>
              <w:spacing w:after="0"/>
              <w:rPr>
                <w:sz w:val="20"/>
                <w:szCs w:val="20"/>
                <w:color w:val="auto"/>
              </w:rPr>
            </w:pPr>
            <w:r>
              <w:rPr>
                <w:rFonts w:ascii="Arial" w:cs="Arial" w:eastAsia="Arial" w:hAnsi="Arial"/>
                <w:sz w:val="13"/>
                <w:szCs w:val="13"/>
                <w:color w:val="auto"/>
              </w:rPr>
              <w:t>for cancellation[C]</w:t>
            </w:r>
          </w:p>
        </w:tc>
        <w:tc>
          <w:tcPr>
            <w:tcW w:w="920" w:type="dxa"/>
            <w:vAlign w:val="bottom"/>
            <w:tcBorders>
              <w:bottom w:val="single" w:sz="8" w:color="auto"/>
            </w:tcBorders>
            <w:gridSpan w:val="2"/>
          </w:tcPr>
          <w:p>
            <w:pPr>
              <w:ind w:left="180"/>
              <w:spacing w:after="0"/>
              <w:rPr>
                <w:sz w:val="20"/>
                <w:szCs w:val="20"/>
                <w:color w:val="auto"/>
              </w:rPr>
            </w:pPr>
            <w:r>
              <w:rPr>
                <w:rFonts w:ascii="Arial" w:cs="Arial" w:eastAsia="Arial" w:hAnsi="Arial"/>
                <w:sz w:val="13"/>
                <w:szCs w:val="13"/>
                <w:color w:val="auto"/>
              </w:rPr>
              <w:t>price ($)[B]</w:t>
            </w:r>
          </w:p>
        </w:tc>
        <w:tc>
          <w:tcPr>
            <w:tcW w:w="1080" w:type="dxa"/>
            <w:vAlign w:val="bottom"/>
            <w:tcBorders>
              <w:bottom w:val="single" w:sz="8" w:color="auto"/>
            </w:tcBorders>
          </w:tcPr>
          <w:p>
            <w:pPr>
              <w:jc w:val="right"/>
              <w:ind w:right="110"/>
              <w:spacing w:after="0"/>
              <w:rPr>
                <w:sz w:val="20"/>
                <w:szCs w:val="20"/>
                <w:color w:val="auto"/>
              </w:rPr>
            </w:pPr>
            <w:r>
              <w:rPr>
                <w:rFonts w:ascii="Arial" w:cs="Arial" w:eastAsia="Arial" w:hAnsi="Arial"/>
                <w:sz w:val="13"/>
                <w:szCs w:val="13"/>
                <w:color w:val="auto"/>
              </w:rPr>
              <w:t>share plans</w:t>
            </w:r>
          </w:p>
        </w:tc>
        <w:tc>
          <w:tcPr>
            <w:tcW w:w="1280" w:type="dxa"/>
            <w:vAlign w:val="bottom"/>
            <w:tcBorders>
              <w:bottom w:val="single" w:sz="8" w:color="auto"/>
            </w:tcBorders>
          </w:tcPr>
          <w:p>
            <w:pPr>
              <w:jc w:val="right"/>
              <w:ind w:right="9"/>
              <w:spacing w:after="0"/>
              <w:rPr>
                <w:sz w:val="20"/>
                <w:szCs w:val="20"/>
                <w:color w:val="auto"/>
              </w:rPr>
            </w:pPr>
            <w:r>
              <w:rPr>
                <w:rFonts w:ascii="Arial" w:cs="Arial" w:eastAsia="Arial" w:hAnsi="Arial"/>
                <w:sz w:val="13"/>
                <w:szCs w:val="13"/>
                <w:color w:val="auto"/>
              </w:rPr>
              <w:t>for cancellation[C]</w:t>
            </w:r>
          </w:p>
        </w:tc>
        <w:tc>
          <w:tcPr>
            <w:tcW w:w="920" w:type="dxa"/>
            <w:vAlign w:val="bottom"/>
            <w:tcBorders>
              <w:bottom w:val="single" w:sz="8" w:color="auto"/>
            </w:tcBorders>
            <w:gridSpan w:val="2"/>
          </w:tcPr>
          <w:p>
            <w:pPr>
              <w:ind w:left="160"/>
              <w:spacing w:after="0"/>
              <w:rPr>
                <w:sz w:val="20"/>
                <w:szCs w:val="20"/>
                <w:color w:val="auto"/>
              </w:rPr>
            </w:pPr>
            <w:r>
              <w:rPr>
                <w:rFonts w:ascii="Arial" w:cs="Arial" w:eastAsia="Arial" w:hAnsi="Arial"/>
                <w:sz w:val="13"/>
                <w:szCs w:val="13"/>
                <w:color w:val="auto"/>
              </w:rPr>
              <w:t>price ($)[B]</w:t>
            </w:r>
          </w:p>
        </w:tc>
        <w:tc>
          <w:tcPr>
            <w:tcW w:w="1080" w:type="dxa"/>
            <w:vAlign w:val="bottom"/>
            <w:tcBorders>
              <w:bottom w:val="single" w:sz="8" w:color="auto"/>
            </w:tcBorders>
          </w:tcPr>
          <w:p>
            <w:pPr>
              <w:jc w:val="right"/>
              <w:ind w:right="130"/>
              <w:spacing w:after="0"/>
              <w:rPr>
                <w:sz w:val="20"/>
                <w:szCs w:val="20"/>
                <w:color w:val="auto"/>
              </w:rPr>
            </w:pPr>
            <w:r>
              <w:rPr>
                <w:rFonts w:ascii="Arial" w:cs="Arial" w:eastAsia="Arial" w:hAnsi="Arial"/>
                <w:sz w:val="13"/>
                <w:szCs w:val="13"/>
                <w:color w:val="auto"/>
              </w:rPr>
              <w:t>share plans</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price ($)[B]</w:t>
            </w:r>
          </w:p>
        </w:tc>
      </w:tr>
      <w:tr>
        <w:trPr>
          <w:trHeight w:val="160"/>
        </w:trPr>
        <w:tc>
          <w:tcPr>
            <w:tcW w:w="2960" w:type="dxa"/>
            <w:vAlign w:val="bottom"/>
          </w:tcPr>
          <w:p>
            <w:pPr>
              <w:spacing w:after="0"/>
              <w:rPr>
                <w:sz w:val="20"/>
                <w:szCs w:val="20"/>
                <w:color w:val="auto"/>
              </w:rPr>
            </w:pPr>
            <w:r>
              <w:rPr>
                <w:rFonts w:ascii="Arial" w:cs="Arial" w:eastAsia="Arial" w:hAnsi="Arial"/>
                <w:sz w:val="14"/>
                <w:szCs w:val="14"/>
                <w:color w:val="auto"/>
              </w:rPr>
              <w:t>2014</w:t>
            </w:r>
          </w:p>
        </w:tc>
        <w:tc>
          <w:tcPr>
            <w:tcW w:w="96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980" w:type="dxa"/>
            <w:vAlign w:val="bottom"/>
          </w:tcPr>
          <w:p>
            <w:pPr>
              <w:spacing w:after="0"/>
              <w:rPr>
                <w:sz w:val="13"/>
                <w:szCs w:val="13"/>
                <w:color w:val="auto"/>
              </w:rPr>
            </w:pPr>
          </w:p>
        </w:tc>
      </w:tr>
      <w:tr>
        <w:trPr>
          <w:trHeight w:val="162"/>
        </w:trPr>
        <w:tc>
          <w:tcPr>
            <w:tcW w:w="2960" w:type="dxa"/>
            <w:vAlign w:val="bottom"/>
          </w:tcPr>
          <w:p>
            <w:pPr>
              <w:ind w:left="140"/>
              <w:spacing w:after="0"/>
              <w:rPr>
                <w:sz w:val="20"/>
                <w:szCs w:val="20"/>
                <w:color w:val="auto"/>
              </w:rPr>
            </w:pPr>
            <w:r>
              <w:rPr>
                <w:rFonts w:ascii="Arial" w:cs="Arial" w:eastAsia="Arial" w:hAnsi="Arial"/>
                <w:sz w:val="14"/>
                <w:szCs w:val="14"/>
                <w:color w:val="auto"/>
              </w:rPr>
              <w:t>January</w:t>
            </w:r>
          </w:p>
        </w:tc>
        <w:tc>
          <w:tcPr>
            <w:tcW w:w="960" w:type="dxa"/>
            <w:vAlign w:val="bottom"/>
          </w:tcPr>
          <w:p>
            <w:pPr>
              <w:jc w:val="right"/>
              <w:ind w:right="70"/>
              <w:spacing w:after="0"/>
              <w:rPr>
                <w:sz w:val="20"/>
                <w:szCs w:val="20"/>
                <w:color w:val="auto"/>
              </w:rPr>
            </w:pPr>
            <w:r>
              <w:rPr>
                <w:rFonts w:ascii="Arial" w:cs="Arial" w:eastAsia="Arial" w:hAnsi="Arial"/>
                <w:sz w:val="14"/>
                <w:szCs w:val="14"/>
                <w:color w:val="auto"/>
              </w:rPr>
              <w:t>–</w:t>
            </w:r>
          </w:p>
        </w:tc>
        <w:tc>
          <w:tcPr>
            <w:tcW w:w="1240" w:type="dxa"/>
            <w:vAlign w:val="bottom"/>
          </w:tcPr>
          <w:p>
            <w:pPr>
              <w:jc w:val="right"/>
              <w:ind w:right="169"/>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320"/>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110"/>
              <w:spacing w:after="0"/>
              <w:rPr>
                <w:sz w:val="20"/>
                <w:szCs w:val="20"/>
                <w:color w:val="auto"/>
              </w:rPr>
            </w:pPr>
            <w:r>
              <w:rPr>
                <w:rFonts w:ascii="Arial" w:cs="Arial" w:eastAsia="Arial" w:hAnsi="Arial"/>
                <w:sz w:val="14"/>
                <w:szCs w:val="14"/>
                <w:color w:val="auto"/>
              </w:rPr>
              <w:t>–</w:t>
            </w:r>
          </w:p>
        </w:tc>
        <w:tc>
          <w:tcPr>
            <w:tcW w:w="1280" w:type="dxa"/>
            <w:vAlign w:val="bottom"/>
          </w:tcPr>
          <w:p>
            <w:pPr>
              <w:jc w:val="right"/>
              <w:ind w:right="169"/>
              <w:spacing w:after="0"/>
              <w:rPr>
                <w:sz w:val="20"/>
                <w:szCs w:val="20"/>
                <w:color w:val="auto"/>
              </w:rPr>
            </w:pPr>
            <w:r>
              <w:rPr>
                <w:rFonts w:ascii="Arial" w:cs="Arial" w:eastAsia="Arial" w:hAnsi="Arial"/>
                <w:sz w:val="14"/>
                <w:szCs w:val="14"/>
                <w:color w:val="auto"/>
              </w:rPr>
              <w:t>10,838,990</w:t>
            </w:r>
          </w:p>
        </w:tc>
        <w:tc>
          <w:tcPr>
            <w:tcW w:w="840" w:type="dxa"/>
            <w:vAlign w:val="bottom"/>
          </w:tcPr>
          <w:p>
            <w:pPr>
              <w:jc w:val="right"/>
              <w:ind w:right="150"/>
              <w:spacing w:after="0"/>
              <w:rPr>
                <w:sz w:val="20"/>
                <w:szCs w:val="20"/>
                <w:color w:val="auto"/>
              </w:rPr>
            </w:pPr>
            <w:r>
              <w:rPr>
                <w:rFonts w:ascii="Arial" w:cs="Arial" w:eastAsia="Arial" w:hAnsi="Arial"/>
                <w:sz w:val="14"/>
                <w:szCs w:val="14"/>
                <w:color w:val="auto"/>
              </w:rPr>
              <w:t>37.58</w:t>
            </w:r>
          </w:p>
        </w:tc>
        <w:tc>
          <w:tcPr>
            <w:tcW w:w="80" w:type="dxa"/>
            <w:vAlign w:val="bottom"/>
          </w:tcPr>
          <w:p>
            <w:pPr>
              <w:spacing w:after="0"/>
              <w:rPr>
                <w:sz w:val="14"/>
                <w:szCs w:val="14"/>
                <w:color w:val="auto"/>
              </w:rPr>
            </w:pPr>
          </w:p>
        </w:tc>
        <w:tc>
          <w:tcPr>
            <w:tcW w:w="1080" w:type="dxa"/>
            <w:vAlign w:val="bottom"/>
          </w:tcPr>
          <w:p>
            <w:pPr>
              <w:jc w:val="right"/>
              <w:ind w:right="130"/>
              <w:spacing w:after="0"/>
              <w:rPr>
                <w:sz w:val="20"/>
                <w:szCs w:val="20"/>
                <w:color w:val="auto"/>
              </w:rPr>
            </w:pPr>
            <w:r>
              <w:rPr>
                <w:rFonts w:ascii="Arial" w:cs="Arial" w:eastAsia="Arial" w:hAnsi="Arial"/>
                <w:sz w:val="14"/>
                <w:szCs w:val="14"/>
                <w:color w:val="auto"/>
              </w:rPr>
              <w:t>938,671</w:t>
            </w:r>
          </w:p>
        </w:tc>
        <w:tc>
          <w:tcPr>
            <w:tcW w:w="980" w:type="dxa"/>
            <w:vAlign w:val="bottom"/>
          </w:tcPr>
          <w:p>
            <w:pPr>
              <w:jc w:val="right"/>
              <w:ind w:right="170"/>
              <w:spacing w:after="0"/>
              <w:rPr>
                <w:sz w:val="20"/>
                <w:szCs w:val="20"/>
                <w:color w:val="auto"/>
              </w:rPr>
            </w:pPr>
            <w:r>
              <w:rPr>
                <w:rFonts w:ascii="Arial" w:cs="Arial" w:eastAsia="Arial" w:hAnsi="Arial"/>
                <w:sz w:val="14"/>
                <w:szCs w:val="14"/>
                <w:color w:val="auto"/>
              </w:rPr>
              <w:t>70.81</w:t>
            </w:r>
          </w:p>
        </w:tc>
      </w:tr>
      <w:tr>
        <w:trPr>
          <w:trHeight w:val="162"/>
        </w:trPr>
        <w:tc>
          <w:tcPr>
            <w:tcW w:w="2960" w:type="dxa"/>
            <w:vAlign w:val="bottom"/>
          </w:tcPr>
          <w:p>
            <w:pPr>
              <w:ind w:left="140"/>
              <w:spacing w:after="0"/>
              <w:rPr>
                <w:sz w:val="20"/>
                <w:szCs w:val="20"/>
                <w:color w:val="auto"/>
              </w:rPr>
            </w:pPr>
            <w:r>
              <w:rPr>
                <w:rFonts w:ascii="Arial" w:cs="Arial" w:eastAsia="Arial" w:hAnsi="Arial"/>
                <w:sz w:val="14"/>
                <w:szCs w:val="14"/>
                <w:color w:val="auto"/>
              </w:rPr>
              <w:t>February</w:t>
            </w:r>
          </w:p>
        </w:tc>
        <w:tc>
          <w:tcPr>
            <w:tcW w:w="960" w:type="dxa"/>
            <w:vAlign w:val="bottom"/>
          </w:tcPr>
          <w:p>
            <w:pPr>
              <w:jc w:val="right"/>
              <w:ind w:right="70"/>
              <w:spacing w:after="0"/>
              <w:rPr>
                <w:sz w:val="20"/>
                <w:szCs w:val="20"/>
                <w:color w:val="auto"/>
              </w:rPr>
            </w:pPr>
            <w:r>
              <w:rPr>
                <w:rFonts w:ascii="Arial" w:cs="Arial" w:eastAsia="Arial" w:hAnsi="Arial"/>
                <w:sz w:val="14"/>
                <w:szCs w:val="14"/>
                <w:color w:val="auto"/>
              </w:rPr>
              <w:t>–</w:t>
            </w:r>
          </w:p>
        </w:tc>
        <w:tc>
          <w:tcPr>
            <w:tcW w:w="1240" w:type="dxa"/>
            <w:vAlign w:val="bottom"/>
          </w:tcPr>
          <w:p>
            <w:pPr>
              <w:jc w:val="right"/>
              <w:ind w:right="169"/>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320"/>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110"/>
              <w:spacing w:after="0"/>
              <w:rPr>
                <w:sz w:val="20"/>
                <w:szCs w:val="20"/>
                <w:color w:val="auto"/>
              </w:rPr>
            </w:pPr>
            <w:r>
              <w:rPr>
                <w:rFonts w:ascii="Arial" w:cs="Arial" w:eastAsia="Arial" w:hAnsi="Arial"/>
                <w:sz w:val="14"/>
                <w:szCs w:val="14"/>
                <w:color w:val="auto"/>
              </w:rPr>
              <w:t>–</w:t>
            </w:r>
          </w:p>
        </w:tc>
        <w:tc>
          <w:tcPr>
            <w:tcW w:w="1280" w:type="dxa"/>
            <w:vAlign w:val="bottom"/>
          </w:tcPr>
          <w:p>
            <w:pPr>
              <w:jc w:val="right"/>
              <w:ind w:right="169"/>
              <w:spacing w:after="0"/>
              <w:rPr>
                <w:sz w:val="20"/>
                <w:szCs w:val="20"/>
                <w:color w:val="auto"/>
              </w:rPr>
            </w:pPr>
            <w:r>
              <w:rPr>
                <w:rFonts w:ascii="Arial" w:cs="Arial" w:eastAsia="Arial" w:hAnsi="Arial"/>
                <w:sz w:val="14"/>
                <w:szCs w:val="14"/>
                <w:color w:val="auto"/>
              </w:rPr>
              <w:t>14,335,172</w:t>
            </w:r>
          </w:p>
        </w:tc>
        <w:tc>
          <w:tcPr>
            <w:tcW w:w="840" w:type="dxa"/>
            <w:vAlign w:val="bottom"/>
          </w:tcPr>
          <w:p>
            <w:pPr>
              <w:jc w:val="right"/>
              <w:ind w:right="150"/>
              <w:spacing w:after="0"/>
              <w:rPr>
                <w:sz w:val="20"/>
                <w:szCs w:val="20"/>
                <w:color w:val="auto"/>
              </w:rPr>
            </w:pPr>
            <w:r>
              <w:rPr>
                <w:rFonts w:ascii="Arial" w:cs="Arial" w:eastAsia="Arial" w:hAnsi="Arial"/>
                <w:sz w:val="14"/>
                <w:szCs w:val="14"/>
                <w:color w:val="auto"/>
              </w:rPr>
              <w:t>38.02</w:t>
            </w:r>
          </w:p>
        </w:tc>
        <w:tc>
          <w:tcPr>
            <w:tcW w:w="80" w:type="dxa"/>
            <w:vAlign w:val="bottom"/>
          </w:tcPr>
          <w:p>
            <w:pPr>
              <w:spacing w:after="0"/>
              <w:rPr>
                <w:sz w:val="14"/>
                <w:szCs w:val="14"/>
                <w:color w:val="auto"/>
              </w:rPr>
            </w:pPr>
          </w:p>
        </w:tc>
        <w:tc>
          <w:tcPr>
            <w:tcW w:w="1080" w:type="dxa"/>
            <w:vAlign w:val="bottom"/>
          </w:tcPr>
          <w:p>
            <w:pPr>
              <w:jc w:val="right"/>
              <w:ind w:right="130"/>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170"/>
              <w:spacing w:after="0"/>
              <w:rPr>
                <w:sz w:val="20"/>
                <w:szCs w:val="20"/>
                <w:color w:val="auto"/>
              </w:rPr>
            </w:pPr>
            <w:r>
              <w:rPr>
                <w:rFonts w:ascii="Arial" w:cs="Arial" w:eastAsia="Arial" w:hAnsi="Arial"/>
                <w:sz w:val="14"/>
                <w:szCs w:val="14"/>
                <w:color w:val="auto"/>
              </w:rPr>
              <w:t>–</w:t>
            </w:r>
          </w:p>
        </w:tc>
      </w:tr>
      <w:tr>
        <w:trPr>
          <w:trHeight w:val="162"/>
        </w:trPr>
        <w:tc>
          <w:tcPr>
            <w:tcW w:w="2960" w:type="dxa"/>
            <w:vAlign w:val="bottom"/>
          </w:tcPr>
          <w:p>
            <w:pPr>
              <w:ind w:left="140"/>
              <w:spacing w:after="0"/>
              <w:rPr>
                <w:sz w:val="20"/>
                <w:szCs w:val="20"/>
                <w:color w:val="auto"/>
              </w:rPr>
            </w:pPr>
            <w:r>
              <w:rPr>
                <w:rFonts w:ascii="Arial" w:cs="Arial" w:eastAsia="Arial" w:hAnsi="Arial"/>
                <w:sz w:val="14"/>
                <w:szCs w:val="14"/>
                <w:color w:val="auto"/>
              </w:rPr>
              <w:t>March</w:t>
            </w:r>
          </w:p>
        </w:tc>
        <w:tc>
          <w:tcPr>
            <w:tcW w:w="960" w:type="dxa"/>
            <w:vAlign w:val="bottom"/>
          </w:tcPr>
          <w:p>
            <w:pPr>
              <w:jc w:val="right"/>
              <w:ind w:right="70"/>
              <w:spacing w:after="0"/>
              <w:rPr>
                <w:sz w:val="20"/>
                <w:szCs w:val="20"/>
                <w:color w:val="auto"/>
              </w:rPr>
            </w:pPr>
            <w:r>
              <w:rPr>
                <w:rFonts w:ascii="Arial" w:cs="Arial" w:eastAsia="Arial" w:hAnsi="Arial"/>
                <w:sz w:val="14"/>
                <w:szCs w:val="14"/>
                <w:color w:val="auto"/>
              </w:rPr>
              <w:t>–</w:t>
            </w:r>
          </w:p>
        </w:tc>
        <w:tc>
          <w:tcPr>
            <w:tcW w:w="1240" w:type="dxa"/>
            <w:vAlign w:val="bottom"/>
          </w:tcPr>
          <w:p>
            <w:pPr>
              <w:jc w:val="right"/>
              <w:ind w:right="169"/>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320"/>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110"/>
              <w:spacing w:after="0"/>
              <w:rPr>
                <w:sz w:val="20"/>
                <w:szCs w:val="20"/>
                <w:color w:val="auto"/>
              </w:rPr>
            </w:pPr>
            <w:r>
              <w:rPr>
                <w:rFonts w:ascii="Arial" w:cs="Arial" w:eastAsia="Arial" w:hAnsi="Arial"/>
                <w:sz w:val="14"/>
                <w:szCs w:val="14"/>
                <w:color w:val="auto"/>
              </w:rPr>
              <w:t>–</w:t>
            </w:r>
          </w:p>
        </w:tc>
        <w:tc>
          <w:tcPr>
            <w:tcW w:w="1280" w:type="dxa"/>
            <w:vAlign w:val="bottom"/>
          </w:tcPr>
          <w:p>
            <w:pPr>
              <w:jc w:val="right"/>
              <w:ind w:right="169"/>
              <w:spacing w:after="0"/>
              <w:rPr>
                <w:sz w:val="20"/>
                <w:szCs w:val="20"/>
                <w:color w:val="auto"/>
              </w:rPr>
            </w:pPr>
            <w:r>
              <w:rPr>
                <w:rFonts w:ascii="Arial" w:cs="Arial" w:eastAsia="Arial" w:hAnsi="Arial"/>
                <w:sz w:val="14"/>
                <w:szCs w:val="14"/>
                <w:color w:val="auto"/>
              </w:rPr>
              <w:t>7,254,411</w:t>
            </w:r>
          </w:p>
        </w:tc>
        <w:tc>
          <w:tcPr>
            <w:tcW w:w="840" w:type="dxa"/>
            <w:vAlign w:val="bottom"/>
          </w:tcPr>
          <w:p>
            <w:pPr>
              <w:jc w:val="right"/>
              <w:ind w:right="150"/>
              <w:spacing w:after="0"/>
              <w:rPr>
                <w:sz w:val="20"/>
                <w:szCs w:val="20"/>
                <w:color w:val="auto"/>
              </w:rPr>
            </w:pPr>
            <w:r>
              <w:rPr>
                <w:rFonts w:ascii="Arial" w:cs="Arial" w:eastAsia="Arial" w:hAnsi="Arial"/>
                <w:sz w:val="14"/>
                <w:szCs w:val="14"/>
                <w:color w:val="auto"/>
              </w:rPr>
              <w:t>38.97</w:t>
            </w:r>
          </w:p>
        </w:tc>
        <w:tc>
          <w:tcPr>
            <w:tcW w:w="80" w:type="dxa"/>
            <w:vAlign w:val="bottom"/>
          </w:tcPr>
          <w:p>
            <w:pPr>
              <w:spacing w:after="0"/>
              <w:rPr>
                <w:sz w:val="14"/>
                <w:szCs w:val="14"/>
                <w:color w:val="auto"/>
              </w:rPr>
            </w:pPr>
          </w:p>
        </w:tc>
        <w:tc>
          <w:tcPr>
            <w:tcW w:w="1080" w:type="dxa"/>
            <w:vAlign w:val="bottom"/>
          </w:tcPr>
          <w:p>
            <w:pPr>
              <w:jc w:val="right"/>
              <w:ind w:right="130"/>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170"/>
              <w:spacing w:after="0"/>
              <w:rPr>
                <w:sz w:val="20"/>
                <w:szCs w:val="20"/>
                <w:color w:val="auto"/>
              </w:rPr>
            </w:pPr>
            <w:r>
              <w:rPr>
                <w:rFonts w:ascii="Arial" w:cs="Arial" w:eastAsia="Arial" w:hAnsi="Arial"/>
                <w:sz w:val="14"/>
                <w:szCs w:val="14"/>
                <w:color w:val="auto"/>
              </w:rPr>
              <w:t>–</w:t>
            </w:r>
          </w:p>
        </w:tc>
      </w:tr>
      <w:tr>
        <w:trPr>
          <w:trHeight w:val="162"/>
        </w:trPr>
        <w:tc>
          <w:tcPr>
            <w:tcW w:w="2960" w:type="dxa"/>
            <w:vAlign w:val="bottom"/>
          </w:tcPr>
          <w:p>
            <w:pPr>
              <w:ind w:left="140"/>
              <w:spacing w:after="0"/>
              <w:rPr>
                <w:sz w:val="20"/>
                <w:szCs w:val="20"/>
                <w:color w:val="auto"/>
              </w:rPr>
            </w:pPr>
            <w:r>
              <w:rPr>
                <w:rFonts w:ascii="Arial" w:cs="Arial" w:eastAsia="Arial" w:hAnsi="Arial"/>
                <w:sz w:val="14"/>
                <w:szCs w:val="14"/>
                <w:color w:val="auto"/>
              </w:rPr>
              <w:t>April</w:t>
            </w:r>
          </w:p>
        </w:tc>
        <w:tc>
          <w:tcPr>
            <w:tcW w:w="960" w:type="dxa"/>
            <w:vAlign w:val="bottom"/>
          </w:tcPr>
          <w:p>
            <w:pPr>
              <w:jc w:val="right"/>
              <w:ind w:right="70"/>
              <w:spacing w:after="0"/>
              <w:rPr>
                <w:sz w:val="20"/>
                <w:szCs w:val="20"/>
                <w:color w:val="auto"/>
              </w:rPr>
            </w:pPr>
            <w:r>
              <w:rPr>
                <w:rFonts w:ascii="Arial" w:cs="Arial" w:eastAsia="Arial" w:hAnsi="Arial"/>
                <w:sz w:val="14"/>
                <w:szCs w:val="14"/>
                <w:color w:val="auto"/>
              </w:rPr>
              <w:t>–</w:t>
            </w:r>
          </w:p>
        </w:tc>
        <w:tc>
          <w:tcPr>
            <w:tcW w:w="1240" w:type="dxa"/>
            <w:vAlign w:val="bottom"/>
          </w:tcPr>
          <w:p>
            <w:pPr>
              <w:jc w:val="right"/>
              <w:ind w:right="169"/>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320"/>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110"/>
              <w:spacing w:after="0"/>
              <w:rPr>
                <w:sz w:val="20"/>
                <w:szCs w:val="20"/>
                <w:color w:val="auto"/>
              </w:rPr>
            </w:pPr>
            <w:r>
              <w:rPr>
                <w:rFonts w:ascii="Arial" w:cs="Arial" w:eastAsia="Arial" w:hAnsi="Arial"/>
                <w:sz w:val="14"/>
                <w:szCs w:val="14"/>
                <w:color w:val="auto"/>
              </w:rPr>
              <w:t>–</w:t>
            </w:r>
          </w:p>
        </w:tc>
        <w:tc>
          <w:tcPr>
            <w:tcW w:w="1280" w:type="dxa"/>
            <w:vAlign w:val="bottom"/>
          </w:tcPr>
          <w:p>
            <w:pPr>
              <w:jc w:val="right"/>
              <w:ind w:right="169"/>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130"/>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170"/>
              <w:spacing w:after="0"/>
              <w:rPr>
                <w:sz w:val="20"/>
                <w:szCs w:val="20"/>
                <w:color w:val="auto"/>
              </w:rPr>
            </w:pPr>
            <w:r>
              <w:rPr>
                <w:rFonts w:ascii="Arial" w:cs="Arial" w:eastAsia="Arial" w:hAnsi="Arial"/>
                <w:sz w:val="14"/>
                <w:szCs w:val="14"/>
                <w:color w:val="auto"/>
              </w:rPr>
              <w:t>–</w:t>
            </w:r>
          </w:p>
        </w:tc>
      </w:tr>
      <w:tr>
        <w:trPr>
          <w:trHeight w:val="162"/>
        </w:trPr>
        <w:tc>
          <w:tcPr>
            <w:tcW w:w="2960" w:type="dxa"/>
            <w:vAlign w:val="bottom"/>
          </w:tcPr>
          <w:p>
            <w:pPr>
              <w:ind w:left="140"/>
              <w:spacing w:after="0"/>
              <w:rPr>
                <w:sz w:val="20"/>
                <w:szCs w:val="20"/>
                <w:color w:val="auto"/>
              </w:rPr>
            </w:pPr>
            <w:r>
              <w:rPr>
                <w:rFonts w:ascii="Arial" w:cs="Arial" w:eastAsia="Arial" w:hAnsi="Arial"/>
                <w:sz w:val="14"/>
                <w:szCs w:val="14"/>
                <w:color w:val="auto"/>
              </w:rPr>
              <w:t>May</w:t>
            </w:r>
          </w:p>
        </w:tc>
        <w:tc>
          <w:tcPr>
            <w:tcW w:w="960" w:type="dxa"/>
            <w:vAlign w:val="bottom"/>
          </w:tcPr>
          <w:p>
            <w:pPr>
              <w:jc w:val="right"/>
              <w:ind w:right="70"/>
              <w:spacing w:after="0"/>
              <w:rPr>
                <w:sz w:val="20"/>
                <w:szCs w:val="20"/>
                <w:color w:val="auto"/>
              </w:rPr>
            </w:pPr>
            <w:r>
              <w:rPr>
                <w:rFonts w:ascii="Arial" w:cs="Arial" w:eastAsia="Arial" w:hAnsi="Arial"/>
                <w:sz w:val="14"/>
                <w:szCs w:val="14"/>
                <w:color w:val="auto"/>
              </w:rPr>
              <w:t>–</w:t>
            </w:r>
          </w:p>
        </w:tc>
        <w:tc>
          <w:tcPr>
            <w:tcW w:w="1240" w:type="dxa"/>
            <w:vAlign w:val="bottom"/>
          </w:tcPr>
          <w:p>
            <w:pPr>
              <w:jc w:val="right"/>
              <w:ind w:right="169"/>
              <w:spacing w:after="0"/>
              <w:rPr>
                <w:sz w:val="20"/>
                <w:szCs w:val="20"/>
                <w:color w:val="auto"/>
              </w:rPr>
            </w:pPr>
            <w:r>
              <w:rPr>
                <w:rFonts w:ascii="Arial" w:cs="Arial" w:eastAsia="Arial" w:hAnsi="Arial"/>
                <w:sz w:val="14"/>
                <w:szCs w:val="14"/>
                <w:color w:val="auto"/>
              </w:rPr>
              <w:t>3,900,000</w:t>
            </w:r>
          </w:p>
        </w:tc>
        <w:tc>
          <w:tcPr>
            <w:tcW w:w="840" w:type="dxa"/>
            <w:vAlign w:val="bottom"/>
          </w:tcPr>
          <w:p>
            <w:pPr>
              <w:jc w:val="right"/>
              <w:ind w:right="170"/>
              <w:spacing w:after="0"/>
              <w:rPr>
                <w:sz w:val="20"/>
                <w:szCs w:val="20"/>
                <w:color w:val="auto"/>
              </w:rPr>
            </w:pPr>
            <w:r>
              <w:rPr>
                <w:rFonts w:ascii="Arial" w:cs="Arial" w:eastAsia="Arial" w:hAnsi="Arial"/>
                <w:sz w:val="14"/>
                <w:szCs w:val="14"/>
                <w:color w:val="auto"/>
              </w:rPr>
              <w:t>39.68</w:t>
            </w:r>
          </w:p>
        </w:tc>
        <w:tc>
          <w:tcPr>
            <w:tcW w:w="80" w:type="dxa"/>
            <w:vAlign w:val="bottom"/>
          </w:tcPr>
          <w:p>
            <w:pPr>
              <w:spacing w:after="0"/>
              <w:rPr>
                <w:sz w:val="14"/>
                <w:szCs w:val="14"/>
                <w:color w:val="auto"/>
              </w:rPr>
            </w:pPr>
          </w:p>
        </w:tc>
        <w:tc>
          <w:tcPr>
            <w:tcW w:w="1080" w:type="dxa"/>
            <w:vAlign w:val="bottom"/>
          </w:tcPr>
          <w:p>
            <w:pPr>
              <w:jc w:val="right"/>
              <w:ind w:right="110"/>
              <w:spacing w:after="0"/>
              <w:rPr>
                <w:sz w:val="20"/>
                <w:szCs w:val="20"/>
                <w:color w:val="auto"/>
              </w:rPr>
            </w:pPr>
            <w:r>
              <w:rPr>
                <w:rFonts w:ascii="Arial" w:cs="Arial" w:eastAsia="Arial" w:hAnsi="Arial"/>
                <w:sz w:val="14"/>
                <w:szCs w:val="14"/>
                <w:color w:val="auto"/>
              </w:rPr>
              <w:t>–</w:t>
            </w:r>
          </w:p>
        </w:tc>
        <w:tc>
          <w:tcPr>
            <w:tcW w:w="1280" w:type="dxa"/>
            <w:vAlign w:val="bottom"/>
          </w:tcPr>
          <w:p>
            <w:pPr>
              <w:jc w:val="right"/>
              <w:ind w:right="169"/>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130"/>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170"/>
              <w:spacing w:after="0"/>
              <w:rPr>
                <w:sz w:val="20"/>
                <w:szCs w:val="20"/>
                <w:color w:val="auto"/>
              </w:rPr>
            </w:pPr>
            <w:r>
              <w:rPr>
                <w:rFonts w:ascii="Arial" w:cs="Arial" w:eastAsia="Arial" w:hAnsi="Arial"/>
                <w:sz w:val="14"/>
                <w:szCs w:val="14"/>
                <w:color w:val="auto"/>
              </w:rPr>
              <w:t>–</w:t>
            </w:r>
          </w:p>
        </w:tc>
      </w:tr>
      <w:tr>
        <w:trPr>
          <w:trHeight w:val="162"/>
        </w:trPr>
        <w:tc>
          <w:tcPr>
            <w:tcW w:w="2960" w:type="dxa"/>
            <w:vAlign w:val="bottom"/>
          </w:tcPr>
          <w:p>
            <w:pPr>
              <w:ind w:left="140"/>
              <w:spacing w:after="0"/>
              <w:rPr>
                <w:sz w:val="20"/>
                <w:szCs w:val="20"/>
                <w:color w:val="auto"/>
              </w:rPr>
            </w:pPr>
            <w:r>
              <w:rPr>
                <w:rFonts w:ascii="Arial" w:cs="Arial" w:eastAsia="Arial" w:hAnsi="Arial"/>
                <w:sz w:val="14"/>
                <w:szCs w:val="14"/>
                <w:color w:val="auto"/>
              </w:rPr>
              <w:t>June</w:t>
            </w:r>
          </w:p>
        </w:tc>
        <w:tc>
          <w:tcPr>
            <w:tcW w:w="960" w:type="dxa"/>
            <w:vAlign w:val="bottom"/>
          </w:tcPr>
          <w:p>
            <w:pPr>
              <w:jc w:val="right"/>
              <w:ind w:right="70"/>
              <w:spacing w:after="0"/>
              <w:rPr>
                <w:sz w:val="20"/>
                <w:szCs w:val="20"/>
                <w:color w:val="auto"/>
              </w:rPr>
            </w:pPr>
            <w:r>
              <w:rPr>
                <w:rFonts w:ascii="Arial" w:cs="Arial" w:eastAsia="Arial" w:hAnsi="Arial"/>
                <w:sz w:val="14"/>
                <w:szCs w:val="14"/>
                <w:color w:val="auto"/>
              </w:rPr>
              <w:t>–</w:t>
            </w:r>
          </w:p>
        </w:tc>
        <w:tc>
          <w:tcPr>
            <w:tcW w:w="1240" w:type="dxa"/>
            <w:vAlign w:val="bottom"/>
          </w:tcPr>
          <w:p>
            <w:pPr>
              <w:jc w:val="right"/>
              <w:ind w:right="169"/>
              <w:spacing w:after="0"/>
              <w:rPr>
                <w:sz w:val="20"/>
                <w:szCs w:val="20"/>
                <w:color w:val="auto"/>
              </w:rPr>
            </w:pPr>
            <w:r>
              <w:rPr>
                <w:rFonts w:ascii="Arial" w:cs="Arial" w:eastAsia="Arial" w:hAnsi="Arial"/>
                <w:sz w:val="14"/>
                <w:szCs w:val="14"/>
                <w:color w:val="auto"/>
              </w:rPr>
              <w:t>5,566,873</w:t>
            </w:r>
          </w:p>
        </w:tc>
        <w:tc>
          <w:tcPr>
            <w:tcW w:w="840" w:type="dxa"/>
            <w:vAlign w:val="bottom"/>
          </w:tcPr>
          <w:p>
            <w:pPr>
              <w:jc w:val="right"/>
              <w:ind w:right="170"/>
              <w:spacing w:after="0"/>
              <w:rPr>
                <w:sz w:val="20"/>
                <w:szCs w:val="20"/>
                <w:color w:val="auto"/>
              </w:rPr>
            </w:pPr>
            <w:r>
              <w:rPr>
                <w:rFonts w:ascii="Arial" w:cs="Arial" w:eastAsia="Arial" w:hAnsi="Arial"/>
                <w:sz w:val="14"/>
                <w:szCs w:val="14"/>
                <w:color w:val="auto"/>
              </w:rPr>
              <w:t>40.35</w:t>
            </w:r>
          </w:p>
        </w:tc>
        <w:tc>
          <w:tcPr>
            <w:tcW w:w="80" w:type="dxa"/>
            <w:vAlign w:val="bottom"/>
          </w:tcPr>
          <w:p>
            <w:pPr>
              <w:spacing w:after="0"/>
              <w:rPr>
                <w:sz w:val="14"/>
                <w:szCs w:val="14"/>
                <w:color w:val="auto"/>
              </w:rPr>
            </w:pPr>
          </w:p>
        </w:tc>
        <w:tc>
          <w:tcPr>
            <w:tcW w:w="1080" w:type="dxa"/>
            <w:vAlign w:val="bottom"/>
          </w:tcPr>
          <w:p>
            <w:pPr>
              <w:jc w:val="right"/>
              <w:ind w:right="110"/>
              <w:spacing w:after="0"/>
              <w:rPr>
                <w:sz w:val="20"/>
                <w:szCs w:val="20"/>
                <w:color w:val="auto"/>
              </w:rPr>
            </w:pPr>
            <w:r>
              <w:rPr>
                <w:rFonts w:ascii="Arial" w:cs="Arial" w:eastAsia="Arial" w:hAnsi="Arial"/>
                <w:sz w:val="14"/>
                <w:szCs w:val="14"/>
                <w:color w:val="auto"/>
              </w:rPr>
              <w:t>–</w:t>
            </w:r>
          </w:p>
        </w:tc>
        <w:tc>
          <w:tcPr>
            <w:tcW w:w="1280" w:type="dxa"/>
            <w:vAlign w:val="bottom"/>
          </w:tcPr>
          <w:p>
            <w:pPr>
              <w:jc w:val="right"/>
              <w:ind w:right="169"/>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130"/>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170"/>
              <w:spacing w:after="0"/>
              <w:rPr>
                <w:sz w:val="20"/>
                <w:szCs w:val="20"/>
                <w:color w:val="auto"/>
              </w:rPr>
            </w:pPr>
            <w:r>
              <w:rPr>
                <w:rFonts w:ascii="Arial" w:cs="Arial" w:eastAsia="Arial" w:hAnsi="Arial"/>
                <w:sz w:val="14"/>
                <w:szCs w:val="14"/>
                <w:color w:val="auto"/>
              </w:rPr>
              <w:t>–</w:t>
            </w:r>
          </w:p>
        </w:tc>
      </w:tr>
      <w:tr>
        <w:trPr>
          <w:trHeight w:val="162"/>
        </w:trPr>
        <w:tc>
          <w:tcPr>
            <w:tcW w:w="2960" w:type="dxa"/>
            <w:vAlign w:val="bottom"/>
          </w:tcPr>
          <w:p>
            <w:pPr>
              <w:ind w:left="140"/>
              <w:spacing w:after="0"/>
              <w:rPr>
                <w:sz w:val="20"/>
                <w:szCs w:val="20"/>
                <w:color w:val="auto"/>
              </w:rPr>
            </w:pPr>
            <w:r>
              <w:rPr>
                <w:rFonts w:ascii="Arial" w:cs="Arial" w:eastAsia="Arial" w:hAnsi="Arial"/>
                <w:sz w:val="14"/>
                <w:szCs w:val="14"/>
                <w:color w:val="auto"/>
              </w:rPr>
              <w:t>July</w:t>
            </w:r>
          </w:p>
        </w:tc>
        <w:tc>
          <w:tcPr>
            <w:tcW w:w="960" w:type="dxa"/>
            <w:vAlign w:val="bottom"/>
          </w:tcPr>
          <w:p>
            <w:pPr>
              <w:jc w:val="right"/>
              <w:ind w:right="70"/>
              <w:spacing w:after="0"/>
              <w:rPr>
                <w:sz w:val="20"/>
                <w:szCs w:val="20"/>
                <w:color w:val="auto"/>
              </w:rPr>
            </w:pPr>
            <w:r>
              <w:rPr>
                <w:rFonts w:ascii="Arial" w:cs="Arial" w:eastAsia="Arial" w:hAnsi="Arial"/>
                <w:sz w:val="14"/>
                <w:szCs w:val="14"/>
                <w:color w:val="auto"/>
              </w:rPr>
              <w:t>–</w:t>
            </w:r>
          </w:p>
        </w:tc>
        <w:tc>
          <w:tcPr>
            <w:tcW w:w="1240" w:type="dxa"/>
            <w:vAlign w:val="bottom"/>
          </w:tcPr>
          <w:p>
            <w:pPr>
              <w:jc w:val="right"/>
              <w:ind w:right="169"/>
              <w:spacing w:after="0"/>
              <w:rPr>
                <w:sz w:val="20"/>
                <w:szCs w:val="20"/>
                <w:color w:val="auto"/>
              </w:rPr>
            </w:pPr>
            <w:r>
              <w:rPr>
                <w:rFonts w:ascii="Arial" w:cs="Arial" w:eastAsia="Arial" w:hAnsi="Arial"/>
                <w:sz w:val="14"/>
                <w:szCs w:val="14"/>
                <w:color w:val="auto"/>
              </w:rPr>
              <w:t>4,758,786</w:t>
            </w:r>
          </w:p>
        </w:tc>
        <w:tc>
          <w:tcPr>
            <w:tcW w:w="840" w:type="dxa"/>
            <w:vAlign w:val="bottom"/>
          </w:tcPr>
          <w:p>
            <w:pPr>
              <w:jc w:val="right"/>
              <w:ind w:right="170"/>
              <w:spacing w:after="0"/>
              <w:rPr>
                <w:sz w:val="20"/>
                <w:szCs w:val="20"/>
                <w:color w:val="auto"/>
              </w:rPr>
            </w:pPr>
            <w:r>
              <w:rPr>
                <w:rFonts w:ascii="Arial" w:cs="Arial" w:eastAsia="Arial" w:hAnsi="Arial"/>
                <w:sz w:val="14"/>
                <w:szCs w:val="14"/>
                <w:color w:val="auto"/>
              </w:rPr>
              <w:t>40.97</w:t>
            </w:r>
          </w:p>
        </w:tc>
        <w:tc>
          <w:tcPr>
            <w:tcW w:w="80" w:type="dxa"/>
            <w:vAlign w:val="bottom"/>
          </w:tcPr>
          <w:p>
            <w:pPr>
              <w:spacing w:after="0"/>
              <w:rPr>
                <w:sz w:val="14"/>
                <w:szCs w:val="14"/>
                <w:color w:val="auto"/>
              </w:rPr>
            </w:pPr>
          </w:p>
        </w:tc>
        <w:tc>
          <w:tcPr>
            <w:tcW w:w="1080" w:type="dxa"/>
            <w:vAlign w:val="bottom"/>
          </w:tcPr>
          <w:p>
            <w:pPr>
              <w:jc w:val="right"/>
              <w:ind w:right="110"/>
              <w:spacing w:after="0"/>
              <w:rPr>
                <w:sz w:val="20"/>
                <w:szCs w:val="20"/>
                <w:color w:val="auto"/>
              </w:rPr>
            </w:pPr>
            <w:r>
              <w:rPr>
                <w:rFonts w:ascii="Arial" w:cs="Arial" w:eastAsia="Arial" w:hAnsi="Arial"/>
                <w:sz w:val="14"/>
                <w:szCs w:val="14"/>
                <w:color w:val="auto"/>
              </w:rPr>
              <w:t>–</w:t>
            </w:r>
          </w:p>
        </w:tc>
        <w:tc>
          <w:tcPr>
            <w:tcW w:w="1280" w:type="dxa"/>
            <w:vAlign w:val="bottom"/>
          </w:tcPr>
          <w:p>
            <w:pPr>
              <w:jc w:val="right"/>
              <w:ind w:right="169"/>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130"/>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170"/>
              <w:spacing w:after="0"/>
              <w:rPr>
                <w:sz w:val="20"/>
                <w:szCs w:val="20"/>
                <w:color w:val="auto"/>
              </w:rPr>
            </w:pPr>
            <w:r>
              <w:rPr>
                <w:rFonts w:ascii="Arial" w:cs="Arial" w:eastAsia="Arial" w:hAnsi="Arial"/>
                <w:sz w:val="14"/>
                <w:szCs w:val="14"/>
                <w:color w:val="auto"/>
              </w:rPr>
              <w:t>–</w:t>
            </w:r>
          </w:p>
        </w:tc>
      </w:tr>
      <w:tr>
        <w:trPr>
          <w:trHeight w:val="162"/>
        </w:trPr>
        <w:tc>
          <w:tcPr>
            <w:tcW w:w="2960" w:type="dxa"/>
            <w:vAlign w:val="bottom"/>
          </w:tcPr>
          <w:p>
            <w:pPr>
              <w:ind w:left="140"/>
              <w:spacing w:after="0"/>
              <w:rPr>
                <w:sz w:val="20"/>
                <w:szCs w:val="20"/>
                <w:color w:val="auto"/>
              </w:rPr>
            </w:pPr>
            <w:r>
              <w:rPr>
                <w:rFonts w:ascii="Arial" w:cs="Arial" w:eastAsia="Arial" w:hAnsi="Arial"/>
                <w:sz w:val="14"/>
                <w:szCs w:val="14"/>
                <w:color w:val="auto"/>
              </w:rPr>
              <w:t>August</w:t>
            </w:r>
          </w:p>
        </w:tc>
        <w:tc>
          <w:tcPr>
            <w:tcW w:w="960" w:type="dxa"/>
            <w:vAlign w:val="bottom"/>
          </w:tcPr>
          <w:p>
            <w:pPr>
              <w:jc w:val="right"/>
              <w:ind w:right="70"/>
              <w:spacing w:after="0"/>
              <w:rPr>
                <w:sz w:val="20"/>
                <w:szCs w:val="20"/>
                <w:color w:val="auto"/>
              </w:rPr>
            </w:pPr>
            <w:r>
              <w:rPr>
                <w:rFonts w:ascii="Arial" w:cs="Arial" w:eastAsia="Arial" w:hAnsi="Arial"/>
                <w:sz w:val="14"/>
                <w:szCs w:val="14"/>
                <w:color w:val="auto"/>
              </w:rPr>
              <w:t>–</w:t>
            </w:r>
          </w:p>
        </w:tc>
        <w:tc>
          <w:tcPr>
            <w:tcW w:w="1240" w:type="dxa"/>
            <w:vAlign w:val="bottom"/>
          </w:tcPr>
          <w:p>
            <w:pPr>
              <w:jc w:val="right"/>
              <w:ind w:right="169"/>
              <w:spacing w:after="0"/>
              <w:rPr>
                <w:sz w:val="20"/>
                <w:szCs w:val="20"/>
                <w:color w:val="auto"/>
              </w:rPr>
            </w:pPr>
            <w:r>
              <w:rPr>
                <w:rFonts w:ascii="Arial" w:cs="Arial" w:eastAsia="Arial" w:hAnsi="Arial"/>
                <w:sz w:val="14"/>
                <w:szCs w:val="14"/>
                <w:color w:val="auto"/>
              </w:rPr>
              <w:t>5,611,290</w:t>
            </w:r>
          </w:p>
        </w:tc>
        <w:tc>
          <w:tcPr>
            <w:tcW w:w="840" w:type="dxa"/>
            <w:vAlign w:val="bottom"/>
          </w:tcPr>
          <w:p>
            <w:pPr>
              <w:jc w:val="right"/>
              <w:ind w:right="170"/>
              <w:spacing w:after="0"/>
              <w:rPr>
                <w:sz w:val="20"/>
                <w:szCs w:val="20"/>
                <w:color w:val="auto"/>
              </w:rPr>
            </w:pPr>
            <w:r>
              <w:rPr>
                <w:rFonts w:ascii="Arial" w:cs="Arial" w:eastAsia="Arial" w:hAnsi="Arial"/>
                <w:sz w:val="14"/>
                <w:szCs w:val="14"/>
                <w:color w:val="auto"/>
              </w:rPr>
              <w:t>40.01</w:t>
            </w:r>
          </w:p>
        </w:tc>
        <w:tc>
          <w:tcPr>
            <w:tcW w:w="80" w:type="dxa"/>
            <w:vAlign w:val="bottom"/>
          </w:tcPr>
          <w:p>
            <w:pPr>
              <w:spacing w:after="0"/>
              <w:rPr>
                <w:sz w:val="14"/>
                <w:szCs w:val="14"/>
                <w:color w:val="auto"/>
              </w:rPr>
            </w:pPr>
          </w:p>
        </w:tc>
        <w:tc>
          <w:tcPr>
            <w:tcW w:w="1080" w:type="dxa"/>
            <w:vAlign w:val="bottom"/>
          </w:tcPr>
          <w:p>
            <w:pPr>
              <w:jc w:val="right"/>
              <w:ind w:right="110"/>
              <w:spacing w:after="0"/>
              <w:rPr>
                <w:sz w:val="20"/>
                <w:szCs w:val="20"/>
                <w:color w:val="auto"/>
              </w:rPr>
            </w:pPr>
            <w:r>
              <w:rPr>
                <w:rFonts w:ascii="Arial" w:cs="Arial" w:eastAsia="Arial" w:hAnsi="Arial"/>
                <w:sz w:val="14"/>
                <w:szCs w:val="14"/>
                <w:color w:val="auto"/>
              </w:rPr>
              <w:t>–</w:t>
            </w:r>
          </w:p>
        </w:tc>
        <w:tc>
          <w:tcPr>
            <w:tcW w:w="1280" w:type="dxa"/>
            <w:vAlign w:val="bottom"/>
          </w:tcPr>
          <w:p>
            <w:pPr>
              <w:jc w:val="right"/>
              <w:ind w:right="169"/>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130"/>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170"/>
              <w:spacing w:after="0"/>
              <w:rPr>
                <w:sz w:val="20"/>
                <w:szCs w:val="20"/>
                <w:color w:val="auto"/>
              </w:rPr>
            </w:pPr>
            <w:r>
              <w:rPr>
                <w:rFonts w:ascii="Arial" w:cs="Arial" w:eastAsia="Arial" w:hAnsi="Arial"/>
                <w:sz w:val="14"/>
                <w:szCs w:val="14"/>
                <w:color w:val="auto"/>
              </w:rPr>
              <w:t>–</w:t>
            </w:r>
          </w:p>
        </w:tc>
      </w:tr>
      <w:tr>
        <w:trPr>
          <w:trHeight w:val="162"/>
        </w:trPr>
        <w:tc>
          <w:tcPr>
            <w:tcW w:w="2960" w:type="dxa"/>
            <w:vAlign w:val="bottom"/>
          </w:tcPr>
          <w:p>
            <w:pPr>
              <w:ind w:left="140"/>
              <w:spacing w:after="0"/>
              <w:rPr>
                <w:sz w:val="20"/>
                <w:szCs w:val="20"/>
                <w:color w:val="auto"/>
              </w:rPr>
            </w:pPr>
            <w:r>
              <w:rPr>
                <w:rFonts w:ascii="Arial" w:cs="Arial" w:eastAsia="Arial" w:hAnsi="Arial"/>
                <w:sz w:val="14"/>
                <w:szCs w:val="14"/>
                <w:color w:val="auto"/>
              </w:rPr>
              <w:t>September</w:t>
            </w:r>
          </w:p>
        </w:tc>
        <w:tc>
          <w:tcPr>
            <w:tcW w:w="960" w:type="dxa"/>
            <w:vAlign w:val="bottom"/>
          </w:tcPr>
          <w:p>
            <w:pPr>
              <w:jc w:val="right"/>
              <w:ind w:right="70"/>
              <w:spacing w:after="0"/>
              <w:rPr>
                <w:sz w:val="20"/>
                <w:szCs w:val="20"/>
                <w:color w:val="auto"/>
              </w:rPr>
            </w:pPr>
            <w:r>
              <w:rPr>
                <w:rFonts w:ascii="Arial" w:cs="Arial" w:eastAsia="Arial" w:hAnsi="Arial"/>
                <w:sz w:val="14"/>
                <w:szCs w:val="14"/>
                <w:color w:val="auto"/>
              </w:rPr>
              <w:t>300,000</w:t>
            </w:r>
          </w:p>
        </w:tc>
        <w:tc>
          <w:tcPr>
            <w:tcW w:w="1240" w:type="dxa"/>
            <w:vAlign w:val="bottom"/>
          </w:tcPr>
          <w:p>
            <w:pPr>
              <w:jc w:val="right"/>
              <w:ind w:right="169"/>
              <w:spacing w:after="0"/>
              <w:rPr>
                <w:sz w:val="20"/>
                <w:szCs w:val="20"/>
                <w:color w:val="auto"/>
              </w:rPr>
            </w:pPr>
            <w:r>
              <w:rPr>
                <w:rFonts w:ascii="Arial" w:cs="Arial" w:eastAsia="Arial" w:hAnsi="Arial"/>
                <w:sz w:val="14"/>
                <w:szCs w:val="14"/>
                <w:color w:val="auto"/>
              </w:rPr>
              <w:t>11,000,929</w:t>
            </w:r>
          </w:p>
        </w:tc>
        <w:tc>
          <w:tcPr>
            <w:tcW w:w="840" w:type="dxa"/>
            <w:vAlign w:val="bottom"/>
          </w:tcPr>
          <w:p>
            <w:pPr>
              <w:jc w:val="right"/>
              <w:ind w:right="170"/>
              <w:spacing w:after="0"/>
              <w:rPr>
                <w:sz w:val="20"/>
                <w:szCs w:val="20"/>
                <w:color w:val="auto"/>
              </w:rPr>
            </w:pPr>
            <w:r>
              <w:rPr>
                <w:rFonts w:ascii="Arial" w:cs="Arial" w:eastAsia="Arial" w:hAnsi="Arial"/>
                <w:sz w:val="14"/>
                <w:szCs w:val="14"/>
                <w:color w:val="auto"/>
              </w:rPr>
              <w:t>38.80</w:t>
            </w:r>
          </w:p>
        </w:tc>
        <w:tc>
          <w:tcPr>
            <w:tcW w:w="80" w:type="dxa"/>
            <w:vAlign w:val="bottom"/>
          </w:tcPr>
          <w:p>
            <w:pPr>
              <w:spacing w:after="0"/>
              <w:rPr>
                <w:sz w:val="14"/>
                <w:szCs w:val="14"/>
                <w:color w:val="auto"/>
              </w:rPr>
            </w:pPr>
          </w:p>
        </w:tc>
        <w:tc>
          <w:tcPr>
            <w:tcW w:w="1080" w:type="dxa"/>
            <w:vAlign w:val="bottom"/>
          </w:tcPr>
          <w:p>
            <w:pPr>
              <w:jc w:val="right"/>
              <w:ind w:right="110"/>
              <w:spacing w:after="0"/>
              <w:rPr>
                <w:sz w:val="20"/>
                <w:szCs w:val="20"/>
                <w:color w:val="auto"/>
              </w:rPr>
            </w:pPr>
            <w:r>
              <w:rPr>
                <w:rFonts w:ascii="Arial" w:cs="Arial" w:eastAsia="Arial" w:hAnsi="Arial"/>
                <w:sz w:val="14"/>
                <w:szCs w:val="14"/>
                <w:color w:val="auto"/>
              </w:rPr>
              <w:t>784,300</w:t>
            </w:r>
          </w:p>
        </w:tc>
        <w:tc>
          <w:tcPr>
            <w:tcW w:w="1280" w:type="dxa"/>
            <w:vAlign w:val="bottom"/>
          </w:tcPr>
          <w:p>
            <w:pPr>
              <w:jc w:val="right"/>
              <w:ind w:right="169"/>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150"/>
              <w:spacing w:after="0"/>
              <w:rPr>
                <w:sz w:val="20"/>
                <w:szCs w:val="20"/>
                <w:color w:val="auto"/>
              </w:rPr>
            </w:pPr>
            <w:r>
              <w:rPr>
                <w:rFonts w:ascii="Arial" w:cs="Arial" w:eastAsia="Arial" w:hAnsi="Arial"/>
                <w:sz w:val="14"/>
                <w:szCs w:val="14"/>
                <w:color w:val="auto"/>
              </w:rPr>
              <w:t>39.64</w:t>
            </w:r>
          </w:p>
        </w:tc>
        <w:tc>
          <w:tcPr>
            <w:tcW w:w="80" w:type="dxa"/>
            <w:vAlign w:val="bottom"/>
          </w:tcPr>
          <w:p>
            <w:pPr>
              <w:spacing w:after="0"/>
              <w:rPr>
                <w:sz w:val="14"/>
                <w:szCs w:val="14"/>
                <w:color w:val="auto"/>
              </w:rPr>
            </w:pPr>
          </w:p>
        </w:tc>
        <w:tc>
          <w:tcPr>
            <w:tcW w:w="1080" w:type="dxa"/>
            <w:vAlign w:val="bottom"/>
          </w:tcPr>
          <w:p>
            <w:pPr>
              <w:jc w:val="right"/>
              <w:ind w:right="130"/>
              <w:spacing w:after="0"/>
              <w:rPr>
                <w:sz w:val="20"/>
                <w:szCs w:val="20"/>
                <w:color w:val="auto"/>
              </w:rPr>
            </w:pPr>
            <w:r>
              <w:rPr>
                <w:rFonts w:ascii="Arial" w:cs="Arial" w:eastAsia="Arial" w:hAnsi="Arial"/>
                <w:sz w:val="14"/>
                <w:szCs w:val="14"/>
                <w:color w:val="auto"/>
              </w:rPr>
              <w:t>79,073</w:t>
            </w:r>
          </w:p>
        </w:tc>
        <w:tc>
          <w:tcPr>
            <w:tcW w:w="980" w:type="dxa"/>
            <w:vAlign w:val="bottom"/>
          </w:tcPr>
          <w:p>
            <w:pPr>
              <w:jc w:val="right"/>
              <w:ind w:right="170"/>
              <w:spacing w:after="0"/>
              <w:rPr>
                <w:sz w:val="20"/>
                <w:szCs w:val="20"/>
                <w:color w:val="auto"/>
              </w:rPr>
            </w:pPr>
            <w:r>
              <w:rPr>
                <w:rFonts w:ascii="Arial" w:cs="Arial" w:eastAsia="Arial" w:hAnsi="Arial"/>
                <w:sz w:val="14"/>
                <w:szCs w:val="14"/>
                <w:color w:val="auto"/>
              </w:rPr>
              <w:t>76.29</w:t>
            </w:r>
          </w:p>
        </w:tc>
      </w:tr>
      <w:tr>
        <w:trPr>
          <w:trHeight w:val="162"/>
        </w:trPr>
        <w:tc>
          <w:tcPr>
            <w:tcW w:w="2960" w:type="dxa"/>
            <w:vAlign w:val="bottom"/>
          </w:tcPr>
          <w:p>
            <w:pPr>
              <w:ind w:left="140"/>
              <w:spacing w:after="0"/>
              <w:rPr>
                <w:sz w:val="20"/>
                <w:szCs w:val="20"/>
                <w:color w:val="auto"/>
              </w:rPr>
            </w:pPr>
            <w:r>
              <w:rPr>
                <w:rFonts w:ascii="Arial" w:cs="Arial" w:eastAsia="Arial" w:hAnsi="Arial"/>
                <w:sz w:val="14"/>
                <w:szCs w:val="14"/>
                <w:color w:val="auto"/>
              </w:rPr>
              <w:t>October</w:t>
            </w:r>
          </w:p>
        </w:tc>
        <w:tc>
          <w:tcPr>
            <w:tcW w:w="960" w:type="dxa"/>
            <w:vAlign w:val="bottom"/>
          </w:tcPr>
          <w:p>
            <w:pPr>
              <w:jc w:val="right"/>
              <w:ind w:right="70"/>
              <w:spacing w:after="0"/>
              <w:rPr>
                <w:sz w:val="20"/>
                <w:szCs w:val="20"/>
                <w:color w:val="auto"/>
              </w:rPr>
            </w:pPr>
            <w:r>
              <w:rPr>
                <w:rFonts w:ascii="Arial" w:cs="Arial" w:eastAsia="Arial" w:hAnsi="Arial"/>
                <w:sz w:val="14"/>
                <w:szCs w:val="14"/>
                <w:color w:val="auto"/>
              </w:rPr>
              <w:t>123,925</w:t>
            </w:r>
          </w:p>
        </w:tc>
        <w:tc>
          <w:tcPr>
            <w:tcW w:w="1240" w:type="dxa"/>
            <w:vAlign w:val="bottom"/>
          </w:tcPr>
          <w:p>
            <w:pPr>
              <w:jc w:val="right"/>
              <w:ind w:right="169"/>
              <w:spacing w:after="0"/>
              <w:rPr>
                <w:sz w:val="20"/>
                <w:szCs w:val="20"/>
                <w:color w:val="auto"/>
              </w:rPr>
            </w:pPr>
            <w:r>
              <w:rPr>
                <w:rFonts w:ascii="Arial" w:cs="Arial" w:eastAsia="Arial" w:hAnsi="Arial"/>
                <w:sz w:val="14"/>
                <w:szCs w:val="14"/>
                <w:color w:val="auto"/>
              </w:rPr>
              <w:t>21,734,700</w:t>
            </w:r>
          </w:p>
        </w:tc>
        <w:tc>
          <w:tcPr>
            <w:tcW w:w="840" w:type="dxa"/>
            <w:vAlign w:val="bottom"/>
          </w:tcPr>
          <w:p>
            <w:pPr>
              <w:jc w:val="right"/>
              <w:ind w:right="170"/>
              <w:spacing w:after="0"/>
              <w:rPr>
                <w:sz w:val="20"/>
                <w:szCs w:val="20"/>
                <w:color w:val="auto"/>
              </w:rPr>
            </w:pPr>
            <w:r>
              <w:rPr>
                <w:rFonts w:ascii="Arial" w:cs="Arial" w:eastAsia="Arial" w:hAnsi="Arial"/>
                <w:sz w:val="14"/>
                <w:szCs w:val="14"/>
                <w:color w:val="auto"/>
              </w:rPr>
              <w:t>35.61</w:t>
            </w:r>
          </w:p>
        </w:tc>
        <w:tc>
          <w:tcPr>
            <w:tcW w:w="80" w:type="dxa"/>
            <w:vAlign w:val="bottom"/>
          </w:tcPr>
          <w:p>
            <w:pPr>
              <w:spacing w:after="0"/>
              <w:rPr>
                <w:sz w:val="14"/>
                <w:szCs w:val="14"/>
                <w:color w:val="auto"/>
              </w:rPr>
            </w:pPr>
          </w:p>
        </w:tc>
        <w:tc>
          <w:tcPr>
            <w:tcW w:w="1080" w:type="dxa"/>
            <w:vAlign w:val="bottom"/>
          </w:tcPr>
          <w:p>
            <w:pPr>
              <w:jc w:val="right"/>
              <w:ind w:right="110"/>
              <w:spacing w:after="0"/>
              <w:rPr>
                <w:sz w:val="20"/>
                <w:szCs w:val="20"/>
                <w:color w:val="auto"/>
              </w:rPr>
            </w:pPr>
            <w:r>
              <w:rPr>
                <w:rFonts w:ascii="Arial" w:cs="Arial" w:eastAsia="Arial" w:hAnsi="Arial"/>
                <w:sz w:val="14"/>
                <w:szCs w:val="14"/>
                <w:color w:val="auto"/>
              </w:rPr>
              <w:t>2,058,620</w:t>
            </w:r>
          </w:p>
        </w:tc>
        <w:tc>
          <w:tcPr>
            <w:tcW w:w="1280" w:type="dxa"/>
            <w:vAlign w:val="bottom"/>
          </w:tcPr>
          <w:p>
            <w:pPr>
              <w:jc w:val="right"/>
              <w:ind w:right="169"/>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150"/>
              <w:spacing w:after="0"/>
              <w:rPr>
                <w:sz w:val="20"/>
                <w:szCs w:val="20"/>
                <w:color w:val="auto"/>
              </w:rPr>
            </w:pPr>
            <w:r>
              <w:rPr>
                <w:rFonts w:ascii="Arial" w:cs="Arial" w:eastAsia="Arial" w:hAnsi="Arial"/>
                <w:sz w:val="14"/>
                <w:szCs w:val="14"/>
                <w:color w:val="auto"/>
              </w:rPr>
              <w:t>31.16</w:t>
            </w:r>
          </w:p>
        </w:tc>
        <w:tc>
          <w:tcPr>
            <w:tcW w:w="80" w:type="dxa"/>
            <w:vAlign w:val="bottom"/>
          </w:tcPr>
          <w:p>
            <w:pPr>
              <w:spacing w:after="0"/>
              <w:rPr>
                <w:sz w:val="14"/>
                <w:szCs w:val="14"/>
                <w:color w:val="auto"/>
              </w:rPr>
            </w:pPr>
          </w:p>
        </w:tc>
        <w:tc>
          <w:tcPr>
            <w:tcW w:w="1080" w:type="dxa"/>
            <w:vAlign w:val="bottom"/>
          </w:tcPr>
          <w:p>
            <w:pPr>
              <w:jc w:val="right"/>
              <w:ind w:right="130"/>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170"/>
              <w:spacing w:after="0"/>
              <w:rPr>
                <w:sz w:val="20"/>
                <w:szCs w:val="20"/>
                <w:color w:val="auto"/>
              </w:rPr>
            </w:pPr>
            <w:r>
              <w:rPr>
                <w:rFonts w:ascii="Arial" w:cs="Arial" w:eastAsia="Arial" w:hAnsi="Arial"/>
                <w:sz w:val="14"/>
                <w:szCs w:val="14"/>
                <w:color w:val="auto"/>
              </w:rPr>
              <w:t>–</w:t>
            </w:r>
          </w:p>
        </w:tc>
      </w:tr>
      <w:tr>
        <w:trPr>
          <w:trHeight w:val="162"/>
        </w:trPr>
        <w:tc>
          <w:tcPr>
            <w:tcW w:w="2960" w:type="dxa"/>
            <w:vAlign w:val="bottom"/>
          </w:tcPr>
          <w:p>
            <w:pPr>
              <w:ind w:left="140"/>
              <w:spacing w:after="0"/>
              <w:rPr>
                <w:sz w:val="20"/>
                <w:szCs w:val="20"/>
                <w:color w:val="auto"/>
              </w:rPr>
            </w:pPr>
            <w:r>
              <w:rPr>
                <w:rFonts w:ascii="Arial" w:cs="Arial" w:eastAsia="Arial" w:hAnsi="Arial"/>
                <w:sz w:val="14"/>
                <w:szCs w:val="14"/>
                <w:color w:val="auto"/>
              </w:rPr>
              <w:t>November</w:t>
            </w:r>
          </w:p>
        </w:tc>
        <w:tc>
          <w:tcPr>
            <w:tcW w:w="960" w:type="dxa"/>
            <w:vAlign w:val="bottom"/>
          </w:tcPr>
          <w:p>
            <w:pPr>
              <w:jc w:val="right"/>
              <w:ind w:right="70"/>
              <w:spacing w:after="0"/>
              <w:rPr>
                <w:sz w:val="20"/>
                <w:szCs w:val="20"/>
                <w:color w:val="auto"/>
              </w:rPr>
            </w:pPr>
            <w:r>
              <w:rPr>
                <w:rFonts w:ascii="Arial" w:cs="Arial" w:eastAsia="Arial" w:hAnsi="Arial"/>
                <w:sz w:val="14"/>
                <w:szCs w:val="14"/>
                <w:color w:val="auto"/>
              </w:rPr>
              <w:t>–</w:t>
            </w:r>
          </w:p>
        </w:tc>
        <w:tc>
          <w:tcPr>
            <w:tcW w:w="1240" w:type="dxa"/>
            <w:vAlign w:val="bottom"/>
          </w:tcPr>
          <w:p>
            <w:pPr>
              <w:jc w:val="right"/>
              <w:ind w:right="169"/>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320"/>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110"/>
              <w:spacing w:after="0"/>
              <w:rPr>
                <w:sz w:val="20"/>
                <w:szCs w:val="20"/>
                <w:color w:val="auto"/>
              </w:rPr>
            </w:pPr>
            <w:r>
              <w:rPr>
                <w:rFonts w:ascii="Arial" w:cs="Arial" w:eastAsia="Arial" w:hAnsi="Arial"/>
                <w:sz w:val="14"/>
                <w:szCs w:val="14"/>
                <w:color w:val="auto"/>
              </w:rPr>
              <w:t>–</w:t>
            </w:r>
          </w:p>
        </w:tc>
        <w:tc>
          <w:tcPr>
            <w:tcW w:w="1280" w:type="dxa"/>
            <w:vAlign w:val="bottom"/>
          </w:tcPr>
          <w:p>
            <w:pPr>
              <w:jc w:val="right"/>
              <w:ind w:right="169"/>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130"/>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170"/>
              <w:spacing w:after="0"/>
              <w:rPr>
                <w:sz w:val="20"/>
                <w:szCs w:val="20"/>
                <w:color w:val="auto"/>
              </w:rPr>
            </w:pPr>
            <w:r>
              <w:rPr>
                <w:rFonts w:ascii="Arial" w:cs="Arial" w:eastAsia="Arial" w:hAnsi="Arial"/>
                <w:sz w:val="14"/>
                <w:szCs w:val="14"/>
                <w:color w:val="auto"/>
              </w:rPr>
              <w:t>–</w:t>
            </w:r>
          </w:p>
        </w:tc>
      </w:tr>
      <w:tr>
        <w:trPr>
          <w:trHeight w:val="157"/>
        </w:trPr>
        <w:tc>
          <w:tcPr>
            <w:tcW w:w="2960" w:type="dxa"/>
            <w:vAlign w:val="bottom"/>
            <w:tcBorders>
              <w:bottom w:val="single" w:sz="8" w:color="auto"/>
            </w:tcBorders>
          </w:tcPr>
          <w:p>
            <w:pPr>
              <w:ind w:left="140"/>
              <w:spacing w:after="0" w:line="157" w:lineRule="exact"/>
              <w:rPr>
                <w:sz w:val="20"/>
                <w:szCs w:val="20"/>
                <w:color w:val="auto"/>
              </w:rPr>
            </w:pPr>
            <w:r>
              <w:rPr>
                <w:rFonts w:ascii="Arial" w:cs="Arial" w:eastAsia="Arial" w:hAnsi="Arial"/>
                <w:sz w:val="14"/>
                <w:szCs w:val="14"/>
                <w:color w:val="auto"/>
              </w:rPr>
              <w:t>December</w:t>
            </w:r>
          </w:p>
        </w:tc>
        <w:tc>
          <w:tcPr>
            <w:tcW w:w="960" w:type="dxa"/>
            <w:vAlign w:val="bottom"/>
            <w:tcBorders>
              <w:bottom w:val="single" w:sz="8" w:color="auto"/>
            </w:tcBorders>
          </w:tcPr>
          <w:p>
            <w:pPr>
              <w:jc w:val="right"/>
              <w:ind w:right="70"/>
              <w:spacing w:after="0" w:line="157" w:lineRule="exact"/>
              <w:rPr>
                <w:sz w:val="20"/>
                <w:szCs w:val="20"/>
                <w:color w:val="auto"/>
              </w:rPr>
            </w:pPr>
            <w:r>
              <w:rPr>
                <w:rFonts w:ascii="Arial" w:cs="Arial" w:eastAsia="Arial" w:hAnsi="Arial"/>
                <w:sz w:val="14"/>
                <w:szCs w:val="14"/>
                <w:color w:val="auto"/>
              </w:rPr>
              <w:t>283,600</w:t>
            </w:r>
          </w:p>
        </w:tc>
        <w:tc>
          <w:tcPr>
            <w:tcW w:w="1240" w:type="dxa"/>
            <w:vAlign w:val="bottom"/>
            <w:tcBorders>
              <w:bottom w:val="single" w:sz="8" w:color="auto"/>
            </w:tcBorders>
          </w:tcPr>
          <w:p>
            <w:pPr>
              <w:jc w:val="right"/>
              <w:ind w:right="169"/>
              <w:spacing w:after="0" w:line="157" w:lineRule="exact"/>
              <w:rPr>
                <w:sz w:val="20"/>
                <w:szCs w:val="20"/>
                <w:color w:val="auto"/>
              </w:rPr>
            </w:pPr>
            <w:r>
              <w:rPr>
                <w:rFonts w:ascii="Arial" w:cs="Arial" w:eastAsia="Arial" w:hAnsi="Arial"/>
                <w:sz w:val="14"/>
                <w:szCs w:val="14"/>
                <w:color w:val="auto"/>
              </w:rPr>
              <w:t>2,705,000</w:t>
            </w:r>
          </w:p>
        </w:tc>
        <w:tc>
          <w:tcPr>
            <w:tcW w:w="840" w:type="dxa"/>
            <w:vAlign w:val="bottom"/>
            <w:tcBorders>
              <w:bottom w:val="single" w:sz="8" w:color="auto"/>
            </w:tcBorders>
          </w:tcPr>
          <w:p>
            <w:pPr>
              <w:jc w:val="right"/>
              <w:ind w:right="170"/>
              <w:spacing w:after="0" w:line="157" w:lineRule="exact"/>
              <w:rPr>
                <w:sz w:val="20"/>
                <w:szCs w:val="20"/>
                <w:color w:val="auto"/>
              </w:rPr>
            </w:pPr>
            <w:r>
              <w:rPr>
                <w:rFonts w:ascii="Arial" w:cs="Arial" w:eastAsia="Arial" w:hAnsi="Arial"/>
                <w:sz w:val="14"/>
                <w:szCs w:val="14"/>
                <w:color w:val="auto"/>
              </w:rPr>
              <w:t>32.21</w:t>
            </w:r>
          </w:p>
        </w:tc>
        <w:tc>
          <w:tcPr>
            <w:tcW w:w="8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110"/>
              <w:spacing w:after="0" w:line="157" w:lineRule="exact"/>
              <w:rPr>
                <w:sz w:val="20"/>
                <w:szCs w:val="20"/>
                <w:color w:val="auto"/>
              </w:rPr>
            </w:pPr>
            <w:r>
              <w:rPr>
                <w:rFonts w:ascii="Arial" w:cs="Arial" w:eastAsia="Arial" w:hAnsi="Arial"/>
                <w:sz w:val="14"/>
                <w:szCs w:val="14"/>
                <w:color w:val="auto"/>
              </w:rPr>
              <w:t>149,740</w:t>
            </w:r>
          </w:p>
        </w:tc>
        <w:tc>
          <w:tcPr>
            <w:tcW w:w="1280" w:type="dxa"/>
            <w:vAlign w:val="bottom"/>
            <w:tcBorders>
              <w:bottom w:val="single" w:sz="8" w:color="auto"/>
            </w:tcBorders>
          </w:tcPr>
          <w:p>
            <w:pPr>
              <w:jc w:val="right"/>
              <w:ind w:right="169"/>
              <w:spacing w:after="0" w:line="157" w:lineRule="exact"/>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tcPr>
          <w:p>
            <w:pPr>
              <w:jc w:val="right"/>
              <w:ind w:right="150"/>
              <w:spacing w:after="0" w:line="157" w:lineRule="exact"/>
              <w:rPr>
                <w:sz w:val="20"/>
                <w:szCs w:val="20"/>
                <w:color w:val="auto"/>
              </w:rPr>
            </w:pPr>
            <w:r>
              <w:rPr>
                <w:rFonts w:ascii="Arial" w:cs="Arial" w:eastAsia="Arial" w:hAnsi="Arial"/>
                <w:sz w:val="14"/>
                <w:szCs w:val="14"/>
                <w:color w:val="auto"/>
              </w:rPr>
              <w:t>35.18</w:t>
            </w:r>
          </w:p>
        </w:tc>
        <w:tc>
          <w:tcPr>
            <w:tcW w:w="8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130"/>
              <w:spacing w:after="0" w:line="157" w:lineRule="exact"/>
              <w:rPr>
                <w:sz w:val="20"/>
                <w:szCs w:val="20"/>
                <w:color w:val="auto"/>
              </w:rPr>
            </w:pPr>
            <w:r>
              <w:rPr>
                <w:rFonts w:ascii="Arial" w:cs="Arial" w:eastAsia="Arial" w:hAnsi="Arial"/>
                <w:sz w:val="14"/>
                <w:szCs w:val="14"/>
                <w:color w:val="auto"/>
              </w:rPr>
              <w:t>89,253</w:t>
            </w:r>
          </w:p>
        </w:tc>
        <w:tc>
          <w:tcPr>
            <w:tcW w:w="980" w:type="dxa"/>
            <w:vAlign w:val="bottom"/>
            <w:tcBorders>
              <w:bottom w:val="single" w:sz="8" w:color="auto"/>
            </w:tcBorders>
          </w:tcPr>
          <w:p>
            <w:pPr>
              <w:jc w:val="right"/>
              <w:ind w:right="170"/>
              <w:spacing w:after="0" w:line="157" w:lineRule="exact"/>
              <w:rPr>
                <w:sz w:val="20"/>
                <w:szCs w:val="20"/>
                <w:color w:val="auto"/>
              </w:rPr>
            </w:pPr>
            <w:r>
              <w:rPr>
                <w:rFonts w:ascii="Arial" w:cs="Arial" w:eastAsia="Arial" w:hAnsi="Arial"/>
                <w:sz w:val="14"/>
                <w:szCs w:val="14"/>
                <w:color w:val="auto"/>
              </w:rPr>
              <w:t>68.30</w:t>
            </w:r>
          </w:p>
        </w:tc>
      </w:tr>
      <w:tr>
        <w:trPr>
          <w:trHeight w:val="156"/>
        </w:trPr>
        <w:tc>
          <w:tcPr>
            <w:tcW w:w="2960" w:type="dxa"/>
            <w:vAlign w:val="bottom"/>
            <w:tcBorders>
              <w:bottom w:val="single" w:sz="8" w:color="auto"/>
            </w:tcBorders>
          </w:tcPr>
          <w:p>
            <w:pPr>
              <w:spacing w:after="0" w:line="155" w:lineRule="exact"/>
              <w:rPr>
                <w:sz w:val="20"/>
                <w:szCs w:val="20"/>
                <w:color w:val="auto"/>
              </w:rPr>
            </w:pPr>
            <w:r>
              <w:rPr>
                <w:rFonts w:ascii="Arial" w:cs="Arial" w:eastAsia="Arial" w:hAnsi="Arial"/>
                <w:sz w:val="14"/>
                <w:szCs w:val="14"/>
                <w:color w:val="auto"/>
              </w:rPr>
              <w:t>Total 2014</w:t>
            </w:r>
          </w:p>
        </w:tc>
        <w:tc>
          <w:tcPr>
            <w:tcW w:w="960" w:type="dxa"/>
            <w:vAlign w:val="bottom"/>
            <w:tcBorders>
              <w:bottom w:val="single" w:sz="8" w:color="auto"/>
            </w:tcBorders>
          </w:tcPr>
          <w:p>
            <w:pPr>
              <w:jc w:val="right"/>
              <w:ind w:right="70"/>
              <w:spacing w:after="0" w:line="155" w:lineRule="exact"/>
              <w:rPr>
                <w:sz w:val="20"/>
                <w:szCs w:val="20"/>
                <w:color w:val="auto"/>
              </w:rPr>
            </w:pPr>
            <w:r>
              <w:rPr>
                <w:rFonts w:ascii="Arial" w:cs="Arial" w:eastAsia="Arial" w:hAnsi="Arial"/>
                <w:sz w:val="14"/>
                <w:szCs w:val="14"/>
                <w:color w:val="auto"/>
              </w:rPr>
              <w:t>707,525</w:t>
            </w:r>
          </w:p>
        </w:tc>
        <w:tc>
          <w:tcPr>
            <w:tcW w:w="1240" w:type="dxa"/>
            <w:vAlign w:val="bottom"/>
            <w:tcBorders>
              <w:bottom w:val="single" w:sz="8" w:color="auto"/>
            </w:tcBorders>
          </w:tcPr>
          <w:p>
            <w:pPr>
              <w:jc w:val="right"/>
              <w:ind w:right="169"/>
              <w:spacing w:after="0" w:line="155" w:lineRule="exact"/>
              <w:rPr>
                <w:sz w:val="20"/>
                <w:szCs w:val="20"/>
                <w:color w:val="auto"/>
              </w:rPr>
            </w:pPr>
            <w:r>
              <w:rPr>
                <w:rFonts w:ascii="Arial" w:cs="Arial" w:eastAsia="Arial" w:hAnsi="Arial"/>
                <w:sz w:val="14"/>
                <w:szCs w:val="14"/>
                <w:color w:val="auto"/>
              </w:rPr>
              <w:t>55,277,578</w:t>
            </w:r>
          </w:p>
        </w:tc>
        <w:tc>
          <w:tcPr>
            <w:tcW w:w="840" w:type="dxa"/>
            <w:vAlign w:val="bottom"/>
            <w:tcBorders>
              <w:bottom w:val="single" w:sz="8" w:color="auto"/>
            </w:tcBorders>
          </w:tcPr>
          <w:p>
            <w:pPr>
              <w:jc w:val="right"/>
              <w:ind w:right="170"/>
              <w:spacing w:after="0" w:line="155" w:lineRule="exact"/>
              <w:rPr>
                <w:sz w:val="20"/>
                <w:szCs w:val="20"/>
                <w:color w:val="auto"/>
              </w:rPr>
            </w:pPr>
            <w:r>
              <w:rPr>
                <w:rFonts w:ascii="Arial" w:cs="Arial" w:eastAsia="Arial" w:hAnsi="Arial"/>
                <w:sz w:val="14"/>
                <w:szCs w:val="14"/>
                <w:color w:val="auto"/>
              </w:rPr>
              <w:t>37.72</w:t>
            </w:r>
          </w:p>
        </w:tc>
        <w:tc>
          <w:tcPr>
            <w:tcW w:w="8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110"/>
              <w:spacing w:after="0" w:line="155" w:lineRule="exact"/>
              <w:rPr>
                <w:sz w:val="20"/>
                <w:szCs w:val="20"/>
                <w:color w:val="auto"/>
              </w:rPr>
            </w:pPr>
            <w:r>
              <w:rPr>
                <w:rFonts w:ascii="Arial" w:cs="Arial" w:eastAsia="Arial" w:hAnsi="Arial"/>
                <w:sz w:val="14"/>
                <w:szCs w:val="14"/>
                <w:color w:val="auto"/>
              </w:rPr>
              <w:t>2,992,660</w:t>
            </w:r>
          </w:p>
        </w:tc>
        <w:tc>
          <w:tcPr>
            <w:tcW w:w="1280" w:type="dxa"/>
            <w:vAlign w:val="bottom"/>
            <w:tcBorders>
              <w:bottom w:val="single" w:sz="8" w:color="auto"/>
            </w:tcBorders>
          </w:tcPr>
          <w:p>
            <w:pPr>
              <w:jc w:val="right"/>
              <w:ind w:right="169"/>
              <w:spacing w:after="0" w:line="155" w:lineRule="exact"/>
              <w:rPr>
                <w:sz w:val="20"/>
                <w:szCs w:val="20"/>
                <w:color w:val="auto"/>
              </w:rPr>
            </w:pPr>
            <w:r>
              <w:rPr>
                <w:rFonts w:ascii="Arial" w:cs="Arial" w:eastAsia="Arial" w:hAnsi="Arial"/>
                <w:sz w:val="14"/>
                <w:szCs w:val="14"/>
                <w:color w:val="auto"/>
              </w:rPr>
              <w:t>32,428,573</w:t>
            </w:r>
          </w:p>
        </w:tc>
        <w:tc>
          <w:tcPr>
            <w:tcW w:w="840" w:type="dxa"/>
            <w:vAlign w:val="bottom"/>
            <w:tcBorders>
              <w:bottom w:val="single" w:sz="8" w:color="auto"/>
            </w:tcBorders>
          </w:tcPr>
          <w:p>
            <w:pPr>
              <w:jc w:val="right"/>
              <w:ind w:right="150"/>
              <w:spacing w:after="0" w:line="155" w:lineRule="exact"/>
              <w:rPr>
                <w:sz w:val="20"/>
                <w:szCs w:val="20"/>
                <w:color w:val="auto"/>
              </w:rPr>
            </w:pPr>
            <w:r>
              <w:rPr>
                <w:rFonts w:ascii="Arial" w:cs="Arial" w:eastAsia="Arial" w:hAnsi="Arial"/>
                <w:sz w:val="14"/>
                <w:szCs w:val="14"/>
                <w:color w:val="auto"/>
              </w:rPr>
              <w:t>37.70</w:t>
            </w:r>
          </w:p>
        </w:tc>
        <w:tc>
          <w:tcPr>
            <w:tcW w:w="8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130"/>
              <w:spacing w:after="0" w:line="155" w:lineRule="exact"/>
              <w:rPr>
                <w:sz w:val="20"/>
                <w:szCs w:val="20"/>
                <w:color w:val="auto"/>
              </w:rPr>
            </w:pPr>
            <w:r>
              <w:rPr>
                <w:rFonts w:ascii="Arial" w:cs="Arial" w:eastAsia="Arial" w:hAnsi="Arial"/>
                <w:sz w:val="14"/>
                <w:szCs w:val="14"/>
                <w:color w:val="auto"/>
              </w:rPr>
              <w:t>1,106,997</w:t>
            </w:r>
          </w:p>
        </w:tc>
        <w:tc>
          <w:tcPr>
            <w:tcW w:w="980" w:type="dxa"/>
            <w:vAlign w:val="bottom"/>
            <w:tcBorders>
              <w:bottom w:val="single" w:sz="8" w:color="auto"/>
            </w:tcBorders>
          </w:tcPr>
          <w:p>
            <w:pPr>
              <w:jc w:val="right"/>
              <w:ind w:right="170"/>
              <w:spacing w:after="0" w:line="155" w:lineRule="exact"/>
              <w:rPr>
                <w:sz w:val="20"/>
                <w:szCs w:val="20"/>
                <w:color w:val="auto"/>
              </w:rPr>
            </w:pPr>
            <w:r>
              <w:rPr>
                <w:rFonts w:ascii="Arial" w:cs="Arial" w:eastAsia="Arial" w:hAnsi="Arial"/>
                <w:sz w:val="14"/>
                <w:szCs w:val="14"/>
                <w:color w:val="auto"/>
              </w:rPr>
              <w:t>71.00</w:t>
            </w:r>
          </w:p>
        </w:tc>
      </w:tr>
      <w:tr>
        <w:trPr>
          <w:trHeight w:val="160"/>
        </w:trPr>
        <w:tc>
          <w:tcPr>
            <w:tcW w:w="2960" w:type="dxa"/>
            <w:vAlign w:val="bottom"/>
          </w:tcPr>
          <w:p>
            <w:pPr>
              <w:spacing w:after="0"/>
              <w:rPr>
                <w:sz w:val="20"/>
                <w:szCs w:val="20"/>
                <w:color w:val="auto"/>
              </w:rPr>
            </w:pPr>
            <w:r>
              <w:rPr>
                <w:rFonts w:ascii="Arial" w:cs="Arial" w:eastAsia="Arial" w:hAnsi="Arial"/>
                <w:sz w:val="14"/>
                <w:szCs w:val="14"/>
                <w:color w:val="auto"/>
              </w:rPr>
              <w:t>2015</w:t>
            </w:r>
          </w:p>
        </w:tc>
        <w:tc>
          <w:tcPr>
            <w:tcW w:w="96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980" w:type="dxa"/>
            <w:vAlign w:val="bottom"/>
          </w:tcPr>
          <w:p>
            <w:pPr>
              <w:spacing w:after="0"/>
              <w:rPr>
                <w:sz w:val="13"/>
                <w:szCs w:val="13"/>
                <w:color w:val="auto"/>
              </w:rPr>
            </w:pPr>
          </w:p>
        </w:tc>
      </w:tr>
      <w:tr>
        <w:trPr>
          <w:trHeight w:val="162"/>
        </w:trPr>
        <w:tc>
          <w:tcPr>
            <w:tcW w:w="2960" w:type="dxa"/>
            <w:vAlign w:val="bottom"/>
          </w:tcPr>
          <w:p>
            <w:pPr>
              <w:ind w:left="140"/>
              <w:spacing w:after="0"/>
              <w:rPr>
                <w:sz w:val="20"/>
                <w:szCs w:val="20"/>
                <w:color w:val="auto"/>
              </w:rPr>
            </w:pPr>
            <w:r>
              <w:rPr>
                <w:rFonts w:ascii="Arial" w:cs="Arial" w:eastAsia="Arial" w:hAnsi="Arial"/>
                <w:sz w:val="14"/>
                <w:szCs w:val="14"/>
                <w:color w:val="auto"/>
              </w:rPr>
              <w:t>January</w:t>
            </w:r>
          </w:p>
        </w:tc>
        <w:tc>
          <w:tcPr>
            <w:tcW w:w="960" w:type="dxa"/>
            <w:vAlign w:val="bottom"/>
          </w:tcPr>
          <w:p>
            <w:pPr>
              <w:jc w:val="right"/>
              <w:ind w:right="70"/>
              <w:spacing w:after="0"/>
              <w:rPr>
                <w:sz w:val="20"/>
                <w:szCs w:val="20"/>
                <w:color w:val="auto"/>
              </w:rPr>
            </w:pPr>
            <w:r>
              <w:rPr>
                <w:rFonts w:ascii="Arial" w:cs="Arial" w:eastAsia="Arial" w:hAnsi="Arial"/>
                <w:sz w:val="14"/>
                <w:szCs w:val="14"/>
                <w:color w:val="auto"/>
              </w:rPr>
              <w:t>–</w:t>
            </w:r>
          </w:p>
        </w:tc>
        <w:tc>
          <w:tcPr>
            <w:tcW w:w="1240" w:type="dxa"/>
            <w:vAlign w:val="bottom"/>
          </w:tcPr>
          <w:p>
            <w:pPr>
              <w:jc w:val="right"/>
              <w:ind w:right="169"/>
              <w:spacing w:after="0"/>
              <w:rPr>
                <w:sz w:val="20"/>
                <w:szCs w:val="20"/>
                <w:color w:val="auto"/>
              </w:rPr>
            </w:pPr>
            <w:r>
              <w:rPr>
                <w:rFonts w:ascii="Arial" w:cs="Arial" w:eastAsia="Arial" w:hAnsi="Arial"/>
                <w:sz w:val="14"/>
                <w:szCs w:val="14"/>
                <w:color w:val="auto"/>
              </w:rPr>
              <w:t>12,717,512</w:t>
            </w:r>
          </w:p>
        </w:tc>
        <w:tc>
          <w:tcPr>
            <w:tcW w:w="840" w:type="dxa"/>
            <w:vAlign w:val="bottom"/>
          </w:tcPr>
          <w:p>
            <w:pPr>
              <w:jc w:val="right"/>
              <w:ind w:right="170"/>
              <w:spacing w:after="0"/>
              <w:rPr>
                <w:sz w:val="20"/>
                <w:szCs w:val="20"/>
                <w:color w:val="auto"/>
              </w:rPr>
            </w:pPr>
            <w:r>
              <w:rPr>
                <w:rFonts w:ascii="Arial" w:cs="Arial" w:eastAsia="Arial" w:hAnsi="Arial"/>
                <w:sz w:val="14"/>
                <w:szCs w:val="14"/>
                <w:color w:val="auto"/>
              </w:rPr>
              <w:t>32.15</w:t>
            </w:r>
          </w:p>
        </w:tc>
        <w:tc>
          <w:tcPr>
            <w:tcW w:w="80" w:type="dxa"/>
            <w:vAlign w:val="bottom"/>
          </w:tcPr>
          <w:p>
            <w:pPr>
              <w:spacing w:after="0"/>
              <w:rPr>
                <w:sz w:val="14"/>
                <w:szCs w:val="14"/>
                <w:color w:val="auto"/>
              </w:rPr>
            </w:pPr>
          </w:p>
        </w:tc>
        <w:tc>
          <w:tcPr>
            <w:tcW w:w="1080" w:type="dxa"/>
            <w:vAlign w:val="bottom"/>
          </w:tcPr>
          <w:p>
            <w:pPr>
              <w:jc w:val="right"/>
              <w:ind w:right="110"/>
              <w:spacing w:after="0"/>
              <w:rPr>
                <w:sz w:val="20"/>
                <w:szCs w:val="20"/>
                <w:color w:val="auto"/>
              </w:rPr>
            </w:pPr>
            <w:r>
              <w:rPr>
                <w:rFonts w:ascii="Arial" w:cs="Arial" w:eastAsia="Arial" w:hAnsi="Arial"/>
                <w:sz w:val="14"/>
                <w:szCs w:val="14"/>
                <w:color w:val="auto"/>
              </w:rPr>
              <w:t>–</w:t>
            </w:r>
          </w:p>
        </w:tc>
        <w:tc>
          <w:tcPr>
            <w:tcW w:w="1280" w:type="dxa"/>
            <w:vAlign w:val="bottom"/>
          </w:tcPr>
          <w:p>
            <w:pPr>
              <w:jc w:val="right"/>
              <w:ind w:right="169"/>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130"/>
              <w:spacing w:after="0"/>
              <w:rPr>
                <w:sz w:val="20"/>
                <w:szCs w:val="20"/>
                <w:color w:val="auto"/>
              </w:rPr>
            </w:pPr>
            <w:r>
              <w:rPr>
                <w:rFonts w:ascii="Arial" w:cs="Arial" w:eastAsia="Arial" w:hAnsi="Arial"/>
                <w:sz w:val="14"/>
                <w:szCs w:val="14"/>
                <w:color w:val="auto"/>
              </w:rPr>
              <w:t>1,133,754</w:t>
            </w:r>
          </w:p>
        </w:tc>
        <w:tc>
          <w:tcPr>
            <w:tcW w:w="980" w:type="dxa"/>
            <w:vAlign w:val="bottom"/>
          </w:tcPr>
          <w:p>
            <w:pPr>
              <w:jc w:val="right"/>
              <w:ind w:right="170"/>
              <w:spacing w:after="0"/>
              <w:rPr>
                <w:sz w:val="20"/>
                <w:szCs w:val="20"/>
                <w:color w:val="auto"/>
              </w:rPr>
            </w:pPr>
            <w:r>
              <w:rPr>
                <w:rFonts w:ascii="Arial" w:cs="Arial" w:eastAsia="Arial" w:hAnsi="Arial"/>
                <w:sz w:val="14"/>
                <w:szCs w:val="14"/>
                <w:color w:val="auto"/>
              </w:rPr>
              <w:t>65.00</w:t>
            </w:r>
          </w:p>
        </w:tc>
      </w:tr>
      <w:tr>
        <w:trPr>
          <w:trHeight w:val="157"/>
        </w:trPr>
        <w:tc>
          <w:tcPr>
            <w:tcW w:w="2960" w:type="dxa"/>
            <w:vAlign w:val="bottom"/>
            <w:tcBorders>
              <w:bottom w:val="single" w:sz="8" w:color="auto"/>
            </w:tcBorders>
          </w:tcPr>
          <w:p>
            <w:pPr>
              <w:ind w:left="140"/>
              <w:spacing w:after="0" w:line="157" w:lineRule="exact"/>
              <w:rPr>
                <w:sz w:val="20"/>
                <w:szCs w:val="20"/>
                <w:color w:val="auto"/>
              </w:rPr>
            </w:pPr>
            <w:r>
              <w:rPr>
                <w:rFonts w:ascii="Arial" w:cs="Arial" w:eastAsia="Arial" w:hAnsi="Arial"/>
                <w:sz w:val="14"/>
                <w:szCs w:val="14"/>
                <w:color w:val="auto"/>
              </w:rPr>
              <w:t>February</w:t>
            </w:r>
          </w:p>
        </w:tc>
        <w:tc>
          <w:tcPr>
            <w:tcW w:w="960" w:type="dxa"/>
            <w:vAlign w:val="bottom"/>
            <w:tcBorders>
              <w:bottom w:val="single" w:sz="8" w:color="auto"/>
            </w:tcBorders>
          </w:tcPr>
          <w:p>
            <w:pPr>
              <w:jc w:val="right"/>
              <w:ind w:right="70"/>
              <w:spacing w:after="0" w:line="157" w:lineRule="exact"/>
              <w:rPr>
                <w:sz w:val="20"/>
                <w:szCs w:val="20"/>
                <w:color w:val="auto"/>
              </w:rPr>
            </w:pPr>
            <w:r>
              <w:rPr>
                <w:rFonts w:ascii="Arial" w:cs="Arial" w:eastAsia="Arial" w:hAnsi="Arial"/>
                <w:sz w:val="14"/>
                <w:szCs w:val="14"/>
                <w:color w:val="auto"/>
              </w:rPr>
              <w:t>–</w:t>
            </w:r>
          </w:p>
        </w:tc>
        <w:tc>
          <w:tcPr>
            <w:tcW w:w="1240" w:type="dxa"/>
            <w:vAlign w:val="bottom"/>
            <w:tcBorders>
              <w:bottom w:val="single" w:sz="8" w:color="auto"/>
            </w:tcBorders>
          </w:tcPr>
          <w:p>
            <w:pPr>
              <w:jc w:val="right"/>
              <w:ind w:right="169"/>
              <w:spacing w:after="0" w:line="157" w:lineRule="exact"/>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gridSpan w:val="2"/>
          </w:tcPr>
          <w:p>
            <w:pPr>
              <w:jc w:val="right"/>
              <w:ind w:right="320"/>
              <w:spacing w:after="0" w:line="157" w:lineRule="exact"/>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ind w:right="110"/>
              <w:spacing w:after="0" w:line="157" w:lineRule="exact"/>
              <w:rPr>
                <w:sz w:val="20"/>
                <w:szCs w:val="20"/>
                <w:color w:val="auto"/>
              </w:rPr>
            </w:pPr>
            <w:r>
              <w:rPr>
                <w:rFonts w:ascii="Arial" w:cs="Arial" w:eastAsia="Arial" w:hAnsi="Arial"/>
                <w:sz w:val="14"/>
                <w:szCs w:val="14"/>
                <w:color w:val="auto"/>
              </w:rPr>
              <w:t>–</w:t>
            </w:r>
          </w:p>
        </w:tc>
        <w:tc>
          <w:tcPr>
            <w:tcW w:w="1280" w:type="dxa"/>
            <w:vAlign w:val="bottom"/>
            <w:tcBorders>
              <w:bottom w:val="single" w:sz="8" w:color="auto"/>
            </w:tcBorders>
          </w:tcPr>
          <w:p>
            <w:pPr>
              <w:jc w:val="right"/>
              <w:ind w:right="169"/>
              <w:spacing w:after="0" w:line="157" w:lineRule="exact"/>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gridSpan w:val="2"/>
          </w:tcPr>
          <w:p>
            <w:pPr>
              <w:jc w:val="right"/>
              <w:ind w:right="300"/>
              <w:spacing w:after="0" w:line="157" w:lineRule="exact"/>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ind w:right="130"/>
              <w:spacing w:after="0" w:line="157" w:lineRule="exact"/>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tcPr>
          <w:p>
            <w:pPr>
              <w:jc w:val="right"/>
              <w:ind w:right="170"/>
              <w:spacing w:after="0" w:line="157" w:lineRule="exact"/>
              <w:rPr>
                <w:sz w:val="20"/>
                <w:szCs w:val="20"/>
                <w:color w:val="auto"/>
              </w:rPr>
            </w:pPr>
            <w:r>
              <w:rPr>
                <w:rFonts w:ascii="Arial" w:cs="Arial" w:eastAsia="Arial" w:hAnsi="Arial"/>
                <w:sz w:val="14"/>
                <w:szCs w:val="14"/>
                <w:color w:val="auto"/>
              </w:rPr>
              <w:t>–</w:t>
            </w:r>
          </w:p>
        </w:tc>
      </w:tr>
      <w:tr>
        <w:trPr>
          <w:trHeight w:val="156"/>
        </w:trPr>
        <w:tc>
          <w:tcPr>
            <w:tcW w:w="2960" w:type="dxa"/>
            <w:vAlign w:val="bottom"/>
            <w:tcBorders>
              <w:bottom w:val="single" w:sz="8" w:color="auto"/>
            </w:tcBorders>
          </w:tcPr>
          <w:p>
            <w:pPr>
              <w:spacing w:after="0" w:line="155" w:lineRule="exact"/>
              <w:rPr>
                <w:sz w:val="20"/>
                <w:szCs w:val="20"/>
                <w:color w:val="auto"/>
              </w:rPr>
            </w:pPr>
            <w:r>
              <w:rPr>
                <w:rFonts w:ascii="Arial" w:cs="Arial" w:eastAsia="Arial" w:hAnsi="Arial"/>
                <w:sz w:val="14"/>
                <w:szCs w:val="14"/>
                <w:color w:val="auto"/>
              </w:rPr>
              <w:t>Total 2015 [D]</w:t>
            </w:r>
          </w:p>
        </w:tc>
        <w:tc>
          <w:tcPr>
            <w:tcW w:w="960" w:type="dxa"/>
            <w:vAlign w:val="bottom"/>
            <w:tcBorders>
              <w:bottom w:val="single" w:sz="8" w:color="auto"/>
            </w:tcBorders>
          </w:tcPr>
          <w:p>
            <w:pPr>
              <w:jc w:val="right"/>
              <w:ind w:right="70"/>
              <w:spacing w:after="0" w:line="155" w:lineRule="exact"/>
              <w:rPr>
                <w:sz w:val="20"/>
                <w:szCs w:val="20"/>
                <w:color w:val="auto"/>
              </w:rPr>
            </w:pPr>
            <w:r>
              <w:rPr>
                <w:rFonts w:ascii="Arial" w:cs="Arial" w:eastAsia="Arial" w:hAnsi="Arial"/>
                <w:sz w:val="14"/>
                <w:szCs w:val="14"/>
                <w:color w:val="auto"/>
              </w:rPr>
              <w:t>–</w:t>
            </w:r>
          </w:p>
        </w:tc>
        <w:tc>
          <w:tcPr>
            <w:tcW w:w="1240" w:type="dxa"/>
            <w:vAlign w:val="bottom"/>
            <w:tcBorders>
              <w:bottom w:val="single" w:sz="8" w:color="auto"/>
            </w:tcBorders>
          </w:tcPr>
          <w:p>
            <w:pPr>
              <w:jc w:val="right"/>
              <w:ind w:right="169"/>
              <w:spacing w:after="0" w:line="155" w:lineRule="exact"/>
              <w:rPr>
                <w:sz w:val="20"/>
                <w:szCs w:val="20"/>
                <w:color w:val="auto"/>
              </w:rPr>
            </w:pPr>
            <w:r>
              <w:rPr>
                <w:rFonts w:ascii="Arial" w:cs="Arial" w:eastAsia="Arial" w:hAnsi="Arial"/>
                <w:sz w:val="14"/>
                <w:szCs w:val="14"/>
                <w:color w:val="auto"/>
              </w:rPr>
              <w:t>12,717,512</w:t>
            </w:r>
          </w:p>
        </w:tc>
        <w:tc>
          <w:tcPr>
            <w:tcW w:w="840" w:type="dxa"/>
            <w:vAlign w:val="bottom"/>
            <w:tcBorders>
              <w:bottom w:val="single" w:sz="8" w:color="auto"/>
            </w:tcBorders>
          </w:tcPr>
          <w:p>
            <w:pPr>
              <w:jc w:val="right"/>
              <w:ind w:right="170"/>
              <w:spacing w:after="0" w:line="155" w:lineRule="exact"/>
              <w:rPr>
                <w:sz w:val="20"/>
                <w:szCs w:val="20"/>
                <w:color w:val="auto"/>
              </w:rPr>
            </w:pPr>
            <w:r>
              <w:rPr>
                <w:rFonts w:ascii="Arial" w:cs="Arial" w:eastAsia="Arial" w:hAnsi="Arial"/>
                <w:sz w:val="14"/>
                <w:szCs w:val="14"/>
                <w:color w:val="auto"/>
              </w:rPr>
              <w:t>32.15</w:t>
            </w:r>
          </w:p>
        </w:tc>
        <w:tc>
          <w:tcPr>
            <w:tcW w:w="8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110"/>
              <w:spacing w:after="0" w:line="155" w:lineRule="exact"/>
              <w:rPr>
                <w:sz w:val="20"/>
                <w:szCs w:val="20"/>
                <w:color w:val="auto"/>
              </w:rPr>
            </w:pPr>
            <w:r>
              <w:rPr>
                <w:rFonts w:ascii="Arial" w:cs="Arial" w:eastAsia="Arial" w:hAnsi="Arial"/>
                <w:sz w:val="14"/>
                <w:szCs w:val="14"/>
                <w:color w:val="auto"/>
              </w:rPr>
              <w:t>–</w:t>
            </w:r>
          </w:p>
        </w:tc>
        <w:tc>
          <w:tcPr>
            <w:tcW w:w="1280" w:type="dxa"/>
            <w:vAlign w:val="bottom"/>
            <w:tcBorders>
              <w:bottom w:val="single" w:sz="8" w:color="auto"/>
            </w:tcBorders>
          </w:tcPr>
          <w:p>
            <w:pPr>
              <w:jc w:val="right"/>
              <w:ind w:right="169"/>
              <w:spacing w:after="0" w:line="155" w:lineRule="exact"/>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gridSpan w:val="2"/>
          </w:tcPr>
          <w:p>
            <w:pPr>
              <w:jc w:val="right"/>
              <w:ind w:right="300"/>
              <w:spacing w:after="0" w:line="155" w:lineRule="exact"/>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ind w:right="130"/>
              <w:spacing w:after="0" w:line="155" w:lineRule="exact"/>
              <w:rPr>
                <w:sz w:val="20"/>
                <w:szCs w:val="20"/>
                <w:color w:val="auto"/>
              </w:rPr>
            </w:pPr>
            <w:r>
              <w:rPr>
                <w:rFonts w:ascii="Arial" w:cs="Arial" w:eastAsia="Arial" w:hAnsi="Arial"/>
                <w:sz w:val="14"/>
                <w:szCs w:val="14"/>
                <w:color w:val="auto"/>
              </w:rPr>
              <w:t>1,133,754</w:t>
            </w:r>
          </w:p>
        </w:tc>
        <w:tc>
          <w:tcPr>
            <w:tcW w:w="980" w:type="dxa"/>
            <w:vAlign w:val="bottom"/>
            <w:tcBorders>
              <w:bottom w:val="single" w:sz="8" w:color="auto"/>
            </w:tcBorders>
          </w:tcPr>
          <w:p>
            <w:pPr>
              <w:jc w:val="right"/>
              <w:ind w:right="170"/>
              <w:spacing w:after="0" w:line="155" w:lineRule="exact"/>
              <w:rPr>
                <w:sz w:val="20"/>
                <w:szCs w:val="20"/>
                <w:color w:val="auto"/>
              </w:rPr>
            </w:pPr>
            <w:r>
              <w:rPr>
                <w:rFonts w:ascii="Arial" w:cs="Arial" w:eastAsia="Arial" w:hAnsi="Arial"/>
                <w:sz w:val="14"/>
                <w:szCs w:val="14"/>
                <w:color w:val="auto"/>
              </w:rPr>
              <w:t>65.00</w:t>
            </w:r>
          </w:p>
        </w:tc>
      </w:tr>
    </w:tbl>
    <w:p>
      <w:pPr>
        <w:spacing w:after="0" w:line="32" w:lineRule="exact"/>
        <w:rPr>
          <w:sz w:val="20"/>
          <w:szCs w:val="20"/>
          <w:color w:val="auto"/>
        </w:rPr>
      </w:pPr>
    </w:p>
    <w:p>
      <w:pPr>
        <w:ind w:left="180" w:hanging="172"/>
        <w:spacing w:after="0"/>
        <w:tabs>
          <w:tab w:leader="none" w:pos="180" w:val="left"/>
        </w:tabs>
        <w:numPr>
          <w:ilvl w:val="0"/>
          <w:numId w:val="50"/>
        </w:numPr>
        <w:rPr>
          <w:rFonts w:ascii="Arial" w:cs="Arial" w:eastAsia="Arial" w:hAnsi="Arial"/>
          <w:sz w:val="11"/>
          <w:szCs w:val="11"/>
          <w:color w:val="auto"/>
        </w:rPr>
      </w:pPr>
      <w:r>
        <w:rPr>
          <w:rFonts w:ascii="Arial" w:cs="Arial" w:eastAsia="Arial" w:hAnsi="Arial"/>
          <w:sz w:val="11"/>
          <w:szCs w:val="11"/>
          <w:color w:val="auto"/>
        </w:rPr>
        <w:t>Excludes shares issued to affiliated purchasers pursuant to the Scrip Dividend Programme.</w:t>
      </w:r>
    </w:p>
    <w:p>
      <w:pPr>
        <w:ind w:left="180" w:hanging="172"/>
        <w:spacing w:after="0" w:line="230" w:lineRule="auto"/>
        <w:tabs>
          <w:tab w:leader="none" w:pos="180" w:val="left"/>
        </w:tabs>
        <w:numPr>
          <w:ilvl w:val="0"/>
          <w:numId w:val="50"/>
        </w:numPr>
        <w:rPr>
          <w:rFonts w:ascii="Arial" w:cs="Arial" w:eastAsia="Arial" w:hAnsi="Arial"/>
          <w:sz w:val="11"/>
          <w:szCs w:val="11"/>
          <w:color w:val="auto"/>
        </w:rPr>
      </w:pPr>
      <w:r>
        <w:rPr>
          <w:rFonts w:ascii="Arial" w:cs="Arial" w:eastAsia="Arial" w:hAnsi="Arial"/>
          <w:sz w:val="11"/>
          <w:szCs w:val="11"/>
          <w:color w:val="auto"/>
        </w:rPr>
        <w:t>Average price paid per share includes stamp duty and brokers’ commission.</w:t>
      </w:r>
    </w:p>
    <w:p>
      <w:pPr>
        <w:ind w:left="180" w:hanging="172"/>
        <w:spacing w:after="0" w:line="230" w:lineRule="auto"/>
        <w:tabs>
          <w:tab w:leader="none" w:pos="180" w:val="left"/>
        </w:tabs>
        <w:numPr>
          <w:ilvl w:val="0"/>
          <w:numId w:val="50"/>
        </w:numPr>
        <w:rPr>
          <w:rFonts w:ascii="Arial" w:cs="Arial" w:eastAsia="Arial" w:hAnsi="Arial"/>
          <w:sz w:val="11"/>
          <w:szCs w:val="11"/>
          <w:color w:val="auto"/>
        </w:rPr>
      </w:pPr>
      <w:r>
        <w:rPr>
          <w:rFonts w:ascii="Arial" w:cs="Arial" w:eastAsia="Arial" w:hAnsi="Arial"/>
          <w:sz w:val="11"/>
          <w:szCs w:val="11"/>
          <w:color w:val="auto"/>
        </w:rPr>
        <w:t>Under the share buyback programme.</w:t>
      </w:r>
    </w:p>
    <w:p>
      <w:pPr>
        <w:ind w:left="180" w:hanging="172"/>
        <w:spacing w:after="0"/>
        <w:tabs>
          <w:tab w:leader="none" w:pos="180" w:val="left"/>
        </w:tabs>
        <w:numPr>
          <w:ilvl w:val="0"/>
          <w:numId w:val="50"/>
        </w:numPr>
        <w:rPr>
          <w:rFonts w:ascii="Arial" w:cs="Arial" w:eastAsia="Arial" w:hAnsi="Arial"/>
          <w:sz w:val="11"/>
          <w:szCs w:val="11"/>
          <w:color w:val="auto"/>
        </w:rPr>
      </w:pPr>
      <w:r>
        <w:rPr>
          <w:rFonts w:ascii="Arial" w:cs="Arial" w:eastAsia="Arial" w:hAnsi="Arial"/>
          <w:sz w:val="11"/>
          <w:szCs w:val="11"/>
          <w:color w:val="auto"/>
        </w:rPr>
        <w:t>As at February 17, 2015.</w:t>
      </w:r>
    </w:p>
    <w:p>
      <w:pPr>
        <w:sectPr>
          <w:pgSz w:w="11900" w:h="16838" w:orient="portrait"/>
          <w:cols w:equalWidth="0" w:num="1">
            <w:col w:w="11420"/>
          </w:cols>
          <w:pgMar w:left="240" w:top="459" w:right="239" w:bottom="1440" w:gutter="0" w:footer="0" w:header="0"/>
          <w:type w:val="continuous"/>
        </w:sectPr>
      </w:pPr>
    </w:p>
    <w:bookmarkStart w:id="52" w:name="page53"/>
    <w:bookmarkEnd w:id="52"/>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3555365</wp:posOffset>
            </wp:positionH>
            <wp:positionV relativeFrom="paragraph">
              <wp:posOffset>314960</wp:posOffset>
            </wp:positionV>
            <wp:extent cx="3696335" cy="46291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3696335" cy="462915"/>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11"/>
          <w:szCs w:val="11"/>
          <w:color w:val="auto"/>
        </w:rPr>
        <w:t>SHELL ANNUAL REPORT AND FORM 20-F 2014</w:t>
      </w:r>
    </w:p>
    <w:p>
      <w:pPr>
        <w:spacing w:after="0" w:line="51" w:lineRule="exact"/>
        <w:rPr>
          <w:sz w:val="20"/>
          <w:szCs w:val="20"/>
          <w:color w:val="auto"/>
        </w:rPr>
      </w:pPr>
    </w:p>
    <w:p>
      <w:pPr>
        <w:spacing w:after="0"/>
        <w:rPr>
          <w:sz w:val="20"/>
          <w:szCs w:val="20"/>
          <w:color w:val="auto"/>
        </w:rPr>
      </w:pPr>
      <w:r>
        <w:rPr>
          <w:rFonts w:ascii="Arial" w:cs="Arial" w:eastAsia="Arial" w:hAnsi="Arial"/>
          <w:sz w:val="18"/>
          <w:szCs w:val="18"/>
          <w:color w:val="auto"/>
        </w:rPr>
        <w:t>CONTRACTUAL OBLIGATIONS</w:t>
      </w:r>
    </w:p>
    <w:p>
      <w:pPr>
        <w:spacing w:after="0" w:line="1" w:lineRule="exact"/>
        <w:rPr>
          <w:sz w:val="20"/>
          <w:szCs w:val="20"/>
          <w:color w:val="auto"/>
        </w:rPr>
      </w:pPr>
    </w:p>
    <w:p>
      <w:pPr>
        <w:jc w:val="both"/>
        <w:ind w:right="20"/>
        <w:spacing w:after="0" w:line="250" w:lineRule="auto"/>
        <w:rPr>
          <w:sz w:val="20"/>
          <w:szCs w:val="20"/>
          <w:color w:val="auto"/>
        </w:rPr>
      </w:pPr>
      <w:r>
        <w:rPr>
          <w:rFonts w:ascii="Arial" w:cs="Arial" w:eastAsia="Arial" w:hAnsi="Arial"/>
          <w:sz w:val="14"/>
          <w:szCs w:val="14"/>
          <w:color w:val="auto"/>
        </w:rPr>
        <w:t>The table below summarises Shell’s principal contractual obligations at December 31, 2014, by expected settlement period. The amounts presented have not been offset by any committed third-party revenue in relation to these obligations.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360" w:type="dxa"/>
            <w:vAlign w:val="bottom"/>
            <w:shd w:val="clear" w:color="auto" w:fill="333333"/>
          </w:tcPr>
          <w:p>
            <w:pPr>
              <w:ind w:left="80"/>
              <w:spacing w:after="0"/>
              <w:rPr>
                <w:sz w:val="20"/>
                <w:szCs w:val="20"/>
                <w:color w:val="auto"/>
              </w:rPr>
            </w:pPr>
            <w:r>
              <w:rPr>
                <w:rFonts w:ascii="Arial" w:cs="Arial" w:eastAsia="Arial" w:hAnsi="Arial"/>
                <w:sz w:val="15"/>
                <w:szCs w:val="15"/>
                <w:b w:val="1"/>
                <w:bCs w:val="1"/>
                <w:color w:val="FFFFFF"/>
              </w:rPr>
              <w:t>CONTRACTUAL OBLIGATIONS</w:t>
            </w:r>
          </w:p>
        </w:tc>
        <w:tc>
          <w:tcPr>
            <w:tcW w:w="520" w:type="dxa"/>
            <w:vAlign w:val="bottom"/>
            <w:shd w:val="clear" w:color="auto" w:fill="333333"/>
          </w:tcPr>
          <w:p>
            <w:pPr>
              <w:spacing w:after="0"/>
              <w:rPr>
                <w:sz w:val="14"/>
                <w:szCs w:val="14"/>
                <w:color w:val="auto"/>
              </w:rPr>
            </w:pPr>
          </w:p>
        </w:tc>
        <w:tc>
          <w:tcPr>
            <w:tcW w:w="720" w:type="dxa"/>
            <w:vAlign w:val="bottom"/>
            <w:shd w:val="clear" w:color="auto" w:fill="333333"/>
          </w:tcPr>
          <w:p>
            <w:pPr>
              <w:spacing w:after="0"/>
              <w:rPr>
                <w:sz w:val="14"/>
                <w:szCs w:val="14"/>
                <w:color w:val="auto"/>
              </w:rPr>
            </w:pPr>
          </w:p>
        </w:tc>
        <w:tc>
          <w:tcPr>
            <w:tcW w:w="720" w:type="dxa"/>
            <w:vAlign w:val="bottom"/>
            <w:shd w:val="clear" w:color="auto" w:fill="333333"/>
          </w:tcPr>
          <w:p>
            <w:pPr>
              <w:spacing w:after="0"/>
              <w:rPr>
                <w:sz w:val="14"/>
                <w:szCs w:val="14"/>
                <w:color w:val="auto"/>
              </w:rPr>
            </w:pPr>
          </w:p>
        </w:tc>
        <w:tc>
          <w:tcPr>
            <w:tcW w:w="1160" w:type="dxa"/>
            <w:vAlign w:val="bottom"/>
            <w:gridSpan w:val="2"/>
            <w:shd w:val="clear" w:color="auto" w:fill="333333"/>
          </w:tcPr>
          <w:p>
            <w:pPr>
              <w:jc w:val="right"/>
              <w:ind w:right="29"/>
              <w:spacing w:after="0"/>
              <w:rPr>
                <w:sz w:val="20"/>
                <w:szCs w:val="20"/>
                <w:color w:val="auto"/>
              </w:rPr>
            </w:pPr>
            <w:r>
              <w:rPr>
                <w:rFonts w:ascii="Arial" w:cs="Arial" w:eastAsia="Arial" w:hAnsi="Arial"/>
                <w:sz w:val="15"/>
                <w:szCs w:val="15"/>
                <w:color w:val="FFFFFF"/>
              </w:rPr>
              <w:t>$ BILLION</w:t>
            </w:r>
          </w:p>
        </w:tc>
      </w:tr>
      <w:tr>
        <w:trPr>
          <w:trHeight w:val="129"/>
        </w:trPr>
        <w:tc>
          <w:tcPr>
            <w:tcW w:w="2360" w:type="dxa"/>
            <w:vAlign w:val="bottom"/>
          </w:tcPr>
          <w:p>
            <w:pPr>
              <w:spacing w:after="0"/>
              <w:rPr>
                <w:sz w:val="11"/>
                <w:szCs w:val="11"/>
                <w:color w:val="auto"/>
              </w:rPr>
            </w:pPr>
          </w:p>
        </w:tc>
        <w:tc>
          <w:tcPr>
            <w:tcW w:w="520" w:type="dxa"/>
            <w:vAlign w:val="bottom"/>
          </w:tcPr>
          <w:p>
            <w:pPr>
              <w:jc w:val="right"/>
              <w:ind w:right="51"/>
              <w:spacing w:after="0" w:line="129" w:lineRule="exact"/>
              <w:rPr>
                <w:sz w:val="20"/>
                <w:szCs w:val="20"/>
                <w:color w:val="auto"/>
              </w:rPr>
            </w:pPr>
            <w:r>
              <w:rPr>
                <w:rFonts w:ascii="Arial" w:cs="Arial" w:eastAsia="Arial" w:hAnsi="Arial"/>
                <w:sz w:val="13"/>
                <w:szCs w:val="13"/>
                <w:color w:val="auto"/>
              </w:rPr>
              <w:t>Less</w:t>
            </w:r>
          </w:p>
        </w:tc>
        <w:tc>
          <w:tcPr>
            <w:tcW w:w="720" w:type="dxa"/>
            <w:vAlign w:val="bottom"/>
          </w:tcPr>
          <w:p>
            <w:pPr>
              <w:jc w:val="right"/>
              <w:ind w:right="51"/>
              <w:spacing w:after="0" w:line="129" w:lineRule="exact"/>
              <w:rPr>
                <w:sz w:val="20"/>
                <w:szCs w:val="20"/>
                <w:color w:val="auto"/>
              </w:rPr>
            </w:pPr>
            <w:r>
              <w:rPr>
                <w:rFonts w:ascii="Arial" w:cs="Arial" w:eastAsia="Arial" w:hAnsi="Arial"/>
                <w:sz w:val="13"/>
                <w:szCs w:val="13"/>
                <w:color w:val="auto"/>
              </w:rPr>
              <w:t>Between</w:t>
            </w:r>
          </w:p>
        </w:tc>
        <w:tc>
          <w:tcPr>
            <w:tcW w:w="720" w:type="dxa"/>
            <w:vAlign w:val="bottom"/>
          </w:tcPr>
          <w:p>
            <w:pPr>
              <w:jc w:val="right"/>
              <w:ind w:right="31"/>
              <w:spacing w:after="0" w:line="129" w:lineRule="exact"/>
              <w:rPr>
                <w:sz w:val="20"/>
                <w:szCs w:val="20"/>
                <w:color w:val="auto"/>
              </w:rPr>
            </w:pPr>
            <w:r>
              <w:rPr>
                <w:rFonts w:ascii="Arial" w:cs="Arial" w:eastAsia="Arial" w:hAnsi="Arial"/>
                <w:sz w:val="13"/>
                <w:szCs w:val="13"/>
                <w:color w:val="auto"/>
              </w:rPr>
              <w:t>Between</w:t>
            </w:r>
          </w:p>
        </w:tc>
        <w:tc>
          <w:tcPr>
            <w:tcW w:w="640" w:type="dxa"/>
            <w:vAlign w:val="bottom"/>
          </w:tcPr>
          <w:p>
            <w:pPr>
              <w:jc w:val="right"/>
              <w:ind w:right="30"/>
              <w:spacing w:after="0" w:line="129" w:lineRule="exact"/>
              <w:rPr>
                <w:sz w:val="20"/>
                <w:szCs w:val="20"/>
                <w:color w:val="auto"/>
              </w:rPr>
            </w:pPr>
            <w:r>
              <w:rPr>
                <w:rFonts w:ascii="Arial" w:cs="Arial" w:eastAsia="Arial" w:hAnsi="Arial"/>
                <w:sz w:val="13"/>
                <w:szCs w:val="13"/>
                <w:color w:val="auto"/>
              </w:rPr>
              <w:t>5 years</w:t>
            </w:r>
          </w:p>
        </w:tc>
        <w:tc>
          <w:tcPr>
            <w:tcW w:w="520" w:type="dxa"/>
            <w:vAlign w:val="bottom"/>
          </w:tcPr>
          <w:p>
            <w:pPr>
              <w:spacing w:after="0"/>
              <w:rPr>
                <w:sz w:val="11"/>
                <w:szCs w:val="11"/>
                <w:color w:val="auto"/>
              </w:rPr>
            </w:pPr>
          </w:p>
        </w:tc>
      </w:tr>
      <w:tr>
        <w:trPr>
          <w:trHeight w:val="135"/>
        </w:trPr>
        <w:tc>
          <w:tcPr>
            <w:tcW w:w="2360" w:type="dxa"/>
            <w:vAlign w:val="bottom"/>
          </w:tcPr>
          <w:p>
            <w:pPr>
              <w:spacing w:after="0"/>
              <w:rPr>
                <w:sz w:val="11"/>
                <w:szCs w:val="11"/>
                <w:color w:val="auto"/>
              </w:rPr>
            </w:pPr>
          </w:p>
        </w:tc>
        <w:tc>
          <w:tcPr>
            <w:tcW w:w="520" w:type="dxa"/>
            <w:vAlign w:val="bottom"/>
          </w:tcPr>
          <w:p>
            <w:pPr>
              <w:jc w:val="right"/>
              <w:ind w:right="51"/>
              <w:spacing w:after="0" w:line="135" w:lineRule="exact"/>
              <w:rPr>
                <w:sz w:val="20"/>
                <w:szCs w:val="20"/>
                <w:color w:val="auto"/>
              </w:rPr>
            </w:pPr>
            <w:r>
              <w:rPr>
                <w:rFonts w:ascii="Arial" w:cs="Arial" w:eastAsia="Arial" w:hAnsi="Arial"/>
                <w:sz w:val="13"/>
                <w:szCs w:val="13"/>
                <w:color w:val="auto"/>
              </w:rPr>
              <w:t>than</w:t>
            </w:r>
          </w:p>
        </w:tc>
        <w:tc>
          <w:tcPr>
            <w:tcW w:w="720" w:type="dxa"/>
            <w:vAlign w:val="bottom"/>
          </w:tcPr>
          <w:p>
            <w:pPr>
              <w:jc w:val="right"/>
              <w:ind w:right="51"/>
              <w:spacing w:after="0" w:line="135" w:lineRule="exact"/>
              <w:rPr>
                <w:sz w:val="20"/>
                <w:szCs w:val="20"/>
                <w:color w:val="auto"/>
              </w:rPr>
            </w:pPr>
            <w:r>
              <w:rPr>
                <w:rFonts w:ascii="Arial" w:cs="Arial" w:eastAsia="Arial" w:hAnsi="Arial"/>
                <w:sz w:val="13"/>
                <w:szCs w:val="13"/>
                <w:color w:val="auto"/>
              </w:rPr>
              <w:t>1 and 3</w:t>
            </w:r>
          </w:p>
        </w:tc>
        <w:tc>
          <w:tcPr>
            <w:tcW w:w="720" w:type="dxa"/>
            <w:vAlign w:val="bottom"/>
          </w:tcPr>
          <w:p>
            <w:pPr>
              <w:jc w:val="right"/>
              <w:ind w:right="31"/>
              <w:spacing w:after="0" w:line="135" w:lineRule="exact"/>
              <w:rPr>
                <w:sz w:val="20"/>
                <w:szCs w:val="20"/>
                <w:color w:val="auto"/>
              </w:rPr>
            </w:pPr>
            <w:r>
              <w:rPr>
                <w:rFonts w:ascii="Arial" w:cs="Arial" w:eastAsia="Arial" w:hAnsi="Arial"/>
                <w:sz w:val="13"/>
                <w:szCs w:val="13"/>
                <w:color w:val="auto"/>
              </w:rPr>
              <w:t>3 and 5</w:t>
            </w:r>
          </w:p>
        </w:tc>
        <w:tc>
          <w:tcPr>
            <w:tcW w:w="640" w:type="dxa"/>
            <w:vAlign w:val="bottom"/>
          </w:tcPr>
          <w:p>
            <w:pPr>
              <w:jc w:val="right"/>
              <w:ind w:right="30"/>
              <w:spacing w:after="0" w:line="135" w:lineRule="exact"/>
              <w:rPr>
                <w:sz w:val="20"/>
                <w:szCs w:val="20"/>
                <w:color w:val="auto"/>
              </w:rPr>
            </w:pPr>
            <w:r>
              <w:rPr>
                <w:rFonts w:ascii="Arial" w:cs="Arial" w:eastAsia="Arial" w:hAnsi="Arial"/>
                <w:sz w:val="13"/>
                <w:szCs w:val="13"/>
                <w:color w:val="auto"/>
              </w:rPr>
              <w:t>and</w:t>
            </w:r>
          </w:p>
        </w:tc>
        <w:tc>
          <w:tcPr>
            <w:tcW w:w="520" w:type="dxa"/>
            <w:vAlign w:val="bottom"/>
          </w:tcPr>
          <w:p>
            <w:pPr>
              <w:spacing w:after="0"/>
              <w:rPr>
                <w:sz w:val="11"/>
                <w:szCs w:val="11"/>
                <w:color w:val="auto"/>
              </w:rPr>
            </w:pPr>
          </w:p>
        </w:tc>
      </w:tr>
      <w:tr>
        <w:trPr>
          <w:trHeight w:val="155"/>
        </w:trPr>
        <w:tc>
          <w:tcPr>
            <w:tcW w:w="236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jc w:val="right"/>
              <w:ind w:right="51"/>
              <w:spacing w:after="0"/>
              <w:rPr>
                <w:sz w:val="20"/>
                <w:szCs w:val="20"/>
                <w:color w:val="auto"/>
              </w:rPr>
            </w:pPr>
            <w:r>
              <w:rPr>
                <w:rFonts w:ascii="Arial" w:cs="Arial" w:eastAsia="Arial" w:hAnsi="Arial"/>
                <w:sz w:val="13"/>
                <w:szCs w:val="13"/>
                <w:color w:val="auto"/>
              </w:rPr>
              <w:t>1 year</w:t>
            </w:r>
          </w:p>
        </w:tc>
        <w:tc>
          <w:tcPr>
            <w:tcW w:w="720" w:type="dxa"/>
            <w:vAlign w:val="bottom"/>
            <w:tcBorders>
              <w:bottom w:val="single" w:sz="8" w:color="auto"/>
            </w:tcBorders>
          </w:tcPr>
          <w:p>
            <w:pPr>
              <w:jc w:val="right"/>
              <w:ind w:right="51"/>
              <w:spacing w:after="0"/>
              <w:rPr>
                <w:sz w:val="20"/>
                <w:szCs w:val="20"/>
                <w:color w:val="auto"/>
              </w:rPr>
            </w:pPr>
            <w:r>
              <w:rPr>
                <w:rFonts w:ascii="Arial" w:cs="Arial" w:eastAsia="Arial" w:hAnsi="Arial"/>
                <w:sz w:val="13"/>
                <w:szCs w:val="13"/>
                <w:color w:val="auto"/>
              </w:rPr>
              <w:t>years</w:t>
            </w:r>
          </w:p>
        </w:tc>
        <w:tc>
          <w:tcPr>
            <w:tcW w:w="720" w:type="dxa"/>
            <w:vAlign w:val="bottom"/>
            <w:tcBorders>
              <w:bottom w:val="single" w:sz="8" w:color="auto"/>
            </w:tcBorders>
          </w:tcPr>
          <w:p>
            <w:pPr>
              <w:jc w:val="right"/>
              <w:ind w:right="31"/>
              <w:spacing w:after="0"/>
              <w:rPr>
                <w:sz w:val="20"/>
                <w:szCs w:val="20"/>
                <w:color w:val="auto"/>
              </w:rPr>
            </w:pPr>
            <w:r>
              <w:rPr>
                <w:rFonts w:ascii="Arial" w:cs="Arial" w:eastAsia="Arial" w:hAnsi="Arial"/>
                <w:sz w:val="13"/>
                <w:szCs w:val="13"/>
                <w:color w:val="auto"/>
              </w:rPr>
              <w:t>years</w:t>
            </w:r>
          </w:p>
        </w:tc>
        <w:tc>
          <w:tcPr>
            <w:tcW w:w="640" w:type="dxa"/>
            <w:vAlign w:val="bottom"/>
            <w:tcBorders>
              <w:bottom w:val="single" w:sz="8" w:color="auto"/>
            </w:tcBorders>
          </w:tcPr>
          <w:p>
            <w:pPr>
              <w:jc w:val="right"/>
              <w:ind w:right="30"/>
              <w:spacing w:after="0"/>
              <w:rPr>
                <w:sz w:val="20"/>
                <w:szCs w:val="20"/>
                <w:color w:val="auto"/>
              </w:rPr>
            </w:pPr>
            <w:r>
              <w:rPr>
                <w:rFonts w:ascii="Arial" w:cs="Arial" w:eastAsia="Arial" w:hAnsi="Arial"/>
                <w:sz w:val="13"/>
                <w:szCs w:val="13"/>
                <w:color w:val="auto"/>
              </w:rPr>
              <w:t>later</w:t>
            </w:r>
          </w:p>
        </w:tc>
        <w:tc>
          <w:tcPr>
            <w:tcW w:w="520" w:type="dxa"/>
            <w:vAlign w:val="bottom"/>
            <w:tcBorders>
              <w:bottom w:val="single" w:sz="8" w:color="auto"/>
            </w:tcBorders>
          </w:tcPr>
          <w:p>
            <w:pPr>
              <w:jc w:val="right"/>
              <w:ind w:right="9"/>
              <w:spacing w:after="0"/>
              <w:rPr>
                <w:sz w:val="20"/>
                <w:szCs w:val="20"/>
                <w:color w:val="auto"/>
              </w:rPr>
            </w:pPr>
            <w:r>
              <w:rPr>
                <w:rFonts w:ascii="Arial" w:cs="Arial" w:eastAsia="Arial" w:hAnsi="Arial"/>
                <w:sz w:val="13"/>
                <w:szCs w:val="13"/>
                <w:color w:val="auto"/>
              </w:rPr>
              <w:t>Total</w:t>
            </w:r>
          </w:p>
        </w:tc>
      </w:tr>
      <w:tr>
        <w:trPr>
          <w:trHeight w:val="160"/>
        </w:trPr>
        <w:tc>
          <w:tcPr>
            <w:tcW w:w="2360" w:type="dxa"/>
            <w:vAlign w:val="bottom"/>
          </w:tcPr>
          <w:p>
            <w:pPr>
              <w:ind w:left="20"/>
              <w:spacing w:after="0"/>
              <w:rPr>
                <w:sz w:val="20"/>
                <w:szCs w:val="20"/>
                <w:color w:val="auto"/>
              </w:rPr>
            </w:pPr>
            <w:r>
              <w:rPr>
                <w:rFonts w:ascii="Arial" w:cs="Arial" w:eastAsia="Arial" w:hAnsi="Arial"/>
                <w:sz w:val="14"/>
                <w:szCs w:val="14"/>
                <w:color w:val="auto"/>
              </w:rPr>
              <w:t>Debt [A]</w:t>
            </w:r>
          </w:p>
        </w:tc>
        <w:tc>
          <w:tcPr>
            <w:tcW w:w="520" w:type="dxa"/>
            <w:vAlign w:val="bottom"/>
          </w:tcPr>
          <w:p>
            <w:pPr>
              <w:jc w:val="right"/>
              <w:ind w:right="51"/>
              <w:spacing w:after="0"/>
              <w:rPr>
                <w:sz w:val="20"/>
                <w:szCs w:val="20"/>
                <w:color w:val="auto"/>
              </w:rPr>
            </w:pPr>
            <w:r>
              <w:rPr>
                <w:rFonts w:ascii="Arial" w:cs="Arial" w:eastAsia="Arial" w:hAnsi="Arial"/>
                <w:sz w:val="14"/>
                <w:szCs w:val="14"/>
                <w:color w:val="auto"/>
              </w:rPr>
              <w:t>6.7</w:t>
            </w:r>
          </w:p>
        </w:tc>
        <w:tc>
          <w:tcPr>
            <w:tcW w:w="720" w:type="dxa"/>
            <w:vAlign w:val="bottom"/>
          </w:tcPr>
          <w:p>
            <w:pPr>
              <w:jc w:val="right"/>
              <w:ind w:right="51"/>
              <w:spacing w:after="0"/>
              <w:rPr>
                <w:sz w:val="20"/>
                <w:szCs w:val="20"/>
                <w:color w:val="auto"/>
              </w:rPr>
            </w:pPr>
            <w:r>
              <w:rPr>
                <w:rFonts w:ascii="Arial" w:cs="Arial" w:eastAsia="Arial" w:hAnsi="Arial"/>
                <w:sz w:val="14"/>
                <w:szCs w:val="14"/>
                <w:color w:val="auto"/>
              </w:rPr>
              <w:t>7.7</w:t>
            </w:r>
          </w:p>
        </w:tc>
        <w:tc>
          <w:tcPr>
            <w:tcW w:w="720" w:type="dxa"/>
            <w:vAlign w:val="bottom"/>
          </w:tcPr>
          <w:p>
            <w:pPr>
              <w:jc w:val="right"/>
              <w:ind w:right="31"/>
              <w:spacing w:after="0"/>
              <w:rPr>
                <w:sz w:val="20"/>
                <w:szCs w:val="20"/>
                <w:color w:val="auto"/>
              </w:rPr>
            </w:pPr>
            <w:r>
              <w:rPr>
                <w:rFonts w:ascii="Arial" w:cs="Arial" w:eastAsia="Arial" w:hAnsi="Arial"/>
                <w:sz w:val="14"/>
                <w:szCs w:val="14"/>
                <w:color w:val="auto"/>
              </w:rPr>
              <w:t>8.7</w:t>
            </w:r>
          </w:p>
        </w:tc>
        <w:tc>
          <w:tcPr>
            <w:tcW w:w="640" w:type="dxa"/>
            <w:vAlign w:val="bottom"/>
          </w:tcPr>
          <w:p>
            <w:pPr>
              <w:jc w:val="right"/>
              <w:ind w:right="30"/>
              <w:spacing w:after="0"/>
              <w:rPr>
                <w:sz w:val="20"/>
                <w:szCs w:val="20"/>
                <w:color w:val="auto"/>
              </w:rPr>
            </w:pPr>
            <w:r>
              <w:rPr>
                <w:rFonts w:ascii="Arial" w:cs="Arial" w:eastAsia="Arial" w:hAnsi="Arial"/>
                <w:sz w:val="14"/>
                <w:szCs w:val="14"/>
                <w:color w:val="auto"/>
              </w:rPr>
              <w:t>15.0</w:t>
            </w:r>
          </w:p>
        </w:tc>
        <w:tc>
          <w:tcPr>
            <w:tcW w:w="520" w:type="dxa"/>
            <w:vAlign w:val="bottom"/>
          </w:tcPr>
          <w:p>
            <w:pPr>
              <w:jc w:val="right"/>
              <w:ind w:right="9"/>
              <w:spacing w:after="0"/>
              <w:rPr>
                <w:sz w:val="20"/>
                <w:szCs w:val="20"/>
                <w:color w:val="auto"/>
              </w:rPr>
            </w:pPr>
            <w:r>
              <w:rPr>
                <w:rFonts w:ascii="Arial" w:cs="Arial" w:eastAsia="Arial" w:hAnsi="Arial"/>
                <w:sz w:val="14"/>
                <w:szCs w:val="14"/>
                <w:color w:val="auto"/>
              </w:rPr>
              <w:t>38.1</w:t>
            </w:r>
          </w:p>
        </w:tc>
      </w:tr>
      <w:tr>
        <w:trPr>
          <w:trHeight w:val="162"/>
        </w:trPr>
        <w:tc>
          <w:tcPr>
            <w:tcW w:w="2360" w:type="dxa"/>
            <w:vAlign w:val="bottom"/>
          </w:tcPr>
          <w:p>
            <w:pPr>
              <w:ind w:left="20"/>
              <w:spacing w:after="0"/>
              <w:rPr>
                <w:sz w:val="20"/>
                <w:szCs w:val="20"/>
                <w:color w:val="auto"/>
              </w:rPr>
            </w:pPr>
            <w:r>
              <w:rPr>
                <w:rFonts w:ascii="Arial" w:cs="Arial" w:eastAsia="Arial" w:hAnsi="Arial"/>
                <w:sz w:val="14"/>
                <w:szCs w:val="14"/>
                <w:color w:val="auto"/>
              </w:rPr>
              <w:t>Finance leases [B]</w:t>
            </w:r>
          </w:p>
        </w:tc>
        <w:tc>
          <w:tcPr>
            <w:tcW w:w="520" w:type="dxa"/>
            <w:vAlign w:val="bottom"/>
          </w:tcPr>
          <w:p>
            <w:pPr>
              <w:jc w:val="right"/>
              <w:ind w:right="51"/>
              <w:spacing w:after="0"/>
              <w:rPr>
                <w:sz w:val="20"/>
                <w:szCs w:val="20"/>
                <w:color w:val="auto"/>
              </w:rPr>
            </w:pPr>
            <w:r>
              <w:rPr>
                <w:rFonts w:ascii="Arial" w:cs="Arial" w:eastAsia="Arial" w:hAnsi="Arial"/>
                <w:sz w:val="14"/>
                <w:szCs w:val="14"/>
                <w:color w:val="auto"/>
              </w:rPr>
              <w:t>1.1</w:t>
            </w:r>
          </w:p>
        </w:tc>
        <w:tc>
          <w:tcPr>
            <w:tcW w:w="720" w:type="dxa"/>
            <w:vAlign w:val="bottom"/>
          </w:tcPr>
          <w:p>
            <w:pPr>
              <w:jc w:val="right"/>
              <w:ind w:right="51"/>
              <w:spacing w:after="0"/>
              <w:rPr>
                <w:sz w:val="20"/>
                <w:szCs w:val="20"/>
                <w:color w:val="auto"/>
              </w:rPr>
            </w:pPr>
            <w:r>
              <w:rPr>
                <w:rFonts w:ascii="Arial" w:cs="Arial" w:eastAsia="Arial" w:hAnsi="Arial"/>
                <w:sz w:val="14"/>
                <w:szCs w:val="14"/>
                <w:color w:val="auto"/>
              </w:rPr>
              <w:t>1.9</w:t>
            </w:r>
          </w:p>
        </w:tc>
        <w:tc>
          <w:tcPr>
            <w:tcW w:w="720" w:type="dxa"/>
            <w:vAlign w:val="bottom"/>
          </w:tcPr>
          <w:p>
            <w:pPr>
              <w:jc w:val="right"/>
              <w:ind w:right="31"/>
              <w:spacing w:after="0"/>
              <w:rPr>
                <w:sz w:val="20"/>
                <w:szCs w:val="20"/>
                <w:color w:val="auto"/>
              </w:rPr>
            </w:pPr>
            <w:r>
              <w:rPr>
                <w:rFonts w:ascii="Arial" w:cs="Arial" w:eastAsia="Arial" w:hAnsi="Arial"/>
                <w:sz w:val="14"/>
                <w:szCs w:val="14"/>
                <w:color w:val="auto"/>
              </w:rPr>
              <w:t>1.7</w:t>
            </w:r>
          </w:p>
        </w:tc>
        <w:tc>
          <w:tcPr>
            <w:tcW w:w="640" w:type="dxa"/>
            <w:vAlign w:val="bottom"/>
          </w:tcPr>
          <w:p>
            <w:pPr>
              <w:jc w:val="right"/>
              <w:ind w:right="30"/>
              <w:spacing w:after="0"/>
              <w:rPr>
                <w:sz w:val="20"/>
                <w:szCs w:val="20"/>
                <w:color w:val="auto"/>
              </w:rPr>
            </w:pPr>
            <w:r>
              <w:rPr>
                <w:rFonts w:ascii="Arial" w:cs="Arial" w:eastAsia="Arial" w:hAnsi="Arial"/>
                <w:sz w:val="14"/>
                <w:szCs w:val="14"/>
                <w:color w:val="auto"/>
              </w:rPr>
              <w:t>6.3</w:t>
            </w:r>
          </w:p>
        </w:tc>
        <w:tc>
          <w:tcPr>
            <w:tcW w:w="520" w:type="dxa"/>
            <w:vAlign w:val="bottom"/>
          </w:tcPr>
          <w:p>
            <w:pPr>
              <w:jc w:val="right"/>
              <w:ind w:right="9"/>
              <w:spacing w:after="0"/>
              <w:rPr>
                <w:sz w:val="20"/>
                <w:szCs w:val="20"/>
                <w:color w:val="auto"/>
              </w:rPr>
            </w:pPr>
            <w:r>
              <w:rPr>
                <w:rFonts w:ascii="Arial" w:cs="Arial" w:eastAsia="Arial" w:hAnsi="Arial"/>
                <w:sz w:val="14"/>
                <w:szCs w:val="14"/>
                <w:color w:val="auto"/>
              </w:rPr>
              <w:t>11.0</w:t>
            </w:r>
          </w:p>
        </w:tc>
      </w:tr>
      <w:tr>
        <w:trPr>
          <w:trHeight w:val="162"/>
        </w:trPr>
        <w:tc>
          <w:tcPr>
            <w:tcW w:w="2360" w:type="dxa"/>
            <w:vAlign w:val="bottom"/>
          </w:tcPr>
          <w:p>
            <w:pPr>
              <w:ind w:left="20"/>
              <w:spacing w:after="0"/>
              <w:rPr>
                <w:sz w:val="20"/>
                <w:szCs w:val="20"/>
                <w:color w:val="auto"/>
              </w:rPr>
            </w:pPr>
            <w:r>
              <w:rPr>
                <w:rFonts w:ascii="Arial" w:cs="Arial" w:eastAsia="Arial" w:hAnsi="Arial"/>
                <w:sz w:val="14"/>
                <w:szCs w:val="14"/>
                <w:color w:val="auto"/>
              </w:rPr>
              <w:t>Operating leases [C]</w:t>
            </w:r>
          </w:p>
        </w:tc>
        <w:tc>
          <w:tcPr>
            <w:tcW w:w="520" w:type="dxa"/>
            <w:vAlign w:val="bottom"/>
          </w:tcPr>
          <w:p>
            <w:pPr>
              <w:jc w:val="right"/>
              <w:ind w:right="51"/>
              <w:spacing w:after="0"/>
              <w:rPr>
                <w:sz w:val="20"/>
                <w:szCs w:val="20"/>
                <w:color w:val="auto"/>
              </w:rPr>
            </w:pPr>
            <w:r>
              <w:rPr>
                <w:rFonts w:ascii="Arial" w:cs="Arial" w:eastAsia="Arial" w:hAnsi="Arial"/>
                <w:sz w:val="14"/>
                <w:szCs w:val="14"/>
                <w:color w:val="auto"/>
              </w:rPr>
              <w:t>5.7</w:t>
            </w:r>
          </w:p>
        </w:tc>
        <w:tc>
          <w:tcPr>
            <w:tcW w:w="720" w:type="dxa"/>
            <w:vAlign w:val="bottom"/>
          </w:tcPr>
          <w:p>
            <w:pPr>
              <w:jc w:val="right"/>
              <w:ind w:right="51"/>
              <w:spacing w:after="0"/>
              <w:rPr>
                <w:sz w:val="20"/>
                <w:szCs w:val="20"/>
                <w:color w:val="auto"/>
              </w:rPr>
            </w:pPr>
            <w:r>
              <w:rPr>
                <w:rFonts w:ascii="Arial" w:cs="Arial" w:eastAsia="Arial" w:hAnsi="Arial"/>
                <w:sz w:val="14"/>
                <w:szCs w:val="14"/>
                <w:color w:val="auto"/>
              </w:rPr>
              <w:t>9.1</w:t>
            </w:r>
          </w:p>
        </w:tc>
        <w:tc>
          <w:tcPr>
            <w:tcW w:w="720" w:type="dxa"/>
            <w:vAlign w:val="bottom"/>
          </w:tcPr>
          <w:p>
            <w:pPr>
              <w:jc w:val="right"/>
              <w:ind w:right="31"/>
              <w:spacing w:after="0"/>
              <w:rPr>
                <w:sz w:val="20"/>
                <w:szCs w:val="20"/>
                <w:color w:val="auto"/>
              </w:rPr>
            </w:pPr>
            <w:r>
              <w:rPr>
                <w:rFonts w:ascii="Arial" w:cs="Arial" w:eastAsia="Arial" w:hAnsi="Arial"/>
                <w:sz w:val="14"/>
                <w:szCs w:val="14"/>
                <w:color w:val="auto"/>
              </w:rPr>
              <w:t>6.1</w:t>
            </w:r>
          </w:p>
        </w:tc>
        <w:tc>
          <w:tcPr>
            <w:tcW w:w="640" w:type="dxa"/>
            <w:vAlign w:val="bottom"/>
          </w:tcPr>
          <w:p>
            <w:pPr>
              <w:jc w:val="right"/>
              <w:ind w:right="30"/>
              <w:spacing w:after="0"/>
              <w:rPr>
                <w:sz w:val="20"/>
                <w:szCs w:val="20"/>
                <w:color w:val="auto"/>
              </w:rPr>
            </w:pPr>
            <w:r>
              <w:rPr>
                <w:rFonts w:ascii="Arial" w:cs="Arial" w:eastAsia="Arial" w:hAnsi="Arial"/>
                <w:sz w:val="14"/>
                <w:szCs w:val="14"/>
                <w:color w:val="auto"/>
              </w:rPr>
              <w:t>9.9</w:t>
            </w:r>
          </w:p>
        </w:tc>
        <w:tc>
          <w:tcPr>
            <w:tcW w:w="520" w:type="dxa"/>
            <w:vAlign w:val="bottom"/>
          </w:tcPr>
          <w:p>
            <w:pPr>
              <w:jc w:val="right"/>
              <w:ind w:right="9"/>
              <w:spacing w:after="0"/>
              <w:rPr>
                <w:sz w:val="20"/>
                <w:szCs w:val="20"/>
                <w:color w:val="auto"/>
              </w:rPr>
            </w:pPr>
            <w:r>
              <w:rPr>
                <w:rFonts w:ascii="Arial" w:cs="Arial" w:eastAsia="Arial" w:hAnsi="Arial"/>
                <w:sz w:val="14"/>
                <w:szCs w:val="14"/>
                <w:color w:val="auto"/>
              </w:rPr>
              <w:t>30.8</w:t>
            </w:r>
          </w:p>
        </w:tc>
      </w:tr>
      <w:tr>
        <w:trPr>
          <w:trHeight w:val="162"/>
        </w:trPr>
        <w:tc>
          <w:tcPr>
            <w:tcW w:w="2360" w:type="dxa"/>
            <w:vAlign w:val="bottom"/>
          </w:tcPr>
          <w:p>
            <w:pPr>
              <w:ind w:left="20"/>
              <w:spacing w:after="0"/>
              <w:rPr>
                <w:sz w:val="20"/>
                <w:szCs w:val="20"/>
                <w:color w:val="auto"/>
              </w:rPr>
            </w:pPr>
            <w:r>
              <w:rPr>
                <w:rFonts w:ascii="Arial" w:cs="Arial" w:eastAsia="Arial" w:hAnsi="Arial"/>
                <w:sz w:val="14"/>
                <w:szCs w:val="14"/>
                <w:color w:val="auto"/>
              </w:rPr>
              <w:t>Purchase obligations [D]</w:t>
            </w:r>
          </w:p>
        </w:tc>
        <w:tc>
          <w:tcPr>
            <w:tcW w:w="520" w:type="dxa"/>
            <w:vAlign w:val="bottom"/>
          </w:tcPr>
          <w:p>
            <w:pPr>
              <w:jc w:val="right"/>
              <w:ind w:right="51"/>
              <w:spacing w:after="0"/>
              <w:rPr>
                <w:sz w:val="20"/>
                <w:szCs w:val="20"/>
                <w:color w:val="auto"/>
              </w:rPr>
            </w:pPr>
            <w:r>
              <w:rPr>
                <w:rFonts w:ascii="Arial" w:cs="Arial" w:eastAsia="Arial" w:hAnsi="Arial"/>
                <w:sz w:val="14"/>
                <w:szCs w:val="14"/>
                <w:color w:val="auto"/>
              </w:rPr>
              <w:t>119.5</w:t>
            </w:r>
          </w:p>
        </w:tc>
        <w:tc>
          <w:tcPr>
            <w:tcW w:w="720" w:type="dxa"/>
            <w:vAlign w:val="bottom"/>
          </w:tcPr>
          <w:p>
            <w:pPr>
              <w:jc w:val="right"/>
              <w:ind w:right="51"/>
              <w:spacing w:after="0"/>
              <w:rPr>
                <w:sz w:val="20"/>
                <w:szCs w:val="20"/>
                <w:color w:val="auto"/>
              </w:rPr>
            </w:pPr>
            <w:r>
              <w:rPr>
                <w:rFonts w:ascii="Arial" w:cs="Arial" w:eastAsia="Arial" w:hAnsi="Arial"/>
                <w:sz w:val="14"/>
                <w:szCs w:val="14"/>
                <w:color w:val="auto"/>
              </w:rPr>
              <w:t>66.4</w:t>
            </w:r>
          </w:p>
        </w:tc>
        <w:tc>
          <w:tcPr>
            <w:tcW w:w="720" w:type="dxa"/>
            <w:vAlign w:val="bottom"/>
          </w:tcPr>
          <w:p>
            <w:pPr>
              <w:jc w:val="right"/>
              <w:ind w:right="31"/>
              <w:spacing w:after="0"/>
              <w:rPr>
                <w:sz w:val="20"/>
                <w:szCs w:val="20"/>
                <w:color w:val="auto"/>
              </w:rPr>
            </w:pPr>
            <w:r>
              <w:rPr>
                <w:rFonts w:ascii="Arial" w:cs="Arial" w:eastAsia="Arial" w:hAnsi="Arial"/>
                <w:sz w:val="14"/>
                <w:szCs w:val="14"/>
                <w:color w:val="auto"/>
              </w:rPr>
              <w:t>46.2</w:t>
            </w:r>
          </w:p>
        </w:tc>
        <w:tc>
          <w:tcPr>
            <w:tcW w:w="640" w:type="dxa"/>
            <w:vAlign w:val="bottom"/>
          </w:tcPr>
          <w:p>
            <w:pPr>
              <w:jc w:val="right"/>
              <w:ind w:right="30"/>
              <w:spacing w:after="0"/>
              <w:rPr>
                <w:sz w:val="20"/>
                <w:szCs w:val="20"/>
                <w:color w:val="auto"/>
              </w:rPr>
            </w:pPr>
            <w:r>
              <w:rPr>
                <w:rFonts w:ascii="Arial" w:cs="Arial" w:eastAsia="Arial" w:hAnsi="Arial"/>
                <w:sz w:val="14"/>
                <w:szCs w:val="14"/>
                <w:color w:val="auto"/>
              </w:rPr>
              <w:t>170.0</w:t>
            </w:r>
          </w:p>
        </w:tc>
        <w:tc>
          <w:tcPr>
            <w:tcW w:w="520" w:type="dxa"/>
            <w:vAlign w:val="bottom"/>
          </w:tcPr>
          <w:p>
            <w:pPr>
              <w:jc w:val="right"/>
              <w:ind w:right="9"/>
              <w:spacing w:after="0"/>
              <w:rPr>
                <w:sz w:val="20"/>
                <w:szCs w:val="20"/>
                <w:color w:val="auto"/>
              </w:rPr>
            </w:pPr>
            <w:r>
              <w:rPr>
                <w:rFonts w:ascii="Arial" w:cs="Arial" w:eastAsia="Arial" w:hAnsi="Arial"/>
                <w:sz w:val="14"/>
                <w:szCs w:val="14"/>
                <w:color w:val="auto"/>
              </w:rPr>
              <w:t>402.1</w:t>
            </w:r>
          </w:p>
        </w:tc>
      </w:tr>
      <w:tr>
        <w:trPr>
          <w:trHeight w:val="162"/>
        </w:trPr>
        <w:tc>
          <w:tcPr>
            <w:tcW w:w="2360" w:type="dxa"/>
            <w:vAlign w:val="bottom"/>
          </w:tcPr>
          <w:p>
            <w:pPr>
              <w:ind w:left="20"/>
              <w:spacing w:after="0"/>
              <w:rPr>
                <w:sz w:val="20"/>
                <w:szCs w:val="20"/>
                <w:color w:val="auto"/>
              </w:rPr>
            </w:pPr>
            <w:r>
              <w:rPr>
                <w:rFonts w:ascii="Arial" w:cs="Arial" w:eastAsia="Arial" w:hAnsi="Arial"/>
                <w:sz w:val="14"/>
                <w:szCs w:val="14"/>
                <w:color w:val="auto"/>
              </w:rPr>
              <w:t>Other long-term contractual</w:t>
            </w:r>
          </w:p>
        </w:tc>
        <w:tc>
          <w:tcPr>
            <w:tcW w:w="5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157"/>
        </w:trPr>
        <w:tc>
          <w:tcPr>
            <w:tcW w:w="2360" w:type="dxa"/>
            <w:vAlign w:val="bottom"/>
            <w:tcBorders>
              <w:bottom w:val="single" w:sz="8" w:color="auto"/>
            </w:tcBorders>
          </w:tcPr>
          <w:p>
            <w:pPr>
              <w:ind w:left="160"/>
              <w:spacing w:after="0" w:line="157" w:lineRule="exact"/>
              <w:rPr>
                <w:sz w:val="20"/>
                <w:szCs w:val="20"/>
                <w:color w:val="auto"/>
              </w:rPr>
            </w:pPr>
            <w:r>
              <w:rPr>
                <w:rFonts w:ascii="Arial" w:cs="Arial" w:eastAsia="Arial" w:hAnsi="Arial"/>
                <w:sz w:val="14"/>
                <w:szCs w:val="14"/>
                <w:color w:val="auto"/>
              </w:rPr>
              <w:t>liabilities [E]</w:t>
            </w:r>
          </w:p>
        </w:tc>
        <w:tc>
          <w:tcPr>
            <w:tcW w:w="520" w:type="dxa"/>
            <w:vAlign w:val="bottom"/>
            <w:tcBorders>
              <w:bottom w:val="single" w:sz="8" w:color="auto"/>
            </w:tcBorders>
          </w:tcPr>
          <w:p>
            <w:pPr>
              <w:jc w:val="right"/>
              <w:ind w:right="51"/>
              <w:spacing w:after="0" w:line="157" w:lineRule="exact"/>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tcPr>
          <w:p>
            <w:pPr>
              <w:jc w:val="right"/>
              <w:ind w:right="51"/>
              <w:spacing w:after="0" w:line="157" w:lineRule="exact"/>
              <w:rPr>
                <w:sz w:val="20"/>
                <w:szCs w:val="20"/>
                <w:color w:val="auto"/>
              </w:rPr>
            </w:pPr>
            <w:r>
              <w:rPr>
                <w:rFonts w:ascii="Arial" w:cs="Arial" w:eastAsia="Arial" w:hAnsi="Arial"/>
                <w:sz w:val="14"/>
                <w:szCs w:val="14"/>
                <w:color w:val="auto"/>
              </w:rPr>
              <w:t>0.9</w:t>
            </w:r>
          </w:p>
        </w:tc>
        <w:tc>
          <w:tcPr>
            <w:tcW w:w="720" w:type="dxa"/>
            <w:vAlign w:val="bottom"/>
            <w:tcBorders>
              <w:bottom w:val="single" w:sz="8" w:color="auto"/>
            </w:tcBorders>
          </w:tcPr>
          <w:p>
            <w:pPr>
              <w:jc w:val="right"/>
              <w:ind w:right="31"/>
              <w:spacing w:after="0" w:line="157" w:lineRule="exact"/>
              <w:rPr>
                <w:sz w:val="20"/>
                <w:szCs w:val="20"/>
                <w:color w:val="auto"/>
              </w:rPr>
            </w:pPr>
            <w:r>
              <w:rPr>
                <w:rFonts w:ascii="Arial" w:cs="Arial" w:eastAsia="Arial" w:hAnsi="Arial"/>
                <w:sz w:val="14"/>
                <w:szCs w:val="14"/>
                <w:color w:val="auto"/>
              </w:rPr>
              <w:t>0.4</w:t>
            </w:r>
          </w:p>
        </w:tc>
        <w:tc>
          <w:tcPr>
            <w:tcW w:w="640" w:type="dxa"/>
            <w:vAlign w:val="bottom"/>
            <w:tcBorders>
              <w:bottom w:val="single" w:sz="8" w:color="auto"/>
            </w:tcBorders>
          </w:tcPr>
          <w:p>
            <w:pPr>
              <w:jc w:val="right"/>
              <w:ind w:right="30"/>
              <w:spacing w:after="0" w:line="157" w:lineRule="exact"/>
              <w:rPr>
                <w:sz w:val="20"/>
                <w:szCs w:val="20"/>
                <w:color w:val="auto"/>
              </w:rPr>
            </w:pPr>
            <w:r>
              <w:rPr>
                <w:rFonts w:ascii="Arial" w:cs="Arial" w:eastAsia="Arial" w:hAnsi="Arial"/>
                <w:sz w:val="14"/>
                <w:szCs w:val="14"/>
                <w:color w:val="auto"/>
              </w:rPr>
              <w:t>0.3</w:t>
            </w:r>
          </w:p>
        </w:tc>
        <w:tc>
          <w:tcPr>
            <w:tcW w:w="520" w:type="dxa"/>
            <w:vAlign w:val="bottom"/>
            <w:tcBorders>
              <w:bottom w:val="single" w:sz="8" w:color="auto"/>
            </w:tcBorders>
          </w:tcPr>
          <w:p>
            <w:pPr>
              <w:jc w:val="right"/>
              <w:ind w:right="9"/>
              <w:spacing w:after="0" w:line="157" w:lineRule="exact"/>
              <w:rPr>
                <w:sz w:val="20"/>
                <w:szCs w:val="20"/>
                <w:color w:val="auto"/>
              </w:rPr>
            </w:pPr>
            <w:r>
              <w:rPr>
                <w:rFonts w:ascii="Arial" w:cs="Arial" w:eastAsia="Arial" w:hAnsi="Arial"/>
                <w:sz w:val="14"/>
                <w:szCs w:val="14"/>
                <w:color w:val="auto"/>
              </w:rPr>
              <w:t>1.6</w:t>
            </w:r>
          </w:p>
        </w:tc>
      </w:tr>
      <w:tr>
        <w:trPr>
          <w:trHeight w:val="156"/>
        </w:trPr>
        <w:tc>
          <w:tcPr>
            <w:tcW w:w="2360" w:type="dxa"/>
            <w:vAlign w:val="bottom"/>
            <w:tcBorders>
              <w:bottom w:val="single" w:sz="8" w:color="auto"/>
            </w:tcBorders>
          </w:tcPr>
          <w:p>
            <w:pPr>
              <w:ind w:left="20"/>
              <w:spacing w:after="0" w:line="155" w:lineRule="exact"/>
              <w:rPr>
                <w:sz w:val="20"/>
                <w:szCs w:val="20"/>
                <w:color w:val="auto"/>
              </w:rPr>
            </w:pPr>
            <w:r>
              <w:rPr>
                <w:rFonts w:ascii="Arial" w:cs="Arial" w:eastAsia="Arial" w:hAnsi="Arial"/>
                <w:sz w:val="14"/>
                <w:szCs w:val="14"/>
                <w:color w:val="auto"/>
              </w:rPr>
              <w:t>Total</w:t>
            </w:r>
          </w:p>
        </w:tc>
        <w:tc>
          <w:tcPr>
            <w:tcW w:w="520" w:type="dxa"/>
            <w:vAlign w:val="bottom"/>
            <w:tcBorders>
              <w:bottom w:val="single" w:sz="8" w:color="auto"/>
            </w:tcBorders>
          </w:tcPr>
          <w:p>
            <w:pPr>
              <w:jc w:val="right"/>
              <w:ind w:right="51"/>
              <w:spacing w:after="0" w:line="155" w:lineRule="exact"/>
              <w:rPr>
                <w:sz w:val="20"/>
                <w:szCs w:val="20"/>
                <w:color w:val="auto"/>
              </w:rPr>
            </w:pPr>
            <w:r>
              <w:rPr>
                <w:rFonts w:ascii="Arial" w:cs="Arial" w:eastAsia="Arial" w:hAnsi="Arial"/>
                <w:sz w:val="14"/>
                <w:szCs w:val="14"/>
                <w:color w:val="auto"/>
              </w:rPr>
              <w:t>133.0</w:t>
            </w:r>
          </w:p>
        </w:tc>
        <w:tc>
          <w:tcPr>
            <w:tcW w:w="720" w:type="dxa"/>
            <w:vAlign w:val="bottom"/>
            <w:tcBorders>
              <w:bottom w:val="single" w:sz="8" w:color="auto"/>
            </w:tcBorders>
          </w:tcPr>
          <w:p>
            <w:pPr>
              <w:jc w:val="right"/>
              <w:ind w:right="51"/>
              <w:spacing w:after="0" w:line="155" w:lineRule="exact"/>
              <w:rPr>
                <w:sz w:val="20"/>
                <w:szCs w:val="20"/>
                <w:color w:val="auto"/>
              </w:rPr>
            </w:pPr>
            <w:r>
              <w:rPr>
                <w:rFonts w:ascii="Arial" w:cs="Arial" w:eastAsia="Arial" w:hAnsi="Arial"/>
                <w:sz w:val="14"/>
                <w:szCs w:val="14"/>
                <w:color w:val="auto"/>
              </w:rPr>
              <w:t>86.0</w:t>
            </w:r>
          </w:p>
        </w:tc>
        <w:tc>
          <w:tcPr>
            <w:tcW w:w="720" w:type="dxa"/>
            <w:vAlign w:val="bottom"/>
            <w:tcBorders>
              <w:bottom w:val="single" w:sz="8" w:color="auto"/>
            </w:tcBorders>
          </w:tcPr>
          <w:p>
            <w:pPr>
              <w:jc w:val="right"/>
              <w:ind w:right="31"/>
              <w:spacing w:after="0" w:line="155" w:lineRule="exact"/>
              <w:rPr>
                <w:sz w:val="20"/>
                <w:szCs w:val="20"/>
                <w:color w:val="auto"/>
              </w:rPr>
            </w:pPr>
            <w:r>
              <w:rPr>
                <w:rFonts w:ascii="Arial" w:cs="Arial" w:eastAsia="Arial" w:hAnsi="Arial"/>
                <w:sz w:val="14"/>
                <w:szCs w:val="14"/>
                <w:color w:val="auto"/>
              </w:rPr>
              <w:t>63.1</w:t>
            </w:r>
          </w:p>
        </w:tc>
        <w:tc>
          <w:tcPr>
            <w:tcW w:w="640" w:type="dxa"/>
            <w:vAlign w:val="bottom"/>
            <w:tcBorders>
              <w:bottom w:val="single" w:sz="8" w:color="auto"/>
            </w:tcBorders>
          </w:tcPr>
          <w:p>
            <w:pPr>
              <w:jc w:val="right"/>
              <w:ind w:right="30"/>
              <w:spacing w:after="0" w:line="155" w:lineRule="exact"/>
              <w:rPr>
                <w:sz w:val="20"/>
                <w:szCs w:val="20"/>
                <w:color w:val="auto"/>
              </w:rPr>
            </w:pPr>
            <w:r>
              <w:rPr>
                <w:rFonts w:ascii="Arial" w:cs="Arial" w:eastAsia="Arial" w:hAnsi="Arial"/>
                <w:sz w:val="14"/>
                <w:szCs w:val="14"/>
                <w:color w:val="auto"/>
              </w:rPr>
              <w:t>201.5</w:t>
            </w:r>
          </w:p>
        </w:tc>
        <w:tc>
          <w:tcPr>
            <w:tcW w:w="520" w:type="dxa"/>
            <w:vAlign w:val="bottom"/>
            <w:tcBorders>
              <w:bottom w:val="single" w:sz="8" w:color="auto"/>
            </w:tcBorders>
          </w:tcPr>
          <w:p>
            <w:pPr>
              <w:jc w:val="right"/>
              <w:ind w:right="9"/>
              <w:spacing w:after="0" w:line="155" w:lineRule="exact"/>
              <w:rPr>
                <w:sz w:val="20"/>
                <w:szCs w:val="20"/>
                <w:color w:val="auto"/>
              </w:rPr>
            </w:pPr>
            <w:r>
              <w:rPr>
                <w:rFonts w:ascii="Arial" w:cs="Arial" w:eastAsia="Arial" w:hAnsi="Arial"/>
                <w:sz w:val="14"/>
                <w:szCs w:val="14"/>
                <w:color w:val="auto"/>
              </w:rPr>
              <w:t>483.6</w:t>
            </w:r>
          </w:p>
        </w:tc>
      </w:tr>
    </w:tbl>
    <w:p>
      <w:pPr>
        <w:spacing w:after="0" w:line="37" w:lineRule="exact"/>
        <w:rPr>
          <w:sz w:val="20"/>
          <w:szCs w:val="20"/>
          <w:color w:val="auto"/>
        </w:rPr>
      </w:pPr>
    </w:p>
    <w:p>
      <w:pPr>
        <w:ind w:right="140" w:firstLine="8"/>
        <w:spacing w:after="0" w:line="230" w:lineRule="auto"/>
        <w:tabs>
          <w:tab w:leader="none" w:pos="162" w:val="left"/>
        </w:tabs>
        <w:numPr>
          <w:ilvl w:val="0"/>
          <w:numId w:val="51"/>
        </w:numPr>
        <w:rPr>
          <w:rFonts w:ascii="Arial" w:cs="Arial" w:eastAsia="Arial" w:hAnsi="Arial"/>
          <w:sz w:val="11"/>
          <w:szCs w:val="11"/>
          <w:color w:val="auto"/>
        </w:rPr>
      </w:pPr>
      <w:r>
        <w:rPr>
          <w:rFonts w:ascii="Arial" w:cs="Arial" w:eastAsia="Arial" w:hAnsi="Arial"/>
          <w:sz w:val="11"/>
          <w:szCs w:val="11"/>
          <w:color w:val="auto"/>
        </w:rPr>
        <w:t>Contractual repayments excluding $6.7 billion of finance lease obligations. See Note 14 to the “Consolidated Financial Statements”.</w:t>
      </w:r>
    </w:p>
    <w:p>
      <w:pPr>
        <w:ind w:left="180" w:hanging="172"/>
        <w:spacing w:after="0" w:line="230" w:lineRule="auto"/>
        <w:tabs>
          <w:tab w:leader="none" w:pos="180" w:val="left"/>
        </w:tabs>
        <w:numPr>
          <w:ilvl w:val="0"/>
          <w:numId w:val="51"/>
        </w:numPr>
        <w:rPr>
          <w:rFonts w:ascii="Arial" w:cs="Arial" w:eastAsia="Arial" w:hAnsi="Arial"/>
          <w:sz w:val="11"/>
          <w:szCs w:val="11"/>
          <w:color w:val="auto"/>
        </w:rPr>
      </w:pPr>
      <w:r>
        <w:rPr>
          <w:rFonts w:ascii="Arial" w:cs="Arial" w:eastAsia="Arial" w:hAnsi="Arial"/>
          <w:sz w:val="11"/>
          <w:szCs w:val="11"/>
          <w:color w:val="auto"/>
        </w:rPr>
        <w:t>Includes interest. See Note 14 to the “Consolidated Financial Statements”.</w:t>
      </w:r>
    </w:p>
    <w:p>
      <w:pPr>
        <w:ind w:left="180" w:hanging="172"/>
        <w:spacing w:after="0" w:line="230" w:lineRule="auto"/>
        <w:tabs>
          <w:tab w:leader="none" w:pos="180" w:val="left"/>
        </w:tabs>
        <w:numPr>
          <w:ilvl w:val="0"/>
          <w:numId w:val="51"/>
        </w:numPr>
        <w:rPr>
          <w:rFonts w:ascii="Arial" w:cs="Arial" w:eastAsia="Arial" w:hAnsi="Arial"/>
          <w:sz w:val="11"/>
          <w:szCs w:val="11"/>
          <w:color w:val="auto"/>
        </w:rPr>
      </w:pPr>
      <w:r>
        <w:rPr>
          <w:rFonts w:ascii="Arial" w:cs="Arial" w:eastAsia="Arial" w:hAnsi="Arial"/>
          <w:sz w:val="11"/>
          <w:szCs w:val="11"/>
          <w:color w:val="auto"/>
        </w:rPr>
        <w:t>See Note 14 to the “Consolidated Financial Statements”.</w:t>
      </w:r>
    </w:p>
    <w:p>
      <w:pPr>
        <w:ind w:right="180" w:firstLine="8"/>
        <w:spacing w:after="0" w:line="230" w:lineRule="auto"/>
        <w:tabs>
          <w:tab w:leader="none" w:pos="168" w:val="left"/>
        </w:tabs>
        <w:numPr>
          <w:ilvl w:val="0"/>
          <w:numId w:val="51"/>
        </w:numPr>
        <w:rPr>
          <w:rFonts w:ascii="Arial" w:cs="Arial" w:eastAsia="Arial" w:hAnsi="Arial"/>
          <w:sz w:val="11"/>
          <w:szCs w:val="11"/>
          <w:color w:val="auto"/>
        </w:rPr>
      </w:pPr>
      <w:r>
        <w:rPr>
          <w:rFonts w:ascii="Arial" w:cs="Arial" w:eastAsia="Arial" w:hAnsi="Arial"/>
          <w:sz w:val="11"/>
          <w:szCs w:val="11"/>
          <w:color w:val="auto"/>
        </w:rPr>
        <w:t>Includes all significant items, including: fixed or minimum quantities to be purchased; fixed, minimum or any agreement to purchase goods and services that is enforceable, legally binding and specifies variable price provisions; and the approximate timing of the purchase.</w:t>
      </w:r>
    </w:p>
    <w:p>
      <w:pPr>
        <w:spacing w:after="0" w:line="1" w:lineRule="exact"/>
        <w:rPr>
          <w:rFonts w:ascii="Arial" w:cs="Arial" w:eastAsia="Arial" w:hAnsi="Arial"/>
          <w:sz w:val="11"/>
          <w:szCs w:val="11"/>
          <w:color w:val="auto"/>
        </w:rPr>
      </w:pPr>
    </w:p>
    <w:p>
      <w:pPr>
        <w:ind w:right="100" w:firstLine="8"/>
        <w:spacing w:after="0" w:line="261" w:lineRule="auto"/>
        <w:tabs>
          <w:tab w:leader="none" w:pos="162" w:val="left"/>
        </w:tabs>
        <w:numPr>
          <w:ilvl w:val="0"/>
          <w:numId w:val="51"/>
        </w:numPr>
        <w:rPr>
          <w:rFonts w:ascii="Arial" w:cs="Arial" w:eastAsia="Arial" w:hAnsi="Arial"/>
          <w:sz w:val="10"/>
          <w:szCs w:val="10"/>
          <w:color w:val="auto"/>
        </w:rPr>
      </w:pPr>
      <w:r>
        <w:rPr>
          <w:rFonts w:ascii="Arial" w:cs="Arial" w:eastAsia="Arial" w:hAnsi="Arial"/>
          <w:sz w:val="10"/>
          <w:szCs w:val="10"/>
          <w:color w:val="auto"/>
        </w:rPr>
        <w:t>Includes all obligations included in “Trade and other payables” in “Non-current liabilities” on the “Consolidated Balance Sheet” that are contractually fixed as to timing and amount. In addition to these amounts, Shell has certain obligations that are not contractually fixed as to timing and amount, including contributions to defined benefit pension plans (see Note 17 to the “Consolidated Financial Statements”) and obligations associated with decommissioning and restoration (see Note 18 to the “Consolidated Financial Statements”).</w:t>
      </w:r>
    </w:p>
    <w:p>
      <w:pPr>
        <w:spacing w:after="0" w:line="166" w:lineRule="exact"/>
        <w:rPr>
          <w:sz w:val="20"/>
          <w:szCs w:val="20"/>
          <w:color w:val="auto"/>
        </w:rPr>
      </w:pPr>
    </w:p>
    <w:p>
      <w:pPr>
        <w:ind w:right="60"/>
        <w:spacing w:after="0" w:line="244" w:lineRule="auto"/>
        <w:rPr>
          <w:sz w:val="20"/>
          <w:szCs w:val="20"/>
          <w:color w:val="auto"/>
        </w:rPr>
      </w:pPr>
      <w:r>
        <w:rPr>
          <w:rFonts w:ascii="Arial" w:cs="Arial" w:eastAsia="Arial" w:hAnsi="Arial"/>
          <w:sz w:val="14"/>
          <w:szCs w:val="14"/>
          <w:color w:val="auto"/>
        </w:rPr>
        <w:t>The table above excludes interest expense related to debt, which is estimated to be $1.1 billion payable in less than one year, $2.0 billion payable between one and three years, $1.5 billion payable between three and five years, and $7.1 billion payable in five years and later. For this purpose, we assume that interest rates with respect to variable interest rate debt remain constant at the rates in effect at December 31, 2014, and that there is no change in the aggregate principal amount of debt other than repayment at scheduled maturity as reflected in the table.</w:t>
      </w:r>
    </w:p>
    <w:p>
      <w:pPr>
        <w:spacing w:after="0" w:line="172" w:lineRule="exact"/>
        <w:rPr>
          <w:sz w:val="20"/>
          <w:szCs w:val="20"/>
          <w:color w:val="auto"/>
        </w:rPr>
      </w:pPr>
    </w:p>
    <w:p>
      <w:pPr>
        <w:ind w:right="1160"/>
        <w:spacing w:after="0" w:line="238" w:lineRule="auto"/>
        <w:rPr>
          <w:sz w:val="20"/>
          <w:szCs w:val="20"/>
          <w:color w:val="auto"/>
        </w:rPr>
      </w:pPr>
      <w:r>
        <w:rPr>
          <w:rFonts w:ascii="Arial" w:cs="Arial" w:eastAsia="Arial" w:hAnsi="Arial"/>
          <w:sz w:val="18"/>
          <w:szCs w:val="18"/>
          <w:color w:val="auto"/>
        </w:rPr>
        <w:t>GUARANTEES AND OTHER OFF-BALANCE SHEET ARRANGEMENTS</w:t>
      </w:r>
    </w:p>
    <w:p>
      <w:pPr>
        <w:ind w:right="260"/>
        <w:spacing w:after="0" w:line="247" w:lineRule="auto"/>
        <w:rPr>
          <w:sz w:val="20"/>
          <w:szCs w:val="20"/>
          <w:color w:val="auto"/>
        </w:rPr>
      </w:pPr>
      <w:r>
        <w:rPr>
          <w:rFonts w:ascii="Arial" w:cs="Arial" w:eastAsia="Arial" w:hAnsi="Arial"/>
          <w:sz w:val="14"/>
          <w:szCs w:val="14"/>
          <w:color w:val="auto"/>
        </w:rPr>
        <w:t>Guarantees at December 31, 2014, were $3.3 billion (2013: $3.1 billion). This includes $1.6 billion (2013: $2.2 billion) of guarantees of debt of joint ventures and associates, for which the largest amount outstanding during 2014 was $2.2 billion (2013: $2.2 billion).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419"/>
        </w:trPr>
        <w:tc>
          <w:tcPr>
            <w:tcW w:w="3780" w:type="dxa"/>
            <w:vAlign w:val="bottom"/>
            <w:shd w:val="clear" w:color="auto" w:fill="FF8B00"/>
          </w:tcPr>
          <w:p>
            <w:pPr>
              <w:spacing w:after="0"/>
              <w:rPr>
                <w:sz w:val="24"/>
                <w:szCs w:val="24"/>
                <w:color w:val="auto"/>
              </w:rPr>
            </w:pPr>
          </w:p>
        </w:tc>
        <w:tc>
          <w:tcPr>
            <w:tcW w:w="2040" w:type="dxa"/>
            <w:vAlign w:val="bottom"/>
            <w:shd w:val="clear" w:color="auto" w:fill="FF8B00"/>
          </w:tcPr>
          <w:p>
            <w:pPr>
              <w:spacing w:after="0"/>
              <w:rPr>
                <w:sz w:val="24"/>
                <w:szCs w:val="24"/>
                <w:color w:val="auto"/>
              </w:rPr>
            </w:pPr>
          </w:p>
        </w:tc>
      </w:tr>
      <w:tr>
        <w:trPr>
          <w:trHeight w:val="152"/>
        </w:trPr>
        <w:tc>
          <w:tcPr>
            <w:tcW w:w="3780" w:type="dxa"/>
            <w:vAlign w:val="bottom"/>
          </w:tcPr>
          <w:p>
            <w:pPr>
              <w:ind w:left="940"/>
              <w:spacing w:after="0"/>
              <w:rPr>
                <w:sz w:val="20"/>
                <w:szCs w:val="20"/>
                <w:color w:val="auto"/>
              </w:rPr>
            </w:pPr>
            <w:r>
              <w:rPr>
                <w:rFonts w:ascii="Arial" w:cs="Arial" w:eastAsia="Arial" w:hAnsi="Arial"/>
                <w:sz w:val="13"/>
                <w:szCs w:val="13"/>
                <w:color w:val="333333"/>
              </w:rPr>
              <w:t>STRATEGIC REPORT</w:t>
            </w:r>
          </w:p>
        </w:tc>
        <w:tc>
          <w:tcPr>
            <w:tcW w:w="2040" w:type="dxa"/>
            <w:vAlign w:val="bottom"/>
          </w:tcPr>
          <w:p>
            <w:pPr>
              <w:jc w:val="right"/>
              <w:ind w:right="306"/>
              <w:spacing w:after="0"/>
              <w:rPr>
                <w:sz w:val="20"/>
                <w:szCs w:val="20"/>
                <w:color w:val="auto"/>
              </w:rPr>
            </w:pPr>
            <w:r>
              <w:rPr>
                <w:rFonts w:ascii="Arial" w:cs="Arial" w:eastAsia="Arial" w:hAnsi="Arial"/>
                <w:sz w:val="11"/>
                <w:szCs w:val="11"/>
                <w:b w:val="1"/>
                <w:bCs w:val="1"/>
                <w:color w:val="333333"/>
              </w:rPr>
              <w:t>51</w:t>
            </w:r>
          </w:p>
        </w:tc>
      </w:tr>
    </w:tbl>
    <w:p>
      <w:pPr>
        <w:spacing w:after="0" w:line="155" w:lineRule="exact"/>
        <w:rPr>
          <w:sz w:val="20"/>
          <w:szCs w:val="20"/>
          <w:color w:val="auto"/>
        </w:rPr>
      </w:pPr>
    </w:p>
    <w:p>
      <w:pPr>
        <w:ind w:left="940"/>
        <w:spacing w:after="0"/>
        <w:rPr>
          <w:sz w:val="20"/>
          <w:szCs w:val="20"/>
          <w:color w:val="auto"/>
        </w:rPr>
      </w:pPr>
      <w:r>
        <w:rPr>
          <w:rFonts w:ascii="Arial" w:cs="Arial" w:eastAsia="Arial" w:hAnsi="Arial"/>
          <w:sz w:val="11"/>
          <w:szCs w:val="11"/>
          <w:color w:val="auto"/>
        </w:rPr>
        <w:t>LIQUIDITY AND CAPITAL RESOURCES</w:t>
      </w:r>
    </w:p>
    <w:p>
      <w:pPr>
        <w:spacing w:after="0" w:line="51" w:lineRule="exact"/>
        <w:rPr>
          <w:sz w:val="20"/>
          <w:szCs w:val="20"/>
          <w:color w:val="auto"/>
        </w:rPr>
      </w:pPr>
    </w:p>
    <w:p>
      <w:pPr>
        <w:ind w:left="180"/>
        <w:spacing w:after="0"/>
        <w:rPr>
          <w:sz w:val="20"/>
          <w:szCs w:val="20"/>
          <w:color w:val="auto"/>
        </w:rPr>
      </w:pPr>
      <w:r>
        <w:rPr>
          <w:rFonts w:ascii="Arial" w:cs="Arial" w:eastAsia="Arial" w:hAnsi="Arial"/>
          <w:sz w:val="18"/>
          <w:szCs w:val="18"/>
          <w:color w:val="auto"/>
        </w:rPr>
        <w:t>RETURN ON AVERAGE CAPITAL EMPLOYED</w:t>
      </w:r>
    </w:p>
    <w:p>
      <w:pPr>
        <w:spacing w:after="0" w:line="1" w:lineRule="exact"/>
        <w:rPr>
          <w:sz w:val="20"/>
          <w:szCs w:val="20"/>
          <w:color w:val="auto"/>
        </w:rPr>
      </w:pPr>
    </w:p>
    <w:p>
      <w:pPr>
        <w:ind w:left="180" w:right="220"/>
        <w:spacing w:after="0" w:line="245" w:lineRule="auto"/>
        <w:rPr>
          <w:sz w:val="20"/>
          <w:szCs w:val="20"/>
          <w:color w:val="auto"/>
        </w:rPr>
      </w:pPr>
      <w:r>
        <w:rPr>
          <w:rFonts w:ascii="Arial" w:cs="Arial" w:eastAsia="Arial" w:hAnsi="Arial"/>
          <w:sz w:val="14"/>
          <w:szCs w:val="14"/>
          <w:color w:val="auto"/>
        </w:rPr>
        <w:t>ROACE measures the efficiency of Shell’s utilisation of the capital that it employs. In this calculation, ROACE is defined as income for the period adjusted for after-tax interest expense as a percentage of the average capital employed for the period. The tax rate used is Shell’s effective tax rate for the period. Capital employed consists of total equity, current debt and non-current debt.</w:t>
      </w:r>
    </w:p>
    <w:p>
      <w:pPr>
        <w:spacing w:after="0" w:line="168" w:lineRule="exact"/>
        <w:rPr>
          <w:sz w:val="20"/>
          <w:szCs w:val="20"/>
          <w:color w:val="auto"/>
        </w:rPr>
      </w:pPr>
    </w:p>
    <w:tbl>
      <w:tblPr>
        <w:tblLayout w:type="fixed"/>
        <w:tblInd w:w="180" w:type="dxa"/>
        <w:tblCellMar>
          <w:top w:w="0" w:type="dxa"/>
          <w:left w:w="0" w:type="dxa"/>
          <w:bottom w:w="0" w:type="dxa"/>
          <w:right w:w="0" w:type="dxa"/>
        </w:tblCellMar>
      </w:tblPr>
      <w:tr>
        <w:trPr>
          <w:trHeight w:val="172"/>
        </w:trPr>
        <w:tc>
          <w:tcPr>
            <w:tcW w:w="3500" w:type="dxa"/>
            <w:vAlign w:val="bottom"/>
            <w:gridSpan w:val="2"/>
            <w:shd w:val="clear" w:color="auto" w:fill="333333"/>
          </w:tcPr>
          <w:p>
            <w:pPr>
              <w:ind w:left="60"/>
              <w:spacing w:after="0"/>
              <w:rPr>
                <w:sz w:val="20"/>
                <w:szCs w:val="20"/>
                <w:color w:val="auto"/>
              </w:rPr>
            </w:pPr>
            <w:r>
              <w:rPr>
                <w:rFonts w:ascii="Arial" w:cs="Arial" w:eastAsia="Arial" w:hAnsi="Arial"/>
                <w:sz w:val="15"/>
                <w:szCs w:val="15"/>
                <w:b w:val="1"/>
                <w:bCs w:val="1"/>
                <w:color w:val="FFFFFF"/>
              </w:rPr>
              <w:t>CALCULATION OF RETURN ON AVERAGE</w:t>
            </w:r>
          </w:p>
        </w:tc>
        <w:tc>
          <w:tcPr>
            <w:tcW w:w="940" w:type="dxa"/>
            <w:vAlign w:val="bottom"/>
            <w:shd w:val="clear" w:color="auto" w:fill="333333"/>
          </w:tcPr>
          <w:p>
            <w:pPr>
              <w:spacing w:after="0"/>
              <w:rPr>
                <w:sz w:val="14"/>
                <w:szCs w:val="14"/>
                <w:color w:val="auto"/>
              </w:rPr>
            </w:pPr>
          </w:p>
        </w:tc>
        <w:tc>
          <w:tcPr>
            <w:tcW w:w="1040" w:type="dxa"/>
            <w:vAlign w:val="bottom"/>
            <w:shd w:val="clear" w:color="auto" w:fill="333333"/>
          </w:tcPr>
          <w:p>
            <w:pPr>
              <w:spacing w:after="0"/>
              <w:rPr>
                <w:sz w:val="14"/>
                <w:szCs w:val="14"/>
                <w:color w:val="auto"/>
              </w:rPr>
            </w:pPr>
          </w:p>
        </w:tc>
      </w:tr>
      <w:tr>
        <w:trPr>
          <w:trHeight w:val="197"/>
        </w:trPr>
        <w:tc>
          <w:tcPr>
            <w:tcW w:w="2680" w:type="dxa"/>
            <w:vAlign w:val="bottom"/>
            <w:shd w:val="clear" w:color="auto" w:fill="333333"/>
          </w:tcPr>
          <w:p>
            <w:pPr>
              <w:ind w:left="60"/>
              <w:spacing w:after="0"/>
              <w:rPr>
                <w:sz w:val="20"/>
                <w:szCs w:val="20"/>
                <w:color w:val="auto"/>
              </w:rPr>
            </w:pPr>
            <w:r>
              <w:rPr>
                <w:rFonts w:ascii="Arial" w:cs="Arial" w:eastAsia="Arial" w:hAnsi="Arial"/>
                <w:sz w:val="15"/>
                <w:szCs w:val="15"/>
                <w:b w:val="1"/>
                <w:bCs w:val="1"/>
                <w:color w:val="FFFFFF"/>
              </w:rPr>
              <w:t>CAPITAL EMPLOYED</w:t>
            </w:r>
          </w:p>
        </w:tc>
        <w:tc>
          <w:tcPr>
            <w:tcW w:w="820" w:type="dxa"/>
            <w:vAlign w:val="bottom"/>
            <w:shd w:val="clear" w:color="auto" w:fill="333333"/>
          </w:tcPr>
          <w:p>
            <w:pPr>
              <w:spacing w:after="0"/>
              <w:rPr>
                <w:sz w:val="17"/>
                <w:szCs w:val="17"/>
                <w:color w:val="auto"/>
              </w:rPr>
            </w:pPr>
          </w:p>
        </w:tc>
        <w:tc>
          <w:tcPr>
            <w:tcW w:w="940" w:type="dxa"/>
            <w:vAlign w:val="bottom"/>
            <w:shd w:val="clear" w:color="auto" w:fill="333333"/>
          </w:tcPr>
          <w:p>
            <w:pPr>
              <w:spacing w:after="0"/>
              <w:rPr>
                <w:sz w:val="17"/>
                <w:szCs w:val="17"/>
                <w:color w:val="auto"/>
              </w:rPr>
            </w:pPr>
          </w:p>
        </w:tc>
        <w:tc>
          <w:tcPr>
            <w:tcW w:w="1040" w:type="dxa"/>
            <w:vAlign w:val="bottom"/>
            <w:shd w:val="clear" w:color="auto" w:fill="333333"/>
          </w:tcPr>
          <w:p>
            <w:pPr>
              <w:jc w:val="right"/>
              <w:ind w:right="29"/>
              <w:spacing w:after="0"/>
              <w:rPr>
                <w:sz w:val="20"/>
                <w:szCs w:val="20"/>
                <w:color w:val="auto"/>
              </w:rPr>
            </w:pPr>
            <w:r>
              <w:rPr>
                <w:rFonts w:ascii="Arial" w:cs="Arial" w:eastAsia="Arial" w:hAnsi="Arial"/>
                <w:sz w:val="15"/>
                <w:szCs w:val="15"/>
                <w:color w:val="FFFFFF"/>
              </w:rPr>
              <w:t>$ MILLION</w:t>
            </w:r>
          </w:p>
        </w:tc>
      </w:tr>
      <w:tr>
        <w:trPr>
          <w:trHeight w:val="149"/>
        </w:trPr>
        <w:tc>
          <w:tcPr>
            <w:tcW w:w="268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shd w:val="clear" w:color="auto" w:fill="D8D8D8"/>
          </w:tcPr>
          <w:p>
            <w:pPr>
              <w:jc w:val="right"/>
              <w:ind w:right="9"/>
              <w:spacing w:after="0"/>
              <w:rPr>
                <w:sz w:val="20"/>
                <w:szCs w:val="20"/>
                <w:color w:val="auto"/>
              </w:rPr>
            </w:pPr>
            <w:r>
              <w:rPr>
                <w:rFonts w:ascii="Arial" w:cs="Arial" w:eastAsia="Arial" w:hAnsi="Arial"/>
                <w:sz w:val="13"/>
                <w:szCs w:val="13"/>
                <w:color w:val="auto"/>
              </w:rPr>
              <w:t>2014</w:t>
            </w:r>
          </w:p>
        </w:tc>
        <w:tc>
          <w:tcPr>
            <w:tcW w:w="940" w:type="dxa"/>
            <w:vAlign w:val="bottom"/>
            <w:tcBorders>
              <w:bottom w:val="single" w:sz="8" w:color="auto"/>
            </w:tcBorders>
          </w:tcPr>
          <w:p>
            <w:pPr>
              <w:jc w:val="right"/>
              <w:ind w:right="109"/>
              <w:spacing w:after="0"/>
              <w:rPr>
                <w:sz w:val="20"/>
                <w:szCs w:val="20"/>
                <w:color w:val="auto"/>
              </w:rPr>
            </w:pPr>
            <w:r>
              <w:rPr>
                <w:rFonts w:ascii="Arial" w:cs="Arial" w:eastAsia="Arial" w:hAnsi="Arial"/>
                <w:sz w:val="13"/>
                <w:szCs w:val="13"/>
                <w:color w:val="auto"/>
              </w:rPr>
              <w:t>2013</w:t>
            </w:r>
          </w:p>
        </w:tc>
        <w:tc>
          <w:tcPr>
            <w:tcW w:w="1040" w:type="dxa"/>
            <w:vAlign w:val="bottom"/>
            <w:tcBorders>
              <w:bottom w:val="single" w:sz="8" w:color="auto"/>
            </w:tcBorders>
          </w:tcPr>
          <w:p>
            <w:pPr>
              <w:jc w:val="right"/>
              <w:ind w:right="89"/>
              <w:spacing w:after="0"/>
              <w:rPr>
                <w:sz w:val="20"/>
                <w:szCs w:val="20"/>
                <w:color w:val="auto"/>
              </w:rPr>
            </w:pPr>
            <w:r>
              <w:rPr>
                <w:rFonts w:ascii="Arial" w:cs="Arial" w:eastAsia="Arial" w:hAnsi="Arial"/>
                <w:sz w:val="13"/>
                <w:szCs w:val="13"/>
                <w:color w:val="auto"/>
              </w:rPr>
              <w:t>2012</w:t>
            </w:r>
          </w:p>
        </w:tc>
      </w:tr>
      <w:tr>
        <w:trPr>
          <w:trHeight w:val="156"/>
        </w:trPr>
        <w:tc>
          <w:tcPr>
            <w:tcW w:w="2680" w:type="dxa"/>
            <w:vAlign w:val="bottom"/>
          </w:tcPr>
          <w:p>
            <w:pPr>
              <w:spacing w:after="0" w:line="155" w:lineRule="exact"/>
              <w:rPr>
                <w:sz w:val="20"/>
                <w:szCs w:val="20"/>
                <w:color w:val="auto"/>
              </w:rPr>
            </w:pPr>
            <w:r>
              <w:rPr>
                <w:rFonts w:ascii="Arial" w:cs="Arial" w:eastAsia="Arial" w:hAnsi="Arial"/>
                <w:sz w:val="14"/>
                <w:szCs w:val="14"/>
                <w:color w:val="auto"/>
              </w:rPr>
              <w:t>Income for the period</w:t>
            </w:r>
          </w:p>
        </w:tc>
        <w:tc>
          <w:tcPr>
            <w:tcW w:w="820" w:type="dxa"/>
            <w:vAlign w:val="bottom"/>
            <w:shd w:val="clear" w:color="auto" w:fill="D8D8D8"/>
          </w:tcPr>
          <w:p>
            <w:pPr>
              <w:jc w:val="right"/>
              <w:ind w:right="9"/>
              <w:spacing w:after="0" w:line="155" w:lineRule="exact"/>
              <w:rPr>
                <w:sz w:val="20"/>
                <w:szCs w:val="20"/>
                <w:color w:val="auto"/>
              </w:rPr>
            </w:pPr>
            <w:r>
              <w:rPr>
                <w:rFonts w:ascii="Arial" w:cs="Arial" w:eastAsia="Arial" w:hAnsi="Arial"/>
                <w:sz w:val="14"/>
                <w:szCs w:val="14"/>
                <w:color w:val="auto"/>
                <w:highlight w:val="lightGray"/>
              </w:rPr>
              <w:t>14,730</w:t>
            </w:r>
          </w:p>
        </w:tc>
        <w:tc>
          <w:tcPr>
            <w:tcW w:w="940" w:type="dxa"/>
            <w:vAlign w:val="bottom"/>
          </w:tcPr>
          <w:p>
            <w:pPr>
              <w:jc w:val="right"/>
              <w:ind w:right="109"/>
              <w:spacing w:after="0" w:line="155" w:lineRule="exact"/>
              <w:rPr>
                <w:sz w:val="20"/>
                <w:szCs w:val="20"/>
                <w:color w:val="auto"/>
              </w:rPr>
            </w:pPr>
            <w:r>
              <w:rPr>
                <w:rFonts w:ascii="Arial" w:cs="Arial" w:eastAsia="Arial" w:hAnsi="Arial"/>
                <w:sz w:val="14"/>
                <w:szCs w:val="14"/>
                <w:color w:val="auto"/>
              </w:rPr>
              <w:t>16,526</w:t>
            </w:r>
          </w:p>
        </w:tc>
        <w:tc>
          <w:tcPr>
            <w:tcW w:w="1040" w:type="dxa"/>
            <w:vAlign w:val="bottom"/>
          </w:tcPr>
          <w:p>
            <w:pPr>
              <w:jc w:val="right"/>
              <w:ind w:right="89"/>
              <w:spacing w:after="0" w:line="155" w:lineRule="exact"/>
              <w:rPr>
                <w:sz w:val="20"/>
                <w:szCs w:val="20"/>
                <w:color w:val="auto"/>
              </w:rPr>
            </w:pPr>
            <w:r>
              <w:rPr>
                <w:rFonts w:ascii="Arial" w:cs="Arial" w:eastAsia="Arial" w:hAnsi="Arial"/>
                <w:sz w:val="14"/>
                <w:szCs w:val="14"/>
                <w:color w:val="auto"/>
              </w:rPr>
              <w:t>26,960</w:t>
            </w:r>
          </w:p>
        </w:tc>
      </w:tr>
      <w:tr>
        <w:trPr>
          <w:trHeight w:val="162"/>
        </w:trPr>
        <w:tc>
          <w:tcPr>
            <w:tcW w:w="268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Interest expense after tax</w:t>
            </w:r>
          </w:p>
        </w:tc>
        <w:tc>
          <w:tcPr>
            <w:tcW w:w="820" w:type="dxa"/>
            <w:vAlign w:val="bottom"/>
            <w:tcBorders>
              <w:bottom w:val="single" w:sz="8" w:color="auto"/>
            </w:tcBorders>
            <w:shd w:val="clear" w:color="auto" w:fill="D8D8D8"/>
          </w:tcPr>
          <w:p>
            <w:pPr>
              <w:jc w:val="right"/>
              <w:ind w:right="9"/>
              <w:spacing w:after="0"/>
              <w:rPr>
                <w:sz w:val="20"/>
                <w:szCs w:val="20"/>
                <w:color w:val="auto"/>
              </w:rPr>
            </w:pPr>
            <w:r>
              <w:rPr>
                <w:rFonts w:ascii="Arial" w:cs="Arial" w:eastAsia="Arial" w:hAnsi="Arial"/>
                <w:sz w:val="14"/>
                <w:szCs w:val="14"/>
                <w:color w:val="auto"/>
              </w:rPr>
              <w:t>938</w:t>
            </w:r>
          </w:p>
        </w:tc>
        <w:tc>
          <w:tcPr>
            <w:tcW w:w="94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color w:val="auto"/>
              </w:rPr>
              <w:t>808</w:t>
            </w:r>
          </w:p>
        </w:tc>
        <w:tc>
          <w:tcPr>
            <w:tcW w:w="1040" w:type="dxa"/>
            <w:vAlign w:val="bottom"/>
            <w:tcBorders>
              <w:bottom w:val="single" w:sz="8" w:color="auto"/>
            </w:tcBorders>
          </w:tcPr>
          <w:p>
            <w:pPr>
              <w:jc w:val="right"/>
              <w:ind w:right="89"/>
              <w:spacing w:after="0"/>
              <w:rPr>
                <w:sz w:val="20"/>
                <w:szCs w:val="20"/>
                <w:color w:val="auto"/>
              </w:rPr>
            </w:pPr>
            <w:r>
              <w:rPr>
                <w:rFonts w:ascii="Arial" w:cs="Arial" w:eastAsia="Arial" w:hAnsi="Arial"/>
                <w:sz w:val="14"/>
                <w:szCs w:val="14"/>
                <w:color w:val="auto"/>
              </w:rPr>
              <w:t>938</w:t>
            </w:r>
          </w:p>
        </w:tc>
      </w:tr>
      <w:tr>
        <w:trPr>
          <w:trHeight w:val="156"/>
        </w:trPr>
        <w:tc>
          <w:tcPr>
            <w:tcW w:w="2680" w:type="dxa"/>
            <w:vAlign w:val="bottom"/>
            <w:tcBorders>
              <w:bottom w:val="single" w:sz="8" w:color="auto"/>
            </w:tcBorders>
          </w:tcPr>
          <w:p>
            <w:pPr>
              <w:spacing w:after="0" w:line="155" w:lineRule="exact"/>
              <w:rPr>
                <w:sz w:val="20"/>
                <w:szCs w:val="20"/>
                <w:color w:val="auto"/>
              </w:rPr>
            </w:pPr>
            <w:r>
              <w:rPr>
                <w:rFonts w:ascii="Arial" w:cs="Arial" w:eastAsia="Arial" w:hAnsi="Arial"/>
                <w:sz w:val="14"/>
                <w:szCs w:val="14"/>
                <w:color w:val="auto"/>
              </w:rPr>
              <w:t>Income before interest expense</w:t>
            </w:r>
          </w:p>
        </w:tc>
        <w:tc>
          <w:tcPr>
            <w:tcW w:w="820" w:type="dxa"/>
            <w:vAlign w:val="bottom"/>
            <w:tcBorders>
              <w:bottom w:val="single" w:sz="8" w:color="auto"/>
            </w:tcBorders>
            <w:shd w:val="clear" w:color="auto" w:fill="D8D8D8"/>
          </w:tcPr>
          <w:p>
            <w:pPr>
              <w:jc w:val="right"/>
              <w:ind w:right="9"/>
              <w:spacing w:after="0" w:line="155" w:lineRule="exact"/>
              <w:rPr>
                <w:sz w:val="20"/>
                <w:szCs w:val="20"/>
                <w:color w:val="auto"/>
              </w:rPr>
            </w:pPr>
            <w:r>
              <w:rPr>
                <w:rFonts w:ascii="Arial" w:cs="Arial" w:eastAsia="Arial" w:hAnsi="Arial"/>
                <w:sz w:val="14"/>
                <w:szCs w:val="14"/>
                <w:color w:val="auto"/>
              </w:rPr>
              <w:t>15,668</w:t>
            </w:r>
          </w:p>
        </w:tc>
        <w:tc>
          <w:tcPr>
            <w:tcW w:w="940" w:type="dxa"/>
            <w:vAlign w:val="bottom"/>
            <w:tcBorders>
              <w:bottom w:val="single" w:sz="8" w:color="auto"/>
            </w:tcBorders>
          </w:tcPr>
          <w:p>
            <w:pPr>
              <w:jc w:val="right"/>
              <w:ind w:right="109"/>
              <w:spacing w:after="0" w:line="155" w:lineRule="exact"/>
              <w:rPr>
                <w:sz w:val="20"/>
                <w:szCs w:val="20"/>
                <w:color w:val="auto"/>
              </w:rPr>
            </w:pPr>
            <w:r>
              <w:rPr>
                <w:rFonts w:ascii="Arial" w:cs="Arial" w:eastAsia="Arial" w:hAnsi="Arial"/>
                <w:sz w:val="14"/>
                <w:szCs w:val="14"/>
                <w:color w:val="auto"/>
              </w:rPr>
              <w:t>17,334</w:t>
            </w:r>
          </w:p>
        </w:tc>
        <w:tc>
          <w:tcPr>
            <w:tcW w:w="1040" w:type="dxa"/>
            <w:vAlign w:val="bottom"/>
            <w:tcBorders>
              <w:bottom w:val="single" w:sz="8" w:color="auto"/>
            </w:tcBorders>
          </w:tcPr>
          <w:p>
            <w:pPr>
              <w:jc w:val="right"/>
              <w:ind w:right="89"/>
              <w:spacing w:after="0" w:line="155" w:lineRule="exact"/>
              <w:rPr>
                <w:sz w:val="20"/>
                <w:szCs w:val="20"/>
                <w:color w:val="auto"/>
              </w:rPr>
            </w:pPr>
            <w:r>
              <w:rPr>
                <w:rFonts w:ascii="Arial" w:cs="Arial" w:eastAsia="Arial" w:hAnsi="Arial"/>
                <w:sz w:val="14"/>
                <w:szCs w:val="14"/>
                <w:color w:val="auto"/>
              </w:rPr>
              <w:t>27,898</w:t>
            </w:r>
          </w:p>
        </w:tc>
      </w:tr>
      <w:tr>
        <w:trPr>
          <w:trHeight w:val="160"/>
        </w:trPr>
        <w:tc>
          <w:tcPr>
            <w:tcW w:w="2680" w:type="dxa"/>
            <w:vAlign w:val="bottom"/>
          </w:tcPr>
          <w:p>
            <w:pPr>
              <w:spacing w:after="0"/>
              <w:rPr>
                <w:sz w:val="20"/>
                <w:szCs w:val="20"/>
                <w:color w:val="auto"/>
              </w:rPr>
            </w:pPr>
            <w:r>
              <w:rPr>
                <w:rFonts w:ascii="Arial" w:cs="Arial" w:eastAsia="Arial" w:hAnsi="Arial"/>
                <w:sz w:val="14"/>
                <w:szCs w:val="14"/>
                <w:color w:val="auto"/>
              </w:rPr>
              <w:t>Capital employed – opening</w:t>
            </w:r>
          </w:p>
        </w:tc>
        <w:tc>
          <w:tcPr>
            <w:tcW w:w="820" w:type="dxa"/>
            <w:vAlign w:val="bottom"/>
            <w:shd w:val="clear" w:color="auto" w:fill="D8D8D8"/>
          </w:tcPr>
          <w:p>
            <w:pPr>
              <w:jc w:val="right"/>
              <w:ind w:right="9"/>
              <w:spacing w:after="0"/>
              <w:rPr>
                <w:sz w:val="20"/>
                <w:szCs w:val="20"/>
                <w:color w:val="auto"/>
              </w:rPr>
            </w:pPr>
            <w:r>
              <w:rPr>
                <w:rFonts w:ascii="Arial" w:cs="Arial" w:eastAsia="Arial" w:hAnsi="Arial"/>
                <w:sz w:val="14"/>
                <w:szCs w:val="14"/>
                <w:color w:val="auto"/>
              </w:rPr>
              <w:t>225,710</w:t>
            </w:r>
          </w:p>
        </w:tc>
        <w:tc>
          <w:tcPr>
            <w:tcW w:w="940" w:type="dxa"/>
            <w:vAlign w:val="bottom"/>
          </w:tcPr>
          <w:p>
            <w:pPr>
              <w:jc w:val="right"/>
              <w:ind w:right="109"/>
              <w:spacing w:after="0"/>
              <w:rPr>
                <w:sz w:val="20"/>
                <w:szCs w:val="20"/>
                <w:color w:val="auto"/>
              </w:rPr>
            </w:pPr>
            <w:r>
              <w:rPr>
                <w:rFonts w:ascii="Arial" w:cs="Arial" w:eastAsia="Arial" w:hAnsi="Arial"/>
                <w:sz w:val="14"/>
                <w:szCs w:val="14"/>
                <w:color w:val="auto"/>
              </w:rPr>
              <w:t>213,936</w:t>
            </w:r>
          </w:p>
        </w:tc>
        <w:tc>
          <w:tcPr>
            <w:tcW w:w="1040" w:type="dxa"/>
            <w:vAlign w:val="bottom"/>
          </w:tcPr>
          <w:p>
            <w:pPr>
              <w:jc w:val="right"/>
              <w:ind w:right="89"/>
              <w:spacing w:after="0"/>
              <w:rPr>
                <w:sz w:val="20"/>
                <w:szCs w:val="20"/>
                <w:color w:val="auto"/>
              </w:rPr>
            </w:pPr>
            <w:r>
              <w:rPr>
                <w:rFonts w:ascii="Arial" w:cs="Arial" w:eastAsia="Arial" w:hAnsi="Arial"/>
                <w:sz w:val="14"/>
                <w:szCs w:val="14"/>
                <w:color w:val="auto"/>
              </w:rPr>
              <w:t>197,141</w:t>
            </w:r>
          </w:p>
        </w:tc>
      </w:tr>
      <w:tr>
        <w:trPr>
          <w:trHeight w:val="157"/>
        </w:trPr>
        <w:tc>
          <w:tcPr>
            <w:tcW w:w="2680" w:type="dxa"/>
            <w:vAlign w:val="bottom"/>
            <w:tcBorders>
              <w:bottom w:val="single" w:sz="8" w:color="auto"/>
            </w:tcBorders>
          </w:tcPr>
          <w:p>
            <w:pPr>
              <w:spacing w:after="0" w:line="157" w:lineRule="exact"/>
              <w:rPr>
                <w:sz w:val="20"/>
                <w:szCs w:val="20"/>
                <w:color w:val="auto"/>
              </w:rPr>
            </w:pPr>
            <w:r>
              <w:rPr>
                <w:rFonts w:ascii="Arial" w:cs="Arial" w:eastAsia="Arial" w:hAnsi="Arial"/>
                <w:sz w:val="14"/>
                <w:szCs w:val="14"/>
                <w:color w:val="auto"/>
              </w:rPr>
              <w:t>Capital employed – closing</w:t>
            </w:r>
          </w:p>
        </w:tc>
        <w:tc>
          <w:tcPr>
            <w:tcW w:w="820" w:type="dxa"/>
            <w:vAlign w:val="bottom"/>
            <w:tcBorders>
              <w:bottom w:val="single" w:sz="8" w:color="auto"/>
            </w:tcBorders>
            <w:shd w:val="clear" w:color="auto" w:fill="D8D8D8"/>
          </w:tcPr>
          <w:p>
            <w:pPr>
              <w:jc w:val="right"/>
              <w:ind w:right="9"/>
              <w:spacing w:after="0" w:line="157" w:lineRule="exact"/>
              <w:rPr>
                <w:sz w:val="20"/>
                <w:szCs w:val="20"/>
                <w:color w:val="auto"/>
              </w:rPr>
            </w:pPr>
            <w:r>
              <w:rPr>
                <w:rFonts w:ascii="Arial" w:cs="Arial" w:eastAsia="Arial" w:hAnsi="Arial"/>
                <w:sz w:val="14"/>
                <w:szCs w:val="14"/>
                <w:color w:val="auto"/>
              </w:rPr>
              <w:t>218,326</w:t>
            </w:r>
          </w:p>
        </w:tc>
        <w:tc>
          <w:tcPr>
            <w:tcW w:w="940" w:type="dxa"/>
            <w:vAlign w:val="bottom"/>
            <w:tcBorders>
              <w:bottom w:val="single" w:sz="8" w:color="auto"/>
            </w:tcBorders>
          </w:tcPr>
          <w:p>
            <w:pPr>
              <w:jc w:val="right"/>
              <w:ind w:right="109"/>
              <w:spacing w:after="0" w:line="157" w:lineRule="exact"/>
              <w:rPr>
                <w:sz w:val="20"/>
                <w:szCs w:val="20"/>
                <w:color w:val="auto"/>
              </w:rPr>
            </w:pPr>
            <w:r>
              <w:rPr>
                <w:rFonts w:ascii="Arial" w:cs="Arial" w:eastAsia="Arial" w:hAnsi="Arial"/>
                <w:sz w:val="14"/>
                <w:szCs w:val="14"/>
                <w:color w:val="auto"/>
              </w:rPr>
              <w:t>225,710</w:t>
            </w:r>
          </w:p>
        </w:tc>
        <w:tc>
          <w:tcPr>
            <w:tcW w:w="1040" w:type="dxa"/>
            <w:vAlign w:val="bottom"/>
            <w:tcBorders>
              <w:bottom w:val="single" w:sz="8" w:color="auto"/>
            </w:tcBorders>
          </w:tcPr>
          <w:p>
            <w:pPr>
              <w:jc w:val="right"/>
              <w:ind w:right="89"/>
              <w:spacing w:after="0" w:line="157" w:lineRule="exact"/>
              <w:rPr>
                <w:sz w:val="20"/>
                <w:szCs w:val="20"/>
                <w:color w:val="auto"/>
              </w:rPr>
            </w:pPr>
            <w:r>
              <w:rPr>
                <w:rFonts w:ascii="Arial" w:cs="Arial" w:eastAsia="Arial" w:hAnsi="Arial"/>
                <w:sz w:val="14"/>
                <w:szCs w:val="14"/>
                <w:color w:val="auto"/>
              </w:rPr>
              <w:t>213,936</w:t>
            </w:r>
          </w:p>
        </w:tc>
      </w:tr>
      <w:tr>
        <w:trPr>
          <w:trHeight w:val="156"/>
        </w:trPr>
        <w:tc>
          <w:tcPr>
            <w:tcW w:w="2680" w:type="dxa"/>
            <w:vAlign w:val="bottom"/>
            <w:tcBorders>
              <w:bottom w:val="single" w:sz="8" w:color="auto"/>
            </w:tcBorders>
          </w:tcPr>
          <w:p>
            <w:pPr>
              <w:spacing w:after="0" w:line="155" w:lineRule="exact"/>
              <w:rPr>
                <w:sz w:val="20"/>
                <w:szCs w:val="20"/>
                <w:color w:val="auto"/>
              </w:rPr>
            </w:pPr>
            <w:r>
              <w:rPr>
                <w:rFonts w:ascii="Arial" w:cs="Arial" w:eastAsia="Arial" w:hAnsi="Arial"/>
                <w:sz w:val="14"/>
                <w:szCs w:val="14"/>
                <w:color w:val="auto"/>
              </w:rPr>
              <w:t>Capital employed – average</w:t>
            </w:r>
          </w:p>
        </w:tc>
        <w:tc>
          <w:tcPr>
            <w:tcW w:w="820" w:type="dxa"/>
            <w:vAlign w:val="bottom"/>
            <w:tcBorders>
              <w:bottom w:val="single" w:sz="8" w:color="auto"/>
            </w:tcBorders>
            <w:shd w:val="clear" w:color="auto" w:fill="D8D8D8"/>
          </w:tcPr>
          <w:p>
            <w:pPr>
              <w:jc w:val="right"/>
              <w:ind w:right="9"/>
              <w:spacing w:after="0" w:line="155" w:lineRule="exact"/>
              <w:rPr>
                <w:sz w:val="20"/>
                <w:szCs w:val="20"/>
                <w:color w:val="auto"/>
              </w:rPr>
            </w:pPr>
            <w:r>
              <w:rPr>
                <w:rFonts w:ascii="Arial" w:cs="Arial" w:eastAsia="Arial" w:hAnsi="Arial"/>
                <w:sz w:val="14"/>
                <w:szCs w:val="14"/>
                <w:color w:val="auto"/>
              </w:rPr>
              <w:t>222,018</w:t>
            </w:r>
          </w:p>
        </w:tc>
        <w:tc>
          <w:tcPr>
            <w:tcW w:w="940" w:type="dxa"/>
            <w:vAlign w:val="bottom"/>
            <w:tcBorders>
              <w:bottom w:val="single" w:sz="8" w:color="auto"/>
            </w:tcBorders>
          </w:tcPr>
          <w:p>
            <w:pPr>
              <w:jc w:val="right"/>
              <w:ind w:right="109"/>
              <w:spacing w:after="0" w:line="155" w:lineRule="exact"/>
              <w:rPr>
                <w:sz w:val="20"/>
                <w:szCs w:val="20"/>
                <w:color w:val="auto"/>
              </w:rPr>
            </w:pPr>
            <w:r>
              <w:rPr>
                <w:rFonts w:ascii="Arial" w:cs="Arial" w:eastAsia="Arial" w:hAnsi="Arial"/>
                <w:sz w:val="14"/>
                <w:szCs w:val="14"/>
                <w:color w:val="auto"/>
              </w:rPr>
              <w:t>219,823</w:t>
            </w:r>
          </w:p>
        </w:tc>
        <w:tc>
          <w:tcPr>
            <w:tcW w:w="1040" w:type="dxa"/>
            <w:vAlign w:val="bottom"/>
            <w:tcBorders>
              <w:bottom w:val="single" w:sz="8" w:color="auto"/>
            </w:tcBorders>
          </w:tcPr>
          <w:p>
            <w:pPr>
              <w:jc w:val="right"/>
              <w:ind w:right="89"/>
              <w:spacing w:after="0" w:line="155" w:lineRule="exact"/>
              <w:rPr>
                <w:sz w:val="20"/>
                <w:szCs w:val="20"/>
                <w:color w:val="auto"/>
              </w:rPr>
            </w:pPr>
            <w:r>
              <w:rPr>
                <w:rFonts w:ascii="Arial" w:cs="Arial" w:eastAsia="Arial" w:hAnsi="Arial"/>
                <w:sz w:val="14"/>
                <w:szCs w:val="14"/>
                <w:color w:val="auto"/>
              </w:rPr>
              <w:t>205,539</w:t>
            </w:r>
          </w:p>
        </w:tc>
      </w:tr>
      <w:tr>
        <w:trPr>
          <w:trHeight w:val="156"/>
        </w:trPr>
        <w:tc>
          <w:tcPr>
            <w:tcW w:w="2680" w:type="dxa"/>
            <w:vAlign w:val="bottom"/>
            <w:tcBorders>
              <w:bottom w:val="single" w:sz="8" w:color="auto"/>
            </w:tcBorders>
          </w:tcPr>
          <w:p>
            <w:pPr>
              <w:spacing w:after="0" w:line="155" w:lineRule="exact"/>
              <w:rPr>
                <w:sz w:val="20"/>
                <w:szCs w:val="20"/>
                <w:color w:val="auto"/>
              </w:rPr>
            </w:pPr>
            <w:r>
              <w:rPr>
                <w:rFonts w:ascii="Arial" w:cs="Arial" w:eastAsia="Arial" w:hAnsi="Arial"/>
                <w:sz w:val="14"/>
                <w:szCs w:val="14"/>
                <w:color w:val="auto"/>
              </w:rPr>
              <w:t>ROACE</w:t>
            </w:r>
          </w:p>
        </w:tc>
        <w:tc>
          <w:tcPr>
            <w:tcW w:w="820" w:type="dxa"/>
            <w:vAlign w:val="bottom"/>
            <w:tcBorders>
              <w:bottom w:val="single" w:sz="8" w:color="auto"/>
            </w:tcBorders>
            <w:shd w:val="clear" w:color="auto" w:fill="D8D8D8"/>
          </w:tcPr>
          <w:p>
            <w:pPr>
              <w:jc w:val="right"/>
              <w:ind w:right="9"/>
              <w:spacing w:after="0" w:line="155" w:lineRule="exact"/>
              <w:rPr>
                <w:sz w:val="20"/>
                <w:szCs w:val="20"/>
                <w:color w:val="auto"/>
              </w:rPr>
            </w:pPr>
            <w:r>
              <w:rPr>
                <w:rFonts w:ascii="Arial" w:cs="Arial" w:eastAsia="Arial" w:hAnsi="Arial"/>
                <w:sz w:val="14"/>
                <w:szCs w:val="14"/>
                <w:color w:val="auto"/>
              </w:rPr>
              <w:t>7.1%</w:t>
            </w:r>
          </w:p>
        </w:tc>
        <w:tc>
          <w:tcPr>
            <w:tcW w:w="940" w:type="dxa"/>
            <w:vAlign w:val="bottom"/>
            <w:tcBorders>
              <w:bottom w:val="single" w:sz="8" w:color="auto"/>
            </w:tcBorders>
          </w:tcPr>
          <w:p>
            <w:pPr>
              <w:jc w:val="right"/>
              <w:ind w:right="109"/>
              <w:spacing w:after="0" w:line="155" w:lineRule="exact"/>
              <w:rPr>
                <w:sz w:val="20"/>
                <w:szCs w:val="20"/>
                <w:color w:val="auto"/>
              </w:rPr>
            </w:pPr>
            <w:r>
              <w:rPr>
                <w:rFonts w:ascii="Arial" w:cs="Arial" w:eastAsia="Arial" w:hAnsi="Arial"/>
                <w:sz w:val="14"/>
                <w:szCs w:val="14"/>
                <w:color w:val="auto"/>
              </w:rPr>
              <w:t>7.9%</w:t>
            </w:r>
          </w:p>
        </w:tc>
        <w:tc>
          <w:tcPr>
            <w:tcW w:w="1040" w:type="dxa"/>
            <w:vAlign w:val="bottom"/>
            <w:tcBorders>
              <w:bottom w:val="single" w:sz="8" w:color="auto"/>
            </w:tcBorders>
          </w:tcPr>
          <w:p>
            <w:pPr>
              <w:jc w:val="right"/>
              <w:ind w:right="89"/>
              <w:spacing w:after="0" w:line="155" w:lineRule="exact"/>
              <w:rPr>
                <w:sz w:val="20"/>
                <w:szCs w:val="20"/>
                <w:color w:val="auto"/>
              </w:rPr>
            </w:pPr>
            <w:r>
              <w:rPr>
                <w:rFonts w:ascii="Arial" w:cs="Arial" w:eastAsia="Arial" w:hAnsi="Arial"/>
                <w:sz w:val="14"/>
                <w:szCs w:val="14"/>
                <w:color w:val="auto"/>
              </w:rPr>
              <w:t>13.6%</w:t>
            </w:r>
          </w:p>
        </w:tc>
      </w:tr>
    </w:tbl>
    <w:p>
      <w:pPr>
        <w:spacing w:after="0" w:line="194" w:lineRule="exact"/>
        <w:rPr>
          <w:sz w:val="20"/>
          <w:szCs w:val="20"/>
          <w:color w:val="auto"/>
        </w:rPr>
      </w:pPr>
    </w:p>
    <w:p>
      <w:pPr>
        <w:ind w:left="180" w:right="180"/>
        <w:spacing w:after="0" w:line="250" w:lineRule="auto"/>
        <w:rPr>
          <w:sz w:val="20"/>
          <w:szCs w:val="20"/>
          <w:color w:val="auto"/>
        </w:rPr>
      </w:pPr>
      <w:r>
        <w:rPr>
          <w:rFonts w:ascii="Arial" w:cs="Arial" w:eastAsia="Arial" w:hAnsi="Arial"/>
          <w:sz w:val="14"/>
          <w:szCs w:val="14"/>
          <w:color w:val="auto"/>
        </w:rPr>
        <w:t>In 2014, about 32% of our average capital employed was not generating any revenue, which reduced our ROACE by approximately 4%. These assets included projects being developed and exploration acreage.</w:t>
      </w:r>
    </w:p>
    <w:p>
      <w:pPr>
        <w:spacing w:after="0" w:line="153" w:lineRule="exact"/>
        <w:rPr>
          <w:sz w:val="20"/>
          <w:szCs w:val="20"/>
          <w:color w:val="auto"/>
        </w:rPr>
      </w:pPr>
    </w:p>
    <w:p>
      <w:pPr>
        <w:ind w:left="180" w:right="440"/>
        <w:spacing w:after="0" w:line="238" w:lineRule="auto"/>
        <w:rPr>
          <w:sz w:val="20"/>
          <w:szCs w:val="20"/>
          <w:color w:val="auto"/>
        </w:rPr>
      </w:pPr>
      <w:r>
        <w:rPr>
          <w:rFonts w:ascii="Arial" w:cs="Arial" w:eastAsia="Arial" w:hAnsi="Arial"/>
          <w:sz w:val="18"/>
          <w:szCs w:val="18"/>
          <w:color w:val="auto"/>
        </w:rPr>
        <w:t>FINANCIAL INFORMATION RELATING TO THE ROYAL DUTCH SHELL DIVIDEND ACCESS TRUST</w:t>
      </w:r>
    </w:p>
    <w:p>
      <w:pPr>
        <w:ind w:left="180" w:right="380"/>
        <w:spacing w:after="0" w:line="245" w:lineRule="auto"/>
        <w:rPr>
          <w:sz w:val="20"/>
          <w:szCs w:val="20"/>
          <w:color w:val="auto"/>
        </w:rPr>
      </w:pPr>
      <w:r>
        <w:rPr>
          <w:rFonts w:ascii="Arial" w:cs="Arial" w:eastAsia="Arial" w:hAnsi="Arial"/>
          <w:sz w:val="14"/>
          <w:szCs w:val="14"/>
          <w:color w:val="auto"/>
        </w:rPr>
        <w:t>The results of operations and financial position of the Royal Dutch Shell Dividend Access Trust (the Trust) are included in the consolidated results of operations and financial position of Shell. Certain condensed financial information in respect of the Trust is given below. See “Royal Dutch Shell Dividend Access Trust Financial Statements” for separate financial statements for the Trust.</w:t>
      </w:r>
    </w:p>
    <w:p>
      <w:pPr>
        <w:spacing w:after="0" w:line="164" w:lineRule="exact"/>
        <w:rPr>
          <w:sz w:val="20"/>
          <w:szCs w:val="20"/>
          <w:color w:val="auto"/>
        </w:rPr>
      </w:pPr>
    </w:p>
    <w:p>
      <w:pPr>
        <w:ind w:left="180" w:right="180"/>
        <w:spacing w:after="0" w:line="250" w:lineRule="auto"/>
        <w:rPr>
          <w:sz w:val="20"/>
          <w:szCs w:val="20"/>
          <w:color w:val="auto"/>
        </w:rPr>
      </w:pPr>
      <w:r>
        <w:rPr>
          <w:rFonts w:ascii="Arial" w:cs="Arial" w:eastAsia="Arial" w:hAnsi="Arial"/>
          <w:sz w:val="14"/>
          <w:szCs w:val="14"/>
          <w:color w:val="auto"/>
        </w:rPr>
        <w:t>For the years 2014, 2013 and 2012 the Trust recorded income before tax of £2,470 million, £2,361 million and £2,383 million respectively. In each period this reflected the amount of dividends received on the dividend access share.</w:t>
      </w:r>
    </w:p>
    <w:p>
      <w:pPr>
        <w:spacing w:after="0" w:line="172" w:lineRule="exact"/>
        <w:rPr>
          <w:sz w:val="20"/>
          <w:szCs w:val="20"/>
          <w:color w:val="auto"/>
        </w:rPr>
      </w:pPr>
    </w:p>
    <w:p>
      <w:pPr>
        <w:ind w:left="180"/>
        <w:spacing w:after="0"/>
        <w:rPr>
          <w:sz w:val="20"/>
          <w:szCs w:val="20"/>
          <w:color w:val="auto"/>
        </w:rPr>
      </w:pPr>
      <w:r>
        <w:rPr>
          <w:rFonts w:ascii="Arial" w:cs="Arial" w:eastAsia="Arial" w:hAnsi="Arial"/>
          <w:sz w:val="14"/>
          <w:szCs w:val="14"/>
          <w:color w:val="auto"/>
        </w:rPr>
        <w:t>At December 31, 2014, the Trust had total equity of £nil (2013: £nil; 2012: £nil),</w:t>
      </w:r>
    </w:p>
    <w:p>
      <w:pPr>
        <w:spacing w:after="0" w:line="1" w:lineRule="exact"/>
        <w:rPr>
          <w:sz w:val="20"/>
          <w:szCs w:val="20"/>
          <w:color w:val="auto"/>
        </w:rPr>
      </w:pPr>
    </w:p>
    <w:p>
      <w:pPr>
        <w:ind w:left="180" w:right="220"/>
        <w:spacing w:after="0" w:line="245" w:lineRule="auto"/>
        <w:rPr>
          <w:sz w:val="20"/>
          <w:szCs w:val="20"/>
          <w:color w:val="auto"/>
        </w:rPr>
      </w:pPr>
      <w:r>
        <w:rPr>
          <w:rFonts w:ascii="Arial" w:cs="Arial" w:eastAsia="Arial" w:hAnsi="Arial"/>
          <w:sz w:val="14"/>
          <w:szCs w:val="14"/>
          <w:color w:val="auto"/>
        </w:rPr>
        <w:t>reflecting cash of £1,497,815 (2013: £1,333,658; 2012: £1,202,271) and unclaimed dividends of £1,497,815 (2013: £1,333,658; 2012: £1,202,271). The Trust only records a liability for an unclaimed dividend, and a corresponding amount of cash, to the extent that cheques expire, which is one year after their issuance, or to the extent that they are returned unpresented.</w:t>
      </w:r>
    </w:p>
    <w:p>
      <w:pPr>
        <w:sectPr>
          <w:pgSz w:w="11900" w:h="16838" w:orient="portrait"/>
          <w:cols w:equalWidth="0" w:num="2">
            <w:col w:w="5480" w:space="120"/>
            <w:col w:w="5820"/>
          </w:cols>
          <w:pgMar w:left="240" w:top="459" w:right="239" w:bottom="1440" w:gutter="0" w:footer="0" w:header="0"/>
          <w:type w:val="continuous"/>
        </w:sectPr>
      </w:pPr>
    </w:p>
    <w:bookmarkStart w:id="53" w:name="page54"/>
    <w:bookmarkEnd w:id="53"/>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314960</wp:posOffset>
            </wp:positionV>
            <wp:extent cx="3627755" cy="46291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3627755" cy="462915"/>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p>
      <w:pPr>
        <w:spacing w:after="0" w:line="200" w:lineRule="exact"/>
        <w:rPr>
          <w:sz w:val="20"/>
          <w:szCs w:val="20"/>
          <w:color w:val="auto"/>
        </w:rPr>
      </w:pP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419"/>
        </w:trPr>
        <w:tc>
          <w:tcPr>
            <w:tcW w:w="2080" w:type="dxa"/>
            <w:vAlign w:val="bottom"/>
            <w:shd w:val="clear" w:color="auto" w:fill="FF8B00"/>
          </w:tcPr>
          <w:p>
            <w:pPr>
              <w:spacing w:after="0"/>
              <w:rPr>
                <w:sz w:val="24"/>
                <w:szCs w:val="24"/>
                <w:color w:val="auto"/>
              </w:rPr>
            </w:pPr>
          </w:p>
        </w:tc>
        <w:tc>
          <w:tcPr>
            <w:tcW w:w="3640" w:type="dxa"/>
            <w:vAlign w:val="bottom"/>
            <w:shd w:val="clear" w:color="auto" w:fill="FF8B00"/>
          </w:tcPr>
          <w:p>
            <w:pPr>
              <w:spacing w:after="0"/>
              <w:rPr>
                <w:sz w:val="24"/>
                <w:szCs w:val="24"/>
                <w:color w:val="auto"/>
              </w:rPr>
            </w:pPr>
          </w:p>
        </w:tc>
      </w:tr>
      <w:tr>
        <w:trPr>
          <w:trHeight w:val="152"/>
        </w:trPr>
        <w:tc>
          <w:tcPr>
            <w:tcW w:w="2080" w:type="dxa"/>
            <w:vAlign w:val="bottom"/>
          </w:tcPr>
          <w:p>
            <w:pPr>
              <w:jc w:val="right"/>
              <w:ind w:right="1546"/>
              <w:spacing w:after="0"/>
              <w:rPr>
                <w:sz w:val="20"/>
                <w:szCs w:val="20"/>
                <w:color w:val="auto"/>
              </w:rPr>
            </w:pPr>
            <w:r>
              <w:rPr>
                <w:rFonts w:ascii="Arial" w:cs="Arial" w:eastAsia="Arial" w:hAnsi="Arial"/>
                <w:sz w:val="11"/>
                <w:szCs w:val="11"/>
                <w:b w:val="1"/>
                <w:bCs w:val="1"/>
                <w:color w:val="333333"/>
              </w:rPr>
              <w:t>52</w:t>
            </w:r>
          </w:p>
        </w:tc>
        <w:tc>
          <w:tcPr>
            <w:tcW w:w="3640" w:type="dxa"/>
            <w:vAlign w:val="bottom"/>
          </w:tcPr>
          <w:p>
            <w:pPr>
              <w:ind w:left="1580"/>
              <w:spacing w:after="0"/>
              <w:rPr>
                <w:sz w:val="20"/>
                <w:szCs w:val="20"/>
                <w:color w:val="auto"/>
              </w:rPr>
            </w:pPr>
            <w:r>
              <w:rPr>
                <w:rFonts w:ascii="Arial" w:cs="Arial" w:eastAsia="Arial" w:hAnsi="Arial"/>
                <w:sz w:val="13"/>
                <w:szCs w:val="13"/>
                <w:color w:val="333333"/>
              </w:rPr>
              <w:t>STRATEGIC REPORT</w:t>
            </w:r>
          </w:p>
        </w:tc>
      </w:tr>
    </w:tbl>
    <w:p>
      <w:pPr>
        <w:spacing w:after="0" w:line="155" w:lineRule="exact"/>
        <w:rPr>
          <w:sz w:val="20"/>
          <w:szCs w:val="20"/>
          <w:color w:val="auto"/>
        </w:rPr>
      </w:pPr>
    </w:p>
    <w:p>
      <w:pPr>
        <w:ind w:left="3380"/>
        <w:spacing w:after="0"/>
        <w:rPr>
          <w:sz w:val="20"/>
          <w:szCs w:val="20"/>
          <w:color w:val="auto"/>
        </w:rPr>
      </w:pPr>
      <w:r>
        <w:rPr>
          <w:rFonts w:ascii="Arial" w:cs="Arial" w:eastAsia="Arial" w:hAnsi="Arial"/>
          <w:sz w:val="11"/>
          <w:szCs w:val="11"/>
          <w:color w:val="auto"/>
        </w:rPr>
        <w:t>ENVIRONMENT AND SOCIETY</w:t>
      </w:r>
    </w:p>
    <w:p>
      <w:pPr>
        <w:spacing w:after="0" w:line="59" w:lineRule="exact"/>
        <w:rPr>
          <w:sz w:val="20"/>
          <w:szCs w:val="20"/>
          <w:color w:val="auto"/>
        </w:rPr>
      </w:pPr>
    </w:p>
    <w:p>
      <w:pPr>
        <w:spacing w:after="0"/>
        <w:rPr>
          <w:sz w:val="20"/>
          <w:szCs w:val="20"/>
          <w:color w:val="auto"/>
        </w:rPr>
      </w:pPr>
      <w:r>
        <w:rPr>
          <w:rFonts w:ascii="Arial" w:cs="Arial" w:eastAsia="Arial" w:hAnsi="Arial"/>
          <w:sz w:val="31"/>
          <w:szCs w:val="31"/>
          <w:color w:val="auto"/>
        </w:rPr>
        <w:t>ENVIRONMENT AND SOCIETY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wp:posOffset>
            </wp:positionV>
            <wp:extent cx="3473450" cy="88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spacing w:after="0" w:line="189" w:lineRule="exact"/>
        <w:rPr>
          <w:sz w:val="20"/>
          <w:szCs w:val="20"/>
          <w:color w:val="auto"/>
        </w:rPr>
      </w:pPr>
    </w:p>
    <w:p>
      <w:pPr>
        <w:ind w:right="280"/>
        <w:spacing w:after="0" w:line="245" w:lineRule="auto"/>
        <w:rPr>
          <w:sz w:val="20"/>
          <w:szCs w:val="20"/>
          <w:color w:val="auto"/>
        </w:rPr>
      </w:pPr>
      <w:r>
        <w:rPr>
          <w:rFonts w:ascii="Arial" w:cs="Arial" w:eastAsia="Arial" w:hAnsi="Arial"/>
          <w:sz w:val="14"/>
          <w:szCs w:val="14"/>
          <w:color w:val="auto"/>
        </w:rPr>
        <w:t>Our success in business depends on our ability to meet a range of environmental and social challenges. We must show we can operate safely and manage the effect our activities can have on neighbouring communities and society as a whole. If we fail to do this, we may incur liabilities or sanctions, lose business opportunities, harm our reputation or our licence to operate may be impacted.</w:t>
      </w:r>
    </w:p>
    <w:p>
      <w:pPr>
        <w:spacing w:after="0" w:line="164" w:lineRule="exact"/>
        <w:rPr>
          <w:sz w:val="20"/>
          <w:szCs w:val="20"/>
          <w:color w:val="auto"/>
        </w:rPr>
      </w:pPr>
    </w:p>
    <w:p>
      <w:pPr>
        <w:ind w:right="280"/>
        <w:spacing w:after="0" w:line="244" w:lineRule="auto"/>
        <w:rPr>
          <w:sz w:val="20"/>
          <w:szCs w:val="20"/>
          <w:color w:val="auto"/>
        </w:rPr>
      </w:pPr>
      <w:r>
        <w:rPr>
          <w:rFonts w:ascii="Arial" w:cs="Arial" w:eastAsia="Arial" w:hAnsi="Arial"/>
          <w:sz w:val="14"/>
          <w:szCs w:val="14"/>
          <w:color w:val="auto"/>
        </w:rPr>
        <w:t>The Shell General Business Principles (Principles) include a commitment to sustainable development that involves balancing short- and long-term interests, and integrating economic, environmental and social aspects into our business decisions. We have rigorous standards and a firm governance structure in place to help manage potential impacts. We also work with communities, business partners, non-governmental organisations and other bodies to address potential impacts and share the benefits of our operations and projects.</w:t>
      </w:r>
    </w:p>
    <w:p>
      <w:pPr>
        <w:spacing w:after="0" w:line="164" w:lineRule="exact"/>
        <w:rPr>
          <w:sz w:val="20"/>
          <w:szCs w:val="20"/>
          <w:color w:val="auto"/>
        </w:rPr>
      </w:pPr>
    </w:p>
    <w:p>
      <w:pPr>
        <w:ind w:right="240"/>
        <w:spacing w:after="0" w:line="245" w:lineRule="auto"/>
        <w:rPr>
          <w:sz w:val="20"/>
          <w:szCs w:val="20"/>
          <w:color w:val="auto"/>
        </w:rPr>
      </w:pPr>
      <w:r>
        <w:rPr>
          <w:rFonts w:ascii="Arial" w:cs="Arial" w:eastAsia="Arial" w:hAnsi="Arial"/>
          <w:sz w:val="14"/>
          <w:szCs w:val="14"/>
          <w:color w:val="auto"/>
        </w:rPr>
        <w:t>Data in this section are reported on a 100% basis in respect of activities where we are the operator. Reporting on this operational control basis differs from that applied for financial reporting purposes in the “Consolidated Financial Statements”. Detailed data and information on our 2014 environmental and social performance will be published in April 2015 in the Shell Sustainability Report.</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color w:val="auto"/>
        </w:rPr>
        <w:t>SAFETY</w:t>
      </w:r>
    </w:p>
    <w:p>
      <w:pPr>
        <w:spacing w:after="0" w:line="1" w:lineRule="exact"/>
        <w:rPr>
          <w:sz w:val="20"/>
          <w:szCs w:val="20"/>
          <w:color w:val="auto"/>
        </w:rPr>
      </w:pPr>
    </w:p>
    <w:p>
      <w:pPr>
        <w:ind w:right="260"/>
        <w:spacing w:after="0" w:line="243" w:lineRule="auto"/>
        <w:rPr>
          <w:sz w:val="20"/>
          <w:szCs w:val="20"/>
          <w:color w:val="auto"/>
        </w:rPr>
      </w:pPr>
      <w:r>
        <w:rPr>
          <w:rFonts w:ascii="Arial" w:cs="Arial" w:eastAsia="Arial" w:hAnsi="Arial"/>
          <w:sz w:val="14"/>
          <w:szCs w:val="14"/>
          <w:color w:val="auto"/>
        </w:rPr>
        <w:t>Sustaining our licence to operate depends on maintaining the safety and reliability of our operations. We manage safety risk across our businesses through controls and compliance systems combined with a safety-focused culture. Our global standards and operating procedures define the controls and physical barriers we require to prevent incidents. For example, our offshore wells are designed with at least two independent barriers to mitigate the risk of an uncontrolled release of hydrocarbons. We regularly inspect, test and maintain these barriers to ensure they meet our standards. We also routinely prepare and practise our emergency response to potential incidents such as an oil spill or a fire. This involves working closely with local agencies to jointly test our plans and procedures. The tests continually improve our readiness to respond. If an incident does occur, we have procedures in place to reduce the impact on people and the environment.</w:t>
      </w:r>
    </w:p>
    <w:p>
      <w:pPr>
        <w:spacing w:after="0" w:line="164" w:lineRule="exact"/>
        <w:rPr>
          <w:sz w:val="20"/>
          <w:szCs w:val="20"/>
          <w:color w:val="auto"/>
        </w:rPr>
      </w:pPr>
    </w:p>
    <w:p>
      <w:pPr>
        <w:ind w:right="280"/>
        <w:spacing w:after="0" w:line="243" w:lineRule="auto"/>
        <w:rPr>
          <w:sz w:val="20"/>
          <w:szCs w:val="20"/>
          <w:color w:val="auto"/>
        </w:rPr>
      </w:pPr>
      <w:r>
        <w:rPr>
          <w:rFonts w:ascii="Arial" w:cs="Arial" w:eastAsia="Arial" w:hAnsi="Arial"/>
          <w:sz w:val="14"/>
          <w:szCs w:val="14"/>
          <w:color w:val="auto"/>
        </w:rPr>
        <w:t>We continue to strengthen the safety culture among our employees and contractors. We expect everyone working for us to intervene and stop work that may appear to be unsafe. In addition to our ongoing safety awareness programmes, we hold an annual global safety day to give workers time to reflect on how to prevent incidents. We expect everyone working for us to comply with our 12 mandatory Life-Saving Rules. If employees break these rules, they face disciplinary action up to and including termination of employment. If contractors break the Life-Saving Rules, they can be removed from the worksite.</w:t>
      </w:r>
    </w:p>
    <w:p>
      <w:pPr>
        <w:spacing w:after="0" w:line="168" w:lineRule="exact"/>
        <w:rPr>
          <w:sz w:val="20"/>
          <w:szCs w:val="20"/>
          <w:color w:val="auto"/>
        </w:rPr>
      </w:pPr>
    </w:p>
    <w:p>
      <w:pPr>
        <w:jc w:val="both"/>
        <w:ind w:right="320"/>
        <w:spacing w:after="0" w:line="245" w:lineRule="auto"/>
        <w:rPr>
          <w:sz w:val="20"/>
          <w:szCs w:val="20"/>
          <w:color w:val="auto"/>
        </w:rPr>
      </w:pPr>
      <w:r>
        <w:rPr>
          <w:rFonts w:ascii="Arial" w:cs="Arial" w:eastAsia="Arial" w:hAnsi="Arial"/>
          <w:sz w:val="14"/>
          <w:szCs w:val="14"/>
          <w:color w:val="auto"/>
        </w:rPr>
        <w:t>While we continually work to minimise the likelihood of incidents, some do occur, for example, there was an explosion at our Moerdijk chemical site in the Netherlands in 2014. We investigate all incidents to understand the underlying causes and translate these into improvements in standards or ways of working that can be applied broadly across similar facilities in Shell.</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color w:val="auto"/>
        </w:rPr>
        <w:t>CLIMATE CHANGE</w:t>
      </w:r>
    </w:p>
    <w:p>
      <w:pPr>
        <w:spacing w:after="0" w:line="1" w:lineRule="exact"/>
        <w:rPr>
          <w:sz w:val="20"/>
          <w:szCs w:val="20"/>
          <w:color w:val="auto"/>
        </w:rPr>
      </w:pPr>
    </w:p>
    <w:p>
      <w:pPr>
        <w:ind w:right="360"/>
        <w:spacing w:after="0" w:line="244" w:lineRule="auto"/>
        <w:rPr>
          <w:sz w:val="20"/>
          <w:szCs w:val="20"/>
          <w:color w:val="auto"/>
        </w:rPr>
      </w:pPr>
      <w:r>
        <w:rPr>
          <w:rFonts w:ascii="Arial" w:cs="Arial" w:eastAsia="Arial" w:hAnsi="Arial"/>
          <w:sz w:val="14"/>
          <w:szCs w:val="14"/>
          <w:color w:val="auto"/>
        </w:rPr>
        <w:t>Growth in energy demand means that all sources of energy will be needed over the longer term. With hydrocarbons forecast to provide the bulk of the energy needed over coming decades, policymakers are focusing on regulations that balance energy demand with environmental concerns. The management of emissions of carbon dioxide (CO</w:t>
      </w:r>
      <w:r>
        <w:rPr>
          <w:rFonts w:ascii="Arial" w:cs="Arial" w:eastAsia="Arial" w:hAnsi="Arial"/>
          <w:sz w:val="12"/>
          <w:szCs w:val="12"/>
          <w:color w:val="auto"/>
        </w:rPr>
        <w:t>2</w:t>
      </w:r>
      <w:r>
        <w:rPr>
          <w:rFonts w:ascii="Arial" w:cs="Arial" w:eastAsia="Arial" w:hAnsi="Arial"/>
          <w:sz w:val="14"/>
          <w:szCs w:val="14"/>
          <w:color w:val="auto"/>
        </w:rPr>
        <w:t>) will become increasingly important as concerns over climate change lead to tighter environmental regulation.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3240"/>
        <w:spacing w:after="0"/>
        <w:rPr>
          <w:sz w:val="20"/>
          <w:szCs w:val="20"/>
          <w:color w:val="auto"/>
        </w:rPr>
      </w:pPr>
      <w:r>
        <w:rPr>
          <w:rFonts w:ascii="Arial" w:cs="Arial" w:eastAsia="Arial" w:hAnsi="Arial"/>
          <w:sz w:val="10"/>
          <w:szCs w:val="10"/>
          <w:color w:val="auto"/>
        </w:rPr>
        <w:t>SHELL ANNUAL REPORT AND FORM 20-F 2014</w:t>
      </w:r>
    </w:p>
    <w:p>
      <w:pPr>
        <w:spacing w:after="0" w:line="69" w:lineRule="exact"/>
        <w:rPr>
          <w:sz w:val="20"/>
          <w:szCs w:val="20"/>
          <w:color w:val="auto"/>
        </w:rPr>
      </w:pPr>
    </w:p>
    <w:p>
      <w:pPr>
        <w:ind w:right="220"/>
        <w:spacing w:after="0" w:line="243" w:lineRule="auto"/>
        <w:rPr>
          <w:sz w:val="20"/>
          <w:szCs w:val="20"/>
          <w:color w:val="auto"/>
        </w:rPr>
      </w:pPr>
      <w:r>
        <w:rPr>
          <w:rFonts w:ascii="Arial" w:cs="Arial" w:eastAsia="Arial" w:hAnsi="Arial"/>
          <w:sz w:val="14"/>
          <w:szCs w:val="14"/>
          <w:color w:val="auto"/>
        </w:rPr>
        <w:t>We already assess potential costs associated with CO</w:t>
      </w:r>
      <w:r>
        <w:rPr>
          <w:rFonts w:ascii="Arial" w:cs="Arial" w:eastAsia="Arial" w:hAnsi="Arial"/>
          <w:sz w:val="12"/>
          <w:szCs w:val="12"/>
          <w:color w:val="auto"/>
        </w:rPr>
        <w:t>2</w:t>
      </w:r>
      <w:r>
        <w:rPr>
          <w:rFonts w:ascii="Arial" w:cs="Arial" w:eastAsia="Arial" w:hAnsi="Arial"/>
          <w:sz w:val="14"/>
          <w:szCs w:val="14"/>
          <w:color w:val="auto"/>
        </w:rPr>
        <w:t xml:space="preserve"> emissions when evaluating projects. However, in future, governments may increasingly impose a price on CO</w:t>
      </w:r>
      <w:r>
        <w:rPr>
          <w:rFonts w:ascii="Arial" w:cs="Arial" w:eastAsia="Arial" w:hAnsi="Arial"/>
          <w:sz w:val="12"/>
          <w:szCs w:val="12"/>
          <w:color w:val="auto"/>
        </w:rPr>
        <w:t>2</w:t>
      </w:r>
      <w:r>
        <w:rPr>
          <w:rFonts w:ascii="Arial" w:cs="Arial" w:eastAsia="Arial" w:hAnsi="Arial"/>
          <w:sz w:val="14"/>
          <w:szCs w:val="14"/>
          <w:color w:val="auto"/>
        </w:rPr>
        <w:t xml:space="preserve"> emissions that relevant companies will have to incorporate in their investment plans and governments may also require companies to apply technical measures to reduce their CO</w:t>
      </w:r>
      <w:r>
        <w:rPr>
          <w:rFonts w:ascii="Arial" w:cs="Arial" w:eastAsia="Arial" w:hAnsi="Arial"/>
          <w:sz w:val="12"/>
          <w:szCs w:val="12"/>
          <w:color w:val="auto"/>
        </w:rPr>
        <w:t>2</w:t>
      </w:r>
      <w:r>
        <w:rPr>
          <w:rFonts w:ascii="Arial" w:cs="Arial" w:eastAsia="Arial" w:hAnsi="Arial"/>
          <w:sz w:val="14"/>
          <w:szCs w:val="14"/>
          <w:color w:val="auto"/>
        </w:rPr>
        <w:t xml:space="preserve"> emissions. This could result in higher energy, product and project costs. Currently enacted, proposed and future legislation is also expected to increase the cost of doing business. Furthermore, in our own operations, we are working to understand the potential physical impact of climate change in the future on our facilities and new projects.</w:t>
      </w:r>
    </w:p>
    <w:p>
      <w:pPr>
        <w:spacing w:after="0" w:line="181" w:lineRule="exact"/>
        <w:rPr>
          <w:sz w:val="20"/>
          <w:szCs w:val="20"/>
          <w:color w:val="auto"/>
        </w:rPr>
      </w:pPr>
    </w:p>
    <w:p>
      <w:pPr>
        <w:ind w:right="180"/>
        <w:spacing w:after="0" w:line="245" w:lineRule="auto"/>
        <w:rPr>
          <w:sz w:val="20"/>
          <w:szCs w:val="20"/>
          <w:color w:val="auto"/>
        </w:rPr>
      </w:pPr>
      <w:r>
        <w:rPr>
          <w:rFonts w:ascii="Arial" w:cs="Arial" w:eastAsia="Arial" w:hAnsi="Arial"/>
          <w:sz w:val="14"/>
          <w:szCs w:val="14"/>
          <w:color w:val="auto"/>
        </w:rPr>
        <w:t>As energy demand increases and easily accessible oil and gas resources decline, we are developing resources that require more energy and require advanced technology to produce. As our production becomes more energy intensive, we expect there will be an associated increase in the direct CO</w:t>
      </w:r>
      <w:r>
        <w:rPr>
          <w:rFonts w:ascii="Arial" w:cs="Arial" w:eastAsia="Arial" w:hAnsi="Arial"/>
          <w:sz w:val="12"/>
          <w:szCs w:val="12"/>
          <w:color w:val="auto"/>
        </w:rPr>
        <w:t>2</w:t>
      </w:r>
      <w:r>
        <w:rPr>
          <w:rFonts w:ascii="Arial" w:cs="Arial" w:eastAsia="Arial" w:hAnsi="Arial"/>
          <w:sz w:val="14"/>
          <w:szCs w:val="14"/>
          <w:color w:val="auto"/>
        </w:rPr>
        <w:t xml:space="preserve"> emissions from the Upstream facilities we operate.</w:t>
      </w:r>
    </w:p>
    <w:p>
      <w:pPr>
        <w:spacing w:after="0" w:line="164" w:lineRule="exact"/>
        <w:rPr>
          <w:sz w:val="20"/>
          <w:szCs w:val="20"/>
          <w:color w:val="auto"/>
        </w:rPr>
      </w:pPr>
    </w:p>
    <w:p>
      <w:pPr>
        <w:ind w:right="500"/>
        <w:spacing w:after="0" w:line="244" w:lineRule="auto"/>
        <w:rPr>
          <w:sz w:val="20"/>
          <w:szCs w:val="20"/>
          <w:color w:val="auto"/>
        </w:rPr>
      </w:pPr>
      <w:r>
        <w:rPr>
          <w:rFonts w:ascii="Arial" w:cs="Arial" w:eastAsia="Arial" w:hAnsi="Arial"/>
          <w:sz w:val="14"/>
          <w:szCs w:val="14"/>
          <w:color w:val="auto"/>
        </w:rPr>
        <w:t>We are seeking cost-effective ways to manage CO</w:t>
      </w:r>
      <w:r>
        <w:rPr>
          <w:rFonts w:ascii="Arial" w:cs="Arial" w:eastAsia="Arial" w:hAnsi="Arial"/>
          <w:sz w:val="12"/>
          <w:szCs w:val="12"/>
          <w:color w:val="auto"/>
        </w:rPr>
        <w:t>2</w:t>
      </w:r>
      <w:r>
        <w:rPr>
          <w:rFonts w:ascii="Arial" w:cs="Arial" w:eastAsia="Arial" w:hAnsi="Arial"/>
          <w:sz w:val="14"/>
          <w:szCs w:val="14"/>
          <w:color w:val="auto"/>
        </w:rPr>
        <w:t xml:space="preserve"> emissions and see potential business opportunities in developing such solutions. Our main contributions to reducing CO</w:t>
      </w:r>
      <w:r>
        <w:rPr>
          <w:rFonts w:ascii="Arial" w:cs="Arial" w:eastAsia="Arial" w:hAnsi="Arial"/>
          <w:sz w:val="12"/>
          <w:szCs w:val="12"/>
          <w:color w:val="auto"/>
        </w:rPr>
        <w:t>2</w:t>
      </w:r>
      <w:r>
        <w:rPr>
          <w:rFonts w:ascii="Arial" w:cs="Arial" w:eastAsia="Arial" w:hAnsi="Arial"/>
          <w:sz w:val="14"/>
          <w:szCs w:val="14"/>
          <w:color w:val="auto"/>
        </w:rPr>
        <w:t xml:space="preserve"> emissions are in four areas: supplying more natural gas; supplying more biofuels; progressing carbon capture and storage (CCS) technologies; and implementing energy efficiency measures in our operations. To support this, we continue to advocate the introduction of effective carbon pricing.</w:t>
      </w:r>
    </w:p>
    <w:p>
      <w:pPr>
        <w:spacing w:after="0" w:line="166" w:lineRule="exact"/>
        <w:rPr>
          <w:sz w:val="20"/>
          <w:szCs w:val="20"/>
          <w:color w:val="auto"/>
        </w:rPr>
      </w:pPr>
    </w:p>
    <w:p>
      <w:pPr>
        <w:ind w:right="160"/>
        <w:spacing w:after="0" w:line="243" w:lineRule="auto"/>
        <w:rPr>
          <w:sz w:val="20"/>
          <w:szCs w:val="20"/>
          <w:color w:val="auto"/>
        </w:rPr>
      </w:pPr>
      <w:r>
        <w:rPr>
          <w:rFonts w:ascii="Arial" w:cs="Arial" w:eastAsia="Arial" w:hAnsi="Arial"/>
          <w:sz w:val="14"/>
          <w:szCs w:val="14"/>
          <w:color w:val="auto"/>
        </w:rPr>
        <w:t>According to the International Energy Agency (IEA), almost 40% of global primary energy is currently used to generate electricity. For many countries, using more gas in power generation instead of coal can make the largest contribution, at the lowest cost, to meeting their CO</w:t>
      </w:r>
      <w:r>
        <w:rPr>
          <w:rFonts w:ascii="Arial" w:cs="Arial" w:eastAsia="Arial" w:hAnsi="Arial"/>
          <w:sz w:val="12"/>
          <w:szCs w:val="12"/>
          <w:color w:val="auto"/>
        </w:rPr>
        <w:t>2</w:t>
      </w:r>
      <w:r>
        <w:rPr>
          <w:rFonts w:ascii="Arial" w:cs="Arial" w:eastAsia="Arial" w:hAnsi="Arial"/>
          <w:sz w:val="14"/>
          <w:szCs w:val="14"/>
          <w:color w:val="auto"/>
        </w:rPr>
        <w:t xml:space="preserve"> emission reduction objectives. We expect that, in combination with renewables and use of CCS, natural gas will be essential for significantly lower CO</w:t>
      </w:r>
      <w:r>
        <w:rPr>
          <w:rFonts w:ascii="Arial" w:cs="Arial" w:eastAsia="Arial" w:hAnsi="Arial"/>
          <w:sz w:val="12"/>
          <w:szCs w:val="12"/>
          <w:color w:val="auto"/>
        </w:rPr>
        <w:t>2</w:t>
      </w:r>
      <w:r>
        <w:rPr>
          <w:rFonts w:ascii="Arial" w:cs="Arial" w:eastAsia="Arial" w:hAnsi="Arial"/>
          <w:sz w:val="14"/>
          <w:szCs w:val="14"/>
          <w:color w:val="auto"/>
        </w:rPr>
        <w:t xml:space="preserve"> emissions beyond 2020. With Shell’s leading position in liquified natural gas (LNG) and new technologies for recovering gas from tight rock formations, we can supply natural gas to replace coal in power generation.</w:t>
      </w:r>
    </w:p>
    <w:p>
      <w:pPr>
        <w:spacing w:after="0" w:line="182" w:lineRule="exact"/>
        <w:rPr>
          <w:sz w:val="20"/>
          <w:szCs w:val="20"/>
          <w:color w:val="auto"/>
        </w:rPr>
      </w:pPr>
    </w:p>
    <w:p>
      <w:pPr>
        <w:ind w:right="180"/>
        <w:spacing w:after="0" w:line="247" w:lineRule="auto"/>
        <w:rPr>
          <w:sz w:val="20"/>
          <w:szCs w:val="20"/>
          <w:color w:val="auto"/>
        </w:rPr>
      </w:pPr>
      <w:r>
        <w:rPr>
          <w:rFonts w:ascii="Arial" w:cs="Arial" w:eastAsia="Arial" w:hAnsi="Arial"/>
          <w:sz w:val="14"/>
          <w:szCs w:val="14"/>
          <w:color w:val="auto"/>
        </w:rPr>
        <w:t>We believe that low-carbon biofuels are one of the most viable ways to reduce CO</w:t>
      </w:r>
      <w:r>
        <w:rPr>
          <w:rFonts w:ascii="Arial" w:cs="Arial" w:eastAsia="Arial" w:hAnsi="Arial"/>
          <w:sz w:val="12"/>
          <w:szCs w:val="12"/>
          <w:color w:val="auto"/>
        </w:rPr>
        <w:t>2</w:t>
      </w:r>
      <w:r>
        <w:rPr>
          <w:rFonts w:ascii="Arial" w:cs="Arial" w:eastAsia="Arial" w:hAnsi="Arial"/>
          <w:sz w:val="14"/>
          <w:szCs w:val="14"/>
          <w:color w:val="auto"/>
        </w:rPr>
        <w:t xml:space="preserve"> from transport fuels in the coming years. Our Raízen joint venture in Brazil produces low-carbon biofuel from sugar cane. We are also investing in research to help develop and commercialise advanced biofuels.</w:t>
      </w:r>
    </w:p>
    <w:p>
      <w:pPr>
        <w:spacing w:after="0" w:line="161" w:lineRule="exact"/>
        <w:rPr>
          <w:sz w:val="20"/>
          <w:szCs w:val="20"/>
          <w:color w:val="auto"/>
        </w:rPr>
      </w:pPr>
    </w:p>
    <w:p>
      <w:pPr>
        <w:ind w:right="180"/>
        <w:spacing w:after="0" w:line="243" w:lineRule="auto"/>
        <w:rPr>
          <w:sz w:val="20"/>
          <w:szCs w:val="20"/>
          <w:color w:val="auto"/>
        </w:rPr>
      </w:pPr>
      <w:r>
        <w:rPr>
          <w:rFonts w:ascii="Arial" w:cs="Arial" w:eastAsia="Arial" w:hAnsi="Arial"/>
          <w:sz w:val="14"/>
          <w:szCs w:val="14"/>
          <w:color w:val="auto"/>
        </w:rPr>
        <w:t>The IEA has stated that CCS could contribute around 15% of the CO</w:t>
      </w:r>
      <w:r>
        <w:rPr>
          <w:rFonts w:ascii="Arial" w:cs="Arial" w:eastAsia="Arial" w:hAnsi="Arial"/>
          <w:sz w:val="12"/>
          <w:szCs w:val="12"/>
          <w:color w:val="auto"/>
        </w:rPr>
        <w:t>2</w:t>
      </w:r>
      <w:r>
        <w:rPr>
          <w:rFonts w:ascii="Arial" w:cs="Arial" w:eastAsia="Arial" w:hAnsi="Arial"/>
          <w:sz w:val="14"/>
          <w:szCs w:val="14"/>
          <w:color w:val="auto"/>
        </w:rPr>
        <w:t xml:space="preserve"> mitigation effort required by 2050. To advance CCS technologies, Shell is involved in CCS projects including the Quest project in Canada, the Mongstad test centre in Norway and the Gorgon CO</w:t>
      </w:r>
      <w:r>
        <w:rPr>
          <w:rFonts w:ascii="Arial" w:cs="Arial" w:eastAsia="Arial" w:hAnsi="Arial"/>
          <w:sz w:val="12"/>
          <w:szCs w:val="12"/>
          <w:color w:val="auto"/>
        </w:rPr>
        <w:t>2</w:t>
      </w:r>
      <w:r>
        <w:rPr>
          <w:rFonts w:ascii="Arial" w:cs="Arial" w:eastAsia="Arial" w:hAnsi="Arial"/>
          <w:sz w:val="14"/>
          <w:szCs w:val="14"/>
          <w:color w:val="auto"/>
        </w:rPr>
        <w:t xml:space="preserve"> injection project in Australia. In 2012, we submitted a proposal for a project in Peterhead, in the UK, to store CO</w:t>
      </w:r>
      <w:r>
        <w:rPr>
          <w:rFonts w:ascii="Arial" w:cs="Arial" w:eastAsia="Arial" w:hAnsi="Arial"/>
          <w:sz w:val="12"/>
          <w:szCs w:val="12"/>
          <w:color w:val="auto"/>
        </w:rPr>
        <w:t>2</w:t>
      </w:r>
      <w:r>
        <w:rPr>
          <w:rFonts w:ascii="Arial" w:cs="Arial" w:eastAsia="Arial" w:hAnsi="Arial"/>
          <w:sz w:val="14"/>
          <w:szCs w:val="14"/>
          <w:color w:val="auto"/>
        </w:rPr>
        <w:t xml:space="preserve"> in a depleted gas reservoir in the North Sea. In 2014, Shell signed an agreement with the UK government to progress detailed design of the Peterhead CCS project. It could potentially capture and store around 10 million tonnes of CO</w:t>
      </w:r>
      <w:r>
        <w:rPr>
          <w:rFonts w:ascii="Arial" w:cs="Arial" w:eastAsia="Arial" w:hAnsi="Arial"/>
          <w:sz w:val="12"/>
          <w:szCs w:val="12"/>
          <w:color w:val="auto"/>
        </w:rPr>
        <w:t>2</w:t>
      </w:r>
      <w:r>
        <w:rPr>
          <w:rFonts w:ascii="Arial" w:cs="Arial" w:eastAsia="Arial" w:hAnsi="Arial"/>
          <w:sz w:val="14"/>
          <w:szCs w:val="14"/>
          <w:color w:val="auto"/>
        </w:rPr>
        <w:t xml:space="preserve"> over 10 years from a gas-fired power station. These projects are part of an important demonstration phase for CCS, during which government support is essential. Initiatives such as the European Union’s acceptance of CCS as an offsetting activity under the Clean Development Mechanism are a positive step in progressing such technologies.</w:t>
      </w:r>
    </w:p>
    <w:p>
      <w:pPr>
        <w:spacing w:after="0" w:line="164" w:lineRule="exact"/>
        <w:rPr>
          <w:sz w:val="20"/>
          <w:szCs w:val="20"/>
          <w:color w:val="auto"/>
        </w:rPr>
      </w:pPr>
    </w:p>
    <w:p>
      <w:pPr>
        <w:ind w:right="200"/>
        <w:spacing w:after="0" w:line="245" w:lineRule="auto"/>
        <w:rPr>
          <w:sz w:val="20"/>
          <w:szCs w:val="20"/>
          <w:color w:val="auto"/>
        </w:rPr>
      </w:pPr>
      <w:r>
        <w:rPr>
          <w:rFonts w:ascii="Arial" w:cs="Arial" w:eastAsia="Arial" w:hAnsi="Arial"/>
          <w:sz w:val="14"/>
          <w:szCs w:val="14"/>
          <w:color w:val="auto"/>
        </w:rPr>
        <w:t>We continue to work on improving energy efficiency at our oil and gas production projects, oil refineries and chemical plants. Measures include our CO</w:t>
      </w:r>
      <w:r>
        <w:rPr>
          <w:rFonts w:ascii="Arial" w:cs="Arial" w:eastAsia="Arial" w:hAnsi="Arial"/>
          <w:sz w:val="12"/>
          <w:szCs w:val="12"/>
          <w:color w:val="auto"/>
        </w:rPr>
        <w:t>2</w:t>
      </w:r>
      <w:r>
        <w:rPr>
          <w:rFonts w:ascii="Arial" w:cs="Arial" w:eastAsia="Arial" w:hAnsi="Arial"/>
          <w:sz w:val="14"/>
          <w:szCs w:val="14"/>
          <w:color w:val="auto"/>
        </w:rPr>
        <w:t xml:space="preserve"> and energy management programme that focuses on the efficient operation of existing equipment by using monitoring systems which give us instant information that we can use to make energy-saving changes.</w:t>
      </w:r>
    </w:p>
    <w:p>
      <w:pPr>
        <w:spacing w:after="0" w:line="178" w:lineRule="exact"/>
        <w:rPr>
          <w:sz w:val="20"/>
          <w:szCs w:val="20"/>
          <w:color w:val="auto"/>
        </w:rPr>
      </w:pPr>
    </w:p>
    <w:p>
      <w:pPr>
        <w:ind w:right="440"/>
        <w:spacing w:after="0" w:line="250" w:lineRule="auto"/>
        <w:rPr>
          <w:sz w:val="20"/>
          <w:szCs w:val="20"/>
          <w:color w:val="auto"/>
        </w:rPr>
      </w:pPr>
      <w:r>
        <w:rPr>
          <w:rFonts w:ascii="Arial" w:cs="Arial" w:eastAsia="Arial" w:hAnsi="Arial"/>
          <w:sz w:val="14"/>
          <w:szCs w:val="14"/>
          <w:color w:val="auto"/>
        </w:rPr>
        <w:t>In addition, we work to help our customers conserve energy and reduce their CO</w:t>
      </w:r>
      <w:r>
        <w:rPr>
          <w:rFonts w:ascii="Arial" w:cs="Arial" w:eastAsia="Arial" w:hAnsi="Arial"/>
          <w:sz w:val="12"/>
          <w:szCs w:val="12"/>
          <w:color w:val="auto"/>
        </w:rPr>
        <w:t>2</w:t>
      </w:r>
      <w:r>
        <w:rPr>
          <w:rFonts w:ascii="Arial" w:cs="Arial" w:eastAsia="Arial" w:hAnsi="Arial"/>
          <w:sz w:val="14"/>
          <w:szCs w:val="14"/>
          <w:color w:val="auto"/>
        </w:rPr>
        <w:t xml:space="preserve"> emissions, including through the development and sale of advanced fuels and lubricants.</w:t>
      </w:r>
    </w:p>
    <w:p>
      <w:pPr>
        <w:sectPr>
          <w:pgSz w:w="11900" w:h="16838" w:orient="portrait"/>
          <w:cols w:equalWidth="0" w:num="2">
            <w:col w:w="5720" w:space="60"/>
            <w:col w:w="5640"/>
          </w:cols>
          <w:pgMar w:left="240" w:top="459" w:right="239" w:bottom="1440" w:gutter="0" w:footer="0" w:header="0"/>
          <w:type w:val="continuous"/>
        </w:sectPr>
      </w:pPr>
    </w:p>
    <w:bookmarkStart w:id="54" w:name="page55"/>
    <w:bookmarkEnd w:id="54"/>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3555365</wp:posOffset>
            </wp:positionH>
            <wp:positionV relativeFrom="paragraph">
              <wp:posOffset>314960</wp:posOffset>
            </wp:positionV>
            <wp:extent cx="3696335" cy="46291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3696335" cy="462915"/>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11"/>
          <w:szCs w:val="11"/>
          <w:color w:val="auto"/>
        </w:rPr>
        <w:t>SHELL ANNUAL REPORT AND FORM 20-F 2014</w:t>
      </w:r>
    </w:p>
    <w:p>
      <w:pPr>
        <w:spacing w:after="0" w:line="57" w:lineRule="exact"/>
        <w:rPr>
          <w:sz w:val="20"/>
          <w:szCs w:val="20"/>
          <w:color w:val="auto"/>
        </w:rPr>
      </w:pPr>
    </w:p>
    <w:p>
      <w:pPr>
        <w:ind w:right="20"/>
        <w:spacing w:after="0" w:line="244" w:lineRule="auto"/>
        <w:rPr>
          <w:sz w:val="20"/>
          <w:szCs w:val="20"/>
          <w:color w:val="auto"/>
        </w:rPr>
      </w:pPr>
      <w:r>
        <w:rPr>
          <w:rFonts w:ascii="Arial" w:cs="Arial" w:eastAsia="Arial" w:hAnsi="Arial"/>
          <w:sz w:val="14"/>
          <w:szCs w:val="14"/>
          <w:color w:val="auto"/>
        </w:rPr>
        <w:t>Our direct greenhouse gas (GHG) emissions increased from 73 million tonnes of CO</w:t>
      </w:r>
      <w:r>
        <w:rPr>
          <w:rFonts w:ascii="Arial" w:cs="Arial" w:eastAsia="Arial" w:hAnsi="Arial"/>
          <w:sz w:val="12"/>
          <w:szCs w:val="12"/>
          <w:color w:val="auto"/>
        </w:rPr>
        <w:t>2</w:t>
      </w:r>
      <w:r>
        <w:rPr>
          <w:rFonts w:ascii="Arial" w:cs="Arial" w:eastAsia="Arial" w:hAnsi="Arial"/>
          <w:sz w:val="14"/>
          <w:szCs w:val="14"/>
          <w:color w:val="auto"/>
        </w:rPr>
        <w:t xml:space="preserve"> equivalent in 2013 to 76 million in 2014. The increase in flaring, or burning off, of gas in our Upstream business was the main contributor to this increase. The majority of this flaring takes place at facilities where there is no infrastructure to capture the gas produced with oil, known as associated gas. Gas flaring from these operations may rise further in coming years if oil production increases.</w:t>
      </w:r>
    </w:p>
    <w:p>
      <w:pPr>
        <w:spacing w:after="0" w:line="179" w:lineRule="exact"/>
        <w:rPr>
          <w:sz w:val="20"/>
          <w:szCs w:val="20"/>
          <w:color w:val="auto"/>
        </w:rPr>
      </w:pPr>
    </w:p>
    <w:p>
      <w:pPr>
        <w:spacing w:after="0" w:line="245" w:lineRule="auto"/>
        <w:rPr>
          <w:sz w:val="20"/>
          <w:szCs w:val="20"/>
          <w:color w:val="auto"/>
        </w:rPr>
      </w:pPr>
      <w:r>
        <w:rPr>
          <w:rFonts w:ascii="Arial" w:cs="Arial" w:eastAsia="Arial" w:hAnsi="Arial"/>
          <w:sz w:val="14"/>
          <w:szCs w:val="14"/>
          <w:color w:val="auto"/>
        </w:rPr>
        <w:t>Most of the increase in flaring in 2014 relates to Majnoon in Iraq in line with increased oil production. Majnoon represented around 35% of our flaring in 2014. We have agreed two projects to capture most of the associated gas from future production. The first project is scheduled to be completed in 2015. We expect lower flaring levels starting in 2016 when gas gathering equipment is operational.</w:t>
      </w:r>
    </w:p>
    <w:p>
      <w:pPr>
        <w:spacing w:after="0" w:line="164" w:lineRule="exact"/>
        <w:rPr>
          <w:sz w:val="20"/>
          <w:szCs w:val="20"/>
          <w:color w:val="auto"/>
        </w:rPr>
      </w:pPr>
    </w:p>
    <w:p>
      <w:pPr>
        <w:ind w:right="40"/>
        <w:spacing w:after="0" w:line="244" w:lineRule="auto"/>
        <w:rPr>
          <w:sz w:val="20"/>
          <w:szCs w:val="20"/>
          <w:color w:val="auto"/>
        </w:rPr>
      </w:pPr>
      <w:r>
        <w:rPr>
          <w:rFonts w:ascii="Arial" w:cs="Arial" w:eastAsia="Arial" w:hAnsi="Arial"/>
          <w:sz w:val="14"/>
          <w:szCs w:val="14"/>
          <w:color w:val="auto"/>
        </w:rPr>
        <w:t>In parallel, our involvement in Basrah Gas Company (BGC), a joint venture between Shell, South Gas Company and Mitsubishi Corporation in the south of Iraq, continues to reduce flaring in the country. It is the largest gas project in Iraq’s history and the world’s largest flaring reduction project. BGC captures associated gas that would otherwise be flared from three non-operated oil fields in southern Iraq (Rumaila, West Qurna 1 and Zubair) for use in the domestic market.</w:t>
      </w:r>
    </w:p>
    <w:p>
      <w:pPr>
        <w:spacing w:after="0" w:line="166" w:lineRule="exact"/>
        <w:rPr>
          <w:sz w:val="20"/>
          <w:szCs w:val="20"/>
          <w:color w:val="auto"/>
        </w:rPr>
      </w:pPr>
    </w:p>
    <w:p>
      <w:pPr>
        <w:ind w:right="20"/>
        <w:spacing w:after="0" w:line="244" w:lineRule="auto"/>
        <w:rPr>
          <w:sz w:val="20"/>
          <w:szCs w:val="20"/>
          <w:color w:val="auto"/>
        </w:rPr>
      </w:pPr>
      <w:r>
        <w:rPr>
          <w:rFonts w:ascii="Arial" w:cs="Arial" w:eastAsia="Arial" w:hAnsi="Arial"/>
          <w:sz w:val="14"/>
          <w:szCs w:val="14"/>
          <w:color w:val="auto"/>
        </w:rPr>
        <w:t>Around 30% of our flaring takes place in Nigeria, where a challenging operating environment and shortfalls in funding from the government-owned Nigerian National Petroleum Company – which has the majority interest in a joint arrangement operated by Shell Petroleum Development Company of Nigeria Ltd (SPDC) – has slowed progress on projects that are expected to gather additional associated gas currently flared.</w:t>
      </w:r>
    </w:p>
    <w:p>
      <w:pPr>
        <w:spacing w:after="0" w:line="179" w:lineRule="exact"/>
        <w:rPr>
          <w:sz w:val="20"/>
          <w:szCs w:val="20"/>
          <w:color w:val="auto"/>
        </w:rPr>
      </w:pPr>
    </w:p>
    <w:p>
      <w:pPr>
        <w:spacing w:after="0" w:line="243" w:lineRule="auto"/>
        <w:rPr>
          <w:sz w:val="20"/>
          <w:szCs w:val="20"/>
          <w:color w:val="auto"/>
        </w:rPr>
      </w:pPr>
      <w:r>
        <w:rPr>
          <w:rFonts w:ascii="Arial" w:cs="Arial" w:eastAsia="Arial" w:hAnsi="Arial"/>
          <w:sz w:val="14"/>
          <w:szCs w:val="14"/>
          <w:color w:val="auto"/>
        </w:rPr>
        <w:t>Greenhouse gas emissions data are provided below in accordance with UK regulations introduced in 2013. Greenhouse gas emissions comprise carbon dioxide, methane, nitrous oxide, hydrofluorocarbons, perfluorocarbons and sulphur hexafluoride. The data are calculated using locally regulated methods where they exist. Where there is no locally regulated method, the data are calculated using the 2009 API Compendium which is the recognised industry standard under the GHG Protocol Corporate Accounting and Reporting Standard. There are inherent limitations to the accuracy of such data. Oil and gas industry guidelines (IPIECA/API/OGP) indicate that a number of sources of uncertainty can contribute to the overall uncertainty of a corporate emissions’ inventory.</w:t>
      </w:r>
    </w:p>
    <w:p>
      <w:pPr>
        <w:spacing w:after="0" w:line="180" w:lineRule="exact"/>
        <w:rPr>
          <w:sz w:val="20"/>
          <w:szCs w:val="20"/>
          <w:color w:val="auto"/>
        </w:rPr>
      </w:pPr>
    </w:p>
    <w:p>
      <w:pPr>
        <w:ind w:left="80"/>
        <w:spacing w:after="0"/>
        <w:rPr>
          <w:sz w:val="20"/>
          <w:szCs w:val="20"/>
          <w:color w:val="auto"/>
        </w:rPr>
      </w:pPr>
      <w:r>
        <w:rPr>
          <w:rFonts w:ascii="Arial" w:cs="Arial" w:eastAsia="Arial" w:hAnsi="Arial"/>
          <w:sz w:val="15"/>
          <w:szCs w:val="15"/>
          <w:b w:val="1"/>
          <w:bCs w:val="1"/>
          <w:color w:val="FFFFFF"/>
        </w:rPr>
        <w:t>GREENHOUSE GAS EMISSIONS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-95250</wp:posOffset>
            </wp:positionV>
            <wp:extent cx="3473450" cy="10287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3473450" cy="10287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49"/>
        </w:trPr>
        <w:tc>
          <w:tcPr>
            <w:tcW w:w="358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shd w:val="clear" w:color="auto" w:fill="D8D8D8"/>
          </w:tcPr>
          <w:p>
            <w:pPr>
              <w:jc w:val="right"/>
              <w:ind w:right="10"/>
              <w:spacing w:after="0"/>
              <w:rPr>
                <w:sz w:val="20"/>
                <w:szCs w:val="20"/>
                <w:color w:val="auto"/>
              </w:rPr>
            </w:pPr>
            <w:r>
              <w:rPr>
                <w:rFonts w:ascii="Arial" w:cs="Arial" w:eastAsia="Arial" w:hAnsi="Arial"/>
                <w:sz w:val="13"/>
                <w:szCs w:val="13"/>
                <w:color w:val="auto"/>
              </w:rPr>
              <w:t>2014</w:t>
            </w:r>
          </w:p>
        </w:tc>
        <w:tc>
          <w:tcPr>
            <w:tcW w:w="940" w:type="dxa"/>
            <w:vAlign w:val="bottom"/>
            <w:tcBorders>
              <w:bottom w:val="single" w:sz="8" w:color="auto"/>
            </w:tcBorders>
          </w:tcPr>
          <w:p>
            <w:pPr>
              <w:jc w:val="right"/>
              <w:ind w:right="10"/>
              <w:spacing w:after="0"/>
              <w:rPr>
                <w:sz w:val="20"/>
                <w:szCs w:val="20"/>
                <w:color w:val="auto"/>
              </w:rPr>
            </w:pPr>
            <w:r>
              <w:rPr>
                <w:rFonts w:ascii="Arial" w:cs="Arial" w:eastAsia="Arial" w:hAnsi="Arial"/>
                <w:sz w:val="13"/>
                <w:szCs w:val="13"/>
                <w:color w:val="auto"/>
              </w:rPr>
              <w:t>2013</w:t>
            </w:r>
          </w:p>
        </w:tc>
      </w:tr>
      <w:tr>
        <w:trPr>
          <w:trHeight w:val="156"/>
        </w:trPr>
        <w:tc>
          <w:tcPr>
            <w:tcW w:w="3580" w:type="dxa"/>
            <w:vAlign w:val="bottom"/>
          </w:tcPr>
          <w:p>
            <w:pPr>
              <w:ind w:left="20"/>
              <w:spacing w:after="0" w:line="155" w:lineRule="exact"/>
              <w:rPr>
                <w:sz w:val="20"/>
                <w:szCs w:val="20"/>
                <w:color w:val="auto"/>
              </w:rPr>
            </w:pPr>
            <w:r>
              <w:rPr>
                <w:rFonts w:ascii="Arial" w:cs="Arial" w:eastAsia="Arial" w:hAnsi="Arial"/>
                <w:sz w:val="14"/>
                <w:szCs w:val="14"/>
                <w:color w:val="auto"/>
              </w:rPr>
              <w:t>Emissions (million tonnes of CO</w:t>
            </w:r>
            <w:r>
              <w:rPr>
                <w:rFonts w:ascii="Arial" w:cs="Arial" w:eastAsia="Arial" w:hAnsi="Arial"/>
                <w:sz w:val="12"/>
                <w:szCs w:val="12"/>
                <w:color w:val="auto"/>
              </w:rPr>
              <w:t>2</w:t>
            </w:r>
            <w:r>
              <w:rPr>
                <w:rFonts w:ascii="Arial" w:cs="Arial" w:eastAsia="Arial" w:hAnsi="Arial"/>
                <w:sz w:val="14"/>
                <w:szCs w:val="14"/>
                <w:color w:val="auto"/>
              </w:rPr>
              <w:t xml:space="preserve"> equivalent)</w:t>
            </w:r>
          </w:p>
        </w:tc>
        <w:tc>
          <w:tcPr>
            <w:tcW w:w="960" w:type="dxa"/>
            <w:vAlign w:val="bottom"/>
            <w:shd w:val="clear" w:color="auto" w:fill="D8D8D8"/>
          </w:tcPr>
          <w:p>
            <w:pPr>
              <w:spacing w:after="0"/>
              <w:rPr>
                <w:sz w:val="13"/>
                <w:szCs w:val="13"/>
                <w:color w:val="auto"/>
              </w:rPr>
            </w:pPr>
          </w:p>
        </w:tc>
        <w:tc>
          <w:tcPr>
            <w:tcW w:w="940" w:type="dxa"/>
            <w:vAlign w:val="bottom"/>
          </w:tcPr>
          <w:p>
            <w:pPr>
              <w:spacing w:after="0"/>
              <w:rPr>
                <w:sz w:val="13"/>
                <w:szCs w:val="13"/>
                <w:color w:val="auto"/>
              </w:rPr>
            </w:pPr>
          </w:p>
        </w:tc>
      </w:tr>
      <w:tr>
        <w:trPr>
          <w:trHeight w:val="162"/>
        </w:trPr>
        <w:tc>
          <w:tcPr>
            <w:tcW w:w="3580" w:type="dxa"/>
            <w:vAlign w:val="bottom"/>
          </w:tcPr>
          <w:p>
            <w:pPr>
              <w:ind w:left="140"/>
              <w:spacing w:after="0"/>
              <w:rPr>
                <w:sz w:val="20"/>
                <w:szCs w:val="20"/>
                <w:color w:val="auto"/>
              </w:rPr>
            </w:pPr>
            <w:r>
              <w:rPr>
                <w:rFonts w:ascii="Arial" w:cs="Arial" w:eastAsia="Arial" w:hAnsi="Arial"/>
                <w:sz w:val="14"/>
                <w:szCs w:val="14"/>
                <w:color w:val="auto"/>
              </w:rPr>
              <w:t>Direct [A]</w:t>
            </w:r>
          </w:p>
        </w:tc>
        <w:tc>
          <w:tcPr>
            <w:tcW w:w="960" w:type="dxa"/>
            <w:vAlign w:val="bottom"/>
            <w:shd w:val="clear" w:color="auto" w:fill="D8D8D8"/>
          </w:tcPr>
          <w:p>
            <w:pPr>
              <w:jc w:val="right"/>
              <w:ind w:right="10"/>
              <w:spacing w:after="0"/>
              <w:rPr>
                <w:sz w:val="20"/>
                <w:szCs w:val="20"/>
                <w:color w:val="auto"/>
              </w:rPr>
            </w:pPr>
            <w:r>
              <w:rPr>
                <w:rFonts w:ascii="Arial" w:cs="Arial" w:eastAsia="Arial" w:hAnsi="Arial"/>
                <w:sz w:val="14"/>
                <w:szCs w:val="14"/>
                <w:color w:val="auto"/>
              </w:rPr>
              <w:t>76</w:t>
            </w:r>
          </w:p>
        </w:tc>
        <w:tc>
          <w:tcPr>
            <w:tcW w:w="940" w:type="dxa"/>
            <w:vAlign w:val="bottom"/>
          </w:tcPr>
          <w:p>
            <w:pPr>
              <w:jc w:val="right"/>
              <w:ind w:right="10"/>
              <w:spacing w:after="0"/>
              <w:rPr>
                <w:sz w:val="20"/>
                <w:szCs w:val="20"/>
                <w:color w:val="auto"/>
              </w:rPr>
            </w:pPr>
            <w:r>
              <w:rPr>
                <w:rFonts w:ascii="Arial" w:cs="Arial" w:eastAsia="Arial" w:hAnsi="Arial"/>
                <w:sz w:val="14"/>
                <w:szCs w:val="14"/>
                <w:color w:val="auto"/>
              </w:rPr>
              <w:t>73</w:t>
            </w:r>
          </w:p>
        </w:tc>
      </w:tr>
      <w:tr>
        <w:trPr>
          <w:trHeight w:val="167"/>
        </w:trPr>
        <w:tc>
          <w:tcPr>
            <w:tcW w:w="3580" w:type="dxa"/>
            <w:vAlign w:val="bottom"/>
          </w:tcPr>
          <w:p>
            <w:pPr>
              <w:ind w:left="140"/>
              <w:spacing w:after="0"/>
              <w:rPr>
                <w:sz w:val="20"/>
                <w:szCs w:val="20"/>
                <w:color w:val="auto"/>
              </w:rPr>
            </w:pPr>
            <w:r>
              <w:rPr>
                <w:rFonts w:ascii="Arial" w:cs="Arial" w:eastAsia="Arial" w:hAnsi="Arial"/>
                <w:sz w:val="14"/>
                <w:szCs w:val="14"/>
                <w:color w:val="auto"/>
              </w:rPr>
              <w:t>Energy indirect [B]</w:t>
            </w:r>
          </w:p>
        </w:tc>
        <w:tc>
          <w:tcPr>
            <w:tcW w:w="960" w:type="dxa"/>
            <w:vAlign w:val="bottom"/>
            <w:shd w:val="clear" w:color="auto" w:fill="D8D8D8"/>
          </w:tcPr>
          <w:p>
            <w:pPr>
              <w:jc w:val="right"/>
              <w:ind w:right="10"/>
              <w:spacing w:after="0"/>
              <w:rPr>
                <w:sz w:val="20"/>
                <w:szCs w:val="20"/>
                <w:color w:val="auto"/>
              </w:rPr>
            </w:pPr>
            <w:r>
              <w:rPr>
                <w:rFonts w:ascii="Arial" w:cs="Arial" w:eastAsia="Arial" w:hAnsi="Arial"/>
                <w:sz w:val="14"/>
                <w:szCs w:val="14"/>
                <w:color w:val="auto"/>
              </w:rPr>
              <w:t>10</w:t>
            </w:r>
          </w:p>
        </w:tc>
        <w:tc>
          <w:tcPr>
            <w:tcW w:w="940" w:type="dxa"/>
            <w:vAlign w:val="bottom"/>
          </w:tcPr>
          <w:p>
            <w:pPr>
              <w:jc w:val="right"/>
              <w:ind w:right="10"/>
              <w:spacing w:after="0"/>
              <w:rPr>
                <w:sz w:val="20"/>
                <w:szCs w:val="20"/>
                <w:color w:val="auto"/>
              </w:rPr>
            </w:pPr>
            <w:r>
              <w:rPr>
                <w:rFonts w:ascii="Arial" w:cs="Arial" w:eastAsia="Arial" w:hAnsi="Arial"/>
                <w:sz w:val="14"/>
                <w:szCs w:val="14"/>
                <w:color w:val="auto"/>
              </w:rPr>
              <w:t>10</w:t>
            </w:r>
          </w:p>
        </w:tc>
      </w:tr>
      <w:tr>
        <w:trPr>
          <w:trHeight w:val="162"/>
        </w:trPr>
        <w:tc>
          <w:tcPr>
            <w:tcW w:w="3580" w:type="dxa"/>
            <w:vAlign w:val="bottom"/>
          </w:tcPr>
          <w:p>
            <w:pPr>
              <w:ind w:left="20"/>
              <w:spacing w:after="0"/>
              <w:rPr>
                <w:sz w:val="20"/>
                <w:szCs w:val="20"/>
                <w:color w:val="auto"/>
              </w:rPr>
            </w:pPr>
            <w:r>
              <w:rPr>
                <w:rFonts w:ascii="Arial" w:cs="Arial" w:eastAsia="Arial" w:hAnsi="Arial"/>
                <w:sz w:val="14"/>
                <w:szCs w:val="14"/>
                <w:color w:val="auto"/>
              </w:rPr>
              <w:t>Intensity ratios (tonne/tonne)</w:t>
            </w:r>
          </w:p>
        </w:tc>
        <w:tc>
          <w:tcPr>
            <w:tcW w:w="960" w:type="dxa"/>
            <w:vAlign w:val="bottom"/>
            <w:shd w:val="clear" w:color="auto" w:fill="D8D8D8"/>
          </w:tcPr>
          <w:p>
            <w:pPr>
              <w:spacing w:after="0"/>
              <w:rPr>
                <w:sz w:val="14"/>
                <w:szCs w:val="14"/>
                <w:color w:val="auto"/>
              </w:rPr>
            </w:pPr>
          </w:p>
        </w:tc>
        <w:tc>
          <w:tcPr>
            <w:tcW w:w="940" w:type="dxa"/>
            <w:vAlign w:val="bottom"/>
          </w:tcPr>
          <w:p>
            <w:pPr>
              <w:spacing w:after="0"/>
              <w:rPr>
                <w:sz w:val="14"/>
                <w:szCs w:val="14"/>
                <w:color w:val="auto"/>
              </w:rPr>
            </w:pPr>
          </w:p>
        </w:tc>
      </w:tr>
      <w:tr>
        <w:trPr>
          <w:trHeight w:val="162"/>
        </w:trPr>
        <w:tc>
          <w:tcPr>
            <w:tcW w:w="3580" w:type="dxa"/>
            <w:vAlign w:val="bottom"/>
          </w:tcPr>
          <w:p>
            <w:pPr>
              <w:ind w:left="140"/>
              <w:spacing w:after="0"/>
              <w:rPr>
                <w:sz w:val="20"/>
                <w:szCs w:val="20"/>
                <w:color w:val="auto"/>
              </w:rPr>
            </w:pPr>
            <w:r>
              <w:rPr>
                <w:rFonts w:ascii="Arial" w:cs="Arial" w:eastAsia="Arial" w:hAnsi="Arial"/>
                <w:sz w:val="14"/>
                <w:szCs w:val="14"/>
                <w:color w:val="auto"/>
              </w:rPr>
              <w:t>All facilities [C]</w:t>
            </w:r>
          </w:p>
        </w:tc>
        <w:tc>
          <w:tcPr>
            <w:tcW w:w="960" w:type="dxa"/>
            <w:vAlign w:val="bottom"/>
            <w:shd w:val="clear" w:color="auto" w:fill="D8D8D8"/>
          </w:tcPr>
          <w:p>
            <w:pPr>
              <w:jc w:val="right"/>
              <w:ind w:right="10"/>
              <w:spacing w:after="0"/>
              <w:rPr>
                <w:sz w:val="20"/>
                <w:szCs w:val="20"/>
                <w:color w:val="auto"/>
              </w:rPr>
            </w:pPr>
            <w:r>
              <w:rPr>
                <w:rFonts w:ascii="Arial" w:cs="Arial" w:eastAsia="Arial" w:hAnsi="Arial"/>
                <w:sz w:val="14"/>
                <w:szCs w:val="14"/>
                <w:color w:val="auto"/>
              </w:rPr>
              <w:t>0.23</w:t>
            </w:r>
          </w:p>
        </w:tc>
        <w:tc>
          <w:tcPr>
            <w:tcW w:w="940" w:type="dxa"/>
            <w:vAlign w:val="bottom"/>
          </w:tcPr>
          <w:p>
            <w:pPr>
              <w:jc w:val="right"/>
              <w:ind w:right="10"/>
              <w:spacing w:after="0"/>
              <w:rPr>
                <w:sz w:val="20"/>
                <w:szCs w:val="20"/>
                <w:color w:val="auto"/>
              </w:rPr>
            </w:pPr>
            <w:r>
              <w:rPr>
                <w:rFonts w:ascii="Arial" w:cs="Arial" w:eastAsia="Arial" w:hAnsi="Arial"/>
                <w:sz w:val="14"/>
                <w:szCs w:val="14"/>
                <w:color w:val="auto"/>
              </w:rPr>
              <w:t>0.22</w:t>
            </w:r>
          </w:p>
        </w:tc>
      </w:tr>
      <w:tr>
        <w:trPr>
          <w:trHeight w:val="162"/>
        </w:trPr>
        <w:tc>
          <w:tcPr>
            <w:tcW w:w="3580" w:type="dxa"/>
            <w:vAlign w:val="bottom"/>
          </w:tcPr>
          <w:p>
            <w:pPr>
              <w:ind w:left="140"/>
              <w:spacing w:after="0"/>
              <w:rPr>
                <w:sz w:val="20"/>
                <w:szCs w:val="20"/>
                <w:color w:val="auto"/>
              </w:rPr>
            </w:pPr>
            <w:r>
              <w:rPr>
                <w:rFonts w:ascii="Arial" w:cs="Arial" w:eastAsia="Arial" w:hAnsi="Arial"/>
                <w:sz w:val="14"/>
                <w:szCs w:val="14"/>
                <w:color w:val="auto"/>
              </w:rPr>
              <w:t>Downstream refineries [D]</w:t>
            </w:r>
          </w:p>
        </w:tc>
        <w:tc>
          <w:tcPr>
            <w:tcW w:w="960" w:type="dxa"/>
            <w:vAlign w:val="bottom"/>
            <w:shd w:val="clear" w:color="auto" w:fill="D8D8D8"/>
          </w:tcPr>
          <w:p>
            <w:pPr>
              <w:jc w:val="right"/>
              <w:ind w:right="10"/>
              <w:spacing w:after="0"/>
              <w:rPr>
                <w:sz w:val="20"/>
                <w:szCs w:val="20"/>
                <w:color w:val="auto"/>
              </w:rPr>
            </w:pPr>
            <w:r>
              <w:rPr>
                <w:rFonts w:ascii="Arial" w:cs="Arial" w:eastAsia="Arial" w:hAnsi="Arial"/>
                <w:sz w:val="14"/>
                <w:szCs w:val="14"/>
                <w:color w:val="auto"/>
              </w:rPr>
              <w:t>0.29</w:t>
            </w:r>
          </w:p>
        </w:tc>
        <w:tc>
          <w:tcPr>
            <w:tcW w:w="940" w:type="dxa"/>
            <w:vAlign w:val="bottom"/>
          </w:tcPr>
          <w:p>
            <w:pPr>
              <w:jc w:val="right"/>
              <w:ind w:right="10"/>
              <w:spacing w:after="0"/>
              <w:rPr>
                <w:sz w:val="20"/>
                <w:szCs w:val="20"/>
                <w:color w:val="auto"/>
              </w:rPr>
            </w:pPr>
            <w:r>
              <w:rPr>
                <w:rFonts w:ascii="Arial" w:cs="Arial" w:eastAsia="Arial" w:hAnsi="Arial"/>
                <w:sz w:val="14"/>
                <w:szCs w:val="14"/>
                <w:color w:val="auto"/>
              </w:rPr>
              <w:t>0.30</w:t>
            </w:r>
          </w:p>
        </w:tc>
      </w:tr>
      <w:tr>
        <w:trPr>
          <w:trHeight w:val="157"/>
        </w:trPr>
        <w:tc>
          <w:tcPr>
            <w:tcW w:w="3580" w:type="dxa"/>
            <w:vAlign w:val="bottom"/>
            <w:tcBorders>
              <w:bottom w:val="single" w:sz="8" w:color="auto"/>
            </w:tcBorders>
          </w:tcPr>
          <w:p>
            <w:pPr>
              <w:ind w:left="140"/>
              <w:spacing w:after="0" w:line="157" w:lineRule="exact"/>
              <w:rPr>
                <w:sz w:val="20"/>
                <w:szCs w:val="20"/>
                <w:color w:val="auto"/>
              </w:rPr>
            </w:pPr>
            <w:r>
              <w:rPr>
                <w:rFonts w:ascii="Arial" w:cs="Arial" w:eastAsia="Arial" w:hAnsi="Arial"/>
                <w:sz w:val="14"/>
                <w:szCs w:val="14"/>
                <w:color w:val="auto"/>
              </w:rPr>
              <w:t>Upstream facilities [E]</w:t>
            </w:r>
          </w:p>
        </w:tc>
        <w:tc>
          <w:tcPr>
            <w:tcW w:w="960" w:type="dxa"/>
            <w:vAlign w:val="bottom"/>
            <w:tcBorders>
              <w:bottom w:val="single" w:sz="8" w:color="auto"/>
            </w:tcBorders>
            <w:shd w:val="clear" w:color="auto" w:fill="D8D8D8"/>
          </w:tcPr>
          <w:p>
            <w:pPr>
              <w:jc w:val="right"/>
              <w:ind w:right="10"/>
              <w:spacing w:after="0" w:line="157" w:lineRule="exact"/>
              <w:rPr>
                <w:sz w:val="20"/>
                <w:szCs w:val="20"/>
                <w:color w:val="auto"/>
              </w:rPr>
            </w:pPr>
            <w:r>
              <w:rPr>
                <w:rFonts w:ascii="Arial" w:cs="Arial" w:eastAsia="Arial" w:hAnsi="Arial"/>
                <w:sz w:val="14"/>
                <w:szCs w:val="14"/>
                <w:color w:val="auto"/>
              </w:rPr>
              <w:t>0.14</w:t>
            </w:r>
          </w:p>
        </w:tc>
        <w:tc>
          <w:tcPr>
            <w:tcW w:w="940" w:type="dxa"/>
            <w:vAlign w:val="bottom"/>
            <w:tcBorders>
              <w:bottom w:val="single" w:sz="8" w:color="auto"/>
            </w:tcBorders>
          </w:tcPr>
          <w:p>
            <w:pPr>
              <w:jc w:val="right"/>
              <w:ind w:right="10"/>
              <w:spacing w:after="0" w:line="157" w:lineRule="exact"/>
              <w:rPr>
                <w:sz w:val="20"/>
                <w:szCs w:val="20"/>
                <w:color w:val="auto"/>
              </w:rPr>
            </w:pPr>
            <w:r>
              <w:rPr>
                <w:rFonts w:ascii="Arial" w:cs="Arial" w:eastAsia="Arial" w:hAnsi="Arial"/>
                <w:sz w:val="14"/>
                <w:szCs w:val="14"/>
                <w:color w:val="auto"/>
              </w:rPr>
              <w:t>0.12</w:t>
            </w:r>
          </w:p>
        </w:tc>
      </w:tr>
    </w:tbl>
    <w:p>
      <w:pPr>
        <w:spacing w:after="0" w:line="19" w:lineRule="exact"/>
        <w:rPr>
          <w:sz w:val="20"/>
          <w:szCs w:val="20"/>
          <w:color w:val="auto"/>
        </w:rPr>
      </w:pPr>
    </w:p>
    <w:p>
      <w:pPr>
        <w:ind w:left="180" w:hanging="172"/>
        <w:spacing w:after="0"/>
        <w:tabs>
          <w:tab w:leader="none" w:pos="180" w:val="left"/>
        </w:tabs>
        <w:numPr>
          <w:ilvl w:val="0"/>
          <w:numId w:val="52"/>
        </w:numPr>
        <w:rPr>
          <w:rFonts w:ascii="Arial" w:cs="Arial" w:eastAsia="Arial" w:hAnsi="Arial"/>
          <w:sz w:val="11"/>
          <w:szCs w:val="11"/>
          <w:color w:val="auto"/>
        </w:rPr>
      </w:pPr>
      <w:r>
        <w:rPr>
          <w:rFonts w:ascii="Arial" w:cs="Arial" w:eastAsia="Arial" w:hAnsi="Arial"/>
          <w:sz w:val="11"/>
          <w:szCs w:val="11"/>
          <w:color w:val="auto"/>
        </w:rPr>
        <w:t>Emissions from the combustion of fuel and the operation of facilities.</w:t>
      </w:r>
    </w:p>
    <w:p>
      <w:pPr>
        <w:ind w:left="180" w:hanging="172"/>
        <w:spacing w:after="0" w:line="230" w:lineRule="auto"/>
        <w:tabs>
          <w:tab w:leader="none" w:pos="180" w:val="left"/>
        </w:tabs>
        <w:numPr>
          <w:ilvl w:val="0"/>
          <w:numId w:val="52"/>
        </w:numPr>
        <w:rPr>
          <w:rFonts w:ascii="Arial" w:cs="Arial" w:eastAsia="Arial" w:hAnsi="Arial"/>
          <w:sz w:val="11"/>
          <w:szCs w:val="11"/>
          <w:color w:val="auto"/>
        </w:rPr>
      </w:pPr>
      <w:r>
        <w:rPr>
          <w:rFonts w:ascii="Arial" w:cs="Arial" w:eastAsia="Arial" w:hAnsi="Arial"/>
          <w:sz w:val="11"/>
          <w:szCs w:val="11"/>
          <w:color w:val="auto"/>
        </w:rPr>
        <w:t>Emissions from the purchase of electricity, heat, steam and cooling for our own use.</w:t>
      </w:r>
    </w:p>
    <w:p>
      <w:pPr>
        <w:ind w:right="60" w:firstLine="8"/>
        <w:spacing w:after="0" w:line="230" w:lineRule="auto"/>
        <w:tabs>
          <w:tab w:leader="none" w:pos="168" w:val="left"/>
        </w:tabs>
        <w:numPr>
          <w:ilvl w:val="0"/>
          <w:numId w:val="52"/>
        </w:numPr>
        <w:rPr>
          <w:rFonts w:ascii="Arial" w:cs="Arial" w:eastAsia="Arial" w:hAnsi="Arial"/>
          <w:sz w:val="11"/>
          <w:szCs w:val="11"/>
          <w:color w:val="auto"/>
        </w:rPr>
      </w:pPr>
      <w:r>
        <w:rPr>
          <w:rFonts w:ascii="Arial" w:cs="Arial" w:eastAsia="Arial" w:hAnsi="Arial"/>
          <w:sz w:val="11"/>
          <w:szCs w:val="11"/>
          <w:color w:val="auto"/>
        </w:rPr>
        <w:t>In tonnes of total direct and energy indirect emissions per tonne of crude oil and feedstocks processed and petrochemicals produced in Downstream manufacturing, and oil and gas produced and gas processed by gas-to-liquid facilities in Upstream. The regulations require the reporting of a ratio which expresses the annual emissions in relation to a quantifiable factor associated with our activities. However, oil and gas industry guidelines (IPIECA/API/OGP) state that only presenting normalised environmental performance data separately for different business activities would generally provide meaningful information. As a result, we are also reporting the most appropriate ratio for our Downstream and Upstream businesses.</w:t>
      </w:r>
    </w:p>
    <w:p>
      <w:pPr>
        <w:spacing w:after="0" w:line="2" w:lineRule="exact"/>
        <w:rPr>
          <w:rFonts w:ascii="Arial" w:cs="Arial" w:eastAsia="Arial" w:hAnsi="Arial"/>
          <w:sz w:val="11"/>
          <w:szCs w:val="11"/>
          <w:color w:val="auto"/>
        </w:rPr>
      </w:pPr>
    </w:p>
    <w:p>
      <w:pPr>
        <w:ind w:right="160" w:firstLine="8"/>
        <w:spacing w:after="0" w:line="230" w:lineRule="auto"/>
        <w:tabs>
          <w:tab w:leader="none" w:pos="168" w:val="left"/>
        </w:tabs>
        <w:numPr>
          <w:ilvl w:val="0"/>
          <w:numId w:val="52"/>
        </w:numPr>
        <w:rPr>
          <w:rFonts w:ascii="Arial" w:cs="Arial" w:eastAsia="Arial" w:hAnsi="Arial"/>
          <w:sz w:val="11"/>
          <w:szCs w:val="11"/>
          <w:color w:val="auto"/>
        </w:rPr>
      </w:pPr>
      <w:r>
        <w:rPr>
          <w:rFonts w:ascii="Arial" w:cs="Arial" w:eastAsia="Arial" w:hAnsi="Arial"/>
          <w:sz w:val="11"/>
          <w:szCs w:val="11"/>
          <w:color w:val="auto"/>
        </w:rPr>
        <w:t>In tonnes of direct and energy indirect emissions per tonne of crude oil and feedstocks processed. The ratio includes chemical plants where they are integrated with refineries.</w:t>
      </w:r>
    </w:p>
    <w:p>
      <w:pPr>
        <w:ind w:right="40" w:firstLine="8"/>
        <w:spacing w:after="0" w:line="238" w:lineRule="auto"/>
        <w:tabs>
          <w:tab w:leader="none" w:pos="162" w:val="left"/>
        </w:tabs>
        <w:numPr>
          <w:ilvl w:val="0"/>
          <w:numId w:val="52"/>
        </w:numPr>
        <w:rPr>
          <w:rFonts w:ascii="Arial" w:cs="Arial" w:eastAsia="Arial" w:hAnsi="Arial"/>
          <w:sz w:val="11"/>
          <w:szCs w:val="11"/>
          <w:color w:val="auto"/>
        </w:rPr>
      </w:pPr>
      <w:r>
        <w:rPr>
          <w:rFonts w:ascii="Arial" w:cs="Arial" w:eastAsia="Arial" w:hAnsi="Arial"/>
          <w:sz w:val="11"/>
          <w:szCs w:val="11"/>
          <w:color w:val="auto"/>
        </w:rPr>
        <w:t>In tonnes of direct and energy indirect emissions per tonne of oil and gas produced. The ratio excludes gas-to-liquids facilities.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419"/>
        </w:trPr>
        <w:tc>
          <w:tcPr>
            <w:tcW w:w="3780" w:type="dxa"/>
            <w:vAlign w:val="bottom"/>
            <w:shd w:val="clear" w:color="auto" w:fill="FF8B00"/>
          </w:tcPr>
          <w:p>
            <w:pPr>
              <w:spacing w:after="0"/>
              <w:rPr>
                <w:sz w:val="24"/>
                <w:szCs w:val="24"/>
                <w:color w:val="auto"/>
              </w:rPr>
            </w:pPr>
          </w:p>
        </w:tc>
        <w:tc>
          <w:tcPr>
            <w:tcW w:w="2040" w:type="dxa"/>
            <w:vAlign w:val="bottom"/>
            <w:shd w:val="clear" w:color="auto" w:fill="FF8B00"/>
          </w:tcPr>
          <w:p>
            <w:pPr>
              <w:spacing w:after="0"/>
              <w:rPr>
                <w:sz w:val="24"/>
                <w:szCs w:val="24"/>
                <w:color w:val="auto"/>
              </w:rPr>
            </w:pPr>
          </w:p>
        </w:tc>
      </w:tr>
      <w:tr>
        <w:trPr>
          <w:trHeight w:val="152"/>
        </w:trPr>
        <w:tc>
          <w:tcPr>
            <w:tcW w:w="3780" w:type="dxa"/>
            <w:vAlign w:val="bottom"/>
          </w:tcPr>
          <w:p>
            <w:pPr>
              <w:ind w:left="940"/>
              <w:spacing w:after="0"/>
              <w:rPr>
                <w:sz w:val="20"/>
                <w:szCs w:val="20"/>
                <w:color w:val="auto"/>
              </w:rPr>
            </w:pPr>
            <w:r>
              <w:rPr>
                <w:rFonts w:ascii="Arial" w:cs="Arial" w:eastAsia="Arial" w:hAnsi="Arial"/>
                <w:sz w:val="13"/>
                <w:szCs w:val="13"/>
                <w:color w:val="333333"/>
              </w:rPr>
              <w:t>STRATEGIC REPORT</w:t>
            </w:r>
          </w:p>
        </w:tc>
        <w:tc>
          <w:tcPr>
            <w:tcW w:w="2040" w:type="dxa"/>
            <w:vAlign w:val="bottom"/>
          </w:tcPr>
          <w:p>
            <w:pPr>
              <w:jc w:val="right"/>
              <w:ind w:right="306"/>
              <w:spacing w:after="0"/>
              <w:rPr>
                <w:sz w:val="20"/>
                <w:szCs w:val="20"/>
                <w:color w:val="auto"/>
              </w:rPr>
            </w:pPr>
            <w:r>
              <w:rPr>
                <w:rFonts w:ascii="Arial" w:cs="Arial" w:eastAsia="Arial" w:hAnsi="Arial"/>
                <w:sz w:val="11"/>
                <w:szCs w:val="11"/>
                <w:b w:val="1"/>
                <w:bCs w:val="1"/>
                <w:color w:val="333333"/>
              </w:rPr>
              <w:t>53</w:t>
            </w:r>
          </w:p>
        </w:tc>
      </w:tr>
    </w:tbl>
    <w:p>
      <w:pPr>
        <w:spacing w:after="0" w:line="155" w:lineRule="exact"/>
        <w:rPr>
          <w:sz w:val="20"/>
          <w:szCs w:val="20"/>
          <w:color w:val="auto"/>
        </w:rPr>
      </w:pPr>
    </w:p>
    <w:p>
      <w:pPr>
        <w:ind w:left="940"/>
        <w:spacing w:after="0"/>
        <w:rPr>
          <w:sz w:val="20"/>
          <w:szCs w:val="20"/>
          <w:color w:val="auto"/>
        </w:rPr>
      </w:pPr>
      <w:r>
        <w:rPr>
          <w:rFonts w:ascii="Arial" w:cs="Arial" w:eastAsia="Arial" w:hAnsi="Arial"/>
          <w:sz w:val="11"/>
          <w:szCs w:val="11"/>
          <w:color w:val="auto"/>
        </w:rPr>
        <w:t>ENVIRONMENT AND SOCIETY</w:t>
      </w:r>
    </w:p>
    <w:p>
      <w:pPr>
        <w:spacing w:after="0" w:line="51" w:lineRule="exact"/>
        <w:rPr>
          <w:sz w:val="20"/>
          <w:szCs w:val="20"/>
          <w:color w:val="auto"/>
        </w:rPr>
      </w:pPr>
    </w:p>
    <w:p>
      <w:pPr>
        <w:ind w:left="180"/>
        <w:spacing w:after="0"/>
        <w:rPr>
          <w:sz w:val="20"/>
          <w:szCs w:val="20"/>
          <w:color w:val="auto"/>
        </w:rPr>
      </w:pPr>
      <w:r>
        <w:rPr>
          <w:rFonts w:ascii="Arial" w:cs="Arial" w:eastAsia="Arial" w:hAnsi="Arial"/>
          <w:sz w:val="18"/>
          <w:szCs w:val="18"/>
          <w:color w:val="auto"/>
        </w:rPr>
        <w:t>SPILLS</w:t>
      </w:r>
    </w:p>
    <w:p>
      <w:pPr>
        <w:spacing w:after="0" w:line="1" w:lineRule="exact"/>
        <w:rPr>
          <w:sz w:val="20"/>
          <w:szCs w:val="20"/>
          <w:color w:val="auto"/>
        </w:rPr>
      </w:pPr>
    </w:p>
    <w:p>
      <w:pPr>
        <w:ind w:left="180" w:right="220"/>
        <w:spacing w:after="0" w:line="245" w:lineRule="auto"/>
        <w:rPr>
          <w:sz w:val="20"/>
          <w:szCs w:val="20"/>
          <w:color w:val="auto"/>
        </w:rPr>
      </w:pPr>
      <w:r>
        <w:rPr>
          <w:rFonts w:ascii="Arial" w:cs="Arial" w:eastAsia="Arial" w:hAnsi="Arial"/>
          <w:sz w:val="14"/>
          <w:szCs w:val="14"/>
          <w:color w:val="auto"/>
        </w:rPr>
        <w:t>Large spills of crude oil, oil products and chemicals associated with our operations can result in major clean-up costs as well as fines and other damages. They can also affect our licence to operate and harm our reputation. We have clear requirements and procedures designed to prevent spills, and our asset integrity programmes include the design, maintenance and operation of spill containment facilities.</w:t>
      </w:r>
    </w:p>
    <w:p>
      <w:pPr>
        <w:spacing w:after="0" w:line="178" w:lineRule="exact"/>
        <w:rPr>
          <w:sz w:val="20"/>
          <w:szCs w:val="20"/>
          <w:color w:val="auto"/>
        </w:rPr>
      </w:pPr>
    </w:p>
    <w:p>
      <w:pPr>
        <w:ind w:left="180" w:right="160"/>
        <w:spacing w:after="0" w:line="243" w:lineRule="auto"/>
        <w:rPr>
          <w:sz w:val="20"/>
          <w:szCs w:val="20"/>
          <w:color w:val="auto"/>
        </w:rPr>
      </w:pPr>
      <w:r>
        <w:rPr>
          <w:rFonts w:ascii="Arial" w:cs="Arial" w:eastAsia="Arial" w:hAnsi="Arial"/>
          <w:sz w:val="14"/>
          <w:szCs w:val="14"/>
          <w:color w:val="auto"/>
        </w:rPr>
        <w:t>Shell business units are responsible for organising and executing oil spill responses in line with Shell guidelines as well as with relevant legal and regulatory requirements. All our offshore installations have plans in place to respond to a spill. These plans detail response strategies and techniques, available equipment, and trained personnel and contracts. We are able to call upon significant resources such as containment booms, collection vessels and aircraft. We are also able to draw upon the contracted services of oil spill response organisations, if required. We conduct regular exercises that seek to ensure these plans remain effective. We have further developed our capability to respond to spills to water, and maintain a Global Response Support Network to support worldwide response capability. This is also supported by our global Oil Spill Excellence Center, which tests local capability, and maintains Shell’s capability globally to respond to a significant incident.</w:t>
      </w:r>
    </w:p>
    <w:p>
      <w:pPr>
        <w:spacing w:after="0" w:line="164" w:lineRule="exact"/>
        <w:rPr>
          <w:sz w:val="20"/>
          <w:szCs w:val="20"/>
          <w:color w:val="auto"/>
        </w:rPr>
      </w:pPr>
    </w:p>
    <w:p>
      <w:pPr>
        <w:ind w:left="180" w:right="180"/>
        <w:spacing w:after="0" w:line="244" w:lineRule="auto"/>
        <w:rPr>
          <w:sz w:val="20"/>
          <w:szCs w:val="20"/>
          <w:color w:val="auto"/>
        </w:rPr>
      </w:pPr>
      <w:r>
        <w:rPr>
          <w:rFonts w:ascii="Arial" w:cs="Arial" w:eastAsia="Arial" w:hAnsi="Arial"/>
          <w:sz w:val="14"/>
          <w:szCs w:val="14"/>
          <w:color w:val="auto"/>
        </w:rPr>
        <w:t>Shell is a founding member of the Marine Well Containment Company, a non-profit industry consortium providing a well-containment response system for the Gulf of Mexico. In addition, Shell was a founding member of the Subsea Well Response Project, an industry cooperative effort to enhance global well-containment capabilities. The additional well-containment capability developed by this project is now managed by an industry consortium via Oil Spill Response Limited.</w:t>
      </w:r>
    </w:p>
    <w:p>
      <w:pPr>
        <w:spacing w:after="0" w:line="166" w:lineRule="exact"/>
        <w:rPr>
          <w:sz w:val="20"/>
          <w:szCs w:val="20"/>
          <w:color w:val="auto"/>
        </w:rPr>
      </w:pPr>
    </w:p>
    <w:p>
      <w:pPr>
        <w:ind w:left="180" w:right="360"/>
        <w:spacing w:after="0" w:line="245" w:lineRule="auto"/>
        <w:rPr>
          <w:sz w:val="20"/>
          <w:szCs w:val="20"/>
          <w:color w:val="auto"/>
        </w:rPr>
      </w:pPr>
      <w:r>
        <w:rPr>
          <w:rFonts w:ascii="Arial" w:cs="Arial" w:eastAsia="Arial" w:hAnsi="Arial"/>
          <w:sz w:val="14"/>
          <w:szCs w:val="14"/>
          <w:color w:val="auto"/>
        </w:rPr>
        <w:t>Shell also maintains site-specific emergency response plans in the event of an onshore spill. Like the offshore response plans, these are designed to meet Shell guidelines as well as relevant legal and regulatory requirements. They also provide for the initial assessment of incidents and the mobilisation of resources needed to manage them.</w:t>
      </w:r>
    </w:p>
    <w:p>
      <w:pPr>
        <w:spacing w:after="0" w:line="178" w:lineRule="exact"/>
        <w:rPr>
          <w:sz w:val="20"/>
          <w:szCs w:val="20"/>
          <w:color w:val="auto"/>
        </w:rPr>
      </w:pPr>
    </w:p>
    <w:p>
      <w:pPr>
        <w:ind w:left="180" w:right="420"/>
        <w:spacing w:after="0" w:line="250" w:lineRule="auto"/>
        <w:rPr>
          <w:sz w:val="20"/>
          <w:szCs w:val="20"/>
          <w:color w:val="auto"/>
        </w:rPr>
      </w:pPr>
      <w:r>
        <w:rPr>
          <w:rFonts w:ascii="Arial" w:cs="Arial" w:eastAsia="Arial" w:hAnsi="Arial"/>
          <w:sz w:val="14"/>
          <w:szCs w:val="14"/>
          <w:color w:val="auto"/>
        </w:rPr>
        <w:t>In 2014, the number of operational spills of more than 100 kilograms decreased to 153 from 174 in 2013. At the end of February 2015, there were three spills under investigation in Nigeria that may result in adjustments.</w:t>
      </w:r>
    </w:p>
    <w:p>
      <w:pPr>
        <w:spacing w:after="0" w:line="159" w:lineRule="exact"/>
        <w:rPr>
          <w:sz w:val="20"/>
          <w:szCs w:val="20"/>
          <w:color w:val="auto"/>
        </w:rPr>
      </w:pPr>
    </w:p>
    <w:p>
      <w:pPr>
        <w:ind w:left="180" w:right="180"/>
        <w:spacing w:after="0" w:line="244" w:lineRule="auto"/>
        <w:rPr>
          <w:sz w:val="20"/>
          <w:szCs w:val="20"/>
          <w:color w:val="auto"/>
        </w:rPr>
      </w:pPr>
      <w:r>
        <w:rPr>
          <w:rFonts w:ascii="Arial" w:cs="Arial" w:eastAsia="Arial" w:hAnsi="Arial"/>
          <w:sz w:val="14"/>
          <w:szCs w:val="14"/>
          <w:color w:val="auto"/>
        </w:rPr>
        <w:t>Although most oil spills in Nigeria result from sabotage and theft of crude oil, there are instances where spills occur in our operations due to operational failures, accidents or corrosion. SPDC responds to all oil spills, regardless of the cause, originating in the area immediately surrounding its pipelines and other facilities. It has been working to reduce operational spills that are under its control. It maintains a public website to track the response, investigation and clean-up of every spill from its facilities due to operational failure, sabotage or theft.</w:t>
      </w:r>
    </w:p>
    <w:p>
      <w:pPr>
        <w:spacing w:after="0" w:line="164" w:lineRule="exact"/>
        <w:rPr>
          <w:sz w:val="20"/>
          <w:szCs w:val="20"/>
          <w:color w:val="auto"/>
        </w:rPr>
      </w:pPr>
    </w:p>
    <w:p>
      <w:pPr>
        <w:ind w:left="180" w:right="180"/>
        <w:spacing w:after="0" w:line="242" w:lineRule="auto"/>
        <w:rPr>
          <w:sz w:val="20"/>
          <w:szCs w:val="20"/>
          <w:color w:val="auto"/>
        </w:rPr>
      </w:pPr>
      <w:r>
        <w:rPr>
          <w:rFonts w:ascii="Arial" w:cs="Arial" w:eastAsia="Arial" w:hAnsi="Arial"/>
          <w:sz w:val="14"/>
          <w:szCs w:val="14"/>
          <w:color w:val="auto"/>
        </w:rPr>
        <w:t>In January 2015, SPDC announced a £55 million settlement agreement with the Bodo community in respect of two operational spills in 2008. The settlement provides for an individual payment to each claimant who accepts the agreement in compensation for losses arising from the spills, up to £35 million in total. The remaining £20 million payment will be made for the benefit of the Bodo community generally. In 2009, clean-up work took place, but we were prevented from accessing some of the spill sites by the community, and this area has subsequently seen additional spills as a result of oil theft and sabotage. Divisions within the community and the litigation process itself created further regrettable delays to the clean-up process. With the support of the former Dutch Ambassador to Nigeria and the involvement of the National Coalition on Gas Flaring and Oil Spills in the Niger Delta (a federation of 25 Niger Delta environmental non-governmental organisations), the community agreed to separate out the clean-up activity from the litigation. Despite some further delays caused</w:t>
      </w:r>
    </w:p>
    <w:p>
      <w:pPr>
        <w:sectPr>
          <w:pgSz w:w="11900" w:h="16838" w:orient="portrait"/>
          <w:cols w:equalWidth="0" w:num="2">
            <w:col w:w="5480" w:space="120"/>
            <w:col w:w="5820"/>
          </w:cols>
          <w:pgMar w:left="240" w:top="459" w:right="239" w:bottom="1440" w:gutter="0" w:footer="0" w:header="0"/>
          <w:type w:val="continuous"/>
        </w:sectPr>
      </w:pPr>
    </w:p>
    <w:bookmarkStart w:id="55" w:name="page56"/>
    <w:bookmarkEnd w:id="55"/>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314960</wp:posOffset>
            </wp:positionV>
            <wp:extent cx="3627755" cy="46291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3627755" cy="462915"/>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p>
      <w:pPr>
        <w:spacing w:after="0" w:line="200" w:lineRule="exact"/>
        <w:rPr>
          <w:sz w:val="20"/>
          <w:szCs w:val="20"/>
          <w:color w:val="auto"/>
        </w:rPr>
      </w:pP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419"/>
        </w:trPr>
        <w:tc>
          <w:tcPr>
            <w:tcW w:w="2080" w:type="dxa"/>
            <w:vAlign w:val="bottom"/>
            <w:shd w:val="clear" w:color="auto" w:fill="FF8B00"/>
          </w:tcPr>
          <w:p>
            <w:pPr>
              <w:spacing w:after="0"/>
              <w:rPr>
                <w:sz w:val="24"/>
                <w:szCs w:val="24"/>
                <w:color w:val="auto"/>
              </w:rPr>
            </w:pPr>
          </w:p>
        </w:tc>
        <w:tc>
          <w:tcPr>
            <w:tcW w:w="3640" w:type="dxa"/>
            <w:vAlign w:val="bottom"/>
            <w:shd w:val="clear" w:color="auto" w:fill="FF8B00"/>
          </w:tcPr>
          <w:p>
            <w:pPr>
              <w:spacing w:after="0"/>
              <w:rPr>
                <w:sz w:val="24"/>
                <w:szCs w:val="24"/>
                <w:color w:val="auto"/>
              </w:rPr>
            </w:pPr>
          </w:p>
        </w:tc>
      </w:tr>
      <w:tr>
        <w:trPr>
          <w:trHeight w:val="152"/>
        </w:trPr>
        <w:tc>
          <w:tcPr>
            <w:tcW w:w="2080" w:type="dxa"/>
            <w:vAlign w:val="bottom"/>
          </w:tcPr>
          <w:p>
            <w:pPr>
              <w:jc w:val="right"/>
              <w:ind w:right="1546"/>
              <w:spacing w:after="0"/>
              <w:rPr>
                <w:sz w:val="20"/>
                <w:szCs w:val="20"/>
                <w:color w:val="auto"/>
              </w:rPr>
            </w:pPr>
            <w:r>
              <w:rPr>
                <w:rFonts w:ascii="Arial" w:cs="Arial" w:eastAsia="Arial" w:hAnsi="Arial"/>
                <w:sz w:val="11"/>
                <w:szCs w:val="11"/>
                <w:b w:val="1"/>
                <w:bCs w:val="1"/>
                <w:color w:val="333333"/>
              </w:rPr>
              <w:t>54</w:t>
            </w:r>
          </w:p>
        </w:tc>
        <w:tc>
          <w:tcPr>
            <w:tcW w:w="3640" w:type="dxa"/>
            <w:vAlign w:val="bottom"/>
          </w:tcPr>
          <w:p>
            <w:pPr>
              <w:ind w:left="1580"/>
              <w:spacing w:after="0"/>
              <w:rPr>
                <w:sz w:val="20"/>
                <w:szCs w:val="20"/>
                <w:color w:val="auto"/>
              </w:rPr>
            </w:pPr>
            <w:r>
              <w:rPr>
                <w:rFonts w:ascii="Arial" w:cs="Arial" w:eastAsia="Arial" w:hAnsi="Arial"/>
                <w:sz w:val="13"/>
                <w:szCs w:val="13"/>
                <w:color w:val="333333"/>
              </w:rPr>
              <w:t>STRATEGIC REPORT</w:t>
            </w:r>
          </w:p>
        </w:tc>
      </w:tr>
    </w:tbl>
    <w:p>
      <w:pPr>
        <w:spacing w:after="0" w:line="155" w:lineRule="exact"/>
        <w:rPr>
          <w:sz w:val="20"/>
          <w:szCs w:val="20"/>
          <w:color w:val="auto"/>
        </w:rPr>
      </w:pPr>
    </w:p>
    <w:p>
      <w:pPr>
        <w:ind w:left="3380"/>
        <w:spacing w:after="0"/>
        <w:rPr>
          <w:sz w:val="20"/>
          <w:szCs w:val="20"/>
          <w:color w:val="auto"/>
        </w:rPr>
      </w:pPr>
      <w:r>
        <w:rPr>
          <w:rFonts w:ascii="Arial" w:cs="Arial" w:eastAsia="Arial" w:hAnsi="Arial"/>
          <w:sz w:val="11"/>
          <w:szCs w:val="11"/>
          <w:color w:val="auto"/>
        </w:rPr>
        <w:t>ENVIRONMENT AND SOCIETY</w:t>
      </w:r>
    </w:p>
    <w:p>
      <w:pPr>
        <w:spacing w:after="0" w:line="48" w:lineRule="exact"/>
        <w:rPr>
          <w:sz w:val="20"/>
          <w:szCs w:val="20"/>
          <w:color w:val="auto"/>
        </w:rPr>
      </w:pPr>
    </w:p>
    <w:p>
      <w:pPr>
        <w:spacing w:after="0"/>
        <w:rPr>
          <w:sz w:val="20"/>
          <w:szCs w:val="20"/>
          <w:color w:val="auto"/>
        </w:rPr>
      </w:pPr>
      <w:r>
        <w:rPr>
          <w:rFonts w:ascii="Arial" w:cs="Arial" w:eastAsia="Arial" w:hAnsi="Arial"/>
          <w:sz w:val="24"/>
          <w:szCs w:val="24"/>
          <w:color w:val="auto"/>
        </w:rPr>
        <w:t xml:space="preserve">ENVIRONMENT AND SOCIETY </w:t>
      </w:r>
      <w:r>
        <w:rPr>
          <w:rFonts w:ascii="Arial" w:cs="Arial" w:eastAsia="Arial" w:hAnsi="Arial"/>
          <w:sz w:val="24"/>
          <w:szCs w:val="24"/>
          <w:color w:val="666666"/>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3473450" cy="88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spacing w:after="0" w:line="199" w:lineRule="exact"/>
        <w:rPr>
          <w:sz w:val="20"/>
          <w:szCs w:val="20"/>
          <w:color w:val="auto"/>
        </w:rPr>
      </w:pPr>
    </w:p>
    <w:p>
      <w:pPr>
        <w:ind w:right="440"/>
        <w:spacing w:after="0" w:line="258" w:lineRule="auto"/>
        <w:rPr>
          <w:sz w:val="20"/>
          <w:szCs w:val="20"/>
          <w:color w:val="auto"/>
        </w:rPr>
      </w:pPr>
      <w:r>
        <w:rPr>
          <w:rFonts w:ascii="Arial" w:cs="Arial" w:eastAsia="Arial" w:hAnsi="Arial"/>
          <w:sz w:val="14"/>
          <w:szCs w:val="14"/>
          <w:color w:val="auto"/>
        </w:rPr>
        <w:t>by intra-community divisions, we are pleased that a clean-up plan supported by the community is in place.</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HYDRAULIC FRACTURING</w:t>
      </w:r>
    </w:p>
    <w:p>
      <w:pPr>
        <w:spacing w:after="0" w:line="1" w:lineRule="exact"/>
        <w:rPr>
          <w:sz w:val="20"/>
          <w:szCs w:val="20"/>
          <w:color w:val="auto"/>
        </w:rPr>
      </w:pPr>
    </w:p>
    <w:p>
      <w:pPr>
        <w:ind w:right="280"/>
        <w:spacing w:after="0" w:line="250" w:lineRule="auto"/>
        <w:rPr>
          <w:sz w:val="20"/>
          <w:szCs w:val="20"/>
          <w:color w:val="auto"/>
        </w:rPr>
      </w:pPr>
      <w:r>
        <w:rPr>
          <w:rFonts w:ascii="Arial" w:cs="Arial" w:eastAsia="Arial" w:hAnsi="Arial"/>
          <w:sz w:val="14"/>
          <w:szCs w:val="14"/>
          <w:color w:val="auto"/>
        </w:rPr>
        <w:t>Over the last decade, we have expanded our onshore oil and gas portfolio using advances in technology to access previously uneconomic tight-oil and gas resources, including those locked in shale formations.</w:t>
      </w:r>
    </w:p>
    <w:p>
      <w:pPr>
        <w:spacing w:after="0" w:line="159" w:lineRule="exact"/>
        <w:rPr>
          <w:sz w:val="20"/>
          <w:szCs w:val="20"/>
          <w:color w:val="auto"/>
        </w:rPr>
      </w:pPr>
    </w:p>
    <w:p>
      <w:pPr>
        <w:ind w:right="300"/>
        <w:spacing w:after="0" w:line="244" w:lineRule="auto"/>
        <w:rPr>
          <w:sz w:val="20"/>
          <w:szCs w:val="20"/>
          <w:color w:val="auto"/>
        </w:rPr>
      </w:pPr>
      <w:r>
        <w:rPr>
          <w:rFonts w:ascii="Arial" w:cs="Arial" w:eastAsia="Arial" w:hAnsi="Arial"/>
          <w:sz w:val="14"/>
          <w:szCs w:val="14"/>
          <w:color w:val="auto"/>
        </w:rPr>
        <w:t>One of the key technologies applied in tight-oil and tight-gas fields is known as hydraulic fracturing, a technique that has been used since the 1950s. It involves pumping a mixture of water, sand and chemical additives at high pressure into a rock formation, creating tiny fissures through which oil and gas can flow. To protect and isolate potable groundwater from hydraulic-fracturing fluids in the wellbore, we line all our wells with steel casing and cement.</w:t>
      </w:r>
    </w:p>
    <w:p>
      <w:pPr>
        <w:spacing w:after="0" w:line="179" w:lineRule="exact"/>
        <w:rPr>
          <w:sz w:val="20"/>
          <w:szCs w:val="20"/>
          <w:color w:val="auto"/>
        </w:rPr>
      </w:pPr>
    </w:p>
    <w:p>
      <w:pPr>
        <w:ind w:right="320"/>
        <w:spacing w:after="0" w:line="245" w:lineRule="auto"/>
        <w:rPr>
          <w:sz w:val="20"/>
          <w:szCs w:val="20"/>
          <w:color w:val="auto"/>
        </w:rPr>
      </w:pPr>
      <w:r>
        <w:rPr>
          <w:rFonts w:ascii="Arial" w:cs="Arial" w:eastAsia="Arial" w:hAnsi="Arial"/>
          <w:sz w:val="14"/>
          <w:szCs w:val="14"/>
          <w:color w:val="auto"/>
        </w:rPr>
        <w:t>All of our wells are expected to have two or more subsurface barriers to protect groundwater. We monitor a wellbore’s integrity before, during and after hydraulic fracturing. When we acquire assets, we evaluate the assets’ wells for conformity with our safety and operating principles, and put in place a plan with a timeline for rectifying any inconsistencies as far as reasonably practical.</w:t>
      </w:r>
    </w:p>
    <w:p>
      <w:pPr>
        <w:spacing w:after="0" w:line="164" w:lineRule="exact"/>
        <w:rPr>
          <w:sz w:val="20"/>
          <w:szCs w:val="20"/>
          <w:color w:val="auto"/>
        </w:rPr>
      </w:pPr>
    </w:p>
    <w:p>
      <w:pPr>
        <w:ind w:right="400"/>
        <w:spacing w:after="0" w:line="250" w:lineRule="auto"/>
        <w:rPr>
          <w:sz w:val="20"/>
          <w:szCs w:val="20"/>
          <w:color w:val="auto"/>
        </w:rPr>
      </w:pPr>
      <w:r>
        <w:rPr>
          <w:rFonts w:ascii="Arial" w:cs="Arial" w:eastAsia="Arial" w:hAnsi="Arial"/>
          <w:sz w:val="14"/>
          <w:szCs w:val="14"/>
          <w:color w:val="auto"/>
        </w:rPr>
        <w:t>We recycle or reuse as much water as we believe is reasonably practical. We store, treat or dispose of water in accordance with regulatory requirements and Shell standards.</w:t>
      </w:r>
    </w:p>
    <w:p>
      <w:pPr>
        <w:spacing w:after="0" w:line="159" w:lineRule="exact"/>
        <w:rPr>
          <w:sz w:val="20"/>
          <w:szCs w:val="20"/>
          <w:color w:val="auto"/>
        </w:rPr>
      </w:pPr>
    </w:p>
    <w:p>
      <w:pPr>
        <w:ind w:right="280"/>
        <w:spacing w:after="0" w:line="242" w:lineRule="auto"/>
        <w:rPr>
          <w:sz w:val="20"/>
          <w:szCs w:val="20"/>
          <w:color w:val="auto"/>
        </w:rPr>
      </w:pPr>
      <w:r>
        <w:rPr>
          <w:rFonts w:ascii="Arial" w:cs="Arial" w:eastAsia="Arial" w:hAnsi="Arial"/>
          <w:sz w:val="14"/>
          <w:szCs w:val="14"/>
          <w:color w:val="auto"/>
        </w:rPr>
        <w:t>To the extent allowed by our suppliers, Shell supports full disclosure of the chemicals used in hydraulic fracturing fluids for Shell-operated wells. Material Safety Data Sheet information is available on site where wells are being hydraulically fractured. Shell supports regulation to require suppliers to release such information. The chemicals used in hydraulic fracturing will vary from well to well and from contractor to contractor, but some can be toxic. For that reason, we have stringent procedures for handling hydraulic-fracturing chemicals in accordance with the design and assurance processes described above. The formations into which these additives may be injected are typically more than a thousand metres below freshwater aquifers. Our procedures require that potable groundwater must be isolated from well completion and production activities. Moreover, we only use air, water or a water-based liquid while drilling through the potable groundwater aquifer to a depth below the aquifer. The casing and cement are then put in place before drilling is resumed and hydraulic fracturing is initiated.</w:t>
      </w:r>
    </w:p>
    <w:p>
      <w:pPr>
        <w:spacing w:after="0" w:line="348" w:lineRule="exact"/>
        <w:rPr>
          <w:sz w:val="20"/>
          <w:szCs w:val="20"/>
          <w:color w:val="auto"/>
        </w:rPr>
      </w:pPr>
    </w:p>
    <w:p>
      <w:pPr>
        <w:ind w:right="240"/>
        <w:spacing w:after="0" w:line="244" w:lineRule="auto"/>
        <w:rPr>
          <w:sz w:val="20"/>
          <w:szCs w:val="20"/>
          <w:color w:val="auto"/>
        </w:rPr>
      </w:pPr>
      <w:r>
        <w:rPr>
          <w:rFonts w:ascii="Arial" w:cs="Arial" w:eastAsia="Arial" w:hAnsi="Arial"/>
          <w:sz w:val="14"/>
          <w:szCs w:val="14"/>
          <w:color w:val="auto"/>
        </w:rPr>
        <w:t>There have been reports linking hydraulic fracturing to earth tremors. Most seismic events occur naturally due to motion along faults under stress in the earth’s crust. Some areas are more seismically active than others. Shell analyses publicly available seismic, geologic and geophysical data to determine historical seismicity in areas where we plan to operate, and if seismic activity beyond historic levels is detected, we will investigate and review our operations.</w:t>
      </w:r>
    </w:p>
    <w:p>
      <w:pPr>
        <w:spacing w:after="0" w:line="166" w:lineRule="exact"/>
        <w:rPr>
          <w:sz w:val="20"/>
          <w:szCs w:val="20"/>
          <w:color w:val="auto"/>
        </w:rPr>
      </w:pPr>
    </w:p>
    <w:p>
      <w:pPr>
        <w:ind w:right="320"/>
        <w:spacing w:after="0" w:line="244" w:lineRule="auto"/>
        <w:rPr>
          <w:sz w:val="20"/>
          <w:szCs w:val="20"/>
          <w:color w:val="auto"/>
        </w:rPr>
      </w:pPr>
      <w:r>
        <w:rPr>
          <w:rFonts w:ascii="Arial" w:cs="Arial" w:eastAsia="Arial" w:hAnsi="Arial"/>
          <w:sz w:val="14"/>
          <w:szCs w:val="14"/>
          <w:color w:val="auto"/>
        </w:rPr>
        <w:t>Some jurisdictions are considering more stringent permitting, well-construction and other regulations relating to fracturing, as well as local bans and other land use restrictions. Such regulations could subject our operations to delays, increased costs or prohibitions. We have adopted a set of operating principles for all of our onshore tight-oil and gas operations. Our current standards meet or exceed the existing regulatory requirements of the jurisdictions where we operate.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right"/>
        <w:spacing w:after="0"/>
        <w:rPr>
          <w:sz w:val="20"/>
          <w:szCs w:val="20"/>
          <w:color w:val="auto"/>
        </w:rPr>
      </w:pPr>
      <w:r>
        <w:rPr>
          <w:rFonts w:ascii="Arial" w:cs="Arial" w:eastAsia="Arial" w:hAnsi="Arial"/>
          <w:sz w:val="11"/>
          <w:szCs w:val="11"/>
          <w:color w:val="auto"/>
        </w:rPr>
        <w:t>SHELL ANNUAL REPORT AND FORM 20-F 2014</w:t>
      </w:r>
    </w:p>
    <w:p>
      <w:pPr>
        <w:spacing w:after="0" w:line="51" w:lineRule="exact"/>
        <w:rPr>
          <w:sz w:val="20"/>
          <w:szCs w:val="20"/>
          <w:color w:val="auto"/>
        </w:rPr>
      </w:pPr>
    </w:p>
    <w:p>
      <w:pPr>
        <w:spacing w:after="0"/>
        <w:rPr>
          <w:sz w:val="20"/>
          <w:szCs w:val="20"/>
          <w:color w:val="auto"/>
        </w:rPr>
      </w:pPr>
      <w:r>
        <w:rPr>
          <w:rFonts w:ascii="Arial" w:cs="Arial" w:eastAsia="Arial" w:hAnsi="Arial"/>
          <w:sz w:val="18"/>
          <w:szCs w:val="18"/>
          <w:color w:val="auto"/>
        </w:rPr>
        <w:t>OIL SANDS</w:t>
      </w:r>
    </w:p>
    <w:p>
      <w:pPr>
        <w:spacing w:after="0" w:line="1" w:lineRule="exact"/>
        <w:rPr>
          <w:sz w:val="20"/>
          <w:szCs w:val="20"/>
          <w:color w:val="auto"/>
        </w:rPr>
      </w:pPr>
    </w:p>
    <w:p>
      <w:pPr>
        <w:ind w:right="200"/>
        <w:spacing w:after="0" w:line="242" w:lineRule="auto"/>
        <w:rPr>
          <w:sz w:val="20"/>
          <w:szCs w:val="20"/>
          <w:color w:val="auto"/>
        </w:rPr>
      </w:pPr>
      <w:r>
        <w:rPr>
          <w:rFonts w:ascii="Arial" w:cs="Arial" w:eastAsia="Arial" w:hAnsi="Arial"/>
          <w:sz w:val="14"/>
          <w:szCs w:val="14"/>
          <w:color w:val="auto"/>
        </w:rPr>
        <w:t>We are developing mineable oil sands resources in Alberta, Canada. We use an aqueous extraction method (i.e. warm water) to extract bitumen, which is a heavy oil. Tailings are the residual by-products that remain after the bitumen is separated from the mined oil sands ore. They are composed of some residual bitumen, water, sand, silt, clay particles and naturally occurring trace heavy metals. Tailings are stored in an above-ground tailings’ facilities until the mined-out pit area can be backfilled with tailings materials and fluids. This in-pit backfilling process begins approximately eight to10 years after mining has started. This time allows for mining to progress enough to allow for containment to be built after the area is mined, and for tailings material to be placed as mining continues to advance. Tailings contain naturally occurring chemicals that are toxic. We monitor tailings continuously, assess their potential environmental impact, and take measures to protect wildlife and to mitigate the potential for contamination of surface water and groundwater.</w:t>
      </w:r>
    </w:p>
    <w:p>
      <w:pPr>
        <w:spacing w:after="0" w:line="186" w:lineRule="exact"/>
        <w:rPr>
          <w:sz w:val="20"/>
          <w:szCs w:val="20"/>
          <w:color w:val="auto"/>
        </w:rPr>
      </w:pPr>
    </w:p>
    <w:p>
      <w:pPr>
        <w:ind w:right="200"/>
        <w:spacing w:after="0" w:line="247" w:lineRule="auto"/>
        <w:rPr>
          <w:sz w:val="20"/>
          <w:szCs w:val="20"/>
          <w:color w:val="auto"/>
        </w:rPr>
      </w:pPr>
      <w:r>
        <w:rPr>
          <w:rFonts w:ascii="Arial" w:cs="Arial" w:eastAsia="Arial" w:hAnsi="Arial"/>
          <w:sz w:val="14"/>
          <w:szCs w:val="14"/>
          <w:color w:val="auto"/>
        </w:rPr>
        <w:t>In addition, tailings facilities serve an important purpose in the operation, as they allow water to be recycled, reducing the amount of water required from the river. Over 75% of the water used in our oil sands mining operations is recycled from the tailings’ facilities at our mines.</w:t>
      </w:r>
    </w:p>
    <w:p>
      <w:pPr>
        <w:spacing w:after="0" w:line="161" w:lineRule="exact"/>
        <w:rPr>
          <w:sz w:val="20"/>
          <w:szCs w:val="20"/>
          <w:color w:val="auto"/>
        </w:rPr>
      </w:pPr>
    </w:p>
    <w:p>
      <w:pPr>
        <w:ind w:right="200"/>
        <w:spacing w:after="0" w:line="243" w:lineRule="auto"/>
        <w:rPr>
          <w:sz w:val="20"/>
          <w:szCs w:val="20"/>
          <w:color w:val="auto"/>
        </w:rPr>
      </w:pPr>
      <w:r>
        <w:rPr>
          <w:rFonts w:ascii="Arial" w:cs="Arial" w:eastAsia="Arial" w:hAnsi="Arial"/>
          <w:sz w:val="14"/>
          <w:szCs w:val="14"/>
          <w:color w:val="auto"/>
        </w:rPr>
        <w:t>The tailings management areas at the Athabasca Oil Sands Project’s Muskeg River and Jackpine mines cover an area of 37 square kilometres. The increase in area from 24 square kilometres in 2014 aligns with the development plans for both project sites. Of the 37 square kilometres, six square kilometres are part of the in-pit backfilling process and two square kilometres have been allocated to processing or drying of fluid tailings as part of our atmospheric fines drying process. We estimate that the tailings’ footprint will start to decrease between 2020 to 2025 as the external tailings facilities start to be reclaimed and tailings materials are deposited in pit as part of the in-pit backfilling process.</w:t>
      </w:r>
    </w:p>
    <w:p>
      <w:pPr>
        <w:spacing w:after="0" w:line="167" w:lineRule="exact"/>
        <w:rPr>
          <w:sz w:val="20"/>
          <w:szCs w:val="20"/>
          <w:color w:val="auto"/>
        </w:rPr>
      </w:pPr>
    </w:p>
    <w:p>
      <w:pPr>
        <w:ind w:right="400"/>
        <w:spacing w:after="0" w:line="243" w:lineRule="auto"/>
        <w:rPr>
          <w:sz w:val="20"/>
          <w:szCs w:val="20"/>
          <w:color w:val="auto"/>
        </w:rPr>
      </w:pPr>
      <w:r>
        <w:rPr>
          <w:rFonts w:ascii="Arial" w:cs="Arial" w:eastAsia="Arial" w:hAnsi="Arial"/>
          <w:sz w:val="14"/>
          <w:szCs w:val="14"/>
          <w:color w:val="auto"/>
        </w:rPr>
        <w:t>Alberta regulations require that the land which is disturbed must be reclaimed – for example, through revegetation or reforestation – to a capability equivalent to that which existed prior to development. Dried tailings can be blended and treated to produce material suitable for use in land reclamation. We continue to experience challenges with tailings that have a high percentage of fine particles and liquid content. We are working with the Alberta Government and the Alberta Energy Regulator to ensure that we are in compliance with all oil sands regulatory requirements, including those regarding tailings.</w:t>
      </w:r>
    </w:p>
    <w:p>
      <w:pPr>
        <w:spacing w:after="0" w:line="182" w:lineRule="exact"/>
        <w:rPr>
          <w:sz w:val="20"/>
          <w:szCs w:val="20"/>
          <w:color w:val="auto"/>
        </w:rPr>
      </w:pPr>
    </w:p>
    <w:p>
      <w:pPr>
        <w:ind w:right="200"/>
        <w:spacing w:after="0" w:line="243" w:lineRule="auto"/>
        <w:rPr>
          <w:sz w:val="20"/>
          <w:szCs w:val="20"/>
          <w:color w:val="auto"/>
        </w:rPr>
      </w:pPr>
      <w:r>
        <w:rPr>
          <w:rFonts w:ascii="Arial" w:cs="Arial" w:eastAsia="Arial" w:hAnsi="Arial"/>
          <w:sz w:val="14"/>
          <w:szCs w:val="14"/>
          <w:color w:val="auto"/>
        </w:rPr>
        <w:t>In late 2010, we found water at the bottom of a section of a pit at the Muskeg River Mine. The water was confirmed to be saline and to originate from a deep aquifer below the mine pit. Upon discovery, containment was built to ensure the water remained in the containment area. There has been no inflow from or outflow to the aquifer since January 2012 and the water is contained in the pit where it is continuously monitored and poses minimal risk to the environment or mine production processes. To enable use of the area where the inflow occurred, plans to manage the saline water are in development, including transferring this water to holding ponds where it would be stored and actively monitored while permanent solutions are being considered and is out of the way of the active mining/tailings backfilling area.</w:t>
      </w:r>
    </w:p>
    <w:p>
      <w:pPr>
        <w:sectPr>
          <w:pgSz w:w="11900" w:h="16838" w:orient="portrait"/>
          <w:cols w:equalWidth="0" w:num="2">
            <w:col w:w="5720" w:space="60"/>
            <w:col w:w="5640"/>
          </w:cols>
          <w:pgMar w:left="240" w:top="459" w:right="239" w:bottom="1440" w:gutter="0" w:footer="0" w:header="0"/>
          <w:type w:val="continuous"/>
        </w:sectPr>
      </w:pPr>
    </w:p>
    <w:bookmarkStart w:id="56" w:name="page57"/>
    <w:bookmarkEnd w:id="56"/>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3555365</wp:posOffset>
            </wp:positionH>
            <wp:positionV relativeFrom="paragraph">
              <wp:posOffset>314960</wp:posOffset>
            </wp:positionV>
            <wp:extent cx="3696335" cy="46291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3696335" cy="462915"/>
                    </a:xfrm>
                    <a:prstGeom prst="rect">
                      <a:avLst/>
                    </a:prstGeom>
                    <a:noFill/>
                  </pic:spPr>
                </pic:pic>
              </a:graphicData>
            </a:graphic>
          </wp:anchor>
        </w:drawing>
      </w:r>
    </w:p>
    <w:p>
      <w:pPr>
        <w:sectPr>
          <w:pgSz w:w="11900" w:h="16838" w:orient="portrait"/>
          <w:cols w:equalWidth="0" w:num="1">
            <w:col w:w="11240"/>
          </w:cols>
          <w:pgMar w:left="240" w:top="459" w:right="4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11"/>
          <w:szCs w:val="11"/>
          <w:color w:val="auto"/>
        </w:rPr>
        <w:t>SHELL ANNUAL REPORT AND FORM 20-F 2014</w:t>
      </w:r>
    </w:p>
    <w:p>
      <w:pPr>
        <w:spacing w:after="0" w:line="51" w:lineRule="exact"/>
        <w:rPr>
          <w:sz w:val="20"/>
          <w:szCs w:val="20"/>
          <w:color w:val="auto"/>
        </w:rPr>
      </w:pPr>
    </w:p>
    <w:p>
      <w:pPr>
        <w:spacing w:after="0"/>
        <w:rPr>
          <w:sz w:val="20"/>
          <w:szCs w:val="20"/>
          <w:color w:val="auto"/>
        </w:rPr>
      </w:pPr>
      <w:r>
        <w:rPr>
          <w:rFonts w:ascii="Arial" w:cs="Arial" w:eastAsia="Arial" w:hAnsi="Arial"/>
          <w:sz w:val="18"/>
          <w:szCs w:val="18"/>
          <w:color w:val="auto"/>
        </w:rPr>
        <w:t>EXPLORATION IN ALASKA</w:t>
      </w:r>
    </w:p>
    <w:p>
      <w:pPr>
        <w:spacing w:after="0" w:line="1" w:lineRule="exact"/>
        <w:rPr>
          <w:sz w:val="20"/>
          <w:szCs w:val="20"/>
          <w:color w:val="auto"/>
        </w:rPr>
      </w:pPr>
    </w:p>
    <w:p>
      <w:pPr>
        <w:ind w:right="240"/>
        <w:spacing w:after="0" w:line="247" w:lineRule="auto"/>
        <w:rPr>
          <w:sz w:val="20"/>
          <w:szCs w:val="20"/>
          <w:color w:val="auto"/>
        </w:rPr>
      </w:pPr>
      <w:r>
        <w:rPr>
          <w:rFonts w:ascii="Arial" w:cs="Arial" w:eastAsia="Arial" w:hAnsi="Arial"/>
          <w:sz w:val="14"/>
          <w:szCs w:val="14"/>
          <w:color w:val="auto"/>
        </w:rPr>
        <w:t>We hold more than 410 federal leases for exploration in the Beaufort and Chukchi seas in Alaska. We previously operated for almost 50 years in Alaska, including in both these seas, until 1998. We are familiar with these shallow waters and the hydrocarbon reservoirs beneath them, which are of relatively low pressure.</w:t>
      </w:r>
    </w:p>
    <w:p>
      <w:pPr>
        <w:spacing w:after="0" w:line="175" w:lineRule="exact"/>
        <w:rPr>
          <w:sz w:val="20"/>
          <w:szCs w:val="20"/>
          <w:color w:val="auto"/>
        </w:rPr>
      </w:pPr>
    </w:p>
    <w:p>
      <w:pPr>
        <w:jc w:val="both"/>
        <w:spacing w:after="0" w:line="241" w:lineRule="auto"/>
        <w:rPr>
          <w:sz w:val="20"/>
          <w:szCs w:val="20"/>
          <w:color w:val="auto"/>
        </w:rPr>
      </w:pPr>
      <w:r>
        <w:rPr>
          <w:rFonts w:ascii="Arial" w:cs="Arial" w:eastAsia="Arial" w:hAnsi="Arial"/>
          <w:sz w:val="14"/>
          <w:szCs w:val="14"/>
          <w:color w:val="auto"/>
        </w:rPr>
        <w:t>In 2014, the US Coast Guard published its investigation on the 2012 grounding of the Kulluk mobile offshore drilling unit (MODU), which took place around 1,900 kilometres from the drilling site. The vessel was successfully recovered and ultimately recycled.</w:t>
      </w:r>
    </w:p>
    <w:p>
      <w:pPr>
        <w:spacing w:after="0" w:line="1" w:lineRule="exact"/>
        <w:rPr>
          <w:sz w:val="20"/>
          <w:szCs w:val="20"/>
          <w:color w:val="auto"/>
        </w:rPr>
      </w:pPr>
    </w:p>
    <w:p>
      <w:pPr>
        <w:ind w:right="60"/>
        <w:spacing w:after="0" w:line="250" w:lineRule="auto"/>
        <w:rPr>
          <w:sz w:val="20"/>
          <w:szCs w:val="20"/>
          <w:color w:val="auto"/>
        </w:rPr>
      </w:pPr>
      <w:r>
        <w:rPr>
          <w:rFonts w:ascii="Arial" w:cs="Arial" w:eastAsia="Arial" w:hAnsi="Arial"/>
          <w:sz w:val="14"/>
          <w:szCs w:val="14"/>
          <w:color w:val="auto"/>
        </w:rPr>
        <w:t>There were no significant injuries or environmental damage associated with the grounding. Identified issues have been addressed. Enhancements to the programme based on lessons learned from 2012 operations include:</w:t>
      </w:r>
    </w:p>
    <w:p>
      <w:pPr>
        <w:spacing w:after="0" w:line="199" w:lineRule="exact"/>
        <w:rPr>
          <w:sz w:val="20"/>
          <w:szCs w:val="20"/>
          <w:color w:val="auto"/>
        </w:rPr>
      </w:pPr>
    </w:p>
    <w:p>
      <w:pPr>
        <w:ind w:left="180" w:right="140" w:hanging="172"/>
        <w:spacing w:after="0" w:line="182" w:lineRule="auto"/>
        <w:tabs>
          <w:tab w:leader="none" w:pos="180" w:val="left"/>
        </w:tabs>
        <w:numPr>
          <w:ilvl w:val="0"/>
          <w:numId w:val="53"/>
        </w:numPr>
        <w:rPr>
          <w:rFonts w:ascii="Arial" w:cs="Arial" w:eastAsia="Arial" w:hAnsi="Arial"/>
          <w:sz w:val="23"/>
          <w:szCs w:val="23"/>
          <w:color w:val="auto"/>
          <w:vertAlign w:val="superscript"/>
        </w:rPr>
      </w:pPr>
      <w:r>
        <w:rPr>
          <w:rFonts w:ascii="Arial" w:cs="Arial" w:eastAsia="Arial" w:hAnsi="Arial"/>
          <w:sz w:val="14"/>
          <w:szCs w:val="14"/>
          <w:color w:val="auto"/>
        </w:rPr>
        <w:t>The Kulluk has been replaced by the Transocean Polar Pioneer, which is a harsh weather semi-submersible drilling unit.</w:t>
      </w:r>
    </w:p>
    <w:p>
      <w:pPr>
        <w:spacing w:after="0" w:line="1" w:lineRule="exact"/>
        <w:rPr>
          <w:rFonts w:ascii="Arial" w:cs="Arial" w:eastAsia="Arial" w:hAnsi="Arial"/>
          <w:sz w:val="23"/>
          <w:szCs w:val="23"/>
          <w:color w:val="auto"/>
          <w:vertAlign w:val="superscript"/>
        </w:rPr>
      </w:pPr>
    </w:p>
    <w:p>
      <w:pPr>
        <w:ind w:left="180" w:right="60" w:hanging="172"/>
        <w:spacing w:after="0" w:line="182" w:lineRule="auto"/>
        <w:tabs>
          <w:tab w:leader="none" w:pos="180" w:val="left"/>
        </w:tabs>
        <w:numPr>
          <w:ilvl w:val="0"/>
          <w:numId w:val="53"/>
        </w:numPr>
        <w:rPr>
          <w:rFonts w:ascii="Arial" w:cs="Arial" w:eastAsia="Arial" w:hAnsi="Arial"/>
          <w:sz w:val="23"/>
          <w:szCs w:val="23"/>
          <w:color w:val="auto"/>
          <w:vertAlign w:val="superscript"/>
        </w:rPr>
      </w:pPr>
      <w:r>
        <w:rPr>
          <w:rFonts w:ascii="Arial" w:cs="Arial" w:eastAsia="Arial" w:hAnsi="Arial"/>
          <w:sz w:val="14"/>
          <w:szCs w:val="14"/>
          <w:color w:val="auto"/>
        </w:rPr>
        <w:t>Modifications and subsequent sea trials have been conducted on the Aiviq (towing vessel).</w:t>
      </w:r>
    </w:p>
    <w:p>
      <w:pPr>
        <w:spacing w:after="0" w:line="1" w:lineRule="exact"/>
        <w:rPr>
          <w:rFonts w:ascii="Arial" w:cs="Arial" w:eastAsia="Arial" w:hAnsi="Arial"/>
          <w:sz w:val="23"/>
          <w:szCs w:val="23"/>
          <w:color w:val="auto"/>
          <w:vertAlign w:val="superscript"/>
        </w:rPr>
      </w:pPr>
    </w:p>
    <w:p>
      <w:pPr>
        <w:ind w:left="180" w:right="120" w:hanging="172"/>
        <w:spacing w:after="0" w:line="182" w:lineRule="auto"/>
        <w:tabs>
          <w:tab w:leader="none" w:pos="180" w:val="left"/>
        </w:tabs>
        <w:numPr>
          <w:ilvl w:val="0"/>
          <w:numId w:val="53"/>
        </w:numPr>
        <w:rPr>
          <w:rFonts w:ascii="Arial" w:cs="Arial" w:eastAsia="Arial" w:hAnsi="Arial"/>
          <w:sz w:val="23"/>
          <w:szCs w:val="23"/>
          <w:color w:val="auto"/>
          <w:vertAlign w:val="superscript"/>
        </w:rPr>
      </w:pPr>
      <w:r>
        <w:rPr>
          <w:rFonts w:ascii="Arial" w:cs="Arial" w:eastAsia="Arial" w:hAnsi="Arial"/>
          <w:sz w:val="14"/>
          <w:szCs w:val="14"/>
          <w:color w:val="auto"/>
        </w:rPr>
        <w:t>Additional ships have been contracted to provide increased backup in operational support.</w:t>
      </w:r>
    </w:p>
    <w:p>
      <w:pPr>
        <w:spacing w:after="0" w:line="1" w:lineRule="exact"/>
        <w:rPr>
          <w:rFonts w:ascii="Arial" w:cs="Arial" w:eastAsia="Arial" w:hAnsi="Arial"/>
          <w:sz w:val="23"/>
          <w:szCs w:val="23"/>
          <w:color w:val="auto"/>
          <w:vertAlign w:val="superscript"/>
        </w:rPr>
      </w:pPr>
    </w:p>
    <w:p>
      <w:pPr>
        <w:ind w:left="180" w:right="40" w:hanging="172"/>
        <w:spacing w:after="0" w:line="182" w:lineRule="auto"/>
        <w:tabs>
          <w:tab w:leader="none" w:pos="180" w:val="left"/>
        </w:tabs>
        <w:numPr>
          <w:ilvl w:val="0"/>
          <w:numId w:val="53"/>
        </w:numPr>
        <w:rPr>
          <w:rFonts w:ascii="Arial" w:cs="Arial" w:eastAsia="Arial" w:hAnsi="Arial"/>
          <w:sz w:val="23"/>
          <w:szCs w:val="23"/>
          <w:color w:val="auto"/>
          <w:vertAlign w:val="superscript"/>
        </w:rPr>
      </w:pPr>
      <w:r>
        <w:rPr>
          <w:rFonts w:ascii="Arial" w:cs="Arial" w:eastAsia="Arial" w:hAnsi="Arial"/>
          <w:sz w:val="14"/>
          <w:szCs w:val="14"/>
          <w:color w:val="auto"/>
        </w:rPr>
        <w:t>An additional helicopter will be contracted to support aviation activities and provide further backup for air operations.</w:t>
      </w:r>
    </w:p>
    <w:p>
      <w:pPr>
        <w:spacing w:after="0" w:line="1" w:lineRule="exact"/>
        <w:rPr>
          <w:rFonts w:ascii="Arial" w:cs="Arial" w:eastAsia="Arial" w:hAnsi="Arial"/>
          <w:sz w:val="23"/>
          <w:szCs w:val="23"/>
          <w:color w:val="auto"/>
          <w:vertAlign w:val="superscript"/>
        </w:rPr>
      </w:pPr>
    </w:p>
    <w:p>
      <w:pPr>
        <w:ind w:left="180" w:right="100" w:hanging="172"/>
        <w:spacing w:after="0" w:line="208" w:lineRule="auto"/>
        <w:tabs>
          <w:tab w:leader="none" w:pos="180" w:val="left"/>
        </w:tabs>
        <w:numPr>
          <w:ilvl w:val="0"/>
          <w:numId w:val="53"/>
        </w:numPr>
        <w:rPr>
          <w:rFonts w:ascii="Arial" w:cs="Arial" w:eastAsia="Arial" w:hAnsi="Arial"/>
          <w:sz w:val="24"/>
          <w:szCs w:val="24"/>
          <w:color w:val="auto"/>
          <w:vertAlign w:val="superscript"/>
        </w:rPr>
      </w:pPr>
      <w:r>
        <w:rPr>
          <w:rFonts w:ascii="Arial" w:cs="Arial" w:eastAsia="Arial" w:hAnsi="Arial"/>
          <w:sz w:val="14"/>
          <w:szCs w:val="14"/>
          <w:color w:val="auto"/>
        </w:rPr>
        <w:t>Global guidelines for wet towing of MODUs have been developed. They include processes and procedures for towing MODUs including in harsh weather environments. Shell has shared these guidelines with the US Coast Guard towing task force referenced in the report.</w:t>
      </w:r>
    </w:p>
    <w:p>
      <w:pPr>
        <w:spacing w:after="0" w:line="166" w:lineRule="exact"/>
        <w:rPr>
          <w:sz w:val="20"/>
          <w:szCs w:val="20"/>
          <w:color w:val="auto"/>
        </w:rPr>
      </w:pPr>
    </w:p>
    <w:p>
      <w:pPr>
        <w:ind w:right="380"/>
        <w:spacing w:after="0" w:line="258" w:lineRule="auto"/>
        <w:rPr>
          <w:sz w:val="20"/>
          <w:szCs w:val="20"/>
          <w:color w:val="auto"/>
        </w:rPr>
      </w:pPr>
      <w:r>
        <w:rPr>
          <w:rFonts w:ascii="Arial" w:cs="Arial" w:eastAsia="Arial" w:hAnsi="Arial"/>
          <w:sz w:val="14"/>
          <w:szCs w:val="14"/>
          <w:color w:val="auto"/>
        </w:rPr>
        <w:t>We have strengthened our contractor management and Arctic organisation and, together with the contractors, improved our planning and processes.</w:t>
      </w:r>
    </w:p>
    <w:p>
      <w:pPr>
        <w:spacing w:after="0" w:line="154" w:lineRule="exact"/>
        <w:rPr>
          <w:sz w:val="20"/>
          <w:szCs w:val="20"/>
          <w:color w:val="auto"/>
        </w:rPr>
      </w:pPr>
    </w:p>
    <w:p>
      <w:pPr>
        <w:spacing w:after="0" w:line="243" w:lineRule="auto"/>
        <w:rPr>
          <w:sz w:val="20"/>
          <w:szCs w:val="20"/>
          <w:color w:val="auto"/>
        </w:rPr>
      </w:pPr>
      <w:r>
        <w:rPr>
          <w:rFonts w:ascii="Arial" w:cs="Arial" w:eastAsia="Arial" w:hAnsi="Arial"/>
          <w:sz w:val="14"/>
          <w:szCs w:val="14"/>
          <w:color w:val="auto"/>
        </w:rPr>
        <w:t>To prepare for drilling off the coast of Alaska, we have developed a well intervention and oil spill response capability that includes capping and oil spill response vessels. The Arctic Containment System has been modified since 2012 and is expected to be available for the 2015 drilling season. Improvements have also been made to emergency response assets and additional equipment has been purchased to enhance response capabilities based on the lessons learned during the 2012 season. Maintenance and inventory of critical spare parts for the oil spill response equipment have been enhanced by utilising a dedicated maintenance and storage facility in Anchorage. We have a range of equipment and vessels necessary to respond to a spill 24 hours a day in case a spill happens during our exploration season in Alaska in 2015.</w:t>
      </w:r>
    </w:p>
    <w:p>
      <w:pPr>
        <w:spacing w:after="0" w:line="336" w:lineRule="exact"/>
        <w:rPr>
          <w:sz w:val="20"/>
          <w:szCs w:val="20"/>
          <w:color w:val="auto"/>
        </w:rPr>
      </w:pPr>
    </w:p>
    <w:p>
      <w:pPr>
        <w:spacing w:after="0"/>
        <w:rPr>
          <w:sz w:val="20"/>
          <w:szCs w:val="20"/>
          <w:color w:val="auto"/>
        </w:rPr>
      </w:pPr>
      <w:r>
        <w:rPr>
          <w:rFonts w:ascii="Arial" w:cs="Arial" w:eastAsia="Arial" w:hAnsi="Arial"/>
          <w:sz w:val="18"/>
          <w:szCs w:val="18"/>
          <w:color w:val="auto"/>
        </w:rPr>
        <w:t>WATER</w:t>
      </w:r>
    </w:p>
    <w:p>
      <w:pPr>
        <w:spacing w:after="0" w:line="1" w:lineRule="exact"/>
        <w:rPr>
          <w:sz w:val="20"/>
          <w:szCs w:val="20"/>
          <w:color w:val="auto"/>
        </w:rPr>
      </w:pPr>
    </w:p>
    <w:p>
      <w:pPr>
        <w:ind w:right="20"/>
        <w:spacing w:after="0" w:line="247" w:lineRule="auto"/>
        <w:rPr>
          <w:sz w:val="20"/>
          <w:szCs w:val="20"/>
          <w:color w:val="auto"/>
        </w:rPr>
      </w:pPr>
      <w:r>
        <w:rPr>
          <w:rFonts w:ascii="Arial" w:cs="Arial" w:eastAsia="Arial" w:hAnsi="Arial"/>
          <w:sz w:val="14"/>
          <w:szCs w:val="14"/>
          <w:color w:val="auto"/>
        </w:rPr>
        <w:t>Fresh water availability and water management are increasingly important strategic business issues for Shell and the energy industry in general, bringing both challenges and opportunities. Global demand for fresh water is growing while access to fresh water is becoming more constrained in some parts of the world.</w:t>
      </w:r>
    </w:p>
    <w:p>
      <w:pPr>
        <w:spacing w:after="0" w:line="161" w:lineRule="exact"/>
        <w:rPr>
          <w:sz w:val="20"/>
          <w:szCs w:val="20"/>
          <w:color w:val="auto"/>
        </w:rPr>
      </w:pPr>
    </w:p>
    <w:p>
      <w:pPr>
        <w:spacing w:after="0" w:line="243" w:lineRule="auto"/>
        <w:rPr>
          <w:sz w:val="20"/>
          <w:szCs w:val="20"/>
          <w:color w:val="auto"/>
        </w:rPr>
      </w:pPr>
      <w:r>
        <w:rPr>
          <w:rFonts w:ascii="Arial" w:cs="Arial" w:eastAsia="Arial" w:hAnsi="Arial"/>
          <w:sz w:val="14"/>
          <w:szCs w:val="14"/>
          <w:color w:val="auto"/>
        </w:rPr>
        <w:t>Shell’s water use may expand in the future with the further development of shale oil and gas, oil sands and our biofuel business. A combination of increasing demand for water resources, growing stakeholder expectations and concerns, and water-related legislation may drive actions that affect our ability to secure access to fresh water and to discharge water from our operations. Although the availability of fresh water is a global issue, water constraints are mainly local, requiring local solutions. In areas of water scarcity, we develop water management action plans and design our operations to minimise their water use.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spacing w:after="0" w:line="1" w:lineRule="exact"/>
        <w:rPr>
          <w:sz w:val="1"/>
          <w:szCs w:val="1"/>
          <w:color w:val="auto"/>
        </w:rPr>
      </w:pPr>
    </w:p>
    <w:tbl>
      <w:tblPr>
        <w:tblLayout w:type="fixed"/>
        <w:tblInd w:w="740" w:type="dxa"/>
        <w:tblCellMar>
          <w:top w:w="0" w:type="dxa"/>
          <w:left w:w="0" w:type="dxa"/>
          <w:bottom w:w="0" w:type="dxa"/>
          <w:right w:w="0" w:type="dxa"/>
        </w:tblCellMar>
      </w:tblPr>
      <w:tr>
        <w:trPr>
          <w:trHeight w:val="161"/>
        </w:trPr>
        <w:tc>
          <w:tcPr>
            <w:tcW w:w="2760" w:type="dxa"/>
            <w:vAlign w:val="bottom"/>
          </w:tcPr>
          <w:p>
            <w:pPr>
              <w:spacing w:after="0"/>
              <w:rPr>
                <w:sz w:val="20"/>
                <w:szCs w:val="20"/>
                <w:color w:val="auto"/>
              </w:rPr>
            </w:pPr>
            <w:r>
              <w:rPr>
                <w:rFonts w:ascii="Arial" w:cs="Arial" w:eastAsia="Arial" w:hAnsi="Arial"/>
                <w:sz w:val="13"/>
                <w:szCs w:val="13"/>
                <w:color w:val="333333"/>
              </w:rPr>
              <w:t>STRATEGIC REPORT</w:t>
            </w:r>
          </w:p>
        </w:tc>
        <w:tc>
          <w:tcPr>
            <w:tcW w:w="1640" w:type="dxa"/>
            <w:vAlign w:val="bottom"/>
          </w:tcPr>
          <w:p>
            <w:pPr>
              <w:jc w:val="right"/>
              <w:spacing w:after="0"/>
              <w:rPr>
                <w:sz w:val="20"/>
                <w:szCs w:val="20"/>
                <w:color w:val="auto"/>
              </w:rPr>
            </w:pPr>
            <w:r>
              <w:rPr>
                <w:rFonts w:ascii="Arial" w:cs="Arial" w:eastAsia="Arial" w:hAnsi="Arial"/>
                <w:sz w:val="11"/>
                <w:szCs w:val="11"/>
                <w:b w:val="1"/>
                <w:bCs w:val="1"/>
                <w:color w:val="333333"/>
              </w:rPr>
              <w:t>55</w:t>
            </w:r>
          </w:p>
        </w:tc>
      </w:tr>
    </w:tbl>
    <w:p>
      <w:pPr>
        <w:spacing w:after="0" w:line="161" w:lineRule="exact"/>
        <w:rPr>
          <w:sz w:val="20"/>
          <w:szCs w:val="20"/>
          <w:color w:val="auto"/>
        </w:rPr>
      </w:pPr>
    </w:p>
    <w:p>
      <w:pPr>
        <w:ind w:left="740"/>
        <w:spacing w:after="0"/>
        <w:rPr>
          <w:sz w:val="20"/>
          <w:szCs w:val="20"/>
          <w:color w:val="auto"/>
        </w:rPr>
      </w:pPr>
      <w:r>
        <w:rPr>
          <w:rFonts w:ascii="Arial" w:cs="Arial" w:eastAsia="Arial" w:hAnsi="Arial"/>
          <w:sz w:val="11"/>
          <w:szCs w:val="11"/>
          <w:color w:val="auto"/>
        </w:rPr>
        <w:t>ENVIRONMENT AND SOCIETY</w:t>
      </w:r>
    </w:p>
    <w:p>
      <w:pPr>
        <w:spacing w:after="0" w:line="57" w:lineRule="exact"/>
        <w:rPr>
          <w:sz w:val="20"/>
          <w:szCs w:val="20"/>
          <w:color w:val="auto"/>
        </w:rPr>
      </w:pPr>
    </w:p>
    <w:p>
      <w:pPr>
        <w:ind w:right="120"/>
        <w:spacing w:after="0" w:line="247" w:lineRule="auto"/>
        <w:rPr>
          <w:sz w:val="20"/>
          <w:szCs w:val="20"/>
          <w:color w:val="auto"/>
        </w:rPr>
      </w:pPr>
      <w:r>
        <w:rPr>
          <w:rFonts w:ascii="Arial" w:cs="Arial" w:eastAsia="Arial" w:hAnsi="Arial"/>
          <w:sz w:val="14"/>
          <w:szCs w:val="14"/>
          <w:color w:val="auto"/>
        </w:rPr>
        <w:t>For example, at Groundbirch, a tight-gas asset in Canada, we are recycling approximately 75% of the water produced. We also jointly commissioned a recycling water treatment plant with the Canadian City of Dawson Creek. The plant treats sewage wastewater for use by Shell and the community.</w:t>
      </w:r>
    </w:p>
    <w:p>
      <w:pPr>
        <w:spacing w:after="0" w:line="175" w:lineRule="exact"/>
        <w:rPr>
          <w:sz w:val="20"/>
          <w:szCs w:val="20"/>
          <w:color w:val="auto"/>
        </w:rPr>
      </w:pPr>
    </w:p>
    <w:p>
      <w:pPr>
        <w:spacing w:after="0" w:line="245" w:lineRule="auto"/>
        <w:rPr>
          <w:sz w:val="20"/>
          <w:szCs w:val="20"/>
          <w:color w:val="auto"/>
        </w:rPr>
      </w:pPr>
      <w:r>
        <w:rPr>
          <w:rFonts w:ascii="Arial" w:cs="Arial" w:eastAsia="Arial" w:hAnsi="Arial"/>
          <w:sz w:val="14"/>
          <w:szCs w:val="14"/>
          <w:color w:val="auto"/>
        </w:rPr>
        <w:t>At our oil sands operations in Canada, we use far less than our water allocation from the Athabasca River and we seek to minimise the amount withdrawn during the winter months when the flow rate is low. We also reduce the amount of fresh water needed in operations by recycling water from the tailings ponds. About 75% of the water we use is recycled and we are investigating new ways to further reduce fresh water intake.</w:t>
      </w:r>
    </w:p>
    <w:p>
      <w:pPr>
        <w:spacing w:after="0" w:line="326" w:lineRule="exact"/>
        <w:rPr>
          <w:sz w:val="20"/>
          <w:szCs w:val="20"/>
          <w:color w:val="auto"/>
        </w:rPr>
      </w:pPr>
    </w:p>
    <w:p>
      <w:pPr>
        <w:jc w:val="both"/>
        <w:ind w:right="220"/>
        <w:spacing w:after="0" w:line="258" w:lineRule="auto"/>
        <w:rPr>
          <w:sz w:val="20"/>
          <w:szCs w:val="20"/>
          <w:color w:val="auto"/>
        </w:rPr>
      </w:pPr>
      <w:r>
        <w:rPr>
          <w:rFonts w:ascii="Arial" w:cs="Arial" w:eastAsia="Arial" w:hAnsi="Arial"/>
          <w:sz w:val="14"/>
          <w:szCs w:val="14"/>
          <w:color w:val="auto"/>
        </w:rPr>
        <w:t>Water is needed to produce ethanol and our biofuel joint venture Raízen has been introducing a system that recycles 90% of the water used in the industrial process.</w:t>
      </w:r>
    </w:p>
    <w:p>
      <w:pPr>
        <w:spacing w:after="0" w:line="154" w:lineRule="exact"/>
        <w:rPr>
          <w:sz w:val="20"/>
          <w:szCs w:val="20"/>
          <w:color w:val="auto"/>
        </w:rPr>
      </w:pPr>
    </w:p>
    <w:p>
      <w:pPr>
        <w:ind w:right="180"/>
        <w:spacing w:after="0" w:line="250" w:lineRule="auto"/>
        <w:rPr>
          <w:sz w:val="20"/>
          <w:szCs w:val="20"/>
          <w:color w:val="auto"/>
        </w:rPr>
      </w:pPr>
      <w:r>
        <w:rPr>
          <w:rFonts w:ascii="Arial" w:cs="Arial" w:eastAsia="Arial" w:hAnsi="Arial"/>
          <w:sz w:val="14"/>
          <w:szCs w:val="14"/>
          <w:color w:val="auto"/>
        </w:rPr>
        <w:t>Our Pearl GTL plant in Qatar does not take fresh water from its arid surroundings. The water produced in the GTL manufacturing process is recycled in the operation, fulfilling all the water needs of the plant.</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BIOFUELS</w:t>
      </w:r>
    </w:p>
    <w:p>
      <w:pPr>
        <w:spacing w:after="0" w:line="1" w:lineRule="exact"/>
        <w:rPr>
          <w:sz w:val="20"/>
          <w:szCs w:val="20"/>
          <w:color w:val="auto"/>
        </w:rPr>
      </w:pPr>
    </w:p>
    <w:p>
      <w:pPr>
        <w:ind w:right="120"/>
        <w:spacing w:after="0" w:line="244" w:lineRule="auto"/>
        <w:rPr>
          <w:sz w:val="20"/>
          <w:szCs w:val="20"/>
          <w:color w:val="auto"/>
        </w:rPr>
      </w:pPr>
      <w:r>
        <w:rPr>
          <w:rFonts w:ascii="Arial" w:cs="Arial" w:eastAsia="Arial" w:hAnsi="Arial"/>
          <w:sz w:val="14"/>
          <w:szCs w:val="14"/>
          <w:color w:val="auto"/>
        </w:rPr>
        <w:t>The international market for biofuels is growing, driven largely by the introduction of new energy policies in Europe and the USA that call for more renewable, lower-carbon fuels for transport. Shell predicts that biofuels will increase from 3% of the global transport fuel mix today to around 10% by 2050. According to the IEA, sustainable biofuels are expected to play an increasingly important role in helping to meet our customers’ fuel needs and reduce CO</w:t>
      </w:r>
      <w:r>
        <w:rPr>
          <w:rFonts w:ascii="Arial" w:cs="Arial" w:eastAsia="Arial" w:hAnsi="Arial"/>
          <w:sz w:val="12"/>
          <w:szCs w:val="12"/>
          <w:color w:val="auto"/>
        </w:rPr>
        <w:t>2</w:t>
      </w:r>
      <w:r>
        <w:rPr>
          <w:rFonts w:ascii="Arial" w:cs="Arial" w:eastAsia="Arial" w:hAnsi="Arial"/>
          <w:sz w:val="14"/>
          <w:szCs w:val="14"/>
          <w:color w:val="auto"/>
        </w:rPr>
        <w:t xml:space="preserve"> emissions.</w:t>
      </w:r>
    </w:p>
    <w:p>
      <w:pPr>
        <w:spacing w:after="0" w:line="166" w:lineRule="exact"/>
        <w:rPr>
          <w:sz w:val="20"/>
          <w:szCs w:val="20"/>
          <w:color w:val="auto"/>
        </w:rPr>
      </w:pPr>
    </w:p>
    <w:p>
      <w:pPr>
        <w:ind w:right="60"/>
        <w:spacing w:after="0" w:line="247" w:lineRule="auto"/>
        <w:rPr>
          <w:sz w:val="20"/>
          <w:szCs w:val="20"/>
          <w:color w:val="auto"/>
        </w:rPr>
      </w:pPr>
      <w:r>
        <w:rPr>
          <w:rFonts w:ascii="Arial" w:cs="Arial" w:eastAsia="Arial" w:hAnsi="Arial"/>
          <w:sz w:val="14"/>
          <w:szCs w:val="14"/>
          <w:color w:val="auto"/>
        </w:rPr>
        <w:t>From cultivation to use, some biofuels emit significantly less CO</w:t>
      </w:r>
      <w:r>
        <w:rPr>
          <w:rFonts w:ascii="Arial" w:cs="Arial" w:eastAsia="Arial" w:hAnsi="Arial"/>
          <w:sz w:val="12"/>
          <w:szCs w:val="12"/>
          <w:color w:val="auto"/>
        </w:rPr>
        <w:t>2</w:t>
      </w:r>
      <w:r>
        <w:rPr>
          <w:rFonts w:ascii="Arial" w:cs="Arial" w:eastAsia="Arial" w:hAnsi="Arial"/>
          <w:sz w:val="14"/>
          <w:szCs w:val="14"/>
          <w:color w:val="auto"/>
        </w:rPr>
        <w:t xml:space="preserve"> compared with conventional gasoline. But this depends on several factors, such as how the raw materials are produced. Other challenges include concerns over land competing with food crops, labour rights, and the water used in the production process.</w:t>
      </w:r>
    </w:p>
    <w:p>
      <w:pPr>
        <w:spacing w:after="0" w:line="161" w:lineRule="exact"/>
        <w:rPr>
          <w:sz w:val="20"/>
          <w:szCs w:val="20"/>
          <w:color w:val="auto"/>
        </w:rPr>
      </w:pPr>
    </w:p>
    <w:p>
      <w:pPr>
        <w:ind w:right="100"/>
        <w:spacing w:after="0" w:line="244" w:lineRule="auto"/>
        <w:rPr>
          <w:sz w:val="20"/>
          <w:szCs w:val="20"/>
          <w:color w:val="auto"/>
        </w:rPr>
      </w:pPr>
      <w:r>
        <w:rPr>
          <w:rFonts w:ascii="Arial" w:cs="Arial" w:eastAsia="Arial" w:hAnsi="Arial"/>
          <w:sz w:val="14"/>
          <w:szCs w:val="14"/>
          <w:color w:val="auto"/>
        </w:rPr>
        <w:t>In 2014, we used around 9 billion litres of biofuel in our gasoline and diesel blends worldwide, which makes us one of the world’s largest biofuel suppliers. We include our own long-established sustainability clauses in our supply contracts and, where possible, we source biofuels that have been certified against internationally recognised sustainability standards. These clauses are designed to prevent the sourcing of biofuels from suppliers that may not abide by human rights guidelines, or that may have cleared land rich in biodiversity.</w:t>
      </w:r>
    </w:p>
    <w:p>
      <w:pPr>
        <w:spacing w:after="0" w:line="178" w:lineRule="exact"/>
        <w:rPr>
          <w:sz w:val="20"/>
          <w:szCs w:val="20"/>
          <w:color w:val="auto"/>
        </w:rPr>
      </w:pPr>
    </w:p>
    <w:p>
      <w:pPr>
        <w:ind w:right="20"/>
        <w:spacing w:after="0" w:line="245" w:lineRule="auto"/>
        <w:rPr>
          <w:sz w:val="20"/>
          <w:szCs w:val="20"/>
          <w:color w:val="auto"/>
        </w:rPr>
      </w:pPr>
      <w:r>
        <w:rPr>
          <w:rFonts w:ascii="Arial" w:cs="Arial" w:eastAsia="Arial" w:hAnsi="Arial"/>
          <w:sz w:val="14"/>
          <w:szCs w:val="14"/>
          <w:color w:val="auto"/>
        </w:rPr>
        <w:t>We are also developing our own capabilities to produce sustainable biofuel components. The Raízen joint venture produces approximately 2 billion litres annually of ethanol from sugar cane in Brazil – the most sustainable and cost competitive of today’s biofuels. This ethanol can reduce CO</w:t>
      </w:r>
      <w:r>
        <w:rPr>
          <w:rFonts w:ascii="Arial" w:cs="Arial" w:eastAsia="Arial" w:hAnsi="Arial"/>
          <w:sz w:val="12"/>
          <w:szCs w:val="12"/>
          <w:color w:val="auto"/>
        </w:rPr>
        <w:t>2</w:t>
      </w:r>
      <w:r>
        <w:rPr>
          <w:rFonts w:ascii="Arial" w:cs="Arial" w:eastAsia="Arial" w:hAnsi="Arial"/>
          <w:sz w:val="14"/>
          <w:szCs w:val="14"/>
          <w:color w:val="auto"/>
        </w:rPr>
        <w:t xml:space="preserve"> emissions by around 70% compared with gasoline, from cultivation of the sugar cane to using the ethanol as fuel.</w:t>
      </w:r>
    </w:p>
    <w:p>
      <w:pPr>
        <w:spacing w:after="0" w:line="164" w:lineRule="exact"/>
        <w:rPr>
          <w:sz w:val="20"/>
          <w:szCs w:val="20"/>
          <w:color w:val="auto"/>
        </w:rPr>
      </w:pPr>
    </w:p>
    <w:p>
      <w:pPr>
        <w:ind w:right="80"/>
        <w:spacing w:after="0" w:line="247" w:lineRule="auto"/>
        <w:rPr>
          <w:sz w:val="20"/>
          <w:szCs w:val="20"/>
          <w:color w:val="auto"/>
        </w:rPr>
      </w:pPr>
      <w:r>
        <w:rPr>
          <w:rFonts w:ascii="Arial" w:cs="Arial" w:eastAsia="Arial" w:hAnsi="Arial"/>
          <w:sz w:val="14"/>
          <w:szCs w:val="14"/>
          <w:color w:val="auto"/>
        </w:rPr>
        <w:t>The joint-venture agreement includes developing joint sustainability principles, standards and operating procedures that also apply to third-party suppliers. We also continue to work with industry, governments and voluntary organisations towards the development of global sustainability standards for biofuels.</w:t>
      </w:r>
    </w:p>
    <w:p>
      <w:pPr>
        <w:spacing w:after="0" w:line="161" w:lineRule="exact"/>
        <w:rPr>
          <w:sz w:val="20"/>
          <w:szCs w:val="20"/>
          <w:color w:val="auto"/>
        </w:rPr>
      </w:pPr>
    </w:p>
    <w:p>
      <w:pPr>
        <w:ind w:right="20"/>
        <w:spacing w:after="0" w:line="244" w:lineRule="auto"/>
        <w:rPr>
          <w:sz w:val="20"/>
          <w:szCs w:val="20"/>
          <w:color w:val="auto"/>
        </w:rPr>
      </w:pPr>
      <w:r>
        <w:rPr>
          <w:rFonts w:ascii="Arial" w:cs="Arial" w:eastAsia="Arial" w:hAnsi="Arial"/>
          <w:sz w:val="14"/>
          <w:szCs w:val="14"/>
          <w:color w:val="auto"/>
        </w:rPr>
        <w:t>We continue to invest in developing more advanced biofuels for the future. For example, in 2014 Raízen completed the construction of a commercial-scale pilot plant to produce second-generation bioethanol. This cellulosic ethanol will be generated from sugar cane by-product and therefore will have less impact on food and feed prices. Government support will be required to accelerate the speed of advanced biofuels development.</w:t>
      </w:r>
    </w:p>
    <w:p>
      <w:pPr>
        <w:sectPr>
          <w:pgSz w:w="11900" w:h="16838" w:orient="portrait"/>
          <w:cols w:equalWidth="0" w:num="2">
            <w:col w:w="5460" w:space="320"/>
            <w:col w:w="5460"/>
          </w:cols>
          <w:pgMar w:left="240" w:top="459" w:right="419" w:bottom="1440" w:gutter="0" w:footer="0" w:header="0"/>
          <w:type w:val="continuous"/>
        </w:sectPr>
      </w:pPr>
    </w:p>
    <w:bookmarkStart w:id="57" w:name="page58"/>
    <w:bookmarkEnd w:id="5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300355</wp:posOffset>
            </wp:positionV>
            <wp:extent cx="3490595" cy="46291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3490595" cy="462915"/>
                    </a:xfrm>
                    <a:prstGeom prst="rect">
                      <a:avLst/>
                    </a:prstGeom>
                    <a:noFill/>
                  </pic:spPr>
                </pic:pic>
              </a:graphicData>
            </a:graphic>
          </wp:anchor>
        </w:drawing>
      </w:r>
    </w:p>
    <w:p>
      <w:pPr>
        <w:spacing w:after="0" w:line="200" w:lineRule="exact"/>
        <w:rPr>
          <w:sz w:val="20"/>
          <w:szCs w:val="20"/>
          <w:color w:val="auto"/>
        </w:rPr>
      </w:pP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419"/>
        </w:trPr>
        <w:tc>
          <w:tcPr>
            <w:tcW w:w="1920" w:type="dxa"/>
            <w:vAlign w:val="bottom"/>
            <w:shd w:val="clear" w:color="auto" w:fill="FF8B00"/>
          </w:tcPr>
          <w:p>
            <w:pPr>
              <w:spacing w:after="0"/>
              <w:rPr>
                <w:sz w:val="24"/>
                <w:szCs w:val="24"/>
                <w:color w:val="auto"/>
              </w:rPr>
            </w:pPr>
          </w:p>
        </w:tc>
        <w:tc>
          <w:tcPr>
            <w:tcW w:w="3580" w:type="dxa"/>
            <w:vAlign w:val="bottom"/>
            <w:shd w:val="clear" w:color="auto" w:fill="FF8B00"/>
          </w:tcPr>
          <w:p>
            <w:pPr>
              <w:spacing w:after="0"/>
              <w:rPr>
                <w:sz w:val="24"/>
                <w:szCs w:val="24"/>
                <w:color w:val="auto"/>
              </w:rPr>
            </w:pPr>
          </w:p>
        </w:tc>
      </w:tr>
      <w:tr>
        <w:trPr>
          <w:trHeight w:val="152"/>
        </w:trPr>
        <w:tc>
          <w:tcPr>
            <w:tcW w:w="1920" w:type="dxa"/>
            <w:vAlign w:val="bottom"/>
          </w:tcPr>
          <w:p>
            <w:pPr>
              <w:jc w:val="right"/>
              <w:ind w:right="1486"/>
              <w:spacing w:after="0"/>
              <w:rPr>
                <w:sz w:val="20"/>
                <w:szCs w:val="20"/>
                <w:color w:val="auto"/>
              </w:rPr>
            </w:pPr>
            <w:r>
              <w:rPr>
                <w:rFonts w:ascii="Arial" w:cs="Arial" w:eastAsia="Arial" w:hAnsi="Arial"/>
                <w:sz w:val="11"/>
                <w:szCs w:val="11"/>
                <w:b w:val="1"/>
                <w:bCs w:val="1"/>
                <w:color w:val="333333"/>
              </w:rPr>
              <w:t>56</w:t>
            </w:r>
          </w:p>
        </w:tc>
        <w:tc>
          <w:tcPr>
            <w:tcW w:w="3580" w:type="dxa"/>
            <w:vAlign w:val="bottom"/>
          </w:tcPr>
          <w:p>
            <w:pPr>
              <w:ind w:left="1540"/>
              <w:spacing w:after="0"/>
              <w:rPr>
                <w:sz w:val="20"/>
                <w:szCs w:val="20"/>
                <w:color w:val="auto"/>
              </w:rPr>
            </w:pPr>
            <w:r>
              <w:rPr>
                <w:rFonts w:ascii="Arial" w:cs="Arial" w:eastAsia="Arial" w:hAnsi="Arial"/>
                <w:sz w:val="13"/>
                <w:szCs w:val="13"/>
                <w:color w:val="333333"/>
              </w:rPr>
              <w:t>STRATEGIC REPORT</w:t>
            </w:r>
          </w:p>
        </w:tc>
      </w:tr>
    </w:tbl>
    <w:p>
      <w:pPr>
        <w:spacing w:after="0" w:line="155" w:lineRule="exact"/>
        <w:rPr>
          <w:sz w:val="20"/>
          <w:szCs w:val="20"/>
          <w:color w:val="auto"/>
        </w:rPr>
      </w:pPr>
    </w:p>
    <w:p>
      <w:pPr>
        <w:ind w:left="3160"/>
        <w:spacing w:after="0"/>
        <w:rPr>
          <w:sz w:val="20"/>
          <w:szCs w:val="20"/>
          <w:color w:val="auto"/>
        </w:rPr>
      </w:pPr>
      <w:r>
        <w:rPr>
          <w:rFonts w:ascii="Arial" w:cs="Arial" w:eastAsia="Arial" w:hAnsi="Arial"/>
          <w:sz w:val="11"/>
          <w:szCs w:val="11"/>
          <w:color w:val="auto"/>
        </w:rPr>
        <w:t>ENVIRONMENT AND SOCIETY</w:t>
      </w:r>
    </w:p>
    <w:p>
      <w:pPr>
        <w:spacing w:after="0" w:line="48" w:lineRule="exact"/>
        <w:rPr>
          <w:sz w:val="20"/>
          <w:szCs w:val="20"/>
          <w:color w:val="auto"/>
        </w:rPr>
      </w:pPr>
    </w:p>
    <w:p>
      <w:pPr>
        <w:spacing w:after="0"/>
        <w:rPr>
          <w:sz w:val="20"/>
          <w:szCs w:val="20"/>
          <w:color w:val="auto"/>
        </w:rPr>
      </w:pPr>
      <w:r>
        <w:rPr>
          <w:rFonts w:ascii="Arial" w:cs="Arial" w:eastAsia="Arial" w:hAnsi="Arial"/>
          <w:sz w:val="24"/>
          <w:szCs w:val="24"/>
          <w:color w:val="auto"/>
        </w:rPr>
        <w:t xml:space="preserve">ENVIRONMENT AND SOCIETY </w:t>
      </w:r>
      <w:r>
        <w:rPr>
          <w:rFonts w:ascii="Arial" w:cs="Arial" w:eastAsia="Arial" w:hAnsi="Arial"/>
          <w:sz w:val="24"/>
          <w:szCs w:val="24"/>
          <w:color w:val="666666"/>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3473450" cy="88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ENVIRONMENTAL COSTS</w:t>
      </w:r>
    </w:p>
    <w:p>
      <w:pPr>
        <w:spacing w:after="0" w:line="1" w:lineRule="exact"/>
        <w:rPr>
          <w:sz w:val="20"/>
          <w:szCs w:val="20"/>
          <w:color w:val="auto"/>
        </w:rPr>
      </w:pPr>
    </w:p>
    <w:p>
      <w:pPr>
        <w:ind w:right="400"/>
        <w:spacing w:after="0" w:line="245" w:lineRule="auto"/>
        <w:rPr>
          <w:sz w:val="20"/>
          <w:szCs w:val="20"/>
          <w:color w:val="auto"/>
        </w:rPr>
      </w:pPr>
      <w:r>
        <w:rPr>
          <w:rFonts w:ascii="Arial" w:cs="Arial" w:eastAsia="Arial" w:hAnsi="Arial"/>
          <w:sz w:val="14"/>
          <w:szCs w:val="14"/>
          <w:color w:val="auto"/>
        </w:rPr>
        <w:t>We are subject to a variety of environmental laws, regulations and reporting requirements in the countries where we operate. Infringing any of these laws, regulations and requirements could result in significant costs, including clean-up costs, fines, sanctions and third-party claims, as well as harm our ability to do business and our reputation.</w:t>
      </w:r>
    </w:p>
    <w:p>
      <w:pPr>
        <w:spacing w:after="0" w:line="164" w:lineRule="exact"/>
        <w:rPr>
          <w:sz w:val="20"/>
          <w:szCs w:val="20"/>
          <w:color w:val="auto"/>
        </w:rPr>
      </w:pPr>
    </w:p>
    <w:p>
      <w:pPr>
        <w:ind w:right="500"/>
        <w:spacing w:after="0" w:line="258" w:lineRule="auto"/>
        <w:rPr>
          <w:sz w:val="20"/>
          <w:szCs w:val="20"/>
          <w:color w:val="auto"/>
        </w:rPr>
      </w:pPr>
      <w:r>
        <w:rPr>
          <w:rFonts w:ascii="Arial" w:cs="Arial" w:eastAsia="Arial" w:hAnsi="Arial"/>
          <w:sz w:val="14"/>
          <w:szCs w:val="14"/>
          <w:color w:val="auto"/>
        </w:rPr>
        <w:t>Our ongoing operating expenses include the costs of avoiding unauthorised discharges into the air and water, and the safe disposal and handling of waste.</w:t>
      </w:r>
    </w:p>
    <w:p>
      <w:pPr>
        <w:spacing w:after="0" w:line="154" w:lineRule="exact"/>
        <w:rPr>
          <w:sz w:val="20"/>
          <w:szCs w:val="20"/>
          <w:color w:val="auto"/>
        </w:rPr>
      </w:pPr>
    </w:p>
    <w:p>
      <w:pPr>
        <w:ind w:right="20"/>
        <w:spacing w:after="0" w:line="243" w:lineRule="auto"/>
        <w:rPr>
          <w:sz w:val="20"/>
          <w:szCs w:val="20"/>
          <w:color w:val="auto"/>
        </w:rPr>
      </w:pPr>
      <w:r>
        <w:rPr>
          <w:rFonts w:ascii="Arial" w:cs="Arial" w:eastAsia="Arial" w:hAnsi="Arial"/>
          <w:sz w:val="14"/>
          <w:szCs w:val="14"/>
          <w:color w:val="auto"/>
        </w:rPr>
        <w:t>We place a premium on developing effective technologies that are also safe for the environment. However, when operating at the forefront of technology, there is always the possibility that a new technology brings with it environmental impacts that have not been assessed, foreseen or determined to be harmful, when originally implemented. While we believe we take all reasonable precautions to limit these risks, we are subject to additional remedial environmental and litigation costs as a result of our operations’ unknown and unforeseen impacts on the environment. Although these costs have so far not been material to Shell, no assurance can be made that this will always be the case.</w:t>
      </w:r>
    </w:p>
    <w:p>
      <w:pPr>
        <w:spacing w:after="0" w:line="344" w:lineRule="exact"/>
        <w:rPr>
          <w:sz w:val="20"/>
          <w:szCs w:val="20"/>
          <w:color w:val="auto"/>
        </w:rPr>
      </w:pPr>
    </w:p>
    <w:p>
      <w:pPr>
        <w:ind w:right="60"/>
        <w:spacing w:after="0" w:line="243" w:lineRule="auto"/>
        <w:rPr>
          <w:sz w:val="20"/>
          <w:szCs w:val="20"/>
          <w:color w:val="auto"/>
        </w:rPr>
      </w:pPr>
      <w:r>
        <w:rPr>
          <w:rFonts w:ascii="Arial" w:cs="Arial" w:eastAsia="Arial" w:hAnsi="Arial"/>
          <w:sz w:val="14"/>
          <w:szCs w:val="14"/>
          <w:color w:val="auto"/>
        </w:rPr>
        <w:t>In this regard, as oil and gas fields mature, it is possible in certain circumstances for seismic activity to increase based on the unique geology of individual fields. For example, after more than 60 years of developing the Groningen gas field in the Netherlands, seismic activity has increased leading to measurable earth tremors. Our Dutch joint venture Nederlandse Aardolie Maatschappij B.V. (NAM) has followed the production plan approved in 2014 by the Minister of Economic Affairs of the Netherlands. It is working with the government to identify effective responses and will follow any future requirements.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color w:val="auto"/>
        </w:rPr>
        <w:t>NEIGHBOURING COMMUNITIES AND HUMAN RIGHTS</w:t>
      </w:r>
    </w:p>
    <w:p>
      <w:pPr>
        <w:spacing w:after="0" w:line="1" w:lineRule="exact"/>
        <w:rPr>
          <w:sz w:val="20"/>
          <w:szCs w:val="20"/>
          <w:color w:val="auto"/>
        </w:rPr>
      </w:pPr>
    </w:p>
    <w:p>
      <w:pPr>
        <w:jc w:val="both"/>
        <w:ind w:right="80"/>
        <w:spacing w:after="0" w:line="250" w:lineRule="auto"/>
        <w:rPr>
          <w:sz w:val="20"/>
          <w:szCs w:val="20"/>
          <w:color w:val="auto"/>
        </w:rPr>
      </w:pPr>
      <w:r>
        <w:rPr>
          <w:rFonts w:ascii="Arial" w:cs="Arial" w:eastAsia="Arial" w:hAnsi="Arial"/>
          <w:sz w:val="14"/>
          <w:szCs w:val="14"/>
          <w:color w:val="auto"/>
        </w:rPr>
        <w:t>Earning the trust of local communities is essential to the success of our projects and operations. We have global requirements for social performance – how we perform in our relationship with communities.</w:t>
      </w:r>
    </w:p>
    <w:p>
      <w:pPr>
        <w:spacing w:after="0" w:line="159" w:lineRule="exact"/>
        <w:rPr>
          <w:sz w:val="20"/>
          <w:szCs w:val="20"/>
          <w:color w:val="auto"/>
        </w:rPr>
      </w:pPr>
    </w:p>
    <w:p>
      <w:pPr>
        <w:ind w:right="80"/>
        <w:spacing w:after="0" w:line="243" w:lineRule="auto"/>
        <w:rPr>
          <w:sz w:val="20"/>
          <w:szCs w:val="20"/>
          <w:color w:val="auto"/>
        </w:rPr>
      </w:pPr>
      <w:r>
        <w:rPr>
          <w:rFonts w:ascii="Arial" w:cs="Arial" w:eastAsia="Arial" w:hAnsi="Arial"/>
          <w:sz w:val="14"/>
          <w:szCs w:val="14"/>
          <w:color w:val="auto"/>
        </w:rPr>
        <w:t>The requirements set clear rules and expectations for how we engage with and respect communities that may be impacted by our operations. Shell-operated major projects and facilities are required to have a social performance plan and an effective community feedback mechanism. This helps the business to understand the social context in which we plan to operate, identifies potential negative effects on the community and manages impacts. In addition, we have specific requirements intended to minimise our impact on indigenous peoples’ traditional lifestyles and on handling involuntary resettlement.</w:t>
      </w:r>
    </w:p>
    <w:p>
      <w:pPr>
        <w:spacing w:after="0" w:line="182" w:lineRule="exact"/>
        <w:rPr>
          <w:sz w:val="20"/>
          <w:szCs w:val="20"/>
          <w:color w:val="auto"/>
        </w:rPr>
      </w:pPr>
    </w:p>
    <w:p>
      <w:pPr>
        <w:ind w:right="60"/>
        <w:spacing w:after="0" w:line="247" w:lineRule="auto"/>
        <w:rPr>
          <w:sz w:val="20"/>
          <w:szCs w:val="20"/>
          <w:color w:val="auto"/>
        </w:rPr>
      </w:pPr>
      <w:r>
        <w:rPr>
          <w:rFonts w:ascii="Arial" w:cs="Arial" w:eastAsia="Arial" w:hAnsi="Arial"/>
          <w:sz w:val="14"/>
          <w:szCs w:val="14"/>
          <w:color w:val="auto"/>
        </w:rPr>
        <w:t>Shell has long been involved with developments in business and human rights in line with the United Nations’ Guiding Principles on Business and Human Rights. Our Principles and Code of Conduct require our employees and contractors to respect the human rights of fellow workers and communities where we operate.</w:t>
      </w:r>
    </w:p>
    <w:p>
      <w:pPr>
        <w:spacing w:after="0" w:line="161" w:lineRule="exact"/>
        <w:rPr>
          <w:sz w:val="20"/>
          <w:szCs w:val="20"/>
          <w:color w:val="auto"/>
        </w:rPr>
      </w:pPr>
    </w:p>
    <w:p>
      <w:pPr>
        <w:ind w:right="80"/>
        <w:spacing w:after="0" w:line="243" w:lineRule="auto"/>
        <w:rPr>
          <w:sz w:val="20"/>
          <w:szCs w:val="20"/>
          <w:color w:val="auto"/>
        </w:rPr>
      </w:pPr>
      <w:r>
        <w:rPr>
          <w:rFonts w:ascii="Arial" w:cs="Arial" w:eastAsia="Arial" w:hAnsi="Arial"/>
          <w:sz w:val="14"/>
          <w:szCs w:val="14"/>
          <w:color w:val="auto"/>
        </w:rPr>
        <w:t>We have specific policies in place in areas across Shell’s activities where respect for human rights is particularly important to the way we operate, such as communities, labour, procurement and security. We also work with other companies and non-governmental organisations to improve the way we apply these principles. Our approach to human rights helps us operate in a responsible way, delivering projects without delays and minimising the social impacts of our operations. It also enables us to better share the benefits of our activities, such as creating new jobs and contracts that help develop local economies.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right"/>
        <w:spacing w:after="0"/>
        <w:rPr>
          <w:sz w:val="20"/>
          <w:szCs w:val="20"/>
          <w:color w:val="auto"/>
        </w:rPr>
      </w:pPr>
      <w:r>
        <w:rPr>
          <w:rFonts w:ascii="Arial" w:cs="Arial" w:eastAsia="Arial" w:hAnsi="Arial"/>
          <w:sz w:val="11"/>
          <w:szCs w:val="11"/>
          <w:color w:val="auto"/>
        </w:rPr>
        <w:t>SHELL ANNUAL REPORT AND FORM 20-F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-3677285</wp:posOffset>
            </wp:positionH>
            <wp:positionV relativeFrom="paragraph">
              <wp:posOffset>-1175385</wp:posOffset>
            </wp:positionV>
            <wp:extent cx="7289165" cy="3810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spacing w:after="0" w:line="39" w:lineRule="exact"/>
        <w:rPr>
          <w:sz w:val="20"/>
          <w:szCs w:val="20"/>
          <w:color w:val="auto"/>
        </w:rPr>
      </w:pPr>
    </w:p>
    <w:p>
      <w:pPr>
        <w:spacing w:after="0"/>
        <w:rPr>
          <w:sz w:val="20"/>
          <w:szCs w:val="20"/>
          <w:color w:val="auto"/>
        </w:rPr>
      </w:pPr>
      <w:r>
        <w:rPr>
          <w:rFonts w:ascii="Arial" w:cs="Arial" w:eastAsia="Arial" w:hAnsi="Arial"/>
          <w:sz w:val="31"/>
          <w:szCs w:val="31"/>
          <w:color w:val="auto"/>
        </w:rPr>
        <w:t>OUR PEOPLE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1270</wp:posOffset>
            </wp:positionV>
            <wp:extent cx="3473450" cy="88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spacing w:after="0" w:line="189" w:lineRule="exact"/>
        <w:rPr>
          <w:sz w:val="20"/>
          <w:szCs w:val="20"/>
          <w:color w:val="auto"/>
        </w:rPr>
      </w:pPr>
    </w:p>
    <w:p>
      <w:pPr>
        <w:ind w:right="160"/>
        <w:spacing w:after="0" w:line="245" w:lineRule="auto"/>
        <w:rPr>
          <w:sz w:val="20"/>
          <w:szCs w:val="20"/>
          <w:color w:val="auto"/>
        </w:rPr>
      </w:pPr>
      <w:r>
        <w:rPr>
          <w:rFonts w:ascii="Arial" w:cs="Arial" w:eastAsia="Arial" w:hAnsi="Arial"/>
          <w:sz w:val="14"/>
          <w:szCs w:val="14"/>
          <w:color w:val="auto"/>
        </w:rPr>
        <w:t>Our people are central to our aim of being the world’s most competitive and innovative energy company. We recruit, train and recompense according to a people strategy based on three priorities: resourcing and developing talent now and in the future; strengthening leadership and professionalism; and enhancing individual and organisational performance.</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color w:val="auto"/>
        </w:rPr>
        <w:t>EMPLOYEE OVERVIEW</w:t>
      </w:r>
    </w:p>
    <w:p>
      <w:pPr>
        <w:spacing w:after="0" w:line="1" w:lineRule="exact"/>
        <w:rPr>
          <w:sz w:val="20"/>
          <w:szCs w:val="20"/>
          <w:color w:val="auto"/>
        </w:rPr>
      </w:pPr>
    </w:p>
    <w:p>
      <w:pPr>
        <w:ind w:right="220"/>
        <w:spacing w:after="0" w:line="244" w:lineRule="auto"/>
        <w:rPr>
          <w:sz w:val="20"/>
          <w:szCs w:val="20"/>
          <w:color w:val="auto"/>
        </w:rPr>
      </w:pPr>
      <w:r>
        <w:rPr>
          <w:rFonts w:ascii="Arial" w:cs="Arial" w:eastAsia="Arial" w:hAnsi="Arial"/>
          <w:sz w:val="14"/>
          <w:szCs w:val="14"/>
          <w:color w:val="auto"/>
        </w:rPr>
        <w:t>In 2014, Shell employed an average of 94,000 people in more than 70 countries. We continued to recruit externally to execute our strategy and growth plans for the future, hiring about 1,200 graduates and 2,000 experienced professionals. The majority of each came from technical disciplines. More than 30% of our graduate recruits came from universities outside Europe and the Americas in response to increasing demand for skilled people in other regions.</w:t>
      </w:r>
    </w:p>
    <w:p>
      <w:pPr>
        <w:spacing w:after="0" w:line="166" w:lineRule="exact"/>
        <w:rPr>
          <w:sz w:val="20"/>
          <w:szCs w:val="20"/>
          <w:color w:val="auto"/>
        </w:rPr>
      </w:pPr>
    </w:p>
    <w:p>
      <w:pPr>
        <w:ind w:right="300"/>
        <w:spacing w:after="0" w:line="250" w:lineRule="auto"/>
        <w:rPr>
          <w:sz w:val="20"/>
          <w:szCs w:val="20"/>
          <w:color w:val="auto"/>
        </w:rPr>
      </w:pPr>
      <w:r>
        <w:rPr>
          <w:rFonts w:ascii="Arial" w:cs="Arial" w:eastAsia="Arial" w:hAnsi="Arial"/>
          <w:sz w:val="14"/>
          <w:szCs w:val="14"/>
          <w:color w:val="auto"/>
        </w:rPr>
        <w:t>The table below shows our average employee numbers by geographical area. The increase in 2014 compared with 2013 reflects our continuing growth strategy in Asia and the Americas.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3340" w:type="dxa"/>
            <w:vAlign w:val="bottom"/>
            <w:gridSpan w:val="2"/>
            <w:shd w:val="clear" w:color="auto" w:fill="333333"/>
          </w:tcPr>
          <w:p>
            <w:pPr>
              <w:ind w:left="60"/>
              <w:spacing w:after="0"/>
              <w:rPr>
                <w:sz w:val="20"/>
                <w:szCs w:val="20"/>
                <w:color w:val="auto"/>
              </w:rPr>
            </w:pPr>
            <w:r>
              <w:rPr>
                <w:rFonts w:ascii="Arial" w:cs="Arial" w:eastAsia="Arial" w:hAnsi="Arial"/>
                <w:sz w:val="15"/>
                <w:szCs w:val="15"/>
                <w:b w:val="1"/>
                <w:bCs w:val="1"/>
                <w:color w:val="FFFFFF"/>
              </w:rPr>
              <w:t>EMPLOYEES BY GEOGRAPHICAL AREA</w:t>
            </w:r>
          </w:p>
        </w:tc>
        <w:tc>
          <w:tcPr>
            <w:tcW w:w="500" w:type="dxa"/>
            <w:vAlign w:val="bottom"/>
            <w:shd w:val="clear" w:color="auto" w:fill="333333"/>
          </w:tcPr>
          <w:p>
            <w:pPr>
              <w:spacing w:after="0"/>
              <w:rPr>
                <w:sz w:val="14"/>
                <w:szCs w:val="14"/>
                <w:color w:val="auto"/>
              </w:rPr>
            </w:pPr>
          </w:p>
        </w:tc>
        <w:tc>
          <w:tcPr>
            <w:tcW w:w="980" w:type="dxa"/>
            <w:vAlign w:val="bottom"/>
            <w:shd w:val="clear" w:color="auto" w:fill="333333"/>
          </w:tcPr>
          <w:p>
            <w:pPr>
              <w:spacing w:after="0"/>
              <w:rPr>
                <w:sz w:val="14"/>
                <w:szCs w:val="14"/>
                <w:color w:val="auto"/>
              </w:rPr>
            </w:pPr>
          </w:p>
        </w:tc>
        <w:tc>
          <w:tcPr>
            <w:tcW w:w="660" w:type="dxa"/>
            <w:vAlign w:val="bottom"/>
            <w:shd w:val="clear" w:color="auto" w:fill="333333"/>
          </w:tcPr>
          <w:p>
            <w:pPr>
              <w:spacing w:after="0"/>
              <w:rPr>
                <w:sz w:val="14"/>
                <w:szCs w:val="14"/>
                <w:color w:val="auto"/>
              </w:rPr>
            </w:pPr>
          </w:p>
        </w:tc>
      </w:tr>
      <w:tr>
        <w:trPr>
          <w:trHeight w:val="179"/>
        </w:trPr>
        <w:tc>
          <w:tcPr>
            <w:tcW w:w="3340" w:type="dxa"/>
            <w:vAlign w:val="bottom"/>
            <w:gridSpan w:val="2"/>
            <w:shd w:val="clear" w:color="auto" w:fill="333333"/>
          </w:tcPr>
          <w:p>
            <w:pPr>
              <w:ind w:left="60"/>
              <w:spacing w:after="0"/>
              <w:rPr>
                <w:sz w:val="20"/>
                <w:szCs w:val="20"/>
                <w:color w:val="auto"/>
              </w:rPr>
            </w:pPr>
            <w:r>
              <w:rPr>
                <w:rFonts w:ascii="Arial" w:cs="Arial" w:eastAsia="Arial" w:hAnsi="Arial"/>
                <w:sz w:val="15"/>
                <w:szCs w:val="15"/>
                <w:color w:val="FFFFFF"/>
              </w:rPr>
              <w:t>(AVERAGE NUMBERS)</w:t>
            </w:r>
          </w:p>
        </w:tc>
        <w:tc>
          <w:tcPr>
            <w:tcW w:w="500" w:type="dxa"/>
            <w:vAlign w:val="bottom"/>
            <w:shd w:val="clear" w:color="auto" w:fill="333333"/>
          </w:tcPr>
          <w:p>
            <w:pPr>
              <w:spacing w:after="0"/>
              <w:rPr>
                <w:sz w:val="15"/>
                <w:szCs w:val="15"/>
                <w:color w:val="auto"/>
              </w:rPr>
            </w:pPr>
          </w:p>
        </w:tc>
        <w:tc>
          <w:tcPr>
            <w:tcW w:w="1640" w:type="dxa"/>
            <w:vAlign w:val="bottom"/>
            <w:gridSpan w:val="2"/>
            <w:shd w:val="clear" w:color="auto" w:fill="333333"/>
          </w:tcPr>
          <w:p>
            <w:pPr>
              <w:jc w:val="right"/>
              <w:ind w:right="29"/>
              <w:spacing w:after="0"/>
              <w:rPr>
                <w:sz w:val="20"/>
                <w:szCs w:val="20"/>
                <w:color w:val="auto"/>
              </w:rPr>
            </w:pPr>
            <w:r>
              <w:rPr>
                <w:rFonts w:ascii="Arial" w:cs="Arial" w:eastAsia="Arial" w:hAnsi="Arial"/>
                <w:sz w:val="15"/>
                <w:szCs w:val="15"/>
                <w:color w:val="FFFFFF"/>
              </w:rPr>
              <w:t>THOUSAND</w:t>
            </w:r>
          </w:p>
        </w:tc>
      </w:tr>
      <w:tr>
        <w:trPr>
          <w:trHeight w:val="149"/>
        </w:trPr>
        <w:tc>
          <w:tcPr>
            <w:tcW w:w="3000" w:type="dxa"/>
            <w:vAlign w:val="bottom"/>
            <w:tcBorders>
              <w:bottom w:val="single" w:sz="8" w:color="auto"/>
            </w:tcBorders>
          </w:tcPr>
          <w:p>
            <w:pPr>
              <w:spacing w:after="0"/>
              <w:rPr>
                <w:sz w:val="12"/>
                <w:szCs w:val="12"/>
                <w:color w:val="auto"/>
              </w:rPr>
            </w:pPr>
          </w:p>
        </w:tc>
        <w:tc>
          <w:tcPr>
            <w:tcW w:w="340" w:type="dxa"/>
            <w:vAlign w:val="bottom"/>
            <w:tcBorders>
              <w:bottom w:val="single" w:sz="8" w:color="auto"/>
            </w:tcBorders>
            <w:shd w:val="clear" w:color="auto" w:fill="D8D8D8"/>
          </w:tcPr>
          <w:p>
            <w:pPr>
              <w:spacing w:after="0"/>
              <w:rPr>
                <w:sz w:val="12"/>
                <w:szCs w:val="12"/>
                <w:color w:val="auto"/>
              </w:rPr>
            </w:pPr>
          </w:p>
        </w:tc>
        <w:tc>
          <w:tcPr>
            <w:tcW w:w="500" w:type="dxa"/>
            <w:vAlign w:val="bottom"/>
            <w:tcBorders>
              <w:bottom w:val="single" w:sz="8" w:color="auto"/>
            </w:tcBorders>
            <w:shd w:val="clear" w:color="auto" w:fill="D8D8D8"/>
          </w:tcPr>
          <w:p>
            <w:pPr>
              <w:jc w:val="right"/>
              <w:ind w:right="89"/>
              <w:spacing w:after="0"/>
              <w:rPr>
                <w:sz w:val="20"/>
                <w:szCs w:val="20"/>
                <w:color w:val="auto"/>
              </w:rPr>
            </w:pPr>
            <w:r>
              <w:rPr>
                <w:rFonts w:ascii="Arial" w:cs="Arial" w:eastAsia="Arial" w:hAnsi="Arial"/>
                <w:sz w:val="13"/>
                <w:szCs w:val="13"/>
                <w:color w:val="auto"/>
              </w:rPr>
              <w:t>2014</w:t>
            </w:r>
          </w:p>
        </w:tc>
        <w:tc>
          <w:tcPr>
            <w:tcW w:w="980" w:type="dxa"/>
            <w:vAlign w:val="bottom"/>
            <w:tcBorders>
              <w:bottom w:val="single" w:sz="8" w:color="auto"/>
            </w:tcBorders>
          </w:tcPr>
          <w:p>
            <w:pPr>
              <w:jc w:val="right"/>
              <w:ind w:right="209"/>
              <w:spacing w:after="0"/>
              <w:rPr>
                <w:sz w:val="20"/>
                <w:szCs w:val="20"/>
                <w:color w:val="auto"/>
              </w:rPr>
            </w:pPr>
            <w:r>
              <w:rPr>
                <w:rFonts w:ascii="Arial" w:cs="Arial" w:eastAsia="Arial" w:hAnsi="Arial"/>
                <w:sz w:val="13"/>
                <w:szCs w:val="13"/>
                <w:color w:val="auto"/>
              </w:rPr>
              <w:t>2013</w:t>
            </w:r>
          </w:p>
        </w:tc>
        <w:tc>
          <w:tcPr>
            <w:tcW w:w="660" w:type="dxa"/>
            <w:vAlign w:val="bottom"/>
            <w:tcBorders>
              <w:bottom w:val="single" w:sz="8" w:color="auto"/>
            </w:tcBorders>
          </w:tcPr>
          <w:p>
            <w:pPr>
              <w:jc w:val="right"/>
              <w:ind w:right="29"/>
              <w:spacing w:after="0"/>
              <w:rPr>
                <w:sz w:val="20"/>
                <w:szCs w:val="20"/>
                <w:color w:val="auto"/>
              </w:rPr>
            </w:pPr>
            <w:r>
              <w:rPr>
                <w:rFonts w:ascii="Arial" w:cs="Arial" w:eastAsia="Arial" w:hAnsi="Arial"/>
                <w:sz w:val="13"/>
                <w:szCs w:val="13"/>
                <w:color w:val="auto"/>
              </w:rPr>
              <w:t>2012</w:t>
            </w:r>
          </w:p>
        </w:tc>
      </w:tr>
      <w:tr>
        <w:trPr>
          <w:trHeight w:val="156"/>
        </w:trPr>
        <w:tc>
          <w:tcPr>
            <w:tcW w:w="3000" w:type="dxa"/>
            <w:vAlign w:val="bottom"/>
          </w:tcPr>
          <w:p>
            <w:pPr>
              <w:spacing w:after="0" w:line="155" w:lineRule="exact"/>
              <w:rPr>
                <w:sz w:val="20"/>
                <w:szCs w:val="20"/>
                <w:color w:val="auto"/>
              </w:rPr>
            </w:pPr>
            <w:r>
              <w:rPr>
                <w:rFonts w:ascii="Arial" w:cs="Arial" w:eastAsia="Arial" w:hAnsi="Arial"/>
                <w:sz w:val="14"/>
                <w:szCs w:val="14"/>
                <w:color w:val="auto"/>
              </w:rPr>
              <w:t>Europe</w:t>
            </w:r>
          </w:p>
        </w:tc>
        <w:tc>
          <w:tcPr>
            <w:tcW w:w="340" w:type="dxa"/>
            <w:vAlign w:val="bottom"/>
            <w:shd w:val="clear" w:color="auto" w:fill="D8D8D8"/>
          </w:tcPr>
          <w:p>
            <w:pPr>
              <w:spacing w:after="0"/>
              <w:rPr>
                <w:sz w:val="13"/>
                <w:szCs w:val="13"/>
                <w:color w:val="auto"/>
              </w:rPr>
            </w:pPr>
          </w:p>
        </w:tc>
        <w:tc>
          <w:tcPr>
            <w:tcW w:w="500" w:type="dxa"/>
            <w:vAlign w:val="bottom"/>
            <w:shd w:val="clear" w:color="auto" w:fill="D8D8D8"/>
          </w:tcPr>
          <w:p>
            <w:pPr>
              <w:jc w:val="right"/>
              <w:ind w:right="89"/>
              <w:spacing w:after="0" w:line="155" w:lineRule="exact"/>
              <w:rPr>
                <w:sz w:val="20"/>
                <w:szCs w:val="20"/>
                <w:color w:val="auto"/>
              </w:rPr>
            </w:pPr>
            <w:r>
              <w:rPr>
                <w:rFonts w:ascii="Arial" w:cs="Arial" w:eastAsia="Arial" w:hAnsi="Arial"/>
                <w:sz w:val="14"/>
                <w:szCs w:val="14"/>
                <w:color w:val="auto"/>
              </w:rPr>
              <w:t>25</w:t>
            </w:r>
          </w:p>
        </w:tc>
        <w:tc>
          <w:tcPr>
            <w:tcW w:w="980" w:type="dxa"/>
            <w:vAlign w:val="bottom"/>
          </w:tcPr>
          <w:p>
            <w:pPr>
              <w:jc w:val="right"/>
              <w:ind w:right="209"/>
              <w:spacing w:after="0" w:line="155" w:lineRule="exact"/>
              <w:rPr>
                <w:sz w:val="20"/>
                <w:szCs w:val="20"/>
                <w:color w:val="auto"/>
              </w:rPr>
            </w:pPr>
            <w:r>
              <w:rPr>
                <w:rFonts w:ascii="Arial" w:cs="Arial" w:eastAsia="Arial" w:hAnsi="Arial"/>
                <w:sz w:val="14"/>
                <w:szCs w:val="14"/>
                <w:color w:val="auto"/>
              </w:rPr>
              <w:t>25</w:t>
            </w:r>
          </w:p>
        </w:tc>
        <w:tc>
          <w:tcPr>
            <w:tcW w:w="660" w:type="dxa"/>
            <w:vAlign w:val="bottom"/>
          </w:tcPr>
          <w:p>
            <w:pPr>
              <w:jc w:val="right"/>
              <w:ind w:right="29"/>
              <w:spacing w:after="0" w:line="155" w:lineRule="exact"/>
              <w:rPr>
                <w:sz w:val="20"/>
                <w:szCs w:val="20"/>
                <w:color w:val="auto"/>
              </w:rPr>
            </w:pPr>
            <w:r>
              <w:rPr>
                <w:rFonts w:ascii="Arial" w:cs="Arial" w:eastAsia="Arial" w:hAnsi="Arial"/>
                <w:sz w:val="14"/>
                <w:szCs w:val="14"/>
                <w:color w:val="auto"/>
              </w:rPr>
              <w:t>24</w:t>
            </w:r>
          </w:p>
        </w:tc>
      </w:tr>
      <w:tr>
        <w:trPr>
          <w:trHeight w:val="162"/>
        </w:trPr>
        <w:tc>
          <w:tcPr>
            <w:tcW w:w="3000" w:type="dxa"/>
            <w:vAlign w:val="bottom"/>
          </w:tcPr>
          <w:p>
            <w:pPr>
              <w:spacing w:after="0"/>
              <w:rPr>
                <w:sz w:val="20"/>
                <w:szCs w:val="20"/>
                <w:color w:val="auto"/>
              </w:rPr>
            </w:pPr>
            <w:r>
              <w:rPr>
                <w:rFonts w:ascii="Arial" w:cs="Arial" w:eastAsia="Arial" w:hAnsi="Arial"/>
                <w:sz w:val="14"/>
                <w:szCs w:val="14"/>
                <w:color w:val="auto"/>
              </w:rPr>
              <w:t>Asia</w:t>
            </w:r>
          </w:p>
        </w:tc>
        <w:tc>
          <w:tcPr>
            <w:tcW w:w="340" w:type="dxa"/>
            <w:vAlign w:val="bottom"/>
            <w:shd w:val="clear" w:color="auto" w:fill="D8D8D8"/>
          </w:tcPr>
          <w:p>
            <w:pPr>
              <w:spacing w:after="0"/>
              <w:rPr>
                <w:sz w:val="14"/>
                <w:szCs w:val="14"/>
                <w:color w:val="auto"/>
              </w:rPr>
            </w:pPr>
          </w:p>
        </w:tc>
        <w:tc>
          <w:tcPr>
            <w:tcW w:w="500" w:type="dxa"/>
            <w:vAlign w:val="bottom"/>
            <w:shd w:val="clear" w:color="auto" w:fill="D8D8D8"/>
          </w:tcPr>
          <w:p>
            <w:pPr>
              <w:jc w:val="right"/>
              <w:ind w:right="89"/>
              <w:spacing w:after="0"/>
              <w:rPr>
                <w:sz w:val="20"/>
                <w:szCs w:val="20"/>
                <w:color w:val="auto"/>
              </w:rPr>
            </w:pPr>
            <w:r>
              <w:rPr>
                <w:rFonts w:ascii="Arial" w:cs="Arial" w:eastAsia="Arial" w:hAnsi="Arial"/>
                <w:sz w:val="14"/>
                <w:szCs w:val="14"/>
                <w:color w:val="auto"/>
              </w:rPr>
              <w:t>28</w:t>
            </w:r>
          </w:p>
        </w:tc>
        <w:tc>
          <w:tcPr>
            <w:tcW w:w="980" w:type="dxa"/>
            <w:vAlign w:val="bottom"/>
          </w:tcPr>
          <w:p>
            <w:pPr>
              <w:jc w:val="right"/>
              <w:ind w:right="209"/>
              <w:spacing w:after="0"/>
              <w:rPr>
                <w:sz w:val="20"/>
                <w:szCs w:val="20"/>
                <w:color w:val="auto"/>
              </w:rPr>
            </w:pPr>
            <w:r>
              <w:rPr>
                <w:rFonts w:ascii="Arial" w:cs="Arial" w:eastAsia="Arial" w:hAnsi="Arial"/>
                <w:sz w:val="14"/>
                <w:szCs w:val="14"/>
                <w:color w:val="auto"/>
              </w:rPr>
              <w:t>27</w:t>
            </w:r>
          </w:p>
        </w:tc>
        <w:tc>
          <w:tcPr>
            <w:tcW w:w="660" w:type="dxa"/>
            <w:vAlign w:val="bottom"/>
          </w:tcPr>
          <w:p>
            <w:pPr>
              <w:jc w:val="right"/>
              <w:ind w:right="29"/>
              <w:spacing w:after="0"/>
              <w:rPr>
                <w:sz w:val="20"/>
                <w:szCs w:val="20"/>
                <w:color w:val="auto"/>
              </w:rPr>
            </w:pPr>
            <w:r>
              <w:rPr>
                <w:rFonts w:ascii="Arial" w:cs="Arial" w:eastAsia="Arial" w:hAnsi="Arial"/>
                <w:sz w:val="14"/>
                <w:szCs w:val="14"/>
                <w:color w:val="auto"/>
              </w:rPr>
              <w:t>25</w:t>
            </w:r>
          </w:p>
        </w:tc>
      </w:tr>
      <w:tr>
        <w:trPr>
          <w:trHeight w:val="167"/>
        </w:trPr>
        <w:tc>
          <w:tcPr>
            <w:tcW w:w="3000" w:type="dxa"/>
            <w:vAlign w:val="bottom"/>
          </w:tcPr>
          <w:p>
            <w:pPr>
              <w:spacing w:after="0"/>
              <w:rPr>
                <w:sz w:val="20"/>
                <w:szCs w:val="20"/>
                <w:color w:val="auto"/>
              </w:rPr>
            </w:pPr>
            <w:r>
              <w:rPr>
                <w:rFonts w:ascii="Arial" w:cs="Arial" w:eastAsia="Arial" w:hAnsi="Arial"/>
                <w:sz w:val="14"/>
                <w:szCs w:val="14"/>
                <w:color w:val="auto"/>
              </w:rPr>
              <w:t>Oceania</w:t>
            </w:r>
          </w:p>
        </w:tc>
        <w:tc>
          <w:tcPr>
            <w:tcW w:w="340" w:type="dxa"/>
            <w:vAlign w:val="bottom"/>
            <w:shd w:val="clear" w:color="auto" w:fill="D8D8D8"/>
          </w:tcPr>
          <w:p>
            <w:pPr>
              <w:spacing w:after="0"/>
              <w:rPr>
                <w:sz w:val="14"/>
                <w:szCs w:val="14"/>
                <w:color w:val="auto"/>
              </w:rPr>
            </w:pPr>
          </w:p>
        </w:tc>
        <w:tc>
          <w:tcPr>
            <w:tcW w:w="500" w:type="dxa"/>
            <w:vAlign w:val="bottom"/>
            <w:shd w:val="clear" w:color="auto" w:fill="D8D8D8"/>
          </w:tcPr>
          <w:p>
            <w:pPr>
              <w:jc w:val="right"/>
              <w:ind w:right="89"/>
              <w:spacing w:after="0"/>
              <w:rPr>
                <w:sz w:val="20"/>
                <w:szCs w:val="20"/>
                <w:color w:val="auto"/>
              </w:rPr>
            </w:pPr>
            <w:r>
              <w:rPr>
                <w:rFonts w:ascii="Arial" w:cs="Arial" w:eastAsia="Arial" w:hAnsi="Arial"/>
                <w:sz w:val="14"/>
                <w:szCs w:val="14"/>
                <w:color w:val="auto"/>
              </w:rPr>
              <w:t>2</w:t>
            </w:r>
          </w:p>
        </w:tc>
        <w:tc>
          <w:tcPr>
            <w:tcW w:w="980" w:type="dxa"/>
            <w:vAlign w:val="bottom"/>
          </w:tcPr>
          <w:p>
            <w:pPr>
              <w:jc w:val="right"/>
              <w:ind w:right="209"/>
              <w:spacing w:after="0"/>
              <w:rPr>
                <w:sz w:val="20"/>
                <w:szCs w:val="20"/>
                <w:color w:val="auto"/>
              </w:rPr>
            </w:pPr>
            <w:r>
              <w:rPr>
                <w:rFonts w:ascii="Arial" w:cs="Arial" w:eastAsia="Arial" w:hAnsi="Arial"/>
                <w:sz w:val="14"/>
                <w:szCs w:val="14"/>
                <w:color w:val="auto"/>
              </w:rPr>
              <w:t>3</w:t>
            </w:r>
          </w:p>
        </w:tc>
        <w:tc>
          <w:tcPr>
            <w:tcW w:w="660" w:type="dxa"/>
            <w:vAlign w:val="bottom"/>
          </w:tcPr>
          <w:p>
            <w:pPr>
              <w:jc w:val="right"/>
              <w:ind w:right="29"/>
              <w:spacing w:after="0"/>
              <w:rPr>
                <w:sz w:val="20"/>
                <w:szCs w:val="20"/>
                <w:color w:val="auto"/>
              </w:rPr>
            </w:pPr>
            <w:r>
              <w:rPr>
                <w:rFonts w:ascii="Arial" w:cs="Arial" w:eastAsia="Arial" w:hAnsi="Arial"/>
                <w:sz w:val="14"/>
                <w:szCs w:val="14"/>
                <w:color w:val="auto"/>
              </w:rPr>
              <w:t>3</w:t>
            </w:r>
          </w:p>
        </w:tc>
      </w:tr>
      <w:tr>
        <w:trPr>
          <w:trHeight w:val="162"/>
        </w:trPr>
        <w:tc>
          <w:tcPr>
            <w:tcW w:w="3000" w:type="dxa"/>
            <w:vAlign w:val="bottom"/>
          </w:tcPr>
          <w:p>
            <w:pPr>
              <w:spacing w:after="0"/>
              <w:rPr>
                <w:sz w:val="20"/>
                <w:szCs w:val="20"/>
                <w:color w:val="auto"/>
              </w:rPr>
            </w:pPr>
            <w:r>
              <w:rPr>
                <w:rFonts w:ascii="Arial" w:cs="Arial" w:eastAsia="Arial" w:hAnsi="Arial"/>
                <w:sz w:val="14"/>
                <w:szCs w:val="14"/>
                <w:color w:val="auto"/>
              </w:rPr>
              <w:t>Africa</w:t>
            </w:r>
          </w:p>
        </w:tc>
        <w:tc>
          <w:tcPr>
            <w:tcW w:w="340" w:type="dxa"/>
            <w:vAlign w:val="bottom"/>
            <w:shd w:val="clear" w:color="auto" w:fill="D8D8D8"/>
          </w:tcPr>
          <w:p>
            <w:pPr>
              <w:spacing w:after="0"/>
              <w:rPr>
                <w:sz w:val="14"/>
                <w:szCs w:val="14"/>
                <w:color w:val="auto"/>
              </w:rPr>
            </w:pPr>
          </w:p>
        </w:tc>
        <w:tc>
          <w:tcPr>
            <w:tcW w:w="500" w:type="dxa"/>
            <w:vAlign w:val="bottom"/>
            <w:shd w:val="clear" w:color="auto" w:fill="D8D8D8"/>
          </w:tcPr>
          <w:p>
            <w:pPr>
              <w:jc w:val="right"/>
              <w:ind w:right="89"/>
              <w:spacing w:after="0"/>
              <w:rPr>
                <w:sz w:val="20"/>
                <w:szCs w:val="20"/>
                <w:color w:val="auto"/>
              </w:rPr>
            </w:pPr>
            <w:r>
              <w:rPr>
                <w:rFonts w:ascii="Arial" w:cs="Arial" w:eastAsia="Arial" w:hAnsi="Arial"/>
                <w:sz w:val="14"/>
                <w:szCs w:val="14"/>
                <w:color w:val="auto"/>
              </w:rPr>
              <w:t>3</w:t>
            </w:r>
          </w:p>
        </w:tc>
        <w:tc>
          <w:tcPr>
            <w:tcW w:w="980" w:type="dxa"/>
            <w:vAlign w:val="bottom"/>
          </w:tcPr>
          <w:p>
            <w:pPr>
              <w:jc w:val="right"/>
              <w:ind w:right="209"/>
              <w:spacing w:after="0"/>
              <w:rPr>
                <w:sz w:val="20"/>
                <w:szCs w:val="20"/>
                <w:color w:val="auto"/>
              </w:rPr>
            </w:pPr>
            <w:r>
              <w:rPr>
                <w:rFonts w:ascii="Arial" w:cs="Arial" w:eastAsia="Arial" w:hAnsi="Arial"/>
                <w:sz w:val="14"/>
                <w:szCs w:val="14"/>
                <w:color w:val="auto"/>
              </w:rPr>
              <w:t>3</w:t>
            </w:r>
          </w:p>
        </w:tc>
        <w:tc>
          <w:tcPr>
            <w:tcW w:w="660" w:type="dxa"/>
            <w:vAlign w:val="bottom"/>
          </w:tcPr>
          <w:p>
            <w:pPr>
              <w:jc w:val="right"/>
              <w:ind w:right="29"/>
              <w:spacing w:after="0"/>
              <w:rPr>
                <w:sz w:val="20"/>
                <w:szCs w:val="20"/>
                <w:color w:val="auto"/>
              </w:rPr>
            </w:pPr>
            <w:r>
              <w:rPr>
                <w:rFonts w:ascii="Arial" w:cs="Arial" w:eastAsia="Arial" w:hAnsi="Arial"/>
                <w:sz w:val="14"/>
                <w:szCs w:val="14"/>
                <w:color w:val="auto"/>
              </w:rPr>
              <w:t>3</w:t>
            </w:r>
          </w:p>
        </w:tc>
      </w:tr>
      <w:tr>
        <w:trPr>
          <w:trHeight w:val="162"/>
        </w:trPr>
        <w:tc>
          <w:tcPr>
            <w:tcW w:w="3000" w:type="dxa"/>
            <w:vAlign w:val="bottom"/>
          </w:tcPr>
          <w:p>
            <w:pPr>
              <w:spacing w:after="0"/>
              <w:rPr>
                <w:sz w:val="20"/>
                <w:szCs w:val="20"/>
                <w:color w:val="auto"/>
              </w:rPr>
            </w:pPr>
            <w:r>
              <w:rPr>
                <w:rFonts w:ascii="Arial" w:cs="Arial" w:eastAsia="Arial" w:hAnsi="Arial"/>
                <w:sz w:val="14"/>
                <w:szCs w:val="14"/>
                <w:color w:val="auto"/>
              </w:rPr>
              <w:t>North America</w:t>
            </w:r>
          </w:p>
        </w:tc>
        <w:tc>
          <w:tcPr>
            <w:tcW w:w="340" w:type="dxa"/>
            <w:vAlign w:val="bottom"/>
            <w:shd w:val="clear" w:color="auto" w:fill="D8D8D8"/>
          </w:tcPr>
          <w:p>
            <w:pPr>
              <w:spacing w:after="0"/>
              <w:rPr>
                <w:sz w:val="14"/>
                <w:szCs w:val="14"/>
                <w:color w:val="auto"/>
              </w:rPr>
            </w:pPr>
          </w:p>
        </w:tc>
        <w:tc>
          <w:tcPr>
            <w:tcW w:w="500" w:type="dxa"/>
            <w:vAlign w:val="bottom"/>
            <w:shd w:val="clear" w:color="auto" w:fill="D8D8D8"/>
          </w:tcPr>
          <w:p>
            <w:pPr>
              <w:jc w:val="right"/>
              <w:ind w:right="89"/>
              <w:spacing w:after="0"/>
              <w:rPr>
                <w:sz w:val="20"/>
                <w:szCs w:val="20"/>
                <w:color w:val="auto"/>
              </w:rPr>
            </w:pPr>
            <w:r>
              <w:rPr>
                <w:rFonts w:ascii="Arial" w:cs="Arial" w:eastAsia="Arial" w:hAnsi="Arial"/>
                <w:sz w:val="14"/>
                <w:szCs w:val="14"/>
                <w:color w:val="auto"/>
              </w:rPr>
              <w:t>32</w:t>
            </w:r>
          </w:p>
        </w:tc>
        <w:tc>
          <w:tcPr>
            <w:tcW w:w="980" w:type="dxa"/>
            <w:vAlign w:val="bottom"/>
          </w:tcPr>
          <w:p>
            <w:pPr>
              <w:jc w:val="right"/>
              <w:ind w:right="209"/>
              <w:spacing w:after="0"/>
              <w:rPr>
                <w:sz w:val="20"/>
                <w:szCs w:val="20"/>
                <w:color w:val="auto"/>
              </w:rPr>
            </w:pPr>
            <w:r>
              <w:rPr>
                <w:rFonts w:ascii="Arial" w:cs="Arial" w:eastAsia="Arial" w:hAnsi="Arial"/>
                <w:sz w:val="14"/>
                <w:szCs w:val="14"/>
                <w:color w:val="auto"/>
              </w:rPr>
              <w:t>31</w:t>
            </w:r>
          </w:p>
        </w:tc>
        <w:tc>
          <w:tcPr>
            <w:tcW w:w="660" w:type="dxa"/>
            <w:vAlign w:val="bottom"/>
          </w:tcPr>
          <w:p>
            <w:pPr>
              <w:jc w:val="right"/>
              <w:ind w:right="29"/>
              <w:spacing w:after="0"/>
              <w:rPr>
                <w:sz w:val="20"/>
                <w:szCs w:val="20"/>
                <w:color w:val="auto"/>
              </w:rPr>
            </w:pPr>
            <w:r>
              <w:rPr>
                <w:rFonts w:ascii="Arial" w:cs="Arial" w:eastAsia="Arial" w:hAnsi="Arial"/>
                <w:sz w:val="14"/>
                <w:szCs w:val="14"/>
                <w:color w:val="auto"/>
              </w:rPr>
              <w:t>29</w:t>
            </w:r>
          </w:p>
        </w:tc>
      </w:tr>
      <w:tr>
        <w:trPr>
          <w:trHeight w:val="157"/>
        </w:trPr>
        <w:tc>
          <w:tcPr>
            <w:tcW w:w="3000" w:type="dxa"/>
            <w:vAlign w:val="bottom"/>
            <w:tcBorders>
              <w:bottom w:val="single" w:sz="8" w:color="auto"/>
            </w:tcBorders>
          </w:tcPr>
          <w:p>
            <w:pPr>
              <w:spacing w:after="0" w:line="157" w:lineRule="exact"/>
              <w:rPr>
                <w:sz w:val="20"/>
                <w:szCs w:val="20"/>
                <w:color w:val="auto"/>
              </w:rPr>
            </w:pPr>
            <w:r>
              <w:rPr>
                <w:rFonts w:ascii="Arial" w:cs="Arial" w:eastAsia="Arial" w:hAnsi="Arial"/>
                <w:sz w:val="14"/>
                <w:szCs w:val="14"/>
                <w:color w:val="auto"/>
              </w:rPr>
              <w:t>South America</w:t>
            </w:r>
          </w:p>
        </w:tc>
        <w:tc>
          <w:tcPr>
            <w:tcW w:w="340" w:type="dxa"/>
            <w:vAlign w:val="bottom"/>
            <w:tcBorders>
              <w:bottom w:val="single" w:sz="8" w:color="auto"/>
            </w:tcBorders>
            <w:shd w:val="clear" w:color="auto" w:fill="D8D8D8"/>
          </w:tcPr>
          <w:p>
            <w:pPr>
              <w:spacing w:after="0"/>
              <w:rPr>
                <w:sz w:val="13"/>
                <w:szCs w:val="13"/>
                <w:color w:val="auto"/>
              </w:rPr>
            </w:pPr>
          </w:p>
        </w:tc>
        <w:tc>
          <w:tcPr>
            <w:tcW w:w="500" w:type="dxa"/>
            <w:vAlign w:val="bottom"/>
            <w:tcBorders>
              <w:bottom w:val="single" w:sz="8" w:color="auto"/>
            </w:tcBorders>
            <w:shd w:val="clear" w:color="auto" w:fill="D8D8D8"/>
          </w:tcPr>
          <w:p>
            <w:pPr>
              <w:jc w:val="right"/>
              <w:ind w:right="89"/>
              <w:spacing w:after="0" w:line="157" w:lineRule="exact"/>
              <w:rPr>
                <w:sz w:val="20"/>
                <w:szCs w:val="20"/>
                <w:color w:val="auto"/>
              </w:rPr>
            </w:pPr>
            <w:r>
              <w:rPr>
                <w:rFonts w:ascii="Arial" w:cs="Arial" w:eastAsia="Arial" w:hAnsi="Arial"/>
                <w:sz w:val="14"/>
                <w:szCs w:val="14"/>
                <w:color w:val="auto"/>
              </w:rPr>
              <w:t>4</w:t>
            </w:r>
          </w:p>
        </w:tc>
        <w:tc>
          <w:tcPr>
            <w:tcW w:w="980" w:type="dxa"/>
            <w:vAlign w:val="bottom"/>
            <w:tcBorders>
              <w:bottom w:val="single" w:sz="8" w:color="auto"/>
            </w:tcBorders>
          </w:tcPr>
          <w:p>
            <w:pPr>
              <w:jc w:val="right"/>
              <w:ind w:right="209"/>
              <w:spacing w:after="0" w:line="157" w:lineRule="exact"/>
              <w:rPr>
                <w:sz w:val="20"/>
                <w:szCs w:val="20"/>
                <w:color w:val="auto"/>
              </w:rPr>
            </w:pPr>
            <w:r>
              <w:rPr>
                <w:rFonts w:ascii="Arial" w:cs="Arial" w:eastAsia="Arial" w:hAnsi="Arial"/>
                <w:sz w:val="14"/>
                <w:szCs w:val="14"/>
                <w:color w:val="auto"/>
              </w:rPr>
              <w:t>3</w:t>
            </w:r>
          </w:p>
        </w:tc>
        <w:tc>
          <w:tcPr>
            <w:tcW w:w="660" w:type="dxa"/>
            <w:vAlign w:val="bottom"/>
            <w:tcBorders>
              <w:bottom w:val="single" w:sz="8" w:color="auto"/>
            </w:tcBorders>
          </w:tcPr>
          <w:p>
            <w:pPr>
              <w:jc w:val="right"/>
              <w:ind w:right="29"/>
              <w:spacing w:after="0" w:line="157" w:lineRule="exact"/>
              <w:rPr>
                <w:sz w:val="20"/>
                <w:szCs w:val="20"/>
                <w:color w:val="auto"/>
              </w:rPr>
            </w:pPr>
            <w:r>
              <w:rPr>
                <w:rFonts w:ascii="Arial" w:cs="Arial" w:eastAsia="Arial" w:hAnsi="Arial"/>
                <w:sz w:val="14"/>
                <w:szCs w:val="14"/>
                <w:color w:val="auto"/>
              </w:rPr>
              <w:t>3</w:t>
            </w:r>
          </w:p>
        </w:tc>
      </w:tr>
      <w:tr>
        <w:trPr>
          <w:trHeight w:val="156"/>
        </w:trPr>
        <w:tc>
          <w:tcPr>
            <w:tcW w:w="3000" w:type="dxa"/>
            <w:vAlign w:val="bottom"/>
            <w:tcBorders>
              <w:bottom w:val="single" w:sz="8" w:color="auto"/>
            </w:tcBorders>
          </w:tcPr>
          <w:p>
            <w:pPr>
              <w:spacing w:after="0" w:line="155" w:lineRule="exact"/>
              <w:rPr>
                <w:sz w:val="20"/>
                <w:szCs w:val="20"/>
                <w:color w:val="auto"/>
              </w:rPr>
            </w:pPr>
            <w:r>
              <w:rPr>
                <w:rFonts w:ascii="Arial" w:cs="Arial" w:eastAsia="Arial" w:hAnsi="Arial"/>
                <w:sz w:val="14"/>
                <w:szCs w:val="14"/>
                <w:color w:val="auto"/>
              </w:rPr>
              <w:t>Total</w:t>
            </w:r>
          </w:p>
        </w:tc>
        <w:tc>
          <w:tcPr>
            <w:tcW w:w="340" w:type="dxa"/>
            <w:vAlign w:val="bottom"/>
            <w:tcBorders>
              <w:bottom w:val="single" w:sz="8" w:color="auto"/>
            </w:tcBorders>
            <w:shd w:val="clear" w:color="auto" w:fill="D8D8D8"/>
          </w:tcPr>
          <w:p>
            <w:pPr>
              <w:spacing w:after="0"/>
              <w:rPr>
                <w:sz w:val="13"/>
                <w:szCs w:val="13"/>
                <w:color w:val="auto"/>
              </w:rPr>
            </w:pPr>
          </w:p>
        </w:tc>
        <w:tc>
          <w:tcPr>
            <w:tcW w:w="500" w:type="dxa"/>
            <w:vAlign w:val="bottom"/>
            <w:tcBorders>
              <w:bottom w:val="single" w:sz="8" w:color="auto"/>
            </w:tcBorders>
            <w:shd w:val="clear" w:color="auto" w:fill="D8D8D8"/>
          </w:tcPr>
          <w:p>
            <w:pPr>
              <w:jc w:val="right"/>
              <w:ind w:right="89"/>
              <w:spacing w:after="0" w:line="155" w:lineRule="exact"/>
              <w:rPr>
                <w:sz w:val="20"/>
                <w:szCs w:val="20"/>
                <w:color w:val="auto"/>
              </w:rPr>
            </w:pPr>
            <w:r>
              <w:rPr>
                <w:rFonts w:ascii="Arial" w:cs="Arial" w:eastAsia="Arial" w:hAnsi="Arial"/>
                <w:sz w:val="14"/>
                <w:szCs w:val="14"/>
                <w:color w:val="auto"/>
              </w:rPr>
              <w:t>94</w:t>
            </w:r>
          </w:p>
        </w:tc>
        <w:tc>
          <w:tcPr>
            <w:tcW w:w="980" w:type="dxa"/>
            <w:vAlign w:val="bottom"/>
            <w:tcBorders>
              <w:bottom w:val="single" w:sz="8" w:color="auto"/>
            </w:tcBorders>
          </w:tcPr>
          <w:p>
            <w:pPr>
              <w:jc w:val="right"/>
              <w:ind w:right="209"/>
              <w:spacing w:after="0" w:line="155" w:lineRule="exact"/>
              <w:rPr>
                <w:sz w:val="20"/>
                <w:szCs w:val="20"/>
                <w:color w:val="auto"/>
              </w:rPr>
            </w:pPr>
            <w:r>
              <w:rPr>
                <w:rFonts w:ascii="Arial" w:cs="Arial" w:eastAsia="Arial" w:hAnsi="Arial"/>
                <w:sz w:val="14"/>
                <w:szCs w:val="14"/>
                <w:color w:val="auto"/>
              </w:rPr>
              <w:t>92</w:t>
            </w:r>
          </w:p>
        </w:tc>
        <w:tc>
          <w:tcPr>
            <w:tcW w:w="660" w:type="dxa"/>
            <w:vAlign w:val="bottom"/>
            <w:tcBorders>
              <w:bottom w:val="single" w:sz="8" w:color="auto"/>
            </w:tcBorders>
          </w:tcPr>
          <w:p>
            <w:pPr>
              <w:jc w:val="right"/>
              <w:ind w:right="29"/>
              <w:spacing w:after="0" w:line="155" w:lineRule="exact"/>
              <w:rPr>
                <w:sz w:val="20"/>
                <w:szCs w:val="20"/>
                <w:color w:val="auto"/>
              </w:rPr>
            </w:pPr>
            <w:r>
              <w:rPr>
                <w:rFonts w:ascii="Arial" w:cs="Arial" w:eastAsia="Arial" w:hAnsi="Arial"/>
                <w:sz w:val="14"/>
                <w:szCs w:val="14"/>
                <w:color w:val="auto"/>
              </w:rPr>
              <w:t>87</w:t>
            </w:r>
          </w:p>
        </w:tc>
      </w:tr>
    </w:tbl>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auto"/>
        </w:rPr>
        <w:t>EMPLOYEE COMMUNICATION AND INVOLVEMENT</w:t>
      </w:r>
    </w:p>
    <w:p>
      <w:pPr>
        <w:spacing w:after="0" w:line="1" w:lineRule="exact"/>
        <w:rPr>
          <w:sz w:val="20"/>
          <w:szCs w:val="20"/>
          <w:color w:val="auto"/>
        </w:rPr>
      </w:pPr>
    </w:p>
    <w:p>
      <w:pPr>
        <w:ind w:right="200"/>
        <w:spacing w:after="0" w:line="244" w:lineRule="auto"/>
        <w:rPr>
          <w:sz w:val="20"/>
          <w:szCs w:val="20"/>
          <w:color w:val="auto"/>
        </w:rPr>
      </w:pPr>
      <w:r>
        <w:rPr>
          <w:rFonts w:ascii="Arial" w:cs="Arial" w:eastAsia="Arial" w:hAnsi="Arial"/>
          <w:sz w:val="14"/>
          <w:szCs w:val="14"/>
          <w:color w:val="auto"/>
        </w:rPr>
        <w:t>We strive to maintain a constructive working environment with employees and, where appropriate, employee representative bodies. However, collective bargaining negotiations can result in disputes, strikes or work stoppages, such as the United Steelworkers union strike initiated on February 1, 2015 , at the Deer Park refinery and laboratory in Texas, USA. While talks are ongoing, we look forward to reaching a mutually acceptable settlement.</w:t>
      </w:r>
    </w:p>
    <w:p>
      <w:pPr>
        <w:spacing w:after="0" w:line="179" w:lineRule="exact"/>
        <w:rPr>
          <w:sz w:val="20"/>
          <w:szCs w:val="20"/>
          <w:color w:val="auto"/>
        </w:rPr>
      </w:pPr>
    </w:p>
    <w:p>
      <w:pPr>
        <w:ind w:right="180"/>
        <w:spacing w:after="0" w:line="246" w:lineRule="auto"/>
        <w:rPr>
          <w:sz w:val="20"/>
          <w:szCs w:val="20"/>
          <w:color w:val="auto"/>
        </w:rPr>
      </w:pPr>
      <w:r>
        <w:rPr>
          <w:rFonts w:ascii="Arial" w:cs="Arial" w:eastAsia="Arial" w:hAnsi="Arial"/>
          <w:sz w:val="14"/>
          <w:szCs w:val="14"/>
          <w:color w:val="auto"/>
        </w:rPr>
        <w:t>Two-way dialogue between management and staff is embedded in our work practices. On a quarterly basis, management briefs employees on Shell’s operational and financial results through various channels, including team meetings, face-to-face gatherings, a personal email from the Chief Executive Officer, webcasts and online publications.</w:t>
      </w:r>
    </w:p>
    <w:p>
      <w:pPr>
        <w:spacing w:after="0" w:line="326" w:lineRule="exact"/>
        <w:rPr>
          <w:sz w:val="20"/>
          <w:szCs w:val="20"/>
          <w:color w:val="auto"/>
        </w:rPr>
      </w:pPr>
    </w:p>
    <w:p>
      <w:pPr>
        <w:ind w:right="380"/>
        <w:spacing w:after="0" w:line="247" w:lineRule="auto"/>
        <w:rPr>
          <w:sz w:val="20"/>
          <w:szCs w:val="20"/>
          <w:color w:val="auto"/>
        </w:rPr>
      </w:pPr>
      <w:r>
        <w:rPr>
          <w:rFonts w:ascii="Arial" w:cs="Arial" w:eastAsia="Arial" w:hAnsi="Arial"/>
          <w:sz w:val="14"/>
          <w:szCs w:val="14"/>
          <w:color w:val="auto"/>
        </w:rPr>
        <w:t>The Shell People Survey is one of the principal tools used to measure employee engagement: the degree of affiliation and commitment to Shell. It provides insights into employees’ views and has had a consistently high response rate. The average employee engagement score in 2014 was 80% favourable, as it was in 2013.</w:t>
      </w:r>
    </w:p>
    <w:p>
      <w:pPr>
        <w:spacing w:after="0" w:line="161" w:lineRule="exact"/>
        <w:rPr>
          <w:sz w:val="20"/>
          <w:szCs w:val="20"/>
          <w:color w:val="auto"/>
        </w:rPr>
      </w:pPr>
    </w:p>
    <w:p>
      <w:pPr>
        <w:ind w:right="220"/>
        <w:spacing w:after="0" w:line="247" w:lineRule="auto"/>
        <w:rPr>
          <w:sz w:val="20"/>
          <w:szCs w:val="20"/>
          <w:color w:val="auto"/>
        </w:rPr>
      </w:pPr>
      <w:r>
        <w:rPr>
          <w:rFonts w:ascii="Arial" w:cs="Arial" w:eastAsia="Arial" w:hAnsi="Arial"/>
          <w:sz w:val="14"/>
          <w:szCs w:val="14"/>
          <w:color w:val="auto"/>
        </w:rPr>
        <w:t>We promote safe reporting of views about our processes and practices. In addition to local channels, our global telephone helpline and website enable employees to report potential breaches of the Shell General Business Principles and Code of Conduct, confidentially and anonymously, in a choice of several languages.</w:t>
      </w:r>
    </w:p>
    <w:p>
      <w:pPr>
        <w:sectPr>
          <w:pgSz w:w="11900" w:h="16838" w:orient="portrait"/>
          <w:cols w:equalWidth="0" w:num="2">
            <w:col w:w="5500" w:space="280"/>
            <w:col w:w="5640"/>
          </w:cols>
          <w:pgMar w:left="240" w:top="459" w:right="239" w:bottom="1440" w:gutter="0" w:footer="0" w:header="0"/>
        </w:sectPr>
      </w:pPr>
    </w:p>
    <w:bookmarkStart w:id="58" w:name="page59"/>
    <w:bookmarkEnd w:id="58"/>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3555365</wp:posOffset>
            </wp:positionH>
            <wp:positionV relativeFrom="paragraph">
              <wp:posOffset>314960</wp:posOffset>
            </wp:positionV>
            <wp:extent cx="3696335" cy="46291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3696335" cy="462915"/>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11"/>
          <w:szCs w:val="11"/>
          <w:color w:val="auto"/>
        </w:rPr>
        <w:t>SHELL ANNUAL REPORT AND FORM 20-F 2014</w:t>
      </w:r>
    </w:p>
    <w:p>
      <w:pPr>
        <w:spacing w:after="0" w:line="51" w:lineRule="exact"/>
        <w:rPr>
          <w:sz w:val="20"/>
          <w:szCs w:val="20"/>
          <w:color w:val="auto"/>
        </w:rPr>
      </w:pPr>
    </w:p>
    <w:p>
      <w:pPr>
        <w:spacing w:after="0"/>
        <w:rPr>
          <w:sz w:val="20"/>
          <w:szCs w:val="20"/>
          <w:color w:val="auto"/>
        </w:rPr>
      </w:pPr>
      <w:r>
        <w:rPr>
          <w:rFonts w:ascii="Arial" w:cs="Arial" w:eastAsia="Arial" w:hAnsi="Arial"/>
          <w:sz w:val="18"/>
          <w:szCs w:val="18"/>
          <w:color w:val="auto"/>
        </w:rPr>
        <w:t>DIVERSITY AND INCLUSION</w:t>
      </w:r>
    </w:p>
    <w:p>
      <w:pPr>
        <w:spacing w:after="0" w:line="1" w:lineRule="exact"/>
        <w:rPr>
          <w:sz w:val="20"/>
          <w:szCs w:val="20"/>
          <w:color w:val="auto"/>
        </w:rPr>
      </w:pPr>
    </w:p>
    <w:p>
      <w:pPr>
        <w:ind w:right="60"/>
        <w:spacing w:after="0" w:line="244" w:lineRule="auto"/>
        <w:rPr>
          <w:sz w:val="20"/>
          <w:szCs w:val="20"/>
          <w:color w:val="auto"/>
        </w:rPr>
      </w:pPr>
      <w:r>
        <w:rPr>
          <w:rFonts w:ascii="Arial" w:cs="Arial" w:eastAsia="Arial" w:hAnsi="Arial"/>
          <w:sz w:val="14"/>
          <w:szCs w:val="14"/>
          <w:color w:val="auto"/>
        </w:rPr>
        <w:t>We have a culture that embraces diversity and fosters inclusion. By embedding these principles in our operations, we have a better understanding of the needs of our varied customers, partners and stakeholders throughout the world and can benefit from a wider talent pool. We provide equal opportunity in recruitment, career development, promotion, training and rewards for all employees, including those with disabilities. Where possible, we make reasonable adjustments in job design and provide appropriate training for employees who have become disabled.</w:t>
      </w:r>
    </w:p>
    <w:p>
      <w:pPr>
        <w:spacing w:after="0" w:line="178" w:lineRule="exact"/>
        <w:rPr>
          <w:sz w:val="20"/>
          <w:szCs w:val="20"/>
          <w:color w:val="auto"/>
        </w:rPr>
      </w:pPr>
    </w:p>
    <w:p>
      <w:pPr>
        <w:ind w:right="80"/>
        <w:spacing w:after="0" w:line="250" w:lineRule="auto"/>
        <w:rPr>
          <w:sz w:val="20"/>
          <w:szCs w:val="20"/>
          <w:color w:val="auto"/>
        </w:rPr>
      </w:pPr>
      <w:r>
        <w:rPr>
          <w:rFonts w:ascii="Arial" w:cs="Arial" w:eastAsia="Arial" w:hAnsi="Arial"/>
          <w:sz w:val="14"/>
          <w:szCs w:val="14"/>
          <w:color w:val="auto"/>
        </w:rPr>
        <w:t>We actively monitor representation of women and local nationals in senior leadership positions, and have talent-development processes to support us in delivering more diverse representation.</w:t>
      </w:r>
    </w:p>
    <w:p>
      <w:pPr>
        <w:spacing w:after="0" w:line="159" w:lineRule="exact"/>
        <w:rPr>
          <w:sz w:val="20"/>
          <w:szCs w:val="20"/>
          <w:color w:val="auto"/>
        </w:rPr>
      </w:pPr>
    </w:p>
    <w:p>
      <w:pPr>
        <w:ind w:right="20"/>
        <w:spacing w:after="0" w:line="247" w:lineRule="auto"/>
        <w:rPr>
          <w:sz w:val="20"/>
          <w:szCs w:val="20"/>
          <w:color w:val="auto"/>
        </w:rPr>
      </w:pPr>
      <w:r>
        <w:rPr>
          <w:rFonts w:ascii="Arial" w:cs="Arial" w:eastAsia="Arial" w:hAnsi="Arial"/>
          <w:sz w:val="14"/>
          <w:szCs w:val="14"/>
          <w:color w:val="auto"/>
        </w:rPr>
        <w:t>At the end of 2014, the proportion of women in senior leadership positions was 18.1% compared with 17.2% in 2013. Senior leadership positions is a Shell measure based on senior salary group levels and is distinct from the term “senior manager” in the statutory disclosures set out below.</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520" w:type="dxa"/>
            <w:vAlign w:val="bottom"/>
            <w:shd w:val="clear" w:color="auto" w:fill="333333"/>
          </w:tcPr>
          <w:p>
            <w:pPr>
              <w:ind w:left="80"/>
              <w:spacing w:after="0"/>
              <w:rPr>
                <w:sz w:val="20"/>
                <w:szCs w:val="20"/>
                <w:color w:val="auto"/>
              </w:rPr>
            </w:pPr>
            <w:r>
              <w:rPr>
                <w:rFonts w:ascii="Arial" w:cs="Arial" w:eastAsia="Arial" w:hAnsi="Arial"/>
                <w:sz w:val="15"/>
                <w:szCs w:val="15"/>
                <w:b w:val="1"/>
                <w:bCs w:val="1"/>
                <w:color w:val="FFFFFF"/>
              </w:rPr>
              <w:t>GENDER DIVERSITY DATA</w:t>
            </w:r>
          </w:p>
        </w:tc>
        <w:tc>
          <w:tcPr>
            <w:tcW w:w="960" w:type="dxa"/>
            <w:vAlign w:val="bottom"/>
            <w:shd w:val="clear" w:color="auto" w:fill="333333"/>
          </w:tcPr>
          <w:p>
            <w:pPr>
              <w:spacing w:after="0"/>
              <w:rPr>
                <w:sz w:val="14"/>
                <w:szCs w:val="14"/>
                <w:color w:val="auto"/>
              </w:rPr>
            </w:pPr>
          </w:p>
        </w:tc>
        <w:tc>
          <w:tcPr>
            <w:tcW w:w="760" w:type="dxa"/>
            <w:vAlign w:val="bottom"/>
            <w:shd w:val="clear" w:color="auto" w:fill="333333"/>
          </w:tcPr>
          <w:p>
            <w:pPr>
              <w:spacing w:after="0"/>
              <w:rPr>
                <w:sz w:val="14"/>
                <w:szCs w:val="14"/>
                <w:color w:val="auto"/>
              </w:rPr>
            </w:pPr>
          </w:p>
        </w:tc>
        <w:tc>
          <w:tcPr>
            <w:tcW w:w="580" w:type="dxa"/>
            <w:vAlign w:val="bottom"/>
            <w:shd w:val="clear" w:color="auto" w:fill="333333"/>
          </w:tcPr>
          <w:p>
            <w:pPr>
              <w:spacing w:after="0"/>
              <w:rPr>
                <w:sz w:val="14"/>
                <w:szCs w:val="14"/>
                <w:color w:val="auto"/>
              </w:rPr>
            </w:pPr>
          </w:p>
        </w:tc>
        <w:tc>
          <w:tcPr>
            <w:tcW w:w="660" w:type="dxa"/>
            <w:vAlign w:val="bottom"/>
            <w:shd w:val="clear" w:color="auto" w:fill="333333"/>
          </w:tcPr>
          <w:p>
            <w:pPr>
              <w:spacing w:after="0"/>
              <w:rPr>
                <w:sz w:val="14"/>
                <w:szCs w:val="14"/>
                <w:color w:val="auto"/>
              </w:rPr>
            </w:pPr>
          </w:p>
        </w:tc>
      </w:tr>
      <w:tr>
        <w:trPr>
          <w:trHeight w:val="179"/>
        </w:trPr>
        <w:tc>
          <w:tcPr>
            <w:tcW w:w="2520" w:type="dxa"/>
            <w:vAlign w:val="bottom"/>
            <w:shd w:val="clear" w:color="auto" w:fill="333333"/>
          </w:tcPr>
          <w:p>
            <w:pPr>
              <w:ind w:left="80"/>
              <w:spacing w:after="0"/>
              <w:rPr>
                <w:sz w:val="20"/>
                <w:szCs w:val="20"/>
                <w:color w:val="auto"/>
              </w:rPr>
            </w:pPr>
            <w:r>
              <w:rPr>
                <w:rFonts w:ascii="Arial" w:cs="Arial" w:eastAsia="Arial" w:hAnsi="Arial"/>
                <w:sz w:val="15"/>
                <w:szCs w:val="15"/>
                <w:color w:val="FFFFFF"/>
              </w:rPr>
              <w:t>(AT DECEMBER 31, 2014)</w:t>
            </w:r>
          </w:p>
        </w:tc>
        <w:tc>
          <w:tcPr>
            <w:tcW w:w="960" w:type="dxa"/>
            <w:vAlign w:val="bottom"/>
            <w:shd w:val="clear" w:color="auto" w:fill="333333"/>
          </w:tcPr>
          <w:p>
            <w:pPr>
              <w:spacing w:after="0"/>
              <w:rPr>
                <w:sz w:val="15"/>
                <w:szCs w:val="15"/>
                <w:color w:val="auto"/>
              </w:rPr>
            </w:pPr>
          </w:p>
        </w:tc>
        <w:tc>
          <w:tcPr>
            <w:tcW w:w="760" w:type="dxa"/>
            <w:vAlign w:val="bottom"/>
            <w:shd w:val="clear" w:color="auto" w:fill="333333"/>
          </w:tcPr>
          <w:p>
            <w:pPr>
              <w:spacing w:after="0"/>
              <w:rPr>
                <w:sz w:val="15"/>
                <w:szCs w:val="15"/>
                <w:color w:val="auto"/>
              </w:rPr>
            </w:pPr>
          </w:p>
        </w:tc>
        <w:tc>
          <w:tcPr>
            <w:tcW w:w="1240" w:type="dxa"/>
            <w:vAlign w:val="bottom"/>
            <w:gridSpan w:val="2"/>
            <w:shd w:val="clear" w:color="auto" w:fill="333333"/>
          </w:tcPr>
          <w:p>
            <w:pPr>
              <w:jc w:val="right"/>
              <w:ind w:right="90"/>
              <w:spacing w:after="0"/>
              <w:rPr>
                <w:sz w:val="20"/>
                <w:szCs w:val="20"/>
                <w:color w:val="auto"/>
              </w:rPr>
            </w:pPr>
            <w:r>
              <w:rPr>
                <w:rFonts w:ascii="Arial" w:cs="Arial" w:eastAsia="Arial" w:hAnsi="Arial"/>
                <w:sz w:val="15"/>
                <w:szCs w:val="15"/>
                <w:color w:val="FFFFFF"/>
              </w:rPr>
              <w:t>NUMBER</w:t>
            </w:r>
          </w:p>
        </w:tc>
      </w:tr>
      <w:tr>
        <w:trPr>
          <w:trHeight w:val="149"/>
        </w:trPr>
        <w:tc>
          <w:tcPr>
            <w:tcW w:w="252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190"/>
              <w:spacing w:after="0"/>
              <w:rPr>
                <w:sz w:val="20"/>
                <w:szCs w:val="20"/>
                <w:color w:val="auto"/>
              </w:rPr>
            </w:pPr>
            <w:r>
              <w:rPr>
                <w:rFonts w:ascii="Arial" w:cs="Arial" w:eastAsia="Arial" w:hAnsi="Arial"/>
                <w:sz w:val="13"/>
                <w:szCs w:val="13"/>
                <w:color w:val="auto"/>
              </w:rPr>
              <w:t>Men</w:t>
            </w:r>
          </w:p>
        </w:tc>
        <w:tc>
          <w:tcPr>
            <w:tcW w:w="58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90"/>
              <w:spacing w:after="0"/>
              <w:rPr>
                <w:sz w:val="20"/>
                <w:szCs w:val="20"/>
                <w:color w:val="auto"/>
              </w:rPr>
            </w:pPr>
            <w:r>
              <w:rPr>
                <w:rFonts w:ascii="Arial" w:cs="Arial" w:eastAsia="Arial" w:hAnsi="Arial"/>
                <w:sz w:val="13"/>
                <w:szCs w:val="13"/>
                <w:color w:val="auto"/>
              </w:rPr>
              <w:t>Women</w:t>
            </w:r>
          </w:p>
        </w:tc>
      </w:tr>
      <w:tr>
        <w:trPr>
          <w:trHeight w:val="160"/>
        </w:trPr>
        <w:tc>
          <w:tcPr>
            <w:tcW w:w="2520" w:type="dxa"/>
            <w:vAlign w:val="bottom"/>
          </w:tcPr>
          <w:p>
            <w:pPr>
              <w:ind w:left="20"/>
              <w:spacing w:after="0"/>
              <w:rPr>
                <w:sz w:val="20"/>
                <w:szCs w:val="20"/>
                <w:color w:val="auto"/>
              </w:rPr>
            </w:pPr>
            <w:r>
              <w:rPr>
                <w:rFonts w:ascii="Arial" w:cs="Arial" w:eastAsia="Arial" w:hAnsi="Arial"/>
                <w:sz w:val="14"/>
                <w:szCs w:val="14"/>
                <w:color w:val="auto"/>
              </w:rPr>
              <w:t>Directors of the Company</w:t>
            </w:r>
          </w:p>
        </w:tc>
        <w:tc>
          <w:tcPr>
            <w:tcW w:w="960" w:type="dxa"/>
            <w:vAlign w:val="bottom"/>
          </w:tcPr>
          <w:p>
            <w:pPr>
              <w:jc w:val="right"/>
              <w:ind w:right="148"/>
              <w:spacing w:after="0"/>
              <w:rPr>
                <w:sz w:val="20"/>
                <w:szCs w:val="20"/>
                <w:color w:val="auto"/>
              </w:rPr>
            </w:pPr>
            <w:r>
              <w:rPr>
                <w:rFonts w:ascii="Arial" w:cs="Arial" w:eastAsia="Arial" w:hAnsi="Arial"/>
                <w:sz w:val="14"/>
                <w:szCs w:val="14"/>
                <w:color w:val="auto"/>
              </w:rPr>
              <w:t>9</w:t>
            </w:r>
          </w:p>
        </w:tc>
        <w:tc>
          <w:tcPr>
            <w:tcW w:w="760" w:type="dxa"/>
            <w:vAlign w:val="bottom"/>
          </w:tcPr>
          <w:p>
            <w:pPr>
              <w:jc w:val="right"/>
              <w:ind w:right="190"/>
              <w:spacing w:after="0"/>
              <w:rPr>
                <w:sz w:val="20"/>
                <w:szCs w:val="20"/>
                <w:color w:val="auto"/>
              </w:rPr>
            </w:pPr>
            <w:r>
              <w:rPr>
                <w:rFonts w:ascii="Arial" w:cs="Arial" w:eastAsia="Arial" w:hAnsi="Arial"/>
                <w:sz w:val="14"/>
                <w:szCs w:val="14"/>
                <w:color w:val="auto"/>
              </w:rPr>
              <w:t>75%</w:t>
            </w:r>
          </w:p>
        </w:tc>
        <w:tc>
          <w:tcPr>
            <w:tcW w:w="580" w:type="dxa"/>
            <w:vAlign w:val="bottom"/>
          </w:tcPr>
          <w:p>
            <w:pPr>
              <w:jc w:val="right"/>
              <w:ind w:right="7"/>
              <w:spacing w:after="0"/>
              <w:rPr>
                <w:sz w:val="20"/>
                <w:szCs w:val="20"/>
                <w:color w:val="auto"/>
              </w:rPr>
            </w:pPr>
            <w:r>
              <w:rPr>
                <w:rFonts w:ascii="Arial" w:cs="Arial" w:eastAsia="Arial" w:hAnsi="Arial"/>
                <w:sz w:val="14"/>
                <w:szCs w:val="14"/>
                <w:color w:val="auto"/>
              </w:rPr>
              <w:t>3</w:t>
            </w:r>
          </w:p>
        </w:tc>
        <w:tc>
          <w:tcPr>
            <w:tcW w:w="660" w:type="dxa"/>
            <w:vAlign w:val="bottom"/>
          </w:tcPr>
          <w:p>
            <w:pPr>
              <w:jc w:val="right"/>
              <w:ind w:right="90"/>
              <w:spacing w:after="0"/>
              <w:rPr>
                <w:sz w:val="20"/>
                <w:szCs w:val="20"/>
                <w:color w:val="auto"/>
              </w:rPr>
            </w:pPr>
            <w:r>
              <w:rPr>
                <w:rFonts w:ascii="Arial" w:cs="Arial" w:eastAsia="Arial" w:hAnsi="Arial"/>
                <w:sz w:val="14"/>
                <w:szCs w:val="14"/>
                <w:color w:val="auto"/>
              </w:rPr>
              <w:t>25%</w:t>
            </w:r>
          </w:p>
        </w:tc>
      </w:tr>
      <w:tr>
        <w:trPr>
          <w:trHeight w:val="162"/>
        </w:trPr>
        <w:tc>
          <w:tcPr>
            <w:tcW w:w="2520" w:type="dxa"/>
            <w:vAlign w:val="bottom"/>
          </w:tcPr>
          <w:p>
            <w:pPr>
              <w:ind w:left="20"/>
              <w:spacing w:after="0"/>
              <w:rPr>
                <w:sz w:val="20"/>
                <w:szCs w:val="20"/>
                <w:color w:val="auto"/>
              </w:rPr>
            </w:pPr>
            <w:r>
              <w:rPr>
                <w:rFonts w:ascii="Arial" w:cs="Arial" w:eastAsia="Arial" w:hAnsi="Arial"/>
                <w:sz w:val="14"/>
                <w:szCs w:val="14"/>
                <w:color w:val="auto"/>
              </w:rPr>
              <w:t>Senior managers [A]</w:t>
            </w:r>
          </w:p>
        </w:tc>
        <w:tc>
          <w:tcPr>
            <w:tcW w:w="960" w:type="dxa"/>
            <w:vAlign w:val="bottom"/>
          </w:tcPr>
          <w:p>
            <w:pPr>
              <w:jc w:val="right"/>
              <w:ind w:right="148"/>
              <w:spacing w:after="0"/>
              <w:rPr>
                <w:sz w:val="20"/>
                <w:szCs w:val="20"/>
                <w:color w:val="auto"/>
              </w:rPr>
            </w:pPr>
            <w:r>
              <w:rPr>
                <w:rFonts w:ascii="Arial" w:cs="Arial" w:eastAsia="Arial" w:hAnsi="Arial"/>
                <w:sz w:val="14"/>
                <w:szCs w:val="14"/>
                <w:color w:val="auto"/>
              </w:rPr>
              <w:t>829</w:t>
            </w:r>
          </w:p>
        </w:tc>
        <w:tc>
          <w:tcPr>
            <w:tcW w:w="760" w:type="dxa"/>
            <w:vAlign w:val="bottom"/>
          </w:tcPr>
          <w:p>
            <w:pPr>
              <w:jc w:val="right"/>
              <w:ind w:right="190"/>
              <w:spacing w:after="0"/>
              <w:rPr>
                <w:sz w:val="20"/>
                <w:szCs w:val="20"/>
                <w:color w:val="auto"/>
              </w:rPr>
            </w:pPr>
            <w:r>
              <w:rPr>
                <w:rFonts w:ascii="Arial" w:cs="Arial" w:eastAsia="Arial" w:hAnsi="Arial"/>
                <w:sz w:val="14"/>
                <w:szCs w:val="14"/>
                <w:color w:val="auto"/>
              </w:rPr>
              <w:t>79%</w:t>
            </w:r>
          </w:p>
        </w:tc>
        <w:tc>
          <w:tcPr>
            <w:tcW w:w="580" w:type="dxa"/>
            <w:vAlign w:val="bottom"/>
          </w:tcPr>
          <w:p>
            <w:pPr>
              <w:jc w:val="right"/>
              <w:ind w:right="7"/>
              <w:spacing w:after="0"/>
              <w:rPr>
                <w:sz w:val="20"/>
                <w:szCs w:val="20"/>
                <w:color w:val="auto"/>
              </w:rPr>
            </w:pPr>
            <w:r>
              <w:rPr>
                <w:rFonts w:ascii="Arial" w:cs="Arial" w:eastAsia="Arial" w:hAnsi="Arial"/>
                <w:sz w:val="14"/>
                <w:szCs w:val="14"/>
                <w:color w:val="auto"/>
              </w:rPr>
              <w:t>217</w:t>
            </w:r>
          </w:p>
        </w:tc>
        <w:tc>
          <w:tcPr>
            <w:tcW w:w="660" w:type="dxa"/>
            <w:vAlign w:val="bottom"/>
          </w:tcPr>
          <w:p>
            <w:pPr>
              <w:jc w:val="right"/>
              <w:ind w:right="90"/>
              <w:spacing w:after="0"/>
              <w:rPr>
                <w:sz w:val="20"/>
                <w:szCs w:val="20"/>
                <w:color w:val="auto"/>
              </w:rPr>
            </w:pPr>
            <w:r>
              <w:rPr>
                <w:rFonts w:ascii="Arial" w:cs="Arial" w:eastAsia="Arial" w:hAnsi="Arial"/>
                <w:sz w:val="14"/>
                <w:szCs w:val="14"/>
                <w:color w:val="auto"/>
              </w:rPr>
              <w:t>21%</w:t>
            </w:r>
          </w:p>
        </w:tc>
      </w:tr>
      <w:tr>
        <w:trPr>
          <w:trHeight w:val="157"/>
        </w:trPr>
        <w:tc>
          <w:tcPr>
            <w:tcW w:w="2520" w:type="dxa"/>
            <w:vAlign w:val="bottom"/>
            <w:tcBorders>
              <w:bottom w:val="single" w:sz="8" w:color="auto"/>
            </w:tcBorders>
          </w:tcPr>
          <w:p>
            <w:pPr>
              <w:ind w:left="20"/>
              <w:spacing w:after="0" w:line="157" w:lineRule="exact"/>
              <w:rPr>
                <w:sz w:val="20"/>
                <w:szCs w:val="20"/>
                <w:color w:val="auto"/>
              </w:rPr>
            </w:pPr>
            <w:r>
              <w:rPr>
                <w:rFonts w:ascii="Arial" w:cs="Arial" w:eastAsia="Arial" w:hAnsi="Arial"/>
                <w:sz w:val="14"/>
                <w:szCs w:val="14"/>
                <w:color w:val="auto"/>
              </w:rPr>
              <w:t>Employees (thousands)</w:t>
            </w:r>
          </w:p>
        </w:tc>
        <w:tc>
          <w:tcPr>
            <w:tcW w:w="960" w:type="dxa"/>
            <w:vAlign w:val="bottom"/>
            <w:tcBorders>
              <w:bottom w:val="single" w:sz="8" w:color="auto"/>
            </w:tcBorders>
          </w:tcPr>
          <w:p>
            <w:pPr>
              <w:jc w:val="right"/>
              <w:ind w:right="148"/>
              <w:spacing w:after="0" w:line="157" w:lineRule="exact"/>
              <w:rPr>
                <w:sz w:val="20"/>
                <w:szCs w:val="20"/>
                <w:color w:val="auto"/>
              </w:rPr>
            </w:pPr>
            <w:r>
              <w:rPr>
                <w:rFonts w:ascii="Arial" w:cs="Arial" w:eastAsia="Arial" w:hAnsi="Arial"/>
                <w:sz w:val="14"/>
                <w:szCs w:val="14"/>
                <w:color w:val="auto"/>
              </w:rPr>
              <w:t>66</w:t>
            </w:r>
          </w:p>
        </w:tc>
        <w:tc>
          <w:tcPr>
            <w:tcW w:w="760" w:type="dxa"/>
            <w:vAlign w:val="bottom"/>
            <w:tcBorders>
              <w:bottom w:val="single" w:sz="8" w:color="auto"/>
            </w:tcBorders>
          </w:tcPr>
          <w:p>
            <w:pPr>
              <w:jc w:val="right"/>
              <w:ind w:right="190"/>
              <w:spacing w:after="0" w:line="157" w:lineRule="exact"/>
              <w:rPr>
                <w:sz w:val="20"/>
                <w:szCs w:val="20"/>
                <w:color w:val="auto"/>
              </w:rPr>
            </w:pPr>
            <w:r>
              <w:rPr>
                <w:rFonts w:ascii="Arial" w:cs="Arial" w:eastAsia="Arial" w:hAnsi="Arial"/>
                <w:sz w:val="14"/>
                <w:szCs w:val="14"/>
                <w:color w:val="auto"/>
              </w:rPr>
              <w:t>71%</w:t>
            </w:r>
          </w:p>
        </w:tc>
        <w:tc>
          <w:tcPr>
            <w:tcW w:w="580" w:type="dxa"/>
            <w:vAlign w:val="bottom"/>
            <w:tcBorders>
              <w:bottom w:val="single" w:sz="8" w:color="auto"/>
            </w:tcBorders>
          </w:tcPr>
          <w:p>
            <w:pPr>
              <w:jc w:val="right"/>
              <w:ind w:right="7"/>
              <w:spacing w:after="0" w:line="157" w:lineRule="exact"/>
              <w:rPr>
                <w:sz w:val="20"/>
                <w:szCs w:val="20"/>
                <w:color w:val="auto"/>
              </w:rPr>
            </w:pPr>
            <w:r>
              <w:rPr>
                <w:rFonts w:ascii="Arial" w:cs="Arial" w:eastAsia="Arial" w:hAnsi="Arial"/>
                <w:sz w:val="14"/>
                <w:szCs w:val="14"/>
                <w:color w:val="auto"/>
              </w:rPr>
              <w:t>28</w:t>
            </w:r>
          </w:p>
        </w:tc>
        <w:tc>
          <w:tcPr>
            <w:tcW w:w="660" w:type="dxa"/>
            <w:vAlign w:val="bottom"/>
            <w:tcBorders>
              <w:bottom w:val="single" w:sz="8" w:color="auto"/>
            </w:tcBorders>
          </w:tcPr>
          <w:p>
            <w:pPr>
              <w:jc w:val="right"/>
              <w:ind w:right="90"/>
              <w:spacing w:after="0" w:line="157" w:lineRule="exact"/>
              <w:rPr>
                <w:sz w:val="20"/>
                <w:szCs w:val="20"/>
                <w:color w:val="auto"/>
              </w:rPr>
            </w:pPr>
            <w:r>
              <w:rPr>
                <w:rFonts w:ascii="Arial" w:cs="Arial" w:eastAsia="Arial" w:hAnsi="Arial"/>
                <w:sz w:val="14"/>
                <w:szCs w:val="14"/>
                <w:color w:val="auto"/>
              </w:rPr>
              <w:t>29%</w:t>
            </w:r>
          </w:p>
        </w:tc>
      </w:tr>
    </w:tbl>
    <w:p>
      <w:pPr>
        <w:spacing w:after="0" w:line="37" w:lineRule="exact"/>
        <w:rPr>
          <w:sz w:val="20"/>
          <w:szCs w:val="20"/>
          <w:color w:val="auto"/>
        </w:rPr>
      </w:pPr>
    </w:p>
    <w:p>
      <w:pPr>
        <w:ind w:right="80" w:firstLine="8"/>
        <w:spacing w:after="0" w:line="235" w:lineRule="auto"/>
        <w:tabs>
          <w:tab w:leader="none" w:pos="162" w:val="left"/>
        </w:tabs>
        <w:numPr>
          <w:ilvl w:val="0"/>
          <w:numId w:val="54"/>
        </w:numPr>
        <w:rPr>
          <w:rFonts w:ascii="Arial" w:cs="Arial" w:eastAsia="Arial" w:hAnsi="Arial"/>
          <w:sz w:val="11"/>
          <w:szCs w:val="11"/>
          <w:color w:val="auto"/>
        </w:rPr>
      </w:pPr>
      <w:r>
        <w:rPr>
          <w:rFonts w:ascii="Arial" w:cs="Arial" w:eastAsia="Arial" w:hAnsi="Arial"/>
          <w:sz w:val="11"/>
          <w:szCs w:val="11"/>
          <w:color w:val="auto"/>
        </w:rPr>
        <w:t>Senior manager is defined in section 414C(9) of the Companies Act 2006 and accordingly the number disclosed comprises the Executive Committee members who were not Directors of the Company as well as other directors of Shell subsidiaries.</w:t>
      </w:r>
    </w:p>
    <w:p>
      <w:pPr>
        <w:spacing w:after="0" w:line="163" w:lineRule="exact"/>
        <w:rPr>
          <w:sz w:val="20"/>
          <w:szCs w:val="20"/>
          <w:color w:val="auto"/>
        </w:rPr>
      </w:pPr>
    </w:p>
    <w:p>
      <w:pPr>
        <w:spacing w:after="0" w:line="244" w:lineRule="auto"/>
        <w:rPr>
          <w:sz w:val="20"/>
          <w:szCs w:val="20"/>
          <w:color w:val="auto"/>
        </w:rPr>
      </w:pPr>
      <w:r>
        <w:rPr>
          <w:rFonts w:ascii="Arial" w:cs="Arial" w:eastAsia="Arial" w:hAnsi="Arial"/>
          <w:sz w:val="14"/>
          <w:szCs w:val="14"/>
          <w:color w:val="auto"/>
        </w:rPr>
        <w:t>With effect from 2014, we revised our local nationals representation metric to ensure it adequately takes account of the senior local nationals working overseas. In 20 selected key business countries, we began measuring local national coverage, which is defined as the number of senior local nationals (both those working in the respective country and those expatriated) as a percentage of the number of senior leadership positions in their base country.</w:t>
      </w:r>
    </w:p>
    <w:p>
      <w:pPr>
        <w:spacing w:after="0" w:line="234" w:lineRule="exact"/>
        <w:rPr>
          <w:sz w:val="20"/>
          <w:szCs w:val="20"/>
          <w:color w:val="auto"/>
        </w:rPr>
      </w:pPr>
    </w:p>
    <w:p>
      <w:pPr>
        <w:ind w:left="80"/>
        <w:spacing w:after="0"/>
        <w:rPr>
          <w:sz w:val="20"/>
          <w:szCs w:val="20"/>
          <w:color w:val="auto"/>
        </w:rPr>
      </w:pPr>
      <w:r>
        <w:rPr>
          <w:rFonts w:ascii="Arial" w:cs="Arial" w:eastAsia="Arial" w:hAnsi="Arial"/>
          <w:sz w:val="15"/>
          <w:szCs w:val="15"/>
          <w:b w:val="1"/>
          <w:bCs w:val="1"/>
          <w:color w:val="FFFFFF"/>
        </w:rPr>
        <w:t>LOCAL NATIONAL COVERAGE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-95250</wp:posOffset>
            </wp:positionV>
            <wp:extent cx="3473450" cy="21463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3473450" cy="214630"/>
                    </a:xfrm>
                    <a:prstGeom prst="rect">
                      <a:avLst/>
                    </a:prstGeom>
                    <a:noFill/>
                  </pic:spPr>
                </pic:pic>
              </a:graphicData>
            </a:graphic>
          </wp:anchor>
        </w:drawing>
      </w:r>
    </w:p>
    <w:p>
      <w:pPr>
        <w:ind w:left="80"/>
        <w:spacing w:after="0"/>
        <w:rPr>
          <w:sz w:val="20"/>
          <w:szCs w:val="20"/>
          <w:color w:val="auto"/>
        </w:rPr>
      </w:pPr>
      <w:r>
        <w:rPr>
          <w:rFonts w:ascii="Arial" w:cs="Arial" w:eastAsia="Arial" w:hAnsi="Arial"/>
          <w:sz w:val="15"/>
          <w:szCs w:val="15"/>
          <w:color w:val="FFFFFF"/>
        </w:rPr>
        <w:t>(AT DECEMBER 31, 2014)</w:t>
      </w:r>
    </w:p>
    <w:tbl>
      <w:tblPr>
        <w:tblLayout w:type="fixed"/>
        <w:tblInd w:w="0" w:type="dxa"/>
        <w:tblCellMar>
          <w:top w:w="0" w:type="dxa"/>
          <w:left w:w="0" w:type="dxa"/>
          <w:bottom w:w="0" w:type="dxa"/>
          <w:right w:w="0" w:type="dxa"/>
        </w:tblCellMar>
      </w:tblPr>
      <w:tr>
        <w:trPr>
          <w:trHeight w:val="142"/>
        </w:trPr>
        <w:tc>
          <w:tcPr>
            <w:tcW w:w="2420" w:type="dxa"/>
            <w:vAlign w:val="bottom"/>
          </w:tcPr>
          <w:p>
            <w:pPr>
              <w:spacing w:after="0"/>
              <w:rPr>
                <w:sz w:val="12"/>
                <w:szCs w:val="12"/>
                <w:color w:val="auto"/>
              </w:rPr>
            </w:pPr>
          </w:p>
        </w:tc>
        <w:tc>
          <w:tcPr>
            <w:tcW w:w="3060" w:type="dxa"/>
            <w:vAlign w:val="bottom"/>
            <w:tcBorders>
              <w:bottom w:val="single" w:sz="8" w:color="auto"/>
            </w:tcBorders>
            <w:gridSpan w:val="2"/>
          </w:tcPr>
          <w:p>
            <w:pPr>
              <w:jc w:val="right"/>
              <w:ind w:right="530"/>
              <w:spacing w:after="0" w:line="142" w:lineRule="exact"/>
              <w:rPr>
                <w:sz w:val="20"/>
                <w:szCs w:val="20"/>
                <w:color w:val="auto"/>
              </w:rPr>
            </w:pPr>
            <w:r>
              <w:rPr>
                <w:rFonts w:ascii="Arial" w:cs="Arial" w:eastAsia="Arial" w:hAnsi="Arial"/>
                <w:sz w:val="13"/>
                <w:szCs w:val="13"/>
                <w:color w:val="auto"/>
              </w:rPr>
              <w:t>Number of selected countries</w:t>
            </w:r>
          </w:p>
        </w:tc>
      </w:tr>
      <w:tr>
        <w:trPr>
          <w:trHeight w:val="129"/>
        </w:trPr>
        <w:tc>
          <w:tcPr>
            <w:tcW w:w="2420" w:type="dxa"/>
            <w:vAlign w:val="bottom"/>
            <w:tcBorders>
              <w:bottom w:val="single" w:sz="8" w:color="auto"/>
            </w:tcBorders>
          </w:tcPr>
          <w:p>
            <w:pPr>
              <w:spacing w:after="0"/>
              <w:rPr>
                <w:sz w:val="11"/>
                <w:szCs w:val="11"/>
                <w:color w:val="auto"/>
              </w:rPr>
            </w:pPr>
          </w:p>
        </w:tc>
        <w:tc>
          <w:tcPr>
            <w:tcW w:w="1500" w:type="dxa"/>
            <w:vAlign w:val="bottom"/>
            <w:tcBorders>
              <w:bottom w:val="single" w:sz="8" w:color="auto"/>
            </w:tcBorders>
            <w:shd w:val="clear" w:color="auto" w:fill="D8D8D8"/>
          </w:tcPr>
          <w:p>
            <w:pPr>
              <w:jc w:val="right"/>
              <w:ind w:right="472"/>
              <w:spacing w:after="0" w:line="129" w:lineRule="exact"/>
              <w:rPr>
                <w:sz w:val="20"/>
                <w:szCs w:val="20"/>
                <w:color w:val="auto"/>
              </w:rPr>
            </w:pPr>
            <w:r>
              <w:rPr>
                <w:rFonts w:ascii="Arial" w:cs="Arial" w:eastAsia="Arial" w:hAnsi="Arial"/>
                <w:sz w:val="13"/>
                <w:szCs w:val="13"/>
                <w:color w:val="auto"/>
              </w:rPr>
              <w:t>2014</w:t>
            </w:r>
          </w:p>
        </w:tc>
        <w:tc>
          <w:tcPr>
            <w:tcW w:w="1560" w:type="dxa"/>
            <w:vAlign w:val="bottom"/>
            <w:tcBorders>
              <w:bottom w:val="single" w:sz="8" w:color="auto"/>
            </w:tcBorders>
          </w:tcPr>
          <w:p>
            <w:pPr>
              <w:jc w:val="right"/>
              <w:ind w:right="530"/>
              <w:spacing w:after="0" w:line="129" w:lineRule="exact"/>
              <w:rPr>
                <w:sz w:val="20"/>
                <w:szCs w:val="20"/>
                <w:color w:val="auto"/>
              </w:rPr>
            </w:pPr>
            <w:r>
              <w:rPr>
                <w:rFonts w:ascii="Arial" w:cs="Arial" w:eastAsia="Arial" w:hAnsi="Arial"/>
                <w:sz w:val="13"/>
                <w:szCs w:val="13"/>
                <w:color w:val="auto"/>
              </w:rPr>
              <w:t>2013</w:t>
            </w:r>
          </w:p>
        </w:tc>
      </w:tr>
      <w:tr>
        <w:trPr>
          <w:trHeight w:val="156"/>
        </w:trPr>
        <w:tc>
          <w:tcPr>
            <w:tcW w:w="2420" w:type="dxa"/>
            <w:vAlign w:val="bottom"/>
          </w:tcPr>
          <w:p>
            <w:pPr>
              <w:ind w:left="20"/>
              <w:spacing w:after="0" w:line="155" w:lineRule="exact"/>
              <w:rPr>
                <w:sz w:val="20"/>
                <w:szCs w:val="20"/>
                <w:color w:val="auto"/>
              </w:rPr>
            </w:pPr>
            <w:r>
              <w:rPr>
                <w:rFonts w:ascii="Arial" w:cs="Arial" w:eastAsia="Arial" w:hAnsi="Arial"/>
                <w:sz w:val="14"/>
                <w:szCs w:val="14"/>
                <w:color w:val="auto"/>
              </w:rPr>
              <w:t>Greater than 80%</w:t>
            </w:r>
          </w:p>
        </w:tc>
        <w:tc>
          <w:tcPr>
            <w:tcW w:w="1500" w:type="dxa"/>
            <w:vAlign w:val="bottom"/>
            <w:shd w:val="clear" w:color="auto" w:fill="D8D8D8"/>
          </w:tcPr>
          <w:p>
            <w:pPr>
              <w:jc w:val="right"/>
              <w:ind w:right="472"/>
              <w:spacing w:after="0" w:line="155" w:lineRule="exact"/>
              <w:rPr>
                <w:sz w:val="20"/>
                <w:szCs w:val="20"/>
                <w:color w:val="auto"/>
              </w:rPr>
            </w:pPr>
            <w:r>
              <w:rPr>
                <w:rFonts w:ascii="Arial" w:cs="Arial" w:eastAsia="Arial" w:hAnsi="Arial"/>
                <w:sz w:val="14"/>
                <w:szCs w:val="14"/>
                <w:color w:val="auto"/>
              </w:rPr>
              <w:t>12</w:t>
            </w:r>
          </w:p>
        </w:tc>
        <w:tc>
          <w:tcPr>
            <w:tcW w:w="1560" w:type="dxa"/>
            <w:vAlign w:val="bottom"/>
          </w:tcPr>
          <w:p>
            <w:pPr>
              <w:jc w:val="right"/>
              <w:ind w:right="530"/>
              <w:spacing w:after="0" w:line="155" w:lineRule="exact"/>
              <w:rPr>
                <w:sz w:val="20"/>
                <w:szCs w:val="20"/>
                <w:color w:val="auto"/>
              </w:rPr>
            </w:pPr>
            <w:r>
              <w:rPr>
                <w:rFonts w:ascii="Arial" w:cs="Arial" w:eastAsia="Arial" w:hAnsi="Arial"/>
                <w:sz w:val="14"/>
                <w:szCs w:val="14"/>
                <w:color w:val="auto"/>
              </w:rPr>
              <w:t>12</w:t>
            </w:r>
          </w:p>
        </w:tc>
      </w:tr>
      <w:tr>
        <w:trPr>
          <w:trHeight w:val="162"/>
        </w:trPr>
        <w:tc>
          <w:tcPr>
            <w:tcW w:w="24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Less than 80%</w:t>
            </w:r>
          </w:p>
        </w:tc>
        <w:tc>
          <w:tcPr>
            <w:tcW w:w="1500" w:type="dxa"/>
            <w:vAlign w:val="bottom"/>
            <w:tcBorders>
              <w:bottom w:val="single" w:sz="8" w:color="auto"/>
            </w:tcBorders>
            <w:shd w:val="clear" w:color="auto" w:fill="D8D8D8"/>
          </w:tcPr>
          <w:p>
            <w:pPr>
              <w:jc w:val="right"/>
              <w:ind w:right="472"/>
              <w:spacing w:after="0"/>
              <w:rPr>
                <w:sz w:val="20"/>
                <w:szCs w:val="20"/>
                <w:color w:val="auto"/>
              </w:rPr>
            </w:pPr>
            <w:r>
              <w:rPr>
                <w:rFonts w:ascii="Arial" w:cs="Arial" w:eastAsia="Arial" w:hAnsi="Arial"/>
                <w:sz w:val="14"/>
                <w:szCs w:val="14"/>
                <w:color w:val="auto"/>
              </w:rPr>
              <w:t>8</w:t>
            </w:r>
          </w:p>
        </w:tc>
        <w:tc>
          <w:tcPr>
            <w:tcW w:w="1560" w:type="dxa"/>
            <w:vAlign w:val="bottom"/>
            <w:tcBorders>
              <w:bottom w:val="single" w:sz="8" w:color="auto"/>
            </w:tcBorders>
          </w:tcPr>
          <w:p>
            <w:pPr>
              <w:jc w:val="right"/>
              <w:ind w:right="530"/>
              <w:spacing w:after="0"/>
              <w:rPr>
                <w:sz w:val="20"/>
                <w:szCs w:val="20"/>
                <w:color w:val="auto"/>
              </w:rPr>
            </w:pPr>
            <w:r>
              <w:rPr>
                <w:rFonts w:ascii="Arial" w:cs="Arial" w:eastAsia="Arial" w:hAnsi="Arial"/>
                <w:sz w:val="14"/>
                <w:szCs w:val="14"/>
                <w:color w:val="auto"/>
              </w:rPr>
              <w:t>8</w:t>
            </w:r>
          </w:p>
        </w:tc>
      </w:tr>
      <w:tr>
        <w:trPr>
          <w:trHeight w:val="156"/>
        </w:trPr>
        <w:tc>
          <w:tcPr>
            <w:tcW w:w="2420" w:type="dxa"/>
            <w:vAlign w:val="bottom"/>
            <w:tcBorders>
              <w:bottom w:val="single" w:sz="8" w:color="auto"/>
            </w:tcBorders>
          </w:tcPr>
          <w:p>
            <w:pPr>
              <w:ind w:left="20"/>
              <w:spacing w:after="0" w:line="155" w:lineRule="exact"/>
              <w:rPr>
                <w:sz w:val="20"/>
                <w:szCs w:val="20"/>
                <w:color w:val="auto"/>
              </w:rPr>
            </w:pPr>
            <w:r>
              <w:rPr>
                <w:rFonts w:ascii="Arial" w:cs="Arial" w:eastAsia="Arial" w:hAnsi="Arial"/>
                <w:sz w:val="14"/>
                <w:szCs w:val="14"/>
                <w:color w:val="auto"/>
              </w:rPr>
              <w:t>Total</w:t>
            </w:r>
          </w:p>
        </w:tc>
        <w:tc>
          <w:tcPr>
            <w:tcW w:w="1500" w:type="dxa"/>
            <w:vAlign w:val="bottom"/>
            <w:tcBorders>
              <w:bottom w:val="single" w:sz="8" w:color="auto"/>
            </w:tcBorders>
            <w:shd w:val="clear" w:color="auto" w:fill="D8D8D8"/>
          </w:tcPr>
          <w:p>
            <w:pPr>
              <w:jc w:val="right"/>
              <w:ind w:right="472"/>
              <w:spacing w:after="0" w:line="155" w:lineRule="exact"/>
              <w:rPr>
                <w:sz w:val="20"/>
                <w:szCs w:val="20"/>
                <w:color w:val="auto"/>
              </w:rPr>
            </w:pPr>
            <w:r>
              <w:rPr>
                <w:rFonts w:ascii="Arial" w:cs="Arial" w:eastAsia="Arial" w:hAnsi="Arial"/>
                <w:sz w:val="14"/>
                <w:szCs w:val="14"/>
                <w:color w:val="auto"/>
              </w:rPr>
              <w:t>20</w:t>
            </w:r>
          </w:p>
        </w:tc>
        <w:tc>
          <w:tcPr>
            <w:tcW w:w="1560" w:type="dxa"/>
            <w:vAlign w:val="bottom"/>
            <w:tcBorders>
              <w:bottom w:val="single" w:sz="8" w:color="auto"/>
            </w:tcBorders>
          </w:tcPr>
          <w:p>
            <w:pPr>
              <w:jc w:val="right"/>
              <w:ind w:right="530"/>
              <w:spacing w:after="0" w:line="155" w:lineRule="exact"/>
              <w:rPr>
                <w:sz w:val="20"/>
                <w:szCs w:val="20"/>
                <w:color w:val="auto"/>
              </w:rPr>
            </w:pPr>
            <w:r>
              <w:rPr>
                <w:rFonts w:ascii="Arial" w:cs="Arial" w:eastAsia="Arial" w:hAnsi="Arial"/>
                <w:sz w:val="14"/>
                <w:szCs w:val="14"/>
                <w:color w:val="auto"/>
              </w:rPr>
              <w:t>20</w:t>
            </w:r>
          </w:p>
        </w:tc>
      </w:tr>
    </w:tbl>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EMPLOYEE SHARE PLANS</w:t>
      </w:r>
    </w:p>
    <w:p>
      <w:pPr>
        <w:spacing w:after="0" w:line="1" w:lineRule="exact"/>
        <w:rPr>
          <w:sz w:val="20"/>
          <w:szCs w:val="20"/>
          <w:color w:val="auto"/>
        </w:rPr>
      </w:pPr>
    </w:p>
    <w:p>
      <w:pPr>
        <w:ind w:right="60"/>
        <w:spacing w:after="0" w:line="248" w:lineRule="auto"/>
        <w:rPr>
          <w:sz w:val="20"/>
          <w:szCs w:val="20"/>
          <w:color w:val="auto"/>
        </w:rPr>
      </w:pPr>
      <w:r>
        <w:rPr>
          <w:rFonts w:ascii="Arial" w:cs="Arial" w:eastAsia="Arial" w:hAnsi="Arial"/>
          <w:sz w:val="14"/>
          <w:szCs w:val="14"/>
          <w:color w:val="auto"/>
        </w:rPr>
        <w:t>Shell has a number of share plans designed to align employees’ interests with Shell’s performance through share ownership. For information on the share-based compensation plans for Executive Directors, see the “Directors’ Remuneration Report”.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419"/>
        </w:trPr>
        <w:tc>
          <w:tcPr>
            <w:tcW w:w="3780" w:type="dxa"/>
            <w:vAlign w:val="bottom"/>
            <w:shd w:val="clear" w:color="auto" w:fill="FF8B00"/>
          </w:tcPr>
          <w:p>
            <w:pPr>
              <w:spacing w:after="0"/>
              <w:rPr>
                <w:sz w:val="24"/>
                <w:szCs w:val="24"/>
                <w:color w:val="auto"/>
              </w:rPr>
            </w:pPr>
          </w:p>
        </w:tc>
        <w:tc>
          <w:tcPr>
            <w:tcW w:w="2040" w:type="dxa"/>
            <w:vAlign w:val="bottom"/>
            <w:shd w:val="clear" w:color="auto" w:fill="FF8B00"/>
          </w:tcPr>
          <w:p>
            <w:pPr>
              <w:spacing w:after="0"/>
              <w:rPr>
                <w:sz w:val="24"/>
                <w:szCs w:val="24"/>
                <w:color w:val="auto"/>
              </w:rPr>
            </w:pPr>
          </w:p>
        </w:tc>
      </w:tr>
      <w:tr>
        <w:trPr>
          <w:trHeight w:val="152"/>
        </w:trPr>
        <w:tc>
          <w:tcPr>
            <w:tcW w:w="3780" w:type="dxa"/>
            <w:vAlign w:val="bottom"/>
          </w:tcPr>
          <w:p>
            <w:pPr>
              <w:ind w:left="940"/>
              <w:spacing w:after="0"/>
              <w:rPr>
                <w:sz w:val="20"/>
                <w:szCs w:val="20"/>
                <w:color w:val="auto"/>
              </w:rPr>
            </w:pPr>
            <w:r>
              <w:rPr>
                <w:rFonts w:ascii="Arial" w:cs="Arial" w:eastAsia="Arial" w:hAnsi="Arial"/>
                <w:sz w:val="13"/>
                <w:szCs w:val="13"/>
                <w:color w:val="333333"/>
              </w:rPr>
              <w:t>STRATEGIC REPORT</w:t>
            </w:r>
          </w:p>
        </w:tc>
        <w:tc>
          <w:tcPr>
            <w:tcW w:w="2040" w:type="dxa"/>
            <w:vAlign w:val="bottom"/>
          </w:tcPr>
          <w:p>
            <w:pPr>
              <w:jc w:val="right"/>
              <w:ind w:right="306"/>
              <w:spacing w:after="0"/>
              <w:rPr>
                <w:sz w:val="20"/>
                <w:szCs w:val="20"/>
                <w:color w:val="auto"/>
              </w:rPr>
            </w:pPr>
            <w:r>
              <w:rPr>
                <w:rFonts w:ascii="Arial" w:cs="Arial" w:eastAsia="Arial" w:hAnsi="Arial"/>
                <w:sz w:val="11"/>
                <w:szCs w:val="11"/>
                <w:b w:val="1"/>
                <w:bCs w:val="1"/>
                <w:color w:val="333333"/>
              </w:rPr>
              <w:t>57</w:t>
            </w:r>
          </w:p>
        </w:tc>
      </w:tr>
    </w:tbl>
    <w:p>
      <w:pPr>
        <w:spacing w:after="0" w:line="155" w:lineRule="exact"/>
        <w:rPr>
          <w:sz w:val="20"/>
          <w:szCs w:val="20"/>
          <w:color w:val="auto"/>
        </w:rPr>
      </w:pPr>
    </w:p>
    <w:p>
      <w:pPr>
        <w:ind w:left="940"/>
        <w:spacing w:after="0"/>
        <w:rPr>
          <w:sz w:val="20"/>
          <w:szCs w:val="20"/>
          <w:color w:val="auto"/>
        </w:rPr>
      </w:pPr>
      <w:r>
        <w:rPr>
          <w:rFonts w:ascii="Arial" w:cs="Arial" w:eastAsia="Arial" w:hAnsi="Arial"/>
          <w:sz w:val="11"/>
          <w:szCs w:val="11"/>
          <w:color w:val="auto"/>
        </w:rPr>
        <w:t>OUR PEOPLE</w:t>
      </w:r>
    </w:p>
    <w:p>
      <w:pPr>
        <w:spacing w:after="0" w:line="51" w:lineRule="exact"/>
        <w:rPr>
          <w:sz w:val="20"/>
          <w:szCs w:val="20"/>
          <w:color w:val="auto"/>
        </w:rPr>
      </w:pPr>
    </w:p>
    <w:p>
      <w:pPr>
        <w:ind w:left="180"/>
        <w:spacing w:after="0"/>
        <w:rPr>
          <w:sz w:val="20"/>
          <w:szCs w:val="20"/>
          <w:color w:val="auto"/>
        </w:rPr>
      </w:pPr>
      <w:r>
        <w:rPr>
          <w:rFonts w:ascii="Arial" w:cs="Arial" w:eastAsia="Arial" w:hAnsi="Arial"/>
          <w:sz w:val="18"/>
          <w:szCs w:val="18"/>
          <w:color w:val="auto"/>
        </w:rPr>
        <w:t>Performance Share Plan and Long-term Incentive Plan</w:t>
      </w:r>
    </w:p>
    <w:p>
      <w:pPr>
        <w:spacing w:after="0" w:line="1" w:lineRule="exact"/>
        <w:rPr>
          <w:sz w:val="20"/>
          <w:szCs w:val="20"/>
          <w:color w:val="auto"/>
        </w:rPr>
      </w:pPr>
    </w:p>
    <w:p>
      <w:pPr>
        <w:ind w:left="180" w:right="200"/>
        <w:spacing w:after="0" w:line="242" w:lineRule="auto"/>
        <w:rPr>
          <w:sz w:val="20"/>
          <w:szCs w:val="20"/>
          <w:color w:val="auto"/>
        </w:rPr>
      </w:pPr>
      <w:r>
        <w:rPr>
          <w:rFonts w:ascii="Arial" w:cs="Arial" w:eastAsia="Arial" w:hAnsi="Arial"/>
          <w:sz w:val="14"/>
          <w:szCs w:val="14"/>
          <w:color w:val="auto"/>
        </w:rPr>
        <w:t>Conditional awards of the Company’s shares are made under the terms of the Performance Share Plan (PSP) to some 17,000 employees each year. From 2015, senior executives will receive conditional awards of the Company’s shares under the terms of the Long-term Incentive Plan (LTIP) rather than under the terms of the PSP. The extent to which the awards vest under both plans is determined over a three-year performance period but the performance conditions applicable to each plan are different. Under the PSP, half of the award is linked to the key performance indicators described in “Performance Indicators”, averaged over the period. The other half of the award is linked to a comparative performance condition which involves a comparison with four of our main competitors over the period, based on four relative performance measures. Under the LTIP, the award is solely linked to the comparative performance condition described above. Under both plans, all shares that vest are increased by an amount equal to the notional dividends accrued on those shares during the period from the award date to the vesting date. In certain circumstances awards may be adjusted before delivery or reclaimed after delivery. None of the awards results in beneficial ownership until the shares vest. See Note 21 to the “Consolidated Financial Statements”.</w:t>
      </w:r>
    </w:p>
    <w:p>
      <w:pPr>
        <w:spacing w:after="0" w:line="17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Restricted Share Plan</w:t>
      </w:r>
    </w:p>
    <w:p>
      <w:pPr>
        <w:spacing w:after="0" w:line="1" w:lineRule="exact"/>
        <w:rPr>
          <w:sz w:val="20"/>
          <w:szCs w:val="20"/>
          <w:color w:val="auto"/>
        </w:rPr>
      </w:pPr>
    </w:p>
    <w:p>
      <w:pPr>
        <w:ind w:left="180" w:right="340"/>
        <w:spacing w:after="0" w:line="245" w:lineRule="auto"/>
        <w:rPr>
          <w:sz w:val="20"/>
          <w:szCs w:val="20"/>
          <w:color w:val="auto"/>
        </w:rPr>
      </w:pPr>
      <w:r>
        <w:rPr>
          <w:rFonts w:ascii="Arial" w:cs="Arial" w:eastAsia="Arial" w:hAnsi="Arial"/>
          <w:sz w:val="14"/>
          <w:szCs w:val="14"/>
          <w:color w:val="auto"/>
        </w:rPr>
        <w:t>Under the Restricted Share Plan, awards are made on a highly selective basis to senior staff. Shares are awarded subject to a three-year retention period. All shares that vest are increased by an amount equal to the notional dividends accrued on those shares during the period from the award date to the vesting date. In certain circumstances awards may be adjusted before delivery or reclaimed after delivery.</w:t>
      </w:r>
    </w:p>
    <w:p>
      <w:pPr>
        <w:spacing w:after="0" w:line="15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Global Employee Share Purchase Plan</w:t>
      </w:r>
    </w:p>
    <w:p>
      <w:pPr>
        <w:spacing w:after="0" w:line="1" w:lineRule="exact"/>
        <w:rPr>
          <w:sz w:val="20"/>
          <w:szCs w:val="20"/>
          <w:color w:val="auto"/>
        </w:rPr>
      </w:pPr>
    </w:p>
    <w:p>
      <w:pPr>
        <w:ind w:left="180" w:right="180"/>
        <w:spacing w:after="0" w:line="245" w:lineRule="auto"/>
        <w:rPr>
          <w:sz w:val="20"/>
          <w:szCs w:val="20"/>
          <w:color w:val="auto"/>
        </w:rPr>
      </w:pPr>
      <w:r>
        <w:rPr>
          <w:rFonts w:ascii="Arial" w:cs="Arial" w:eastAsia="Arial" w:hAnsi="Arial"/>
          <w:sz w:val="14"/>
          <w:szCs w:val="14"/>
          <w:color w:val="auto"/>
        </w:rPr>
        <w:t>Eligible employees in participating countries may participate in the Global Employee Share Purchase Plan. This plan enables them to make contributions from net pay towards the purchase of the Company’s shares at a 15% discount to the market price, either at the start or at the end of an annual cycle, whichever date offers the lower market price.</w:t>
      </w:r>
    </w:p>
    <w:p>
      <w:pPr>
        <w:spacing w:after="0" w:line="15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UK Sharesave Scheme</w:t>
      </w:r>
    </w:p>
    <w:p>
      <w:pPr>
        <w:spacing w:after="0" w:line="1" w:lineRule="exact"/>
        <w:rPr>
          <w:sz w:val="20"/>
          <w:szCs w:val="20"/>
          <w:color w:val="auto"/>
        </w:rPr>
      </w:pPr>
    </w:p>
    <w:p>
      <w:pPr>
        <w:ind w:left="180" w:right="220"/>
        <w:spacing w:after="0" w:line="247" w:lineRule="auto"/>
        <w:rPr>
          <w:sz w:val="20"/>
          <w:szCs w:val="20"/>
          <w:color w:val="auto"/>
        </w:rPr>
      </w:pPr>
      <w:r>
        <w:rPr>
          <w:rFonts w:ascii="Arial" w:cs="Arial" w:eastAsia="Arial" w:hAnsi="Arial"/>
          <w:sz w:val="14"/>
          <w:szCs w:val="14"/>
          <w:color w:val="auto"/>
        </w:rPr>
        <w:t>Eligible employees of participating companies in the UK may participate in the UK Sharesave Scheme. Options are granted over the Company’s shares at market value on the invitation date. These options are normally exercisable after completion of a three-year or five-year contractual savings period.</w:t>
      </w:r>
    </w:p>
    <w:p>
      <w:pPr>
        <w:spacing w:after="0" w:line="16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UK Shell All Employee Share Ownership Plan</w:t>
      </w:r>
    </w:p>
    <w:p>
      <w:pPr>
        <w:spacing w:after="0" w:line="1" w:lineRule="exact"/>
        <w:rPr>
          <w:sz w:val="20"/>
          <w:szCs w:val="20"/>
          <w:color w:val="auto"/>
        </w:rPr>
      </w:pPr>
    </w:p>
    <w:p>
      <w:pPr>
        <w:jc w:val="both"/>
        <w:ind w:left="180" w:right="320"/>
        <w:spacing w:after="0" w:line="250" w:lineRule="auto"/>
        <w:rPr>
          <w:sz w:val="20"/>
          <w:szCs w:val="20"/>
          <w:color w:val="auto"/>
        </w:rPr>
      </w:pPr>
      <w:r>
        <w:rPr>
          <w:rFonts w:ascii="Arial" w:cs="Arial" w:eastAsia="Arial" w:hAnsi="Arial"/>
          <w:sz w:val="14"/>
          <w:szCs w:val="14"/>
          <w:color w:val="auto"/>
        </w:rPr>
        <w:t>Eligible employees of participating companies in the UK may participate in the Shell All Employee Share Ownership Plan, under which monthly contributions from gross pay are made towards the purchase of the Company’s shares.</w:t>
      </w:r>
    </w:p>
    <w:p>
      <w:pPr>
        <w:spacing w:after="0" w:line="199" w:lineRule="exact"/>
        <w:rPr>
          <w:sz w:val="20"/>
          <w:szCs w:val="20"/>
          <w:color w:val="auto"/>
        </w:rPr>
      </w:pPr>
    </w:p>
    <w:p>
      <w:pPr>
        <w:ind w:left="180"/>
        <w:spacing w:after="0"/>
        <w:rPr>
          <w:sz w:val="20"/>
          <w:szCs w:val="20"/>
          <w:color w:val="auto"/>
        </w:rPr>
      </w:pPr>
      <w:r>
        <w:rPr>
          <w:rFonts w:ascii="Arial" w:cs="Arial" w:eastAsia="Arial" w:hAnsi="Arial"/>
          <w:sz w:val="14"/>
          <w:szCs w:val="14"/>
          <w:color w:val="auto"/>
        </w:rPr>
        <w:t>Strategic Report signed on behalf of the Board</w:t>
      </w:r>
    </w:p>
    <w:p>
      <w:pPr>
        <w:spacing w:after="0" w:line="204" w:lineRule="exact"/>
        <w:rPr>
          <w:sz w:val="20"/>
          <w:szCs w:val="20"/>
          <w:color w:val="auto"/>
        </w:rPr>
      </w:pPr>
    </w:p>
    <w:p>
      <w:pPr>
        <w:ind w:left="180"/>
        <w:spacing w:after="0"/>
        <w:rPr>
          <w:sz w:val="20"/>
          <w:szCs w:val="20"/>
          <w:color w:val="auto"/>
        </w:rPr>
      </w:pPr>
      <w:r>
        <w:rPr>
          <w:rFonts w:ascii="Arial" w:cs="Arial" w:eastAsia="Arial" w:hAnsi="Arial"/>
          <w:sz w:val="14"/>
          <w:szCs w:val="14"/>
          <w:color w:val="auto"/>
        </w:rPr>
        <w:t>/s/ Michiel Brandjes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111125</wp:posOffset>
            </wp:positionH>
            <wp:positionV relativeFrom="paragraph">
              <wp:posOffset>134620</wp:posOffset>
            </wp:positionV>
            <wp:extent cx="3473450" cy="88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spacing w:after="0" w:line="193" w:lineRule="exact"/>
        <w:rPr>
          <w:sz w:val="20"/>
          <w:szCs w:val="20"/>
          <w:color w:val="auto"/>
        </w:rPr>
      </w:pPr>
    </w:p>
    <w:p>
      <w:pPr>
        <w:ind w:left="180"/>
        <w:spacing w:after="0"/>
        <w:rPr>
          <w:sz w:val="20"/>
          <w:szCs w:val="20"/>
          <w:color w:val="auto"/>
        </w:rPr>
      </w:pPr>
      <w:r>
        <w:rPr>
          <w:rFonts w:ascii="Arial" w:cs="Arial" w:eastAsia="Arial" w:hAnsi="Arial"/>
          <w:sz w:val="14"/>
          <w:szCs w:val="14"/>
          <w:b w:val="1"/>
          <w:bCs w:val="1"/>
          <w:color w:val="auto"/>
        </w:rPr>
        <w:t>Michiel Brandjes</w:t>
      </w:r>
    </w:p>
    <w:p>
      <w:pPr>
        <w:spacing w:after="0" w:line="19" w:lineRule="exact"/>
        <w:rPr>
          <w:sz w:val="20"/>
          <w:szCs w:val="20"/>
          <w:color w:val="auto"/>
        </w:rPr>
      </w:pPr>
    </w:p>
    <w:p>
      <w:pPr>
        <w:ind w:left="180"/>
        <w:spacing w:after="0"/>
        <w:rPr>
          <w:sz w:val="20"/>
          <w:szCs w:val="20"/>
          <w:color w:val="auto"/>
        </w:rPr>
      </w:pPr>
      <w:r>
        <w:rPr>
          <w:rFonts w:ascii="Arial" w:cs="Arial" w:eastAsia="Arial" w:hAnsi="Arial"/>
          <w:sz w:val="14"/>
          <w:szCs w:val="14"/>
          <w:color w:val="auto"/>
        </w:rPr>
        <w:t>Company Secretary</w:t>
      </w:r>
    </w:p>
    <w:p>
      <w:pPr>
        <w:spacing w:after="0" w:line="1" w:lineRule="exact"/>
        <w:rPr>
          <w:sz w:val="20"/>
          <w:szCs w:val="20"/>
          <w:color w:val="auto"/>
        </w:rPr>
      </w:pPr>
    </w:p>
    <w:p>
      <w:pPr>
        <w:ind w:left="180"/>
        <w:spacing w:after="0"/>
        <w:rPr>
          <w:sz w:val="20"/>
          <w:szCs w:val="20"/>
          <w:color w:val="auto"/>
        </w:rPr>
      </w:pPr>
      <w:r>
        <w:rPr>
          <w:rFonts w:ascii="Arial" w:cs="Arial" w:eastAsia="Arial" w:hAnsi="Arial"/>
          <w:sz w:val="14"/>
          <w:szCs w:val="14"/>
          <w:color w:val="auto"/>
        </w:rPr>
        <w:t>March 11, 2015</w:t>
      </w:r>
    </w:p>
    <w:p>
      <w:pPr>
        <w:sectPr>
          <w:pgSz w:w="11900" w:h="16838" w:orient="portrait"/>
          <w:cols w:equalWidth="0" w:num="2">
            <w:col w:w="5480" w:space="120"/>
            <w:col w:w="5820"/>
          </w:cols>
          <w:pgMar w:left="240" w:top="459" w:right="239" w:bottom="1440" w:gutter="0" w:footer="0" w:header="0"/>
          <w:type w:val="continuous"/>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300355</wp:posOffset>
            </wp:positionV>
            <wp:extent cx="3627755" cy="46291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3627755" cy="462915"/>
                    </a:xfrm>
                    <a:prstGeom prst="rect">
                      <a:avLst/>
                    </a:prstGeom>
                    <a:noFill/>
                  </pic:spPr>
                </pic:pic>
              </a:graphicData>
            </a:graphic>
          </wp:anchor>
        </w:drawing>
      </w:r>
    </w:p>
    <w:p>
      <w:pPr>
        <w:spacing w:after="0" w:line="200" w:lineRule="exact"/>
        <w:rPr>
          <w:sz w:val="20"/>
          <w:szCs w:val="20"/>
          <w:color w:val="auto"/>
        </w:rPr>
      </w:pP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419"/>
        </w:trPr>
        <w:tc>
          <w:tcPr>
            <w:tcW w:w="2260" w:type="dxa"/>
            <w:vAlign w:val="bottom"/>
            <w:shd w:val="clear" w:color="auto" w:fill="FF8B00"/>
          </w:tcPr>
          <w:p>
            <w:pPr>
              <w:spacing w:after="0"/>
              <w:rPr>
                <w:sz w:val="24"/>
                <w:szCs w:val="24"/>
                <w:color w:val="auto"/>
              </w:rPr>
            </w:pPr>
          </w:p>
        </w:tc>
        <w:tc>
          <w:tcPr>
            <w:tcW w:w="3460" w:type="dxa"/>
            <w:vAlign w:val="bottom"/>
            <w:shd w:val="clear" w:color="auto" w:fill="FF8B00"/>
          </w:tcPr>
          <w:p>
            <w:pPr>
              <w:spacing w:after="0"/>
              <w:rPr>
                <w:sz w:val="24"/>
                <w:szCs w:val="24"/>
                <w:color w:val="auto"/>
              </w:rPr>
            </w:pPr>
          </w:p>
        </w:tc>
      </w:tr>
      <w:tr>
        <w:trPr>
          <w:trHeight w:val="152"/>
        </w:trPr>
        <w:tc>
          <w:tcPr>
            <w:tcW w:w="2260" w:type="dxa"/>
            <w:vAlign w:val="bottom"/>
          </w:tcPr>
          <w:p>
            <w:pPr>
              <w:jc w:val="right"/>
              <w:ind w:right="1726"/>
              <w:spacing w:after="0"/>
              <w:rPr>
                <w:sz w:val="20"/>
                <w:szCs w:val="20"/>
                <w:color w:val="auto"/>
              </w:rPr>
            </w:pPr>
            <w:r>
              <w:rPr>
                <w:rFonts w:ascii="Arial" w:cs="Arial" w:eastAsia="Arial" w:hAnsi="Arial"/>
                <w:sz w:val="11"/>
                <w:szCs w:val="11"/>
                <w:b w:val="1"/>
                <w:bCs w:val="1"/>
                <w:color w:val="333333"/>
              </w:rPr>
              <w:t>58</w:t>
            </w:r>
          </w:p>
        </w:tc>
        <w:tc>
          <w:tcPr>
            <w:tcW w:w="3460" w:type="dxa"/>
            <w:vAlign w:val="bottom"/>
          </w:tcPr>
          <w:p>
            <w:pPr>
              <w:ind w:left="1780"/>
              <w:spacing w:after="0"/>
              <w:rPr>
                <w:sz w:val="20"/>
                <w:szCs w:val="20"/>
                <w:color w:val="auto"/>
              </w:rPr>
            </w:pPr>
            <w:r>
              <w:rPr>
                <w:rFonts w:ascii="Arial" w:cs="Arial" w:eastAsia="Arial" w:hAnsi="Arial"/>
                <w:sz w:val="13"/>
                <w:szCs w:val="13"/>
                <w:color w:val="333333"/>
              </w:rPr>
              <w:t>GOVERNANCE</w:t>
            </w:r>
          </w:p>
        </w:tc>
      </w:tr>
    </w:tbl>
    <w:p>
      <w:pPr>
        <w:spacing w:after="0" w:line="155" w:lineRule="exact"/>
        <w:rPr>
          <w:sz w:val="20"/>
          <w:szCs w:val="20"/>
          <w:color w:val="auto"/>
        </w:rPr>
      </w:pPr>
    </w:p>
    <w:p>
      <w:pPr>
        <w:ind w:left="2720"/>
        <w:spacing w:after="0"/>
        <w:rPr>
          <w:sz w:val="20"/>
          <w:szCs w:val="20"/>
          <w:color w:val="auto"/>
        </w:rPr>
      </w:pPr>
      <w:r>
        <w:rPr>
          <w:rFonts w:ascii="Arial" w:cs="Arial" w:eastAsia="Arial" w:hAnsi="Arial"/>
          <w:sz w:val="11"/>
          <w:szCs w:val="11"/>
          <w:color w:val="auto"/>
        </w:rPr>
        <w:t>THE BOARD OF ROYAL DUTCH SHELL PLC</w:t>
      </w:r>
    </w:p>
    <w:p>
      <w:pPr>
        <w:spacing w:after="0" w:line="2" w:lineRule="exact"/>
        <w:rPr>
          <w:sz w:val="20"/>
          <w:szCs w:val="20"/>
          <w:color w:val="auto"/>
        </w:rPr>
      </w:pPr>
    </w:p>
    <w:p>
      <w:pPr>
        <w:spacing w:after="0"/>
        <w:rPr>
          <w:sz w:val="20"/>
          <w:szCs w:val="20"/>
          <w:color w:val="auto"/>
        </w:rPr>
      </w:pPr>
      <w:r>
        <w:rPr>
          <w:rFonts w:ascii="Arial" w:cs="Arial" w:eastAsia="Arial" w:hAnsi="Arial"/>
          <w:sz w:val="41"/>
          <w:szCs w:val="41"/>
          <w:b w:val="1"/>
          <w:bCs w:val="1"/>
          <w:color w:val="auto"/>
        </w:rPr>
        <w:t>GOVERNANCE</w:t>
      </w:r>
    </w:p>
    <w:p>
      <w:pPr>
        <w:spacing w:after="0" w:line="275" w:lineRule="exact"/>
        <w:rPr>
          <w:sz w:val="20"/>
          <w:szCs w:val="20"/>
          <w:color w:val="auto"/>
        </w:rPr>
      </w:pPr>
    </w:p>
    <w:p>
      <w:pPr>
        <w:ind w:right="1160"/>
        <w:spacing w:after="0" w:line="253" w:lineRule="auto"/>
        <w:rPr>
          <w:sz w:val="20"/>
          <w:szCs w:val="20"/>
          <w:color w:val="auto"/>
        </w:rPr>
      </w:pPr>
      <w:r>
        <w:rPr>
          <w:rFonts w:ascii="Arial" w:cs="Arial" w:eastAsia="Arial" w:hAnsi="Arial"/>
          <w:sz w:val="31"/>
          <w:szCs w:val="31"/>
          <w:color w:val="auto"/>
        </w:rPr>
        <w:t>THE BOARD OF ROYAL DUTCH SHELL PLC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3473450" cy="88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JORMA OLLILA</w:t>
      </w:r>
    </w:p>
    <w:p>
      <w:pPr>
        <w:spacing w:after="0"/>
        <w:rPr>
          <w:sz w:val="20"/>
          <w:szCs w:val="20"/>
          <w:color w:val="auto"/>
        </w:rPr>
      </w:pPr>
      <w:r>
        <w:rPr>
          <w:rFonts w:ascii="Arial" w:cs="Arial" w:eastAsia="Arial" w:hAnsi="Arial"/>
          <w:sz w:val="18"/>
          <w:szCs w:val="18"/>
          <w:color w:val="auto"/>
        </w:rPr>
        <w:t>Chairman</w:t>
      </w:r>
    </w:p>
    <w:p>
      <w:pPr>
        <w:spacing w:after="0" w:line="1" w:lineRule="exact"/>
        <w:rPr>
          <w:sz w:val="20"/>
          <w:szCs w:val="20"/>
          <w:color w:val="auto"/>
        </w:rPr>
      </w:pPr>
    </w:p>
    <w:p>
      <w:pPr>
        <w:ind w:right="360"/>
        <w:spacing w:after="0" w:line="258" w:lineRule="auto"/>
        <w:rPr>
          <w:sz w:val="20"/>
          <w:szCs w:val="20"/>
          <w:color w:val="auto"/>
        </w:rPr>
      </w:pPr>
      <w:r>
        <w:rPr>
          <w:rFonts w:ascii="Arial" w:cs="Arial" w:eastAsia="Arial" w:hAnsi="Arial"/>
          <w:sz w:val="14"/>
          <w:szCs w:val="14"/>
          <w:color w:val="auto"/>
        </w:rPr>
        <w:t>Born August 15, 1950. A Finnish national, appointed Chairman of the Company with effect from June 2006.</w:t>
      </w:r>
    </w:p>
    <w:p>
      <w:pPr>
        <w:spacing w:after="0" w:line="154" w:lineRule="exact"/>
        <w:rPr>
          <w:sz w:val="20"/>
          <w:szCs w:val="20"/>
          <w:color w:val="auto"/>
        </w:rPr>
      </w:pPr>
    </w:p>
    <w:p>
      <w:pPr>
        <w:ind w:right="400"/>
        <w:spacing w:after="0" w:line="244" w:lineRule="auto"/>
        <w:rPr>
          <w:sz w:val="20"/>
          <w:szCs w:val="20"/>
          <w:color w:val="auto"/>
        </w:rPr>
      </w:pPr>
      <w:r>
        <w:rPr>
          <w:rFonts w:ascii="Arial" w:cs="Arial" w:eastAsia="Arial" w:hAnsi="Arial"/>
          <w:sz w:val="14"/>
          <w:szCs w:val="14"/>
          <w:color w:val="auto"/>
        </w:rPr>
        <w:t>From 1999 to 2006, he was Chairman and Chief Executive Officer of Nokia, and continued as Chairman until 2012. He was President and Chief Executive Officer of Nokia from 1992 to 1999 and President of Nokia Mobile Phones from 1990 to 1992, after serving as Senior Vice President, Finance from 1986. He joined Nokia in 1985 as Vice President of International Operations after starting his career at Citibank in London and Helsinki.</w:t>
      </w:r>
    </w:p>
    <w:p>
      <w:pPr>
        <w:spacing w:after="0" w:line="166" w:lineRule="exact"/>
        <w:rPr>
          <w:sz w:val="20"/>
          <w:szCs w:val="20"/>
          <w:color w:val="auto"/>
        </w:rPr>
      </w:pPr>
    </w:p>
    <w:p>
      <w:pPr>
        <w:ind w:right="260"/>
        <w:spacing w:after="0" w:line="258" w:lineRule="auto"/>
        <w:rPr>
          <w:sz w:val="20"/>
          <w:szCs w:val="20"/>
          <w:color w:val="auto"/>
        </w:rPr>
      </w:pPr>
      <w:r>
        <w:rPr>
          <w:rFonts w:ascii="Arial" w:cs="Arial" w:eastAsia="Arial" w:hAnsi="Arial"/>
          <w:sz w:val="14"/>
          <w:szCs w:val="14"/>
          <w:color w:val="auto"/>
        </w:rPr>
        <w:t>He is Chairman of the Board of Directors of Outokumpu Oyj, a Non-executive Director of Tetra Laval Group and an Advisory Partner of Perella Weinberg Partners.</w:t>
      </w:r>
    </w:p>
    <w:p>
      <w:pPr>
        <w:spacing w:after="0" w:line="167" w:lineRule="exact"/>
        <w:rPr>
          <w:sz w:val="20"/>
          <w:szCs w:val="20"/>
          <w:color w:val="auto"/>
        </w:rPr>
      </w:pPr>
    </w:p>
    <w:p>
      <w:pPr>
        <w:spacing w:after="0"/>
        <w:rPr>
          <w:sz w:val="20"/>
          <w:szCs w:val="20"/>
          <w:color w:val="auto"/>
        </w:rPr>
      </w:pPr>
      <w:r>
        <w:rPr>
          <w:rFonts w:ascii="Arial" w:cs="Arial" w:eastAsia="Arial" w:hAnsi="Arial"/>
          <w:sz w:val="14"/>
          <w:szCs w:val="14"/>
          <w:color w:val="auto"/>
        </w:rPr>
        <w:t>Chairman of the Nomination and Succession Committee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HANS WIJERS</w:t>
      </w:r>
    </w:p>
    <w:p>
      <w:pPr>
        <w:spacing w:after="0"/>
        <w:rPr>
          <w:sz w:val="20"/>
          <w:szCs w:val="20"/>
          <w:color w:val="auto"/>
        </w:rPr>
      </w:pPr>
      <w:r>
        <w:rPr>
          <w:rFonts w:ascii="Arial" w:cs="Arial" w:eastAsia="Arial" w:hAnsi="Arial"/>
          <w:sz w:val="18"/>
          <w:szCs w:val="18"/>
          <w:color w:val="auto"/>
        </w:rPr>
        <w:t>Deputy Chairman and Senior Independent Director</w:t>
      </w:r>
    </w:p>
    <w:p>
      <w:pPr>
        <w:spacing w:after="0" w:line="1" w:lineRule="exact"/>
        <w:rPr>
          <w:sz w:val="20"/>
          <w:szCs w:val="20"/>
          <w:color w:val="auto"/>
        </w:rPr>
      </w:pPr>
    </w:p>
    <w:p>
      <w:pPr>
        <w:ind w:right="380"/>
        <w:spacing w:after="0" w:line="258" w:lineRule="auto"/>
        <w:rPr>
          <w:sz w:val="20"/>
          <w:szCs w:val="20"/>
          <w:color w:val="auto"/>
        </w:rPr>
      </w:pPr>
      <w:r>
        <w:rPr>
          <w:rFonts w:ascii="Arial" w:cs="Arial" w:eastAsia="Arial" w:hAnsi="Arial"/>
          <w:sz w:val="14"/>
          <w:szCs w:val="14"/>
          <w:color w:val="auto"/>
        </w:rPr>
        <w:t>Born January 11, 1951. A Dutch national, appointed a Non-executive Director of the Company with effect from January 2009.</w:t>
      </w:r>
    </w:p>
    <w:p>
      <w:pPr>
        <w:spacing w:after="0" w:line="154" w:lineRule="exact"/>
        <w:rPr>
          <w:sz w:val="20"/>
          <w:szCs w:val="20"/>
          <w:color w:val="auto"/>
        </w:rPr>
      </w:pPr>
    </w:p>
    <w:p>
      <w:pPr>
        <w:ind w:right="360"/>
        <w:spacing w:after="0" w:line="244" w:lineRule="auto"/>
        <w:rPr>
          <w:sz w:val="20"/>
          <w:szCs w:val="20"/>
          <w:color w:val="auto"/>
        </w:rPr>
      </w:pPr>
      <w:r>
        <w:rPr>
          <w:rFonts w:ascii="Arial" w:cs="Arial" w:eastAsia="Arial" w:hAnsi="Arial"/>
          <w:sz w:val="14"/>
          <w:szCs w:val="14"/>
          <w:color w:val="auto"/>
        </w:rPr>
        <w:t>He was Chief Executive Officer and Chairman of the Board of Management of Akzo Nobel N.V. from 2003 to 2012, having become a Board member in 2002. From 1999 to 2002, he was a Senior Partner at The Boston Consulting Group. He was Dutch Minister for Economic Affairs from 1994 to 1998, and was previously Managing Partner of The Boston Consulting Group. He obtained a PhD in economics from Erasmus University Rotterdam while teaching there.</w:t>
      </w:r>
    </w:p>
    <w:p>
      <w:pPr>
        <w:spacing w:after="0" w:line="179" w:lineRule="exact"/>
        <w:rPr>
          <w:sz w:val="20"/>
          <w:szCs w:val="20"/>
          <w:color w:val="auto"/>
        </w:rPr>
      </w:pPr>
    </w:p>
    <w:p>
      <w:pPr>
        <w:ind w:right="240"/>
        <w:spacing w:after="0" w:line="250" w:lineRule="auto"/>
        <w:rPr>
          <w:sz w:val="20"/>
          <w:szCs w:val="20"/>
          <w:color w:val="auto"/>
        </w:rPr>
      </w:pPr>
      <w:r>
        <w:rPr>
          <w:rFonts w:ascii="Arial" w:cs="Arial" w:eastAsia="Arial" w:hAnsi="Arial"/>
          <w:sz w:val="14"/>
          <w:szCs w:val="14"/>
          <w:color w:val="auto"/>
        </w:rPr>
        <w:t>He is Chairman of the Supervisory Board of AFC Ajax N.V. and the Supervisory Board of Heineken N.V., a member of the Supervisory Board of HAL Holding N.V., a Non-executive Director of GlaxoSmithKline plc and a trustee of various charities.</w:t>
      </w:r>
    </w:p>
    <w:p>
      <w:pPr>
        <w:spacing w:after="0" w:line="159" w:lineRule="exact"/>
        <w:rPr>
          <w:sz w:val="20"/>
          <w:szCs w:val="20"/>
          <w:color w:val="auto"/>
        </w:rPr>
      </w:pPr>
    </w:p>
    <w:p>
      <w:pPr>
        <w:spacing w:after="0"/>
        <w:rPr>
          <w:sz w:val="20"/>
          <w:szCs w:val="20"/>
          <w:color w:val="auto"/>
        </w:rPr>
      </w:pPr>
      <w:r>
        <w:rPr>
          <w:rFonts w:ascii="Arial" w:cs="Arial" w:eastAsia="Arial" w:hAnsi="Arial"/>
          <w:sz w:val="14"/>
          <w:szCs w:val="14"/>
          <w:color w:val="auto"/>
        </w:rPr>
        <w:t>Member of the Nomination and Succession Committee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BEN VAN BEURDEN</w:t>
      </w:r>
    </w:p>
    <w:p>
      <w:pPr>
        <w:spacing w:after="0"/>
        <w:rPr>
          <w:sz w:val="20"/>
          <w:szCs w:val="20"/>
          <w:color w:val="auto"/>
        </w:rPr>
      </w:pPr>
      <w:r>
        <w:rPr>
          <w:rFonts w:ascii="Arial" w:cs="Arial" w:eastAsia="Arial" w:hAnsi="Arial"/>
          <w:sz w:val="18"/>
          <w:szCs w:val="18"/>
          <w:color w:val="auto"/>
        </w:rPr>
        <w:t>Chief Executive Officer</w:t>
      </w:r>
    </w:p>
    <w:p>
      <w:pPr>
        <w:spacing w:after="0" w:line="1" w:lineRule="exact"/>
        <w:rPr>
          <w:sz w:val="20"/>
          <w:szCs w:val="20"/>
          <w:color w:val="auto"/>
        </w:rPr>
      </w:pPr>
    </w:p>
    <w:p>
      <w:pPr>
        <w:ind w:right="440"/>
        <w:spacing w:after="0" w:line="258" w:lineRule="auto"/>
        <w:rPr>
          <w:sz w:val="20"/>
          <w:szCs w:val="20"/>
          <w:color w:val="auto"/>
        </w:rPr>
      </w:pPr>
      <w:r>
        <w:rPr>
          <w:rFonts w:ascii="Arial" w:cs="Arial" w:eastAsia="Arial" w:hAnsi="Arial"/>
          <w:sz w:val="14"/>
          <w:szCs w:val="14"/>
          <w:color w:val="auto"/>
        </w:rPr>
        <w:t>Born April 23, 1958. A Dutch national, appointed Chief Executive Officer with effect from January 1, 2014.</w:t>
      </w:r>
    </w:p>
    <w:p>
      <w:pPr>
        <w:spacing w:after="0" w:line="167" w:lineRule="exact"/>
        <w:rPr>
          <w:sz w:val="20"/>
          <w:szCs w:val="20"/>
          <w:color w:val="auto"/>
        </w:rPr>
      </w:pPr>
    </w:p>
    <w:p>
      <w:pPr>
        <w:ind w:right="280"/>
        <w:spacing w:after="0" w:line="243" w:lineRule="auto"/>
        <w:rPr>
          <w:sz w:val="20"/>
          <w:szCs w:val="20"/>
          <w:color w:val="auto"/>
        </w:rPr>
      </w:pPr>
      <w:r>
        <w:rPr>
          <w:rFonts w:ascii="Arial" w:cs="Arial" w:eastAsia="Arial" w:hAnsi="Arial"/>
          <w:sz w:val="14"/>
          <w:szCs w:val="14"/>
          <w:color w:val="auto"/>
        </w:rPr>
        <w:t>He was Downstream Director from January to September 2013. Previously he was Executive Vice President Chemicals from December 2006, when he served on the boards of a number of leading industry associations, including the International Council of Chemicals Associations and the European Chemical Industry Council. Prior to this, he held a number of operational and commercial roles in both Upstream and Downstream, including Vice President Manufacturing Excellence. He joined Shell in 1983, after graduating with a Master’s Degree in Chemical Engineering from Delft University of Technology, the Netherlands.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right"/>
        <w:spacing w:after="0"/>
        <w:rPr>
          <w:sz w:val="20"/>
          <w:szCs w:val="20"/>
          <w:color w:val="auto"/>
        </w:rPr>
      </w:pPr>
      <w:r>
        <w:rPr>
          <w:rFonts w:ascii="Arial" w:cs="Arial" w:eastAsia="Arial" w:hAnsi="Arial"/>
          <w:sz w:val="11"/>
          <w:szCs w:val="11"/>
          <w:color w:val="auto"/>
        </w:rPr>
        <w:t>SHELL ANNUAL REPORT AND FORM 20-F 2014</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color w:val="auto"/>
        </w:rPr>
        <w:t>SIMON HENRY</w:t>
      </w:r>
    </w:p>
    <w:p>
      <w:pPr>
        <w:spacing w:after="0"/>
        <w:rPr>
          <w:sz w:val="20"/>
          <w:szCs w:val="20"/>
          <w:color w:val="auto"/>
        </w:rPr>
      </w:pPr>
      <w:r>
        <w:rPr>
          <w:rFonts w:ascii="Arial" w:cs="Arial" w:eastAsia="Arial" w:hAnsi="Arial"/>
          <w:sz w:val="18"/>
          <w:szCs w:val="18"/>
          <w:color w:val="auto"/>
        </w:rPr>
        <w:t>Chief Financial Officer</w:t>
      </w:r>
    </w:p>
    <w:p>
      <w:pPr>
        <w:spacing w:after="0" w:line="1" w:lineRule="exact"/>
        <w:rPr>
          <w:sz w:val="20"/>
          <w:szCs w:val="20"/>
          <w:color w:val="auto"/>
        </w:rPr>
      </w:pPr>
    </w:p>
    <w:p>
      <w:pPr>
        <w:ind w:right="720"/>
        <w:spacing w:after="0" w:line="258" w:lineRule="auto"/>
        <w:rPr>
          <w:sz w:val="20"/>
          <w:szCs w:val="20"/>
          <w:color w:val="auto"/>
        </w:rPr>
      </w:pPr>
      <w:r>
        <w:rPr>
          <w:rFonts w:ascii="Arial" w:cs="Arial" w:eastAsia="Arial" w:hAnsi="Arial"/>
          <w:sz w:val="14"/>
          <w:szCs w:val="14"/>
          <w:color w:val="auto"/>
        </w:rPr>
        <w:t>Born July 13, 1961. A British national, appointed Chief Financial Officer of the Company with effect from May 2009.</w:t>
      </w:r>
    </w:p>
    <w:p>
      <w:pPr>
        <w:spacing w:after="0" w:line="167" w:lineRule="exact"/>
        <w:rPr>
          <w:sz w:val="20"/>
          <w:szCs w:val="20"/>
          <w:color w:val="auto"/>
        </w:rPr>
      </w:pPr>
    </w:p>
    <w:p>
      <w:pPr>
        <w:ind w:right="220"/>
        <w:spacing w:after="0" w:line="243" w:lineRule="auto"/>
        <w:rPr>
          <w:sz w:val="20"/>
          <w:szCs w:val="20"/>
          <w:color w:val="auto"/>
        </w:rPr>
      </w:pPr>
      <w:r>
        <w:rPr>
          <w:rFonts w:ascii="Arial" w:cs="Arial" w:eastAsia="Arial" w:hAnsi="Arial"/>
          <w:sz w:val="14"/>
          <w:szCs w:val="14"/>
          <w:color w:val="auto"/>
        </w:rPr>
        <w:t>He was Chief Financial Officer for Exploration &amp; Production from 2004 to 2009, and was Head of Group Investor Relations from 2001 to 2004. Prior to these roles, he held various finance posts including Finance Manager of Marketing in Egypt, Controller for the Upstream business in Egypt, Oil Products Finance Adviser for Asia-Pacific, Finance Director for the Mekong Cluster, and General Manager Finance for the South East Asian Retail business. He joined Shell in 1982 as an engineer at the Stanlow refinery in the UK and in 1989 qualified as a member of the Chartered Institute of Management Accountants.</w:t>
      </w:r>
    </w:p>
    <w:p>
      <w:pPr>
        <w:spacing w:after="0" w:line="168" w:lineRule="exact"/>
        <w:rPr>
          <w:sz w:val="20"/>
          <w:szCs w:val="20"/>
          <w:color w:val="auto"/>
        </w:rPr>
      </w:pPr>
    </w:p>
    <w:p>
      <w:pPr>
        <w:ind w:right="340"/>
        <w:spacing w:after="0" w:line="258" w:lineRule="auto"/>
        <w:rPr>
          <w:sz w:val="20"/>
          <w:szCs w:val="20"/>
          <w:color w:val="auto"/>
        </w:rPr>
      </w:pPr>
      <w:r>
        <w:rPr>
          <w:rFonts w:ascii="Arial" w:cs="Arial" w:eastAsia="Arial" w:hAnsi="Arial"/>
          <w:sz w:val="14"/>
          <w:szCs w:val="14"/>
          <w:color w:val="auto"/>
        </w:rPr>
        <w:t>He was appointed a Non-executive Director of Lloyds Banking Group plc with effect from June 2014.</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GUY ELLIOTT</w:t>
      </w:r>
    </w:p>
    <w:p>
      <w:pPr>
        <w:spacing w:after="0"/>
        <w:rPr>
          <w:sz w:val="20"/>
          <w:szCs w:val="20"/>
          <w:color w:val="auto"/>
        </w:rPr>
      </w:pPr>
      <w:r>
        <w:rPr>
          <w:rFonts w:ascii="Arial" w:cs="Arial" w:eastAsia="Arial" w:hAnsi="Arial"/>
          <w:sz w:val="18"/>
          <w:szCs w:val="18"/>
          <w:color w:val="auto"/>
        </w:rPr>
        <w:t>Non-executive Director</w:t>
      </w:r>
    </w:p>
    <w:p>
      <w:pPr>
        <w:spacing w:after="0" w:line="1" w:lineRule="exact"/>
        <w:rPr>
          <w:sz w:val="20"/>
          <w:szCs w:val="20"/>
          <w:color w:val="auto"/>
        </w:rPr>
      </w:pPr>
    </w:p>
    <w:p>
      <w:pPr>
        <w:ind w:right="380"/>
        <w:spacing w:after="0" w:line="258" w:lineRule="auto"/>
        <w:rPr>
          <w:sz w:val="20"/>
          <w:szCs w:val="20"/>
          <w:color w:val="auto"/>
        </w:rPr>
      </w:pPr>
      <w:r>
        <w:rPr>
          <w:rFonts w:ascii="Arial" w:cs="Arial" w:eastAsia="Arial" w:hAnsi="Arial"/>
          <w:sz w:val="14"/>
          <w:szCs w:val="14"/>
          <w:color w:val="auto"/>
        </w:rPr>
        <w:t>Born December 26, 1955. A British national, appointed a Non-executive Director of the Company with effect from September 2010.</w:t>
      </w:r>
    </w:p>
    <w:p>
      <w:pPr>
        <w:spacing w:after="0" w:line="167" w:lineRule="exact"/>
        <w:rPr>
          <w:sz w:val="20"/>
          <w:szCs w:val="20"/>
          <w:color w:val="auto"/>
        </w:rPr>
      </w:pPr>
    </w:p>
    <w:p>
      <w:pPr>
        <w:ind w:right="260"/>
        <w:spacing w:after="0" w:line="244" w:lineRule="auto"/>
        <w:rPr>
          <w:sz w:val="20"/>
          <w:szCs w:val="20"/>
          <w:color w:val="auto"/>
        </w:rPr>
      </w:pPr>
      <w:r>
        <w:rPr>
          <w:rFonts w:ascii="Arial" w:cs="Arial" w:eastAsia="Arial" w:hAnsi="Arial"/>
          <w:sz w:val="14"/>
          <w:szCs w:val="14"/>
          <w:color w:val="auto"/>
        </w:rPr>
        <w:t>He was Chief Financial Officer of Rio Tinto plc and Rio Tinto Limited from 2002 to April 2013, and remained Senior Executive Director of these companies until the end of 2013. Prior to joining the Rio Tinto Group, he worked in investment banking and gained an MBA at INSEAD. From 2007 to 2010, he was a Non-executive Director of Cadbury plc, serving as Chairman of its Audit Committee from 2008 to 2009 and as Senior Independent Director from 2008 to 2010.</w:t>
      </w:r>
    </w:p>
    <w:p>
      <w:pPr>
        <w:spacing w:after="0" w:line="166" w:lineRule="exact"/>
        <w:rPr>
          <w:sz w:val="20"/>
          <w:szCs w:val="20"/>
          <w:color w:val="auto"/>
        </w:rPr>
      </w:pPr>
    </w:p>
    <w:p>
      <w:pPr>
        <w:spacing w:after="0"/>
        <w:rPr>
          <w:sz w:val="20"/>
          <w:szCs w:val="20"/>
          <w:color w:val="auto"/>
        </w:rPr>
      </w:pPr>
      <w:r>
        <w:rPr>
          <w:rFonts w:ascii="Arial" w:cs="Arial" w:eastAsia="Arial" w:hAnsi="Arial"/>
          <w:sz w:val="14"/>
          <w:szCs w:val="14"/>
          <w:color w:val="auto"/>
        </w:rPr>
        <w:t>He is a member of the UK Takeover Panel, which he joined in 2012, and was</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appointed Chairman of the Code Committee of the Panel with effect from</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February 2014. He was appointed a Non-executive Director of SABMiller plc in July</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2013 and later that year was appointed Deputy Chairman and Senior Independent</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Director.</w:t>
      </w:r>
    </w:p>
    <w:p>
      <w:pPr>
        <w:spacing w:after="0" w:line="177" w:lineRule="exact"/>
        <w:rPr>
          <w:sz w:val="20"/>
          <w:szCs w:val="20"/>
          <w:color w:val="auto"/>
        </w:rPr>
      </w:pPr>
    </w:p>
    <w:p>
      <w:pPr>
        <w:ind w:right="440"/>
        <w:spacing w:after="0" w:line="258" w:lineRule="auto"/>
        <w:rPr>
          <w:sz w:val="20"/>
          <w:szCs w:val="20"/>
          <w:color w:val="auto"/>
        </w:rPr>
      </w:pPr>
      <w:r>
        <w:rPr>
          <w:rFonts w:ascii="Arial" w:cs="Arial" w:eastAsia="Arial" w:hAnsi="Arial"/>
          <w:sz w:val="14"/>
          <w:szCs w:val="14"/>
          <w:color w:val="auto"/>
        </w:rPr>
        <w:t>Chairman of the Audit Committee and Member of the Nomination and Succession Committee</w:t>
      </w:r>
    </w:p>
    <w:p>
      <w:pPr>
        <w:sectPr>
          <w:pgSz w:w="11900" w:h="16838" w:orient="portrait"/>
          <w:cols w:equalWidth="0" w:num="2">
            <w:col w:w="5720" w:space="60"/>
            <w:col w:w="5640"/>
          </w:cols>
          <w:pgMar w:left="240" w:top="459" w:right="239" w:bottom="1440" w:gutter="0" w:footer="0" w:header="0"/>
        </w:sectPr>
      </w:pPr>
    </w:p>
    <w:bookmarkStart w:id="60" w:name="page61"/>
    <w:bookmarkEnd w:id="60"/>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3555365</wp:posOffset>
            </wp:positionH>
            <wp:positionV relativeFrom="paragraph">
              <wp:posOffset>314960</wp:posOffset>
            </wp:positionV>
            <wp:extent cx="3696335" cy="46291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3696335" cy="462915"/>
                    </a:xfrm>
                    <a:prstGeom prst="rect">
                      <a:avLst/>
                    </a:prstGeom>
                    <a:noFill/>
                  </pic:spPr>
                </pic:pic>
              </a:graphicData>
            </a:graphic>
          </wp:anchor>
        </w:drawing>
      </w:r>
    </w:p>
    <w:p>
      <w:pPr>
        <w:sectPr>
          <w:pgSz w:w="11900" w:h="16838" w:orient="portrait"/>
          <w:cols w:equalWidth="0" w:num="1">
            <w:col w:w="11220"/>
          </w:cols>
          <w:pgMar w:left="240" w:top="459" w:right="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11"/>
          <w:szCs w:val="11"/>
          <w:color w:val="auto"/>
        </w:rPr>
        <w:t>SHELL ANNUAL REPORT AND FORM 20-F 2014</w:t>
      </w:r>
    </w:p>
    <w:p>
      <w:pPr>
        <w:spacing w:after="0" w:line="47" w:lineRule="exact"/>
        <w:rPr>
          <w:sz w:val="20"/>
          <w:szCs w:val="20"/>
          <w:color w:val="auto"/>
        </w:rPr>
      </w:pPr>
    </w:p>
    <w:p>
      <w:pPr>
        <w:spacing w:after="0"/>
        <w:rPr>
          <w:sz w:val="20"/>
          <w:szCs w:val="20"/>
          <w:color w:val="auto"/>
        </w:rPr>
      </w:pPr>
      <w:r>
        <w:rPr>
          <w:rFonts w:ascii="Arial" w:cs="Arial" w:eastAsia="Arial" w:hAnsi="Arial"/>
          <w:sz w:val="18"/>
          <w:szCs w:val="18"/>
          <w:color w:val="auto"/>
        </w:rPr>
        <w:t>EULEEN GOH</w:t>
      </w:r>
    </w:p>
    <w:p>
      <w:pPr>
        <w:spacing w:after="0"/>
        <w:rPr>
          <w:sz w:val="20"/>
          <w:szCs w:val="20"/>
          <w:color w:val="auto"/>
        </w:rPr>
      </w:pPr>
      <w:r>
        <w:rPr>
          <w:rFonts w:ascii="Arial" w:cs="Arial" w:eastAsia="Arial" w:hAnsi="Arial"/>
          <w:sz w:val="18"/>
          <w:szCs w:val="18"/>
          <w:color w:val="auto"/>
        </w:rPr>
        <w:t>Non-executive Director</w:t>
      </w:r>
    </w:p>
    <w:p>
      <w:pPr>
        <w:spacing w:after="0" w:line="1" w:lineRule="exact"/>
        <w:rPr>
          <w:sz w:val="20"/>
          <w:szCs w:val="20"/>
          <w:color w:val="auto"/>
        </w:rPr>
      </w:pPr>
    </w:p>
    <w:p>
      <w:pPr>
        <w:ind w:right="160"/>
        <w:spacing w:after="0" w:line="258" w:lineRule="auto"/>
        <w:rPr>
          <w:sz w:val="20"/>
          <w:szCs w:val="20"/>
          <w:color w:val="auto"/>
        </w:rPr>
      </w:pPr>
      <w:r>
        <w:rPr>
          <w:rFonts w:ascii="Arial" w:cs="Arial" w:eastAsia="Arial" w:hAnsi="Arial"/>
          <w:sz w:val="14"/>
          <w:szCs w:val="14"/>
          <w:color w:val="auto"/>
        </w:rPr>
        <w:t>Born April 20, 1955. A Singaporean national, appointed a Non-executive Director of the Company with effect from September 1, 2014.</w:t>
      </w:r>
    </w:p>
    <w:p>
      <w:pPr>
        <w:spacing w:after="0" w:line="167" w:lineRule="exact"/>
        <w:rPr>
          <w:sz w:val="20"/>
          <w:szCs w:val="20"/>
          <w:color w:val="auto"/>
        </w:rPr>
      </w:pPr>
    </w:p>
    <w:p>
      <w:pPr>
        <w:ind w:right="40"/>
        <w:spacing w:after="0" w:line="247" w:lineRule="auto"/>
        <w:rPr>
          <w:sz w:val="20"/>
          <w:szCs w:val="20"/>
          <w:color w:val="auto"/>
        </w:rPr>
      </w:pPr>
      <w:r>
        <w:rPr>
          <w:rFonts w:ascii="Arial" w:cs="Arial" w:eastAsia="Arial" w:hAnsi="Arial"/>
          <w:sz w:val="14"/>
          <w:szCs w:val="14"/>
          <w:color w:val="auto"/>
        </w:rPr>
        <w:t>She is a chartered accountant and also has professional qualifications in banking and taxation. She held various senior management positions with Standard Chartered Bank and was Chief Executive Officer of Standard Chartered Bank, Singapore from 2001 until 2006.</w:t>
      </w:r>
    </w:p>
    <w:p>
      <w:pPr>
        <w:spacing w:after="0" w:line="161" w:lineRule="exact"/>
        <w:rPr>
          <w:sz w:val="20"/>
          <w:szCs w:val="20"/>
          <w:color w:val="auto"/>
        </w:rPr>
      </w:pPr>
    </w:p>
    <w:p>
      <w:pPr>
        <w:ind w:right="40"/>
        <w:spacing w:after="0" w:line="245" w:lineRule="auto"/>
        <w:rPr>
          <w:sz w:val="20"/>
          <w:szCs w:val="20"/>
          <w:color w:val="auto"/>
        </w:rPr>
      </w:pPr>
      <w:r>
        <w:rPr>
          <w:rFonts w:ascii="Arial" w:cs="Arial" w:eastAsia="Arial" w:hAnsi="Arial"/>
          <w:sz w:val="14"/>
          <w:szCs w:val="14"/>
          <w:color w:val="auto"/>
        </w:rPr>
        <w:t>She has also held non-executive appointments on various boards including Aviva plc, MediaCorp Pte Limited, Singapore Airlines Limited, Singapore Exchange Limited, Standard Chartered Bank Malaysia Berhad and Standard Chartered Bank Thai pcl. She was previously Chairman of International Enterprise Singapore and the Accounting Standards Council, Singapore.</w:t>
      </w:r>
    </w:p>
    <w:p>
      <w:pPr>
        <w:spacing w:after="0" w:line="164" w:lineRule="exact"/>
        <w:rPr>
          <w:sz w:val="20"/>
          <w:szCs w:val="20"/>
          <w:color w:val="auto"/>
        </w:rPr>
      </w:pPr>
    </w:p>
    <w:p>
      <w:pPr>
        <w:spacing w:after="0" w:line="245" w:lineRule="auto"/>
        <w:rPr>
          <w:sz w:val="20"/>
          <w:szCs w:val="20"/>
          <w:color w:val="auto"/>
        </w:rPr>
      </w:pPr>
      <w:r>
        <w:rPr>
          <w:rFonts w:ascii="Arial" w:cs="Arial" w:eastAsia="Arial" w:hAnsi="Arial"/>
          <w:sz w:val="14"/>
          <w:szCs w:val="14"/>
          <w:color w:val="auto"/>
        </w:rPr>
        <w:t>She is a Non-executive Director of CapitaLand Limited, DBS Bank Limited, DBS Group Holdings Limited and SATS Limited, and a Trustee of the Singapore Institute of International Affairs Endowment Fund. She is also Non-executive Chairman of the Singapore International Foundation and a Non-executive Director of Singapore Health Services Pte Limited, both not-for-profit organisations.</w:t>
      </w:r>
    </w:p>
    <w:p>
      <w:pPr>
        <w:spacing w:after="0" w:line="178" w:lineRule="exact"/>
        <w:rPr>
          <w:sz w:val="20"/>
          <w:szCs w:val="20"/>
          <w:color w:val="auto"/>
        </w:rPr>
      </w:pPr>
    </w:p>
    <w:p>
      <w:pPr>
        <w:spacing w:after="0"/>
        <w:rPr>
          <w:sz w:val="20"/>
          <w:szCs w:val="20"/>
          <w:color w:val="auto"/>
        </w:rPr>
      </w:pPr>
      <w:r>
        <w:rPr>
          <w:rFonts w:ascii="Arial" w:cs="Arial" w:eastAsia="Arial" w:hAnsi="Arial"/>
          <w:sz w:val="14"/>
          <w:szCs w:val="14"/>
          <w:color w:val="auto"/>
        </w:rPr>
        <w:t>Member of the Audit Committee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CHARLES O. HOLLIDAY</w:t>
      </w:r>
    </w:p>
    <w:p>
      <w:pPr>
        <w:spacing w:after="0"/>
        <w:rPr>
          <w:sz w:val="20"/>
          <w:szCs w:val="20"/>
          <w:color w:val="auto"/>
        </w:rPr>
      </w:pPr>
      <w:r>
        <w:rPr>
          <w:rFonts w:ascii="Arial" w:cs="Arial" w:eastAsia="Arial" w:hAnsi="Arial"/>
          <w:sz w:val="18"/>
          <w:szCs w:val="18"/>
          <w:color w:val="auto"/>
        </w:rPr>
        <w:t>Non-executive Director</w:t>
      </w:r>
    </w:p>
    <w:p>
      <w:pPr>
        <w:spacing w:after="0" w:line="1" w:lineRule="exact"/>
        <w:rPr>
          <w:sz w:val="20"/>
          <w:szCs w:val="20"/>
          <w:color w:val="auto"/>
        </w:rPr>
      </w:pPr>
    </w:p>
    <w:p>
      <w:pPr>
        <w:ind w:right="520"/>
        <w:spacing w:after="0" w:line="258" w:lineRule="auto"/>
        <w:rPr>
          <w:sz w:val="20"/>
          <w:szCs w:val="20"/>
          <w:color w:val="auto"/>
        </w:rPr>
      </w:pPr>
      <w:r>
        <w:rPr>
          <w:rFonts w:ascii="Arial" w:cs="Arial" w:eastAsia="Arial" w:hAnsi="Arial"/>
          <w:sz w:val="14"/>
          <w:szCs w:val="14"/>
          <w:color w:val="auto"/>
        </w:rPr>
        <w:t>Born March 9, 1948. A US national, appointed a Non-executive Director of the Company with effect from September 2010.</w:t>
      </w:r>
    </w:p>
    <w:p>
      <w:pPr>
        <w:spacing w:after="0" w:line="154" w:lineRule="exact"/>
        <w:rPr>
          <w:sz w:val="20"/>
          <w:szCs w:val="20"/>
          <w:color w:val="auto"/>
        </w:rPr>
      </w:pPr>
    </w:p>
    <w:p>
      <w:pPr>
        <w:ind w:right="20"/>
        <w:spacing w:after="0" w:line="243" w:lineRule="auto"/>
        <w:rPr>
          <w:sz w:val="20"/>
          <w:szCs w:val="20"/>
          <w:color w:val="auto"/>
        </w:rPr>
      </w:pPr>
      <w:r>
        <w:rPr>
          <w:rFonts w:ascii="Arial" w:cs="Arial" w:eastAsia="Arial" w:hAnsi="Arial"/>
          <w:sz w:val="14"/>
          <w:szCs w:val="14"/>
          <w:color w:val="auto"/>
        </w:rPr>
        <w:t>He was Chief Executive Officer of DuPont from 1998 to 2009, and Chairman from 1999 to 2009. He joined DuPont in 1970 after receiving a B.S. in industrial engineering from the University of Tennessee and held various manufacturing and business assignments, including a six-year, Tokyo-based posting as President of DuPont Asia/Pacific. He is Chairman of the National Academy of Engineering and is a founding member of the International Business Council. He has previously served as Chairman of The Business Council, Catalyst, the Society of Chemical Industry – American Section and the World Business Council for Sustainable Development.</w:t>
      </w:r>
    </w:p>
    <w:p>
      <w:pPr>
        <w:spacing w:after="0" w:line="182" w:lineRule="exact"/>
        <w:rPr>
          <w:sz w:val="20"/>
          <w:szCs w:val="20"/>
          <w:color w:val="auto"/>
        </w:rPr>
      </w:pPr>
    </w:p>
    <w:p>
      <w:pPr>
        <w:ind w:right="80"/>
        <w:spacing w:after="0" w:line="250" w:lineRule="auto"/>
        <w:rPr>
          <w:sz w:val="20"/>
          <w:szCs w:val="20"/>
          <w:color w:val="auto"/>
        </w:rPr>
      </w:pPr>
      <w:r>
        <w:rPr>
          <w:rFonts w:ascii="Arial" w:cs="Arial" w:eastAsia="Arial" w:hAnsi="Arial"/>
          <w:sz w:val="14"/>
          <w:szCs w:val="14"/>
          <w:color w:val="auto"/>
        </w:rPr>
        <w:t>He is a member of the board of Directors of Bank of America Corporation, having previously served as Chairman from 2010 until September 2014, and is a member of the board of Directors of Deere &amp; Company.</w:t>
      </w:r>
    </w:p>
    <w:p>
      <w:pPr>
        <w:spacing w:after="0" w:line="159" w:lineRule="exact"/>
        <w:rPr>
          <w:sz w:val="20"/>
          <w:szCs w:val="20"/>
          <w:color w:val="auto"/>
        </w:rPr>
      </w:pPr>
    </w:p>
    <w:p>
      <w:pPr>
        <w:ind w:right="140"/>
        <w:spacing w:after="0" w:line="258" w:lineRule="auto"/>
        <w:rPr>
          <w:sz w:val="20"/>
          <w:szCs w:val="20"/>
          <w:color w:val="auto"/>
        </w:rPr>
      </w:pPr>
      <w:r>
        <w:rPr>
          <w:rFonts w:ascii="Arial" w:cs="Arial" w:eastAsia="Arial" w:hAnsi="Arial"/>
          <w:sz w:val="14"/>
          <w:szCs w:val="14"/>
          <w:color w:val="auto"/>
        </w:rPr>
        <w:t>Chairman of the Corporate and Social Responsibility Committee and Member of the Remuneration Committee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spacing w:after="0" w:line="1" w:lineRule="exact"/>
        <w:rPr>
          <w:sz w:val="1"/>
          <w:szCs w:val="1"/>
          <w:color w:val="auto"/>
        </w:rPr>
      </w:pPr>
    </w:p>
    <w:tbl>
      <w:tblPr>
        <w:tblLayout w:type="fixed"/>
        <w:tblInd w:w="740" w:type="dxa"/>
        <w:tblCellMar>
          <w:top w:w="0" w:type="dxa"/>
          <w:left w:w="0" w:type="dxa"/>
          <w:bottom w:w="0" w:type="dxa"/>
          <w:right w:w="0" w:type="dxa"/>
        </w:tblCellMar>
      </w:tblPr>
      <w:tr>
        <w:trPr>
          <w:trHeight w:val="161"/>
        </w:trPr>
        <w:tc>
          <w:tcPr>
            <w:tcW w:w="2580" w:type="dxa"/>
            <w:vAlign w:val="bottom"/>
          </w:tcPr>
          <w:p>
            <w:pPr>
              <w:spacing w:after="0"/>
              <w:rPr>
                <w:sz w:val="20"/>
                <w:szCs w:val="20"/>
                <w:color w:val="auto"/>
              </w:rPr>
            </w:pPr>
            <w:r>
              <w:rPr>
                <w:rFonts w:ascii="Arial" w:cs="Arial" w:eastAsia="Arial" w:hAnsi="Arial"/>
                <w:sz w:val="13"/>
                <w:szCs w:val="13"/>
                <w:color w:val="333333"/>
              </w:rPr>
              <w:t>GOVERNANCE</w:t>
            </w:r>
          </w:p>
        </w:tc>
        <w:tc>
          <w:tcPr>
            <w:tcW w:w="1820" w:type="dxa"/>
            <w:vAlign w:val="bottom"/>
          </w:tcPr>
          <w:p>
            <w:pPr>
              <w:jc w:val="right"/>
              <w:spacing w:after="0"/>
              <w:rPr>
                <w:sz w:val="20"/>
                <w:szCs w:val="20"/>
                <w:color w:val="auto"/>
              </w:rPr>
            </w:pPr>
            <w:r>
              <w:rPr>
                <w:rFonts w:ascii="Arial" w:cs="Arial" w:eastAsia="Arial" w:hAnsi="Arial"/>
                <w:sz w:val="11"/>
                <w:szCs w:val="11"/>
                <w:b w:val="1"/>
                <w:bCs w:val="1"/>
                <w:color w:val="333333"/>
              </w:rPr>
              <w:t>59</w:t>
            </w:r>
          </w:p>
        </w:tc>
      </w:tr>
    </w:tbl>
    <w:p>
      <w:pPr>
        <w:spacing w:after="0" w:line="161" w:lineRule="exact"/>
        <w:rPr>
          <w:sz w:val="20"/>
          <w:szCs w:val="20"/>
          <w:color w:val="auto"/>
        </w:rPr>
      </w:pPr>
    </w:p>
    <w:p>
      <w:pPr>
        <w:ind w:left="740"/>
        <w:spacing w:after="0"/>
        <w:rPr>
          <w:sz w:val="20"/>
          <w:szCs w:val="20"/>
          <w:color w:val="auto"/>
        </w:rPr>
      </w:pPr>
      <w:r>
        <w:rPr>
          <w:rFonts w:ascii="Arial" w:cs="Arial" w:eastAsia="Arial" w:hAnsi="Arial"/>
          <w:sz w:val="11"/>
          <w:szCs w:val="11"/>
          <w:color w:val="auto"/>
        </w:rPr>
        <w:t>THE BOARD OF ROYAL DUTCH SHELL PLC</w:t>
      </w:r>
    </w:p>
    <w:p>
      <w:pPr>
        <w:spacing w:after="0" w:line="47" w:lineRule="exact"/>
        <w:rPr>
          <w:sz w:val="20"/>
          <w:szCs w:val="20"/>
          <w:color w:val="auto"/>
        </w:rPr>
      </w:pPr>
    </w:p>
    <w:p>
      <w:pPr>
        <w:spacing w:after="0"/>
        <w:rPr>
          <w:sz w:val="20"/>
          <w:szCs w:val="20"/>
          <w:color w:val="auto"/>
        </w:rPr>
      </w:pPr>
      <w:r>
        <w:rPr>
          <w:rFonts w:ascii="Arial" w:cs="Arial" w:eastAsia="Arial" w:hAnsi="Arial"/>
          <w:sz w:val="18"/>
          <w:szCs w:val="18"/>
          <w:color w:val="auto"/>
        </w:rPr>
        <w:t>GERARD KLEISTERLEE</w:t>
      </w:r>
    </w:p>
    <w:p>
      <w:pPr>
        <w:spacing w:after="0"/>
        <w:rPr>
          <w:sz w:val="20"/>
          <w:szCs w:val="20"/>
          <w:color w:val="auto"/>
        </w:rPr>
      </w:pPr>
      <w:r>
        <w:rPr>
          <w:rFonts w:ascii="Arial" w:cs="Arial" w:eastAsia="Arial" w:hAnsi="Arial"/>
          <w:sz w:val="18"/>
          <w:szCs w:val="18"/>
          <w:color w:val="auto"/>
        </w:rPr>
        <w:t>Non-executive Director</w:t>
      </w:r>
    </w:p>
    <w:p>
      <w:pPr>
        <w:spacing w:after="0" w:line="1" w:lineRule="exact"/>
        <w:rPr>
          <w:sz w:val="20"/>
          <w:szCs w:val="20"/>
          <w:color w:val="auto"/>
        </w:rPr>
      </w:pPr>
    </w:p>
    <w:p>
      <w:pPr>
        <w:ind w:right="160"/>
        <w:spacing w:after="0" w:line="258" w:lineRule="auto"/>
        <w:rPr>
          <w:sz w:val="20"/>
          <w:szCs w:val="20"/>
          <w:color w:val="auto"/>
        </w:rPr>
      </w:pPr>
      <w:r>
        <w:rPr>
          <w:rFonts w:ascii="Arial" w:cs="Arial" w:eastAsia="Arial" w:hAnsi="Arial"/>
          <w:sz w:val="14"/>
          <w:szCs w:val="14"/>
          <w:color w:val="auto"/>
        </w:rPr>
        <w:t>Born September 28, 1946. A Dutch national, appointed a Non-executive Director of the Company with effect from November 2010.</w:t>
      </w:r>
    </w:p>
    <w:p>
      <w:pPr>
        <w:spacing w:after="0" w:line="167" w:lineRule="exact"/>
        <w:rPr>
          <w:sz w:val="20"/>
          <w:szCs w:val="20"/>
          <w:color w:val="auto"/>
        </w:rPr>
      </w:pPr>
    </w:p>
    <w:p>
      <w:pPr>
        <w:spacing w:after="0" w:line="244" w:lineRule="auto"/>
        <w:rPr>
          <w:sz w:val="20"/>
          <w:szCs w:val="20"/>
          <w:color w:val="auto"/>
        </w:rPr>
      </w:pPr>
      <w:r>
        <w:rPr>
          <w:rFonts w:ascii="Arial" w:cs="Arial" w:eastAsia="Arial" w:hAnsi="Arial"/>
          <w:sz w:val="14"/>
          <w:szCs w:val="14"/>
          <w:color w:val="auto"/>
        </w:rPr>
        <w:t>He was President/Chief Executive Officer and Chairman of the Board of Management of Koninklijke Philips N.V. from 2001 to 2011. Having joined Philips in 1974, he held several positions before being appointed as Chief Executive Officer of Philips’ Components division in 1999 and Executive Vice-President of Philips in 2000. From 2010 to 2013, he was a member of the board of Directors of Dell Inc. and, from 2009 to April 2014, he was a member of the Supervisory Board of Daimler AG.</w:t>
      </w:r>
    </w:p>
    <w:p>
      <w:pPr>
        <w:spacing w:after="0" w:line="166" w:lineRule="exact"/>
        <w:rPr>
          <w:sz w:val="20"/>
          <w:szCs w:val="20"/>
          <w:color w:val="auto"/>
        </w:rPr>
      </w:pPr>
    </w:p>
    <w:p>
      <w:pPr>
        <w:ind w:right="80"/>
        <w:spacing w:after="0" w:line="258" w:lineRule="auto"/>
        <w:rPr>
          <w:sz w:val="20"/>
          <w:szCs w:val="20"/>
          <w:color w:val="auto"/>
        </w:rPr>
      </w:pPr>
      <w:r>
        <w:rPr>
          <w:rFonts w:ascii="Arial" w:cs="Arial" w:eastAsia="Arial" w:hAnsi="Arial"/>
          <w:sz w:val="14"/>
          <w:szCs w:val="14"/>
          <w:color w:val="auto"/>
        </w:rPr>
        <w:t>He is Chairman of Vodafone Group plc and a Non-executive Director of IBEX Global Solutions plc.</w:t>
      </w:r>
    </w:p>
    <w:p>
      <w:pPr>
        <w:spacing w:after="0" w:line="154" w:lineRule="exact"/>
        <w:rPr>
          <w:sz w:val="20"/>
          <w:szCs w:val="20"/>
          <w:color w:val="auto"/>
        </w:rPr>
      </w:pPr>
    </w:p>
    <w:p>
      <w:pPr>
        <w:spacing w:after="0"/>
        <w:rPr>
          <w:sz w:val="20"/>
          <w:szCs w:val="20"/>
          <w:color w:val="auto"/>
        </w:rPr>
      </w:pPr>
      <w:r>
        <w:rPr>
          <w:rFonts w:ascii="Arial" w:cs="Arial" w:eastAsia="Arial" w:hAnsi="Arial"/>
          <w:sz w:val="14"/>
          <w:szCs w:val="14"/>
          <w:color w:val="auto"/>
        </w:rPr>
        <w:t>Chairman of the Remuneration Committee and Member of the Audit Committee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SIR NIGEL SHEINWALD GCMG</w:t>
      </w:r>
    </w:p>
    <w:p>
      <w:pPr>
        <w:spacing w:after="0"/>
        <w:rPr>
          <w:sz w:val="20"/>
          <w:szCs w:val="20"/>
          <w:color w:val="auto"/>
        </w:rPr>
      </w:pPr>
      <w:r>
        <w:rPr>
          <w:rFonts w:ascii="Arial" w:cs="Arial" w:eastAsia="Arial" w:hAnsi="Arial"/>
          <w:sz w:val="18"/>
          <w:szCs w:val="18"/>
          <w:color w:val="auto"/>
        </w:rPr>
        <w:t>Non-executive Director</w:t>
      </w:r>
    </w:p>
    <w:p>
      <w:pPr>
        <w:spacing w:after="0" w:line="1" w:lineRule="exact"/>
        <w:rPr>
          <w:sz w:val="20"/>
          <w:szCs w:val="20"/>
          <w:color w:val="auto"/>
        </w:rPr>
      </w:pPr>
    </w:p>
    <w:p>
      <w:pPr>
        <w:ind w:right="280"/>
        <w:spacing w:after="0" w:line="258" w:lineRule="auto"/>
        <w:rPr>
          <w:sz w:val="20"/>
          <w:szCs w:val="20"/>
          <w:color w:val="auto"/>
        </w:rPr>
      </w:pPr>
      <w:r>
        <w:rPr>
          <w:rFonts w:ascii="Arial" w:cs="Arial" w:eastAsia="Arial" w:hAnsi="Arial"/>
          <w:sz w:val="14"/>
          <w:szCs w:val="14"/>
          <w:color w:val="auto"/>
        </w:rPr>
        <w:t>Born June 26, 1953. A British national, appointed a Non-executive Director of the Company with effect from July 2012.</w:t>
      </w:r>
    </w:p>
    <w:p>
      <w:pPr>
        <w:spacing w:after="0" w:line="154" w:lineRule="exact"/>
        <w:rPr>
          <w:sz w:val="20"/>
          <w:szCs w:val="20"/>
          <w:color w:val="auto"/>
        </w:rPr>
      </w:pPr>
    </w:p>
    <w:p>
      <w:pPr>
        <w:ind w:right="40"/>
        <w:spacing w:after="0" w:line="244" w:lineRule="auto"/>
        <w:rPr>
          <w:sz w:val="20"/>
          <w:szCs w:val="20"/>
          <w:color w:val="auto"/>
        </w:rPr>
      </w:pPr>
      <w:r>
        <w:rPr>
          <w:rFonts w:ascii="Arial" w:cs="Arial" w:eastAsia="Arial" w:hAnsi="Arial"/>
          <w:sz w:val="14"/>
          <w:szCs w:val="14"/>
          <w:color w:val="auto"/>
        </w:rPr>
        <w:t>He was a senior British diplomat who served as British Ambassador to the USA from 2007 to 2012, before retiring from the Diplomatic Service. Prior to this, he served as Foreign Policy and Defence Adviser to the Prime Minister, and Head of the Cabinet Office Defence and Overseas Secretariat. He served as British Ambassador and Permanent Representative to the European Union in Brussels from 2000 to 2003. He joined the Diplomatic Service in 1976 and served in Brussels, Washington, Moscow, and in a wide range of policy roles in London.</w:t>
      </w:r>
    </w:p>
    <w:p>
      <w:pPr>
        <w:spacing w:after="0" w:line="164" w:lineRule="exact"/>
        <w:rPr>
          <w:sz w:val="20"/>
          <w:szCs w:val="20"/>
          <w:color w:val="auto"/>
        </w:rPr>
      </w:pPr>
    </w:p>
    <w:p>
      <w:pPr>
        <w:jc w:val="both"/>
        <w:ind w:right="280"/>
        <w:spacing w:after="0" w:line="250" w:lineRule="auto"/>
        <w:rPr>
          <w:sz w:val="20"/>
          <w:szCs w:val="20"/>
          <w:color w:val="auto"/>
        </w:rPr>
      </w:pPr>
      <w:r>
        <w:rPr>
          <w:rFonts w:ascii="Arial" w:cs="Arial" w:eastAsia="Arial" w:hAnsi="Arial"/>
          <w:sz w:val="14"/>
          <w:szCs w:val="14"/>
          <w:color w:val="auto"/>
        </w:rPr>
        <w:t>He is a Senior Adviser to the Universal Music Group and a Visiting Professor and Council Member of King’s College, London. In January 2015, he was appointed a Non-executive Director of the Innovia Group.</w:t>
      </w:r>
    </w:p>
    <w:p>
      <w:pPr>
        <w:spacing w:after="0" w:line="172" w:lineRule="exact"/>
        <w:rPr>
          <w:sz w:val="20"/>
          <w:szCs w:val="20"/>
          <w:color w:val="auto"/>
        </w:rPr>
      </w:pPr>
    </w:p>
    <w:p>
      <w:pPr>
        <w:spacing w:after="0"/>
        <w:rPr>
          <w:sz w:val="20"/>
          <w:szCs w:val="20"/>
          <w:color w:val="auto"/>
        </w:rPr>
      </w:pPr>
      <w:r>
        <w:rPr>
          <w:rFonts w:ascii="Arial" w:cs="Arial" w:eastAsia="Arial" w:hAnsi="Arial"/>
          <w:sz w:val="14"/>
          <w:szCs w:val="14"/>
          <w:color w:val="auto"/>
        </w:rPr>
        <w:t>Member of the Corporate and Social Responsibility Committee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LINDA G. STUNTZ</w:t>
      </w:r>
    </w:p>
    <w:p>
      <w:pPr>
        <w:spacing w:after="0"/>
        <w:rPr>
          <w:sz w:val="20"/>
          <w:szCs w:val="20"/>
          <w:color w:val="auto"/>
        </w:rPr>
      </w:pPr>
      <w:r>
        <w:rPr>
          <w:rFonts w:ascii="Arial" w:cs="Arial" w:eastAsia="Arial" w:hAnsi="Arial"/>
          <w:sz w:val="18"/>
          <w:szCs w:val="18"/>
          <w:color w:val="auto"/>
        </w:rPr>
        <w:t>Non-executive Director</w:t>
      </w:r>
    </w:p>
    <w:p>
      <w:pPr>
        <w:spacing w:after="0" w:line="1" w:lineRule="exact"/>
        <w:rPr>
          <w:sz w:val="20"/>
          <w:szCs w:val="20"/>
          <w:color w:val="auto"/>
        </w:rPr>
      </w:pPr>
    </w:p>
    <w:p>
      <w:pPr>
        <w:ind w:right="100"/>
        <w:spacing w:after="0" w:line="258" w:lineRule="auto"/>
        <w:rPr>
          <w:sz w:val="20"/>
          <w:szCs w:val="20"/>
          <w:color w:val="auto"/>
        </w:rPr>
      </w:pPr>
      <w:r>
        <w:rPr>
          <w:rFonts w:ascii="Arial" w:cs="Arial" w:eastAsia="Arial" w:hAnsi="Arial"/>
          <w:sz w:val="14"/>
          <w:szCs w:val="14"/>
          <w:color w:val="auto"/>
        </w:rPr>
        <w:t>Born September 11, 1954. A US national, appointed a Non-executive Director of the Company with effect from June 2011.</w:t>
      </w:r>
    </w:p>
    <w:p>
      <w:pPr>
        <w:spacing w:after="0" w:line="154" w:lineRule="exact"/>
        <w:rPr>
          <w:sz w:val="20"/>
          <w:szCs w:val="20"/>
          <w:color w:val="auto"/>
        </w:rPr>
      </w:pPr>
    </w:p>
    <w:p>
      <w:pPr>
        <w:ind w:right="80"/>
        <w:spacing w:after="0" w:line="243" w:lineRule="auto"/>
        <w:rPr>
          <w:sz w:val="20"/>
          <w:szCs w:val="20"/>
          <w:color w:val="auto"/>
        </w:rPr>
      </w:pPr>
      <w:r>
        <w:rPr>
          <w:rFonts w:ascii="Arial" w:cs="Arial" w:eastAsia="Arial" w:hAnsi="Arial"/>
          <w:sz w:val="14"/>
          <w:szCs w:val="14"/>
          <w:color w:val="auto"/>
        </w:rPr>
        <w:t>She is a founding partner of the law firm of Stuntz, Davis &amp; Staffier, P.C., based in Washington, DC. Her law practice includes energy and environmental regulation, as well as matters relating to government support of technology development and transfer. She chaired the Electricity Advisory Committee to the US Department of Energy from 2008 to 2009, and was a member of the Board of Directors of Schlumberger Limited from 1993 to 2010. From 1989 to 1993, she held senior policy positions at the US Department of Energy, including Deputy Secretary. She played a principal role in the development and enactment of the Energy Policy Act of 1992. From 1981 to 1987, she was an Associate Minority Counsel and Minority Counsel to the Energy and Commerce Committee of the US House of Representatives.</w:t>
      </w:r>
    </w:p>
    <w:p>
      <w:pPr>
        <w:spacing w:after="0" w:line="180" w:lineRule="exact"/>
        <w:rPr>
          <w:sz w:val="20"/>
          <w:szCs w:val="20"/>
          <w:color w:val="auto"/>
        </w:rPr>
      </w:pPr>
    </w:p>
    <w:p>
      <w:pPr>
        <w:ind w:right="460"/>
        <w:spacing w:after="0" w:line="258" w:lineRule="auto"/>
        <w:rPr>
          <w:sz w:val="20"/>
          <w:szCs w:val="20"/>
          <w:color w:val="auto"/>
        </w:rPr>
      </w:pPr>
      <w:r>
        <w:rPr>
          <w:rFonts w:ascii="Arial" w:cs="Arial" w:eastAsia="Arial" w:hAnsi="Arial"/>
          <w:sz w:val="14"/>
          <w:szCs w:val="14"/>
          <w:color w:val="auto"/>
        </w:rPr>
        <w:t>She is a member of the boards of Directors of Raytheon Company and Edison International.</w:t>
      </w:r>
    </w:p>
    <w:p>
      <w:pPr>
        <w:spacing w:after="0" w:line="154" w:lineRule="exact"/>
        <w:rPr>
          <w:sz w:val="20"/>
          <w:szCs w:val="20"/>
          <w:color w:val="auto"/>
        </w:rPr>
      </w:pPr>
    </w:p>
    <w:p>
      <w:pPr>
        <w:spacing w:after="0"/>
        <w:rPr>
          <w:sz w:val="20"/>
          <w:szCs w:val="20"/>
          <w:color w:val="auto"/>
        </w:rPr>
      </w:pPr>
      <w:r>
        <w:rPr>
          <w:rFonts w:ascii="Arial" w:cs="Arial" w:eastAsia="Arial" w:hAnsi="Arial"/>
          <w:sz w:val="14"/>
          <w:szCs w:val="14"/>
          <w:color w:val="auto"/>
        </w:rPr>
        <w:t>Member of the Audit Committee</w:t>
      </w:r>
    </w:p>
    <w:p>
      <w:pPr>
        <w:sectPr>
          <w:pgSz w:w="11900" w:h="16838" w:orient="portrait"/>
          <w:cols w:equalWidth="0" w:num="2">
            <w:col w:w="5480" w:space="300"/>
            <w:col w:w="5440"/>
          </w:cols>
          <w:pgMar w:left="240" w:top="459" w:right="439" w:bottom="1440" w:gutter="0" w:footer="0" w:header="0"/>
          <w:type w:val="continuous"/>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300355</wp:posOffset>
            </wp:positionV>
            <wp:extent cx="3627755" cy="46291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3627755" cy="462915"/>
                    </a:xfrm>
                    <a:prstGeom prst="rect">
                      <a:avLst/>
                    </a:prstGeom>
                    <a:noFill/>
                  </pic:spPr>
                </pic:pic>
              </a:graphicData>
            </a:graphic>
          </wp:anchor>
        </w:drawing>
      </w:r>
    </w:p>
    <w:p>
      <w:pPr>
        <w:spacing w:after="0" w:line="200" w:lineRule="exact"/>
        <w:rPr>
          <w:sz w:val="20"/>
          <w:szCs w:val="20"/>
          <w:color w:val="auto"/>
        </w:rPr>
      </w:pP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419"/>
        </w:trPr>
        <w:tc>
          <w:tcPr>
            <w:tcW w:w="2260" w:type="dxa"/>
            <w:vAlign w:val="bottom"/>
            <w:shd w:val="clear" w:color="auto" w:fill="FF8B00"/>
          </w:tcPr>
          <w:p>
            <w:pPr>
              <w:spacing w:after="0"/>
              <w:rPr>
                <w:sz w:val="24"/>
                <w:szCs w:val="24"/>
                <w:color w:val="auto"/>
              </w:rPr>
            </w:pPr>
          </w:p>
        </w:tc>
        <w:tc>
          <w:tcPr>
            <w:tcW w:w="3460" w:type="dxa"/>
            <w:vAlign w:val="bottom"/>
            <w:shd w:val="clear" w:color="auto" w:fill="FF8B00"/>
          </w:tcPr>
          <w:p>
            <w:pPr>
              <w:spacing w:after="0"/>
              <w:rPr>
                <w:sz w:val="24"/>
                <w:szCs w:val="24"/>
                <w:color w:val="auto"/>
              </w:rPr>
            </w:pPr>
          </w:p>
        </w:tc>
      </w:tr>
      <w:tr>
        <w:trPr>
          <w:trHeight w:val="152"/>
        </w:trPr>
        <w:tc>
          <w:tcPr>
            <w:tcW w:w="2260" w:type="dxa"/>
            <w:vAlign w:val="bottom"/>
          </w:tcPr>
          <w:p>
            <w:pPr>
              <w:jc w:val="right"/>
              <w:ind w:right="1726"/>
              <w:spacing w:after="0"/>
              <w:rPr>
                <w:sz w:val="20"/>
                <w:szCs w:val="20"/>
                <w:color w:val="auto"/>
              </w:rPr>
            </w:pPr>
            <w:r>
              <w:rPr>
                <w:rFonts w:ascii="Arial" w:cs="Arial" w:eastAsia="Arial" w:hAnsi="Arial"/>
                <w:sz w:val="11"/>
                <w:szCs w:val="11"/>
                <w:b w:val="1"/>
                <w:bCs w:val="1"/>
                <w:color w:val="333333"/>
              </w:rPr>
              <w:t>60</w:t>
            </w:r>
          </w:p>
        </w:tc>
        <w:tc>
          <w:tcPr>
            <w:tcW w:w="3460" w:type="dxa"/>
            <w:vAlign w:val="bottom"/>
          </w:tcPr>
          <w:p>
            <w:pPr>
              <w:ind w:left="1780"/>
              <w:spacing w:after="0"/>
              <w:rPr>
                <w:sz w:val="20"/>
                <w:szCs w:val="20"/>
                <w:color w:val="auto"/>
              </w:rPr>
            </w:pPr>
            <w:r>
              <w:rPr>
                <w:rFonts w:ascii="Arial" w:cs="Arial" w:eastAsia="Arial" w:hAnsi="Arial"/>
                <w:sz w:val="13"/>
                <w:szCs w:val="13"/>
                <w:color w:val="333333"/>
              </w:rPr>
              <w:t>GOVERNANCE</w:t>
            </w:r>
          </w:p>
        </w:tc>
      </w:tr>
    </w:tbl>
    <w:p>
      <w:pPr>
        <w:spacing w:after="0" w:line="155" w:lineRule="exact"/>
        <w:rPr>
          <w:sz w:val="20"/>
          <w:szCs w:val="20"/>
          <w:color w:val="auto"/>
        </w:rPr>
      </w:pPr>
    </w:p>
    <w:p>
      <w:pPr>
        <w:ind w:left="2720"/>
        <w:spacing w:after="0"/>
        <w:rPr>
          <w:sz w:val="20"/>
          <w:szCs w:val="20"/>
          <w:color w:val="auto"/>
        </w:rPr>
      </w:pPr>
      <w:r>
        <w:rPr>
          <w:rFonts w:ascii="Arial" w:cs="Arial" w:eastAsia="Arial" w:hAnsi="Arial"/>
          <w:sz w:val="11"/>
          <w:szCs w:val="11"/>
          <w:color w:val="auto"/>
        </w:rPr>
        <w:t>THE BOARD OF ROYAL DUTCH SHELL PLC</w:t>
      </w:r>
    </w:p>
    <w:p>
      <w:pPr>
        <w:spacing w:after="0" w:line="48" w:lineRule="exact"/>
        <w:rPr>
          <w:sz w:val="20"/>
          <w:szCs w:val="20"/>
          <w:color w:val="auto"/>
        </w:rPr>
      </w:pPr>
    </w:p>
    <w:p>
      <w:pPr>
        <w:ind w:right="720"/>
        <w:spacing w:after="0" w:line="260" w:lineRule="auto"/>
        <w:rPr>
          <w:sz w:val="20"/>
          <w:szCs w:val="20"/>
          <w:color w:val="auto"/>
        </w:rPr>
      </w:pPr>
      <w:r>
        <w:rPr>
          <w:rFonts w:ascii="Arial" w:cs="Arial" w:eastAsia="Arial" w:hAnsi="Arial"/>
          <w:sz w:val="24"/>
          <w:szCs w:val="24"/>
          <w:color w:val="auto"/>
        </w:rPr>
        <w:t xml:space="preserve">THE BOARD OF ROYAL DUTCH SHELL PLC </w:t>
      </w:r>
      <w:r>
        <w:rPr>
          <w:rFonts w:ascii="Arial" w:cs="Arial" w:eastAsia="Arial" w:hAnsi="Arial"/>
          <w:sz w:val="24"/>
          <w:szCs w:val="24"/>
          <w:color w:val="666666"/>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-16510</wp:posOffset>
            </wp:positionV>
            <wp:extent cx="3473450" cy="88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PATRICIA A. WOERTZ</w:t>
      </w:r>
    </w:p>
    <w:p>
      <w:pPr>
        <w:spacing w:after="0"/>
        <w:rPr>
          <w:sz w:val="20"/>
          <w:szCs w:val="20"/>
          <w:color w:val="auto"/>
        </w:rPr>
      </w:pPr>
      <w:r>
        <w:rPr>
          <w:rFonts w:ascii="Arial" w:cs="Arial" w:eastAsia="Arial" w:hAnsi="Arial"/>
          <w:sz w:val="18"/>
          <w:szCs w:val="18"/>
          <w:color w:val="auto"/>
        </w:rPr>
        <w:t>Non-executive Director</w:t>
      </w:r>
    </w:p>
    <w:p>
      <w:pPr>
        <w:spacing w:after="0" w:line="1" w:lineRule="exact"/>
        <w:rPr>
          <w:sz w:val="20"/>
          <w:szCs w:val="20"/>
          <w:color w:val="auto"/>
        </w:rPr>
      </w:pPr>
    </w:p>
    <w:p>
      <w:pPr>
        <w:ind w:right="680"/>
        <w:spacing w:after="0" w:line="258" w:lineRule="auto"/>
        <w:rPr>
          <w:sz w:val="20"/>
          <w:szCs w:val="20"/>
          <w:color w:val="auto"/>
        </w:rPr>
      </w:pPr>
      <w:r>
        <w:rPr>
          <w:rFonts w:ascii="Arial" w:cs="Arial" w:eastAsia="Arial" w:hAnsi="Arial"/>
          <w:sz w:val="14"/>
          <w:szCs w:val="14"/>
          <w:color w:val="auto"/>
        </w:rPr>
        <w:t>Born March 17, 1953. A US national, appointed a Non-executive Director of the Company with effect from June 1, 2014.</w:t>
      </w:r>
    </w:p>
    <w:p>
      <w:pPr>
        <w:spacing w:after="0" w:line="154" w:lineRule="exact"/>
        <w:rPr>
          <w:sz w:val="20"/>
          <w:szCs w:val="20"/>
          <w:color w:val="auto"/>
        </w:rPr>
      </w:pPr>
    </w:p>
    <w:p>
      <w:pPr>
        <w:ind w:right="320"/>
        <w:spacing w:after="0" w:line="243" w:lineRule="auto"/>
        <w:rPr>
          <w:sz w:val="20"/>
          <w:szCs w:val="20"/>
          <w:color w:val="auto"/>
        </w:rPr>
      </w:pPr>
      <w:r>
        <w:rPr>
          <w:rFonts w:ascii="Arial" w:cs="Arial" w:eastAsia="Arial" w:hAnsi="Arial"/>
          <w:sz w:val="14"/>
          <w:szCs w:val="14"/>
          <w:color w:val="auto"/>
        </w:rPr>
        <w:t>She is Chairman and former Chief Executive Officer of Archer Daniels Midland Company in the USA, which she joined in 2006. She began her career as a certified public accountant with Ernst &amp; Ernst in Pittsburgh, USA before joining Gulf Oil Corporation in 1977 where she held various positions in refining, marketing, strategic planning and finance. Following the merger of Gulf and Chevron in 1987, she led international operations as President of Chevron Canada and, later, Chevron International Oil Company. With the merger of Chevron and Texaco in 2001, she was Executive Vice President responsible for global refining, marketing, lubricant, and supply and trading operations until 2006.</w:t>
      </w:r>
    </w:p>
    <w:p>
      <w:pPr>
        <w:spacing w:after="0" w:line="167" w:lineRule="exact"/>
        <w:rPr>
          <w:sz w:val="20"/>
          <w:szCs w:val="20"/>
          <w:color w:val="auto"/>
        </w:rPr>
      </w:pPr>
    </w:p>
    <w:p>
      <w:pPr>
        <w:ind w:right="300"/>
        <w:spacing w:after="0" w:line="247" w:lineRule="auto"/>
        <w:rPr>
          <w:sz w:val="20"/>
          <w:szCs w:val="20"/>
          <w:color w:val="auto"/>
        </w:rPr>
      </w:pPr>
      <w:r>
        <w:rPr>
          <w:rFonts w:ascii="Arial" w:cs="Arial" w:eastAsia="Arial" w:hAnsi="Arial"/>
          <w:sz w:val="14"/>
          <w:szCs w:val="14"/>
          <w:color w:val="auto"/>
        </w:rPr>
        <w:t>She is a member of the boards of Directors of The Procter &amp; Gamble Company, UI LABS and World Business Chicago. She also leads the US section of the US – Brazil CEO Forum and is a member of The Business Council. In 2010, the US President appointed her to The President’s Export Council.</w:t>
      </w:r>
    </w:p>
    <w:p>
      <w:pPr>
        <w:spacing w:after="0" w:line="175" w:lineRule="exact"/>
        <w:rPr>
          <w:sz w:val="20"/>
          <w:szCs w:val="20"/>
          <w:color w:val="auto"/>
        </w:rPr>
      </w:pPr>
    </w:p>
    <w:p>
      <w:pPr>
        <w:spacing w:after="0"/>
        <w:rPr>
          <w:sz w:val="20"/>
          <w:szCs w:val="20"/>
          <w:color w:val="auto"/>
        </w:rPr>
      </w:pPr>
      <w:r>
        <w:rPr>
          <w:rFonts w:ascii="Arial" w:cs="Arial" w:eastAsia="Arial" w:hAnsi="Arial"/>
          <w:sz w:val="14"/>
          <w:szCs w:val="14"/>
          <w:color w:val="auto"/>
        </w:rPr>
        <w:t>Member of the Corporate and Social Responsibility Committee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right"/>
        <w:spacing w:after="0"/>
        <w:rPr>
          <w:sz w:val="20"/>
          <w:szCs w:val="20"/>
          <w:color w:val="auto"/>
        </w:rPr>
      </w:pPr>
      <w:r>
        <w:rPr>
          <w:rFonts w:ascii="Arial" w:cs="Arial" w:eastAsia="Arial" w:hAnsi="Arial"/>
          <w:sz w:val="11"/>
          <w:szCs w:val="11"/>
          <w:color w:val="auto"/>
        </w:rPr>
        <w:t>SHELL ANNUAL REPORT AND FORM 20-F 2014</w:t>
      </w:r>
    </w:p>
    <w:p>
      <w:pPr>
        <w:spacing w:after="0" w:line="47" w:lineRule="exact"/>
        <w:rPr>
          <w:sz w:val="20"/>
          <w:szCs w:val="20"/>
          <w:color w:val="auto"/>
        </w:rPr>
      </w:pPr>
    </w:p>
    <w:p>
      <w:pPr>
        <w:spacing w:after="0"/>
        <w:rPr>
          <w:sz w:val="20"/>
          <w:szCs w:val="20"/>
          <w:color w:val="auto"/>
        </w:rPr>
      </w:pPr>
      <w:r>
        <w:rPr>
          <w:rFonts w:ascii="Arial" w:cs="Arial" w:eastAsia="Arial" w:hAnsi="Arial"/>
          <w:sz w:val="18"/>
          <w:szCs w:val="18"/>
          <w:color w:val="auto"/>
        </w:rPr>
        <w:t>GERRIT ZALM</w:t>
      </w:r>
    </w:p>
    <w:p>
      <w:pPr>
        <w:spacing w:after="0"/>
        <w:rPr>
          <w:sz w:val="20"/>
          <w:szCs w:val="20"/>
          <w:color w:val="auto"/>
        </w:rPr>
      </w:pPr>
      <w:r>
        <w:rPr>
          <w:rFonts w:ascii="Arial" w:cs="Arial" w:eastAsia="Arial" w:hAnsi="Arial"/>
          <w:sz w:val="18"/>
          <w:szCs w:val="18"/>
          <w:color w:val="auto"/>
        </w:rPr>
        <w:t>Non-executive Director</w:t>
      </w:r>
    </w:p>
    <w:p>
      <w:pPr>
        <w:spacing w:after="0" w:line="1" w:lineRule="exact"/>
        <w:rPr>
          <w:sz w:val="20"/>
          <w:szCs w:val="20"/>
          <w:color w:val="auto"/>
        </w:rPr>
      </w:pPr>
    </w:p>
    <w:p>
      <w:pPr>
        <w:ind w:right="640"/>
        <w:spacing w:after="0" w:line="258" w:lineRule="auto"/>
        <w:rPr>
          <w:sz w:val="20"/>
          <w:szCs w:val="20"/>
          <w:color w:val="auto"/>
        </w:rPr>
      </w:pPr>
      <w:r>
        <w:rPr>
          <w:rFonts w:ascii="Arial" w:cs="Arial" w:eastAsia="Arial" w:hAnsi="Arial"/>
          <w:sz w:val="14"/>
          <w:szCs w:val="14"/>
          <w:color w:val="auto"/>
        </w:rPr>
        <w:t>Born May 6, 1952. A Dutch national, appointed a Non-executive Director of the Company with effect from January 1, 2013.</w:t>
      </w:r>
    </w:p>
    <w:p>
      <w:pPr>
        <w:spacing w:after="0" w:line="167" w:lineRule="exact"/>
        <w:rPr>
          <w:sz w:val="20"/>
          <w:szCs w:val="20"/>
          <w:color w:val="auto"/>
        </w:rPr>
      </w:pPr>
    </w:p>
    <w:p>
      <w:pPr>
        <w:ind w:right="180"/>
        <w:spacing w:after="0" w:line="243" w:lineRule="auto"/>
        <w:rPr>
          <w:sz w:val="20"/>
          <w:szCs w:val="20"/>
          <w:color w:val="auto"/>
        </w:rPr>
      </w:pPr>
      <w:r>
        <w:rPr>
          <w:rFonts w:ascii="Arial" w:cs="Arial" w:eastAsia="Arial" w:hAnsi="Arial"/>
          <w:sz w:val="14"/>
          <w:szCs w:val="14"/>
          <w:color w:val="auto"/>
        </w:rPr>
        <w:t>He was an adviser to PricewaterhouseCoopers during 2007, Chairman of the trustees of the International Accounting Standards Board from 2007 to 2010, an adviser to Permira from 2007 to 2008, and Chief Financial Officer of DSB Bank from 2007 to 2008. He was the Minister of Finance of the Netherlands twice, from 1994 to 2002 and from 2003 to 2007. In between, he was Chairman of the parliamentary party of the VVD. Prior to 1994, he was head of the Netherlands Bureau for Economic Policy Analysis, a professor at Vrije Universiteit Amsterdam and held various positions at the Ministry of Finance and at the Ministry of Economic Affairs. He studied General Economics at Vrije Universiteit Amsterdam and received an Honorary Doctorate in Economics from this university.</w:t>
      </w:r>
    </w:p>
    <w:p>
      <w:pPr>
        <w:spacing w:after="0" w:line="166" w:lineRule="exact"/>
        <w:rPr>
          <w:sz w:val="20"/>
          <w:szCs w:val="20"/>
          <w:color w:val="auto"/>
        </w:rPr>
      </w:pPr>
    </w:p>
    <w:p>
      <w:pPr>
        <w:ind w:right="340"/>
        <w:spacing w:after="0" w:line="258" w:lineRule="auto"/>
        <w:rPr>
          <w:sz w:val="20"/>
          <w:szCs w:val="20"/>
          <w:color w:val="auto"/>
        </w:rPr>
      </w:pPr>
      <w:r>
        <w:rPr>
          <w:rFonts w:ascii="Arial" w:cs="Arial" w:eastAsia="Arial" w:hAnsi="Arial"/>
          <w:sz w:val="14"/>
          <w:szCs w:val="14"/>
          <w:color w:val="auto"/>
        </w:rPr>
        <w:t>He is Chairman of the Managing Board of ABN AMRO Bank N.V., a position he has held since 2010.</w:t>
      </w:r>
    </w:p>
    <w:p>
      <w:pPr>
        <w:spacing w:after="0" w:line="154" w:lineRule="exact"/>
        <w:rPr>
          <w:sz w:val="20"/>
          <w:szCs w:val="20"/>
          <w:color w:val="auto"/>
        </w:rPr>
      </w:pPr>
    </w:p>
    <w:p>
      <w:pPr>
        <w:ind w:right="200"/>
        <w:spacing w:after="0" w:line="258" w:lineRule="auto"/>
        <w:rPr>
          <w:sz w:val="20"/>
          <w:szCs w:val="20"/>
          <w:color w:val="auto"/>
        </w:rPr>
      </w:pPr>
      <w:r>
        <w:rPr>
          <w:rFonts w:ascii="Arial" w:cs="Arial" w:eastAsia="Arial" w:hAnsi="Arial"/>
          <w:sz w:val="14"/>
          <w:szCs w:val="14"/>
          <w:color w:val="auto"/>
        </w:rPr>
        <w:t>Member of the Corporate and Social Responsibility Committee and the Remuneration Committee</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MICHIEL BRANDJES</w:t>
      </w:r>
    </w:p>
    <w:p>
      <w:pPr>
        <w:spacing w:after="0"/>
        <w:rPr>
          <w:sz w:val="20"/>
          <w:szCs w:val="20"/>
          <w:color w:val="auto"/>
        </w:rPr>
      </w:pPr>
      <w:r>
        <w:rPr>
          <w:rFonts w:ascii="Arial" w:cs="Arial" w:eastAsia="Arial" w:hAnsi="Arial"/>
          <w:sz w:val="18"/>
          <w:szCs w:val="18"/>
          <w:color w:val="auto"/>
        </w:rPr>
        <w:t>Company Secretary</w:t>
      </w:r>
    </w:p>
    <w:p>
      <w:pPr>
        <w:spacing w:after="0" w:line="1" w:lineRule="exact"/>
        <w:rPr>
          <w:sz w:val="20"/>
          <w:szCs w:val="20"/>
          <w:color w:val="auto"/>
        </w:rPr>
      </w:pPr>
    </w:p>
    <w:p>
      <w:pPr>
        <w:ind w:right="400"/>
        <w:spacing w:after="0" w:line="258" w:lineRule="auto"/>
        <w:rPr>
          <w:sz w:val="20"/>
          <w:szCs w:val="20"/>
          <w:color w:val="auto"/>
        </w:rPr>
      </w:pPr>
      <w:r>
        <w:rPr>
          <w:rFonts w:ascii="Arial" w:cs="Arial" w:eastAsia="Arial" w:hAnsi="Arial"/>
          <w:sz w:val="14"/>
          <w:szCs w:val="14"/>
          <w:color w:val="auto"/>
        </w:rPr>
        <w:t>Born December 14, 1954. A Dutch national, appointed as Company Secretary and General Counsel Corporate of the Company in February 2005.</w:t>
      </w:r>
    </w:p>
    <w:p>
      <w:pPr>
        <w:spacing w:after="0" w:line="154" w:lineRule="exact"/>
        <w:rPr>
          <w:sz w:val="20"/>
          <w:szCs w:val="20"/>
          <w:color w:val="auto"/>
        </w:rPr>
      </w:pPr>
    </w:p>
    <w:p>
      <w:pPr>
        <w:ind w:right="180"/>
        <w:spacing w:after="0" w:line="247" w:lineRule="auto"/>
        <w:rPr>
          <w:sz w:val="20"/>
          <w:szCs w:val="20"/>
          <w:color w:val="auto"/>
        </w:rPr>
      </w:pPr>
      <w:r>
        <w:rPr>
          <w:rFonts w:ascii="Arial" w:cs="Arial" w:eastAsia="Arial" w:hAnsi="Arial"/>
          <w:sz w:val="14"/>
          <w:szCs w:val="14"/>
          <w:color w:val="auto"/>
        </w:rPr>
        <w:t>He joined Shell in 1980 as a Legal Adviser and was later appointed Head of Legal in Singapore. Following a period as Head of Legal in China, he was appointed Company Secretary of Royal Dutch Petroleum Company. In June 2014, he was appointed a Non-executive Director of Constellium N.V.</w:t>
      </w:r>
    </w:p>
    <w:p>
      <w:pPr>
        <w:sectPr>
          <w:pgSz w:w="11900" w:h="16838" w:orient="portrait"/>
          <w:cols w:equalWidth="0" w:num="2">
            <w:col w:w="5720" w:space="60"/>
            <w:col w:w="5640"/>
          </w:cols>
          <w:pgMar w:left="240" w:top="459" w:right="239" w:bottom="1440" w:gutter="0" w:footer="0" w:header="0"/>
        </w:sectPr>
      </w:pPr>
    </w:p>
    <w:bookmarkStart w:id="62" w:name="page63"/>
    <w:bookmarkEnd w:id="62"/>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3555365</wp:posOffset>
            </wp:positionH>
            <wp:positionV relativeFrom="paragraph">
              <wp:posOffset>452120</wp:posOffset>
            </wp:positionV>
            <wp:extent cx="3696335" cy="46291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3696335" cy="462915"/>
                    </a:xfrm>
                    <a:prstGeom prst="rect">
                      <a:avLst/>
                    </a:prstGeom>
                    <a:noFill/>
                  </pic:spPr>
                </pic:pic>
              </a:graphicData>
            </a:graphic>
          </wp:anchor>
        </w:drawing>
      </w:r>
    </w:p>
    <w:p>
      <w:pPr>
        <w:sectPr>
          <w:pgSz w:w="11900" w:h="16838" w:orient="portrait"/>
          <w:cols w:equalWidth="0" w:num="1">
            <w:col w:w="11240"/>
          </w:cols>
          <w:pgMar w:left="240" w:top="459" w:right="4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11"/>
          <w:szCs w:val="11"/>
          <w:color w:val="auto"/>
        </w:rPr>
        <w:t>SHELL ANNUAL REPORT AND FORM 20-F 2014</w:t>
      </w:r>
    </w:p>
    <w:p>
      <w:pPr>
        <w:spacing w:after="0" w:line="59" w:lineRule="exact"/>
        <w:rPr>
          <w:sz w:val="20"/>
          <w:szCs w:val="20"/>
          <w:color w:val="auto"/>
        </w:rPr>
      </w:pPr>
    </w:p>
    <w:p>
      <w:pPr>
        <w:spacing w:after="0"/>
        <w:rPr>
          <w:sz w:val="20"/>
          <w:szCs w:val="20"/>
          <w:color w:val="auto"/>
        </w:rPr>
      </w:pPr>
      <w:r>
        <w:rPr>
          <w:rFonts w:ascii="Arial" w:cs="Arial" w:eastAsia="Arial" w:hAnsi="Arial"/>
          <w:sz w:val="31"/>
          <w:szCs w:val="31"/>
          <w:color w:val="auto"/>
        </w:rPr>
        <w:t>SENIOR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wp:posOffset>
            </wp:positionV>
            <wp:extent cx="3473450" cy="88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spacing w:after="0" w:line="189" w:lineRule="exact"/>
        <w:rPr>
          <w:sz w:val="20"/>
          <w:szCs w:val="20"/>
          <w:color w:val="auto"/>
        </w:rPr>
      </w:pPr>
    </w:p>
    <w:p>
      <w:pPr>
        <w:ind w:right="340"/>
        <w:spacing w:after="0" w:line="258" w:lineRule="auto"/>
        <w:rPr>
          <w:sz w:val="20"/>
          <w:szCs w:val="20"/>
          <w:color w:val="auto"/>
        </w:rPr>
      </w:pPr>
      <w:r>
        <w:rPr>
          <w:rFonts w:ascii="Arial" w:cs="Arial" w:eastAsia="Arial" w:hAnsi="Arial"/>
          <w:sz w:val="14"/>
          <w:szCs w:val="14"/>
          <w:color w:val="auto"/>
        </w:rPr>
        <w:t>The Senior Management of the Company comprises the Executive Directors and those listed below. All are members of the Executive Committee (see page 68).</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JOHN ABBOTT</w:t>
      </w:r>
    </w:p>
    <w:p>
      <w:pPr>
        <w:spacing w:after="0"/>
        <w:rPr>
          <w:sz w:val="20"/>
          <w:szCs w:val="20"/>
          <w:color w:val="auto"/>
        </w:rPr>
      </w:pPr>
      <w:r>
        <w:rPr>
          <w:rFonts w:ascii="Arial" w:cs="Arial" w:eastAsia="Arial" w:hAnsi="Arial"/>
          <w:sz w:val="18"/>
          <w:szCs w:val="18"/>
          <w:color w:val="auto"/>
        </w:rPr>
        <w:t>Downstream Director</w:t>
      </w:r>
    </w:p>
    <w:p>
      <w:pPr>
        <w:spacing w:after="0" w:line="1" w:lineRule="exact"/>
        <w:rPr>
          <w:sz w:val="20"/>
          <w:szCs w:val="20"/>
          <w:color w:val="auto"/>
        </w:rPr>
      </w:pPr>
    </w:p>
    <w:p>
      <w:pPr>
        <w:spacing w:after="0" w:line="245" w:lineRule="auto"/>
        <w:rPr>
          <w:sz w:val="20"/>
          <w:szCs w:val="20"/>
          <w:color w:val="auto"/>
        </w:rPr>
      </w:pPr>
      <w:r>
        <w:rPr>
          <w:rFonts w:ascii="Arial" w:cs="Arial" w:eastAsia="Arial" w:hAnsi="Arial"/>
          <w:sz w:val="14"/>
          <w:szCs w:val="14"/>
          <w:color w:val="auto"/>
        </w:rPr>
        <w:t>Born March 24, 1960. A British national, appointed Downstream Director with effect from October 2013. Previously, he was Executive Vice President Manufacturing, responsible for oil refineries and petrochemicals plants worldwide. He joined Shell in 1981, and has held a variety of management positions in refining, chemicals and upstream heavy oil, working in Canada, the Netherlands, Singapore, Thailand, the UK and the USA.</w:t>
      </w:r>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HARRY BREKELMANS</w:t>
      </w:r>
    </w:p>
    <w:p>
      <w:pPr>
        <w:spacing w:after="0"/>
        <w:rPr>
          <w:sz w:val="20"/>
          <w:szCs w:val="20"/>
          <w:color w:val="auto"/>
        </w:rPr>
      </w:pPr>
      <w:r>
        <w:rPr>
          <w:rFonts w:ascii="Arial" w:cs="Arial" w:eastAsia="Arial" w:hAnsi="Arial"/>
          <w:sz w:val="18"/>
          <w:szCs w:val="18"/>
          <w:color w:val="auto"/>
        </w:rPr>
        <w:t>Projects &amp; Technology Director</w:t>
      </w:r>
    </w:p>
    <w:p>
      <w:pPr>
        <w:spacing w:after="0" w:line="1" w:lineRule="exact"/>
        <w:rPr>
          <w:sz w:val="20"/>
          <w:szCs w:val="20"/>
          <w:color w:val="auto"/>
        </w:rPr>
      </w:pPr>
    </w:p>
    <w:p>
      <w:pPr>
        <w:ind w:right="40"/>
        <w:spacing w:after="0" w:line="244" w:lineRule="auto"/>
        <w:rPr>
          <w:sz w:val="20"/>
          <w:szCs w:val="20"/>
          <w:color w:val="auto"/>
        </w:rPr>
      </w:pPr>
      <w:r>
        <w:rPr>
          <w:rFonts w:ascii="Arial" w:cs="Arial" w:eastAsia="Arial" w:hAnsi="Arial"/>
          <w:sz w:val="14"/>
          <w:szCs w:val="14"/>
          <w:color w:val="auto"/>
        </w:rPr>
        <w:t>Born June 11, 1965. A Dutch national, appointed Projects &amp; Technology Director with effect from October 1, 2014. Previously, he was Executive Vice President for Upstream International Operated based in the Netherlands. He joined Shell in 1990, and has held a variety of management positions in Exploration and Production, Internal Audit, and Group Strategy and Planning. From 2011 to 2013, he was Country Chairman – Russia and Executive Vice President for Russia and the Caspian region.</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color w:val="auto"/>
        </w:rPr>
        <w:t>ANDREW BROWN</w:t>
      </w:r>
    </w:p>
    <w:p>
      <w:pPr>
        <w:spacing w:after="0"/>
        <w:rPr>
          <w:sz w:val="20"/>
          <w:szCs w:val="20"/>
          <w:color w:val="auto"/>
        </w:rPr>
      </w:pPr>
      <w:r>
        <w:rPr>
          <w:rFonts w:ascii="Arial" w:cs="Arial" w:eastAsia="Arial" w:hAnsi="Arial"/>
          <w:sz w:val="18"/>
          <w:szCs w:val="18"/>
          <w:color w:val="auto"/>
        </w:rPr>
        <w:t>Upstream International Director</w:t>
      </w:r>
    </w:p>
    <w:p>
      <w:pPr>
        <w:spacing w:after="0" w:line="1" w:lineRule="exact"/>
        <w:rPr>
          <w:sz w:val="20"/>
          <w:szCs w:val="20"/>
          <w:color w:val="auto"/>
        </w:rPr>
      </w:pPr>
    </w:p>
    <w:p>
      <w:pPr>
        <w:ind w:right="80"/>
        <w:spacing w:after="0" w:line="245" w:lineRule="auto"/>
        <w:rPr>
          <w:sz w:val="20"/>
          <w:szCs w:val="20"/>
          <w:color w:val="auto"/>
        </w:rPr>
      </w:pPr>
      <w:r>
        <w:rPr>
          <w:rFonts w:ascii="Arial" w:cs="Arial" w:eastAsia="Arial" w:hAnsi="Arial"/>
          <w:sz w:val="14"/>
          <w:szCs w:val="14"/>
          <w:color w:val="auto"/>
        </w:rPr>
        <w:t>Born January 29, 1962. A British national, appointed Upstream International Director with effect from April 2012. Previously, he was Executive Vice President for Shell’s activities in Qatar and a member of the Upstream International Leadership Team. He was awarded the Order of the British Empire in 2012 for his services to British-Qatari business relations.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line="1" w:lineRule="exact"/>
        <w:rPr>
          <w:sz w:val="1"/>
          <w:szCs w:val="1"/>
          <w:color w:val="auto"/>
        </w:rPr>
      </w:pPr>
    </w:p>
    <w:tbl>
      <w:tblPr>
        <w:tblLayout w:type="fixed"/>
        <w:tblInd w:w="740" w:type="dxa"/>
        <w:tblCellMar>
          <w:top w:w="0" w:type="dxa"/>
          <w:left w:w="0" w:type="dxa"/>
          <w:bottom w:w="0" w:type="dxa"/>
          <w:right w:w="0" w:type="dxa"/>
        </w:tblCellMar>
      </w:tblPr>
      <w:tr>
        <w:trPr>
          <w:trHeight w:val="161"/>
        </w:trPr>
        <w:tc>
          <w:tcPr>
            <w:tcW w:w="2580" w:type="dxa"/>
            <w:vAlign w:val="bottom"/>
          </w:tcPr>
          <w:p>
            <w:pPr>
              <w:spacing w:after="0"/>
              <w:rPr>
                <w:sz w:val="20"/>
                <w:szCs w:val="20"/>
                <w:color w:val="auto"/>
              </w:rPr>
            </w:pPr>
            <w:r>
              <w:rPr>
                <w:rFonts w:ascii="Arial" w:cs="Arial" w:eastAsia="Arial" w:hAnsi="Arial"/>
                <w:sz w:val="13"/>
                <w:szCs w:val="13"/>
                <w:color w:val="333333"/>
              </w:rPr>
              <w:t>GOVERNANCE</w:t>
            </w:r>
          </w:p>
        </w:tc>
        <w:tc>
          <w:tcPr>
            <w:tcW w:w="1820" w:type="dxa"/>
            <w:vAlign w:val="bottom"/>
          </w:tcPr>
          <w:p>
            <w:pPr>
              <w:jc w:val="right"/>
              <w:spacing w:after="0"/>
              <w:rPr>
                <w:sz w:val="20"/>
                <w:szCs w:val="20"/>
                <w:color w:val="auto"/>
              </w:rPr>
            </w:pPr>
            <w:r>
              <w:rPr>
                <w:rFonts w:ascii="Arial" w:cs="Arial" w:eastAsia="Arial" w:hAnsi="Arial"/>
                <w:sz w:val="11"/>
                <w:szCs w:val="11"/>
                <w:b w:val="1"/>
                <w:bCs w:val="1"/>
                <w:color w:val="333333"/>
              </w:rPr>
              <w:t>61</w:t>
            </w:r>
          </w:p>
        </w:tc>
      </w:tr>
    </w:tbl>
    <w:p>
      <w:pPr>
        <w:spacing w:after="0" w:line="161" w:lineRule="exact"/>
        <w:rPr>
          <w:sz w:val="20"/>
          <w:szCs w:val="20"/>
          <w:color w:val="auto"/>
        </w:rPr>
      </w:pPr>
    </w:p>
    <w:p>
      <w:pPr>
        <w:ind w:left="740"/>
        <w:spacing w:after="0"/>
        <w:rPr>
          <w:sz w:val="20"/>
          <w:szCs w:val="20"/>
          <w:color w:val="auto"/>
        </w:rPr>
      </w:pPr>
      <w:r>
        <w:rPr>
          <w:rFonts w:ascii="Arial" w:cs="Arial" w:eastAsia="Arial" w:hAnsi="Arial"/>
          <w:sz w:val="11"/>
          <w:szCs w:val="11"/>
          <w:color w:val="auto"/>
        </w:rPr>
        <w:t>SENIOR MANAGEMENT</w:t>
      </w:r>
    </w:p>
    <w:p>
      <w:pPr>
        <w:spacing w:after="0" w:line="47" w:lineRule="exact"/>
        <w:rPr>
          <w:sz w:val="20"/>
          <w:szCs w:val="20"/>
          <w:color w:val="auto"/>
        </w:rPr>
      </w:pPr>
    </w:p>
    <w:p>
      <w:pPr>
        <w:spacing w:after="0"/>
        <w:rPr>
          <w:sz w:val="20"/>
          <w:szCs w:val="20"/>
          <w:color w:val="auto"/>
        </w:rPr>
      </w:pPr>
      <w:r>
        <w:rPr>
          <w:rFonts w:ascii="Arial" w:cs="Arial" w:eastAsia="Arial" w:hAnsi="Arial"/>
          <w:sz w:val="18"/>
          <w:szCs w:val="18"/>
          <w:color w:val="auto"/>
        </w:rPr>
        <w:t>DONNY CHING</w:t>
      </w:r>
    </w:p>
    <w:p>
      <w:pPr>
        <w:spacing w:after="0"/>
        <w:rPr>
          <w:sz w:val="20"/>
          <w:szCs w:val="20"/>
          <w:color w:val="auto"/>
        </w:rPr>
      </w:pPr>
      <w:r>
        <w:rPr>
          <w:rFonts w:ascii="Arial" w:cs="Arial" w:eastAsia="Arial" w:hAnsi="Arial"/>
          <w:sz w:val="18"/>
          <w:szCs w:val="18"/>
          <w:color w:val="auto"/>
        </w:rPr>
        <w:t>Legal Director</w:t>
      </w:r>
    </w:p>
    <w:p>
      <w:pPr>
        <w:spacing w:after="0" w:line="1" w:lineRule="exact"/>
        <w:rPr>
          <w:sz w:val="20"/>
          <w:szCs w:val="20"/>
          <w:color w:val="auto"/>
        </w:rPr>
      </w:pPr>
    </w:p>
    <w:p>
      <w:pPr>
        <w:spacing w:after="0" w:line="244" w:lineRule="auto"/>
        <w:rPr>
          <w:sz w:val="20"/>
          <w:szCs w:val="20"/>
          <w:color w:val="auto"/>
        </w:rPr>
      </w:pPr>
      <w:r>
        <w:rPr>
          <w:rFonts w:ascii="Arial" w:cs="Arial" w:eastAsia="Arial" w:hAnsi="Arial"/>
          <w:sz w:val="14"/>
          <w:szCs w:val="14"/>
          <w:color w:val="auto"/>
        </w:rPr>
        <w:t>Born February 14, 1964. A Malaysian national, appointed Legal Director with effect from February 10, 2014. Previously, he was General Counsel for the Project &amp; Technology business based in the Netherlands. He joined Shell in 1988 based in Australia, moving to Hong Kong and later to London. In 2008, he was appointed Head of Legal at Shell Singapore, having served as Associate General Counsel for the Gas &amp; Power business in Asia-Pacific.</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color w:val="auto"/>
        </w:rPr>
        <w:t>HUGH MITCHELL</w:t>
      </w:r>
    </w:p>
    <w:p>
      <w:pPr>
        <w:spacing w:after="0"/>
        <w:rPr>
          <w:sz w:val="20"/>
          <w:szCs w:val="20"/>
          <w:color w:val="auto"/>
        </w:rPr>
      </w:pPr>
      <w:r>
        <w:rPr>
          <w:rFonts w:ascii="Arial" w:cs="Arial" w:eastAsia="Arial" w:hAnsi="Arial"/>
          <w:sz w:val="18"/>
          <w:szCs w:val="18"/>
          <w:color w:val="auto"/>
        </w:rPr>
        <w:t>Chief Human Resources &amp; Corporate Officer</w:t>
      </w:r>
    </w:p>
    <w:p>
      <w:pPr>
        <w:spacing w:after="0" w:line="1" w:lineRule="exact"/>
        <w:rPr>
          <w:sz w:val="20"/>
          <w:szCs w:val="20"/>
          <w:color w:val="auto"/>
        </w:rPr>
      </w:pPr>
    </w:p>
    <w:p>
      <w:pPr>
        <w:ind w:right="40"/>
        <w:spacing w:after="0" w:line="244" w:lineRule="auto"/>
        <w:rPr>
          <w:sz w:val="20"/>
          <w:szCs w:val="20"/>
          <w:color w:val="auto"/>
        </w:rPr>
      </w:pPr>
      <w:r>
        <w:rPr>
          <w:rFonts w:ascii="Arial" w:cs="Arial" w:eastAsia="Arial" w:hAnsi="Arial"/>
          <w:sz w:val="14"/>
          <w:szCs w:val="14"/>
          <w:color w:val="auto"/>
        </w:rPr>
        <w:t>Born February 13, 1957. A British national, appointed Chief Human Resources &amp; Corporate Officer with effect from July 2009. Previously, he was Human Resources Director of Shell. In 2003, he was appointed Director International, one of the Royal Dutch/Shell Group’s Corporate Centre Directors, having served as HR Vice President for the Global Oil Products business. He is a Non-executive Director of RSA Insurance Group plc.</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color w:val="auto"/>
        </w:rPr>
        <w:t>MARVIN ODUM</w:t>
      </w:r>
    </w:p>
    <w:p>
      <w:pPr>
        <w:spacing w:after="0"/>
        <w:rPr>
          <w:sz w:val="20"/>
          <w:szCs w:val="20"/>
          <w:color w:val="auto"/>
        </w:rPr>
      </w:pPr>
      <w:r>
        <w:rPr>
          <w:rFonts w:ascii="Arial" w:cs="Arial" w:eastAsia="Arial" w:hAnsi="Arial"/>
          <w:sz w:val="18"/>
          <w:szCs w:val="18"/>
          <w:color w:val="auto"/>
        </w:rPr>
        <w:t>Upstream Americas Director</w:t>
      </w:r>
    </w:p>
    <w:p>
      <w:pPr>
        <w:spacing w:after="0" w:line="1" w:lineRule="exact"/>
        <w:rPr>
          <w:sz w:val="20"/>
          <w:szCs w:val="20"/>
          <w:color w:val="auto"/>
        </w:rPr>
      </w:pPr>
    </w:p>
    <w:p>
      <w:pPr>
        <w:ind w:right="40"/>
        <w:spacing w:after="0" w:line="245" w:lineRule="auto"/>
        <w:rPr>
          <w:sz w:val="20"/>
          <w:szCs w:val="20"/>
          <w:color w:val="auto"/>
        </w:rPr>
      </w:pPr>
      <w:r>
        <w:rPr>
          <w:rFonts w:ascii="Arial" w:cs="Arial" w:eastAsia="Arial" w:hAnsi="Arial"/>
          <w:sz w:val="14"/>
          <w:szCs w:val="14"/>
          <w:color w:val="auto"/>
        </w:rPr>
        <w:t>Born December 13, 1958. A US national, appointed Upstream Americas Director with effect from July 2009. Previously, he was Executive Vice President for the Americas for Shell Exploration &amp; Production. In 2008, he was appointed President of Shell Oil Company, having served as Executive Vice President since 2005 with responsibility for Shell’s Exploration &amp; Production businesses in the western hemisphere.</w:t>
      </w:r>
    </w:p>
    <w:p>
      <w:pPr>
        <w:sectPr>
          <w:pgSz w:w="11900" w:h="16838" w:orient="portrait"/>
          <w:cols w:equalWidth="0" w:num="2">
            <w:col w:w="5480" w:space="300"/>
            <w:col w:w="5460"/>
          </w:cols>
          <w:pgMar w:left="240" w:top="459" w:right="419" w:bottom="1440" w:gutter="0" w:footer="0" w:header="0"/>
          <w:type w:val="continuous"/>
        </w:sectPr>
      </w:pPr>
    </w:p>
    <w:bookmarkStart w:id="63" w:name="page64"/>
    <w:bookmarkEnd w:id="63"/>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314960</wp:posOffset>
            </wp:positionV>
            <wp:extent cx="3490595" cy="46291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3490595" cy="462915"/>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p>
      <w:pPr>
        <w:spacing w:after="0" w:line="200" w:lineRule="exact"/>
        <w:rPr>
          <w:sz w:val="20"/>
          <w:szCs w:val="20"/>
          <w:color w:val="auto"/>
        </w:rPr>
      </w:pP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419"/>
        </w:trPr>
        <w:tc>
          <w:tcPr>
            <w:tcW w:w="2100" w:type="dxa"/>
            <w:vAlign w:val="bottom"/>
            <w:shd w:val="clear" w:color="auto" w:fill="FF8B00"/>
          </w:tcPr>
          <w:p>
            <w:pPr>
              <w:spacing w:after="0"/>
              <w:rPr>
                <w:sz w:val="24"/>
                <w:szCs w:val="24"/>
                <w:color w:val="auto"/>
              </w:rPr>
            </w:pPr>
          </w:p>
        </w:tc>
        <w:tc>
          <w:tcPr>
            <w:tcW w:w="3400" w:type="dxa"/>
            <w:vAlign w:val="bottom"/>
            <w:shd w:val="clear" w:color="auto" w:fill="FF8B00"/>
          </w:tcPr>
          <w:p>
            <w:pPr>
              <w:spacing w:after="0"/>
              <w:rPr>
                <w:sz w:val="24"/>
                <w:szCs w:val="24"/>
                <w:color w:val="auto"/>
              </w:rPr>
            </w:pPr>
          </w:p>
        </w:tc>
      </w:tr>
      <w:tr>
        <w:trPr>
          <w:trHeight w:val="152"/>
        </w:trPr>
        <w:tc>
          <w:tcPr>
            <w:tcW w:w="2100" w:type="dxa"/>
            <w:vAlign w:val="bottom"/>
          </w:tcPr>
          <w:p>
            <w:pPr>
              <w:jc w:val="right"/>
              <w:ind w:right="1666"/>
              <w:spacing w:after="0"/>
              <w:rPr>
                <w:sz w:val="20"/>
                <w:szCs w:val="20"/>
                <w:color w:val="auto"/>
              </w:rPr>
            </w:pPr>
            <w:r>
              <w:rPr>
                <w:rFonts w:ascii="Arial" w:cs="Arial" w:eastAsia="Arial" w:hAnsi="Arial"/>
                <w:sz w:val="11"/>
                <w:szCs w:val="11"/>
                <w:b w:val="1"/>
                <w:bCs w:val="1"/>
                <w:color w:val="333333"/>
              </w:rPr>
              <w:t>62</w:t>
            </w:r>
          </w:p>
        </w:tc>
        <w:tc>
          <w:tcPr>
            <w:tcW w:w="3400" w:type="dxa"/>
            <w:vAlign w:val="bottom"/>
          </w:tcPr>
          <w:p>
            <w:pPr>
              <w:ind w:left="1720"/>
              <w:spacing w:after="0"/>
              <w:rPr>
                <w:sz w:val="20"/>
                <w:szCs w:val="20"/>
                <w:color w:val="auto"/>
              </w:rPr>
            </w:pPr>
            <w:r>
              <w:rPr>
                <w:rFonts w:ascii="Arial" w:cs="Arial" w:eastAsia="Arial" w:hAnsi="Arial"/>
                <w:sz w:val="13"/>
                <w:szCs w:val="13"/>
                <w:color w:val="333333"/>
              </w:rPr>
              <w:t>GOVERNANCE</w:t>
            </w:r>
          </w:p>
        </w:tc>
      </w:tr>
    </w:tbl>
    <w:p>
      <w:pPr>
        <w:spacing w:after="0" w:line="155" w:lineRule="exact"/>
        <w:rPr>
          <w:sz w:val="20"/>
          <w:szCs w:val="20"/>
          <w:color w:val="auto"/>
        </w:rPr>
      </w:pPr>
    </w:p>
    <w:p>
      <w:pPr>
        <w:ind w:left="3580"/>
        <w:spacing w:after="0"/>
        <w:rPr>
          <w:sz w:val="20"/>
          <w:szCs w:val="20"/>
          <w:color w:val="auto"/>
        </w:rPr>
      </w:pPr>
      <w:r>
        <w:rPr>
          <w:rFonts w:ascii="Arial" w:cs="Arial" w:eastAsia="Arial" w:hAnsi="Arial"/>
          <w:sz w:val="11"/>
          <w:szCs w:val="11"/>
          <w:color w:val="auto"/>
        </w:rPr>
        <w:t>DIRECTORS’ REPORT</w:t>
      </w:r>
    </w:p>
    <w:p>
      <w:pPr>
        <w:spacing w:after="0" w:line="59" w:lineRule="exact"/>
        <w:rPr>
          <w:sz w:val="20"/>
          <w:szCs w:val="20"/>
          <w:color w:val="auto"/>
        </w:rPr>
      </w:pPr>
    </w:p>
    <w:p>
      <w:pPr>
        <w:spacing w:after="0"/>
        <w:rPr>
          <w:sz w:val="20"/>
          <w:szCs w:val="20"/>
          <w:color w:val="auto"/>
        </w:rPr>
      </w:pPr>
      <w:r>
        <w:rPr>
          <w:rFonts w:ascii="Arial" w:cs="Arial" w:eastAsia="Arial" w:hAnsi="Arial"/>
          <w:sz w:val="31"/>
          <w:szCs w:val="31"/>
          <w:color w:val="auto"/>
        </w:rPr>
        <w:t>DIRECTORS’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wp:posOffset>
            </wp:positionV>
            <wp:extent cx="3473450" cy="88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color w:val="auto"/>
        </w:rPr>
        <w:t>MANAGEMENT REPORT</w:t>
      </w:r>
    </w:p>
    <w:p>
      <w:pPr>
        <w:spacing w:after="0" w:line="1" w:lineRule="exact"/>
        <w:rPr>
          <w:sz w:val="20"/>
          <w:szCs w:val="20"/>
          <w:color w:val="auto"/>
        </w:rPr>
      </w:pPr>
    </w:p>
    <w:p>
      <w:pPr>
        <w:ind w:right="20"/>
        <w:spacing w:after="0" w:line="258" w:lineRule="auto"/>
        <w:rPr>
          <w:sz w:val="20"/>
          <w:szCs w:val="20"/>
          <w:color w:val="auto"/>
        </w:rPr>
      </w:pPr>
      <w:r>
        <w:rPr>
          <w:rFonts w:ascii="Arial" w:cs="Arial" w:eastAsia="Arial" w:hAnsi="Arial"/>
          <w:sz w:val="14"/>
          <w:szCs w:val="14"/>
          <w:color w:val="auto"/>
        </w:rPr>
        <w:t>This Directors’ Report, together with the “Strategic Report” on pages 6-57, serves as the Management Report for the purpose of Disclosure and Transparency Rule 4.1.8R.</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FINANCIAL STATEMENTS AND DIVIDENDS</w:t>
      </w:r>
    </w:p>
    <w:p>
      <w:pPr>
        <w:spacing w:after="0" w:line="1" w:lineRule="exact"/>
        <w:rPr>
          <w:sz w:val="20"/>
          <w:szCs w:val="20"/>
          <w:color w:val="auto"/>
        </w:rPr>
      </w:pPr>
    </w:p>
    <w:p>
      <w:pPr>
        <w:ind w:right="200"/>
        <w:spacing w:after="0" w:line="258" w:lineRule="auto"/>
        <w:rPr>
          <w:sz w:val="20"/>
          <w:szCs w:val="20"/>
          <w:color w:val="auto"/>
        </w:rPr>
      </w:pPr>
      <w:r>
        <w:rPr>
          <w:rFonts w:ascii="Arial" w:cs="Arial" w:eastAsia="Arial" w:hAnsi="Arial"/>
          <w:sz w:val="14"/>
          <w:szCs w:val="14"/>
          <w:color w:val="auto"/>
        </w:rPr>
        <w:t>The “Consolidated Statement of Income” and “Consolidated Balance Sheet” can be found on pages 107 and 108 respectively.</w:t>
      </w:r>
    </w:p>
    <w:p>
      <w:pPr>
        <w:spacing w:after="0" w:line="154" w:lineRule="exact"/>
        <w:rPr>
          <w:sz w:val="20"/>
          <w:szCs w:val="20"/>
          <w:color w:val="auto"/>
        </w:rPr>
      </w:pPr>
    </w:p>
    <w:p>
      <w:pPr>
        <w:ind w:right="20"/>
        <w:spacing w:after="0" w:line="247" w:lineRule="auto"/>
        <w:rPr>
          <w:sz w:val="20"/>
          <w:szCs w:val="20"/>
          <w:color w:val="auto"/>
        </w:rPr>
      </w:pPr>
      <w:r>
        <w:rPr>
          <w:rFonts w:ascii="Arial" w:cs="Arial" w:eastAsia="Arial" w:hAnsi="Arial"/>
          <w:sz w:val="14"/>
          <w:szCs w:val="14"/>
          <w:color w:val="auto"/>
        </w:rPr>
        <w:t>The table below sets out the dividends on each class of share and each class of American Depositary Share (ADS [A]). The Company announces its dividends in US dollars and, at a later date, announces the euro and sterling equivalent amounts using a market exchange rate.</w:t>
      </w:r>
    </w:p>
    <w:p>
      <w:pPr>
        <w:spacing w:after="0" w:line="18" w:lineRule="exact"/>
        <w:rPr>
          <w:sz w:val="20"/>
          <w:szCs w:val="20"/>
          <w:color w:val="auto"/>
        </w:rPr>
      </w:pPr>
    </w:p>
    <w:p>
      <w:pPr>
        <w:ind w:right="560" w:firstLine="8"/>
        <w:spacing w:after="0" w:line="284" w:lineRule="auto"/>
        <w:tabs>
          <w:tab w:leader="none" w:pos="162" w:val="left"/>
        </w:tabs>
        <w:numPr>
          <w:ilvl w:val="0"/>
          <w:numId w:val="55"/>
        </w:numPr>
        <w:rPr>
          <w:rFonts w:ascii="Arial" w:cs="Arial" w:eastAsia="Arial" w:hAnsi="Arial"/>
          <w:sz w:val="10"/>
          <w:szCs w:val="10"/>
          <w:color w:val="auto"/>
        </w:rPr>
      </w:pPr>
      <w:r>
        <w:rPr>
          <w:rFonts w:ascii="Arial" w:cs="Arial" w:eastAsia="Arial" w:hAnsi="Arial"/>
          <w:sz w:val="10"/>
          <w:szCs w:val="10"/>
          <w:color w:val="auto"/>
        </w:rPr>
        <w:t>ADSs are listed on the New York Stock Exchange under the symbols RDS.A and RDS.B. Each ADS represents two shares – two A shares in the case of RDS.A or two B shares in the case of RDS.B.</w:t>
      </w:r>
    </w:p>
    <w:p>
      <w:pPr>
        <w:spacing w:after="0" w:line="236" w:lineRule="exact"/>
        <w:rPr>
          <w:sz w:val="20"/>
          <w:szCs w:val="20"/>
          <w:color w:val="auto"/>
        </w:rPr>
      </w:pPr>
    </w:p>
    <w:p>
      <w:pPr>
        <w:ind w:right="80"/>
        <w:spacing w:after="0" w:line="246" w:lineRule="auto"/>
        <w:rPr>
          <w:sz w:val="20"/>
          <w:szCs w:val="20"/>
          <w:color w:val="auto"/>
        </w:rPr>
      </w:pPr>
      <w:r>
        <w:rPr>
          <w:rFonts w:ascii="Arial" w:cs="Arial" w:eastAsia="Arial" w:hAnsi="Arial"/>
          <w:sz w:val="14"/>
          <w:szCs w:val="14"/>
          <w:color w:val="auto"/>
        </w:rPr>
        <w:t>Dividends on Royal Dutch Shell plc A shares (A shares) are paid by default in euros, although holders are able to elect to receive dividends in sterling. Dividends on Royal Dutch Shell plc B shares (B shares) are paid by default in sterling, although holders are able to elect to receive dividends in euros. Dividends on ADSs are paid in US dollars.</w:t>
      </w:r>
    </w:p>
    <w:p>
      <w:pPr>
        <w:spacing w:after="0" w:line="326" w:lineRule="exact"/>
        <w:rPr>
          <w:sz w:val="20"/>
          <w:szCs w:val="20"/>
          <w:color w:val="auto"/>
        </w:rPr>
      </w:pPr>
    </w:p>
    <w:p>
      <w:pPr>
        <w:ind w:right="200"/>
        <w:spacing w:after="0" w:line="244" w:lineRule="auto"/>
        <w:rPr>
          <w:sz w:val="20"/>
          <w:szCs w:val="20"/>
          <w:color w:val="auto"/>
        </w:rPr>
      </w:pPr>
      <w:r>
        <w:rPr>
          <w:rFonts w:ascii="Arial" w:cs="Arial" w:eastAsia="Arial" w:hAnsi="Arial"/>
          <w:sz w:val="14"/>
          <w:szCs w:val="14"/>
          <w:color w:val="auto"/>
        </w:rPr>
        <w:t>The Scrip Dividend Programme, which enabled shareholders to increase their shareholding by choosing to receive new shares instead of cash dividends (if approved by the Board), was cancelled with effect from the second quarter 2014 interim dividend onwards [B]. The programme is being reintroduced with effect from the first quarter 2015 interim dividend onwards. More information can be found at www.shell.com/scrip.</w:t>
      </w:r>
    </w:p>
    <w:p>
      <w:pPr>
        <w:spacing w:after="0" w:line="23" w:lineRule="exact"/>
        <w:rPr>
          <w:sz w:val="20"/>
          <w:szCs w:val="20"/>
          <w:color w:val="auto"/>
        </w:rPr>
      </w:pPr>
    </w:p>
    <w:p>
      <w:pPr>
        <w:spacing w:after="0"/>
        <w:rPr>
          <w:sz w:val="20"/>
          <w:szCs w:val="20"/>
          <w:color w:val="auto"/>
        </w:rPr>
      </w:pPr>
      <w:r>
        <w:rPr>
          <w:rFonts w:ascii="Arial" w:cs="Arial" w:eastAsia="Arial" w:hAnsi="Arial"/>
          <w:sz w:val="11"/>
          <w:szCs w:val="11"/>
          <w:color w:val="auto"/>
        </w:rPr>
        <w:t>[B] Only new A shares were issued under the programme, including to shareholders who held B shares.</w:t>
      </w:r>
    </w:p>
    <w:p>
      <w:pPr>
        <w:spacing w:after="0" w:line="219" w:lineRule="exact"/>
        <w:rPr>
          <w:sz w:val="20"/>
          <w:szCs w:val="20"/>
          <w:color w:val="auto"/>
        </w:rPr>
      </w:pPr>
    </w:p>
    <w:p>
      <w:pPr>
        <w:ind w:right="40"/>
        <w:spacing w:after="0" w:line="245" w:lineRule="auto"/>
        <w:rPr>
          <w:sz w:val="20"/>
          <w:szCs w:val="20"/>
          <w:color w:val="auto"/>
        </w:rPr>
      </w:pPr>
      <w:r>
        <w:rPr>
          <w:rFonts w:ascii="Arial" w:cs="Arial" w:eastAsia="Arial" w:hAnsi="Arial"/>
          <w:sz w:val="14"/>
          <w:szCs w:val="14"/>
          <w:color w:val="auto"/>
        </w:rPr>
        <w:t>The Directors have announced a fourth-quarter interim dividend as set out in the table below, payable on March 20, 2015, to shareholders on the Register of Members at close of business on February 13, 2015. The closing date for dividend currency election was February 27, 2015 [C]. The euro and sterling equivalents announcement date was March 6, 2015.</w:t>
      </w:r>
    </w:p>
    <w:p>
      <w:pPr>
        <w:spacing w:after="0" w:line="8" w:lineRule="exact"/>
        <w:rPr>
          <w:sz w:val="20"/>
          <w:szCs w:val="20"/>
          <w:color w:val="auto"/>
        </w:rPr>
      </w:pPr>
    </w:p>
    <w:p>
      <w:pPr>
        <w:jc w:val="both"/>
        <w:ind w:right="20" w:firstLine="8"/>
        <w:spacing w:after="0" w:line="234" w:lineRule="auto"/>
        <w:tabs>
          <w:tab w:leader="none" w:pos="168" w:val="left"/>
        </w:tabs>
        <w:numPr>
          <w:ilvl w:val="0"/>
          <w:numId w:val="56"/>
        </w:numPr>
        <w:rPr>
          <w:rFonts w:ascii="Arial" w:cs="Arial" w:eastAsia="Arial" w:hAnsi="Arial"/>
          <w:sz w:val="11"/>
          <w:szCs w:val="11"/>
          <w:color w:val="auto"/>
        </w:rPr>
      </w:pPr>
      <w:r>
        <w:rPr>
          <w:rFonts w:ascii="Arial" w:cs="Arial" w:eastAsia="Arial" w:hAnsi="Arial"/>
          <w:sz w:val="11"/>
          <w:szCs w:val="11"/>
          <w:color w:val="auto"/>
        </w:rPr>
        <w:t>A different currency election date may apply to shareholders holding shares in a securities account with a bank or financial institution ultimately holding through Euroclear Nederland. Such shareholders can obtain the applicable deadlines from their broker, financial intermediary, bank or financial institution where they hold their securities account.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3240"/>
        <w:spacing w:after="0"/>
        <w:rPr>
          <w:sz w:val="20"/>
          <w:szCs w:val="20"/>
          <w:color w:val="auto"/>
        </w:rPr>
      </w:pPr>
      <w:r>
        <w:rPr>
          <w:rFonts w:ascii="Arial" w:cs="Arial" w:eastAsia="Arial" w:hAnsi="Arial"/>
          <w:sz w:val="10"/>
          <w:szCs w:val="10"/>
          <w:color w:val="auto"/>
        </w:rPr>
        <w:t>SHELL ANNUAL REPORT AND FORM 20-F 2014</w:t>
      </w:r>
    </w:p>
    <w:p>
      <w:pPr>
        <w:spacing w:after="0" w:line="63" w:lineRule="exact"/>
        <w:rPr>
          <w:sz w:val="20"/>
          <w:szCs w:val="20"/>
          <w:color w:val="auto"/>
        </w:rPr>
      </w:pPr>
    </w:p>
    <w:p>
      <w:pPr>
        <w:ind w:right="600"/>
        <w:spacing w:after="0" w:line="252" w:lineRule="auto"/>
        <w:rPr>
          <w:sz w:val="20"/>
          <w:szCs w:val="20"/>
          <w:color w:val="auto"/>
        </w:rPr>
      </w:pPr>
      <w:r>
        <w:rPr>
          <w:rFonts w:ascii="Arial" w:cs="Arial" w:eastAsia="Arial" w:hAnsi="Arial"/>
          <w:sz w:val="17"/>
          <w:szCs w:val="17"/>
          <w:color w:val="auto"/>
        </w:rPr>
        <w:t>DIRECTORS’ RESPONSIBILITIES IN RESPECT OF THE PREPARATION OF THE ANNUAL REPORT AND ACCOUNTS</w:t>
      </w:r>
    </w:p>
    <w:p>
      <w:pPr>
        <w:ind w:right="220"/>
        <w:spacing w:after="0" w:line="243" w:lineRule="auto"/>
        <w:rPr>
          <w:sz w:val="20"/>
          <w:szCs w:val="20"/>
          <w:color w:val="auto"/>
        </w:rPr>
      </w:pPr>
      <w:r>
        <w:rPr>
          <w:rFonts w:ascii="Arial" w:cs="Arial" w:eastAsia="Arial" w:hAnsi="Arial"/>
          <w:sz w:val="14"/>
          <w:szCs w:val="14"/>
          <w:color w:val="auto"/>
        </w:rPr>
        <w:t>The Directors are responsible for preparing the Annual Report including the financial statements in accordance with applicable law and regulations. Company law requires the Directors to prepare financial statements for each financial year. Under that law the Directors have prepared the Consolidated and Parent Company Financial Statements in accordance with International Financial Reporting Standards (IFRS) as adopted by the European Union (EU). In preparing these financial statements, the Directors have also elected to comply with IFRS as issued by the International Accounting Standards Board (IASB). Under company law the Directors must not approve the financial statements unless they are satisfied that they give a true and fair view of the state of affairs of Shell and the Company and of the profit or loss of Shell and the Company for that period. In preparing these financial statements, the Directors are required to:</w:t>
      </w:r>
    </w:p>
    <w:p>
      <w:pPr>
        <w:spacing w:after="0" w:line="254" w:lineRule="exact"/>
        <w:rPr>
          <w:sz w:val="20"/>
          <w:szCs w:val="20"/>
          <w:color w:val="auto"/>
        </w:rPr>
      </w:pPr>
    </w:p>
    <w:p>
      <w:pPr>
        <w:ind w:left="160" w:hanging="160"/>
        <w:spacing w:after="0"/>
        <w:tabs>
          <w:tab w:leader="none" w:pos="160" w:val="left"/>
        </w:tabs>
        <w:numPr>
          <w:ilvl w:val="0"/>
          <w:numId w:val="57"/>
        </w:numPr>
        <w:rPr>
          <w:rFonts w:ascii="Arial" w:cs="Arial" w:eastAsia="Arial" w:hAnsi="Arial"/>
          <w:sz w:val="24"/>
          <w:szCs w:val="24"/>
          <w:color w:val="auto"/>
          <w:vertAlign w:val="superscript"/>
        </w:rPr>
      </w:pPr>
      <w:r>
        <w:rPr>
          <w:rFonts w:ascii="Arial" w:cs="Arial" w:eastAsia="Arial" w:hAnsi="Arial"/>
          <w:sz w:val="14"/>
          <w:szCs w:val="14"/>
          <w:color w:val="auto"/>
        </w:rPr>
        <w:t>select suitable accounting policies and then apply them consistently;</w:t>
      </w:r>
    </w:p>
    <w:p>
      <w:pPr>
        <w:ind w:left="160" w:hanging="160"/>
        <w:spacing w:after="0" w:line="187" w:lineRule="auto"/>
        <w:tabs>
          <w:tab w:leader="none" w:pos="160" w:val="left"/>
        </w:tabs>
        <w:numPr>
          <w:ilvl w:val="0"/>
          <w:numId w:val="57"/>
        </w:numPr>
        <w:rPr>
          <w:rFonts w:ascii="Arial" w:cs="Arial" w:eastAsia="Arial" w:hAnsi="Arial"/>
          <w:sz w:val="18"/>
          <w:szCs w:val="18"/>
          <w:color w:val="auto"/>
          <w:vertAlign w:val="superscript"/>
        </w:rPr>
      </w:pPr>
      <w:r>
        <w:rPr>
          <w:rFonts w:ascii="Arial" w:cs="Arial" w:eastAsia="Arial" w:hAnsi="Arial"/>
          <w:sz w:val="11"/>
          <w:szCs w:val="11"/>
          <w:color w:val="auto"/>
        </w:rPr>
        <w:t>make judgements and accounting estimates that are reasonable and prudent; and</w:t>
      </w:r>
    </w:p>
    <w:p>
      <w:pPr>
        <w:ind w:left="160" w:right="380" w:hanging="160"/>
        <w:spacing w:after="0" w:line="183" w:lineRule="auto"/>
        <w:tabs>
          <w:tab w:leader="none" w:pos="160" w:val="left"/>
        </w:tabs>
        <w:numPr>
          <w:ilvl w:val="0"/>
          <w:numId w:val="57"/>
        </w:numPr>
        <w:rPr>
          <w:rFonts w:ascii="Arial" w:cs="Arial" w:eastAsia="Arial" w:hAnsi="Arial"/>
          <w:sz w:val="24"/>
          <w:szCs w:val="24"/>
          <w:color w:val="auto"/>
          <w:vertAlign w:val="superscript"/>
        </w:rPr>
      </w:pPr>
      <w:r>
        <w:rPr>
          <w:rFonts w:ascii="Arial" w:cs="Arial" w:eastAsia="Arial" w:hAnsi="Arial"/>
          <w:sz w:val="14"/>
          <w:szCs w:val="14"/>
          <w:color w:val="auto"/>
        </w:rPr>
        <w:t>state whether IFRS as adopted by the EU and IFRS as issued by the IASB have been followed.</w:t>
      </w:r>
    </w:p>
    <w:p>
      <w:pPr>
        <w:spacing w:after="0" w:line="180" w:lineRule="exact"/>
        <w:rPr>
          <w:sz w:val="20"/>
          <w:szCs w:val="20"/>
          <w:color w:val="auto"/>
        </w:rPr>
      </w:pPr>
    </w:p>
    <w:p>
      <w:pPr>
        <w:ind w:right="160"/>
        <w:spacing w:after="0" w:line="243" w:lineRule="auto"/>
        <w:rPr>
          <w:sz w:val="20"/>
          <w:szCs w:val="20"/>
          <w:color w:val="auto"/>
        </w:rPr>
      </w:pPr>
      <w:r>
        <w:rPr>
          <w:rFonts w:ascii="Arial" w:cs="Arial" w:eastAsia="Arial" w:hAnsi="Arial"/>
          <w:sz w:val="14"/>
          <w:szCs w:val="14"/>
          <w:color w:val="auto"/>
        </w:rPr>
        <w:t>The Directors are responsible for keeping adequate accounting records that are sufficient to show and explain the transactions of Shell and the Company and disclose with reasonable accuracy, at any time, the financial position of Shell and the Company and to enable them to ensure that the financial statements comply with the Companies Act 2006 and, as regards the Consolidated Financial Statements, with Article 4 of the IAS Regulation and therefore are in accordance with IFRS as adopted by the EU. The Directors are also responsible for safeguarding the assets of Shell and the Company and hence for taking reasonable steps for the prevention and detection of fraud and other irregularities.</w:t>
      </w:r>
    </w:p>
    <w:p>
      <w:pPr>
        <w:spacing w:after="0" w:line="167" w:lineRule="exact"/>
        <w:rPr>
          <w:sz w:val="20"/>
          <w:szCs w:val="20"/>
          <w:color w:val="auto"/>
        </w:rPr>
      </w:pPr>
    </w:p>
    <w:p>
      <w:pPr>
        <w:ind w:right="480"/>
        <w:spacing w:after="0" w:line="258" w:lineRule="auto"/>
        <w:rPr>
          <w:sz w:val="20"/>
          <w:szCs w:val="20"/>
          <w:color w:val="auto"/>
        </w:rPr>
      </w:pPr>
      <w:r>
        <w:rPr>
          <w:rFonts w:ascii="Arial" w:cs="Arial" w:eastAsia="Arial" w:hAnsi="Arial"/>
          <w:sz w:val="14"/>
          <w:szCs w:val="14"/>
          <w:color w:val="auto"/>
        </w:rPr>
        <w:t>Each of the Directors, whose names and functions can be found on pages 58-60, confirms that, to the best of their knowledge:</w:t>
      </w:r>
    </w:p>
    <w:p>
      <w:pPr>
        <w:spacing w:after="0" w:line="194" w:lineRule="exact"/>
        <w:rPr>
          <w:sz w:val="20"/>
          <w:szCs w:val="20"/>
          <w:color w:val="auto"/>
        </w:rPr>
      </w:pPr>
    </w:p>
    <w:p>
      <w:pPr>
        <w:ind w:left="160" w:right="240" w:hanging="160"/>
        <w:spacing w:after="0" w:line="195" w:lineRule="auto"/>
        <w:tabs>
          <w:tab w:leader="none" w:pos="160" w:val="left"/>
        </w:tabs>
        <w:numPr>
          <w:ilvl w:val="0"/>
          <w:numId w:val="58"/>
        </w:numPr>
        <w:rPr>
          <w:rFonts w:ascii="Arial" w:cs="Arial" w:eastAsia="Arial" w:hAnsi="Arial"/>
          <w:sz w:val="24"/>
          <w:szCs w:val="24"/>
          <w:color w:val="auto"/>
          <w:vertAlign w:val="superscript"/>
        </w:rPr>
      </w:pPr>
      <w:r>
        <w:rPr>
          <w:rFonts w:ascii="Arial" w:cs="Arial" w:eastAsia="Arial" w:hAnsi="Arial"/>
          <w:sz w:val="14"/>
          <w:szCs w:val="14"/>
          <w:color w:val="auto"/>
        </w:rPr>
        <w:t>the financial statements, which have been prepared in accordance with IFRS as adopted by the EU, and with IFRS as issued by the IASB, give a true and fair view of the assets, liabilities, financial position and profit of Shell and the Company; and</w:t>
      </w:r>
    </w:p>
    <w:p>
      <w:pPr>
        <w:ind w:left="160" w:right="320" w:hanging="160"/>
        <w:spacing w:after="0" w:line="199" w:lineRule="auto"/>
        <w:tabs>
          <w:tab w:leader="none" w:pos="160" w:val="left"/>
        </w:tabs>
        <w:numPr>
          <w:ilvl w:val="0"/>
          <w:numId w:val="58"/>
        </w:numPr>
        <w:rPr>
          <w:rFonts w:ascii="Arial" w:cs="Arial" w:eastAsia="Arial" w:hAnsi="Arial"/>
          <w:sz w:val="24"/>
          <w:szCs w:val="24"/>
          <w:color w:val="auto"/>
          <w:vertAlign w:val="superscript"/>
        </w:rPr>
      </w:pPr>
      <w:r>
        <w:rPr>
          <w:rFonts w:ascii="Arial" w:cs="Arial" w:eastAsia="Arial" w:hAnsi="Arial"/>
          <w:sz w:val="14"/>
          <w:szCs w:val="14"/>
          <w:color w:val="auto"/>
        </w:rPr>
        <w:t>the Management Report includes a fair review of the development and performance of the business and the position of Shell, together with a description of the principal risks and uncertainties that it faces.</w:t>
      </w:r>
    </w:p>
    <w:p>
      <w:pPr>
        <w:spacing w:after="0" w:line="166" w:lineRule="exact"/>
        <w:rPr>
          <w:sz w:val="20"/>
          <w:szCs w:val="20"/>
          <w:color w:val="auto"/>
        </w:rPr>
      </w:pPr>
    </w:p>
    <w:p>
      <w:pPr>
        <w:ind w:right="200"/>
        <w:spacing w:after="0" w:line="247" w:lineRule="auto"/>
        <w:rPr>
          <w:sz w:val="20"/>
          <w:szCs w:val="20"/>
          <w:color w:val="auto"/>
        </w:rPr>
      </w:pPr>
      <w:r>
        <w:rPr>
          <w:rFonts w:ascii="Arial" w:cs="Arial" w:eastAsia="Arial" w:hAnsi="Arial"/>
          <w:sz w:val="14"/>
          <w:szCs w:val="14"/>
          <w:color w:val="auto"/>
        </w:rPr>
        <w:t>Furthermore, so far as each of the Directors is aware, there is no relevant audit information of which the auditors are unaware, and each of the Directors has taken all the steps that ought to have been taken in order to become aware of any relevant audit information and to establish that the auditors are aware of that information.</w:t>
      </w:r>
    </w:p>
    <w:p>
      <w:pPr>
        <w:spacing w:after="0" w:line="200" w:lineRule="exact"/>
        <w:rPr>
          <w:sz w:val="20"/>
          <w:szCs w:val="20"/>
          <w:color w:val="auto"/>
        </w:rPr>
      </w:pPr>
    </w:p>
    <w:p>
      <w:pPr>
        <w:sectPr>
          <w:pgSz w:w="11900" w:h="16838" w:orient="portrait"/>
          <w:cols w:equalWidth="0" w:num="2">
            <w:col w:w="5500" w:space="280"/>
            <w:col w:w="5640"/>
          </w:cols>
          <w:pgMar w:left="240" w:top="459" w:right="239" w:bottom="1440" w:gutter="0" w:footer="0" w:header="0"/>
          <w:type w:val="continuous"/>
        </w:sectPr>
      </w:pP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5060" w:type="dxa"/>
            <w:vAlign w:val="bottom"/>
            <w:shd w:val="clear" w:color="auto" w:fill="333333"/>
          </w:tcPr>
          <w:p>
            <w:pPr>
              <w:ind w:left="80"/>
              <w:spacing w:after="0"/>
              <w:rPr>
                <w:sz w:val="20"/>
                <w:szCs w:val="20"/>
                <w:color w:val="auto"/>
              </w:rPr>
            </w:pPr>
            <w:r>
              <w:rPr>
                <w:rFonts w:ascii="Arial" w:cs="Arial" w:eastAsia="Arial" w:hAnsi="Arial"/>
                <w:sz w:val="15"/>
                <w:szCs w:val="15"/>
                <w:b w:val="1"/>
                <w:bCs w:val="1"/>
                <w:color w:val="FFFFFF"/>
              </w:rPr>
              <w:t>DIVIDENDS</w:t>
            </w:r>
          </w:p>
        </w:tc>
        <w:tc>
          <w:tcPr>
            <w:tcW w:w="720" w:type="dxa"/>
            <w:vAlign w:val="bottom"/>
            <w:shd w:val="clear" w:color="auto" w:fill="333333"/>
          </w:tcPr>
          <w:p>
            <w:pPr>
              <w:spacing w:after="0"/>
              <w:rPr>
                <w:sz w:val="15"/>
                <w:szCs w:val="15"/>
                <w:color w:val="auto"/>
              </w:rPr>
            </w:pPr>
          </w:p>
        </w:tc>
        <w:tc>
          <w:tcPr>
            <w:tcW w:w="740" w:type="dxa"/>
            <w:vAlign w:val="bottom"/>
            <w:shd w:val="clear" w:color="auto" w:fill="333333"/>
          </w:tcPr>
          <w:p>
            <w:pPr>
              <w:spacing w:after="0"/>
              <w:rPr>
                <w:sz w:val="15"/>
                <w:szCs w:val="15"/>
                <w:color w:val="auto"/>
              </w:rPr>
            </w:pPr>
          </w:p>
        </w:tc>
        <w:tc>
          <w:tcPr>
            <w:tcW w:w="720" w:type="dxa"/>
            <w:vAlign w:val="bottom"/>
            <w:shd w:val="clear" w:color="auto" w:fill="333333"/>
          </w:tcPr>
          <w:p>
            <w:pPr>
              <w:spacing w:after="0"/>
              <w:rPr>
                <w:sz w:val="15"/>
                <w:szCs w:val="15"/>
                <w:color w:val="auto"/>
              </w:rPr>
            </w:pPr>
          </w:p>
        </w:tc>
        <w:tc>
          <w:tcPr>
            <w:tcW w:w="260" w:type="dxa"/>
            <w:vAlign w:val="bottom"/>
            <w:shd w:val="clear" w:color="auto" w:fill="333333"/>
          </w:tcPr>
          <w:p>
            <w:pPr>
              <w:spacing w:after="0"/>
              <w:rPr>
                <w:sz w:val="15"/>
                <w:szCs w:val="15"/>
                <w:color w:val="auto"/>
              </w:rPr>
            </w:pPr>
          </w:p>
        </w:tc>
        <w:tc>
          <w:tcPr>
            <w:tcW w:w="660" w:type="dxa"/>
            <w:vAlign w:val="bottom"/>
            <w:shd w:val="clear" w:color="auto" w:fill="333333"/>
          </w:tcPr>
          <w:p>
            <w:pPr>
              <w:spacing w:after="0"/>
              <w:rPr>
                <w:sz w:val="15"/>
                <w:szCs w:val="15"/>
                <w:color w:val="auto"/>
              </w:rPr>
            </w:pPr>
          </w:p>
        </w:tc>
        <w:tc>
          <w:tcPr>
            <w:tcW w:w="640" w:type="dxa"/>
            <w:vAlign w:val="bottom"/>
            <w:shd w:val="clear" w:color="auto" w:fill="333333"/>
          </w:tcPr>
          <w:p>
            <w:pPr>
              <w:spacing w:after="0"/>
              <w:rPr>
                <w:sz w:val="15"/>
                <w:szCs w:val="15"/>
                <w:color w:val="auto"/>
              </w:rPr>
            </w:pPr>
          </w:p>
        </w:tc>
        <w:tc>
          <w:tcPr>
            <w:tcW w:w="820" w:type="dxa"/>
            <w:vAlign w:val="bottom"/>
            <w:shd w:val="clear" w:color="auto" w:fill="333333"/>
          </w:tcPr>
          <w:p>
            <w:pPr>
              <w:spacing w:after="0"/>
              <w:rPr>
                <w:sz w:val="15"/>
                <w:szCs w:val="15"/>
                <w:color w:val="auto"/>
              </w:rPr>
            </w:pPr>
          </w:p>
        </w:tc>
        <w:tc>
          <w:tcPr>
            <w:tcW w:w="80" w:type="dxa"/>
            <w:vAlign w:val="bottom"/>
            <w:shd w:val="clear" w:color="auto" w:fill="333333"/>
          </w:tcPr>
          <w:p>
            <w:pPr>
              <w:spacing w:after="0"/>
              <w:rPr>
                <w:sz w:val="15"/>
                <w:szCs w:val="15"/>
                <w:color w:val="auto"/>
              </w:rPr>
            </w:pPr>
          </w:p>
        </w:tc>
        <w:tc>
          <w:tcPr>
            <w:tcW w:w="800" w:type="dxa"/>
            <w:vAlign w:val="bottom"/>
            <w:shd w:val="clear" w:color="auto" w:fill="333333"/>
          </w:tcPr>
          <w:p>
            <w:pPr>
              <w:spacing w:after="0"/>
              <w:rPr>
                <w:sz w:val="15"/>
                <w:szCs w:val="15"/>
                <w:color w:val="auto"/>
              </w:rPr>
            </w:pPr>
          </w:p>
        </w:tc>
        <w:tc>
          <w:tcPr>
            <w:tcW w:w="260" w:type="dxa"/>
            <w:vAlign w:val="bottom"/>
            <w:shd w:val="clear" w:color="auto" w:fill="333333"/>
          </w:tcPr>
          <w:p>
            <w:pPr>
              <w:spacing w:after="0"/>
              <w:rPr>
                <w:sz w:val="15"/>
                <w:szCs w:val="15"/>
                <w:color w:val="auto"/>
              </w:rPr>
            </w:pPr>
          </w:p>
        </w:tc>
        <w:tc>
          <w:tcPr>
            <w:tcW w:w="660" w:type="dxa"/>
            <w:vAlign w:val="bottom"/>
            <w:shd w:val="clear" w:color="auto" w:fill="333333"/>
          </w:tcPr>
          <w:p>
            <w:pPr>
              <w:jc w:val="right"/>
              <w:ind w:right="30"/>
              <w:spacing w:after="0"/>
              <w:rPr>
                <w:sz w:val="20"/>
                <w:szCs w:val="20"/>
                <w:color w:val="auto"/>
              </w:rPr>
            </w:pPr>
            <w:r>
              <w:rPr>
                <w:rFonts w:ascii="Arial" w:cs="Arial" w:eastAsia="Arial" w:hAnsi="Arial"/>
                <w:sz w:val="15"/>
                <w:szCs w:val="15"/>
                <w:color w:val="FFFFFF"/>
              </w:rPr>
              <w:t>2014</w:t>
            </w:r>
          </w:p>
        </w:tc>
      </w:tr>
      <w:tr>
        <w:trPr>
          <w:trHeight w:val="135"/>
        </w:trPr>
        <w:tc>
          <w:tcPr>
            <w:tcW w:w="50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gridSpan w:val="2"/>
          </w:tcPr>
          <w:p>
            <w:pPr>
              <w:jc w:val="right"/>
              <w:ind w:right="340"/>
              <w:spacing w:after="0" w:line="135" w:lineRule="exact"/>
              <w:rPr>
                <w:sz w:val="20"/>
                <w:szCs w:val="20"/>
                <w:color w:val="auto"/>
              </w:rPr>
            </w:pPr>
            <w:r>
              <w:rPr>
                <w:rFonts w:ascii="Arial" w:cs="Arial" w:eastAsia="Arial" w:hAnsi="Arial"/>
                <w:sz w:val="13"/>
                <w:szCs w:val="13"/>
                <w:color w:val="auto"/>
              </w:rPr>
              <w:t>A shares</w:t>
            </w:r>
          </w:p>
        </w:tc>
        <w:tc>
          <w:tcPr>
            <w:tcW w:w="6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gridSpan w:val="2"/>
          </w:tcPr>
          <w:p>
            <w:pPr>
              <w:ind w:left="80"/>
              <w:spacing w:after="0" w:line="135" w:lineRule="exact"/>
              <w:rPr>
                <w:sz w:val="20"/>
                <w:szCs w:val="20"/>
                <w:color w:val="auto"/>
              </w:rPr>
            </w:pPr>
            <w:r>
              <w:rPr>
                <w:rFonts w:ascii="Arial" w:cs="Arial" w:eastAsia="Arial" w:hAnsi="Arial"/>
                <w:sz w:val="13"/>
                <w:szCs w:val="13"/>
                <w:color w:val="auto"/>
              </w:rPr>
              <w:t>B shares[A]</w:t>
            </w:r>
          </w:p>
        </w:tc>
        <w:tc>
          <w:tcPr>
            <w:tcW w:w="1060" w:type="dxa"/>
            <w:vAlign w:val="bottom"/>
            <w:gridSpan w:val="2"/>
          </w:tcPr>
          <w:p>
            <w:pPr>
              <w:ind w:left="220"/>
              <w:spacing w:after="0" w:line="135" w:lineRule="exact"/>
              <w:rPr>
                <w:sz w:val="20"/>
                <w:szCs w:val="20"/>
                <w:color w:val="auto"/>
              </w:rPr>
            </w:pPr>
            <w:r>
              <w:rPr>
                <w:rFonts w:ascii="Arial" w:cs="Arial" w:eastAsia="Arial" w:hAnsi="Arial"/>
                <w:sz w:val="13"/>
                <w:szCs w:val="13"/>
                <w:color w:val="auto"/>
              </w:rPr>
              <w:t>A ADSs</w:t>
            </w:r>
          </w:p>
        </w:tc>
        <w:tc>
          <w:tcPr>
            <w:tcW w:w="660" w:type="dxa"/>
            <w:vAlign w:val="bottom"/>
          </w:tcPr>
          <w:p>
            <w:pPr>
              <w:jc w:val="right"/>
              <w:ind w:right="30"/>
              <w:spacing w:after="0" w:line="135" w:lineRule="exact"/>
              <w:rPr>
                <w:sz w:val="20"/>
                <w:szCs w:val="20"/>
                <w:color w:val="auto"/>
              </w:rPr>
            </w:pPr>
            <w:r>
              <w:rPr>
                <w:rFonts w:ascii="Arial" w:cs="Arial" w:eastAsia="Arial" w:hAnsi="Arial"/>
                <w:sz w:val="13"/>
                <w:szCs w:val="13"/>
                <w:color w:val="auto"/>
              </w:rPr>
              <w:t>B ADSs</w:t>
            </w:r>
          </w:p>
        </w:tc>
      </w:tr>
      <w:tr>
        <w:trPr>
          <w:trHeight w:val="129"/>
        </w:trPr>
        <w:tc>
          <w:tcPr>
            <w:tcW w:w="5060" w:type="dxa"/>
            <w:vAlign w:val="bottom"/>
            <w:tcBorders>
              <w:bottom w:val="single" w:sz="8" w:color="auto"/>
            </w:tcBorders>
          </w:tcPr>
          <w:p>
            <w:pPr>
              <w:spacing w:after="0"/>
              <w:rPr>
                <w:sz w:val="11"/>
                <w:szCs w:val="11"/>
                <w:color w:val="auto"/>
              </w:rPr>
            </w:pPr>
          </w:p>
        </w:tc>
        <w:tc>
          <w:tcPr>
            <w:tcW w:w="720" w:type="dxa"/>
            <w:vAlign w:val="bottom"/>
            <w:tcBorders>
              <w:top w:val="single" w:sz="8" w:color="auto"/>
              <w:bottom w:val="single" w:sz="8" w:color="auto"/>
            </w:tcBorders>
          </w:tcPr>
          <w:p>
            <w:pPr>
              <w:jc w:val="right"/>
              <w:ind w:right="110"/>
              <w:spacing w:after="0" w:line="129" w:lineRule="exact"/>
              <w:rPr>
                <w:sz w:val="20"/>
                <w:szCs w:val="20"/>
                <w:color w:val="auto"/>
              </w:rPr>
            </w:pPr>
            <w:r>
              <w:rPr>
                <w:rFonts w:ascii="Arial" w:cs="Arial" w:eastAsia="Arial" w:hAnsi="Arial"/>
                <w:sz w:val="13"/>
                <w:szCs w:val="13"/>
                <w:color w:val="auto"/>
              </w:rPr>
              <w:t>$</w:t>
            </w:r>
          </w:p>
        </w:tc>
        <w:tc>
          <w:tcPr>
            <w:tcW w:w="740" w:type="dxa"/>
            <w:vAlign w:val="bottom"/>
            <w:tcBorders>
              <w:top w:val="single" w:sz="8" w:color="auto"/>
              <w:bottom w:val="single" w:sz="8" w:color="auto"/>
            </w:tcBorders>
          </w:tcPr>
          <w:p>
            <w:pPr>
              <w:jc w:val="right"/>
              <w:ind w:right="69"/>
              <w:spacing w:after="0" w:line="129" w:lineRule="exact"/>
              <w:rPr>
                <w:sz w:val="20"/>
                <w:szCs w:val="20"/>
                <w:color w:val="auto"/>
              </w:rPr>
            </w:pPr>
            <w:r>
              <w:rPr>
                <w:rFonts w:ascii="Arial" w:cs="Arial" w:eastAsia="Arial" w:hAnsi="Arial"/>
                <w:sz w:val="13"/>
                <w:szCs w:val="13"/>
                <w:color w:val="auto"/>
              </w:rPr>
              <w:t>€</w:t>
            </w:r>
          </w:p>
        </w:tc>
        <w:tc>
          <w:tcPr>
            <w:tcW w:w="720" w:type="dxa"/>
            <w:vAlign w:val="bottom"/>
            <w:tcBorders>
              <w:top w:val="single" w:sz="8" w:color="auto"/>
              <w:bottom w:val="single" w:sz="8" w:color="auto"/>
            </w:tcBorders>
          </w:tcPr>
          <w:p>
            <w:pPr>
              <w:jc w:val="right"/>
              <w:ind w:right="10"/>
              <w:spacing w:after="0" w:line="129" w:lineRule="exact"/>
              <w:rPr>
                <w:sz w:val="20"/>
                <w:szCs w:val="20"/>
                <w:color w:val="auto"/>
              </w:rPr>
            </w:pPr>
            <w:r>
              <w:rPr>
                <w:rFonts w:ascii="Arial" w:cs="Arial" w:eastAsia="Arial" w:hAnsi="Arial"/>
                <w:sz w:val="13"/>
                <w:szCs w:val="13"/>
                <w:color w:val="auto"/>
              </w:rPr>
              <w:t>pence</w:t>
            </w:r>
          </w:p>
        </w:tc>
        <w:tc>
          <w:tcPr>
            <w:tcW w:w="260" w:type="dxa"/>
            <w:vAlign w:val="bottom"/>
            <w:tcBorders>
              <w:bottom w:val="single" w:sz="8" w:color="auto"/>
            </w:tcBorders>
          </w:tcPr>
          <w:p>
            <w:pPr>
              <w:spacing w:after="0"/>
              <w:rPr>
                <w:sz w:val="11"/>
                <w:szCs w:val="11"/>
                <w:color w:val="auto"/>
              </w:rPr>
            </w:pPr>
          </w:p>
        </w:tc>
        <w:tc>
          <w:tcPr>
            <w:tcW w:w="660" w:type="dxa"/>
            <w:vAlign w:val="bottom"/>
            <w:tcBorders>
              <w:top w:val="single" w:sz="8" w:color="auto"/>
              <w:bottom w:val="single" w:sz="8" w:color="auto"/>
            </w:tcBorders>
          </w:tcPr>
          <w:p>
            <w:pPr>
              <w:jc w:val="right"/>
              <w:ind w:right="50"/>
              <w:spacing w:after="0" w:line="129" w:lineRule="exact"/>
              <w:rPr>
                <w:sz w:val="20"/>
                <w:szCs w:val="20"/>
                <w:color w:val="auto"/>
              </w:rPr>
            </w:pPr>
            <w:r>
              <w:rPr>
                <w:rFonts w:ascii="Arial" w:cs="Arial" w:eastAsia="Arial" w:hAnsi="Arial"/>
                <w:sz w:val="13"/>
                <w:szCs w:val="13"/>
                <w:color w:val="auto"/>
              </w:rPr>
              <w:t>$</w:t>
            </w:r>
          </w:p>
        </w:tc>
        <w:tc>
          <w:tcPr>
            <w:tcW w:w="640" w:type="dxa"/>
            <w:vAlign w:val="bottom"/>
            <w:tcBorders>
              <w:top w:val="single" w:sz="8" w:color="auto"/>
              <w:bottom w:val="single" w:sz="8" w:color="auto"/>
            </w:tcBorders>
          </w:tcPr>
          <w:p>
            <w:pPr>
              <w:jc w:val="right"/>
              <w:ind w:right="9"/>
              <w:spacing w:after="0" w:line="129" w:lineRule="exact"/>
              <w:rPr>
                <w:sz w:val="20"/>
                <w:szCs w:val="20"/>
                <w:color w:val="auto"/>
              </w:rPr>
            </w:pPr>
            <w:r>
              <w:rPr>
                <w:rFonts w:ascii="Arial" w:cs="Arial" w:eastAsia="Arial" w:hAnsi="Arial"/>
                <w:sz w:val="13"/>
                <w:szCs w:val="13"/>
                <w:color w:val="auto"/>
              </w:rPr>
              <w:t>pence</w:t>
            </w:r>
          </w:p>
        </w:tc>
        <w:tc>
          <w:tcPr>
            <w:tcW w:w="820" w:type="dxa"/>
            <w:vAlign w:val="bottom"/>
            <w:tcBorders>
              <w:top w:val="single" w:sz="8" w:color="auto"/>
              <w:bottom w:val="single" w:sz="8" w:color="auto"/>
            </w:tcBorders>
          </w:tcPr>
          <w:p>
            <w:pPr>
              <w:jc w:val="right"/>
              <w:ind w:right="30"/>
              <w:spacing w:after="0" w:line="129" w:lineRule="exact"/>
              <w:rPr>
                <w:sz w:val="20"/>
                <w:szCs w:val="20"/>
                <w:color w:val="auto"/>
              </w:rPr>
            </w:pPr>
            <w:r>
              <w:rPr>
                <w:rFonts w:ascii="Arial" w:cs="Arial" w:eastAsia="Arial" w:hAnsi="Arial"/>
                <w:sz w:val="13"/>
                <w:szCs w:val="13"/>
                <w:color w:val="auto"/>
              </w:rPr>
              <w:t>€</w:t>
            </w:r>
          </w:p>
        </w:tc>
        <w:tc>
          <w:tcPr>
            <w:tcW w:w="80" w:type="dxa"/>
            <w:vAlign w:val="bottom"/>
            <w:tcBorders>
              <w:bottom w:val="single" w:sz="8" w:color="auto"/>
            </w:tcBorders>
          </w:tcPr>
          <w:p>
            <w:pPr>
              <w:spacing w:after="0"/>
              <w:rPr>
                <w:sz w:val="11"/>
                <w:szCs w:val="11"/>
                <w:color w:val="auto"/>
              </w:rPr>
            </w:pPr>
          </w:p>
        </w:tc>
        <w:tc>
          <w:tcPr>
            <w:tcW w:w="800" w:type="dxa"/>
            <w:vAlign w:val="bottom"/>
            <w:tcBorders>
              <w:top w:val="single" w:sz="8" w:color="auto"/>
              <w:bottom w:val="single" w:sz="8" w:color="auto"/>
            </w:tcBorders>
          </w:tcPr>
          <w:p>
            <w:pPr>
              <w:jc w:val="right"/>
              <w:ind w:right="70"/>
              <w:spacing w:after="0" w:line="129" w:lineRule="exact"/>
              <w:rPr>
                <w:sz w:val="20"/>
                <w:szCs w:val="20"/>
                <w:color w:val="auto"/>
              </w:rPr>
            </w:pPr>
            <w:r>
              <w:rPr>
                <w:rFonts w:ascii="Arial" w:cs="Arial" w:eastAsia="Arial" w:hAnsi="Arial"/>
                <w:sz w:val="13"/>
                <w:szCs w:val="13"/>
                <w:color w:val="auto"/>
              </w:rPr>
              <w:t>$</w:t>
            </w:r>
          </w:p>
        </w:tc>
        <w:tc>
          <w:tcPr>
            <w:tcW w:w="260" w:type="dxa"/>
            <w:vAlign w:val="bottom"/>
            <w:tcBorders>
              <w:bottom w:val="single" w:sz="8" w:color="auto"/>
            </w:tcBorders>
          </w:tcPr>
          <w:p>
            <w:pPr>
              <w:spacing w:after="0"/>
              <w:rPr>
                <w:sz w:val="11"/>
                <w:szCs w:val="11"/>
                <w:color w:val="auto"/>
              </w:rPr>
            </w:pPr>
          </w:p>
        </w:tc>
        <w:tc>
          <w:tcPr>
            <w:tcW w:w="660" w:type="dxa"/>
            <w:vAlign w:val="bottom"/>
            <w:tcBorders>
              <w:top w:val="single" w:sz="8" w:color="auto"/>
              <w:bottom w:val="single" w:sz="8" w:color="auto"/>
            </w:tcBorders>
          </w:tcPr>
          <w:p>
            <w:pPr>
              <w:jc w:val="right"/>
              <w:ind w:right="30"/>
              <w:spacing w:after="0" w:line="129" w:lineRule="exact"/>
              <w:rPr>
                <w:sz w:val="20"/>
                <w:szCs w:val="20"/>
                <w:color w:val="auto"/>
              </w:rPr>
            </w:pPr>
            <w:r>
              <w:rPr>
                <w:rFonts w:ascii="Arial" w:cs="Arial" w:eastAsia="Arial" w:hAnsi="Arial"/>
                <w:sz w:val="13"/>
                <w:szCs w:val="13"/>
                <w:color w:val="auto"/>
              </w:rPr>
              <w:t>$</w:t>
            </w:r>
          </w:p>
        </w:tc>
      </w:tr>
      <w:tr>
        <w:trPr>
          <w:trHeight w:val="160"/>
        </w:trPr>
        <w:tc>
          <w:tcPr>
            <w:tcW w:w="5060" w:type="dxa"/>
            <w:vAlign w:val="bottom"/>
          </w:tcPr>
          <w:p>
            <w:pPr>
              <w:spacing w:after="0"/>
              <w:rPr>
                <w:sz w:val="20"/>
                <w:szCs w:val="20"/>
                <w:color w:val="auto"/>
              </w:rPr>
            </w:pPr>
            <w:r>
              <w:rPr>
                <w:rFonts w:ascii="Arial" w:cs="Arial" w:eastAsia="Arial" w:hAnsi="Arial"/>
                <w:sz w:val="14"/>
                <w:szCs w:val="14"/>
                <w:color w:val="auto"/>
              </w:rPr>
              <w:t>Q1</w:t>
            </w:r>
          </w:p>
        </w:tc>
        <w:tc>
          <w:tcPr>
            <w:tcW w:w="720" w:type="dxa"/>
            <w:vAlign w:val="bottom"/>
          </w:tcPr>
          <w:p>
            <w:pPr>
              <w:jc w:val="right"/>
              <w:ind w:right="110"/>
              <w:spacing w:after="0"/>
              <w:rPr>
                <w:sz w:val="20"/>
                <w:szCs w:val="20"/>
                <w:color w:val="auto"/>
              </w:rPr>
            </w:pPr>
            <w:r>
              <w:rPr>
                <w:rFonts w:ascii="Arial" w:cs="Arial" w:eastAsia="Arial" w:hAnsi="Arial"/>
                <w:sz w:val="14"/>
                <w:szCs w:val="14"/>
                <w:color w:val="auto"/>
              </w:rPr>
              <w:t>0.47</w:t>
            </w:r>
          </w:p>
        </w:tc>
        <w:tc>
          <w:tcPr>
            <w:tcW w:w="740" w:type="dxa"/>
            <w:vAlign w:val="bottom"/>
          </w:tcPr>
          <w:p>
            <w:pPr>
              <w:jc w:val="right"/>
              <w:ind w:right="69"/>
              <w:spacing w:after="0"/>
              <w:rPr>
                <w:sz w:val="20"/>
                <w:szCs w:val="20"/>
                <w:color w:val="auto"/>
              </w:rPr>
            </w:pPr>
            <w:r>
              <w:rPr>
                <w:rFonts w:ascii="Arial" w:cs="Arial" w:eastAsia="Arial" w:hAnsi="Arial"/>
                <w:sz w:val="14"/>
                <w:szCs w:val="14"/>
                <w:color w:val="auto"/>
              </w:rPr>
              <w:t>0.3468</w:t>
            </w:r>
          </w:p>
        </w:tc>
        <w:tc>
          <w:tcPr>
            <w:tcW w:w="720" w:type="dxa"/>
            <w:vAlign w:val="bottom"/>
          </w:tcPr>
          <w:p>
            <w:pPr>
              <w:jc w:val="right"/>
              <w:ind w:right="10"/>
              <w:spacing w:after="0"/>
              <w:rPr>
                <w:sz w:val="20"/>
                <w:szCs w:val="20"/>
                <w:color w:val="auto"/>
              </w:rPr>
            </w:pPr>
            <w:r>
              <w:rPr>
                <w:rFonts w:ascii="Arial" w:cs="Arial" w:eastAsia="Arial" w:hAnsi="Arial"/>
                <w:sz w:val="14"/>
                <w:szCs w:val="14"/>
                <w:color w:val="auto"/>
              </w:rPr>
              <w:t>28.03</w:t>
            </w:r>
          </w:p>
        </w:tc>
        <w:tc>
          <w:tcPr>
            <w:tcW w:w="260" w:type="dxa"/>
            <w:vAlign w:val="bottom"/>
          </w:tcPr>
          <w:p>
            <w:pPr>
              <w:spacing w:after="0"/>
              <w:rPr>
                <w:sz w:val="13"/>
                <w:szCs w:val="13"/>
                <w:color w:val="auto"/>
              </w:rPr>
            </w:pPr>
          </w:p>
        </w:tc>
        <w:tc>
          <w:tcPr>
            <w:tcW w:w="660" w:type="dxa"/>
            <w:vAlign w:val="bottom"/>
          </w:tcPr>
          <w:p>
            <w:pPr>
              <w:jc w:val="right"/>
              <w:ind w:right="50"/>
              <w:spacing w:after="0"/>
              <w:rPr>
                <w:sz w:val="20"/>
                <w:szCs w:val="20"/>
                <w:color w:val="auto"/>
              </w:rPr>
            </w:pPr>
            <w:r>
              <w:rPr>
                <w:rFonts w:ascii="Arial" w:cs="Arial" w:eastAsia="Arial" w:hAnsi="Arial"/>
                <w:sz w:val="14"/>
                <w:szCs w:val="14"/>
                <w:color w:val="auto"/>
              </w:rPr>
              <w:t>0.47</w:t>
            </w:r>
          </w:p>
        </w:tc>
        <w:tc>
          <w:tcPr>
            <w:tcW w:w="640" w:type="dxa"/>
            <w:vAlign w:val="bottom"/>
          </w:tcPr>
          <w:p>
            <w:pPr>
              <w:jc w:val="right"/>
              <w:ind w:right="9"/>
              <w:spacing w:after="0"/>
              <w:rPr>
                <w:sz w:val="20"/>
                <w:szCs w:val="20"/>
                <w:color w:val="auto"/>
              </w:rPr>
            </w:pPr>
            <w:r>
              <w:rPr>
                <w:rFonts w:ascii="Arial" w:cs="Arial" w:eastAsia="Arial" w:hAnsi="Arial"/>
                <w:sz w:val="14"/>
                <w:szCs w:val="14"/>
                <w:color w:val="auto"/>
              </w:rPr>
              <w:t>28.03</w:t>
            </w:r>
          </w:p>
        </w:tc>
        <w:tc>
          <w:tcPr>
            <w:tcW w:w="820" w:type="dxa"/>
            <w:vAlign w:val="bottom"/>
          </w:tcPr>
          <w:p>
            <w:pPr>
              <w:jc w:val="right"/>
              <w:ind w:right="30"/>
              <w:spacing w:after="0"/>
              <w:rPr>
                <w:sz w:val="20"/>
                <w:szCs w:val="20"/>
                <w:color w:val="auto"/>
              </w:rPr>
            </w:pPr>
            <w:r>
              <w:rPr>
                <w:rFonts w:ascii="Arial" w:cs="Arial" w:eastAsia="Arial" w:hAnsi="Arial"/>
                <w:sz w:val="14"/>
                <w:szCs w:val="14"/>
                <w:color w:val="auto"/>
              </w:rPr>
              <w:t>0.3468</w:t>
            </w:r>
          </w:p>
        </w:tc>
        <w:tc>
          <w:tcPr>
            <w:tcW w:w="80" w:type="dxa"/>
            <w:vAlign w:val="bottom"/>
          </w:tcPr>
          <w:p>
            <w:pPr>
              <w:spacing w:after="0"/>
              <w:rPr>
                <w:sz w:val="13"/>
                <w:szCs w:val="13"/>
                <w:color w:val="auto"/>
              </w:rPr>
            </w:pPr>
          </w:p>
        </w:tc>
        <w:tc>
          <w:tcPr>
            <w:tcW w:w="800" w:type="dxa"/>
            <w:vAlign w:val="bottom"/>
          </w:tcPr>
          <w:p>
            <w:pPr>
              <w:jc w:val="right"/>
              <w:ind w:right="70"/>
              <w:spacing w:after="0"/>
              <w:rPr>
                <w:sz w:val="20"/>
                <w:szCs w:val="20"/>
                <w:color w:val="auto"/>
              </w:rPr>
            </w:pPr>
            <w:r>
              <w:rPr>
                <w:rFonts w:ascii="Arial" w:cs="Arial" w:eastAsia="Arial" w:hAnsi="Arial"/>
                <w:sz w:val="14"/>
                <w:szCs w:val="14"/>
                <w:color w:val="auto"/>
              </w:rPr>
              <w:t>0.94</w:t>
            </w:r>
          </w:p>
        </w:tc>
        <w:tc>
          <w:tcPr>
            <w:tcW w:w="260" w:type="dxa"/>
            <w:vAlign w:val="bottom"/>
          </w:tcPr>
          <w:p>
            <w:pPr>
              <w:spacing w:after="0"/>
              <w:rPr>
                <w:sz w:val="13"/>
                <w:szCs w:val="13"/>
                <w:color w:val="auto"/>
              </w:rPr>
            </w:pPr>
          </w:p>
        </w:tc>
        <w:tc>
          <w:tcPr>
            <w:tcW w:w="660" w:type="dxa"/>
            <w:vAlign w:val="bottom"/>
          </w:tcPr>
          <w:p>
            <w:pPr>
              <w:jc w:val="right"/>
              <w:ind w:right="30"/>
              <w:spacing w:after="0"/>
              <w:rPr>
                <w:sz w:val="20"/>
                <w:szCs w:val="20"/>
                <w:color w:val="auto"/>
              </w:rPr>
            </w:pPr>
            <w:r>
              <w:rPr>
                <w:rFonts w:ascii="Arial" w:cs="Arial" w:eastAsia="Arial" w:hAnsi="Arial"/>
                <w:sz w:val="14"/>
                <w:szCs w:val="14"/>
                <w:color w:val="auto"/>
              </w:rPr>
              <w:t>0.94</w:t>
            </w:r>
          </w:p>
        </w:tc>
      </w:tr>
      <w:tr>
        <w:trPr>
          <w:trHeight w:val="162"/>
        </w:trPr>
        <w:tc>
          <w:tcPr>
            <w:tcW w:w="5060" w:type="dxa"/>
            <w:vAlign w:val="bottom"/>
          </w:tcPr>
          <w:p>
            <w:pPr>
              <w:spacing w:after="0"/>
              <w:rPr>
                <w:sz w:val="20"/>
                <w:szCs w:val="20"/>
                <w:color w:val="auto"/>
              </w:rPr>
            </w:pPr>
            <w:r>
              <w:rPr>
                <w:rFonts w:ascii="Arial" w:cs="Arial" w:eastAsia="Arial" w:hAnsi="Arial"/>
                <w:sz w:val="14"/>
                <w:szCs w:val="14"/>
                <w:color w:val="auto"/>
              </w:rPr>
              <w:t>Q2</w:t>
            </w:r>
          </w:p>
        </w:tc>
        <w:tc>
          <w:tcPr>
            <w:tcW w:w="720" w:type="dxa"/>
            <w:vAlign w:val="bottom"/>
          </w:tcPr>
          <w:p>
            <w:pPr>
              <w:jc w:val="right"/>
              <w:ind w:right="110"/>
              <w:spacing w:after="0"/>
              <w:rPr>
                <w:sz w:val="20"/>
                <w:szCs w:val="20"/>
                <w:color w:val="auto"/>
              </w:rPr>
            </w:pPr>
            <w:r>
              <w:rPr>
                <w:rFonts w:ascii="Arial" w:cs="Arial" w:eastAsia="Arial" w:hAnsi="Arial"/>
                <w:sz w:val="14"/>
                <w:szCs w:val="14"/>
                <w:color w:val="auto"/>
              </w:rPr>
              <w:t>0.47</w:t>
            </w:r>
          </w:p>
        </w:tc>
        <w:tc>
          <w:tcPr>
            <w:tcW w:w="740" w:type="dxa"/>
            <w:vAlign w:val="bottom"/>
          </w:tcPr>
          <w:p>
            <w:pPr>
              <w:jc w:val="right"/>
              <w:ind w:right="69"/>
              <w:spacing w:after="0"/>
              <w:rPr>
                <w:sz w:val="20"/>
                <w:szCs w:val="20"/>
                <w:color w:val="auto"/>
              </w:rPr>
            </w:pPr>
            <w:r>
              <w:rPr>
                <w:rFonts w:ascii="Arial" w:cs="Arial" w:eastAsia="Arial" w:hAnsi="Arial"/>
                <w:sz w:val="14"/>
                <w:szCs w:val="14"/>
                <w:color w:val="auto"/>
              </w:rPr>
              <w:t>0.3632</w:t>
            </w:r>
          </w:p>
        </w:tc>
        <w:tc>
          <w:tcPr>
            <w:tcW w:w="720" w:type="dxa"/>
            <w:vAlign w:val="bottom"/>
          </w:tcPr>
          <w:p>
            <w:pPr>
              <w:jc w:val="right"/>
              <w:ind w:right="10"/>
              <w:spacing w:after="0"/>
              <w:rPr>
                <w:sz w:val="20"/>
                <w:szCs w:val="20"/>
                <w:color w:val="auto"/>
              </w:rPr>
            </w:pPr>
            <w:r>
              <w:rPr>
                <w:rFonts w:ascii="Arial" w:cs="Arial" w:eastAsia="Arial" w:hAnsi="Arial"/>
                <w:sz w:val="14"/>
                <w:szCs w:val="14"/>
                <w:color w:val="auto"/>
              </w:rPr>
              <w:t>29.09</w:t>
            </w:r>
          </w:p>
        </w:tc>
        <w:tc>
          <w:tcPr>
            <w:tcW w:w="260" w:type="dxa"/>
            <w:vAlign w:val="bottom"/>
          </w:tcPr>
          <w:p>
            <w:pPr>
              <w:spacing w:after="0"/>
              <w:rPr>
                <w:sz w:val="14"/>
                <w:szCs w:val="14"/>
                <w:color w:val="auto"/>
              </w:rPr>
            </w:pPr>
          </w:p>
        </w:tc>
        <w:tc>
          <w:tcPr>
            <w:tcW w:w="660" w:type="dxa"/>
            <w:vAlign w:val="bottom"/>
          </w:tcPr>
          <w:p>
            <w:pPr>
              <w:jc w:val="right"/>
              <w:ind w:right="50"/>
              <w:spacing w:after="0"/>
              <w:rPr>
                <w:sz w:val="20"/>
                <w:szCs w:val="20"/>
                <w:color w:val="auto"/>
              </w:rPr>
            </w:pPr>
            <w:r>
              <w:rPr>
                <w:rFonts w:ascii="Arial" w:cs="Arial" w:eastAsia="Arial" w:hAnsi="Arial"/>
                <w:sz w:val="14"/>
                <w:szCs w:val="14"/>
                <w:color w:val="auto"/>
              </w:rPr>
              <w:t>0.47</w:t>
            </w:r>
          </w:p>
        </w:tc>
        <w:tc>
          <w:tcPr>
            <w:tcW w:w="640" w:type="dxa"/>
            <w:vAlign w:val="bottom"/>
          </w:tcPr>
          <w:p>
            <w:pPr>
              <w:jc w:val="right"/>
              <w:ind w:right="9"/>
              <w:spacing w:after="0"/>
              <w:rPr>
                <w:sz w:val="20"/>
                <w:szCs w:val="20"/>
                <w:color w:val="auto"/>
              </w:rPr>
            </w:pPr>
            <w:r>
              <w:rPr>
                <w:rFonts w:ascii="Arial" w:cs="Arial" w:eastAsia="Arial" w:hAnsi="Arial"/>
                <w:sz w:val="14"/>
                <w:szCs w:val="14"/>
                <w:color w:val="auto"/>
              </w:rPr>
              <w:t>29.09</w:t>
            </w:r>
          </w:p>
        </w:tc>
        <w:tc>
          <w:tcPr>
            <w:tcW w:w="820" w:type="dxa"/>
            <w:vAlign w:val="bottom"/>
          </w:tcPr>
          <w:p>
            <w:pPr>
              <w:jc w:val="right"/>
              <w:ind w:right="30"/>
              <w:spacing w:after="0"/>
              <w:rPr>
                <w:sz w:val="20"/>
                <w:szCs w:val="20"/>
                <w:color w:val="auto"/>
              </w:rPr>
            </w:pPr>
            <w:r>
              <w:rPr>
                <w:rFonts w:ascii="Arial" w:cs="Arial" w:eastAsia="Arial" w:hAnsi="Arial"/>
                <w:sz w:val="14"/>
                <w:szCs w:val="14"/>
                <w:color w:val="auto"/>
              </w:rPr>
              <w:t>0.3632</w:t>
            </w:r>
          </w:p>
        </w:tc>
        <w:tc>
          <w:tcPr>
            <w:tcW w:w="80" w:type="dxa"/>
            <w:vAlign w:val="bottom"/>
          </w:tcPr>
          <w:p>
            <w:pPr>
              <w:spacing w:after="0"/>
              <w:rPr>
                <w:sz w:val="14"/>
                <w:szCs w:val="14"/>
                <w:color w:val="auto"/>
              </w:rPr>
            </w:pPr>
          </w:p>
        </w:tc>
        <w:tc>
          <w:tcPr>
            <w:tcW w:w="800" w:type="dxa"/>
            <w:vAlign w:val="bottom"/>
          </w:tcPr>
          <w:p>
            <w:pPr>
              <w:jc w:val="right"/>
              <w:ind w:right="70"/>
              <w:spacing w:after="0"/>
              <w:rPr>
                <w:sz w:val="20"/>
                <w:szCs w:val="20"/>
                <w:color w:val="auto"/>
              </w:rPr>
            </w:pPr>
            <w:r>
              <w:rPr>
                <w:rFonts w:ascii="Arial" w:cs="Arial" w:eastAsia="Arial" w:hAnsi="Arial"/>
                <w:sz w:val="14"/>
                <w:szCs w:val="14"/>
                <w:color w:val="auto"/>
              </w:rPr>
              <w:t>0.94</w:t>
            </w:r>
          </w:p>
        </w:tc>
        <w:tc>
          <w:tcPr>
            <w:tcW w:w="260" w:type="dxa"/>
            <w:vAlign w:val="bottom"/>
          </w:tcPr>
          <w:p>
            <w:pPr>
              <w:spacing w:after="0"/>
              <w:rPr>
                <w:sz w:val="14"/>
                <w:szCs w:val="14"/>
                <w:color w:val="auto"/>
              </w:rPr>
            </w:pPr>
          </w:p>
        </w:tc>
        <w:tc>
          <w:tcPr>
            <w:tcW w:w="660" w:type="dxa"/>
            <w:vAlign w:val="bottom"/>
          </w:tcPr>
          <w:p>
            <w:pPr>
              <w:jc w:val="right"/>
              <w:ind w:right="30"/>
              <w:spacing w:after="0"/>
              <w:rPr>
                <w:sz w:val="20"/>
                <w:szCs w:val="20"/>
                <w:color w:val="auto"/>
              </w:rPr>
            </w:pPr>
            <w:r>
              <w:rPr>
                <w:rFonts w:ascii="Arial" w:cs="Arial" w:eastAsia="Arial" w:hAnsi="Arial"/>
                <w:sz w:val="14"/>
                <w:szCs w:val="14"/>
                <w:color w:val="auto"/>
              </w:rPr>
              <w:t>0.94</w:t>
            </w:r>
          </w:p>
        </w:tc>
      </w:tr>
      <w:tr>
        <w:trPr>
          <w:trHeight w:val="162"/>
        </w:trPr>
        <w:tc>
          <w:tcPr>
            <w:tcW w:w="5060" w:type="dxa"/>
            <w:vAlign w:val="bottom"/>
          </w:tcPr>
          <w:p>
            <w:pPr>
              <w:spacing w:after="0"/>
              <w:rPr>
                <w:sz w:val="20"/>
                <w:szCs w:val="20"/>
                <w:color w:val="auto"/>
              </w:rPr>
            </w:pPr>
            <w:r>
              <w:rPr>
                <w:rFonts w:ascii="Arial" w:cs="Arial" w:eastAsia="Arial" w:hAnsi="Arial"/>
                <w:sz w:val="14"/>
                <w:szCs w:val="14"/>
                <w:color w:val="auto"/>
              </w:rPr>
              <w:t>Q3</w:t>
            </w:r>
          </w:p>
        </w:tc>
        <w:tc>
          <w:tcPr>
            <w:tcW w:w="720" w:type="dxa"/>
            <w:vAlign w:val="bottom"/>
          </w:tcPr>
          <w:p>
            <w:pPr>
              <w:jc w:val="right"/>
              <w:ind w:right="110"/>
              <w:spacing w:after="0"/>
              <w:rPr>
                <w:sz w:val="20"/>
                <w:szCs w:val="20"/>
                <w:color w:val="auto"/>
              </w:rPr>
            </w:pPr>
            <w:r>
              <w:rPr>
                <w:rFonts w:ascii="Arial" w:cs="Arial" w:eastAsia="Arial" w:hAnsi="Arial"/>
                <w:sz w:val="14"/>
                <w:szCs w:val="14"/>
                <w:color w:val="auto"/>
              </w:rPr>
              <w:t>0.47</w:t>
            </w:r>
          </w:p>
        </w:tc>
        <w:tc>
          <w:tcPr>
            <w:tcW w:w="740" w:type="dxa"/>
            <w:vAlign w:val="bottom"/>
          </w:tcPr>
          <w:p>
            <w:pPr>
              <w:jc w:val="right"/>
              <w:ind w:right="69"/>
              <w:spacing w:after="0"/>
              <w:rPr>
                <w:sz w:val="20"/>
                <w:szCs w:val="20"/>
                <w:color w:val="auto"/>
              </w:rPr>
            </w:pPr>
            <w:r>
              <w:rPr>
                <w:rFonts w:ascii="Arial" w:cs="Arial" w:eastAsia="Arial" w:hAnsi="Arial"/>
                <w:sz w:val="14"/>
                <w:szCs w:val="14"/>
                <w:color w:val="auto"/>
              </w:rPr>
              <w:t>0.3828</w:t>
            </w:r>
          </w:p>
        </w:tc>
        <w:tc>
          <w:tcPr>
            <w:tcW w:w="720" w:type="dxa"/>
            <w:vAlign w:val="bottom"/>
          </w:tcPr>
          <w:p>
            <w:pPr>
              <w:jc w:val="right"/>
              <w:ind w:right="10"/>
              <w:spacing w:after="0"/>
              <w:rPr>
                <w:sz w:val="20"/>
                <w:szCs w:val="20"/>
                <w:color w:val="auto"/>
              </w:rPr>
            </w:pPr>
            <w:r>
              <w:rPr>
                <w:rFonts w:ascii="Arial" w:cs="Arial" w:eastAsia="Arial" w:hAnsi="Arial"/>
                <w:sz w:val="14"/>
                <w:szCs w:val="14"/>
                <w:color w:val="auto"/>
              </w:rPr>
              <w:t>30.16</w:t>
            </w:r>
          </w:p>
        </w:tc>
        <w:tc>
          <w:tcPr>
            <w:tcW w:w="260" w:type="dxa"/>
            <w:vAlign w:val="bottom"/>
          </w:tcPr>
          <w:p>
            <w:pPr>
              <w:spacing w:after="0"/>
              <w:rPr>
                <w:sz w:val="14"/>
                <w:szCs w:val="14"/>
                <w:color w:val="auto"/>
              </w:rPr>
            </w:pPr>
          </w:p>
        </w:tc>
        <w:tc>
          <w:tcPr>
            <w:tcW w:w="660" w:type="dxa"/>
            <w:vAlign w:val="bottom"/>
          </w:tcPr>
          <w:p>
            <w:pPr>
              <w:jc w:val="right"/>
              <w:ind w:right="50"/>
              <w:spacing w:after="0"/>
              <w:rPr>
                <w:sz w:val="20"/>
                <w:szCs w:val="20"/>
                <w:color w:val="auto"/>
              </w:rPr>
            </w:pPr>
            <w:r>
              <w:rPr>
                <w:rFonts w:ascii="Arial" w:cs="Arial" w:eastAsia="Arial" w:hAnsi="Arial"/>
                <w:sz w:val="14"/>
                <w:szCs w:val="14"/>
                <w:color w:val="auto"/>
              </w:rPr>
              <w:t>0.47</w:t>
            </w:r>
          </w:p>
        </w:tc>
        <w:tc>
          <w:tcPr>
            <w:tcW w:w="640" w:type="dxa"/>
            <w:vAlign w:val="bottom"/>
          </w:tcPr>
          <w:p>
            <w:pPr>
              <w:jc w:val="right"/>
              <w:ind w:right="9"/>
              <w:spacing w:after="0"/>
              <w:rPr>
                <w:sz w:val="20"/>
                <w:szCs w:val="20"/>
                <w:color w:val="auto"/>
              </w:rPr>
            </w:pPr>
            <w:r>
              <w:rPr>
                <w:rFonts w:ascii="Arial" w:cs="Arial" w:eastAsia="Arial" w:hAnsi="Arial"/>
                <w:sz w:val="14"/>
                <w:szCs w:val="14"/>
                <w:color w:val="auto"/>
              </w:rPr>
              <w:t>30.16</w:t>
            </w:r>
          </w:p>
        </w:tc>
        <w:tc>
          <w:tcPr>
            <w:tcW w:w="820" w:type="dxa"/>
            <w:vAlign w:val="bottom"/>
          </w:tcPr>
          <w:p>
            <w:pPr>
              <w:jc w:val="right"/>
              <w:ind w:right="30"/>
              <w:spacing w:after="0"/>
              <w:rPr>
                <w:sz w:val="20"/>
                <w:szCs w:val="20"/>
                <w:color w:val="auto"/>
              </w:rPr>
            </w:pPr>
            <w:r>
              <w:rPr>
                <w:rFonts w:ascii="Arial" w:cs="Arial" w:eastAsia="Arial" w:hAnsi="Arial"/>
                <w:sz w:val="14"/>
                <w:szCs w:val="14"/>
                <w:color w:val="auto"/>
              </w:rPr>
              <w:t>0.3828</w:t>
            </w:r>
          </w:p>
        </w:tc>
        <w:tc>
          <w:tcPr>
            <w:tcW w:w="80" w:type="dxa"/>
            <w:vAlign w:val="bottom"/>
          </w:tcPr>
          <w:p>
            <w:pPr>
              <w:spacing w:after="0"/>
              <w:rPr>
                <w:sz w:val="14"/>
                <w:szCs w:val="14"/>
                <w:color w:val="auto"/>
              </w:rPr>
            </w:pPr>
          </w:p>
        </w:tc>
        <w:tc>
          <w:tcPr>
            <w:tcW w:w="800" w:type="dxa"/>
            <w:vAlign w:val="bottom"/>
          </w:tcPr>
          <w:p>
            <w:pPr>
              <w:jc w:val="right"/>
              <w:ind w:right="70"/>
              <w:spacing w:after="0"/>
              <w:rPr>
                <w:sz w:val="20"/>
                <w:szCs w:val="20"/>
                <w:color w:val="auto"/>
              </w:rPr>
            </w:pPr>
            <w:r>
              <w:rPr>
                <w:rFonts w:ascii="Arial" w:cs="Arial" w:eastAsia="Arial" w:hAnsi="Arial"/>
                <w:sz w:val="14"/>
                <w:szCs w:val="14"/>
                <w:color w:val="auto"/>
              </w:rPr>
              <w:t>0.94</w:t>
            </w:r>
          </w:p>
        </w:tc>
        <w:tc>
          <w:tcPr>
            <w:tcW w:w="260" w:type="dxa"/>
            <w:vAlign w:val="bottom"/>
          </w:tcPr>
          <w:p>
            <w:pPr>
              <w:spacing w:after="0"/>
              <w:rPr>
                <w:sz w:val="14"/>
                <w:szCs w:val="14"/>
                <w:color w:val="auto"/>
              </w:rPr>
            </w:pPr>
          </w:p>
        </w:tc>
        <w:tc>
          <w:tcPr>
            <w:tcW w:w="660" w:type="dxa"/>
            <w:vAlign w:val="bottom"/>
          </w:tcPr>
          <w:p>
            <w:pPr>
              <w:jc w:val="right"/>
              <w:ind w:right="30"/>
              <w:spacing w:after="0"/>
              <w:rPr>
                <w:sz w:val="20"/>
                <w:szCs w:val="20"/>
                <w:color w:val="auto"/>
              </w:rPr>
            </w:pPr>
            <w:r>
              <w:rPr>
                <w:rFonts w:ascii="Arial" w:cs="Arial" w:eastAsia="Arial" w:hAnsi="Arial"/>
                <w:sz w:val="14"/>
                <w:szCs w:val="14"/>
                <w:color w:val="auto"/>
              </w:rPr>
              <w:t>0.94</w:t>
            </w:r>
          </w:p>
        </w:tc>
      </w:tr>
      <w:tr>
        <w:trPr>
          <w:trHeight w:val="157"/>
        </w:trPr>
        <w:tc>
          <w:tcPr>
            <w:tcW w:w="5060" w:type="dxa"/>
            <w:vAlign w:val="bottom"/>
            <w:tcBorders>
              <w:bottom w:val="single" w:sz="8" w:color="auto"/>
            </w:tcBorders>
          </w:tcPr>
          <w:p>
            <w:pPr>
              <w:spacing w:after="0" w:line="157" w:lineRule="exact"/>
              <w:rPr>
                <w:sz w:val="20"/>
                <w:szCs w:val="20"/>
                <w:color w:val="auto"/>
              </w:rPr>
            </w:pPr>
            <w:r>
              <w:rPr>
                <w:rFonts w:ascii="Arial" w:cs="Arial" w:eastAsia="Arial" w:hAnsi="Arial"/>
                <w:sz w:val="14"/>
                <w:szCs w:val="14"/>
                <w:color w:val="auto"/>
              </w:rPr>
              <w:t>Q4</w:t>
            </w:r>
          </w:p>
        </w:tc>
        <w:tc>
          <w:tcPr>
            <w:tcW w:w="720" w:type="dxa"/>
            <w:vAlign w:val="bottom"/>
            <w:tcBorders>
              <w:bottom w:val="single" w:sz="8" w:color="auto"/>
            </w:tcBorders>
          </w:tcPr>
          <w:p>
            <w:pPr>
              <w:jc w:val="right"/>
              <w:ind w:right="110"/>
              <w:spacing w:after="0" w:line="157" w:lineRule="exact"/>
              <w:rPr>
                <w:sz w:val="20"/>
                <w:szCs w:val="20"/>
                <w:color w:val="auto"/>
              </w:rPr>
            </w:pPr>
            <w:r>
              <w:rPr>
                <w:rFonts w:ascii="Arial" w:cs="Arial" w:eastAsia="Arial" w:hAnsi="Arial"/>
                <w:sz w:val="14"/>
                <w:szCs w:val="14"/>
                <w:color w:val="auto"/>
              </w:rPr>
              <w:t>0.47</w:t>
            </w:r>
          </w:p>
        </w:tc>
        <w:tc>
          <w:tcPr>
            <w:tcW w:w="740" w:type="dxa"/>
            <w:vAlign w:val="bottom"/>
            <w:tcBorders>
              <w:bottom w:val="single" w:sz="8" w:color="auto"/>
            </w:tcBorders>
          </w:tcPr>
          <w:p>
            <w:pPr>
              <w:jc w:val="right"/>
              <w:ind w:right="69"/>
              <w:spacing w:after="0" w:line="157" w:lineRule="exact"/>
              <w:rPr>
                <w:sz w:val="20"/>
                <w:szCs w:val="20"/>
                <w:color w:val="auto"/>
              </w:rPr>
            </w:pPr>
            <w:r>
              <w:rPr>
                <w:rFonts w:ascii="Arial" w:cs="Arial" w:eastAsia="Arial" w:hAnsi="Arial"/>
                <w:sz w:val="14"/>
                <w:szCs w:val="14"/>
                <w:color w:val="auto"/>
              </w:rPr>
              <w:t>0.4329</w:t>
            </w:r>
          </w:p>
        </w:tc>
        <w:tc>
          <w:tcPr>
            <w:tcW w:w="720" w:type="dxa"/>
            <w:vAlign w:val="bottom"/>
            <w:tcBorders>
              <w:bottom w:val="single" w:sz="8" w:color="auto"/>
            </w:tcBorders>
          </w:tcPr>
          <w:p>
            <w:pPr>
              <w:jc w:val="right"/>
              <w:ind w:right="10"/>
              <w:spacing w:after="0" w:line="157" w:lineRule="exact"/>
              <w:rPr>
                <w:sz w:val="20"/>
                <w:szCs w:val="20"/>
                <w:color w:val="auto"/>
              </w:rPr>
            </w:pPr>
            <w:r>
              <w:rPr>
                <w:rFonts w:ascii="Arial" w:cs="Arial" w:eastAsia="Arial" w:hAnsi="Arial"/>
                <w:sz w:val="14"/>
                <w:szCs w:val="14"/>
                <w:color w:val="auto"/>
              </w:rPr>
              <w:t>31.20</w:t>
            </w:r>
          </w:p>
        </w:tc>
        <w:tc>
          <w:tcPr>
            <w:tcW w:w="26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ind w:right="50"/>
              <w:spacing w:after="0" w:line="157" w:lineRule="exact"/>
              <w:rPr>
                <w:sz w:val="20"/>
                <w:szCs w:val="20"/>
                <w:color w:val="auto"/>
              </w:rPr>
            </w:pPr>
            <w:r>
              <w:rPr>
                <w:rFonts w:ascii="Arial" w:cs="Arial" w:eastAsia="Arial" w:hAnsi="Arial"/>
                <w:sz w:val="14"/>
                <w:szCs w:val="14"/>
                <w:color w:val="auto"/>
              </w:rPr>
              <w:t>0.47</w:t>
            </w:r>
          </w:p>
        </w:tc>
        <w:tc>
          <w:tcPr>
            <w:tcW w:w="640" w:type="dxa"/>
            <w:vAlign w:val="bottom"/>
            <w:tcBorders>
              <w:bottom w:val="single" w:sz="8" w:color="auto"/>
            </w:tcBorders>
          </w:tcPr>
          <w:p>
            <w:pPr>
              <w:jc w:val="right"/>
              <w:ind w:right="9"/>
              <w:spacing w:after="0" w:line="157" w:lineRule="exact"/>
              <w:rPr>
                <w:sz w:val="20"/>
                <w:szCs w:val="20"/>
                <w:color w:val="auto"/>
              </w:rPr>
            </w:pPr>
            <w:r>
              <w:rPr>
                <w:rFonts w:ascii="Arial" w:cs="Arial" w:eastAsia="Arial" w:hAnsi="Arial"/>
                <w:sz w:val="14"/>
                <w:szCs w:val="14"/>
                <w:color w:val="auto"/>
              </w:rPr>
              <w:t>31.20</w:t>
            </w:r>
          </w:p>
        </w:tc>
        <w:tc>
          <w:tcPr>
            <w:tcW w:w="820" w:type="dxa"/>
            <w:vAlign w:val="bottom"/>
            <w:tcBorders>
              <w:bottom w:val="single" w:sz="8" w:color="auto"/>
            </w:tcBorders>
          </w:tcPr>
          <w:p>
            <w:pPr>
              <w:jc w:val="right"/>
              <w:ind w:right="30"/>
              <w:spacing w:after="0" w:line="157" w:lineRule="exact"/>
              <w:rPr>
                <w:sz w:val="20"/>
                <w:szCs w:val="20"/>
                <w:color w:val="auto"/>
              </w:rPr>
            </w:pPr>
            <w:r>
              <w:rPr>
                <w:rFonts w:ascii="Arial" w:cs="Arial" w:eastAsia="Arial" w:hAnsi="Arial"/>
                <w:sz w:val="14"/>
                <w:szCs w:val="14"/>
                <w:color w:val="auto"/>
              </w:rPr>
              <w:t>0.4329</w:t>
            </w:r>
          </w:p>
        </w:tc>
        <w:tc>
          <w:tcPr>
            <w:tcW w:w="8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70"/>
              <w:spacing w:after="0" w:line="157" w:lineRule="exact"/>
              <w:rPr>
                <w:sz w:val="20"/>
                <w:szCs w:val="20"/>
                <w:color w:val="auto"/>
              </w:rPr>
            </w:pPr>
            <w:r>
              <w:rPr>
                <w:rFonts w:ascii="Arial" w:cs="Arial" w:eastAsia="Arial" w:hAnsi="Arial"/>
                <w:sz w:val="14"/>
                <w:szCs w:val="14"/>
                <w:color w:val="auto"/>
              </w:rPr>
              <w:t>0.94</w:t>
            </w:r>
          </w:p>
        </w:tc>
        <w:tc>
          <w:tcPr>
            <w:tcW w:w="26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ind w:right="30"/>
              <w:spacing w:after="0" w:line="157" w:lineRule="exact"/>
              <w:rPr>
                <w:sz w:val="20"/>
                <w:szCs w:val="20"/>
                <w:color w:val="auto"/>
              </w:rPr>
            </w:pPr>
            <w:r>
              <w:rPr>
                <w:rFonts w:ascii="Arial" w:cs="Arial" w:eastAsia="Arial" w:hAnsi="Arial"/>
                <w:sz w:val="14"/>
                <w:szCs w:val="14"/>
                <w:color w:val="auto"/>
              </w:rPr>
              <w:t>0.94</w:t>
            </w:r>
          </w:p>
        </w:tc>
      </w:tr>
      <w:tr>
        <w:trPr>
          <w:trHeight w:val="156"/>
        </w:trPr>
        <w:tc>
          <w:tcPr>
            <w:tcW w:w="5060" w:type="dxa"/>
            <w:vAlign w:val="bottom"/>
            <w:tcBorders>
              <w:bottom w:val="single" w:sz="8" w:color="auto"/>
            </w:tcBorders>
          </w:tcPr>
          <w:p>
            <w:pPr>
              <w:spacing w:after="0" w:line="155" w:lineRule="exact"/>
              <w:rPr>
                <w:sz w:val="20"/>
                <w:szCs w:val="20"/>
                <w:color w:val="auto"/>
              </w:rPr>
            </w:pPr>
            <w:r>
              <w:rPr>
                <w:rFonts w:ascii="Arial" w:cs="Arial" w:eastAsia="Arial" w:hAnsi="Arial"/>
                <w:sz w:val="14"/>
                <w:szCs w:val="14"/>
                <w:color w:val="auto"/>
              </w:rPr>
              <w:t>Total announced in respect of the year</w:t>
            </w:r>
          </w:p>
        </w:tc>
        <w:tc>
          <w:tcPr>
            <w:tcW w:w="720" w:type="dxa"/>
            <w:vAlign w:val="bottom"/>
            <w:tcBorders>
              <w:bottom w:val="single" w:sz="8" w:color="auto"/>
            </w:tcBorders>
          </w:tcPr>
          <w:p>
            <w:pPr>
              <w:jc w:val="right"/>
              <w:ind w:right="110"/>
              <w:spacing w:after="0" w:line="155" w:lineRule="exact"/>
              <w:rPr>
                <w:sz w:val="20"/>
                <w:szCs w:val="20"/>
                <w:color w:val="auto"/>
              </w:rPr>
            </w:pPr>
            <w:r>
              <w:rPr>
                <w:rFonts w:ascii="Arial" w:cs="Arial" w:eastAsia="Arial" w:hAnsi="Arial"/>
                <w:sz w:val="14"/>
                <w:szCs w:val="14"/>
                <w:color w:val="auto"/>
              </w:rPr>
              <w:t>1.88</w:t>
            </w:r>
          </w:p>
        </w:tc>
        <w:tc>
          <w:tcPr>
            <w:tcW w:w="740" w:type="dxa"/>
            <w:vAlign w:val="bottom"/>
            <w:tcBorders>
              <w:bottom w:val="single" w:sz="8" w:color="auto"/>
            </w:tcBorders>
          </w:tcPr>
          <w:p>
            <w:pPr>
              <w:jc w:val="right"/>
              <w:ind w:right="69"/>
              <w:spacing w:after="0" w:line="155" w:lineRule="exact"/>
              <w:rPr>
                <w:sz w:val="20"/>
                <w:szCs w:val="20"/>
                <w:color w:val="auto"/>
              </w:rPr>
            </w:pPr>
            <w:r>
              <w:rPr>
                <w:rFonts w:ascii="Arial" w:cs="Arial" w:eastAsia="Arial" w:hAnsi="Arial"/>
                <w:sz w:val="14"/>
                <w:szCs w:val="14"/>
                <w:color w:val="auto"/>
              </w:rPr>
              <w:t>1.5257</w:t>
            </w:r>
          </w:p>
        </w:tc>
        <w:tc>
          <w:tcPr>
            <w:tcW w:w="720" w:type="dxa"/>
            <w:vAlign w:val="bottom"/>
            <w:tcBorders>
              <w:bottom w:val="single" w:sz="8" w:color="auto"/>
            </w:tcBorders>
          </w:tcPr>
          <w:p>
            <w:pPr>
              <w:jc w:val="right"/>
              <w:ind w:right="10"/>
              <w:spacing w:after="0" w:line="155" w:lineRule="exact"/>
              <w:rPr>
                <w:sz w:val="20"/>
                <w:szCs w:val="20"/>
                <w:color w:val="auto"/>
              </w:rPr>
            </w:pPr>
            <w:r>
              <w:rPr>
                <w:rFonts w:ascii="Arial" w:cs="Arial" w:eastAsia="Arial" w:hAnsi="Arial"/>
                <w:sz w:val="14"/>
                <w:szCs w:val="14"/>
                <w:color w:val="auto"/>
              </w:rPr>
              <w:t>118.48</w:t>
            </w:r>
          </w:p>
        </w:tc>
        <w:tc>
          <w:tcPr>
            <w:tcW w:w="26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ind w:right="50"/>
              <w:spacing w:after="0" w:line="155" w:lineRule="exact"/>
              <w:rPr>
                <w:sz w:val="20"/>
                <w:szCs w:val="20"/>
                <w:color w:val="auto"/>
              </w:rPr>
            </w:pPr>
            <w:r>
              <w:rPr>
                <w:rFonts w:ascii="Arial" w:cs="Arial" w:eastAsia="Arial" w:hAnsi="Arial"/>
                <w:sz w:val="14"/>
                <w:szCs w:val="14"/>
                <w:color w:val="auto"/>
              </w:rPr>
              <w:t>1.88</w:t>
            </w:r>
          </w:p>
        </w:tc>
        <w:tc>
          <w:tcPr>
            <w:tcW w:w="640" w:type="dxa"/>
            <w:vAlign w:val="bottom"/>
            <w:tcBorders>
              <w:bottom w:val="single" w:sz="8" w:color="auto"/>
            </w:tcBorders>
          </w:tcPr>
          <w:p>
            <w:pPr>
              <w:jc w:val="right"/>
              <w:ind w:right="9"/>
              <w:spacing w:after="0" w:line="155" w:lineRule="exact"/>
              <w:rPr>
                <w:sz w:val="20"/>
                <w:szCs w:val="20"/>
                <w:color w:val="auto"/>
              </w:rPr>
            </w:pPr>
            <w:r>
              <w:rPr>
                <w:rFonts w:ascii="Arial" w:cs="Arial" w:eastAsia="Arial" w:hAnsi="Arial"/>
                <w:sz w:val="14"/>
                <w:szCs w:val="14"/>
                <w:color w:val="auto"/>
              </w:rPr>
              <w:t>118.48</w:t>
            </w:r>
          </w:p>
        </w:tc>
        <w:tc>
          <w:tcPr>
            <w:tcW w:w="820" w:type="dxa"/>
            <w:vAlign w:val="bottom"/>
            <w:tcBorders>
              <w:bottom w:val="single" w:sz="8" w:color="auto"/>
            </w:tcBorders>
          </w:tcPr>
          <w:p>
            <w:pPr>
              <w:jc w:val="right"/>
              <w:ind w:right="30"/>
              <w:spacing w:after="0" w:line="155" w:lineRule="exact"/>
              <w:rPr>
                <w:sz w:val="20"/>
                <w:szCs w:val="20"/>
                <w:color w:val="auto"/>
              </w:rPr>
            </w:pPr>
            <w:r>
              <w:rPr>
                <w:rFonts w:ascii="Arial" w:cs="Arial" w:eastAsia="Arial" w:hAnsi="Arial"/>
                <w:sz w:val="14"/>
                <w:szCs w:val="14"/>
                <w:color w:val="auto"/>
              </w:rPr>
              <w:t>1.5257</w:t>
            </w:r>
          </w:p>
        </w:tc>
        <w:tc>
          <w:tcPr>
            <w:tcW w:w="8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70"/>
              <w:spacing w:after="0" w:line="155" w:lineRule="exact"/>
              <w:rPr>
                <w:sz w:val="20"/>
                <w:szCs w:val="20"/>
                <w:color w:val="auto"/>
              </w:rPr>
            </w:pPr>
            <w:r>
              <w:rPr>
                <w:rFonts w:ascii="Arial" w:cs="Arial" w:eastAsia="Arial" w:hAnsi="Arial"/>
                <w:sz w:val="14"/>
                <w:szCs w:val="14"/>
                <w:color w:val="auto"/>
              </w:rPr>
              <w:t>3.76</w:t>
            </w:r>
          </w:p>
        </w:tc>
        <w:tc>
          <w:tcPr>
            <w:tcW w:w="26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ind w:right="30"/>
              <w:spacing w:after="0" w:line="155" w:lineRule="exact"/>
              <w:rPr>
                <w:sz w:val="20"/>
                <w:szCs w:val="20"/>
                <w:color w:val="auto"/>
              </w:rPr>
            </w:pPr>
            <w:r>
              <w:rPr>
                <w:rFonts w:ascii="Arial" w:cs="Arial" w:eastAsia="Arial" w:hAnsi="Arial"/>
                <w:sz w:val="14"/>
                <w:szCs w:val="14"/>
                <w:color w:val="auto"/>
              </w:rPr>
              <w:t>3.76</w:t>
            </w:r>
          </w:p>
        </w:tc>
      </w:tr>
      <w:tr>
        <w:trPr>
          <w:trHeight w:val="156"/>
        </w:trPr>
        <w:tc>
          <w:tcPr>
            <w:tcW w:w="5060" w:type="dxa"/>
            <w:vAlign w:val="bottom"/>
            <w:tcBorders>
              <w:bottom w:val="single" w:sz="8" w:color="auto"/>
            </w:tcBorders>
          </w:tcPr>
          <w:p>
            <w:pPr>
              <w:spacing w:after="0" w:line="155" w:lineRule="exact"/>
              <w:rPr>
                <w:sz w:val="20"/>
                <w:szCs w:val="20"/>
                <w:color w:val="auto"/>
              </w:rPr>
            </w:pPr>
            <w:r>
              <w:rPr>
                <w:rFonts w:ascii="Arial" w:cs="Arial" w:eastAsia="Arial" w:hAnsi="Arial"/>
                <w:sz w:val="14"/>
                <w:szCs w:val="14"/>
                <w:color w:val="auto"/>
              </w:rPr>
              <w:t>Amount paid during the year</w:t>
            </w:r>
          </w:p>
        </w:tc>
        <w:tc>
          <w:tcPr>
            <w:tcW w:w="72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69"/>
              <w:spacing w:after="0" w:line="155" w:lineRule="exact"/>
              <w:rPr>
                <w:sz w:val="20"/>
                <w:szCs w:val="20"/>
                <w:color w:val="auto"/>
              </w:rPr>
            </w:pPr>
            <w:r>
              <w:rPr>
                <w:rFonts w:ascii="Arial" w:cs="Arial" w:eastAsia="Arial" w:hAnsi="Arial"/>
                <w:sz w:val="14"/>
                <w:szCs w:val="14"/>
                <w:color w:val="auto"/>
              </w:rPr>
              <w:t>1.4172</w:t>
            </w:r>
          </w:p>
        </w:tc>
        <w:tc>
          <w:tcPr>
            <w:tcW w:w="720" w:type="dxa"/>
            <w:vAlign w:val="bottom"/>
            <w:tcBorders>
              <w:bottom w:val="single" w:sz="8" w:color="auto"/>
            </w:tcBorders>
          </w:tcPr>
          <w:p>
            <w:pPr>
              <w:jc w:val="right"/>
              <w:ind w:right="10"/>
              <w:spacing w:after="0" w:line="155" w:lineRule="exact"/>
              <w:rPr>
                <w:sz w:val="20"/>
                <w:szCs w:val="20"/>
                <w:color w:val="auto"/>
              </w:rPr>
            </w:pPr>
            <w:r>
              <w:rPr>
                <w:rFonts w:ascii="Arial" w:cs="Arial" w:eastAsia="Arial" w:hAnsi="Arial"/>
                <w:sz w:val="14"/>
                <w:szCs w:val="14"/>
                <w:color w:val="auto"/>
              </w:rPr>
              <w:t>114.16</w:t>
            </w:r>
          </w:p>
        </w:tc>
        <w:tc>
          <w:tcPr>
            <w:tcW w:w="26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ind w:right="9"/>
              <w:spacing w:after="0" w:line="155" w:lineRule="exact"/>
              <w:rPr>
                <w:sz w:val="20"/>
                <w:szCs w:val="20"/>
                <w:color w:val="auto"/>
              </w:rPr>
            </w:pPr>
            <w:r>
              <w:rPr>
                <w:rFonts w:ascii="Arial" w:cs="Arial" w:eastAsia="Arial" w:hAnsi="Arial"/>
                <w:sz w:val="14"/>
                <w:szCs w:val="14"/>
                <w:color w:val="auto"/>
              </w:rPr>
              <w:t>114.16</w:t>
            </w:r>
          </w:p>
        </w:tc>
        <w:tc>
          <w:tcPr>
            <w:tcW w:w="820" w:type="dxa"/>
            <w:vAlign w:val="bottom"/>
            <w:tcBorders>
              <w:bottom w:val="single" w:sz="8" w:color="auto"/>
            </w:tcBorders>
          </w:tcPr>
          <w:p>
            <w:pPr>
              <w:jc w:val="right"/>
              <w:ind w:right="30"/>
              <w:spacing w:after="0" w:line="155" w:lineRule="exact"/>
              <w:rPr>
                <w:sz w:val="20"/>
                <w:szCs w:val="20"/>
                <w:color w:val="auto"/>
              </w:rPr>
            </w:pPr>
            <w:r>
              <w:rPr>
                <w:rFonts w:ascii="Arial" w:cs="Arial" w:eastAsia="Arial" w:hAnsi="Arial"/>
                <w:sz w:val="14"/>
                <w:szCs w:val="14"/>
                <w:color w:val="auto"/>
              </w:rPr>
              <w:t>1.4172</w:t>
            </w:r>
          </w:p>
        </w:tc>
        <w:tc>
          <w:tcPr>
            <w:tcW w:w="8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70"/>
              <w:spacing w:after="0" w:line="155" w:lineRule="exact"/>
              <w:rPr>
                <w:sz w:val="20"/>
                <w:szCs w:val="20"/>
                <w:color w:val="auto"/>
              </w:rPr>
            </w:pPr>
            <w:r>
              <w:rPr>
                <w:rFonts w:ascii="Arial" w:cs="Arial" w:eastAsia="Arial" w:hAnsi="Arial"/>
                <w:sz w:val="14"/>
                <w:szCs w:val="14"/>
                <w:color w:val="auto"/>
              </w:rPr>
              <w:t>3.72</w:t>
            </w:r>
          </w:p>
        </w:tc>
        <w:tc>
          <w:tcPr>
            <w:tcW w:w="26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ind w:right="30"/>
              <w:spacing w:after="0" w:line="155" w:lineRule="exact"/>
              <w:rPr>
                <w:sz w:val="20"/>
                <w:szCs w:val="20"/>
                <w:color w:val="auto"/>
              </w:rPr>
            </w:pPr>
            <w:r>
              <w:rPr>
                <w:rFonts w:ascii="Arial" w:cs="Arial" w:eastAsia="Arial" w:hAnsi="Arial"/>
                <w:sz w:val="14"/>
                <w:szCs w:val="14"/>
                <w:color w:val="auto"/>
              </w:rPr>
              <w:t>3.72</w:t>
            </w:r>
          </w:p>
        </w:tc>
      </w:tr>
    </w:tbl>
    <w:p>
      <w:pPr>
        <w:spacing w:after="0" w:line="37" w:lineRule="exact"/>
        <w:rPr>
          <w:sz w:val="20"/>
          <w:szCs w:val="20"/>
          <w:color w:val="auto"/>
        </w:rPr>
      </w:pPr>
    </w:p>
    <w:p>
      <w:pPr>
        <w:spacing w:after="0"/>
        <w:rPr>
          <w:sz w:val="20"/>
          <w:szCs w:val="20"/>
          <w:color w:val="auto"/>
        </w:rPr>
      </w:pPr>
      <w:r>
        <w:rPr>
          <w:rFonts w:ascii="Arial" w:cs="Arial" w:eastAsia="Arial" w:hAnsi="Arial"/>
          <w:sz w:val="11"/>
          <w:szCs w:val="11"/>
          <w:color w:val="auto"/>
        </w:rPr>
        <w:t>[A] It is expected that holders of B shares will receive dividends through the dividend access mechanism applicable to such shares. The dividend access mechanism is described more fully on page 72.</w:t>
      </w:r>
    </w:p>
    <w:p>
      <w:pPr>
        <w:sectPr>
          <w:pgSz w:w="11900" w:h="16838" w:orient="portrait"/>
          <w:cols w:equalWidth="0" w:num="1">
            <w:col w:w="11420"/>
          </w:cols>
          <w:pgMar w:left="240" w:top="459" w:right="239" w:bottom="1440" w:gutter="0" w:footer="0" w:header="0"/>
          <w:type w:val="continuous"/>
        </w:sectPr>
      </w:pPr>
    </w:p>
    <w:bookmarkStart w:id="64" w:name="page65"/>
    <w:bookmarkEnd w:id="6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1"/>
          <w:szCs w:val="11"/>
          <w:color w:val="auto"/>
        </w:rPr>
        <w:t>SHELL ANNUAL REPORT AND FORM 20-F 2014</w:t>
      </w:r>
    </w:p>
    <w:p>
      <w:pPr>
        <w:spacing w:after="0" w:line="57" w:lineRule="exact"/>
        <w:rPr>
          <w:sz w:val="20"/>
          <w:szCs w:val="20"/>
          <w:color w:val="auto"/>
        </w:rPr>
      </w:pPr>
    </w:p>
    <w:p>
      <w:pPr>
        <w:ind w:right="140"/>
        <w:spacing w:after="0" w:line="247" w:lineRule="auto"/>
        <w:rPr>
          <w:sz w:val="20"/>
          <w:szCs w:val="20"/>
          <w:color w:val="auto"/>
        </w:rPr>
      </w:pPr>
      <w:r>
        <w:rPr>
          <w:rFonts w:ascii="Arial" w:cs="Arial" w:eastAsia="Arial" w:hAnsi="Arial"/>
          <w:sz w:val="14"/>
          <w:szCs w:val="14"/>
          <w:color w:val="auto"/>
        </w:rPr>
        <w:t>The Directors consider that the Annual Report including the financial statements, taken as a whole, is fair, balanced and understandable and provides the information necessary for shareholders to assess Shell’s performance, business model and strategy.</w:t>
      </w:r>
    </w:p>
    <w:p>
      <w:pPr>
        <w:spacing w:after="0" w:line="175" w:lineRule="exact"/>
        <w:rPr>
          <w:sz w:val="20"/>
          <w:szCs w:val="20"/>
          <w:color w:val="auto"/>
        </w:rPr>
      </w:pPr>
    </w:p>
    <w:p>
      <w:pPr>
        <w:jc w:val="both"/>
        <w:ind w:right="140"/>
        <w:spacing w:after="0" w:line="250" w:lineRule="auto"/>
        <w:rPr>
          <w:sz w:val="20"/>
          <w:szCs w:val="20"/>
          <w:color w:val="auto"/>
        </w:rPr>
      </w:pPr>
      <w:r>
        <w:rPr>
          <w:rFonts w:ascii="Arial" w:cs="Arial" w:eastAsia="Arial" w:hAnsi="Arial"/>
          <w:sz w:val="14"/>
          <w:szCs w:val="14"/>
          <w:color w:val="auto"/>
        </w:rPr>
        <w:t>The Directors are responsible for the maintenance and integrity of the Shell website (www.shell.com). Legislation in the UK governing the preparation and dissemination of financial statements may differ from legislation in other jurisdictions.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color w:val="auto"/>
        </w:rPr>
        <w:t>GOING CONCERN</w:t>
      </w:r>
    </w:p>
    <w:p>
      <w:pPr>
        <w:spacing w:after="0" w:line="1" w:lineRule="exact"/>
        <w:rPr>
          <w:sz w:val="20"/>
          <w:szCs w:val="20"/>
          <w:color w:val="auto"/>
        </w:rPr>
      </w:pPr>
    </w:p>
    <w:p>
      <w:pPr>
        <w:ind w:right="20"/>
        <w:spacing w:after="0" w:line="244" w:lineRule="auto"/>
        <w:rPr>
          <w:sz w:val="20"/>
          <w:szCs w:val="20"/>
          <w:color w:val="auto"/>
        </w:rPr>
      </w:pPr>
      <w:r>
        <w:rPr>
          <w:rFonts w:ascii="Arial" w:cs="Arial" w:eastAsia="Arial" w:hAnsi="Arial"/>
          <w:sz w:val="14"/>
          <w:szCs w:val="14"/>
          <w:color w:val="auto"/>
        </w:rPr>
        <w:t>The “Strategic Report” includes information about Shell’s financial strategy, financial condition, and liquidity and cash flows, as well as the factors, including the principal risks, likely to affect Shell’s future development. Further information on the management of Shell’s capital structure and use of financial instruments to support its operating plan can be found in Notes 14 and 19 to the “Consolidated Financial Statements” respectively.</w:t>
      </w:r>
    </w:p>
    <w:p>
      <w:pPr>
        <w:spacing w:after="0" w:line="166" w:lineRule="exact"/>
        <w:rPr>
          <w:sz w:val="20"/>
          <w:szCs w:val="20"/>
          <w:color w:val="auto"/>
        </w:rPr>
      </w:pPr>
    </w:p>
    <w:p>
      <w:pPr>
        <w:ind w:right="40"/>
        <w:spacing w:after="0" w:line="243" w:lineRule="auto"/>
        <w:rPr>
          <w:sz w:val="20"/>
          <w:szCs w:val="20"/>
          <w:color w:val="auto"/>
        </w:rPr>
      </w:pPr>
      <w:r>
        <w:rPr>
          <w:rFonts w:ascii="Arial" w:cs="Arial" w:eastAsia="Arial" w:hAnsi="Arial"/>
          <w:sz w:val="14"/>
          <w:szCs w:val="14"/>
          <w:color w:val="auto"/>
        </w:rPr>
        <w:t>Shell’s operating plan for the foreseeable future demonstrates its ability to operate its cash-generating activities, selling products to a diversified customer base. These activities are expected to generate sufficient cash to enable Shell to service its financing requirements, pay dividends and fund its investing activities. As a result, the Directors have a reasonable expectation that Shell has adequate resources to continue in operational existence for the foreseeable future and continue to adopt the going concern basis of accounting in preparing the Consolidated and Parent Company Financial Statements contained in this Report.</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color w:val="auto"/>
        </w:rPr>
        <w:t>REPURCHASES OF SHARES</w:t>
      </w:r>
    </w:p>
    <w:p>
      <w:pPr>
        <w:spacing w:after="0" w:line="1" w:lineRule="exact"/>
        <w:rPr>
          <w:sz w:val="20"/>
          <w:szCs w:val="20"/>
          <w:color w:val="auto"/>
        </w:rPr>
      </w:pPr>
    </w:p>
    <w:p>
      <w:pPr>
        <w:spacing w:after="0" w:line="241" w:lineRule="auto"/>
        <w:rPr>
          <w:sz w:val="20"/>
          <w:szCs w:val="20"/>
          <w:color w:val="auto"/>
        </w:rPr>
      </w:pPr>
      <w:r>
        <w:rPr>
          <w:rFonts w:ascii="Arial" w:cs="Arial" w:eastAsia="Arial" w:hAnsi="Arial"/>
          <w:sz w:val="14"/>
          <w:szCs w:val="14"/>
          <w:color w:val="auto"/>
        </w:rPr>
        <w:t>On May 20, 2014, shareholders approved an authority, which will expire at the end of the 2015 Annual General Meeting (AGM), for the Company to repurchase up to a maximum of 633 million of its shares (excluding purchases for employee share plans). During 2014, 55.3 million A shares with a nominal value of €3.9 million ($4.7 million) (0.9% of the Company’s total issued share capital at December 31, 2014)</w:t>
      </w:r>
    </w:p>
    <w:p>
      <w:pPr>
        <w:spacing w:after="0" w:line="2" w:lineRule="exact"/>
        <w:rPr>
          <w:sz w:val="20"/>
          <w:szCs w:val="20"/>
          <w:color w:val="auto"/>
        </w:rPr>
      </w:pPr>
    </w:p>
    <w:p>
      <w:pPr>
        <w:ind w:right="100"/>
        <w:spacing w:after="0" w:line="244" w:lineRule="auto"/>
        <w:rPr>
          <w:sz w:val="20"/>
          <w:szCs w:val="20"/>
          <w:color w:val="auto"/>
        </w:rPr>
      </w:pPr>
      <w:r>
        <w:rPr>
          <w:rFonts w:ascii="Arial" w:cs="Arial" w:eastAsia="Arial" w:hAnsi="Arial"/>
          <w:sz w:val="14"/>
          <w:szCs w:val="14"/>
          <w:color w:val="auto"/>
        </w:rPr>
        <w:t>and 32.4 million B shares with a nominal value of €2.3 million ($2.7 million) (0.5% of the Company’s total issued share capital at December 31, 2014) were purchased for cancellation for a total cost of $3.3 billion including expenses, at an average price of $37.74 per A share and $38.33 per B share. The purpose of the share buyback programme is to offset the dilution created by the issuance of shares for the Company’s Scrip Dividend Programme [A].</w:t>
      </w:r>
    </w:p>
    <w:p>
      <w:pPr>
        <w:spacing w:after="0" w:line="9" w:lineRule="exact"/>
        <w:rPr>
          <w:sz w:val="20"/>
          <w:szCs w:val="20"/>
          <w:color w:val="auto"/>
        </w:rPr>
      </w:pPr>
    </w:p>
    <w:p>
      <w:pPr>
        <w:ind w:right="340" w:firstLine="8"/>
        <w:spacing w:after="0" w:line="235" w:lineRule="auto"/>
        <w:tabs>
          <w:tab w:leader="none" w:pos="162" w:val="left"/>
        </w:tabs>
        <w:numPr>
          <w:ilvl w:val="0"/>
          <w:numId w:val="59"/>
        </w:numPr>
        <w:rPr>
          <w:rFonts w:ascii="Arial" w:cs="Arial" w:eastAsia="Arial" w:hAnsi="Arial"/>
          <w:sz w:val="11"/>
          <w:szCs w:val="11"/>
          <w:color w:val="auto"/>
        </w:rPr>
      </w:pPr>
      <w:r>
        <w:rPr>
          <w:rFonts w:ascii="Arial" w:cs="Arial" w:eastAsia="Arial" w:hAnsi="Arial"/>
          <w:sz w:val="11"/>
          <w:szCs w:val="11"/>
          <w:color w:val="auto"/>
        </w:rPr>
        <w:t>The Scrip Dividend Programme was cancelled with effect from the second quarter 2014 interim dividend onwards, and is being reintroduced with effect from the first quarter 2015 interim dividend onwards. More information can be found at www.shell.com/scrip.</w:t>
      </w:r>
    </w:p>
    <w:p>
      <w:pPr>
        <w:spacing w:after="0" w:line="258" w:lineRule="exact"/>
        <w:rPr>
          <w:sz w:val="20"/>
          <w:szCs w:val="20"/>
          <w:color w:val="auto"/>
        </w:rPr>
      </w:pPr>
    </w:p>
    <w:p>
      <w:pPr>
        <w:jc w:val="both"/>
        <w:ind w:right="80"/>
        <w:spacing w:after="0" w:line="247" w:lineRule="auto"/>
        <w:rPr>
          <w:sz w:val="20"/>
          <w:szCs w:val="20"/>
          <w:color w:val="auto"/>
        </w:rPr>
      </w:pPr>
      <w:r>
        <w:rPr>
          <w:rFonts w:ascii="Arial" w:cs="Arial" w:eastAsia="Arial" w:hAnsi="Arial"/>
          <w:sz w:val="14"/>
          <w:szCs w:val="14"/>
          <w:color w:val="auto"/>
        </w:rPr>
        <w:t>From January 1, 2015, to February 17, 2015, a further 12.7 million A shares (0.2% of the Company’s total issued share capital at December 31, 2014) were purchased for cancellation for a total cost of $0.4 billion including expenses, at an average price of $32.15 per share.</w:t>
      </w:r>
    </w:p>
    <w:p>
      <w:pPr>
        <w:spacing w:after="0" w:line="161" w:lineRule="exact"/>
        <w:rPr>
          <w:sz w:val="20"/>
          <w:szCs w:val="20"/>
          <w:color w:val="auto"/>
        </w:rPr>
      </w:pPr>
    </w:p>
    <w:p>
      <w:pPr>
        <w:ind w:right="120"/>
        <w:spacing w:after="0" w:line="245" w:lineRule="auto"/>
        <w:rPr>
          <w:sz w:val="20"/>
          <w:szCs w:val="20"/>
          <w:color w:val="auto"/>
        </w:rPr>
      </w:pPr>
      <w:r>
        <w:rPr>
          <w:rFonts w:ascii="Arial" w:cs="Arial" w:eastAsia="Arial" w:hAnsi="Arial"/>
          <w:sz w:val="14"/>
          <w:szCs w:val="14"/>
          <w:color w:val="auto"/>
        </w:rPr>
        <w:t>The Board continues to regard the ability to repurchase issued shares in suitable circumstances as an important part of the financial management of the Company. A resolution will be proposed at the 2015 AGM to renew the authority for the Company to purchase its own share capital up to specified limits for a further year. More detail of this proposal is given in the Notice of Annual General Meeting.</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spacing w:after="0" w:line="1" w:lineRule="exact"/>
        <w:rPr>
          <w:sz w:val="1"/>
          <w:szCs w:val="1"/>
          <w:color w:val="auto"/>
        </w:rPr>
      </w:pPr>
    </w:p>
    <w:tbl>
      <w:tblPr>
        <w:tblLayout w:type="fixed"/>
        <w:tblInd w:w="740" w:type="dxa"/>
        <w:tblCellMar>
          <w:top w:w="0" w:type="dxa"/>
          <w:left w:w="0" w:type="dxa"/>
          <w:bottom w:w="0" w:type="dxa"/>
          <w:right w:w="0" w:type="dxa"/>
        </w:tblCellMar>
      </w:tblPr>
      <w:tr>
        <w:trPr>
          <w:trHeight w:val="161"/>
        </w:trPr>
        <w:tc>
          <w:tcPr>
            <w:tcW w:w="2580" w:type="dxa"/>
            <w:vAlign w:val="bottom"/>
          </w:tcPr>
          <w:p>
            <w:pPr>
              <w:spacing w:after="0"/>
              <w:rPr>
                <w:sz w:val="20"/>
                <w:szCs w:val="20"/>
                <w:color w:val="auto"/>
              </w:rPr>
            </w:pPr>
            <w:r>
              <w:rPr>
                <w:rFonts w:ascii="Arial" w:cs="Arial" w:eastAsia="Arial" w:hAnsi="Arial"/>
                <w:sz w:val="13"/>
                <w:szCs w:val="13"/>
                <w:color w:val="333333"/>
              </w:rPr>
              <w:t>GOVERNANCE</w:t>
            </w:r>
          </w:p>
        </w:tc>
        <w:tc>
          <w:tcPr>
            <w:tcW w:w="1820" w:type="dxa"/>
            <w:vAlign w:val="bottom"/>
          </w:tcPr>
          <w:p>
            <w:pPr>
              <w:jc w:val="right"/>
              <w:spacing w:after="0"/>
              <w:rPr>
                <w:sz w:val="20"/>
                <w:szCs w:val="20"/>
                <w:color w:val="auto"/>
              </w:rPr>
            </w:pPr>
            <w:r>
              <w:rPr>
                <w:rFonts w:ascii="Arial" w:cs="Arial" w:eastAsia="Arial" w:hAnsi="Arial"/>
                <w:sz w:val="11"/>
                <w:szCs w:val="11"/>
                <w:b w:val="1"/>
                <w:bCs w:val="1"/>
                <w:color w:val="333333"/>
              </w:rPr>
              <w:t>63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-3677285</wp:posOffset>
            </wp:positionH>
            <wp:positionV relativeFrom="paragraph">
              <wp:posOffset>-992505</wp:posOffset>
            </wp:positionV>
            <wp:extent cx="7289165" cy="3873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column">
              <wp:posOffset>-114300</wp:posOffset>
            </wp:positionH>
            <wp:positionV relativeFrom="paragraph">
              <wp:posOffset>-358140</wp:posOffset>
            </wp:positionV>
            <wp:extent cx="3696335" cy="46291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3696335" cy="462915"/>
                    </a:xfrm>
                    <a:prstGeom prst="rect">
                      <a:avLst/>
                    </a:prstGeom>
                    <a:noFill/>
                  </pic:spPr>
                </pic:pic>
              </a:graphicData>
            </a:graphic>
          </wp:anchor>
        </w:drawing>
      </w:r>
    </w:p>
    <w:p>
      <w:pPr>
        <w:spacing w:after="0" w:line="141" w:lineRule="exact"/>
        <w:rPr>
          <w:sz w:val="20"/>
          <w:szCs w:val="20"/>
          <w:color w:val="auto"/>
        </w:rPr>
      </w:pPr>
    </w:p>
    <w:p>
      <w:pPr>
        <w:ind w:left="740"/>
        <w:spacing w:after="0"/>
        <w:rPr>
          <w:sz w:val="20"/>
          <w:szCs w:val="20"/>
          <w:color w:val="auto"/>
        </w:rPr>
      </w:pPr>
      <w:r>
        <w:rPr>
          <w:rFonts w:ascii="Arial" w:cs="Arial" w:eastAsia="Arial" w:hAnsi="Arial"/>
          <w:sz w:val="11"/>
          <w:szCs w:val="11"/>
          <w:color w:val="auto"/>
        </w:rPr>
        <w:t>DIRECTORS’ REPORT</w:t>
      </w:r>
    </w:p>
    <w:p>
      <w:pPr>
        <w:spacing w:after="0" w:line="51" w:lineRule="exact"/>
        <w:rPr>
          <w:sz w:val="20"/>
          <w:szCs w:val="20"/>
          <w:color w:val="auto"/>
        </w:rPr>
      </w:pPr>
    </w:p>
    <w:p>
      <w:pPr>
        <w:spacing w:after="0"/>
        <w:rPr>
          <w:sz w:val="20"/>
          <w:szCs w:val="20"/>
          <w:color w:val="auto"/>
        </w:rPr>
      </w:pPr>
      <w:r>
        <w:rPr>
          <w:rFonts w:ascii="Arial" w:cs="Arial" w:eastAsia="Arial" w:hAnsi="Arial"/>
          <w:sz w:val="18"/>
          <w:szCs w:val="18"/>
          <w:color w:val="auto"/>
        </w:rPr>
        <w:t>BOARD OF DIRECTORS</w:t>
      </w:r>
    </w:p>
    <w:p>
      <w:pPr>
        <w:spacing w:after="0" w:line="1" w:lineRule="exact"/>
        <w:rPr>
          <w:sz w:val="20"/>
          <w:szCs w:val="20"/>
          <w:color w:val="auto"/>
        </w:rPr>
      </w:pPr>
    </w:p>
    <w:p>
      <w:pPr>
        <w:spacing w:after="0" w:line="245" w:lineRule="auto"/>
        <w:rPr>
          <w:sz w:val="20"/>
          <w:szCs w:val="20"/>
          <w:color w:val="auto"/>
        </w:rPr>
      </w:pPr>
      <w:r>
        <w:rPr>
          <w:rFonts w:ascii="Arial" w:cs="Arial" w:eastAsia="Arial" w:hAnsi="Arial"/>
          <w:sz w:val="14"/>
          <w:szCs w:val="14"/>
          <w:color w:val="auto"/>
        </w:rPr>
        <w:t>The Directors during the year were Josef Ackermann (who stood down on May 20, 2014), Ben van Beurden (appointed with effect from January 1, 2014), Guy Elliott, Euleen Goh (appointed with effect from September 1, 2014), Simon Henry, Charles O. Holliday, Gerard Kleisterlee, Jorma Ollila, Sir Nigel Sheinwald, Linda G. Stuntz, Hans Wijers, Patricia A. Woertz (appointed with effect from June 1, 2014) and Gerrit Zalm.</w:t>
      </w:r>
    </w:p>
    <w:p>
      <w:pPr>
        <w:spacing w:after="0" w:line="334" w:lineRule="exact"/>
        <w:rPr>
          <w:sz w:val="20"/>
          <w:szCs w:val="20"/>
          <w:color w:val="auto"/>
        </w:rPr>
      </w:pPr>
    </w:p>
    <w:p>
      <w:pPr>
        <w:spacing w:after="0"/>
        <w:rPr>
          <w:sz w:val="20"/>
          <w:szCs w:val="20"/>
          <w:color w:val="auto"/>
        </w:rPr>
      </w:pPr>
      <w:r>
        <w:rPr>
          <w:rFonts w:ascii="Arial" w:cs="Arial" w:eastAsia="Arial" w:hAnsi="Arial"/>
          <w:sz w:val="18"/>
          <w:szCs w:val="18"/>
          <w:color w:val="auto"/>
        </w:rPr>
        <w:t>RETIREMENT AND REAPPOINTMENT OF DIRECTORS</w:t>
      </w:r>
    </w:p>
    <w:p>
      <w:pPr>
        <w:spacing w:after="0" w:line="1" w:lineRule="exact"/>
        <w:rPr>
          <w:sz w:val="20"/>
          <w:szCs w:val="20"/>
          <w:color w:val="auto"/>
        </w:rPr>
      </w:pPr>
    </w:p>
    <w:p>
      <w:pPr>
        <w:ind w:right="20"/>
        <w:spacing w:after="0" w:line="245" w:lineRule="auto"/>
        <w:rPr>
          <w:sz w:val="20"/>
          <w:szCs w:val="20"/>
          <w:color w:val="auto"/>
        </w:rPr>
      </w:pPr>
      <w:r>
        <w:rPr>
          <w:rFonts w:ascii="Arial" w:cs="Arial" w:eastAsia="Arial" w:hAnsi="Arial"/>
          <w:sz w:val="14"/>
          <w:szCs w:val="14"/>
          <w:color w:val="auto"/>
        </w:rPr>
        <w:t>In line with the UK Corporate Governance Code (the Code), all Directors will retire at the 2015 AGM and, subject to the Articles of Association and their wish to continue as a Director of the Company, seek reappointment by shareholders. Jorma Ollila will not be seeking reappointment and will be standing down at the conclusion of the 2015 AGM after having served as Chairman since June 2006 [A].</w:t>
      </w:r>
    </w:p>
    <w:p>
      <w:pPr>
        <w:spacing w:after="0" w:line="8" w:lineRule="exact"/>
        <w:rPr>
          <w:sz w:val="20"/>
          <w:szCs w:val="20"/>
          <w:color w:val="auto"/>
        </w:rPr>
      </w:pPr>
    </w:p>
    <w:p>
      <w:pPr>
        <w:ind w:right="440"/>
        <w:spacing w:after="0" w:line="284" w:lineRule="auto"/>
        <w:tabs>
          <w:tab w:leader="none" w:pos="162" w:val="left"/>
        </w:tabs>
        <w:numPr>
          <w:ilvl w:val="0"/>
          <w:numId w:val="60"/>
        </w:numPr>
        <w:rPr>
          <w:rFonts w:ascii="Arial" w:cs="Arial" w:eastAsia="Arial" w:hAnsi="Arial"/>
          <w:sz w:val="10"/>
          <w:szCs w:val="10"/>
          <w:color w:val="auto"/>
        </w:rPr>
      </w:pPr>
      <w:r>
        <w:rPr>
          <w:rFonts w:ascii="Arial" w:cs="Arial" w:eastAsia="Arial" w:hAnsi="Arial"/>
          <w:sz w:val="10"/>
          <w:szCs w:val="10"/>
          <w:color w:val="auto"/>
        </w:rPr>
        <w:t>Subject to his reappointment as a Director of the Company by shareholders at the 2015 AGM, Charles O.Holliday will succeed Jorma Ollila as Chairman with effect from the conclusion of the meeting.</w:t>
      </w:r>
    </w:p>
    <w:p>
      <w:pPr>
        <w:spacing w:after="0" w:line="236" w:lineRule="exact"/>
        <w:rPr>
          <w:sz w:val="20"/>
          <w:szCs w:val="20"/>
          <w:color w:val="auto"/>
        </w:rPr>
      </w:pPr>
    </w:p>
    <w:p>
      <w:pPr>
        <w:ind w:right="100"/>
        <w:spacing w:after="0" w:line="244" w:lineRule="auto"/>
        <w:rPr>
          <w:sz w:val="20"/>
          <w:szCs w:val="20"/>
          <w:color w:val="auto"/>
        </w:rPr>
      </w:pPr>
      <w:r>
        <w:rPr>
          <w:rFonts w:ascii="Arial" w:cs="Arial" w:eastAsia="Arial" w:hAnsi="Arial"/>
          <w:sz w:val="14"/>
          <w:szCs w:val="14"/>
          <w:color w:val="auto"/>
        </w:rPr>
        <w:t>The biographies of all current Directors are given on pages 58-60 and, for those seeking reappointment, also in the Notice of Annual General Meeting. Details of the Executive Directors’ contracts can be found on page 97 and copies are available for inspection from the Company Secretary. Furthermore, a copy of the form of these contracts has been filed with the US Securities and Exchange Commission (SEC) as an exhibit.</w:t>
      </w:r>
    </w:p>
    <w:p>
      <w:pPr>
        <w:spacing w:after="0" w:line="166" w:lineRule="exact"/>
        <w:rPr>
          <w:sz w:val="20"/>
          <w:szCs w:val="20"/>
          <w:color w:val="auto"/>
        </w:rPr>
      </w:pPr>
    </w:p>
    <w:p>
      <w:pPr>
        <w:jc w:val="both"/>
        <w:ind w:right="240"/>
        <w:spacing w:after="0" w:line="250" w:lineRule="auto"/>
        <w:rPr>
          <w:sz w:val="20"/>
          <w:szCs w:val="20"/>
          <w:color w:val="auto"/>
        </w:rPr>
      </w:pPr>
      <w:r>
        <w:rPr>
          <w:rFonts w:ascii="Arial" w:cs="Arial" w:eastAsia="Arial" w:hAnsi="Arial"/>
          <w:sz w:val="14"/>
          <w:szCs w:val="14"/>
          <w:color w:val="auto"/>
        </w:rPr>
        <w:t>The terms and conditions of appointment of Non-executive Directors are set out in their letters of appointment with the Company which, in accordance with the Code, are available for inspection from the Company Secretary.</w:t>
      </w:r>
    </w:p>
    <w:p>
      <w:pPr>
        <w:spacing w:after="0" w:line="172" w:lineRule="exact"/>
        <w:rPr>
          <w:sz w:val="20"/>
          <w:szCs w:val="20"/>
          <w:color w:val="auto"/>
        </w:rPr>
      </w:pPr>
    </w:p>
    <w:p>
      <w:pPr>
        <w:ind w:right="80"/>
        <w:spacing w:after="0" w:line="250" w:lineRule="auto"/>
        <w:rPr>
          <w:sz w:val="20"/>
          <w:szCs w:val="20"/>
          <w:color w:val="auto"/>
        </w:rPr>
      </w:pPr>
      <w:r>
        <w:rPr>
          <w:rFonts w:ascii="Arial" w:cs="Arial" w:eastAsia="Arial" w:hAnsi="Arial"/>
          <w:sz w:val="14"/>
          <w:szCs w:val="14"/>
          <w:color w:val="auto"/>
        </w:rPr>
        <w:t>No Director is, or was, materially interested in any contract subsisting during or at the end of the year that was significant in relation to the Company’s business. See also “Related party transactions” below.</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color w:val="auto"/>
        </w:rPr>
        <w:t>DIRECTORS’ INTERESTS</w:t>
      </w:r>
    </w:p>
    <w:p>
      <w:pPr>
        <w:spacing w:after="0" w:line="1" w:lineRule="exact"/>
        <w:rPr>
          <w:sz w:val="20"/>
          <w:szCs w:val="20"/>
          <w:color w:val="auto"/>
        </w:rPr>
      </w:pPr>
    </w:p>
    <w:p>
      <w:pPr>
        <w:ind w:right="80"/>
        <w:spacing w:after="0" w:line="247" w:lineRule="auto"/>
        <w:rPr>
          <w:sz w:val="20"/>
          <w:szCs w:val="20"/>
          <w:color w:val="auto"/>
        </w:rPr>
      </w:pPr>
      <w:r>
        <w:rPr>
          <w:rFonts w:ascii="Arial" w:cs="Arial" w:eastAsia="Arial" w:hAnsi="Arial"/>
          <w:sz w:val="14"/>
          <w:szCs w:val="14"/>
          <w:color w:val="auto"/>
        </w:rPr>
        <w:t>The interests (in shares of the Company or calculated equivalents) of the Directors in office at the end of the year, including any interests of a “connected person” (as defined in the Disclosure and Transparency Rules of the UK’s Financial Conduct Authority), can be found in the “Directors’ Remuneration Report” on pages 87-88.</w:t>
      </w:r>
    </w:p>
    <w:p>
      <w:pPr>
        <w:spacing w:after="0" w:line="161" w:lineRule="exact"/>
        <w:rPr>
          <w:sz w:val="20"/>
          <w:szCs w:val="20"/>
          <w:color w:val="auto"/>
        </w:rPr>
      </w:pPr>
    </w:p>
    <w:p>
      <w:pPr>
        <w:ind w:right="160"/>
        <w:spacing w:after="0" w:line="247" w:lineRule="auto"/>
        <w:rPr>
          <w:sz w:val="20"/>
          <w:szCs w:val="20"/>
          <w:color w:val="auto"/>
        </w:rPr>
      </w:pPr>
      <w:r>
        <w:rPr>
          <w:rFonts w:ascii="Arial" w:cs="Arial" w:eastAsia="Arial" w:hAnsi="Arial"/>
          <w:sz w:val="14"/>
          <w:szCs w:val="14"/>
          <w:color w:val="auto"/>
        </w:rPr>
        <w:t>Changes in Directors’ share interests during the period from December 31, 2014, to March 11, 2015, including changes in the interests in shares awarded under the Long-term Incentive Plan and the Deferred Bonus Plan, can also be found in the “Directors’ Remuneration Report” on pages 87-88.</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color w:val="auto"/>
        </w:rPr>
        <w:t>QUALIFYING THIRD-PARTY INDEMNITIES</w:t>
      </w:r>
    </w:p>
    <w:p>
      <w:pPr>
        <w:spacing w:after="0" w:line="1" w:lineRule="exact"/>
        <w:rPr>
          <w:sz w:val="20"/>
          <w:szCs w:val="20"/>
          <w:color w:val="auto"/>
        </w:rPr>
      </w:pPr>
    </w:p>
    <w:p>
      <w:pPr>
        <w:ind w:right="20"/>
        <w:spacing w:after="0" w:line="247" w:lineRule="auto"/>
        <w:rPr>
          <w:sz w:val="20"/>
          <w:szCs w:val="20"/>
          <w:color w:val="auto"/>
        </w:rPr>
      </w:pPr>
      <w:r>
        <w:rPr>
          <w:rFonts w:ascii="Arial" w:cs="Arial" w:eastAsia="Arial" w:hAnsi="Arial"/>
          <w:sz w:val="14"/>
          <w:szCs w:val="14"/>
          <w:color w:val="auto"/>
        </w:rPr>
        <w:t>The Company has entered into a deed of indemnity with each Director who served during the year under identical terms. The deeds indemnify the Directors to the widest extent permitted by the applicable laws of England against all liability incurred as a Director or employee of the Company or of certain other entities.</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color w:val="auto"/>
        </w:rPr>
        <w:t>RELATED PARTY TRANSACTIONS</w:t>
      </w:r>
    </w:p>
    <w:p>
      <w:pPr>
        <w:spacing w:after="0" w:line="1" w:lineRule="exact"/>
        <w:rPr>
          <w:sz w:val="20"/>
          <w:szCs w:val="20"/>
          <w:color w:val="auto"/>
        </w:rPr>
      </w:pPr>
    </w:p>
    <w:p>
      <w:pPr>
        <w:ind w:right="100"/>
        <w:spacing w:after="0" w:line="247" w:lineRule="auto"/>
        <w:rPr>
          <w:sz w:val="20"/>
          <w:szCs w:val="20"/>
          <w:color w:val="auto"/>
        </w:rPr>
      </w:pPr>
      <w:r>
        <w:rPr>
          <w:rFonts w:ascii="Arial" w:cs="Arial" w:eastAsia="Arial" w:hAnsi="Arial"/>
          <w:sz w:val="14"/>
          <w:szCs w:val="14"/>
          <w:color w:val="auto"/>
        </w:rPr>
        <w:t>Other than disclosures given in Notes 9 and 27 to the “Consolidated Financial Statements”, there were no transactions or proposed transactions that were material to either the Company or any related party. Nor were there any transactions with any related party that were unusual in their nature or conditions.</w:t>
      </w:r>
    </w:p>
    <w:p>
      <w:pPr>
        <w:sectPr>
          <w:pgSz w:w="11900" w:h="16838" w:orient="portrait"/>
          <w:cols w:equalWidth="0" w:num="2">
            <w:col w:w="5480" w:space="300"/>
            <w:col w:w="5480"/>
          </w:cols>
          <w:pgMar w:left="240" w:top="459" w:right="39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300355</wp:posOffset>
            </wp:positionV>
            <wp:extent cx="3490595" cy="46291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3490595" cy="462915"/>
                    </a:xfrm>
                    <a:prstGeom prst="rect">
                      <a:avLst/>
                    </a:prstGeom>
                    <a:noFill/>
                  </pic:spPr>
                </pic:pic>
              </a:graphicData>
            </a:graphic>
          </wp:anchor>
        </w:drawing>
      </w:r>
    </w:p>
    <w:p>
      <w:pPr>
        <w:spacing w:after="0" w:line="200" w:lineRule="exact"/>
        <w:rPr>
          <w:sz w:val="20"/>
          <w:szCs w:val="20"/>
          <w:color w:val="auto"/>
        </w:rPr>
      </w:pP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419"/>
        </w:trPr>
        <w:tc>
          <w:tcPr>
            <w:tcW w:w="2100" w:type="dxa"/>
            <w:vAlign w:val="bottom"/>
            <w:shd w:val="clear" w:color="auto" w:fill="FF8B00"/>
          </w:tcPr>
          <w:p>
            <w:pPr>
              <w:spacing w:after="0"/>
              <w:rPr>
                <w:sz w:val="24"/>
                <w:szCs w:val="24"/>
                <w:color w:val="auto"/>
              </w:rPr>
            </w:pPr>
          </w:p>
        </w:tc>
        <w:tc>
          <w:tcPr>
            <w:tcW w:w="3400" w:type="dxa"/>
            <w:vAlign w:val="bottom"/>
            <w:shd w:val="clear" w:color="auto" w:fill="FF8B00"/>
          </w:tcPr>
          <w:p>
            <w:pPr>
              <w:spacing w:after="0"/>
              <w:rPr>
                <w:sz w:val="24"/>
                <w:szCs w:val="24"/>
                <w:color w:val="auto"/>
              </w:rPr>
            </w:pPr>
          </w:p>
        </w:tc>
      </w:tr>
      <w:tr>
        <w:trPr>
          <w:trHeight w:val="152"/>
        </w:trPr>
        <w:tc>
          <w:tcPr>
            <w:tcW w:w="2100" w:type="dxa"/>
            <w:vAlign w:val="bottom"/>
          </w:tcPr>
          <w:p>
            <w:pPr>
              <w:jc w:val="right"/>
              <w:ind w:right="1666"/>
              <w:spacing w:after="0"/>
              <w:rPr>
                <w:sz w:val="20"/>
                <w:szCs w:val="20"/>
                <w:color w:val="auto"/>
              </w:rPr>
            </w:pPr>
            <w:r>
              <w:rPr>
                <w:rFonts w:ascii="Arial" w:cs="Arial" w:eastAsia="Arial" w:hAnsi="Arial"/>
                <w:sz w:val="11"/>
                <w:szCs w:val="11"/>
                <w:b w:val="1"/>
                <w:bCs w:val="1"/>
                <w:color w:val="333333"/>
              </w:rPr>
              <w:t>64</w:t>
            </w:r>
          </w:p>
        </w:tc>
        <w:tc>
          <w:tcPr>
            <w:tcW w:w="3400" w:type="dxa"/>
            <w:vAlign w:val="bottom"/>
          </w:tcPr>
          <w:p>
            <w:pPr>
              <w:ind w:left="1720"/>
              <w:spacing w:after="0"/>
              <w:rPr>
                <w:sz w:val="20"/>
                <w:szCs w:val="20"/>
                <w:color w:val="auto"/>
              </w:rPr>
            </w:pPr>
            <w:r>
              <w:rPr>
                <w:rFonts w:ascii="Arial" w:cs="Arial" w:eastAsia="Arial" w:hAnsi="Arial"/>
                <w:sz w:val="13"/>
                <w:szCs w:val="13"/>
                <w:color w:val="333333"/>
              </w:rPr>
              <w:t>GOVERNANCE</w:t>
            </w:r>
          </w:p>
        </w:tc>
      </w:tr>
    </w:tbl>
    <w:p>
      <w:pPr>
        <w:spacing w:after="0" w:line="155" w:lineRule="exact"/>
        <w:rPr>
          <w:sz w:val="20"/>
          <w:szCs w:val="20"/>
          <w:color w:val="auto"/>
        </w:rPr>
      </w:pPr>
    </w:p>
    <w:p>
      <w:pPr>
        <w:ind w:left="3580"/>
        <w:spacing w:after="0"/>
        <w:rPr>
          <w:sz w:val="20"/>
          <w:szCs w:val="20"/>
          <w:color w:val="auto"/>
        </w:rPr>
      </w:pPr>
      <w:r>
        <w:rPr>
          <w:rFonts w:ascii="Arial" w:cs="Arial" w:eastAsia="Arial" w:hAnsi="Arial"/>
          <w:sz w:val="11"/>
          <w:szCs w:val="11"/>
          <w:color w:val="auto"/>
        </w:rPr>
        <w:t>DIRECTORS’ REPORT</w:t>
      </w:r>
    </w:p>
    <w:p>
      <w:pPr>
        <w:spacing w:after="0" w:line="48" w:lineRule="exact"/>
        <w:rPr>
          <w:sz w:val="20"/>
          <w:szCs w:val="20"/>
          <w:color w:val="auto"/>
        </w:rPr>
      </w:pPr>
    </w:p>
    <w:p>
      <w:pPr>
        <w:spacing w:after="0"/>
        <w:rPr>
          <w:sz w:val="20"/>
          <w:szCs w:val="20"/>
          <w:color w:val="auto"/>
        </w:rPr>
      </w:pPr>
      <w:r>
        <w:rPr>
          <w:rFonts w:ascii="Arial" w:cs="Arial" w:eastAsia="Arial" w:hAnsi="Arial"/>
          <w:sz w:val="24"/>
          <w:szCs w:val="24"/>
          <w:color w:val="auto"/>
        </w:rPr>
        <w:t xml:space="preserve">DIRECTORS’ REPORT </w:t>
      </w:r>
      <w:r>
        <w:rPr>
          <w:rFonts w:ascii="Arial" w:cs="Arial" w:eastAsia="Arial" w:hAnsi="Arial"/>
          <w:sz w:val="24"/>
          <w:szCs w:val="24"/>
          <w:color w:val="666666"/>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3473450" cy="889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POLITICAL CONTRIBUTIONS</w:t>
      </w:r>
    </w:p>
    <w:p>
      <w:pPr>
        <w:spacing w:after="0" w:line="1" w:lineRule="exact"/>
        <w:rPr>
          <w:sz w:val="20"/>
          <w:szCs w:val="20"/>
          <w:color w:val="auto"/>
        </w:rPr>
      </w:pPr>
    </w:p>
    <w:p>
      <w:pPr>
        <w:ind w:right="60"/>
        <w:spacing w:after="0" w:line="245" w:lineRule="auto"/>
        <w:rPr>
          <w:sz w:val="20"/>
          <w:szCs w:val="20"/>
          <w:color w:val="auto"/>
        </w:rPr>
      </w:pPr>
      <w:r>
        <w:rPr>
          <w:rFonts w:ascii="Arial" w:cs="Arial" w:eastAsia="Arial" w:hAnsi="Arial"/>
          <w:sz w:val="14"/>
          <w:szCs w:val="14"/>
          <w:color w:val="auto"/>
        </w:rPr>
        <w:t>No donations were made by the Company or any of its subsidiaries to political parties or organisations during the year. Shell Oil Company administers the non-partisan Shell Oil Company Employees’ Political Awareness Committee (SEPAC), a political action committee registered with the US Federal Election Commission. Eligible employees may make voluntary personal contributions to the SEPAC.</w:t>
      </w:r>
    </w:p>
    <w:p>
      <w:pPr>
        <w:spacing w:after="0" w:line="159" w:lineRule="exact"/>
        <w:rPr>
          <w:sz w:val="20"/>
          <w:szCs w:val="20"/>
          <w:color w:val="auto"/>
        </w:rPr>
      </w:pPr>
    </w:p>
    <w:p>
      <w:pPr>
        <w:ind w:right="720"/>
        <w:spacing w:after="0" w:line="238" w:lineRule="auto"/>
        <w:rPr>
          <w:sz w:val="20"/>
          <w:szCs w:val="20"/>
          <w:color w:val="auto"/>
        </w:rPr>
      </w:pPr>
      <w:r>
        <w:rPr>
          <w:rFonts w:ascii="Arial" w:cs="Arial" w:eastAsia="Arial" w:hAnsi="Arial"/>
          <w:sz w:val="18"/>
          <w:szCs w:val="18"/>
          <w:color w:val="auto"/>
        </w:rPr>
        <w:t>RECENT DEVELOPMENTS AND POST-BALANCE SHEET EVENTS</w:t>
      </w:r>
    </w:p>
    <w:p>
      <w:pPr>
        <w:spacing w:after="0"/>
        <w:rPr>
          <w:sz w:val="20"/>
          <w:szCs w:val="20"/>
          <w:color w:val="auto"/>
        </w:rPr>
      </w:pPr>
      <w:r>
        <w:rPr>
          <w:rFonts w:ascii="Arial" w:cs="Arial" w:eastAsia="Arial" w:hAnsi="Arial"/>
          <w:sz w:val="14"/>
          <w:szCs w:val="14"/>
          <w:color w:val="auto"/>
        </w:rPr>
        <w:t>There are no material recent developments and post-balance sheet events to report.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LIKELY FUTURE DEVELOPMENTS</w:t>
      </w:r>
    </w:p>
    <w:p>
      <w:pPr>
        <w:spacing w:after="0" w:line="1" w:lineRule="exact"/>
        <w:rPr>
          <w:sz w:val="20"/>
          <w:szCs w:val="20"/>
          <w:color w:val="auto"/>
        </w:rPr>
      </w:pPr>
    </w:p>
    <w:p>
      <w:pPr>
        <w:ind w:right="480"/>
        <w:spacing w:after="0" w:line="258" w:lineRule="auto"/>
        <w:rPr>
          <w:sz w:val="20"/>
          <w:szCs w:val="20"/>
          <w:color w:val="auto"/>
        </w:rPr>
      </w:pPr>
      <w:r>
        <w:rPr>
          <w:rFonts w:ascii="Arial" w:cs="Arial" w:eastAsia="Arial" w:hAnsi="Arial"/>
          <w:sz w:val="14"/>
          <w:szCs w:val="14"/>
          <w:color w:val="auto"/>
        </w:rPr>
        <w:t>Information relating to likely future developments can be found in the “Strategic Report”.</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auto"/>
        </w:rPr>
        <w:t>RESEARCH AND DEVELOPMENT</w:t>
      </w:r>
    </w:p>
    <w:p>
      <w:pPr>
        <w:spacing w:after="0" w:line="1" w:lineRule="exact"/>
        <w:rPr>
          <w:sz w:val="20"/>
          <w:szCs w:val="20"/>
          <w:color w:val="auto"/>
        </w:rPr>
      </w:pPr>
    </w:p>
    <w:p>
      <w:pPr>
        <w:ind w:right="20"/>
        <w:spacing w:after="0" w:line="244" w:lineRule="auto"/>
        <w:rPr>
          <w:sz w:val="20"/>
          <w:szCs w:val="20"/>
          <w:color w:val="auto"/>
        </w:rPr>
      </w:pPr>
      <w:r>
        <w:rPr>
          <w:rFonts w:ascii="Arial" w:cs="Arial" w:eastAsia="Arial" w:hAnsi="Arial"/>
          <w:sz w:val="14"/>
          <w:szCs w:val="14"/>
          <w:color w:val="auto"/>
        </w:rPr>
        <w:t>Shell carries out its research and development programmes in a worldwide network of technology centres complemented by external partnerships. The main technology centres are in India, the Netherlands and the USA, with other centres in Canada, China, Germany, Norway, Oman and Qatar. Further details of Shell’s research and development, including expenditure, can be found in the “Strategic Report” on page 10 as well as in the “Consolidated Statement of Income”.</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color w:val="auto"/>
        </w:rPr>
        <w:t>DIVERSITY AND INCLUSION</w:t>
      </w:r>
    </w:p>
    <w:p>
      <w:pPr>
        <w:spacing w:after="0" w:line="1" w:lineRule="exact"/>
        <w:rPr>
          <w:sz w:val="20"/>
          <w:szCs w:val="20"/>
          <w:color w:val="auto"/>
        </w:rPr>
      </w:pPr>
    </w:p>
    <w:p>
      <w:pPr>
        <w:ind w:right="140"/>
        <w:spacing w:after="0" w:line="258" w:lineRule="auto"/>
        <w:rPr>
          <w:sz w:val="20"/>
          <w:szCs w:val="20"/>
          <w:color w:val="auto"/>
        </w:rPr>
      </w:pPr>
      <w:r>
        <w:rPr>
          <w:rFonts w:ascii="Arial" w:cs="Arial" w:eastAsia="Arial" w:hAnsi="Arial"/>
          <w:sz w:val="14"/>
          <w:szCs w:val="14"/>
          <w:color w:val="auto"/>
        </w:rPr>
        <w:t>Information concerning diversity and inclusion can be found in the “Strategic Report” on page 57.</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EMPLOYEE COMMUNICATION AND INVOLVEMENT</w:t>
      </w:r>
    </w:p>
    <w:p>
      <w:pPr>
        <w:spacing w:after="0" w:line="1" w:lineRule="exact"/>
        <w:rPr>
          <w:sz w:val="20"/>
          <w:szCs w:val="20"/>
          <w:color w:val="auto"/>
        </w:rPr>
      </w:pPr>
    </w:p>
    <w:p>
      <w:pPr>
        <w:ind w:right="240"/>
        <w:spacing w:after="0" w:line="258" w:lineRule="auto"/>
        <w:rPr>
          <w:sz w:val="20"/>
          <w:szCs w:val="20"/>
          <w:color w:val="auto"/>
        </w:rPr>
      </w:pPr>
      <w:r>
        <w:rPr>
          <w:rFonts w:ascii="Arial" w:cs="Arial" w:eastAsia="Arial" w:hAnsi="Arial"/>
          <w:sz w:val="14"/>
          <w:szCs w:val="14"/>
          <w:color w:val="auto"/>
        </w:rPr>
        <w:t>Information concerning employee communication and involvement can be found in the “Strategic Report” on page 56.</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auto"/>
        </w:rPr>
        <w:t>CORPORATE SOCIAL RESPONSIBILITY</w:t>
      </w:r>
    </w:p>
    <w:p>
      <w:pPr>
        <w:spacing w:after="0" w:line="1" w:lineRule="exact"/>
        <w:rPr>
          <w:sz w:val="20"/>
          <w:szCs w:val="20"/>
          <w:color w:val="auto"/>
        </w:rPr>
      </w:pPr>
    </w:p>
    <w:p>
      <w:pPr>
        <w:ind w:right="160"/>
        <w:spacing w:after="0" w:line="250" w:lineRule="auto"/>
        <w:rPr>
          <w:sz w:val="20"/>
          <w:szCs w:val="20"/>
          <w:color w:val="auto"/>
        </w:rPr>
      </w:pPr>
      <w:r>
        <w:rPr>
          <w:rFonts w:ascii="Arial" w:cs="Arial" w:eastAsia="Arial" w:hAnsi="Arial"/>
          <w:sz w:val="14"/>
          <w:szCs w:val="14"/>
          <w:color w:val="auto"/>
        </w:rPr>
        <w:t>A summary of Shell’s approach to corporate social responsibility can be found in the “Strategic Report” on pages 52-56. Further details will be available in the Shell Sustainability Report 2014.</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color w:val="auto"/>
        </w:rPr>
        <w:t>GREENHOUSE GAS EMISSIONS</w:t>
      </w:r>
    </w:p>
    <w:p>
      <w:pPr>
        <w:spacing w:after="0" w:line="1" w:lineRule="exact"/>
        <w:rPr>
          <w:sz w:val="20"/>
          <w:szCs w:val="20"/>
          <w:color w:val="auto"/>
        </w:rPr>
      </w:pPr>
    </w:p>
    <w:p>
      <w:pPr>
        <w:ind w:right="420"/>
        <w:spacing w:after="0" w:line="258" w:lineRule="auto"/>
        <w:rPr>
          <w:sz w:val="20"/>
          <w:szCs w:val="20"/>
          <w:color w:val="auto"/>
        </w:rPr>
      </w:pPr>
      <w:r>
        <w:rPr>
          <w:rFonts w:ascii="Arial" w:cs="Arial" w:eastAsia="Arial" w:hAnsi="Arial"/>
          <w:sz w:val="14"/>
          <w:szCs w:val="14"/>
          <w:color w:val="auto"/>
        </w:rPr>
        <w:t>Information relating to greenhouse gas emissions can be found in the “Strategic Report” on page 53.</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FINANCIAL RISK MANAGEMENT, OBJECTIVES AND POLICIES</w:t>
      </w:r>
    </w:p>
    <w:p>
      <w:pPr>
        <w:spacing w:after="0" w:line="1" w:lineRule="exact"/>
        <w:rPr>
          <w:sz w:val="20"/>
          <w:szCs w:val="20"/>
          <w:color w:val="auto"/>
        </w:rPr>
      </w:pPr>
    </w:p>
    <w:p>
      <w:pPr>
        <w:ind w:right="60"/>
        <w:spacing w:after="0" w:line="250" w:lineRule="auto"/>
        <w:rPr>
          <w:sz w:val="20"/>
          <w:szCs w:val="20"/>
          <w:color w:val="auto"/>
        </w:rPr>
      </w:pPr>
      <w:r>
        <w:rPr>
          <w:rFonts w:ascii="Arial" w:cs="Arial" w:eastAsia="Arial" w:hAnsi="Arial"/>
          <w:sz w:val="14"/>
          <w:szCs w:val="14"/>
          <w:color w:val="auto"/>
        </w:rPr>
        <w:t>Descriptions of the use of financial instruments and Shell’s financial risk management objectives and policies, and exposure to market risk (including price risk), credit risk and liquidity risk can be found in Note 19 to the “Consolidated Financial Statements”.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right"/>
        <w:spacing w:after="0"/>
        <w:rPr>
          <w:sz w:val="20"/>
          <w:szCs w:val="20"/>
          <w:color w:val="auto"/>
        </w:rPr>
      </w:pPr>
      <w:r>
        <w:rPr>
          <w:rFonts w:ascii="Arial" w:cs="Arial" w:eastAsia="Arial" w:hAnsi="Arial"/>
          <w:sz w:val="11"/>
          <w:szCs w:val="11"/>
          <w:color w:val="auto"/>
        </w:rPr>
        <w:t>SHELL ANNUAL REPORT AND FORM 20-F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-3677285</wp:posOffset>
            </wp:positionH>
            <wp:positionV relativeFrom="paragraph">
              <wp:posOffset>-1175385</wp:posOffset>
            </wp:positionV>
            <wp:extent cx="7289165" cy="3873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SHARE CAPITAL</w:t>
      </w:r>
    </w:p>
    <w:p>
      <w:pPr>
        <w:spacing w:after="0" w:line="1" w:lineRule="exact"/>
        <w:rPr>
          <w:sz w:val="20"/>
          <w:szCs w:val="20"/>
          <w:color w:val="auto"/>
        </w:rPr>
      </w:pPr>
    </w:p>
    <w:p>
      <w:pPr>
        <w:ind w:right="320"/>
        <w:spacing w:after="0" w:line="250" w:lineRule="auto"/>
        <w:rPr>
          <w:sz w:val="20"/>
          <w:szCs w:val="20"/>
          <w:color w:val="auto"/>
        </w:rPr>
      </w:pPr>
      <w:r>
        <w:rPr>
          <w:rFonts w:ascii="Arial" w:cs="Arial" w:eastAsia="Arial" w:hAnsi="Arial"/>
          <w:sz w:val="14"/>
          <w:szCs w:val="14"/>
          <w:color w:val="auto"/>
        </w:rPr>
        <w:t>The Company’s issued share capital as at December 31, 2014, is set out in Note 10 to the “Parent Company Financial Statements”. The percentage of the total issued share capital represented by each class of share is given below.</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3400" w:type="dxa"/>
            <w:vAlign w:val="bottom"/>
            <w:shd w:val="clear" w:color="auto" w:fill="333333"/>
          </w:tcPr>
          <w:p>
            <w:pPr>
              <w:ind w:left="60"/>
              <w:spacing w:after="0"/>
              <w:rPr>
                <w:sz w:val="20"/>
                <w:szCs w:val="20"/>
                <w:color w:val="auto"/>
              </w:rPr>
            </w:pPr>
            <w:r>
              <w:rPr>
                <w:rFonts w:ascii="Arial" w:cs="Arial" w:eastAsia="Arial" w:hAnsi="Arial"/>
                <w:sz w:val="15"/>
                <w:szCs w:val="15"/>
                <w:b w:val="1"/>
                <w:bCs w:val="1"/>
                <w:color w:val="FFFFFF"/>
              </w:rPr>
              <w:t>SHARE CAPITAL PERCENTAGE</w:t>
            </w:r>
          </w:p>
        </w:tc>
        <w:tc>
          <w:tcPr>
            <w:tcW w:w="2060" w:type="dxa"/>
            <w:vAlign w:val="bottom"/>
            <w:shd w:val="clear" w:color="auto" w:fill="333333"/>
          </w:tcPr>
          <w:p>
            <w:pPr>
              <w:jc w:val="right"/>
              <w:ind w:right="287"/>
              <w:spacing w:after="0"/>
              <w:rPr>
                <w:sz w:val="20"/>
                <w:szCs w:val="20"/>
                <w:color w:val="auto"/>
              </w:rPr>
            </w:pPr>
            <w:r>
              <w:rPr>
                <w:rFonts w:ascii="Arial" w:cs="Arial" w:eastAsia="Arial" w:hAnsi="Arial"/>
                <w:sz w:val="15"/>
                <w:szCs w:val="15"/>
                <w:color w:val="FFFFFF"/>
              </w:rPr>
              <w:t>%</w:t>
            </w:r>
          </w:p>
        </w:tc>
      </w:tr>
      <w:tr>
        <w:trPr>
          <w:trHeight w:val="149"/>
        </w:trPr>
        <w:tc>
          <w:tcPr>
            <w:tcW w:w="340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Share class</w:t>
            </w:r>
          </w:p>
        </w:tc>
        <w:tc>
          <w:tcPr>
            <w:tcW w:w="2060" w:type="dxa"/>
            <w:vAlign w:val="bottom"/>
            <w:tcBorders>
              <w:bottom w:val="single" w:sz="8" w:color="auto"/>
            </w:tcBorders>
          </w:tcPr>
          <w:p>
            <w:pPr>
              <w:spacing w:after="0"/>
              <w:rPr>
                <w:sz w:val="12"/>
                <w:szCs w:val="12"/>
                <w:color w:val="auto"/>
              </w:rPr>
            </w:pPr>
          </w:p>
        </w:tc>
      </w:tr>
      <w:tr>
        <w:trPr>
          <w:trHeight w:val="160"/>
        </w:trPr>
        <w:tc>
          <w:tcPr>
            <w:tcW w:w="3400" w:type="dxa"/>
            <w:vAlign w:val="bottom"/>
          </w:tcPr>
          <w:p>
            <w:pPr>
              <w:spacing w:after="0"/>
              <w:rPr>
                <w:sz w:val="20"/>
                <w:szCs w:val="20"/>
                <w:color w:val="auto"/>
              </w:rPr>
            </w:pPr>
            <w:r>
              <w:rPr>
                <w:rFonts w:ascii="Arial" w:cs="Arial" w:eastAsia="Arial" w:hAnsi="Arial"/>
                <w:sz w:val="14"/>
                <w:szCs w:val="14"/>
                <w:color w:val="auto"/>
              </w:rPr>
              <w:t>A ordinary</w:t>
            </w:r>
          </w:p>
        </w:tc>
        <w:tc>
          <w:tcPr>
            <w:tcW w:w="2060" w:type="dxa"/>
            <w:vAlign w:val="bottom"/>
          </w:tcPr>
          <w:p>
            <w:pPr>
              <w:jc w:val="right"/>
              <w:ind w:right="287"/>
              <w:spacing w:after="0"/>
              <w:rPr>
                <w:sz w:val="20"/>
                <w:szCs w:val="20"/>
                <w:color w:val="auto"/>
              </w:rPr>
            </w:pPr>
            <w:r>
              <w:rPr>
                <w:rFonts w:ascii="Arial" w:cs="Arial" w:eastAsia="Arial" w:hAnsi="Arial"/>
                <w:sz w:val="14"/>
                <w:szCs w:val="14"/>
                <w:color w:val="auto"/>
              </w:rPr>
              <w:t>61.55</w:t>
            </w:r>
          </w:p>
        </w:tc>
      </w:tr>
      <w:tr>
        <w:trPr>
          <w:trHeight w:val="162"/>
        </w:trPr>
        <w:tc>
          <w:tcPr>
            <w:tcW w:w="3400" w:type="dxa"/>
            <w:vAlign w:val="bottom"/>
          </w:tcPr>
          <w:p>
            <w:pPr>
              <w:spacing w:after="0"/>
              <w:rPr>
                <w:sz w:val="20"/>
                <w:szCs w:val="20"/>
                <w:color w:val="auto"/>
              </w:rPr>
            </w:pPr>
            <w:r>
              <w:rPr>
                <w:rFonts w:ascii="Arial" w:cs="Arial" w:eastAsia="Arial" w:hAnsi="Arial"/>
                <w:sz w:val="14"/>
                <w:szCs w:val="14"/>
                <w:color w:val="auto"/>
              </w:rPr>
              <w:t>B ordinary</w:t>
            </w:r>
          </w:p>
        </w:tc>
        <w:tc>
          <w:tcPr>
            <w:tcW w:w="2060" w:type="dxa"/>
            <w:vAlign w:val="bottom"/>
          </w:tcPr>
          <w:p>
            <w:pPr>
              <w:jc w:val="right"/>
              <w:ind w:right="287"/>
              <w:spacing w:after="0"/>
              <w:rPr>
                <w:sz w:val="20"/>
                <w:szCs w:val="20"/>
                <w:color w:val="auto"/>
              </w:rPr>
            </w:pPr>
            <w:r>
              <w:rPr>
                <w:rFonts w:ascii="Arial" w:cs="Arial" w:eastAsia="Arial" w:hAnsi="Arial"/>
                <w:sz w:val="14"/>
                <w:szCs w:val="14"/>
                <w:color w:val="auto"/>
              </w:rPr>
              <w:t>38.45</w:t>
            </w:r>
          </w:p>
        </w:tc>
      </w:tr>
      <w:tr>
        <w:trPr>
          <w:trHeight w:val="157"/>
        </w:trPr>
        <w:tc>
          <w:tcPr>
            <w:tcW w:w="3400" w:type="dxa"/>
            <w:vAlign w:val="bottom"/>
            <w:tcBorders>
              <w:bottom w:val="single" w:sz="8" w:color="auto"/>
            </w:tcBorders>
          </w:tcPr>
          <w:p>
            <w:pPr>
              <w:spacing w:after="0" w:line="157" w:lineRule="exact"/>
              <w:rPr>
                <w:sz w:val="20"/>
                <w:szCs w:val="20"/>
                <w:color w:val="auto"/>
              </w:rPr>
            </w:pPr>
            <w:r>
              <w:rPr>
                <w:rFonts w:ascii="Arial" w:cs="Arial" w:eastAsia="Arial" w:hAnsi="Arial"/>
                <w:sz w:val="14"/>
                <w:szCs w:val="14"/>
                <w:color w:val="auto"/>
              </w:rPr>
              <w:t>Sterling deferred</w:t>
            </w:r>
          </w:p>
        </w:tc>
        <w:tc>
          <w:tcPr>
            <w:tcW w:w="2060" w:type="dxa"/>
            <w:vAlign w:val="bottom"/>
            <w:tcBorders>
              <w:bottom w:val="single" w:sz="8" w:color="auto"/>
            </w:tcBorders>
          </w:tcPr>
          <w:p>
            <w:pPr>
              <w:jc w:val="right"/>
              <w:ind w:right="287"/>
              <w:spacing w:after="0" w:line="157" w:lineRule="exact"/>
              <w:rPr>
                <w:sz w:val="20"/>
                <w:szCs w:val="20"/>
                <w:color w:val="auto"/>
              </w:rPr>
            </w:pPr>
            <w:r>
              <w:rPr>
                <w:rFonts w:ascii="Arial" w:cs="Arial" w:eastAsia="Arial" w:hAnsi="Arial"/>
                <w:sz w:val="14"/>
                <w:szCs w:val="14"/>
                <w:color w:val="auto"/>
              </w:rPr>
              <w:t>de minimis</w:t>
            </w:r>
          </w:p>
        </w:tc>
      </w:tr>
    </w:tbl>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TRANSFER OF SECURITIES</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There are no significant restrictions on the transfer of securities.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SHARE OWNERSHIP TRUSTS AND TRUST-LIKE ENTITIES</w:t>
      </w:r>
    </w:p>
    <w:p>
      <w:pPr>
        <w:spacing w:after="0" w:line="1" w:lineRule="exact"/>
        <w:rPr>
          <w:sz w:val="20"/>
          <w:szCs w:val="20"/>
          <w:color w:val="auto"/>
        </w:rPr>
      </w:pPr>
    </w:p>
    <w:p>
      <w:pPr>
        <w:ind w:right="220"/>
        <w:spacing w:after="0" w:line="245" w:lineRule="auto"/>
        <w:rPr>
          <w:sz w:val="20"/>
          <w:szCs w:val="20"/>
          <w:color w:val="auto"/>
        </w:rPr>
      </w:pPr>
      <w:r>
        <w:rPr>
          <w:rFonts w:ascii="Arial" w:cs="Arial" w:eastAsia="Arial" w:hAnsi="Arial"/>
          <w:sz w:val="14"/>
          <w:szCs w:val="14"/>
          <w:color w:val="auto"/>
        </w:rPr>
        <w:t>Shell has three primary employee share ownership trusts and trust-like entities: a Dutch foundation (stichting) and two US Rabbi Trusts. The shares held by the Dutch foundation are voted by its Board and the shares in the US Rabbi Trusts are voted by the Voting Trustee, Evercore Trust Company, N.A. Both the Board of the Dutch foundation and the Voting Trustee are independent of Shell.</w:t>
      </w:r>
    </w:p>
    <w:p>
      <w:pPr>
        <w:spacing w:after="0" w:line="164" w:lineRule="exact"/>
        <w:rPr>
          <w:sz w:val="20"/>
          <w:szCs w:val="20"/>
          <w:color w:val="auto"/>
        </w:rPr>
      </w:pPr>
    </w:p>
    <w:p>
      <w:pPr>
        <w:jc w:val="both"/>
        <w:ind w:right="520"/>
        <w:spacing w:after="0" w:line="250" w:lineRule="auto"/>
        <w:rPr>
          <w:sz w:val="20"/>
          <w:szCs w:val="20"/>
          <w:color w:val="auto"/>
        </w:rPr>
      </w:pPr>
      <w:r>
        <w:rPr>
          <w:rFonts w:ascii="Arial" w:cs="Arial" w:eastAsia="Arial" w:hAnsi="Arial"/>
          <w:sz w:val="14"/>
          <w:szCs w:val="14"/>
          <w:color w:val="auto"/>
        </w:rPr>
        <w:t>The UK Shell All Employee Share Ownership Plan has a separate related share ownership trust. Shares held by the trust are voted by its trustee, EES Corporate Trustees Limited, as directed by the participants.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SIGNIFICANT SHAREHOLDINGS</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Information concerning significant shareholdings can be found on page 180.</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ARTICLES OF ASSOCIATION</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Information concerning the Articles of Association can be found on pages 71-75.</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LISTING RULE INFORMATION [A]</w:t>
      </w:r>
    </w:p>
    <w:p>
      <w:pPr>
        <w:spacing w:after="0" w:line="1" w:lineRule="exact"/>
        <w:rPr>
          <w:sz w:val="20"/>
          <w:szCs w:val="20"/>
          <w:color w:val="auto"/>
        </w:rPr>
      </w:pPr>
    </w:p>
    <w:p>
      <w:pPr>
        <w:ind w:right="440"/>
        <w:spacing w:after="0" w:line="258" w:lineRule="auto"/>
        <w:rPr>
          <w:sz w:val="20"/>
          <w:szCs w:val="20"/>
          <w:color w:val="auto"/>
        </w:rPr>
      </w:pPr>
      <w:r>
        <w:rPr>
          <w:rFonts w:ascii="Arial" w:cs="Arial" w:eastAsia="Arial" w:hAnsi="Arial"/>
          <w:sz w:val="14"/>
          <w:szCs w:val="14"/>
          <w:color w:val="auto"/>
        </w:rPr>
        <w:t>Information concerning the amount of interest capitalised by Shell can be found in Note 6 to the “Consolidated Financial Statements”.</w:t>
      </w:r>
    </w:p>
    <w:p>
      <w:pPr>
        <w:spacing w:after="0" w:line="10" w:lineRule="exact"/>
        <w:rPr>
          <w:sz w:val="20"/>
          <w:szCs w:val="20"/>
          <w:color w:val="auto"/>
        </w:rPr>
      </w:pPr>
    </w:p>
    <w:p>
      <w:pPr>
        <w:spacing w:after="0"/>
        <w:rPr>
          <w:sz w:val="20"/>
          <w:szCs w:val="20"/>
          <w:color w:val="auto"/>
        </w:rPr>
      </w:pPr>
      <w:r>
        <w:rPr>
          <w:rFonts w:ascii="Arial" w:cs="Arial" w:eastAsia="Arial" w:hAnsi="Arial"/>
          <w:sz w:val="11"/>
          <w:szCs w:val="11"/>
          <w:color w:val="auto"/>
        </w:rPr>
        <w:t>[A] This information is given in accordance with Listing Rule 9.8.4R.</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auto"/>
        </w:rPr>
        <w:t>AUDITORS</w:t>
      </w:r>
    </w:p>
    <w:p>
      <w:pPr>
        <w:spacing w:after="0" w:line="1" w:lineRule="exact"/>
        <w:rPr>
          <w:sz w:val="20"/>
          <w:szCs w:val="20"/>
          <w:color w:val="auto"/>
        </w:rPr>
      </w:pPr>
    </w:p>
    <w:p>
      <w:pPr>
        <w:ind w:right="300"/>
        <w:spacing w:after="0" w:line="258" w:lineRule="auto"/>
        <w:rPr>
          <w:sz w:val="20"/>
          <w:szCs w:val="20"/>
          <w:color w:val="auto"/>
        </w:rPr>
      </w:pPr>
      <w:r>
        <w:rPr>
          <w:rFonts w:ascii="Arial" w:cs="Arial" w:eastAsia="Arial" w:hAnsi="Arial"/>
          <w:sz w:val="14"/>
          <w:szCs w:val="14"/>
          <w:color w:val="auto"/>
        </w:rPr>
        <w:t>PricewaterhouseCoopers LLP has signified its willingness to continue in office and a resolution for its reappointment will be proposed at the 2015 AGM.</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auto"/>
        </w:rPr>
        <w:t>CORPORATE GOVERNANCE</w:t>
      </w:r>
    </w:p>
    <w:p>
      <w:pPr>
        <w:spacing w:after="0" w:line="1" w:lineRule="exact"/>
        <w:rPr>
          <w:sz w:val="20"/>
          <w:szCs w:val="20"/>
          <w:color w:val="auto"/>
        </w:rPr>
      </w:pPr>
    </w:p>
    <w:p>
      <w:pPr>
        <w:ind w:right="280"/>
        <w:spacing w:after="0" w:line="258" w:lineRule="auto"/>
        <w:rPr>
          <w:sz w:val="20"/>
          <w:szCs w:val="20"/>
          <w:color w:val="auto"/>
        </w:rPr>
      </w:pPr>
      <w:r>
        <w:rPr>
          <w:rFonts w:ascii="Arial" w:cs="Arial" w:eastAsia="Arial" w:hAnsi="Arial"/>
          <w:sz w:val="14"/>
          <w:szCs w:val="14"/>
          <w:color w:val="auto"/>
        </w:rPr>
        <w:t>The Company’s statement on corporate governance is included in the “Corporate governance” report and is incorporated in this Directors’ Report by way of reference.</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ANNUAL GENERAL MEETING</w:t>
      </w:r>
    </w:p>
    <w:p>
      <w:pPr>
        <w:spacing w:after="0" w:line="1" w:lineRule="exact"/>
        <w:rPr>
          <w:sz w:val="20"/>
          <w:szCs w:val="20"/>
          <w:color w:val="auto"/>
        </w:rPr>
      </w:pPr>
    </w:p>
    <w:p>
      <w:pPr>
        <w:ind w:right="320"/>
        <w:spacing w:after="0" w:line="250" w:lineRule="auto"/>
        <w:rPr>
          <w:sz w:val="20"/>
          <w:szCs w:val="20"/>
          <w:color w:val="auto"/>
        </w:rPr>
      </w:pPr>
      <w:r>
        <w:rPr>
          <w:rFonts w:ascii="Arial" w:cs="Arial" w:eastAsia="Arial" w:hAnsi="Arial"/>
          <w:sz w:val="14"/>
          <w:szCs w:val="14"/>
          <w:color w:val="auto"/>
        </w:rPr>
        <w:t>The AGM will be held on May 19, 2015, at the Circustheater, Circusstraat 4, 2586 CW, The Hague, The Netherlands. Details of the business to be put to shareholders at the AGM can be found in the Notice of Annual General Meeting.</w:t>
      </w:r>
    </w:p>
    <w:p>
      <w:pPr>
        <w:spacing w:after="0" w:line="199" w:lineRule="exact"/>
        <w:rPr>
          <w:sz w:val="20"/>
          <w:szCs w:val="20"/>
          <w:color w:val="auto"/>
        </w:rPr>
      </w:pPr>
    </w:p>
    <w:p>
      <w:pPr>
        <w:spacing w:after="0"/>
        <w:rPr>
          <w:sz w:val="20"/>
          <w:szCs w:val="20"/>
          <w:color w:val="auto"/>
        </w:rPr>
      </w:pPr>
      <w:r>
        <w:rPr>
          <w:rFonts w:ascii="Arial" w:cs="Arial" w:eastAsia="Arial" w:hAnsi="Arial"/>
          <w:sz w:val="14"/>
          <w:szCs w:val="14"/>
          <w:color w:val="auto"/>
        </w:rPr>
        <w:t>Signed on behalf of the Board</w:t>
      </w:r>
    </w:p>
    <w:p>
      <w:pPr>
        <w:spacing w:after="0" w:line="204" w:lineRule="exact"/>
        <w:rPr>
          <w:sz w:val="20"/>
          <w:szCs w:val="20"/>
          <w:color w:val="auto"/>
        </w:rPr>
      </w:pPr>
    </w:p>
    <w:p>
      <w:pPr>
        <w:spacing w:after="0"/>
        <w:rPr>
          <w:sz w:val="20"/>
          <w:szCs w:val="20"/>
          <w:color w:val="auto"/>
        </w:rPr>
      </w:pPr>
      <w:r>
        <w:rPr>
          <w:rFonts w:ascii="Arial" w:cs="Arial" w:eastAsia="Arial" w:hAnsi="Arial"/>
          <w:sz w:val="14"/>
          <w:szCs w:val="14"/>
          <w:color w:val="auto"/>
        </w:rPr>
        <w:t>/s/ Michiel Brandjes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3473450" cy="88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spacing w:after="0" w:line="19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Michiel Brandjes</w:t>
      </w:r>
    </w:p>
    <w:p>
      <w:pPr>
        <w:spacing w:after="0" w:line="19" w:lineRule="exact"/>
        <w:rPr>
          <w:sz w:val="20"/>
          <w:szCs w:val="20"/>
          <w:color w:val="auto"/>
        </w:rPr>
      </w:pPr>
    </w:p>
    <w:p>
      <w:pPr>
        <w:spacing w:after="0"/>
        <w:rPr>
          <w:sz w:val="20"/>
          <w:szCs w:val="20"/>
          <w:color w:val="auto"/>
        </w:rPr>
      </w:pPr>
      <w:r>
        <w:rPr>
          <w:rFonts w:ascii="Arial" w:cs="Arial" w:eastAsia="Arial" w:hAnsi="Arial"/>
          <w:sz w:val="14"/>
          <w:szCs w:val="14"/>
          <w:color w:val="auto"/>
        </w:rPr>
        <w:t>Company Secretary</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March 11, 2015</w:t>
      </w:r>
    </w:p>
    <w:p>
      <w:pPr>
        <w:sectPr>
          <w:pgSz w:w="11900" w:h="16838" w:orient="portrait"/>
          <w:cols w:equalWidth="0" w:num="2">
            <w:col w:w="5500" w:space="280"/>
            <w:col w:w="5640"/>
          </w:cols>
          <w:pgMar w:left="240" w:top="459" w:right="239" w:bottom="1440" w:gutter="0" w:footer="0" w:header="0"/>
        </w:sectPr>
      </w:pPr>
    </w:p>
    <w:bookmarkStart w:id="66" w:name="page67"/>
    <w:bookmarkEnd w:id="66"/>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3555365</wp:posOffset>
            </wp:positionH>
            <wp:positionV relativeFrom="paragraph">
              <wp:posOffset>452120</wp:posOffset>
            </wp:positionV>
            <wp:extent cx="3696335" cy="46291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3696335" cy="462915"/>
                    </a:xfrm>
                    <a:prstGeom prst="rect">
                      <a:avLst/>
                    </a:prstGeom>
                    <a:noFill/>
                  </pic:spPr>
                </pic:pic>
              </a:graphicData>
            </a:graphic>
          </wp:anchor>
        </w:drawing>
      </w:r>
    </w:p>
    <w:p>
      <w:pPr>
        <w:sectPr>
          <w:pgSz w:w="11900" w:h="16838" w:orient="portrait"/>
          <w:cols w:equalWidth="0" w:num="1">
            <w:col w:w="11260"/>
          </w:cols>
          <w:pgMar w:left="240" w:top="459" w:right="3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11"/>
          <w:szCs w:val="11"/>
          <w:color w:val="auto"/>
        </w:rPr>
        <w:t>SHELL ANNUAL REPORT AND FORM 20-F 2014</w:t>
      </w:r>
    </w:p>
    <w:p>
      <w:pPr>
        <w:spacing w:after="0" w:line="59" w:lineRule="exact"/>
        <w:rPr>
          <w:sz w:val="20"/>
          <w:szCs w:val="20"/>
          <w:color w:val="auto"/>
        </w:rPr>
      </w:pPr>
    </w:p>
    <w:p>
      <w:pPr>
        <w:ind w:left="20"/>
        <w:spacing w:after="0"/>
        <w:rPr>
          <w:sz w:val="20"/>
          <w:szCs w:val="20"/>
          <w:color w:val="auto"/>
        </w:rPr>
      </w:pPr>
      <w:r>
        <w:rPr>
          <w:rFonts w:ascii="Arial" w:cs="Arial" w:eastAsia="Arial" w:hAnsi="Arial"/>
          <w:sz w:val="31"/>
          <w:szCs w:val="31"/>
          <w:color w:val="auto"/>
        </w:rPr>
        <w:t>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wp:posOffset>
            </wp:positionV>
            <wp:extent cx="3473450" cy="889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spacing w:after="0" w:line="189" w:lineRule="exact"/>
        <w:rPr>
          <w:sz w:val="20"/>
          <w:szCs w:val="20"/>
          <w:color w:val="auto"/>
        </w:rPr>
      </w:pPr>
    </w:p>
    <w:p>
      <w:pPr>
        <w:spacing w:after="0"/>
        <w:rPr>
          <w:sz w:val="20"/>
          <w:szCs w:val="20"/>
          <w:color w:val="auto"/>
        </w:rPr>
      </w:pPr>
      <w:r>
        <w:rPr>
          <w:rFonts w:ascii="Arial" w:cs="Arial" w:eastAsia="Arial" w:hAnsi="Arial"/>
          <w:sz w:val="14"/>
          <w:szCs w:val="14"/>
          <w:color w:val="auto"/>
        </w:rPr>
        <w:t>Dear Shareholders,</w:t>
      </w:r>
    </w:p>
    <w:p>
      <w:pPr>
        <w:spacing w:after="0" w:line="177" w:lineRule="exact"/>
        <w:rPr>
          <w:sz w:val="20"/>
          <w:szCs w:val="20"/>
          <w:color w:val="auto"/>
        </w:rPr>
      </w:pPr>
    </w:p>
    <w:p>
      <w:pPr>
        <w:spacing w:after="0" w:line="243" w:lineRule="auto"/>
        <w:rPr>
          <w:sz w:val="20"/>
          <w:szCs w:val="20"/>
          <w:color w:val="auto"/>
        </w:rPr>
      </w:pPr>
      <w:r>
        <w:rPr>
          <w:rFonts w:ascii="Arial" w:cs="Arial" w:eastAsia="Arial" w:hAnsi="Arial"/>
          <w:sz w:val="14"/>
          <w:szCs w:val="14"/>
          <w:color w:val="auto"/>
        </w:rPr>
        <w:t>I am pleased to introduce this report which will be my last before I step down as Chairman and a Director of Royal Dutch Shell plc (the Company) at this year’s Annual General Meeting (AGM). I have always taken my responsibility to ensure we meet the highest standards of corporate governance very seriously, as I believe such standards are essential to the long-term success of the Company and maintaining investors’ trust. During the year we have again applied the main principles and relevant provisions of the 2012 version of the Financial Reporting Council’s UK Corporate Governance Code (the Code), and I hope this report gives you a good understanding of the systems of governance and control which continue to operate within the Company.</w:t>
      </w:r>
    </w:p>
    <w:p>
      <w:pPr>
        <w:spacing w:after="0" w:line="329" w:lineRule="exact"/>
        <w:rPr>
          <w:sz w:val="20"/>
          <w:szCs w:val="20"/>
          <w:color w:val="auto"/>
        </w:rPr>
      </w:pPr>
    </w:p>
    <w:p>
      <w:pPr>
        <w:ind w:right="160"/>
        <w:spacing w:after="0" w:line="244" w:lineRule="auto"/>
        <w:rPr>
          <w:sz w:val="20"/>
          <w:szCs w:val="20"/>
          <w:color w:val="auto"/>
        </w:rPr>
      </w:pPr>
      <w:r>
        <w:rPr>
          <w:rFonts w:ascii="Arial" w:cs="Arial" w:eastAsia="Arial" w:hAnsi="Arial"/>
          <w:sz w:val="14"/>
          <w:szCs w:val="14"/>
          <w:color w:val="auto"/>
        </w:rPr>
        <w:t>Following my decision to stand down as Chairman after a period of nine years, the Nomination and Succession Committee, under the chairmanship of the Deputy Chairman, conducted a thorough search and benchmarking exercise of internal and external candidates. We were delighted to announce in October 2014 the appointment of Charles O. Holliday, currently a Non-executive Director, as my successor. Chad has a distinguished track record as an international businessman and his appointment has the unanimous support of the Board.</w:t>
      </w:r>
    </w:p>
    <w:p>
      <w:pPr>
        <w:spacing w:after="0" w:line="178" w:lineRule="exact"/>
        <w:rPr>
          <w:sz w:val="20"/>
          <w:szCs w:val="20"/>
          <w:color w:val="auto"/>
        </w:rPr>
      </w:pPr>
    </w:p>
    <w:p>
      <w:pPr>
        <w:ind w:right="320"/>
        <w:spacing w:after="0" w:line="247" w:lineRule="auto"/>
        <w:rPr>
          <w:sz w:val="20"/>
          <w:szCs w:val="20"/>
          <w:color w:val="auto"/>
        </w:rPr>
      </w:pPr>
      <w:r>
        <w:rPr>
          <w:rFonts w:ascii="Arial" w:cs="Arial" w:eastAsia="Arial" w:hAnsi="Arial"/>
          <w:sz w:val="14"/>
          <w:szCs w:val="14"/>
          <w:color w:val="auto"/>
        </w:rPr>
        <w:t>We welcomed two Non-executive Directors, Euleen Goh and Patricia A. Woertz, following their appointment at the 2014 AGM. They both received full and tailored induction programmes, which are ongoing, and they are already bringing their individual skills, knowledge and experience to the boardroom.</w:t>
      </w:r>
    </w:p>
    <w:p>
      <w:pPr>
        <w:spacing w:after="0" w:line="161" w:lineRule="exact"/>
        <w:rPr>
          <w:sz w:val="20"/>
          <w:szCs w:val="20"/>
          <w:color w:val="auto"/>
        </w:rPr>
      </w:pPr>
    </w:p>
    <w:p>
      <w:pPr>
        <w:ind w:right="100"/>
        <w:spacing w:after="0" w:line="244" w:lineRule="auto"/>
        <w:rPr>
          <w:sz w:val="20"/>
          <w:szCs w:val="20"/>
          <w:color w:val="auto"/>
        </w:rPr>
      </w:pPr>
      <w:r>
        <w:rPr>
          <w:rFonts w:ascii="Arial" w:cs="Arial" w:eastAsia="Arial" w:hAnsi="Arial"/>
          <w:sz w:val="14"/>
          <w:szCs w:val="14"/>
          <w:color w:val="auto"/>
        </w:rPr>
        <w:t>The Board and the Nomination and Succession Committee believe the Board should be a diverse mix of people and increasing its diversity is a priority in our succession planning. Gender diversity is an important element of this mix and last year I stated our aim that by 2015 at least 25% of the Directors would be women. This is in line with the recommendations of the report by Lord Davies of Abersoch entitled Women on Boards (Davies Report) and I am pleased to report that we succeeded in meeting our goal by the end of 2014.</w:t>
      </w:r>
    </w:p>
    <w:p>
      <w:pPr>
        <w:spacing w:after="0" w:line="164" w:lineRule="exact"/>
        <w:rPr>
          <w:sz w:val="20"/>
          <w:szCs w:val="20"/>
          <w:color w:val="auto"/>
        </w:rPr>
      </w:pPr>
    </w:p>
    <w:p>
      <w:pPr>
        <w:ind w:right="80"/>
        <w:spacing w:after="0" w:line="243" w:lineRule="auto"/>
        <w:rPr>
          <w:sz w:val="20"/>
          <w:szCs w:val="20"/>
          <w:color w:val="auto"/>
        </w:rPr>
      </w:pPr>
      <w:r>
        <w:rPr>
          <w:rFonts w:ascii="Arial" w:cs="Arial" w:eastAsia="Arial" w:hAnsi="Arial"/>
          <w:sz w:val="14"/>
          <w:szCs w:val="14"/>
          <w:color w:val="auto"/>
        </w:rPr>
        <w:t>In accordance with the Code, we conducted an evaluation of our performance during the year, along with that of the Board committees and individual directors. This was led by the Nomination and Succession Committee. However, unlike last year, the process was conducted in-house rather than being externally facilitated. One of the areas that we looked at was the extent to which suggestions from the 2013 process were implemented in 2014. These included giving greater focus to strategic matters, industry trends and risk, and to increasing Board exposure to senior management below the level of the Executive Committee. I am pleased to say that the Board concluded that good progress had been made in all these areas.</w:t>
      </w:r>
    </w:p>
    <w:p>
      <w:pPr>
        <w:spacing w:after="0" w:line="181" w:lineRule="exact"/>
        <w:rPr>
          <w:sz w:val="20"/>
          <w:szCs w:val="20"/>
          <w:color w:val="auto"/>
        </w:rPr>
      </w:pPr>
    </w:p>
    <w:p>
      <w:pPr>
        <w:ind w:right="120"/>
        <w:spacing w:after="0" w:line="245" w:lineRule="auto"/>
        <w:rPr>
          <w:sz w:val="20"/>
          <w:szCs w:val="20"/>
          <w:color w:val="auto"/>
        </w:rPr>
      </w:pPr>
      <w:r>
        <w:rPr>
          <w:rFonts w:ascii="Arial" w:cs="Arial" w:eastAsia="Arial" w:hAnsi="Arial"/>
          <w:sz w:val="14"/>
          <w:szCs w:val="14"/>
          <w:color w:val="auto"/>
        </w:rPr>
        <w:t>Although we did not engage the services of an external facilitator, the process again proved to be very useful and benefited in particular from fresh insights and perspectives offered by the new Directors appointed during the year. In keeping with the Code, it is the intention that the annual evaluation process will continue to be externally facilitated every three years.</w:t>
      </w:r>
    </w:p>
    <w:p>
      <w:pPr>
        <w:spacing w:after="0" w:line="164" w:lineRule="exact"/>
        <w:rPr>
          <w:sz w:val="20"/>
          <w:szCs w:val="20"/>
          <w:color w:val="auto"/>
        </w:rPr>
      </w:pPr>
    </w:p>
    <w:p>
      <w:pPr>
        <w:ind w:right="100"/>
        <w:spacing w:after="0" w:line="247" w:lineRule="auto"/>
        <w:rPr>
          <w:sz w:val="20"/>
          <w:szCs w:val="20"/>
          <w:color w:val="auto"/>
        </w:rPr>
      </w:pPr>
      <w:r>
        <w:rPr>
          <w:rFonts w:ascii="Arial" w:cs="Arial" w:eastAsia="Arial" w:hAnsi="Arial"/>
          <w:sz w:val="14"/>
          <w:szCs w:val="14"/>
          <w:color w:val="auto"/>
        </w:rPr>
        <w:t>Finally, I would like to thank my fellow Directors, past and present, for their commitment and support over the years in achieving the high standards of corporate governance we have become accustomed to within the Company. I wish my successor and the Board long and continued success.</w:t>
      </w:r>
    </w:p>
    <w:p>
      <w:pPr>
        <w:spacing w:after="0" w:line="14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Jorma Ollila</w:t>
      </w:r>
    </w:p>
    <w:p>
      <w:pPr>
        <w:spacing w:after="0" w:line="19" w:lineRule="exact"/>
        <w:rPr>
          <w:sz w:val="20"/>
          <w:szCs w:val="20"/>
          <w:color w:val="auto"/>
        </w:rPr>
      </w:pPr>
    </w:p>
    <w:p>
      <w:pPr>
        <w:spacing w:after="0"/>
        <w:rPr>
          <w:sz w:val="20"/>
          <w:szCs w:val="20"/>
          <w:color w:val="auto"/>
        </w:rPr>
      </w:pPr>
      <w:r>
        <w:rPr>
          <w:rFonts w:ascii="Arial" w:cs="Arial" w:eastAsia="Arial" w:hAnsi="Arial"/>
          <w:sz w:val="14"/>
          <w:szCs w:val="14"/>
          <w:color w:val="auto"/>
        </w:rPr>
        <w:t>Chairman</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March 11, 2015</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line="1" w:lineRule="exact"/>
        <w:rPr>
          <w:sz w:val="1"/>
          <w:szCs w:val="1"/>
          <w:color w:val="auto"/>
        </w:rPr>
      </w:pPr>
    </w:p>
    <w:tbl>
      <w:tblPr>
        <w:tblLayout w:type="fixed"/>
        <w:tblInd w:w="740" w:type="dxa"/>
        <w:tblCellMar>
          <w:top w:w="0" w:type="dxa"/>
          <w:left w:w="0" w:type="dxa"/>
          <w:bottom w:w="0" w:type="dxa"/>
          <w:right w:w="0" w:type="dxa"/>
        </w:tblCellMar>
      </w:tblPr>
      <w:tr>
        <w:trPr>
          <w:trHeight w:val="161"/>
        </w:trPr>
        <w:tc>
          <w:tcPr>
            <w:tcW w:w="2580" w:type="dxa"/>
            <w:vAlign w:val="bottom"/>
          </w:tcPr>
          <w:p>
            <w:pPr>
              <w:spacing w:after="0"/>
              <w:rPr>
                <w:sz w:val="20"/>
                <w:szCs w:val="20"/>
                <w:color w:val="auto"/>
              </w:rPr>
            </w:pPr>
            <w:r>
              <w:rPr>
                <w:rFonts w:ascii="Arial" w:cs="Arial" w:eastAsia="Arial" w:hAnsi="Arial"/>
                <w:sz w:val="13"/>
                <w:szCs w:val="13"/>
                <w:color w:val="333333"/>
              </w:rPr>
              <w:t>GOVERNANCE</w:t>
            </w:r>
          </w:p>
        </w:tc>
        <w:tc>
          <w:tcPr>
            <w:tcW w:w="1820" w:type="dxa"/>
            <w:vAlign w:val="bottom"/>
          </w:tcPr>
          <w:p>
            <w:pPr>
              <w:jc w:val="right"/>
              <w:spacing w:after="0"/>
              <w:rPr>
                <w:sz w:val="20"/>
                <w:szCs w:val="20"/>
                <w:color w:val="auto"/>
              </w:rPr>
            </w:pPr>
            <w:r>
              <w:rPr>
                <w:rFonts w:ascii="Arial" w:cs="Arial" w:eastAsia="Arial" w:hAnsi="Arial"/>
                <w:sz w:val="11"/>
                <w:szCs w:val="11"/>
                <w:b w:val="1"/>
                <w:bCs w:val="1"/>
                <w:color w:val="333333"/>
              </w:rPr>
              <w:t>65</w:t>
            </w:r>
          </w:p>
        </w:tc>
      </w:tr>
    </w:tbl>
    <w:p>
      <w:pPr>
        <w:spacing w:after="0" w:line="161" w:lineRule="exact"/>
        <w:rPr>
          <w:sz w:val="20"/>
          <w:szCs w:val="20"/>
          <w:color w:val="auto"/>
        </w:rPr>
      </w:pPr>
    </w:p>
    <w:p>
      <w:pPr>
        <w:ind w:left="740"/>
        <w:spacing w:after="0"/>
        <w:rPr>
          <w:sz w:val="20"/>
          <w:szCs w:val="20"/>
          <w:color w:val="auto"/>
        </w:rPr>
      </w:pPr>
      <w:r>
        <w:rPr>
          <w:rFonts w:ascii="Arial" w:cs="Arial" w:eastAsia="Arial" w:hAnsi="Arial"/>
          <w:sz w:val="11"/>
          <w:szCs w:val="11"/>
          <w:color w:val="auto"/>
        </w:rPr>
        <w:t>CORPORATE GOVERNANCE</w:t>
      </w:r>
    </w:p>
    <w:p>
      <w:pPr>
        <w:spacing w:after="0" w:line="51" w:lineRule="exact"/>
        <w:rPr>
          <w:sz w:val="20"/>
          <w:szCs w:val="20"/>
          <w:color w:val="auto"/>
        </w:rPr>
      </w:pPr>
    </w:p>
    <w:p>
      <w:pPr>
        <w:spacing w:after="0"/>
        <w:rPr>
          <w:sz w:val="20"/>
          <w:szCs w:val="20"/>
          <w:color w:val="auto"/>
        </w:rPr>
      </w:pPr>
      <w:r>
        <w:rPr>
          <w:rFonts w:ascii="Arial" w:cs="Arial" w:eastAsia="Arial" w:hAnsi="Arial"/>
          <w:sz w:val="18"/>
          <w:szCs w:val="18"/>
          <w:color w:val="auto"/>
        </w:rPr>
        <w:t>STATEMENT OF COMPLIANCE</w:t>
      </w:r>
    </w:p>
    <w:p>
      <w:pPr>
        <w:spacing w:after="0" w:line="1" w:lineRule="exact"/>
        <w:rPr>
          <w:sz w:val="20"/>
          <w:szCs w:val="20"/>
          <w:color w:val="auto"/>
        </w:rPr>
      </w:pPr>
    </w:p>
    <w:p>
      <w:pPr>
        <w:ind w:right="60"/>
        <w:spacing w:after="0" w:line="243" w:lineRule="auto"/>
        <w:rPr>
          <w:sz w:val="20"/>
          <w:szCs w:val="20"/>
          <w:color w:val="auto"/>
        </w:rPr>
      </w:pPr>
      <w:r>
        <w:rPr>
          <w:rFonts w:ascii="Arial" w:cs="Arial" w:eastAsia="Arial" w:hAnsi="Arial"/>
          <w:sz w:val="14"/>
          <w:szCs w:val="14"/>
          <w:color w:val="auto"/>
        </w:rPr>
        <w:t>The Board confirms that throughout the year the Company has applied the main principles and complied with the relevant provisions set out in the Code issued by the Financial Reporting Council in September 2012 [A]. In addition to complying with applicable corporate governance requirements in the UK, the Company must follow the rules of Euronext Amsterdam as well as Dutch securities laws because of its listing on that exchange. The Company must likewise follow US securities laws and the New York Stock Exchange (NYSE) rules and regulations because its securities are registered in the USA and listed on the NYSE.</w:t>
      </w:r>
    </w:p>
    <w:p>
      <w:pPr>
        <w:spacing w:after="0" w:line="25" w:lineRule="exact"/>
        <w:rPr>
          <w:sz w:val="20"/>
          <w:szCs w:val="20"/>
          <w:color w:val="auto"/>
        </w:rPr>
      </w:pPr>
    </w:p>
    <w:p>
      <w:pPr>
        <w:ind w:right="160"/>
        <w:spacing w:after="0" w:line="238" w:lineRule="auto"/>
        <w:tabs>
          <w:tab w:leader="none" w:pos="162" w:val="left"/>
        </w:tabs>
        <w:numPr>
          <w:ilvl w:val="0"/>
          <w:numId w:val="61"/>
        </w:numPr>
        <w:rPr>
          <w:rFonts w:ascii="Arial" w:cs="Arial" w:eastAsia="Arial" w:hAnsi="Arial"/>
          <w:sz w:val="11"/>
          <w:szCs w:val="11"/>
          <w:color w:val="auto"/>
        </w:rPr>
      </w:pPr>
      <w:r>
        <w:rPr>
          <w:rFonts w:ascii="Arial" w:cs="Arial" w:eastAsia="Arial" w:hAnsi="Arial"/>
          <w:sz w:val="11"/>
          <w:szCs w:val="11"/>
          <w:color w:val="auto"/>
        </w:rPr>
        <w:t>In September 2014, the Financial Reporting Council issued an updated version of the Code which applies to accounting periods beginning on or after October 1, 2014.</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NYSE GOVERNANCE STANDARDS</w:t>
      </w:r>
    </w:p>
    <w:p>
      <w:pPr>
        <w:spacing w:after="0" w:line="1" w:lineRule="exact"/>
        <w:rPr>
          <w:sz w:val="20"/>
          <w:szCs w:val="20"/>
          <w:color w:val="auto"/>
        </w:rPr>
      </w:pPr>
    </w:p>
    <w:p>
      <w:pPr>
        <w:ind w:right="60"/>
        <w:spacing w:after="0" w:line="243" w:lineRule="auto"/>
        <w:rPr>
          <w:sz w:val="20"/>
          <w:szCs w:val="20"/>
          <w:color w:val="auto"/>
        </w:rPr>
      </w:pPr>
      <w:r>
        <w:rPr>
          <w:rFonts w:ascii="Arial" w:cs="Arial" w:eastAsia="Arial" w:hAnsi="Arial"/>
          <w:sz w:val="14"/>
          <w:szCs w:val="14"/>
          <w:color w:val="auto"/>
        </w:rPr>
        <w:t>In accordance with the NYSE rules for foreign private issuers, the Company follows home-country practice in relation to corporate governance. However, foreign private issuers are required to have an audit committee that satisfies the requirements of the US Securities and Exchange Commission’s (SEC) Rule 10A-3. The Company’s Audit Committee satisfies such requirements. The NYSE also requires a foreign private issuer to provide certain written affirmations and notices to the NYSE, as well as a summary of the significant ways in which its corporate governance practices differ from those followed by domestic US companies under NYSE listing standards (see NYSE Rule 303A.11). The Company’s summary of its corporate governance differences is given below and can be found at www.shell.com/investor.</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auto"/>
        </w:rPr>
        <w:t>Non-executive Director independence</w:t>
      </w:r>
    </w:p>
    <w:p>
      <w:pPr>
        <w:spacing w:after="0" w:line="1" w:lineRule="exact"/>
        <w:rPr>
          <w:sz w:val="20"/>
          <w:szCs w:val="20"/>
          <w:color w:val="auto"/>
        </w:rPr>
      </w:pPr>
    </w:p>
    <w:p>
      <w:pPr>
        <w:spacing w:after="0" w:line="245" w:lineRule="auto"/>
        <w:rPr>
          <w:sz w:val="20"/>
          <w:szCs w:val="20"/>
          <w:color w:val="auto"/>
        </w:rPr>
      </w:pPr>
      <w:r>
        <w:rPr>
          <w:rFonts w:ascii="Arial" w:cs="Arial" w:eastAsia="Arial" w:hAnsi="Arial"/>
          <w:sz w:val="14"/>
          <w:szCs w:val="14"/>
          <w:color w:val="auto"/>
        </w:rPr>
        <w:t>The Board follows the provisions of the Code in determining Non-executive Director independence, which states that at least half of the Board, excluding the Chairman, should comprise Non-executive Directors determined by the Board to be independent. In the case of the Company, the Board has determined that all the Non-executive Directors as at the end of 2014 are wholly independent.</w:t>
      </w:r>
    </w:p>
    <w:p>
      <w:pPr>
        <w:spacing w:after="0" w:line="172" w:lineRule="exact"/>
        <w:rPr>
          <w:sz w:val="20"/>
          <w:szCs w:val="20"/>
          <w:color w:val="auto"/>
        </w:rPr>
      </w:pPr>
    </w:p>
    <w:p>
      <w:pPr>
        <w:ind w:right="360"/>
        <w:spacing w:after="0" w:line="238" w:lineRule="auto"/>
        <w:rPr>
          <w:sz w:val="20"/>
          <w:szCs w:val="20"/>
          <w:color w:val="auto"/>
        </w:rPr>
      </w:pPr>
      <w:r>
        <w:rPr>
          <w:rFonts w:ascii="Arial" w:cs="Arial" w:eastAsia="Arial" w:hAnsi="Arial"/>
          <w:sz w:val="18"/>
          <w:szCs w:val="18"/>
          <w:color w:val="auto"/>
        </w:rPr>
        <w:t>Nominating/corporate governance committee and compensation committee</w:t>
      </w:r>
    </w:p>
    <w:p>
      <w:pPr>
        <w:spacing w:after="0" w:line="244" w:lineRule="auto"/>
        <w:rPr>
          <w:sz w:val="20"/>
          <w:szCs w:val="20"/>
          <w:color w:val="auto"/>
        </w:rPr>
      </w:pPr>
      <w:r>
        <w:rPr>
          <w:rFonts w:ascii="Arial" w:cs="Arial" w:eastAsia="Arial" w:hAnsi="Arial"/>
          <w:sz w:val="14"/>
          <w:szCs w:val="14"/>
          <w:color w:val="auto"/>
        </w:rPr>
        <w:t>The NYSE listing standards require that a listed company maintain a nominating/corporate governance committee and a compensation committee, both composed entirely of independent directors and with certain specific responsibilities. The Company’s Nomination and Succession Committee and Remuneration Committee both comply with these requirements, except that the terms of reference of the Nomination and Succession Committee require only a majority of the committee members to be independent.</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color w:val="auto"/>
        </w:rPr>
        <w:t>Audit Committee</w:t>
      </w:r>
    </w:p>
    <w:p>
      <w:pPr>
        <w:spacing w:after="0" w:line="1" w:lineRule="exact"/>
        <w:rPr>
          <w:sz w:val="20"/>
          <w:szCs w:val="20"/>
          <w:color w:val="auto"/>
        </w:rPr>
      </w:pPr>
    </w:p>
    <w:p>
      <w:pPr>
        <w:ind w:right="80"/>
        <w:spacing w:after="0" w:line="243" w:lineRule="auto"/>
        <w:rPr>
          <w:sz w:val="20"/>
          <w:szCs w:val="20"/>
          <w:color w:val="auto"/>
        </w:rPr>
      </w:pPr>
      <w:r>
        <w:rPr>
          <w:rFonts w:ascii="Arial" w:cs="Arial" w:eastAsia="Arial" w:hAnsi="Arial"/>
          <w:sz w:val="14"/>
          <w:szCs w:val="14"/>
          <w:color w:val="auto"/>
        </w:rPr>
        <w:t>As required by NYSE listing standards, the Company maintains an Audit Committee for the purpose of assisting the Board’s oversight of its financial statements, its internal audit function and its independent auditors. The Company’s Audit Committee is in full compliance with the SEC’s Rule 10A-3 and Section 303A.06 of the NYSE Listed Company Manual. However, in accordance with English law, the Company’s Audit Committee makes recommendations to the Board for it to put to shareholders for approval in general meeting regarding the appointment, reappointment and removal of independent auditors. Consequently, the Company’s Audit Committee is not directly responsible for the appointment of independent auditors.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auto"/>
        </w:rPr>
        <w:t>Shareholder approval of share-based compensation plans</w:t>
      </w:r>
    </w:p>
    <w:p>
      <w:pPr>
        <w:spacing w:after="0" w:line="1" w:lineRule="exact"/>
        <w:rPr>
          <w:sz w:val="20"/>
          <w:szCs w:val="20"/>
          <w:color w:val="auto"/>
        </w:rPr>
      </w:pPr>
    </w:p>
    <w:p>
      <w:pPr>
        <w:spacing w:after="0" w:line="246" w:lineRule="auto"/>
        <w:rPr>
          <w:sz w:val="20"/>
          <w:szCs w:val="20"/>
          <w:color w:val="auto"/>
        </w:rPr>
      </w:pPr>
      <w:r>
        <w:rPr>
          <w:rFonts w:ascii="Arial" w:cs="Arial" w:eastAsia="Arial" w:hAnsi="Arial"/>
          <w:sz w:val="14"/>
          <w:szCs w:val="14"/>
          <w:color w:val="auto"/>
        </w:rPr>
        <w:t>The Company complies with the listing rules of the UK Listing Authority (UKLA), which require shareholder approval for the adoption of share-based compensation plans which are either long-term incentive plans in which one or more Directors can participate or plans which involve or may involve the issue of new shares or the transfer of</w:t>
      </w:r>
    </w:p>
    <w:p>
      <w:pPr>
        <w:sectPr>
          <w:pgSz w:w="11900" w:h="16838" w:orient="portrait"/>
          <w:cols w:equalWidth="0" w:num="2">
            <w:col w:w="5480" w:space="300"/>
            <w:col w:w="5480"/>
          </w:cols>
          <w:pgMar w:left="240" w:top="459" w:right="399" w:bottom="1440" w:gutter="0" w:footer="0" w:header="0"/>
          <w:type w:val="continuous"/>
        </w:sectPr>
      </w:pPr>
    </w:p>
    <w:bookmarkStart w:id="67" w:name="page68"/>
    <w:bookmarkEnd w:id="6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300355</wp:posOffset>
            </wp:positionV>
            <wp:extent cx="3490595" cy="46291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3490595" cy="462915"/>
                    </a:xfrm>
                    <a:prstGeom prst="rect">
                      <a:avLst/>
                    </a:prstGeom>
                    <a:noFill/>
                  </pic:spPr>
                </pic:pic>
              </a:graphicData>
            </a:graphic>
          </wp:anchor>
        </w:drawing>
      </w:r>
    </w:p>
    <w:p>
      <w:pPr>
        <w:spacing w:after="0" w:line="200" w:lineRule="exact"/>
        <w:rPr>
          <w:sz w:val="20"/>
          <w:szCs w:val="20"/>
          <w:color w:val="auto"/>
        </w:rPr>
      </w:pP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419"/>
        </w:trPr>
        <w:tc>
          <w:tcPr>
            <w:tcW w:w="2100" w:type="dxa"/>
            <w:vAlign w:val="bottom"/>
            <w:shd w:val="clear" w:color="auto" w:fill="FF8B00"/>
          </w:tcPr>
          <w:p>
            <w:pPr>
              <w:spacing w:after="0"/>
              <w:rPr>
                <w:sz w:val="24"/>
                <w:szCs w:val="24"/>
                <w:color w:val="auto"/>
              </w:rPr>
            </w:pPr>
          </w:p>
        </w:tc>
        <w:tc>
          <w:tcPr>
            <w:tcW w:w="3400" w:type="dxa"/>
            <w:vAlign w:val="bottom"/>
            <w:shd w:val="clear" w:color="auto" w:fill="FF8B00"/>
          </w:tcPr>
          <w:p>
            <w:pPr>
              <w:spacing w:after="0"/>
              <w:rPr>
                <w:sz w:val="24"/>
                <w:szCs w:val="24"/>
                <w:color w:val="auto"/>
              </w:rPr>
            </w:pPr>
          </w:p>
        </w:tc>
      </w:tr>
      <w:tr>
        <w:trPr>
          <w:trHeight w:val="152"/>
        </w:trPr>
        <w:tc>
          <w:tcPr>
            <w:tcW w:w="2100" w:type="dxa"/>
            <w:vAlign w:val="bottom"/>
          </w:tcPr>
          <w:p>
            <w:pPr>
              <w:jc w:val="right"/>
              <w:ind w:right="1666"/>
              <w:spacing w:after="0"/>
              <w:rPr>
                <w:sz w:val="20"/>
                <w:szCs w:val="20"/>
                <w:color w:val="auto"/>
              </w:rPr>
            </w:pPr>
            <w:r>
              <w:rPr>
                <w:rFonts w:ascii="Arial" w:cs="Arial" w:eastAsia="Arial" w:hAnsi="Arial"/>
                <w:sz w:val="11"/>
                <w:szCs w:val="11"/>
                <w:b w:val="1"/>
                <w:bCs w:val="1"/>
                <w:color w:val="333333"/>
              </w:rPr>
              <w:t>66</w:t>
            </w:r>
          </w:p>
        </w:tc>
        <w:tc>
          <w:tcPr>
            <w:tcW w:w="3400" w:type="dxa"/>
            <w:vAlign w:val="bottom"/>
          </w:tcPr>
          <w:p>
            <w:pPr>
              <w:ind w:left="1720"/>
              <w:spacing w:after="0"/>
              <w:rPr>
                <w:sz w:val="20"/>
                <w:szCs w:val="20"/>
                <w:color w:val="auto"/>
              </w:rPr>
            </w:pPr>
            <w:r>
              <w:rPr>
                <w:rFonts w:ascii="Arial" w:cs="Arial" w:eastAsia="Arial" w:hAnsi="Arial"/>
                <w:sz w:val="13"/>
                <w:szCs w:val="13"/>
                <w:color w:val="333333"/>
              </w:rPr>
              <w:t>GOVERNANCE</w:t>
            </w:r>
          </w:p>
        </w:tc>
      </w:tr>
    </w:tbl>
    <w:p>
      <w:pPr>
        <w:spacing w:after="0" w:line="155" w:lineRule="exact"/>
        <w:rPr>
          <w:sz w:val="20"/>
          <w:szCs w:val="20"/>
          <w:color w:val="auto"/>
        </w:rPr>
      </w:pPr>
    </w:p>
    <w:p>
      <w:pPr>
        <w:ind w:left="3240"/>
        <w:spacing w:after="0"/>
        <w:rPr>
          <w:sz w:val="20"/>
          <w:szCs w:val="20"/>
          <w:color w:val="auto"/>
        </w:rPr>
      </w:pPr>
      <w:r>
        <w:rPr>
          <w:rFonts w:ascii="Arial" w:cs="Arial" w:eastAsia="Arial" w:hAnsi="Arial"/>
          <w:sz w:val="11"/>
          <w:szCs w:val="11"/>
          <w:color w:val="auto"/>
        </w:rPr>
        <w:t>CORPORATE GOVERNANCE</w:t>
      </w:r>
    </w:p>
    <w:p>
      <w:pPr>
        <w:spacing w:after="0" w:line="48" w:lineRule="exact"/>
        <w:rPr>
          <w:sz w:val="20"/>
          <w:szCs w:val="20"/>
          <w:color w:val="auto"/>
        </w:rPr>
      </w:pPr>
    </w:p>
    <w:p>
      <w:pPr>
        <w:ind w:left="20"/>
        <w:spacing w:after="0"/>
        <w:rPr>
          <w:sz w:val="20"/>
          <w:szCs w:val="20"/>
          <w:color w:val="auto"/>
        </w:rPr>
      </w:pPr>
      <w:r>
        <w:rPr>
          <w:rFonts w:ascii="Arial" w:cs="Arial" w:eastAsia="Arial" w:hAnsi="Arial"/>
          <w:sz w:val="24"/>
          <w:szCs w:val="24"/>
          <w:color w:val="auto"/>
        </w:rPr>
        <w:t xml:space="preserve">CORPORATE GOVERNANCE </w:t>
      </w:r>
      <w:r>
        <w:rPr>
          <w:rFonts w:ascii="Arial" w:cs="Arial" w:eastAsia="Arial" w:hAnsi="Arial"/>
          <w:sz w:val="24"/>
          <w:szCs w:val="24"/>
          <w:color w:val="666666"/>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3473450" cy="889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spacing w:after="0" w:line="199" w:lineRule="exact"/>
        <w:rPr>
          <w:sz w:val="20"/>
          <w:szCs w:val="20"/>
          <w:color w:val="auto"/>
        </w:rPr>
      </w:pPr>
    </w:p>
    <w:p>
      <w:pPr>
        <w:ind w:right="40"/>
        <w:spacing w:after="0" w:line="244" w:lineRule="auto"/>
        <w:rPr>
          <w:sz w:val="20"/>
          <w:szCs w:val="20"/>
          <w:color w:val="auto"/>
        </w:rPr>
      </w:pPr>
      <w:r>
        <w:rPr>
          <w:rFonts w:ascii="Arial" w:cs="Arial" w:eastAsia="Arial" w:hAnsi="Arial"/>
          <w:sz w:val="14"/>
          <w:szCs w:val="14"/>
          <w:color w:val="auto"/>
        </w:rPr>
        <w:t>treasury shares. Under the UKLA rules, such plans cannot be changed to the advantage of participants without shareholder approval, except for certain minor amendments, for example to benefit the administration of the plan or to take account of tax benefits. The rules on the requirements to seek shareholder approval for share-based compensation plans, including those in respect of material revisions to such plans, may deviate from the NYSE listing standards.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color w:val="auto"/>
        </w:rPr>
        <w:t>Code of business conduct and ethics</w:t>
      </w:r>
    </w:p>
    <w:p>
      <w:pPr>
        <w:spacing w:after="0" w:line="1" w:lineRule="exact"/>
        <w:rPr>
          <w:sz w:val="20"/>
          <w:szCs w:val="20"/>
          <w:color w:val="auto"/>
        </w:rPr>
      </w:pPr>
    </w:p>
    <w:p>
      <w:pPr>
        <w:ind w:right="40"/>
        <w:spacing w:after="0" w:line="243" w:lineRule="auto"/>
        <w:rPr>
          <w:sz w:val="20"/>
          <w:szCs w:val="20"/>
          <w:color w:val="auto"/>
        </w:rPr>
      </w:pPr>
      <w:r>
        <w:rPr>
          <w:rFonts w:ascii="Arial" w:cs="Arial" w:eastAsia="Arial" w:hAnsi="Arial"/>
          <w:sz w:val="14"/>
          <w:szCs w:val="14"/>
          <w:color w:val="auto"/>
        </w:rPr>
        <w:t>The NYSE listing standards require that listed companies adopt a code of business conduct and ethics for all directors, officers and employees and promptly disclose any waivers of the code for directors or executive officers. The Company has adopted the Shell General Business Principles (see below), which satisfy the NYSE requirements. The Company also has internal procedures in place by which any employee can raise in confidence accounting, internal accounting controls and auditing concerns. Additionally, any employee can report concerns to management by telephone or over the internet without jeopardising their position (see below).</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color w:val="auto"/>
        </w:rPr>
        <w:t>SHELL GENERAL BUSINESS PRINCIPLES</w:t>
      </w:r>
    </w:p>
    <w:p>
      <w:pPr>
        <w:spacing w:after="0" w:line="1" w:lineRule="exact"/>
        <w:rPr>
          <w:sz w:val="20"/>
          <w:szCs w:val="20"/>
          <w:color w:val="auto"/>
        </w:rPr>
      </w:pPr>
    </w:p>
    <w:p>
      <w:pPr>
        <w:ind w:right="120"/>
        <w:spacing w:after="0" w:line="246" w:lineRule="auto"/>
        <w:rPr>
          <w:sz w:val="20"/>
          <w:szCs w:val="20"/>
          <w:color w:val="auto"/>
        </w:rPr>
      </w:pPr>
      <w:r>
        <w:rPr>
          <w:rFonts w:ascii="Arial" w:cs="Arial" w:eastAsia="Arial" w:hAnsi="Arial"/>
          <w:sz w:val="14"/>
          <w:szCs w:val="14"/>
          <w:color w:val="auto"/>
        </w:rPr>
        <w:t>The Shell General Business Principles define how Shell subsidiaries are expected to conduct their affairs. These principles include, among other things, Shell’s commitment to support fundamental human rights in line with the legitimate role of business and to contribute to sustainable development. They can be found at www.shell.com/sgbp.</w:t>
      </w:r>
    </w:p>
    <w:p>
      <w:pPr>
        <w:spacing w:after="0" w:line="334" w:lineRule="exact"/>
        <w:rPr>
          <w:sz w:val="20"/>
          <w:szCs w:val="20"/>
          <w:color w:val="auto"/>
        </w:rPr>
      </w:pPr>
    </w:p>
    <w:p>
      <w:pPr>
        <w:spacing w:after="0"/>
        <w:rPr>
          <w:sz w:val="20"/>
          <w:szCs w:val="20"/>
          <w:color w:val="auto"/>
        </w:rPr>
      </w:pPr>
      <w:r>
        <w:rPr>
          <w:rFonts w:ascii="Arial" w:cs="Arial" w:eastAsia="Arial" w:hAnsi="Arial"/>
          <w:sz w:val="18"/>
          <w:szCs w:val="18"/>
          <w:color w:val="auto"/>
        </w:rPr>
        <w:t>SHELL CODE OF CONDUCT</w:t>
      </w:r>
    </w:p>
    <w:p>
      <w:pPr>
        <w:spacing w:after="0" w:line="1" w:lineRule="exact"/>
        <w:rPr>
          <w:sz w:val="20"/>
          <w:szCs w:val="20"/>
          <w:color w:val="auto"/>
        </w:rPr>
      </w:pPr>
    </w:p>
    <w:p>
      <w:pPr>
        <w:ind w:right="80"/>
        <w:spacing w:after="0" w:line="247" w:lineRule="auto"/>
        <w:rPr>
          <w:sz w:val="20"/>
          <w:szCs w:val="20"/>
          <w:color w:val="auto"/>
        </w:rPr>
      </w:pPr>
      <w:r>
        <w:rPr>
          <w:rFonts w:ascii="Arial" w:cs="Arial" w:eastAsia="Arial" w:hAnsi="Arial"/>
          <w:sz w:val="14"/>
          <w:szCs w:val="14"/>
          <w:color w:val="auto"/>
        </w:rPr>
        <w:t>Directors and employees are required to comply with the Shell Code of Conduct, which is intended to help them put Shell’s business principles into practice. This code clarifies the basic rules and standards they are expected to follow and the behaviour expected of them. It can be found at www.shell.com/codeofconduct.</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color w:val="auto"/>
        </w:rPr>
        <w:t>CODE OF ETHICS</w:t>
      </w:r>
    </w:p>
    <w:p>
      <w:pPr>
        <w:spacing w:after="0" w:line="1" w:lineRule="exact"/>
        <w:rPr>
          <w:sz w:val="20"/>
          <w:szCs w:val="20"/>
          <w:color w:val="auto"/>
        </w:rPr>
      </w:pPr>
    </w:p>
    <w:p>
      <w:pPr>
        <w:ind w:right="60"/>
        <w:spacing w:after="0" w:line="247" w:lineRule="auto"/>
        <w:rPr>
          <w:sz w:val="20"/>
          <w:szCs w:val="20"/>
          <w:color w:val="auto"/>
        </w:rPr>
      </w:pPr>
      <w:r>
        <w:rPr>
          <w:rFonts w:ascii="Arial" w:cs="Arial" w:eastAsia="Arial" w:hAnsi="Arial"/>
          <w:sz w:val="14"/>
          <w:szCs w:val="14"/>
          <w:color w:val="auto"/>
        </w:rPr>
        <w:t>Executive Directors and Senior Financial Officers of Shell must also comply with a Code of Ethics. This code is specifically intended to meet the requirements of Section 406 of the Sarbanes-Oxley Act and the listing requirements of the NYSE (see above). It can be found at www.shell.com/codeofethics.</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color w:val="auto"/>
        </w:rPr>
        <w:t>SHELL GLOBAL HELPLINE</w:t>
      </w:r>
    </w:p>
    <w:p>
      <w:pPr>
        <w:spacing w:after="0" w:line="1" w:lineRule="exact"/>
        <w:rPr>
          <w:sz w:val="20"/>
          <w:szCs w:val="20"/>
          <w:color w:val="auto"/>
        </w:rPr>
      </w:pPr>
    </w:p>
    <w:p>
      <w:pPr>
        <w:ind w:right="160"/>
        <w:spacing w:after="0" w:line="244" w:lineRule="auto"/>
        <w:rPr>
          <w:sz w:val="20"/>
          <w:szCs w:val="20"/>
          <w:color w:val="auto"/>
        </w:rPr>
      </w:pPr>
      <w:r>
        <w:rPr>
          <w:rFonts w:ascii="Arial" w:cs="Arial" w:eastAsia="Arial" w:hAnsi="Arial"/>
          <w:sz w:val="14"/>
          <w:szCs w:val="14"/>
          <w:color w:val="auto"/>
        </w:rPr>
        <w:t>Employees, contract staff, third parties with whom Shell has a business relationship (such as customers, suppliers and agents), and any member of the public (including shareholders) may raise ethics and compliance concerns through the Shell Global Helpline. This is a worldwide confidential reporting mechanism, operated by an external third party, which is available 24 hours a day, seven days a week by telephone and at www.shell.com or www.compliance-helpline.com/shell.</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color w:val="auto"/>
        </w:rPr>
        <w:t>BOARD STRUCTURE AND COMPOSITION</w:t>
      </w:r>
    </w:p>
    <w:p>
      <w:pPr>
        <w:spacing w:after="0" w:line="1" w:lineRule="exact"/>
        <w:rPr>
          <w:sz w:val="20"/>
          <w:szCs w:val="20"/>
          <w:color w:val="auto"/>
        </w:rPr>
      </w:pPr>
    </w:p>
    <w:p>
      <w:pPr>
        <w:ind w:right="20"/>
        <w:spacing w:after="0" w:line="247" w:lineRule="auto"/>
        <w:rPr>
          <w:sz w:val="20"/>
          <w:szCs w:val="20"/>
          <w:color w:val="auto"/>
        </w:rPr>
      </w:pPr>
      <w:r>
        <w:rPr>
          <w:rFonts w:ascii="Arial" w:cs="Arial" w:eastAsia="Arial" w:hAnsi="Arial"/>
          <w:sz w:val="14"/>
          <w:szCs w:val="14"/>
          <w:color w:val="auto"/>
        </w:rPr>
        <w:t>During 2014, the Board comprised the Chairman; two Executive Directors, namely the Chief Executive Officer (CEO) and the Chief Financial Officer (CFO); and Non-executive Directors, including the Deputy Chairman and Senior Independent Director [A], as follows: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900" w:type="dxa"/>
            <w:vAlign w:val="bottom"/>
            <w:shd w:val="clear" w:color="auto" w:fill="333333"/>
          </w:tcPr>
          <w:p>
            <w:pPr>
              <w:spacing w:after="0"/>
              <w:rPr>
                <w:sz w:val="14"/>
                <w:szCs w:val="14"/>
                <w:color w:val="auto"/>
              </w:rPr>
            </w:pPr>
          </w:p>
        </w:tc>
        <w:tc>
          <w:tcPr>
            <w:tcW w:w="2580" w:type="dxa"/>
            <w:vAlign w:val="bottom"/>
            <w:shd w:val="clear" w:color="auto" w:fill="333333"/>
          </w:tcPr>
          <w:p>
            <w:pPr>
              <w:spacing w:after="0"/>
              <w:rPr>
                <w:sz w:val="14"/>
                <w:szCs w:val="14"/>
                <w:color w:val="auto"/>
              </w:rPr>
            </w:pPr>
          </w:p>
        </w:tc>
      </w:tr>
      <w:tr>
        <w:trPr>
          <w:trHeight w:val="129"/>
        </w:trPr>
        <w:tc>
          <w:tcPr>
            <w:tcW w:w="2900" w:type="dxa"/>
            <w:vAlign w:val="bottom"/>
          </w:tcPr>
          <w:p>
            <w:pPr>
              <w:spacing w:after="0"/>
              <w:rPr>
                <w:sz w:val="11"/>
                <w:szCs w:val="11"/>
                <w:color w:val="auto"/>
              </w:rPr>
            </w:pPr>
          </w:p>
        </w:tc>
        <w:tc>
          <w:tcPr>
            <w:tcW w:w="2580" w:type="dxa"/>
            <w:vAlign w:val="bottom"/>
          </w:tcPr>
          <w:p>
            <w:pPr>
              <w:jc w:val="right"/>
              <w:ind w:right="91"/>
              <w:spacing w:after="0" w:line="129" w:lineRule="exact"/>
              <w:rPr>
                <w:sz w:val="20"/>
                <w:szCs w:val="20"/>
                <w:color w:val="auto"/>
              </w:rPr>
            </w:pPr>
            <w:r>
              <w:rPr>
                <w:rFonts w:ascii="Arial" w:cs="Arial" w:eastAsia="Arial" w:hAnsi="Arial"/>
                <w:sz w:val="13"/>
                <w:szCs w:val="13"/>
                <w:color w:val="auto"/>
              </w:rPr>
              <w:t>Number of Non-executive</w:t>
            </w:r>
          </w:p>
        </w:tc>
      </w:tr>
      <w:tr>
        <w:trPr>
          <w:trHeight w:val="141"/>
        </w:trPr>
        <w:tc>
          <w:tcPr>
            <w:tcW w:w="2900" w:type="dxa"/>
            <w:vAlign w:val="bottom"/>
            <w:tcBorders>
              <w:bottom w:val="single" w:sz="8" w:color="auto"/>
            </w:tcBorders>
          </w:tcPr>
          <w:p>
            <w:pPr>
              <w:spacing w:after="0" w:line="141" w:lineRule="exact"/>
              <w:rPr>
                <w:sz w:val="20"/>
                <w:szCs w:val="20"/>
                <w:color w:val="auto"/>
              </w:rPr>
            </w:pPr>
            <w:r>
              <w:rPr>
                <w:rFonts w:ascii="Arial" w:cs="Arial" w:eastAsia="Arial" w:hAnsi="Arial"/>
                <w:sz w:val="13"/>
                <w:szCs w:val="13"/>
                <w:color w:val="auto"/>
              </w:rPr>
              <w:t>Period</w:t>
            </w:r>
          </w:p>
        </w:tc>
        <w:tc>
          <w:tcPr>
            <w:tcW w:w="2580" w:type="dxa"/>
            <w:vAlign w:val="bottom"/>
            <w:tcBorders>
              <w:bottom w:val="single" w:sz="8" w:color="auto"/>
            </w:tcBorders>
          </w:tcPr>
          <w:p>
            <w:pPr>
              <w:jc w:val="right"/>
              <w:ind w:right="91"/>
              <w:spacing w:after="0" w:line="141" w:lineRule="exact"/>
              <w:rPr>
                <w:sz w:val="20"/>
                <w:szCs w:val="20"/>
                <w:color w:val="auto"/>
              </w:rPr>
            </w:pPr>
            <w:r>
              <w:rPr>
                <w:rFonts w:ascii="Arial" w:cs="Arial" w:eastAsia="Arial" w:hAnsi="Arial"/>
                <w:sz w:val="13"/>
                <w:szCs w:val="13"/>
                <w:color w:val="auto"/>
              </w:rPr>
              <w:t>Directors</w:t>
            </w:r>
          </w:p>
        </w:tc>
      </w:tr>
      <w:tr>
        <w:trPr>
          <w:trHeight w:val="160"/>
        </w:trPr>
        <w:tc>
          <w:tcPr>
            <w:tcW w:w="2900" w:type="dxa"/>
            <w:vAlign w:val="bottom"/>
          </w:tcPr>
          <w:p>
            <w:pPr>
              <w:spacing w:after="0"/>
              <w:rPr>
                <w:sz w:val="20"/>
                <w:szCs w:val="20"/>
                <w:color w:val="auto"/>
              </w:rPr>
            </w:pPr>
            <w:r>
              <w:rPr>
                <w:rFonts w:ascii="Arial" w:cs="Arial" w:eastAsia="Arial" w:hAnsi="Arial"/>
                <w:sz w:val="14"/>
                <w:szCs w:val="14"/>
                <w:color w:val="auto"/>
              </w:rPr>
              <w:t>January 1 to May 20</w:t>
            </w:r>
          </w:p>
        </w:tc>
        <w:tc>
          <w:tcPr>
            <w:tcW w:w="2580" w:type="dxa"/>
            <w:vAlign w:val="bottom"/>
          </w:tcPr>
          <w:p>
            <w:pPr>
              <w:jc w:val="right"/>
              <w:ind w:right="91"/>
              <w:spacing w:after="0"/>
              <w:rPr>
                <w:sz w:val="20"/>
                <w:szCs w:val="20"/>
                <w:color w:val="auto"/>
              </w:rPr>
            </w:pPr>
            <w:r>
              <w:rPr>
                <w:rFonts w:ascii="Arial" w:cs="Arial" w:eastAsia="Arial" w:hAnsi="Arial"/>
                <w:sz w:val="14"/>
                <w:szCs w:val="14"/>
                <w:color w:val="auto"/>
              </w:rPr>
              <w:t>8</w:t>
            </w:r>
          </w:p>
        </w:tc>
      </w:tr>
      <w:tr>
        <w:trPr>
          <w:trHeight w:val="162"/>
        </w:trPr>
        <w:tc>
          <w:tcPr>
            <w:tcW w:w="2900" w:type="dxa"/>
            <w:vAlign w:val="bottom"/>
          </w:tcPr>
          <w:p>
            <w:pPr>
              <w:spacing w:after="0"/>
              <w:rPr>
                <w:sz w:val="20"/>
                <w:szCs w:val="20"/>
                <w:color w:val="auto"/>
              </w:rPr>
            </w:pPr>
            <w:r>
              <w:rPr>
                <w:rFonts w:ascii="Arial" w:cs="Arial" w:eastAsia="Arial" w:hAnsi="Arial"/>
                <w:sz w:val="14"/>
                <w:szCs w:val="14"/>
                <w:color w:val="auto"/>
              </w:rPr>
              <w:t>May 21 to May 31</w:t>
            </w:r>
          </w:p>
        </w:tc>
        <w:tc>
          <w:tcPr>
            <w:tcW w:w="2580" w:type="dxa"/>
            <w:vAlign w:val="bottom"/>
          </w:tcPr>
          <w:p>
            <w:pPr>
              <w:jc w:val="right"/>
              <w:ind w:right="91"/>
              <w:spacing w:after="0"/>
              <w:rPr>
                <w:sz w:val="20"/>
                <w:szCs w:val="20"/>
                <w:color w:val="auto"/>
              </w:rPr>
            </w:pPr>
            <w:r>
              <w:rPr>
                <w:rFonts w:ascii="Arial" w:cs="Arial" w:eastAsia="Arial" w:hAnsi="Arial"/>
                <w:sz w:val="14"/>
                <w:szCs w:val="14"/>
                <w:color w:val="auto"/>
              </w:rPr>
              <w:t>7</w:t>
            </w:r>
          </w:p>
        </w:tc>
      </w:tr>
      <w:tr>
        <w:trPr>
          <w:trHeight w:val="162"/>
        </w:trPr>
        <w:tc>
          <w:tcPr>
            <w:tcW w:w="2900" w:type="dxa"/>
            <w:vAlign w:val="bottom"/>
          </w:tcPr>
          <w:p>
            <w:pPr>
              <w:spacing w:after="0"/>
              <w:rPr>
                <w:sz w:val="20"/>
                <w:szCs w:val="20"/>
                <w:color w:val="auto"/>
              </w:rPr>
            </w:pPr>
            <w:r>
              <w:rPr>
                <w:rFonts w:ascii="Arial" w:cs="Arial" w:eastAsia="Arial" w:hAnsi="Arial"/>
                <w:sz w:val="14"/>
                <w:szCs w:val="14"/>
                <w:color w:val="auto"/>
              </w:rPr>
              <w:t>June 1 to August 31</w:t>
            </w:r>
          </w:p>
        </w:tc>
        <w:tc>
          <w:tcPr>
            <w:tcW w:w="2580" w:type="dxa"/>
            <w:vAlign w:val="bottom"/>
          </w:tcPr>
          <w:p>
            <w:pPr>
              <w:jc w:val="right"/>
              <w:ind w:right="91"/>
              <w:spacing w:after="0"/>
              <w:rPr>
                <w:sz w:val="20"/>
                <w:szCs w:val="20"/>
                <w:color w:val="auto"/>
              </w:rPr>
            </w:pPr>
            <w:r>
              <w:rPr>
                <w:rFonts w:ascii="Arial" w:cs="Arial" w:eastAsia="Arial" w:hAnsi="Arial"/>
                <w:sz w:val="14"/>
                <w:szCs w:val="14"/>
                <w:color w:val="auto"/>
              </w:rPr>
              <w:t>8</w:t>
            </w:r>
          </w:p>
        </w:tc>
      </w:tr>
      <w:tr>
        <w:trPr>
          <w:trHeight w:val="157"/>
        </w:trPr>
        <w:tc>
          <w:tcPr>
            <w:tcW w:w="2900" w:type="dxa"/>
            <w:vAlign w:val="bottom"/>
            <w:tcBorders>
              <w:bottom w:val="single" w:sz="8" w:color="auto"/>
            </w:tcBorders>
          </w:tcPr>
          <w:p>
            <w:pPr>
              <w:spacing w:after="0" w:line="157" w:lineRule="exact"/>
              <w:rPr>
                <w:sz w:val="20"/>
                <w:szCs w:val="20"/>
                <w:color w:val="auto"/>
              </w:rPr>
            </w:pPr>
            <w:r>
              <w:rPr>
                <w:rFonts w:ascii="Arial" w:cs="Arial" w:eastAsia="Arial" w:hAnsi="Arial"/>
                <w:sz w:val="14"/>
                <w:szCs w:val="14"/>
                <w:color w:val="auto"/>
              </w:rPr>
              <w:t>September 1 to December 31</w:t>
            </w:r>
          </w:p>
        </w:tc>
        <w:tc>
          <w:tcPr>
            <w:tcW w:w="2580" w:type="dxa"/>
            <w:vAlign w:val="bottom"/>
            <w:tcBorders>
              <w:bottom w:val="single" w:sz="8" w:color="auto"/>
            </w:tcBorders>
          </w:tcPr>
          <w:p>
            <w:pPr>
              <w:jc w:val="right"/>
              <w:ind w:right="91"/>
              <w:spacing w:after="0" w:line="157" w:lineRule="exact"/>
              <w:rPr>
                <w:sz w:val="20"/>
                <w:szCs w:val="20"/>
                <w:color w:val="auto"/>
              </w:rPr>
            </w:pPr>
            <w:r>
              <w:rPr>
                <w:rFonts w:ascii="Arial" w:cs="Arial" w:eastAsia="Arial" w:hAnsi="Arial"/>
                <w:sz w:val="14"/>
                <w:szCs w:val="14"/>
                <w:color w:val="auto"/>
              </w:rPr>
              <w:t>9</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left="3240"/>
        <w:spacing w:after="0"/>
        <w:rPr>
          <w:sz w:val="20"/>
          <w:szCs w:val="20"/>
          <w:color w:val="auto"/>
        </w:rPr>
      </w:pPr>
      <w:r>
        <w:rPr>
          <w:rFonts w:ascii="Arial" w:cs="Arial" w:eastAsia="Arial" w:hAnsi="Arial"/>
          <w:sz w:val="10"/>
          <w:szCs w:val="10"/>
          <w:color w:val="auto"/>
        </w:rPr>
        <w:t>SHELL ANNUAL REPORT AND FORM 20-F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-3677285</wp:posOffset>
            </wp:positionH>
            <wp:positionV relativeFrom="paragraph">
              <wp:posOffset>-1167765</wp:posOffset>
            </wp:positionV>
            <wp:extent cx="7289165" cy="3810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spacing w:after="0" w:line="49" w:lineRule="exact"/>
        <w:rPr>
          <w:sz w:val="20"/>
          <w:szCs w:val="20"/>
          <w:color w:val="auto"/>
        </w:rPr>
      </w:pPr>
    </w:p>
    <w:p>
      <w:pPr>
        <w:spacing w:after="0"/>
        <w:rPr>
          <w:sz w:val="20"/>
          <w:szCs w:val="20"/>
          <w:color w:val="auto"/>
        </w:rPr>
      </w:pPr>
      <w:r>
        <w:rPr>
          <w:rFonts w:ascii="Arial" w:cs="Arial" w:eastAsia="Arial" w:hAnsi="Arial"/>
          <w:sz w:val="14"/>
          <w:szCs w:val="14"/>
          <w:color w:val="auto"/>
        </w:rPr>
        <w:t>A list of current Directors, including their biographies, can be found on pages 58-60.</w:t>
      </w:r>
    </w:p>
    <w:p>
      <w:pPr>
        <w:spacing w:after="0" w:line="29" w:lineRule="exact"/>
        <w:rPr>
          <w:sz w:val="20"/>
          <w:szCs w:val="20"/>
          <w:color w:val="auto"/>
        </w:rPr>
      </w:pPr>
    </w:p>
    <w:p>
      <w:pPr>
        <w:spacing w:after="0"/>
        <w:rPr>
          <w:sz w:val="20"/>
          <w:szCs w:val="20"/>
          <w:color w:val="auto"/>
        </w:rPr>
      </w:pPr>
      <w:r>
        <w:rPr>
          <w:rFonts w:ascii="Arial" w:cs="Arial" w:eastAsia="Arial" w:hAnsi="Arial"/>
          <w:sz w:val="11"/>
          <w:szCs w:val="11"/>
          <w:color w:val="auto"/>
        </w:rPr>
        <w:t>[A] Josef Ackermann stood down as a Non-executive Director on May 20, 2014. Euleen Goh and</w:t>
      </w:r>
    </w:p>
    <w:p>
      <w:pPr>
        <w:ind w:right="360"/>
        <w:spacing w:after="0" w:line="238" w:lineRule="auto"/>
        <w:rPr>
          <w:sz w:val="20"/>
          <w:szCs w:val="20"/>
          <w:color w:val="auto"/>
        </w:rPr>
      </w:pPr>
      <w:r>
        <w:rPr>
          <w:rFonts w:ascii="Arial" w:cs="Arial" w:eastAsia="Arial" w:hAnsi="Arial"/>
          <w:sz w:val="11"/>
          <w:szCs w:val="11"/>
          <w:color w:val="auto"/>
        </w:rPr>
        <w:t>Patricia A. Woertz were appointed as Non-executive Directors with effect from September 1, 2014, and June 1, 2014, respectively.</w:t>
      </w:r>
    </w:p>
    <w:p>
      <w:pPr>
        <w:spacing w:after="0" w:line="257" w:lineRule="exact"/>
        <w:rPr>
          <w:sz w:val="20"/>
          <w:szCs w:val="20"/>
          <w:color w:val="auto"/>
        </w:rPr>
      </w:pPr>
    </w:p>
    <w:p>
      <w:pPr>
        <w:ind w:right="240"/>
        <w:spacing w:after="0" w:line="243" w:lineRule="auto"/>
        <w:rPr>
          <w:sz w:val="20"/>
          <w:szCs w:val="20"/>
          <w:color w:val="auto"/>
        </w:rPr>
      </w:pPr>
      <w:r>
        <w:rPr>
          <w:rFonts w:ascii="Arial" w:cs="Arial" w:eastAsia="Arial" w:hAnsi="Arial"/>
          <w:sz w:val="14"/>
          <w:szCs w:val="14"/>
          <w:color w:val="auto"/>
        </w:rPr>
        <w:t>The Board recognises its collective responsibility for the long-term success of the Company. Generally it meets eight times a year [B] and has a formal schedule of matters reserved to it. This includes: overall strategy and management; corporate structure and capital structure; financial reporting and control, including approval of the Annual Report and Form 20-F, and interim dividends; oversight and review of risk management and internal control; significant contracts; and succession planning and new Board appointments. The full list of matters reserved to the Board for decision can be found at www.shell.com/investor.</w:t>
      </w:r>
    </w:p>
    <w:p>
      <w:pPr>
        <w:spacing w:after="0" w:line="11" w:lineRule="exact"/>
        <w:rPr>
          <w:sz w:val="20"/>
          <w:szCs w:val="20"/>
          <w:color w:val="auto"/>
        </w:rPr>
      </w:pPr>
    </w:p>
    <w:p>
      <w:pPr>
        <w:spacing w:after="0"/>
        <w:rPr>
          <w:sz w:val="20"/>
          <w:szCs w:val="20"/>
          <w:color w:val="auto"/>
        </w:rPr>
      </w:pPr>
      <w:r>
        <w:rPr>
          <w:rFonts w:ascii="Arial" w:cs="Arial" w:eastAsia="Arial" w:hAnsi="Arial"/>
          <w:sz w:val="11"/>
          <w:szCs w:val="11"/>
          <w:color w:val="auto"/>
        </w:rPr>
        <w:t>[B] See page 67 for the number of meetings held in 2014.</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ROLE OF DIRECTORS</w:t>
      </w:r>
    </w:p>
    <w:p>
      <w:pPr>
        <w:spacing w:after="0" w:line="1" w:lineRule="exact"/>
        <w:rPr>
          <w:sz w:val="20"/>
          <w:szCs w:val="20"/>
          <w:color w:val="auto"/>
        </w:rPr>
      </w:pPr>
    </w:p>
    <w:p>
      <w:pPr>
        <w:ind w:right="280"/>
        <w:spacing w:after="0" w:line="258" w:lineRule="auto"/>
        <w:rPr>
          <w:sz w:val="20"/>
          <w:szCs w:val="20"/>
          <w:color w:val="auto"/>
        </w:rPr>
      </w:pPr>
      <w:r>
        <w:rPr>
          <w:rFonts w:ascii="Arial" w:cs="Arial" w:eastAsia="Arial" w:hAnsi="Arial"/>
          <w:sz w:val="14"/>
          <w:szCs w:val="14"/>
          <w:color w:val="auto"/>
        </w:rPr>
        <w:t>The roles of the Chairman, a non-executive role, and the CEO are separate, and the Board has agreed their respective responsibilities.</w:t>
      </w:r>
    </w:p>
    <w:p>
      <w:pPr>
        <w:spacing w:after="0" w:line="154" w:lineRule="exact"/>
        <w:rPr>
          <w:sz w:val="20"/>
          <w:szCs w:val="20"/>
          <w:color w:val="auto"/>
        </w:rPr>
      </w:pPr>
    </w:p>
    <w:p>
      <w:pPr>
        <w:ind w:right="180"/>
        <w:spacing w:after="0" w:line="244" w:lineRule="auto"/>
        <w:rPr>
          <w:sz w:val="20"/>
          <w:szCs w:val="20"/>
          <w:color w:val="auto"/>
        </w:rPr>
      </w:pPr>
      <w:r>
        <w:rPr>
          <w:rFonts w:ascii="Arial" w:cs="Arial" w:eastAsia="Arial" w:hAnsi="Arial"/>
          <w:sz w:val="14"/>
          <w:szCs w:val="14"/>
          <w:color w:val="auto"/>
        </w:rPr>
        <w:t>The Chairman is responsible for the leadership and management of the Board and for ensuring that the Board and its committees function effectively. One way in which this is achieved is by ensuring Directors receive accurate, timely and clear information. He is also responsible for agreeing and regularly reviewing the training and development needs of each Director (see “Induction and training” on page 67) which he does with the assistance of the Company Secretary.</w:t>
      </w:r>
    </w:p>
    <w:p>
      <w:pPr>
        <w:spacing w:after="0" w:line="166" w:lineRule="exact"/>
        <w:rPr>
          <w:sz w:val="20"/>
          <w:szCs w:val="20"/>
          <w:color w:val="auto"/>
        </w:rPr>
      </w:pPr>
    </w:p>
    <w:p>
      <w:pPr>
        <w:jc w:val="both"/>
        <w:ind w:right="160"/>
        <w:spacing w:after="0" w:line="247" w:lineRule="auto"/>
        <w:rPr>
          <w:sz w:val="20"/>
          <w:szCs w:val="20"/>
          <w:color w:val="auto"/>
        </w:rPr>
      </w:pPr>
      <w:r>
        <w:rPr>
          <w:rFonts w:ascii="Arial" w:cs="Arial" w:eastAsia="Arial" w:hAnsi="Arial"/>
          <w:sz w:val="14"/>
          <w:szCs w:val="14"/>
          <w:color w:val="auto"/>
        </w:rPr>
        <w:t>The CEO bears overall responsibility for the implementation of the strategy agreed by the Board, the operational management of the Company and the business enterprises connected with it. He is supported in this by the Executive Committee which he chairs (see page 68).</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color w:val="auto"/>
        </w:rPr>
        <w:t>NON-EXECUTIVE DIRECTORS</w:t>
      </w:r>
    </w:p>
    <w:p>
      <w:pPr>
        <w:spacing w:after="0" w:line="1" w:lineRule="exact"/>
        <w:rPr>
          <w:sz w:val="20"/>
          <w:szCs w:val="20"/>
          <w:color w:val="auto"/>
        </w:rPr>
      </w:pPr>
    </w:p>
    <w:p>
      <w:pPr>
        <w:ind w:right="160"/>
        <w:spacing w:after="0" w:line="244" w:lineRule="auto"/>
        <w:rPr>
          <w:sz w:val="20"/>
          <w:szCs w:val="20"/>
          <w:color w:val="auto"/>
        </w:rPr>
      </w:pPr>
      <w:r>
        <w:rPr>
          <w:rFonts w:ascii="Arial" w:cs="Arial" w:eastAsia="Arial" w:hAnsi="Arial"/>
          <w:sz w:val="14"/>
          <w:szCs w:val="14"/>
          <w:color w:val="auto"/>
        </w:rPr>
        <w:t>Non-executive Directors are appointed by the Board or by shareholders at general meetings and, in accordance with the Code, must seek re-election by shareholders on an annual basis. Their letter of appointment refers to a specific term of office, such term being subject to the provisions of the Code and the Company’s Articles of Association (the Articles). Upon appointment, Non-executive Directors confirm they are able to allocate sufficient time to meet the expectations of the role. Appointments are subject to three months’ notice, and there is no compensation provision for early termination.</w:t>
      </w:r>
    </w:p>
    <w:p>
      <w:pPr>
        <w:spacing w:after="0" w:line="326" w:lineRule="exact"/>
        <w:rPr>
          <w:sz w:val="20"/>
          <w:szCs w:val="20"/>
          <w:color w:val="auto"/>
        </w:rPr>
      </w:pPr>
    </w:p>
    <w:p>
      <w:pPr>
        <w:ind w:right="260"/>
        <w:spacing w:after="0" w:line="243" w:lineRule="auto"/>
        <w:rPr>
          <w:sz w:val="20"/>
          <w:szCs w:val="20"/>
          <w:color w:val="auto"/>
        </w:rPr>
      </w:pPr>
      <w:r>
        <w:rPr>
          <w:rFonts w:ascii="Arial" w:cs="Arial" w:eastAsia="Arial" w:hAnsi="Arial"/>
          <w:sz w:val="14"/>
          <w:szCs w:val="14"/>
          <w:color w:val="auto"/>
        </w:rPr>
        <w:t>The Non-executive Directors bring a wide range and balance of skills and international business experience to Shell. Through their contribution to Board meetings and to Board committee meetings, they are expected to challenge constructively and help develop proposals on strategy and bring independent judgement on issues of performance and risk. Generally, prior to each meeting of the Board, the Chairman and the Non-executive Directors meet without the Executive Directors to discuss, among other things, the performance of individual Executive Directors. A number of Non-executive Directors also meet major shareholders from time to time.</w:t>
      </w:r>
    </w:p>
    <w:p>
      <w:pPr>
        <w:spacing w:after="0" w:line="330" w:lineRule="exact"/>
        <w:rPr>
          <w:sz w:val="20"/>
          <w:szCs w:val="20"/>
          <w:color w:val="auto"/>
        </w:rPr>
      </w:pPr>
    </w:p>
    <w:p>
      <w:pPr>
        <w:jc w:val="both"/>
        <w:ind w:right="360"/>
        <w:spacing w:after="0" w:line="245" w:lineRule="auto"/>
        <w:rPr>
          <w:sz w:val="20"/>
          <w:szCs w:val="20"/>
          <w:color w:val="auto"/>
        </w:rPr>
      </w:pPr>
      <w:r>
        <w:rPr>
          <w:rFonts w:ascii="Arial" w:cs="Arial" w:eastAsia="Arial" w:hAnsi="Arial"/>
          <w:sz w:val="14"/>
          <w:szCs w:val="14"/>
          <w:color w:val="auto"/>
        </w:rPr>
        <w:t>The role of the Senior Independent Director is to provide a sounding board for the Chairman and to serve as an intermediary for the other Directors when necessary. The Senior Independent Director is available to shareholders if they have concerns which contact through the normal channels of Chairman, CEO or CFO has failed to resolve or for which such contact is inappropriate.</w:t>
      </w:r>
    </w:p>
    <w:p>
      <w:pPr>
        <w:spacing w:after="0" w:line="178" w:lineRule="exact"/>
        <w:rPr>
          <w:sz w:val="20"/>
          <w:szCs w:val="20"/>
          <w:color w:val="auto"/>
        </w:rPr>
      </w:pPr>
    </w:p>
    <w:p>
      <w:pPr>
        <w:ind w:right="1020"/>
        <w:spacing w:after="0" w:line="258" w:lineRule="auto"/>
        <w:rPr>
          <w:sz w:val="20"/>
          <w:szCs w:val="20"/>
          <w:color w:val="auto"/>
        </w:rPr>
      </w:pPr>
      <w:r>
        <w:rPr>
          <w:rFonts w:ascii="Arial" w:cs="Arial" w:eastAsia="Arial" w:hAnsi="Arial"/>
          <w:sz w:val="14"/>
          <w:szCs w:val="14"/>
          <w:color w:val="auto"/>
        </w:rPr>
        <w:t>All the Non-executive Directors are considered by the Board to be wholly independent.</w:t>
      </w:r>
    </w:p>
    <w:p>
      <w:pPr>
        <w:sectPr>
          <w:pgSz w:w="11900" w:h="16838" w:orient="portrait"/>
          <w:cols w:equalWidth="0" w:num="2">
            <w:col w:w="5500" w:space="280"/>
            <w:col w:w="5640"/>
          </w:cols>
          <w:pgMar w:left="240" w:top="459" w:right="239" w:bottom="1440" w:gutter="0" w:footer="0" w:header="0"/>
        </w:sectPr>
      </w:pPr>
    </w:p>
    <w:bookmarkStart w:id="68" w:name="page69"/>
    <w:bookmarkEnd w:id="68"/>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3555365</wp:posOffset>
            </wp:positionH>
            <wp:positionV relativeFrom="paragraph">
              <wp:posOffset>314960</wp:posOffset>
            </wp:positionV>
            <wp:extent cx="3696335" cy="46291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3696335" cy="462915"/>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11"/>
          <w:szCs w:val="11"/>
          <w:color w:val="auto"/>
        </w:rPr>
        <w:t>SHELL ANNUAL REPORT AND FORM 20-F 2014</w:t>
      </w:r>
    </w:p>
    <w:p>
      <w:pPr>
        <w:spacing w:after="0" w:line="51" w:lineRule="exact"/>
        <w:rPr>
          <w:sz w:val="20"/>
          <w:szCs w:val="20"/>
          <w:color w:val="auto"/>
        </w:rPr>
      </w:pPr>
    </w:p>
    <w:p>
      <w:pPr>
        <w:spacing w:after="0"/>
        <w:rPr>
          <w:sz w:val="20"/>
          <w:szCs w:val="20"/>
          <w:color w:val="auto"/>
        </w:rPr>
      </w:pPr>
      <w:r>
        <w:rPr>
          <w:rFonts w:ascii="Arial" w:cs="Arial" w:eastAsia="Arial" w:hAnsi="Arial"/>
          <w:sz w:val="18"/>
          <w:szCs w:val="18"/>
          <w:color w:val="auto"/>
        </w:rPr>
        <w:t>CONFLICTS OF INTEREST</w:t>
      </w:r>
    </w:p>
    <w:p>
      <w:pPr>
        <w:spacing w:after="0" w:line="1" w:lineRule="exact"/>
        <w:rPr>
          <w:sz w:val="20"/>
          <w:szCs w:val="20"/>
          <w:color w:val="auto"/>
        </w:rPr>
      </w:pPr>
    </w:p>
    <w:p>
      <w:pPr>
        <w:spacing w:after="0" w:line="243" w:lineRule="auto"/>
        <w:rPr>
          <w:sz w:val="20"/>
          <w:szCs w:val="20"/>
          <w:color w:val="auto"/>
        </w:rPr>
      </w:pPr>
      <w:r>
        <w:rPr>
          <w:rFonts w:ascii="Arial" w:cs="Arial" w:eastAsia="Arial" w:hAnsi="Arial"/>
          <w:sz w:val="14"/>
          <w:szCs w:val="14"/>
          <w:color w:val="auto"/>
        </w:rPr>
        <w:t>Certain statutory duties with respect to directors’ conflicts of interest are in force under the Companies Act 2006 (the Act). In accordance with the Act and the Articles, the Board may authorise any matter that otherwise may involve any of the Directors breaching his or her duty to avoid conflicts of interest. The Board has adopted a procedure to address these requirements. It includes the Directors completing detailed conflict of interest questionnaires. The matters disclosed in the questionnaires are reviewed by the Board and, if considered appropriate, authorised in accordance with the Act and the Articles. Conflicts of interest as well as any gifts and hospitality received by and provided by Directors are kept under review by the Board.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419"/>
        </w:trPr>
        <w:tc>
          <w:tcPr>
            <w:tcW w:w="3580" w:type="dxa"/>
            <w:vAlign w:val="bottom"/>
            <w:shd w:val="clear" w:color="auto" w:fill="FF8B00"/>
          </w:tcPr>
          <w:p>
            <w:pPr>
              <w:spacing w:after="0"/>
              <w:rPr>
                <w:sz w:val="24"/>
                <w:szCs w:val="24"/>
                <w:color w:val="auto"/>
              </w:rPr>
            </w:pPr>
          </w:p>
        </w:tc>
        <w:tc>
          <w:tcPr>
            <w:tcW w:w="2240" w:type="dxa"/>
            <w:vAlign w:val="bottom"/>
            <w:shd w:val="clear" w:color="auto" w:fill="FF8B00"/>
          </w:tcPr>
          <w:p>
            <w:pPr>
              <w:spacing w:after="0"/>
              <w:rPr>
                <w:sz w:val="24"/>
                <w:szCs w:val="24"/>
                <w:color w:val="auto"/>
              </w:rPr>
            </w:pPr>
          </w:p>
        </w:tc>
      </w:tr>
      <w:tr>
        <w:trPr>
          <w:trHeight w:val="152"/>
        </w:trPr>
        <w:tc>
          <w:tcPr>
            <w:tcW w:w="3580" w:type="dxa"/>
            <w:vAlign w:val="bottom"/>
          </w:tcPr>
          <w:p>
            <w:pPr>
              <w:ind w:left="940"/>
              <w:spacing w:after="0"/>
              <w:rPr>
                <w:sz w:val="20"/>
                <w:szCs w:val="20"/>
                <w:color w:val="auto"/>
              </w:rPr>
            </w:pPr>
            <w:r>
              <w:rPr>
                <w:rFonts w:ascii="Arial" w:cs="Arial" w:eastAsia="Arial" w:hAnsi="Arial"/>
                <w:sz w:val="13"/>
                <w:szCs w:val="13"/>
                <w:color w:val="333333"/>
              </w:rPr>
              <w:t>GOVERNANCE</w:t>
            </w:r>
          </w:p>
        </w:tc>
        <w:tc>
          <w:tcPr>
            <w:tcW w:w="2240" w:type="dxa"/>
            <w:vAlign w:val="bottom"/>
          </w:tcPr>
          <w:p>
            <w:pPr>
              <w:jc w:val="right"/>
              <w:ind w:right="306"/>
              <w:spacing w:after="0"/>
              <w:rPr>
                <w:sz w:val="20"/>
                <w:szCs w:val="20"/>
                <w:color w:val="auto"/>
              </w:rPr>
            </w:pPr>
            <w:r>
              <w:rPr>
                <w:rFonts w:ascii="Arial" w:cs="Arial" w:eastAsia="Arial" w:hAnsi="Arial"/>
                <w:sz w:val="11"/>
                <w:szCs w:val="11"/>
                <w:b w:val="1"/>
                <w:bCs w:val="1"/>
                <w:color w:val="333333"/>
              </w:rPr>
              <w:t>67</w:t>
            </w:r>
          </w:p>
        </w:tc>
      </w:tr>
    </w:tbl>
    <w:p>
      <w:pPr>
        <w:spacing w:after="0" w:line="155" w:lineRule="exact"/>
        <w:rPr>
          <w:sz w:val="20"/>
          <w:szCs w:val="20"/>
          <w:color w:val="auto"/>
        </w:rPr>
      </w:pPr>
    </w:p>
    <w:p>
      <w:pPr>
        <w:ind w:left="940"/>
        <w:spacing w:after="0"/>
        <w:rPr>
          <w:sz w:val="20"/>
          <w:szCs w:val="20"/>
          <w:color w:val="auto"/>
        </w:rPr>
      </w:pPr>
      <w:r>
        <w:rPr>
          <w:rFonts w:ascii="Arial" w:cs="Arial" w:eastAsia="Arial" w:hAnsi="Arial"/>
          <w:sz w:val="11"/>
          <w:szCs w:val="11"/>
          <w:color w:val="auto"/>
        </w:rPr>
        <w:t>CORPORATE GOVERNANCE</w:t>
      </w:r>
    </w:p>
    <w:p>
      <w:pPr>
        <w:spacing w:after="0" w:line="57" w:lineRule="exact"/>
        <w:rPr>
          <w:sz w:val="20"/>
          <w:szCs w:val="20"/>
          <w:color w:val="auto"/>
        </w:rPr>
      </w:pPr>
    </w:p>
    <w:p>
      <w:pPr>
        <w:ind w:left="180" w:right="180"/>
        <w:spacing w:after="0" w:line="243" w:lineRule="auto"/>
        <w:rPr>
          <w:sz w:val="20"/>
          <w:szCs w:val="20"/>
          <w:color w:val="auto"/>
        </w:rPr>
      </w:pPr>
      <w:r>
        <w:rPr>
          <w:rFonts w:ascii="Arial" w:cs="Arial" w:eastAsia="Arial" w:hAnsi="Arial"/>
          <w:sz w:val="14"/>
          <w:szCs w:val="14"/>
          <w:color w:val="auto"/>
        </w:rPr>
        <w:t>In part as a result of the performance evaluation process undertaken in 2013, the Board gave greater focus in 2014 to strategic and performance issues. In June, it held a full-day session on strategy matters which included a review of the tight-gas and liquids-rich shale and Oil Products businesses, and the agenda for further business reviews over the following 12 months. During the year, the Board also received reports and presentations on certain of our activities, including those in Australia, Canada, China, Iraq, Malaysia, Nigeria, Russia, Ukraine and the USA (including Alaska), and on asset integrity and process safety, litigation, risk management, safety and environmental performance, and senior management succession. On occasion, it held informal discussions with leading independent experts on matters of interest, such as strategy, climate change and other environmental concerns, and energy transition scenarios.</w:t>
      </w:r>
    </w:p>
    <w:p>
      <w:pPr>
        <w:spacing w:after="0" w:line="200" w:lineRule="exact"/>
        <w:rPr>
          <w:sz w:val="20"/>
          <w:szCs w:val="20"/>
          <w:color w:val="auto"/>
        </w:rPr>
      </w:pPr>
    </w:p>
    <w:p>
      <w:pPr>
        <w:sectPr>
          <w:pgSz w:w="11900" w:h="16838" w:orient="portrait"/>
          <w:cols w:equalWidth="0" w:num="2">
            <w:col w:w="5480" w:space="120"/>
            <w:col w:w="5820"/>
          </w:cols>
          <w:pgMar w:left="240" w:top="459" w:right="239" w:bottom="1440" w:gutter="0" w:footer="0" w:header="0"/>
          <w:type w:val="continuous"/>
        </w:sectPr>
      </w:pP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SIGNIFICANT COMMITMENTS OF THE CHAIRMAN</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The Chairman’s other significant commitments are given in his biography on page 58.</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INDEPENDENT PROFESSIONAL ADVICE</w:t>
      </w:r>
    </w:p>
    <w:p>
      <w:pPr>
        <w:spacing w:after="0" w:line="1" w:lineRule="exact"/>
        <w:rPr>
          <w:sz w:val="20"/>
          <w:szCs w:val="20"/>
          <w:color w:val="auto"/>
        </w:rPr>
      </w:pPr>
    </w:p>
    <w:p>
      <w:pPr>
        <w:ind w:right="20"/>
        <w:spacing w:after="0" w:line="244" w:lineRule="auto"/>
        <w:rPr>
          <w:sz w:val="20"/>
          <w:szCs w:val="20"/>
          <w:color w:val="auto"/>
        </w:rPr>
      </w:pPr>
      <w:r>
        <w:rPr>
          <w:rFonts w:ascii="Arial" w:cs="Arial" w:eastAsia="Arial" w:hAnsi="Arial"/>
          <w:sz w:val="14"/>
          <w:szCs w:val="14"/>
          <w:color w:val="auto"/>
        </w:rPr>
        <w:t>All Directors may seek independent professional advice in connection with their role as a Director. All Directors have access to the advice and services of the Company Secretary. The Company has provided both indemnities and directors’ and officers’ insurance to the Directors in connection with the performance of their responsibilities. Copies of these indemnities and the directors’ and officers’ insurance policies are open to inspection. Copies of these indemnities have been previously filed with the SEC and are incorporated by reference as an exhibit to this Report.</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color w:val="auto"/>
        </w:rPr>
        <w:t>BOARD ACTIVITIES DURING THE YEAR</w:t>
      </w:r>
    </w:p>
    <w:p>
      <w:pPr>
        <w:spacing w:after="0" w:line="1" w:lineRule="exact"/>
        <w:rPr>
          <w:sz w:val="20"/>
          <w:szCs w:val="20"/>
          <w:color w:val="auto"/>
        </w:rPr>
      </w:pPr>
    </w:p>
    <w:p>
      <w:pPr>
        <w:ind w:right="20"/>
        <w:spacing w:after="0" w:line="243" w:lineRule="auto"/>
        <w:rPr>
          <w:sz w:val="20"/>
          <w:szCs w:val="20"/>
          <w:color w:val="auto"/>
        </w:rPr>
      </w:pPr>
      <w:r>
        <w:rPr>
          <w:rFonts w:ascii="Arial" w:cs="Arial" w:eastAsia="Arial" w:hAnsi="Arial"/>
          <w:sz w:val="14"/>
          <w:szCs w:val="14"/>
          <w:color w:val="auto"/>
        </w:rPr>
        <w:t>The Board met seven times during the year. Six of the meetings were held in The Hague, the Netherlands, and one meeting was held in Seoul, South Korea. The agenda for each meeting included a number of regular items, including reports from the CEO, the CFO and the other members of the Executive Committee, from each of the Board committees and from the various functions, including finance (which includes investor relations), health and security, human resources, and legal (which includes the Company Secretary). The Board also considered and approved each of the quarterly, half-year and full-year financial results and dividend announcements and, at most meetings, considered a number of investment, divestment and financing proposals.</w:t>
      </w:r>
    </w:p>
    <w:p>
      <w:pPr>
        <w:spacing w:after="0" w:line="200" w:lineRule="exact"/>
        <w:rPr>
          <w:sz w:val="20"/>
          <w:szCs w:val="20"/>
          <w:color w:val="auto"/>
        </w:rPr>
      </w:pPr>
    </w:p>
    <w:p>
      <w:pPr>
        <w:spacing w:after="0" w:line="292" w:lineRule="exact"/>
        <w:rPr>
          <w:sz w:val="20"/>
          <w:szCs w:val="20"/>
          <w:color w:val="auto"/>
        </w:rPr>
      </w:pPr>
    </w:p>
    <w:p>
      <w:pPr>
        <w:ind w:left="80"/>
        <w:spacing w:after="0"/>
        <w:rPr>
          <w:sz w:val="20"/>
          <w:szCs w:val="20"/>
          <w:color w:val="auto"/>
        </w:rPr>
      </w:pPr>
      <w:r>
        <w:rPr>
          <w:rFonts w:ascii="Arial" w:cs="Arial" w:eastAsia="Arial" w:hAnsi="Arial"/>
          <w:sz w:val="15"/>
          <w:szCs w:val="15"/>
          <w:b w:val="1"/>
          <w:bCs w:val="1"/>
          <w:color w:val="FFFFFF"/>
        </w:rPr>
        <w:t xml:space="preserve">ATTENDANCE AT BOARD AND BOARD COMMITTEE MEETINGS </w:t>
      </w:r>
      <w:r>
        <w:rPr>
          <w:rFonts w:ascii="Arial" w:cs="Arial" w:eastAsia="Arial" w:hAnsi="Arial"/>
          <w:sz w:val="15"/>
          <w:szCs w:val="15"/>
          <w:color w:val="FFFFFF"/>
        </w:rPr>
        <w:t>[A]</w:t>
      </w:r>
    </w:p>
    <w:p>
      <w:pPr>
        <w:spacing w:after="0" w:line="20" w:lineRule="exact"/>
        <w:rPr>
          <w:sz w:val="20"/>
          <w:szCs w:val="20"/>
          <w:color w:val="auto"/>
        </w:rPr>
      </w:pPr>
      <w:r>
        <w:rPr>
          <w:sz w:val="20"/>
          <w:szCs w:val="20"/>
          <w:color w:val="auto"/>
        </w:rPr>
        <w:br w:type="column"/>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color w:val="auto"/>
        </w:rPr>
        <w:t>INDUCTION AND TRAINING</w:t>
      </w:r>
    </w:p>
    <w:p>
      <w:pPr>
        <w:spacing w:after="0" w:line="1" w:lineRule="exact"/>
        <w:rPr>
          <w:sz w:val="20"/>
          <w:szCs w:val="20"/>
          <w:color w:val="auto"/>
        </w:rPr>
      </w:pPr>
    </w:p>
    <w:p>
      <w:pPr>
        <w:ind w:right="260"/>
        <w:spacing w:after="0" w:line="244" w:lineRule="auto"/>
        <w:rPr>
          <w:sz w:val="20"/>
          <w:szCs w:val="20"/>
          <w:color w:val="auto"/>
        </w:rPr>
      </w:pPr>
      <w:r>
        <w:rPr>
          <w:rFonts w:ascii="Arial" w:cs="Arial" w:eastAsia="Arial" w:hAnsi="Arial"/>
          <w:sz w:val="14"/>
          <w:szCs w:val="14"/>
          <w:color w:val="auto"/>
        </w:rPr>
        <w:t>Following appointment to the Board, Directors receive a comprehensive induction tailored to their individual needs. This includes site visits and meetings with senior management to enable them to build up a detailed understanding of Shell’s business and strategy, and the key risks and issues which they face. For Euleen Goh and Patricia A. Woertz, who were appointed with effect from September 1, 2014, and June 1, 2014, respectively, Director-specific briefing materials were made available and induction sessions were held with various functions and businesses.</w:t>
      </w:r>
    </w:p>
    <w:p>
      <w:pPr>
        <w:spacing w:after="0" w:line="164" w:lineRule="exact"/>
        <w:rPr>
          <w:sz w:val="20"/>
          <w:szCs w:val="20"/>
          <w:color w:val="auto"/>
        </w:rPr>
      </w:pPr>
    </w:p>
    <w:p>
      <w:pPr>
        <w:jc w:val="both"/>
        <w:ind w:right="240"/>
        <w:spacing w:after="0" w:line="247" w:lineRule="auto"/>
        <w:rPr>
          <w:sz w:val="20"/>
          <w:szCs w:val="20"/>
          <w:color w:val="auto"/>
        </w:rPr>
      </w:pPr>
      <w:r>
        <w:rPr>
          <w:rFonts w:ascii="Arial" w:cs="Arial" w:eastAsia="Arial" w:hAnsi="Arial"/>
          <w:sz w:val="14"/>
          <w:szCs w:val="14"/>
          <w:color w:val="auto"/>
        </w:rPr>
        <w:t>Throughout the year, regular updates on developments in legal matters, governance and accounting are provided to Directors. The Board regards site visits as an integral part of ongoing Director training. Additional training is available so that Directors can update their skills and knowledge as appropriate.</w:t>
      </w:r>
    </w:p>
    <w:p>
      <w:pPr>
        <w:spacing w:after="0" w:line="155" w:lineRule="exact"/>
        <w:rPr>
          <w:sz w:val="20"/>
          <w:szCs w:val="20"/>
          <w:color w:val="auto"/>
        </w:rPr>
      </w:pPr>
    </w:p>
    <w:p>
      <w:pPr>
        <w:spacing w:after="0"/>
        <w:rPr>
          <w:sz w:val="20"/>
          <w:szCs w:val="20"/>
          <w:color w:val="auto"/>
        </w:rPr>
      </w:pPr>
      <w:r>
        <w:rPr>
          <w:rFonts w:ascii="Arial" w:cs="Arial" w:eastAsia="Arial" w:hAnsi="Arial"/>
          <w:sz w:val="17"/>
          <w:szCs w:val="17"/>
          <w:color w:val="auto"/>
        </w:rPr>
        <w:t>ATTENDANCE AT BOARD AND BOARD COMMITTEE MEETINGS</w:t>
      </w:r>
    </w:p>
    <w:p>
      <w:pPr>
        <w:spacing w:after="0" w:line="13" w:lineRule="exact"/>
        <w:rPr>
          <w:sz w:val="20"/>
          <w:szCs w:val="20"/>
          <w:color w:val="auto"/>
        </w:rPr>
      </w:pPr>
    </w:p>
    <w:p>
      <w:pPr>
        <w:ind w:right="340"/>
        <w:spacing w:after="0" w:line="258" w:lineRule="auto"/>
        <w:rPr>
          <w:sz w:val="20"/>
          <w:szCs w:val="20"/>
          <w:color w:val="auto"/>
        </w:rPr>
      </w:pPr>
      <w:r>
        <w:rPr>
          <w:rFonts w:ascii="Arial" w:cs="Arial" w:eastAsia="Arial" w:hAnsi="Arial"/>
          <w:sz w:val="14"/>
          <w:szCs w:val="14"/>
          <w:color w:val="auto"/>
        </w:rPr>
        <w:t>Attendance during 2014 for all Board and Board committee meetings is given in the table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-3664585</wp:posOffset>
            </wp:positionH>
            <wp:positionV relativeFrom="paragraph">
              <wp:posOffset>780415</wp:posOffset>
            </wp:positionV>
            <wp:extent cx="7246620" cy="10287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246620" cy="1028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5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620" w:type="dxa"/>
            <w:vAlign w:val="bottom"/>
          </w:tcPr>
          <w:p>
            <w:pPr>
              <w:jc w:val="right"/>
              <w:ind w:right="177"/>
              <w:spacing w:after="0"/>
              <w:rPr>
                <w:sz w:val="20"/>
                <w:szCs w:val="20"/>
                <w:color w:val="auto"/>
              </w:rPr>
            </w:pPr>
            <w:r>
              <w:rPr>
                <w:rFonts w:ascii="Arial" w:cs="Arial" w:eastAsia="Arial" w:hAnsi="Arial"/>
                <w:sz w:val="13"/>
                <w:szCs w:val="13"/>
                <w:color w:val="auto"/>
              </w:rPr>
              <w:t>Corporate and</w:t>
            </w:r>
          </w:p>
        </w:tc>
        <w:tc>
          <w:tcPr>
            <w:tcW w:w="1240" w:type="dxa"/>
            <w:vAlign w:val="bottom"/>
          </w:tcPr>
          <w:p>
            <w:pPr>
              <w:jc w:val="right"/>
              <w:ind w:right="57"/>
              <w:spacing w:after="0"/>
              <w:rPr>
                <w:sz w:val="20"/>
                <w:szCs w:val="20"/>
                <w:color w:val="auto"/>
              </w:rPr>
            </w:pPr>
            <w:r>
              <w:rPr>
                <w:rFonts w:ascii="Arial" w:cs="Arial" w:eastAsia="Arial" w:hAnsi="Arial"/>
                <w:sz w:val="13"/>
                <w:szCs w:val="13"/>
                <w:color w:val="auto"/>
              </w:rPr>
              <w:t>Nomination and</w:t>
            </w:r>
          </w:p>
        </w:tc>
        <w:tc>
          <w:tcPr>
            <w:tcW w:w="900" w:type="dxa"/>
            <w:vAlign w:val="bottom"/>
          </w:tcPr>
          <w:p>
            <w:pPr>
              <w:spacing w:after="0"/>
              <w:rPr>
                <w:sz w:val="12"/>
                <w:szCs w:val="12"/>
                <w:color w:val="auto"/>
              </w:rPr>
            </w:pPr>
          </w:p>
        </w:tc>
      </w:tr>
      <w:tr>
        <w:trPr>
          <w:trHeight w:val="135"/>
        </w:trPr>
        <w:tc>
          <w:tcPr>
            <w:tcW w:w="580" w:type="dxa"/>
            <w:vAlign w:val="bottom"/>
          </w:tcPr>
          <w:p>
            <w:pPr>
              <w:spacing w:after="0"/>
              <w:rPr>
                <w:sz w:val="11"/>
                <w:szCs w:val="11"/>
                <w:color w:val="auto"/>
              </w:rPr>
            </w:pPr>
          </w:p>
        </w:tc>
        <w:tc>
          <w:tcPr>
            <w:tcW w:w="1080" w:type="dxa"/>
            <w:vAlign w:val="bottom"/>
          </w:tcPr>
          <w:p>
            <w:pPr>
              <w:jc w:val="right"/>
              <w:ind w:right="177"/>
              <w:spacing w:after="0" w:line="135" w:lineRule="exact"/>
              <w:rPr>
                <w:sz w:val="20"/>
                <w:szCs w:val="20"/>
                <w:color w:val="auto"/>
              </w:rPr>
            </w:pPr>
            <w:r>
              <w:rPr>
                <w:rFonts w:ascii="Arial" w:cs="Arial" w:eastAsia="Arial" w:hAnsi="Arial"/>
                <w:sz w:val="13"/>
                <w:szCs w:val="13"/>
                <w:color w:val="auto"/>
              </w:rPr>
              <w:t>Audit</w:t>
            </w:r>
          </w:p>
        </w:tc>
        <w:tc>
          <w:tcPr>
            <w:tcW w:w="1620" w:type="dxa"/>
            <w:vAlign w:val="bottom"/>
          </w:tcPr>
          <w:p>
            <w:pPr>
              <w:jc w:val="right"/>
              <w:ind w:right="177"/>
              <w:spacing w:after="0" w:line="135" w:lineRule="exact"/>
              <w:rPr>
                <w:sz w:val="20"/>
                <w:szCs w:val="20"/>
                <w:color w:val="auto"/>
              </w:rPr>
            </w:pPr>
            <w:r>
              <w:rPr>
                <w:rFonts w:ascii="Arial" w:cs="Arial" w:eastAsia="Arial" w:hAnsi="Arial"/>
                <w:sz w:val="13"/>
                <w:szCs w:val="13"/>
                <w:color w:val="auto"/>
              </w:rPr>
              <w:t>Social Responsibility</w:t>
            </w:r>
          </w:p>
        </w:tc>
        <w:tc>
          <w:tcPr>
            <w:tcW w:w="1240" w:type="dxa"/>
            <w:vAlign w:val="bottom"/>
          </w:tcPr>
          <w:p>
            <w:pPr>
              <w:jc w:val="right"/>
              <w:ind w:right="57"/>
              <w:spacing w:after="0" w:line="135" w:lineRule="exact"/>
              <w:rPr>
                <w:sz w:val="20"/>
                <w:szCs w:val="20"/>
                <w:color w:val="auto"/>
              </w:rPr>
            </w:pPr>
            <w:r>
              <w:rPr>
                <w:rFonts w:ascii="Arial" w:cs="Arial" w:eastAsia="Arial" w:hAnsi="Arial"/>
                <w:sz w:val="13"/>
                <w:szCs w:val="13"/>
                <w:color w:val="auto"/>
              </w:rPr>
              <w:t>Succession</w:t>
            </w:r>
          </w:p>
        </w:tc>
        <w:tc>
          <w:tcPr>
            <w:tcW w:w="900" w:type="dxa"/>
            <w:vAlign w:val="bottom"/>
          </w:tcPr>
          <w:p>
            <w:pPr>
              <w:jc w:val="right"/>
              <w:spacing w:after="0" w:line="135" w:lineRule="exact"/>
              <w:rPr>
                <w:sz w:val="20"/>
                <w:szCs w:val="20"/>
                <w:color w:val="auto"/>
              </w:rPr>
            </w:pPr>
            <w:r>
              <w:rPr>
                <w:rFonts w:ascii="Arial" w:cs="Arial" w:eastAsia="Arial" w:hAnsi="Arial"/>
                <w:sz w:val="13"/>
                <w:szCs w:val="13"/>
                <w:color w:val="auto"/>
              </w:rPr>
              <w:t>Remuneration</w:t>
            </w:r>
          </w:p>
        </w:tc>
      </w:tr>
      <w:tr>
        <w:trPr>
          <w:trHeight w:val="141"/>
        </w:trPr>
        <w:tc>
          <w:tcPr>
            <w:tcW w:w="580" w:type="dxa"/>
            <w:vAlign w:val="bottom"/>
          </w:tcPr>
          <w:p>
            <w:pPr>
              <w:spacing w:after="0" w:line="141" w:lineRule="exact"/>
              <w:rPr>
                <w:sz w:val="20"/>
                <w:szCs w:val="20"/>
                <w:color w:val="auto"/>
              </w:rPr>
            </w:pPr>
            <w:r>
              <w:rPr>
                <w:rFonts w:ascii="Arial" w:cs="Arial" w:eastAsia="Arial" w:hAnsi="Arial"/>
                <w:sz w:val="13"/>
                <w:szCs w:val="13"/>
                <w:color w:val="auto"/>
              </w:rPr>
              <w:t>Board</w:t>
            </w:r>
          </w:p>
        </w:tc>
        <w:tc>
          <w:tcPr>
            <w:tcW w:w="1080" w:type="dxa"/>
            <w:vAlign w:val="bottom"/>
          </w:tcPr>
          <w:p>
            <w:pPr>
              <w:jc w:val="right"/>
              <w:ind w:right="177"/>
              <w:spacing w:after="0" w:line="141" w:lineRule="exact"/>
              <w:rPr>
                <w:sz w:val="20"/>
                <w:szCs w:val="20"/>
                <w:color w:val="auto"/>
              </w:rPr>
            </w:pPr>
            <w:r>
              <w:rPr>
                <w:rFonts w:ascii="Arial" w:cs="Arial" w:eastAsia="Arial" w:hAnsi="Arial"/>
                <w:sz w:val="13"/>
                <w:szCs w:val="13"/>
                <w:color w:val="auto"/>
              </w:rPr>
              <w:t>Committee</w:t>
            </w:r>
          </w:p>
        </w:tc>
        <w:tc>
          <w:tcPr>
            <w:tcW w:w="1620" w:type="dxa"/>
            <w:vAlign w:val="bottom"/>
          </w:tcPr>
          <w:p>
            <w:pPr>
              <w:jc w:val="right"/>
              <w:ind w:right="177"/>
              <w:spacing w:after="0" w:line="141" w:lineRule="exact"/>
              <w:rPr>
                <w:sz w:val="20"/>
                <w:szCs w:val="20"/>
                <w:color w:val="auto"/>
              </w:rPr>
            </w:pPr>
            <w:r>
              <w:rPr>
                <w:rFonts w:ascii="Arial" w:cs="Arial" w:eastAsia="Arial" w:hAnsi="Arial"/>
                <w:sz w:val="13"/>
                <w:szCs w:val="13"/>
                <w:color w:val="auto"/>
              </w:rPr>
              <w:t>Committee</w:t>
            </w:r>
          </w:p>
        </w:tc>
        <w:tc>
          <w:tcPr>
            <w:tcW w:w="1240" w:type="dxa"/>
            <w:vAlign w:val="bottom"/>
          </w:tcPr>
          <w:p>
            <w:pPr>
              <w:jc w:val="right"/>
              <w:ind w:right="57"/>
              <w:spacing w:after="0" w:line="141" w:lineRule="exact"/>
              <w:rPr>
                <w:sz w:val="20"/>
                <w:szCs w:val="20"/>
                <w:color w:val="auto"/>
              </w:rPr>
            </w:pPr>
            <w:r>
              <w:rPr>
                <w:rFonts w:ascii="Arial" w:cs="Arial" w:eastAsia="Arial" w:hAnsi="Arial"/>
                <w:sz w:val="13"/>
                <w:szCs w:val="13"/>
                <w:color w:val="auto"/>
              </w:rPr>
              <w:t>Committee</w:t>
            </w:r>
          </w:p>
        </w:tc>
        <w:tc>
          <w:tcPr>
            <w:tcW w:w="900" w:type="dxa"/>
            <w:vAlign w:val="bottom"/>
          </w:tcPr>
          <w:p>
            <w:pPr>
              <w:jc w:val="right"/>
              <w:spacing w:after="0" w:line="141" w:lineRule="exact"/>
              <w:rPr>
                <w:sz w:val="20"/>
                <w:szCs w:val="20"/>
                <w:color w:val="auto"/>
              </w:rPr>
            </w:pPr>
            <w:r>
              <w:rPr>
                <w:rFonts w:ascii="Arial" w:cs="Arial" w:eastAsia="Arial" w:hAnsi="Arial"/>
                <w:sz w:val="13"/>
                <w:szCs w:val="13"/>
                <w:color w:val="auto"/>
              </w:rPr>
              <w:t>Committee</w:t>
            </w:r>
          </w:p>
        </w:tc>
      </w:tr>
    </w:tbl>
    <w:p>
      <w:pPr>
        <w:spacing w:after="0" w:line="1" w:lineRule="exact"/>
        <w:rPr>
          <w:sz w:val="20"/>
          <w:szCs w:val="20"/>
          <w:color w:val="auto"/>
        </w:rPr>
      </w:pPr>
    </w:p>
    <w:p>
      <w:pPr>
        <w:sectPr>
          <w:pgSz w:w="11900" w:h="16838" w:orient="portrait"/>
          <w:cols w:equalWidth="0" w:num="2">
            <w:col w:w="5440" w:space="340"/>
            <w:col w:w="5640"/>
          </w:cols>
          <w:pgMar w:left="240" w:top="459" w:right="239" w:bottom="1440" w:gutter="0" w:footer="0" w:header="0"/>
          <w:type w:val="continuous"/>
        </w:sectPr>
      </w:pPr>
    </w:p>
    <w:tbl>
      <w:tblPr>
        <w:tblLayout w:type="fixed"/>
        <w:tblInd w:w="0" w:type="dxa"/>
        <w:tblCellMar>
          <w:top w:w="0" w:type="dxa"/>
          <w:left w:w="0" w:type="dxa"/>
          <w:bottom w:w="0" w:type="dxa"/>
          <w:right w:w="0" w:type="dxa"/>
        </w:tblCellMar>
      </w:tblPr>
      <w:tr>
        <w:trPr>
          <w:trHeight w:val="160"/>
        </w:trPr>
        <w:tc>
          <w:tcPr>
            <w:tcW w:w="3600" w:type="dxa"/>
            <w:vAlign w:val="bottom"/>
            <w:tcBorders>
              <w:top w:val="single" w:sz="8" w:color="auto"/>
            </w:tcBorders>
          </w:tcPr>
          <w:p>
            <w:pPr>
              <w:spacing w:after="0"/>
              <w:rPr>
                <w:sz w:val="20"/>
                <w:szCs w:val="20"/>
                <w:color w:val="auto"/>
              </w:rPr>
            </w:pPr>
            <w:r>
              <w:rPr>
                <w:rFonts w:ascii="Arial" w:cs="Arial" w:eastAsia="Arial" w:hAnsi="Arial"/>
                <w:sz w:val="14"/>
                <w:szCs w:val="14"/>
                <w:color w:val="auto"/>
              </w:rPr>
              <w:t>Josef Ackermann</w:t>
            </w:r>
          </w:p>
        </w:tc>
        <w:tc>
          <w:tcPr>
            <w:tcW w:w="2960" w:type="dxa"/>
            <w:vAlign w:val="bottom"/>
            <w:tcBorders>
              <w:top w:val="single" w:sz="8" w:color="auto"/>
            </w:tcBorders>
          </w:tcPr>
          <w:p>
            <w:pPr>
              <w:jc w:val="right"/>
              <w:ind w:right="368"/>
              <w:spacing w:after="0"/>
              <w:rPr>
                <w:sz w:val="20"/>
                <w:szCs w:val="20"/>
                <w:color w:val="auto"/>
              </w:rPr>
            </w:pPr>
            <w:r>
              <w:rPr>
                <w:rFonts w:ascii="Arial" w:cs="Arial" w:eastAsia="Arial" w:hAnsi="Arial"/>
                <w:sz w:val="14"/>
                <w:szCs w:val="14"/>
                <w:color w:val="auto"/>
              </w:rPr>
              <w:t>2/2</w:t>
            </w:r>
          </w:p>
        </w:tc>
        <w:tc>
          <w:tcPr>
            <w:tcW w:w="1360" w:type="dxa"/>
            <w:vAlign w:val="bottom"/>
            <w:tcBorders>
              <w:top w:val="single" w:sz="8" w:color="auto"/>
            </w:tcBorders>
          </w:tcPr>
          <w:p>
            <w:pPr>
              <w:spacing w:after="0"/>
              <w:rPr>
                <w:sz w:val="13"/>
                <w:szCs w:val="13"/>
                <w:color w:val="auto"/>
              </w:rPr>
            </w:pPr>
          </w:p>
        </w:tc>
        <w:tc>
          <w:tcPr>
            <w:tcW w:w="2680" w:type="dxa"/>
            <w:vAlign w:val="bottom"/>
            <w:tcBorders>
              <w:top w:val="single" w:sz="8" w:color="auto"/>
            </w:tcBorders>
          </w:tcPr>
          <w:p>
            <w:pPr>
              <w:jc w:val="right"/>
              <w:ind w:right="348"/>
              <w:spacing w:after="0"/>
              <w:rPr>
                <w:sz w:val="20"/>
                <w:szCs w:val="20"/>
                <w:color w:val="auto"/>
              </w:rPr>
            </w:pPr>
            <w:r>
              <w:rPr>
                <w:rFonts w:ascii="Arial" w:cs="Arial" w:eastAsia="Arial" w:hAnsi="Arial"/>
                <w:sz w:val="14"/>
                <w:szCs w:val="14"/>
                <w:color w:val="auto"/>
              </w:rPr>
              <w:t>2/2</w:t>
            </w:r>
          </w:p>
        </w:tc>
        <w:tc>
          <w:tcPr>
            <w:tcW w:w="820" w:type="dxa"/>
            <w:vAlign w:val="bottom"/>
            <w:tcBorders>
              <w:top w:val="single" w:sz="8" w:color="auto"/>
            </w:tcBorders>
          </w:tcPr>
          <w:p>
            <w:pPr>
              <w:jc w:val="right"/>
              <w:ind w:right="148"/>
              <w:spacing w:after="0"/>
              <w:rPr>
                <w:sz w:val="20"/>
                <w:szCs w:val="20"/>
                <w:color w:val="auto"/>
              </w:rPr>
            </w:pPr>
            <w:r>
              <w:rPr>
                <w:rFonts w:ascii="Arial" w:cs="Arial" w:eastAsia="Arial" w:hAnsi="Arial"/>
                <w:sz w:val="14"/>
                <w:szCs w:val="14"/>
                <w:color w:val="auto"/>
              </w:rPr>
              <w:t>2/2</w:t>
            </w:r>
          </w:p>
        </w:tc>
      </w:tr>
      <w:tr>
        <w:trPr>
          <w:trHeight w:val="162"/>
        </w:trPr>
        <w:tc>
          <w:tcPr>
            <w:tcW w:w="3600" w:type="dxa"/>
            <w:vAlign w:val="bottom"/>
          </w:tcPr>
          <w:p>
            <w:pPr>
              <w:spacing w:after="0"/>
              <w:rPr>
                <w:sz w:val="20"/>
                <w:szCs w:val="20"/>
                <w:color w:val="auto"/>
              </w:rPr>
            </w:pPr>
            <w:r>
              <w:rPr>
                <w:rFonts w:ascii="Arial" w:cs="Arial" w:eastAsia="Arial" w:hAnsi="Arial"/>
                <w:sz w:val="14"/>
                <w:szCs w:val="14"/>
                <w:color w:val="auto"/>
              </w:rPr>
              <w:t>Ben van Beurden</w:t>
            </w:r>
          </w:p>
        </w:tc>
        <w:tc>
          <w:tcPr>
            <w:tcW w:w="2960" w:type="dxa"/>
            <w:vAlign w:val="bottom"/>
          </w:tcPr>
          <w:p>
            <w:pPr>
              <w:jc w:val="right"/>
              <w:ind w:right="368"/>
              <w:spacing w:after="0"/>
              <w:rPr>
                <w:sz w:val="20"/>
                <w:szCs w:val="20"/>
                <w:color w:val="auto"/>
              </w:rPr>
            </w:pPr>
            <w:r>
              <w:rPr>
                <w:rFonts w:ascii="Arial" w:cs="Arial" w:eastAsia="Arial" w:hAnsi="Arial"/>
                <w:sz w:val="14"/>
                <w:szCs w:val="14"/>
                <w:color w:val="auto"/>
              </w:rPr>
              <w:t>7/7</w:t>
            </w:r>
          </w:p>
        </w:tc>
        <w:tc>
          <w:tcPr>
            <w:tcW w:w="136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2"/>
        </w:trPr>
        <w:tc>
          <w:tcPr>
            <w:tcW w:w="3600" w:type="dxa"/>
            <w:vAlign w:val="bottom"/>
          </w:tcPr>
          <w:p>
            <w:pPr>
              <w:spacing w:after="0"/>
              <w:rPr>
                <w:sz w:val="20"/>
                <w:szCs w:val="20"/>
                <w:color w:val="auto"/>
              </w:rPr>
            </w:pPr>
            <w:r>
              <w:rPr>
                <w:rFonts w:ascii="Arial" w:cs="Arial" w:eastAsia="Arial" w:hAnsi="Arial"/>
                <w:sz w:val="14"/>
                <w:szCs w:val="14"/>
                <w:color w:val="auto"/>
              </w:rPr>
              <w:t>Guy Elliott</w:t>
            </w:r>
          </w:p>
        </w:tc>
        <w:tc>
          <w:tcPr>
            <w:tcW w:w="2960" w:type="dxa"/>
            <w:vAlign w:val="bottom"/>
          </w:tcPr>
          <w:p>
            <w:pPr>
              <w:jc w:val="right"/>
              <w:ind w:right="368"/>
              <w:spacing w:after="0"/>
              <w:rPr>
                <w:sz w:val="20"/>
                <w:szCs w:val="20"/>
                <w:color w:val="auto"/>
              </w:rPr>
            </w:pPr>
            <w:r>
              <w:rPr>
                <w:rFonts w:ascii="Arial" w:cs="Arial" w:eastAsia="Arial" w:hAnsi="Arial"/>
                <w:sz w:val="14"/>
                <w:szCs w:val="14"/>
                <w:color w:val="auto"/>
              </w:rPr>
              <w:t>7/7</w:t>
            </w:r>
          </w:p>
        </w:tc>
        <w:tc>
          <w:tcPr>
            <w:tcW w:w="1360" w:type="dxa"/>
            <w:vAlign w:val="bottom"/>
          </w:tcPr>
          <w:p>
            <w:pPr>
              <w:jc w:val="right"/>
              <w:ind w:right="648"/>
              <w:spacing w:after="0"/>
              <w:rPr>
                <w:sz w:val="20"/>
                <w:szCs w:val="20"/>
                <w:color w:val="auto"/>
              </w:rPr>
            </w:pPr>
            <w:r>
              <w:rPr>
                <w:rFonts w:ascii="Arial" w:cs="Arial" w:eastAsia="Arial" w:hAnsi="Arial"/>
                <w:sz w:val="14"/>
                <w:szCs w:val="14"/>
                <w:color w:val="auto"/>
              </w:rPr>
              <w:t>6/6</w:t>
            </w:r>
          </w:p>
        </w:tc>
        <w:tc>
          <w:tcPr>
            <w:tcW w:w="2680" w:type="dxa"/>
            <w:vAlign w:val="bottom"/>
          </w:tcPr>
          <w:p>
            <w:pPr>
              <w:jc w:val="right"/>
              <w:ind w:right="348"/>
              <w:spacing w:after="0"/>
              <w:rPr>
                <w:sz w:val="20"/>
                <w:szCs w:val="20"/>
                <w:color w:val="auto"/>
              </w:rPr>
            </w:pPr>
            <w:r>
              <w:rPr>
                <w:rFonts w:ascii="Arial" w:cs="Arial" w:eastAsia="Arial" w:hAnsi="Arial"/>
                <w:sz w:val="14"/>
                <w:szCs w:val="14"/>
                <w:color w:val="auto"/>
              </w:rPr>
              <w:t>4/4</w:t>
            </w:r>
          </w:p>
        </w:tc>
        <w:tc>
          <w:tcPr>
            <w:tcW w:w="820" w:type="dxa"/>
            <w:vAlign w:val="bottom"/>
          </w:tcPr>
          <w:p>
            <w:pPr>
              <w:spacing w:after="0"/>
              <w:rPr>
                <w:sz w:val="14"/>
                <w:szCs w:val="14"/>
                <w:color w:val="auto"/>
              </w:rPr>
            </w:pPr>
          </w:p>
        </w:tc>
      </w:tr>
      <w:tr>
        <w:trPr>
          <w:trHeight w:val="162"/>
        </w:trPr>
        <w:tc>
          <w:tcPr>
            <w:tcW w:w="3600" w:type="dxa"/>
            <w:vAlign w:val="bottom"/>
          </w:tcPr>
          <w:p>
            <w:pPr>
              <w:spacing w:after="0"/>
              <w:rPr>
                <w:sz w:val="20"/>
                <w:szCs w:val="20"/>
                <w:color w:val="auto"/>
              </w:rPr>
            </w:pPr>
            <w:r>
              <w:rPr>
                <w:rFonts w:ascii="Arial" w:cs="Arial" w:eastAsia="Arial" w:hAnsi="Arial"/>
                <w:sz w:val="14"/>
                <w:szCs w:val="14"/>
                <w:color w:val="auto"/>
              </w:rPr>
              <w:t>Euleen Goh</w:t>
            </w:r>
          </w:p>
        </w:tc>
        <w:tc>
          <w:tcPr>
            <w:tcW w:w="2960" w:type="dxa"/>
            <w:vAlign w:val="bottom"/>
          </w:tcPr>
          <w:p>
            <w:pPr>
              <w:jc w:val="right"/>
              <w:ind w:right="368"/>
              <w:spacing w:after="0"/>
              <w:rPr>
                <w:sz w:val="20"/>
                <w:szCs w:val="20"/>
                <w:color w:val="auto"/>
              </w:rPr>
            </w:pPr>
            <w:r>
              <w:rPr>
                <w:rFonts w:ascii="Arial" w:cs="Arial" w:eastAsia="Arial" w:hAnsi="Arial"/>
                <w:sz w:val="14"/>
                <w:szCs w:val="14"/>
                <w:color w:val="auto"/>
              </w:rPr>
              <w:t>2/2</w:t>
            </w:r>
          </w:p>
        </w:tc>
        <w:tc>
          <w:tcPr>
            <w:tcW w:w="1360" w:type="dxa"/>
            <w:vAlign w:val="bottom"/>
          </w:tcPr>
          <w:p>
            <w:pPr>
              <w:jc w:val="right"/>
              <w:ind w:right="648"/>
              <w:spacing w:after="0"/>
              <w:rPr>
                <w:sz w:val="20"/>
                <w:szCs w:val="20"/>
                <w:color w:val="auto"/>
              </w:rPr>
            </w:pPr>
            <w:r>
              <w:rPr>
                <w:rFonts w:ascii="Arial" w:cs="Arial" w:eastAsia="Arial" w:hAnsi="Arial"/>
                <w:sz w:val="14"/>
                <w:szCs w:val="14"/>
                <w:color w:val="auto"/>
              </w:rPr>
              <w:t>2/2</w:t>
            </w:r>
          </w:p>
        </w:tc>
        <w:tc>
          <w:tcPr>
            <w:tcW w:w="268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2"/>
        </w:trPr>
        <w:tc>
          <w:tcPr>
            <w:tcW w:w="3600" w:type="dxa"/>
            <w:vAlign w:val="bottom"/>
          </w:tcPr>
          <w:p>
            <w:pPr>
              <w:spacing w:after="0"/>
              <w:rPr>
                <w:sz w:val="20"/>
                <w:szCs w:val="20"/>
                <w:color w:val="auto"/>
              </w:rPr>
            </w:pPr>
            <w:r>
              <w:rPr>
                <w:rFonts w:ascii="Arial" w:cs="Arial" w:eastAsia="Arial" w:hAnsi="Arial"/>
                <w:sz w:val="14"/>
                <w:szCs w:val="14"/>
                <w:color w:val="auto"/>
              </w:rPr>
              <w:t>Simon Henry</w:t>
            </w:r>
          </w:p>
        </w:tc>
        <w:tc>
          <w:tcPr>
            <w:tcW w:w="2960" w:type="dxa"/>
            <w:vAlign w:val="bottom"/>
          </w:tcPr>
          <w:p>
            <w:pPr>
              <w:jc w:val="right"/>
              <w:ind w:right="368"/>
              <w:spacing w:after="0"/>
              <w:rPr>
                <w:sz w:val="20"/>
                <w:szCs w:val="20"/>
                <w:color w:val="auto"/>
              </w:rPr>
            </w:pPr>
            <w:r>
              <w:rPr>
                <w:rFonts w:ascii="Arial" w:cs="Arial" w:eastAsia="Arial" w:hAnsi="Arial"/>
                <w:sz w:val="14"/>
                <w:szCs w:val="14"/>
                <w:color w:val="auto"/>
              </w:rPr>
              <w:t>7/7</w:t>
            </w:r>
          </w:p>
        </w:tc>
        <w:tc>
          <w:tcPr>
            <w:tcW w:w="136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2"/>
        </w:trPr>
        <w:tc>
          <w:tcPr>
            <w:tcW w:w="3600" w:type="dxa"/>
            <w:vAlign w:val="bottom"/>
          </w:tcPr>
          <w:p>
            <w:pPr>
              <w:spacing w:after="0"/>
              <w:rPr>
                <w:sz w:val="20"/>
                <w:szCs w:val="20"/>
                <w:color w:val="auto"/>
              </w:rPr>
            </w:pPr>
            <w:r>
              <w:rPr>
                <w:rFonts w:ascii="Arial" w:cs="Arial" w:eastAsia="Arial" w:hAnsi="Arial"/>
                <w:sz w:val="14"/>
                <w:szCs w:val="14"/>
                <w:color w:val="auto"/>
              </w:rPr>
              <w:t>Charles O. Holliday</w:t>
            </w:r>
          </w:p>
        </w:tc>
        <w:tc>
          <w:tcPr>
            <w:tcW w:w="2960" w:type="dxa"/>
            <w:vAlign w:val="bottom"/>
          </w:tcPr>
          <w:p>
            <w:pPr>
              <w:jc w:val="right"/>
              <w:ind w:right="368"/>
              <w:spacing w:after="0"/>
              <w:rPr>
                <w:sz w:val="20"/>
                <w:szCs w:val="20"/>
                <w:color w:val="auto"/>
              </w:rPr>
            </w:pPr>
            <w:r>
              <w:rPr>
                <w:rFonts w:ascii="Arial" w:cs="Arial" w:eastAsia="Arial" w:hAnsi="Arial"/>
                <w:sz w:val="14"/>
                <w:szCs w:val="14"/>
                <w:color w:val="auto"/>
              </w:rPr>
              <w:t>7/7</w:t>
            </w:r>
          </w:p>
        </w:tc>
        <w:tc>
          <w:tcPr>
            <w:tcW w:w="1360" w:type="dxa"/>
            <w:vAlign w:val="bottom"/>
          </w:tcPr>
          <w:p>
            <w:pPr>
              <w:spacing w:after="0"/>
              <w:rPr>
                <w:sz w:val="14"/>
                <w:szCs w:val="14"/>
                <w:color w:val="auto"/>
              </w:rPr>
            </w:pPr>
          </w:p>
        </w:tc>
        <w:tc>
          <w:tcPr>
            <w:tcW w:w="2680" w:type="dxa"/>
            <w:vAlign w:val="bottom"/>
          </w:tcPr>
          <w:p>
            <w:pPr>
              <w:jc w:val="right"/>
              <w:ind w:right="1708"/>
              <w:spacing w:after="0"/>
              <w:rPr>
                <w:sz w:val="20"/>
                <w:szCs w:val="20"/>
                <w:color w:val="auto"/>
              </w:rPr>
            </w:pPr>
            <w:r>
              <w:rPr>
                <w:rFonts w:ascii="Arial" w:cs="Arial" w:eastAsia="Arial" w:hAnsi="Arial"/>
                <w:sz w:val="14"/>
                <w:szCs w:val="14"/>
                <w:color w:val="auto"/>
              </w:rPr>
              <w:t>5/5</w:t>
            </w:r>
          </w:p>
        </w:tc>
        <w:tc>
          <w:tcPr>
            <w:tcW w:w="820" w:type="dxa"/>
            <w:vAlign w:val="bottom"/>
          </w:tcPr>
          <w:p>
            <w:pPr>
              <w:jc w:val="right"/>
              <w:ind w:right="148"/>
              <w:spacing w:after="0"/>
              <w:rPr>
                <w:sz w:val="20"/>
                <w:szCs w:val="20"/>
                <w:color w:val="auto"/>
              </w:rPr>
            </w:pPr>
            <w:r>
              <w:rPr>
                <w:rFonts w:ascii="Arial" w:cs="Arial" w:eastAsia="Arial" w:hAnsi="Arial"/>
                <w:sz w:val="14"/>
                <w:szCs w:val="14"/>
                <w:color w:val="auto"/>
              </w:rPr>
              <w:t>4/4</w:t>
            </w:r>
          </w:p>
        </w:tc>
      </w:tr>
      <w:tr>
        <w:trPr>
          <w:trHeight w:val="162"/>
        </w:trPr>
        <w:tc>
          <w:tcPr>
            <w:tcW w:w="3600" w:type="dxa"/>
            <w:vAlign w:val="bottom"/>
          </w:tcPr>
          <w:p>
            <w:pPr>
              <w:spacing w:after="0"/>
              <w:rPr>
                <w:sz w:val="20"/>
                <w:szCs w:val="20"/>
                <w:color w:val="auto"/>
              </w:rPr>
            </w:pPr>
            <w:r>
              <w:rPr>
                <w:rFonts w:ascii="Arial" w:cs="Arial" w:eastAsia="Arial" w:hAnsi="Arial"/>
                <w:sz w:val="14"/>
                <w:szCs w:val="14"/>
                <w:color w:val="auto"/>
              </w:rPr>
              <w:t>Gerard Kleisterlee</w:t>
            </w:r>
          </w:p>
        </w:tc>
        <w:tc>
          <w:tcPr>
            <w:tcW w:w="2960" w:type="dxa"/>
            <w:vAlign w:val="bottom"/>
          </w:tcPr>
          <w:p>
            <w:pPr>
              <w:jc w:val="right"/>
              <w:ind w:right="368"/>
              <w:spacing w:after="0"/>
              <w:rPr>
                <w:sz w:val="20"/>
                <w:szCs w:val="20"/>
                <w:color w:val="auto"/>
              </w:rPr>
            </w:pPr>
            <w:r>
              <w:rPr>
                <w:rFonts w:ascii="Arial" w:cs="Arial" w:eastAsia="Arial" w:hAnsi="Arial"/>
                <w:sz w:val="14"/>
                <w:szCs w:val="14"/>
                <w:color w:val="auto"/>
              </w:rPr>
              <w:t>7/7</w:t>
            </w:r>
          </w:p>
        </w:tc>
        <w:tc>
          <w:tcPr>
            <w:tcW w:w="1360" w:type="dxa"/>
            <w:vAlign w:val="bottom"/>
          </w:tcPr>
          <w:p>
            <w:pPr>
              <w:jc w:val="right"/>
              <w:ind w:right="648"/>
              <w:spacing w:after="0"/>
              <w:rPr>
                <w:sz w:val="20"/>
                <w:szCs w:val="20"/>
                <w:color w:val="auto"/>
              </w:rPr>
            </w:pPr>
            <w:r>
              <w:rPr>
                <w:rFonts w:ascii="Arial" w:cs="Arial" w:eastAsia="Arial" w:hAnsi="Arial"/>
                <w:sz w:val="14"/>
                <w:szCs w:val="14"/>
                <w:color w:val="auto"/>
              </w:rPr>
              <w:t>6/6</w:t>
            </w:r>
          </w:p>
        </w:tc>
        <w:tc>
          <w:tcPr>
            <w:tcW w:w="2680" w:type="dxa"/>
            <w:vAlign w:val="bottom"/>
          </w:tcPr>
          <w:p>
            <w:pPr>
              <w:spacing w:after="0"/>
              <w:rPr>
                <w:sz w:val="14"/>
                <w:szCs w:val="14"/>
                <w:color w:val="auto"/>
              </w:rPr>
            </w:pPr>
          </w:p>
        </w:tc>
        <w:tc>
          <w:tcPr>
            <w:tcW w:w="820" w:type="dxa"/>
            <w:vAlign w:val="bottom"/>
          </w:tcPr>
          <w:p>
            <w:pPr>
              <w:jc w:val="right"/>
              <w:ind w:right="148"/>
              <w:spacing w:after="0"/>
              <w:rPr>
                <w:sz w:val="20"/>
                <w:szCs w:val="20"/>
                <w:color w:val="auto"/>
              </w:rPr>
            </w:pPr>
            <w:r>
              <w:rPr>
                <w:rFonts w:ascii="Arial" w:cs="Arial" w:eastAsia="Arial" w:hAnsi="Arial"/>
                <w:sz w:val="14"/>
                <w:szCs w:val="14"/>
                <w:color w:val="auto"/>
              </w:rPr>
              <w:t>2/2</w:t>
            </w:r>
          </w:p>
        </w:tc>
      </w:tr>
      <w:tr>
        <w:trPr>
          <w:trHeight w:val="162"/>
        </w:trPr>
        <w:tc>
          <w:tcPr>
            <w:tcW w:w="3600" w:type="dxa"/>
            <w:vAlign w:val="bottom"/>
          </w:tcPr>
          <w:p>
            <w:pPr>
              <w:spacing w:after="0"/>
              <w:rPr>
                <w:sz w:val="20"/>
                <w:szCs w:val="20"/>
                <w:color w:val="auto"/>
              </w:rPr>
            </w:pPr>
            <w:r>
              <w:rPr>
                <w:rFonts w:ascii="Arial" w:cs="Arial" w:eastAsia="Arial" w:hAnsi="Arial"/>
                <w:sz w:val="14"/>
                <w:szCs w:val="14"/>
                <w:color w:val="auto"/>
              </w:rPr>
              <w:t>Jorma Ollila</w:t>
            </w:r>
          </w:p>
        </w:tc>
        <w:tc>
          <w:tcPr>
            <w:tcW w:w="2960" w:type="dxa"/>
            <w:vAlign w:val="bottom"/>
          </w:tcPr>
          <w:p>
            <w:pPr>
              <w:jc w:val="right"/>
              <w:ind w:right="368"/>
              <w:spacing w:after="0"/>
              <w:rPr>
                <w:sz w:val="20"/>
                <w:szCs w:val="20"/>
                <w:color w:val="auto"/>
              </w:rPr>
            </w:pPr>
            <w:r>
              <w:rPr>
                <w:rFonts w:ascii="Arial" w:cs="Arial" w:eastAsia="Arial" w:hAnsi="Arial"/>
                <w:sz w:val="14"/>
                <w:szCs w:val="14"/>
                <w:color w:val="auto"/>
              </w:rPr>
              <w:t>7/7</w:t>
            </w:r>
          </w:p>
        </w:tc>
        <w:tc>
          <w:tcPr>
            <w:tcW w:w="1360" w:type="dxa"/>
            <w:vAlign w:val="bottom"/>
          </w:tcPr>
          <w:p>
            <w:pPr>
              <w:spacing w:after="0"/>
              <w:rPr>
                <w:sz w:val="14"/>
                <w:szCs w:val="14"/>
                <w:color w:val="auto"/>
              </w:rPr>
            </w:pPr>
          </w:p>
        </w:tc>
        <w:tc>
          <w:tcPr>
            <w:tcW w:w="2680" w:type="dxa"/>
            <w:vAlign w:val="bottom"/>
          </w:tcPr>
          <w:p>
            <w:pPr>
              <w:jc w:val="right"/>
              <w:ind w:right="348"/>
              <w:spacing w:after="0"/>
              <w:rPr>
                <w:sz w:val="20"/>
                <w:szCs w:val="20"/>
                <w:color w:val="auto"/>
              </w:rPr>
            </w:pPr>
            <w:r>
              <w:rPr>
                <w:rFonts w:ascii="Arial" w:cs="Arial" w:eastAsia="Arial" w:hAnsi="Arial"/>
                <w:sz w:val="14"/>
                <w:szCs w:val="14"/>
                <w:color w:val="auto"/>
              </w:rPr>
              <w:t>6/6</w:t>
            </w:r>
          </w:p>
        </w:tc>
        <w:tc>
          <w:tcPr>
            <w:tcW w:w="820" w:type="dxa"/>
            <w:vAlign w:val="bottom"/>
          </w:tcPr>
          <w:p>
            <w:pPr>
              <w:spacing w:after="0"/>
              <w:rPr>
                <w:sz w:val="14"/>
                <w:szCs w:val="14"/>
                <w:color w:val="auto"/>
              </w:rPr>
            </w:pPr>
          </w:p>
        </w:tc>
      </w:tr>
      <w:tr>
        <w:trPr>
          <w:trHeight w:val="162"/>
        </w:trPr>
        <w:tc>
          <w:tcPr>
            <w:tcW w:w="3600" w:type="dxa"/>
            <w:vAlign w:val="bottom"/>
          </w:tcPr>
          <w:p>
            <w:pPr>
              <w:spacing w:after="0"/>
              <w:rPr>
                <w:sz w:val="20"/>
                <w:szCs w:val="20"/>
                <w:color w:val="auto"/>
              </w:rPr>
            </w:pPr>
            <w:r>
              <w:rPr>
                <w:rFonts w:ascii="Arial" w:cs="Arial" w:eastAsia="Arial" w:hAnsi="Arial"/>
                <w:sz w:val="14"/>
                <w:szCs w:val="14"/>
                <w:color w:val="auto"/>
              </w:rPr>
              <w:t>Sir Nigel Sheinwald</w:t>
            </w:r>
          </w:p>
        </w:tc>
        <w:tc>
          <w:tcPr>
            <w:tcW w:w="2960" w:type="dxa"/>
            <w:vAlign w:val="bottom"/>
          </w:tcPr>
          <w:p>
            <w:pPr>
              <w:jc w:val="right"/>
              <w:ind w:right="368"/>
              <w:spacing w:after="0"/>
              <w:rPr>
                <w:sz w:val="20"/>
                <w:szCs w:val="20"/>
                <w:color w:val="auto"/>
              </w:rPr>
            </w:pPr>
            <w:r>
              <w:rPr>
                <w:rFonts w:ascii="Arial" w:cs="Arial" w:eastAsia="Arial" w:hAnsi="Arial"/>
                <w:sz w:val="14"/>
                <w:szCs w:val="14"/>
                <w:color w:val="auto"/>
              </w:rPr>
              <w:t>7/7</w:t>
            </w:r>
          </w:p>
        </w:tc>
        <w:tc>
          <w:tcPr>
            <w:tcW w:w="1360" w:type="dxa"/>
            <w:vAlign w:val="bottom"/>
          </w:tcPr>
          <w:p>
            <w:pPr>
              <w:spacing w:after="0"/>
              <w:rPr>
                <w:sz w:val="14"/>
                <w:szCs w:val="14"/>
                <w:color w:val="auto"/>
              </w:rPr>
            </w:pPr>
          </w:p>
        </w:tc>
        <w:tc>
          <w:tcPr>
            <w:tcW w:w="2680" w:type="dxa"/>
            <w:vAlign w:val="bottom"/>
          </w:tcPr>
          <w:p>
            <w:pPr>
              <w:jc w:val="right"/>
              <w:ind w:right="1708"/>
              <w:spacing w:after="0"/>
              <w:rPr>
                <w:sz w:val="20"/>
                <w:szCs w:val="20"/>
                <w:color w:val="auto"/>
              </w:rPr>
            </w:pPr>
            <w:r>
              <w:rPr>
                <w:rFonts w:ascii="Arial" w:cs="Arial" w:eastAsia="Arial" w:hAnsi="Arial"/>
                <w:sz w:val="14"/>
                <w:szCs w:val="14"/>
                <w:color w:val="auto"/>
              </w:rPr>
              <w:t>5/5</w:t>
            </w:r>
          </w:p>
        </w:tc>
        <w:tc>
          <w:tcPr>
            <w:tcW w:w="820" w:type="dxa"/>
            <w:vAlign w:val="bottom"/>
          </w:tcPr>
          <w:p>
            <w:pPr>
              <w:spacing w:after="0"/>
              <w:rPr>
                <w:sz w:val="14"/>
                <w:szCs w:val="14"/>
                <w:color w:val="auto"/>
              </w:rPr>
            </w:pPr>
          </w:p>
        </w:tc>
      </w:tr>
      <w:tr>
        <w:trPr>
          <w:trHeight w:val="162"/>
        </w:trPr>
        <w:tc>
          <w:tcPr>
            <w:tcW w:w="3600" w:type="dxa"/>
            <w:vAlign w:val="bottom"/>
          </w:tcPr>
          <w:p>
            <w:pPr>
              <w:spacing w:after="0"/>
              <w:rPr>
                <w:sz w:val="20"/>
                <w:szCs w:val="20"/>
                <w:color w:val="auto"/>
              </w:rPr>
            </w:pPr>
            <w:r>
              <w:rPr>
                <w:rFonts w:ascii="Arial" w:cs="Arial" w:eastAsia="Arial" w:hAnsi="Arial"/>
                <w:sz w:val="14"/>
                <w:szCs w:val="14"/>
                <w:color w:val="auto"/>
              </w:rPr>
              <w:t>Linda G. Stuntz</w:t>
            </w:r>
          </w:p>
        </w:tc>
        <w:tc>
          <w:tcPr>
            <w:tcW w:w="2960" w:type="dxa"/>
            <w:vAlign w:val="bottom"/>
          </w:tcPr>
          <w:p>
            <w:pPr>
              <w:jc w:val="right"/>
              <w:ind w:right="368"/>
              <w:spacing w:after="0"/>
              <w:rPr>
                <w:sz w:val="20"/>
                <w:szCs w:val="20"/>
                <w:color w:val="auto"/>
              </w:rPr>
            </w:pPr>
            <w:r>
              <w:rPr>
                <w:rFonts w:ascii="Arial" w:cs="Arial" w:eastAsia="Arial" w:hAnsi="Arial"/>
                <w:sz w:val="14"/>
                <w:szCs w:val="14"/>
                <w:color w:val="auto"/>
              </w:rPr>
              <w:t>7/7</w:t>
            </w:r>
          </w:p>
        </w:tc>
        <w:tc>
          <w:tcPr>
            <w:tcW w:w="1360" w:type="dxa"/>
            <w:vAlign w:val="bottom"/>
          </w:tcPr>
          <w:p>
            <w:pPr>
              <w:jc w:val="right"/>
              <w:ind w:right="648"/>
              <w:spacing w:after="0"/>
              <w:rPr>
                <w:sz w:val="20"/>
                <w:szCs w:val="20"/>
                <w:color w:val="auto"/>
              </w:rPr>
            </w:pPr>
            <w:r>
              <w:rPr>
                <w:rFonts w:ascii="Arial" w:cs="Arial" w:eastAsia="Arial" w:hAnsi="Arial"/>
                <w:sz w:val="14"/>
                <w:szCs w:val="14"/>
                <w:color w:val="auto"/>
              </w:rPr>
              <w:t>6/6</w:t>
            </w:r>
          </w:p>
        </w:tc>
        <w:tc>
          <w:tcPr>
            <w:tcW w:w="268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2"/>
        </w:trPr>
        <w:tc>
          <w:tcPr>
            <w:tcW w:w="3600" w:type="dxa"/>
            <w:vAlign w:val="bottom"/>
          </w:tcPr>
          <w:p>
            <w:pPr>
              <w:spacing w:after="0"/>
              <w:rPr>
                <w:sz w:val="20"/>
                <w:szCs w:val="20"/>
                <w:color w:val="auto"/>
              </w:rPr>
            </w:pPr>
            <w:r>
              <w:rPr>
                <w:rFonts w:ascii="Arial" w:cs="Arial" w:eastAsia="Arial" w:hAnsi="Arial"/>
                <w:sz w:val="14"/>
                <w:szCs w:val="14"/>
                <w:color w:val="auto"/>
              </w:rPr>
              <w:t>Hans Wijers</w:t>
            </w:r>
          </w:p>
        </w:tc>
        <w:tc>
          <w:tcPr>
            <w:tcW w:w="2960" w:type="dxa"/>
            <w:vAlign w:val="bottom"/>
          </w:tcPr>
          <w:p>
            <w:pPr>
              <w:jc w:val="right"/>
              <w:ind w:right="368"/>
              <w:spacing w:after="0"/>
              <w:rPr>
                <w:sz w:val="20"/>
                <w:szCs w:val="20"/>
                <w:color w:val="auto"/>
              </w:rPr>
            </w:pPr>
            <w:r>
              <w:rPr>
                <w:rFonts w:ascii="Arial" w:cs="Arial" w:eastAsia="Arial" w:hAnsi="Arial"/>
                <w:sz w:val="14"/>
                <w:szCs w:val="14"/>
                <w:color w:val="auto"/>
              </w:rPr>
              <w:t>7/7</w:t>
            </w:r>
          </w:p>
        </w:tc>
        <w:tc>
          <w:tcPr>
            <w:tcW w:w="1360" w:type="dxa"/>
            <w:vAlign w:val="bottom"/>
          </w:tcPr>
          <w:p>
            <w:pPr>
              <w:spacing w:after="0"/>
              <w:rPr>
                <w:sz w:val="14"/>
                <w:szCs w:val="14"/>
                <w:color w:val="auto"/>
              </w:rPr>
            </w:pPr>
          </w:p>
        </w:tc>
        <w:tc>
          <w:tcPr>
            <w:tcW w:w="2680" w:type="dxa"/>
            <w:vAlign w:val="bottom"/>
          </w:tcPr>
          <w:p>
            <w:pPr>
              <w:jc w:val="right"/>
              <w:ind w:right="348"/>
              <w:spacing w:after="0"/>
              <w:rPr>
                <w:sz w:val="20"/>
                <w:szCs w:val="20"/>
                <w:color w:val="auto"/>
              </w:rPr>
            </w:pPr>
            <w:r>
              <w:rPr>
                <w:rFonts w:ascii="Arial" w:cs="Arial" w:eastAsia="Arial" w:hAnsi="Arial"/>
                <w:sz w:val="14"/>
                <w:szCs w:val="14"/>
                <w:color w:val="auto"/>
              </w:rPr>
              <w:t>6/6</w:t>
            </w:r>
          </w:p>
        </w:tc>
        <w:tc>
          <w:tcPr>
            <w:tcW w:w="820" w:type="dxa"/>
            <w:vAlign w:val="bottom"/>
          </w:tcPr>
          <w:p>
            <w:pPr>
              <w:jc w:val="right"/>
              <w:ind w:right="148"/>
              <w:spacing w:after="0"/>
              <w:rPr>
                <w:sz w:val="20"/>
                <w:szCs w:val="20"/>
                <w:color w:val="auto"/>
              </w:rPr>
            </w:pPr>
            <w:r>
              <w:rPr>
                <w:rFonts w:ascii="Arial" w:cs="Arial" w:eastAsia="Arial" w:hAnsi="Arial"/>
                <w:sz w:val="14"/>
                <w:szCs w:val="14"/>
                <w:color w:val="auto"/>
              </w:rPr>
              <w:t>2/2</w:t>
            </w:r>
          </w:p>
        </w:tc>
      </w:tr>
      <w:tr>
        <w:trPr>
          <w:trHeight w:val="162"/>
        </w:trPr>
        <w:tc>
          <w:tcPr>
            <w:tcW w:w="3600" w:type="dxa"/>
            <w:vAlign w:val="bottom"/>
          </w:tcPr>
          <w:p>
            <w:pPr>
              <w:spacing w:after="0"/>
              <w:rPr>
                <w:sz w:val="20"/>
                <w:szCs w:val="20"/>
                <w:color w:val="auto"/>
              </w:rPr>
            </w:pPr>
            <w:r>
              <w:rPr>
                <w:rFonts w:ascii="Arial" w:cs="Arial" w:eastAsia="Arial" w:hAnsi="Arial"/>
                <w:sz w:val="14"/>
                <w:szCs w:val="14"/>
                <w:color w:val="auto"/>
              </w:rPr>
              <w:t>Patricia A. Woertz</w:t>
            </w:r>
          </w:p>
        </w:tc>
        <w:tc>
          <w:tcPr>
            <w:tcW w:w="2960" w:type="dxa"/>
            <w:vAlign w:val="bottom"/>
          </w:tcPr>
          <w:p>
            <w:pPr>
              <w:jc w:val="right"/>
              <w:ind w:right="368"/>
              <w:spacing w:after="0"/>
              <w:rPr>
                <w:sz w:val="20"/>
                <w:szCs w:val="20"/>
                <w:color w:val="auto"/>
              </w:rPr>
            </w:pPr>
            <w:r>
              <w:rPr>
                <w:rFonts w:ascii="Arial" w:cs="Arial" w:eastAsia="Arial" w:hAnsi="Arial"/>
                <w:sz w:val="14"/>
                <w:szCs w:val="14"/>
                <w:color w:val="auto"/>
              </w:rPr>
              <w:t>4/4</w:t>
            </w:r>
          </w:p>
        </w:tc>
        <w:tc>
          <w:tcPr>
            <w:tcW w:w="1360" w:type="dxa"/>
            <w:vAlign w:val="bottom"/>
          </w:tcPr>
          <w:p>
            <w:pPr>
              <w:spacing w:after="0"/>
              <w:rPr>
                <w:sz w:val="14"/>
                <w:szCs w:val="14"/>
                <w:color w:val="auto"/>
              </w:rPr>
            </w:pPr>
          </w:p>
        </w:tc>
        <w:tc>
          <w:tcPr>
            <w:tcW w:w="2680" w:type="dxa"/>
            <w:vAlign w:val="bottom"/>
          </w:tcPr>
          <w:p>
            <w:pPr>
              <w:jc w:val="right"/>
              <w:ind w:right="1708"/>
              <w:spacing w:after="0"/>
              <w:rPr>
                <w:sz w:val="20"/>
                <w:szCs w:val="20"/>
                <w:color w:val="auto"/>
              </w:rPr>
            </w:pPr>
            <w:r>
              <w:rPr>
                <w:rFonts w:ascii="Arial" w:cs="Arial" w:eastAsia="Arial" w:hAnsi="Arial"/>
                <w:sz w:val="14"/>
                <w:szCs w:val="14"/>
                <w:color w:val="auto"/>
              </w:rPr>
              <w:t>2/3</w:t>
            </w:r>
          </w:p>
        </w:tc>
        <w:tc>
          <w:tcPr>
            <w:tcW w:w="820" w:type="dxa"/>
            <w:vAlign w:val="bottom"/>
          </w:tcPr>
          <w:p>
            <w:pPr>
              <w:spacing w:after="0"/>
              <w:rPr>
                <w:sz w:val="14"/>
                <w:szCs w:val="14"/>
                <w:color w:val="auto"/>
              </w:rPr>
            </w:pPr>
          </w:p>
        </w:tc>
      </w:tr>
      <w:tr>
        <w:trPr>
          <w:trHeight w:val="157"/>
        </w:trPr>
        <w:tc>
          <w:tcPr>
            <w:tcW w:w="3600" w:type="dxa"/>
            <w:vAlign w:val="bottom"/>
            <w:tcBorders>
              <w:bottom w:val="single" w:sz="8" w:color="auto"/>
            </w:tcBorders>
          </w:tcPr>
          <w:p>
            <w:pPr>
              <w:spacing w:after="0" w:line="157" w:lineRule="exact"/>
              <w:rPr>
                <w:sz w:val="20"/>
                <w:szCs w:val="20"/>
                <w:color w:val="auto"/>
              </w:rPr>
            </w:pPr>
            <w:r>
              <w:rPr>
                <w:rFonts w:ascii="Arial" w:cs="Arial" w:eastAsia="Arial" w:hAnsi="Arial"/>
                <w:sz w:val="14"/>
                <w:szCs w:val="14"/>
                <w:color w:val="auto"/>
              </w:rPr>
              <w:t>Gerrit Zalm</w:t>
            </w:r>
          </w:p>
        </w:tc>
        <w:tc>
          <w:tcPr>
            <w:tcW w:w="2960" w:type="dxa"/>
            <w:vAlign w:val="bottom"/>
            <w:tcBorders>
              <w:bottom w:val="single" w:sz="8" w:color="auto"/>
            </w:tcBorders>
          </w:tcPr>
          <w:p>
            <w:pPr>
              <w:jc w:val="right"/>
              <w:ind w:right="368"/>
              <w:spacing w:after="0" w:line="157" w:lineRule="exact"/>
              <w:rPr>
                <w:sz w:val="20"/>
                <w:szCs w:val="20"/>
                <w:color w:val="auto"/>
              </w:rPr>
            </w:pPr>
            <w:r>
              <w:rPr>
                <w:rFonts w:ascii="Arial" w:cs="Arial" w:eastAsia="Arial" w:hAnsi="Arial"/>
                <w:sz w:val="14"/>
                <w:szCs w:val="14"/>
                <w:color w:val="auto"/>
              </w:rPr>
              <w:t>7/7</w:t>
            </w:r>
          </w:p>
        </w:tc>
        <w:tc>
          <w:tcPr>
            <w:tcW w:w="1360" w:type="dxa"/>
            <w:vAlign w:val="bottom"/>
            <w:tcBorders>
              <w:bottom w:val="single" w:sz="8" w:color="auto"/>
            </w:tcBorders>
          </w:tcPr>
          <w:p>
            <w:pPr>
              <w:spacing w:after="0"/>
              <w:rPr>
                <w:sz w:val="13"/>
                <w:szCs w:val="13"/>
                <w:color w:val="auto"/>
              </w:rPr>
            </w:pPr>
          </w:p>
        </w:tc>
        <w:tc>
          <w:tcPr>
            <w:tcW w:w="2680" w:type="dxa"/>
            <w:vAlign w:val="bottom"/>
            <w:tcBorders>
              <w:bottom w:val="single" w:sz="8" w:color="auto"/>
            </w:tcBorders>
          </w:tcPr>
          <w:p>
            <w:pPr>
              <w:jc w:val="right"/>
              <w:ind w:right="1708"/>
              <w:spacing w:after="0" w:line="157" w:lineRule="exact"/>
              <w:rPr>
                <w:sz w:val="20"/>
                <w:szCs w:val="20"/>
                <w:color w:val="auto"/>
              </w:rPr>
            </w:pPr>
            <w:r>
              <w:rPr>
                <w:rFonts w:ascii="Arial" w:cs="Arial" w:eastAsia="Arial" w:hAnsi="Arial"/>
                <w:sz w:val="14"/>
                <w:szCs w:val="14"/>
                <w:color w:val="auto"/>
              </w:rPr>
              <w:t>5/5</w:t>
            </w:r>
          </w:p>
        </w:tc>
        <w:tc>
          <w:tcPr>
            <w:tcW w:w="820" w:type="dxa"/>
            <w:vAlign w:val="bottom"/>
            <w:tcBorders>
              <w:bottom w:val="single" w:sz="8" w:color="auto"/>
            </w:tcBorders>
          </w:tcPr>
          <w:p>
            <w:pPr>
              <w:jc w:val="right"/>
              <w:ind w:right="148"/>
              <w:spacing w:after="0" w:line="157" w:lineRule="exact"/>
              <w:rPr>
                <w:sz w:val="20"/>
                <w:szCs w:val="20"/>
                <w:color w:val="auto"/>
              </w:rPr>
            </w:pPr>
            <w:r>
              <w:rPr>
                <w:rFonts w:ascii="Arial" w:cs="Arial" w:eastAsia="Arial" w:hAnsi="Arial"/>
                <w:sz w:val="14"/>
                <w:szCs w:val="14"/>
                <w:color w:val="auto"/>
              </w:rPr>
              <w:t>2/2</w:t>
            </w:r>
          </w:p>
        </w:tc>
      </w:tr>
    </w:tbl>
    <w:p>
      <w:pPr>
        <w:spacing w:after="0" w:line="37" w:lineRule="exact"/>
        <w:rPr>
          <w:sz w:val="20"/>
          <w:szCs w:val="20"/>
          <w:color w:val="auto"/>
        </w:rPr>
      </w:pPr>
    </w:p>
    <w:p>
      <w:pPr>
        <w:ind w:right="240" w:firstLine="8"/>
        <w:spacing w:after="0" w:line="238" w:lineRule="auto"/>
        <w:tabs>
          <w:tab w:leader="none" w:pos="162" w:val="left"/>
        </w:tabs>
        <w:numPr>
          <w:ilvl w:val="0"/>
          <w:numId w:val="62"/>
        </w:numPr>
        <w:rPr>
          <w:rFonts w:ascii="Arial" w:cs="Arial" w:eastAsia="Arial" w:hAnsi="Arial"/>
          <w:sz w:val="11"/>
          <w:szCs w:val="11"/>
          <w:color w:val="auto"/>
        </w:rPr>
      </w:pPr>
      <w:r>
        <w:rPr>
          <w:rFonts w:ascii="Arial" w:cs="Arial" w:eastAsia="Arial" w:hAnsi="Arial"/>
          <w:sz w:val="11"/>
          <w:szCs w:val="11"/>
          <w:color w:val="auto"/>
        </w:rPr>
        <w:t>The first figure represents attendance and the second figure the possible number of meetings. For example, 7/7 signifies attendance at seven out of seven possible meetings. Where a Director stood down from the Board or a Board committee during the year, or was appointed during the year, only meetings before standing down or after the date of appointment are shown.</w:t>
      </w:r>
    </w:p>
    <w:p>
      <w:pPr>
        <w:sectPr>
          <w:pgSz w:w="11900" w:h="16838" w:orient="portrait"/>
          <w:cols w:equalWidth="0" w:num="1">
            <w:col w:w="11420"/>
          </w:cols>
          <w:pgMar w:left="240" w:top="459" w:right="239" w:bottom="1440" w:gutter="0" w:footer="0" w:header="0"/>
          <w:type w:val="continuous"/>
        </w:sectPr>
      </w:pPr>
    </w:p>
    <w:bookmarkStart w:id="69" w:name="page70"/>
    <w:bookmarkEnd w:id="69"/>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314960</wp:posOffset>
            </wp:positionV>
            <wp:extent cx="3490595" cy="46291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3490595" cy="462915"/>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p>
      <w:pPr>
        <w:spacing w:after="0" w:line="200" w:lineRule="exact"/>
        <w:rPr>
          <w:sz w:val="20"/>
          <w:szCs w:val="20"/>
          <w:color w:val="auto"/>
        </w:rPr>
      </w:pP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419"/>
        </w:trPr>
        <w:tc>
          <w:tcPr>
            <w:tcW w:w="2100" w:type="dxa"/>
            <w:vAlign w:val="bottom"/>
            <w:shd w:val="clear" w:color="auto" w:fill="FF8B00"/>
          </w:tcPr>
          <w:p>
            <w:pPr>
              <w:spacing w:after="0"/>
              <w:rPr>
                <w:sz w:val="24"/>
                <w:szCs w:val="24"/>
                <w:color w:val="auto"/>
              </w:rPr>
            </w:pPr>
          </w:p>
        </w:tc>
        <w:tc>
          <w:tcPr>
            <w:tcW w:w="3400" w:type="dxa"/>
            <w:vAlign w:val="bottom"/>
            <w:shd w:val="clear" w:color="auto" w:fill="FF8B00"/>
          </w:tcPr>
          <w:p>
            <w:pPr>
              <w:spacing w:after="0"/>
              <w:rPr>
                <w:sz w:val="24"/>
                <w:szCs w:val="24"/>
                <w:color w:val="auto"/>
              </w:rPr>
            </w:pPr>
          </w:p>
        </w:tc>
      </w:tr>
      <w:tr>
        <w:trPr>
          <w:trHeight w:val="152"/>
        </w:trPr>
        <w:tc>
          <w:tcPr>
            <w:tcW w:w="2100" w:type="dxa"/>
            <w:vAlign w:val="bottom"/>
          </w:tcPr>
          <w:p>
            <w:pPr>
              <w:jc w:val="right"/>
              <w:ind w:right="1666"/>
              <w:spacing w:after="0"/>
              <w:rPr>
                <w:sz w:val="20"/>
                <w:szCs w:val="20"/>
                <w:color w:val="auto"/>
              </w:rPr>
            </w:pPr>
            <w:r>
              <w:rPr>
                <w:rFonts w:ascii="Arial" w:cs="Arial" w:eastAsia="Arial" w:hAnsi="Arial"/>
                <w:sz w:val="11"/>
                <w:szCs w:val="11"/>
                <w:b w:val="1"/>
                <w:bCs w:val="1"/>
                <w:color w:val="333333"/>
              </w:rPr>
              <w:t>68</w:t>
            </w:r>
          </w:p>
        </w:tc>
        <w:tc>
          <w:tcPr>
            <w:tcW w:w="3400" w:type="dxa"/>
            <w:vAlign w:val="bottom"/>
          </w:tcPr>
          <w:p>
            <w:pPr>
              <w:ind w:left="1720"/>
              <w:spacing w:after="0"/>
              <w:rPr>
                <w:sz w:val="20"/>
                <w:szCs w:val="20"/>
                <w:color w:val="auto"/>
              </w:rPr>
            </w:pPr>
            <w:r>
              <w:rPr>
                <w:rFonts w:ascii="Arial" w:cs="Arial" w:eastAsia="Arial" w:hAnsi="Arial"/>
                <w:sz w:val="13"/>
                <w:szCs w:val="13"/>
                <w:color w:val="333333"/>
              </w:rPr>
              <w:t>GOVERNANCE</w:t>
            </w:r>
          </w:p>
        </w:tc>
      </w:tr>
    </w:tbl>
    <w:p>
      <w:pPr>
        <w:spacing w:after="0" w:line="155" w:lineRule="exact"/>
        <w:rPr>
          <w:sz w:val="20"/>
          <w:szCs w:val="20"/>
          <w:color w:val="auto"/>
        </w:rPr>
      </w:pPr>
    </w:p>
    <w:p>
      <w:pPr>
        <w:ind w:left="3240"/>
        <w:spacing w:after="0"/>
        <w:rPr>
          <w:sz w:val="20"/>
          <w:szCs w:val="20"/>
          <w:color w:val="auto"/>
        </w:rPr>
      </w:pPr>
      <w:r>
        <w:rPr>
          <w:rFonts w:ascii="Arial" w:cs="Arial" w:eastAsia="Arial" w:hAnsi="Arial"/>
          <w:sz w:val="11"/>
          <w:szCs w:val="11"/>
          <w:color w:val="auto"/>
        </w:rPr>
        <w:t>CORPORATE GOVERNANCE</w:t>
      </w:r>
    </w:p>
    <w:p>
      <w:pPr>
        <w:spacing w:after="0" w:line="48" w:lineRule="exact"/>
        <w:rPr>
          <w:sz w:val="20"/>
          <w:szCs w:val="20"/>
          <w:color w:val="auto"/>
        </w:rPr>
      </w:pPr>
    </w:p>
    <w:p>
      <w:pPr>
        <w:ind w:left="20"/>
        <w:spacing w:after="0"/>
        <w:rPr>
          <w:sz w:val="20"/>
          <w:szCs w:val="20"/>
          <w:color w:val="auto"/>
        </w:rPr>
      </w:pPr>
      <w:r>
        <w:rPr>
          <w:rFonts w:ascii="Arial" w:cs="Arial" w:eastAsia="Arial" w:hAnsi="Arial"/>
          <w:sz w:val="24"/>
          <w:szCs w:val="24"/>
          <w:color w:val="auto"/>
        </w:rPr>
        <w:t xml:space="preserve">CORPORATE GOVERNANCE </w:t>
      </w:r>
      <w:r>
        <w:rPr>
          <w:rFonts w:ascii="Arial" w:cs="Arial" w:eastAsia="Arial" w:hAnsi="Arial"/>
          <w:sz w:val="24"/>
          <w:szCs w:val="24"/>
          <w:color w:val="666666"/>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3473450" cy="889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BOARD EVALUATION</w:t>
      </w:r>
    </w:p>
    <w:p>
      <w:pPr>
        <w:spacing w:after="0" w:line="1" w:lineRule="exact"/>
        <w:rPr>
          <w:sz w:val="20"/>
          <w:szCs w:val="20"/>
          <w:color w:val="auto"/>
        </w:rPr>
      </w:pPr>
    </w:p>
    <w:p>
      <w:pPr>
        <w:ind w:right="460"/>
        <w:spacing w:after="0" w:line="244" w:lineRule="auto"/>
        <w:rPr>
          <w:sz w:val="20"/>
          <w:szCs w:val="20"/>
          <w:color w:val="auto"/>
        </w:rPr>
      </w:pPr>
      <w:r>
        <w:rPr>
          <w:rFonts w:ascii="Arial" w:cs="Arial" w:eastAsia="Arial" w:hAnsi="Arial"/>
          <w:sz w:val="14"/>
          <w:szCs w:val="14"/>
          <w:color w:val="auto"/>
        </w:rPr>
        <w:t>During the year, the Board carried out a performance evaluation of itself, its Committees, the Chairman and each of the other Directors. This was led by the Nomination and Succession Committee and, unlike the process in 2013, was conducted in-house without engaging the services of an external facilitator. In accordance with the Code, it is the intention that the evaluation process will be externally facilitated every three years.</w:t>
      </w:r>
    </w:p>
    <w:p>
      <w:pPr>
        <w:spacing w:after="0" w:line="166" w:lineRule="exact"/>
        <w:rPr>
          <w:sz w:val="20"/>
          <w:szCs w:val="20"/>
          <w:color w:val="auto"/>
        </w:rPr>
      </w:pPr>
    </w:p>
    <w:p>
      <w:pPr>
        <w:ind w:right="20"/>
        <w:spacing w:after="0" w:line="243" w:lineRule="auto"/>
        <w:rPr>
          <w:sz w:val="20"/>
          <w:szCs w:val="20"/>
          <w:color w:val="auto"/>
        </w:rPr>
      </w:pPr>
      <w:r>
        <w:rPr>
          <w:rFonts w:ascii="Arial" w:cs="Arial" w:eastAsia="Arial" w:hAnsi="Arial"/>
          <w:sz w:val="14"/>
          <w:szCs w:val="14"/>
          <w:color w:val="auto"/>
        </w:rPr>
        <w:t>The 2014 process consisted of the Chairman holding one-to-one interviews with each of the Directors. The Directors were asked to consider specific matters in advance, such as the functioning and effectiveness of the Board, the extent to which suggestions from the 2013 process had been implemented and the major issues and challenges for 2015 and beyond. The Deputy Chairman conducted a separate review of the Chairman’s performance which involved each Director completing a confidential questionnaire (see below) and an offer to meet and discuss any particular issues. A review of each Board committee was undertaken by the respective Committee Chairman by questionnaire and discussed in the relevant committee.</w:t>
      </w:r>
    </w:p>
    <w:p>
      <w:pPr>
        <w:spacing w:after="0" w:line="167" w:lineRule="exact"/>
        <w:rPr>
          <w:sz w:val="20"/>
          <w:szCs w:val="20"/>
          <w:color w:val="auto"/>
        </w:rPr>
      </w:pPr>
    </w:p>
    <w:p>
      <w:pPr>
        <w:ind w:right="40"/>
        <w:spacing w:after="0" w:line="243" w:lineRule="auto"/>
        <w:rPr>
          <w:sz w:val="20"/>
          <w:szCs w:val="20"/>
          <w:color w:val="auto"/>
        </w:rPr>
      </w:pPr>
      <w:r>
        <w:rPr>
          <w:rFonts w:ascii="Arial" w:cs="Arial" w:eastAsia="Arial" w:hAnsi="Arial"/>
          <w:sz w:val="14"/>
          <w:szCs w:val="14"/>
          <w:color w:val="auto"/>
        </w:rPr>
        <w:t>In January 2015, the performance of the Board as a whole and the Board committees was discussed by the Nomination and Succession Committee and subsequently by the full Board. The discussions were led by the Chairman and focused on issues such as the functioning, effectiveness and performance of the Board and Board committees, the follow up on the priorities for change identified from the performance evaluation held in 2013 and the quality of support. Discussion also focussed on the priorities of the Board in 2015 and beyond, and it was agreed these included the following: the impact of the oil price on the Company’s financial framework; performance management and return on investment; and the Company’s strategy regarding climate change.</w:t>
      </w:r>
    </w:p>
    <w:p>
      <w:pPr>
        <w:spacing w:after="0" w:line="343" w:lineRule="exact"/>
        <w:rPr>
          <w:sz w:val="20"/>
          <w:szCs w:val="20"/>
          <w:color w:val="auto"/>
        </w:rPr>
      </w:pPr>
    </w:p>
    <w:p>
      <w:pPr>
        <w:ind w:right="40"/>
        <w:spacing w:after="0" w:line="243" w:lineRule="auto"/>
        <w:rPr>
          <w:sz w:val="20"/>
          <w:szCs w:val="20"/>
          <w:color w:val="auto"/>
        </w:rPr>
      </w:pPr>
      <w:r>
        <w:rPr>
          <w:rFonts w:ascii="Arial" w:cs="Arial" w:eastAsia="Arial" w:hAnsi="Arial"/>
          <w:sz w:val="14"/>
          <w:szCs w:val="14"/>
          <w:color w:val="auto"/>
        </w:rPr>
        <w:t>The performance evaluation of the Chairman was reviewed in a session led by the Deputy Chairman with attendance by all Directors except for the Chairman. Directors had previously answered questions concerning the performance of the Chairman in relation to certain matters, including the management of Board meetings, communication and relationships with the CEO and other Directors, relationships with major shareholders and other stakeholders, and the key challenges for 2015 and beyond. The Deputy Chairman reported that the Directors had commented favourably on the Chairman’s open and approachable style and that the unanimous view of the Chairman’s performance in 2014 was positive. In view of the appointment of Charles O. Holliday as successor to the current Chairman following the forthcoming AGM, it was recognised that 2015 would be a transitional year for the Chairman role.</w:t>
      </w:r>
    </w:p>
    <w:p>
      <w:pPr>
        <w:spacing w:after="0" w:line="165" w:lineRule="exact"/>
        <w:rPr>
          <w:sz w:val="20"/>
          <w:szCs w:val="20"/>
          <w:color w:val="auto"/>
        </w:rPr>
      </w:pPr>
    </w:p>
    <w:p>
      <w:pPr>
        <w:ind w:right="280"/>
        <w:spacing w:after="0" w:line="258" w:lineRule="auto"/>
        <w:rPr>
          <w:sz w:val="20"/>
          <w:szCs w:val="20"/>
          <w:color w:val="auto"/>
        </w:rPr>
      </w:pPr>
      <w:r>
        <w:rPr>
          <w:rFonts w:ascii="Arial" w:cs="Arial" w:eastAsia="Arial" w:hAnsi="Arial"/>
          <w:sz w:val="14"/>
          <w:szCs w:val="14"/>
          <w:color w:val="auto"/>
        </w:rPr>
        <w:t>The results of the evaluation of the CEO were discussed by the Chairman and the Non-executive Directors.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EXECUTIVE COMMITTEE</w:t>
      </w:r>
    </w:p>
    <w:p>
      <w:pPr>
        <w:spacing w:after="0" w:line="1" w:lineRule="exact"/>
        <w:rPr>
          <w:sz w:val="20"/>
          <w:szCs w:val="20"/>
          <w:color w:val="auto"/>
        </w:rPr>
      </w:pPr>
    </w:p>
    <w:p>
      <w:pPr>
        <w:ind w:right="60"/>
        <w:spacing w:after="0" w:line="247" w:lineRule="auto"/>
        <w:rPr>
          <w:sz w:val="20"/>
          <w:szCs w:val="20"/>
          <w:color w:val="auto"/>
        </w:rPr>
      </w:pPr>
      <w:r>
        <w:rPr>
          <w:rFonts w:ascii="Arial" w:cs="Arial" w:eastAsia="Arial" w:hAnsi="Arial"/>
          <w:sz w:val="14"/>
          <w:szCs w:val="14"/>
          <w:color w:val="auto"/>
        </w:rPr>
        <w:t>The Executive Committee operates under the direction of the CEO in support of his responsibility for the overall management of the Company’s business and affairs. The CEO has final authority in all matters of management that are not within the duties and authorities of the Board or of the shareholders’ general meeting.</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30"/>
        </w:trPr>
        <w:tc>
          <w:tcPr>
            <w:tcW w:w="2340" w:type="dxa"/>
            <w:vAlign w:val="bottom"/>
          </w:tcPr>
          <w:p>
            <w:pPr>
              <w:spacing w:after="0"/>
              <w:rPr>
                <w:sz w:val="11"/>
                <w:szCs w:val="11"/>
                <w:color w:val="auto"/>
              </w:rPr>
            </w:pPr>
          </w:p>
        </w:tc>
        <w:tc>
          <w:tcPr>
            <w:tcW w:w="3300" w:type="dxa"/>
            <w:vAlign w:val="bottom"/>
            <w:gridSpan w:val="2"/>
          </w:tcPr>
          <w:p>
            <w:pPr>
              <w:ind w:left="900"/>
              <w:spacing w:after="0"/>
              <w:rPr>
                <w:sz w:val="20"/>
                <w:szCs w:val="20"/>
                <w:color w:val="auto"/>
              </w:rPr>
            </w:pPr>
            <w:r>
              <w:rPr>
                <w:rFonts w:ascii="Arial" w:cs="Arial" w:eastAsia="Arial" w:hAnsi="Arial"/>
                <w:sz w:val="11"/>
                <w:szCs w:val="11"/>
                <w:color w:val="auto"/>
                <w:w w:val="96"/>
              </w:rPr>
              <w:t>SHELL ANNUAL REPORT AND FORM 20-F 2014</w:t>
            </w:r>
          </w:p>
        </w:tc>
      </w:tr>
      <w:tr>
        <w:trPr>
          <w:trHeight w:val="226"/>
        </w:trPr>
        <w:tc>
          <w:tcPr>
            <w:tcW w:w="5640" w:type="dxa"/>
            <w:vAlign w:val="bottom"/>
            <w:gridSpan w:val="3"/>
          </w:tcPr>
          <w:p>
            <w:pPr>
              <w:spacing w:after="0"/>
              <w:rPr>
                <w:sz w:val="20"/>
                <w:szCs w:val="20"/>
                <w:color w:val="auto"/>
              </w:rPr>
            </w:pPr>
            <w:r>
              <w:rPr>
                <w:rFonts w:ascii="Arial" w:cs="Arial" w:eastAsia="Arial" w:hAnsi="Arial"/>
                <w:sz w:val="14"/>
                <w:szCs w:val="14"/>
                <w:color w:val="auto"/>
              </w:rPr>
              <w:t>The current composition of the Executive Committee is as follows:</w:t>
            </w:r>
          </w:p>
        </w:tc>
      </w:tr>
      <w:tr>
        <w:trPr>
          <w:trHeight w:val="188"/>
        </w:trPr>
        <w:tc>
          <w:tcPr>
            <w:tcW w:w="2340" w:type="dxa"/>
            <w:vAlign w:val="bottom"/>
          </w:tcPr>
          <w:p>
            <w:pPr>
              <w:spacing w:after="0"/>
              <w:rPr>
                <w:sz w:val="16"/>
                <w:szCs w:val="16"/>
                <w:color w:val="auto"/>
              </w:rPr>
            </w:pPr>
          </w:p>
        </w:tc>
        <w:tc>
          <w:tcPr>
            <w:tcW w:w="3140" w:type="dxa"/>
            <w:vAlign w:val="bottom"/>
          </w:tcPr>
          <w:p>
            <w:pPr>
              <w:spacing w:after="0"/>
              <w:rPr>
                <w:sz w:val="16"/>
                <w:szCs w:val="16"/>
                <w:color w:val="auto"/>
              </w:rPr>
            </w:pPr>
          </w:p>
        </w:tc>
        <w:tc>
          <w:tcPr>
            <w:tcW w:w="160" w:type="dxa"/>
            <w:vAlign w:val="bottom"/>
          </w:tcPr>
          <w:p>
            <w:pPr>
              <w:spacing w:after="0"/>
              <w:rPr>
                <w:sz w:val="16"/>
                <w:szCs w:val="16"/>
                <w:color w:val="auto"/>
              </w:rPr>
            </w:pPr>
          </w:p>
        </w:tc>
      </w:tr>
      <w:tr>
        <w:trPr>
          <w:trHeight w:val="162"/>
        </w:trPr>
        <w:tc>
          <w:tcPr>
            <w:tcW w:w="2340" w:type="dxa"/>
            <w:vAlign w:val="bottom"/>
            <w:shd w:val="clear" w:color="auto" w:fill="333333"/>
          </w:tcPr>
          <w:p>
            <w:pPr>
              <w:ind w:left="60"/>
              <w:spacing w:after="0" w:line="162" w:lineRule="exact"/>
              <w:rPr>
                <w:sz w:val="20"/>
                <w:szCs w:val="20"/>
                <w:color w:val="auto"/>
              </w:rPr>
            </w:pPr>
            <w:r>
              <w:rPr>
                <w:rFonts w:ascii="Arial" w:cs="Arial" w:eastAsia="Arial" w:hAnsi="Arial"/>
                <w:sz w:val="15"/>
                <w:szCs w:val="15"/>
                <w:b w:val="1"/>
                <w:bCs w:val="1"/>
                <w:color w:val="FFFFFF"/>
              </w:rPr>
              <w:t>EXECUTIVE COMMITTEE</w:t>
            </w:r>
          </w:p>
        </w:tc>
        <w:tc>
          <w:tcPr>
            <w:tcW w:w="3140" w:type="dxa"/>
            <w:vAlign w:val="bottom"/>
            <w:shd w:val="clear" w:color="auto" w:fill="333333"/>
          </w:tcPr>
          <w:p>
            <w:pPr>
              <w:spacing w:after="0"/>
              <w:rPr>
                <w:sz w:val="14"/>
                <w:szCs w:val="14"/>
                <w:color w:val="auto"/>
              </w:rPr>
            </w:pPr>
          </w:p>
        </w:tc>
        <w:tc>
          <w:tcPr>
            <w:tcW w:w="160" w:type="dxa"/>
            <w:vAlign w:val="bottom"/>
          </w:tcPr>
          <w:p>
            <w:pPr>
              <w:spacing w:after="0"/>
              <w:rPr>
                <w:sz w:val="14"/>
                <w:szCs w:val="14"/>
                <w:color w:val="auto"/>
              </w:rPr>
            </w:pPr>
          </w:p>
        </w:tc>
      </w:tr>
      <w:tr>
        <w:trPr>
          <w:trHeight w:val="167"/>
        </w:trPr>
        <w:tc>
          <w:tcPr>
            <w:tcW w:w="2340" w:type="dxa"/>
            <w:vAlign w:val="bottom"/>
          </w:tcPr>
          <w:p>
            <w:pPr>
              <w:spacing w:after="0"/>
              <w:rPr>
                <w:sz w:val="20"/>
                <w:szCs w:val="20"/>
                <w:color w:val="auto"/>
              </w:rPr>
            </w:pPr>
            <w:r>
              <w:rPr>
                <w:rFonts w:ascii="Arial" w:cs="Arial" w:eastAsia="Arial" w:hAnsi="Arial"/>
                <w:sz w:val="14"/>
                <w:szCs w:val="14"/>
                <w:color w:val="auto"/>
              </w:rPr>
              <w:t>Ben van Beurden</w:t>
            </w:r>
          </w:p>
        </w:tc>
        <w:tc>
          <w:tcPr>
            <w:tcW w:w="3300" w:type="dxa"/>
            <w:vAlign w:val="bottom"/>
            <w:gridSpan w:val="2"/>
          </w:tcPr>
          <w:p>
            <w:pPr>
              <w:ind w:left="460"/>
              <w:spacing w:after="0"/>
              <w:rPr>
                <w:sz w:val="20"/>
                <w:szCs w:val="20"/>
                <w:color w:val="auto"/>
              </w:rPr>
            </w:pPr>
            <w:r>
              <w:rPr>
                <w:rFonts w:ascii="Arial" w:cs="Arial" w:eastAsia="Arial" w:hAnsi="Arial"/>
                <w:sz w:val="14"/>
                <w:szCs w:val="14"/>
                <w:color w:val="auto"/>
              </w:rPr>
              <w:t>CEO [A][B][C]</w:t>
            </w:r>
          </w:p>
        </w:tc>
      </w:tr>
      <w:tr>
        <w:trPr>
          <w:trHeight w:val="162"/>
        </w:trPr>
        <w:tc>
          <w:tcPr>
            <w:tcW w:w="2340" w:type="dxa"/>
            <w:vAlign w:val="bottom"/>
          </w:tcPr>
          <w:p>
            <w:pPr>
              <w:spacing w:after="0"/>
              <w:rPr>
                <w:sz w:val="20"/>
                <w:szCs w:val="20"/>
                <w:color w:val="auto"/>
              </w:rPr>
            </w:pPr>
            <w:r>
              <w:rPr>
                <w:rFonts w:ascii="Arial" w:cs="Arial" w:eastAsia="Arial" w:hAnsi="Arial"/>
                <w:sz w:val="14"/>
                <w:szCs w:val="14"/>
                <w:color w:val="auto"/>
              </w:rPr>
              <w:t>Simon Henry</w:t>
            </w:r>
          </w:p>
        </w:tc>
        <w:tc>
          <w:tcPr>
            <w:tcW w:w="3300" w:type="dxa"/>
            <w:vAlign w:val="bottom"/>
            <w:gridSpan w:val="2"/>
          </w:tcPr>
          <w:p>
            <w:pPr>
              <w:ind w:left="460"/>
              <w:spacing w:after="0"/>
              <w:rPr>
                <w:sz w:val="20"/>
                <w:szCs w:val="20"/>
                <w:color w:val="auto"/>
              </w:rPr>
            </w:pPr>
            <w:r>
              <w:rPr>
                <w:rFonts w:ascii="Arial" w:cs="Arial" w:eastAsia="Arial" w:hAnsi="Arial"/>
                <w:sz w:val="14"/>
                <w:szCs w:val="14"/>
                <w:color w:val="auto"/>
              </w:rPr>
              <w:t>CFO [A][B]</w:t>
            </w:r>
          </w:p>
        </w:tc>
      </w:tr>
      <w:tr>
        <w:trPr>
          <w:trHeight w:val="162"/>
        </w:trPr>
        <w:tc>
          <w:tcPr>
            <w:tcW w:w="2340" w:type="dxa"/>
            <w:vAlign w:val="bottom"/>
          </w:tcPr>
          <w:p>
            <w:pPr>
              <w:spacing w:after="0"/>
              <w:rPr>
                <w:sz w:val="20"/>
                <w:szCs w:val="20"/>
                <w:color w:val="auto"/>
              </w:rPr>
            </w:pPr>
            <w:r>
              <w:rPr>
                <w:rFonts w:ascii="Arial" w:cs="Arial" w:eastAsia="Arial" w:hAnsi="Arial"/>
                <w:sz w:val="14"/>
                <w:szCs w:val="14"/>
                <w:color w:val="auto"/>
              </w:rPr>
              <w:t>John Abbott</w:t>
            </w:r>
          </w:p>
        </w:tc>
        <w:tc>
          <w:tcPr>
            <w:tcW w:w="3300" w:type="dxa"/>
            <w:vAlign w:val="bottom"/>
            <w:gridSpan w:val="2"/>
          </w:tcPr>
          <w:p>
            <w:pPr>
              <w:ind w:left="460"/>
              <w:spacing w:after="0"/>
              <w:rPr>
                <w:sz w:val="20"/>
                <w:szCs w:val="20"/>
                <w:color w:val="auto"/>
              </w:rPr>
            </w:pPr>
            <w:r>
              <w:rPr>
                <w:rFonts w:ascii="Arial" w:cs="Arial" w:eastAsia="Arial" w:hAnsi="Arial"/>
                <w:sz w:val="14"/>
                <w:szCs w:val="14"/>
                <w:color w:val="auto"/>
              </w:rPr>
              <w:t>Downstream Director [B]</w:t>
            </w:r>
          </w:p>
        </w:tc>
      </w:tr>
      <w:tr>
        <w:trPr>
          <w:trHeight w:val="162"/>
        </w:trPr>
        <w:tc>
          <w:tcPr>
            <w:tcW w:w="2340" w:type="dxa"/>
            <w:vAlign w:val="bottom"/>
          </w:tcPr>
          <w:p>
            <w:pPr>
              <w:spacing w:after="0"/>
              <w:rPr>
                <w:sz w:val="20"/>
                <w:szCs w:val="20"/>
                <w:color w:val="auto"/>
              </w:rPr>
            </w:pPr>
            <w:r>
              <w:rPr>
                <w:rFonts w:ascii="Arial" w:cs="Arial" w:eastAsia="Arial" w:hAnsi="Arial"/>
                <w:sz w:val="14"/>
                <w:szCs w:val="14"/>
                <w:color w:val="auto"/>
              </w:rPr>
              <w:t>Harry Brekelmans</w:t>
            </w:r>
          </w:p>
        </w:tc>
        <w:tc>
          <w:tcPr>
            <w:tcW w:w="3300" w:type="dxa"/>
            <w:vAlign w:val="bottom"/>
            <w:gridSpan w:val="2"/>
          </w:tcPr>
          <w:p>
            <w:pPr>
              <w:ind w:left="460"/>
              <w:spacing w:after="0"/>
              <w:rPr>
                <w:sz w:val="20"/>
                <w:szCs w:val="20"/>
                <w:color w:val="auto"/>
              </w:rPr>
            </w:pPr>
            <w:r>
              <w:rPr>
                <w:rFonts w:ascii="Arial" w:cs="Arial" w:eastAsia="Arial" w:hAnsi="Arial"/>
                <w:sz w:val="14"/>
                <w:szCs w:val="14"/>
                <w:color w:val="auto"/>
              </w:rPr>
              <w:t>Projects &amp; Technology Director [B][D]</w:t>
            </w:r>
          </w:p>
        </w:tc>
      </w:tr>
      <w:tr>
        <w:trPr>
          <w:trHeight w:val="162"/>
        </w:trPr>
        <w:tc>
          <w:tcPr>
            <w:tcW w:w="2340" w:type="dxa"/>
            <w:vAlign w:val="bottom"/>
          </w:tcPr>
          <w:p>
            <w:pPr>
              <w:spacing w:after="0"/>
              <w:rPr>
                <w:sz w:val="20"/>
                <w:szCs w:val="20"/>
                <w:color w:val="auto"/>
              </w:rPr>
            </w:pPr>
            <w:r>
              <w:rPr>
                <w:rFonts w:ascii="Arial" w:cs="Arial" w:eastAsia="Arial" w:hAnsi="Arial"/>
                <w:sz w:val="14"/>
                <w:szCs w:val="14"/>
                <w:color w:val="auto"/>
              </w:rPr>
              <w:t>Andrew Brown</w:t>
            </w:r>
          </w:p>
        </w:tc>
        <w:tc>
          <w:tcPr>
            <w:tcW w:w="3300" w:type="dxa"/>
            <w:vAlign w:val="bottom"/>
            <w:gridSpan w:val="2"/>
          </w:tcPr>
          <w:p>
            <w:pPr>
              <w:ind w:left="460"/>
              <w:spacing w:after="0"/>
              <w:rPr>
                <w:sz w:val="20"/>
                <w:szCs w:val="20"/>
                <w:color w:val="auto"/>
              </w:rPr>
            </w:pPr>
            <w:r>
              <w:rPr>
                <w:rFonts w:ascii="Arial" w:cs="Arial" w:eastAsia="Arial" w:hAnsi="Arial"/>
                <w:sz w:val="14"/>
                <w:szCs w:val="14"/>
                <w:color w:val="auto"/>
              </w:rPr>
              <w:t>Upstream International Director [B][E]</w:t>
            </w:r>
          </w:p>
        </w:tc>
      </w:tr>
      <w:tr>
        <w:trPr>
          <w:trHeight w:val="162"/>
        </w:trPr>
        <w:tc>
          <w:tcPr>
            <w:tcW w:w="2340" w:type="dxa"/>
            <w:vAlign w:val="bottom"/>
          </w:tcPr>
          <w:p>
            <w:pPr>
              <w:spacing w:after="0"/>
              <w:rPr>
                <w:sz w:val="20"/>
                <w:szCs w:val="20"/>
                <w:color w:val="auto"/>
              </w:rPr>
            </w:pPr>
            <w:r>
              <w:rPr>
                <w:rFonts w:ascii="Arial" w:cs="Arial" w:eastAsia="Arial" w:hAnsi="Arial"/>
                <w:sz w:val="14"/>
                <w:szCs w:val="14"/>
                <w:color w:val="auto"/>
              </w:rPr>
              <w:t>Donny Ching</w:t>
            </w:r>
          </w:p>
        </w:tc>
        <w:tc>
          <w:tcPr>
            <w:tcW w:w="3300" w:type="dxa"/>
            <w:vAlign w:val="bottom"/>
            <w:gridSpan w:val="2"/>
          </w:tcPr>
          <w:p>
            <w:pPr>
              <w:ind w:left="460"/>
              <w:spacing w:after="0"/>
              <w:rPr>
                <w:sz w:val="20"/>
                <w:szCs w:val="20"/>
                <w:color w:val="auto"/>
              </w:rPr>
            </w:pPr>
            <w:r>
              <w:rPr>
                <w:rFonts w:ascii="Arial" w:cs="Arial" w:eastAsia="Arial" w:hAnsi="Arial"/>
                <w:sz w:val="14"/>
                <w:szCs w:val="14"/>
                <w:color w:val="auto"/>
              </w:rPr>
              <w:t>Legal Director [B][F]</w:t>
            </w:r>
          </w:p>
        </w:tc>
      </w:tr>
      <w:tr>
        <w:trPr>
          <w:trHeight w:val="162"/>
        </w:trPr>
        <w:tc>
          <w:tcPr>
            <w:tcW w:w="2340" w:type="dxa"/>
            <w:vAlign w:val="bottom"/>
          </w:tcPr>
          <w:p>
            <w:pPr>
              <w:spacing w:after="0"/>
              <w:rPr>
                <w:sz w:val="20"/>
                <w:szCs w:val="20"/>
                <w:color w:val="auto"/>
              </w:rPr>
            </w:pPr>
            <w:r>
              <w:rPr>
                <w:rFonts w:ascii="Arial" w:cs="Arial" w:eastAsia="Arial" w:hAnsi="Arial"/>
                <w:sz w:val="14"/>
                <w:szCs w:val="14"/>
                <w:color w:val="auto"/>
              </w:rPr>
              <w:t>Hugh Mitchell</w:t>
            </w:r>
          </w:p>
        </w:tc>
        <w:tc>
          <w:tcPr>
            <w:tcW w:w="3300" w:type="dxa"/>
            <w:vAlign w:val="bottom"/>
            <w:gridSpan w:val="2"/>
          </w:tcPr>
          <w:p>
            <w:pPr>
              <w:ind w:left="460"/>
              <w:spacing w:after="0"/>
              <w:rPr>
                <w:sz w:val="20"/>
                <w:szCs w:val="20"/>
                <w:color w:val="auto"/>
              </w:rPr>
            </w:pPr>
            <w:r>
              <w:rPr>
                <w:rFonts w:ascii="Arial" w:cs="Arial" w:eastAsia="Arial" w:hAnsi="Arial"/>
                <w:sz w:val="14"/>
                <w:szCs w:val="14"/>
                <w:color w:val="auto"/>
              </w:rPr>
              <w:t>Chief Human Resources &amp; Corporate</w:t>
            </w:r>
          </w:p>
        </w:tc>
      </w:tr>
      <w:tr>
        <w:trPr>
          <w:trHeight w:val="162"/>
        </w:trPr>
        <w:tc>
          <w:tcPr>
            <w:tcW w:w="2340" w:type="dxa"/>
            <w:vAlign w:val="bottom"/>
          </w:tcPr>
          <w:p>
            <w:pPr>
              <w:spacing w:after="0"/>
              <w:rPr>
                <w:sz w:val="14"/>
                <w:szCs w:val="14"/>
                <w:color w:val="auto"/>
              </w:rPr>
            </w:pPr>
          </w:p>
        </w:tc>
        <w:tc>
          <w:tcPr>
            <w:tcW w:w="3300" w:type="dxa"/>
            <w:vAlign w:val="bottom"/>
            <w:gridSpan w:val="2"/>
          </w:tcPr>
          <w:p>
            <w:pPr>
              <w:ind w:left="460"/>
              <w:spacing w:after="0"/>
              <w:rPr>
                <w:sz w:val="20"/>
                <w:szCs w:val="20"/>
                <w:color w:val="auto"/>
              </w:rPr>
            </w:pPr>
            <w:r>
              <w:rPr>
                <w:rFonts w:ascii="Arial" w:cs="Arial" w:eastAsia="Arial" w:hAnsi="Arial"/>
                <w:sz w:val="14"/>
                <w:szCs w:val="14"/>
                <w:color w:val="auto"/>
              </w:rPr>
              <w:t>Officer [B]</w:t>
            </w:r>
          </w:p>
        </w:tc>
      </w:tr>
      <w:tr>
        <w:trPr>
          <w:trHeight w:val="157"/>
        </w:trPr>
        <w:tc>
          <w:tcPr>
            <w:tcW w:w="2340" w:type="dxa"/>
            <w:vAlign w:val="bottom"/>
            <w:tcBorders>
              <w:bottom w:val="single" w:sz="8" w:color="auto"/>
            </w:tcBorders>
          </w:tcPr>
          <w:p>
            <w:pPr>
              <w:spacing w:after="0" w:line="157" w:lineRule="exact"/>
              <w:rPr>
                <w:sz w:val="20"/>
                <w:szCs w:val="20"/>
                <w:color w:val="auto"/>
              </w:rPr>
            </w:pPr>
            <w:r>
              <w:rPr>
                <w:rFonts w:ascii="Arial" w:cs="Arial" w:eastAsia="Arial" w:hAnsi="Arial"/>
                <w:sz w:val="14"/>
                <w:szCs w:val="14"/>
                <w:color w:val="auto"/>
              </w:rPr>
              <w:t>Marvin Odum</w:t>
            </w:r>
          </w:p>
        </w:tc>
        <w:tc>
          <w:tcPr>
            <w:tcW w:w="3140" w:type="dxa"/>
            <w:vAlign w:val="bottom"/>
            <w:tcBorders>
              <w:bottom w:val="single" w:sz="8" w:color="auto"/>
            </w:tcBorders>
          </w:tcPr>
          <w:p>
            <w:pPr>
              <w:ind w:left="460"/>
              <w:spacing w:after="0" w:line="157" w:lineRule="exact"/>
              <w:rPr>
                <w:sz w:val="20"/>
                <w:szCs w:val="20"/>
                <w:color w:val="auto"/>
              </w:rPr>
            </w:pPr>
            <w:r>
              <w:rPr>
                <w:rFonts w:ascii="Arial" w:cs="Arial" w:eastAsia="Arial" w:hAnsi="Arial"/>
                <w:sz w:val="14"/>
                <w:szCs w:val="14"/>
                <w:color w:val="auto"/>
              </w:rPr>
              <w:t>Upstream Americas Director [B]</w:t>
            </w:r>
          </w:p>
        </w:tc>
        <w:tc>
          <w:tcPr>
            <w:tcW w:w="160" w:type="dxa"/>
            <w:vAlign w:val="bottom"/>
          </w:tcPr>
          <w:p>
            <w:pPr>
              <w:spacing w:after="0"/>
              <w:rPr>
                <w:sz w:val="13"/>
                <w:szCs w:val="13"/>
                <w:color w:val="auto"/>
              </w:rPr>
            </w:pPr>
          </w:p>
        </w:tc>
      </w:tr>
    </w:tbl>
    <w:p>
      <w:pPr>
        <w:spacing w:after="0" w:line="32" w:lineRule="exact"/>
        <w:rPr>
          <w:sz w:val="20"/>
          <w:szCs w:val="20"/>
          <w:color w:val="auto"/>
        </w:rPr>
      </w:pPr>
    </w:p>
    <w:p>
      <w:pPr>
        <w:ind w:left="160" w:hanging="160"/>
        <w:spacing w:after="0"/>
        <w:tabs>
          <w:tab w:leader="none" w:pos="160" w:val="left"/>
        </w:tabs>
        <w:numPr>
          <w:ilvl w:val="0"/>
          <w:numId w:val="63"/>
        </w:numPr>
        <w:rPr>
          <w:rFonts w:ascii="Arial" w:cs="Arial" w:eastAsia="Arial" w:hAnsi="Arial"/>
          <w:sz w:val="11"/>
          <w:szCs w:val="11"/>
          <w:color w:val="auto"/>
        </w:rPr>
      </w:pPr>
      <w:r>
        <w:rPr>
          <w:rFonts w:ascii="Arial" w:cs="Arial" w:eastAsia="Arial" w:hAnsi="Arial"/>
          <w:sz w:val="11"/>
          <w:szCs w:val="11"/>
          <w:color w:val="auto"/>
        </w:rPr>
        <w:t>Director of the Company.</w:t>
      </w:r>
    </w:p>
    <w:p>
      <w:pPr>
        <w:ind w:right="340"/>
        <w:spacing w:after="0" w:line="230" w:lineRule="auto"/>
        <w:tabs>
          <w:tab w:leader="none" w:pos="162" w:val="left"/>
        </w:tabs>
        <w:numPr>
          <w:ilvl w:val="0"/>
          <w:numId w:val="63"/>
        </w:numPr>
        <w:rPr>
          <w:rFonts w:ascii="Arial" w:cs="Arial" w:eastAsia="Arial" w:hAnsi="Arial"/>
          <w:sz w:val="11"/>
          <w:szCs w:val="11"/>
          <w:color w:val="auto"/>
        </w:rPr>
      </w:pPr>
      <w:r>
        <w:rPr>
          <w:rFonts w:ascii="Arial" w:cs="Arial" w:eastAsia="Arial" w:hAnsi="Arial"/>
          <w:sz w:val="11"/>
          <w:szCs w:val="11"/>
          <w:color w:val="auto"/>
        </w:rPr>
        <w:t>Designated an Executive Officer pursuant to US Exchange Act Rule 3b-7. Beneficially owns less than 1% of outstanding classes of securities.</w:t>
      </w:r>
    </w:p>
    <w:p>
      <w:pPr>
        <w:ind w:left="160" w:hanging="160"/>
        <w:spacing w:after="0" w:line="230" w:lineRule="auto"/>
        <w:tabs>
          <w:tab w:leader="none" w:pos="160" w:val="left"/>
        </w:tabs>
        <w:numPr>
          <w:ilvl w:val="0"/>
          <w:numId w:val="63"/>
        </w:numPr>
        <w:rPr>
          <w:rFonts w:ascii="Arial" w:cs="Arial" w:eastAsia="Arial" w:hAnsi="Arial"/>
          <w:sz w:val="11"/>
          <w:szCs w:val="11"/>
          <w:color w:val="auto"/>
        </w:rPr>
      </w:pPr>
      <w:r>
        <w:rPr>
          <w:rFonts w:ascii="Arial" w:cs="Arial" w:eastAsia="Arial" w:hAnsi="Arial"/>
          <w:sz w:val="11"/>
          <w:szCs w:val="11"/>
          <w:color w:val="auto"/>
        </w:rPr>
        <w:t>Ben van Beurden was appointed CEO in succession to Peter Voser with effect from January 1, 2014.</w:t>
      </w:r>
    </w:p>
    <w:p>
      <w:pPr>
        <w:ind w:right="240"/>
        <w:spacing w:after="0" w:line="230" w:lineRule="auto"/>
        <w:tabs>
          <w:tab w:leader="none" w:pos="168" w:val="left"/>
        </w:tabs>
        <w:numPr>
          <w:ilvl w:val="0"/>
          <w:numId w:val="63"/>
        </w:numPr>
        <w:rPr>
          <w:rFonts w:ascii="Arial" w:cs="Arial" w:eastAsia="Arial" w:hAnsi="Arial"/>
          <w:sz w:val="11"/>
          <w:szCs w:val="11"/>
          <w:color w:val="auto"/>
        </w:rPr>
      </w:pPr>
      <w:r>
        <w:rPr>
          <w:rFonts w:ascii="Arial" w:cs="Arial" w:eastAsia="Arial" w:hAnsi="Arial"/>
          <w:sz w:val="11"/>
          <w:szCs w:val="11"/>
          <w:color w:val="auto"/>
        </w:rPr>
        <w:t>Harry Brekelmans was appointed Projects &amp; Technology Director in succession to Matthias Bichsel with effect from October 1, 2014.</w:t>
      </w:r>
    </w:p>
    <w:p>
      <w:pPr>
        <w:ind w:right="300"/>
        <w:spacing w:after="0" w:line="230" w:lineRule="auto"/>
        <w:tabs>
          <w:tab w:leader="none" w:pos="162" w:val="left"/>
        </w:tabs>
        <w:numPr>
          <w:ilvl w:val="0"/>
          <w:numId w:val="63"/>
        </w:numPr>
        <w:rPr>
          <w:rFonts w:ascii="Arial" w:cs="Arial" w:eastAsia="Arial" w:hAnsi="Arial"/>
          <w:sz w:val="11"/>
          <w:szCs w:val="11"/>
          <w:color w:val="auto"/>
        </w:rPr>
      </w:pPr>
      <w:r>
        <w:rPr>
          <w:rFonts w:ascii="Arial" w:cs="Arial" w:eastAsia="Arial" w:hAnsi="Arial"/>
          <w:sz w:val="11"/>
          <w:szCs w:val="11"/>
          <w:color w:val="auto"/>
        </w:rPr>
        <w:t>For the period January 20, 2014 to March 31, 2014, Maarten Wetselaar, Executive Vice President Integrated Gas, was acting Upstream International Director while Andrew Brown was on recuperation leave following a medical procedure.</w:t>
      </w:r>
    </w:p>
    <w:p>
      <w:pPr>
        <w:spacing w:after="0" w:line="1" w:lineRule="exact"/>
        <w:rPr>
          <w:rFonts w:ascii="Arial" w:cs="Arial" w:eastAsia="Arial" w:hAnsi="Arial"/>
          <w:sz w:val="11"/>
          <w:szCs w:val="11"/>
          <w:color w:val="auto"/>
        </w:rPr>
      </w:pPr>
    </w:p>
    <w:p>
      <w:pPr>
        <w:ind w:right="360"/>
        <w:spacing w:after="0" w:line="238" w:lineRule="auto"/>
        <w:tabs>
          <w:tab w:leader="none" w:pos="156" w:val="left"/>
        </w:tabs>
        <w:numPr>
          <w:ilvl w:val="0"/>
          <w:numId w:val="63"/>
        </w:numPr>
        <w:rPr>
          <w:rFonts w:ascii="Arial" w:cs="Arial" w:eastAsia="Arial" w:hAnsi="Arial"/>
          <w:sz w:val="11"/>
          <w:szCs w:val="11"/>
          <w:color w:val="auto"/>
        </w:rPr>
      </w:pPr>
      <w:r>
        <w:rPr>
          <w:rFonts w:ascii="Arial" w:cs="Arial" w:eastAsia="Arial" w:hAnsi="Arial"/>
          <w:sz w:val="11"/>
          <w:szCs w:val="11"/>
          <w:color w:val="auto"/>
        </w:rPr>
        <w:t>Donny Ching was appointed Legal Director in succession to Peter Rees with effect from February 10, 2014. Peter Rees stood down with effect from January 10, 2014.</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BOARD COMMITTEES</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There are four Board committees made up of Non-executive Directors. These are the:</w:t>
      </w:r>
    </w:p>
    <w:p>
      <w:pPr>
        <w:spacing w:after="0" w:line="103" w:lineRule="exact"/>
        <w:rPr>
          <w:sz w:val="20"/>
          <w:szCs w:val="20"/>
          <w:color w:val="auto"/>
        </w:rPr>
      </w:pPr>
    </w:p>
    <w:p>
      <w:pPr>
        <w:ind w:left="160" w:hanging="160"/>
        <w:spacing w:after="0"/>
        <w:tabs>
          <w:tab w:leader="none" w:pos="160" w:val="left"/>
        </w:tabs>
        <w:numPr>
          <w:ilvl w:val="0"/>
          <w:numId w:val="64"/>
        </w:numPr>
        <w:rPr>
          <w:rFonts w:ascii="Arial" w:cs="Arial" w:eastAsia="Arial" w:hAnsi="Arial"/>
          <w:sz w:val="24"/>
          <w:szCs w:val="24"/>
          <w:color w:val="auto"/>
          <w:vertAlign w:val="superscript"/>
        </w:rPr>
      </w:pPr>
      <w:r>
        <w:rPr>
          <w:rFonts w:ascii="Arial" w:cs="Arial" w:eastAsia="Arial" w:hAnsi="Arial"/>
          <w:sz w:val="14"/>
          <w:szCs w:val="14"/>
          <w:color w:val="auto"/>
        </w:rPr>
        <w:t>Audit Committee;</w:t>
      </w:r>
    </w:p>
    <w:p>
      <w:pPr>
        <w:ind w:left="160" w:hanging="160"/>
        <w:spacing w:after="0" w:line="187" w:lineRule="auto"/>
        <w:tabs>
          <w:tab w:leader="none" w:pos="160" w:val="left"/>
        </w:tabs>
        <w:numPr>
          <w:ilvl w:val="0"/>
          <w:numId w:val="64"/>
        </w:numPr>
        <w:rPr>
          <w:rFonts w:ascii="Arial" w:cs="Arial" w:eastAsia="Arial" w:hAnsi="Arial"/>
          <w:sz w:val="18"/>
          <w:szCs w:val="18"/>
          <w:color w:val="auto"/>
          <w:vertAlign w:val="superscript"/>
        </w:rPr>
      </w:pPr>
      <w:r>
        <w:rPr>
          <w:rFonts w:ascii="Arial" w:cs="Arial" w:eastAsia="Arial" w:hAnsi="Arial"/>
          <w:sz w:val="11"/>
          <w:szCs w:val="11"/>
          <w:color w:val="auto"/>
        </w:rPr>
        <w:t>Corporate and Social Responsibility Committee;</w:t>
      </w:r>
    </w:p>
    <w:p>
      <w:pPr>
        <w:ind w:left="160" w:hanging="160"/>
        <w:spacing w:after="0" w:line="187" w:lineRule="auto"/>
        <w:tabs>
          <w:tab w:leader="none" w:pos="160" w:val="left"/>
        </w:tabs>
        <w:numPr>
          <w:ilvl w:val="0"/>
          <w:numId w:val="64"/>
        </w:numPr>
        <w:rPr>
          <w:rFonts w:ascii="Arial" w:cs="Arial" w:eastAsia="Arial" w:hAnsi="Arial"/>
          <w:sz w:val="18"/>
          <w:szCs w:val="18"/>
          <w:color w:val="auto"/>
          <w:vertAlign w:val="superscript"/>
        </w:rPr>
      </w:pPr>
      <w:r>
        <w:rPr>
          <w:rFonts w:ascii="Arial" w:cs="Arial" w:eastAsia="Arial" w:hAnsi="Arial"/>
          <w:sz w:val="11"/>
          <w:szCs w:val="11"/>
          <w:color w:val="auto"/>
        </w:rPr>
        <w:t>Nomination and Succession Committee; and</w:t>
      </w:r>
    </w:p>
    <w:p>
      <w:pPr>
        <w:ind w:left="160" w:hanging="160"/>
        <w:spacing w:after="0" w:line="189" w:lineRule="auto"/>
        <w:tabs>
          <w:tab w:leader="none" w:pos="160" w:val="left"/>
        </w:tabs>
        <w:numPr>
          <w:ilvl w:val="0"/>
          <w:numId w:val="64"/>
        </w:numPr>
        <w:rPr>
          <w:rFonts w:ascii="Arial" w:cs="Arial" w:eastAsia="Arial" w:hAnsi="Arial"/>
          <w:sz w:val="19"/>
          <w:szCs w:val="19"/>
          <w:color w:val="auto"/>
          <w:vertAlign w:val="superscript"/>
        </w:rPr>
      </w:pPr>
      <w:r>
        <w:rPr>
          <w:rFonts w:ascii="Arial" w:cs="Arial" w:eastAsia="Arial" w:hAnsi="Arial"/>
          <w:sz w:val="12"/>
          <w:szCs w:val="12"/>
          <w:color w:val="auto"/>
        </w:rPr>
        <w:t>Remuneration Committee.</w:t>
      </w:r>
    </w:p>
    <w:p>
      <w:pPr>
        <w:spacing w:after="0" w:line="179" w:lineRule="exact"/>
        <w:rPr>
          <w:sz w:val="20"/>
          <w:szCs w:val="20"/>
          <w:color w:val="auto"/>
        </w:rPr>
      </w:pPr>
    </w:p>
    <w:p>
      <w:pPr>
        <w:ind w:right="240"/>
        <w:spacing w:after="0" w:line="250" w:lineRule="auto"/>
        <w:rPr>
          <w:sz w:val="20"/>
          <w:szCs w:val="20"/>
          <w:color w:val="auto"/>
        </w:rPr>
      </w:pPr>
      <w:r>
        <w:rPr>
          <w:rFonts w:ascii="Arial" w:cs="Arial" w:eastAsia="Arial" w:hAnsi="Arial"/>
          <w:sz w:val="14"/>
          <w:szCs w:val="14"/>
          <w:color w:val="auto"/>
        </w:rPr>
        <w:t>Each of these Board committees has produced a report which has been approved by the relevant chairman. A copy of each committee’s terms of reference is available from the Company Secretary and can be found at www.shell.com/investor.</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color w:val="auto"/>
        </w:rPr>
        <w:t>Audit Committee</w:t>
      </w:r>
    </w:p>
    <w:p>
      <w:pPr>
        <w:spacing w:after="0" w:line="1" w:lineRule="exact"/>
        <w:rPr>
          <w:sz w:val="20"/>
          <w:szCs w:val="20"/>
          <w:color w:val="auto"/>
        </w:rPr>
      </w:pPr>
    </w:p>
    <w:p>
      <w:pPr>
        <w:ind w:right="480"/>
        <w:spacing w:after="0" w:line="258" w:lineRule="auto"/>
        <w:rPr>
          <w:sz w:val="20"/>
          <w:szCs w:val="20"/>
          <w:color w:val="auto"/>
        </w:rPr>
      </w:pPr>
      <w:r>
        <w:rPr>
          <w:rFonts w:ascii="Arial" w:cs="Arial" w:eastAsia="Arial" w:hAnsi="Arial"/>
          <w:sz w:val="14"/>
          <w:szCs w:val="14"/>
          <w:color w:val="auto"/>
        </w:rPr>
        <w:t>The Audit Committee report which sets out the composition and work of the Audit Committee is on pages 76-78.</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Corporate and Social Responsibility Committee</w:t>
      </w:r>
    </w:p>
    <w:p>
      <w:pPr>
        <w:spacing w:after="0" w:line="1" w:lineRule="exact"/>
        <w:rPr>
          <w:sz w:val="20"/>
          <w:szCs w:val="20"/>
          <w:color w:val="auto"/>
        </w:rPr>
      </w:pPr>
    </w:p>
    <w:p>
      <w:pPr>
        <w:ind w:right="180"/>
        <w:spacing w:after="0" w:line="247" w:lineRule="auto"/>
        <w:rPr>
          <w:sz w:val="20"/>
          <w:szCs w:val="20"/>
          <w:color w:val="auto"/>
        </w:rPr>
      </w:pPr>
      <w:r>
        <w:rPr>
          <w:rFonts w:ascii="Arial" w:cs="Arial" w:eastAsia="Arial" w:hAnsi="Arial"/>
          <w:sz w:val="14"/>
          <w:szCs w:val="14"/>
          <w:color w:val="auto"/>
        </w:rPr>
        <w:t>The current members of the Corporate and Social Responsibility Committee are Charles O. Holliday (Chairman of the Committee), Sir Nigel Sheinwald, Patricia A. Woertz (with effect from June 1, 2014) and Gerrit Zalm. The Committee met five times during the year; the Committee members’ attendances are shown on page 67.</w:t>
      </w:r>
    </w:p>
    <w:p>
      <w:pPr>
        <w:spacing w:after="0" w:line="175" w:lineRule="exact"/>
        <w:rPr>
          <w:sz w:val="20"/>
          <w:szCs w:val="20"/>
          <w:color w:val="auto"/>
        </w:rPr>
      </w:pPr>
    </w:p>
    <w:p>
      <w:pPr>
        <w:ind w:right="180"/>
        <w:spacing w:after="0" w:line="245" w:lineRule="auto"/>
        <w:rPr>
          <w:sz w:val="20"/>
          <w:szCs w:val="20"/>
          <w:color w:val="auto"/>
        </w:rPr>
      </w:pPr>
      <w:r>
        <w:rPr>
          <w:rFonts w:ascii="Arial" w:cs="Arial" w:eastAsia="Arial" w:hAnsi="Arial"/>
          <w:sz w:val="14"/>
          <w:szCs w:val="14"/>
          <w:color w:val="auto"/>
        </w:rPr>
        <w:t>The Committee has a mandate to maintain a comprehensive overview of the policies and performance of the subsidiaries of the Company with respect to the Shell General Business Principles and the Shell Code of Conduct, as well as major issues of public concern. Conclusions and recommendations made by the Committee are reported directly to executive management and the Board.</w:t>
      </w:r>
    </w:p>
    <w:p>
      <w:pPr>
        <w:spacing w:after="0" w:line="164" w:lineRule="exact"/>
        <w:rPr>
          <w:sz w:val="20"/>
          <w:szCs w:val="20"/>
          <w:color w:val="auto"/>
        </w:rPr>
      </w:pPr>
    </w:p>
    <w:p>
      <w:pPr>
        <w:ind w:right="240"/>
        <w:spacing w:after="0" w:line="247" w:lineRule="auto"/>
        <w:rPr>
          <w:sz w:val="20"/>
          <w:szCs w:val="20"/>
          <w:color w:val="auto"/>
        </w:rPr>
      </w:pPr>
      <w:r>
        <w:rPr>
          <w:rFonts w:ascii="Arial" w:cs="Arial" w:eastAsia="Arial" w:hAnsi="Arial"/>
          <w:sz w:val="14"/>
          <w:szCs w:val="14"/>
          <w:color w:val="auto"/>
        </w:rPr>
        <w:t>The Committee fulfils its responsibilities by reviewing the management of health, safety, security, environmental and social impacts of projects and operations. It also monitors emerging environmental and social issues. It additionally provides input into the Shell Sustainability Report and reviews a draft of the report before publication.</w:t>
      </w:r>
    </w:p>
    <w:p>
      <w:pPr>
        <w:spacing w:after="0" w:line="161" w:lineRule="exact"/>
        <w:rPr>
          <w:sz w:val="20"/>
          <w:szCs w:val="20"/>
          <w:color w:val="auto"/>
        </w:rPr>
      </w:pPr>
    </w:p>
    <w:p>
      <w:pPr>
        <w:ind w:right="180"/>
        <w:spacing w:after="0" w:line="250" w:lineRule="auto"/>
        <w:rPr>
          <w:sz w:val="20"/>
          <w:szCs w:val="20"/>
          <w:color w:val="auto"/>
        </w:rPr>
      </w:pPr>
      <w:r>
        <w:rPr>
          <w:rFonts w:ascii="Arial" w:cs="Arial" w:eastAsia="Arial" w:hAnsi="Arial"/>
          <w:sz w:val="14"/>
          <w:szCs w:val="14"/>
          <w:color w:val="auto"/>
        </w:rPr>
        <w:t>In addition to holding regular formal meetings, the Committee visits Shell locations and meets with local staff and external stakeholders to observe how Shell’s standards regarding health, safety, security, the</w:t>
      </w:r>
    </w:p>
    <w:p>
      <w:pPr>
        <w:sectPr>
          <w:pgSz w:w="11900" w:h="16838" w:orient="portrait"/>
          <w:cols w:equalWidth="0" w:num="2">
            <w:col w:w="5500" w:space="280"/>
            <w:col w:w="5640"/>
          </w:cols>
          <w:pgMar w:left="240" w:top="459" w:right="239" w:bottom="1440" w:gutter="0" w:footer="0" w:header="0"/>
          <w:type w:val="continuous"/>
        </w:sectPr>
      </w:pPr>
    </w:p>
    <w:bookmarkStart w:id="70" w:name="page71"/>
    <w:bookmarkEnd w:id="70"/>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3555365</wp:posOffset>
            </wp:positionH>
            <wp:positionV relativeFrom="paragraph">
              <wp:posOffset>314960</wp:posOffset>
            </wp:positionV>
            <wp:extent cx="3696335" cy="46291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3696335" cy="462915"/>
                    </a:xfrm>
                    <a:prstGeom prst="rect">
                      <a:avLst/>
                    </a:prstGeom>
                    <a:noFill/>
                  </pic:spPr>
                </pic:pic>
              </a:graphicData>
            </a:graphic>
          </wp:anchor>
        </w:drawing>
      </w:r>
    </w:p>
    <w:p>
      <w:pPr>
        <w:sectPr>
          <w:pgSz w:w="11900" w:h="16838" w:orient="portrait"/>
          <w:cols w:equalWidth="0" w:num="1">
            <w:col w:w="11240"/>
          </w:cols>
          <w:pgMar w:left="240" w:top="459" w:right="4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11"/>
          <w:szCs w:val="11"/>
          <w:color w:val="auto"/>
        </w:rPr>
        <w:t>SHELL ANNUAL REPORT AND FORM 20-F 2014</w:t>
      </w:r>
    </w:p>
    <w:p>
      <w:pPr>
        <w:spacing w:after="0" w:line="57" w:lineRule="exact"/>
        <w:rPr>
          <w:sz w:val="20"/>
          <w:szCs w:val="20"/>
          <w:color w:val="auto"/>
        </w:rPr>
      </w:pPr>
    </w:p>
    <w:p>
      <w:pPr>
        <w:ind w:right="60"/>
        <w:spacing w:after="0" w:line="247" w:lineRule="auto"/>
        <w:rPr>
          <w:sz w:val="20"/>
          <w:szCs w:val="20"/>
          <w:color w:val="auto"/>
        </w:rPr>
      </w:pPr>
      <w:r>
        <w:rPr>
          <w:rFonts w:ascii="Arial" w:cs="Arial" w:eastAsia="Arial" w:hAnsi="Arial"/>
          <w:sz w:val="14"/>
          <w:szCs w:val="14"/>
          <w:color w:val="auto"/>
        </w:rPr>
        <w:t>environment and social performance are being implemented. In 2014, the Committee visited operations in Canada, including Groundbirch, Kitimat and the oil sands, and the Rijswijk Technology Centre in the Netherlands. It also visited Washington, DC, USA where it met with several non-governmental organisations.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color w:val="auto"/>
        </w:rPr>
        <w:t>Nomination and Succession Committee</w:t>
      </w:r>
    </w:p>
    <w:p>
      <w:pPr>
        <w:spacing w:after="0" w:line="1" w:lineRule="exact"/>
        <w:rPr>
          <w:sz w:val="20"/>
          <w:szCs w:val="20"/>
          <w:color w:val="auto"/>
        </w:rPr>
      </w:pPr>
    </w:p>
    <w:p>
      <w:pPr>
        <w:ind w:right="200"/>
        <w:spacing w:after="0" w:line="245" w:lineRule="auto"/>
        <w:rPr>
          <w:sz w:val="20"/>
          <w:szCs w:val="20"/>
          <w:color w:val="auto"/>
        </w:rPr>
      </w:pPr>
      <w:r>
        <w:rPr>
          <w:rFonts w:ascii="Arial" w:cs="Arial" w:eastAsia="Arial" w:hAnsi="Arial"/>
          <w:sz w:val="14"/>
          <w:szCs w:val="14"/>
          <w:color w:val="auto"/>
        </w:rPr>
        <w:t>The members of the Nomination and Succession Committee are Jorma Ollila (Chairman of the Committee), Guy Elliott (with effect from May 21, 2014) and Hans Wijers. Josef Ackermann stood down as a member of the Committee on May 20, 2014. The Committee met six times during the year; the Committee members’ attendances are shown on page 67.</w:t>
      </w:r>
    </w:p>
    <w:p>
      <w:pPr>
        <w:spacing w:after="0" w:line="164" w:lineRule="exact"/>
        <w:rPr>
          <w:sz w:val="20"/>
          <w:szCs w:val="20"/>
          <w:color w:val="auto"/>
        </w:rPr>
      </w:pPr>
    </w:p>
    <w:p>
      <w:pPr>
        <w:ind w:right="60"/>
        <w:spacing w:after="0" w:line="243" w:lineRule="auto"/>
        <w:rPr>
          <w:sz w:val="20"/>
          <w:szCs w:val="20"/>
          <w:color w:val="auto"/>
        </w:rPr>
      </w:pPr>
      <w:r>
        <w:rPr>
          <w:rFonts w:ascii="Arial" w:cs="Arial" w:eastAsia="Arial" w:hAnsi="Arial"/>
          <w:sz w:val="14"/>
          <w:szCs w:val="14"/>
          <w:color w:val="auto"/>
        </w:rPr>
        <w:t>The Committee keeps under review the leadership needs of the Company and identifies and nominates suitable candidates for the Board’s approval to fill vacancies as and when they arise. In addition, it makes recommendations on who should be appointed Chairman of the Audit Committee, the Corporate and Social Responsibility Committee and the Remuneration Committee and, in consultation with the relevant chairman, recommends who should sit on the Board committees. It also makes recommendations on corporate governance guidelines, monitors compliance with corporate governance requirements and makes recommendations on disclosures connected with corporate governance of its appointment processes.</w:t>
      </w:r>
    </w:p>
    <w:p>
      <w:pPr>
        <w:spacing w:after="0" w:line="167" w:lineRule="exact"/>
        <w:rPr>
          <w:sz w:val="20"/>
          <w:szCs w:val="20"/>
          <w:color w:val="auto"/>
        </w:rPr>
      </w:pPr>
    </w:p>
    <w:p>
      <w:pPr>
        <w:ind w:right="400"/>
        <w:spacing w:after="0" w:line="241" w:lineRule="auto"/>
        <w:rPr>
          <w:sz w:val="20"/>
          <w:szCs w:val="20"/>
          <w:color w:val="auto"/>
        </w:rPr>
      </w:pPr>
      <w:r>
        <w:rPr>
          <w:rFonts w:ascii="Arial" w:cs="Arial" w:eastAsia="Arial" w:hAnsi="Arial"/>
          <w:sz w:val="14"/>
          <w:szCs w:val="14"/>
          <w:color w:val="auto"/>
        </w:rPr>
        <w:t>During the year, the Committee dealt with the appointment of the new Chairman (under the chairmanship of the Deputy Chairman), two new</w:t>
      </w:r>
    </w:p>
    <w:p>
      <w:pPr>
        <w:spacing w:after="0" w:line="1" w:lineRule="exact"/>
        <w:rPr>
          <w:sz w:val="20"/>
          <w:szCs w:val="20"/>
          <w:color w:val="auto"/>
        </w:rPr>
      </w:pPr>
    </w:p>
    <w:p>
      <w:pPr>
        <w:spacing w:after="0" w:line="241" w:lineRule="auto"/>
        <w:rPr>
          <w:sz w:val="20"/>
          <w:szCs w:val="20"/>
          <w:color w:val="auto"/>
        </w:rPr>
      </w:pPr>
      <w:r>
        <w:rPr>
          <w:rFonts w:ascii="Arial" w:cs="Arial" w:eastAsia="Arial" w:hAnsi="Arial"/>
          <w:sz w:val="14"/>
          <w:szCs w:val="14"/>
          <w:color w:val="auto"/>
        </w:rPr>
        <w:t>Non-executive Directors and the new Projects &amp; Technology Director. In relation to the appointment of the new Chairman, it was assisted by</w:t>
      </w:r>
    </w:p>
    <w:p>
      <w:pPr>
        <w:spacing w:after="0" w:line="1" w:lineRule="exact"/>
        <w:rPr>
          <w:sz w:val="20"/>
          <w:szCs w:val="20"/>
          <w:color w:val="auto"/>
        </w:rPr>
      </w:pPr>
    </w:p>
    <w:p>
      <w:pPr>
        <w:ind w:right="60"/>
        <w:spacing w:after="0" w:line="243" w:lineRule="auto"/>
        <w:rPr>
          <w:sz w:val="20"/>
          <w:szCs w:val="20"/>
          <w:color w:val="auto"/>
        </w:rPr>
      </w:pPr>
      <w:r>
        <w:rPr>
          <w:rFonts w:ascii="Arial" w:cs="Arial" w:eastAsia="Arial" w:hAnsi="Arial"/>
          <w:sz w:val="14"/>
          <w:szCs w:val="14"/>
          <w:color w:val="auto"/>
        </w:rPr>
        <w:t>an external search consultancy (see below) whose main role was to propose suitable external candidates. After careful consideration of internal and external candidates against established criteria, including availability of time to fulfil the responsibilities of the role, the Committee made a recommendation to the Board to appoint Charles O. Holliday with effect from the conclusion of the 2015 AGM [A]. The appointment process for the two new Non-executive Directors involved the Committee drawing up a candidate profile in terms of skills, knowledge, experience, nationality and gender and, following an interview and benchmarking process, making a recommendation to the Board. In both cases, the Board then sought shareholder approval for the appointments at the 2014 AGM.</w:t>
      </w:r>
    </w:p>
    <w:p>
      <w:pPr>
        <w:spacing w:after="0" w:line="180" w:lineRule="exact"/>
        <w:rPr>
          <w:sz w:val="20"/>
          <w:szCs w:val="20"/>
          <w:color w:val="auto"/>
        </w:rPr>
      </w:pPr>
    </w:p>
    <w:p>
      <w:pPr>
        <w:ind w:right="120"/>
        <w:spacing w:after="0" w:line="244" w:lineRule="auto"/>
        <w:rPr>
          <w:sz w:val="20"/>
          <w:szCs w:val="20"/>
          <w:color w:val="auto"/>
        </w:rPr>
      </w:pPr>
      <w:r>
        <w:rPr>
          <w:rFonts w:ascii="Arial" w:cs="Arial" w:eastAsia="Arial" w:hAnsi="Arial"/>
          <w:sz w:val="14"/>
          <w:szCs w:val="14"/>
          <w:color w:val="auto"/>
        </w:rPr>
        <w:t>In addition to continuing its ongoing programme of succession planning for the Non-executive Directors, the Committee considered the Executive Committee talent pipeline, Board committee membership, and a request from an Executive Director to accept an external directorship. It also led the Board evaluation process, considered any potential conflicts of interest and the independence of the Non-executive Directors and reviewed its terms of reference.</w:t>
      </w:r>
    </w:p>
    <w:p>
      <w:pPr>
        <w:spacing w:after="0" w:line="166" w:lineRule="exact"/>
        <w:rPr>
          <w:sz w:val="20"/>
          <w:szCs w:val="20"/>
          <w:color w:val="auto"/>
        </w:rPr>
      </w:pPr>
    </w:p>
    <w:p>
      <w:pPr>
        <w:ind w:right="20"/>
        <w:spacing w:after="0" w:line="243" w:lineRule="auto"/>
        <w:rPr>
          <w:sz w:val="20"/>
          <w:szCs w:val="20"/>
          <w:color w:val="auto"/>
        </w:rPr>
      </w:pPr>
      <w:r>
        <w:rPr>
          <w:rFonts w:ascii="Arial" w:cs="Arial" w:eastAsia="Arial" w:hAnsi="Arial"/>
          <w:sz w:val="14"/>
          <w:szCs w:val="14"/>
          <w:color w:val="auto"/>
        </w:rPr>
        <w:t>The Board takes the issue of boardroom diversity very seriously and believes that maintaining an appropriate balance of skills, knowledge, experience and backgrounds is key to its effective performance. It believes gender diversity is an important element of this mix. In 2011, it issued a statement welcoming the recommendations of the Davies Report and stated that it expected at least 25% of the Directors to be women by 2015, as recommended by the report. After the appointment of two women as Directors during the year, there were a total of three women on the Board at the end of 2014, increasing the percentage of women to 25%.</w:t>
      </w:r>
    </w:p>
    <w:p>
      <w:pPr>
        <w:spacing w:after="0" w:line="168" w:lineRule="exact"/>
        <w:rPr>
          <w:sz w:val="20"/>
          <w:szCs w:val="20"/>
          <w:color w:val="auto"/>
        </w:rPr>
      </w:pPr>
    </w:p>
    <w:p>
      <w:pPr>
        <w:ind w:right="20"/>
        <w:spacing w:after="0" w:line="247" w:lineRule="auto"/>
        <w:rPr>
          <w:sz w:val="20"/>
          <w:szCs w:val="20"/>
          <w:color w:val="auto"/>
        </w:rPr>
      </w:pPr>
      <w:r>
        <w:rPr>
          <w:rFonts w:ascii="Arial" w:cs="Arial" w:eastAsia="Arial" w:hAnsi="Arial"/>
          <w:sz w:val="14"/>
          <w:szCs w:val="14"/>
          <w:color w:val="auto"/>
        </w:rPr>
        <w:t>As part of its role in identifying and nominating suitable candidates for the Board’s approval, the Nomination and Succession Committee will continue to review candidates from a variety of backgrounds and will seek to produce a list of candidates that fully reflects the Board’s goal of becoming more diverse.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spacing w:after="0" w:line="1" w:lineRule="exact"/>
        <w:rPr>
          <w:sz w:val="1"/>
          <w:szCs w:val="1"/>
          <w:color w:val="auto"/>
        </w:rPr>
      </w:pPr>
    </w:p>
    <w:tbl>
      <w:tblPr>
        <w:tblLayout w:type="fixed"/>
        <w:tblInd w:w="740" w:type="dxa"/>
        <w:tblCellMar>
          <w:top w:w="0" w:type="dxa"/>
          <w:left w:w="0" w:type="dxa"/>
          <w:bottom w:w="0" w:type="dxa"/>
          <w:right w:w="0" w:type="dxa"/>
        </w:tblCellMar>
      </w:tblPr>
      <w:tr>
        <w:trPr>
          <w:trHeight w:val="161"/>
        </w:trPr>
        <w:tc>
          <w:tcPr>
            <w:tcW w:w="2580" w:type="dxa"/>
            <w:vAlign w:val="bottom"/>
          </w:tcPr>
          <w:p>
            <w:pPr>
              <w:spacing w:after="0"/>
              <w:rPr>
                <w:sz w:val="20"/>
                <w:szCs w:val="20"/>
                <w:color w:val="auto"/>
              </w:rPr>
            </w:pPr>
            <w:r>
              <w:rPr>
                <w:rFonts w:ascii="Arial" w:cs="Arial" w:eastAsia="Arial" w:hAnsi="Arial"/>
                <w:sz w:val="13"/>
                <w:szCs w:val="13"/>
                <w:color w:val="333333"/>
              </w:rPr>
              <w:t>GOVERNANCE</w:t>
            </w:r>
          </w:p>
        </w:tc>
        <w:tc>
          <w:tcPr>
            <w:tcW w:w="1820" w:type="dxa"/>
            <w:vAlign w:val="bottom"/>
          </w:tcPr>
          <w:p>
            <w:pPr>
              <w:jc w:val="right"/>
              <w:spacing w:after="0"/>
              <w:rPr>
                <w:sz w:val="20"/>
                <w:szCs w:val="20"/>
                <w:color w:val="auto"/>
              </w:rPr>
            </w:pPr>
            <w:r>
              <w:rPr>
                <w:rFonts w:ascii="Arial" w:cs="Arial" w:eastAsia="Arial" w:hAnsi="Arial"/>
                <w:sz w:val="11"/>
                <w:szCs w:val="11"/>
                <w:b w:val="1"/>
                <w:bCs w:val="1"/>
                <w:color w:val="333333"/>
              </w:rPr>
              <w:t>69</w:t>
            </w:r>
          </w:p>
        </w:tc>
      </w:tr>
    </w:tbl>
    <w:p>
      <w:pPr>
        <w:spacing w:after="0" w:line="161" w:lineRule="exact"/>
        <w:rPr>
          <w:sz w:val="20"/>
          <w:szCs w:val="20"/>
          <w:color w:val="auto"/>
        </w:rPr>
      </w:pPr>
    </w:p>
    <w:p>
      <w:pPr>
        <w:ind w:left="740"/>
        <w:spacing w:after="0"/>
        <w:rPr>
          <w:sz w:val="20"/>
          <w:szCs w:val="20"/>
          <w:color w:val="auto"/>
        </w:rPr>
      </w:pPr>
      <w:r>
        <w:rPr>
          <w:rFonts w:ascii="Arial" w:cs="Arial" w:eastAsia="Arial" w:hAnsi="Arial"/>
          <w:sz w:val="11"/>
          <w:szCs w:val="11"/>
          <w:color w:val="auto"/>
        </w:rPr>
        <w:t>CORPORATE GOVERNANCE</w:t>
      </w:r>
    </w:p>
    <w:p>
      <w:pPr>
        <w:spacing w:after="0" w:line="57" w:lineRule="exact"/>
        <w:rPr>
          <w:sz w:val="20"/>
          <w:szCs w:val="20"/>
          <w:color w:val="auto"/>
        </w:rPr>
      </w:pPr>
    </w:p>
    <w:p>
      <w:pPr>
        <w:ind w:right="80"/>
        <w:spacing w:after="0" w:line="244" w:lineRule="auto"/>
        <w:rPr>
          <w:sz w:val="20"/>
          <w:szCs w:val="20"/>
          <w:color w:val="auto"/>
        </w:rPr>
      </w:pPr>
      <w:r>
        <w:rPr>
          <w:rFonts w:ascii="Arial" w:cs="Arial" w:eastAsia="Arial" w:hAnsi="Arial"/>
          <w:sz w:val="14"/>
          <w:szCs w:val="14"/>
          <w:color w:val="auto"/>
        </w:rPr>
        <w:t>The Committee maintains contact with leading global search firms to identify and consider suitable candidates. It used the services of Egon Zehnder in relation to the appointment of the new Chairman, and Spencer Stuart in relation to the appointment of Euleen Goh [B]. It did not use an external search consultancy in relation to the appointment of Patricia A. Woertz. It was not considered necessary to use open advertising in relation to these appointments.</w:t>
      </w:r>
    </w:p>
    <w:p>
      <w:pPr>
        <w:spacing w:after="0" w:line="23" w:lineRule="exact"/>
        <w:rPr>
          <w:sz w:val="20"/>
          <w:szCs w:val="20"/>
          <w:color w:val="auto"/>
        </w:rPr>
      </w:pPr>
    </w:p>
    <w:p>
      <w:pPr>
        <w:ind w:right="360"/>
        <w:spacing w:after="0" w:line="230" w:lineRule="auto"/>
        <w:tabs>
          <w:tab w:leader="none" w:pos="162" w:val="left"/>
        </w:tabs>
        <w:numPr>
          <w:ilvl w:val="0"/>
          <w:numId w:val="65"/>
        </w:numPr>
        <w:rPr>
          <w:rFonts w:ascii="Arial" w:cs="Arial" w:eastAsia="Arial" w:hAnsi="Arial"/>
          <w:sz w:val="11"/>
          <w:szCs w:val="11"/>
          <w:color w:val="auto"/>
        </w:rPr>
      </w:pPr>
      <w:r>
        <w:rPr>
          <w:rFonts w:ascii="Arial" w:cs="Arial" w:eastAsia="Arial" w:hAnsi="Arial"/>
          <w:sz w:val="11"/>
          <w:szCs w:val="11"/>
          <w:color w:val="auto"/>
        </w:rPr>
        <w:t>Charles O. Holliday’s biography can be found on page 59. As stated in the biography, he stood down as Chairman of Bank of America Corporation in September 2014.</w:t>
      </w:r>
    </w:p>
    <w:p>
      <w:pPr>
        <w:ind w:right="180"/>
        <w:spacing w:after="0" w:line="238" w:lineRule="auto"/>
        <w:tabs>
          <w:tab w:leader="none" w:pos="162" w:val="left"/>
        </w:tabs>
        <w:numPr>
          <w:ilvl w:val="0"/>
          <w:numId w:val="65"/>
        </w:numPr>
        <w:rPr>
          <w:rFonts w:ascii="Arial" w:cs="Arial" w:eastAsia="Arial" w:hAnsi="Arial"/>
          <w:sz w:val="11"/>
          <w:szCs w:val="11"/>
          <w:color w:val="auto"/>
        </w:rPr>
      </w:pPr>
      <w:r>
        <w:rPr>
          <w:rFonts w:ascii="Arial" w:cs="Arial" w:eastAsia="Arial" w:hAnsi="Arial"/>
          <w:sz w:val="11"/>
          <w:szCs w:val="11"/>
          <w:color w:val="auto"/>
        </w:rPr>
        <w:t>Neither Egon Zehnder nor Spencer Stuart have any connection with the Company other than that of search consultants.</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Remuneration Committee</w:t>
      </w:r>
    </w:p>
    <w:p>
      <w:pPr>
        <w:spacing w:after="0" w:line="1" w:lineRule="exact"/>
        <w:rPr>
          <w:sz w:val="20"/>
          <w:szCs w:val="20"/>
          <w:color w:val="auto"/>
        </w:rPr>
      </w:pPr>
    </w:p>
    <w:p>
      <w:pPr>
        <w:ind w:right="80"/>
        <w:spacing w:after="0" w:line="247" w:lineRule="auto"/>
        <w:rPr>
          <w:sz w:val="20"/>
          <w:szCs w:val="20"/>
          <w:color w:val="auto"/>
        </w:rPr>
      </w:pPr>
      <w:r>
        <w:rPr>
          <w:rFonts w:ascii="Arial" w:cs="Arial" w:eastAsia="Arial" w:hAnsi="Arial"/>
          <w:sz w:val="14"/>
          <w:szCs w:val="14"/>
          <w:color w:val="auto"/>
        </w:rPr>
        <w:t>The Directors’ Remuneration Report, which sets out the composition and work of the Remuneration Committee, the Directors’ remuneration for 2014 and the Directors’ Remuneration Policy which was approved by shareholders at the 2014 AGM, is on pages 79-98.</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color w:val="auto"/>
        </w:rPr>
        <w:t>SHAREHOLDER COMMUNICATIONS</w:t>
      </w:r>
    </w:p>
    <w:p>
      <w:pPr>
        <w:spacing w:after="0" w:line="1" w:lineRule="exact"/>
        <w:rPr>
          <w:sz w:val="20"/>
          <w:szCs w:val="20"/>
          <w:color w:val="auto"/>
        </w:rPr>
      </w:pPr>
    </w:p>
    <w:p>
      <w:pPr>
        <w:spacing w:after="0" w:line="243" w:lineRule="auto"/>
        <w:rPr>
          <w:sz w:val="20"/>
          <w:szCs w:val="20"/>
          <w:color w:val="auto"/>
        </w:rPr>
      </w:pPr>
      <w:r>
        <w:rPr>
          <w:rFonts w:ascii="Arial" w:cs="Arial" w:eastAsia="Arial" w:hAnsi="Arial"/>
          <w:sz w:val="14"/>
          <w:szCs w:val="14"/>
          <w:color w:val="auto"/>
        </w:rPr>
        <w:t>The Board recognises the importance of two-way communication with the Company’s shareholders. The Chairman, the Deputy Chairman and Senior Independent Director, the CEO, the CFO and the Executive Vice President Investor Relations each meet regularly with major shareholders and report the views of such shareholders to the Board. As well as the Company giving a balanced report of results and progress at each AGM, all shareholders have an opportunity to ask questions in person. Shareholders are also free to contact the Company directly at any time of the year via dedicated shareholder email addresses or via dedicated shareholder telephone numbers as given on the inside back cover of this Report. Shell’s corporate website at www.shell.com/investor has information for institutional and retail shareholders alike.</w:t>
      </w:r>
    </w:p>
    <w:p>
      <w:pPr>
        <w:spacing w:after="0" w:line="180" w:lineRule="exact"/>
        <w:rPr>
          <w:sz w:val="20"/>
          <w:szCs w:val="20"/>
          <w:color w:val="auto"/>
        </w:rPr>
      </w:pPr>
    </w:p>
    <w:p>
      <w:pPr>
        <w:ind w:right="120"/>
        <w:spacing w:after="0" w:line="245" w:lineRule="auto"/>
        <w:rPr>
          <w:sz w:val="20"/>
          <w:szCs w:val="20"/>
          <w:color w:val="auto"/>
        </w:rPr>
      </w:pPr>
      <w:r>
        <w:rPr>
          <w:rFonts w:ascii="Arial" w:cs="Arial" w:eastAsia="Arial" w:hAnsi="Arial"/>
          <w:sz w:val="14"/>
          <w:szCs w:val="14"/>
          <w:color w:val="auto"/>
        </w:rPr>
        <w:t>The Company’s Registrar, Equiniti, operates an internet access facility for registered shareholders, providing details of their shareholdings at www.shareview.co.uk. Facilities are also provided for shareholders to lodge proxy appointments electronically. The Company’s Corporate Nominee provides a facility for investors to hold their shares in the Company in paperless form.</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color w:val="auto"/>
        </w:rPr>
        <w:t>RESULTS PRESENTATIONS AND ANALYSTS’ MEETINGS</w:t>
      </w:r>
    </w:p>
    <w:p>
      <w:pPr>
        <w:spacing w:after="0" w:line="1" w:lineRule="exact"/>
        <w:rPr>
          <w:sz w:val="20"/>
          <w:szCs w:val="20"/>
          <w:color w:val="auto"/>
        </w:rPr>
      </w:pPr>
    </w:p>
    <w:p>
      <w:pPr>
        <w:ind w:right="20"/>
        <w:spacing w:after="0" w:line="244" w:lineRule="auto"/>
        <w:rPr>
          <w:sz w:val="20"/>
          <w:szCs w:val="20"/>
          <w:color w:val="auto"/>
        </w:rPr>
      </w:pPr>
      <w:r>
        <w:rPr>
          <w:rFonts w:ascii="Arial" w:cs="Arial" w:eastAsia="Arial" w:hAnsi="Arial"/>
          <w:sz w:val="14"/>
          <w:szCs w:val="14"/>
          <w:color w:val="auto"/>
        </w:rPr>
        <w:t>The quarterly, half-yearly and annual results presentations as well as all major analysts’ meetings are announced in advance on the Shell website and through a regulatory release. These presentations are broadcast live via webcast and teleconference. Other meetings with analysts or investors are not normally announced in advance, nor can they be followed remotely by webcast or any other means. Procedures are in place to ensure that discussions in such meetings are always limited to non-material information or information already in the public domain.</w:t>
      </w:r>
    </w:p>
    <w:p>
      <w:pPr>
        <w:spacing w:after="0" w:line="164" w:lineRule="exact"/>
        <w:rPr>
          <w:sz w:val="20"/>
          <w:szCs w:val="20"/>
          <w:color w:val="auto"/>
        </w:rPr>
      </w:pPr>
    </w:p>
    <w:p>
      <w:pPr>
        <w:ind w:right="20"/>
        <w:spacing w:after="0" w:line="247" w:lineRule="auto"/>
        <w:rPr>
          <w:sz w:val="20"/>
          <w:szCs w:val="20"/>
          <w:color w:val="auto"/>
        </w:rPr>
      </w:pPr>
      <w:r>
        <w:rPr>
          <w:rFonts w:ascii="Arial" w:cs="Arial" w:eastAsia="Arial" w:hAnsi="Arial"/>
          <w:sz w:val="14"/>
          <w:szCs w:val="14"/>
          <w:color w:val="auto"/>
        </w:rPr>
        <w:t>Results and meeting presentations can be found at www.shell.com. This is in line with the requirement to ensure that all shareholders and other parties in the financial market have equal and simultaneous access to information that may influence the price of the Company’s securities.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color w:val="auto"/>
        </w:rPr>
        <w:t>NOTIFICATION OF MAJOR SHAREHOLDINGS</w:t>
      </w:r>
    </w:p>
    <w:p>
      <w:pPr>
        <w:spacing w:after="0" w:line="1" w:lineRule="exact"/>
        <w:rPr>
          <w:sz w:val="20"/>
          <w:szCs w:val="20"/>
          <w:color w:val="auto"/>
        </w:rPr>
      </w:pPr>
    </w:p>
    <w:p>
      <w:pPr>
        <w:ind w:right="260"/>
        <w:spacing w:after="0" w:line="258" w:lineRule="auto"/>
        <w:rPr>
          <w:sz w:val="20"/>
          <w:szCs w:val="20"/>
          <w:color w:val="auto"/>
        </w:rPr>
      </w:pPr>
      <w:r>
        <w:rPr>
          <w:rFonts w:ascii="Arial" w:cs="Arial" w:eastAsia="Arial" w:hAnsi="Arial"/>
          <w:sz w:val="14"/>
          <w:szCs w:val="14"/>
          <w:color w:val="auto"/>
        </w:rPr>
        <w:t>Information concerning notifications of major shareholdings can be found on page 180.</w:t>
      </w:r>
    </w:p>
    <w:p>
      <w:pPr>
        <w:spacing w:after="0" w:line="148" w:lineRule="exact"/>
        <w:rPr>
          <w:sz w:val="20"/>
          <w:szCs w:val="20"/>
          <w:color w:val="auto"/>
        </w:rPr>
      </w:pPr>
    </w:p>
    <w:p>
      <w:pPr>
        <w:ind w:right="40"/>
        <w:spacing w:after="0" w:line="238" w:lineRule="auto"/>
        <w:rPr>
          <w:sz w:val="20"/>
          <w:szCs w:val="20"/>
          <w:color w:val="auto"/>
        </w:rPr>
      </w:pPr>
      <w:r>
        <w:rPr>
          <w:rFonts w:ascii="Arial" w:cs="Arial" w:eastAsia="Arial" w:hAnsi="Arial"/>
          <w:sz w:val="18"/>
          <w:szCs w:val="18"/>
          <w:color w:val="auto"/>
        </w:rPr>
        <w:t>RESPONSIBILITY FOR PREPARING THE ANNUAL REPORT AND ACCOUNTS</w:t>
      </w:r>
    </w:p>
    <w:p>
      <w:pPr>
        <w:ind w:right="540"/>
        <w:spacing w:after="0" w:line="258" w:lineRule="auto"/>
        <w:rPr>
          <w:sz w:val="20"/>
          <w:szCs w:val="20"/>
          <w:color w:val="auto"/>
        </w:rPr>
      </w:pPr>
      <w:r>
        <w:rPr>
          <w:rFonts w:ascii="Arial" w:cs="Arial" w:eastAsia="Arial" w:hAnsi="Arial"/>
          <w:sz w:val="14"/>
          <w:szCs w:val="14"/>
          <w:color w:val="auto"/>
        </w:rPr>
        <w:t>Information concerning the responsibility for preparing the Annual Report and Accounts can be found on page 62.</w:t>
      </w:r>
    </w:p>
    <w:p>
      <w:pPr>
        <w:sectPr>
          <w:pgSz w:w="11900" w:h="16838" w:orient="portrait"/>
          <w:cols w:equalWidth="0" w:num="2">
            <w:col w:w="5480" w:space="300"/>
            <w:col w:w="5460"/>
          </w:cols>
          <w:pgMar w:left="240" w:top="459" w:right="419" w:bottom="1440" w:gutter="0" w:footer="0" w:header="0"/>
          <w:type w:val="continuous"/>
        </w:sectPr>
      </w:pPr>
    </w:p>
    <w:bookmarkStart w:id="71" w:name="page72"/>
    <w:bookmarkEnd w:id="71"/>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314960</wp:posOffset>
            </wp:positionV>
            <wp:extent cx="3627755" cy="46291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3627755" cy="462915"/>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p>
      <w:pPr>
        <w:spacing w:after="0" w:line="200" w:lineRule="exact"/>
        <w:rPr>
          <w:sz w:val="20"/>
          <w:szCs w:val="20"/>
          <w:color w:val="auto"/>
        </w:rPr>
      </w:pP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419"/>
        </w:trPr>
        <w:tc>
          <w:tcPr>
            <w:tcW w:w="2260" w:type="dxa"/>
            <w:vAlign w:val="bottom"/>
            <w:shd w:val="clear" w:color="auto" w:fill="FF8B00"/>
          </w:tcPr>
          <w:p>
            <w:pPr>
              <w:spacing w:after="0"/>
              <w:rPr>
                <w:sz w:val="24"/>
                <w:szCs w:val="24"/>
                <w:color w:val="auto"/>
              </w:rPr>
            </w:pPr>
          </w:p>
        </w:tc>
        <w:tc>
          <w:tcPr>
            <w:tcW w:w="3460" w:type="dxa"/>
            <w:vAlign w:val="bottom"/>
            <w:shd w:val="clear" w:color="auto" w:fill="FF8B00"/>
          </w:tcPr>
          <w:p>
            <w:pPr>
              <w:spacing w:after="0"/>
              <w:rPr>
                <w:sz w:val="24"/>
                <w:szCs w:val="24"/>
                <w:color w:val="auto"/>
              </w:rPr>
            </w:pPr>
          </w:p>
        </w:tc>
      </w:tr>
      <w:tr>
        <w:trPr>
          <w:trHeight w:val="152"/>
        </w:trPr>
        <w:tc>
          <w:tcPr>
            <w:tcW w:w="2260" w:type="dxa"/>
            <w:vAlign w:val="bottom"/>
          </w:tcPr>
          <w:p>
            <w:pPr>
              <w:jc w:val="right"/>
              <w:ind w:right="1726"/>
              <w:spacing w:after="0"/>
              <w:rPr>
                <w:sz w:val="20"/>
                <w:szCs w:val="20"/>
                <w:color w:val="auto"/>
              </w:rPr>
            </w:pPr>
            <w:r>
              <w:rPr>
                <w:rFonts w:ascii="Arial" w:cs="Arial" w:eastAsia="Arial" w:hAnsi="Arial"/>
                <w:sz w:val="11"/>
                <w:szCs w:val="11"/>
                <w:b w:val="1"/>
                <w:bCs w:val="1"/>
                <w:color w:val="333333"/>
              </w:rPr>
              <w:t>70</w:t>
            </w:r>
          </w:p>
        </w:tc>
        <w:tc>
          <w:tcPr>
            <w:tcW w:w="3460" w:type="dxa"/>
            <w:vAlign w:val="bottom"/>
          </w:tcPr>
          <w:p>
            <w:pPr>
              <w:ind w:left="1780"/>
              <w:spacing w:after="0"/>
              <w:rPr>
                <w:sz w:val="20"/>
                <w:szCs w:val="20"/>
                <w:color w:val="auto"/>
              </w:rPr>
            </w:pPr>
            <w:r>
              <w:rPr>
                <w:rFonts w:ascii="Arial" w:cs="Arial" w:eastAsia="Arial" w:hAnsi="Arial"/>
                <w:sz w:val="13"/>
                <w:szCs w:val="13"/>
                <w:color w:val="333333"/>
              </w:rPr>
              <w:t>GOVERNANCE</w:t>
            </w:r>
          </w:p>
        </w:tc>
      </w:tr>
    </w:tbl>
    <w:p>
      <w:pPr>
        <w:spacing w:after="0" w:line="155" w:lineRule="exact"/>
        <w:rPr>
          <w:sz w:val="20"/>
          <w:szCs w:val="20"/>
          <w:color w:val="auto"/>
        </w:rPr>
      </w:pPr>
    </w:p>
    <w:p>
      <w:pPr>
        <w:ind w:left="3460"/>
        <w:spacing w:after="0"/>
        <w:rPr>
          <w:sz w:val="20"/>
          <w:szCs w:val="20"/>
          <w:color w:val="auto"/>
        </w:rPr>
      </w:pPr>
      <w:r>
        <w:rPr>
          <w:rFonts w:ascii="Arial" w:cs="Arial" w:eastAsia="Arial" w:hAnsi="Arial"/>
          <w:sz w:val="11"/>
          <w:szCs w:val="11"/>
          <w:color w:val="auto"/>
        </w:rPr>
        <w:t>CORPORATE GOVERNANCE</w:t>
      </w:r>
    </w:p>
    <w:p>
      <w:pPr>
        <w:spacing w:after="0" w:line="48" w:lineRule="exact"/>
        <w:rPr>
          <w:sz w:val="20"/>
          <w:szCs w:val="20"/>
          <w:color w:val="auto"/>
        </w:rPr>
      </w:pPr>
    </w:p>
    <w:p>
      <w:pPr>
        <w:ind w:left="20"/>
        <w:spacing w:after="0"/>
        <w:rPr>
          <w:sz w:val="20"/>
          <w:szCs w:val="20"/>
          <w:color w:val="auto"/>
        </w:rPr>
      </w:pPr>
      <w:r>
        <w:rPr>
          <w:rFonts w:ascii="Arial" w:cs="Arial" w:eastAsia="Arial" w:hAnsi="Arial"/>
          <w:sz w:val="24"/>
          <w:szCs w:val="24"/>
          <w:color w:val="auto"/>
        </w:rPr>
        <w:t xml:space="preserve">CORPORATE GOVERNANCE </w:t>
      </w:r>
      <w:r>
        <w:rPr>
          <w:rFonts w:ascii="Arial" w:cs="Arial" w:eastAsia="Arial" w:hAnsi="Arial"/>
          <w:sz w:val="24"/>
          <w:szCs w:val="24"/>
          <w:color w:val="666666"/>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3473450" cy="889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CONTROLS AND PROCEDURES</w:t>
      </w:r>
    </w:p>
    <w:p>
      <w:pPr>
        <w:spacing w:after="0" w:line="1" w:lineRule="exact"/>
        <w:rPr>
          <w:sz w:val="20"/>
          <w:szCs w:val="20"/>
          <w:color w:val="auto"/>
        </w:rPr>
      </w:pPr>
    </w:p>
    <w:p>
      <w:pPr>
        <w:ind w:right="240"/>
        <w:spacing w:after="0" w:line="247" w:lineRule="auto"/>
        <w:rPr>
          <w:sz w:val="20"/>
          <w:szCs w:val="20"/>
          <w:color w:val="auto"/>
        </w:rPr>
      </w:pPr>
      <w:r>
        <w:rPr>
          <w:rFonts w:ascii="Arial" w:cs="Arial" w:eastAsia="Arial" w:hAnsi="Arial"/>
          <w:sz w:val="14"/>
          <w:szCs w:val="14"/>
          <w:color w:val="auto"/>
        </w:rPr>
        <w:t>The Board is responsible for maintaining a sound system of risk management and internal control, and for regularly reviewing its effectiveness. It has delegated authority to the Audit Committee to assist it in fulfilling its responsibilities in relation to internal control and financial reporting (see “Audit Committee Report”).</w:t>
      </w:r>
    </w:p>
    <w:p>
      <w:pPr>
        <w:spacing w:after="0" w:line="161" w:lineRule="exact"/>
        <w:rPr>
          <w:sz w:val="20"/>
          <w:szCs w:val="20"/>
          <w:color w:val="auto"/>
        </w:rPr>
      </w:pPr>
    </w:p>
    <w:p>
      <w:pPr>
        <w:ind w:right="500"/>
        <w:spacing w:after="0" w:line="247" w:lineRule="auto"/>
        <w:rPr>
          <w:sz w:val="20"/>
          <w:szCs w:val="20"/>
          <w:color w:val="auto"/>
        </w:rPr>
      </w:pPr>
      <w:r>
        <w:rPr>
          <w:rFonts w:ascii="Arial" w:cs="Arial" w:eastAsia="Arial" w:hAnsi="Arial"/>
          <w:sz w:val="14"/>
          <w:szCs w:val="14"/>
          <w:color w:val="auto"/>
        </w:rPr>
        <w:t>A single overall control framework is in place for the Company and its subsidiaries that is designed to manage rather than eliminate the risk of failure to achieve business objectives. It therefore only provides a reasonable and not an absolute assurance against material misstatement or loss.</w:t>
      </w:r>
    </w:p>
    <w:p>
      <w:pPr>
        <w:spacing w:after="0" w:line="161" w:lineRule="exact"/>
        <w:rPr>
          <w:sz w:val="20"/>
          <w:szCs w:val="20"/>
          <w:color w:val="auto"/>
        </w:rPr>
      </w:pPr>
    </w:p>
    <w:p>
      <w:pPr>
        <w:ind w:right="240"/>
        <w:spacing w:after="0" w:line="243" w:lineRule="auto"/>
        <w:rPr>
          <w:sz w:val="20"/>
          <w:szCs w:val="20"/>
          <w:color w:val="auto"/>
        </w:rPr>
      </w:pPr>
      <w:r>
        <w:rPr>
          <w:rFonts w:ascii="Arial" w:cs="Arial" w:eastAsia="Arial" w:hAnsi="Arial"/>
          <w:sz w:val="14"/>
          <w:szCs w:val="14"/>
          <w:color w:val="auto"/>
        </w:rPr>
        <w:t>The following diagram illustrates the control framework’s key components: “Foundations”, “Management Processes” and “Organisation”. In 2013, the control framework was updated to put greater emphasis on the link between objectives, risks, controls and assurance. “Foundations” comprises the objectives, principles and rules that underpin and establish boundaries for Shell’s activities. “Management Processes” refers to the more material management processes, including how strategy, planning and appraisal are used to improve performance and how risks are to be managed through effective controls and assurance. “Organisation” sets out how the various legal entities relate to each other and how their business activities are organised and managed, and how authority is delegated.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128270</wp:posOffset>
            </wp:positionV>
            <wp:extent cx="2795905" cy="244411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2795905" cy="24441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right="240"/>
        <w:spacing w:after="0" w:line="245" w:lineRule="auto"/>
        <w:rPr>
          <w:sz w:val="20"/>
          <w:szCs w:val="20"/>
          <w:color w:val="auto"/>
        </w:rPr>
      </w:pPr>
      <w:r>
        <w:rPr>
          <w:rFonts w:ascii="Arial" w:cs="Arial" w:eastAsia="Arial" w:hAnsi="Arial"/>
          <w:sz w:val="14"/>
          <w:szCs w:val="14"/>
          <w:color w:val="auto"/>
        </w:rPr>
        <w:t>The system of risk management and internal control over financial reporting is an integral part of the control framework. Regular reviews are performed to identify the significant risks to financial reporting and the key controls designed to address them. These controls are documented, responsibility is assigned, and they are monitored for design and operating effectiveness. Controls found not to be effective are remediated.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3240"/>
        <w:spacing w:after="0"/>
        <w:rPr>
          <w:sz w:val="20"/>
          <w:szCs w:val="20"/>
          <w:color w:val="auto"/>
        </w:rPr>
      </w:pPr>
      <w:r>
        <w:rPr>
          <w:rFonts w:ascii="Arial" w:cs="Arial" w:eastAsia="Arial" w:hAnsi="Arial"/>
          <w:sz w:val="10"/>
          <w:szCs w:val="10"/>
          <w:color w:val="auto"/>
        </w:rPr>
        <w:t>SHELL ANNUAL REPORT AND FORM 20-F 2014</w:t>
      </w:r>
    </w:p>
    <w:p>
      <w:pPr>
        <w:spacing w:after="0" w:line="69" w:lineRule="exact"/>
        <w:rPr>
          <w:sz w:val="20"/>
          <w:szCs w:val="20"/>
          <w:color w:val="auto"/>
        </w:rPr>
      </w:pPr>
    </w:p>
    <w:p>
      <w:pPr>
        <w:ind w:right="220"/>
        <w:spacing w:after="0" w:line="245" w:lineRule="auto"/>
        <w:rPr>
          <w:sz w:val="20"/>
          <w:szCs w:val="20"/>
          <w:color w:val="auto"/>
        </w:rPr>
      </w:pPr>
      <w:r>
        <w:rPr>
          <w:rFonts w:ascii="Arial" w:cs="Arial" w:eastAsia="Arial" w:hAnsi="Arial"/>
          <w:sz w:val="14"/>
          <w:szCs w:val="14"/>
          <w:color w:val="auto"/>
        </w:rPr>
        <w:t>The Board confirms that there is an ongoing process for identifying, evaluating and managing the significant risks to the achievement of Shell’s objectives. This has been in place throughout the year and up to the date of this Report and is regularly reviewed by the Board and accords with the Internal Control: Guidance to Directors (formerly known as the Turnbull Guidance).</w:t>
      </w:r>
    </w:p>
    <w:p>
      <w:pPr>
        <w:spacing w:after="0" w:line="178" w:lineRule="exact"/>
        <w:rPr>
          <w:sz w:val="20"/>
          <w:szCs w:val="20"/>
          <w:color w:val="auto"/>
        </w:rPr>
      </w:pPr>
    </w:p>
    <w:p>
      <w:pPr>
        <w:ind w:right="180"/>
        <w:spacing w:after="0" w:line="245" w:lineRule="auto"/>
        <w:rPr>
          <w:sz w:val="20"/>
          <w:szCs w:val="20"/>
          <w:color w:val="auto"/>
        </w:rPr>
      </w:pPr>
      <w:r>
        <w:rPr>
          <w:rFonts w:ascii="Arial" w:cs="Arial" w:eastAsia="Arial" w:hAnsi="Arial"/>
          <w:sz w:val="14"/>
          <w:szCs w:val="14"/>
          <w:color w:val="auto"/>
        </w:rPr>
        <w:t>Shell has a variety of processes for obtaining assurance on the adequacy of risk management and internal control. The Executive Committee and the Audit Committee regularly consider group-level risks and associated control mechanisms. The Board has conducted its annual review of the effectiveness of Shell’s system of risk management and internal control, including financial, operational and compliance controls.</w:t>
      </w:r>
    </w:p>
    <w:p>
      <w:pPr>
        <w:spacing w:after="0" w:line="321" w:lineRule="exact"/>
        <w:rPr>
          <w:sz w:val="20"/>
          <w:szCs w:val="20"/>
          <w:color w:val="auto"/>
        </w:rPr>
      </w:pPr>
    </w:p>
    <w:p>
      <w:pPr>
        <w:spacing w:after="0"/>
        <w:rPr>
          <w:sz w:val="20"/>
          <w:szCs w:val="20"/>
          <w:color w:val="auto"/>
        </w:rPr>
      </w:pPr>
      <w:r>
        <w:rPr>
          <w:rFonts w:ascii="Arial" w:cs="Arial" w:eastAsia="Arial" w:hAnsi="Arial"/>
          <w:sz w:val="18"/>
          <w:szCs w:val="18"/>
          <w:color w:val="auto"/>
        </w:rPr>
        <w:t>Pension plans</w:t>
      </w:r>
    </w:p>
    <w:p>
      <w:pPr>
        <w:spacing w:after="0" w:line="1" w:lineRule="exact"/>
        <w:rPr>
          <w:sz w:val="20"/>
          <w:szCs w:val="20"/>
          <w:color w:val="auto"/>
        </w:rPr>
      </w:pPr>
    </w:p>
    <w:p>
      <w:pPr>
        <w:ind w:right="280"/>
        <w:spacing w:after="0" w:line="245" w:lineRule="auto"/>
        <w:rPr>
          <w:sz w:val="20"/>
          <w:szCs w:val="20"/>
          <w:color w:val="auto"/>
        </w:rPr>
      </w:pPr>
      <w:r>
        <w:rPr>
          <w:rFonts w:ascii="Arial" w:cs="Arial" w:eastAsia="Arial" w:hAnsi="Arial"/>
          <w:sz w:val="14"/>
          <w:szCs w:val="14"/>
          <w:color w:val="auto"/>
        </w:rPr>
        <w:t>Shell has a number of ways to address key pension risks. Principal among these is the Pensions Forum, a joint finance and human resources body chaired by the CFO, which provides guidance on Shell’s input to pension strategy, policy and operation. The Forum is supported by the Pensions Risk Committee in reviewing the results of assurance processes with respect to pension risks (see “Risk factors”).</w:t>
      </w:r>
    </w:p>
    <w:p>
      <w:pPr>
        <w:spacing w:after="0" w:line="164" w:lineRule="exact"/>
        <w:rPr>
          <w:sz w:val="20"/>
          <w:szCs w:val="20"/>
          <w:color w:val="auto"/>
        </w:rPr>
      </w:pPr>
    </w:p>
    <w:p>
      <w:pPr>
        <w:ind w:right="240"/>
        <w:spacing w:after="0" w:line="244" w:lineRule="auto"/>
        <w:rPr>
          <w:sz w:val="20"/>
          <w:szCs w:val="20"/>
          <w:color w:val="auto"/>
        </w:rPr>
      </w:pPr>
      <w:r>
        <w:rPr>
          <w:rFonts w:ascii="Arial" w:cs="Arial" w:eastAsia="Arial" w:hAnsi="Arial"/>
          <w:sz w:val="14"/>
          <w:szCs w:val="14"/>
          <w:color w:val="auto"/>
        </w:rPr>
        <w:t>In general, local trustees manage the funded defined benefit pension plans and set the required contributions based on independent actuarial valuations in accordance with local regulations rather than the IFRS measures. For further information regarding the judgement applied in setting the actuarial assumptions under IFRS and its relationship to the financial position of Shell, see Notes 3 and 17 to the “Consolidated Financial Statements”.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color w:val="auto"/>
        </w:rPr>
        <w:t>Treasury and trading</w:t>
      </w:r>
    </w:p>
    <w:p>
      <w:pPr>
        <w:spacing w:after="0" w:line="1" w:lineRule="exact"/>
        <w:rPr>
          <w:sz w:val="20"/>
          <w:szCs w:val="20"/>
          <w:color w:val="auto"/>
        </w:rPr>
      </w:pPr>
    </w:p>
    <w:p>
      <w:pPr>
        <w:jc w:val="both"/>
        <w:ind w:right="320"/>
        <w:spacing w:after="0" w:line="250" w:lineRule="auto"/>
        <w:rPr>
          <w:sz w:val="20"/>
          <w:szCs w:val="20"/>
          <w:color w:val="auto"/>
        </w:rPr>
      </w:pPr>
      <w:r>
        <w:rPr>
          <w:rFonts w:ascii="Arial" w:cs="Arial" w:eastAsia="Arial" w:hAnsi="Arial"/>
          <w:sz w:val="14"/>
          <w:szCs w:val="14"/>
          <w:color w:val="auto"/>
        </w:rPr>
        <w:t>In the normal course of business, financial instruments of various kinds are used for the purposes of managing exposure to interest rate, currency and commodity price movements.</w:t>
      </w:r>
    </w:p>
    <w:p>
      <w:pPr>
        <w:spacing w:after="0" w:line="159" w:lineRule="exact"/>
        <w:rPr>
          <w:sz w:val="20"/>
          <w:szCs w:val="20"/>
          <w:color w:val="auto"/>
        </w:rPr>
      </w:pPr>
    </w:p>
    <w:p>
      <w:pPr>
        <w:ind w:right="200"/>
        <w:spacing w:after="0" w:line="244" w:lineRule="auto"/>
        <w:rPr>
          <w:sz w:val="20"/>
          <w:szCs w:val="20"/>
          <w:color w:val="auto"/>
        </w:rPr>
      </w:pPr>
      <w:r>
        <w:rPr>
          <w:rFonts w:ascii="Arial" w:cs="Arial" w:eastAsia="Arial" w:hAnsi="Arial"/>
          <w:sz w:val="14"/>
          <w:szCs w:val="14"/>
          <w:color w:val="auto"/>
        </w:rPr>
        <w:t>Treasury standards are applicable to all subsidiaries, and each subsidiary is required to adopt a treasury policy consistent with these standards. These policies cover: financing structure; interest rate and foreign exchange risk management; insurance; counterparty risk management; and use of derivative instruments. Wherever possible, treasury operations are carried out through specialist regional organisations without removing from each subsidiary the responsibility to formulate and implement appropriate treasury policies.</w:t>
      </w:r>
    </w:p>
    <w:p>
      <w:pPr>
        <w:spacing w:after="0" w:line="164" w:lineRule="exact"/>
        <w:rPr>
          <w:sz w:val="20"/>
          <w:szCs w:val="20"/>
          <w:color w:val="auto"/>
        </w:rPr>
      </w:pPr>
    </w:p>
    <w:p>
      <w:pPr>
        <w:ind w:right="260"/>
        <w:spacing w:after="0" w:line="250" w:lineRule="auto"/>
        <w:rPr>
          <w:sz w:val="20"/>
          <w:szCs w:val="20"/>
          <w:color w:val="auto"/>
        </w:rPr>
      </w:pPr>
      <w:r>
        <w:rPr>
          <w:rFonts w:ascii="Arial" w:cs="Arial" w:eastAsia="Arial" w:hAnsi="Arial"/>
          <w:sz w:val="14"/>
          <w:szCs w:val="14"/>
          <w:color w:val="auto"/>
        </w:rPr>
        <w:t>Apart from forward foreign exchange contracts to meet known commitments, the use of derivative financial instruments by most subsidiaries is not permitted by their treasury policy.</w:t>
      </w:r>
    </w:p>
    <w:p>
      <w:pPr>
        <w:spacing w:after="0" w:line="172" w:lineRule="exact"/>
        <w:rPr>
          <w:sz w:val="20"/>
          <w:szCs w:val="20"/>
          <w:color w:val="auto"/>
        </w:rPr>
      </w:pPr>
    </w:p>
    <w:p>
      <w:pPr>
        <w:ind w:right="200"/>
        <w:spacing w:after="0" w:line="250" w:lineRule="auto"/>
        <w:rPr>
          <w:sz w:val="20"/>
          <w:szCs w:val="20"/>
          <w:color w:val="auto"/>
        </w:rPr>
      </w:pPr>
      <w:r>
        <w:rPr>
          <w:rFonts w:ascii="Arial" w:cs="Arial" w:eastAsia="Arial" w:hAnsi="Arial"/>
          <w:sz w:val="14"/>
          <w:szCs w:val="14"/>
          <w:color w:val="auto"/>
        </w:rPr>
        <w:t>Other than in exceptional cases, the use of external derivative instruments is confined to specialist trading and central treasury organisations that have appropriate skills, experience, supervision, control and reporting systems.</w:t>
      </w:r>
    </w:p>
    <w:p>
      <w:pPr>
        <w:spacing w:after="0" w:line="159" w:lineRule="exact"/>
        <w:rPr>
          <w:sz w:val="20"/>
          <w:szCs w:val="20"/>
          <w:color w:val="auto"/>
        </w:rPr>
      </w:pPr>
    </w:p>
    <w:p>
      <w:pPr>
        <w:ind w:right="160"/>
        <w:spacing w:after="0" w:line="258" w:lineRule="auto"/>
        <w:rPr>
          <w:sz w:val="20"/>
          <w:szCs w:val="20"/>
          <w:color w:val="auto"/>
        </w:rPr>
      </w:pPr>
      <w:r>
        <w:rPr>
          <w:rFonts w:ascii="Arial" w:cs="Arial" w:eastAsia="Arial" w:hAnsi="Arial"/>
          <w:sz w:val="14"/>
          <w:szCs w:val="14"/>
          <w:color w:val="auto"/>
        </w:rPr>
        <w:t>Shell’s operations expose it to market, credit and liquidity risk, as described in Note 19 to the “Consolidated Financial Statements”.</w:t>
      </w:r>
    </w:p>
    <w:p>
      <w:pPr>
        <w:spacing w:after="0" w:line="148" w:lineRule="exact"/>
        <w:rPr>
          <w:sz w:val="20"/>
          <w:szCs w:val="20"/>
          <w:color w:val="auto"/>
        </w:rPr>
      </w:pPr>
    </w:p>
    <w:p>
      <w:pPr>
        <w:ind w:right="340"/>
        <w:spacing w:after="0" w:line="238" w:lineRule="auto"/>
        <w:rPr>
          <w:sz w:val="20"/>
          <w:szCs w:val="20"/>
          <w:color w:val="auto"/>
        </w:rPr>
      </w:pPr>
      <w:r>
        <w:rPr>
          <w:rFonts w:ascii="Arial" w:cs="Arial" w:eastAsia="Arial" w:hAnsi="Arial"/>
          <w:sz w:val="18"/>
          <w:szCs w:val="18"/>
          <w:color w:val="auto"/>
        </w:rPr>
        <w:t>Management’s evaluation of disclosure controls and procedures of Shell</w:t>
      </w:r>
    </w:p>
    <w:p>
      <w:pPr>
        <w:ind w:right="260"/>
        <w:spacing w:after="0" w:line="247" w:lineRule="auto"/>
        <w:rPr>
          <w:sz w:val="20"/>
          <w:szCs w:val="20"/>
          <w:color w:val="auto"/>
        </w:rPr>
      </w:pPr>
      <w:r>
        <w:rPr>
          <w:rFonts w:ascii="Arial" w:cs="Arial" w:eastAsia="Arial" w:hAnsi="Arial"/>
          <w:sz w:val="14"/>
          <w:szCs w:val="14"/>
          <w:color w:val="auto"/>
        </w:rPr>
        <w:t>As indicated in the certifications in Exhibits 12.1 and 12.2 of this Report, Shell’s CEO and CFO have evaluated the effectiveness of Shell’s disclosure controls and procedures as at December 31, 2014. On the basis of that evaluation, these officers have concluded that Shell’s disclosure controls and procedures are effective.</w:t>
      </w:r>
    </w:p>
    <w:p>
      <w:pPr>
        <w:sectPr>
          <w:pgSz w:w="11900" w:h="16838" w:orient="portrait"/>
          <w:cols w:equalWidth="0" w:num="2">
            <w:col w:w="5720" w:space="60"/>
            <w:col w:w="5640"/>
          </w:cols>
          <w:pgMar w:left="240" w:top="459" w:right="239" w:bottom="1440" w:gutter="0" w:footer="0" w:header="0"/>
          <w:type w:val="continuous"/>
        </w:sectPr>
      </w:pPr>
    </w:p>
    <w:bookmarkStart w:id="72" w:name="page73"/>
    <w:bookmarkEnd w:id="72"/>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3555365</wp:posOffset>
            </wp:positionH>
            <wp:positionV relativeFrom="paragraph">
              <wp:posOffset>314960</wp:posOffset>
            </wp:positionV>
            <wp:extent cx="3696335" cy="46291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3696335" cy="462915"/>
                    </a:xfrm>
                    <a:prstGeom prst="rect">
                      <a:avLst/>
                    </a:prstGeom>
                    <a:noFill/>
                  </pic:spPr>
                </pic:pic>
              </a:graphicData>
            </a:graphic>
          </wp:anchor>
        </w:drawing>
      </w:r>
    </w:p>
    <w:p>
      <w:pPr>
        <w:sectPr>
          <w:pgSz w:w="11900" w:h="16838" w:orient="portrait"/>
          <w:cols w:equalWidth="0" w:num="1">
            <w:col w:w="11260"/>
          </w:cols>
          <w:pgMar w:left="240" w:top="459" w:right="3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11"/>
          <w:szCs w:val="11"/>
          <w:color w:val="auto"/>
        </w:rPr>
        <w:t>SHELL ANNUAL REPORT AND FORM 20-F 2014</w:t>
      </w:r>
    </w:p>
    <w:p>
      <w:pPr>
        <w:spacing w:after="0" w:line="51" w:lineRule="exact"/>
        <w:rPr>
          <w:sz w:val="20"/>
          <w:szCs w:val="20"/>
          <w:color w:val="auto"/>
        </w:rPr>
      </w:pPr>
    </w:p>
    <w:p>
      <w:pPr>
        <w:ind w:right="220"/>
        <w:spacing w:after="0" w:line="238" w:lineRule="auto"/>
        <w:rPr>
          <w:sz w:val="20"/>
          <w:szCs w:val="20"/>
          <w:color w:val="auto"/>
        </w:rPr>
      </w:pPr>
      <w:r>
        <w:rPr>
          <w:rFonts w:ascii="Arial" w:cs="Arial" w:eastAsia="Arial" w:hAnsi="Arial"/>
          <w:sz w:val="18"/>
          <w:szCs w:val="18"/>
          <w:color w:val="auto"/>
        </w:rPr>
        <w:t>Management’s report on internal control over financial reporting of Shell</w:t>
      </w:r>
    </w:p>
    <w:p>
      <w:pPr>
        <w:spacing w:after="0" w:line="243" w:lineRule="auto"/>
        <w:rPr>
          <w:sz w:val="20"/>
          <w:szCs w:val="20"/>
          <w:color w:val="auto"/>
        </w:rPr>
      </w:pPr>
      <w:r>
        <w:rPr>
          <w:rFonts w:ascii="Arial" w:cs="Arial" w:eastAsia="Arial" w:hAnsi="Arial"/>
          <w:sz w:val="14"/>
          <w:szCs w:val="14"/>
          <w:color w:val="auto"/>
        </w:rPr>
        <w:t>Management, including the CEO and CFO, is responsible for establishing and maintaining adequate internal control over Shell’s financial reporting and the production of the “Consolidated Financial Statements”. It conducted an evaluation of the effectiveness of Shell’s internal control over financial reporting and the production of the “Consolidated Financial Statements” based on the Internal Control – Integrated Framework (2013) issued by the Committee of Sponsoring Organizations of the Treadway Commission. On the basis of this evaluation, management concluded that, as at December 31, 2014, the Company’s internal control over Shell’s financial reporting and the production of the “Consolidated Financial Statements” was effective.</w:t>
      </w:r>
    </w:p>
    <w:p>
      <w:pPr>
        <w:spacing w:after="0" w:line="181" w:lineRule="exact"/>
        <w:rPr>
          <w:sz w:val="20"/>
          <w:szCs w:val="20"/>
          <w:color w:val="auto"/>
        </w:rPr>
      </w:pPr>
    </w:p>
    <w:p>
      <w:pPr>
        <w:ind w:right="80"/>
        <w:spacing w:after="0" w:line="250" w:lineRule="auto"/>
        <w:rPr>
          <w:sz w:val="20"/>
          <w:szCs w:val="20"/>
          <w:color w:val="auto"/>
        </w:rPr>
      </w:pPr>
      <w:r>
        <w:rPr>
          <w:rFonts w:ascii="Arial" w:cs="Arial" w:eastAsia="Arial" w:hAnsi="Arial"/>
          <w:sz w:val="14"/>
          <w:szCs w:val="14"/>
          <w:color w:val="auto"/>
        </w:rPr>
        <w:t>PricewaterhouseCoopers LLP, the independent registered public accounting firm that audited the financial statements, has issued an attestation report on the Company’s internal control over financial reporting, as stated in their report on page 105.</w:t>
      </w:r>
    </w:p>
    <w:p>
      <w:pPr>
        <w:spacing w:after="0" w:line="153" w:lineRule="exact"/>
        <w:rPr>
          <w:sz w:val="20"/>
          <w:szCs w:val="20"/>
          <w:color w:val="auto"/>
        </w:rPr>
      </w:pPr>
    </w:p>
    <w:p>
      <w:pPr>
        <w:ind w:right="200"/>
        <w:spacing w:after="0" w:line="252" w:lineRule="auto"/>
        <w:rPr>
          <w:sz w:val="20"/>
          <w:szCs w:val="20"/>
          <w:color w:val="auto"/>
        </w:rPr>
      </w:pPr>
      <w:r>
        <w:rPr>
          <w:rFonts w:ascii="Arial" w:cs="Arial" w:eastAsia="Arial" w:hAnsi="Arial"/>
          <w:sz w:val="17"/>
          <w:szCs w:val="17"/>
          <w:color w:val="auto"/>
        </w:rPr>
        <w:t>The Trustee’s and management’s evaluation of disclosure controls and procedures for the Royal Dutch Shell Dividend Access Trust</w:t>
      </w:r>
    </w:p>
    <w:p>
      <w:pPr>
        <w:ind w:right="60"/>
        <w:spacing w:after="0" w:line="245" w:lineRule="auto"/>
        <w:rPr>
          <w:sz w:val="20"/>
          <w:szCs w:val="20"/>
          <w:color w:val="auto"/>
        </w:rPr>
      </w:pPr>
      <w:r>
        <w:rPr>
          <w:rFonts w:ascii="Arial" w:cs="Arial" w:eastAsia="Arial" w:hAnsi="Arial"/>
          <w:sz w:val="14"/>
          <w:szCs w:val="14"/>
          <w:color w:val="auto"/>
        </w:rPr>
        <w:t>The Trustee of the Royal Dutch Shell Dividend Access Trust (the Trustee) and Shell’s CEO and CFO have evaluated the effectiveness of the disclosure controls and procedures in respect of the Dividend Access Trust (the Trust) as at December 31, 2014. On the basis of this evaluation, these officers have concluded that the disclosure controls and procedures of the Trust are effective.</w:t>
      </w:r>
    </w:p>
    <w:p>
      <w:pPr>
        <w:spacing w:after="0" w:line="159" w:lineRule="exact"/>
        <w:rPr>
          <w:sz w:val="20"/>
          <w:szCs w:val="20"/>
          <w:color w:val="auto"/>
        </w:rPr>
      </w:pPr>
    </w:p>
    <w:p>
      <w:pPr>
        <w:ind w:right="240"/>
        <w:spacing w:after="0" w:line="252" w:lineRule="auto"/>
        <w:rPr>
          <w:sz w:val="20"/>
          <w:szCs w:val="20"/>
          <w:color w:val="auto"/>
        </w:rPr>
      </w:pPr>
      <w:r>
        <w:rPr>
          <w:rFonts w:ascii="Arial" w:cs="Arial" w:eastAsia="Arial" w:hAnsi="Arial"/>
          <w:sz w:val="17"/>
          <w:szCs w:val="17"/>
          <w:color w:val="auto"/>
        </w:rPr>
        <w:t>The Trustee’s and management’s report on internal control over financial reporting of the Royal Dutch Shell Dividend Access Trust</w:t>
      </w:r>
    </w:p>
    <w:p>
      <w:pPr>
        <w:spacing w:after="0" w:line="244" w:lineRule="auto"/>
        <w:rPr>
          <w:sz w:val="20"/>
          <w:szCs w:val="20"/>
          <w:color w:val="auto"/>
        </w:rPr>
      </w:pPr>
      <w:r>
        <w:rPr>
          <w:rFonts w:ascii="Arial" w:cs="Arial" w:eastAsia="Arial" w:hAnsi="Arial"/>
          <w:sz w:val="14"/>
          <w:szCs w:val="14"/>
          <w:color w:val="auto"/>
        </w:rPr>
        <w:t>The Trustee is responsible for establishing and maintaining adequate internal control over the Trust’s financial reporting. The Trustee and the Company’s management conducted an evaluation of the effectiveness of internal control over financial reporting based on the Internal Control – Integrated Framework (2013) issued by the Committee of Sponsoring Organizations of the Treadway Commission. On the basis of this evaluation, the Trustee and management concluded that, as at December 31, 2014, the Trust’s internal control over financial reporting was effective.</w:t>
      </w:r>
    </w:p>
    <w:p>
      <w:pPr>
        <w:spacing w:after="0" w:line="178" w:lineRule="exact"/>
        <w:rPr>
          <w:sz w:val="20"/>
          <w:szCs w:val="20"/>
          <w:color w:val="auto"/>
        </w:rPr>
      </w:pPr>
    </w:p>
    <w:p>
      <w:pPr>
        <w:ind w:right="20"/>
        <w:spacing w:after="0" w:line="247" w:lineRule="auto"/>
        <w:rPr>
          <w:sz w:val="20"/>
          <w:szCs w:val="20"/>
          <w:color w:val="auto"/>
        </w:rPr>
      </w:pPr>
      <w:r>
        <w:rPr>
          <w:rFonts w:ascii="Arial" w:cs="Arial" w:eastAsia="Arial" w:hAnsi="Arial"/>
          <w:sz w:val="14"/>
          <w:szCs w:val="14"/>
          <w:color w:val="auto"/>
        </w:rPr>
        <w:t>PricewaterhouseCoopers CI LLP, the independent registered public accounting firm that audited the financial statements, has issued an attestation report on the Trustee’s and management’s internal control over financial reporting, as stated in its report on page 173.</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color w:val="auto"/>
        </w:rPr>
        <w:t>Changes in internal control over financial reporting</w:t>
      </w:r>
    </w:p>
    <w:p>
      <w:pPr>
        <w:spacing w:after="0" w:line="1" w:lineRule="exact"/>
        <w:rPr>
          <w:sz w:val="20"/>
          <w:szCs w:val="20"/>
          <w:color w:val="auto"/>
        </w:rPr>
      </w:pPr>
    </w:p>
    <w:p>
      <w:pPr>
        <w:ind w:right="40"/>
        <w:spacing w:after="0" w:line="244" w:lineRule="auto"/>
        <w:rPr>
          <w:sz w:val="20"/>
          <w:szCs w:val="20"/>
          <w:color w:val="auto"/>
        </w:rPr>
      </w:pPr>
      <w:r>
        <w:rPr>
          <w:rFonts w:ascii="Arial" w:cs="Arial" w:eastAsia="Arial" w:hAnsi="Arial"/>
          <w:sz w:val="14"/>
          <w:szCs w:val="14"/>
          <w:color w:val="auto"/>
        </w:rPr>
        <w:t>There has not been any change in the internal control over financial reporting of Shell or the Trust that occurred during the period covered by this Report that has materially affected, or is reasonably likely to materially affect, the internal control over financial reporting. Material financial information of the Trust is included in the “Consolidated Financial Statements” and is therefore subject to the same disclosure controls and procedures as Shell. See the “Royal Dutch Shell Dividend Access Trust Financial Statements” for additional information.</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color w:val="auto"/>
        </w:rPr>
        <w:t>ARTICLES OF ASSOCIATION</w:t>
      </w:r>
    </w:p>
    <w:p>
      <w:pPr>
        <w:spacing w:after="0" w:line="1" w:lineRule="exact"/>
        <w:rPr>
          <w:sz w:val="20"/>
          <w:szCs w:val="20"/>
          <w:color w:val="auto"/>
        </w:rPr>
      </w:pPr>
    </w:p>
    <w:p>
      <w:pPr>
        <w:jc w:val="both"/>
        <w:ind w:right="160"/>
        <w:spacing w:after="0" w:line="250" w:lineRule="auto"/>
        <w:rPr>
          <w:sz w:val="20"/>
          <w:szCs w:val="20"/>
          <w:color w:val="auto"/>
        </w:rPr>
      </w:pPr>
      <w:r>
        <w:rPr>
          <w:rFonts w:ascii="Arial" w:cs="Arial" w:eastAsia="Arial" w:hAnsi="Arial"/>
          <w:sz w:val="14"/>
          <w:szCs w:val="14"/>
          <w:color w:val="auto"/>
        </w:rPr>
        <w:t>The following summarises certain provisions of the Articles [A] and of the applicable laws of England. This summary is qualified in its entirety by reference to the Articles and the Act.</w:t>
      </w:r>
    </w:p>
    <w:p>
      <w:pPr>
        <w:spacing w:after="0" w:line="56" w:lineRule="exact"/>
        <w:rPr>
          <w:sz w:val="20"/>
          <w:szCs w:val="20"/>
          <w:color w:val="auto"/>
        </w:rPr>
      </w:pPr>
    </w:p>
    <w:p>
      <w:pPr>
        <w:ind w:right="40" w:firstLine="8"/>
        <w:spacing w:after="0" w:line="238" w:lineRule="auto"/>
        <w:tabs>
          <w:tab w:leader="none" w:pos="162" w:val="left"/>
        </w:tabs>
        <w:numPr>
          <w:ilvl w:val="0"/>
          <w:numId w:val="66"/>
        </w:numPr>
        <w:rPr>
          <w:rFonts w:ascii="Arial" w:cs="Arial" w:eastAsia="Arial" w:hAnsi="Arial"/>
          <w:sz w:val="11"/>
          <w:szCs w:val="11"/>
          <w:color w:val="auto"/>
        </w:rPr>
      </w:pPr>
      <w:r>
        <w:rPr>
          <w:rFonts w:ascii="Arial" w:cs="Arial" w:eastAsia="Arial" w:hAnsi="Arial"/>
          <w:sz w:val="11"/>
          <w:szCs w:val="11"/>
          <w:color w:val="auto"/>
        </w:rPr>
        <w:t>Copies of the Articles have been previously filed with the SEC and are incorporated by reference as exhibits to this Report. They can be found at www.shell.com.</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spacing w:after="0" w:line="1" w:lineRule="exact"/>
        <w:rPr>
          <w:sz w:val="1"/>
          <w:szCs w:val="1"/>
          <w:color w:val="auto"/>
        </w:rPr>
      </w:pPr>
    </w:p>
    <w:tbl>
      <w:tblPr>
        <w:tblLayout w:type="fixed"/>
        <w:tblInd w:w="740" w:type="dxa"/>
        <w:tblCellMar>
          <w:top w:w="0" w:type="dxa"/>
          <w:left w:w="0" w:type="dxa"/>
          <w:bottom w:w="0" w:type="dxa"/>
          <w:right w:w="0" w:type="dxa"/>
        </w:tblCellMar>
      </w:tblPr>
      <w:tr>
        <w:trPr>
          <w:trHeight w:val="161"/>
        </w:trPr>
        <w:tc>
          <w:tcPr>
            <w:tcW w:w="2580" w:type="dxa"/>
            <w:vAlign w:val="bottom"/>
          </w:tcPr>
          <w:p>
            <w:pPr>
              <w:spacing w:after="0"/>
              <w:rPr>
                <w:sz w:val="20"/>
                <w:szCs w:val="20"/>
                <w:color w:val="auto"/>
              </w:rPr>
            </w:pPr>
            <w:r>
              <w:rPr>
                <w:rFonts w:ascii="Arial" w:cs="Arial" w:eastAsia="Arial" w:hAnsi="Arial"/>
                <w:sz w:val="13"/>
                <w:szCs w:val="13"/>
                <w:color w:val="333333"/>
              </w:rPr>
              <w:t>GOVERNANCE</w:t>
            </w:r>
          </w:p>
        </w:tc>
        <w:tc>
          <w:tcPr>
            <w:tcW w:w="1820" w:type="dxa"/>
            <w:vAlign w:val="bottom"/>
          </w:tcPr>
          <w:p>
            <w:pPr>
              <w:jc w:val="right"/>
              <w:spacing w:after="0"/>
              <w:rPr>
                <w:sz w:val="20"/>
                <w:szCs w:val="20"/>
                <w:color w:val="auto"/>
              </w:rPr>
            </w:pPr>
            <w:r>
              <w:rPr>
                <w:rFonts w:ascii="Arial" w:cs="Arial" w:eastAsia="Arial" w:hAnsi="Arial"/>
                <w:sz w:val="11"/>
                <w:szCs w:val="11"/>
                <w:b w:val="1"/>
                <w:bCs w:val="1"/>
                <w:color w:val="333333"/>
              </w:rPr>
              <w:t>71</w:t>
            </w:r>
          </w:p>
        </w:tc>
      </w:tr>
    </w:tbl>
    <w:p>
      <w:pPr>
        <w:spacing w:after="0" w:line="161" w:lineRule="exact"/>
        <w:rPr>
          <w:sz w:val="20"/>
          <w:szCs w:val="20"/>
          <w:color w:val="auto"/>
        </w:rPr>
      </w:pPr>
    </w:p>
    <w:p>
      <w:pPr>
        <w:ind w:left="740"/>
        <w:spacing w:after="0"/>
        <w:rPr>
          <w:sz w:val="20"/>
          <w:szCs w:val="20"/>
          <w:color w:val="auto"/>
        </w:rPr>
      </w:pPr>
      <w:r>
        <w:rPr>
          <w:rFonts w:ascii="Arial" w:cs="Arial" w:eastAsia="Arial" w:hAnsi="Arial"/>
          <w:sz w:val="11"/>
          <w:szCs w:val="11"/>
          <w:color w:val="auto"/>
        </w:rPr>
        <w:t>CORPORATE GOVERNANCE</w:t>
      </w:r>
    </w:p>
    <w:p>
      <w:pPr>
        <w:spacing w:after="0" w:line="51" w:lineRule="exact"/>
        <w:rPr>
          <w:sz w:val="20"/>
          <w:szCs w:val="20"/>
          <w:color w:val="auto"/>
        </w:rPr>
      </w:pPr>
    </w:p>
    <w:p>
      <w:pPr>
        <w:spacing w:after="0"/>
        <w:rPr>
          <w:sz w:val="20"/>
          <w:szCs w:val="20"/>
          <w:color w:val="auto"/>
        </w:rPr>
      </w:pPr>
      <w:r>
        <w:rPr>
          <w:rFonts w:ascii="Arial" w:cs="Arial" w:eastAsia="Arial" w:hAnsi="Arial"/>
          <w:sz w:val="18"/>
          <w:szCs w:val="18"/>
          <w:color w:val="auto"/>
        </w:rPr>
        <w:t>Management and Directors</w:t>
      </w:r>
    </w:p>
    <w:p>
      <w:pPr>
        <w:spacing w:after="0" w:line="1" w:lineRule="exact"/>
        <w:rPr>
          <w:sz w:val="20"/>
          <w:szCs w:val="20"/>
          <w:color w:val="auto"/>
        </w:rPr>
      </w:pPr>
    </w:p>
    <w:p>
      <w:pPr>
        <w:ind w:right="20"/>
        <w:spacing w:after="0" w:line="247" w:lineRule="auto"/>
        <w:rPr>
          <w:sz w:val="20"/>
          <w:szCs w:val="20"/>
          <w:color w:val="auto"/>
        </w:rPr>
      </w:pPr>
      <w:r>
        <w:rPr>
          <w:rFonts w:ascii="Arial" w:cs="Arial" w:eastAsia="Arial" w:hAnsi="Arial"/>
          <w:sz w:val="14"/>
          <w:szCs w:val="14"/>
          <w:color w:val="auto"/>
        </w:rPr>
        <w:t>The Articles provide that the Company’s Board of Directors must consist of not less than three members nor more than 20 members at any time. The Company has a single tier Board of Directors headed by a Chairman, with management led by a CEO. See “Board structure and composition” on page 66.</w:t>
      </w:r>
    </w:p>
    <w:p>
      <w:pPr>
        <w:spacing w:after="0" w:line="175" w:lineRule="exact"/>
        <w:rPr>
          <w:sz w:val="20"/>
          <w:szCs w:val="20"/>
          <w:color w:val="auto"/>
        </w:rPr>
      </w:pPr>
    </w:p>
    <w:p>
      <w:pPr>
        <w:ind w:right="20"/>
        <w:spacing w:after="0" w:line="243" w:lineRule="auto"/>
        <w:rPr>
          <w:sz w:val="20"/>
          <w:szCs w:val="20"/>
          <w:color w:val="auto"/>
        </w:rPr>
      </w:pPr>
      <w:r>
        <w:rPr>
          <w:rFonts w:ascii="Arial" w:cs="Arial" w:eastAsia="Arial" w:hAnsi="Arial"/>
          <w:sz w:val="14"/>
          <w:szCs w:val="14"/>
          <w:color w:val="auto"/>
        </w:rPr>
        <w:t>Under the Articles, at every AGM any Director who was in office at the time of the two previous AGMs and who did not retire at either of them must retire, and any such Director will be eligible to stand for reappointment. Further, a Director who would not otherwise be required to retire must retire if he or she has been in office, other than as a Director holding an executive position, for a continuous period of nine years or more at the date of the meeting, and any such Director will be eligible to stand for reappointment. However, notwithstanding the provisions of the Articles, the Company complies with the Code that requires all Directors to stand for annual reappointment by shareholders. At the AGM, shareholders can pass an ordinary resolution to reappoint each of the Directors or to appoint another eligible person in his or her place.</w:t>
      </w:r>
    </w:p>
    <w:p>
      <w:pPr>
        <w:spacing w:after="0" w:line="328" w:lineRule="exact"/>
        <w:rPr>
          <w:sz w:val="20"/>
          <w:szCs w:val="20"/>
          <w:color w:val="auto"/>
        </w:rPr>
      </w:pPr>
    </w:p>
    <w:p>
      <w:pPr>
        <w:spacing w:after="0"/>
        <w:rPr>
          <w:sz w:val="20"/>
          <w:szCs w:val="20"/>
          <w:color w:val="auto"/>
        </w:rPr>
      </w:pPr>
      <w:r>
        <w:rPr>
          <w:rFonts w:ascii="Arial" w:cs="Arial" w:eastAsia="Arial" w:hAnsi="Arial"/>
          <w:sz w:val="14"/>
          <w:szCs w:val="14"/>
          <w:color w:val="auto"/>
        </w:rPr>
        <w:t>Under the Articles:</w:t>
      </w:r>
    </w:p>
    <w:p>
      <w:pPr>
        <w:spacing w:after="0" w:line="217" w:lineRule="exact"/>
        <w:rPr>
          <w:sz w:val="20"/>
          <w:szCs w:val="20"/>
          <w:color w:val="auto"/>
        </w:rPr>
      </w:pPr>
    </w:p>
    <w:p>
      <w:pPr>
        <w:ind w:left="160" w:right="240" w:hanging="160"/>
        <w:spacing w:after="0" w:line="195" w:lineRule="auto"/>
        <w:tabs>
          <w:tab w:leader="none" w:pos="160" w:val="left"/>
        </w:tabs>
        <w:numPr>
          <w:ilvl w:val="0"/>
          <w:numId w:val="67"/>
        </w:numPr>
        <w:rPr>
          <w:rFonts w:ascii="Arial" w:cs="Arial" w:eastAsia="Arial" w:hAnsi="Arial"/>
          <w:sz w:val="24"/>
          <w:szCs w:val="24"/>
          <w:color w:val="auto"/>
          <w:vertAlign w:val="superscript"/>
        </w:rPr>
      </w:pPr>
      <w:r>
        <w:rPr>
          <w:rFonts w:ascii="Arial" w:cs="Arial" w:eastAsia="Arial" w:hAnsi="Arial"/>
          <w:sz w:val="14"/>
          <w:szCs w:val="14"/>
          <w:color w:val="auto"/>
        </w:rPr>
        <w:t>a Director may not vote or be counted in the quorum in respect of any matter in which he or she is materially interested including any matter related to his or her own compensation;</w:t>
      </w:r>
    </w:p>
    <w:p>
      <w:pPr>
        <w:jc w:val="both"/>
        <w:ind w:left="160" w:right="200" w:hanging="160"/>
        <w:spacing w:after="0" w:line="211" w:lineRule="auto"/>
        <w:tabs>
          <w:tab w:leader="none" w:pos="160" w:val="left"/>
        </w:tabs>
        <w:numPr>
          <w:ilvl w:val="0"/>
          <w:numId w:val="67"/>
        </w:numPr>
        <w:rPr>
          <w:rFonts w:ascii="Arial" w:cs="Arial" w:eastAsia="Arial" w:hAnsi="Arial"/>
          <w:sz w:val="24"/>
          <w:szCs w:val="24"/>
          <w:color w:val="auto"/>
          <w:vertAlign w:val="superscript"/>
        </w:rPr>
      </w:pPr>
      <w:r>
        <w:rPr>
          <w:rFonts w:ascii="Arial" w:cs="Arial" w:eastAsia="Arial" w:hAnsi="Arial"/>
          <w:sz w:val="14"/>
          <w:szCs w:val="14"/>
          <w:color w:val="auto"/>
        </w:rPr>
        <w:t>the Directors may exercise the Company’s power to borrow money provided that the borrowings of Shell shall not, without the consent of an ordinary resolution of the Company’s shareholders, exceed two times the Company’s adjusted capital and reserves (these powers relating to borrowing may only be varied by special resolution of shareholders); and</w:t>
      </w:r>
    </w:p>
    <w:p>
      <w:pPr>
        <w:spacing w:after="0" w:line="1" w:lineRule="exact"/>
        <w:rPr>
          <w:rFonts w:ascii="Arial" w:cs="Arial" w:eastAsia="Arial" w:hAnsi="Arial"/>
          <w:sz w:val="24"/>
          <w:szCs w:val="24"/>
          <w:color w:val="auto"/>
          <w:vertAlign w:val="superscript"/>
        </w:rPr>
      </w:pPr>
    </w:p>
    <w:p>
      <w:pPr>
        <w:ind w:left="160" w:hanging="160"/>
        <w:spacing w:after="0" w:line="189" w:lineRule="auto"/>
        <w:tabs>
          <w:tab w:leader="none" w:pos="160" w:val="left"/>
        </w:tabs>
        <w:numPr>
          <w:ilvl w:val="0"/>
          <w:numId w:val="67"/>
        </w:numPr>
        <w:rPr>
          <w:rFonts w:ascii="Arial" w:cs="Arial" w:eastAsia="Arial" w:hAnsi="Arial"/>
          <w:sz w:val="19"/>
          <w:szCs w:val="19"/>
          <w:color w:val="auto"/>
          <w:vertAlign w:val="superscript"/>
        </w:rPr>
      </w:pPr>
      <w:r>
        <w:rPr>
          <w:rFonts w:ascii="Arial" w:cs="Arial" w:eastAsia="Arial" w:hAnsi="Arial"/>
          <w:sz w:val="12"/>
          <w:szCs w:val="12"/>
          <w:color w:val="auto"/>
        </w:rPr>
        <w:t>Directors are not required to hold shares of the Company to qualify as a Director.</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color w:val="auto"/>
        </w:rPr>
        <w:t>Rights attaching to shares</w:t>
      </w:r>
    </w:p>
    <w:p>
      <w:pPr>
        <w:spacing w:after="0" w:line="176" w:lineRule="exact"/>
        <w:rPr>
          <w:sz w:val="20"/>
          <w:szCs w:val="20"/>
          <w:color w:val="auto"/>
        </w:rPr>
      </w:pPr>
    </w:p>
    <w:p>
      <w:pPr>
        <w:spacing w:after="0"/>
        <w:rPr>
          <w:sz w:val="20"/>
          <w:szCs w:val="20"/>
          <w:color w:val="auto"/>
        </w:rPr>
      </w:pPr>
      <w:r>
        <w:rPr>
          <w:rFonts w:ascii="Arial" w:cs="Arial" w:eastAsia="Arial" w:hAnsi="Arial"/>
          <w:sz w:val="13"/>
          <w:szCs w:val="13"/>
          <w:color w:val="auto"/>
        </w:rPr>
        <w:t>DIVIDEND RIGHTS AND RIGHTS TO SHARE IN THE COMPANY’S PROFIT</w:t>
      </w:r>
    </w:p>
    <w:p>
      <w:pPr>
        <w:jc w:val="both"/>
        <w:ind w:right="100"/>
        <w:spacing w:after="0" w:line="250" w:lineRule="auto"/>
        <w:rPr>
          <w:sz w:val="20"/>
          <w:szCs w:val="20"/>
          <w:color w:val="auto"/>
        </w:rPr>
      </w:pPr>
      <w:r>
        <w:rPr>
          <w:rFonts w:ascii="Arial" w:cs="Arial" w:eastAsia="Arial" w:hAnsi="Arial"/>
          <w:sz w:val="14"/>
          <w:szCs w:val="14"/>
          <w:color w:val="auto"/>
        </w:rPr>
        <w:t>Under the applicable laws of England, dividends are payable on A and B shares only out of profits available for distribution, as determined in accordance with the Act and under IFRS.</w:t>
      </w:r>
    </w:p>
    <w:p>
      <w:pPr>
        <w:spacing w:after="0" w:line="159" w:lineRule="exact"/>
        <w:rPr>
          <w:sz w:val="20"/>
          <w:szCs w:val="20"/>
          <w:color w:val="auto"/>
        </w:rPr>
      </w:pPr>
    </w:p>
    <w:p>
      <w:pPr>
        <w:ind w:right="100"/>
        <w:spacing w:after="0" w:line="247" w:lineRule="auto"/>
        <w:rPr>
          <w:sz w:val="20"/>
          <w:szCs w:val="20"/>
          <w:color w:val="auto"/>
        </w:rPr>
      </w:pPr>
      <w:r>
        <w:rPr>
          <w:rFonts w:ascii="Arial" w:cs="Arial" w:eastAsia="Arial" w:hAnsi="Arial"/>
          <w:sz w:val="14"/>
          <w:szCs w:val="14"/>
          <w:color w:val="auto"/>
        </w:rPr>
        <w:t>Subject to the Act, if the Directors consider that the Company’s financial position justifies the payment of a dividend, the Company can pay an interim dividend. Shareholders can declare dividends by passing an ordinary resolution although such dividends cannot exceed the amount recommended by the Board.</w:t>
      </w:r>
    </w:p>
    <w:p>
      <w:pPr>
        <w:spacing w:after="0" w:line="161" w:lineRule="exact"/>
        <w:rPr>
          <w:sz w:val="20"/>
          <w:szCs w:val="20"/>
          <w:color w:val="auto"/>
        </w:rPr>
      </w:pPr>
    </w:p>
    <w:p>
      <w:pPr>
        <w:ind w:right="120"/>
        <w:spacing w:after="0" w:line="245" w:lineRule="auto"/>
        <w:rPr>
          <w:sz w:val="20"/>
          <w:szCs w:val="20"/>
          <w:color w:val="auto"/>
        </w:rPr>
      </w:pPr>
      <w:r>
        <w:rPr>
          <w:rFonts w:ascii="Arial" w:cs="Arial" w:eastAsia="Arial" w:hAnsi="Arial"/>
          <w:sz w:val="14"/>
          <w:szCs w:val="14"/>
          <w:color w:val="auto"/>
        </w:rPr>
        <w:t>It is the intention that dividends will be announced and paid quarterly. Dividends are payable to persons registered as shareholders on the record date relating to the relevant dividend. All dividends will be divided and paid in proportions based on the amounts paid up on the Company’s shares during any period for which that dividend is paid.</w:t>
      </w:r>
    </w:p>
    <w:p>
      <w:pPr>
        <w:spacing w:after="0" w:line="178" w:lineRule="exact"/>
        <w:rPr>
          <w:sz w:val="20"/>
          <w:szCs w:val="20"/>
          <w:color w:val="auto"/>
        </w:rPr>
      </w:pPr>
    </w:p>
    <w:p>
      <w:pPr>
        <w:spacing w:after="0" w:line="243" w:lineRule="auto"/>
        <w:rPr>
          <w:sz w:val="20"/>
          <w:szCs w:val="20"/>
          <w:color w:val="auto"/>
        </w:rPr>
      </w:pPr>
      <w:r>
        <w:rPr>
          <w:rFonts w:ascii="Arial" w:cs="Arial" w:eastAsia="Arial" w:hAnsi="Arial"/>
          <w:sz w:val="14"/>
          <w:szCs w:val="14"/>
          <w:color w:val="auto"/>
        </w:rPr>
        <w:t>Any dividend or other money payable in cash relating to a share can be paid by sending a cheque, warrant or similar financial instrument payable to the shareholder entitled to the dividend by post to the shareholder’s registered address. Alternatively, it can be made payable to someone else named in a written instruction from the shareholder (or all joint shareholders) and sent by post to the address specified in that instruction. A dividend can also be paid by inter-bank transfer or by other electronic means (including payment through CREST) directly to an account with a bank or other financial institution (or other organisation operating deposit accounts if allowed by the Company) named in a written instruction from the person entitled to receive the payment under the Articles. Such an account must be held at an institution based in the UK unless the share on which the payment</w:t>
      </w:r>
    </w:p>
    <w:p>
      <w:pPr>
        <w:sectPr>
          <w:pgSz w:w="11900" w:h="16838" w:orient="portrait"/>
          <w:cols w:equalWidth="0" w:num="2">
            <w:col w:w="5480" w:space="300"/>
            <w:col w:w="5480"/>
          </w:cols>
          <w:pgMar w:left="240" w:top="459" w:right="399" w:bottom="1440" w:gutter="0" w:footer="0" w:header="0"/>
          <w:type w:val="continuous"/>
        </w:sectPr>
      </w:pPr>
    </w:p>
    <w:bookmarkStart w:id="73" w:name="page74"/>
    <w:bookmarkEnd w:id="73"/>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314960</wp:posOffset>
            </wp:positionV>
            <wp:extent cx="3627755" cy="46291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3627755" cy="462915"/>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p>
      <w:pPr>
        <w:spacing w:after="0" w:line="200" w:lineRule="exact"/>
        <w:rPr>
          <w:sz w:val="20"/>
          <w:szCs w:val="20"/>
          <w:color w:val="auto"/>
        </w:rPr>
      </w:pP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419"/>
        </w:trPr>
        <w:tc>
          <w:tcPr>
            <w:tcW w:w="2260" w:type="dxa"/>
            <w:vAlign w:val="bottom"/>
            <w:shd w:val="clear" w:color="auto" w:fill="FF8B00"/>
          </w:tcPr>
          <w:p>
            <w:pPr>
              <w:spacing w:after="0"/>
              <w:rPr>
                <w:sz w:val="24"/>
                <w:szCs w:val="24"/>
                <w:color w:val="auto"/>
              </w:rPr>
            </w:pPr>
          </w:p>
        </w:tc>
        <w:tc>
          <w:tcPr>
            <w:tcW w:w="3460" w:type="dxa"/>
            <w:vAlign w:val="bottom"/>
            <w:shd w:val="clear" w:color="auto" w:fill="FF8B00"/>
          </w:tcPr>
          <w:p>
            <w:pPr>
              <w:spacing w:after="0"/>
              <w:rPr>
                <w:sz w:val="24"/>
                <w:szCs w:val="24"/>
                <w:color w:val="auto"/>
              </w:rPr>
            </w:pPr>
          </w:p>
        </w:tc>
      </w:tr>
      <w:tr>
        <w:trPr>
          <w:trHeight w:val="152"/>
        </w:trPr>
        <w:tc>
          <w:tcPr>
            <w:tcW w:w="2260" w:type="dxa"/>
            <w:vAlign w:val="bottom"/>
          </w:tcPr>
          <w:p>
            <w:pPr>
              <w:jc w:val="right"/>
              <w:ind w:right="1726"/>
              <w:spacing w:after="0"/>
              <w:rPr>
                <w:sz w:val="20"/>
                <w:szCs w:val="20"/>
                <w:color w:val="auto"/>
              </w:rPr>
            </w:pPr>
            <w:r>
              <w:rPr>
                <w:rFonts w:ascii="Arial" w:cs="Arial" w:eastAsia="Arial" w:hAnsi="Arial"/>
                <w:sz w:val="11"/>
                <w:szCs w:val="11"/>
                <w:b w:val="1"/>
                <w:bCs w:val="1"/>
                <w:color w:val="333333"/>
              </w:rPr>
              <w:t>72</w:t>
            </w:r>
          </w:p>
        </w:tc>
        <w:tc>
          <w:tcPr>
            <w:tcW w:w="3460" w:type="dxa"/>
            <w:vAlign w:val="bottom"/>
          </w:tcPr>
          <w:p>
            <w:pPr>
              <w:ind w:left="1780"/>
              <w:spacing w:after="0"/>
              <w:rPr>
                <w:sz w:val="20"/>
                <w:szCs w:val="20"/>
                <w:color w:val="auto"/>
              </w:rPr>
            </w:pPr>
            <w:r>
              <w:rPr>
                <w:rFonts w:ascii="Arial" w:cs="Arial" w:eastAsia="Arial" w:hAnsi="Arial"/>
                <w:sz w:val="13"/>
                <w:szCs w:val="13"/>
                <w:color w:val="333333"/>
              </w:rPr>
              <w:t>GOVERNANCE</w:t>
            </w:r>
          </w:p>
        </w:tc>
      </w:tr>
    </w:tbl>
    <w:p>
      <w:pPr>
        <w:spacing w:after="0" w:line="155" w:lineRule="exact"/>
        <w:rPr>
          <w:sz w:val="20"/>
          <w:szCs w:val="20"/>
          <w:color w:val="auto"/>
        </w:rPr>
      </w:pPr>
    </w:p>
    <w:p>
      <w:pPr>
        <w:ind w:left="3460"/>
        <w:spacing w:after="0"/>
        <w:rPr>
          <w:sz w:val="20"/>
          <w:szCs w:val="20"/>
          <w:color w:val="auto"/>
        </w:rPr>
      </w:pPr>
      <w:r>
        <w:rPr>
          <w:rFonts w:ascii="Arial" w:cs="Arial" w:eastAsia="Arial" w:hAnsi="Arial"/>
          <w:sz w:val="11"/>
          <w:szCs w:val="11"/>
          <w:color w:val="auto"/>
        </w:rPr>
        <w:t>CORPORATE GOVERNANCE</w:t>
      </w:r>
    </w:p>
    <w:p>
      <w:pPr>
        <w:spacing w:after="0" w:line="48" w:lineRule="exact"/>
        <w:rPr>
          <w:sz w:val="20"/>
          <w:szCs w:val="20"/>
          <w:color w:val="auto"/>
        </w:rPr>
      </w:pPr>
    </w:p>
    <w:p>
      <w:pPr>
        <w:ind w:left="20"/>
        <w:spacing w:after="0"/>
        <w:rPr>
          <w:sz w:val="20"/>
          <w:szCs w:val="20"/>
          <w:color w:val="auto"/>
        </w:rPr>
      </w:pPr>
      <w:r>
        <w:rPr>
          <w:rFonts w:ascii="Arial" w:cs="Arial" w:eastAsia="Arial" w:hAnsi="Arial"/>
          <w:sz w:val="24"/>
          <w:szCs w:val="24"/>
          <w:color w:val="auto"/>
        </w:rPr>
        <w:t xml:space="preserve">CORPORATE GOVERNANCE </w:t>
      </w:r>
      <w:r>
        <w:rPr>
          <w:rFonts w:ascii="Arial" w:cs="Arial" w:eastAsia="Arial" w:hAnsi="Arial"/>
          <w:sz w:val="24"/>
          <w:szCs w:val="24"/>
          <w:color w:val="666666"/>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3473450" cy="889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spacing w:after="0" w:line="199" w:lineRule="exact"/>
        <w:rPr>
          <w:sz w:val="20"/>
          <w:szCs w:val="20"/>
          <w:color w:val="auto"/>
        </w:rPr>
      </w:pPr>
    </w:p>
    <w:p>
      <w:pPr>
        <w:ind w:right="260"/>
        <w:spacing w:after="0" w:line="245" w:lineRule="auto"/>
        <w:rPr>
          <w:sz w:val="20"/>
          <w:szCs w:val="20"/>
          <w:color w:val="auto"/>
        </w:rPr>
      </w:pPr>
      <w:r>
        <w:rPr>
          <w:rFonts w:ascii="Arial" w:cs="Arial" w:eastAsia="Arial" w:hAnsi="Arial"/>
          <w:sz w:val="14"/>
          <w:szCs w:val="14"/>
          <w:color w:val="auto"/>
        </w:rPr>
        <w:t>is to be made is held by Euroclear Nederland and is subject to the Dutch Securities Giro Act (“Wet giraal effectenverkeer”). Alternatively, a dividend can be paid in some other way if requested in writing by a shareholder (or all joint shareholders) and agreed to by the Company. The Company will not be responsible for a payment which is lost or delayed.</w:t>
      </w:r>
    </w:p>
    <w:p>
      <w:pPr>
        <w:spacing w:after="0" w:line="164" w:lineRule="exact"/>
        <w:rPr>
          <w:sz w:val="20"/>
          <w:szCs w:val="20"/>
          <w:color w:val="auto"/>
        </w:rPr>
      </w:pPr>
    </w:p>
    <w:p>
      <w:pPr>
        <w:ind w:right="260"/>
        <w:spacing w:after="0" w:line="244" w:lineRule="auto"/>
        <w:rPr>
          <w:sz w:val="20"/>
          <w:szCs w:val="20"/>
          <w:color w:val="auto"/>
        </w:rPr>
      </w:pPr>
      <w:r>
        <w:rPr>
          <w:rFonts w:ascii="Arial" w:cs="Arial" w:eastAsia="Arial" w:hAnsi="Arial"/>
          <w:sz w:val="14"/>
          <w:szCs w:val="14"/>
          <w:color w:val="auto"/>
        </w:rPr>
        <w:t>Where any dividends or other amounts payable on a share have not been claimed, the Directors can invest them or use them in any other way for the Company’s benefit until they are claimed. The Company will not be a trustee of the money and will not be liable to pay interest on it. If a dividend or other money has not been claimed for 12 years after being announced or becoming due for payment, it will be forfeited and go back to the Company, unless the Directors decide otherwise.</w:t>
      </w:r>
    </w:p>
    <w:p>
      <w:pPr>
        <w:spacing w:after="0" w:line="166" w:lineRule="exact"/>
        <w:rPr>
          <w:sz w:val="20"/>
          <w:szCs w:val="20"/>
          <w:color w:val="auto"/>
        </w:rPr>
      </w:pPr>
    </w:p>
    <w:p>
      <w:pPr>
        <w:ind w:right="300"/>
        <w:spacing w:after="0" w:line="244" w:lineRule="auto"/>
        <w:rPr>
          <w:sz w:val="20"/>
          <w:szCs w:val="20"/>
          <w:color w:val="auto"/>
        </w:rPr>
      </w:pPr>
      <w:r>
        <w:rPr>
          <w:rFonts w:ascii="Arial" w:cs="Arial" w:eastAsia="Arial" w:hAnsi="Arial"/>
          <w:sz w:val="14"/>
          <w:szCs w:val="14"/>
          <w:color w:val="auto"/>
        </w:rPr>
        <w:t>The Company expects that dividends on B shares will be paid under the dividend access mechanism described below. The Articles provide that if any amount is paid by the issuer of the dividend access share by way of dividend on the dividend access share and paid by the Trustee to any holder of B shares, the dividend that the Company would otherwise pay to such holder of B shares will be reduced by an amount equal to the amount paid to such holder of B shares by the Trustee.</w:t>
      </w:r>
    </w:p>
    <w:p>
      <w:pPr>
        <w:spacing w:after="0" w:line="169" w:lineRule="exact"/>
        <w:rPr>
          <w:sz w:val="20"/>
          <w:szCs w:val="20"/>
          <w:color w:val="auto"/>
        </w:rPr>
      </w:pPr>
    </w:p>
    <w:p>
      <w:pPr>
        <w:spacing w:after="0"/>
        <w:rPr>
          <w:sz w:val="20"/>
          <w:szCs w:val="20"/>
          <w:color w:val="auto"/>
        </w:rPr>
      </w:pPr>
      <w:r>
        <w:rPr>
          <w:rFonts w:ascii="Arial" w:cs="Arial" w:eastAsia="Arial" w:hAnsi="Arial"/>
          <w:sz w:val="13"/>
          <w:szCs w:val="13"/>
          <w:color w:val="auto"/>
        </w:rPr>
        <w:t>DIVIDEND ACCESS MECHANISM FOR B SHARES</w:t>
      </w:r>
    </w:p>
    <w:p>
      <w:pPr>
        <w:spacing w:after="0" w:line="172" w:lineRule="exact"/>
        <w:rPr>
          <w:sz w:val="20"/>
          <w:szCs w:val="20"/>
          <w:color w:val="auto"/>
        </w:rPr>
      </w:pPr>
    </w:p>
    <w:p>
      <w:pPr>
        <w:spacing w:after="0"/>
        <w:rPr>
          <w:sz w:val="20"/>
          <w:szCs w:val="20"/>
          <w:color w:val="auto"/>
        </w:rPr>
      </w:pPr>
      <w:r>
        <w:rPr>
          <w:rFonts w:ascii="Arial" w:cs="Arial" w:eastAsia="Arial" w:hAnsi="Arial"/>
          <w:sz w:val="14"/>
          <w:szCs w:val="14"/>
          <w:color w:val="auto"/>
        </w:rPr>
        <w:t>General</w:t>
      </w:r>
    </w:p>
    <w:p>
      <w:pPr>
        <w:spacing w:after="0" w:line="1" w:lineRule="exact"/>
        <w:rPr>
          <w:sz w:val="20"/>
          <w:szCs w:val="20"/>
          <w:color w:val="auto"/>
        </w:rPr>
      </w:pPr>
    </w:p>
    <w:p>
      <w:pPr>
        <w:ind w:right="440"/>
        <w:spacing w:after="0" w:line="250" w:lineRule="auto"/>
        <w:rPr>
          <w:sz w:val="20"/>
          <w:szCs w:val="20"/>
          <w:color w:val="auto"/>
        </w:rPr>
      </w:pPr>
      <w:r>
        <w:rPr>
          <w:rFonts w:ascii="Arial" w:cs="Arial" w:eastAsia="Arial" w:hAnsi="Arial"/>
          <w:sz w:val="14"/>
          <w:szCs w:val="14"/>
          <w:color w:val="auto"/>
        </w:rPr>
        <w:t>A and B shares are identical, except for the dividend access mechanism, which will only apply to B shares. Dividends paid on A shares have a Dutch source for tax purposes and are subject to Dutch withholding tax.</w:t>
      </w:r>
    </w:p>
    <w:p>
      <w:pPr>
        <w:spacing w:after="0" w:line="159" w:lineRule="exact"/>
        <w:rPr>
          <w:sz w:val="20"/>
          <w:szCs w:val="20"/>
          <w:color w:val="auto"/>
        </w:rPr>
      </w:pPr>
    </w:p>
    <w:p>
      <w:pPr>
        <w:ind w:right="300"/>
        <w:spacing w:after="0" w:line="243" w:lineRule="auto"/>
        <w:rPr>
          <w:sz w:val="20"/>
          <w:szCs w:val="20"/>
          <w:color w:val="auto"/>
        </w:rPr>
      </w:pPr>
      <w:r>
        <w:rPr>
          <w:rFonts w:ascii="Arial" w:cs="Arial" w:eastAsia="Arial" w:hAnsi="Arial"/>
          <w:sz w:val="14"/>
          <w:szCs w:val="14"/>
          <w:color w:val="auto"/>
        </w:rPr>
        <w:t>It is the expectation and the intention, although there can be no certainty, that holders of B shares will receive dividends through the dividend access mechanism. Any dividends paid on the dividend access share will have a UK source for UK and Dutch tax purposes. There will be no Dutch withholding tax on such dividends and certain holders (not including US holders of B shares or B American Depositary Shares (ADSs)) will be entitled to a UK tax credit in respect of their proportional shares of such dividends. For further details regarding the tax treatment of dividends paid on the A and B shares and ADSs, refer to “Taxation” on pages 184-185.</w:t>
      </w:r>
    </w:p>
    <w:p>
      <w:pPr>
        <w:spacing w:after="0" w:line="182" w:lineRule="exact"/>
        <w:rPr>
          <w:sz w:val="20"/>
          <w:szCs w:val="20"/>
          <w:color w:val="auto"/>
        </w:rPr>
      </w:pPr>
    </w:p>
    <w:p>
      <w:pPr>
        <w:spacing w:after="0"/>
        <w:rPr>
          <w:sz w:val="20"/>
          <w:szCs w:val="20"/>
          <w:color w:val="auto"/>
        </w:rPr>
      </w:pPr>
      <w:r>
        <w:rPr>
          <w:rFonts w:ascii="Arial" w:cs="Arial" w:eastAsia="Arial" w:hAnsi="Arial"/>
          <w:sz w:val="14"/>
          <w:szCs w:val="14"/>
          <w:color w:val="auto"/>
        </w:rPr>
        <w:t>Description of dividend access mechanism</w:t>
      </w:r>
    </w:p>
    <w:p>
      <w:pPr>
        <w:spacing w:after="0" w:line="1" w:lineRule="exact"/>
        <w:rPr>
          <w:sz w:val="20"/>
          <w:szCs w:val="20"/>
          <w:color w:val="auto"/>
        </w:rPr>
      </w:pPr>
    </w:p>
    <w:p>
      <w:pPr>
        <w:ind w:right="280"/>
        <w:spacing w:after="0" w:line="243" w:lineRule="auto"/>
        <w:rPr>
          <w:sz w:val="20"/>
          <w:szCs w:val="20"/>
          <w:color w:val="auto"/>
        </w:rPr>
      </w:pPr>
      <w:r>
        <w:rPr>
          <w:rFonts w:ascii="Arial" w:cs="Arial" w:eastAsia="Arial" w:hAnsi="Arial"/>
          <w:sz w:val="14"/>
          <w:szCs w:val="14"/>
          <w:color w:val="auto"/>
        </w:rPr>
        <w:t>A dividend access share has been issued by The Shell Transport and Trading Company Limited (Shell Transport) to Computershare Trustees (Jersey) Limited as Trustee. Pursuant to a declaration of trust, the Trustee will hold any dividends paid in respect of the dividend access share on trust for the holders of B shares and will arrange for prompt disbursement of such dividends to holders of B shares. Interest and other income earned on unclaimed dividends will be for the account of Shell Transport and any dividends which are unclaimed after 12 years will revert to Shell Transport. Holders of B shares will not have any interest in the dividend access share and will not have any rights against Shell Transport as issuer of the dividend access share. The only assets held on trust for the benefit of the holders of B shares will be dividends paid to the Trustee in respect of the dividend access share.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3240"/>
        <w:spacing w:after="0"/>
        <w:rPr>
          <w:sz w:val="20"/>
          <w:szCs w:val="20"/>
          <w:color w:val="auto"/>
        </w:rPr>
      </w:pPr>
      <w:r>
        <w:rPr>
          <w:rFonts w:ascii="Arial" w:cs="Arial" w:eastAsia="Arial" w:hAnsi="Arial"/>
          <w:sz w:val="10"/>
          <w:szCs w:val="10"/>
          <w:color w:val="auto"/>
        </w:rPr>
        <w:t>SHELL ANNUAL REPORT AND FORM 20-F 2014</w:t>
      </w:r>
    </w:p>
    <w:p>
      <w:pPr>
        <w:spacing w:after="0" w:line="69" w:lineRule="exact"/>
        <w:rPr>
          <w:sz w:val="20"/>
          <w:szCs w:val="20"/>
          <w:color w:val="auto"/>
        </w:rPr>
      </w:pPr>
    </w:p>
    <w:p>
      <w:pPr>
        <w:ind w:right="180"/>
        <w:spacing w:after="0" w:line="244" w:lineRule="auto"/>
        <w:rPr>
          <w:sz w:val="20"/>
          <w:szCs w:val="20"/>
          <w:color w:val="auto"/>
        </w:rPr>
      </w:pPr>
      <w:r>
        <w:rPr>
          <w:rFonts w:ascii="Arial" w:cs="Arial" w:eastAsia="Arial" w:hAnsi="Arial"/>
          <w:sz w:val="14"/>
          <w:szCs w:val="14"/>
          <w:color w:val="auto"/>
        </w:rPr>
        <w:t>The declaration and payment of dividends on the dividend access share will require board action by Shell Transport and will be subject to any applicable limitations in law or in the Shell Transport articles of association in effect. In no event will the aggregate amount of the dividend paid by Shell Transport under the dividend access mechanism for a particular period exceed the aggregate of the dividend announced by the Board of the Company on B shares in respect of the same period.</w:t>
      </w:r>
    </w:p>
    <w:p>
      <w:pPr>
        <w:spacing w:after="0" w:line="179" w:lineRule="exact"/>
        <w:rPr>
          <w:sz w:val="20"/>
          <w:szCs w:val="20"/>
          <w:color w:val="auto"/>
        </w:rPr>
      </w:pPr>
    </w:p>
    <w:p>
      <w:pPr>
        <w:spacing w:after="0"/>
        <w:rPr>
          <w:sz w:val="20"/>
          <w:szCs w:val="20"/>
          <w:color w:val="auto"/>
        </w:rPr>
      </w:pPr>
      <w:r>
        <w:rPr>
          <w:rFonts w:ascii="Arial" w:cs="Arial" w:eastAsia="Arial" w:hAnsi="Arial"/>
          <w:sz w:val="14"/>
          <w:szCs w:val="14"/>
          <w:color w:val="auto"/>
        </w:rPr>
        <w:t>Operation of the dividend access mechanism</w:t>
      </w:r>
    </w:p>
    <w:p>
      <w:pPr>
        <w:spacing w:after="0" w:line="1" w:lineRule="exact"/>
        <w:rPr>
          <w:sz w:val="20"/>
          <w:szCs w:val="20"/>
          <w:color w:val="auto"/>
        </w:rPr>
      </w:pPr>
    </w:p>
    <w:p>
      <w:pPr>
        <w:ind w:right="200"/>
        <w:spacing w:after="0" w:line="244" w:lineRule="auto"/>
        <w:rPr>
          <w:sz w:val="20"/>
          <w:szCs w:val="20"/>
          <w:color w:val="auto"/>
        </w:rPr>
      </w:pPr>
      <w:r>
        <w:rPr>
          <w:rFonts w:ascii="Arial" w:cs="Arial" w:eastAsia="Arial" w:hAnsi="Arial"/>
          <w:sz w:val="14"/>
          <w:szCs w:val="14"/>
          <w:color w:val="auto"/>
        </w:rPr>
        <w:t>If, in connection with the announcement of a dividend by the Company on B shares, the Board of Shell Transport elects to declare and pay a dividend on the dividend access share to the Trustee, the holders of B shares will be beneficially entitled to receive their share of that dividend pursuant to the declaration of trust (and arrangements will be made to ensure that the dividend is paid in the same currency in which they would have received a dividend from the Company).</w:t>
      </w:r>
    </w:p>
    <w:p>
      <w:pPr>
        <w:spacing w:after="0" w:line="166" w:lineRule="exact"/>
        <w:rPr>
          <w:sz w:val="20"/>
          <w:szCs w:val="20"/>
          <w:color w:val="auto"/>
        </w:rPr>
      </w:pPr>
    </w:p>
    <w:p>
      <w:pPr>
        <w:ind w:right="160"/>
        <w:spacing w:after="0" w:line="247" w:lineRule="auto"/>
        <w:rPr>
          <w:sz w:val="20"/>
          <w:szCs w:val="20"/>
          <w:color w:val="auto"/>
        </w:rPr>
      </w:pPr>
      <w:r>
        <w:rPr>
          <w:rFonts w:ascii="Arial" w:cs="Arial" w:eastAsia="Arial" w:hAnsi="Arial"/>
          <w:sz w:val="14"/>
          <w:szCs w:val="14"/>
          <w:color w:val="auto"/>
        </w:rPr>
        <w:t>If any amount is paid by Shell Transport by way of a dividend on the dividend access share and paid by the Trustee to any holder of B shares, the dividend which the Company would otherwise pay on B shares will be reduced by an amount equal to the amount paid to such holders of B shares by the Trustee.</w:t>
      </w:r>
    </w:p>
    <w:p>
      <w:pPr>
        <w:spacing w:after="0" w:line="161" w:lineRule="exact"/>
        <w:rPr>
          <w:sz w:val="20"/>
          <w:szCs w:val="20"/>
          <w:color w:val="auto"/>
        </w:rPr>
      </w:pPr>
    </w:p>
    <w:p>
      <w:pPr>
        <w:ind w:right="200"/>
        <w:spacing w:after="0" w:line="244" w:lineRule="auto"/>
        <w:rPr>
          <w:sz w:val="20"/>
          <w:szCs w:val="20"/>
          <w:color w:val="auto"/>
        </w:rPr>
      </w:pPr>
      <w:r>
        <w:rPr>
          <w:rFonts w:ascii="Arial" w:cs="Arial" w:eastAsia="Arial" w:hAnsi="Arial"/>
          <w:sz w:val="14"/>
          <w:szCs w:val="14"/>
          <w:color w:val="auto"/>
        </w:rPr>
        <w:t>The Company will have a full and unconditional obligation, in the event that the Trustee does not pay an amount to holders of B shares on a cash dividend payment date (even if that amount has been paid to the Trustee), to pay immediately the dividend announced on B shares. The right of holders of B shares to receive distributions from the Trustee will be reduced by an amount equal to the amount of any payment actually made by the Company on account of any dividend on B shares.</w:t>
      </w:r>
    </w:p>
    <w:p>
      <w:pPr>
        <w:spacing w:after="0" w:line="179" w:lineRule="exact"/>
        <w:rPr>
          <w:sz w:val="20"/>
          <w:szCs w:val="20"/>
          <w:color w:val="auto"/>
        </w:rPr>
      </w:pPr>
    </w:p>
    <w:p>
      <w:pPr>
        <w:ind w:right="380"/>
        <w:spacing w:after="0" w:line="247" w:lineRule="auto"/>
        <w:rPr>
          <w:sz w:val="20"/>
          <w:szCs w:val="20"/>
          <w:color w:val="auto"/>
        </w:rPr>
      </w:pPr>
      <w:r>
        <w:rPr>
          <w:rFonts w:ascii="Arial" w:cs="Arial" w:eastAsia="Arial" w:hAnsi="Arial"/>
          <w:sz w:val="14"/>
          <w:szCs w:val="14"/>
          <w:color w:val="auto"/>
        </w:rPr>
        <w:t>If for any reason no dividend is paid on the dividend access share, holders of B shares will only receive dividends from the Company directly. Any payment by the Company will be subject to Dutch withholding tax (unless an exemption is obtained under Dutch law or under the provisions of an applicable tax treaty).</w:t>
      </w:r>
    </w:p>
    <w:p>
      <w:pPr>
        <w:spacing w:after="0" w:line="161" w:lineRule="exact"/>
        <w:rPr>
          <w:sz w:val="20"/>
          <w:szCs w:val="20"/>
          <w:color w:val="auto"/>
        </w:rPr>
      </w:pPr>
    </w:p>
    <w:p>
      <w:pPr>
        <w:ind w:right="200"/>
        <w:spacing w:after="0" w:line="243" w:lineRule="auto"/>
        <w:rPr>
          <w:sz w:val="20"/>
          <w:szCs w:val="20"/>
          <w:color w:val="auto"/>
        </w:rPr>
      </w:pPr>
      <w:r>
        <w:rPr>
          <w:rFonts w:ascii="Arial" w:cs="Arial" w:eastAsia="Arial" w:hAnsi="Arial"/>
          <w:sz w:val="14"/>
          <w:szCs w:val="14"/>
          <w:color w:val="auto"/>
        </w:rPr>
        <w:t>The dividend access mechanism has been approved by the Dutch Revenue Service pursuant to an agreement (“vaststellingsovereenkomst”) with the Company and N.V. Koninklijke Nederlandsche Petroleum Maatschappij (Royal Dutch Petroleum Company) dated October 26, 2004, as supplemented and amended by an agreement between the same parties dated April 25, 2005. The agreement states, among other things, that dividend distributions on the dividend access share by Shell Transport will not be subject to Dutch dividend withholding tax provided that the dividend access mechanism is structured and operated substantially as set out above.</w:t>
      </w:r>
    </w:p>
    <w:p>
      <w:pPr>
        <w:spacing w:after="0" w:line="168" w:lineRule="exact"/>
        <w:rPr>
          <w:sz w:val="20"/>
          <w:szCs w:val="20"/>
          <w:color w:val="auto"/>
        </w:rPr>
      </w:pPr>
    </w:p>
    <w:p>
      <w:pPr>
        <w:ind w:right="800"/>
        <w:spacing w:after="0" w:line="258" w:lineRule="auto"/>
        <w:rPr>
          <w:sz w:val="20"/>
          <w:szCs w:val="20"/>
          <w:color w:val="auto"/>
        </w:rPr>
      </w:pPr>
      <w:r>
        <w:rPr>
          <w:rFonts w:ascii="Arial" w:cs="Arial" w:eastAsia="Arial" w:hAnsi="Arial"/>
          <w:sz w:val="14"/>
          <w:szCs w:val="14"/>
          <w:color w:val="auto"/>
        </w:rPr>
        <w:t>The Company may not extend the dividend access mechanism to any future issuances of B shares without the approval of the Dutch Revenue Service.</w:t>
      </w:r>
    </w:p>
    <w:p>
      <w:pPr>
        <w:spacing w:after="0" w:line="167" w:lineRule="exact"/>
        <w:rPr>
          <w:sz w:val="20"/>
          <w:szCs w:val="20"/>
          <w:color w:val="auto"/>
        </w:rPr>
      </w:pPr>
    </w:p>
    <w:p>
      <w:pPr>
        <w:ind w:right="200"/>
        <w:spacing w:after="0" w:line="247" w:lineRule="auto"/>
        <w:rPr>
          <w:sz w:val="20"/>
          <w:szCs w:val="20"/>
          <w:color w:val="auto"/>
        </w:rPr>
      </w:pPr>
      <w:r>
        <w:rPr>
          <w:rFonts w:ascii="Arial" w:cs="Arial" w:eastAsia="Arial" w:hAnsi="Arial"/>
          <w:sz w:val="14"/>
          <w:szCs w:val="14"/>
          <w:color w:val="auto"/>
        </w:rPr>
        <w:t>Accordingly, the Company would not expect to issue additional B shares unless that approval were obtained or the Company were to determine that the continued operation of the dividend access mechanism was unnecessary. Any further issue of B shares is subject to advance consultation with the Dutch Revenue Service.</w:t>
      </w:r>
    </w:p>
    <w:p>
      <w:pPr>
        <w:spacing w:after="0" w:line="161" w:lineRule="exact"/>
        <w:rPr>
          <w:sz w:val="20"/>
          <w:szCs w:val="20"/>
          <w:color w:val="auto"/>
        </w:rPr>
      </w:pPr>
    </w:p>
    <w:p>
      <w:pPr>
        <w:ind w:right="240"/>
        <w:spacing w:after="0" w:line="247" w:lineRule="auto"/>
        <w:rPr>
          <w:sz w:val="20"/>
          <w:szCs w:val="20"/>
          <w:color w:val="auto"/>
        </w:rPr>
      </w:pPr>
      <w:r>
        <w:rPr>
          <w:rFonts w:ascii="Arial" w:cs="Arial" w:eastAsia="Arial" w:hAnsi="Arial"/>
          <w:sz w:val="14"/>
          <w:szCs w:val="14"/>
          <w:color w:val="auto"/>
        </w:rPr>
        <w:t>The dividend access mechanism may be suspended or terminated at any time by the Company’s Directors or the Directors of Shell Transport, for any reason and without financial recompense. This might, for instance, occur in response to changes in relevant tax legislation.</w:t>
      </w:r>
    </w:p>
    <w:p>
      <w:pPr>
        <w:sectPr>
          <w:pgSz w:w="11900" w:h="16838" w:orient="portrait"/>
          <w:cols w:equalWidth="0" w:num="2">
            <w:col w:w="5720" w:space="60"/>
            <w:col w:w="5640"/>
          </w:cols>
          <w:pgMar w:left="240" w:top="459" w:right="239" w:bottom="1440" w:gutter="0" w:footer="0" w:header="0"/>
          <w:type w:val="continuous"/>
        </w:sectPr>
      </w:pPr>
    </w:p>
    <w:bookmarkStart w:id="74" w:name="page75"/>
    <w:bookmarkEnd w:id="74"/>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3555365</wp:posOffset>
            </wp:positionH>
            <wp:positionV relativeFrom="paragraph">
              <wp:posOffset>314960</wp:posOffset>
            </wp:positionV>
            <wp:extent cx="3696335" cy="46291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3696335" cy="462915"/>
                    </a:xfrm>
                    <a:prstGeom prst="rect">
                      <a:avLst/>
                    </a:prstGeom>
                    <a:noFill/>
                  </pic:spPr>
                </pic:pic>
              </a:graphicData>
            </a:graphic>
          </wp:anchor>
        </w:drawing>
      </w:r>
    </w:p>
    <w:p>
      <w:pPr>
        <w:sectPr>
          <w:pgSz w:w="11900" w:h="16838" w:orient="portrait"/>
          <w:cols w:equalWidth="0" w:num="1">
            <w:col w:w="11240"/>
          </w:cols>
          <w:pgMar w:left="240" w:top="459" w:right="4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11"/>
          <w:szCs w:val="11"/>
          <w:color w:val="auto"/>
        </w:rPr>
        <w:t>SHELL ANNUAL REPORT AND FORM 20-F 2014</w:t>
      </w:r>
    </w:p>
    <w:p>
      <w:pPr>
        <w:spacing w:after="0" w:line="57" w:lineRule="exact"/>
        <w:rPr>
          <w:sz w:val="20"/>
          <w:szCs w:val="20"/>
          <w:color w:val="auto"/>
        </w:rPr>
      </w:pPr>
    </w:p>
    <w:p>
      <w:pPr>
        <w:ind w:right="100"/>
        <w:spacing w:after="0" w:line="247" w:lineRule="auto"/>
        <w:rPr>
          <w:sz w:val="20"/>
          <w:szCs w:val="20"/>
          <w:color w:val="auto"/>
        </w:rPr>
      </w:pPr>
      <w:r>
        <w:rPr>
          <w:rFonts w:ascii="Arial" w:cs="Arial" w:eastAsia="Arial" w:hAnsi="Arial"/>
          <w:sz w:val="14"/>
          <w:szCs w:val="14"/>
          <w:color w:val="auto"/>
        </w:rPr>
        <w:t>The daily operations of the Trust are administered on behalf of Shell by the Trustee. Material financial information of the Trust is included in the “Consolidated Financial Statements” and is therefore subject to the same disclosure controls and procedures as Shell.</w:t>
      </w:r>
    </w:p>
    <w:p>
      <w:pPr>
        <w:spacing w:after="0" w:line="164" w:lineRule="exact"/>
        <w:rPr>
          <w:sz w:val="20"/>
          <w:szCs w:val="20"/>
          <w:color w:val="auto"/>
        </w:rPr>
      </w:pPr>
    </w:p>
    <w:p>
      <w:pPr>
        <w:ind w:right="280"/>
        <w:spacing w:after="0" w:line="222" w:lineRule="auto"/>
        <w:rPr>
          <w:sz w:val="20"/>
          <w:szCs w:val="20"/>
          <w:color w:val="auto"/>
        </w:rPr>
      </w:pPr>
      <w:r>
        <w:rPr>
          <w:rFonts w:ascii="Arial" w:cs="Arial" w:eastAsia="Arial" w:hAnsi="Arial"/>
          <w:sz w:val="13"/>
          <w:szCs w:val="13"/>
          <w:color w:val="auto"/>
        </w:rPr>
        <w:t>DISPUTES BETWEEN A SHAREHOLDER OR AMERICAN DEPOSITARY SHARE HOLDER AND ROYAL DUTCH SHELL PLC, ANY SUBSIDIARY, DIRECTOR OR PROFESSIONAL SERVICE PROVIDER</w:t>
      </w:r>
    </w:p>
    <w:p>
      <w:pPr>
        <w:spacing w:after="0" w:line="1" w:lineRule="exact"/>
        <w:rPr>
          <w:sz w:val="20"/>
          <w:szCs w:val="20"/>
          <w:color w:val="auto"/>
        </w:rPr>
      </w:pPr>
    </w:p>
    <w:p>
      <w:pPr>
        <w:spacing w:after="0" w:line="241" w:lineRule="auto"/>
        <w:rPr>
          <w:sz w:val="20"/>
          <w:szCs w:val="20"/>
          <w:color w:val="auto"/>
        </w:rPr>
      </w:pPr>
      <w:r>
        <w:rPr>
          <w:rFonts w:ascii="Arial" w:cs="Arial" w:eastAsia="Arial" w:hAnsi="Arial"/>
          <w:sz w:val="14"/>
          <w:szCs w:val="14"/>
          <w:color w:val="auto"/>
        </w:rPr>
        <w:t>The Articles generally require that, except as noted below, all disputes: (i) between a shareholder in such capacity and the Company and/or its Directors, arising out of or in connection with the Articles or otherwise; (ii) so far as permitted by law, between the Company and any of its Directors in their capacities as such or as the Company’s employees, including all claims made by the Company or on its behalf against Directors; (iii) between a shareholder in such capacity and the Company’s professional service providers (which could include the Company’s auditors, legal counsel, bankers and ADS depositaries); and (iv) between the Company and its professional service providers arising in connection with any claim within the scope of</w:t>
      </w:r>
    </w:p>
    <w:p>
      <w:pPr>
        <w:spacing w:after="0" w:line="4" w:lineRule="exact"/>
        <w:rPr>
          <w:sz w:val="20"/>
          <w:szCs w:val="20"/>
          <w:color w:val="auto"/>
        </w:rPr>
      </w:pPr>
    </w:p>
    <w:p>
      <w:pPr>
        <w:ind w:right="40" w:firstLine="8"/>
        <w:spacing w:after="0" w:line="243" w:lineRule="auto"/>
        <w:tabs>
          <w:tab w:leader="none" w:pos="232" w:val="left"/>
        </w:tabs>
        <w:numPr>
          <w:ilvl w:val="0"/>
          <w:numId w:val="68"/>
        </w:numPr>
        <w:rPr>
          <w:rFonts w:ascii="Arial" w:cs="Arial" w:eastAsia="Arial" w:hAnsi="Arial"/>
          <w:sz w:val="14"/>
          <w:szCs w:val="14"/>
          <w:color w:val="auto"/>
        </w:rPr>
      </w:pPr>
      <w:r>
        <w:rPr>
          <w:rFonts w:ascii="Arial" w:cs="Arial" w:eastAsia="Arial" w:hAnsi="Arial"/>
          <w:sz w:val="14"/>
          <w:szCs w:val="14"/>
          <w:color w:val="auto"/>
        </w:rPr>
        <w:t>above, shall be exclusively and finally resolved by arbitration in The Hague, the Netherlands, under the Rules of Arbitration of the International Chamber of Commerce (ICC), as amended from time to time. This would include all disputes arising under UK, Dutch or US law (including securities laws), or under any other law, between parties covered by the arbitration provision. Accordingly, the ability of shareholders to obtain monetary or other relief, including in respect of securities law claims, may be determined in accordance with these provisions, and the ability of shareholders to obtain monetary or other relief may therefore be limited and their cost of seeking and obtaining recoveries in a dispute may be higher than otherwise would be the case.</w:t>
      </w:r>
    </w:p>
    <w:p>
      <w:pPr>
        <w:spacing w:after="0" w:line="329" w:lineRule="exact"/>
        <w:rPr>
          <w:sz w:val="20"/>
          <w:szCs w:val="20"/>
          <w:color w:val="auto"/>
        </w:rPr>
      </w:pPr>
    </w:p>
    <w:p>
      <w:pPr>
        <w:ind w:right="20"/>
        <w:spacing w:after="0" w:line="245" w:lineRule="auto"/>
        <w:rPr>
          <w:sz w:val="20"/>
          <w:szCs w:val="20"/>
          <w:color w:val="auto"/>
        </w:rPr>
      </w:pPr>
      <w:r>
        <w:rPr>
          <w:rFonts w:ascii="Arial" w:cs="Arial" w:eastAsia="Arial" w:hAnsi="Arial"/>
          <w:sz w:val="14"/>
          <w:szCs w:val="14"/>
          <w:color w:val="auto"/>
        </w:rPr>
        <w:t>The tribunal shall consist of three arbitrators to be appointed in accordance with the ICC rules. The chairman of the tribunal must have at least 20 years’ experience as a lawyer qualified to practise in a common law jurisdiction which is within the Commonwealth (as constituted on May 12, 2005) and each other arbitrator must have at least 20 years’ experience as a qualified lawyer.</w:t>
      </w:r>
    </w:p>
    <w:p>
      <w:pPr>
        <w:spacing w:after="0" w:line="164" w:lineRule="exact"/>
        <w:rPr>
          <w:sz w:val="20"/>
          <w:szCs w:val="20"/>
          <w:color w:val="auto"/>
        </w:rPr>
      </w:pPr>
    </w:p>
    <w:p>
      <w:pPr>
        <w:spacing w:after="0" w:line="244" w:lineRule="auto"/>
        <w:rPr>
          <w:sz w:val="20"/>
          <w:szCs w:val="20"/>
          <w:color w:val="auto"/>
        </w:rPr>
      </w:pPr>
      <w:r>
        <w:rPr>
          <w:rFonts w:ascii="Arial" w:cs="Arial" w:eastAsia="Arial" w:hAnsi="Arial"/>
          <w:sz w:val="14"/>
          <w:szCs w:val="14"/>
          <w:color w:val="auto"/>
        </w:rPr>
        <w:t>Pursuant to the exclusive jurisdiction provision in the Articles, if a court or other competent authority in any jurisdiction determines that the arbitration requirement described above is invalid or unenforceable in relation to any particular dispute in that jurisdiction, then that dispute may only be brought in the courts of England and Wales, as is the case with any derivative claim brought under the Act. The governing law of the Articles is the substantive law of England.</w:t>
      </w:r>
    </w:p>
    <w:p>
      <w:pPr>
        <w:spacing w:after="0" w:line="179" w:lineRule="exact"/>
        <w:rPr>
          <w:sz w:val="20"/>
          <w:szCs w:val="20"/>
          <w:color w:val="auto"/>
        </w:rPr>
      </w:pPr>
    </w:p>
    <w:p>
      <w:pPr>
        <w:ind w:right="40"/>
        <w:spacing w:after="0" w:line="245" w:lineRule="auto"/>
        <w:rPr>
          <w:sz w:val="20"/>
          <w:szCs w:val="20"/>
          <w:color w:val="auto"/>
        </w:rPr>
      </w:pPr>
      <w:r>
        <w:rPr>
          <w:rFonts w:ascii="Arial" w:cs="Arial" w:eastAsia="Arial" w:hAnsi="Arial"/>
          <w:sz w:val="14"/>
          <w:szCs w:val="14"/>
          <w:color w:val="auto"/>
        </w:rPr>
        <w:t>Disputes relating to the Company’s failure or alleged failure to pay all or part of a dividend which has been announced and which has fallen due for payment will not be subject to the arbitration and exclusive jurisdiction provisions of the Articles. Any derivative claim brought under the Act will not be subject to the arbitration provisions of the Articles.</w:t>
      </w:r>
    </w:p>
    <w:p>
      <w:pPr>
        <w:spacing w:after="0" w:line="164" w:lineRule="exact"/>
        <w:rPr>
          <w:sz w:val="20"/>
          <w:szCs w:val="20"/>
          <w:color w:val="auto"/>
        </w:rPr>
      </w:pPr>
    </w:p>
    <w:p>
      <w:pPr>
        <w:ind w:right="80"/>
        <w:spacing w:after="0" w:line="250" w:lineRule="auto"/>
        <w:rPr>
          <w:sz w:val="20"/>
          <w:szCs w:val="20"/>
          <w:color w:val="auto"/>
        </w:rPr>
      </w:pPr>
      <w:r>
        <w:rPr>
          <w:rFonts w:ascii="Arial" w:cs="Arial" w:eastAsia="Arial" w:hAnsi="Arial"/>
          <w:sz w:val="14"/>
          <w:szCs w:val="14"/>
          <w:color w:val="auto"/>
        </w:rPr>
        <w:t>Pursuant to the relevant Depositary agreement, each holder of ADSs is bound by the arbitration and exclusive jurisdiction provisions of the Articles as described in this section as if that holder were a shareholder.</w:t>
      </w:r>
    </w:p>
    <w:p>
      <w:pPr>
        <w:spacing w:after="0" w:line="148" w:lineRule="exact"/>
        <w:rPr>
          <w:sz w:val="20"/>
          <w:szCs w:val="20"/>
          <w:color w:val="auto"/>
        </w:rPr>
      </w:pPr>
    </w:p>
    <w:p>
      <w:pPr>
        <w:spacing w:after="0"/>
        <w:rPr>
          <w:sz w:val="20"/>
          <w:szCs w:val="20"/>
          <w:color w:val="auto"/>
        </w:rPr>
      </w:pPr>
      <w:r>
        <w:rPr>
          <w:rFonts w:ascii="Arial" w:cs="Arial" w:eastAsia="Arial" w:hAnsi="Arial"/>
          <w:sz w:val="13"/>
          <w:szCs w:val="13"/>
          <w:color w:val="auto"/>
        </w:rPr>
        <w:t>VOTING RIGHTS AND GENERAL MEETINGS OF SHAREHOLDERS</w:t>
      </w:r>
    </w:p>
    <w:p>
      <w:pPr>
        <w:spacing w:after="0" w:line="185" w:lineRule="exact"/>
        <w:rPr>
          <w:sz w:val="20"/>
          <w:szCs w:val="20"/>
          <w:color w:val="auto"/>
        </w:rPr>
      </w:pPr>
    </w:p>
    <w:p>
      <w:pPr>
        <w:spacing w:after="0"/>
        <w:rPr>
          <w:sz w:val="20"/>
          <w:szCs w:val="20"/>
          <w:color w:val="auto"/>
        </w:rPr>
      </w:pPr>
      <w:r>
        <w:rPr>
          <w:rFonts w:ascii="Arial" w:cs="Arial" w:eastAsia="Arial" w:hAnsi="Arial"/>
          <w:sz w:val="14"/>
          <w:szCs w:val="14"/>
          <w:color w:val="auto"/>
        </w:rPr>
        <w:t>Shareholders’ meetings</w:t>
      </w:r>
    </w:p>
    <w:p>
      <w:pPr>
        <w:spacing w:after="0" w:line="1" w:lineRule="exact"/>
        <w:rPr>
          <w:sz w:val="20"/>
          <w:szCs w:val="20"/>
          <w:color w:val="auto"/>
        </w:rPr>
      </w:pPr>
    </w:p>
    <w:p>
      <w:pPr>
        <w:ind w:right="40"/>
        <w:spacing w:after="0" w:line="245" w:lineRule="auto"/>
        <w:rPr>
          <w:sz w:val="20"/>
          <w:szCs w:val="20"/>
          <w:color w:val="auto"/>
        </w:rPr>
      </w:pPr>
      <w:r>
        <w:rPr>
          <w:rFonts w:ascii="Arial" w:cs="Arial" w:eastAsia="Arial" w:hAnsi="Arial"/>
          <w:sz w:val="14"/>
          <w:szCs w:val="14"/>
          <w:color w:val="auto"/>
        </w:rPr>
        <w:t>Under the applicable laws of England, the Company is required in each year to hold an AGM of shareholders in addition to any other meeting of shareholders that may be held. Each AGM must be held in the period six months from the date following the Company’s accounting reference date. Additionally, shareholders may submit resolutions in accordance with Section 338 of the Act.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spacing w:after="0" w:line="1" w:lineRule="exact"/>
        <w:rPr>
          <w:sz w:val="1"/>
          <w:szCs w:val="1"/>
          <w:color w:val="auto"/>
        </w:rPr>
      </w:pPr>
    </w:p>
    <w:tbl>
      <w:tblPr>
        <w:tblLayout w:type="fixed"/>
        <w:tblInd w:w="740" w:type="dxa"/>
        <w:tblCellMar>
          <w:top w:w="0" w:type="dxa"/>
          <w:left w:w="0" w:type="dxa"/>
          <w:bottom w:w="0" w:type="dxa"/>
          <w:right w:w="0" w:type="dxa"/>
        </w:tblCellMar>
      </w:tblPr>
      <w:tr>
        <w:trPr>
          <w:trHeight w:val="161"/>
        </w:trPr>
        <w:tc>
          <w:tcPr>
            <w:tcW w:w="2580" w:type="dxa"/>
            <w:vAlign w:val="bottom"/>
          </w:tcPr>
          <w:p>
            <w:pPr>
              <w:spacing w:after="0"/>
              <w:rPr>
                <w:sz w:val="20"/>
                <w:szCs w:val="20"/>
                <w:color w:val="auto"/>
              </w:rPr>
            </w:pPr>
            <w:r>
              <w:rPr>
                <w:rFonts w:ascii="Arial" w:cs="Arial" w:eastAsia="Arial" w:hAnsi="Arial"/>
                <w:sz w:val="13"/>
                <w:szCs w:val="13"/>
                <w:color w:val="333333"/>
              </w:rPr>
              <w:t>GOVERNANCE</w:t>
            </w:r>
          </w:p>
        </w:tc>
        <w:tc>
          <w:tcPr>
            <w:tcW w:w="1820" w:type="dxa"/>
            <w:vAlign w:val="bottom"/>
          </w:tcPr>
          <w:p>
            <w:pPr>
              <w:jc w:val="right"/>
              <w:spacing w:after="0"/>
              <w:rPr>
                <w:sz w:val="20"/>
                <w:szCs w:val="20"/>
                <w:color w:val="auto"/>
              </w:rPr>
            </w:pPr>
            <w:r>
              <w:rPr>
                <w:rFonts w:ascii="Arial" w:cs="Arial" w:eastAsia="Arial" w:hAnsi="Arial"/>
                <w:sz w:val="11"/>
                <w:szCs w:val="11"/>
                <w:b w:val="1"/>
                <w:bCs w:val="1"/>
                <w:color w:val="333333"/>
              </w:rPr>
              <w:t>73</w:t>
            </w:r>
          </w:p>
        </w:tc>
      </w:tr>
    </w:tbl>
    <w:p>
      <w:pPr>
        <w:spacing w:after="0" w:line="161" w:lineRule="exact"/>
        <w:rPr>
          <w:sz w:val="20"/>
          <w:szCs w:val="20"/>
          <w:color w:val="auto"/>
        </w:rPr>
      </w:pPr>
    </w:p>
    <w:p>
      <w:pPr>
        <w:ind w:left="740"/>
        <w:spacing w:after="0"/>
        <w:rPr>
          <w:sz w:val="20"/>
          <w:szCs w:val="20"/>
          <w:color w:val="auto"/>
        </w:rPr>
      </w:pPr>
      <w:r>
        <w:rPr>
          <w:rFonts w:ascii="Arial" w:cs="Arial" w:eastAsia="Arial" w:hAnsi="Arial"/>
          <w:sz w:val="11"/>
          <w:szCs w:val="11"/>
          <w:color w:val="auto"/>
        </w:rPr>
        <w:t>CORPORATE GOVERNANCE</w:t>
      </w:r>
    </w:p>
    <w:p>
      <w:pPr>
        <w:spacing w:after="0" w:line="57" w:lineRule="exact"/>
        <w:rPr>
          <w:sz w:val="20"/>
          <w:szCs w:val="20"/>
          <w:color w:val="auto"/>
        </w:rPr>
      </w:pPr>
    </w:p>
    <w:p>
      <w:pPr>
        <w:ind w:right="60"/>
        <w:spacing w:after="0" w:line="243" w:lineRule="auto"/>
        <w:rPr>
          <w:sz w:val="20"/>
          <w:szCs w:val="20"/>
          <w:color w:val="auto"/>
        </w:rPr>
      </w:pPr>
      <w:r>
        <w:rPr>
          <w:rFonts w:ascii="Arial" w:cs="Arial" w:eastAsia="Arial" w:hAnsi="Arial"/>
          <w:sz w:val="14"/>
          <w:szCs w:val="14"/>
          <w:color w:val="auto"/>
        </w:rPr>
        <w:t>Directors have the power to convene a general meeting of shareholders at any time. In addition, Directors must convene a meeting upon the request of shareholders holding not less than 5% of the Company’s paid-up capital carrying voting rights at general meetings of shareholders pursuant to Section 303 of the Act. A request for a general meeting of shareholders must state the general nature of the business to be dealt with at the meeting, and must be authenticated by the requesting shareholders. If Directors fail to call such a meeting within 21 days from receipt of the request, the shareholders that requested the general meeting, or any of them representing more than half of the total voting rights of all shareholders that requested the meeting, may themselves convene a meeting which must be called within three months. Any such meeting must be convened in the same manner, as nearly as possible, as that in which meetings are required to be convened by the Directors.</w:t>
      </w:r>
    </w:p>
    <w:p>
      <w:pPr>
        <w:spacing w:after="0" w:line="178" w:lineRule="exact"/>
        <w:rPr>
          <w:sz w:val="20"/>
          <w:szCs w:val="20"/>
          <w:color w:val="auto"/>
        </w:rPr>
      </w:pPr>
    </w:p>
    <w:p>
      <w:pPr>
        <w:ind w:right="280"/>
        <w:spacing w:after="0" w:line="258" w:lineRule="auto"/>
        <w:rPr>
          <w:sz w:val="20"/>
          <w:szCs w:val="20"/>
          <w:color w:val="auto"/>
        </w:rPr>
      </w:pPr>
      <w:r>
        <w:rPr>
          <w:rFonts w:ascii="Arial" w:cs="Arial" w:eastAsia="Arial" w:hAnsi="Arial"/>
          <w:sz w:val="14"/>
          <w:szCs w:val="14"/>
          <w:color w:val="auto"/>
        </w:rPr>
        <w:t>The Company is required to give at least 21 clear days’ notice of any AGM or any other general meeting of the Company.</w:t>
      </w:r>
    </w:p>
    <w:p>
      <w:pPr>
        <w:spacing w:after="0" w:line="154" w:lineRule="exact"/>
        <w:rPr>
          <w:sz w:val="20"/>
          <w:szCs w:val="20"/>
          <w:color w:val="auto"/>
        </w:rPr>
      </w:pPr>
    </w:p>
    <w:p>
      <w:pPr>
        <w:spacing w:after="0" w:line="243" w:lineRule="auto"/>
        <w:rPr>
          <w:sz w:val="20"/>
          <w:szCs w:val="20"/>
          <w:color w:val="auto"/>
        </w:rPr>
      </w:pPr>
      <w:r>
        <w:rPr>
          <w:rFonts w:ascii="Arial" w:cs="Arial" w:eastAsia="Arial" w:hAnsi="Arial"/>
          <w:sz w:val="14"/>
          <w:szCs w:val="14"/>
          <w:color w:val="auto"/>
        </w:rPr>
        <w:t>The Articles require that in addition to any requirements under the legislation, the notice for any general meeting must state where the meeting is to be held (the principal meeting place) and the location of any satellite meeting place, which shall be identified as such in the notice. At the same time that notice is given for any general meeting, an announcement of the date, time and place of that meeting will, if practical, be published in a national newspaper in the Netherlands. The rules of the UKLA, Euronext Amsterdam and the NYSE require the Company to inform holders of its securities of the holding of meetings which they are entitled to attend.</w:t>
      </w:r>
    </w:p>
    <w:p>
      <w:pPr>
        <w:spacing w:after="0" w:line="168" w:lineRule="exact"/>
        <w:rPr>
          <w:sz w:val="20"/>
          <w:szCs w:val="20"/>
          <w:color w:val="auto"/>
        </w:rPr>
      </w:pPr>
    </w:p>
    <w:p>
      <w:pPr>
        <w:ind w:right="220"/>
        <w:spacing w:after="0" w:line="247" w:lineRule="auto"/>
        <w:rPr>
          <w:sz w:val="20"/>
          <w:szCs w:val="20"/>
          <w:color w:val="auto"/>
        </w:rPr>
      </w:pPr>
      <w:r>
        <w:rPr>
          <w:rFonts w:ascii="Arial" w:cs="Arial" w:eastAsia="Arial" w:hAnsi="Arial"/>
          <w:sz w:val="14"/>
          <w:szCs w:val="14"/>
          <w:color w:val="auto"/>
        </w:rPr>
        <w:t>A shareholder is entitled to appoint a proxy (who is not required to be another shareholder) to represent and vote on behalf of the shareholder at any general meeting of shareholders, including the AGM, if a duly completed form of proxy has been received by the Company not less than 48 hours before the meeting.</w:t>
      </w:r>
    </w:p>
    <w:p>
      <w:pPr>
        <w:spacing w:after="0" w:line="175" w:lineRule="exact"/>
        <w:rPr>
          <w:sz w:val="20"/>
          <w:szCs w:val="20"/>
          <w:color w:val="auto"/>
        </w:rPr>
      </w:pPr>
    </w:p>
    <w:p>
      <w:pPr>
        <w:ind w:right="40"/>
        <w:spacing w:after="0" w:line="247" w:lineRule="auto"/>
        <w:rPr>
          <w:sz w:val="20"/>
          <w:szCs w:val="20"/>
          <w:color w:val="auto"/>
        </w:rPr>
      </w:pPr>
      <w:r>
        <w:rPr>
          <w:rFonts w:ascii="Arial" w:cs="Arial" w:eastAsia="Arial" w:hAnsi="Arial"/>
          <w:sz w:val="14"/>
          <w:szCs w:val="14"/>
          <w:color w:val="auto"/>
        </w:rPr>
        <w:t>Business may not be transacted at any general meeting, including the AGM, unless a quorum is present. A quorum is two people who are entitled to vote at that general meeting. They can be shareholders who are personally present or proxies for shareholders entitled to vote at that general meeting or a combination of both.</w:t>
      </w:r>
    </w:p>
    <w:p>
      <w:pPr>
        <w:spacing w:after="0" w:line="161" w:lineRule="exact"/>
        <w:rPr>
          <w:sz w:val="20"/>
          <w:szCs w:val="20"/>
          <w:color w:val="auto"/>
        </w:rPr>
      </w:pPr>
    </w:p>
    <w:p>
      <w:pPr>
        <w:spacing w:after="0" w:line="243" w:lineRule="auto"/>
        <w:rPr>
          <w:sz w:val="20"/>
          <w:szCs w:val="20"/>
          <w:color w:val="auto"/>
        </w:rPr>
      </w:pPr>
      <w:r>
        <w:rPr>
          <w:rFonts w:ascii="Arial" w:cs="Arial" w:eastAsia="Arial" w:hAnsi="Arial"/>
          <w:sz w:val="14"/>
          <w:szCs w:val="14"/>
          <w:color w:val="auto"/>
        </w:rPr>
        <w:t>If a quorum is not present within five minutes of the time fixed for a general meeting to start or within any longer period not exceeding one hour which the chairman of the meeting can decide, and if the meeting was called by shareholders, it will be cancelled. Any other meeting will be adjourned to a day (being not less than 10 days later, excluding the day on which it is adjourned and the day for which it is reconvened), time and place decided upon by the chairman of the meeting. One shareholder present in person or by proxy and entitled to vote will constitute a quorum at any adjourned general meeting.</w:t>
      </w:r>
    </w:p>
    <w:p>
      <w:pPr>
        <w:spacing w:after="0" w:line="168" w:lineRule="exact"/>
        <w:rPr>
          <w:sz w:val="20"/>
          <w:szCs w:val="20"/>
          <w:color w:val="auto"/>
        </w:rPr>
      </w:pPr>
    </w:p>
    <w:p>
      <w:pPr>
        <w:spacing w:after="0"/>
        <w:rPr>
          <w:sz w:val="20"/>
          <w:szCs w:val="20"/>
          <w:color w:val="auto"/>
        </w:rPr>
      </w:pPr>
      <w:r>
        <w:rPr>
          <w:rFonts w:ascii="Arial" w:cs="Arial" w:eastAsia="Arial" w:hAnsi="Arial"/>
          <w:sz w:val="14"/>
          <w:szCs w:val="14"/>
          <w:color w:val="auto"/>
        </w:rPr>
        <w:t>Record dates</w:t>
      </w:r>
    </w:p>
    <w:p>
      <w:pPr>
        <w:spacing w:after="0" w:line="1" w:lineRule="exact"/>
        <w:rPr>
          <w:sz w:val="20"/>
          <w:szCs w:val="20"/>
          <w:color w:val="auto"/>
        </w:rPr>
      </w:pPr>
    </w:p>
    <w:p>
      <w:pPr>
        <w:ind w:right="40"/>
        <w:spacing w:after="0" w:line="244" w:lineRule="auto"/>
        <w:rPr>
          <w:sz w:val="20"/>
          <w:szCs w:val="20"/>
          <w:color w:val="auto"/>
        </w:rPr>
      </w:pPr>
      <w:r>
        <w:rPr>
          <w:rFonts w:ascii="Arial" w:cs="Arial" w:eastAsia="Arial" w:hAnsi="Arial"/>
          <w:sz w:val="14"/>
          <w:szCs w:val="14"/>
          <w:color w:val="auto"/>
        </w:rPr>
        <w:t>Entitlement to attend and vote at the AGM is determined by reference to the Company’s Register of Members. In order to attend and vote at the AGM, a member must be entered on the Register of Members or the register of the Royal Dutch Shell Corporate Nominee no later than the record date. The record date will not be more than 48 hours before the meeting, not taking account of any part of a day that is not a working day.</w:t>
      </w:r>
    </w:p>
    <w:p>
      <w:pPr>
        <w:spacing w:after="0" w:line="179" w:lineRule="exact"/>
        <w:rPr>
          <w:sz w:val="20"/>
          <w:szCs w:val="20"/>
          <w:color w:val="auto"/>
        </w:rPr>
      </w:pPr>
    </w:p>
    <w:p>
      <w:pPr>
        <w:spacing w:after="0"/>
        <w:rPr>
          <w:sz w:val="20"/>
          <w:szCs w:val="20"/>
          <w:color w:val="auto"/>
        </w:rPr>
      </w:pPr>
      <w:r>
        <w:rPr>
          <w:rFonts w:ascii="Arial" w:cs="Arial" w:eastAsia="Arial" w:hAnsi="Arial"/>
          <w:sz w:val="14"/>
          <w:szCs w:val="14"/>
          <w:color w:val="auto"/>
        </w:rPr>
        <w:t>Voting rights</w:t>
      </w:r>
    </w:p>
    <w:p>
      <w:pPr>
        <w:spacing w:after="0" w:line="1" w:lineRule="exact"/>
        <w:rPr>
          <w:sz w:val="20"/>
          <w:szCs w:val="20"/>
          <w:color w:val="auto"/>
        </w:rPr>
      </w:pPr>
    </w:p>
    <w:p>
      <w:pPr>
        <w:ind w:right="20"/>
        <w:spacing w:after="0" w:line="245" w:lineRule="auto"/>
        <w:rPr>
          <w:sz w:val="20"/>
          <w:szCs w:val="20"/>
          <w:color w:val="auto"/>
        </w:rPr>
      </w:pPr>
      <w:r>
        <w:rPr>
          <w:rFonts w:ascii="Arial" w:cs="Arial" w:eastAsia="Arial" w:hAnsi="Arial"/>
          <w:sz w:val="14"/>
          <w:szCs w:val="14"/>
          <w:color w:val="auto"/>
        </w:rPr>
        <w:t>A and B shares have identical voting rights and vote together as a single class on all matters including the election of directors unless a matter affects the rights of one class as a separate class. If a resolution affects the rights attached to either class of shares as a separate class, it must be approved either in writing by shareholders holding at least three-quarters of the issued shares of that class by amount, excluding</w:t>
      </w:r>
    </w:p>
    <w:p>
      <w:pPr>
        <w:sectPr>
          <w:pgSz w:w="11900" w:h="16838" w:orient="portrait"/>
          <w:cols w:equalWidth="0" w:num="2">
            <w:col w:w="5480" w:space="300"/>
            <w:col w:w="5460"/>
          </w:cols>
          <w:pgMar w:left="240" w:top="459" w:right="419" w:bottom="1440" w:gutter="0" w:footer="0" w:header="0"/>
          <w:type w:val="continuous"/>
        </w:sectPr>
      </w:pPr>
    </w:p>
    <w:bookmarkStart w:id="75" w:name="page76"/>
    <w:bookmarkEnd w:id="75"/>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314960</wp:posOffset>
            </wp:positionV>
            <wp:extent cx="3627755" cy="46291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3627755" cy="462915"/>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p>
      <w:pPr>
        <w:spacing w:after="0" w:line="200" w:lineRule="exact"/>
        <w:rPr>
          <w:sz w:val="20"/>
          <w:szCs w:val="20"/>
          <w:color w:val="auto"/>
        </w:rPr>
      </w:pP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419"/>
        </w:trPr>
        <w:tc>
          <w:tcPr>
            <w:tcW w:w="2260" w:type="dxa"/>
            <w:vAlign w:val="bottom"/>
            <w:shd w:val="clear" w:color="auto" w:fill="FF8B00"/>
          </w:tcPr>
          <w:p>
            <w:pPr>
              <w:spacing w:after="0"/>
              <w:rPr>
                <w:sz w:val="24"/>
                <w:szCs w:val="24"/>
                <w:color w:val="auto"/>
              </w:rPr>
            </w:pPr>
          </w:p>
        </w:tc>
        <w:tc>
          <w:tcPr>
            <w:tcW w:w="3460" w:type="dxa"/>
            <w:vAlign w:val="bottom"/>
            <w:shd w:val="clear" w:color="auto" w:fill="FF8B00"/>
          </w:tcPr>
          <w:p>
            <w:pPr>
              <w:spacing w:after="0"/>
              <w:rPr>
                <w:sz w:val="24"/>
                <w:szCs w:val="24"/>
                <w:color w:val="auto"/>
              </w:rPr>
            </w:pPr>
          </w:p>
        </w:tc>
      </w:tr>
      <w:tr>
        <w:trPr>
          <w:trHeight w:val="152"/>
        </w:trPr>
        <w:tc>
          <w:tcPr>
            <w:tcW w:w="2260" w:type="dxa"/>
            <w:vAlign w:val="bottom"/>
          </w:tcPr>
          <w:p>
            <w:pPr>
              <w:jc w:val="right"/>
              <w:ind w:right="1726"/>
              <w:spacing w:after="0"/>
              <w:rPr>
                <w:sz w:val="20"/>
                <w:szCs w:val="20"/>
                <w:color w:val="auto"/>
              </w:rPr>
            </w:pPr>
            <w:r>
              <w:rPr>
                <w:rFonts w:ascii="Arial" w:cs="Arial" w:eastAsia="Arial" w:hAnsi="Arial"/>
                <w:sz w:val="11"/>
                <w:szCs w:val="11"/>
                <w:b w:val="1"/>
                <w:bCs w:val="1"/>
                <w:color w:val="333333"/>
              </w:rPr>
              <w:t>74</w:t>
            </w:r>
          </w:p>
        </w:tc>
        <w:tc>
          <w:tcPr>
            <w:tcW w:w="3460" w:type="dxa"/>
            <w:vAlign w:val="bottom"/>
          </w:tcPr>
          <w:p>
            <w:pPr>
              <w:ind w:left="1780"/>
              <w:spacing w:after="0"/>
              <w:rPr>
                <w:sz w:val="20"/>
                <w:szCs w:val="20"/>
                <w:color w:val="auto"/>
              </w:rPr>
            </w:pPr>
            <w:r>
              <w:rPr>
                <w:rFonts w:ascii="Arial" w:cs="Arial" w:eastAsia="Arial" w:hAnsi="Arial"/>
                <w:sz w:val="13"/>
                <w:szCs w:val="13"/>
                <w:color w:val="333333"/>
              </w:rPr>
              <w:t>GOVERNANCE</w:t>
            </w:r>
          </w:p>
        </w:tc>
      </w:tr>
    </w:tbl>
    <w:p>
      <w:pPr>
        <w:spacing w:after="0" w:line="155" w:lineRule="exact"/>
        <w:rPr>
          <w:sz w:val="20"/>
          <w:szCs w:val="20"/>
          <w:color w:val="auto"/>
        </w:rPr>
      </w:pPr>
    </w:p>
    <w:p>
      <w:pPr>
        <w:ind w:left="3460"/>
        <w:spacing w:after="0"/>
        <w:rPr>
          <w:sz w:val="20"/>
          <w:szCs w:val="20"/>
          <w:color w:val="auto"/>
        </w:rPr>
      </w:pPr>
      <w:r>
        <w:rPr>
          <w:rFonts w:ascii="Arial" w:cs="Arial" w:eastAsia="Arial" w:hAnsi="Arial"/>
          <w:sz w:val="11"/>
          <w:szCs w:val="11"/>
          <w:color w:val="auto"/>
        </w:rPr>
        <w:t>CORPORATE GOVERNANCE</w:t>
      </w:r>
    </w:p>
    <w:p>
      <w:pPr>
        <w:spacing w:after="0" w:line="48" w:lineRule="exact"/>
        <w:rPr>
          <w:sz w:val="20"/>
          <w:szCs w:val="20"/>
          <w:color w:val="auto"/>
        </w:rPr>
      </w:pPr>
    </w:p>
    <w:p>
      <w:pPr>
        <w:ind w:left="20"/>
        <w:spacing w:after="0"/>
        <w:rPr>
          <w:sz w:val="20"/>
          <w:szCs w:val="20"/>
          <w:color w:val="auto"/>
        </w:rPr>
      </w:pPr>
      <w:r>
        <w:rPr>
          <w:rFonts w:ascii="Arial" w:cs="Arial" w:eastAsia="Arial" w:hAnsi="Arial"/>
          <w:sz w:val="24"/>
          <w:szCs w:val="24"/>
          <w:color w:val="auto"/>
        </w:rPr>
        <w:t xml:space="preserve">CORPORATE GOVERNANCE </w:t>
      </w:r>
      <w:r>
        <w:rPr>
          <w:rFonts w:ascii="Arial" w:cs="Arial" w:eastAsia="Arial" w:hAnsi="Arial"/>
          <w:sz w:val="24"/>
          <w:szCs w:val="24"/>
          <w:color w:val="666666"/>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3473450" cy="889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spacing w:after="0" w:line="199" w:lineRule="exact"/>
        <w:rPr>
          <w:sz w:val="20"/>
          <w:szCs w:val="20"/>
          <w:color w:val="auto"/>
        </w:rPr>
      </w:pPr>
    </w:p>
    <w:p>
      <w:pPr>
        <w:ind w:right="320"/>
        <w:spacing w:after="0" w:line="258" w:lineRule="auto"/>
        <w:rPr>
          <w:sz w:val="20"/>
          <w:szCs w:val="20"/>
          <w:color w:val="auto"/>
        </w:rPr>
      </w:pPr>
      <w:r>
        <w:rPr>
          <w:rFonts w:ascii="Arial" w:cs="Arial" w:eastAsia="Arial" w:hAnsi="Arial"/>
          <w:sz w:val="14"/>
          <w:szCs w:val="14"/>
          <w:color w:val="auto"/>
        </w:rPr>
        <w:t>any shares of that class held as treasury shares, or by special resolution passed at a separate meeting of the registered holders of the relevant class of shares.</w:t>
      </w:r>
    </w:p>
    <w:p>
      <w:pPr>
        <w:spacing w:after="0" w:line="154" w:lineRule="exact"/>
        <w:rPr>
          <w:sz w:val="20"/>
          <w:szCs w:val="20"/>
          <w:color w:val="auto"/>
        </w:rPr>
      </w:pPr>
    </w:p>
    <w:p>
      <w:pPr>
        <w:ind w:right="240"/>
        <w:spacing w:after="0" w:line="244" w:lineRule="auto"/>
        <w:rPr>
          <w:sz w:val="20"/>
          <w:szCs w:val="20"/>
          <w:color w:val="auto"/>
        </w:rPr>
      </w:pPr>
      <w:r>
        <w:rPr>
          <w:rFonts w:ascii="Arial" w:cs="Arial" w:eastAsia="Arial" w:hAnsi="Arial"/>
          <w:sz w:val="14"/>
          <w:szCs w:val="14"/>
          <w:color w:val="auto"/>
        </w:rPr>
        <w:t>It is the intention that all voting at general meetings will be by way of a poll. A poll is voting by means of a ballot where the number of shares held by each voting shareholder is counted, as opposed to voting by way of a show of hands where the actual number of shares held by voting shareholders is not taken into account. Under the Act, if a poll is demanded, the resolution conducted on a poll must be approved by holders of at least a majority of the votes cast at the meeting. Special resolutions require the affirmative vote of at least three-quarters of the votes cast at the meeting to be approved.</w:t>
      </w:r>
    </w:p>
    <w:p>
      <w:pPr>
        <w:spacing w:after="0" w:line="326" w:lineRule="exact"/>
        <w:rPr>
          <w:sz w:val="20"/>
          <w:szCs w:val="20"/>
          <w:color w:val="auto"/>
        </w:rPr>
      </w:pPr>
    </w:p>
    <w:p>
      <w:pPr>
        <w:ind w:right="240"/>
        <w:spacing w:after="0" w:line="244" w:lineRule="auto"/>
        <w:rPr>
          <w:sz w:val="20"/>
          <w:szCs w:val="20"/>
          <w:color w:val="auto"/>
        </w:rPr>
      </w:pPr>
      <w:r>
        <w:rPr>
          <w:rFonts w:ascii="Arial" w:cs="Arial" w:eastAsia="Arial" w:hAnsi="Arial"/>
          <w:sz w:val="14"/>
          <w:szCs w:val="14"/>
          <w:color w:val="auto"/>
        </w:rPr>
        <w:t>On a poll, every holder of A or B shares present in person or by proxy has one vote for every share he or she holds. This is subject to any rights or restrictions which are given to any class of shares in accordance with the Articles. No shareholder is entitled to vote if he or she has been served with a restriction order after failure to provide the Company with information concerning interests in his or her shares required to be provided under Section 793 of the Act.</w:t>
      </w:r>
    </w:p>
    <w:p>
      <w:pPr>
        <w:spacing w:after="0" w:line="179" w:lineRule="exact"/>
        <w:rPr>
          <w:sz w:val="20"/>
          <w:szCs w:val="20"/>
          <w:color w:val="auto"/>
        </w:rPr>
      </w:pPr>
    </w:p>
    <w:p>
      <w:pPr>
        <w:spacing w:after="0"/>
        <w:rPr>
          <w:sz w:val="20"/>
          <w:szCs w:val="20"/>
          <w:color w:val="auto"/>
        </w:rPr>
      </w:pPr>
      <w:r>
        <w:rPr>
          <w:rFonts w:ascii="Arial" w:cs="Arial" w:eastAsia="Arial" w:hAnsi="Arial"/>
          <w:sz w:val="14"/>
          <w:szCs w:val="14"/>
          <w:color w:val="auto"/>
        </w:rPr>
        <w:t>Major shareholders have no differing voting rights.</w:t>
      </w:r>
    </w:p>
    <w:p>
      <w:pPr>
        <w:spacing w:after="0" w:line="177" w:lineRule="exact"/>
        <w:rPr>
          <w:sz w:val="20"/>
          <w:szCs w:val="20"/>
          <w:color w:val="auto"/>
        </w:rPr>
      </w:pPr>
    </w:p>
    <w:p>
      <w:pPr>
        <w:spacing w:after="0"/>
        <w:rPr>
          <w:sz w:val="20"/>
          <w:szCs w:val="20"/>
          <w:color w:val="auto"/>
        </w:rPr>
      </w:pPr>
      <w:r>
        <w:rPr>
          <w:rFonts w:ascii="Arial" w:cs="Arial" w:eastAsia="Arial" w:hAnsi="Arial"/>
          <w:sz w:val="14"/>
          <w:szCs w:val="14"/>
          <w:color w:val="auto"/>
        </w:rPr>
        <w:t>Rights in a winding up</w:t>
      </w:r>
    </w:p>
    <w:p>
      <w:pPr>
        <w:spacing w:after="0" w:line="1" w:lineRule="exact"/>
        <w:rPr>
          <w:sz w:val="20"/>
          <w:szCs w:val="20"/>
          <w:color w:val="auto"/>
        </w:rPr>
      </w:pPr>
    </w:p>
    <w:p>
      <w:pPr>
        <w:ind w:right="260"/>
        <w:spacing w:after="0" w:line="243" w:lineRule="auto"/>
        <w:rPr>
          <w:sz w:val="20"/>
          <w:szCs w:val="20"/>
          <w:color w:val="auto"/>
        </w:rPr>
      </w:pPr>
      <w:r>
        <w:rPr>
          <w:rFonts w:ascii="Arial" w:cs="Arial" w:eastAsia="Arial" w:hAnsi="Arial"/>
          <w:sz w:val="14"/>
          <w:szCs w:val="14"/>
          <w:color w:val="auto"/>
        </w:rPr>
        <w:t>If the Company is voluntarily wound up, the liquidator can distribute to shareholders any assets remaining after the liquidator’s fees and expenses have been paid and all sums due to prior ranking creditors (as defined under the laws of England) have been paid. Under the Articles, the holders of the sterling deferred shares would be entitled (such entitlement ranking in priority to the rights of holders of ordinary shares) to receive an amount equal to the aggregate of the capital paid up or credited as paid up on each sterling deferred share but would not be entitled to participate further in the profits or assets of the Company. Any assets remaining after the entitlements of the holders of sterling deferred shares are satisfied would be distributed to the holders of A and B shares pro rata according to their shareholdings.</w:t>
      </w:r>
    </w:p>
    <w:p>
      <w:pPr>
        <w:spacing w:after="0" w:line="166" w:lineRule="exact"/>
        <w:rPr>
          <w:sz w:val="20"/>
          <w:szCs w:val="20"/>
          <w:color w:val="auto"/>
        </w:rPr>
      </w:pPr>
    </w:p>
    <w:p>
      <w:pPr>
        <w:spacing w:after="0"/>
        <w:rPr>
          <w:sz w:val="20"/>
          <w:szCs w:val="20"/>
          <w:color w:val="auto"/>
        </w:rPr>
      </w:pPr>
      <w:r>
        <w:rPr>
          <w:rFonts w:ascii="Arial" w:cs="Arial" w:eastAsia="Arial" w:hAnsi="Arial"/>
          <w:sz w:val="14"/>
          <w:szCs w:val="14"/>
          <w:color w:val="auto"/>
        </w:rPr>
        <w:t>Redemption provisions</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Ordinary shares are not subject to any redemption provisions.</w:t>
      </w:r>
    </w:p>
    <w:p>
      <w:pPr>
        <w:spacing w:after="0" w:line="190" w:lineRule="exact"/>
        <w:rPr>
          <w:sz w:val="20"/>
          <w:szCs w:val="20"/>
          <w:color w:val="auto"/>
        </w:rPr>
      </w:pPr>
    </w:p>
    <w:p>
      <w:pPr>
        <w:spacing w:after="0"/>
        <w:rPr>
          <w:sz w:val="20"/>
          <w:szCs w:val="20"/>
          <w:color w:val="auto"/>
        </w:rPr>
      </w:pPr>
      <w:r>
        <w:rPr>
          <w:rFonts w:ascii="Arial" w:cs="Arial" w:eastAsia="Arial" w:hAnsi="Arial"/>
          <w:sz w:val="14"/>
          <w:szCs w:val="14"/>
          <w:color w:val="auto"/>
        </w:rPr>
        <w:t>Sinking fund provisions</w:t>
      </w:r>
    </w:p>
    <w:p>
      <w:pPr>
        <w:spacing w:after="0" w:line="1" w:lineRule="exact"/>
        <w:rPr>
          <w:sz w:val="20"/>
          <w:szCs w:val="20"/>
          <w:color w:val="auto"/>
        </w:rPr>
      </w:pPr>
    </w:p>
    <w:p>
      <w:pPr>
        <w:ind w:right="320"/>
        <w:spacing w:after="0" w:line="258" w:lineRule="auto"/>
        <w:rPr>
          <w:sz w:val="20"/>
          <w:szCs w:val="20"/>
          <w:color w:val="auto"/>
        </w:rPr>
      </w:pPr>
      <w:r>
        <w:rPr>
          <w:rFonts w:ascii="Arial" w:cs="Arial" w:eastAsia="Arial" w:hAnsi="Arial"/>
          <w:sz w:val="14"/>
          <w:szCs w:val="14"/>
          <w:color w:val="auto"/>
        </w:rPr>
        <w:t>Ordinary shares are not subject to any sinking fund provision under the Articles or as a matter of the laws of England.</w:t>
      </w:r>
    </w:p>
    <w:p>
      <w:pPr>
        <w:spacing w:after="0" w:line="154" w:lineRule="exact"/>
        <w:rPr>
          <w:sz w:val="20"/>
          <w:szCs w:val="20"/>
          <w:color w:val="auto"/>
        </w:rPr>
      </w:pPr>
    </w:p>
    <w:p>
      <w:pPr>
        <w:spacing w:after="0"/>
        <w:rPr>
          <w:sz w:val="20"/>
          <w:szCs w:val="20"/>
          <w:color w:val="auto"/>
        </w:rPr>
      </w:pPr>
      <w:r>
        <w:rPr>
          <w:rFonts w:ascii="Arial" w:cs="Arial" w:eastAsia="Arial" w:hAnsi="Arial"/>
          <w:sz w:val="14"/>
          <w:szCs w:val="14"/>
          <w:color w:val="auto"/>
        </w:rPr>
        <w:t>Liability to further calls</w:t>
      </w:r>
    </w:p>
    <w:p>
      <w:pPr>
        <w:spacing w:after="0" w:line="1" w:lineRule="exact"/>
        <w:rPr>
          <w:sz w:val="20"/>
          <w:szCs w:val="20"/>
          <w:color w:val="auto"/>
        </w:rPr>
      </w:pPr>
    </w:p>
    <w:p>
      <w:pPr>
        <w:ind w:right="580"/>
        <w:spacing w:after="0" w:line="258" w:lineRule="auto"/>
        <w:rPr>
          <w:sz w:val="20"/>
          <w:szCs w:val="20"/>
          <w:color w:val="auto"/>
        </w:rPr>
      </w:pPr>
      <w:r>
        <w:rPr>
          <w:rFonts w:ascii="Arial" w:cs="Arial" w:eastAsia="Arial" w:hAnsi="Arial"/>
          <w:sz w:val="14"/>
          <w:szCs w:val="14"/>
          <w:color w:val="auto"/>
        </w:rPr>
        <w:t>No holder of the Company’s ordinary shares is currently liable to make additional contributions of capital in respect of the Company’s ordinary shares.</w:t>
      </w:r>
    </w:p>
    <w:p>
      <w:pPr>
        <w:spacing w:after="0" w:line="154" w:lineRule="exact"/>
        <w:rPr>
          <w:sz w:val="20"/>
          <w:szCs w:val="20"/>
          <w:color w:val="auto"/>
        </w:rPr>
      </w:pPr>
    </w:p>
    <w:p>
      <w:pPr>
        <w:spacing w:after="0"/>
        <w:rPr>
          <w:sz w:val="20"/>
          <w:szCs w:val="20"/>
          <w:color w:val="auto"/>
        </w:rPr>
      </w:pPr>
      <w:r>
        <w:rPr>
          <w:rFonts w:ascii="Arial" w:cs="Arial" w:eastAsia="Arial" w:hAnsi="Arial"/>
          <w:sz w:val="14"/>
          <w:szCs w:val="14"/>
          <w:color w:val="auto"/>
        </w:rPr>
        <w:t>Discriminating provisions</w:t>
      </w:r>
    </w:p>
    <w:p>
      <w:pPr>
        <w:spacing w:after="0" w:line="1" w:lineRule="exact"/>
        <w:rPr>
          <w:sz w:val="20"/>
          <w:szCs w:val="20"/>
          <w:color w:val="auto"/>
        </w:rPr>
      </w:pPr>
    </w:p>
    <w:p>
      <w:pPr>
        <w:ind w:right="480"/>
        <w:spacing w:after="0" w:line="258" w:lineRule="auto"/>
        <w:rPr>
          <w:sz w:val="20"/>
          <w:szCs w:val="20"/>
          <w:color w:val="auto"/>
        </w:rPr>
      </w:pPr>
      <w:r>
        <w:rPr>
          <w:rFonts w:ascii="Arial" w:cs="Arial" w:eastAsia="Arial" w:hAnsi="Arial"/>
          <w:sz w:val="14"/>
          <w:szCs w:val="14"/>
          <w:color w:val="auto"/>
        </w:rPr>
        <w:t>There are no provisions discriminating against a shareholder because of his or her ownership of a particular number of shares.</w:t>
      </w:r>
    </w:p>
    <w:p>
      <w:pPr>
        <w:spacing w:after="0" w:line="167" w:lineRule="exact"/>
        <w:rPr>
          <w:sz w:val="20"/>
          <w:szCs w:val="20"/>
          <w:color w:val="auto"/>
        </w:rPr>
      </w:pPr>
    </w:p>
    <w:p>
      <w:pPr>
        <w:spacing w:after="0"/>
        <w:rPr>
          <w:sz w:val="20"/>
          <w:szCs w:val="20"/>
          <w:color w:val="auto"/>
        </w:rPr>
      </w:pPr>
      <w:r>
        <w:rPr>
          <w:rFonts w:ascii="Arial" w:cs="Arial" w:eastAsia="Arial" w:hAnsi="Arial"/>
          <w:sz w:val="14"/>
          <w:szCs w:val="14"/>
          <w:color w:val="auto"/>
        </w:rPr>
        <w:t>Variation of rights</w:t>
      </w:r>
    </w:p>
    <w:p>
      <w:pPr>
        <w:spacing w:after="0" w:line="1" w:lineRule="exact"/>
        <w:rPr>
          <w:sz w:val="20"/>
          <w:szCs w:val="20"/>
          <w:color w:val="auto"/>
        </w:rPr>
      </w:pPr>
    </w:p>
    <w:p>
      <w:pPr>
        <w:ind w:right="620"/>
        <w:spacing w:after="0" w:line="258" w:lineRule="auto"/>
        <w:rPr>
          <w:sz w:val="20"/>
          <w:szCs w:val="20"/>
          <w:color w:val="auto"/>
        </w:rPr>
      </w:pPr>
      <w:r>
        <w:rPr>
          <w:rFonts w:ascii="Arial" w:cs="Arial" w:eastAsia="Arial" w:hAnsi="Arial"/>
          <w:sz w:val="14"/>
          <w:szCs w:val="14"/>
          <w:color w:val="auto"/>
        </w:rPr>
        <w:t>The Act provides that the Articles can be amended by a special resolution of the Company’s shareholders.</w:t>
      </w:r>
    </w:p>
    <w:p>
      <w:pPr>
        <w:spacing w:after="0" w:line="154" w:lineRule="exact"/>
        <w:rPr>
          <w:sz w:val="20"/>
          <w:szCs w:val="20"/>
          <w:color w:val="auto"/>
        </w:rPr>
      </w:pPr>
    </w:p>
    <w:p>
      <w:pPr>
        <w:ind w:right="280"/>
        <w:spacing w:after="0" w:line="245" w:lineRule="auto"/>
        <w:rPr>
          <w:sz w:val="20"/>
          <w:szCs w:val="20"/>
          <w:color w:val="auto"/>
        </w:rPr>
      </w:pPr>
      <w:r>
        <w:rPr>
          <w:rFonts w:ascii="Arial" w:cs="Arial" w:eastAsia="Arial" w:hAnsi="Arial"/>
          <w:sz w:val="14"/>
          <w:szCs w:val="14"/>
          <w:color w:val="auto"/>
        </w:rPr>
        <w:t>The Articles provide that, if permitted by legislation, the rights attached to any class of shares can be changed if this is approved either in writing by shareholders holding at least three-quarters of the issued shares of that class by amount (excluding any shares of that class held as treasury shares) or by a special resolution passed at a separate meeting of the holders of the relevant class of shares. At each such</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3240"/>
        <w:spacing w:after="0"/>
        <w:rPr>
          <w:sz w:val="20"/>
          <w:szCs w:val="20"/>
          <w:color w:val="auto"/>
        </w:rPr>
      </w:pPr>
      <w:r>
        <w:rPr>
          <w:rFonts w:ascii="Arial" w:cs="Arial" w:eastAsia="Arial" w:hAnsi="Arial"/>
          <w:sz w:val="10"/>
          <w:szCs w:val="10"/>
          <w:color w:val="auto"/>
        </w:rPr>
        <w:t>SHELL ANNUAL REPORT AND FORM 20-F 2014</w:t>
      </w:r>
    </w:p>
    <w:p>
      <w:pPr>
        <w:spacing w:after="0" w:line="69" w:lineRule="exact"/>
        <w:rPr>
          <w:sz w:val="20"/>
          <w:szCs w:val="20"/>
          <w:color w:val="auto"/>
        </w:rPr>
      </w:pPr>
    </w:p>
    <w:p>
      <w:pPr>
        <w:ind w:right="220"/>
        <w:spacing w:after="0" w:line="243" w:lineRule="auto"/>
        <w:rPr>
          <w:sz w:val="20"/>
          <w:szCs w:val="20"/>
          <w:color w:val="auto"/>
        </w:rPr>
      </w:pPr>
      <w:r>
        <w:rPr>
          <w:rFonts w:ascii="Arial" w:cs="Arial" w:eastAsia="Arial" w:hAnsi="Arial"/>
          <w:sz w:val="14"/>
          <w:szCs w:val="14"/>
          <w:color w:val="auto"/>
        </w:rPr>
        <w:t>separate meeting, all of the provisions of the Articles relating to proceedings at a general meeting apply, except that: (i) a quorum will be present if at least one shareholder who is entitled to vote is present in person or by proxy who owns at least one-third in amount of the issued shares of the class; (ii) any shareholder who is present in person or by proxy and entitled to vote can demand a poll; and (iii) at an adjourned meeting, one person entitled to vote and who holds shares of the class, or his or her proxy, will be a quorum. These provisions are not more restrictive than required by law in England.</w:t>
      </w:r>
    </w:p>
    <w:p>
      <w:pPr>
        <w:spacing w:after="0" w:line="182" w:lineRule="exact"/>
        <w:rPr>
          <w:sz w:val="20"/>
          <w:szCs w:val="20"/>
          <w:color w:val="auto"/>
        </w:rPr>
      </w:pPr>
    </w:p>
    <w:p>
      <w:pPr>
        <w:spacing w:after="0"/>
        <w:rPr>
          <w:sz w:val="20"/>
          <w:szCs w:val="20"/>
          <w:color w:val="auto"/>
        </w:rPr>
      </w:pPr>
      <w:r>
        <w:rPr>
          <w:rFonts w:ascii="Arial" w:cs="Arial" w:eastAsia="Arial" w:hAnsi="Arial"/>
          <w:sz w:val="14"/>
          <w:szCs w:val="14"/>
          <w:color w:val="auto"/>
        </w:rPr>
        <w:t>Limitations on rights to own shares</w:t>
      </w:r>
    </w:p>
    <w:p>
      <w:pPr>
        <w:spacing w:after="0" w:line="1" w:lineRule="exact"/>
        <w:rPr>
          <w:sz w:val="20"/>
          <w:szCs w:val="20"/>
          <w:color w:val="auto"/>
        </w:rPr>
      </w:pPr>
    </w:p>
    <w:p>
      <w:pPr>
        <w:ind w:right="260"/>
        <w:spacing w:after="0" w:line="247" w:lineRule="auto"/>
        <w:rPr>
          <w:sz w:val="20"/>
          <w:szCs w:val="20"/>
          <w:color w:val="auto"/>
        </w:rPr>
      </w:pPr>
      <w:r>
        <w:rPr>
          <w:rFonts w:ascii="Arial" w:cs="Arial" w:eastAsia="Arial" w:hAnsi="Arial"/>
          <w:sz w:val="14"/>
          <w:szCs w:val="14"/>
          <w:color w:val="auto"/>
        </w:rPr>
        <w:t>There are no limitations imposed by the Articles or the applicable laws of England on the rights to own shares, including the right of non-residents or foreign persons to hold or vote the Company’s shares, other than limitations that would generally apply to all shareholders.</w:t>
      </w:r>
    </w:p>
    <w:p>
      <w:pPr>
        <w:spacing w:after="0" w:line="147" w:lineRule="exact"/>
        <w:rPr>
          <w:sz w:val="20"/>
          <w:szCs w:val="20"/>
          <w:color w:val="auto"/>
        </w:rPr>
      </w:pPr>
    </w:p>
    <w:p>
      <w:pPr>
        <w:spacing w:after="0"/>
        <w:rPr>
          <w:sz w:val="20"/>
          <w:szCs w:val="20"/>
          <w:color w:val="auto"/>
        </w:rPr>
      </w:pPr>
      <w:r>
        <w:rPr>
          <w:rFonts w:ascii="Arial" w:cs="Arial" w:eastAsia="Arial" w:hAnsi="Arial"/>
          <w:sz w:val="13"/>
          <w:szCs w:val="13"/>
          <w:color w:val="auto"/>
        </w:rPr>
        <w:t>CHANGE OF CONTROL</w:t>
      </w:r>
    </w:p>
    <w:p>
      <w:pPr>
        <w:ind w:right="560"/>
        <w:spacing w:after="0" w:line="258" w:lineRule="auto"/>
        <w:rPr>
          <w:sz w:val="20"/>
          <w:szCs w:val="20"/>
          <w:color w:val="auto"/>
        </w:rPr>
      </w:pPr>
      <w:r>
        <w:rPr>
          <w:rFonts w:ascii="Arial" w:cs="Arial" w:eastAsia="Arial" w:hAnsi="Arial"/>
          <w:sz w:val="14"/>
          <w:szCs w:val="14"/>
          <w:color w:val="auto"/>
        </w:rPr>
        <w:t>There are no provisions in the Articles or of corporate legislation in England that would delay, defer or prevent a change of control.</w:t>
      </w:r>
    </w:p>
    <w:p>
      <w:pPr>
        <w:spacing w:after="0" w:line="139" w:lineRule="exact"/>
        <w:rPr>
          <w:sz w:val="20"/>
          <w:szCs w:val="20"/>
          <w:color w:val="auto"/>
        </w:rPr>
      </w:pPr>
    </w:p>
    <w:p>
      <w:pPr>
        <w:spacing w:after="0"/>
        <w:rPr>
          <w:sz w:val="20"/>
          <w:szCs w:val="20"/>
          <w:color w:val="auto"/>
        </w:rPr>
      </w:pPr>
      <w:r>
        <w:rPr>
          <w:rFonts w:ascii="Arial" w:cs="Arial" w:eastAsia="Arial" w:hAnsi="Arial"/>
          <w:sz w:val="13"/>
          <w:szCs w:val="13"/>
          <w:color w:val="auto"/>
        </w:rPr>
        <w:t>THRESHOLD FOR DISCLOSURE OF SHARE OWNERSHIP</w:t>
      </w:r>
    </w:p>
    <w:p>
      <w:pPr>
        <w:ind w:right="160"/>
        <w:spacing w:after="0" w:line="245" w:lineRule="auto"/>
        <w:rPr>
          <w:sz w:val="20"/>
          <w:szCs w:val="20"/>
          <w:color w:val="auto"/>
        </w:rPr>
      </w:pPr>
      <w:r>
        <w:rPr>
          <w:rFonts w:ascii="Arial" w:cs="Arial" w:eastAsia="Arial" w:hAnsi="Arial"/>
          <w:sz w:val="14"/>
          <w:szCs w:val="14"/>
          <w:color w:val="auto"/>
        </w:rPr>
        <w:t>The Disclosure and Transparency Rules of the UK’s Financial Conduct Authority impose an obligation on persons [A] to notify the Company of the percentage of voting rights held as a shareholder, or through the direct or indirect holding of financial instruments, if the percentage of voting rights held in the Company reaches, exceeds or falls below 3% or any 1% threshold above 3%.</w:t>
      </w:r>
    </w:p>
    <w:p>
      <w:pPr>
        <w:spacing w:after="0" w:line="21" w:lineRule="exact"/>
        <w:rPr>
          <w:sz w:val="20"/>
          <w:szCs w:val="20"/>
          <w:color w:val="auto"/>
        </w:rPr>
      </w:pPr>
    </w:p>
    <w:p>
      <w:pPr>
        <w:spacing w:after="0"/>
        <w:rPr>
          <w:sz w:val="20"/>
          <w:szCs w:val="20"/>
          <w:color w:val="auto"/>
        </w:rPr>
      </w:pPr>
      <w:r>
        <w:rPr>
          <w:rFonts w:ascii="Arial" w:cs="Arial" w:eastAsia="Arial" w:hAnsi="Arial"/>
          <w:sz w:val="11"/>
          <w:szCs w:val="11"/>
          <w:color w:val="auto"/>
        </w:rPr>
        <w:t>[A] For this purpose “persons” includes companies, natural persons, legal persons and partnerships.</w:t>
      </w:r>
    </w:p>
    <w:p>
      <w:pPr>
        <w:spacing w:after="0" w:line="219" w:lineRule="exact"/>
        <w:rPr>
          <w:sz w:val="20"/>
          <w:szCs w:val="20"/>
          <w:color w:val="auto"/>
        </w:rPr>
      </w:pPr>
    </w:p>
    <w:p>
      <w:pPr>
        <w:ind w:right="180"/>
        <w:spacing w:after="0" w:line="246" w:lineRule="auto"/>
        <w:rPr>
          <w:sz w:val="20"/>
          <w:szCs w:val="20"/>
          <w:color w:val="auto"/>
        </w:rPr>
      </w:pPr>
      <w:r>
        <w:rPr>
          <w:rFonts w:ascii="Arial" w:cs="Arial" w:eastAsia="Arial" w:hAnsi="Arial"/>
          <w:sz w:val="14"/>
          <w:szCs w:val="14"/>
          <w:color w:val="auto"/>
        </w:rPr>
        <w:t>Section 793 of the Act governs the Company’s right to investigate who has an interest in its shares. Under that section, a public company can serve a notice on any person it knows or has reasonable cause to believe is, or was at any time in the preceding three years, interested in its shares in order to obtain certain information about that interest.</w:t>
      </w:r>
    </w:p>
    <w:p>
      <w:pPr>
        <w:spacing w:after="0" w:line="326" w:lineRule="exact"/>
        <w:rPr>
          <w:sz w:val="20"/>
          <w:szCs w:val="20"/>
          <w:color w:val="auto"/>
        </w:rPr>
      </w:pPr>
    </w:p>
    <w:p>
      <w:pPr>
        <w:ind w:right="180"/>
        <w:spacing w:after="0" w:line="242" w:lineRule="auto"/>
        <w:rPr>
          <w:sz w:val="20"/>
          <w:szCs w:val="20"/>
          <w:color w:val="auto"/>
        </w:rPr>
      </w:pPr>
      <w:r>
        <w:rPr>
          <w:rFonts w:ascii="Arial" w:cs="Arial" w:eastAsia="Arial" w:hAnsi="Arial"/>
          <w:sz w:val="14"/>
          <w:szCs w:val="14"/>
          <w:color w:val="auto"/>
        </w:rPr>
        <w:t>The Articles provide that in any statutory notice under the relevant legislation, the Company will ask for details of those who have an interest and the extent of their interest in a particular holding. The Articles also provide that when a person receives a statutory notice, he has 14 days to comply with it. If he does not do so or if he makes a statement in response to the notice which is false or inadequate in some important way, the Company may, on notice, restrict the rights relating to the identified shares. The restriction notice will state that the identified shares no longer give the shareholder any right to attend or vote either personally or by proxy at a shareholders’ meeting or to exercise any right in relation to shareholders’ meetings. Where the identified shares make up 0.25% or more (in amount or in number) of the existing shares of a class at the date of delivery of the restriction notice, the restriction notice can also contain the following further restrictions: (i) Directors can withhold any dividend or part of a dividend or other money otherwise payable in respect of the identified shares without any liability to pay interest when such money is finally paid to the shareholder; and (ii) Directors can refuse to register a transfer of any of the identified shares which are certificated shares unless Directors are satisfied that they have been sold outright to an independent third party. Once a restriction notice has been given, Directors are free to cancel it or exclude any shares from it at any time they think fit. In addition, they must cancel the restriction notice within seven days of being satisfied that all information requested in the statutory notice has been given. Also, where any of the identified shares are sold and Directors are satisfied that they were sold outright to an independent third party, they must cancel the restriction notice within seven days of receipt of notification of the sale. The Articles do not restrict in any way the provision of the legislation which applies to failures to comply with notices under the legislation.</w:t>
      </w:r>
    </w:p>
    <w:p>
      <w:pPr>
        <w:sectPr>
          <w:pgSz w:w="11900" w:h="16838" w:orient="portrait"/>
          <w:cols w:equalWidth="0" w:num="2">
            <w:col w:w="5720" w:space="60"/>
            <w:col w:w="5640"/>
          </w:cols>
          <w:pgMar w:left="240" w:top="459" w:right="239" w:bottom="1440" w:gutter="0" w:footer="0" w:header="0"/>
          <w:type w:val="continuous"/>
        </w:sectPr>
      </w:pPr>
    </w:p>
    <w:bookmarkStart w:id="76" w:name="page77"/>
    <w:bookmarkEnd w:id="7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1"/>
          <w:szCs w:val="11"/>
          <w:color w:val="auto"/>
        </w:rPr>
        <w:t>SHELL ANNUAL REPORT AND FORM 20-F 2014</w:t>
      </w:r>
    </w:p>
    <w:p>
      <w:pPr>
        <w:spacing w:after="0" w:line="57" w:lineRule="exact"/>
        <w:rPr>
          <w:sz w:val="20"/>
          <w:szCs w:val="20"/>
          <w:color w:val="auto"/>
        </w:rPr>
      </w:pPr>
    </w:p>
    <w:p>
      <w:pPr>
        <w:spacing w:after="0" w:line="242" w:lineRule="auto"/>
        <w:rPr>
          <w:sz w:val="20"/>
          <w:szCs w:val="20"/>
          <w:color w:val="auto"/>
        </w:rPr>
      </w:pPr>
      <w:r>
        <w:rPr>
          <w:rFonts w:ascii="Arial" w:cs="Arial" w:eastAsia="Arial" w:hAnsi="Arial"/>
          <w:sz w:val="14"/>
          <w:szCs w:val="14"/>
          <w:color w:val="auto"/>
        </w:rPr>
        <w:t>The UK City Code on Takeovers and Mergers (the Takeover Code) imposes disclosure obligations on parties subject to the Takeover Code’s disclosure regime. The Takeover Code requires that an opening position disclosure be made after the commencement of an offer period and, if later, after the announcement that first identifies an offeror. An opening position disclosure must be made by any person that is interested in 1% or more of any class of relevant securities of any party to the offer. The Takeover Code also requires any person who is, or becomes, interested in 1% or more of any class of relevant securities of an offeree company or any securities exchange offeror to make a dealing disclosure if the person deals in any relevant securities of the offeree company or any securities exchange offeror during an offer period. Where two or more persons act together pursuant to an agreement or understanding, whether formal or informal, to acquire or control an interest in relevant securities, they will normally be deemed to be a single person for the purpose of the relevant provisions of the Takeover Code.</w:t>
      </w:r>
    </w:p>
    <w:p>
      <w:pPr>
        <w:spacing w:after="0" w:line="348" w:lineRule="exact"/>
        <w:rPr>
          <w:sz w:val="20"/>
          <w:szCs w:val="20"/>
          <w:color w:val="auto"/>
        </w:rPr>
      </w:pPr>
    </w:p>
    <w:p>
      <w:pPr>
        <w:ind w:right="80"/>
        <w:spacing w:after="0" w:line="247" w:lineRule="auto"/>
        <w:rPr>
          <w:sz w:val="20"/>
          <w:szCs w:val="20"/>
          <w:color w:val="auto"/>
        </w:rPr>
      </w:pPr>
      <w:r>
        <w:rPr>
          <w:rFonts w:ascii="Arial" w:cs="Arial" w:eastAsia="Arial" w:hAnsi="Arial"/>
          <w:sz w:val="14"/>
          <w:szCs w:val="14"/>
          <w:color w:val="auto"/>
        </w:rPr>
        <w:t>Rule 13d-1 of the US Securities Exchange Act of 1934 requires that a person or group acquiring beneficial ownership of more than 5% of equity securities registered under the US Securities Exchange Act discloses such information to the SEC within 10 days after the acquisition.</w:t>
      </w:r>
    </w:p>
    <w:p>
      <w:pPr>
        <w:spacing w:after="0" w:line="147" w:lineRule="exact"/>
        <w:rPr>
          <w:sz w:val="20"/>
          <w:szCs w:val="20"/>
          <w:color w:val="auto"/>
        </w:rPr>
      </w:pPr>
    </w:p>
    <w:p>
      <w:pPr>
        <w:spacing w:after="0"/>
        <w:rPr>
          <w:sz w:val="20"/>
          <w:szCs w:val="20"/>
          <w:color w:val="auto"/>
        </w:rPr>
      </w:pPr>
      <w:r>
        <w:rPr>
          <w:rFonts w:ascii="Arial" w:cs="Arial" w:eastAsia="Arial" w:hAnsi="Arial"/>
          <w:sz w:val="13"/>
          <w:szCs w:val="13"/>
          <w:color w:val="auto"/>
        </w:rPr>
        <w:t>CAPITAL CHANGES</w:t>
      </w:r>
    </w:p>
    <w:p>
      <w:pPr>
        <w:ind w:right="120"/>
        <w:spacing w:after="0" w:line="258" w:lineRule="auto"/>
        <w:rPr>
          <w:sz w:val="20"/>
          <w:szCs w:val="20"/>
          <w:color w:val="auto"/>
        </w:rPr>
      </w:pPr>
      <w:r>
        <w:rPr>
          <w:rFonts w:ascii="Arial" w:cs="Arial" w:eastAsia="Arial" w:hAnsi="Arial"/>
          <w:sz w:val="14"/>
          <w:szCs w:val="14"/>
          <w:color w:val="auto"/>
        </w:rPr>
        <w:t>The conditions imposed by the Articles for changes in capital are not more stringent than those required by the applicable laws of England.</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FURTHER INFORMATION</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The following information can be found at www.shell.com/investor:</w:t>
      </w:r>
    </w:p>
    <w:p>
      <w:pPr>
        <w:spacing w:after="0" w:line="217" w:lineRule="exact"/>
        <w:rPr>
          <w:sz w:val="20"/>
          <w:szCs w:val="20"/>
          <w:color w:val="auto"/>
        </w:rPr>
      </w:pPr>
    </w:p>
    <w:p>
      <w:pPr>
        <w:ind w:left="180" w:hanging="172"/>
        <w:spacing w:after="0" w:line="204" w:lineRule="auto"/>
        <w:tabs>
          <w:tab w:leader="none" w:pos="180" w:val="left"/>
        </w:tabs>
        <w:numPr>
          <w:ilvl w:val="0"/>
          <w:numId w:val="69"/>
        </w:numPr>
        <w:rPr>
          <w:rFonts w:ascii="Arial" w:cs="Arial" w:eastAsia="Arial" w:hAnsi="Arial"/>
          <w:sz w:val="24"/>
          <w:szCs w:val="24"/>
          <w:color w:val="auto"/>
          <w:vertAlign w:val="superscript"/>
        </w:rPr>
      </w:pPr>
      <w:r>
        <w:rPr>
          <w:rFonts w:ascii="Arial" w:cs="Arial" w:eastAsia="Arial" w:hAnsi="Arial"/>
          <w:sz w:val="14"/>
          <w:szCs w:val="14"/>
          <w:color w:val="auto"/>
        </w:rPr>
        <w:t>the terms of reference of the Audit Committee, Corporate and Social Responsibility Committee, Nomination and Succession Committee and Remuneration Committee (these documents explain the Committees’ roles and the authority the Board delegates to them);</w:t>
      </w:r>
    </w:p>
    <w:p>
      <w:pPr>
        <w:spacing w:after="0" w:line="3" w:lineRule="exact"/>
        <w:rPr>
          <w:rFonts w:ascii="Arial" w:cs="Arial" w:eastAsia="Arial" w:hAnsi="Arial"/>
          <w:sz w:val="24"/>
          <w:szCs w:val="24"/>
          <w:color w:val="auto"/>
          <w:vertAlign w:val="superscript"/>
        </w:rPr>
      </w:pPr>
    </w:p>
    <w:p>
      <w:pPr>
        <w:ind w:left="180" w:hanging="172"/>
        <w:spacing w:after="0" w:line="187" w:lineRule="auto"/>
        <w:tabs>
          <w:tab w:leader="none" w:pos="180" w:val="left"/>
        </w:tabs>
        <w:numPr>
          <w:ilvl w:val="0"/>
          <w:numId w:val="69"/>
        </w:numPr>
        <w:rPr>
          <w:rFonts w:ascii="Arial" w:cs="Arial" w:eastAsia="Arial" w:hAnsi="Arial"/>
          <w:sz w:val="18"/>
          <w:szCs w:val="18"/>
          <w:color w:val="auto"/>
          <w:vertAlign w:val="superscript"/>
        </w:rPr>
      </w:pPr>
      <w:r>
        <w:rPr>
          <w:rFonts w:ascii="Arial" w:cs="Arial" w:eastAsia="Arial" w:hAnsi="Arial"/>
          <w:sz w:val="11"/>
          <w:szCs w:val="11"/>
          <w:color w:val="auto"/>
        </w:rPr>
        <w:t>the full list of matters reserved to the Board for decision;</w:t>
      </w:r>
    </w:p>
    <w:p>
      <w:pPr>
        <w:ind w:left="180" w:hanging="172"/>
        <w:spacing w:after="0" w:line="187" w:lineRule="auto"/>
        <w:tabs>
          <w:tab w:leader="none" w:pos="180" w:val="left"/>
        </w:tabs>
        <w:numPr>
          <w:ilvl w:val="0"/>
          <w:numId w:val="69"/>
        </w:numPr>
        <w:rPr>
          <w:rFonts w:ascii="Arial" w:cs="Arial" w:eastAsia="Arial" w:hAnsi="Arial"/>
          <w:sz w:val="18"/>
          <w:szCs w:val="18"/>
          <w:color w:val="auto"/>
          <w:vertAlign w:val="superscript"/>
        </w:rPr>
      </w:pPr>
      <w:r>
        <w:rPr>
          <w:rFonts w:ascii="Arial" w:cs="Arial" w:eastAsia="Arial" w:hAnsi="Arial"/>
          <w:sz w:val="11"/>
          <w:szCs w:val="11"/>
          <w:color w:val="auto"/>
        </w:rPr>
        <w:t>Shell General Business Principles;</w:t>
      </w:r>
    </w:p>
    <w:p>
      <w:pPr>
        <w:ind w:left="180" w:hanging="172"/>
        <w:spacing w:after="0" w:line="187" w:lineRule="auto"/>
        <w:tabs>
          <w:tab w:leader="none" w:pos="180" w:val="left"/>
        </w:tabs>
        <w:numPr>
          <w:ilvl w:val="0"/>
          <w:numId w:val="69"/>
        </w:numPr>
        <w:rPr>
          <w:rFonts w:ascii="Arial" w:cs="Arial" w:eastAsia="Arial" w:hAnsi="Arial"/>
          <w:sz w:val="18"/>
          <w:szCs w:val="18"/>
          <w:color w:val="auto"/>
          <w:vertAlign w:val="superscript"/>
        </w:rPr>
      </w:pPr>
      <w:r>
        <w:rPr>
          <w:rFonts w:ascii="Arial" w:cs="Arial" w:eastAsia="Arial" w:hAnsi="Arial"/>
          <w:sz w:val="11"/>
          <w:szCs w:val="11"/>
          <w:color w:val="auto"/>
        </w:rPr>
        <w:t>Shell Code of Conduct;</w:t>
      </w:r>
    </w:p>
    <w:p>
      <w:pPr>
        <w:ind w:left="180" w:hanging="172"/>
        <w:spacing w:after="0" w:line="187" w:lineRule="auto"/>
        <w:tabs>
          <w:tab w:leader="none" w:pos="180" w:val="left"/>
        </w:tabs>
        <w:numPr>
          <w:ilvl w:val="0"/>
          <w:numId w:val="69"/>
        </w:numPr>
        <w:rPr>
          <w:rFonts w:ascii="Arial" w:cs="Arial" w:eastAsia="Arial" w:hAnsi="Arial"/>
          <w:sz w:val="18"/>
          <w:szCs w:val="18"/>
          <w:color w:val="auto"/>
          <w:vertAlign w:val="superscript"/>
        </w:rPr>
      </w:pPr>
      <w:r>
        <w:rPr>
          <w:rFonts w:ascii="Arial" w:cs="Arial" w:eastAsia="Arial" w:hAnsi="Arial"/>
          <w:sz w:val="11"/>
          <w:szCs w:val="11"/>
          <w:color w:val="auto"/>
        </w:rPr>
        <w:t>Code of Ethics for Executive Directors and Senior Financial Officers; and</w:t>
      </w:r>
    </w:p>
    <w:p>
      <w:pPr>
        <w:ind w:left="180" w:hanging="172"/>
        <w:spacing w:after="0" w:line="189" w:lineRule="auto"/>
        <w:tabs>
          <w:tab w:leader="none" w:pos="180" w:val="left"/>
        </w:tabs>
        <w:numPr>
          <w:ilvl w:val="0"/>
          <w:numId w:val="69"/>
        </w:numPr>
        <w:rPr>
          <w:rFonts w:ascii="Arial" w:cs="Arial" w:eastAsia="Arial" w:hAnsi="Arial"/>
          <w:sz w:val="19"/>
          <w:szCs w:val="19"/>
          <w:color w:val="auto"/>
          <w:vertAlign w:val="superscript"/>
        </w:rPr>
      </w:pPr>
      <w:r>
        <w:rPr>
          <w:rFonts w:ascii="Arial" w:cs="Arial" w:eastAsia="Arial" w:hAnsi="Arial"/>
          <w:sz w:val="12"/>
          <w:szCs w:val="12"/>
          <w:color w:val="auto"/>
        </w:rPr>
        <w:t>Articles of Association.</w:t>
      </w:r>
    </w:p>
    <w:p>
      <w:pPr>
        <w:spacing w:after="0" w:line="206" w:lineRule="exact"/>
        <w:rPr>
          <w:sz w:val="20"/>
          <w:szCs w:val="20"/>
          <w:color w:val="auto"/>
        </w:rPr>
      </w:pPr>
    </w:p>
    <w:p>
      <w:pPr>
        <w:spacing w:after="0"/>
        <w:rPr>
          <w:sz w:val="20"/>
          <w:szCs w:val="20"/>
          <w:color w:val="auto"/>
        </w:rPr>
      </w:pPr>
      <w:r>
        <w:rPr>
          <w:rFonts w:ascii="Arial" w:cs="Arial" w:eastAsia="Arial" w:hAnsi="Arial"/>
          <w:sz w:val="14"/>
          <w:szCs w:val="14"/>
          <w:color w:val="auto"/>
        </w:rPr>
        <w:t>Signed on behalf of the Board</w:t>
      </w:r>
    </w:p>
    <w:p>
      <w:pPr>
        <w:spacing w:after="0" w:line="204" w:lineRule="exact"/>
        <w:rPr>
          <w:sz w:val="20"/>
          <w:szCs w:val="20"/>
          <w:color w:val="auto"/>
        </w:rPr>
      </w:pPr>
    </w:p>
    <w:p>
      <w:pPr>
        <w:spacing w:after="0"/>
        <w:rPr>
          <w:sz w:val="20"/>
          <w:szCs w:val="20"/>
          <w:color w:val="auto"/>
        </w:rPr>
      </w:pPr>
      <w:r>
        <w:rPr>
          <w:rFonts w:ascii="Arial" w:cs="Arial" w:eastAsia="Arial" w:hAnsi="Arial"/>
          <w:sz w:val="14"/>
          <w:szCs w:val="14"/>
          <w:color w:val="auto"/>
        </w:rPr>
        <w:t>/s/ Michiel Brandjes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3473450" cy="889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spacing w:after="0" w:line="19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Michiel Brandjes</w:t>
      </w:r>
    </w:p>
    <w:p>
      <w:pPr>
        <w:spacing w:after="0" w:line="19" w:lineRule="exact"/>
        <w:rPr>
          <w:sz w:val="20"/>
          <w:szCs w:val="20"/>
          <w:color w:val="auto"/>
        </w:rPr>
      </w:pPr>
    </w:p>
    <w:p>
      <w:pPr>
        <w:spacing w:after="0"/>
        <w:rPr>
          <w:sz w:val="20"/>
          <w:szCs w:val="20"/>
          <w:color w:val="auto"/>
        </w:rPr>
      </w:pPr>
      <w:r>
        <w:rPr>
          <w:rFonts w:ascii="Arial" w:cs="Arial" w:eastAsia="Arial" w:hAnsi="Arial"/>
          <w:sz w:val="14"/>
          <w:szCs w:val="14"/>
          <w:color w:val="auto"/>
        </w:rPr>
        <w:t>Company Secretary</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March 11, 2015</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419"/>
        </w:trPr>
        <w:tc>
          <w:tcPr>
            <w:tcW w:w="3580" w:type="dxa"/>
            <w:vAlign w:val="bottom"/>
            <w:shd w:val="clear" w:color="auto" w:fill="FF8B00"/>
          </w:tcPr>
          <w:p>
            <w:pPr>
              <w:spacing w:after="0"/>
              <w:rPr>
                <w:sz w:val="24"/>
                <w:szCs w:val="24"/>
                <w:color w:val="auto"/>
              </w:rPr>
            </w:pPr>
          </w:p>
        </w:tc>
        <w:tc>
          <w:tcPr>
            <w:tcW w:w="2240" w:type="dxa"/>
            <w:vAlign w:val="bottom"/>
            <w:shd w:val="clear" w:color="auto" w:fill="FF8B00"/>
          </w:tcPr>
          <w:p>
            <w:pPr>
              <w:spacing w:after="0"/>
              <w:rPr>
                <w:sz w:val="24"/>
                <w:szCs w:val="24"/>
                <w:color w:val="auto"/>
              </w:rPr>
            </w:pPr>
          </w:p>
        </w:tc>
      </w:tr>
      <w:tr>
        <w:trPr>
          <w:trHeight w:val="152"/>
        </w:trPr>
        <w:tc>
          <w:tcPr>
            <w:tcW w:w="3580" w:type="dxa"/>
            <w:vAlign w:val="bottom"/>
          </w:tcPr>
          <w:p>
            <w:pPr>
              <w:ind w:left="940"/>
              <w:spacing w:after="0"/>
              <w:rPr>
                <w:sz w:val="20"/>
                <w:szCs w:val="20"/>
                <w:color w:val="auto"/>
              </w:rPr>
            </w:pPr>
            <w:r>
              <w:rPr>
                <w:rFonts w:ascii="Arial" w:cs="Arial" w:eastAsia="Arial" w:hAnsi="Arial"/>
                <w:sz w:val="13"/>
                <w:szCs w:val="13"/>
                <w:color w:val="333333"/>
              </w:rPr>
              <w:t>GOVERNANCE</w:t>
            </w:r>
          </w:p>
        </w:tc>
        <w:tc>
          <w:tcPr>
            <w:tcW w:w="2240" w:type="dxa"/>
            <w:vAlign w:val="bottom"/>
          </w:tcPr>
          <w:p>
            <w:pPr>
              <w:jc w:val="right"/>
              <w:ind w:right="306"/>
              <w:spacing w:after="0"/>
              <w:rPr>
                <w:sz w:val="20"/>
                <w:szCs w:val="20"/>
                <w:color w:val="auto"/>
              </w:rPr>
            </w:pPr>
            <w:r>
              <w:rPr>
                <w:rFonts w:ascii="Arial" w:cs="Arial" w:eastAsia="Arial" w:hAnsi="Arial"/>
                <w:sz w:val="11"/>
                <w:szCs w:val="11"/>
                <w:b w:val="1"/>
                <w:bCs w:val="1"/>
                <w:color w:val="333333"/>
              </w:rPr>
              <w:t>75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-3562985</wp:posOffset>
            </wp:positionH>
            <wp:positionV relativeFrom="paragraph">
              <wp:posOffset>-996315</wp:posOffset>
            </wp:positionV>
            <wp:extent cx="7289165" cy="3810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-361950</wp:posOffset>
            </wp:positionV>
            <wp:extent cx="3696335" cy="46291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3696335" cy="462915"/>
                    </a:xfrm>
                    <a:prstGeom prst="rect">
                      <a:avLst/>
                    </a:prstGeom>
                    <a:noFill/>
                  </pic:spPr>
                </pic:pic>
              </a:graphicData>
            </a:graphic>
          </wp:anchor>
        </w:drawing>
      </w:r>
    </w:p>
    <w:p>
      <w:pPr>
        <w:spacing w:after="0" w:line="135" w:lineRule="exact"/>
        <w:rPr>
          <w:sz w:val="20"/>
          <w:szCs w:val="20"/>
          <w:color w:val="auto"/>
        </w:rPr>
      </w:pPr>
    </w:p>
    <w:p>
      <w:pPr>
        <w:ind w:left="940"/>
        <w:spacing w:after="0"/>
        <w:rPr>
          <w:sz w:val="20"/>
          <w:szCs w:val="20"/>
          <w:color w:val="auto"/>
        </w:rPr>
      </w:pPr>
      <w:r>
        <w:rPr>
          <w:rFonts w:ascii="Arial" w:cs="Arial" w:eastAsia="Arial" w:hAnsi="Arial"/>
          <w:sz w:val="11"/>
          <w:szCs w:val="11"/>
          <w:color w:val="auto"/>
        </w:rPr>
        <w:t>CORPORATE GOVERNANCE</w:t>
      </w:r>
    </w:p>
    <w:p>
      <w:pPr>
        <w:sectPr>
          <w:pgSz w:w="11900" w:h="16838" w:orient="portrait"/>
          <w:cols w:equalWidth="0" w:num="2">
            <w:col w:w="5440" w:space="160"/>
            <w:col w:w="5820"/>
          </w:cols>
          <w:pgMar w:left="240" w:top="459" w:right="239" w:bottom="1440" w:gutter="0" w:footer="0" w:header="0"/>
        </w:sectPr>
      </w:pPr>
    </w:p>
    <w:bookmarkStart w:id="77" w:name="page78"/>
    <w:bookmarkEnd w:id="77"/>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314960</wp:posOffset>
            </wp:positionV>
            <wp:extent cx="3627755" cy="46291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3627755" cy="462915"/>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p>
      <w:pPr>
        <w:spacing w:after="0" w:line="200" w:lineRule="exact"/>
        <w:rPr>
          <w:sz w:val="20"/>
          <w:szCs w:val="20"/>
          <w:color w:val="auto"/>
        </w:rPr>
      </w:pP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419"/>
        </w:trPr>
        <w:tc>
          <w:tcPr>
            <w:tcW w:w="2260" w:type="dxa"/>
            <w:vAlign w:val="bottom"/>
            <w:shd w:val="clear" w:color="auto" w:fill="FF8B00"/>
          </w:tcPr>
          <w:p>
            <w:pPr>
              <w:spacing w:after="0"/>
              <w:rPr>
                <w:sz w:val="24"/>
                <w:szCs w:val="24"/>
                <w:color w:val="auto"/>
              </w:rPr>
            </w:pPr>
          </w:p>
        </w:tc>
        <w:tc>
          <w:tcPr>
            <w:tcW w:w="3460" w:type="dxa"/>
            <w:vAlign w:val="bottom"/>
            <w:shd w:val="clear" w:color="auto" w:fill="FF8B00"/>
          </w:tcPr>
          <w:p>
            <w:pPr>
              <w:spacing w:after="0"/>
              <w:rPr>
                <w:sz w:val="24"/>
                <w:szCs w:val="24"/>
                <w:color w:val="auto"/>
              </w:rPr>
            </w:pPr>
          </w:p>
        </w:tc>
      </w:tr>
      <w:tr>
        <w:trPr>
          <w:trHeight w:val="152"/>
        </w:trPr>
        <w:tc>
          <w:tcPr>
            <w:tcW w:w="2260" w:type="dxa"/>
            <w:vAlign w:val="bottom"/>
          </w:tcPr>
          <w:p>
            <w:pPr>
              <w:jc w:val="right"/>
              <w:ind w:right="1726"/>
              <w:spacing w:after="0"/>
              <w:rPr>
                <w:sz w:val="20"/>
                <w:szCs w:val="20"/>
                <w:color w:val="auto"/>
              </w:rPr>
            </w:pPr>
            <w:r>
              <w:rPr>
                <w:rFonts w:ascii="Arial" w:cs="Arial" w:eastAsia="Arial" w:hAnsi="Arial"/>
                <w:sz w:val="11"/>
                <w:szCs w:val="11"/>
                <w:b w:val="1"/>
                <w:bCs w:val="1"/>
                <w:color w:val="333333"/>
              </w:rPr>
              <w:t>76</w:t>
            </w:r>
          </w:p>
        </w:tc>
        <w:tc>
          <w:tcPr>
            <w:tcW w:w="3460" w:type="dxa"/>
            <w:vAlign w:val="bottom"/>
          </w:tcPr>
          <w:p>
            <w:pPr>
              <w:ind w:left="1780"/>
              <w:spacing w:after="0"/>
              <w:rPr>
                <w:sz w:val="20"/>
                <w:szCs w:val="20"/>
                <w:color w:val="auto"/>
              </w:rPr>
            </w:pPr>
            <w:r>
              <w:rPr>
                <w:rFonts w:ascii="Arial" w:cs="Arial" w:eastAsia="Arial" w:hAnsi="Arial"/>
                <w:sz w:val="13"/>
                <w:szCs w:val="13"/>
                <w:color w:val="333333"/>
              </w:rPr>
              <w:t>GOVERNANCE</w:t>
            </w:r>
          </w:p>
        </w:tc>
      </w:tr>
    </w:tbl>
    <w:p>
      <w:pPr>
        <w:spacing w:after="0" w:line="155" w:lineRule="exact"/>
        <w:rPr>
          <w:sz w:val="20"/>
          <w:szCs w:val="20"/>
          <w:color w:val="auto"/>
        </w:rPr>
      </w:pPr>
    </w:p>
    <w:p>
      <w:pPr>
        <w:ind w:left="3460"/>
        <w:spacing w:after="0"/>
        <w:rPr>
          <w:sz w:val="20"/>
          <w:szCs w:val="20"/>
          <w:color w:val="auto"/>
        </w:rPr>
      </w:pPr>
      <w:r>
        <w:rPr>
          <w:rFonts w:ascii="Arial" w:cs="Arial" w:eastAsia="Arial" w:hAnsi="Arial"/>
          <w:sz w:val="11"/>
          <w:szCs w:val="11"/>
          <w:color w:val="auto"/>
        </w:rPr>
        <w:t>AUDIT COMMITTEE REPORT</w:t>
      </w:r>
    </w:p>
    <w:p>
      <w:pPr>
        <w:spacing w:after="0" w:line="59" w:lineRule="exact"/>
        <w:rPr>
          <w:sz w:val="20"/>
          <w:szCs w:val="20"/>
          <w:color w:val="auto"/>
        </w:rPr>
      </w:pPr>
    </w:p>
    <w:p>
      <w:pPr>
        <w:spacing w:after="0"/>
        <w:rPr>
          <w:sz w:val="20"/>
          <w:szCs w:val="20"/>
          <w:color w:val="auto"/>
        </w:rPr>
      </w:pPr>
      <w:r>
        <w:rPr>
          <w:rFonts w:ascii="Arial" w:cs="Arial" w:eastAsia="Arial" w:hAnsi="Arial"/>
          <w:sz w:val="31"/>
          <w:szCs w:val="31"/>
          <w:color w:val="auto"/>
        </w:rPr>
        <w:t>AUDIT COMMITTEE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wp:posOffset>
            </wp:positionV>
            <wp:extent cx="3473450" cy="889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spacing w:after="0" w:line="189" w:lineRule="exact"/>
        <w:rPr>
          <w:sz w:val="20"/>
          <w:szCs w:val="20"/>
          <w:color w:val="auto"/>
        </w:rPr>
      </w:pPr>
    </w:p>
    <w:p>
      <w:pPr>
        <w:spacing w:after="0"/>
        <w:rPr>
          <w:sz w:val="20"/>
          <w:szCs w:val="20"/>
          <w:color w:val="auto"/>
        </w:rPr>
      </w:pPr>
      <w:r>
        <w:rPr>
          <w:rFonts w:ascii="Arial" w:cs="Arial" w:eastAsia="Arial" w:hAnsi="Arial"/>
          <w:sz w:val="14"/>
          <w:szCs w:val="14"/>
          <w:color w:val="auto"/>
        </w:rPr>
        <w:t>Dear Shareholders,</w:t>
      </w:r>
    </w:p>
    <w:p>
      <w:pPr>
        <w:spacing w:after="0" w:line="177" w:lineRule="exact"/>
        <w:rPr>
          <w:sz w:val="20"/>
          <w:szCs w:val="20"/>
          <w:color w:val="auto"/>
        </w:rPr>
      </w:pPr>
    </w:p>
    <w:p>
      <w:pPr>
        <w:ind w:right="240"/>
        <w:spacing w:after="0" w:line="243" w:lineRule="auto"/>
        <w:rPr>
          <w:sz w:val="20"/>
          <w:szCs w:val="20"/>
          <w:color w:val="auto"/>
        </w:rPr>
      </w:pPr>
      <w:r>
        <w:rPr>
          <w:rFonts w:ascii="Arial" w:cs="Arial" w:eastAsia="Arial" w:hAnsi="Arial"/>
          <w:sz w:val="14"/>
          <w:szCs w:val="14"/>
          <w:color w:val="auto"/>
        </w:rPr>
        <w:t>I am pleased to present our annual Audit Committee report, which I trust will provide you with some useful insights into our work and the issues we considered during the year. In September we welcomed Euleen Goh as the fourth member of our Committee. As the Audit Committee we assist the Board in fulfilling its oversight responsibilities in areas such as the integrity of financial reporting, the effectiveness of the risk management and internal control system and related governance and compliance matters. We are also responsible for making a recommendation to the Board on the appointment or re-appointment of the external auditor.</w:t>
      </w:r>
    </w:p>
    <w:p>
      <w:pPr>
        <w:spacing w:after="0" w:line="168" w:lineRule="exact"/>
        <w:rPr>
          <w:sz w:val="20"/>
          <w:szCs w:val="20"/>
          <w:color w:val="auto"/>
        </w:rPr>
      </w:pPr>
    </w:p>
    <w:p>
      <w:pPr>
        <w:ind w:right="360"/>
        <w:spacing w:after="0" w:line="243" w:lineRule="auto"/>
        <w:rPr>
          <w:sz w:val="20"/>
          <w:szCs w:val="20"/>
          <w:color w:val="auto"/>
        </w:rPr>
      </w:pPr>
      <w:r>
        <w:rPr>
          <w:rFonts w:ascii="Arial" w:cs="Arial" w:eastAsia="Arial" w:hAnsi="Arial"/>
          <w:sz w:val="14"/>
          <w:szCs w:val="14"/>
          <w:color w:val="auto"/>
        </w:rPr>
        <w:t>During 2014, we held six Committee meetings where we were briefed on and discussed a variety of topics. We also arranged for an additional session where we reviewed the Downstream price/margin assumptions that formed the basis for the impairment charges following management’s own review of the refining assets. The Committee also paid specific attention to the impairment charges relating to Shell’s North American tight-gas and liquids-rich shale properties. We requested and reviewed the outcomes of Shell’s post-investment reviews for certain major projects, acquisitions and disposals.</w:t>
      </w:r>
    </w:p>
    <w:p>
      <w:pPr>
        <w:spacing w:after="0" w:line="182" w:lineRule="exact"/>
        <w:rPr>
          <w:sz w:val="20"/>
          <w:szCs w:val="20"/>
          <w:color w:val="auto"/>
        </w:rPr>
      </w:pPr>
    </w:p>
    <w:p>
      <w:pPr>
        <w:ind w:right="280"/>
        <w:spacing w:after="0" w:line="244" w:lineRule="auto"/>
        <w:rPr>
          <w:sz w:val="20"/>
          <w:szCs w:val="20"/>
          <w:color w:val="auto"/>
        </w:rPr>
      </w:pPr>
      <w:r>
        <w:rPr>
          <w:rFonts w:ascii="Arial" w:cs="Arial" w:eastAsia="Arial" w:hAnsi="Arial"/>
          <w:sz w:val="14"/>
          <w:szCs w:val="14"/>
          <w:color w:val="auto"/>
        </w:rPr>
        <w:t>In addition to our usual disclosures on how we have discharged our responsibilities during the year, we explain in the report those issues we considered to be significant in relation to Shell’s 2014 Consolidated Financial Statements, and how we addressed them. We have advised the Board that the 2014 Annual Report including the financial statements, taken as a whole, is fair, balanced and understandable, and provides the information necessary for shareholders to assess Shell’s performance, business model and strategy. We also explain how we arrived at this conclusion.</w:t>
      </w:r>
    </w:p>
    <w:p>
      <w:pPr>
        <w:spacing w:after="0" w:line="164" w:lineRule="exact"/>
        <w:rPr>
          <w:sz w:val="20"/>
          <w:szCs w:val="20"/>
          <w:color w:val="auto"/>
        </w:rPr>
      </w:pPr>
    </w:p>
    <w:p>
      <w:pPr>
        <w:ind w:right="260"/>
        <w:spacing w:after="0" w:line="243" w:lineRule="auto"/>
        <w:rPr>
          <w:sz w:val="20"/>
          <w:szCs w:val="20"/>
          <w:color w:val="auto"/>
        </w:rPr>
      </w:pPr>
      <w:r>
        <w:rPr>
          <w:rFonts w:ascii="Arial" w:cs="Arial" w:eastAsia="Arial" w:hAnsi="Arial"/>
          <w:sz w:val="14"/>
          <w:szCs w:val="14"/>
          <w:color w:val="auto"/>
        </w:rPr>
        <w:t>As indicated in last year’s report, the Company has started a tender process for the appointment of its external auditor. We expect to complete the process in mid-2015, with the intention that the successful firm be recommended for appointment at the 2016 Annual General Meeting (AGM) in respect of the audit for the 2016 financial year. This will follow new European and UK rules affecting the mandatory tendering of statutory audit services. To assist the Committee in overseeing the selection process and making a recommendation to the Board with respect to the appointment of the external auditor for 2016, a tender advisory committee has been established, which I am chairing, to monitor the process and participate in engagements with potential candidates.</w:t>
      </w:r>
    </w:p>
    <w:p>
      <w:pPr>
        <w:spacing w:after="0" w:line="329" w:lineRule="exact"/>
        <w:rPr>
          <w:sz w:val="20"/>
          <w:szCs w:val="20"/>
          <w:color w:val="auto"/>
        </w:rPr>
      </w:pPr>
    </w:p>
    <w:p>
      <w:pPr>
        <w:jc w:val="both"/>
        <w:ind w:right="640"/>
        <w:spacing w:after="0" w:line="250" w:lineRule="auto"/>
        <w:rPr>
          <w:sz w:val="20"/>
          <w:szCs w:val="20"/>
          <w:color w:val="auto"/>
        </w:rPr>
      </w:pPr>
      <w:r>
        <w:rPr>
          <w:rFonts w:ascii="Arial" w:cs="Arial" w:eastAsia="Arial" w:hAnsi="Arial"/>
          <w:sz w:val="14"/>
          <w:szCs w:val="14"/>
          <w:color w:val="auto"/>
        </w:rPr>
        <w:t>The Committee paid close attention to the succession and transition process for certain key staff during the year and also received a presentation on succession planning for Shell’s other key financial positions.</w:t>
      </w:r>
    </w:p>
    <w:p>
      <w:pPr>
        <w:spacing w:after="0" w:line="172" w:lineRule="exact"/>
        <w:rPr>
          <w:sz w:val="20"/>
          <w:szCs w:val="20"/>
          <w:color w:val="auto"/>
        </w:rPr>
      </w:pPr>
    </w:p>
    <w:p>
      <w:pPr>
        <w:ind w:right="580"/>
        <w:spacing w:after="0" w:line="250" w:lineRule="auto"/>
        <w:rPr>
          <w:sz w:val="20"/>
          <w:szCs w:val="20"/>
          <w:color w:val="auto"/>
        </w:rPr>
      </w:pPr>
      <w:r>
        <w:rPr>
          <w:rFonts w:ascii="Arial" w:cs="Arial" w:eastAsia="Arial" w:hAnsi="Arial"/>
          <w:sz w:val="14"/>
          <w:szCs w:val="14"/>
          <w:color w:val="auto"/>
        </w:rPr>
        <w:t>Finally, we conducted our annual performance evaluation and concluded that the Committee was effective and able to fulfil its role in accordance with its terms of reference, which can be found at www.shell.com/investor.</w:t>
      </w:r>
    </w:p>
    <w:p>
      <w:pPr>
        <w:spacing w:after="0" w:line="159" w:lineRule="exact"/>
        <w:rPr>
          <w:sz w:val="20"/>
          <w:szCs w:val="20"/>
          <w:color w:val="auto"/>
        </w:rPr>
      </w:pPr>
    </w:p>
    <w:p>
      <w:pPr>
        <w:spacing w:after="0"/>
        <w:rPr>
          <w:sz w:val="20"/>
          <w:szCs w:val="20"/>
          <w:color w:val="auto"/>
        </w:rPr>
      </w:pPr>
      <w:r>
        <w:rPr>
          <w:rFonts w:ascii="Arial" w:cs="Arial" w:eastAsia="Arial" w:hAnsi="Arial"/>
          <w:sz w:val="14"/>
          <w:szCs w:val="14"/>
          <w:color w:val="auto"/>
        </w:rPr>
        <w:t>Guy Elliott</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Chairman of the Audit Committee</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March 10, 2015</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3240"/>
        <w:spacing w:after="0"/>
        <w:rPr>
          <w:sz w:val="20"/>
          <w:szCs w:val="20"/>
          <w:color w:val="auto"/>
        </w:rPr>
      </w:pPr>
      <w:r>
        <w:rPr>
          <w:rFonts w:ascii="Arial" w:cs="Arial" w:eastAsia="Arial" w:hAnsi="Arial"/>
          <w:sz w:val="10"/>
          <w:szCs w:val="10"/>
          <w:color w:val="auto"/>
        </w:rPr>
        <w:t>SHELL ANNUAL REPORT AND FORM 20-F 2014</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COMPOSITION OF THE AUDIT COMMITTEE</w:t>
      </w:r>
    </w:p>
    <w:p>
      <w:pPr>
        <w:spacing w:after="0" w:line="1" w:lineRule="exact"/>
        <w:rPr>
          <w:sz w:val="20"/>
          <w:szCs w:val="20"/>
          <w:color w:val="auto"/>
        </w:rPr>
      </w:pPr>
    </w:p>
    <w:p>
      <w:pPr>
        <w:ind w:right="240"/>
        <w:spacing w:after="0" w:line="244" w:lineRule="auto"/>
        <w:rPr>
          <w:sz w:val="20"/>
          <w:szCs w:val="20"/>
          <w:color w:val="auto"/>
        </w:rPr>
      </w:pPr>
      <w:r>
        <w:rPr>
          <w:rFonts w:ascii="Arial" w:cs="Arial" w:eastAsia="Arial" w:hAnsi="Arial"/>
          <w:sz w:val="14"/>
          <w:szCs w:val="14"/>
          <w:color w:val="auto"/>
        </w:rPr>
        <w:t>The current members of the Audit Committee are Guy Elliott (Chairman of the Committee), Gerard Kleisterlee, Linda G. Stuntz and, as of September 1, 2014, Euleen Goh, all of whom are financially literate, independent, Non-executive Directors. For the purposes of the Code, Guy Elliott qualifies as a person with “recent and relevant financial experience” and for the purposes of US securities laws is an “audit committee financial expert”. The Committee met six times during the year; the Committee members’ attendances are shown on page 67.</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color w:val="auto"/>
        </w:rPr>
        <w:t>RESPONSIBILITIES</w:t>
      </w:r>
    </w:p>
    <w:p>
      <w:pPr>
        <w:spacing w:after="0" w:line="1" w:lineRule="exact"/>
        <w:rPr>
          <w:sz w:val="20"/>
          <w:szCs w:val="20"/>
          <w:color w:val="auto"/>
        </w:rPr>
      </w:pPr>
    </w:p>
    <w:p>
      <w:pPr>
        <w:ind w:right="160"/>
        <w:spacing w:after="0" w:line="243" w:lineRule="auto"/>
        <w:rPr>
          <w:sz w:val="20"/>
          <w:szCs w:val="20"/>
          <w:color w:val="auto"/>
        </w:rPr>
      </w:pPr>
      <w:r>
        <w:rPr>
          <w:rFonts w:ascii="Arial" w:cs="Arial" w:eastAsia="Arial" w:hAnsi="Arial"/>
          <w:sz w:val="14"/>
          <w:szCs w:val="14"/>
          <w:color w:val="auto"/>
        </w:rPr>
        <w:t>The key responsibilities of the Committee are to assist the Board in fulfilling its oversight responsibilities in relation to: financial reporting; the effectiveness of the system of risk management and internal control; compliance with applicable external legal and regulatory requirements; monitoring the qualifications, expertise, resources and independence of both the internal and external auditors; and assessing each year the auditors’ performance and effectiveness. The Committee keeps the Board informed of the Committee’s activities and recommendations. Where the Committee is not satisfied with, or wherever it considers action or improvement is required concerning any aspect of financial reporting, risk management and internal control, compliance or audit-related activities, it promptly reports these concerns to the Board.</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auto"/>
        </w:rPr>
        <w:t>ACTIVITIES</w:t>
      </w:r>
    </w:p>
    <w:p>
      <w:pPr>
        <w:spacing w:after="0" w:line="1" w:lineRule="exact"/>
        <w:rPr>
          <w:sz w:val="20"/>
          <w:szCs w:val="20"/>
          <w:color w:val="auto"/>
        </w:rPr>
      </w:pPr>
    </w:p>
    <w:p>
      <w:pPr>
        <w:ind w:right="160"/>
        <w:spacing w:after="0" w:line="243" w:lineRule="auto"/>
        <w:rPr>
          <w:sz w:val="20"/>
          <w:szCs w:val="20"/>
          <w:color w:val="auto"/>
        </w:rPr>
      </w:pPr>
      <w:r>
        <w:rPr>
          <w:rFonts w:ascii="Arial" w:cs="Arial" w:eastAsia="Arial" w:hAnsi="Arial"/>
          <w:sz w:val="14"/>
          <w:szCs w:val="14"/>
          <w:color w:val="auto"/>
        </w:rPr>
        <w:t>The Committee in its meetings covers a variety of topics. These include both standing items that the Committee considers as a matter of course, typically in relation to the quarterly results announcements, control issues, accounting policies and judgements and reporting matters, as well as a range of specific topics relevant to the overall control framework of the Company. The Committee invites the Chief Executive Officer, the Chief Financial Officer, the Legal Director, the Chief Internal Auditor, the Executive Vice President Controller, the Vice President Accounting and Reporting and the external auditor to attend each meeting. Other members of management attend as and when requested. At every meeting the Committee holds private sessions separately with the external auditor and the Chief Internal Auditor without members of management being present.</w:t>
      </w:r>
    </w:p>
    <w:p>
      <w:pPr>
        <w:spacing w:after="0" w:line="165" w:lineRule="exact"/>
        <w:rPr>
          <w:sz w:val="20"/>
          <w:szCs w:val="20"/>
          <w:color w:val="auto"/>
        </w:rPr>
      </w:pPr>
    </w:p>
    <w:p>
      <w:pPr>
        <w:ind w:right="200"/>
        <w:spacing w:after="0" w:line="242" w:lineRule="auto"/>
        <w:rPr>
          <w:sz w:val="20"/>
          <w:szCs w:val="20"/>
          <w:color w:val="auto"/>
        </w:rPr>
      </w:pPr>
      <w:r>
        <w:rPr>
          <w:rFonts w:ascii="Arial" w:cs="Arial" w:eastAsia="Arial" w:hAnsi="Arial"/>
          <w:sz w:val="14"/>
          <w:szCs w:val="14"/>
          <w:color w:val="auto"/>
        </w:rPr>
        <w:t>During 2014, the Committee received comprehensive reports from management and the internal and external auditors. In particular, it discussed with the Chief Financial Officer, the Executive Vice President Controller, the Vice President Accounting and Reporting and the external auditor issues that arose on accounting policies, practices and reporting, and reviewed aggregated whistle-blowing reports, internal audit reports and analyses of financial reporting matters. The Committee further assessed the robustness of information and risk management and security measures, including cyber security, and discussed the annual report of the Chief Ethics and Compliance Officer. The Committee also discussed the Company’s Annual Report and Accounts, half-year report and quarterly unaudited financial statements with management and the external auditor, and it reviewed the Internal Audit Department’s annual audit plan and the performance assessment of the Internal Audit function. The Committee also requested reports on such matters that it deemed appropriate, for example, governance of operated and non-operated ventures and regulatory, IT and dealing risks associated with trading activities.</w:t>
      </w:r>
    </w:p>
    <w:p>
      <w:pPr>
        <w:spacing w:after="0" w:line="185" w:lineRule="exact"/>
        <w:rPr>
          <w:sz w:val="20"/>
          <w:szCs w:val="20"/>
          <w:color w:val="auto"/>
        </w:rPr>
      </w:pPr>
    </w:p>
    <w:p>
      <w:pPr>
        <w:ind w:right="180"/>
        <w:spacing w:after="0" w:line="243" w:lineRule="auto"/>
        <w:rPr>
          <w:sz w:val="20"/>
          <w:szCs w:val="20"/>
          <w:color w:val="auto"/>
        </w:rPr>
      </w:pPr>
      <w:r>
        <w:rPr>
          <w:rFonts w:ascii="Arial" w:cs="Arial" w:eastAsia="Arial" w:hAnsi="Arial"/>
          <w:sz w:val="14"/>
          <w:szCs w:val="14"/>
          <w:color w:val="auto"/>
        </w:rPr>
        <w:t>As requested by the Board, the Committee has advised the Board of its view that the Annual Report including the financial statements for the year ended December 31, 2014, taken as a whole, is fair, balanced and understandable and provides the information necessary for shareholders to assess Shell’s performance, business model and strategy (see the “Directors’ Report” on page 63). To arrive at this conclusion the Committee critically assessed drafts of the Annual Report including the financial statements and discussed with management the process undertaken to ensure that it was fair, balanced and</w:t>
      </w:r>
    </w:p>
    <w:p>
      <w:pPr>
        <w:sectPr>
          <w:pgSz w:w="11900" w:h="16838" w:orient="portrait"/>
          <w:cols w:equalWidth="0" w:num="2">
            <w:col w:w="5720" w:space="60"/>
            <w:col w:w="5640"/>
          </w:cols>
          <w:pgMar w:left="240" w:top="459" w:right="239" w:bottom="1440" w:gutter="0" w:footer="0" w:header="0"/>
          <w:type w:val="continuous"/>
        </w:sectPr>
      </w:pPr>
    </w:p>
    <w:bookmarkStart w:id="78" w:name="page79"/>
    <w:bookmarkEnd w:id="78"/>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3555365</wp:posOffset>
            </wp:positionH>
            <wp:positionV relativeFrom="paragraph">
              <wp:posOffset>314960</wp:posOffset>
            </wp:positionV>
            <wp:extent cx="3696335" cy="46291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3696335" cy="462915"/>
                    </a:xfrm>
                    <a:prstGeom prst="rect">
                      <a:avLst/>
                    </a:prstGeom>
                    <a:noFill/>
                  </pic:spPr>
                </pic:pic>
              </a:graphicData>
            </a:graphic>
          </wp:anchor>
        </w:drawing>
      </w:r>
    </w:p>
    <w:p>
      <w:pPr>
        <w:sectPr>
          <w:pgSz w:w="11900" w:h="16838" w:orient="portrait"/>
          <w:cols w:equalWidth="0" w:num="1">
            <w:col w:w="11220"/>
          </w:cols>
          <w:pgMar w:left="240" w:top="459" w:right="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11"/>
          <w:szCs w:val="11"/>
          <w:color w:val="auto"/>
        </w:rPr>
        <w:t>SHELL ANNUAL REPORT AND FORM 20-F 2014</w:t>
      </w:r>
    </w:p>
    <w:p>
      <w:pPr>
        <w:spacing w:after="0" w:line="57" w:lineRule="exact"/>
        <w:rPr>
          <w:sz w:val="20"/>
          <w:szCs w:val="20"/>
          <w:color w:val="auto"/>
        </w:rPr>
      </w:pPr>
    </w:p>
    <w:p>
      <w:pPr>
        <w:ind w:right="60"/>
        <w:spacing w:after="0" w:line="244" w:lineRule="auto"/>
        <w:rPr>
          <w:sz w:val="20"/>
          <w:szCs w:val="20"/>
          <w:color w:val="auto"/>
        </w:rPr>
      </w:pPr>
      <w:r>
        <w:rPr>
          <w:rFonts w:ascii="Arial" w:cs="Arial" w:eastAsia="Arial" w:hAnsi="Arial"/>
          <w:sz w:val="14"/>
          <w:szCs w:val="14"/>
          <w:color w:val="auto"/>
        </w:rPr>
        <w:t>understandable. This process included: requesting confirmation from the owners of each section of the Annual Report that the content of their respective section is fair and balanced; ensuring that consistent materiality thresholds are applied; taking into account comments from the external auditor; and receiving affirmation from the Executive Committee. The Committee further reviewed and considered the Directors’ half-year and full-year statements with respect to the going concern basis of accounting.</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color w:val="auto"/>
        </w:rPr>
        <w:t>SYSTEM OF RISK MANAGEMENT AND INTERNAL CONTROL</w:t>
      </w:r>
    </w:p>
    <w:p>
      <w:pPr>
        <w:spacing w:after="0" w:line="1" w:lineRule="exact"/>
        <w:rPr>
          <w:sz w:val="20"/>
          <w:szCs w:val="20"/>
          <w:color w:val="auto"/>
        </w:rPr>
      </w:pPr>
    </w:p>
    <w:p>
      <w:pPr>
        <w:ind w:right="20"/>
        <w:spacing w:after="0" w:line="245" w:lineRule="auto"/>
        <w:rPr>
          <w:sz w:val="20"/>
          <w:szCs w:val="20"/>
          <w:color w:val="auto"/>
        </w:rPr>
      </w:pPr>
      <w:r>
        <w:rPr>
          <w:rFonts w:ascii="Arial" w:cs="Arial" w:eastAsia="Arial" w:hAnsi="Arial"/>
          <w:sz w:val="14"/>
          <w:szCs w:val="14"/>
          <w:color w:val="auto"/>
        </w:rPr>
        <w:t>In 2014, the Committee reviewed and discussed regular reports on risks, controls and assurance, including the annual assessment of the system of risk management and internal control, in order to monitor the effectiveness of the procedures for internal control over financial reporting. This included the Company’s evaluation of the internal control system as required under Section 404 of the Sarbanes-Oxley Act.</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color w:val="auto"/>
        </w:rPr>
        <w:t>SIGNIFICANT ISSUES</w:t>
      </w:r>
    </w:p>
    <w:p>
      <w:pPr>
        <w:spacing w:after="0" w:line="1" w:lineRule="exact"/>
        <w:rPr>
          <w:sz w:val="20"/>
          <w:szCs w:val="20"/>
          <w:color w:val="auto"/>
        </w:rPr>
      </w:pPr>
    </w:p>
    <w:p>
      <w:pPr>
        <w:ind w:right="120"/>
        <w:spacing w:after="0" w:line="245" w:lineRule="auto"/>
        <w:rPr>
          <w:sz w:val="20"/>
          <w:szCs w:val="20"/>
          <w:color w:val="auto"/>
        </w:rPr>
      </w:pPr>
      <w:r>
        <w:rPr>
          <w:rFonts w:ascii="Arial" w:cs="Arial" w:eastAsia="Arial" w:hAnsi="Arial"/>
          <w:sz w:val="14"/>
          <w:szCs w:val="14"/>
          <w:color w:val="auto"/>
        </w:rPr>
        <w:t>The Committee assessed the following significant accounting and reporting issues that arose in relation to Shell’s 2014 Consolidated Financial Statements. The Committee was satisfied with how each of these issues was resolved. As part of this assessment the Committee received reports, requested and received clarification from management, and sought assurance and received input from the external auditor.</w:t>
      </w:r>
    </w:p>
    <w:p>
      <w:pPr>
        <w:spacing w:after="0" w:line="321" w:lineRule="exact"/>
        <w:rPr>
          <w:sz w:val="20"/>
          <w:szCs w:val="20"/>
          <w:color w:val="auto"/>
        </w:rPr>
      </w:pPr>
    </w:p>
    <w:p>
      <w:pPr>
        <w:spacing w:after="0"/>
        <w:rPr>
          <w:sz w:val="20"/>
          <w:szCs w:val="20"/>
          <w:color w:val="auto"/>
        </w:rPr>
      </w:pPr>
      <w:r>
        <w:rPr>
          <w:rFonts w:ascii="Arial" w:cs="Arial" w:eastAsia="Arial" w:hAnsi="Arial"/>
          <w:sz w:val="18"/>
          <w:szCs w:val="18"/>
          <w:color w:val="auto"/>
        </w:rPr>
        <w:t>Impairments</w:t>
      </w:r>
    </w:p>
    <w:p>
      <w:pPr>
        <w:spacing w:after="0" w:line="1" w:lineRule="exact"/>
        <w:rPr>
          <w:sz w:val="20"/>
          <w:szCs w:val="20"/>
          <w:color w:val="auto"/>
        </w:rPr>
      </w:pPr>
    </w:p>
    <w:p>
      <w:pPr>
        <w:ind w:right="20"/>
        <w:spacing w:after="0" w:line="243" w:lineRule="auto"/>
        <w:rPr>
          <w:sz w:val="20"/>
          <w:szCs w:val="20"/>
          <w:color w:val="auto"/>
        </w:rPr>
      </w:pPr>
      <w:r>
        <w:rPr>
          <w:rFonts w:ascii="Arial" w:cs="Arial" w:eastAsia="Arial" w:hAnsi="Arial"/>
          <w:sz w:val="14"/>
          <w:szCs w:val="14"/>
          <w:color w:val="auto"/>
        </w:rPr>
        <w:t>The Committee considered management’s review of Downstream refining assets and critically assessed the appropriateness of the impairment charges in the first quarter in respect of assets in Asia and Europe, including the write-off of the carrying amount of the Bukom refinery in Singapore, and of the impairment charges in the second quarter in Upstream which were mainly related to tight-gas properties in the USA. The Committee focused on the trigger for impairment testing and the assumptions used in determining the charges. See Notes 3 and 8 to the “Consolidated Financial Statements”.</w:t>
      </w:r>
    </w:p>
    <w:p>
      <w:pPr>
        <w:spacing w:after="0" w:line="182" w:lineRule="exact"/>
        <w:rPr>
          <w:sz w:val="20"/>
          <w:szCs w:val="20"/>
          <w:color w:val="auto"/>
        </w:rPr>
      </w:pPr>
    </w:p>
    <w:p>
      <w:pPr>
        <w:spacing w:after="0" w:line="245" w:lineRule="auto"/>
        <w:rPr>
          <w:sz w:val="20"/>
          <w:szCs w:val="20"/>
          <w:color w:val="auto"/>
        </w:rPr>
      </w:pPr>
      <w:r>
        <w:rPr>
          <w:rFonts w:ascii="Arial" w:cs="Arial" w:eastAsia="Arial" w:hAnsi="Arial"/>
          <w:sz w:val="14"/>
          <w:szCs w:val="14"/>
          <w:color w:val="auto"/>
        </w:rPr>
        <w:t>Following the significant fall in oil and gas prices in the second half of 2014, the Committee reviewed further potential short-term impairment risks at the year end. It supported management’s conclusion that no further impairments were required for the 2014 Consolidated Financial Statements. This will remain an area of focus for the Committee for 2015.</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color w:val="auto"/>
        </w:rPr>
        <w:t>Disposals</w:t>
      </w:r>
    </w:p>
    <w:p>
      <w:pPr>
        <w:spacing w:after="0" w:line="1" w:lineRule="exact"/>
        <w:rPr>
          <w:sz w:val="20"/>
          <w:szCs w:val="20"/>
          <w:color w:val="auto"/>
        </w:rPr>
      </w:pPr>
    </w:p>
    <w:p>
      <w:pPr>
        <w:ind w:right="140"/>
        <w:spacing w:after="0" w:line="245" w:lineRule="auto"/>
        <w:rPr>
          <w:sz w:val="20"/>
          <w:szCs w:val="20"/>
          <w:color w:val="auto"/>
        </w:rPr>
      </w:pPr>
      <w:r>
        <w:rPr>
          <w:rFonts w:ascii="Arial" w:cs="Arial" w:eastAsia="Arial" w:hAnsi="Arial"/>
          <w:sz w:val="14"/>
          <w:szCs w:val="14"/>
          <w:color w:val="auto"/>
        </w:rPr>
        <w:t>The Committee examined the accounting for assets subject to a binding sales agreement and consequential disposals, including Upstream assets in Australia, Brazil, Canada, Nigeria, and the USA and Downstream assets in Australia and Italy. Special attention was given to the accounting for any retained obligations, the assumptions used in determining any resulting charges, and the tax treatment.</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color w:val="auto"/>
        </w:rPr>
        <w:t>Acquisition of Repsol LNG businesses</w:t>
      </w:r>
    </w:p>
    <w:p>
      <w:pPr>
        <w:spacing w:after="0" w:line="1" w:lineRule="exact"/>
        <w:rPr>
          <w:sz w:val="20"/>
          <w:szCs w:val="20"/>
          <w:color w:val="auto"/>
        </w:rPr>
      </w:pPr>
    </w:p>
    <w:p>
      <w:pPr>
        <w:ind w:right="200"/>
        <w:spacing w:after="0" w:line="245" w:lineRule="auto"/>
        <w:rPr>
          <w:sz w:val="20"/>
          <w:szCs w:val="20"/>
          <w:color w:val="auto"/>
        </w:rPr>
      </w:pPr>
      <w:r>
        <w:rPr>
          <w:rFonts w:ascii="Arial" w:cs="Arial" w:eastAsia="Arial" w:hAnsi="Arial"/>
          <w:sz w:val="14"/>
          <w:szCs w:val="14"/>
          <w:color w:val="auto"/>
        </w:rPr>
        <w:t>The Committee reviewed the accounting for the acquisition of Repsol’s LNG businesses outside North America. Areas of judgement which the Committee considered and queried included fair valuations, recognition of goodwill, related tax issues and required provisions. See Note 29 to the “Consolidated Financial Statements”.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spacing w:after="0" w:line="1" w:lineRule="exact"/>
        <w:rPr>
          <w:sz w:val="1"/>
          <w:szCs w:val="1"/>
          <w:color w:val="auto"/>
        </w:rPr>
      </w:pPr>
    </w:p>
    <w:tbl>
      <w:tblPr>
        <w:tblLayout w:type="fixed"/>
        <w:tblInd w:w="740" w:type="dxa"/>
        <w:tblCellMar>
          <w:top w:w="0" w:type="dxa"/>
          <w:left w:w="0" w:type="dxa"/>
          <w:bottom w:w="0" w:type="dxa"/>
          <w:right w:w="0" w:type="dxa"/>
        </w:tblCellMar>
      </w:tblPr>
      <w:tr>
        <w:trPr>
          <w:trHeight w:val="161"/>
        </w:trPr>
        <w:tc>
          <w:tcPr>
            <w:tcW w:w="2580" w:type="dxa"/>
            <w:vAlign w:val="bottom"/>
          </w:tcPr>
          <w:p>
            <w:pPr>
              <w:spacing w:after="0"/>
              <w:rPr>
                <w:sz w:val="20"/>
                <w:szCs w:val="20"/>
                <w:color w:val="auto"/>
              </w:rPr>
            </w:pPr>
            <w:r>
              <w:rPr>
                <w:rFonts w:ascii="Arial" w:cs="Arial" w:eastAsia="Arial" w:hAnsi="Arial"/>
                <w:sz w:val="13"/>
                <w:szCs w:val="13"/>
                <w:color w:val="333333"/>
              </w:rPr>
              <w:t>GOVERNANCE</w:t>
            </w:r>
          </w:p>
        </w:tc>
        <w:tc>
          <w:tcPr>
            <w:tcW w:w="1820" w:type="dxa"/>
            <w:vAlign w:val="bottom"/>
          </w:tcPr>
          <w:p>
            <w:pPr>
              <w:jc w:val="right"/>
              <w:spacing w:after="0"/>
              <w:rPr>
                <w:sz w:val="20"/>
                <w:szCs w:val="20"/>
                <w:color w:val="auto"/>
              </w:rPr>
            </w:pPr>
            <w:r>
              <w:rPr>
                <w:rFonts w:ascii="Arial" w:cs="Arial" w:eastAsia="Arial" w:hAnsi="Arial"/>
                <w:sz w:val="11"/>
                <w:szCs w:val="11"/>
                <w:b w:val="1"/>
                <w:bCs w:val="1"/>
                <w:color w:val="333333"/>
              </w:rPr>
              <w:t>77</w:t>
            </w:r>
          </w:p>
        </w:tc>
      </w:tr>
    </w:tbl>
    <w:p>
      <w:pPr>
        <w:spacing w:after="0" w:line="161" w:lineRule="exact"/>
        <w:rPr>
          <w:sz w:val="20"/>
          <w:szCs w:val="20"/>
          <w:color w:val="auto"/>
        </w:rPr>
      </w:pPr>
    </w:p>
    <w:p>
      <w:pPr>
        <w:jc w:val="center"/>
        <w:ind w:right="2480"/>
        <w:spacing w:after="0"/>
        <w:rPr>
          <w:sz w:val="20"/>
          <w:szCs w:val="20"/>
          <w:color w:val="auto"/>
        </w:rPr>
      </w:pPr>
      <w:r>
        <w:rPr>
          <w:rFonts w:ascii="Arial" w:cs="Arial" w:eastAsia="Arial" w:hAnsi="Arial"/>
          <w:sz w:val="11"/>
          <w:szCs w:val="11"/>
          <w:color w:val="auto"/>
        </w:rPr>
        <w:t>AUDIT COMMITTEE REPORT</w:t>
      </w:r>
    </w:p>
    <w:p>
      <w:pPr>
        <w:spacing w:after="0" w:line="51" w:lineRule="exact"/>
        <w:rPr>
          <w:sz w:val="20"/>
          <w:szCs w:val="20"/>
          <w:color w:val="auto"/>
        </w:rPr>
      </w:pPr>
    </w:p>
    <w:p>
      <w:pPr>
        <w:spacing w:after="0"/>
        <w:rPr>
          <w:sz w:val="20"/>
          <w:szCs w:val="20"/>
          <w:color w:val="auto"/>
        </w:rPr>
      </w:pPr>
      <w:r>
        <w:rPr>
          <w:rFonts w:ascii="Arial" w:cs="Arial" w:eastAsia="Arial" w:hAnsi="Arial"/>
          <w:sz w:val="18"/>
          <w:szCs w:val="18"/>
          <w:color w:val="auto"/>
        </w:rPr>
        <w:t>Change in shareholding in Woodside</w:t>
      </w:r>
    </w:p>
    <w:p>
      <w:pPr>
        <w:spacing w:after="0" w:line="1" w:lineRule="exact"/>
        <w:rPr>
          <w:sz w:val="20"/>
          <w:szCs w:val="20"/>
          <w:color w:val="auto"/>
        </w:rPr>
      </w:pPr>
    </w:p>
    <w:p>
      <w:pPr>
        <w:ind w:right="40"/>
        <w:spacing w:after="0" w:line="247" w:lineRule="auto"/>
        <w:rPr>
          <w:sz w:val="20"/>
          <w:szCs w:val="20"/>
          <w:color w:val="auto"/>
        </w:rPr>
      </w:pPr>
      <w:r>
        <w:rPr>
          <w:rFonts w:ascii="Arial" w:cs="Arial" w:eastAsia="Arial" w:hAnsi="Arial"/>
          <w:sz w:val="14"/>
          <w:szCs w:val="14"/>
          <w:color w:val="auto"/>
        </w:rPr>
        <w:t>The Committee reviewed the accounting impact of the reduction in Shell’s shareholding in Woodside Petroleum Limited (Woodside). The Committee accepted that Shell continued to have significant influence over Woodside and should continue to account for the interest as an associate.</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color w:val="auto"/>
        </w:rPr>
        <w:t>Discount rates for retirement benefit obligations</w:t>
      </w:r>
    </w:p>
    <w:p>
      <w:pPr>
        <w:spacing w:after="0" w:line="1" w:lineRule="exact"/>
        <w:rPr>
          <w:sz w:val="20"/>
          <w:szCs w:val="20"/>
          <w:color w:val="auto"/>
        </w:rPr>
      </w:pPr>
    </w:p>
    <w:p>
      <w:pPr>
        <w:ind w:right="20"/>
        <w:spacing w:after="0" w:line="245" w:lineRule="auto"/>
        <w:rPr>
          <w:sz w:val="20"/>
          <w:szCs w:val="20"/>
          <w:color w:val="auto"/>
        </w:rPr>
      </w:pPr>
      <w:r>
        <w:rPr>
          <w:rFonts w:ascii="Arial" w:cs="Arial" w:eastAsia="Arial" w:hAnsi="Arial"/>
          <w:sz w:val="14"/>
          <w:szCs w:val="14"/>
          <w:color w:val="auto"/>
        </w:rPr>
        <w:t>The Committee was briefed on the impact of the significant decline in discount rates on the assumptions used in the measurement of Shell’s retirement benefit obligations at the year end and the consequential increase in the net liability during 2014. Assurance on this was provided by our external actuaries. See Notes 3 and 17 to the “Consolidated Financial Statements”.</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color w:val="auto"/>
        </w:rPr>
        <w:t>EXTERNAL AUDITOR</w:t>
      </w:r>
    </w:p>
    <w:p>
      <w:pPr>
        <w:spacing w:after="0" w:line="1" w:lineRule="exact"/>
        <w:rPr>
          <w:sz w:val="20"/>
          <w:szCs w:val="20"/>
          <w:color w:val="auto"/>
        </w:rPr>
      </w:pPr>
    </w:p>
    <w:p>
      <w:pPr>
        <w:spacing w:after="0" w:line="243" w:lineRule="auto"/>
        <w:rPr>
          <w:sz w:val="20"/>
          <w:szCs w:val="20"/>
          <w:color w:val="auto"/>
        </w:rPr>
      </w:pPr>
      <w:r>
        <w:rPr>
          <w:rFonts w:ascii="Arial" w:cs="Arial" w:eastAsia="Arial" w:hAnsi="Arial"/>
          <w:sz w:val="14"/>
          <w:szCs w:val="14"/>
          <w:color w:val="auto"/>
        </w:rPr>
        <w:t>During 2014, the Committee evaluated the effectiveness of the external auditor, PricewaterhouseCoopers LLP (PwC), and the external audit process, taking into account the results of Shell management’s internal survey relating to the external auditor’s performance as well as management’s review and recommendations and its own experiences with the external auditor. Key criteria of the evaluation included: professionalism in areas including competence, integrity and objectivity; efficiency, covering aspects such as service level and cost efficiency; thought leadership and value added; and compliance with relevant legislative, regulatory and professional requirements. PwC appointed a new lead partner in 2014 as his predecessor had completed five years in the role.</w:t>
      </w:r>
    </w:p>
    <w:p>
      <w:pPr>
        <w:spacing w:after="0" w:line="166" w:lineRule="exact"/>
        <w:rPr>
          <w:sz w:val="20"/>
          <w:szCs w:val="20"/>
          <w:color w:val="auto"/>
        </w:rPr>
      </w:pPr>
    </w:p>
    <w:p>
      <w:pPr>
        <w:ind w:right="40"/>
        <w:spacing w:after="0" w:line="250" w:lineRule="auto"/>
        <w:rPr>
          <w:sz w:val="20"/>
          <w:szCs w:val="20"/>
          <w:color w:val="auto"/>
        </w:rPr>
      </w:pPr>
      <w:r>
        <w:rPr>
          <w:rFonts w:ascii="Arial" w:cs="Arial" w:eastAsia="Arial" w:hAnsi="Arial"/>
          <w:sz w:val="14"/>
          <w:szCs w:val="14"/>
          <w:color w:val="auto"/>
        </w:rPr>
        <w:t>Following due consideration, the Committee recommended to the Board that PwC be reappointed for the year ended December 31, 2014. There were no contractual obligations that restricted the Committee’s ability to make such a recommendation.</w:t>
      </w:r>
    </w:p>
    <w:p>
      <w:pPr>
        <w:spacing w:after="0" w:line="172" w:lineRule="exact"/>
        <w:rPr>
          <w:sz w:val="20"/>
          <w:szCs w:val="20"/>
          <w:color w:val="auto"/>
        </w:rPr>
      </w:pPr>
    </w:p>
    <w:p>
      <w:pPr>
        <w:ind w:right="240"/>
        <w:spacing w:after="0" w:line="258" w:lineRule="auto"/>
        <w:rPr>
          <w:sz w:val="20"/>
          <w:szCs w:val="20"/>
          <w:color w:val="auto"/>
        </w:rPr>
      </w:pPr>
      <w:r>
        <w:rPr>
          <w:rFonts w:ascii="Arial" w:cs="Arial" w:eastAsia="Arial" w:hAnsi="Arial"/>
          <w:sz w:val="14"/>
          <w:szCs w:val="14"/>
          <w:color w:val="auto"/>
        </w:rPr>
        <w:t>As required under UK and US auditing standards, the Committee received a letter from the external auditor confirming its independence.</w:t>
      </w:r>
    </w:p>
    <w:p>
      <w:pPr>
        <w:spacing w:after="0" w:line="154" w:lineRule="exact"/>
        <w:rPr>
          <w:sz w:val="20"/>
          <w:szCs w:val="20"/>
          <w:color w:val="auto"/>
        </w:rPr>
      </w:pPr>
    </w:p>
    <w:p>
      <w:pPr>
        <w:spacing w:after="0" w:line="243" w:lineRule="auto"/>
        <w:rPr>
          <w:sz w:val="20"/>
          <w:szCs w:val="20"/>
          <w:color w:val="auto"/>
        </w:rPr>
      </w:pPr>
      <w:r>
        <w:rPr>
          <w:rFonts w:ascii="Arial" w:cs="Arial" w:eastAsia="Arial" w:hAnsi="Arial"/>
          <w:sz w:val="14"/>
          <w:szCs w:val="14"/>
          <w:color w:val="auto"/>
        </w:rPr>
        <w:t>The last competitive audit tender was in 2005 when PwC was appointed as auditor of the Company. Following the Company’s decision in 2013 to start the tender process for the appointment of the external auditor, a market assessment was carried out in 2014 to identify suitable, appropriately experienced candidates to participate in the tender. A request for those selected to submit their proposal was sent out towards the end of the year. The tender advisory committee, chaired by the Chairman of the Audit Committee, monitors, provides advice and reports to the Audit Committee in respect of the tender process, and has engagements with the potential external auditor candidates. The Audit Committee expects to be in a position to make a recommendation to the Board to enable the Board to decide in mid-2015 which firm it will propose to be appointed as the external auditor at the 2016 AGM in respect of the 2016 financial year.</w:t>
      </w: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color w:val="auto"/>
        </w:rPr>
        <w:t>NON-AUDIT SERVICES</w:t>
      </w:r>
    </w:p>
    <w:p>
      <w:pPr>
        <w:spacing w:after="0" w:line="1" w:lineRule="exact"/>
        <w:rPr>
          <w:sz w:val="20"/>
          <w:szCs w:val="20"/>
          <w:color w:val="auto"/>
        </w:rPr>
      </w:pPr>
    </w:p>
    <w:p>
      <w:pPr>
        <w:ind w:right="100"/>
        <w:spacing w:after="0" w:line="247" w:lineRule="auto"/>
        <w:rPr>
          <w:sz w:val="20"/>
          <w:szCs w:val="20"/>
          <w:color w:val="auto"/>
        </w:rPr>
      </w:pPr>
      <w:r>
        <w:rPr>
          <w:rFonts w:ascii="Arial" w:cs="Arial" w:eastAsia="Arial" w:hAnsi="Arial"/>
          <w:sz w:val="14"/>
          <w:szCs w:val="14"/>
          <w:color w:val="auto"/>
        </w:rPr>
        <w:t>The Committee has adopted a policy on the engagement of the external auditor to supply non-audit services. This policy, designed to safeguard auditor objectivity and independence, includes guidelines on permitted and non-permitted services, and on services requiring specific approval by the Committee.</w:t>
      </w:r>
    </w:p>
    <w:p>
      <w:pPr>
        <w:spacing w:after="0" w:line="175" w:lineRule="exact"/>
        <w:rPr>
          <w:sz w:val="20"/>
          <w:szCs w:val="20"/>
          <w:color w:val="auto"/>
        </w:rPr>
      </w:pPr>
    </w:p>
    <w:p>
      <w:pPr>
        <w:ind w:right="60"/>
        <w:spacing w:after="0" w:line="247" w:lineRule="auto"/>
        <w:rPr>
          <w:sz w:val="20"/>
          <w:szCs w:val="20"/>
          <w:color w:val="auto"/>
        </w:rPr>
      </w:pPr>
      <w:r>
        <w:rPr>
          <w:rFonts w:ascii="Arial" w:cs="Arial" w:eastAsia="Arial" w:hAnsi="Arial"/>
          <w:sz w:val="14"/>
          <w:szCs w:val="14"/>
          <w:color w:val="auto"/>
        </w:rPr>
        <w:t>Examples of non-permitted services are actuarial services, bookkeeping services, valuation services (unless the services are unrelated to financial reporting), management or recruitment services, legal services and expert services unrelated to the audit, tax advice and broker or dealer, investment adviser or banking services.</w:t>
      </w:r>
    </w:p>
    <w:p>
      <w:pPr>
        <w:sectPr>
          <w:pgSz w:w="11900" w:h="16838" w:orient="portrait"/>
          <w:cols w:equalWidth="0" w:num="2">
            <w:col w:w="5480" w:space="300"/>
            <w:col w:w="5440"/>
          </w:cols>
          <w:pgMar w:left="240" w:top="459" w:right="439" w:bottom="1440" w:gutter="0" w:footer="0" w:header="0"/>
          <w:type w:val="continuous"/>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300355</wp:posOffset>
            </wp:positionV>
            <wp:extent cx="3627755" cy="46291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3627755" cy="462915"/>
                    </a:xfrm>
                    <a:prstGeom prst="rect">
                      <a:avLst/>
                    </a:prstGeom>
                    <a:noFill/>
                  </pic:spPr>
                </pic:pic>
              </a:graphicData>
            </a:graphic>
          </wp:anchor>
        </w:drawing>
      </w:r>
    </w:p>
    <w:p>
      <w:pPr>
        <w:spacing w:after="0" w:line="200" w:lineRule="exact"/>
        <w:rPr>
          <w:sz w:val="20"/>
          <w:szCs w:val="20"/>
          <w:color w:val="auto"/>
        </w:rPr>
      </w:pP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419"/>
        </w:trPr>
        <w:tc>
          <w:tcPr>
            <w:tcW w:w="2260" w:type="dxa"/>
            <w:vAlign w:val="bottom"/>
            <w:shd w:val="clear" w:color="auto" w:fill="FF8B00"/>
          </w:tcPr>
          <w:p>
            <w:pPr>
              <w:spacing w:after="0"/>
              <w:rPr>
                <w:sz w:val="24"/>
                <w:szCs w:val="24"/>
                <w:color w:val="auto"/>
              </w:rPr>
            </w:pPr>
          </w:p>
        </w:tc>
        <w:tc>
          <w:tcPr>
            <w:tcW w:w="3460" w:type="dxa"/>
            <w:vAlign w:val="bottom"/>
            <w:shd w:val="clear" w:color="auto" w:fill="FF8B00"/>
          </w:tcPr>
          <w:p>
            <w:pPr>
              <w:spacing w:after="0"/>
              <w:rPr>
                <w:sz w:val="24"/>
                <w:szCs w:val="24"/>
                <w:color w:val="auto"/>
              </w:rPr>
            </w:pPr>
          </w:p>
        </w:tc>
      </w:tr>
      <w:tr>
        <w:trPr>
          <w:trHeight w:val="152"/>
        </w:trPr>
        <w:tc>
          <w:tcPr>
            <w:tcW w:w="2260" w:type="dxa"/>
            <w:vAlign w:val="bottom"/>
          </w:tcPr>
          <w:p>
            <w:pPr>
              <w:jc w:val="right"/>
              <w:ind w:right="1726"/>
              <w:spacing w:after="0"/>
              <w:rPr>
                <w:sz w:val="20"/>
                <w:szCs w:val="20"/>
                <w:color w:val="auto"/>
              </w:rPr>
            </w:pPr>
            <w:r>
              <w:rPr>
                <w:rFonts w:ascii="Arial" w:cs="Arial" w:eastAsia="Arial" w:hAnsi="Arial"/>
                <w:sz w:val="11"/>
                <w:szCs w:val="11"/>
                <w:b w:val="1"/>
                <w:bCs w:val="1"/>
                <w:color w:val="333333"/>
              </w:rPr>
              <w:t>78</w:t>
            </w:r>
          </w:p>
        </w:tc>
        <w:tc>
          <w:tcPr>
            <w:tcW w:w="3460" w:type="dxa"/>
            <w:vAlign w:val="bottom"/>
          </w:tcPr>
          <w:p>
            <w:pPr>
              <w:ind w:left="1780"/>
              <w:spacing w:after="0"/>
              <w:rPr>
                <w:sz w:val="20"/>
                <w:szCs w:val="20"/>
                <w:color w:val="auto"/>
              </w:rPr>
            </w:pPr>
            <w:r>
              <w:rPr>
                <w:rFonts w:ascii="Arial" w:cs="Arial" w:eastAsia="Arial" w:hAnsi="Arial"/>
                <w:sz w:val="13"/>
                <w:szCs w:val="13"/>
                <w:color w:val="333333"/>
              </w:rPr>
              <w:t>GOVERNANCE</w:t>
            </w:r>
          </w:p>
        </w:tc>
      </w:tr>
    </w:tbl>
    <w:p>
      <w:pPr>
        <w:spacing w:after="0" w:line="155" w:lineRule="exact"/>
        <w:rPr>
          <w:sz w:val="20"/>
          <w:szCs w:val="20"/>
          <w:color w:val="auto"/>
        </w:rPr>
      </w:pPr>
    </w:p>
    <w:p>
      <w:pPr>
        <w:ind w:left="3460"/>
        <w:spacing w:after="0"/>
        <w:rPr>
          <w:sz w:val="20"/>
          <w:szCs w:val="20"/>
          <w:color w:val="auto"/>
        </w:rPr>
      </w:pPr>
      <w:r>
        <w:rPr>
          <w:rFonts w:ascii="Arial" w:cs="Arial" w:eastAsia="Arial" w:hAnsi="Arial"/>
          <w:sz w:val="11"/>
          <w:szCs w:val="11"/>
          <w:color w:val="auto"/>
        </w:rPr>
        <w:t>AUDIT COMMITTEE REPORT</w:t>
      </w:r>
    </w:p>
    <w:p>
      <w:pPr>
        <w:spacing w:after="0" w:line="48" w:lineRule="exact"/>
        <w:rPr>
          <w:sz w:val="20"/>
          <w:szCs w:val="20"/>
          <w:color w:val="auto"/>
        </w:rPr>
      </w:pPr>
    </w:p>
    <w:p>
      <w:pPr>
        <w:spacing w:after="0"/>
        <w:rPr>
          <w:sz w:val="20"/>
          <w:szCs w:val="20"/>
          <w:color w:val="auto"/>
        </w:rPr>
      </w:pPr>
      <w:r>
        <w:rPr>
          <w:rFonts w:ascii="Arial" w:cs="Arial" w:eastAsia="Arial" w:hAnsi="Arial"/>
          <w:sz w:val="24"/>
          <w:szCs w:val="24"/>
          <w:color w:val="auto"/>
        </w:rPr>
        <w:t xml:space="preserve">AUDIT COMMITTEE REPORT </w:t>
      </w:r>
      <w:r>
        <w:rPr>
          <w:rFonts w:ascii="Arial" w:cs="Arial" w:eastAsia="Arial" w:hAnsi="Arial"/>
          <w:sz w:val="24"/>
          <w:szCs w:val="24"/>
          <w:color w:val="666666"/>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3473450" cy="889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spacing w:after="0" w:line="199" w:lineRule="exact"/>
        <w:rPr>
          <w:sz w:val="20"/>
          <w:szCs w:val="20"/>
          <w:color w:val="auto"/>
        </w:rPr>
      </w:pPr>
    </w:p>
    <w:p>
      <w:pPr>
        <w:ind w:right="2840"/>
        <w:spacing w:after="0" w:line="243" w:lineRule="auto"/>
        <w:rPr>
          <w:sz w:val="20"/>
          <w:szCs w:val="20"/>
          <w:color w:val="auto"/>
        </w:rPr>
      </w:pPr>
      <w:r>
        <w:rPr>
          <w:rFonts w:ascii="Arial" w:cs="Arial" w:eastAsia="Arial" w:hAnsi="Arial"/>
          <w:sz w:val="14"/>
          <w:szCs w:val="14"/>
          <w:color w:val="auto"/>
        </w:rPr>
        <w:t>For other services, because of their knowledge, experience and/or for reasons of confidentiality, it can be more efficient or prudent to engage the external auditor rather than another party. Under the policy, permitted services must not present a conflict of interest. The Committee reviews quarterly reports from management on the extent of the permitted non-audit services provided in accordance with the policy or for which specific approval is being sought. Non-audit services in the following categories can be contracted without further individual prior approval provided the fee value for each contract does not exceed $500,000:</w:t>
      </w:r>
    </w:p>
    <w:p>
      <w:pPr>
        <w:spacing w:after="0" w:line="209" w:lineRule="exact"/>
        <w:rPr>
          <w:sz w:val="20"/>
          <w:szCs w:val="20"/>
          <w:color w:val="auto"/>
        </w:rPr>
      </w:pPr>
    </w:p>
    <w:p>
      <w:pPr>
        <w:ind w:left="180" w:right="3440" w:hanging="172"/>
        <w:spacing w:after="0" w:line="195" w:lineRule="auto"/>
        <w:tabs>
          <w:tab w:leader="none" w:pos="180" w:val="left"/>
        </w:tabs>
        <w:numPr>
          <w:ilvl w:val="0"/>
          <w:numId w:val="70"/>
        </w:numPr>
        <w:rPr>
          <w:rFonts w:ascii="Arial" w:cs="Arial" w:eastAsia="Arial" w:hAnsi="Arial"/>
          <w:sz w:val="24"/>
          <w:szCs w:val="24"/>
          <w:color w:val="auto"/>
          <w:vertAlign w:val="superscript"/>
        </w:rPr>
      </w:pPr>
      <w:r>
        <w:rPr>
          <w:rFonts w:ascii="Arial" w:cs="Arial" w:eastAsia="Arial" w:hAnsi="Arial"/>
          <w:sz w:val="14"/>
          <w:szCs w:val="14"/>
          <w:color w:val="auto"/>
        </w:rPr>
        <w:t>tax compliance work that is part of assurance process for the audit of the Consolidated or Parent Company Financial Statements or the accounts of subsidiaries;</w:t>
      </w:r>
    </w:p>
    <w:p>
      <w:pPr>
        <w:ind w:left="180" w:hanging="172"/>
        <w:spacing w:after="0" w:line="187" w:lineRule="auto"/>
        <w:tabs>
          <w:tab w:leader="none" w:pos="180" w:val="left"/>
        </w:tabs>
        <w:numPr>
          <w:ilvl w:val="0"/>
          <w:numId w:val="70"/>
        </w:numPr>
        <w:rPr>
          <w:rFonts w:ascii="Arial" w:cs="Arial" w:eastAsia="Arial" w:hAnsi="Arial"/>
          <w:sz w:val="18"/>
          <w:szCs w:val="18"/>
          <w:color w:val="auto"/>
          <w:vertAlign w:val="superscript"/>
        </w:rPr>
      </w:pPr>
      <w:r>
        <w:rPr>
          <w:rFonts w:ascii="Arial" w:cs="Arial" w:eastAsia="Arial" w:hAnsi="Arial"/>
          <w:sz w:val="11"/>
          <w:szCs w:val="11"/>
          <w:color w:val="auto"/>
        </w:rPr>
        <w:t>regulatory compliance audits; and</w:t>
      </w:r>
    </w:p>
    <w:p>
      <w:pPr>
        <w:ind w:left="180" w:hanging="172"/>
        <w:spacing w:after="0" w:line="189" w:lineRule="auto"/>
        <w:tabs>
          <w:tab w:leader="none" w:pos="180" w:val="left"/>
        </w:tabs>
        <w:numPr>
          <w:ilvl w:val="0"/>
          <w:numId w:val="70"/>
        </w:numPr>
        <w:rPr>
          <w:rFonts w:ascii="Arial" w:cs="Arial" w:eastAsia="Arial" w:hAnsi="Arial"/>
          <w:sz w:val="19"/>
          <w:szCs w:val="19"/>
          <w:color w:val="auto"/>
          <w:vertAlign w:val="superscript"/>
        </w:rPr>
      </w:pPr>
      <w:r>
        <w:rPr>
          <w:rFonts w:ascii="Arial" w:cs="Arial" w:eastAsia="Arial" w:hAnsi="Arial"/>
          <w:sz w:val="12"/>
          <w:szCs w:val="12"/>
          <w:color w:val="auto"/>
        </w:rPr>
        <w:t>verification of non-financial data for public disclosure.</w:t>
      </w:r>
    </w:p>
    <w:p>
      <w:pPr>
        <w:spacing w:after="0" w:line="166" w:lineRule="exact"/>
        <w:rPr>
          <w:sz w:val="20"/>
          <w:szCs w:val="20"/>
          <w:color w:val="auto"/>
        </w:rPr>
      </w:pPr>
    </w:p>
    <w:p>
      <w:pPr>
        <w:ind w:right="3000"/>
        <w:spacing w:after="0" w:line="258" w:lineRule="auto"/>
        <w:rPr>
          <w:sz w:val="20"/>
          <w:szCs w:val="20"/>
          <w:color w:val="auto"/>
        </w:rPr>
      </w:pPr>
      <w:r>
        <w:rPr>
          <w:rFonts w:ascii="Arial" w:cs="Arial" w:eastAsia="Arial" w:hAnsi="Arial"/>
          <w:sz w:val="14"/>
          <w:szCs w:val="14"/>
          <w:color w:val="auto"/>
        </w:rPr>
        <w:t>Any other non-audit services must be specifically approved by the Audit Committee before the external auditor is contracted.</w:t>
      </w:r>
    </w:p>
    <w:p>
      <w:pPr>
        <w:spacing w:after="0" w:line="154" w:lineRule="exact"/>
        <w:rPr>
          <w:sz w:val="20"/>
          <w:szCs w:val="20"/>
          <w:color w:val="auto"/>
        </w:rPr>
      </w:pPr>
    </w:p>
    <w:p>
      <w:pPr>
        <w:ind w:right="2940"/>
        <w:spacing w:after="0" w:line="250" w:lineRule="auto"/>
        <w:rPr>
          <w:sz w:val="20"/>
          <w:szCs w:val="20"/>
          <w:color w:val="auto"/>
        </w:rPr>
      </w:pPr>
      <w:r>
        <w:rPr>
          <w:rFonts w:ascii="Arial" w:cs="Arial" w:eastAsia="Arial" w:hAnsi="Arial"/>
          <w:sz w:val="14"/>
          <w:szCs w:val="14"/>
          <w:color w:val="auto"/>
        </w:rPr>
        <w:t>The scope of the permitted non-audit services contracted with the external auditor in 2014 consisted mainly of tax compliance work and the associated compensation amounted to 2% of total auditor’s remuneration.</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FEES</w:t>
      </w:r>
    </w:p>
    <w:p>
      <w:pPr>
        <w:spacing w:after="0" w:line="1" w:lineRule="exact"/>
        <w:rPr>
          <w:sz w:val="20"/>
          <w:szCs w:val="20"/>
          <w:color w:val="auto"/>
        </w:rPr>
      </w:pPr>
    </w:p>
    <w:p>
      <w:pPr>
        <w:ind w:right="2840"/>
        <w:spacing w:after="0" w:line="258" w:lineRule="auto"/>
        <w:rPr>
          <w:sz w:val="20"/>
          <w:szCs w:val="20"/>
          <w:color w:val="auto"/>
        </w:rPr>
      </w:pPr>
      <w:r>
        <w:rPr>
          <w:rFonts w:ascii="Arial" w:cs="Arial" w:eastAsia="Arial" w:hAnsi="Arial"/>
          <w:sz w:val="14"/>
          <w:szCs w:val="14"/>
          <w:color w:val="auto"/>
        </w:rPr>
        <w:t>Note 28 to the “Consolidated Financial Statements” provides the detail of the auditor’s remuneration.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Arial" w:cs="Arial" w:eastAsia="Arial" w:hAnsi="Arial"/>
          <w:sz w:val="10"/>
          <w:szCs w:val="10"/>
          <w:color w:val="auto"/>
        </w:rPr>
        <w:t>SHELL ANNUAL REPORT AND FORM 20-F 2014</w:t>
      </w:r>
    </w:p>
    <w:p>
      <w:pPr>
        <w:sectPr>
          <w:pgSz w:w="11900" w:h="16838" w:orient="portrait"/>
          <w:cols w:equalWidth="0" w:num="2">
            <w:col w:w="8300" w:space="720"/>
            <w:col w:w="2400"/>
          </w:cols>
          <w:pgMar w:left="240" w:top="459" w:right="23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1"/>
          <w:szCs w:val="11"/>
          <w:color w:val="auto"/>
        </w:rPr>
        <w:t>SHELL ANNUAL REPORT AND FORM 20-F 2014</w:t>
      </w:r>
    </w:p>
    <w:p>
      <w:pPr>
        <w:spacing w:after="0" w:line="59" w:lineRule="exact"/>
        <w:rPr>
          <w:sz w:val="20"/>
          <w:szCs w:val="20"/>
          <w:color w:val="auto"/>
        </w:rPr>
      </w:pPr>
    </w:p>
    <w:p>
      <w:pPr>
        <w:ind w:right="1040"/>
        <w:spacing w:after="0" w:line="253" w:lineRule="auto"/>
        <w:rPr>
          <w:sz w:val="20"/>
          <w:szCs w:val="20"/>
          <w:color w:val="auto"/>
        </w:rPr>
      </w:pPr>
      <w:r>
        <w:rPr>
          <w:rFonts w:ascii="Arial" w:cs="Arial" w:eastAsia="Arial" w:hAnsi="Arial"/>
          <w:sz w:val="31"/>
          <w:szCs w:val="31"/>
          <w:color w:val="auto"/>
        </w:rPr>
        <w:t>DIRECTORS’ REMUNERATION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3473450" cy="889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color w:val="auto"/>
        </w:rPr>
        <w:t>Principles</w:t>
      </w:r>
    </w:p>
    <w:p>
      <w:pPr>
        <w:spacing w:after="0" w:line="1" w:lineRule="exact"/>
        <w:rPr>
          <w:sz w:val="20"/>
          <w:szCs w:val="20"/>
          <w:color w:val="auto"/>
        </w:rPr>
      </w:pPr>
    </w:p>
    <w:p>
      <w:pPr>
        <w:ind w:right="200"/>
        <w:spacing w:after="0" w:line="250" w:lineRule="auto"/>
        <w:rPr>
          <w:sz w:val="20"/>
          <w:szCs w:val="20"/>
          <w:color w:val="auto"/>
        </w:rPr>
      </w:pPr>
      <w:r>
        <w:rPr>
          <w:rFonts w:ascii="Arial" w:cs="Arial" w:eastAsia="Arial" w:hAnsi="Arial"/>
          <w:sz w:val="14"/>
          <w:szCs w:val="14"/>
          <w:color w:val="auto"/>
        </w:rPr>
        <w:t>The principles underpinning the Remuneration Committee’s (REMCO) approach to executive remuneration remain unchanged. They serve as the foundation for everything we do, and are listed below.</w:t>
      </w:r>
    </w:p>
    <w:p>
      <w:pPr>
        <w:spacing w:after="0" w:line="199" w:lineRule="exact"/>
        <w:rPr>
          <w:sz w:val="20"/>
          <w:szCs w:val="20"/>
          <w:color w:val="auto"/>
        </w:rPr>
      </w:pPr>
    </w:p>
    <w:p>
      <w:pPr>
        <w:jc w:val="both"/>
        <w:ind w:left="180" w:right="220" w:hanging="172"/>
        <w:spacing w:after="0" w:line="195" w:lineRule="auto"/>
        <w:tabs>
          <w:tab w:leader="none" w:pos="180" w:val="left"/>
        </w:tabs>
        <w:numPr>
          <w:ilvl w:val="0"/>
          <w:numId w:val="71"/>
        </w:numPr>
        <w:rPr>
          <w:rFonts w:ascii="Arial" w:cs="Arial" w:eastAsia="Arial" w:hAnsi="Arial"/>
          <w:sz w:val="24"/>
          <w:szCs w:val="24"/>
          <w:color w:val="auto"/>
          <w:vertAlign w:val="superscript"/>
        </w:rPr>
      </w:pPr>
      <w:r>
        <w:rPr>
          <w:rFonts w:ascii="Arial" w:cs="Arial" w:eastAsia="Arial" w:hAnsi="Arial"/>
          <w:sz w:val="14"/>
          <w:szCs w:val="14"/>
          <w:color w:val="auto"/>
        </w:rPr>
        <w:t>Alignment with Shell’s strategy: the Executive Directors’ compensation package should be strongly linked to the achievement of stretch targets that are seen as indicators of the execution of Shell’s strategy.</w:t>
      </w:r>
    </w:p>
    <w:p>
      <w:pPr>
        <w:ind w:left="180" w:right="60" w:hanging="172"/>
        <w:spacing w:after="0" w:line="195" w:lineRule="auto"/>
        <w:tabs>
          <w:tab w:leader="none" w:pos="180" w:val="left"/>
        </w:tabs>
        <w:numPr>
          <w:ilvl w:val="0"/>
          <w:numId w:val="71"/>
        </w:numPr>
        <w:rPr>
          <w:rFonts w:ascii="Arial" w:cs="Arial" w:eastAsia="Arial" w:hAnsi="Arial"/>
          <w:sz w:val="24"/>
          <w:szCs w:val="24"/>
          <w:color w:val="auto"/>
          <w:vertAlign w:val="superscript"/>
        </w:rPr>
      </w:pPr>
      <w:r>
        <w:rPr>
          <w:rFonts w:ascii="Arial" w:cs="Arial" w:eastAsia="Arial" w:hAnsi="Arial"/>
          <w:sz w:val="14"/>
          <w:szCs w:val="14"/>
          <w:color w:val="auto"/>
        </w:rPr>
        <w:t>Pay for performance: the majority of Executive Directors’ compensation (excluding benefits and pension) should be linked directly to Shell’s performance through variable pay instruments.</w:t>
      </w:r>
    </w:p>
    <w:p>
      <w:pPr>
        <w:ind w:left="180" w:right="460" w:hanging="172"/>
        <w:spacing w:after="0" w:line="182" w:lineRule="auto"/>
        <w:tabs>
          <w:tab w:leader="none" w:pos="180" w:val="left"/>
        </w:tabs>
        <w:numPr>
          <w:ilvl w:val="0"/>
          <w:numId w:val="71"/>
        </w:numPr>
        <w:rPr>
          <w:rFonts w:ascii="Arial" w:cs="Arial" w:eastAsia="Arial" w:hAnsi="Arial"/>
          <w:sz w:val="23"/>
          <w:szCs w:val="23"/>
          <w:color w:val="auto"/>
          <w:vertAlign w:val="superscript"/>
        </w:rPr>
      </w:pPr>
      <w:r>
        <w:rPr>
          <w:rFonts w:ascii="Arial" w:cs="Arial" w:eastAsia="Arial" w:hAnsi="Arial"/>
          <w:sz w:val="14"/>
          <w:szCs w:val="14"/>
          <w:color w:val="auto"/>
        </w:rPr>
        <w:t>Competitiveness: remuneration levels should be determined by reference to companies of comparable size, complexity and global scope.</w:t>
      </w:r>
    </w:p>
    <w:p>
      <w:pPr>
        <w:spacing w:after="0" w:line="1" w:lineRule="exact"/>
        <w:rPr>
          <w:rFonts w:ascii="Arial" w:cs="Arial" w:eastAsia="Arial" w:hAnsi="Arial"/>
          <w:sz w:val="23"/>
          <w:szCs w:val="23"/>
          <w:color w:val="auto"/>
          <w:vertAlign w:val="superscript"/>
        </w:rPr>
      </w:pPr>
    </w:p>
    <w:p>
      <w:pPr>
        <w:ind w:left="180" w:right="20" w:hanging="172"/>
        <w:spacing w:after="0" w:line="195" w:lineRule="auto"/>
        <w:tabs>
          <w:tab w:leader="none" w:pos="180" w:val="left"/>
        </w:tabs>
        <w:numPr>
          <w:ilvl w:val="0"/>
          <w:numId w:val="71"/>
        </w:numPr>
        <w:rPr>
          <w:rFonts w:ascii="Arial" w:cs="Arial" w:eastAsia="Arial" w:hAnsi="Arial"/>
          <w:sz w:val="24"/>
          <w:szCs w:val="24"/>
          <w:color w:val="auto"/>
          <w:vertAlign w:val="superscript"/>
        </w:rPr>
      </w:pPr>
      <w:r>
        <w:rPr>
          <w:rFonts w:ascii="Arial" w:cs="Arial" w:eastAsia="Arial" w:hAnsi="Arial"/>
          <w:sz w:val="14"/>
          <w:szCs w:val="14"/>
          <w:color w:val="auto"/>
        </w:rPr>
        <w:t>Long-term creation of shareholder value: Executive Directors should align their interests with those of shareholders by holding shares in Royal Dutch Shell plc (the Company).</w:t>
      </w:r>
    </w:p>
    <w:p>
      <w:pPr>
        <w:ind w:left="180" w:hanging="172"/>
        <w:spacing w:after="0" w:line="204" w:lineRule="auto"/>
        <w:tabs>
          <w:tab w:leader="none" w:pos="180" w:val="left"/>
        </w:tabs>
        <w:numPr>
          <w:ilvl w:val="0"/>
          <w:numId w:val="71"/>
        </w:numPr>
        <w:rPr>
          <w:rFonts w:ascii="Arial" w:cs="Arial" w:eastAsia="Arial" w:hAnsi="Arial"/>
          <w:sz w:val="24"/>
          <w:szCs w:val="24"/>
          <w:color w:val="auto"/>
          <w:vertAlign w:val="superscript"/>
        </w:rPr>
      </w:pPr>
      <w:r>
        <w:rPr>
          <w:rFonts w:ascii="Arial" w:cs="Arial" w:eastAsia="Arial" w:hAnsi="Arial"/>
          <w:sz w:val="14"/>
          <w:szCs w:val="14"/>
          <w:color w:val="auto"/>
        </w:rPr>
        <w:t>Consistency: the remuneration structure for Executive Directors should generally be consistent with that for the Senior Management of Shell. This consistency builds a culture of alignment with Shell’s purpose and a common approach to sharing in Shell’s success.</w:t>
      </w:r>
    </w:p>
    <w:p>
      <w:pPr>
        <w:spacing w:after="0" w:line="3" w:lineRule="exact"/>
        <w:rPr>
          <w:rFonts w:ascii="Arial" w:cs="Arial" w:eastAsia="Arial" w:hAnsi="Arial"/>
          <w:sz w:val="24"/>
          <w:szCs w:val="24"/>
          <w:color w:val="auto"/>
          <w:vertAlign w:val="superscript"/>
        </w:rPr>
      </w:pPr>
    </w:p>
    <w:p>
      <w:pPr>
        <w:ind w:left="180" w:hanging="172"/>
        <w:spacing w:after="0" w:line="204" w:lineRule="auto"/>
        <w:tabs>
          <w:tab w:leader="none" w:pos="180" w:val="left"/>
        </w:tabs>
        <w:numPr>
          <w:ilvl w:val="0"/>
          <w:numId w:val="71"/>
        </w:numPr>
        <w:rPr>
          <w:rFonts w:ascii="Arial" w:cs="Arial" w:eastAsia="Arial" w:hAnsi="Arial"/>
          <w:sz w:val="24"/>
          <w:szCs w:val="24"/>
          <w:color w:val="auto"/>
          <w:vertAlign w:val="superscript"/>
        </w:rPr>
      </w:pPr>
      <w:r>
        <w:rPr>
          <w:rFonts w:ascii="Arial" w:cs="Arial" w:eastAsia="Arial" w:hAnsi="Arial"/>
          <w:sz w:val="14"/>
          <w:szCs w:val="14"/>
          <w:color w:val="auto"/>
        </w:rPr>
        <w:t>Compliance: decisions should be made in the context of the Shell General Business Principles and REMCO should ensure compliance with applicable laws and corporate governance requirements when designing and implementing policies and plans.</w:t>
      </w:r>
    </w:p>
    <w:p>
      <w:pPr>
        <w:spacing w:after="0" w:line="3" w:lineRule="exact"/>
        <w:rPr>
          <w:rFonts w:ascii="Arial" w:cs="Arial" w:eastAsia="Arial" w:hAnsi="Arial"/>
          <w:sz w:val="24"/>
          <w:szCs w:val="24"/>
          <w:color w:val="auto"/>
          <w:vertAlign w:val="superscript"/>
        </w:rPr>
      </w:pPr>
    </w:p>
    <w:p>
      <w:pPr>
        <w:ind w:left="180" w:right="220" w:hanging="172"/>
        <w:spacing w:after="0" w:line="199" w:lineRule="auto"/>
        <w:tabs>
          <w:tab w:leader="none" w:pos="180" w:val="left"/>
        </w:tabs>
        <w:numPr>
          <w:ilvl w:val="0"/>
          <w:numId w:val="71"/>
        </w:numPr>
        <w:rPr>
          <w:rFonts w:ascii="Arial" w:cs="Arial" w:eastAsia="Arial" w:hAnsi="Arial"/>
          <w:sz w:val="24"/>
          <w:szCs w:val="24"/>
          <w:color w:val="auto"/>
          <w:vertAlign w:val="superscript"/>
        </w:rPr>
      </w:pPr>
      <w:r>
        <w:rPr>
          <w:rFonts w:ascii="Arial" w:cs="Arial" w:eastAsia="Arial" w:hAnsi="Arial"/>
          <w:sz w:val="14"/>
          <w:szCs w:val="14"/>
          <w:color w:val="auto"/>
        </w:rPr>
        <w:t>Risk assessment: the remuneration structures and rewards should meet risk-assessment tests to ensure that shareholder interests are safeguarded and that inappropriate actions are avoided.</w:t>
      </w:r>
    </w:p>
    <w:p>
      <w:pPr>
        <w:spacing w:after="0" w:line="160" w:lineRule="exact"/>
        <w:rPr>
          <w:sz w:val="20"/>
          <w:szCs w:val="20"/>
          <w:color w:val="auto"/>
        </w:rPr>
      </w:pPr>
    </w:p>
    <w:p>
      <w:pPr>
        <w:ind w:right="480"/>
        <w:spacing w:after="0" w:line="246" w:lineRule="auto"/>
        <w:rPr>
          <w:sz w:val="20"/>
          <w:szCs w:val="20"/>
          <w:color w:val="auto"/>
        </w:rPr>
      </w:pPr>
      <w:r>
        <w:rPr>
          <w:rFonts w:ascii="Arial" w:cs="Arial" w:eastAsia="Arial" w:hAnsi="Arial"/>
          <w:sz w:val="18"/>
          <w:szCs w:val="18"/>
          <w:color w:val="auto"/>
        </w:rPr>
        <w:t>STATEMENT BY THE CHAIRMAN OF THE REMUNERATION COMMITTEE</w:t>
      </w:r>
    </w:p>
    <w:p>
      <w:pPr>
        <w:spacing w:after="0" w:line="176" w:lineRule="exact"/>
        <w:rPr>
          <w:sz w:val="20"/>
          <w:szCs w:val="20"/>
          <w:color w:val="auto"/>
        </w:rPr>
      </w:pPr>
    </w:p>
    <w:p>
      <w:pPr>
        <w:spacing w:after="0"/>
        <w:rPr>
          <w:sz w:val="20"/>
          <w:szCs w:val="20"/>
          <w:color w:val="auto"/>
        </w:rPr>
      </w:pPr>
      <w:r>
        <w:rPr>
          <w:rFonts w:ascii="Arial" w:cs="Arial" w:eastAsia="Arial" w:hAnsi="Arial"/>
          <w:sz w:val="14"/>
          <w:szCs w:val="14"/>
          <w:color w:val="auto"/>
        </w:rPr>
        <w:t>Dear Shareholders,</w:t>
      </w:r>
    </w:p>
    <w:p>
      <w:pPr>
        <w:spacing w:after="0" w:line="177" w:lineRule="exact"/>
        <w:rPr>
          <w:sz w:val="20"/>
          <w:szCs w:val="20"/>
          <w:color w:val="auto"/>
        </w:rPr>
      </w:pPr>
    </w:p>
    <w:p>
      <w:pPr>
        <w:ind w:right="240"/>
        <w:spacing w:after="0" w:line="247" w:lineRule="auto"/>
        <w:rPr>
          <w:sz w:val="20"/>
          <w:szCs w:val="20"/>
          <w:color w:val="auto"/>
        </w:rPr>
      </w:pPr>
      <w:r>
        <w:rPr>
          <w:rFonts w:ascii="Arial" w:cs="Arial" w:eastAsia="Arial" w:hAnsi="Arial"/>
          <w:sz w:val="14"/>
          <w:szCs w:val="14"/>
          <w:color w:val="auto"/>
        </w:rPr>
        <w:t>As the new REMCO Chairman, I am pleased to present Shell’s 2014 Directors’ Remuneration Report. I outline below our performance and remuneration determinations, all of which have been made in the context of REMCO’s long-held remuneration principles, noted above, which I endorse.</w:t>
      </w:r>
    </w:p>
    <w:p>
      <w:pPr>
        <w:spacing w:after="0" w:line="147" w:lineRule="exact"/>
        <w:rPr>
          <w:sz w:val="20"/>
          <w:szCs w:val="20"/>
          <w:color w:val="auto"/>
        </w:rPr>
      </w:pPr>
    </w:p>
    <w:p>
      <w:pPr>
        <w:spacing w:after="0"/>
        <w:rPr>
          <w:sz w:val="20"/>
          <w:szCs w:val="20"/>
          <w:color w:val="auto"/>
        </w:rPr>
      </w:pPr>
      <w:r>
        <w:rPr>
          <w:rFonts w:ascii="Arial" w:cs="Arial" w:eastAsia="Arial" w:hAnsi="Arial"/>
          <w:sz w:val="13"/>
          <w:szCs w:val="13"/>
          <w:color w:val="auto"/>
        </w:rPr>
        <w:t>PERFORMANCE</w:t>
      </w:r>
    </w:p>
    <w:p>
      <w:pPr>
        <w:ind w:right="60"/>
        <w:spacing w:after="0" w:line="243" w:lineRule="auto"/>
        <w:rPr>
          <w:sz w:val="20"/>
          <w:szCs w:val="20"/>
          <w:color w:val="auto"/>
        </w:rPr>
      </w:pPr>
      <w:r>
        <w:rPr>
          <w:rFonts w:ascii="Arial" w:cs="Arial" w:eastAsia="Arial" w:hAnsi="Arial"/>
          <w:sz w:val="14"/>
          <w:szCs w:val="14"/>
          <w:color w:val="auto"/>
        </w:rPr>
        <w:t>2014 saw successful delivery of our financial, operational excellence and sustainable development agendas. Cash flow from operations was ahead of target at $45 billion. There was strong operational performance across our businesses. Major projects came on-line as planned, with four new deep-water start-ups contributing to our cash flow. Liquefied natural gas (LNG) sales and refinery and chemical plant availability were ahead of target. Our safety record continued to improve, with total recordable case frequency reduced to below one injury per million working hours. REMCO was therefore pleased to approve an annual bonus scorecard outcome of 1.45.</w:t>
      </w:r>
    </w:p>
    <w:p>
      <w:pPr>
        <w:spacing w:after="0" w:line="182" w:lineRule="exact"/>
        <w:rPr>
          <w:sz w:val="20"/>
          <w:szCs w:val="20"/>
          <w:color w:val="auto"/>
        </w:rPr>
      </w:pPr>
    </w:p>
    <w:p>
      <w:pPr>
        <w:spacing w:after="0" w:line="244" w:lineRule="auto"/>
        <w:rPr>
          <w:sz w:val="20"/>
          <w:szCs w:val="20"/>
          <w:color w:val="auto"/>
        </w:rPr>
      </w:pPr>
      <w:r>
        <w:rPr>
          <w:rFonts w:ascii="Arial" w:cs="Arial" w:eastAsia="Arial" w:hAnsi="Arial"/>
          <w:sz w:val="14"/>
          <w:szCs w:val="14"/>
          <w:color w:val="auto"/>
        </w:rPr>
        <w:t>Shell has improved its competitive position in the oil and gas industry with strong relative three-year performance in production and cash flow, and median earnings per share (EPS) performance. The three-year total shareholder return (TSR) was disappointing. As a result, the 2012 Long-term Incentive Plan (LTIP) award vested below target at 84% (or 42% of the maximum) and the Chief Executive Officer’s (CEO) 2012 Performance Share Plan (PSP) award (which was granted to him prior to being appointed a Director) vested at 97% (or 49% of the maximum).</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spacing w:after="0" w:line="1" w:lineRule="exact"/>
        <w:rPr>
          <w:sz w:val="1"/>
          <w:szCs w:val="1"/>
          <w:color w:val="auto"/>
        </w:rPr>
      </w:pPr>
    </w:p>
    <w:tbl>
      <w:tblPr>
        <w:tblLayout w:type="fixed"/>
        <w:tblInd w:w="740" w:type="dxa"/>
        <w:tblCellMar>
          <w:top w:w="0" w:type="dxa"/>
          <w:left w:w="0" w:type="dxa"/>
          <w:bottom w:w="0" w:type="dxa"/>
          <w:right w:w="0" w:type="dxa"/>
        </w:tblCellMar>
      </w:tblPr>
      <w:tr>
        <w:trPr>
          <w:trHeight w:val="161"/>
        </w:trPr>
        <w:tc>
          <w:tcPr>
            <w:tcW w:w="2580" w:type="dxa"/>
            <w:vAlign w:val="bottom"/>
          </w:tcPr>
          <w:p>
            <w:pPr>
              <w:spacing w:after="0"/>
              <w:rPr>
                <w:sz w:val="20"/>
                <w:szCs w:val="20"/>
                <w:color w:val="auto"/>
              </w:rPr>
            </w:pPr>
            <w:r>
              <w:rPr>
                <w:rFonts w:ascii="Arial" w:cs="Arial" w:eastAsia="Arial" w:hAnsi="Arial"/>
                <w:sz w:val="13"/>
                <w:szCs w:val="13"/>
                <w:color w:val="333333"/>
              </w:rPr>
              <w:t>GOVERNANCE</w:t>
            </w:r>
          </w:p>
        </w:tc>
        <w:tc>
          <w:tcPr>
            <w:tcW w:w="1820" w:type="dxa"/>
            <w:vAlign w:val="bottom"/>
          </w:tcPr>
          <w:p>
            <w:pPr>
              <w:jc w:val="right"/>
              <w:spacing w:after="0"/>
              <w:rPr>
                <w:sz w:val="20"/>
                <w:szCs w:val="20"/>
                <w:color w:val="auto"/>
              </w:rPr>
            </w:pPr>
            <w:r>
              <w:rPr>
                <w:rFonts w:ascii="Arial" w:cs="Arial" w:eastAsia="Arial" w:hAnsi="Arial"/>
                <w:sz w:val="11"/>
                <w:szCs w:val="11"/>
                <w:b w:val="1"/>
                <w:bCs w:val="1"/>
                <w:color w:val="333333"/>
              </w:rPr>
              <w:t>79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-3677285</wp:posOffset>
            </wp:positionH>
            <wp:positionV relativeFrom="paragraph">
              <wp:posOffset>-992505</wp:posOffset>
            </wp:positionV>
            <wp:extent cx="7289165" cy="3873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column">
              <wp:posOffset>-114300</wp:posOffset>
            </wp:positionH>
            <wp:positionV relativeFrom="paragraph">
              <wp:posOffset>-358140</wp:posOffset>
            </wp:positionV>
            <wp:extent cx="3696335" cy="46291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3696335" cy="462915"/>
                    </a:xfrm>
                    <a:prstGeom prst="rect">
                      <a:avLst/>
                    </a:prstGeom>
                    <a:noFill/>
                  </pic:spPr>
                </pic:pic>
              </a:graphicData>
            </a:graphic>
          </wp:anchor>
        </w:drawing>
      </w:r>
    </w:p>
    <w:p>
      <w:pPr>
        <w:spacing w:after="0" w:line="141" w:lineRule="exact"/>
        <w:rPr>
          <w:sz w:val="20"/>
          <w:szCs w:val="20"/>
          <w:color w:val="auto"/>
        </w:rPr>
      </w:pPr>
    </w:p>
    <w:p>
      <w:pPr>
        <w:ind w:left="740"/>
        <w:spacing w:after="0"/>
        <w:rPr>
          <w:sz w:val="20"/>
          <w:szCs w:val="20"/>
          <w:color w:val="auto"/>
        </w:rPr>
      </w:pPr>
      <w:r>
        <w:rPr>
          <w:rFonts w:ascii="Arial" w:cs="Arial" w:eastAsia="Arial" w:hAnsi="Arial"/>
          <w:sz w:val="11"/>
          <w:szCs w:val="11"/>
          <w:color w:val="auto"/>
        </w:rPr>
        <w:t>DIRECTORS’ REMUNERATION REPORT</w:t>
      </w:r>
    </w:p>
    <w:p>
      <w:pPr>
        <w:spacing w:after="0" w:line="43" w:lineRule="exact"/>
        <w:rPr>
          <w:sz w:val="20"/>
          <w:szCs w:val="20"/>
          <w:color w:val="auto"/>
        </w:rPr>
      </w:pPr>
    </w:p>
    <w:p>
      <w:pPr>
        <w:spacing w:after="0"/>
        <w:rPr>
          <w:sz w:val="20"/>
          <w:szCs w:val="20"/>
          <w:color w:val="auto"/>
        </w:rPr>
      </w:pPr>
      <w:r>
        <w:rPr>
          <w:rFonts w:ascii="Arial" w:cs="Arial" w:eastAsia="Arial" w:hAnsi="Arial"/>
          <w:sz w:val="13"/>
          <w:szCs w:val="13"/>
          <w:color w:val="auto"/>
        </w:rPr>
        <w:t>DECISIONS MADE</w:t>
      </w:r>
    </w:p>
    <w:p>
      <w:pPr>
        <w:spacing w:after="0"/>
        <w:rPr>
          <w:sz w:val="20"/>
          <w:szCs w:val="20"/>
          <w:color w:val="auto"/>
        </w:rPr>
      </w:pPr>
      <w:r>
        <w:rPr>
          <w:rFonts w:ascii="Arial" w:cs="Arial" w:eastAsia="Arial" w:hAnsi="Arial"/>
          <w:sz w:val="14"/>
          <w:szCs w:val="14"/>
          <w:color w:val="auto"/>
        </w:rPr>
        <w:t>As disclosed in the 2013 Annual Report on Remuneration:</w:t>
      </w:r>
    </w:p>
    <w:p>
      <w:pPr>
        <w:spacing w:after="0" w:line="217" w:lineRule="exact"/>
        <w:rPr>
          <w:sz w:val="20"/>
          <w:szCs w:val="20"/>
          <w:color w:val="auto"/>
        </w:rPr>
      </w:pPr>
    </w:p>
    <w:p>
      <w:pPr>
        <w:ind w:left="160" w:right="180" w:hanging="160"/>
        <w:spacing w:after="0" w:line="182" w:lineRule="auto"/>
        <w:tabs>
          <w:tab w:leader="none" w:pos="160" w:val="left"/>
        </w:tabs>
        <w:numPr>
          <w:ilvl w:val="0"/>
          <w:numId w:val="72"/>
        </w:numPr>
        <w:rPr>
          <w:rFonts w:ascii="Arial" w:cs="Arial" w:eastAsia="Arial" w:hAnsi="Arial"/>
          <w:sz w:val="23"/>
          <w:szCs w:val="23"/>
          <w:color w:val="auto"/>
          <w:vertAlign w:val="superscript"/>
        </w:rPr>
      </w:pPr>
      <w:r>
        <w:rPr>
          <w:rFonts w:ascii="Arial" w:cs="Arial" w:eastAsia="Arial" w:hAnsi="Arial"/>
          <w:sz w:val="14"/>
          <w:szCs w:val="14"/>
          <w:color w:val="auto"/>
        </w:rPr>
        <w:t>The base salary and pensionable salary for our CEO, Ben van Beurden, who succeeded Peter Voser with effect from January 1, 2014, was set at €1,400,000.</w:t>
      </w:r>
    </w:p>
    <w:p>
      <w:pPr>
        <w:spacing w:after="0" w:line="1" w:lineRule="exact"/>
        <w:rPr>
          <w:rFonts w:ascii="Arial" w:cs="Arial" w:eastAsia="Arial" w:hAnsi="Arial"/>
          <w:sz w:val="23"/>
          <w:szCs w:val="23"/>
          <w:color w:val="auto"/>
          <w:vertAlign w:val="superscript"/>
        </w:rPr>
      </w:pPr>
    </w:p>
    <w:p>
      <w:pPr>
        <w:ind w:left="160" w:hanging="160"/>
        <w:spacing w:after="0" w:line="204" w:lineRule="auto"/>
        <w:tabs>
          <w:tab w:leader="none" w:pos="160" w:val="left"/>
        </w:tabs>
        <w:numPr>
          <w:ilvl w:val="0"/>
          <w:numId w:val="72"/>
        </w:numPr>
        <w:rPr>
          <w:rFonts w:ascii="Arial" w:cs="Arial" w:eastAsia="Arial" w:hAnsi="Arial"/>
          <w:sz w:val="24"/>
          <w:szCs w:val="24"/>
          <w:color w:val="auto"/>
          <w:vertAlign w:val="superscript"/>
        </w:rPr>
      </w:pPr>
      <w:r>
        <w:rPr>
          <w:rFonts w:ascii="Arial" w:cs="Arial" w:eastAsia="Arial" w:hAnsi="Arial"/>
          <w:sz w:val="14"/>
          <w:szCs w:val="14"/>
          <w:color w:val="auto"/>
        </w:rPr>
        <w:t>Peter Voser stood down from the Board with effect from December 31, 2013. The key elements of his remuneration until his departure from Shell on March 31, 2014, acting as adviser to Ben van Beurden to ensure a stable transition, were also disclosed in the 2013 report.</w:t>
      </w:r>
    </w:p>
    <w:p>
      <w:pPr>
        <w:spacing w:after="0" w:line="3" w:lineRule="exact"/>
        <w:rPr>
          <w:rFonts w:ascii="Arial" w:cs="Arial" w:eastAsia="Arial" w:hAnsi="Arial"/>
          <w:sz w:val="24"/>
          <w:szCs w:val="24"/>
          <w:color w:val="auto"/>
          <w:vertAlign w:val="superscript"/>
        </w:rPr>
      </w:pPr>
    </w:p>
    <w:p>
      <w:pPr>
        <w:ind w:left="160" w:right="140" w:hanging="160"/>
        <w:spacing w:after="0" w:line="195" w:lineRule="auto"/>
        <w:tabs>
          <w:tab w:leader="none" w:pos="160" w:val="left"/>
        </w:tabs>
        <w:numPr>
          <w:ilvl w:val="0"/>
          <w:numId w:val="72"/>
        </w:numPr>
        <w:rPr>
          <w:rFonts w:ascii="Arial" w:cs="Arial" w:eastAsia="Arial" w:hAnsi="Arial"/>
          <w:sz w:val="24"/>
          <w:szCs w:val="24"/>
          <w:color w:val="auto"/>
          <w:vertAlign w:val="superscript"/>
        </w:rPr>
      </w:pPr>
      <w:r>
        <w:rPr>
          <w:rFonts w:ascii="Arial" w:cs="Arial" w:eastAsia="Arial" w:hAnsi="Arial"/>
          <w:sz w:val="14"/>
          <w:szCs w:val="14"/>
          <w:color w:val="auto"/>
        </w:rPr>
        <w:t>For LTIP awards from 2014 onwards, the relative hydrocarbon production growth performance measure has been replaced by relative return on average capital employed (ROACE) growth, putting greater focus on capital efficiency.</w:t>
      </w:r>
    </w:p>
    <w:p>
      <w:pPr>
        <w:ind w:left="160" w:right="20" w:hanging="160"/>
        <w:spacing w:after="0" w:line="183" w:lineRule="auto"/>
        <w:tabs>
          <w:tab w:leader="none" w:pos="160" w:val="left"/>
        </w:tabs>
        <w:numPr>
          <w:ilvl w:val="0"/>
          <w:numId w:val="72"/>
        </w:numPr>
        <w:rPr>
          <w:rFonts w:ascii="Arial" w:cs="Arial" w:eastAsia="Arial" w:hAnsi="Arial"/>
          <w:sz w:val="24"/>
          <w:szCs w:val="24"/>
          <w:color w:val="auto"/>
          <w:vertAlign w:val="superscript"/>
        </w:rPr>
      </w:pPr>
      <w:r>
        <w:rPr>
          <w:rFonts w:ascii="Arial" w:cs="Arial" w:eastAsia="Arial" w:hAnsi="Arial"/>
          <w:sz w:val="14"/>
          <w:szCs w:val="14"/>
          <w:color w:val="auto"/>
        </w:rPr>
        <w:t>The shareholding requirement as a percentage of base salary has been increased: CEO 700% from 300%; Chief Financial Officer (CFO) 400% from 200%.</w:t>
      </w:r>
    </w:p>
    <w:p>
      <w:pPr>
        <w:spacing w:after="0" w:line="180" w:lineRule="exact"/>
        <w:rPr>
          <w:sz w:val="20"/>
          <w:szCs w:val="20"/>
          <w:color w:val="auto"/>
        </w:rPr>
      </w:pPr>
    </w:p>
    <w:p>
      <w:pPr>
        <w:ind w:right="160"/>
        <w:spacing w:after="0" w:line="258" w:lineRule="auto"/>
        <w:rPr>
          <w:sz w:val="20"/>
          <w:szCs w:val="20"/>
          <w:color w:val="auto"/>
        </w:rPr>
      </w:pPr>
      <w:r>
        <w:rPr>
          <w:rFonts w:ascii="Arial" w:cs="Arial" w:eastAsia="Arial" w:hAnsi="Arial"/>
          <w:sz w:val="14"/>
          <w:szCs w:val="14"/>
          <w:color w:val="auto"/>
        </w:rPr>
        <w:t>We received shareholder approval for new share plans at the 2014 Annual General Meeting (AGM). The key changes are:</w:t>
      </w:r>
    </w:p>
    <w:p>
      <w:pPr>
        <w:spacing w:after="0" w:line="74" w:lineRule="exact"/>
        <w:rPr>
          <w:sz w:val="20"/>
          <w:szCs w:val="20"/>
          <w:color w:val="auto"/>
        </w:rPr>
      </w:pPr>
    </w:p>
    <w:p>
      <w:pPr>
        <w:ind w:left="160" w:hanging="160"/>
        <w:spacing w:after="0"/>
        <w:tabs>
          <w:tab w:leader="none" w:pos="160" w:val="left"/>
        </w:tabs>
        <w:numPr>
          <w:ilvl w:val="0"/>
          <w:numId w:val="73"/>
        </w:numPr>
        <w:rPr>
          <w:rFonts w:ascii="Arial" w:cs="Arial" w:eastAsia="Arial" w:hAnsi="Arial"/>
          <w:sz w:val="24"/>
          <w:szCs w:val="24"/>
          <w:color w:val="auto"/>
          <w:vertAlign w:val="superscript"/>
        </w:rPr>
      </w:pPr>
      <w:r>
        <w:rPr>
          <w:rFonts w:ascii="Arial" w:cs="Arial" w:eastAsia="Arial" w:hAnsi="Arial"/>
          <w:sz w:val="14"/>
          <w:szCs w:val="14"/>
          <w:color w:val="auto"/>
        </w:rPr>
        <w:t>share plan simplification:</w:t>
      </w:r>
    </w:p>
    <w:p>
      <w:pPr>
        <w:ind w:left="280" w:hanging="145"/>
        <w:spacing w:after="0" w:line="184" w:lineRule="auto"/>
        <w:tabs>
          <w:tab w:leader="none" w:pos="280" w:val="left"/>
        </w:tabs>
        <w:numPr>
          <w:ilvl w:val="0"/>
          <w:numId w:val="74"/>
        </w:numPr>
        <w:rPr>
          <w:rFonts w:ascii="Arial" w:cs="Arial" w:eastAsia="Arial" w:hAnsi="Arial"/>
          <w:sz w:val="19"/>
          <w:szCs w:val="19"/>
          <w:color w:val="auto"/>
          <w:vertAlign w:val="superscript"/>
        </w:rPr>
      </w:pPr>
      <w:r>
        <w:rPr>
          <w:rFonts w:ascii="Arial" w:cs="Arial" w:eastAsia="Arial" w:hAnsi="Arial"/>
          <w:sz w:val="12"/>
          <w:szCs w:val="12"/>
          <w:color w:val="auto"/>
        </w:rPr>
        <w:t>fixed mandatory deferral of 50% of bonus into shares;</w:t>
      </w:r>
    </w:p>
    <w:p>
      <w:pPr>
        <w:ind w:left="280" w:hanging="145"/>
        <w:spacing w:after="0" w:line="187" w:lineRule="auto"/>
        <w:tabs>
          <w:tab w:leader="none" w:pos="280" w:val="left"/>
        </w:tabs>
        <w:numPr>
          <w:ilvl w:val="0"/>
          <w:numId w:val="74"/>
        </w:numPr>
        <w:rPr>
          <w:rFonts w:ascii="Arial" w:cs="Arial" w:eastAsia="Arial" w:hAnsi="Arial"/>
          <w:sz w:val="18"/>
          <w:szCs w:val="18"/>
          <w:color w:val="auto"/>
          <w:vertAlign w:val="superscript"/>
        </w:rPr>
      </w:pPr>
      <w:r>
        <w:rPr>
          <w:rFonts w:ascii="Arial" w:cs="Arial" w:eastAsia="Arial" w:hAnsi="Arial"/>
          <w:sz w:val="11"/>
          <w:szCs w:val="11"/>
          <w:color w:val="auto"/>
        </w:rPr>
        <w:t>removal of matching shares in the Deferred Bonus Plan (DBP), replacing the</w:t>
      </w:r>
    </w:p>
    <w:p>
      <w:pPr>
        <w:ind w:left="280"/>
        <w:spacing w:after="0" w:line="234" w:lineRule="auto"/>
        <w:rPr>
          <w:sz w:val="20"/>
          <w:szCs w:val="20"/>
          <w:color w:val="auto"/>
        </w:rPr>
      </w:pPr>
      <w:r>
        <w:rPr>
          <w:rFonts w:ascii="Arial" w:cs="Arial" w:eastAsia="Arial" w:hAnsi="Arial"/>
          <w:sz w:val="14"/>
          <w:szCs w:val="14"/>
          <w:color w:val="auto"/>
        </w:rPr>
        <w:t>value of this in the LTIP; and</w:t>
      </w:r>
    </w:p>
    <w:p>
      <w:pPr>
        <w:spacing w:after="0" w:line="6" w:lineRule="exact"/>
        <w:rPr>
          <w:sz w:val="20"/>
          <w:szCs w:val="20"/>
          <w:color w:val="auto"/>
        </w:rPr>
      </w:pPr>
    </w:p>
    <w:p>
      <w:pPr>
        <w:ind w:left="160" w:right="160" w:hanging="160"/>
        <w:spacing w:after="0" w:line="183" w:lineRule="auto"/>
        <w:tabs>
          <w:tab w:leader="none" w:pos="160" w:val="left"/>
        </w:tabs>
        <w:numPr>
          <w:ilvl w:val="0"/>
          <w:numId w:val="75"/>
        </w:numPr>
        <w:rPr>
          <w:rFonts w:ascii="Arial" w:cs="Arial" w:eastAsia="Arial" w:hAnsi="Arial"/>
          <w:sz w:val="24"/>
          <w:szCs w:val="24"/>
          <w:color w:val="auto"/>
          <w:vertAlign w:val="superscript"/>
        </w:rPr>
      </w:pPr>
      <w:r>
        <w:rPr>
          <w:rFonts w:ascii="Arial" w:cs="Arial" w:eastAsia="Arial" w:hAnsi="Arial"/>
          <w:sz w:val="14"/>
          <w:szCs w:val="14"/>
          <w:color w:val="auto"/>
        </w:rPr>
        <w:t>pro-rating of outstanding LTIP awards for leavers from annual to monthly service calculations.</w:t>
      </w:r>
    </w:p>
    <w:p>
      <w:pPr>
        <w:spacing w:after="0" w:line="167" w:lineRule="exact"/>
        <w:rPr>
          <w:sz w:val="20"/>
          <w:szCs w:val="20"/>
          <w:color w:val="auto"/>
        </w:rPr>
      </w:pPr>
    </w:p>
    <w:p>
      <w:pPr>
        <w:ind w:right="320"/>
        <w:spacing w:after="0" w:line="245" w:lineRule="auto"/>
        <w:rPr>
          <w:sz w:val="20"/>
          <w:szCs w:val="20"/>
          <w:color w:val="auto"/>
        </w:rPr>
      </w:pPr>
      <w:r>
        <w:rPr>
          <w:rFonts w:ascii="Arial" w:cs="Arial" w:eastAsia="Arial" w:hAnsi="Arial"/>
          <w:sz w:val="14"/>
          <w:szCs w:val="14"/>
          <w:color w:val="auto"/>
        </w:rPr>
        <w:t>The Executive Directors’ annual bonuses reward the achievement of internal key performance indicators (KPIs) described in “Performance indicators”. The LTIP measures, linked to the strategy outlined in “Strategy and outlook”, are cash and earnings generation and capital discipline as well as the value created for shareholders. The LTIP rewards outperformance relative to our peers.</w:t>
      </w:r>
    </w:p>
    <w:p>
      <w:pPr>
        <w:spacing w:after="0" w:line="164" w:lineRule="exact"/>
        <w:rPr>
          <w:sz w:val="20"/>
          <w:szCs w:val="20"/>
          <w:color w:val="auto"/>
        </w:rPr>
      </w:pPr>
    </w:p>
    <w:p>
      <w:pPr>
        <w:spacing w:after="0" w:line="245" w:lineRule="auto"/>
        <w:rPr>
          <w:sz w:val="20"/>
          <w:szCs w:val="20"/>
          <w:color w:val="auto"/>
        </w:rPr>
      </w:pPr>
      <w:r>
        <w:rPr>
          <w:rFonts w:ascii="Arial" w:cs="Arial" w:eastAsia="Arial" w:hAnsi="Arial"/>
          <w:sz w:val="14"/>
          <w:szCs w:val="14"/>
          <w:color w:val="auto"/>
        </w:rPr>
        <w:t>REMCO has tied Executive Directors’ compensation closely to long-term performance. Further long-term alignment with shareholders is achieved through high shareholding guidelines, an additional two-year retention period after vesting of the LTIP and compulsory deferral of 50% of the annual bonus into shares to be retained for three years. Incentives are subject to malus and clawback provisions.</w:t>
      </w:r>
    </w:p>
    <w:p>
      <w:pPr>
        <w:spacing w:after="0" w:line="163" w:lineRule="exact"/>
        <w:rPr>
          <w:sz w:val="20"/>
          <w:szCs w:val="20"/>
          <w:color w:val="auto"/>
        </w:rPr>
      </w:pPr>
    </w:p>
    <w:p>
      <w:pPr>
        <w:spacing w:after="0"/>
        <w:rPr>
          <w:sz w:val="20"/>
          <w:szCs w:val="20"/>
          <w:color w:val="auto"/>
        </w:rPr>
      </w:pPr>
      <w:r>
        <w:rPr>
          <w:rFonts w:ascii="Arial" w:cs="Arial" w:eastAsia="Arial" w:hAnsi="Arial"/>
          <w:sz w:val="13"/>
          <w:szCs w:val="13"/>
          <w:color w:val="auto"/>
        </w:rPr>
        <w:t>THIS REPORT</w:t>
      </w:r>
    </w:p>
    <w:p>
      <w:pPr>
        <w:spacing w:after="0" w:line="247" w:lineRule="auto"/>
        <w:rPr>
          <w:sz w:val="20"/>
          <w:szCs w:val="20"/>
          <w:color w:val="auto"/>
        </w:rPr>
      </w:pPr>
      <w:r>
        <w:rPr>
          <w:rFonts w:ascii="Arial" w:cs="Arial" w:eastAsia="Arial" w:hAnsi="Arial"/>
          <w:sz w:val="14"/>
          <w:szCs w:val="14"/>
          <w:color w:val="auto"/>
        </w:rPr>
        <w:t>This Directors’ Remuneration Report for 2014 has been prepared in accordance with relevant UK corporate governance and legal requirements, in particular Schedule 8 of The Large and Medium-sized Companies and Groups (Accounts and Reports) Regulations 2008 (as amended). The Board has approved this report.</w:t>
      </w:r>
    </w:p>
    <w:p>
      <w:pPr>
        <w:spacing w:after="0" w:line="161" w:lineRule="exact"/>
        <w:rPr>
          <w:sz w:val="20"/>
          <w:szCs w:val="20"/>
          <w:color w:val="auto"/>
        </w:rPr>
      </w:pPr>
    </w:p>
    <w:p>
      <w:pPr>
        <w:spacing w:after="0"/>
        <w:rPr>
          <w:sz w:val="20"/>
          <w:szCs w:val="20"/>
          <w:color w:val="auto"/>
        </w:rPr>
      </w:pPr>
      <w:r>
        <w:rPr>
          <w:rFonts w:ascii="Arial" w:cs="Arial" w:eastAsia="Arial" w:hAnsi="Arial"/>
          <w:sz w:val="14"/>
          <w:szCs w:val="14"/>
          <w:color w:val="auto"/>
        </w:rPr>
        <w:t>This report consists of two further sections:</w:t>
      </w:r>
    </w:p>
    <w:p>
      <w:pPr>
        <w:spacing w:after="0" w:line="217" w:lineRule="exact"/>
        <w:rPr>
          <w:sz w:val="20"/>
          <w:szCs w:val="20"/>
          <w:color w:val="auto"/>
        </w:rPr>
      </w:pPr>
    </w:p>
    <w:p>
      <w:pPr>
        <w:ind w:left="160" w:right="180" w:hanging="160"/>
        <w:spacing w:after="0" w:line="195" w:lineRule="auto"/>
        <w:tabs>
          <w:tab w:leader="none" w:pos="160" w:val="left"/>
        </w:tabs>
        <w:numPr>
          <w:ilvl w:val="0"/>
          <w:numId w:val="76"/>
        </w:numPr>
        <w:rPr>
          <w:rFonts w:ascii="Arial" w:cs="Arial" w:eastAsia="Arial" w:hAnsi="Arial"/>
          <w:sz w:val="24"/>
          <w:szCs w:val="24"/>
          <w:color w:val="auto"/>
          <w:vertAlign w:val="superscript"/>
        </w:rPr>
      </w:pPr>
      <w:r>
        <w:rPr>
          <w:rFonts w:ascii="Arial" w:cs="Arial" w:eastAsia="Arial" w:hAnsi="Arial"/>
          <w:sz w:val="14"/>
          <w:szCs w:val="14"/>
          <w:color w:val="auto"/>
        </w:rPr>
        <w:t>the Annual Report on Remuneration, describing 2014 remuneration as well as implementation of the policy in 2015, which will be subject to an advisory vote at the 2015 AGM; and</w:t>
      </w:r>
    </w:p>
    <w:p>
      <w:pPr>
        <w:ind w:left="160" w:right="260" w:hanging="160"/>
        <w:spacing w:after="0" w:line="183" w:lineRule="auto"/>
        <w:tabs>
          <w:tab w:leader="none" w:pos="160" w:val="left"/>
        </w:tabs>
        <w:numPr>
          <w:ilvl w:val="0"/>
          <w:numId w:val="76"/>
        </w:numPr>
        <w:rPr>
          <w:rFonts w:ascii="Arial" w:cs="Arial" w:eastAsia="Arial" w:hAnsi="Arial"/>
          <w:sz w:val="24"/>
          <w:szCs w:val="24"/>
          <w:color w:val="auto"/>
          <w:vertAlign w:val="superscript"/>
        </w:rPr>
      </w:pPr>
      <w:r>
        <w:rPr>
          <w:rFonts w:ascii="Arial" w:cs="Arial" w:eastAsia="Arial" w:hAnsi="Arial"/>
          <w:sz w:val="14"/>
          <w:szCs w:val="14"/>
          <w:color w:val="auto"/>
        </w:rPr>
        <w:t>the Directors’ Remuneration Policy which was approved by shareholders at the 2014 AGM and is included for reference.</w:t>
      </w:r>
    </w:p>
    <w:p>
      <w:pPr>
        <w:sectPr>
          <w:pgSz w:w="11900" w:h="16838" w:orient="portrait"/>
          <w:cols w:equalWidth="0" w:num="2">
            <w:col w:w="5460" w:space="320"/>
            <w:col w:w="5440"/>
          </w:cols>
          <w:pgMar w:left="240" w:top="459" w:right="43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300355</wp:posOffset>
            </wp:positionV>
            <wp:extent cx="3627755" cy="46291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3627755" cy="462915"/>
                    </a:xfrm>
                    <a:prstGeom prst="rect">
                      <a:avLst/>
                    </a:prstGeom>
                    <a:noFill/>
                  </pic:spPr>
                </pic:pic>
              </a:graphicData>
            </a:graphic>
          </wp:anchor>
        </w:drawing>
      </w:r>
    </w:p>
    <w:p>
      <w:pPr>
        <w:spacing w:after="0" w:line="200" w:lineRule="exact"/>
        <w:rPr>
          <w:sz w:val="20"/>
          <w:szCs w:val="20"/>
          <w:color w:val="auto"/>
        </w:rPr>
      </w:pP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419"/>
        </w:trPr>
        <w:tc>
          <w:tcPr>
            <w:tcW w:w="2260" w:type="dxa"/>
            <w:vAlign w:val="bottom"/>
            <w:shd w:val="clear" w:color="auto" w:fill="FF8B00"/>
          </w:tcPr>
          <w:p>
            <w:pPr>
              <w:spacing w:after="0"/>
              <w:rPr>
                <w:sz w:val="24"/>
                <w:szCs w:val="24"/>
                <w:color w:val="auto"/>
              </w:rPr>
            </w:pPr>
          </w:p>
        </w:tc>
        <w:tc>
          <w:tcPr>
            <w:tcW w:w="3460" w:type="dxa"/>
            <w:vAlign w:val="bottom"/>
            <w:shd w:val="clear" w:color="auto" w:fill="FF8B00"/>
          </w:tcPr>
          <w:p>
            <w:pPr>
              <w:spacing w:after="0"/>
              <w:rPr>
                <w:sz w:val="24"/>
                <w:szCs w:val="24"/>
                <w:color w:val="auto"/>
              </w:rPr>
            </w:pPr>
          </w:p>
        </w:tc>
      </w:tr>
      <w:tr>
        <w:trPr>
          <w:trHeight w:val="152"/>
        </w:trPr>
        <w:tc>
          <w:tcPr>
            <w:tcW w:w="2260" w:type="dxa"/>
            <w:vAlign w:val="bottom"/>
          </w:tcPr>
          <w:p>
            <w:pPr>
              <w:jc w:val="right"/>
              <w:ind w:right="1726"/>
              <w:spacing w:after="0"/>
              <w:rPr>
                <w:sz w:val="20"/>
                <w:szCs w:val="20"/>
                <w:color w:val="auto"/>
              </w:rPr>
            </w:pPr>
            <w:r>
              <w:rPr>
                <w:rFonts w:ascii="Arial" w:cs="Arial" w:eastAsia="Arial" w:hAnsi="Arial"/>
                <w:sz w:val="11"/>
                <w:szCs w:val="11"/>
                <w:b w:val="1"/>
                <w:bCs w:val="1"/>
                <w:color w:val="333333"/>
              </w:rPr>
              <w:t>80</w:t>
            </w:r>
          </w:p>
        </w:tc>
        <w:tc>
          <w:tcPr>
            <w:tcW w:w="3460" w:type="dxa"/>
            <w:vAlign w:val="bottom"/>
          </w:tcPr>
          <w:p>
            <w:pPr>
              <w:ind w:left="1780"/>
              <w:spacing w:after="0"/>
              <w:rPr>
                <w:sz w:val="20"/>
                <w:szCs w:val="20"/>
                <w:color w:val="auto"/>
              </w:rPr>
            </w:pPr>
            <w:r>
              <w:rPr>
                <w:rFonts w:ascii="Arial" w:cs="Arial" w:eastAsia="Arial" w:hAnsi="Arial"/>
                <w:sz w:val="13"/>
                <w:szCs w:val="13"/>
                <w:color w:val="333333"/>
              </w:rPr>
              <w:t>GOVERNANCE</w:t>
            </w:r>
          </w:p>
        </w:tc>
      </w:tr>
    </w:tbl>
    <w:p>
      <w:pPr>
        <w:spacing w:after="0" w:line="155" w:lineRule="exact"/>
        <w:rPr>
          <w:sz w:val="20"/>
          <w:szCs w:val="20"/>
          <w:color w:val="auto"/>
        </w:rPr>
      </w:pPr>
    </w:p>
    <w:p>
      <w:pPr>
        <w:ind w:left="2900"/>
        <w:spacing w:after="0"/>
        <w:rPr>
          <w:sz w:val="20"/>
          <w:szCs w:val="20"/>
          <w:color w:val="auto"/>
        </w:rPr>
      </w:pPr>
      <w:r>
        <w:rPr>
          <w:rFonts w:ascii="Arial" w:cs="Arial" w:eastAsia="Arial" w:hAnsi="Arial"/>
          <w:sz w:val="11"/>
          <w:szCs w:val="11"/>
          <w:color w:val="auto"/>
        </w:rPr>
        <w:t>DIRECTORS’ REMUNERATION REPORT</w:t>
      </w:r>
    </w:p>
    <w:p>
      <w:pPr>
        <w:spacing w:after="0" w:line="48" w:lineRule="exact"/>
        <w:rPr>
          <w:sz w:val="20"/>
          <w:szCs w:val="20"/>
          <w:color w:val="auto"/>
        </w:rPr>
      </w:pPr>
    </w:p>
    <w:p>
      <w:pPr>
        <w:ind w:left="20" w:right="3700"/>
        <w:spacing w:after="0" w:line="260" w:lineRule="auto"/>
        <w:rPr>
          <w:sz w:val="20"/>
          <w:szCs w:val="20"/>
          <w:color w:val="auto"/>
        </w:rPr>
      </w:pPr>
      <w:r>
        <w:rPr>
          <w:rFonts w:ascii="Arial" w:cs="Arial" w:eastAsia="Arial" w:hAnsi="Arial"/>
          <w:sz w:val="24"/>
          <w:szCs w:val="24"/>
          <w:color w:val="auto"/>
        </w:rPr>
        <w:t xml:space="preserve">DIRECTORS’ REMUNERATION REPORT </w:t>
      </w:r>
      <w:r>
        <w:rPr>
          <w:rFonts w:ascii="Arial" w:cs="Arial" w:eastAsia="Arial" w:hAnsi="Arial"/>
          <w:sz w:val="24"/>
          <w:szCs w:val="24"/>
          <w:color w:val="666666"/>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3473450" cy="889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spacing w:after="0" w:line="160" w:lineRule="exact"/>
        <w:rPr>
          <w:sz w:val="20"/>
          <w:szCs w:val="20"/>
          <w:color w:val="auto"/>
        </w:rPr>
      </w:pPr>
    </w:p>
    <w:p>
      <w:pPr>
        <w:spacing w:after="0"/>
        <w:rPr>
          <w:sz w:val="20"/>
          <w:szCs w:val="20"/>
          <w:color w:val="auto"/>
        </w:rPr>
      </w:pPr>
      <w:r>
        <w:rPr>
          <w:rFonts w:ascii="Arial" w:cs="Arial" w:eastAsia="Arial" w:hAnsi="Arial"/>
          <w:sz w:val="13"/>
          <w:szCs w:val="13"/>
          <w:color w:val="auto"/>
        </w:rPr>
        <w:t>SHAREHOLDER ENGAGEMENT</w:t>
      </w:r>
    </w:p>
    <w:p>
      <w:pPr>
        <w:ind w:right="2960"/>
        <w:spacing w:after="0" w:line="250" w:lineRule="auto"/>
        <w:rPr>
          <w:sz w:val="20"/>
          <w:szCs w:val="20"/>
          <w:color w:val="auto"/>
        </w:rPr>
      </w:pPr>
      <w:r>
        <w:rPr>
          <w:rFonts w:ascii="Arial" w:cs="Arial" w:eastAsia="Arial" w:hAnsi="Arial"/>
          <w:sz w:val="14"/>
          <w:szCs w:val="14"/>
          <w:color w:val="auto"/>
        </w:rPr>
        <w:t>We held meetings with a number of shareholders in November and December 2014 during which we shared updates on remuneration developments in 2014 and the approved changes for 2015.</w:t>
      </w:r>
    </w:p>
    <w:p>
      <w:pPr>
        <w:spacing w:after="0" w:line="148" w:lineRule="exact"/>
        <w:rPr>
          <w:sz w:val="20"/>
          <w:szCs w:val="20"/>
          <w:color w:val="auto"/>
        </w:rPr>
      </w:pPr>
    </w:p>
    <w:p>
      <w:pPr>
        <w:ind w:right="2980"/>
        <w:spacing w:after="0" w:line="225" w:lineRule="auto"/>
        <w:rPr>
          <w:sz w:val="20"/>
          <w:szCs w:val="20"/>
          <w:color w:val="auto"/>
        </w:rPr>
      </w:pPr>
      <w:r>
        <w:rPr>
          <w:rFonts w:ascii="Arial" w:cs="Arial" w:eastAsia="Arial" w:hAnsi="Arial"/>
          <w:sz w:val="13"/>
          <w:szCs w:val="13"/>
          <w:color w:val="auto"/>
        </w:rPr>
        <w:t>IMPACT OF BEN VAN BEURDEN’S PRIOR ASSIGNMENT IN THE UK AND PROMOTION ON SINGLE TOTAL FIGURE OF REMUNERATION</w:t>
      </w:r>
    </w:p>
    <w:p>
      <w:pPr>
        <w:spacing w:after="0" w:line="1" w:lineRule="exact"/>
        <w:rPr>
          <w:sz w:val="20"/>
          <w:szCs w:val="20"/>
          <w:color w:val="auto"/>
        </w:rPr>
      </w:pPr>
    </w:p>
    <w:p>
      <w:pPr>
        <w:ind w:right="2860"/>
        <w:spacing w:after="0" w:line="243" w:lineRule="auto"/>
        <w:rPr>
          <w:sz w:val="20"/>
          <w:szCs w:val="20"/>
          <w:color w:val="auto"/>
        </w:rPr>
      </w:pPr>
      <w:r>
        <w:rPr>
          <w:rFonts w:ascii="Arial" w:cs="Arial" w:eastAsia="Arial" w:hAnsi="Arial"/>
          <w:sz w:val="14"/>
          <w:szCs w:val="14"/>
          <w:color w:val="auto"/>
        </w:rPr>
        <w:t>As a long-serving, internationally mobile employee, and member of our Dutch defined benefit pension plan, Ben van Beurden’s promotion to CEO and prior assignment in the UK resulted in a significant increase in pension accrual and related tax equalisation. His benefits were managed consistently with those of other employees in a workforce built on promotion from within and international mobility, reflecting the long-term and global nature of Shell’s business. The CEO did not benefit from any special treatment. If he had been employed in the Netherlands during his previous assignment, there would have been no Dutch tax liability on pension accrual in respect of that assignment.</w:t>
      </w:r>
    </w:p>
    <w:p>
      <w:pPr>
        <w:spacing w:after="0" w:line="330" w:lineRule="exact"/>
        <w:rPr>
          <w:sz w:val="20"/>
          <w:szCs w:val="20"/>
          <w:color w:val="auto"/>
        </w:rPr>
      </w:pPr>
    </w:p>
    <w:p>
      <w:pPr>
        <w:ind w:right="2820"/>
        <w:spacing w:after="0" w:line="243" w:lineRule="auto"/>
        <w:rPr>
          <w:sz w:val="20"/>
          <w:szCs w:val="20"/>
          <w:color w:val="auto"/>
        </w:rPr>
      </w:pPr>
      <w:r>
        <w:rPr>
          <w:rFonts w:ascii="Arial" w:cs="Arial" w:eastAsia="Arial" w:hAnsi="Arial"/>
          <w:sz w:val="14"/>
          <w:szCs w:val="14"/>
          <w:color w:val="auto"/>
        </w:rPr>
        <w:t>The pension accrual reflects Ben van Beurden’s salary increase on promotion, at a time when he participated in a final salary pension plan, along with other Shell employees in the Netherlands who joined before July 2013. As disclosed in last year’s report, Ben van Beurden’s UK assignment prior to his board appointment resulted in a UK tax liability in respect of his pension benefits. For UK tax purposes, the increase in his pension benefit is assessed over the UK tax year (to April 5, 2014) and therefore reflects the impact of his salary increase on promotion. Shell has paid the UK tax on the pension accrual in accordance with the tax equalisation policy applicable to all expatriate employees.</w:t>
      </w:r>
    </w:p>
    <w:p>
      <w:pPr>
        <w:spacing w:after="0" w:line="323" w:lineRule="exact"/>
        <w:rPr>
          <w:sz w:val="20"/>
          <w:szCs w:val="20"/>
          <w:color w:val="auto"/>
        </w:rPr>
      </w:pPr>
    </w:p>
    <w:p>
      <w:pPr>
        <w:spacing w:after="0"/>
        <w:rPr>
          <w:sz w:val="20"/>
          <w:szCs w:val="20"/>
          <w:color w:val="auto"/>
        </w:rPr>
      </w:pPr>
      <w:r>
        <w:rPr>
          <w:rFonts w:ascii="Arial" w:cs="Arial" w:eastAsia="Arial" w:hAnsi="Arial"/>
          <w:sz w:val="13"/>
          <w:szCs w:val="13"/>
          <w:color w:val="auto"/>
        </w:rPr>
        <w:t>CHANGES FOR 2015</w:t>
      </w:r>
    </w:p>
    <w:p>
      <w:pPr>
        <w:spacing w:after="0" w:line="6" w:lineRule="exact"/>
        <w:rPr>
          <w:sz w:val="20"/>
          <w:szCs w:val="20"/>
          <w:color w:val="auto"/>
        </w:rPr>
      </w:pPr>
    </w:p>
    <w:p>
      <w:pPr>
        <w:ind w:left="180" w:right="2860" w:hanging="172"/>
        <w:spacing w:after="0" w:line="219" w:lineRule="auto"/>
        <w:tabs>
          <w:tab w:leader="none" w:pos="180" w:val="left"/>
        </w:tabs>
        <w:numPr>
          <w:ilvl w:val="0"/>
          <w:numId w:val="77"/>
        </w:numPr>
        <w:rPr>
          <w:rFonts w:ascii="Arial" w:cs="Arial" w:eastAsia="Arial" w:hAnsi="Arial"/>
          <w:sz w:val="24"/>
          <w:szCs w:val="24"/>
          <w:color w:val="auto"/>
          <w:vertAlign w:val="superscript"/>
        </w:rPr>
      </w:pPr>
      <w:r>
        <w:rPr>
          <w:rFonts w:ascii="Arial" w:cs="Arial" w:eastAsia="Arial" w:hAnsi="Arial"/>
          <w:sz w:val="14"/>
          <w:szCs w:val="14"/>
          <w:color w:val="auto"/>
        </w:rPr>
        <w:t>There are important changes to our Dutch pension arrangements with effect from January 1, 2015: from 2015, and consistent with the treatment for other employees hired before July 2013, the maximum pensionable salary for the CEO will be €89,900. A net pay savings arrangement has been introduced (employer contribution: 24% of salary in excess of €89,900 for the CEO) with the option to take as cash as an alternative to pension contributions (in either case subject to income tax).</w:t>
      </w:r>
    </w:p>
    <w:p>
      <w:pPr>
        <w:spacing w:after="0" w:line="1" w:lineRule="exact"/>
        <w:rPr>
          <w:rFonts w:ascii="Arial" w:cs="Arial" w:eastAsia="Arial" w:hAnsi="Arial"/>
          <w:sz w:val="24"/>
          <w:szCs w:val="24"/>
          <w:color w:val="auto"/>
          <w:vertAlign w:val="superscript"/>
        </w:rPr>
      </w:pPr>
    </w:p>
    <w:p>
      <w:pPr>
        <w:ind w:left="180" w:right="2880" w:hanging="172"/>
        <w:spacing w:after="0" w:line="215" w:lineRule="auto"/>
        <w:tabs>
          <w:tab w:leader="none" w:pos="180" w:val="left"/>
        </w:tabs>
        <w:numPr>
          <w:ilvl w:val="0"/>
          <w:numId w:val="77"/>
        </w:numPr>
        <w:rPr>
          <w:rFonts w:ascii="Arial" w:cs="Arial" w:eastAsia="Arial" w:hAnsi="Arial"/>
          <w:sz w:val="24"/>
          <w:szCs w:val="24"/>
          <w:color w:val="auto"/>
          <w:vertAlign w:val="superscript"/>
        </w:rPr>
      </w:pPr>
      <w:r>
        <w:rPr>
          <w:rFonts w:ascii="Arial" w:cs="Arial" w:eastAsia="Arial" w:hAnsi="Arial"/>
          <w:sz w:val="14"/>
          <w:szCs w:val="14"/>
          <w:color w:val="auto"/>
        </w:rPr>
        <w:t>We are making some changes to our sustainable development measures in the annual bonus scorecard, with the addition of Tier 1 Process Safety events and increased weight of operational spills volumes, as explained on page 83. Effective process safety management is fundamental to preventing significant safety and environmental incidents and REMCO now wishes to see this reflected in Executive Director remuneration.</w:t>
      </w:r>
    </w:p>
    <w:p>
      <w:pPr>
        <w:spacing w:after="0" w:line="4" w:lineRule="exact"/>
        <w:rPr>
          <w:rFonts w:ascii="Arial" w:cs="Arial" w:eastAsia="Arial" w:hAnsi="Arial"/>
          <w:sz w:val="24"/>
          <w:szCs w:val="24"/>
          <w:color w:val="auto"/>
          <w:vertAlign w:val="superscript"/>
        </w:rPr>
      </w:pPr>
    </w:p>
    <w:p>
      <w:pPr>
        <w:ind w:left="180" w:right="3020" w:hanging="172"/>
        <w:spacing w:after="0" w:line="208" w:lineRule="auto"/>
        <w:tabs>
          <w:tab w:leader="none" w:pos="180" w:val="left"/>
        </w:tabs>
        <w:numPr>
          <w:ilvl w:val="0"/>
          <w:numId w:val="77"/>
        </w:numPr>
        <w:rPr>
          <w:rFonts w:ascii="Arial" w:cs="Arial" w:eastAsia="Arial" w:hAnsi="Arial"/>
          <w:sz w:val="24"/>
          <w:szCs w:val="24"/>
          <w:color w:val="auto"/>
          <w:vertAlign w:val="superscript"/>
        </w:rPr>
      </w:pPr>
      <w:r>
        <w:rPr>
          <w:rFonts w:ascii="Arial" w:cs="Arial" w:eastAsia="Arial" w:hAnsi="Arial"/>
          <w:sz w:val="14"/>
          <w:szCs w:val="14"/>
          <w:color w:val="auto"/>
        </w:rPr>
        <w:t>As announced on October 30, 2014, Charles O. Holliday will become Chairman with effect from the conclusion of 2015 AGM, subject to his reappointment as a Director at the AGM. His annual fees following his appointment have been set at €850,000.</w:t>
      </w:r>
    </w:p>
    <w:p>
      <w:pPr>
        <w:spacing w:after="0" w:line="166" w:lineRule="exact"/>
        <w:rPr>
          <w:sz w:val="20"/>
          <w:szCs w:val="20"/>
          <w:color w:val="auto"/>
        </w:rPr>
      </w:pPr>
    </w:p>
    <w:p>
      <w:pPr>
        <w:ind w:right="2900"/>
        <w:spacing w:after="0" w:line="258" w:lineRule="auto"/>
        <w:rPr>
          <w:sz w:val="20"/>
          <w:szCs w:val="20"/>
          <w:color w:val="auto"/>
        </w:rPr>
      </w:pPr>
      <w:r>
        <w:rPr>
          <w:rFonts w:ascii="Arial" w:cs="Arial" w:eastAsia="Arial" w:hAnsi="Arial"/>
          <w:sz w:val="14"/>
          <w:szCs w:val="14"/>
          <w:color w:val="auto"/>
        </w:rPr>
        <w:t>As always, I welcome your feedback and look forward to meeting you at our AGM on May 19, 2015.</w:t>
      </w:r>
    </w:p>
    <w:p>
      <w:pPr>
        <w:spacing w:after="0" w:line="13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Gerard Kleisterlee</w:t>
      </w:r>
    </w:p>
    <w:p>
      <w:pPr>
        <w:spacing w:after="0" w:line="19" w:lineRule="exact"/>
        <w:rPr>
          <w:sz w:val="20"/>
          <w:szCs w:val="20"/>
          <w:color w:val="auto"/>
        </w:rPr>
      </w:pPr>
    </w:p>
    <w:p>
      <w:pPr>
        <w:spacing w:after="0"/>
        <w:rPr>
          <w:sz w:val="20"/>
          <w:szCs w:val="20"/>
          <w:color w:val="auto"/>
        </w:rPr>
      </w:pPr>
      <w:r>
        <w:rPr>
          <w:rFonts w:ascii="Arial" w:cs="Arial" w:eastAsia="Arial" w:hAnsi="Arial"/>
          <w:sz w:val="14"/>
          <w:szCs w:val="14"/>
          <w:color w:val="auto"/>
        </w:rPr>
        <w:t>Chairman of REMCO</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March 11, 2015</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Arial" w:cs="Arial" w:eastAsia="Arial" w:hAnsi="Arial"/>
          <w:sz w:val="10"/>
          <w:szCs w:val="10"/>
          <w:color w:val="auto"/>
        </w:rPr>
        <w:t>SHELL ANNUAL REPORT AND FORM 20-F 2014</w:t>
      </w:r>
    </w:p>
    <w:p>
      <w:pPr>
        <w:sectPr>
          <w:pgSz w:w="11900" w:h="16838" w:orient="portrait"/>
          <w:cols w:equalWidth="0" w:num="2">
            <w:col w:w="8300" w:space="720"/>
            <w:col w:w="2400"/>
          </w:cols>
          <w:pgMar w:left="240" w:top="459" w:right="239" w:bottom="1440" w:gutter="0" w:footer="0" w:header="0"/>
        </w:sectPr>
      </w:pPr>
    </w:p>
    <w:bookmarkStart w:id="82" w:name="page83"/>
    <w:bookmarkEnd w:id="82"/>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3555365</wp:posOffset>
            </wp:positionH>
            <wp:positionV relativeFrom="paragraph">
              <wp:posOffset>314960</wp:posOffset>
            </wp:positionV>
            <wp:extent cx="3696335" cy="46291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3696335" cy="462915"/>
                    </a:xfrm>
                    <a:prstGeom prst="rect">
                      <a:avLst/>
                    </a:prstGeom>
                    <a:noFill/>
                  </pic:spPr>
                </pic:pic>
              </a:graphicData>
            </a:graphic>
          </wp:anchor>
        </w:drawing>
      </w:r>
    </w:p>
    <w:p>
      <w:pPr>
        <w:sectPr>
          <w:pgSz w:w="11900" w:h="16838" w:orient="portrait"/>
          <w:cols w:equalWidth="0" w:num="1">
            <w:col w:w="11240"/>
          </w:cols>
          <w:pgMar w:left="240" w:top="459" w:right="4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11"/>
          <w:szCs w:val="11"/>
          <w:color w:val="auto"/>
        </w:rPr>
        <w:t>SHELL ANNUAL REPORT AND FORM 20-F 2014</w:t>
      </w:r>
    </w:p>
    <w:p>
      <w:pPr>
        <w:spacing w:after="0" w:line="59" w:lineRule="exact"/>
        <w:rPr>
          <w:sz w:val="20"/>
          <w:szCs w:val="20"/>
          <w:color w:val="auto"/>
        </w:rPr>
      </w:pPr>
    </w:p>
    <w:p>
      <w:pPr>
        <w:ind w:right="2300"/>
        <w:spacing w:after="0" w:line="253" w:lineRule="auto"/>
        <w:rPr>
          <w:sz w:val="20"/>
          <w:szCs w:val="20"/>
          <w:color w:val="auto"/>
        </w:rPr>
      </w:pPr>
      <w:r>
        <w:rPr>
          <w:rFonts w:ascii="Arial" w:cs="Arial" w:eastAsia="Arial" w:hAnsi="Arial"/>
          <w:sz w:val="31"/>
          <w:szCs w:val="31"/>
          <w:color w:val="auto"/>
        </w:rPr>
        <w:t>ANNUAL REPORT ON REMUNERATION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3473450" cy="889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spacing w:after="0" w:line="185" w:lineRule="exact"/>
        <w:rPr>
          <w:sz w:val="20"/>
          <w:szCs w:val="20"/>
          <w:color w:val="auto"/>
        </w:rPr>
      </w:pPr>
    </w:p>
    <w:p>
      <w:pPr>
        <w:spacing w:after="0"/>
        <w:rPr>
          <w:sz w:val="20"/>
          <w:szCs w:val="20"/>
          <w:color w:val="auto"/>
        </w:rPr>
      </w:pPr>
      <w:r>
        <w:rPr>
          <w:rFonts w:ascii="Arial" w:cs="Arial" w:eastAsia="Arial" w:hAnsi="Arial"/>
          <w:sz w:val="14"/>
          <w:szCs w:val="14"/>
          <w:color w:val="auto"/>
        </w:rPr>
        <w:t>The Annual Report on Remuneration sets out:</w:t>
      </w:r>
    </w:p>
    <w:p>
      <w:pPr>
        <w:spacing w:after="0" w:line="103" w:lineRule="exact"/>
        <w:rPr>
          <w:sz w:val="20"/>
          <w:szCs w:val="20"/>
          <w:color w:val="auto"/>
        </w:rPr>
      </w:pPr>
    </w:p>
    <w:p>
      <w:pPr>
        <w:ind w:left="180" w:hanging="172"/>
        <w:spacing w:after="0"/>
        <w:tabs>
          <w:tab w:leader="none" w:pos="180" w:val="left"/>
        </w:tabs>
        <w:numPr>
          <w:ilvl w:val="0"/>
          <w:numId w:val="78"/>
        </w:numPr>
        <w:rPr>
          <w:rFonts w:ascii="Arial" w:cs="Arial" w:eastAsia="Arial" w:hAnsi="Arial"/>
          <w:sz w:val="24"/>
          <w:szCs w:val="24"/>
          <w:color w:val="auto"/>
          <w:vertAlign w:val="superscript"/>
        </w:rPr>
      </w:pPr>
      <w:r>
        <w:rPr>
          <w:rFonts w:ascii="Arial" w:cs="Arial" w:eastAsia="Arial" w:hAnsi="Arial"/>
          <w:sz w:val="14"/>
          <w:szCs w:val="14"/>
          <w:color w:val="auto"/>
        </w:rPr>
        <w:t>REMCO and its responsibilities and activities;</w:t>
      </w:r>
    </w:p>
    <w:p>
      <w:pPr>
        <w:ind w:left="180" w:right="40" w:hanging="172"/>
        <w:spacing w:after="0" w:line="182" w:lineRule="auto"/>
        <w:tabs>
          <w:tab w:leader="none" w:pos="180" w:val="left"/>
        </w:tabs>
        <w:numPr>
          <w:ilvl w:val="0"/>
          <w:numId w:val="78"/>
        </w:numPr>
        <w:rPr>
          <w:rFonts w:ascii="Arial" w:cs="Arial" w:eastAsia="Arial" w:hAnsi="Arial"/>
          <w:sz w:val="23"/>
          <w:szCs w:val="23"/>
          <w:color w:val="auto"/>
          <w:vertAlign w:val="superscript"/>
        </w:rPr>
      </w:pPr>
      <w:r>
        <w:rPr>
          <w:rFonts w:ascii="Arial" w:cs="Arial" w:eastAsia="Arial" w:hAnsi="Arial"/>
          <w:sz w:val="14"/>
          <w:szCs w:val="14"/>
          <w:color w:val="auto"/>
        </w:rPr>
        <w:t>a summary of our policy in place in 2014, our approved policy, effective January 1, 2015, and planned implementation in 2015;</w:t>
      </w:r>
    </w:p>
    <w:p>
      <w:pPr>
        <w:spacing w:after="0" w:line="1" w:lineRule="exact"/>
        <w:rPr>
          <w:rFonts w:ascii="Arial" w:cs="Arial" w:eastAsia="Arial" w:hAnsi="Arial"/>
          <w:sz w:val="23"/>
          <w:szCs w:val="23"/>
          <w:color w:val="auto"/>
          <w:vertAlign w:val="superscript"/>
        </w:rPr>
      </w:pPr>
    </w:p>
    <w:p>
      <w:pPr>
        <w:ind w:left="180" w:hanging="172"/>
        <w:spacing w:after="0" w:line="187" w:lineRule="auto"/>
        <w:tabs>
          <w:tab w:leader="none" w:pos="180" w:val="left"/>
        </w:tabs>
        <w:numPr>
          <w:ilvl w:val="0"/>
          <w:numId w:val="78"/>
        </w:numPr>
        <w:rPr>
          <w:rFonts w:ascii="Arial" w:cs="Arial" w:eastAsia="Arial" w:hAnsi="Arial"/>
          <w:sz w:val="18"/>
          <w:szCs w:val="18"/>
          <w:color w:val="auto"/>
          <w:vertAlign w:val="superscript"/>
        </w:rPr>
      </w:pPr>
      <w:r>
        <w:rPr>
          <w:rFonts w:ascii="Arial" w:cs="Arial" w:eastAsia="Arial" w:hAnsi="Arial"/>
          <w:sz w:val="11"/>
          <w:szCs w:val="11"/>
          <w:color w:val="auto"/>
        </w:rPr>
        <w:t>the statement of implementation of the approved policy in 2015; and</w:t>
      </w:r>
    </w:p>
    <w:p>
      <w:pPr>
        <w:ind w:left="180" w:hanging="172"/>
        <w:spacing w:after="0" w:line="189" w:lineRule="auto"/>
        <w:tabs>
          <w:tab w:leader="none" w:pos="180" w:val="left"/>
        </w:tabs>
        <w:numPr>
          <w:ilvl w:val="0"/>
          <w:numId w:val="78"/>
        </w:numPr>
        <w:rPr>
          <w:rFonts w:ascii="Arial" w:cs="Arial" w:eastAsia="Arial" w:hAnsi="Arial"/>
          <w:sz w:val="19"/>
          <w:szCs w:val="19"/>
          <w:color w:val="auto"/>
          <w:vertAlign w:val="superscript"/>
        </w:rPr>
      </w:pPr>
      <w:r>
        <w:rPr>
          <w:rFonts w:ascii="Arial" w:cs="Arial" w:eastAsia="Arial" w:hAnsi="Arial"/>
          <w:sz w:val="12"/>
          <w:szCs w:val="12"/>
          <w:color w:val="auto"/>
        </w:rPr>
        <w:t>Directors’ remuneration for 2014.</w:t>
      </w:r>
    </w:p>
    <w:p>
      <w:pPr>
        <w:spacing w:after="0" w:line="179" w:lineRule="exact"/>
        <w:rPr>
          <w:sz w:val="20"/>
          <w:szCs w:val="20"/>
          <w:color w:val="auto"/>
        </w:rPr>
      </w:pPr>
    </w:p>
    <w:p>
      <w:pPr>
        <w:ind w:right="120"/>
        <w:spacing w:after="0" w:line="245" w:lineRule="auto"/>
        <w:rPr>
          <w:sz w:val="20"/>
          <w:szCs w:val="20"/>
          <w:color w:val="auto"/>
        </w:rPr>
      </w:pPr>
      <w:r>
        <w:rPr>
          <w:rFonts w:ascii="Arial" w:cs="Arial" w:eastAsia="Arial" w:hAnsi="Arial"/>
          <w:sz w:val="14"/>
          <w:szCs w:val="14"/>
          <w:color w:val="auto"/>
        </w:rPr>
        <w:t>The base currency in this Annual Report on Remuneration is the euro, as this is the currency of the base salary and country of employment of the Executive Directors. Where amounts are shown in other currencies, an average exchange rate for the relevant year is used, unless a specific date is stated, in which case the average exchange rate for the specific date is used.</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color w:val="auto"/>
        </w:rPr>
        <w:t>REMUNERATION COMMITTEE</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The following Directors were members of REMCO during 2014:</w:t>
      </w:r>
    </w:p>
    <w:p>
      <w:pPr>
        <w:spacing w:after="0" w:line="103" w:lineRule="exact"/>
        <w:rPr>
          <w:sz w:val="20"/>
          <w:szCs w:val="20"/>
          <w:color w:val="auto"/>
        </w:rPr>
      </w:pPr>
    </w:p>
    <w:p>
      <w:pPr>
        <w:ind w:left="180" w:hanging="172"/>
        <w:spacing w:after="0"/>
        <w:tabs>
          <w:tab w:leader="none" w:pos="180" w:val="left"/>
        </w:tabs>
        <w:numPr>
          <w:ilvl w:val="0"/>
          <w:numId w:val="79"/>
        </w:numPr>
        <w:rPr>
          <w:rFonts w:ascii="Arial" w:cs="Arial" w:eastAsia="Arial" w:hAnsi="Arial"/>
          <w:sz w:val="24"/>
          <w:szCs w:val="24"/>
          <w:color w:val="auto"/>
          <w:vertAlign w:val="superscript"/>
        </w:rPr>
      </w:pPr>
      <w:r>
        <w:rPr>
          <w:rFonts w:ascii="Arial" w:cs="Arial" w:eastAsia="Arial" w:hAnsi="Arial"/>
          <w:sz w:val="14"/>
          <w:szCs w:val="14"/>
          <w:color w:val="auto"/>
        </w:rPr>
        <w:t>Gerard Kleisterlee (Chairman of REMCO with effect from May 21, 2014);</w:t>
      </w:r>
    </w:p>
    <w:p>
      <w:pPr>
        <w:ind w:left="180" w:hanging="172"/>
        <w:spacing w:after="0" w:line="187" w:lineRule="auto"/>
        <w:tabs>
          <w:tab w:leader="none" w:pos="180" w:val="left"/>
        </w:tabs>
        <w:numPr>
          <w:ilvl w:val="0"/>
          <w:numId w:val="79"/>
        </w:numPr>
        <w:rPr>
          <w:rFonts w:ascii="Arial" w:cs="Arial" w:eastAsia="Arial" w:hAnsi="Arial"/>
          <w:sz w:val="18"/>
          <w:szCs w:val="18"/>
          <w:color w:val="auto"/>
          <w:vertAlign w:val="superscript"/>
        </w:rPr>
      </w:pPr>
      <w:r>
        <w:rPr>
          <w:rFonts w:ascii="Arial" w:cs="Arial" w:eastAsia="Arial" w:hAnsi="Arial"/>
          <w:sz w:val="11"/>
          <w:szCs w:val="11"/>
          <w:color w:val="auto"/>
        </w:rPr>
        <w:t>Hans Wijers (Chairman of REMCO until he stood down on May 20, 2014);</w:t>
      </w:r>
    </w:p>
    <w:p>
      <w:pPr>
        <w:ind w:left="180" w:hanging="172"/>
        <w:spacing w:after="0" w:line="187" w:lineRule="auto"/>
        <w:tabs>
          <w:tab w:leader="none" w:pos="180" w:val="left"/>
        </w:tabs>
        <w:numPr>
          <w:ilvl w:val="0"/>
          <w:numId w:val="79"/>
        </w:numPr>
        <w:rPr>
          <w:rFonts w:ascii="Arial" w:cs="Arial" w:eastAsia="Arial" w:hAnsi="Arial"/>
          <w:sz w:val="18"/>
          <w:szCs w:val="18"/>
          <w:color w:val="auto"/>
          <w:vertAlign w:val="superscript"/>
        </w:rPr>
      </w:pPr>
      <w:r>
        <w:rPr>
          <w:rFonts w:ascii="Arial" w:cs="Arial" w:eastAsia="Arial" w:hAnsi="Arial"/>
          <w:sz w:val="11"/>
          <w:szCs w:val="11"/>
          <w:color w:val="auto"/>
        </w:rPr>
        <w:t>Josef Ackermann (stood down on May 20, 2014);</w:t>
      </w:r>
    </w:p>
    <w:p>
      <w:pPr>
        <w:ind w:left="180" w:hanging="172"/>
        <w:spacing w:after="0" w:line="187" w:lineRule="auto"/>
        <w:tabs>
          <w:tab w:leader="none" w:pos="180" w:val="left"/>
        </w:tabs>
        <w:numPr>
          <w:ilvl w:val="0"/>
          <w:numId w:val="79"/>
        </w:numPr>
        <w:rPr>
          <w:rFonts w:ascii="Arial" w:cs="Arial" w:eastAsia="Arial" w:hAnsi="Arial"/>
          <w:sz w:val="18"/>
          <w:szCs w:val="18"/>
          <w:color w:val="auto"/>
          <w:vertAlign w:val="superscript"/>
        </w:rPr>
      </w:pPr>
      <w:r>
        <w:rPr>
          <w:rFonts w:ascii="Arial" w:cs="Arial" w:eastAsia="Arial" w:hAnsi="Arial"/>
          <w:sz w:val="11"/>
          <w:szCs w:val="11"/>
          <w:color w:val="auto"/>
        </w:rPr>
        <w:t>Charles O. Holliday; and</w:t>
      </w:r>
    </w:p>
    <w:p>
      <w:pPr>
        <w:ind w:left="180" w:hanging="172"/>
        <w:spacing w:after="0" w:line="189" w:lineRule="auto"/>
        <w:tabs>
          <w:tab w:leader="none" w:pos="180" w:val="left"/>
        </w:tabs>
        <w:numPr>
          <w:ilvl w:val="0"/>
          <w:numId w:val="79"/>
        </w:numPr>
        <w:rPr>
          <w:rFonts w:ascii="Arial" w:cs="Arial" w:eastAsia="Arial" w:hAnsi="Arial"/>
          <w:sz w:val="19"/>
          <w:szCs w:val="19"/>
          <w:color w:val="auto"/>
          <w:vertAlign w:val="superscript"/>
        </w:rPr>
      </w:pPr>
      <w:r>
        <w:rPr>
          <w:rFonts w:ascii="Arial" w:cs="Arial" w:eastAsia="Arial" w:hAnsi="Arial"/>
          <w:sz w:val="12"/>
          <w:szCs w:val="12"/>
          <w:color w:val="auto"/>
        </w:rPr>
        <w:t>Gerrit Zalm (with effect from May 21, 2014).</w:t>
      </w:r>
    </w:p>
    <w:p>
      <w:pPr>
        <w:spacing w:after="0" w:line="166" w:lineRule="exact"/>
        <w:rPr>
          <w:sz w:val="20"/>
          <w:szCs w:val="20"/>
          <w:color w:val="auto"/>
        </w:rPr>
      </w:pPr>
    </w:p>
    <w:p>
      <w:pPr>
        <w:spacing w:after="0" w:line="258" w:lineRule="auto"/>
        <w:rPr>
          <w:sz w:val="20"/>
          <w:szCs w:val="20"/>
          <w:color w:val="auto"/>
        </w:rPr>
      </w:pPr>
      <w:r>
        <w:rPr>
          <w:rFonts w:ascii="Arial" w:cs="Arial" w:eastAsia="Arial" w:hAnsi="Arial"/>
          <w:sz w:val="14"/>
          <w:szCs w:val="14"/>
          <w:color w:val="auto"/>
        </w:rPr>
        <w:t>Their biographies are given on pages 58-60; REMCO meeting attendance is given on page 67.</w:t>
      </w:r>
    </w:p>
    <w:p>
      <w:pPr>
        <w:spacing w:after="0" w:line="167" w:lineRule="exact"/>
        <w:rPr>
          <w:sz w:val="20"/>
          <w:szCs w:val="20"/>
          <w:color w:val="auto"/>
        </w:rPr>
      </w:pPr>
    </w:p>
    <w:p>
      <w:pPr>
        <w:spacing w:after="0"/>
        <w:rPr>
          <w:sz w:val="20"/>
          <w:szCs w:val="20"/>
          <w:color w:val="auto"/>
        </w:rPr>
      </w:pPr>
      <w:r>
        <w:rPr>
          <w:rFonts w:ascii="Arial" w:cs="Arial" w:eastAsia="Arial" w:hAnsi="Arial"/>
          <w:sz w:val="14"/>
          <w:szCs w:val="14"/>
          <w:color w:val="auto"/>
        </w:rPr>
        <w:t>REMCO’s key responsibilities in respect of Executive Directors include:</w:t>
      </w:r>
    </w:p>
    <w:p>
      <w:pPr>
        <w:spacing w:after="0" w:line="103" w:lineRule="exact"/>
        <w:rPr>
          <w:sz w:val="20"/>
          <w:szCs w:val="20"/>
          <w:color w:val="auto"/>
        </w:rPr>
      </w:pPr>
    </w:p>
    <w:p>
      <w:pPr>
        <w:ind w:left="180" w:hanging="172"/>
        <w:spacing w:after="0"/>
        <w:tabs>
          <w:tab w:leader="none" w:pos="180" w:val="left"/>
        </w:tabs>
        <w:numPr>
          <w:ilvl w:val="0"/>
          <w:numId w:val="80"/>
        </w:numPr>
        <w:rPr>
          <w:rFonts w:ascii="Arial" w:cs="Arial" w:eastAsia="Arial" w:hAnsi="Arial"/>
          <w:sz w:val="24"/>
          <w:szCs w:val="24"/>
          <w:color w:val="auto"/>
          <w:vertAlign w:val="superscript"/>
        </w:rPr>
      </w:pPr>
      <w:r>
        <w:rPr>
          <w:rFonts w:ascii="Arial" w:cs="Arial" w:eastAsia="Arial" w:hAnsi="Arial"/>
          <w:sz w:val="14"/>
          <w:szCs w:val="14"/>
          <w:color w:val="auto"/>
        </w:rPr>
        <w:t>setting remuneration policy;</w:t>
      </w:r>
    </w:p>
    <w:p>
      <w:pPr>
        <w:ind w:left="180" w:hanging="172"/>
        <w:spacing w:after="0" w:line="187" w:lineRule="auto"/>
        <w:tabs>
          <w:tab w:leader="none" w:pos="180" w:val="left"/>
        </w:tabs>
        <w:numPr>
          <w:ilvl w:val="0"/>
          <w:numId w:val="80"/>
        </w:numPr>
        <w:rPr>
          <w:rFonts w:ascii="Arial" w:cs="Arial" w:eastAsia="Arial" w:hAnsi="Arial"/>
          <w:sz w:val="18"/>
          <w:szCs w:val="18"/>
          <w:color w:val="auto"/>
          <w:vertAlign w:val="superscript"/>
        </w:rPr>
      </w:pPr>
      <w:r>
        <w:rPr>
          <w:rFonts w:ascii="Arial" w:cs="Arial" w:eastAsia="Arial" w:hAnsi="Arial"/>
          <w:sz w:val="11"/>
          <w:szCs w:val="11"/>
          <w:color w:val="auto"/>
        </w:rPr>
        <w:t>agreeing performance frameworks, setting targets and reviewing performance;</w:t>
      </w:r>
    </w:p>
    <w:p>
      <w:pPr>
        <w:ind w:left="180" w:hanging="172"/>
        <w:spacing w:after="0" w:line="187" w:lineRule="auto"/>
        <w:tabs>
          <w:tab w:leader="none" w:pos="180" w:val="left"/>
        </w:tabs>
        <w:numPr>
          <w:ilvl w:val="0"/>
          <w:numId w:val="80"/>
        </w:numPr>
        <w:rPr>
          <w:rFonts w:ascii="Arial" w:cs="Arial" w:eastAsia="Arial" w:hAnsi="Arial"/>
          <w:sz w:val="18"/>
          <w:szCs w:val="18"/>
          <w:color w:val="auto"/>
          <w:vertAlign w:val="superscript"/>
        </w:rPr>
      </w:pPr>
      <w:r>
        <w:rPr>
          <w:rFonts w:ascii="Arial" w:cs="Arial" w:eastAsia="Arial" w:hAnsi="Arial"/>
          <w:sz w:val="11"/>
          <w:szCs w:val="11"/>
          <w:color w:val="auto"/>
        </w:rPr>
        <w:t>determining actual remuneration and benefits; and</w:t>
      </w:r>
    </w:p>
    <w:p>
      <w:pPr>
        <w:ind w:left="180" w:hanging="172"/>
        <w:spacing w:after="0" w:line="189" w:lineRule="auto"/>
        <w:tabs>
          <w:tab w:leader="none" w:pos="180" w:val="left"/>
        </w:tabs>
        <w:numPr>
          <w:ilvl w:val="0"/>
          <w:numId w:val="80"/>
        </w:numPr>
        <w:rPr>
          <w:rFonts w:ascii="Arial" w:cs="Arial" w:eastAsia="Arial" w:hAnsi="Arial"/>
          <w:sz w:val="19"/>
          <w:szCs w:val="19"/>
          <w:color w:val="auto"/>
          <w:vertAlign w:val="superscript"/>
        </w:rPr>
      </w:pPr>
      <w:r>
        <w:rPr>
          <w:rFonts w:ascii="Arial" w:cs="Arial" w:eastAsia="Arial" w:hAnsi="Arial"/>
          <w:sz w:val="12"/>
          <w:szCs w:val="12"/>
          <w:color w:val="auto"/>
        </w:rPr>
        <w:t>determining contractual terms.</w:t>
      </w:r>
    </w:p>
    <w:p>
      <w:pPr>
        <w:spacing w:after="0" w:line="166" w:lineRule="exact"/>
        <w:rPr>
          <w:sz w:val="20"/>
          <w:szCs w:val="20"/>
          <w:color w:val="auto"/>
        </w:rPr>
      </w:pPr>
    </w:p>
    <w:p>
      <w:pPr>
        <w:ind w:right="500"/>
        <w:spacing w:after="0" w:line="250" w:lineRule="auto"/>
        <w:rPr>
          <w:sz w:val="20"/>
          <w:szCs w:val="20"/>
          <w:color w:val="auto"/>
        </w:rPr>
      </w:pPr>
      <w:r>
        <w:rPr>
          <w:rFonts w:ascii="Arial" w:cs="Arial" w:eastAsia="Arial" w:hAnsi="Arial"/>
          <w:sz w:val="14"/>
          <w:szCs w:val="14"/>
          <w:color w:val="auto"/>
        </w:rPr>
        <w:t>In addition, REMCO has the responsibility for the Chairman of the Board’s remuneration and for recommending and monitoring the level and structure of remuneration for Senior Management.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spacing w:after="0" w:line="1" w:lineRule="exact"/>
        <w:rPr>
          <w:sz w:val="1"/>
          <w:szCs w:val="1"/>
          <w:color w:val="auto"/>
        </w:rPr>
      </w:pPr>
    </w:p>
    <w:tbl>
      <w:tblPr>
        <w:tblLayout w:type="fixed"/>
        <w:tblInd w:w="740" w:type="dxa"/>
        <w:tblCellMar>
          <w:top w:w="0" w:type="dxa"/>
          <w:left w:w="0" w:type="dxa"/>
          <w:bottom w:w="0" w:type="dxa"/>
          <w:right w:w="0" w:type="dxa"/>
        </w:tblCellMar>
      </w:tblPr>
      <w:tr>
        <w:trPr>
          <w:trHeight w:val="161"/>
        </w:trPr>
        <w:tc>
          <w:tcPr>
            <w:tcW w:w="2580" w:type="dxa"/>
            <w:vAlign w:val="bottom"/>
          </w:tcPr>
          <w:p>
            <w:pPr>
              <w:spacing w:after="0"/>
              <w:rPr>
                <w:sz w:val="20"/>
                <w:szCs w:val="20"/>
                <w:color w:val="auto"/>
              </w:rPr>
            </w:pPr>
            <w:r>
              <w:rPr>
                <w:rFonts w:ascii="Arial" w:cs="Arial" w:eastAsia="Arial" w:hAnsi="Arial"/>
                <w:sz w:val="13"/>
                <w:szCs w:val="13"/>
                <w:color w:val="333333"/>
              </w:rPr>
              <w:t>GOVERNANCE</w:t>
            </w:r>
          </w:p>
        </w:tc>
        <w:tc>
          <w:tcPr>
            <w:tcW w:w="1820" w:type="dxa"/>
            <w:vAlign w:val="bottom"/>
          </w:tcPr>
          <w:p>
            <w:pPr>
              <w:jc w:val="right"/>
              <w:spacing w:after="0"/>
              <w:rPr>
                <w:sz w:val="20"/>
                <w:szCs w:val="20"/>
                <w:color w:val="auto"/>
              </w:rPr>
            </w:pPr>
            <w:r>
              <w:rPr>
                <w:rFonts w:ascii="Arial" w:cs="Arial" w:eastAsia="Arial" w:hAnsi="Arial"/>
                <w:sz w:val="11"/>
                <w:szCs w:val="11"/>
                <w:b w:val="1"/>
                <w:bCs w:val="1"/>
                <w:color w:val="333333"/>
              </w:rPr>
              <w:t>81</w:t>
            </w:r>
          </w:p>
        </w:tc>
      </w:tr>
    </w:tbl>
    <w:p>
      <w:pPr>
        <w:spacing w:after="0" w:line="161" w:lineRule="exact"/>
        <w:rPr>
          <w:sz w:val="20"/>
          <w:szCs w:val="20"/>
          <w:color w:val="auto"/>
        </w:rPr>
      </w:pPr>
    </w:p>
    <w:p>
      <w:pPr>
        <w:ind w:left="740"/>
        <w:spacing w:after="0"/>
        <w:rPr>
          <w:sz w:val="20"/>
          <w:szCs w:val="20"/>
          <w:color w:val="auto"/>
        </w:rPr>
      </w:pPr>
      <w:r>
        <w:rPr>
          <w:rFonts w:ascii="Arial" w:cs="Arial" w:eastAsia="Arial" w:hAnsi="Arial"/>
          <w:sz w:val="11"/>
          <w:szCs w:val="11"/>
          <w:color w:val="auto"/>
        </w:rPr>
        <w:t>DIRECTORS’ REMUNERATION REPORT</w:t>
      </w:r>
    </w:p>
    <w:p>
      <w:pPr>
        <w:spacing w:after="0" w:line="57" w:lineRule="exact"/>
        <w:rPr>
          <w:sz w:val="20"/>
          <w:szCs w:val="20"/>
          <w:color w:val="auto"/>
        </w:rPr>
      </w:pPr>
    </w:p>
    <w:p>
      <w:pPr>
        <w:ind w:right="100"/>
        <w:spacing w:after="0" w:line="247" w:lineRule="auto"/>
        <w:rPr>
          <w:sz w:val="20"/>
          <w:szCs w:val="20"/>
          <w:color w:val="auto"/>
        </w:rPr>
      </w:pPr>
      <w:r>
        <w:rPr>
          <w:rFonts w:ascii="Arial" w:cs="Arial" w:eastAsia="Arial" w:hAnsi="Arial"/>
          <w:sz w:val="14"/>
          <w:szCs w:val="14"/>
          <w:color w:val="auto"/>
        </w:rPr>
        <w:t>REMCO operates within its terms of reference, which are reviewed regularly and updated whenever necessary. They were last updated on January 28, 2015 and are available at www.shell.com. Alternatively, copies can be obtained from the Company Secretary.</w:t>
      </w:r>
    </w:p>
    <w:p>
      <w:pPr>
        <w:spacing w:after="0" w:line="175" w:lineRule="exact"/>
        <w:rPr>
          <w:sz w:val="20"/>
          <w:szCs w:val="20"/>
          <w:color w:val="auto"/>
        </w:rPr>
      </w:pPr>
    </w:p>
    <w:p>
      <w:pPr>
        <w:ind w:right="500"/>
        <w:spacing w:after="0" w:line="258" w:lineRule="auto"/>
        <w:rPr>
          <w:sz w:val="20"/>
          <w:szCs w:val="20"/>
          <w:color w:val="auto"/>
        </w:rPr>
      </w:pPr>
      <w:r>
        <w:rPr>
          <w:rFonts w:ascii="Arial" w:cs="Arial" w:eastAsia="Arial" w:hAnsi="Arial"/>
          <w:sz w:val="14"/>
          <w:szCs w:val="14"/>
          <w:color w:val="auto"/>
        </w:rPr>
        <w:t>Advice from within Shell on various subjects including the Executive Directors’ Scorecard and the remuneration of Senior Management was provided by:</w:t>
      </w:r>
    </w:p>
    <w:p>
      <w:pPr>
        <w:spacing w:after="0" w:line="80" w:lineRule="exact"/>
        <w:rPr>
          <w:sz w:val="20"/>
          <w:szCs w:val="20"/>
          <w:color w:val="auto"/>
        </w:rPr>
      </w:pPr>
    </w:p>
    <w:p>
      <w:pPr>
        <w:ind w:left="160" w:hanging="160"/>
        <w:spacing w:after="0"/>
        <w:tabs>
          <w:tab w:leader="none" w:pos="160" w:val="left"/>
        </w:tabs>
        <w:numPr>
          <w:ilvl w:val="0"/>
          <w:numId w:val="81"/>
        </w:numPr>
        <w:rPr>
          <w:rFonts w:ascii="Arial" w:cs="Arial" w:eastAsia="Arial" w:hAnsi="Arial"/>
          <w:sz w:val="24"/>
          <w:szCs w:val="24"/>
          <w:color w:val="auto"/>
          <w:vertAlign w:val="superscript"/>
        </w:rPr>
      </w:pPr>
      <w:r>
        <w:rPr>
          <w:rFonts w:ascii="Arial" w:cs="Arial" w:eastAsia="Arial" w:hAnsi="Arial"/>
          <w:sz w:val="14"/>
          <w:szCs w:val="14"/>
          <w:color w:val="auto"/>
        </w:rPr>
        <w:t>Ben van Beurden, CEO;</w:t>
      </w:r>
    </w:p>
    <w:p>
      <w:pPr>
        <w:ind w:left="160" w:right="400" w:hanging="160"/>
        <w:spacing w:after="0" w:line="182" w:lineRule="auto"/>
        <w:tabs>
          <w:tab w:leader="none" w:pos="160" w:val="left"/>
        </w:tabs>
        <w:numPr>
          <w:ilvl w:val="0"/>
          <w:numId w:val="81"/>
        </w:numPr>
        <w:rPr>
          <w:rFonts w:ascii="Arial" w:cs="Arial" w:eastAsia="Arial" w:hAnsi="Arial"/>
          <w:sz w:val="23"/>
          <w:szCs w:val="23"/>
          <w:color w:val="auto"/>
          <w:vertAlign w:val="superscript"/>
        </w:rPr>
      </w:pPr>
      <w:r>
        <w:rPr>
          <w:rFonts w:ascii="Arial" w:cs="Arial" w:eastAsia="Arial" w:hAnsi="Arial"/>
          <w:sz w:val="14"/>
          <w:szCs w:val="14"/>
          <w:color w:val="auto"/>
        </w:rPr>
        <w:t>Hugh Mitchell, Chief Human Resources &amp; Corporate Officer and Secretary to REMCO; and</w:t>
      </w:r>
    </w:p>
    <w:p>
      <w:pPr>
        <w:spacing w:after="0" w:line="1" w:lineRule="exact"/>
        <w:rPr>
          <w:rFonts w:ascii="Arial" w:cs="Arial" w:eastAsia="Arial" w:hAnsi="Arial"/>
          <w:sz w:val="23"/>
          <w:szCs w:val="23"/>
          <w:color w:val="auto"/>
          <w:vertAlign w:val="superscript"/>
        </w:rPr>
      </w:pPr>
    </w:p>
    <w:p>
      <w:pPr>
        <w:ind w:left="160" w:hanging="160"/>
        <w:spacing w:after="0" w:line="189" w:lineRule="auto"/>
        <w:tabs>
          <w:tab w:leader="none" w:pos="160" w:val="left"/>
        </w:tabs>
        <w:numPr>
          <w:ilvl w:val="0"/>
          <w:numId w:val="81"/>
        </w:numPr>
        <w:rPr>
          <w:rFonts w:ascii="Arial" w:cs="Arial" w:eastAsia="Arial" w:hAnsi="Arial"/>
          <w:sz w:val="19"/>
          <w:szCs w:val="19"/>
          <w:color w:val="auto"/>
          <w:vertAlign w:val="superscript"/>
        </w:rPr>
      </w:pPr>
      <w:r>
        <w:rPr>
          <w:rFonts w:ascii="Arial" w:cs="Arial" w:eastAsia="Arial" w:hAnsi="Arial"/>
          <w:sz w:val="12"/>
          <w:szCs w:val="12"/>
          <w:color w:val="auto"/>
        </w:rPr>
        <w:t>Stephanie Boyde, Executive Vice President Remuneration, Benefits &amp; Services.</w:t>
      </w:r>
    </w:p>
    <w:p>
      <w:pPr>
        <w:spacing w:after="0" w:line="166" w:lineRule="exact"/>
        <w:rPr>
          <w:sz w:val="20"/>
          <w:szCs w:val="20"/>
          <w:color w:val="auto"/>
        </w:rPr>
      </w:pPr>
    </w:p>
    <w:p>
      <w:pPr>
        <w:ind w:right="100"/>
        <w:spacing w:after="0" w:line="258" w:lineRule="auto"/>
        <w:rPr>
          <w:sz w:val="20"/>
          <w:szCs w:val="20"/>
          <w:color w:val="auto"/>
        </w:rPr>
      </w:pPr>
      <w:r>
        <w:rPr>
          <w:rFonts w:ascii="Arial" w:cs="Arial" w:eastAsia="Arial" w:hAnsi="Arial"/>
          <w:sz w:val="14"/>
          <w:szCs w:val="14"/>
          <w:color w:val="auto"/>
        </w:rPr>
        <w:t>The Chairman of the Board and the CEO were consulted on remuneration proposals affecting the CFO.</w:t>
      </w:r>
    </w:p>
    <w:p>
      <w:pPr>
        <w:spacing w:after="0" w:line="154" w:lineRule="exact"/>
        <w:rPr>
          <w:sz w:val="20"/>
          <w:szCs w:val="20"/>
          <w:color w:val="auto"/>
        </w:rPr>
      </w:pPr>
    </w:p>
    <w:p>
      <w:pPr>
        <w:spacing w:after="0"/>
        <w:rPr>
          <w:sz w:val="20"/>
          <w:szCs w:val="20"/>
          <w:color w:val="auto"/>
        </w:rPr>
      </w:pPr>
      <w:r>
        <w:rPr>
          <w:rFonts w:ascii="Arial" w:cs="Arial" w:eastAsia="Arial" w:hAnsi="Arial"/>
          <w:sz w:val="14"/>
          <w:szCs w:val="14"/>
          <w:color w:val="auto"/>
        </w:rPr>
        <w:t>During 2014, REMCO met four times and its activities included:</w:t>
      </w:r>
    </w:p>
    <w:p>
      <w:pPr>
        <w:spacing w:after="0" w:line="103" w:lineRule="exact"/>
        <w:rPr>
          <w:sz w:val="20"/>
          <w:szCs w:val="20"/>
          <w:color w:val="auto"/>
        </w:rPr>
      </w:pPr>
    </w:p>
    <w:p>
      <w:pPr>
        <w:ind w:left="160" w:hanging="160"/>
        <w:spacing w:after="0"/>
        <w:tabs>
          <w:tab w:leader="none" w:pos="160" w:val="left"/>
        </w:tabs>
        <w:numPr>
          <w:ilvl w:val="0"/>
          <w:numId w:val="82"/>
        </w:numPr>
        <w:rPr>
          <w:rFonts w:ascii="Arial" w:cs="Arial" w:eastAsia="Arial" w:hAnsi="Arial"/>
          <w:sz w:val="24"/>
          <w:szCs w:val="24"/>
          <w:color w:val="auto"/>
          <w:vertAlign w:val="superscript"/>
        </w:rPr>
      </w:pPr>
      <w:r>
        <w:rPr>
          <w:rFonts w:ascii="Arial" w:cs="Arial" w:eastAsia="Arial" w:hAnsi="Arial"/>
          <w:sz w:val="14"/>
          <w:szCs w:val="14"/>
          <w:color w:val="auto"/>
        </w:rPr>
        <w:t>approving the 2013 Directors’ Remuneration Report;</w:t>
      </w:r>
    </w:p>
    <w:p>
      <w:pPr>
        <w:ind w:left="160" w:hanging="160"/>
        <w:spacing w:after="0" w:line="187" w:lineRule="auto"/>
        <w:tabs>
          <w:tab w:leader="none" w:pos="160" w:val="left"/>
        </w:tabs>
        <w:numPr>
          <w:ilvl w:val="0"/>
          <w:numId w:val="82"/>
        </w:numPr>
        <w:rPr>
          <w:rFonts w:ascii="Arial" w:cs="Arial" w:eastAsia="Arial" w:hAnsi="Arial"/>
          <w:sz w:val="18"/>
          <w:szCs w:val="18"/>
          <w:color w:val="auto"/>
          <w:vertAlign w:val="superscript"/>
        </w:rPr>
      </w:pPr>
      <w:r>
        <w:rPr>
          <w:rFonts w:ascii="Arial" w:cs="Arial" w:eastAsia="Arial" w:hAnsi="Arial"/>
          <w:sz w:val="11"/>
          <w:szCs w:val="11"/>
          <w:color w:val="auto"/>
        </w:rPr>
        <w:t>approving the 2014 share plan rules;</w:t>
      </w:r>
    </w:p>
    <w:p>
      <w:pPr>
        <w:ind w:left="160" w:hanging="160"/>
        <w:spacing w:after="0" w:line="187" w:lineRule="auto"/>
        <w:tabs>
          <w:tab w:leader="none" w:pos="160" w:val="left"/>
        </w:tabs>
        <w:numPr>
          <w:ilvl w:val="0"/>
          <w:numId w:val="82"/>
        </w:numPr>
        <w:rPr>
          <w:rFonts w:ascii="Arial" w:cs="Arial" w:eastAsia="Arial" w:hAnsi="Arial"/>
          <w:sz w:val="18"/>
          <w:szCs w:val="18"/>
          <w:color w:val="auto"/>
          <w:vertAlign w:val="superscript"/>
        </w:rPr>
      </w:pPr>
      <w:r>
        <w:rPr>
          <w:rFonts w:ascii="Arial" w:cs="Arial" w:eastAsia="Arial" w:hAnsi="Arial"/>
          <w:sz w:val="11"/>
          <w:szCs w:val="11"/>
          <w:color w:val="auto"/>
        </w:rPr>
        <w:t>consulting with major shareholders in April, November and December;</w:t>
      </w:r>
    </w:p>
    <w:p>
      <w:pPr>
        <w:ind w:left="160" w:hanging="160"/>
        <w:spacing w:after="0" w:line="187" w:lineRule="auto"/>
        <w:tabs>
          <w:tab w:leader="none" w:pos="160" w:val="left"/>
        </w:tabs>
        <w:numPr>
          <w:ilvl w:val="0"/>
          <w:numId w:val="82"/>
        </w:numPr>
        <w:rPr>
          <w:rFonts w:ascii="Arial" w:cs="Arial" w:eastAsia="Arial" w:hAnsi="Arial"/>
          <w:sz w:val="18"/>
          <w:szCs w:val="18"/>
          <w:color w:val="auto"/>
          <w:vertAlign w:val="superscript"/>
        </w:rPr>
      </w:pPr>
      <w:r>
        <w:rPr>
          <w:rFonts w:ascii="Arial" w:cs="Arial" w:eastAsia="Arial" w:hAnsi="Arial"/>
          <w:sz w:val="11"/>
          <w:szCs w:val="11"/>
          <w:color w:val="auto"/>
        </w:rPr>
        <w:t>setting annual bonus performance measures and targets;</w:t>
      </w:r>
    </w:p>
    <w:p>
      <w:pPr>
        <w:ind w:left="160" w:hanging="160"/>
        <w:spacing w:after="0" w:line="187" w:lineRule="auto"/>
        <w:tabs>
          <w:tab w:leader="none" w:pos="160" w:val="left"/>
        </w:tabs>
        <w:numPr>
          <w:ilvl w:val="0"/>
          <w:numId w:val="82"/>
        </w:numPr>
        <w:rPr>
          <w:rFonts w:ascii="Arial" w:cs="Arial" w:eastAsia="Arial" w:hAnsi="Arial"/>
          <w:sz w:val="18"/>
          <w:szCs w:val="18"/>
          <w:color w:val="auto"/>
          <w:vertAlign w:val="superscript"/>
        </w:rPr>
      </w:pPr>
      <w:r>
        <w:rPr>
          <w:rFonts w:ascii="Arial" w:cs="Arial" w:eastAsia="Arial" w:hAnsi="Arial"/>
          <w:sz w:val="11"/>
          <w:szCs w:val="11"/>
          <w:color w:val="auto"/>
        </w:rPr>
        <w:t>deciding on base salaries for the CEO and the CFO;</w:t>
      </w:r>
    </w:p>
    <w:p>
      <w:pPr>
        <w:ind w:left="160" w:hanging="160"/>
        <w:spacing w:after="0" w:line="187" w:lineRule="auto"/>
        <w:tabs>
          <w:tab w:leader="none" w:pos="160" w:val="left"/>
        </w:tabs>
        <w:numPr>
          <w:ilvl w:val="0"/>
          <w:numId w:val="82"/>
        </w:numPr>
        <w:rPr>
          <w:rFonts w:ascii="Arial" w:cs="Arial" w:eastAsia="Arial" w:hAnsi="Arial"/>
          <w:sz w:val="18"/>
          <w:szCs w:val="18"/>
          <w:color w:val="auto"/>
          <w:vertAlign w:val="superscript"/>
        </w:rPr>
      </w:pPr>
      <w:r>
        <w:rPr>
          <w:rFonts w:ascii="Arial" w:cs="Arial" w:eastAsia="Arial" w:hAnsi="Arial"/>
          <w:sz w:val="11"/>
          <w:szCs w:val="11"/>
          <w:color w:val="auto"/>
        </w:rPr>
        <w:t>determining the 2013 annual bonus outcomes;</w:t>
      </w:r>
    </w:p>
    <w:p>
      <w:pPr>
        <w:ind w:left="160" w:hanging="160"/>
        <w:spacing w:after="0" w:line="187" w:lineRule="auto"/>
        <w:tabs>
          <w:tab w:leader="none" w:pos="160" w:val="left"/>
        </w:tabs>
        <w:numPr>
          <w:ilvl w:val="0"/>
          <w:numId w:val="82"/>
        </w:numPr>
        <w:rPr>
          <w:rFonts w:ascii="Arial" w:cs="Arial" w:eastAsia="Arial" w:hAnsi="Arial"/>
          <w:sz w:val="18"/>
          <w:szCs w:val="18"/>
          <w:color w:val="auto"/>
          <w:vertAlign w:val="superscript"/>
        </w:rPr>
      </w:pPr>
      <w:r>
        <w:rPr>
          <w:rFonts w:ascii="Arial" w:cs="Arial" w:eastAsia="Arial" w:hAnsi="Arial"/>
          <w:sz w:val="11"/>
          <w:szCs w:val="11"/>
          <w:color w:val="auto"/>
        </w:rPr>
        <w:t>vesting of the 2011 LTIP, DBP and PSP awards;</w:t>
      </w:r>
    </w:p>
    <w:p>
      <w:pPr>
        <w:ind w:left="160" w:hanging="160"/>
        <w:spacing w:after="0" w:line="187" w:lineRule="auto"/>
        <w:tabs>
          <w:tab w:leader="none" w:pos="160" w:val="left"/>
        </w:tabs>
        <w:numPr>
          <w:ilvl w:val="0"/>
          <w:numId w:val="82"/>
        </w:numPr>
        <w:rPr>
          <w:rFonts w:ascii="Arial" w:cs="Arial" w:eastAsia="Arial" w:hAnsi="Arial"/>
          <w:sz w:val="18"/>
          <w:szCs w:val="18"/>
          <w:color w:val="auto"/>
          <w:vertAlign w:val="superscript"/>
        </w:rPr>
      </w:pPr>
      <w:r>
        <w:rPr>
          <w:rFonts w:ascii="Arial" w:cs="Arial" w:eastAsia="Arial" w:hAnsi="Arial"/>
          <w:sz w:val="11"/>
          <w:szCs w:val="11"/>
          <w:color w:val="auto"/>
        </w:rPr>
        <w:t>reviewing malus and clawback provisions;</w:t>
      </w:r>
    </w:p>
    <w:p>
      <w:pPr>
        <w:ind w:left="160" w:right="700" w:hanging="160"/>
        <w:spacing w:after="0" w:line="182" w:lineRule="auto"/>
        <w:tabs>
          <w:tab w:leader="none" w:pos="160" w:val="left"/>
        </w:tabs>
        <w:numPr>
          <w:ilvl w:val="0"/>
          <w:numId w:val="82"/>
        </w:numPr>
        <w:rPr>
          <w:rFonts w:ascii="Arial" w:cs="Arial" w:eastAsia="Arial" w:hAnsi="Arial"/>
          <w:sz w:val="23"/>
          <w:szCs w:val="23"/>
          <w:color w:val="auto"/>
          <w:vertAlign w:val="superscript"/>
        </w:rPr>
      </w:pPr>
      <w:r>
        <w:rPr>
          <w:rFonts w:ascii="Arial" w:cs="Arial" w:eastAsia="Arial" w:hAnsi="Arial"/>
          <w:sz w:val="14"/>
          <w:szCs w:val="14"/>
          <w:color w:val="auto"/>
        </w:rPr>
        <w:t>reviewing pension arrangements as a result of regulatory changes in the Netherlands;</w:t>
      </w:r>
    </w:p>
    <w:p>
      <w:pPr>
        <w:spacing w:after="0" w:line="1" w:lineRule="exact"/>
        <w:rPr>
          <w:rFonts w:ascii="Arial" w:cs="Arial" w:eastAsia="Arial" w:hAnsi="Arial"/>
          <w:sz w:val="23"/>
          <w:szCs w:val="23"/>
          <w:color w:val="auto"/>
          <w:vertAlign w:val="superscript"/>
        </w:rPr>
      </w:pPr>
    </w:p>
    <w:p>
      <w:pPr>
        <w:ind w:left="160" w:hanging="160"/>
        <w:spacing w:after="0" w:line="182" w:lineRule="auto"/>
        <w:tabs>
          <w:tab w:leader="none" w:pos="160" w:val="left"/>
        </w:tabs>
        <w:numPr>
          <w:ilvl w:val="0"/>
          <w:numId w:val="82"/>
        </w:numPr>
        <w:rPr>
          <w:rFonts w:ascii="Arial" w:cs="Arial" w:eastAsia="Arial" w:hAnsi="Arial"/>
          <w:sz w:val="23"/>
          <w:szCs w:val="23"/>
          <w:color w:val="auto"/>
          <w:vertAlign w:val="superscript"/>
        </w:rPr>
      </w:pPr>
      <w:r>
        <w:rPr>
          <w:rFonts w:ascii="Arial" w:cs="Arial" w:eastAsia="Arial" w:hAnsi="Arial"/>
          <w:sz w:val="14"/>
          <w:szCs w:val="14"/>
          <w:color w:val="auto"/>
        </w:rPr>
        <w:t>reviewing the implication of the length of service of Simon Henry in the Netherlands (now treated as a normal Dutch tax resident; tax equalisation of pension);</w:t>
      </w:r>
    </w:p>
    <w:p>
      <w:pPr>
        <w:spacing w:after="0" w:line="1" w:lineRule="exact"/>
        <w:rPr>
          <w:rFonts w:ascii="Arial" w:cs="Arial" w:eastAsia="Arial" w:hAnsi="Arial"/>
          <w:sz w:val="23"/>
          <w:szCs w:val="23"/>
          <w:color w:val="auto"/>
          <w:vertAlign w:val="superscript"/>
        </w:rPr>
      </w:pPr>
    </w:p>
    <w:p>
      <w:pPr>
        <w:ind w:left="160" w:right="180" w:hanging="160"/>
        <w:spacing w:after="0" w:line="182" w:lineRule="auto"/>
        <w:tabs>
          <w:tab w:leader="none" w:pos="160" w:val="left"/>
        </w:tabs>
        <w:numPr>
          <w:ilvl w:val="0"/>
          <w:numId w:val="82"/>
        </w:numPr>
        <w:rPr>
          <w:rFonts w:ascii="Arial" w:cs="Arial" w:eastAsia="Arial" w:hAnsi="Arial"/>
          <w:sz w:val="23"/>
          <w:szCs w:val="23"/>
          <w:color w:val="auto"/>
          <w:vertAlign w:val="superscript"/>
        </w:rPr>
      </w:pPr>
      <w:r>
        <w:rPr>
          <w:rFonts w:ascii="Arial" w:cs="Arial" w:eastAsia="Arial" w:hAnsi="Arial"/>
          <w:sz w:val="14"/>
          <w:szCs w:val="14"/>
          <w:color w:val="auto"/>
        </w:rPr>
        <w:t>reviewing the Chairman’s fees (Charles O. Holliday not being present during this discussion);</w:t>
      </w:r>
    </w:p>
    <w:p>
      <w:pPr>
        <w:spacing w:after="0" w:line="1" w:lineRule="exact"/>
        <w:rPr>
          <w:rFonts w:ascii="Arial" w:cs="Arial" w:eastAsia="Arial" w:hAnsi="Arial"/>
          <w:sz w:val="23"/>
          <w:szCs w:val="23"/>
          <w:color w:val="auto"/>
          <w:vertAlign w:val="superscript"/>
        </w:rPr>
      </w:pPr>
    </w:p>
    <w:p>
      <w:pPr>
        <w:ind w:left="160" w:right="20" w:hanging="160"/>
        <w:spacing w:after="0" w:line="182" w:lineRule="auto"/>
        <w:tabs>
          <w:tab w:leader="none" w:pos="160" w:val="left"/>
        </w:tabs>
        <w:numPr>
          <w:ilvl w:val="0"/>
          <w:numId w:val="82"/>
        </w:numPr>
        <w:rPr>
          <w:rFonts w:ascii="Arial" w:cs="Arial" w:eastAsia="Arial" w:hAnsi="Arial"/>
          <w:sz w:val="23"/>
          <w:szCs w:val="23"/>
          <w:color w:val="auto"/>
          <w:vertAlign w:val="superscript"/>
        </w:rPr>
      </w:pPr>
      <w:r>
        <w:rPr>
          <w:rFonts w:ascii="Arial" w:cs="Arial" w:eastAsia="Arial" w:hAnsi="Arial"/>
          <w:sz w:val="14"/>
          <w:szCs w:val="14"/>
          <w:color w:val="auto"/>
        </w:rPr>
        <w:t>tracking external developments and assessing their impact on Shell’s remuneration policy; and</w:t>
      </w:r>
    </w:p>
    <w:p>
      <w:pPr>
        <w:spacing w:after="0" w:line="1" w:lineRule="exact"/>
        <w:rPr>
          <w:rFonts w:ascii="Arial" w:cs="Arial" w:eastAsia="Arial" w:hAnsi="Arial"/>
          <w:sz w:val="23"/>
          <w:szCs w:val="23"/>
          <w:color w:val="auto"/>
          <w:vertAlign w:val="superscript"/>
        </w:rPr>
      </w:pPr>
    </w:p>
    <w:p>
      <w:pPr>
        <w:ind w:left="160" w:hanging="160"/>
        <w:spacing w:after="0" w:line="189" w:lineRule="auto"/>
        <w:tabs>
          <w:tab w:leader="none" w:pos="160" w:val="left"/>
        </w:tabs>
        <w:numPr>
          <w:ilvl w:val="0"/>
          <w:numId w:val="82"/>
        </w:numPr>
        <w:rPr>
          <w:rFonts w:ascii="Arial" w:cs="Arial" w:eastAsia="Arial" w:hAnsi="Arial"/>
          <w:sz w:val="19"/>
          <w:szCs w:val="19"/>
          <w:color w:val="auto"/>
          <w:vertAlign w:val="superscript"/>
        </w:rPr>
      </w:pPr>
      <w:r>
        <w:rPr>
          <w:rFonts w:ascii="Arial" w:cs="Arial" w:eastAsia="Arial" w:hAnsi="Arial"/>
          <w:sz w:val="12"/>
          <w:szCs w:val="12"/>
          <w:color w:val="auto"/>
        </w:rPr>
        <w:t>reviewing REMCO’s operation.</w:t>
      </w:r>
    </w:p>
    <w:p>
      <w:pPr>
        <w:sectPr>
          <w:pgSz w:w="11900" w:h="16838" w:orient="portrait"/>
          <w:cols w:equalWidth="0" w:num="2">
            <w:col w:w="5440" w:space="340"/>
            <w:col w:w="5460"/>
          </w:cols>
          <w:pgMar w:left="240" w:top="459" w:right="419" w:bottom="1440" w:gutter="0" w:footer="0" w:header="0"/>
          <w:type w:val="continuous"/>
        </w:sectPr>
      </w:pPr>
    </w:p>
    <w:bookmarkStart w:id="83" w:name="page84"/>
    <w:bookmarkEnd w:id="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536575</wp:posOffset>
            </wp:positionH>
            <wp:positionV relativeFrom="paragraph">
              <wp:posOffset>300355</wp:posOffset>
            </wp:positionV>
            <wp:extent cx="8890" cy="46291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8890" cy="462915"/>
                    </a:xfrm>
                    <a:prstGeom prst="rect">
                      <a:avLst/>
                    </a:prstGeom>
                    <a:noFill/>
                  </pic:spPr>
                </pic:pic>
              </a:graphicData>
            </a:graphic>
          </wp:anchor>
        </w:drawing>
      </w:r>
    </w:p>
    <w:p>
      <w:pPr>
        <w:spacing w:after="0" w:line="200" w:lineRule="exact"/>
        <w:rPr>
          <w:sz w:val="20"/>
          <w:szCs w:val="20"/>
          <w:color w:val="auto"/>
        </w:rPr>
      </w:pP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565"/>
        </w:trPr>
        <w:tc>
          <w:tcPr>
            <w:tcW w:w="20" w:type="dxa"/>
            <w:vAlign w:val="bottom"/>
          </w:tcPr>
          <w:p>
            <w:pPr>
              <w:spacing w:after="0"/>
              <w:rPr>
                <w:sz w:val="24"/>
                <w:szCs w:val="24"/>
                <w:color w:val="auto"/>
              </w:rPr>
            </w:pPr>
          </w:p>
        </w:tc>
        <w:tc>
          <w:tcPr>
            <w:tcW w:w="820" w:type="dxa"/>
            <w:vAlign w:val="bottom"/>
            <w:shd w:val="clear" w:color="auto" w:fill="FF8B00"/>
          </w:tcPr>
          <w:p>
            <w:pPr>
              <w:jc w:val="right"/>
              <w:ind w:right="293"/>
              <w:spacing w:after="0"/>
              <w:rPr>
                <w:sz w:val="20"/>
                <w:szCs w:val="20"/>
                <w:color w:val="auto"/>
              </w:rPr>
            </w:pPr>
            <w:r>
              <w:rPr>
                <w:rFonts w:ascii="Arial" w:cs="Arial" w:eastAsia="Arial" w:hAnsi="Arial"/>
                <w:sz w:val="11"/>
                <w:szCs w:val="11"/>
                <w:b w:val="1"/>
                <w:bCs w:val="1"/>
                <w:color w:val="333333"/>
              </w:rPr>
              <w:t>82</w:t>
            </w:r>
          </w:p>
        </w:tc>
        <w:tc>
          <w:tcPr>
            <w:tcW w:w="3020" w:type="dxa"/>
            <w:vAlign w:val="bottom"/>
            <w:shd w:val="clear" w:color="auto" w:fill="FF8B00"/>
          </w:tcPr>
          <w:p>
            <w:pPr>
              <w:spacing w:after="0"/>
              <w:rPr>
                <w:sz w:val="24"/>
                <w:szCs w:val="24"/>
                <w:color w:val="auto"/>
              </w:rPr>
            </w:pPr>
          </w:p>
        </w:tc>
        <w:tc>
          <w:tcPr>
            <w:tcW w:w="1860" w:type="dxa"/>
            <w:vAlign w:val="bottom"/>
            <w:shd w:val="clear" w:color="auto" w:fill="FF8B00"/>
          </w:tcPr>
          <w:p>
            <w:pPr>
              <w:jc w:val="right"/>
              <w:ind w:right="717"/>
              <w:spacing w:after="0"/>
              <w:rPr>
                <w:sz w:val="20"/>
                <w:szCs w:val="20"/>
                <w:color w:val="auto"/>
              </w:rPr>
            </w:pPr>
            <w:r>
              <w:rPr>
                <w:rFonts w:ascii="Arial" w:cs="Arial" w:eastAsia="Arial" w:hAnsi="Arial"/>
                <w:sz w:val="13"/>
                <w:szCs w:val="13"/>
                <w:color w:val="333333"/>
              </w:rPr>
              <w:t>GOVERNANCE</w:t>
            </w:r>
          </w:p>
        </w:tc>
        <w:tc>
          <w:tcPr>
            <w:tcW w:w="210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820" w:type="dxa"/>
            <w:vAlign w:val="bottom"/>
            <w:shd w:val="clear" w:color="auto" w:fill="FF8B00"/>
          </w:tcPr>
          <w:p>
            <w:pPr>
              <w:spacing w:after="0"/>
              <w:rPr>
                <w:sz w:val="14"/>
                <w:szCs w:val="14"/>
                <w:color w:val="auto"/>
              </w:rPr>
            </w:pPr>
          </w:p>
        </w:tc>
        <w:tc>
          <w:tcPr>
            <w:tcW w:w="4880" w:type="dxa"/>
            <w:vAlign w:val="bottom"/>
            <w:gridSpan w:val="2"/>
            <w:shd w:val="clear" w:color="auto" w:fill="FF8B00"/>
          </w:tcPr>
          <w:p>
            <w:pPr>
              <w:spacing w:after="0"/>
              <w:rPr>
                <w:sz w:val="14"/>
                <w:szCs w:val="14"/>
                <w:color w:val="auto"/>
              </w:rPr>
            </w:pPr>
          </w:p>
        </w:tc>
        <w:tc>
          <w:tcPr>
            <w:tcW w:w="2100" w:type="dxa"/>
            <w:vAlign w:val="bottom"/>
            <w:vMerge w:val="restart"/>
          </w:tcPr>
          <w:p>
            <w:pPr>
              <w:spacing w:after="0"/>
              <w:rPr>
                <w:sz w:val="14"/>
                <w:szCs w:val="14"/>
                <w:color w:val="auto"/>
              </w:rPr>
            </w:pPr>
          </w:p>
        </w:tc>
        <w:tc>
          <w:tcPr>
            <w:tcW w:w="3620" w:type="dxa"/>
            <w:vAlign w:val="bottom"/>
            <w:gridSpan w:val="2"/>
            <w:vMerge w:val="restart"/>
          </w:tcPr>
          <w:p>
            <w:pPr>
              <w:ind w:left="1200"/>
              <w:spacing w:after="0"/>
              <w:rPr>
                <w:sz w:val="20"/>
                <w:szCs w:val="20"/>
                <w:color w:val="auto"/>
              </w:rPr>
            </w:pPr>
            <w:r>
              <w:rPr>
                <w:rFonts w:ascii="Arial" w:cs="Arial" w:eastAsia="Arial" w:hAnsi="Arial"/>
                <w:sz w:val="11"/>
                <w:szCs w:val="11"/>
                <w:color w:val="auto"/>
                <w:w w:val="97"/>
              </w:rPr>
              <w:t>SHELL ANNUAL REPORT AND FORM 20-F 2014</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4880" w:type="dxa"/>
            <w:vAlign w:val="bottom"/>
            <w:gridSpan w:val="2"/>
          </w:tcPr>
          <w:p>
            <w:pPr>
              <w:jc w:val="right"/>
              <w:ind w:right="717"/>
              <w:spacing w:after="0" w:line="122" w:lineRule="exact"/>
              <w:rPr>
                <w:sz w:val="20"/>
                <w:szCs w:val="20"/>
                <w:color w:val="auto"/>
              </w:rPr>
            </w:pPr>
            <w:r>
              <w:rPr>
                <w:rFonts w:ascii="Arial" w:cs="Arial" w:eastAsia="Arial" w:hAnsi="Arial"/>
                <w:sz w:val="11"/>
                <w:szCs w:val="11"/>
                <w:color w:val="auto"/>
              </w:rPr>
              <w:t>DIRECTORS’ REMUNERATION REPORT</w:t>
            </w:r>
          </w:p>
        </w:tc>
        <w:tc>
          <w:tcPr>
            <w:tcW w:w="2100" w:type="dxa"/>
            <w:vAlign w:val="bottom"/>
            <w:vMerge w:val="continue"/>
          </w:tcPr>
          <w:p>
            <w:pPr>
              <w:spacing w:after="0"/>
              <w:rPr>
                <w:sz w:val="10"/>
                <w:szCs w:val="10"/>
                <w:color w:val="auto"/>
              </w:rPr>
            </w:pPr>
          </w:p>
        </w:tc>
        <w:tc>
          <w:tcPr>
            <w:tcW w:w="362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840" w:type="dxa"/>
            <w:vAlign w:val="bottom"/>
            <w:gridSpan w:val="2"/>
            <w:shd w:val="clear" w:color="auto" w:fill="333333"/>
          </w:tcPr>
          <w:p>
            <w:pPr>
              <w:spacing w:after="0" w:line="162" w:lineRule="exact"/>
              <w:rPr>
                <w:sz w:val="20"/>
                <w:szCs w:val="20"/>
                <w:color w:val="auto"/>
              </w:rPr>
            </w:pPr>
            <w:r>
              <w:rPr>
                <w:rFonts w:ascii="Arial" w:cs="Arial" w:eastAsia="Arial" w:hAnsi="Arial"/>
                <w:sz w:val="15"/>
                <w:szCs w:val="15"/>
                <w:b w:val="1"/>
                <w:bCs w:val="1"/>
                <w:color w:val="FFFFFF"/>
              </w:rPr>
              <w:t>REMUNERATION STRUCTURE</w:t>
            </w:r>
          </w:p>
        </w:tc>
        <w:tc>
          <w:tcPr>
            <w:tcW w:w="1860" w:type="dxa"/>
            <w:vAlign w:val="bottom"/>
            <w:shd w:val="clear" w:color="auto" w:fill="333333"/>
          </w:tcPr>
          <w:p>
            <w:pPr>
              <w:spacing w:after="0"/>
              <w:rPr>
                <w:sz w:val="14"/>
                <w:szCs w:val="14"/>
                <w:color w:val="auto"/>
              </w:rPr>
            </w:pPr>
          </w:p>
        </w:tc>
        <w:tc>
          <w:tcPr>
            <w:tcW w:w="2100" w:type="dxa"/>
            <w:vAlign w:val="bottom"/>
            <w:shd w:val="clear" w:color="auto" w:fill="333333"/>
          </w:tcPr>
          <w:p>
            <w:pPr>
              <w:spacing w:after="0"/>
              <w:rPr>
                <w:sz w:val="14"/>
                <w:szCs w:val="14"/>
                <w:color w:val="auto"/>
              </w:rPr>
            </w:pPr>
          </w:p>
        </w:tc>
        <w:tc>
          <w:tcPr>
            <w:tcW w:w="3600" w:type="dxa"/>
            <w:vAlign w:val="bottom"/>
            <w:shd w:val="clear" w:color="auto" w:fill="333333"/>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20" w:type="dxa"/>
            <w:vAlign w:val="bottom"/>
            <w:tcBorders>
              <w:bottom w:val="single" w:sz="8" w:color="auto"/>
            </w:tcBorders>
          </w:tcPr>
          <w:p>
            <w:pPr>
              <w:spacing w:after="0"/>
              <w:rPr>
                <w:sz w:val="11"/>
                <w:szCs w:val="11"/>
                <w:color w:val="auto"/>
              </w:rPr>
            </w:pPr>
          </w:p>
        </w:tc>
        <w:tc>
          <w:tcPr>
            <w:tcW w:w="3840" w:type="dxa"/>
            <w:vAlign w:val="bottom"/>
            <w:tcBorders>
              <w:bottom w:val="single" w:sz="8" w:color="auto"/>
            </w:tcBorders>
            <w:gridSpan w:val="2"/>
          </w:tcPr>
          <w:p>
            <w:pPr>
              <w:spacing w:after="0" w:line="135" w:lineRule="exact"/>
              <w:rPr>
                <w:sz w:val="20"/>
                <w:szCs w:val="20"/>
                <w:color w:val="auto"/>
              </w:rPr>
            </w:pPr>
            <w:r>
              <w:rPr>
                <w:rFonts w:ascii="Arial" w:cs="Arial" w:eastAsia="Arial" w:hAnsi="Arial"/>
                <w:sz w:val="13"/>
                <w:szCs w:val="13"/>
                <w:color w:val="auto"/>
              </w:rPr>
              <w:t>Short term</w:t>
            </w:r>
          </w:p>
        </w:tc>
        <w:tc>
          <w:tcPr>
            <w:tcW w:w="3960" w:type="dxa"/>
            <w:vAlign w:val="bottom"/>
            <w:tcBorders>
              <w:bottom w:val="single" w:sz="8" w:color="auto"/>
            </w:tcBorders>
            <w:gridSpan w:val="2"/>
          </w:tcPr>
          <w:p>
            <w:pPr>
              <w:ind w:left="240"/>
              <w:spacing w:after="0" w:line="135" w:lineRule="exact"/>
              <w:rPr>
                <w:sz w:val="20"/>
                <w:szCs w:val="20"/>
                <w:color w:val="auto"/>
              </w:rPr>
            </w:pPr>
            <w:r>
              <w:rPr>
                <w:rFonts w:ascii="Arial" w:cs="Arial" w:eastAsia="Arial" w:hAnsi="Arial"/>
                <w:sz w:val="13"/>
                <w:szCs w:val="13"/>
                <w:color w:val="auto"/>
              </w:rPr>
              <w:t>Medium term</w:t>
            </w:r>
          </w:p>
        </w:tc>
        <w:tc>
          <w:tcPr>
            <w:tcW w:w="3600" w:type="dxa"/>
            <w:vAlign w:val="bottom"/>
            <w:tcBorders>
              <w:bottom w:val="single" w:sz="8" w:color="auto"/>
            </w:tcBorders>
          </w:tcPr>
          <w:p>
            <w:pPr>
              <w:ind w:left="180"/>
              <w:spacing w:after="0" w:line="135" w:lineRule="exact"/>
              <w:rPr>
                <w:sz w:val="20"/>
                <w:szCs w:val="20"/>
                <w:color w:val="auto"/>
              </w:rPr>
            </w:pPr>
            <w:r>
              <w:rPr>
                <w:rFonts w:ascii="Arial" w:cs="Arial" w:eastAsia="Arial" w:hAnsi="Arial"/>
                <w:sz w:val="13"/>
                <w:szCs w:val="13"/>
                <w:color w:val="auto"/>
              </w:rPr>
              <w:t>Long term</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1"/>
        </w:trPr>
        <w:tc>
          <w:tcPr>
            <w:tcW w:w="3860" w:type="dxa"/>
            <w:vAlign w:val="bottom"/>
            <w:gridSpan w:val="3"/>
          </w:tcPr>
          <w:p>
            <w:pPr>
              <w:spacing w:after="0" w:line="141" w:lineRule="exact"/>
              <w:rPr>
                <w:sz w:val="20"/>
                <w:szCs w:val="20"/>
                <w:color w:val="auto"/>
              </w:rPr>
            </w:pPr>
            <w:r>
              <w:rPr>
                <w:rFonts w:ascii="Arial" w:cs="Arial" w:eastAsia="Arial" w:hAnsi="Arial"/>
                <w:sz w:val="11"/>
                <w:szCs w:val="11"/>
                <w:color w:val="auto"/>
              </w:rPr>
              <w:t xml:space="preserve">n   </w:t>
            </w:r>
            <w:r>
              <w:rPr>
                <w:rFonts w:ascii="Arial" w:cs="Arial" w:eastAsia="Arial" w:hAnsi="Arial"/>
                <w:sz w:val="13"/>
                <w:szCs w:val="13"/>
                <w:color w:val="auto"/>
              </w:rPr>
              <w:t>Base salary.</w:t>
            </w:r>
          </w:p>
        </w:tc>
        <w:tc>
          <w:tcPr>
            <w:tcW w:w="3960" w:type="dxa"/>
            <w:vAlign w:val="bottom"/>
            <w:gridSpan w:val="2"/>
          </w:tcPr>
          <w:p>
            <w:pPr>
              <w:ind w:left="240"/>
              <w:spacing w:after="0" w:line="141" w:lineRule="exact"/>
              <w:rPr>
                <w:sz w:val="20"/>
                <w:szCs w:val="20"/>
                <w:color w:val="auto"/>
              </w:rPr>
            </w:pPr>
            <w:r>
              <w:rPr>
                <w:rFonts w:ascii="Arial" w:cs="Arial" w:eastAsia="Arial" w:hAnsi="Arial"/>
                <w:sz w:val="11"/>
                <w:szCs w:val="11"/>
                <w:color w:val="auto"/>
              </w:rPr>
              <w:t xml:space="preserve">n   </w:t>
            </w:r>
            <w:r>
              <w:rPr>
                <w:rFonts w:ascii="Arial" w:cs="Arial" w:eastAsia="Arial" w:hAnsi="Arial"/>
                <w:sz w:val="13"/>
                <w:szCs w:val="13"/>
                <w:color w:val="auto"/>
              </w:rPr>
              <w:t>50% of bonus deferred into shares for three years.</w:t>
            </w:r>
          </w:p>
        </w:tc>
        <w:tc>
          <w:tcPr>
            <w:tcW w:w="3600" w:type="dxa"/>
            <w:vAlign w:val="bottom"/>
          </w:tcPr>
          <w:p>
            <w:pPr>
              <w:ind w:left="180"/>
              <w:spacing w:after="0" w:line="141" w:lineRule="exact"/>
              <w:rPr>
                <w:sz w:val="20"/>
                <w:szCs w:val="20"/>
                <w:color w:val="auto"/>
              </w:rPr>
            </w:pPr>
            <w:r>
              <w:rPr>
                <w:rFonts w:ascii="Arial" w:cs="Arial" w:eastAsia="Arial" w:hAnsi="Arial"/>
                <w:sz w:val="11"/>
                <w:szCs w:val="11"/>
                <w:color w:val="auto"/>
              </w:rPr>
              <w:t xml:space="preserve">n   </w:t>
            </w:r>
            <w:r>
              <w:rPr>
                <w:rFonts w:ascii="Arial" w:cs="Arial" w:eastAsia="Arial" w:hAnsi="Arial"/>
                <w:sz w:val="13"/>
                <w:szCs w:val="13"/>
                <w:color w:val="auto"/>
              </w:rPr>
              <w:t>Shareholding requirement for tenure in role.</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60" w:type="dxa"/>
            <w:vAlign w:val="bottom"/>
            <w:gridSpan w:val="3"/>
          </w:tcPr>
          <w:p>
            <w:pPr>
              <w:spacing w:after="0"/>
              <w:rPr>
                <w:sz w:val="20"/>
                <w:szCs w:val="20"/>
                <w:color w:val="auto"/>
              </w:rPr>
            </w:pPr>
            <w:r>
              <w:rPr>
                <w:rFonts w:ascii="Arial" w:cs="Arial" w:eastAsia="Arial" w:hAnsi="Arial"/>
                <w:sz w:val="11"/>
                <w:szCs w:val="11"/>
                <w:color w:val="auto"/>
              </w:rPr>
              <w:t xml:space="preserve">n   </w:t>
            </w:r>
            <w:r>
              <w:rPr>
                <w:rFonts w:ascii="Arial" w:cs="Arial" w:eastAsia="Arial" w:hAnsi="Arial"/>
                <w:sz w:val="13"/>
                <w:szCs w:val="13"/>
                <w:color w:val="auto"/>
              </w:rPr>
              <w:t>Annual bonus based on scorecard of short-term strategic</w:t>
            </w:r>
          </w:p>
        </w:tc>
        <w:tc>
          <w:tcPr>
            <w:tcW w:w="3960" w:type="dxa"/>
            <w:vAlign w:val="bottom"/>
            <w:gridSpan w:val="2"/>
          </w:tcPr>
          <w:p>
            <w:pPr>
              <w:ind w:left="240"/>
              <w:spacing w:after="0"/>
              <w:rPr>
                <w:sz w:val="20"/>
                <w:szCs w:val="20"/>
                <w:color w:val="auto"/>
              </w:rPr>
            </w:pPr>
            <w:r>
              <w:rPr>
                <w:rFonts w:ascii="Arial" w:cs="Arial" w:eastAsia="Arial" w:hAnsi="Arial"/>
                <w:sz w:val="11"/>
                <w:szCs w:val="11"/>
                <w:color w:val="auto"/>
              </w:rPr>
              <w:t xml:space="preserve">n   </w:t>
            </w:r>
            <w:r>
              <w:rPr>
                <w:rFonts w:ascii="Arial" w:cs="Arial" w:eastAsia="Arial" w:hAnsi="Arial"/>
                <w:sz w:val="13"/>
                <w:szCs w:val="13"/>
                <w:color w:val="auto"/>
              </w:rPr>
              <w:t>LTIP based on relative performance over three years.</w:t>
            </w:r>
          </w:p>
        </w:tc>
        <w:tc>
          <w:tcPr>
            <w:tcW w:w="3620" w:type="dxa"/>
            <w:vAlign w:val="bottom"/>
            <w:gridSpan w:val="2"/>
          </w:tcPr>
          <w:p>
            <w:pPr>
              <w:ind w:left="180"/>
              <w:spacing w:after="0"/>
              <w:rPr>
                <w:sz w:val="20"/>
                <w:szCs w:val="20"/>
                <w:color w:val="auto"/>
              </w:rPr>
            </w:pPr>
            <w:r>
              <w:rPr>
                <w:rFonts w:ascii="Arial" w:cs="Arial" w:eastAsia="Arial" w:hAnsi="Arial"/>
                <w:sz w:val="11"/>
                <w:szCs w:val="11"/>
                <w:color w:val="auto"/>
              </w:rPr>
              <w:t xml:space="preserve">n   </w:t>
            </w:r>
            <w:r>
              <w:rPr>
                <w:rFonts w:ascii="Arial" w:cs="Arial" w:eastAsia="Arial" w:hAnsi="Arial"/>
                <w:sz w:val="13"/>
                <w:szCs w:val="13"/>
                <w:color w:val="auto"/>
              </w:rPr>
              <w:t>Bonus and LTIP subject to malus and clawback</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840" w:type="dxa"/>
            <w:vAlign w:val="bottom"/>
            <w:gridSpan w:val="2"/>
          </w:tcPr>
          <w:p>
            <w:pPr>
              <w:ind w:left="140"/>
              <w:spacing w:after="0"/>
              <w:rPr>
                <w:sz w:val="20"/>
                <w:szCs w:val="20"/>
                <w:color w:val="auto"/>
              </w:rPr>
            </w:pPr>
            <w:r>
              <w:rPr>
                <w:rFonts w:ascii="Arial" w:cs="Arial" w:eastAsia="Arial" w:hAnsi="Arial"/>
                <w:sz w:val="14"/>
                <w:szCs w:val="14"/>
                <w:color w:val="auto"/>
              </w:rPr>
              <w:t>targets and individual achievement.</w:t>
            </w:r>
          </w:p>
        </w:tc>
        <w:tc>
          <w:tcPr>
            <w:tcW w:w="3960" w:type="dxa"/>
            <w:vAlign w:val="bottom"/>
            <w:gridSpan w:val="2"/>
          </w:tcPr>
          <w:p>
            <w:pPr>
              <w:ind w:left="380"/>
              <w:spacing w:after="0"/>
              <w:rPr>
                <w:sz w:val="20"/>
                <w:szCs w:val="20"/>
                <w:color w:val="auto"/>
              </w:rPr>
            </w:pPr>
            <w:r>
              <w:rPr>
                <w:rFonts w:ascii="Arial" w:cs="Arial" w:eastAsia="Arial" w:hAnsi="Arial"/>
                <w:sz w:val="14"/>
                <w:szCs w:val="14"/>
                <w:color w:val="auto"/>
              </w:rPr>
              <w:t>Shares to be retained for two years after vesting.</w:t>
            </w:r>
          </w:p>
        </w:tc>
        <w:tc>
          <w:tcPr>
            <w:tcW w:w="3620" w:type="dxa"/>
            <w:vAlign w:val="bottom"/>
            <w:gridSpan w:val="2"/>
          </w:tcPr>
          <w:p>
            <w:pPr>
              <w:ind w:left="320"/>
              <w:spacing w:after="0"/>
              <w:rPr>
                <w:sz w:val="20"/>
                <w:szCs w:val="20"/>
                <w:color w:val="auto"/>
              </w:rPr>
            </w:pPr>
            <w:r>
              <w:rPr>
                <w:rFonts w:ascii="Arial" w:cs="Arial" w:eastAsia="Arial" w:hAnsi="Arial"/>
                <w:sz w:val="14"/>
                <w:szCs w:val="14"/>
                <w:color w:val="auto"/>
              </w:rPr>
              <w:t>provisions.</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800" w:type="dxa"/>
            <w:vAlign w:val="bottom"/>
            <w:tcBorders>
              <w:top w:val="single" w:sz="8" w:color="auto"/>
            </w:tcBorders>
            <w:gridSpan w:val="4"/>
          </w:tcPr>
          <w:p>
            <w:pPr>
              <w:spacing w:after="0"/>
              <w:rPr>
                <w:sz w:val="20"/>
                <w:szCs w:val="20"/>
                <w:color w:val="auto"/>
              </w:rPr>
            </w:pPr>
          </w:p>
        </w:tc>
        <w:tc>
          <w:tcPr>
            <w:tcW w:w="3600" w:type="dxa"/>
            <w:vAlign w:val="bottom"/>
            <w:tcBorders>
              <w:top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800" w:type="dxa"/>
            <w:vAlign w:val="bottom"/>
            <w:gridSpan w:val="4"/>
            <w:shd w:val="clear" w:color="auto" w:fill="333333"/>
          </w:tcPr>
          <w:p>
            <w:pPr>
              <w:ind w:left="60"/>
              <w:spacing w:after="0" w:line="162" w:lineRule="exact"/>
              <w:rPr>
                <w:sz w:val="20"/>
                <w:szCs w:val="20"/>
                <w:color w:val="auto"/>
              </w:rPr>
            </w:pPr>
            <w:r>
              <w:rPr>
                <w:rFonts w:ascii="Arial" w:cs="Arial" w:eastAsia="Arial" w:hAnsi="Arial"/>
                <w:sz w:val="15"/>
                <w:szCs w:val="15"/>
                <w:b w:val="1"/>
                <w:bCs w:val="1"/>
                <w:color w:val="FFFFFF"/>
              </w:rPr>
              <w:t>REMUNERATION POLICY AND PRACTICE AT A GLANCE</w:t>
            </w:r>
          </w:p>
        </w:tc>
        <w:tc>
          <w:tcPr>
            <w:tcW w:w="3600" w:type="dxa"/>
            <w:vAlign w:val="bottom"/>
            <w:shd w:val="clear" w:color="auto" w:fill="333333"/>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840" w:type="dxa"/>
            <w:vAlign w:val="bottom"/>
            <w:gridSpan w:val="2"/>
          </w:tcPr>
          <w:p>
            <w:pPr>
              <w:spacing w:after="0" w:line="129" w:lineRule="exact"/>
              <w:rPr>
                <w:sz w:val="20"/>
                <w:szCs w:val="20"/>
                <w:color w:val="auto"/>
              </w:rPr>
            </w:pPr>
            <w:r>
              <w:rPr>
                <w:rFonts w:ascii="Arial" w:cs="Arial" w:eastAsia="Arial" w:hAnsi="Arial"/>
                <w:sz w:val="13"/>
                <w:szCs w:val="13"/>
                <w:color w:val="auto"/>
              </w:rPr>
              <w:t>Policy that applied in 2014</w:t>
            </w:r>
          </w:p>
        </w:tc>
        <w:tc>
          <w:tcPr>
            <w:tcW w:w="3960" w:type="dxa"/>
            <w:vAlign w:val="bottom"/>
            <w:gridSpan w:val="2"/>
          </w:tcPr>
          <w:p>
            <w:pPr>
              <w:ind w:left="160"/>
              <w:spacing w:after="0" w:line="129" w:lineRule="exact"/>
              <w:rPr>
                <w:sz w:val="20"/>
                <w:szCs w:val="20"/>
                <w:color w:val="auto"/>
              </w:rPr>
            </w:pPr>
            <w:r>
              <w:rPr>
                <w:rFonts w:ascii="Arial" w:cs="Arial" w:eastAsia="Arial" w:hAnsi="Arial"/>
                <w:sz w:val="13"/>
                <w:szCs w:val="13"/>
                <w:color w:val="auto"/>
                <w:w w:val="99"/>
              </w:rPr>
              <w:t>Summary of the shareholder-approved policy (effective January 1,</w:t>
            </w:r>
          </w:p>
        </w:tc>
        <w:tc>
          <w:tcPr>
            <w:tcW w:w="3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020" w:type="dxa"/>
            <w:vAlign w:val="bottom"/>
          </w:tcPr>
          <w:p>
            <w:pPr>
              <w:spacing w:after="0"/>
              <w:rPr>
                <w:sz w:val="12"/>
                <w:szCs w:val="12"/>
                <w:color w:val="auto"/>
              </w:rPr>
            </w:pPr>
          </w:p>
        </w:tc>
        <w:tc>
          <w:tcPr>
            <w:tcW w:w="3960" w:type="dxa"/>
            <w:vAlign w:val="bottom"/>
            <w:gridSpan w:val="2"/>
          </w:tcPr>
          <w:p>
            <w:pPr>
              <w:ind w:left="160"/>
              <w:spacing w:after="0" w:line="141" w:lineRule="exact"/>
              <w:rPr>
                <w:sz w:val="20"/>
                <w:szCs w:val="20"/>
                <w:color w:val="auto"/>
              </w:rPr>
            </w:pPr>
            <w:r>
              <w:rPr>
                <w:rFonts w:ascii="Arial" w:cs="Arial" w:eastAsia="Arial" w:hAnsi="Arial"/>
                <w:sz w:val="13"/>
                <w:szCs w:val="13"/>
                <w:color w:val="auto"/>
              </w:rPr>
              <w:t>2015). Full policy set out pages 91-98</w:t>
            </w:r>
          </w:p>
        </w:tc>
        <w:tc>
          <w:tcPr>
            <w:tcW w:w="3620" w:type="dxa"/>
            <w:vAlign w:val="bottom"/>
            <w:gridSpan w:val="2"/>
          </w:tcPr>
          <w:p>
            <w:pPr>
              <w:ind w:left="80"/>
              <w:spacing w:after="0" w:line="141" w:lineRule="exact"/>
              <w:rPr>
                <w:sz w:val="20"/>
                <w:szCs w:val="20"/>
                <w:color w:val="auto"/>
              </w:rPr>
            </w:pPr>
            <w:r>
              <w:rPr>
                <w:rFonts w:ascii="Arial" w:cs="Arial" w:eastAsia="Arial" w:hAnsi="Arial"/>
                <w:sz w:val="13"/>
                <w:szCs w:val="13"/>
                <w:color w:val="auto"/>
              </w:rPr>
              <w:t>Implementation of the shareholder-approved policy in 2015</w:t>
            </w: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3840" w:type="dxa"/>
            <w:vAlign w:val="bottom"/>
            <w:tcBorders>
              <w:top w:val="single" w:sz="8" w:color="auto"/>
            </w:tcBorders>
            <w:gridSpan w:val="2"/>
          </w:tcPr>
          <w:p>
            <w:pPr>
              <w:spacing w:after="0" w:line="141" w:lineRule="exact"/>
              <w:rPr>
                <w:sz w:val="20"/>
                <w:szCs w:val="20"/>
                <w:color w:val="auto"/>
              </w:rPr>
            </w:pPr>
            <w:r>
              <w:rPr>
                <w:rFonts w:ascii="Arial" w:cs="Arial" w:eastAsia="Arial" w:hAnsi="Arial"/>
                <w:sz w:val="14"/>
                <w:szCs w:val="14"/>
                <w:color w:val="auto"/>
              </w:rPr>
              <w:t>Base salary and pensionable salary</w:t>
            </w:r>
          </w:p>
        </w:tc>
        <w:tc>
          <w:tcPr>
            <w:tcW w:w="3960" w:type="dxa"/>
            <w:vAlign w:val="bottom"/>
            <w:tcBorders>
              <w:top w:val="single" w:sz="8" w:color="auto"/>
            </w:tcBorders>
            <w:gridSpan w:val="2"/>
          </w:tcPr>
          <w:p>
            <w:pPr>
              <w:ind w:left="160"/>
              <w:spacing w:after="0" w:line="141" w:lineRule="exact"/>
              <w:rPr>
                <w:sz w:val="20"/>
                <w:szCs w:val="20"/>
                <w:color w:val="auto"/>
              </w:rPr>
            </w:pPr>
            <w:r>
              <w:rPr>
                <w:rFonts w:ascii="Arial" w:cs="Arial" w:eastAsia="Arial" w:hAnsi="Arial"/>
                <w:sz w:val="11"/>
                <w:szCs w:val="11"/>
                <w:color w:val="auto"/>
              </w:rPr>
              <w:t xml:space="preserve">n   </w:t>
            </w:r>
            <w:r>
              <w:rPr>
                <w:rFonts w:ascii="Arial" w:cs="Arial" w:eastAsia="Arial" w:hAnsi="Arial"/>
                <w:sz w:val="13"/>
                <w:szCs w:val="13"/>
                <w:color w:val="auto"/>
              </w:rPr>
              <w:t>Reviewed annually after considering a range of factors</w:t>
            </w:r>
          </w:p>
        </w:tc>
        <w:tc>
          <w:tcPr>
            <w:tcW w:w="3600" w:type="dxa"/>
            <w:vAlign w:val="bottom"/>
            <w:tcBorders>
              <w:top w:val="single" w:sz="8" w:color="auto"/>
            </w:tcBorders>
          </w:tcPr>
          <w:p>
            <w:pPr>
              <w:ind w:left="80"/>
              <w:spacing w:after="0" w:line="141" w:lineRule="exact"/>
              <w:rPr>
                <w:sz w:val="20"/>
                <w:szCs w:val="20"/>
                <w:color w:val="auto"/>
              </w:rPr>
            </w:pPr>
            <w:r>
              <w:rPr>
                <w:rFonts w:ascii="Arial" w:cs="Arial" w:eastAsia="Arial" w:hAnsi="Arial"/>
                <w:sz w:val="11"/>
                <w:szCs w:val="11"/>
                <w:color w:val="auto"/>
              </w:rPr>
              <w:t xml:space="preserve">n   </w:t>
            </w:r>
            <w:r>
              <w:rPr>
                <w:rFonts w:ascii="Arial" w:cs="Arial" w:eastAsia="Arial" w:hAnsi="Arial"/>
                <w:sz w:val="13"/>
                <w:szCs w:val="13"/>
                <w:color w:val="auto"/>
              </w:rPr>
              <w:t>CEO base salary and pensionable salary: €1,430,000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60" w:type="dxa"/>
            <w:vAlign w:val="bottom"/>
            <w:gridSpan w:val="3"/>
          </w:tcPr>
          <w:p>
            <w:pPr>
              <w:spacing w:after="0"/>
              <w:rPr>
                <w:sz w:val="20"/>
                <w:szCs w:val="20"/>
                <w:color w:val="auto"/>
              </w:rPr>
            </w:pPr>
            <w:r>
              <w:rPr>
                <w:rFonts w:ascii="Arial" w:cs="Arial" w:eastAsia="Arial" w:hAnsi="Arial"/>
                <w:sz w:val="11"/>
                <w:szCs w:val="11"/>
                <w:color w:val="auto"/>
              </w:rPr>
              <w:t xml:space="preserve">n   </w:t>
            </w:r>
            <w:r>
              <w:rPr>
                <w:rFonts w:ascii="Arial" w:cs="Arial" w:eastAsia="Arial" w:hAnsi="Arial"/>
                <w:sz w:val="13"/>
                <w:szCs w:val="13"/>
                <w:color w:val="auto"/>
              </w:rPr>
              <w:t>CEO base salary and pensionable</w:t>
            </w:r>
          </w:p>
        </w:tc>
        <w:tc>
          <w:tcPr>
            <w:tcW w:w="3960" w:type="dxa"/>
            <w:vAlign w:val="bottom"/>
            <w:gridSpan w:val="2"/>
          </w:tcPr>
          <w:p>
            <w:pPr>
              <w:ind w:left="300"/>
              <w:spacing w:after="0" w:line="149" w:lineRule="exact"/>
              <w:rPr>
                <w:sz w:val="20"/>
                <w:szCs w:val="20"/>
                <w:color w:val="auto"/>
              </w:rPr>
            </w:pPr>
            <w:r>
              <w:rPr>
                <w:rFonts w:ascii="Arial" w:cs="Arial" w:eastAsia="Arial" w:hAnsi="Arial"/>
                <w:sz w:val="14"/>
                <w:szCs w:val="14"/>
                <w:color w:val="auto"/>
              </w:rPr>
              <w:t>including market positioning, tenure and experience,</w:t>
            </w:r>
          </w:p>
        </w:tc>
        <w:tc>
          <w:tcPr>
            <w:tcW w:w="3600" w:type="dxa"/>
            <w:vAlign w:val="bottom"/>
          </w:tcPr>
          <w:p>
            <w:pPr>
              <w:ind w:left="220"/>
              <w:spacing w:after="0" w:line="149" w:lineRule="exact"/>
              <w:rPr>
                <w:sz w:val="20"/>
                <w:szCs w:val="20"/>
                <w:color w:val="auto"/>
              </w:rPr>
            </w:pPr>
            <w:r>
              <w:rPr>
                <w:rFonts w:ascii="Arial" w:cs="Arial" w:eastAsia="Arial" w:hAnsi="Arial"/>
                <w:sz w:val="14"/>
                <w:szCs w:val="14"/>
                <w:color w:val="auto"/>
              </w:rPr>
              <w:t>(+2.1%).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40" w:type="dxa"/>
            <w:vAlign w:val="bottom"/>
            <w:gridSpan w:val="2"/>
          </w:tcPr>
          <w:p>
            <w:pPr>
              <w:ind w:left="140"/>
              <w:spacing w:after="0" w:line="149" w:lineRule="exact"/>
              <w:rPr>
                <w:sz w:val="20"/>
                <w:szCs w:val="20"/>
                <w:color w:val="auto"/>
              </w:rPr>
            </w:pPr>
            <w:r>
              <w:rPr>
                <w:rFonts w:ascii="Arial" w:cs="Arial" w:eastAsia="Arial" w:hAnsi="Arial"/>
                <w:sz w:val="14"/>
                <w:szCs w:val="14"/>
                <w:color w:val="auto"/>
              </w:rPr>
              <w:t>salary: €1,400,000.</w:t>
            </w:r>
          </w:p>
        </w:tc>
        <w:tc>
          <w:tcPr>
            <w:tcW w:w="3960" w:type="dxa"/>
            <w:vAlign w:val="bottom"/>
            <w:gridSpan w:val="2"/>
          </w:tcPr>
          <w:p>
            <w:pPr>
              <w:ind w:left="300"/>
              <w:spacing w:after="0" w:line="149" w:lineRule="exact"/>
              <w:rPr>
                <w:sz w:val="20"/>
                <w:szCs w:val="20"/>
                <w:color w:val="auto"/>
              </w:rPr>
            </w:pPr>
            <w:r>
              <w:rPr>
                <w:rFonts w:ascii="Arial" w:cs="Arial" w:eastAsia="Arial" w:hAnsi="Arial"/>
                <w:sz w:val="14"/>
                <w:szCs w:val="14"/>
                <w:color w:val="auto"/>
                <w:w w:val="97"/>
              </w:rPr>
              <w:t>planned increase for other employees, Shell’s and individual</w:t>
            </w:r>
          </w:p>
        </w:tc>
        <w:tc>
          <w:tcPr>
            <w:tcW w:w="3620" w:type="dxa"/>
            <w:vAlign w:val="bottom"/>
            <w:gridSpan w:val="2"/>
          </w:tcPr>
          <w:p>
            <w:pPr>
              <w:ind w:left="80"/>
              <w:spacing w:after="0"/>
              <w:rPr>
                <w:sz w:val="20"/>
                <w:szCs w:val="20"/>
                <w:color w:val="auto"/>
              </w:rPr>
            </w:pPr>
            <w:r>
              <w:rPr>
                <w:rFonts w:ascii="Arial" w:cs="Arial" w:eastAsia="Arial" w:hAnsi="Arial"/>
                <w:sz w:val="11"/>
                <w:szCs w:val="11"/>
                <w:color w:val="auto"/>
              </w:rPr>
              <w:t xml:space="preserve">n   </w:t>
            </w:r>
            <w:r>
              <w:rPr>
                <w:rFonts w:ascii="Arial" w:cs="Arial" w:eastAsia="Arial" w:hAnsi="Arial"/>
                <w:sz w:val="13"/>
                <w:szCs w:val="13"/>
                <w:color w:val="auto"/>
              </w:rPr>
              <w:t>CFO base salary: €1,030,000 (+2.0%); pensionable</w:t>
            </w:r>
          </w:p>
        </w:tc>
        <w:tc>
          <w:tcPr>
            <w:tcW w:w="0" w:type="dxa"/>
            <w:vAlign w:val="bottom"/>
          </w:tcPr>
          <w:p>
            <w:pPr>
              <w:spacing w:after="0"/>
              <w:rPr>
                <w:sz w:val="1"/>
                <w:szCs w:val="1"/>
                <w:color w:val="auto"/>
              </w:rPr>
            </w:pPr>
          </w:p>
        </w:tc>
      </w:tr>
      <w:tr>
        <w:trPr>
          <w:trHeight w:val="149"/>
        </w:trPr>
        <w:tc>
          <w:tcPr>
            <w:tcW w:w="3860" w:type="dxa"/>
            <w:vAlign w:val="bottom"/>
            <w:gridSpan w:val="3"/>
          </w:tcPr>
          <w:p>
            <w:pPr>
              <w:spacing w:after="0"/>
              <w:rPr>
                <w:sz w:val="20"/>
                <w:szCs w:val="20"/>
                <w:color w:val="auto"/>
              </w:rPr>
            </w:pPr>
            <w:r>
              <w:rPr>
                <w:rFonts w:ascii="Arial" w:cs="Arial" w:eastAsia="Arial" w:hAnsi="Arial"/>
                <w:sz w:val="11"/>
                <w:szCs w:val="11"/>
                <w:color w:val="auto"/>
              </w:rPr>
              <w:t xml:space="preserve">n   </w:t>
            </w:r>
            <w:r>
              <w:rPr>
                <w:rFonts w:ascii="Arial" w:cs="Arial" w:eastAsia="Arial" w:hAnsi="Arial"/>
                <w:sz w:val="13"/>
                <w:szCs w:val="13"/>
                <w:color w:val="auto"/>
              </w:rPr>
              <w:t>CFO base salary: €1,010,000 (+2.5%); pensionable salary:</w:t>
            </w:r>
          </w:p>
        </w:tc>
        <w:tc>
          <w:tcPr>
            <w:tcW w:w="3960" w:type="dxa"/>
            <w:vAlign w:val="bottom"/>
            <w:gridSpan w:val="2"/>
          </w:tcPr>
          <w:p>
            <w:pPr>
              <w:ind w:left="300"/>
              <w:spacing w:after="0" w:line="149" w:lineRule="exact"/>
              <w:rPr>
                <w:sz w:val="20"/>
                <w:szCs w:val="20"/>
                <w:color w:val="auto"/>
              </w:rPr>
            </w:pPr>
            <w:r>
              <w:rPr>
                <w:rFonts w:ascii="Arial" w:cs="Arial" w:eastAsia="Arial" w:hAnsi="Arial"/>
                <w:sz w:val="14"/>
                <w:szCs w:val="14"/>
                <w:color w:val="auto"/>
              </w:rPr>
              <w:t>performance. Maximum: €2,000,000.</w:t>
            </w:r>
          </w:p>
        </w:tc>
        <w:tc>
          <w:tcPr>
            <w:tcW w:w="3620" w:type="dxa"/>
            <w:vAlign w:val="bottom"/>
            <w:gridSpan w:val="2"/>
          </w:tcPr>
          <w:p>
            <w:pPr>
              <w:ind w:left="220"/>
              <w:spacing w:after="0" w:line="149" w:lineRule="exact"/>
              <w:rPr>
                <w:sz w:val="20"/>
                <w:szCs w:val="20"/>
                <w:color w:val="auto"/>
              </w:rPr>
            </w:pPr>
            <w:r>
              <w:rPr>
                <w:rFonts w:ascii="Arial" w:cs="Arial" w:eastAsia="Arial" w:hAnsi="Arial"/>
                <w:sz w:val="14"/>
                <w:szCs w:val="14"/>
                <w:color w:val="auto"/>
              </w:rPr>
              <w:t>salary: £765,000 (+2.0%).</w:t>
            </w:r>
          </w:p>
        </w:tc>
        <w:tc>
          <w:tcPr>
            <w:tcW w:w="0" w:type="dxa"/>
            <w:vAlign w:val="bottom"/>
          </w:tcPr>
          <w:p>
            <w:pPr>
              <w:spacing w:after="0"/>
              <w:rPr>
                <w:sz w:val="1"/>
                <w:szCs w:val="1"/>
                <w:color w:val="auto"/>
              </w:rPr>
            </w:pPr>
          </w:p>
        </w:tc>
      </w:tr>
      <w:tr>
        <w:trPr>
          <w:trHeight w:val="162"/>
        </w:trPr>
        <w:tc>
          <w:tcPr>
            <w:tcW w:w="3860" w:type="dxa"/>
            <w:vAlign w:val="bottom"/>
            <w:gridSpan w:val="3"/>
          </w:tcPr>
          <w:p>
            <w:pPr>
              <w:ind w:left="160"/>
              <w:spacing w:after="0"/>
              <w:rPr>
                <w:sz w:val="20"/>
                <w:szCs w:val="20"/>
                <w:color w:val="auto"/>
              </w:rPr>
            </w:pPr>
            <w:r>
              <w:rPr>
                <w:rFonts w:ascii="Arial" w:cs="Arial" w:eastAsia="Arial" w:hAnsi="Arial"/>
                <w:sz w:val="14"/>
                <w:szCs w:val="14"/>
                <w:color w:val="auto"/>
              </w:rPr>
              <w:t>£750,000 (+4.2%).</w:t>
            </w:r>
          </w:p>
        </w:tc>
        <w:tc>
          <w:tcPr>
            <w:tcW w:w="186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3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wp:posOffset>
            </wp:positionV>
            <wp:extent cx="7246620" cy="889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Benefits</w:t>
      </w:r>
    </w:p>
    <w:p>
      <w:pPr>
        <w:spacing w:after="0" w:line="221" w:lineRule="auto"/>
        <w:rPr>
          <w:sz w:val="20"/>
          <w:szCs w:val="20"/>
          <w:color w:val="auto"/>
        </w:rPr>
      </w:pPr>
      <w:r>
        <w:rPr>
          <w:rFonts w:ascii="Arial" w:cs="Arial" w:eastAsia="Arial" w:hAnsi="Arial"/>
          <w:sz w:val="14"/>
          <w:szCs w:val="14"/>
          <w:color w:val="auto"/>
        </w:rPr>
        <w:t>Single total figure table impacted by:</w:t>
      </w:r>
    </w:p>
    <w:p>
      <w:pPr>
        <w:ind w:left="160" w:right="160" w:hanging="152"/>
        <w:spacing w:after="0" w:line="221" w:lineRule="auto"/>
        <w:tabs>
          <w:tab w:leader="none" w:pos="186" w:val="left"/>
        </w:tabs>
        <w:numPr>
          <w:ilvl w:val="0"/>
          <w:numId w:val="83"/>
        </w:numPr>
        <w:rPr>
          <w:rFonts w:ascii="Arial" w:cs="Arial" w:eastAsia="Arial" w:hAnsi="Arial"/>
          <w:sz w:val="11"/>
          <w:szCs w:val="11"/>
          <w:color w:val="auto"/>
        </w:rPr>
      </w:pPr>
      <w:r>
        <w:rPr>
          <w:rFonts w:ascii="Arial" w:cs="Arial" w:eastAsia="Arial" w:hAnsi="Arial"/>
          <w:sz w:val="14"/>
          <w:szCs w:val="14"/>
          <w:color w:val="auto"/>
        </w:rPr>
        <w:t>UK tax liability that arose in respect of the CEO’s pension accruals during his assignment in the UK.</w:t>
      </w:r>
    </w:p>
    <w:p>
      <w:pPr>
        <w:ind w:left="160" w:hanging="152"/>
        <w:spacing w:after="0" w:line="228" w:lineRule="auto"/>
        <w:tabs>
          <w:tab w:leader="none" w:pos="212" w:val="left"/>
        </w:tabs>
        <w:numPr>
          <w:ilvl w:val="0"/>
          <w:numId w:val="83"/>
        </w:numPr>
        <w:rPr>
          <w:rFonts w:ascii="Arial" w:cs="Arial" w:eastAsia="Arial" w:hAnsi="Arial"/>
          <w:sz w:val="11"/>
          <w:szCs w:val="11"/>
          <w:color w:val="auto"/>
        </w:rPr>
      </w:pPr>
      <w:r>
        <w:rPr>
          <w:rFonts w:ascii="Arial" w:cs="Arial" w:eastAsia="Arial" w:hAnsi="Arial"/>
          <w:sz w:val="14"/>
          <w:szCs w:val="14"/>
          <w:color w:val="auto"/>
        </w:rPr>
        <w:t>Tax liability that arose in respect of foreign pension contributions as a result of the CFO’s length of service in the Netherlands.</w:t>
      </w:r>
    </w:p>
    <w:p>
      <w:pPr>
        <w:spacing w:after="0" w:line="20" w:lineRule="exact"/>
        <w:rPr>
          <w:sz w:val="20"/>
          <w:szCs w:val="20"/>
          <w:color w:val="auto"/>
        </w:rPr>
      </w:pPr>
      <w:r>
        <w:rPr>
          <w:sz w:val="20"/>
          <w:szCs w:val="20"/>
          <w:color w:val="auto"/>
        </w:rPr>
        <w:br w:type="column"/>
      </w:r>
    </w:p>
    <w:p>
      <w:pPr>
        <w:ind w:left="1"/>
        <w:spacing w:after="0"/>
        <w:tabs>
          <w:tab w:leader="none" w:pos="141" w:val="left"/>
          <w:tab w:leader="none" w:pos="3861" w:val="left"/>
          <w:tab w:leader="none" w:pos="4021" w:val="left"/>
        </w:tabs>
        <w:rPr>
          <w:sz w:val="20"/>
          <w:szCs w:val="20"/>
          <w:color w:val="auto"/>
        </w:rPr>
      </w:pPr>
      <w:r>
        <w:rPr>
          <w:rFonts w:ascii="Arial" w:cs="Arial" w:eastAsia="Arial" w:hAnsi="Arial"/>
          <w:sz w:val="11"/>
          <w:szCs w:val="11"/>
          <w:color w:val="auto"/>
        </w:rPr>
        <w:t>n</w:t>
      </w:r>
      <w:r>
        <w:rPr>
          <w:sz w:val="20"/>
          <w:szCs w:val="20"/>
          <w:color w:val="auto"/>
        </w:rPr>
        <w:tab/>
      </w:r>
      <w:r>
        <w:rPr>
          <w:rFonts w:ascii="Arial" w:cs="Arial" w:eastAsia="Arial" w:hAnsi="Arial"/>
          <w:sz w:val="14"/>
          <w:szCs w:val="14"/>
          <w:color w:val="auto"/>
        </w:rPr>
        <w:t>Typically include car allowance, transport to and from home</w:t>
      </w:r>
      <w:r>
        <w:rPr>
          <w:sz w:val="20"/>
          <w:szCs w:val="20"/>
          <w:color w:val="auto"/>
        </w:rPr>
        <w:tab/>
      </w:r>
      <w:r>
        <w:rPr>
          <w:rFonts w:ascii="Arial" w:cs="Arial" w:eastAsia="Arial" w:hAnsi="Arial"/>
          <w:sz w:val="11"/>
          <w:szCs w:val="11"/>
          <w:color w:val="auto"/>
        </w:rPr>
        <w:t>n</w:t>
      </w:r>
      <w:r>
        <w:rPr>
          <w:sz w:val="20"/>
          <w:szCs w:val="20"/>
          <w:color w:val="auto"/>
        </w:rPr>
        <w:tab/>
      </w:r>
      <w:r>
        <w:rPr>
          <w:rFonts w:ascii="Arial" w:cs="Arial" w:eastAsia="Arial" w:hAnsi="Arial"/>
          <w:sz w:val="12"/>
          <w:szCs w:val="12"/>
          <w:color w:val="auto"/>
        </w:rPr>
        <w:t>CEO and CFO will receive standard benefits.</w:t>
      </w:r>
    </w:p>
    <w:p>
      <w:pPr>
        <w:ind w:left="141"/>
        <w:spacing w:after="0" w:line="221" w:lineRule="auto"/>
        <w:rPr>
          <w:sz w:val="20"/>
          <w:szCs w:val="20"/>
          <w:color w:val="auto"/>
        </w:rPr>
      </w:pPr>
      <w:r>
        <w:rPr>
          <w:rFonts w:ascii="Arial" w:cs="Arial" w:eastAsia="Arial" w:hAnsi="Arial"/>
          <w:sz w:val="14"/>
          <w:szCs w:val="14"/>
          <w:color w:val="auto"/>
        </w:rPr>
        <w:t>and office, medical insurance.</w:t>
      </w:r>
    </w:p>
    <w:p>
      <w:pPr>
        <w:jc w:val="both"/>
        <w:ind w:left="141" w:right="3760" w:hanging="141"/>
        <w:spacing w:after="0" w:line="228" w:lineRule="auto"/>
        <w:tabs>
          <w:tab w:leader="none" w:pos="195" w:val="left"/>
        </w:tabs>
        <w:numPr>
          <w:ilvl w:val="0"/>
          <w:numId w:val="84"/>
        </w:numPr>
        <w:rPr>
          <w:rFonts w:ascii="Arial" w:cs="Arial" w:eastAsia="Arial" w:hAnsi="Arial"/>
          <w:sz w:val="11"/>
          <w:szCs w:val="11"/>
          <w:color w:val="auto"/>
        </w:rPr>
      </w:pPr>
      <w:r>
        <w:rPr>
          <w:rFonts w:ascii="Arial" w:cs="Arial" w:eastAsia="Arial" w:hAnsi="Arial"/>
          <w:sz w:val="14"/>
          <w:szCs w:val="14"/>
          <w:color w:val="auto"/>
        </w:rPr>
        <w:t>Mobility policies and tax equalisation related to expatriate employment before Board appointment, or to offset double taxation, may also apply.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-2546350</wp:posOffset>
            </wp:positionH>
            <wp:positionV relativeFrom="paragraph">
              <wp:posOffset>189230</wp:posOffset>
            </wp:positionV>
            <wp:extent cx="7246620" cy="889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98" w:lineRule="exact"/>
        <w:rPr>
          <w:sz w:val="20"/>
          <w:szCs w:val="20"/>
          <w:color w:val="auto"/>
        </w:rPr>
      </w:pPr>
    </w:p>
    <w:p>
      <w:pPr>
        <w:sectPr>
          <w:pgSz w:w="11900" w:h="16838" w:orient="portrait"/>
          <w:cols w:equalWidth="0" w:num="2">
            <w:col w:w="3760" w:space="259"/>
            <w:col w:w="7401"/>
          </w:cols>
          <w:pgMar w:left="240" w:top="459" w:right="239" w:bottom="1440" w:gutter="0" w:footer="0" w:header="0"/>
          <w:type w:val="continuous"/>
        </w:sectPr>
      </w:pPr>
    </w:p>
    <w:p>
      <w:pPr>
        <w:spacing w:after="0"/>
        <w:rPr>
          <w:sz w:val="20"/>
          <w:szCs w:val="20"/>
          <w:color w:val="auto"/>
        </w:rPr>
      </w:pPr>
      <w:r>
        <w:rPr>
          <w:rFonts w:ascii="Arial" w:cs="Arial" w:eastAsia="Arial" w:hAnsi="Arial"/>
          <w:sz w:val="14"/>
          <w:szCs w:val="14"/>
          <w:color w:val="auto"/>
        </w:rPr>
        <w:t>Annual bonus and DBP</w:t>
      </w:r>
    </w:p>
    <w:p>
      <w:pPr>
        <w:ind w:left="200" w:hanging="192"/>
        <w:spacing w:after="0"/>
        <w:tabs>
          <w:tab w:leader="none" w:pos="200" w:val="left"/>
        </w:tabs>
        <w:numPr>
          <w:ilvl w:val="0"/>
          <w:numId w:val="85"/>
        </w:numPr>
        <w:rPr>
          <w:rFonts w:ascii="Arial" w:cs="Arial" w:eastAsia="Arial" w:hAnsi="Arial"/>
          <w:sz w:val="11"/>
          <w:szCs w:val="11"/>
          <w:color w:val="auto"/>
        </w:rPr>
      </w:pPr>
      <w:r>
        <w:rPr>
          <w:rFonts w:ascii="Arial" w:cs="Arial" w:eastAsia="Arial" w:hAnsi="Arial"/>
          <w:sz w:val="12"/>
          <w:szCs w:val="12"/>
          <w:color w:val="auto"/>
        </w:rPr>
        <w:t>Target bonus as a % of base salary: CEO 150%; CFO 120%.</w:t>
      </w:r>
    </w:p>
    <w:p>
      <w:pPr>
        <w:spacing w:after="0" w:line="10" w:lineRule="exact"/>
        <w:rPr>
          <w:rFonts w:ascii="Arial" w:cs="Arial" w:eastAsia="Arial" w:hAnsi="Arial"/>
          <w:sz w:val="11"/>
          <w:szCs w:val="11"/>
          <w:color w:val="auto"/>
        </w:rPr>
      </w:pPr>
    </w:p>
    <w:p>
      <w:pPr>
        <w:ind w:left="180" w:hanging="172"/>
        <w:spacing w:after="0" w:line="221" w:lineRule="auto"/>
        <w:tabs>
          <w:tab w:leader="none" w:pos="180" w:val="left"/>
        </w:tabs>
        <w:numPr>
          <w:ilvl w:val="0"/>
          <w:numId w:val="85"/>
        </w:numPr>
        <w:rPr>
          <w:rFonts w:ascii="Arial" w:cs="Arial" w:eastAsia="Arial" w:hAnsi="Arial"/>
          <w:sz w:val="11"/>
          <w:szCs w:val="11"/>
          <w:color w:val="auto"/>
        </w:rPr>
      </w:pPr>
      <w:r>
        <w:rPr>
          <w:rFonts w:ascii="Arial" w:cs="Arial" w:eastAsia="Arial" w:hAnsi="Arial"/>
          <w:sz w:val="14"/>
          <w:szCs w:val="14"/>
          <w:color w:val="auto"/>
        </w:rPr>
        <w:t>Maximum: CEO 250%; CFO 240%.</w:t>
      </w:r>
    </w:p>
    <w:p>
      <w:pPr>
        <w:ind w:left="160" w:right="120" w:hanging="152"/>
        <w:spacing w:after="0" w:line="221" w:lineRule="auto"/>
        <w:tabs>
          <w:tab w:leader="none" w:pos="214" w:val="left"/>
        </w:tabs>
        <w:numPr>
          <w:ilvl w:val="0"/>
          <w:numId w:val="85"/>
        </w:numPr>
        <w:rPr>
          <w:rFonts w:ascii="Arial" w:cs="Arial" w:eastAsia="Arial" w:hAnsi="Arial"/>
          <w:sz w:val="11"/>
          <w:szCs w:val="11"/>
          <w:color w:val="auto"/>
        </w:rPr>
      </w:pPr>
      <w:r>
        <w:rPr>
          <w:rFonts w:ascii="Arial" w:cs="Arial" w:eastAsia="Arial" w:hAnsi="Arial"/>
          <w:sz w:val="14"/>
          <w:szCs w:val="14"/>
          <w:color w:val="auto"/>
        </w:rPr>
        <w:t>Scorecard measures: operational cash flow (30%); operational excellence (50%); and sustainable development (20%).</w:t>
      </w:r>
    </w:p>
    <w:p>
      <w:pPr>
        <w:ind w:left="160" w:right="180" w:hanging="152"/>
        <w:spacing w:after="0" w:line="258" w:lineRule="auto"/>
        <w:tabs>
          <w:tab w:leader="none" w:pos="214" w:val="left"/>
        </w:tabs>
        <w:numPr>
          <w:ilvl w:val="0"/>
          <w:numId w:val="85"/>
        </w:numPr>
        <w:rPr>
          <w:rFonts w:ascii="Arial" w:cs="Arial" w:eastAsia="Arial" w:hAnsi="Arial"/>
          <w:sz w:val="11"/>
          <w:szCs w:val="11"/>
          <w:color w:val="auto"/>
        </w:rPr>
      </w:pPr>
      <w:r>
        <w:rPr>
          <w:rFonts w:ascii="Arial" w:cs="Arial" w:eastAsia="Arial" w:hAnsi="Arial"/>
          <w:sz w:val="12"/>
          <w:szCs w:val="12"/>
          <w:color w:val="auto"/>
        </w:rPr>
        <w:t>Bonus paid in respect of 2014: CEO 236% of base salary, CFO 188% of base salary. 50% mandatory deferral.</w:t>
      </w:r>
    </w:p>
    <w:p>
      <w:pPr>
        <w:ind w:left="200" w:hanging="192"/>
        <w:spacing w:after="0"/>
        <w:tabs>
          <w:tab w:leader="none" w:pos="200" w:val="left"/>
        </w:tabs>
        <w:numPr>
          <w:ilvl w:val="0"/>
          <w:numId w:val="85"/>
        </w:numPr>
        <w:rPr>
          <w:rFonts w:ascii="Arial" w:cs="Arial" w:eastAsia="Arial" w:hAnsi="Arial"/>
          <w:sz w:val="11"/>
          <w:szCs w:val="11"/>
          <w:color w:val="auto"/>
        </w:rPr>
      </w:pPr>
      <w:r>
        <w:rPr>
          <w:rFonts w:ascii="Arial" w:cs="Arial" w:eastAsia="Arial" w:hAnsi="Arial"/>
          <w:sz w:val="14"/>
          <w:szCs w:val="14"/>
          <w:color w:val="auto"/>
        </w:rPr>
        <w:t>Subject to malus and clawback provisions.</w:t>
      </w:r>
    </w:p>
    <w:p>
      <w:pPr>
        <w:spacing w:after="0" w:line="20" w:lineRule="exact"/>
        <w:rPr>
          <w:sz w:val="20"/>
          <w:szCs w:val="20"/>
          <w:color w:val="auto"/>
        </w:rPr>
      </w:pPr>
      <w:r>
        <w:rPr>
          <w:sz w:val="20"/>
          <w:szCs w:val="20"/>
          <w:color w:val="auto"/>
        </w:rPr>
        <w:br w:type="column"/>
      </w:r>
    </w:p>
    <w:p>
      <w:pPr>
        <w:ind w:left="141" w:right="360" w:hanging="141"/>
        <w:spacing w:after="0" w:line="221" w:lineRule="auto"/>
        <w:tabs>
          <w:tab w:leader="none" w:pos="164" w:val="left"/>
        </w:tabs>
        <w:numPr>
          <w:ilvl w:val="0"/>
          <w:numId w:val="86"/>
        </w:numPr>
        <w:rPr>
          <w:rFonts w:ascii="Arial" w:cs="Arial" w:eastAsia="Arial" w:hAnsi="Arial"/>
          <w:sz w:val="11"/>
          <w:szCs w:val="11"/>
          <w:color w:val="auto"/>
        </w:rPr>
      </w:pPr>
      <w:r>
        <w:rPr>
          <w:rFonts w:ascii="Arial" w:cs="Arial" w:eastAsia="Arial" w:hAnsi="Arial"/>
          <w:sz w:val="14"/>
          <w:szCs w:val="14"/>
          <w:color w:val="auto"/>
        </w:rPr>
        <w:t>Target bonus as a % of base salary: CEO 150%; CFO 120%.</w:t>
      </w:r>
    </w:p>
    <w:p>
      <w:pPr>
        <w:ind w:left="201" w:hanging="201"/>
        <w:spacing w:after="0" w:line="221" w:lineRule="auto"/>
        <w:tabs>
          <w:tab w:leader="none" w:pos="201" w:val="left"/>
        </w:tabs>
        <w:numPr>
          <w:ilvl w:val="0"/>
          <w:numId w:val="86"/>
        </w:numPr>
        <w:rPr>
          <w:rFonts w:ascii="Arial" w:cs="Arial" w:eastAsia="Arial" w:hAnsi="Arial"/>
          <w:sz w:val="11"/>
          <w:szCs w:val="11"/>
          <w:color w:val="auto"/>
        </w:rPr>
      </w:pPr>
      <w:r>
        <w:rPr>
          <w:rFonts w:ascii="Arial" w:cs="Arial" w:eastAsia="Arial" w:hAnsi="Arial"/>
          <w:sz w:val="14"/>
          <w:szCs w:val="14"/>
          <w:color w:val="auto"/>
        </w:rPr>
        <w:t>Maximum: CEO 250%; CFO 240%.</w:t>
      </w:r>
    </w:p>
    <w:p>
      <w:pPr>
        <w:ind w:left="141" w:hanging="141"/>
        <w:spacing w:after="0" w:line="221" w:lineRule="auto"/>
        <w:tabs>
          <w:tab w:leader="none" w:pos="167" w:val="left"/>
        </w:tabs>
        <w:numPr>
          <w:ilvl w:val="0"/>
          <w:numId w:val="86"/>
        </w:numPr>
        <w:rPr>
          <w:rFonts w:ascii="Arial" w:cs="Arial" w:eastAsia="Arial" w:hAnsi="Arial"/>
          <w:sz w:val="11"/>
          <w:szCs w:val="11"/>
          <w:color w:val="auto"/>
        </w:rPr>
      </w:pPr>
      <w:r>
        <w:rPr>
          <w:rFonts w:ascii="Arial" w:cs="Arial" w:eastAsia="Arial" w:hAnsi="Arial"/>
          <w:sz w:val="14"/>
          <w:szCs w:val="14"/>
          <w:color w:val="auto"/>
        </w:rPr>
        <w:t>Calculated as base salary x target bonus % x scorecard result (0–2) against short-term strategic targets, adjusted for individual performance with a 0–1.2 multiplier.</w:t>
      </w:r>
    </w:p>
    <w:p>
      <w:pPr>
        <w:ind w:left="141" w:right="220" w:hanging="141"/>
        <w:spacing w:after="0" w:line="221" w:lineRule="auto"/>
        <w:tabs>
          <w:tab w:leader="none" w:pos="167" w:val="left"/>
        </w:tabs>
        <w:numPr>
          <w:ilvl w:val="0"/>
          <w:numId w:val="86"/>
        </w:numPr>
        <w:rPr>
          <w:rFonts w:ascii="Arial" w:cs="Arial" w:eastAsia="Arial" w:hAnsi="Arial"/>
          <w:sz w:val="11"/>
          <w:szCs w:val="11"/>
          <w:color w:val="auto"/>
        </w:rPr>
      </w:pPr>
      <w:r>
        <w:rPr>
          <w:rFonts w:ascii="Arial" w:cs="Arial" w:eastAsia="Arial" w:hAnsi="Arial"/>
          <w:sz w:val="14"/>
          <w:szCs w:val="14"/>
          <w:color w:val="auto"/>
        </w:rPr>
        <w:t>50% delivered in cash, 50% deferred into shares and released after three years, together with dividend shares accrued over the deferral period.</w:t>
      </w:r>
    </w:p>
    <w:p>
      <w:pPr>
        <w:ind w:left="161" w:hanging="161"/>
        <w:spacing w:after="0"/>
        <w:tabs>
          <w:tab w:leader="none" w:pos="161" w:val="left"/>
        </w:tabs>
        <w:numPr>
          <w:ilvl w:val="0"/>
          <w:numId w:val="86"/>
        </w:numPr>
        <w:rPr>
          <w:rFonts w:ascii="Arial" w:cs="Arial" w:eastAsia="Arial" w:hAnsi="Arial"/>
          <w:sz w:val="11"/>
          <w:szCs w:val="11"/>
          <w:color w:val="auto"/>
        </w:rPr>
      </w:pPr>
      <w:r>
        <w:rPr>
          <w:rFonts w:ascii="Arial" w:cs="Arial" w:eastAsia="Arial" w:hAnsi="Arial"/>
          <w:sz w:val="14"/>
          <w:szCs w:val="14"/>
          <w:color w:val="auto"/>
        </w:rPr>
        <w:t>Subject to malus and clawback provisions.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-2546350</wp:posOffset>
            </wp:positionH>
            <wp:positionV relativeFrom="paragraph">
              <wp:posOffset>1270</wp:posOffset>
            </wp:positionV>
            <wp:extent cx="7246620" cy="889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left="145" w:right="20" w:hanging="145"/>
        <w:spacing w:after="0" w:line="221" w:lineRule="auto"/>
        <w:tabs>
          <w:tab w:leader="none" w:pos="171" w:val="left"/>
        </w:tabs>
        <w:numPr>
          <w:ilvl w:val="0"/>
          <w:numId w:val="87"/>
        </w:numPr>
        <w:rPr>
          <w:rFonts w:ascii="Arial" w:cs="Arial" w:eastAsia="Arial" w:hAnsi="Arial"/>
          <w:sz w:val="11"/>
          <w:szCs w:val="11"/>
          <w:color w:val="auto"/>
        </w:rPr>
      </w:pPr>
      <w:r>
        <w:rPr>
          <w:rFonts w:ascii="Arial" w:cs="Arial" w:eastAsia="Arial" w:hAnsi="Arial"/>
          <w:sz w:val="14"/>
          <w:szCs w:val="14"/>
          <w:color w:val="auto"/>
        </w:rPr>
        <w:t>Same bonus opportunity as in 2014. Some changes to the sustainable development measure (addition of Tier 1 Process Safety events and increased weight of operational spills volume).</w:t>
      </w:r>
    </w:p>
    <w:p>
      <w:pPr>
        <w:spacing w:after="0" w:line="1" w:lineRule="exact"/>
        <w:rPr>
          <w:rFonts w:ascii="Arial" w:cs="Arial" w:eastAsia="Arial" w:hAnsi="Arial"/>
          <w:sz w:val="11"/>
          <w:szCs w:val="11"/>
          <w:color w:val="auto"/>
        </w:rPr>
      </w:pPr>
    </w:p>
    <w:p>
      <w:pPr>
        <w:ind w:left="165" w:hanging="165"/>
        <w:spacing w:after="0" w:line="221" w:lineRule="auto"/>
        <w:tabs>
          <w:tab w:leader="none" w:pos="165" w:val="left"/>
        </w:tabs>
        <w:numPr>
          <w:ilvl w:val="0"/>
          <w:numId w:val="87"/>
        </w:numPr>
        <w:rPr>
          <w:rFonts w:ascii="Arial" w:cs="Arial" w:eastAsia="Arial" w:hAnsi="Arial"/>
          <w:sz w:val="11"/>
          <w:szCs w:val="11"/>
          <w:color w:val="auto"/>
        </w:rPr>
      </w:pPr>
      <w:r>
        <w:rPr>
          <w:rFonts w:ascii="Arial" w:cs="Arial" w:eastAsia="Arial" w:hAnsi="Arial"/>
          <w:sz w:val="14"/>
          <w:szCs w:val="14"/>
          <w:color w:val="auto"/>
        </w:rPr>
        <w:t>Mandatory deferral of 50% of bonus.</w:t>
      </w:r>
    </w:p>
    <w:p>
      <w:pPr>
        <w:ind w:left="205" w:hanging="205"/>
        <w:spacing w:after="0"/>
        <w:tabs>
          <w:tab w:leader="none" w:pos="205" w:val="left"/>
        </w:tabs>
        <w:numPr>
          <w:ilvl w:val="0"/>
          <w:numId w:val="87"/>
        </w:numPr>
        <w:rPr>
          <w:rFonts w:ascii="Arial" w:cs="Arial" w:eastAsia="Arial" w:hAnsi="Arial"/>
          <w:sz w:val="11"/>
          <w:szCs w:val="11"/>
          <w:color w:val="auto"/>
        </w:rPr>
      </w:pPr>
      <w:r>
        <w:rPr>
          <w:rFonts w:ascii="Arial" w:cs="Arial" w:eastAsia="Arial" w:hAnsi="Arial"/>
          <w:sz w:val="12"/>
          <w:szCs w:val="12"/>
          <w:color w:val="auto"/>
        </w:rPr>
        <w:t>No longer receive matching shares on deferred bonus.</w:t>
      </w:r>
    </w:p>
    <w:p>
      <w:pPr>
        <w:spacing w:after="0" w:line="10" w:lineRule="exact"/>
        <w:rPr>
          <w:rFonts w:ascii="Arial" w:cs="Arial" w:eastAsia="Arial" w:hAnsi="Arial"/>
          <w:sz w:val="11"/>
          <w:szCs w:val="11"/>
          <w:color w:val="auto"/>
        </w:rPr>
      </w:pPr>
    </w:p>
    <w:p>
      <w:pPr>
        <w:ind w:left="165" w:hanging="165"/>
        <w:spacing w:after="0"/>
        <w:tabs>
          <w:tab w:leader="none" w:pos="165" w:val="left"/>
        </w:tabs>
        <w:numPr>
          <w:ilvl w:val="0"/>
          <w:numId w:val="87"/>
        </w:numPr>
        <w:rPr>
          <w:rFonts w:ascii="Arial" w:cs="Arial" w:eastAsia="Arial" w:hAnsi="Arial"/>
          <w:sz w:val="11"/>
          <w:szCs w:val="11"/>
          <w:color w:val="auto"/>
        </w:rPr>
      </w:pPr>
      <w:r>
        <w:rPr>
          <w:rFonts w:ascii="Arial" w:cs="Arial" w:eastAsia="Arial" w:hAnsi="Arial"/>
          <w:sz w:val="14"/>
          <w:szCs w:val="14"/>
          <w:color w:val="auto"/>
        </w:rPr>
        <w:t>Subject to malus and clawback provisions.</w:t>
      </w:r>
    </w:p>
    <w:p>
      <w:pPr>
        <w:spacing w:after="0" w:line="447" w:lineRule="exact"/>
        <w:rPr>
          <w:sz w:val="20"/>
          <w:szCs w:val="20"/>
          <w:color w:val="auto"/>
        </w:rPr>
      </w:pPr>
    </w:p>
    <w:p>
      <w:pPr>
        <w:sectPr>
          <w:pgSz w:w="11900" w:h="16838" w:orient="portrait"/>
          <w:cols w:equalWidth="0" w:num="3">
            <w:col w:w="3840" w:space="179"/>
            <w:col w:w="3741" w:space="135"/>
            <w:col w:w="3525"/>
          </w:cols>
          <w:pgMar w:left="240" w:top="459" w:right="239" w:bottom="1440" w:gutter="0" w:footer="0" w:header="0"/>
          <w:type w:val="continuous"/>
        </w:sectPr>
      </w:pPr>
    </w:p>
    <w:p>
      <w:pPr>
        <w:spacing w:after="0"/>
        <w:rPr>
          <w:sz w:val="20"/>
          <w:szCs w:val="20"/>
          <w:color w:val="auto"/>
        </w:rPr>
      </w:pPr>
      <w:r>
        <w:rPr>
          <w:rFonts w:ascii="Arial" w:cs="Arial" w:eastAsia="Arial" w:hAnsi="Arial"/>
          <w:sz w:val="14"/>
          <w:szCs w:val="14"/>
          <w:color w:val="auto"/>
        </w:rPr>
        <w:t>LTIP</w:t>
      </w:r>
    </w:p>
    <w:p>
      <w:pPr>
        <w:ind w:left="200" w:hanging="192"/>
        <w:spacing w:after="0" w:line="221" w:lineRule="auto"/>
        <w:tabs>
          <w:tab w:leader="none" w:pos="200" w:val="left"/>
        </w:tabs>
        <w:numPr>
          <w:ilvl w:val="0"/>
          <w:numId w:val="88"/>
        </w:numPr>
        <w:rPr>
          <w:rFonts w:ascii="Arial" w:cs="Arial" w:eastAsia="Arial" w:hAnsi="Arial"/>
          <w:sz w:val="11"/>
          <w:szCs w:val="11"/>
          <w:color w:val="auto"/>
        </w:rPr>
      </w:pPr>
      <w:r>
        <w:rPr>
          <w:rFonts w:ascii="Arial" w:cs="Arial" w:eastAsia="Arial" w:hAnsi="Arial"/>
          <w:sz w:val="14"/>
          <w:szCs w:val="14"/>
          <w:color w:val="auto"/>
        </w:rPr>
        <w:t>Award as a % of base salary: CEO 300%; CFO 240%.</w:t>
      </w:r>
    </w:p>
    <w:p>
      <w:pPr>
        <w:ind w:left="160" w:right="80" w:hanging="152"/>
        <w:spacing w:after="0" w:line="258" w:lineRule="auto"/>
        <w:tabs>
          <w:tab w:leader="none" w:pos="186" w:val="left"/>
        </w:tabs>
        <w:numPr>
          <w:ilvl w:val="0"/>
          <w:numId w:val="88"/>
        </w:numPr>
        <w:rPr>
          <w:rFonts w:ascii="Arial" w:cs="Arial" w:eastAsia="Arial" w:hAnsi="Arial"/>
          <w:sz w:val="11"/>
          <w:szCs w:val="11"/>
          <w:color w:val="auto"/>
        </w:rPr>
      </w:pPr>
      <w:r>
        <w:rPr>
          <w:rFonts w:ascii="Arial" w:cs="Arial" w:eastAsia="Arial" w:hAnsi="Arial"/>
          <w:sz w:val="12"/>
          <w:szCs w:val="12"/>
          <w:color w:val="auto"/>
        </w:rPr>
        <w:t>Performance measures: TSR (30%), EPS (30%), ROACE (20%) and net cash from operating activities (20%).</w:t>
      </w:r>
    </w:p>
    <w:p>
      <w:pPr>
        <w:ind w:left="180" w:hanging="172"/>
        <w:spacing w:after="0" w:line="221" w:lineRule="auto"/>
        <w:tabs>
          <w:tab w:leader="none" w:pos="180" w:val="left"/>
        </w:tabs>
        <w:numPr>
          <w:ilvl w:val="0"/>
          <w:numId w:val="88"/>
        </w:numPr>
        <w:rPr>
          <w:rFonts w:ascii="Arial" w:cs="Arial" w:eastAsia="Arial" w:hAnsi="Arial"/>
          <w:sz w:val="11"/>
          <w:szCs w:val="11"/>
          <w:color w:val="auto"/>
        </w:rPr>
      </w:pPr>
      <w:r>
        <w:rPr>
          <w:rFonts w:ascii="Arial" w:cs="Arial" w:eastAsia="Arial" w:hAnsi="Arial"/>
          <w:sz w:val="14"/>
          <w:szCs w:val="14"/>
          <w:color w:val="auto"/>
        </w:rPr>
        <w:t>Holding period of two years post vesting.</w:t>
      </w:r>
    </w:p>
    <w:p>
      <w:pPr>
        <w:ind w:left="180" w:hanging="172"/>
        <w:spacing w:after="0"/>
        <w:tabs>
          <w:tab w:leader="none" w:pos="180" w:val="left"/>
        </w:tabs>
        <w:numPr>
          <w:ilvl w:val="0"/>
          <w:numId w:val="88"/>
        </w:numPr>
        <w:rPr>
          <w:rFonts w:ascii="Arial" w:cs="Arial" w:eastAsia="Arial" w:hAnsi="Arial"/>
          <w:sz w:val="11"/>
          <w:szCs w:val="11"/>
          <w:color w:val="auto"/>
        </w:rPr>
      </w:pPr>
      <w:r>
        <w:rPr>
          <w:rFonts w:ascii="Arial" w:cs="Arial" w:eastAsia="Arial" w:hAnsi="Arial"/>
          <w:sz w:val="12"/>
          <w:szCs w:val="12"/>
          <w:color w:val="auto"/>
        </w:rPr>
        <w:t>Vesting of 2012 award: 84% (42% of maximum). Vesting of</w:t>
      </w:r>
    </w:p>
    <w:p>
      <w:pPr>
        <w:spacing w:after="0" w:line="10" w:lineRule="exact"/>
        <w:rPr>
          <w:rFonts w:ascii="Arial" w:cs="Arial" w:eastAsia="Arial" w:hAnsi="Arial"/>
          <w:sz w:val="11"/>
          <w:szCs w:val="11"/>
          <w:color w:val="auto"/>
        </w:rPr>
      </w:pPr>
    </w:p>
    <w:p>
      <w:pPr>
        <w:ind w:left="160"/>
        <w:spacing w:after="0"/>
        <w:rPr>
          <w:rFonts w:ascii="Arial" w:cs="Arial" w:eastAsia="Arial" w:hAnsi="Arial"/>
          <w:sz w:val="11"/>
          <w:szCs w:val="11"/>
          <w:color w:val="auto"/>
        </w:rPr>
      </w:pPr>
      <w:r>
        <w:rPr>
          <w:rFonts w:ascii="Arial" w:cs="Arial" w:eastAsia="Arial" w:hAnsi="Arial"/>
          <w:sz w:val="14"/>
          <w:szCs w:val="14"/>
          <w:color w:val="auto"/>
        </w:rPr>
        <w:t>2012 PSP award: 97% (49% of maximum).</w:t>
      </w:r>
    </w:p>
    <w:p>
      <w:pPr>
        <w:spacing w:after="0" w:line="20" w:lineRule="exact"/>
        <w:rPr>
          <w:sz w:val="20"/>
          <w:szCs w:val="20"/>
          <w:color w:val="auto"/>
        </w:rPr>
      </w:pPr>
      <w:r>
        <w:rPr>
          <w:sz w:val="20"/>
          <w:szCs w:val="20"/>
          <w:color w:val="auto"/>
        </w:rPr>
        <w:br w:type="column"/>
      </w:r>
    </w:p>
    <w:p>
      <w:pPr>
        <w:jc w:val="both"/>
        <w:ind w:left="141" w:right="220" w:hanging="141"/>
        <w:spacing w:after="0" w:line="221" w:lineRule="auto"/>
        <w:tabs>
          <w:tab w:leader="none" w:pos="167" w:val="left"/>
        </w:tabs>
        <w:numPr>
          <w:ilvl w:val="0"/>
          <w:numId w:val="89"/>
        </w:numPr>
        <w:rPr>
          <w:rFonts w:ascii="Arial" w:cs="Arial" w:eastAsia="Arial" w:hAnsi="Arial"/>
          <w:sz w:val="11"/>
          <w:szCs w:val="11"/>
          <w:color w:val="auto"/>
        </w:rPr>
      </w:pPr>
      <w:r>
        <w:rPr>
          <w:rFonts w:ascii="Arial" w:cs="Arial" w:eastAsia="Arial" w:hAnsi="Arial"/>
          <w:sz w:val="14"/>
          <w:szCs w:val="14"/>
          <w:color w:val="auto"/>
        </w:rPr>
        <w:t>Maximum award: 400% of base salary. Between 0% and 200% of the initial award may vest depending on relative performance over a three-year period.</w:t>
      </w:r>
    </w:p>
    <w:p>
      <w:pPr>
        <w:ind w:left="141" w:hanging="141"/>
        <w:spacing w:after="0" w:line="221" w:lineRule="auto"/>
        <w:tabs>
          <w:tab w:leader="none" w:pos="167" w:val="left"/>
        </w:tabs>
        <w:numPr>
          <w:ilvl w:val="0"/>
          <w:numId w:val="89"/>
        </w:numPr>
        <w:rPr>
          <w:rFonts w:ascii="Arial" w:cs="Arial" w:eastAsia="Arial" w:hAnsi="Arial"/>
          <w:sz w:val="11"/>
          <w:szCs w:val="11"/>
          <w:color w:val="auto"/>
        </w:rPr>
      </w:pPr>
      <w:r>
        <w:rPr>
          <w:rFonts w:ascii="Arial" w:cs="Arial" w:eastAsia="Arial" w:hAnsi="Arial"/>
          <w:sz w:val="14"/>
          <w:szCs w:val="14"/>
          <w:color w:val="auto"/>
        </w:rPr>
        <w:t>Vesting capped at 50% of the maximum payout if there is no vesting on the TSR element.</w:t>
      </w:r>
    </w:p>
    <w:p>
      <w:pPr>
        <w:ind w:left="141" w:right="220" w:hanging="141"/>
        <w:spacing w:after="0" w:line="221" w:lineRule="auto"/>
        <w:tabs>
          <w:tab w:leader="none" w:pos="188" w:val="left"/>
        </w:tabs>
        <w:numPr>
          <w:ilvl w:val="0"/>
          <w:numId w:val="89"/>
        </w:numPr>
        <w:rPr>
          <w:rFonts w:ascii="Arial" w:cs="Arial" w:eastAsia="Arial" w:hAnsi="Arial"/>
          <w:sz w:val="11"/>
          <w:szCs w:val="11"/>
          <w:color w:val="auto"/>
        </w:rPr>
      </w:pPr>
      <w:r>
        <w:rPr>
          <w:rFonts w:ascii="Arial" w:cs="Arial" w:eastAsia="Arial" w:hAnsi="Arial"/>
          <w:sz w:val="14"/>
          <w:szCs w:val="14"/>
          <w:color w:val="auto"/>
        </w:rPr>
        <w:t>Additional shares are released representing the value of dividends payable on vested shares.</w:t>
      </w:r>
    </w:p>
    <w:p>
      <w:pPr>
        <w:ind w:left="201" w:hanging="201"/>
        <w:spacing w:after="0" w:line="221" w:lineRule="auto"/>
        <w:tabs>
          <w:tab w:leader="none" w:pos="201" w:val="left"/>
        </w:tabs>
        <w:numPr>
          <w:ilvl w:val="0"/>
          <w:numId w:val="89"/>
        </w:numPr>
        <w:rPr>
          <w:rFonts w:ascii="Arial" w:cs="Arial" w:eastAsia="Arial" w:hAnsi="Arial"/>
          <w:sz w:val="11"/>
          <w:szCs w:val="11"/>
          <w:color w:val="auto"/>
        </w:rPr>
      </w:pPr>
      <w:r>
        <w:rPr>
          <w:rFonts w:ascii="Arial" w:cs="Arial" w:eastAsia="Arial" w:hAnsi="Arial"/>
          <w:sz w:val="14"/>
          <w:szCs w:val="14"/>
          <w:color w:val="auto"/>
        </w:rPr>
        <w:t>Vested shares must be held for a further two years.</w:t>
      </w:r>
    </w:p>
    <w:p>
      <w:pPr>
        <w:ind w:left="161" w:hanging="161"/>
        <w:spacing w:after="0"/>
        <w:tabs>
          <w:tab w:leader="none" w:pos="161" w:val="left"/>
        </w:tabs>
        <w:numPr>
          <w:ilvl w:val="0"/>
          <w:numId w:val="89"/>
        </w:numPr>
        <w:rPr>
          <w:rFonts w:ascii="Arial" w:cs="Arial" w:eastAsia="Arial" w:hAnsi="Arial"/>
          <w:sz w:val="11"/>
          <w:szCs w:val="11"/>
          <w:color w:val="auto"/>
        </w:rPr>
      </w:pPr>
      <w:r>
        <w:rPr>
          <w:rFonts w:ascii="Arial" w:cs="Arial" w:eastAsia="Arial" w:hAnsi="Arial"/>
          <w:sz w:val="14"/>
          <w:szCs w:val="14"/>
          <w:color w:val="auto"/>
        </w:rPr>
        <w:t>Subject to malus and clawback provisions.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-2546350</wp:posOffset>
            </wp:positionH>
            <wp:positionV relativeFrom="paragraph">
              <wp:posOffset>1270</wp:posOffset>
            </wp:positionV>
            <wp:extent cx="7246620" cy="889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both"/>
        <w:ind w:left="145" w:right="80" w:hanging="145"/>
        <w:spacing w:after="0" w:line="221" w:lineRule="auto"/>
        <w:tabs>
          <w:tab w:leader="none" w:pos="171" w:val="left"/>
        </w:tabs>
        <w:numPr>
          <w:ilvl w:val="0"/>
          <w:numId w:val="90"/>
        </w:numPr>
        <w:rPr>
          <w:rFonts w:ascii="Arial" w:cs="Arial" w:eastAsia="Arial" w:hAnsi="Arial"/>
          <w:sz w:val="11"/>
          <w:szCs w:val="11"/>
          <w:color w:val="auto"/>
        </w:rPr>
      </w:pPr>
      <w:r>
        <w:rPr>
          <w:rFonts w:ascii="Arial" w:cs="Arial" w:eastAsia="Arial" w:hAnsi="Arial"/>
          <w:sz w:val="14"/>
          <w:szCs w:val="14"/>
          <w:color w:val="auto"/>
        </w:rPr>
        <w:t>Executive Directors no longer receive matching shares on deferred bonuses and the value has been moved to the LTIP.</w:t>
      </w:r>
    </w:p>
    <w:p>
      <w:pPr>
        <w:ind w:left="145" w:right="40" w:hanging="145"/>
        <w:spacing w:after="0" w:line="221" w:lineRule="auto"/>
        <w:tabs>
          <w:tab w:leader="none" w:pos="197" w:val="left"/>
        </w:tabs>
        <w:numPr>
          <w:ilvl w:val="0"/>
          <w:numId w:val="90"/>
        </w:numPr>
        <w:rPr>
          <w:rFonts w:ascii="Arial" w:cs="Arial" w:eastAsia="Arial" w:hAnsi="Arial"/>
          <w:sz w:val="11"/>
          <w:szCs w:val="11"/>
          <w:color w:val="auto"/>
        </w:rPr>
      </w:pPr>
      <w:r>
        <w:rPr>
          <w:rFonts w:ascii="Arial" w:cs="Arial" w:eastAsia="Arial" w:hAnsi="Arial"/>
          <w:sz w:val="14"/>
          <w:szCs w:val="14"/>
          <w:color w:val="auto"/>
        </w:rPr>
        <w:t>Therefore awards increased to 340% of base salary for the CEO and 270% of base salary for the CFO.</w:t>
      </w:r>
    </w:p>
    <w:p>
      <w:pPr>
        <w:ind w:left="205" w:hanging="205"/>
        <w:spacing w:after="0" w:line="221" w:lineRule="auto"/>
        <w:tabs>
          <w:tab w:leader="none" w:pos="205" w:val="left"/>
        </w:tabs>
        <w:numPr>
          <w:ilvl w:val="0"/>
          <w:numId w:val="90"/>
        </w:numPr>
        <w:rPr>
          <w:rFonts w:ascii="Arial" w:cs="Arial" w:eastAsia="Arial" w:hAnsi="Arial"/>
          <w:sz w:val="11"/>
          <w:szCs w:val="11"/>
          <w:color w:val="auto"/>
        </w:rPr>
      </w:pPr>
      <w:r>
        <w:rPr>
          <w:rFonts w:ascii="Arial" w:cs="Arial" w:eastAsia="Arial" w:hAnsi="Arial"/>
          <w:sz w:val="14"/>
          <w:szCs w:val="14"/>
          <w:color w:val="auto"/>
        </w:rPr>
        <w:t>Same performance measures as in 2014.</w:t>
      </w:r>
    </w:p>
    <w:p>
      <w:pPr>
        <w:ind w:left="165" w:hanging="165"/>
        <w:spacing w:after="0"/>
        <w:tabs>
          <w:tab w:leader="none" w:pos="165" w:val="left"/>
        </w:tabs>
        <w:numPr>
          <w:ilvl w:val="0"/>
          <w:numId w:val="90"/>
        </w:numPr>
        <w:rPr>
          <w:rFonts w:ascii="Arial" w:cs="Arial" w:eastAsia="Arial" w:hAnsi="Arial"/>
          <w:sz w:val="11"/>
          <w:szCs w:val="11"/>
          <w:color w:val="auto"/>
        </w:rPr>
      </w:pPr>
      <w:r>
        <w:rPr>
          <w:rFonts w:ascii="Arial" w:cs="Arial" w:eastAsia="Arial" w:hAnsi="Arial"/>
          <w:sz w:val="14"/>
          <w:szCs w:val="14"/>
          <w:color w:val="auto"/>
        </w:rPr>
        <w:t>Holding period of two years post vesting.</w:t>
      </w:r>
    </w:p>
    <w:p>
      <w:pPr>
        <w:spacing w:after="0" w:line="299" w:lineRule="exact"/>
        <w:rPr>
          <w:sz w:val="20"/>
          <w:szCs w:val="20"/>
          <w:color w:val="auto"/>
        </w:rPr>
      </w:pPr>
    </w:p>
    <w:p>
      <w:pPr>
        <w:sectPr>
          <w:pgSz w:w="11900" w:h="16838" w:orient="portrait"/>
          <w:cols w:equalWidth="0" w:num="3">
            <w:col w:w="3700" w:space="319"/>
            <w:col w:w="3761" w:space="115"/>
            <w:col w:w="3525"/>
          </w:cols>
          <w:pgMar w:left="240" w:top="459" w:right="239" w:bottom="1440" w:gutter="0" w:footer="0" w:header="0"/>
          <w:type w:val="continuous"/>
        </w:sectPr>
      </w:pPr>
    </w:p>
    <w:p>
      <w:pPr>
        <w:spacing w:after="0"/>
        <w:rPr>
          <w:sz w:val="20"/>
          <w:szCs w:val="20"/>
          <w:color w:val="auto"/>
        </w:rPr>
      </w:pPr>
      <w:r>
        <w:rPr>
          <w:rFonts w:ascii="Arial" w:cs="Arial" w:eastAsia="Arial" w:hAnsi="Arial"/>
          <w:sz w:val="14"/>
          <w:szCs w:val="14"/>
          <w:color w:val="auto"/>
        </w:rPr>
        <w:t>Pension</w:t>
      </w:r>
    </w:p>
    <w:p>
      <w:pPr>
        <w:ind w:left="160" w:hanging="152"/>
        <w:spacing w:after="0" w:line="258" w:lineRule="auto"/>
        <w:tabs>
          <w:tab w:leader="none" w:pos="214" w:val="left"/>
        </w:tabs>
        <w:numPr>
          <w:ilvl w:val="0"/>
          <w:numId w:val="91"/>
        </w:numPr>
        <w:rPr>
          <w:rFonts w:ascii="Arial" w:cs="Arial" w:eastAsia="Arial" w:hAnsi="Arial"/>
          <w:sz w:val="11"/>
          <w:szCs w:val="11"/>
          <w:color w:val="auto"/>
        </w:rPr>
      </w:pPr>
      <w:r>
        <w:rPr>
          <w:rFonts w:ascii="Arial" w:cs="Arial" w:eastAsia="Arial" w:hAnsi="Arial"/>
          <w:sz w:val="12"/>
          <w:szCs w:val="12"/>
          <w:color w:val="auto"/>
        </w:rPr>
        <w:t>CEO: Dutch defined benefit pension plan. Significant increase in accrual as a result of his promotion.</w:t>
      </w:r>
    </w:p>
    <w:p>
      <w:pPr>
        <w:ind w:left="200" w:hanging="192"/>
        <w:spacing w:after="0"/>
        <w:tabs>
          <w:tab w:leader="none" w:pos="200" w:val="left"/>
        </w:tabs>
        <w:numPr>
          <w:ilvl w:val="0"/>
          <w:numId w:val="91"/>
        </w:numPr>
        <w:rPr>
          <w:rFonts w:ascii="Arial" w:cs="Arial" w:eastAsia="Arial" w:hAnsi="Arial"/>
          <w:sz w:val="11"/>
          <w:szCs w:val="11"/>
          <w:color w:val="auto"/>
        </w:rPr>
      </w:pPr>
      <w:r>
        <w:rPr>
          <w:rFonts w:ascii="Arial" w:cs="Arial" w:eastAsia="Arial" w:hAnsi="Arial"/>
          <w:sz w:val="14"/>
          <w:szCs w:val="14"/>
          <w:color w:val="auto"/>
        </w:rPr>
        <w:t>CFO: UK defined benefit plans.</w:t>
      </w:r>
    </w:p>
    <w:p>
      <w:pPr>
        <w:spacing w:after="0" w:line="20" w:lineRule="exact"/>
        <w:rPr>
          <w:sz w:val="20"/>
          <w:szCs w:val="20"/>
          <w:color w:val="auto"/>
        </w:rPr>
      </w:pPr>
      <w:r>
        <w:rPr>
          <w:sz w:val="20"/>
          <w:szCs w:val="20"/>
          <w:color w:val="auto"/>
        </w:rPr>
        <w:br w:type="column"/>
      </w:r>
    </w:p>
    <w:p>
      <w:pPr>
        <w:ind w:left="141" w:hanging="141"/>
        <w:spacing w:after="0" w:line="221" w:lineRule="auto"/>
        <w:tabs>
          <w:tab w:leader="none" w:pos="167" w:val="left"/>
        </w:tabs>
        <w:numPr>
          <w:ilvl w:val="0"/>
          <w:numId w:val="92"/>
        </w:numPr>
        <w:rPr>
          <w:rFonts w:ascii="Arial" w:cs="Arial" w:eastAsia="Arial" w:hAnsi="Arial"/>
          <w:sz w:val="11"/>
          <w:szCs w:val="11"/>
          <w:color w:val="auto"/>
        </w:rPr>
      </w:pPr>
      <w:r>
        <w:rPr>
          <w:rFonts w:ascii="Arial" w:cs="Arial" w:eastAsia="Arial" w:hAnsi="Arial"/>
          <w:sz w:val="14"/>
          <w:szCs w:val="14"/>
          <w:color w:val="auto"/>
        </w:rPr>
        <w:t>Retirement benefits maintained in base country pension arrangements.</w:t>
      </w:r>
    </w:p>
    <w:p>
      <w:pPr>
        <w:ind w:left="201" w:hanging="201"/>
        <w:spacing w:after="0"/>
        <w:tabs>
          <w:tab w:leader="none" w:pos="201" w:val="left"/>
        </w:tabs>
        <w:numPr>
          <w:ilvl w:val="0"/>
          <w:numId w:val="92"/>
        </w:numPr>
        <w:rPr>
          <w:rFonts w:ascii="Arial" w:cs="Arial" w:eastAsia="Arial" w:hAnsi="Arial"/>
          <w:sz w:val="11"/>
          <w:szCs w:val="11"/>
          <w:color w:val="auto"/>
        </w:rPr>
      </w:pPr>
      <w:r>
        <w:rPr>
          <w:rFonts w:ascii="Arial" w:cs="Arial" w:eastAsia="Arial" w:hAnsi="Arial"/>
          <w:sz w:val="14"/>
          <w:szCs w:val="14"/>
          <w:color w:val="auto"/>
        </w:rPr>
        <w:t>Pensionable base salaries reviewed annually.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-2546350</wp:posOffset>
            </wp:positionH>
            <wp:positionV relativeFrom="paragraph">
              <wp:posOffset>283845</wp:posOffset>
            </wp:positionV>
            <wp:extent cx="7246620" cy="889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left="145" w:right="140" w:hanging="145"/>
        <w:spacing w:after="0" w:line="258" w:lineRule="auto"/>
        <w:tabs>
          <w:tab w:leader="none" w:pos="171" w:val="left"/>
        </w:tabs>
        <w:numPr>
          <w:ilvl w:val="0"/>
          <w:numId w:val="93"/>
        </w:numPr>
        <w:rPr>
          <w:rFonts w:ascii="Arial" w:cs="Arial" w:eastAsia="Arial" w:hAnsi="Arial"/>
          <w:sz w:val="11"/>
          <w:szCs w:val="11"/>
          <w:color w:val="auto"/>
        </w:rPr>
      </w:pPr>
      <w:r>
        <w:rPr>
          <w:rFonts w:ascii="Arial" w:cs="Arial" w:eastAsia="Arial" w:hAnsi="Arial"/>
          <w:sz w:val="12"/>
          <w:szCs w:val="12"/>
          <w:color w:val="auto"/>
        </w:rPr>
        <w:t>CEO: pension changed from final salary to capped salary (maximum pensionable salary for future defined benefit accruals of €89,900). A net pay savings arrangement has been introduced (employer contribution: 24% of salary in excess of €89,900).</w:t>
      </w:r>
    </w:p>
    <w:p>
      <w:pPr>
        <w:spacing w:after="0" w:line="1" w:lineRule="exact"/>
        <w:rPr>
          <w:rFonts w:ascii="Arial" w:cs="Arial" w:eastAsia="Arial" w:hAnsi="Arial"/>
          <w:sz w:val="11"/>
          <w:szCs w:val="11"/>
          <w:color w:val="auto"/>
        </w:rPr>
      </w:pPr>
    </w:p>
    <w:p>
      <w:pPr>
        <w:ind w:left="205" w:hanging="205"/>
        <w:spacing w:after="0"/>
        <w:tabs>
          <w:tab w:leader="none" w:pos="205" w:val="left"/>
        </w:tabs>
        <w:numPr>
          <w:ilvl w:val="0"/>
          <w:numId w:val="93"/>
        </w:numPr>
        <w:rPr>
          <w:rFonts w:ascii="Arial" w:cs="Arial" w:eastAsia="Arial" w:hAnsi="Arial"/>
          <w:sz w:val="11"/>
          <w:szCs w:val="11"/>
          <w:color w:val="auto"/>
        </w:rPr>
      </w:pPr>
      <w:r>
        <w:rPr>
          <w:rFonts w:ascii="Arial" w:cs="Arial" w:eastAsia="Arial" w:hAnsi="Arial"/>
          <w:sz w:val="14"/>
          <w:szCs w:val="14"/>
          <w:color w:val="auto"/>
        </w:rPr>
        <w:t>CFO: No change.</w:t>
      </w:r>
    </w:p>
    <w:p>
      <w:pPr>
        <w:spacing w:after="0" w:line="2" w:lineRule="exact"/>
        <w:rPr>
          <w:sz w:val="20"/>
          <w:szCs w:val="20"/>
          <w:color w:val="auto"/>
        </w:rPr>
      </w:pPr>
    </w:p>
    <w:p>
      <w:pPr>
        <w:sectPr>
          <w:pgSz w:w="11900" w:h="16838" w:orient="portrait"/>
          <w:cols w:equalWidth="0" w:num="3">
            <w:col w:w="3360" w:space="659"/>
            <w:col w:w="3501" w:space="375"/>
            <w:col w:w="3525"/>
          </w:cols>
          <w:pgMar w:left="240" w:top="459" w:right="239" w:bottom="1440" w:gutter="0" w:footer="0" w:header="0"/>
          <w:type w:val="continuous"/>
        </w:sectPr>
      </w:pPr>
    </w:p>
    <w:p>
      <w:pPr>
        <w:spacing w:after="0"/>
        <w:rPr>
          <w:sz w:val="20"/>
          <w:szCs w:val="20"/>
          <w:color w:val="auto"/>
        </w:rPr>
      </w:pPr>
      <w:r>
        <w:rPr>
          <w:rFonts w:ascii="Arial" w:cs="Arial" w:eastAsia="Arial" w:hAnsi="Arial"/>
          <w:sz w:val="14"/>
          <w:szCs w:val="14"/>
          <w:color w:val="auto"/>
        </w:rPr>
        <w:t>Shareholding requirement</w:t>
      </w:r>
    </w:p>
    <w:p>
      <w:pPr>
        <w:ind w:left="160" w:hanging="152"/>
        <w:spacing w:after="0" w:line="228" w:lineRule="auto"/>
        <w:tabs>
          <w:tab w:leader="none" w:pos="214" w:val="left"/>
        </w:tabs>
        <w:numPr>
          <w:ilvl w:val="0"/>
          <w:numId w:val="94"/>
        </w:numPr>
        <w:rPr>
          <w:rFonts w:ascii="Arial" w:cs="Arial" w:eastAsia="Arial" w:hAnsi="Arial"/>
          <w:sz w:val="11"/>
          <w:szCs w:val="11"/>
          <w:color w:val="auto"/>
        </w:rPr>
      </w:pPr>
      <w:r>
        <w:rPr>
          <w:rFonts w:ascii="Arial" w:cs="Arial" w:eastAsia="Arial" w:hAnsi="Arial"/>
          <w:sz w:val="14"/>
          <w:szCs w:val="14"/>
          <w:color w:val="auto"/>
        </w:rPr>
        <w:t>CEO: 300% of base salary; CFO: 200% of base salary. Actual holding at year end: CEO 37% of base salary; CFO 831% of base salary.</w:t>
      </w:r>
    </w:p>
    <w:p>
      <w:pPr>
        <w:spacing w:after="0" w:line="20" w:lineRule="exact"/>
        <w:rPr>
          <w:sz w:val="20"/>
          <w:szCs w:val="20"/>
          <w:color w:val="auto"/>
        </w:rPr>
      </w:pPr>
      <w:r>
        <w:rPr>
          <w:sz w:val="20"/>
          <w:szCs w:val="20"/>
          <w:color w:val="auto"/>
        </w:rPr>
        <w:br w:type="column"/>
      </w:r>
    </w:p>
    <w:p>
      <w:pPr>
        <w:ind w:left="161" w:hanging="161"/>
        <w:spacing w:after="0"/>
        <w:tabs>
          <w:tab w:leader="none" w:pos="161" w:val="left"/>
        </w:tabs>
        <w:numPr>
          <w:ilvl w:val="0"/>
          <w:numId w:val="95"/>
        </w:numPr>
        <w:rPr>
          <w:rFonts w:ascii="Arial" w:cs="Arial" w:eastAsia="Arial" w:hAnsi="Arial"/>
          <w:sz w:val="11"/>
          <w:szCs w:val="11"/>
          <w:color w:val="auto"/>
        </w:rPr>
      </w:pPr>
      <w:r>
        <w:rPr>
          <w:rFonts w:ascii="Arial" w:cs="Arial" w:eastAsia="Arial" w:hAnsi="Arial"/>
          <w:sz w:val="14"/>
          <w:szCs w:val="14"/>
          <w:color w:val="auto"/>
        </w:rPr>
        <w:t>CEO: 700% of base salary; CFO: 400% of base salary.</w:t>
      </w:r>
    </w:p>
    <w:p>
      <w:pPr>
        <w:ind w:left="141" w:hanging="141"/>
        <w:spacing w:after="0" w:line="228" w:lineRule="auto"/>
        <w:tabs>
          <w:tab w:leader="none" w:pos="195" w:val="left"/>
        </w:tabs>
        <w:numPr>
          <w:ilvl w:val="0"/>
          <w:numId w:val="95"/>
        </w:numPr>
        <w:rPr>
          <w:rFonts w:ascii="Arial" w:cs="Arial" w:eastAsia="Arial" w:hAnsi="Arial"/>
          <w:sz w:val="11"/>
          <w:szCs w:val="11"/>
          <w:color w:val="auto"/>
        </w:rPr>
      </w:pPr>
      <w:r>
        <w:rPr>
          <w:rFonts w:ascii="Arial" w:cs="Arial" w:eastAsia="Arial" w:hAnsi="Arial"/>
          <w:sz w:val="14"/>
          <w:szCs w:val="14"/>
          <w:color w:val="auto"/>
        </w:rPr>
        <w:t>Expected to be reached through retention of vested shares, within five years of appointment and maintained for the full period of appointment.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-2546350</wp:posOffset>
            </wp:positionH>
            <wp:positionV relativeFrom="paragraph">
              <wp:posOffset>635</wp:posOffset>
            </wp:positionV>
            <wp:extent cx="7246620" cy="889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left="165" w:hanging="165"/>
        <w:spacing w:after="0"/>
        <w:tabs>
          <w:tab w:leader="none" w:pos="165" w:val="left"/>
        </w:tabs>
        <w:numPr>
          <w:ilvl w:val="0"/>
          <w:numId w:val="96"/>
        </w:numPr>
        <w:rPr>
          <w:rFonts w:ascii="Arial" w:cs="Arial" w:eastAsia="Arial" w:hAnsi="Arial"/>
          <w:sz w:val="11"/>
          <w:szCs w:val="11"/>
          <w:color w:val="auto"/>
        </w:rPr>
      </w:pPr>
      <w:r>
        <w:rPr>
          <w:rFonts w:ascii="Arial" w:cs="Arial" w:eastAsia="Arial" w:hAnsi="Arial"/>
          <w:sz w:val="12"/>
          <w:szCs w:val="12"/>
          <w:color w:val="auto"/>
        </w:rPr>
        <w:t>Shareholding requirement increased to: CEO: 700% of</w:t>
      </w:r>
    </w:p>
    <w:p>
      <w:pPr>
        <w:spacing w:after="0" w:line="10" w:lineRule="exact"/>
        <w:rPr>
          <w:rFonts w:ascii="Arial" w:cs="Arial" w:eastAsia="Arial" w:hAnsi="Arial"/>
          <w:sz w:val="11"/>
          <w:szCs w:val="11"/>
          <w:color w:val="auto"/>
        </w:rPr>
      </w:pPr>
    </w:p>
    <w:p>
      <w:pPr>
        <w:ind w:left="145"/>
        <w:spacing w:after="0"/>
        <w:rPr>
          <w:rFonts w:ascii="Arial" w:cs="Arial" w:eastAsia="Arial" w:hAnsi="Arial"/>
          <w:sz w:val="11"/>
          <w:szCs w:val="11"/>
          <w:color w:val="auto"/>
        </w:rPr>
      </w:pPr>
      <w:r>
        <w:rPr>
          <w:rFonts w:ascii="Arial" w:cs="Arial" w:eastAsia="Arial" w:hAnsi="Arial"/>
          <w:sz w:val="14"/>
          <w:szCs w:val="14"/>
          <w:color w:val="auto"/>
        </w:rPr>
        <w:t>base salary; CFO: 400% of base salary.</w:t>
      </w:r>
    </w:p>
    <w:p>
      <w:pPr>
        <w:sectPr>
          <w:pgSz w:w="11900" w:h="16838" w:orient="portrait"/>
          <w:cols w:equalWidth="0" w:num="3">
            <w:col w:w="3900" w:space="119"/>
            <w:col w:w="3741" w:space="135"/>
            <w:col w:w="3525"/>
          </w:cols>
          <w:pgMar w:left="240" w:top="459" w:right="239" w:bottom="1440" w:gutter="0" w:footer="0" w:header="0"/>
          <w:type w:val="continuous"/>
        </w:sectPr>
      </w:pPr>
    </w:p>
    <w:bookmarkStart w:id="84" w:name="page85"/>
    <w:bookmarkEnd w:id="84"/>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3555365</wp:posOffset>
            </wp:positionH>
            <wp:positionV relativeFrom="paragraph">
              <wp:posOffset>314960</wp:posOffset>
            </wp:positionV>
            <wp:extent cx="3696335" cy="46291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3696335" cy="462915"/>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11"/>
          <w:szCs w:val="11"/>
          <w:color w:val="auto"/>
        </w:rPr>
        <w:t>SHELL ANNUAL REPORT AND FORM 20-F 2014</w:t>
      </w:r>
    </w:p>
    <w:p>
      <w:pPr>
        <w:spacing w:after="0" w:line="51" w:lineRule="exact"/>
        <w:rPr>
          <w:sz w:val="20"/>
          <w:szCs w:val="20"/>
          <w:color w:val="auto"/>
        </w:rPr>
      </w:pPr>
    </w:p>
    <w:p>
      <w:pPr>
        <w:ind w:right="1320"/>
        <w:spacing w:after="0" w:line="347" w:lineRule="auto"/>
        <w:rPr>
          <w:sz w:val="20"/>
          <w:szCs w:val="20"/>
          <w:color w:val="auto"/>
        </w:rPr>
      </w:pPr>
      <w:r>
        <w:rPr>
          <w:rFonts w:ascii="Arial" w:cs="Arial" w:eastAsia="Arial" w:hAnsi="Arial"/>
          <w:sz w:val="18"/>
          <w:szCs w:val="18"/>
          <w:color w:val="auto"/>
        </w:rPr>
        <w:t>STATEMENT OF 2015 POLICY IMPLEMENTATION Comparator group</w:t>
      </w:r>
    </w:p>
    <w:p>
      <w:pPr>
        <w:spacing w:after="0" w:line="1" w:lineRule="exact"/>
        <w:rPr>
          <w:sz w:val="20"/>
          <w:szCs w:val="20"/>
          <w:color w:val="auto"/>
        </w:rPr>
      </w:pPr>
    </w:p>
    <w:p>
      <w:pPr>
        <w:jc w:val="both"/>
        <w:ind w:right="60"/>
        <w:spacing w:after="0" w:line="250" w:lineRule="auto"/>
        <w:rPr>
          <w:sz w:val="20"/>
          <w:szCs w:val="20"/>
          <w:color w:val="auto"/>
        </w:rPr>
      </w:pPr>
      <w:r>
        <w:rPr>
          <w:rFonts w:ascii="Arial" w:cs="Arial" w:eastAsia="Arial" w:hAnsi="Arial"/>
          <w:sz w:val="14"/>
          <w:szCs w:val="14"/>
          <w:color w:val="auto"/>
        </w:rPr>
        <w:t>The 2015 key benchmarking comparator group is unchanged from 2014 and consists of BP, Chevron, ExxonMobil and Total (“the other oil majors”) as well as a selection of major Europe-based companies.</w:t>
      </w:r>
    </w:p>
    <w:p>
      <w:pPr>
        <w:spacing w:after="0" w:line="186" w:lineRule="exact"/>
        <w:rPr>
          <w:sz w:val="20"/>
          <w:szCs w:val="20"/>
          <w:color w:val="auto"/>
        </w:rPr>
      </w:pPr>
    </w:p>
    <w:p>
      <w:pPr>
        <w:ind w:left="80"/>
        <w:spacing w:after="0"/>
        <w:rPr>
          <w:sz w:val="20"/>
          <w:szCs w:val="20"/>
          <w:color w:val="auto"/>
        </w:rPr>
      </w:pPr>
      <w:r>
        <w:rPr>
          <w:rFonts w:ascii="Arial" w:cs="Arial" w:eastAsia="Arial" w:hAnsi="Arial"/>
          <w:sz w:val="15"/>
          <w:szCs w:val="15"/>
          <w:b w:val="1"/>
          <w:bCs w:val="1"/>
          <w:color w:val="FFFFFF"/>
        </w:rPr>
        <w:t>2015 EUROPEAN COMPARATOR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-95250</wp:posOffset>
            </wp:positionV>
            <wp:extent cx="3473450" cy="10287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3473450" cy="10287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62"/>
        </w:trPr>
        <w:tc>
          <w:tcPr>
            <w:tcW w:w="1720" w:type="dxa"/>
            <w:vAlign w:val="bottom"/>
          </w:tcPr>
          <w:p>
            <w:pPr>
              <w:ind w:left="20"/>
              <w:spacing w:after="0"/>
              <w:rPr>
                <w:sz w:val="20"/>
                <w:szCs w:val="20"/>
                <w:color w:val="auto"/>
              </w:rPr>
            </w:pPr>
            <w:r>
              <w:rPr>
                <w:rFonts w:ascii="Arial" w:cs="Arial" w:eastAsia="Arial" w:hAnsi="Arial"/>
                <w:sz w:val="14"/>
                <w:szCs w:val="14"/>
                <w:color w:val="auto"/>
              </w:rPr>
              <w:t>Allianz</w:t>
            </w:r>
          </w:p>
        </w:tc>
        <w:tc>
          <w:tcPr>
            <w:tcW w:w="2400" w:type="dxa"/>
            <w:vAlign w:val="bottom"/>
          </w:tcPr>
          <w:p>
            <w:pPr>
              <w:ind w:left="700"/>
              <w:spacing w:after="0"/>
              <w:rPr>
                <w:sz w:val="20"/>
                <w:szCs w:val="20"/>
                <w:color w:val="auto"/>
              </w:rPr>
            </w:pPr>
            <w:r>
              <w:rPr>
                <w:rFonts w:ascii="Arial" w:cs="Arial" w:eastAsia="Arial" w:hAnsi="Arial"/>
                <w:sz w:val="14"/>
                <w:szCs w:val="14"/>
                <w:color w:val="auto"/>
              </w:rPr>
              <w:t>BHP Billiton</w:t>
            </w:r>
          </w:p>
        </w:tc>
        <w:tc>
          <w:tcPr>
            <w:tcW w:w="1360" w:type="dxa"/>
            <w:vAlign w:val="bottom"/>
          </w:tcPr>
          <w:p>
            <w:pPr>
              <w:ind w:left="640"/>
              <w:spacing w:after="0"/>
              <w:rPr>
                <w:sz w:val="20"/>
                <w:szCs w:val="20"/>
                <w:color w:val="auto"/>
              </w:rPr>
            </w:pPr>
            <w:r>
              <w:rPr>
                <w:rFonts w:ascii="Arial" w:cs="Arial" w:eastAsia="Arial" w:hAnsi="Arial"/>
                <w:sz w:val="14"/>
                <w:szCs w:val="14"/>
                <w:color w:val="auto"/>
              </w:rPr>
              <w:t>Rio Tinto</w:t>
            </w:r>
          </w:p>
        </w:tc>
      </w:tr>
      <w:tr>
        <w:trPr>
          <w:trHeight w:val="162"/>
        </w:trPr>
        <w:tc>
          <w:tcPr>
            <w:tcW w:w="1720" w:type="dxa"/>
            <w:vAlign w:val="bottom"/>
          </w:tcPr>
          <w:p>
            <w:pPr>
              <w:ind w:left="20"/>
              <w:spacing w:after="0"/>
              <w:rPr>
                <w:sz w:val="20"/>
                <w:szCs w:val="20"/>
                <w:color w:val="auto"/>
              </w:rPr>
            </w:pPr>
            <w:r>
              <w:rPr>
                <w:rFonts w:ascii="Arial" w:cs="Arial" w:eastAsia="Arial" w:hAnsi="Arial"/>
                <w:sz w:val="14"/>
                <w:szCs w:val="14"/>
                <w:color w:val="auto"/>
              </w:rPr>
              <w:t>Anglo American</w:t>
            </w:r>
          </w:p>
        </w:tc>
        <w:tc>
          <w:tcPr>
            <w:tcW w:w="2400" w:type="dxa"/>
            <w:vAlign w:val="bottom"/>
          </w:tcPr>
          <w:p>
            <w:pPr>
              <w:ind w:left="700"/>
              <w:spacing w:after="0"/>
              <w:rPr>
                <w:sz w:val="20"/>
                <w:szCs w:val="20"/>
                <w:color w:val="auto"/>
              </w:rPr>
            </w:pPr>
            <w:r>
              <w:rPr>
                <w:rFonts w:ascii="Arial" w:cs="Arial" w:eastAsia="Arial" w:hAnsi="Arial"/>
                <w:sz w:val="14"/>
                <w:szCs w:val="14"/>
                <w:color w:val="auto"/>
              </w:rPr>
              <w:t>Deutsche Bank</w:t>
            </w:r>
          </w:p>
        </w:tc>
        <w:tc>
          <w:tcPr>
            <w:tcW w:w="1360" w:type="dxa"/>
            <w:vAlign w:val="bottom"/>
          </w:tcPr>
          <w:p>
            <w:pPr>
              <w:ind w:left="640"/>
              <w:spacing w:after="0"/>
              <w:rPr>
                <w:sz w:val="20"/>
                <w:szCs w:val="20"/>
                <w:color w:val="auto"/>
              </w:rPr>
            </w:pPr>
            <w:r>
              <w:rPr>
                <w:rFonts w:ascii="Arial" w:cs="Arial" w:eastAsia="Arial" w:hAnsi="Arial"/>
                <w:sz w:val="14"/>
                <w:szCs w:val="14"/>
                <w:color w:val="auto"/>
              </w:rPr>
              <w:t>Roche</w:t>
            </w:r>
          </w:p>
        </w:tc>
      </w:tr>
      <w:tr>
        <w:trPr>
          <w:trHeight w:val="162"/>
        </w:trPr>
        <w:tc>
          <w:tcPr>
            <w:tcW w:w="1720" w:type="dxa"/>
            <w:vAlign w:val="bottom"/>
          </w:tcPr>
          <w:p>
            <w:pPr>
              <w:ind w:left="20"/>
              <w:spacing w:after="0"/>
              <w:rPr>
                <w:sz w:val="20"/>
                <w:szCs w:val="20"/>
                <w:color w:val="auto"/>
              </w:rPr>
            </w:pPr>
            <w:r>
              <w:rPr>
                <w:rFonts w:ascii="Arial" w:cs="Arial" w:eastAsia="Arial" w:hAnsi="Arial"/>
                <w:sz w:val="14"/>
                <w:szCs w:val="14"/>
                <w:color w:val="auto"/>
              </w:rPr>
              <w:t>AstraZeneca</w:t>
            </w:r>
          </w:p>
        </w:tc>
        <w:tc>
          <w:tcPr>
            <w:tcW w:w="2400" w:type="dxa"/>
            <w:vAlign w:val="bottom"/>
          </w:tcPr>
          <w:p>
            <w:pPr>
              <w:ind w:left="700"/>
              <w:spacing w:after="0"/>
              <w:rPr>
                <w:sz w:val="20"/>
                <w:szCs w:val="20"/>
                <w:color w:val="auto"/>
              </w:rPr>
            </w:pPr>
            <w:r>
              <w:rPr>
                <w:rFonts w:ascii="Arial" w:cs="Arial" w:eastAsia="Arial" w:hAnsi="Arial"/>
                <w:sz w:val="14"/>
                <w:szCs w:val="14"/>
                <w:color w:val="auto"/>
              </w:rPr>
              <w:t>Diageo</w:t>
            </w:r>
          </w:p>
        </w:tc>
        <w:tc>
          <w:tcPr>
            <w:tcW w:w="1360" w:type="dxa"/>
            <w:vAlign w:val="bottom"/>
          </w:tcPr>
          <w:p>
            <w:pPr>
              <w:ind w:left="640"/>
              <w:spacing w:after="0"/>
              <w:rPr>
                <w:sz w:val="20"/>
                <w:szCs w:val="20"/>
                <w:color w:val="auto"/>
              </w:rPr>
            </w:pPr>
            <w:r>
              <w:rPr>
                <w:rFonts w:ascii="Arial" w:cs="Arial" w:eastAsia="Arial" w:hAnsi="Arial"/>
                <w:sz w:val="14"/>
                <w:szCs w:val="14"/>
                <w:color w:val="auto"/>
              </w:rPr>
              <w:t>SABMiller</w:t>
            </w:r>
          </w:p>
        </w:tc>
      </w:tr>
      <w:tr>
        <w:trPr>
          <w:trHeight w:val="162"/>
        </w:trPr>
        <w:tc>
          <w:tcPr>
            <w:tcW w:w="1720" w:type="dxa"/>
            <w:vAlign w:val="bottom"/>
          </w:tcPr>
          <w:p>
            <w:pPr>
              <w:ind w:left="20"/>
              <w:spacing w:after="0"/>
              <w:rPr>
                <w:sz w:val="20"/>
                <w:szCs w:val="20"/>
                <w:color w:val="auto"/>
              </w:rPr>
            </w:pPr>
            <w:r>
              <w:rPr>
                <w:rFonts w:ascii="Arial" w:cs="Arial" w:eastAsia="Arial" w:hAnsi="Arial"/>
                <w:sz w:val="14"/>
                <w:szCs w:val="14"/>
                <w:color w:val="auto"/>
              </w:rPr>
              <w:t>Barclays</w:t>
            </w:r>
          </w:p>
        </w:tc>
        <w:tc>
          <w:tcPr>
            <w:tcW w:w="2400" w:type="dxa"/>
            <w:vAlign w:val="bottom"/>
          </w:tcPr>
          <w:p>
            <w:pPr>
              <w:ind w:left="700"/>
              <w:spacing w:after="0"/>
              <w:rPr>
                <w:sz w:val="20"/>
                <w:szCs w:val="20"/>
                <w:color w:val="auto"/>
              </w:rPr>
            </w:pPr>
            <w:r>
              <w:rPr>
                <w:rFonts w:ascii="Arial" w:cs="Arial" w:eastAsia="Arial" w:hAnsi="Arial"/>
                <w:sz w:val="14"/>
                <w:szCs w:val="14"/>
                <w:color w:val="auto"/>
              </w:rPr>
              <w:t>GlaxoSmithKline</w:t>
            </w:r>
          </w:p>
        </w:tc>
        <w:tc>
          <w:tcPr>
            <w:tcW w:w="1360" w:type="dxa"/>
            <w:vAlign w:val="bottom"/>
          </w:tcPr>
          <w:p>
            <w:pPr>
              <w:ind w:left="640"/>
              <w:spacing w:after="0"/>
              <w:rPr>
                <w:sz w:val="20"/>
                <w:szCs w:val="20"/>
                <w:color w:val="auto"/>
              </w:rPr>
            </w:pPr>
            <w:r>
              <w:rPr>
                <w:rFonts w:ascii="Arial" w:cs="Arial" w:eastAsia="Arial" w:hAnsi="Arial"/>
                <w:sz w:val="14"/>
                <w:szCs w:val="14"/>
                <w:color w:val="auto"/>
              </w:rPr>
              <w:t>Siemens</w:t>
            </w:r>
          </w:p>
        </w:tc>
      </w:tr>
      <w:tr>
        <w:trPr>
          <w:trHeight w:val="162"/>
        </w:trPr>
        <w:tc>
          <w:tcPr>
            <w:tcW w:w="1720" w:type="dxa"/>
            <w:vAlign w:val="bottom"/>
          </w:tcPr>
          <w:p>
            <w:pPr>
              <w:ind w:left="20"/>
              <w:spacing w:after="0"/>
              <w:rPr>
                <w:sz w:val="20"/>
                <w:szCs w:val="20"/>
                <w:color w:val="auto"/>
              </w:rPr>
            </w:pPr>
            <w:r>
              <w:rPr>
                <w:rFonts w:ascii="Arial" w:cs="Arial" w:eastAsia="Arial" w:hAnsi="Arial"/>
                <w:sz w:val="14"/>
                <w:szCs w:val="14"/>
                <w:color w:val="auto"/>
              </w:rPr>
              <w:t>Bayer</w:t>
            </w:r>
          </w:p>
        </w:tc>
        <w:tc>
          <w:tcPr>
            <w:tcW w:w="2400" w:type="dxa"/>
            <w:vAlign w:val="bottom"/>
          </w:tcPr>
          <w:p>
            <w:pPr>
              <w:ind w:left="700"/>
              <w:spacing w:after="0"/>
              <w:rPr>
                <w:sz w:val="20"/>
                <w:szCs w:val="20"/>
                <w:color w:val="auto"/>
              </w:rPr>
            </w:pPr>
            <w:r>
              <w:rPr>
                <w:rFonts w:ascii="Arial" w:cs="Arial" w:eastAsia="Arial" w:hAnsi="Arial"/>
                <w:sz w:val="14"/>
                <w:szCs w:val="14"/>
                <w:color w:val="auto"/>
              </w:rPr>
              <w:t>HSBC</w:t>
            </w:r>
          </w:p>
        </w:tc>
        <w:tc>
          <w:tcPr>
            <w:tcW w:w="1360" w:type="dxa"/>
            <w:vAlign w:val="bottom"/>
          </w:tcPr>
          <w:p>
            <w:pPr>
              <w:ind w:left="640"/>
              <w:spacing w:after="0"/>
              <w:rPr>
                <w:sz w:val="20"/>
                <w:szCs w:val="20"/>
                <w:color w:val="auto"/>
              </w:rPr>
            </w:pPr>
            <w:r>
              <w:rPr>
                <w:rFonts w:ascii="Arial" w:cs="Arial" w:eastAsia="Arial" w:hAnsi="Arial"/>
                <w:sz w:val="14"/>
                <w:szCs w:val="14"/>
                <w:color w:val="auto"/>
              </w:rPr>
              <w:t>Unilever</w:t>
            </w:r>
          </w:p>
        </w:tc>
      </w:tr>
      <w:tr>
        <w:trPr>
          <w:trHeight w:val="162"/>
        </w:trPr>
        <w:tc>
          <w:tcPr>
            <w:tcW w:w="1720" w:type="dxa"/>
            <w:vAlign w:val="bottom"/>
          </w:tcPr>
          <w:p>
            <w:pPr>
              <w:ind w:left="20"/>
              <w:spacing w:after="0"/>
              <w:rPr>
                <w:sz w:val="20"/>
                <w:szCs w:val="20"/>
                <w:color w:val="auto"/>
              </w:rPr>
            </w:pPr>
            <w:r>
              <w:rPr>
                <w:rFonts w:ascii="Arial" w:cs="Arial" w:eastAsia="Arial" w:hAnsi="Arial"/>
                <w:sz w:val="14"/>
                <w:szCs w:val="14"/>
                <w:color w:val="auto"/>
              </w:rPr>
              <w:t>BAT</w:t>
            </w:r>
          </w:p>
        </w:tc>
        <w:tc>
          <w:tcPr>
            <w:tcW w:w="2400" w:type="dxa"/>
            <w:vAlign w:val="bottom"/>
          </w:tcPr>
          <w:p>
            <w:pPr>
              <w:ind w:left="700"/>
              <w:spacing w:after="0"/>
              <w:rPr>
                <w:sz w:val="20"/>
                <w:szCs w:val="20"/>
                <w:color w:val="auto"/>
              </w:rPr>
            </w:pPr>
            <w:r>
              <w:rPr>
                <w:rFonts w:ascii="Arial" w:cs="Arial" w:eastAsia="Arial" w:hAnsi="Arial"/>
                <w:sz w:val="14"/>
                <w:szCs w:val="14"/>
                <w:color w:val="auto"/>
              </w:rPr>
              <w:t>Novartis</w:t>
            </w:r>
          </w:p>
        </w:tc>
        <w:tc>
          <w:tcPr>
            <w:tcW w:w="1360" w:type="dxa"/>
            <w:vAlign w:val="bottom"/>
          </w:tcPr>
          <w:p>
            <w:pPr>
              <w:ind w:left="640"/>
              <w:spacing w:after="0"/>
              <w:rPr>
                <w:sz w:val="20"/>
                <w:szCs w:val="20"/>
                <w:color w:val="auto"/>
              </w:rPr>
            </w:pPr>
            <w:r>
              <w:rPr>
                <w:rFonts w:ascii="Arial" w:cs="Arial" w:eastAsia="Arial" w:hAnsi="Arial"/>
                <w:sz w:val="14"/>
                <w:szCs w:val="14"/>
                <w:color w:val="auto"/>
              </w:rPr>
              <w:t>Vodafone</w:t>
            </w:r>
          </w:p>
        </w:tc>
      </w:tr>
      <w:tr>
        <w:trPr>
          <w:trHeight w:val="157"/>
        </w:trPr>
        <w:tc>
          <w:tcPr>
            <w:tcW w:w="1720" w:type="dxa"/>
            <w:vAlign w:val="bottom"/>
            <w:tcBorders>
              <w:bottom w:val="single" w:sz="8" w:color="auto"/>
            </w:tcBorders>
          </w:tcPr>
          <w:p>
            <w:pPr>
              <w:ind w:left="20"/>
              <w:spacing w:after="0" w:line="157" w:lineRule="exact"/>
              <w:rPr>
                <w:sz w:val="20"/>
                <w:szCs w:val="20"/>
                <w:color w:val="auto"/>
              </w:rPr>
            </w:pPr>
            <w:r>
              <w:rPr>
                <w:rFonts w:ascii="Arial" w:cs="Arial" w:eastAsia="Arial" w:hAnsi="Arial"/>
                <w:sz w:val="14"/>
                <w:szCs w:val="14"/>
                <w:color w:val="auto"/>
              </w:rPr>
              <w:t>BG Group</w:t>
            </w:r>
          </w:p>
        </w:tc>
        <w:tc>
          <w:tcPr>
            <w:tcW w:w="2400" w:type="dxa"/>
            <w:vAlign w:val="bottom"/>
            <w:tcBorders>
              <w:bottom w:val="single" w:sz="8" w:color="auto"/>
            </w:tcBorders>
          </w:tcPr>
          <w:p>
            <w:pPr>
              <w:ind w:left="700"/>
              <w:spacing w:after="0" w:line="157" w:lineRule="exact"/>
              <w:rPr>
                <w:sz w:val="20"/>
                <w:szCs w:val="20"/>
                <w:color w:val="auto"/>
              </w:rPr>
            </w:pPr>
            <w:r>
              <w:rPr>
                <w:rFonts w:ascii="Arial" w:cs="Arial" w:eastAsia="Arial" w:hAnsi="Arial"/>
                <w:sz w:val="14"/>
                <w:szCs w:val="14"/>
                <w:color w:val="auto"/>
              </w:rPr>
              <w:t>Philips</w:t>
            </w:r>
          </w:p>
        </w:tc>
        <w:tc>
          <w:tcPr>
            <w:tcW w:w="1360" w:type="dxa"/>
            <w:vAlign w:val="bottom"/>
            <w:tcBorders>
              <w:bottom w:val="single" w:sz="8" w:color="auto"/>
            </w:tcBorders>
          </w:tcPr>
          <w:p>
            <w:pPr>
              <w:spacing w:after="0"/>
              <w:rPr>
                <w:sz w:val="13"/>
                <w:szCs w:val="13"/>
                <w:color w:val="auto"/>
              </w:rPr>
            </w:pPr>
          </w:p>
        </w:tc>
      </w:tr>
    </w:tbl>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Salaries</w:t>
      </w:r>
    </w:p>
    <w:p>
      <w:pPr>
        <w:spacing w:after="0" w:line="1" w:lineRule="exact"/>
        <w:rPr>
          <w:sz w:val="20"/>
          <w:szCs w:val="20"/>
          <w:color w:val="auto"/>
        </w:rPr>
      </w:pPr>
    </w:p>
    <w:p>
      <w:pPr>
        <w:ind w:right="40"/>
        <w:spacing w:after="0" w:line="258" w:lineRule="auto"/>
        <w:rPr>
          <w:sz w:val="20"/>
          <w:szCs w:val="20"/>
          <w:color w:val="auto"/>
        </w:rPr>
      </w:pPr>
      <w:r>
        <w:rPr>
          <w:rFonts w:ascii="Arial" w:cs="Arial" w:eastAsia="Arial" w:hAnsi="Arial"/>
          <w:sz w:val="14"/>
          <w:szCs w:val="14"/>
          <w:color w:val="auto"/>
        </w:rPr>
        <w:t>Effective from January 1, 2015, base salaries were set at €1,430,000 (+2.1%) for Ben van Beurden, CEO and €1,030,000 (+2.0%) for Simon Henry, CFO.</w:t>
      </w:r>
    </w:p>
    <w:p>
      <w:pPr>
        <w:spacing w:after="0" w:line="167" w:lineRule="exact"/>
        <w:rPr>
          <w:sz w:val="20"/>
          <w:szCs w:val="20"/>
          <w:color w:val="auto"/>
        </w:rPr>
      </w:pPr>
    </w:p>
    <w:p>
      <w:pPr>
        <w:ind w:right="100"/>
        <w:spacing w:after="0" w:line="258" w:lineRule="auto"/>
        <w:rPr>
          <w:sz w:val="20"/>
          <w:szCs w:val="20"/>
          <w:color w:val="auto"/>
        </w:rPr>
      </w:pPr>
      <w:r>
        <w:rPr>
          <w:rFonts w:ascii="Arial" w:cs="Arial" w:eastAsia="Arial" w:hAnsi="Arial"/>
          <w:sz w:val="14"/>
          <w:szCs w:val="14"/>
          <w:color w:val="auto"/>
        </w:rPr>
        <w:t>Pensionable base salaries were set at €1,430,000 (+2.1%) for Ben van Beurden and £765,000 (+2.0%) for Simon Henry.</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Annual bonus</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The 2015 performance measures are aligned with our KPIs and comprise:</w:t>
      </w:r>
    </w:p>
    <w:p>
      <w:pPr>
        <w:spacing w:after="0" w:line="103" w:lineRule="exact"/>
        <w:rPr>
          <w:sz w:val="20"/>
          <w:szCs w:val="20"/>
          <w:color w:val="auto"/>
        </w:rPr>
      </w:pPr>
    </w:p>
    <w:p>
      <w:pPr>
        <w:ind w:left="180" w:hanging="172"/>
        <w:spacing w:after="0"/>
        <w:tabs>
          <w:tab w:leader="none" w:pos="180" w:val="left"/>
        </w:tabs>
        <w:numPr>
          <w:ilvl w:val="0"/>
          <w:numId w:val="97"/>
        </w:numPr>
        <w:rPr>
          <w:rFonts w:ascii="Arial" w:cs="Arial" w:eastAsia="Arial" w:hAnsi="Arial"/>
          <w:sz w:val="24"/>
          <w:szCs w:val="24"/>
          <w:color w:val="auto"/>
          <w:vertAlign w:val="superscript"/>
        </w:rPr>
      </w:pPr>
      <w:r>
        <w:rPr>
          <w:rFonts w:ascii="Arial" w:cs="Arial" w:eastAsia="Arial" w:hAnsi="Arial"/>
          <w:sz w:val="14"/>
          <w:szCs w:val="14"/>
          <w:color w:val="auto"/>
        </w:rPr>
        <w:t>operational cash flow (30%);</w:t>
      </w:r>
    </w:p>
    <w:p>
      <w:pPr>
        <w:ind w:left="180" w:right="100" w:hanging="172"/>
        <w:spacing w:after="0" w:line="182" w:lineRule="auto"/>
        <w:tabs>
          <w:tab w:leader="none" w:pos="180" w:val="left"/>
        </w:tabs>
        <w:numPr>
          <w:ilvl w:val="0"/>
          <w:numId w:val="97"/>
        </w:numPr>
        <w:rPr>
          <w:rFonts w:ascii="Arial" w:cs="Arial" w:eastAsia="Arial" w:hAnsi="Arial"/>
          <w:sz w:val="23"/>
          <w:szCs w:val="23"/>
          <w:color w:val="auto"/>
          <w:vertAlign w:val="superscript"/>
        </w:rPr>
      </w:pPr>
      <w:r>
        <w:rPr>
          <w:rFonts w:ascii="Arial" w:cs="Arial" w:eastAsia="Arial" w:hAnsi="Arial"/>
          <w:sz w:val="14"/>
          <w:szCs w:val="14"/>
          <w:color w:val="auto"/>
        </w:rPr>
        <w:t>operational excellence (50%), consisting of: project delivery, upstream production, liquefied natural gas (LNG) sales, refinery and chemical plant availability; and</w:t>
      </w:r>
    </w:p>
    <w:p>
      <w:pPr>
        <w:spacing w:after="0" w:line="1" w:lineRule="exact"/>
        <w:rPr>
          <w:rFonts w:ascii="Arial" w:cs="Arial" w:eastAsia="Arial" w:hAnsi="Arial"/>
          <w:sz w:val="23"/>
          <w:szCs w:val="23"/>
          <w:color w:val="auto"/>
          <w:vertAlign w:val="superscript"/>
        </w:rPr>
      </w:pPr>
    </w:p>
    <w:p>
      <w:pPr>
        <w:ind w:left="180" w:right="40" w:hanging="172"/>
        <w:spacing w:after="0" w:line="225" w:lineRule="auto"/>
        <w:tabs>
          <w:tab w:leader="none" w:pos="180" w:val="left"/>
        </w:tabs>
        <w:numPr>
          <w:ilvl w:val="0"/>
          <w:numId w:val="97"/>
        </w:numPr>
        <w:rPr>
          <w:rFonts w:ascii="Arial" w:cs="Arial" w:eastAsia="Arial" w:hAnsi="Arial"/>
          <w:sz w:val="24"/>
          <w:szCs w:val="24"/>
          <w:color w:val="auto"/>
          <w:vertAlign w:val="superscript"/>
        </w:rPr>
      </w:pPr>
      <w:r>
        <w:rPr>
          <w:rFonts w:ascii="Arial" w:cs="Arial" w:eastAsia="Arial" w:hAnsi="Arial"/>
          <w:sz w:val="14"/>
          <w:szCs w:val="14"/>
          <w:color w:val="auto"/>
        </w:rPr>
        <w:t>sustainable development (20%). In 2014, 10% of the annual bonus scorecard was based on total recordable case frequency (TRCF). This will be changed for 2015 to 5% TRCF and 5% Tier 1 Process Safety events (defined as an unplanned release of any material, including non-toxic and non-flammable materials from a process, resulting in harm to members of the company workforce or a neighbouring community, damage to equipment or exceeding a threshold). A further 10% is based on internal measures (spills, energy intensity and use of fresh water) with changes for 2015 to increase the weighting of spill volumes and removal of spill numbers, which are covered in the new process safety measure.</w:t>
      </w:r>
    </w:p>
    <w:p>
      <w:pPr>
        <w:spacing w:after="0" w:line="168" w:lineRule="exact"/>
        <w:rPr>
          <w:sz w:val="20"/>
          <w:szCs w:val="20"/>
          <w:color w:val="auto"/>
        </w:rPr>
      </w:pPr>
    </w:p>
    <w:p>
      <w:pPr>
        <w:spacing w:after="0" w:line="244" w:lineRule="auto"/>
        <w:rPr>
          <w:sz w:val="20"/>
          <w:szCs w:val="20"/>
          <w:color w:val="auto"/>
        </w:rPr>
      </w:pPr>
      <w:r>
        <w:rPr>
          <w:rFonts w:ascii="Arial" w:cs="Arial" w:eastAsia="Arial" w:hAnsi="Arial"/>
          <w:sz w:val="14"/>
          <w:szCs w:val="14"/>
          <w:color w:val="auto"/>
        </w:rPr>
        <w:t>Annual bonus scorecard targets are not disclosed prospectively because to do so in a meaningful manner would require the disclosure of commercially sensitive information. As we did for 2013 and 2014, we intend to disclose scorecard targets in a future Directors’ Remuneration Report when they are no longer deemed to be commercially sensitive. Retrospective disclosure of detailed personal targets is inappropriate as these are deemed commercially sensitive.</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color w:val="auto"/>
        </w:rPr>
        <w:t>Long-term incentive awards</w:t>
      </w:r>
    </w:p>
    <w:p>
      <w:pPr>
        <w:spacing w:after="0" w:line="162" w:lineRule="exact"/>
        <w:rPr>
          <w:sz w:val="20"/>
          <w:szCs w:val="20"/>
          <w:color w:val="auto"/>
        </w:rPr>
      </w:pPr>
    </w:p>
    <w:p>
      <w:pPr>
        <w:spacing w:after="0"/>
        <w:rPr>
          <w:sz w:val="20"/>
          <w:szCs w:val="20"/>
          <w:color w:val="auto"/>
        </w:rPr>
      </w:pPr>
      <w:r>
        <w:rPr>
          <w:rFonts w:ascii="Arial" w:cs="Arial" w:eastAsia="Arial" w:hAnsi="Arial"/>
          <w:sz w:val="13"/>
          <w:szCs w:val="13"/>
          <w:color w:val="auto"/>
        </w:rPr>
        <w:t>LONG-TERM INCENTIVE PLAN</w:t>
      </w:r>
    </w:p>
    <w:p>
      <w:pPr>
        <w:ind w:right="60"/>
        <w:spacing w:after="0" w:line="245" w:lineRule="auto"/>
        <w:rPr>
          <w:sz w:val="20"/>
          <w:szCs w:val="20"/>
          <w:color w:val="auto"/>
        </w:rPr>
      </w:pPr>
      <w:r>
        <w:rPr>
          <w:rFonts w:ascii="Arial" w:cs="Arial" w:eastAsia="Arial" w:hAnsi="Arial"/>
          <w:sz w:val="14"/>
          <w:szCs w:val="14"/>
          <w:color w:val="auto"/>
        </w:rPr>
        <w:t>On January 30, 2015, a conditional award of performance shares under the LTIP was made to the Executive Directors. The award had a face value of 340% of base salary for the CEO and 270% of base salary for the CFO, resulting in the following shares being awarded conditionally: 180,575 Royal Dutch Shell plc A shares (A shares) to Ben van Beurden, and 99,451 Royal Dutch Shell plc B shares (B shares) to Simon Henry.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419"/>
        </w:trPr>
        <w:tc>
          <w:tcPr>
            <w:tcW w:w="3580" w:type="dxa"/>
            <w:vAlign w:val="bottom"/>
            <w:shd w:val="clear" w:color="auto" w:fill="FF8B00"/>
          </w:tcPr>
          <w:p>
            <w:pPr>
              <w:spacing w:after="0"/>
              <w:rPr>
                <w:sz w:val="24"/>
                <w:szCs w:val="24"/>
                <w:color w:val="auto"/>
              </w:rPr>
            </w:pPr>
          </w:p>
        </w:tc>
        <w:tc>
          <w:tcPr>
            <w:tcW w:w="2240" w:type="dxa"/>
            <w:vAlign w:val="bottom"/>
            <w:shd w:val="clear" w:color="auto" w:fill="FF8B00"/>
          </w:tcPr>
          <w:p>
            <w:pPr>
              <w:spacing w:after="0"/>
              <w:rPr>
                <w:sz w:val="24"/>
                <w:szCs w:val="24"/>
                <w:color w:val="auto"/>
              </w:rPr>
            </w:pPr>
          </w:p>
        </w:tc>
      </w:tr>
      <w:tr>
        <w:trPr>
          <w:trHeight w:val="152"/>
        </w:trPr>
        <w:tc>
          <w:tcPr>
            <w:tcW w:w="3580" w:type="dxa"/>
            <w:vAlign w:val="bottom"/>
          </w:tcPr>
          <w:p>
            <w:pPr>
              <w:ind w:left="940"/>
              <w:spacing w:after="0"/>
              <w:rPr>
                <w:sz w:val="20"/>
                <w:szCs w:val="20"/>
                <w:color w:val="auto"/>
              </w:rPr>
            </w:pPr>
            <w:r>
              <w:rPr>
                <w:rFonts w:ascii="Arial" w:cs="Arial" w:eastAsia="Arial" w:hAnsi="Arial"/>
                <w:sz w:val="13"/>
                <w:szCs w:val="13"/>
                <w:color w:val="333333"/>
              </w:rPr>
              <w:t>GOVERNANCE</w:t>
            </w:r>
          </w:p>
        </w:tc>
        <w:tc>
          <w:tcPr>
            <w:tcW w:w="2240" w:type="dxa"/>
            <w:vAlign w:val="bottom"/>
          </w:tcPr>
          <w:p>
            <w:pPr>
              <w:jc w:val="right"/>
              <w:ind w:right="306"/>
              <w:spacing w:after="0"/>
              <w:rPr>
                <w:sz w:val="20"/>
                <w:szCs w:val="20"/>
                <w:color w:val="auto"/>
              </w:rPr>
            </w:pPr>
            <w:r>
              <w:rPr>
                <w:rFonts w:ascii="Arial" w:cs="Arial" w:eastAsia="Arial" w:hAnsi="Arial"/>
                <w:sz w:val="11"/>
                <w:szCs w:val="11"/>
                <w:b w:val="1"/>
                <w:bCs w:val="1"/>
                <w:color w:val="333333"/>
              </w:rPr>
              <w:t>83</w:t>
            </w:r>
          </w:p>
        </w:tc>
      </w:tr>
    </w:tbl>
    <w:p>
      <w:pPr>
        <w:spacing w:after="0" w:line="155" w:lineRule="exact"/>
        <w:rPr>
          <w:sz w:val="20"/>
          <w:szCs w:val="20"/>
          <w:color w:val="auto"/>
        </w:rPr>
      </w:pPr>
    </w:p>
    <w:p>
      <w:pPr>
        <w:ind w:left="940"/>
        <w:spacing w:after="0"/>
        <w:rPr>
          <w:sz w:val="20"/>
          <w:szCs w:val="20"/>
          <w:color w:val="auto"/>
        </w:rPr>
      </w:pPr>
      <w:r>
        <w:rPr>
          <w:rFonts w:ascii="Arial" w:cs="Arial" w:eastAsia="Arial" w:hAnsi="Arial"/>
          <w:sz w:val="11"/>
          <w:szCs w:val="11"/>
          <w:color w:val="auto"/>
        </w:rPr>
        <w:t>DIRECTORS’ REMUNERATION REPORT</w:t>
      </w:r>
    </w:p>
    <w:p>
      <w:pPr>
        <w:spacing w:after="0" w:line="57" w:lineRule="exact"/>
        <w:rPr>
          <w:sz w:val="20"/>
          <w:szCs w:val="20"/>
          <w:color w:val="auto"/>
        </w:rPr>
      </w:pPr>
    </w:p>
    <w:p>
      <w:pPr>
        <w:ind w:left="180" w:right="180"/>
        <w:spacing w:after="0" w:line="247" w:lineRule="auto"/>
        <w:rPr>
          <w:sz w:val="20"/>
          <w:szCs w:val="20"/>
          <w:color w:val="auto"/>
        </w:rPr>
      </w:pPr>
      <w:r>
        <w:rPr>
          <w:rFonts w:ascii="Arial" w:cs="Arial" w:eastAsia="Arial" w:hAnsi="Arial"/>
          <w:sz w:val="14"/>
          <w:szCs w:val="14"/>
          <w:color w:val="auto"/>
        </w:rPr>
        <w:t>For LTIP awards made in 2015, consistent with 2014, performance is assessed over a three-year period based on relative performance compared with the other oil majors on the following measures and vested shares are subject to a two-year holding period post vesting:</w:t>
      </w:r>
    </w:p>
    <w:p>
      <w:pPr>
        <w:spacing w:after="0" w:line="202" w:lineRule="exact"/>
        <w:rPr>
          <w:sz w:val="20"/>
          <w:szCs w:val="20"/>
          <w:color w:val="auto"/>
        </w:rPr>
      </w:pPr>
    </w:p>
    <w:p>
      <w:pPr>
        <w:ind w:left="340" w:right="180" w:hanging="160"/>
        <w:spacing w:after="0" w:line="182" w:lineRule="auto"/>
        <w:tabs>
          <w:tab w:leader="none" w:pos="340" w:val="left"/>
        </w:tabs>
        <w:numPr>
          <w:ilvl w:val="0"/>
          <w:numId w:val="98"/>
        </w:numPr>
        <w:rPr>
          <w:rFonts w:ascii="Arial" w:cs="Arial" w:eastAsia="Arial" w:hAnsi="Arial"/>
          <w:sz w:val="23"/>
          <w:szCs w:val="23"/>
          <w:color w:val="auto"/>
          <w:vertAlign w:val="superscript"/>
        </w:rPr>
      </w:pPr>
      <w:r>
        <w:rPr>
          <w:rFonts w:ascii="Arial" w:cs="Arial" w:eastAsia="Arial" w:hAnsi="Arial"/>
          <w:sz w:val="14"/>
          <w:szCs w:val="14"/>
          <w:color w:val="auto"/>
        </w:rPr>
        <w:t>TSR, calculated in US dollars using a 90-day averaging period around the start and end of the performance period (30%);</w:t>
      </w:r>
    </w:p>
    <w:p>
      <w:pPr>
        <w:spacing w:after="0" w:line="1" w:lineRule="exact"/>
        <w:rPr>
          <w:rFonts w:ascii="Arial" w:cs="Arial" w:eastAsia="Arial" w:hAnsi="Arial"/>
          <w:sz w:val="23"/>
          <w:szCs w:val="23"/>
          <w:color w:val="auto"/>
          <w:vertAlign w:val="superscript"/>
        </w:rPr>
      </w:pPr>
    </w:p>
    <w:p>
      <w:pPr>
        <w:ind w:left="340" w:hanging="160"/>
        <w:spacing w:after="0" w:line="187" w:lineRule="auto"/>
        <w:tabs>
          <w:tab w:leader="none" w:pos="340" w:val="left"/>
        </w:tabs>
        <w:numPr>
          <w:ilvl w:val="0"/>
          <w:numId w:val="98"/>
        </w:numPr>
        <w:rPr>
          <w:rFonts w:ascii="Arial" w:cs="Arial" w:eastAsia="Arial" w:hAnsi="Arial"/>
          <w:sz w:val="18"/>
          <w:szCs w:val="18"/>
          <w:color w:val="auto"/>
          <w:vertAlign w:val="superscript"/>
        </w:rPr>
      </w:pPr>
      <w:r>
        <w:rPr>
          <w:rFonts w:ascii="Arial" w:cs="Arial" w:eastAsia="Arial" w:hAnsi="Arial"/>
          <w:sz w:val="11"/>
          <w:szCs w:val="11"/>
          <w:color w:val="auto"/>
        </w:rPr>
        <w:t>diluted EPS growth on a current cost of supplies basis (30%);</w:t>
      </w:r>
    </w:p>
    <w:p>
      <w:pPr>
        <w:ind w:left="340" w:hanging="160"/>
        <w:spacing w:after="0" w:line="187" w:lineRule="auto"/>
        <w:tabs>
          <w:tab w:leader="none" w:pos="340" w:val="left"/>
        </w:tabs>
        <w:numPr>
          <w:ilvl w:val="0"/>
          <w:numId w:val="98"/>
        </w:numPr>
        <w:rPr>
          <w:rFonts w:ascii="Arial" w:cs="Arial" w:eastAsia="Arial" w:hAnsi="Arial"/>
          <w:sz w:val="18"/>
          <w:szCs w:val="18"/>
          <w:color w:val="auto"/>
          <w:vertAlign w:val="superscript"/>
        </w:rPr>
      </w:pPr>
      <w:r>
        <w:rPr>
          <w:rFonts w:ascii="Arial" w:cs="Arial" w:eastAsia="Arial" w:hAnsi="Arial"/>
          <w:sz w:val="11"/>
          <w:szCs w:val="11"/>
          <w:color w:val="auto"/>
        </w:rPr>
        <w:t>net cash growth from operating activities (20%); and</w:t>
      </w:r>
    </w:p>
    <w:p>
      <w:pPr>
        <w:ind w:left="340" w:right="360" w:hanging="160"/>
        <w:spacing w:after="0" w:line="208" w:lineRule="auto"/>
        <w:tabs>
          <w:tab w:leader="none" w:pos="340" w:val="left"/>
        </w:tabs>
        <w:numPr>
          <w:ilvl w:val="0"/>
          <w:numId w:val="98"/>
        </w:numPr>
        <w:rPr>
          <w:rFonts w:ascii="Arial" w:cs="Arial" w:eastAsia="Arial" w:hAnsi="Arial"/>
          <w:sz w:val="24"/>
          <w:szCs w:val="24"/>
          <w:color w:val="auto"/>
          <w:vertAlign w:val="superscript"/>
        </w:rPr>
      </w:pPr>
      <w:r>
        <w:rPr>
          <w:rFonts w:ascii="Arial" w:cs="Arial" w:eastAsia="Arial" w:hAnsi="Arial"/>
          <w:sz w:val="14"/>
          <w:szCs w:val="14"/>
          <w:color w:val="auto"/>
        </w:rPr>
        <w:t>return on average capital employed (ROACE) growth (20%). For this purpose, in order to facilitate the comparison, the calculation of ROACE differs from that described in “Performance indicators” as there is no adjustment for after-tax interest expense.</w:t>
      </w:r>
    </w:p>
    <w:p>
      <w:pPr>
        <w:spacing w:after="0" w:line="165" w:lineRule="exact"/>
        <w:rPr>
          <w:sz w:val="20"/>
          <w:szCs w:val="20"/>
          <w:color w:val="auto"/>
        </w:rPr>
      </w:pPr>
    </w:p>
    <w:p>
      <w:pPr>
        <w:ind w:left="180"/>
        <w:spacing w:after="0"/>
        <w:rPr>
          <w:sz w:val="20"/>
          <w:szCs w:val="20"/>
          <w:color w:val="auto"/>
        </w:rPr>
      </w:pPr>
      <w:r>
        <w:rPr>
          <w:rFonts w:ascii="Arial" w:cs="Arial" w:eastAsia="Arial" w:hAnsi="Arial"/>
          <w:sz w:val="13"/>
          <w:szCs w:val="13"/>
          <w:color w:val="auto"/>
        </w:rPr>
        <w:t>DEFERRED BONUS PLAN</w:t>
      </w:r>
    </w:p>
    <w:p>
      <w:pPr>
        <w:ind w:left="180" w:right="200"/>
        <w:spacing w:after="0" w:line="258" w:lineRule="auto"/>
        <w:rPr>
          <w:sz w:val="20"/>
          <w:szCs w:val="20"/>
          <w:color w:val="auto"/>
        </w:rPr>
      </w:pPr>
      <w:r>
        <w:rPr>
          <w:rFonts w:ascii="Arial" w:cs="Arial" w:eastAsia="Arial" w:hAnsi="Arial"/>
          <w:sz w:val="14"/>
          <w:szCs w:val="14"/>
          <w:color w:val="auto"/>
        </w:rPr>
        <w:t>50% of the annual bonus awarded will be deferred into shares to be retained for three years.</w:t>
      </w:r>
    </w:p>
    <w:p>
      <w:pPr>
        <w:spacing w:after="0" w:line="148" w:lineRule="exact"/>
        <w:rPr>
          <w:sz w:val="20"/>
          <w:szCs w:val="20"/>
          <w:color w:val="auto"/>
        </w:rPr>
      </w:pPr>
    </w:p>
    <w:p>
      <w:pPr>
        <w:ind w:left="180"/>
        <w:spacing w:after="0"/>
        <w:rPr>
          <w:sz w:val="20"/>
          <w:szCs w:val="20"/>
          <w:color w:val="auto"/>
        </w:rPr>
      </w:pPr>
      <w:r>
        <w:rPr>
          <w:rFonts w:ascii="Arial" w:cs="Arial" w:eastAsia="Arial" w:hAnsi="Arial"/>
          <w:sz w:val="18"/>
          <w:szCs w:val="18"/>
          <w:color w:val="auto"/>
        </w:rPr>
        <w:t>Malus and clawback</w:t>
      </w:r>
    </w:p>
    <w:p>
      <w:pPr>
        <w:spacing w:after="0" w:line="1" w:lineRule="exact"/>
        <w:rPr>
          <w:sz w:val="20"/>
          <w:szCs w:val="20"/>
          <w:color w:val="auto"/>
        </w:rPr>
      </w:pPr>
    </w:p>
    <w:p>
      <w:pPr>
        <w:ind w:left="180" w:right="220"/>
        <w:spacing w:after="0" w:line="258" w:lineRule="auto"/>
        <w:rPr>
          <w:sz w:val="20"/>
          <w:szCs w:val="20"/>
          <w:color w:val="auto"/>
        </w:rPr>
      </w:pPr>
      <w:r>
        <w:rPr>
          <w:rFonts w:ascii="Arial" w:cs="Arial" w:eastAsia="Arial" w:hAnsi="Arial"/>
          <w:sz w:val="14"/>
          <w:szCs w:val="14"/>
          <w:color w:val="auto"/>
        </w:rPr>
        <w:t>Bonus, DBP and LTIP are subject to malus (withholding) and clawback (recovery) provisions and may apply in case of direct responsibility or supervisory accountability.</w:t>
      </w:r>
    </w:p>
    <w:p>
      <w:pPr>
        <w:spacing w:after="0" w:line="154" w:lineRule="exact"/>
        <w:rPr>
          <w:sz w:val="20"/>
          <w:szCs w:val="20"/>
          <w:color w:val="auto"/>
        </w:rPr>
      </w:pPr>
    </w:p>
    <w:p>
      <w:pPr>
        <w:ind w:left="180" w:right="300"/>
        <w:spacing w:after="0" w:line="244" w:lineRule="auto"/>
        <w:rPr>
          <w:sz w:val="20"/>
          <w:szCs w:val="20"/>
          <w:color w:val="auto"/>
        </w:rPr>
      </w:pPr>
      <w:r>
        <w:rPr>
          <w:rFonts w:ascii="Arial" w:cs="Arial" w:eastAsia="Arial" w:hAnsi="Arial"/>
          <w:sz w:val="14"/>
          <w:szCs w:val="14"/>
          <w:color w:val="auto"/>
        </w:rPr>
        <w:t>Malus applies if Shell restates the relevant year(s’) financial statements due to material non-compliance with any financial reporting requirement; as a result of misconduct or misconduct by an individual, through the individual’s direction or non-direction, which influenced the metrics and outcomes used in determining the individual’s annual bonus or LTIP outcome; any material breach of health and safety or environment regulations; serious reputational damage to Shell; material failure of risk management; or other exceptional events at the discretion of REMCO.</w:t>
      </w:r>
    </w:p>
    <w:p>
      <w:pPr>
        <w:spacing w:after="0" w:line="178" w:lineRule="exact"/>
        <w:rPr>
          <w:sz w:val="20"/>
          <w:szCs w:val="20"/>
          <w:color w:val="auto"/>
        </w:rPr>
      </w:pPr>
    </w:p>
    <w:p>
      <w:pPr>
        <w:ind w:left="180" w:right="180"/>
        <w:spacing w:after="0" w:line="241" w:lineRule="auto"/>
        <w:rPr>
          <w:sz w:val="20"/>
          <w:szCs w:val="20"/>
          <w:color w:val="auto"/>
        </w:rPr>
      </w:pPr>
      <w:r>
        <w:rPr>
          <w:rFonts w:ascii="Arial" w:cs="Arial" w:eastAsia="Arial" w:hAnsi="Arial"/>
          <w:sz w:val="14"/>
          <w:szCs w:val="14"/>
          <w:color w:val="auto"/>
        </w:rPr>
        <w:t>Malus also applies after employment ends if the individual: (a) breaches any provision of his/her employment contract which applies after cessation of employment or any provision of an agreement entered into on termination of employment; (b) is found to have committed fraud or dishonesty with respect to Shell; (c) wilfully damaged the assets of or engaged in misconduct which, in any material respect, is or was injurious to Shell; (d) wrongfully disclosed or used any proprietary or confidential information which is related to the business, properties or affairs of Shell and the release of which is detrimental, in any material respect, to the competitive position or goodwill of Shell;</w:t>
      </w:r>
    </w:p>
    <w:p>
      <w:pPr>
        <w:spacing w:after="0" w:line="3" w:lineRule="exact"/>
        <w:rPr>
          <w:sz w:val="20"/>
          <w:szCs w:val="20"/>
          <w:color w:val="auto"/>
        </w:rPr>
      </w:pPr>
    </w:p>
    <w:p>
      <w:pPr>
        <w:ind w:left="180" w:right="300"/>
        <w:spacing w:after="0" w:line="250" w:lineRule="auto"/>
        <w:tabs>
          <w:tab w:leader="none" w:pos="396" w:val="left"/>
        </w:tabs>
        <w:numPr>
          <w:ilvl w:val="0"/>
          <w:numId w:val="99"/>
        </w:numPr>
        <w:rPr>
          <w:rFonts w:ascii="Arial" w:cs="Arial" w:eastAsia="Arial" w:hAnsi="Arial"/>
          <w:sz w:val="14"/>
          <w:szCs w:val="14"/>
          <w:color w:val="auto"/>
        </w:rPr>
      </w:pPr>
      <w:r>
        <w:rPr>
          <w:rFonts w:ascii="Arial" w:cs="Arial" w:eastAsia="Arial" w:hAnsi="Arial"/>
          <w:sz w:val="14"/>
          <w:szCs w:val="14"/>
          <w:color w:val="auto"/>
        </w:rPr>
        <w:t>engaged in any activity which, in any material respect, reasonably constituted a conflict with the interests of Shell; or (f) breached any business principle or a term of any code of conduct applicable to employees or former employees of Shell.</w:t>
      </w:r>
    </w:p>
    <w:p>
      <w:pPr>
        <w:spacing w:after="0" w:line="159" w:lineRule="exact"/>
        <w:rPr>
          <w:sz w:val="20"/>
          <w:szCs w:val="20"/>
          <w:color w:val="auto"/>
        </w:rPr>
      </w:pPr>
    </w:p>
    <w:p>
      <w:pPr>
        <w:ind w:left="180" w:right="280"/>
        <w:spacing w:after="0" w:line="245" w:lineRule="auto"/>
        <w:rPr>
          <w:sz w:val="20"/>
          <w:szCs w:val="20"/>
          <w:color w:val="auto"/>
        </w:rPr>
      </w:pPr>
      <w:r>
        <w:rPr>
          <w:rFonts w:ascii="Arial" w:cs="Arial" w:eastAsia="Arial" w:hAnsi="Arial"/>
          <w:sz w:val="14"/>
          <w:szCs w:val="14"/>
          <w:color w:val="auto"/>
        </w:rPr>
        <w:t>Clawback applies in case of restatement of financial statements due to material non-compliance with any financial reporting requirement or as a result of the individual’s misconduct or misconduct through the individual’s direction or non-direction, which influenced the metrics and outcomes used in determining his/her annual bonus or LTIP outcome.</w:t>
      </w:r>
    </w:p>
    <w:p>
      <w:pPr>
        <w:spacing w:after="0" w:line="15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Pension</w:t>
      </w:r>
    </w:p>
    <w:p>
      <w:pPr>
        <w:spacing w:after="0" w:line="1" w:lineRule="exact"/>
        <w:rPr>
          <w:sz w:val="20"/>
          <w:szCs w:val="20"/>
          <w:color w:val="auto"/>
        </w:rPr>
      </w:pPr>
    </w:p>
    <w:p>
      <w:pPr>
        <w:ind w:left="180" w:right="180"/>
        <w:spacing w:after="0" w:line="243" w:lineRule="auto"/>
        <w:rPr>
          <w:sz w:val="20"/>
          <w:szCs w:val="20"/>
          <w:color w:val="auto"/>
        </w:rPr>
      </w:pPr>
      <w:r>
        <w:rPr>
          <w:rFonts w:ascii="Arial" w:cs="Arial" w:eastAsia="Arial" w:hAnsi="Arial"/>
          <w:sz w:val="14"/>
          <w:szCs w:val="14"/>
          <w:color w:val="auto"/>
        </w:rPr>
        <w:t>There are important changes to our Netherlands pension arrangements with effect from January 1, 2015. Consistent with the treatment for other employees, Ben van Beurden’s maximum pensionable salary will be €89,900. Past service benefits will be fixed in value based on pensionable salary and service as at December 31, 2014. A net pay savings arrangement has been introduced (with employer contributions which are age-dependent and for 2015 are 24% of salary in excess of €89,900 for Ben van Beurden) with the option to take cash as an alternative to pension contributions (in either case subject to income tax). The estimated annual figure that will be reported in the 2015 report is €440,000.</w:t>
      </w:r>
    </w:p>
    <w:p>
      <w:pPr>
        <w:sectPr>
          <w:pgSz w:w="11900" w:h="16838" w:orient="portrait"/>
          <w:cols w:equalWidth="0" w:num="2">
            <w:col w:w="5480" w:space="120"/>
            <w:col w:w="5820"/>
          </w:cols>
          <w:pgMar w:left="240" w:top="459" w:right="239" w:bottom="1440" w:gutter="0" w:footer="0" w:header="0"/>
          <w:type w:val="continuous"/>
        </w:sectPr>
      </w:pPr>
    </w:p>
    <w:bookmarkStart w:id="85" w:name="page86"/>
    <w:bookmarkEnd w:id="85"/>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399415</wp:posOffset>
            </wp:positionH>
            <wp:positionV relativeFrom="paragraph">
              <wp:posOffset>314960</wp:posOffset>
            </wp:positionV>
            <wp:extent cx="8890" cy="46291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8890" cy="462915"/>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p>
      <w:pPr>
        <w:spacing w:after="0" w:line="200" w:lineRule="exact"/>
        <w:rPr>
          <w:sz w:val="20"/>
          <w:szCs w:val="20"/>
          <w:color w:val="auto"/>
        </w:rPr>
      </w:pP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565"/>
        </w:trPr>
        <w:tc>
          <w:tcPr>
            <w:tcW w:w="620" w:type="dxa"/>
            <w:vAlign w:val="bottom"/>
            <w:shd w:val="clear" w:color="auto" w:fill="FF8B00"/>
          </w:tcPr>
          <w:p>
            <w:pPr>
              <w:ind w:left="260"/>
              <w:spacing w:after="0"/>
              <w:rPr>
                <w:sz w:val="20"/>
                <w:szCs w:val="20"/>
                <w:color w:val="auto"/>
              </w:rPr>
            </w:pPr>
            <w:r>
              <w:rPr>
                <w:rFonts w:ascii="Arial" w:cs="Arial" w:eastAsia="Arial" w:hAnsi="Arial"/>
                <w:sz w:val="11"/>
                <w:szCs w:val="11"/>
                <w:b w:val="1"/>
                <w:bCs w:val="1"/>
                <w:color w:val="333333"/>
              </w:rPr>
              <w:t>84</w:t>
            </w:r>
          </w:p>
        </w:tc>
        <w:tc>
          <w:tcPr>
            <w:tcW w:w="2660" w:type="dxa"/>
            <w:vAlign w:val="bottom"/>
            <w:shd w:val="clear" w:color="auto" w:fill="FF8B00"/>
          </w:tcPr>
          <w:p>
            <w:pPr>
              <w:spacing w:after="0"/>
              <w:rPr>
                <w:sz w:val="24"/>
                <w:szCs w:val="24"/>
                <w:color w:val="auto"/>
              </w:rPr>
            </w:pPr>
          </w:p>
        </w:tc>
        <w:tc>
          <w:tcPr>
            <w:tcW w:w="2220" w:type="dxa"/>
            <w:vAlign w:val="bottom"/>
            <w:gridSpan w:val="3"/>
            <w:shd w:val="clear" w:color="auto" w:fill="FF8B00"/>
          </w:tcPr>
          <w:p>
            <w:pPr>
              <w:jc w:val="right"/>
              <w:ind w:right="780"/>
              <w:spacing w:after="0"/>
              <w:rPr>
                <w:sz w:val="20"/>
                <w:szCs w:val="20"/>
                <w:color w:val="auto"/>
              </w:rPr>
            </w:pPr>
            <w:r>
              <w:rPr>
                <w:rFonts w:ascii="Arial" w:cs="Arial" w:eastAsia="Arial" w:hAnsi="Arial"/>
                <w:sz w:val="13"/>
                <w:szCs w:val="13"/>
                <w:color w:val="333333"/>
              </w:rPr>
              <w:t>GOVERNANCE</w:t>
            </w:r>
          </w:p>
        </w:tc>
      </w:tr>
      <w:tr>
        <w:trPr>
          <w:trHeight w:val="165"/>
        </w:trPr>
        <w:tc>
          <w:tcPr>
            <w:tcW w:w="620" w:type="dxa"/>
            <w:vAlign w:val="bottom"/>
            <w:shd w:val="clear" w:color="auto" w:fill="FF8B00"/>
          </w:tcPr>
          <w:p>
            <w:pPr>
              <w:spacing w:after="0"/>
              <w:rPr>
                <w:sz w:val="14"/>
                <w:szCs w:val="14"/>
                <w:color w:val="auto"/>
              </w:rPr>
            </w:pPr>
          </w:p>
        </w:tc>
        <w:tc>
          <w:tcPr>
            <w:tcW w:w="4860" w:type="dxa"/>
            <w:vAlign w:val="bottom"/>
            <w:gridSpan w:val="3"/>
            <w:shd w:val="clear" w:color="auto" w:fill="FF8B00"/>
          </w:tcPr>
          <w:p>
            <w:pPr>
              <w:spacing w:after="0"/>
              <w:rPr>
                <w:sz w:val="14"/>
                <w:szCs w:val="14"/>
                <w:color w:val="auto"/>
              </w:rPr>
            </w:pPr>
          </w:p>
        </w:tc>
        <w:tc>
          <w:tcPr>
            <w:tcW w:w="20" w:type="dxa"/>
            <w:vAlign w:val="bottom"/>
            <w:shd w:val="clear" w:color="auto" w:fill="FF8B00"/>
          </w:tcPr>
          <w:p>
            <w:pPr>
              <w:spacing w:after="0"/>
              <w:rPr>
                <w:sz w:val="14"/>
                <w:szCs w:val="14"/>
                <w:color w:val="auto"/>
              </w:rPr>
            </w:pPr>
          </w:p>
        </w:tc>
      </w:tr>
      <w:tr>
        <w:trPr>
          <w:trHeight w:val="130"/>
        </w:trPr>
        <w:tc>
          <w:tcPr>
            <w:tcW w:w="620" w:type="dxa"/>
            <w:vAlign w:val="bottom"/>
          </w:tcPr>
          <w:p>
            <w:pPr>
              <w:spacing w:after="0"/>
              <w:rPr>
                <w:sz w:val="11"/>
                <w:szCs w:val="11"/>
                <w:color w:val="auto"/>
              </w:rPr>
            </w:pPr>
          </w:p>
        </w:tc>
        <w:tc>
          <w:tcPr>
            <w:tcW w:w="4880" w:type="dxa"/>
            <w:vAlign w:val="bottom"/>
            <w:gridSpan w:val="4"/>
          </w:tcPr>
          <w:p>
            <w:pPr>
              <w:jc w:val="right"/>
              <w:ind w:right="780"/>
              <w:spacing w:after="0"/>
              <w:rPr>
                <w:sz w:val="20"/>
                <w:szCs w:val="20"/>
                <w:color w:val="auto"/>
              </w:rPr>
            </w:pPr>
            <w:r>
              <w:rPr>
                <w:rFonts w:ascii="Arial" w:cs="Arial" w:eastAsia="Arial" w:hAnsi="Arial"/>
                <w:sz w:val="11"/>
                <w:szCs w:val="11"/>
                <w:color w:val="auto"/>
              </w:rPr>
              <w:t>DIRECTORS’ REMUNERATION REPORT</w:t>
            </w:r>
          </w:p>
        </w:tc>
      </w:tr>
      <w:tr>
        <w:trPr>
          <w:trHeight w:val="262"/>
        </w:trPr>
        <w:tc>
          <w:tcPr>
            <w:tcW w:w="3280" w:type="dxa"/>
            <w:vAlign w:val="bottom"/>
            <w:gridSpan w:val="2"/>
          </w:tcPr>
          <w:p>
            <w:pPr>
              <w:spacing w:after="0"/>
              <w:rPr>
                <w:sz w:val="20"/>
                <w:szCs w:val="20"/>
                <w:color w:val="auto"/>
              </w:rPr>
            </w:pPr>
            <w:r>
              <w:rPr>
                <w:rFonts w:ascii="Arial" w:cs="Arial" w:eastAsia="Arial" w:hAnsi="Arial"/>
                <w:sz w:val="18"/>
                <w:szCs w:val="18"/>
                <w:color w:val="auto"/>
              </w:rPr>
              <w:t>Non-executive Directors’ fees</w:t>
            </w:r>
          </w:p>
        </w:tc>
        <w:tc>
          <w:tcPr>
            <w:tcW w:w="74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20" w:type="dxa"/>
            <w:vAlign w:val="bottom"/>
          </w:tcPr>
          <w:p>
            <w:pPr>
              <w:spacing w:after="0"/>
              <w:rPr>
                <w:sz w:val="22"/>
                <w:szCs w:val="22"/>
                <w:color w:val="auto"/>
              </w:rPr>
            </w:pPr>
          </w:p>
        </w:tc>
      </w:tr>
      <w:tr>
        <w:trPr>
          <w:trHeight w:val="189"/>
        </w:trPr>
        <w:tc>
          <w:tcPr>
            <w:tcW w:w="3280" w:type="dxa"/>
            <w:vAlign w:val="bottom"/>
            <w:gridSpan w:val="2"/>
          </w:tcPr>
          <w:p>
            <w:pPr>
              <w:spacing w:after="0"/>
              <w:rPr>
                <w:sz w:val="16"/>
                <w:szCs w:val="16"/>
                <w:color w:val="auto"/>
              </w:rPr>
            </w:pPr>
          </w:p>
        </w:tc>
        <w:tc>
          <w:tcPr>
            <w:tcW w:w="74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162"/>
        </w:trPr>
        <w:tc>
          <w:tcPr>
            <w:tcW w:w="3280" w:type="dxa"/>
            <w:vAlign w:val="bottom"/>
            <w:gridSpan w:val="2"/>
            <w:shd w:val="clear" w:color="auto" w:fill="333333"/>
          </w:tcPr>
          <w:p>
            <w:pPr>
              <w:ind w:left="80"/>
              <w:spacing w:after="0" w:line="162" w:lineRule="exact"/>
              <w:rPr>
                <w:sz w:val="20"/>
                <w:szCs w:val="20"/>
                <w:color w:val="auto"/>
              </w:rPr>
            </w:pPr>
            <w:r>
              <w:rPr>
                <w:rFonts w:ascii="Arial" w:cs="Arial" w:eastAsia="Arial" w:hAnsi="Arial"/>
                <w:sz w:val="15"/>
                <w:szCs w:val="15"/>
                <w:b w:val="1"/>
                <w:bCs w:val="1"/>
                <w:color w:val="FFFFFF"/>
              </w:rPr>
              <w:t>NON-EXECUTIVE DIRECTORS’ FEES 2015</w:t>
            </w:r>
          </w:p>
        </w:tc>
        <w:tc>
          <w:tcPr>
            <w:tcW w:w="740" w:type="dxa"/>
            <w:vAlign w:val="bottom"/>
            <w:shd w:val="clear" w:color="auto" w:fill="333333"/>
          </w:tcPr>
          <w:p>
            <w:pPr>
              <w:spacing w:after="0"/>
              <w:rPr>
                <w:sz w:val="14"/>
                <w:szCs w:val="14"/>
                <w:color w:val="auto"/>
              </w:rPr>
            </w:pPr>
          </w:p>
        </w:tc>
        <w:tc>
          <w:tcPr>
            <w:tcW w:w="1460" w:type="dxa"/>
            <w:vAlign w:val="bottom"/>
            <w:shd w:val="clear" w:color="auto" w:fill="333333"/>
          </w:tcPr>
          <w:p>
            <w:pPr>
              <w:spacing w:after="0"/>
              <w:rPr>
                <w:sz w:val="14"/>
                <w:szCs w:val="14"/>
                <w:color w:val="auto"/>
              </w:rPr>
            </w:pPr>
          </w:p>
        </w:tc>
        <w:tc>
          <w:tcPr>
            <w:tcW w:w="20" w:type="dxa"/>
            <w:vAlign w:val="bottom"/>
          </w:tcPr>
          <w:p>
            <w:pPr>
              <w:spacing w:after="0"/>
              <w:rPr>
                <w:sz w:val="14"/>
                <w:szCs w:val="14"/>
                <w:color w:val="auto"/>
              </w:rPr>
            </w:pPr>
          </w:p>
        </w:tc>
      </w:tr>
      <w:tr>
        <w:trPr>
          <w:trHeight w:val="149"/>
        </w:trPr>
        <w:tc>
          <w:tcPr>
            <w:tcW w:w="620" w:type="dxa"/>
            <w:vAlign w:val="bottom"/>
            <w:tcBorders>
              <w:bottom w:val="single" w:sz="8" w:color="auto"/>
            </w:tcBorders>
          </w:tcPr>
          <w:p>
            <w:pPr>
              <w:spacing w:after="0"/>
              <w:rPr>
                <w:sz w:val="12"/>
                <w:szCs w:val="12"/>
                <w:color w:val="auto"/>
              </w:rPr>
            </w:pPr>
          </w:p>
        </w:tc>
        <w:tc>
          <w:tcPr>
            <w:tcW w:w="266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9"/>
              <w:spacing w:after="0" w:line="149" w:lineRule="exact"/>
              <w:rPr>
                <w:sz w:val="20"/>
                <w:szCs w:val="20"/>
                <w:color w:val="auto"/>
              </w:rPr>
            </w:pPr>
            <w:r>
              <w:rPr>
                <w:rFonts w:ascii="Arial" w:cs="Arial" w:eastAsia="Arial" w:hAnsi="Arial"/>
                <w:sz w:val="14"/>
                <w:szCs w:val="14"/>
                <w:color w:val="auto"/>
              </w:rPr>
              <w:t>€</w:t>
            </w:r>
          </w:p>
        </w:tc>
        <w:tc>
          <w:tcPr>
            <w:tcW w:w="1460" w:type="dxa"/>
            <w:vAlign w:val="bottom"/>
            <w:tcBorders>
              <w:bottom w:val="single" w:sz="8" w:color="auto"/>
            </w:tcBorders>
          </w:tcPr>
          <w:p>
            <w:pPr>
              <w:ind w:left="100"/>
              <w:spacing w:after="0"/>
              <w:rPr>
                <w:sz w:val="20"/>
                <w:szCs w:val="20"/>
                <w:color w:val="auto"/>
              </w:rPr>
            </w:pPr>
            <w:r>
              <w:rPr>
                <w:rFonts w:ascii="Arial" w:cs="Arial" w:eastAsia="Arial" w:hAnsi="Arial"/>
                <w:sz w:val="13"/>
                <w:szCs w:val="13"/>
                <w:color w:val="auto"/>
              </w:rPr>
              <w:t>Other fees</w:t>
            </w:r>
          </w:p>
        </w:tc>
        <w:tc>
          <w:tcPr>
            <w:tcW w:w="20" w:type="dxa"/>
            <w:vAlign w:val="bottom"/>
          </w:tcPr>
          <w:p>
            <w:pPr>
              <w:spacing w:after="0"/>
              <w:rPr>
                <w:sz w:val="12"/>
                <w:szCs w:val="12"/>
                <w:color w:val="auto"/>
              </w:rPr>
            </w:pPr>
          </w:p>
        </w:tc>
      </w:tr>
      <w:tr>
        <w:trPr>
          <w:trHeight w:val="160"/>
        </w:trPr>
        <w:tc>
          <w:tcPr>
            <w:tcW w:w="3280" w:type="dxa"/>
            <w:vAlign w:val="bottom"/>
            <w:gridSpan w:val="2"/>
          </w:tcPr>
          <w:p>
            <w:pPr>
              <w:ind w:left="20"/>
              <w:spacing w:after="0"/>
              <w:rPr>
                <w:sz w:val="20"/>
                <w:szCs w:val="20"/>
                <w:color w:val="auto"/>
              </w:rPr>
            </w:pPr>
            <w:r>
              <w:rPr>
                <w:rFonts w:ascii="Arial" w:cs="Arial" w:eastAsia="Arial" w:hAnsi="Arial"/>
                <w:sz w:val="14"/>
                <w:szCs w:val="14"/>
                <w:color w:val="auto"/>
              </w:rPr>
              <w:t>Chairman of the Board [A]</w:t>
            </w:r>
          </w:p>
        </w:tc>
        <w:tc>
          <w:tcPr>
            <w:tcW w:w="740" w:type="dxa"/>
            <w:vAlign w:val="bottom"/>
          </w:tcPr>
          <w:p>
            <w:pPr>
              <w:jc w:val="right"/>
              <w:ind w:right="9"/>
              <w:spacing w:after="0"/>
              <w:rPr>
                <w:sz w:val="20"/>
                <w:szCs w:val="20"/>
                <w:color w:val="auto"/>
              </w:rPr>
            </w:pPr>
            <w:r>
              <w:rPr>
                <w:rFonts w:ascii="Arial" w:cs="Arial" w:eastAsia="Arial" w:hAnsi="Arial"/>
                <w:sz w:val="14"/>
                <w:szCs w:val="14"/>
                <w:color w:val="auto"/>
              </w:rPr>
              <w:t>850,000</w:t>
            </w:r>
          </w:p>
        </w:tc>
        <w:tc>
          <w:tcPr>
            <w:tcW w:w="1480" w:type="dxa"/>
            <w:vAlign w:val="bottom"/>
            <w:gridSpan w:val="2"/>
          </w:tcPr>
          <w:p>
            <w:pPr>
              <w:ind w:left="100"/>
              <w:spacing w:after="0"/>
              <w:rPr>
                <w:sz w:val="20"/>
                <w:szCs w:val="20"/>
                <w:color w:val="auto"/>
              </w:rPr>
            </w:pPr>
            <w:r>
              <w:rPr>
                <w:rFonts w:ascii="Arial" w:cs="Arial" w:eastAsia="Arial" w:hAnsi="Arial"/>
                <w:sz w:val="14"/>
                <w:szCs w:val="14"/>
                <w:color w:val="auto"/>
              </w:rPr>
              <w:t>Non-executive</w:t>
            </w:r>
          </w:p>
        </w:tc>
      </w:tr>
      <w:tr>
        <w:trPr>
          <w:trHeight w:val="162"/>
        </w:trPr>
        <w:tc>
          <w:tcPr>
            <w:tcW w:w="3280" w:type="dxa"/>
            <w:vAlign w:val="bottom"/>
            <w:gridSpan w:val="2"/>
          </w:tcPr>
          <w:p>
            <w:pPr>
              <w:ind w:left="20"/>
              <w:spacing w:after="0"/>
              <w:rPr>
                <w:sz w:val="20"/>
                <w:szCs w:val="20"/>
                <w:color w:val="auto"/>
              </w:rPr>
            </w:pPr>
            <w:r>
              <w:rPr>
                <w:rFonts w:ascii="Arial" w:cs="Arial" w:eastAsia="Arial" w:hAnsi="Arial"/>
                <w:sz w:val="14"/>
                <w:szCs w:val="14"/>
                <w:color w:val="auto"/>
              </w:rPr>
              <w:t>Non-executive Director</w:t>
            </w:r>
          </w:p>
        </w:tc>
        <w:tc>
          <w:tcPr>
            <w:tcW w:w="740" w:type="dxa"/>
            <w:vAlign w:val="bottom"/>
          </w:tcPr>
          <w:p>
            <w:pPr>
              <w:jc w:val="right"/>
              <w:ind w:right="9"/>
              <w:spacing w:after="0"/>
              <w:rPr>
                <w:sz w:val="20"/>
                <w:szCs w:val="20"/>
                <w:color w:val="auto"/>
              </w:rPr>
            </w:pPr>
            <w:r>
              <w:rPr>
                <w:rFonts w:ascii="Arial" w:cs="Arial" w:eastAsia="Arial" w:hAnsi="Arial"/>
                <w:sz w:val="14"/>
                <w:szCs w:val="14"/>
                <w:color w:val="auto"/>
              </w:rPr>
              <w:t>130,000</w:t>
            </w:r>
          </w:p>
        </w:tc>
        <w:tc>
          <w:tcPr>
            <w:tcW w:w="1480" w:type="dxa"/>
            <w:vAlign w:val="bottom"/>
            <w:gridSpan w:val="2"/>
          </w:tcPr>
          <w:p>
            <w:pPr>
              <w:ind w:left="100"/>
              <w:spacing w:after="0"/>
              <w:rPr>
                <w:sz w:val="20"/>
                <w:szCs w:val="20"/>
                <w:color w:val="auto"/>
              </w:rPr>
            </w:pPr>
            <w:r>
              <w:rPr>
                <w:rFonts w:ascii="Arial" w:cs="Arial" w:eastAsia="Arial" w:hAnsi="Arial"/>
                <w:sz w:val="14"/>
                <w:szCs w:val="14"/>
                <w:color w:val="auto"/>
              </w:rPr>
              <w:t>Directors receive</w:t>
            </w:r>
          </w:p>
        </w:tc>
      </w:tr>
      <w:tr>
        <w:trPr>
          <w:trHeight w:val="162"/>
        </w:trPr>
        <w:tc>
          <w:tcPr>
            <w:tcW w:w="3280" w:type="dxa"/>
            <w:vAlign w:val="bottom"/>
            <w:gridSpan w:val="2"/>
          </w:tcPr>
          <w:p>
            <w:pPr>
              <w:ind w:left="20"/>
              <w:spacing w:after="0"/>
              <w:rPr>
                <w:sz w:val="20"/>
                <w:szCs w:val="20"/>
                <w:color w:val="auto"/>
              </w:rPr>
            </w:pPr>
            <w:r>
              <w:rPr>
                <w:rFonts w:ascii="Arial" w:cs="Arial" w:eastAsia="Arial" w:hAnsi="Arial"/>
                <w:sz w:val="14"/>
                <w:szCs w:val="14"/>
                <w:color w:val="auto"/>
              </w:rPr>
              <w:t>Senior Independent Director</w:t>
            </w:r>
          </w:p>
        </w:tc>
        <w:tc>
          <w:tcPr>
            <w:tcW w:w="740" w:type="dxa"/>
            <w:vAlign w:val="bottom"/>
          </w:tcPr>
          <w:p>
            <w:pPr>
              <w:jc w:val="right"/>
              <w:ind w:right="9"/>
              <w:spacing w:after="0"/>
              <w:rPr>
                <w:sz w:val="20"/>
                <w:szCs w:val="20"/>
                <w:color w:val="auto"/>
              </w:rPr>
            </w:pPr>
            <w:r>
              <w:rPr>
                <w:rFonts w:ascii="Arial" w:cs="Arial" w:eastAsia="Arial" w:hAnsi="Arial"/>
                <w:sz w:val="14"/>
                <w:szCs w:val="14"/>
                <w:color w:val="auto"/>
              </w:rPr>
              <w:t>55,000</w:t>
            </w:r>
          </w:p>
        </w:tc>
        <w:tc>
          <w:tcPr>
            <w:tcW w:w="1480" w:type="dxa"/>
            <w:vAlign w:val="bottom"/>
            <w:gridSpan w:val="2"/>
          </w:tcPr>
          <w:p>
            <w:pPr>
              <w:ind w:left="100"/>
              <w:spacing w:after="0"/>
              <w:rPr>
                <w:sz w:val="20"/>
                <w:szCs w:val="20"/>
                <w:color w:val="auto"/>
              </w:rPr>
            </w:pPr>
            <w:r>
              <w:rPr>
                <w:rFonts w:ascii="Arial" w:cs="Arial" w:eastAsia="Arial" w:hAnsi="Arial"/>
                <w:sz w:val="14"/>
                <w:szCs w:val="14"/>
                <w:color w:val="auto"/>
              </w:rPr>
              <w:t>an additional fee of</w:t>
            </w:r>
          </w:p>
        </w:tc>
      </w:tr>
      <w:tr>
        <w:trPr>
          <w:trHeight w:val="162"/>
        </w:trPr>
        <w:tc>
          <w:tcPr>
            <w:tcW w:w="3280" w:type="dxa"/>
            <w:vAlign w:val="bottom"/>
            <w:gridSpan w:val="2"/>
          </w:tcPr>
          <w:p>
            <w:pPr>
              <w:ind w:left="20"/>
              <w:spacing w:after="0"/>
              <w:rPr>
                <w:sz w:val="20"/>
                <w:szCs w:val="20"/>
                <w:color w:val="auto"/>
              </w:rPr>
            </w:pPr>
            <w:r>
              <w:rPr>
                <w:rFonts w:ascii="Arial" w:cs="Arial" w:eastAsia="Arial" w:hAnsi="Arial"/>
                <w:sz w:val="14"/>
                <w:szCs w:val="14"/>
                <w:color w:val="auto"/>
              </w:rPr>
              <w:t>Audit Committee</w:t>
            </w:r>
          </w:p>
        </w:tc>
        <w:tc>
          <w:tcPr>
            <w:tcW w:w="740" w:type="dxa"/>
            <w:vAlign w:val="bottom"/>
          </w:tcPr>
          <w:p>
            <w:pPr>
              <w:spacing w:after="0"/>
              <w:rPr>
                <w:sz w:val="14"/>
                <w:szCs w:val="14"/>
                <w:color w:val="auto"/>
              </w:rPr>
            </w:pPr>
          </w:p>
        </w:tc>
        <w:tc>
          <w:tcPr>
            <w:tcW w:w="1480" w:type="dxa"/>
            <w:vAlign w:val="bottom"/>
            <w:gridSpan w:val="2"/>
          </w:tcPr>
          <w:p>
            <w:pPr>
              <w:ind w:left="100"/>
              <w:spacing w:after="0"/>
              <w:rPr>
                <w:sz w:val="20"/>
                <w:szCs w:val="20"/>
                <w:color w:val="auto"/>
              </w:rPr>
            </w:pPr>
            <w:r>
              <w:rPr>
                <w:rFonts w:ascii="Arial" w:cs="Arial" w:eastAsia="Arial" w:hAnsi="Arial"/>
                <w:sz w:val="14"/>
                <w:szCs w:val="14"/>
                <w:color w:val="auto"/>
              </w:rPr>
              <w:t>€5,000 for any Board</w:t>
            </w:r>
          </w:p>
        </w:tc>
      </w:tr>
      <w:tr>
        <w:trPr>
          <w:trHeight w:val="162"/>
        </w:trPr>
        <w:tc>
          <w:tcPr>
            <w:tcW w:w="3280" w:type="dxa"/>
            <w:vAlign w:val="bottom"/>
            <w:gridSpan w:val="2"/>
          </w:tcPr>
          <w:p>
            <w:pPr>
              <w:ind w:left="140"/>
              <w:spacing w:after="0"/>
              <w:rPr>
                <w:sz w:val="20"/>
                <w:szCs w:val="20"/>
                <w:color w:val="auto"/>
              </w:rPr>
            </w:pPr>
            <w:r>
              <w:rPr>
                <w:rFonts w:ascii="Arial" w:cs="Arial" w:eastAsia="Arial" w:hAnsi="Arial"/>
                <w:sz w:val="14"/>
                <w:szCs w:val="14"/>
                <w:color w:val="auto"/>
              </w:rPr>
              <w:t>Chairman [B]</w:t>
            </w:r>
          </w:p>
        </w:tc>
        <w:tc>
          <w:tcPr>
            <w:tcW w:w="740" w:type="dxa"/>
            <w:vAlign w:val="bottom"/>
          </w:tcPr>
          <w:p>
            <w:pPr>
              <w:jc w:val="right"/>
              <w:ind w:right="9"/>
              <w:spacing w:after="0"/>
              <w:rPr>
                <w:sz w:val="20"/>
                <w:szCs w:val="20"/>
                <w:color w:val="auto"/>
              </w:rPr>
            </w:pPr>
            <w:r>
              <w:rPr>
                <w:rFonts w:ascii="Arial" w:cs="Arial" w:eastAsia="Arial" w:hAnsi="Arial"/>
                <w:sz w:val="14"/>
                <w:szCs w:val="14"/>
                <w:color w:val="auto"/>
              </w:rPr>
              <w:t>55,000</w:t>
            </w:r>
          </w:p>
        </w:tc>
        <w:tc>
          <w:tcPr>
            <w:tcW w:w="1480" w:type="dxa"/>
            <w:vAlign w:val="bottom"/>
            <w:gridSpan w:val="2"/>
          </w:tcPr>
          <w:p>
            <w:pPr>
              <w:ind w:left="100"/>
              <w:spacing w:after="0"/>
              <w:rPr>
                <w:sz w:val="20"/>
                <w:szCs w:val="20"/>
                <w:color w:val="auto"/>
              </w:rPr>
            </w:pPr>
            <w:r>
              <w:rPr>
                <w:rFonts w:ascii="Arial" w:cs="Arial" w:eastAsia="Arial" w:hAnsi="Arial"/>
                <w:sz w:val="14"/>
                <w:szCs w:val="14"/>
                <w:color w:val="auto"/>
              </w:rPr>
              <w:t>meeting involving</w:t>
            </w:r>
          </w:p>
        </w:tc>
      </w:tr>
      <w:tr>
        <w:trPr>
          <w:trHeight w:val="162"/>
        </w:trPr>
        <w:tc>
          <w:tcPr>
            <w:tcW w:w="3280" w:type="dxa"/>
            <w:vAlign w:val="bottom"/>
            <w:gridSpan w:val="2"/>
          </w:tcPr>
          <w:p>
            <w:pPr>
              <w:ind w:left="140"/>
              <w:spacing w:after="0"/>
              <w:rPr>
                <w:sz w:val="20"/>
                <w:szCs w:val="20"/>
                <w:color w:val="auto"/>
              </w:rPr>
            </w:pPr>
            <w:r>
              <w:rPr>
                <w:rFonts w:ascii="Arial" w:cs="Arial" w:eastAsia="Arial" w:hAnsi="Arial"/>
                <w:sz w:val="14"/>
                <w:szCs w:val="14"/>
                <w:color w:val="auto"/>
              </w:rPr>
              <w:t>Member</w:t>
            </w:r>
          </w:p>
        </w:tc>
        <w:tc>
          <w:tcPr>
            <w:tcW w:w="740" w:type="dxa"/>
            <w:vAlign w:val="bottom"/>
          </w:tcPr>
          <w:p>
            <w:pPr>
              <w:jc w:val="right"/>
              <w:ind w:right="9"/>
              <w:spacing w:after="0"/>
              <w:rPr>
                <w:sz w:val="20"/>
                <w:szCs w:val="20"/>
                <w:color w:val="auto"/>
              </w:rPr>
            </w:pPr>
            <w:r>
              <w:rPr>
                <w:rFonts w:ascii="Arial" w:cs="Arial" w:eastAsia="Arial" w:hAnsi="Arial"/>
                <w:sz w:val="14"/>
                <w:szCs w:val="14"/>
                <w:color w:val="auto"/>
              </w:rPr>
              <w:t>25,000</w:t>
            </w:r>
          </w:p>
        </w:tc>
        <w:tc>
          <w:tcPr>
            <w:tcW w:w="1480" w:type="dxa"/>
            <w:vAlign w:val="bottom"/>
            <w:gridSpan w:val="2"/>
          </w:tcPr>
          <w:p>
            <w:pPr>
              <w:ind w:left="100"/>
              <w:spacing w:after="0"/>
              <w:rPr>
                <w:sz w:val="20"/>
                <w:szCs w:val="20"/>
                <w:color w:val="auto"/>
              </w:rPr>
            </w:pPr>
            <w:r>
              <w:rPr>
                <w:rFonts w:ascii="Arial" w:cs="Arial" w:eastAsia="Arial" w:hAnsi="Arial"/>
                <w:sz w:val="14"/>
                <w:szCs w:val="14"/>
                <w:color w:val="auto"/>
              </w:rPr>
              <w:t>intercontinental</w:t>
            </w:r>
          </w:p>
        </w:tc>
      </w:tr>
      <w:tr>
        <w:trPr>
          <w:trHeight w:val="162"/>
        </w:trPr>
        <w:tc>
          <w:tcPr>
            <w:tcW w:w="3280" w:type="dxa"/>
            <w:vAlign w:val="bottom"/>
            <w:gridSpan w:val="2"/>
          </w:tcPr>
          <w:p>
            <w:pPr>
              <w:ind w:left="20"/>
              <w:spacing w:after="0"/>
              <w:rPr>
                <w:sz w:val="20"/>
                <w:szCs w:val="20"/>
                <w:color w:val="auto"/>
              </w:rPr>
            </w:pPr>
            <w:r>
              <w:rPr>
                <w:rFonts w:ascii="Arial" w:cs="Arial" w:eastAsia="Arial" w:hAnsi="Arial"/>
                <w:sz w:val="14"/>
                <w:szCs w:val="14"/>
                <w:color w:val="auto"/>
              </w:rPr>
              <w:t>Corporate and Social Responsibility Committee</w:t>
            </w:r>
          </w:p>
        </w:tc>
        <w:tc>
          <w:tcPr>
            <w:tcW w:w="740" w:type="dxa"/>
            <w:vAlign w:val="bottom"/>
          </w:tcPr>
          <w:p>
            <w:pPr>
              <w:spacing w:after="0"/>
              <w:rPr>
                <w:sz w:val="14"/>
                <w:szCs w:val="14"/>
                <w:color w:val="auto"/>
              </w:rPr>
            </w:pPr>
          </w:p>
        </w:tc>
        <w:tc>
          <w:tcPr>
            <w:tcW w:w="1480" w:type="dxa"/>
            <w:vAlign w:val="bottom"/>
            <w:gridSpan w:val="2"/>
          </w:tcPr>
          <w:p>
            <w:pPr>
              <w:ind w:left="100"/>
              <w:spacing w:after="0"/>
              <w:rPr>
                <w:sz w:val="20"/>
                <w:szCs w:val="20"/>
                <w:color w:val="auto"/>
              </w:rPr>
            </w:pPr>
            <w:r>
              <w:rPr>
                <w:rFonts w:ascii="Arial" w:cs="Arial" w:eastAsia="Arial" w:hAnsi="Arial"/>
                <w:sz w:val="14"/>
                <w:szCs w:val="14"/>
                <w:color w:val="auto"/>
              </w:rPr>
              <w:t>travel – except</w:t>
            </w:r>
          </w:p>
        </w:tc>
      </w:tr>
      <w:tr>
        <w:trPr>
          <w:trHeight w:val="162"/>
        </w:trPr>
        <w:tc>
          <w:tcPr>
            <w:tcW w:w="3280" w:type="dxa"/>
            <w:vAlign w:val="bottom"/>
            <w:gridSpan w:val="2"/>
          </w:tcPr>
          <w:p>
            <w:pPr>
              <w:ind w:left="140"/>
              <w:spacing w:after="0"/>
              <w:rPr>
                <w:sz w:val="20"/>
                <w:szCs w:val="20"/>
                <w:color w:val="auto"/>
              </w:rPr>
            </w:pPr>
            <w:r>
              <w:rPr>
                <w:rFonts w:ascii="Arial" w:cs="Arial" w:eastAsia="Arial" w:hAnsi="Arial"/>
                <w:sz w:val="14"/>
                <w:szCs w:val="14"/>
                <w:color w:val="auto"/>
              </w:rPr>
              <w:t>Chairman [B]</w:t>
            </w:r>
          </w:p>
        </w:tc>
        <w:tc>
          <w:tcPr>
            <w:tcW w:w="740" w:type="dxa"/>
            <w:vAlign w:val="bottom"/>
          </w:tcPr>
          <w:p>
            <w:pPr>
              <w:jc w:val="right"/>
              <w:ind w:right="9"/>
              <w:spacing w:after="0"/>
              <w:rPr>
                <w:sz w:val="20"/>
                <w:szCs w:val="20"/>
                <w:color w:val="auto"/>
              </w:rPr>
            </w:pPr>
            <w:r>
              <w:rPr>
                <w:rFonts w:ascii="Arial" w:cs="Arial" w:eastAsia="Arial" w:hAnsi="Arial"/>
                <w:sz w:val="14"/>
                <w:szCs w:val="14"/>
                <w:color w:val="auto"/>
              </w:rPr>
              <w:t>35,000</w:t>
            </w:r>
          </w:p>
        </w:tc>
        <w:tc>
          <w:tcPr>
            <w:tcW w:w="1480" w:type="dxa"/>
            <w:vAlign w:val="bottom"/>
            <w:gridSpan w:val="2"/>
          </w:tcPr>
          <w:p>
            <w:pPr>
              <w:ind w:left="100"/>
              <w:spacing w:after="0"/>
              <w:rPr>
                <w:sz w:val="20"/>
                <w:szCs w:val="20"/>
                <w:color w:val="auto"/>
              </w:rPr>
            </w:pPr>
            <w:r>
              <w:rPr>
                <w:rFonts w:ascii="Arial" w:cs="Arial" w:eastAsia="Arial" w:hAnsi="Arial"/>
                <w:sz w:val="14"/>
                <w:szCs w:val="14"/>
                <w:color w:val="auto"/>
              </w:rPr>
              <w:t>for one meeting</w:t>
            </w:r>
          </w:p>
        </w:tc>
      </w:tr>
      <w:tr>
        <w:trPr>
          <w:trHeight w:val="162"/>
        </w:trPr>
        <w:tc>
          <w:tcPr>
            <w:tcW w:w="3280" w:type="dxa"/>
            <w:vAlign w:val="bottom"/>
            <w:gridSpan w:val="2"/>
          </w:tcPr>
          <w:p>
            <w:pPr>
              <w:ind w:left="140"/>
              <w:spacing w:after="0"/>
              <w:rPr>
                <w:sz w:val="20"/>
                <w:szCs w:val="20"/>
                <w:color w:val="auto"/>
              </w:rPr>
            </w:pPr>
            <w:r>
              <w:rPr>
                <w:rFonts w:ascii="Arial" w:cs="Arial" w:eastAsia="Arial" w:hAnsi="Arial"/>
                <w:sz w:val="14"/>
                <w:szCs w:val="14"/>
                <w:color w:val="auto"/>
              </w:rPr>
              <w:t>Member</w:t>
            </w:r>
          </w:p>
        </w:tc>
        <w:tc>
          <w:tcPr>
            <w:tcW w:w="740" w:type="dxa"/>
            <w:vAlign w:val="bottom"/>
          </w:tcPr>
          <w:p>
            <w:pPr>
              <w:jc w:val="right"/>
              <w:ind w:right="9"/>
              <w:spacing w:after="0"/>
              <w:rPr>
                <w:sz w:val="20"/>
                <w:szCs w:val="20"/>
                <w:color w:val="auto"/>
              </w:rPr>
            </w:pPr>
            <w:r>
              <w:rPr>
                <w:rFonts w:ascii="Arial" w:cs="Arial" w:eastAsia="Arial" w:hAnsi="Arial"/>
                <w:sz w:val="14"/>
                <w:szCs w:val="14"/>
                <w:color w:val="auto"/>
              </w:rPr>
              <w:t>17,250</w:t>
            </w:r>
          </w:p>
        </w:tc>
        <w:tc>
          <w:tcPr>
            <w:tcW w:w="1480" w:type="dxa"/>
            <w:vAlign w:val="bottom"/>
            <w:gridSpan w:val="2"/>
          </w:tcPr>
          <w:p>
            <w:pPr>
              <w:ind w:left="100"/>
              <w:spacing w:after="0"/>
              <w:rPr>
                <w:sz w:val="20"/>
                <w:szCs w:val="20"/>
                <w:color w:val="auto"/>
              </w:rPr>
            </w:pPr>
            <w:r>
              <w:rPr>
                <w:rFonts w:ascii="Arial" w:cs="Arial" w:eastAsia="Arial" w:hAnsi="Arial"/>
                <w:sz w:val="14"/>
                <w:szCs w:val="14"/>
                <w:color w:val="auto"/>
              </w:rPr>
              <w:t>a year held in a</w:t>
            </w:r>
          </w:p>
        </w:tc>
      </w:tr>
      <w:tr>
        <w:trPr>
          <w:trHeight w:val="162"/>
        </w:trPr>
        <w:tc>
          <w:tcPr>
            <w:tcW w:w="3280" w:type="dxa"/>
            <w:vAlign w:val="bottom"/>
            <w:gridSpan w:val="2"/>
          </w:tcPr>
          <w:p>
            <w:pPr>
              <w:ind w:left="20"/>
              <w:spacing w:after="0"/>
              <w:rPr>
                <w:sz w:val="20"/>
                <w:szCs w:val="20"/>
                <w:color w:val="auto"/>
              </w:rPr>
            </w:pPr>
            <w:r>
              <w:rPr>
                <w:rFonts w:ascii="Arial" w:cs="Arial" w:eastAsia="Arial" w:hAnsi="Arial"/>
                <w:sz w:val="14"/>
                <w:szCs w:val="14"/>
                <w:color w:val="auto"/>
              </w:rPr>
              <w:t>Nomination and Succession Committee</w:t>
            </w:r>
          </w:p>
        </w:tc>
        <w:tc>
          <w:tcPr>
            <w:tcW w:w="740" w:type="dxa"/>
            <w:vAlign w:val="bottom"/>
          </w:tcPr>
          <w:p>
            <w:pPr>
              <w:spacing w:after="0"/>
              <w:rPr>
                <w:sz w:val="14"/>
                <w:szCs w:val="14"/>
                <w:color w:val="auto"/>
              </w:rPr>
            </w:pPr>
          </w:p>
        </w:tc>
        <w:tc>
          <w:tcPr>
            <w:tcW w:w="1480" w:type="dxa"/>
            <w:vAlign w:val="bottom"/>
            <w:gridSpan w:val="2"/>
          </w:tcPr>
          <w:p>
            <w:pPr>
              <w:ind w:left="100"/>
              <w:spacing w:after="0"/>
              <w:rPr>
                <w:sz w:val="20"/>
                <w:szCs w:val="20"/>
                <w:color w:val="auto"/>
              </w:rPr>
            </w:pPr>
            <w:r>
              <w:rPr>
                <w:rFonts w:ascii="Arial" w:cs="Arial" w:eastAsia="Arial" w:hAnsi="Arial"/>
                <w:sz w:val="14"/>
                <w:szCs w:val="14"/>
                <w:color w:val="auto"/>
              </w:rPr>
              <w:t>location other than</w:t>
            </w:r>
          </w:p>
        </w:tc>
      </w:tr>
      <w:tr>
        <w:trPr>
          <w:trHeight w:val="162"/>
        </w:trPr>
        <w:tc>
          <w:tcPr>
            <w:tcW w:w="3280" w:type="dxa"/>
            <w:vAlign w:val="bottom"/>
            <w:gridSpan w:val="2"/>
          </w:tcPr>
          <w:p>
            <w:pPr>
              <w:ind w:left="140"/>
              <w:spacing w:after="0"/>
              <w:rPr>
                <w:sz w:val="20"/>
                <w:szCs w:val="20"/>
                <w:color w:val="auto"/>
              </w:rPr>
            </w:pPr>
            <w:r>
              <w:rPr>
                <w:rFonts w:ascii="Arial" w:cs="Arial" w:eastAsia="Arial" w:hAnsi="Arial"/>
                <w:sz w:val="14"/>
                <w:szCs w:val="14"/>
                <w:color w:val="auto"/>
              </w:rPr>
              <w:t>Chairman [B]</w:t>
            </w:r>
          </w:p>
        </w:tc>
        <w:tc>
          <w:tcPr>
            <w:tcW w:w="740" w:type="dxa"/>
            <w:vAlign w:val="bottom"/>
          </w:tcPr>
          <w:p>
            <w:pPr>
              <w:jc w:val="right"/>
              <w:ind w:right="9"/>
              <w:spacing w:after="0"/>
              <w:rPr>
                <w:sz w:val="20"/>
                <w:szCs w:val="20"/>
                <w:color w:val="auto"/>
              </w:rPr>
            </w:pPr>
            <w:r>
              <w:rPr>
                <w:rFonts w:ascii="Arial" w:cs="Arial" w:eastAsia="Arial" w:hAnsi="Arial"/>
                <w:sz w:val="14"/>
                <w:szCs w:val="14"/>
                <w:color w:val="auto"/>
              </w:rPr>
              <w:t>25,000</w:t>
            </w:r>
          </w:p>
        </w:tc>
        <w:tc>
          <w:tcPr>
            <w:tcW w:w="1480" w:type="dxa"/>
            <w:vAlign w:val="bottom"/>
            <w:gridSpan w:val="2"/>
          </w:tcPr>
          <w:p>
            <w:pPr>
              <w:ind w:left="100"/>
              <w:spacing w:after="0"/>
              <w:rPr>
                <w:sz w:val="20"/>
                <w:szCs w:val="20"/>
                <w:color w:val="auto"/>
              </w:rPr>
            </w:pPr>
            <w:r>
              <w:rPr>
                <w:rFonts w:ascii="Arial" w:cs="Arial" w:eastAsia="Arial" w:hAnsi="Arial"/>
                <w:sz w:val="14"/>
                <w:szCs w:val="14"/>
                <w:color w:val="auto"/>
              </w:rPr>
              <w:t>The Hague.</w:t>
            </w:r>
          </w:p>
        </w:tc>
      </w:tr>
      <w:tr>
        <w:trPr>
          <w:trHeight w:val="162"/>
        </w:trPr>
        <w:tc>
          <w:tcPr>
            <w:tcW w:w="3280" w:type="dxa"/>
            <w:vAlign w:val="bottom"/>
            <w:gridSpan w:val="2"/>
          </w:tcPr>
          <w:p>
            <w:pPr>
              <w:ind w:left="140"/>
              <w:spacing w:after="0"/>
              <w:rPr>
                <w:sz w:val="20"/>
                <w:szCs w:val="20"/>
                <w:color w:val="auto"/>
              </w:rPr>
            </w:pPr>
            <w:r>
              <w:rPr>
                <w:rFonts w:ascii="Arial" w:cs="Arial" w:eastAsia="Arial" w:hAnsi="Arial"/>
                <w:sz w:val="14"/>
                <w:szCs w:val="14"/>
                <w:color w:val="auto"/>
              </w:rPr>
              <w:t>Member</w:t>
            </w:r>
          </w:p>
        </w:tc>
        <w:tc>
          <w:tcPr>
            <w:tcW w:w="740" w:type="dxa"/>
            <w:vAlign w:val="bottom"/>
          </w:tcPr>
          <w:p>
            <w:pPr>
              <w:jc w:val="right"/>
              <w:ind w:right="9"/>
              <w:spacing w:after="0"/>
              <w:rPr>
                <w:sz w:val="20"/>
                <w:szCs w:val="20"/>
                <w:color w:val="auto"/>
              </w:rPr>
            </w:pPr>
            <w:r>
              <w:rPr>
                <w:rFonts w:ascii="Arial" w:cs="Arial" w:eastAsia="Arial" w:hAnsi="Arial"/>
                <w:sz w:val="14"/>
                <w:szCs w:val="14"/>
                <w:color w:val="auto"/>
              </w:rPr>
              <w:t>12,000</w:t>
            </w: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62"/>
        </w:trPr>
        <w:tc>
          <w:tcPr>
            <w:tcW w:w="3280" w:type="dxa"/>
            <w:vAlign w:val="bottom"/>
            <w:gridSpan w:val="2"/>
          </w:tcPr>
          <w:p>
            <w:pPr>
              <w:ind w:left="20"/>
              <w:spacing w:after="0"/>
              <w:rPr>
                <w:sz w:val="20"/>
                <w:szCs w:val="20"/>
                <w:color w:val="auto"/>
              </w:rPr>
            </w:pPr>
            <w:r>
              <w:rPr>
                <w:rFonts w:ascii="Arial" w:cs="Arial" w:eastAsia="Arial" w:hAnsi="Arial"/>
                <w:sz w:val="14"/>
                <w:szCs w:val="14"/>
                <w:color w:val="auto"/>
              </w:rPr>
              <w:t>Remuneration Committee</w:t>
            </w:r>
          </w:p>
        </w:tc>
        <w:tc>
          <w:tcPr>
            <w:tcW w:w="7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62"/>
        </w:trPr>
        <w:tc>
          <w:tcPr>
            <w:tcW w:w="3280" w:type="dxa"/>
            <w:vAlign w:val="bottom"/>
            <w:gridSpan w:val="2"/>
          </w:tcPr>
          <w:p>
            <w:pPr>
              <w:ind w:left="140"/>
              <w:spacing w:after="0"/>
              <w:rPr>
                <w:sz w:val="20"/>
                <w:szCs w:val="20"/>
                <w:color w:val="auto"/>
              </w:rPr>
            </w:pPr>
            <w:r>
              <w:rPr>
                <w:rFonts w:ascii="Arial" w:cs="Arial" w:eastAsia="Arial" w:hAnsi="Arial"/>
                <w:sz w:val="14"/>
                <w:szCs w:val="14"/>
                <w:color w:val="auto"/>
              </w:rPr>
              <w:t>Chairman [B]</w:t>
            </w:r>
          </w:p>
        </w:tc>
        <w:tc>
          <w:tcPr>
            <w:tcW w:w="740" w:type="dxa"/>
            <w:vAlign w:val="bottom"/>
          </w:tcPr>
          <w:p>
            <w:pPr>
              <w:jc w:val="right"/>
              <w:ind w:right="9"/>
              <w:spacing w:after="0"/>
              <w:rPr>
                <w:sz w:val="20"/>
                <w:szCs w:val="20"/>
                <w:color w:val="auto"/>
              </w:rPr>
            </w:pPr>
            <w:r>
              <w:rPr>
                <w:rFonts w:ascii="Arial" w:cs="Arial" w:eastAsia="Arial" w:hAnsi="Arial"/>
                <w:sz w:val="14"/>
                <w:szCs w:val="14"/>
                <w:color w:val="auto"/>
              </w:rPr>
              <w:t>35,000</w:t>
            </w: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57"/>
        </w:trPr>
        <w:tc>
          <w:tcPr>
            <w:tcW w:w="3280" w:type="dxa"/>
            <w:vAlign w:val="bottom"/>
            <w:tcBorders>
              <w:bottom w:val="single" w:sz="8" w:color="auto"/>
            </w:tcBorders>
            <w:gridSpan w:val="2"/>
          </w:tcPr>
          <w:p>
            <w:pPr>
              <w:ind w:left="140"/>
              <w:spacing w:after="0" w:line="157" w:lineRule="exact"/>
              <w:rPr>
                <w:sz w:val="20"/>
                <w:szCs w:val="20"/>
                <w:color w:val="auto"/>
              </w:rPr>
            </w:pPr>
            <w:r>
              <w:rPr>
                <w:rFonts w:ascii="Arial" w:cs="Arial" w:eastAsia="Arial" w:hAnsi="Arial"/>
                <w:sz w:val="14"/>
                <w:szCs w:val="14"/>
                <w:color w:val="auto"/>
              </w:rPr>
              <w:t>Member</w:t>
            </w:r>
          </w:p>
        </w:tc>
        <w:tc>
          <w:tcPr>
            <w:tcW w:w="740" w:type="dxa"/>
            <w:vAlign w:val="bottom"/>
            <w:tcBorders>
              <w:bottom w:val="single" w:sz="8" w:color="auto"/>
            </w:tcBorders>
          </w:tcPr>
          <w:p>
            <w:pPr>
              <w:jc w:val="right"/>
              <w:ind w:right="9"/>
              <w:spacing w:after="0" w:line="157" w:lineRule="exact"/>
              <w:rPr>
                <w:sz w:val="20"/>
                <w:szCs w:val="20"/>
                <w:color w:val="auto"/>
              </w:rPr>
            </w:pPr>
            <w:r>
              <w:rPr>
                <w:rFonts w:ascii="Arial" w:cs="Arial" w:eastAsia="Arial" w:hAnsi="Arial"/>
                <w:sz w:val="14"/>
                <w:szCs w:val="14"/>
                <w:color w:val="auto"/>
              </w:rPr>
              <w:t>17,250</w:t>
            </w:r>
          </w:p>
        </w:tc>
        <w:tc>
          <w:tcPr>
            <w:tcW w:w="1460" w:type="dxa"/>
            <w:vAlign w:val="bottom"/>
            <w:tcBorders>
              <w:bottom w:val="single" w:sz="8" w:color="auto"/>
            </w:tcBorders>
          </w:tcPr>
          <w:p>
            <w:pPr>
              <w:spacing w:after="0"/>
              <w:rPr>
                <w:sz w:val="13"/>
                <w:szCs w:val="13"/>
                <w:color w:val="auto"/>
              </w:rPr>
            </w:pPr>
          </w:p>
        </w:tc>
        <w:tc>
          <w:tcPr>
            <w:tcW w:w="20" w:type="dxa"/>
            <w:vAlign w:val="bottom"/>
          </w:tcPr>
          <w:p>
            <w:pPr>
              <w:spacing w:after="0"/>
              <w:rPr>
                <w:sz w:val="13"/>
                <w:szCs w:val="13"/>
                <w:color w:val="auto"/>
              </w:rPr>
            </w:pPr>
          </w:p>
        </w:tc>
      </w:tr>
    </w:tbl>
    <w:p>
      <w:pPr>
        <w:spacing w:after="0" w:line="32" w:lineRule="exact"/>
        <w:rPr>
          <w:sz w:val="20"/>
          <w:szCs w:val="20"/>
          <w:color w:val="auto"/>
        </w:rPr>
      </w:pPr>
    </w:p>
    <w:p>
      <w:pPr>
        <w:ind w:left="180" w:hanging="172"/>
        <w:spacing w:after="0"/>
        <w:tabs>
          <w:tab w:leader="none" w:pos="180" w:val="left"/>
        </w:tabs>
        <w:numPr>
          <w:ilvl w:val="0"/>
          <w:numId w:val="100"/>
        </w:numPr>
        <w:rPr>
          <w:rFonts w:ascii="Arial" w:cs="Arial" w:eastAsia="Arial" w:hAnsi="Arial"/>
          <w:sz w:val="11"/>
          <w:szCs w:val="11"/>
          <w:color w:val="auto"/>
        </w:rPr>
      </w:pPr>
      <w:r>
        <w:rPr>
          <w:rFonts w:ascii="Arial" w:cs="Arial" w:eastAsia="Arial" w:hAnsi="Arial"/>
          <w:sz w:val="11"/>
          <w:szCs w:val="11"/>
          <w:color w:val="auto"/>
        </w:rPr>
        <w:t>With effect from the conclusion of the 2015 AGM. Current fee €825,000.</w:t>
      </w:r>
    </w:p>
    <w:p>
      <w:pPr>
        <w:ind w:left="180" w:hanging="172"/>
        <w:spacing w:after="0"/>
        <w:tabs>
          <w:tab w:leader="none" w:pos="180" w:val="left"/>
        </w:tabs>
        <w:numPr>
          <w:ilvl w:val="0"/>
          <w:numId w:val="100"/>
        </w:numPr>
        <w:rPr>
          <w:rFonts w:ascii="Arial" w:cs="Arial" w:eastAsia="Arial" w:hAnsi="Arial"/>
          <w:sz w:val="11"/>
          <w:szCs w:val="11"/>
          <w:color w:val="auto"/>
        </w:rPr>
      </w:pPr>
      <w:r>
        <w:rPr>
          <w:rFonts w:ascii="Arial" w:cs="Arial" w:eastAsia="Arial" w:hAnsi="Arial"/>
          <w:sz w:val="11"/>
          <w:szCs w:val="11"/>
          <w:color w:val="auto"/>
        </w:rPr>
        <w:t>The chairman of a committee does not receive an additional fee for membership of that committee.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3240"/>
        <w:spacing w:after="0"/>
        <w:rPr>
          <w:sz w:val="20"/>
          <w:szCs w:val="20"/>
          <w:color w:val="auto"/>
        </w:rPr>
      </w:pPr>
      <w:r>
        <w:rPr>
          <w:rFonts w:ascii="Arial" w:cs="Arial" w:eastAsia="Arial" w:hAnsi="Arial"/>
          <w:sz w:val="10"/>
          <w:szCs w:val="10"/>
          <w:color w:val="auto"/>
        </w:rPr>
        <w:t>SHELL ANNUAL REPORT AND FORM 20-F 2014</w:t>
      </w:r>
    </w:p>
    <w:p>
      <w:pPr>
        <w:spacing w:after="0" w:line="69" w:lineRule="exact"/>
        <w:rPr>
          <w:sz w:val="20"/>
          <w:szCs w:val="20"/>
          <w:color w:val="auto"/>
        </w:rPr>
      </w:pPr>
    </w:p>
    <w:p>
      <w:pPr>
        <w:ind w:right="320"/>
        <w:spacing w:after="0" w:line="247" w:lineRule="auto"/>
        <w:rPr>
          <w:sz w:val="20"/>
          <w:szCs w:val="20"/>
          <w:color w:val="auto"/>
        </w:rPr>
      </w:pPr>
      <w:r>
        <w:rPr>
          <w:rFonts w:ascii="Arial" w:cs="Arial" w:eastAsia="Arial" w:hAnsi="Arial"/>
          <w:sz w:val="14"/>
          <w:szCs w:val="14"/>
          <w:color w:val="auto"/>
        </w:rPr>
        <w:t>The Chairman’s fee is determined by REMCO and the annual fee for the new Chairman, with effect from May 20, 2015, subject to his reappointment as a Director at the 2015 AGM, has been set at €850,000 (Charles O.Holliday did not attend this discussion).</w:t>
      </w:r>
    </w:p>
    <w:p>
      <w:pPr>
        <w:spacing w:after="0" w:line="175" w:lineRule="exact"/>
        <w:rPr>
          <w:sz w:val="20"/>
          <w:szCs w:val="20"/>
          <w:color w:val="auto"/>
        </w:rPr>
      </w:pPr>
    </w:p>
    <w:p>
      <w:pPr>
        <w:ind w:right="180"/>
        <w:spacing w:after="0" w:line="243" w:lineRule="auto"/>
        <w:rPr>
          <w:sz w:val="20"/>
          <w:szCs w:val="20"/>
          <w:color w:val="auto"/>
        </w:rPr>
      </w:pPr>
      <w:r>
        <w:rPr>
          <w:rFonts w:ascii="Arial" w:cs="Arial" w:eastAsia="Arial" w:hAnsi="Arial"/>
          <w:sz w:val="14"/>
          <w:szCs w:val="14"/>
          <w:color w:val="auto"/>
        </w:rPr>
        <w:t>A Non-executive Director receives a basic fee, and there is an additional fee(s) for the Senior Independent Director and either a Board committee chairmanship or Board committee membership for each committee. Non-executive Directors receive an additional fee of €5,000 for any Board meeting involving intercontinental travel, except for one meeting a year held in a location other than The Hague. Business expenses (including transport between home and office and occasional business-required spouse travel) and associated tax are paid or reimbursed by Shell. The Chairman is offered Shell-provided accommodation in The Hague.</w:t>
      </w:r>
    </w:p>
    <w:p>
      <w:pPr>
        <w:spacing w:after="0" w:line="168" w:lineRule="exact"/>
        <w:rPr>
          <w:sz w:val="20"/>
          <w:szCs w:val="20"/>
          <w:color w:val="auto"/>
        </w:rPr>
      </w:pPr>
    </w:p>
    <w:p>
      <w:pPr>
        <w:ind w:right="240"/>
        <w:spacing w:after="0" w:line="245" w:lineRule="auto"/>
        <w:rPr>
          <w:sz w:val="20"/>
          <w:szCs w:val="20"/>
          <w:color w:val="auto"/>
        </w:rPr>
      </w:pPr>
      <w:r>
        <w:rPr>
          <w:rFonts w:ascii="Arial" w:cs="Arial" w:eastAsia="Arial" w:hAnsi="Arial"/>
          <w:sz w:val="14"/>
          <w:szCs w:val="14"/>
          <w:color w:val="auto"/>
        </w:rPr>
        <w:t>The Board reviews Non-executive Directors’ fees periodically to ensure that they are aligned with those of other major listed companies. A review was carried out in 2014, which resulted in an increase in the basic fee from €125,000 to €130,000 and an increase in the Audit Committee Chairman fee from €45,000 to €55,000, effective January 1, 2015.</w:t>
      </w:r>
    </w:p>
    <w:p>
      <w:pPr>
        <w:spacing w:after="0" w:line="164" w:lineRule="exact"/>
        <w:rPr>
          <w:sz w:val="20"/>
          <w:szCs w:val="20"/>
          <w:color w:val="auto"/>
        </w:rPr>
      </w:pPr>
    </w:p>
    <w:p>
      <w:pPr>
        <w:jc w:val="center"/>
        <w:ind w:right="280"/>
        <w:spacing w:after="0"/>
        <w:rPr>
          <w:sz w:val="20"/>
          <w:szCs w:val="20"/>
          <w:color w:val="auto"/>
        </w:rPr>
      </w:pPr>
      <w:r>
        <w:rPr>
          <w:rFonts w:ascii="Arial" w:cs="Arial" w:eastAsia="Arial" w:hAnsi="Arial"/>
          <w:sz w:val="14"/>
          <w:szCs w:val="14"/>
          <w:color w:val="auto"/>
        </w:rPr>
        <w:t>Annual fees for 2015 are indicated in the “Non-executive Directors’ fees 2015” table.</w:t>
      </w:r>
    </w:p>
    <w:p>
      <w:pPr>
        <w:spacing w:after="0" w:line="200" w:lineRule="exact"/>
        <w:rPr>
          <w:sz w:val="20"/>
          <w:szCs w:val="20"/>
          <w:color w:val="auto"/>
        </w:rPr>
      </w:pPr>
    </w:p>
    <w:p>
      <w:pPr>
        <w:sectPr>
          <w:pgSz w:w="11900" w:h="16838" w:orient="portrait"/>
          <w:cols w:equalWidth="0" w:num="2">
            <w:col w:w="5500" w:space="280"/>
            <w:col w:w="5640"/>
          </w:cols>
          <w:pgMar w:left="240" w:top="459" w:right="239" w:bottom="1440" w:gutter="0" w:footer="0" w:header="0"/>
          <w:type w:val="continuous"/>
        </w:sectPr>
      </w:pPr>
    </w:p>
    <w:p>
      <w:pPr>
        <w:spacing w:after="0" w:line="336" w:lineRule="exact"/>
        <w:rPr>
          <w:sz w:val="20"/>
          <w:szCs w:val="20"/>
          <w:color w:val="auto"/>
        </w:rPr>
      </w:pPr>
    </w:p>
    <w:p>
      <w:pPr>
        <w:spacing w:after="0"/>
        <w:rPr>
          <w:sz w:val="20"/>
          <w:szCs w:val="20"/>
          <w:color w:val="auto"/>
        </w:rPr>
      </w:pPr>
      <w:r>
        <w:rPr>
          <w:rFonts w:ascii="Arial" w:cs="Arial" w:eastAsia="Arial" w:hAnsi="Arial"/>
          <w:sz w:val="18"/>
          <w:szCs w:val="18"/>
          <w:color w:val="auto"/>
        </w:rPr>
        <w:t>DIRECTORS’ REMUNERATION FOR 2014</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Non-executive Directors’ remuneration for 2014</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7100" w:type="dxa"/>
            <w:vAlign w:val="bottom"/>
            <w:gridSpan w:val="5"/>
            <w:shd w:val="clear" w:color="auto" w:fill="333333"/>
          </w:tcPr>
          <w:p>
            <w:pPr>
              <w:ind w:left="80"/>
              <w:spacing w:after="0"/>
              <w:rPr>
                <w:sz w:val="20"/>
                <w:szCs w:val="20"/>
                <w:color w:val="auto"/>
              </w:rPr>
            </w:pPr>
            <w:r>
              <w:rPr>
                <w:rFonts w:ascii="Arial" w:cs="Arial" w:eastAsia="Arial" w:hAnsi="Arial"/>
                <w:sz w:val="15"/>
                <w:szCs w:val="15"/>
                <w:b w:val="1"/>
                <w:bCs w:val="1"/>
                <w:color w:val="FFFFFF"/>
              </w:rPr>
              <w:t xml:space="preserve">SINGLE TOTAL FIGURE OF REMUNERATION FOR NON-EXECUTIVE DIRECTORS </w:t>
            </w:r>
            <w:r>
              <w:rPr>
                <w:rFonts w:ascii="Arial" w:cs="Arial" w:eastAsia="Arial" w:hAnsi="Arial"/>
                <w:sz w:val="15"/>
                <w:szCs w:val="15"/>
                <w:color w:val="FFFFFF"/>
              </w:rPr>
              <w:t>(AUDITED)</w:t>
            </w:r>
          </w:p>
        </w:tc>
        <w:tc>
          <w:tcPr>
            <w:tcW w:w="600" w:type="dxa"/>
            <w:vAlign w:val="bottom"/>
            <w:shd w:val="clear" w:color="auto" w:fill="333333"/>
          </w:tcPr>
          <w:p>
            <w:pPr>
              <w:spacing w:after="0"/>
              <w:rPr>
                <w:sz w:val="15"/>
                <w:szCs w:val="15"/>
                <w:color w:val="auto"/>
              </w:rPr>
            </w:pPr>
          </w:p>
        </w:tc>
        <w:tc>
          <w:tcPr>
            <w:tcW w:w="1260" w:type="dxa"/>
            <w:vAlign w:val="bottom"/>
            <w:shd w:val="clear" w:color="auto" w:fill="333333"/>
          </w:tcPr>
          <w:p>
            <w:pPr>
              <w:spacing w:after="0"/>
              <w:rPr>
                <w:sz w:val="15"/>
                <w:szCs w:val="15"/>
                <w:color w:val="auto"/>
              </w:rPr>
            </w:pPr>
          </w:p>
        </w:tc>
        <w:tc>
          <w:tcPr>
            <w:tcW w:w="280" w:type="dxa"/>
            <w:vAlign w:val="bottom"/>
            <w:shd w:val="clear" w:color="auto" w:fill="333333"/>
          </w:tcPr>
          <w:p>
            <w:pPr>
              <w:spacing w:after="0"/>
              <w:rPr>
                <w:sz w:val="15"/>
                <w:szCs w:val="15"/>
                <w:color w:val="auto"/>
              </w:rPr>
            </w:pPr>
          </w:p>
        </w:tc>
        <w:tc>
          <w:tcPr>
            <w:tcW w:w="240" w:type="dxa"/>
            <w:vAlign w:val="bottom"/>
            <w:shd w:val="clear" w:color="auto" w:fill="333333"/>
          </w:tcPr>
          <w:p>
            <w:pPr>
              <w:spacing w:after="0"/>
              <w:rPr>
                <w:sz w:val="15"/>
                <w:szCs w:val="15"/>
                <w:color w:val="auto"/>
              </w:rPr>
            </w:pPr>
          </w:p>
        </w:tc>
        <w:tc>
          <w:tcPr>
            <w:tcW w:w="680" w:type="dxa"/>
            <w:vAlign w:val="bottom"/>
            <w:shd w:val="clear" w:color="auto" w:fill="333333"/>
          </w:tcPr>
          <w:p>
            <w:pPr>
              <w:spacing w:after="0"/>
              <w:rPr>
                <w:sz w:val="15"/>
                <w:szCs w:val="15"/>
                <w:color w:val="auto"/>
              </w:rPr>
            </w:pPr>
          </w:p>
        </w:tc>
        <w:tc>
          <w:tcPr>
            <w:tcW w:w="1260" w:type="dxa"/>
            <w:vAlign w:val="bottom"/>
            <w:shd w:val="clear" w:color="auto" w:fill="333333"/>
          </w:tcPr>
          <w:p>
            <w:pPr>
              <w:jc w:val="right"/>
              <w:ind w:right="29"/>
              <w:spacing w:after="0"/>
              <w:rPr>
                <w:sz w:val="20"/>
                <w:szCs w:val="20"/>
                <w:color w:val="auto"/>
              </w:rPr>
            </w:pPr>
            <w:r>
              <w:rPr>
                <w:rFonts w:ascii="Arial" w:cs="Arial" w:eastAsia="Arial" w:hAnsi="Arial"/>
                <w:sz w:val="15"/>
                <w:szCs w:val="15"/>
                <w:color w:val="FFFFFF"/>
              </w:rPr>
              <w:t>€ THOUSAND</w:t>
            </w:r>
          </w:p>
        </w:tc>
      </w:tr>
      <w:tr>
        <w:trPr>
          <w:trHeight w:val="135"/>
        </w:trPr>
        <w:tc>
          <w:tcPr>
            <w:tcW w:w="42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900" w:type="dxa"/>
            <w:vAlign w:val="bottom"/>
            <w:gridSpan w:val="3"/>
          </w:tcPr>
          <w:p>
            <w:pPr>
              <w:ind w:left="740"/>
              <w:spacing w:after="0" w:line="135" w:lineRule="exact"/>
              <w:rPr>
                <w:sz w:val="20"/>
                <w:szCs w:val="20"/>
                <w:color w:val="auto"/>
              </w:rPr>
            </w:pPr>
            <w:r>
              <w:rPr>
                <w:rFonts w:ascii="Arial" w:cs="Arial" w:eastAsia="Arial" w:hAnsi="Arial"/>
                <w:sz w:val="13"/>
                <w:szCs w:val="13"/>
                <w:color w:val="auto"/>
              </w:rPr>
              <w:t>Fees</w:t>
            </w:r>
          </w:p>
        </w:tc>
        <w:tc>
          <w:tcPr>
            <w:tcW w:w="600" w:type="dxa"/>
            <w:vAlign w:val="bottom"/>
          </w:tcPr>
          <w:p>
            <w:pPr>
              <w:spacing w:after="0"/>
              <w:rPr>
                <w:sz w:val="11"/>
                <w:szCs w:val="11"/>
                <w:color w:val="auto"/>
              </w:rPr>
            </w:pPr>
          </w:p>
        </w:tc>
        <w:tc>
          <w:tcPr>
            <w:tcW w:w="1260" w:type="dxa"/>
            <w:vAlign w:val="bottom"/>
          </w:tcPr>
          <w:p>
            <w:pPr>
              <w:jc w:val="right"/>
              <w:ind w:right="69"/>
              <w:spacing w:after="0" w:line="135" w:lineRule="exact"/>
              <w:rPr>
                <w:sz w:val="20"/>
                <w:szCs w:val="20"/>
                <w:color w:val="auto"/>
              </w:rPr>
            </w:pPr>
            <w:r>
              <w:rPr>
                <w:rFonts w:ascii="Arial" w:cs="Arial" w:eastAsia="Arial" w:hAnsi="Arial"/>
                <w:sz w:val="13"/>
                <w:szCs w:val="13"/>
                <w:color w:val="auto"/>
              </w:rPr>
              <w:t>Taxable benefits</w:t>
            </w:r>
          </w:p>
        </w:tc>
        <w:tc>
          <w:tcPr>
            <w:tcW w:w="1200" w:type="dxa"/>
            <w:vAlign w:val="bottom"/>
            <w:gridSpan w:val="3"/>
          </w:tcPr>
          <w:p>
            <w:pPr>
              <w:jc w:val="right"/>
              <w:ind w:right="849"/>
              <w:spacing w:after="0" w:line="135" w:lineRule="exact"/>
              <w:rPr>
                <w:sz w:val="20"/>
                <w:szCs w:val="20"/>
                <w:color w:val="auto"/>
              </w:rPr>
            </w:pPr>
            <w:r>
              <w:rPr>
                <w:rFonts w:ascii="Arial" w:cs="Arial" w:eastAsia="Arial" w:hAnsi="Arial"/>
                <w:sz w:val="13"/>
                <w:szCs w:val="13"/>
                <w:color w:val="auto"/>
              </w:rPr>
              <w:t>[A]</w:t>
            </w:r>
          </w:p>
        </w:tc>
        <w:tc>
          <w:tcPr>
            <w:tcW w:w="1260" w:type="dxa"/>
            <w:vAlign w:val="bottom"/>
          </w:tcPr>
          <w:p>
            <w:pPr>
              <w:jc w:val="right"/>
              <w:ind w:right="29"/>
              <w:spacing w:after="0" w:line="135" w:lineRule="exact"/>
              <w:rPr>
                <w:sz w:val="20"/>
                <w:szCs w:val="20"/>
                <w:color w:val="auto"/>
              </w:rPr>
            </w:pPr>
            <w:r>
              <w:rPr>
                <w:rFonts w:ascii="Arial" w:cs="Arial" w:eastAsia="Arial" w:hAnsi="Arial"/>
                <w:sz w:val="13"/>
                <w:szCs w:val="13"/>
                <w:color w:val="auto"/>
              </w:rPr>
              <w:t>Total</w:t>
            </w:r>
          </w:p>
        </w:tc>
      </w:tr>
      <w:tr>
        <w:trPr>
          <w:trHeight w:val="142"/>
        </w:trPr>
        <w:tc>
          <w:tcPr>
            <w:tcW w:w="4220" w:type="dxa"/>
            <w:vAlign w:val="bottom"/>
            <w:tcBorders>
              <w:bottom w:val="single" w:sz="8" w:color="auto"/>
            </w:tcBorders>
          </w:tcPr>
          <w:p>
            <w:pPr>
              <w:spacing w:after="0"/>
              <w:rPr>
                <w:sz w:val="12"/>
                <w:szCs w:val="12"/>
                <w:color w:val="auto"/>
              </w:rPr>
            </w:pPr>
          </w:p>
        </w:tc>
        <w:tc>
          <w:tcPr>
            <w:tcW w:w="980" w:type="dxa"/>
            <w:vAlign w:val="bottom"/>
            <w:tcBorders>
              <w:top w:val="single" w:sz="8" w:color="auto"/>
              <w:bottom w:val="single" w:sz="8" w:color="auto"/>
            </w:tcBorders>
            <w:shd w:val="clear" w:color="auto" w:fill="D8D8D8"/>
          </w:tcPr>
          <w:p>
            <w:pPr>
              <w:jc w:val="right"/>
              <w:ind w:right="49"/>
              <w:spacing w:after="0" w:line="143" w:lineRule="exact"/>
              <w:rPr>
                <w:sz w:val="20"/>
                <w:szCs w:val="20"/>
                <w:color w:val="auto"/>
              </w:rPr>
            </w:pPr>
            <w:r>
              <w:rPr>
                <w:rFonts w:ascii="Arial" w:cs="Arial" w:eastAsia="Arial" w:hAnsi="Arial"/>
                <w:sz w:val="13"/>
                <w:szCs w:val="13"/>
                <w:color w:val="auto"/>
              </w:rPr>
              <w:t>2014</w:t>
            </w:r>
          </w:p>
        </w:tc>
        <w:tc>
          <w:tcPr>
            <w:tcW w:w="1120" w:type="dxa"/>
            <w:vAlign w:val="bottom"/>
            <w:tcBorders>
              <w:top w:val="single" w:sz="8" w:color="auto"/>
              <w:bottom w:val="single" w:sz="8" w:color="auto"/>
            </w:tcBorders>
          </w:tcPr>
          <w:p>
            <w:pPr>
              <w:jc w:val="right"/>
              <w:ind w:right="29"/>
              <w:spacing w:after="0" w:line="143" w:lineRule="exact"/>
              <w:rPr>
                <w:sz w:val="20"/>
                <w:szCs w:val="20"/>
                <w:color w:val="auto"/>
              </w:rPr>
            </w:pPr>
            <w:r>
              <w:rPr>
                <w:rFonts w:ascii="Arial" w:cs="Arial" w:eastAsia="Arial" w:hAnsi="Arial"/>
                <w:sz w:val="13"/>
                <w:szCs w:val="13"/>
                <w:color w:val="auto"/>
              </w:rPr>
              <w:t>2013</w:t>
            </w:r>
          </w:p>
        </w:tc>
        <w:tc>
          <w:tcPr>
            <w:tcW w:w="260" w:type="dxa"/>
            <w:vAlign w:val="bottom"/>
            <w:tcBorders>
              <w:bottom w:val="single" w:sz="8" w:color="auto"/>
            </w:tcBorders>
          </w:tcPr>
          <w:p>
            <w:pPr>
              <w:spacing w:after="0"/>
              <w:rPr>
                <w:sz w:val="12"/>
                <w:szCs w:val="12"/>
                <w:color w:val="auto"/>
              </w:rPr>
            </w:pPr>
          </w:p>
        </w:tc>
        <w:tc>
          <w:tcPr>
            <w:tcW w:w="520" w:type="dxa"/>
            <w:vAlign w:val="bottom"/>
            <w:tcBorders>
              <w:top w:val="single" w:sz="8" w:color="auto"/>
              <w:bottom w:val="single" w:sz="8" w:color="auto"/>
            </w:tcBorders>
            <w:shd w:val="clear" w:color="auto" w:fill="D8D8D8"/>
          </w:tcPr>
          <w:p>
            <w:pPr>
              <w:spacing w:after="0"/>
              <w:rPr>
                <w:sz w:val="12"/>
                <w:szCs w:val="12"/>
                <w:color w:val="auto"/>
              </w:rPr>
            </w:pPr>
          </w:p>
        </w:tc>
        <w:tc>
          <w:tcPr>
            <w:tcW w:w="600" w:type="dxa"/>
            <w:vAlign w:val="bottom"/>
            <w:tcBorders>
              <w:top w:val="single" w:sz="8" w:color="auto"/>
              <w:bottom w:val="single" w:sz="8" w:color="auto"/>
            </w:tcBorders>
            <w:shd w:val="clear" w:color="auto" w:fill="D8D8D8"/>
          </w:tcPr>
          <w:p>
            <w:pPr>
              <w:jc w:val="right"/>
              <w:spacing w:after="0" w:line="143" w:lineRule="exact"/>
              <w:rPr>
                <w:sz w:val="20"/>
                <w:szCs w:val="20"/>
                <w:color w:val="auto"/>
              </w:rPr>
            </w:pPr>
            <w:r>
              <w:rPr>
                <w:rFonts w:ascii="Arial" w:cs="Arial" w:eastAsia="Arial" w:hAnsi="Arial"/>
                <w:sz w:val="13"/>
                <w:szCs w:val="13"/>
                <w:color w:val="auto"/>
              </w:rPr>
              <w:t>2014</w:t>
            </w:r>
          </w:p>
        </w:tc>
        <w:tc>
          <w:tcPr>
            <w:tcW w:w="1260" w:type="dxa"/>
            <w:vAlign w:val="bottom"/>
            <w:tcBorders>
              <w:top w:val="single" w:sz="8" w:color="auto"/>
              <w:bottom w:val="single" w:sz="8" w:color="auto"/>
            </w:tcBorders>
          </w:tcPr>
          <w:p>
            <w:pPr>
              <w:jc w:val="right"/>
              <w:ind w:right="69"/>
              <w:spacing w:after="0" w:line="143" w:lineRule="exact"/>
              <w:rPr>
                <w:sz w:val="20"/>
                <w:szCs w:val="20"/>
                <w:color w:val="auto"/>
              </w:rPr>
            </w:pPr>
            <w:r>
              <w:rPr>
                <w:rFonts w:ascii="Arial" w:cs="Arial" w:eastAsia="Arial" w:hAnsi="Arial"/>
                <w:sz w:val="13"/>
                <w:szCs w:val="13"/>
                <w:color w:val="auto"/>
              </w:rPr>
              <w:t>2013</w:t>
            </w:r>
          </w:p>
        </w:tc>
        <w:tc>
          <w:tcPr>
            <w:tcW w:w="280" w:type="dxa"/>
            <w:vAlign w:val="bottom"/>
            <w:tcBorders>
              <w:top w:val="single" w:sz="8" w:color="auto"/>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680" w:type="dxa"/>
            <w:vAlign w:val="bottom"/>
            <w:tcBorders>
              <w:top w:val="single" w:sz="8" w:color="auto"/>
              <w:bottom w:val="single" w:sz="8" w:color="auto"/>
            </w:tcBorders>
            <w:shd w:val="clear" w:color="auto" w:fill="D8D8D8"/>
          </w:tcPr>
          <w:p>
            <w:pPr>
              <w:jc w:val="right"/>
              <w:ind w:right="69"/>
              <w:spacing w:after="0" w:line="143" w:lineRule="exact"/>
              <w:rPr>
                <w:sz w:val="20"/>
                <w:szCs w:val="20"/>
                <w:color w:val="auto"/>
              </w:rPr>
            </w:pPr>
            <w:r>
              <w:rPr>
                <w:rFonts w:ascii="Arial" w:cs="Arial" w:eastAsia="Arial" w:hAnsi="Arial"/>
                <w:sz w:val="13"/>
                <w:szCs w:val="13"/>
                <w:color w:val="auto"/>
              </w:rPr>
              <w:t>2014</w:t>
            </w:r>
          </w:p>
        </w:tc>
        <w:tc>
          <w:tcPr>
            <w:tcW w:w="1260" w:type="dxa"/>
            <w:vAlign w:val="bottom"/>
            <w:tcBorders>
              <w:top w:val="single" w:sz="8" w:color="auto"/>
              <w:bottom w:val="single" w:sz="8" w:color="auto"/>
            </w:tcBorders>
          </w:tcPr>
          <w:p>
            <w:pPr>
              <w:jc w:val="right"/>
              <w:ind w:right="29"/>
              <w:spacing w:after="0" w:line="143" w:lineRule="exact"/>
              <w:rPr>
                <w:sz w:val="20"/>
                <w:szCs w:val="20"/>
                <w:color w:val="auto"/>
              </w:rPr>
            </w:pPr>
            <w:r>
              <w:rPr>
                <w:rFonts w:ascii="Arial" w:cs="Arial" w:eastAsia="Arial" w:hAnsi="Arial"/>
                <w:sz w:val="13"/>
                <w:szCs w:val="13"/>
                <w:color w:val="auto"/>
              </w:rPr>
              <w:t>2013</w:t>
            </w:r>
          </w:p>
        </w:tc>
      </w:tr>
      <w:tr>
        <w:trPr>
          <w:trHeight w:val="169"/>
        </w:trPr>
        <w:tc>
          <w:tcPr>
            <w:tcW w:w="4220" w:type="dxa"/>
            <w:vAlign w:val="bottom"/>
          </w:tcPr>
          <w:p>
            <w:pPr>
              <w:spacing w:after="0"/>
              <w:rPr>
                <w:sz w:val="20"/>
                <w:szCs w:val="20"/>
                <w:color w:val="auto"/>
              </w:rPr>
            </w:pPr>
            <w:r>
              <w:rPr>
                <w:rFonts w:ascii="Arial" w:cs="Arial" w:eastAsia="Arial" w:hAnsi="Arial"/>
                <w:sz w:val="14"/>
                <w:szCs w:val="14"/>
                <w:color w:val="auto"/>
              </w:rPr>
              <w:t>Josef Ackermann [B]</w:t>
            </w:r>
          </w:p>
        </w:tc>
        <w:tc>
          <w:tcPr>
            <w:tcW w:w="980" w:type="dxa"/>
            <w:vAlign w:val="bottom"/>
            <w:shd w:val="clear" w:color="auto" w:fill="D8D8D8"/>
          </w:tcPr>
          <w:p>
            <w:pPr>
              <w:jc w:val="right"/>
              <w:ind w:right="49"/>
              <w:spacing w:after="0"/>
              <w:rPr>
                <w:sz w:val="20"/>
                <w:szCs w:val="20"/>
                <w:color w:val="auto"/>
              </w:rPr>
            </w:pPr>
            <w:r>
              <w:rPr>
                <w:rFonts w:ascii="Arial" w:cs="Arial" w:eastAsia="Arial" w:hAnsi="Arial"/>
                <w:sz w:val="14"/>
                <w:szCs w:val="14"/>
                <w:color w:val="auto"/>
              </w:rPr>
              <w:t>60</w:t>
            </w:r>
          </w:p>
        </w:tc>
        <w:tc>
          <w:tcPr>
            <w:tcW w:w="1120" w:type="dxa"/>
            <w:vAlign w:val="bottom"/>
          </w:tcPr>
          <w:p>
            <w:pPr>
              <w:jc w:val="right"/>
              <w:ind w:right="29"/>
              <w:spacing w:after="0"/>
              <w:rPr>
                <w:sz w:val="20"/>
                <w:szCs w:val="20"/>
                <w:color w:val="auto"/>
              </w:rPr>
            </w:pPr>
            <w:r>
              <w:rPr>
                <w:rFonts w:ascii="Arial" w:cs="Arial" w:eastAsia="Arial" w:hAnsi="Arial"/>
                <w:sz w:val="14"/>
                <w:szCs w:val="14"/>
                <w:color w:val="auto"/>
              </w:rPr>
              <w:t>154</w:t>
            </w:r>
          </w:p>
        </w:tc>
        <w:tc>
          <w:tcPr>
            <w:tcW w:w="260" w:type="dxa"/>
            <w:vAlign w:val="bottom"/>
          </w:tcPr>
          <w:p>
            <w:pPr>
              <w:spacing w:after="0"/>
              <w:rPr>
                <w:sz w:val="14"/>
                <w:szCs w:val="14"/>
                <w:color w:val="auto"/>
              </w:rPr>
            </w:pPr>
          </w:p>
        </w:tc>
        <w:tc>
          <w:tcPr>
            <w:tcW w:w="520" w:type="dxa"/>
            <w:vAlign w:val="bottom"/>
            <w:shd w:val="clear" w:color="auto" w:fill="D8D8D8"/>
          </w:tcPr>
          <w:p>
            <w:pPr>
              <w:spacing w:after="0"/>
              <w:rPr>
                <w:sz w:val="14"/>
                <w:szCs w:val="14"/>
                <w:color w:val="auto"/>
              </w:rPr>
            </w:pPr>
          </w:p>
        </w:tc>
        <w:tc>
          <w:tcPr>
            <w:tcW w:w="600" w:type="dxa"/>
            <w:vAlign w:val="bottom"/>
            <w:shd w:val="clear" w:color="auto" w:fill="D8D8D8"/>
          </w:tcPr>
          <w:p>
            <w:pPr>
              <w:jc w:val="right"/>
              <w:spacing w:after="0"/>
              <w:rPr>
                <w:sz w:val="20"/>
                <w:szCs w:val="20"/>
                <w:color w:val="auto"/>
              </w:rPr>
            </w:pPr>
            <w:r>
              <w:rPr>
                <w:rFonts w:ascii="Arial" w:cs="Arial" w:eastAsia="Arial" w:hAnsi="Arial"/>
                <w:sz w:val="14"/>
                <w:szCs w:val="14"/>
                <w:color w:val="auto"/>
              </w:rPr>
              <w:t>2</w:t>
            </w:r>
          </w:p>
        </w:tc>
        <w:tc>
          <w:tcPr>
            <w:tcW w:w="1260" w:type="dxa"/>
            <w:vAlign w:val="bottom"/>
          </w:tcPr>
          <w:p>
            <w:pPr>
              <w:jc w:val="right"/>
              <w:ind w:right="69"/>
              <w:spacing w:after="0"/>
              <w:rPr>
                <w:sz w:val="20"/>
                <w:szCs w:val="20"/>
                <w:color w:val="auto"/>
              </w:rPr>
            </w:pPr>
            <w:r>
              <w:rPr>
                <w:rFonts w:ascii="Arial" w:cs="Arial" w:eastAsia="Arial" w:hAnsi="Arial"/>
                <w:sz w:val="14"/>
                <w:szCs w:val="14"/>
                <w:color w:val="auto"/>
              </w:rPr>
              <w:t>2</w:t>
            </w: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shd w:val="clear" w:color="auto" w:fill="D8D8D8"/>
          </w:tcPr>
          <w:p>
            <w:pPr>
              <w:jc w:val="right"/>
              <w:ind w:right="69"/>
              <w:spacing w:after="0"/>
              <w:rPr>
                <w:sz w:val="20"/>
                <w:szCs w:val="20"/>
                <w:color w:val="auto"/>
              </w:rPr>
            </w:pPr>
            <w:r>
              <w:rPr>
                <w:rFonts w:ascii="Arial" w:cs="Arial" w:eastAsia="Arial" w:hAnsi="Arial"/>
                <w:sz w:val="14"/>
                <w:szCs w:val="14"/>
                <w:color w:val="auto"/>
              </w:rPr>
              <w:t>62</w:t>
            </w:r>
          </w:p>
        </w:tc>
        <w:tc>
          <w:tcPr>
            <w:tcW w:w="1260" w:type="dxa"/>
            <w:vAlign w:val="bottom"/>
          </w:tcPr>
          <w:p>
            <w:pPr>
              <w:jc w:val="right"/>
              <w:ind w:right="29"/>
              <w:spacing w:after="0"/>
              <w:rPr>
                <w:sz w:val="20"/>
                <w:szCs w:val="20"/>
                <w:color w:val="auto"/>
              </w:rPr>
            </w:pPr>
            <w:r>
              <w:rPr>
                <w:rFonts w:ascii="Arial" w:cs="Arial" w:eastAsia="Arial" w:hAnsi="Arial"/>
                <w:sz w:val="14"/>
                <w:szCs w:val="14"/>
                <w:color w:val="auto"/>
              </w:rPr>
              <w:t>156</w:t>
            </w:r>
          </w:p>
        </w:tc>
      </w:tr>
      <w:tr>
        <w:trPr>
          <w:trHeight w:val="162"/>
        </w:trPr>
        <w:tc>
          <w:tcPr>
            <w:tcW w:w="4220" w:type="dxa"/>
            <w:vAlign w:val="bottom"/>
          </w:tcPr>
          <w:p>
            <w:pPr>
              <w:spacing w:after="0"/>
              <w:rPr>
                <w:sz w:val="20"/>
                <w:szCs w:val="20"/>
                <w:color w:val="auto"/>
              </w:rPr>
            </w:pPr>
            <w:r>
              <w:rPr>
                <w:rFonts w:ascii="Arial" w:cs="Arial" w:eastAsia="Arial" w:hAnsi="Arial"/>
                <w:sz w:val="14"/>
                <w:szCs w:val="14"/>
                <w:color w:val="auto"/>
              </w:rPr>
              <w:t>Guy Elliott</w:t>
            </w:r>
          </w:p>
        </w:tc>
        <w:tc>
          <w:tcPr>
            <w:tcW w:w="980" w:type="dxa"/>
            <w:vAlign w:val="bottom"/>
            <w:shd w:val="clear" w:color="auto" w:fill="D8D8D8"/>
          </w:tcPr>
          <w:p>
            <w:pPr>
              <w:jc w:val="right"/>
              <w:ind w:right="49"/>
              <w:spacing w:after="0"/>
              <w:rPr>
                <w:sz w:val="20"/>
                <w:szCs w:val="20"/>
                <w:color w:val="auto"/>
              </w:rPr>
            </w:pPr>
            <w:r>
              <w:rPr>
                <w:rFonts w:ascii="Arial" w:cs="Arial" w:eastAsia="Arial" w:hAnsi="Arial"/>
                <w:sz w:val="14"/>
                <w:szCs w:val="14"/>
                <w:color w:val="auto"/>
              </w:rPr>
              <w:t>177</w:t>
            </w:r>
          </w:p>
        </w:tc>
        <w:tc>
          <w:tcPr>
            <w:tcW w:w="1120" w:type="dxa"/>
            <w:vAlign w:val="bottom"/>
          </w:tcPr>
          <w:p>
            <w:pPr>
              <w:jc w:val="right"/>
              <w:ind w:right="29"/>
              <w:spacing w:after="0"/>
              <w:rPr>
                <w:sz w:val="20"/>
                <w:szCs w:val="20"/>
                <w:color w:val="auto"/>
              </w:rPr>
            </w:pPr>
            <w:r>
              <w:rPr>
                <w:rFonts w:ascii="Arial" w:cs="Arial" w:eastAsia="Arial" w:hAnsi="Arial"/>
                <w:sz w:val="14"/>
                <w:szCs w:val="14"/>
                <w:color w:val="auto"/>
              </w:rPr>
              <w:t>170</w:t>
            </w:r>
          </w:p>
        </w:tc>
        <w:tc>
          <w:tcPr>
            <w:tcW w:w="260" w:type="dxa"/>
            <w:vAlign w:val="bottom"/>
          </w:tcPr>
          <w:p>
            <w:pPr>
              <w:spacing w:after="0"/>
              <w:rPr>
                <w:sz w:val="14"/>
                <w:szCs w:val="14"/>
                <w:color w:val="auto"/>
              </w:rPr>
            </w:pPr>
          </w:p>
        </w:tc>
        <w:tc>
          <w:tcPr>
            <w:tcW w:w="520" w:type="dxa"/>
            <w:vAlign w:val="bottom"/>
            <w:shd w:val="clear" w:color="auto" w:fill="D8D8D8"/>
          </w:tcPr>
          <w:p>
            <w:pPr>
              <w:spacing w:after="0"/>
              <w:rPr>
                <w:sz w:val="14"/>
                <w:szCs w:val="14"/>
                <w:color w:val="auto"/>
              </w:rPr>
            </w:pPr>
          </w:p>
        </w:tc>
        <w:tc>
          <w:tcPr>
            <w:tcW w:w="600" w:type="dxa"/>
            <w:vAlign w:val="bottom"/>
            <w:shd w:val="clear" w:color="auto" w:fill="D8D8D8"/>
          </w:tcPr>
          <w:p>
            <w:pPr>
              <w:jc w:val="right"/>
              <w:spacing w:after="0"/>
              <w:rPr>
                <w:sz w:val="20"/>
                <w:szCs w:val="20"/>
                <w:color w:val="auto"/>
              </w:rPr>
            </w:pPr>
            <w:r>
              <w:rPr>
                <w:rFonts w:ascii="Arial" w:cs="Arial" w:eastAsia="Arial" w:hAnsi="Arial"/>
                <w:sz w:val="14"/>
                <w:szCs w:val="14"/>
                <w:color w:val="auto"/>
              </w:rPr>
              <w:t>1</w:t>
            </w:r>
          </w:p>
        </w:tc>
        <w:tc>
          <w:tcPr>
            <w:tcW w:w="1260" w:type="dxa"/>
            <w:vAlign w:val="bottom"/>
          </w:tcPr>
          <w:p>
            <w:pPr>
              <w:jc w:val="right"/>
              <w:ind w:right="69"/>
              <w:spacing w:after="0"/>
              <w:rPr>
                <w:sz w:val="20"/>
                <w:szCs w:val="20"/>
                <w:color w:val="auto"/>
              </w:rPr>
            </w:pPr>
            <w:r>
              <w:rPr>
                <w:rFonts w:ascii="Arial" w:cs="Arial" w:eastAsia="Arial" w:hAnsi="Arial"/>
                <w:sz w:val="14"/>
                <w:szCs w:val="14"/>
                <w:color w:val="auto"/>
              </w:rPr>
              <w:t>7</w:t>
            </w: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shd w:val="clear" w:color="auto" w:fill="D8D8D8"/>
          </w:tcPr>
          <w:p>
            <w:pPr>
              <w:jc w:val="right"/>
              <w:ind w:right="69"/>
              <w:spacing w:after="0"/>
              <w:rPr>
                <w:sz w:val="20"/>
                <w:szCs w:val="20"/>
                <w:color w:val="auto"/>
              </w:rPr>
            </w:pPr>
            <w:r>
              <w:rPr>
                <w:rFonts w:ascii="Arial" w:cs="Arial" w:eastAsia="Arial" w:hAnsi="Arial"/>
                <w:sz w:val="14"/>
                <w:szCs w:val="14"/>
                <w:color w:val="auto"/>
              </w:rPr>
              <w:t>178</w:t>
            </w:r>
          </w:p>
        </w:tc>
        <w:tc>
          <w:tcPr>
            <w:tcW w:w="1260" w:type="dxa"/>
            <w:vAlign w:val="bottom"/>
          </w:tcPr>
          <w:p>
            <w:pPr>
              <w:jc w:val="right"/>
              <w:ind w:right="29"/>
              <w:spacing w:after="0"/>
              <w:rPr>
                <w:sz w:val="20"/>
                <w:szCs w:val="20"/>
                <w:color w:val="auto"/>
              </w:rPr>
            </w:pPr>
            <w:r>
              <w:rPr>
                <w:rFonts w:ascii="Arial" w:cs="Arial" w:eastAsia="Arial" w:hAnsi="Arial"/>
                <w:sz w:val="14"/>
                <w:szCs w:val="14"/>
                <w:color w:val="auto"/>
              </w:rPr>
              <w:t>177</w:t>
            </w:r>
          </w:p>
        </w:tc>
      </w:tr>
      <w:tr>
        <w:trPr>
          <w:trHeight w:val="167"/>
        </w:trPr>
        <w:tc>
          <w:tcPr>
            <w:tcW w:w="4220" w:type="dxa"/>
            <w:vAlign w:val="bottom"/>
          </w:tcPr>
          <w:p>
            <w:pPr>
              <w:spacing w:after="0"/>
              <w:rPr>
                <w:sz w:val="20"/>
                <w:szCs w:val="20"/>
                <w:color w:val="auto"/>
              </w:rPr>
            </w:pPr>
            <w:r>
              <w:rPr>
                <w:rFonts w:ascii="Arial" w:cs="Arial" w:eastAsia="Arial" w:hAnsi="Arial"/>
                <w:sz w:val="14"/>
                <w:szCs w:val="14"/>
                <w:color w:val="auto"/>
              </w:rPr>
              <w:t>Euleen Goh [C]</w:t>
            </w:r>
          </w:p>
        </w:tc>
        <w:tc>
          <w:tcPr>
            <w:tcW w:w="980" w:type="dxa"/>
            <w:vAlign w:val="bottom"/>
            <w:shd w:val="clear" w:color="auto" w:fill="D8D8D8"/>
          </w:tcPr>
          <w:p>
            <w:pPr>
              <w:jc w:val="right"/>
              <w:ind w:right="49"/>
              <w:spacing w:after="0"/>
              <w:rPr>
                <w:sz w:val="20"/>
                <w:szCs w:val="20"/>
                <w:color w:val="auto"/>
              </w:rPr>
            </w:pPr>
            <w:r>
              <w:rPr>
                <w:rFonts w:ascii="Arial" w:cs="Arial" w:eastAsia="Arial" w:hAnsi="Arial"/>
                <w:sz w:val="14"/>
                <w:szCs w:val="14"/>
                <w:color w:val="auto"/>
              </w:rPr>
              <w:t>60</w:t>
            </w:r>
          </w:p>
        </w:tc>
        <w:tc>
          <w:tcPr>
            <w:tcW w:w="1380" w:type="dxa"/>
            <w:vAlign w:val="bottom"/>
            <w:gridSpan w:val="2"/>
          </w:tcPr>
          <w:p>
            <w:pPr>
              <w:jc w:val="right"/>
              <w:ind w:right="360"/>
              <w:spacing w:after="0"/>
              <w:rPr>
                <w:sz w:val="20"/>
                <w:szCs w:val="20"/>
                <w:color w:val="auto"/>
              </w:rPr>
            </w:pPr>
            <w:r>
              <w:rPr>
                <w:rFonts w:ascii="Arial" w:cs="Arial" w:eastAsia="Arial" w:hAnsi="Arial"/>
                <w:sz w:val="14"/>
                <w:szCs w:val="14"/>
                <w:color w:val="auto"/>
              </w:rPr>
              <w:t>–</w:t>
            </w:r>
          </w:p>
        </w:tc>
        <w:tc>
          <w:tcPr>
            <w:tcW w:w="520" w:type="dxa"/>
            <w:vAlign w:val="bottom"/>
            <w:shd w:val="clear" w:color="auto" w:fill="D8D8D8"/>
          </w:tcPr>
          <w:p>
            <w:pPr>
              <w:spacing w:after="0"/>
              <w:rPr>
                <w:sz w:val="14"/>
                <w:szCs w:val="14"/>
                <w:color w:val="auto"/>
              </w:rPr>
            </w:pPr>
          </w:p>
        </w:tc>
        <w:tc>
          <w:tcPr>
            <w:tcW w:w="600" w:type="dxa"/>
            <w:vAlign w:val="bottom"/>
            <w:shd w:val="clear" w:color="auto" w:fill="D8D8D8"/>
          </w:tcPr>
          <w:p>
            <w:pPr>
              <w:jc w:val="right"/>
              <w:spacing w:after="0"/>
              <w:rPr>
                <w:sz w:val="20"/>
                <w:szCs w:val="20"/>
                <w:color w:val="auto"/>
              </w:rPr>
            </w:pPr>
            <w:r>
              <w:rPr>
                <w:rFonts w:ascii="Arial" w:cs="Arial" w:eastAsia="Arial" w:hAnsi="Arial"/>
                <w:sz w:val="14"/>
                <w:szCs w:val="14"/>
                <w:color w:val="auto"/>
              </w:rPr>
              <w:t>–</w:t>
            </w:r>
          </w:p>
        </w:tc>
        <w:tc>
          <w:tcPr>
            <w:tcW w:w="1260" w:type="dxa"/>
            <w:vAlign w:val="bottom"/>
          </w:tcPr>
          <w:p>
            <w:pPr>
              <w:jc w:val="right"/>
              <w:ind w:right="69"/>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shd w:val="clear" w:color="auto" w:fill="D8D8D8"/>
          </w:tcPr>
          <w:p>
            <w:pPr>
              <w:jc w:val="right"/>
              <w:ind w:right="69"/>
              <w:spacing w:after="0"/>
              <w:rPr>
                <w:sz w:val="20"/>
                <w:szCs w:val="20"/>
                <w:color w:val="auto"/>
              </w:rPr>
            </w:pPr>
            <w:r>
              <w:rPr>
                <w:rFonts w:ascii="Arial" w:cs="Arial" w:eastAsia="Arial" w:hAnsi="Arial"/>
                <w:sz w:val="14"/>
                <w:szCs w:val="14"/>
                <w:color w:val="auto"/>
              </w:rPr>
              <w:t>60</w:t>
            </w:r>
          </w:p>
        </w:tc>
        <w:tc>
          <w:tcPr>
            <w:tcW w:w="1260" w:type="dxa"/>
            <w:vAlign w:val="bottom"/>
          </w:tcPr>
          <w:p>
            <w:pPr>
              <w:jc w:val="right"/>
              <w:ind w:right="29"/>
              <w:spacing w:after="0"/>
              <w:rPr>
                <w:sz w:val="20"/>
                <w:szCs w:val="20"/>
                <w:color w:val="auto"/>
              </w:rPr>
            </w:pPr>
            <w:r>
              <w:rPr>
                <w:rFonts w:ascii="Arial" w:cs="Arial" w:eastAsia="Arial" w:hAnsi="Arial"/>
                <w:sz w:val="14"/>
                <w:szCs w:val="14"/>
                <w:color w:val="auto"/>
              </w:rPr>
              <w:t>–</w:t>
            </w:r>
          </w:p>
        </w:tc>
      </w:tr>
      <w:tr>
        <w:trPr>
          <w:trHeight w:val="162"/>
        </w:trPr>
        <w:tc>
          <w:tcPr>
            <w:tcW w:w="4220" w:type="dxa"/>
            <w:vAlign w:val="bottom"/>
          </w:tcPr>
          <w:p>
            <w:pPr>
              <w:spacing w:after="0"/>
              <w:rPr>
                <w:sz w:val="20"/>
                <w:szCs w:val="20"/>
                <w:color w:val="auto"/>
              </w:rPr>
            </w:pPr>
            <w:r>
              <w:rPr>
                <w:rFonts w:ascii="Arial" w:cs="Arial" w:eastAsia="Arial" w:hAnsi="Arial"/>
                <w:sz w:val="14"/>
                <w:szCs w:val="14"/>
                <w:color w:val="auto"/>
              </w:rPr>
              <w:t>Charles O. Holliday</w:t>
            </w:r>
          </w:p>
        </w:tc>
        <w:tc>
          <w:tcPr>
            <w:tcW w:w="980" w:type="dxa"/>
            <w:vAlign w:val="bottom"/>
            <w:shd w:val="clear" w:color="auto" w:fill="D8D8D8"/>
          </w:tcPr>
          <w:p>
            <w:pPr>
              <w:jc w:val="right"/>
              <w:ind w:right="49"/>
              <w:spacing w:after="0"/>
              <w:rPr>
                <w:sz w:val="20"/>
                <w:szCs w:val="20"/>
                <w:color w:val="auto"/>
              </w:rPr>
            </w:pPr>
            <w:r>
              <w:rPr>
                <w:rFonts w:ascii="Arial" w:cs="Arial" w:eastAsia="Arial" w:hAnsi="Arial"/>
                <w:sz w:val="14"/>
                <w:szCs w:val="14"/>
                <w:color w:val="auto"/>
              </w:rPr>
              <w:t>207</w:t>
            </w:r>
          </w:p>
        </w:tc>
        <w:tc>
          <w:tcPr>
            <w:tcW w:w="1120" w:type="dxa"/>
            <w:vAlign w:val="bottom"/>
          </w:tcPr>
          <w:p>
            <w:pPr>
              <w:jc w:val="right"/>
              <w:ind w:right="29"/>
              <w:spacing w:after="0"/>
              <w:rPr>
                <w:sz w:val="20"/>
                <w:szCs w:val="20"/>
                <w:color w:val="auto"/>
              </w:rPr>
            </w:pPr>
            <w:r>
              <w:rPr>
                <w:rFonts w:ascii="Arial" w:cs="Arial" w:eastAsia="Arial" w:hAnsi="Arial"/>
                <w:sz w:val="14"/>
                <w:szCs w:val="14"/>
                <w:color w:val="auto"/>
              </w:rPr>
              <w:t>207</w:t>
            </w:r>
          </w:p>
        </w:tc>
        <w:tc>
          <w:tcPr>
            <w:tcW w:w="260" w:type="dxa"/>
            <w:vAlign w:val="bottom"/>
          </w:tcPr>
          <w:p>
            <w:pPr>
              <w:spacing w:after="0"/>
              <w:rPr>
                <w:sz w:val="14"/>
                <w:szCs w:val="14"/>
                <w:color w:val="auto"/>
              </w:rPr>
            </w:pPr>
          </w:p>
        </w:tc>
        <w:tc>
          <w:tcPr>
            <w:tcW w:w="520" w:type="dxa"/>
            <w:vAlign w:val="bottom"/>
            <w:shd w:val="clear" w:color="auto" w:fill="D8D8D8"/>
          </w:tcPr>
          <w:p>
            <w:pPr>
              <w:spacing w:after="0"/>
              <w:rPr>
                <w:sz w:val="14"/>
                <w:szCs w:val="14"/>
                <w:color w:val="auto"/>
              </w:rPr>
            </w:pPr>
          </w:p>
        </w:tc>
        <w:tc>
          <w:tcPr>
            <w:tcW w:w="600" w:type="dxa"/>
            <w:vAlign w:val="bottom"/>
            <w:shd w:val="clear" w:color="auto" w:fill="D8D8D8"/>
          </w:tcPr>
          <w:p>
            <w:pPr>
              <w:jc w:val="right"/>
              <w:spacing w:after="0"/>
              <w:rPr>
                <w:sz w:val="20"/>
                <w:szCs w:val="20"/>
                <w:color w:val="auto"/>
              </w:rPr>
            </w:pPr>
            <w:r>
              <w:rPr>
                <w:rFonts w:ascii="Arial" w:cs="Arial" w:eastAsia="Arial" w:hAnsi="Arial"/>
                <w:sz w:val="14"/>
                <w:szCs w:val="14"/>
                <w:color w:val="auto"/>
              </w:rPr>
              <w:t>15</w:t>
            </w:r>
          </w:p>
        </w:tc>
        <w:tc>
          <w:tcPr>
            <w:tcW w:w="1260" w:type="dxa"/>
            <w:vAlign w:val="bottom"/>
          </w:tcPr>
          <w:p>
            <w:pPr>
              <w:jc w:val="right"/>
              <w:ind w:right="69"/>
              <w:spacing w:after="0"/>
              <w:rPr>
                <w:sz w:val="20"/>
                <w:szCs w:val="20"/>
                <w:color w:val="auto"/>
              </w:rPr>
            </w:pPr>
            <w:r>
              <w:rPr>
                <w:rFonts w:ascii="Arial" w:cs="Arial" w:eastAsia="Arial" w:hAnsi="Arial"/>
                <w:sz w:val="14"/>
                <w:szCs w:val="14"/>
                <w:color w:val="auto"/>
              </w:rPr>
              <w:t>19</w:t>
            </w: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shd w:val="clear" w:color="auto" w:fill="D8D8D8"/>
          </w:tcPr>
          <w:p>
            <w:pPr>
              <w:jc w:val="right"/>
              <w:ind w:right="69"/>
              <w:spacing w:after="0"/>
              <w:rPr>
                <w:sz w:val="20"/>
                <w:szCs w:val="20"/>
                <w:color w:val="auto"/>
              </w:rPr>
            </w:pPr>
            <w:r>
              <w:rPr>
                <w:rFonts w:ascii="Arial" w:cs="Arial" w:eastAsia="Arial" w:hAnsi="Arial"/>
                <w:sz w:val="14"/>
                <w:szCs w:val="14"/>
                <w:color w:val="auto"/>
              </w:rPr>
              <w:t>222</w:t>
            </w:r>
          </w:p>
        </w:tc>
        <w:tc>
          <w:tcPr>
            <w:tcW w:w="1260" w:type="dxa"/>
            <w:vAlign w:val="bottom"/>
          </w:tcPr>
          <w:p>
            <w:pPr>
              <w:jc w:val="right"/>
              <w:ind w:right="29"/>
              <w:spacing w:after="0"/>
              <w:rPr>
                <w:sz w:val="20"/>
                <w:szCs w:val="20"/>
                <w:color w:val="auto"/>
              </w:rPr>
            </w:pPr>
            <w:r>
              <w:rPr>
                <w:rFonts w:ascii="Arial" w:cs="Arial" w:eastAsia="Arial" w:hAnsi="Arial"/>
                <w:sz w:val="14"/>
                <w:szCs w:val="14"/>
                <w:color w:val="auto"/>
              </w:rPr>
              <w:t>226</w:t>
            </w:r>
          </w:p>
        </w:tc>
      </w:tr>
      <w:tr>
        <w:trPr>
          <w:trHeight w:val="162"/>
        </w:trPr>
        <w:tc>
          <w:tcPr>
            <w:tcW w:w="4220" w:type="dxa"/>
            <w:vAlign w:val="bottom"/>
          </w:tcPr>
          <w:p>
            <w:pPr>
              <w:spacing w:after="0"/>
              <w:rPr>
                <w:sz w:val="20"/>
                <w:szCs w:val="20"/>
                <w:color w:val="auto"/>
              </w:rPr>
            </w:pPr>
            <w:r>
              <w:rPr>
                <w:rFonts w:ascii="Arial" w:cs="Arial" w:eastAsia="Arial" w:hAnsi="Arial"/>
                <w:sz w:val="14"/>
                <w:szCs w:val="14"/>
                <w:color w:val="auto"/>
              </w:rPr>
              <w:t>Gerard Kleisterlee</w:t>
            </w:r>
          </w:p>
        </w:tc>
        <w:tc>
          <w:tcPr>
            <w:tcW w:w="980" w:type="dxa"/>
            <w:vAlign w:val="bottom"/>
            <w:shd w:val="clear" w:color="auto" w:fill="D8D8D8"/>
          </w:tcPr>
          <w:p>
            <w:pPr>
              <w:jc w:val="right"/>
              <w:ind w:right="49"/>
              <w:spacing w:after="0"/>
              <w:rPr>
                <w:sz w:val="20"/>
                <w:szCs w:val="20"/>
                <w:color w:val="auto"/>
              </w:rPr>
            </w:pPr>
            <w:r>
              <w:rPr>
                <w:rFonts w:ascii="Arial" w:cs="Arial" w:eastAsia="Arial" w:hAnsi="Arial"/>
                <w:sz w:val="14"/>
                <w:szCs w:val="14"/>
                <w:color w:val="auto"/>
              </w:rPr>
              <w:t>171</w:t>
            </w:r>
          </w:p>
        </w:tc>
        <w:tc>
          <w:tcPr>
            <w:tcW w:w="1120" w:type="dxa"/>
            <w:vAlign w:val="bottom"/>
          </w:tcPr>
          <w:p>
            <w:pPr>
              <w:jc w:val="right"/>
              <w:ind w:right="29"/>
              <w:spacing w:after="0"/>
              <w:rPr>
                <w:sz w:val="20"/>
                <w:szCs w:val="20"/>
                <w:color w:val="auto"/>
              </w:rPr>
            </w:pPr>
            <w:r>
              <w:rPr>
                <w:rFonts w:ascii="Arial" w:cs="Arial" w:eastAsia="Arial" w:hAnsi="Arial"/>
                <w:sz w:val="14"/>
                <w:szCs w:val="14"/>
                <w:color w:val="auto"/>
              </w:rPr>
              <w:t>150</w:t>
            </w:r>
          </w:p>
        </w:tc>
        <w:tc>
          <w:tcPr>
            <w:tcW w:w="260" w:type="dxa"/>
            <w:vAlign w:val="bottom"/>
          </w:tcPr>
          <w:p>
            <w:pPr>
              <w:spacing w:after="0"/>
              <w:rPr>
                <w:sz w:val="14"/>
                <w:szCs w:val="14"/>
                <w:color w:val="auto"/>
              </w:rPr>
            </w:pPr>
          </w:p>
        </w:tc>
        <w:tc>
          <w:tcPr>
            <w:tcW w:w="520" w:type="dxa"/>
            <w:vAlign w:val="bottom"/>
            <w:shd w:val="clear" w:color="auto" w:fill="D8D8D8"/>
          </w:tcPr>
          <w:p>
            <w:pPr>
              <w:spacing w:after="0"/>
              <w:rPr>
                <w:sz w:val="14"/>
                <w:szCs w:val="14"/>
                <w:color w:val="auto"/>
              </w:rPr>
            </w:pPr>
          </w:p>
        </w:tc>
        <w:tc>
          <w:tcPr>
            <w:tcW w:w="600" w:type="dxa"/>
            <w:vAlign w:val="bottom"/>
            <w:shd w:val="clear" w:color="auto" w:fill="D8D8D8"/>
          </w:tcPr>
          <w:p>
            <w:pPr>
              <w:jc w:val="right"/>
              <w:spacing w:after="0"/>
              <w:rPr>
                <w:sz w:val="20"/>
                <w:szCs w:val="20"/>
                <w:color w:val="auto"/>
              </w:rPr>
            </w:pPr>
            <w:r>
              <w:rPr>
                <w:rFonts w:ascii="Arial" w:cs="Arial" w:eastAsia="Arial" w:hAnsi="Arial"/>
                <w:sz w:val="14"/>
                <w:szCs w:val="14"/>
                <w:color w:val="auto"/>
              </w:rPr>
              <w:t>–</w:t>
            </w:r>
          </w:p>
        </w:tc>
        <w:tc>
          <w:tcPr>
            <w:tcW w:w="1260" w:type="dxa"/>
            <w:vAlign w:val="bottom"/>
          </w:tcPr>
          <w:p>
            <w:pPr>
              <w:jc w:val="right"/>
              <w:ind w:right="69"/>
              <w:spacing w:after="0"/>
              <w:rPr>
                <w:sz w:val="20"/>
                <w:szCs w:val="20"/>
                <w:color w:val="auto"/>
              </w:rPr>
            </w:pPr>
            <w:r>
              <w:rPr>
                <w:rFonts w:ascii="Arial" w:cs="Arial" w:eastAsia="Arial" w:hAnsi="Arial"/>
                <w:sz w:val="14"/>
                <w:szCs w:val="14"/>
                <w:color w:val="auto"/>
              </w:rPr>
              <w:t>2</w:t>
            </w: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shd w:val="clear" w:color="auto" w:fill="D8D8D8"/>
          </w:tcPr>
          <w:p>
            <w:pPr>
              <w:jc w:val="right"/>
              <w:ind w:right="69"/>
              <w:spacing w:after="0"/>
              <w:rPr>
                <w:sz w:val="20"/>
                <w:szCs w:val="20"/>
                <w:color w:val="auto"/>
              </w:rPr>
            </w:pPr>
            <w:r>
              <w:rPr>
                <w:rFonts w:ascii="Arial" w:cs="Arial" w:eastAsia="Arial" w:hAnsi="Arial"/>
                <w:sz w:val="14"/>
                <w:szCs w:val="14"/>
                <w:color w:val="auto"/>
              </w:rPr>
              <w:t>171</w:t>
            </w:r>
          </w:p>
        </w:tc>
        <w:tc>
          <w:tcPr>
            <w:tcW w:w="1260" w:type="dxa"/>
            <w:vAlign w:val="bottom"/>
          </w:tcPr>
          <w:p>
            <w:pPr>
              <w:jc w:val="right"/>
              <w:ind w:right="29"/>
              <w:spacing w:after="0"/>
              <w:rPr>
                <w:sz w:val="20"/>
                <w:szCs w:val="20"/>
                <w:color w:val="auto"/>
              </w:rPr>
            </w:pPr>
            <w:r>
              <w:rPr>
                <w:rFonts w:ascii="Arial" w:cs="Arial" w:eastAsia="Arial" w:hAnsi="Arial"/>
                <w:sz w:val="14"/>
                <w:szCs w:val="14"/>
                <w:color w:val="auto"/>
              </w:rPr>
              <w:t>152</w:t>
            </w:r>
          </w:p>
        </w:tc>
      </w:tr>
      <w:tr>
        <w:trPr>
          <w:trHeight w:val="162"/>
        </w:trPr>
        <w:tc>
          <w:tcPr>
            <w:tcW w:w="4220" w:type="dxa"/>
            <w:vAlign w:val="bottom"/>
          </w:tcPr>
          <w:p>
            <w:pPr>
              <w:spacing w:after="0"/>
              <w:rPr>
                <w:sz w:val="20"/>
                <w:szCs w:val="20"/>
                <w:color w:val="auto"/>
              </w:rPr>
            </w:pPr>
            <w:r>
              <w:rPr>
                <w:rFonts w:ascii="Arial" w:cs="Arial" w:eastAsia="Arial" w:hAnsi="Arial"/>
                <w:sz w:val="14"/>
                <w:szCs w:val="14"/>
                <w:color w:val="auto"/>
              </w:rPr>
              <w:t>Jorma Ollila [D]</w:t>
            </w:r>
          </w:p>
        </w:tc>
        <w:tc>
          <w:tcPr>
            <w:tcW w:w="980" w:type="dxa"/>
            <w:vAlign w:val="bottom"/>
            <w:shd w:val="clear" w:color="auto" w:fill="D8D8D8"/>
          </w:tcPr>
          <w:p>
            <w:pPr>
              <w:jc w:val="right"/>
              <w:ind w:right="49"/>
              <w:spacing w:after="0"/>
              <w:rPr>
                <w:sz w:val="20"/>
                <w:szCs w:val="20"/>
                <w:color w:val="auto"/>
              </w:rPr>
            </w:pPr>
            <w:r>
              <w:rPr>
                <w:rFonts w:ascii="Arial" w:cs="Arial" w:eastAsia="Arial" w:hAnsi="Arial"/>
                <w:sz w:val="14"/>
                <w:szCs w:val="14"/>
                <w:color w:val="auto"/>
              </w:rPr>
              <w:t>825</w:t>
            </w:r>
          </w:p>
        </w:tc>
        <w:tc>
          <w:tcPr>
            <w:tcW w:w="1120" w:type="dxa"/>
            <w:vAlign w:val="bottom"/>
          </w:tcPr>
          <w:p>
            <w:pPr>
              <w:jc w:val="right"/>
              <w:ind w:right="29"/>
              <w:spacing w:after="0"/>
              <w:rPr>
                <w:sz w:val="20"/>
                <w:szCs w:val="20"/>
                <w:color w:val="auto"/>
              </w:rPr>
            </w:pPr>
            <w:r>
              <w:rPr>
                <w:rFonts w:ascii="Arial" w:cs="Arial" w:eastAsia="Arial" w:hAnsi="Arial"/>
                <w:sz w:val="14"/>
                <w:szCs w:val="14"/>
                <w:color w:val="auto"/>
              </w:rPr>
              <w:t>825</w:t>
            </w:r>
          </w:p>
        </w:tc>
        <w:tc>
          <w:tcPr>
            <w:tcW w:w="260" w:type="dxa"/>
            <w:vAlign w:val="bottom"/>
          </w:tcPr>
          <w:p>
            <w:pPr>
              <w:spacing w:after="0"/>
              <w:rPr>
                <w:sz w:val="14"/>
                <w:szCs w:val="14"/>
                <w:color w:val="auto"/>
              </w:rPr>
            </w:pPr>
          </w:p>
        </w:tc>
        <w:tc>
          <w:tcPr>
            <w:tcW w:w="520" w:type="dxa"/>
            <w:vAlign w:val="bottom"/>
            <w:shd w:val="clear" w:color="auto" w:fill="D8D8D8"/>
          </w:tcPr>
          <w:p>
            <w:pPr>
              <w:spacing w:after="0"/>
              <w:rPr>
                <w:sz w:val="14"/>
                <w:szCs w:val="14"/>
                <w:color w:val="auto"/>
              </w:rPr>
            </w:pPr>
          </w:p>
        </w:tc>
        <w:tc>
          <w:tcPr>
            <w:tcW w:w="600" w:type="dxa"/>
            <w:vAlign w:val="bottom"/>
            <w:shd w:val="clear" w:color="auto" w:fill="D8D8D8"/>
          </w:tcPr>
          <w:p>
            <w:pPr>
              <w:jc w:val="right"/>
              <w:spacing w:after="0"/>
              <w:rPr>
                <w:sz w:val="20"/>
                <w:szCs w:val="20"/>
                <w:color w:val="auto"/>
              </w:rPr>
            </w:pPr>
            <w:r>
              <w:rPr>
                <w:rFonts w:ascii="Arial" w:cs="Arial" w:eastAsia="Arial" w:hAnsi="Arial"/>
                <w:sz w:val="14"/>
                <w:szCs w:val="14"/>
                <w:color w:val="auto"/>
              </w:rPr>
              <w:t>133</w:t>
            </w:r>
          </w:p>
        </w:tc>
        <w:tc>
          <w:tcPr>
            <w:tcW w:w="1260" w:type="dxa"/>
            <w:vAlign w:val="bottom"/>
          </w:tcPr>
          <w:p>
            <w:pPr>
              <w:jc w:val="right"/>
              <w:ind w:right="69"/>
              <w:spacing w:after="0"/>
              <w:rPr>
                <w:sz w:val="20"/>
                <w:szCs w:val="20"/>
                <w:color w:val="auto"/>
              </w:rPr>
            </w:pPr>
            <w:r>
              <w:rPr>
                <w:rFonts w:ascii="Arial" w:cs="Arial" w:eastAsia="Arial" w:hAnsi="Arial"/>
                <w:sz w:val="14"/>
                <w:szCs w:val="14"/>
                <w:color w:val="auto"/>
              </w:rPr>
              <w:t>114</w:t>
            </w: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shd w:val="clear" w:color="auto" w:fill="D8D8D8"/>
          </w:tcPr>
          <w:p>
            <w:pPr>
              <w:jc w:val="right"/>
              <w:ind w:right="69"/>
              <w:spacing w:after="0"/>
              <w:rPr>
                <w:sz w:val="20"/>
                <w:szCs w:val="20"/>
                <w:color w:val="auto"/>
              </w:rPr>
            </w:pPr>
            <w:r>
              <w:rPr>
                <w:rFonts w:ascii="Arial" w:cs="Arial" w:eastAsia="Arial" w:hAnsi="Arial"/>
                <w:sz w:val="14"/>
                <w:szCs w:val="14"/>
                <w:color w:val="auto"/>
              </w:rPr>
              <w:t>958</w:t>
            </w:r>
          </w:p>
        </w:tc>
        <w:tc>
          <w:tcPr>
            <w:tcW w:w="1260" w:type="dxa"/>
            <w:vAlign w:val="bottom"/>
          </w:tcPr>
          <w:p>
            <w:pPr>
              <w:jc w:val="right"/>
              <w:ind w:right="29"/>
              <w:spacing w:after="0"/>
              <w:rPr>
                <w:sz w:val="20"/>
                <w:szCs w:val="20"/>
                <w:color w:val="auto"/>
              </w:rPr>
            </w:pPr>
            <w:r>
              <w:rPr>
                <w:rFonts w:ascii="Arial" w:cs="Arial" w:eastAsia="Arial" w:hAnsi="Arial"/>
                <w:sz w:val="14"/>
                <w:szCs w:val="14"/>
                <w:color w:val="auto"/>
              </w:rPr>
              <w:t>939</w:t>
            </w:r>
          </w:p>
        </w:tc>
      </w:tr>
      <w:tr>
        <w:trPr>
          <w:trHeight w:val="162"/>
        </w:trPr>
        <w:tc>
          <w:tcPr>
            <w:tcW w:w="4220" w:type="dxa"/>
            <w:vAlign w:val="bottom"/>
          </w:tcPr>
          <w:p>
            <w:pPr>
              <w:spacing w:after="0"/>
              <w:rPr>
                <w:sz w:val="20"/>
                <w:szCs w:val="20"/>
                <w:color w:val="auto"/>
              </w:rPr>
            </w:pPr>
            <w:r>
              <w:rPr>
                <w:rFonts w:ascii="Arial" w:cs="Arial" w:eastAsia="Arial" w:hAnsi="Arial"/>
                <w:sz w:val="14"/>
                <w:szCs w:val="14"/>
                <w:color w:val="auto"/>
              </w:rPr>
              <w:t>Sir Nigel Sheinwald</w:t>
            </w:r>
          </w:p>
        </w:tc>
        <w:tc>
          <w:tcPr>
            <w:tcW w:w="980" w:type="dxa"/>
            <w:vAlign w:val="bottom"/>
            <w:shd w:val="clear" w:color="auto" w:fill="D8D8D8"/>
          </w:tcPr>
          <w:p>
            <w:pPr>
              <w:jc w:val="right"/>
              <w:ind w:right="49"/>
              <w:spacing w:after="0"/>
              <w:rPr>
                <w:sz w:val="20"/>
                <w:szCs w:val="20"/>
                <w:color w:val="auto"/>
              </w:rPr>
            </w:pPr>
            <w:r>
              <w:rPr>
                <w:rFonts w:ascii="Arial" w:cs="Arial" w:eastAsia="Arial" w:hAnsi="Arial"/>
                <w:sz w:val="14"/>
                <w:szCs w:val="14"/>
                <w:color w:val="auto"/>
              </w:rPr>
              <w:t>142</w:t>
            </w:r>
          </w:p>
        </w:tc>
        <w:tc>
          <w:tcPr>
            <w:tcW w:w="1120" w:type="dxa"/>
            <w:vAlign w:val="bottom"/>
          </w:tcPr>
          <w:p>
            <w:pPr>
              <w:jc w:val="right"/>
              <w:ind w:right="29"/>
              <w:spacing w:after="0"/>
              <w:rPr>
                <w:sz w:val="20"/>
                <w:szCs w:val="20"/>
                <w:color w:val="auto"/>
              </w:rPr>
            </w:pPr>
            <w:r>
              <w:rPr>
                <w:rFonts w:ascii="Arial" w:cs="Arial" w:eastAsia="Arial" w:hAnsi="Arial"/>
                <w:sz w:val="14"/>
                <w:szCs w:val="14"/>
                <w:color w:val="auto"/>
              </w:rPr>
              <w:t>142</w:t>
            </w:r>
          </w:p>
        </w:tc>
        <w:tc>
          <w:tcPr>
            <w:tcW w:w="260" w:type="dxa"/>
            <w:vAlign w:val="bottom"/>
          </w:tcPr>
          <w:p>
            <w:pPr>
              <w:spacing w:after="0"/>
              <w:rPr>
                <w:sz w:val="14"/>
                <w:szCs w:val="14"/>
                <w:color w:val="auto"/>
              </w:rPr>
            </w:pPr>
          </w:p>
        </w:tc>
        <w:tc>
          <w:tcPr>
            <w:tcW w:w="520" w:type="dxa"/>
            <w:vAlign w:val="bottom"/>
            <w:shd w:val="clear" w:color="auto" w:fill="D8D8D8"/>
          </w:tcPr>
          <w:p>
            <w:pPr>
              <w:spacing w:after="0"/>
              <w:rPr>
                <w:sz w:val="14"/>
                <w:szCs w:val="14"/>
                <w:color w:val="auto"/>
              </w:rPr>
            </w:pPr>
          </w:p>
        </w:tc>
        <w:tc>
          <w:tcPr>
            <w:tcW w:w="600" w:type="dxa"/>
            <w:vAlign w:val="bottom"/>
            <w:shd w:val="clear" w:color="auto" w:fill="D8D8D8"/>
          </w:tcPr>
          <w:p>
            <w:pPr>
              <w:jc w:val="right"/>
              <w:spacing w:after="0"/>
              <w:rPr>
                <w:sz w:val="20"/>
                <w:szCs w:val="20"/>
                <w:color w:val="auto"/>
              </w:rPr>
            </w:pPr>
            <w:r>
              <w:rPr>
                <w:rFonts w:ascii="Arial" w:cs="Arial" w:eastAsia="Arial" w:hAnsi="Arial"/>
                <w:sz w:val="14"/>
                <w:szCs w:val="14"/>
                <w:color w:val="auto"/>
              </w:rPr>
              <w:t>–</w:t>
            </w:r>
          </w:p>
        </w:tc>
        <w:tc>
          <w:tcPr>
            <w:tcW w:w="1260" w:type="dxa"/>
            <w:vAlign w:val="bottom"/>
          </w:tcPr>
          <w:p>
            <w:pPr>
              <w:jc w:val="right"/>
              <w:ind w:right="69"/>
              <w:spacing w:after="0"/>
              <w:rPr>
                <w:sz w:val="20"/>
                <w:szCs w:val="20"/>
                <w:color w:val="auto"/>
              </w:rPr>
            </w:pPr>
            <w:r>
              <w:rPr>
                <w:rFonts w:ascii="Arial" w:cs="Arial" w:eastAsia="Arial" w:hAnsi="Arial"/>
                <w:sz w:val="14"/>
                <w:szCs w:val="14"/>
                <w:color w:val="auto"/>
              </w:rPr>
              <w:t>8</w:t>
            </w: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shd w:val="clear" w:color="auto" w:fill="D8D8D8"/>
          </w:tcPr>
          <w:p>
            <w:pPr>
              <w:jc w:val="right"/>
              <w:ind w:right="69"/>
              <w:spacing w:after="0"/>
              <w:rPr>
                <w:sz w:val="20"/>
                <w:szCs w:val="20"/>
                <w:color w:val="auto"/>
              </w:rPr>
            </w:pPr>
            <w:r>
              <w:rPr>
                <w:rFonts w:ascii="Arial" w:cs="Arial" w:eastAsia="Arial" w:hAnsi="Arial"/>
                <w:sz w:val="14"/>
                <w:szCs w:val="14"/>
                <w:color w:val="auto"/>
              </w:rPr>
              <w:t>142</w:t>
            </w:r>
          </w:p>
        </w:tc>
        <w:tc>
          <w:tcPr>
            <w:tcW w:w="1260" w:type="dxa"/>
            <w:vAlign w:val="bottom"/>
          </w:tcPr>
          <w:p>
            <w:pPr>
              <w:jc w:val="right"/>
              <w:ind w:right="29"/>
              <w:spacing w:after="0"/>
              <w:rPr>
                <w:sz w:val="20"/>
                <w:szCs w:val="20"/>
                <w:color w:val="auto"/>
              </w:rPr>
            </w:pPr>
            <w:r>
              <w:rPr>
                <w:rFonts w:ascii="Arial" w:cs="Arial" w:eastAsia="Arial" w:hAnsi="Arial"/>
                <w:sz w:val="14"/>
                <w:szCs w:val="14"/>
                <w:color w:val="auto"/>
              </w:rPr>
              <w:t>150</w:t>
            </w:r>
          </w:p>
        </w:tc>
      </w:tr>
      <w:tr>
        <w:trPr>
          <w:trHeight w:val="162"/>
        </w:trPr>
        <w:tc>
          <w:tcPr>
            <w:tcW w:w="4220" w:type="dxa"/>
            <w:vAlign w:val="bottom"/>
          </w:tcPr>
          <w:p>
            <w:pPr>
              <w:spacing w:after="0"/>
              <w:rPr>
                <w:sz w:val="20"/>
                <w:szCs w:val="20"/>
                <w:color w:val="auto"/>
              </w:rPr>
            </w:pPr>
            <w:r>
              <w:rPr>
                <w:rFonts w:ascii="Arial" w:cs="Arial" w:eastAsia="Arial" w:hAnsi="Arial"/>
                <w:sz w:val="14"/>
                <w:szCs w:val="14"/>
                <w:color w:val="auto"/>
              </w:rPr>
              <w:t>Linda G. Stuntz</w:t>
            </w:r>
          </w:p>
        </w:tc>
        <w:tc>
          <w:tcPr>
            <w:tcW w:w="980" w:type="dxa"/>
            <w:vAlign w:val="bottom"/>
            <w:shd w:val="clear" w:color="auto" w:fill="D8D8D8"/>
          </w:tcPr>
          <w:p>
            <w:pPr>
              <w:jc w:val="right"/>
              <w:ind w:right="49"/>
              <w:spacing w:after="0"/>
              <w:rPr>
                <w:sz w:val="20"/>
                <w:szCs w:val="20"/>
                <w:color w:val="auto"/>
              </w:rPr>
            </w:pPr>
            <w:r>
              <w:rPr>
                <w:rFonts w:ascii="Arial" w:cs="Arial" w:eastAsia="Arial" w:hAnsi="Arial"/>
                <w:sz w:val="14"/>
                <w:szCs w:val="14"/>
                <w:color w:val="auto"/>
              </w:rPr>
              <w:t>180</w:t>
            </w:r>
          </w:p>
        </w:tc>
        <w:tc>
          <w:tcPr>
            <w:tcW w:w="1120" w:type="dxa"/>
            <w:vAlign w:val="bottom"/>
          </w:tcPr>
          <w:p>
            <w:pPr>
              <w:jc w:val="right"/>
              <w:ind w:right="29"/>
              <w:spacing w:after="0"/>
              <w:rPr>
                <w:sz w:val="20"/>
                <w:szCs w:val="20"/>
                <w:color w:val="auto"/>
              </w:rPr>
            </w:pPr>
            <w:r>
              <w:rPr>
                <w:rFonts w:ascii="Arial" w:cs="Arial" w:eastAsia="Arial" w:hAnsi="Arial"/>
                <w:sz w:val="14"/>
                <w:szCs w:val="14"/>
                <w:color w:val="auto"/>
              </w:rPr>
              <w:t>180</w:t>
            </w:r>
          </w:p>
        </w:tc>
        <w:tc>
          <w:tcPr>
            <w:tcW w:w="260" w:type="dxa"/>
            <w:vAlign w:val="bottom"/>
          </w:tcPr>
          <w:p>
            <w:pPr>
              <w:spacing w:after="0"/>
              <w:rPr>
                <w:sz w:val="14"/>
                <w:szCs w:val="14"/>
                <w:color w:val="auto"/>
              </w:rPr>
            </w:pPr>
          </w:p>
        </w:tc>
        <w:tc>
          <w:tcPr>
            <w:tcW w:w="520" w:type="dxa"/>
            <w:vAlign w:val="bottom"/>
            <w:shd w:val="clear" w:color="auto" w:fill="D8D8D8"/>
          </w:tcPr>
          <w:p>
            <w:pPr>
              <w:spacing w:after="0"/>
              <w:rPr>
                <w:sz w:val="14"/>
                <w:szCs w:val="14"/>
                <w:color w:val="auto"/>
              </w:rPr>
            </w:pPr>
          </w:p>
        </w:tc>
        <w:tc>
          <w:tcPr>
            <w:tcW w:w="600" w:type="dxa"/>
            <w:vAlign w:val="bottom"/>
            <w:shd w:val="clear" w:color="auto" w:fill="D8D8D8"/>
          </w:tcPr>
          <w:p>
            <w:pPr>
              <w:jc w:val="right"/>
              <w:spacing w:after="0"/>
              <w:rPr>
                <w:sz w:val="20"/>
                <w:szCs w:val="20"/>
                <w:color w:val="auto"/>
              </w:rPr>
            </w:pPr>
            <w:r>
              <w:rPr>
                <w:rFonts w:ascii="Arial" w:cs="Arial" w:eastAsia="Arial" w:hAnsi="Arial"/>
                <w:sz w:val="14"/>
                <w:szCs w:val="14"/>
                <w:color w:val="auto"/>
              </w:rPr>
              <w:t>–</w:t>
            </w:r>
          </w:p>
        </w:tc>
        <w:tc>
          <w:tcPr>
            <w:tcW w:w="1260" w:type="dxa"/>
            <w:vAlign w:val="bottom"/>
          </w:tcPr>
          <w:p>
            <w:pPr>
              <w:jc w:val="right"/>
              <w:ind w:right="69"/>
              <w:spacing w:after="0"/>
              <w:rPr>
                <w:sz w:val="20"/>
                <w:szCs w:val="20"/>
                <w:color w:val="auto"/>
              </w:rPr>
            </w:pPr>
            <w:r>
              <w:rPr>
                <w:rFonts w:ascii="Arial" w:cs="Arial" w:eastAsia="Arial" w:hAnsi="Arial"/>
                <w:sz w:val="14"/>
                <w:szCs w:val="14"/>
                <w:color w:val="auto"/>
              </w:rPr>
              <w:t>19</w:t>
            </w: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shd w:val="clear" w:color="auto" w:fill="D8D8D8"/>
          </w:tcPr>
          <w:p>
            <w:pPr>
              <w:jc w:val="right"/>
              <w:ind w:right="69"/>
              <w:spacing w:after="0"/>
              <w:rPr>
                <w:sz w:val="20"/>
                <w:szCs w:val="20"/>
                <w:color w:val="auto"/>
              </w:rPr>
            </w:pPr>
            <w:r>
              <w:rPr>
                <w:rFonts w:ascii="Arial" w:cs="Arial" w:eastAsia="Arial" w:hAnsi="Arial"/>
                <w:sz w:val="14"/>
                <w:szCs w:val="14"/>
                <w:color w:val="auto"/>
              </w:rPr>
              <w:t>180</w:t>
            </w:r>
          </w:p>
        </w:tc>
        <w:tc>
          <w:tcPr>
            <w:tcW w:w="1260" w:type="dxa"/>
            <w:vAlign w:val="bottom"/>
          </w:tcPr>
          <w:p>
            <w:pPr>
              <w:jc w:val="right"/>
              <w:ind w:right="29"/>
              <w:spacing w:after="0"/>
              <w:rPr>
                <w:sz w:val="20"/>
                <w:szCs w:val="20"/>
                <w:color w:val="auto"/>
              </w:rPr>
            </w:pPr>
            <w:r>
              <w:rPr>
                <w:rFonts w:ascii="Arial" w:cs="Arial" w:eastAsia="Arial" w:hAnsi="Arial"/>
                <w:sz w:val="14"/>
                <w:szCs w:val="14"/>
                <w:color w:val="auto"/>
              </w:rPr>
              <w:t>199</w:t>
            </w:r>
          </w:p>
        </w:tc>
      </w:tr>
      <w:tr>
        <w:trPr>
          <w:trHeight w:val="176"/>
        </w:trPr>
        <w:tc>
          <w:tcPr>
            <w:tcW w:w="4220" w:type="dxa"/>
            <w:vAlign w:val="bottom"/>
          </w:tcPr>
          <w:p>
            <w:pPr>
              <w:spacing w:after="0"/>
              <w:rPr>
                <w:sz w:val="20"/>
                <w:szCs w:val="20"/>
                <w:color w:val="auto"/>
              </w:rPr>
            </w:pPr>
            <w:r>
              <w:rPr>
                <w:rFonts w:ascii="Arial" w:cs="Arial" w:eastAsia="Arial" w:hAnsi="Arial"/>
                <w:sz w:val="14"/>
                <w:szCs w:val="14"/>
                <w:color w:val="auto"/>
              </w:rPr>
              <w:t>Hans Wijers</w:t>
            </w:r>
          </w:p>
        </w:tc>
        <w:tc>
          <w:tcPr>
            <w:tcW w:w="980" w:type="dxa"/>
            <w:vAlign w:val="bottom"/>
            <w:shd w:val="clear" w:color="auto" w:fill="D8D8D8"/>
          </w:tcPr>
          <w:p>
            <w:pPr>
              <w:jc w:val="right"/>
              <w:ind w:right="49"/>
              <w:spacing w:after="0"/>
              <w:rPr>
                <w:sz w:val="20"/>
                <w:szCs w:val="20"/>
                <w:color w:val="auto"/>
              </w:rPr>
            </w:pPr>
            <w:r>
              <w:rPr>
                <w:rFonts w:ascii="Arial" w:cs="Arial" w:eastAsia="Arial" w:hAnsi="Arial"/>
                <w:sz w:val="14"/>
                <w:szCs w:val="14"/>
                <w:color w:val="auto"/>
              </w:rPr>
              <w:t>206</w:t>
            </w:r>
          </w:p>
        </w:tc>
        <w:tc>
          <w:tcPr>
            <w:tcW w:w="1120" w:type="dxa"/>
            <w:vAlign w:val="bottom"/>
          </w:tcPr>
          <w:p>
            <w:pPr>
              <w:jc w:val="right"/>
              <w:ind w:right="29"/>
              <w:spacing w:after="0"/>
              <w:rPr>
                <w:sz w:val="20"/>
                <w:szCs w:val="20"/>
                <w:color w:val="auto"/>
              </w:rPr>
            </w:pPr>
            <w:r>
              <w:rPr>
                <w:rFonts w:ascii="Arial" w:cs="Arial" w:eastAsia="Arial" w:hAnsi="Arial"/>
                <w:sz w:val="14"/>
                <w:szCs w:val="14"/>
                <w:color w:val="auto"/>
              </w:rPr>
              <w:t>227</w:t>
            </w:r>
          </w:p>
        </w:tc>
        <w:tc>
          <w:tcPr>
            <w:tcW w:w="260" w:type="dxa"/>
            <w:vAlign w:val="bottom"/>
          </w:tcPr>
          <w:p>
            <w:pPr>
              <w:spacing w:after="0"/>
              <w:rPr>
                <w:sz w:val="15"/>
                <w:szCs w:val="15"/>
                <w:color w:val="auto"/>
              </w:rPr>
            </w:pPr>
          </w:p>
        </w:tc>
        <w:tc>
          <w:tcPr>
            <w:tcW w:w="520" w:type="dxa"/>
            <w:vAlign w:val="bottom"/>
            <w:shd w:val="clear" w:color="auto" w:fill="D8D8D8"/>
          </w:tcPr>
          <w:p>
            <w:pPr>
              <w:spacing w:after="0"/>
              <w:rPr>
                <w:sz w:val="15"/>
                <w:szCs w:val="15"/>
                <w:color w:val="auto"/>
              </w:rPr>
            </w:pPr>
          </w:p>
        </w:tc>
        <w:tc>
          <w:tcPr>
            <w:tcW w:w="600" w:type="dxa"/>
            <w:vAlign w:val="bottom"/>
            <w:shd w:val="clear" w:color="auto" w:fill="D8D8D8"/>
          </w:tcPr>
          <w:p>
            <w:pPr>
              <w:jc w:val="right"/>
              <w:spacing w:after="0"/>
              <w:rPr>
                <w:sz w:val="20"/>
                <w:szCs w:val="20"/>
                <w:color w:val="auto"/>
              </w:rPr>
            </w:pPr>
            <w:r>
              <w:rPr>
                <w:rFonts w:ascii="Arial" w:cs="Arial" w:eastAsia="Arial" w:hAnsi="Arial"/>
                <w:sz w:val="14"/>
                <w:szCs w:val="14"/>
                <w:color w:val="auto"/>
              </w:rPr>
              <w:t>–</w:t>
            </w:r>
          </w:p>
        </w:tc>
        <w:tc>
          <w:tcPr>
            <w:tcW w:w="1260" w:type="dxa"/>
            <w:vAlign w:val="bottom"/>
          </w:tcPr>
          <w:p>
            <w:pPr>
              <w:jc w:val="right"/>
              <w:ind w:right="69"/>
              <w:spacing w:after="0"/>
              <w:rPr>
                <w:sz w:val="20"/>
                <w:szCs w:val="20"/>
                <w:color w:val="auto"/>
              </w:rPr>
            </w:pPr>
            <w:r>
              <w:rPr>
                <w:rFonts w:ascii="Arial" w:cs="Arial" w:eastAsia="Arial" w:hAnsi="Arial"/>
                <w:sz w:val="14"/>
                <w:szCs w:val="14"/>
                <w:color w:val="auto"/>
              </w:rPr>
              <w:t>4</w:t>
            </w:r>
          </w:p>
        </w:tc>
        <w:tc>
          <w:tcPr>
            <w:tcW w:w="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80" w:type="dxa"/>
            <w:vAlign w:val="bottom"/>
            <w:shd w:val="clear" w:color="auto" w:fill="D8D8D8"/>
          </w:tcPr>
          <w:p>
            <w:pPr>
              <w:jc w:val="right"/>
              <w:ind w:right="69"/>
              <w:spacing w:after="0"/>
              <w:rPr>
                <w:sz w:val="20"/>
                <w:szCs w:val="20"/>
                <w:color w:val="auto"/>
              </w:rPr>
            </w:pPr>
            <w:r>
              <w:rPr>
                <w:rFonts w:ascii="Arial" w:cs="Arial" w:eastAsia="Arial" w:hAnsi="Arial"/>
                <w:sz w:val="14"/>
                <w:szCs w:val="14"/>
                <w:color w:val="auto"/>
              </w:rPr>
              <w:t>206</w:t>
            </w:r>
          </w:p>
        </w:tc>
        <w:tc>
          <w:tcPr>
            <w:tcW w:w="1260" w:type="dxa"/>
            <w:vAlign w:val="bottom"/>
          </w:tcPr>
          <w:p>
            <w:pPr>
              <w:jc w:val="right"/>
              <w:ind w:right="29"/>
              <w:spacing w:after="0"/>
              <w:rPr>
                <w:sz w:val="20"/>
                <w:szCs w:val="20"/>
                <w:color w:val="auto"/>
              </w:rPr>
            </w:pPr>
            <w:r>
              <w:rPr>
                <w:rFonts w:ascii="Arial" w:cs="Arial" w:eastAsia="Arial" w:hAnsi="Arial"/>
                <w:sz w:val="14"/>
                <w:szCs w:val="14"/>
                <w:color w:val="auto"/>
              </w:rPr>
              <w:t>231</w:t>
            </w:r>
          </w:p>
        </w:tc>
      </w:tr>
      <w:tr>
        <w:trPr>
          <w:trHeight w:val="162"/>
        </w:trPr>
        <w:tc>
          <w:tcPr>
            <w:tcW w:w="4220" w:type="dxa"/>
            <w:vAlign w:val="bottom"/>
          </w:tcPr>
          <w:p>
            <w:pPr>
              <w:spacing w:after="0"/>
              <w:rPr>
                <w:sz w:val="20"/>
                <w:szCs w:val="20"/>
                <w:color w:val="auto"/>
              </w:rPr>
            </w:pPr>
            <w:r>
              <w:rPr>
                <w:rFonts w:ascii="Arial" w:cs="Arial" w:eastAsia="Arial" w:hAnsi="Arial"/>
                <w:sz w:val="14"/>
                <w:szCs w:val="14"/>
                <w:color w:val="auto"/>
              </w:rPr>
              <w:t>Patricia A. Woertz [C]</w:t>
            </w:r>
          </w:p>
        </w:tc>
        <w:tc>
          <w:tcPr>
            <w:tcW w:w="980" w:type="dxa"/>
            <w:vAlign w:val="bottom"/>
            <w:shd w:val="clear" w:color="auto" w:fill="D8D8D8"/>
          </w:tcPr>
          <w:p>
            <w:pPr>
              <w:jc w:val="right"/>
              <w:ind w:right="49"/>
              <w:spacing w:after="0"/>
              <w:rPr>
                <w:sz w:val="20"/>
                <w:szCs w:val="20"/>
                <w:color w:val="auto"/>
              </w:rPr>
            </w:pPr>
            <w:r>
              <w:rPr>
                <w:rFonts w:ascii="Arial" w:cs="Arial" w:eastAsia="Arial" w:hAnsi="Arial"/>
                <w:sz w:val="14"/>
                <w:szCs w:val="14"/>
                <w:color w:val="auto"/>
              </w:rPr>
              <w:t>93</w:t>
            </w:r>
          </w:p>
        </w:tc>
        <w:tc>
          <w:tcPr>
            <w:tcW w:w="1380" w:type="dxa"/>
            <w:vAlign w:val="bottom"/>
            <w:gridSpan w:val="2"/>
          </w:tcPr>
          <w:p>
            <w:pPr>
              <w:jc w:val="right"/>
              <w:ind w:right="360"/>
              <w:spacing w:after="0"/>
              <w:rPr>
                <w:sz w:val="20"/>
                <w:szCs w:val="20"/>
                <w:color w:val="auto"/>
              </w:rPr>
            </w:pPr>
            <w:r>
              <w:rPr>
                <w:rFonts w:ascii="Arial" w:cs="Arial" w:eastAsia="Arial" w:hAnsi="Arial"/>
                <w:sz w:val="14"/>
                <w:szCs w:val="14"/>
                <w:color w:val="auto"/>
              </w:rPr>
              <w:t>–</w:t>
            </w:r>
          </w:p>
        </w:tc>
        <w:tc>
          <w:tcPr>
            <w:tcW w:w="520" w:type="dxa"/>
            <w:vAlign w:val="bottom"/>
            <w:shd w:val="clear" w:color="auto" w:fill="D8D8D8"/>
          </w:tcPr>
          <w:p>
            <w:pPr>
              <w:spacing w:after="0"/>
              <w:rPr>
                <w:sz w:val="14"/>
                <w:szCs w:val="14"/>
                <w:color w:val="auto"/>
              </w:rPr>
            </w:pPr>
          </w:p>
        </w:tc>
        <w:tc>
          <w:tcPr>
            <w:tcW w:w="600" w:type="dxa"/>
            <w:vAlign w:val="bottom"/>
            <w:shd w:val="clear" w:color="auto" w:fill="D8D8D8"/>
          </w:tcPr>
          <w:p>
            <w:pPr>
              <w:jc w:val="right"/>
              <w:spacing w:after="0"/>
              <w:rPr>
                <w:sz w:val="20"/>
                <w:szCs w:val="20"/>
                <w:color w:val="auto"/>
              </w:rPr>
            </w:pPr>
            <w:r>
              <w:rPr>
                <w:rFonts w:ascii="Arial" w:cs="Arial" w:eastAsia="Arial" w:hAnsi="Arial"/>
                <w:sz w:val="14"/>
                <w:szCs w:val="14"/>
                <w:color w:val="auto"/>
              </w:rPr>
              <w:t>–</w:t>
            </w:r>
          </w:p>
        </w:tc>
        <w:tc>
          <w:tcPr>
            <w:tcW w:w="1260" w:type="dxa"/>
            <w:vAlign w:val="bottom"/>
          </w:tcPr>
          <w:p>
            <w:pPr>
              <w:jc w:val="right"/>
              <w:ind w:right="69"/>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shd w:val="clear" w:color="auto" w:fill="D8D8D8"/>
          </w:tcPr>
          <w:p>
            <w:pPr>
              <w:jc w:val="right"/>
              <w:ind w:right="69"/>
              <w:spacing w:after="0"/>
              <w:rPr>
                <w:sz w:val="20"/>
                <w:szCs w:val="20"/>
                <w:color w:val="auto"/>
              </w:rPr>
            </w:pPr>
            <w:r>
              <w:rPr>
                <w:rFonts w:ascii="Arial" w:cs="Arial" w:eastAsia="Arial" w:hAnsi="Arial"/>
                <w:sz w:val="14"/>
                <w:szCs w:val="14"/>
                <w:color w:val="auto"/>
              </w:rPr>
              <w:t>93</w:t>
            </w:r>
          </w:p>
        </w:tc>
        <w:tc>
          <w:tcPr>
            <w:tcW w:w="1260" w:type="dxa"/>
            <w:vAlign w:val="bottom"/>
          </w:tcPr>
          <w:p>
            <w:pPr>
              <w:jc w:val="right"/>
              <w:ind w:right="29"/>
              <w:spacing w:after="0"/>
              <w:rPr>
                <w:sz w:val="20"/>
                <w:szCs w:val="20"/>
                <w:color w:val="auto"/>
              </w:rPr>
            </w:pPr>
            <w:r>
              <w:rPr>
                <w:rFonts w:ascii="Arial" w:cs="Arial" w:eastAsia="Arial" w:hAnsi="Arial"/>
                <w:sz w:val="14"/>
                <w:szCs w:val="14"/>
                <w:color w:val="auto"/>
              </w:rPr>
              <w:t>–</w:t>
            </w:r>
          </w:p>
        </w:tc>
      </w:tr>
      <w:tr>
        <w:trPr>
          <w:trHeight w:val="157"/>
        </w:trPr>
        <w:tc>
          <w:tcPr>
            <w:tcW w:w="4220" w:type="dxa"/>
            <w:vAlign w:val="bottom"/>
            <w:tcBorders>
              <w:bottom w:val="single" w:sz="8" w:color="auto"/>
            </w:tcBorders>
          </w:tcPr>
          <w:p>
            <w:pPr>
              <w:spacing w:after="0" w:line="157" w:lineRule="exact"/>
              <w:rPr>
                <w:sz w:val="20"/>
                <w:szCs w:val="20"/>
                <w:color w:val="auto"/>
              </w:rPr>
            </w:pPr>
            <w:r>
              <w:rPr>
                <w:rFonts w:ascii="Arial" w:cs="Arial" w:eastAsia="Arial" w:hAnsi="Arial"/>
                <w:sz w:val="14"/>
                <w:szCs w:val="14"/>
                <w:color w:val="auto"/>
              </w:rPr>
              <w:t>Gerrit Zalm</w:t>
            </w:r>
          </w:p>
        </w:tc>
        <w:tc>
          <w:tcPr>
            <w:tcW w:w="980" w:type="dxa"/>
            <w:vAlign w:val="bottom"/>
            <w:tcBorders>
              <w:bottom w:val="single" w:sz="8" w:color="auto"/>
            </w:tcBorders>
            <w:shd w:val="clear" w:color="auto" w:fill="D8D8D8"/>
          </w:tcPr>
          <w:p>
            <w:pPr>
              <w:jc w:val="right"/>
              <w:ind w:right="49"/>
              <w:spacing w:after="0" w:line="157" w:lineRule="exact"/>
              <w:rPr>
                <w:sz w:val="20"/>
                <w:szCs w:val="20"/>
                <w:color w:val="auto"/>
              </w:rPr>
            </w:pPr>
            <w:r>
              <w:rPr>
                <w:rFonts w:ascii="Arial" w:cs="Arial" w:eastAsia="Arial" w:hAnsi="Arial"/>
                <w:sz w:val="14"/>
                <w:szCs w:val="14"/>
                <w:color w:val="auto"/>
              </w:rPr>
              <w:t>153</w:t>
            </w:r>
          </w:p>
        </w:tc>
        <w:tc>
          <w:tcPr>
            <w:tcW w:w="1120" w:type="dxa"/>
            <w:vAlign w:val="bottom"/>
            <w:tcBorders>
              <w:bottom w:val="single" w:sz="8" w:color="auto"/>
            </w:tcBorders>
          </w:tcPr>
          <w:p>
            <w:pPr>
              <w:jc w:val="right"/>
              <w:ind w:right="29"/>
              <w:spacing w:after="0" w:line="157" w:lineRule="exact"/>
              <w:rPr>
                <w:sz w:val="20"/>
                <w:szCs w:val="20"/>
                <w:color w:val="auto"/>
              </w:rPr>
            </w:pPr>
            <w:r>
              <w:rPr>
                <w:rFonts w:ascii="Arial" w:cs="Arial" w:eastAsia="Arial" w:hAnsi="Arial"/>
                <w:sz w:val="14"/>
                <w:szCs w:val="14"/>
                <w:color w:val="auto"/>
              </w:rPr>
              <w:t>142</w:t>
            </w:r>
          </w:p>
        </w:tc>
        <w:tc>
          <w:tcPr>
            <w:tcW w:w="26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shd w:val="clear" w:color="auto" w:fill="D8D8D8"/>
          </w:tcPr>
          <w:p>
            <w:pPr>
              <w:spacing w:after="0"/>
              <w:rPr>
                <w:sz w:val="13"/>
                <w:szCs w:val="13"/>
                <w:color w:val="auto"/>
              </w:rPr>
            </w:pPr>
          </w:p>
        </w:tc>
        <w:tc>
          <w:tcPr>
            <w:tcW w:w="600" w:type="dxa"/>
            <w:vAlign w:val="bottom"/>
            <w:tcBorders>
              <w:bottom w:val="single" w:sz="8" w:color="auto"/>
            </w:tcBorders>
            <w:shd w:val="clear" w:color="auto" w:fill="D8D8D8"/>
          </w:tcPr>
          <w:p>
            <w:pPr>
              <w:jc w:val="right"/>
              <w:spacing w:after="0" w:line="157" w:lineRule="exact"/>
              <w:rPr>
                <w:sz w:val="20"/>
                <w:szCs w:val="20"/>
                <w:color w:val="auto"/>
              </w:rPr>
            </w:pPr>
            <w:r>
              <w:rPr>
                <w:rFonts w:ascii="Arial" w:cs="Arial" w:eastAsia="Arial" w:hAnsi="Arial"/>
                <w:sz w:val="14"/>
                <w:szCs w:val="14"/>
                <w:color w:val="auto"/>
              </w:rPr>
              <w:t>–</w:t>
            </w:r>
          </w:p>
        </w:tc>
        <w:tc>
          <w:tcPr>
            <w:tcW w:w="1260" w:type="dxa"/>
            <w:vAlign w:val="bottom"/>
            <w:tcBorders>
              <w:bottom w:val="single" w:sz="8" w:color="auto"/>
            </w:tcBorders>
          </w:tcPr>
          <w:p>
            <w:pPr>
              <w:jc w:val="right"/>
              <w:ind w:right="69"/>
              <w:spacing w:after="0" w:line="157" w:lineRule="exact"/>
              <w:rPr>
                <w:sz w:val="20"/>
                <w:szCs w:val="20"/>
                <w:color w:val="auto"/>
              </w:rPr>
            </w:pPr>
            <w:r>
              <w:rPr>
                <w:rFonts w:ascii="Arial" w:cs="Arial" w:eastAsia="Arial" w:hAnsi="Arial"/>
                <w:sz w:val="14"/>
                <w:szCs w:val="14"/>
                <w:color w:val="auto"/>
              </w:rPr>
              <w:t>4</w:t>
            </w:r>
          </w:p>
        </w:tc>
        <w:tc>
          <w:tcPr>
            <w:tcW w:w="28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shd w:val="clear" w:color="auto" w:fill="D8D8D8"/>
          </w:tcPr>
          <w:p>
            <w:pPr>
              <w:jc w:val="right"/>
              <w:ind w:right="69"/>
              <w:spacing w:after="0" w:line="157" w:lineRule="exact"/>
              <w:rPr>
                <w:sz w:val="20"/>
                <w:szCs w:val="20"/>
                <w:color w:val="auto"/>
              </w:rPr>
            </w:pPr>
            <w:r>
              <w:rPr>
                <w:rFonts w:ascii="Arial" w:cs="Arial" w:eastAsia="Arial" w:hAnsi="Arial"/>
                <w:sz w:val="14"/>
                <w:szCs w:val="14"/>
                <w:color w:val="auto"/>
              </w:rPr>
              <w:t>153</w:t>
            </w:r>
          </w:p>
        </w:tc>
        <w:tc>
          <w:tcPr>
            <w:tcW w:w="1260" w:type="dxa"/>
            <w:vAlign w:val="bottom"/>
            <w:tcBorders>
              <w:bottom w:val="single" w:sz="8" w:color="auto"/>
            </w:tcBorders>
          </w:tcPr>
          <w:p>
            <w:pPr>
              <w:jc w:val="right"/>
              <w:ind w:right="29"/>
              <w:spacing w:after="0" w:line="157" w:lineRule="exact"/>
              <w:rPr>
                <w:sz w:val="20"/>
                <w:szCs w:val="20"/>
                <w:color w:val="auto"/>
              </w:rPr>
            </w:pPr>
            <w:r>
              <w:rPr>
                <w:rFonts w:ascii="Arial" w:cs="Arial" w:eastAsia="Arial" w:hAnsi="Arial"/>
                <w:sz w:val="14"/>
                <w:szCs w:val="14"/>
                <w:color w:val="auto"/>
              </w:rPr>
              <w:t>146</w:t>
            </w:r>
          </w:p>
        </w:tc>
      </w:tr>
    </w:tbl>
    <w:p>
      <w:pPr>
        <w:spacing w:after="0" w:line="24" w:lineRule="exact"/>
        <w:rPr>
          <w:sz w:val="20"/>
          <w:szCs w:val="20"/>
          <w:color w:val="auto"/>
        </w:rPr>
      </w:pPr>
    </w:p>
    <w:p>
      <w:pPr>
        <w:ind w:right="60" w:firstLine="8"/>
        <w:spacing w:after="0" w:line="230" w:lineRule="auto"/>
        <w:tabs>
          <w:tab w:leader="none" w:pos="162" w:val="left"/>
        </w:tabs>
        <w:numPr>
          <w:ilvl w:val="0"/>
          <w:numId w:val="101"/>
        </w:numPr>
        <w:rPr>
          <w:rFonts w:ascii="Arial" w:cs="Arial" w:eastAsia="Arial" w:hAnsi="Arial"/>
          <w:sz w:val="11"/>
          <w:szCs w:val="11"/>
          <w:color w:val="auto"/>
        </w:rPr>
      </w:pPr>
      <w:r>
        <w:rPr>
          <w:rFonts w:ascii="Arial" w:cs="Arial" w:eastAsia="Arial" w:hAnsi="Arial"/>
          <w:sz w:val="11"/>
          <w:szCs w:val="11"/>
          <w:color w:val="auto"/>
        </w:rPr>
        <w:t>UK regulations require the inclusion of benefits where these would be taxable in the UK, on the assumption that Directors are tax resident in the UK. On this premise, the taxable benefits amounts include the cost of Non-executive Director’s occasional business-required spouse travel. Shell also pays for travel between home and the head office in The Hague, where Board and committee meetings are typically held, as well as related hotel and subsistence costs. For consistency, these business expenses are not reported as taxable benefits as for most Non-executive Directors this is international travel and hence would not be taxable in the UK.</w:t>
      </w:r>
    </w:p>
    <w:p>
      <w:pPr>
        <w:spacing w:after="0" w:line="1" w:lineRule="exact"/>
        <w:rPr>
          <w:rFonts w:ascii="Arial" w:cs="Arial" w:eastAsia="Arial" w:hAnsi="Arial"/>
          <w:sz w:val="11"/>
          <w:szCs w:val="11"/>
          <w:color w:val="auto"/>
        </w:rPr>
      </w:pPr>
    </w:p>
    <w:p>
      <w:pPr>
        <w:ind w:left="180" w:hanging="172"/>
        <w:spacing w:after="0" w:line="230" w:lineRule="auto"/>
        <w:tabs>
          <w:tab w:leader="none" w:pos="180" w:val="left"/>
        </w:tabs>
        <w:numPr>
          <w:ilvl w:val="0"/>
          <w:numId w:val="101"/>
        </w:numPr>
        <w:rPr>
          <w:rFonts w:ascii="Arial" w:cs="Arial" w:eastAsia="Arial" w:hAnsi="Arial"/>
          <w:sz w:val="11"/>
          <w:szCs w:val="11"/>
          <w:color w:val="auto"/>
        </w:rPr>
      </w:pPr>
      <w:r>
        <w:rPr>
          <w:rFonts w:ascii="Arial" w:cs="Arial" w:eastAsia="Arial" w:hAnsi="Arial"/>
          <w:sz w:val="11"/>
          <w:szCs w:val="11"/>
          <w:color w:val="auto"/>
        </w:rPr>
        <w:t>Josef Ackermann stood down on May 20, 2014. No payments for loss of office were made.</w:t>
      </w:r>
    </w:p>
    <w:p>
      <w:pPr>
        <w:ind w:left="180" w:hanging="172"/>
        <w:spacing w:after="0" w:line="230" w:lineRule="auto"/>
        <w:tabs>
          <w:tab w:leader="none" w:pos="180" w:val="left"/>
        </w:tabs>
        <w:numPr>
          <w:ilvl w:val="0"/>
          <w:numId w:val="101"/>
        </w:numPr>
        <w:rPr>
          <w:rFonts w:ascii="Arial" w:cs="Arial" w:eastAsia="Arial" w:hAnsi="Arial"/>
          <w:sz w:val="11"/>
          <w:szCs w:val="11"/>
          <w:color w:val="auto"/>
        </w:rPr>
      </w:pPr>
      <w:r>
        <w:rPr>
          <w:rFonts w:ascii="Arial" w:cs="Arial" w:eastAsia="Arial" w:hAnsi="Arial"/>
          <w:sz w:val="11"/>
          <w:szCs w:val="11"/>
          <w:color w:val="auto"/>
        </w:rPr>
        <w:t>Euleen Goh was appointed with effect from September 1, 2014. Patricia A. Woertz was appointed with effect from June 1, 2014.</w:t>
      </w:r>
    </w:p>
    <w:p>
      <w:pPr>
        <w:ind w:left="180" w:hanging="172"/>
        <w:spacing w:after="0"/>
        <w:tabs>
          <w:tab w:leader="none" w:pos="180" w:val="left"/>
        </w:tabs>
        <w:numPr>
          <w:ilvl w:val="0"/>
          <w:numId w:val="101"/>
        </w:numPr>
        <w:rPr>
          <w:rFonts w:ascii="Arial" w:cs="Arial" w:eastAsia="Arial" w:hAnsi="Arial"/>
          <w:sz w:val="11"/>
          <w:szCs w:val="11"/>
          <w:color w:val="auto"/>
        </w:rPr>
      </w:pPr>
      <w:r>
        <w:rPr>
          <w:rFonts w:ascii="Arial" w:cs="Arial" w:eastAsia="Arial" w:hAnsi="Arial"/>
          <w:sz w:val="11"/>
          <w:szCs w:val="11"/>
          <w:color w:val="auto"/>
        </w:rPr>
        <w:t>The taxable benefits amounts for Jorma Ollila include company-provided transport (2014: €77,430) and the use of an apartment (2014: €47,963).</w:t>
      </w:r>
    </w:p>
    <w:p>
      <w:pPr>
        <w:sectPr>
          <w:pgSz w:w="11900" w:h="16838" w:orient="portrait"/>
          <w:cols w:equalWidth="0" w:num="1">
            <w:col w:w="11420"/>
          </w:cols>
          <w:pgMar w:left="240" w:top="459" w:right="239" w:bottom="1440" w:gutter="0" w:footer="0" w:header="0"/>
          <w:type w:val="continuous"/>
        </w:sectPr>
      </w:pPr>
    </w:p>
    <w:bookmarkStart w:id="86" w:name="page87"/>
    <w:bookmarkEnd w:id="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6471285</wp:posOffset>
            </wp:positionH>
            <wp:positionV relativeFrom="paragraph">
              <wp:posOffset>300355</wp:posOffset>
            </wp:positionV>
            <wp:extent cx="8890" cy="46291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8890" cy="462915"/>
                    </a:xfrm>
                    <a:prstGeom prst="rect">
                      <a:avLst/>
                    </a:prstGeom>
                    <a:noFill/>
                  </pic:spPr>
                </pic:pic>
              </a:graphicData>
            </a:graphic>
          </wp:anchor>
        </w:drawing>
      </w:r>
    </w:p>
    <w:p>
      <w:pPr>
        <w:spacing w:after="0" w:line="200" w:lineRule="exact"/>
        <w:rPr>
          <w:sz w:val="20"/>
          <w:szCs w:val="20"/>
          <w:color w:val="auto"/>
        </w:rPr>
      </w:pP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565"/>
        </w:trPr>
        <w:tc>
          <w:tcPr>
            <w:tcW w:w="5600" w:type="dxa"/>
            <w:vAlign w:val="bottom"/>
          </w:tcPr>
          <w:p>
            <w:pPr>
              <w:spacing w:after="0"/>
              <w:rPr>
                <w:sz w:val="24"/>
                <w:szCs w:val="24"/>
                <w:color w:val="auto"/>
              </w:rPr>
            </w:pPr>
          </w:p>
        </w:tc>
        <w:tc>
          <w:tcPr>
            <w:tcW w:w="860" w:type="dxa"/>
            <w:vAlign w:val="bottom"/>
            <w:shd w:val="clear" w:color="auto" w:fill="FF8B00"/>
          </w:tcPr>
          <w:p>
            <w:pPr>
              <w:spacing w:after="0"/>
              <w:rPr>
                <w:sz w:val="24"/>
                <w:szCs w:val="24"/>
                <w:color w:val="auto"/>
              </w:rPr>
            </w:pPr>
          </w:p>
        </w:tc>
        <w:tc>
          <w:tcPr>
            <w:tcW w:w="2400" w:type="dxa"/>
            <w:vAlign w:val="bottom"/>
            <w:gridSpan w:val="2"/>
            <w:shd w:val="clear" w:color="auto" w:fill="FF8B00"/>
          </w:tcPr>
          <w:p>
            <w:pPr>
              <w:jc w:val="right"/>
              <w:ind w:right="1349"/>
              <w:spacing w:after="0"/>
              <w:rPr>
                <w:sz w:val="20"/>
                <w:szCs w:val="20"/>
                <w:color w:val="auto"/>
              </w:rPr>
            </w:pPr>
            <w:r>
              <w:rPr>
                <w:rFonts w:ascii="Arial" w:cs="Arial" w:eastAsia="Arial" w:hAnsi="Arial"/>
                <w:sz w:val="13"/>
                <w:szCs w:val="13"/>
                <w:color w:val="333333"/>
              </w:rPr>
              <w:t>GOVERNANCE</w:t>
            </w:r>
          </w:p>
        </w:tc>
        <w:tc>
          <w:tcPr>
            <w:tcW w:w="380" w:type="dxa"/>
            <w:vAlign w:val="bottom"/>
            <w:shd w:val="clear" w:color="auto" w:fill="FF8B00"/>
          </w:tcPr>
          <w:p>
            <w:pPr>
              <w:spacing w:after="0"/>
              <w:rPr>
                <w:sz w:val="24"/>
                <w:szCs w:val="24"/>
                <w:color w:val="auto"/>
              </w:rPr>
            </w:pPr>
          </w:p>
        </w:tc>
        <w:tc>
          <w:tcPr>
            <w:tcW w:w="1080" w:type="dxa"/>
            <w:vAlign w:val="bottom"/>
            <w:shd w:val="clear" w:color="auto" w:fill="FF8B00"/>
          </w:tcPr>
          <w:p>
            <w:pPr>
              <w:spacing w:after="0"/>
              <w:rPr>
                <w:sz w:val="24"/>
                <w:szCs w:val="24"/>
                <w:color w:val="auto"/>
              </w:rPr>
            </w:pPr>
          </w:p>
        </w:tc>
        <w:tc>
          <w:tcPr>
            <w:tcW w:w="1100" w:type="dxa"/>
            <w:vAlign w:val="bottom"/>
            <w:shd w:val="clear" w:color="auto" w:fill="FF8B00"/>
          </w:tcPr>
          <w:p>
            <w:pPr>
              <w:jc w:val="right"/>
              <w:ind w:right="289"/>
              <w:spacing w:after="0"/>
              <w:rPr>
                <w:sz w:val="20"/>
                <w:szCs w:val="20"/>
                <w:color w:val="auto"/>
              </w:rPr>
            </w:pPr>
            <w:r>
              <w:rPr>
                <w:rFonts w:ascii="Arial" w:cs="Arial" w:eastAsia="Arial" w:hAnsi="Arial"/>
                <w:sz w:val="11"/>
                <w:szCs w:val="11"/>
                <w:b w:val="1"/>
                <w:bCs w:val="1"/>
                <w:color w:val="333333"/>
              </w:rPr>
              <w:t>85</w:t>
            </w:r>
          </w:p>
        </w:tc>
        <w:tc>
          <w:tcPr>
            <w:tcW w:w="0" w:type="dxa"/>
            <w:vAlign w:val="bottom"/>
          </w:tcPr>
          <w:p>
            <w:pPr>
              <w:spacing w:after="0"/>
              <w:rPr>
                <w:sz w:val="1"/>
                <w:szCs w:val="1"/>
                <w:color w:val="auto"/>
              </w:rPr>
            </w:pPr>
          </w:p>
        </w:tc>
      </w:tr>
      <w:tr>
        <w:trPr>
          <w:trHeight w:val="165"/>
        </w:trPr>
        <w:tc>
          <w:tcPr>
            <w:tcW w:w="5600" w:type="dxa"/>
            <w:vAlign w:val="bottom"/>
            <w:vMerge w:val="restart"/>
          </w:tcPr>
          <w:p>
            <w:pPr>
              <w:spacing w:after="0"/>
              <w:rPr>
                <w:sz w:val="20"/>
                <w:szCs w:val="20"/>
                <w:color w:val="auto"/>
              </w:rPr>
            </w:pPr>
            <w:r>
              <w:rPr>
                <w:rFonts w:ascii="Arial" w:cs="Arial" w:eastAsia="Arial" w:hAnsi="Arial"/>
                <w:sz w:val="11"/>
                <w:szCs w:val="11"/>
                <w:color w:val="auto"/>
              </w:rPr>
              <w:t>SHELL ANNUAL REPORT AND FORM 20-F 2014</w:t>
            </w:r>
          </w:p>
        </w:tc>
        <w:tc>
          <w:tcPr>
            <w:tcW w:w="860" w:type="dxa"/>
            <w:vAlign w:val="bottom"/>
            <w:shd w:val="clear" w:color="auto" w:fill="FF8B00"/>
          </w:tcPr>
          <w:p>
            <w:pPr>
              <w:spacing w:after="0"/>
              <w:rPr>
                <w:sz w:val="14"/>
                <w:szCs w:val="14"/>
                <w:color w:val="auto"/>
              </w:rPr>
            </w:pPr>
          </w:p>
        </w:tc>
        <w:tc>
          <w:tcPr>
            <w:tcW w:w="740" w:type="dxa"/>
            <w:vAlign w:val="bottom"/>
            <w:shd w:val="clear" w:color="auto" w:fill="FF8B00"/>
          </w:tcPr>
          <w:p>
            <w:pPr>
              <w:spacing w:after="0"/>
              <w:rPr>
                <w:sz w:val="14"/>
                <w:szCs w:val="14"/>
                <w:color w:val="auto"/>
              </w:rPr>
            </w:pPr>
          </w:p>
        </w:tc>
        <w:tc>
          <w:tcPr>
            <w:tcW w:w="1660" w:type="dxa"/>
            <w:vAlign w:val="bottom"/>
            <w:shd w:val="clear" w:color="auto" w:fill="FF8B00"/>
          </w:tcPr>
          <w:p>
            <w:pPr>
              <w:spacing w:after="0"/>
              <w:rPr>
                <w:sz w:val="14"/>
                <w:szCs w:val="14"/>
                <w:color w:val="auto"/>
              </w:rPr>
            </w:pPr>
          </w:p>
        </w:tc>
        <w:tc>
          <w:tcPr>
            <w:tcW w:w="380" w:type="dxa"/>
            <w:vAlign w:val="bottom"/>
            <w:shd w:val="clear" w:color="auto" w:fill="FF8B00"/>
          </w:tcPr>
          <w:p>
            <w:pPr>
              <w:spacing w:after="0"/>
              <w:rPr>
                <w:sz w:val="14"/>
                <w:szCs w:val="14"/>
                <w:color w:val="auto"/>
              </w:rPr>
            </w:pPr>
          </w:p>
        </w:tc>
        <w:tc>
          <w:tcPr>
            <w:tcW w:w="1080" w:type="dxa"/>
            <w:vAlign w:val="bottom"/>
            <w:shd w:val="clear" w:color="auto" w:fill="FF8B00"/>
          </w:tcPr>
          <w:p>
            <w:pPr>
              <w:spacing w:after="0"/>
              <w:rPr>
                <w:sz w:val="14"/>
                <w:szCs w:val="14"/>
                <w:color w:val="auto"/>
              </w:rPr>
            </w:pPr>
          </w:p>
        </w:tc>
        <w:tc>
          <w:tcPr>
            <w:tcW w:w="1100" w:type="dxa"/>
            <w:vAlign w:val="bottom"/>
            <w:shd w:val="clear" w:color="auto" w:fill="FF8B00"/>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5600" w:type="dxa"/>
            <w:vAlign w:val="bottom"/>
            <w:vMerge w:val="continue"/>
          </w:tcPr>
          <w:p>
            <w:pPr>
              <w:spacing w:after="0"/>
              <w:rPr>
                <w:sz w:val="10"/>
                <w:szCs w:val="10"/>
                <w:color w:val="auto"/>
              </w:rPr>
            </w:pPr>
          </w:p>
        </w:tc>
        <w:tc>
          <w:tcPr>
            <w:tcW w:w="860" w:type="dxa"/>
            <w:vAlign w:val="bottom"/>
          </w:tcPr>
          <w:p>
            <w:pPr>
              <w:spacing w:after="0"/>
              <w:rPr>
                <w:sz w:val="10"/>
                <w:szCs w:val="10"/>
                <w:color w:val="auto"/>
              </w:rPr>
            </w:pPr>
          </w:p>
        </w:tc>
        <w:tc>
          <w:tcPr>
            <w:tcW w:w="2400" w:type="dxa"/>
            <w:vAlign w:val="bottom"/>
            <w:gridSpan w:val="2"/>
          </w:tcPr>
          <w:p>
            <w:pPr>
              <w:jc w:val="right"/>
              <w:ind w:right="209"/>
              <w:spacing w:after="0" w:line="121" w:lineRule="exact"/>
              <w:rPr>
                <w:sz w:val="20"/>
                <w:szCs w:val="20"/>
                <w:color w:val="auto"/>
              </w:rPr>
            </w:pPr>
            <w:r>
              <w:rPr>
                <w:rFonts w:ascii="Arial" w:cs="Arial" w:eastAsia="Arial" w:hAnsi="Arial"/>
                <w:sz w:val="11"/>
                <w:szCs w:val="11"/>
                <w:color w:val="auto"/>
              </w:rPr>
              <w:t>DIRECTORS’ REMUNERATION REPORT</w:t>
            </w:r>
          </w:p>
        </w:tc>
        <w:tc>
          <w:tcPr>
            <w:tcW w:w="38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7"/>
        </w:trPr>
        <w:tc>
          <w:tcPr>
            <w:tcW w:w="6460" w:type="dxa"/>
            <w:vAlign w:val="bottom"/>
            <w:gridSpan w:val="2"/>
          </w:tcPr>
          <w:p>
            <w:pPr>
              <w:spacing w:after="0"/>
              <w:rPr>
                <w:sz w:val="20"/>
                <w:szCs w:val="20"/>
                <w:color w:val="auto"/>
              </w:rPr>
            </w:pPr>
            <w:r>
              <w:rPr>
                <w:rFonts w:ascii="Arial" w:cs="Arial" w:eastAsia="Arial" w:hAnsi="Arial"/>
                <w:sz w:val="18"/>
                <w:szCs w:val="18"/>
                <w:color w:val="auto"/>
              </w:rPr>
              <w:t>Executive Directors’ remuneration for 2014</w:t>
            </w:r>
          </w:p>
        </w:tc>
        <w:tc>
          <w:tcPr>
            <w:tcW w:w="74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56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6460" w:type="dxa"/>
            <w:vAlign w:val="bottom"/>
            <w:gridSpan w:val="2"/>
            <w:vMerge w:val="restart"/>
            <w:shd w:val="clear" w:color="auto" w:fill="333333"/>
          </w:tcPr>
          <w:p>
            <w:pPr>
              <w:ind w:left="80"/>
              <w:spacing w:after="0"/>
              <w:rPr>
                <w:sz w:val="20"/>
                <w:szCs w:val="20"/>
                <w:color w:val="auto"/>
              </w:rPr>
            </w:pPr>
            <w:r>
              <w:rPr>
                <w:rFonts w:ascii="Arial" w:cs="Arial" w:eastAsia="Arial" w:hAnsi="Arial"/>
                <w:sz w:val="15"/>
                <w:szCs w:val="15"/>
                <w:b w:val="1"/>
                <w:bCs w:val="1"/>
                <w:color w:val="FFFFFF"/>
              </w:rPr>
              <w:t xml:space="preserve">SINGLE TOTAL FIGURE OF REMUNERATION FOR EXECUTIVE DIRECTORS </w:t>
            </w:r>
            <w:r>
              <w:rPr>
                <w:rFonts w:ascii="Arial" w:cs="Arial" w:eastAsia="Arial" w:hAnsi="Arial"/>
                <w:sz w:val="15"/>
                <w:szCs w:val="15"/>
                <w:color w:val="FFFFFF"/>
              </w:rPr>
              <w:t>(AUDITED)</w:t>
            </w:r>
          </w:p>
        </w:tc>
        <w:tc>
          <w:tcPr>
            <w:tcW w:w="740" w:type="dxa"/>
            <w:vAlign w:val="bottom"/>
            <w:shd w:val="clear" w:color="auto" w:fill="333333"/>
          </w:tcPr>
          <w:p>
            <w:pPr>
              <w:spacing w:after="0"/>
              <w:rPr>
                <w:sz w:val="17"/>
                <w:szCs w:val="17"/>
                <w:color w:val="auto"/>
              </w:rPr>
            </w:pPr>
          </w:p>
        </w:tc>
        <w:tc>
          <w:tcPr>
            <w:tcW w:w="1660" w:type="dxa"/>
            <w:vAlign w:val="bottom"/>
            <w:shd w:val="clear" w:color="auto" w:fill="333333"/>
          </w:tcPr>
          <w:p>
            <w:pPr>
              <w:spacing w:after="0"/>
              <w:rPr>
                <w:sz w:val="17"/>
                <w:szCs w:val="17"/>
                <w:color w:val="auto"/>
              </w:rPr>
            </w:pPr>
          </w:p>
        </w:tc>
        <w:tc>
          <w:tcPr>
            <w:tcW w:w="380" w:type="dxa"/>
            <w:vAlign w:val="bottom"/>
            <w:shd w:val="clear" w:color="auto" w:fill="333333"/>
          </w:tcPr>
          <w:p>
            <w:pPr>
              <w:spacing w:after="0"/>
              <w:rPr>
                <w:sz w:val="17"/>
                <w:szCs w:val="17"/>
                <w:color w:val="auto"/>
              </w:rPr>
            </w:pPr>
          </w:p>
        </w:tc>
        <w:tc>
          <w:tcPr>
            <w:tcW w:w="1080" w:type="dxa"/>
            <w:vAlign w:val="bottom"/>
            <w:shd w:val="clear" w:color="auto" w:fill="333333"/>
          </w:tcPr>
          <w:p>
            <w:pPr>
              <w:spacing w:after="0"/>
              <w:rPr>
                <w:sz w:val="17"/>
                <w:szCs w:val="17"/>
                <w:color w:val="auto"/>
              </w:rPr>
            </w:pPr>
          </w:p>
        </w:tc>
        <w:tc>
          <w:tcPr>
            <w:tcW w:w="1100" w:type="dxa"/>
            <w:vAlign w:val="bottom"/>
            <w:shd w:val="clear" w:color="auto" w:fill="333333"/>
          </w:tcPr>
          <w:p>
            <w:pPr>
              <w:jc w:val="right"/>
              <w:ind w:right="69"/>
              <w:spacing w:after="0"/>
              <w:rPr>
                <w:sz w:val="20"/>
                <w:szCs w:val="20"/>
                <w:color w:val="auto"/>
              </w:rPr>
            </w:pPr>
            <w:r>
              <w:rPr>
                <w:rFonts w:ascii="Arial" w:cs="Arial" w:eastAsia="Arial" w:hAnsi="Arial"/>
                <w:sz w:val="16"/>
                <w:szCs w:val="16"/>
                <w:color w:val="FFFFFF"/>
              </w:rPr>
              <w:t>€</w:t>
            </w:r>
          </w:p>
        </w:tc>
        <w:tc>
          <w:tcPr>
            <w:tcW w:w="0" w:type="dxa"/>
            <w:vAlign w:val="bottom"/>
          </w:tcPr>
          <w:p>
            <w:pPr>
              <w:spacing w:after="0"/>
              <w:rPr>
                <w:sz w:val="1"/>
                <w:szCs w:val="1"/>
                <w:color w:val="auto"/>
              </w:rPr>
            </w:pPr>
          </w:p>
        </w:tc>
      </w:tr>
      <w:tr>
        <w:trPr>
          <w:trHeight w:val="165"/>
        </w:trPr>
        <w:tc>
          <w:tcPr>
            <w:tcW w:w="6460" w:type="dxa"/>
            <w:vAlign w:val="bottom"/>
            <w:gridSpan w:val="2"/>
            <w:vMerge w:val="continue"/>
            <w:shd w:val="clear" w:color="auto" w:fill="333333"/>
          </w:tcPr>
          <w:p>
            <w:pPr>
              <w:spacing w:after="0"/>
              <w:rPr>
                <w:sz w:val="14"/>
                <w:szCs w:val="14"/>
                <w:color w:val="auto"/>
              </w:rPr>
            </w:pPr>
          </w:p>
        </w:tc>
        <w:tc>
          <w:tcPr>
            <w:tcW w:w="740" w:type="dxa"/>
            <w:vAlign w:val="bottom"/>
            <w:shd w:val="clear" w:color="auto" w:fill="333333"/>
          </w:tcPr>
          <w:p>
            <w:pPr>
              <w:spacing w:after="0"/>
              <w:rPr>
                <w:sz w:val="14"/>
                <w:szCs w:val="14"/>
                <w:color w:val="auto"/>
              </w:rPr>
            </w:pPr>
          </w:p>
        </w:tc>
        <w:tc>
          <w:tcPr>
            <w:tcW w:w="1660" w:type="dxa"/>
            <w:vAlign w:val="bottom"/>
            <w:shd w:val="clear" w:color="auto" w:fill="333333"/>
          </w:tcPr>
          <w:p>
            <w:pPr>
              <w:spacing w:after="0"/>
              <w:rPr>
                <w:sz w:val="14"/>
                <w:szCs w:val="14"/>
                <w:color w:val="auto"/>
              </w:rPr>
            </w:pPr>
          </w:p>
        </w:tc>
        <w:tc>
          <w:tcPr>
            <w:tcW w:w="380" w:type="dxa"/>
            <w:vAlign w:val="bottom"/>
            <w:shd w:val="clear" w:color="auto" w:fill="333333"/>
          </w:tcPr>
          <w:p>
            <w:pPr>
              <w:spacing w:after="0"/>
              <w:rPr>
                <w:sz w:val="14"/>
                <w:szCs w:val="14"/>
                <w:color w:val="auto"/>
              </w:rPr>
            </w:pPr>
          </w:p>
        </w:tc>
        <w:tc>
          <w:tcPr>
            <w:tcW w:w="1080" w:type="dxa"/>
            <w:vAlign w:val="bottom"/>
            <w:shd w:val="clear" w:color="auto" w:fill="333333"/>
          </w:tcPr>
          <w:p>
            <w:pPr>
              <w:spacing w:after="0"/>
              <w:rPr>
                <w:sz w:val="14"/>
                <w:szCs w:val="14"/>
                <w:color w:val="auto"/>
              </w:rPr>
            </w:pPr>
          </w:p>
        </w:tc>
        <w:tc>
          <w:tcPr>
            <w:tcW w:w="1100" w:type="dxa"/>
            <w:vAlign w:val="bottom"/>
            <w:shd w:val="clear" w:color="auto" w:fill="333333"/>
          </w:tcPr>
          <w:p>
            <w:pPr>
              <w:jc w:val="right"/>
              <w:ind w:right="29"/>
              <w:spacing w:after="0" w:line="166" w:lineRule="exact"/>
              <w:rPr>
                <w:sz w:val="20"/>
                <w:szCs w:val="20"/>
                <w:color w:val="auto"/>
              </w:rPr>
            </w:pPr>
            <w:r>
              <w:rPr>
                <w:rFonts w:ascii="Arial" w:cs="Arial" w:eastAsia="Arial" w:hAnsi="Arial"/>
                <w:sz w:val="15"/>
                <w:szCs w:val="15"/>
                <w:color w:val="FFFFFF"/>
              </w:rPr>
              <w:t>THOUSAND</w:t>
            </w:r>
          </w:p>
        </w:tc>
        <w:tc>
          <w:tcPr>
            <w:tcW w:w="0" w:type="dxa"/>
            <w:vAlign w:val="bottom"/>
          </w:tcPr>
          <w:p>
            <w:pPr>
              <w:spacing w:after="0"/>
              <w:rPr>
                <w:sz w:val="1"/>
                <w:szCs w:val="1"/>
                <w:color w:val="auto"/>
              </w:rPr>
            </w:pPr>
          </w:p>
        </w:tc>
      </w:tr>
      <w:tr>
        <w:trPr>
          <w:trHeight w:val="135"/>
        </w:trPr>
        <w:tc>
          <w:tcPr>
            <w:tcW w:w="56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660" w:type="dxa"/>
            <w:vAlign w:val="bottom"/>
            <w:tcBorders>
              <w:bottom w:val="single" w:sz="8" w:color="auto"/>
            </w:tcBorders>
          </w:tcPr>
          <w:p>
            <w:pPr>
              <w:jc w:val="right"/>
              <w:ind w:right="249"/>
              <w:spacing w:after="0" w:line="135" w:lineRule="exact"/>
              <w:rPr>
                <w:sz w:val="20"/>
                <w:szCs w:val="20"/>
                <w:color w:val="auto"/>
              </w:rPr>
            </w:pPr>
            <w:r>
              <w:rPr>
                <w:rFonts w:ascii="Arial" w:cs="Arial" w:eastAsia="Arial" w:hAnsi="Arial"/>
                <w:sz w:val="13"/>
                <w:szCs w:val="13"/>
                <w:color w:val="auto"/>
              </w:rPr>
              <w:t>Ben van Beurden</w:t>
            </w:r>
          </w:p>
        </w:tc>
        <w:tc>
          <w:tcPr>
            <w:tcW w:w="380" w:type="dxa"/>
            <w:vAlign w:val="bottom"/>
          </w:tcPr>
          <w:p>
            <w:pPr>
              <w:spacing w:after="0"/>
              <w:rPr>
                <w:sz w:val="11"/>
                <w:szCs w:val="11"/>
                <w:color w:val="auto"/>
              </w:rPr>
            </w:pPr>
          </w:p>
        </w:tc>
        <w:tc>
          <w:tcPr>
            <w:tcW w:w="1080" w:type="dxa"/>
            <w:vAlign w:val="bottom"/>
            <w:tcBorders>
              <w:bottom w:val="single" w:sz="8" w:color="auto"/>
            </w:tcBorders>
          </w:tcPr>
          <w:p>
            <w:pPr>
              <w:spacing w:after="0"/>
              <w:rPr>
                <w:sz w:val="11"/>
                <w:szCs w:val="11"/>
                <w:color w:val="auto"/>
              </w:rPr>
            </w:pPr>
          </w:p>
        </w:tc>
        <w:tc>
          <w:tcPr>
            <w:tcW w:w="1100" w:type="dxa"/>
            <w:vAlign w:val="bottom"/>
            <w:tcBorders>
              <w:bottom w:val="single" w:sz="8" w:color="auto"/>
            </w:tcBorders>
          </w:tcPr>
          <w:p>
            <w:pPr>
              <w:jc w:val="right"/>
              <w:ind w:right="269"/>
              <w:spacing w:after="0" w:line="135" w:lineRule="exact"/>
              <w:rPr>
                <w:sz w:val="20"/>
                <w:szCs w:val="20"/>
                <w:color w:val="auto"/>
              </w:rPr>
            </w:pPr>
            <w:r>
              <w:rPr>
                <w:rFonts w:ascii="Arial" w:cs="Arial" w:eastAsia="Arial" w:hAnsi="Arial"/>
                <w:sz w:val="13"/>
                <w:szCs w:val="13"/>
                <w:color w:val="auto"/>
                <w:w w:val="98"/>
              </w:rPr>
              <w:t>Simon Henry</w:t>
            </w:r>
          </w:p>
        </w:tc>
        <w:tc>
          <w:tcPr>
            <w:tcW w:w="0" w:type="dxa"/>
            <w:vAlign w:val="bottom"/>
          </w:tcPr>
          <w:p>
            <w:pPr>
              <w:spacing w:after="0"/>
              <w:rPr>
                <w:sz w:val="1"/>
                <w:szCs w:val="1"/>
                <w:color w:val="auto"/>
              </w:rPr>
            </w:pPr>
          </w:p>
        </w:tc>
      </w:tr>
      <w:tr>
        <w:trPr>
          <w:trHeight w:val="129"/>
        </w:trPr>
        <w:tc>
          <w:tcPr>
            <w:tcW w:w="560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1660" w:type="dxa"/>
            <w:vAlign w:val="bottom"/>
            <w:tcBorders>
              <w:bottom w:val="single" w:sz="8" w:color="auto"/>
            </w:tcBorders>
            <w:shd w:val="clear" w:color="auto" w:fill="D8D8D8"/>
          </w:tcPr>
          <w:p>
            <w:pPr>
              <w:jc w:val="right"/>
              <w:ind w:right="269"/>
              <w:spacing w:after="0" w:line="129" w:lineRule="exact"/>
              <w:rPr>
                <w:sz w:val="20"/>
                <w:szCs w:val="20"/>
                <w:color w:val="auto"/>
              </w:rPr>
            </w:pPr>
            <w:r>
              <w:rPr>
                <w:rFonts w:ascii="Arial" w:cs="Arial" w:eastAsia="Arial" w:hAnsi="Arial"/>
                <w:sz w:val="13"/>
                <w:szCs w:val="13"/>
                <w:color w:val="auto"/>
              </w:rPr>
              <w:t>2014</w:t>
            </w:r>
          </w:p>
        </w:tc>
        <w:tc>
          <w:tcPr>
            <w:tcW w:w="380" w:type="dxa"/>
            <w:vAlign w:val="bottom"/>
            <w:tcBorders>
              <w:bottom w:val="single" w:sz="8" w:color="auto"/>
            </w:tcBorders>
          </w:tcPr>
          <w:p>
            <w:pPr>
              <w:spacing w:after="0"/>
              <w:rPr>
                <w:sz w:val="11"/>
                <w:szCs w:val="11"/>
                <w:color w:val="auto"/>
              </w:rPr>
            </w:pPr>
          </w:p>
        </w:tc>
        <w:tc>
          <w:tcPr>
            <w:tcW w:w="1080" w:type="dxa"/>
            <w:vAlign w:val="bottom"/>
            <w:tcBorders>
              <w:bottom w:val="single" w:sz="8" w:color="auto"/>
            </w:tcBorders>
            <w:shd w:val="clear" w:color="auto" w:fill="D8D8D8"/>
          </w:tcPr>
          <w:p>
            <w:pPr>
              <w:jc w:val="right"/>
              <w:ind w:right="269"/>
              <w:spacing w:after="0" w:line="129" w:lineRule="exact"/>
              <w:rPr>
                <w:sz w:val="20"/>
                <w:szCs w:val="20"/>
                <w:color w:val="auto"/>
              </w:rPr>
            </w:pPr>
            <w:r>
              <w:rPr>
                <w:rFonts w:ascii="Arial" w:cs="Arial" w:eastAsia="Arial" w:hAnsi="Arial"/>
                <w:sz w:val="13"/>
                <w:szCs w:val="13"/>
                <w:color w:val="auto"/>
              </w:rPr>
              <w:t>2014</w:t>
            </w:r>
          </w:p>
        </w:tc>
        <w:tc>
          <w:tcPr>
            <w:tcW w:w="1100" w:type="dxa"/>
            <w:vAlign w:val="bottom"/>
            <w:tcBorders>
              <w:bottom w:val="single" w:sz="8" w:color="auto"/>
            </w:tcBorders>
          </w:tcPr>
          <w:p>
            <w:pPr>
              <w:jc w:val="right"/>
              <w:ind w:right="269"/>
              <w:spacing w:after="0" w:line="129" w:lineRule="exact"/>
              <w:rPr>
                <w:sz w:val="20"/>
                <w:szCs w:val="20"/>
                <w:color w:val="auto"/>
              </w:rPr>
            </w:pPr>
            <w:r>
              <w:rPr>
                <w:rFonts w:ascii="Arial" w:cs="Arial" w:eastAsia="Arial" w:hAnsi="Arial"/>
                <w:sz w:val="13"/>
                <w:szCs w:val="13"/>
                <w:color w:val="auto"/>
              </w:rPr>
              <w:t>2013</w:t>
            </w:r>
          </w:p>
        </w:tc>
        <w:tc>
          <w:tcPr>
            <w:tcW w:w="0" w:type="dxa"/>
            <w:vAlign w:val="bottom"/>
          </w:tcPr>
          <w:p>
            <w:pPr>
              <w:spacing w:after="0"/>
              <w:rPr>
                <w:sz w:val="1"/>
                <w:szCs w:val="1"/>
                <w:color w:val="auto"/>
              </w:rPr>
            </w:pPr>
          </w:p>
        </w:tc>
      </w:tr>
      <w:tr>
        <w:trPr>
          <w:trHeight w:val="156"/>
        </w:trPr>
        <w:tc>
          <w:tcPr>
            <w:tcW w:w="6460" w:type="dxa"/>
            <w:vAlign w:val="bottom"/>
            <w:gridSpan w:val="2"/>
          </w:tcPr>
          <w:p>
            <w:pPr>
              <w:spacing w:after="0" w:line="155" w:lineRule="exact"/>
              <w:rPr>
                <w:sz w:val="20"/>
                <w:szCs w:val="20"/>
                <w:color w:val="auto"/>
              </w:rPr>
            </w:pPr>
            <w:r>
              <w:rPr>
                <w:rFonts w:ascii="Arial" w:cs="Arial" w:eastAsia="Arial" w:hAnsi="Arial"/>
                <w:sz w:val="14"/>
                <w:szCs w:val="14"/>
                <w:color w:val="auto"/>
              </w:rPr>
              <w:t>Salaries</w:t>
            </w:r>
          </w:p>
        </w:tc>
        <w:tc>
          <w:tcPr>
            <w:tcW w:w="740" w:type="dxa"/>
            <w:vAlign w:val="bottom"/>
          </w:tcPr>
          <w:p>
            <w:pPr>
              <w:spacing w:after="0"/>
              <w:rPr>
                <w:sz w:val="13"/>
                <w:szCs w:val="13"/>
                <w:color w:val="auto"/>
              </w:rPr>
            </w:pPr>
          </w:p>
        </w:tc>
        <w:tc>
          <w:tcPr>
            <w:tcW w:w="1660" w:type="dxa"/>
            <w:vAlign w:val="bottom"/>
            <w:shd w:val="clear" w:color="auto" w:fill="D8D8D8"/>
          </w:tcPr>
          <w:p>
            <w:pPr>
              <w:jc w:val="right"/>
              <w:ind w:right="249"/>
              <w:spacing w:after="0" w:line="155" w:lineRule="exact"/>
              <w:rPr>
                <w:sz w:val="20"/>
                <w:szCs w:val="20"/>
                <w:color w:val="auto"/>
              </w:rPr>
            </w:pPr>
            <w:r>
              <w:rPr>
                <w:rFonts w:ascii="Arial" w:cs="Arial" w:eastAsia="Arial" w:hAnsi="Arial"/>
                <w:sz w:val="14"/>
                <w:szCs w:val="14"/>
                <w:color w:val="auto"/>
              </w:rPr>
              <w:t>1,400</w:t>
            </w:r>
          </w:p>
        </w:tc>
        <w:tc>
          <w:tcPr>
            <w:tcW w:w="380" w:type="dxa"/>
            <w:vAlign w:val="bottom"/>
          </w:tcPr>
          <w:p>
            <w:pPr>
              <w:spacing w:after="0"/>
              <w:rPr>
                <w:sz w:val="13"/>
                <w:szCs w:val="13"/>
                <w:color w:val="auto"/>
              </w:rPr>
            </w:pPr>
          </w:p>
        </w:tc>
        <w:tc>
          <w:tcPr>
            <w:tcW w:w="1080" w:type="dxa"/>
            <w:vAlign w:val="bottom"/>
            <w:shd w:val="clear" w:color="auto" w:fill="D8D8D8"/>
          </w:tcPr>
          <w:p>
            <w:pPr>
              <w:jc w:val="right"/>
              <w:ind w:right="269"/>
              <w:spacing w:after="0" w:line="155" w:lineRule="exact"/>
              <w:rPr>
                <w:sz w:val="20"/>
                <w:szCs w:val="20"/>
                <w:color w:val="auto"/>
              </w:rPr>
            </w:pPr>
            <w:r>
              <w:rPr>
                <w:rFonts w:ascii="Arial" w:cs="Arial" w:eastAsia="Arial" w:hAnsi="Arial"/>
                <w:sz w:val="14"/>
                <w:szCs w:val="14"/>
                <w:color w:val="auto"/>
              </w:rPr>
              <w:t>1,010</w:t>
            </w:r>
          </w:p>
        </w:tc>
        <w:tc>
          <w:tcPr>
            <w:tcW w:w="1100" w:type="dxa"/>
            <w:vAlign w:val="bottom"/>
          </w:tcPr>
          <w:p>
            <w:pPr>
              <w:jc w:val="right"/>
              <w:ind w:right="269"/>
              <w:spacing w:after="0" w:line="155" w:lineRule="exact"/>
              <w:rPr>
                <w:sz w:val="20"/>
                <w:szCs w:val="20"/>
                <w:color w:val="auto"/>
              </w:rPr>
            </w:pPr>
            <w:r>
              <w:rPr>
                <w:rFonts w:ascii="Arial" w:cs="Arial" w:eastAsia="Arial" w:hAnsi="Arial"/>
                <w:sz w:val="14"/>
                <w:szCs w:val="14"/>
                <w:color w:val="auto"/>
              </w:rPr>
              <w:t>985</w:t>
            </w:r>
          </w:p>
        </w:tc>
        <w:tc>
          <w:tcPr>
            <w:tcW w:w="0" w:type="dxa"/>
            <w:vAlign w:val="bottom"/>
          </w:tcPr>
          <w:p>
            <w:pPr>
              <w:spacing w:after="0"/>
              <w:rPr>
                <w:sz w:val="1"/>
                <w:szCs w:val="1"/>
                <w:color w:val="auto"/>
              </w:rPr>
            </w:pPr>
          </w:p>
        </w:tc>
      </w:tr>
      <w:tr>
        <w:trPr>
          <w:trHeight w:val="162"/>
        </w:trPr>
        <w:tc>
          <w:tcPr>
            <w:tcW w:w="6460" w:type="dxa"/>
            <w:vAlign w:val="bottom"/>
            <w:tcBorders>
              <w:bottom w:val="single" w:sz="8" w:color="auto"/>
            </w:tcBorders>
            <w:gridSpan w:val="2"/>
          </w:tcPr>
          <w:p>
            <w:pPr>
              <w:spacing w:after="0"/>
              <w:rPr>
                <w:sz w:val="20"/>
                <w:szCs w:val="20"/>
                <w:color w:val="auto"/>
              </w:rPr>
            </w:pPr>
            <w:r>
              <w:rPr>
                <w:rFonts w:ascii="Arial" w:cs="Arial" w:eastAsia="Arial" w:hAnsi="Arial"/>
                <w:sz w:val="14"/>
                <w:szCs w:val="14"/>
                <w:color w:val="auto"/>
              </w:rPr>
              <w:t>Taxable benefits</w:t>
            </w:r>
          </w:p>
        </w:tc>
        <w:tc>
          <w:tcPr>
            <w:tcW w:w="74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shd w:val="clear" w:color="auto" w:fill="D8D8D8"/>
          </w:tcPr>
          <w:p>
            <w:pPr>
              <w:jc w:val="right"/>
              <w:ind w:right="269"/>
              <w:spacing w:after="0"/>
              <w:rPr>
                <w:sz w:val="20"/>
                <w:szCs w:val="20"/>
                <w:color w:val="auto"/>
              </w:rPr>
            </w:pPr>
            <w:r>
              <w:rPr>
                <w:rFonts w:ascii="Arial" w:cs="Arial" w:eastAsia="Arial" w:hAnsi="Arial"/>
                <w:sz w:val="14"/>
                <w:szCs w:val="14"/>
                <w:color w:val="auto"/>
              </w:rPr>
              <w:t>35</w:t>
            </w:r>
          </w:p>
        </w:tc>
        <w:tc>
          <w:tcPr>
            <w:tcW w:w="38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shd w:val="clear" w:color="auto" w:fill="D8D8D8"/>
          </w:tcPr>
          <w:p>
            <w:pPr>
              <w:jc w:val="right"/>
              <w:ind w:right="269"/>
              <w:spacing w:after="0"/>
              <w:rPr>
                <w:sz w:val="20"/>
                <w:szCs w:val="20"/>
                <w:color w:val="auto"/>
              </w:rPr>
            </w:pPr>
            <w:r>
              <w:rPr>
                <w:rFonts w:ascii="Arial" w:cs="Arial" w:eastAsia="Arial" w:hAnsi="Arial"/>
                <w:sz w:val="14"/>
                <w:szCs w:val="14"/>
                <w:color w:val="auto"/>
              </w:rPr>
              <w:t>32</w:t>
            </w:r>
          </w:p>
        </w:tc>
        <w:tc>
          <w:tcPr>
            <w:tcW w:w="1100" w:type="dxa"/>
            <w:vAlign w:val="bottom"/>
            <w:tcBorders>
              <w:bottom w:val="single" w:sz="8" w:color="auto"/>
            </w:tcBorders>
          </w:tcPr>
          <w:p>
            <w:pPr>
              <w:jc w:val="right"/>
              <w:ind w:right="269"/>
              <w:spacing w:after="0"/>
              <w:rPr>
                <w:sz w:val="20"/>
                <w:szCs w:val="20"/>
                <w:color w:val="auto"/>
              </w:rPr>
            </w:pPr>
            <w:r>
              <w:rPr>
                <w:rFonts w:ascii="Arial" w:cs="Arial" w:eastAsia="Arial" w:hAnsi="Arial"/>
                <w:sz w:val="14"/>
                <w:szCs w:val="14"/>
                <w:color w:val="auto"/>
              </w:rPr>
              <w:t>52</w:t>
            </w:r>
          </w:p>
        </w:tc>
        <w:tc>
          <w:tcPr>
            <w:tcW w:w="0" w:type="dxa"/>
            <w:vAlign w:val="bottom"/>
          </w:tcPr>
          <w:p>
            <w:pPr>
              <w:spacing w:after="0"/>
              <w:rPr>
                <w:sz w:val="1"/>
                <w:szCs w:val="1"/>
                <w:color w:val="auto"/>
              </w:rPr>
            </w:pPr>
          </w:p>
        </w:tc>
      </w:tr>
      <w:tr>
        <w:trPr>
          <w:trHeight w:val="156"/>
        </w:trPr>
        <w:tc>
          <w:tcPr>
            <w:tcW w:w="6460" w:type="dxa"/>
            <w:vAlign w:val="bottom"/>
            <w:tcBorders>
              <w:bottom w:val="single" w:sz="8" w:color="auto"/>
            </w:tcBorders>
            <w:gridSpan w:val="2"/>
          </w:tcPr>
          <w:p>
            <w:pPr>
              <w:spacing w:after="0" w:line="155" w:lineRule="exact"/>
              <w:rPr>
                <w:sz w:val="20"/>
                <w:szCs w:val="20"/>
                <w:color w:val="auto"/>
              </w:rPr>
            </w:pPr>
            <w:r>
              <w:rPr>
                <w:rFonts w:ascii="Arial" w:cs="Arial" w:eastAsia="Arial" w:hAnsi="Arial"/>
                <w:sz w:val="14"/>
                <w:szCs w:val="14"/>
                <w:color w:val="auto"/>
              </w:rPr>
              <w:t>Total fixed remuneration</w:t>
            </w:r>
          </w:p>
        </w:tc>
        <w:tc>
          <w:tcPr>
            <w:tcW w:w="740" w:type="dxa"/>
            <w:vAlign w:val="bottom"/>
            <w:tcBorders>
              <w:bottom w:val="single" w:sz="8" w:color="auto"/>
            </w:tcBorders>
          </w:tcPr>
          <w:p>
            <w:pPr>
              <w:spacing w:after="0"/>
              <w:rPr>
                <w:sz w:val="13"/>
                <w:szCs w:val="13"/>
                <w:color w:val="auto"/>
              </w:rPr>
            </w:pPr>
          </w:p>
        </w:tc>
        <w:tc>
          <w:tcPr>
            <w:tcW w:w="1660" w:type="dxa"/>
            <w:vAlign w:val="bottom"/>
            <w:tcBorders>
              <w:bottom w:val="single" w:sz="8" w:color="auto"/>
            </w:tcBorders>
            <w:shd w:val="clear" w:color="auto" w:fill="D8D8D8"/>
          </w:tcPr>
          <w:p>
            <w:pPr>
              <w:jc w:val="right"/>
              <w:ind w:right="269"/>
              <w:spacing w:after="0" w:line="155" w:lineRule="exact"/>
              <w:rPr>
                <w:sz w:val="20"/>
                <w:szCs w:val="20"/>
                <w:color w:val="auto"/>
              </w:rPr>
            </w:pPr>
            <w:r>
              <w:rPr>
                <w:rFonts w:ascii="Arial" w:cs="Arial" w:eastAsia="Arial" w:hAnsi="Arial"/>
                <w:sz w:val="14"/>
                <w:szCs w:val="14"/>
                <w:color w:val="auto"/>
              </w:rPr>
              <w:t>1,435</w:t>
            </w:r>
          </w:p>
        </w:tc>
        <w:tc>
          <w:tcPr>
            <w:tcW w:w="38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shd w:val="clear" w:color="auto" w:fill="D8D8D8"/>
          </w:tcPr>
          <w:p>
            <w:pPr>
              <w:jc w:val="right"/>
              <w:ind w:right="269"/>
              <w:spacing w:after="0" w:line="155" w:lineRule="exact"/>
              <w:rPr>
                <w:sz w:val="20"/>
                <w:szCs w:val="20"/>
                <w:color w:val="auto"/>
              </w:rPr>
            </w:pPr>
            <w:r>
              <w:rPr>
                <w:rFonts w:ascii="Arial" w:cs="Arial" w:eastAsia="Arial" w:hAnsi="Arial"/>
                <w:sz w:val="14"/>
                <w:szCs w:val="14"/>
                <w:color w:val="auto"/>
              </w:rPr>
              <w:t>1,042</w:t>
            </w:r>
          </w:p>
        </w:tc>
        <w:tc>
          <w:tcPr>
            <w:tcW w:w="1100" w:type="dxa"/>
            <w:vAlign w:val="bottom"/>
            <w:tcBorders>
              <w:bottom w:val="single" w:sz="8" w:color="auto"/>
            </w:tcBorders>
          </w:tcPr>
          <w:p>
            <w:pPr>
              <w:jc w:val="right"/>
              <w:ind w:right="269"/>
              <w:spacing w:after="0" w:line="155" w:lineRule="exact"/>
              <w:rPr>
                <w:sz w:val="20"/>
                <w:szCs w:val="20"/>
                <w:color w:val="auto"/>
              </w:rPr>
            </w:pPr>
            <w:r>
              <w:rPr>
                <w:rFonts w:ascii="Arial" w:cs="Arial" w:eastAsia="Arial" w:hAnsi="Arial"/>
                <w:sz w:val="14"/>
                <w:szCs w:val="14"/>
                <w:color w:val="auto"/>
              </w:rPr>
              <w:t>1,037</w:t>
            </w:r>
          </w:p>
        </w:tc>
        <w:tc>
          <w:tcPr>
            <w:tcW w:w="0" w:type="dxa"/>
            <w:vAlign w:val="bottom"/>
          </w:tcPr>
          <w:p>
            <w:pPr>
              <w:spacing w:after="0"/>
              <w:rPr>
                <w:sz w:val="1"/>
                <w:szCs w:val="1"/>
                <w:color w:val="auto"/>
              </w:rPr>
            </w:pPr>
          </w:p>
        </w:tc>
      </w:tr>
      <w:tr>
        <w:trPr>
          <w:trHeight w:val="160"/>
        </w:trPr>
        <w:tc>
          <w:tcPr>
            <w:tcW w:w="6460" w:type="dxa"/>
            <w:vAlign w:val="bottom"/>
            <w:gridSpan w:val="2"/>
          </w:tcPr>
          <w:p>
            <w:pPr>
              <w:spacing w:after="0"/>
              <w:rPr>
                <w:sz w:val="20"/>
                <w:szCs w:val="20"/>
                <w:color w:val="auto"/>
              </w:rPr>
            </w:pPr>
            <w:r>
              <w:rPr>
                <w:rFonts w:ascii="Arial" w:cs="Arial" w:eastAsia="Arial" w:hAnsi="Arial"/>
                <w:sz w:val="14"/>
                <w:szCs w:val="14"/>
                <w:color w:val="auto"/>
              </w:rPr>
              <w:t>Annual bonus [A]</w:t>
            </w:r>
          </w:p>
        </w:tc>
        <w:tc>
          <w:tcPr>
            <w:tcW w:w="740" w:type="dxa"/>
            <w:vAlign w:val="bottom"/>
          </w:tcPr>
          <w:p>
            <w:pPr>
              <w:spacing w:after="0"/>
              <w:rPr>
                <w:sz w:val="13"/>
                <w:szCs w:val="13"/>
                <w:color w:val="auto"/>
              </w:rPr>
            </w:pPr>
          </w:p>
        </w:tc>
        <w:tc>
          <w:tcPr>
            <w:tcW w:w="1660" w:type="dxa"/>
            <w:vAlign w:val="bottom"/>
            <w:shd w:val="clear" w:color="auto" w:fill="D8D8D8"/>
          </w:tcPr>
          <w:p>
            <w:pPr>
              <w:jc w:val="right"/>
              <w:ind w:right="269"/>
              <w:spacing w:after="0"/>
              <w:rPr>
                <w:sz w:val="20"/>
                <w:szCs w:val="20"/>
                <w:color w:val="auto"/>
              </w:rPr>
            </w:pPr>
            <w:r>
              <w:rPr>
                <w:rFonts w:ascii="Arial" w:cs="Arial" w:eastAsia="Arial" w:hAnsi="Arial"/>
                <w:sz w:val="14"/>
                <w:szCs w:val="14"/>
                <w:color w:val="auto"/>
              </w:rPr>
              <w:t>3,300</w:t>
            </w:r>
          </w:p>
        </w:tc>
        <w:tc>
          <w:tcPr>
            <w:tcW w:w="380" w:type="dxa"/>
            <w:vAlign w:val="bottom"/>
          </w:tcPr>
          <w:p>
            <w:pPr>
              <w:spacing w:after="0"/>
              <w:rPr>
                <w:sz w:val="13"/>
                <w:szCs w:val="13"/>
                <w:color w:val="auto"/>
              </w:rPr>
            </w:pPr>
          </w:p>
        </w:tc>
        <w:tc>
          <w:tcPr>
            <w:tcW w:w="1080" w:type="dxa"/>
            <w:vAlign w:val="bottom"/>
            <w:shd w:val="clear" w:color="auto" w:fill="D8D8D8"/>
          </w:tcPr>
          <w:p>
            <w:pPr>
              <w:jc w:val="right"/>
              <w:ind w:right="269"/>
              <w:spacing w:after="0"/>
              <w:rPr>
                <w:sz w:val="20"/>
                <w:szCs w:val="20"/>
                <w:color w:val="auto"/>
              </w:rPr>
            </w:pPr>
            <w:r>
              <w:rPr>
                <w:rFonts w:ascii="Arial" w:cs="Arial" w:eastAsia="Arial" w:hAnsi="Arial"/>
                <w:sz w:val="14"/>
                <w:szCs w:val="14"/>
                <w:color w:val="auto"/>
              </w:rPr>
              <w:t>1,900</w:t>
            </w:r>
          </w:p>
        </w:tc>
        <w:tc>
          <w:tcPr>
            <w:tcW w:w="1100" w:type="dxa"/>
            <w:vAlign w:val="bottom"/>
          </w:tcPr>
          <w:p>
            <w:pPr>
              <w:jc w:val="right"/>
              <w:ind w:right="269"/>
              <w:spacing w:after="0"/>
              <w:rPr>
                <w:sz w:val="20"/>
                <w:szCs w:val="20"/>
                <w:color w:val="auto"/>
              </w:rPr>
            </w:pPr>
            <w:r>
              <w:rPr>
                <w:rFonts w:ascii="Arial" w:cs="Arial" w:eastAsia="Arial" w:hAnsi="Arial"/>
                <w:sz w:val="14"/>
                <w:szCs w:val="14"/>
                <w:color w:val="auto"/>
              </w:rPr>
              <w:t>900</w:t>
            </w:r>
          </w:p>
        </w:tc>
        <w:tc>
          <w:tcPr>
            <w:tcW w:w="0" w:type="dxa"/>
            <w:vAlign w:val="bottom"/>
          </w:tcPr>
          <w:p>
            <w:pPr>
              <w:spacing w:after="0"/>
              <w:rPr>
                <w:sz w:val="1"/>
                <w:szCs w:val="1"/>
                <w:color w:val="auto"/>
              </w:rPr>
            </w:pPr>
          </w:p>
        </w:tc>
      </w:tr>
      <w:tr>
        <w:trPr>
          <w:trHeight w:val="157"/>
        </w:trPr>
        <w:tc>
          <w:tcPr>
            <w:tcW w:w="6460" w:type="dxa"/>
            <w:vAlign w:val="bottom"/>
            <w:tcBorders>
              <w:bottom w:val="single" w:sz="8" w:color="auto"/>
            </w:tcBorders>
            <w:gridSpan w:val="2"/>
          </w:tcPr>
          <w:p>
            <w:pPr>
              <w:spacing w:after="0" w:line="157" w:lineRule="exact"/>
              <w:rPr>
                <w:sz w:val="20"/>
                <w:szCs w:val="20"/>
                <w:color w:val="auto"/>
              </w:rPr>
            </w:pPr>
            <w:r>
              <w:rPr>
                <w:rFonts w:ascii="Arial" w:cs="Arial" w:eastAsia="Arial" w:hAnsi="Arial"/>
                <w:sz w:val="14"/>
                <w:szCs w:val="14"/>
                <w:color w:val="auto"/>
              </w:rPr>
              <w:t>LTIP, DBP and PSP [B]</w:t>
            </w:r>
          </w:p>
        </w:tc>
        <w:tc>
          <w:tcPr>
            <w:tcW w:w="740" w:type="dxa"/>
            <w:vAlign w:val="bottom"/>
            <w:tcBorders>
              <w:bottom w:val="single" w:sz="8" w:color="auto"/>
            </w:tcBorders>
          </w:tcPr>
          <w:p>
            <w:pPr>
              <w:spacing w:after="0"/>
              <w:rPr>
                <w:sz w:val="13"/>
                <w:szCs w:val="13"/>
                <w:color w:val="auto"/>
              </w:rPr>
            </w:pPr>
          </w:p>
        </w:tc>
        <w:tc>
          <w:tcPr>
            <w:tcW w:w="1660" w:type="dxa"/>
            <w:vAlign w:val="bottom"/>
            <w:tcBorders>
              <w:bottom w:val="single" w:sz="8" w:color="auto"/>
            </w:tcBorders>
            <w:shd w:val="clear" w:color="auto" w:fill="D8D8D8"/>
          </w:tcPr>
          <w:p>
            <w:pPr>
              <w:jc w:val="right"/>
              <w:ind w:right="269"/>
              <w:spacing w:after="0" w:line="157" w:lineRule="exact"/>
              <w:rPr>
                <w:sz w:val="20"/>
                <w:szCs w:val="20"/>
                <w:color w:val="auto"/>
              </w:rPr>
            </w:pPr>
            <w:r>
              <w:rPr>
                <w:rFonts w:ascii="Arial" w:cs="Arial" w:eastAsia="Arial" w:hAnsi="Arial"/>
                <w:sz w:val="14"/>
                <w:szCs w:val="14"/>
                <w:color w:val="auto"/>
              </w:rPr>
              <w:t>863</w:t>
            </w:r>
          </w:p>
        </w:tc>
        <w:tc>
          <w:tcPr>
            <w:tcW w:w="38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shd w:val="clear" w:color="auto" w:fill="D8D8D8"/>
          </w:tcPr>
          <w:p>
            <w:pPr>
              <w:jc w:val="right"/>
              <w:ind w:right="269"/>
              <w:spacing w:after="0" w:line="157" w:lineRule="exact"/>
              <w:rPr>
                <w:sz w:val="20"/>
                <w:szCs w:val="20"/>
                <w:color w:val="auto"/>
              </w:rPr>
            </w:pPr>
            <w:r>
              <w:rPr>
                <w:rFonts w:ascii="Arial" w:cs="Arial" w:eastAsia="Arial" w:hAnsi="Arial"/>
                <w:sz w:val="14"/>
                <w:szCs w:val="14"/>
                <w:color w:val="auto"/>
              </w:rPr>
              <w:t>2,857</w:t>
            </w:r>
          </w:p>
        </w:tc>
        <w:tc>
          <w:tcPr>
            <w:tcW w:w="1100" w:type="dxa"/>
            <w:vAlign w:val="bottom"/>
            <w:tcBorders>
              <w:bottom w:val="single" w:sz="8" w:color="auto"/>
            </w:tcBorders>
          </w:tcPr>
          <w:p>
            <w:pPr>
              <w:jc w:val="right"/>
              <w:ind w:right="269"/>
              <w:spacing w:after="0" w:line="157" w:lineRule="exact"/>
              <w:rPr>
                <w:sz w:val="20"/>
                <w:szCs w:val="20"/>
                <w:color w:val="auto"/>
              </w:rPr>
            </w:pPr>
            <w:r>
              <w:rPr>
                <w:rFonts w:ascii="Arial" w:cs="Arial" w:eastAsia="Arial" w:hAnsi="Arial"/>
                <w:sz w:val="14"/>
                <w:szCs w:val="14"/>
                <w:color w:val="auto"/>
              </w:rPr>
              <w:t>1,986</w:t>
            </w:r>
          </w:p>
        </w:tc>
        <w:tc>
          <w:tcPr>
            <w:tcW w:w="0" w:type="dxa"/>
            <w:vAlign w:val="bottom"/>
          </w:tcPr>
          <w:p>
            <w:pPr>
              <w:spacing w:after="0"/>
              <w:rPr>
                <w:sz w:val="1"/>
                <w:szCs w:val="1"/>
                <w:color w:val="auto"/>
              </w:rPr>
            </w:pPr>
          </w:p>
        </w:tc>
      </w:tr>
      <w:tr>
        <w:trPr>
          <w:trHeight w:val="156"/>
        </w:trPr>
        <w:tc>
          <w:tcPr>
            <w:tcW w:w="6460" w:type="dxa"/>
            <w:vAlign w:val="bottom"/>
            <w:tcBorders>
              <w:bottom w:val="single" w:sz="8" w:color="auto"/>
            </w:tcBorders>
            <w:gridSpan w:val="2"/>
          </w:tcPr>
          <w:p>
            <w:pPr>
              <w:spacing w:after="0" w:line="155" w:lineRule="exact"/>
              <w:rPr>
                <w:sz w:val="20"/>
                <w:szCs w:val="20"/>
                <w:color w:val="auto"/>
              </w:rPr>
            </w:pPr>
            <w:r>
              <w:rPr>
                <w:rFonts w:ascii="Arial" w:cs="Arial" w:eastAsia="Arial" w:hAnsi="Arial"/>
                <w:sz w:val="14"/>
                <w:szCs w:val="14"/>
                <w:color w:val="auto"/>
              </w:rPr>
              <w:t>Total variable remuneration</w:t>
            </w:r>
          </w:p>
        </w:tc>
        <w:tc>
          <w:tcPr>
            <w:tcW w:w="740" w:type="dxa"/>
            <w:vAlign w:val="bottom"/>
            <w:tcBorders>
              <w:bottom w:val="single" w:sz="8" w:color="auto"/>
            </w:tcBorders>
          </w:tcPr>
          <w:p>
            <w:pPr>
              <w:spacing w:after="0"/>
              <w:rPr>
                <w:sz w:val="13"/>
                <w:szCs w:val="13"/>
                <w:color w:val="auto"/>
              </w:rPr>
            </w:pPr>
          </w:p>
        </w:tc>
        <w:tc>
          <w:tcPr>
            <w:tcW w:w="1660" w:type="dxa"/>
            <w:vAlign w:val="bottom"/>
            <w:tcBorders>
              <w:bottom w:val="single" w:sz="8" w:color="auto"/>
            </w:tcBorders>
            <w:shd w:val="clear" w:color="auto" w:fill="D8D8D8"/>
          </w:tcPr>
          <w:p>
            <w:pPr>
              <w:jc w:val="right"/>
              <w:ind w:right="269"/>
              <w:spacing w:after="0" w:line="155" w:lineRule="exact"/>
              <w:rPr>
                <w:sz w:val="20"/>
                <w:szCs w:val="20"/>
                <w:color w:val="auto"/>
              </w:rPr>
            </w:pPr>
            <w:r>
              <w:rPr>
                <w:rFonts w:ascii="Arial" w:cs="Arial" w:eastAsia="Arial" w:hAnsi="Arial"/>
                <w:sz w:val="14"/>
                <w:szCs w:val="14"/>
                <w:color w:val="auto"/>
              </w:rPr>
              <w:t>4,163</w:t>
            </w:r>
          </w:p>
        </w:tc>
        <w:tc>
          <w:tcPr>
            <w:tcW w:w="38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shd w:val="clear" w:color="auto" w:fill="D8D8D8"/>
          </w:tcPr>
          <w:p>
            <w:pPr>
              <w:jc w:val="right"/>
              <w:ind w:right="269"/>
              <w:spacing w:after="0" w:line="155" w:lineRule="exact"/>
              <w:rPr>
                <w:sz w:val="20"/>
                <w:szCs w:val="20"/>
                <w:color w:val="auto"/>
              </w:rPr>
            </w:pPr>
            <w:r>
              <w:rPr>
                <w:rFonts w:ascii="Arial" w:cs="Arial" w:eastAsia="Arial" w:hAnsi="Arial"/>
                <w:sz w:val="14"/>
                <w:szCs w:val="14"/>
                <w:color w:val="auto"/>
              </w:rPr>
              <w:t>4,757</w:t>
            </w:r>
          </w:p>
        </w:tc>
        <w:tc>
          <w:tcPr>
            <w:tcW w:w="1100" w:type="dxa"/>
            <w:vAlign w:val="bottom"/>
            <w:tcBorders>
              <w:bottom w:val="single" w:sz="8" w:color="auto"/>
            </w:tcBorders>
          </w:tcPr>
          <w:p>
            <w:pPr>
              <w:jc w:val="right"/>
              <w:ind w:right="269"/>
              <w:spacing w:after="0" w:line="155" w:lineRule="exact"/>
              <w:rPr>
                <w:sz w:val="20"/>
                <w:szCs w:val="20"/>
                <w:color w:val="auto"/>
              </w:rPr>
            </w:pPr>
            <w:r>
              <w:rPr>
                <w:rFonts w:ascii="Arial" w:cs="Arial" w:eastAsia="Arial" w:hAnsi="Arial"/>
                <w:sz w:val="14"/>
                <w:szCs w:val="14"/>
                <w:color w:val="auto"/>
              </w:rPr>
              <w:t>2,886</w:t>
            </w:r>
          </w:p>
        </w:tc>
        <w:tc>
          <w:tcPr>
            <w:tcW w:w="0" w:type="dxa"/>
            <w:vAlign w:val="bottom"/>
          </w:tcPr>
          <w:p>
            <w:pPr>
              <w:spacing w:after="0"/>
              <w:rPr>
                <w:sz w:val="1"/>
                <w:szCs w:val="1"/>
                <w:color w:val="auto"/>
              </w:rPr>
            </w:pPr>
          </w:p>
        </w:tc>
      </w:tr>
      <w:tr>
        <w:trPr>
          <w:trHeight w:val="156"/>
        </w:trPr>
        <w:tc>
          <w:tcPr>
            <w:tcW w:w="6460" w:type="dxa"/>
            <w:vAlign w:val="bottom"/>
            <w:tcBorders>
              <w:bottom w:val="single" w:sz="8" w:color="auto"/>
            </w:tcBorders>
            <w:gridSpan w:val="2"/>
          </w:tcPr>
          <w:p>
            <w:pPr>
              <w:spacing w:after="0" w:line="155" w:lineRule="exact"/>
              <w:rPr>
                <w:sz w:val="20"/>
                <w:szCs w:val="20"/>
                <w:color w:val="auto"/>
              </w:rPr>
            </w:pPr>
            <w:r>
              <w:rPr>
                <w:rFonts w:ascii="Arial" w:cs="Arial" w:eastAsia="Arial" w:hAnsi="Arial"/>
                <w:sz w:val="14"/>
                <w:szCs w:val="14"/>
                <w:b w:val="1"/>
                <w:bCs w:val="1"/>
                <w:color w:val="auto"/>
              </w:rPr>
              <w:t>Total direct remuneration</w:t>
            </w:r>
          </w:p>
        </w:tc>
        <w:tc>
          <w:tcPr>
            <w:tcW w:w="740" w:type="dxa"/>
            <w:vAlign w:val="bottom"/>
            <w:tcBorders>
              <w:bottom w:val="single" w:sz="8" w:color="auto"/>
            </w:tcBorders>
          </w:tcPr>
          <w:p>
            <w:pPr>
              <w:spacing w:after="0"/>
              <w:rPr>
                <w:sz w:val="13"/>
                <w:szCs w:val="13"/>
                <w:color w:val="auto"/>
              </w:rPr>
            </w:pPr>
          </w:p>
        </w:tc>
        <w:tc>
          <w:tcPr>
            <w:tcW w:w="1660" w:type="dxa"/>
            <w:vAlign w:val="bottom"/>
            <w:tcBorders>
              <w:bottom w:val="single" w:sz="8" w:color="auto"/>
            </w:tcBorders>
            <w:shd w:val="clear" w:color="auto" w:fill="D8D8D8"/>
          </w:tcPr>
          <w:p>
            <w:pPr>
              <w:jc w:val="right"/>
              <w:ind w:right="269"/>
              <w:spacing w:after="0" w:line="155" w:lineRule="exact"/>
              <w:rPr>
                <w:sz w:val="20"/>
                <w:szCs w:val="20"/>
                <w:color w:val="auto"/>
              </w:rPr>
            </w:pPr>
            <w:r>
              <w:rPr>
                <w:rFonts w:ascii="Arial" w:cs="Arial" w:eastAsia="Arial" w:hAnsi="Arial"/>
                <w:sz w:val="14"/>
                <w:szCs w:val="14"/>
                <w:color w:val="auto"/>
              </w:rPr>
              <w:t>5,598</w:t>
            </w:r>
          </w:p>
        </w:tc>
        <w:tc>
          <w:tcPr>
            <w:tcW w:w="38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shd w:val="clear" w:color="auto" w:fill="D8D8D8"/>
          </w:tcPr>
          <w:p>
            <w:pPr>
              <w:jc w:val="right"/>
              <w:ind w:right="269"/>
              <w:spacing w:after="0" w:line="155" w:lineRule="exact"/>
              <w:rPr>
                <w:sz w:val="20"/>
                <w:szCs w:val="20"/>
                <w:color w:val="auto"/>
              </w:rPr>
            </w:pPr>
            <w:r>
              <w:rPr>
                <w:rFonts w:ascii="Arial" w:cs="Arial" w:eastAsia="Arial" w:hAnsi="Arial"/>
                <w:sz w:val="14"/>
                <w:szCs w:val="14"/>
                <w:color w:val="auto"/>
              </w:rPr>
              <w:t>5,799</w:t>
            </w:r>
          </w:p>
        </w:tc>
        <w:tc>
          <w:tcPr>
            <w:tcW w:w="1100" w:type="dxa"/>
            <w:vAlign w:val="bottom"/>
            <w:tcBorders>
              <w:bottom w:val="single" w:sz="8" w:color="auto"/>
            </w:tcBorders>
          </w:tcPr>
          <w:p>
            <w:pPr>
              <w:jc w:val="right"/>
              <w:ind w:right="269"/>
              <w:spacing w:after="0" w:line="155" w:lineRule="exact"/>
              <w:rPr>
                <w:sz w:val="20"/>
                <w:szCs w:val="20"/>
                <w:color w:val="auto"/>
              </w:rPr>
            </w:pPr>
            <w:r>
              <w:rPr>
                <w:rFonts w:ascii="Arial" w:cs="Arial" w:eastAsia="Arial" w:hAnsi="Arial"/>
                <w:sz w:val="14"/>
                <w:szCs w:val="14"/>
                <w:color w:val="auto"/>
              </w:rPr>
              <w:t>3,923</w:t>
            </w:r>
          </w:p>
        </w:tc>
        <w:tc>
          <w:tcPr>
            <w:tcW w:w="0" w:type="dxa"/>
            <w:vAlign w:val="bottom"/>
          </w:tcPr>
          <w:p>
            <w:pPr>
              <w:spacing w:after="0"/>
              <w:rPr>
                <w:sz w:val="1"/>
                <w:szCs w:val="1"/>
                <w:color w:val="auto"/>
              </w:rPr>
            </w:pPr>
          </w:p>
        </w:tc>
      </w:tr>
      <w:tr>
        <w:trPr>
          <w:trHeight w:val="160"/>
        </w:trPr>
        <w:tc>
          <w:tcPr>
            <w:tcW w:w="6460" w:type="dxa"/>
            <w:vAlign w:val="bottom"/>
            <w:gridSpan w:val="2"/>
          </w:tcPr>
          <w:p>
            <w:pPr>
              <w:spacing w:after="0"/>
              <w:rPr>
                <w:sz w:val="20"/>
                <w:szCs w:val="20"/>
                <w:color w:val="auto"/>
              </w:rPr>
            </w:pPr>
            <w:r>
              <w:rPr>
                <w:rFonts w:ascii="Arial" w:cs="Arial" w:eastAsia="Arial" w:hAnsi="Arial"/>
                <w:sz w:val="14"/>
                <w:szCs w:val="14"/>
                <w:color w:val="auto"/>
              </w:rPr>
              <w:t>Pension [C]</w:t>
            </w:r>
          </w:p>
        </w:tc>
        <w:tc>
          <w:tcPr>
            <w:tcW w:w="740" w:type="dxa"/>
            <w:vAlign w:val="bottom"/>
          </w:tcPr>
          <w:p>
            <w:pPr>
              <w:spacing w:after="0"/>
              <w:rPr>
                <w:sz w:val="13"/>
                <w:szCs w:val="13"/>
                <w:color w:val="auto"/>
              </w:rPr>
            </w:pPr>
          </w:p>
        </w:tc>
        <w:tc>
          <w:tcPr>
            <w:tcW w:w="1660" w:type="dxa"/>
            <w:vAlign w:val="bottom"/>
            <w:shd w:val="clear" w:color="auto" w:fill="D8D8D8"/>
          </w:tcPr>
          <w:p>
            <w:pPr>
              <w:jc w:val="right"/>
              <w:ind w:right="269"/>
              <w:spacing w:after="0"/>
              <w:rPr>
                <w:sz w:val="20"/>
                <w:szCs w:val="20"/>
                <w:color w:val="auto"/>
              </w:rPr>
            </w:pPr>
            <w:r>
              <w:rPr>
                <w:rFonts w:ascii="Arial" w:cs="Arial" w:eastAsia="Arial" w:hAnsi="Arial"/>
                <w:sz w:val="14"/>
                <w:szCs w:val="14"/>
                <w:color w:val="auto"/>
              </w:rPr>
              <w:t>10,695</w:t>
            </w:r>
          </w:p>
        </w:tc>
        <w:tc>
          <w:tcPr>
            <w:tcW w:w="380" w:type="dxa"/>
            <w:vAlign w:val="bottom"/>
          </w:tcPr>
          <w:p>
            <w:pPr>
              <w:spacing w:after="0"/>
              <w:rPr>
                <w:sz w:val="13"/>
                <w:szCs w:val="13"/>
                <w:color w:val="auto"/>
              </w:rPr>
            </w:pPr>
          </w:p>
        </w:tc>
        <w:tc>
          <w:tcPr>
            <w:tcW w:w="1080" w:type="dxa"/>
            <w:vAlign w:val="bottom"/>
            <w:shd w:val="clear" w:color="auto" w:fill="D8D8D8"/>
          </w:tcPr>
          <w:p>
            <w:pPr>
              <w:jc w:val="right"/>
              <w:ind w:right="269"/>
              <w:spacing w:after="0"/>
              <w:rPr>
                <w:sz w:val="20"/>
                <w:szCs w:val="20"/>
                <w:color w:val="auto"/>
              </w:rPr>
            </w:pPr>
            <w:r>
              <w:rPr>
                <w:rFonts w:ascii="Arial" w:cs="Arial" w:eastAsia="Arial" w:hAnsi="Arial"/>
                <w:sz w:val="14"/>
                <w:szCs w:val="14"/>
                <w:color w:val="auto"/>
              </w:rPr>
              <w:t>442</w:t>
            </w:r>
          </w:p>
        </w:tc>
        <w:tc>
          <w:tcPr>
            <w:tcW w:w="1100" w:type="dxa"/>
            <w:vAlign w:val="bottom"/>
          </w:tcPr>
          <w:p>
            <w:pPr>
              <w:jc w:val="right"/>
              <w:ind w:right="269"/>
              <w:spacing w:after="0"/>
              <w:rPr>
                <w:sz w:val="20"/>
                <w:szCs w:val="20"/>
                <w:color w:val="auto"/>
              </w:rPr>
            </w:pPr>
            <w:r>
              <w:rPr>
                <w:rFonts w:ascii="Arial" w:cs="Arial" w:eastAsia="Arial" w:hAnsi="Arial"/>
                <w:sz w:val="14"/>
                <w:szCs w:val="14"/>
                <w:color w:val="auto"/>
              </w:rPr>
              <w:t>508</w:t>
            </w:r>
          </w:p>
        </w:tc>
        <w:tc>
          <w:tcPr>
            <w:tcW w:w="0" w:type="dxa"/>
            <w:vAlign w:val="bottom"/>
          </w:tcPr>
          <w:p>
            <w:pPr>
              <w:spacing w:after="0"/>
              <w:rPr>
                <w:sz w:val="1"/>
                <w:szCs w:val="1"/>
                <w:color w:val="auto"/>
              </w:rPr>
            </w:pPr>
          </w:p>
        </w:tc>
      </w:tr>
      <w:tr>
        <w:trPr>
          <w:trHeight w:val="157"/>
        </w:trPr>
        <w:tc>
          <w:tcPr>
            <w:tcW w:w="6460" w:type="dxa"/>
            <w:vAlign w:val="bottom"/>
            <w:tcBorders>
              <w:bottom w:val="single" w:sz="8" w:color="auto"/>
            </w:tcBorders>
            <w:gridSpan w:val="2"/>
          </w:tcPr>
          <w:p>
            <w:pPr>
              <w:spacing w:after="0" w:line="157" w:lineRule="exact"/>
              <w:rPr>
                <w:sz w:val="20"/>
                <w:szCs w:val="20"/>
                <w:color w:val="auto"/>
              </w:rPr>
            </w:pPr>
            <w:r>
              <w:rPr>
                <w:rFonts w:ascii="Arial" w:cs="Arial" w:eastAsia="Arial" w:hAnsi="Arial"/>
                <w:sz w:val="14"/>
                <w:szCs w:val="14"/>
                <w:color w:val="auto"/>
              </w:rPr>
              <w:t>Tax equalisation [D]</w:t>
            </w:r>
          </w:p>
        </w:tc>
        <w:tc>
          <w:tcPr>
            <w:tcW w:w="740" w:type="dxa"/>
            <w:vAlign w:val="bottom"/>
            <w:tcBorders>
              <w:bottom w:val="single" w:sz="8" w:color="auto"/>
            </w:tcBorders>
          </w:tcPr>
          <w:p>
            <w:pPr>
              <w:spacing w:after="0"/>
              <w:rPr>
                <w:sz w:val="13"/>
                <w:szCs w:val="13"/>
                <w:color w:val="auto"/>
              </w:rPr>
            </w:pPr>
          </w:p>
        </w:tc>
        <w:tc>
          <w:tcPr>
            <w:tcW w:w="1660" w:type="dxa"/>
            <w:vAlign w:val="bottom"/>
            <w:tcBorders>
              <w:bottom w:val="single" w:sz="8" w:color="auto"/>
            </w:tcBorders>
            <w:shd w:val="clear" w:color="auto" w:fill="D8D8D8"/>
          </w:tcPr>
          <w:p>
            <w:pPr>
              <w:jc w:val="right"/>
              <w:ind w:right="269"/>
              <w:spacing w:after="0" w:line="157" w:lineRule="exact"/>
              <w:rPr>
                <w:sz w:val="20"/>
                <w:szCs w:val="20"/>
                <w:color w:val="auto"/>
              </w:rPr>
            </w:pPr>
            <w:r>
              <w:rPr>
                <w:rFonts w:ascii="Arial" w:cs="Arial" w:eastAsia="Arial" w:hAnsi="Arial"/>
                <w:sz w:val="14"/>
                <w:szCs w:val="14"/>
                <w:color w:val="auto"/>
              </w:rPr>
              <w:t>7,905</w:t>
            </w:r>
          </w:p>
        </w:tc>
        <w:tc>
          <w:tcPr>
            <w:tcW w:w="38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shd w:val="clear" w:color="auto" w:fill="D8D8D8"/>
          </w:tcPr>
          <w:p>
            <w:pPr>
              <w:jc w:val="right"/>
              <w:ind w:right="269"/>
              <w:spacing w:after="0" w:line="157" w:lineRule="exact"/>
              <w:rPr>
                <w:sz w:val="20"/>
                <w:szCs w:val="20"/>
                <w:color w:val="auto"/>
              </w:rPr>
            </w:pPr>
            <w:r>
              <w:rPr>
                <w:rFonts w:ascii="Arial" w:cs="Arial" w:eastAsia="Arial" w:hAnsi="Arial"/>
                <w:sz w:val="14"/>
                <w:szCs w:val="14"/>
                <w:color w:val="auto"/>
              </w:rPr>
              <w:t>244</w:t>
            </w:r>
          </w:p>
        </w:tc>
        <w:tc>
          <w:tcPr>
            <w:tcW w:w="1100" w:type="dxa"/>
            <w:vAlign w:val="bottom"/>
            <w:tcBorders>
              <w:bottom w:val="single" w:sz="8" w:color="auto"/>
            </w:tcBorders>
          </w:tcPr>
          <w:p>
            <w:pPr>
              <w:jc w:val="right"/>
              <w:ind w:right="269"/>
              <w:spacing w:after="0" w:line="157"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6"/>
        </w:trPr>
        <w:tc>
          <w:tcPr>
            <w:tcW w:w="6460" w:type="dxa"/>
            <w:vAlign w:val="bottom"/>
            <w:tcBorders>
              <w:bottom w:val="single" w:sz="8" w:color="auto"/>
            </w:tcBorders>
            <w:gridSpan w:val="2"/>
          </w:tcPr>
          <w:p>
            <w:pPr>
              <w:spacing w:after="0" w:line="155" w:lineRule="exact"/>
              <w:rPr>
                <w:sz w:val="20"/>
                <w:szCs w:val="20"/>
                <w:color w:val="auto"/>
              </w:rPr>
            </w:pPr>
            <w:r>
              <w:rPr>
                <w:rFonts w:ascii="Arial" w:cs="Arial" w:eastAsia="Arial" w:hAnsi="Arial"/>
                <w:sz w:val="14"/>
                <w:szCs w:val="14"/>
                <w:b w:val="1"/>
                <w:bCs w:val="1"/>
                <w:color w:val="auto"/>
              </w:rPr>
              <w:t>Total remuneration including pension and tax equalisation</w:t>
            </w:r>
          </w:p>
        </w:tc>
        <w:tc>
          <w:tcPr>
            <w:tcW w:w="740" w:type="dxa"/>
            <w:vAlign w:val="bottom"/>
            <w:tcBorders>
              <w:bottom w:val="single" w:sz="8" w:color="auto"/>
            </w:tcBorders>
          </w:tcPr>
          <w:p>
            <w:pPr>
              <w:spacing w:after="0"/>
              <w:rPr>
                <w:sz w:val="13"/>
                <w:szCs w:val="13"/>
                <w:color w:val="auto"/>
              </w:rPr>
            </w:pPr>
          </w:p>
        </w:tc>
        <w:tc>
          <w:tcPr>
            <w:tcW w:w="1660" w:type="dxa"/>
            <w:vAlign w:val="bottom"/>
            <w:tcBorders>
              <w:bottom w:val="single" w:sz="8" w:color="auto"/>
            </w:tcBorders>
            <w:shd w:val="clear" w:color="auto" w:fill="D8D8D8"/>
          </w:tcPr>
          <w:p>
            <w:pPr>
              <w:jc w:val="right"/>
              <w:ind w:right="269"/>
              <w:spacing w:after="0" w:line="155" w:lineRule="exact"/>
              <w:rPr>
                <w:sz w:val="20"/>
                <w:szCs w:val="20"/>
                <w:color w:val="auto"/>
              </w:rPr>
            </w:pPr>
            <w:r>
              <w:rPr>
                <w:rFonts w:ascii="Arial" w:cs="Arial" w:eastAsia="Arial" w:hAnsi="Arial"/>
                <w:sz w:val="14"/>
                <w:szCs w:val="14"/>
                <w:color w:val="auto"/>
              </w:rPr>
              <w:t>24,198</w:t>
            </w:r>
          </w:p>
        </w:tc>
        <w:tc>
          <w:tcPr>
            <w:tcW w:w="38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shd w:val="clear" w:color="auto" w:fill="D8D8D8"/>
          </w:tcPr>
          <w:p>
            <w:pPr>
              <w:jc w:val="right"/>
              <w:ind w:right="269"/>
              <w:spacing w:after="0" w:line="155" w:lineRule="exact"/>
              <w:rPr>
                <w:sz w:val="20"/>
                <w:szCs w:val="20"/>
                <w:color w:val="auto"/>
              </w:rPr>
            </w:pPr>
            <w:r>
              <w:rPr>
                <w:rFonts w:ascii="Arial" w:cs="Arial" w:eastAsia="Arial" w:hAnsi="Arial"/>
                <w:sz w:val="14"/>
                <w:szCs w:val="14"/>
                <w:color w:val="auto"/>
              </w:rPr>
              <w:t>6,485</w:t>
            </w:r>
          </w:p>
        </w:tc>
        <w:tc>
          <w:tcPr>
            <w:tcW w:w="1100" w:type="dxa"/>
            <w:vAlign w:val="bottom"/>
            <w:tcBorders>
              <w:bottom w:val="single" w:sz="8" w:color="auto"/>
            </w:tcBorders>
          </w:tcPr>
          <w:p>
            <w:pPr>
              <w:jc w:val="right"/>
              <w:ind w:right="269"/>
              <w:spacing w:after="0" w:line="155" w:lineRule="exact"/>
              <w:rPr>
                <w:sz w:val="20"/>
                <w:szCs w:val="20"/>
                <w:color w:val="auto"/>
              </w:rPr>
            </w:pPr>
            <w:r>
              <w:rPr>
                <w:rFonts w:ascii="Arial" w:cs="Arial" w:eastAsia="Arial" w:hAnsi="Arial"/>
                <w:sz w:val="14"/>
                <w:szCs w:val="14"/>
                <w:color w:val="auto"/>
              </w:rPr>
              <w:t>4,431</w:t>
            </w:r>
          </w:p>
        </w:tc>
        <w:tc>
          <w:tcPr>
            <w:tcW w:w="0" w:type="dxa"/>
            <w:vAlign w:val="bottom"/>
          </w:tcPr>
          <w:p>
            <w:pPr>
              <w:spacing w:after="0"/>
              <w:rPr>
                <w:sz w:val="1"/>
                <w:szCs w:val="1"/>
                <w:color w:val="auto"/>
              </w:rPr>
            </w:pPr>
          </w:p>
        </w:tc>
      </w:tr>
      <w:tr>
        <w:trPr>
          <w:trHeight w:val="160"/>
        </w:trPr>
        <w:tc>
          <w:tcPr>
            <w:tcW w:w="6460" w:type="dxa"/>
            <w:vAlign w:val="bottom"/>
            <w:gridSpan w:val="2"/>
          </w:tcPr>
          <w:p>
            <w:pPr>
              <w:ind w:left="140"/>
              <w:spacing w:after="0"/>
              <w:rPr>
                <w:sz w:val="20"/>
                <w:szCs w:val="20"/>
                <w:color w:val="auto"/>
              </w:rPr>
            </w:pPr>
            <w:r>
              <w:rPr>
                <w:rFonts w:ascii="Arial" w:cs="Arial" w:eastAsia="Arial" w:hAnsi="Arial"/>
                <w:sz w:val="14"/>
                <w:szCs w:val="14"/>
                <w:color w:val="auto"/>
              </w:rPr>
              <w:t>in dollars</w:t>
            </w:r>
          </w:p>
        </w:tc>
        <w:tc>
          <w:tcPr>
            <w:tcW w:w="740" w:type="dxa"/>
            <w:vAlign w:val="bottom"/>
          </w:tcPr>
          <w:p>
            <w:pPr>
              <w:spacing w:after="0"/>
              <w:rPr>
                <w:sz w:val="13"/>
                <w:szCs w:val="13"/>
                <w:color w:val="auto"/>
              </w:rPr>
            </w:pPr>
          </w:p>
        </w:tc>
        <w:tc>
          <w:tcPr>
            <w:tcW w:w="1660" w:type="dxa"/>
            <w:vAlign w:val="bottom"/>
            <w:shd w:val="clear" w:color="auto" w:fill="D8D8D8"/>
          </w:tcPr>
          <w:p>
            <w:pPr>
              <w:jc w:val="right"/>
              <w:ind w:right="269"/>
              <w:spacing w:after="0"/>
              <w:rPr>
                <w:sz w:val="20"/>
                <w:szCs w:val="20"/>
                <w:color w:val="auto"/>
              </w:rPr>
            </w:pPr>
            <w:r>
              <w:rPr>
                <w:rFonts w:ascii="Arial" w:cs="Arial" w:eastAsia="Arial" w:hAnsi="Arial"/>
                <w:sz w:val="14"/>
                <w:szCs w:val="14"/>
                <w:color w:val="auto"/>
              </w:rPr>
              <w:t>32,158</w:t>
            </w:r>
          </w:p>
        </w:tc>
        <w:tc>
          <w:tcPr>
            <w:tcW w:w="380" w:type="dxa"/>
            <w:vAlign w:val="bottom"/>
          </w:tcPr>
          <w:p>
            <w:pPr>
              <w:spacing w:after="0"/>
              <w:rPr>
                <w:sz w:val="13"/>
                <w:szCs w:val="13"/>
                <w:color w:val="auto"/>
              </w:rPr>
            </w:pPr>
          </w:p>
        </w:tc>
        <w:tc>
          <w:tcPr>
            <w:tcW w:w="1080" w:type="dxa"/>
            <w:vAlign w:val="bottom"/>
            <w:shd w:val="clear" w:color="auto" w:fill="D8D8D8"/>
          </w:tcPr>
          <w:p>
            <w:pPr>
              <w:jc w:val="right"/>
              <w:ind w:right="269"/>
              <w:spacing w:after="0"/>
              <w:rPr>
                <w:sz w:val="20"/>
                <w:szCs w:val="20"/>
                <w:color w:val="auto"/>
              </w:rPr>
            </w:pPr>
            <w:r>
              <w:rPr>
                <w:rFonts w:ascii="Arial" w:cs="Arial" w:eastAsia="Arial" w:hAnsi="Arial"/>
                <w:sz w:val="14"/>
                <w:szCs w:val="14"/>
                <w:color w:val="auto"/>
              </w:rPr>
              <w:t>8,619</w:t>
            </w:r>
          </w:p>
        </w:tc>
        <w:tc>
          <w:tcPr>
            <w:tcW w:w="1100" w:type="dxa"/>
            <w:vAlign w:val="bottom"/>
          </w:tcPr>
          <w:p>
            <w:pPr>
              <w:jc w:val="right"/>
              <w:ind w:right="269"/>
              <w:spacing w:after="0"/>
              <w:rPr>
                <w:sz w:val="20"/>
                <w:szCs w:val="20"/>
                <w:color w:val="auto"/>
              </w:rPr>
            </w:pPr>
            <w:r>
              <w:rPr>
                <w:rFonts w:ascii="Arial" w:cs="Arial" w:eastAsia="Arial" w:hAnsi="Arial"/>
                <w:sz w:val="14"/>
                <w:szCs w:val="14"/>
                <w:color w:val="auto"/>
              </w:rPr>
              <w:t>5,887</w:t>
            </w:r>
          </w:p>
        </w:tc>
        <w:tc>
          <w:tcPr>
            <w:tcW w:w="0" w:type="dxa"/>
            <w:vAlign w:val="bottom"/>
          </w:tcPr>
          <w:p>
            <w:pPr>
              <w:spacing w:after="0"/>
              <w:rPr>
                <w:sz w:val="1"/>
                <w:szCs w:val="1"/>
                <w:color w:val="auto"/>
              </w:rPr>
            </w:pPr>
          </w:p>
        </w:tc>
      </w:tr>
      <w:tr>
        <w:trPr>
          <w:trHeight w:val="157"/>
        </w:trPr>
        <w:tc>
          <w:tcPr>
            <w:tcW w:w="6460" w:type="dxa"/>
            <w:vAlign w:val="bottom"/>
            <w:tcBorders>
              <w:bottom w:val="single" w:sz="8" w:color="auto"/>
            </w:tcBorders>
            <w:gridSpan w:val="2"/>
          </w:tcPr>
          <w:p>
            <w:pPr>
              <w:ind w:left="140"/>
              <w:spacing w:after="0" w:line="157" w:lineRule="exact"/>
              <w:rPr>
                <w:sz w:val="20"/>
                <w:szCs w:val="20"/>
                <w:color w:val="auto"/>
              </w:rPr>
            </w:pPr>
            <w:r>
              <w:rPr>
                <w:rFonts w:ascii="Arial" w:cs="Arial" w:eastAsia="Arial" w:hAnsi="Arial"/>
                <w:sz w:val="14"/>
                <w:szCs w:val="14"/>
                <w:color w:val="auto"/>
              </w:rPr>
              <w:t>in sterling</w:t>
            </w:r>
          </w:p>
        </w:tc>
        <w:tc>
          <w:tcPr>
            <w:tcW w:w="740" w:type="dxa"/>
            <w:vAlign w:val="bottom"/>
            <w:tcBorders>
              <w:bottom w:val="single" w:sz="8" w:color="auto"/>
            </w:tcBorders>
          </w:tcPr>
          <w:p>
            <w:pPr>
              <w:spacing w:after="0"/>
              <w:rPr>
                <w:sz w:val="13"/>
                <w:szCs w:val="13"/>
                <w:color w:val="auto"/>
              </w:rPr>
            </w:pPr>
          </w:p>
        </w:tc>
        <w:tc>
          <w:tcPr>
            <w:tcW w:w="1660" w:type="dxa"/>
            <w:vAlign w:val="bottom"/>
            <w:tcBorders>
              <w:bottom w:val="single" w:sz="8" w:color="auto"/>
            </w:tcBorders>
            <w:shd w:val="clear" w:color="auto" w:fill="D8D8D8"/>
          </w:tcPr>
          <w:p>
            <w:pPr>
              <w:jc w:val="right"/>
              <w:ind w:right="269"/>
              <w:spacing w:after="0" w:line="157" w:lineRule="exact"/>
              <w:rPr>
                <w:sz w:val="20"/>
                <w:szCs w:val="20"/>
                <w:color w:val="auto"/>
              </w:rPr>
            </w:pPr>
            <w:r>
              <w:rPr>
                <w:rFonts w:ascii="Arial" w:cs="Arial" w:eastAsia="Arial" w:hAnsi="Arial"/>
                <w:sz w:val="14"/>
                <w:szCs w:val="14"/>
                <w:color w:val="auto"/>
              </w:rPr>
              <w:t>19,510</w:t>
            </w:r>
          </w:p>
        </w:tc>
        <w:tc>
          <w:tcPr>
            <w:tcW w:w="38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shd w:val="clear" w:color="auto" w:fill="D8D8D8"/>
          </w:tcPr>
          <w:p>
            <w:pPr>
              <w:jc w:val="right"/>
              <w:ind w:right="269"/>
              <w:spacing w:after="0" w:line="157" w:lineRule="exact"/>
              <w:rPr>
                <w:sz w:val="20"/>
                <w:szCs w:val="20"/>
                <w:color w:val="auto"/>
              </w:rPr>
            </w:pPr>
            <w:r>
              <w:rPr>
                <w:rFonts w:ascii="Arial" w:cs="Arial" w:eastAsia="Arial" w:hAnsi="Arial"/>
                <w:sz w:val="14"/>
                <w:szCs w:val="14"/>
                <w:color w:val="auto"/>
              </w:rPr>
              <w:t>5,229</w:t>
            </w:r>
          </w:p>
        </w:tc>
        <w:tc>
          <w:tcPr>
            <w:tcW w:w="1100" w:type="dxa"/>
            <w:vAlign w:val="bottom"/>
            <w:tcBorders>
              <w:bottom w:val="single" w:sz="8" w:color="auto"/>
            </w:tcBorders>
          </w:tcPr>
          <w:p>
            <w:pPr>
              <w:jc w:val="right"/>
              <w:ind w:right="269"/>
              <w:spacing w:after="0" w:line="157" w:lineRule="exact"/>
              <w:rPr>
                <w:sz w:val="20"/>
                <w:szCs w:val="20"/>
                <w:color w:val="auto"/>
              </w:rPr>
            </w:pPr>
            <w:r>
              <w:rPr>
                <w:rFonts w:ascii="Arial" w:cs="Arial" w:eastAsia="Arial" w:hAnsi="Arial"/>
                <w:sz w:val="14"/>
                <w:szCs w:val="14"/>
                <w:color w:val="auto"/>
              </w:rPr>
              <w:t>3,764</w:t>
            </w:r>
          </w:p>
        </w:tc>
        <w:tc>
          <w:tcPr>
            <w:tcW w:w="0" w:type="dxa"/>
            <w:vAlign w:val="bottom"/>
          </w:tcPr>
          <w:p>
            <w:pPr>
              <w:spacing w:after="0"/>
              <w:rPr>
                <w:sz w:val="1"/>
                <w:szCs w:val="1"/>
                <w:color w:val="auto"/>
              </w:rPr>
            </w:pPr>
          </w:p>
        </w:tc>
      </w:tr>
    </w:tbl>
    <w:p>
      <w:pPr>
        <w:spacing w:after="0" w:line="37" w:lineRule="exact"/>
        <w:rPr>
          <w:sz w:val="20"/>
          <w:szCs w:val="20"/>
          <w:color w:val="auto"/>
        </w:rPr>
      </w:pPr>
    </w:p>
    <w:p>
      <w:pPr>
        <w:ind w:right="360" w:firstLine="8"/>
        <w:spacing w:after="0" w:line="230" w:lineRule="auto"/>
        <w:tabs>
          <w:tab w:leader="none" w:pos="162" w:val="left"/>
        </w:tabs>
        <w:numPr>
          <w:ilvl w:val="0"/>
          <w:numId w:val="102"/>
        </w:numPr>
        <w:rPr>
          <w:rFonts w:ascii="Arial" w:cs="Arial" w:eastAsia="Arial" w:hAnsi="Arial"/>
          <w:sz w:val="11"/>
          <w:szCs w:val="11"/>
          <w:color w:val="auto"/>
        </w:rPr>
      </w:pPr>
      <w:r>
        <w:rPr>
          <w:rFonts w:ascii="Arial" w:cs="Arial" w:eastAsia="Arial" w:hAnsi="Arial"/>
          <w:sz w:val="11"/>
          <w:szCs w:val="11"/>
          <w:color w:val="auto"/>
        </w:rPr>
        <w:t>The full value of the bonus, comprising both the non-deferred and deferred value. For 2014, 50% is deferred into the DBP. The market price of A and B shares on January 30, 2015 (€26.93 and £21.045 respectively), were used to determine the number of deferred bonus shares, resulting in 61,281 A shares for Ben van Beurden and 33,972 B shares for Simon Henry.</w:t>
      </w:r>
    </w:p>
    <w:p>
      <w:pPr>
        <w:ind w:left="180" w:hanging="172"/>
        <w:spacing w:after="0"/>
        <w:tabs>
          <w:tab w:leader="none" w:pos="180" w:val="left"/>
        </w:tabs>
        <w:numPr>
          <w:ilvl w:val="0"/>
          <w:numId w:val="102"/>
        </w:numPr>
        <w:rPr>
          <w:rFonts w:ascii="Arial" w:cs="Arial" w:eastAsia="Arial" w:hAnsi="Arial"/>
          <w:sz w:val="10"/>
          <w:szCs w:val="10"/>
          <w:color w:val="auto"/>
        </w:rPr>
      </w:pPr>
      <w:r>
        <w:rPr>
          <w:rFonts w:ascii="Arial" w:cs="Arial" w:eastAsia="Arial" w:hAnsi="Arial"/>
          <w:sz w:val="10"/>
          <w:szCs w:val="10"/>
          <w:color w:val="auto"/>
        </w:rPr>
        <w:t>Remuneration for performance periods of more than one year, comprising the value of released LTIP awards, DBP performance matching shares and released PSP awards. The amounts reported for 2014 relate to the 2012 awards,</w:t>
      </w:r>
    </w:p>
    <w:p>
      <w:pPr>
        <w:spacing w:after="0" w:line="6" w:lineRule="exact"/>
        <w:rPr>
          <w:rFonts w:ascii="Arial" w:cs="Arial" w:eastAsia="Arial" w:hAnsi="Arial"/>
          <w:sz w:val="10"/>
          <w:szCs w:val="10"/>
          <w:color w:val="auto"/>
        </w:rPr>
      </w:pPr>
    </w:p>
    <w:p>
      <w:pPr>
        <w:spacing w:after="0" w:line="230" w:lineRule="auto"/>
        <w:rPr>
          <w:rFonts w:ascii="Arial" w:cs="Arial" w:eastAsia="Arial" w:hAnsi="Arial"/>
          <w:sz w:val="10"/>
          <w:szCs w:val="10"/>
          <w:color w:val="auto"/>
        </w:rPr>
      </w:pPr>
      <w:r>
        <w:rPr>
          <w:rFonts w:ascii="Arial" w:cs="Arial" w:eastAsia="Arial" w:hAnsi="Arial"/>
          <w:sz w:val="11"/>
          <w:szCs w:val="11"/>
          <w:color w:val="auto"/>
        </w:rPr>
        <w:t>which vested on February 17, 2015, at the market price of €28.97 and £22.47 for A and B shares respectively. The value in respect of the LTIP, DBP and PSP is calculated as the product of: the gross number of shares of the original award in the case of the LTIP and PSP, or performance matching shares in the case of the DBP, plus accrued dividend shares; the vesting percentage; and the closing market price of A or B shares at the vesting date. The market price of B shares is converted into euros using the exchange rate on the respective date. The original deferred bonus share awards, which are those represented by the deferred bonus and dividend shares accrued on these shares, are not considered as long-term remuneration, as they relate to the short-term annual bonus value. Only the performance matching shares and dividend shares accrued on those shares are considered as long-term remuneration, since they relate to performance periods of more than one year.</w:t>
      </w:r>
    </w:p>
    <w:p>
      <w:pPr>
        <w:spacing w:after="0" w:line="1" w:lineRule="exact"/>
        <w:rPr>
          <w:rFonts w:ascii="Arial" w:cs="Arial" w:eastAsia="Arial" w:hAnsi="Arial"/>
          <w:sz w:val="10"/>
          <w:szCs w:val="10"/>
          <w:color w:val="auto"/>
        </w:rPr>
      </w:pPr>
    </w:p>
    <w:p>
      <w:pPr>
        <w:ind w:left="180" w:hanging="172"/>
        <w:spacing w:after="0" w:line="230" w:lineRule="auto"/>
        <w:tabs>
          <w:tab w:leader="none" w:pos="180" w:val="left"/>
        </w:tabs>
        <w:numPr>
          <w:ilvl w:val="0"/>
          <w:numId w:val="102"/>
        </w:numPr>
        <w:rPr>
          <w:rFonts w:ascii="Arial" w:cs="Arial" w:eastAsia="Arial" w:hAnsi="Arial"/>
          <w:sz w:val="11"/>
          <w:szCs w:val="11"/>
          <w:color w:val="auto"/>
        </w:rPr>
      </w:pPr>
      <w:r>
        <w:rPr>
          <w:rFonts w:ascii="Arial" w:cs="Arial" w:eastAsia="Arial" w:hAnsi="Arial"/>
          <w:sz w:val="11"/>
          <w:szCs w:val="11"/>
          <w:color w:val="auto"/>
        </w:rPr>
        <w:t>The accrual for the period (net of inflation) multiplied by 20 in accordance with UK reporting regulations.</w:t>
      </w:r>
    </w:p>
    <w:p>
      <w:pPr>
        <w:ind w:right="180" w:firstLine="8"/>
        <w:spacing w:after="0" w:line="238" w:lineRule="auto"/>
        <w:tabs>
          <w:tab w:leader="none" w:pos="168" w:val="left"/>
        </w:tabs>
        <w:numPr>
          <w:ilvl w:val="0"/>
          <w:numId w:val="102"/>
        </w:numPr>
        <w:rPr>
          <w:rFonts w:ascii="Arial" w:cs="Arial" w:eastAsia="Arial" w:hAnsi="Arial"/>
          <w:sz w:val="11"/>
          <w:szCs w:val="11"/>
          <w:color w:val="auto"/>
        </w:rPr>
      </w:pPr>
      <w:r>
        <w:rPr>
          <w:rFonts w:ascii="Arial" w:cs="Arial" w:eastAsia="Arial" w:hAnsi="Arial"/>
          <w:sz w:val="11"/>
          <w:szCs w:val="11"/>
          <w:color w:val="auto"/>
        </w:rPr>
        <w:t>For Ben van Beurden, this arose as a result of the impact of his promotion and is related to the increase in pension accrual. For Simon Henry, the amount is in respect of the length of time he has been resident in the Netherlands and contributing to a foreign pension plan.</w:t>
      </w:r>
    </w:p>
    <w:p>
      <w:pPr>
        <w:sectPr>
          <w:pgSz w:w="11900" w:h="16838" w:orient="portrait"/>
          <w:cols w:equalWidth="0" w:num="1">
            <w:col w:w="11420"/>
          </w:cols>
          <w:pgMar w:left="240" w:top="459" w:right="239" w:bottom="1440" w:gutter="0" w:footer="0" w:header="0"/>
        </w:sectPr>
      </w:pPr>
    </w:p>
    <w:p>
      <w:pPr>
        <w:spacing w:after="0" w:line="265" w:lineRule="exact"/>
        <w:rPr>
          <w:sz w:val="20"/>
          <w:szCs w:val="20"/>
          <w:color w:val="auto"/>
        </w:rPr>
      </w:pPr>
    </w:p>
    <w:p>
      <w:pPr>
        <w:ind w:right="640"/>
        <w:spacing w:after="0" w:line="246" w:lineRule="auto"/>
        <w:rPr>
          <w:sz w:val="20"/>
          <w:szCs w:val="20"/>
          <w:color w:val="auto"/>
        </w:rPr>
      </w:pPr>
      <w:r>
        <w:rPr>
          <w:rFonts w:ascii="Arial" w:cs="Arial" w:eastAsia="Arial" w:hAnsi="Arial"/>
          <w:sz w:val="18"/>
          <w:szCs w:val="18"/>
          <w:color w:val="auto"/>
        </w:rPr>
        <w:t>Notes to the single total figure of remuneration for Executive Directors table (audited)</w:t>
      </w:r>
    </w:p>
    <w:p>
      <w:pPr>
        <w:spacing w:after="0" w:line="135"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SALARIES</w:t>
      </w:r>
    </w:p>
    <w:p>
      <w:pPr>
        <w:spacing w:after="0" w:line="12" w:lineRule="exact"/>
        <w:rPr>
          <w:sz w:val="20"/>
          <w:szCs w:val="20"/>
          <w:color w:val="auto"/>
        </w:rPr>
      </w:pPr>
    </w:p>
    <w:p>
      <w:pPr>
        <w:ind w:right="100"/>
        <w:spacing w:after="0" w:line="247" w:lineRule="auto"/>
        <w:rPr>
          <w:sz w:val="20"/>
          <w:szCs w:val="20"/>
          <w:color w:val="auto"/>
        </w:rPr>
      </w:pPr>
      <w:r>
        <w:rPr>
          <w:rFonts w:ascii="Arial" w:cs="Arial" w:eastAsia="Arial" w:hAnsi="Arial"/>
          <w:sz w:val="14"/>
          <w:szCs w:val="14"/>
          <w:color w:val="auto"/>
        </w:rPr>
        <w:t>As disclosed in the 2013 Directors’ Remuneration Report, REMCO set Ben van Beurden’s base salary and pensionable salary for 2014 at €1,400,000 and, effective from January 1, 2014, Simon Henry’s base salary at €1,010,000 (+2.5%) and pensionable salary at £750,000 (+4.2%).</w:t>
      </w:r>
    </w:p>
    <w:p>
      <w:pPr>
        <w:spacing w:after="0" w:line="148"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TAXABLE BENEFITS</w:t>
      </w:r>
    </w:p>
    <w:p>
      <w:pPr>
        <w:spacing w:after="0" w:line="12" w:lineRule="exact"/>
        <w:rPr>
          <w:sz w:val="20"/>
          <w:szCs w:val="20"/>
          <w:color w:val="auto"/>
        </w:rPr>
      </w:pPr>
    </w:p>
    <w:p>
      <w:pPr>
        <w:ind w:right="20"/>
        <w:spacing w:after="0" w:line="247" w:lineRule="auto"/>
        <w:rPr>
          <w:sz w:val="20"/>
          <w:szCs w:val="20"/>
          <w:color w:val="auto"/>
        </w:rPr>
      </w:pPr>
      <w:r>
        <w:rPr>
          <w:rFonts w:ascii="Arial" w:cs="Arial" w:eastAsia="Arial" w:hAnsi="Arial"/>
          <w:sz w:val="14"/>
          <w:szCs w:val="14"/>
          <w:color w:val="auto"/>
        </w:rPr>
        <w:t>Executive Directors received car allowances or lease cars, transport to and from home and office, occasional business-required spouse travel, as well as employer contributions to life and medical insurance plans. Where appropriate, tax equalisation and relocation support policies were applied.</w:t>
      </w:r>
    </w:p>
    <w:p>
      <w:pPr>
        <w:spacing w:after="0" w:line="134"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ANNUAL BONUS</w:t>
      </w:r>
    </w:p>
    <w:p>
      <w:pPr>
        <w:spacing w:after="0" w:line="12" w:lineRule="exact"/>
        <w:rPr>
          <w:sz w:val="20"/>
          <w:szCs w:val="20"/>
          <w:color w:val="auto"/>
        </w:rPr>
      </w:pPr>
    </w:p>
    <w:p>
      <w:pPr>
        <w:spacing w:after="0" w:line="243" w:lineRule="auto"/>
        <w:rPr>
          <w:sz w:val="20"/>
          <w:szCs w:val="20"/>
          <w:color w:val="auto"/>
        </w:rPr>
      </w:pPr>
      <w:r>
        <w:rPr>
          <w:rFonts w:ascii="Arial" w:cs="Arial" w:eastAsia="Arial" w:hAnsi="Arial"/>
          <w:sz w:val="14"/>
          <w:szCs w:val="14"/>
          <w:color w:val="auto"/>
        </w:rPr>
        <w:t>The business scorecard contains independent business measures grouped in three sections: operational cash flow, operational excellence and sustainable development. At the start of the year, REMCO sets a target range and weighting for each scorecard measure. The actual outcome for each measure results in a score of between zero and two, with a score of one representing “At target”. These scores are multiplied by the respective weighting of each measure and aggregated, resulting in a mathematical scorecard outcome of between zero and two. REMCO may then make an adjustment to the overall scorecard outcome in view of the wider business performance for the year.</w:t>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Individual performance</w:t>
      </w:r>
    </w:p>
    <w:p>
      <w:pPr>
        <w:spacing w:after="0" w:line="19" w:lineRule="exact"/>
        <w:rPr>
          <w:sz w:val="20"/>
          <w:szCs w:val="20"/>
          <w:color w:val="auto"/>
        </w:rPr>
      </w:pPr>
    </w:p>
    <w:p>
      <w:pPr>
        <w:ind w:right="160"/>
        <w:spacing w:after="0" w:line="247" w:lineRule="auto"/>
        <w:rPr>
          <w:sz w:val="20"/>
          <w:szCs w:val="20"/>
          <w:color w:val="auto"/>
        </w:rPr>
      </w:pPr>
      <w:r>
        <w:rPr>
          <w:rFonts w:ascii="Arial" w:cs="Arial" w:eastAsia="Arial" w:hAnsi="Arial"/>
          <w:sz w:val="14"/>
          <w:szCs w:val="14"/>
          <w:color w:val="auto"/>
        </w:rPr>
        <w:t>An Executive Director’s individual performance is also taken into account in determining his annual bonus. Individual performance is assessed against personal targets. Retrospective disclosure of detailed personal targets is inappropriate as these are deemed to be commercially sensitive.</w:t>
      </w:r>
    </w:p>
    <w:p>
      <w:pPr>
        <w:spacing w:after="0" w:line="14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Conclusion of the 2014 annual bonus</w:t>
      </w:r>
    </w:p>
    <w:p>
      <w:pPr>
        <w:spacing w:after="0" w:line="19" w:lineRule="exact"/>
        <w:rPr>
          <w:sz w:val="20"/>
          <w:szCs w:val="20"/>
          <w:color w:val="auto"/>
        </w:rPr>
      </w:pPr>
    </w:p>
    <w:p>
      <w:pPr>
        <w:ind w:right="200"/>
        <w:spacing w:after="0" w:line="244" w:lineRule="auto"/>
        <w:rPr>
          <w:sz w:val="20"/>
          <w:szCs w:val="20"/>
          <w:color w:val="auto"/>
        </w:rPr>
      </w:pPr>
      <w:r>
        <w:rPr>
          <w:rFonts w:ascii="Arial" w:cs="Arial" w:eastAsia="Arial" w:hAnsi="Arial"/>
          <w:sz w:val="14"/>
          <w:szCs w:val="14"/>
          <w:color w:val="auto"/>
        </w:rPr>
        <w:t>The mathematical scorecard outcome for 2014 was 1.45 and REMCO approved this outcome, based on strong operational cash flow of $45 billion and delivering a high proportion of flagship projects on time and on budget. REMCO was particularly pleased to see outstanding sustainable development results, including the continuing decrease in total recordable case frequency, now below one injury per million working hours. On this basis, the bonus would have been €3,045,000 for the CEO and €1,757,000 for the CFO.</w:t>
      </w:r>
    </w:p>
    <w:p>
      <w:pPr>
        <w:spacing w:after="0" w:line="178" w:lineRule="exact"/>
        <w:rPr>
          <w:sz w:val="20"/>
          <w:szCs w:val="20"/>
          <w:color w:val="auto"/>
        </w:rPr>
      </w:pPr>
    </w:p>
    <w:p>
      <w:pPr>
        <w:ind w:right="200"/>
        <w:spacing w:after="0" w:line="247" w:lineRule="auto"/>
        <w:rPr>
          <w:sz w:val="20"/>
          <w:szCs w:val="20"/>
          <w:color w:val="auto"/>
        </w:rPr>
      </w:pPr>
      <w:r>
        <w:rPr>
          <w:rFonts w:ascii="Arial" w:cs="Arial" w:eastAsia="Arial" w:hAnsi="Arial"/>
          <w:sz w:val="14"/>
          <w:szCs w:val="14"/>
          <w:color w:val="auto"/>
        </w:rPr>
        <w:t>The CEO took early action on capital discipline, made successful divestments, and followed up with a structure of performance unit reviews that has helped to further focus the portfolio. REMCO determined an individual performance factor of 1.08 against a range of 0-1.2 for the CEO, leading to a final bonus outcome of €3,300,000.</w:t>
      </w:r>
    </w:p>
    <w:p>
      <w:pPr>
        <w:spacing w:after="0" w:line="161" w:lineRule="exact"/>
        <w:rPr>
          <w:sz w:val="20"/>
          <w:szCs w:val="20"/>
          <w:color w:val="auto"/>
        </w:rPr>
      </w:pPr>
    </w:p>
    <w:p>
      <w:pPr>
        <w:ind w:right="180"/>
        <w:spacing w:after="0" w:line="245" w:lineRule="auto"/>
        <w:rPr>
          <w:sz w:val="20"/>
          <w:szCs w:val="20"/>
          <w:color w:val="auto"/>
        </w:rPr>
      </w:pPr>
      <w:r>
        <w:rPr>
          <w:rFonts w:ascii="Arial" w:cs="Arial" w:eastAsia="Arial" w:hAnsi="Arial"/>
          <w:sz w:val="14"/>
          <w:szCs w:val="14"/>
          <w:color w:val="auto"/>
        </w:rPr>
        <w:t>REMCO noted the CFO’s personal contribution in driving strong cash flow performance, with a strengthened capital management process, a solid balance sheet and finance and IT cost containment across our businesses, and determined an individual performance factor of 1.08 against a range of 0-1.2 for the CFO, leading to a final bonus outcome of €1,900,000.</w:t>
      </w:r>
    </w:p>
    <w:p>
      <w:pPr>
        <w:sectPr>
          <w:pgSz w:w="11900" w:h="16838" w:orient="portrait"/>
          <w:cols w:equalWidth="0" w:num="2">
            <w:col w:w="5440" w:space="340"/>
            <w:col w:w="5640"/>
          </w:cols>
          <w:pgMar w:left="240" w:top="459" w:right="239" w:bottom="1440" w:gutter="0" w:footer="0" w:header="0"/>
          <w:type w:val="continuous"/>
        </w:sectPr>
      </w:pPr>
    </w:p>
    <w:bookmarkStart w:id="87" w:name="page88"/>
    <w:bookmarkEnd w:id="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399415</wp:posOffset>
            </wp:positionH>
            <wp:positionV relativeFrom="paragraph">
              <wp:posOffset>300355</wp:posOffset>
            </wp:positionV>
            <wp:extent cx="8890" cy="46291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8890" cy="462915"/>
                    </a:xfrm>
                    <a:prstGeom prst="rect">
                      <a:avLst/>
                    </a:prstGeom>
                    <a:noFill/>
                  </pic:spPr>
                </pic:pic>
              </a:graphicData>
            </a:graphic>
          </wp:anchor>
        </w:drawing>
      </w:r>
    </w:p>
    <w:p>
      <w:pPr>
        <w:spacing w:after="0" w:line="200" w:lineRule="exact"/>
        <w:rPr>
          <w:sz w:val="20"/>
          <w:szCs w:val="20"/>
          <w:color w:val="auto"/>
        </w:rPr>
      </w:pP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565"/>
        </w:trPr>
        <w:tc>
          <w:tcPr>
            <w:tcW w:w="20" w:type="dxa"/>
            <w:vAlign w:val="bottom"/>
          </w:tcPr>
          <w:p>
            <w:pPr>
              <w:spacing w:after="0"/>
              <w:rPr>
                <w:sz w:val="24"/>
                <w:szCs w:val="24"/>
                <w:color w:val="auto"/>
              </w:rPr>
            </w:pPr>
          </w:p>
        </w:tc>
        <w:tc>
          <w:tcPr>
            <w:tcW w:w="600" w:type="dxa"/>
            <w:vAlign w:val="bottom"/>
            <w:shd w:val="clear" w:color="auto" w:fill="FF8B00"/>
          </w:tcPr>
          <w:p>
            <w:pPr>
              <w:jc w:val="right"/>
              <w:ind w:right="172"/>
              <w:spacing w:after="0"/>
              <w:rPr>
                <w:sz w:val="20"/>
                <w:szCs w:val="20"/>
                <w:color w:val="auto"/>
              </w:rPr>
            </w:pPr>
            <w:r>
              <w:rPr>
                <w:rFonts w:ascii="Arial" w:cs="Arial" w:eastAsia="Arial" w:hAnsi="Arial"/>
                <w:sz w:val="11"/>
                <w:szCs w:val="11"/>
                <w:b w:val="1"/>
                <w:bCs w:val="1"/>
                <w:color w:val="333333"/>
              </w:rPr>
              <w:t>86</w:t>
            </w:r>
          </w:p>
        </w:tc>
        <w:tc>
          <w:tcPr>
            <w:tcW w:w="3160" w:type="dxa"/>
            <w:vAlign w:val="bottom"/>
            <w:shd w:val="clear" w:color="auto" w:fill="FF8B00"/>
          </w:tcPr>
          <w:p>
            <w:pPr>
              <w:spacing w:after="0"/>
              <w:rPr>
                <w:sz w:val="24"/>
                <w:szCs w:val="24"/>
                <w:color w:val="auto"/>
              </w:rPr>
            </w:pPr>
          </w:p>
        </w:tc>
        <w:tc>
          <w:tcPr>
            <w:tcW w:w="1720" w:type="dxa"/>
            <w:vAlign w:val="bottom"/>
            <w:tcBorders>
              <w:right w:val="single" w:sz="8" w:color="FF8B00"/>
            </w:tcBorders>
            <w:shd w:val="clear" w:color="auto" w:fill="FF8B00"/>
          </w:tcPr>
          <w:p>
            <w:pPr>
              <w:jc w:val="right"/>
              <w:ind w:right="710"/>
              <w:spacing w:after="0"/>
              <w:rPr>
                <w:sz w:val="20"/>
                <w:szCs w:val="20"/>
                <w:color w:val="auto"/>
              </w:rPr>
            </w:pPr>
            <w:r>
              <w:rPr>
                <w:rFonts w:ascii="Arial" w:cs="Arial" w:eastAsia="Arial" w:hAnsi="Arial"/>
                <w:sz w:val="13"/>
                <w:szCs w:val="13"/>
                <w:color w:val="333333"/>
                <w:w w:val="99"/>
              </w:rPr>
              <w:t>GOVERNANCE</w:t>
            </w:r>
          </w:p>
        </w:tc>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00" w:type="dxa"/>
            <w:vAlign w:val="bottom"/>
            <w:shd w:val="clear" w:color="auto" w:fill="FF8B00"/>
          </w:tcPr>
          <w:p>
            <w:pPr>
              <w:spacing w:after="0"/>
              <w:rPr>
                <w:sz w:val="14"/>
                <w:szCs w:val="14"/>
                <w:color w:val="auto"/>
              </w:rPr>
            </w:pPr>
          </w:p>
        </w:tc>
        <w:tc>
          <w:tcPr>
            <w:tcW w:w="4880" w:type="dxa"/>
            <w:vAlign w:val="bottom"/>
            <w:tcBorders>
              <w:right w:val="single" w:sz="8" w:color="FF8B00"/>
            </w:tcBorders>
            <w:gridSpan w:val="2"/>
            <w:shd w:val="clear" w:color="auto" w:fill="FF8B00"/>
          </w:tcPr>
          <w:p>
            <w:pPr>
              <w:spacing w:after="0"/>
              <w:rPr>
                <w:sz w:val="14"/>
                <w:szCs w:val="14"/>
                <w:color w:val="auto"/>
              </w:rPr>
            </w:pPr>
          </w:p>
        </w:tc>
        <w:tc>
          <w:tcPr>
            <w:tcW w:w="540" w:type="dxa"/>
            <w:vAlign w:val="bottom"/>
            <w:vMerge w:val="restart"/>
          </w:tcPr>
          <w:p>
            <w:pPr>
              <w:spacing w:after="0"/>
              <w:rPr>
                <w:sz w:val="14"/>
                <w:szCs w:val="14"/>
                <w:color w:val="auto"/>
              </w:rPr>
            </w:pPr>
          </w:p>
        </w:tc>
        <w:tc>
          <w:tcPr>
            <w:tcW w:w="5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120" w:type="dxa"/>
            <w:vAlign w:val="bottom"/>
            <w:gridSpan w:val="6"/>
            <w:vMerge w:val="restart"/>
          </w:tcPr>
          <w:p>
            <w:pPr>
              <w:ind w:left="700"/>
              <w:spacing w:after="0"/>
              <w:rPr>
                <w:sz w:val="20"/>
                <w:szCs w:val="20"/>
                <w:color w:val="auto"/>
              </w:rPr>
            </w:pPr>
            <w:r>
              <w:rPr>
                <w:rFonts w:ascii="Arial" w:cs="Arial" w:eastAsia="Arial" w:hAnsi="Arial"/>
                <w:sz w:val="11"/>
                <w:szCs w:val="11"/>
                <w:color w:val="auto"/>
                <w:w w:val="97"/>
              </w:rPr>
              <w:t>SHELL ANNUAL REPORT AND FORM 20-F 2014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880" w:type="dxa"/>
            <w:vAlign w:val="bottom"/>
            <w:gridSpan w:val="2"/>
          </w:tcPr>
          <w:p>
            <w:pPr>
              <w:jc w:val="right"/>
              <w:ind w:right="710"/>
              <w:spacing w:after="0"/>
              <w:rPr>
                <w:sz w:val="20"/>
                <w:szCs w:val="20"/>
                <w:color w:val="auto"/>
              </w:rPr>
            </w:pPr>
            <w:r>
              <w:rPr>
                <w:rFonts w:ascii="Arial" w:cs="Arial" w:eastAsia="Arial" w:hAnsi="Arial"/>
                <w:sz w:val="11"/>
                <w:szCs w:val="11"/>
                <w:color w:val="auto"/>
              </w:rPr>
              <w:t>DIRECTORS’ REMUNERATION REPORT</w:t>
            </w:r>
          </w:p>
        </w:tc>
        <w:tc>
          <w:tcPr>
            <w:tcW w:w="540" w:type="dxa"/>
            <w:vAlign w:val="bottom"/>
            <w:vMerge w:val="continue"/>
          </w:tcPr>
          <w:p>
            <w:pPr>
              <w:spacing w:after="0"/>
              <w:rPr>
                <w:sz w:val="11"/>
                <w:szCs w:val="11"/>
                <w:color w:val="auto"/>
              </w:rPr>
            </w:pPr>
          </w:p>
        </w:tc>
        <w:tc>
          <w:tcPr>
            <w:tcW w:w="5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3120" w:type="dxa"/>
            <w:vAlign w:val="bottom"/>
            <w:gridSpan w:val="6"/>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325"/>
        </w:trPr>
        <w:tc>
          <w:tcPr>
            <w:tcW w:w="6040" w:type="dxa"/>
            <w:vAlign w:val="bottom"/>
            <w:gridSpan w:val="5"/>
          </w:tcPr>
          <w:p>
            <w:pPr>
              <w:spacing w:after="0"/>
              <w:rPr>
                <w:sz w:val="20"/>
                <w:szCs w:val="20"/>
                <w:color w:val="auto"/>
              </w:rPr>
            </w:pPr>
            <w:r>
              <w:rPr>
                <w:rFonts w:ascii="Arial" w:cs="Arial" w:eastAsia="Arial" w:hAnsi="Arial"/>
                <w:sz w:val="24"/>
                <w:szCs w:val="24"/>
                <w:color w:val="auto"/>
              </w:rPr>
              <w:t>ANNUAL REPORT ON REMUNERATION</w:t>
            </w:r>
          </w:p>
        </w:tc>
        <w:tc>
          <w:tcPr>
            <w:tcW w:w="5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3780" w:type="dxa"/>
            <w:vAlign w:val="bottom"/>
            <w:gridSpan w:val="3"/>
          </w:tcPr>
          <w:p>
            <w:pPr>
              <w:spacing w:after="0"/>
              <w:rPr>
                <w:sz w:val="20"/>
                <w:szCs w:val="20"/>
                <w:color w:val="auto"/>
              </w:rPr>
            </w:pPr>
            <w:r>
              <w:rPr>
                <w:rFonts w:ascii="Arial" w:cs="Arial" w:eastAsia="Arial" w:hAnsi="Arial"/>
                <w:sz w:val="24"/>
                <w:szCs w:val="24"/>
                <w:color w:val="666666"/>
              </w:rPr>
              <w:t>CONTINUED</w:t>
            </w:r>
          </w:p>
        </w:tc>
        <w:tc>
          <w:tcPr>
            <w:tcW w:w="17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20" w:type="dxa"/>
            <w:vAlign w:val="bottom"/>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3160" w:type="dxa"/>
            <w:vAlign w:val="bottom"/>
            <w:tcBorders>
              <w:top w:val="single" w:sz="8" w:color="auto"/>
            </w:tcBorders>
          </w:tcPr>
          <w:p>
            <w:pPr>
              <w:spacing w:after="0"/>
              <w:rPr>
                <w:sz w:val="24"/>
                <w:szCs w:val="24"/>
                <w:color w:val="auto"/>
              </w:rPr>
            </w:pPr>
          </w:p>
        </w:tc>
        <w:tc>
          <w:tcPr>
            <w:tcW w:w="1720" w:type="dxa"/>
            <w:vAlign w:val="bottom"/>
            <w:tcBorders>
              <w:top w:val="single" w:sz="8" w:color="auto"/>
            </w:tcBorders>
          </w:tcPr>
          <w:p>
            <w:pPr>
              <w:spacing w:after="0"/>
              <w:rPr>
                <w:sz w:val="24"/>
                <w:szCs w:val="24"/>
                <w:color w:val="auto"/>
              </w:rPr>
            </w:pPr>
          </w:p>
        </w:tc>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760" w:type="dxa"/>
            <w:vAlign w:val="bottom"/>
            <w:gridSpan w:val="2"/>
            <w:shd w:val="clear" w:color="auto" w:fill="333333"/>
          </w:tcPr>
          <w:p>
            <w:pPr>
              <w:ind w:left="60"/>
              <w:spacing w:after="0" w:line="162" w:lineRule="exact"/>
              <w:rPr>
                <w:sz w:val="20"/>
                <w:szCs w:val="20"/>
                <w:color w:val="auto"/>
              </w:rPr>
            </w:pPr>
            <w:r>
              <w:rPr>
                <w:rFonts w:ascii="Arial" w:cs="Arial" w:eastAsia="Arial" w:hAnsi="Arial"/>
                <w:sz w:val="15"/>
                <w:szCs w:val="15"/>
                <w:b w:val="1"/>
                <w:bCs w:val="1"/>
                <w:color w:val="FFFFFF"/>
              </w:rPr>
              <w:t xml:space="preserve">2014 ANNUAL BONUS OUTCOME </w:t>
            </w:r>
            <w:r>
              <w:rPr>
                <w:rFonts w:ascii="Arial" w:cs="Arial" w:eastAsia="Arial" w:hAnsi="Arial"/>
                <w:sz w:val="15"/>
                <w:szCs w:val="15"/>
                <w:color w:val="FFFFFF"/>
              </w:rPr>
              <w:t>(AUDITED)</w:t>
            </w:r>
          </w:p>
        </w:tc>
        <w:tc>
          <w:tcPr>
            <w:tcW w:w="1720" w:type="dxa"/>
            <w:vAlign w:val="bottom"/>
            <w:tcBorders>
              <w:right w:val="single" w:sz="8" w:color="333333"/>
            </w:tcBorders>
            <w:shd w:val="clear" w:color="auto" w:fill="333333"/>
          </w:tcPr>
          <w:p>
            <w:pPr>
              <w:spacing w:after="0"/>
              <w:rPr>
                <w:sz w:val="14"/>
                <w:szCs w:val="14"/>
                <w:color w:val="auto"/>
              </w:rPr>
            </w:pPr>
          </w:p>
        </w:tc>
        <w:tc>
          <w:tcPr>
            <w:tcW w:w="540" w:type="dxa"/>
            <w:vAlign w:val="bottom"/>
            <w:shd w:val="clear" w:color="auto" w:fill="333333"/>
          </w:tcPr>
          <w:p>
            <w:pPr>
              <w:spacing w:after="0"/>
              <w:rPr>
                <w:sz w:val="14"/>
                <w:szCs w:val="14"/>
                <w:color w:val="auto"/>
              </w:rPr>
            </w:pPr>
          </w:p>
        </w:tc>
        <w:tc>
          <w:tcPr>
            <w:tcW w:w="560" w:type="dxa"/>
            <w:vAlign w:val="bottom"/>
            <w:shd w:val="clear" w:color="auto" w:fill="333333"/>
          </w:tcPr>
          <w:p>
            <w:pPr>
              <w:spacing w:after="0"/>
              <w:rPr>
                <w:sz w:val="14"/>
                <w:szCs w:val="14"/>
                <w:color w:val="auto"/>
              </w:rPr>
            </w:pPr>
          </w:p>
        </w:tc>
        <w:tc>
          <w:tcPr>
            <w:tcW w:w="780" w:type="dxa"/>
            <w:vAlign w:val="bottom"/>
            <w:shd w:val="clear" w:color="auto" w:fill="333333"/>
          </w:tcPr>
          <w:p>
            <w:pPr>
              <w:spacing w:after="0"/>
              <w:rPr>
                <w:sz w:val="14"/>
                <w:szCs w:val="14"/>
                <w:color w:val="auto"/>
              </w:rPr>
            </w:pPr>
          </w:p>
        </w:tc>
        <w:tc>
          <w:tcPr>
            <w:tcW w:w="940" w:type="dxa"/>
            <w:vAlign w:val="bottom"/>
            <w:shd w:val="clear" w:color="auto" w:fill="333333"/>
          </w:tcPr>
          <w:p>
            <w:pPr>
              <w:spacing w:after="0"/>
              <w:rPr>
                <w:sz w:val="14"/>
                <w:szCs w:val="14"/>
                <w:color w:val="auto"/>
              </w:rPr>
            </w:pPr>
          </w:p>
        </w:tc>
        <w:tc>
          <w:tcPr>
            <w:tcW w:w="880" w:type="dxa"/>
            <w:vAlign w:val="bottom"/>
            <w:shd w:val="clear" w:color="auto" w:fill="333333"/>
          </w:tcPr>
          <w:p>
            <w:pPr>
              <w:spacing w:after="0"/>
              <w:rPr>
                <w:sz w:val="14"/>
                <w:szCs w:val="14"/>
                <w:color w:val="auto"/>
              </w:rPr>
            </w:pPr>
          </w:p>
        </w:tc>
        <w:tc>
          <w:tcPr>
            <w:tcW w:w="620" w:type="dxa"/>
            <w:vAlign w:val="bottom"/>
            <w:shd w:val="clear" w:color="auto" w:fill="333333"/>
          </w:tcPr>
          <w:p>
            <w:pPr>
              <w:spacing w:after="0"/>
              <w:rPr>
                <w:sz w:val="14"/>
                <w:szCs w:val="14"/>
                <w:color w:val="auto"/>
              </w:rPr>
            </w:pPr>
          </w:p>
        </w:tc>
        <w:tc>
          <w:tcPr>
            <w:tcW w:w="120" w:type="dxa"/>
            <w:vAlign w:val="bottom"/>
            <w:shd w:val="clear" w:color="auto" w:fill="333333"/>
          </w:tcPr>
          <w:p>
            <w:pPr>
              <w:spacing w:after="0"/>
              <w:rPr>
                <w:sz w:val="14"/>
                <w:szCs w:val="14"/>
                <w:color w:val="auto"/>
              </w:rPr>
            </w:pPr>
          </w:p>
        </w:tc>
        <w:tc>
          <w:tcPr>
            <w:tcW w:w="800" w:type="dxa"/>
            <w:vAlign w:val="bottom"/>
            <w:shd w:val="clear" w:color="auto" w:fill="333333"/>
          </w:tcPr>
          <w:p>
            <w:pPr>
              <w:spacing w:after="0"/>
              <w:rPr>
                <w:sz w:val="14"/>
                <w:szCs w:val="14"/>
                <w:color w:val="auto"/>
              </w:rPr>
            </w:pPr>
          </w:p>
        </w:tc>
        <w:tc>
          <w:tcPr>
            <w:tcW w:w="680" w:type="dxa"/>
            <w:vAlign w:val="bottom"/>
            <w:shd w:val="clear" w:color="auto" w:fill="333333"/>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160" w:type="dxa"/>
            <w:vAlign w:val="bottom"/>
          </w:tcPr>
          <w:p>
            <w:pPr>
              <w:spacing w:after="0"/>
              <w:rPr>
                <w:sz w:val="11"/>
                <w:szCs w:val="11"/>
                <w:color w:val="auto"/>
              </w:rPr>
            </w:pPr>
          </w:p>
        </w:tc>
        <w:tc>
          <w:tcPr>
            <w:tcW w:w="1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80" w:type="dxa"/>
            <w:vAlign w:val="bottom"/>
            <w:tcBorders>
              <w:bottom w:val="single" w:sz="8" w:color="auto"/>
            </w:tcBorders>
          </w:tcPr>
          <w:p>
            <w:pPr>
              <w:spacing w:after="0"/>
              <w:rPr>
                <w:sz w:val="11"/>
                <w:szCs w:val="11"/>
                <w:color w:val="auto"/>
              </w:rPr>
            </w:pPr>
          </w:p>
        </w:tc>
        <w:tc>
          <w:tcPr>
            <w:tcW w:w="2220" w:type="dxa"/>
            <w:vAlign w:val="bottom"/>
            <w:tcBorders>
              <w:bottom w:val="single" w:sz="8" w:color="auto"/>
            </w:tcBorders>
            <w:gridSpan w:val="4"/>
          </w:tcPr>
          <w:p>
            <w:pPr>
              <w:jc w:val="right"/>
              <w:ind w:right="70"/>
              <w:spacing w:after="0" w:line="135" w:lineRule="exact"/>
              <w:rPr>
                <w:sz w:val="20"/>
                <w:szCs w:val="20"/>
                <w:color w:val="auto"/>
              </w:rPr>
            </w:pPr>
            <w:r>
              <w:rPr>
                <w:rFonts w:ascii="Arial" w:cs="Arial" w:eastAsia="Arial" w:hAnsi="Arial"/>
                <w:sz w:val="13"/>
                <w:szCs w:val="13"/>
                <w:color w:val="auto"/>
              </w:rPr>
              <w:t>Bonus as a % of base salary</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160" w:type="dxa"/>
            <w:vAlign w:val="bottom"/>
          </w:tcPr>
          <w:p>
            <w:pPr>
              <w:spacing w:after="0"/>
              <w:rPr>
                <w:sz w:val="11"/>
                <w:szCs w:val="11"/>
                <w:color w:val="auto"/>
              </w:rPr>
            </w:pPr>
          </w:p>
        </w:tc>
        <w:tc>
          <w:tcPr>
            <w:tcW w:w="1720" w:type="dxa"/>
            <w:vAlign w:val="bottom"/>
          </w:tcPr>
          <w:p>
            <w:pPr>
              <w:spacing w:after="0"/>
              <w:rPr>
                <w:sz w:val="11"/>
                <w:szCs w:val="11"/>
                <w:color w:val="auto"/>
              </w:rPr>
            </w:pPr>
          </w:p>
        </w:tc>
        <w:tc>
          <w:tcPr>
            <w:tcW w:w="540" w:type="dxa"/>
            <w:vAlign w:val="bottom"/>
          </w:tcPr>
          <w:p>
            <w:pPr>
              <w:jc w:val="right"/>
              <w:ind w:right="17"/>
              <w:spacing w:after="0" w:line="129" w:lineRule="exact"/>
              <w:rPr>
                <w:sz w:val="20"/>
                <w:szCs w:val="20"/>
                <w:color w:val="auto"/>
              </w:rPr>
            </w:pPr>
            <w:r>
              <w:rPr>
                <w:rFonts w:ascii="Arial" w:cs="Arial" w:eastAsia="Arial" w:hAnsi="Arial"/>
                <w:sz w:val="13"/>
                <w:szCs w:val="13"/>
                <w:color w:val="auto"/>
              </w:rPr>
              <w:t>Weight</w:t>
            </w:r>
          </w:p>
        </w:tc>
        <w:tc>
          <w:tcPr>
            <w:tcW w:w="560" w:type="dxa"/>
            <w:vAlign w:val="bottom"/>
          </w:tcPr>
          <w:p>
            <w:pPr>
              <w:jc w:val="right"/>
              <w:ind w:right="30"/>
              <w:spacing w:after="0" w:line="129" w:lineRule="exact"/>
              <w:rPr>
                <w:sz w:val="20"/>
                <w:szCs w:val="20"/>
                <w:color w:val="auto"/>
              </w:rPr>
            </w:pPr>
            <w:r>
              <w:rPr>
                <w:rFonts w:ascii="Arial" w:cs="Arial" w:eastAsia="Arial" w:hAnsi="Arial"/>
                <w:sz w:val="13"/>
                <w:szCs w:val="13"/>
                <w:color w:val="auto"/>
              </w:rPr>
              <w:t>Target</w:t>
            </w:r>
          </w:p>
        </w:tc>
        <w:tc>
          <w:tcPr>
            <w:tcW w:w="780" w:type="dxa"/>
            <w:vAlign w:val="bottom"/>
          </w:tcPr>
          <w:p>
            <w:pPr>
              <w:jc w:val="right"/>
              <w:ind w:right="110"/>
              <w:spacing w:after="0" w:line="129" w:lineRule="exact"/>
              <w:rPr>
                <w:sz w:val="20"/>
                <w:szCs w:val="20"/>
                <w:color w:val="auto"/>
              </w:rPr>
            </w:pPr>
            <w:r>
              <w:rPr>
                <w:rFonts w:ascii="Arial" w:cs="Arial" w:eastAsia="Arial" w:hAnsi="Arial"/>
                <w:sz w:val="13"/>
                <w:szCs w:val="13"/>
                <w:color w:val="auto"/>
              </w:rPr>
              <w:t>Result</w:t>
            </w:r>
          </w:p>
        </w:tc>
        <w:tc>
          <w:tcPr>
            <w:tcW w:w="940" w:type="dxa"/>
            <w:vAlign w:val="bottom"/>
          </w:tcPr>
          <w:p>
            <w:pPr>
              <w:spacing w:after="0"/>
              <w:rPr>
                <w:sz w:val="11"/>
                <w:szCs w:val="11"/>
                <w:color w:val="auto"/>
              </w:rPr>
            </w:pPr>
          </w:p>
        </w:tc>
        <w:tc>
          <w:tcPr>
            <w:tcW w:w="1620" w:type="dxa"/>
            <w:vAlign w:val="bottom"/>
            <w:gridSpan w:val="3"/>
          </w:tcPr>
          <w:p>
            <w:pPr>
              <w:jc w:val="right"/>
              <w:ind w:right="200"/>
              <w:spacing w:after="0" w:line="129" w:lineRule="exact"/>
              <w:rPr>
                <w:sz w:val="20"/>
                <w:szCs w:val="20"/>
                <w:color w:val="auto"/>
              </w:rPr>
            </w:pPr>
            <w:r>
              <w:rPr>
                <w:rFonts w:ascii="Arial" w:cs="Arial" w:eastAsia="Arial" w:hAnsi="Arial"/>
                <w:sz w:val="13"/>
                <w:szCs w:val="13"/>
                <w:color w:val="auto"/>
              </w:rPr>
              <w:t>Ben van Beurden</w:t>
            </w:r>
          </w:p>
        </w:tc>
        <w:tc>
          <w:tcPr>
            <w:tcW w:w="1480" w:type="dxa"/>
            <w:vAlign w:val="bottom"/>
            <w:gridSpan w:val="2"/>
          </w:tcPr>
          <w:p>
            <w:pPr>
              <w:jc w:val="right"/>
              <w:ind w:right="70"/>
              <w:spacing w:after="0" w:line="129" w:lineRule="exact"/>
              <w:rPr>
                <w:sz w:val="20"/>
                <w:szCs w:val="20"/>
                <w:color w:val="auto"/>
              </w:rPr>
            </w:pPr>
            <w:r>
              <w:rPr>
                <w:rFonts w:ascii="Arial" w:cs="Arial" w:eastAsia="Arial" w:hAnsi="Arial"/>
                <w:sz w:val="13"/>
                <w:szCs w:val="13"/>
                <w:color w:val="auto"/>
              </w:rPr>
              <w:t>Simon Henry</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3780" w:type="dxa"/>
            <w:vAlign w:val="bottom"/>
            <w:gridSpan w:val="3"/>
          </w:tcPr>
          <w:p>
            <w:pPr>
              <w:spacing w:after="0" w:line="129" w:lineRule="exact"/>
              <w:rPr>
                <w:sz w:val="20"/>
                <w:szCs w:val="20"/>
                <w:color w:val="auto"/>
              </w:rPr>
            </w:pPr>
            <w:r>
              <w:rPr>
                <w:rFonts w:ascii="Arial" w:cs="Arial" w:eastAsia="Arial" w:hAnsi="Arial"/>
                <w:sz w:val="13"/>
                <w:szCs w:val="13"/>
                <w:color w:val="auto"/>
              </w:rPr>
              <w:t>Measures</w:t>
            </w:r>
          </w:p>
        </w:tc>
        <w:tc>
          <w:tcPr>
            <w:tcW w:w="2260" w:type="dxa"/>
            <w:vAlign w:val="bottom"/>
            <w:gridSpan w:val="2"/>
          </w:tcPr>
          <w:p>
            <w:pPr>
              <w:jc w:val="right"/>
              <w:ind w:right="17"/>
              <w:spacing w:after="0" w:line="129" w:lineRule="exact"/>
              <w:rPr>
                <w:sz w:val="20"/>
                <w:szCs w:val="20"/>
                <w:color w:val="auto"/>
              </w:rPr>
            </w:pPr>
            <w:r>
              <w:rPr>
                <w:rFonts w:ascii="Arial" w:cs="Arial" w:eastAsia="Arial" w:hAnsi="Arial"/>
                <w:sz w:val="13"/>
                <w:szCs w:val="13"/>
                <w:color w:val="auto"/>
              </w:rPr>
              <w:t>(% of scorecard)</w:t>
            </w:r>
          </w:p>
        </w:tc>
        <w:tc>
          <w:tcPr>
            <w:tcW w:w="560" w:type="dxa"/>
            <w:vAlign w:val="bottom"/>
          </w:tcPr>
          <w:p>
            <w:pPr>
              <w:jc w:val="right"/>
              <w:ind w:right="30"/>
              <w:spacing w:after="0" w:line="129" w:lineRule="exact"/>
              <w:rPr>
                <w:sz w:val="20"/>
                <w:szCs w:val="20"/>
                <w:color w:val="auto"/>
              </w:rPr>
            </w:pPr>
            <w:r>
              <w:rPr>
                <w:rFonts w:ascii="Arial" w:cs="Arial" w:eastAsia="Arial" w:hAnsi="Arial"/>
                <w:sz w:val="13"/>
                <w:szCs w:val="13"/>
                <w:color w:val="auto"/>
              </w:rPr>
              <w:t>set</w:t>
            </w:r>
          </w:p>
        </w:tc>
        <w:tc>
          <w:tcPr>
            <w:tcW w:w="780" w:type="dxa"/>
            <w:vAlign w:val="bottom"/>
          </w:tcPr>
          <w:p>
            <w:pPr>
              <w:jc w:val="right"/>
              <w:ind w:right="110"/>
              <w:spacing w:after="0" w:line="129" w:lineRule="exact"/>
              <w:rPr>
                <w:sz w:val="20"/>
                <w:szCs w:val="20"/>
                <w:color w:val="auto"/>
              </w:rPr>
            </w:pPr>
            <w:r>
              <w:rPr>
                <w:rFonts w:ascii="Arial" w:cs="Arial" w:eastAsia="Arial" w:hAnsi="Arial"/>
                <w:sz w:val="13"/>
                <w:szCs w:val="13"/>
                <w:color w:val="auto"/>
              </w:rPr>
              <w:t>achieved</w:t>
            </w:r>
          </w:p>
        </w:tc>
        <w:tc>
          <w:tcPr>
            <w:tcW w:w="940" w:type="dxa"/>
            <w:vAlign w:val="bottom"/>
          </w:tcPr>
          <w:p>
            <w:pPr>
              <w:jc w:val="right"/>
              <w:ind w:right="49"/>
              <w:spacing w:after="0" w:line="129" w:lineRule="exact"/>
              <w:rPr>
                <w:sz w:val="20"/>
                <w:szCs w:val="20"/>
                <w:color w:val="auto"/>
              </w:rPr>
            </w:pPr>
            <w:r>
              <w:rPr>
                <w:rFonts w:ascii="Arial" w:cs="Arial" w:eastAsia="Arial" w:hAnsi="Arial"/>
                <w:sz w:val="13"/>
                <w:szCs w:val="13"/>
                <w:color w:val="auto"/>
              </w:rPr>
              <w:t>Score (0-2)</w:t>
            </w:r>
          </w:p>
        </w:tc>
        <w:tc>
          <w:tcPr>
            <w:tcW w:w="880" w:type="dxa"/>
            <w:vAlign w:val="bottom"/>
            <w:tcBorders>
              <w:top w:val="single" w:sz="8" w:color="auto"/>
            </w:tcBorders>
          </w:tcPr>
          <w:p>
            <w:pPr>
              <w:jc w:val="right"/>
              <w:ind w:right="313"/>
              <w:spacing w:after="0" w:line="129" w:lineRule="exact"/>
              <w:rPr>
                <w:sz w:val="20"/>
                <w:szCs w:val="20"/>
                <w:color w:val="auto"/>
              </w:rPr>
            </w:pPr>
            <w:r>
              <w:rPr>
                <w:rFonts w:ascii="Arial" w:cs="Arial" w:eastAsia="Arial" w:hAnsi="Arial"/>
                <w:sz w:val="13"/>
                <w:szCs w:val="13"/>
                <w:color w:val="auto"/>
              </w:rPr>
              <w:t>Target</w:t>
            </w:r>
          </w:p>
        </w:tc>
        <w:tc>
          <w:tcPr>
            <w:tcW w:w="620" w:type="dxa"/>
            <w:vAlign w:val="bottom"/>
            <w:tcBorders>
              <w:top w:val="single" w:sz="8" w:color="auto"/>
            </w:tcBorders>
          </w:tcPr>
          <w:p>
            <w:pPr>
              <w:jc w:val="right"/>
              <w:ind w:right="11"/>
              <w:spacing w:after="0" w:line="129" w:lineRule="exact"/>
              <w:rPr>
                <w:sz w:val="20"/>
                <w:szCs w:val="20"/>
                <w:color w:val="auto"/>
              </w:rPr>
            </w:pPr>
            <w:r>
              <w:rPr>
                <w:rFonts w:ascii="Arial" w:cs="Arial" w:eastAsia="Arial" w:hAnsi="Arial"/>
                <w:sz w:val="13"/>
                <w:szCs w:val="13"/>
                <w:color w:val="auto"/>
                <w:w w:val="97"/>
              </w:rPr>
              <w:t>Achieved</w:t>
            </w:r>
          </w:p>
        </w:tc>
        <w:tc>
          <w:tcPr>
            <w:tcW w:w="120" w:type="dxa"/>
            <w:vAlign w:val="bottom"/>
          </w:tcPr>
          <w:p>
            <w:pPr>
              <w:spacing w:after="0"/>
              <w:rPr>
                <w:sz w:val="11"/>
                <w:szCs w:val="11"/>
                <w:color w:val="auto"/>
              </w:rPr>
            </w:pPr>
          </w:p>
        </w:tc>
        <w:tc>
          <w:tcPr>
            <w:tcW w:w="800" w:type="dxa"/>
            <w:vAlign w:val="bottom"/>
            <w:tcBorders>
              <w:top w:val="single" w:sz="8" w:color="auto"/>
            </w:tcBorders>
          </w:tcPr>
          <w:p>
            <w:pPr>
              <w:ind w:left="140"/>
              <w:spacing w:after="0" w:line="129" w:lineRule="exact"/>
              <w:rPr>
                <w:sz w:val="20"/>
                <w:szCs w:val="20"/>
                <w:color w:val="auto"/>
              </w:rPr>
            </w:pPr>
            <w:r>
              <w:rPr>
                <w:rFonts w:ascii="Arial" w:cs="Arial" w:eastAsia="Arial" w:hAnsi="Arial"/>
                <w:sz w:val="13"/>
                <w:szCs w:val="13"/>
                <w:color w:val="auto"/>
              </w:rPr>
              <w:t>Target</w:t>
            </w:r>
          </w:p>
        </w:tc>
        <w:tc>
          <w:tcPr>
            <w:tcW w:w="680" w:type="dxa"/>
            <w:vAlign w:val="bottom"/>
            <w:tcBorders>
              <w:top w:val="single" w:sz="8" w:color="auto"/>
            </w:tcBorders>
          </w:tcPr>
          <w:p>
            <w:pPr>
              <w:jc w:val="right"/>
              <w:ind w:right="70"/>
              <w:spacing w:after="0" w:line="129" w:lineRule="exact"/>
              <w:rPr>
                <w:sz w:val="20"/>
                <w:szCs w:val="20"/>
                <w:color w:val="auto"/>
              </w:rPr>
            </w:pPr>
            <w:r>
              <w:rPr>
                <w:rFonts w:ascii="Arial" w:cs="Arial" w:eastAsia="Arial" w:hAnsi="Arial"/>
                <w:sz w:val="13"/>
                <w:szCs w:val="13"/>
                <w:color w:val="auto"/>
                <w:w w:val="97"/>
              </w:rPr>
              <w:t>Achieved</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760" w:type="dxa"/>
            <w:vAlign w:val="bottom"/>
            <w:tcBorders>
              <w:top w:val="single" w:sz="8" w:color="auto"/>
            </w:tcBorders>
            <w:gridSpan w:val="2"/>
          </w:tcPr>
          <w:p>
            <w:pPr>
              <w:spacing w:after="0" w:line="143" w:lineRule="exact"/>
              <w:rPr>
                <w:sz w:val="20"/>
                <w:szCs w:val="20"/>
                <w:color w:val="auto"/>
              </w:rPr>
            </w:pPr>
            <w:r>
              <w:rPr>
                <w:rFonts w:ascii="Arial" w:cs="Arial" w:eastAsia="Arial" w:hAnsi="Arial"/>
                <w:sz w:val="14"/>
                <w:szCs w:val="14"/>
                <w:b w:val="1"/>
                <w:bCs w:val="1"/>
                <w:color w:val="auto"/>
              </w:rPr>
              <w:t xml:space="preserve">Operational cash flow ($ billion) </w:t>
            </w:r>
            <w:r>
              <w:rPr>
                <w:rFonts w:ascii="Arial" w:cs="Arial" w:eastAsia="Arial" w:hAnsi="Arial"/>
                <w:sz w:val="14"/>
                <w:szCs w:val="14"/>
                <w:color w:val="auto"/>
              </w:rPr>
              <w:t>[A]</w:t>
            </w:r>
          </w:p>
        </w:tc>
        <w:tc>
          <w:tcPr>
            <w:tcW w:w="2260" w:type="dxa"/>
            <w:vAlign w:val="bottom"/>
            <w:tcBorders>
              <w:top w:val="single" w:sz="8" w:color="auto"/>
            </w:tcBorders>
            <w:gridSpan w:val="2"/>
          </w:tcPr>
          <w:p>
            <w:pPr>
              <w:jc w:val="right"/>
              <w:ind w:right="17"/>
              <w:spacing w:after="0" w:line="143" w:lineRule="exact"/>
              <w:rPr>
                <w:sz w:val="20"/>
                <w:szCs w:val="20"/>
                <w:color w:val="auto"/>
              </w:rPr>
            </w:pPr>
            <w:r>
              <w:rPr>
                <w:rFonts w:ascii="Arial" w:cs="Arial" w:eastAsia="Arial" w:hAnsi="Arial"/>
                <w:sz w:val="14"/>
                <w:szCs w:val="14"/>
                <w:b w:val="1"/>
                <w:bCs w:val="1"/>
                <w:color w:val="auto"/>
              </w:rPr>
              <w:t>30%</w:t>
            </w:r>
          </w:p>
        </w:tc>
        <w:tc>
          <w:tcPr>
            <w:tcW w:w="560" w:type="dxa"/>
            <w:vAlign w:val="bottom"/>
            <w:tcBorders>
              <w:top w:val="single" w:sz="8" w:color="auto"/>
            </w:tcBorders>
          </w:tcPr>
          <w:p>
            <w:pPr>
              <w:jc w:val="right"/>
              <w:ind w:right="30"/>
              <w:spacing w:after="0" w:line="143" w:lineRule="exact"/>
              <w:rPr>
                <w:sz w:val="20"/>
                <w:szCs w:val="20"/>
                <w:color w:val="auto"/>
              </w:rPr>
            </w:pPr>
            <w:r>
              <w:rPr>
                <w:rFonts w:ascii="Arial" w:cs="Arial" w:eastAsia="Arial" w:hAnsi="Arial"/>
                <w:sz w:val="14"/>
                <w:szCs w:val="14"/>
                <w:color w:val="auto"/>
              </w:rPr>
              <w:t>43.0</w:t>
            </w:r>
          </w:p>
        </w:tc>
        <w:tc>
          <w:tcPr>
            <w:tcW w:w="780" w:type="dxa"/>
            <w:vAlign w:val="bottom"/>
            <w:tcBorders>
              <w:top w:val="single" w:sz="8" w:color="auto"/>
            </w:tcBorders>
          </w:tcPr>
          <w:p>
            <w:pPr>
              <w:jc w:val="right"/>
              <w:ind w:right="110"/>
              <w:spacing w:after="0" w:line="143" w:lineRule="exact"/>
              <w:rPr>
                <w:sz w:val="20"/>
                <w:szCs w:val="20"/>
                <w:color w:val="auto"/>
              </w:rPr>
            </w:pPr>
            <w:r>
              <w:rPr>
                <w:rFonts w:ascii="Arial" w:cs="Arial" w:eastAsia="Arial" w:hAnsi="Arial"/>
                <w:sz w:val="14"/>
                <w:szCs w:val="14"/>
                <w:color w:val="auto"/>
              </w:rPr>
              <w:t>45.1</w:t>
            </w:r>
          </w:p>
        </w:tc>
        <w:tc>
          <w:tcPr>
            <w:tcW w:w="940" w:type="dxa"/>
            <w:vAlign w:val="bottom"/>
            <w:tcBorders>
              <w:top w:val="single" w:sz="8" w:color="auto"/>
            </w:tcBorders>
          </w:tcPr>
          <w:p>
            <w:pPr>
              <w:jc w:val="right"/>
              <w:ind w:right="49"/>
              <w:spacing w:after="0" w:line="143" w:lineRule="exact"/>
              <w:rPr>
                <w:sz w:val="20"/>
                <w:szCs w:val="20"/>
                <w:color w:val="auto"/>
              </w:rPr>
            </w:pPr>
            <w:r>
              <w:rPr>
                <w:rFonts w:ascii="Arial" w:cs="Arial" w:eastAsia="Arial" w:hAnsi="Arial"/>
                <w:sz w:val="14"/>
                <w:szCs w:val="14"/>
                <w:b w:val="1"/>
                <w:bCs w:val="1"/>
                <w:color w:val="auto"/>
              </w:rPr>
              <w:t>1.34</w:t>
            </w:r>
          </w:p>
        </w:tc>
        <w:tc>
          <w:tcPr>
            <w:tcW w:w="880" w:type="dxa"/>
            <w:vAlign w:val="bottom"/>
            <w:tcBorders>
              <w:top w:val="single" w:sz="8" w:color="auto"/>
            </w:tcBorders>
          </w:tcPr>
          <w:p>
            <w:pPr>
              <w:jc w:val="right"/>
              <w:ind w:right="313"/>
              <w:spacing w:after="0" w:line="143" w:lineRule="exact"/>
              <w:rPr>
                <w:sz w:val="20"/>
                <w:szCs w:val="20"/>
                <w:color w:val="auto"/>
              </w:rPr>
            </w:pPr>
            <w:r>
              <w:rPr>
                <w:rFonts w:ascii="Arial" w:cs="Arial" w:eastAsia="Arial" w:hAnsi="Arial"/>
                <w:sz w:val="14"/>
                <w:szCs w:val="14"/>
                <w:b w:val="1"/>
                <w:bCs w:val="1"/>
                <w:color w:val="auto"/>
              </w:rPr>
              <w:t>45%</w:t>
            </w:r>
          </w:p>
        </w:tc>
        <w:tc>
          <w:tcPr>
            <w:tcW w:w="620" w:type="dxa"/>
            <w:vAlign w:val="bottom"/>
            <w:tcBorders>
              <w:top w:val="single" w:sz="8" w:color="auto"/>
            </w:tcBorders>
          </w:tcPr>
          <w:p>
            <w:pPr>
              <w:jc w:val="right"/>
              <w:ind w:right="11"/>
              <w:spacing w:after="0" w:line="143" w:lineRule="exact"/>
              <w:rPr>
                <w:sz w:val="20"/>
                <w:szCs w:val="20"/>
                <w:color w:val="auto"/>
              </w:rPr>
            </w:pPr>
            <w:r>
              <w:rPr>
                <w:rFonts w:ascii="Arial" w:cs="Arial" w:eastAsia="Arial" w:hAnsi="Arial"/>
                <w:sz w:val="14"/>
                <w:szCs w:val="14"/>
                <w:b w:val="1"/>
                <w:bCs w:val="1"/>
                <w:color w:val="auto"/>
              </w:rPr>
              <w:t>60%</w:t>
            </w:r>
          </w:p>
        </w:tc>
        <w:tc>
          <w:tcPr>
            <w:tcW w:w="12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jc w:val="right"/>
              <w:ind w:right="231"/>
              <w:spacing w:after="0" w:line="143" w:lineRule="exact"/>
              <w:rPr>
                <w:sz w:val="20"/>
                <w:szCs w:val="20"/>
                <w:color w:val="auto"/>
              </w:rPr>
            </w:pPr>
            <w:r>
              <w:rPr>
                <w:rFonts w:ascii="Arial" w:cs="Arial" w:eastAsia="Arial" w:hAnsi="Arial"/>
                <w:sz w:val="14"/>
                <w:szCs w:val="14"/>
                <w:b w:val="1"/>
                <w:bCs w:val="1"/>
                <w:color w:val="auto"/>
              </w:rPr>
              <w:t>36%</w:t>
            </w:r>
          </w:p>
        </w:tc>
        <w:tc>
          <w:tcPr>
            <w:tcW w:w="680" w:type="dxa"/>
            <w:vAlign w:val="bottom"/>
            <w:tcBorders>
              <w:top w:val="single" w:sz="8" w:color="auto"/>
            </w:tcBorders>
          </w:tcPr>
          <w:p>
            <w:pPr>
              <w:jc w:val="right"/>
              <w:ind w:right="70"/>
              <w:spacing w:after="0" w:line="143" w:lineRule="exact"/>
              <w:rPr>
                <w:sz w:val="20"/>
                <w:szCs w:val="20"/>
                <w:color w:val="auto"/>
              </w:rPr>
            </w:pPr>
            <w:r>
              <w:rPr>
                <w:rFonts w:ascii="Arial" w:cs="Arial" w:eastAsia="Arial" w:hAnsi="Arial"/>
                <w:sz w:val="14"/>
                <w:szCs w:val="14"/>
                <w:b w:val="1"/>
                <w:bCs w:val="1"/>
                <w:color w:val="auto"/>
              </w:rPr>
              <w:t>48%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3780" w:type="dxa"/>
            <w:vAlign w:val="bottom"/>
            <w:gridSpan w:val="3"/>
          </w:tcPr>
          <w:p>
            <w:pPr>
              <w:spacing w:after="0"/>
              <w:rPr>
                <w:sz w:val="20"/>
                <w:szCs w:val="20"/>
                <w:color w:val="auto"/>
              </w:rPr>
            </w:pPr>
            <w:r>
              <w:rPr>
                <w:rFonts w:ascii="Arial" w:cs="Arial" w:eastAsia="Arial" w:hAnsi="Arial"/>
                <w:sz w:val="14"/>
                <w:szCs w:val="14"/>
                <w:b w:val="1"/>
                <w:bCs w:val="1"/>
                <w:color w:val="auto"/>
              </w:rPr>
              <w:t>Operational excellence</w:t>
            </w:r>
          </w:p>
        </w:tc>
        <w:tc>
          <w:tcPr>
            <w:tcW w:w="2260" w:type="dxa"/>
            <w:vAlign w:val="bottom"/>
            <w:gridSpan w:val="2"/>
          </w:tcPr>
          <w:p>
            <w:pPr>
              <w:jc w:val="right"/>
              <w:ind w:right="17"/>
              <w:spacing w:after="0"/>
              <w:rPr>
                <w:sz w:val="20"/>
                <w:szCs w:val="20"/>
                <w:color w:val="auto"/>
              </w:rPr>
            </w:pPr>
            <w:r>
              <w:rPr>
                <w:rFonts w:ascii="Arial" w:cs="Arial" w:eastAsia="Arial" w:hAnsi="Arial"/>
                <w:sz w:val="14"/>
                <w:szCs w:val="14"/>
                <w:b w:val="1"/>
                <w:bCs w:val="1"/>
                <w:color w:val="auto"/>
              </w:rPr>
              <w:t>50%</w:t>
            </w:r>
          </w:p>
        </w:tc>
        <w:tc>
          <w:tcPr>
            <w:tcW w:w="5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40" w:type="dxa"/>
            <w:vAlign w:val="bottom"/>
          </w:tcPr>
          <w:p>
            <w:pPr>
              <w:jc w:val="right"/>
              <w:ind w:right="49"/>
              <w:spacing w:after="0"/>
              <w:rPr>
                <w:sz w:val="20"/>
                <w:szCs w:val="20"/>
                <w:color w:val="auto"/>
              </w:rPr>
            </w:pPr>
            <w:r>
              <w:rPr>
                <w:rFonts w:ascii="Arial" w:cs="Arial" w:eastAsia="Arial" w:hAnsi="Arial"/>
                <w:sz w:val="14"/>
                <w:szCs w:val="14"/>
                <w:b w:val="1"/>
                <w:bCs w:val="1"/>
                <w:color w:val="auto"/>
              </w:rPr>
              <w:t>1.40</w:t>
            </w:r>
          </w:p>
        </w:tc>
        <w:tc>
          <w:tcPr>
            <w:tcW w:w="880" w:type="dxa"/>
            <w:vAlign w:val="bottom"/>
          </w:tcPr>
          <w:p>
            <w:pPr>
              <w:jc w:val="right"/>
              <w:ind w:right="313"/>
              <w:spacing w:after="0"/>
              <w:rPr>
                <w:sz w:val="20"/>
                <w:szCs w:val="20"/>
                <w:color w:val="auto"/>
              </w:rPr>
            </w:pPr>
            <w:r>
              <w:rPr>
                <w:rFonts w:ascii="Arial" w:cs="Arial" w:eastAsia="Arial" w:hAnsi="Arial"/>
                <w:sz w:val="14"/>
                <w:szCs w:val="14"/>
                <w:b w:val="1"/>
                <w:bCs w:val="1"/>
                <w:color w:val="auto"/>
              </w:rPr>
              <w:t>75%</w:t>
            </w:r>
          </w:p>
        </w:tc>
        <w:tc>
          <w:tcPr>
            <w:tcW w:w="620" w:type="dxa"/>
            <w:vAlign w:val="bottom"/>
          </w:tcPr>
          <w:p>
            <w:pPr>
              <w:jc w:val="right"/>
              <w:ind w:right="11"/>
              <w:spacing w:after="0"/>
              <w:rPr>
                <w:sz w:val="20"/>
                <w:szCs w:val="20"/>
                <w:color w:val="auto"/>
              </w:rPr>
            </w:pPr>
            <w:r>
              <w:rPr>
                <w:rFonts w:ascii="Arial" w:cs="Arial" w:eastAsia="Arial" w:hAnsi="Arial"/>
                <w:sz w:val="14"/>
                <w:szCs w:val="14"/>
                <w:b w:val="1"/>
                <w:bCs w:val="1"/>
                <w:color w:val="auto"/>
              </w:rPr>
              <w:t>105%</w:t>
            </w:r>
          </w:p>
        </w:tc>
        <w:tc>
          <w:tcPr>
            <w:tcW w:w="120" w:type="dxa"/>
            <w:vAlign w:val="bottom"/>
          </w:tcPr>
          <w:p>
            <w:pPr>
              <w:spacing w:after="0"/>
              <w:rPr>
                <w:sz w:val="15"/>
                <w:szCs w:val="15"/>
                <w:color w:val="auto"/>
              </w:rPr>
            </w:pPr>
          </w:p>
        </w:tc>
        <w:tc>
          <w:tcPr>
            <w:tcW w:w="800" w:type="dxa"/>
            <w:vAlign w:val="bottom"/>
          </w:tcPr>
          <w:p>
            <w:pPr>
              <w:jc w:val="right"/>
              <w:ind w:right="231"/>
              <w:spacing w:after="0"/>
              <w:rPr>
                <w:sz w:val="20"/>
                <w:szCs w:val="20"/>
                <w:color w:val="auto"/>
              </w:rPr>
            </w:pPr>
            <w:r>
              <w:rPr>
                <w:rFonts w:ascii="Arial" w:cs="Arial" w:eastAsia="Arial" w:hAnsi="Arial"/>
                <w:sz w:val="14"/>
                <w:szCs w:val="14"/>
                <w:b w:val="1"/>
                <w:bCs w:val="1"/>
                <w:color w:val="auto"/>
              </w:rPr>
              <w:t>60%</w:t>
            </w:r>
          </w:p>
        </w:tc>
        <w:tc>
          <w:tcPr>
            <w:tcW w:w="680" w:type="dxa"/>
            <w:vAlign w:val="bottom"/>
          </w:tcPr>
          <w:p>
            <w:pPr>
              <w:jc w:val="right"/>
              <w:ind w:right="70"/>
              <w:spacing w:after="0"/>
              <w:rPr>
                <w:sz w:val="20"/>
                <w:szCs w:val="20"/>
                <w:color w:val="auto"/>
              </w:rPr>
            </w:pPr>
            <w:r>
              <w:rPr>
                <w:rFonts w:ascii="Arial" w:cs="Arial" w:eastAsia="Arial" w:hAnsi="Arial"/>
                <w:sz w:val="14"/>
                <w:szCs w:val="14"/>
                <w:b w:val="1"/>
                <w:bCs w:val="1"/>
                <w:color w:val="auto"/>
              </w:rPr>
              <w:t>84%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3780" w:type="dxa"/>
            <w:vAlign w:val="bottom"/>
            <w:gridSpan w:val="3"/>
          </w:tcPr>
          <w:p>
            <w:pPr>
              <w:spacing w:after="0"/>
              <w:rPr>
                <w:sz w:val="20"/>
                <w:szCs w:val="20"/>
                <w:color w:val="auto"/>
              </w:rPr>
            </w:pPr>
            <w:r>
              <w:rPr>
                <w:rFonts w:ascii="Arial" w:cs="Arial" w:eastAsia="Arial" w:hAnsi="Arial"/>
                <w:sz w:val="14"/>
                <w:szCs w:val="14"/>
                <w:color w:val="auto"/>
              </w:rPr>
              <w:t>Project delivery: identified projects on time and budget (%)</w:t>
            </w:r>
          </w:p>
        </w:tc>
        <w:tc>
          <w:tcPr>
            <w:tcW w:w="2260" w:type="dxa"/>
            <w:vAlign w:val="bottom"/>
            <w:gridSpan w:val="2"/>
          </w:tcPr>
          <w:p>
            <w:pPr>
              <w:jc w:val="right"/>
              <w:ind w:right="17"/>
              <w:spacing w:after="0"/>
              <w:rPr>
                <w:sz w:val="20"/>
                <w:szCs w:val="20"/>
                <w:color w:val="auto"/>
              </w:rPr>
            </w:pPr>
            <w:r>
              <w:rPr>
                <w:rFonts w:ascii="Arial" w:cs="Arial" w:eastAsia="Arial" w:hAnsi="Arial"/>
                <w:sz w:val="14"/>
                <w:szCs w:val="14"/>
                <w:color w:val="auto"/>
              </w:rPr>
              <w:t>20%</w:t>
            </w:r>
          </w:p>
        </w:tc>
        <w:tc>
          <w:tcPr>
            <w:tcW w:w="560" w:type="dxa"/>
            <w:vAlign w:val="bottom"/>
          </w:tcPr>
          <w:p>
            <w:pPr>
              <w:jc w:val="right"/>
              <w:ind w:right="30"/>
              <w:spacing w:after="0"/>
              <w:rPr>
                <w:sz w:val="20"/>
                <w:szCs w:val="20"/>
                <w:color w:val="auto"/>
              </w:rPr>
            </w:pPr>
            <w:r>
              <w:rPr>
                <w:rFonts w:ascii="Arial" w:cs="Arial" w:eastAsia="Arial" w:hAnsi="Arial"/>
                <w:sz w:val="14"/>
                <w:szCs w:val="14"/>
                <w:color w:val="auto"/>
              </w:rPr>
              <w:t>75%</w:t>
            </w:r>
          </w:p>
        </w:tc>
        <w:tc>
          <w:tcPr>
            <w:tcW w:w="780" w:type="dxa"/>
            <w:vAlign w:val="bottom"/>
          </w:tcPr>
          <w:p>
            <w:pPr>
              <w:jc w:val="right"/>
              <w:ind w:right="110"/>
              <w:spacing w:after="0"/>
              <w:rPr>
                <w:sz w:val="20"/>
                <w:szCs w:val="20"/>
                <w:color w:val="auto"/>
              </w:rPr>
            </w:pPr>
            <w:r>
              <w:rPr>
                <w:rFonts w:ascii="Arial" w:cs="Arial" w:eastAsia="Arial" w:hAnsi="Arial"/>
                <w:sz w:val="14"/>
                <w:szCs w:val="14"/>
                <w:color w:val="auto"/>
              </w:rPr>
              <w:t>83%</w:t>
            </w:r>
          </w:p>
        </w:tc>
        <w:tc>
          <w:tcPr>
            <w:tcW w:w="940" w:type="dxa"/>
            <w:vAlign w:val="bottom"/>
          </w:tcPr>
          <w:p>
            <w:pPr>
              <w:jc w:val="right"/>
              <w:ind w:right="49"/>
              <w:spacing w:after="0"/>
              <w:rPr>
                <w:sz w:val="20"/>
                <w:szCs w:val="20"/>
                <w:color w:val="auto"/>
              </w:rPr>
            </w:pPr>
            <w:r>
              <w:rPr>
                <w:rFonts w:ascii="Arial" w:cs="Arial" w:eastAsia="Arial" w:hAnsi="Arial"/>
                <w:sz w:val="14"/>
                <w:szCs w:val="14"/>
                <w:color w:val="auto"/>
              </w:rPr>
              <w:t>1.40</w:t>
            </w:r>
          </w:p>
        </w:tc>
        <w:tc>
          <w:tcPr>
            <w:tcW w:w="8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780" w:type="dxa"/>
            <w:vAlign w:val="bottom"/>
            <w:gridSpan w:val="3"/>
          </w:tcPr>
          <w:p>
            <w:pPr>
              <w:spacing w:after="0"/>
              <w:rPr>
                <w:sz w:val="20"/>
                <w:szCs w:val="20"/>
                <w:color w:val="auto"/>
              </w:rPr>
            </w:pPr>
            <w:r>
              <w:rPr>
                <w:rFonts w:ascii="Arial" w:cs="Arial" w:eastAsia="Arial" w:hAnsi="Arial"/>
                <w:sz w:val="14"/>
                <w:szCs w:val="14"/>
                <w:color w:val="auto"/>
              </w:rPr>
              <w:t>Production (kboe/d)</w:t>
            </w:r>
          </w:p>
        </w:tc>
        <w:tc>
          <w:tcPr>
            <w:tcW w:w="2260" w:type="dxa"/>
            <w:vAlign w:val="bottom"/>
            <w:gridSpan w:val="2"/>
          </w:tcPr>
          <w:p>
            <w:pPr>
              <w:jc w:val="right"/>
              <w:ind w:right="17"/>
              <w:spacing w:after="0"/>
              <w:rPr>
                <w:sz w:val="20"/>
                <w:szCs w:val="20"/>
                <w:color w:val="auto"/>
              </w:rPr>
            </w:pPr>
            <w:r>
              <w:rPr>
                <w:rFonts w:ascii="Arial" w:cs="Arial" w:eastAsia="Arial" w:hAnsi="Arial"/>
                <w:sz w:val="14"/>
                <w:szCs w:val="14"/>
                <w:color w:val="auto"/>
              </w:rPr>
              <w:t>12%</w:t>
            </w:r>
          </w:p>
        </w:tc>
        <w:tc>
          <w:tcPr>
            <w:tcW w:w="560" w:type="dxa"/>
            <w:vAlign w:val="bottom"/>
          </w:tcPr>
          <w:p>
            <w:pPr>
              <w:jc w:val="right"/>
              <w:ind w:right="30"/>
              <w:spacing w:after="0"/>
              <w:rPr>
                <w:sz w:val="20"/>
                <w:szCs w:val="20"/>
                <w:color w:val="auto"/>
              </w:rPr>
            </w:pPr>
            <w:r>
              <w:rPr>
                <w:rFonts w:ascii="Arial" w:cs="Arial" w:eastAsia="Arial" w:hAnsi="Arial"/>
                <w:sz w:val="14"/>
                <w:szCs w:val="14"/>
                <w:color w:val="auto"/>
              </w:rPr>
              <w:t>3,079</w:t>
            </w:r>
          </w:p>
        </w:tc>
        <w:tc>
          <w:tcPr>
            <w:tcW w:w="780" w:type="dxa"/>
            <w:vAlign w:val="bottom"/>
          </w:tcPr>
          <w:p>
            <w:pPr>
              <w:jc w:val="right"/>
              <w:ind w:right="110"/>
              <w:spacing w:after="0"/>
              <w:rPr>
                <w:sz w:val="20"/>
                <w:szCs w:val="20"/>
                <w:color w:val="auto"/>
              </w:rPr>
            </w:pPr>
            <w:r>
              <w:rPr>
                <w:rFonts w:ascii="Arial" w:cs="Arial" w:eastAsia="Arial" w:hAnsi="Arial"/>
                <w:sz w:val="14"/>
                <w:szCs w:val="14"/>
                <w:color w:val="auto"/>
              </w:rPr>
              <w:t>3,080</w:t>
            </w:r>
          </w:p>
        </w:tc>
        <w:tc>
          <w:tcPr>
            <w:tcW w:w="940" w:type="dxa"/>
            <w:vAlign w:val="bottom"/>
          </w:tcPr>
          <w:p>
            <w:pPr>
              <w:jc w:val="right"/>
              <w:ind w:right="49"/>
              <w:spacing w:after="0"/>
              <w:rPr>
                <w:sz w:val="20"/>
                <w:szCs w:val="20"/>
                <w:color w:val="auto"/>
              </w:rPr>
            </w:pPr>
            <w:r>
              <w:rPr>
                <w:rFonts w:ascii="Arial" w:cs="Arial" w:eastAsia="Arial" w:hAnsi="Arial"/>
                <w:sz w:val="14"/>
                <w:szCs w:val="14"/>
                <w:color w:val="auto"/>
              </w:rPr>
              <w:t>1.02</w:t>
            </w:r>
          </w:p>
        </w:tc>
        <w:tc>
          <w:tcPr>
            <w:tcW w:w="8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780" w:type="dxa"/>
            <w:vAlign w:val="bottom"/>
            <w:gridSpan w:val="3"/>
          </w:tcPr>
          <w:p>
            <w:pPr>
              <w:spacing w:after="0"/>
              <w:rPr>
                <w:sz w:val="20"/>
                <w:szCs w:val="20"/>
                <w:color w:val="auto"/>
              </w:rPr>
            </w:pPr>
            <w:r>
              <w:rPr>
                <w:rFonts w:ascii="Arial" w:cs="Arial" w:eastAsia="Arial" w:hAnsi="Arial"/>
                <w:sz w:val="14"/>
                <w:szCs w:val="14"/>
                <w:color w:val="auto"/>
              </w:rPr>
              <w:t>LNG sales (mtpa)</w:t>
            </w:r>
          </w:p>
        </w:tc>
        <w:tc>
          <w:tcPr>
            <w:tcW w:w="2260" w:type="dxa"/>
            <w:vAlign w:val="bottom"/>
            <w:gridSpan w:val="2"/>
          </w:tcPr>
          <w:p>
            <w:pPr>
              <w:jc w:val="right"/>
              <w:ind w:right="17"/>
              <w:spacing w:after="0"/>
              <w:rPr>
                <w:sz w:val="20"/>
                <w:szCs w:val="20"/>
                <w:color w:val="auto"/>
              </w:rPr>
            </w:pPr>
            <w:r>
              <w:rPr>
                <w:rFonts w:ascii="Arial" w:cs="Arial" w:eastAsia="Arial" w:hAnsi="Arial"/>
                <w:sz w:val="14"/>
                <w:szCs w:val="14"/>
                <w:color w:val="auto"/>
              </w:rPr>
              <w:t>6%</w:t>
            </w:r>
          </w:p>
        </w:tc>
        <w:tc>
          <w:tcPr>
            <w:tcW w:w="560" w:type="dxa"/>
            <w:vAlign w:val="bottom"/>
          </w:tcPr>
          <w:p>
            <w:pPr>
              <w:jc w:val="right"/>
              <w:ind w:right="30"/>
              <w:spacing w:after="0"/>
              <w:rPr>
                <w:sz w:val="20"/>
                <w:szCs w:val="20"/>
                <w:color w:val="auto"/>
              </w:rPr>
            </w:pPr>
            <w:r>
              <w:rPr>
                <w:rFonts w:ascii="Arial" w:cs="Arial" w:eastAsia="Arial" w:hAnsi="Arial"/>
                <w:sz w:val="14"/>
                <w:szCs w:val="14"/>
                <w:color w:val="auto"/>
              </w:rPr>
              <w:t>23.0</w:t>
            </w:r>
          </w:p>
        </w:tc>
        <w:tc>
          <w:tcPr>
            <w:tcW w:w="780" w:type="dxa"/>
            <w:vAlign w:val="bottom"/>
          </w:tcPr>
          <w:p>
            <w:pPr>
              <w:jc w:val="right"/>
              <w:ind w:right="110"/>
              <w:spacing w:after="0"/>
              <w:rPr>
                <w:sz w:val="20"/>
                <w:szCs w:val="20"/>
                <w:color w:val="auto"/>
              </w:rPr>
            </w:pPr>
            <w:r>
              <w:rPr>
                <w:rFonts w:ascii="Arial" w:cs="Arial" w:eastAsia="Arial" w:hAnsi="Arial"/>
                <w:sz w:val="14"/>
                <w:szCs w:val="14"/>
                <w:color w:val="auto"/>
              </w:rPr>
              <w:t>24.0</w:t>
            </w:r>
          </w:p>
        </w:tc>
        <w:tc>
          <w:tcPr>
            <w:tcW w:w="940" w:type="dxa"/>
            <w:vAlign w:val="bottom"/>
          </w:tcPr>
          <w:p>
            <w:pPr>
              <w:jc w:val="right"/>
              <w:ind w:right="49"/>
              <w:spacing w:after="0"/>
              <w:rPr>
                <w:sz w:val="20"/>
                <w:szCs w:val="20"/>
                <w:color w:val="auto"/>
              </w:rPr>
            </w:pPr>
            <w:r>
              <w:rPr>
                <w:rFonts w:ascii="Arial" w:cs="Arial" w:eastAsia="Arial" w:hAnsi="Arial"/>
                <w:sz w:val="14"/>
                <w:szCs w:val="14"/>
                <w:color w:val="auto"/>
              </w:rPr>
              <w:t>2.00</w:t>
            </w:r>
          </w:p>
        </w:tc>
        <w:tc>
          <w:tcPr>
            <w:tcW w:w="8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3780" w:type="dxa"/>
            <w:vAlign w:val="bottom"/>
            <w:gridSpan w:val="3"/>
          </w:tcPr>
          <w:p>
            <w:pPr>
              <w:spacing w:after="0" w:line="144" w:lineRule="exact"/>
              <w:rPr>
                <w:sz w:val="20"/>
                <w:szCs w:val="20"/>
                <w:color w:val="auto"/>
              </w:rPr>
            </w:pPr>
            <w:r>
              <w:rPr>
                <w:rFonts w:ascii="Arial" w:cs="Arial" w:eastAsia="Arial" w:hAnsi="Arial"/>
                <w:sz w:val="14"/>
                <w:szCs w:val="14"/>
                <w:color w:val="auto"/>
              </w:rPr>
              <w:t>Refinery and chemical plant availability (%)</w:t>
            </w:r>
          </w:p>
        </w:tc>
        <w:tc>
          <w:tcPr>
            <w:tcW w:w="2260" w:type="dxa"/>
            <w:vAlign w:val="bottom"/>
            <w:gridSpan w:val="2"/>
          </w:tcPr>
          <w:p>
            <w:pPr>
              <w:jc w:val="right"/>
              <w:ind w:right="17"/>
              <w:spacing w:after="0" w:line="144" w:lineRule="exact"/>
              <w:rPr>
                <w:sz w:val="20"/>
                <w:szCs w:val="20"/>
                <w:color w:val="auto"/>
              </w:rPr>
            </w:pPr>
            <w:r>
              <w:rPr>
                <w:rFonts w:ascii="Arial" w:cs="Arial" w:eastAsia="Arial" w:hAnsi="Arial"/>
                <w:sz w:val="14"/>
                <w:szCs w:val="14"/>
                <w:color w:val="auto"/>
              </w:rPr>
              <w:t>12%</w:t>
            </w:r>
          </w:p>
        </w:tc>
        <w:tc>
          <w:tcPr>
            <w:tcW w:w="560" w:type="dxa"/>
            <w:vAlign w:val="bottom"/>
          </w:tcPr>
          <w:p>
            <w:pPr>
              <w:jc w:val="right"/>
              <w:ind w:right="30"/>
              <w:spacing w:after="0" w:line="144" w:lineRule="exact"/>
              <w:rPr>
                <w:sz w:val="20"/>
                <w:szCs w:val="20"/>
                <w:color w:val="auto"/>
              </w:rPr>
            </w:pPr>
            <w:r>
              <w:rPr>
                <w:rFonts w:ascii="Arial" w:cs="Arial" w:eastAsia="Arial" w:hAnsi="Arial"/>
                <w:sz w:val="14"/>
                <w:szCs w:val="14"/>
                <w:color w:val="auto"/>
              </w:rPr>
              <w:t>91.1</w:t>
            </w:r>
          </w:p>
        </w:tc>
        <w:tc>
          <w:tcPr>
            <w:tcW w:w="780" w:type="dxa"/>
            <w:vAlign w:val="bottom"/>
          </w:tcPr>
          <w:p>
            <w:pPr>
              <w:jc w:val="right"/>
              <w:ind w:right="110"/>
              <w:spacing w:after="0" w:line="144" w:lineRule="exact"/>
              <w:rPr>
                <w:sz w:val="20"/>
                <w:szCs w:val="20"/>
                <w:color w:val="auto"/>
              </w:rPr>
            </w:pPr>
            <w:r>
              <w:rPr>
                <w:rFonts w:ascii="Arial" w:cs="Arial" w:eastAsia="Arial" w:hAnsi="Arial"/>
                <w:sz w:val="14"/>
                <w:szCs w:val="14"/>
                <w:color w:val="auto"/>
              </w:rPr>
              <w:t>92.1</w:t>
            </w:r>
          </w:p>
        </w:tc>
        <w:tc>
          <w:tcPr>
            <w:tcW w:w="940" w:type="dxa"/>
            <w:vAlign w:val="bottom"/>
          </w:tcPr>
          <w:p>
            <w:pPr>
              <w:jc w:val="right"/>
              <w:ind w:right="49"/>
              <w:spacing w:after="0" w:line="144" w:lineRule="exact"/>
              <w:rPr>
                <w:sz w:val="20"/>
                <w:szCs w:val="20"/>
                <w:color w:val="auto"/>
              </w:rPr>
            </w:pPr>
            <w:r>
              <w:rPr>
                <w:rFonts w:ascii="Arial" w:cs="Arial" w:eastAsia="Arial" w:hAnsi="Arial"/>
                <w:sz w:val="14"/>
                <w:szCs w:val="14"/>
                <w:color w:val="auto"/>
              </w:rPr>
              <w:t>1.49</w:t>
            </w:r>
          </w:p>
        </w:tc>
        <w:tc>
          <w:tcPr>
            <w:tcW w:w="8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3780" w:type="dxa"/>
            <w:vAlign w:val="bottom"/>
            <w:gridSpan w:val="3"/>
          </w:tcPr>
          <w:p>
            <w:pPr>
              <w:spacing w:after="0"/>
              <w:rPr>
                <w:sz w:val="20"/>
                <w:szCs w:val="20"/>
                <w:color w:val="auto"/>
              </w:rPr>
            </w:pPr>
            <w:r>
              <w:rPr>
                <w:rFonts w:ascii="Arial" w:cs="Arial" w:eastAsia="Arial" w:hAnsi="Arial"/>
                <w:sz w:val="14"/>
                <w:szCs w:val="14"/>
                <w:b w:val="1"/>
                <w:bCs w:val="1"/>
                <w:color w:val="auto"/>
              </w:rPr>
              <w:t>Sustainable development</w:t>
            </w:r>
          </w:p>
        </w:tc>
        <w:tc>
          <w:tcPr>
            <w:tcW w:w="2260" w:type="dxa"/>
            <w:vAlign w:val="bottom"/>
            <w:gridSpan w:val="2"/>
          </w:tcPr>
          <w:p>
            <w:pPr>
              <w:jc w:val="right"/>
              <w:ind w:right="17"/>
              <w:spacing w:after="0"/>
              <w:rPr>
                <w:sz w:val="20"/>
                <w:szCs w:val="20"/>
                <w:color w:val="auto"/>
              </w:rPr>
            </w:pPr>
            <w:r>
              <w:rPr>
                <w:rFonts w:ascii="Arial" w:cs="Arial" w:eastAsia="Arial" w:hAnsi="Arial"/>
                <w:sz w:val="14"/>
                <w:szCs w:val="14"/>
                <w:b w:val="1"/>
                <w:bCs w:val="1"/>
                <w:color w:val="auto"/>
              </w:rPr>
              <w:t>20%</w:t>
            </w:r>
          </w:p>
        </w:tc>
        <w:tc>
          <w:tcPr>
            <w:tcW w:w="5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40" w:type="dxa"/>
            <w:vAlign w:val="bottom"/>
          </w:tcPr>
          <w:p>
            <w:pPr>
              <w:jc w:val="right"/>
              <w:ind w:right="49"/>
              <w:spacing w:after="0"/>
              <w:rPr>
                <w:sz w:val="20"/>
                <w:szCs w:val="20"/>
                <w:color w:val="auto"/>
              </w:rPr>
            </w:pPr>
            <w:r>
              <w:rPr>
                <w:rFonts w:ascii="Arial" w:cs="Arial" w:eastAsia="Arial" w:hAnsi="Arial"/>
                <w:sz w:val="14"/>
                <w:szCs w:val="14"/>
                <w:b w:val="1"/>
                <w:bCs w:val="1"/>
                <w:color w:val="auto"/>
              </w:rPr>
              <w:t>1.75</w:t>
            </w:r>
          </w:p>
        </w:tc>
        <w:tc>
          <w:tcPr>
            <w:tcW w:w="880" w:type="dxa"/>
            <w:vAlign w:val="bottom"/>
          </w:tcPr>
          <w:p>
            <w:pPr>
              <w:jc w:val="right"/>
              <w:ind w:right="313"/>
              <w:spacing w:after="0"/>
              <w:rPr>
                <w:sz w:val="20"/>
                <w:szCs w:val="20"/>
                <w:color w:val="auto"/>
              </w:rPr>
            </w:pPr>
            <w:r>
              <w:rPr>
                <w:rFonts w:ascii="Arial" w:cs="Arial" w:eastAsia="Arial" w:hAnsi="Arial"/>
                <w:sz w:val="14"/>
                <w:szCs w:val="14"/>
                <w:b w:val="1"/>
                <w:bCs w:val="1"/>
                <w:color w:val="auto"/>
              </w:rPr>
              <w:t>30%</w:t>
            </w:r>
          </w:p>
        </w:tc>
        <w:tc>
          <w:tcPr>
            <w:tcW w:w="620" w:type="dxa"/>
            <w:vAlign w:val="bottom"/>
          </w:tcPr>
          <w:p>
            <w:pPr>
              <w:jc w:val="right"/>
              <w:ind w:right="11"/>
              <w:spacing w:after="0"/>
              <w:rPr>
                <w:sz w:val="20"/>
                <w:szCs w:val="20"/>
                <w:color w:val="auto"/>
              </w:rPr>
            </w:pPr>
            <w:r>
              <w:rPr>
                <w:rFonts w:ascii="Arial" w:cs="Arial" w:eastAsia="Arial" w:hAnsi="Arial"/>
                <w:sz w:val="14"/>
                <w:szCs w:val="14"/>
                <w:b w:val="1"/>
                <w:bCs w:val="1"/>
                <w:color w:val="auto"/>
              </w:rPr>
              <w:t>53%</w:t>
            </w:r>
          </w:p>
        </w:tc>
        <w:tc>
          <w:tcPr>
            <w:tcW w:w="120" w:type="dxa"/>
            <w:vAlign w:val="bottom"/>
          </w:tcPr>
          <w:p>
            <w:pPr>
              <w:spacing w:after="0"/>
              <w:rPr>
                <w:sz w:val="15"/>
                <w:szCs w:val="15"/>
                <w:color w:val="auto"/>
              </w:rPr>
            </w:pPr>
          </w:p>
        </w:tc>
        <w:tc>
          <w:tcPr>
            <w:tcW w:w="800" w:type="dxa"/>
            <w:vAlign w:val="bottom"/>
          </w:tcPr>
          <w:p>
            <w:pPr>
              <w:jc w:val="right"/>
              <w:ind w:right="231"/>
              <w:spacing w:after="0"/>
              <w:rPr>
                <w:sz w:val="20"/>
                <w:szCs w:val="20"/>
                <w:color w:val="auto"/>
              </w:rPr>
            </w:pPr>
            <w:r>
              <w:rPr>
                <w:rFonts w:ascii="Arial" w:cs="Arial" w:eastAsia="Arial" w:hAnsi="Arial"/>
                <w:sz w:val="14"/>
                <w:szCs w:val="14"/>
                <w:b w:val="1"/>
                <w:bCs w:val="1"/>
                <w:color w:val="auto"/>
              </w:rPr>
              <w:t>24%</w:t>
            </w:r>
          </w:p>
        </w:tc>
        <w:tc>
          <w:tcPr>
            <w:tcW w:w="680" w:type="dxa"/>
            <w:vAlign w:val="bottom"/>
          </w:tcPr>
          <w:p>
            <w:pPr>
              <w:jc w:val="right"/>
              <w:ind w:right="70"/>
              <w:spacing w:after="0"/>
              <w:rPr>
                <w:sz w:val="20"/>
                <w:szCs w:val="20"/>
                <w:color w:val="auto"/>
              </w:rPr>
            </w:pPr>
            <w:r>
              <w:rPr>
                <w:rFonts w:ascii="Arial" w:cs="Arial" w:eastAsia="Arial" w:hAnsi="Arial"/>
                <w:sz w:val="14"/>
                <w:szCs w:val="14"/>
                <w:b w:val="1"/>
                <w:bCs w:val="1"/>
                <w:color w:val="auto"/>
              </w:rPr>
              <w:t>42%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3780" w:type="dxa"/>
            <w:vAlign w:val="bottom"/>
            <w:gridSpan w:val="3"/>
          </w:tcPr>
          <w:p>
            <w:pPr>
              <w:spacing w:after="0"/>
              <w:rPr>
                <w:sz w:val="20"/>
                <w:szCs w:val="20"/>
                <w:color w:val="auto"/>
              </w:rPr>
            </w:pPr>
            <w:r>
              <w:rPr>
                <w:rFonts w:ascii="Arial" w:cs="Arial" w:eastAsia="Arial" w:hAnsi="Arial"/>
                <w:sz w:val="14"/>
                <w:szCs w:val="14"/>
                <w:color w:val="auto"/>
              </w:rPr>
              <w:t>Total recordable case frequency (incidents/million hours)</w:t>
            </w:r>
          </w:p>
        </w:tc>
        <w:tc>
          <w:tcPr>
            <w:tcW w:w="2260" w:type="dxa"/>
            <w:vAlign w:val="bottom"/>
            <w:gridSpan w:val="2"/>
          </w:tcPr>
          <w:p>
            <w:pPr>
              <w:jc w:val="right"/>
              <w:ind w:right="17"/>
              <w:spacing w:after="0"/>
              <w:rPr>
                <w:sz w:val="20"/>
                <w:szCs w:val="20"/>
                <w:color w:val="auto"/>
              </w:rPr>
            </w:pPr>
            <w:r>
              <w:rPr>
                <w:rFonts w:ascii="Arial" w:cs="Arial" w:eastAsia="Arial" w:hAnsi="Arial"/>
                <w:sz w:val="14"/>
                <w:szCs w:val="14"/>
                <w:color w:val="auto"/>
              </w:rPr>
              <w:t>10%</w:t>
            </w:r>
          </w:p>
        </w:tc>
        <w:tc>
          <w:tcPr>
            <w:tcW w:w="560" w:type="dxa"/>
            <w:vAlign w:val="bottom"/>
          </w:tcPr>
          <w:p>
            <w:pPr>
              <w:jc w:val="right"/>
              <w:ind w:right="30"/>
              <w:spacing w:after="0"/>
              <w:rPr>
                <w:sz w:val="20"/>
                <w:szCs w:val="20"/>
                <w:color w:val="auto"/>
              </w:rPr>
            </w:pPr>
            <w:r>
              <w:rPr>
                <w:rFonts w:ascii="Arial" w:cs="Arial" w:eastAsia="Arial" w:hAnsi="Arial"/>
                <w:sz w:val="14"/>
                <w:szCs w:val="14"/>
                <w:color w:val="auto"/>
              </w:rPr>
              <w:t>1.22</w:t>
            </w:r>
          </w:p>
        </w:tc>
        <w:tc>
          <w:tcPr>
            <w:tcW w:w="780" w:type="dxa"/>
            <w:vAlign w:val="bottom"/>
          </w:tcPr>
          <w:p>
            <w:pPr>
              <w:jc w:val="right"/>
              <w:ind w:right="110"/>
              <w:spacing w:after="0"/>
              <w:rPr>
                <w:sz w:val="20"/>
                <w:szCs w:val="20"/>
                <w:color w:val="auto"/>
              </w:rPr>
            </w:pPr>
            <w:r>
              <w:rPr>
                <w:rFonts w:ascii="Arial" w:cs="Arial" w:eastAsia="Arial" w:hAnsi="Arial"/>
                <w:sz w:val="14"/>
                <w:szCs w:val="14"/>
                <w:color w:val="auto"/>
              </w:rPr>
              <w:t>0.99</w:t>
            </w:r>
          </w:p>
        </w:tc>
        <w:tc>
          <w:tcPr>
            <w:tcW w:w="940" w:type="dxa"/>
            <w:vAlign w:val="bottom"/>
          </w:tcPr>
          <w:p>
            <w:pPr>
              <w:jc w:val="right"/>
              <w:ind w:right="49"/>
              <w:spacing w:after="0"/>
              <w:rPr>
                <w:sz w:val="20"/>
                <w:szCs w:val="20"/>
                <w:color w:val="auto"/>
              </w:rPr>
            </w:pPr>
            <w:r>
              <w:rPr>
                <w:rFonts w:ascii="Arial" w:cs="Arial" w:eastAsia="Arial" w:hAnsi="Arial"/>
                <w:sz w:val="14"/>
                <w:szCs w:val="14"/>
                <w:color w:val="auto"/>
              </w:rPr>
              <w:t>1.77</w:t>
            </w:r>
          </w:p>
        </w:tc>
        <w:tc>
          <w:tcPr>
            <w:tcW w:w="8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3780" w:type="dxa"/>
            <w:vAlign w:val="bottom"/>
            <w:gridSpan w:val="3"/>
          </w:tcPr>
          <w:p>
            <w:pPr>
              <w:spacing w:after="0" w:line="157" w:lineRule="exact"/>
              <w:rPr>
                <w:sz w:val="20"/>
                <w:szCs w:val="20"/>
                <w:color w:val="auto"/>
              </w:rPr>
            </w:pPr>
            <w:r>
              <w:rPr>
                <w:rFonts w:ascii="Arial" w:cs="Arial" w:eastAsia="Arial" w:hAnsi="Arial"/>
                <w:sz w:val="14"/>
                <w:szCs w:val="14"/>
                <w:color w:val="auto"/>
              </w:rPr>
              <w:t>Targeted internal measures (score 0-2) [B]</w:t>
            </w:r>
          </w:p>
        </w:tc>
        <w:tc>
          <w:tcPr>
            <w:tcW w:w="2260" w:type="dxa"/>
            <w:vAlign w:val="bottom"/>
            <w:gridSpan w:val="2"/>
          </w:tcPr>
          <w:p>
            <w:pPr>
              <w:jc w:val="right"/>
              <w:ind w:right="17"/>
              <w:spacing w:after="0" w:line="157" w:lineRule="exact"/>
              <w:rPr>
                <w:sz w:val="20"/>
                <w:szCs w:val="20"/>
                <w:color w:val="auto"/>
              </w:rPr>
            </w:pPr>
            <w:r>
              <w:rPr>
                <w:rFonts w:ascii="Arial" w:cs="Arial" w:eastAsia="Arial" w:hAnsi="Arial"/>
                <w:sz w:val="14"/>
                <w:szCs w:val="14"/>
                <w:color w:val="auto"/>
              </w:rPr>
              <w:t>10%</w:t>
            </w:r>
          </w:p>
        </w:tc>
        <w:tc>
          <w:tcPr>
            <w:tcW w:w="560" w:type="dxa"/>
            <w:vAlign w:val="bottom"/>
          </w:tcPr>
          <w:p>
            <w:pPr>
              <w:jc w:val="right"/>
              <w:ind w:right="30"/>
              <w:spacing w:after="0" w:line="157" w:lineRule="exact"/>
              <w:rPr>
                <w:sz w:val="20"/>
                <w:szCs w:val="20"/>
                <w:color w:val="auto"/>
              </w:rPr>
            </w:pPr>
            <w:r>
              <w:rPr>
                <w:rFonts w:ascii="Arial" w:cs="Arial" w:eastAsia="Arial" w:hAnsi="Arial"/>
                <w:sz w:val="14"/>
                <w:szCs w:val="14"/>
                <w:color w:val="auto"/>
              </w:rPr>
              <w:t>1.0</w:t>
            </w:r>
          </w:p>
        </w:tc>
        <w:tc>
          <w:tcPr>
            <w:tcW w:w="780" w:type="dxa"/>
            <w:vAlign w:val="bottom"/>
          </w:tcPr>
          <w:p>
            <w:pPr>
              <w:jc w:val="right"/>
              <w:ind w:right="110"/>
              <w:spacing w:after="0" w:line="157" w:lineRule="exact"/>
              <w:rPr>
                <w:sz w:val="20"/>
                <w:szCs w:val="20"/>
                <w:color w:val="auto"/>
              </w:rPr>
            </w:pPr>
            <w:r>
              <w:rPr>
                <w:rFonts w:ascii="Arial" w:cs="Arial" w:eastAsia="Arial" w:hAnsi="Arial"/>
                <w:sz w:val="14"/>
                <w:szCs w:val="14"/>
                <w:color w:val="auto"/>
              </w:rPr>
              <w:t>1.74</w:t>
            </w:r>
          </w:p>
        </w:tc>
        <w:tc>
          <w:tcPr>
            <w:tcW w:w="940" w:type="dxa"/>
            <w:vAlign w:val="bottom"/>
          </w:tcPr>
          <w:p>
            <w:pPr>
              <w:jc w:val="right"/>
              <w:ind w:right="49"/>
              <w:spacing w:after="0" w:line="157" w:lineRule="exact"/>
              <w:rPr>
                <w:sz w:val="20"/>
                <w:szCs w:val="20"/>
                <w:color w:val="auto"/>
              </w:rPr>
            </w:pPr>
            <w:r>
              <w:rPr>
                <w:rFonts w:ascii="Arial" w:cs="Arial" w:eastAsia="Arial" w:hAnsi="Arial"/>
                <w:sz w:val="14"/>
                <w:szCs w:val="14"/>
                <w:color w:val="auto"/>
              </w:rPr>
              <w:t>1.74</w:t>
            </w:r>
          </w:p>
        </w:tc>
        <w:tc>
          <w:tcPr>
            <w:tcW w:w="8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00" w:type="dxa"/>
            <w:vAlign w:val="bottom"/>
            <w:tcBorders>
              <w:top w:val="single" w:sz="8" w:color="auto"/>
              <w:bottom w:val="single" w:sz="8" w:color="auto"/>
            </w:tcBorders>
          </w:tcPr>
          <w:p>
            <w:pPr>
              <w:spacing w:after="0"/>
              <w:rPr>
                <w:sz w:val="13"/>
                <w:szCs w:val="13"/>
                <w:color w:val="auto"/>
              </w:rPr>
            </w:pPr>
          </w:p>
        </w:tc>
        <w:tc>
          <w:tcPr>
            <w:tcW w:w="3160" w:type="dxa"/>
            <w:vAlign w:val="bottom"/>
            <w:tcBorders>
              <w:top w:val="single" w:sz="8" w:color="auto"/>
              <w:bottom w:val="single" w:sz="8" w:color="auto"/>
            </w:tcBorders>
          </w:tcPr>
          <w:p>
            <w:pPr>
              <w:spacing w:after="0"/>
              <w:rPr>
                <w:sz w:val="13"/>
                <w:szCs w:val="13"/>
                <w:color w:val="auto"/>
              </w:rPr>
            </w:pPr>
          </w:p>
        </w:tc>
        <w:tc>
          <w:tcPr>
            <w:tcW w:w="2260" w:type="dxa"/>
            <w:vAlign w:val="bottom"/>
            <w:tcBorders>
              <w:top w:val="single" w:sz="8" w:color="auto"/>
              <w:bottom w:val="single" w:sz="8" w:color="auto"/>
            </w:tcBorders>
            <w:gridSpan w:val="2"/>
          </w:tcPr>
          <w:p>
            <w:pPr>
              <w:jc w:val="right"/>
              <w:ind w:right="17"/>
              <w:spacing w:after="0" w:line="155" w:lineRule="exact"/>
              <w:rPr>
                <w:sz w:val="20"/>
                <w:szCs w:val="20"/>
                <w:color w:val="auto"/>
              </w:rPr>
            </w:pPr>
            <w:r>
              <w:rPr>
                <w:rFonts w:ascii="Arial" w:cs="Arial" w:eastAsia="Arial" w:hAnsi="Arial"/>
                <w:sz w:val="14"/>
                <w:szCs w:val="14"/>
                <w:b w:val="1"/>
                <w:bCs w:val="1"/>
                <w:color w:val="auto"/>
              </w:rPr>
              <w:t>100%</w:t>
            </w:r>
          </w:p>
        </w:tc>
        <w:tc>
          <w:tcPr>
            <w:tcW w:w="560" w:type="dxa"/>
            <w:vAlign w:val="bottom"/>
            <w:tcBorders>
              <w:top w:val="single" w:sz="8" w:color="auto"/>
              <w:bottom w:val="single" w:sz="8" w:color="auto"/>
            </w:tcBorders>
          </w:tcPr>
          <w:p>
            <w:pPr>
              <w:spacing w:after="0"/>
              <w:rPr>
                <w:sz w:val="13"/>
                <w:szCs w:val="13"/>
                <w:color w:val="auto"/>
              </w:rPr>
            </w:pPr>
          </w:p>
        </w:tc>
        <w:tc>
          <w:tcPr>
            <w:tcW w:w="780" w:type="dxa"/>
            <w:vAlign w:val="bottom"/>
            <w:tcBorders>
              <w:top w:val="single" w:sz="8" w:color="auto"/>
              <w:bottom w:val="single" w:sz="8" w:color="auto"/>
            </w:tcBorders>
          </w:tcPr>
          <w:p>
            <w:pPr>
              <w:spacing w:after="0"/>
              <w:rPr>
                <w:sz w:val="13"/>
                <w:szCs w:val="13"/>
                <w:color w:val="auto"/>
              </w:rPr>
            </w:pPr>
          </w:p>
        </w:tc>
        <w:tc>
          <w:tcPr>
            <w:tcW w:w="940" w:type="dxa"/>
            <w:vAlign w:val="bottom"/>
            <w:tcBorders>
              <w:top w:val="single" w:sz="8" w:color="auto"/>
              <w:bottom w:val="single" w:sz="8" w:color="auto"/>
            </w:tcBorders>
          </w:tcPr>
          <w:p>
            <w:pPr>
              <w:spacing w:after="0"/>
              <w:rPr>
                <w:sz w:val="13"/>
                <w:szCs w:val="13"/>
                <w:color w:val="auto"/>
              </w:rPr>
            </w:pPr>
          </w:p>
        </w:tc>
        <w:tc>
          <w:tcPr>
            <w:tcW w:w="880" w:type="dxa"/>
            <w:vAlign w:val="bottom"/>
            <w:tcBorders>
              <w:top w:val="single" w:sz="8" w:color="auto"/>
              <w:bottom w:val="single" w:sz="8" w:color="auto"/>
            </w:tcBorders>
          </w:tcPr>
          <w:p>
            <w:pPr>
              <w:jc w:val="right"/>
              <w:ind w:right="313"/>
              <w:spacing w:after="0" w:line="155" w:lineRule="exact"/>
              <w:rPr>
                <w:sz w:val="20"/>
                <w:szCs w:val="20"/>
                <w:color w:val="auto"/>
              </w:rPr>
            </w:pPr>
            <w:r>
              <w:rPr>
                <w:rFonts w:ascii="Arial" w:cs="Arial" w:eastAsia="Arial" w:hAnsi="Arial"/>
                <w:sz w:val="14"/>
                <w:szCs w:val="14"/>
                <w:b w:val="1"/>
                <w:bCs w:val="1"/>
                <w:color w:val="auto"/>
              </w:rPr>
              <w:t>150%</w:t>
            </w:r>
          </w:p>
        </w:tc>
        <w:tc>
          <w:tcPr>
            <w:tcW w:w="620" w:type="dxa"/>
            <w:vAlign w:val="bottom"/>
            <w:tcBorders>
              <w:top w:val="single" w:sz="8" w:color="auto"/>
              <w:bottom w:val="single" w:sz="8" w:color="auto"/>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800" w:type="dxa"/>
            <w:vAlign w:val="bottom"/>
            <w:tcBorders>
              <w:top w:val="single" w:sz="8" w:color="auto"/>
              <w:bottom w:val="single" w:sz="8" w:color="auto"/>
            </w:tcBorders>
          </w:tcPr>
          <w:p>
            <w:pPr>
              <w:jc w:val="right"/>
              <w:ind w:right="231"/>
              <w:spacing w:after="0" w:line="155" w:lineRule="exact"/>
              <w:rPr>
                <w:sz w:val="20"/>
                <w:szCs w:val="20"/>
                <w:color w:val="auto"/>
              </w:rPr>
            </w:pPr>
            <w:r>
              <w:rPr>
                <w:rFonts w:ascii="Arial" w:cs="Arial" w:eastAsia="Arial" w:hAnsi="Arial"/>
                <w:sz w:val="14"/>
                <w:szCs w:val="14"/>
                <w:b w:val="1"/>
                <w:bCs w:val="1"/>
                <w:color w:val="auto"/>
              </w:rPr>
              <w:t>120%</w:t>
            </w:r>
          </w:p>
        </w:tc>
        <w:tc>
          <w:tcPr>
            <w:tcW w:w="680" w:type="dxa"/>
            <w:vAlign w:val="bottom"/>
            <w:tcBorders>
              <w:top w:val="single" w:sz="8" w:color="auto"/>
              <w:bottom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3780" w:type="dxa"/>
            <w:vAlign w:val="bottom"/>
            <w:tcBorders>
              <w:bottom w:val="single" w:sz="8" w:color="auto"/>
            </w:tcBorders>
            <w:gridSpan w:val="3"/>
          </w:tcPr>
          <w:p>
            <w:pPr>
              <w:spacing w:after="0" w:line="155" w:lineRule="exact"/>
              <w:rPr>
                <w:sz w:val="20"/>
                <w:szCs w:val="20"/>
                <w:color w:val="auto"/>
              </w:rPr>
            </w:pPr>
            <w:r>
              <w:rPr>
                <w:rFonts w:ascii="Arial" w:cs="Arial" w:eastAsia="Arial" w:hAnsi="Arial"/>
                <w:sz w:val="14"/>
                <w:szCs w:val="14"/>
                <w:color w:val="auto"/>
              </w:rPr>
              <w:t>Mathematical scorecard outcome</w:t>
            </w:r>
          </w:p>
        </w:tc>
        <w:tc>
          <w:tcPr>
            <w:tcW w:w="172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49"/>
              <w:spacing w:after="0" w:line="155" w:lineRule="exact"/>
              <w:rPr>
                <w:sz w:val="20"/>
                <w:szCs w:val="20"/>
                <w:color w:val="auto"/>
              </w:rPr>
            </w:pPr>
            <w:r>
              <w:rPr>
                <w:rFonts w:ascii="Arial" w:cs="Arial" w:eastAsia="Arial" w:hAnsi="Arial"/>
                <w:sz w:val="14"/>
                <w:szCs w:val="14"/>
                <w:color w:val="auto"/>
              </w:rPr>
              <w:t>1.45</w:t>
            </w:r>
          </w:p>
        </w:tc>
        <w:tc>
          <w:tcPr>
            <w:tcW w:w="88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3780" w:type="dxa"/>
            <w:vAlign w:val="bottom"/>
            <w:tcBorders>
              <w:bottom w:val="single" w:sz="8" w:color="auto"/>
            </w:tcBorders>
            <w:gridSpan w:val="3"/>
          </w:tcPr>
          <w:p>
            <w:pPr>
              <w:spacing w:after="0" w:line="155" w:lineRule="exact"/>
              <w:rPr>
                <w:sz w:val="20"/>
                <w:szCs w:val="20"/>
                <w:color w:val="auto"/>
              </w:rPr>
            </w:pPr>
            <w:r>
              <w:rPr>
                <w:rFonts w:ascii="Arial" w:cs="Arial" w:eastAsia="Arial" w:hAnsi="Arial"/>
                <w:sz w:val="14"/>
                <w:szCs w:val="14"/>
                <w:color w:val="auto"/>
              </w:rPr>
              <w:t>Final 2014 bonus [C]</w:t>
            </w:r>
          </w:p>
        </w:tc>
        <w:tc>
          <w:tcPr>
            <w:tcW w:w="172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1720" w:type="dxa"/>
            <w:vAlign w:val="bottom"/>
            <w:tcBorders>
              <w:bottom w:val="single" w:sz="8" w:color="auto"/>
            </w:tcBorders>
            <w:gridSpan w:val="2"/>
          </w:tcPr>
          <w:p>
            <w:pPr>
              <w:jc w:val="right"/>
              <w:ind w:right="49"/>
              <w:spacing w:after="0" w:line="155" w:lineRule="exact"/>
              <w:rPr>
                <w:sz w:val="20"/>
                <w:szCs w:val="20"/>
                <w:color w:val="auto"/>
              </w:rPr>
            </w:pPr>
            <w:r>
              <w:rPr>
                <w:rFonts w:ascii="Arial" w:cs="Arial" w:eastAsia="Arial" w:hAnsi="Arial"/>
                <w:sz w:val="14"/>
                <w:szCs w:val="14"/>
                <w:color w:val="auto"/>
              </w:rPr>
              <w:t>€ (% of base salary)</w:t>
            </w:r>
          </w:p>
        </w:tc>
        <w:tc>
          <w:tcPr>
            <w:tcW w:w="8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3,300,000</w:t>
            </w:r>
          </w:p>
        </w:tc>
        <w:tc>
          <w:tcPr>
            <w:tcW w:w="620" w:type="dxa"/>
            <w:vAlign w:val="bottom"/>
            <w:tcBorders>
              <w:bottom w:val="single" w:sz="8" w:color="auto"/>
            </w:tcBorders>
          </w:tcPr>
          <w:p>
            <w:pPr>
              <w:jc w:val="right"/>
              <w:ind w:right="11"/>
              <w:spacing w:after="0" w:line="155" w:lineRule="exact"/>
              <w:rPr>
                <w:sz w:val="20"/>
                <w:szCs w:val="20"/>
                <w:color w:val="auto"/>
              </w:rPr>
            </w:pPr>
            <w:r>
              <w:rPr>
                <w:rFonts w:ascii="Arial" w:cs="Arial" w:eastAsia="Arial" w:hAnsi="Arial"/>
                <w:sz w:val="14"/>
                <w:szCs w:val="14"/>
                <w:color w:val="auto"/>
              </w:rPr>
              <w:t>(236%)</w:t>
            </w:r>
          </w:p>
        </w:tc>
        <w:tc>
          <w:tcPr>
            <w:tcW w:w="12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ind w:left="140"/>
              <w:spacing w:after="0" w:line="155" w:lineRule="exact"/>
              <w:rPr>
                <w:sz w:val="20"/>
                <w:szCs w:val="20"/>
                <w:color w:val="auto"/>
              </w:rPr>
            </w:pPr>
            <w:r>
              <w:rPr>
                <w:rFonts w:ascii="Arial" w:cs="Arial" w:eastAsia="Arial" w:hAnsi="Arial"/>
                <w:sz w:val="14"/>
                <w:szCs w:val="14"/>
                <w:color w:val="auto"/>
              </w:rPr>
              <w:t>1,900,000</w:t>
            </w:r>
          </w:p>
        </w:tc>
        <w:tc>
          <w:tcPr>
            <w:tcW w:w="680" w:type="dxa"/>
            <w:vAlign w:val="bottom"/>
            <w:tcBorders>
              <w:bottom w:val="single" w:sz="8" w:color="auto"/>
            </w:tcBorders>
          </w:tcPr>
          <w:p>
            <w:pPr>
              <w:jc w:val="right"/>
              <w:ind w:right="70"/>
              <w:spacing w:after="0" w:line="155" w:lineRule="exact"/>
              <w:rPr>
                <w:sz w:val="20"/>
                <w:szCs w:val="20"/>
                <w:color w:val="auto"/>
              </w:rPr>
            </w:pPr>
            <w:r>
              <w:rPr>
                <w:rFonts w:ascii="Arial" w:cs="Arial" w:eastAsia="Arial" w:hAnsi="Arial"/>
                <w:sz w:val="14"/>
                <w:szCs w:val="14"/>
                <w:color w:val="auto"/>
              </w:rPr>
              <w:t>(188%)</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32" w:lineRule="exact"/>
        <w:rPr>
          <w:sz w:val="20"/>
          <w:szCs w:val="20"/>
          <w:color w:val="auto"/>
        </w:rPr>
      </w:pPr>
    </w:p>
    <w:p>
      <w:pPr>
        <w:ind w:left="180" w:hanging="172"/>
        <w:spacing w:after="0"/>
        <w:tabs>
          <w:tab w:leader="none" w:pos="180" w:val="left"/>
        </w:tabs>
        <w:numPr>
          <w:ilvl w:val="0"/>
          <w:numId w:val="103"/>
        </w:numPr>
        <w:rPr>
          <w:rFonts w:ascii="Arial" w:cs="Arial" w:eastAsia="Arial" w:hAnsi="Arial"/>
          <w:sz w:val="11"/>
          <w:szCs w:val="11"/>
          <w:color w:val="auto"/>
        </w:rPr>
      </w:pPr>
      <w:r>
        <w:rPr>
          <w:rFonts w:ascii="Arial" w:cs="Arial" w:eastAsia="Arial" w:hAnsi="Arial"/>
          <w:sz w:val="11"/>
          <w:szCs w:val="11"/>
          <w:color w:val="auto"/>
        </w:rPr>
        <w:t>Excluding tax on divestments.</w:t>
      </w:r>
    </w:p>
    <w:p>
      <w:pPr>
        <w:ind w:left="180" w:hanging="172"/>
        <w:spacing w:after="0" w:line="230" w:lineRule="auto"/>
        <w:tabs>
          <w:tab w:leader="none" w:pos="180" w:val="left"/>
        </w:tabs>
        <w:numPr>
          <w:ilvl w:val="0"/>
          <w:numId w:val="103"/>
        </w:numPr>
        <w:rPr>
          <w:rFonts w:ascii="Arial" w:cs="Arial" w:eastAsia="Arial" w:hAnsi="Arial"/>
          <w:sz w:val="11"/>
          <w:szCs w:val="11"/>
          <w:color w:val="auto"/>
        </w:rPr>
      </w:pPr>
      <w:r>
        <w:rPr>
          <w:rFonts w:ascii="Arial" w:cs="Arial" w:eastAsia="Arial" w:hAnsi="Arial"/>
          <w:sz w:val="11"/>
          <w:szCs w:val="11"/>
          <w:color w:val="auto"/>
        </w:rPr>
        <w:t>Spills, energy intensity and use of fresh water.</w:t>
      </w:r>
    </w:p>
    <w:p>
      <w:pPr>
        <w:ind w:left="180" w:hanging="172"/>
        <w:spacing w:after="0"/>
        <w:tabs>
          <w:tab w:leader="none" w:pos="180" w:val="left"/>
        </w:tabs>
        <w:numPr>
          <w:ilvl w:val="0"/>
          <w:numId w:val="103"/>
        </w:numPr>
        <w:rPr>
          <w:rFonts w:ascii="Arial" w:cs="Arial" w:eastAsia="Arial" w:hAnsi="Arial"/>
          <w:sz w:val="11"/>
          <w:szCs w:val="11"/>
          <w:color w:val="auto"/>
        </w:rPr>
      </w:pPr>
      <w:r>
        <w:rPr>
          <w:rFonts w:ascii="Arial" w:cs="Arial" w:eastAsia="Arial" w:hAnsi="Arial"/>
          <w:sz w:val="11"/>
          <w:szCs w:val="11"/>
          <w:color w:val="auto"/>
        </w:rPr>
        <w:t>Annual bonus = (base salary x target bonus % x scorecard result), adjusted for individual performance by a factor of 1.08.</w:t>
      </w:r>
    </w:p>
    <w:p>
      <w:pPr>
        <w:sectPr>
          <w:pgSz w:w="11900" w:h="16838" w:orient="portrait"/>
          <w:cols w:equalWidth="0" w:num="1">
            <w:col w:w="11420"/>
          </w:cols>
          <w:pgMar w:left="240" w:top="459" w:right="239" w:bottom="1440" w:gutter="0" w:footer="0" w:header="0"/>
        </w:sectPr>
      </w:pPr>
    </w:p>
    <w:p>
      <w:pPr>
        <w:spacing w:after="0" w:line="286" w:lineRule="exact"/>
        <w:rPr>
          <w:sz w:val="20"/>
          <w:szCs w:val="20"/>
          <w:color w:val="auto"/>
        </w:rPr>
      </w:pPr>
    </w:p>
    <w:p>
      <w:pPr>
        <w:spacing w:after="0"/>
        <w:rPr>
          <w:sz w:val="20"/>
          <w:szCs w:val="20"/>
          <w:color w:val="auto"/>
        </w:rPr>
      </w:pPr>
      <w:r>
        <w:rPr>
          <w:rFonts w:ascii="Arial" w:cs="Arial" w:eastAsia="Arial" w:hAnsi="Arial"/>
          <w:sz w:val="13"/>
          <w:szCs w:val="13"/>
          <w:color w:val="auto"/>
        </w:rPr>
        <w:t>LONG-TERM INCENTIVE PLAN</w:t>
      </w:r>
    </w:p>
    <w:p>
      <w:pPr>
        <w:spacing w:after="0" w:line="245" w:lineRule="auto"/>
        <w:rPr>
          <w:sz w:val="20"/>
          <w:szCs w:val="20"/>
          <w:color w:val="auto"/>
        </w:rPr>
      </w:pPr>
      <w:r>
        <w:rPr>
          <w:rFonts w:ascii="Arial" w:cs="Arial" w:eastAsia="Arial" w:hAnsi="Arial"/>
          <w:sz w:val="14"/>
          <w:szCs w:val="14"/>
          <w:color w:val="auto"/>
        </w:rPr>
        <w:t>In 2012, Simon Henry was granted a conditional award of performance shares under the LTIP. This award was based on 240% of base salary, with a maximum vesting of 480%. The terms of this 2012 LTIP award are the same as those applying to the 2014 LTIP awards, other than hydrocarbon production growth being a relative performance measure in the 2012 award, replaced by ROACE growth in the 2014 award.</w:t>
      </w:r>
    </w:p>
    <w:p>
      <w:pPr>
        <w:spacing w:after="0" w:line="164" w:lineRule="exact"/>
        <w:rPr>
          <w:sz w:val="20"/>
          <w:szCs w:val="20"/>
          <w:color w:val="auto"/>
        </w:rPr>
      </w:pPr>
    </w:p>
    <w:p>
      <w:pPr>
        <w:ind w:right="60"/>
        <w:spacing w:after="0" w:line="243" w:lineRule="auto"/>
        <w:rPr>
          <w:sz w:val="20"/>
          <w:szCs w:val="20"/>
          <w:color w:val="auto"/>
        </w:rPr>
      </w:pPr>
      <w:r>
        <w:rPr>
          <w:rFonts w:ascii="Arial" w:cs="Arial" w:eastAsia="Arial" w:hAnsi="Arial"/>
          <w:sz w:val="14"/>
          <w:szCs w:val="14"/>
          <w:color w:val="auto"/>
        </w:rPr>
        <w:t>At the end of the performance period (January 1, 2012 to December 31, 2014), Shell was ranked fourth among its peer group in terms of TSR (30% weight), third in terms of diluted EPS growth on a current cost of supplies basis (30% weight), second in terms of hydrocarbon production growth (20% weight) and second in terms of growth in net cash from operating activities (20% weight). REMCO also considered the underlying financial performance of Shell and decided to vest 84% of shares under the LTIP, without applying any discretionary adjustment, resulting in 80,645 B shares for Simon Henry. At vesting, these shares (including accrued dividend shares) had a value of €2,450,131. The vested shares from the LTIP are subject to a further two-year holding period.</w:t>
      </w:r>
    </w:p>
    <w:p>
      <w:pPr>
        <w:spacing w:after="0" w:line="152" w:lineRule="exact"/>
        <w:rPr>
          <w:sz w:val="20"/>
          <w:szCs w:val="20"/>
          <w:color w:val="auto"/>
        </w:rPr>
      </w:pPr>
    </w:p>
    <w:p>
      <w:pPr>
        <w:spacing w:after="0"/>
        <w:rPr>
          <w:sz w:val="20"/>
          <w:szCs w:val="20"/>
          <w:color w:val="auto"/>
        </w:rPr>
      </w:pPr>
      <w:r>
        <w:rPr>
          <w:rFonts w:ascii="Arial" w:cs="Arial" w:eastAsia="Arial" w:hAnsi="Arial"/>
          <w:sz w:val="13"/>
          <w:szCs w:val="13"/>
          <w:color w:val="auto"/>
        </w:rPr>
        <w:t>DEFERRED BONUS PLAN</w:t>
      </w:r>
    </w:p>
    <w:p>
      <w:pPr>
        <w:spacing w:after="0" w:line="244" w:lineRule="auto"/>
        <w:rPr>
          <w:sz w:val="20"/>
          <w:szCs w:val="20"/>
          <w:color w:val="auto"/>
        </w:rPr>
      </w:pPr>
      <w:r>
        <w:rPr>
          <w:rFonts w:ascii="Arial" w:cs="Arial" w:eastAsia="Arial" w:hAnsi="Arial"/>
          <w:sz w:val="14"/>
          <w:szCs w:val="14"/>
          <w:color w:val="auto"/>
        </w:rPr>
        <w:t>Simon Henry was granted performance matching shares under the DBP. The performance period was January 1, 2012 to December 31, 2014. Given that the performance condition of the DBP is the same as for the 2012 LTIP, REMCO decided to vest 84% of the performance matching shares under the DBP, without applying any discretionary adjustment, resulting in 13,405 B shares for Simon Henry. At vesting, these shares (including accrued dividend shares) had a value of €407,261.</w:t>
      </w:r>
    </w:p>
    <w:p>
      <w:pPr>
        <w:spacing w:after="0" w:line="20" w:lineRule="exact"/>
        <w:rPr>
          <w:sz w:val="20"/>
          <w:szCs w:val="20"/>
          <w:color w:val="auto"/>
        </w:rPr>
      </w:pPr>
      <w:r>
        <w:rPr>
          <w:sz w:val="20"/>
          <w:szCs w:val="20"/>
          <w:color w:val="auto"/>
        </w:rPr>
        <w:br w:type="column"/>
      </w:r>
    </w:p>
    <w:p>
      <w:pPr>
        <w:spacing w:after="0" w:line="266" w:lineRule="exact"/>
        <w:rPr>
          <w:sz w:val="20"/>
          <w:szCs w:val="20"/>
          <w:color w:val="auto"/>
        </w:rPr>
      </w:pPr>
    </w:p>
    <w:p>
      <w:pPr>
        <w:spacing w:after="0"/>
        <w:rPr>
          <w:sz w:val="20"/>
          <w:szCs w:val="20"/>
          <w:color w:val="auto"/>
        </w:rPr>
      </w:pPr>
      <w:r>
        <w:rPr>
          <w:rFonts w:ascii="Arial" w:cs="Arial" w:eastAsia="Arial" w:hAnsi="Arial"/>
          <w:sz w:val="13"/>
          <w:szCs w:val="13"/>
          <w:color w:val="auto"/>
        </w:rPr>
        <w:t>PERFORMANCE SHARE PLAN</w:t>
      </w:r>
    </w:p>
    <w:p>
      <w:pPr>
        <w:ind w:right="180"/>
        <w:spacing w:after="0" w:line="241" w:lineRule="auto"/>
        <w:rPr>
          <w:sz w:val="20"/>
          <w:szCs w:val="20"/>
          <w:color w:val="auto"/>
        </w:rPr>
      </w:pPr>
      <w:r>
        <w:rPr>
          <w:rFonts w:ascii="Arial" w:cs="Arial" w:eastAsia="Arial" w:hAnsi="Arial"/>
          <w:sz w:val="14"/>
          <w:szCs w:val="14"/>
          <w:color w:val="auto"/>
        </w:rPr>
        <w:t>Selected employees participate in the Performance Share Plan (PSP). The operation of the PSP is similar to the LTIP, but differs, for example, in some performance measures and their relative weightings. In 2012, prior to his appointment to the Board, Ben van Beurden was granted a conditional award under the PSP. At the end of the performance period, which was from January 1, 2012,</w:t>
      </w:r>
    </w:p>
    <w:p>
      <w:pPr>
        <w:spacing w:after="0" w:line="2" w:lineRule="exact"/>
        <w:rPr>
          <w:sz w:val="20"/>
          <w:szCs w:val="20"/>
          <w:color w:val="auto"/>
        </w:rPr>
      </w:pPr>
    </w:p>
    <w:p>
      <w:pPr>
        <w:ind w:right="240"/>
        <w:spacing w:after="0" w:line="253" w:lineRule="auto"/>
        <w:rPr>
          <w:sz w:val="20"/>
          <w:szCs w:val="20"/>
          <w:color w:val="auto"/>
        </w:rPr>
      </w:pPr>
      <w:r>
        <w:rPr>
          <w:rFonts w:ascii="Arial" w:cs="Arial" w:eastAsia="Arial" w:hAnsi="Arial"/>
          <w:sz w:val="14"/>
          <w:szCs w:val="14"/>
          <w:color w:val="auto"/>
        </w:rPr>
        <w:t>to December 31, 2014, 97% vested, resulting in 29,801 A shares for Ben van Beurden. At vesting, these shares (including accrued dividend shares) had a value of €863,186.</w:t>
      </w:r>
    </w:p>
    <w:p>
      <w:pPr>
        <w:spacing w:after="0" w:line="308" w:lineRule="exact"/>
        <w:rPr>
          <w:sz w:val="20"/>
          <w:szCs w:val="20"/>
          <w:color w:val="auto"/>
        </w:rPr>
      </w:pPr>
    </w:p>
    <w:p>
      <w:pPr>
        <w:spacing w:after="0"/>
        <w:rPr>
          <w:sz w:val="20"/>
          <w:szCs w:val="20"/>
          <w:color w:val="auto"/>
        </w:rPr>
      </w:pPr>
      <w:r>
        <w:rPr>
          <w:rFonts w:ascii="Arial" w:cs="Arial" w:eastAsia="Arial" w:hAnsi="Arial"/>
          <w:sz w:val="13"/>
          <w:szCs w:val="13"/>
          <w:color w:val="auto"/>
        </w:rPr>
        <w:t>PENSION AND RELATED TAX EQUALISATION</w:t>
      </w:r>
    </w:p>
    <w:p>
      <w:pPr>
        <w:jc w:val="center"/>
        <w:ind w:right="360"/>
        <w:spacing w:after="0"/>
        <w:rPr>
          <w:sz w:val="20"/>
          <w:szCs w:val="20"/>
          <w:color w:val="auto"/>
        </w:rPr>
      </w:pPr>
      <w:r>
        <w:rPr>
          <w:rFonts w:ascii="Arial" w:cs="Arial" w:eastAsia="Arial" w:hAnsi="Arial"/>
          <w:sz w:val="14"/>
          <w:szCs w:val="14"/>
          <w:color w:val="auto"/>
        </w:rPr>
        <w:t>The 2014 single total figure of remuneration includes two pension-related amounts:</w:t>
      </w:r>
    </w:p>
    <w:p>
      <w:pPr>
        <w:spacing w:after="0" w:line="217" w:lineRule="exact"/>
        <w:rPr>
          <w:sz w:val="20"/>
          <w:szCs w:val="20"/>
          <w:color w:val="auto"/>
        </w:rPr>
      </w:pPr>
    </w:p>
    <w:p>
      <w:pPr>
        <w:ind w:left="160" w:right="180" w:hanging="160"/>
        <w:spacing w:after="0" w:line="215" w:lineRule="auto"/>
        <w:tabs>
          <w:tab w:leader="none" w:pos="160" w:val="left"/>
        </w:tabs>
        <w:numPr>
          <w:ilvl w:val="0"/>
          <w:numId w:val="104"/>
        </w:numPr>
        <w:rPr>
          <w:rFonts w:ascii="Arial" w:cs="Arial" w:eastAsia="Arial" w:hAnsi="Arial"/>
          <w:sz w:val="24"/>
          <w:szCs w:val="24"/>
          <w:color w:val="auto"/>
          <w:vertAlign w:val="superscript"/>
        </w:rPr>
      </w:pPr>
      <w:r>
        <w:rPr>
          <w:rFonts w:ascii="Arial" w:cs="Arial" w:eastAsia="Arial" w:hAnsi="Arial"/>
          <w:sz w:val="14"/>
          <w:szCs w:val="14"/>
          <w:color w:val="auto"/>
        </w:rPr>
        <w:t>Pension: UK regulations require the inclusion of a pension value, which, for defined benefit pension plans, is the inflation-adjusted difference between the pension benefit at the beginning and end of the year multiplied by 20. As a result of Ben van Beurden’s promotion to CEO, his pension benefit under the Dutch defined benefit plan increased in value in 2014. The required UK methodology overstates the pension value notably because of the retirement age of 67.</w:t>
      </w:r>
    </w:p>
    <w:p>
      <w:pPr>
        <w:spacing w:after="0" w:line="4" w:lineRule="exact"/>
        <w:rPr>
          <w:rFonts w:ascii="Arial" w:cs="Arial" w:eastAsia="Arial" w:hAnsi="Arial"/>
          <w:sz w:val="24"/>
          <w:szCs w:val="24"/>
          <w:color w:val="auto"/>
          <w:vertAlign w:val="superscript"/>
        </w:rPr>
      </w:pPr>
    </w:p>
    <w:p>
      <w:pPr>
        <w:ind w:left="160" w:right="180" w:hanging="160"/>
        <w:spacing w:after="0" w:line="223" w:lineRule="auto"/>
        <w:tabs>
          <w:tab w:leader="none" w:pos="160" w:val="left"/>
        </w:tabs>
        <w:numPr>
          <w:ilvl w:val="0"/>
          <w:numId w:val="104"/>
        </w:numPr>
        <w:rPr>
          <w:rFonts w:ascii="Arial" w:cs="Arial" w:eastAsia="Arial" w:hAnsi="Arial"/>
          <w:sz w:val="24"/>
          <w:szCs w:val="24"/>
          <w:color w:val="auto"/>
          <w:vertAlign w:val="superscript"/>
        </w:rPr>
      </w:pPr>
      <w:r>
        <w:rPr>
          <w:rFonts w:ascii="Arial" w:cs="Arial" w:eastAsia="Arial" w:hAnsi="Arial"/>
          <w:sz w:val="14"/>
          <w:szCs w:val="14"/>
          <w:color w:val="auto"/>
        </w:rPr>
        <w:t>Tax equalisation: as mentioned in the 2013 report, as a result of his promotion, a UK tax charge arose in respect of pension accruals during Ben van Beurden’s assignment in the UK and this is settled by Shell under its tax equalisation policy for expatriate staff. This is our standard mobility policy and the CEO did not benefit from any special treatment. Mobility is a key element of our remuneration strategy as we need to be able to move executives and key talent across regions. Internal promotion is an important part of our resourcing strategy given the long-term nature and breadth of Shell’s business.</w:t>
      </w:r>
    </w:p>
    <w:p>
      <w:pPr>
        <w:sectPr>
          <w:pgSz w:w="11900" w:h="16838" w:orient="portrait"/>
          <w:cols w:equalWidth="0" w:num="2">
            <w:col w:w="5460" w:space="320"/>
            <w:col w:w="5640"/>
          </w:cols>
          <w:pgMar w:left="240" w:top="459" w:right="239" w:bottom="1440" w:gutter="0" w:footer="0" w:header="0"/>
          <w:type w:val="continuous"/>
        </w:sectPr>
      </w:pPr>
    </w:p>
    <w:bookmarkStart w:id="88" w:name="page89"/>
    <w:bookmarkEnd w:id="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6471285</wp:posOffset>
            </wp:positionH>
            <wp:positionV relativeFrom="paragraph">
              <wp:posOffset>300355</wp:posOffset>
            </wp:positionV>
            <wp:extent cx="8890" cy="46291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8890" cy="462915"/>
                    </a:xfrm>
                    <a:prstGeom prst="rect">
                      <a:avLst/>
                    </a:prstGeom>
                    <a:noFill/>
                  </pic:spPr>
                </pic:pic>
              </a:graphicData>
            </a:graphic>
          </wp:anchor>
        </w:drawing>
      </w:r>
    </w:p>
    <w:p>
      <w:pPr>
        <w:spacing w:after="0" w:line="200" w:lineRule="exact"/>
        <w:rPr>
          <w:sz w:val="20"/>
          <w:szCs w:val="20"/>
          <w:color w:val="auto"/>
        </w:rPr>
      </w:pP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565"/>
        </w:trPr>
        <w:tc>
          <w:tcPr>
            <w:tcW w:w="25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640" w:type="dxa"/>
            <w:vAlign w:val="bottom"/>
            <w:shd w:val="clear" w:color="auto" w:fill="FF8B00"/>
          </w:tcPr>
          <w:p>
            <w:pPr>
              <w:spacing w:after="0"/>
              <w:rPr>
                <w:sz w:val="24"/>
                <w:szCs w:val="24"/>
                <w:color w:val="auto"/>
              </w:rPr>
            </w:pPr>
          </w:p>
        </w:tc>
        <w:tc>
          <w:tcPr>
            <w:tcW w:w="2640" w:type="dxa"/>
            <w:vAlign w:val="bottom"/>
            <w:gridSpan w:val="2"/>
            <w:shd w:val="clear" w:color="auto" w:fill="FF8B00"/>
          </w:tcPr>
          <w:p>
            <w:pPr>
              <w:ind w:left="300"/>
              <w:spacing w:after="0"/>
              <w:rPr>
                <w:sz w:val="20"/>
                <w:szCs w:val="20"/>
                <w:color w:val="auto"/>
              </w:rPr>
            </w:pPr>
            <w:r>
              <w:rPr>
                <w:rFonts w:ascii="Arial" w:cs="Arial" w:eastAsia="Arial" w:hAnsi="Arial"/>
                <w:sz w:val="13"/>
                <w:szCs w:val="13"/>
                <w:color w:val="333333"/>
              </w:rPr>
              <w:t>GOVERNANCE</w:t>
            </w:r>
          </w:p>
        </w:tc>
        <w:tc>
          <w:tcPr>
            <w:tcW w:w="2200" w:type="dxa"/>
            <w:vAlign w:val="bottom"/>
            <w:shd w:val="clear" w:color="auto" w:fill="FF8B00"/>
          </w:tcPr>
          <w:p>
            <w:pPr>
              <w:jc w:val="right"/>
              <w:spacing w:after="0"/>
              <w:rPr>
                <w:sz w:val="20"/>
                <w:szCs w:val="20"/>
                <w:color w:val="auto"/>
              </w:rPr>
            </w:pPr>
            <w:r>
              <w:rPr>
                <w:rFonts w:ascii="Arial" w:cs="Arial" w:eastAsia="Arial" w:hAnsi="Arial"/>
                <w:sz w:val="11"/>
                <w:szCs w:val="11"/>
                <w:b w:val="1"/>
                <w:bCs w:val="1"/>
                <w:color w:val="333333"/>
              </w:rPr>
              <w:t>87</w:t>
            </w:r>
          </w:p>
        </w:tc>
        <w:tc>
          <w:tcPr>
            <w:tcW w:w="340" w:type="dxa"/>
            <w:vAlign w:val="bottom"/>
            <w:shd w:val="clear" w:color="auto" w:fill="FF8B00"/>
          </w:tcPr>
          <w:p>
            <w:pPr>
              <w:spacing w:after="0"/>
              <w:rPr>
                <w:sz w:val="24"/>
                <w:szCs w:val="24"/>
                <w:color w:val="auto"/>
              </w:rPr>
            </w:pPr>
          </w:p>
        </w:tc>
        <w:tc>
          <w:tcPr>
            <w:tcW w:w="0" w:type="dxa"/>
            <w:vAlign w:val="bottom"/>
          </w:tcPr>
          <w:p>
            <w:pPr>
              <w:spacing w:after="0"/>
              <w:rPr>
                <w:sz w:val="1"/>
                <w:szCs w:val="1"/>
                <w:color w:val="auto"/>
              </w:rPr>
            </w:pPr>
          </w:p>
        </w:tc>
      </w:tr>
      <w:tr>
        <w:trPr>
          <w:trHeight w:val="165"/>
        </w:trPr>
        <w:tc>
          <w:tcPr>
            <w:tcW w:w="2540" w:type="dxa"/>
            <w:vAlign w:val="bottom"/>
            <w:vMerge w:val="restart"/>
          </w:tcPr>
          <w:p>
            <w:pPr>
              <w:spacing w:after="0"/>
              <w:rPr>
                <w:sz w:val="20"/>
                <w:szCs w:val="20"/>
                <w:color w:val="auto"/>
              </w:rPr>
            </w:pPr>
            <w:r>
              <w:rPr>
                <w:rFonts w:ascii="Arial" w:cs="Arial" w:eastAsia="Arial" w:hAnsi="Arial"/>
                <w:sz w:val="11"/>
                <w:szCs w:val="11"/>
                <w:color w:val="auto"/>
              </w:rPr>
              <w:t>SHELL ANNUAL REPORT AND FORM 20-F 2014</w:t>
            </w:r>
          </w:p>
        </w:tc>
        <w:tc>
          <w:tcPr>
            <w:tcW w:w="134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640" w:type="dxa"/>
            <w:vAlign w:val="bottom"/>
            <w:shd w:val="clear" w:color="auto" w:fill="FF8B00"/>
          </w:tcPr>
          <w:p>
            <w:pPr>
              <w:spacing w:after="0"/>
              <w:rPr>
                <w:sz w:val="14"/>
                <w:szCs w:val="14"/>
                <w:color w:val="auto"/>
              </w:rPr>
            </w:pPr>
          </w:p>
        </w:tc>
        <w:tc>
          <w:tcPr>
            <w:tcW w:w="620" w:type="dxa"/>
            <w:vAlign w:val="bottom"/>
            <w:shd w:val="clear" w:color="auto" w:fill="FF8B00"/>
          </w:tcPr>
          <w:p>
            <w:pPr>
              <w:spacing w:after="0"/>
              <w:rPr>
                <w:sz w:val="14"/>
                <w:szCs w:val="14"/>
                <w:color w:val="auto"/>
              </w:rPr>
            </w:pPr>
          </w:p>
        </w:tc>
        <w:tc>
          <w:tcPr>
            <w:tcW w:w="2020" w:type="dxa"/>
            <w:vAlign w:val="bottom"/>
            <w:shd w:val="clear" w:color="auto" w:fill="FF8B00"/>
          </w:tcPr>
          <w:p>
            <w:pPr>
              <w:spacing w:after="0"/>
              <w:rPr>
                <w:sz w:val="14"/>
                <w:szCs w:val="14"/>
                <w:color w:val="auto"/>
              </w:rPr>
            </w:pPr>
          </w:p>
        </w:tc>
        <w:tc>
          <w:tcPr>
            <w:tcW w:w="2200" w:type="dxa"/>
            <w:vAlign w:val="bottom"/>
            <w:shd w:val="clear" w:color="auto" w:fill="FF8B00"/>
          </w:tcPr>
          <w:p>
            <w:pPr>
              <w:spacing w:after="0"/>
              <w:rPr>
                <w:sz w:val="14"/>
                <w:szCs w:val="14"/>
                <w:color w:val="auto"/>
              </w:rPr>
            </w:pPr>
          </w:p>
        </w:tc>
        <w:tc>
          <w:tcPr>
            <w:tcW w:w="340" w:type="dxa"/>
            <w:vAlign w:val="bottom"/>
            <w:shd w:val="clear" w:color="auto" w:fill="FF8B00"/>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540" w:type="dxa"/>
            <w:vAlign w:val="bottom"/>
            <w:vMerge w:val="continue"/>
          </w:tcPr>
          <w:p>
            <w:pPr>
              <w:spacing w:after="0"/>
              <w:rPr>
                <w:sz w:val="10"/>
                <w:szCs w:val="10"/>
                <w:color w:val="auto"/>
              </w:rPr>
            </w:pPr>
          </w:p>
        </w:tc>
        <w:tc>
          <w:tcPr>
            <w:tcW w:w="1340" w:type="dxa"/>
            <w:vAlign w:val="bottom"/>
          </w:tcPr>
          <w:p>
            <w:pPr>
              <w:spacing w:after="0"/>
              <w:rPr>
                <w:sz w:val="10"/>
                <w:szCs w:val="10"/>
                <w:color w:val="auto"/>
              </w:rPr>
            </w:pPr>
          </w:p>
        </w:tc>
        <w:tc>
          <w:tcPr>
            <w:tcW w:w="17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640" w:type="dxa"/>
            <w:vAlign w:val="bottom"/>
            <w:gridSpan w:val="2"/>
          </w:tcPr>
          <w:p>
            <w:pPr>
              <w:ind w:left="300"/>
              <w:spacing w:after="0" w:line="121" w:lineRule="exact"/>
              <w:rPr>
                <w:sz w:val="20"/>
                <w:szCs w:val="20"/>
                <w:color w:val="auto"/>
              </w:rPr>
            </w:pPr>
            <w:r>
              <w:rPr>
                <w:rFonts w:ascii="Arial" w:cs="Arial" w:eastAsia="Arial" w:hAnsi="Arial"/>
                <w:sz w:val="11"/>
                <w:szCs w:val="11"/>
                <w:color w:val="auto"/>
              </w:rPr>
              <w:t>DIRECTORS’ REMUNERATION REPORT</w:t>
            </w:r>
          </w:p>
        </w:tc>
        <w:tc>
          <w:tcPr>
            <w:tcW w:w="22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7"/>
        </w:trPr>
        <w:tc>
          <w:tcPr>
            <w:tcW w:w="3880" w:type="dxa"/>
            <w:vAlign w:val="bottom"/>
            <w:gridSpan w:val="2"/>
          </w:tcPr>
          <w:p>
            <w:pPr>
              <w:spacing w:after="0"/>
              <w:rPr>
                <w:sz w:val="20"/>
                <w:szCs w:val="20"/>
                <w:color w:val="auto"/>
              </w:rPr>
            </w:pPr>
            <w:r>
              <w:rPr>
                <w:rFonts w:ascii="Arial" w:cs="Arial" w:eastAsia="Arial" w:hAnsi="Arial"/>
                <w:sz w:val="18"/>
                <w:szCs w:val="18"/>
                <w:color w:val="auto"/>
              </w:rPr>
              <w:t>SCHEME INTERESTS AWARDED</w:t>
            </w:r>
          </w:p>
        </w:tc>
        <w:tc>
          <w:tcPr>
            <w:tcW w:w="17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6240" w:type="dxa"/>
            <w:vAlign w:val="bottom"/>
            <w:gridSpan w:val="4"/>
          </w:tcPr>
          <w:p>
            <w:pPr>
              <w:spacing w:after="0"/>
              <w:rPr>
                <w:sz w:val="17"/>
                <w:szCs w:val="17"/>
                <w:color w:val="auto"/>
              </w:rPr>
            </w:pPr>
          </w:p>
        </w:tc>
        <w:tc>
          <w:tcPr>
            <w:tcW w:w="62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2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6240" w:type="dxa"/>
            <w:vAlign w:val="bottom"/>
            <w:gridSpan w:val="4"/>
            <w:shd w:val="clear" w:color="auto" w:fill="333333"/>
          </w:tcPr>
          <w:p>
            <w:pPr>
              <w:ind w:left="80"/>
              <w:spacing w:after="0" w:line="162" w:lineRule="exact"/>
              <w:rPr>
                <w:sz w:val="20"/>
                <w:szCs w:val="20"/>
                <w:color w:val="auto"/>
              </w:rPr>
            </w:pPr>
            <w:r>
              <w:rPr>
                <w:rFonts w:ascii="Arial" w:cs="Arial" w:eastAsia="Arial" w:hAnsi="Arial"/>
                <w:sz w:val="15"/>
                <w:szCs w:val="15"/>
                <w:b w:val="1"/>
                <w:bCs w:val="1"/>
                <w:color w:val="FFFFFF"/>
              </w:rPr>
              <w:t xml:space="preserve">SCHEME INTERESTS AWARDED TO EXECUTIVE DIRECTORS IN 2014 </w:t>
            </w:r>
            <w:r>
              <w:rPr>
                <w:rFonts w:ascii="Arial" w:cs="Arial" w:eastAsia="Arial" w:hAnsi="Arial"/>
                <w:sz w:val="15"/>
                <w:szCs w:val="15"/>
                <w:color w:val="FFFFFF"/>
              </w:rPr>
              <w:t>(AUDITED)</w:t>
            </w:r>
          </w:p>
        </w:tc>
        <w:tc>
          <w:tcPr>
            <w:tcW w:w="620" w:type="dxa"/>
            <w:vAlign w:val="bottom"/>
            <w:shd w:val="clear" w:color="auto" w:fill="333333"/>
          </w:tcPr>
          <w:p>
            <w:pPr>
              <w:spacing w:after="0"/>
              <w:rPr>
                <w:sz w:val="14"/>
                <w:szCs w:val="14"/>
                <w:color w:val="auto"/>
              </w:rPr>
            </w:pPr>
          </w:p>
        </w:tc>
        <w:tc>
          <w:tcPr>
            <w:tcW w:w="2020" w:type="dxa"/>
            <w:vAlign w:val="bottom"/>
            <w:shd w:val="clear" w:color="auto" w:fill="333333"/>
          </w:tcPr>
          <w:p>
            <w:pPr>
              <w:spacing w:after="0"/>
              <w:rPr>
                <w:sz w:val="14"/>
                <w:szCs w:val="14"/>
                <w:color w:val="auto"/>
              </w:rPr>
            </w:pPr>
          </w:p>
        </w:tc>
        <w:tc>
          <w:tcPr>
            <w:tcW w:w="2200" w:type="dxa"/>
            <w:vAlign w:val="bottom"/>
            <w:shd w:val="clear" w:color="auto" w:fill="333333"/>
          </w:tcPr>
          <w:p>
            <w:pPr>
              <w:spacing w:after="0"/>
              <w:rPr>
                <w:sz w:val="14"/>
                <w:szCs w:val="14"/>
                <w:color w:val="auto"/>
              </w:rPr>
            </w:pPr>
          </w:p>
        </w:tc>
        <w:tc>
          <w:tcPr>
            <w:tcW w:w="340" w:type="dxa"/>
            <w:vAlign w:val="bottom"/>
            <w:shd w:val="clear" w:color="auto" w:fill="333333"/>
          </w:tcPr>
          <w:p>
            <w:pPr>
              <w:jc w:val="right"/>
              <w:ind w:right="112"/>
              <w:spacing w:after="0" w:line="162" w:lineRule="exact"/>
              <w:rPr>
                <w:sz w:val="20"/>
                <w:szCs w:val="20"/>
                <w:color w:val="auto"/>
              </w:rPr>
            </w:pPr>
            <w:r>
              <w:rPr>
                <w:rFonts w:ascii="Arial" w:cs="Arial" w:eastAsia="Arial" w:hAnsi="Arial"/>
                <w:sz w:val="15"/>
                <w:szCs w:val="15"/>
                <w:color w:val="FFFFFF"/>
              </w:rPr>
              <w:t>€</w:t>
            </w:r>
          </w:p>
        </w:tc>
        <w:tc>
          <w:tcPr>
            <w:tcW w:w="0" w:type="dxa"/>
            <w:vAlign w:val="bottom"/>
          </w:tcPr>
          <w:p>
            <w:pPr>
              <w:spacing w:after="0"/>
              <w:rPr>
                <w:sz w:val="1"/>
                <w:szCs w:val="1"/>
                <w:color w:val="auto"/>
              </w:rPr>
            </w:pPr>
          </w:p>
        </w:tc>
      </w:tr>
      <w:tr>
        <w:trPr>
          <w:trHeight w:val="135"/>
        </w:trPr>
        <w:tc>
          <w:tcPr>
            <w:tcW w:w="25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1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20" w:type="dxa"/>
            <w:vAlign w:val="bottom"/>
            <w:tcBorders>
              <w:bottom w:val="single" w:sz="8" w:color="auto"/>
            </w:tcBorders>
          </w:tcPr>
          <w:p>
            <w:pPr>
              <w:spacing w:after="0"/>
              <w:rPr>
                <w:sz w:val="11"/>
                <w:szCs w:val="11"/>
                <w:color w:val="auto"/>
              </w:rPr>
            </w:pPr>
          </w:p>
        </w:tc>
        <w:tc>
          <w:tcPr>
            <w:tcW w:w="2200" w:type="dxa"/>
            <w:vAlign w:val="bottom"/>
            <w:tcBorders>
              <w:bottom w:val="single" w:sz="8" w:color="auto"/>
            </w:tcBorders>
          </w:tcPr>
          <w:p>
            <w:pPr>
              <w:jc w:val="right"/>
              <w:ind w:right="59"/>
              <w:spacing w:after="0" w:line="135" w:lineRule="exact"/>
              <w:rPr>
                <w:sz w:val="20"/>
                <w:szCs w:val="20"/>
                <w:color w:val="auto"/>
              </w:rPr>
            </w:pPr>
            <w:r>
              <w:rPr>
                <w:rFonts w:ascii="Arial" w:cs="Arial" w:eastAsia="Arial" w:hAnsi="Arial"/>
                <w:sz w:val="13"/>
                <w:szCs w:val="13"/>
                <w:color w:val="auto"/>
              </w:rPr>
              <w:t>Potential amount vesting</w:t>
            </w:r>
          </w:p>
        </w:tc>
        <w:tc>
          <w:tcPr>
            <w:tcW w:w="34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23"/>
        </w:trPr>
        <w:tc>
          <w:tcPr>
            <w:tcW w:w="254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17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20" w:type="dxa"/>
            <w:vAlign w:val="bottom"/>
          </w:tcPr>
          <w:p>
            <w:pPr>
              <w:jc w:val="right"/>
              <w:ind w:right="1157"/>
              <w:spacing w:after="0" w:line="123" w:lineRule="exact"/>
              <w:rPr>
                <w:sz w:val="20"/>
                <w:szCs w:val="20"/>
                <w:color w:val="auto"/>
              </w:rPr>
            </w:pPr>
            <w:r>
              <w:rPr>
                <w:rFonts w:ascii="Arial" w:cs="Arial" w:eastAsia="Arial" w:hAnsi="Arial"/>
                <w:sz w:val="13"/>
                <w:szCs w:val="13"/>
                <w:color w:val="auto"/>
              </w:rPr>
              <w:t>Minimum</w:t>
            </w:r>
          </w:p>
        </w:tc>
        <w:tc>
          <w:tcPr>
            <w:tcW w:w="22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540" w:type="dxa"/>
            <w:vAlign w:val="bottom"/>
            <w:vMerge w:val="restart"/>
          </w:tcPr>
          <w:p>
            <w:pPr>
              <w:ind w:left="1340"/>
              <w:spacing w:after="0"/>
              <w:rPr>
                <w:sz w:val="20"/>
                <w:szCs w:val="20"/>
                <w:color w:val="auto"/>
              </w:rPr>
            </w:pPr>
            <w:r>
              <w:rPr>
                <w:rFonts w:ascii="Arial" w:cs="Arial" w:eastAsia="Arial" w:hAnsi="Arial"/>
                <w:sz w:val="13"/>
                <w:szCs w:val="13"/>
                <w:color w:val="auto"/>
              </w:rPr>
              <w:t>Type of</w:t>
            </w:r>
          </w:p>
        </w:tc>
        <w:tc>
          <w:tcPr>
            <w:tcW w:w="1340" w:type="dxa"/>
            <w:vAlign w:val="bottom"/>
          </w:tcPr>
          <w:p>
            <w:pPr>
              <w:spacing w:after="0"/>
              <w:rPr>
                <w:sz w:val="11"/>
                <w:szCs w:val="11"/>
                <w:color w:val="auto"/>
              </w:rPr>
            </w:pPr>
          </w:p>
        </w:tc>
        <w:tc>
          <w:tcPr>
            <w:tcW w:w="1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20" w:type="dxa"/>
            <w:vAlign w:val="bottom"/>
          </w:tcPr>
          <w:p>
            <w:pPr>
              <w:jc w:val="right"/>
              <w:ind w:right="1157"/>
              <w:spacing w:after="0" w:line="135" w:lineRule="exact"/>
              <w:rPr>
                <w:sz w:val="20"/>
                <w:szCs w:val="20"/>
                <w:color w:val="auto"/>
              </w:rPr>
            </w:pPr>
            <w:r>
              <w:rPr>
                <w:rFonts w:ascii="Arial" w:cs="Arial" w:eastAsia="Arial" w:hAnsi="Arial"/>
                <w:sz w:val="13"/>
                <w:szCs w:val="13"/>
                <w:color w:val="auto"/>
              </w:rPr>
              <w:t>performance</w:t>
            </w:r>
          </w:p>
        </w:tc>
        <w:tc>
          <w:tcPr>
            <w:tcW w:w="2200" w:type="dxa"/>
            <w:vAlign w:val="bottom"/>
            <w:vMerge w:val="restart"/>
          </w:tcPr>
          <w:p>
            <w:pPr>
              <w:jc w:val="right"/>
              <w:ind w:right="59"/>
              <w:spacing w:after="0"/>
              <w:rPr>
                <w:sz w:val="20"/>
                <w:szCs w:val="20"/>
                <w:color w:val="auto"/>
              </w:rPr>
            </w:pPr>
            <w:r>
              <w:rPr>
                <w:rFonts w:ascii="Arial" w:cs="Arial" w:eastAsia="Arial" w:hAnsi="Arial"/>
                <w:sz w:val="13"/>
                <w:szCs w:val="13"/>
                <w:color w:val="auto"/>
              </w:rPr>
              <w:t>Maximum performance</w:t>
            </w:r>
          </w:p>
        </w:tc>
        <w:tc>
          <w:tcPr>
            <w:tcW w:w="3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2540" w:type="dxa"/>
            <w:vAlign w:val="bottom"/>
            <w:vMerge w:val="continue"/>
          </w:tcPr>
          <w:p>
            <w:pPr>
              <w:spacing w:after="0"/>
              <w:rPr>
                <w:sz w:val="10"/>
                <w:szCs w:val="10"/>
                <w:color w:val="auto"/>
              </w:rPr>
            </w:pPr>
          </w:p>
        </w:tc>
        <w:tc>
          <w:tcPr>
            <w:tcW w:w="1340" w:type="dxa"/>
            <w:vAlign w:val="bottom"/>
          </w:tcPr>
          <w:p>
            <w:pPr>
              <w:ind w:left="160"/>
              <w:spacing w:after="0" w:line="122" w:lineRule="exact"/>
              <w:rPr>
                <w:sz w:val="20"/>
                <w:szCs w:val="20"/>
                <w:color w:val="auto"/>
              </w:rPr>
            </w:pPr>
            <w:r>
              <w:rPr>
                <w:rFonts w:ascii="Arial" w:cs="Arial" w:eastAsia="Arial" w:hAnsi="Arial"/>
                <w:sz w:val="13"/>
                <w:szCs w:val="13"/>
                <w:color w:val="auto"/>
              </w:rPr>
              <w:t>End of performance</w:t>
            </w:r>
          </w:p>
        </w:tc>
        <w:tc>
          <w:tcPr>
            <w:tcW w:w="17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20" w:type="dxa"/>
            <w:vAlign w:val="bottom"/>
          </w:tcPr>
          <w:p>
            <w:pPr>
              <w:jc w:val="right"/>
              <w:ind w:right="1157"/>
              <w:spacing w:after="0" w:line="122" w:lineRule="exact"/>
              <w:rPr>
                <w:sz w:val="20"/>
                <w:szCs w:val="20"/>
                <w:color w:val="auto"/>
              </w:rPr>
            </w:pPr>
            <w:r>
              <w:rPr>
                <w:rFonts w:ascii="Arial" w:cs="Arial" w:eastAsia="Arial" w:hAnsi="Arial"/>
                <w:sz w:val="13"/>
                <w:szCs w:val="13"/>
                <w:color w:val="auto"/>
              </w:rPr>
              <w:t>(% of shares</w:t>
            </w:r>
          </w:p>
        </w:tc>
        <w:tc>
          <w:tcPr>
            <w:tcW w:w="2200" w:type="dxa"/>
            <w:vAlign w:val="bottom"/>
            <w:vMerge w:val="continue"/>
          </w:tcPr>
          <w:p>
            <w:pPr>
              <w:spacing w:after="0"/>
              <w:rPr>
                <w:sz w:val="10"/>
                <w:szCs w:val="10"/>
                <w:color w:val="auto"/>
              </w:rPr>
            </w:pPr>
          </w:p>
        </w:tc>
        <w:tc>
          <w:tcPr>
            <w:tcW w:w="340" w:type="dxa"/>
            <w:vAlign w:val="bottom"/>
          </w:tcPr>
          <w:p>
            <w:pPr>
              <w:jc w:val="right"/>
              <w:ind w:right="32"/>
              <w:spacing w:after="0" w:line="122" w:lineRule="exact"/>
              <w:rPr>
                <w:sz w:val="20"/>
                <w:szCs w:val="20"/>
                <w:color w:val="auto"/>
              </w:rPr>
            </w:pPr>
            <w:r>
              <w:rPr>
                <w:rFonts w:ascii="Arial" w:cs="Arial" w:eastAsia="Arial" w:hAnsi="Arial"/>
                <w:sz w:val="13"/>
                <w:szCs w:val="13"/>
                <w:color w:val="auto"/>
              </w:rPr>
              <w:t>[A]</w:t>
            </w:r>
          </w:p>
        </w:tc>
        <w:tc>
          <w:tcPr>
            <w:tcW w:w="0" w:type="dxa"/>
            <w:vAlign w:val="bottom"/>
          </w:tcPr>
          <w:p>
            <w:pPr>
              <w:spacing w:after="0"/>
              <w:rPr>
                <w:sz w:val="1"/>
                <w:szCs w:val="1"/>
                <w:color w:val="auto"/>
              </w:rPr>
            </w:pPr>
          </w:p>
        </w:tc>
      </w:tr>
      <w:tr>
        <w:trPr>
          <w:trHeight w:val="155"/>
        </w:trPr>
        <w:tc>
          <w:tcPr>
            <w:tcW w:w="2540" w:type="dxa"/>
            <w:vAlign w:val="bottom"/>
          </w:tcPr>
          <w:p>
            <w:pPr>
              <w:spacing w:after="0"/>
              <w:rPr>
                <w:sz w:val="20"/>
                <w:szCs w:val="20"/>
                <w:color w:val="auto"/>
              </w:rPr>
            </w:pPr>
            <w:r>
              <w:rPr>
                <w:rFonts w:ascii="Arial" w:cs="Arial" w:eastAsia="Arial" w:hAnsi="Arial"/>
                <w:sz w:val="13"/>
                <w:szCs w:val="13"/>
                <w:color w:val="auto"/>
              </w:rPr>
              <w:t>Scheme interest type  interest awarded</w:t>
            </w:r>
          </w:p>
        </w:tc>
        <w:tc>
          <w:tcPr>
            <w:tcW w:w="1340" w:type="dxa"/>
            <w:vAlign w:val="bottom"/>
          </w:tcPr>
          <w:p>
            <w:pPr>
              <w:ind w:left="160"/>
              <w:spacing w:after="0"/>
              <w:rPr>
                <w:sz w:val="20"/>
                <w:szCs w:val="20"/>
                <w:color w:val="auto"/>
              </w:rPr>
            </w:pPr>
            <w:r>
              <w:rPr>
                <w:rFonts w:ascii="Arial" w:cs="Arial" w:eastAsia="Arial" w:hAnsi="Arial"/>
                <w:sz w:val="13"/>
                <w:szCs w:val="13"/>
                <w:color w:val="auto"/>
              </w:rPr>
              <w:t>period</w:t>
            </w:r>
          </w:p>
        </w:tc>
        <w:tc>
          <w:tcPr>
            <w:tcW w:w="2360" w:type="dxa"/>
            <w:vAlign w:val="bottom"/>
            <w:gridSpan w:val="2"/>
          </w:tcPr>
          <w:p>
            <w:pPr>
              <w:ind w:left="60"/>
              <w:spacing w:after="0"/>
              <w:rPr>
                <w:sz w:val="20"/>
                <w:szCs w:val="20"/>
                <w:color w:val="auto"/>
              </w:rPr>
            </w:pPr>
            <w:r>
              <w:rPr>
                <w:rFonts w:ascii="Arial" w:cs="Arial" w:eastAsia="Arial" w:hAnsi="Arial"/>
                <w:sz w:val="13"/>
                <w:szCs w:val="13"/>
                <w:color w:val="auto"/>
              </w:rPr>
              <w:t>Target award[A]</w:t>
            </w:r>
          </w:p>
        </w:tc>
        <w:tc>
          <w:tcPr>
            <w:tcW w:w="620" w:type="dxa"/>
            <w:vAlign w:val="bottom"/>
          </w:tcPr>
          <w:p>
            <w:pPr>
              <w:spacing w:after="0"/>
              <w:rPr>
                <w:sz w:val="13"/>
                <w:szCs w:val="13"/>
                <w:color w:val="auto"/>
              </w:rPr>
            </w:pPr>
          </w:p>
        </w:tc>
        <w:tc>
          <w:tcPr>
            <w:tcW w:w="2020" w:type="dxa"/>
            <w:vAlign w:val="bottom"/>
          </w:tcPr>
          <w:p>
            <w:pPr>
              <w:jc w:val="right"/>
              <w:ind w:right="957"/>
              <w:spacing w:after="0"/>
              <w:rPr>
                <w:sz w:val="20"/>
                <w:szCs w:val="20"/>
                <w:color w:val="auto"/>
              </w:rPr>
            </w:pPr>
            <w:r>
              <w:rPr>
                <w:rFonts w:ascii="Arial" w:cs="Arial" w:eastAsia="Arial" w:hAnsi="Arial"/>
                <w:sz w:val="13"/>
                <w:szCs w:val="13"/>
                <w:color w:val="auto"/>
              </w:rPr>
              <w:t>awarded)[B]</w:t>
            </w:r>
          </w:p>
        </w:tc>
        <w:tc>
          <w:tcPr>
            <w:tcW w:w="2200" w:type="dxa"/>
            <w:vAlign w:val="bottom"/>
          </w:tcPr>
          <w:p>
            <w:pPr>
              <w:jc w:val="right"/>
              <w:ind w:right="59"/>
              <w:spacing w:after="0"/>
              <w:rPr>
                <w:sz w:val="20"/>
                <w:szCs w:val="20"/>
                <w:color w:val="auto"/>
              </w:rPr>
            </w:pPr>
            <w:r>
              <w:rPr>
                <w:rFonts w:ascii="Arial" w:cs="Arial" w:eastAsia="Arial" w:hAnsi="Arial"/>
                <w:sz w:val="13"/>
                <w:szCs w:val="13"/>
                <w:color w:val="auto"/>
              </w:rPr>
              <w:t>(% of shares of the target award</w:t>
            </w:r>
          </w:p>
        </w:tc>
        <w:tc>
          <w:tcPr>
            <w:tcW w:w="340" w:type="dxa"/>
            <w:vAlign w:val="bottom"/>
          </w:tcPr>
          <w:p>
            <w:pPr>
              <w:jc w:val="right"/>
              <w:ind w:right="32"/>
              <w:spacing w:after="0"/>
              <w:rPr>
                <w:sz w:val="20"/>
                <w:szCs w:val="20"/>
                <w:color w:val="auto"/>
              </w:rPr>
            </w:pPr>
            <w:r>
              <w:rPr>
                <w:rFonts w:ascii="Arial" w:cs="Arial" w:eastAsia="Arial" w:hAnsi="Arial"/>
                <w:sz w:val="13"/>
                <w:szCs w:val="13"/>
                <w:color w:val="auto"/>
              </w:rPr>
              <w:t>[C])</w:t>
            </w: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820" w:type="dxa"/>
            <w:vAlign w:val="bottom"/>
            <w:tcBorders>
              <w:top w:val="single" w:sz="8" w:color="auto"/>
            </w:tcBorders>
          </w:tcPr>
          <w:p>
            <w:pPr>
              <w:spacing w:after="0"/>
              <w:rPr>
                <w:sz w:val="20"/>
                <w:szCs w:val="20"/>
                <w:color w:val="auto"/>
              </w:rPr>
            </w:pPr>
            <w:r>
              <w:rPr>
                <w:rFonts w:ascii="Arial" w:cs="Arial" w:eastAsia="Arial" w:hAnsi="Arial"/>
                <w:sz w:val="14"/>
                <w:szCs w:val="14"/>
                <w:color w:val="auto"/>
              </w:rPr>
              <w:t>LTIP</w:t>
            </w:r>
          </w:p>
        </w:tc>
        <w:tc>
          <w:tcPr>
            <w:tcW w:w="1620" w:type="dxa"/>
            <w:vAlign w:val="bottom"/>
            <w:tcBorders>
              <w:top w:val="single" w:sz="8" w:color="auto"/>
            </w:tcBorders>
          </w:tcPr>
          <w:p>
            <w:pPr>
              <w:ind w:left="520"/>
              <w:spacing w:after="0"/>
              <w:rPr>
                <w:sz w:val="20"/>
                <w:szCs w:val="20"/>
                <w:color w:val="auto"/>
              </w:rPr>
            </w:pPr>
            <w:r>
              <w:rPr>
                <w:rFonts w:ascii="Arial" w:cs="Arial" w:eastAsia="Arial" w:hAnsi="Arial"/>
                <w:sz w:val="14"/>
                <w:szCs w:val="14"/>
                <w:color w:val="auto"/>
              </w:rPr>
              <w:t>Performance</w:t>
            </w:r>
          </w:p>
        </w:tc>
        <w:tc>
          <w:tcPr>
            <w:tcW w:w="1320" w:type="dxa"/>
            <w:vAlign w:val="bottom"/>
            <w:tcBorders>
              <w:top w:val="single" w:sz="8" w:color="auto"/>
            </w:tcBorders>
          </w:tcPr>
          <w:p>
            <w:pPr>
              <w:ind w:left="260"/>
              <w:spacing w:after="0"/>
              <w:rPr>
                <w:sz w:val="20"/>
                <w:szCs w:val="20"/>
                <w:color w:val="auto"/>
              </w:rPr>
            </w:pPr>
            <w:r>
              <w:rPr>
                <w:rFonts w:ascii="Arial" w:cs="Arial" w:eastAsia="Arial" w:hAnsi="Arial"/>
                <w:sz w:val="14"/>
                <w:szCs w:val="14"/>
                <w:color w:val="auto"/>
              </w:rPr>
              <w:t>December 31,</w:t>
            </w:r>
          </w:p>
        </w:tc>
        <w:tc>
          <w:tcPr>
            <w:tcW w:w="3360" w:type="dxa"/>
            <w:vAlign w:val="bottom"/>
            <w:tcBorders>
              <w:top w:val="single" w:sz="8" w:color="auto"/>
            </w:tcBorders>
          </w:tcPr>
          <w:p>
            <w:pPr>
              <w:ind w:left="180"/>
              <w:spacing w:after="0"/>
              <w:rPr>
                <w:sz w:val="20"/>
                <w:szCs w:val="20"/>
                <w:color w:val="auto"/>
              </w:rPr>
            </w:pPr>
            <w:r>
              <w:rPr>
                <w:rFonts w:ascii="Arial" w:cs="Arial" w:eastAsia="Arial" w:hAnsi="Arial"/>
                <w:sz w:val="14"/>
                <w:szCs w:val="14"/>
                <w:color w:val="auto"/>
              </w:rPr>
              <w:t>Ben van Beurden: 163,998 A shares,</w:t>
            </w:r>
          </w:p>
        </w:tc>
        <w:tc>
          <w:tcPr>
            <w:tcW w:w="720" w:type="dxa"/>
            <w:vAlign w:val="bottom"/>
            <w:tcBorders>
              <w:top w:val="single" w:sz="8" w:color="auto"/>
            </w:tcBorders>
          </w:tcPr>
          <w:p>
            <w:pPr>
              <w:jc w:val="right"/>
              <w:ind w:right="108"/>
              <w:spacing w:after="0"/>
              <w:rPr>
                <w:sz w:val="20"/>
                <w:szCs w:val="20"/>
                <w:color w:val="auto"/>
              </w:rPr>
            </w:pPr>
            <w:r>
              <w:rPr>
                <w:rFonts w:ascii="Arial" w:cs="Arial" w:eastAsia="Arial" w:hAnsi="Arial"/>
                <w:sz w:val="14"/>
                <w:szCs w:val="14"/>
                <w:color w:val="auto"/>
              </w:rPr>
              <w:t>0%</w:t>
            </w:r>
          </w:p>
        </w:tc>
        <w:tc>
          <w:tcPr>
            <w:tcW w:w="3580" w:type="dxa"/>
            <w:vAlign w:val="bottom"/>
            <w:tcBorders>
              <w:top w:val="single" w:sz="8" w:color="auto"/>
            </w:tcBorders>
          </w:tcPr>
          <w:p>
            <w:pPr>
              <w:ind w:left="180"/>
              <w:spacing w:after="0"/>
              <w:rPr>
                <w:sz w:val="20"/>
                <w:szCs w:val="20"/>
                <w:color w:val="auto"/>
              </w:rPr>
            </w:pPr>
            <w:r>
              <w:rPr>
                <w:rFonts w:ascii="Arial" w:cs="Arial" w:eastAsia="Arial" w:hAnsi="Arial"/>
                <w:sz w:val="14"/>
                <w:szCs w:val="14"/>
                <w:color w:val="auto"/>
              </w:rPr>
              <w:t>Maximum number of shares vesting is 200%</w:t>
            </w:r>
          </w:p>
        </w:tc>
      </w:tr>
      <w:tr>
        <w:trPr>
          <w:trHeight w:val="162"/>
        </w:trPr>
        <w:tc>
          <w:tcPr>
            <w:tcW w:w="820" w:type="dxa"/>
            <w:vAlign w:val="bottom"/>
          </w:tcPr>
          <w:p>
            <w:pPr>
              <w:spacing w:after="0"/>
              <w:rPr>
                <w:sz w:val="14"/>
                <w:szCs w:val="14"/>
                <w:color w:val="auto"/>
              </w:rPr>
            </w:pPr>
          </w:p>
        </w:tc>
        <w:tc>
          <w:tcPr>
            <w:tcW w:w="1620" w:type="dxa"/>
            <w:vAlign w:val="bottom"/>
          </w:tcPr>
          <w:p>
            <w:pPr>
              <w:ind w:left="520"/>
              <w:spacing w:after="0"/>
              <w:rPr>
                <w:sz w:val="20"/>
                <w:szCs w:val="20"/>
                <w:color w:val="auto"/>
              </w:rPr>
            </w:pPr>
            <w:r>
              <w:rPr>
                <w:rFonts w:ascii="Arial" w:cs="Arial" w:eastAsia="Arial" w:hAnsi="Arial"/>
                <w:sz w:val="14"/>
                <w:szCs w:val="14"/>
                <w:color w:val="auto"/>
              </w:rPr>
              <w:t>shares</w:t>
            </w:r>
          </w:p>
        </w:tc>
        <w:tc>
          <w:tcPr>
            <w:tcW w:w="1320" w:type="dxa"/>
            <w:vAlign w:val="bottom"/>
          </w:tcPr>
          <w:p>
            <w:pPr>
              <w:ind w:left="260"/>
              <w:spacing w:after="0"/>
              <w:rPr>
                <w:sz w:val="20"/>
                <w:szCs w:val="20"/>
                <w:color w:val="auto"/>
              </w:rPr>
            </w:pPr>
            <w:r>
              <w:rPr>
                <w:rFonts w:ascii="Arial" w:cs="Arial" w:eastAsia="Arial" w:hAnsi="Arial"/>
                <w:sz w:val="14"/>
                <w:szCs w:val="14"/>
                <w:color w:val="auto"/>
              </w:rPr>
              <w:t>2016</w:t>
            </w:r>
          </w:p>
        </w:tc>
        <w:tc>
          <w:tcPr>
            <w:tcW w:w="3360" w:type="dxa"/>
            <w:vAlign w:val="bottom"/>
          </w:tcPr>
          <w:p>
            <w:pPr>
              <w:ind w:left="180"/>
              <w:spacing w:after="0"/>
              <w:rPr>
                <w:sz w:val="20"/>
                <w:szCs w:val="20"/>
                <w:color w:val="auto"/>
              </w:rPr>
            </w:pPr>
            <w:r>
              <w:rPr>
                <w:rFonts w:ascii="Arial" w:cs="Arial" w:eastAsia="Arial" w:hAnsi="Arial"/>
                <w:sz w:val="14"/>
                <w:szCs w:val="14"/>
                <w:color w:val="auto"/>
              </w:rPr>
              <w:t>equivalent to 3 x base salary or €4,200,000.</w:t>
            </w:r>
          </w:p>
        </w:tc>
        <w:tc>
          <w:tcPr>
            <w:tcW w:w="720" w:type="dxa"/>
            <w:vAlign w:val="bottom"/>
          </w:tcPr>
          <w:p>
            <w:pPr>
              <w:spacing w:after="0"/>
              <w:rPr>
                <w:sz w:val="14"/>
                <w:szCs w:val="14"/>
                <w:color w:val="auto"/>
              </w:rPr>
            </w:pPr>
          </w:p>
        </w:tc>
        <w:tc>
          <w:tcPr>
            <w:tcW w:w="3580" w:type="dxa"/>
            <w:vAlign w:val="bottom"/>
          </w:tcPr>
          <w:p>
            <w:pPr>
              <w:ind w:left="180"/>
              <w:spacing w:after="0"/>
              <w:rPr>
                <w:sz w:val="20"/>
                <w:szCs w:val="20"/>
                <w:color w:val="auto"/>
              </w:rPr>
            </w:pPr>
            <w:r>
              <w:rPr>
                <w:rFonts w:ascii="Arial" w:cs="Arial" w:eastAsia="Arial" w:hAnsi="Arial"/>
                <w:sz w:val="14"/>
                <w:szCs w:val="14"/>
                <w:color w:val="auto"/>
              </w:rPr>
              <w:t>of the number of shares awarded, equivalent</w:t>
            </w:r>
          </w:p>
        </w:tc>
      </w:tr>
      <w:tr>
        <w:trPr>
          <w:trHeight w:val="162"/>
        </w:trPr>
        <w:tc>
          <w:tcPr>
            <w:tcW w:w="82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3360" w:type="dxa"/>
            <w:vAlign w:val="bottom"/>
          </w:tcPr>
          <w:p>
            <w:pPr>
              <w:ind w:left="180"/>
              <w:spacing w:after="0"/>
              <w:rPr>
                <w:sz w:val="20"/>
                <w:szCs w:val="20"/>
                <w:color w:val="auto"/>
              </w:rPr>
            </w:pPr>
            <w:r>
              <w:rPr>
                <w:rFonts w:ascii="Arial" w:cs="Arial" w:eastAsia="Arial" w:hAnsi="Arial"/>
                <w:sz w:val="14"/>
                <w:szCs w:val="14"/>
                <w:color w:val="auto"/>
              </w:rPr>
              <w:t>Simon Henry: 89,648 B shares, equivalent to</w:t>
            </w:r>
          </w:p>
        </w:tc>
        <w:tc>
          <w:tcPr>
            <w:tcW w:w="720" w:type="dxa"/>
            <w:vAlign w:val="bottom"/>
          </w:tcPr>
          <w:p>
            <w:pPr>
              <w:spacing w:after="0"/>
              <w:rPr>
                <w:sz w:val="14"/>
                <w:szCs w:val="14"/>
                <w:color w:val="auto"/>
              </w:rPr>
            </w:pPr>
          </w:p>
        </w:tc>
        <w:tc>
          <w:tcPr>
            <w:tcW w:w="3580" w:type="dxa"/>
            <w:vAlign w:val="bottom"/>
          </w:tcPr>
          <w:p>
            <w:pPr>
              <w:ind w:left="180"/>
              <w:spacing w:after="0"/>
              <w:rPr>
                <w:sz w:val="20"/>
                <w:szCs w:val="20"/>
                <w:color w:val="auto"/>
              </w:rPr>
            </w:pPr>
            <w:r>
              <w:rPr>
                <w:rFonts w:ascii="Arial" w:cs="Arial" w:eastAsia="Arial" w:hAnsi="Arial"/>
                <w:sz w:val="14"/>
                <w:szCs w:val="14"/>
                <w:color w:val="auto"/>
              </w:rPr>
              <w:t>to €8,400,000 for Ben van Beurden and</w:t>
            </w:r>
          </w:p>
        </w:tc>
      </w:tr>
      <w:tr>
        <w:trPr>
          <w:trHeight w:val="157"/>
        </w:trPr>
        <w:tc>
          <w:tcPr>
            <w:tcW w:w="820" w:type="dxa"/>
            <w:vAlign w:val="bottom"/>
            <w:tcBorders>
              <w:bottom w:val="single" w:sz="8" w:color="auto"/>
            </w:tcBorders>
          </w:tcPr>
          <w:p>
            <w:pPr>
              <w:spacing w:after="0"/>
              <w:rPr>
                <w:sz w:val="13"/>
                <w:szCs w:val="13"/>
                <w:color w:val="auto"/>
              </w:rPr>
            </w:pPr>
          </w:p>
        </w:tc>
        <w:tc>
          <w:tcPr>
            <w:tcW w:w="162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tcPr>
          <w:p>
            <w:pPr>
              <w:spacing w:after="0"/>
              <w:rPr>
                <w:sz w:val="13"/>
                <w:szCs w:val="13"/>
                <w:color w:val="auto"/>
              </w:rPr>
            </w:pPr>
          </w:p>
        </w:tc>
        <w:tc>
          <w:tcPr>
            <w:tcW w:w="3360" w:type="dxa"/>
            <w:vAlign w:val="bottom"/>
            <w:tcBorders>
              <w:bottom w:val="single" w:sz="8" w:color="auto"/>
            </w:tcBorders>
          </w:tcPr>
          <w:p>
            <w:pPr>
              <w:ind w:left="180"/>
              <w:spacing w:after="0" w:line="157" w:lineRule="exact"/>
              <w:rPr>
                <w:sz w:val="20"/>
                <w:szCs w:val="20"/>
                <w:color w:val="auto"/>
              </w:rPr>
            </w:pPr>
            <w:r>
              <w:rPr>
                <w:rFonts w:ascii="Arial" w:cs="Arial" w:eastAsia="Arial" w:hAnsi="Arial"/>
                <w:sz w:val="14"/>
                <w:szCs w:val="14"/>
                <w:color w:val="auto"/>
              </w:rPr>
              <w:t>2.4 x base salary or €2,424,000.</w:t>
            </w:r>
          </w:p>
        </w:tc>
        <w:tc>
          <w:tcPr>
            <w:tcW w:w="720" w:type="dxa"/>
            <w:vAlign w:val="bottom"/>
            <w:tcBorders>
              <w:bottom w:val="single" w:sz="8" w:color="auto"/>
            </w:tcBorders>
          </w:tcPr>
          <w:p>
            <w:pPr>
              <w:spacing w:after="0"/>
              <w:rPr>
                <w:sz w:val="13"/>
                <w:szCs w:val="13"/>
                <w:color w:val="auto"/>
              </w:rPr>
            </w:pPr>
          </w:p>
        </w:tc>
        <w:tc>
          <w:tcPr>
            <w:tcW w:w="3580" w:type="dxa"/>
            <w:vAlign w:val="bottom"/>
            <w:tcBorders>
              <w:bottom w:val="single" w:sz="8" w:color="auto"/>
            </w:tcBorders>
          </w:tcPr>
          <w:p>
            <w:pPr>
              <w:ind w:left="180"/>
              <w:spacing w:after="0" w:line="157" w:lineRule="exact"/>
              <w:rPr>
                <w:sz w:val="20"/>
                <w:szCs w:val="20"/>
                <w:color w:val="auto"/>
              </w:rPr>
            </w:pPr>
            <w:r>
              <w:rPr>
                <w:rFonts w:ascii="Arial" w:cs="Arial" w:eastAsia="Arial" w:hAnsi="Arial"/>
                <w:sz w:val="14"/>
                <w:szCs w:val="14"/>
                <w:color w:val="auto"/>
              </w:rPr>
              <w:t>€4,848,000 for Simon Henry.</w:t>
            </w:r>
          </w:p>
        </w:tc>
      </w:tr>
      <w:tr>
        <w:trPr>
          <w:trHeight w:val="160"/>
        </w:trPr>
        <w:tc>
          <w:tcPr>
            <w:tcW w:w="820" w:type="dxa"/>
            <w:vAlign w:val="bottom"/>
          </w:tcPr>
          <w:p>
            <w:pPr>
              <w:spacing w:after="0"/>
              <w:rPr>
                <w:sz w:val="20"/>
                <w:szCs w:val="20"/>
                <w:color w:val="auto"/>
              </w:rPr>
            </w:pPr>
            <w:r>
              <w:rPr>
                <w:rFonts w:ascii="Arial" w:cs="Arial" w:eastAsia="Arial" w:hAnsi="Arial"/>
                <w:sz w:val="14"/>
                <w:szCs w:val="14"/>
                <w:color w:val="auto"/>
              </w:rPr>
              <w:t>DBP</w:t>
            </w:r>
          </w:p>
        </w:tc>
        <w:tc>
          <w:tcPr>
            <w:tcW w:w="1620" w:type="dxa"/>
            <w:vAlign w:val="bottom"/>
          </w:tcPr>
          <w:p>
            <w:pPr>
              <w:ind w:left="520"/>
              <w:spacing w:after="0"/>
              <w:rPr>
                <w:sz w:val="20"/>
                <w:szCs w:val="20"/>
                <w:color w:val="auto"/>
              </w:rPr>
            </w:pPr>
            <w:r>
              <w:rPr>
                <w:rFonts w:ascii="Arial" w:cs="Arial" w:eastAsia="Arial" w:hAnsi="Arial"/>
                <w:sz w:val="14"/>
                <w:szCs w:val="14"/>
                <w:color w:val="auto"/>
              </w:rPr>
              <w:t>Performance</w:t>
            </w:r>
          </w:p>
        </w:tc>
        <w:tc>
          <w:tcPr>
            <w:tcW w:w="1320" w:type="dxa"/>
            <w:vAlign w:val="bottom"/>
          </w:tcPr>
          <w:p>
            <w:pPr>
              <w:ind w:left="260"/>
              <w:spacing w:after="0"/>
              <w:rPr>
                <w:sz w:val="20"/>
                <w:szCs w:val="20"/>
                <w:color w:val="auto"/>
              </w:rPr>
            </w:pPr>
            <w:r>
              <w:rPr>
                <w:rFonts w:ascii="Arial" w:cs="Arial" w:eastAsia="Arial" w:hAnsi="Arial"/>
                <w:sz w:val="14"/>
                <w:szCs w:val="14"/>
                <w:color w:val="auto"/>
              </w:rPr>
              <w:t>December 31,</w:t>
            </w:r>
          </w:p>
        </w:tc>
        <w:tc>
          <w:tcPr>
            <w:tcW w:w="3360" w:type="dxa"/>
            <w:vAlign w:val="bottom"/>
          </w:tcPr>
          <w:p>
            <w:pPr>
              <w:ind w:left="180"/>
              <w:spacing w:after="0"/>
              <w:rPr>
                <w:sz w:val="20"/>
                <w:szCs w:val="20"/>
                <w:color w:val="auto"/>
              </w:rPr>
            </w:pPr>
            <w:r>
              <w:rPr>
                <w:rFonts w:ascii="Arial" w:cs="Arial" w:eastAsia="Arial" w:hAnsi="Arial"/>
                <w:sz w:val="14"/>
                <w:szCs w:val="14"/>
                <w:color w:val="auto"/>
              </w:rPr>
              <w:t>25% of 2013 annual bonus[D], which is</w:t>
            </w:r>
          </w:p>
        </w:tc>
        <w:tc>
          <w:tcPr>
            <w:tcW w:w="720" w:type="dxa"/>
            <w:vAlign w:val="bottom"/>
          </w:tcPr>
          <w:p>
            <w:pPr>
              <w:jc w:val="right"/>
              <w:ind w:right="108"/>
              <w:spacing w:after="0"/>
              <w:rPr>
                <w:sz w:val="20"/>
                <w:szCs w:val="20"/>
                <w:color w:val="auto"/>
              </w:rPr>
            </w:pPr>
            <w:r>
              <w:rPr>
                <w:rFonts w:ascii="Arial" w:cs="Arial" w:eastAsia="Arial" w:hAnsi="Arial"/>
                <w:sz w:val="14"/>
                <w:szCs w:val="14"/>
                <w:color w:val="auto"/>
              </w:rPr>
              <w:t>0%</w:t>
            </w:r>
          </w:p>
        </w:tc>
        <w:tc>
          <w:tcPr>
            <w:tcW w:w="3580" w:type="dxa"/>
            <w:vAlign w:val="bottom"/>
          </w:tcPr>
          <w:p>
            <w:pPr>
              <w:ind w:left="180"/>
              <w:spacing w:after="0"/>
              <w:rPr>
                <w:sz w:val="20"/>
                <w:szCs w:val="20"/>
                <w:color w:val="auto"/>
              </w:rPr>
            </w:pPr>
            <w:r>
              <w:rPr>
                <w:rFonts w:ascii="Arial" w:cs="Arial" w:eastAsia="Arial" w:hAnsi="Arial"/>
                <w:sz w:val="14"/>
                <w:szCs w:val="14"/>
                <w:color w:val="auto"/>
              </w:rPr>
              <w:t>Maximum number of shares vesting is 200%</w:t>
            </w:r>
          </w:p>
        </w:tc>
      </w:tr>
      <w:tr>
        <w:trPr>
          <w:trHeight w:val="162"/>
        </w:trPr>
        <w:tc>
          <w:tcPr>
            <w:tcW w:w="820" w:type="dxa"/>
            <w:vAlign w:val="bottom"/>
          </w:tcPr>
          <w:p>
            <w:pPr>
              <w:spacing w:after="0"/>
              <w:rPr>
                <w:sz w:val="14"/>
                <w:szCs w:val="14"/>
                <w:color w:val="auto"/>
              </w:rPr>
            </w:pPr>
          </w:p>
        </w:tc>
        <w:tc>
          <w:tcPr>
            <w:tcW w:w="1620" w:type="dxa"/>
            <w:vAlign w:val="bottom"/>
          </w:tcPr>
          <w:p>
            <w:pPr>
              <w:ind w:left="520"/>
              <w:spacing w:after="0"/>
              <w:rPr>
                <w:sz w:val="20"/>
                <w:szCs w:val="20"/>
                <w:color w:val="auto"/>
              </w:rPr>
            </w:pPr>
            <w:r>
              <w:rPr>
                <w:rFonts w:ascii="Arial" w:cs="Arial" w:eastAsia="Arial" w:hAnsi="Arial"/>
                <w:sz w:val="14"/>
                <w:szCs w:val="14"/>
                <w:color w:val="auto"/>
              </w:rPr>
              <w:t>matching</w:t>
            </w:r>
          </w:p>
        </w:tc>
        <w:tc>
          <w:tcPr>
            <w:tcW w:w="1320" w:type="dxa"/>
            <w:vAlign w:val="bottom"/>
          </w:tcPr>
          <w:p>
            <w:pPr>
              <w:ind w:left="260"/>
              <w:spacing w:after="0"/>
              <w:rPr>
                <w:sz w:val="20"/>
                <w:szCs w:val="20"/>
                <w:color w:val="auto"/>
              </w:rPr>
            </w:pPr>
            <w:r>
              <w:rPr>
                <w:rFonts w:ascii="Arial" w:cs="Arial" w:eastAsia="Arial" w:hAnsi="Arial"/>
                <w:sz w:val="14"/>
                <w:szCs w:val="14"/>
                <w:color w:val="auto"/>
              </w:rPr>
              <w:t>2016</w:t>
            </w:r>
          </w:p>
        </w:tc>
        <w:tc>
          <w:tcPr>
            <w:tcW w:w="3360" w:type="dxa"/>
            <w:vAlign w:val="bottom"/>
          </w:tcPr>
          <w:p>
            <w:pPr>
              <w:ind w:left="180"/>
              <w:spacing w:after="0"/>
              <w:rPr>
                <w:sz w:val="20"/>
                <w:szCs w:val="20"/>
                <w:color w:val="auto"/>
              </w:rPr>
            </w:pPr>
            <w:r>
              <w:rPr>
                <w:rFonts w:ascii="Arial" w:cs="Arial" w:eastAsia="Arial" w:hAnsi="Arial"/>
                <w:sz w:val="14"/>
                <w:szCs w:val="14"/>
                <w:color w:val="auto"/>
              </w:rPr>
              <w:t>€159,500 (6,228 A shares) for Ben van</w:t>
            </w:r>
          </w:p>
        </w:tc>
        <w:tc>
          <w:tcPr>
            <w:tcW w:w="720" w:type="dxa"/>
            <w:vAlign w:val="bottom"/>
          </w:tcPr>
          <w:p>
            <w:pPr>
              <w:spacing w:after="0"/>
              <w:rPr>
                <w:sz w:val="14"/>
                <w:szCs w:val="14"/>
                <w:color w:val="auto"/>
              </w:rPr>
            </w:pPr>
          </w:p>
        </w:tc>
        <w:tc>
          <w:tcPr>
            <w:tcW w:w="3580" w:type="dxa"/>
            <w:vAlign w:val="bottom"/>
          </w:tcPr>
          <w:p>
            <w:pPr>
              <w:ind w:left="180"/>
              <w:spacing w:after="0"/>
              <w:rPr>
                <w:sz w:val="20"/>
                <w:szCs w:val="20"/>
                <w:color w:val="auto"/>
              </w:rPr>
            </w:pPr>
            <w:r>
              <w:rPr>
                <w:rFonts w:ascii="Arial" w:cs="Arial" w:eastAsia="Arial" w:hAnsi="Arial"/>
                <w:sz w:val="14"/>
                <w:szCs w:val="14"/>
                <w:color w:val="auto"/>
              </w:rPr>
              <w:t>of the number of shares awarded, equivalent</w:t>
            </w:r>
          </w:p>
        </w:tc>
      </w:tr>
      <w:tr>
        <w:trPr>
          <w:trHeight w:val="162"/>
        </w:trPr>
        <w:tc>
          <w:tcPr>
            <w:tcW w:w="820" w:type="dxa"/>
            <w:vAlign w:val="bottom"/>
          </w:tcPr>
          <w:p>
            <w:pPr>
              <w:spacing w:after="0"/>
              <w:rPr>
                <w:sz w:val="14"/>
                <w:szCs w:val="14"/>
                <w:color w:val="auto"/>
              </w:rPr>
            </w:pPr>
          </w:p>
        </w:tc>
        <w:tc>
          <w:tcPr>
            <w:tcW w:w="1620" w:type="dxa"/>
            <w:vAlign w:val="bottom"/>
          </w:tcPr>
          <w:p>
            <w:pPr>
              <w:ind w:left="520"/>
              <w:spacing w:after="0"/>
              <w:rPr>
                <w:sz w:val="20"/>
                <w:szCs w:val="20"/>
                <w:color w:val="auto"/>
              </w:rPr>
            </w:pPr>
            <w:r>
              <w:rPr>
                <w:rFonts w:ascii="Arial" w:cs="Arial" w:eastAsia="Arial" w:hAnsi="Arial"/>
                <w:sz w:val="14"/>
                <w:szCs w:val="14"/>
                <w:color w:val="auto"/>
              </w:rPr>
              <w:t>shares</w:t>
            </w:r>
          </w:p>
        </w:tc>
        <w:tc>
          <w:tcPr>
            <w:tcW w:w="1320" w:type="dxa"/>
            <w:vAlign w:val="bottom"/>
          </w:tcPr>
          <w:p>
            <w:pPr>
              <w:spacing w:after="0"/>
              <w:rPr>
                <w:sz w:val="14"/>
                <w:szCs w:val="14"/>
                <w:color w:val="auto"/>
              </w:rPr>
            </w:pPr>
          </w:p>
        </w:tc>
        <w:tc>
          <w:tcPr>
            <w:tcW w:w="3360" w:type="dxa"/>
            <w:vAlign w:val="bottom"/>
          </w:tcPr>
          <w:p>
            <w:pPr>
              <w:ind w:left="180"/>
              <w:spacing w:after="0"/>
              <w:rPr>
                <w:sz w:val="20"/>
                <w:szCs w:val="20"/>
                <w:color w:val="auto"/>
              </w:rPr>
            </w:pPr>
            <w:r>
              <w:rPr>
                <w:rFonts w:ascii="Arial" w:cs="Arial" w:eastAsia="Arial" w:hAnsi="Arial"/>
                <w:sz w:val="14"/>
                <w:szCs w:val="14"/>
                <w:color w:val="auto"/>
              </w:rPr>
              <w:t>Beurden and €225,000 (8,321 B shares) for</w:t>
            </w:r>
          </w:p>
        </w:tc>
        <w:tc>
          <w:tcPr>
            <w:tcW w:w="720" w:type="dxa"/>
            <w:vAlign w:val="bottom"/>
          </w:tcPr>
          <w:p>
            <w:pPr>
              <w:spacing w:after="0"/>
              <w:rPr>
                <w:sz w:val="14"/>
                <w:szCs w:val="14"/>
                <w:color w:val="auto"/>
              </w:rPr>
            </w:pPr>
          </w:p>
        </w:tc>
        <w:tc>
          <w:tcPr>
            <w:tcW w:w="3580" w:type="dxa"/>
            <w:vAlign w:val="bottom"/>
          </w:tcPr>
          <w:p>
            <w:pPr>
              <w:ind w:left="180"/>
              <w:spacing w:after="0"/>
              <w:rPr>
                <w:sz w:val="20"/>
                <w:szCs w:val="20"/>
                <w:color w:val="auto"/>
              </w:rPr>
            </w:pPr>
            <w:r>
              <w:rPr>
                <w:rFonts w:ascii="Arial" w:cs="Arial" w:eastAsia="Arial" w:hAnsi="Arial"/>
                <w:sz w:val="14"/>
                <w:szCs w:val="14"/>
                <w:color w:val="auto"/>
              </w:rPr>
              <w:t>to €319,000 for Ben van Beurden and</w:t>
            </w:r>
          </w:p>
        </w:tc>
      </w:tr>
      <w:tr>
        <w:trPr>
          <w:trHeight w:val="157"/>
        </w:trPr>
        <w:tc>
          <w:tcPr>
            <w:tcW w:w="820" w:type="dxa"/>
            <w:vAlign w:val="bottom"/>
            <w:tcBorders>
              <w:bottom w:val="single" w:sz="8" w:color="auto"/>
            </w:tcBorders>
          </w:tcPr>
          <w:p>
            <w:pPr>
              <w:spacing w:after="0"/>
              <w:rPr>
                <w:sz w:val="13"/>
                <w:szCs w:val="13"/>
                <w:color w:val="auto"/>
              </w:rPr>
            </w:pPr>
          </w:p>
        </w:tc>
        <w:tc>
          <w:tcPr>
            <w:tcW w:w="162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tcPr>
          <w:p>
            <w:pPr>
              <w:spacing w:after="0"/>
              <w:rPr>
                <w:sz w:val="13"/>
                <w:szCs w:val="13"/>
                <w:color w:val="auto"/>
              </w:rPr>
            </w:pPr>
          </w:p>
        </w:tc>
        <w:tc>
          <w:tcPr>
            <w:tcW w:w="3360" w:type="dxa"/>
            <w:vAlign w:val="bottom"/>
            <w:tcBorders>
              <w:bottom w:val="single" w:sz="8" w:color="auto"/>
            </w:tcBorders>
          </w:tcPr>
          <w:p>
            <w:pPr>
              <w:ind w:left="180"/>
              <w:spacing w:after="0" w:line="157" w:lineRule="exact"/>
              <w:rPr>
                <w:sz w:val="20"/>
                <w:szCs w:val="20"/>
                <w:color w:val="auto"/>
              </w:rPr>
            </w:pPr>
            <w:r>
              <w:rPr>
                <w:rFonts w:ascii="Arial" w:cs="Arial" w:eastAsia="Arial" w:hAnsi="Arial"/>
                <w:sz w:val="14"/>
                <w:szCs w:val="14"/>
                <w:color w:val="auto"/>
              </w:rPr>
              <w:t>Simon Henry.</w:t>
            </w:r>
          </w:p>
        </w:tc>
        <w:tc>
          <w:tcPr>
            <w:tcW w:w="720" w:type="dxa"/>
            <w:vAlign w:val="bottom"/>
            <w:tcBorders>
              <w:bottom w:val="single" w:sz="8" w:color="auto"/>
            </w:tcBorders>
          </w:tcPr>
          <w:p>
            <w:pPr>
              <w:spacing w:after="0"/>
              <w:rPr>
                <w:sz w:val="13"/>
                <w:szCs w:val="13"/>
                <w:color w:val="auto"/>
              </w:rPr>
            </w:pPr>
          </w:p>
        </w:tc>
        <w:tc>
          <w:tcPr>
            <w:tcW w:w="3580" w:type="dxa"/>
            <w:vAlign w:val="bottom"/>
            <w:tcBorders>
              <w:bottom w:val="single" w:sz="8" w:color="auto"/>
            </w:tcBorders>
          </w:tcPr>
          <w:p>
            <w:pPr>
              <w:ind w:left="180"/>
              <w:spacing w:after="0" w:line="157" w:lineRule="exact"/>
              <w:rPr>
                <w:sz w:val="20"/>
                <w:szCs w:val="20"/>
                <w:color w:val="auto"/>
              </w:rPr>
            </w:pPr>
            <w:r>
              <w:rPr>
                <w:rFonts w:ascii="Arial" w:cs="Arial" w:eastAsia="Arial" w:hAnsi="Arial"/>
                <w:sz w:val="14"/>
                <w:szCs w:val="14"/>
                <w:color w:val="auto"/>
              </w:rPr>
              <w:t>€450,000 for Simon Henry.</w:t>
            </w:r>
          </w:p>
        </w:tc>
      </w:tr>
    </w:tbl>
    <w:p>
      <w:pPr>
        <w:spacing w:after="0" w:line="32" w:lineRule="exact"/>
        <w:rPr>
          <w:sz w:val="20"/>
          <w:szCs w:val="20"/>
          <w:color w:val="auto"/>
        </w:rPr>
      </w:pPr>
    </w:p>
    <w:p>
      <w:pPr>
        <w:ind w:left="180" w:hanging="172"/>
        <w:spacing w:after="0"/>
        <w:tabs>
          <w:tab w:leader="none" w:pos="180" w:val="left"/>
        </w:tabs>
        <w:numPr>
          <w:ilvl w:val="0"/>
          <w:numId w:val="105"/>
        </w:numPr>
        <w:rPr>
          <w:rFonts w:ascii="Arial" w:cs="Arial" w:eastAsia="Arial" w:hAnsi="Arial"/>
          <w:sz w:val="11"/>
          <w:szCs w:val="11"/>
          <w:color w:val="auto"/>
        </w:rPr>
      </w:pPr>
      <w:r>
        <w:rPr>
          <w:rFonts w:ascii="Arial" w:cs="Arial" w:eastAsia="Arial" w:hAnsi="Arial"/>
          <w:sz w:val="11"/>
          <w:szCs w:val="11"/>
          <w:color w:val="auto"/>
        </w:rPr>
        <w:t>Awards based on a market price at January 31, 2014 (close of the award date), for A and B shares of €25.61 and £22.25 respectively.</w:t>
      </w:r>
    </w:p>
    <w:p>
      <w:pPr>
        <w:ind w:left="180" w:hanging="172"/>
        <w:spacing w:after="0" w:line="230" w:lineRule="auto"/>
        <w:tabs>
          <w:tab w:leader="none" w:pos="180" w:val="left"/>
        </w:tabs>
        <w:numPr>
          <w:ilvl w:val="0"/>
          <w:numId w:val="105"/>
        </w:numPr>
        <w:rPr>
          <w:rFonts w:ascii="Arial" w:cs="Arial" w:eastAsia="Arial" w:hAnsi="Arial"/>
          <w:sz w:val="11"/>
          <w:szCs w:val="11"/>
          <w:color w:val="auto"/>
        </w:rPr>
      </w:pPr>
      <w:r>
        <w:rPr>
          <w:rFonts w:ascii="Arial" w:cs="Arial" w:eastAsia="Arial" w:hAnsi="Arial"/>
          <w:sz w:val="11"/>
          <w:szCs w:val="11"/>
          <w:color w:val="auto"/>
        </w:rPr>
        <w:t>Minimum performance relates to the lowest level of achievement, for which no reward is given.</w:t>
      </w:r>
    </w:p>
    <w:p>
      <w:pPr>
        <w:ind w:left="180" w:hanging="172"/>
        <w:spacing w:after="0" w:line="230" w:lineRule="auto"/>
        <w:tabs>
          <w:tab w:leader="none" w:pos="180" w:val="left"/>
        </w:tabs>
        <w:numPr>
          <w:ilvl w:val="0"/>
          <w:numId w:val="105"/>
        </w:numPr>
        <w:rPr>
          <w:rFonts w:ascii="Arial" w:cs="Arial" w:eastAsia="Arial" w:hAnsi="Arial"/>
          <w:sz w:val="11"/>
          <w:szCs w:val="11"/>
          <w:color w:val="auto"/>
        </w:rPr>
      </w:pPr>
      <w:r>
        <w:rPr>
          <w:rFonts w:ascii="Arial" w:cs="Arial" w:eastAsia="Arial" w:hAnsi="Arial"/>
          <w:sz w:val="11"/>
          <w:szCs w:val="11"/>
          <w:color w:val="auto"/>
        </w:rPr>
        <w:t>The equivalent values exclude share price movements and accrued dividend shares.</w:t>
      </w:r>
    </w:p>
    <w:p>
      <w:pPr>
        <w:ind w:right="180" w:firstLine="8"/>
        <w:spacing w:after="0" w:line="238" w:lineRule="auto"/>
        <w:tabs>
          <w:tab w:leader="none" w:pos="168" w:val="left"/>
        </w:tabs>
        <w:numPr>
          <w:ilvl w:val="0"/>
          <w:numId w:val="105"/>
        </w:numPr>
        <w:rPr>
          <w:rFonts w:ascii="Arial" w:cs="Arial" w:eastAsia="Arial" w:hAnsi="Arial"/>
          <w:sz w:val="11"/>
          <w:szCs w:val="11"/>
          <w:color w:val="auto"/>
        </w:rPr>
      </w:pPr>
      <w:r>
        <w:rPr>
          <w:rFonts w:ascii="Arial" w:cs="Arial" w:eastAsia="Arial" w:hAnsi="Arial"/>
          <w:sz w:val="11"/>
          <w:szCs w:val="11"/>
          <w:color w:val="auto"/>
        </w:rPr>
        <w:t>Ben van Beurden (prior to being appointed a Director) and Simon Henry elected to defer 50% of their 2013 bonus into DBP shares, half of which is matchable with additional performance matching shares. This results in performance matching shares with a value of 25% of their 2013 bonus.</w:t>
      </w:r>
    </w:p>
    <w:p>
      <w:pPr>
        <w:sectPr>
          <w:pgSz w:w="11900" w:h="16838" w:orient="portrait"/>
          <w:cols w:equalWidth="0" w:num="1">
            <w:col w:w="11420"/>
          </w:cols>
          <w:pgMar w:left="240" w:top="459" w:right="239" w:bottom="1440" w:gutter="0" w:footer="0" w:header="0"/>
        </w:sectPr>
      </w:pPr>
    </w:p>
    <w:p>
      <w:pPr>
        <w:spacing w:after="0" w:line="270" w:lineRule="exact"/>
        <w:rPr>
          <w:sz w:val="20"/>
          <w:szCs w:val="20"/>
          <w:color w:val="auto"/>
        </w:rPr>
      </w:pPr>
    </w:p>
    <w:p>
      <w:pPr>
        <w:spacing w:after="0" w:line="247" w:lineRule="auto"/>
        <w:rPr>
          <w:sz w:val="20"/>
          <w:szCs w:val="20"/>
          <w:color w:val="auto"/>
        </w:rPr>
      </w:pPr>
      <w:r>
        <w:rPr>
          <w:rFonts w:ascii="Arial" w:cs="Arial" w:eastAsia="Arial" w:hAnsi="Arial"/>
          <w:sz w:val="14"/>
          <w:szCs w:val="14"/>
          <w:color w:val="auto"/>
        </w:rPr>
        <w:t>To determine the appropriate award, REMCO considers the award value to be a market competitive reward for medium- to long-term outperformance of the business relative to the other oil majors on measures considered key indicators of the delivery of the strategy in the medium to long term.</w:t>
      </w:r>
    </w:p>
    <w:p>
      <w:pPr>
        <w:spacing w:after="0" w:line="161" w:lineRule="exact"/>
        <w:rPr>
          <w:sz w:val="20"/>
          <w:szCs w:val="20"/>
          <w:color w:val="auto"/>
        </w:rPr>
      </w:pPr>
    </w:p>
    <w:p>
      <w:pPr>
        <w:spacing w:after="0" w:line="247" w:lineRule="auto"/>
        <w:rPr>
          <w:sz w:val="20"/>
          <w:szCs w:val="20"/>
          <w:color w:val="auto"/>
        </w:rPr>
      </w:pPr>
      <w:r>
        <w:rPr>
          <w:rFonts w:ascii="Arial" w:cs="Arial" w:eastAsia="Arial" w:hAnsi="Arial"/>
          <w:sz w:val="14"/>
          <w:szCs w:val="14"/>
          <w:color w:val="auto"/>
        </w:rPr>
        <w:t>The measures and weightings applying to both LTIP and DBP awards for 2014 are: TSR growth (30%); diluted EPS growth on a current cost of supplies basis (30%); hydrocarbon production growth (20%); and net cash growth from operating activities (20%).</w:t>
      </w:r>
    </w:p>
    <w:p>
      <w:pPr>
        <w:spacing w:after="0" w:line="20" w:lineRule="exact"/>
        <w:rPr>
          <w:sz w:val="20"/>
          <w:szCs w:val="20"/>
          <w:color w:val="auto"/>
        </w:rPr>
      </w:pPr>
      <w:r>
        <w:rPr>
          <w:sz w:val="20"/>
          <w:szCs w:val="20"/>
          <w:color w:val="auto"/>
        </w:rPr>
        <w:br w:type="column"/>
      </w:r>
    </w:p>
    <w:p>
      <w:pPr>
        <w:spacing w:after="0" w:line="250" w:lineRule="exact"/>
        <w:rPr>
          <w:sz w:val="20"/>
          <w:szCs w:val="20"/>
          <w:color w:val="auto"/>
        </w:rPr>
      </w:pPr>
    </w:p>
    <w:p>
      <w:pPr>
        <w:ind w:right="220"/>
        <w:spacing w:after="0" w:line="245" w:lineRule="auto"/>
        <w:rPr>
          <w:sz w:val="20"/>
          <w:szCs w:val="20"/>
          <w:color w:val="auto"/>
        </w:rPr>
      </w:pPr>
      <w:r>
        <w:rPr>
          <w:rFonts w:ascii="Arial" w:cs="Arial" w:eastAsia="Arial" w:hAnsi="Arial"/>
          <w:sz w:val="14"/>
          <w:szCs w:val="14"/>
          <w:color w:val="auto"/>
        </w:rPr>
        <w:t>“At target” performance is equivalent to ranking positions which would, in line with the vesting schedule and TSR underpin, lead to a total of 100% vesting of the initial LTIP award and release of 100% of the DBP performance matching shares. At maximum performance, 200% of the number of LTIP and DBP performance matching shares awarded will vest.</w:t>
      </w:r>
    </w:p>
    <w:p>
      <w:pPr>
        <w:spacing w:after="0" w:line="164" w:lineRule="exact"/>
        <w:rPr>
          <w:sz w:val="20"/>
          <w:szCs w:val="20"/>
          <w:color w:val="auto"/>
        </w:rPr>
      </w:pPr>
    </w:p>
    <w:p>
      <w:pPr>
        <w:ind w:right="420"/>
        <w:spacing w:after="0" w:line="258" w:lineRule="auto"/>
        <w:rPr>
          <w:sz w:val="20"/>
          <w:szCs w:val="20"/>
          <w:color w:val="auto"/>
        </w:rPr>
      </w:pPr>
      <w:r>
        <w:rPr>
          <w:rFonts w:ascii="Arial" w:cs="Arial" w:eastAsia="Arial" w:hAnsi="Arial"/>
          <w:sz w:val="14"/>
          <w:szCs w:val="14"/>
          <w:color w:val="auto"/>
        </w:rPr>
        <w:t>To deliver the shares under the LTIP and DBP, market-purchased shares are used rather than the issuing of new shares.</w:t>
      </w:r>
    </w:p>
    <w:p>
      <w:pPr>
        <w:spacing w:after="0" w:line="161" w:lineRule="exact"/>
        <w:rPr>
          <w:sz w:val="20"/>
          <w:szCs w:val="20"/>
          <w:color w:val="auto"/>
        </w:rPr>
      </w:pPr>
    </w:p>
    <w:p>
      <w:pPr>
        <w:sectPr>
          <w:pgSz w:w="11900" w:h="16838" w:orient="portrait"/>
          <w:cols w:equalWidth="0" w:num="2">
            <w:col w:w="5360" w:space="420"/>
            <w:col w:w="5640"/>
          </w:cols>
          <w:pgMar w:left="240" w:top="459" w:right="239" w:bottom="1440" w:gutter="0" w:footer="0" w:header="0"/>
          <w:type w:val="continuous"/>
        </w:sectPr>
      </w:pPr>
    </w:p>
    <w:p>
      <w:pPr>
        <w:spacing w:after="0" w:line="153" w:lineRule="exact"/>
        <w:rPr>
          <w:sz w:val="20"/>
          <w:szCs w:val="20"/>
          <w:color w:val="auto"/>
        </w:rPr>
      </w:pPr>
    </w:p>
    <w:p>
      <w:pPr>
        <w:spacing w:after="0"/>
        <w:rPr>
          <w:sz w:val="20"/>
          <w:szCs w:val="20"/>
          <w:color w:val="auto"/>
        </w:rPr>
      </w:pPr>
      <w:r>
        <w:rPr>
          <w:rFonts w:ascii="Arial" w:cs="Arial" w:eastAsia="Arial" w:hAnsi="Arial"/>
          <w:sz w:val="13"/>
          <w:szCs w:val="13"/>
          <w:color w:val="auto"/>
        </w:rPr>
        <w:t>VESTING</w:t>
      </w:r>
    </w:p>
    <w:p>
      <w:pPr>
        <w:ind w:right="300"/>
        <w:spacing w:after="0" w:line="258" w:lineRule="auto"/>
        <w:rPr>
          <w:sz w:val="20"/>
          <w:szCs w:val="20"/>
          <w:color w:val="auto"/>
        </w:rPr>
      </w:pPr>
      <w:r>
        <w:rPr>
          <w:rFonts w:ascii="Arial" w:cs="Arial" w:eastAsia="Arial" w:hAnsi="Arial"/>
          <w:sz w:val="14"/>
          <w:szCs w:val="14"/>
          <w:color w:val="auto"/>
        </w:rPr>
        <w:t>The LTIP and DBP performance matching shares vest on the basis of the relative performance rankings as indicated in the table below.</w:t>
      </w:r>
    </w:p>
    <w:p>
      <w:pPr>
        <w:spacing w:after="0" w:line="168" w:lineRule="exact"/>
        <w:rPr>
          <w:sz w:val="20"/>
          <w:szCs w:val="20"/>
          <w:color w:val="auto"/>
        </w:rPr>
      </w:pPr>
    </w:p>
    <w:p>
      <w:pPr>
        <w:ind w:left="80"/>
        <w:spacing w:after="0"/>
        <w:rPr>
          <w:sz w:val="20"/>
          <w:szCs w:val="20"/>
          <w:color w:val="auto"/>
        </w:rPr>
      </w:pPr>
      <w:r>
        <w:rPr>
          <w:rFonts w:ascii="Arial" w:cs="Arial" w:eastAsia="Arial" w:hAnsi="Arial"/>
          <w:sz w:val="15"/>
          <w:szCs w:val="15"/>
          <w:b w:val="1"/>
          <w:bCs w:val="1"/>
          <w:color w:val="FFFFFF"/>
        </w:rPr>
        <w:t>RELATIVE PERFORMANCE RANKINGS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-95250</wp:posOffset>
            </wp:positionV>
            <wp:extent cx="3473450" cy="10287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3473450" cy="10287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40"/>
        </w:trPr>
        <w:tc>
          <w:tcPr>
            <w:tcW w:w="2420" w:type="dxa"/>
            <w:vAlign w:val="bottom"/>
          </w:tcPr>
          <w:p>
            <w:pPr>
              <w:spacing w:after="0"/>
              <w:rPr>
                <w:sz w:val="12"/>
                <w:szCs w:val="12"/>
                <w:color w:val="auto"/>
              </w:rPr>
            </w:pPr>
          </w:p>
        </w:tc>
        <w:tc>
          <w:tcPr>
            <w:tcW w:w="3060" w:type="dxa"/>
            <w:vAlign w:val="bottom"/>
          </w:tcPr>
          <w:p>
            <w:pPr>
              <w:ind w:left="120"/>
              <w:spacing w:after="0" w:line="140" w:lineRule="exact"/>
              <w:rPr>
                <w:sz w:val="20"/>
                <w:szCs w:val="20"/>
                <w:color w:val="auto"/>
              </w:rPr>
            </w:pPr>
            <w:r>
              <w:rPr>
                <w:rFonts w:ascii="Arial" w:cs="Arial" w:eastAsia="Arial" w:hAnsi="Arial"/>
                <w:sz w:val="13"/>
                <w:szCs w:val="13"/>
                <w:color w:val="auto"/>
              </w:rPr>
              <w:t>Number of conditional performance shares</w:t>
            </w:r>
          </w:p>
        </w:tc>
      </w:tr>
      <w:tr>
        <w:trPr>
          <w:trHeight w:val="135"/>
        </w:trPr>
        <w:tc>
          <w:tcPr>
            <w:tcW w:w="2420" w:type="dxa"/>
            <w:vAlign w:val="bottom"/>
          </w:tcPr>
          <w:p>
            <w:pPr>
              <w:ind w:left="20"/>
              <w:spacing w:after="0" w:line="135" w:lineRule="exact"/>
              <w:rPr>
                <w:sz w:val="20"/>
                <w:szCs w:val="20"/>
                <w:color w:val="auto"/>
              </w:rPr>
            </w:pPr>
            <w:r>
              <w:rPr>
                <w:rFonts w:ascii="Arial" w:cs="Arial" w:eastAsia="Arial" w:hAnsi="Arial"/>
                <w:sz w:val="13"/>
                <w:szCs w:val="13"/>
                <w:color w:val="auto"/>
              </w:rPr>
              <w:t>Shell’s rank against peers on each of the</w:t>
            </w:r>
          </w:p>
        </w:tc>
        <w:tc>
          <w:tcPr>
            <w:tcW w:w="3060" w:type="dxa"/>
            <w:vAlign w:val="bottom"/>
          </w:tcPr>
          <w:p>
            <w:pPr>
              <w:ind w:left="120"/>
              <w:spacing w:after="0" w:line="135" w:lineRule="exact"/>
              <w:rPr>
                <w:sz w:val="20"/>
                <w:szCs w:val="20"/>
                <w:color w:val="auto"/>
              </w:rPr>
            </w:pPr>
            <w:r>
              <w:rPr>
                <w:rFonts w:ascii="Arial" w:cs="Arial" w:eastAsia="Arial" w:hAnsi="Arial"/>
                <w:sz w:val="13"/>
                <w:szCs w:val="13"/>
                <w:color w:val="auto"/>
              </w:rPr>
              <w:t>ultimately awarded, taking into account the</w:t>
            </w:r>
          </w:p>
        </w:tc>
      </w:tr>
      <w:tr>
        <w:trPr>
          <w:trHeight w:val="141"/>
        </w:trPr>
        <w:tc>
          <w:tcPr>
            <w:tcW w:w="2420" w:type="dxa"/>
            <w:vAlign w:val="bottom"/>
            <w:tcBorders>
              <w:bottom w:val="single" w:sz="8" w:color="auto"/>
            </w:tcBorders>
          </w:tcPr>
          <w:p>
            <w:pPr>
              <w:ind w:left="20"/>
              <w:spacing w:after="0" w:line="141" w:lineRule="exact"/>
              <w:rPr>
                <w:sz w:val="20"/>
                <w:szCs w:val="20"/>
                <w:color w:val="auto"/>
              </w:rPr>
            </w:pPr>
            <w:r>
              <w:rPr>
                <w:rFonts w:ascii="Arial" w:cs="Arial" w:eastAsia="Arial" w:hAnsi="Arial"/>
                <w:sz w:val="13"/>
                <w:szCs w:val="13"/>
                <w:color w:val="auto"/>
              </w:rPr>
              <w:t>four performance measures</w:t>
            </w:r>
          </w:p>
        </w:tc>
        <w:tc>
          <w:tcPr>
            <w:tcW w:w="3060" w:type="dxa"/>
            <w:vAlign w:val="bottom"/>
            <w:tcBorders>
              <w:bottom w:val="single" w:sz="8" w:color="auto"/>
            </w:tcBorders>
          </w:tcPr>
          <w:p>
            <w:pPr>
              <w:ind w:left="120"/>
              <w:spacing w:after="0" w:line="141" w:lineRule="exact"/>
              <w:rPr>
                <w:sz w:val="20"/>
                <w:szCs w:val="20"/>
                <w:color w:val="auto"/>
              </w:rPr>
            </w:pPr>
            <w:r>
              <w:rPr>
                <w:rFonts w:ascii="Arial" w:cs="Arial" w:eastAsia="Arial" w:hAnsi="Arial"/>
                <w:sz w:val="13"/>
                <w:szCs w:val="13"/>
                <w:color w:val="auto"/>
              </w:rPr>
              <w:t>weightings of the four performance measures</w:t>
            </w:r>
          </w:p>
        </w:tc>
      </w:tr>
      <w:tr>
        <w:trPr>
          <w:trHeight w:val="160"/>
        </w:trPr>
        <w:tc>
          <w:tcPr>
            <w:tcW w:w="2420" w:type="dxa"/>
            <w:vAlign w:val="bottom"/>
          </w:tcPr>
          <w:p>
            <w:pPr>
              <w:ind w:left="20"/>
              <w:spacing w:after="0"/>
              <w:rPr>
                <w:sz w:val="20"/>
                <w:szCs w:val="20"/>
                <w:color w:val="auto"/>
              </w:rPr>
            </w:pPr>
            <w:r>
              <w:rPr>
                <w:rFonts w:ascii="Arial" w:cs="Arial" w:eastAsia="Arial" w:hAnsi="Arial"/>
                <w:sz w:val="14"/>
                <w:szCs w:val="14"/>
                <w:color w:val="auto"/>
              </w:rPr>
              <w:t>1st</w:t>
            </w:r>
          </w:p>
        </w:tc>
        <w:tc>
          <w:tcPr>
            <w:tcW w:w="3060" w:type="dxa"/>
            <w:vAlign w:val="bottom"/>
          </w:tcPr>
          <w:p>
            <w:pPr>
              <w:ind w:left="120"/>
              <w:spacing w:after="0"/>
              <w:rPr>
                <w:sz w:val="20"/>
                <w:szCs w:val="20"/>
                <w:color w:val="auto"/>
              </w:rPr>
            </w:pPr>
            <w:r>
              <w:rPr>
                <w:rFonts w:ascii="Arial" w:cs="Arial" w:eastAsia="Arial" w:hAnsi="Arial"/>
                <w:sz w:val="14"/>
                <w:szCs w:val="14"/>
                <w:color w:val="auto"/>
              </w:rPr>
              <w:t>2 x initial LTIP award</w:t>
            </w:r>
          </w:p>
        </w:tc>
      </w:tr>
      <w:tr>
        <w:trPr>
          <w:trHeight w:val="157"/>
        </w:trPr>
        <w:tc>
          <w:tcPr>
            <w:tcW w:w="2420" w:type="dxa"/>
            <w:vAlign w:val="bottom"/>
            <w:tcBorders>
              <w:bottom w:val="single" w:sz="8" w:color="auto"/>
            </w:tcBorders>
          </w:tcPr>
          <w:p>
            <w:pPr>
              <w:spacing w:after="0"/>
              <w:rPr>
                <w:sz w:val="13"/>
                <w:szCs w:val="13"/>
                <w:color w:val="auto"/>
              </w:rPr>
            </w:pPr>
          </w:p>
        </w:tc>
        <w:tc>
          <w:tcPr>
            <w:tcW w:w="3060" w:type="dxa"/>
            <w:vAlign w:val="bottom"/>
            <w:tcBorders>
              <w:bottom w:val="single" w:sz="8" w:color="auto"/>
            </w:tcBorders>
          </w:tcPr>
          <w:p>
            <w:pPr>
              <w:ind w:left="120"/>
              <w:spacing w:after="0" w:line="157" w:lineRule="exact"/>
              <w:rPr>
                <w:sz w:val="20"/>
                <w:szCs w:val="20"/>
                <w:color w:val="auto"/>
              </w:rPr>
            </w:pPr>
            <w:r>
              <w:rPr>
                <w:rFonts w:ascii="Arial" w:cs="Arial" w:eastAsia="Arial" w:hAnsi="Arial"/>
                <w:sz w:val="14"/>
                <w:szCs w:val="14"/>
                <w:color w:val="auto"/>
              </w:rPr>
              <w:t>2 x half of the deferred bonus shares</w:t>
            </w:r>
          </w:p>
        </w:tc>
      </w:tr>
      <w:tr>
        <w:trPr>
          <w:trHeight w:val="160"/>
        </w:trPr>
        <w:tc>
          <w:tcPr>
            <w:tcW w:w="2420" w:type="dxa"/>
            <w:vAlign w:val="bottom"/>
          </w:tcPr>
          <w:p>
            <w:pPr>
              <w:ind w:left="20"/>
              <w:spacing w:after="0"/>
              <w:rPr>
                <w:sz w:val="20"/>
                <w:szCs w:val="20"/>
                <w:color w:val="auto"/>
              </w:rPr>
            </w:pPr>
            <w:r>
              <w:rPr>
                <w:rFonts w:ascii="Arial" w:cs="Arial" w:eastAsia="Arial" w:hAnsi="Arial"/>
                <w:sz w:val="14"/>
                <w:szCs w:val="14"/>
                <w:color w:val="auto"/>
              </w:rPr>
              <w:t>2nd</w:t>
            </w:r>
          </w:p>
        </w:tc>
        <w:tc>
          <w:tcPr>
            <w:tcW w:w="3060" w:type="dxa"/>
            <w:vAlign w:val="bottom"/>
          </w:tcPr>
          <w:p>
            <w:pPr>
              <w:ind w:left="120"/>
              <w:spacing w:after="0"/>
              <w:rPr>
                <w:sz w:val="20"/>
                <w:szCs w:val="20"/>
                <w:color w:val="auto"/>
              </w:rPr>
            </w:pPr>
            <w:r>
              <w:rPr>
                <w:rFonts w:ascii="Arial" w:cs="Arial" w:eastAsia="Arial" w:hAnsi="Arial"/>
                <w:sz w:val="14"/>
                <w:szCs w:val="14"/>
                <w:color w:val="auto"/>
              </w:rPr>
              <w:t>1.5 x initial LTIP award</w:t>
            </w:r>
          </w:p>
        </w:tc>
      </w:tr>
      <w:tr>
        <w:trPr>
          <w:trHeight w:val="157"/>
        </w:trPr>
        <w:tc>
          <w:tcPr>
            <w:tcW w:w="2420" w:type="dxa"/>
            <w:vAlign w:val="bottom"/>
            <w:tcBorders>
              <w:bottom w:val="single" w:sz="8" w:color="auto"/>
            </w:tcBorders>
          </w:tcPr>
          <w:p>
            <w:pPr>
              <w:spacing w:after="0"/>
              <w:rPr>
                <w:sz w:val="13"/>
                <w:szCs w:val="13"/>
                <w:color w:val="auto"/>
              </w:rPr>
            </w:pPr>
          </w:p>
        </w:tc>
        <w:tc>
          <w:tcPr>
            <w:tcW w:w="3060" w:type="dxa"/>
            <w:vAlign w:val="bottom"/>
            <w:tcBorders>
              <w:bottom w:val="single" w:sz="8" w:color="auto"/>
            </w:tcBorders>
          </w:tcPr>
          <w:p>
            <w:pPr>
              <w:ind w:left="120"/>
              <w:spacing w:after="0" w:line="157" w:lineRule="exact"/>
              <w:rPr>
                <w:sz w:val="20"/>
                <w:szCs w:val="20"/>
                <w:color w:val="auto"/>
              </w:rPr>
            </w:pPr>
            <w:r>
              <w:rPr>
                <w:rFonts w:ascii="Arial" w:cs="Arial" w:eastAsia="Arial" w:hAnsi="Arial"/>
                <w:sz w:val="14"/>
                <w:szCs w:val="14"/>
                <w:color w:val="auto"/>
              </w:rPr>
              <w:t>1.5 x half of the deferred bonus shares</w:t>
            </w:r>
          </w:p>
        </w:tc>
      </w:tr>
      <w:tr>
        <w:trPr>
          <w:trHeight w:val="160"/>
        </w:trPr>
        <w:tc>
          <w:tcPr>
            <w:tcW w:w="2420" w:type="dxa"/>
            <w:vAlign w:val="bottom"/>
          </w:tcPr>
          <w:p>
            <w:pPr>
              <w:ind w:left="20"/>
              <w:spacing w:after="0"/>
              <w:rPr>
                <w:sz w:val="20"/>
                <w:szCs w:val="20"/>
                <w:color w:val="auto"/>
              </w:rPr>
            </w:pPr>
            <w:r>
              <w:rPr>
                <w:rFonts w:ascii="Arial" w:cs="Arial" w:eastAsia="Arial" w:hAnsi="Arial"/>
                <w:sz w:val="14"/>
                <w:szCs w:val="14"/>
                <w:color w:val="auto"/>
              </w:rPr>
              <w:t>3rd</w:t>
            </w:r>
          </w:p>
        </w:tc>
        <w:tc>
          <w:tcPr>
            <w:tcW w:w="3060" w:type="dxa"/>
            <w:vAlign w:val="bottom"/>
          </w:tcPr>
          <w:p>
            <w:pPr>
              <w:ind w:left="120"/>
              <w:spacing w:after="0"/>
              <w:rPr>
                <w:sz w:val="20"/>
                <w:szCs w:val="20"/>
                <w:color w:val="auto"/>
              </w:rPr>
            </w:pPr>
            <w:r>
              <w:rPr>
                <w:rFonts w:ascii="Arial" w:cs="Arial" w:eastAsia="Arial" w:hAnsi="Arial"/>
                <w:sz w:val="14"/>
                <w:szCs w:val="14"/>
                <w:color w:val="auto"/>
              </w:rPr>
              <w:t>0.8 x initial LTIP award</w:t>
            </w:r>
          </w:p>
        </w:tc>
      </w:tr>
      <w:tr>
        <w:trPr>
          <w:trHeight w:val="157"/>
        </w:trPr>
        <w:tc>
          <w:tcPr>
            <w:tcW w:w="2420" w:type="dxa"/>
            <w:vAlign w:val="bottom"/>
            <w:tcBorders>
              <w:bottom w:val="single" w:sz="8" w:color="auto"/>
            </w:tcBorders>
          </w:tcPr>
          <w:p>
            <w:pPr>
              <w:spacing w:after="0"/>
              <w:rPr>
                <w:sz w:val="13"/>
                <w:szCs w:val="13"/>
                <w:color w:val="auto"/>
              </w:rPr>
            </w:pPr>
          </w:p>
        </w:tc>
        <w:tc>
          <w:tcPr>
            <w:tcW w:w="3060" w:type="dxa"/>
            <w:vAlign w:val="bottom"/>
            <w:tcBorders>
              <w:bottom w:val="single" w:sz="8" w:color="auto"/>
            </w:tcBorders>
          </w:tcPr>
          <w:p>
            <w:pPr>
              <w:ind w:left="120"/>
              <w:spacing w:after="0" w:line="157" w:lineRule="exact"/>
              <w:rPr>
                <w:sz w:val="20"/>
                <w:szCs w:val="20"/>
                <w:color w:val="auto"/>
              </w:rPr>
            </w:pPr>
            <w:r>
              <w:rPr>
                <w:rFonts w:ascii="Arial" w:cs="Arial" w:eastAsia="Arial" w:hAnsi="Arial"/>
                <w:sz w:val="14"/>
                <w:szCs w:val="14"/>
                <w:color w:val="auto"/>
              </w:rPr>
              <w:t>0.8 x half of the deferred bonus shares</w:t>
            </w:r>
          </w:p>
        </w:tc>
      </w:tr>
      <w:tr>
        <w:trPr>
          <w:trHeight w:val="156"/>
        </w:trPr>
        <w:tc>
          <w:tcPr>
            <w:tcW w:w="2420" w:type="dxa"/>
            <w:vAlign w:val="bottom"/>
            <w:tcBorders>
              <w:bottom w:val="single" w:sz="8" w:color="auto"/>
            </w:tcBorders>
          </w:tcPr>
          <w:p>
            <w:pPr>
              <w:ind w:left="20"/>
              <w:spacing w:after="0" w:line="155" w:lineRule="exact"/>
              <w:rPr>
                <w:sz w:val="20"/>
                <w:szCs w:val="20"/>
                <w:color w:val="auto"/>
              </w:rPr>
            </w:pPr>
            <w:r>
              <w:rPr>
                <w:rFonts w:ascii="Arial" w:cs="Arial" w:eastAsia="Arial" w:hAnsi="Arial"/>
                <w:sz w:val="14"/>
                <w:szCs w:val="14"/>
                <w:color w:val="auto"/>
              </w:rPr>
              <w:t>4th or 5th</w:t>
            </w:r>
          </w:p>
        </w:tc>
        <w:tc>
          <w:tcPr>
            <w:tcW w:w="3060" w:type="dxa"/>
            <w:vAlign w:val="bottom"/>
            <w:tcBorders>
              <w:bottom w:val="single" w:sz="8" w:color="auto"/>
            </w:tcBorders>
          </w:tcPr>
          <w:p>
            <w:pPr>
              <w:ind w:left="120"/>
              <w:spacing w:after="0" w:line="155" w:lineRule="exact"/>
              <w:rPr>
                <w:sz w:val="20"/>
                <w:szCs w:val="20"/>
                <w:color w:val="auto"/>
              </w:rPr>
            </w:pPr>
            <w:r>
              <w:rPr>
                <w:rFonts w:ascii="Arial" w:cs="Arial" w:eastAsia="Arial" w:hAnsi="Arial"/>
                <w:sz w:val="14"/>
                <w:szCs w:val="14"/>
                <w:color w:val="auto"/>
              </w:rPr>
              <w:t>Nil</w:t>
            </w:r>
          </w:p>
        </w:tc>
      </w:tr>
    </w:tbl>
    <w:p>
      <w:pPr>
        <w:spacing w:after="0" w:line="234" w:lineRule="exact"/>
        <w:rPr>
          <w:sz w:val="20"/>
          <w:szCs w:val="20"/>
          <w:color w:val="auto"/>
        </w:rPr>
      </w:pPr>
    </w:p>
    <w:p>
      <w:pPr>
        <w:ind w:right="40"/>
        <w:spacing w:after="0" w:line="258" w:lineRule="auto"/>
        <w:rPr>
          <w:sz w:val="20"/>
          <w:szCs w:val="20"/>
          <w:color w:val="auto"/>
        </w:rPr>
      </w:pPr>
      <w:r>
        <w:rPr>
          <w:rFonts w:ascii="Arial" w:cs="Arial" w:eastAsia="Arial" w:hAnsi="Arial"/>
          <w:sz w:val="14"/>
          <w:szCs w:val="14"/>
          <w:color w:val="auto"/>
        </w:rPr>
        <w:t>If the TSR ranking is fourth or fifth, the level of the award that can vest on the basis of the three other measures will be capped at 50% of the maximum.</w:t>
      </w:r>
    </w:p>
    <w:p>
      <w:pPr>
        <w:spacing w:after="0" w:line="154" w:lineRule="exact"/>
        <w:rPr>
          <w:sz w:val="20"/>
          <w:szCs w:val="20"/>
          <w:color w:val="auto"/>
        </w:rPr>
      </w:pPr>
    </w:p>
    <w:p>
      <w:pPr>
        <w:ind w:right="40"/>
        <w:spacing w:after="0" w:line="244" w:lineRule="auto"/>
        <w:rPr>
          <w:sz w:val="20"/>
          <w:szCs w:val="20"/>
          <w:color w:val="auto"/>
        </w:rPr>
      </w:pPr>
      <w:r>
        <w:rPr>
          <w:rFonts w:ascii="Arial" w:cs="Arial" w:eastAsia="Arial" w:hAnsi="Arial"/>
          <w:sz w:val="14"/>
          <w:szCs w:val="14"/>
          <w:color w:val="auto"/>
        </w:rPr>
        <w:t>REMCO retains discretion to adjust the calculated vesting outcome if it believes that this is distorted by circumstances which are unrelated to performance, for example, reporting changes, ranking clustering, mathematical anomalies or corporate events in the comparator group. REMCO will consider using discretion to ensure that remuneration appropriately reflects Shell’s performance and may adjust the final vesting outcome of the LTIP (and, therefore, DBP).</w:t>
      </w:r>
    </w:p>
    <w:p>
      <w:pPr>
        <w:spacing w:after="0" w:line="20" w:lineRule="exact"/>
        <w:rPr>
          <w:sz w:val="20"/>
          <w:szCs w:val="20"/>
          <w:color w:val="auto"/>
        </w:rPr>
      </w:pPr>
      <w:r>
        <w:rPr>
          <w:sz w:val="20"/>
          <w:szCs w:val="20"/>
          <w:color w:val="auto"/>
        </w:rPr>
        <w:br w:type="column"/>
      </w:r>
    </w:p>
    <w:p>
      <w:pPr>
        <w:ind w:right="540"/>
        <w:spacing w:after="0" w:line="238" w:lineRule="auto"/>
        <w:rPr>
          <w:sz w:val="20"/>
          <w:szCs w:val="20"/>
          <w:color w:val="auto"/>
        </w:rPr>
      </w:pPr>
      <w:r>
        <w:rPr>
          <w:rFonts w:ascii="Arial" w:cs="Arial" w:eastAsia="Arial" w:hAnsi="Arial"/>
          <w:sz w:val="18"/>
          <w:szCs w:val="18"/>
          <w:color w:val="auto"/>
        </w:rPr>
        <w:t>STATEMENT OF DIRECTORS’ SHAREHOLDING AND SHARE INTERESTS (AUDITED)</w:t>
      </w:r>
    </w:p>
    <w:p>
      <w:pPr>
        <w:ind w:right="260"/>
        <w:spacing w:after="0" w:line="245" w:lineRule="auto"/>
        <w:rPr>
          <w:sz w:val="20"/>
          <w:szCs w:val="20"/>
          <w:color w:val="auto"/>
        </w:rPr>
      </w:pPr>
      <w:r>
        <w:rPr>
          <w:rFonts w:ascii="Arial" w:cs="Arial" w:eastAsia="Arial" w:hAnsi="Arial"/>
          <w:sz w:val="14"/>
          <w:szCs w:val="14"/>
          <w:color w:val="auto"/>
        </w:rPr>
        <w:t>REMCO believes that Executive Directors should align their interests with those of shareholders by holding shares in the Company. In a business where it can take many years to reach a final investment decision on a project, and many further years of development before a facility comes on-stream, long-term shareholding properly aligns interests of Executive Directors with those of shareholders.</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color w:val="auto"/>
        </w:rPr>
        <w:t>Shareholding guidelines</w:t>
      </w:r>
    </w:p>
    <w:p>
      <w:pPr>
        <w:spacing w:after="0" w:line="1" w:lineRule="exact"/>
        <w:rPr>
          <w:sz w:val="20"/>
          <w:szCs w:val="20"/>
          <w:color w:val="auto"/>
        </w:rPr>
      </w:pPr>
    </w:p>
    <w:p>
      <w:pPr>
        <w:ind w:right="280"/>
        <w:spacing w:after="0" w:line="244" w:lineRule="auto"/>
        <w:rPr>
          <w:sz w:val="20"/>
          <w:szCs w:val="20"/>
          <w:color w:val="auto"/>
        </w:rPr>
      </w:pPr>
      <w:r>
        <w:rPr>
          <w:rFonts w:ascii="Arial" w:cs="Arial" w:eastAsia="Arial" w:hAnsi="Arial"/>
          <w:sz w:val="14"/>
          <w:szCs w:val="14"/>
          <w:color w:val="auto"/>
        </w:rPr>
        <w:t>Under the policy effective from January 1, 2015, the CEO is expected to build a shareholding with a value of 700% of base salary, and other Executive Directors 400% of base salary. Only unfettered shares count. The bonus deferred into shares under the DBP (net of tax) and the vested LTIP (subject to holding requirements) count towards the guidelines. Ben van Beurden has not yet met the required shareholding level. Simon Henry has done so. There are no shareholding guidelines for Non-executive Directors.</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color w:val="auto"/>
        </w:rPr>
        <w:t>Directors’ share interests</w:t>
      </w:r>
    </w:p>
    <w:p>
      <w:pPr>
        <w:spacing w:after="0" w:line="1" w:lineRule="exact"/>
        <w:rPr>
          <w:sz w:val="20"/>
          <w:szCs w:val="20"/>
          <w:color w:val="auto"/>
        </w:rPr>
      </w:pPr>
    </w:p>
    <w:p>
      <w:pPr>
        <w:jc w:val="both"/>
        <w:ind w:right="240"/>
        <w:spacing w:after="0" w:line="250" w:lineRule="auto"/>
        <w:rPr>
          <w:sz w:val="20"/>
          <w:szCs w:val="20"/>
          <w:color w:val="auto"/>
        </w:rPr>
      </w:pPr>
      <w:r>
        <w:rPr>
          <w:rFonts w:ascii="Arial" w:cs="Arial" w:eastAsia="Arial" w:hAnsi="Arial"/>
          <w:sz w:val="14"/>
          <w:szCs w:val="14"/>
          <w:color w:val="auto"/>
        </w:rPr>
        <w:t>The interests (in shares of the Company or calculated equivalents) of the Directors in office during the year, including any interests of their connected persons, are set out in the “Directors’ share interests” table on the next page.</w:t>
      </w:r>
    </w:p>
    <w:p>
      <w:pPr>
        <w:spacing w:after="0" w:line="172" w:lineRule="exact"/>
        <w:rPr>
          <w:sz w:val="20"/>
          <w:szCs w:val="20"/>
          <w:color w:val="auto"/>
        </w:rPr>
      </w:pPr>
    </w:p>
    <w:p>
      <w:pPr>
        <w:ind w:right="180"/>
        <w:spacing w:after="0" w:line="244" w:lineRule="auto"/>
        <w:rPr>
          <w:sz w:val="20"/>
          <w:szCs w:val="20"/>
          <w:color w:val="auto"/>
        </w:rPr>
      </w:pPr>
      <w:r>
        <w:rPr>
          <w:rFonts w:ascii="Arial" w:cs="Arial" w:eastAsia="Arial" w:hAnsi="Arial"/>
          <w:sz w:val="14"/>
          <w:szCs w:val="14"/>
          <w:color w:val="auto"/>
        </w:rPr>
        <w:t>There were no changes in Directors’ share interests during the period from December 31, 2014, to March 11, 2015, except in the case of Ben van Beurden whose interests increased by 14,304 A shares and Simon Henry whose interests increased by 62,586 B shares, resulting from the release of the 2012 PSP award, and the 2012 LTIP and DBP awards respectively, which vested on February 17, 2015, and Guy Elliott whose interests increased by 100 B shares.</w:t>
      </w:r>
    </w:p>
    <w:p>
      <w:pPr>
        <w:sectPr>
          <w:pgSz w:w="11900" w:h="16838" w:orient="portrait"/>
          <w:cols w:equalWidth="0" w:num="2">
            <w:col w:w="5480" w:space="300"/>
            <w:col w:w="5640"/>
          </w:cols>
          <w:pgMar w:left="240" w:top="459" w:right="239" w:bottom="1440" w:gutter="0" w:footer="0" w:header="0"/>
          <w:type w:val="continuous"/>
        </w:sectPr>
      </w:pPr>
    </w:p>
    <w:bookmarkStart w:id="89" w:name="page90"/>
    <w:bookmarkEnd w:id="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300355</wp:posOffset>
            </wp:positionV>
            <wp:extent cx="3490595" cy="46291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3490595" cy="462915"/>
                    </a:xfrm>
                    <a:prstGeom prst="rect">
                      <a:avLst/>
                    </a:prstGeom>
                    <a:noFill/>
                  </pic:spPr>
                </pic:pic>
              </a:graphicData>
            </a:graphic>
          </wp:anchor>
        </w:drawing>
      </w:r>
    </w:p>
    <w:p>
      <w:pPr>
        <w:spacing w:after="0" w:line="200" w:lineRule="exact"/>
        <w:rPr>
          <w:sz w:val="20"/>
          <w:szCs w:val="20"/>
          <w:color w:val="auto"/>
        </w:rPr>
      </w:pP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419"/>
        </w:trPr>
        <w:tc>
          <w:tcPr>
            <w:tcW w:w="2100" w:type="dxa"/>
            <w:vAlign w:val="bottom"/>
            <w:shd w:val="clear" w:color="auto" w:fill="FF8B00"/>
          </w:tcPr>
          <w:p>
            <w:pPr>
              <w:spacing w:after="0"/>
              <w:rPr>
                <w:sz w:val="24"/>
                <w:szCs w:val="24"/>
                <w:color w:val="auto"/>
              </w:rPr>
            </w:pPr>
          </w:p>
        </w:tc>
        <w:tc>
          <w:tcPr>
            <w:tcW w:w="3400" w:type="dxa"/>
            <w:vAlign w:val="bottom"/>
            <w:shd w:val="clear" w:color="auto" w:fill="FF8B00"/>
          </w:tcPr>
          <w:p>
            <w:pPr>
              <w:spacing w:after="0"/>
              <w:rPr>
                <w:sz w:val="24"/>
                <w:szCs w:val="24"/>
                <w:color w:val="auto"/>
              </w:rPr>
            </w:pPr>
          </w:p>
        </w:tc>
      </w:tr>
      <w:tr>
        <w:trPr>
          <w:trHeight w:val="152"/>
        </w:trPr>
        <w:tc>
          <w:tcPr>
            <w:tcW w:w="2100" w:type="dxa"/>
            <w:vAlign w:val="bottom"/>
          </w:tcPr>
          <w:p>
            <w:pPr>
              <w:jc w:val="right"/>
              <w:ind w:right="1666"/>
              <w:spacing w:after="0"/>
              <w:rPr>
                <w:sz w:val="20"/>
                <w:szCs w:val="20"/>
                <w:color w:val="auto"/>
              </w:rPr>
            </w:pPr>
            <w:r>
              <w:rPr>
                <w:rFonts w:ascii="Arial" w:cs="Arial" w:eastAsia="Arial" w:hAnsi="Arial"/>
                <w:sz w:val="11"/>
                <w:szCs w:val="11"/>
                <w:b w:val="1"/>
                <w:bCs w:val="1"/>
                <w:color w:val="333333"/>
              </w:rPr>
              <w:t>88</w:t>
            </w:r>
          </w:p>
        </w:tc>
        <w:tc>
          <w:tcPr>
            <w:tcW w:w="3400" w:type="dxa"/>
            <w:vAlign w:val="bottom"/>
          </w:tcPr>
          <w:p>
            <w:pPr>
              <w:ind w:left="1720"/>
              <w:spacing w:after="0"/>
              <w:rPr>
                <w:sz w:val="20"/>
                <w:szCs w:val="20"/>
                <w:color w:val="auto"/>
              </w:rPr>
            </w:pPr>
            <w:r>
              <w:rPr>
                <w:rFonts w:ascii="Arial" w:cs="Arial" w:eastAsia="Arial" w:hAnsi="Arial"/>
                <w:sz w:val="13"/>
                <w:szCs w:val="13"/>
                <w:color w:val="333333"/>
              </w:rPr>
              <w:t>GOVERNANCE</w:t>
            </w:r>
          </w:p>
        </w:tc>
      </w:tr>
    </w:tbl>
    <w:p>
      <w:pPr>
        <w:spacing w:after="0" w:line="155" w:lineRule="exact"/>
        <w:rPr>
          <w:sz w:val="20"/>
          <w:szCs w:val="20"/>
          <w:color w:val="auto"/>
        </w:rPr>
      </w:pPr>
    </w:p>
    <w:p>
      <w:pPr>
        <w:jc w:val="right"/>
        <w:spacing w:after="0"/>
        <w:tabs>
          <w:tab w:leader="none" w:pos="2380" w:val="left"/>
        </w:tabs>
        <w:rPr>
          <w:sz w:val="20"/>
          <w:szCs w:val="20"/>
          <w:color w:val="auto"/>
        </w:rPr>
      </w:pPr>
      <w:r>
        <w:rPr>
          <w:rFonts w:ascii="Arial" w:cs="Arial" w:eastAsia="Arial" w:hAnsi="Arial"/>
          <w:sz w:val="11"/>
          <w:szCs w:val="11"/>
          <w:color w:val="auto"/>
        </w:rPr>
        <w:t>DIRECTORS’ REMUNERATION REPORT</w:t>
      </w:r>
      <w:r>
        <w:rPr>
          <w:sz w:val="20"/>
          <w:szCs w:val="20"/>
          <w:color w:val="auto"/>
        </w:rPr>
        <w:tab/>
      </w:r>
      <w:r>
        <w:rPr>
          <w:rFonts w:ascii="Arial" w:cs="Arial" w:eastAsia="Arial" w:hAnsi="Arial"/>
          <w:sz w:val="10"/>
          <w:szCs w:val="10"/>
          <w:color w:val="auto"/>
        </w:rPr>
        <w:t>SHELL ANNUAL REPORT AND FORM 20-F 2014</w:t>
      </w:r>
    </w:p>
    <w:p>
      <w:pPr>
        <w:sectPr>
          <w:pgSz w:w="11900" w:h="16838" w:orient="portrait"/>
          <w:cols w:equalWidth="0" w:num="1">
            <w:col w:w="11420"/>
          </w:cols>
          <w:pgMar w:left="240" w:top="459" w:right="239" w:bottom="1440" w:gutter="0" w:footer="0" w:header="0"/>
        </w:sectPr>
      </w:pPr>
    </w:p>
    <w:p>
      <w:pPr>
        <w:spacing w:after="0" w:line="48" w:lineRule="exact"/>
        <w:rPr>
          <w:sz w:val="20"/>
          <w:szCs w:val="20"/>
          <w:color w:val="auto"/>
        </w:rPr>
      </w:pPr>
    </w:p>
    <w:p>
      <w:pPr>
        <w:ind w:right="720"/>
        <w:spacing w:after="0" w:line="260" w:lineRule="auto"/>
        <w:rPr>
          <w:sz w:val="20"/>
          <w:szCs w:val="20"/>
          <w:color w:val="auto"/>
        </w:rPr>
      </w:pPr>
      <w:r>
        <w:rPr>
          <w:rFonts w:ascii="Arial" w:cs="Arial" w:eastAsia="Arial" w:hAnsi="Arial"/>
          <w:sz w:val="24"/>
          <w:szCs w:val="24"/>
          <w:color w:val="auto"/>
        </w:rPr>
        <w:t xml:space="preserve">ANNUAL REPORT ON REMUNERATION </w:t>
      </w:r>
      <w:r>
        <w:rPr>
          <w:rFonts w:ascii="Arial" w:cs="Arial" w:eastAsia="Arial" w:hAnsi="Arial"/>
          <w:sz w:val="24"/>
          <w:szCs w:val="24"/>
          <w:color w:val="666666"/>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-16510</wp:posOffset>
            </wp:positionV>
            <wp:extent cx="3473450" cy="889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spacing w:after="0" w:line="107" w:lineRule="exact"/>
        <w:rPr>
          <w:sz w:val="20"/>
          <w:szCs w:val="20"/>
          <w:color w:val="auto"/>
        </w:rPr>
      </w:pPr>
    </w:p>
    <w:p>
      <w:pPr>
        <w:spacing w:after="0" w:line="247" w:lineRule="auto"/>
        <w:rPr>
          <w:sz w:val="20"/>
          <w:szCs w:val="20"/>
          <w:color w:val="auto"/>
        </w:rPr>
      </w:pPr>
      <w:r>
        <w:rPr>
          <w:rFonts w:ascii="Arial" w:cs="Arial" w:eastAsia="Arial" w:hAnsi="Arial"/>
          <w:sz w:val="14"/>
          <w:szCs w:val="14"/>
          <w:color w:val="auto"/>
        </w:rPr>
        <w:t>As at March 11, 2015, the Directors and Senior Management (pages 58-61) of the Company beneficially owned individually and in aggregate (including shares under option) less than 1% of the total shares of each class of the Company shares outstanding.</w:t>
      </w:r>
    </w:p>
    <w:p>
      <w:pPr>
        <w:spacing w:after="0" w:line="200" w:lineRule="exact"/>
        <w:rPr>
          <w:sz w:val="20"/>
          <w:szCs w:val="20"/>
          <w:color w:val="auto"/>
        </w:rPr>
      </w:pPr>
    </w:p>
    <w:p>
      <w:pPr>
        <w:spacing w:after="0" w:line="354" w:lineRule="exact"/>
        <w:rPr>
          <w:sz w:val="20"/>
          <w:szCs w:val="20"/>
          <w:color w:val="auto"/>
        </w:rPr>
      </w:pPr>
    </w:p>
    <w:p>
      <w:pPr>
        <w:ind w:left="80"/>
        <w:spacing w:after="0"/>
        <w:rPr>
          <w:sz w:val="20"/>
          <w:szCs w:val="20"/>
          <w:color w:val="auto"/>
        </w:rPr>
      </w:pPr>
      <w:r>
        <w:rPr>
          <w:rFonts w:ascii="Arial" w:cs="Arial" w:eastAsia="Arial" w:hAnsi="Arial"/>
          <w:sz w:val="15"/>
          <w:szCs w:val="15"/>
          <w:b w:val="1"/>
          <w:bCs w:val="1"/>
          <w:color w:val="FFFFFF"/>
        </w:rPr>
        <w:t xml:space="preserve">DIRECTORS’ SCHEME INTERESTS </w:t>
      </w:r>
      <w:r>
        <w:rPr>
          <w:rFonts w:ascii="Arial" w:cs="Arial" w:eastAsia="Arial" w:hAnsi="Arial"/>
          <w:sz w:val="15"/>
          <w:szCs w:val="15"/>
          <w:color w:val="FFFFFF"/>
        </w:rPr>
        <w:t>(AUDITED)</w:t>
      </w:r>
    </w:p>
    <w:p>
      <w:pPr>
        <w:spacing w:after="0" w:line="20" w:lineRule="exact"/>
        <w:rPr>
          <w:sz w:val="20"/>
          <w:szCs w:val="20"/>
          <w:color w:val="auto"/>
        </w:rPr>
      </w:pPr>
      <w:r>
        <w:rPr>
          <w:sz w:val="20"/>
          <w:szCs w:val="20"/>
          <w:color w:val="auto"/>
        </w:rPr>
        <w:br w:type="column"/>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Directors’ scheme interests</w:t>
      </w:r>
    </w:p>
    <w:p>
      <w:pPr>
        <w:spacing w:after="0" w:line="1" w:lineRule="exact"/>
        <w:rPr>
          <w:sz w:val="20"/>
          <w:szCs w:val="20"/>
          <w:color w:val="auto"/>
        </w:rPr>
      </w:pPr>
    </w:p>
    <w:p>
      <w:pPr>
        <w:ind w:right="220"/>
        <w:spacing w:after="0" w:line="244" w:lineRule="auto"/>
        <w:rPr>
          <w:sz w:val="20"/>
          <w:szCs w:val="20"/>
          <w:color w:val="auto"/>
        </w:rPr>
      </w:pPr>
      <w:r>
        <w:rPr>
          <w:rFonts w:ascii="Arial" w:cs="Arial" w:eastAsia="Arial" w:hAnsi="Arial"/>
          <w:sz w:val="14"/>
          <w:szCs w:val="14"/>
          <w:color w:val="auto"/>
        </w:rPr>
        <w:t>The table below shows the aggregate position for Directors’ interests under share schemes at December 31. For Ben van Beurden, these relate to awards made to him prior to being appointed a Director. These are A shares for Ben van Beurden and B shares for Simon Henry. During the period from December 31, 2014, to March 11, 2015, scheme interests have changed as a result of the vesting of the 2012 LTIP, DBP and PSP awards on February 17, 2015, and the 2015 LTIP and DBP awards made on January 30, 2015, as described on pages 86 and 83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-3664585</wp:posOffset>
            </wp:positionH>
            <wp:positionV relativeFrom="paragraph">
              <wp:posOffset>384175</wp:posOffset>
            </wp:positionV>
            <wp:extent cx="7246620" cy="10287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246620" cy="1028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right"/>
        <w:spacing w:after="0"/>
        <w:rPr>
          <w:sz w:val="20"/>
          <w:szCs w:val="20"/>
          <w:color w:val="auto"/>
        </w:rPr>
      </w:pPr>
      <w:r>
        <w:rPr>
          <w:rFonts w:ascii="Arial" w:cs="Arial" w:eastAsia="Arial" w:hAnsi="Arial"/>
          <w:sz w:val="13"/>
          <w:szCs w:val="13"/>
          <w:color w:val="auto"/>
        </w:rPr>
        <w:t>Share plan interests[A]</w:t>
      </w:r>
    </w:p>
    <w:p>
      <w:pPr>
        <w:spacing w:after="0" w:line="1" w:lineRule="exact"/>
        <w:rPr>
          <w:sz w:val="20"/>
          <w:szCs w:val="20"/>
          <w:color w:val="auto"/>
        </w:rPr>
      </w:pPr>
    </w:p>
    <w:p>
      <w:pPr>
        <w:sectPr>
          <w:pgSz w:w="11900" w:h="16838" w:orient="portrait"/>
          <w:cols w:equalWidth="0" w:num="2">
            <w:col w:w="5240" w:space="540"/>
            <w:col w:w="5640"/>
          </w:cols>
          <w:pgMar w:left="240" w:top="459" w:right="239" w:bottom="1440" w:gutter="0" w:footer="0" w:header="0"/>
          <w:type w:val="continuous"/>
        </w:sectPr>
      </w:pPr>
    </w:p>
    <w:tbl>
      <w:tblPr>
        <w:tblLayout w:type="fixed"/>
        <w:tblInd w:w="0" w:type="dxa"/>
        <w:tblCellMar>
          <w:top w:w="0" w:type="dxa"/>
          <w:left w:w="0" w:type="dxa"/>
          <w:bottom w:w="0" w:type="dxa"/>
          <w:right w:w="0" w:type="dxa"/>
        </w:tblCellMar>
      </w:tblPr>
      <w:tr>
        <w:trPr>
          <w:trHeight w:val="123"/>
        </w:trPr>
        <w:tc>
          <w:tcPr>
            <w:tcW w:w="3120" w:type="dxa"/>
            <w:vAlign w:val="bottom"/>
          </w:tcPr>
          <w:p>
            <w:pPr>
              <w:spacing w:after="0"/>
              <w:rPr>
                <w:sz w:val="10"/>
                <w:szCs w:val="10"/>
                <w:color w:val="auto"/>
              </w:rPr>
            </w:pPr>
          </w:p>
        </w:tc>
        <w:tc>
          <w:tcPr>
            <w:tcW w:w="1880" w:type="dxa"/>
            <w:vAlign w:val="bottom"/>
            <w:tcBorders>
              <w:top w:val="single" w:sz="8" w:color="auto"/>
            </w:tcBorders>
            <w:gridSpan w:val="4"/>
          </w:tcPr>
          <w:p>
            <w:pPr>
              <w:jc w:val="right"/>
              <w:ind w:right="460"/>
              <w:spacing w:after="0" w:line="123" w:lineRule="exact"/>
              <w:rPr>
                <w:sz w:val="20"/>
                <w:szCs w:val="20"/>
                <w:color w:val="auto"/>
              </w:rPr>
            </w:pPr>
            <w:r>
              <w:rPr>
                <w:rFonts w:ascii="Arial" w:cs="Arial" w:eastAsia="Arial" w:hAnsi="Arial"/>
                <w:sz w:val="13"/>
                <w:szCs w:val="13"/>
                <w:color w:val="auto"/>
              </w:rPr>
              <w:t>LTIP subject to</w:t>
            </w:r>
          </w:p>
        </w:tc>
        <w:tc>
          <w:tcPr>
            <w:tcW w:w="1620" w:type="dxa"/>
            <w:vAlign w:val="bottom"/>
            <w:tcBorders>
              <w:top w:val="single" w:sz="8" w:color="auto"/>
            </w:tcBorders>
            <w:gridSpan w:val="4"/>
          </w:tcPr>
          <w:p>
            <w:pPr>
              <w:jc w:val="right"/>
              <w:ind w:right="460"/>
              <w:spacing w:after="0" w:line="123" w:lineRule="exact"/>
              <w:rPr>
                <w:sz w:val="20"/>
                <w:szCs w:val="20"/>
                <w:color w:val="auto"/>
              </w:rPr>
            </w:pPr>
            <w:r>
              <w:rPr>
                <w:rFonts w:ascii="Arial" w:cs="Arial" w:eastAsia="Arial" w:hAnsi="Arial"/>
                <w:sz w:val="13"/>
                <w:szCs w:val="13"/>
                <w:color w:val="auto"/>
              </w:rPr>
              <w:t>DBP not subject to</w:t>
            </w:r>
          </w:p>
        </w:tc>
        <w:tc>
          <w:tcPr>
            <w:tcW w:w="1620" w:type="dxa"/>
            <w:vAlign w:val="bottom"/>
            <w:tcBorders>
              <w:top w:val="single" w:sz="8" w:color="auto"/>
            </w:tcBorders>
            <w:gridSpan w:val="4"/>
          </w:tcPr>
          <w:p>
            <w:pPr>
              <w:jc w:val="right"/>
              <w:ind w:right="460"/>
              <w:spacing w:after="0" w:line="123" w:lineRule="exact"/>
              <w:rPr>
                <w:sz w:val="20"/>
                <w:szCs w:val="20"/>
                <w:color w:val="auto"/>
              </w:rPr>
            </w:pPr>
            <w:r>
              <w:rPr>
                <w:rFonts w:ascii="Arial" w:cs="Arial" w:eastAsia="Arial" w:hAnsi="Arial"/>
                <w:sz w:val="13"/>
                <w:szCs w:val="13"/>
                <w:color w:val="auto"/>
              </w:rPr>
              <w:t>DBP subject to</w:t>
            </w:r>
          </w:p>
        </w:tc>
        <w:tc>
          <w:tcPr>
            <w:tcW w:w="1620" w:type="dxa"/>
            <w:vAlign w:val="bottom"/>
            <w:tcBorders>
              <w:top w:val="single" w:sz="8" w:color="auto"/>
            </w:tcBorders>
            <w:gridSpan w:val="4"/>
          </w:tcPr>
          <w:p>
            <w:pPr>
              <w:jc w:val="right"/>
              <w:ind w:right="460"/>
              <w:spacing w:after="0" w:line="123" w:lineRule="exact"/>
              <w:rPr>
                <w:sz w:val="20"/>
                <w:szCs w:val="20"/>
                <w:color w:val="auto"/>
              </w:rPr>
            </w:pPr>
            <w:r>
              <w:rPr>
                <w:rFonts w:ascii="Arial" w:cs="Arial" w:eastAsia="Arial" w:hAnsi="Arial"/>
                <w:sz w:val="13"/>
                <w:szCs w:val="13"/>
                <w:color w:val="auto"/>
              </w:rPr>
              <w:t>PSP subject to</w:t>
            </w:r>
          </w:p>
        </w:tc>
        <w:tc>
          <w:tcPr>
            <w:tcW w:w="660" w:type="dxa"/>
            <w:vAlign w:val="bottom"/>
            <w:tcBorders>
              <w:top w:val="single" w:sz="8" w:color="auto"/>
            </w:tcBorders>
          </w:tcPr>
          <w:p>
            <w:pPr>
              <w:spacing w:after="0"/>
              <w:rPr>
                <w:sz w:val="10"/>
                <w:szCs w:val="10"/>
                <w:color w:val="auto"/>
              </w:rPr>
            </w:pPr>
          </w:p>
        </w:tc>
        <w:tc>
          <w:tcPr>
            <w:tcW w:w="900" w:type="dxa"/>
            <w:vAlign w:val="bottom"/>
            <w:tcBorders>
              <w:top w:val="single" w:sz="8" w:color="auto"/>
            </w:tcBorders>
          </w:tcPr>
          <w:p>
            <w:pPr>
              <w:spacing w:after="0"/>
              <w:rPr>
                <w:sz w:val="10"/>
                <w:szCs w:val="10"/>
                <w:color w:val="auto"/>
              </w:rPr>
            </w:pPr>
          </w:p>
        </w:tc>
      </w:tr>
      <w:tr>
        <w:trPr>
          <w:trHeight w:val="135"/>
        </w:trPr>
        <w:tc>
          <w:tcPr>
            <w:tcW w:w="3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20" w:type="dxa"/>
            <w:vAlign w:val="bottom"/>
            <w:gridSpan w:val="3"/>
          </w:tcPr>
          <w:p>
            <w:pPr>
              <w:jc w:val="right"/>
              <w:ind w:right="460"/>
              <w:spacing w:after="0" w:line="135" w:lineRule="exact"/>
              <w:rPr>
                <w:sz w:val="20"/>
                <w:szCs w:val="20"/>
                <w:color w:val="auto"/>
              </w:rPr>
            </w:pPr>
            <w:r>
              <w:rPr>
                <w:rFonts w:ascii="Arial" w:cs="Arial" w:eastAsia="Arial" w:hAnsi="Arial"/>
                <w:sz w:val="13"/>
                <w:szCs w:val="13"/>
                <w:color w:val="auto"/>
                <w:w w:val="87"/>
              </w:rPr>
              <w:t>performance</w:t>
            </w:r>
          </w:p>
        </w:tc>
        <w:tc>
          <w:tcPr>
            <w:tcW w:w="1620" w:type="dxa"/>
            <w:vAlign w:val="bottom"/>
            <w:gridSpan w:val="4"/>
          </w:tcPr>
          <w:p>
            <w:pPr>
              <w:jc w:val="right"/>
              <w:ind w:right="460"/>
              <w:spacing w:after="0" w:line="135" w:lineRule="exact"/>
              <w:rPr>
                <w:sz w:val="20"/>
                <w:szCs w:val="20"/>
                <w:color w:val="auto"/>
              </w:rPr>
            </w:pPr>
            <w:r>
              <w:rPr>
                <w:rFonts w:ascii="Arial" w:cs="Arial" w:eastAsia="Arial" w:hAnsi="Arial"/>
                <w:sz w:val="13"/>
                <w:szCs w:val="13"/>
                <w:color w:val="auto"/>
              </w:rPr>
              <w:t>performance</w:t>
            </w:r>
          </w:p>
        </w:tc>
        <w:tc>
          <w:tcPr>
            <w:tcW w:w="1620" w:type="dxa"/>
            <w:vAlign w:val="bottom"/>
            <w:gridSpan w:val="4"/>
          </w:tcPr>
          <w:p>
            <w:pPr>
              <w:jc w:val="right"/>
              <w:ind w:right="460"/>
              <w:spacing w:after="0" w:line="135" w:lineRule="exact"/>
              <w:rPr>
                <w:sz w:val="20"/>
                <w:szCs w:val="20"/>
                <w:color w:val="auto"/>
              </w:rPr>
            </w:pPr>
            <w:r>
              <w:rPr>
                <w:rFonts w:ascii="Arial" w:cs="Arial" w:eastAsia="Arial" w:hAnsi="Arial"/>
                <w:sz w:val="13"/>
                <w:szCs w:val="13"/>
                <w:color w:val="auto"/>
              </w:rPr>
              <w:t>performance</w:t>
            </w:r>
          </w:p>
        </w:tc>
        <w:tc>
          <w:tcPr>
            <w:tcW w:w="1620" w:type="dxa"/>
            <w:vAlign w:val="bottom"/>
            <w:gridSpan w:val="4"/>
          </w:tcPr>
          <w:p>
            <w:pPr>
              <w:jc w:val="right"/>
              <w:ind w:right="460"/>
              <w:spacing w:after="0" w:line="135" w:lineRule="exact"/>
              <w:rPr>
                <w:sz w:val="20"/>
                <w:szCs w:val="20"/>
                <w:color w:val="auto"/>
              </w:rPr>
            </w:pPr>
            <w:r>
              <w:rPr>
                <w:rFonts w:ascii="Arial" w:cs="Arial" w:eastAsia="Arial" w:hAnsi="Arial"/>
                <w:sz w:val="13"/>
                <w:szCs w:val="13"/>
                <w:color w:val="auto"/>
              </w:rPr>
              <w:t>performance</w:t>
            </w:r>
          </w:p>
        </w:tc>
        <w:tc>
          <w:tcPr>
            <w:tcW w:w="660" w:type="dxa"/>
            <w:vAlign w:val="bottom"/>
          </w:tcPr>
          <w:p>
            <w:pPr>
              <w:spacing w:after="0"/>
              <w:rPr>
                <w:sz w:val="11"/>
                <w:szCs w:val="11"/>
                <w:color w:val="auto"/>
              </w:rPr>
            </w:pPr>
          </w:p>
        </w:tc>
        <w:tc>
          <w:tcPr>
            <w:tcW w:w="900" w:type="dxa"/>
            <w:vAlign w:val="bottom"/>
          </w:tcPr>
          <w:p>
            <w:pPr>
              <w:spacing w:after="0"/>
              <w:rPr>
                <w:sz w:val="11"/>
                <w:szCs w:val="11"/>
                <w:color w:val="auto"/>
              </w:rPr>
            </w:pPr>
          </w:p>
        </w:tc>
      </w:tr>
      <w:tr>
        <w:trPr>
          <w:trHeight w:val="141"/>
        </w:trPr>
        <w:tc>
          <w:tcPr>
            <w:tcW w:w="3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120" w:type="dxa"/>
            <w:vAlign w:val="bottom"/>
            <w:gridSpan w:val="3"/>
          </w:tcPr>
          <w:p>
            <w:pPr>
              <w:ind w:left="100"/>
              <w:spacing w:after="0" w:line="141" w:lineRule="exact"/>
              <w:rPr>
                <w:sz w:val="20"/>
                <w:szCs w:val="20"/>
                <w:color w:val="auto"/>
              </w:rPr>
            </w:pPr>
            <w:r>
              <w:rPr>
                <w:rFonts w:ascii="Arial" w:cs="Arial" w:eastAsia="Arial" w:hAnsi="Arial"/>
                <w:sz w:val="13"/>
                <w:szCs w:val="13"/>
                <w:color w:val="auto"/>
              </w:rPr>
              <w:t>conditions   [B]</w:t>
            </w:r>
          </w:p>
        </w:tc>
        <w:tc>
          <w:tcPr>
            <w:tcW w:w="580" w:type="dxa"/>
            <w:vAlign w:val="bottom"/>
          </w:tcPr>
          <w:p>
            <w:pPr>
              <w:spacing w:after="0"/>
              <w:rPr>
                <w:sz w:val="12"/>
                <w:szCs w:val="12"/>
                <w:color w:val="auto"/>
              </w:rPr>
            </w:pPr>
          </w:p>
        </w:tc>
        <w:tc>
          <w:tcPr>
            <w:tcW w:w="1040" w:type="dxa"/>
            <w:vAlign w:val="bottom"/>
            <w:gridSpan w:val="3"/>
          </w:tcPr>
          <w:p>
            <w:pPr>
              <w:ind w:left="20"/>
              <w:spacing w:after="0" w:line="141" w:lineRule="exact"/>
              <w:rPr>
                <w:sz w:val="20"/>
                <w:szCs w:val="20"/>
                <w:color w:val="auto"/>
              </w:rPr>
            </w:pPr>
            <w:r>
              <w:rPr>
                <w:rFonts w:ascii="Arial" w:cs="Arial" w:eastAsia="Arial" w:hAnsi="Arial"/>
                <w:sz w:val="13"/>
                <w:szCs w:val="13"/>
                <w:color w:val="auto"/>
              </w:rPr>
              <w:t>conditions   [C]</w:t>
            </w:r>
          </w:p>
        </w:tc>
        <w:tc>
          <w:tcPr>
            <w:tcW w:w="580" w:type="dxa"/>
            <w:vAlign w:val="bottom"/>
          </w:tcPr>
          <w:p>
            <w:pPr>
              <w:spacing w:after="0"/>
              <w:rPr>
                <w:sz w:val="12"/>
                <w:szCs w:val="12"/>
                <w:color w:val="auto"/>
              </w:rPr>
            </w:pPr>
          </w:p>
        </w:tc>
        <w:tc>
          <w:tcPr>
            <w:tcW w:w="1040" w:type="dxa"/>
            <w:vAlign w:val="bottom"/>
            <w:gridSpan w:val="3"/>
          </w:tcPr>
          <w:p>
            <w:pPr>
              <w:ind w:left="20"/>
              <w:spacing w:after="0" w:line="141" w:lineRule="exact"/>
              <w:rPr>
                <w:sz w:val="20"/>
                <w:szCs w:val="20"/>
                <w:color w:val="auto"/>
              </w:rPr>
            </w:pPr>
            <w:r>
              <w:rPr>
                <w:rFonts w:ascii="Arial" w:cs="Arial" w:eastAsia="Arial" w:hAnsi="Arial"/>
                <w:sz w:val="13"/>
                <w:szCs w:val="13"/>
                <w:color w:val="auto"/>
              </w:rPr>
              <w:t>conditions   [D]</w:t>
            </w:r>
          </w:p>
        </w:tc>
        <w:tc>
          <w:tcPr>
            <w:tcW w:w="580" w:type="dxa"/>
            <w:vAlign w:val="bottom"/>
          </w:tcPr>
          <w:p>
            <w:pPr>
              <w:spacing w:after="0"/>
              <w:rPr>
                <w:sz w:val="12"/>
                <w:szCs w:val="12"/>
                <w:color w:val="auto"/>
              </w:rPr>
            </w:pPr>
          </w:p>
        </w:tc>
        <w:tc>
          <w:tcPr>
            <w:tcW w:w="1040" w:type="dxa"/>
            <w:vAlign w:val="bottom"/>
            <w:gridSpan w:val="3"/>
          </w:tcPr>
          <w:p>
            <w:pPr>
              <w:ind w:left="20"/>
              <w:spacing w:after="0" w:line="141" w:lineRule="exact"/>
              <w:rPr>
                <w:sz w:val="20"/>
                <w:szCs w:val="20"/>
                <w:color w:val="auto"/>
              </w:rPr>
            </w:pPr>
            <w:r>
              <w:rPr>
                <w:rFonts w:ascii="Arial" w:cs="Arial" w:eastAsia="Arial" w:hAnsi="Arial"/>
                <w:sz w:val="13"/>
                <w:szCs w:val="13"/>
                <w:color w:val="auto"/>
              </w:rPr>
              <w:t>conditions   [E]</w:t>
            </w:r>
          </w:p>
        </w:tc>
        <w:tc>
          <w:tcPr>
            <w:tcW w:w="660" w:type="dxa"/>
            <w:vAlign w:val="bottom"/>
          </w:tcPr>
          <w:p>
            <w:pPr>
              <w:spacing w:after="0"/>
              <w:rPr>
                <w:sz w:val="12"/>
                <w:szCs w:val="12"/>
                <w:color w:val="auto"/>
              </w:rPr>
            </w:pPr>
          </w:p>
        </w:tc>
        <w:tc>
          <w:tcPr>
            <w:tcW w:w="900" w:type="dxa"/>
            <w:vAlign w:val="bottom"/>
          </w:tcPr>
          <w:p>
            <w:pPr>
              <w:jc w:val="right"/>
              <w:spacing w:after="0" w:line="141" w:lineRule="exact"/>
              <w:rPr>
                <w:sz w:val="20"/>
                <w:szCs w:val="20"/>
                <w:color w:val="auto"/>
              </w:rPr>
            </w:pPr>
            <w:r>
              <w:rPr>
                <w:rFonts w:ascii="Arial" w:cs="Arial" w:eastAsia="Arial" w:hAnsi="Arial"/>
                <w:sz w:val="13"/>
                <w:szCs w:val="13"/>
                <w:color w:val="auto"/>
              </w:rPr>
              <w:t>Total</w:t>
            </w:r>
          </w:p>
        </w:tc>
      </w:tr>
      <w:tr>
        <w:trPr>
          <w:trHeight w:val="142"/>
        </w:trPr>
        <w:tc>
          <w:tcPr>
            <w:tcW w:w="3120" w:type="dxa"/>
            <w:vAlign w:val="bottom"/>
            <w:tcBorders>
              <w:bottom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right"/>
              <w:ind w:right="33"/>
              <w:spacing w:after="0" w:line="143" w:lineRule="exact"/>
              <w:rPr>
                <w:sz w:val="20"/>
                <w:szCs w:val="20"/>
                <w:color w:val="auto"/>
              </w:rPr>
            </w:pPr>
            <w:r>
              <w:rPr>
                <w:rFonts w:ascii="Arial" w:cs="Arial" w:eastAsia="Arial" w:hAnsi="Arial"/>
                <w:sz w:val="13"/>
                <w:szCs w:val="13"/>
                <w:color w:val="auto"/>
              </w:rPr>
              <w:t>2014</w:t>
            </w:r>
          </w:p>
        </w:tc>
        <w:tc>
          <w:tcPr>
            <w:tcW w:w="740" w:type="dxa"/>
            <w:vAlign w:val="bottom"/>
            <w:tcBorders>
              <w:top w:val="single" w:sz="8" w:color="auto"/>
              <w:bottom w:val="single" w:sz="8" w:color="auto"/>
            </w:tcBorders>
          </w:tcPr>
          <w:p>
            <w:pPr>
              <w:jc w:val="right"/>
              <w:ind w:right="13"/>
              <w:spacing w:after="0" w:line="143" w:lineRule="exact"/>
              <w:rPr>
                <w:sz w:val="20"/>
                <w:szCs w:val="20"/>
                <w:color w:val="auto"/>
              </w:rPr>
            </w:pPr>
            <w:r>
              <w:rPr>
                <w:rFonts w:ascii="Arial" w:cs="Arial" w:eastAsia="Arial" w:hAnsi="Arial"/>
                <w:sz w:val="13"/>
                <w:szCs w:val="13"/>
                <w:color w:val="auto"/>
              </w:rPr>
              <w:t>2013</w:t>
            </w:r>
          </w:p>
        </w:tc>
        <w:tc>
          <w:tcPr>
            <w:tcW w:w="280" w:type="dxa"/>
            <w:vAlign w:val="bottom"/>
            <w:tcBorders>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3"/>
              <w:spacing w:after="0" w:line="143" w:lineRule="exact"/>
              <w:rPr>
                <w:sz w:val="20"/>
                <w:szCs w:val="20"/>
                <w:color w:val="auto"/>
              </w:rPr>
            </w:pPr>
            <w:r>
              <w:rPr>
                <w:rFonts w:ascii="Arial" w:cs="Arial" w:eastAsia="Arial" w:hAnsi="Arial"/>
                <w:sz w:val="13"/>
                <w:szCs w:val="13"/>
                <w:color w:val="auto"/>
              </w:rPr>
              <w:t>2014</w:t>
            </w:r>
          </w:p>
        </w:tc>
        <w:tc>
          <w:tcPr>
            <w:tcW w:w="660" w:type="dxa"/>
            <w:vAlign w:val="bottom"/>
            <w:tcBorders>
              <w:top w:val="single" w:sz="8" w:color="auto"/>
              <w:bottom w:val="single" w:sz="8" w:color="auto"/>
            </w:tcBorders>
          </w:tcPr>
          <w:p>
            <w:pPr>
              <w:jc w:val="right"/>
              <w:ind w:right="13"/>
              <w:spacing w:after="0" w:line="143" w:lineRule="exact"/>
              <w:rPr>
                <w:sz w:val="20"/>
                <w:szCs w:val="20"/>
                <w:color w:val="auto"/>
              </w:rPr>
            </w:pPr>
            <w:r>
              <w:rPr>
                <w:rFonts w:ascii="Arial" w:cs="Arial" w:eastAsia="Arial" w:hAnsi="Arial"/>
                <w:sz w:val="13"/>
                <w:szCs w:val="13"/>
                <w:color w:val="auto"/>
              </w:rPr>
              <w:t>2013</w:t>
            </w:r>
          </w:p>
        </w:tc>
        <w:tc>
          <w:tcPr>
            <w:tcW w:w="280" w:type="dxa"/>
            <w:vAlign w:val="bottom"/>
            <w:tcBorders>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3"/>
              <w:spacing w:after="0" w:line="143" w:lineRule="exact"/>
              <w:rPr>
                <w:sz w:val="20"/>
                <w:szCs w:val="20"/>
                <w:color w:val="auto"/>
              </w:rPr>
            </w:pPr>
            <w:r>
              <w:rPr>
                <w:rFonts w:ascii="Arial" w:cs="Arial" w:eastAsia="Arial" w:hAnsi="Arial"/>
                <w:sz w:val="13"/>
                <w:szCs w:val="13"/>
                <w:color w:val="auto"/>
              </w:rPr>
              <w:t>2014</w:t>
            </w:r>
          </w:p>
        </w:tc>
        <w:tc>
          <w:tcPr>
            <w:tcW w:w="660" w:type="dxa"/>
            <w:vAlign w:val="bottom"/>
            <w:tcBorders>
              <w:top w:val="single" w:sz="8" w:color="auto"/>
              <w:bottom w:val="single" w:sz="8" w:color="auto"/>
            </w:tcBorders>
          </w:tcPr>
          <w:p>
            <w:pPr>
              <w:jc w:val="right"/>
              <w:ind w:right="13"/>
              <w:spacing w:after="0" w:line="143" w:lineRule="exact"/>
              <w:rPr>
                <w:sz w:val="20"/>
                <w:szCs w:val="20"/>
                <w:color w:val="auto"/>
              </w:rPr>
            </w:pPr>
            <w:r>
              <w:rPr>
                <w:rFonts w:ascii="Arial" w:cs="Arial" w:eastAsia="Arial" w:hAnsi="Arial"/>
                <w:sz w:val="13"/>
                <w:szCs w:val="13"/>
                <w:color w:val="auto"/>
              </w:rPr>
              <w:t>2013</w:t>
            </w:r>
          </w:p>
        </w:tc>
        <w:tc>
          <w:tcPr>
            <w:tcW w:w="280" w:type="dxa"/>
            <w:vAlign w:val="bottom"/>
            <w:tcBorders>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3"/>
              <w:spacing w:after="0" w:line="143" w:lineRule="exact"/>
              <w:rPr>
                <w:sz w:val="20"/>
                <w:szCs w:val="20"/>
                <w:color w:val="auto"/>
              </w:rPr>
            </w:pPr>
            <w:r>
              <w:rPr>
                <w:rFonts w:ascii="Arial" w:cs="Arial" w:eastAsia="Arial" w:hAnsi="Arial"/>
                <w:sz w:val="13"/>
                <w:szCs w:val="13"/>
                <w:color w:val="auto"/>
              </w:rPr>
              <w:t>2014</w:t>
            </w:r>
          </w:p>
        </w:tc>
        <w:tc>
          <w:tcPr>
            <w:tcW w:w="660" w:type="dxa"/>
            <w:vAlign w:val="bottom"/>
            <w:tcBorders>
              <w:top w:val="single" w:sz="8" w:color="auto"/>
              <w:bottom w:val="single" w:sz="8" w:color="auto"/>
            </w:tcBorders>
          </w:tcPr>
          <w:p>
            <w:pPr>
              <w:jc w:val="right"/>
              <w:ind w:right="13"/>
              <w:spacing w:after="0" w:line="143" w:lineRule="exact"/>
              <w:rPr>
                <w:sz w:val="20"/>
                <w:szCs w:val="20"/>
                <w:color w:val="auto"/>
              </w:rPr>
            </w:pPr>
            <w:r>
              <w:rPr>
                <w:rFonts w:ascii="Arial" w:cs="Arial" w:eastAsia="Arial" w:hAnsi="Arial"/>
                <w:sz w:val="13"/>
                <w:szCs w:val="13"/>
                <w:color w:val="auto"/>
              </w:rPr>
              <w:t>2013</w:t>
            </w:r>
          </w:p>
        </w:tc>
        <w:tc>
          <w:tcPr>
            <w:tcW w:w="280" w:type="dxa"/>
            <w:vAlign w:val="bottom"/>
            <w:tcBorders>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1"/>
              <w:spacing w:after="0" w:line="143" w:lineRule="exact"/>
              <w:rPr>
                <w:sz w:val="20"/>
                <w:szCs w:val="20"/>
                <w:color w:val="auto"/>
              </w:rPr>
            </w:pPr>
            <w:r>
              <w:rPr>
                <w:rFonts w:ascii="Arial" w:cs="Arial" w:eastAsia="Arial" w:hAnsi="Arial"/>
                <w:sz w:val="13"/>
                <w:szCs w:val="13"/>
                <w:color w:val="auto"/>
              </w:rPr>
              <w:t>2014</w:t>
            </w:r>
          </w:p>
        </w:tc>
        <w:tc>
          <w:tcPr>
            <w:tcW w:w="900" w:type="dxa"/>
            <w:vAlign w:val="bottom"/>
            <w:tcBorders>
              <w:top w:val="single" w:sz="8" w:color="auto"/>
              <w:bottom w:val="single" w:sz="8" w:color="auto"/>
            </w:tcBorders>
          </w:tcPr>
          <w:p>
            <w:pPr>
              <w:jc w:val="right"/>
              <w:ind w:right="153"/>
              <w:spacing w:after="0" w:line="143" w:lineRule="exact"/>
              <w:rPr>
                <w:sz w:val="20"/>
                <w:szCs w:val="20"/>
                <w:color w:val="auto"/>
              </w:rPr>
            </w:pPr>
            <w:r>
              <w:rPr>
                <w:rFonts w:ascii="Arial" w:cs="Arial" w:eastAsia="Arial" w:hAnsi="Arial"/>
                <w:sz w:val="13"/>
                <w:szCs w:val="13"/>
                <w:color w:val="auto"/>
              </w:rPr>
              <w:t>2013</w:t>
            </w:r>
          </w:p>
        </w:tc>
      </w:tr>
      <w:tr>
        <w:trPr>
          <w:trHeight w:val="156"/>
        </w:trPr>
        <w:tc>
          <w:tcPr>
            <w:tcW w:w="3120" w:type="dxa"/>
            <w:vAlign w:val="bottom"/>
          </w:tcPr>
          <w:p>
            <w:pPr>
              <w:spacing w:after="0" w:line="155" w:lineRule="exact"/>
              <w:rPr>
                <w:sz w:val="20"/>
                <w:szCs w:val="20"/>
                <w:color w:val="auto"/>
              </w:rPr>
            </w:pPr>
            <w:r>
              <w:rPr>
                <w:rFonts w:ascii="Arial" w:cs="Arial" w:eastAsia="Arial" w:hAnsi="Arial"/>
                <w:sz w:val="14"/>
                <w:szCs w:val="14"/>
                <w:color w:val="auto"/>
              </w:rPr>
              <w:t>Ben van Beurden</w:t>
            </w:r>
          </w:p>
        </w:tc>
        <w:tc>
          <w:tcPr>
            <w:tcW w:w="760" w:type="dxa"/>
            <w:vAlign w:val="bottom"/>
            <w:tcBorders>
              <w:right w:val="single" w:sz="8" w:color="D8D8D8"/>
            </w:tcBorders>
            <w:shd w:val="clear" w:color="auto" w:fill="D8D8D8"/>
          </w:tcPr>
          <w:p>
            <w:pPr>
              <w:jc w:val="right"/>
              <w:ind w:right="33"/>
              <w:spacing w:after="0" w:line="155" w:lineRule="exact"/>
              <w:rPr>
                <w:sz w:val="20"/>
                <w:szCs w:val="20"/>
                <w:color w:val="auto"/>
              </w:rPr>
            </w:pPr>
            <w:r>
              <w:rPr>
                <w:rFonts w:ascii="Arial" w:cs="Arial" w:eastAsia="Arial" w:hAnsi="Arial"/>
                <w:sz w:val="14"/>
                <w:szCs w:val="14"/>
                <w:color w:val="auto"/>
              </w:rPr>
              <w:t>216,062</w:t>
            </w:r>
          </w:p>
        </w:tc>
        <w:tc>
          <w:tcPr>
            <w:tcW w:w="1020" w:type="dxa"/>
            <w:vAlign w:val="bottom"/>
            <w:gridSpan w:val="2"/>
          </w:tcPr>
          <w:p>
            <w:pPr>
              <w:jc w:val="right"/>
              <w:ind w:right="360"/>
              <w:spacing w:after="0" w:line="155" w:lineRule="exact"/>
              <w:rPr>
                <w:sz w:val="20"/>
                <w:szCs w:val="20"/>
                <w:color w:val="auto"/>
              </w:rPr>
            </w:pPr>
            <w:r>
              <w:rPr>
                <w:rFonts w:ascii="Arial" w:cs="Arial" w:eastAsia="Arial" w:hAnsi="Arial"/>
                <w:sz w:val="14"/>
                <w:szCs w:val="14"/>
                <w:color w:val="auto"/>
              </w:rPr>
              <w:t>–</w:t>
            </w:r>
          </w:p>
        </w:tc>
        <w:tc>
          <w:tcPr>
            <w:tcW w:w="100" w:type="dxa"/>
            <w:vAlign w:val="bottom"/>
            <w:shd w:val="clear" w:color="auto" w:fill="D8D8D8"/>
          </w:tcPr>
          <w:p>
            <w:pPr>
              <w:spacing w:after="0"/>
              <w:rPr>
                <w:sz w:val="13"/>
                <w:szCs w:val="13"/>
                <w:color w:val="auto"/>
              </w:rPr>
            </w:pPr>
          </w:p>
        </w:tc>
        <w:tc>
          <w:tcPr>
            <w:tcW w:w="580" w:type="dxa"/>
            <w:vAlign w:val="bottom"/>
            <w:shd w:val="clear" w:color="auto" w:fill="D8D8D8"/>
          </w:tcPr>
          <w:p>
            <w:pPr>
              <w:jc w:val="right"/>
              <w:ind w:right="13"/>
              <w:spacing w:after="0" w:line="155" w:lineRule="exact"/>
              <w:rPr>
                <w:sz w:val="20"/>
                <w:szCs w:val="20"/>
                <w:color w:val="auto"/>
              </w:rPr>
            </w:pPr>
            <w:r>
              <w:rPr>
                <w:rFonts w:ascii="Arial" w:cs="Arial" w:eastAsia="Arial" w:hAnsi="Arial"/>
                <w:sz w:val="14"/>
                <w:szCs w:val="14"/>
                <w:color w:val="auto"/>
              </w:rPr>
              <w:t>13,087</w:t>
            </w:r>
          </w:p>
        </w:tc>
        <w:tc>
          <w:tcPr>
            <w:tcW w:w="940" w:type="dxa"/>
            <w:vAlign w:val="bottom"/>
            <w:gridSpan w:val="2"/>
          </w:tcPr>
          <w:p>
            <w:pPr>
              <w:jc w:val="right"/>
              <w:ind w:right="360"/>
              <w:spacing w:after="0" w:line="155" w:lineRule="exact"/>
              <w:rPr>
                <w:sz w:val="20"/>
                <w:szCs w:val="20"/>
                <w:color w:val="auto"/>
              </w:rPr>
            </w:pPr>
            <w:r>
              <w:rPr>
                <w:rFonts w:ascii="Arial" w:cs="Arial" w:eastAsia="Arial" w:hAnsi="Arial"/>
                <w:sz w:val="14"/>
                <w:szCs w:val="14"/>
                <w:color w:val="auto"/>
              </w:rPr>
              <w:t>–</w:t>
            </w:r>
          </w:p>
        </w:tc>
        <w:tc>
          <w:tcPr>
            <w:tcW w:w="100" w:type="dxa"/>
            <w:vAlign w:val="bottom"/>
            <w:shd w:val="clear" w:color="auto" w:fill="D8D8D8"/>
          </w:tcPr>
          <w:p>
            <w:pPr>
              <w:spacing w:after="0"/>
              <w:rPr>
                <w:sz w:val="13"/>
                <w:szCs w:val="13"/>
                <w:color w:val="auto"/>
              </w:rPr>
            </w:pPr>
          </w:p>
        </w:tc>
        <w:tc>
          <w:tcPr>
            <w:tcW w:w="580" w:type="dxa"/>
            <w:vAlign w:val="bottom"/>
            <w:shd w:val="clear" w:color="auto" w:fill="D8D8D8"/>
          </w:tcPr>
          <w:p>
            <w:pPr>
              <w:jc w:val="right"/>
              <w:ind w:right="13"/>
              <w:spacing w:after="0" w:line="155" w:lineRule="exact"/>
              <w:rPr>
                <w:sz w:val="20"/>
                <w:szCs w:val="20"/>
                <w:color w:val="auto"/>
              </w:rPr>
            </w:pPr>
            <w:r>
              <w:rPr>
                <w:rFonts w:ascii="Arial" w:cs="Arial" w:eastAsia="Arial" w:hAnsi="Arial"/>
                <w:sz w:val="14"/>
                <w:szCs w:val="14"/>
                <w:color w:val="auto"/>
              </w:rPr>
              <w:t>6,544</w:t>
            </w:r>
          </w:p>
        </w:tc>
        <w:tc>
          <w:tcPr>
            <w:tcW w:w="940" w:type="dxa"/>
            <w:vAlign w:val="bottom"/>
            <w:gridSpan w:val="2"/>
          </w:tcPr>
          <w:p>
            <w:pPr>
              <w:jc w:val="right"/>
              <w:ind w:right="360"/>
              <w:spacing w:after="0" w:line="155" w:lineRule="exact"/>
              <w:rPr>
                <w:sz w:val="20"/>
                <w:szCs w:val="20"/>
                <w:color w:val="auto"/>
              </w:rPr>
            </w:pPr>
            <w:r>
              <w:rPr>
                <w:rFonts w:ascii="Arial" w:cs="Arial" w:eastAsia="Arial" w:hAnsi="Arial"/>
                <w:sz w:val="14"/>
                <w:szCs w:val="14"/>
                <w:color w:val="auto"/>
              </w:rPr>
              <w:t>–</w:t>
            </w:r>
          </w:p>
        </w:tc>
        <w:tc>
          <w:tcPr>
            <w:tcW w:w="100" w:type="dxa"/>
            <w:vAlign w:val="bottom"/>
            <w:shd w:val="clear" w:color="auto" w:fill="D8D8D8"/>
          </w:tcPr>
          <w:p>
            <w:pPr>
              <w:spacing w:after="0"/>
              <w:rPr>
                <w:sz w:val="13"/>
                <w:szCs w:val="13"/>
                <w:color w:val="auto"/>
              </w:rPr>
            </w:pPr>
          </w:p>
        </w:tc>
        <w:tc>
          <w:tcPr>
            <w:tcW w:w="580" w:type="dxa"/>
            <w:vAlign w:val="bottom"/>
            <w:shd w:val="clear" w:color="auto" w:fill="D8D8D8"/>
          </w:tcPr>
          <w:p>
            <w:pPr>
              <w:jc w:val="right"/>
              <w:ind w:right="13"/>
              <w:spacing w:after="0" w:line="155" w:lineRule="exact"/>
              <w:rPr>
                <w:sz w:val="20"/>
                <w:szCs w:val="20"/>
                <w:color w:val="auto"/>
              </w:rPr>
            </w:pPr>
            <w:r>
              <w:rPr>
                <w:rFonts w:ascii="Arial" w:cs="Arial" w:eastAsia="Arial" w:hAnsi="Arial"/>
                <w:sz w:val="14"/>
                <w:szCs w:val="14"/>
                <w:color w:val="auto"/>
              </w:rPr>
              <w:t>30,289</w:t>
            </w:r>
          </w:p>
        </w:tc>
        <w:tc>
          <w:tcPr>
            <w:tcW w:w="660" w:type="dxa"/>
            <w:vAlign w:val="bottom"/>
          </w:tcPr>
          <w:p>
            <w:pPr>
              <w:jc w:val="right"/>
              <w:ind w:right="13"/>
              <w:spacing w:after="0" w:line="155" w:lineRule="exact"/>
              <w:rPr>
                <w:sz w:val="20"/>
                <w:szCs w:val="20"/>
                <w:color w:val="auto"/>
              </w:rPr>
            </w:pPr>
            <w:r>
              <w:rPr>
                <w:rFonts w:ascii="Arial" w:cs="Arial" w:eastAsia="Arial" w:hAnsi="Arial"/>
                <w:sz w:val="14"/>
                <w:szCs w:val="14"/>
                <w:color w:val="auto"/>
              </w:rPr>
              <w:t>28,828</w:t>
            </w:r>
          </w:p>
        </w:tc>
        <w:tc>
          <w:tcPr>
            <w:tcW w:w="280" w:type="dxa"/>
            <w:vAlign w:val="bottom"/>
          </w:tcPr>
          <w:p>
            <w:pPr>
              <w:spacing w:after="0"/>
              <w:rPr>
                <w:sz w:val="13"/>
                <w:szCs w:val="13"/>
                <w:color w:val="auto"/>
              </w:rPr>
            </w:pPr>
          </w:p>
        </w:tc>
        <w:tc>
          <w:tcPr>
            <w:tcW w:w="100" w:type="dxa"/>
            <w:vAlign w:val="bottom"/>
            <w:shd w:val="clear" w:color="auto" w:fill="D8D8D8"/>
          </w:tcPr>
          <w:p>
            <w:pPr>
              <w:spacing w:after="0"/>
              <w:rPr>
                <w:sz w:val="13"/>
                <w:szCs w:val="13"/>
                <w:color w:val="auto"/>
              </w:rPr>
            </w:pPr>
          </w:p>
        </w:tc>
        <w:tc>
          <w:tcPr>
            <w:tcW w:w="660" w:type="dxa"/>
            <w:vAlign w:val="bottom"/>
            <w:shd w:val="clear" w:color="auto" w:fill="D8D8D8"/>
          </w:tcPr>
          <w:p>
            <w:pPr>
              <w:jc w:val="right"/>
              <w:ind w:right="11"/>
              <w:spacing w:after="0" w:line="155" w:lineRule="exact"/>
              <w:rPr>
                <w:sz w:val="20"/>
                <w:szCs w:val="20"/>
                <w:color w:val="auto"/>
              </w:rPr>
            </w:pPr>
            <w:r>
              <w:rPr>
                <w:rFonts w:ascii="Arial" w:cs="Arial" w:eastAsia="Arial" w:hAnsi="Arial"/>
                <w:sz w:val="14"/>
                <w:szCs w:val="14"/>
                <w:color w:val="auto"/>
              </w:rPr>
              <w:t>265,982</w:t>
            </w:r>
          </w:p>
        </w:tc>
        <w:tc>
          <w:tcPr>
            <w:tcW w:w="900" w:type="dxa"/>
            <w:vAlign w:val="bottom"/>
          </w:tcPr>
          <w:p>
            <w:pPr>
              <w:jc w:val="right"/>
              <w:ind w:right="153"/>
              <w:spacing w:after="0" w:line="155" w:lineRule="exact"/>
              <w:rPr>
                <w:sz w:val="20"/>
                <w:szCs w:val="20"/>
                <w:color w:val="auto"/>
              </w:rPr>
            </w:pPr>
            <w:r>
              <w:rPr>
                <w:rFonts w:ascii="Arial" w:cs="Arial" w:eastAsia="Arial" w:hAnsi="Arial"/>
                <w:sz w:val="14"/>
                <w:szCs w:val="14"/>
                <w:color w:val="auto"/>
              </w:rPr>
              <w:t>28,828</w:t>
            </w:r>
          </w:p>
        </w:tc>
      </w:tr>
      <w:tr>
        <w:trPr>
          <w:trHeight w:val="162"/>
        </w:trPr>
        <w:tc>
          <w:tcPr>
            <w:tcW w:w="312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Simon Henry</w:t>
            </w:r>
          </w:p>
        </w:tc>
        <w:tc>
          <w:tcPr>
            <w:tcW w:w="760" w:type="dxa"/>
            <w:vAlign w:val="bottom"/>
            <w:tcBorders>
              <w:bottom w:val="single" w:sz="8" w:color="auto"/>
              <w:right w:val="single" w:sz="8" w:color="D8D8D8"/>
            </w:tcBorders>
            <w:shd w:val="clear" w:color="auto" w:fill="D8D8D8"/>
          </w:tcPr>
          <w:p>
            <w:pPr>
              <w:jc w:val="right"/>
              <w:ind w:right="33"/>
              <w:spacing w:after="0"/>
              <w:rPr>
                <w:sz w:val="20"/>
                <w:szCs w:val="20"/>
                <w:color w:val="auto"/>
              </w:rPr>
            </w:pPr>
            <w:r>
              <w:rPr>
                <w:rFonts w:ascii="Arial" w:cs="Arial" w:eastAsia="Arial" w:hAnsi="Arial"/>
                <w:sz w:val="14"/>
                <w:szCs w:val="14"/>
                <w:color w:val="auto"/>
                <w:highlight w:val="lightGray"/>
              </w:rPr>
              <w:t>288,957</w:t>
            </w:r>
          </w:p>
        </w:tc>
        <w:tc>
          <w:tcPr>
            <w:tcW w:w="740" w:type="dxa"/>
            <w:vAlign w:val="bottom"/>
            <w:tcBorders>
              <w:bottom w:val="single" w:sz="8" w:color="auto"/>
            </w:tcBorders>
          </w:tcPr>
          <w:p>
            <w:pPr>
              <w:jc w:val="right"/>
              <w:ind w:right="13"/>
              <w:spacing w:after="0"/>
              <w:rPr>
                <w:sz w:val="20"/>
                <w:szCs w:val="20"/>
                <w:color w:val="auto"/>
              </w:rPr>
            </w:pPr>
            <w:r>
              <w:rPr>
                <w:rFonts w:ascii="Arial" w:cs="Arial" w:eastAsia="Arial" w:hAnsi="Arial"/>
                <w:sz w:val="14"/>
                <w:szCs w:val="14"/>
                <w:color w:val="auto"/>
              </w:rPr>
              <w:t>283,222</w:t>
            </w:r>
          </w:p>
        </w:tc>
        <w:tc>
          <w:tcPr>
            <w:tcW w:w="2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shd w:val="clear" w:color="auto" w:fill="D8D8D8"/>
          </w:tcPr>
          <w:p>
            <w:pPr>
              <w:spacing w:after="0"/>
              <w:rPr>
                <w:sz w:val="14"/>
                <w:szCs w:val="14"/>
                <w:color w:val="auto"/>
              </w:rPr>
            </w:pPr>
          </w:p>
        </w:tc>
        <w:tc>
          <w:tcPr>
            <w:tcW w:w="580" w:type="dxa"/>
            <w:vAlign w:val="bottom"/>
            <w:tcBorders>
              <w:bottom w:val="single" w:sz="8" w:color="auto"/>
            </w:tcBorders>
            <w:shd w:val="clear" w:color="auto" w:fill="D8D8D8"/>
          </w:tcPr>
          <w:p>
            <w:pPr>
              <w:jc w:val="right"/>
              <w:ind w:right="13"/>
              <w:spacing w:after="0"/>
              <w:rPr>
                <w:sz w:val="20"/>
                <w:szCs w:val="20"/>
                <w:color w:val="auto"/>
              </w:rPr>
            </w:pPr>
            <w:r>
              <w:rPr>
                <w:rFonts w:ascii="Arial" w:cs="Arial" w:eastAsia="Arial" w:hAnsi="Arial"/>
                <w:sz w:val="14"/>
                <w:szCs w:val="14"/>
                <w:color w:val="auto"/>
                <w:highlight w:val="lightGray"/>
              </w:rPr>
              <w:t>80,734</w:t>
            </w:r>
          </w:p>
        </w:tc>
        <w:tc>
          <w:tcPr>
            <w:tcW w:w="660" w:type="dxa"/>
            <w:vAlign w:val="bottom"/>
            <w:tcBorders>
              <w:bottom w:val="single" w:sz="8" w:color="auto"/>
            </w:tcBorders>
          </w:tcPr>
          <w:p>
            <w:pPr>
              <w:jc w:val="right"/>
              <w:ind w:right="13"/>
              <w:spacing w:after="0"/>
              <w:rPr>
                <w:sz w:val="20"/>
                <w:szCs w:val="20"/>
                <w:color w:val="auto"/>
              </w:rPr>
            </w:pPr>
            <w:r>
              <w:rPr>
                <w:rFonts w:ascii="Arial" w:cs="Arial" w:eastAsia="Arial" w:hAnsi="Arial"/>
                <w:sz w:val="14"/>
                <w:szCs w:val="14"/>
                <w:color w:val="auto"/>
              </w:rPr>
              <w:t>95,366</w:t>
            </w:r>
          </w:p>
        </w:tc>
        <w:tc>
          <w:tcPr>
            <w:tcW w:w="2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shd w:val="clear" w:color="auto" w:fill="D8D8D8"/>
          </w:tcPr>
          <w:p>
            <w:pPr>
              <w:spacing w:after="0"/>
              <w:rPr>
                <w:sz w:val="14"/>
                <w:szCs w:val="14"/>
                <w:color w:val="auto"/>
              </w:rPr>
            </w:pPr>
          </w:p>
        </w:tc>
        <w:tc>
          <w:tcPr>
            <w:tcW w:w="580" w:type="dxa"/>
            <w:vAlign w:val="bottom"/>
            <w:tcBorders>
              <w:bottom w:val="single" w:sz="8" w:color="auto"/>
            </w:tcBorders>
            <w:shd w:val="clear" w:color="auto" w:fill="D8D8D8"/>
          </w:tcPr>
          <w:p>
            <w:pPr>
              <w:jc w:val="right"/>
              <w:ind w:right="13"/>
              <w:spacing w:after="0"/>
              <w:rPr>
                <w:sz w:val="20"/>
                <w:szCs w:val="20"/>
                <w:color w:val="auto"/>
              </w:rPr>
            </w:pPr>
            <w:r>
              <w:rPr>
                <w:rFonts w:ascii="Arial" w:cs="Arial" w:eastAsia="Arial" w:hAnsi="Arial"/>
                <w:sz w:val="14"/>
                <w:szCs w:val="14"/>
                <w:color w:val="auto"/>
                <w:highlight w:val="lightGray"/>
              </w:rPr>
              <w:t>40,367</w:t>
            </w:r>
          </w:p>
        </w:tc>
        <w:tc>
          <w:tcPr>
            <w:tcW w:w="660" w:type="dxa"/>
            <w:vAlign w:val="bottom"/>
            <w:tcBorders>
              <w:bottom w:val="single" w:sz="8" w:color="auto"/>
            </w:tcBorders>
          </w:tcPr>
          <w:p>
            <w:pPr>
              <w:jc w:val="right"/>
              <w:ind w:right="13"/>
              <w:spacing w:after="0"/>
              <w:rPr>
                <w:sz w:val="20"/>
                <w:szCs w:val="20"/>
                <w:color w:val="auto"/>
              </w:rPr>
            </w:pPr>
            <w:r>
              <w:rPr>
                <w:rFonts w:ascii="Arial" w:cs="Arial" w:eastAsia="Arial" w:hAnsi="Arial"/>
                <w:sz w:val="14"/>
                <w:szCs w:val="14"/>
                <w:color w:val="auto"/>
              </w:rPr>
              <w:t>47,683</w:t>
            </w:r>
          </w:p>
        </w:tc>
        <w:tc>
          <w:tcPr>
            <w:tcW w:w="2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shd w:val="clear" w:color="auto" w:fill="D8D8D8"/>
          </w:tcPr>
          <w:p>
            <w:pPr>
              <w:spacing w:after="0"/>
              <w:rPr>
                <w:sz w:val="14"/>
                <w:szCs w:val="14"/>
                <w:color w:val="auto"/>
              </w:rPr>
            </w:pPr>
          </w:p>
        </w:tc>
        <w:tc>
          <w:tcPr>
            <w:tcW w:w="580" w:type="dxa"/>
            <w:vAlign w:val="bottom"/>
            <w:tcBorders>
              <w:bottom w:val="single" w:sz="8" w:color="auto"/>
            </w:tcBorders>
            <w:shd w:val="clear" w:color="auto" w:fill="D8D8D8"/>
          </w:tcPr>
          <w:p>
            <w:pPr>
              <w:jc w:val="right"/>
              <w:ind w:right="13"/>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gridSpan w:val="2"/>
          </w:tcPr>
          <w:p>
            <w:pPr>
              <w:jc w:val="right"/>
              <w:ind w:right="36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auto"/>
            </w:tcBorders>
            <w:shd w:val="clear" w:color="auto" w:fill="D8D8D8"/>
          </w:tcPr>
          <w:p>
            <w:pPr>
              <w:spacing w:after="0"/>
              <w:rPr>
                <w:sz w:val="14"/>
                <w:szCs w:val="14"/>
                <w:color w:val="auto"/>
              </w:rPr>
            </w:pPr>
          </w:p>
        </w:tc>
        <w:tc>
          <w:tcPr>
            <w:tcW w:w="660" w:type="dxa"/>
            <w:vAlign w:val="bottom"/>
            <w:tcBorders>
              <w:bottom w:val="single" w:sz="8" w:color="auto"/>
            </w:tcBorders>
            <w:shd w:val="clear" w:color="auto" w:fill="D8D8D8"/>
          </w:tcPr>
          <w:p>
            <w:pPr>
              <w:jc w:val="right"/>
              <w:ind w:right="11"/>
              <w:spacing w:after="0"/>
              <w:rPr>
                <w:sz w:val="20"/>
                <w:szCs w:val="20"/>
                <w:color w:val="auto"/>
              </w:rPr>
            </w:pPr>
            <w:r>
              <w:rPr>
                <w:rFonts w:ascii="Arial" w:cs="Arial" w:eastAsia="Arial" w:hAnsi="Arial"/>
                <w:sz w:val="14"/>
                <w:szCs w:val="14"/>
                <w:color w:val="auto"/>
                <w:highlight w:val="lightGray"/>
              </w:rPr>
              <w:t>410,058</w:t>
            </w:r>
          </w:p>
        </w:tc>
        <w:tc>
          <w:tcPr>
            <w:tcW w:w="900" w:type="dxa"/>
            <w:vAlign w:val="bottom"/>
            <w:tcBorders>
              <w:bottom w:val="single" w:sz="8" w:color="auto"/>
            </w:tcBorders>
          </w:tcPr>
          <w:p>
            <w:pPr>
              <w:jc w:val="right"/>
              <w:ind w:right="153"/>
              <w:spacing w:after="0"/>
              <w:rPr>
                <w:sz w:val="20"/>
                <w:szCs w:val="20"/>
                <w:color w:val="auto"/>
              </w:rPr>
            </w:pPr>
            <w:r>
              <w:rPr>
                <w:rFonts w:ascii="Arial" w:cs="Arial" w:eastAsia="Arial" w:hAnsi="Arial"/>
                <w:sz w:val="14"/>
                <w:szCs w:val="14"/>
                <w:color w:val="auto"/>
              </w:rPr>
              <w:t>426,271</w:t>
            </w:r>
          </w:p>
        </w:tc>
      </w:tr>
    </w:tbl>
    <w:p>
      <w:pPr>
        <w:spacing w:after="0" w:line="37" w:lineRule="exact"/>
        <w:rPr>
          <w:sz w:val="20"/>
          <w:szCs w:val="20"/>
          <w:color w:val="auto"/>
        </w:rPr>
      </w:pPr>
    </w:p>
    <w:p>
      <w:pPr>
        <w:ind w:right="140" w:firstLine="8"/>
        <w:spacing w:after="0" w:line="230" w:lineRule="auto"/>
        <w:tabs>
          <w:tab w:leader="none" w:pos="162" w:val="left"/>
        </w:tabs>
        <w:numPr>
          <w:ilvl w:val="0"/>
          <w:numId w:val="106"/>
        </w:numPr>
        <w:rPr>
          <w:rFonts w:ascii="Arial" w:cs="Arial" w:eastAsia="Arial" w:hAnsi="Arial"/>
          <w:sz w:val="11"/>
          <w:szCs w:val="11"/>
          <w:color w:val="auto"/>
        </w:rPr>
      </w:pPr>
      <w:r>
        <w:rPr>
          <w:rFonts w:ascii="Arial" w:cs="Arial" w:eastAsia="Arial" w:hAnsi="Arial"/>
          <w:sz w:val="11"/>
          <w:szCs w:val="11"/>
          <w:color w:val="auto"/>
        </w:rPr>
        <w:t>Includes unvested long-term incentive awards and notional dividend shares accrued at December 31. Interests are shown on the basis of the original awards. The shares subject to performance conditions can vest at between 0% and 200%. Dividend shares accumulate each year on an assumed notional LTIP/DBP award. Such dividend shares are disclosed and recorded on the basis of the number of shares conditionally awarded but, when an award vests, dividend shares will be awarded only in relation to vested shares as if the vested shares were held from the award date. Shares released during the year are included in the “Directors’ share interests” table.</w:t>
      </w:r>
    </w:p>
    <w:p>
      <w:pPr>
        <w:spacing w:after="0" w:line="1" w:lineRule="exact"/>
        <w:rPr>
          <w:rFonts w:ascii="Arial" w:cs="Arial" w:eastAsia="Arial" w:hAnsi="Arial"/>
          <w:sz w:val="11"/>
          <w:szCs w:val="11"/>
          <w:color w:val="auto"/>
        </w:rPr>
      </w:pPr>
    </w:p>
    <w:p>
      <w:pPr>
        <w:ind w:left="180" w:hanging="172"/>
        <w:spacing w:after="0" w:line="230" w:lineRule="auto"/>
        <w:tabs>
          <w:tab w:leader="none" w:pos="180" w:val="left"/>
        </w:tabs>
        <w:numPr>
          <w:ilvl w:val="0"/>
          <w:numId w:val="106"/>
        </w:numPr>
        <w:rPr>
          <w:rFonts w:ascii="Arial" w:cs="Arial" w:eastAsia="Arial" w:hAnsi="Arial"/>
          <w:sz w:val="11"/>
          <w:szCs w:val="11"/>
          <w:color w:val="auto"/>
        </w:rPr>
      </w:pPr>
      <w:r>
        <w:rPr>
          <w:rFonts w:ascii="Arial" w:cs="Arial" w:eastAsia="Arial" w:hAnsi="Arial"/>
          <w:sz w:val="11"/>
          <w:szCs w:val="11"/>
          <w:color w:val="auto"/>
        </w:rPr>
        <w:t>Total number of unvested LTIP shares at December 31, including dividend shares accrued on the original LTIP award.</w:t>
      </w:r>
    </w:p>
    <w:p>
      <w:pPr>
        <w:ind w:right="400" w:firstLine="8"/>
        <w:spacing w:after="0" w:line="230" w:lineRule="auto"/>
        <w:tabs>
          <w:tab w:leader="none" w:pos="168" w:val="left"/>
        </w:tabs>
        <w:numPr>
          <w:ilvl w:val="0"/>
          <w:numId w:val="106"/>
        </w:numPr>
        <w:rPr>
          <w:rFonts w:ascii="Arial" w:cs="Arial" w:eastAsia="Arial" w:hAnsi="Arial"/>
          <w:sz w:val="11"/>
          <w:szCs w:val="11"/>
          <w:color w:val="auto"/>
        </w:rPr>
      </w:pPr>
      <w:r>
        <w:rPr>
          <w:rFonts w:ascii="Arial" w:cs="Arial" w:eastAsia="Arial" w:hAnsi="Arial"/>
          <w:sz w:val="11"/>
          <w:szCs w:val="11"/>
          <w:color w:val="auto"/>
        </w:rPr>
        <w:t>The number of shares deferred from the bonus (original DBP award) and the dividend shares accrued on these at December 31, 2014. Delivery of the original DBP award and the related accrued dividend shares is not subject to performance conditions.</w:t>
      </w:r>
    </w:p>
    <w:p>
      <w:pPr>
        <w:ind w:right="380" w:firstLine="8"/>
        <w:spacing w:after="0" w:line="230" w:lineRule="auto"/>
        <w:tabs>
          <w:tab w:leader="none" w:pos="168" w:val="left"/>
        </w:tabs>
        <w:numPr>
          <w:ilvl w:val="0"/>
          <w:numId w:val="106"/>
        </w:numPr>
        <w:rPr>
          <w:rFonts w:ascii="Arial" w:cs="Arial" w:eastAsia="Arial" w:hAnsi="Arial"/>
          <w:sz w:val="11"/>
          <w:szCs w:val="11"/>
          <w:color w:val="auto"/>
        </w:rPr>
      </w:pPr>
      <w:r>
        <w:rPr>
          <w:rFonts w:ascii="Arial" w:cs="Arial" w:eastAsia="Arial" w:hAnsi="Arial"/>
          <w:sz w:val="11"/>
          <w:szCs w:val="11"/>
          <w:color w:val="auto"/>
        </w:rPr>
        <w:t>The target number of performance matching shares, which correspond to the original DBP award. In accordance with the operation of the DBP, half of the shares from the bonus deferral are matchable with performance matching shares. The actual number of performance matching shares will be determined at vesting on the same basis as the LTIP vesting.</w:t>
      </w:r>
    </w:p>
    <w:p>
      <w:pPr>
        <w:ind w:left="180" w:hanging="172"/>
        <w:spacing w:after="0"/>
        <w:tabs>
          <w:tab w:leader="none" w:pos="180" w:val="left"/>
        </w:tabs>
        <w:numPr>
          <w:ilvl w:val="0"/>
          <w:numId w:val="106"/>
        </w:numPr>
        <w:rPr>
          <w:rFonts w:ascii="Arial" w:cs="Arial" w:eastAsia="Arial" w:hAnsi="Arial"/>
          <w:sz w:val="11"/>
          <w:szCs w:val="11"/>
          <w:color w:val="auto"/>
        </w:rPr>
      </w:pPr>
      <w:r>
        <w:rPr>
          <w:rFonts w:ascii="Arial" w:cs="Arial" w:eastAsia="Arial" w:hAnsi="Arial"/>
          <w:sz w:val="11"/>
          <w:szCs w:val="11"/>
          <w:color w:val="auto"/>
        </w:rPr>
        <w:t>Total number of unvested PSP shares at December 31, including dividend shares accrued on the original award.</w:t>
      </w:r>
    </w:p>
    <w:p>
      <w:pPr>
        <w:sectPr>
          <w:pgSz w:w="11900" w:h="16838" w:orient="portrait"/>
          <w:cols w:equalWidth="0" w:num="1">
            <w:col w:w="11420"/>
          </w:cols>
          <w:pgMar w:left="240" w:top="459" w:right="239" w:bottom="1440" w:gutter="0" w:footer="0" w:header="0"/>
          <w:type w:val="continuous"/>
        </w:sectPr>
      </w:pPr>
    </w:p>
    <w:p>
      <w:pPr>
        <w:spacing w:after="0" w:line="247" w:lineRule="exact"/>
        <w:rPr>
          <w:sz w:val="20"/>
          <w:szCs w:val="20"/>
          <w:color w:val="auto"/>
        </w:rPr>
      </w:pPr>
    </w:p>
    <w:p>
      <w:pPr>
        <w:ind w:left="80"/>
        <w:spacing w:after="0"/>
        <w:rPr>
          <w:sz w:val="20"/>
          <w:szCs w:val="20"/>
          <w:color w:val="auto"/>
        </w:rPr>
      </w:pPr>
      <w:r>
        <w:rPr>
          <w:rFonts w:ascii="Arial" w:cs="Arial" w:eastAsia="Arial" w:hAnsi="Arial"/>
          <w:sz w:val="15"/>
          <w:szCs w:val="15"/>
          <w:b w:val="1"/>
          <w:bCs w:val="1"/>
          <w:color w:val="FFFFFF"/>
        </w:rPr>
        <w:t xml:space="preserve">EXECUTIVE DIRECTORS’ SHAREHOLDING </w:t>
      </w:r>
      <w:r>
        <w:rPr>
          <w:rFonts w:ascii="Arial" w:cs="Arial" w:eastAsia="Arial" w:hAnsi="Arial"/>
          <w:sz w:val="15"/>
          <w:szCs w:val="15"/>
          <w:color w:val="FFFFFF"/>
        </w:rPr>
        <w:t>(AUDITED)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-95250</wp:posOffset>
            </wp:positionV>
            <wp:extent cx="3473450" cy="10287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3473450" cy="10287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40"/>
        </w:trPr>
        <w:tc>
          <w:tcPr>
            <w:tcW w:w="138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2060" w:type="dxa"/>
            <w:vAlign w:val="bottom"/>
          </w:tcPr>
          <w:p>
            <w:pPr>
              <w:jc w:val="right"/>
              <w:ind w:right="273"/>
              <w:spacing w:after="0" w:line="140" w:lineRule="exact"/>
              <w:rPr>
                <w:sz w:val="20"/>
                <w:szCs w:val="20"/>
                <w:color w:val="auto"/>
              </w:rPr>
            </w:pPr>
            <w:r>
              <w:rPr>
                <w:rFonts w:ascii="Arial" w:cs="Arial" w:eastAsia="Arial" w:hAnsi="Arial"/>
                <w:sz w:val="13"/>
                <w:szCs w:val="13"/>
                <w:color w:val="auto"/>
              </w:rPr>
              <w:t>Value of shares counting</w:t>
            </w:r>
          </w:p>
        </w:tc>
      </w:tr>
      <w:tr>
        <w:trPr>
          <w:trHeight w:val="135"/>
        </w:trPr>
        <w:tc>
          <w:tcPr>
            <w:tcW w:w="1380" w:type="dxa"/>
            <w:vAlign w:val="bottom"/>
          </w:tcPr>
          <w:p>
            <w:pPr>
              <w:spacing w:after="0"/>
              <w:rPr>
                <w:sz w:val="11"/>
                <w:szCs w:val="11"/>
                <w:color w:val="auto"/>
              </w:rPr>
            </w:pPr>
          </w:p>
        </w:tc>
        <w:tc>
          <w:tcPr>
            <w:tcW w:w="2040" w:type="dxa"/>
            <w:vAlign w:val="bottom"/>
          </w:tcPr>
          <w:p>
            <w:pPr>
              <w:jc w:val="right"/>
              <w:ind w:right="173"/>
              <w:spacing w:after="0" w:line="135" w:lineRule="exact"/>
              <w:rPr>
                <w:sz w:val="20"/>
                <w:szCs w:val="20"/>
                <w:color w:val="auto"/>
              </w:rPr>
            </w:pPr>
            <w:r>
              <w:rPr>
                <w:rFonts w:ascii="Arial" w:cs="Arial" w:eastAsia="Arial" w:hAnsi="Arial"/>
                <w:sz w:val="13"/>
                <w:szCs w:val="13"/>
                <w:color w:val="auto"/>
              </w:rPr>
              <w:t>2014 shareholding</w:t>
            </w:r>
          </w:p>
        </w:tc>
        <w:tc>
          <w:tcPr>
            <w:tcW w:w="2060" w:type="dxa"/>
            <w:vAlign w:val="bottom"/>
          </w:tcPr>
          <w:p>
            <w:pPr>
              <w:jc w:val="right"/>
              <w:ind w:right="273"/>
              <w:spacing w:after="0" w:line="135" w:lineRule="exact"/>
              <w:rPr>
                <w:sz w:val="20"/>
                <w:szCs w:val="20"/>
                <w:color w:val="auto"/>
              </w:rPr>
            </w:pPr>
            <w:r>
              <w:rPr>
                <w:rFonts w:ascii="Arial" w:cs="Arial" w:eastAsia="Arial" w:hAnsi="Arial"/>
                <w:sz w:val="13"/>
                <w:szCs w:val="13"/>
                <w:color w:val="auto"/>
              </w:rPr>
              <w:t>towards guideline (% of base</w:t>
            </w:r>
          </w:p>
        </w:tc>
      </w:tr>
      <w:tr>
        <w:trPr>
          <w:trHeight w:val="155"/>
        </w:trPr>
        <w:tc>
          <w:tcPr>
            <w:tcW w:w="1380" w:type="dxa"/>
            <w:vAlign w:val="bottom"/>
            <w:tcBorders>
              <w:bottom w:val="single" w:sz="8" w:color="auto"/>
            </w:tcBorders>
          </w:tcPr>
          <w:p>
            <w:pPr>
              <w:spacing w:after="0"/>
              <w:rPr>
                <w:sz w:val="13"/>
                <w:szCs w:val="13"/>
                <w:color w:val="auto"/>
              </w:rPr>
            </w:pPr>
          </w:p>
        </w:tc>
        <w:tc>
          <w:tcPr>
            <w:tcW w:w="2040" w:type="dxa"/>
            <w:vAlign w:val="bottom"/>
            <w:tcBorders>
              <w:bottom w:val="single" w:sz="8" w:color="auto"/>
            </w:tcBorders>
          </w:tcPr>
          <w:p>
            <w:pPr>
              <w:jc w:val="right"/>
              <w:ind w:right="13"/>
              <w:spacing w:after="0"/>
              <w:rPr>
                <w:sz w:val="20"/>
                <w:szCs w:val="20"/>
                <w:color w:val="auto"/>
              </w:rPr>
            </w:pPr>
            <w:r>
              <w:rPr>
                <w:rFonts w:ascii="Arial" w:cs="Arial" w:eastAsia="Arial" w:hAnsi="Arial"/>
                <w:sz w:val="13"/>
                <w:szCs w:val="13"/>
                <w:color w:val="auto"/>
              </w:rPr>
              <w:t>guideline (% of base salary)[A]</w:t>
            </w:r>
          </w:p>
        </w:tc>
        <w:tc>
          <w:tcPr>
            <w:tcW w:w="2060" w:type="dxa"/>
            <w:vAlign w:val="bottom"/>
            <w:tcBorders>
              <w:bottom w:val="single" w:sz="8" w:color="auto"/>
            </w:tcBorders>
          </w:tcPr>
          <w:p>
            <w:pPr>
              <w:jc w:val="right"/>
              <w:ind w:right="113"/>
              <w:spacing w:after="0"/>
              <w:rPr>
                <w:sz w:val="20"/>
                <w:szCs w:val="20"/>
                <w:color w:val="auto"/>
              </w:rPr>
            </w:pPr>
            <w:r>
              <w:rPr>
                <w:rFonts w:ascii="Arial" w:cs="Arial" w:eastAsia="Arial" w:hAnsi="Arial"/>
                <w:sz w:val="13"/>
                <w:szCs w:val="13"/>
                <w:color w:val="auto"/>
              </w:rPr>
              <w:t>as at December 2014)[B]</w:t>
            </w:r>
          </w:p>
        </w:tc>
      </w:tr>
      <w:tr>
        <w:trPr>
          <w:trHeight w:val="160"/>
        </w:trPr>
        <w:tc>
          <w:tcPr>
            <w:tcW w:w="1380" w:type="dxa"/>
            <w:vAlign w:val="bottom"/>
          </w:tcPr>
          <w:p>
            <w:pPr>
              <w:spacing w:after="0"/>
              <w:rPr>
                <w:sz w:val="20"/>
                <w:szCs w:val="20"/>
                <w:color w:val="auto"/>
              </w:rPr>
            </w:pPr>
            <w:r>
              <w:rPr>
                <w:rFonts w:ascii="Arial" w:cs="Arial" w:eastAsia="Arial" w:hAnsi="Arial"/>
                <w:sz w:val="14"/>
                <w:szCs w:val="14"/>
                <w:color w:val="auto"/>
              </w:rPr>
              <w:t>Ben van Beurden</w:t>
            </w:r>
          </w:p>
        </w:tc>
        <w:tc>
          <w:tcPr>
            <w:tcW w:w="2040" w:type="dxa"/>
            <w:vAlign w:val="bottom"/>
          </w:tcPr>
          <w:p>
            <w:pPr>
              <w:jc w:val="right"/>
              <w:ind w:right="173"/>
              <w:spacing w:after="0"/>
              <w:rPr>
                <w:sz w:val="20"/>
                <w:szCs w:val="20"/>
                <w:color w:val="auto"/>
              </w:rPr>
            </w:pPr>
            <w:r>
              <w:rPr>
                <w:rFonts w:ascii="Arial" w:cs="Arial" w:eastAsia="Arial" w:hAnsi="Arial"/>
                <w:sz w:val="14"/>
                <w:szCs w:val="14"/>
                <w:color w:val="auto"/>
              </w:rPr>
              <w:t>300%</w:t>
            </w:r>
          </w:p>
        </w:tc>
        <w:tc>
          <w:tcPr>
            <w:tcW w:w="2060" w:type="dxa"/>
            <w:vAlign w:val="bottom"/>
          </w:tcPr>
          <w:p>
            <w:pPr>
              <w:jc w:val="right"/>
              <w:ind w:right="273"/>
              <w:spacing w:after="0"/>
              <w:rPr>
                <w:sz w:val="20"/>
                <w:szCs w:val="20"/>
                <w:color w:val="auto"/>
              </w:rPr>
            </w:pPr>
            <w:r>
              <w:rPr>
                <w:rFonts w:ascii="Arial" w:cs="Arial" w:eastAsia="Arial" w:hAnsi="Arial"/>
                <w:sz w:val="14"/>
                <w:szCs w:val="14"/>
                <w:color w:val="auto"/>
              </w:rPr>
              <w:t>37%</w:t>
            </w:r>
          </w:p>
        </w:tc>
      </w:tr>
      <w:tr>
        <w:trPr>
          <w:trHeight w:val="157"/>
        </w:trPr>
        <w:tc>
          <w:tcPr>
            <w:tcW w:w="1380" w:type="dxa"/>
            <w:vAlign w:val="bottom"/>
            <w:tcBorders>
              <w:bottom w:val="single" w:sz="8" w:color="auto"/>
            </w:tcBorders>
          </w:tcPr>
          <w:p>
            <w:pPr>
              <w:spacing w:after="0" w:line="157" w:lineRule="exact"/>
              <w:rPr>
                <w:sz w:val="20"/>
                <w:szCs w:val="20"/>
                <w:color w:val="auto"/>
              </w:rPr>
            </w:pPr>
            <w:r>
              <w:rPr>
                <w:rFonts w:ascii="Arial" w:cs="Arial" w:eastAsia="Arial" w:hAnsi="Arial"/>
                <w:sz w:val="14"/>
                <w:szCs w:val="14"/>
                <w:color w:val="auto"/>
              </w:rPr>
              <w:t>Simon Henry</w:t>
            </w:r>
          </w:p>
        </w:tc>
        <w:tc>
          <w:tcPr>
            <w:tcW w:w="2040" w:type="dxa"/>
            <w:vAlign w:val="bottom"/>
            <w:tcBorders>
              <w:bottom w:val="single" w:sz="8" w:color="auto"/>
            </w:tcBorders>
          </w:tcPr>
          <w:p>
            <w:pPr>
              <w:jc w:val="right"/>
              <w:ind w:right="173"/>
              <w:spacing w:after="0" w:line="157" w:lineRule="exact"/>
              <w:rPr>
                <w:sz w:val="20"/>
                <w:szCs w:val="20"/>
                <w:color w:val="auto"/>
              </w:rPr>
            </w:pPr>
            <w:r>
              <w:rPr>
                <w:rFonts w:ascii="Arial" w:cs="Arial" w:eastAsia="Arial" w:hAnsi="Arial"/>
                <w:sz w:val="14"/>
                <w:szCs w:val="14"/>
                <w:color w:val="auto"/>
              </w:rPr>
              <w:t>200%</w:t>
            </w:r>
          </w:p>
        </w:tc>
        <w:tc>
          <w:tcPr>
            <w:tcW w:w="2060" w:type="dxa"/>
            <w:vAlign w:val="bottom"/>
            <w:tcBorders>
              <w:bottom w:val="single" w:sz="8" w:color="auto"/>
            </w:tcBorders>
          </w:tcPr>
          <w:p>
            <w:pPr>
              <w:jc w:val="right"/>
              <w:ind w:right="273"/>
              <w:spacing w:after="0" w:line="157" w:lineRule="exact"/>
              <w:rPr>
                <w:sz w:val="20"/>
                <w:szCs w:val="20"/>
                <w:color w:val="auto"/>
              </w:rPr>
            </w:pPr>
            <w:r>
              <w:rPr>
                <w:rFonts w:ascii="Arial" w:cs="Arial" w:eastAsia="Arial" w:hAnsi="Arial"/>
                <w:sz w:val="14"/>
                <w:szCs w:val="14"/>
                <w:color w:val="auto"/>
              </w:rPr>
              <w:t>831%</w:t>
            </w:r>
          </w:p>
        </w:tc>
      </w:tr>
    </w:tbl>
    <w:p>
      <w:pPr>
        <w:spacing w:after="0" w:line="32" w:lineRule="exact"/>
        <w:rPr>
          <w:sz w:val="20"/>
          <w:szCs w:val="20"/>
          <w:color w:val="auto"/>
        </w:rPr>
      </w:pPr>
    </w:p>
    <w:p>
      <w:pPr>
        <w:ind w:left="180" w:hanging="172"/>
        <w:spacing w:after="0"/>
        <w:tabs>
          <w:tab w:leader="none" w:pos="180" w:val="left"/>
        </w:tabs>
        <w:numPr>
          <w:ilvl w:val="0"/>
          <w:numId w:val="107"/>
        </w:numPr>
        <w:rPr>
          <w:rFonts w:ascii="Arial" w:cs="Arial" w:eastAsia="Arial" w:hAnsi="Arial"/>
          <w:sz w:val="11"/>
          <w:szCs w:val="11"/>
          <w:color w:val="auto"/>
        </w:rPr>
      </w:pPr>
      <w:r>
        <w:rPr>
          <w:rFonts w:ascii="Arial" w:cs="Arial" w:eastAsia="Arial" w:hAnsi="Arial"/>
          <w:sz w:val="11"/>
          <w:szCs w:val="11"/>
          <w:color w:val="auto"/>
        </w:rPr>
        <w:t>Increased in 2015 to 700% for Ben van Beurden and 400% for Simon Henry.</w:t>
      </w:r>
    </w:p>
    <w:p>
      <w:pPr>
        <w:ind w:right="300" w:firstLine="8"/>
        <w:spacing w:after="0" w:line="238" w:lineRule="auto"/>
        <w:tabs>
          <w:tab w:leader="none" w:pos="162" w:val="left"/>
        </w:tabs>
        <w:numPr>
          <w:ilvl w:val="0"/>
          <w:numId w:val="107"/>
        </w:numPr>
        <w:rPr>
          <w:rFonts w:ascii="Arial" w:cs="Arial" w:eastAsia="Arial" w:hAnsi="Arial"/>
          <w:sz w:val="11"/>
          <w:szCs w:val="11"/>
          <w:color w:val="auto"/>
        </w:rPr>
      </w:pPr>
      <w:r>
        <w:rPr>
          <w:rFonts w:ascii="Arial" w:cs="Arial" w:eastAsia="Arial" w:hAnsi="Arial"/>
          <w:sz w:val="11"/>
          <w:szCs w:val="11"/>
          <w:color w:val="auto"/>
        </w:rPr>
        <w:t>Representing the value of Directors’ share interests and the estimated after-tax value of DBP shares (not subject to performance conditions).</w:t>
      </w:r>
    </w:p>
    <w:p>
      <w:pPr>
        <w:spacing w:after="0" w:line="190" w:lineRule="exact"/>
        <w:rPr>
          <w:sz w:val="20"/>
          <w:szCs w:val="20"/>
          <w:color w:val="auto"/>
        </w:rPr>
      </w:pPr>
    </w:p>
    <w:p>
      <w:pPr>
        <w:ind w:left="80"/>
        <w:spacing w:after="0"/>
        <w:rPr>
          <w:sz w:val="20"/>
          <w:szCs w:val="20"/>
          <w:color w:val="auto"/>
        </w:rPr>
      </w:pPr>
      <w:r>
        <w:rPr>
          <w:rFonts w:ascii="Arial" w:cs="Arial" w:eastAsia="Arial" w:hAnsi="Arial"/>
          <w:sz w:val="15"/>
          <w:szCs w:val="15"/>
          <w:b w:val="1"/>
          <w:bCs w:val="1"/>
          <w:color w:val="FFFFFF"/>
        </w:rPr>
        <w:t xml:space="preserve">DIRECTORS’ SHARE INTERESTS </w:t>
      </w:r>
      <w:r>
        <w:rPr>
          <w:rFonts w:ascii="Arial" w:cs="Arial" w:eastAsia="Arial" w:hAnsi="Arial"/>
          <w:sz w:val="15"/>
          <w:szCs w:val="15"/>
          <w:color w:val="FFFFFF"/>
        </w:rPr>
        <w:t>[A] (AUDITED)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-95250</wp:posOffset>
            </wp:positionV>
            <wp:extent cx="3473450" cy="10287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3473450" cy="10287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46"/>
        </w:trPr>
        <w:tc>
          <w:tcPr>
            <w:tcW w:w="1800" w:type="dxa"/>
            <w:vAlign w:val="bottom"/>
          </w:tcPr>
          <w:p>
            <w:pPr>
              <w:spacing w:after="0"/>
              <w:rPr>
                <w:sz w:val="12"/>
                <w:szCs w:val="12"/>
                <w:color w:val="auto"/>
              </w:rPr>
            </w:pPr>
          </w:p>
        </w:tc>
        <w:tc>
          <w:tcPr>
            <w:tcW w:w="1940" w:type="dxa"/>
            <w:vAlign w:val="bottom"/>
            <w:gridSpan w:val="3"/>
          </w:tcPr>
          <w:p>
            <w:pPr>
              <w:jc w:val="right"/>
              <w:ind w:right="480"/>
              <w:spacing w:after="0" w:line="146" w:lineRule="exact"/>
              <w:rPr>
                <w:sz w:val="20"/>
                <w:szCs w:val="20"/>
                <w:color w:val="auto"/>
              </w:rPr>
            </w:pPr>
            <w:r>
              <w:rPr>
                <w:rFonts w:ascii="Arial" w:cs="Arial" w:eastAsia="Arial" w:hAnsi="Arial"/>
                <w:sz w:val="13"/>
                <w:szCs w:val="13"/>
                <w:color w:val="auto"/>
              </w:rPr>
              <w:t>January 1, 2014</w:t>
            </w:r>
          </w:p>
        </w:tc>
        <w:tc>
          <w:tcPr>
            <w:tcW w:w="1740" w:type="dxa"/>
            <w:vAlign w:val="bottom"/>
            <w:gridSpan w:val="2"/>
          </w:tcPr>
          <w:p>
            <w:pPr>
              <w:jc w:val="right"/>
              <w:ind w:right="149"/>
              <w:spacing w:after="0" w:line="146" w:lineRule="exact"/>
              <w:rPr>
                <w:sz w:val="20"/>
                <w:szCs w:val="20"/>
                <w:color w:val="auto"/>
              </w:rPr>
            </w:pPr>
            <w:r>
              <w:rPr>
                <w:rFonts w:ascii="Arial" w:cs="Arial" w:eastAsia="Arial" w:hAnsi="Arial"/>
                <w:sz w:val="13"/>
                <w:szCs w:val="13"/>
                <w:color w:val="auto"/>
              </w:rPr>
              <w:t>December 31, 2014</w:t>
            </w:r>
          </w:p>
        </w:tc>
      </w:tr>
      <w:tr>
        <w:trPr>
          <w:trHeight w:val="129"/>
        </w:trPr>
        <w:tc>
          <w:tcPr>
            <w:tcW w:w="1800" w:type="dxa"/>
            <w:vAlign w:val="bottom"/>
            <w:tcBorders>
              <w:bottom w:val="single" w:sz="8" w:color="auto"/>
            </w:tcBorders>
          </w:tcPr>
          <w:p>
            <w:pPr>
              <w:spacing w:after="0"/>
              <w:rPr>
                <w:sz w:val="11"/>
                <w:szCs w:val="11"/>
                <w:color w:val="auto"/>
              </w:rPr>
            </w:pPr>
          </w:p>
        </w:tc>
        <w:tc>
          <w:tcPr>
            <w:tcW w:w="840" w:type="dxa"/>
            <w:vAlign w:val="bottom"/>
            <w:tcBorders>
              <w:top w:val="single" w:sz="8" w:color="auto"/>
              <w:bottom w:val="single" w:sz="8" w:color="auto"/>
            </w:tcBorders>
          </w:tcPr>
          <w:p>
            <w:pPr>
              <w:jc w:val="right"/>
              <w:ind w:right="9"/>
              <w:spacing w:after="0" w:line="129" w:lineRule="exact"/>
              <w:rPr>
                <w:sz w:val="20"/>
                <w:szCs w:val="20"/>
                <w:color w:val="auto"/>
              </w:rPr>
            </w:pPr>
            <w:r>
              <w:rPr>
                <w:rFonts w:ascii="Arial" w:cs="Arial" w:eastAsia="Arial" w:hAnsi="Arial"/>
                <w:sz w:val="13"/>
                <w:szCs w:val="13"/>
                <w:color w:val="auto"/>
              </w:rPr>
              <w:t>A shares</w:t>
            </w:r>
          </w:p>
        </w:tc>
        <w:tc>
          <w:tcPr>
            <w:tcW w:w="840" w:type="dxa"/>
            <w:vAlign w:val="bottom"/>
            <w:tcBorders>
              <w:top w:val="single" w:sz="8" w:color="auto"/>
              <w:bottom w:val="single" w:sz="8" w:color="auto"/>
            </w:tcBorders>
          </w:tcPr>
          <w:p>
            <w:pPr>
              <w:jc w:val="right"/>
              <w:ind w:right="149"/>
              <w:spacing w:after="0" w:line="129" w:lineRule="exact"/>
              <w:rPr>
                <w:sz w:val="20"/>
                <w:szCs w:val="20"/>
                <w:color w:val="auto"/>
              </w:rPr>
            </w:pPr>
            <w:r>
              <w:rPr>
                <w:rFonts w:ascii="Arial" w:cs="Arial" w:eastAsia="Arial" w:hAnsi="Arial"/>
                <w:sz w:val="13"/>
                <w:szCs w:val="13"/>
                <w:color w:val="auto"/>
              </w:rPr>
              <w:t>B shares</w:t>
            </w:r>
          </w:p>
        </w:tc>
        <w:tc>
          <w:tcPr>
            <w:tcW w:w="260" w:type="dxa"/>
            <w:vAlign w:val="bottom"/>
            <w:tcBorders>
              <w:bottom w:val="single" w:sz="8" w:color="auto"/>
            </w:tcBorders>
          </w:tcPr>
          <w:p>
            <w:pPr>
              <w:spacing w:after="0"/>
              <w:rPr>
                <w:sz w:val="11"/>
                <w:szCs w:val="11"/>
                <w:color w:val="auto"/>
              </w:rPr>
            </w:pPr>
          </w:p>
        </w:tc>
        <w:tc>
          <w:tcPr>
            <w:tcW w:w="900" w:type="dxa"/>
            <w:vAlign w:val="bottom"/>
            <w:tcBorders>
              <w:top w:val="single" w:sz="8" w:color="auto"/>
              <w:bottom w:val="single" w:sz="8" w:color="auto"/>
            </w:tcBorders>
          </w:tcPr>
          <w:p>
            <w:pPr>
              <w:jc w:val="right"/>
              <w:ind w:right="189"/>
              <w:spacing w:after="0" w:line="129" w:lineRule="exact"/>
              <w:rPr>
                <w:sz w:val="20"/>
                <w:szCs w:val="20"/>
                <w:color w:val="auto"/>
              </w:rPr>
            </w:pPr>
            <w:r>
              <w:rPr>
                <w:rFonts w:ascii="Arial" w:cs="Arial" w:eastAsia="Arial" w:hAnsi="Arial"/>
                <w:sz w:val="13"/>
                <w:szCs w:val="13"/>
                <w:color w:val="auto"/>
              </w:rPr>
              <w:t>A shares</w:t>
            </w:r>
          </w:p>
        </w:tc>
        <w:tc>
          <w:tcPr>
            <w:tcW w:w="840" w:type="dxa"/>
            <w:vAlign w:val="bottom"/>
            <w:tcBorders>
              <w:top w:val="single" w:sz="8" w:color="auto"/>
              <w:bottom w:val="single" w:sz="8" w:color="auto"/>
            </w:tcBorders>
          </w:tcPr>
          <w:p>
            <w:pPr>
              <w:jc w:val="right"/>
              <w:ind w:right="149"/>
              <w:spacing w:after="0" w:line="129" w:lineRule="exact"/>
              <w:rPr>
                <w:sz w:val="20"/>
                <w:szCs w:val="20"/>
                <w:color w:val="auto"/>
              </w:rPr>
            </w:pPr>
            <w:r>
              <w:rPr>
                <w:rFonts w:ascii="Arial" w:cs="Arial" w:eastAsia="Arial" w:hAnsi="Arial"/>
                <w:sz w:val="13"/>
                <w:szCs w:val="13"/>
                <w:color w:val="auto"/>
              </w:rPr>
              <w:t>B shares</w:t>
            </w:r>
          </w:p>
        </w:tc>
      </w:tr>
      <w:tr>
        <w:trPr>
          <w:trHeight w:val="160"/>
        </w:trPr>
        <w:tc>
          <w:tcPr>
            <w:tcW w:w="1800" w:type="dxa"/>
            <w:vAlign w:val="bottom"/>
          </w:tcPr>
          <w:p>
            <w:pPr>
              <w:ind w:left="20"/>
              <w:spacing w:after="0"/>
              <w:rPr>
                <w:sz w:val="20"/>
                <w:szCs w:val="20"/>
                <w:color w:val="auto"/>
              </w:rPr>
            </w:pPr>
            <w:r>
              <w:rPr>
                <w:rFonts w:ascii="Arial" w:cs="Arial" w:eastAsia="Arial" w:hAnsi="Arial"/>
                <w:sz w:val="14"/>
                <w:szCs w:val="14"/>
                <w:color w:val="auto"/>
              </w:rPr>
              <w:t>Josef Ackermann</w:t>
            </w:r>
          </w:p>
        </w:tc>
        <w:tc>
          <w:tcPr>
            <w:tcW w:w="840" w:type="dxa"/>
            <w:vAlign w:val="bottom"/>
          </w:tcPr>
          <w:p>
            <w:pPr>
              <w:jc w:val="right"/>
              <w:ind w:right="9"/>
              <w:spacing w:after="0"/>
              <w:rPr>
                <w:sz w:val="20"/>
                <w:szCs w:val="20"/>
                <w:color w:val="auto"/>
              </w:rPr>
            </w:pPr>
            <w:r>
              <w:rPr>
                <w:rFonts w:ascii="Arial" w:cs="Arial" w:eastAsia="Arial" w:hAnsi="Arial"/>
                <w:sz w:val="14"/>
                <w:szCs w:val="14"/>
                <w:color w:val="auto"/>
              </w:rPr>
              <w:t>10,523</w:t>
            </w:r>
          </w:p>
        </w:tc>
        <w:tc>
          <w:tcPr>
            <w:tcW w:w="1100" w:type="dxa"/>
            <w:vAlign w:val="bottom"/>
            <w:gridSpan w:val="2"/>
          </w:tcPr>
          <w:p>
            <w:pPr>
              <w:jc w:val="right"/>
              <w:ind w:right="480"/>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9"/>
              <w:spacing w:after="0"/>
              <w:rPr>
                <w:sz w:val="20"/>
                <w:szCs w:val="20"/>
                <w:color w:val="auto"/>
              </w:rPr>
            </w:pPr>
            <w:r>
              <w:rPr>
                <w:rFonts w:ascii="Arial" w:cs="Arial" w:eastAsia="Arial" w:hAnsi="Arial"/>
                <w:sz w:val="14"/>
                <w:szCs w:val="14"/>
                <w:color w:val="auto"/>
              </w:rPr>
              <w:t>10,523[B]</w:t>
            </w:r>
          </w:p>
        </w:tc>
        <w:tc>
          <w:tcPr>
            <w:tcW w:w="840" w:type="dxa"/>
            <w:vAlign w:val="bottom"/>
          </w:tcPr>
          <w:p>
            <w:pPr>
              <w:jc w:val="right"/>
              <w:ind w:right="149"/>
              <w:spacing w:after="0"/>
              <w:rPr>
                <w:sz w:val="20"/>
                <w:szCs w:val="20"/>
                <w:color w:val="auto"/>
              </w:rPr>
            </w:pPr>
            <w:r>
              <w:rPr>
                <w:rFonts w:ascii="Arial" w:cs="Arial" w:eastAsia="Arial" w:hAnsi="Arial"/>
                <w:sz w:val="14"/>
                <w:szCs w:val="14"/>
                <w:color w:val="auto"/>
              </w:rPr>
              <w:t>–</w:t>
            </w:r>
          </w:p>
        </w:tc>
      </w:tr>
      <w:tr>
        <w:trPr>
          <w:trHeight w:val="162"/>
        </w:trPr>
        <w:tc>
          <w:tcPr>
            <w:tcW w:w="1800" w:type="dxa"/>
            <w:vAlign w:val="bottom"/>
          </w:tcPr>
          <w:p>
            <w:pPr>
              <w:ind w:left="20"/>
              <w:spacing w:after="0"/>
              <w:rPr>
                <w:sz w:val="20"/>
                <w:szCs w:val="20"/>
                <w:color w:val="auto"/>
              </w:rPr>
            </w:pPr>
            <w:r>
              <w:rPr>
                <w:rFonts w:ascii="Arial" w:cs="Arial" w:eastAsia="Arial" w:hAnsi="Arial"/>
                <w:sz w:val="14"/>
                <w:szCs w:val="14"/>
                <w:color w:val="auto"/>
              </w:rPr>
              <w:t>Ben van Beurden</w:t>
            </w:r>
          </w:p>
        </w:tc>
        <w:tc>
          <w:tcPr>
            <w:tcW w:w="84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1100" w:type="dxa"/>
            <w:vAlign w:val="bottom"/>
            <w:gridSpan w:val="2"/>
          </w:tcPr>
          <w:p>
            <w:pPr>
              <w:jc w:val="right"/>
              <w:ind w:right="480"/>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189"/>
              <w:spacing w:after="0"/>
              <w:rPr>
                <w:sz w:val="20"/>
                <w:szCs w:val="20"/>
                <w:color w:val="auto"/>
              </w:rPr>
            </w:pPr>
            <w:r>
              <w:rPr>
                <w:rFonts w:ascii="Arial" w:cs="Arial" w:eastAsia="Arial" w:hAnsi="Arial"/>
                <w:sz w:val="14"/>
                <w:szCs w:val="14"/>
                <w:color w:val="auto"/>
              </w:rPr>
              <w:t>12,289</w:t>
            </w:r>
          </w:p>
        </w:tc>
        <w:tc>
          <w:tcPr>
            <w:tcW w:w="840" w:type="dxa"/>
            <w:vAlign w:val="bottom"/>
          </w:tcPr>
          <w:p>
            <w:pPr>
              <w:jc w:val="right"/>
              <w:ind w:right="149"/>
              <w:spacing w:after="0"/>
              <w:rPr>
                <w:sz w:val="20"/>
                <w:szCs w:val="20"/>
                <w:color w:val="auto"/>
              </w:rPr>
            </w:pPr>
            <w:r>
              <w:rPr>
                <w:rFonts w:ascii="Arial" w:cs="Arial" w:eastAsia="Arial" w:hAnsi="Arial"/>
                <w:sz w:val="14"/>
                <w:szCs w:val="14"/>
                <w:color w:val="auto"/>
              </w:rPr>
              <w:t>–</w:t>
            </w:r>
          </w:p>
        </w:tc>
      </w:tr>
      <w:tr>
        <w:trPr>
          <w:trHeight w:val="162"/>
        </w:trPr>
        <w:tc>
          <w:tcPr>
            <w:tcW w:w="1800" w:type="dxa"/>
            <w:vAlign w:val="bottom"/>
          </w:tcPr>
          <w:p>
            <w:pPr>
              <w:ind w:left="20"/>
              <w:spacing w:after="0"/>
              <w:rPr>
                <w:sz w:val="20"/>
                <w:szCs w:val="20"/>
                <w:color w:val="auto"/>
              </w:rPr>
            </w:pPr>
            <w:r>
              <w:rPr>
                <w:rFonts w:ascii="Arial" w:cs="Arial" w:eastAsia="Arial" w:hAnsi="Arial"/>
                <w:sz w:val="14"/>
                <w:szCs w:val="14"/>
                <w:color w:val="auto"/>
              </w:rPr>
              <w:t>Guy Elliott</w:t>
            </w:r>
          </w:p>
        </w:tc>
        <w:tc>
          <w:tcPr>
            <w:tcW w:w="84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149"/>
              <w:spacing w:after="0"/>
              <w:rPr>
                <w:sz w:val="20"/>
                <w:szCs w:val="20"/>
                <w:color w:val="auto"/>
              </w:rPr>
            </w:pPr>
            <w:r>
              <w:rPr>
                <w:rFonts w:ascii="Arial" w:cs="Arial" w:eastAsia="Arial" w:hAnsi="Arial"/>
                <w:sz w:val="14"/>
                <w:szCs w:val="14"/>
                <w:color w:val="auto"/>
              </w:rPr>
              <w:t>5,677</w:t>
            </w:r>
          </w:p>
        </w:tc>
        <w:tc>
          <w:tcPr>
            <w:tcW w:w="260" w:type="dxa"/>
            <w:vAlign w:val="bottom"/>
          </w:tcPr>
          <w:p>
            <w:pPr>
              <w:spacing w:after="0"/>
              <w:rPr>
                <w:sz w:val="14"/>
                <w:szCs w:val="14"/>
                <w:color w:val="auto"/>
              </w:rPr>
            </w:pPr>
          </w:p>
        </w:tc>
        <w:tc>
          <w:tcPr>
            <w:tcW w:w="900" w:type="dxa"/>
            <w:vAlign w:val="bottom"/>
          </w:tcPr>
          <w:p>
            <w:pPr>
              <w:jc w:val="right"/>
              <w:ind w:right="189"/>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149"/>
              <w:spacing w:after="0"/>
              <w:rPr>
                <w:sz w:val="20"/>
                <w:szCs w:val="20"/>
                <w:color w:val="auto"/>
              </w:rPr>
            </w:pPr>
            <w:r>
              <w:rPr>
                <w:rFonts w:ascii="Arial" w:cs="Arial" w:eastAsia="Arial" w:hAnsi="Arial"/>
                <w:sz w:val="14"/>
                <w:szCs w:val="14"/>
                <w:color w:val="auto"/>
              </w:rPr>
              <w:t>5,677</w:t>
            </w:r>
          </w:p>
        </w:tc>
      </w:tr>
      <w:tr>
        <w:trPr>
          <w:trHeight w:val="162"/>
        </w:trPr>
        <w:tc>
          <w:tcPr>
            <w:tcW w:w="1800" w:type="dxa"/>
            <w:vAlign w:val="bottom"/>
          </w:tcPr>
          <w:p>
            <w:pPr>
              <w:ind w:left="20"/>
              <w:spacing w:after="0"/>
              <w:rPr>
                <w:sz w:val="20"/>
                <w:szCs w:val="20"/>
                <w:color w:val="auto"/>
              </w:rPr>
            </w:pPr>
            <w:r>
              <w:rPr>
                <w:rFonts w:ascii="Arial" w:cs="Arial" w:eastAsia="Arial" w:hAnsi="Arial"/>
                <w:sz w:val="14"/>
                <w:szCs w:val="14"/>
                <w:color w:val="auto"/>
              </w:rPr>
              <w:t>Euleen Goh</w:t>
            </w:r>
          </w:p>
        </w:tc>
        <w:tc>
          <w:tcPr>
            <w:tcW w:w="84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1100" w:type="dxa"/>
            <w:vAlign w:val="bottom"/>
            <w:gridSpan w:val="2"/>
          </w:tcPr>
          <w:p>
            <w:pPr>
              <w:jc w:val="right"/>
              <w:ind w:right="480"/>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189"/>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149"/>
              <w:spacing w:after="0"/>
              <w:rPr>
                <w:sz w:val="20"/>
                <w:szCs w:val="20"/>
                <w:color w:val="auto"/>
              </w:rPr>
            </w:pPr>
            <w:r>
              <w:rPr>
                <w:rFonts w:ascii="Arial" w:cs="Arial" w:eastAsia="Arial" w:hAnsi="Arial"/>
                <w:sz w:val="14"/>
                <w:szCs w:val="14"/>
                <w:color w:val="auto"/>
              </w:rPr>
              <w:t>–</w:t>
            </w:r>
          </w:p>
        </w:tc>
      </w:tr>
      <w:tr>
        <w:trPr>
          <w:trHeight w:val="162"/>
        </w:trPr>
        <w:tc>
          <w:tcPr>
            <w:tcW w:w="1800" w:type="dxa"/>
            <w:vAlign w:val="bottom"/>
          </w:tcPr>
          <w:p>
            <w:pPr>
              <w:ind w:left="20"/>
              <w:spacing w:after="0"/>
              <w:rPr>
                <w:sz w:val="20"/>
                <w:szCs w:val="20"/>
                <w:color w:val="auto"/>
              </w:rPr>
            </w:pPr>
            <w:r>
              <w:rPr>
                <w:rFonts w:ascii="Arial" w:cs="Arial" w:eastAsia="Arial" w:hAnsi="Arial"/>
                <w:sz w:val="14"/>
                <w:szCs w:val="14"/>
                <w:color w:val="auto"/>
              </w:rPr>
              <w:t>Simon Henry</w:t>
            </w:r>
          </w:p>
        </w:tc>
        <w:tc>
          <w:tcPr>
            <w:tcW w:w="840" w:type="dxa"/>
            <w:vAlign w:val="bottom"/>
          </w:tcPr>
          <w:p>
            <w:pPr>
              <w:jc w:val="right"/>
              <w:ind w:right="9"/>
              <w:spacing w:after="0"/>
              <w:rPr>
                <w:sz w:val="20"/>
                <w:szCs w:val="20"/>
                <w:color w:val="auto"/>
              </w:rPr>
            </w:pPr>
            <w:r>
              <w:rPr>
                <w:rFonts w:ascii="Arial" w:cs="Arial" w:eastAsia="Arial" w:hAnsi="Arial"/>
                <w:sz w:val="14"/>
                <w:szCs w:val="14"/>
                <w:color w:val="auto"/>
              </w:rPr>
              <w:t>9,175</w:t>
            </w:r>
          </w:p>
        </w:tc>
        <w:tc>
          <w:tcPr>
            <w:tcW w:w="840" w:type="dxa"/>
            <w:vAlign w:val="bottom"/>
          </w:tcPr>
          <w:p>
            <w:pPr>
              <w:jc w:val="right"/>
              <w:ind w:right="149"/>
              <w:spacing w:after="0"/>
              <w:rPr>
                <w:sz w:val="20"/>
                <w:szCs w:val="20"/>
                <w:color w:val="auto"/>
              </w:rPr>
            </w:pPr>
            <w:r>
              <w:rPr>
                <w:rFonts w:ascii="Arial" w:cs="Arial" w:eastAsia="Arial" w:hAnsi="Arial"/>
                <w:sz w:val="14"/>
                <w:szCs w:val="14"/>
                <w:color w:val="auto"/>
              </w:rPr>
              <w:t>231,471</w:t>
            </w:r>
          </w:p>
        </w:tc>
        <w:tc>
          <w:tcPr>
            <w:tcW w:w="260" w:type="dxa"/>
            <w:vAlign w:val="bottom"/>
          </w:tcPr>
          <w:p>
            <w:pPr>
              <w:spacing w:after="0"/>
              <w:rPr>
                <w:sz w:val="14"/>
                <w:szCs w:val="14"/>
                <w:color w:val="auto"/>
              </w:rPr>
            </w:pPr>
          </w:p>
        </w:tc>
        <w:tc>
          <w:tcPr>
            <w:tcW w:w="900" w:type="dxa"/>
            <w:vAlign w:val="bottom"/>
          </w:tcPr>
          <w:p>
            <w:pPr>
              <w:jc w:val="right"/>
              <w:ind w:right="189"/>
              <w:spacing w:after="0"/>
              <w:rPr>
                <w:sz w:val="20"/>
                <w:szCs w:val="20"/>
                <w:color w:val="auto"/>
              </w:rPr>
            </w:pPr>
            <w:r>
              <w:rPr>
                <w:rFonts w:ascii="Arial" w:cs="Arial" w:eastAsia="Arial" w:hAnsi="Arial"/>
                <w:sz w:val="14"/>
                <w:szCs w:val="14"/>
                <w:color w:val="auto"/>
              </w:rPr>
              <w:t>9,175</w:t>
            </w:r>
          </w:p>
        </w:tc>
        <w:tc>
          <w:tcPr>
            <w:tcW w:w="840" w:type="dxa"/>
            <w:vAlign w:val="bottom"/>
          </w:tcPr>
          <w:p>
            <w:pPr>
              <w:jc w:val="right"/>
              <w:ind w:right="149"/>
              <w:spacing w:after="0"/>
              <w:rPr>
                <w:sz w:val="20"/>
                <w:szCs w:val="20"/>
                <w:color w:val="auto"/>
              </w:rPr>
            </w:pPr>
            <w:r>
              <w:rPr>
                <w:rFonts w:ascii="Arial" w:cs="Arial" w:eastAsia="Arial" w:hAnsi="Arial"/>
                <w:sz w:val="14"/>
                <w:szCs w:val="14"/>
                <w:color w:val="auto"/>
              </w:rPr>
              <w:t>245,644</w:t>
            </w:r>
          </w:p>
        </w:tc>
      </w:tr>
      <w:tr>
        <w:trPr>
          <w:trHeight w:val="162"/>
        </w:trPr>
        <w:tc>
          <w:tcPr>
            <w:tcW w:w="1800" w:type="dxa"/>
            <w:vAlign w:val="bottom"/>
          </w:tcPr>
          <w:p>
            <w:pPr>
              <w:ind w:left="20"/>
              <w:spacing w:after="0"/>
              <w:rPr>
                <w:sz w:val="20"/>
                <w:szCs w:val="20"/>
                <w:color w:val="auto"/>
              </w:rPr>
            </w:pPr>
            <w:r>
              <w:rPr>
                <w:rFonts w:ascii="Arial" w:cs="Arial" w:eastAsia="Arial" w:hAnsi="Arial"/>
                <w:sz w:val="14"/>
                <w:szCs w:val="14"/>
                <w:color w:val="auto"/>
              </w:rPr>
              <w:t>Charles O. Holliday</w:t>
            </w:r>
          </w:p>
        </w:tc>
        <w:tc>
          <w:tcPr>
            <w:tcW w:w="84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1100" w:type="dxa"/>
            <w:vAlign w:val="bottom"/>
            <w:gridSpan w:val="2"/>
          </w:tcPr>
          <w:p>
            <w:pPr>
              <w:jc w:val="right"/>
              <w:ind w:right="300"/>
              <w:spacing w:after="0"/>
              <w:rPr>
                <w:sz w:val="20"/>
                <w:szCs w:val="20"/>
                <w:color w:val="auto"/>
              </w:rPr>
            </w:pPr>
            <w:r>
              <w:rPr>
                <w:rFonts w:ascii="Arial" w:cs="Arial" w:eastAsia="Arial" w:hAnsi="Arial"/>
                <w:sz w:val="14"/>
                <w:szCs w:val="14"/>
                <w:color w:val="auto"/>
              </w:rPr>
              <w:t>20,000[C]</w:t>
            </w:r>
          </w:p>
        </w:tc>
        <w:tc>
          <w:tcPr>
            <w:tcW w:w="900" w:type="dxa"/>
            <w:vAlign w:val="bottom"/>
          </w:tcPr>
          <w:p>
            <w:pPr>
              <w:jc w:val="right"/>
              <w:ind w:right="189"/>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30,000[C]</w:t>
            </w:r>
          </w:p>
        </w:tc>
      </w:tr>
      <w:tr>
        <w:trPr>
          <w:trHeight w:val="162"/>
        </w:trPr>
        <w:tc>
          <w:tcPr>
            <w:tcW w:w="1800" w:type="dxa"/>
            <w:vAlign w:val="bottom"/>
          </w:tcPr>
          <w:p>
            <w:pPr>
              <w:ind w:left="20"/>
              <w:spacing w:after="0"/>
              <w:rPr>
                <w:sz w:val="20"/>
                <w:szCs w:val="20"/>
                <w:color w:val="auto"/>
              </w:rPr>
            </w:pPr>
            <w:r>
              <w:rPr>
                <w:rFonts w:ascii="Arial" w:cs="Arial" w:eastAsia="Arial" w:hAnsi="Arial"/>
                <w:sz w:val="14"/>
                <w:szCs w:val="14"/>
                <w:color w:val="auto"/>
              </w:rPr>
              <w:t>Gerard Kleisterlee</w:t>
            </w:r>
          </w:p>
        </w:tc>
        <w:tc>
          <w:tcPr>
            <w:tcW w:w="840" w:type="dxa"/>
            <w:vAlign w:val="bottom"/>
          </w:tcPr>
          <w:p>
            <w:pPr>
              <w:jc w:val="right"/>
              <w:ind w:right="9"/>
              <w:spacing w:after="0"/>
              <w:rPr>
                <w:sz w:val="20"/>
                <w:szCs w:val="20"/>
                <w:color w:val="auto"/>
              </w:rPr>
            </w:pPr>
            <w:r>
              <w:rPr>
                <w:rFonts w:ascii="Arial" w:cs="Arial" w:eastAsia="Arial" w:hAnsi="Arial"/>
                <w:sz w:val="14"/>
                <w:szCs w:val="14"/>
                <w:color w:val="auto"/>
              </w:rPr>
              <w:t>5,000</w:t>
            </w:r>
          </w:p>
        </w:tc>
        <w:tc>
          <w:tcPr>
            <w:tcW w:w="1100" w:type="dxa"/>
            <w:vAlign w:val="bottom"/>
            <w:gridSpan w:val="2"/>
          </w:tcPr>
          <w:p>
            <w:pPr>
              <w:jc w:val="right"/>
              <w:ind w:right="480"/>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189"/>
              <w:spacing w:after="0"/>
              <w:rPr>
                <w:sz w:val="20"/>
                <w:szCs w:val="20"/>
                <w:color w:val="auto"/>
              </w:rPr>
            </w:pPr>
            <w:r>
              <w:rPr>
                <w:rFonts w:ascii="Arial" w:cs="Arial" w:eastAsia="Arial" w:hAnsi="Arial"/>
                <w:sz w:val="14"/>
                <w:szCs w:val="14"/>
                <w:color w:val="auto"/>
              </w:rPr>
              <w:t>5,000</w:t>
            </w:r>
          </w:p>
        </w:tc>
        <w:tc>
          <w:tcPr>
            <w:tcW w:w="840" w:type="dxa"/>
            <w:vAlign w:val="bottom"/>
          </w:tcPr>
          <w:p>
            <w:pPr>
              <w:jc w:val="right"/>
              <w:ind w:right="149"/>
              <w:spacing w:after="0"/>
              <w:rPr>
                <w:sz w:val="20"/>
                <w:szCs w:val="20"/>
                <w:color w:val="auto"/>
              </w:rPr>
            </w:pPr>
            <w:r>
              <w:rPr>
                <w:rFonts w:ascii="Arial" w:cs="Arial" w:eastAsia="Arial" w:hAnsi="Arial"/>
                <w:sz w:val="14"/>
                <w:szCs w:val="14"/>
                <w:color w:val="auto"/>
              </w:rPr>
              <w:t>–</w:t>
            </w:r>
          </w:p>
        </w:tc>
      </w:tr>
      <w:tr>
        <w:trPr>
          <w:trHeight w:val="162"/>
        </w:trPr>
        <w:tc>
          <w:tcPr>
            <w:tcW w:w="1800" w:type="dxa"/>
            <w:vAlign w:val="bottom"/>
          </w:tcPr>
          <w:p>
            <w:pPr>
              <w:ind w:left="20"/>
              <w:spacing w:after="0"/>
              <w:rPr>
                <w:sz w:val="20"/>
                <w:szCs w:val="20"/>
                <w:color w:val="auto"/>
              </w:rPr>
            </w:pPr>
            <w:r>
              <w:rPr>
                <w:rFonts w:ascii="Arial" w:cs="Arial" w:eastAsia="Arial" w:hAnsi="Arial"/>
                <w:sz w:val="14"/>
                <w:szCs w:val="14"/>
                <w:color w:val="auto"/>
              </w:rPr>
              <w:t>Jorma Ollila</w:t>
            </w:r>
          </w:p>
        </w:tc>
        <w:tc>
          <w:tcPr>
            <w:tcW w:w="840" w:type="dxa"/>
            <w:vAlign w:val="bottom"/>
          </w:tcPr>
          <w:p>
            <w:pPr>
              <w:jc w:val="right"/>
              <w:ind w:right="9"/>
              <w:spacing w:after="0"/>
              <w:rPr>
                <w:sz w:val="20"/>
                <w:szCs w:val="20"/>
                <w:color w:val="auto"/>
              </w:rPr>
            </w:pPr>
            <w:r>
              <w:rPr>
                <w:rFonts w:ascii="Arial" w:cs="Arial" w:eastAsia="Arial" w:hAnsi="Arial"/>
                <w:sz w:val="14"/>
                <w:szCs w:val="14"/>
                <w:color w:val="auto"/>
              </w:rPr>
              <w:t>25,000</w:t>
            </w:r>
          </w:p>
        </w:tc>
        <w:tc>
          <w:tcPr>
            <w:tcW w:w="1100" w:type="dxa"/>
            <w:vAlign w:val="bottom"/>
            <w:gridSpan w:val="2"/>
          </w:tcPr>
          <w:p>
            <w:pPr>
              <w:jc w:val="right"/>
              <w:ind w:right="480"/>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189"/>
              <w:spacing w:after="0"/>
              <w:rPr>
                <w:sz w:val="20"/>
                <w:szCs w:val="20"/>
                <w:color w:val="auto"/>
              </w:rPr>
            </w:pPr>
            <w:r>
              <w:rPr>
                <w:rFonts w:ascii="Arial" w:cs="Arial" w:eastAsia="Arial" w:hAnsi="Arial"/>
                <w:sz w:val="14"/>
                <w:szCs w:val="14"/>
                <w:color w:val="auto"/>
              </w:rPr>
              <w:t>25,000</w:t>
            </w:r>
          </w:p>
        </w:tc>
        <w:tc>
          <w:tcPr>
            <w:tcW w:w="840" w:type="dxa"/>
            <w:vAlign w:val="bottom"/>
          </w:tcPr>
          <w:p>
            <w:pPr>
              <w:jc w:val="right"/>
              <w:ind w:right="149"/>
              <w:spacing w:after="0"/>
              <w:rPr>
                <w:sz w:val="20"/>
                <w:szCs w:val="20"/>
                <w:color w:val="auto"/>
              </w:rPr>
            </w:pPr>
            <w:r>
              <w:rPr>
                <w:rFonts w:ascii="Arial" w:cs="Arial" w:eastAsia="Arial" w:hAnsi="Arial"/>
                <w:sz w:val="14"/>
                <w:szCs w:val="14"/>
                <w:color w:val="auto"/>
              </w:rPr>
              <w:t>–</w:t>
            </w:r>
          </w:p>
        </w:tc>
      </w:tr>
      <w:tr>
        <w:trPr>
          <w:trHeight w:val="162"/>
        </w:trPr>
        <w:tc>
          <w:tcPr>
            <w:tcW w:w="1800" w:type="dxa"/>
            <w:vAlign w:val="bottom"/>
          </w:tcPr>
          <w:p>
            <w:pPr>
              <w:ind w:left="20"/>
              <w:spacing w:after="0"/>
              <w:rPr>
                <w:sz w:val="20"/>
                <w:szCs w:val="20"/>
                <w:color w:val="auto"/>
              </w:rPr>
            </w:pPr>
            <w:r>
              <w:rPr>
                <w:rFonts w:ascii="Arial" w:cs="Arial" w:eastAsia="Arial" w:hAnsi="Arial"/>
                <w:sz w:val="14"/>
                <w:szCs w:val="14"/>
                <w:color w:val="auto"/>
              </w:rPr>
              <w:t>Sir Nigel Sheinwald</w:t>
            </w:r>
          </w:p>
        </w:tc>
        <w:tc>
          <w:tcPr>
            <w:tcW w:w="84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149"/>
              <w:spacing w:after="0"/>
              <w:rPr>
                <w:sz w:val="20"/>
                <w:szCs w:val="20"/>
                <w:color w:val="auto"/>
              </w:rPr>
            </w:pPr>
            <w:r>
              <w:rPr>
                <w:rFonts w:ascii="Arial" w:cs="Arial" w:eastAsia="Arial" w:hAnsi="Arial"/>
                <w:sz w:val="14"/>
                <w:szCs w:val="14"/>
                <w:color w:val="auto"/>
              </w:rPr>
              <w:t>470</w:t>
            </w:r>
          </w:p>
        </w:tc>
        <w:tc>
          <w:tcPr>
            <w:tcW w:w="260" w:type="dxa"/>
            <w:vAlign w:val="bottom"/>
          </w:tcPr>
          <w:p>
            <w:pPr>
              <w:spacing w:after="0"/>
              <w:rPr>
                <w:sz w:val="14"/>
                <w:szCs w:val="14"/>
                <w:color w:val="auto"/>
              </w:rPr>
            </w:pPr>
          </w:p>
        </w:tc>
        <w:tc>
          <w:tcPr>
            <w:tcW w:w="900" w:type="dxa"/>
            <w:vAlign w:val="bottom"/>
          </w:tcPr>
          <w:p>
            <w:pPr>
              <w:jc w:val="right"/>
              <w:ind w:right="189"/>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149"/>
              <w:spacing w:after="0"/>
              <w:rPr>
                <w:sz w:val="20"/>
                <w:szCs w:val="20"/>
                <w:color w:val="auto"/>
              </w:rPr>
            </w:pPr>
            <w:r>
              <w:rPr>
                <w:rFonts w:ascii="Arial" w:cs="Arial" w:eastAsia="Arial" w:hAnsi="Arial"/>
                <w:sz w:val="14"/>
                <w:szCs w:val="14"/>
                <w:color w:val="auto"/>
              </w:rPr>
              <w:t>1,000</w:t>
            </w:r>
          </w:p>
        </w:tc>
      </w:tr>
      <w:tr>
        <w:trPr>
          <w:trHeight w:val="162"/>
        </w:trPr>
        <w:tc>
          <w:tcPr>
            <w:tcW w:w="1800" w:type="dxa"/>
            <w:vAlign w:val="bottom"/>
          </w:tcPr>
          <w:p>
            <w:pPr>
              <w:ind w:left="20"/>
              <w:spacing w:after="0"/>
              <w:rPr>
                <w:sz w:val="20"/>
                <w:szCs w:val="20"/>
                <w:color w:val="auto"/>
              </w:rPr>
            </w:pPr>
            <w:r>
              <w:rPr>
                <w:rFonts w:ascii="Arial" w:cs="Arial" w:eastAsia="Arial" w:hAnsi="Arial"/>
                <w:sz w:val="14"/>
                <w:szCs w:val="14"/>
                <w:color w:val="auto"/>
              </w:rPr>
              <w:t>Linda G. Stuntz</w:t>
            </w:r>
          </w:p>
        </w:tc>
        <w:tc>
          <w:tcPr>
            <w:tcW w:w="84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1100" w:type="dxa"/>
            <w:vAlign w:val="bottom"/>
            <w:gridSpan w:val="2"/>
          </w:tcPr>
          <w:p>
            <w:pPr>
              <w:jc w:val="right"/>
              <w:ind w:right="300"/>
              <w:spacing w:after="0"/>
              <w:rPr>
                <w:sz w:val="20"/>
                <w:szCs w:val="20"/>
                <w:color w:val="auto"/>
              </w:rPr>
            </w:pPr>
            <w:r>
              <w:rPr>
                <w:rFonts w:ascii="Arial" w:cs="Arial" w:eastAsia="Arial" w:hAnsi="Arial"/>
                <w:sz w:val="14"/>
                <w:szCs w:val="14"/>
                <w:color w:val="auto"/>
              </w:rPr>
              <w:t>8,400[D]</w:t>
            </w:r>
          </w:p>
        </w:tc>
        <w:tc>
          <w:tcPr>
            <w:tcW w:w="900" w:type="dxa"/>
            <w:vAlign w:val="bottom"/>
          </w:tcPr>
          <w:p>
            <w:pPr>
              <w:jc w:val="right"/>
              <w:ind w:right="189"/>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8,400[D]</w:t>
            </w:r>
          </w:p>
        </w:tc>
      </w:tr>
      <w:tr>
        <w:trPr>
          <w:trHeight w:val="162"/>
        </w:trPr>
        <w:tc>
          <w:tcPr>
            <w:tcW w:w="1800" w:type="dxa"/>
            <w:vAlign w:val="bottom"/>
          </w:tcPr>
          <w:p>
            <w:pPr>
              <w:ind w:left="20"/>
              <w:spacing w:after="0"/>
              <w:rPr>
                <w:sz w:val="20"/>
                <w:szCs w:val="20"/>
                <w:color w:val="auto"/>
              </w:rPr>
            </w:pPr>
            <w:r>
              <w:rPr>
                <w:rFonts w:ascii="Arial" w:cs="Arial" w:eastAsia="Arial" w:hAnsi="Arial"/>
                <w:sz w:val="14"/>
                <w:szCs w:val="14"/>
                <w:color w:val="auto"/>
              </w:rPr>
              <w:t>Hans Wijers</w:t>
            </w:r>
          </w:p>
        </w:tc>
        <w:tc>
          <w:tcPr>
            <w:tcW w:w="840" w:type="dxa"/>
            <w:vAlign w:val="bottom"/>
          </w:tcPr>
          <w:p>
            <w:pPr>
              <w:jc w:val="right"/>
              <w:ind w:right="9"/>
              <w:spacing w:after="0"/>
              <w:rPr>
                <w:sz w:val="20"/>
                <w:szCs w:val="20"/>
                <w:color w:val="auto"/>
              </w:rPr>
            </w:pPr>
            <w:r>
              <w:rPr>
                <w:rFonts w:ascii="Arial" w:cs="Arial" w:eastAsia="Arial" w:hAnsi="Arial"/>
                <w:sz w:val="14"/>
                <w:szCs w:val="14"/>
                <w:color w:val="auto"/>
              </w:rPr>
              <w:t>5,251</w:t>
            </w:r>
          </w:p>
        </w:tc>
        <w:tc>
          <w:tcPr>
            <w:tcW w:w="1100" w:type="dxa"/>
            <w:vAlign w:val="bottom"/>
            <w:gridSpan w:val="2"/>
          </w:tcPr>
          <w:p>
            <w:pPr>
              <w:jc w:val="right"/>
              <w:ind w:right="480"/>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189"/>
              <w:spacing w:after="0"/>
              <w:rPr>
                <w:sz w:val="20"/>
                <w:szCs w:val="20"/>
                <w:color w:val="auto"/>
              </w:rPr>
            </w:pPr>
            <w:r>
              <w:rPr>
                <w:rFonts w:ascii="Arial" w:cs="Arial" w:eastAsia="Arial" w:hAnsi="Arial"/>
                <w:sz w:val="14"/>
                <w:szCs w:val="14"/>
                <w:color w:val="auto"/>
              </w:rPr>
              <w:t>5,251</w:t>
            </w:r>
          </w:p>
        </w:tc>
        <w:tc>
          <w:tcPr>
            <w:tcW w:w="840" w:type="dxa"/>
            <w:vAlign w:val="bottom"/>
          </w:tcPr>
          <w:p>
            <w:pPr>
              <w:jc w:val="right"/>
              <w:ind w:right="149"/>
              <w:spacing w:after="0"/>
              <w:rPr>
                <w:sz w:val="20"/>
                <w:szCs w:val="20"/>
                <w:color w:val="auto"/>
              </w:rPr>
            </w:pPr>
            <w:r>
              <w:rPr>
                <w:rFonts w:ascii="Arial" w:cs="Arial" w:eastAsia="Arial" w:hAnsi="Arial"/>
                <w:sz w:val="14"/>
                <w:szCs w:val="14"/>
                <w:color w:val="auto"/>
              </w:rPr>
              <w:t>–</w:t>
            </w:r>
          </w:p>
        </w:tc>
      </w:tr>
      <w:tr>
        <w:trPr>
          <w:trHeight w:val="162"/>
        </w:trPr>
        <w:tc>
          <w:tcPr>
            <w:tcW w:w="1800" w:type="dxa"/>
            <w:vAlign w:val="bottom"/>
          </w:tcPr>
          <w:p>
            <w:pPr>
              <w:ind w:left="20"/>
              <w:spacing w:after="0"/>
              <w:rPr>
                <w:sz w:val="20"/>
                <w:szCs w:val="20"/>
                <w:color w:val="auto"/>
              </w:rPr>
            </w:pPr>
            <w:r>
              <w:rPr>
                <w:rFonts w:ascii="Arial" w:cs="Arial" w:eastAsia="Arial" w:hAnsi="Arial"/>
                <w:sz w:val="14"/>
                <w:szCs w:val="14"/>
                <w:color w:val="auto"/>
              </w:rPr>
              <w:t>Patricia A. Woertz</w:t>
            </w:r>
          </w:p>
        </w:tc>
        <w:tc>
          <w:tcPr>
            <w:tcW w:w="84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1100" w:type="dxa"/>
            <w:vAlign w:val="bottom"/>
            <w:gridSpan w:val="2"/>
          </w:tcPr>
          <w:p>
            <w:pPr>
              <w:ind w:left="540"/>
              <w:spacing w:after="0"/>
              <w:rPr>
                <w:sz w:val="20"/>
                <w:szCs w:val="20"/>
                <w:color w:val="auto"/>
              </w:rPr>
            </w:pPr>
            <w:r>
              <w:rPr>
                <w:rFonts w:ascii="Arial" w:cs="Arial" w:eastAsia="Arial" w:hAnsi="Arial"/>
                <w:sz w:val="14"/>
                <w:szCs w:val="14"/>
                <w:color w:val="auto"/>
              </w:rPr>
              <w:t>–[E]</w:t>
            </w:r>
          </w:p>
        </w:tc>
        <w:tc>
          <w:tcPr>
            <w:tcW w:w="900" w:type="dxa"/>
            <w:vAlign w:val="bottom"/>
          </w:tcPr>
          <w:p>
            <w:pPr>
              <w:jc w:val="right"/>
              <w:ind w:right="189"/>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6,000[F]</w:t>
            </w:r>
          </w:p>
        </w:tc>
      </w:tr>
      <w:tr>
        <w:trPr>
          <w:trHeight w:val="157"/>
        </w:trPr>
        <w:tc>
          <w:tcPr>
            <w:tcW w:w="1800" w:type="dxa"/>
            <w:vAlign w:val="bottom"/>
            <w:tcBorders>
              <w:bottom w:val="single" w:sz="8" w:color="auto"/>
            </w:tcBorders>
          </w:tcPr>
          <w:p>
            <w:pPr>
              <w:ind w:left="20"/>
              <w:spacing w:after="0" w:line="157" w:lineRule="exact"/>
              <w:rPr>
                <w:sz w:val="20"/>
                <w:szCs w:val="20"/>
                <w:color w:val="auto"/>
              </w:rPr>
            </w:pPr>
            <w:r>
              <w:rPr>
                <w:rFonts w:ascii="Arial" w:cs="Arial" w:eastAsia="Arial" w:hAnsi="Arial"/>
                <w:sz w:val="14"/>
                <w:szCs w:val="14"/>
                <w:color w:val="auto"/>
              </w:rPr>
              <w:t>Gerrit Zalm</w:t>
            </w:r>
          </w:p>
        </w:tc>
        <w:tc>
          <w:tcPr>
            <w:tcW w:w="840" w:type="dxa"/>
            <w:vAlign w:val="bottom"/>
            <w:tcBorders>
              <w:bottom w:val="single" w:sz="8" w:color="auto"/>
            </w:tcBorders>
          </w:tcPr>
          <w:p>
            <w:pPr>
              <w:jc w:val="right"/>
              <w:ind w:right="9"/>
              <w:spacing w:after="0" w:line="157" w:lineRule="exact"/>
              <w:rPr>
                <w:sz w:val="20"/>
                <w:szCs w:val="20"/>
                <w:color w:val="auto"/>
              </w:rPr>
            </w:pPr>
            <w:r>
              <w:rPr>
                <w:rFonts w:ascii="Arial" w:cs="Arial" w:eastAsia="Arial" w:hAnsi="Arial"/>
                <w:sz w:val="14"/>
                <w:szCs w:val="14"/>
                <w:color w:val="auto"/>
              </w:rPr>
              <w:t>2,026</w:t>
            </w:r>
          </w:p>
        </w:tc>
        <w:tc>
          <w:tcPr>
            <w:tcW w:w="1100" w:type="dxa"/>
            <w:vAlign w:val="bottom"/>
            <w:tcBorders>
              <w:bottom w:val="single" w:sz="8" w:color="auto"/>
            </w:tcBorders>
            <w:gridSpan w:val="2"/>
          </w:tcPr>
          <w:p>
            <w:pPr>
              <w:jc w:val="right"/>
              <w:ind w:right="480"/>
              <w:spacing w:after="0" w:line="157" w:lineRule="exact"/>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right"/>
              <w:ind w:right="189"/>
              <w:spacing w:after="0" w:line="157" w:lineRule="exact"/>
              <w:rPr>
                <w:sz w:val="20"/>
                <w:szCs w:val="20"/>
                <w:color w:val="auto"/>
              </w:rPr>
            </w:pPr>
            <w:r>
              <w:rPr>
                <w:rFonts w:ascii="Arial" w:cs="Arial" w:eastAsia="Arial" w:hAnsi="Arial"/>
                <w:sz w:val="14"/>
                <w:szCs w:val="14"/>
                <w:color w:val="auto"/>
              </w:rPr>
              <w:t>2,026</w:t>
            </w:r>
          </w:p>
        </w:tc>
        <w:tc>
          <w:tcPr>
            <w:tcW w:w="840" w:type="dxa"/>
            <w:vAlign w:val="bottom"/>
            <w:tcBorders>
              <w:bottom w:val="single" w:sz="8" w:color="auto"/>
            </w:tcBorders>
          </w:tcPr>
          <w:p>
            <w:pPr>
              <w:jc w:val="right"/>
              <w:ind w:right="149"/>
              <w:spacing w:after="0" w:line="157" w:lineRule="exact"/>
              <w:rPr>
                <w:sz w:val="20"/>
                <w:szCs w:val="20"/>
                <w:color w:val="auto"/>
              </w:rPr>
            </w:pPr>
            <w:r>
              <w:rPr>
                <w:rFonts w:ascii="Arial" w:cs="Arial" w:eastAsia="Arial" w:hAnsi="Arial"/>
                <w:sz w:val="14"/>
                <w:szCs w:val="14"/>
                <w:color w:val="auto"/>
              </w:rPr>
              <w:t>–</w:t>
            </w:r>
          </w:p>
        </w:tc>
      </w:tr>
    </w:tbl>
    <w:p>
      <w:pPr>
        <w:spacing w:after="0" w:line="24" w:lineRule="exact"/>
        <w:rPr>
          <w:sz w:val="20"/>
          <w:szCs w:val="20"/>
          <w:color w:val="auto"/>
        </w:rPr>
      </w:pPr>
    </w:p>
    <w:p>
      <w:pPr>
        <w:ind w:right="220" w:firstLine="8"/>
        <w:spacing w:after="0" w:line="230" w:lineRule="auto"/>
        <w:tabs>
          <w:tab w:leader="none" w:pos="162" w:val="left"/>
        </w:tabs>
        <w:numPr>
          <w:ilvl w:val="0"/>
          <w:numId w:val="108"/>
        </w:numPr>
        <w:rPr>
          <w:rFonts w:ascii="Arial" w:cs="Arial" w:eastAsia="Arial" w:hAnsi="Arial"/>
          <w:sz w:val="11"/>
          <w:szCs w:val="11"/>
          <w:color w:val="auto"/>
        </w:rPr>
      </w:pPr>
      <w:r>
        <w:rPr>
          <w:rFonts w:ascii="Arial" w:cs="Arial" w:eastAsia="Arial" w:hAnsi="Arial"/>
          <w:sz w:val="11"/>
          <w:szCs w:val="11"/>
          <w:color w:val="auto"/>
        </w:rPr>
        <w:t>Includes vested LTIP awards subject to holding conditions. Excludes unvested interests in shares awarded under the LTIP, DBP and PSP.</w:t>
      </w:r>
    </w:p>
    <w:p>
      <w:pPr>
        <w:ind w:left="180" w:hanging="172"/>
        <w:spacing w:after="0" w:line="230" w:lineRule="auto"/>
        <w:tabs>
          <w:tab w:leader="none" w:pos="180" w:val="left"/>
        </w:tabs>
        <w:numPr>
          <w:ilvl w:val="0"/>
          <w:numId w:val="108"/>
        </w:numPr>
        <w:rPr>
          <w:rFonts w:ascii="Arial" w:cs="Arial" w:eastAsia="Arial" w:hAnsi="Arial"/>
          <w:sz w:val="11"/>
          <w:szCs w:val="11"/>
          <w:color w:val="auto"/>
        </w:rPr>
      </w:pPr>
      <w:r>
        <w:rPr>
          <w:rFonts w:ascii="Arial" w:cs="Arial" w:eastAsia="Arial" w:hAnsi="Arial"/>
          <w:sz w:val="11"/>
          <w:szCs w:val="11"/>
          <w:color w:val="auto"/>
        </w:rPr>
        <w:t>Interests at May 20, 2014, when he stood down as a Director.</w:t>
      </w:r>
    </w:p>
    <w:p>
      <w:pPr>
        <w:ind w:right="100" w:firstLine="8"/>
        <w:spacing w:after="0" w:line="230" w:lineRule="auto"/>
        <w:tabs>
          <w:tab w:leader="none" w:pos="168" w:val="left"/>
        </w:tabs>
        <w:numPr>
          <w:ilvl w:val="0"/>
          <w:numId w:val="108"/>
        </w:numPr>
        <w:rPr>
          <w:rFonts w:ascii="Arial" w:cs="Arial" w:eastAsia="Arial" w:hAnsi="Arial"/>
          <w:sz w:val="11"/>
          <w:szCs w:val="11"/>
          <w:color w:val="auto"/>
        </w:rPr>
      </w:pPr>
      <w:r>
        <w:rPr>
          <w:rFonts w:ascii="Arial" w:cs="Arial" w:eastAsia="Arial" w:hAnsi="Arial"/>
          <w:sz w:val="11"/>
          <w:szCs w:val="11"/>
          <w:color w:val="auto"/>
        </w:rPr>
        <w:t>Held as 10,000 ADSs (RDS.B ADS) at January 1, 2014, and as 15,000 ADSs (RDS.B ADS) at December 31, 2014. Each RDS.B ADS represents two B shares.</w:t>
      </w:r>
    </w:p>
    <w:p>
      <w:pPr>
        <w:ind w:left="180" w:hanging="172"/>
        <w:spacing w:after="0" w:line="230" w:lineRule="auto"/>
        <w:tabs>
          <w:tab w:leader="none" w:pos="180" w:val="left"/>
        </w:tabs>
        <w:numPr>
          <w:ilvl w:val="0"/>
          <w:numId w:val="108"/>
        </w:numPr>
        <w:rPr>
          <w:rFonts w:ascii="Arial" w:cs="Arial" w:eastAsia="Arial" w:hAnsi="Arial"/>
          <w:sz w:val="11"/>
          <w:szCs w:val="11"/>
          <w:color w:val="auto"/>
        </w:rPr>
      </w:pPr>
      <w:r>
        <w:rPr>
          <w:rFonts w:ascii="Arial" w:cs="Arial" w:eastAsia="Arial" w:hAnsi="Arial"/>
          <w:sz w:val="11"/>
          <w:szCs w:val="11"/>
          <w:color w:val="auto"/>
        </w:rPr>
        <w:t>Held as 4,200 ADSs (RDS.B ADS). Each RDS.B ADS represents two B shares.</w:t>
      </w:r>
    </w:p>
    <w:p>
      <w:pPr>
        <w:ind w:left="180" w:hanging="172"/>
        <w:spacing w:after="0" w:line="230" w:lineRule="auto"/>
        <w:tabs>
          <w:tab w:leader="none" w:pos="180" w:val="left"/>
        </w:tabs>
        <w:numPr>
          <w:ilvl w:val="0"/>
          <w:numId w:val="108"/>
        </w:numPr>
        <w:rPr>
          <w:rFonts w:ascii="Arial" w:cs="Arial" w:eastAsia="Arial" w:hAnsi="Arial"/>
          <w:sz w:val="11"/>
          <w:szCs w:val="11"/>
          <w:color w:val="auto"/>
        </w:rPr>
      </w:pPr>
      <w:r>
        <w:rPr>
          <w:rFonts w:ascii="Arial" w:cs="Arial" w:eastAsia="Arial" w:hAnsi="Arial"/>
          <w:sz w:val="11"/>
          <w:szCs w:val="11"/>
          <w:color w:val="auto"/>
        </w:rPr>
        <w:t>At the date of appointment.</w:t>
      </w:r>
    </w:p>
    <w:p>
      <w:pPr>
        <w:ind w:left="160" w:hanging="152"/>
        <w:spacing w:after="0"/>
        <w:tabs>
          <w:tab w:leader="none" w:pos="160" w:val="left"/>
        </w:tabs>
        <w:numPr>
          <w:ilvl w:val="0"/>
          <w:numId w:val="108"/>
        </w:numPr>
        <w:rPr>
          <w:rFonts w:ascii="Arial" w:cs="Arial" w:eastAsia="Arial" w:hAnsi="Arial"/>
          <w:sz w:val="11"/>
          <w:szCs w:val="11"/>
          <w:color w:val="auto"/>
        </w:rPr>
      </w:pPr>
      <w:r>
        <w:rPr>
          <w:rFonts w:ascii="Arial" w:cs="Arial" w:eastAsia="Arial" w:hAnsi="Arial"/>
          <w:sz w:val="11"/>
          <w:szCs w:val="11"/>
          <w:color w:val="auto"/>
        </w:rPr>
        <w:t>Held as 3,000 ADSs (RDS.B ADS). Each RDS.B ADS represents two B shares.</w:t>
      </w:r>
    </w:p>
    <w:p>
      <w:pPr>
        <w:spacing w:after="0" w:line="20" w:lineRule="exact"/>
        <w:rPr>
          <w:sz w:val="20"/>
          <w:szCs w:val="20"/>
          <w:color w:val="auto"/>
        </w:rPr>
      </w:pPr>
      <w:r>
        <w:rPr>
          <w:sz w:val="20"/>
          <w:szCs w:val="20"/>
          <w:color w:val="auto"/>
        </w:rPr>
        <w:br w:type="column"/>
      </w:r>
    </w:p>
    <w:p>
      <w:pPr>
        <w:spacing w:after="0" w:line="248" w:lineRule="exact"/>
        <w:rPr>
          <w:sz w:val="20"/>
          <w:szCs w:val="20"/>
          <w:color w:val="auto"/>
        </w:rPr>
      </w:pPr>
    </w:p>
    <w:p>
      <w:pPr>
        <w:ind w:right="2580"/>
        <w:spacing w:after="0" w:line="339" w:lineRule="auto"/>
        <w:rPr>
          <w:sz w:val="20"/>
          <w:szCs w:val="20"/>
          <w:color w:val="auto"/>
        </w:rPr>
      </w:pPr>
      <w:r>
        <w:rPr>
          <w:rFonts w:ascii="Arial" w:cs="Arial" w:eastAsia="Arial" w:hAnsi="Arial"/>
          <w:sz w:val="18"/>
          <w:szCs w:val="18"/>
          <w:color w:val="auto"/>
        </w:rPr>
        <w:t>TSR PERFORMANCE AND CEO PAY Performance graphs</w:t>
      </w:r>
    </w:p>
    <w:p>
      <w:pPr>
        <w:spacing w:after="0" w:line="2" w:lineRule="exact"/>
        <w:rPr>
          <w:sz w:val="20"/>
          <w:szCs w:val="20"/>
          <w:color w:val="auto"/>
        </w:rPr>
      </w:pPr>
    </w:p>
    <w:p>
      <w:pPr>
        <w:ind w:right="200"/>
        <w:spacing w:after="0" w:line="250" w:lineRule="auto"/>
        <w:rPr>
          <w:sz w:val="20"/>
          <w:szCs w:val="20"/>
          <w:color w:val="auto"/>
        </w:rPr>
      </w:pPr>
      <w:r>
        <w:rPr>
          <w:rFonts w:ascii="Arial" w:cs="Arial" w:eastAsia="Arial" w:hAnsi="Arial"/>
          <w:sz w:val="14"/>
          <w:szCs w:val="14"/>
          <w:color w:val="auto"/>
        </w:rPr>
        <w:t>The graphs below compare the TSR performance of the Company over the past six financial years with that of the companies comprising the Euronext 100 and the FTSE 100 share indices.</w:t>
      </w:r>
    </w:p>
    <w:p>
      <w:pPr>
        <w:spacing w:after="0" w:line="172" w:lineRule="exact"/>
        <w:rPr>
          <w:sz w:val="20"/>
          <w:szCs w:val="20"/>
          <w:color w:val="auto"/>
        </w:rPr>
      </w:pPr>
    </w:p>
    <w:p>
      <w:pPr>
        <w:jc w:val="both"/>
        <w:ind w:right="240"/>
        <w:spacing w:after="0" w:line="250" w:lineRule="auto"/>
        <w:rPr>
          <w:sz w:val="20"/>
          <w:szCs w:val="20"/>
          <w:color w:val="auto"/>
        </w:rPr>
      </w:pPr>
      <w:r>
        <w:rPr>
          <w:rFonts w:ascii="Arial" w:cs="Arial" w:eastAsia="Arial" w:hAnsi="Arial"/>
          <w:sz w:val="14"/>
          <w:szCs w:val="14"/>
          <w:color w:val="auto"/>
        </w:rPr>
        <w:t>The Board regards the Euronext 100 and the FTSE 100 share indices as appropriate broad market equity indices for comparison, as they are the leading market indices in the Company’s home markets.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123190</wp:posOffset>
            </wp:positionV>
            <wp:extent cx="2804160" cy="258127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2804160" cy="2581275"/>
                    </a:xfrm>
                    <a:prstGeom prst="rect">
                      <a:avLst/>
                    </a:prstGeom>
                    <a:noFill/>
                  </pic:spPr>
                </pic:pic>
              </a:graphicData>
            </a:graphic>
          </wp:anchor>
        </w:drawing>
      </w:r>
    </w:p>
    <w:p>
      <w:pPr>
        <w:sectPr>
          <w:pgSz w:w="11900" w:h="16838" w:orient="portrait"/>
          <w:cols w:equalWidth="0" w:num="2">
            <w:col w:w="5480" w:space="300"/>
            <w:col w:w="5640"/>
          </w:cols>
          <w:pgMar w:left="240" w:top="459" w:right="239" w:bottom="1440" w:gutter="0" w:footer="0" w:header="0"/>
          <w:type w:val="continuous"/>
        </w:sectPr>
      </w:pPr>
    </w:p>
    <w:bookmarkStart w:id="90" w:name="page91"/>
    <w:bookmarkEnd w:id="90"/>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3555365</wp:posOffset>
            </wp:positionH>
            <wp:positionV relativeFrom="paragraph">
              <wp:posOffset>314960</wp:posOffset>
            </wp:positionV>
            <wp:extent cx="3696335" cy="46291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3696335" cy="462915"/>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11"/>
          <w:szCs w:val="11"/>
          <w:color w:val="auto"/>
        </w:rPr>
        <w:t>SHELL ANNUAL REPORT AND FORM 20-F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462280</wp:posOffset>
            </wp:positionV>
            <wp:extent cx="2804160" cy="258127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2804160" cy="25812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color w:val="auto"/>
        </w:rPr>
        <w:t>CEO pay outcomes</w:t>
      </w:r>
    </w:p>
    <w:p>
      <w:pPr>
        <w:spacing w:after="0" w:line="1" w:lineRule="exact"/>
        <w:rPr>
          <w:sz w:val="20"/>
          <w:szCs w:val="20"/>
          <w:color w:val="auto"/>
        </w:rPr>
      </w:pPr>
    </w:p>
    <w:p>
      <w:pPr>
        <w:ind w:right="280"/>
        <w:spacing w:after="0" w:line="250" w:lineRule="auto"/>
        <w:rPr>
          <w:sz w:val="20"/>
          <w:szCs w:val="20"/>
          <w:color w:val="auto"/>
        </w:rPr>
      </w:pPr>
      <w:r>
        <w:rPr>
          <w:rFonts w:ascii="Arial" w:cs="Arial" w:eastAsia="Arial" w:hAnsi="Arial"/>
          <w:sz w:val="14"/>
          <w:szCs w:val="14"/>
          <w:color w:val="auto"/>
        </w:rPr>
        <w:t>The following table sets out the single total figure of remuneration, and the annual bonus payout and long-term incentive (LTI) vesting rates compared with the respective maximum opportunity, for the CEO for the last six years.</w:t>
      </w:r>
    </w:p>
    <w:p>
      <w:pPr>
        <w:spacing w:after="0" w:line="173" w:lineRule="exact"/>
        <w:rPr>
          <w:sz w:val="20"/>
          <w:szCs w:val="20"/>
          <w:color w:val="auto"/>
        </w:rPr>
      </w:pPr>
    </w:p>
    <w:p>
      <w:pPr>
        <w:ind w:left="80"/>
        <w:spacing w:after="0"/>
        <w:rPr>
          <w:sz w:val="20"/>
          <w:szCs w:val="20"/>
          <w:color w:val="auto"/>
        </w:rPr>
      </w:pPr>
      <w:r>
        <w:rPr>
          <w:rFonts w:ascii="Arial" w:cs="Arial" w:eastAsia="Arial" w:hAnsi="Arial"/>
          <w:sz w:val="15"/>
          <w:szCs w:val="15"/>
          <w:b w:val="1"/>
          <w:bCs w:val="1"/>
          <w:color w:val="FFFFFF"/>
        </w:rPr>
        <w:t>CEO PAY OUTCOMES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-95250</wp:posOffset>
            </wp:positionV>
            <wp:extent cx="3473450" cy="10287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3473450" cy="10287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40"/>
        </w:trPr>
        <w:tc>
          <w:tcPr>
            <w:tcW w:w="86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740" w:type="dxa"/>
            <w:vAlign w:val="bottom"/>
          </w:tcPr>
          <w:p>
            <w:pPr>
              <w:jc w:val="right"/>
              <w:spacing w:after="0" w:line="140" w:lineRule="exact"/>
              <w:rPr>
                <w:sz w:val="20"/>
                <w:szCs w:val="20"/>
                <w:color w:val="auto"/>
              </w:rPr>
            </w:pPr>
            <w:r>
              <w:rPr>
                <w:rFonts w:ascii="Arial" w:cs="Arial" w:eastAsia="Arial" w:hAnsi="Arial"/>
                <w:sz w:val="13"/>
                <w:szCs w:val="13"/>
                <w:color w:val="auto"/>
              </w:rPr>
              <w:t>Annual</w:t>
            </w:r>
          </w:p>
        </w:tc>
        <w:tc>
          <w:tcPr>
            <w:tcW w:w="760" w:type="dxa"/>
            <w:vAlign w:val="bottom"/>
          </w:tcPr>
          <w:p>
            <w:pPr>
              <w:spacing w:after="0"/>
              <w:rPr>
                <w:sz w:val="12"/>
                <w:szCs w:val="12"/>
                <w:color w:val="auto"/>
              </w:rPr>
            </w:pPr>
          </w:p>
        </w:tc>
      </w:tr>
      <w:tr>
        <w:trPr>
          <w:trHeight w:val="135"/>
        </w:trPr>
        <w:tc>
          <w:tcPr>
            <w:tcW w:w="860" w:type="dxa"/>
            <w:vAlign w:val="bottom"/>
          </w:tcPr>
          <w:p>
            <w:pPr>
              <w:spacing w:after="0"/>
              <w:rPr>
                <w:sz w:val="11"/>
                <w:szCs w:val="11"/>
                <w:color w:val="auto"/>
              </w:rPr>
            </w:pPr>
          </w:p>
        </w:tc>
        <w:tc>
          <w:tcPr>
            <w:tcW w:w="20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40" w:type="dxa"/>
            <w:vAlign w:val="bottom"/>
          </w:tcPr>
          <w:p>
            <w:pPr>
              <w:jc w:val="right"/>
              <w:spacing w:after="0" w:line="135" w:lineRule="exact"/>
              <w:rPr>
                <w:sz w:val="20"/>
                <w:szCs w:val="20"/>
                <w:color w:val="auto"/>
              </w:rPr>
            </w:pPr>
            <w:r>
              <w:rPr>
                <w:rFonts w:ascii="Arial" w:cs="Arial" w:eastAsia="Arial" w:hAnsi="Arial"/>
                <w:sz w:val="13"/>
                <w:szCs w:val="13"/>
                <w:color w:val="auto"/>
              </w:rPr>
              <w:t>bonus</w:t>
            </w:r>
          </w:p>
        </w:tc>
        <w:tc>
          <w:tcPr>
            <w:tcW w:w="760" w:type="dxa"/>
            <w:vAlign w:val="bottom"/>
          </w:tcPr>
          <w:p>
            <w:pPr>
              <w:spacing w:after="0"/>
              <w:rPr>
                <w:sz w:val="11"/>
                <w:szCs w:val="11"/>
                <w:color w:val="auto"/>
              </w:rPr>
            </w:pPr>
          </w:p>
        </w:tc>
      </w:tr>
      <w:tr>
        <w:trPr>
          <w:trHeight w:val="135"/>
        </w:trPr>
        <w:tc>
          <w:tcPr>
            <w:tcW w:w="860" w:type="dxa"/>
            <w:vAlign w:val="bottom"/>
          </w:tcPr>
          <w:p>
            <w:pPr>
              <w:spacing w:after="0"/>
              <w:rPr>
                <w:sz w:val="11"/>
                <w:szCs w:val="11"/>
                <w:color w:val="auto"/>
              </w:rPr>
            </w:pPr>
          </w:p>
        </w:tc>
        <w:tc>
          <w:tcPr>
            <w:tcW w:w="2040" w:type="dxa"/>
            <w:vAlign w:val="bottom"/>
          </w:tcPr>
          <w:p>
            <w:pPr>
              <w:spacing w:after="0"/>
              <w:rPr>
                <w:sz w:val="11"/>
                <w:szCs w:val="11"/>
                <w:color w:val="auto"/>
              </w:rPr>
            </w:pPr>
          </w:p>
        </w:tc>
        <w:tc>
          <w:tcPr>
            <w:tcW w:w="1080" w:type="dxa"/>
            <w:vAlign w:val="bottom"/>
          </w:tcPr>
          <w:p>
            <w:pPr>
              <w:jc w:val="right"/>
              <w:ind w:right="31"/>
              <w:spacing w:after="0" w:line="135" w:lineRule="exact"/>
              <w:rPr>
                <w:sz w:val="20"/>
                <w:szCs w:val="20"/>
                <w:color w:val="auto"/>
              </w:rPr>
            </w:pPr>
            <w:r>
              <w:rPr>
                <w:rFonts w:ascii="Arial" w:cs="Arial" w:eastAsia="Arial" w:hAnsi="Arial"/>
                <w:sz w:val="13"/>
                <w:szCs w:val="13"/>
                <w:color w:val="auto"/>
              </w:rPr>
              <w:t>Single total</w:t>
            </w:r>
          </w:p>
        </w:tc>
        <w:tc>
          <w:tcPr>
            <w:tcW w:w="740" w:type="dxa"/>
            <w:vAlign w:val="bottom"/>
          </w:tcPr>
          <w:p>
            <w:pPr>
              <w:jc w:val="right"/>
              <w:spacing w:after="0" w:line="135" w:lineRule="exact"/>
              <w:rPr>
                <w:sz w:val="20"/>
                <w:szCs w:val="20"/>
                <w:color w:val="auto"/>
              </w:rPr>
            </w:pPr>
            <w:r>
              <w:rPr>
                <w:rFonts w:ascii="Arial" w:cs="Arial" w:eastAsia="Arial" w:hAnsi="Arial"/>
                <w:sz w:val="13"/>
                <w:szCs w:val="13"/>
                <w:color w:val="auto"/>
              </w:rPr>
              <w:t>payout</w:t>
            </w:r>
          </w:p>
        </w:tc>
        <w:tc>
          <w:tcPr>
            <w:tcW w:w="760" w:type="dxa"/>
            <w:vAlign w:val="bottom"/>
          </w:tcPr>
          <w:p>
            <w:pPr>
              <w:jc w:val="right"/>
              <w:spacing w:after="0" w:line="135" w:lineRule="exact"/>
              <w:rPr>
                <w:sz w:val="20"/>
                <w:szCs w:val="20"/>
                <w:color w:val="auto"/>
              </w:rPr>
            </w:pPr>
            <w:r>
              <w:rPr>
                <w:rFonts w:ascii="Arial" w:cs="Arial" w:eastAsia="Arial" w:hAnsi="Arial"/>
                <w:sz w:val="13"/>
                <w:szCs w:val="13"/>
                <w:color w:val="auto"/>
              </w:rPr>
              <w:t>LTI vesting</w:t>
            </w:r>
          </w:p>
        </w:tc>
      </w:tr>
      <w:tr>
        <w:trPr>
          <w:trHeight w:val="135"/>
        </w:trPr>
        <w:tc>
          <w:tcPr>
            <w:tcW w:w="860" w:type="dxa"/>
            <w:vAlign w:val="bottom"/>
          </w:tcPr>
          <w:p>
            <w:pPr>
              <w:spacing w:after="0"/>
              <w:rPr>
                <w:sz w:val="11"/>
                <w:szCs w:val="11"/>
                <w:color w:val="auto"/>
              </w:rPr>
            </w:pPr>
          </w:p>
        </w:tc>
        <w:tc>
          <w:tcPr>
            <w:tcW w:w="2040" w:type="dxa"/>
            <w:vAlign w:val="bottom"/>
          </w:tcPr>
          <w:p>
            <w:pPr>
              <w:spacing w:after="0"/>
              <w:rPr>
                <w:sz w:val="11"/>
                <w:szCs w:val="11"/>
                <w:color w:val="auto"/>
              </w:rPr>
            </w:pPr>
          </w:p>
        </w:tc>
        <w:tc>
          <w:tcPr>
            <w:tcW w:w="1080" w:type="dxa"/>
            <w:vAlign w:val="bottom"/>
          </w:tcPr>
          <w:p>
            <w:pPr>
              <w:jc w:val="right"/>
              <w:ind w:right="31"/>
              <w:spacing w:after="0" w:line="135" w:lineRule="exact"/>
              <w:rPr>
                <w:sz w:val="20"/>
                <w:szCs w:val="20"/>
                <w:color w:val="auto"/>
              </w:rPr>
            </w:pPr>
            <w:r>
              <w:rPr>
                <w:rFonts w:ascii="Arial" w:cs="Arial" w:eastAsia="Arial" w:hAnsi="Arial"/>
                <w:sz w:val="13"/>
                <w:szCs w:val="13"/>
                <w:color w:val="auto"/>
              </w:rPr>
              <w:t>figure of</w:t>
            </w:r>
          </w:p>
        </w:tc>
        <w:tc>
          <w:tcPr>
            <w:tcW w:w="740" w:type="dxa"/>
            <w:vAlign w:val="bottom"/>
          </w:tcPr>
          <w:p>
            <w:pPr>
              <w:jc w:val="right"/>
              <w:spacing w:after="0" w:line="135" w:lineRule="exact"/>
              <w:rPr>
                <w:sz w:val="20"/>
                <w:szCs w:val="20"/>
                <w:color w:val="auto"/>
              </w:rPr>
            </w:pPr>
            <w:r>
              <w:rPr>
                <w:rFonts w:ascii="Arial" w:cs="Arial" w:eastAsia="Arial" w:hAnsi="Arial"/>
                <w:sz w:val="13"/>
                <w:szCs w:val="13"/>
                <w:color w:val="auto"/>
              </w:rPr>
              <w:t>against</w:t>
            </w:r>
          </w:p>
        </w:tc>
        <w:tc>
          <w:tcPr>
            <w:tcW w:w="760" w:type="dxa"/>
            <w:vAlign w:val="bottom"/>
          </w:tcPr>
          <w:p>
            <w:pPr>
              <w:jc w:val="right"/>
              <w:spacing w:after="0" w:line="135" w:lineRule="exact"/>
              <w:rPr>
                <w:sz w:val="20"/>
                <w:szCs w:val="20"/>
                <w:color w:val="auto"/>
              </w:rPr>
            </w:pPr>
            <w:r>
              <w:rPr>
                <w:rFonts w:ascii="Arial" w:cs="Arial" w:eastAsia="Arial" w:hAnsi="Arial"/>
                <w:sz w:val="13"/>
                <w:szCs w:val="13"/>
                <w:color w:val="auto"/>
                <w:w w:val="99"/>
              </w:rPr>
              <w:t>rates against</w:t>
            </w:r>
          </w:p>
        </w:tc>
      </w:tr>
      <w:tr>
        <w:trPr>
          <w:trHeight w:val="135"/>
        </w:trPr>
        <w:tc>
          <w:tcPr>
            <w:tcW w:w="860" w:type="dxa"/>
            <w:vAlign w:val="bottom"/>
          </w:tcPr>
          <w:p>
            <w:pPr>
              <w:spacing w:after="0"/>
              <w:rPr>
                <w:sz w:val="11"/>
                <w:szCs w:val="11"/>
                <w:color w:val="auto"/>
              </w:rPr>
            </w:pPr>
          </w:p>
        </w:tc>
        <w:tc>
          <w:tcPr>
            <w:tcW w:w="2040" w:type="dxa"/>
            <w:vAlign w:val="bottom"/>
          </w:tcPr>
          <w:p>
            <w:pPr>
              <w:spacing w:after="0"/>
              <w:rPr>
                <w:sz w:val="11"/>
                <w:szCs w:val="11"/>
                <w:color w:val="auto"/>
              </w:rPr>
            </w:pPr>
          </w:p>
        </w:tc>
        <w:tc>
          <w:tcPr>
            <w:tcW w:w="1080" w:type="dxa"/>
            <w:vAlign w:val="bottom"/>
          </w:tcPr>
          <w:p>
            <w:pPr>
              <w:jc w:val="right"/>
              <w:ind w:right="31"/>
              <w:spacing w:after="0" w:line="135" w:lineRule="exact"/>
              <w:rPr>
                <w:sz w:val="20"/>
                <w:szCs w:val="20"/>
                <w:color w:val="auto"/>
              </w:rPr>
            </w:pPr>
            <w:r>
              <w:rPr>
                <w:rFonts w:ascii="Arial" w:cs="Arial" w:eastAsia="Arial" w:hAnsi="Arial"/>
                <w:sz w:val="13"/>
                <w:szCs w:val="13"/>
                <w:color w:val="auto"/>
              </w:rPr>
              <w:t>remuneration</w:t>
            </w:r>
          </w:p>
        </w:tc>
        <w:tc>
          <w:tcPr>
            <w:tcW w:w="740" w:type="dxa"/>
            <w:vAlign w:val="bottom"/>
          </w:tcPr>
          <w:p>
            <w:pPr>
              <w:jc w:val="right"/>
              <w:spacing w:after="0" w:line="135" w:lineRule="exact"/>
              <w:rPr>
                <w:sz w:val="20"/>
                <w:szCs w:val="20"/>
                <w:color w:val="auto"/>
              </w:rPr>
            </w:pPr>
            <w:r>
              <w:rPr>
                <w:rFonts w:ascii="Arial" w:cs="Arial" w:eastAsia="Arial" w:hAnsi="Arial"/>
                <w:sz w:val="13"/>
                <w:szCs w:val="13"/>
                <w:color w:val="auto"/>
              </w:rPr>
              <w:t>maximum</w:t>
            </w:r>
          </w:p>
        </w:tc>
        <w:tc>
          <w:tcPr>
            <w:tcW w:w="760" w:type="dxa"/>
            <w:vAlign w:val="bottom"/>
          </w:tcPr>
          <w:p>
            <w:pPr>
              <w:jc w:val="right"/>
              <w:spacing w:after="0" w:line="135" w:lineRule="exact"/>
              <w:rPr>
                <w:sz w:val="20"/>
                <w:szCs w:val="20"/>
                <w:color w:val="auto"/>
              </w:rPr>
            </w:pPr>
            <w:r>
              <w:rPr>
                <w:rFonts w:ascii="Arial" w:cs="Arial" w:eastAsia="Arial" w:hAnsi="Arial"/>
                <w:sz w:val="13"/>
                <w:szCs w:val="13"/>
                <w:color w:val="auto"/>
              </w:rPr>
              <w:t>maximum</w:t>
            </w:r>
          </w:p>
        </w:tc>
      </w:tr>
      <w:tr>
        <w:trPr>
          <w:trHeight w:val="155"/>
        </w:trPr>
        <w:tc>
          <w:tcPr>
            <w:tcW w:w="86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Year</w:t>
            </w:r>
          </w:p>
        </w:tc>
        <w:tc>
          <w:tcPr>
            <w:tcW w:w="2040" w:type="dxa"/>
            <w:vAlign w:val="bottom"/>
            <w:tcBorders>
              <w:bottom w:val="single" w:sz="8" w:color="auto"/>
            </w:tcBorders>
          </w:tcPr>
          <w:p>
            <w:pPr>
              <w:ind w:left="520"/>
              <w:spacing w:after="0"/>
              <w:rPr>
                <w:sz w:val="20"/>
                <w:szCs w:val="20"/>
                <w:color w:val="auto"/>
              </w:rPr>
            </w:pPr>
            <w:r>
              <w:rPr>
                <w:rFonts w:ascii="Arial" w:cs="Arial" w:eastAsia="Arial" w:hAnsi="Arial"/>
                <w:sz w:val="13"/>
                <w:szCs w:val="13"/>
                <w:color w:val="auto"/>
              </w:rPr>
              <w:t>CEO</w:t>
            </w:r>
          </w:p>
        </w:tc>
        <w:tc>
          <w:tcPr>
            <w:tcW w:w="1080" w:type="dxa"/>
            <w:vAlign w:val="bottom"/>
            <w:tcBorders>
              <w:bottom w:val="single" w:sz="8" w:color="auto"/>
            </w:tcBorders>
          </w:tcPr>
          <w:p>
            <w:pPr>
              <w:jc w:val="right"/>
              <w:ind w:right="31"/>
              <w:spacing w:after="0"/>
              <w:rPr>
                <w:sz w:val="20"/>
                <w:szCs w:val="20"/>
                <w:color w:val="auto"/>
              </w:rPr>
            </w:pPr>
            <w:r>
              <w:rPr>
                <w:rFonts w:ascii="Arial" w:cs="Arial" w:eastAsia="Arial" w:hAnsi="Arial"/>
                <w:sz w:val="13"/>
                <w:szCs w:val="13"/>
                <w:color w:val="auto"/>
              </w:rPr>
              <w:t>(€000)</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opportunity</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opportunity</w:t>
            </w:r>
          </w:p>
        </w:tc>
      </w:tr>
      <w:tr>
        <w:trPr>
          <w:trHeight w:val="160"/>
        </w:trPr>
        <w:tc>
          <w:tcPr>
            <w:tcW w:w="860" w:type="dxa"/>
            <w:vAlign w:val="bottom"/>
          </w:tcPr>
          <w:p>
            <w:pPr>
              <w:ind w:left="20"/>
              <w:spacing w:after="0"/>
              <w:rPr>
                <w:sz w:val="20"/>
                <w:szCs w:val="20"/>
                <w:color w:val="auto"/>
              </w:rPr>
            </w:pPr>
            <w:r>
              <w:rPr>
                <w:rFonts w:ascii="Arial" w:cs="Arial" w:eastAsia="Arial" w:hAnsi="Arial"/>
                <w:sz w:val="14"/>
                <w:szCs w:val="14"/>
                <w:color w:val="auto"/>
              </w:rPr>
              <w:t>2014</w:t>
            </w:r>
          </w:p>
        </w:tc>
        <w:tc>
          <w:tcPr>
            <w:tcW w:w="2040" w:type="dxa"/>
            <w:vAlign w:val="bottom"/>
          </w:tcPr>
          <w:p>
            <w:pPr>
              <w:ind w:left="520"/>
              <w:spacing w:after="0"/>
              <w:rPr>
                <w:sz w:val="20"/>
                <w:szCs w:val="20"/>
                <w:color w:val="auto"/>
              </w:rPr>
            </w:pPr>
            <w:r>
              <w:rPr>
                <w:rFonts w:ascii="Arial" w:cs="Arial" w:eastAsia="Arial" w:hAnsi="Arial"/>
                <w:sz w:val="14"/>
                <w:szCs w:val="14"/>
                <w:color w:val="auto"/>
              </w:rPr>
              <w:t>Ben van Beurden</w:t>
            </w:r>
          </w:p>
        </w:tc>
        <w:tc>
          <w:tcPr>
            <w:tcW w:w="1080" w:type="dxa"/>
            <w:vAlign w:val="bottom"/>
          </w:tcPr>
          <w:p>
            <w:pPr>
              <w:jc w:val="right"/>
              <w:ind w:right="31"/>
              <w:spacing w:after="0"/>
              <w:rPr>
                <w:sz w:val="20"/>
                <w:szCs w:val="20"/>
                <w:color w:val="auto"/>
              </w:rPr>
            </w:pPr>
            <w:r>
              <w:rPr>
                <w:rFonts w:ascii="Arial" w:cs="Arial" w:eastAsia="Arial" w:hAnsi="Arial"/>
                <w:sz w:val="14"/>
                <w:szCs w:val="14"/>
                <w:color w:val="auto"/>
              </w:rPr>
              <w:t>24,198</w:t>
            </w:r>
          </w:p>
        </w:tc>
        <w:tc>
          <w:tcPr>
            <w:tcW w:w="740" w:type="dxa"/>
            <w:vAlign w:val="bottom"/>
          </w:tcPr>
          <w:p>
            <w:pPr>
              <w:jc w:val="right"/>
              <w:spacing w:after="0"/>
              <w:rPr>
                <w:sz w:val="20"/>
                <w:szCs w:val="20"/>
                <w:color w:val="auto"/>
              </w:rPr>
            </w:pPr>
            <w:r>
              <w:rPr>
                <w:rFonts w:ascii="Arial" w:cs="Arial" w:eastAsia="Arial" w:hAnsi="Arial"/>
                <w:sz w:val="14"/>
                <w:szCs w:val="14"/>
                <w:color w:val="auto"/>
              </w:rPr>
              <w:t>94%</w:t>
            </w:r>
          </w:p>
        </w:tc>
        <w:tc>
          <w:tcPr>
            <w:tcW w:w="760" w:type="dxa"/>
            <w:vAlign w:val="bottom"/>
          </w:tcPr>
          <w:p>
            <w:pPr>
              <w:jc w:val="right"/>
              <w:spacing w:after="0"/>
              <w:rPr>
                <w:sz w:val="20"/>
                <w:szCs w:val="20"/>
                <w:color w:val="auto"/>
              </w:rPr>
            </w:pPr>
            <w:r>
              <w:rPr>
                <w:rFonts w:ascii="Arial" w:cs="Arial" w:eastAsia="Arial" w:hAnsi="Arial"/>
                <w:sz w:val="14"/>
                <w:szCs w:val="14"/>
                <w:color w:val="auto"/>
              </w:rPr>
              <w:t>49%</w:t>
            </w:r>
          </w:p>
        </w:tc>
      </w:tr>
      <w:tr>
        <w:trPr>
          <w:trHeight w:val="162"/>
        </w:trPr>
        <w:tc>
          <w:tcPr>
            <w:tcW w:w="860" w:type="dxa"/>
            <w:vAlign w:val="bottom"/>
          </w:tcPr>
          <w:p>
            <w:pPr>
              <w:ind w:left="20"/>
              <w:spacing w:after="0"/>
              <w:rPr>
                <w:sz w:val="20"/>
                <w:szCs w:val="20"/>
                <w:color w:val="auto"/>
              </w:rPr>
            </w:pPr>
            <w:r>
              <w:rPr>
                <w:rFonts w:ascii="Arial" w:cs="Arial" w:eastAsia="Arial" w:hAnsi="Arial"/>
                <w:sz w:val="14"/>
                <w:szCs w:val="14"/>
                <w:color w:val="auto"/>
              </w:rPr>
              <w:t>2013</w:t>
            </w:r>
          </w:p>
        </w:tc>
        <w:tc>
          <w:tcPr>
            <w:tcW w:w="2040" w:type="dxa"/>
            <w:vAlign w:val="bottom"/>
          </w:tcPr>
          <w:p>
            <w:pPr>
              <w:ind w:left="520"/>
              <w:spacing w:after="0"/>
              <w:rPr>
                <w:sz w:val="20"/>
                <w:szCs w:val="20"/>
                <w:color w:val="auto"/>
              </w:rPr>
            </w:pPr>
            <w:r>
              <w:rPr>
                <w:rFonts w:ascii="Arial" w:cs="Arial" w:eastAsia="Arial" w:hAnsi="Arial"/>
                <w:sz w:val="14"/>
                <w:szCs w:val="14"/>
                <w:color w:val="auto"/>
              </w:rPr>
              <w:t>Peter Voser</w:t>
            </w:r>
          </w:p>
        </w:tc>
        <w:tc>
          <w:tcPr>
            <w:tcW w:w="1080" w:type="dxa"/>
            <w:vAlign w:val="bottom"/>
          </w:tcPr>
          <w:p>
            <w:pPr>
              <w:jc w:val="right"/>
              <w:ind w:right="31"/>
              <w:spacing w:after="0"/>
              <w:rPr>
                <w:sz w:val="20"/>
                <w:szCs w:val="20"/>
                <w:color w:val="auto"/>
              </w:rPr>
            </w:pPr>
            <w:r>
              <w:rPr>
                <w:rFonts w:ascii="Arial" w:cs="Arial" w:eastAsia="Arial" w:hAnsi="Arial"/>
                <w:sz w:val="14"/>
                <w:szCs w:val="14"/>
                <w:color w:val="auto"/>
              </w:rPr>
              <w:t>8,456</w:t>
            </w:r>
          </w:p>
        </w:tc>
        <w:tc>
          <w:tcPr>
            <w:tcW w:w="740" w:type="dxa"/>
            <w:vAlign w:val="bottom"/>
          </w:tcPr>
          <w:p>
            <w:pPr>
              <w:jc w:val="right"/>
              <w:spacing w:after="0"/>
              <w:rPr>
                <w:sz w:val="20"/>
                <w:szCs w:val="20"/>
                <w:color w:val="auto"/>
              </w:rPr>
            </w:pPr>
            <w:r>
              <w:rPr>
                <w:rFonts w:ascii="Arial" w:cs="Arial" w:eastAsia="Arial" w:hAnsi="Arial"/>
                <w:sz w:val="14"/>
                <w:szCs w:val="14"/>
                <w:color w:val="auto"/>
              </w:rPr>
              <w:t>44%</w:t>
            </w:r>
          </w:p>
        </w:tc>
        <w:tc>
          <w:tcPr>
            <w:tcW w:w="760" w:type="dxa"/>
            <w:vAlign w:val="bottom"/>
          </w:tcPr>
          <w:p>
            <w:pPr>
              <w:jc w:val="right"/>
              <w:spacing w:after="0"/>
              <w:rPr>
                <w:sz w:val="20"/>
                <w:szCs w:val="20"/>
                <w:color w:val="auto"/>
              </w:rPr>
            </w:pPr>
            <w:r>
              <w:rPr>
                <w:rFonts w:ascii="Arial" w:cs="Arial" w:eastAsia="Arial" w:hAnsi="Arial"/>
                <w:sz w:val="14"/>
                <w:szCs w:val="14"/>
                <w:color w:val="auto"/>
              </w:rPr>
              <w:t>30%</w:t>
            </w:r>
          </w:p>
        </w:tc>
      </w:tr>
      <w:tr>
        <w:trPr>
          <w:trHeight w:val="162"/>
        </w:trPr>
        <w:tc>
          <w:tcPr>
            <w:tcW w:w="860" w:type="dxa"/>
            <w:vAlign w:val="bottom"/>
          </w:tcPr>
          <w:p>
            <w:pPr>
              <w:ind w:left="20"/>
              <w:spacing w:after="0"/>
              <w:rPr>
                <w:sz w:val="20"/>
                <w:szCs w:val="20"/>
                <w:color w:val="auto"/>
              </w:rPr>
            </w:pPr>
            <w:r>
              <w:rPr>
                <w:rFonts w:ascii="Arial" w:cs="Arial" w:eastAsia="Arial" w:hAnsi="Arial"/>
                <w:sz w:val="14"/>
                <w:szCs w:val="14"/>
                <w:color w:val="auto"/>
              </w:rPr>
              <w:t>2012</w:t>
            </w:r>
          </w:p>
        </w:tc>
        <w:tc>
          <w:tcPr>
            <w:tcW w:w="2040" w:type="dxa"/>
            <w:vAlign w:val="bottom"/>
          </w:tcPr>
          <w:p>
            <w:pPr>
              <w:ind w:left="520"/>
              <w:spacing w:after="0"/>
              <w:rPr>
                <w:sz w:val="20"/>
                <w:szCs w:val="20"/>
                <w:color w:val="auto"/>
              </w:rPr>
            </w:pPr>
            <w:r>
              <w:rPr>
                <w:rFonts w:ascii="Arial" w:cs="Arial" w:eastAsia="Arial" w:hAnsi="Arial"/>
                <w:sz w:val="14"/>
                <w:szCs w:val="14"/>
                <w:color w:val="auto"/>
              </w:rPr>
              <w:t>Peter Voser</w:t>
            </w:r>
          </w:p>
        </w:tc>
        <w:tc>
          <w:tcPr>
            <w:tcW w:w="1080" w:type="dxa"/>
            <w:vAlign w:val="bottom"/>
          </w:tcPr>
          <w:p>
            <w:pPr>
              <w:jc w:val="right"/>
              <w:ind w:right="31"/>
              <w:spacing w:after="0"/>
              <w:rPr>
                <w:sz w:val="20"/>
                <w:szCs w:val="20"/>
                <w:color w:val="auto"/>
              </w:rPr>
            </w:pPr>
            <w:r>
              <w:rPr>
                <w:rFonts w:ascii="Arial" w:cs="Arial" w:eastAsia="Arial" w:hAnsi="Arial"/>
                <w:sz w:val="14"/>
                <w:szCs w:val="14"/>
                <w:color w:val="auto"/>
              </w:rPr>
              <w:t>18,246</w:t>
            </w:r>
          </w:p>
        </w:tc>
        <w:tc>
          <w:tcPr>
            <w:tcW w:w="740" w:type="dxa"/>
            <w:vAlign w:val="bottom"/>
          </w:tcPr>
          <w:p>
            <w:pPr>
              <w:jc w:val="right"/>
              <w:spacing w:after="0"/>
              <w:rPr>
                <w:sz w:val="20"/>
                <w:szCs w:val="20"/>
                <w:color w:val="auto"/>
              </w:rPr>
            </w:pPr>
            <w:r>
              <w:rPr>
                <w:rFonts w:ascii="Arial" w:cs="Arial" w:eastAsia="Arial" w:hAnsi="Arial"/>
                <w:sz w:val="14"/>
                <w:szCs w:val="14"/>
                <w:color w:val="auto"/>
              </w:rPr>
              <w:t>83%</w:t>
            </w:r>
          </w:p>
        </w:tc>
        <w:tc>
          <w:tcPr>
            <w:tcW w:w="760" w:type="dxa"/>
            <w:vAlign w:val="bottom"/>
          </w:tcPr>
          <w:p>
            <w:pPr>
              <w:jc w:val="right"/>
              <w:spacing w:after="0"/>
              <w:rPr>
                <w:sz w:val="20"/>
                <w:szCs w:val="20"/>
                <w:color w:val="auto"/>
              </w:rPr>
            </w:pPr>
            <w:r>
              <w:rPr>
                <w:rFonts w:ascii="Arial" w:cs="Arial" w:eastAsia="Arial" w:hAnsi="Arial"/>
                <w:sz w:val="14"/>
                <w:szCs w:val="14"/>
                <w:color w:val="auto"/>
              </w:rPr>
              <w:t>88%</w:t>
            </w:r>
          </w:p>
        </w:tc>
      </w:tr>
      <w:tr>
        <w:trPr>
          <w:trHeight w:val="162"/>
        </w:trPr>
        <w:tc>
          <w:tcPr>
            <w:tcW w:w="860" w:type="dxa"/>
            <w:vAlign w:val="bottom"/>
          </w:tcPr>
          <w:p>
            <w:pPr>
              <w:ind w:left="20"/>
              <w:spacing w:after="0"/>
              <w:rPr>
                <w:sz w:val="20"/>
                <w:szCs w:val="20"/>
                <w:color w:val="auto"/>
              </w:rPr>
            </w:pPr>
            <w:r>
              <w:rPr>
                <w:rFonts w:ascii="Arial" w:cs="Arial" w:eastAsia="Arial" w:hAnsi="Arial"/>
                <w:sz w:val="14"/>
                <w:szCs w:val="14"/>
                <w:color w:val="auto"/>
              </w:rPr>
              <w:t>2011</w:t>
            </w:r>
          </w:p>
        </w:tc>
        <w:tc>
          <w:tcPr>
            <w:tcW w:w="2040" w:type="dxa"/>
            <w:vAlign w:val="bottom"/>
          </w:tcPr>
          <w:p>
            <w:pPr>
              <w:ind w:left="520"/>
              <w:spacing w:after="0"/>
              <w:rPr>
                <w:sz w:val="20"/>
                <w:szCs w:val="20"/>
                <w:color w:val="auto"/>
              </w:rPr>
            </w:pPr>
            <w:r>
              <w:rPr>
                <w:rFonts w:ascii="Arial" w:cs="Arial" w:eastAsia="Arial" w:hAnsi="Arial"/>
                <w:sz w:val="14"/>
                <w:szCs w:val="14"/>
                <w:color w:val="auto"/>
              </w:rPr>
              <w:t>Peter Voser</w:t>
            </w:r>
          </w:p>
        </w:tc>
        <w:tc>
          <w:tcPr>
            <w:tcW w:w="1080" w:type="dxa"/>
            <w:vAlign w:val="bottom"/>
          </w:tcPr>
          <w:p>
            <w:pPr>
              <w:jc w:val="right"/>
              <w:ind w:right="31"/>
              <w:spacing w:after="0"/>
              <w:rPr>
                <w:sz w:val="20"/>
                <w:szCs w:val="20"/>
                <w:color w:val="auto"/>
              </w:rPr>
            </w:pPr>
            <w:r>
              <w:rPr>
                <w:rFonts w:ascii="Arial" w:cs="Arial" w:eastAsia="Arial" w:hAnsi="Arial"/>
                <w:sz w:val="14"/>
                <w:szCs w:val="14"/>
                <w:color w:val="auto"/>
              </w:rPr>
              <w:t>9,941</w:t>
            </w:r>
          </w:p>
        </w:tc>
        <w:tc>
          <w:tcPr>
            <w:tcW w:w="740" w:type="dxa"/>
            <w:vAlign w:val="bottom"/>
          </w:tcPr>
          <w:p>
            <w:pPr>
              <w:jc w:val="right"/>
              <w:spacing w:after="0"/>
              <w:rPr>
                <w:sz w:val="20"/>
                <w:szCs w:val="20"/>
                <w:color w:val="auto"/>
              </w:rPr>
            </w:pPr>
            <w:r>
              <w:rPr>
                <w:rFonts w:ascii="Arial" w:cs="Arial" w:eastAsia="Arial" w:hAnsi="Arial"/>
                <w:sz w:val="14"/>
                <w:szCs w:val="14"/>
                <w:color w:val="auto"/>
              </w:rPr>
              <w:t>90%</w:t>
            </w:r>
          </w:p>
        </w:tc>
        <w:tc>
          <w:tcPr>
            <w:tcW w:w="760" w:type="dxa"/>
            <w:vAlign w:val="bottom"/>
          </w:tcPr>
          <w:p>
            <w:pPr>
              <w:jc w:val="right"/>
              <w:spacing w:after="0"/>
              <w:rPr>
                <w:sz w:val="20"/>
                <w:szCs w:val="20"/>
                <w:color w:val="auto"/>
              </w:rPr>
            </w:pPr>
            <w:r>
              <w:rPr>
                <w:rFonts w:ascii="Arial" w:cs="Arial" w:eastAsia="Arial" w:hAnsi="Arial"/>
                <w:sz w:val="14"/>
                <w:szCs w:val="14"/>
                <w:color w:val="auto"/>
              </w:rPr>
              <w:t>30%</w:t>
            </w:r>
          </w:p>
        </w:tc>
      </w:tr>
      <w:tr>
        <w:trPr>
          <w:trHeight w:val="162"/>
        </w:trPr>
        <w:tc>
          <w:tcPr>
            <w:tcW w:w="860" w:type="dxa"/>
            <w:vAlign w:val="bottom"/>
          </w:tcPr>
          <w:p>
            <w:pPr>
              <w:ind w:left="20"/>
              <w:spacing w:after="0"/>
              <w:rPr>
                <w:sz w:val="20"/>
                <w:szCs w:val="20"/>
                <w:color w:val="auto"/>
              </w:rPr>
            </w:pPr>
            <w:r>
              <w:rPr>
                <w:rFonts w:ascii="Arial" w:cs="Arial" w:eastAsia="Arial" w:hAnsi="Arial"/>
                <w:sz w:val="14"/>
                <w:szCs w:val="14"/>
                <w:color w:val="auto"/>
              </w:rPr>
              <w:t>2010</w:t>
            </w:r>
          </w:p>
        </w:tc>
        <w:tc>
          <w:tcPr>
            <w:tcW w:w="2040" w:type="dxa"/>
            <w:vAlign w:val="bottom"/>
          </w:tcPr>
          <w:p>
            <w:pPr>
              <w:ind w:left="520"/>
              <w:spacing w:after="0"/>
              <w:rPr>
                <w:sz w:val="20"/>
                <w:szCs w:val="20"/>
                <w:color w:val="auto"/>
              </w:rPr>
            </w:pPr>
            <w:r>
              <w:rPr>
                <w:rFonts w:ascii="Arial" w:cs="Arial" w:eastAsia="Arial" w:hAnsi="Arial"/>
                <w:sz w:val="14"/>
                <w:szCs w:val="14"/>
                <w:color w:val="auto"/>
              </w:rPr>
              <w:t>Peter Voser</w:t>
            </w:r>
          </w:p>
        </w:tc>
        <w:tc>
          <w:tcPr>
            <w:tcW w:w="1080" w:type="dxa"/>
            <w:vAlign w:val="bottom"/>
          </w:tcPr>
          <w:p>
            <w:pPr>
              <w:jc w:val="right"/>
              <w:ind w:right="31"/>
              <w:spacing w:after="0"/>
              <w:rPr>
                <w:sz w:val="20"/>
                <w:szCs w:val="20"/>
                <w:color w:val="auto"/>
              </w:rPr>
            </w:pPr>
            <w:r>
              <w:rPr>
                <w:rFonts w:ascii="Arial" w:cs="Arial" w:eastAsia="Arial" w:hAnsi="Arial"/>
                <w:sz w:val="14"/>
                <w:szCs w:val="14"/>
                <w:color w:val="auto"/>
              </w:rPr>
              <w:t>10,611</w:t>
            </w:r>
          </w:p>
        </w:tc>
        <w:tc>
          <w:tcPr>
            <w:tcW w:w="740" w:type="dxa"/>
            <w:vAlign w:val="bottom"/>
          </w:tcPr>
          <w:p>
            <w:pPr>
              <w:jc w:val="right"/>
              <w:spacing w:after="0"/>
              <w:rPr>
                <w:sz w:val="20"/>
                <w:szCs w:val="20"/>
                <w:color w:val="auto"/>
              </w:rPr>
            </w:pPr>
            <w:r>
              <w:rPr>
                <w:rFonts w:ascii="Arial" w:cs="Arial" w:eastAsia="Arial" w:hAnsi="Arial"/>
                <w:sz w:val="14"/>
                <w:szCs w:val="14"/>
                <w:color w:val="auto"/>
              </w:rPr>
              <w:t>100%</w:t>
            </w:r>
          </w:p>
        </w:tc>
        <w:tc>
          <w:tcPr>
            <w:tcW w:w="760" w:type="dxa"/>
            <w:vAlign w:val="bottom"/>
          </w:tcPr>
          <w:p>
            <w:pPr>
              <w:jc w:val="right"/>
              <w:spacing w:after="0"/>
              <w:rPr>
                <w:sz w:val="20"/>
                <w:szCs w:val="20"/>
                <w:color w:val="auto"/>
              </w:rPr>
            </w:pPr>
            <w:r>
              <w:rPr>
                <w:rFonts w:ascii="Arial" w:cs="Arial" w:eastAsia="Arial" w:hAnsi="Arial"/>
                <w:sz w:val="14"/>
                <w:szCs w:val="14"/>
                <w:color w:val="auto"/>
              </w:rPr>
              <w:t>75%</w:t>
            </w:r>
          </w:p>
        </w:tc>
      </w:tr>
      <w:tr>
        <w:trPr>
          <w:trHeight w:val="162"/>
        </w:trPr>
        <w:tc>
          <w:tcPr>
            <w:tcW w:w="860" w:type="dxa"/>
            <w:vAlign w:val="bottom"/>
          </w:tcPr>
          <w:p>
            <w:pPr>
              <w:ind w:left="20"/>
              <w:spacing w:after="0"/>
              <w:rPr>
                <w:sz w:val="20"/>
                <w:szCs w:val="20"/>
                <w:color w:val="auto"/>
              </w:rPr>
            </w:pPr>
            <w:r>
              <w:rPr>
                <w:rFonts w:ascii="Arial" w:cs="Arial" w:eastAsia="Arial" w:hAnsi="Arial"/>
                <w:sz w:val="14"/>
                <w:szCs w:val="14"/>
                <w:color w:val="auto"/>
              </w:rPr>
              <w:t>2009</w:t>
            </w:r>
          </w:p>
        </w:tc>
        <w:tc>
          <w:tcPr>
            <w:tcW w:w="2040" w:type="dxa"/>
            <w:vAlign w:val="bottom"/>
          </w:tcPr>
          <w:p>
            <w:pPr>
              <w:ind w:left="520"/>
              <w:spacing w:after="0"/>
              <w:rPr>
                <w:sz w:val="20"/>
                <w:szCs w:val="20"/>
                <w:color w:val="auto"/>
              </w:rPr>
            </w:pPr>
            <w:r>
              <w:rPr>
                <w:rFonts w:ascii="Arial" w:cs="Arial" w:eastAsia="Arial" w:hAnsi="Arial"/>
                <w:sz w:val="14"/>
                <w:szCs w:val="14"/>
                <w:color w:val="auto"/>
              </w:rPr>
              <w:t>Peter Voser</w:t>
            </w:r>
          </w:p>
        </w:tc>
        <w:tc>
          <w:tcPr>
            <w:tcW w:w="1080" w:type="dxa"/>
            <w:vAlign w:val="bottom"/>
          </w:tcPr>
          <w:p>
            <w:pPr>
              <w:jc w:val="right"/>
              <w:ind w:right="31"/>
              <w:spacing w:after="0"/>
              <w:rPr>
                <w:sz w:val="20"/>
                <w:szCs w:val="20"/>
                <w:color w:val="auto"/>
              </w:rPr>
            </w:pPr>
            <w:r>
              <w:rPr>
                <w:rFonts w:ascii="Arial" w:cs="Arial" w:eastAsia="Arial" w:hAnsi="Arial"/>
                <w:sz w:val="14"/>
                <w:szCs w:val="14"/>
                <w:color w:val="auto"/>
              </w:rPr>
              <w:t>6,228</w:t>
            </w:r>
          </w:p>
        </w:tc>
        <w:tc>
          <w:tcPr>
            <w:tcW w:w="740" w:type="dxa"/>
            <w:vAlign w:val="bottom"/>
          </w:tcPr>
          <w:p>
            <w:pPr>
              <w:jc w:val="right"/>
              <w:spacing w:after="0"/>
              <w:rPr>
                <w:sz w:val="20"/>
                <w:szCs w:val="20"/>
                <w:color w:val="auto"/>
              </w:rPr>
            </w:pPr>
            <w:r>
              <w:rPr>
                <w:rFonts w:ascii="Arial" w:cs="Arial" w:eastAsia="Arial" w:hAnsi="Arial"/>
                <w:sz w:val="14"/>
                <w:szCs w:val="14"/>
                <w:color w:val="auto"/>
              </w:rPr>
              <w:t>50%</w:t>
            </w:r>
          </w:p>
        </w:tc>
        <w:tc>
          <w:tcPr>
            <w:tcW w:w="760" w:type="dxa"/>
            <w:vAlign w:val="bottom"/>
          </w:tcPr>
          <w:p>
            <w:pPr>
              <w:jc w:val="right"/>
              <w:spacing w:after="0"/>
              <w:rPr>
                <w:sz w:val="20"/>
                <w:szCs w:val="20"/>
                <w:color w:val="auto"/>
              </w:rPr>
            </w:pPr>
            <w:r>
              <w:rPr>
                <w:rFonts w:ascii="Arial" w:cs="Arial" w:eastAsia="Arial" w:hAnsi="Arial"/>
                <w:sz w:val="14"/>
                <w:szCs w:val="14"/>
                <w:color w:val="auto"/>
              </w:rPr>
              <w:t>0%</w:t>
            </w:r>
          </w:p>
        </w:tc>
      </w:tr>
      <w:tr>
        <w:trPr>
          <w:trHeight w:val="157"/>
        </w:trPr>
        <w:tc>
          <w:tcPr>
            <w:tcW w:w="860" w:type="dxa"/>
            <w:vAlign w:val="bottom"/>
            <w:tcBorders>
              <w:bottom w:val="single" w:sz="8" w:color="auto"/>
            </w:tcBorders>
          </w:tcPr>
          <w:p>
            <w:pPr>
              <w:ind w:left="20"/>
              <w:spacing w:after="0" w:line="157" w:lineRule="exact"/>
              <w:rPr>
                <w:sz w:val="20"/>
                <w:szCs w:val="20"/>
                <w:color w:val="auto"/>
              </w:rPr>
            </w:pPr>
            <w:r>
              <w:rPr>
                <w:rFonts w:ascii="Arial" w:cs="Arial" w:eastAsia="Arial" w:hAnsi="Arial"/>
                <w:sz w:val="14"/>
                <w:szCs w:val="14"/>
                <w:color w:val="auto"/>
              </w:rPr>
              <w:t>2009</w:t>
            </w:r>
          </w:p>
        </w:tc>
        <w:tc>
          <w:tcPr>
            <w:tcW w:w="2040" w:type="dxa"/>
            <w:vAlign w:val="bottom"/>
            <w:tcBorders>
              <w:bottom w:val="single" w:sz="8" w:color="auto"/>
            </w:tcBorders>
          </w:tcPr>
          <w:p>
            <w:pPr>
              <w:ind w:left="520"/>
              <w:spacing w:after="0" w:line="157" w:lineRule="exact"/>
              <w:rPr>
                <w:sz w:val="20"/>
                <w:szCs w:val="20"/>
                <w:color w:val="auto"/>
              </w:rPr>
            </w:pPr>
            <w:r>
              <w:rPr>
                <w:rFonts w:ascii="Arial" w:cs="Arial" w:eastAsia="Arial" w:hAnsi="Arial"/>
                <w:sz w:val="14"/>
                <w:szCs w:val="14"/>
                <w:color w:val="auto"/>
              </w:rPr>
              <w:t>Jeroen van der Veer</w:t>
            </w:r>
          </w:p>
        </w:tc>
        <w:tc>
          <w:tcPr>
            <w:tcW w:w="1080" w:type="dxa"/>
            <w:vAlign w:val="bottom"/>
            <w:tcBorders>
              <w:bottom w:val="single" w:sz="8" w:color="auto"/>
            </w:tcBorders>
          </w:tcPr>
          <w:p>
            <w:pPr>
              <w:jc w:val="right"/>
              <w:ind w:right="31"/>
              <w:spacing w:after="0" w:line="157" w:lineRule="exact"/>
              <w:rPr>
                <w:sz w:val="20"/>
                <w:szCs w:val="20"/>
                <w:color w:val="auto"/>
              </w:rPr>
            </w:pPr>
            <w:r>
              <w:rPr>
                <w:rFonts w:ascii="Arial" w:cs="Arial" w:eastAsia="Arial" w:hAnsi="Arial"/>
                <w:sz w:val="14"/>
                <w:szCs w:val="14"/>
                <w:color w:val="auto"/>
              </w:rPr>
              <w:t>3,748</w:t>
            </w:r>
          </w:p>
        </w:tc>
        <w:tc>
          <w:tcPr>
            <w:tcW w:w="740" w:type="dxa"/>
            <w:vAlign w:val="bottom"/>
            <w:tcBorders>
              <w:bottom w:val="single" w:sz="8" w:color="auto"/>
            </w:tcBorders>
          </w:tcPr>
          <w:p>
            <w:pPr>
              <w:jc w:val="right"/>
              <w:spacing w:after="0" w:line="157" w:lineRule="exact"/>
              <w:rPr>
                <w:sz w:val="20"/>
                <w:szCs w:val="20"/>
                <w:color w:val="auto"/>
              </w:rPr>
            </w:pPr>
            <w:r>
              <w:rPr>
                <w:rFonts w:ascii="Arial" w:cs="Arial" w:eastAsia="Arial" w:hAnsi="Arial"/>
                <w:sz w:val="14"/>
                <w:szCs w:val="14"/>
                <w:color w:val="auto"/>
              </w:rPr>
              <w:t>66%</w:t>
            </w:r>
          </w:p>
        </w:tc>
        <w:tc>
          <w:tcPr>
            <w:tcW w:w="760" w:type="dxa"/>
            <w:vAlign w:val="bottom"/>
            <w:tcBorders>
              <w:bottom w:val="single" w:sz="8" w:color="auto"/>
            </w:tcBorders>
          </w:tcPr>
          <w:p>
            <w:pPr>
              <w:jc w:val="right"/>
              <w:spacing w:after="0" w:line="157" w:lineRule="exact"/>
              <w:rPr>
                <w:sz w:val="20"/>
                <w:szCs w:val="20"/>
                <w:color w:val="auto"/>
              </w:rPr>
            </w:pPr>
            <w:r>
              <w:rPr>
                <w:rFonts w:ascii="Arial" w:cs="Arial" w:eastAsia="Arial" w:hAnsi="Arial"/>
                <w:sz w:val="14"/>
                <w:szCs w:val="14"/>
                <w:color w:val="auto"/>
              </w:rPr>
              <w:t>0%</w:t>
            </w:r>
          </w:p>
        </w:tc>
      </w:tr>
    </w:tbl>
    <w:p>
      <w:pPr>
        <w:spacing w:after="0" w:line="180" w:lineRule="exact"/>
        <w:rPr>
          <w:sz w:val="20"/>
          <w:szCs w:val="20"/>
          <w:color w:val="auto"/>
        </w:rPr>
      </w:pPr>
    </w:p>
    <w:p>
      <w:pPr>
        <w:ind w:right="20"/>
        <w:spacing w:after="0" w:line="248" w:lineRule="auto"/>
        <w:rPr>
          <w:sz w:val="20"/>
          <w:szCs w:val="20"/>
          <w:color w:val="auto"/>
        </w:rPr>
      </w:pPr>
      <w:r>
        <w:rPr>
          <w:rFonts w:ascii="Arial" w:cs="Arial" w:eastAsia="Arial" w:hAnsi="Arial"/>
          <w:sz w:val="14"/>
          <w:szCs w:val="14"/>
          <w:color w:val="auto"/>
        </w:rPr>
        <w:t>Peter Voser stood down on December 31, 2013, and was succeeded by Ben van Beurden. Jeroen van der Veer stood down on July 1, 2009, and Peter Voser took over from that date. Only remuneration relating to their position as CEO is included for 2009.</w:t>
      </w:r>
    </w:p>
    <w:p>
      <w:pPr>
        <w:spacing w:after="0" w:line="333" w:lineRule="exact"/>
        <w:rPr>
          <w:sz w:val="20"/>
          <w:szCs w:val="20"/>
          <w:color w:val="auto"/>
        </w:rPr>
      </w:pPr>
    </w:p>
    <w:p>
      <w:pPr>
        <w:ind w:right="60"/>
        <w:spacing w:after="0" w:line="238" w:lineRule="auto"/>
        <w:rPr>
          <w:sz w:val="20"/>
          <w:szCs w:val="20"/>
          <w:color w:val="auto"/>
        </w:rPr>
      </w:pPr>
      <w:r>
        <w:rPr>
          <w:rFonts w:ascii="Arial" w:cs="Arial" w:eastAsia="Arial" w:hAnsi="Arial"/>
          <w:sz w:val="18"/>
          <w:szCs w:val="18"/>
          <w:color w:val="auto"/>
        </w:rPr>
        <w:t>CHANGE IN REMUNERATION OF CEO AND EMPLOYEES FROM 2013 TO 2014</w:t>
      </w:r>
    </w:p>
    <w:p>
      <w:pPr>
        <w:jc w:val="both"/>
        <w:ind w:right="200"/>
        <w:spacing w:after="0" w:line="250" w:lineRule="auto"/>
        <w:rPr>
          <w:sz w:val="20"/>
          <w:szCs w:val="20"/>
          <w:color w:val="auto"/>
        </w:rPr>
      </w:pPr>
      <w:r>
        <w:rPr>
          <w:rFonts w:ascii="Arial" w:cs="Arial" w:eastAsia="Arial" w:hAnsi="Arial"/>
          <w:sz w:val="14"/>
          <w:szCs w:val="14"/>
          <w:color w:val="auto"/>
        </w:rPr>
        <w:t>Ben van Beurden became CEO on January 1, 2014. There is therefore no relevant comparative data for him for 2013. As a reminder, for 2013, Peter Voser received a base salary of €1,640,000 and a bonus of €1,800,000.</w:t>
      </w:r>
    </w:p>
    <w:p>
      <w:pPr>
        <w:spacing w:after="0" w:line="159" w:lineRule="exact"/>
        <w:rPr>
          <w:sz w:val="20"/>
          <w:szCs w:val="20"/>
          <w:color w:val="auto"/>
        </w:rPr>
      </w:pPr>
    </w:p>
    <w:p>
      <w:pPr>
        <w:spacing w:after="0" w:line="245" w:lineRule="auto"/>
        <w:rPr>
          <w:sz w:val="20"/>
          <w:szCs w:val="20"/>
          <w:color w:val="auto"/>
        </w:rPr>
      </w:pPr>
      <w:r>
        <w:rPr>
          <w:rFonts w:ascii="Arial" w:cs="Arial" w:eastAsia="Arial" w:hAnsi="Arial"/>
          <w:sz w:val="14"/>
          <w:szCs w:val="14"/>
          <w:color w:val="auto"/>
        </w:rPr>
        <w:t>The CEO data compares the remuneration of Ben van Beurden for 2014 with that of Peter Voser for 2013 and excludes taxable benefits as these depend on individual circumstances. The comparator group consists of local employees in the Netherlands, the UK and the USA. This is considered to be a suitable employee comparator group, because:</w:t>
      </w:r>
    </w:p>
    <w:p>
      <w:pPr>
        <w:spacing w:after="0" w:line="91" w:lineRule="exact"/>
        <w:rPr>
          <w:sz w:val="20"/>
          <w:szCs w:val="20"/>
          <w:color w:val="auto"/>
        </w:rPr>
      </w:pPr>
    </w:p>
    <w:p>
      <w:pPr>
        <w:ind w:left="180" w:hanging="172"/>
        <w:spacing w:after="0"/>
        <w:tabs>
          <w:tab w:leader="none" w:pos="180" w:val="left"/>
        </w:tabs>
        <w:numPr>
          <w:ilvl w:val="0"/>
          <w:numId w:val="109"/>
        </w:numPr>
        <w:rPr>
          <w:rFonts w:ascii="Arial" w:cs="Arial" w:eastAsia="Arial" w:hAnsi="Arial"/>
          <w:sz w:val="24"/>
          <w:szCs w:val="24"/>
          <w:color w:val="auto"/>
          <w:vertAlign w:val="superscript"/>
        </w:rPr>
      </w:pPr>
      <w:r>
        <w:rPr>
          <w:rFonts w:ascii="Arial" w:cs="Arial" w:eastAsia="Arial" w:hAnsi="Arial"/>
          <w:sz w:val="14"/>
          <w:szCs w:val="14"/>
          <w:color w:val="auto"/>
        </w:rPr>
        <w:t>these are countries with a significant Shell employee base;</w:t>
      </w:r>
    </w:p>
    <w:p>
      <w:pPr>
        <w:ind w:left="180" w:hanging="172"/>
        <w:spacing w:after="0" w:line="189" w:lineRule="auto"/>
        <w:tabs>
          <w:tab w:leader="none" w:pos="180" w:val="left"/>
        </w:tabs>
        <w:numPr>
          <w:ilvl w:val="0"/>
          <w:numId w:val="109"/>
        </w:numPr>
        <w:rPr>
          <w:rFonts w:ascii="Arial" w:cs="Arial" w:eastAsia="Arial" w:hAnsi="Arial"/>
          <w:sz w:val="19"/>
          <w:szCs w:val="19"/>
          <w:color w:val="auto"/>
          <w:vertAlign w:val="superscript"/>
        </w:rPr>
      </w:pPr>
      <w:r>
        <w:rPr>
          <w:rFonts w:ascii="Arial" w:cs="Arial" w:eastAsia="Arial" w:hAnsi="Arial"/>
          <w:sz w:val="12"/>
          <w:szCs w:val="12"/>
          <w:color w:val="auto"/>
        </w:rPr>
        <w:t>a large proportion of senior managers come from these countries; and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419"/>
        </w:trPr>
        <w:tc>
          <w:tcPr>
            <w:tcW w:w="3580" w:type="dxa"/>
            <w:vAlign w:val="bottom"/>
            <w:shd w:val="clear" w:color="auto" w:fill="FF8B00"/>
          </w:tcPr>
          <w:p>
            <w:pPr>
              <w:spacing w:after="0"/>
              <w:rPr>
                <w:sz w:val="24"/>
                <w:szCs w:val="24"/>
                <w:color w:val="auto"/>
              </w:rPr>
            </w:pPr>
          </w:p>
        </w:tc>
        <w:tc>
          <w:tcPr>
            <w:tcW w:w="2240" w:type="dxa"/>
            <w:vAlign w:val="bottom"/>
            <w:shd w:val="clear" w:color="auto" w:fill="FF8B00"/>
          </w:tcPr>
          <w:p>
            <w:pPr>
              <w:spacing w:after="0"/>
              <w:rPr>
                <w:sz w:val="24"/>
                <w:szCs w:val="24"/>
                <w:color w:val="auto"/>
              </w:rPr>
            </w:pPr>
          </w:p>
        </w:tc>
      </w:tr>
      <w:tr>
        <w:trPr>
          <w:trHeight w:val="152"/>
        </w:trPr>
        <w:tc>
          <w:tcPr>
            <w:tcW w:w="3580" w:type="dxa"/>
            <w:vAlign w:val="bottom"/>
          </w:tcPr>
          <w:p>
            <w:pPr>
              <w:ind w:left="940"/>
              <w:spacing w:after="0"/>
              <w:rPr>
                <w:sz w:val="20"/>
                <w:szCs w:val="20"/>
                <w:color w:val="auto"/>
              </w:rPr>
            </w:pPr>
            <w:r>
              <w:rPr>
                <w:rFonts w:ascii="Arial" w:cs="Arial" w:eastAsia="Arial" w:hAnsi="Arial"/>
                <w:sz w:val="13"/>
                <w:szCs w:val="13"/>
                <w:color w:val="333333"/>
              </w:rPr>
              <w:t>GOVERNANCE</w:t>
            </w:r>
          </w:p>
        </w:tc>
        <w:tc>
          <w:tcPr>
            <w:tcW w:w="2240" w:type="dxa"/>
            <w:vAlign w:val="bottom"/>
          </w:tcPr>
          <w:p>
            <w:pPr>
              <w:jc w:val="right"/>
              <w:ind w:right="306"/>
              <w:spacing w:after="0"/>
              <w:rPr>
                <w:sz w:val="20"/>
                <w:szCs w:val="20"/>
                <w:color w:val="auto"/>
              </w:rPr>
            </w:pPr>
            <w:r>
              <w:rPr>
                <w:rFonts w:ascii="Arial" w:cs="Arial" w:eastAsia="Arial" w:hAnsi="Arial"/>
                <w:sz w:val="11"/>
                <w:szCs w:val="11"/>
                <w:b w:val="1"/>
                <w:bCs w:val="1"/>
                <w:color w:val="333333"/>
              </w:rPr>
              <w:t>89</w:t>
            </w:r>
          </w:p>
        </w:tc>
      </w:tr>
    </w:tbl>
    <w:p>
      <w:pPr>
        <w:spacing w:after="0" w:line="155" w:lineRule="exact"/>
        <w:rPr>
          <w:sz w:val="20"/>
          <w:szCs w:val="20"/>
          <w:color w:val="auto"/>
        </w:rPr>
      </w:pPr>
    </w:p>
    <w:p>
      <w:pPr>
        <w:ind w:left="940"/>
        <w:spacing w:after="0"/>
        <w:rPr>
          <w:sz w:val="20"/>
          <w:szCs w:val="20"/>
          <w:color w:val="auto"/>
        </w:rPr>
      </w:pPr>
      <w:r>
        <w:rPr>
          <w:rFonts w:ascii="Arial" w:cs="Arial" w:eastAsia="Arial" w:hAnsi="Arial"/>
          <w:sz w:val="11"/>
          <w:szCs w:val="11"/>
          <w:color w:val="auto"/>
        </w:rPr>
        <w:t>DIRECTORS’ REMUNERATION REPORT</w:t>
      </w:r>
    </w:p>
    <w:p>
      <w:pPr>
        <w:spacing w:after="0" w:line="57" w:lineRule="exact"/>
        <w:rPr>
          <w:sz w:val="20"/>
          <w:szCs w:val="20"/>
          <w:color w:val="auto"/>
        </w:rPr>
      </w:pPr>
    </w:p>
    <w:p>
      <w:pPr>
        <w:ind w:left="340" w:right="620" w:hanging="160"/>
        <w:spacing w:after="0" w:line="183" w:lineRule="auto"/>
        <w:tabs>
          <w:tab w:leader="none" w:pos="340" w:val="left"/>
        </w:tabs>
        <w:numPr>
          <w:ilvl w:val="0"/>
          <w:numId w:val="110"/>
        </w:numPr>
        <w:rPr>
          <w:rFonts w:ascii="Arial" w:cs="Arial" w:eastAsia="Arial" w:hAnsi="Arial"/>
          <w:sz w:val="24"/>
          <w:szCs w:val="24"/>
          <w:color w:val="auto"/>
          <w:vertAlign w:val="superscript"/>
        </w:rPr>
      </w:pPr>
      <w:r>
        <w:rPr>
          <w:rFonts w:ascii="Arial" w:cs="Arial" w:eastAsia="Arial" w:hAnsi="Arial"/>
          <w:sz w:val="14"/>
          <w:szCs w:val="14"/>
          <w:color w:val="auto"/>
        </w:rPr>
        <w:t>REMCO considers remuneration levels in these countries when setting base salaries for Executive Directors.</w:t>
      </w:r>
    </w:p>
    <w:p>
      <w:pPr>
        <w:spacing w:after="0" w:line="180" w:lineRule="exact"/>
        <w:rPr>
          <w:sz w:val="20"/>
          <w:szCs w:val="20"/>
          <w:color w:val="auto"/>
        </w:rPr>
      </w:pPr>
    </w:p>
    <w:p>
      <w:pPr>
        <w:ind w:left="180" w:right="240"/>
        <w:spacing w:after="0" w:line="247" w:lineRule="auto"/>
        <w:rPr>
          <w:sz w:val="20"/>
          <w:szCs w:val="20"/>
          <w:color w:val="auto"/>
        </w:rPr>
      </w:pPr>
      <w:r>
        <w:rPr>
          <w:rFonts w:ascii="Arial" w:cs="Arial" w:eastAsia="Arial" w:hAnsi="Arial"/>
          <w:sz w:val="14"/>
          <w:szCs w:val="14"/>
          <w:color w:val="auto"/>
        </w:rPr>
        <w:t>Taxable benefits are those that align with the definition of taxable benefits applying in the respective country. In line with the “Single total figure of remuneration for Executive Directors” table, the annual bonus is included in the year in respect of which it was earned.</w:t>
      </w:r>
    </w:p>
    <w:p>
      <w:pPr>
        <w:spacing w:after="0" w:line="175" w:lineRule="exact"/>
        <w:rPr>
          <w:sz w:val="20"/>
          <w:szCs w:val="20"/>
          <w:color w:val="auto"/>
        </w:rPr>
      </w:pPr>
    </w:p>
    <w:p>
      <w:pPr>
        <w:ind w:left="240" w:right="2440"/>
        <w:spacing w:after="0" w:line="245" w:lineRule="auto"/>
        <w:rPr>
          <w:sz w:val="20"/>
          <w:szCs w:val="20"/>
          <w:color w:val="auto"/>
        </w:rPr>
      </w:pPr>
      <w:r>
        <w:rPr>
          <w:rFonts w:ascii="Arial" w:cs="Arial" w:eastAsia="Arial" w:hAnsi="Arial"/>
          <w:sz w:val="15"/>
          <w:szCs w:val="15"/>
          <w:b w:val="1"/>
          <w:bCs w:val="1"/>
          <w:color w:val="FFFFFF"/>
        </w:rPr>
        <w:t>CHANGE IN REMUNERATION OF CEO AND EMPLOYEES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119380</wp:posOffset>
            </wp:positionH>
            <wp:positionV relativeFrom="paragraph">
              <wp:posOffset>-209550</wp:posOffset>
            </wp:positionV>
            <wp:extent cx="3473450" cy="21463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3473450" cy="214630"/>
                    </a:xfrm>
                    <a:prstGeom prst="rect">
                      <a:avLst/>
                    </a:prstGeom>
                    <a:noFill/>
                  </pic:spPr>
                </pic:pic>
              </a:graphicData>
            </a:graphic>
          </wp:anchor>
        </w:drawing>
      </w:r>
    </w:p>
    <w:tbl>
      <w:tblPr>
        <w:tblLayout w:type="fixed"/>
        <w:tblInd w:w="180" w:type="dxa"/>
        <w:tblCellMar>
          <w:top w:w="0" w:type="dxa"/>
          <w:left w:w="0" w:type="dxa"/>
          <w:bottom w:w="0" w:type="dxa"/>
          <w:right w:w="0" w:type="dxa"/>
        </w:tblCellMar>
      </w:tblPr>
      <w:tr>
        <w:trPr>
          <w:trHeight w:val="142"/>
        </w:trPr>
        <w:tc>
          <w:tcPr>
            <w:tcW w:w="2460" w:type="dxa"/>
            <w:vAlign w:val="bottom"/>
            <w:tcBorders>
              <w:bottom w:val="single" w:sz="8" w:color="auto"/>
            </w:tcBorders>
          </w:tcPr>
          <w:p>
            <w:pPr>
              <w:spacing w:after="0"/>
              <w:rPr>
                <w:sz w:val="12"/>
                <w:szCs w:val="12"/>
                <w:color w:val="auto"/>
              </w:rPr>
            </w:pPr>
          </w:p>
        </w:tc>
        <w:tc>
          <w:tcPr>
            <w:tcW w:w="2020" w:type="dxa"/>
            <w:vAlign w:val="bottom"/>
            <w:tcBorders>
              <w:bottom w:val="single" w:sz="8" w:color="auto"/>
            </w:tcBorders>
          </w:tcPr>
          <w:p>
            <w:pPr>
              <w:jc w:val="right"/>
              <w:ind w:right="90"/>
              <w:spacing w:after="0" w:line="142" w:lineRule="exact"/>
              <w:rPr>
                <w:sz w:val="20"/>
                <w:szCs w:val="20"/>
                <w:color w:val="auto"/>
              </w:rPr>
            </w:pPr>
            <w:r>
              <w:rPr>
                <w:rFonts w:ascii="Arial" w:cs="Arial" w:eastAsia="Arial" w:hAnsi="Arial"/>
                <w:sz w:val="13"/>
                <w:szCs w:val="13"/>
                <w:color w:val="auto"/>
              </w:rPr>
              <w:t>CEO[A]</w:t>
            </w:r>
          </w:p>
        </w:tc>
        <w:tc>
          <w:tcPr>
            <w:tcW w:w="1000" w:type="dxa"/>
            <w:vAlign w:val="bottom"/>
            <w:tcBorders>
              <w:bottom w:val="single" w:sz="8" w:color="auto"/>
            </w:tcBorders>
          </w:tcPr>
          <w:p>
            <w:pPr>
              <w:jc w:val="right"/>
              <w:ind w:right="150"/>
              <w:spacing w:after="0" w:line="142" w:lineRule="exact"/>
              <w:rPr>
                <w:sz w:val="20"/>
                <w:szCs w:val="20"/>
                <w:color w:val="auto"/>
              </w:rPr>
            </w:pPr>
            <w:r>
              <w:rPr>
                <w:rFonts w:ascii="Arial" w:cs="Arial" w:eastAsia="Arial" w:hAnsi="Arial"/>
                <w:sz w:val="13"/>
                <w:szCs w:val="13"/>
                <w:color w:val="auto"/>
              </w:rPr>
              <w:t>Employees</w:t>
            </w:r>
          </w:p>
        </w:tc>
      </w:tr>
      <w:tr>
        <w:trPr>
          <w:trHeight w:val="160"/>
        </w:trPr>
        <w:tc>
          <w:tcPr>
            <w:tcW w:w="2460" w:type="dxa"/>
            <w:vAlign w:val="bottom"/>
          </w:tcPr>
          <w:p>
            <w:pPr>
              <w:spacing w:after="0"/>
              <w:rPr>
                <w:sz w:val="20"/>
                <w:szCs w:val="20"/>
                <w:color w:val="auto"/>
              </w:rPr>
            </w:pPr>
            <w:r>
              <w:rPr>
                <w:rFonts w:ascii="Arial" w:cs="Arial" w:eastAsia="Arial" w:hAnsi="Arial"/>
                <w:sz w:val="14"/>
                <w:szCs w:val="14"/>
                <w:color w:val="auto"/>
              </w:rPr>
              <w:t>Salaries</w:t>
            </w:r>
          </w:p>
        </w:tc>
        <w:tc>
          <w:tcPr>
            <w:tcW w:w="2020" w:type="dxa"/>
            <w:vAlign w:val="bottom"/>
          </w:tcPr>
          <w:p>
            <w:pPr>
              <w:jc w:val="right"/>
              <w:ind w:right="90"/>
              <w:spacing w:after="0"/>
              <w:rPr>
                <w:sz w:val="20"/>
                <w:szCs w:val="20"/>
                <w:color w:val="auto"/>
              </w:rPr>
            </w:pPr>
            <w:r>
              <w:rPr>
                <w:rFonts w:ascii="Arial" w:cs="Arial" w:eastAsia="Arial" w:hAnsi="Arial"/>
                <w:sz w:val="14"/>
                <w:szCs w:val="14"/>
                <w:color w:val="auto"/>
              </w:rPr>
              <w:t>-15%</w:t>
            </w:r>
          </w:p>
        </w:tc>
        <w:tc>
          <w:tcPr>
            <w:tcW w:w="1000" w:type="dxa"/>
            <w:vAlign w:val="bottom"/>
          </w:tcPr>
          <w:p>
            <w:pPr>
              <w:jc w:val="right"/>
              <w:ind w:right="150"/>
              <w:spacing w:after="0"/>
              <w:rPr>
                <w:sz w:val="20"/>
                <w:szCs w:val="20"/>
                <w:color w:val="auto"/>
              </w:rPr>
            </w:pPr>
            <w:r>
              <w:rPr>
                <w:rFonts w:ascii="Arial" w:cs="Arial" w:eastAsia="Arial" w:hAnsi="Arial"/>
                <w:sz w:val="14"/>
                <w:szCs w:val="14"/>
                <w:color w:val="auto"/>
              </w:rPr>
              <w:t>4%</w:t>
            </w:r>
          </w:p>
        </w:tc>
      </w:tr>
      <w:tr>
        <w:trPr>
          <w:trHeight w:val="162"/>
        </w:trPr>
        <w:tc>
          <w:tcPr>
            <w:tcW w:w="2460" w:type="dxa"/>
            <w:vAlign w:val="bottom"/>
          </w:tcPr>
          <w:p>
            <w:pPr>
              <w:spacing w:after="0"/>
              <w:rPr>
                <w:sz w:val="20"/>
                <w:szCs w:val="20"/>
                <w:color w:val="auto"/>
              </w:rPr>
            </w:pPr>
            <w:r>
              <w:rPr>
                <w:rFonts w:ascii="Arial" w:cs="Arial" w:eastAsia="Arial" w:hAnsi="Arial"/>
                <w:sz w:val="14"/>
                <w:szCs w:val="14"/>
                <w:color w:val="auto"/>
              </w:rPr>
              <w:t>Taxable benefits</w:t>
            </w:r>
          </w:p>
        </w:tc>
        <w:tc>
          <w:tcPr>
            <w:tcW w:w="2020" w:type="dxa"/>
            <w:vAlign w:val="bottom"/>
          </w:tcPr>
          <w:p>
            <w:pPr>
              <w:jc w:val="right"/>
              <w:ind w:right="90"/>
              <w:spacing w:after="0"/>
              <w:rPr>
                <w:sz w:val="20"/>
                <w:szCs w:val="20"/>
                <w:color w:val="auto"/>
              </w:rPr>
            </w:pPr>
            <w:r>
              <w:rPr>
                <w:rFonts w:ascii="Arial" w:cs="Arial" w:eastAsia="Arial" w:hAnsi="Arial"/>
                <w:sz w:val="14"/>
                <w:szCs w:val="14"/>
                <w:color w:val="auto"/>
              </w:rPr>
              <w:t>N/A</w:t>
            </w:r>
          </w:p>
        </w:tc>
        <w:tc>
          <w:tcPr>
            <w:tcW w:w="1000" w:type="dxa"/>
            <w:vAlign w:val="bottom"/>
          </w:tcPr>
          <w:p>
            <w:pPr>
              <w:jc w:val="right"/>
              <w:spacing w:after="0"/>
              <w:rPr>
                <w:sz w:val="20"/>
                <w:szCs w:val="20"/>
                <w:color w:val="auto"/>
              </w:rPr>
            </w:pPr>
            <w:r>
              <w:rPr>
                <w:rFonts w:ascii="Arial" w:cs="Arial" w:eastAsia="Arial" w:hAnsi="Arial"/>
                <w:sz w:val="14"/>
                <w:szCs w:val="14"/>
                <w:color w:val="auto"/>
              </w:rPr>
              <w:t>10%[B]</w:t>
            </w:r>
          </w:p>
        </w:tc>
      </w:tr>
      <w:tr>
        <w:trPr>
          <w:trHeight w:val="157"/>
        </w:trPr>
        <w:tc>
          <w:tcPr>
            <w:tcW w:w="2460" w:type="dxa"/>
            <w:vAlign w:val="bottom"/>
            <w:tcBorders>
              <w:bottom w:val="single" w:sz="8" w:color="auto"/>
            </w:tcBorders>
          </w:tcPr>
          <w:p>
            <w:pPr>
              <w:spacing w:after="0" w:line="157" w:lineRule="exact"/>
              <w:rPr>
                <w:sz w:val="20"/>
                <w:szCs w:val="20"/>
                <w:color w:val="auto"/>
              </w:rPr>
            </w:pPr>
            <w:r>
              <w:rPr>
                <w:rFonts w:ascii="Arial" w:cs="Arial" w:eastAsia="Arial" w:hAnsi="Arial"/>
                <w:sz w:val="14"/>
                <w:szCs w:val="14"/>
                <w:color w:val="auto"/>
              </w:rPr>
              <w:t>Annual bonus</w:t>
            </w:r>
          </w:p>
        </w:tc>
        <w:tc>
          <w:tcPr>
            <w:tcW w:w="2020" w:type="dxa"/>
            <w:vAlign w:val="bottom"/>
            <w:tcBorders>
              <w:bottom w:val="single" w:sz="8" w:color="auto"/>
            </w:tcBorders>
          </w:tcPr>
          <w:p>
            <w:pPr>
              <w:jc w:val="right"/>
              <w:ind w:right="90"/>
              <w:spacing w:after="0" w:line="157" w:lineRule="exact"/>
              <w:rPr>
                <w:sz w:val="20"/>
                <w:szCs w:val="20"/>
                <w:color w:val="auto"/>
              </w:rPr>
            </w:pPr>
            <w:r>
              <w:rPr>
                <w:rFonts w:ascii="Arial" w:cs="Arial" w:eastAsia="Arial" w:hAnsi="Arial"/>
                <w:sz w:val="14"/>
                <w:szCs w:val="14"/>
                <w:color w:val="auto"/>
              </w:rPr>
              <w:t>83%</w:t>
            </w:r>
          </w:p>
        </w:tc>
        <w:tc>
          <w:tcPr>
            <w:tcW w:w="1000" w:type="dxa"/>
            <w:vAlign w:val="bottom"/>
            <w:tcBorders>
              <w:bottom w:val="single" w:sz="8" w:color="auto"/>
            </w:tcBorders>
          </w:tcPr>
          <w:p>
            <w:pPr>
              <w:jc w:val="right"/>
              <w:ind w:right="150"/>
              <w:spacing w:after="0" w:line="157" w:lineRule="exact"/>
              <w:rPr>
                <w:sz w:val="20"/>
                <w:szCs w:val="20"/>
                <w:color w:val="auto"/>
              </w:rPr>
            </w:pPr>
            <w:r>
              <w:rPr>
                <w:rFonts w:ascii="Arial" w:cs="Arial" w:eastAsia="Arial" w:hAnsi="Arial"/>
                <w:sz w:val="14"/>
                <w:szCs w:val="14"/>
                <w:color w:val="auto"/>
              </w:rPr>
              <w:t>120%</w:t>
            </w:r>
          </w:p>
        </w:tc>
      </w:tr>
    </w:tbl>
    <w:p>
      <w:pPr>
        <w:spacing w:after="0" w:line="19" w:lineRule="exact"/>
        <w:rPr>
          <w:sz w:val="20"/>
          <w:szCs w:val="20"/>
          <w:color w:val="auto"/>
        </w:rPr>
      </w:pPr>
    </w:p>
    <w:p>
      <w:pPr>
        <w:ind w:left="340" w:hanging="160"/>
        <w:spacing w:after="0"/>
        <w:tabs>
          <w:tab w:leader="none" w:pos="340" w:val="left"/>
        </w:tabs>
        <w:numPr>
          <w:ilvl w:val="0"/>
          <w:numId w:val="111"/>
        </w:numPr>
        <w:rPr>
          <w:rFonts w:ascii="Arial" w:cs="Arial" w:eastAsia="Arial" w:hAnsi="Arial"/>
          <w:sz w:val="11"/>
          <w:szCs w:val="11"/>
          <w:color w:val="auto"/>
        </w:rPr>
      </w:pPr>
      <w:r>
        <w:rPr>
          <w:rFonts w:ascii="Arial" w:cs="Arial" w:eastAsia="Arial" w:hAnsi="Arial"/>
          <w:sz w:val="11"/>
          <w:szCs w:val="11"/>
          <w:color w:val="auto"/>
        </w:rPr>
        <w:t>Data for the CEO reflects data for Ben van Beurden in 2014 and Peter Voser in 2013.</w:t>
      </w:r>
    </w:p>
    <w:p>
      <w:pPr>
        <w:ind w:left="340" w:hanging="160"/>
        <w:spacing w:after="0"/>
        <w:tabs>
          <w:tab w:leader="none" w:pos="340" w:val="left"/>
        </w:tabs>
        <w:numPr>
          <w:ilvl w:val="0"/>
          <w:numId w:val="111"/>
        </w:numPr>
        <w:rPr>
          <w:rFonts w:ascii="Arial" w:cs="Arial" w:eastAsia="Arial" w:hAnsi="Arial"/>
          <w:sz w:val="11"/>
          <w:szCs w:val="11"/>
          <w:color w:val="auto"/>
        </w:rPr>
      </w:pPr>
      <w:r>
        <w:rPr>
          <w:rFonts w:ascii="Arial" w:cs="Arial" w:eastAsia="Arial" w:hAnsi="Arial"/>
          <w:sz w:val="11"/>
          <w:szCs w:val="11"/>
          <w:color w:val="auto"/>
        </w:rPr>
        <w:t>Mainly arising from an increase in US healthcare premiums.</w:t>
      </w:r>
    </w:p>
    <w:p>
      <w:pPr>
        <w:spacing w:after="0" w:line="187" w:lineRule="exact"/>
        <w:rPr>
          <w:sz w:val="20"/>
          <w:szCs w:val="20"/>
          <w:color w:val="auto"/>
        </w:rPr>
      </w:pPr>
    </w:p>
    <w:p>
      <w:pPr>
        <w:ind w:left="180"/>
        <w:spacing w:after="0"/>
        <w:rPr>
          <w:sz w:val="20"/>
          <w:szCs w:val="20"/>
          <w:color w:val="auto"/>
        </w:rPr>
      </w:pPr>
      <w:r>
        <w:rPr>
          <w:rFonts w:ascii="Arial" w:cs="Arial" w:eastAsia="Arial" w:hAnsi="Arial"/>
          <w:sz w:val="18"/>
          <w:szCs w:val="18"/>
          <w:color w:val="auto"/>
        </w:rPr>
        <w:t>RELATIVE IMPORTANCE OF SPEND ON PAY</w:t>
      </w:r>
    </w:p>
    <w:p>
      <w:pPr>
        <w:spacing w:after="0" w:line="1" w:lineRule="exact"/>
        <w:rPr>
          <w:sz w:val="20"/>
          <w:szCs w:val="20"/>
          <w:color w:val="auto"/>
        </w:rPr>
      </w:pPr>
    </w:p>
    <w:p>
      <w:pPr>
        <w:ind w:left="180" w:right="440"/>
        <w:spacing w:after="0" w:line="250" w:lineRule="auto"/>
        <w:rPr>
          <w:sz w:val="20"/>
          <w:szCs w:val="20"/>
          <w:color w:val="auto"/>
        </w:rPr>
      </w:pPr>
      <w:r>
        <w:rPr>
          <w:rFonts w:ascii="Arial" w:cs="Arial" w:eastAsia="Arial" w:hAnsi="Arial"/>
          <w:sz w:val="14"/>
          <w:szCs w:val="14"/>
          <w:color w:val="auto"/>
        </w:rPr>
        <w:t>Distributions to shareholders by way of dividends and share buybacks and remuneration paid to or receivable by employees for the last five years are set out below, together with annual percentage changes.</w:t>
      </w:r>
    </w:p>
    <w:p>
      <w:pPr>
        <w:spacing w:after="0" w:line="173" w:lineRule="exact"/>
        <w:rPr>
          <w:sz w:val="20"/>
          <w:szCs w:val="20"/>
          <w:color w:val="auto"/>
        </w:rPr>
      </w:pPr>
    </w:p>
    <w:p>
      <w:pPr>
        <w:ind w:left="240"/>
        <w:spacing w:after="0"/>
        <w:rPr>
          <w:sz w:val="20"/>
          <w:szCs w:val="20"/>
          <w:color w:val="auto"/>
        </w:rPr>
      </w:pPr>
      <w:r>
        <w:rPr>
          <w:rFonts w:ascii="Arial" w:cs="Arial" w:eastAsia="Arial" w:hAnsi="Arial"/>
          <w:sz w:val="15"/>
          <w:szCs w:val="15"/>
          <w:b w:val="1"/>
          <w:bCs w:val="1"/>
          <w:color w:val="FFFFFF"/>
        </w:rPr>
        <w:t>RELATIVE IMPORTANCE OF SPEND ON PAY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119380</wp:posOffset>
            </wp:positionH>
            <wp:positionV relativeFrom="paragraph">
              <wp:posOffset>-95250</wp:posOffset>
            </wp:positionV>
            <wp:extent cx="3473450" cy="10287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3473450" cy="102870"/>
                    </a:xfrm>
                    <a:prstGeom prst="rect">
                      <a:avLst/>
                    </a:prstGeom>
                    <a:noFill/>
                  </pic:spPr>
                </pic:pic>
              </a:graphicData>
            </a:graphic>
          </wp:anchor>
        </w:drawing>
      </w:r>
    </w:p>
    <w:p>
      <w:pPr>
        <w:spacing w:after="0" w:line="4" w:lineRule="exact"/>
        <w:rPr>
          <w:sz w:val="20"/>
          <w:szCs w:val="20"/>
          <w:color w:val="auto"/>
        </w:rPr>
      </w:pPr>
    </w:p>
    <w:tbl>
      <w:tblPr>
        <w:tblLayout w:type="fixed"/>
        <w:tblInd w:w="180" w:type="dxa"/>
        <w:tblCellMar>
          <w:top w:w="0" w:type="dxa"/>
          <w:left w:w="0" w:type="dxa"/>
          <w:bottom w:w="0" w:type="dxa"/>
          <w:right w:w="0" w:type="dxa"/>
        </w:tblCellMar>
      </w:tblPr>
      <w:tr>
        <w:trPr>
          <w:trHeight w:val="149"/>
        </w:trPr>
        <w:tc>
          <w:tcPr>
            <w:tcW w:w="840" w:type="dxa"/>
            <w:vAlign w:val="bottom"/>
            <w:vMerge w:val="restart"/>
          </w:tcPr>
          <w:p>
            <w:pPr>
              <w:spacing w:after="0"/>
              <w:rPr>
                <w:sz w:val="20"/>
                <w:szCs w:val="20"/>
                <w:color w:val="auto"/>
              </w:rPr>
            </w:pPr>
            <w:r>
              <w:rPr>
                <w:rFonts w:ascii="Arial" w:cs="Arial" w:eastAsia="Arial" w:hAnsi="Arial"/>
                <w:sz w:val="13"/>
                <w:szCs w:val="13"/>
                <w:color w:val="auto"/>
              </w:rPr>
              <w:t>Year</w:t>
            </w:r>
          </w:p>
        </w:tc>
        <w:tc>
          <w:tcPr>
            <w:tcW w:w="2500" w:type="dxa"/>
            <w:vAlign w:val="bottom"/>
            <w:gridSpan w:val="3"/>
          </w:tcPr>
          <w:p>
            <w:pPr>
              <w:jc w:val="right"/>
              <w:ind w:right="440"/>
              <w:spacing w:after="0"/>
              <w:rPr>
                <w:sz w:val="20"/>
                <w:szCs w:val="20"/>
                <w:color w:val="auto"/>
              </w:rPr>
            </w:pPr>
            <w:r>
              <w:rPr>
                <w:rFonts w:ascii="Arial" w:cs="Arial" w:eastAsia="Arial" w:hAnsi="Arial"/>
                <w:sz w:val="13"/>
                <w:szCs w:val="13"/>
                <w:color w:val="auto"/>
              </w:rPr>
              <w:t>Dividends and share buybacks[A]</w:t>
            </w:r>
          </w:p>
        </w:tc>
        <w:tc>
          <w:tcPr>
            <w:tcW w:w="2140" w:type="dxa"/>
            <w:vAlign w:val="bottom"/>
            <w:gridSpan w:val="2"/>
          </w:tcPr>
          <w:p>
            <w:pPr>
              <w:jc w:val="right"/>
              <w:ind w:right="150"/>
              <w:spacing w:after="0"/>
              <w:rPr>
                <w:sz w:val="20"/>
                <w:szCs w:val="20"/>
                <w:color w:val="auto"/>
              </w:rPr>
            </w:pPr>
            <w:r>
              <w:rPr>
                <w:rFonts w:ascii="Arial" w:cs="Arial" w:eastAsia="Arial" w:hAnsi="Arial"/>
                <w:sz w:val="13"/>
                <w:szCs w:val="13"/>
                <w:color w:val="auto"/>
              </w:rPr>
              <w:t>Spend on pay (all employees)[B]</w:t>
            </w:r>
          </w:p>
        </w:tc>
        <w:tc>
          <w:tcPr>
            <w:tcW w:w="0" w:type="dxa"/>
            <w:vAlign w:val="bottom"/>
          </w:tcPr>
          <w:p>
            <w:pPr>
              <w:spacing w:after="0"/>
              <w:rPr>
                <w:sz w:val="1"/>
                <w:szCs w:val="1"/>
                <w:color w:val="auto"/>
              </w:rPr>
            </w:pPr>
          </w:p>
        </w:tc>
      </w:tr>
      <w:tr>
        <w:trPr>
          <w:trHeight w:val="129"/>
        </w:trPr>
        <w:tc>
          <w:tcPr>
            <w:tcW w:w="840" w:type="dxa"/>
            <w:vAlign w:val="bottom"/>
            <w:tcBorders>
              <w:bottom w:val="single" w:sz="8" w:color="auto"/>
            </w:tcBorders>
            <w:vMerge w:val="continue"/>
          </w:tcPr>
          <w:p>
            <w:pPr>
              <w:spacing w:after="0"/>
              <w:rPr>
                <w:sz w:val="11"/>
                <w:szCs w:val="11"/>
                <w:color w:val="auto"/>
              </w:rPr>
            </w:pPr>
          </w:p>
        </w:tc>
        <w:tc>
          <w:tcPr>
            <w:tcW w:w="940" w:type="dxa"/>
            <w:vAlign w:val="bottom"/>
            <w:tcBorders>
              <w:top w:val="single" w:sz="8" w:color="auto"/>
              <w:bottom w:val="single" w:sz="8" w:color="auto"/>
            </w:tcBorders>
          </w:tcPr>
          <w:p>
            <w:pPr>
              <w:jc w:val="right"/>
              <w:ind w:right="231"/>
              <w:spacing w:after="0" w:line="129" w:lineRule="exact"/>
              <w:rPr>
                <w:sz w:val="20"/>
                <w:szCs w:val="20"/>
                <w:color w:val="auto"/>
              </w:rPr>
            </w:pPr>
            <w:r>
              <w:rPr>
                <w:rFonts w:ascii="Arial" w:cs="Arial" w:eastAsia="Arial" w:hAnsi="Arial"/>
                <w:sz w:val="13"/>
                <w:szCs w:val="13"/>
                <w:color w:val="auto"/>
              </w:rPr>
              <w:t>$ billion</w:t>
            </w:r>
          </w:p>
        </w:tc>
        <w:tc>
          <w:tcPr>
            <w:tcW w:w="1340" w:type="dxa"/>
            <w:vAlign w:val="bottom"/>
            <w:tcBorders>
              <w:top w:val="single" w:sz="8" w:color="auto"/>
              <w:bottom w:val="single" w:sz="8" w:color="auto"/>
            </w:tcBorders>
          </w:tcPr>
          <w:p>
            <w:pPr>
              <w:jc w:val="right"/>
              <w:ind w:right="150"/>
              <w:spacing w:after="0" w:line="129" w:lineRule="exact"/>
              <w:rPr>
                <w:sz w:val="20"/>
                <w:szCs w:val="20"/>
                <w:color w:val="auto"/>
              </w:rPr>
            </w:pPr>
            <w:r>
              <w:rPr>
                <w:rFonts w:ascii="Arial" w:cs="Arial" w:eastAsia="Arial" w:hAnsi="Arial"/>
                <w:sz w:val="13"/>
                <w:szCs w:val="13"/>
                <w:color w:val="auto"/>
              </w:rPr>
              <w:t>Annual change</w:t>
            </w:r>
          </w:p>
        </w:tc>
        <w:tc>
          <w:tcPr>
            <w:tcW w:w="220" w:type="dxa"/>
            <w:vAlign w:val="bottom"/>
            <w:tcBorders>
              <w:bottom w:val="single" w:sz="8" w:color="auto"/>
            </w:tcBorders>
          </w:tcPr>
          <w:p>
            <w:pPr>
              <w:spacing w:after="0"/>
              <w:rPr>
                <w:sz w:val="11"/>
                <w:szCs w:val="11"/>
                <w:color w:val="auto"/>
              </w:rPr>
            </w:pPr>
          </w:p>
        </w:tc>
        <w:tc>
          <w:tcPr>
            <w:tcW w:w="820" w:type="dxa"/>
            <w:vAlign w:val="bottom"/>
            <w:tcBorders>
              <w:top w:val="single" w:sz="8" w:color="auto"/>
              <w:bottom w:val="single" w:sz="8" w:color="auto"/>
            </w:tcBorders>
          </w:tcPr>
          <w:p>
            <w:pPr>
              <w:jc w:val="right"/>
              <w:ind w:right="191"/>
              <w:spacing w:after="0" w:line="129" w:lineRule="exact"/>
              <w:rPr>
                <w:sz w:val="20"/>
                <w:szCs w:val="20"/>
                <w:color w:val="auto"/>
              </w:rPr>
            </w:pPr>
            <w:r>
              <w:rPr>
                <w:rFonts w:ascii="Arial" w:cs="Arial" w:eastAsia="Arial" w:hAnsi="Arial"/>
                <w:sz w:val="13"/>
                <w:szCs w:val="13"/>
                <w:color w:val="auto"/>
              </w:rPr>
              <w:t>$ billion</w:t>
            </w:r>
          </w:p>
        </w:tc>
        <w:tc>
          <w:tcPr>
            <w:tcW w:w="1320" w:type="dxa"/>
            <w:vAlign w:val="bottom"/>
            <w:tcBorders>
              <w:top w:val="single" w:sz="8" w:color="auto"/>
              <w:bottom w:val="single" w:sz="8" w:color="auto"/>
            </w:tcBorders>
          </w:tcPr>
          <w:p>
            <w:pPr>
              <w:jc w:val="right"/>
              <w:ind w:right="150"/>
              <w:spacing w:after="0" w:line="129" w:lineRule="exact"/>
              <w:rPr>
                <w:sz w:val="20"/>
                <w:szCs w:val="20"/>
                <w:color w:val="auto"/>
              </w:rPr>
            </w:pPr>
            <w:r>
              <w:rPr>
                <w:rFonts w:ascii="Arial" w:cs="Arial" w:eastAsia="Arial" w:hAnsi="Arial"/>
                <w:sz w:val="13"/>
                <w:szCs w:val="13"/>
                <w:color w:val="auto"/>
              </w:rPr>
              <w:t>Annual change</w:t>
            </w:r>
          </w:p>
        </w:tc>
        <w:tc>
          <w:tcPr>
            <w:tcW w:w="0" w:type="dxa"/>
            <w:vAlign w:val="bottom"/>
          </w:tcPr>
          <w:p>
            <w:pPr>
              <w:spacing w:after="0"/>
              <w:rPr>
                <w:sz w:val="1"/>
                <w:szCs w:val="1"/>
                <w:color w:val="auto"/>
              </w:rPr>
            </w:pPr>
          </w:p>
        </w:tc>
      </w:tr>
      <w:tr>
        <w:trPr>
          <w:trHeight w:val="160"/>
        </w:trPr>
        <w:tc>
          <w:tcPr>
            <w:tcW w:w="840" w:type="dxa"/>
            <w:vAlign w:val="bottom"/>
          </w:tcPr>
          <w:p>
            <w:pPr>
              <w:spacing w:after="0"/>
              <w:rPr>
                <w:sz w:val="20"/>
                <w:szCs w:val="20"/>
                <w:color w:val="auto"/>
              </w:rPr>
            </w:pPr>
            <w:r>
              <w:rPr>
                <w:rFonts w:ascii="Arial" w:cs="Arial" w:eastAsia="Arial" w:hAnsi="Arial"/>
                <w:sz w:val="14"/>
                <w:szCs w:val="14"/>
                <w:color w:val="auto"/>
              </w:rPr>
              <w:t>2014</w:t>
            </w:r>
          </w:p>
        </w:tc>
        <w:tc>
          <w:tcPr>
            <w:tcW w:w="940" w:type="dxa"/>
            <w:vAlign w:val="bottom"/>
          </w:tcPr>
          <w:p>
            <w:pPr>
              <w:jc w:val="right"/>
              <w:ind w:right="231"/>
              <w:spacing w:after="0"/>
              <w:rPr>
                <w:sz w:val="20"/>
                <w:szCs w:val="20"/>
                <w:color w:val="auto"/>
              </w:rPr>
            </w:pPr>
            <w:r>
              <w:rPr>
                <w:rFonts w:ascii="Arial" w:cs="Arial" w:eastAsia="Arial" w:hAnsi="Arial"/>
                <w:sz w:val="14"/>
                <w:szCs w:val="14"/>
                <w:color w:val="auto"/>
              </w:rPr>
              <w:t>14.6</w:t>
            </w:r>
          </w:p>
        </w:tc>
        <w:tc>
          <w:tcPr>
            <w:tcW w:w="1340" w:type="dxa"/>
            <w:vAlign w:val="bottom"/>
          </w:tcPr>
          <w:p>
            <w:pPr>
              <w:jc w:val="right"/>
              <w:ind w:right="150"/>
              <w:spacing w:after="0"/>
              <w:rPr>
                <w:sz w:val="20"/>
                <w:szCs w:val="20"/>
                <w:color w:val="auto"/>
              </w:rPr>
            </w:pPr>
            <w:r>
              <w:rPr>
                <w:rFonts w:ascii="Arial" w:cs="Arial" w:eastAsia="Arial" w:hAnsi="Arial"/>
                <w:sz w:val="14"/>
                <w:szCs w:val="14"/>
                <w:color w:val="auto"/>
              </w:rPr>
              <w:t>-14%</w:t>
            </w:r>
          </w:p>
        </w:tc>
        <w:tc>
          <w:tcPr>
            <w:tcW w:w="220" w:type="dxa"/>
            <w:vAlign w:val="bottom"/>
          </w:tcPr>
          <w:p>
            <w:pPr>
              <w:spacing w:after="0"/>
              <w:rPr>
                <w:sz w:val="13"/>
                <w:szCs w:val="13"/>
                <w:color w:val="auto"/>
              </w:rPr>
            </w:pPr>
          </w:p>
        </w:tc>
        <w:tc>
          <w:tcPr>
            <w:tcW w:w="820" w:type="dxa"/>
            <w:vAlign w:val="bottom"/>
          </w:tcPr>
          <w:p>
            <w:pPr>
              <w:jc w:val="right"/>
              <w:ind w:right="191"/>
              <w:spacing w:after="0"/>
              <w:rPr>
                <w:sz w:val="20"/>
                <w:szCs w:val="20"/>
                <w:color w:val="auto"/>
              </w:rPr>
            </w:pPr>
            <w:r>
              <w:rPr>
                <w:rFonts w:ascii="Arial" w:cs="Arial" w:eastAsia="Arial" w:hAnsi="Arial"/>
                <w:sz w:val="14"/>
                <w:szCs w:val="14"/>
                <w:color w:val="auto"/>
              </w:rPr>
              <w:t>16.4</w:t>
            </w:r>
          </w:p>
        </w:tc>
        <w:tc>
          <w:tcPr>
            <w:tcW w:w="1320" w:type="dxa"/>
            <w:vAlign w:val="bottom"/>
          </w:tcPr>
          <w:p>
            <w:pPr>
              <w:jc w:val="right"/>
              <w:ind w:right="150"/>
              <w:spacing w:after="0"/>
              <w:rPr>
                <w:sz w:val="20"/>
                <w:szCs w:val="20"/>
                <w:color w:val="auto"/>
              </w:rPr>
            </w:pPr>
            <w:r>
              <w:rPr>
                <w:rFonts w:ascii="Arial" w:cs="Arial" w:eastAsia="Arial" w:hAnsi="Arial"/>
                <w:sz w:val="14"/>
                <w:szCs w:val="14"/>
                <w:color w:val="auto"/>
              </w:rPr>
              <w:t>0%</w:t>
            </w:r>
          </w:p>
        </w:tc>
        <w:tc>
          <w:tcPr>
            <w:tcW w:w="0" w:type="dxa"/>
            <w:vAlign w:val="bottom"/>
          </w:tcPr>
          <w:p>
            <w:pPr>
              <w:spacing w:after="0"/>
              <w:rPr>
                <w:sz w:val="1"/>
                <w:szCs w:val="1"/>
                <w:color w:val="auto"/>
              </w:rPr>
            </w:pPr>
          </w:p>
        </w:tc>
      </w:tr>
      <w:tr>
        <w:trPr>
          <w:trHeight w:val="162"/>
        </w:trPr>
        <w:tc>
          <w:tcPr>
            <w:tcW w:w="840" w:type="dxa"/>
            <w:vAlign w:val="bottom"/>
          </w:tcPr>
          <w:p>
            <w:pPr>
              <w:spacing w:after="0"/>
              <w:rPr>
                <w:sz w:val="20"/>
                <w:szCs w:val="20"/>
                <w:color w:val="auto"/>
              </w:rPr>
            </w:pPr>
            <w:r>
              <w:rPr>
                <w:rFonts w:ascii="Arial" w:cs="Arial" w:eastAsia="Arial" w:hAnsi="Arial"/>
                <w:sz w:val="14"/>
                <w:szCs w:val="14"/>
                <w:color w:val="auto"/>
              </w:rPr>
              <w:t>2013</w:t>
            </w:r>
          </w:p>
        </w:tc>
        <w:tc>
          <w:tcPr>
            <w:tcW w:w="940" w:type="dxa"/>
            <w:vAlign w:val="bottom"/>
          </w:tcPr>
          <w:p>
            <w:pPr>
              <w:jc w:val="right"/>
              <w:ind w:right="231"/>
              <w:spacing w:after="0"/>
              <w:rPr>
                <w:sz w:val="20"/>
                <w:szCs w:val="20"/>
                <w:color w:val="auto"/>
              </w:rPr>
            </w:pPr>
            <w:r>
              <w:rPr>
                <w:rFonts w:ascii="Arial" w:cs="Arial" w:eastAsia="Arial" w:hAnsi="Arial"/>
                <w:sz w:val="14"/>
                <w:szCs w:val="14"/>
                <w:color w:val="auto"/>
              </w:rPr>
              <w:t>17.1</w:t>
            </w:r>
          </w:p>
        </w:tc>
        <w:tc>
          <w:tcPr>
            <w:tcW w:w="1340" w:type="dxa"/>
            <w:vAlign w:val="bottom"/>
          </w:tcPr>
          <w:p>
            <w:pPr>
              <w:jc w:val="right"/>
              <w:ind w:right="150"/>
              <w:spacing w:after="0"/>
              <w:rPr>
                <w:sz w:val="20"/>
                <w:szCs w:val="20"/>
                <w:color w:val="auto"/>
              </w:rPr>
            </w:pPr>
            <w:r>
              <w:rPr>
                <w:rFonts w:ascii="Arial" w:cs="Arial" w:eastAsia="Arial" w:hAnsi="Arial"/>
                <w:sz w:val="14"/>
                <w:szCs w:val="14"/>
                <w:color w:val="auto"/>
              </w:rPr>
              <w:t>35%</w:t>
            </w:r>
          </w:p>
        </w:tc>
        <w:tc>
          <w:tcPr>
            <w:tcW w:w="220" w:type="dxa"/>
            <w:vAlign w:val="bottom"/>
          </w:tcPr>
          <w:p>
            <w:pPr>
              <w:spacing w:after="0"/>
              <w:rPr>
                <w:sz w:val="14"/>
                <w:szCs w:val="14"/>
                <w:color w:val="auto"/>
              </w:rPr>
            </w:pPr>
          </w:p>
        </w:tc>
        <w:tc>
          <w:tcPr>
            <w:tcW w:w="820" w:type="dxa"/>
            <w:vAlign w:val="bottom"/>
          </w:tcPr>
          <w:p>
            <w:pPr>
              <w:jc w:val="right"/>
              <w:ind w:right="191"/>
              <w:spacing w:after="0"/>
              <w:rPr>
                <w:sz w:val="20"/>
                <w:szCs w:val="20"/>
                <w:color w:val="auto"/>
              </w:rPr>
            </w:pPr>
            <w:r>
              <w:rPr>
                <w:rFonts w:ascii="Arial" w:cs="Arial" w:eastAsia="Arial" w:hAnsi="Arial"/>
                <w:sz w:val="14"/>
                <w:szCs w:val="14"/>
                <w:color w:val="auto"/>
              </w:rPr>
              <w:t>16.4</w:t>
            </w:r>
          </w:p>
        </w:tc>
        <w:tc>
          <w:tcPr>
            <w:tcW w:w="1320" w:type="dxa"/>
            <w:vAlign w:val="bottom"/>
          </w:tcPr>
          <w:p>
            <w:pPr>
              <w:jc w:val="right"/>
              <w:ind w:right="150"/>
              <w:spacing w:after="0"/>
              <w:rPr>
                <w:sz w:val="20"/>
                <w:szCs w:val="20"/>
                <w:color w:val="auto"/>
              </w:rPr>
            </w:pPr>
            <w:r>
              <w:rPr>
                <w:rFonts w:ascii="Arial" w:cs="Arial" w:eastAsia="Arial" w:hAnsi="Arial"/>
                <w:sz w:val="14"/>
                <w:szCs w:val="14"/>
                <w:color w:val="auto"/>
              </w:rPr>
              <w:t>9%</w:t>
            </w:r>
          </w:p>
        </w:tc>
        <w:tc>
          <w:tcPr>
            <w:tcW w:w="0" w:type="dxa"/>
            <w:vAlign w:val="bottom"/>
          </w:tcPr>
          <w:p>
            <w:pPr>
              <w:spacing w:after="0"/>
              <w:rPr>
                <w:sz w:val="1"/>
                <w:szCs w:val="1"/>
                <w:color w:val="auto"/>
              </w:rPr>
            </w:pPr>
          </w:p>
        </w:tc>
      </w:tr>
      <w:tr>
        <w:trPr>
          <w:trHeight w:val="162"/>
        </w:trPr>
        <w:tc>
          <w:tcPr>
            <w:tcW w:w="840" w:type="dxa"/>
            <w:vAlign w:val="bottom"/>
          </w:tcPr>
          <w:p>
            <w:pPr>
              <w:spacing w:after="0"/>
              <w:rPr>
                <w:sz w:val="20"/>
                <w:szCs w:val="20"/>
                <w:color w:val="auto"/>
              </w:rPr>
            </w:pPr>
            <w:r>
              <w:rPr>
                <w:rFonts w:ascii="Arial" w:cs="Arial" w:eastAsia="Arial" w:hAnsi="Arial"/>
                <w:sz w:val="14"/>
                <w:szCs w:val="14"/>
                <w:color w:val="auto"/>
              </w:rPr>
              <w:t>2012</w:t>
            </w:r>
          </w:p>
        </w:tc>
        <w:tc>
          <w:tcPr>
            <w:tcW w:w="940" w:type="dxa"/>
            <w:vAlign w:val="bottom"/>
          </w:tcPr>
          <w:p>
            <w:pPr>
              <w:jc w:val="right"/>
              <w:ind w:right="231"/>
              <w:spacing w:after="0"/>
              <w:rPr>
                <w:sz w:val="20"/>
                <w:szCs w:val="20"/>
                <w:color w:val="auto"/>
              </w:rPr>
            </w:pPr>
            <w:r>
              <w:rPr>
                <w:rFonts w:ascii="Arial" w:cs="Arial" w:eastAsia="Arial" w:hAnsi="Arial"/>
                <w:sz w:val="14"/>
                <w:szCs w:val="14"/>
                <w:color w:val="auto"/>
              </w:rPr>
              <w:t>12.7</w:t>
            </w:r>
          </w:p>
        </w:tc>
        <w:tc>
          <w:tcPr>
            <w:tcW w:w="1340" w:type="dxa"/>
            <w:vAlign w:val="bottom"/>
          </w:tcPr>
          <w:p>
            <w:pPr>
              <w:jc w:val="right"/>
              <w:ind w:right="150"/>
              <w:spacing w:after="0"/>
              <w:rPr>
                <w:sz w:val="20"/>
                <w:szCs w:val="20"/>
                <w:color w:val="auto"/>
              </w:rPr>
            </w:pPr>
            <w:r>
              <w:rPr>
                <w:rFonts w:ascii="Arial" w:cs="Arial" w:eastAsia="Arial" w:hAnsi="Arial"/>
                <w:sz w:val="14"/>
                <w:szCs w:val="14"/>
                <w:color w:val="auto"/>
              </w:rPr>
              <w:t>9%</w:t>
            </w:r>
          </w:p>
        </w:tc>
        <w:tc>
          <w:tcPr>
            <w:tcW w:w="220" w:type="dxa"/>
            <w:vAlign w:val="bottom"/>
          </w:tcPr>
          <w:p>
            <w:pPr>
              <w:spacing w:after="0"/>
              <w:rPr>
                <w:sz w:val="14"/>
                <w:szCs w:val="14"/>
                <w:color w:val="auto"/>
              </w:rPr>
            </w:pPr>
          </w:p>
        </w:tc>
        <w:tc>
          <w:tcPr>
            <w:tcW w:w="820" w:type="dxa"/>
            <w:vAlign w:val="bottom"/>
          </w:tcPr>
          <w:p>
            <w:pPr>
              <w:jc w:val="right"/>
              <w:ind w:right="191"/>
              <w:spacing w:after="0"/>
              <w:rPr>
                <w:sz w:val="20"/>
                <w:szCs w:val="20"/>
                <w:color w:val="auto"/>
              </w:rPr>
            </w:pPr>
            <w:r>
              <w:rPr>
                <w:rFonts w:ascii="Arial" w:cs="Arial" w:eastAsia="Arial" w:hAnsi="Arial"/>
                <w:sz w:val="14"/>
                <w:szCs w:val="14"/>
                <w:color w:val="auto"/>
              </w:rPr>
              <w:t>15.1</w:t>
            </w:r>
          </w:p>
        </w:tc>
        <w:tc>
          <w:tcPr>
            <w:tcW w:w="1320" w:type="dxa"/>
            <w:vAlign w:val="bottom"/>
          </w:tcPr>
          <w:p>
            <w:pPr>
              <w:jc w:val="right"/>
              <w:ind w:right="150"/>
              <w:spacing w:after="0"/>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162"/>
        </w:trPr>
        <w:tc>
          <w:tcPr>
            <w:tcW w:w="840" w:type="dxa"/>
            <w:vAlign w:val="bottom"/>
          </w:tcPr>
          <w:p>
            <w:pPr>
              <w:spacing w:after="0"/>
              <w:rPr>
                <w:sz w:val="20"/>
                <w:szCs w:val="20"/>
                <w:color w:val="auto"/>
              </w:rPr>
            </w:pPr>
            <w:r>
              <w:rPr>
                <w:rFonts w:ascii="Arial" w:cs="Arial" w:eastAsia="Arial" w:hAnsi="Arial"/>
                <w:sz w:val="14"/>
                <w:szCs w:val="14"/>
                <w:color w:val="auto"/>
              </w:rPr>
              <w:t>2011</w:t>
            </w:r>
          </w:p>
        </w:tc>
        <w:tc>
          <w:tcPr>
            <w:tcW w:w="940" w:type="dxa"/>
            <w:vAlign w:val="bottom"/>
          </w:tcPr>
          <w:p>
            <w:pPr>
              <w:jc w:val="right"/>
              <w:ind w:right="231"/>
              <w:spacing w:after="0"/>
              <w:rPr>
                <w:sz w:val="20"/>
                <w:szCs w:val="20"/>
                <w:color w:val="auto"/>
              </w:rPr>
            </w:pPr>
            <w:r>
              <w:rPr>
                <w:rFonts w:ascii="Arial" w:cs="Arial" w:eastAsia="Arial" w:hAnsi="Arial"/>
                <w:sz w:val="14"/>
                <w:szCs w:val="14"/>
                <w:color w:val="auto"/>
              </w:rPr>
              <w:t>11.6</w:t>
            </w:r>
          </w:p>
        </w:tc>
        <w:tc>
          <w:tcPr>
            <w:tcW w:w="1340" w:type="dxa"/>
            <w:vAlign w:val="bottom"/>
          </w:tcPr>
          <w:p>
            <w:pPr>
              <w:jc w:val="right"/>
              <w:ind w:right="150"/>
              <w:spacing w:after="0"/>
              <w:rPr>
                <w:sz w:val="20"/>
                <w:szCs w:val="20"/>
                <w:color w:val="auto"/>
              </w:rPr>
            </w:pPr>
            <w:r>
              <w:rPr>
                <w:rFonts w:ascii="Arial" w:cs="Arial" w:eastAsia="Arial" w:hAnsi="Arial"/>
                <w:sz w:val="14"/>
                <w:szCs w:val="14"/>
                <w:color w:val="auto"/>
              </w:rPr>
              <w:t>14%</w:t>
            </w:r>
          </w:p>
        </w:tc>
        <w:tc>
          <w:tcPr>
            <w:tcW w:w="220" w:type="dxa"/>
            <w:vAlign w:val="bottom"/>
          </w:tcPr>
          <w:p>
            <w:pPr>
              <w:spacing w:after="0"/>
              <w:rPr>
                <w:sz w:val="14"/>
                <w:szCs w:val="14"/>
                <w:color w:val="auto"/>
              </w:rPr>
            </w:pPr>
          </w:p>
        </w:tc>
        <w:tc>
          <w:tcPr>
            <w:tcW w:w="820" w:type="dxa"/>
            <w:vAlign w:val="bottom"/>
          </w:tcPr>
          <w:p>
            <w:pPr>
              <w:jc w:val="right"/>
              <w:ind w:right="191"/>
              <w:spacing w:after="0"/>
              <w:rPr>
                <w:sz w:val="20"/>
                <w:szCs w:val="20"/>
                <w:color w:val="auto"/>
              </w:rPr>
            </w:pPr>
            <w:r>
              <w:rPr>
                <w:rFonts w:ascii="Arial" w:cs="Arial" w:eastAsia="Arial" w:hAnsi="Arial"/>
                <w:sz w:val="14"/>
                <w:szCs w:val="14"/>
                <w:color w:val="auto"/>
              </w:rPr>
              <w:t>14.6</w:t>
            </w:r>
          </w:p>
        </w:tc>
        <w:tc>
          <w:tcPr>
            <w:tcW w:w="1320" w:type="dxa"/>
            <w:vAlign w:val="bottom"/>
          </w:tcPr>
          <w:p>
            <w:pPr>
              <w:jc w:val="right"/>
              <w:ind w:right="150"/>
              <w:spacing w:after="0"/>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157"/>
        </w:trPr>
        <w:tc>
          <w:tcPr>
            <w:tcW w:w="840" w:type="dxa"/>
            <w:vAlign w:val="bottom"/>
            <w:tcBorders>
              <w:bottom w:val="single" w:sz="8" w:color="auto"/>
            </w:tcBorders>
          </w:tcPr>
          <w:p>
            <w:pPr>
              <w:spacing w:after="0" w:line="157" w:lineRule="exact"/>
              <w:rPr>
                <w:sz w:val="20"/>
                <w:szCs w:val="20"/>
                <w:color w:val="auto"/>
              </w:rPr>
            </w:pPr>
            <w:r>
              <w:rPr>
                <w:rFonts w:ascii="Arial" w:cs="Arial" w:eastAsia="Arial" w:hAnsi="Arial"/>
                <w:sz w:val="14"/>
                <w:szCs w:val="14"/>
                <w:color w:val="auto"/>
              </w:rPr>
              <w:t>2010</w:t>
            </w:r>
          </w:p>
        </w:tc>
        <w:tc>
          <w:tcPr>
            <w:tcW w:w="940" w:type="dxa"/>
            <w:vAlign w:val="bottom"/>
            <w:tcBorders>
              <w:bottom w:val="single" w:sz="8" w:color="auto"/>
            </w:tcBorders>
          </w:tcPr>
          <w:p>
            <w:pPr>
              <w:jc w:val="right"/>
              <w:ind w:right="231"/>
              <w:spacing w:after="0" w:line="157" w:lineRule="exact"/>
              <w:rPr>
                <w:sz w:val="20"/>
                <w:szCs w:val="20"/>
                <w:color w:val="auto"/>
              </w:rPr>
            </w:pPr>
            <w:r>
              <w:rPr>
                <w:rFonts w:ascii="Arial" w:cs="Arial" w:eastAsia="Arial" w:hAnsi="Arial"/>
                <w:sz w:val="14"/>
                <w:szCs w:val="14"/>
                <w:color w:val="auto"/>
              </w:rPr>
              <w:t>10.2</w:t>
            </w:r>
          </w:p>
        </w:tc>
        <w:tc>
          <w:tcPr>
            <w:tcW w:w="1340" w:type="dxa"/>
            <w:vAlign w:val="bottom"/>
            <w:tcBorders>
              <w:bottom w:val="single" w:sz="8" w:color="auto"/>
            </w:tcBorders>
          </w:tcPr>
          <w:p>
            <w:pPr>
              <w:jc w:val="right"/>
              <w:ind w:right="150"/>
              <w:spacing w:after="0" w:line="157" w:lineRule="exact"/>
              <w:rPr>
                <w:sz w:val="20"/>
                <w:szCs w:val="20"/>
                <w:color w:val="auto"/>
              </w:rPr>
            </w:pPr>
            <w:r>
              <w:rPr>
                <w:rFonts w:ascii="Arial" w:cs="Arial" w:eastAsia="Arial" w:hAnsi="Arial"/>
                <w:sz w:val="14"/>
                <w:szCs w:val="14"/>
                <w:color w:val="auto"/>
              </w:rPr>
              <w:t>-3%</w:t>
            </w:r>
          </w:p>
        </w:tc>
        <w:tc>
          <w:tcPr>
            <w:tcW w:w="22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191"/>
              <w:spacing w:after="0" w:line="157" w:lineRule="exact"/>
              <w:rPr>
                <w:sz w:val="20"/>
                <w:szCs w:val="20"/>
                <w:color w:val="auto"/>
              </w:rPr>
            </w:pPr>
            <w:r>
              <w:rPr>
                <w:rFonts w:ascii="Arial" w:cs="Arial" w:eastAsia="Arial" w:hAnsi="Arial"/>
                <w:sz w:val="14"/>
                <w:szCs w:val="14"/>
                <w:color w:val="auto"/>
              </w:rPr>
              <w:t>14.1</w:t>
            </w:r>
          </w:p>
        </w:tc>
        <w:tc>
          <w:tcPr>
            <w:tcW w:w="1320" w:type="dxa"/>
            <w:vAlign w:val="bottom"/>
            <w:tcBorders>
              <w:bottom w:val="single" w:sz="8" w:color="auto"/>
            </w:tcBorders>
          </w:tcPr>
          <w:p>
            <w:pPr>
              <w:jc w:val="right"/>
              <w:ind w:right="150"/>
              <w:spacing w:after="0" w:line="157" w:lineRule="exact"/>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bl>
    <w:p>
      <w:pPr>
        <w:spacing w:after="0" w:line="24" w:lineRule="exact"/>
        <w:rPr>
          <w:sz w:val="20"/>
          <w:szCs w:val="20"/>
          <w:color w:val="auto"/>
        </w:rPr>
      </w:pPr>
    </w:p>
    <w:p>
      <w:pPr>
        <w:ind w:left="180" w:right="600"/>
        <w:spacing w:after="0" w:line="230" w:lineRule="auto"/>
        <w:tabs>
          <w:tab w:leader="none" w:pos="342" w:val="left"/>
        </w:tabs>
        <w:numPr>
          <w:ilvl w:val="0"/>
          <w:numId w:val="112"/>
        </w:numPr>
        <w:rPr>
          <w:rFonts w:ascii="Arial" w:cs="Arial" w:eastAsia="Arial" w:hAnsi="Arial"/>
          <w:sz w:val="11"/>
          <w:szCs w:val="11"/>
          <w:color w:val="auto"/>
        </w:rPr>
      </w:pPr>
      <w:r>
        <w:rPr>
          <w:rFonts w:ascii="Arial" w:cs="Arial" w:eastAsia="Arial" w:hAnsi="Arial"/>
          <w:sz w:val="11"/>
          <w:szCs w:val="11"/>
          <w:color w:val="auto"/>
        </w:rPr>
        <w:t>Dividends paid, which includes the dividends settled in shares via our Scrip Dividend Programme, and repurchases of shares as reported in the “Consolidated Statement of Changes in Equity”.</w:t>
      </w:r>
    </w:p>
    <w:p>
      <w:pPr>
        <w:ind w:left="340" w:hanging="160"/>
        <w:spacing w:after="0"/>
        <w:tabs>
          <w:tab w:leader="none" w:pos="340" w:val="left"/>
        </w:tabs>
        <w:numPr>
          <w:ilvl w:val="0"/>
          <w:numId w:val="112"/>
        </w:numPr>
        <w:rPr>
          <w:rFonts w:ascii="Arial" w:cs="Arial" w:eastAsia="Arial" w:hAnsi="Arial"/>
          <w:sz w:val="11"/>
          <w:szCs w:val="11"/>
          <w:color w:val="auto"/>
        </w:rPr>
      </w:pPr>
      <w:r>
        <w:rPr>
          <w:rFonts w:ascii="Arial" w:cs="Arial" w:eastAsia="Arial" w:hAnsi="Arial"/>
          <w:sz w:val="11"/>
          <w:szCs w:val="11"/>
          <w:color w:val="auto"/>
        </w:rPr>
        <w:t>Employee expense as reported in Note 26 to the “Consolidated Financial Statements”.</w:t>
      </w:r>
    </w:p>
    <w:p>
      <w:pPr>
        <w:spacing w:after="0" w:line="192" w:lineRule="exact"/>
        <w:rPr>
          <w:sz w:val="20"/>
          <w:szCs w:val="20"/>
          <w:color w:val="auto"/>
        </w:rPr>
      </w:pPr>
    </w:p>
    <w:p>
      <w:pPr>
        <w:ind w:left="180" w:right="300"/>
        <w:spacing w:after="0" w:line="244" w:lineRule="auto"/>
        <w:rPr>
          <w:sz w:val="20"/>
          <w:szCs w:val="20"/>
          <w:color w:val="auto"/>
        </w:rPr>
      </w:pPr>
      <w:r>
        <w:rPr>
          <w:rFonts w:ascii="Arial" w:cs="Arial" w:eastAsia="Arial" w:hAnsi="Arial"/>
          <w:sz w:val="14"/>
          <w:szCs w:val="14"/>
          <w:color w:val="auto"/>
        </w:rPr>
        <w:t>Spend on pay can be compared with the major costs associated with generating income by referring to the “Consolidated Statement of Income”. Over the last five years, the average spend on pay was 4% of the major costs of generating income. These costs are considered to be the sum of: purchases; production and manufacturing expenses; selling, distribution and administrative expenses; research and development; exploration; and depreciation, depletion and amortisation.</w:t>
      </w:r>
    </w:p>
    <w:p>
      <w:pPr>
        <w:spacing w:after="0" w:line="160" w:lineRule="exact"/>
        <w:rPr>
          <w:sz w:val="20"/>
          <w:szCs w:val="20"/>
          <w:color w:val="auto"/>
        </w:rPr>
      </w:pPr>
    </w:p>
    <w:p>
      <w:pPr>
        <w:ind w:left="180"/>
        <w:spacing w:after="0"/>
        <w:rPr>
          <w:sz w:val="20"/>
          <w:szCs w:val="20"/>
          <w:color w:val="auto"/>
        </w:rPr>
      </w:pPr>
      <w:r>
        <w:rPr>
          <w:rFonts w:ascii="Arial" w:cs="Arial" w:eastAsia="Arial" w:hAnsi="Arial"/>
          <w:sz w:val="18"/>
          <w:szCs w:val="18"/>
          <w:color w:val="auto"/>
        </w:rPr>
        <w:t>PAYMENTS TO PAST DIRECTORS (AUDITED)</w:t>
      </w:r>
    </w:p>
    <w:p>
      <w:pPr>
        <w:spacing w:after="0" w:line="1" w:lineRule="exact"/>
        <w:rPr>
          <w:sz w:val="20"/>
          <w:szCs w:val="20"/>
          <w:color w:val="auto"/>
        </w:rPr>
      </w:pPr>
    </w:p>
    <w:p>
      <w:pPr>
        <w:ind w:left="180" w:right="240"/>
        <w:spacing w:after="0" w:line="247" w:lineRule="auto"/>
        <w:rPr>
          <w:sz w:val="20"/>
          <w:szCs w:val="20"/>
          <w:color w:val="auto"/>
        </w:rPr>
      </w:pPr>
      <w:r>
        <w:rPr>
          <w:rFonts w:ascii="Arial" w:cs="Arial" w:eastAsia="Arial" w:hAnsi="Arial"/>
          <w:sz w:val="14"/>
          <w:szCs w:val="14"/>
          <w:color w:val="auto"/>
        </w:rPr>
        <w:t>Peter Voser repatriated to his base country, Switzerland, on December 31, 2013, and was employed by Shell Switzerland AG until his departure from Shell on March 31, 2014. For this period, he received a base salary of Swiss francs 635,000 and annual bonus (as determined by REMCO) of €615,000 (Swiss francs 749,298).</w:t>
      </w:r>
    </w:p>
    <w:p>
      <w:pPr>
        <w:spacing w:after="0" w:line="161" w:lineRule="exact"/>
        <w:rPr>
          <w:sz w:val="20"/>
          <w:szCs w:val="20"/>
          <w:color w:val="auto"/>
        </w:rPr>
      </w:pPr>
    </w:p>
    <w:p>
      <w:pPr>
        <w:ind w:left="180" w:right="180"/>
        <w:spacing w:after="0" w:line="245" w:lineRule="auto"/>
        <w:rPr>
          <w:sz w:val="20"/>
          <w:szCs w:val="20"/>
          <w:color w:val="auto"/>
        </w:rPr>
      </w:pPr>
      <w:r>
        <w:rPr>
          <w:rFonts w:ascii="Arial" w:cs="Arial" w:eastAsia="Arial" w:hAnsi="Arial"/>
          <w:sz w:val="14"/>
          <w:szCs w:val="14"/>
          <w:color w:val="auto"/>
        </w:rPr>
        <w:t>On February 17, 2015, Peter Voser’s and Malcolm Brinded’s 2012 LTIP and DBP awards vested at 84%. The value at vesting of the LTIP shares was €5,059,432 for Peter Voser and €1,042,608 for Malcolm Brinded, following prorating, and the value at vesting of the performance matching DBP shares was €922,293 for Peter Voser and €543,024 for Malcolm Brinded.</w:t>
      </w:r>
    </w:p>
    <w:p>
      <w:pPr>
        <w:spacing w:after="0" w:line="178" w:lineRule="exact"/>
        <w:rPr>
          <w:sz w:val="20"/>
          <w:szCs w:val="20"/>
          <w:color w:val="auto"/>
        </w:rPr>
      </w:pPr>
    </w:p>
    <w:p>
      <w:pPr>
        <w:ind w:left="180"/>
        <w:spacing w:after="0"/>
        <w:rPr>
          <w:sz w:val="20"/>
          <w:szCs w:val="20"/>
          <w:color w:val="auto"/>
        </w:rPr>
      </w:pPr>
      <w:r>
        <w:rPr>
          <w:rFonts w:ascii="Arial" w:cs="Arial" w:eastAsia="Arial" w:hAnsi="Arial"/>
          <w:sz w:val="14"/>
          <w:szCs w:val="14"/>
          <w:color w:val="auto"/>
        </w:rPr>
        <w:t>Jeroen van der Veer and Peter Voser exercised their remaining share options in 2014.</w:t>
      </w:r>
    </w:p>
    <w:p>
      <w:pPr>
        <w:spacing w:after="0" w:line="177" w:lineRule="exact"/>
        <w:rPr>
          <w:sz w:val="20"/>
          <w:szCs w:val="20"/>
          <w:color w:val="auto"/>
        </w:rPr>
      </w:pPr>
    </w:p>
    <w:p>
      <w:pPr>
        <w:ind w:left="180" w:right="400"/>
        <w:spacing w:after="0" w:line="258" w:lineRule="auto"/>
        <w:rPr>
          <w:sz w:val="20"/>
          <w:szCs w:val="20"/>
          <w:color w:val="auto"/>
        </w:rPr>
      </w:pPr>
      <w:r>
        <w:rPr>
          <w:rFonts w:ascii="Arial" w:cs="Arial" w:eastAsia="Arial" w:hAnsi="Arial"/>
          <w:sz w:val="14"/>
          <w:szCs w:val="14"/>
          <w:color w:val="auto"/>
        </w:rPr>
        <w:t>Payments below €5,000 are not reported as they are considered de minimis below this level.</w:t>
      </w:r>
    </w:p>
    <w:p>
      <w:pPr>
        <w:sectPr>
          <w:pgSz w:w="11900" w:h="16838" w:orient="portrait"/>
          <w:cols w:equalWidth="0" w:num="2">
            <w:col w:w="5480" w:space="120"/>
            <w:col w:w="5820"/>
          </w:cols>
          <w:pgMar w:left="240" w:top="459" w:right="239" w:bottom="1440" w:gutter="0" w:footer="0" w:header="0"/>
          <w:type w:val="continuous"/>
        </w:sectPr>
      </w:pPr>
    </w:p>
    <w:bookmarkStart w:id="91" w:name="page92"/>
    <w:bookmarkEnd w:id="9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300355</wp:posOffset>
            </wp:positionV>
            <wp:extent cx="3490595" cy="46291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3490595" cy="462915"/>
                    </a:xfrm>
                    <a:prstGeom prst="rect">
                      <a:avLst/>
                    </a:prstGeom>
                    <a:noFill/>
                  </pic:spPr>
                </pic:pic>
              </a:graphicData>
            </a:graphic>
          </wp:anchor>
        </w:drawing>
      </w:r>
    </w:p>
    <w:p>
      <w:pPr>
        <w:spacing w:after="0" w:line="200" w:lineRule="exact"/>
        <w:rPr>
          <w:sz w:val="20"/>
          <w:szCs w:val="20"/>
          <w:color w:val="auto"/>
        </w:rPr>
      </w:pP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419"/>
        </w:trPr>
        <w:tc>
          <w:tcPr>
            <w:tcW w:w="2100" w:type="dxa"/>
            <w:vAlign w:val="bottom"/>
            <w:shd w:val="clear" w:color="auto" w:fill="FF8B00"/>
          </w:tcPr>
          <w:p>
            <w:pPr>
              <w:spacing w:after="0"/>
              <w:rPr>
                <w:sz w:val="24"/>
                <w:szCs w:val="24"/>
                <w:color w:val="auto"/>
              </w:rPr>
            </w:pPr>
          </w:p>
        </w:tc>
        <w:tc>
          <w:tcPr>
            <w:tcW w:w="3400" w:type="dxa"/>
            <w:vAlign w:val="bottom"/>
            <w:shd w:val="clear" w:color="auto" w:fill="FF8B00"/>
          </w:tcPr>
          <w:p>
            <w:pPr>
              <w:spacing w:after="0"/>
              <w:rPr>
                <w:sz w:val="24"/>
                <w:szCs w:val="24"/>
                <w:color w:val="auto"/>
              </w:rPr>
            </w:pPr>
          </w:p>
        </w:tc>
      </w:tr>
      <w:tr>
        <w:trPr>
          <w:trHeight w:val="152"/>
        </w:trPr>
        <w:tc>
          <w:tcPr>
            <w:tcW w:w="2100" w:type="dxa"/>
            <w:vAlign w:val="bottom"/>
          </w:tcPr>
          <w:p>
            <w:pPr>
              <w:jc w:val="right"/>
              <w:ind w:right="1666"/>
              <w:spacing w:after="0"/>
              <w:rPr>
                <w:sz w:val="20"/>
                <w:szCs w:val="20"/>
                <w:color w:val="auto"/>
              </w:rPr>
            </w:pPr>
            <w:r>
              <w:rPr>
                <w:rFonts w:ascii="Arial" w:cs="Arial" w:eastAsia="Arial" w:hAnsi="Arial"/>
                <w:sz w:val="11"/>
                <w:szCs w:val="11"/>
                <w:b w:val="1"/>
                <w:bCs w:val="1"/>
                <w:color w:val="333333"/>
              </w:rPr>
              <w:t>90</w:t>
            </w:r>
          </w:p>
        </w:tc>
        <w:tc>
          <w:tcPr>
            <w:tcW w:w="3400" w:type="dxa"/>
            <w:vAlign w:val="bottom"/>
          </w:tcPr>
          <w:p>
            <w:pPr>
              <w:ind w:left="1720"/>
              <w:spacing w:after="0"/>
              <w:rPr>
                <w:sz w:val="20"/>
                <w:szCs w:val="20"/>
                <w:color w:val="auto"/>
              </w:rPr>
            </w:pPr>
            <w:r>
              <w:rPr>
                <w:rFonts w:ascii="Arial" w:cs="Arial" w:eastAsia="Arial" w:hAnsi="Arial"/>
                <w:sz w:val="13"/>
                <w:szCs w:val="13"/>
                <w:color w:val="333333"/>
              </w:rPr>
              <w:t>GOVERNANCE</w:t>
            </w:r>
          </w:p>
        </w:tc>
      </w:tr>
    </w:tbl>
    <w:p>
      <w:pPr>
        <w:spacing w:after="0" w:line="155" w:lineRule="exact"/>
        <w:rPr>
          <w:sz w:val="20"/>
          <w:szCs w:val="20"/>
          <w:color w:val="auto"/>
        </w:rPr>
      </w:pPr>
    </w:p>
    <w:p>
      <w:pPr>
        <w:ind w:left="2680"/>
        <w:spacing w:after="0"/>
        <w:rPr>
          <w:sz w:val="20"/>
          <w:szCs w:val="20"/>
          <w:color w:val="auto"/>
        </w:rPr>
      </w:pPr>
      <w:r>
        <w:rPr>
          <w:rFonts w:ascii="Arial" w:cs="Arial" w:eastAsia="Arial" w:hAnsi="Arial"/>
          <w:sz w:val="11"/>
          <w:szCs w:val="11"/>
          <w:color w:val="auto"/>
        </w:rPr>
        <w:t>DIRECTORS’ REMUNERATION REPORT</w:t>
      </w:r>
    </w:p>
    <w:p>
      <w:pPr>
        <w:spacing w:after="0" w:line="48" w:lineRule="exact"/>
        <w:rPr>
          <w:sz w:val="20"/>
          <w:szCs w:val="20"/>
          <w:color w:val="auto"/>
        </w:rPr>
      </w:pPr>
    </w:p>
    <w:p>
      <w:pPr>
        <w:ind w:right="980"/>
        <w:spacing w:after="0" w:line="260" w:lineRule="auto"/>
        <w:rPr>
          <w:sz w:val="20"/>
          <w:szCs w:val="20"/>
          <w:color w:val="auto"/>
        </w:rPr>
      </w:pPr>
      <w:r>
        <w:rPr>
          <w:rFonts w:ascii="Arial" w:cs="Arial" w:eastAsia="Arial" w:hAnsi="Arial"/>
          <w:sz w:val="24"/>
          <w:szCs w:val="24"/>
          <w:color w:val="auto"/>
        </w:rPr>
        <w:t xml:space="preserve">ANNUAL REPORT ON REMUNERATION </w:t>
      </w:r>
      <w:r>
        <w:rPr>
          <w:rFonts w:ascii="Arial" w:cs="Arial" w:eastAsia="Arial" w:hAnsi="Arial"/>
          <w:sz w:val="24"/>
          <w:szCs w:val="24"/>
          <w:color w:val="666666"/>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-16510</wp:posOffset>
            </wp:positionV>
            <wp:extent cx="3473450" cy="889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color w:val="auto"/>
        </w:rPr>
        <w:t>TOTAL PENSION ENTITLEMENTS (AUDITED)</w:t>
      </w:r>
    </w:p>
    <w:p>
      <w:pPr>
        <w:spacing w:after="0" w:line="1" w:lineRule="exact"/>
        <w:rPr>
          <w:sz w:val="20"/>
          <w:szCs w:val="20"/>
          <w:color w:val="auto"/>
        </w:rPr>
      </w:pPr>
    </w:p>
    <w:p>
      <w:pPr>
        <w:ind w:right="60"/>
        <w:spacing w:after="0" w:line="250" w:lineRule="auto"/>
        <w:rPr>
          <w:sz w:val="20"/>
          <w:szCs w:val="20"/>
          <w:color w:val="auto"/>
        </w:rPr>
      </w:pPr>
      <w:r>
        <w:rPr>
          <w:rFonts w:ascii="Arial" w:cs="Arial" w:eastAsia="Arial" w:hAnsi="Arial"/>
          <w:sz w:val="14"/>
          <w:szCs w:val="14"/>
          <w:color w:val="auto"/>
        </w:rPr>
        <w:t>During 2014, Ben van Beurden and Simon Henry accrued retirement benefits under defined benefit plans. The pension accrued under these plans at December 31, 2014, is set out below.</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3020" w:type="dxa"/>
            <w:vAlign w:val="bottom"/>
            <w:gridSpan w:val="2"/>
            <w:shd w:val="clear" w:color="auto" w:fill="333333"/>
          </w:tcPr>
          <w:p>
            <w:pPr>
              <w:jc w:val="right"/>
              <w:ind w:right="571"/>
              <w:spacing w:after="0"/>
              <w:rPr>
                <w:sz w:val="20"/>
                <w:szCs w:val="20"/>
                <w:color w:val="auto"/>
              </w:rPr>
            </w:pPr>
            <w:r>
              <w:rPr>
                <w:rFonts w:ascii="Arial" w:cs="Arial" w:eastAsia="Arial" w:hAnsi="Arial"/>
                <w:sz w:val="15"/>
                <w:szCs w:val="15"/>
                <w:b w:val="1"/>
                <w:bCs w:val="1"/>
                <w:color w:val="FFFFFF"/>
              </w:rPr>
              <w:t xml:space="preserve">ACCRUED PENSION </w:t>
            </w:r>
            <w:r>
              <w:rPr>
                <w:rFonts w:ascii="Arial" w:cs="Arial" w:eastAsia="Arial" w:hAnsi="Arial"/>
                <w:sz w:val="15"/>
                <w:szCs w:val="15"/>
                <w:color w:val="FFFFFF"/>
              </w:rPr>
              <w:t>(AUDITED)</w:t>
            </w:r>
          </w:p>
        </w:tc>
        <w:tc>
          <w:tcPr>
            <w:tcW w:w="1040" w:type="dxa"/>
            <w:vAlign w:val="bottom"/>
            <w:shd w:val="clear" w:color="auto" w:fill="333333"/>
          </w:tcPr>
          <w:p>
            <w:pPr>
              <w:spacing w:after="0"/>
              <w:rPr>
                <w:sz w:val="14"/>
                <w:szCs w:val="14"/>
                <w:color w:val="auto"/>
              </w:rPr>
            </w:pPr>
          </w:p>
        </w:tc>
        <w:tc>
          <w:tcPr>
            <w:tcW w:w="1420" w:type="dxa"/>
            <w:vAlign w:val="bottom"/>
            <w:shd w:val="clear" w:color="auto" w:fill="333333"/>
          </w:tcPr>
          <w:p>
            <w:pPr>
              <w:jc w:val="right"/>
              <w:ind w:right="229"/>
              <w:spacing w:after="0"/>
              <w:rPr>
                <w:sz w:val="20"/>
                <w:szCs w:val="20"/>
                <w:color w:val="auto"/>
              </w:rPr>
            </w:pPr>
            <w:r>
              <w:rPr>
                <w:rFonts w:ascii="Arial" w:cs="Arial" w:eastAsia="Arial" w:hAnsi="Arial"/>
                <w:sz w:val="15"/>
                <w:szCs w:val="15"/>
                <w:color w:val="FFFFFF"/>
              </w:rPr>
              <w:t>THOUSAND</w:t>
            </w:r>
          </w:p>
        </w:tc>
      </w:tr>
      <w:tr>
        <w:trPr>
          <w:trHeight w:val="149"/>
        </w:trPr>
        <w:tc>
          <w:tcPr>
            <w:tcW w:w="1680" w:type="dxa"/>
            <w:vAlign w:val="bottom"/>
            <w:tcBorders>
              <w:bottom w:val="single" w:sz="8" w:color="auto"/>
            </w:tcBorders>
          </w:tcPr>
          <w:p>
            <w:pPr>
              <w:spacing w:after="0"/>
              <w:rPr>
                <w:sz w:val="12"/>
                <w:szCs w:val="12"/>
                <w:color w:val="auto"/>
              </w:rPr>
            </w:pPr>
          </w:p>
        </w:tc>
        <w:tc>
          <w:tcPr>
            <w:tcW w:w="1340" w:type="dxa"/>
            <w:vAlign w:val="bottom"/>
            <w:tcBorders>
              <w:bottom w:val="single" w:sz="8" w:color="auto"/>
            </w:tcBorders>
          </w:tcPr>
          <w:p>
            <w:pPr>
              <w:jc w:val="right"/>
              <w:ind w:right="271"/>
              <w:spacing w:after="0"/>
              <w:rPr>
                <w:sz w:val="20"/>
                <w:szCs w:val="20"/>
                <w:color w:val="auto"/>
              </w:rPr>
            </w:pPr>
            <w:r>
              <w:rPr>
                <w:rFonts w:ascii="Arial" w:cs="Arial" w:eastAsia="Arial" w:hAnsi="Arial"/>
                <w:sz w:val="13"/>
                <w:szCs w:val="13"/>
                <w:color w:val="auto"/>
              </w:rPr>
              <w:t>Local</w:t>
            </w:r>
          </w:p>
        </w:tc>
        <w:tc>
          <w:tcPr>
            <w:tcW w:w="1040" w:type="dxa"/>
            <w:vAlign w:val="bottom"/>
            <w:tcBorders>
              <w:bottom w:val="single" w:sz="8" w:color="auto"/>
            </w:tcBorders>
          </w:tcPr>
          <w:p>
            <w:pPr>
              <w:jc w:val="right"/>
              <w:ind w:right="191"/>
              <w:spacing w:after="0"/>
              <w:rPr>
                <w:sz w:val="20"/>
                <w:szCs w:val="20"/>
                <w:color w:val="auto"/>
              </w:rPr>
            </w:pPr>
            <w:r>
              <w:rPr>
                <w:rFonts w:ascii="Arial" w:cs="Arial" w:eastAsia="Arial" w:hAnsi="Arial"/>
                <w:sz w:val="13"/>
                <w:szCs w:val="13"/>
                <w:color w:val="auto"/>
              </w:rPr>
              <w:t>€</w:t>
            </w:r>
          </w:p>
        </w:tc>
        <w:tc>
          <w:tcPr>
            <w:tcW w:w="1420" w:type="dxa"/>
            <w:vAlign w:val="bottom"/>
            <w:tcBorders>
              <w:bottom w:val="single" w:sz="8" w:color="auto"/>
            </w:tcBorders>
          </w:tcPr>
          <w:p>
            <w:pPr>
              <w:jc w:val="right"/>
              <w:ind w:right="229"/>
              <w:spacing w:after="0"/>
              <w:rPr>
                <w:sz w:val="20"/>
                <w:szCs w:val="20"/>
                <w:color w:val="auto"/>
              </w:rPr>
            </w:pPr>
            <w:r>
              <w:rPr>
                <w:rFonts w:ascii="Arial" w:cs="Arial" w:eastAsia="Arial" w:hAnsi="Arial"/>
                <w:sz w:val="13"/>
                <w:szCs w:val="13"/>
                <w:color w:val="auto"/>
              </w:rPr>
              <w:t>$</w:t>
            </w:r>
          </w:p>
        </w:tc>
      </w:tr>
      <w:tr>
        <w:trPr>
          <w:trHeight w:val="160"/>
        </w:trPr>
        <w:tc>
          <w:tcPr>
            <w:tcW w:w="1680" w:type="dxa"/>
            <w:vAlign w:val="bottom"/>
          </w:tcPr>
          <w:p>
            <w:pPr>
              <w:ind w:left="20"/>
              <w:spacing w:after="0"/>
              <w:rPr>
                <w:sz w:val="20"/>
                <w:szCs w:val="20"/>
                <w:color w:val="auto"/>
              </w:rPr>
            </w:pPr>
            <w:r>
              <w:rPr>
                <w:rFonts w:ascii="Arial" w:cs="Arial" w:eastAsia="Arial" w:hAnsi="Arial"/>
                <w:sz w:val="14"/>
                <w:szCs w:val="14"/>
                <w:color w:val="auto"/>
              </w:rPr>
              <w:t>Ben van Beurden</w:t>
            </w:r>
          </w:p>
        </w:tc>
        <w:tc>
          <w:tcPr>
            <w:tcW w:w="1340" w:type="dxa"/>
            <w:vAlign w:val="bottom"/>
          </w:tcPr>
          <w:p>
            <w:pPr>
              <w:jc w:val="right"/>
              <w:ind w:right="271"/>
              <w:spacing w:after="0"/>
              <w:rPr>
                <w:sz w:val="20"/>
                <w:szCs w:val="20"/>
                <w:color w:val="auto"/>
              </w:rPr>
            </w:pPr>
            <w:r>
              <w:rPr>
                <w:rFonts w:ascii="Arial" w:cs="Arial" w:eastAsia="Arial" w:hAnsi="Arial"/>
                <w:sz w:val="14"/>
                <w:szCs w:val="14"/>
                <w:color w:val="auto"/>
              </w:rPr>
              <w:t>€1,160</w:t>
            </w:r>
          </w:p>
        </w:tc>
        <w:tc>
          <w:tcPr>
            <w:tcW w:w="1040" w:type="dxa"/>
            <w:vAlign w:val="bottom"/>
          </w:tcPr>
          <w:p>
            <w:pPr>
              <w:jc w:val="right"/>
              <w:ind w:right="191"/>
              <w:spacing w:after="0"/>
              <w:rPr>
                <w:sz w:val="20"/>
                <w:szCs w:val="20"/>
                <w:color w:val="auto"/>
              </w:rPr>
            </w:pPr>
            <w:r>
              <w:rPr>
                <w:rFonts w:ascii="Arial" w:cs="Arial" w:eastAsia="Arial" w:hAnsi="Arial"/>
                <w:sz w:val="14"/>
                <w:szCs w:val="14"/>
                <w:color w:val="auto"/>
              </w:rPr>
              <w:t>€1,160</w:t>
            </w:r>
          </w:p>
        </w:tc>
        <w:tc>
          <w:tcPr>
            <w:tcW w:w="1420" w:type="dxa"/>
            <w:vAlign w:val="bottom"/>
          </w:tcPr>
          <w:p>
            <w:pPr>
              <w:jc w:val="right"/>
              <w:ind w:right="229"/>
              <w:spacing w:after="0"/>
              <w:rPr>
                <w:sz w:val="20"/>
                <w:szCs w:val="20"/>
                <w:color w:val="auto"/>
              </w:rPr>
            </w:pPr>
            <w:r>
              <w:rPr>
                <w:rFonts w:ascii="Arial" w:cs="Arial" w:eastAsia="Arial" w:hAnsi="Arial"/>
                <w:sz w:val="14"/>
                <w:szCs w:val="14"/>
                <w:color w:val="auto"/>
              </w:rPr>
              <w:t>$1,411</w:t>
            </w:r>
          </w:p>
        </w:tc>
      </w:tr>
      <w:tr>
        <w:trPr>
          <w:trHeight w:val="157"/>
        </w:trPr>
        <w:tc>
          <w:tcPr>
            <w:tcW w:w="1680" w:type="dxa"/>
            <w:vAlign w:val="bottom"/>
            <w:tcBorders>
              <w:bottom w:val="single" w:sz="8" w:color="auto"/>
            </w:tcBorders>
          </w:tcPr>
          <w:p>
            <w:pPr>
              <w:ind w:left="20"/>
              <w:spacing w:after="0" w:line="157" w:lineRule="exact"/>
              <w:rPr>
                <w:sz w:val="20"/>
                <w:szCs w:val="20"/>
                <w:color w:val="auto"/>
              </w:rPr>
            </w:pPr>
            <w:r>
              <w:rPr>
                <w:rFonts w:ascii="Arial" w:cs="Arial" w:eastAsia="Arial" w:hAnsi="Arial"/>
                <w:sz w:val="14"/>
                <w:szCs w:val="14"/>
                <w:color w:val="auto"/>
              </w:rPr>
              <w:t>Simon Henry</w:t>
            </w:r>
          </w:p>
        </w:tc>
        <w:tc>
          <w:tcPr>
            <w:tcW w:w="1340" w:type="dxa"/>
            <w:vAlign w:val="bottom"/>
            <w:tcBorders>
              <w:bottom w:val="single" w:sz="8" w:color="auto"/>
            </w:tcBorders>
          </w:tcPr>
          <w:p>
            <w:pPr>
              <w:jc w:val="right"/>
              <w:ind w:right="271"/>
              <w:spacing w:after="0" w:line="157" w:lineRule="exact"/>
              <w:rPr>
                <w:sz w:val="20"/>
                <w:szCs w:val="20"/>
                <w:color w:val="auto"/>
              </w:rPr>
            </w:pPr>
            <w:r>
              <w:rPr>
                <w:rFonts w:ascii="Arial" w:cs="Arial" w:eastAsia="Arial" w:hAnsi="Arial"/>
                <w:sz w:val="14"/>
                <w:szCs w:val="14"/>
                <w:color w:val="auto"/>
              </w:rPr>
              <w:t>£449</w:t>
            </w:r>
          </w:p>
        </w:tc>
        <w:tc>
          <w:tcPr>
            <w:tcW w:w="1040" w:type="dxa"/>
            <w:vAlign w:val="bottom"/>
            <w:tcBorders>
              <w:bottom w:val="single" w:sz="8" w:color="auto"/>
            </w:tcBorders>
          </w:tcPr>
          <w:p>
            <w:pPr>
              <w:jc w:val="right"/>
              <w:ind w:right="191"/>
              <w:spacing w:after="0" w:line="157" w:lineRule="exact"/>
              <w:rPr>
                <w:sz w:val="20"/>
                <w:szCs w:val="20"/>
                <w:color w:val="auto"/>
              </w:rPr>
            </w:pPr>
            <w:r>
              <w:rPr>
                <w:rFonts w:ascii="Arial" w:cs="Arial" w:eastAsia="Arial" w:hAnsi="Arial"/>
                <w:sz w:val="14"/>
                <w:szCs w:val="14"/>
                <w:color w:val="auto"/>
              </w:rPr>
              <w:t>€575</w:t>
            </w:r>
          </w:p>
        </w:tc>
        <w:tc>
          <w:tcPr>
            <w:tcW w:w="1420" w:type="dxa"/>
            <w:vAlign w:val="bottom"/>
            <w:tcBorders>
              <w:bottom w:val="single" w:sz="8" w:color="auto"/>
            </w:tcBorders>
          </w:tcPr>
          <w:p>
            <w:pPr>
              <w:jc w:val="right"/>
              <w:ind w:right="229"/>
              <w:spacing w:after="0" w:line="157" w:lineRule="exact"/>
              <w:rPr>
                <w:sz w:val="20"/>
                <w:szCs w:val="20"/>
                <w:color w:val="auto"/>
              </w:rPr>
            </w:pPr>
            <w:r>
              <w:rPr>
                <w:rFonts w:ascii="Arial" w:cs="Arial" w:eastAsia="Arial" w:hAnsi="Arial"/>
                <w:sz w:val="14"/>
                <w:szCs w:val="14"/>
                <w:color w:val="auto"/>
              </w:rPr>
              <w:t>$699</w:t>
            </w:r>
          </w:p>
        </w:tc>
      </w:tr>
    </w:tbl>
    <w:p>
      <w:pPr>
        <w:spacing w:after="0" w:line="140" w:lineRule="exact"/>
        <w:rPr>
          <w:sz w:val="20"/>
          <w:szCs w:val="20"/>
          <w:color w:val="auto"/>
        </w:rPr>
      </w:pPr>
    </w:p>
    <w:p>
      <w:pPr>
        <w:jc w:val="both"/>
        <w:ind w:right="20"/>
        <w:spacing w:after="0" w:line="247" w:lineRule="auto"/>
        <w:rPr>
          <w:sz w:val="20"/>
          <w:szCs w:val="20"/>
          <w:color w:val="auto"/>
        </w:rPr>
      </w:pPr>
      <w:r>
        <w:rPr>
          <w:rFonts w:ascii="Arial" w:cs="Arial" w:eastAsia="Arial" w:hAnsi="Arial"/>
          <w:sz w:val="14"/>
          <w:szCs w:val="14"/>
          <w:color w:val="auto"/>
        </w:rPr>
        <w:t>The age at which Ben van Beurden and Simon Henry can receive any pension benefit without actuarial reduction is 67 and 60 respectively. Any benefits on early retirement are reduced using actuarial factors to reflect early payment. No payments were made in 2014 regarding early retirement or in lieu of retirement benefits.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color w:val="auto"/>
        </w:rPr>
        <w:t>Ben van Beurden</w:t>
      </w:r>
    </w:p>
    <w:p>
      <w:pPr>
        <w:spacing w:after="0" w:line="1" w:lineRule="exact"/>
        <w:rPr>
          <w:sz w:val="20"/>
          <w:szCs w:val="20"/>
          <w:color w:val="auto"/>
        </w:rPr>
      </w:pPr>
    </w:p>
    <w:p>
      <w:pPr>
        <w:ind w:right="40"/>
        <w:spacing w:after="0" w:line="244" w:lineRule="auto"/>
        <w:rPr>
          <w:sz w:val="20"/>
          <w:szCs w:val="20"/>
          <w:color w:val="auto"/>
        </w:rPr>
      </w:pPr>
      <w:r>
        <w:rPr>
          <w:rFonts w:ascii="Arial" w:cs="Arial" w:eastAsia="Arial" w:hAnsi="Arial"/>
          <w:sz w:val="14"/>
          <w:szCs w:val="14"/>
          <w:color w:val="auto"/>
        </w:rPr>
        <w:t>Ben van Beurden is a member of the “Stichting Shell Pensioen Fonds”, the pension plan for Shell employees in the Netherlands who joined before July 2013 that provides benefits in defined benefit form. Important changes to pension arrangements with effect from January 1, 2015 are explained on page 83. As a result of these changes, Ben van Beurden has also joined the Shell net pension plan in the Netherlands with effect from January 1, 2015.</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color w:val="auto"/>
        </w:rPr>
        <w:t>Simon Henry</w:t>
      </w:r>
    </w:p>
    <w:p>
      <w:pPr>
        <w:spacing w:after="0" w:line="1" w:lineRule="exact"/>
        <w:rPr>
          <w:sz w:val="20"/>
          <w:szCs w:val="20"/>
          <w:color w:val="auto"/>
        </w:rPr>
      </w:pPr>
    </w:p>
    <w:p>
      <w:pPr>
        <w:ind w:right="20"/>
        <w:spacing w:after="0" w:line="244" w:lineRule="auto"/>
        <w:rPr>
          <w:sz w:val="20"/>
          <w:szCs w:val="20"/>
          <w:color w:val="auto"/>
        </w:rPr>
      </w:pPr>
      <w:r>
        <w:rPr>
          <w:rFonts w:ascii="Arial" w:cs="Arial" w:eastAsia="Arial" w:hAnsi="Arial"/>
          <w:sz w:val="14"/>
          <w:szCs w:val="14"/>
          <w:color w:val="auto"/>
        </w:rPr>
        <w:t>Simon Henry is a member of the Shell Overseas Contributory Pension Fund (SOCPF) and the Shell Contributory Pension Fund (SCPF), with both funded pension plans providing benefits in defined benefit form. The SOCPF provides benefits in respect of his periods of employment outside the UK, while the SCPF provides benefits in respect of his periods of employment in the UK. Simon Henry has elected to have his benefits from the SCPF restricted to the UK lifetime allowance with any excess provided from an unfunded arrangement, the Shell Supplementary Pension Plan.</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color w:val="auto"/>
        </w:rPr>
        <w:t>EXTERNAL APPOINTMENTS</w:t>
      </w:r>
    </w:p>
    <w:p>
      <w:pPr>
        <w:spacing w:after="0" w:line="1" w:lineRule="exact"/>
        <w:rPr>
          <w:sz w:val="20"/>
          <w:szCs w:val="20"/>
          <w:color w:val="auto"/>
        </w:rPr>
      </w:pPr>
    </w:p>
    <w:p>
      <w:pPr>
        <w:ind w:right="40"/>
        <w:spacing w:after="0" w:line="245" w:lineRule="auto"/>
        <w:rPr>
          <w:sz w:val="20"/>
          <w:szCs w:val="20"/>
          <w:color w:val="auto"/>
        </w:rPr>
      </w:pPr>
      <w:r>
        <w:rPr>
          <w:rFonts w:ascii="Arial" w:cs="Arial" w:eastAsia="Arial" w:hAnsi="Arial"/>
          <w:sz w:val="14"/>
          <w:szCs w:val="14"/>
          <w:color w:val="auto"/>
        </w:rPr>
        <w:t>The Board considers external appointments to be valuable in broadening Executive Directors’ knowledge and experience. The number of outside directorships is generally limited to one. The Board must explicitly approve such appointments. Executive Directors are allowed to retain any cash or share-based compensation they receive from such external board directorships.</w:t>
      </w:r>
    </w:p>
    <w:p>
      <w:pPr>
        <w:spacing w:after="0" w:line="178" w:lineRule="exact"/>
        <w:rPr>
          <w:sz w:val="20"/>
          <w:szCs w:val="20"/>
          <w:color w:val="auto"/>
        </w:rPr>
      </w:pPr>
    </w:p>
    <w:p>
      <w:pPr>
        <w:ind w:right="220"/>
        <w:spacing w:after="0" w:line="258" w:lineRule="auto"/>
        <w:rPr>
          <w:sz w:val="20"/>
          <w:szCs w:val="20"/>
          <w:color w:val="auto"/>
        </w:rPr>
      </w:pPr>
      <w:r>
        <w:rPr>
          <w:rFonts w:ascii="Arial" w:cs="Arial" w:eastAsia="Arial" w:hAnsi="Arial"/>
          <w:sz w:val="14"/>
          <w:szCs w:val="14"/>
          <w:color w:val="auto"/>
        </w:rPr>
        <w:t>Simon Henry was appointed a Non-executive Director of Lloyds Banking Group plc with effect from June 2014. His fee in 2014 was £53,750.</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left="3240"/>
        <w:spacing w:after="0"/>
        <w:rPr>
          <w:sz w:val="20"/>
          <w:szCs w:val="20"/>
          <w:color w:val="auto"/>
        </w:rPr>
      </w:pPr>
      <w:r>
        <w:rPr>
          <w:rFonts w:ascii="Arial" w:cs="Arial" w:eastAsia="Arial" w:hAnsi="Arial"/>
          <w:sz w:val="10"/>
          <w:szCs w:val="10"/>
          <w:color w:val="auto"/>
        </w:rPr>
        <w:t>SHELL ANNUAL REPORT AND FORM 20-F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-3677285</wp:posOffset>
            </wp:positionH>
            <wp:positionV relativeFrom="paragraph">
              <wp:posOffset>-1167765</wp:posOffset>
            </wp:positionV>
            <wp:extent cx="7289165" cy="3810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color w:val="auto"/>
        </w:rPr>
        <w:t>STATEMENT OF VOTING AT 2014 AGM</w:t>
      </w:r>
    </w:p>
    <w:p>
      <w:pPr>
        <w:spacing w:after="0" w:line="1" w:lineRule="exact"/>
        <w:rPr>
          <w:sz w:val="20"/>
          <w:szCs w:val="20"/>
          <w:color w:val="auto"/>
        </w:rPr>
      </w:pPr>
    </w:p>
    <w:p>
      <w:pPr>
        <w:ind w:right="620"/>
        <w:spacing w:after="0" w:line="258" w:lineRule="auto"/>
        <w:rPr>
          <w:sz w:val="20"/>
          <w:szCs w:val="20"/>
          <w:color w:val="auto"/>
        </w:rPr>
      </w:pPr>
      <w:r>
        <w:rPr>
          <w:rFonts w:ascii="Arial" w:cs="Arial" w:eastAsia="Arial" w:hAnsi="Arial"/>
          <w:sz w:val="14"/>
          <w:szCs w:val="14"/>
          <w:color w:val="auto"/>
        </w:rPr>
        <w:t>The Company’s 2014 AGM was held on May 20, 2014, in the Netherlands. The results of the polls in respect of Directors’ remuneration were as follows:</w:t>
      </w:r>
    </w:p>
    <w:p>
      <w:pPr>
        <w:spacing w:after="0" w:line="168" w:lineRule="exact"/>
        <w:rPr>
          <w:sz w:val="20"/>
          <w:szCs w:val="20"/>
          <w:color w:val="auto"/>
        </w:rPr>
      </w:pPr>
    </w:p>
    <w:p>
      <w:pPr>
        <w:ind w:left="60"/>
        <w:spacing w:after="0"/>
        <w:rPr>
          <w:sz w:val="20"/>
          <w:szCs w:val="20"/>
          <w:color w:val="auto"/>
        </w:rPr>
      </w:pPr>
      <w:r>
        <w:rPr>
          <w:rFonts w:ascii="Arial" w:cs="Arial" w:eastAsia="Arial" w:hAnsi="Arial"/>
          <w:sz w:val="15"/>
          <w:szCs w:val="15"/>
          <w:b w:val="1"/>
          <w:bCs w:val="1"/>
          <w:color w:val="FFFFFF"/>
        </w:rPr>
        <w:t>APPROVAL OF DIRECTORS’ REMUNERATION POLICY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-95250</wp:posOffset>
            </wp:positionV>
            <wp:extent cx="3473450" cy="10287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3473450" cy="10287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46"/>
        </w:trPr>
        <w:tc>
          <w:tcPr>
            <w:tcW w:w="1980" w:type="dxa"/>
            <w:vAlign w:val="bottom"/>
            <w:tcBorders>
              <w:bottom w:val="single" w:sz="8" w:color="auto"/>
            </w:tcBorders>
          </w:tcPr>
          <w:p>
            <w:pPr>
              <w:spacing w:after="0" w:line="146" w:lineRule="exact"/>
              <w:rPr>
                <w:sz w:val="20"/>
                <w:szCs w:val="20"/>
                <w:color w:val="auto"/>
              </w:rPr>
            </w:pPr>
            <w:r>
              <w:rPr>
                <w:rFonts w:ascii="Arial" w:cs="Arial" w:eastAsia="Arial" w:hAnsi="Arial"/>
                <w:sz w:val="13"/>
                <w:szCs w:val="13"/>
                <w:color w:val="auto"/>
              </w:rPr>
              <w:t>Votes</w:t>
            </w:r>
          </w:p>
        </w:tc>
        <w:tc>
          <w:tcPr>
            <w:tcW w:w="2500" w:type="dxa"/>
            <w:vAlign w:val="bottom"/>
            <w:tcBorders>
              <w:bottom w:val="single" w:sz="8" w:color="auto"/>
            </w:tcBorders>
          </w:tcPr>
          <w:p>
            <w:pPr>
              <w:jc w:val="right"/>
              <w:ind w:right="290"/>
              <w:spacing w:after="0" w:line="146" w:lineRule="exact"/>
              <w:rPr>
                <w:sz w:val="20"/>
                <w:szCs w:val="20"/>
                <w:color w:val="auto"/>
              </w:rPr>
            </w:pPr>
            <w:r>
              <w:rPr>
                <w:rFonts w:ascii="Arial" w:cs="Arial" w:eastAsia="Arial" w:hAnsi="Arial"/>
                <w:sz w:val="13"/>
                <w:szCs w:val="13"/>
                <w:color w:val="auto"/>
              </w:rPr>
              <w:t>Number</w:t>
            </w:r>
          </w:p>
        </w:tc>
        <w:tc>
          <w:tcPr>
            <w:tcW w:w="1000" w:type="dxa"/>
            <w:vAlign w:val="bottom"/>
            <w:tcBorders>
              <w:bottom w:val="single" w:sz="8" w:color="auto"/>
            </w:tcBorders>
          </w:tcPr>
          <w:p>
            <w:pPr>
              <w:jc w:val="right"/>
              <w:ind w:right="90"/>
              <w:spacing w:after="0" w:line="146" w:lineRule="exact"/>
              <w:rPr>
                <w:sz w:val="20"/>
                <w:szCs w:val="20"/>
                <w:color w:val="auto"/>
              </w:rPr>
            </w:pPr>
            <w:r>
              <w:rPr>
                <w:rFonts w:ascii="Arial" w:cs="Arial" w:eastAsia="Arial" w:hAnsi="Arial"/>
                <w:sz w:val="13"/>
                <w:szCs w:val="13"/>
                <w:color w:val="auto"/>
              </w:rPr>
              <w:t>Percentage</w:t>
            </w:r>
          </w:p>
        </w:tc>
      </w:tr>
      <w:tr>
        <w:trPr>
          <w:trHeight w:val="174"/>
        </w:trPr>
        <w:tc>
          <w:tcPr>
            <w:tcW w:w="1980" w:type="dxa"/>
            <w:vAlign w:val="bottom"/>
          </w:tcPr>
          <w:p>
            <w:pPr>
              <w:spacing w:after="0"/>
              <w:rPr>
                <w:sz w:val="20"/>
                <w:szCs w:val="20"/>
                <w:color w:val="auto"/>
              </w:rPr>
            </w:pPr>
            <w:r>
              <w:rPr>
                <w:rFonts w:ascii="Arial" w:cs="Arial" w:eastAsia="Arial" w:hAnsi="Arial"/>
                <w:sz w:val="14"/>
                <w:szCs w:val="14"/>
                <w:color w:val="auto"/>
              </w:rPr>
              <w:t>For</w:t>
            </w:r>
          </w:p>
        </w:tc>
        <w:tc>
          <w:tcPr>
            <w:tcW w:w="2500" w:type="dxa"/>
            <w:vAlign w:val="bottom"/>
          </w:tcPr>
          <w:p>
            <w:pPr>
              <w:jc w:val="right"/>
              <w:ind w:right="290"/>
              <w:spacing w:after="0"/>
              <w:rPr>
                <w:sz w:val="20"/>
                <w:szCs w:val="20"/>
                <w:color w:val="auto"/>
              </w:rPr>
            </w:pPr>
            <w:r>
              <w:rPr>
                <w:rFonts w:ascii="Arial" w:cs="Arial" w:eastAsia="Arial" w:hAnsi="Arial"/>
                <w:sz w:val="14"/>
                <w:szCs w:val="14"/>
                <w:color w:val="auto"/>
              </w:rPr>
              <w:t>3,167,299,751</w:t>
            </w:r>
          </w:p>
        </w:tc>
        <w:tc>
          <w:tcPr>
            <w:tcW w:w="1000" w:type="dxa"/>
            <w:vAlign w:val="bottom"/>
          </w:tcPr>
          <w:p>
            <w:pPr>
              <w:jc w:val="right"/>
              <w:ind w:right="90"/>
              <w:spacing w:after="0"/>
              <w:rPr>
                <w:sz w:val="20"/>
                <w:szCs w:val="20"/>
                <w:color w:val="auto"/>
              </w:rPr>
            </w:pPr>
            <w:r>
              <w:rPr>
                <w:rFonts w:ascii="Arial" w:cs="Arial" w:eastAsia="Arial" w:hAnsi="Arial"/>
                <w:sz w:val="14"/>
                <w:szCs w:val="14"/>
                <w:color w:val="auto"/>
              </w:rPr>
              <w:t>92.90%</w:t>
            </w:r>
          </w:p>
        </w:tc>
      </w:tr>
      <w:tr>
        <w:trPr>
          <w:trHeight w:val="171"/>
        </w:trPr>
        <w:tc>
          <w:tcPr>
            <w:tcW w:w="198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Against</w:t>
            </w:r>
          </w:p>
        </w:tc>
        <w:tc>
          <w:tcPr>
            <w:tcW w:w="2500" w:type="dxa"/>
            <w:vAlign w:val="bottom"/>
            <w:tcBorders>
              <w:bottom w:val="single" w:sz="8" w:color="auto"/>
            </w:tcBorders>
          </w:tcPr>
          <w:p>
            <w:pPr>
              <w:jc w:val="right"/>
              <w:ind w:right="290"/>
              <w:spacing w:after="0"/>
              <w:rPr>
                <w:sz w:val="20"/>
                <w:szCs w:val="20"/>
                <w:color w:val="auto"/>
              </w:rPr>
            </w:pPr>
            <w:r>
              <w:rPr>
                <w:rFonts w:ascii="Arial" w:cs="Arial" w:eastAsia="Arial" w:hAnsi="Arial"/>
                <w:sz w:val="14"/>
                <w:szCs w:val="14"/>
                <w:color w:val="auto"/>
              </w:rPr>
              <w:t>242,225,203</w:t>
            </w:r>
          </w:p>
        </w:tc>
        <w:tc>
          <w:tcPr>
            <w:tcW w:w="1000" w:type="dxa"/>
            <w:vAlign w:val="bottom"/>
            <w:tcBorders>
              <w:bottom w:val="single" w:sz="8" w:color="auto"/>
            </w:tcBorders>
          </w:tcPr>
          <w:p>
            <w:pPr>
              <w:jc w:val="right"/>
              <w:ind w:right="90"/>
              <w:spacing w:after="0"/>
              <w:rPr>
                <w:sz w:val="20"/>
                <w:szCs w:val="20"/>
                <w:color w:val="auto"/>
              </w:rPr>
            </w:pPr>
            <w:r>
              <w:rPr>
                <w:rFonts w:ascii="Arial" w:cs="Arial" w:eastAsia="Arial" w:hAnsi="Arial"/>
                <w:sz w:val="14"/>
                <w:szCs w:val="14"/>
                <w:color w:val="auto"/>
              </w:rPr>
              <w:t>7.10%</w:t>
            </w:r>
          </w:p>
        </w:tc>
      </w:tr>
      <w:tr>
        <w:trPr>
          <w:trHeight w:val="156"/>
        </w:trPr>
        <w:tc>
          <w:tcPr>
            <w:tcW w:w="1980" w:type="dxa"/>
            <w:vAlign w:val="bottom"/>
            <w:tcBorders>
              <w:bottom w:val="single" w:sz="8" w:color="auto"/>
            </w:tcBorders>
          </w:tcPr>
          <w:p>
            <w:pPr>
              <w:spacing w:after="0" w:line="155" w:lineRule="exact"/>
              <w:rPr>
                <w:sz w:val="20"/>
                <w:szCs w:val="20"/>
                <w:color w:val="auto"/>
              </w:rPr>
            </w:pPr>
            <w:r>
              <w:rPr>
                <w:rFonts w:ascii="Arial" w:cs="Arial" w:eastAsia="Arial" w:hAnsi="Arial"/>
                <w:sz w:val="14"/>
                <w:szCs w:val="14"/>
                <w:color w:val="auto"/>
              </w:rPr>
              <w:t>Total cast</w:t>
            </w:r>
          </w:p>
        </w:tc>
        <w:tc>
          <w:tcPr>
            <w:tcW w:w="2500" w:type="dxa"/>
            <w:vAlign w:val="bottom"/>
            <w:tcBorders>
              <w:bottom w:val="single" w:sz="8" w:color="auto"/>
            </w:tcBorders>
          </w:tcPr>
          <w:p>
            <w:pPr>
              <w:jc w:val="right"/>
              <w:ind w:right="130"/>
              <w:spacing w:after="0" w:line="155" w:lineRule="exact"/>
              <w:rPr>
                <w:sz w:val="20"/>
                <w:szCs w:val="20"/>
                <w:color w:val="auto"/>
              </w:rPr>
            </w:pPr>
            <w:r>
              <w:rPr>
                <w:rFonts w:ascii="Arial" w:cs="Arial" w:eastAsia="Arial" w:hAnsi="Arial"/>
                <w:sz w:val="14"/>
                <w:szCs w:val="14"/>
                <w:color w:val="auto"/>
              </w:rPr>
              <w:t>3,409,524,954[A]</w:t>
            </w:r>
          </w:p>
        </w:tc>
        <w:tc>
          <w:tcPr>
            <w:tcW w:w="1000" w:type="dxa"/>
            <w:vAlign w:val="bottom"/>
            <w:tcBorders>
              <w:bottom w:val="single" w:sz="8" w:color="auto"/>
            </w:tcBorders>
          </w:tcPr>
          <w:p>
            <w:pPr>
              <w:jc w:val="right"/>
              <w:ind w:right="90"/>
              <w:spacing w:after="0" w:line="155" w:lineRule="exact"/>
              <w:rPr>
                <w:sz w:val="20"/>
                <w:szCs w:val="20"/>
                <w:color w:val="auto"/>
              </w:rPr>
            </w:pPr>
            <w:r>
              <w:rPr>
                <w:rFonts w:ascii="Arial" w:cs="Arial" w:eastAsia="Arial" w:hAnsi="Arial"/>
                <w:sz w:val="14"/>
                <w:szCs w:val="14"/>
                <w:color w:val="auto"/>
              </w:rPr>
              <w:t>100.00%</w:t>
            </w:r>
          </w:p>
        </w:tc>
      </w:tr>
      <w:tr>
        <w:trPr>
          <w:trHeight w:val="156"/>
        </w:trPr>
        <w:tc>
          <w:tcPr>
            <w:tcW w:w="1980" w:type="dxa"/>
            <w:vAlign w:val="bottom"/>
            <w:tcBorders>
              <w:bottom w:val="single" w:sz="8" w:color="auto"/>
            </w:tcBorders>
          </w:tcPr>
          <w:p>
            <w:pPr>
              <w:spacing w:after="0" w:line="155" w:lineRule="exact"/>
              <w:rPr>
                <w:sz w:val="20"/>
                <w:szCs w:val="20"/>
                <w:color w:val="auto"/>
              </w:rPr>
            </w:pPr>
            <w:r>
              <w:rPr>
                <w:rFonts w:ascii="Arial" w:cs="Arial" w:eastAsia="Arial" w:hAnsi="Arial"/>
                <w:sz w:val="14"/>
                <w:szCs w:val="14"/>
                <w:color w:val="auto"/>
              </w:rPr>
              <w:t>Withheld [B]</w:t>
            </w:r>
          </w:p>
        </w:tc>
        <w:tc>
          <w:tcPr>
            <w:tcW w:w="2500" w:type="dxa"/>
            <w:vAlign w:val="bottom"/>
            <w:tcBorders>
              <w:bottom w:val="single" w:sz="8" w:color="auto"/>
            </w:tcBorders>
          </w:tcPr>
          <w:p>
            <w:pPr>
              <w:jc w:val="right"/>
              <w:ind w:right="290"/>
              <w:spacing w:after="0" w:line="155" w:lineRule="exact"/>
              <w:rPr>
                <w:sz w:val="20"/>
                <w:szCs w:val="20"/>
                <w:color w:val="auto"/>
              </w:rPr>
            </w:pPr>
            <w:r>
              <w:rPr>
                <w:rFonts w:ascii="Arial" w:cs="Arial" w:eastAsia="Arial" w:hAnsi="Arial"/>
                <w:sz w:val="14"/>
                <w:szCs w:val="14"/>
                <w:color w:val="auto"/>
              </w:rPr>
              <w:t>63,756,314</w:t>
            </w:r>
          </w:p>
        </w:tc>
        <w:tc>
          <w:tcPr>
            <w:tcW w:w="1000" w:type="dxa"/>
            <w:vAlign w:val="bottom"/>
            <w:tcBorders>
              <w:bottom w:val="single" w:sz="8" w:color="auto"/>
            </w:tcBorders>
          </w:tcPr>
          <w:p>
            <w:pPr>
              <w:spacing w:after="0"/>
              <w:rPr>
                <w:sz w:val="13"/>
                <w:szCs w:val="13"/>
                <w:color w:val="auto"/>
              </w:rPr>
            </w:pPr>
          </w:p>
        </w:tc>
      </w:tr>
    </w:tbl>
    <w:p>
      <w:pPr>
        <w:spacing w:after="0" w:line="32" w:lineRule="exact"/>
        <w:rPr>
          <w:sz w:val="20"/>
          <w:szCs w:val="20"/>
          <w:color w:val="auto"/>
        </w:rPr>
      </w:pPr>
    </w:p>
    <w:p>
      <w:pPr>
        <w:ind w:left="160" w:hanging="160"/>
        <w:spacing w:after="0"/>
        <w:tabs>
          <w:tab w:leader="none" w:pos="160" w:val="left"/>
        </w:tabs>
        <w:numPr>
          <w:ilvl w:val="0"/>
          <w:numId w:val="113"/>
        </w:numPr>
        <w:rPr>
          <w:rFonts w:ascii="Arial" w:cs="Arial" w:eastAsia="Arial" w:hAnsi="Arial"/>
          <w:sz w:val="11"/>
          <w:szCs w:val="11"/>
          <w:color w:val="auto"/>
        </w:rPr>
      </w:pPr>
      <w:r>
        <w:rPr>
          <w:rFonts w:ascii="Arial" w:cs="Arial" w:eastAsia="Arial" w:hAnsi="Arial"/>
          <w:sz w:val="11"/>
          <w:szCs w:val="11"/>
          <w:color w:val="auto"/>
        </w:rPr>
        <w:t>Representing 53.47% of issued share capital.</w:t>
      </w:r>
    </w:p>
    <w:p>
      <w:pPr>
        <w:ind w:right="320"/>
        <w:spacing w:after="0" w:line="238" w:lineRule="auto"/>
        <w:tabs>
          <w:tab w:leader="none" w:pos="162" w:val="left"/>
        </w:tabs>
        <w:numPr>
          <w:ilvl w:val="0"/>
          <w:numId w:val="113"/>
        </w:numPr>
        <w:rPr>
          <w:rFonts w:ascii="Arial" w:cs="Arial" w:eastAsia="Arial" w:hAnsi="Arial"/>
          <w:sz w:val="11"/>
          <w:szCs w:val="11"/>
          <w:color w:val="auto"/>
        </w:rPr>
      </w:pPr>
      <w:r>
        <w:rPr>
          <w:rFonts w:ascii="Arial" w:cs="Arial" w:eastAsia="Arial" w:hAnsi="Arial"/>
          <w:sz w:val="11"/>
          <w:szCs w:val="11"/>
          <w:color w:val="auto"/>
        </w:rPr>
        <w:t>A vote “withheld” is not a vote under English law and is not counted in the calculation of the proportion of the votes “for” and “against” a resolution.</w:t>
      </w:r>
    </w:p>
    <w:p>
      <w:pPr>
        <w:spacing w:after="0" w:line="190" w:lineRule="exact"/>
        <w:rPr>
          <w:sz w:val="20"/>
          <w:szCs w:val="20"/>
          <w:color w:val="auto"/>
        </w:rPr>
      </w:pPr>
    </w:p>
    <w:p>
      <w:pPr>
        <w:ind w:left="60"/>
        <w:spacing w:after="0"/>
        <w:rPr>
          <w:sz w:val="20"/>
          <w:szCs w:val="20"/>
          <w:color w:val="auto"/>
        </w:rPr>
      </w:pPr>
      <w:r>
        <w:rPr>
          <w:rFonts w:ascii="Arial" w:cs="Arial" w:eastAsia="Arial" w:hAnsi="Arial"/>
          <w:sz w:val="15"/>
          <w:szCs w:val="15"/>
          <w:b w:val="1"/>
          <w:bCs w:val="1"/>
          <w:color w:val="FFFFFF"/>
        </w:rPr>
        <w:t>APPROVAL OF DIRECTORS’ REMUNERATION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-95250</wp:posOffset>
            </wp:positionV>
            <wp:extent cx="3473450" cy="10287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3473450" cy="10287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55"/>
        </w:trPr>
        <w:tc>
          <w:tcPr>
            <w:tcW w:w="198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Votes</w:t>
            </w:r>
          </w:p>
        </w:tc>
        <w:tc>
          <w:tcPr>
            <w:tcW w:w="2500" w:type="dxa"/>
            <w:vAlign w:val="bottom"/>
            <w:tcBorders>
              <w:bottom w:val="single" w:sz="8" w:color="auto"/>
            </w:tcBorders>
          </w:tcPr>
          <w:p>
            <w:pPr>
              <w:jc w:val="right"/>
              <w:ind w:right="290"/>
              <w:spacing w:after="0"/>
              <w:rPr>
                <w:sz w:val="20"/>
                <w:szCs w:val="20"/>
                <w:color w:val="auto"/>
              </w:rPr>
            </w:pPr>
            <w:r>
              <w:rPr>
                <w:rFonts w:ascii="Arial" w:cs="Arial" w:eastAsia="Arial" w:hAnsi="Arial"/>
                <w:sz w:val="13"/>
                <w:szCs w:val="13"/>
                <w:color w:val="auto"/>
              </w:rPr>
              <w:t>Number</w:t>
            </w:r>
          </w:p>
        </w:tc>
        <w:tc>
          <w:tcPr>
            <w:tcW w:w="1000" w:type="dxa"/>
            <w:vAlign w:val="bottom"/>
            <w:tcBorders>
              <w:bottom w:val="single" w:sz="8" w:color="auto"/>
            </w:tcBorders>
          </w:tcPr>
          <w:p>
            <w:pPr>
              <w:jc w:val="right"/>
              <w:ind w:right="90"/>
              <w:spacing w:after="0"/>
              <w:rPr>
                <w:sz w:val="20"/>
                <w:szCs w:val="20"/>
                <w:color w:val="auto"/>
              </w:rPr>
            </w:pPr>
            <w:r>
              <w:rPr>
                <w:rFonts w:ascii="Arial" w:cs="Arial" w:eastAsia="Arial" w:hAnsi="Arial"/>
                <w:sz w:val="13"/>
                <w:szCs w:val="13"/>
                <w:color w:val="auto"/>
              </w:rPr>
              <w:t>Percentage</w:t>
            </w:r>
          </w:p>
        </w:tc>
      </w:tr>
      <w:tr>
        <w:trPr>
          <w:trHeight w:val="174"/>
        </w:trPr>
        <w:tc>
          <w:tcPr>
            <w:tcW w:w="1980" w:type="dxa"/>
            <w:vAlign w:val="bottom"/>
          </w:tcPr>
          <w:p>
            <w:pPr>
              <w:spacing w:after="0"/>
              <w:rPr>
                <w:sz w:val="20"/>
                <w:szCs w:val="20"/>
                <w:color w:val="auto"/>
              </w:rPr>
            </w:pPr>
            <w:r>
              <w:rPr>
                <w:rFonts w:ascii="Arial" w:cs="Arial" w:eastAsia="Arial" w:hAnsi="Arial"/>
                <w:sz w:val="14"/>
                <w:szCs w:val="14"/>
                <w:color w:val="auto"/>
              </w:rPr>
              <w:t>For</w:t>
            </w:r>
          </w:p>
        </w:tc>
        <w:tc>
          <w:tcPr>
            <w:tcW w:w="2500" w:type="dxa"/>
            <w:vAlign w:val="bottom"/>
          </w:tcPr>
          <w:p>
            <w:pPr>
              <w:jc w:val="right"/>
              <w:ind w:right="290"/>
              <w:spacing w:after="0"/>
              <w:rPr>
                <w:sz w:val="20"/>
                <w:szCs w:val="20"/>
                <w:color w:val="auto"/>
              </w:rPr>
            </w:pPr>
            <w:r>
              <w:rPr>
                <w:rFonts w:ascii="Arial" w:cs="Arial" w:eastAsia="Arial" w:hAnsi="Arial"/>
                <w:sz w:val="14"/>
                <w:szCs w:val="14"/>
                <w:color w:val="auto"/>
              </w:rPr>
              <w:t>3,083,923,360</w:t>
            </w:r>
          </w:p>
        </w:tc>
        <w:tc>
          <w:tcPr>
            <w:tcW w:w="1000" w:type="dxa"/>
            <w:vAlign w:val="bottom"/>
          </w:tcPr>
          <w:p>
            <w:pPr>
              <w:jc w:val="right"/>
              <w:ind w:right="90"/>
              <w:spacing w:after="0"/>
              <w:rPr>
                <w:sz w:val="20"/>
                <w:szCs w:val="20"/>
                <w:color w:val="auto"/>
              </w:rPr>
            </w:pPr>
            <w:r>
              <w:rPr>
                <w:rFonts w:ascii="Arial" w:cs="Arial" w:eastAsia="Arial" w:hAnsi="Arial"/>
                <w:sz w:val="14"/>
                <w:szCs w:val="14"/>
                <w:color w:val="auto"/>
              </w:rPr>
              <w:t>93.31%</w:t>
            </w:r>
          </w:p>
        </w:tc>
      </w:tr>
      <w:tr>
        <w:trPr>
          <w:trHeight w:val="171"/>
        </w:trPr>
        <w:tc>
          <w:tcPr>
            <w:tcW w:w="198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Against</w:t>
            </w:r>
          </w:p>
        </w:tc>
        <w:tc>
          <w:tcPr>
            <w:tcW w:w="2500" w:type="dxa"/>
            <w:vAlign w:val="bottom"/>
            <w:tcBorders>
              <w:bottom w:val="single" w:sz="8" w:color="auto"/>
            </w:tcBorders>
          </w:tcPr>
          <w:p>
            <w:pPr>
              <w:jc w:val="right"/>
              <w:ind w:right="290"/>
              <w:spacing w:after="0"/>
              <w:rPr>
                <w:sz w:val="20"/>
                <w:szCs w:val="20"/>
                <w:color w:val="auto"/>
              </w:rPr>
            </w:pPr>
            <w:r>
              <w:rPr>
                <w:rFonts w:ascii="Arial" w:cs="Arial" w:eastAsia="Arial" w:hAnsi="Arial"/>
                <w:sz w:val="14"/>
                <w:szCs w:val="14"/>
                <w:color w:val="auto"/>
              </w:rPr>
              <w:t>221,282,479</w:t>
            </w:r>
          </w:p>
        </w:tc>
        <w:tc>
          <w:tcPr>
            <w:tcW w:w="1000" w:type="dxa"/>
            <w:vAlign w:val="bottom"/>
            <w:tcBorders>
              <w:bottom w:val="single" w:sz="8" w:color="auto"/>
            </w:tcBorders>
          </w:tcPr>
          <w:p>
            <w:pPr>
              <w:jc w:val="right"/>
              <w:ind w:right="90"/>
              <w:spacing w:after="0"/>
              <w:rPr>
                <w:sz w:val="20"/>
                <w:szCs w:val="20"/>
                <w:color w:val="auto"/>
              </w:rPr>
            </w:pPr>
            <w:r>
              <w:rPr>
                <w:rFonts w:ascii="Arial" w:cs="Arial" w:eastAsia="Arial" w:hAnsi="Arial"/>
                <w:sz w:val="14"/>
                <w:szCs w:val="14"/>
                <w:color w:val="auto"/>
              </w:rPr>
              <w:t>6.69%</w:t>
            </w:r>
          </w:p>
        </w:tc>
      </w:tr>
      <w:tr>
        <w:trPr>
          <w:trHeight w:val="169"/>
        </w:trPr>
        <w:tc>
          <w:tcPr>
            <w:tcW w:w="198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Total cast</w:t>
            </w:r>
          </w:p>
        </w:tc>
        <w:tc>
          <w:tcPr>
            <w:tcW w:w="2500" w:type="dxa"/>
            <w:vAlign w:val="bottom"/>
            <w:tcBorders>
              <w:bottom w:val="single" w:sz="8" w:color="auto"/>
            </w:tcBorders>
          </w:tcPr>
          <w:p>
            <w:pPr>
              <w:jc w:val="right"/>
              <w:ind w:right="130"/>
              <w:spacing w:after="0"/>
              <w:rPr>
                <w:sz w:val="20"/>
                <w:szCs w:val="20"/>
                <w:color w:val="auto"/>
              </w:rPr>
            </w:pPr>
            <w:r>
              <w:rPr>
                <w:rFonts w:ascii="Arial" w:cs="Arial" w:eastAsia="Arial" w:hAnsi="Arial"/>
                <w:sz w:val="14"/>
                <w:szCs w:val="14"/>
                <w:color w:val="auto"/>
              </w:rPr>
              <w:t>3,305,205,839[A]</w:t>
            </w:r>
          </w:p>
        </w:tc>
        <w:tc>
          <w:tcPr>
            <w:tcW w:w="1000" w:type="dxa"/>
            <w:vAlign w:val="bottom"/>
            <w:tcBorders>
              <w:bottom w:val="single" w:sz="8" w:color="auto"/>
            </w:tcBorders>
          </w:tcPr>
          <w:p>
            <w:pPr>
              <w:jc w:val="right"/>
              <w:ind w:right="90"/>
              <w:spacing w:after="0"/>
              <w:rPr>
                <w:sz w:val="20"/>
                <w:szCs w:val="20"/>
                <w:color w:val="auto"/>
              </w:rPr>
            </w:pPr>
            <w:r>
              <w:rPr>
                <w:rFonts w:ascii="Arial" w:cs="Arial" w:eastAsia="Arial" w:hAnsi="Arial"/>
                <w:sz w:val="14"/>
                <w:szCs w:val="14"/>
                <w:color w:val="auto"/>
              </w:rPr>
              <w:t>100.00%</w:t>
            </w:r>
          </w:p>
        </w:tc>
      </w:tr>
      <w:tr>
        <w:trPr>
          <w:trHeight w:val="169"/>
        </w:trPr>
        <w:tc>
          <w:tcPr>
            <w:tcW w:w="198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Withheld [B]</w:t>
            </w:r>
          </w:p>
        </w:tc>
        <w:tc>
          <w:tcPr>
            <w:tcW w:w="2500" w:type="dxa"/>
            <w:vAlign w:val="bottom"/>
            <w:tcBorders>
              <w:bottom w:val="single" w:sz="8" w:color="auto"/>
            </w:tcBorders>
          </w:tcPr>
          <w:p>
            <w:pPr>
              <w:jc w:val="right"/>
              <w:ind w:right="290"/>
              <w:spacing w:after="0"/>
              <w:rPr>
                <w:sz w:val="20"/>
                <w:szCs w:val="20"/>
                <w:color w:val="auto"/>
              </w:rPr>
            </w:pPr>
            <w:r>
              <w:rPr>
                <w:rFonts w:ascii="Arial" w:cs="Arial" w:eastAsia="Arial" w:hAnsi="Arial"/>
                <w:sz w:val="14"/>
                <w:szCs w:val="14"/>
                <w:color w:val="auto"/>
              </w:rPr>
              <w:t>168,075,428</w:t>
            </w:r>
          </w:p>
        </w:tc>
        <w:tc>
          <w:tcPr>
            <w:tcW w:w="1000" w:type="dxa"/>
            <w:vAlign w:val="bottom"/>
            <w:tcBorders>
              <w:bottom w:val="single" w:sz="8" w:color="auto"/>
            </w:tcBorders>
          </w:tcPr>
          <w:p>
            <w:pPr>
              <w:spacing w:after="0"/>
              <w:rPr>
                <w:sz w:val="14"/>
                <w:szCs w:val="14"/>
                <w:color w:val="auto"/>
              </w:rPr>
            </w:pPr>
          </w:p>
        </w:tc>
      </w:tr>
    </w:tbl>
    <w:p>
      <w:pPr>
        <w:spacing w:after="0" w:line="32" w:lineRule="exact"/>
        <w:rPr>
          <w:sz w:val="20"/>
          <w:szCs w:val="20"/>
          <w:color w:val="auto"/>
        </w:rPr>
      </w:pPr>
    </w:p>
    <w:p>
      <w:pPr>
        <w:ind w:left="160" w:hanging="160"/>
        <w:spacing w:after="0"/>
        <w:tabs>
          <w:tab w:leader="none" w:pos="160" w:val="left"/>
        </w:tabs>
        <w:numPr>
          <w:ilvl w:val="0"/>
          <w:numId w:val="114"/>
        </w:numPr>
        <w:rPr>
          <w:rFonts w:ascii="Arial" w:cs="Arial" w:eastAsia="Arial" w:hAnsi="Arial"/>
          <w:sz w:val="11"/>
          <w:szCs w:val="11"/>
          <w:color w:val="auto"/>
        </w:rPr>
      </w:pPr>
      <w:r>
        <w:rPr>
          <w:rFonts w:ascii="Arial" w:cs="Arial" w:eastAsia="Arial" w:hAnsi="Arial"/>
          <w:sz w:val="11"/>
          <w:szCs w:val="11"/>
          <w:color w:val="auto"/>
        </w:rPr>
        <w:t>Representing 51.84% of issued share capital.</w:t>
      </w:r>
    </w:p>
    <w:p>
      <w:pPr>
        <w:ind w:right="320"/>
        <w:spacing w:after="0" w:line="238" w:lineRule="auto"/>
        <w:tabs>
          <w:tab w:leader="none" w:pos="162" w:val="left"/>
        </w:tabs>
        <w:numPr>
          <w:ilvl w:val="0"/>
          <w:numId w:val="114"/>
        </w:numPr>
        <w:rPr>
          <w:rFonts w:ascii="Arial" w:cs="Arial" w:eastAsia="Arial" w:hAnsi="Arial"/>
          <w:sz w:val="11"/>
          <w:szCs w:val="11"/>
          <w:color w:val="auto"/>
        </w:rPr>
      </w:pPr>
      <w:r>
        <w:rPr>
          <w:rFonts w:ascii="Arial" w:cs="Arial" w:eastAsia="Arial" w:hAnsi="Arial"/>
          <w:sz w:val="11"/>
          <w:szCs w:val="11"/>
          <w:color w:val="auto"/>
        </w:rPr>
        <w:t>A vote “withheld” is not a vote under English law and is not counted in the calculation of the proportion of the votes “for” and “against” a resolution.</w:t>
      </w:r>
    </w:p>
    <w:p>
      <w:pPr>
        <w:spacing w:after="0" w:line="176" w:lineRule="exact"/>
        <w:rPr>
          <w:sz w:val="20"/>
          <w:szCs w:val="20"/>
          <w:color w:val="auto"/>
        </w:rPr>
      </w:pPr>
    </w:p>
    <w:p>
      <w:pPr>
        <w:ind w:right="380"/>
        <w:spacing w:after="0" w:line="247" w:lineRule="auto"/>
        <w:rPr>
          <w:sz w:val="20"/>
          <w:szCs w:val="20"/>
          <w:color w:val="auto"/>
        </w:rPr>
      </w:pPr>
      <w:r>
        <w:rPr>
          <w:rFonts w:ascii="Arial" w:cs="Arial" w:eastAsia="Arial" w:hAnsi="Arial"/>
          <w:sz w:val="14"/>
          <w:szCs w:val="14"/>
          <w:color w:val="auto"/>
        </w:rPr>
        <w:t>Although there is no requirement to disclose the outcome of voting on share plans, the LTIP was approved with 92.68% of votes in favour and the DBP with 98.29% in favour. Full details of voting on share plans is disclosed in the AGM section of our website: www.shell.com.</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color w:val="auto"/>
        </w:rPr>
        <w:t>DILUTION</w:t>
      </w:r>
    </w:p>
    <w:p>
      <w:pPr>
        <w:spacing w:after="0" w:line="1" w:lineRule="exact"/>
        <w:rPr>
          <w:sz w:val="20"/>
          <w:szCs w:val="20"/>
          <w:color w:val="auto"/>
        </w:rPr>
      </w:pPr>
    </w:p>
    <w:p>
      <w:pPr>
        <w:ind w:right="360"/>
        <w:spacing w:after="0" w:line="247" w:lineRule="auto"/>
        <w:rPr>
          <w:sz w:val="20"/>
          <w:szCs w:val="20"/>
          <w:color w:val="auto"/>
        </w:rPr>
      </w:pPr>
      <w:r>
        <w:rPr>
          <w:rFonts w:ascii="Arial" w:cs="Arial" w:eastAsia="Arial" w:hAnsi="Arial"/>
          <w:sz w:val="14"/>
          <w:szCs w:val="14"/>
          <w:color w:val="auto"/>
        </w:rPr>
        <w:t>In any 10-year period, not more than 5% of the issued Ordinary share capital of the Company may be issued or issuable under executive (discretionary) share plans adopted by the Company. To date, no shareholder dilution has resulted from these plans, although it is permitted under the rules of the plans subject to these limits.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color w:val="auto"/>
        </w:rPr>
        <w:t>DIRECTORS’ CONTRACTS AND LETTERS OF APPOINTMENT</w:t>
      </w:r>
    </w:p>
    <w:p>
      <w:pPr>
        <w:spacing w:after="0" w:line="1" w:lineRule="exact"/>
        <w:rPr>
          <w:sz w:val="20"/>
          <w:szCs w:val="20"/>
          <w:color w:val="auto"/>
        </w:rPr>
      </w:pPr>
    </w:p>
    <w:p>
      <w:pPr>
        <w:ind w:right="220"/>
        <w:spacing w:after="0" w:line="244" w:lineRule="auto"/>
        <w:rPr>
          <w:sz w:val="20"/>
          <w:szCs w:val="20"/>
          <w:color w:val="auto"/>
        </w:rPr>
      </w:pPr>
      <w:r>
        <w:rPr>
          <w:rFonts w:ascii="Arial" w:cs="Arial" w:eastAsia="Arial" w:hAnsi="Arial"/>
          <w:sz w:val="14"/>
          <w:szCs w:val="14"/>
          <w:color w:val="auto"/>
        </w:rPr>
        <w:t>Executive Directors have employment contracts for an indefinite period. Non-executive Directors, including the Chairman, do not have an employment contract but letters of appointment. Details of Executive Directors’ employment contracts can be found in the Directors’ Remuneration Policy on page 97. Further details of Non-executive Director terms of appointment can be found in the “Directors’ Report” on page 63 and the “Corporate governance” report on page 66.</w:t>
      </w:r>
    </w:p>
    <w:p>
      <w:pPr>
        <w:spacing w:after="0" w:line="160" w:lineRule="exact"/>
        <w:rPr>
          <w:sz w:val="20"/>
          <w:szCs w:val="20"/>
          <w:color w:val="auto"/>
        </w:rPr>
      </w:pPr>
    </w:p>
    <w:p>
      <w:pPr>
        <w:jc w:val="center"/>
        <w:ind w:right="280"/>
        <w:spacing w:after="0"/>
        <w:rPr>
          <w:sz w:val="20"/>
          <w:szCs w:val="20"/>
          <w:color w:val="auto"/>
        </w:rPr>
      </w:pPr>
      <w:r>
        <w:rPr>
          <w:rFonts w:ascii="Arial" w:cs="Arial" w:eastAsia="Arial" w:hAnsi="Arial"/>
          <w:sz w:val="17"/>
          <w:szCs w:val="17"/>
          <w:color w:val="auto"/>
        </w:rPr>
        <w:t>COMPENSATION OF DIRECTORS AND SENIOR MANAGEMENT</w:t>
      </w:r>
    </w:p>
    <w:p>
      <w:pPr>
        <w:spacing w:after="0" w:line="13" w:lineRule="exact"/>
        <w:rPr>
          <w:sz w:val="20"/>
          <w:szCs w:val="20"/>
          <w:color w:val="auto"/>
        </w:rPr>
      </w:pPr>
    </w:p>
    <w:p>
      <w:pPr>
        <w:ind w:right="260"/>
        <w:spacing w:after="0" w:line="243" w:lineRule="auto"/>
        <w:rPr>
          <w:sz w:val="20"/>
          <w:szCs w:val="20"/>
          <w:color w:val="auto"/>
        </w:rPr>
      </w:pPr>
      <w:r>
        <w:rPr>
          <w:rFonts w:ascii="Arial" w:cs="Arial" w:eastAsia="Arial" w:hAnsi="Arial"/>
          <w:sz w:val="14"/>
          <w:szCs w:val="14"/>
          <w:color w:val="auto"/>
        </w:rPr>
        <w:t>During the year ended December 31, 2014, Shell paid and/or accrued compensation totalling $71 million (2013: $58 million) to Directors and Senior Management for services in all capacities while serving as a Director or member of Senior Management, including $4 million (2013: $5 million) accrued to provide pension, retirement and similar benefits. The total includes costs incurred in respect of additional employee levies in the Netherlands and termination and related amounts. The amounts stated are those recognised in Shell’s income on an IFRS basis. Personal loans or guarantees were not provided to Directors or Senior Management. See Note 27 to the “Consolidated Financial Statements”.</w:t>
      </w:r>
    </w:p>
    <w:p>
      <w:pPr>
        <w:sectPr>
          <w:pgSz w:w="11900" w:h="16838" w:orient="portrait"/>
          <w:cols w:equalWidth="0" w:num="2">
            <w:col w:w="5500" w:space="280"/>
            <w:col w:w="5640"/>
          </w:cols>
          <w:pgMar w:left="240" w:top="459" w:right="239" w:bottom="1440" w:gutter="0" w:footer="0" w:header="0"/>
        </w:sectPr>
      </w:pPr>
    </w:p>
    <w:bookmarkStart w:id="92" w:name="page93"/>
    <w:bookmarkEnd w:id="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3555365</wp:posOffset>
            </wp:positionH>
            <wp:positionV relativeFrom="paragraph">
              <wp:posOffset>300355</wp:posOffset>
            </wp:positionV>
            <wp:extent cx="3696335" cy="46291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3696335" cy="462915"/>
                    </a:xfrm>
                    <a:prstGeom prst="rect">
                      <a:avLst/>
                    </a:prstGeom>
                    <a:noFill/>
                  </pic:spPr>
                </pic:pic>
              </a:graphicData>
            </a:graphic>
          </wp:anchor>
        </w:drawing>
      </w:r>
    </w:p>
    <w:p>
      <w:pPr>
        <w:spacing w:after="0" w:line="200" w:lineRule="exact"/>
        <w:rPr>
          <w:sz w:val="20"/>
          <w:szCs w:val="20"/>
          <w:color w:val="auto"/>
        </w:rPr>
      </w:pPr>
    </w:p>
    <w:p>
      <w:pPr>
        <w:spacing w:after="0" w:line="253" w:lineRule="exact"/>
        <w:rPr>
          <w:sz w:val="20"/>
          <w:szCs w:val="20"/>
          <w:color w:val="auto"/>
        </w:rPr>
      </w:pPr>
    </w:p>
    <w:tbl>
      <w:tblPr>
        <w:tblLayout w:type="fixed"/>
        <w:tblInd w:w="5600" w:type="dxa"/>
        <w:tblCellMar>
          <w:top w:w="0" w:type="dxa"/>
          <w:left w:w="0" w:type="dxa"/>
          <w:bottom w:w="0" w:type="dxa"/>
          <w:right w:w="0" w:type="dxa"/>
        </w:tblCellMar>
      </w:tblPr>
      <w:tr>
        <w:trPr>
          <w:trHeight w:val="419"/>
        </w:trPr>
        <w:tc>
          <w:tcPr>
            <w:tcW w:w="3580" w:type="dxa"/>
            <w:vAlign w:val="bottom"/>
            <w:shd w:val="clear" w:color="auto" w:fill="FF8B00"/>
          </w:tcPr>
          <w:p>
            <w:pPr>
              <w:spacing w:after="0"/>
              <w:rPr>
                <w:sz w:val="24"/>
                <w:szCs w:val="24"/>
                <w:color w:val="auto"/>
              </w:rPr>
            </w:pPr>
          </w:p>
        </w:tc>
        <w:tc>
          <w:tcPr>
            <w:tcW w:w="2240" w:type="dxa"/>
            <w:vAlign w:val="bottom"/>
            <w:shd w:val="clear" w:color="auto" w:fill="FF8B00"/>
          </w:tcPr>
          <w:p>
            <w:pPr>
              <w:spacing w:after="0"/>
              <w:rPr>
                <w:sz w:val="24"/>
                <w:szCs w:val="24"/>
                <w:color w:val="auto"/>
              </w:rPr>
            </w:pPr>
          </w:p>
        </w:tc>
      </w:tr>
      <w:tr>
        <w:trPr>
          <w:trHeight w:val="152"/>
        </w:trPr>
        <w:tc>
          <w:tcPr>
            <w:tcW w:w="3580" w:type="dxa"/>
            <w:vAlign w:val="bottom"/>
          </w:tcPr>
          <w:p>
            <w:pPr>
              <w:ind w:left="940"/>
              <w:spacing w:after="0"/>
              <w:rPr>
                <w:sz w:val="20"/>
                <w:szCs w:val="20"/>
                <w:color w:val="auto"/>
              </w:rPr>
            </w:pPr>
            <w:r>
              <w:rPr>
                <w:rFonts w:ascii="Arial" w:cs="Arial" w:eastAsia="Arial" w:hAnsi="Arial"/>
                <w:sz w:val="13"/>
                <w:szCs w:val="13"/>
                <w:color w:val="333333"/>
              </w:rPr>
              <w:t>GOVERNANCE</w:t>
            </w:r>
          </w:p>
        </w:tc>
        <w:tc>
          <w:tcPr>
            <w:tcW w:w="2240" w:type="dxa"/>
            <w:vAlign w:val="bottom"/>
          </w:tcPr>
          <w:p>
            <w:pPr>
              <w:jc w:val="right"/>
              <w:ind w:right="306"/>
              <w:spacing w:after="0"/>
              <w:rPr>
                <w:sz w:val="20"/>
                <w:szCs w:val="20"/>
                <w:color w:val="auto"/>
              </w:rPr>
            </w:pPr>
            <w:r>
              <w:rPr>
                <w:rFonts w:ascii="Arial" w:cs="Arial" w:eastAsia="Arial" w:hAnsi="Arial"/>
                <w:sz w:val="11"/>
                <w:szCs w:val="11"/>
                <w:b w:val="1"/>
                <w:bCs w:val="1"/>
                <w:color w:val="333333"/>
              </w:rPr>
              <w:t>91</w:t>
            </w:r>
          </w:p>
        </w:tc>
      </w:tr>
    </w:tbl>
    <w:p>
      <w:pPr>
        <w:spacing w:after="0" w:line="155" w:lineRule="exact"/>
        <w:rPr>
          <w:sz w:val="20"/>
          <w:szCs w:val="20"/>
          <w:color w:val="auto"/>
        </w:rPr>
      </w:pPr>
    </w:p>
    <w:p>
      <w:pPr>
        <w:spacing w:after="0"/>
        <w:tabs>
          <w:tab w:leader="none" w:pos="6520" w:val="left"/>
        </w:tabs>
        <w:rPr>
          <w:sz w:val="20"/>
          <w:szCs w:val="20"/>
          <w:color w:val="auto"/>
        </w:rPr>
      </w:pPr>
      <w:r>
        <w:rPr>
          <w:rFonts w:ascii="Arial" w:cs="Arial" w:eastAsia="Arial" w:hAnsi="Arial"/>
          <w:sz w:val="11"/>
          <w:szCs w:val="11"/>
          <w:color w:val="auto"/>
        </w:rPr>
        <w:t>SHELL ANNUAL REPORT AND FORM 20-F 2014</w:t>
      </w:r>
      <w:r>
        <w:rPr>
          <w:sz w:val="20"/>
          <w:szCs w:val="20"/>
          <w:color w:val="auto"/>
        </w:rPr>
        <w:tab/>
      </w:r>
      <w:r>
        <w:rPr>
          <w:rFonts w:ascii="Arial" w:cs="Arial" w:eastAsia="Arial" w:hAnsi="Arial"/>
          <w:sz w:val="10"/>
          <w:szCs w:val="10"/>
          <w:color w:val="auto"/>
        </w:rPr>
        <w:t>DIRECTORS’ REMUNERATION REPORT</w:t>
      </w:r>
    </w:p>
    <w:p>
      <w:pPr>
        <w:spacing w:after="0" w:line="5" w:lineRule="exact"/>
        <w:rPr>
          <w:sz w:val="20"/>
          <w:szCs w:val="20"/>
          <w:color w:val="auto"/>
        </w:rPr>
      </w:pPr>
    </w:p>
    <w:p>
      <w:pPr>
        <w:spacing w:after="0"/>
        <w:rPr>
          <w:sz w:val="20"/>
          <w:szCs w:val="20"/>
          <w:color w:val="auto"/>
        </w:rPr>
      </w:pPr>
      <w:r>
        <w:rPr>
          <w:rFonts w:ascii="Arial" w:cs="Arial" w:eastAsia="Arial" w:hAnsi="Arial"/>
          <w:sz w:val="31"/>
          <w:szCs w:val="31"/>
          <w:color w:val="auto"/>
        </w:rPr>
        <w:t>DIRECTORS’ REMUNERATION POLICY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wp:posOffset>
            </wp:positionV>
            <wp:extent cx="7246620" cy="889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89" w:lineRule="exact"/>
        <w:rPr>
          <w:sz w:val="20"/>
          <w:szCs w:val="20"/>
          <w:color w:val="auto"/>
        </w:rPr>
      </w:pPr>
    </w:p>
    <w:p>
      <w:pPr>
        <w:spacing w:after="0"/>
        <w:rPr>
          <w:sz w:val="20"/>
          <w:szCs w:val="20"/>
          <w:color w:val="auto"/>
        </w:rPr>
      </w:pPr>
      <w:r>
        <w:rPr>
          <w:rFonts w:ascii="Arial" w:cs="Arial" w:eastAsia="Arial" w:hAnsi="Arial"/>
          <w:sz w:val="14"/>
          <w:szCs w:val="14"/>
          <w:color w:val="auto"/>
        </w:rPr>
        <w:t>This section describes the Directors’ Remuneration Policy as published in the 2013</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Directors’ Remuneration Report which, following shareholder approval at the 2014</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AGM, is effective from January 1, 2015, and will remain effective until the 2017 AGM,</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unless a further policy is proposed by the Company and approved by shareholders in</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the meantime.</w:t>
      </w:r>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color w:val="auto"/>
        </w:rPr>
        <w:t>EXECUTIVE DIRECTORS</w:t>
      </w:r>
    </w:p>
    <w:p>
      <w:pPr>
        <w:spacing w:after="0" w:line="178" w:lineRule="exact"/>
        <w:rPr>
          <w:sz w:val="20"/>
          <w:szCs w:val="20"/>
          <w:color w:val="auto"/>
        </w:rPr>
      </w:pPr>
    </w:p>
    <w:p>
      <w:pPr>
        <w:ind w:left="80"/>
        <w:spacing w:after="0"/>
        <w:rPr>
          <w:sz w:val="20"/>
          <w:szCs w:val="20"/>
          <w:color w:val="auto"/>
        </w:rPr>
      </w:pPr>
      <w:r>
        <w:rPr>
          <w:rFonts w:ascii="Arial" w:cs="Arial" w:eastAsia="Arial" w:hAnsi="Arial"/>
          <w:sz w:val="15"/>
          <w:szCs w:val="15"/>
          <w:b w:val="1"/>
          <w:bCs w:val="1"/>
          <w:color w:val="FFFFFF"/>
        </w:rPr>
        <w:t>EXECUTIVE DIRECTORS’ REMUNERATION POLICY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-95250</wp:posOffset>
            </wp:positionV>
            <wp:extent cx="7246620" cy="10287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246620" cy="102870"/>
                    </a:xfrm>
                    <a:prstGeom prst="rect">
                      <a:avLst/>
                    </a:prstGeom>
                    <a:noFill/>
                  </pic:spPr>
                </pic:pic>
              </a:graphicData>
            </a:graphic>
          </wp:anchor>
        </w:drawing>
      </w:r>
    </w:p>
    <w:p>
      <w:pPr>
        <w:spacing w:after="0"/>
        <w:tabs>
          <w:tab w:leader="none" w:pos="1140" w:val="left"/>
          <w:tab w:leader="none" w:pos="3320" w:val="left"/>
          <w:tab w:leader="none" w:pos="5140" w:val="left"/>
        </w:tabs>
        <w:rPr>
          <w:sz w:val="20"/>
          <w:szCs w:val="20"/>
          <w:color w:val="auto"/>
        </w:rPr>
      </w:pPr>
      <w:r>
        <w:rPr>
          <w:rFonts w:ascii="Arial" w:cs="Arial" w:eastAsia="Arial" w:hAnsi="Arial"/>
          <w:sz w:val="13"/>
          <w:szCs w:val="13"/>
          <w:color w:val="auto"/>
        </w:rPr>
        <w:t>Element</w:t>
      </w:r>
      <w:r>
        <w:rPr>
          <w:sz w:val="20"/>
          <w:szCs w:val="20"/>
          <w:color w:val="auto"/>
        </w:rPr>
        <w:tab/>
      </w:r>
      <w:r>
        <w:rPr>
          <w:rFonts w:ascii="Arial" w:cs="Arial" w:eastAsia="Arial" w:hAnsi="Arial"/>
          <w:sz w:val="13"/>
          <w:szCs w:val="13"/>
          <w:color w:val="auto"/>
        </w:rPr>
        <w:t>Purpose and link to strategy</w:t>
      </w:r>
      <w:r>
        <w:rPr>
          <w:sz w:val="20"/>
          <w:szCs w:val="20"/>
          <w:color w:val="auto"/>
        </w:rPr>
        <w:tab/>
      </w:r>
      <w:r>
        <w:rPr>
          <w:rFonts w:ascii="Arial" w:cs="Arial" w:eastAsia="Arial" w:hAnsi="Arial"/>
          <w:sz w:val="13"/>
          <w:szCs w:val="13"/>
          <w:color w:val="auto"/>
        </w:rPr>
        <w:t>Maximum opportunity</w:t>
      </w:r>
      <w:r>
        <w:rPr>
          <w:sz w:val="20"/>
          <w:szCs w:val="20"/>
          <w:color w:val="auto"/>
        </w:rPr>
        <w:tab/>
      </w:r>
      <w:r>
        <w:rPr>
          <w:rFonts w:ascii="Arial" w:cs="Arial" w:eastAsia="Arial" w:hAnsi="Arial"/>
          <w:sz w:val="12"/>
          <w:szCs w:val="12"/>
          <w:color w:val="auto"/>
        </w:rPr>
        <w:t>Operation and performance measurement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7246620" cy="889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p>
      <w:pPr>
        <w:spacing w:after="0" w:line="10" w:lineRule="exact"/>
        <w:rPr>
          <w:sz w:val="20"/>
          <w:szCs w:val="20"/>
          <w:color w:val="auto"/>
        </w:rPr>
      </w:pPr>
    </w:p>
    <w:p>
      <w:pPr>
        <w:spacing w:after="0"/>
        <w:tabs>
          <w:tab w:leader="none" w:pos="1140" w:val="left"/>
        </w:tabs>
        <w:rPr>
          <w:sz w:val="20"/>
          <w:szCs w:val="20"/>
          <w:color w:val="auto"/>
        </w:rPr>
      </w:pPr>
      <w:r>
        <w:rPr>
          <w:rFonts w:ascii="Arial" w:cs="Arial" w:eastAsia="Arial" w:hAnsi="Arial"/>
          <w:sz w:val="14"/>
          <w:szCs w:val="14"/>
          <w:color w:val="auto"/>
        </w:rPr>
        <w:t>Base salary and</w:t>
        <w:tab/>
        <w:t>Rewards day-to-day leadership</w:t>
      </w:r>
    </w:p>
    <w:p>
      <w:pPr>
        <w:spacing w:after="0" w:line="1" w:lineRule="exact"/>
        <w:rPr>
          <w:sz w:val="20"/>
          <w:szCs w:val="20"/>
          <w:color w:val="auto"/>
        </w:rPr>
      </w:pPr>
    </w:p>
    <w:p>
      <w:pPr>
        <w:spacing w:after="0"/>
        <w:tabs>
          <w:tab w:leader="none" w:pos="1140" w:val="left"/>
        </w:tabs>
        <w:rPr>
          <w:sz w:val="20"/>
          <w:szCs w:val="20"/>
          <w:color w:val="auto"/>
        </w:rPr>
      </w:pPr>
      <w:r>
        <w:rPr>
          <w:rFonts w:ascii="Arial" w:cs="Arial" w:eastAsia="Arial" w:hAnsi="Arial"/>
          <w:sz w:val="14"/>
          <w:szCs w:val="14"/>
          <w:color w:val="auto"/>
        </w:rPr>
        <w:t>pensionable</w:t>
      </w:r>
      <w:r>
        <w:rPr>
          <w:sz w:val="20"/>
          <w:szCs w:val="20"/>
          <w:color w:val="auto"/>
        </w:rPr>
        <w:tab/>
      </w:r>
      <w:r>
        <w:rPr>
          <w:rFonts w:ascii="Arial" w:cs="Arial" w:eastAsia="Arial" w:hAnsi="Arial"/>
          <w:sz w:val="14"/>
          <w:szCs w:val="14"/>
          <w:color w:val="auto"/>
        </w:rPr>
        <w:t>and strategic direction.</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base salary</w:t>
      </w:r>
    </w:p>
    <w:p>
      <w:pPr>
        <w:spacing w:after="0" w:line="55" w:lineRule="exact"/>
        <w:rPr>
          <w:sz w:val="20"/>
          <w:szCs w:val="20"/>
          <w:color w:val="auto"/>
        </w:rPr>
      </w:pPr>
    </w:p>
    <w:p>
      <w:pPr>
        <w:ind w:left="1160" w:right="40"/>
        <w:spacing w:after="0" w:line="247" w:lineRule="auto"/>
        <w:rPr>
          <w:sz w:val="20"/>
          <w:szCs w:val="20"/>
          <w:color w:val="auto"/>
        </w:rPr>
      </w:pPr>
      <w:r>
        <w:rPr>
          <w:rFonts w:ascii="Arial" w:cs="Arial" w:eastAsia="Arial" w:hAnsi="Arial"/>
          <w:sz w:val="14"/>
          <w:szCs w:val="14"/>
          <w:color w:val="auto"/>
        </w:rPr>
        <w:t>Competitively positioned recognising the scope and complexity of the role to attract and retain Executive Directors.</w:t>
      </w:r>
    </w:p>
    <w:p>
      <w:pPr>
        <w:spacing w:after="0" w:line="20" w:lineRule="exact"/>
        <w:rPr>
          <w:sz w:val="20"/>
          <w:szCs w:val="20"/>
          <w:color w:val="auto"/>
        </w:rPr>
      </w:pPr>
      <w:r>
        <w:rPr>
          <w:sz w:val="20"/>
          <w:szCs w:val="20"/>
          <w:color w:val="auto"/>
        </w:rPr>
        <w:br w:type="column"/>
      </w:r>
    </w:p>
    <w:p>
      <w:pPr>
        <w:spacing w:after="0" w:line="243" w:lineRule="auto"/>
        <w:rPr>
          <w:sz w:val="20"/>
          <w:szCs w:val="20"/>
          <w:color w:val="auto"/>
        </w:rPr>
      </w:pPr>
      <w:r>
        <w:rPr>
          <w:rFonts w:ascii="Arial" w:cs="Arial" w:eastAsia="Arial" w:hAnsi="Arial"/>
          <w:sz w:val="14"/>
          <w:szCs w:val="14"/>
          <w:color w:val="auto"/>
        </w:rPr>
        <w:t>As it is required to state a maximum base salary, we have set a maximum of €2,000,000, for both base salary and pensionable base salary, in the context of current peer group base salary levels. Within this limit, increases will be assessed annually based on suitable competitive pay positioning.</w:t>
      </w:r>
    </w:p>
    <w:p>
      <w:pPr>
        <w:spacing w:after="0" w:line="20" w:lineRule="exact"/>
        <w:rPr>
          <w:sz w:val="20"/>
          <w:szCs w:val="20"/>
          <w:color w:val="auto"/>
        </w:rPr>
      </w:pPr>
      <w:r>
        <w:rPr>
          <w:sz w:val="20"/>
          <w:szCs w:val="20"/>
          <w:color w:val="auto"/>
        </w:rPr>
        <w:br w:type="column"/>
      </w:r>
    </w:p>
    <w:p>
      <w:pPr>
        <w:ind w:left="6" w:right="100"/>
        <w:spacing w:after="0" w:line="241" w:lineRule="auto"/>
        <w:rPr>
          <w:sz w:val="20"/>
          <w:szCs w:val="20"/>
          <w:color w:val="auto"/>
        </w:rPr>
      </w:pPr>
      <w:r>
        <w:rPr>
          <w:rFonts w:ascii="Arial" w:cs="Arial" w:eastAsia="Arial" w:hAnsi="Arial"/>
          <w:sz w:val="14"/>
          <w:szCs w:val="14"/>
          <w:color w:val="auto"/>
        </w:rPr>
        <w:t>Base salary and pensionable base salary are reviewed annually with salary adjustments effective from January 1 each year.</w:t>
      </w:r>
    </w:p>
    <w:p>
      <w:pPr>
        <w:spacing w:after="0" w:line="1" w:lineRule="exact"/>
        <w:rPr>
          <w:sz w:val="20"/>
          <w:szCs w:val="20"/>
          <w:color w:val="auto"/>
        </w:rPr>
      </w:pPr>
    </w:p>
    <w:p>
      <w:pPr>
        <w:ind w:left="6"/>
        <w:spacing w:after="0"/>
        <w:rPr>
          <w:sz w:val="20"/>
          <w:szCs w:val="20"/>
          <w:color w:val="auto"/>
        </w:rPr>
      </w:pPr>
      <w:r>
        <w:rPr>
          <w:rFonts w:ascii="Arial" w:cs="Arial" w:eastAsia="Arial" w:hAnsi="Arial"/>
          <w:sz w:val="14"/>
          <w:szCs w:val="14"/>
          <w:color w:val="auto"/>
        </w:rPr>
        <w:t>In making salary determinations, the Remuneration Committee (REMCO) will consider:</w:t>
      </w:r>
    </w:p>
    <w:p>
      <w:pPr>
        <w:spacing w:after="0" w:line="1" w:lineRule="exact"/>
        <w:rPr>
          <w:sz w:val="20"/>
          <w:szCs w:val="20"/>
          <w:color w:val="auto"/>
        </w:rPr>
      </w:pPr>
    </w:p>
    <w:p>
      <w:pPr>
        <w:ind w:left="206" w:hanging="206"/>
        <w:spacing w:after="0"/>
        <w:tabs>
          <w:tab w:leader="none" w:pos="206" w:val="left"/>
        </w:tabs>
        <w:numPr>
          <w:ilvl w:val="0"/>
          <w:numId w:val="115"/>
        </w:numPr>
        <w:rPr>
          <w:rFonts w:ascii="Arial" w:cs="Arial" w:eastAsia="Arial" w:hAnsi="Arial"/>
          <w:sz w:val="12"/>
          <w:szCs w:val="12"/>
          <w:color w:val="auto"/>
        </w:rPr>
      </w:pPr>
      <w:r>
        <w:rPr>
          <w:rFonts w:ascii="Arial" w:cs="Arial" w:eastAsia="Arial" w:hAnsi="Arial"/>
          <w:sz w:val="14"/>
          <w:szCs w:val="14"/>
          <w:color w:val="auto"/>
        </w:rPr>
        <w:t>the market positioning of the Executive Directors’ compensation packages;</w:t>
      </w:r>
    </w:p>
    <w:p>
      <w:pPr>
        <w:spacing w:after="0" w:line="1" w:lineRule="exact"/>
        <w:rPr>
          <w:rFonts w:ascii="Arial" w:cs="Arial" w:eastAsia="Arial" w:hAnsi="Arial"/>
          <w:sz w:val="12"/>
          <w:szCs w:val="12"/>
          <w:color w:val="auto"/>
        </w:rPr>
      </w:pPr>
    </w:p>
    <w:p>
      <w:pPr>
        <w:ind w:left="186" w:hanging="186"/>
        <w:spacing w:after="0"/>
        <w:tabs>
          <w:tab w:leader="none" w:pos="186" w:val="left"/>
        </w:tabs>
        <w:numPr>
          <w:ilvl w:val="0"/>
          <w:numId w:val="115"/>
        </w:numPr>
        <w:rPr>
          <w:rFonts w:ascii="Arial" w:cs="Arial" w:eastAsia="Arial" w:hAnsi="Arial"/>
          <w:sz w:val="12"/>
          <w:szCs w:val="12"/>
          <w:color w:val="auto"/>
        </w:rPr>
      </w:pPr>
      <w:r>
        <w:rPr>
          <w:rFonts w:ascii="Arial" w:cs="Arial" w:eastAsia="Arial" w:hAnsi="Arial"/>
          <w:sz w:val="14"/>
          <w:szCs w:val="14"/>
          <w:color w:val="auto"/>
        </w:rPr>
        <w:t>the different tenure and experience each Executive Director has in their role;</w:t>
      </w:r>
    </w:p>
    <w:p>
      <w:pPr>
        <w:spacing w:after="0" w:line="1" w:lineRule="exact"/>
        <w:rPr>
          <w:rFonts w:ascii="Arial" w:cs="Arial" w:eastAsia="Arial" w:hAnsi="Arial"/>
          <w:sz w:val="12"/>
          <w:szCs w:val="12"/>
          <w:color w:val="auto"/>
        </w:rPr>
      </w:pPr>
    </w:p>
    <w:p>
      <w:pPr>
        <w:ind w:left="206" w:hanging="206"/>
        <w:spacing w:after="0"/>
        <w:tabs>
          <w:tab w:leader="none" w:pos="206" w:val="left"/>
        </w:tabs>
        <w:numPr>
          <w:ilvl w:val="0"/>
          <w:numId w:val="115"/>
        </w:numPr>
        <w:rPr>
          <w:rFonts w:ascii="Arial" w:cs="Arial" w:eastAsia="Arial" w:hAnsi="Arial"/>
          <w:sz w:val="12"/>
          <w:szCs w:val="12"/>
          <w:color w:val="auto"/>
        </w:rPr>
      </w:pPr>
      <w:r>
        <w:rPr>
          <w:rFonts w:ascii="Arial" w:cs="Arial" w:eastAsia="Arial" w:hAnsi="Arial"/>
          <w:sz w:val="14"/>
          <w:szCs w:val="14"/>
          <w:color w:val="auto"/>
        </w:rPr>
        <w:t>changes in the scope and responsibility of the Executive Director’s role;</w:t>
      </w:r>
    </w:p>
    <w:p>
      <w:pPr>
        <w:spacing w:after="0" w:line="1" w:lineRule="exact"/>
        <w:rPr>
          <w:rFonts w:ascii="Arial" w:cs="Arial" w:eastAsia="Arial" w:hAnsi="Arial"/>
          <w:sz w:val="12"/>
          <w:szCs w:val="12"/>
          <w:color w:val="auto"/>
        </w:rPr>
      </w:pPr>
    </w:p>
    <w:p>
      <w:pPr>
        <w:ind w:left="146" w:right="240" w:hanging="146"/>
        <w:spacing w:after="0" w:line="241" w:lineRule="auto"/>
        <w:tabs>
          <w:tab w:leader="none" w:pos="183" w:val="left"/>
        </w:tabs>
        <w:numPr>
          <w:ilvl w:val="0"/>
          <w:numId w:val="115"/>
        </w:numPr>
        <w:rPr>
          <w:rFonts w:ascii="Arial" w:cs="Arial" w:eastAsia="Arial" w:hAnsi="Arial"/>
          <w:sz w:val="12"/>
          <w:szCs w:val="12"/>
          <w:color w:val="auto"/>
        </w:rPr>
      </w:pPr>
      <w:r>
        <w:rPr>
          <w:rFonts w:ascii="Arial" w:cs="Arial" w:eastAsia="Arial" w:hAnsi="Arial"/>
          <w:sz w:val="14"/>
          <w:szCs w:val="14"/>
          <w:color w:val="auto"/>
        </w:rPr>
        <w:t>the planned average salary increase for other employees across three major countries – the Netherlands, the UK and the USA;</w:t>
      </w:r>
    </w:p>
    <w:p>
      <w:pPr>
        <w:ind w:left="186" w:hanging="186"/>
        <w:spacing w:after="0"/>
        <w:tabs>
          <w:tab w:leader="none" w:pos="186" w:val="left"/>
        </w:tabs>
        <w:numPr>
          <w:ilvl w:val="0"/>
          <w:numId w:val="115"/>
        </w:numPr>
        <w:rPr>
          <w:rFonts w:ascii="Arial" w:cs="Arial" w:eastAsia="Arial" w:hAnsi="Arial"/>
          <w:sz w:val="12"/>
          <w:szCs w:val="12"/>
          <w:color w:val="auto"/>
        </w:rPr>
      </w:pPr>
      <w:r>
        <w:rPr>
          <w:rFonts w:ascii="Arial" w:cs="Arial" w:eastAsia="Arial" w:hAnsi="Arial"/>
          <w:sz w:val="14"/>
          <w:szCs w:val="14"/>
          <w:color w:val="auto"/>
        </w:rPr>
        <w:t>the impact of salary increases on pension benefits and other elements of the package; and</w:t>
      </w:r>
    </w:p>
    <w:p>
      <w:pPr>
        <w:spacing w:after="0" w:line="1" w:lineRule="exact"/>
        <w:rPr>
          <w:rFonts w:ascii="Arial" w:cs="Arial" w:eastAsia="Arial" w:hAnsi="Arial"/>
          <w:sz w:val="12"/>
          <w:szCs w:val="12"/>
          <w:color w:val="auto"/>
        </w:rPr>
      </w:pPr>
    </w:p>
    <w:p>
      <w:pPr>
        <w:ind w:left="206" w:hanging="206"/>
        <w:spacing w:after="0"/>
        <w:tabs>
          <w:tab w:leader="none" w:pos="206" w:val="left"/>
        </w:tabs>
        <w:numPr>
          <w:ilvl w:val="0"/>
          <w:numId w:val="115"/>
        </w:numPr>
        <w:rPr>
          <w:rFonts w:ascii="Arial" w:cs="Arial" w:eastAsia="Arial" w:hAnsi="Arial"/>
          <w:sz w:val="12"/>
          <w:szCs w:val="12"/>
          <w:color w:val="auto"/>
        </w:rPr>
      </w:pPr>
      <w:r>
        <w:rPr>
          <w:rFonts w:ascii="Arial" w:cs="Arial" w:eastAsia="Arial" w:hAnsi="Arial"/>
          <w:sz w:val="14"/>
          <w:szCs w:val="14"/>
          <w:color w:val="auto"/>
        </w:rPr>
        <w:t>Shell’s performance and the Executive Directors’ individual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-3267075</wp:posOffset>
            </wp:positionH>
            <wp:positionV relativeFrom="paragraph">
              <wp:posOffset>203200</wp:posOffset>
            </wp:positionV>
            <wp:extent cx="7246620" cy="889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38" w:lineRule="exact"/>
        <w:rPr>
          <w:sz w:val="20"/>
          <w:szCs w:val="20"/>
          <w:color w:val="auto"/>
        </w:rPr>
      </w:pPr>
    </w:p>
    <w:p>
      <w:pPr>
        <w:sectPr>
          <w:pgSz w:w="11900" w:h="16838" w:orient="portrait"/>
          <w:cols w:equalWidth="0" w:num="3">
            <w:col w:w="3160" w:space="180"/>
            <w:col w:w="1700" w:space="114"/>
            <w:col w:w="6266"/>
          </w:cols>
          <w:pgMar w:left="240" w:top="459" w:right="239" w:bottom="1440" w:gutter="0" w:footer="0" w:header="0"/>
          <w:type w:val="continuous"/>
        </w:sectPr>
      </w:pPr>
    </w:p>
    <w:p>
      <w:pPr>
        <w:spacing w:after="0"/>
        <w:tabs>
          <w:tab w:leader="none" w:pos="1140" w:val="left"/>
        </w:tabs>
        <w:rPr>
          <w:sz w:val="20"/>
          <w:szCs w:val="20"/>
          <w:color w:val="auto"/>
        </w:rPr>
      </w:pPr>
      <w:r>
        <w:rPr>
          <w:rFonts w:ascii="Arial" w:cs="Arial" w:eastAsia="Arial" w:hAnsi="Arial"/>
          <w:sz w:val="14"/>
          <w:szCs w:val="14"/>
          <w:color w:val="auto"/>
        </w:rPr>
        <w:t>Benefits</w:t>
      </w:r>
      <w:r>
        <w:rPr>
          <w:sz w:val="20"/>
          <w:szCs w:val="20"/>
          <w:color w:val="auto"/>
        </w:rPr>
        <w:tab/>
      </w:r>
      <w:r>
        <w:rPr>
          <w:rFonts w:ascii="Arial" w:cs="Arial" w:eastAsia="Arial" w:hAnsi="Arial"/>
          <w:sz w:val="14"/>
          <w:szCs w:val="14"/>
          <w:color w:val="auto"/>
        </w:rPr>
        <w:t>Provides market-competitive</w:t>
      </w:r>
    </w:p>
    <w:p>
      <w:pPr>
        <w:spacing w:after="0" w:line="1" w:lineRule="exact"/>
        <w:rPr>
          <w:sz w:val="20"/>
          <w:szCs w:val="20"/>
          <w:color w:val="auto"/>
        </w:rPr>
      </w:pPr>
    </w:p>
    <w:p>
      <w:pPr>
        <w:ind w:left="1160"/>
        <w:spacing w:after="0" w:line="245" w:lineRule="auto"/>
        <w:rPr>
          <w:sz w:val="20"/>
          <w:szCs w:val="20"/>
          <w:color w:val="auto"/>
        </w:rPr>
      </w:pPr>
      <w:r>
        <w:rPr>
          <w:rFonts w:ascii="Arial" w:cs="Arial" w:eastAsia="Arial" w:hAnsi="Arial"/>
          <w:sz w:val="14"/>
          <w:szCs w:val="14"/>
          <w:color w:val="auto"/>
        </w:rPr>
        <w:t>benefits in order to attract and retain international candidates for the Executive Director roles, enabling them to focus on delivering performance.</w:t>
      </w:r>
    </w:p>
    <w:p>
      <w:pPr>
        <w:spacing w:after="0" w:line="20" w:lineRule="exact"/>
        <w:rPr>
          <w:sz w:val="20"/>
          <w:szCs w:val="20"/>
          <w:color w:val="auto"/>
        </w:rPr>
      </w:pPr>
      <w:r>
        <w:rPr>
          <w:sz w:val="20"/>
          <w:szCs w:val="20"/>
          <w:color w:val="auto"/>
        </w:rPr>
        <w:br w:type="column"/>
      </w:r>
    </w:p>
    <w:p>
      <w:pPr>
        <w:spacing w:after="0" w:line="244" w:lineRule="auto"/>
        <w:rPr>
          <w:sz w:val="20"/>
          <w:szCs w:val="20"/>
          <w:color w:val="auto"/>
        </w:rPr>
      </w:pPr>
      <w:r>
        <w:rPr>
          <w:rFonts w:ascii="Arial" w:cs="Arial" w:eastAsia="Arial" w:hAnsi="Arial"/>
          <w:sz w:val="14"/>
          <w:szCs w:val="14"/>
          <w:color w:val="auto"/>
        </w:rPr>
        <w:t>The maximum opportunity is the cost to the Company of providing the relevant benefit as specified in the relevant local or global Company policies. These costs can vary.</w:t>
      </w:r>
    </w:p>
    <w:p>
      <w:pPr>
        <w:spacing w:after="0" w:line="20" w:lineRule="exact"/>
        <w:rPr>
          <w:sz w:val="20"/>
          <w:szCs w:val="20"/>
          <w:color w:val="auto"/>
        </w:rPr>
      </w:pPr>
      <w:r>
        <w:rPr>
          <w:sz w:val="20"/>
          <w:szCs w:val="20"/>
          <w:color w:val="auto"/>
        </w:rPr>
        <w:br w:type="column"/>
      </w:r>
    </w:p>
    <w:p>
      <w:pPr>
        <w:ind w:right="40"/>
        <w:spacing w:after="0" w:line="243" w:lineRule="auto"/>
        <w:rPr>
          <w:sz w:val="20"/>
          <w:szCs w:val="20"/>
          <w:color w:val="auto"/>
        </w:rPr>
      </w:pPr>
      <w:r>
        <w:rPr>
          <w:rFonts w:ascii="Arial" w:cs="Arial" w:eastAsia="Arial" w:hAnsi="Arial"/>
          <w:sz w:val="14"/>
          <w:szCs w:val="14"/>
          <w:color w:val="auto"/>
        </w:rPr>
        <w:t>Benefits that Executive Directors typically receive include car allowances and transport to and from home and office, risk benefits (for example ill-health, disability or death-in-service), as well as employer contributions to insurance plans (such as medical). Precise benefits will depend on the Executive Director’s specific circumstances such as nationality, country of residence, length of service, and family status. Mobility policies for relocation and children’s education may apply, as may tax equalisation related to expatriate employment prior to Board appointment, or in other limited circumstances to offset double taxation. REMCO may adjust the range and scope of the benefits offered in the context of developments in relevant countries.</w:t>
      </w:r>
    </w:p>
    <w:p>
      <w:pPr>
        <w:spacing w:after="0" w:line="209" w:lineRule="exact"/>
        <w:rPr>
          <w:sz w:val="20"/>
          <w:szCs w:val="20"/>
          <w:color w:val="auto"/>
        </w:rPr>
      </w:pPr>
    </w:p>
    <w:p>
      <w:pPr>
        <w:spacing w:after="0" w:line="245" w:lineRule="auto"/>
        <w:rPr>
          <w:sz w:val="20"/>
          <w:szCs w:val="20"/>
          <w:color w:val="auto"/>
        </w:rPr>
      </w:pPr>
      <w:r>
        <w:rPr>
          <w:rFonts w:ascii="Arial" w:cs="Arial" w:eastAsia="Arial" w:hAnsi="Arial"/>
          <w:sz w:val="14"/>
          <w:szCs w:val="14"/>
          <w:color w:val="auto"/>
        </w:rPr>
        <w:t>In relation to the maximum opportunity, and by way of example, maximum relocation and tax equalisation settlement benefits will be the grossed-up cost of meeting the specific Executive Director’s actual liability incurred as a result of appointment and any associated relocation, and will depend on a variety of factors such as length of service, salary increase on appointment and the tax regime in place at the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-3270885</wp:posOffset>
            </wp:positionH>
            <wp:positionV relativeFrom="paragraph">
              <wp:posOffset>-1270</wp:posOffset>
            </wp:positionV>
            <wp:extent cx="7246620" cy="889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3">
            <w:col w:w="3180" w:space="160"/>
            <w:col w:w="1660" w:space="160"/>
            <w:col w:w="6260"/>
          </w:cols>
          <w:pgMar w:left="240" w:top="459" w:right="239" w:bottom="1440" w:gutter="0" w:footer="0" w:header="0"/>
          <w:type w:val="continuous"/>
        </w:sectPr>
      </w:pPr>
    </w:p>
    <w:bookmarkStart w:id="93" w:name="page94"/>
    <w:bookmarkEnd w:id="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399415</wp:posOffset>
            </wp:positionH>
            <wp:positionV relativeFrom="paragraph">
              <wp:posOffset>300355</wp:posOffset>
            </wp:positionV>
            <wp:extent cx="8890" cy="46291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8890" cy="462915"/>
                    </a:xfrm>
                    <a:prstGeom prst="rect">
                      <a:avLst/>
                    </a:prstGeom>
                    <a:noFill/>
                  </pic:spPr>
                </pic:pic>
              </a:graphicData>
            </a:graphic>
          </wp:anchor>
        </w:drawing>
      </w:r>
    </w:p>
    <w:p>
      <w:pPr>
        <w:spacing w:after="0" w:line="200" w:lineRule="exact"/>
        <w:rPr>
          <w:sz w:val="20"/>
          <w:szCs w:val="20"/>
          <w:color w:val="auto"/>
        </w:rPr>
      </w:pP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565"/>
        </w:trPr>
        <w:tc>
          <w:tcPr>
            <w:tcW w:w="620" w:type="dxa"/>
            <w:vAlign w:val="bottom"/>
            <w:shd w:val="clear" w:color="auto" w:fill="FF8B00"/>
          </w:tcPr>
          <w:p>
            <w:pPr>
              <w:ind w:left="260"/>
              <w:spacing w:after="0"/>
              <w:rPr>
                <w:sz w:val="20"/>
                <w:szCs w:val="20"/>
                <w:color w:val="auto"/>
              </w:rPr>
            </w:pPr>
            <w:r>
              <w:rPr>
                <w:rFonts w:ascii="Arial" w:cs="Arial" w:eastAsia="Arial" w:hAnsi="Arial"/>
                <w:sz w:val="11"/>
                <w:szCs w:val="11"/>
                <w:b w:val="1"/>
                <w:bCs w:val="1"/>
                <w:color w:val="333333"/>
              </w:rPr>
              <w:t>92</w:t>
            </w:r>
          </w:p>
        </w:tc>
        <w:tc>
          <w:tcPr>
            <w:tcW w:w="2420" w:type="dxa"/>
            <w:vAlign w:val="bottom"/>
            <w:shd w:val="clear" w:color="auto" w:fill="FF8B00"/>
          </w:tcPr>
          <w:p>
            <w:pPr>
              <w:spacing w:after="0"/>
              <w:rPr>
                <w:sz w:val="24"/>
                <w:szCs w:val="24"/>
                <w:color w:val="auto"/>
              </w:rPr>
            </w:pPr>
          </w:p>
        </w:tc>
        <w:tc>
          <w:tcPr>
            <w:tcW w:w="1900" w:type="dxa"/>
            <w:vAlign w:val="bottom"/>
            <w:shd w:val="clear" w:color="auto" w:fill="FF8B00"/>
          </w:tcPr>
          <w:p>
            <w:pPr>
              <w:jc w:val="right"/>
              <w:ind w:right="157"/>
              <w:spacing w:after="0"/>
              <w:rPr>
                <w:sz w:val="20"/>
                <w:szCs w:val="20"/>
                <w:color w:val="auto"/>
              </w:rPr>
            </w:pPr>
            <w:r>
              <w:rPr>
                <w:rFonts w:ascii="Arial" w:cs="Arial" w:eastAsia="Arial" w:hAnsi="Arial"/>
                <w:sz w:val="13"/>
                <w:szCs w:val="13"/>
                <w:color w:val="333333"/>
              </w:rPr>
              <w:t>GOVERNANCE</w:t>
            </w:r>
          </w:p>
        </w:tc>
        <w:tc>
          <w:tcPr>
            <w:tcW w:w="560" w:type="dxa"/>
            <w:vAlign w:val="bottom"/>
            <w:tcBorders>
              <w:right w:val="single" w:sz="8" w:color="FF8B00"/>
            </w:tcBorders>
            <w:shd w:val="clear" w:color="auto" w:fill="FF8B00"/>
          </w:tcPr>
          <w:p>
            <w:pPr>
              <w:spacing w:after="0"/>
              <w:rPr>
                <w:sz w:val="24"/>
                <w:szCs w:val="24"/>
                <w:color w:val="auto"/>
              </w:rPr>
            </w:pPr>
          </w:p>
        </w:tc>
        <w:tc>
          <w:tcPr>
            <w:tcW w:w="5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5"/>
        </w:trPr>
        <w:tc>
          <w:tcPr>
            <w:tcW w:w="620" w:type="dxa"/>
            <w:vAlign w:val="bottom"/>
            <w:shd w:val="clear" w:color="auto" w:fill="FF8B00"/>
          </w:tcPr>
          <w:p>
            <w:pPr>
              <w:spacing w:after="0"/>
              <w:rPr>
                <w:sz w:val="14"/>
                <w:szCs w:val="14"/>
                <w:color w:val="auto"/>
              </w:rPr>
            </w:pPr>
          </w:p>
        </w:tc>
        <w:tc>
          <w:tcPr>
            <w:tcW w:w="4320" w:type="dxa"/>
            <w:vAlign w:val="bottom"/>
            <w:gridSpan w:val="2"/>
            <w:shd w:val="clear" w:color="auto" w:fill="FF8B00"/>
          </w:tcPr>
          <w:p>
            <w:pPr>
              <w:spacing w:after="0"/>
              <w:rPr>
                <w:sz w:val="14"/>
                <w:szCs w:val="14"/>
                <w:color w:val="auto"/>
              </w:rPr>
            </w:pPr>
          </w:p>
        </w:tc>
        <w:tc>
          <w:tcPr>
            <w:tcW w:w="560" w:type="dxa"/>
            <w:vAlign w:val="bottom"/>
            <w:tcBorders>
              <w:right w:val="single" w:sz="8" w:color="FF8B00"/>
            </w:tcBorders>
            <w:shd w:val="clear" w:color="auto" w:fill="FF8B00"/>
          </w:tcPr>
          <w:p>
            <w:pPr>
              <w:spacing w:after="0"/>
              <w:rPr>
                <w:sz w:val="14"/>
                <w:szCs w:val="14"/>
                <w:color w:val="auto"/>
              </w:rPr>
            </w:pPr>
          </w:p>
        </w:tc>
        <w:tc>
          <w:tcPr>
            <w:tcW w:w="5940" w:type="dxa"/>
            <w:vAlign w:val="bottom"/>
            <w:gridSpan w:val="2"/>
            <w:vMerge w:val="restart"/>
          </w:tcPr>
          <w:p>
            <w:pPr>
              <w:ind w:left="3520"/>
              <w:spacing w:after="0"/>
              <w:rPr>
                <w:sz w:val="20"/>
                <w:szCs w:val="20"/>
                <w:color w:val="auto"/>
              </w:rPr>
            </w:pPr>
            <w:r>
              <w:rPr>
                <w:rFonts w:ascii="Arial" w:cs="Arial" w:eastAsia="Arial" w:hAnsi="Arial"/>
                <w:sz w:val="11"/>
                <w:szCs w:val="11"/>
                <w:color w:val="auto"/>
                <w:w w:val="97"/>
              </w:rPr>
              <w:t>SHELL ANNUAL REPORT AND FORM 20-F 2014</w:t>
            </w:r>
          </w:p>
        </w:tc>
        <w:tc>
          <w:tcPr>
            <w:tcW w:w="0" w:type="dxa"/>
            <w:vAlign w:val="bottom"/>
          </w:tcPr>
          <w:p>
            <w:pPr>
              <w:spacing w:after="0"/>
              <w:rPr>
                <w:sz w:val="1"/>
                <w:szCs w:val="1"/>
                <w:color w:val="auto"/>
              </w:rPr>
            </w:pPr>
          </w:p>
        </w:tc>
      </w:tr>
      <w:tr>
        <w:trPr>
          <w:trHeight w:val="130"/>
        </w:trPr>
        <w:tc>
          <w:tcPr>
            <w:tcW w:w="620" w:type="dxa"/>
            <w:vAlign w:val="bottom"/>
          </w:tcPr>
          <w:p>
            <w:pPr>
              <w:spacing w:after="0"/>
              <w:rPr>
                <w:sz w:val="11"/>
                <w:szCs w:val="11"/>
                <w:color w:val="auto"/>
              </w:rPr>
            </w:pPr>
          </w:p>
        </w:tc>
        <w:tc>
          <w:tcPr>
            <w:tcW w:w="4320" w:type="dxa"/>
            <w:vAlign w:val="bottom"/>
            <w:gridSpan w:val="2"/>
          </w:tcPr>
          <w:p>
            <w:pPr>
              <w:jc w:val="right"/>
              <w:ind w:right="157"/>
              <w:spacing w:after="0"/>
              <w:rPr>
                <w:sz w:val="20"/>
                <w:szCs w:val="20"/>
                <w:color w:val="auto"/>
              </w:rPr>
            </w:pPr>
            <w:r>
              <w:rPr>
                <w:rFonts w:ascii="Arial" w:cs="Arial" w:eastAsia="Arial" w:hAnsi="Arial"/>
                <w:sz w:val="11"/>
                <w:szCs w:val="11"/>
                <w:color w:val="auto"/>
              </w:rPr>
              <w:t>DIRECTORS’ REMUNERATION REPORT</w:t>
            </w:r>
          </w:p>
        </w:tc>
        <w:tc>
          <w:tcPr>
            <w:tcW w:w="560" w:type="dxa"/>
            <w:vAlign w:val="bottom"/>
          </w:tcPr>
          <w:p>
            <w:pPr>
              <w:spacing w:after="0"/>
              <w:rPr>
                <w:sz w:val="11"/>
                <w:szCs w:val="11"/>
                <w:color w:val="auto"/>
              </w:rPr>
            </w:pPr>
          </w:p>
        </w:tc>
        <w:tc>
          <w:tcPr>
            <w:tcW w:w="594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325"/>
        </w:trPr>
        <w:tc>
          <w:tcPr>
            <w:tcW w:w="4940" w:type="dxa"/>
            <w:vAlign w:val="bottom"/>
            <w:gridSpan w:val="3"/>
          </w:tcPr>
          <w:p>
            <w:pPr>
              <w:spacing w:after="0"/>
              <w:rPr>
                <w:sz w:val="20"/>
                <w:szCs w:val="20"/>
                <w:color w:val="auto"/>
              </w:rPr>
            </w:pPr>
            <w:r>
              <w:rPr>
                <w:rFonts w:ascii="Arial" w:cs="Arial" w:eastAsia="Arial" w:hAnsi="Arial"/>
                <w:sz w:val="24"/>
                <w:szCs w:val="24"/>
                <w:color w:val="auto"/>
              </w:rPr>
              <w:t>DIRECTORS’ REMUNERATION POLICY</w:t>
            </w:r>
          </w:p>
        </w:tc>
        <w:tc>
          <w:tcPr>
            <w:tcW w:w="560" w:type="dxa"/>
            <w:vAlign w:val="bottom"/>
          </w:tcPr>
          <w:p>
            <w:pPr>
              <w:spacing w:after="0"/>
              <w:rPr>
                <w:sz w:val="24"/>
                <w:szCs w:val="24"/>
                <w:color w:val="auto"/>
              </w:rPr>
            </w:pPr>
          </w:p>
        </w:tc>
        <w:tc>
          <w:tcPr>
            <w:tcW w:w="5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3040" w:type="dxa"/>
            <w:vAlign w:val="bottom"/>
            <w:tcBorders>
              <w:bottom w:val="single" w:sz="8" w:color="auto"/>
            </w:tcBorders>
            <w:gridSpan w:val="2"/>
          </w:tcPr>
          <w:p>
            <w:pPr>
              <w:spacing w:after="0"/>
              <w:rPr>
                <w:sz w:val="20"/>
                <w:szCs w:val="20"/>
                <w:color w:val="auto"/>
              </w:rPr>
            </w:pPr>
            <w:r>
              <w:rPr>
                <w:rFonts w:ascii="Arial" w:cs="Arial" w:eastAsia="Arial" w:hAnsi="Arial"/>
                <w:sz w:val="24"/>
                <w:szCs w:val="24"/>
                <w:color w:val="666666"/>
              </w:rPr>
              <w:t>CONTINUED</w:t>
            </w:r>
          </w:p>
        </w:tc>
        <w:tc>
          <w:tcPr>
            <w:tcW w:w="190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5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62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920" w:type="dxa"/>
            <w:vAlign w:val="bottom"/>
          </w:tcPr>
          <w:p>
            <w:pPr>
              <w:spacing w:after="0"/>
              <w:rPr>
                <w:sz w:val="24"/>
                <w:szCs w:val="24"/>
                <w:color w:val="auto"/>
              </w:rPr>
            </w:pPr>
          </w:p>
        </w:tc>
        <w:tc>
          <w:tcPr>
            <w:tcW w:w="20" w:type="dxa"/>
            <w:vAlign w:val="bottom"/>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1420" w:type="dxa"/>
            <w:vAlign w:val="bottom"/>
            <w:gridSpan w:val="5"/>
            <w:shd w:val="clear" w:color="auto" w:fill="333333"/>
          </w:tcPr>
          <w:p>
            <w:pPr>
              <w:ind w:left="80"/>
              <w:spacing w:after="0" w:line="162" w:lineRule="exact"/>
              <w:rPr>
                <w:sz w:val="20"/>
                <w:szCs w:val="20"/>
                <w:color w:val="auto"/>
              </w:rPr>
            </w:pPr>
            <w:r>
              <w:rPr>
                <w:rFonts w:ascii="Arial" w:cs="Arial" w:eastAsia="Arial" w:hAnsi="Arial"/>
                <w:sz w:val="15"/>
                <w:szCs w:val="15"/>
                <w:b w:val="1"/>
                <w:bCs w:val="1"/>
                <w:color w:val="FFFFFF"/>
              </w:rPr>
              <w:t xml:space="preserve">EXECUTIVE DIRECTORS’ REMUNERATION POLICY TABLE </w:t>
            </w:r>
            <w:r>
              <w:rPr>
                <w:rFonts w:ascii="Arial" w:cs="Arial" w:eastAsia="Arial" w:hAnsi="Arial"/>
                <w:sz w:val="15"/>
                <w:szCs w:val="15"/>
                <w:color w:val="FFFFFF"/>
              </w:rPr>
              <w:t>(CONTINUED)</w:t>
            </w: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2"/>
        </w:trPr>
        <w:tc>
          <w:tcPr>
            <w:tcW w:w="620" w:type="dxa"/>
            <w:vAlign w:val="bottom"/>
          </w:tcPr>
          <w:p>
            <w:pPr>
              <w:spacing w:after="0"/>
              <w:rPr>
                <w:sz w:val="20"/>
                <w:szCs w:val="20"/>
                <w:color w:val="auto"/>
              </w:rPr>
            </w:pPr>
            <w:r>
              <w:rPr>
                <w:rFonts w:ascii="Arial" w:cs="Arial" w:eastAsia="Arial" w:hAnsi="Arial"/>
                <w:sz w:val="13"/>
                <w:szCs w:val="13"/>
                <w:color w:val="auto"/>
              </w:rPr>
              <w:t>Element</w:t>
            </w:r>
          </w:p>
        </w:tc>
        <w:tc>
          <w:tcPr>
            <w:tcW w:w="2420" w:type="dxa"/>
            <w:vAlign w:val="bottom"/>
          </w:tcPr>
          <w:p>
            <w:pPr>
              <w:ind w:left="540"/>
              <w:spacing w:after="0"/>
              <w:rPr>
                <w:sz w:val="20"/>
                <w:szCs w:val="20"/>
                <w:color w:val="auto"/>
              </w:rPr>
            </w:pPr>
            <w:r>
              <w:rPr>
                <w:rFonts w:ascii="Arial" w:cs="Arial" w:eastAsia="Arial" w:hAnsi="Arial"/>
                <w:sz w:val="13"/>
                <w:szCs w:val="13"/>
                <w:color w:val="auto"/>
              </w:rPr>
              <w:t>Purpose and link to strategy</w:t>
            </w:r>
          </w:p>
        </w:tc>
        <w:tc>
          <w:tcPr>
            <w:tcW w:w="1900" w:type="dxa"/>
            <w:vAlign w:val="bottom"/>
          </w:tcPr>
          <w:p>
            <w:pPr>
              <w:jc w:val="right"/>
              <w:ind w:right="337"/>
              <w:spacing w:after="0"/>
              <w:rPr>
                <w:sz w:val="20"/>
                <w:szCs w:val="20"/>
                <w:color w:val="auto"/>
              </w:rPr>
            </w:pPr>
            <w:r>
              <w:rPr>
                <w:rFonts w:ascii="Arial" w:cs="Arial" w:eastAsia="Arial" w:hAnsi="Arial"/>
                <w:sz w:val="13"/>
                <w:szCs w:val="13"/>
                <w:color w:val="auto"/>
              </w:rPr>
              <w:t>Maximum opportunity</w:t>
            </w:r>
          </w:p>
        </w:tc>
        <w:tc>
          <w:tcPr>
            <w:tcW w:w="6480" w:type="dxa"/>
            <w:vAlign w:val="bottom"/>
            <w:gridSpan w:val="2"/>
          </w:tcPr>
          <w:p>
            <w:pPr>
              <w:ind w:left="220"/>
              <w:spacing w:after="0"/>
              <w:rPr>
                <w:sz w:val="20"/>
                <w:szCs w:val="20"/>
                <w:color w:val="auto"/>
              </w:rPr>
            </w:pPr>
            <w:r>
              <w:rPr>
                <w:rFonts w:ascii="Arial" w:cs="Arial" w:eastAsia="Arial" w:hAnsi="Arial"/>
                <w:sz w:val="13"/>
                <w:szCs w:val="13"/>
                <w:color w:val="auto"/>
              </w:rPr>
              <w:t>Operation and performance measurement</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7246620" cy="889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020" w:type="dxa"/>
            <w:vAlign w:val="bottom"/>
          </w:tcPr>
          <w:p>
            <w:pPr>
              <w:spacing w:after="0"/>
              <w:rPr>
                <w:sz w:val="20"/>
                <w:szCs w:val="20"/>
                <w:color w:val="auto"/>
              </w:rPr>
            </w:pPr>
            <w:r>
              <w:rPr>
                <w:rFonts w:ascii="Arial" w:cs="Arial" w:eastAsia="Arial" w:hAnsi="Arial"/>
                <w:sz w:val="14"/>
                <w:szCs w:val="14"/>
                <w:color w:val="auto"/>
              </w:rPr>
              <w:t>Annual bonus</w:t>
            </w:r>
          </w:p>
        </w:tc>
        <w:tc>
          <w:tcPr>
            <w:tcW w:w="2260" w:type="dxa"/>
            <w:vAlign w:val="bottom"/>
          </w:tcPr>
          <w:p>
            <w:pPr>
              <w:ind w:left="140"/>
              <w:spacing w:after="0"/>
              <w:rPr>
                <w:sz w:val="20"/>
                <w:szCs w:val="20"/>
                <w:color w:val="auto"/>
              </w:rPr>
            </w:pPr>
            <w:r>
              <w:rPr>
                <w:rFonts w:ascii="Arial" w:cs="Arial" w:eastAsia="Arial" w:hAnsi="Arial"/>
                <w:sz w:val="14"/>
                <w:szCs w:val="14"/>
                <w:color w:val="auto"/>
              </w:rPr>
              <w:t>Rewards performance against a</w:t>
            </w:r>
          </w:p>
        </w:tc>
        <w:tc>
          <w:tcPr>
            <w:tcW w:w="1480" w:type="dxa"/>
            <w:vAlign w:val="bottom"/>
            <w:gridSpan w:val="2"/>
          </w:tcPr>
          <w:p>
            <w:pPr>
              <w:ind w:left="60"/>
              <w:spacing w:after="0"/>
              <w:rPr>
                <w:sz w:val="20"/>
                <w:szCs w:val="20"/>
                <w:color w:val="auto"/>
              </w:rPr>
            </w:pPr>
            <w:r>
              <w:rPr>
                <w:rFonts w:ascii="Arial" w:cs="Arial" w:eastAsia="Arial" w:hAnsi="Arial"/>
                <w:sz w:val="14"/>
                <w:szCs w:val="14"/>
                <w:color w:val="auto"/>
              </w:rPr>
              <w:t>Target levels (as a</w:t>
            </w:r>
          </w:p>
        </w:tc>
        <w:tc>
          <w:tcPr>
            <w:tcW w:w="0" w:type="dxa"/>
            <w:vAlign w:val="bottom"/>
          </w:tcPr>
          <w:p>
            <w:pPr>
              <w:spacing w:after="0"/>
              <w:rPr>
                <w:sz w:val="1"/>
                <w:szCs w:val="1"/>
                <w:color w:val="auto"/>
              </w:rPr>
            </w:pPr>
          </w:p>
        </w:tc>
      </w:tr>
      <w:tr>
        <w:trPr>
          <w:trHeight w:val="162"/>
        </w:trPr>
        <w:tc>
          <w:tcPr>
            <w:tcW w:w="1020" w:type="dxa"/>
            <w:vAlign w:val="bottom"/>
          </w:tcPr>
          <w:p>
            <w:pPr>
              <w:spacing w:after="0"/>
              <w:rPr>
                <w:sz w:val="20"/>
                <w:szCs w:val="20"/>
                <w:color w:val="auto"/>
              </w:rPr>
            </w:pPr>
            <w:r>
              <w:rPr>
                <w:rFonts w:ascii="Arial" w:cs="Arial" w:eastAsia="Arial" w:hAnsi="Arial"/>
                <w:sz w:val="14"/>
                <w:szCs w:val="14"/>
                <w:color w:val="auto"/>
              </w:rPr>
              <w:t>and Deferred</w:t>
            </w:r>
          </w:p>
        </w:tc>
        <w:tc>
          <w:tcPr>
            <w:tcW w:w="2260" w:type="dxa"/>
            <w:vAlign w:val="bottom"/>
          </w:tcPr>
          <w:p>
            <w:pPr>
              <w:ind w:left="140"/>
              <w:spacing w:after="0"/>
              <w:rPr>
                <w:sz w:val="20"/>
                <w:szCs w:val="20"/>
                <w:color w:val="auto"/>
              </w:rPr>
            </w:pPr>
            <w:r>
              <w:rPr>
                <w:rFonts w:ascii="Arial" w:cs="Arial" w:eastAsia="Arial" w:hAnsi="Arial"/>
                <w:sz w:val="14"/>
                <w:szCs w:val="14"/>
                <w:color w:val="auto"/>
              </w:rPr>
              <w:t>scorecard of short-term</w:t>
            </w:r>
          </w:p>
        </w:tc>
        <w:tc>
          <w:tcPr>
            <w:tcW w:w="1480" w:type="dxa"/>
            <w:vAlign w:val="bottom"/>
            <w:gridSpan w:val="2"/>
          </w:tcPr>
          <w:p>
            <w:pPr>
              <w:ind w:left="60"/>
              <w:spacing w:after="0"/>
              <w:rPr>
                <w:sz w:val="20"/>
                <w:szCs w:val="20"/>
                <w:color w:val="auto"/>
              </w:rPr>
            </w:pPr>
            <w:r>
              <w:rPr>
                <w:rFonts w:ascii="Arial" w:cs="Arial" w:eastAsia="Arial" w:hAnsi="Arial"/>
                <w:sz w:val="14"/>
                <w:szCs w:val="14"/>
                <w:color w:val="auto"/>
              </w:rPr>
              <w:t>percentage of base</w:t>
            </w:r>
          </w:p>
        </w:tc>
        <w:tc>
          <w:tcPr>
            <w:tcW w:w="0" w:type="dxa"/>
            <w:vAlign w:val="bottom"/>
          </w:tcPr>
          <w:p>
            <w:pPr>
              <w:spacing w:after="0"/>
              <w:rPr>
                <w:sz w:val="1"/>
                <w:szCs w:val="1"/>
                <w:color w:val="auto"/>
              </w:rPr>
            </w:pPr>
          </w:p>
        </w:tc>
      </w:tr>
      <w:tr>
        <w:trPr>
          <w:trHeight w:val="162"/>
        </w:trPr>
        <w:tc>
          <w:tcPr>
            <w:tcW w:w="1020" w:type="dxa"/>
            <w:vAlign w:val="bottom"/>
          </w:tcPr>
          <w:p>
            <w:pPr>
              <w:spacing w:after="0"/>
              <w:rPr>
                <w:sz w:val="20"/>
                <w:szCs w:val="20"/>
                <w:color w:val="auto"/>
              </w:rPr>
            </w:pPr>
            <w:r>
              <w:rPr>
                <w:rFonts w:ascii="Arial" w:cs="Arial" w:eastAsia="Arial" w:hAnsi="Arial"/>
                <w:sz w:val="14"/>
                <w:szCs w:val="14"/>
                <w:color w:val="auto"/>
              </w:rPr>
              <w:t>Bonus Plan</w:t>
            </w:r>
          </w:p>
        </w:tc>
        <w:tc>
          <w:tcPr>
            <w:tcW w:w="2260" w:type="dxa"/>
            <w:vAlign w:val="bottom"/>
          </w:tcPr>
          <w:p>
            <w:pPr>
              <w:ind w:left="140"/>
              <w:spacing w:after="0"/>
              <w:rPr>
                <w:sz w:val="20"/>
                <w:szCs w:val="20"/>
                <w:color w:val="auto"/>
              </w:rPr>
            </w:pPr>
            <w:r>
              <w:rPr>
                <w:rFonts w:ascii="Arial" w:cs="Arial" w:eastAsia="Arial" w:hAnsi="Arial"/>
                <w:sz w:val="14"/>
                <w:szCs w:val="14"/>
                <w:color w:val="auto"/>
              </w:rPr>
              <w:t>strategic targets and individual</w:t>
            </w:r>
          </w:p>
        </w:tc>
        <w:tc>
          <w:tcPr>
            <w:tcW w:w="1480" w:type="dxa"/>
            <w:vAlign w:val="bottom"/>
            <w:gridSpan w:val="2"/>
          </w:tcPr>
          <w:p>
            <w:pPr>
              <w:ind w:left="60"/>
              <w:spacing w:after="0"/>
              <w:rPr>
                <w:sz w:val="20"/>
                <w:szCs w:val="20"/>
                <w:color w:val="auto"/>
              </w:rPr>
            </w:pPr>
            <w:r>
              <w:rPr>
                <w:rFonts w:ascii="Arial" w:cs="Arial" w:eastAsia="Arial" w:hAnsi="Arial"/>
                <w:sz w:val="14"/>
                <w:szCs w:val="14"/>
                <w:color w:val="auto"/>
              </w:rPr>
              <w:t>salary):</w:t>
            </w:r>
          </w:p>
        </w:tc>
        <w:tc>
          <w:tcPr>
            <w:tcW w:w="0" w:type="dxa"/>
            <w:vAlign w:val="bottom"/>
          </w:tcPr>
          <w:p>
            <w:pPr>
              <w:spacing w:after="0"/>
              <w:rPr>
                <w:sz w:val="1"/>
                <w:szCs w:val="1"/>
                <w:color w:val="auto"/>
              </w:rPr>
            </w:pPr>
          </w:p>
        </w:tc>
      </w:tr>
      <w:tr>
        <w:trPr>
          <w:trHeight w:val="162"/>
        </w:trPr>
        <w:tc>
          <w:tcPr>
            <w:tcW w:w="1020" w:type="dxa"/>
            <w:vAlign w:val="bottom"/>
          </w:tcPr>
          <w:p>
            <w:pPr>
              <w:spacing w:after="0"/>
              <w:rPr>
                <w:sz w:val="20"/>
                <w:szCs w:val="20"/>
                <w:color w:val="auto"/>
              </w:rPr>
            </w:pPr>
            <w:r>
              <w:rPr>
                <w:rFonts w:ascii="Arial" w:cs="Arial" w:eastAsia="Arial" w:hAnsi="Arial"/>
                <w:sz w:val="14"/>
                <w:szCs w:val="14"/>
                <w:color w:val="auto"/>
              </w:rPr>
              <w:t>(DBP)</w:t>
            </w:r>
          </w:p>
        </w:tc>
        <w:tc>
          <w:tcPr>
            <w:tcW w:w="2260" w:type="dxa"/>
            <w:vAlign w:val="bottom"/>
          </w:tcPr>
          <w:p>
            <w:pPr>
              <w:ind w:left="140"/>
              <w:spacing w:after="0"/>
              <w:rPr>
                <w:sz w:val="20"/>
                <w:szCs w:val="20"/>
                <w:color w:val="auto"/>
              </w:rPr>
            </w:pPr>
            <w:r>
              <w:rPr>
                <w:rFonts w:ascii="Arial" w:cs="Arial" w:eastAsia="Arial" w:hAnsi="Arial"/>
                <w:sz w:val="14"/>
                <w:szCs w:val="14"/>
                <w:color w:val="auto"/>
              </w:rPr>
              <w:t>achievement.</w:t>
            </w:r>
          </w:p>
        </w:tc>
        <w:tc>
          <w:tcPr>
            <w:tcW w:w="160" w:type="dxa"/>
            <w:vAlign w:val="bottom"/>
          </w:tcPr>
          <w:p>
            <w:pPr>
              <w:ind w:left="60"/>
              <w:spacing w:after="0"/>
              <w:rPr>
                <w:sz w:val="20"/>
                <w:szCs w:val="20"/>
                <w:color w:val="auto"/>
              </w:rPr>
            </w:pPr>
            <w:r>
              <w:rPr>
                <w:rFonts w:ascii="Arial" w:cs="Arial" w:eastAsia="Arial" w:hAnsi="Arial"/>
                <w:sz w:val="12"/>
                <w:szCs w:val="12"/>
                <w:color w:val="auto"/>
              </w:rPr>
              <w:t>n</w:t>
            </w:r>
          </w:p>
        </w:tc>
        <w:tc>
          <w:tcPr>
            <w:tcW w:w="1320" w:type="dxa"/>
            <w:vAlign w:val="bottom"/>
          </w:tcPr>
          <w:p>
            <w:pPr>
              <w:jc w:val="right"/>
              <w:ind w:right="128"/>
              <w:spacing w:after="0"/>
              <w:rPr>
                <w:sz w:val="20"/>
                <w:szCs w:val="20"/>
                <w:color w:val="auto"/>
              </w:rPr>
            </w:pPr>
            <w:r>
              <w:rPr>
                <w:rFonts w:ascii="Arial" w:cs="Arial" w:eastAsia="Arial" w:hAnsi="Arial"/>
                <w:sz w:val="14"/>
                <w:szCs w:val="14"/>
                <w:color w:val="auto"/>
              </w:rPr>
              <w:t>Chief Executive</w:t>
            </w:r>
          </w:p>
        </w:tc>
        <w:tc>
          <w:tcPr>
            <w:tcW w:w="0" w:type="dxa"/>
            <w:vAlign w:val="bottom"/>
          </w:tcPr>
          <w:p>
            <w:pPr>
              <w:spacing w:after="0"/>
              <w:rPr>
                <w:sz w:val="1"/>
                <w:szCs w:val="1"/>
                <w:color w:val="auto"/>
              </w:rPr>
            </w:pPr>
          </w:p>
        </w:tc>
      </w:tr>
      <w:tr>
        <w:trPr>
          <w:trHeight w:val="162"/>
        </w:trPr>
        <w:tc>
          <w:tcPr>
            <w:tcW w:w="102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20" w:type="dxa"/>
            <w:vAlign w:val="bottom"/>
          </w:tcPr>
          <w:p>
            <w:pPr>
              <w:ind w:left="40"/>
              <w:spacing w:after="0"/>
              <w:rPr>
                <w:sz w:val="20"/>
                <w:szCs w:val="20"/>
                <w:color w:val="auto"/>
              </w:rPr>
            </w:pPr>
            <w:r>
              <w:rPr>
                <w:rFonts w:ascii="Arial" w:cs="Arial" w:eastAsia="Arial" w:hAnsi="Arial"/>
                <w:sz w:val="14"/>
                <w:szCs w:val="14"/>
                <w:color w:val="auto"/>
              </w:rPr>
              <w:t>Officer: 150%</w:t>
            </w:r>
          </w:p>
        </w:tc>
        <w:tc>
          <w:tcPr>
            <w:tcW w:w="0" w:type="dxa"/>
            <w:vAlign w:val="bottom"/>
          </w:tcPr>
          <w:p>
            <w:pPr>
              <w:spacing w:after="0"/>
              <w:rPr>
                <w:sz w:val="1"/>
                <w:szCs w:val="1"/>
                <w:color w:val="auto"/>
              </w:rPr>
            </w:pPr>
          </w:p>
        </w:tc>
      </w:tr>
      <w:tr>
        <w:trPr>
          <w:trHeight w:val="162"/>
        </w:trPr>
        <w:tc>
          <w:tcPr>
            <w:tcW w:w="1020" w:type="dxa"/>
            <w:vAlign w:val="bottom"/>
          </w:tcPr>
          <w:p>
            <w:pPr>
              <w:spacing w:after="0"/>
              <w:rPr>
                <w:sz w:val="14"/>
                <w:szCs w:val="14"/>
                <w:color w:val="auto"/>
              </w:rPr>
            </w:pPr>
          </w:p>
        </w:tc>
        <w:tc>
          <w:tcPr>
            <w:tcW w:w="2260" w:type="dxa"/>
            <w:vAlign w:val="bottom"/>
            <w:vMerge w:val="restart"/>
          </w:tcPr>
          <w:p>
            <w:pPr>
              <w:ind w:left="140"/>
              <w:spacing w:after="0"/>
              <w:rPr>
                <w:sz w:val="20"/>
                <w:szCs w:val="20"/>
                <w:color w:val="auto"/>
              </w:rPr>
            </w:pPr>
            <w:r>
              <w:rPr>
                <w:rFonts w:ascii="Arial" w:cs="Arial" w:eastAsia="Arial" w:hAnsi="Arial"/>
                <w:sz w:val="14"/>
                <w:szCs w:val="14"/>
                <w:color w:val="auto"/>
              </w:rPr>
              <w:t>To reinforce alignment with</w:t>
            </w:r>
          </w:p>
        </w:tc>
        <w:tc>
          <w:tcPr>
            <w:tcW w:w="160" w:type="dxa"/>
            <w:vAlign w:val="bottom"/>
          </w:tcPr>
          <w:p>
            <w:pPr>
              <w:ind w:left="60"/>
              <w:spacing w:after="0"/>
              <w:rPr>
                <w:sz w:val="20"/>
                <w:szCs w:val="20"/>
                <w:color w:val="auto"/>
              </w:rPr>
            </w:pPr>
            <w:r>
              <w:rPr>
                <w:rFonts w:ascii="Arial" w:cs="Arial" w:eastAsia="Arial" w:hAnsi="Arial"/>
                <w:sz w:val="12"/>
                <w:szCs w:val="12"/>
                <w:color w:val="auto"/>
              </w:rPr>
              <w:t>n</w:t>
            </w:r>
          </w:p>
        </w:tc>
        <w:tc>
          <w:tcPr>
            <w:tcW w:w="1320" w:type="dxa"/>
            <w:vAlign w:val="bottom"/>
          </w:tcPr>
          <w:p>
            <w:pPr>
              <w:jc w:val="right"/>
              <w:ind w:right="148"/>
              <w:spacing w:after="0"/>
              <w:rPr>
                <w:sz w:val="20"/>
                <w:szCs w:val="20"/>
                <w:color w:val="auto"/>
              </w:rPr>
            </w:pPr>
            <w:r>
              <w:rPr>
                <w:rFonts w:ascii="Arial" w:cs="Arial" w:eastAsia="Arial" w:hAnsi="Arial"/>
                <w:sz w:val="14"/>
                <w:szCs w:val="14"/>
                <w:color w:val="auto"/>
              </w:rPr>
              <w:t>Other Executive</w:t>
            </w:r>
          </w:p>
        </w:tc>
        <w:tc>
          <w:tcPr>
            <w:tcW w:w="0" w:type="dxa"/>
            <w:vAlign w:val="bottom"/>
          </w:tcPr>
          <w:p>
            <w:pPr>
              <w:spacing w:after="0"/>
              <w:rPr>
                <w:sz w:val="1"/>
                <w:szCs w:val="1"/>
                <w:color w:val="auto"/>
              </w:rPr>
            </w:pPr>
          </w:p>
        </w:tc>
      </w:tr>
      <w:tr>
        <w:trPr>
          <w:trHeight w:val="54"/>
        </w:trPr>
        <w:tc>
          <w:tcPr>
            <w:tcW w:w="1020" w:type="dxa"/>
            <w:vAlign w:val="bottom"/>
          </w:tcPr>
          <w:p>
            <w:pPr>
              <w:spacing w:after="0"/>
              <w:rPr>
                <w:sz w:val="4"/>
                <w:szCs w:val="4"/>
                <w:color w:val="auto"/>
              </w:rPr>
            </w:pPr>
          </w:p>
        </w:tc>
        <w:tc>
          <w:tcPr>
            <w:tcW w:w="2260" w:type="dxa"/>
            <w:vAlign w:val="bottom"/>
            <w:vMerge w:val="continue"/>
          </w:tcPr>
          <w:p>
            <w:pPr>
              <w:spacing w:after="0"/>
              <w:rPr>
                <w:sz w:val="4"/>
                <w:szCs w:val="4"/>
                <w:color w:val="auto"/>
              </w:rPr>
            </w:pPr>
          </w:p>
        </w:tc>
        <w:tc>
          <w:tcPr>
            <w:tcW w:w="160" w:type="dxa"/>
            <w:vAlign w:val="bottom"/>
          </w:tcPr>
          <w:p>
            <w:pPr>
              <w:spacing w:after="0"/>
              <w:rPr>
                <w:sz w:val="4"/>
                <w:szCs w:val="4"/>
                <w:color w:val="auto"/>
              </w:rPr>
            </w:pPr>
          </w:p>
        </w:tc>
        <w:tc>
          <w:tcPr>
            <w:tcW w:w="1320" w:type="dxa"/>
            <w:vAlign w:val="bottom"/>
            <w:vMerge w:val="restart"/>
          </w:tcPr>
          <w:p>
            <w:pPr>
              <w:ind w:left="40"/>
              <w:spacing w:after="0"/>
              <w:rPr>
                <w:sz w:val="20"/>
                <w:szCs w:val="20"/>
                <w:color w:val="auto"/>
              </w:rPr>
            </w:pPr>
            <w:r>
              <w:rPr>
                <w:rFonts w:ascii="Arial" w:cs="Arial" w:eastAsia="Arial" w:hAnsi="Arial"/>
                <w:sz w:val="14"/>
                <w:szCs w:val="14"/>
                <w:color w:val="auto"/>
              </w:rPr>
              <w:t>Directors: 120%</w:t>
            </w:r>
          </w:p>
        </w:tc>
        <w:tc>
          <w:tcPr>
            <w:tcW w:w="0" w:type="dxa"/>
            <w:vAlign w:val="bottom"/>
          </w:tcPr>
          <w:p>
            <w:pPr>
              <w:spacing w:after="0"/>
              <w:rPr>
                <w:sz w:val="1"/>
                <w:szCs w:val="1"/>
                <w:color w:val="auto"/>
              </w:rPr>
            </w:pPr>
          </w:p>
        </w:tc>
      </w:tr>
      <w:tr>
        <w:trPr>
          <w:trHeight w:val="118"/>
        </w:trPr>
        <w:tc>
          <w:tcPr>
            <w:tcW w:w="1020" w:type="dxa"/>
            <w:vAlign w:val="bottom"/>
          </w:tcPr>
          <w:p>
            <w:pPr>
              <w:spacing w:after="0"/>
              <w:rPr>
                <w:sz w:val="10"/>
                <w:szCs w:val="10"/>
                <w:color w:val="auto"/>
              </w:rPr>
            </w:pPr>
          </w:p>
        </w:tc>
        <w:tc>
          <w:tcPr>
            <w:tcW w:w="2260" w:type="dxa"/>
            <w:vAlign w:val="bottom"/>
            <w:vMerge w:val="restart"/>
          </w:tcPr>
          <w:p>
            <w:pPr>
              <w:ind w:left="140"/>
              <w:spacing w:after="0"/>
              <w:rPr>
                <w:sz w:val="20"/>
                <w:szCs w:val="20"/>
                <w:color w:val="auto"/>
              </w:rPr>
            </w:pPr>
            <w:r>
              <w:rPr>
                <w:rFonts w:ascii="Arial" w:cs="Arial" w:eastAsia="Arial" w:hAnsi="Arial"/>
                <w:sz w:val="14"/>
                <w:szCs w:val="14"/>
                <w:color w:val="auto"/>
              </w:rPr>
              <w:t>shareholder interests, 50% is</w:t>
            </w:r>
          </w:p>
        </w:tc>
        <w:tc>
          <w:tcPr>
            <w:tcW w:w="16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44"/>
        </w:trPr>
        <w:tc>
          <w:tcPr>
            <w:tcW w:w="1020" w:type="dxa"/>
            <w:vAlign w:val="bottom"/>
          </w:tcPr>
          <w:p>
            <w:pPr>
              <w:spacing w:after="0"/>
              <w:rPr>
                <w:sz w:val="3"/>
                <w:szCs w:val="3"/>
                <w:color w:val="auto"/>
              </w:rPr>
            </w:pPr>
          </w:p>
        </w:tc>
        <w:tc>
          <w:tcPr>
            <w:tcW w:w="2260" w:type="dxa"/>
            <w:vAlign w:val="bottom"/>
            <w:vMerge w:val="continue"/>
          </w:tcPr>
          <w:p>
            <w:pPr>
              <w:spacing w:after="0"/>
              <w:rPr>
                <w:sz w:val="3"/>
                <w:szCs w:val="3"/>
                <w:color w:val="auto"/>
              </w:rPr>
            </w:pPr>
          </w:p>
        </w:tc>
        <w:tc>
          <w:tcPr>
            <w:tcW w:w="160" w:type="dxa"/>
            <w:vAlign w:val="bottom"/>
          </w:tcPr>
          <w:p>
            <w:pPr>
              <w:spacing w:after="0"/>
              <w:rPr>
                <w:sz w:val="3"/>
                <w:szCs w:val="3"/>
                <w:color w:val="auto"/>
              </w:rPr>
            </w:pPr>
          </w:p>
        </w:tc>
        <w:tc>
          <w:tcPr>
            <w:tcW w:w="13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2"/>
        </w:trPr>
        <w:tc>
          <w:tcPr>
            <w:tcW w:w="1020" w:type="dxa"/>
            <w:vAlign w:val="bottom"/>
          </w:tcPr>
          <w:p>
            <w:pPr>
              <w:spacing w:after="0"/>
              <w:rPr>
                <w:sz w:val="14"/>
                <w:szCs w:val="14"/>
                <w:color w:val="auto"/>
              </w:rPr>
            </w:pPr>
          </w:p>
        </w:tc>
        <w:tc>
          <w:tcPr>
            <w:tcW w:w="2260" w:type="dxa"/>
            <w:vAlign w:val="bottom"/>
          </w:tcPr>
          <w:p>
            <w:pPr>
              <w:ind w:left="140"/>
              <w:spacing w:after="0"/>
              <w:rPr>
                <w:sz w:val="20"/>
                <w:szCs w:val="20"/>
                <w:color w:val="auto"/>
              </w:rPr>
            </w:pPr>
            <w:r>
              <w:rPr>
                <w:rFonts w:ascii="Arial" w:cs="Arial" w:eastAsia="Arial" w:hAnsi="Arial"/>
                <w:sz w:val="14"/>
                <w:szCs w:val="14"/>
                <w:color w:val="auto"/>
              </w:rPr>
              <w:t>deferred and the other 50% is</w:t>
            </w:r>
          </w:p>
        </w:tc>
        <w:tc>
          <w:tcPr>
            <w:tcW w:w="1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020" w:type="dxa"/>
            <w:vAlign w:val="bottom"/>
          </w:tcPr>
          <w:p>
            <w:pPr>
              <w:spacing w:after="0"/>
              <w:rPr>
                <w:sz w:val="14"/>
                <w:szCs w:val="14"/>
                <w:color w:val="auto"/>
              </w:rPr>
            </w:pPr>
          </w:p>
        </w:tc>
        <w:tc>
          <w:tcPr>
            <w:tcW w:w="2260" w:type="dxa"/>
            <w:vAlign w:val="bottom"/>
          </w:tcPr>
          <w:p>
            <w:pPr>
              <w:ind w:left="140"/>
              <w:spacing w:after="0"/>
              <w:rPr>
                <w:sz w:val="20"/>
                <w:szCs w:val="20"/>
                <w:color w:val="auto"/>
              </w:rPr>
            </w:pPr>
            <w:r>
              <w:rPr>
                <w:rFonts w:ascii="Arial" w:cs="Arial" w:eastAsia="Arial" w:hAnsi="Arial"/>
                <w:sz w:val="14"/>
                <w:szCs w:val="14"/>
                <w:color w:val="auto"/>
              </w:rPr>
              <w:t>delivered in cash. The deferred</w:t>
            </w:r>
          </w:p>
        </w:tc>
        <w:tc>
          <w:tcPr>
            <w:tcW w:w="1480" w:type="dxa"/>
            <w:vAlign w:val="bottom"/>
            <w:gridSpan w:val="2"/>
          </w:tcPr>
          <w:p>
            <w:pPr>
              <w:ind w:left="60"/>
              <w:spacing w:after="0"/>
              <w:rPr>
                <w:sz w:val="20"/>
                <w:szCs w:val="20"/>
                <w:color w:val="auto"/>
              </w:rPr>
            </w:pPr>
            <w:r>
              <w:rPr>
                <w:rFonts w:ascii="Arial" w:cs="Arial" w:eastAsia="Arial" w:hAnsi="Arial"/>
                <w:sz w:val="14"/>
                <w:szCs w:val="14"/>
                <w:color w:val="auto"/>
              </w:rPr>
              <w:t>Maximum bonus (as a</w:t>
            </w:r>
          </w:p>
        </w:tc>
        <w:tc>
          <w:tcPr>
            <w:tcW w:w="0" w:type="dxa"/>
            <w:vAlign w:val="bottom"/>
          </w:tcPr>
          <w:p>
            <w:pPr>
              <w:spacing w:after="0"/>
              <w:rPr>
                <w:sz w:val="1"/>
                <w:szCs w:val="1"/>
                <w:color w:val="auto"/>
              </w:rPr>
            </w:pPr>
          </w:p>
        </w:tc>
      </w:tr>
      <w:tr>
        <w:trPr>
          <w:trHeight w:val="162"/>
        </w:trPr>
        <w:tc>
          <w:tcPr>
            <w:tcW w:w="1020" w:type="dxa"/>
            <w:vAlign w:val="bottom"/>
          </w:tcPr>
          <w:p>
            <w:pPr>
              <w:spacing w:after="0"/>
              <w:rPr>
                <w:sz w:val="14"/>
                <w:szCs w:val="14"/>
                <w:color w:val="auto"/>
              </w:rPr>
            </w:pPr>
          </w:p>
        </w:tc>
        <w:tc>
          <w:tcPr>
            <w:tcW w:w="2260" w:type="dxa"/>
            <w:vAlign w:val="bottom"/>
          </w:tcPr>
          <w:p>
            <w:pPr>
              <w:ind w:left="140"/>
              <w:spacing w:after="0"/>
              <w:rPr>
                <w:sz w:val="20"/>
                <w:szCs w:val="20"/>
                <w:color w:val="auto"/>
              </w:rPr>
            </w:pPr>
            <w:r>
              <w:rPr>
                <w:rFonts w:ascii="Arial" w:cs="Arial" w:eastAsia="Arial" w:hAnsi="Arial"/>
                <w:sz w:val="14"/>
                <w:szCs w:val="14"/>
                <w:color w:val="auto"/>
              </w:rPr>
              <w:t>bonus is released in the form of</w:t>
            </w:r>
          </w:p>
        </w:tc>
        <w:tc>
          <w:tcPr>
            <w:tcW w:w="1480" w:type="dxa"/>
            <w:vAlign w:val="bottom"/>
            <w:gridSpan w:val="2"/>
          </w:tcPr>
          <w:p>
            <w:pPr>
              <w:ind w:left="60"/>
              <w:spacing w:after="0"/>
              <w:rPr>
                <w:sz w:val="20"/>
                <w:szCs w:val="20"/>
                <w:color w:val="auto"/>
              </w:rPr>
            </w:pPr>
            <w:r>
              <w:rPr>
                <w:rFonts w:ascii="Arial" w:cs="Arial" w:eastAsia="Arial" w:hAnsi="Arial"/>
                <w:sz w:val="14"/>
                <w:szCs w:val="14"/>
                <w:color w:val="auto"/>
              </w:rPr>
              <w:t>percentage of base</w:t>
            </w:r>
          </w:p>
        </w:tc>
        <w:tc>
          <w:tcPr>
            <w:tcW w:w="0" w:type="dxa"/>
            <w:vAlign w:val="bottom"/>
          </w:tcPr>
          <w:p>
            <w:pPr>
              <w:spacing w:after="0"/>
              <w:rPr>
                <w:sz w:val="1"/>
                <w:szCs w:val="1"/>
                <w:color w:val="auto"/>
              </w:rPr>
            </w:pPr>
          </w:p>
        </w:tc>
      </w:tr>
      <w:tr>
        <w:trPr>
          <w:trHeight w:val="162"/>
        </w:trPr>
        <w:tc>
          <w:tcPr>
            <w:tcW w:w="1020" w:type="dxa"/>
            <w:vAlign w:val="bottom"/>
          </w:tcPr>
          <w:p>
            <w:pPr>
              <w:spacing w:after="0"/>
              <w:rPr>
                <w:sz w:val="14"/>
                <w:szCs w:val="14"/>
                <w:color w:val="auto"/>
              </w:rPr>
            </w:pPr>
          </w:p>
        </w:tc>
        <w:tc>
          <w:tcPr>
            <w:tcW w:w="2260" w:type="dxa"/>
            <w:vAlign w:val="bottom"/>
          </w:tcPr>
          <w:p>
            <w:pPr>
              <w:ind w:left="140"/>
              <w:spacing w:after="0"/>
              <w:rPr>
                <w:sz w:val="20"/>
                <w:szCs w:val="20"/>
                <w:color w:val="auto"/>
              </w:rPr>
            </w:pPr>
            <w:r>
              <w:rPr>
                <w:rFonts w:ascii="Arial" w:cs="Arial" w:eastAsia="Arial" w:hAnsi="Arial"/>
                <w:sz w:val="14"/>
                <w:szCs w:val="14"/>
                <w:color w:val="auto"/>
              </w:rPr>
              <w:t>shares after a deferral period of</w:t>
            </w:r>
          </w:p>
        </w:tc>
        <w:tc>
          <w:tcPr>
            <w:tcW w:w="1480" w:type="dxa"/>
            <w:vAlign w:val="bottom"/>
            <w:gridSpan w:val="2"/>
          </w:tcPr>
          <w:p>
            <w:pPr>
              <w:ind w:left="60"/>
              <w:spacing w:after="0"/>
              <w:rPr>
                <w:sz w:val="20"/>
                <w:szCs w:val="20"/>
                <w:color w:val="auto"/>
              </w:rPr>
            </w:pPr>
            <w:r>
              <w:rPr>
                <w:rFonts w:ascii="Arial" w:cs="Arial" w:eastAsia="Arial" w:hAnsi="Arial"/>
                <w:sz w:val="14"/>
                <w:szCs w:val="14"/>
                <w:color w:val="auto"/>
              </w:rPr>
              <w:t>salary):</w:t>
            </w:r>
          </w:p>
        </w:tc>
        <w:tc>
          <w:tcPr>
            <w:tcW w:w="0" w:type="dxa"/>
            <w:vAlign w:val="bottom"/>
          </w:tcPr>
          <w:p>
            <w:pPr>
              <w:spacing w:after="0"/>
              <w:rPr>
                <w:sz w:val="1"/>
                <w:szCs w:val="1"/>
                <w:color w:val="auto"/>
              </w:rPr>
            </w:pPr>
          </w:p>
        </w:tc>
      </w:tr>
      <w:tr>
        <w:trPr>
          <w:trHeight w:val="162"/>
        </w:trPr>
        <w:tc>
          <w:tcPr>
            <w:tcW w:w="1020" w:type="dxa"/>
            <w:vAlign w:val="bottom"/>
          </w:tcPr>
          <w:p>
            <w:pPr>
              <w:spacing w:after="0"/>
              <w:rPr>
                <w:sz w:val="14"/>
                <w:szCs w:val="14"/>
                <w:color w:val="auto"/>
              </w:rPr>
            </w:pPr>
          </w:p>
        </w:tc>
        <w:tc>
          <w:tcPr>
            <w:tcW w:w="2260" w:type="dxa"/>
            <w:vAlign w:val="bottom"/>
          </w:tcPr>
          <w:p>
            <w:pPr>
              <w:ind w:left="140"/>
              <w:spacing w:after="0"/>
              <w:rPr>
                <w:sz w:val="20"/>
                <w:szCs w:val="20"/>
                <w:color w:val="auto"/>
              </w:rPr>
            </w:pPr>
            <w:r>
              <w:rPr>
                <w:rFonts w:ascii="Arial" w:cs="Arial" w:eastAsia="Arial" w:hAnsi="Arial"/>
                <w:sz w:val="14"/>
                <w:szCs w:val="14"/>
                <w:color w:val="auto"/>
              </w:rPr>
              <w:t>three years, as well as dividend</w:t>
            </w:r>
          </w:p>
        </w:tc>
        <w:tc>
          <w:tcPr>
            <w:tcW w:w="160" w:type="dxa"/>
            <w:vAlign w:val="bottom"/>
          </w:tcPr>
          <w:p>
            <w:pPr>
              <w:ind w:left="60"/>
              <w:spacing w:after="0"/>
              <w:rPr>
                <w:sz w:val="20"/>
                <w:szCs w:val="20"/>
                <w:color w:val="auto"/>
              </w:rPr>
            </w:pPr>
            <w:r>
              <w:rPr>
                <w:rFonts w:ascii="Arial" w:cs="Arial" w:eastAsia="Arial" w:hAnsi="Arial"/>
                <w:sz w:val="12"/>
                <w:szCs w:val="12"/>
                <w:color w:val="auto"/>
              </w:rPr>
              <w:t>n</w:t>
            </w:r>
          </w:p>
        </w:tc>
        <w:tc>
          <w:tcPr>
            <w:tcW w:w="1320" w:type="dxa"/>
            <w:vAlign w:val="bottom"/>
          </w:tcPr>
          <w:p>
            <w:pPr>
              <w:jc w:val="right"/>
              <w:ind w:right="128"/>
              <w:spacing w:after="0"/>
              <w:rPr>
                <w:sz w:val="20"/>
                <w:szCs w:val="20"/>
                <w:color w:val="auto"/>
              </w:rPr>
            </w:pPr>
            <w:r>
              <w:rPr>
                <w:rFonts w:ascii="Arial" w:cs="Arial" w:eastAsia="Arial" w:hAnsi="Arial"/>
                <w:sz w:val="14"/>
                <w:szCs w:val="14"/>
                <w:color w:val="auto"/>
              </w:rPr>
              <w:t>Chief Executive</w:t>
            </w:r>
          </w:p>
        </w:tc>
        <w:tc>
          <w:tcPr>
            <w:tcW w:w="0" w:type="dxa"/>
            <w:vAlign w:val="bottom"/>
          </w:tcPr>
          <w:p>
            <w:pPr>
              <w:spacing w:after="0"/>
              <w:rPr>
                <w:sz w:val="1"/>
                <w:szCs w:val="1"/>
                <w:color w:val="auto"/>
              </w:rPr>
            </w:pPr>
          </w:p>
        </w:tc>
      </w:tr>
      <w:tr>
        <w:trPr>
          <w:trHeight w:val="162"/>
        </w:trPr>
        <w:tc>
          <w:tcPr>
            <w:tcW w:w="1020" w:type="dxa"/>
            <w:vAlign w:val="bottom"/>
          </w:tcPr>
          <w:p>
            <w:pPr>
              <w:spacing w:after="0"/>
              <w:rPr>
                <w:sz w:val="14"/>
                <w:szCs w:val="14"/>
                <w:color w:val="auto"/>
              </w:rPr>
            </w:pPr>
          </w:p>
        </w:tc>
        <w:tc>
          <w:tcPr>
            <w:tcW w:w="2260" w:type="dxa"/>
            <w:vAlign w:val="bottom"/>
          </w:tcPr>
          <w:p>
            <w:pPr>
              <w:ind w:left="140"/>
              <w:spacing w:after="0"/>
              <w:rPr>
                <w:sz w:val="20"/>
                <w:szCs w:val="20"/>
                <w:color w:val="auto"/>
              </w:rPr>
            </w:pPr>
            <w:r>
              <w:rPr>
                <w:rFonts w:ascii="Arial" w:cs="Arial" w:eastAsia="Arial" w:hAnsi="Arial"/>
                <w:sz w:val="14"/>
                <w:szCs w:val="14"/>
                <w:color w:val="auto"/>
              </w:rPr>
              <w:t>shares accrued over the</w:t>
            </w:r>
          </w:p>
        </w:tc>
        <w:tc>
          <w:tcPr>
            <w:tcW w:w="160" w:type="dxa"/>
            <w:vAlign w:val="bottom"/>
          </w:tcPr>
          <w:p>
            <w:pPr>
              <w:spacing w:after="0"/>
              <w:rPr>
                <w:sz w:val="14"/>
                <w:szCs w:val="14"/>
                <w:color w:val="auto"/>
              </w:rPr>
            </w:pPr>
          </w:p>
        </w:tc>
        <w:tc>
          <w:tcPr>
            <w:tcW w:w="1320" w:type="dxa"/>
            <w:vAlign w:val="bottom"/>
          </w:tcPr>
          <w:p>
            <w:pPr>
              <w:ind w:left="40"/>
              <w:spacing w:after="0"/>
              <w:rPr>
                <w:sz w:val="20"/>
                <w:szCs w:val="20"/>
                <w:color w:val="auto"/>
              </w:rPr>
            </w:pPr>
            <w:r>
              <w:rPr>
                <w:rFonts w:ascii="Arial" w:cs="Arial" w:eastAsia="Arial" w:hAnsi="Arial"/>
                <w:sz w:val="14"/>
                <w:szCs w:val="14"/>
                <w:color w:val="auto"/>
              </w:rPr>
              <w:t>Officer: 250%</w:t>
            </w:r>
          </w:p>
        </w:tc>
        <w:tc>
          <w:tcPr>
            <w:tcW w:w="0" w:type="dxa"/>
            <w:vAlign w:val="bottom"/>
          </w:tcPr>
          <w:p>
            <w:pPr>
              <w:spacing w:after="0"/>
              <w:rPr>
                <w:sz w:val="1"/>
                <w:szCs w:val="1"/>
                <w:color w:val="auto"/>
              </w:rPr>
            </w:pPr>
          </w:p>
        </w:tc>
      </w:tr>
      <w:tr>
        <w:trPr>
          <w:trHeight w:val="162"/>
        </w:trPr>
        <w:tc>
          <w:tcPr>
            <w:tcW w:w="1020" w:type="dxa"/>
            <w:vAlign w:val="bottom"/>
          </w:tcPr>
          <w:p>
            <w:pPr>
              <w:spacing w:after="0"/>
              <w:rPr>
                <w:sz w:val="14"/>
                <w:szCs w:val="14"/>
                <w:color w:val="auto"/>
              </w:rPr>
            </w:pPr>
          </w:p>
        </w:tc>
        <w:tc>
          <w:tcPr>
            <w:tcW w:w="2260" w:type="dxa"/>
            <w:vAlign w:val="bottom"/>
          </w:tcPr>
          <w:p>
            <w:pPr>
              <w:ind w:left="140"/>
              <w:spacing w:after="0"/>
              <w:rPr>
                <w:sz w:val="20"/>
                <w:szCs w:val="20"/>
                <w:color w:val="auto"/>
              </w:rPr>
            </w:pPr>
            <w:r>
              <w:rPr>
                <w:rFonts w:ascii="Arial" w:cs="Arial" w:eastAsia="Arial" w:hAnsi="Arial"/>
                <w:sz w:val="14"/>
                <w:szCs w:val="14"/>
                <w:color w:val="auto"/>
              </w:rPr>
              <w:t>deferral period. Apart from</w:t>
            </w:r>
          </w:p>
        </w:tc>
        <w:tc>
          <w:tcPr>
            <w:tcW w:w="160" w:type="dxa"/>
            <w:vAlign w:val="bottom"/>
          </w:tcPr>
          <w:p>
            <w:pPr>
              <w:ind w:left="60"/>
              <w:spacing w:after="0"/>
              <w:rPr>
                <w:sz w:val="20"/>
                <w:szCs w:val="20"/>
                <w:color w:val="auto"/>
              </w:rPr>
            </w:pPr>
            <w:r>
              <w:rPr>
                <w:rFonts w:ascii="Arial" w:cs="Arial" w:eastAsia="Arial" w:hAnsi="Arial"/>
                <w:sz w:val="12"/>
                <w:szCs w:val="12"/>
                <w:color w:val="auto"/>
              </w:rPr>
              <w:t>n</w:t>
            </w:r>
          </w:p>
        </w:tc>
        <w:tc>
          <w:tcPr>
            <w:tcW w:w="1320" w:type="dxa"/>
            <w:vAlign w:val="bottom"/>
          </w:tcPr>
          <w:p>
            <w:pPr>
              <w:jc w:val="right"/>
              <w:ind w:right="148"/>
              <w:spacing w:after="0"/>
              <w:rPr>
                <w:sz w:val="20"/>
                <w:szCs w:val="20"/>
                <w:color w:val="auto"/>
              </w:rPr>
            </w:pPr>
            <w:r>
              <w:rPr>
                <w:rFonts w:ascii="Arial" w:cs="Arial" w:eastAsia="Arial" w:hAnsi="Arial"/>
                <w:sz w:val="14"/>
                <w:szCs w:val="14"/>
                <w:color w:val="auto"/>
              </w:rPr>
              <w:t>Other Executive</w:t>
            </w:r>
          </w:p>
        </w:tc>
        <w:tc>
          <w:tcPr>
            <w:tcW w:w="0" w:type="dxa"/>
            <w:vAlign w:val="bottom"/>
          </w:tcPr>
          <w:p>
            <w:pPr>
              <w:spacing w:after="0"/>
              <w:rPr>
                <w:sz w:val="1"/>
                <w:szCs w:val="1"/>
                <w:color w:val="auto"/>
              </w:rPr>
            </w:pPr>
          </w:p>
        </w:tc>
      </w:tr>
      <w:tr>
        <w:trPr>
          <w:trHeight w:val="162"/>
        </w:trPr>
        <w:tc>
          <w:tcPr>
            <w:tcW w:w="1020" w:type="dxa"/>
            <w:vAlign w:val="bottom"/>
          </w:tcPr>
          <w:p>
            <w:pPr>
              <w:spacing w:after="0"/>
              <w:rPr>
                <w:sz w:val="14"/>
                <w:szCs w:val="14"/>
                <w:color w:val="auto"/>
              </w:rPr>
            </w:pPr>
          </w:p>
        </w:tc>
        <w:tc>
          <w:tcPr>
            <w:tcW w:w="2260" w:type="dxa"/>
            <w:vAlign w:val="bottom"/>
          </w:tcPr>
          <w:p>
            <w:pPr>
              <w:ind w:left="140"/>
              <w:spacing w:after="0"/>
              <w:rPr>
                <w:sz w:val="20"/>
                <w:szCs w:val="20"/>
                <w:color w:val="auto"/>
              </w:rPr>
            </w:pPr>
            <w:r>
              <w:rPr>
                <w:rFonts w:ascii="Arial" w:cs="Arial" w:eastAsia="Arial" w:hAnsi="Arial"/>
                <w:sz w:val="14"/>
                <w:szCs w:val="14"/>
                <w:color w:val="auto"/>
              </w:rPr>
              <w:t>dividend shares, no additional</w:t>
            </w:r>
          </w:p>
        </w:tc>
        <w:tc>
          <w:tcPr>
            <w:tcW w:w="160" w:type="dxa"/>
            <w:vAlign w:val="bottom"/>
          </w:tcPr>
          <w:p>
            <w:pPr>
              <w:spacing w:after="0"/>
              <w:rPr>
                <w:sz w:val="14"/>
                <w:szCs w:val="14"/>
                <w:color w:val="auto"/>
              </w:rPr>
            </w:pPr>
          </w:p>
        </w:tc>
        <w:tc>
          <w:tcPr>
            <w:tcW w:w="1320" w:type="dxa"/>
            <w:vAlign w:val="bottom"/>
          </w:tcPr>
          <w:p>
            <w:pPr>
              <w:ind w:left="40"/>
              <w:spacing w:after="0"/>
              <w:rPr>
                <w:sz w:val="20"/>
                <w:szCs w:val="20"/>
                <w:color w:val="auto"/>
              </w:rPr>
            </w:pPr>
            <w:r>
              <w:rPr>
                <w:rFonts w:ascii="Arial" w:cs="Arial" w:eastAsia="Arial" w:hAnsi="Arial"/>
                <w:sz w:val="14"/>
                <w:szCs w:val="14"/>
                <w:color w:val="auto"/>
              </w:rPr>
              <w:t>Directors: 240%</w:t>
            </w:r>
          </w:p>
        </w:tc>
        <w:tc>
          <w:tcPr>
            <w:tcW w:w="0" w:type="dxa"/>
            <w:vAlign w:val="bottom"/>
          </w:tcPr>
          <w:p>
            <w:pPr>
              <w:spacing w:after="0"/>
              <w:rPr>
                <w:sz w:val="1"/>
                <w:szCs w:val="1"/>
                <w:color w:val="auto"/>
              </w:rPr>
            </w:pPr>
          </w:p>
        </w:tc>
      </w:tr>
      <w:tr>
        <w:trPr>
          <w:trHeight w:val="172"/>
        </w:trPr>
        <w:tc>
          <w:tcPr>
            <w:tcW w:w="1020" w:type="dxa"/>
            <w:vAlign w:val="bottom"/>
          </w:tcPr>
          <w:p>
            <w:pPr>
              <w:spacing w:after="0"/>
              <w:rPr>
                <w:sz w:val="14"/>
                <w:szCs w:val="14"/>
                <w:color w:val="auto"/>
              </w:rPr>
            </w:pPr>
          </w:p>
        </w:tc>
        <w:tc>
          <w:tcPr>
            <w:tcW w:w="2260" w:type="dxa"/>
            <w:vAlign w:val="bottom"/>
          </w:tcPr>
          <w:p>
            <w:pPr>
              <w:ind w:left="140"/>
              <w:spacing w:after="0"/>
              <w:rPr>
                <w:sz w:val="20"/>
                <w:szCs w:val="20"/>
                <w:color w:val="auto"/>
              </w:rPr>
            </w:pPr>
            <w:r>
              <w:rPr>
                <w:rFonts w:ascii="Arial" w:cs="Arial" w:eastAsia="Arial" w:hAnsi="Arial"/>
                <w:sz w:val="14"/>
                <w:szCs w:val="14"/>
                <w:color w:val="auto"/>
              </w:rPr>
              <w:t>DBP shares are awarded.</w:t>
            </w:r>
          </w:p>
        </w:tc>
        <w:tc>
          <w:tcPr>
            <w:tcW w:w="1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ind w:left="146" w:right="240" w:hanging="146"/>
        <w:spacing w:after="0" w:line="241" w:lineRule="auto"/>
        <w:tabs>
          <w:tab w:leader="none" w:pos="181" w:val="left"/>
        </w:tabs>
        <w:numPr>
          <w:ilvl w:val="0"/>
          <w:numId w:val="116"/>
        </w:numPr>
        <w:rPr>
          <w:rFonts w:ascii="Arial" w:cs="Arial" w:eastAsia="Arial" w:hAnsi="Arial"/>
          <w:sz w:val="12"/>
          <w:szCs w:val="12"/>
          <w:color w:val="auto"/>
        </w:rPr>
      </w:pPr>
      <w:r>
        <w:rPr>
          <w:rFonts w:ascii="Arial" w:cs="Arial" w:eastAsia="Arial" w:hAnsi="Arial"/>
          <w:sz w:val="14"/>
          <w:szCs w:val="14"/>
          <w:color w:val="auto"/>
        </w:rPr>
        <w:t>The bonus is determined by reference to performance from January 1 to December 31 each year.</w:t>
      </w:r>
    </w:p>
    <w:p>
      <w:pPr>
        <w:ind w:left="146" w:right="140" w:hanging="146"/>
        <w:spacing w:after="0" w:line="241" w:lineRule="auto"/>
        <w:tabs>
          <w:tab w:leader="none" w:pos="206" w:val="left"/>
        </w:tabs>
        <w:numPr>
          <w:ilvl w:val="0"/>
          <w:numId w:val="116"/>
        </w:numPr>
        <w:rPr>
          <w:rFonts w:ascii="Arial" w:cs="Arial" w:eastAsia="Arial" w:hAnsi="Arial"/>
          <w:sz w:val="12"/>
          <w:szCs w:val="12"/>
          <w:color w:val="auto"/>
        </w:rPr>
      </w:pPr>
      <w:r>
        <w:rPr>
          <w:rFonts w:ascii="Arial" w:cs="Arial" w:eastAsia="Arial" w:hAnsi="Arial"/>
          <w:sz w:val="14"/>
          <w:szCs w:val="14"/>
          <w:color w:val="auto"/>
        </w:rPr>
        <w:t>Annual bonus = base salary x target bonus % x scorecard result (0–2); adjusted for individual performance with a 0–1.2 multiplier.</w:t>
      </w:r>
    </w:p>
    <w:p>
      <w:pPr>
        <w:ind w:left="146" w:right="160" w:hanging="146"/>
        <w:spacing w:after="0" w:line="241" w:lineRule="auto"/>
        <w:tabs>
          <w:tab w:leader="none" w:pos="211" w:val="left"/>
        </w:tabs>
        <w:numPr>
          <w:ilvl w:val="0"/>
          <w:numId w:val="116"/>
        </w:numPr>
        <w:rPr>
          <w:rFonts w:ascii="Arial" w:cs="Arial" w:eastAsia="Arial" w:hAnsi="Arial"/>
          <w:sz w:val="12"/>
          <w:szCs w:val="12"/>
          <w:color w:val="auto"/>
        </w:rPr>
      </w:pPr>
      <w:r>
        <w:rPr>
          <w:rFonts w:ascii="Arial" w:cs="Arial" w:eastAsia="Arial" w:hAnsi="Arial"/>
          <w:sz w:val="14"/>
          <w:szCs w:val="14"/>
          <w:color w:val="auto"/>
        </w:rPr>
        <w:t>Taking the Shell Business Plan into consideration, each year the Board agrees the scorecard targets and weightings which support the delivery of the strategy. Measures are related to financial performance, operational excellence and sustainable development. Indicative weightings are 30%, 50% and 20% respectively. REMCO retains the ability to adjust performance measure targets and weightings year by year within the overall target and maximum payouts approved in the policy. Additionally, stretching individual targets are set.</w:t>
      </w:r>
    </w:p>
    <w:p>
      <w:pPr>
        <w:spacing w:after="0" w:line="2" w:lineRule="exact"/>
        <w:rPr>
          <w:rFonts w:ascii="Arial" w:cs="Arial" w:eastAsia="Arial" w:hAnsi="Arial"/>
          <w:sz w:val="12"/>
          <w:szCs w:val="12"/>
          <w:color w:val="auto"/>
        </w:rPr>
      </w:pPr>
    </w:p>
    <w:p>
      <w:pPr>
        <w:ind w:left="146" w:right="80" w:hanging="146"/>
        <w:spacing w:after="0" w:line="241" w:lineRule="auto"/>
        <w:tabs>
          <w:tab w:leader="none" w:pos="183" w:val="left"/>
        </w:tabs>
        <w:numPr>
          <w:ilvl w:val="0"/>
          <w:numId w:val="116"/>
        </w:numPr>
        <w:rPr>
          <w:rFonts w:ascii="Arial" w:cs="Arial" w:eastAsia="Arial" w:hAnsi="Arial"/>
          <w:sz w:val="12"/>
          <w:szCs w:val="12"/>
          <w:color w:val="auto"/>
        </w:rPr>
      </w:pPr>
      <w:r>
        <w:rPr>
          <w:rFonts w:ascii="Arial" w:cs="Arial" w:eastAsia="Arial" w:hAnsi="Arial"/>
          <w:sz w:val="14"/>
          <w:szCs w:val="14"/>
          <w:color w:val="auto"/>
        </w:rPr>
        <w:t>Scorecard targets will be disclosed retrospectively, with the timing of any disclosure dependent on the commercial sensitivity of the target.</w:t>
      </w:r>
    </w:p>
    <w:p>
      <w:pPr>
        <w:ind w:left="146" w:right="200" w:hanging="146"/>
        <w:spacing w:after="0" w:line="241" w:lineRule="auto"/>
        <w:tabs>
          <w:tab w:leader="none" w:pos="183" w:val="left"/>
        </w:tabs>
        <w:numPr>
          <w:ilvl w:val="0"/>
          <w:numId w:val="116"/>
        </w:numPr>
        <w:rPr>
          <w:rFonts w:ascii="Arial" w:cs="Arial" w:eastAsia="Arial" w:hAnsi="Arial"/>
          <w:sz w:val="12"/>
          <w:szCs w:val="12"/>
          <w:color w:val="auto"/>
        </w:rPr>
      </w:pPr>
      <w:r>
        <w:rPr>
          <w:rFonts w:ascii="Arial" w:cs="Arial" w:eastAsia="Arial" w:hAnsi="Arial"/>
          <w:sz w:val="14"/>
          <w:szCs w:val="14"/>
          <w:color w:val="auto"/>
        </w:rPr>
        <w:t>Individual performance is reflected by adjusting the bonus outcome. Upward adjustment is capped at 20% and subject to the overall maximum bonus cap. There is no limit to downward adjustment.</w:t>
      </w:r>
    </w:p>
    <w:p>
      <w:pPr>
        <w:spacing w:after="0" w:line="1" w:lineRule="exact"/>
        <w:rPr>
          <w:rFonts w:ascii="Arial" w:cs="Arial" w:eastAsia="Arial" w:hAnsi="Arial"/>
          <w:sz w:val="12"/>
          <w:szCs w:val="12"/>
          <w:color w:val="auto"/>
        </w:rPr>
      </w:pPr>
    </w:p>
    <w:p>
      <w:pPr>
        <w:ind w:left="146" w:right="120" w:hanging="146"/>
        <w:spacing w:after="0" w:line="241" w:lineRule="auto"/>
        <w:tabs>
          <w:tab w:leader="none" w:pos="183" w:val="left"/>
        </w:tabs>
        <w:numPr>
          <w:ilvl w:val="0"/>
          <w:numId w:val="116"/>
        </w:numPr>
        <w:rPr>
          <w:rFonts w:ascii="Arial" w:cs="Arial" w:eastAsia="Arial" w:hAnsi="Arial"/>
          <w:sz w:val="12"/>
          <w:szCs w:val="12"/>
          <w:color w:val="auto"/>
        </w:rPr>
      </w:pPr>
      <w:r>
        <w:rPr>
          <w:rFonts w:ascii="Arial" w:cs="Arial" w:eastAsia="Arial" w:hAnsi="Arial"/>
          <w:sz w:val="14"/>
          <w:szCs w:val="14"/>
          <w:color w:val="auto"/>
        </w:rPr>
        <w:t>For the portion of the bonus deferred into shares, additional shares may be released representing the value of dividends payable on the vested shares, as if these had been owned from award date (“dividend shares”).</w:t>
      </w:r>
    </w:p>
    <w:p>
      <w:pPr>
        <w:spacing w:after="0" w:line="1" w:lineRule="exact"/>
        <w:rPr>
          <w:rFonts w:ascii="Arial" w:cs="Arial" w:eastAsia="Arial" w:hAnsi="Arial"/>
          <w:sz w:val="12"/>
          <w:szCs w:val="12"/>
          <w:color w:val="auto"/>
        </w:rPr>
      </w:pPr>
    </w:p>
    <w:p>
      <w:pPr>
        <w:ind w:left="186" w:hanging="186"/>
        <w:spacing w:after="0"/>
        <w:tabs>
          <w:tab w:leader="none" w:pos="186" w:val="left"/>
        </w:tabs>
        <w:numPr>
          <w:ilvl w:val="0"/>
          <w:numId w:val="116"/>
        </w:numPr>
        <w:rPr>
          <w:rFonts w:ascii="Arial" w:cs="Arial" w:eastAsia="Arial" w:hAnsi="Arial"/>
          <w:sz w:val="12"/>
          <w:szCs w:val="12"/>
          <w:color w:val="auto"/>
        </w:rPr>
      </w:pPr>
      <w:r>
        <w:rPr>
          <w:rFonts w:ascii="Arial" w:cs="Arial" w:eastAsia="Arial" w:hAnsi="Arial"/>
          <w:sz w:val="14"/>
          <w:szCs w:val="14"/>
          <w:color w:val="auto"/>
        </w:rPr>
        <w:t>The annual bonus and DBP have malus and clawback provisions.</w:t>
      </w:r>
    </w:p>
    <w:p>
      <w:pPr>
        <w:spacing w:after="0" w:line="1" w:lineRule="exact"/>
        <w:rPr>
          <w:rFonts w:ascii="Arial" w:cs="Arial" w:eastAsia="Arial" w:hAnsi="Arial"/>
          <w:sz w:val="12"/>
          <w:szCs w:val="12"/>
          <w:color w:val="auto"/>
        </w:rPr>
      </w:pPr>
    </w:p>
    <w:p>
      <w:pPr>
        <w:ind w:left="146" w:right="220" w:hanging="146"/>
        <w:spacing w:after="0" w:line="250" w:lineRule="auto"/>
        <w:tabs>
          <w:tab w:leader="none" w:pos="211" w:val="left"/>
        </w:tabs>
        <w:numPr>
          <w:ilvl w:val="0"/>
          <w:numId w:val="116"/>
        </w:numPr>
        <w:rPr>
          <w:rFonts w:ascii="Arial" w:cs="Arial" w:eastAsia="Arial" w:hAnsi="Arial"/>
          <w:sz w:val="12"/>
          <w:szCs w:val="12"/>
          <w:color w:val="auto"/>
        </w:rPr>
      </w:pPr>
      <w:r>
        <w:rPr>
          <w:rFonts w:ascii="Arial" w:cs="Arial" w:eastAsia="Arial" w:hAnsi="Arial"/>
          <w:sz w:val="14"/>
          <w:szCs w:val="14"/>
          <w:color w:val="auto"/>
        </w:rPr>
        <w:t>There are no prescribed thresholds or minimum levels of performance that equate to a prescribed payment under the policy and this structure can result in no bonus payment being made.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-3267075</wp:posOffset>
            </wp:positionH>
            <wp:positionV relativeFrom="paragraph">
              <wp:posOffset>-4445</wp:posOffset>
            </wp:positionV>
            <wp:extent cx="7246620" cy="889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0" w:lineRule="exact"/>
        <w:rPr>
          <w:sz w:val="20"/>
          <w:szCs w:val="20"/>
          <w:color w:val="auto"/>
        </w:rPr>
      </w:pPr>
    </w:p>
    <w:p>
      <w:pPr>
        <w:sectPr>
          <w:pgSz w:w="11900" w:h="16838" w:orient="portrait"/>
          <w:cols w:equalWidth="0" w:num="2">
            <w:col w:w="4760" w:space="394"/>
            <w:col w:w="6266"/>
          </w:cols>
          <w:pgMar w:left="240" w:top="459" w:right="239" w:bottom="1440" w:gutter="0" w:footer="0" w:header="0"/>
          <w:type w:val="continuous"/>
        </w:sectPr>
      </w:pPr>
    </w:p>
    <w:p>
      <w:pPr>
        <w:spacing w:after="0"/>
        <w:tabs>
          <w:tab w:leader="none" w:pos="1140" w:val="left"/>
        </w:tabs>
        <w:rPr>
          <w:sz w:val="20"/>
          <w:szCs w:val="20"/>
          <w:color w:val="auto"/>
        </w:rPr>
      </w:pPr>
      <w:r>
        <w:rPr>
          <w:rFonts w:ascii="Arial" w:cs="Arial" w:eastAsia="Arial" w:hAnsi="Arial"/>
          <w:sz w:val="14"/>
          <w:szCs w:val="14"/>
          <w:color w:val="auto"/>
        </w:rPr>
        <w:t>Long-term</w:t>
      </w:r>
      <w:r>
        <w:rPr>
          <w:sz w:val="20"/>
          <w:szCs w:val="20"/>
          <w:color w:val="auto"/>
        </w:rPr>
        <w:tab/>
      </w:r>
      <w:r>
        <w:rPr>
          <w:rFonts w:ascii="Arial" w:cs="Arial" w:eastAsia="Arial" w:hAnsi="Arial"/>
          <w:sz w:val="14"/>
          <w:szCs w:val="14"/>
          <w:color w:val="auto"/>
        </w:rPr>
        <w:t>Rewards medium- to long-term</w:t>
      </w:r>
    </w:p>
    <w:p>
      <w:pPr>
        <w:spacing w:after="0" w:line="1" w:lineRule="exact"/>
        <w:rPr>
          <w:sz w:val="20"/>
          <w:szCs w:val="20"/>
          <w:color w:val="auto"/>
        </w:rPr>
      </w:pPr>
    </w:p>
    <w:p>
      <w:pPr>
        <w:spacing w:after="0"/>
        <w:tabs>
          <w:tab w:leader="none" w:pos="1140" w:val="left"/>
        </w:tabs>
        <w:rPr>
          <w:sz w:val="20"/>
          <w:szCs w:val="20"/>
          <w:color w:val="auto"/>
        </w:rPr>
      </w:pPr>
      <w:r>
        <w:rPr>
          <w:rFonts w:ascii="Arial" w:cs="Arial" w:eastAsia="Arial" w:hAnsi="Arial"/>
          <w:sz w:val="14"/>
          <w:szCs w:val="14"/>
          <w:color w:val="auto"/>
        </w:rPr>
        <w:t>Incentive Plan</w:t>
      </w:r>
      <w:r>
        <w:rPr>
          <w:sz w:val="20"/>
          <w:szCs w:val="20"/>
          <w:color w:val="auto"/>
        </w:rPr>
        <w:tab/>
      </w:r>
      <w:r>
        <w:rPr>
          <w:rFonts w:ascii="Arial" w:cs="Arial" w:eastAsia="Arial" w:hAnsi="Arial"/>
          <w:sz w:val="14"/>
          <w:szCs w:val="14"/>
          <w:color w:val="auto"/>
        </w:rPr>
        <w:t>outperformance of the business</w:t>
      </w:r>
    </w:p>
    <w:p>
      <w:pPr>
        <w:spacing w:after="0" w:line="1" w:lineRule="exact"/>
        <w:rPr>
          <w:sz w:val="20"/>
          <w:szCs w:val="20"/>
          <w:color w:val="auto"/>
        </w:rPr>
      </w:pPr>
    </w:p>
    <w:p>
      <w:pPr>
        <w:spacing w:after="0"/>
        <w:tabs>
          <w:tab w:leader="none" w:pos="1140" w:val="left"/>
        </w:tabs>
        <w:rPr>
          <w:sz w:val="20"/>
          <w:szCs w:val="20"/>
          <w:color w:val="auto"/>
        </w:rPr>
      </w:pPr>
      <w:r>
        <w:rPr>
          <w:rFonts w:ascii="Arial" w:cs="Arial" w:eastAsia="Arial" w:hAnsi="Arial"/>
          <w:sz w:val="14"/>
          <w:szCs w:val="14"/>
          <w:color w:val="auto"/>
        </w:rPr>
        <w:t>(LTIP)</w:t>
      </w:r>
      <w:r>
        <w:rPr>
          <w:sz w:val="20"/>
          <w:szCs w:val="20"/>
          <w:color w:val="auto"/>
        </w:rPr>
        <w:tab/>
      </w:r>
      <w:r>
        <w:rPr>
          <w:rFonts w:ascii="Arial" w:cs="Arial" w:eastAsia="Arial" w:hAnsi="Arial"/>
          <w:sz w:val="14"/>
          <w:szCs w:val="14"/>
          <w:color w:val="auto"/>
        </w:rPr>
        <w:t>relative to other oil majors on</w:t>
      </w:r>
    </w:p>
    <w:p>
      <w:pPr>
        <w:spacing w:after="0" w:line="1" w:lineRule="exact"/>
        <w:rPr>
          <w:sz w:val="20"/>
          <w:szCs w:val="20"/>
          <w:color w:val="auto"/>
        </w:rPr>
      </w:pPr>
    </w:p>
    <w:p>
      <w:pPr>
        <w:ind w:left="1160"/>
        <w:spacing w:after="0"/>
        <w:rPr>
          <w:sz w:val="20"/>
          <w:szCs w:val="20"/>
          <w:color w:val="auto"/>
        </w:rPr>
      </w:pPr>
      <w:r>
        <w:rPr>
          <w:rFonts w:ascii="Arial" w:cs="Arial" w:eastAsia="Arial" w:hAnsi="Arial"/>
          <w:sz w:val="14"/>
          <w:szCs w:val="14"/>
          <w:color w:val="auto"/>
        </w:rPr>
        <w:t>measures which are selected</w:t>
      </w:r>
    </w:p>
    <w:p>
      <w:pPr>
        <w:spacing w:after="0" w:line="1" w:lineRule="exact"/>
        <w:rPr>
          <w:sz w:val="20"/>
          <w:szCs w:val="20"/>
          <w:color w:val="auto"/>
        </w:rPr>
      </w:pPr>
    </w:p>
    <w:p>
      <w:pPr>
        <w:ind w:left="1160"/>
        <w:spacing w:after="0"/>
        <w:rPr>
          <w:sz w:val="20"/>
          <w:szCs w:val="20"/>
          <w:color w:val="auto"/>
        </w:rPr>
      </w:pPr>
      <w:r>
        <w:rPr>
          <w:rFonts w:ascii="Arial" w:cs="Arial" w:eastAsia="Arial" w:hAnsi="Arial"/>
          <w:sz w:val="14"/>
          <w:szCs w:val="14"/>
          <w:color w:val="auto"/>
        </w:rPr>
        <w:t>because they are seen as key</w:t>
      </w:r>
    </w:p>
    <w:p>
      <w:pPr>
        <w:spacing w:after="0" w:line="1" w:lineRule="exact"/>
        <w:rPr>
          <w:sz w:val="20"/>
          <w:szCs w:val="20"/>
          <w:color w:val="auto"/>
        </w:rPr>
      </w:pPr>
    </w:p>
    <w:p>
      <w:pPr>
        <w:ind w:left="1160"/>
        <w:spacing w:after="0"/>
        <w:rPr>
          <w:sz w:val="20"/>
          <w:szCs w:val="20"/>
          <w:color w:val="auto"/>
        </w:rPr>
      </w:pPr>
      <w:r>
        <w:rPr>
          <w:rFonts w:ascii="Arial" w:cs="Arial" w:eastAsia="Arial" w:hAnsi="Arial"/>
          <w:sz w:val="14"/>
          <w:szCs w:val="14"/>
          <w:color w:val="auto"/>
        </w:rPr>
        <w:t>outcomes of the delivery of the</w:t>
      </w:r>
    </w:p>
    <w:p>
      <w:pPr>
        <w:spacing w:after="0" w:line="1" w:lineRule="exact"/>
        <w:rPr>
          <w:sz w:val="20"/>
          <w:szCs w:val="20"/>
          <w:color w:val="auto"/>
        </w:rPr>
      </w:pPr>
    </w:p>
    <w:p>
      <w:pPr>
        <w:ind w:left="1160"/>
        <w:spacing w:after="0"/>
        <w:rPr>
          <w:sz w:val="20"/>
          <w:szCs w:val="20"/>
          <w:color w:val="auto"/>
        </w:rPr>
      </w:pPr>
      <w:r>
        <w:rPr>
          <w:rFonts w:ascii="Arial" w:cs="Arial" w:eastAsia="Arial" w:hAnsi="Arial"/>
          <w:sz w:val="14"/>
          <w:szCs w:val="14"/>
          <w:color w:val="auto"/>
        </w:rPr>
        <w:t>strategy.</w:t>
      </w:r>
    </w:p>
    <w:p>
      <w:pPr>
        <w:spacing w:after="0" w:line="20" w:lineRule="exact"/>
        <w:rPr>
          <w:sz w:val="20"/>
          <w:szCs w:val="20"/>
          <w:color w:val="auto"/>
        </w:rPr>
      </w:pPr>
      <w:r>
        <w:rPr>
          <w:sz w:val="20"/>
          <w:szCs w:val="20"/>
          <w:color w:val="auto"/>
        </w:rPr>
        <w:br w:type="column"/>
      </w:r>
    </w:p>
    <w:p>
      <w:pPr>
        <w:ind w:right="20"/>
        <w:spacing w:after="0" w:line="250" w:lineRule="auto"/>
        <w:rPr>
          <w:sz w:val="20"/>
          <w:szCs w:val="20"/>
          <w:color w:val="auto"/>
        </w:rPr>
      </w:pPr>
      <w:r>
        <w:rPr>
          <w:rFonts w:ascii="Arial" w:cs="Arial" w:eastAsia="Arial" w:hAnsi="Arial"/>
          <w:sz w:val="14"/>
          <w:szCs w:val="14"/>
          <w:color w:val="auto"/>
        </w:rPr>
        <w:t>Awards may be made up to a value of 400% of base salary.</w:t>
      </w:r>
    </w:p>
    <w:p>
      <w:pPr>
        <w:spacing w:after="0" w:line="199" w:lineRule="exact"/>
        <w:rPr>
          <w:sz w:val="20"/>
          <w:szCs w:val="20"/>
          <w:color w:val="auto"/>
        </w:rPr>
      </w:pPr>
    </w:p>
    <w:p>
      <w:pPr>
        <w:spacing w:after="0" w:line="247" w:lineRule="auto"/>
        <w:rPr>
          <w:sz w:val="20"/>
          <w:szCs w:val="20"/>
          <w:color w:val="auto"/>
        </w:rPr>
      </w:pPr>
      <w:r>
        <w:rPr>
          <w:rFonts w:ascii="Arial" w:cs="Arial" w:eastAsia="Arial" w:hAnsi="Arial"/>
          <w:sz w:val="14"/>
          <w:szCs w:val="14"/>
          <w:color w:val="auto"/>
        </w:rPr>
        <w:t>Awards may vest at up to 200% of the shares originally awarded, plus dividends.</w:t>
      </w:r>
    </w:p>
    <w:p>
      <w:pPr>
        <w:spacing w:after="0" w:line="20" w:lineRule="exact"/>
        <w:rPr>
          <w:sz w:val="20"/>
          <w:szCs w:val="20"/>
          <w:color w:val="auto"/>
        </w:rPr>
      </w:pPr>
      <w:r>
        <w:rPr>
          <w:sz w:val="20"/>
          <w:szCs w:val="20"/>
          <w:color w:val="auto"/>
        </w:rPr>
        <w:br w:type="column"/>
      </w:r>
    </w:p>
    <w:p>
      <w:pPr>
        <w:ind w:left="146" w:right="60" w:hanging="146"/>
        <w:spacing w:after="0" w:line="241" w:lineRule="auto"/>
        <w:tabs>
          <w:tab w:leader="none" w:pos="176" w:val="left"/>
        </w:tabs>
        <w:numPr>
          <w:ilvl w:val="0"/>
          <w:numId w:val="117"/>
        </w:numPr>
        <w:rPr>
          <w:rFonts w:ascii="Arial" w:cs="Arial" w:eastAsia="Arial" w:hAnsi="Arial"/>
          <w:sz w:val="12"/>
          <w:szCs w:val="12"/>
          <w:color w:val="auto"/>
        </w:rPr>
      </w:pPr>
      <w:r>
        <w:rPr>
          <w:rFonts w:ascii="Arial" w:cs="Arial" w:eastAsia="Arial" w:hAnsi="Arial"/>
          <w:sz w:val="14"/>
          <w:szCs w:val="14"/>
          <w:color w:val="auto"/>
        </w:rPr>
        <w:t>Award levels are determined annually by REMCO and are set within the maximum approved in the policy.</w:t>
      </w:r>
    </w:p>
    <w:p>
      <w:pPr>
        <w:ind w:left="146" w:right="340" w:hanging="146"/>
        <w:spacing w:after="0" w:line="241" w:lineRule="auto"/>
        <w:tabs>
          <w:tab w:leader="none" w:pos="206" w:val="left"/>
        </w:tabs>
        <w:numPr>
          <w:ilvl w:val="0"/>
          <w:numId w:val="117"/>
        </w:numPr>
        <w:rPr>
          <w:rFonts w:ascii="Arial" w:cs="Arial" w:eastAsia="Arial" w:hAnsi="Arial"/>
          <w:sz w:val="12"/>
          <w:szCs w:val="12"/>
          <w:color w:val="auto"/>
        </w:rPr>
      </w:pPr>
      <w:r>
        <w:rPr>
          <w:rFonts w:ascii="Arial" w:cs="Arial" w:eastAsia="Arial" w:hAnsi="Arial"/>
          <w:sz w:val="14"/>
          <w:szCs w:val="14"/>
          <w:color w:val="auto"/>
        </w:rPr>
        <w:t>Awards may vest on the basis described in the notes below, between 0% and 200% of the initial award level depending on Shell’s performance against a comparator group.</w:t>
      </w:r>
    </w:p>
    <w:p>
      <w:pPr>
        <w:ind w:left="146" w:right="60" w:hanging="146"/>
        <w:spacing w:after="0" w:line="241" w:lineRule="auto"/>
        <w:tabs>
          <w:tab w:leader="none" w:pos="206" w:val="left"/>
        </w:tabs>
        <w:numPr>
          <w:ilvl w:val="0"/>
          <w:numId w:val="117"/>
        </w:numPr>
        <w:rPr>
          <w:rFonts w:ascii="Arial" w:cs="Arial" w:eastAsia="Arial" w:hAnsi="Arial"/>
          <w:sz w:val="12"/>
          <w:szCs w:val="12"/>
          <w:color w:val="auto"/>
        </w:rPr>
      </w:pPr>
      <w:r>
        <w:rPr>
          <w:rFonts w:ascii="Arial" w:cs="Arial" w:eastAsia="Arial" w:hAnsi="Arial"/>
          <w:sz w:val="14"/>
          <w:szCs w:val="14"/>
          <w:color w:val="auto"/>
        </w:rPr>
        <w:t>Although it is possible for no LTIP shares to vest, on current measures and weightings, 16% of the initial LTIP award would vest if there was a positive vesting outcome in respect of the lowest-weighted measure.</w:t>
      </w:r>
    </w:p>
    <w:p>
      <w:pPr>
        <w:spacing w:after="0" w:line="1" w:lineRule="exact"/>
        <w:rPr>
          <w:rFonts w:ascii="Arial" w:cs="Arial" w:eastAsia="Arial" w:hAnsi="Arial"/>
          <w:sz w:val="12"/>
          <w:szCs w:val="12"/>
          <w:color w:val="auto"/>
        </w:rPr>
      </w:pPr>
    </w:p>
    <w:p>
      <w:pPr>
        <w:ind w:left="146" w:right="100" w:hanging="146"/>
        <w:spacing w:after="0" w:line="241" w:lineRule="auto"/>
        <w:tabs>
          <w:tab w:leader="none" w:pos="183" w:val="left"/>
        </w:tabs>
        <w:numPr>
          <w:ilvl w:val="0"/>
          <w:numId w:val="117"/>
        </w:numPr>
        <w:rPr>
          <w:rFonts w:ascii="Arial" w:cs="Arial" w:eastAsia="Arial" w:hAnsi="Arial"/>
          <w:sz w:val="12"/>
          <w:szCs w:val="12"/>
          <w:color w:val="auto"/>
        </w:rPr>
      </w:pPr>
      <w:r>
        <w:rPr>
          <w:rFonts w:ascii="Arial" w:cs="Arial" w:eastAsia="Arial" w:hAnsi="Arial"/>
          <w:sz w:val="14"/>
          <w:szCs w:val="14"/>
          <w:color w:val="auto"/>
        </w:rPr>
        <w:t>Performance is assessed over a three-year period based on relative growth of the following: total shareholder return (TSR)(30%), earnings per share (EPS) on a current cost of supplies basis (30%), return on average capital employed (ROACE)(20%) and net cash from operating activities (20%). Each measure can vest independently, but if the TSR measure does not result in vesting, then the total vesting level will be capped at 50% of the maximum payout.</w:t>
      </w:r>
    </w:p>
    <w:p>
      <w:pPr>
        <w:spacing w:after="0" w:line="1" w:lineRule="exact"/>
        <w:rPr>
          <w:rFonts w:ascii="Arial" w:cs="Arial" w:eastAsia="Arial" w:hAnsi="Arial"/>
          <w:sz w:val="12"/>
          <w:szCs w:val="12"/>
          <w:color w:val="auto"/>
        </w:rPr>
      </w:pPr>
    </w:p>
    <w:p>
      <w:pPr>
        <w:ind w:left="146" w:right="60" w:hanging="146"/>
        <w:spacing w:after="0" w:line="241" w:lineRule="auto"/>
        <w:tabs>
          <w:tab w:leader="none" w:pos="183" w:val="left"/>
        </w:tabs>
        <w:numPr>
          <w:ilvl w:val="0"/>
          <w:numId w:val="117"/>
        </w:numPr>
        <w:rPr>
          <w:rFonts w:ascii="Arial" w:cs="Arial" w:eastAsia="Arial" w:hAnsi="Arial"/>
          <w:sz w:val="12"/>
          <w:szCs w:val="12"/>
          <w:color w:val="auto"/>
        </w:rPr>
      </w:pPr>
      <w:r>
        <w:rPr>
          <w:rFonts w:ascii="Arial" w:cs="Arial" w:eastAsia="Arial" w:hAnsi="Arial"/>
          <w:sz w:val="14"/>
          <w:szCs w:val="14"/>
          <w:color w:val="auto"/>
        </w:rPr>
        <w:t>REMCO may adjust or change the LTIP measures, targets and weightings to ensure continued alignment with Shell’s strategy.</w:t>
      </w:r>
    </w:p>
    <w:p>
      <w:pPr>
        <w:ind w:left="146" w:right="400" w:hanging="146"/>
        <w:spacing w:after="0" w:line="241" w:lineRule="auto"/>
        <w:tabs>
          <w:tab w:leader="none" w:pos="206" w:val="left"/>
        </w:tabs>
        <w:numPr>
          <w:ilvl w:val="0"/>
          <w:numId w:val="117"/>
        </w:numPr>
        <w:rPr>
          <w:rFonts w:ascii="Arial" w:cs="Arial" w:eastAsia="Arial" w:hAnsi="Arial"/>
          <w:sz w:val="12"/>
          <w:szCs w:val="12"/>
          <w:color w:val="auto"/>
        </w:rPr>
      </w:pPr>
      <w:r>
        <w:rPr>
          <w:rFonts w:ascii="Arial" w:cs="Arial" w:eastAsia="Arial" w:hAnsi="Arial"/>
          <w:sz w:val="14"/>
          <w:szCs w:val="14"/>
          <w:color w:val="auto"/>
        </w:rPr>
        <w:t>Additional shares are released representing the value of dividends payable on the vested shares, as if these had been owned from the award date.</w:t>
      </w:r>
    </w:p>
    <w:p>
      <w:pPr>
        <w:ind w:left="146" w:right="260" w:hanging="146"/>
        <w:spacing w:after="0" w:line="241" w:lineRule="auto"/>
        <w:tabs>
          <w:tab w:leader="none" w:pos="214" w:val="left"/>
        </w:tabs>
        <w:numPr>
          <w:ilvl w:val="0"/>
          <w:numId w:val="117"/>
        </w:numPr>
        <w:rPr>
          <w:rFonts w:ascii="Arial" w:cs="Arial" w:eastAsia="Arial" w:hAnsi="Arial"/>
          <w:sz w:val="12"/>
          <w:szCs w:val="12"/>
          <w:color w:val="auto"/>
        </w:rPr>
      </w:pPr>
      <w:r>
        <w:rPr>
          <w:rFonts w:ascii="Arial" w:cs="Arial" w:eastAsia="Arial" w:hAnsi="Arial"/>
          <w:sz w:val="14"/>
          <w:szCs w:val="14"/>
          <w:color w:val="auto"/>
        </w:rPr>
        <w:t>Following payment of taxes, vested shares from LTIP awards must be held for a further two years to align with the strategic focus.</w:t>
      </w:r>
    </w:p>
    <w:p>
      <w:pPr>
        <w:ind w:left="206" w:hanging="206"/>
        <w:spacing w:after="0"/>
        <w:tabs>
          <w:tab w:leader="none" w:pos="206" w:val="left"/>
        </w:tabs>
        <w:numPr>
          <w:ilvl w:val="0"/>
          <w:numId w:val="117"/>
        </w:numPr>
        <w:rPr>
          <w:rFonts w:ascii="Arial" w:cs="Arial" w:eastAsia="Arial" w:hAnsi="Arial"/>
          <w:sz w:val="12"/>
          <w:szCs w:val="12"/>
          <w:color w:val="auto"/>
        </w:rPr>
      </w:pPr>
      <w:r>
        <w:rPr>
          <w:rFonts w:ascii="Arial" w:cs="Arial" w:eastAsia="Arial" w:hAnsi="Arial"/>
          <w:sz w:val="14"/>
          <w:szCs w:val="14"/>
          <w:color w:val="auto"/>
        </w:rPr>
        <w:t>LTIP shares are subject to malus and clawback.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-3267075</wp:posOffset>
            </wp:positionH>
            <wp:positionV relativeFrom="paragraph">
              <wp:posOffset>6350</wp:posOffset>
            </wp:positionV>
            <wp:extent cx="7246620" cy="889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3">
            <w:col w:w="3180" w:space="160"/>
            <w:col w:w="1620" w:space="194"/>
            <w:col w:w="6266"/>
          </w:cols>
          <w:pgMar w:left="240" w:top="459" w:right="239" w:bottom="1440" w:gutter="0" w:footer="0" w:header="0"/>
          <w:type w:val="continuous"/>
        </w:sectPr>
      </w:pPr>
    </w:p>
    <w:bookmarkStart w:id="94" w:name="page95"/>
    <w:bookmarkEnd w:id="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6471285</wp:posOffset>
            </wp:positionH>
            <wp:positionV relativeFrom="paragraph">
              <wp:posOffset>300355</wp:posOffset>
            </wp:positionV>
            <wp:extent cx="8890" cy="46291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8890" cy="462915"/>
                    </a:xfrm>
                    <a:prstGeom prst="rect">
                      <a:avLst/>
                    </a:prstGeom>
                    <a:noFill/>
                  </pic:spPr>
                </pic:pic>
              </a:graphicData>
            </a:graphic>
          </wp:anchor>
        </w:drawing>
      </w:r>
    </w:p>
    <w:p>
      <w:pPr>
        <w:spacing w:after="0" w:line="200" w:lineRule="exact"/>
        <w:rPr>
          <w:sz w:val="20"/>
          <w:szCs w:val="20"/>
          <w:color w:val="auto"/>
        </w:rPr>
      </w:pP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565"/>
        </w:trPr>
        <w:tc>
          <w:tcPr>
            <w:tcW w:w="80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160" w:type="dxa"/>
            <w:vAlign w:val="bottom"/>
            <w:shd w:val="clear" w:color="auto" w:fill="FF8B00"/>
          </w:tcPr>
          <w:p>
            <w:pPr>
              <w:ind w:left="940"/>
              <w:spacing w:after="0"/>
              <w:rPr>
                <w:sz w:val="20"/>
                <w:szCs w:val="20"/>
                <w:color w:val="auto"/>
              </w:rPr>
            </w:pPr>
            <w:r>
              <w:rPr>
                <w:rFonts w:ascii="Arial" w:cs="Arial" w:eastAsia="Arial" w:hAnsi="Arial"/>
                <w:sz w:val="13"/>
                <w:szCs w:val="13"/>
                <w:color w:val="333333"/>
              </w:rPr>
              <w:t>GOVERNANCE</w:t>
            </w:r>
          </w:p>
        </w:tc>
        <w:tc>
          <w:tcPr>
            <w:tcW w:w="1660" w:type="dxa"/>
            <w:vAlign w:val="bottom"/>
            <w:shd w:val="clear" w:color="auto" w:fill="FF8B00"/>
          </w:tcPr>
          <w:p>
            <w:pPr>
              <w:jc w:val="right"/>
              <w:ind w:right="306"/>
              <w:spacing w:after="0"/>
              <w:rPr>
                <w:sz w:val="20"/>
                <w:szCs w:val="20"/>
                <w:color w:val="auto"/>
              </w:rPr>
            </w:pPr>
            <w:r>
              <w:rPr>
                <w:rFonts w:ascii="Arial" w:cs="Arial" w:eastAsia="Arial" w:hAnsi="Arial"/>
                <w:sz w:val="11"/>
                <w:szCs w:val="11"/>
                <w:b w:val="1"/>
                <w:bCs w:val="1"/>
                <w:color w:val="333333"/>
              </w:rPr>
              <w:t>93</w:t>
            </w:r>
          </w:p>
        </w:tc>
        <w:tc>
          <w:tcPr>
            <w:tcW w:w="0" w:type="dxa"/>
            <w:vAlign w:val="bottom"/>
          </w:tcPr>
          <w:p>
            <w:pPr>
              <w:spacing w:after="0"/>
              <w:rPr>
                <w:sz w:val="1"/>
                <w:szCs w:val="1"/>
                <w:color w:val="auto"/>
              </w:rPr>
            </w:pPr>
          </w:p>
        </w:tc>
      </w:tr>
      <w:tr>
        <w:trPr>
          <w:trHeight w:val="165"/>
        </w:trPr>
        <w:tc>
          <w:tcPr>
            <w:tcW w:w="2960" w:type="dxa"/>
            <w:vAlign w:val="bottom"/>
            <w:gridSpan w:val="2"/>
            <w:vMerge w:val="restart"/>
          </w:tcPr>
          <w:p>
            <w:pPr>
              <w:spacing w:after="0"/>
              <w:rPr>
                <w:sz w:val="20"/>
                <w:szCs w:val="20"/>
                <w:color w:val="auto"/>
              </w:rPr>
            </w:pPr>
            <w:r>
              <w:rPr>
                <w:rFonts w:ascii="Arial" w:cs="Arial" w:eastAsia="Arial" w:hAnsi="Arial"/>
                <w:sz w:val="11"/>
                <w:szCs w:val="11"/>
                <w:color w:val="auto"/>
              </w:rPr>
              <w:t>SHELL ANNUAL REPORT AND FORM 20-F 2014</w:t>
            </w:r>
          </w:p>
        </w:tc>
        <w:tc>
          <w:tcPr>
            <w:tcW w:w="2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160" w:type="dxa"/>
            <w:vAlign w:val="bottom"/>
            <w:shd w:val="clear" w:color="auto" w:fill="FF8B00"/>
          </w:tcPr>
          <w:p>
            <w:pPr>
              <w:spacing w:after="0"/>
              <w:rPr>
                <w:sz w:val="14"/>
                <w:szCs w:val="14"/>
                <w:color w:val="auto"/>
              </w:rPr>
            </w:pPr>
          </w:p>
        </w:tc>
        <w:tc>
          <w:tcPr>
            <w:tcW w:w="1660" w:type="dxa"/>
            <w:vAlign w:val="bottom"/>
            <w:shd w:val="clear" w:color="auto" w:fill="FF8B00"/>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2960" w:type="dxa"/>
            <w:vAlign w:val="bottom"/>
            <w:gridSpan w:val="2"/>
            <w:vMerge w:val="continue"/>
          </w:tcPr>
          <w:p>
            <w:pPr>
              <w:spacing w:after="0"/>
              <w:rPr>
                <w:sz w:val="10"/>
                <w:szCs w:val="10"/>
                <w:color w:val="auto"/>
              </w:rPr>
            </w:pPr>
          </w:p>
        </w:tc>
        <w:tc>
          <w:tcPr>
            <w:tcW w:w="2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160" w:type="dxa"/>
            <w:vAlign w:val="bottom"/>
          </w:tcPr>
          <w:p>
            <w:pPr>
              <w:ind w:left="940"/>
              <w:spacing w:after="0" w:line="122" w:lineRule="exact"/>
              <w:rPr>
                <w:sz w:val="20"/>
                <w:szCs w:val="20"/>
                <w:color w:val="auto"/>
              </w:rPr>
            </w:pPr>
            <w:r>
              <w:rPr>
                <w:rFonts w:ascii="Arial" w:cs="Arial" w:eastAsia="Arial" w:hAnsi="Arial"/>
                <w:sz w:val="11"/>
                <w:szCs w:val="11"/>
                <w:color w:val="auto"/>
              </w:rPr>
              <w:t>DIRECTORS’ REMUNERATION REPORT</w:t>
            </w:r>
          </w:p>
        </w:tc>
        <w:tc>
          <w:tcPr>
            <w:tcW w:w="16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5480" w:type="dxa"/>
            <w:vAlign w:val="bottom"/>
            <w:gridSpan w:val="3"/>
            <w:shd w:val="clear" w:color="auto" w:fill="333333"/>
          </w:tcPr>
          <w:p>
            <w:pPr>
              <w:ind w:left="80"/>
              <w:spacing w:after="0" w:line="162" w:lineRule="exact"/>
              <w:rPr>
                <w:sz w:val="20"/>
                <w:szCs w:val="20"/>
                <w:color w:val="auto"/>
              </w:rPr>
            </w:pPr>
            <w:r>
              <w:rPr>
                <w:rFonts w:ascii="Arial" w:cs="Arial" w:eastAsia="Arial" w:hAnsi="Arial"/>
                <w:sz w:val="15"/>
                <w:szCs w:val="15"/>
                <w:b w:val="1"/>
                <w:bCs w:val="1"/>
                <w:color w:val="FFFFFF"/>
              </w:rPr>
              <w:t xml:space="preserve">EXECUTIVE DIRECTORS’ REMUNERATION POLICY TABLE </w:t>
            </w:r>
            <w:r>
              <w:rPr>
                <w:rFonts w:ascii="Arial" w:cs="Arial" w:eastAsia="Arial" w:hAnsi="Arial"/>
                <w:sz w:val="15"/>
                <w:szCs w:val="15"/>
                <w:color w:val="FFFFFF"/>
              </w:rPr>
              <w:t>(CONTINUED)</w:t>
            </w:r>
          </w:p>
        </w:tc>
        <w:tc>
          <w:tcPr>
            <w:tcW w:w="120" w:type="dxa"/>
            <w:vAlign w:val="bottom"/>
            <w:shd w:val="clear" w:color="auto" w:fill="333333"/>
          </w:tcPr>
          <w:p>
            <w:pPr>
              <w:spacing w:after="0"/>
              <w:rPr>
                <w:sz w:val="14"/>
                <w:szCs w:val="14"/>
                <w:color w:val="auto"/>
              </w:rPr>
            </w:pPr>
          </w:p>
        </w:tc>
        <w:tc>
          <w:tcPr>
            <w:tcW w:w="4160" w:type="dxa"/>
            <w:vAlign w:val="bottom"/>
            <w:shd w:val="clear" w:color="auto" w:fill="333333"/>
          </w:tcPr>
          <w:p>
            <w:pPr>
              <w:spacing w:after="0"/>
              <w:rPr>
                <w:sz w:val="14"/>
                <w:szCs w:val="14"/>
                <w:color w:val="auto"/>
              </w:rPr>
            </w:pPr>
          </w:p>
        </w:tc>
        <w:tc>
          <w:tcPr>
            <w:tcW w:w="1660" w:type="dxa"/>
            <w:vAlign w:val="bottom"/>
            <w:shd w:val="clear" w:color="auto" w:fill="333333"/>
          </w:tcPr>
          <w:p>
            <w:pPr>
              <w:spacing w:after="0"/>
              <w:rPr>
                <w:sz w:val="14"/>
                <w:szCs w:val="14"/>
                <w:color w:val="auto"/>
              </w:rPr>
            </w:pPr>
          </w:p>
        </w:tc>
        <w:tc>
          <w:tcPr>
            <w:tcW w:w="0" w:type="dxa"/>
            <w:vAlign w:val="bottom"/>
          </w:tcPr>
          <w:p>
            <w:pPr>
              <w:spacing w:after="0"/>
              <w:rPr>
                <w:sz w:val="1"/>
                <w:szCs w:val="1"/>
                <w:color w:val="auto"/>
              </w:rPr>
            </w:pPr>
          </w:p>
        </w:tc>
      </w:tr>
      <w:tr>
        <w:trPr>
          <w:trHeight w:val="152"/>
        </w:trPr>
        <w:tc>
          <w:tcPr>
            <w:tcW w:w="800" w:type="dxa"/>
            <w:vAlign w:val="bottom"/>
          </w:tcPr>
          <w:p>
            <w:pPr>
              <w:spacing w:after="0"/>
              <w:rPr>
                <w:sz w:val="20"/>
                <w:szCs w:val="20"/>
                <w:color w:val="auto"/>
              </w:rPr>
            </w:pPr>
            <w:r>
              <w:rPr>
                <w:rFonts w:ascii="Arial" w:cs="Arial" w:eastAsia="Arial" w:hAnsi="Arial"/>
                <w:sz w:val="13"/>
                <w:szCs w:val="13"/>
                <w:color w:val="auto"/>
              </w:rPr>
              <w:t>Element</w:t>
            </w:r>
          </w:p>
        </w:tc>
        <w:tc>
          <w:tcPr>
            <w:tcW w:w="2160" w:type="dxa"/>
            <w:vAlign w:val="bottom"/>
          </w:tcPr>
          <w:p>
            <w:pPr>
              <w:ind w:left="320"/>
              <w:spacing w:after="0"/>
              <w:rPr>
                <w:sz w:val="20"/>
                <w:szCs w:val="20"/>
                <w:color w:val="auto"/>
              </w:rPr>
            </w:pPr>
            <w:r>
              <w:rPr>
                <w:rFonts w:ascii="Arial" w:cs="Arial" w:eastAsia="Arial" w:hAnsi="Arial"/>
                <w:sz w:val="13"/>
                <w:szCs w:val="13"/>
                <w:color w:val="auto"/>
              </w:rPr>
              <w:t>Purpose and link to strategy</w:t>
            </w:r>
          </w:p>
        </w:tc>
        <w:tc>
          <w:tcPr>
            <w:tcW w:w="2520" w:type="dxa"/>
            <w:vAlign w:val="bottom"/>
          </w:tcPr>
          <w:p>
            <w:pPr>
              <w:ind w:left="280"/>
              <w:spacing w:after="0"/>
              <w:rPr>
                <w:sz w:val="20"/>
                <w:szCs w:val="20"/>
                <w:color w:val="auto"/>
              </w:rPr>
            </w:pPr>
            <w:r>
              <w:rPr>
                <w:rFonts w:ascii="Arial" w:cs="Arial" w:eastAsia="Arial" w:hAnsi="Arial"/>
                <w:sz w:val="13"/>
                <w:szCs w:val="13"/>
                <w:color w:val="auto"/>
              </w:rPr>
              <w:t>Maximum opportunity</w:t>
            </w:r>
          </w:p>
        </w:tc>
        <w:tc>
          <w:tcPr>
            <w:tcW w:w="4280" w:type="dxa"/>
            <w:vAlign w:val="bottom"/>
            <w:gridSpan w:val="2"/>
          </w:tcPr>
          <w:p>
            <w:pPr>
              <w:ind w:left="60"/>
              <w:spacing w:after="0"/>
              <w:rPr>
                <w:sz w:val="20"/>
                <w:szCs w:val="20"/>
                <w:color w:val="auto"/>
              </w:rPr>
            </w:pPr>
            <w:r>
              <w:rPr>
                <w:rFonts w:ascii="Arial" w:cs="Arial" w:eastAsia="Arial" w:hAnsi="Arial"/>
                <w:sz w:val="13"/>
                <w:szCs w:val="13"/>
                <w:color w:val="auto"/>
              </w:rPr>
              <w:t>Operation and performance measurement</w:t>
            </w:r>
          </w:p>
        </w:tc>
        <w:tc>
          <w:tcPr>
            <w:tcW w:w="166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7246620" cy="889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p>
      <w:pPr>
        <w:spacing w:after="0" w:line="1" w:lineRule="exact"/>
        <w:rPr>
          <w:sz w:val="20"/>
          <w:szCs w:val="20"/>
          <w:color w:val="auto"/>
        </w:rPr>
      </w:pPr>
    </w:p>
    <w:p>
      <w:pPr>
        <w:spacing w:after="0"/>
        <w:tabs>
          <w:tab w:leader="none" w:pos="1100" w:val="left"/>
        </w:tabs>
        <w:rPr>
          <w:sz w:val="20"/>
          <w:szCs w:val="20"/>
          <w:color w:val="auto"/>
        </w:rPr>
      </w:pPr>
      <w:r>
        <w:rPr>
          <w:rFonts w:ascii="Arial" w:cs="Arial" w:eastAsia="Arial" w:hAnsi="Arial"/>
          <w:sz w:val="14"/>
          <w:szCs w:val="14"/>
          <w:color w:val="auto"/>
        </w:rPr>
        <w:t>Pensions</w:t>
      </w:r>
      <w:r>
        <w:rPr>
          <w:sz w:val="20"/>
          <w:szCs w:val="20"/>
          <w:color w:val="auto"/>
        </w:rPr>
        <w:tab/>
      </w:r>
      <w:r>
        <w:rPr>
          <w:rFonts w:ascii="Arial" w:cs="Arial" w:eastAsia="Arial" w:hAnsi="Arial"/>
          <w:sz w:val="14"/>
          <w:szCs w:val="14"/>
          <w:color w:val="auto"/>
        </w:rPr>
        <w:t>Provides a competitive</w:t>
      </w:r>
    </w:p>
    <w:p>
      <w:pPr>
        <w:spacing w:after="0" w:line="1" w:lineRule="exact"/>
        <w:rPr>
          <w:sz w:val="20"/>
          <w:szCs w:val="20"/>
          <w:color w:val="auto"/>
        </w:rPr>
      </w:pPr>
    </w:p>
    <w:p>
      <w:pPr>
        <w:ind w:left="1120"/>
        <w:spacing w:after="0" w:line="247" w:lineRule="auto"/>
        <w:rPr>
          <w:sz w:val="20"/>
          <w:szCs w:val="20"/>
          <w:color w:val="auto"/>
        </w:rPr>
      </w:pPr>
      <w:r>
        <w:rPr>
          <w:rFonts w:ascii="Arial" w:cs="Arial" w:eastAsia="Arial" w:hAnsi="Arial"/>
          <w:sz w:val="14"/>
          <w:szCs w:val="14"/>
          <w:color w:val="auto"/>
        </w:rPr>
        <w:t>retirement provision in line with the individual’s base country benefits policy, to attract and retain Executive Directors.</w:t>
      </w:r>
    </w:p>
    <w:p>
      <w:pPr>
        <w:spacing w:after="0" w:line="202" w:lineRule="exact"/>
        <w:rPr>
          <w:sz w:val="20"/>
          <w:szCs w:val="20"/>
          <w:color w:val="auto"/>
        </w:rPr>
      </w:pPr>
    </w:p>
    <w:p>
      <w:pPr>
        <w:ind w:left="1120"/>
        <w:spacing w:after="0" w:line="245" w:lineRule="auto"/>
        <w:rPr>
          <w:sz w:val="20"/>
          <w:szCs w:val="20"/>
          <w:color w:val="auto"/>
        </w:rPr>
      </w:pPr>
      <w:r>
        <w:rPr>
          <w:rFonts w:ascii="Arial" w:cs="Arial" w:eastAsia="Arial" w:hAnsi="Arial"/>
          <w:sz w:val="14"/>
          <w:szCs w:val="14"/>
          <w:color w:val="auto"/>
        </w:rPr>
        <w:t>Pensions provide a stable income after Shell employment, allowing Executive Directors to focus on delivering performance.</w:t>
      </w:r>
    </w:p>
    <w:p>
      <w:pPr>
        <w:spacing w:after="0" w:line="20" w:lineRule="exact"/>
        <w:rPr>
          <w:sz w:val="20"/>
          <w:szCs w:val="20"/>
          <w:color w:val="auto"/>
        </w:rPr>
      </w:pPr>
      <w:r>
        <w:rPr>
          <w:sz w:val="20"/>
          <w:szCs w:val="20"/>
          <w:color w:val="auto"/>
        </w:rPr>
        <w:br w:type="column"/>
      </w:r>
    </w:p>
    <w:p>
      <w:pPr>
        <w:spacing w:after="0" w:line="243" w:lineRule="auto"/>
        <w:rPr>
          <w:sz w:val="20"/>
          <w:szCs w:val="20"/>
          <w:color w:val="auto"/>
        </w:rPr>
      </w:pPr>
      <w:r>
        <w:rPr>
          <w:rFonts w:ascii="Arial" w:cs="Arial" w:eastAsia="Arial" w:hAnsi="Arial"/>
          <w:sz w:val="14"/>
          <w:szCs w:val="14"/>
          <w:color w:val="auto"/>
        </w:rPr>
        <w:t>By reference to pensionable base salary, pension accrual and contribution rates and other pensionable elements, as determined by the rules of the base country pension plan of which the Executive Director is a member.</w:t>
      </w:r>
    </w:p>
    <w:p>
      <w:pPr>
        <w:spacing w:after="0" w:line="20" w:lineRule="exact"/>
        <w:rPr>
          <w:sz w:val="20"/>
          <w:szCs w:val="20"/>
          <w:color w:val="auto"/>
        </w:rPr>
      </w:pPr>
      <w:r>
        <w:rPr>
          <w:sz w:val="20"/>
          <w:szCs w:val="20"/>
          <w:color w:val="auto"/>
        </w:rPr>
        <w:br w:type="column"/>
      </w:r>
    </w:p>
    <w:p>
      <w:pPr>
        <w:ind w:right="120"/>
        <w:spacing w:after="0" w:line="244" w:lineRule="auto"/>
        <w:rPr>
          <w:sz w:val="20"/>
          <w:szCs w:val="20"/>
          <w:color w:val="auto"/>
        </w:rPr>
      </w:pPr>
      <w:r>
        <w:rPr>
          <w:rFonts w:ascii="Arial" w:cs="Arial" w:eastAsia="Arial" w:hAnsi="Arial"/>
          <w:sz w:val="14"/>
          <w:szCs w:val="14"/>
          <w:color w:val="auto"/>
        </w:rPr>
        <w:t>Executive Directors’ retirement benefits are maintained in their base country pension arrangements. Only base salary is pensionable, unless country plan regulations specify otherwise. The rules of the relevant plans detail the pension benefits which members can receive on retirement (including on ill-health), death or leaving service. REMCO retains the right to amend the form of any Executive Director’s pension arrangements in response to changes in legislation, so as to ensure that the original objective of this element of remuneration is preserved.</w:t>
      </w:r>
    </w:p>
    <w:p>
      <w:pPr>
        <w:spacing w:after="0" w:line="205" w:lineRule="exact"/>
        <w:rPr>
          <w:sz w:val="20"/>
          <w:szCs w:val="20"/>
          <w:color w:val="auto"/>
        </w:rPr>
      </w:pPr>
    </w:p>
    <w:p>
      <w:pPr>
        <w:ind w:right="40"/>
        <w:spacing w:after="0" w:line="245" w:lineRule="auto"/>
        <w:rPr>
          <w:sz w:val="20"/>
          <w:szCs w:val="20"/>
          <w:color w:val="auto"/>
        </w:rPr>
      </w:pPr>
      <w:r>
        <w:rPr>
          <w:rFonts w:ascii="Arial" w:cs="Arial" w:eastAsia="Arial" w:hAnsi="Arial"/>
          <w:sz w:val="14"/>
          <w:szCs w:val="14"/>
          <w:color w:val="auto"/>
        </w:rPr>
        <w:t>Pensionable base salaries are reviewed annually. For Executive Directors employed outside of their base country, euro base salaries are translated into their home currencies for pension plan purposes. Once their salaries are denominated in base country currency, they are maintained in line with euro base salary increases taking into account exchange rate fluctuations and other factors as determined by REMCO.</w:t>
      </w:r>
    </w:p>
    <w:p>
      <w:pPr>
        <w:spacing w:after="0" w:line="1" w:lineRule="exact"/>
        <w:rPr>
          <w:sz w:val="20"/>
          <w:szCs w:val="20"/>
          <w:color w:val="auto"/>
        </w:rPr>
      </w:pPr>
    </w:p>
    <w:p>
      <w:pPr>
        <w:sectPr>
          <w:pgSz w:w="11900" w:h="16838" w:orient="portrait"/>
          <w:cols w:equalWidth="0" w:num="3">
            <w:col w:w="3100" w:space="140"/>
            <w:col w:w="2140" w:space="160"/>
            <w:col w:w="5880"/>
          </w:cols>
          <w:pgMar w:left="240" w:top="459" w:right="239" w:bottom="1440" w:gutter="0" w:footer="0" w:header="0"/>
          <w:type w:val="continuous"/>
        </w:sectPr>
      </w:pPr>
    </w:p>
    <w:tbl>
      <w:tblPr>
        <w:tblLayout w:type="fixed"/>
        <w:tblInd w:w="0" w:type="dxa"/>
        <w:tblCellMar>
          <w:top w:w="0" w:type="dxa"/>
          <w:left w:w="0" w:type="dxa"/>
          <w:bottom w:w="0" w:type="dxa"/>
          <w:right w:w="0" w:type="dxa"/>
        </w:tblCellMar>
      </w:tblPr>
      <w:tr>
        <w:trPr>
          <w:trHeight w:val="158"/>
        </w:trPr>
        <w:tc>
          <w:tcPr>
            <w:tcW w:w="980" w:type="dxa"/>
            <w:vAlign w:val="bottom"/>
            <w:tcBorders>
              <w:top w:val="single" w:sz="8" w:color="auto"/>
            </w:tcBorders>
          </w:tcPr>
          <w:p>
            <w:pPr>
              <w:spacing w:after="0" w:line="158" w:lineRule="exact"/>
              <w:rPr>
                <w:sz w:val="20"/>
                <w:szCs w:val="20"/>
                <w:color w:val="auto"/>
              </w:rPr>
            </w:pPr>
            <w:r>
              <w:rPr>
                <w:rFonts w:ascii="Arial" w:cs="Arial" w:eastAsia="Arial" w:hAnsi="Arial"/>
                <w:sz w:val="14"/>
                <w:szCs w:val="14"/>
                <w:color w:val="auto"/>
              </w:rPr>
              <w:t>Shareholding</w:t>
            </w:r>
          </w:p>
        </w:tc>
        <w:tc>
          <w:tcPr>
            <w:tcW w:w="2100" w:type="dxa"/>
            <w:vAlign w:val="bottom"/>
            <w:tcBorders>
              <w:top w:val="single" w:sz="8" w:color="auto"/>
            </w:tcBorders>
          </w:tcPr>
          <w:p>
            <w:pPr>
              <w:ind w:left="140"/>
              <w:spacing w:after="0" w:line="158" w:lineRule="exact"/>
              <w:rPr>
                <w:sz w:val="20"/>
                <w:szCs w:val="20"/>
                <w:color w:val="auto"/>
              </w:rPr>
            </w:pPr>
            <w:r>
              <w:rPr>
                <w:rFonts w:ascii="Arial" w:cs="Arial" w:eastAsia="Arial" w:hAnsi="Arial"/>
                <w:sz w:val="14"/>
                <w:szCs w:val="14"/>
                <w:color w:val="auto"/>
              </w:rPr>
              <w:t>Aligns interests of Executive</w:t>
            </w:r>
          </w:p>
        </w:tc>
        <w:tc>
          <w:tcPr>
            <w:tcW w:w="2360" w:type="dxa"/>
            <w:vAlign w:val="bottom"/>
            <w:tcBorders>
              <w:top w:val="single" w:sz="8" w:color="auto"/>
            </w:tcBorders>
          </w:tcPr>
          <w:p>
            <w:pPr>
              <w:ind w:left="160"/>
              <w:spacing w:after="0" w:line="158" w:lineRule="exact"/>
              <w:rPr>
                <w:sz w:val="20"/>
                <w:szCs w:val="20"/>
                <w:color w:val="auto"/>
              </w:rPr>
            </w:pPr>
            <w:r>
              <w:rPr>
                <w:rFonts w:ascii="Arial" w:cs="Arial" w:eastAsia="Arial" w:hAnsi="Arial"/>
                <w:sz w:val="14"/>
                <w:szCs w:val="14"/>
                <w:color w:val="auto"/>
              </w:rPr>
              <w:t>Shareholding (% of base salary):</w:t>
            </w:r>
          </w:p>
        </w:tc>
        <w:tc>
          <w:tcPr>
            <w:tcW w:w="5980" w:type="dxa"/>
            <w:vAlign w:val="bottom"/>
            <w:tcBorders>
              <w:top w:val="single" w:sz="8" w:color="auto"/>
            </w:tcBorders>
          </w:tcPr>
          <w:p>
            <w:pPr>
              <w:ind w:left="100"/>
              <w:spacing w:after="0" w:line="158" w:lineRule="exact"/>
              <w:rPr>
                <w:sz w:val="20"/>
                <w:szCs w:val="20"/>
                <w:color w:val="auto"/>
              </w:rPr>
            </w:pPr>
            <w:r>
              <w:rPr>
                <w:rFonts w:ascii="Arial" w:cs="Arial" w:eastAsia="Arial" w:hAnsi="Arial"/>
                <w:sz w:val="14"/>
                <w:szCs w:val="14"/>
                <w:color w:val="auto"/>
              </w:rPr>
              <w:t>Executive Directors are expected to build up their shareholding to the required level over a</w:t>
            </w:r>
          </w:p>
        </w:tc>
      </w:tr>
      <w:tr>
        <w:trPr>
          <w:trHeight w:val="162"/>
        </w:trPr>
        <w:tc>
          <w:tcPr>
            <w:tcW w:w="980" w:type="dxa"/>
            <w:vAlign w:val="bottom"/>
          </w:tcPr>
          <w:p>
            <w:pPr>
              <w:spacing w:after="0"/>
              <w:rPr>
                <w:sz w:val="14"/>
                <w:szCs w:val="14"/>
                <w:color w:val="auto"/>
              </w:rPr>
            </w:pPr>
          </w:p>
        </w:tc>
        <w:tc>
          <w:tcPr>
            <w:tcW w:w="2100" w:type="dxa"/>
            <w:vAlign w:val="bottom"/>
          </w:tcPr>
          <w:p>
            <w:pPr>
              <w:ind w:left="140"/>
              <w:spacing w:after="0"/>
              <w:rPr>
                <w:sz w:val="20"/>
                <w:szCs w:val="20"/>
                <w:color w:val="auto"/>
              </w:rPr>
            </w:pPr>
            <w:r>
              <w:rPr>
                <w:rFonts w:ascii="Arial" w:cs="Arial" w:eastAsia="Arial" w:hAnsi="Arial"/>
                <w:sz w:val="14"/>
                <w:szCs w:val="14"/>
                <w:color w:val="auto"/>
              </w:rPr>
              <w:t>Directors with those of</w:t>
            </w:r>
          </w:p>
        </w:tc>
        <w:tc>
          <w:tcPr>
            <w:tcW w:w="2360" w:type="dxa"/>
            <w:vAlign w:val="bottom"/>
          </w:tcPr>
          <w:p>
            <w:pPr>
              <w:ind w:left="160"/>
              <w:spacing w:after="0"/>
              <w:rPr>
                <w:sz w:val="20"/>
                <w:szCs w:val="20"/>
                <w:color w:val="auto"/>
              </w:rPr>
            </w:pPr>
            <w:r>
              <w:rPr>
                <w:rFonts w:ascii="Arial" w:cs="Arial" w:eastAsia="Arial" w:hAnsi="Arial"/>
                <w:sz w:val="12"/>
                <w:szCs w:val="12"/>
                <w:color w:val="auto"/>
              </w:rPr>
              <w:t xml:space="preserve">n   </w:t>
            </w:r>
            <w:r>
              <w:rPr>
                <w:rFonts w:ascii="Arial" w:cs="Arial" w:eastAsia="Arial" w:hAnsi="Arial"/>
                <w:sz w:val="14"/>
                <w:szCs w:val="14"/>
                <w:color w:val="auto"/>
              </w:rPr>
              <w:t>Chief Executive Officer: 700%</w:t>
            </w:r>
          </w:p>
        </w:tc>
        <w:tc>
          <w:tcPr>
            <w:tcW w:w="5980" w:type="dxa"/>
            <w:vAlign w:val="bottom"/>
          </w:tcPr>
          <w:p>
            <w:pPr>
              <w:ind w:left="100"/>
              <w:spacing w:after="0"/>
              <w:rPr>
                <w:sz w:val="20"/>
                <w:szCs w:val="20"/>
                <w:color w:val="auto"/>
              </w:rPr>
            </w:pPr>
            <w:r>
              <w:rPr>
                <w:rFonts w:ascii="Arial" w:cs="Arial" w:eastAsia="Arial" w:hAnsi="Arial"/>
                <w:sz w:val="14"/>
                <w:szCs w:val="14"/>
                <w:color w:val="auto"/>
              </w:rPr>
              <w:t>period of five years from appointment and, once reached, to maintain this level for the full</w:t>
            </w:r>
          </w:p>
        </w:tc>
      </w:tr>
      <w:tr>
        <w:trPr>
          <w:trHeight w:val="162"/>
        </w:trPr>
        <w:tc>
          <w:tcPr>
            <w:tcW w:w="980" w:type="dxa"/>
            <w:vAlign w:val="bottom"/>
          </w:tcPr>
          <w:p>
            <w:pPr>
              <w:spacing w:after="0"/>
              <w:rPr>
                <w:sz w:val="14"/>
                <w:szCs w:val="14"/>
                <w:color w:val="auto"/>
              </w:rPr>
            </w:pPr>
          </w:p>
        </w:tc>
        <w:tc>
          <w:tcPr>
            <w:tcW w:w="2100" w:type="dxa"/>
            <w:vAlign w:val="bottom"/>
          </w:tcPr>
          <w:p>
            <w:pPr>
              <w:ind w:left="140"/>
              <w:spacing w:after="0"/>
              <w:rPr>
                <w:sz w:val="20"/>
                <w:szCs w:val="20"/>
                <w:color w:val="auto"/>
              </w:rPr>
            </w:pPr>
            <w:r>
              <w:rPr>
                <w:rFonts w:ascii="Arial" w:cs="Arial" w:eastAsia="Arial" w:hAnsi="Arial"/>
                <w:sz w:val="14"/>
                <w:szCs w:val="14"/>
                <w:color w:val="auto"/>
              </w:rPr>
              <w:t>shareholders.</w:t>
            </w:r>
          </w:p>
        </w:tc>
        <w:tc>
          <w:tcPr>
            <w:tcW w:w="8340" w:type="dxa"/>
            <w:vAlign w:val="bottom"/>
            <w:gridSpan w:val="2"/>
          </w:tcPr>
          <w:p>
            <w:pPr>
              <w:ind w:left="160"/>
              <w:spacing w:after="0"/>
              <w:rPr>
                <w:sz w:val="20"/>
                <w:szCs w:val="20"/>
                <w:color w:val="auto"/>
              </w:rPr>
            </w:pPr>
            <w:r>
              <w:rPr>
                <w:rFonts w:ascii="Arial" w:cs="Arial" w:eastAsia="Arial" w:hAnsi="Arial"/>
                <w:sz w:val="12"/>
                <w:szCs w:val="12"/>
                <w:color w:val="auto"/>
              </w:rPr>
              <w:t xml:space="preserve">n   </w:t>
            </w:r>
            <w:r>
              <w:rPr>
                <w:rFonts w:ascii="Arial" w:cs="Arial" w:eastAsia="Arial" w:hAnsi="Arial"/>
                <w:sz w:val="14"/>
                <w:szCs w:val="14"/>
                <w:color w:val="auto"/>
              </w:rPr>
              <w:t>Other Executive Directors: 400% period of their appointment. The intention is for the shareholding guideline to be reached</w:t>
            </w:r>
          </w:p>
        </w:tc>
      </w:tr>
      <w:tr>
        <w:trPr>
          <w:trHeight w:val="162"/>
        </w:trPr>
        <w:tc>
          <w:tcPr>
            <w:tcW w:w="98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5980" w:type="dxa"/>
            <w:vAlign w:val="bottom"/>
          </w:tcPr>
          <w:p>
            <w:pPr>
              <w:ind w:left="100"/>
              <w:spacing w:after="0"/>
              <w:rPr>
                <w:sz w:val="20"/>
                <w:szCs w:val="20"/>
                <w:color w:val="auto"/>
              </w:rPr>
            </w:pPr>
            <w:r>
              <w:rPr>
                <w:rFonts w:ascii="Arial" w:cs="Arial" w:eastAsia="Arial" w:hAnsi="Arial"/>
                <w:sz w:val="14"/>
                <w:szCs w:val="14"/>
                <w:color w:val="auto"/>
              </w:rPr>
              <w:t>through retention of vested shares from share plans. REMCO will monitor individual</w:t>
            </w:r>
          </w:p>
        </w:tc>
      </w:tr>
      <w:tr>
        <w:trPr>
          <w:trHeight w:val="162"/>
        </w:trPr>
        <w:tc>
          <w:tcPr>
            <w:tcW w:w="98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5980" w:type="dxa"/>
            <w:vAlign w:val="bottom"/>
          </w:tcPr>
          <w:p>
            <w:pPr>
              <w:ind w:left="100"/>
              <w:spacing w:after="0"/>
              <w:rPr>
                <w:sz w:val="20"/>
                <w:szCs w:val="20"/>
                <w:color w:val="auto"/>
              </w:rPr>
            </w:pPr>
            <w:r>
              <w:rPr>
                <w:rFonts w:ascii="Arial" w:cs="Arial" w:eastAsia="Arial" w:hAnsi="Arial"/>
                <w:sz w:val="14"/>
                <w:szCs w:val="14"/>
                <w:color w:val="auto"/>
              </w:rPr>
              <w:t>progress and retains the ability to adjust the guideline in special circumstances on an</w:t>
            </w:r>
          </w:p>
        </w:tc>
      </w:tr>
      <w:tr>
        <w:trPr>
          <w:trHeight w:val="157"/>
        </w:trPr>
        <w:tc>
          <w:tcPr>
            <w:tcW w:w="980" w:type="dxa"/>
            <w:vAlign w:val="bottom"/>
            <w:tcBorders>
              <w:bottom w:val="single" w:sz="8" w:color="auto"/>
            </w:tcBorders>
          </w:tcPr>
          <w:p>
            <w:pPr>
              <w:spacing w:after="0"/>
              <w:rPr>
                <w:sz w:val="13"/>
                <w:szCs w:val="13"/>
                <w:color w:val="auto"/>
              </w:rPr>
            </w:pPr>
          </w:p>
        </w:tc>
        <w:tc>
          <w:tcPr>
            <w:tcW w:w="2100" w:type="dxa"/>
            <w:vAlign w:val="bottom"/>
            <w:tcBorders>
              <w:bottom w:val="single" w:sz="8" w:color="auto"/>
            </w:tcBorders>
          </w:tcPr>
          <w:p>
            <w:pPr>
              <w:spacing w:after="0"/>
              <w:rPr>
                <w:sz w:val="13"/>
                <w:szCs w:val="13"/>
                <w:color w:val="auto"/>
              </w:rPr>
            </w:pPr>
          </w:p>
        </w:tc>
        <w:tc>
          <w:tcPr>
            <w:tcW w:w="2360" w:type="dxa"/>
            <w:vAlign w:val="bottom"/>
            <w:tcBorders>
              <w:bottom w:val="single" w:sz="8" w:color="auto"/>
            </w:tcBorders>
          </w:tcPr>
          <w:p>
            <w:pPr>
              <w:spacing w:after="0"/>
              <w:rPr>
                <w:sz w:val="13"/>
                <w:szCs w:val="13"/>
                <w:color w:val="auto"/>
              </w:rPr>
            </w:pPr>
          </w:p>
        </w:tc>
        <w:tc>
          <w:tcPr>
            <w:tcW w:w="5980" w:type="dxa"/>
            <w:vAlign w:val="bottom"/>
            <w:tcBorders>
              <w:bottom w:val="single" w:sz="8" w:color="auto"/>
            </w:tcBorders>
          </w:tcPr>
          <w:p>
            <w:pPr>
              <w:ind w:left="100"/>
              <w:spacing w:after="0" w:line="157" w:lineRule="exact"/>
              <w:rPr>
                <w:sz w:val="20"/>
                <w:szCs w:val="20"/>
                <w:color w:val="auto"/>
              </w:rPr>
            </w:pPr>
            <w:r>
              <w:rPr>
                <w:rFonts w:ascii="Arial" w:cs="Arial" w:eastAsia="Arial" w:hAnsi="Arial"/>
                <w:sz w:val="14"/>
                <w:szCs w:val="14"/>
                <w:color w:val="auto"/>
              </w:rPr>
              <w:t>individual basis.</w:t>
            </w:r>
          </w:p>
        </w:tc>
      </w:tr>
    </w:tbl>
    <w:p>
      <w:pPr>
        <w:spacing w:after="0" w:line="200" w:lineRule="exact"/>
        <w:rPr>
          <w:sz w:val="20"/>
          <w:szCs w:val="20"/>
          <w:color w:val="auto"/>
        </w:rPr>
      </w:pPr>
    </w:p>
    <w:p>
      <w:pPr>
        <w:sectPr>
          <w:pgSz w:w="11900" w:h="16838" w:orient="portrait"/>
          <w:cols w:equalWidth="0" w:num="1">
            <w:col w:w="11420"/>
          </w:cols>
          <w:pgMar w:left="240" w:top="459" w:right="239" w:bottom="1440" w:gutter="0" w:footer="0" w:header="0"/>
          <w:type w:val="continuous"/>
        </w:sectPr>
      </w:pP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color w:val="auto"/>
        </w:rPr>
        <w:t>Notes to the Executive Directors’ remuneration policy table</w:t>
      </w:r>
    </w:p>
    <w:p>
      <w:pPr>
        <w:spacing w:after="0" w:line="176" w:lineRule="exact"/>
        <w:rPr>
          <w:sz w:val="20"/>
          <w:szCs w:val="20"/>
          <w:color w:val="auto"/>
        </w:rPr>
      </w:pPr>
    </w:p>
    <w:p>
      <w:pPr>
        <w:spacing w:after="0"/>
        <w:rPr>
          <w:sz w:val="20"/>
          <w:szCs w:val="20"/>
          <w:color w:val="auto"/>
        </w:rPr>
      </w:pPr>
      <w:r>
        <w:rPr>
          <w:rFonts w:ascii="Arial" w:cs="Arial" w:eastAsia="Arial" w:hAnsi="Arial"/>
          <w:sz w:val="13"/>
          <w:szCs w:val="13"/>
          <w:color w:val="auto"/>
        </w:rPr>
        <w:t>BENEFITS</w:t>
      </w:r>
    </w:p>
    <w:p>
      <w:pPr>
        <w:spacing w:after="0" w:line="243" w:lineRule="auto"/>
        <w:rPr>
          <w:sz w:val="20"/>
          <w:szCs w:val="20"/>
          <w:color w:val="auto"/>
        </w:rPr>
      </w:pPr>
      <w:r>
        <w:rPr>
          <w:rFonts w:ascii="Arial" w:cs="Arial" w:eastAsia="Arial" w:hAnsi="Arial"/>
          <w:sz w:val="14"/>
          <w:szCs w:val="14"/>
          <w:color w:val="auto"/>
        </w:rPr>
        <w:t>Executive Directors are eligible to receive the standard benefits and allowances provided to employees in their country of employment. Personal loans or guarantees are not provided to Executive Directors. Those working outside of their base country are also eligible to receive specific benefits such as relocation support and school fees, consistent with Shell’s mobility policies. Tax gross-up/tax equalisation may also apply in limited circumstances to offset double taxation. Where the Executive Director was on an international assignment prior to board appointment, there may be payments on behalf of the Executive Director in subsequent years in the form of tax equalisation settlements. Post-retirement benefits may be applicable in certain countries.</w:t>
      </w:r>
    </w:p>
    <w:p>
      <w:pPr>
        <w:spacing w:after="0" w:line="329" w:lineRule="exact"/>
        <w:rPr>
          <w:sz w:val="20"/>
          <w:szCs w:val="20"/>
          <w:color w:val="auto"/>
        </w:rPr>
      </w:pPr>
    </w:p>
    <w:p>
      <w:pPr>
        <w:ind w:right="40"/>
        <w:spacing w:after="0" w:line="244" w:lineRule="auto"/>
        <w:rPr>
          <w:sz w:val="20"/>
          <w:szCs w:val="20"/>
          <w:color w:val="auto"/>
        </w:rPr>
      </w:pPr>
      <w:r>
        <w:rPr>
          <w:rFonts w:ascii="Arial" w:cs="Arial" w:eastAsia="Arial" w:hAnsi="Arial"/>
          <w:sz w:val="14"/>
          <w:szCs w:val="14"/>
          <w:color w:val="auto"/>
        </w:rPr>
        <w:t>Apart from the benefits described above, Executive Directors and Senior Management have access to a chauffeured car, the provision of home security, and occasional business-required spouse travel, which are generally considered legitimate business expenses rather than components of remuneration. Where these would be taxable in the UK, their values are included as taxable benefits in the single total figure of remuneration table.</w:t>
      </w:r>
    </w:p>
    <w:p>
      <w:pPr>
        <w:spacing w:after="0" w:line="151" w:lineRule="exact"/>
        <w:rPr>
          <w:sz w:val="20"/>
          <w:szCs w:val="20"/>
          <w:color w:val="auto"/>
        </w:rPr>
      </w:pPr>
    </w:p>
    <w:p>
      <w:pPr>
        <w:spacing w:after="0"/>
        <w:rPr>
          <w:sz w:val="20"/>
          <w:szCs w:val="20"/>
          <w:color w:val="auto"/>
        </w:rPr>
      </w:pPr>
      <w:r>
        <w:rPr>
          <w:rFonts w:ascii="Arial" w:cs="Arial" w:eastAsia="Arial" w:hAnsi="Arial"/>
          <w:sz w:val="13"/>
          <w:szCs w:val="13"/>
          <w:color w:val="auto"/>
        </w:rPr>
        <w:t>ANNUAL BONUS AND DEFERRED BONUS PLAN</w:t>
      </w:r>
    </w:p>
    <w:p>
      <w:pPr>
        <w:ind w:right="60"/>
        <w:spacing w:after="0" w:line="244" w:lineRule="auto"/>
        <w:rPr>
          <w:sz w:val="20"/>
          <w:szCs w:val="20"/>
          <w:color w:val="auto"/>
        </w:rPr>
      </w:pPr>
      <w:r>
        <w:rPr>
          <w:rFonts w:ascii="Arial" w:cs="Arial" w:eastAsia="Arial" w:hAnsi="Arial"/>
          <w:sz w:val="14"/>
          <w:szCs w:val="14"/>
          <w:color w:val="auto"/>
        </w:rPr>
        <w:t>REMCO uses the annual bonus to focus on short-term scorecard targets that the Board agrees each year as part of Shell’s Business Plan, and on individual performance against personal targets. Shell considers upfront disclosure of these targets in a meaningful manner to be commercially sensitive. The scorecard targets will be retrospectively disclosed in a future Directors’ Remuneration Report, when no longer deemed to be commercially sensitive.</w:t>
      </w:r>
    </w:p>
    <w:p>
      <w:pPr>
        <w:spacing w:after="0" w:line="179" w:lineRule="exact"/>
        <w:rPr>
          <w:sz w:val="20"/>
          <w:szCs w:val="20"/>
          <w:color w:val="auto"/>
        </w:rPr>
      </w:pPr>
    </w:p>
    <w:p>
      <w:pPr>
        <w:spacing w:after="0" w:line="244" w:lineRule="auto"/>
        <w:rPr>
          <w:sz w:val="20"/>
          <w:szCs w:val="20"/>
          <w:color w:val="auto"/>
        </w:rPr>
      </w:pPr>
      <w:r>
        <w:rPr>
          <w:rFonts w:ascii="Arial" w:cs="Arial" w:eastAsia="Arial" w:hAnsi="Arial"/>
          <w:sz w:val="14"/>
          <w:szCs w:val="14"/>
          <w:color w:val="auto"/>
        </w:rPr>
        <w:t>A scorecard with financial performance, operational excellence and sustainable development targets represents the link to business results. For 2015, the scorecard measures will consist of cash flow (30% weight), operational excellence (50% weight) and sustainable development (20% weight). Annual targets and weightings for each metric are set and approved by REMCO each year. The scorecard targets are stretching but realistic.</w:t>
      </w:r>
    </w:p>
    <w:p>
      <w:pPr>
        <w:spacing w:after="0" w:line="20" w:lineRule="exact"/>
        <w:rPr>
          <w:sz w:val="20"/>
          <w:szCs w:val="20"/>
          <w:color w:val="auto"/>
        </w:rPr>
      </w:pPr>
      <w:r>
        <w:rPr>
          <w:sz w:val="20"/>
          <w:szCs w:val="20"/>
          <w:color w:val="auto"/>
        </w:rPr>
        <w:br w:type="column"/>
      </w:r>
    </w:p>
    <w:p>
      <w:pPr>
        <w:spacing w:after="0" w:line="50"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2015 ANNUAL BONUS SCORECARD MEASURES FOR EXECUTIVE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-101600</wp:posOffset>
            </wp:positionV>
            <wp:extent cx="3473450" cy="889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347345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17780</wp:posOffset>
            </wp:positionV>
            <wp:extent cx="3473450" cy="4318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3473450" cy="43180"/>
                    </a:xfrm>
                    <a:prstGeom prst="rect">
                      <a:avLst/>
                    </a:prstGeom>
                    <a:noFill/>
                  </pic:spPr>
                </pic:pic>
              </a:graphicData>
            </a:graphic>
          </wp:anchor>
        </w:drawing>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281"/>
        </w:trPr>
        <w:tc>
          <w:tcPr>
            <w:tcW w:w="2620" w:type="dxa"/>
            <w:vAlign w:val="bottom"/>
            <w:shd w:val="clear" w:color="auto" w:fill="7F7F7F"/>
          </w:tcPr>
          <w:p>
            <w:pPr>
              <w:ind w:left="140"/>
              <w:spacing w:after="0"/>
              <w:rPr>
                <w:sz w:val="20"/>
                <w:szCs w:val="20"/>
                <w:color w:val="auto"/>
              </w:rPr>
            </w:pPr>
            <w:r>
              <w:rPr>
                <w:rFonts w:ascii="Arial" w:cs="Arial" w:eastAsia="Arial" w:hAnsi="Arial"/>
                <w:sz w:val="13"/>
                <w:szCs w:val="13"/>
                <w:b w:val="1"/>
                <w:bCs w:val="1"/>
                <w:color w:val="auto"/>
              </w:rPr>
              <w:t>30% weight</w:t>
            </w:r>
          </w:p>
        </w:tc>
        <w:tc>
          <w:tcPr>
            <w:tcW w:w="160" w:type="dxa"/>
            <w:vAlign w:val="bottom"/>
          </w:tcPr>
          <w:p>
            <w:pPr>
              <w:spacing w:after="0"/>
              <w:rPr>
                <w:sz w:val="24"/>
                <w:szCs w:val="24"/>
                <w:color w:val="auto"/>
              </w:rPr>
            </w:pPr>
          </w:p>
        </w:tc>
        <w:tc>
          <w:tcPr>
            <w:tcW w:w="2700" w:type="dxa"/>
            <w:vAlign w:val="bottom"/>
            <w:shd w:val="clear" w:color="auto" w:fill="7F7F7F"/>
          </w:tcPr>
          <w:p>
            <w:pPr>
              <w:ind w:left="200"/>
              <w:spacing w:after="0"/>
              <w:rPr>
                <w:sz w:val="20"/>
                <w:szCs w:val="20"/>
                <w:color w:val="auto"/>
              </w:rPr>
            </w:pPr>
            <w:r>
              <w:rPr>
                <w:rFonts w:ascii="Arial" w:cs="Arial" w:eastAsia="Arial" w:hAnsi="Arial"/>
                <w:sz w:val="13"/>
                <w:szCs w:val="13"/>
                <w:b w:val="1"/>
                <w:bCs w:val="1"/>
                <w:color w:val="auto"/>
              </w:rPr>
              <w:t>50% weight</w:t>
            </w:r>
          </w:p>
        </w:tc>
        <w:tc>
          <w:tcPr>
            <w:tcW w:w="0" w:type="dxa"/>
            <w:vAlign w:val="bottom"/>
          </w:tcPr>
          <w:p>
            <w:pPr>
              <w:spacing w:after="0"/>
              <w:rPr>
                <w:sz w:val="1"/>
                <w:szCs w:val="1"/>
                <w:color w:val="auto"/>
              </w:rPr>
            </w:pPr>
          </w:p>
        </w:tc>
      </w:tr>
      <w:tr>
        <w:trPr>
          <w:trHeight w:val="124"/>
        </w:trPr>
        <w:tc>
          <w:tcPr>
            <w:tcW w:w="2620" w:type="dxa"/>
            <w:vAlign w:val="bottom"/>
            <w:shd w:val="clear" w:color="auto" w:fill="7F7F7F"/>
          </w:tcPr>
          <w:p>
            <w:pPr>
              <w:spacing w:after="0"/>
              <w:rPr>
                <w:sz w:val="10"/>
                <w:szCs w:val="10"/>
                <w:color w:val="auto"/>
              </w:rPr>
            </w:pPr>
          </w:p>
        </w:tc>
        <w:tc>
          <w:tcPr>
            <w:tcW w:w="160" w:type="dxa"/>
            <w:vAlign w:val="bottom"/>
            <w:vMerge w:val="restart"/>
          </w:tcPr>
          <w:p>
            <w:pPr>
              <w:spacing w:after="0"/>
              <w:rPr>
                <w:sz w:val="10"/>
                <w:szCs w:val="10"/>
                <w:color w:val="auto"/>
              </w:rPr>
            </w:pPr>
          </w:p>
        </w:tc>
        <w:tc>
          <w:tcPr>
            <w:tcW w:w="2700" w:type="dxa"/>
            <w:vAlign w:val="bottom"/>
            <w:shd w:val="clear" w:color="auto" w:fill="7F7F7F"/>
          </w:tcPr>
          <w:p>
            <w:pPr>
              <w:spacing w:after="0"/>
              <w:rPr>
                <w:sz w:val="10"/>
                <w:szCs w:val="10"/>
                <w:color w:val="auto"/>
              </w:rPr>
            </w:pPr>
          </w:p>
        </w:tc>
        <w:tc>
          <w:tcPr>
            <w:tcW w:w="0" w:type="dxa"/>
            <w:vAlign w:val="bottom"/>
          </w:tcPr>
          <w:p>
            <w:pPr>
              <w:spacing w:after="0"/>
              <w:rPr>
                <w:sz w:val="1"/>
                <w:szCs w:val="1"/>
                <w:color w:val="auto"/>
              </w:rPr>
            </w:pPr>
          </w:p>
        </w:tc>
      </w:tr>
      <w:tr>
        <w:trPr>
          <w:trHeight w:val="145"/>
        </w:trPr>
        <w:tc>
          <w:tcPr>
            <w:tcW w:w="2620" w:type="dxa"/>
            <w:vAlign w:val="bottom"/>
            <w:shd w:val="clear" w:color="auto" w:fill="CCCCCC"/>
          </w:tcPr>
          <w:p>
            <w:pPr>
              <w:ind w:left="140"/>
              <w:spacing w:after="0" w:line="146" w:lineRule="exact"/>
              <w:rPr>
                <w:sz w:val="20"/>
                <w:szCs w:val="20"/>
                <w:color w:val="auto"/>
              </w:rPr>
            </w:pPr>
            <w:r>
              <w:rPr>
                <w:rFonts w:ascii="Arial" w:cs="Arial" w:eastAsia="Arial" w:hAnsi="Arial"/>
                <w:sz w:val="13"/>
                <w:szCs w:val="13"/>
                <w:b w:val="1"/>
                <w:bCs w:val="1"/>
                <w:color w:val="auto"/>
              </w:rPr>
              <w:t>Cash flow</w:t>
            </w:r>
          </w:p>
        </w:tc>
        <w:tc>
          <w:tcPr>
            <w:tcW w:w="160" w:type="dxa"/>
            <w:vAlign w:val="bottom"/>
            <w:vMerge w:val="continue"/>
          </w:tcPr>
          <w:p>
            <w:pPr>
              <w:spacing w:after="0"/>
              <w:rPr>
                <w:sz w:val="12"/>
                <w:szCs w:val="12"/>
                <w:color w:val="auto"/>
              </w:rPr>
            </w:pPr>
          </w:p>
        </w:tc>
        <w:tc>
          <w:tcPr>
            <w:tcW w:w="2700" w:type="dxa"/>
            <w:vAlign w:val="bottom"/>
            <w:shd w:val="clear" w:color="auto" w:fill="CCCCCC"/>
          </w:tcPr>
          <w:p>
            <w:pPr>
              <w:ind w:left="200"/>
              <w:spacing w:after="0" w:line="146" w:lineRule="exact"/>
              <w:rPr>
                <w:sz w:val="20"/>
                <w:szCs w:val="20"/>
                <w:color w:val="auto"/>
              </w:rPr>
            </w:pPr>
            <w:r>
              <w:rPr>
                <w:rFonts w:ascii="Arial" w:cs="Arial" w:eastAsia="Arial" w:hAnsi="Arial"/>
                <w:sz w:val="13"/>
                <w:szCs w:val="13"/>
                <w:b w:val="1"/>
                <w:bCs w:val="1"/>
                <w:color w:val="auto"/>
              </w:rPr>
              <w:t>Operational excellence</w:t>
            </w:r>
          </w:p>
        </w:tc>
        <w:tc>
          <w:tcPr>
            <w:tcW w:w="0" w:type="dxa"/>
            <w:vAlign w:val="bottom"/>
          </w:tcPr>
          <w:p>
            <w:pPr>
              <w:spacing w:after="0"/>
              <w:rPr>
                <w:sz w:val="1"/>
                <w:szCs w:val="1"/>
                <w:color w:val="auto"/>
              </w:rPr>
            </w:pPr>
          </w:p>
        </w:tc>
      </w:tr>
      <w:tr>
        <w:trPr>
          <w:trHeight w:val="122"/>
        </w:trPr>
        <w:tc>
          <w:tcPr>
            <w:tcW w:w="2620" w:type="dxa"/>
            <w:vAlign w:val="bottom"/>
            <w:shd w:val="clear" w:color="auto" w:fill="CCCCCC"/>
          </w:tcPr>
          <w:p>
            <w:pPr>
              <w:ind w:left="140"/>
              <w:spacing w:after="0" w:line="122" w:lineRule="exact"/>
              <w:rPr>
                <w:sz w:val="20"/>
                <w:szCs w:val="20"/>
                <w:color w:val="auto"/>
              </w:rPr>
            </w:pPr>
            <w:r>
              <w:rPr>
                <w:rFonts w:ascii="Arial" w:cs="Arial" w:eastAsia="Arial" w:hAnsi="Arial"/>
                <w:sz w:val="11"/>
                <w:szCs w:val="11"/>
                <w:color w:val="auto"/>
              </w:rPr>
              <w:t>Cash generated from operations that factors in the</w:t>
            </w:r>
          </w:p>
        </w:tc>
        <w:tc>
          <w:tcPr>
            <w:tcW w:w="160" w:type="dxa"/>
            <w:vAlign w:val="bottom"/>
          </w:tcPr>
          <w:p>
            <w:pPr>
              <w:spacing w:after="0"/>
              <w:rPr>
                <w:sz w:val="10"/>
                <w:szCs w:val="10"/>
                <w:color w:val="auto"/>
              </w:rPr>
            </w:pPr>
          </w:p>
        </w:tc>
        <w:tc>
          <w:tcPr>
            <w:tcW w:w="2700" w:type="dxa"/>
            <w:vAlign w:val="bottom"/>
            <w:shd w:val="clear" w:color="auto" w:fill="CCCCCC"/>
          </w:tcPr>
          <w:p>
            <w:pPr>
              <w:ind w:left="200"/>
              <w:spacing w:after="0"/>
              <w:rPr>
                <w:sz w:val="20"/>
                <w:szCs w:val="20"/>
                <w:color w:val="auto"/>
              </w:rPr>
            </w:pPr>
            <w:r>
              <w:rPr>
                <w:rFonts w:ascii="Arial" w:cs="Arial" w:eastAsia="Arial" w:hAnsi="Arial"/>
                <w:sz w:val="9"/>
                <w:szCs w:val="9"/>
                <w:color w:val="auto"/>
              </w:rPr>
              <w:t xml:space="preserve">n   </w:t>
            </w:r>
            <w:r>
              <w:rPr>
                <w:rFonts w:ascii="Arial" w:cs="Arial" w:eastAsia="Arial" w:hAnsi="Arial"/>
                <w:sz w:val="10"/>
                <w:szCs w:val="10"/>
                <w:color w:val="auto"/>
              </w:rPr>
              <w:t>Project delivery: indicator of Shell’s ability to</w:t>
            </w:r>
          </w:p>
        </w:tc>
        <w:tc>
          <w:tcPr>
            <w:tcW w:w="0" w:type="dxa"/>
            <w:vAlign w:val="bottom"/>
          </w:tcPr>
          <w:p>
            <w:pPr>
              <w:spacing w:after="0"/>
              <w:rPr>
                <w:sz w:val="1"/>
                <w:szCs w:val="1"/>
                <w:color w:val="auto"/>
              </w:rPr>
            </w:pPr>
          </w:p>
        </w:tc>
      </w:tr>
      <w:tr>
        <w:trPr>
          <w:trHeight w:val="122"/>
        </w:trPr>
        <w:tc>
          <w:tcPr>
            <w:tcW w:w="2620" w:type="dxa"/>
            <w:vAlign w:val="bottom"/>
            <w:shd w:val="clear" w:color="auto" w:fill="CCCCCC"/>
          </w:tcPr>
          <w:p>
            <w:pPr>
              <w:ind w:left="140"/>
              <w:spacing w:after="0" w:line="122" w:lineRule="exact"/>
              <w:rPr>
                <w:sz w:val="20"/>
                <w:szCs w:val="20"/>
                <w:color w:val="auto"/>
              </w:rPr>
            </w:pPr>
            <w:r>
              <w:rPr>
                <w:rFonts w:ascii="Arial" w:cs="Arial" w:eastAsia="Arial" w:hAnsi="Arial"/>
                <w:sz w:val="11"/>
                <w:szCs w:val="11"/>
                <w:color w:val="auto"/>
              </w:rPr>
              <w:t>impact of commodity price fluctuations as well as</w:t>
            </w:r>
          </w:p>
        </w:tc>
        <w:tc>
          <w:tcPr>
            <w:tcW w:w="160" w:type="dxa"/>
            <w:vAlign w:val="bottom"/>
          </w:tcPr>
          <w:p>
            <w:pPr>
              <w:spacing w:after="0"/>
              <w:rPr>
                <w:sz w:val="10"/>
                <w:szCs w:val="10"/>
                <w:color w:val="auto"/>
              </w:rPr>
            </w:pPr>
          </w:p>
        </w:tc>
        <w:tc>
          <w:tcPr>
            <w:tcW w:w="2700" w:type="dxa"/>
            <w:vAlign w:val="bottom"/>
            <w:shd w:val="clear" w:color="auto" w:fill="CCCCCC"/>
          </w:tcPr>
          <w:p>
            <w:pPr>
              <w:ind w:left="340"/>
              <w:spacing w:after="0" w:line="122" w:lineRule="exact"/>
              <w:rPr>
                <w:sz w:val="20"/>
                <w:szCs w:val="20"/>
                <w:color w:val="auto"/>
              </w:rPr>
            </w:pPr>
            <w:r>
              <w:rPr>
                <w:rFonts w:ascii="Arial" w:cs="Arial" w:eastAsia="Arial" w:hAnsi="Arial"/>
                <w:sz w:val="11"/>
                <w:szCs w:val="11"/>
                <w:color w:val="auto"/>
              </w:rPr>
              <w:t>deliver projects on-stream, on time, and on</w:t>
            </w:r>
          </w:p>
        </w:tc>
        <w:tc>
          <w:tcPr>
            <w:tcW w:w="0" w:type="dxa"/>
            <w:vAlign w:val="bottom"/>
          </w:tcPr>
          <w:p>
            <w:pPr>
              <w:spacing w:after="0"/>
              <w:rPr>
                <w:sz w:val="1"/>
                <w:szCs w:val="1"/>
                <w:color w:val="auto"/>
              </w:rPr>
            </w:pPr>
          </w:p>
        </w:tc>
      </w:tr>
      <w:tr>
        <w:trPr>
          <w:trHeight w:val="122"/>
        </w:trPr>
        <w:tc>
          <w:tcPr>
            <w:tcW w:w="2620" w:type="dxa"/>
            <w:vAlign w:val="bottom"/>
            <w:shd w:val="clear" w:color="auto" w:fill="CCCCCC"/>
          </w:tcPr>
          <w:p>
            <w:pPr>
              <w:ind w:left="140"/>
              <w:spacing w:after="0" w:line="122" w:lineRule="exact"/>
              <w:rPr>
                <w:sz w:val="20"/>
                <w:szCs w:val="20"/>
                <w:color w:val="auto"/>
              </w:rPr>
            </w:pPr>
            <w:r>
              <w:rPr>
                <w:rFonts w:ascii="Arial" w:cs="Arial" w:eastAsia="Arial" w:hAnsi="Arial"/>
                <w:sz w:val="11"/>
                <w:szCs w:val="11"/>
                <w:color w:val="auto"/>
              </w:rPr>
              <w:t>business performance so that the Executive</w:t>
            </w:r>
          </w:p>
        </w:tc>
        <w:tc>
          <w:tcPr>
            <w:tcW w:w="160" w:type="dxa"/>
            <w:vAlign w:val="bottom"/>
          </w:tcPr>
          <w:p>
            <w:pPr>
              <w:spacing w:after="0"/>
              <w:rPr>
                <w:sz w:val="10"/>
                <w:szCs w:val="10"/>
                <w:color w:val="auto"/>
              </w:rPr>
            </w:pPr>
          </w:p>
        </w:tc>
        <w:tc>
          <w:tcPr>
            <w:tcW w:w="2700" w:type="dxa"/>
            <w:vAlign w:val="bottom"/>
            <w:shd w:val="clear" w:color="auto" w:fill="CCCCCC"/>
          </w:tcPr>
          <w:p>
            <w:pPr>
              <w:ind w:left="340"/>
              <w:spacing w:after="0" w:line="122" w:lineRule="exact"/>
              <w:rPr>
                <w:sz w:val="20"/>
                <w:szCs w:val="20"/>
                <w:color w:val="auto"/>
              </w:rPr>
            </w:pPr>
            <w:r>
              <w:rPr>
                <w:rFonts w:ascii="Arial" w:cs="Arial" w:eastAsia="Arial" w:hAnsi="Arial"/>
                <w:sz w:val="11"/>
                <w:szCs w:val="11"/>
                <w:color w:val="auto"/>
              </w:rPr>
              <w:t>budget.</w:t>
            </w:r>
          </w:p>
        </w:tc>
        <w:tc>
          <w:tcPr>
            <w:tcW w:w="0" w:type="dxa"/>
            <w:vAlign w:val="bottom"/>
          </w:tcPr>
          <w:p>
            <w:pPr>
              <w:spacing w:after="0"/>
              <w:rPr>
                <w:sz w:val="1"/>
                <w:szCs w:val="1"/>
                <w:color w:val="auto"/>
              </w:rPr>
            </w:pPr>
          </w:p>
        </w:tc>
      </w:tr>
      <w:tr>
        <w:trPr>
          <w:trHeight w:val="122"/>
        </w:trPr>
        <w:tc>
          <w:tcPr>
            <w:tcW w:w="2620" w:type="dxa"/>
            <w:vAlign w:val="bottom"/>
            <w:shd w:val="clear" w:color="auto" w:fill="CCCCCC"/>
          </w:tcPr>
          <w:p>
            <w:pPr>
              <w:ind w:left="140"/>
              <w:spacing w:after="0" w:line="122" w:lineRule="exact"/>
              <w:rPr>
                <w:sz w:val="20"/>
                <w:szCs w:val="20"/>
                <w:color w:val="auto"/>
              </w:rPr>
            </w:pPr>
            <w:r>
              <w:rPr>
                <w:rFonts w:ascii="Arial" w:cs="Arial" w:eastAsia="Arial" w:hAnsi="Arial"/>
                <w:sz w:val="11"/>
                <w:szCs w:val="11"/>
                <w:color w:val="auto"/>
              </w:rPr>
              <w:t>Directors, like shareholders, share the effects of</w:t>
            </w:r>
          </w:p>
        </w:tc>
        <w:tc>
          <w:tcPr>
            <w:tcW w:w="160" w:type="dxa"/>
            <w:vAlign w:val="bottom"/>
          </w:tcPr>
          <w:p>
            <w:pPr>
              <w:spacing w:after="0"/>
              <w:rPr>
                <w:sz w:val="10"/>
                <w:szCs w:val="10"/>
                <w:color w:val="auto"/>
              </w:rPr>
            </w:pPr>
          </w:p>
        </w:tc>
        <w:tc>
          <w:tcPr>
            <w:tcW w:w="2700" w:type="dxa"/>
            <w:vAlign w:val="bottom"/>
            <w:shd w:val="clear" w:color="auto" w:fill="CCCCCC"/>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620" w:type="dxa"/>
            <w:vAlign w:val="bottom"/>
            <w:shd w:val="clear" w:color="auto" w:fill="CCCCCC"/>
          </w:tcPr>
          <w:p>
            <w:pPr>
              <w:ind w:left="140"/>
              <w:spacing w:after="0" w:line="122" w:lineRule="exact"/>
              <w:rPr>
                <w:sz w:val="20"/>
                <w:szCs w:val="20"/>
                <w:color w:val="auto"/>
              </w:rPr>
            </w:pPr>
            <w:r>
              <w:rPr>
                <w:rFonts w:ascii="Arial" w:cs="Arial" w:eastAsia="Arial" w:hAnsi="Arial"/>
                <w:sz w:val="11"/>
                <w:szCs w:val="11"/>
                <w:color w:val="auto"/>
              </w:rPr>
              <w:t>both.</w:t>
            </w:r>
          </w:p>
        </w:tc>
        <w:tc>
          <w:tcPr>
            <w:tcW w:w="160" w:type="dxa"/>
            <w:vAlign w:val="bottom"/>
          </w:tcPr>
          <w:p>
            <w:pPr>
              <w:spacing w:after="0"/>
              <w:rPr>
                <w:sz w:val="10"/>
                <w:szCs w:val="10"/>
                <w:color w:val="auto"/>
              </w:rPr>
            </w:pPr>
          </w:p>
        </w:tc>
        <w:tc>
          <w:tcPr>
            <w:tcW w:w="2700" w:type="dxa"/>
            <w:vAlign w:val="bottom"/>
            <w:shd w:val="clear" w:color="auto" w:fill="CCCCCC"/>
          </w:tcPr>
          <w:p>
            <w:pPr>
              <w:ind w:left="200"/>
              <w:spacing w:after="0"/>
              <w:rPr>
                <w:sz w:val="20"/>
                <w:szCs w:val="20"/>
                <w:color w:val="auto"/>
              </w:rPr>
            </w:pPr>
            <w:r>
              <w:rPr>
                <w:rFonts w:ascii="Arial" w:cs="Arial" w:eastAsia="Arial" w:hAnsi="Arial"/>
                <w:sz w:val="9"/>
                <w:szCs w:val="9"/>
                <w:color w:val="auto"/>
              </w:rPr>
              <w:t xml:space="preserve">n   </w:t>
            </w:r>
            <w:r>
              <w:rPr>
                <w:rFonts w:ascii="Arial" w:cs="Arial" w:eastAsia="Arial" w:hAnsi="Arial"/>
                <w:sz w:val="10"/>
                <w:szCs w:val="10"/>
                <w:color w:val="auto"/>
              </w:rPr>
              <w:t>Upstream and Downstream indicators of the full</w:t>
            </w:r>
          </w:p>
        </w:tc>
        <w:tc>
          <w:tcPr>
            <w:tcW w:w="0" w:type="dxa"/>
            <w:vAlign w:val="bottom"/>
          </w:tcPr>
          <w:p>
            <w:pPr>
              <w:spacing w:after="0"/>
              <w:rPr>
                <w:sz w:val="1"/>
                <w:szCs w:val="1"/>
                <w:color w:val="auto"/>
              </w:rPr>
            </w:pPr>
          </w:p>
        </w:tc>
      </w:tr>
      <w:tr>
        <w:trPr>
          <w:trHeight w:val="122"/>
        </w:trPr>
        <w:tc>
          <w:tcPr>
            <w:tcW w:w="2620" w:type="dxa"/>
            <w:vAlign w:val="bottom"/>
            <w:shd w:val="clear" w:color="auto" w:fill="7F7F7F"/>
          </w:tcPr>
          <w:p>
            <w:pPr>
              <w:spacing w:after="0"/>
              <w:rPr>
                <w:sz w:val="10"/>
                <w:szCs w:val="10"/>
                <w:color w:val="auto"/>
              </w:rPr>
            </w:pPr>
          </w:p>
        </w:tc>
        <w:tc>
          <w:tcPr>
            <w:tcW w:w="160" w:type="dxa"/>
            <w:vAlign w:val="bottom"/>
          </w:tcPr>
          <w:p>
            <w:pPr>
              <w:spacing w:after="0"/>
              <w:rPr>
                <w:sz w:val="10"/>
                <w:szCs w:val="10"/>
                <w:color w:val="auto"/>
              </w:rPr>
            </w:pPr>
          </w:p>
        </w:tc>
        <w:tc>
          <w:tcPr>
            <w:tcW w:w="2700" w:type="dxa"/>
            <w:vAlign w:val="bottom"/>
            <w:shd w:val="clear" w:color="auto" w:fill="CCCCCC"/>
          </w:tcPr>
          <w:p>
            <w:pPr>
              <w:ind w:left="340"/>
              <w:spacing w:after="0" w:line="122" w:lineRule="exact"/>
              <w:rPr>
                <w:sz w:val="20"/>
                <w:szCs w:val="20"/>
                <w:color w:val="auto"/>
              </w:rPr>
            </w:pPr>
            <w:r>
              <w:rPr>
                <w:rFonts w:ascii="Arial" w:cs="Arial" w:eastAsia="Arial" w:hAnsi="Arial"/>
                <w:sz w:val="11"/>
                <w:szCs w:val="11"/>
                <w:color w:val="auto"/>
              </w:rPr>
              <w:t>and effective use of resources – both facilities</w:t>
            </w:r>
          </w:p>
        </w:tc>
        <w:tc>
          <w:tcPr>
            <w:tcW w:w="0" w:type="dxa"/>
            <w:vAlign w:val="bottom"/>
          </w:tcPr>
          <w:p>
            <w:pPr>
              <w:spacing w:after="0"/>
              <w:rPr>
                <w:sz w:val="1"/>
                <w:szCs w:val="1"/>
                <w:color w:val="auto"/>
              </w:rPr>
            </w:pPr>
          </w:p>
        </w:tc>
      </w:tr>
      <w:tr>
        <w:trPr>
          <w:trHeight w:val="130"/>
        </w:trPr>
        <w:tc>
          <w:tcPr>
            <w:tcW w:w="2620" w:type="dxa"/>
            <w:vAlign w:val="bottom"/>
            <w:vMerge w:val="restart"/>
            <w:shd w:val="clear" w:color="auto" w:fill="7F7F7F"/>
          </w:tcPr>
          <w:p>
            <w:pPr>
              <w:ind w:left="140"/>
              <w:spacing w:after="0"/>
              <w:rPr>
                <w:sz w:val="20"/>
                <w:szCs w:val="20"/>
                <w:color w:val="auto"/>
              </w:rPr>
            </w:pPr>
            <w:r>
              <w:rPr>
                <w:rFonts w:ascii="Arial" w:cs="Arial" w:eastAsia="Arial" w:hAnsi="Arial"/>
                <w:sz w:val="13"/>
                <w:szCs w:val="13"/>
                <w:b w:val="1"/>
                <w:bCs w:val="1"/>
                <w:color w:val="auto"/>
              </w:rPr>
              <w:t>20% weight</w:t>
            </w:r>
          </w:p>
        </w:tc>
        <w:tc>
          <w:tcPr>
            <w:tcW w:w="160" w:type="dxa"/>
            <w:vAlign w:val="bottom"/>
          </w:tcPr>
          <w:p>
            <w:pPr>
              <w:spacing w:after="0"/>
              <w:rPr>
                <w:sz w:val="11"/>
                <w:szCs w:val="11"/>
                <w:color w:val="auto"/>
              </w:rPr>
            </w:pPr>
          </w:p>
        </w:tc>
        <w:tc>
          <w:tcPr>
            <w:tcW w:w="2700" w:type="dxa"/>
            <w:vAlign w:val="bottom"/>
            <w:shd w:val="clear" w:color="auto" w:fill="CCCCCC"/>
          </w:tcPr>
          <w:p>
            <w:pPr>
              <w:ind w:left="340"/>
              <w:spacing w:after="0"/>
              <w:rPr>
                <w:sz w:val="20"/>
                <w:szCs w:val="20"/>
                <w:color w:val="auto"/>
              </w:rPr>
            </w:pPr>
            <w:r>
              <w:rPr>
                <w:rFonts w:ascii="Arial" w:cs="Arial" w:eastAsia="Arial" w:hAnsi="Arial"/>
                <w:sz w:val="11"/>
                <w:szCs w:val="11"/>
                <w:color w:val="auto"/>
              </w:rPr>
              <w:t>and people.</w:t>
            </w:r>
          </w:p>
        </w:tc>
        <w:tc>
          <w:tcPr>
            <w:tcW w:w="0" w:type="dxa"/>
            <w:vAlign w:val="bottom"/>
          </w:tcPr>
          <w:p>
            <w:pPr>
              <w:spacing w:after="0"/>
              <w:rPr>
                <w:sz w:val="1"/>
                <w:szCs w:val="1"/>
                <w:color w:val="auto"/>
              </w:rPr>
            </w:pPr>
          </w:p>
        </w:tc>
      </w:tr>
      <w:tr>
        <w:trPr>
          <w:trHeight w:val="87"/>
        </w:trPr>
        <w:tc>
          <w:tcPr>
            <w:tcW w:w="2620" w:type="dxa"/>
            <w:vAlign w:val="bottom"/>
            <w:vMerge w:val="continue"/>
            <w:shd w:val="clear" w:color="auto" w:fill="7F7F7F"/>
          </w:tcPr>
          <w:p>
            <w:pPr>
              <w:spacing w:after="0"/>
              <w:rPr>
                <w:sz w:val="7"/>
                <w:szCs w:val="7"/>
                <w:color w:val="auto"/>
              </w:rPr>
            </w:pPr>
          </w:p>
        </w:tc>
        <w:tc>
          <w:tcPr>
            <w:tcW w:w="160" w:type="dxa"/>
            <w:vAlign w:val="bottom"/>
          </w:tcPr>
          <w:p>
            <w:pPr>
              <w:spacing w:after="0"/>
              <w:rPr>
                <w:sz w:val="7"/>
                <w:szCs w:val="7"/>
                <w:color w:val="auto"/>
              </w:rPr>
            </w:pPr>
          </w:p>
        </w:tc>
        <w:tc>
          <w:tcPr>
            <w:tcW w:w="2700" w:type="dxa"/>
            <w:vAlign w:val="bottom"/>
            <w:shd w:val="clear" w:color="auto" w:fill="CCCCCC"/>
          </w:tcPr>
          <w:p>
            <w:pPr>
              <w:spacing w:after="0"/>
              <w:rPr>
                <w:sz w:val="7"/>
                <w:szCs w:val="7"/>
                <w:color w:val="auto"/>
              </w:rPr>
            </w:pPr>
          </w:p>
        </w:tc>
        <w:tc>
          <w:tcPr>
            <w:tcW w:w="0" w:type="dxa"/>
            <w:vAlign w:val="bottom"/>
          </w:tcPr>
          <w:p>
            <w:pPr>
              <w:spacing w:after="0"/>
              <w:rPr>
                <w:sz w:val="1"/>
                <w:szCs w:val="1"/>
                <w:color w:val="auto"/>
              </w:rPr>
            </w:pPr>
          </w:p>
        </w:tc>
      </w:tr>
      <w:tr>
        <w:trPr>
          <w:trHeight w:val="124"/>
        </w:trPr>
        <w:tc>
          <w:tcPr>
            <w:tcW w:w="2620" w:type="dxa"/>
            <w:vAlign w:val="bottom"/>
            <w:shd w:val="clear" w:color="auto" w:fill="7F7F7F"/>
          </w:tcPr>
          <w:p>
            <w:pPr>
              <w:spacing w:after="0"/>
              <w:rPr>
                <w:sz w:val="10"/>
                <w:szCs w:val="10"/>
                <w:color w:val="auto"/>
              </w:rPr>
            </w:pPr>
          </w:p>
        </w:tc>
        <w:tc>
          <w:tcPr>
            <w:tcW w:w="160" w:type="dxa"/>
            <w:vAlign w:val="bottom"/>
            <w:vMerge w:val="restart"/>
          </w:tcPr>
          <w:p>
            <w:pPr>
              <w:spacing w:after="0"/>
              <w:rPr>
                <w:sz w:val="10"/>
                <w:szCs w:val="10"/>
                <w:color w:val="auto"/>
              </w:rPr>
            </w:pPr>
          </w:p>
        </w:tc>
        <w:tc>
          <w:tcPr>
            <w:tcW w:w="2700" w:type="dxa"/>
            <w:vAlign w:val="bottom"/>
            <w:shd w:val="clear" w:color="auto" w:fill="CCCCCC"/>
          </w:tcPr>
          <w:p>
            <w:pPr>
              <w:spacing w:after="0"/>
              <w:rPr>
                <w:sz w:val="10"/>
                <w:szCs w:val="10"/>
                <w:color w:val="auto"/>
              </w:rPr>
            </w:pPr>
          </w:p>
        </w:tc>
        <w:tc>
          <w:tcPr>
            <w:tcW w:w="0" w:type="dxa"/>
            <w:vAlign w:val="bottom"/>
          </w:tcPr>
          <w:p>
            <w:pPr>
              <w:spacing w:after="0"/>
              <w:rPr>
                <w:sz w:val="1"/>
                <w:szCs w:val="1"/>
                <w:color w:val="auto"/>
              </w:rPr>
            </w:pPr>
          </w:p>
        </w:tc>
      </w:tr>
      <w:tr>
        <w:trPr>
          <w:trHeight w:val="145"/>
        </w:trPr>
        <w:tc>
          <w:tcPr>
            <w:tcW w:w="2620" w:type="dxa"/>
            <w:vAlign w:val="bottom"/>
            <w:shd w:val="clear" w:color="auto" w:fill="CCCCCC"/>
          </w:tcPr>
          <w:p>
            <w:pPr>
              <w:ind w:left="140"/>
              <w:spacing w:after="0" w:line="146" w:lineRule="exact"/>
              <w:rPr>
                <w:sz w:val="20"/>
                <w:szCs w:val="20"/>
                <w:color w:val="auto"/>
              </w:rPr>
            </w:pPr>
            <w:r>
              <w:rPr>
                <w:rFonts w:ascii="Arial" w:cs="Arial" w:eastAsia="Arial" w:hAnsi="Arial"/>
                <w:sz w:val="13"/>
                <w:szCs w:val="13"/>
                <w:b w:val="1"/>
                <w:bCs w:val="1"/>
                <w:color w:val="auto"/>
              </w:rPr>
              <w:t>Sustainable development</w:t>
            </w:r>
          </w:p>
        </w:tc>
        <w:tc>
          <w:tcPr>
            <w:tcW w:w="160" w:type="dxa"/>
            <w:vAlign w:val="bottom"/>
            <w:vMerge w:val="continue"/>
          </w:tcPr>
          <w:p>
            <w:pPr>
              <w:spacing w:after="0"/>
              <w:rPr>
                <w:sz w:val="12"/>
                <w:szCs w:val="12"/>
                <w:color w:val="auto"/>
              </w:rPr>
            </w:pPr>
          </w:p>
        </w:tc>
        <w:tc>
          <w:tcPr>
            <w:tcW w:w="2700" w:type="dxa"/>
            <w:vAlign w:val="bottom"/>
            <w:shd w:val="clear" w:color="auto" w:fill="CCCCCC"/>
          </w:tcPr>
          <w:p>
            <w:pPr>
              <w:spacing w:after="0"/>
              <w:rPr>
                <w:sz w:val="12"/>
                <w:szCs w:val="12"/>
                <w:color w:val="auto"/>
              </w:rPr>
            </w:pPr>
          </w:p>
        </w:tc>
        <w:tc>
          <w:tcPr>
            <w:tcW w:w="0" w:type="dxa"/>
            <w:vAlign w:val="bottom"/>
          </w:tcPr>
          <w:p>
            <w:pPr>
              <w:spacing w:after="0"/>
              <w:rPr>
                <w:sz w:val="1"/>
                <w:szCs w:val="1"/>
                <w:color w:val="auto"/>
              </w:rPr>
            </w:pPr>
          </w:p>
        </w:tc>
      </w:tr>
      <w:tr>
        <w:trPr>
          <w:trHeight w:val="122"/>
        </w:trPr>
        <w:tc>
          <w:tcPr>
            <w:tcW w:w="2620" w:type="dxa"/>
            <w:vAlign w:val="bottom"/>
            <w:shd w:val="clear" w:color="auto" w:fill="CCCCCC"/>
          </w:tcPr>
          <w:p>
            <w:pPr>
              <w:ind w:left="140"/>
              <w:spacing w:after="0" w:line="122" w:lineRule="exact"/>
              <w:rPr>
                <w:sz w:val="20"/>
                <w:szCs w:val="20"/>
                <w:color w:val="auto"/>
              </w:rPr>
            </w:pPr>
            <w:r>
              <w:rPr>
                <w:rFonts w:ascii="Arial" w:cs="Arial" w:eastAsia="Arial" w:hAnsi="Arial"/>
                <w:sz w:val="11"/>
                <w:szCs w:val="11"/>
                <w:color w:val="auto"/>
              </w:rPr>
              <w:t>Equally weighted indicators of safety and</w:t>
            </w:r>
          </w:p>
        </w:tc>
        <w:tc>
          <w:tcPr>
            <w:tcW w:w="160" w:type="dxa"/>
            <w:vAlign w:val="bottom"/>
          </w:tcPr>
          <w:p>
            <w:pPr>
              <w:spacing w:after="0"/>
              <w:rPr>
                <w:sz w:val="10"/>
                <w:szCs w:val="10"/>
                <w:color w:val="auto"/>
              </w:rPr>
            </w:pPr>
          </w:p>
        </w:tc>
        <w:tc>
          <w:tcPr>
            <w:tcW w:w="2700" w:type="dxa"/>
            <w:vAlign w:val="bottom"/>
            <w:shd w:val="clear" w:color="auto" w:fill="CCCCCC"/>
          </w:tcPr>
          <w:p>
            <w:pPr>
              <w:spacing w:after="0"/>
              <w:rPr>
                <w:sz w:val="10"/>
                <w:szCs w:val="10"/>
                <w:color w:val="auto"/>
              </w:rPr>
            </w:pPr>
          </w:p>
        </w:tc>
        <w:tc>
          <w:tcPr>
            <w:tcW w:w="0" w:type="dxa"/>
            <w:vAlign w:val="bottom"/>
          </w:tcPr>
          <w:p>
            <w:pPr>
              <w:spacing w:after="0"/>
              <w:rPr>
                <w:sz w:val="1"/>
                <w:szCs w:val="1"/>
                <w:color w:val="auto"/>
              </w:rPr>
            </w:pPr>
          </w:p>
        </w:tc>
      </w:tr>
      <w:tr>
        <w:trPr>
          <w:trHeight w:val="130"/>
        </w:trPr>
        <w:tc>
          <w:tcPr>
            <w:tcW w:w="2620" w:type="dxa"/>
            <w:vAlign w:val="bottom"/>
            <w:shd w:val="clear" w:color="auto" w:fill="CCCCCC"/>
          </w:tcPr>
          <w:p>
            <w:pPr>
              <w:ind w:left="140"/>
              <w:spacing w:after="0"/>
              <w:rPr>
                <w:sz w:val="20"/>
                <w:szCs w:val="20"/>
                <w:color w:val="auto"/>
              </w:rPr>
            </w:pPr>
            <w:r>
              <w:rPr>
                <w:rFonts w:ascii="Arial" w:cs="Arial" w:eastAsia="Arial" w:hAnsi="Arial"/>
                <w:sz w:val="11"/>
                <w:szCs w:val="11"/>
                <w:color w:val="auto"/>
              </w:rPr>
              <w:t>environmental performance.</w:t>
            </w:r>
          </w:p>
        </w:tc>
        <w:tc>
          <w:tcPr>
            <w:tcW w:w="160" w:type="dxa"/>
            <w:vAlign w:val="bottom"/>
          </w:tcPr>
          <w:p>
            <w:pPr>
              <w:spacing w:after="0"/>
              <w:rPr>
                <w:sz w:val="11"/>
                <w:szCs w:val="11"/>
                <w:color w:val="auto"/>
              </w:rPr>
            </w:pPr>
          </w:p>
        </w:tc>
        <w:tc>
          <w:tcPr>
            <w:tcW w:w="2700" w:type="dxa"/>
            <w:vAlign w:val="bottom"/>
            <w:shd w:val="clear" w:color="auto" w:fill="CCCCCC"/>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620" w:type="dxa"/>
            <w:vAlign w:val="bottom"/>
            <w:shd w:val="clear" w:color="auto" w:fill="CCCCCC"/>
          </w:tcPr>
          <w:p>
            <w:pPr>
              <w:spacing w:after="0"/>
              <w:rPr>
                <w:sz w:val="11"/>
                <w:szCs w:val="11"/>
                <w:color w:val="auto"/>
              </w:rPr>
            </w:pPr>
          </w:p>
        </w:tc>
        <w:tc>
          <w:tcPr>
            <w:tcW w:w="160" w:type="dxa"/>
            <w:vAlign w:val="bottom"/>
          </w:tcPr>
          <w:p>
            <w:pPr>
              <w:spacing w:after="0"/>
              <w:rPr>
                <w:sz w:val="11"/>
                <w:szCs w:val="11"/>
                <w:color w:val="auto"/>
              </w:rPr>
            </w:pPr>
          </w:p>
        </w:tc>
        <w:tc>
          <w:tcPr>
            <w:tcW w:w="2700" w:type="dxa"/>
            <w:vAlign w:val="bottom"/>
            <w:shd w:val="clear" w:color="auto" w:fill="CCCCCC"/>
          </w:tcPr>
          <w:p>
            <w:pPr>
              <w:spacing w:after="0"/>
              <w:rPr>
                <w:sz w:val="11"/>
                <w:szCs w:val="11"/>
                <w:color w:val="auto"/>
              </w:rPr>
            </w:pPr>
          </w:p>
        </w:tc>
        <w:tc>
          <w:tcPr>
            <w:tcW w:w="0" w:type="dxa"/>
            <w:vAlign w:val="bottom"/>
          </w:tcPr>
          <w:p>
            <w:pPr>
              <w:spacing w:after="0"/>
              <w:rPr>
                <w:sz w:val="1"/>
                <w:szCs w:val="1"/>
                <w:color w:val="auto"/>
              </w:rPr>
            </w:pPr>
          </w:p>
        </w:tc>
      </w:tr>
      <w:tr>
        <w:trPr>
          <w:trHeight w:val="68"/>
        </w:trPr>
        <w:tc>
          <w:tcPr>
            <w:tcW w:w="262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27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-385445</wp:posOffset>
            </wp:positionV>
            <wp:extent cx="1663700" cy="889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166370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-668020</wp:posOffset>
            </wp:positionV>
            <wp:extent cx="1663700" cy="889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166370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-1156970</wp:posOffset>
            </wp:positionV>
            <wp:extent cx="3473450" cy="889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spacing w:after="0" w:line="147" w:lineRule="exact"/>
        <w:rPr>
          <w:sz w:val="20"/>
          <w:szCs w:val="20"/>
          <w:color w:val="auto"/>
        </w:rPr>
      </w:pPr>
    </w:p>
    <w:p>
      <w:pPr>
        <w:ind w:right="400"/>
        <w:spacing w:after="0" w:line="250" w:lineRule="auto"/>
        <w:rPr>
          <w:sz w:val="20"/>
          <w:szCs w:val="20"/>
          <w:color w:val="auto"/>
        </w:rPr>
      </w:pPr>
      <w:r>
        <w:rPr>
          <w:rFonts w:ascii="Arial" w:cs="Arial" w:eastAsia="Arial" w:hAnsi="Arial"/>
          <w:sz w:val="14"/>
          <w:szCs w:val="14"/>
          <w:color w:val="auto"/>
        </w:rPr>
        <w:t>For years following 2015, the framework for the annual bonus scorecard, including metrics and weightings, will be reviewed and determined by REMCO and can be adjusted accordingly.</w:t>
      </w:r>
    </w:p>
    <w:p>
      <w:pPr>
        <w:spacing w:after="0" w:line="172" w:lineRule="exact"/>
        <w:rPr>
          <w:sz w:val="20"/>
          <w:szCs w:val="20"/>
          <w:color w:val="auto"/>
        </w:rPr>
      </w:pPr>
    </w:p>
    <w:p>
      <w:pPr>
        <w:ind w:right="320"/>
        <w:spacing w:after="0" w:line="244" w:lineRule="auto"/>
        <w:rPr>
          <w:sz w:val="20"/>
          <w:szCs w:val="20"/>
          <w:color w:val="auto"/>
        </w:rPr>
      </w:pPr>
      <w:r>
        <w:rPr>
          <w:rFonts w:ascii="Arial" w:cs="Arial" w:eastAsia="Arial" w:hAnsi="Arial"/>
          <w:sz w:val="14"/>
          <w:szCs w:val="14"/>
          <w:color w:val="auto"/>
        </w:rPr>
        <w:t>Performance is assessed over each calendar year. The outcome is usually known early in the following year, and REMCO translates this into a score of between zero and two. REMCO retains the right to exercise its judgement to adjust the mathematical bonus scorecard outcome to ensure that the final bonus scorecard outcome for Executive Directors reflects other aspects of Shell’s performance which REMCO deems appropriate for the reported year.</w:t>
      </w:r>
    </w:p>
    <w:p>
      <w:pPr>
        <w:spacing w:after="0" w:line="166" w:lineRule="exact"/>
        <w:rPr>
          <w:sz w:val="20"/>
          <w:szCs w:val="20"/>
          <w:color w:val="auto"/>
        </w:rPr>
      </w:pPr>
    </w:p>
    <w:p>
      <w:pPr>
        <w:ind w:right="180"/>
        <w:spacing w:after="0" w:line="243" w:lineRule="auto"/>
        <w:rPr>
          <w:sz w:val="20"/>
          <w:szCs w:val="20"/>
          <w:color w:val="auto"/>
        </w:rPr>
      </w:pPr>
      <w:r>
        <w:rPr>
          <w:rFonts w:ascii="Arial" w:cs="Arial" w:eastAsia="Arial" w:hAnsi="Arial"/>
          <w:sz w:val="14"/>
          <w:szCs w:val="14"/>
          <w:color w:val="auto"/>
        </w:rPr>
        <w:t>REMCO strengthens the Executive Directors’ individual accountability by increasing or decreasing their annual bonuses to take account of how well they have delivered against their individual performance targets. These targets typically relate to qualitative differentiators not already covered by the scorecard; for example, stakeholder management, portfolio development, organisational leadership and brand value. A positive individual adjustment corresponds with personal impact beyond expectations, and a negative adjustment would mean expectations were not completely met. Upward adjustment for individual performance is capped at a multiple of 1.2 of the bonus, subject to the overall bonus maximum. There is no limit to the downward adjustment.</w:t>
      </w:r>
    </w:p>
    <w:p>
      <w:pPr>
        <w:sectPr>
          <w:pgSz w:w="11900" w:h="16838" w:orient="portrait"/>
          <w:cols w:equalWidth="0" w:num="2">
            <w:col w:w="5440" w:space="340"/>
            <w:col w:w="5640"/>
          </w:cols>
          <w:pgMar w:left="240" w:top="459" w:right="239" w:bottom="1440" w:gutter="0" w:footer="0" w:header="0"/>
          <w:type w:val="continuous"/>
        </w:sectPr>
      </w:pPr>
    </w:p>
    <w:bookmarkStart w:id="95" w:name="page96"/>
    <w:bookmarkEnd w:id="9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300355</wp:posOffset>
            </wp:positionV>
            <wp:extent cx="3490595" cy="46291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3490595" cy="462915"/>
                    </a:xfrm>
                    <a:prstGeom prst="rect">
                      <a:avLst/>
                    </a:prstGeom>
                    <a:noFill/>
                  </pic:spPr>
                </pic:pic>
              </a:graphicData>
            </a:graphic>
          </wp:anchor>
        </w:drawing>
      </w:r>
    </w:p>
    <w:p>
      <w:pPr>
        <w:spacing w:after="0" w:line="200" w:lineRule="exact"/>
        <w:rPr>
          <w:sz w:val="20"/>
          <w:szCs w:val="20"/>
          <w:color w:val="auto"/>
        </w:rPr>
      </w:pP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419"/>
        </w:trPr>
        <w:tc>
          <w:tcPr>
            <w:tcW w:w="2100" w:type="dxa"/>
            <w:vAlign w:val="bottom"/>
            <w:shd w:val="clear" w:color="auto" w:fill="FF8B00"/>
          </w:tcPr>
          <w:p>
            <w:pPr>
              <w:spacing w:after="0"/>
              <w:rPr>
                <w:sz w:val="24"/>
                <w:szCs w:val="24"/>
                <w:color w:val="auto"/>
              </w:rPr>
            </w:pPr>
          </w:p>
        </w:tc>
        <w:tc>
          <w:tcPr>
            <w:tcW w:w="3400" w:type="dxa"/>
            <w:vAlign w:val="bottom"/>
            <w:shd w:val="clear" w:color="auto" w:fill="FF8B00"/>
          </w:tcPr>
          <w:p>
            <w:pPr>
              <w:spacing w:after="0"/>
              <w:rPr>
                <w:sz w:val="24"/>
                <w:szCs w:val="24"/>
                <w:color w:val="auto"/>
              </w:rPr>
            </w:pPr>
          </w:p>
        </w:tc>
      </w:tr>
      <w:tr>
        <w:trPr>
          <w:trHeight w:val="152"/>
        </w:trPr>
        <w:tc>
          <w:tcPr>
            <w:tcW w:w="2100" w:type="dxa"/>
            <w:vAlign w:val="bottom"/>
          </w:tcPr>
          <w:p>
            <w:pPr>
              <w:jc w:val="right"/>
              <w:ind w:right="1666"/>
              <w:spacing w:after="0"/>
              <w:rPr>
                <w:sz w:val="20"/>
                <w:szCs w:val="20"/>
                <w:color w:val="auto"/>
              </w:rPr>
            </w:pPr>
            <w:r>
              <w:rPr>
                <w:rFonts w:ascii="Arial" w:cs="Arial" w:eastAsia="Arial" w:hAnsi="Arial"/>
                <w:sz w:val="11"/>
                <w:szCs w:val="11"/>
                <w:b w:val="1"/>
                <w:bCs w:val="1"/>
                <w:color w:val="333333"/>
              </w:rPr>
              <w:t>94</w:t>
            </w:r>
          </w:p>
        </w:tc>
        <w:tc>
          <w:tcPr>
            <w:tcW w:w="3400" w:type="dxa"/>
            <w:vAlign w:val="bottom"/>
          </w:tcPr>
          <w:p>
            <w:pPr>
              <w:ind w:left="1720"/>
              <w:spacing w:after="0"/>
              <w:rPr>
                <w:sz w:val="20"/>
                <w:szCs w:val="20"/>
                <w:color w:val="auto"/>
              </w:rPr>
            </w:pPr>
            <w:r>
              <w:rPr>
                <w:rFonts w:ascii="Arial" w:cs="Arial" w:eastAsia="Arial" w:hAnsi="Arial"/>
                <w:sz w:val="13"/>
                <w:szCs w:val="13"/>
                <w:color w:val="333333"/>
              </w:rPr>
              <w:t>GOVERNANCE</w:t>
            </w:r>
          </w:p>
        </w:tc>
      </w:tr>
    </w:tbl>
    <w:p>
      <w:pPr>
        <w:spacing w:after="0" w:line="155" w:lineRule="exact"/>
        <w:rPr>
          <w:sz w:val="20"/>
          <w:szCs w:val="20"/>
          <w:color w:val="auto"/>
        </w:rPr>
      </w:pPr>
    </w:p>
    <w:p>
      <w:pPr>
        <w:ind w:left="2680"/>
        <w:spacing w:after="0"/>
        <w:rPr>
          <w:sz w:val="20"/>
          <w:szCs w:val="20"/>
          <w:color w:val="auto"/>
        </w:rPr>
      </w:pPr>
      <w:r>
        <w:rPr>
          <w:rFonts w:ascii="Arial" w:cs="Arial" w:eastAsia="Arial" w:hAnsi="Arial"/>
          <w:sz w:val="11"/>
          <w:szCs w:val="11"/>
          <w:color w:val="auto"/>
        </w:rPr>
        <w:t>DIRECTORS’ REMUNERATION REPORT</w:t>
      </w:r>
    </w:p>
    <w:p>
      <w:pPr>
        <w:spacing w:after="0" w:line="48" w:lineRule="exact"/>
        <w:rPr>
          <w:sz w:val="20"/>
          <w:szCs w:val="20"/>
          <w:color w:val="auto"/>
        </w:rPr>
      </w:pPr>
    </w:p>
    <w:p>
      <w:pPr>
        <w:ind w:right="1020"/>
        <w:spacing w:after="0" w:line="260" w:lineRule="auto"/>
        <w:rPr>
          <w:sz w:val="20"/>
          <w:szCs w:val="20"/>
          <w:color w:val="auto"/>
        </w:rPr>
      </w:pPr>
      <w:r>
        <w:rPr>
          <w:rFonts w:ascii="Arial" w:cs="Arial" w:eastAsia="Arial" w:hAnsi="Arial"/>
          <w:sz w:val="24"/>
          <w:szCs w:val="24"/>
          <w:color w:val="auto"/>
        </w:rPr>
        <w:t xml:space="preserve">DIRECTORS’ REMUNERATION POLICY </w:t>
      </w:r>
      <w:r>
        <w:rPr>
          <w:rFonts w:ascii="Arial" w:cs="Arial" w:eastAsia="Arial" w:hAnsi="Arial"/>
          <w:sz w:val="24"/>
          <w:szCs w:val="24"/>
          <w:color w:val="666666"/>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-16510</wp:posOffset>
            </wp:positionV>
            <wp:extent cx="3473450" cy="889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spacing w:after="0" w:line="161" w:lineRule="exact"/>
        <w:rPr>
          <w:sz w:val="20"/>
          <w:szCs w:val="20"/>
          <w:color w:val="auto"/>
        </w:rPr>
      </w:pPr>
    </w:p>
    <w:p>
      <w:pPr>
        <w:ind w:right="140"/>
        <w:spacing w:after="0" w:line="247" w:lineRule="auto"/>
        <w:rPr>
          <w:sz w:val="20"/>
          <w:szCs w:val="20"/>
          <w:color w:val="auto"/>
        </w:rPr>
      </w:pPr>
      <w:r>
        <w:rPr>
          <w:rFonts w:ascii="Arial" w:cs="Arial" w:eastAsia="Arial" w:hAnsi="Arial"/>
          <w:sz w:val="14"/>
          <w:szCs w:val="14"/>
          <w:color w:val="auto"/>
        </w:rPr>
        <w:t>To reinforce alignment with shareholder interests, 50% of the annual bonus is deferred into the DBP and the other 50% is delivered in cash. The deferred bonus is released in the form of shares after a deferral period of three years along with dividend shares accrued over the deferral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2795905" cy="94361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2795905" cy="9436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13"/>
          <w:szCs w:val="13"/>
          <w:color w:val="auto"/>
        </w:rPr>
        <w:t>LONG-TERM INCENTIVE PLAN</w:t>
      </w:r>
    </w:p>
    <w:p>
      <w:pPr>
        <w:spacing w:after="0"/>
        <w:rPr>
          <w:sz w:val="20"/>
          <w:szCs w:val="20"/>
          <w:color w:val="auto"/>
        </w:rPr>
      </w:pPr>
      <w:r>
        <w:rPr>
          <w:rFonts w:ascii="Arial" w:cs="Arial" w:eastAsia="Arial" w:hAnsi="Arial"/>
          <w:sz w:val="14"/>
          <w:szCs w:val="14"/>
          <w:color w:val="auto"/>
        </w:rPr>
        <w:t>The LTIP focuses on performance relative to other oil majors.</w:t>
      </w:r>
    </w:p>
    <w:p>
      <w:pPr>
        <w:spacing w:after="0" w:line="177" w:lineRule="exact"/>
        <w:rPr>
          <w:sz w:val="20"/>
          <w:szCs w:val="20"/>
          <w:color w:val="auto"/>
        </w:rPr>
      </w:pPr>
    </w:p>
    <w:p>
      <w:pPr>
        <w:ind w:right="40"/>
        <w:spacing w:after="0" w:line="245" w:lineRule="auto"/>
        <w:rPr>
          <w:sz w:val="20"/>
          <w:szCs w:val="20"/>
          <w:color w:val="auto"/>
        </w:rPr>
      </w:pPr>
      <w:r>
        <w:rPr>
          <w:rFonts w:ascii="Arial" w:cs="Arial" w:eastAsia="Arial" w:hAnsi="Arial"/>
          <w:sz w:val="14"/>
          <w:szCs w:val="14"/>
          <w:color w:val="auto"/>
        </w:rPr>
        <w:t>To recognise the removal of the performance matching shares from the DBP, REMCO currently envisages 2015 LTIP awards will have a target value of 340% and 270% of base salary for the Chief Executive Officer and other Executive Directors respectively. This is within the policy limit which allows REMCO to make awards up to 400% of base salary.</w:t>
      </w:r>
    </w:p>
    <w:p>
      <w:pPr>
        <w:spacing w:after="0" w:line="178" w:lineRule="exact"/>
        <w:rPr>
          <w:sz w:val="20"/>
          <w:szCs w:val="20"/>
          <w:color w:val="auto"/>
        </w:rPr>
      </w:pPr>
    </w:p>
    <w:p>
      <w:pPr>
        <w:ind w:right="60"/>
        <w:spacing w:after="0" w:line="244" w:lineRule="auto"/>
        <w:rPr>
          <w:sz w:val="20"/>
          <w:szCs w:val="20"/>
          <w:color w:val="auto"/>
        </w:rPr>
      </w:pPr>
      <w:r>
        <w:rPr>
          <w:rFonts w:ascii="Arial" w:cs="Arial" w:eastAsia="Arial" w:hAnsi="Arial"/>
          <w:sz w:val="14"/>
          <w:szCs w:val="14"/>
          <w:color w:val="auto"/>
        </w:rPr>
        <w:t>The LTIP grants share-based awards which may vest by reference to Shell’s performance against predefined measures over a three-year performance period. For 2015, these measures will consist of TSR, EPS growth on a current cost of supplies (CCS) basis, ROACE growth and net cash growth from operating activities. REMCO will regularly review the performance metrics and weightings. REMCO retains the right to adjust the metrics and/or weightings, so as to ensure that the LTIP continues to serve its intended purpose.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127000</wp:posOffset>
            </wp:positionV>
            <wp:extent cx="3473450" cy="889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spacing w:after="0" w:line="180"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2015 LONG-TERM INCENTIVE MEASURES FOR EXECUTIVE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3473450" cy="5143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3473450" cy="51435"/>
                    </a:xfrm>
                    <a:prstGeom prst="rect">
                      <a:avLst/>
                    </a:prstGeom>
                    <a:noFill/>
                  </pic:spPr>
                </pic:pic>
              </a:graphicData>
            </a:graphic>
          </wp:anchor>
        </w:drawing>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281"/>
        </w:trPr>
        <w:tc>
          <w:tcPr>
            <w:tcW w:w="2620" w:type="dxa"/>
            <w:vAlign w:val="bottom"/>
            <w:shd w:val="clear" w:color="auto" w:fill="7F7F7F"/>
          </w:tcPr>
          <w:p>
            <w:pPr>
              <w:ind w:left="140"/>
              <w:spacing w:after="0"/>
              <w:rPr>
                <w:sz w:val="20"/>
                <w:szCs w:val="20"/>
                <w:color w:val="auto"/>
              </w:rPr>
            </w:pPr>
            <w:r>
              <w:rPr>
                <w:rFonts w:ascii="Arial" w:cs="Arial" w:eastAsia="Arial" w:hAnsi="Arial"/>
                <w:sz w:val="13"/>
                <w:szCs w:val="13"/>
                <w:b w:val="1"/>
                <w:bCs w:val="1"/>
                <w:color w:val="auto"/>
              </w:rPr>
              <w:t>30% weight</w:t>
            </w:r>
          </w:p>
        </w:tc>
        <w:tc>
          <w:tcPr>
            <w:tcW w:w="180" w:type="dxa"/>
            <w:vAlign w:val="bottom"/>
          </w:tcPr>
          <w:p>
            <w:pPr>
              <w:spacing w:after="0"/>
              <w:rPr>
                <w:sz w:val="24"/>
                <w:szCs w:val="24"/>
                <w:color w:val="auto"/>
              </w:rPr>
            </w:pPr>
          </w:p>
        </w:tc>
        <w:tc>
          <w:tcPr>
            <w:tcW w:w="2680" w:type="dxa"/>
            <w:vAlign w:val="bottom"/>
            <w:shd w:val="clear" w:color="auto" w:fill="7F7F7F"/>
          </w:tcPr>
          <w:p>
            <w:pPr>
              <w:ind w:left="180"/>
              <w:spacing w:after="0"/>
              <w:rPr>
                <w:sz w:val="20"/>
                <w:szCs w:val="20"/>
                <w:color w:val="auto"/>
              </w:rPr>
            </w:pPr>
            <w:r>
              <w:rPr>
                <w:rFonts w:ascii="Arial" w:cs="Arial" w:eastAsia="Arial" w:hAnsi="Arial"/>
                <w:sz w:val="13"/>
                <w:szCs w:val="13"/>
                <w:b w:val="1"/>
                <w:bCs w:val="1"/>
                <w:color w:val="auto"/>
              </w:rPr>
              <w:t>20% weight</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4"/>
        </w:trPr>
        <w:tc>
          <w:tcPr>
            <w:tcW w:w="2620" w:type="dxa"/>
            <w:vAlign w:val="bottom"/>
            <w:shd w:val="clear" w:color="auto" w:fill="7F7F7F"/>
          </w:tcPr>
          <w:p>
            <w:pPr>
              <w:spacing w:after="0"/>
              <w:rPr>
                <w:sz w:val="10"/>
                <w:szCs w:val="10"/>
                <w:color w:val="auto"/>
              </w:rPr>
            </w:pPr>
          </w:p>
        </w:tc>
        <w:tc>
          <w:tcPr>
            <w:tcW w:w="180" w:type="dxa"/>
            <w:vAlign w:val="bottom"/>
            <w:vMerge w:val="restart"/>
          </w:tcPr>
          <w:p>
            <w:pPr>
              <w:spacing w:after="0"/>
              <w:rPr>
                <w:sz w:val="10"/>
                <w:szCs w:val="10"/>
                <w:color w:val="auto"/>
              </w:rPr>
            </w:pPr>
          </w:p>
        </w:tc>
        <w:tc>
          <w:tcPr>
            <w:tcW w:w="2680" w:type="dxa"/>
            <w:vAlign w:val="bottom"/>
            <w:shd w:val="clear" w:color="auto" w:fill="7F7F7F"/>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7"/>
        </w:trPr>
        <w:tc>
          <w:tcPr>
            <w:tcW w:w="2620" w:type="dxa"/>
            <w:vAlign w:val="bottom"/>
            <w:shd w:val="clear" w:color="auto" w:fill="CCCCCC"/>
          </w:tcPr>
          <w:p>
            <w:pPr>
              <w:ind w:left="140"/>
              <w:spacing w:after="0" w:line="127" w:lineRule="exact"/>
              <w:rPr>
                <w:sz w:val="20"/>
                <w:szCs w:val="20"/>
                <w:color w:val="auto"/>
              </w:rPr>
            </w:pPr>
            <w:r>
              <w:rPr>
                <w:rFonts w:ascii="Arial" w:cs="Arial" w:eastAsia="Arial" w:hAnsi="Arial"/>
                <w:sz w:val="13"/>
                <w:szCs w:val="13"/>
                <w:b w:val="1"/>
                <w:bCs w:val="1"/>
                <w:color w:val="auto"/>
              </w:rPr>
              <w:t>TSR</w:t>
            </w:r>
          </w:p>
        </w:tc>
        <w:tc>
          <w:tcPr>
            <w:tcW w:w="180" w:type="dxa"/>
            <w:vAlign w:val="bottom"/>
            <w:vMerge w:val="continue"/>
          </w:tcPr>
          <w:p>
            <w:pPr>
              <w:spacing w:after="0"/>
              <w:rPr>
                <w:sz w:val="11"/>
                <w:szCs w:val="11"/>
                <w:color w:val="auto"/>
              </w:rPr>
            </w:pPr>
          </w:p>
        </w:tc>
        <w:tc>
          <w:tcPr>
            <w:tcW w:w="2680" w:type="dxa"/>
            <w:vAlign w:val="bottom"/>
            <w:shd w:val="clear" w:color="auto" w:fill="CCCCCC"/>
          </w:tcPr>
          <w:p>
            <w:pPr>
              <w:ind w:left="180"/>
              <w:spacing w:after="0" w:line="127" w:lineRule="exact"/>
              <w:rPr>
                <w:sz w:val="20"/>
                <w:szCs w:val="20"/>
                <w:color w:val="auto"/>
              </w:rPr>
            </w:pPr>
            <w:r>
              <w:rPr>
                <w:rFonts w:ascii="Arial" w:cs="Arial" w:eastAsia="Arial" w:hAnsi="Arial"/>
                <w:sz w:val="13"/>
                <w:szCs w:val="13"/>
                <w:b w:val="1"/>
                <w:bCs w:val="1"/>
                <w:color w:val="auto"/>
              </w:rPr>
              <w:t>Return on average capital</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0"/>
        </w:trPr>
        <w:tc>
          <w:tcPr>
            <w:tcW w:w="2620" w:type="dxa"/>
            <w:vAlign w:val="bottom"/>
            <w:shd w:val="clear" w:color="auto" w:fill="CCCCCC"/>
          </w:tcPr>
          <w:p>
            <w:pPr>
              <w:ind w:left="140"/>
              <w:spacing w:after="0"/>
              <w:rPr>
                <w:sz w:val="20"/>
                <w:szCs w:val="20"/>
                <w:color w:val="auto"/>
              </w:rPr>
            </w:pPr>
            <w:r>
              <w:rPr>
                <w:rFonts w:ascii="Arial" w:cs="Arial" w:eastAsia="Arial" w:hAnsi="Arial"/>
                <w:sz w:val="11"/>
                <w:szCs w:val="11"/>
                <w:color w:val="auto"/>
              </w:rPr>
              <w:t>Assessment of actual wealth created for</w:t>
            </w:r>
          </w:p>
        </w:tc>
        <w:tc>
          <w:tcPr>
            <w:tcW w:w="180" w:type="dxa"/>
            <w:vAlign w:val="bottom"/>
          </w:tcPr>
          <w:p>
            <w:pPr>
              <w:spacing w:after="0"/>
              <w:rPr>
                <w:sz w:val="12"/>
                <w:szCs w:val="12"/>
                <w:color w:val="auto"/>
              </w:rPr>
            </w:pPr>
          </w:p>
        </w:tc>
        <w:tc>
          <w:tcPr>
            <w:tcW w:w="2680" w:type="dxa"/>
            <w:vAlign w:val="bottom"/>
            <w:shd w:val="clear" w:color="auto" w:fill="CCCCCC"/>
          </w:tcPr>
          <w:p>
            <w:pPr>
              <w:ind w:left="180"/>
              <w:spacing w:after="0" w:line="141" w:lineRule="exact"/>
              <w:rPr>
                <w:sz w:val="20"/>
                <w:szCs w:val="20"/>
                <w:color w:val="auto"/>
              </w:rPr>
            </w:pPr>
            <w:r>
              <w:rPr>
                <w:rFonts w:ascii="Arial" w:cs="Arial" w:eastAsia="Arial" w:hAnsi="Arial"/>
                <w:sz w:val="13"/>
                <w:szCs w:val="13"/>
                <w:b w:val="1"/>
                <w:bCs w:val="1"/>
                <w:color w:val="auto"/>
              </w:rPr>
              <w:t>employed (ROACE) growth</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620" w:type="dxa"/>
            <w:vAlign w:val="bottom"/>
            <w:shd w:val="clear" w:color="auto" w:fill="CCCCCC"/>
          </w:tcPr>
          <w:p>
            <w:pPr>
              <w:ind w:left="140"/>
              <w:spacing w:after="0"/>
              <w:rPr>
                <w:sz w:val="20"/>
                <w:szCs w:val="20"/>
                <w:color w:val="auto"/>
              </w:rPr>
            </w:pPr>
            <w:r>
              <w:rPr>
                <w:rFonts w:ascii="Arial" w:cs="Arial" w:eastAsia="Arial" w:hAnsi="Arial"/>
                <w:sz w:val="11"/>
                <w:szCs w:val="11"/>
                <w:color w:val="auto"/>
              </w:rPr>
              <w:t>shareholders.</w:t>
            </w:r>
          </w:p>
        </w:tc>
        <w:tc>
          <w:tcPr>
            <w:tcW w:w="180" w:type="dxa"/>
            <w:vAlign w:val="bottom"/>
          </w:tcPr>
          <w:p>
            <w:pPr>
              <w:spacing w:after="0"/>
              <w:rPr>
                <w:sz w:val="12"/>
                <w:szCs w:val="12"/>
                <w:color w:val="auto"/>
              </w:rPr>
            </w:pPr>
          </w:p>
        </w:tc>
        <w:tc>
          <w:tcPr>
            <w:tcW w:w="2680" w:type="dxa"/>
            <w:vAlign w:val="bottom"/>
            <w:shd w:val="clear" w:color="auto" w:fill="CCCCCC"/>
          </w:tcPr>
          <w:p>
            <w:pPr>
              <w:ind w:left="180"/>
              <w:spacing w:after="0"/>
              <w:rPr>
                <w:sz w:val="20"/>
                <w:szCs w:val="20"/>
                <w:color w:val="auto"/>
              </w:rPr>
            </w:pPr>
            <w:r>
              <w:rPr>
                <w:rFonts w:ascii="Arial" w:cs="Arial" w:eastAsia="Arial" w:hAnsi="Arial"/>
                <w:sz w:val="11"/>
                <w:szCs w:val="11"/>
                <w:color w:val="auto"/>
              </w:rPr>
              <w:t>Indicator of capital discipline.</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73"/>
        </w:trPr>
        <w:tc>
          <w:tcPr>
            <w:tcW w:w="2620" w:type="dxa"/>
            <w:vAlign w:val="bottom"/>
            <w:shd w:val="clear" w:color="auto" w:fill="CCCCCC"/>
          </w:tcPr>
          <w:p>
            <w:pPr>
              <w:spacing w:after="0"/>
              <w:rPr>
                <w:sz w:val="24"/>
                <w:szCs w:val="24"/>
                <w:color w:val="auto"/>
              </w:rPr>
            </w:pPr>
          </w:p>
        </w:tc>
        <w:tc>
          <w:tcPr>
            <w:tcW w:w="180" w:type="dxa"/>
            <w:vAlign w:val="bottom"/>
          </w:tcPr>
          <w:p>
            <w:pPr>
              <w:spacing w:after="0"/>
              <w:rPr>
                <w:sz w:val="24"/>
                <w:szCs w:val="24"/>
                <w:color w:val="auto"/>
              </w:rPr>
            </w:pPr>
          </w:p>
        </w:tc>
        <w:tc>
          <w:tcPr>
            <w:tcW w:w="2680" w:type="dxa"/>
            <w:vAlign w:val="bottom"/>
            <w:shd w:val="clear" w:color="auto" w:fill="CCCCCC"/>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2620" w:type="dxa"/>
            <w:vAlign w:val="bottom"/>
            <w:shd w:val="clear" w:color="auto" w:fill="7F7F7F"/>
          </w:tcPr>
          <w:p>
            <w:pPr>
              <w:ind w:left="140"/>
              <w:spacing w:after="0"/>
              <w:rPr>
                <w:sz w:val="20"/>
                <w:szCs w:val="20"/>
                <w:color w:val="auto"/>
              </w:rPr>
            </w:pPr>
            <w:r>
              <w:rPr>
                <w:rFonts w:ascii="Arial" w:cs="Arial" w:eastAsia="Arial" w:hAnsi="Arial"/>
                <w:sz w:val="13"/>
                <w:szCs w:val="13"/>
                <w:b w:val="1"/>
                <w:bCs w:val="1"/>
                <w:color w:val="auto"/>
              </w:rPr>
              <w:t>30% weight</w:t>
            </w:r>
          </w:p>
        </w:tc>
        <w:tc>
          <w:tcPr>
            <w:tcW w:w="180" w:type="dxa"/>
            <w:vAlign w:val="bottom"/>
          </w:tcPr>
          <w:p>
            <w:pPr>
              <w:spacing w:after="0"/>
              <w:rPr>
                <w:sz w:val="18"/>
                <w:szCs w:val="18"/>
                <w:color w:val="auto"/>
              </w:rPr>
            </w:pPr>
          </w:p>
        </w:tc>
        <w:tc>
          <w:tcPr>
            <w:tcW w:w="2680" w:type="dxa"/>
            <w:vAlign w:val="bottom"/>
            <w:shd w:val="clear" w:color="auto" w:fill="7F7F7F"/>
          </w:tcPr>
          <w:p>
            <w:pPr>
              <w:ind w:left="180"/>
              <w:spacing w:after="0"/>
              <w:rPr>
                <w:sz w:val="20"/>
                <w:szCs w:val="20"/>
                <w:color w:val="auto"/>
              </w:rPr>
            </w:pPr>
            <w:r>
              <w:rPr>
                <w:rFonts w:ascii="Arial" w:cs="Arial" w:eastAsia="Arial" w:hAnsi="Arial"/>
                <w:sz w:val="13"/>
                <w:szCs w:val="13"/>
                <w:b w:val="1"/>
                <w:bCs w:val="1"/>
                <w:color w:val="auto"/>
              </w:rPr>
              <w:t>20% weight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4"/>
        </w:trPr>
        <w:tc>
          <w:tcPr>
            <w:tcW w:w="2620" w:type="dxa"/>
            <w:vAlign w:val="bottom"/>
            <w:shd w:val="clear" w:color="auto" w:fill="7F7F7F"/>
          </w:tcPr>
          <w:p>
            <w:pPr>
              <w:spacing w:after="0"/>
              <w:rPr>
                <w:sz w:val="10"/>
                <w:szCs w:val="10"/>
                <w:color w:val="auto"/>
              </w:rPr>
            </w:pPr>
          </w:p>
        </w:tc>
        <w:tc>
          <w:tcPr>
            <w:tcW w:w="180" w:type="dxa"/>
            <w:vAlign w:val="bottom"/>
            <w:vMerge w:val="restart"/>
          </w:tcPr>
          <w:p>
            <w:pPr>
              <w:spacing w:after="0"/>
              <w:rPr>
                <w:sz w:val="10"/>
                <w:szCs w:val="10"/>
                <w:color w:val="auto"/>
              </w:rPr>
            </w:pPr>
          </w:p>
        </w:tc>
        <w:tc>
          <w:tcPr>
            <w:tcW w:w="2680" w:type="dxa"/>
            <w:vAlign w:val="bottom"/>
            <w:shd w:val="clear" w:color="auto" w:fill="7F7F7F"/>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5"/>
        </w:trPr>
        <w:tc>
          <w:tcPr>
            <w:tcW w:w="2620" w:type="dxa"/>
            <w:vAlign w:val="bottom"/>
            <w:shd w:val="clear" w:color="auto" w:fill="CCCCCC"/>
          </w:tcPr>
          <w:p>
            <w:pPr>
              <w:ind w:left="140"/>
              <w:spacing w:after="0" w:line="146" w:lineRule="exact"/>
              <w:rPr>
                <w:sz w:val="20"/>
                <w:szCs w:val="20"/>
                <w:color w:val="auto"/>
              </w:rPr>
            </w:pPr>
            <w:r>
              <w:rPr>
                <w:rFonts w:ascii="Arial" w:cs="Arial" w:eastAsia="Arial" w:hAnsi="Arial"/>
                <w:sz w:val="13"/>
                <w:szCs w:val="13"/>
                <w:b w:val="1"/>
                <w:bCs w:val="1"/>
                <w:color w:val="auto"/>
              </w:rPr>
              <w:t xml:space="preserve">EPS growth (on a CCS basis) </w:t>
            </w:r>
            <w:r>
              <w:rPr>
                <w:rFonts w:ascii="Arial" w:cs="Arial" w:eastAsia="Arial" w:hAnsi="Arial"/>
                <w:sz w:val="13"/>
                <w:szCs w:val="13"/>
                <w:color w:val="auto"/>
              </w:rPr>
              <w:t>[A]</w:t>
            </w:r>
          </w:p>
        </w:tc>
        <w:tc>
          <w:tcPr>
            <w:tcW w:w="180" w:type="dxa"/>
            <w:vAlign w:val="bottom"/>
            <w:vMerge w:val="continue"/>
          </w:tcPr>
          <w:p>
            <w:pPr>
              <w:spacing w:after="0"/>
              <w:rPr>
                <w:sz w:val="12"/>
                <w:szCs w:val="12"/>
                <w:color w:val="auto"/>
              </w:rPr>
            </w:pPr>
          </w:p>
        </w:tc>
        <w:tc>
          <w:tcPr>
            <w:tcW w:w="2680" w:type="dxa"/>
            <w:vAlign w:val="bottom"/>
            <w:shd w:val="clear" w:color="auto" w:fill="CCCCCC"/>
          </w:tcPr>
          <w:p>
            <w:pPr>
              <w:ind w:left="180"/>
              <w:spacing w:after="0" w:line="146" w:lineRule="exact"/>
              <w:rPr>
                <w:sz w:val="20"/>
                <w:szCs w:val="20"/>
                <w:color w:val="auto"/>
              </w:rPr>
            </w:pPr>
            <w:r>
              <w:rPr>
                <w:rFonts w:ascii="Arial" w:cs="Arial" w:eastAsia="Arial" w:hAnsi="Arial"/>
                <w:sz w:val="13"/>
                <w:szCs w:val="13"/>
                <w:b w:val="1"/>
                <w:bCs w:val="1"/>
                <w:color w:val="auto"/>
                <w:w w:val="96"/>
              </w:rPr>
              <w:t>Net cash growth from operating activities</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2"/>
        </w:trPr>
        <w:tc>
          <w:tcPr>
            <w:tcW w:w="2620" w:type="dxa"/>
            <w:vAlign w:val="bottom"/>
            <w:shd w:val="clear" w:color="auto" w:fill="CCCCCC"/>
          </w:tcPr>
          <w:p>
            <w:pPr>
              <w:ind w:left="140"/>
              <w:spacing w:after="0" w:line="122" w:lineRule="exact"/>
              <w:rPr>
                <w:sz w:val="20"/>
                <w:szCs w:val="20"/>
                <w:color w:val="auto"/>
              </w:rPr>
            </w:pPr>
            <w:r>
              <w:rPr>
                <w:rFonts w:ascii="Arial" w:cs="Arial" w:eastAsia="Arial" w:hAnsi="Arial"/>
                <w:sz w:val="11"/>
                <w:szCs w:val="11"/>
                <w:color w:val="auto"/>
              </w:rPr>
              <w:t>Indicator of the quality of revenue growth and cost</w:t>
            </w:r>
          </w:p>
        </w:tc>
        <w:tc>
          <w:tcPr>
            <w:tcW w:w="180" w:type="dxa"/>
            <w:vAlign w:val="bottom"/>
          </w:tcPr>
          <w:p>
            <w:pPr>
              <w:spacing w:after="0"/>
              <w:rPr>
                <w:sz w:val="10"/>
                <w:szCs w:val="10"/>
                <w:color w:val="auto"/>
              </w:rPr>
            </w:pPr>
          </w:p>
        </w:tc>
        <w:tc>
          <w:tcPr>
            <w:tcW w:w="2680" w:type="dxa"/>
            <w:vAlign w:val="bottom"/>
            <w:shd w:val="clear" w:color="auto" w:fill="CCCCCC"/>
          </w:tcPr>
          <w:p>
            <w:pPr>
              <w:ind w:left="180"/>
              <w:spacing w:after="0" w:line="122" w:lineRule="exact"/>
              <w:rPr>
                <w:sz w:val="20"/>
                <w:szCs w:val="20"/>
                <w:color w:val="auto"/>
              </w:rPr>
            </w:pPr>
            <w:r>
              <w:rPr>
                <w:rFonts w:ascii="Arial" w:cs="Arial" w:eastAsia="Arial" w:hAnsi="Arial"/>
                <w:sz w:val="11"/>
                <w:szCs w:val="11"/>
                <w:color w:val="auto"/>
              </w:rPr>
              <w:t>Source of dividends and capital expenditure</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620" w:type="dxa"/>
            <w:vAlign w:val="bottom"/>
            <w:shd w:val="clear" w:color="auto" w:fill="CCCCCC"/>
          </w:tcPr>
          <w:p>
            <w:pPr>
              <w:ind w:left="140"/>
              <w:spacing w:after="0" w:line="122" w:lineRule="exact"/>
              <w:rPr>
                <w:sz w:val="20"/>
                <w:szCs w:val="20"/>
                <w:color w:val="auto"/>
              </w:rPr>
            </w:pPr>
            <w:r>
              <w:rPr>
                <w:rFonts w:ascii="Arial" w:cs="Arial" w:eastAsia="Arial" w:hAnsi="Arial"/>
                <w:sz w:val="11"/>
                <w:szCs w:val="11"/>
                <w:color w:val="auto"/>
              </w:rPr>
              <w:t>management that underpins TSR.</w:t>
            </w:r>
          </w:p>
        </w:tc>
        <w:tc>
          <w:tcPr>
            <w:tcW w:w="180" w:type="dxa"/>
            <w:vAlign w:val="bottom"/>
          </w:tcPr>
          <w:p>
            <w:pPr>
              <w:spacing w:after="0"/>
              <w:rPr>
                <w:sz w:val="10"/>
                <w:szCs w:val="10"/>
                <w:color w:val="auto"/>
              </w:rPr>
            </w:pPr>
          </w:p>
        </w:tc>
        <w:tc>
          <w:tcPr>
            <w:tcW w:w="2680" w:type="dxa"/>
            <w:vAlign w:val="bottom"/>
            <w:shd w:val="clear" w:color="auto" w:fill="CCCCCC"/>
          </w:tcPr>
          <w:p>
            <w:pPr>
              <w:ind w:left="180"/>
              <w:spacing w:after="0" w:line="122" w:lineRule="exact"/>
              <w:rPr>
                <w:sz w:val="20"/>
                <w:szCs w:val="20"/>
                <w:color w:val="auto"/>
              </w:rPr>
            </w:pPr>
            <w:r>
              <w:rPr>
                <w:rFonts w:ascii="Arial" w:cs="Arial" w:eastAsia="Arial" w:hAnsi="Arial"/>
                <w:sz w:val="11"/>
                <w:szCs w:val="11"/>
                <w:color w:val="auto"/>
              </w:rPr>
              <w:t>commitments which support sustainable growth</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0"/>
        </w:trPr>
        <w:tc>
          <w:tcPr>
            <w:tcW w:w="2620" w:type="dxa"/>
            <w:vAlign w:val="bottom"/>
            <w:shd w:val="clear" w:color="auto" w:fill="CCCCCC"/>
          </w:tcPr>
          <w:p>
            <w:pPr>
              <w:spacing w:after="0"/>
              <w:rPr>
                <w:sz w:val="11"/>
                <w:szCs w:val="11"/>
                <w:color w:val="auto"/>
              </w:rPr>
            </w:pPr>
          </w:p>
        </w:tc>
        <w:tc>
          <w:tcPr>
            <w:tcW w:w="180" w:type="dxa"/>
            <w:vAlign w:val="bottom"/>
          </w:tcPr>
          <w:p>
            <w:pPr>
              <w:spacing w:after="0"/>
              <w:rPr>
                <w:sz w:val="11"/>
                <w:szCs w:val="11"/>
                <w:color w:val="auto"/>
              </w:rPr>
            </w:pPr>
          </w:p>
        </w:tc>
        <w:tc>
          <w:tcPr>
            <w:tcW w:w="2680" w:type="dxa"/>
            <w:vAlign w:val="bottom"/>
            <w:shd w:val="clear" w:color="auto" w:fill="CCCCCC"/>
          </w:tcPr>
          <w:p>
            <w:pPr>
              <w:ind w:left="180"/>
              <w:spacing w:after="0"/>
              <w:rPr>
                <w:sz w:val="20"/>
                <w:szCs w:val="20"/>
                <w:color w:val="auto"/>
              </w:rPr>
            </w:pPr>
            <w:r>
              <w:rPr>
                <w:rFonts w:ascii="Arial" w:cs="Arial" w:eastAsia="Arial" w:hAnsi="Arial"/>
                <w:sz w:val="11"/>
                <w:szCs w:val="11"/>
                <w:color w:val="auto"/>
              </w:rPr>
              <w:t>based on portfolio and cost management.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8"/>
        </w:trPr>
        <w:tc>
          <w:tcPr>
            <w:tcW w:w="2620" w:type="dxa"/>
            <w:vAlign w:val="bottom"/>
            <w:shd w:val="clear" w:color="auto" w:fill="CCCCCC"/>
          </w:tcPr>
          <w:p>
            <w:pPr>
              <w:spacing w:after="0"/>
              <w:rPr>
                <w:sz w:val="17"/>
                <w:szCs w:val="17"/>
                <w:color w:val="auto"/>
              </w:rPr>
            </w:pPr>
          </w:p>
        </w:tc>
        <w:tc>
          <w:tcPr>
            <w:tcW w:w="180" w:type="dxa"/>
            <w:vAlign w:val="bottom"/>
          </w:tcPr>
          <w:p>
            <w:pPr>
              <w:spacing w:after="0"/>
              <w:rPr>
                <w:sz w:val="17"/>
                <w:szCs w:val="17"/>
                <w:color w:val="auto"/>
              </w:rPr>
            </w:pPr>
          </w:p>
        </w:tc>
        <w:tc>
          <w:tcPr>
            <w:tcW w:w="2680" w:type="dxa"/>
            <w:vAlign w:val="bottom"/>
            <w:shd w:val="clear" w:color="auto" w:fill="CCCCCC"/>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8"/>
        </w:trPr>
        <w:tc>
          <w:tcPr>
            <w:tcW w:w="2620" w:type="dxa"/>
            <w:vAlign w:val="bottom"/>
            <w:tcBorders>
              <w:bottom w:val="single" w:sz="8" w:color="auto"/>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268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-505460</wp:posOffset>
            </wp:positionV>
            <wp:extent cx="3473450" cy="889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347345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-719455</wp:posOffset>
            </wp:positionV>
            <wp:extent cx="3473450" cy="889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347345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-1217295</wp:posOffset>
            </wp:positionV>
            <wp:extent cx="3473450" cy="889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spacing w:after="0" w:line="4" w:lineRule="exact"/>
        <w:rPr>
          <w:sz w:val="20"/>
          <w:szCs w:val="20"/>
          <w:color w:val="auto"/>
        </w:rPr>
      </w:pPr>
    </w:p>
    <w:p>
      <w:pPr>
        <w:ind w:right="40" w:firstLine="8"/>
        <w:spacing w:after="0" w:line="238" w:lineRule="auto"/>
        <w:tabs>
          <w:tab w:leader="none" w:pos="162" w:val="left"/>
        </w:tabs>
        <w:numPr>
          <w:ilvl w:val="0"/>
          <w:numId w:val="118"/>
        </w:numPr>
        <w:rPr>
          <w:rFonts w:ascii="Arial" w:cs="Arial" w:eastAsia="Arial" w:hAnsi="Arial"/>
          <w:sz w:val="11"/>
          <w:szCs w:val="11"/>
          <w:color w:val="auto"/>
        </w:rPr>
      </w:pPr>
      <w:r>
        <w:rPr>
          <w:rFonts w:ascii="Arial" w:cs="Arial" w:eastAsia="Arial" w:hAnsi="Arial"/>
          <w:sz w:val="11"/>
          <w:szCs w:val="11"/>
          <w:color w:val="auto"/>
        </w:rPr>
        <w:t>Earnings per share on a CCS basis takes into account the changes in the cost of supplies and thereby enables a consistent comparison with other oil majors.</w:t>
      </w:r>
    </w:p>
    <w:p>
      <w:pPr>
        <w:spacing w:after="0" w:line="135" w:lineRule="exact"/>
        <w:rPr>
          <w:sz w:val="20"/>
          <w:szCs w:val="20"/>
          <w:color w:val="auto"/>
        </w:rPr>
      </w:pPr>
    </w:p>
    <w:p>
      <w:pPr>
        <w:ind w:right="40"/>
        <w:spacing w:after="0" w:line="250" w:lineRule="auto"/>
        <w:rPr>
          <w:sz w:val="20"/>
          <w:szCs w:val="20"/>
          <w:color w:val="auto"/>
        </w:rPr>
      </w:pPr>
      <w:r>
        <w:rPr>
          <w:rFonts w:ascii="Arial" w:cs="Arial" w:eastAsia="Arial" w:hAnsi="Arial"/>
          <w:sz w:val="14"/>
          <w:szCs w:val="14"/>
          <w:color w:val="auto"/>
        </w:rPr>
        <w:t>For simplicity, we measure and rank growth based on the data points at the beginning of the three-year performance period relative to the data points at the end of the period, using publicly reported data.</w:t>
      </w:r>
    </w:p>
    <w:p>
      <w:pPr>
        <w:spacing w:after="0" w:line="159" w:lineRule="exact"/>
        <w:rPr>
          <w:sz w:val="20"/>
          <w:szCs w:val="20"/>
          <w:color w:val="auto"/>
        </w:rPr>
      </w:pPr>
    </w:p>
    <w:p>
      <w:pPr>
        <w:ind w:right="60"/>
        <w:spacing w:after="0" w:line="247" w:lineRule="auto"/>
        <w:rPr>
          <w:sz w:val="20"/>
          <w:szCs w:val="20"/>
          <w:color w:val="auto"/>
        </w:rPr>
      </w:pPr>
      <w:r>
        <w:rPr>
          <w:rFonts w:ascii="Arial" w:cs="Arial" w:eastAsia="Arial" w:hAnsi="Arial"/>
          <w:sz w:val="14"/>
          <w:szCs w:val="14"/>
          <w:color w:val="auto"/>
        </w:rPr>
        <w:t>When comparing performance against four peer companies, the relative performance ranking is as indicated in the table below. The LTIP comparator group currently consists of BP, Chevron, ExxonMobil and Total. REMCO retains the right to adjust the comparator group, to</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left="3240"/>
        <w:spacing w:after="0"/>
        <w:rPr>
          <w:sz w:val="20"/>
          <w:szCs w:val="20"/>
          <w:color w:val="auto"/>
        </w:rPr>
      </w:pPr>
      <w:r>
        <w:rPr>
          <w:rFonts w:ascii="Arial" w:cs="Arial" w:eastAsia="Arial" w:hAnsi="Arial"/>
          <w:sz w:val="10"/>
          <w:szCs w:val="10"/>
          <w:color w:val="auto"/>
        </w:rPr>
        <w:t>SHELL ANNUAL REPORT AND FORM 20-F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-3677285</wp:posOffset>
            </wp:positionH>
            <wp:positionV relativeFrom="paragraph">
              <wp:posOffset>-1167765</wp:posOffset>
            </wp:positionV>
            <wp:extent cx="7289165" cy="3810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spacing w:after="0" w:line="49" w:lineRule="exact"/>
        <w:rPr>
          <w:sz w:val="20"/>
          <w:szCs w:val="20"/>
          <w:color w:val="auto"/>
        </w:rPr>
      </w:pPr>
    </w:p>
    <w:p>
      <w:pPr>
        <w:ind w:right="240"/>
        <w:spacing w:after="0" w:line="250" w:lineRule="auto"/>
        <w:rPr>
          <w:sz w:val="20"/>
          <w:szCs w:val="20"/>
          <w:color w:val="auto"/>
        </w:rPr>
      </w:pPr>
      <w:r>
        <w:rPr>
          <w:rFonts w:ascii="Arial" w:cs="Arial" w:eastAsia="Arial" w:hAnsi="Arial"/>
          <w:sz w:val="14"/>
          <w:szCs w:val="14"/>
          <w:color w:val="auto"/>
        </w:rPr>
        <w:t>ensure that it remains appropriate. If this leads to a change in the number of companies, the ranking framework (as set out below) may be adjusted to ensure that the LTIP continues to meet its intended purpose and level of challenge.</w:t>
      </w:r>
    </w:p>
    <w:p>
      <w:pPr>
        <w:spacing w:after="0" w:line="173" w:lineRule="exact"/>
        <w:rPr>
          <w:sz w:val="20"/>
          <w:szCs w:val="20"/>
          <w:color w:val="auto"/>
        </w:rPr>
      </w:pPr>
    </w:p>
    <w:p>
      <w:pPr>
        <w:ind w:left="60"/>
        <w:spacing w:after="0"/>
        <w:rPr>
          <w:sz w:val="20"/>
          <w:szCs w:val="20"/>
          <w:color w:val="auto"/>
        </w:rPr>
      </w:pPr>
      <w:r>
        <w:rPr>
          <w:rFonts w:ascii="Arial" w:cs="Arial" w:eastAsia="Arial" w:hAnsi="Arial"/>
          <w:sz w:val="15"/>
          <w:szCs w:val="15"/>
          <w:b w:val="1"/>
          <w:bCs w:val="1"/>
          <w:color w:val="FFFFFF"/>
        </w:rPr>
        <w:t>RELATIVE PERFORMANCE RANKINGS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-95250</wp:posOffset>
            </wp:positionV>
            <wp:extent cx="3473450" cy="10287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3473450" cy="10287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40"/>
        </w:trPr>
        <w:tc>
          <w:tcPr>
            <w:tcW w:w="2400" w:type="dxa"/>
            <w:vAlign w:val="bottom"/>
          </w:tcPr>
          <w:p>
            <w:pPr>
              <w:spacing w:after="0"/>
              <w:rPr>
                <w:sz w:val="12"/>
                <w:szCs w:val="12"/>
                <w:color w:val="auto"/>
              </w:rPr>
            </w:pPr>
          </w:p>
        </w:tc>
        <w:tc>
          <w:tcPr>
            <w:tcW w:w="3080" w:type="dxa"/>
            <w:vAlign w:val="bottom"/>
          </w:tcPr>
          <w:p>
            <w:pPr>
              <w:ind w:left="120"/>
              <w:spacing w:after="0" w:line="140" w:lineRule="exact"/>
              <w:rPr>
                <w:sz w:val="20"/>
                <w:szCs w:val="20"/>
                <w:color w:val="auto"/>
              </w:rPr>
            </w:pPr>
            <w:r>
              <w:rPr>
                <w:rFonts w:ascii="Arial" w:cs="Arial" w:eastAsia="Arial" w:hAnsi="Arial"/>
                <w:sz w:val="13"/>
                <w:szCs w:val="13"/>
                <w:color w:val="auto"/>
              </w:rPr>
              <w:t>Number of conditional performance shares</w:t>
            </w:r>
          </w:p>
        </w:tc>
      </w:tr>
      <w:tr>
        <w:trPr>
          <w:trHeight w:val="135"/>
        </w:trPr>
        <w:tc>
          <w:tcPr>
            <w:tcW w:w="2400" w:type="dxa"/>
            <w:vAlign w:val="bottom"/>
          </w:tcPr>
          <w:p>
            <w:pPr>
              <w:spacing w:after="0" w:line="135" w:lineRule="exact"/>
              <w:rPr>
                <w:sz w:val="20"/>
                <w:szCs w:val="20"/>
                <w:color w:val="auto"/>
              </w:rPr>
            </w:pPr>
            <w:r>
              <w:rPr>
                <w:rFonts w:ascii="Arial" w:cs="Arial" w:eastAsia="Arial" w:hAnsi="Arial"/>
                <w:sz w:val="13"/>
                <w:szCs w:val="13"/>
                <w:color w:val="auto"/>
              </w:rPr>
              <w:t>Shell’s rank against peers on each of the</w:t>
            </w:r>
          </w:p>
        </w:tc>
        <w:tc>
          <w:tcPr>
            <w:tcW w:w="3080" w:type="dxa"/>
            <w:vAlign w:val="bottom"/>
          </w:tcPr>
          <w:p>
            <w:pPr>
              <w:ind w:left="120"/>
              <w:spacing w:after="0" w:line="135" w:lineRule="exact"/>
              <w:rPr>
                <w:sz w:val="20"/>
                <w:szCs w:val="20"/>
                <w:color w:val="auto"/>
              </w:rPr>
            </w:pPr>
            <w:r>
              <w:rPr>
                <w:rFonts w:ascii="Arial" w:cs="Arial" w:eastAsia="Arial" w:hAnsi="Arial"/>
                <w:sz w:val="13"/>
                <w:szCs w:val="13"/>
                <w:color w:val="auto"/>
              </w:rPr>
              <w:t>ultimately awarded, taking into account the</w:t>
            </w:r>
          </w:p>
        </w:tc>
      </w:tr>
      <w:tr>
        <w:trPr>
          <w:trHeight w:val="141"/>
        </w:trPr>
        <w:tc>
          <w:tcPr>
            <w:tcW w:w="2400" w:type="dxa"/>
            <w:vAlign w:val="bottom"/>
            <w:tcBorders>
              <w:bottom w:val="single" w:sz="8" w:color="auto"/>
            </w:tcBorders>
          </w:tcPr>
          <w:p>
            <w:pPr>
              <w:spacing w:after="0" w:line="141" w:lineRule="exact"/>
              <w:rPr>
                <w:sz w:val="20"/>
                <w:szCs w:val="20"/>
                <w:color w:val="auto"/>
              </w:rPr>
            </w:pPr>
            <w:r>
              <w:rPr>
                <w:rFonts w:ascii="Arial" w:cs="Arial" w:eastAsia="Arial" w:hAnsi="Arial"/>
                <w:sz w:val="13"/>
                <w:szCs w:val="13"/>
                <w:color w:val="auto"/>
              </w:rPr>
              <w:t>four performance measures</w:t>
            </w:r>
          </w:p>
        </w:tc>
        <w:tc>
          <w:tcPr>
            <w:tcW w:w="3080" w:type="dxa"/>
            <w:vAlign w:val="bottom"/>
            <w:tcBorders>
              <w:bottom w:val="single" w:sz="8" w:color="auto"/>
            </w:tcBorders>
          </w:tcPr>
          <w:p>
            <w:pPr>
              <w:ind w:left="120"/>
              <w:spacing w:after="0" w:line="141" w:lineRule="exact"/>
              <w:rPr>
                <w:sz w:val="20"/>
                <w:szCs w:val="20"/>
                <w:color w:val="auto"/>
              </w:rPr>
            </w:pPr>
            <w:r>
              <w:rPr>
                <w:rFonts w:ascii="Arial" w:cs="Arial" w:eastAsia="Arial" w:hAnsi="Arial"/>
                <w:sz w:val="13"/>
                <w:szCs w:val="13"/>
                <w:color w:val="auto"/>
              </w:rPr>
              <w:t>weightings of the four performance measures</w:t>
            </w:r>
          </w:p>
        </w:tc>
      </w:tr>
      <w:tr>
        <w:trPr>
          <w:trHeight w:val="156"/>
        </w:trPr>
        <w:tc>
          <w:tcPr>
            <w:tcW w:w="2400" w:type="dxa"/>
            <w:vAlign w:val="bottom"/>
            <w:tcBorders>
              <w:bottom w:val="single" w:sz="8" w:color="auto"/>
            </w:tcBorders>
          </w:tcPr>
          <w:p>
            <w:pPr>
              <w:spacing w:after="0" w:line="155" w:lineRule="exact"/>
              <w:rPr>
                <w:sz w:val="20"/>
                <w:szCs w:val="20"/>
                <w:color w:val="auto"/>
              </w:rPr>
            </w:pPr>
            <w:r>
              <w:rPr>
                <w:rFonts w:ascii="Arial" w:cs="Arial" w:eastAsia="Arial" w:hAnsi="Arial"/>
                <w:sz w:val="14"/>
                <w:szCs w:val="14"/>
                <w:color w:val="auto"/>
              </w:rPr>
              <w:t>1st</w:t>
            </w:r>
          </w:p>
        </w:tc>
        <w:tc>
          <w:tcPr>
            <w:tcW w:w="3080" w:type="dxa"/>
            <w:vAlign w:val="bottom"/>
            <w:tcBorders>
              <w:bottom w:val="single" w:sz="8" w:color="auto"/>
            </w:tcBorders>
          </w:tcPr>
          <w:p>
            <w:pPr>
              <w:ind w:left="120"/>
              <w:spacing w:after="0" w:line="155" w:lineRule="exact"/>
              <w:rPr>
                <w:sz w:val="20"/>
                <w:szCs w:val="20"/>
                <w:color w:val="auto"/>
              </w:rPr>
            </w:pPr>
            <w:r>
              <w:rPr>
                <w:rFonts w:ascii="Arial" w:cs="Arial" w:eastAsia="Arial" w:hAnsi="Arial"/>
                <w:sz w:val="14"/>
                <w:szCs w:val="14"/>
                <w:color w:val="auto"/>
              </w:rPr>
              <w:t>2 x initial LTIP award</w:t>
            </w:r>
          </w:p>
        </w:tc>
      </w:tr>
      <w:tr>
        <w:trPr>
          <w:trHeight w:val="156"/>
        </w:trPr>
        <w:tc>
          <w:tcPr>
            <w:tcW w:w="2400" w:type="dxa"/>
            <w:vAlign w:val="bottom"/>
            <w:tcBorders>
              <w:bottom w:val="single" w:sz="8" w:color="auto"/>
            </w:tcBorders>
          </w:tcPr>
          <w:p>
            <w:pPr>
              <w:spacing w:after="0" w:line="155" w:lineRule="exact"/>
              <w:rPr>
                <w:sz w:val="20"/>
                <w:szCs w:val="20"/>
                <w:color w:val="auto"/>
              </w:rPr>
            </w:pPr>
            <w:r>
              <w:rPr>
                <w:rFonts w:ascii="Arial" w:cs="Arial" w:eastAsia="Arial" w:hAnsi="Arial"/>
                <w:sz w:val="14"/>
                <w:szCs w:val="14"/>
                <w:color w:val="auto"/>
              </w:rPr>
              <w:t>2nd</w:t>
            </w:r>
          </w:p>
        </w:tc>
        <w:tc>
          <w:tcPr>
            <w:tcW w:w="3080" w:type="dxa"/>
            <w:vAlign w:val="bottom"/>
            <w:tcBorders>
              <w:bottom w:val="single" w:sz="8" w:color="auto"/>
            </w:tcBorders>
          </w:tcPr>
          <w:p>
            <w:pPr>
              <w:ind w:left="120"/>
              <w:spacing w:after="0" w:line="155" w:lineRule="exact"/>
              <w:rPr>
                <w:sz w:val="20"/>
                <w:szCs w:val="20"/>
                <w:color w:val="auto"/>
              </w:rPr>
            </w:pPr>
            <w:r>
              <w:rPr>
                <w:rFonts w:ascii="Arial" w:cs="Arial" w:eastAsia="Arial" w:hAnsi="Arial"/>
                <w:sz w:val="14"/>
                <w:szCs w:val="14"/>
                <w:color w:val="auto"/>
              </w:rPr>
              <w:t>1.5 x initial LTIP award</w:t>
            </w:r>
          </w:p>
        </w:tc>
      </w:tr>
      <w:tr>
        <w:trPr>
          <w:trHeight w:val="156"/>
        </w:trPr>
        <w:tc>
          <w:tcPr>
            <w:tcW w:w="2400" w:type="dxa"/>
            <w:vAlign w:val="bottom"/>
            <w:tcBorders>
              <w:bottom w:val="single" w:sz="8" w:color="auto"/>
            </w:tcBorders>
          </w:tcPr>
          <w:p>
            <w:pPr>
              <w:spacing w:after="0" w:line="155" w:lineRule="exact"/>
              <w:rPr>
                <w:sz w:val="20"/>
                <w:szCs w:val="20"/>
                <w:color w:val="auto"/>
              </w:rPr>
            </w:pPr>
            <w:r>
              <w:rPr>
                <w:rFonts w:ascii="Arial" w:cs="Arial" w:eastAsia="Arial" w:hAnsi="Arial"/>
                <w:sz w:val="14"/>
                <w:szCs w:val="14"/>
                <w:color w:val="auto"/>
              </w:rPr>
              <w:t>3rd</w:t>
            </w:r>
          </w:p>
        </w:tc>
        <w:tc>
          <w:tcPr>
            <w:tcW w:w="3080" w:type="dxa"/>
            <w:vAlign w:val="bottom"/>
            <w:tcBorders>
              <w:bottom w:val="single" w:sz="8" w:color="auto"/>
            </w:tcBorders>
          </w:tcPr>
          <w:p>
            <w:pPr>
              <w:ind w:left="120"/>
              <w:spacing w:after="0" w:line="155" w:lineRule="exact"/>
              <w:rPr>
                <w:sz w:val="20"/>
                <w:szCs w:val="20"/>
                <w:color w:val="auto"/>
              </w:rPr>
            </w:pPr>
            <w:r>
              <w:rPr>
                <w:rFonts w:ascii="Arial" w:cs="Arial" w:eastAsia="Arial" w:hAnsi="Arial"/>
                <w:sz w:val="14"/>
                <w:szCs w:val="14"/>
                <w:color w:val="auto"/>
              </w:rPr>
              <w:t>0.8 x initial LTIP award</w:t>
            </w:r>
          </w:p>
        </w:tc>
      </w:tr>
      <w:tr>
        <w:trPr>
          <w:trHeight w:val="156"/>
        </w:trPr>
        <w:tc>
          <w:tcPr>
            <w:tcW w:w="2400" w:type="dxa"/>
            <w:vAlign w:val="bottom"/>
            <w:tcBorders>
              <w:bottom w:val="single" w:sz="8" w:color="auto"/>
            </w:tcBorders>
          </w:tcPr>
          <w:p>
            <w:pPr>
              <w:spacing w:after="0" w:line="155" w:lineRule="exact"/>
              <w:rPr>
                <w:sz w:val="20"/>
                <w:szCs w:val="20"/>
                <w:color w:val="auto"/>
              </w:rPr>
            </w:pPr>
            <w:r>
              <w:rPr>
                <w:rFonts w:ascii="Arial" w:cs="Arial" w:eastAsia="Arial" w:hAnsi="Arial"/>
                <w:sz w:val="14"/>
                <w:szCs w:val="14"/>
                <w:color w:val="auto"/>
              </w:rPr>
              <w:t>4th or 5th</w:t>
            </w:r>
          </w:p>
        </w:tc>
        <w:tc>
          <w:tcPr>
            <w:tcW w:w="3080" w:type="dxa"/>
            <w:vAlign w:val="bottom"/>
            <w:tcBorders>
              <w:bottom w:val="single" w:sz="8" w:color="auto"/>
            </w:tcBorders>
          </w:tcPr>
          <w:p>
            <w:pPr>
              <w:ind w:left="120"/>
              <w:spacing w:after="0" w:line="155" w:lineRule="exact"/>
              <w:rPr>
                <w:sz w:val="20"/>
                <w:szCs w:val="20"/>
                <w:color w:val="auto"/>
              </w:rPr>
            </w:pPr>
            <w:r>
              <w:rPr>
                <w:rFonts w:ascii="Arial" w:cs="Arial" w:eastAsia="Arial" w:hAnsi="Arial"/>
                <w:sz w:val="14"/>
                <w:szCs w:val="14"/>
                <w:color w:val="auto"/>
              </w:rPr>
              <w:t>Nil</w:t>
            </w:r>
          </w:p>
        </w:tc>
      </w:tr>
    </w:tbl>
    <w:p>
      <w:pPr>
        <w:spacing w:after="0" w:line="153" w:lineRule="exact"/>
        <w:rPr>
          <w:sz w:val="20"/>
          <w:szCs w:val="20"/>
          <w:color w:val="auto"/>
        </w:rPr>
      </w:pPr>
    </w:p>
    <w:p>
      <w:pPr>
        <w:spacing w:after="0"/>
        <w:rPr>
          <w:sz w:val="20"/>
          <w:szCs w:val="20"/>
          <w:color w:val="auto"/>
        </w:rPr>
      </w:pPr>
      <w:r>
        <w:rPr>
          <w:rFonts w:ascii="Arial" w:cs="Arial" w:eastAsia="Arial" w:hAnsi="Arial"/>
          <w:sz w:val="14"/>
          <w:szCs w:val="14"/>
          <w:color w:val="auto"/>
        </w:rPr>
        <w:t>TSR underpin</w:t>
      </w:r>
    </w:p>
    <w:p>
      <w:pPr>
        <w:spacing w:after="0" w:line="1" w:lineRule="exact"/>
        <w:rPr>
          <w:sz w:val="20"/>
          <w:szCs w:val="20"/>
          <w:color w:val="auto"/>
        </w:rPr>
      </w:pPr>
    </w:p>
    <w:p>
      <w:pPr>
        <w:jc w:val="both"/>
        <w:ind w:right="200"/>
        <w:spacing w:after="0" w:line="258" w:lineRule="auto"/>
        <w:rPr>
          <w:sz w:val="20"/>
          <w:szCs w:val="20"/>
          <w:color w:val="auto"/>
        </w:rPr>
      </w:pPr>
      <w:r>
        <w:rPr>
          <w:rFonts w:ascii="Arial" w:cs="Arial" w:eastAsia="Arial" w:hAnsi="Arial"/>
          <w:sz w:val="14"/>
          <w:szCs w:val="14"/>
          <w:color w:val="auto"/>
        </w:rPr>
        <w:t>If the TSR ranking is fourth or fifth, the level of the award that can vest on the basis of the three other measures will be capped at 50% of the maximum payout for the LTIP.</w:t>
      </w:r>
    </w:p>
    <w:p>
      <w:pPr>
        <w:spacing w:after="0" w:line="154" w:lineRule="exact"/>
        <w:rPr>
          <w:sz w:val="20"/>
          <w:szCs w:val="20"/>
          <w:color w:val="auto"/>
        </w:rPr>
      </w:pPr>
    </w:p>
    <w:p>
      <w:pPr>
        <w:spacing w:after="0"/>
        <w:rPr>
          <w:sz w:val="20"/>
          <w:szCs w:val="20"/>
          <w:color w:val="auto"/>
        </w:rPr>
      </w:pPr>
      <w:r>
        <w:rPr>
          <w:rFonts w:ascii="Arial" w:cs="Arial" w:eastAsia="Arial" w:hAnsi="Arial"/>
          <w:sz w:val="14"/>
          <w:szCs w:val="14"/>
          <w:color w:val="auto"/>
        </w:rPr>
        <w:t>Vesting</w:t>
      </w:r>
    </w:p>
    <w:p>
      <w:pPr>
        <w:spacing w:after="0" w:line="1" w:lineRule="exact"/>
        <w:rPr>
          <w:sz w:val="20"/>
          <w:szCs w:val="20"/>
          <w:color w:val="auto"/>
        </w:rPr>
      </w:pPr>
    </w:p>
    <w:p>
      <w:pPr>
        <w:ind w:right="220"/>
        <w:spacing w:after="0" w:line="244" w:lineRule="auto"/>
        <w:rPr>
          <w:sz w:val="20"/>
          <w:szCs w:val="20"/>
          <w:color w:val="auto"/>
        </w:rPr>
      </w:pPr>
      <w:r>
        <w:rPr>
          <w:rFonts w:ascii="Arial" w:cs="Arial" w:eastAsia="Arial" w:hAnsi="Arial"/>
          <w:sz w:val="14"/>
          <w:szCs w:val="14"/>
          <w:color w:val="auto"/>
        </w:rPr>
        <w:t>REMCO retains discretion to adjust the calculated vesting outcome if it believes that this is distorted by circumstances which are unrelated to performance, for example, reporting changes, ranking clustering, mathematical anomalies or corporate events in the comparator group. Upward adjustment would only be considered after consultation with major shareholders. An explanation of any such adjustment would be set out in the relevant Directors’ Remuneration Report.</w:t>
      </w:r>
    </w:p>
    <w:p>
      <w:pPr>
        <w:spacing w:after="0" w:line="179" w:lineRule="exact"/>
        <w:rPr>
          <w:sz w:val="20"/>
          <w:szCs w:val="20"/>
          <w:color w:val="auto"/>
        </w:rPr>
      </w:pPr>
    </w:p>
    <w:p>
      <w:pPr>
        <w:ind w:right="300"/>
        <w:spacing w:after="0" w:line="258" w:lineRule="auto"/>
        <w:rPr>
          <w:sz w:val="20"/>
          <w:szCs w:val="20"/>
          <w:color w:val="auto"/>
        </w:rPr>
      </w:pPr>
      <w:r>
        <w:rPr>
          <w:rFonts w:ascii="Arial" w:cs="Arial" w:eastAsia="Arial" w:hAnsi="Arial"/>
          <w:sz w:val="14"/>
          <w:szCs w:val="14"/>
          <w:color w:val="auto"/>
        </w:rPr>
        <w:t>Performance is assessed over a three-year period. Vested shares from the LTIP are subject to a further two-year holding period post-vesting.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347980</wp:posOffset>
            </wp:positionH>
            <wp:positionV relativeFrom="paragraph">
              <wp:posOffset>128905</wp:posOffset>
            </wp:positionV>
            <wp:extent cx="2787015" cy="90043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2787015" cy="9004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13"/>
          <w:szCs w:val="13"/>
          <w:color w:val="auto"/>
        </w:rPr>
        <w:t>TREATMENT OF OUTSTANDING AWARDS</w:t>
      </w:r>
    </w:p>
    <w:p>
      <w:pPr>
        <w:ind w:right="260"/>
        <w:spacing w:after="0" w:line="247" w:lineRule="auto"/>
        <w:rPr>
          <w:sz w:val="20"/>
          <w:szCs w:val="20"/>
          <w:color w:val="auto"/>
        </w:rPr>
      </w:pPr>
      <w:r>
        <w:rPr>
          <w:rFonts w:ascii="Arial" w:cs="Arial" w:eastAsia="Arial" w:hAnsi="Arial"/>
          <w:sz w:val="14"/>
          <w:szCs w:val="14"/>
          <w:color w:val="auto"/>
        </w:rPr>
        <w:t>Incentive awards granted prior to the approval and implementation of this policy and/or prior to an individual becoming an Executive Director will continue to vest and be delivered in accordance with the terms of the original award even if this is not consistent with the terms of this policy.</w:t>
      </w:r>
    </w:p>
    <w:p>
      <w:pPr>
        <w:spacing w:after="0" w:line="175" w:lineRule="exact"/>
        <w:rPr>
          <w:sz w:val="20"/>
          <w:szCs w:val="20"/>
          <w:color w:val="auto"/>
        </w:rPr>
      </w:pPr>
    </w:p>
    <w:p>
      <w:pPr>
        <w:ind w:right="260"/>
        <w:spacing w:after="0" w:line="243" w:lineRule="auto"/>
        <w:rPr>
          <w:sz w:val="20"/>
          <w:szCs w:val="20"/>
          <w:color w:val="auto"/>
        </w:rPr>
      </w:pPr>
      <w:r>
        <w:rPr>
          <w:rFonts w:ascii="Arial" w:cs="Arial" w:eastAsia="Arial" w:hAnsi="Arial"/>
          <w:sz w:val="14"/>
          <w:szCs w:val="14"/>
          <w:color w:val="auto"/>
        </w:rPr>
        <w:t>As at March 12, 2014, this applies to Executive Directors Ben van Beurden and Simon Henry, and to former Directors Peter Voser, Malcolm Brinded and Jeroen van der Veer. Jeroen van der Veer and Peter Voser have share options which can be exercised until May 6, 2014, and November 4, 2014, respectively. Ben van Beurden has outstanding awards under the Performance Share Plan (PSP), LTIP and DBP. Simon Henry, Peter Voser and Malcolm Brinded have outstanding awards under the LTIP and DBP. Some PSP performance measures and their relative weightings differ from those applicable to the LTIP and DBP. In line with the terms of the DBP awards granted between 2012 and 2014, performance matching shares may vest.</w:t>
      </w:r>
    </w:p>
    <w:p>
      <w:pPr>
        <w:spacing w:after="0" w:line="153" w:lineRule="exact"/>
        <w:rPr>
          <w:sz w:val="20"/>
          <w:szCs w:val="20"/>
          <w:color w:val="auto"/>
        </w:rPr>
      </w:pPr>
    </w:p>
    <w:p>
      <w:pPr>
        <w:spacing w:after="0"/>
        <w:rPr>
          <w:sz w:val="20"/>
          <w:szCs w:val="20"/>
          <w:color w:val="auto"/>
        </w:rPr>
      </w:pPr>
      <w:r>
        <w:rPr>
          <w:rFonts w:ascii="Arial" w:cs="Arial" w:eastAsia="Arial" w:hAnsi="Arial"/>
          <w:sz w:val="13"/>
          <w:szCs w:val="13"/>
          <w:color w:val="auto"/>
        </w:rPr>
        <w:t>PENSIONS</w:t>
      </w:r>
    </w:p>
    <w:p>
      <w:pPr>
        <w:ind w:right="400"/>
        <w:spacing w:after="0" w:line="258" w:lineRule="auto"/>
        <w:rPr>
          <w:sz w:val="20"/>
          <w:szCs w:val="20"/>
          <w:color w:val="auto"/>
        </w:rPr>
      </w:pPr>
      <w:r>
        <w:rPr>
          <w:rFonts w:ascii="Arial" w:cs="Arial" w:eastAsia="Arial" w:hAnsi="Arial"/>
          <w:sz w:val="14"/>
          <w:szCs w:val="14"/>
          <w:color w:val="auto"/>
        </w:rPr>
        <w:t>Executive Directors’ pensions are maintained in their base country, as are those of other employees working internationally.</w:t>
      </w:r>
    </w:p>
    <w:p>
      <w:pPr>
        <w:spacing w:after="0" w:line="154" w:lineRule="exact"/>
        <w:rPr>
          <w:sz w:val="20"/>
          <w:szCs w:val="20"/>
          <w:color w:val="auto"/>
        </w:rPr>
      </w:pPr>
    </w:p>
    <w:p>
      <w:pPr>
        <w:jc w:val="both"/>
        <w:ind w:right="320"/>
        <w:spacing w:after="0" w:line="250" w:lineRule="auto"/>
        <w:rPr>
          <w:sz w:val="20"/>
          <w:szCs w:val="20"/>
          <w:color w:val="auto"/>
        </w:rPr>
      </w:pPr>
      <w:r>
        <w:rPr>
          <w:rFonts w:ascii="Arial" w:cs="Arial" w:eastAsia="Arial" w:hAnsi="Arial"/>
          <w:sz w:val="14"/>
          <w:szCs w:val="14"/>
          <w:color w:val="auto"/>
        </w:rPr>
        <w:t>Pension accruals are determined by the plan rules of the base country pension plan of which the Executive Director is a member. These are not subject to performance conditions.</w:t>
      </w:r>
    </w:p>
    <w:p>
      <w:pPr>
        <w:sectPr>
          <w:pgSz w:w="11900" w:h="16838" w:orient="portrait"/>
          <w:cols w:equalWidth="0" w:num="2">
            <w:col w:w="5500" w:space="280"/>
            <w:col w:w="5640"/>
          </w:cols>
          <w:pgMar w:left="240" w:top="459" w:right="239" w:bottom="1440" w:gutter="0" w:footer="0" w:header="0"/>
        </w:sectPr>
      </w:pPr>
    </w:p>
    <w:bookmarkStart w:id="96" w:name="page97"/>
    <w:bookmarkEnd w:id="96"/>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3555365</wp:posOffset>
            </wp:positionH>
            <wp:positionV relativeFrom="paragraph">
              <wp:posOffset>314960</wp:posOffset>
            </wp:positionV>
            <wp:extent cx="3696335" cy="46291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3696335" cy="462915"/>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11"/>
          <w:szCs w:val="11"/>
          <w:color w:val="auto"/>
        </w:rPr>
        <w:t>SHELL ANNUAL REPORT AND FORM 20-F 2014</w:t>
      </w:r>
    </w:p>
    <w:p>
      <w:pPr>
        <w:spacing w:after="0" w:line="43" w:lineRule="exact"/>
        <w:rPr>
          <w:sz w:val="20"/>
          <w:szCs w:val="20"/>
          <w:color w:val="auto"/>
        </w:rPr>
      </w:pPr>
    </w:p>
    <w:p>
      <w:pPr>
        <w:spacing w:after="0"/>
        <w:rPr>
          <w:sz w:val="20"/>
          <w:szCs w:val="20"/>
          <w:color w:val="auto"/>
        </w:rPr>
      </w:pPr>
      <w:r>
        <w:rPr>
          <w:rFonts w:ascii="Arial" w:cs="Arial" w:eastAsia="Arial" w:hAnsi="Arial"/>
          <w:sz w:val="13"/>
          <w:szCs w:val="13"/>
          <w:color w:val="auto"/>
        </w:rPr>
        <w:t>SHAREHOLDING</w:t>
      </w:r>
    </w:p>
    <w:p>
      <w:pPr>
        <w:jc w:val="both"/>
        <w:spacing w:after="0" w:line="244" w:lineRule="auto"/>
        <w:rPr>
          <w:sz w:val="20"/>
          <w:szCs w:val="20"/>
          <w:color w:val="auto"/>
        </w:rPr>
      </w:pPr>
      <w:r>
        <w:rPr>
          <w:rFonts w:ascii="Arial" w:cs="Arial" w:eastAsia="Arial" w:hAnsi="Arial"/>
          <w:sz w:val="14"/>
          <w:szCs w:val="14"/>
          <w:color w:val="auto"/>
        </w:rPr>
        <w:t>The Chief Executive Officer is expected to build up a shareholding of seven times his base salary over five years from appointment. Other Executive Directors are expected to build up a shareholding of four times their base salary over the same period. In the event of an increase to the guideline multiple of salary, for every additional multiple of salary required, the director will have one extra year to reach the increased guideline, subject to a maximum of five years from the date of the change.</w:t>
      </w:r>
    </w:p>
    <w:p>
      <w:pPr>
        <w:spacing w:after="0" w:line="179" w:lineRule="exact"/>
        <w:rPr>
          <w:sz w:val="20"/>
          <w:szCs w:val="20"/>
          <w:color w:val="auto"/>
        </w:rPr>
      </w:pPr>
    </w:p>
    <w:p>
      <w:pPr>
        <w:jc w:val="both"/>
        <w:ind w:right="20"/>
        <w:spacing w:after="0" w:line="250" w:lineRule="auto"/>
        <w:rPr>
          <w:sz w:val="20"/>
          <w:szCs w:val="20"/>
          <w:color w:val="auto"/>
        </w:rPr>
      </w:pPr>
      <w:r>
        <w:rPr>
          <w:rFonts w:ascii="Arial" w:cs="Arial" w:eastAsia="Arial" w:hAnsi="Arial"/>
          <w:sz w:val="14"/>
          <w:szCs w:val="14"/>
          <w:color w:val="auto"/>
        </w:rPr>
        <w:t>The shareholding levels are expected to be achieved through retention of vested LTIP and DBP shares. Executive Directors are expected to maintain the shareholding level for the full period of their appointment.</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color w:val="auto"/>
        </w:rPr>
        <w:t>Differences for Executive Directors from other employees</w:t>
      </w:r>
    </w:p>
    <w:p>
      <w:pPr>
        <w:spacing w:after="0" w:line="1" w:lineRule="exact"/>
        <w:rPr>
          <w:sz w:val="20"/>
          <w:szCs w:val="20"/>
          <w:color w:val="auto"/>
        </w:rPr>
      </w:pPr>
    </w:p>
    <w:p>
      <w:pPr>
        <w:ind w:right="60"/>
        <w:spacing w:after="0" w:line="247" w:lineRule="auto"/>
        <w:rPr>
          <w:sz w:val="20"/>
          <w:szCs w:val="20"/>
          <w:color w:val="auto"/>
        </w:rPr>
      </w:pPr>
      <w:r>
        <w:rPr>
          <w:rFonts w:ascii="Arial" w:cs="Arial" w:eastAsia="Arial" w:hAnsi="Arial"/>
          <w:sz w:val="14"/>
          <w:szCs w:val="14"/>
          <w:color w:val="auto"/>
        </w:rPr>
        <w:t>The salary for each Executive Director is determined based on the indicators in the “Executive Directors’ remuneration policy table”, which reflect the international nature of the Executive Directors’ labour market. The salary for other employees is normally set on a country basis.</w:t>
      </w:r>
    </w:p>
    <w:p>
      <w:pPr>
        <w:spacing w:after="0" w:line="161" w:lineRule="exact"/>
        <w:rPr>
          <w:sz w:val="20"/>
          <w:szCs w:val="20"/>
          <w:color w:val="auto"/>
        </w:rPr>
      </w:pPr>
    </w:p>
    <w:p>
      <w:pPr>
        <w:ind w:right="300"/>
        <w:spacing w:after="0" w:line="247" w:lineRule="auto"/>
        <w:rPr>
          <w:sz w:val="20"/>
          <w:szCs w:val="20"/>
          <w:color w:val="auto"/>
        </w:rPr>
      </w:pPr>
      <w:r>
        <w:rPr>
          <w:rFonts w:ascii="Arial" w:cs="Arial" w:eastAsia="Arial" w:hAnsi="Arial"/>
          <w:sz w:val="14"/>
          <w:szCs w:val="14"/>
          <w:color w:val="auto"/>
        </w:rPr>
        <w:t>Executive Directors are eligible to receive the standard benefits and allowances provided to staff in their country of employment. The provisions which are not generally available for other employees are described in the second paragraph of “Benefits”.</w:t>
      </w:r>
    </w:p>
    <w:p>
      <w:pPr>
        <w:spacing w:after="0" w:line="175" w:lineRule="exact"/>
        <w:rPr>
          <w:sz w:val="20"/>
          <w:szCs w:val="20"/>
          <w:color w:val="auto"/>
        </w:rPr>
      </w:pPr>
    </w:p>
    <w:p>
      <w:pPr>
        <w:ind w:right="200"/>
        <w:spacing w:after="0" w:line="244" w:lineRule="auto"/>
        <w:rPr>
          <w:sz w:val="20"/>
          <w:szCs w:val="20"/>
          <w:color w:val="auto"/>
        </w:rPr>
      </w:pPr>
      <w:r>
        <w:rPr>
          <w:rFonts w:ascii="Arial" w:cs="Arial" w:eastAsia="Arial" w:hAnsi="Arial"/>
          <w:sz w:val="14"/>
          <w:szCs w:val="14"/>
          <w:color w:val="auto"/>
        </w:rPr>
        <w:t>The methodology used for determining the annual bonus for Executive Directors is broadly consistent with the approach to determining annual bonuses for Shell employees generally. However, the scorecard used for the majority of Shell staff differs in the make-up and weighting of the metrics used. Like Executive Directors, members of Senior Management are required to defer part of their annual bonus in DBP shares.</w:t>
      </w:r>
    </w:p>
    <w:p>
      <w:pPr>
        <w:spacing w:after="0" w:line="166" w:lineRule="exact"/>
        <w:rPr>
          <w:sz w:val="20"/>
          <w:szCs w:val="20"/>
          <w:color w:val="auto"/>
        </w:rPr>
      </w:pPr>
    </w:p>
    <w:p>
      <w:pPr>
        <w:ind w:right="120"/>
        <w:spacing w:after="0" w:line="245" w:lineRule="auto"/>
        <w:rPr>
          <w:sz w:val="20"/>
          <w:szCs w:val="20"/>
          <w:color w:val="auto"/>
        </w:rPr>
      </w:pPr>
      <w:r>
        <w:rPr>
          <w:rFonts w:ascii="Arial" w:cs="Arial" w:eastAsia="Arial" w:hAnsi="Arial"/>
          <w:sz w:val="14"/>
          <w:szCs w:val="14"/>
          <w:color w:val="auto"/>
        </w:rPr>
        <w:t>Executive Directors are not eligible to receive new awards under other employee share plans although awards previously granted will continue to vest in accordance with the terms of the original award. Selected employees participate in the PSP. The operation of the PSP is similar to the LTIP, but currently differs, for example, in some performance measures and their relative weightings.</w:t>
      </w:r>
    </w:p>
    <w:p>
      <w:pPr>
        <w:spacing w:after="0" w:line="164" w:lineRule="exact"/>
        <w:rPr>
          <w:sz w:val="20"/>
          <w:szCs w:val="20"/>
          <w:color w:val="auto"/>
        </w:rPr>
      </w:pPr>
    </w:p>
    <w:p>
      <w:pPr>
        <w:spacing w:after="0"/>
        <w:rPr>
          <w:sz w:val="20"/>
          <w:szCs w:val="20"/>
          <w:color w:val="auto"/>
        </w:rPr>
      </w:pPr>
      <w:r>
        <w:rPr>
          <w:rFonts w:ascii="Arial" w:cs="Arial" w:eastAsia="Arial" w:hAnsi="Arial"/>
          <w:sz w:val="14"/>
          <w:szCs w:val="14"/>
          <w:color w:val="auto"/>
        </w:rPr>
        <w:t>There are no special pension arrangements exclusive to Executive Directors.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Illustration of potential remuneration outcomes</w:t>
      </w:r>
    </w:p>
    <w:p>
      <w:pPr>
        <w:spacing w:after="0" w:line="1" w:lineRule="exact"/>
        <w:rPr>
          <w:sz w:val="20"/>
          <w:szCs w:val="20"/>
          <w:color w:val="auto"/>
        </w:rPr>
      </w:pPr>
    </w:p>
    <w:p>
      <w:pPr>
        <w:ind w:right="20"/>
        <w:spacing w:after="0" w:line="258" w:lineRule="auto"/>
        <w:rPr>
          <w:sz w:val="20"/>
          <w:szCs w:val="20"/>
          <w:color w:val="auto"/>
        </w:rPr>
      </w:pPr>
      <w:r>
        <w:rPr>
          <w:rFonts w:ascii="Arial" w:cs="Arial" w:eastAsia="Arial" w:hAnsi="Arial"/>
          <w:sz w:val="14"/>
          <w:szCs w:val="14"/>
          <w:color w:val="auto"/>
        </w:rPr>
        <w:t>The scenario charts below represent estimates under three scenarios (“Minimum”, “At target”, and “Maximum”) of the potential remuneration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2804160" cy="204978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2804160" cy="204978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419"/>
        </w:trPr>
        <w:tc>
          <w:tcPr>
            <w:tcW w:w="3580" w:type="dxa"/>
            <w:vAlign w:val="bottom"/>
            <w:shd w:val="clear" w:color="auto" w:fill="FF8B00"/>
          </w:tcPr>
          <w:p>
            <w:pPr>
              <w:spacing w:after="0"/>
              <w:rPr>
                <w:sz w:val="24"/>
                <w:szCs w:val="24"/>
                <w:color w:val="auto"/>
              </w:rPr>
            </w:pPr>
          </w:p>
        </w:tc>
        <w:tc>
          <w:tcPr>
            <w:tcW w:w="2240" w:type="dxa"/>
            <w:vAlign w:val="bottom"/>
            <w:shd w:val="clear" w:color="auto" w:fill="FF8B00"/>
          </w:tcPr>
          <w:p>
            <w:pPr>
              <w:spacing w:after="0"/>
              <w:rPr>
                <w:sz w:val="24"/>
                <w:szCs w:val="24"/>
                <w:color w:val="auto"/>
              </w:rPr>
            </w:pPr>
          </w:p>
        </w:tc>
      </w:tr>
      <w:tr>
        <w:trPr>
          <w:trHeight w:val="152"/>
        </w:trPr>
        <w:tc>
          <w:tcPr>
            <w:tcW w:w="3580" w:type="dxa"/>
            <w:vAlign w:val="bottom"/>
          </w:tcPr>
          <w:p>
            <w:pPr>
              <w:ind w:left="940"/>
              <w:spacing w:after="0"/>
              <w:rPr>
                <w:sz w:val="20"/>
                <w:szCs w:val="20"/>
                <w:color w:val="auto"/>
              </w:rPr>
            </w:pPr>
            <w:r>
              <w:rPr>
                <w:rFonts w:ascii="Arial" w:cs="Arial" w:eastAsia="Arial" w:hAnsi="Arial"/>
                <w:sz w:val="13"/>
                <w:szCs w:val="13"/>
                <w:color w:val="333333"/>
              </w:rPr>
              <w:t>GOVERNANCE</w:t>
            </w:r>
          </w:p>
        </w:tc>
        <w:tc>
          <w:tcPr>
            <w:tcW w:w="2240" w:type="dxa"/>
            <w:vAlign w:val="bottom"/>
          </w:tcPr>
          <w:p>
            <w:pPr>
              <w:jc w:val="right"/>
              <w:ind w:right="306"/>
              <w:spacing w:after="0"/>
              <w:rPr>
                <w:sz w:val="20"/>
                <w:szCs w:val="20"/>
                <w:color w:val="auto"/>
              </w:rPr>
            </w:pPr>
            <w:r>
              <w:rPr>
                <w:rFonts w:ascii="Arial" w:cs="Arial" w:eastAsia="Arial" w:hAnsi="Arial"/>
                <w:sz w:val="11"/>
                <w:szCs w:val="11"/>
                <w:b w:val="1"/>
                <w:bCs w:val="1"/>
                <w:color w:val="333333"/>
              </w:rPr>
              <w:t>95</w:t>
            </w:r>
          </w:p>
        </w:tc>
      </w:tr>
    </w:tbl>
    <w:p>
      <w:pPr>
        <w:spacing w:after="0" w:line="155" w:lineRule="exact"/>
        <w:rPr>
          <w:sz w:val="20"/>
          <w:szCs w:val="20"/>
          <w:color w:val="auto"/>
        </w:rPr>
      </w:pPr>
    </w:p>
    <w:p>
      <w:pPr>
        <w:ind w:left="940"/>
        <w:spacing w:after="0"/>
        <w:rPr>
          <w:sz w:val="20"/>
          <w:szCs w:val="20"/>
          <w:color w:val="auto"/>
        </w:rPr>
      </w:pPr>
      <w:r>
        <w:rPr>
          <w:rFonts w:ascii="Arial" w:cs="Arial" w:eastAsia="Arial" w:hAnsi="Arial"/>
          <w:sz w:val="11"/>
          <w:szCs w:val="11"/>
          <w:color w:val="auto"/>
        </w:rPr>
        <w:t>DIRECTORS’ REMUNERATION REPORT</w:t>
      </w:r>
    </w:p>
    <w:p>
      <w:pPr>
        <w:spacing w:after="0" w:line="57" w:lineRule="exact"/>
        <w:rPr>
          <w:sz w:val="20"/>
          <w:szCs w:val="20"/>
          <w:color w:val="auto"/>
        </w:rPr>
      </w:pPr>
    </w:p>
    <w:p>
      <w:pPr>
        <w:jc w:val="both"/>
        <w:ind w:left="180" w:right="500"/>
        <w:spacing w:after="0" w:line="258" w:lineRule="auto"/>
        <w:rPr>
          <w:sz w:val="20"/>
          <w:szCs w:val="20"/>
          <w:color w:val="auto"/>
        </w:rPr>
      </w:pPr>
      <w:r>
        <w:rPr>
          <w:rFonts w:ascii="Arial" w:cs="Arial" w:eastAsia="Arial" w:hAnsi="Arial"/>
          <w:sz w:val="14"/>
          <w:szCs w:val="14"/>
          <w:color w:val="auto"/>
        </w:rPr>
        <w:t>outcomes for each Executive Director resulting from the application of 2014 base salaries to awards, anticipated to be made in 2015 in accordance with the policy.</w:t>
      </w:r>
    </w:p>
    <w:p>
      <w:pPr>
        <w:spacing w:after="0" w:line="167" w:lineRule="exact"/>
        <w:rPr>
          <w:sz w:val="20"/>
          <w:szCs w:val="20"/>
          <w:color w:val="auto"/>
        </w:rPr>
      </w:pPr>
    </w:p>
    <w:p>
      <w:pPr>
        <w:ind w:left="180" w:right="300"/>
        <w:spacing w:after="0" w:line="245" w:lineRule="auto"/>
        <w:rPr>
          <w:sz w:val="20"/>
          <w:szCs w:val="20"/>
          <w:color w:val="auto"/>
        </w:rPr>
      </w:pPr>
      <w:r>
        <w:rPr>
          <w:rFonts w:ascii="Arial" w:cs="Arial" w:eastAsia="Arial" w:hAnsi="Arial"/>
          <w:sz w:val="14"/>
          <w:szCs w:val="14"/>
          <w:color w:val="auto"/>
        </w:rPr>
        <w:t>The scenario charts are based on future policy award levels effective January 1, 2015, combined with projected single total figures of remuneration for Ben van Beurden and Simon Henry. The pay scenarios are forward-looking and only serve to illustrate the future policy. The scenarios are based on current incumbents and thus depict the Chief Executive Officer (CEO) and Chief Financial Officer (CFO) roles.</w:t>
      </w:r>
    </w:p>
    <w:p>
      <w:pPr>
        <w:spacing w:after="0" w:line="164" w:lineRule="exact"/>
        <w:rPr>
          <w:sz w:val="20"/>
          <w:szCs w:val="20"/>
          <w:color w:val="auto"/>
        </w:rPr>
      </w:pPr>
    </w:p>
    <w:p>
      <w:pPr>
        <w:ind w:left="180"/>
        <w:spacing w:after="0"/>
        <w:rPr>
          <w:sz w:val="20"/>
          <w:szCs w:val="20"/>
          <w:color w:val="auto"/>
        </w:rPr>
      </w:pPr>
      <w:r>
        <w:rPr>
          <w:rFonts w:ascii="Arial" w:cs="Arial" w:eastAsia="Arial" w:hAnsi="Arial"/>
          <w:sz w:val="14"/>
          <w:szCs w:val="14"/>
          <w:color w:val="auto"/>
        </w:rPr>
        <w:t>These scenarios have been prepared on the following basis:</w:t>
      </w:r>
    </w:p>
    <w:p>
      <w:pPr>
        <w:spacing w:after="0" w:line="162" w:lineRule="exact"/>
        <w:rPr>
          <w:sz w:val="20"/>
          <w:szCs w:val="20"/>
          <w:color w:val="auto"/>
        </w:rPr>
      </w:pPr>
    </w:p>
    <w:p>
      <w:pPr>
        <w:ind w:left="180"/>
        <w:spacing w:after="0"/>
        <w:rPr>
          <w:sz w:val="20"/>
          <w:szCs w:val="20"/>
          <w:color w:val="auto"/>
        </w:rPr>
      </w:pPr>
      <w:r>
        <w:rPr>
          <w:rFonts w:ascii="Arial" w:cs="Arial" w:eastAsia="Arial" w:hAnsi="Arial"/>
          <w:sz w:val="13"/>
          <w:szCs w:val="13"/>
          <w:color w:val="auto"/>
        </w:rPr>
        <w:t>FIXED PAY</w:t>
      </w:r>
    </w:p>
    <w:p>
      <w:pPr>
        <w:ind w:left="180" w:right="160"/>
        <w:spacing w:after="0" w:line="244" w:lineRule="auto"/>
        <w:rPr>
          <w:sz w:val="20"/>
          <w:szCs w:val="20"/>
          <w:color w:val="auto"/>
        </w:rPr>
      </w:pPr>
      <w:r>
        <w:rPr>
          <w:rFonts w:ascii="Arial" w:cs="Arial" w:eastAsia="Arial" w:hAnsi="Arial"/>
          <w:sz w:val="14"/>
          <w:szCs w:val="14"/>
          <w:color w:val="auto"/>
        </w:rPr>
        <w:t>In all three scenarios fixed pay includes base salaries effective January 1, 2014, as no determinations have yet been made as to any 2015 salary increase. As the new Chief Executive Officer is not included in the table showing the 2012 and 2013 single total figure of remuneration for Executive Directors, Ben van Beurden’s benefits and pension values are estimates for a typical year. For the Chief Financial Officer pay scenarios, benefits and pension have been valued as per the values included in that table.</w:t>
      </w:r>
    </w:p>
    <w:p>
      <w:pPr>
        <w:spacing w:after="0" w:line="327" w:lineRule="exact"/>
        <w:rPr>
          <w:sz w:val="20"/>
          <w:szCs w:val="20"/>
          <w:color w:val="auto"/>
        </w:rPr>
      </w:pPr>
    </w:p>
    <w:p>
      <w:pPr>
        <w:ind w:left="180"/>
        <w:spacing w:after="0"/>
        <w:rPr>
          <w:sz w:val="20"/>
          <w:szCs w:val="20"/>
          <w:color w:val="auto"/>
        </w:rPr>
      </w:pPr>
      <w:r>
        <w:rPr>
          <w:rFonts w:ascii="Arial" w:cs="Arial" w:eastAsia="Arial" w:hAnsi="Arial"/>
          <w:sz w:val="13"/>
          <w:szCs w:val="13"/>
          <w:color w:val="auto"/>
        </w:rPr>
        <w:t>ANNUAL INCENTIVE</w:t>
      </w:r>
    </w:p>
    <w:p>
      <w:pPr>
        <w:ind w:left="180" w:right="180"/>
        <w:spacing w:after="0" w:line="243" w:lineRule="auto"/>
        <w:rPr>
          <w:sz w:val="20"/>
          <w:szCs w:val="20"/>
          <w:color w:val="auto"/>
        </w:rPr>
      </w:pPr>
      <w:r>
        <w:rPr>
          <w:rFonts w:ascii="Arial" w:cs="Arial" w:eastAsia="Arial" w:hAnsi="Arial"/>
          <w:sz w:val="14"/>
          <w:szCs w:val="14"/>
          <w:color w:val="auto"/>
        </w:rPr>
        <w:t>The “Minimum” scenario assumes that Shell’s performance is such that no bonus is payable. The “At target” scenario assumes Shell’s performance results in a bonus equal to the target bonus of 150% of base salary for the Chief Executive Officer and 120% for the Chief Financial Officer. The “Maximum” scenario assumes Shell’s performance results in the maximum bonus payment of 250% of base salary for the Chief Executive Officer and 240% for the Chief Financial Officer. For the portion of the bonus deferred in DBP shares, the scenarios assume no share price movement and exclude dividend accrual, although dividend accrual during the deferral period is a feature of the DBP.</w:t>
      </w:r>
    </w:p>
    <w:p>
      <w:pPr>
        <w:spacing w:after="0" w:line="316" w:lineRule="exact"/>
        <w:rPr>
          <w:sz w:val="20"/>
          <w:szCs w:val="20"/>
          <w:color w:val="auto"/>
        </w:rPr>
      </w:pPr>
    </w:p>
    <w:p>
      <w:pPr>
        <w:ind w:left="180"/>
        <w:spacing w:after="0"/>
        <w:rPr>
          <w:sz w:val="20"/>
          <w:szCs w:val="20"/>
          <w:color w:val="auto"/>
        </w:rPr>
      </w:pPr>
      <w:r>
        <w:rPr>
          <w:rFonts w:ascii="Arial" w:cs="Arial" w:eastAsia="Arial" w:hAnsi="Arial"/>
          <w:sz w:val="13"/>
          <w:szCs w:val="13"/>
          <w:color w:val="auto"/>
        </w:rPr>
        <w:t>LONG-TERM INCENTIVE</w:t>
      </w:r>
    </w:p>
    <w:p>
      <w:pPr>
        <w:ind w:left="180" w:right="240"/>
        <w:spacing w:after="0" w:line="243" w:lineRule="auto"/>
        <w:rPr>
          <w:sz w:val="20"/>
          <w:szCs w:val="20"/>
          <w:color w:val="auto"/>
        </w:rPr>
      </w:pPr>
      <w:r>
        <w:rPr>
          <w:rFonts w:ascii="Arial" w:cs="Arial" w:eastAsia="Arial" w:hAnsi="Arial"/>
          <w:sz w:val="14"/>
          <w:szCs w:val="14"/>
          <w:color w:val="auto"/>
        </w:rPr>
        <w:t>The “Minimum” scenario assumes that no LTIP awards vest. The “At target” scenario assumes the LTIP awards vest at target performance. For 2015, the target LTIP awards are illustrated as 340% of base salary for the Chief Executive Officer and 270% for the Chief Financial Officer. The “Maximum” scenario for both assumes that the LTIP awards vest at the maximum, which for the 2015 awards is 200% of the shares originally awarded. The scenarios assume no share price movement and exclude dividend accrual, although dividend accrual during the performance period is a feature of the LTIP.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222250</wp:posOffset>
            </wp:positionH>
            <wp:positionV relativeFrom="paragraph">
              <wp:posOffset>429260</wp:posOffset>
            </wp:positionV>
            <wp:extent cx="2813050" cy="204978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2813050" cy="2049780"/>
                    </a:xfrm>
                    <a:prstGeom prst="rect">
                      <a:avLst/>
                    </a:prstGeom>
                    <a:noFill/>
                  </pic:spPr>
                </pic:pic>
              </a:graphicData>
            </a:graphic>
          </wp:anchor>
        </w:drawing>
      </w:r>
    </w:p>
    <w:p>
      <w:pPr>
        <w:sectPr>
          <w:pgSz w:w="11900" w:h="16838" w:orient="portrait"/>
          <w:cols w:equalWidth="0" w:num="2">
            <w:col w:w="5480" w:space="120"/>
            <w:col w:w="5820"/>
          </w:cols>
          <w:pgMar w:left="240" w:top="459" w:right="239" w:bottom="1440" w:gutter="0" w:footer="0" w:header="0"/>
          <w:type w:val="continuous"/>
        </w:sectPr>
      </w:pPr>
    </w:p>
    <w:bookmarkStart w:id="97" w:name="page98"/>
    <w:bookmarkEnd w:id="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300355</wp:posOffset>
            </wp:positionV>
            <wp:extent cx="3490595" cy="46291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3490595" cy="462915"/>
                    </a:xfrm>
                    <a:prstGeom prst="rect">
                      <a:avLst/>
                    </a:prstGeom>
                    <a:noFill/>
                  </pic:spPr>
                </pic:pic>
              </a:graphicData>
            </a:graphic>
          </wp:anchor>
        </w:drawing>
      </w:r>
    </w:p>
    <w:p>
      <w:pPr>
        <w:spacing w:after="0" w:line="200" w:lineRule="exact"/>
        <w:rPr>
          <w:sz w:val="20"/>
          <w:szCs w:val="20"/>
          <w:color w:val="auto"/>
        </w:rPr>
      </w:pP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419"/>
        </w:trPr>
        <w:tc>
          <w:tcPr>
            <w:tcW w:w="2100" w:type="dxa"/>
            <w:vAlign w:val="bottom"/>
            <w:shd w:val="clear" w:color="auto" w:fill="FF8B00"/>
          </w:tcPr>
          <w:p>
            <w:pPr>
              <w:spacing w:after="0"/>
              <w:rPr>
                <w:sz w:val="24"/>
                <w:szCs w:val="24"/>
                <w:color w:val="auto"/>
              </w:rPr>
            </w:pPr>
          </w:p>
        </w:tc>
        <w:tc>
          <w:tcPr>
            <w:tcW w:w="3400" w:type="dxa"/>
            <w:vAlign w:val="bottom"/>
            <w:shd w:val="clear" w:color="auto" w:fill="FF8B00"/>
          </w:tcPr>
          <w:p>
            <w:pPr>
              <w:spacing w:after="0"/>
              <w:rPr>
                <w:sz w:val="24"/>
                <w:szCs w:val="24"/>
                <w:color w:val="auto"/>
              </w:rPr>
            </w:pPr>
          </w:p>
        </w:tc>
      </w:tr>
      <w:tr>
        <w:trPr>
          <w:trHeight w:val="152"/>
        </w:trPr>
        <w:tc>
          <w:tcPr>
            <w:tcW w:w="2100" w:type="dxa"/>
            <w:vAlign w:val="bottom"/>
          </w:tcPr>
          <w:p>
            <w:pPr>
              <w:jc w:val="right"/>
              <w:ind w:right="1666"/>
              <w:spacing w:after="0"/>
              <w:rPr>
                <w:sz w:val="20"/>
                <w:szCs w:val="20"/>
                <w:color w:val="auto"/>
              </w:rPr>
            </w:pPr>
            <w:r>
              <w:rPr>
                <w:rFonts w:ascii="Arial" w:cs="Arial" w:eastAsia="Arial" w:hAnsi="Arial"/>
                <w:sz w:val="11"/>
                <w:szCs w:val="11"/>
                <w:b w:val="1"/>
                <w:bCs w:val="1"/>
                <w:color w:val="333333"/>
              </w:rPr>
              <w:t>96</w:t>
            </w:r>
          </w:p>
        </w:tc>
        <w:tc>
          <w:tcPr>
            <w:tcW w:w="3400" w:type="dxa"/>
            <w:vAlign w:val="bottom"/>
          </w:tcPr>
          <w:p>
            <w:pPr>
              <w:ind w:left="1720"/>
              <w:spacing w:after="0"/>
              <w:rPr>
                <w:sz w:val="20"/>
                <w:szCs w:val="20"/>
                <w:color w:val="auto"/>
              </w:rPr>
            </w:pPr>
            <w:r>
              <w:rPr>
                <w:rFonts w:ascii="Arial" w:cs="Arial" w:eastAsia="Arial" w:hAnsi="Arial"/>
                <w:sz w:val="13"/>
                <w:szCs w:val="13"/>
                <w:color w:val="333333"/>
              </w:rPr>
              <w:t>GOVERNANCE</w:t>
            </w:r>
          </w:p>
        </w:tc>
      </w:tr>
    </w:tbl>
    <w:p>
      <w:pPr>
        <w:spacing w:after="0" w:line="155" w:lineRule="exact"/>
        <w:rPr>
          <w:sz w:val="20"/>
          <w:szCs w:val="20"/>
          <w:color w:val="auto"/>
        </w:rPr>
      </w:pPr>
    </w:p>
    <w:p>
      <w:pPr>
        <w:jc w:val="right"/>
        <w:spacing w:after="0"/>
        <w:tabs>
          <w:tab w:leader="none" w:pos="2380" w:val="left"/>
        </w:tabs>
        <w:rPr>
          <w:sz w:val="20"/>
          <w:szCs w:val="20"/>
          <w:color w:val="auto"/>
        </w:rPr>
      </w:pPr>
      <w:r>
        <w:rPr>
          <w:rFonts w:ascii="Arial" w:cs="Arial" w:eastAsia="Arial" w:hAnsi="Arial"/>
          <w:sz w:val="11"/>
          <w:szCs w:val="11"/>
          <w:color w:val="auto"/>
        </w:rPr>
        <w:t>DIRECTORS’ REMUNERATION REPORT</w:t>
      </w:r>
      <w:r>
        <w:rPr>
          <w:sz w:val="20"/>
          <w:szCs w:val="20"/>
          <w:color w:val="auto"/>
        </w:rPr>
        <w:tab/>
      </w:r>
      <w:r>
        <w:rPr>
          <w:rFonts w:ascii="Arial" w:cs="Arial" w:eastAsia="Arial" w:hAnsi="Arial"/>
          <w:sz w:val="10"/>
          <w:szCs w:val="10"/>
          <w:color w:val="auto"/>
        </w:rPr>
        <w:t>SHELL ANNUAL REPORT AND FORM 20-F 2014</w:t>
      </w:r>
    </w:p>
    <w:p>
      <w:pPr>
        <w:spacing w:after="0" w:line="48" w:lineRule="exact"/>
        <w:rPr>
          <w:sz w:val="20"/>
          <w:szCs w:val="20"/>
          <w:color w:val="auto"/>
        </w:rPr>
      </w:pPr>
    </w:p>
    <w:p>
      <w:pPr>
        <w:spacing w:after="0"/>
        <w:rPr>
          <w:sz w:val="20"/>
          <w:szCs w:val="20"/>
          <w:color w:val="auto"/>
        </w:rPr>
      </w:pPr>
      <w:r>
        <w:rPr>
          <w:rFonts w:ascii="Arial" w:cs="Arial" w:eastAsia="Arial" w:hAnsi="Arial"/>
          <w:sz w:val="24"/>
          <w:szCs w:val="24"/>
          <w:color w:val="auto"/>
        </w:rPr>
        <w:t>DIRECTORS’ REMUNERATION POLICY</w:t>
      </w:r>
    </w:p>
    <w:p>
      <w:pPr>
        <w:spacing w:after="0" w:line="8" w:lineRule="exact"/>
        <w:rPr>
          <w:sz w:val="20"/>
          <w:szCs w:val="20"/>
          <w:color w:val="auto"/>
        </w:rPr>
      </w:pPr>
    </w:p>
    <w:p>
      <w:pPr>
        <w:spacing w:after="0"/>
        <w:rPr>
          <w:sz w:val="20"/>
          <w:szCs w:val="20"/>
          <w:color w:val="auto"/>
        </w:rPr>
      </w:pPr>
      <w:r>
        <w:rPr>
          <w:rFonts w:ascii="Arial" w:cs="Arial" w:eastAsia="Arial" w:hAnsi="Arial"/>
          <w:sz w:val="24"/>
          <w:szCs w:val="24"/>
          <w:color w:val="666666"/>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3473450" cy="889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spacing w:after="0" w:line="369" w:lineRule="exact"/>
        <w:rPr>
          <w:sz w:val="20"/>
          <w:szCs w:val="20"/>
          <w:color w:val="auto"/>
        </w:rPr>
      </w:pPr>
    </w:p>
    <w:p>
      <w:pPr>
        <w:spacing w:after="0"/>
        <w:rPr>
          <w:sz w:val="20"/>
          <w:szCs w:val="20"/>
          <w:color w:val="auto"/>
        </w:rPr>
      </w:pPr>
      <w:r>
        <w:rPr>
          <w:rFonts w:ascii="Arial" w:cs="Arial" w:eastAsia="Arial" w:hAnsi="Arial"/>
          <w:sz w:val="18"/>
          <w:szCs w:val="18"/>
          <w:color w:val="auto"/>
        </w:rPr>
        <w:t>NON-EXECUTIVE DIRECTORS</w:t>
      </w:r>
    </w:p>
    <w:p>
      <w:pPr>
        <w:spacing w:after="0" w:line="191" w:lineRule="exact"/>
        <w:rPr>
          <w:sz w:val="20"/>
          <w:szCs w:val="20"/>
          <w:color w:val="auto"/>
        </w:rPr>
      </w:pPr>
    </w:p>
    <w:p>
      <w:pPr>
        <w:ind w:left="80"/>
        <w:spacing w:after="0"/>
        <w:rPr>
          <w:sz w:val="20"/>
          <w:szCs w:val="20"/>
          <w:color w:val="auto"/>
        </w:rPr>
      </w:pPr>
      <w:r>
        <w:rPr>
          <w:rFonts w:ascii="Arial" w:cs="Arial" w:eastAsia="Arial" w:hAnsi="Arial"/>
          <w:sz w:val="15"/>
          <w:szCs w:val="15"/>
          <w:b w:val="1"/>
          <w:bCs w:val="1"/>
          <w:color w:val="FFFFFF"/>
        </w:rPr>
        <w:t>NON-EXECUTIVE DIRECTORS’ REMUNERATION POLICY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-95250</wp:posOffset>
            </wp:positionV>
            <wp:extent cx="7246620" cy="10287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246620" cy="102870"/>
                    </a:xfrm>
                    <a:prstGeom prst="rect">
                      <a:avLst/>
                    </a:prstGeom>
                    <a:noFill/>
                  </pic:spPr>
                </pic:pic>
              </a:graphicData>
            </a:graphic>
          </wp:anchor>
        </w:drawing>
      </w:r>
    </w:p>
    <w:p>
      <w:pPr>
        <w:spacing w:after="0"/>
        <w:tabs>
          <w:tab w:leader="none" w:pos="4340" w:val="left"/>
          <w:tab w:leader="none" w:pos="7060" w:val="left"/>
        </w:tabs>
        <w:rPr>
          <w:sz w:val="20"/>
          <w:szCs w:val="20"/>
          <w:color w:val="auto"/>
        </w:rPr>
      </w:pPr>
      <w:r>
        <w:rPr>
          <w:rFonts w:ascii="Arial" w:cs="Arial" w:eastAsia="Arial" w:hAnsi="Arial"/>
          <w:sz w:val="13"/>
          <w:szCs w:val="13"/>
          <w:color w:val="auto"/>
        </w:rPr>
        <w:t>Fee structure</w:t>
      </w:r>
      <w:r>
        <w:rPr>
          <w:sz w:val="20"/>
          <w:szCs w:val="20"/>
          <w:color w:val="auto"/>
        </w:rPr>
        <w:tab/>
      </w:r>
      <w:r>
        <w:rPr>
          <w:rFonts w:ascii="Arial" w:cs="Arial" w:eastAsia="Arial" w:hAnsi="Arial"/>
          <w:sz w:val="13"/>
          <w:szCs w:val="13"/>
          <w:color w:val="auto"/>
        </w:rPr>
        <w:t>Approach to setting fees</w:t>
      </w:r>
      <w:r>
        <w:rPr>
          <w:sz w:val="20"/>
          <w:szCs w:val="20"/>
          <w:color w:val="auto"/>
        </w:rPr>
        <w:tab/>
      </w:r>
      <w:r>
        <w:rPr>
          <w:rFonts w:ascii="Arial" w:cs="Arial" w:eastAsia="Arial" w:hAnsi="Arial"/>
          <w:sz w:val="12"/>
          <w:szCs w:val="12"/>
          <w:color w:val="auto"/>
        </w:rPr>
        <w:t>Other remuneration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7246620" cy="889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p>
      <w:pPr>
        <w:spacing w:after="0" w:line="10" w:lineRule="exact"/>
        <w:rPr>
          <w:sz w:val="20"/>
          <w:szCs w:val="20"/>
          <w:color w:val="auto"/>
        </w:rPr>
      </w:pPr>
    </w:p>
    <w:p>
      <w:pPr>
        <w:ind w:right="280"/>
        <w:spacing w:after="0" w:line="247" w:lineRule="auto"/>
        <w:rPr>
          <w:sz w:val="20"/>
          <w:szCs w:val="20"/>
          <w:color w:val="auto"/>
        </w:rPr>
      </w:pPr>
      <w:r>
        <w:rPr>
          <w:rFonts w:ascii="Arial" w:cs="Arial" w:eastAsia="Arial" w:hAnsi="Arial"/>
          <w:sz w:val="14"/>
          <w:szCs w:val="14"/>
          <w:color w:val="auto"/>
        </w:rPr>
        <w:t>Non-executive Directors (NEDs) receive a fixed annual fee for their directorship. The size of the fee will differ based on the position on the Board: Chairman of the Board fee or standard Non-executive Director fee.</w:t>
      </w:r>
    </w:p>
    <w:p>
      <w:pPr>
        <w:spacing w:after="0" w:line="202" w:lineRule="exact"/>
        <w:rPr>
          <w:sz w:val="20"/>
          <w:szCs w:val="20"/>
          <w:color w:val="auto"/>
        </w:rPr>
      </w:pPr>
    </w:p>
    <w:p>
      <w:pPr>
        <w:spacing w:after="0" w:line="250" w:lineRule="auto"/>
        <w:rPr>
          <w:sz w:val="20"/>
          <w:szCs w:val="20"/>
          <w:color w:val="auto"/>
        </w:rPr>
      </w:pPr>
      <w:r>
        <w:rPr>
          <w:rFonts w:ascii="Arial" w:cs="Arial" w:eastAsia="Arial" w:hAnsi="Arial"/>
          <w:sz w:val="14"/>
          <w:szCs w:val="14"/>
          <w:color w:val="auto"/>
        </w:rPr>
        <w:t>Additional annual fee(s) are payable to any director who serves as Senior Independent Director, a Board committee chairman, or a Board committee member.</w:t>
      </w:r>
    </w:p>
    <w:p>
      <w:pPr>
        <w:spacing w:after="0" w:line="199" w:lineRule="exact"/>
        <w:rPr>
          <w:sz w:val="20"/>
          <w:szCs w:val="20"/>
          <w:color w:val="auto"/>
        </w:rPr>
      </w:pPr>
    </w:p>
    <w:p>
      <w:pPr>
        <w:ind w:right="120"/>
        <w:spacing w:after="0" w:line="250" w:lineRule="auto"/>
        <w:rPr>
          <w:sz w:val="20"/>
          <w:szCs w:val="20"/>
          <w:color w:val="auto"/>
        </w:rPr>
      </w:pPr>
      <w:r>
        <w:rPr>
          <w:rFonts w:ascii="Arial" w:cs="Arial" w:eastAsia="Arial" w:hAnsi="Arial"/>
          <w:sz w:val="14"/>
          <w:szCs w:val="14"/>
          <w:color w:val="auto"/>
        </w:rPr>
        <w:t>A NED receives either a chairman or member fee for each committee. This means that a chairman of a committee does not receive both fees.</w:t>
      </w:r>
    </w:p>
    <w:p>
      <w:pPr>
        <w:spacing w:after="0" w:line="199" w:lineRule="exact"/>
        <w:rPr>
          <w:sz w:val="20"/>
          <w:szCs w:val="20"/>
          <w:color w:val="auto"/>
        </w:rPr>
      </w:pPr>
    </w:p>
    <w:p>
      <w:pPr>
        <w:jc w:val="both"/>
        <w:ind w:right="140"/>
        <w:spacing w:after="0" w:line="250" w:lineRule="auto"/>
        <w:rPr>
          <w:sz w:val="20"/>
          <w:szCs w:val="20"/>
          <w:color w:val="auto"/>
        </w:rPr>
      </w:pPr>
      <w:r>
        <w:rPr>
          <w:rFonts w:ascii="Arial" w:cs="Arial" w:eastAsia="Arial" w:hAnsi="Arial"/>
          <w:sz w:val="14"/>
          <w:szCs w:val="14"/>
          <w:color w:val="auto"/>
        </w:rPr>
        <w:t>NEDs receive an additional fee of €5,000 for any Board meeting involving intercontinental travel – except for one meeting a year held in a location other than The Hague.</w:t>
      </w:r>
    </w:p>
    <w:p>
      <w:pPr>
        <w:spacing w:after="0" w:line="20" w:lineRule="exact"/>
        <w:rPr>
          <w:sz w:val="20"/>
          <w:szCs w:val="20"/>
          <w:color w:val="auto"/>
        </w:rPr>
      </w:pPr>
      <w:r>
        <w:rPr>
          <w:sz w:val="20"/>
          <w:szCs w:val="20"/>
          <w:color w:val="auto"/>
        </w:rPr>
        <w:br w:type="column"/>
      </w:r>
    </w:p>
    <w:p>
      <w:pPr>
        <w:ind w:right="40"/>
        <w:spacing w:after="0" w:line="243" w:lineRule="auto"/>
        <w:rPr>
          <w:sz w:val="20"/>
          <w:szCs w:val="20"/>
          <w:color w:val="auto"/>
        </w:rPr>
      </w:pPr>
      <w:r>
        <w:rPr>
          <w:rFonts w:ascii="Arial" w:cs="Arial" w:eastAsia="Arial" w:hAnsi="Arial"/>
          <w:sz w:val="14"/>
          <w:szCs w:val="14"/>
          <w:color w:val="auto"/>
        </w:rPr>
        <w:t>The Chairman’s fee is determined by REMCO. The Board determines the fees payable to NEDs. The maximum aggregate annual fees will be within the limit specified by the Articles of Association and in accordance with the NEDs’ responsibilities and time commitments.</w:t>
      </w:r>
    </w:p>
    <w:p>
      <w:pPr>
        <w:spacing w:after="0" w:line="209" w:lineRule="exact"/>
        <w:rPr>
          <w:sz w:val="20"/>
          <w:szCs w:val="20"/>
          <w:color w:val="auto"/>
        </w:rPr>
      </w:pPr>
    </w:p>
    <w:p>
      <w:pPr>
        <w:spacing w:after="0" w:line="250" w:lineRule="auto"/>
        <w:rPr>
          <w:sz w:val="20"/>
          <w:szCs w:val="20"/>
          <w:color w:val="auto"/>
        </w:rPr>
      </w:pPr>
      <w:r>
        <w:rPr>
          <w:rFonts w:ascii="Arial" w:cs="Arial" w:eastAsia="Arial" w:hAnsi="Arial"/>
          <w:sz w:val="14"/>
          <w:szCs w:val="14"/>
          <w:color w:val="auto"/>
        </w:rPr>
        <w:t>The Board reviews NED fees periodically to ensure that they are aligned with those of other major listed companies.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-2762885</wp:posOffset>
            </wp:positionH>
            <wp:positionV relativeFrom="paragraph">
              <wp:posOffset>474980</wp:posOffset>
            </wp:positionV>
            <wp:extent cx="7246620" cy="889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right="140"/>
        <w:spacing w:after="0" w:line="241" w:lineRule="auto"/>
        <w:rPr>
          <w:sz w:val="20"/>
          <w:szCs w:val="20"/>
          <w:color w:val="auto"/>
        </w:rPr>
      </w:pPr>
      <w:r>
        <w:rPr>
          <w:rFonts w:ascii="Arial" w:cs="Arial" w:eastAsia="Arial" w:hAnsi="Arial"/>
          <w:sz w:val="14"/>
          <w:szCs w:val="14"/>
          <w:color w:val="auto"/>
        </w:rPr>
        <w:t>Business expenses incurred in respect of the performance of their duties as a NED will be paid or reimbursed by Shell.</w:t>
      </w:r>
    </w:p>
    <w:p>
      <w:pPr>
        <w:spacing w:after="0" w:line="1" w:lineRule="exact"/>
        <w:rPr>
          <w:sz w:val="20"/>
          <w:szCs w:val="20"/>
          <w:color w:val="auto"/>
        </w:rPr>
      </w:pPr>
    </w:p>
    <w:p>
      <w:pPr>
        <w:ind w:right="180"/>
        <w:spacing w:after="0" w:line="244" w:lineRule="auto"/>
        <w:rPr>
          <w:sz w:val="20"/>
          <w:szCs w:val="20"/>
          <w:color w:val="auto"/>
        </w:rPr>
      </w:pPr>
      <w:r>
        <w:rPr>
          <w:rFonts w:ascii="Arial" w:cs="Arial" w:eastAsia="Arial" w:hAnsi="Arial"/>
          <w:sz w:val="14"/>
          <w:szCs w:val="14"/>
          <w:color w:val="auto"/>
        </w:rPr>
        <w:t>Such expenses could include transport between home and office and occasional business-required spouse travel. Where required, the Chairman is offered Shell-provided accommodation in The Hague. REMCO has the discretion to offer other benefits to the Chairman as appropriate to his circumstances. Where business expenses or benefits create a personal tax liability to the director, Shell may cover the associated tax.</w:t>
      </w:r>
    </w:p>
    <w:p>
      <w:pPr>
        <w:spacing w:after="0" w:line="205" w:lineRule="exact"/>
        <w:rPr>
          <w:sz w:val="20"/>
          <w:szCs w:val="20"/>
          <w:color w:val="auto"/>
        </w:rPr>
      </w:pPr>
    </w:p>
    <w:p>
      <w:pPr>
        <w:ind w:right="240"/>
        <w:spacing w:after="0" w:line="250" w:lineRule="auto"/>
        <w:rPr>
          <w:sz w:val="20"/>
          <w:szCs w:val="20"/>
          <w:color w:val="auto"/>
        </w:rPr>
      </w:pPr>
      <w:r>
        <w:rPr>
          <w:rFonts w:ascii="Arial" w:cs="Arial" w:eastAsia="Arial" w:hAnsi="Arial"/>
          <w:sz w:val="14"/>
          <w:szCs w:val="14"/>
          <w:color w:val="auto"/>
        </w:rPr>
        <w:t>The Chairman and the other NEDs cannot receive awards under any incentive or performance-based remuneration plans, and personal loans or guarantees are not granted to them.</w:t>
      </w:r>
    </w:p>
    <w:p>
      <w:pPr>
        <w:spacing w:after="0" w:line="199" w:lineRule="exact"/>
        <w:rPr>
          <w:sz w:val="20"/>
          <w:szCs w:val="20"/>
          <w:color w:val="auto"/>
        </w:rPr>
      </w:pPr>
    </w:p>
    <w:p>
      <w:pPr>
        <w:ind w:right="40"/>
        <w:spacing w:after="0" w:line="258" w:lineRule="auto"/>
        <w:rPr>
          <w:sz w:val="20"/>
          <w:szCs w:val="20"/>
          <w:color w:val="auto"/>
        </w:rPr>
      </w:pPr>
      <w:r>
        <w:rPr>
          <w:rFonts w:ascii="Arial" w:cs="Arial" w:eastAsia="Arial" w:hAnsi="Arial"/>
          <w:sz w:val="14"/>
          <w:szCs w:val="14"/>
          <w:color w:val="auto"/>
        </w:rPr>
        <w:t>NEDs do not accrue any retirement benefits as a result of their non-executive directorships with Shell.</w:t>
      </w:r>
    </w:p>
    <w:p>
      <w:pPr>
        <w:spacing w:after="0" w:line="248" w:lineRule="exact"/>
        <w:rPr>
          <w:sz w:val="20"/>
          <w:szCs w:val="20"/>
          <w:color w:val="auto"/>
        </w:rPr>
      </w:pPr>
    </w:p>
    <w:p>
      <w:pPr>
        <w:sectPr>
          <w:pgSz w:w="11900" w:h="16838" w:orient="portrait"/>
          <w:cols w:equalWidth="0" w:num="3">
            <w:col w:w="4220" w:space="140"/>
            <w:col w:w="2620" w:space="100"/>
            <w:col w:w="4340"/>
          </w:cols>
          <w:pgMar w:left="240" w:top="459" w:right="239" w:bottom="1440" w:gutter="0" w:footer="0" w:header="0"/>
          <w:type w:val="continuous"/>
        </w:sectPr>
      </w:pP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color w:val="auto"/>
        </w:rPr>
        <w:t>MALUS AND CLAWBACK</w:t>
      </w:r>
    </w:p>
    <w:p>
      <w:pPr>
        <w:spacing w:after="0" w:line="1" w:lineRule="exact"/>
        <w:rPr>
          <w:sz w:val="20"/>
          <w:szCs w:val="20"/>
          <w:color w:val="auto"/>
        </w:rPr>
      </w:pPr>
    </w:p>
    <w:p>
      <w:pPr>
        <w:spacing w:after="0" w:line="243" w:lineRule="auto"/>
        <w:rPr>
          <w:sz w:val="20"/>
          <w:szCs w:val="20"/>
          <w:color w:val="auto"/>
        </w:rPr>
      </w:pPr>
      <w:r>
        <w:rPr>
          <w:rFonts w:ascii="Arial" w:cs="Arial" w:eastAsia="Arial" w:hAnsi="Arial"/>
          <w:sz w:val="14"/>
          <w:szCs w:val="14"/>
          <w:color w:val="auto"/>
        </w:rPr>
        <w:t>Incentive awards may be made subject to adjustment events. At the discretion of REMCO, such an award may be adjusted before delivery (malus) or reclaimed after delivery (clawback) if an adjustment event occurs. Adjustment events will be specified in incentive award documentation and it is intended that they will, for example, relate to restatement of financial results due to: non-compliance with a financial reporting requirement; or misconduct by an Executive Director or misconduct through his direction or non-direction. REMCO retains the right to alter the list of adjustment events in respect of future awards.</w:t>
      </w:r>
    </w:p>
    <w:p>
      <w:pPr>
        <w:spacing w:after="0" w:line="20" w:lineRule="exact"/>
        <w:rPr>
          <w:sz w:val="20"/>
          <w:szCs w:val="20"/>
          <w:color w:val="auto"/>
        </w:rPr>
      </w:pPr>
      <w:r>
        <w:rPr>
          <w:sz w:val="20"/>
          <w:szCs w:val="20"/>
          <w:color w:val="auto"/>
        </w:rPr>
        <w:br w:type="column"/>
      </w:r>
    </w:p>
    <w:p>
      <w:pPr>
        <w:spacing w:after="0" w:line="74" w:lineRule="exact"/>
        <w:rPr>
          <w:sz w:val="20"/>
          <w:szCs w:val="20"/>
          <w:color w:val="auto"/>
        </w:rPr>
      </w:pPr>
    </w:p>
    <w:p>
      <w:pPr>
        <w:ind w:right="380"/>
        <w:spacing w:after="0" w:line="258" w:lineRule="auto"/>
        <w:rPr>
          <w:sz w:val="20"/>
          <w:szCs w:val="20"/>
          <w:color w:val="auto"/>
        </w:rPr>
      </w:pPr>
      <w:r>
        <w:rPr>
          <w:rFonts w:ascii="Arial" w:cs="Arial" w:eastAsia="Arial" w:hAnsi="Arial"/>
          <w:sz w:val="14"/>
          <w:szCs w:val="14"/>
          <w:color w:val="auto"/>
        </w:rPr>
        <w:t>REMCO will follow the approach set out below when determining the remuneration package for a new Executive Director.</w:t>
      </w:r>
    </w:p>
    <w:p>
      <w:pPr>
        <w:spacing w:after="0" w:line="139" w:lineRule="exact"/>
        <w:rPr>
          <w:sz w:val="20"/>
          <w:szCs w:val="20"/>
          <w:color w:val="auto"/>
        </w:rPr>
      </w:pPr>
    </w:p>
    <w:p>
      <w:pPr>
        <w:spacing w:after="0"/>
        <w:rPr>
          <w:sz w:val="20"/>
          <w:szCs w:val="20"/>
          <w:color w:val="auto"/>
        </w:rPr>
      </w:pPr>
      <w:r>
        <w:rPr>
          <w:rFonts w:ascii="Arial" w:cs="Arial" w:eastAsia="Arial" w:hAnsi="Arial"/>
          <w:sz w:val="13"/>
          <w:szCs w:val="13"/>
          <w:color w:val="auto"/>
        </w:rPr>
        <w:t>ONGOING REMUNERATION</w:t>
      </w:r>
    </w:p>
    <w:p>
      <w:pPr>
        <w:ind w:right="280"/>
        <w:spacing w:after="0" w:line="250" w:lineRule="auto"/>
        <w:rPr>
          <w:sz w:val="20"/>
          <w:szCs w:val="20"/>
          <w:color w:val="auto"/>
        </w:rPr>
      </w:pPr>
      <w:r>
        <w:rPr>
          <w:rFonts w:ascii="Arial" w:cs="Arial" w:eastAsia="Arial" w:hAnsi="Arial"/>
          <w:sz w:val="14"/>
          <w:szCs w:val="14"/>
          <w:color w:val="auto"/>
        </w:rPr>
        <w:t>The salary, benefits, annual bonus, long-term incentives and pension benefits will be positioned and delivered within the framework of the Executive Directors’ remuneration policy and its stated maximum award and vesting levels.</w:t>
      </w:r>
    </w:p>
    <w:p>
      <w:pPr>
        <w:spacing w:after="0" w:line="161" w:lineRule="exact"/>
        <w:rPr>
          <w:sz w:val="20"/>
          <w:szCs w:val="20"/>
          <w:color w:val="auto"/>
        </w:rPr>
      </w:pPr>
    </w:p>
    <w:p>
      <w:pPr>
        <w:ind w:right="220"/>
        <w:spacing w:after="0" w:line="225" w:lineRule="auto"/>
        <w:rPr>
          <w:sz w:val="20"/>
          <w:szCs w:val="20"/>
          <w:color w:val="auto"/>
        </w:rPr>
      </w:pPr>
      <w:r>
        <w:rPr>
          <w:rFonts w:ascii="Arial" w:cs="Arial" w:eastAsia="Arial" w:hAnsi="Arial"/>
          <w:sz w:val="13"/>
          <w:szCs w:val="13"/>
          <w:color w:val="auto"/>
        </w:rPr>
        <w:t>COMPENSATION FOR THE FORFEIT OF ANY AWARDS UNDER VARIABLE REMUNERATION ARRANGEMENTS</w:t>
      </w:r>
    </w:p>
    <w:p>
      <w:pPr>
        <w:spacing w:after="0" w:line="1" w:lineRule="exact"/>
        <w:rPr>
          <w:sz w:val="20"/>
          <w:szCs w:val="20"/>
          <w:color w:val="auto"/>
        </w:rPr>
      </w:pPr>
    </w:p>
    <w:p>
      <w:pPr>
        <w:sectPr>
          <w:pgSz w:w="11900" w:h="16838" w:orient="portrait"/>
          <w:cols w:equalWidth="0" w:num="2">
            <w:col w:w="5460" w:space="320"/>
            <w:col w:w="5640"/>
          </w:cols>
          <w:pgMar w:left="240" w:top="459" w:right="239" w:bottom="1440" w:gutter="0" w:footer="0" w:header="0"/>
          <w:type w:val="continuous"/>
        </w:sectPr>
      </w:pPr>
    </w:p>
    <w:p>
      <w:pPr>
        <w:spacing w:after="0" w:line="94" w:lineRule="exact"/>
        <w:rPr>
          <w:sz w:val="20"/>
          <w:szCs w:val="20"/>
          <w:color w:val="auto"/>
        </w:rPr>
      </w:pPr>
    </w:p>
    <w:p>
      <w:pPr>
        <w:spacing w:after="0" w:line="245" w:lineRule="auto"/>
        <w:rPr>
          <w:sz w:val="20"/>
          <w:szCs w:val="20"/>
          <w:color w:val="auto"/>
        </w:rPr>
      </w:pPr>
      <w:r>
        <w:rPr>
          <w:rFonts w:ascii="Arial" w:cs="Arial" w:eastAsia="Arial" w:hAnsi="Arial"/>
          <w:sz w:val="14"/>
          <w:szCs w:val="14"/>
          <w:color w:val="auto"/>
        </w:rPr>
        <w:t>In addition, REMCO will retain discretion in assuring itself that there is satisfactory underlying performance before releasing any variable pay to Executive Directors and may withhold all or some of the bonus or shares awarded if it considers that the underlying performance (financial, environmental, safety or other) of Shell is inadequate.</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color w:val="auto"/>
        </w:rPr>
        <w:t>RECRUITMENT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Executive Directors</w:t>
      </w:r>
    </w:p>
    <w:p>
      <w:pPr>
        <w:spacing w:after="0" w:line="1" w:lineRule="exact"/>
        <w:rPr>
          <w:sz w:val="20"/>
          <w:szCs w:val="20"/>
          <w:color w:val="auto"/>
        </w:rPr>
      </w:pPr>
    </w:p>
    <w:p>
      <w:pPr>
        <w:spacing w:after="0" w:line="244" w:lineRule="auto"/>
        <w:rPr>
          <w:sz w:val="20"/>
          <w:szCs w:val="20"/>
          <w:color w:val="auto"/>
        </w:rPr>
      </w:pPr>
      <w:r>
        <w:rPr>
          <w:rFonts w:ascii="Arial" w:cs="Arial" w:eastAsia="Arial" w:hAnsi="Arial"/>
          <w:sz w:val="14"/>
          <w:szCs w:val="14"/>
          <w:color w:val="auto"/>
        </w:rPr>
        <w:t>REMCO determines the remuneration package for a new Executive Director appointment. This appointment may involve external or internal recruitment or reflect a change in role of a current Executive Director. The remuneration package will include: salary, benefits, annual bonus, long-term incentives and pension benefits. If considered appropriate, it may also include compensation for the forfeiture of awards or other entitlements from a previous employer as well as recruitment incentives.</w:t>
      </w:r>
    </w:p>
    <w:p>
      <w:pPr>
        <w:spacing w:after="0" w:line="166" w:lineRule="exact"/>
        <w:rPr>
          <w:sz w:val="20"/>
          <w:szCs w:val="20"/>
          <w:color w:val="auto"/>
        </w:rPr>
      </w:pPr>
    </w:p>
    <w:p>
      <w:pPr>
        <w:ind w:right="40"/>
        <w:spacing w:after="0" w:line="258" w:lineRule="auto"/>
        <w:rPr>
          <w:sz w:val="20"/>
          <w:szCs w:val="20"/>
          <w:color w:val="auto"/>
        </w:rPr>
      </w:pPr>
      <w:r>
        <w:rPr>
          <w:rFonts w:ascii="Arial" w:cs="Arial" w:eastAsia="Arial" w:hAnsi="Arial"/>
          <w:sz w:val="14"/>
          <w:szCs w:val="14"/>
          <w:color w:val="auto"/>
        </w:rPr>
        <w:t>When determining remuneration packages for new Executive Directors, REMCO will seek a balanced outcome which allows Shell to:</w:t>
      </w:r>
    </w:p>
    <w:p>
      <w:pPr>
        <w:spacing w:after="0" w:line="80" w:lineRule="exact"/>
        <w:rPr>
          <w:sz w:val="20"/>
          <w:szCs w:val="20"/>
          <w:color w:val="auto"/>
        </w:rPr>
      </w:pPr>
    </w:p>
    <w:p>
      <w:pPr>
        <w:ind w:left="180" w:hanging="172"/>
        <w:spacing w:after="0"/>
        <w:tabs>
          <w:tab w:leader="none" w:pos="180" w:val="left"/>
        </w:tabs>
        <w:numPr>
          <w:ilvl w:val="0"/>
          <w:numId w:val="119"/>
        </w:numPr>
        <w:rPr>
          <w:rFonts w:ascii="Arial" w:cs="Arial" w:eastAsia="Arial" w:hAnsi="Arial"/>
          <w:sz w:val="24"/>
          <w:szCs w:val="24"/>
          <w:color w:val="auto"/>
          <w:vertAlign w:val="superscript"/>
        </w:rPr>
      </w:pPr>
      <w:r>
        <w:rPr>
          <w:rFonts w:ascii="Arial" w:cs="Arial" w:eastAsia="Arial" w:hAnsi="Arial"/>
          <w:sz w:val="14"/>
          <w:szCs w:val="14"/>
          <w:color w:val="auto"/>
        </w:rPr>
        <w:t>attract and motivate candidates of the right quality;</w:t>
      </w:r>
    </w:p>
    <w:p>
      <w:pPr>
        <w:ind w:left="180" w:right="560" w:hanging="172"/>
        <w:spacing w:after="0" w:line="182" w:lineRule="auto"/>
        <w:tabs>
          <w:tab w:leader="none" w:pos="180" w:val="left"/>
        </w:tabs>
        <w:numPr>
          <w:ilvl w:val="0"/>
          <w:numId w:val="119"/>
        </w:numPr>
        <w:rPr>
          <w:rFonts w:ascii="Arial" w:cs="Arial" w:eastAsia="Arial" w:hAnsi="Arial"/>
          <w:sz w:val="23"/>
          <w:szCs w:val="23"/>
          <w:color w:val="auto"/>
          <w:vertAlign w:val="superscript"/>
        </w:rPr>
      </w:pPr>
      <w:r>
        <w:rPr>
          <w:rFonts w:ascii="Arial" w:cs="Arial" w:eastAsia="Arial" w:hAnsi="Arial"/>
          <w:sz w:val="14"/>
          <w:szCs w:val="14"/>
          <w:color w:val="auto"/>
        </w:rPr>
        <w:t>take into account the individual’s current remuneration package and other contractual entitlements;</w:t>
      </w:r>
    </w:p>
    <w:p>
      <w:pPr>
        <w:spacing w:after="0" w:line="1" w:lineRule="exact"/>
        <w:rPr>
          <w:rFonts w:ascii="Arial" w:cs="Arial" w:eastAsia="Arial" w:hAnsi="Arial"/>
          <w:sz w:val="23"/>
          <w:szCs w:val="23"/>
          <w:color w:val="auto"/>
          <w:vertAlign w:val="superscript"/>
        </w:rPr>
      </w:pPr>
    </w:p>
    <w:p>
      <w:pPr>
        <w:ind w:left="180" w:right="600" w:hanging="172"/>
        <w:spacing w:after="0" w:line="182" w:lineRule="auto"/>
        <w:tabs>
          <w:tab w:leader="none" w:pos="180" w:val="left"/>
        </w:tabs>
        <w:numPr>
          <w:ilvl w:val="0"/>
          <w:numId w:val="119"/>
        </w:numPr>
        <w:rPr>
          <w:rFonts w:ascii="Arial" w:cs="Arial" w:eastAsia="Arial" w:hAnsi="Arial"/>
          <w:sz w:val="23"/>
          <w:szCs w:val="23"/>
          <w:color w:val="auto"/>
          <w:vertAlign w:val="superscript"/>
        </w:rPr>
      </w:pPr>
      <w:r>
        <w:rPr>
          <w:rFonts w:ascii="Arial" w:cs="Arial" w:eastAsia="Arial" w:hAnsi="Arial"/>
          <w:sz w:val="14"/>
          <w:szCs w:val="14"/>
          <w:color w:val="auto"/>
        </w:rPr>
        <w:t>seek a competitive pay position relative to our comparator group, without overpaying;</w:t>
      </w:r>
    </w:p>
    <w:p>
      <w:pPr>
        <w:spacing w:after="0" w:line="1" w:lineRule="exact"/>
        <w:rPr>
          <w:rFonts w:ascii="Arial" w:cs="Arial" w:eastAsia="Arial" w:hAnsi="Arial"/>
          <w:sz w:val="23"/>
          <w:szCs w:val="23"/>
          <w:color w:val="auto"/>
          <w:vertAlign w:val="superscript"/>
        </w:rPr>
      </w:pPr>
    </w:p>
    <w:p>
      <w:pPr>
        <w:ind w:left="180" w:hanging="172"/>
        <w:spacing w:after="0" w:line="187" w:lineRule="auto"/>
        <w:tabs>
          <w:tab w:leader="none" w:pos="180" w:val="left"/>
        </w:tabs>
        <w:numPr>
          <w:ilvl w:val="0"/>
          <w:numId w:val="119"/>
        </w:numPr>
        <w:rPr>
          <w:rFonts w:ascii="Arial" w:cs="Arial" w:eastAsia="Arial" w:hAnsi="Arial"/>
          <w:sz w:val="18"/>
          <w:szCs w:val="18"/>
          <w:color w:val="auto"/>
          <w:vertAlign w:val="superscript"/>
        </w:rPr>
      </w:pPr>
      <w:r>
        <w:rPr>
          <w:rFonts w:ascii="Arial" w:cs="Arial" w:eastAsia="Arial" w:hAnsi="Arial"/>
          <w:sz w:val="11"/>
          <w:szCs w:val="11"/>
          <w:color w:val="auto"/>
        </w:rPr>
        <w:t>provide an incentive to join Shell and encourage relocation if required; and</w:t>
      </w:r>
    </w:p>
    <w:p>
      <w:pPr>
        <w:ind w:left="180" w:right="200" w:hanging="172"/>
        <w:spacing w:after="0" w:line="183" w:lineRule="auto"/>
        <w:tabs>
          <w:tab w:leader="none" w:pos="180" w:val="left"/>
        </w:tabs>
        <w:numPr>
          <w:ilvl w:val="0"/>
          <w:numId w:val="119"/>
        </w:numPr>
        <w:rPr>
          <w:rFonts w:ascii="Arial" w:cs="Arial" w:eastAsia="Arial" w:hAnsi="Arial"/>
          <w:sz w:val="24"/>
          <w:szCs w:val="24"/>
          <w:color w:val="auto"/>
          <w:vertAlign w:val="superscript"/>
        </w:rPr>
      </w:pPr>
      <w:r>
        <w:rPr>
          <w:rFonts w:ascii="Arial" w:cs="Arial" w:eastAsia="Arial" w:hAnsi="Arial"/>
          <w:sz w:val="14"/>
          <w:szCs w:val="14"/>
          <w:color w:val="auto"/>
        </w:rPr>
        <w:t>honour entitlements (for example, variable remuneration) of internal candidates before their promotion to the Board.</w:t>
      </w:r>
    </w:p>
    <w:p>
      <w:pPr>
        <w:spacing w:after="0" w:line="20" w:lineRule="exact"/>
        <w:rPr>
          <w:sz w:val="20"/>
          <w:szCs w:val="20"/>
          <w:color w:val="auto"/>
        </w:rPr>
      </w:pPr>
      <w:r>
        <w:rPr>
          <w:sz w:val="20"/>
          <w:szCs w:val="20"/>
          <w:color w:val="auto"/>
        </w:rPr>
        <w:br w:type="column"/>
      </w:r>
    </w:p>
    <w:p>
      <w:pPr>
        <w:ind w:right="160"/>
        <w:spacing w:after="0" w:line="243" w:lineRule="auto"/>
        <w:rPr>
          <w:sz w:val="20"/>
          <w:szCs w:val="20"/>
          <w:color w:val="auto"/>
        </w:rPr>
      </w:pPr>
      <w:r>
        <w:rPr>
          <w:rFonts w:ascii="Arial" w:cs="Arial" w:eastAsia="Arial" w:hAnsi="Arial"/>
          <w:sz w:val="14"/>
          <w:szCs w:val="14"/>
          <w:color w:val="auto"/>
        </w:rPr>
        <w:t>To facilitate external recruitment, one-off compensation in consideration for forfeited awards under variable remuneration arrangements entered into with a previous employer may be required in addition to the ongoing annual remuneration package. REMCO will use its judgement to determine the appropriate level of compensation by matching the value of any lost awards under variable remuneration arrangements with the candidate’s previous employer. This compensation may take the form of a one-off cash payment or an additional award under the LTIP. The compensation can alternatively be based on a newly created long-term incentive plan arrangement where the only participant is the new director. The maximum for any such award is an amount equal to the value of the forfeited variable remuneration awards, as assessed by REMCO. Consideration will be given to appropriate performance conditions and clawback arrangements.</w:t>
      </w:r>
    </w:p>
    <w:p>
      <w:pPr>
        <w:spacing w:after="0" w:line="153" w:lineRule="exact"/>
        <w:rPr>
          <w:sz w:val="20"/>
          <w:szCs w:val="20"/>
          <w:color w:val="auto"/>
        </w:rPr>
      </w:pPr>
    </w:p>
    <w:p>
      <w:pPr>
        <w:spacing w:after="0"/>
        <w:rPr>
          <w:sz w:val="20"/>
          <w:szCs w:val="20"/>
          <w:color w:val="auto"/>
        </w:rPr>
      </w:pPr>
      <w:r>
        <w:rPr>
          <w:rFonts w:ascii="Arial" w:cs="Arial" w:eastAsia="Arial" w:hAnsi="Arial"/>
          <w:sz w:val="12"/>
          <w:szCs w:val="12"/>
          <w:color w:val="auto"/>
        </w:rPr>
        <w:t>REPLACEMENT OF FORFEITED ENTITLEMENTS OTHER THAN VARIABLE REMUNERATION</w:t>
      </w:r>
    </w:p>
    <w:p>
      <w:pPr>
        <w:spacing w:after="0" w:line="8" w:lineRule="exact"/>
        <w:rPr>
          <w:sz w:val="20"/>
          <w:szCs w:val="20"/>
          <w:color w:val="auto"/>
        </w:rPr>
      </w:pPr>
    </w:p>
    <w:p>
      <w:pPr>
        <w:ind w:right="200"/>
        <w:spacing w:after="0" w:line="244" w:lineRule="auto"/>
        <w:rPr>
          <w:sz w:val="20"/>
          <w:szCs w:val="20"/>
          <w:color w:val="auto"/>
        </w:rPr>
      </w:pPr>
      <w:r>
        <w:rPr>
          <w:rFonts w:ascii="Arial" w:cs="Arial" w:eastAsia="Arial" w:hAnsi="Arial"/>
          <w:sz w:val="14"/>
          <w:szCs w:val="14"/>
          <w:color w:val="auto"/>
        </w:rPr>
        <w:t>There may also be a need to compensate a new Executive Director in respect of forfeited entitlements other than variable remuneration. This could include, for example, pension or contractual entitlements, or other benefits. On recruitment, these entitlements may be replicated within the Executive Directors’ remuneration policy or valued by REMCO and compensated in cash. In cases of internal promotion to the Board, any commitments made which cannot be effectively replaced under the policy may, at REMCO’s discretion, continue to be honoured.</w:t>
      </w:r>
    </w:p>
    <w:p>
      <w:pPr>
        <w:sectPr>
          <w:pgSz w:w="11900" w:h="16838" w:orient="portrait"/>
          <w:cols w:equalWidth="0" w:num="2">
            <w:col w:w="5400" w:space="380"/>
            <w:col w:w="5640"/>
          </w:cols>
          <w:pgMar w:left="240" w:top="459" w:right="239" w:bottom="1440" w:gutter="0" w:footer="0" w:header="0"/>
          <w:type w:val="continuous"/>
        </w:sectPr>
      </w:pPr>
    </w:p>
    <w:bookmarkStart w:id="98" w:name="page99"/>
    <w:bookmarkEnd w:id="9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1"/>
          <w:szCs w:val="11"/>
          <w:color w:val="auto"/>
        </w:rPr>
        <w:t>SHELL ANNUAL REPORT AND FORM 20-F 2014</w:t>
      </w:r>
    </w:p>
    <w:p>
      <w:pPr>
        <w:spacing w:after="0" w:line="43" w:lineRule="exact"/>
        <w:rPr>
          <w:sz w:val="20"/>
          <w:szCs w:val="20"/>
          <w:color w:val="auto"/>
        </w:rPr>
      </w:pPr>
    </w:p>
    <w:p>
      <w:pPr>
        <w:spacing w:after="0"/>
        <w:rPr>
          <w:sz w:val="20"/>
          <w:szCs w:val="20"/>
          <w:color w:val="auto"/>
        </w:rPr>
      </w:pPr>
      <w:r>
        <w:rPr>
          <w:rFonts w:ascii="Arial" w:cs="Arial" w:eastAsia="Arial" w:hAnsi="Arial"/>
          <w:sz w:val="13"/>
          <w:szCs w:val="13"/>
          <w:color w:val="auto"/>
        </w:rPr>
        <w:t>EXCEPTIONAL RECRUITMENT INCENTIVE</w:t>
      </w:r>
    </w:p>
    <w:p>
      <w:pPr>
        <w:ind w:right="40"/>
        <w:spacing w:after="0" w:line="245" w:lineRule="auto"/>
        <w:rPr>
          <w:sz w:val="20"/>
          <w:szCs w:val="20"/>
          <w:color w:val="auto"/>
        </w:rPr>
      </w:pPr>
      <w:r>
        <w:rPr>
          <w:rFonts w:ascii="Arial" w:cs="Arial" w:eastAsia="Arial" w:hAnsi="Arial"/>
          <w:sz w:val="14"/>
          <w:szCs w:val="14"/>
          <w:color w:val="auto"/>
        </w:rPr>
        <w:t>Apart from the ongoing annual package and any compensation in respect of the replacement of forfeited entitlements, there may be circumstances in which REMCO needs to offer a one-off recruitment incentive to ensure the right external candidate is attracted. The necessity and level of this incentive will depend on the individual’s circumstances.</w:t>
      </w:r>
    </w:p>
    <w:p>
      <w:pPr>
        <w:spacing w:after="0" w:line="178" w:lineRule="exact"/>
        <w:rPr>
          <w:sz w:val="20"/>
          <w:szCs w:val="20"/>
          <w:color w:val="auto"/>
        </w:rPr>
      </w:pPr>
    </w:p>
    <w:p>
      <w:pPr>
        <w:ind w:right="200"/>
        <w:spacing w:after="0" w:line="258" w:lineRule="auto"/>
        <w:rPr>
          <w:sz w:val="20"/>
          <w:szCs w:val="20"/>
          <w:color w:val="auto"/>
        </w:rPr>
      </w:pPr>
      <w:r>
        <w:rPr>
          <w:rFonts w:ascii="Arial" w:cs="Arial" w:eastAsia="Arial" w:hAnsi="Arial"/>
          <w:sz w:val="14"/>
          <w:szCs w:val="14"/>
          <w:color w:val="auto"/>
        </w:rPr>
        <w:t>The maximum available for this incentive would be one times the LTIP award level, subject to the limits set out in the “Executive Directors’ remuneration policy table”.</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Non-executive Directors</w:t>
      </w:r>
    </w:p>
    <w:p>
      <w:pPr>
        <w:spacing w:after="0" w:line="1" w:lineRule="exact"/>
        <w:rPr>
          <w:sz w:val="20"/>
          <w:szCs w:val="20"/>
          <w:color w:val="auto"/>
        </w:rPr>
      </w:pPr>
    </w:p>
    <w:p>
      <w:pPr>
        <w:ind w:right="60"/>
        <w:spacing w:after="0" w:line="247" w:lineRule="auto"/>
        <w:rPr>
          <w:sz w:val="20"/>
          <w:szCs w:val="20"/>
          <w:color w:val="auto"/>
        </w:rPr>
      </w:pPr>
      <w:r>
        <w:rPr>
          <w:rFonts w:ascii="Arial" w:cs="Arial" w:eastAsia="Arial" w:hAnsi="Arial"/>
          <w:sz w:val="14"/>
          <w:szCs w:val="14"/>
          <w:color w:val="auto"/>
        </w:rPr>
        <w:t>REMCO’s approach to setting the remuneration package for NEDs is to offer fee levels and specific benefits (where appropriate) in line with the “Non-executive Directors’ remuneration policy table” and subject to the Articles of Association. NEDs are not offered variable remuneration or retention awards.</w:t>
      </w:r>
    </w:p>
    <w:p>
      <w:pPr>
        <w:spacing w:after="0" w:line="161" w:lineRule="exact"/>
        <w:rPr>
          <w:sz w:val="20"/>
          <w:szCs w:val="20"/>
          <w:color w:val="auto"/>
        </w:rPr>
      </w:pPr>
    </w:p>
    <w:p>
      <w:pPr>
        <w:ind w:right="160"/>
        <w:spacing w:after="0" w:line="258" w:lineRule="auto"/>
        <w:rPr>
          <w:sz w:val="20"/>
          <w:szCs w:val="20"/>
          <w:color w:val="auto"/>
        </w:rPr>
      </w:pPr>
      <w:r>
        <w:rPr>
          <w:rFonts w:ascii="Arial" w:cs="Arial" w:eastAsia="Arial" w:hAnsi="Arial"/>
          <w:sz w:val="14"/>
          <w:szCs w:val="14"/>
          <w:color w:val="auto"/>
        </w:rPr>
        <w:t>When determining the benefits for a new Chairman, the individual circumstances of the future Chairman will be taken into account.</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auto"/>
        </w:rPr>
        <w:t>SERVICE CONTRACTS</w:t>
      </w:r>
    </w:p>
    <w:p>
      <w:pPr>
        <w:spacing w:after="0" w:line="1" w:lineRule="exact"/>
        <w:rPr>
          <w:sz w:val="20"/>
          <w:szCs w:val="20"/>
          <w:color w:val="auto"/>
        </w:rPr>
      </w:pPr>
    </w:p>
    <w:p>
      <w:pPr>
        <w:ind w:right="20"/>
        <w:spacing w:after="0" w:line="244" w:lineRule="auto"/>
        <w:rPr>
          <w:sz w:val="20"/>
          <w:szCs w:val="20"/>
          <w:color w:val="auto"/>
        </w:rPr>
      </w:pPr>
      <w:r>
        <w:rPr>
          <w:rFonts w:ascii="Arial" w:cs="Arial" w:eastAsia="Arial" w:hAnsi="Arial"/>
          <w:sz w:val="14"/>
          <w:szCs w:val="14"/>
          <w:color w:val="auto"/>
        </w:rPr>
        <w:t>Executive Directors have employment contracts for an indefinite period. Non-executive Directors, including the Chairman, do not have an employment contract but letters of appointment. Executive Directors’ employment contracts and NEDs’ letters of appointment are available for inspection at the Annual General Meeting (AGM) or on request. For further details on appointment and re-appointment of Directors, refer to the “Directors’ Report”.</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color w:val="auto"/>
        </w:rPr>
        <w:t>END OF EMPLOYMENT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Executive Directors</w:t>
      </w:r>
    </w:p>
    <w:p>
      <w:pPr>
        <w:spacing w:after="0" w:line="176" w:lineRule="exact"/>
        <w:rPr>
          <w:sz w:val="20"/>
          <w:szCs w:val="20"/>
          <w:color w:val="auto"/>
        </w:rPr>
      </w:pPr>
    </w:p>
    <w:p>
      <w:pPr>
        <w:spacing w:after="0"/>
        <w:rPr>
          <w:sz w:val="20"/>
          <w:szCs w:val="20"/>
          <w:color w:val="auto"/>
        </w:rPr>
      </w:pPr>
      <w:r>
        <w:rPr>
          <w:rFonts w:ascii="Arial" w:cs="Arial" w:eastAsia="Arial" w:hAnsi="Arial"/>
          <w:sz w:val="13"/>
          <w:szCs w:val="13"/>
          <w:color w:val="auto"/>
        </w:rPr>
        <w:t>NOTICE PERIODS</w:t>
      </w:r>
    </w:p>
    <w:p>
      <w:pPr>
        <w:spacing w:after="0" w:line="244" w:lineRule="auto"/>
        <w:rPr>
          <w:sz w:val="20"/>
          <w:szCs w:val="20"/>
          <w:color w:val="auto"/>
        </w:rPr>
      </w:pPr>
      <w:r>
        <w:rPr>
          <w:rFonts w:ascii="Arial" w:cs="Arial" w:eastAsia="Arial" w:hAnsi="Arial"/>
          <w:sz w:val="14"/>
          <w:szCs w:val="14"/>
          <w:color w:val="auto"/>
        </w:rPr>
        <w:t>Executive Directors’ employment contracts are governed by Dutch employment law. This choice was made because mandatory provisions of Dutch employment law apply even if a foreign law has been specified to govern a contract. Employment terms are consistent with those of other Shell staff with Dutch employment contracts. The contracts can end by notice of either party (one month for an employee and up to a maximum of four months for the employer) or automatically at retirement. Under Dutch law, termination payments are not linked to the contract’s notice period.</w:t>
      </w:r>
    </w:p>
    <w:p>
      <w:pPr>
        <w:spacing w:after="0" w:line="150" w:lineRule="exact"/>
        <w:rPr>
          <w:sz w:val="20"/>
          <w:szCs w:val="20"/>
          <w:color w:val="auto"/>
        </w:rPr>
      </w:pPr>
    </w:p>
    <w:p>
      <w:pPr>
        <w:spacing w:after="0"/>
        <w:rPr>
          <w:sz w:val="20"/>
          <w:szCs w:val="20"/>
          <w:color w:val="auto"/>
        </w:rPr>
      </w:pPr>
      <w:r>
        <w:rPr>
          <w:rFonts w:ascii="Arial" w:cs="Arial" w:eastAsia="Arial" w:hAnsi="Arial"/>
          <w:sz w:val="13"/>
          <w:szCs w:val="13"/>
          <w:color w:val="auto"/>
        </w:rPr>
        <w:t>OUTSTANDING ENTITLEMENTS</w:t>
      </w:r>
    </w:p>
    <w:p>
      <w:pPr>
        <w:ind w:right="100"/>
        <w:spacing w:after="0" w:line="247" w:lineRule="auto"/>
        <w:rPr>
          <w:sz w:val="20"/>
          <w:szCs w:val="20"/>
          <w:color w:val="auto"/>
        </w:rPr>
      </w:pPr>
      <w:r>
        <w:rPr>
          <w:rFonts w:ascii="Arial" w:cs="Arial" w:eastAsia="Arial" w:hAnsi="Arial"/>
          <w:sz w:val="14"/>
          <w:szCs w:val="14"/>
          <w:color w:val="auto"/>
        </w:rPr>
        <w:t>In cases of resignation or dismissal, fixed remuneration (base salary, benefits, and employer pension contributions) will cease on the last day of employment, variable remuneration elements will generally lapse and the director is not eligible for loss-of-office compensation.</w:t>
      </w:r>
    </w:p>
    <w:p>
      <w:pPr>
        <w:spacing w:after="0" w:line="161" w:lineRule="exact"/>
        <w:rPr>
          <w:sz w:val="20"/>
          <w:szCs w:val="20"/>
          <w:color w:val="auto"/>
        </w:rPr>
      </w:pPr>
    </w:p>
    <w:p>
      <w:pPr>
        <w:ind w:right="60"/>
        <w:spacing w:after="0" w:line="247" w:lineRule="auto"/>
        <w:rPr>
          <w:sz w:val="20"/>
          <w:szCs w:val="20"/>
          <w:color w:val="auto"/>
        </w:rPr>
      </w:pPr>
      <w:r>
        <w:rPr>
          <w:rFonts w:ascii="Arial" w:cs="Arial" w:eastAsia="Arial" w:hAnsi="Arial"/>
          <w:sz w:val="14"/>
          <w:szCs w:val="14"/>
          <w:color w:val="auto"/>
        </w:rPr>
        <w:t>The information below generally applies to termination of employment by Shell giving notice, by mutual agreement, or in situations where the employment terminates because of retirement with Shell consent at a date other than the normal retirement date, redundancy or in other similar circumstances at REMCO’s discretion.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spacing w:after="0" w:line="1" w:lineRule="exact"/>
        <w:rPr>
          <w:sz w:val="1"/>
          <w:szCs w:val="1"/>
          <w:color w:val="auto"/>
        </w:rPr>
      </w:pPr>
    </w:p>
    <w:tbl>
      <w:tblPr>
        <w:tblLayout w:type="fixed"/>
        <w:tblInd w:w="740" w:type="dxa"/>
        <w:tblCellMar>
          <w:top w:w="0" w:type="dxa"/>
          <w:left w:w="0" w:type="dxa"/>
          <w:bottom w:w="0" w:type="dxa"/>
          <w:right w:w="0" w:type="dxa"/>
        </w:tblCellMar>
      </w:tblPr>
      <w:tr>
        <w:trPr>
          <w:trHeight w:val="161"/>
        </w:trPr>
        <w:tc>
          <w:tcPr>
            <w:tcW w:w="2580" w:type="dxa"/>
            <w:vAlign w:val="bottom"/>
          </w:tcPr>
          <w:p>
            <w:pPr>
              <w:spacing w:after="0"/>
              <w:rPr>
                <w:sz w:val="20"/>
                <w:szCs w:val="20"/>
                <w:color w:val="auto"/>
              </w:rPr>
            </w:pPr>
            <w:r>
              <w:rPr>
                <w:rFonts w:ascii="Arial" w:cs="Arial" w:eastAsia="Arial" w:hAnsi="Arial"/>
                <w:sz w:val="13"/>
                <w:szCs w:val="13"/>
                <w:color w:val="333333"/>
              </w:rPr>
              <w:t>GOVERNANCE</w:t>
            </w:r>
          </w:p>
        </w:tc>
        <w:tc>
          <w:tcPr>
            <w:tcW w:w="1820" w:type="dxa"/>
            <w:vAlign w:val="bottom"/>
          </w:tcPr>
          <w:p>
            <w:pPr>
              <w:jc w:val="right"/>
              <w:spacing w:after="0"/>
              <w:rPr>
                <w:sz w:val="20"/>
                <w:szCs w:val="20"/>
                <w:color w:val="auto"/>
              </w:rPr>
            </w:pPr>
            <w:r>
              <w:rPr>
                <w:rFonts w:ascii="Arial" w:cs="Arial" w:eastAsia="Arial" w:hAnsi="Arial"/>
                <w:sz w:val="11"/>
                <w:szCs w:val="11"/>
                <w:b w:val="1"/>
                <w:bCs w:val="1"/>
                <w:color w:val="333333"/>
              </w:rPr>
              <w:t>97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-3677285</wp:posOffset>
            </wp:positionH>
            <wp:positionV relativeFrom="paragraph">
              <wp:posOffset>-992505</wp:posOffset>
            </wp:positionV>
            <wp:extent cx="7289165" cy="3810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drawing>
          <wp:anchor simplePos="0" relativeHeight="251657728" behindDoc="1" locked="0" layoutInCell="0" allowOverlap="1">
            <wp:simplePos x="0" y="0"/>
            <wp:positionH relativeFrom="column">
              <wp:posOffset>-114300</wp:posOffset>
            </wp:positionH>
            <wp:positionV relativeFrom="paragraph">
              <wp:posOffset>-358140</wp:posOffset>
            </wp:positionV>
            <wp:extent cx="3696335" cy="46291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3696335" cy="462915"/>
                    </a:xfrm>
                    <a:prstGeom prst="rect">
                      <a:avLst/>
                    </a:prstGeom>
                    <a:noFill/>
                  </pic:spPr>
                </pic:pic>
              </a:graphicData>
            </a:graphic>
          </wp:anchor>
        </w:drawing>
      </w:r>
    </w:p>
    <w:p>
      <w:pPr>
        <w:spacing w:after="0" w:line="141" w:lineRule="exact"/>
        <w:rPr>
          <w:sz w:val="20"/>
          <w:szCs w:val="20"/>
          <w:color w:val="auto"/>
        </w:rPr>
      </w:pPr>
    </w:p>
    <w:p>
      <w:pPr>
        <w:ind w:left="740"/>
        <w:spacing w:after="0"/>
        <w:rPr>
          <w:sz w:val="20"/>
          <w:szCs w:val="20"/>
          <w:color w:val="auto"/>
        </w:rPr>
      </w:pPr>
      <w:r>
        <w:rPr>
          <w:rFonts w:ascii="Arial" w:cs="Arial" w:eastAsia="Arial" w:hAnsi="Arial"/>
          <w:sz w:val="11"/>
          <w:szCs w:val="11"/>
          <w:color w:val="auto"/>
        </w:rPr>
        <w:t>DIRECTORS’ REMUNERATION REPORT</w:t>
      </w:r>
    </w:p>
    <w:p>
      <w:pPr>
        <w:spacing w:after="0" w:line="57" w:lineRule="exact"/>
        <w:rPr>
          <w:sz w:val="20"/>
          <w:szCs w:val="20"/>
          <w:color w:val="auto"/>
        </w:rPr>
      </w:pPr>
    </w:p>
    <w:p>
      <w:pPr>
        <w:ind w:right="20"/>
        <w:spacing w:after="0" w:line="243" w:lineRule="auto"/>
        <w:rPr>
          <w:sz w:val="20"/>
          <w:szCs w:val="20"/>
          <w:color w:val="auto"/>
        </w:rPr>
      </w:pPr>
      <w:r>
        <w:rPr>
          <w:rFonts w:ascii="Arial" w:cs="Arial" w:eastAsia="Arial" w:hAnsi="Arial"/>
          <w:sz w:val="14"/>
          <w:szCs w:val="14"/>
          <w:color w:val="auto"/>
        </w:rPr>
        <w:t>For Executive Directors appointed prior to 2011, REMCO may offer compensation for losses resulting from termination of employment of up to one times annual pay (base salary plus target bonus). For Executive Directors appointed from 2011 onwards, the employment contracts include a cap on any payments resulting from loss of employment of one times annual pay (base salary plus target bonus) and include a reference to the Executive Directors’ duty to seek alternative employment and thereby mitigate their loss. For mitigation purposes, the delivery of compensation for loss of office payments could be phased. This level of termination payments was part of a number of policy changes agreed with shareholders in 2010, and seeks to balance governance expectations and end-of-employment practice in the Netherlands.</w:t>
      </w:r>
    </w:p>
    <w:p>
      <w:pPr>
        <w:spacing w:after="0" w:line="180" w:lineRule="exact"/>
        <w:rPr>
          <w:sz w:val="20"/>
          <w:szCs w:val="20"/>
          <w:color w:val="auto"/>
        </w:rPr>
      </w:pPr>
    </w:p>
    <w:p>
      <w:pPr>
        <w:ind w:right="60"/>
        <w:spacing w:after="0" w:line="250" w:lineRule="auto"/>
        <w:rPr>
          <w:sz w:val="20"/>
          <w:szCs w:val="20"/>
          <w:color w:val="auto"/>
        </w:rPr>
      </w:pPr>
      <w:r>
        <w:rPr>
          <w:rFonts w:ascii="Arial" w:cs="Arial" w:eastAsia="Arial" w:hAnsi="Arial"/>
          <w:sz w:val="14"/>
          <w:szCs w:val="14"/>
          <w:color w:val="auto"/>
        </w:rPr>
        <w:t>REMCO may adjust the termination payment for any situation where a full payment is inappropriate, taking into consideration applicable law, corporate governance provisions and the best interests of the Company and shareholders as a whole.</w:t>
      </w:r>
    </w:p>
    <w:p>
      <w:pPr>
        <w:spacing w:after="0" w:line="159" w:lineRule="exact"/>
        <w:rPr>
          <w:sz w:val="20"/>
          <w:szCs w:val="20"/>
          <w:color w:val="auto"/>
        </w:rPr>
      </w:pPr>
    </w:p>
    <w:p>
      <w:pPr>
        <w:ind w:right="40"/>
        <w:spacing w:after="0" w:line="243" w:lineRule="auto"/>
        <w:rPr>
          <w:sz w:val="20"/>
          <w:szCs w:val="20"/>
          <w:color w:val="auto"/>
        </w:rPr>
      </w:pPr>
      <w:r>
        <w:rPr>
          <w:rFonts w:ascii="Arial" w:cs="Arial" w:eastAsia="Arial" w:hAnsi="Arial"/>
          <w:sz w:val="14"/>
          <w:szCs w:val="14"/>
          <w:color w:val="auto"/>
        </w:rPr>
        <w:t>Base salary, benefits and employer pension contributions will cease to accrue on the last day of employment. Any annual bonus in the year of departure is prorated for service. Dependant on the timing of the departure, REMCO may in determining the final bonus payment consider the latest business scorecard position or defer payment until the full-year scorecard result is known. Outstanding long-term incentive awards will generally survive the end of employment and will remain subject to the same vesting performance conditions, and malus and clawback provisions, as if the director had remained in employment. If the participant dies before the end of the performance period, the award will vest at the target level on the date of death. In case of death after the end of the performance period, the award will continue to vest as described by this Directors’ Remuneration Policy.</w:t>
      </w:r>
    </w:p>
    <w:p>
      <w:pPr>
        <w:spacing w:after="0" w:line="165" w:lineRule="exact"/>
        <w:rPr>
          <w:sz w:val="20"/>
          <w:szCs w:val="20"/>
          <w:color w:val="auto"/>
        </w:rPr>
      </w:pPr>
    </w:p>
    <w:p>
      <w:pPr>
        <w:spacing w:after="0" w:line="250" w:lineRule="auto"/>
        <w:rPr>
          <w:sz w:val="20"/>
          <w:szCs w:val="20"/>
          <w:color w:val="auto"/>
        </w:rPr>
      </w:pPr>
      <w:r>
        <w:rPr>
          <w:rFonts w:ascii="Arial" w:cs="Arial" w:eastAsia="Arial" w:hAnsi="Arial"/>
          <w:sz w:val="14"/>
          <w:szCs w:val="14"/>
          <w:color w:val="auto"/>
        </w:rPr>
        <w:t>Because DBP shares represent the bonus which a participant has already earned and carry no further performance conditions, DBP shares will be released at the conclusion of the normal three-year deferral period and no proration will apply.</w:t>
      </w:r>
    </w:p>
    <w:p>
      <w:pPr>
        <w:spacing w:after="0" w:line="172" w:lineRule="exact"/>
        <w:rPr>
          <w:sz w:val="20"/>
          <w:szCs w:val="20"/>
          <w:color w:val="auto"/>
        </w:rPr>
      </w:pPr>
    </w:p>
    <w:p>
      <w:pPr>
        <w:ind w:right="20"/>
        <w:spacing w:after="0" w:line="247" w:lineRule="auto"/>
        <w:rPr>
          <w:sz w:val="20"/>
          <w:szCs w:val="20"/>
          <w:color w:val="auto"/>
        </w:rPr>
      </w:pPr>
      <w:r>
        <w:rPr>
          <w:rFonts w:ascii="Arial" w:cs="Arial" w:eastAsia="Arial" w:hAnsi="Arial"/>
          <w:sz w:val="14"/>
          <w:szCs w:val="14"/>
          <w:color w:val="auto"/>
        </w:rPr>
        <w:t>LTIP shares awarded from 2015 onwards will be prorated on a monthly basis, by reference to the Director’s service within the performance period. Outstanding LTIP awards made before 2015 are prorated on an annual basis. The prorated awards may vest subject to the satisfaction of performance conditions.</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color w:val="auto"/>
        </w:rPr>
        <w:t>Non-executive Directors</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No payments for loss of office will be made to NEDs.</w:t>
      </w:r>
    </w:p>
    <w:p>
      <w:pPr>
        <w:spacing w:after="0" w:line="171" w:lineRule="exact"/>
        <w:rPr>
          <w:sz w:val="20"/>
          <w:szCs w:val="20"/>
          <w:color w:val="auto"/>
        </w:rPr>
      </w:pPr>
    </w:p>
    <w:p>
      <w:pPr>
        <w:ind w:right="680"/>
        <w:spacing w:after="0" w:line="238" w:lineRule="auto"/>
        <w:rPr>
          <w:sz w:val="20"/>
          <w:szCs w:val="20"/>
          <w:color w:val="auto"/>
        </w:rPr>
      </w:pPr>
      <w:r>
        <w:rPr>
          <w:rFonts w:ascii="Arial" w:cs="Arial" w:eastAsia="Arial" w:hAnsi="Arial"/>
          <w:sz w:val="18"/>
          <w:szCs w:val="18"/>
          <w:color w:val="auto"/>
        </w:rPr>
        <w:t>CONSIDERATION OF OVERALL PAY AND EMPLOYMENT CONDITIONS</w:t>
      </w:r>
    </w:p>
    <w:p>
      <w:pPr>
        <w:ind w:right="20"/>
        <w:spacing w:after="0" w:line="243" w:lineRule="auto"/>
        <w:rPr>
          <w:sz w:val="20"/>
          <w:szCs w:val="20"/>
          <w:color w:val="auto"/>
        </w:rPr>
      </w:pPr>
      <w:r>
        <w:rPr>
          <w:rFonts w:ascii="Arial" w:cs="Arial" w:eastAsia="Arial" w:hAnsi="Arial"/>
          <w:sz w:val="14"/>
          <w:szCs w:val="14"/>
          <w:color w:val="auto"/>
        </w:rPr>
        <w:t>When setting the remuneration policy for Directors’ remuneration, no specific employee groups were consulted nor were any remuneration comparison measurements used to compare overall pay and employment conditions of all Shell employees with those of the Directors. However, pay and employment conditions of the wider Shell employee population were taken into account by adhering to the same performance, rewards and benefits philosophy for the Directors, as well as overall benchmarking principles. Furthermore, any potential differences from other employees (see “Differences for Executive Directors from other employees”) were taken into account when providing REMCO with advice in the formation of this Directors’ Remuneration Policy. Dialogue between management and staff is important, with the annual Shell People Survey being one of the principal means of gathering employee views on a range of matters.</w:t>
      </w:r>
    </w:p>
    <w:p>
      <w:pPr>
        <w:sectPr>
          <w:pgSz w:w="11900" w:h="16838" w:orient="portrait"/>
          <w:cols w:equalWidth="0" w:num="2">
            <w:col w:w="5460" w:space="320"/>
            <w:col w:w="5480"/>
          </w:cols>
          <w:pgMar w:left="240" w:top="459" w:right="399" w:bottom="1440" w:gutter="0" w:footer="0" w:header="0"/>
        </w:sectPr>
      </w:pPr>
    </w:p>
    <w:bookmarkStart w:id="99" w:name="page100"/>
    <w:bookmarkEnd w:id="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300355</wp:posOffset>
            </wp:positionV>
            <wp:extent cx="3490595" cy="46291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3490595" cy="462915"/>
                    </a:xfrm>
                    <a:prstGeom prst="rect">
                      <a:avLst/>
                    </a:prstGeom>
                    <a:noFill/>
                  </pic:spPr>
                </pic:pic>
              </a:graphicData>
            </a:graphic>
          </wp:anchor>
        </w:drawing>
      </w:r>
    </w:p>
    <w:p>
      <w:pPr>
        <w:spacing w:after="0" w:line="200" w:lineRule="exact"/>
        <w:rPr>
          <w:sz w:val="20"/>
          <w:szCs w:val="20"/>
          <w:color w:val="auto"/>
        </w:rPr>
      </w:pP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419"/>
        </w:trPr>
        <w:tc>
          <w:tcPr>
            <w:tcW w:w="2100" w:type="dxa"/>
            <w:vAlign w:val="bottom"/>
            <w:shd w:val="clear" w:color="auto" w:fill="FF8B00"/>
          </w:tcPr>
          <w:p>
            <w:pPr>
              <w:spacing w:after="0"/>
              <w:rPr>
                <w:sz w:val="24"/>
                <w:szCs w:val="24"/>
                <w:color w:val="auto"/>
              </w:rPr>
            </w:pPr>
          </w:p>
        </w:tc>
        <w:tc>
          <w:tcPr>
            <w:tcW w:w="3400" w:type="dxa"/>
            <w:vAlign w:val="bottom"/>
            <w:shd w:val="clear" w:color="auto" w:fill="FF8B00"/>
          </w:tcPr>
          <w:p>
            <w:pPr>
              <w:spacing w:after="0"/>
              <w:rPr>
                <w:sz w:val="24"/>
                <w:szCs w:val="24"/>
                <w:color w:val="auto"/>
              </w:rPr>
            </w:pPr>
          </w:p>
        </w:tc>
      </w:tr>
      <w:tr>
        <w:trPr>
          <w:trHeight w:val="152"/>
        </w:trPr>
        <w:tc>
          <w:tcPr>
            <w:tcW w:w="2100" w:type="dxa"/>
            <w:vAlign w:val="bottom"/>
          </w:tcPr>
          <w:p>
            <w:pPr>
              <w:jc w:val="right"/>
              <w:ind w:right="1666"/>
              <w:spacing w:after="0"/>
              <w:rPr>
                <w:sz w:val="20"/>
                <w:szCs w:val="20"/>
                <w:color w:val="auto"/>
              </w:rPr>
            </w:pPr>
            <w:r>
              <w:rPr>
                <w:rFonts w:ascii="Arial" w:cs="Arial" w:eastAsia="Arial" w:hAnsi="Arial"/>
                <w:sz w:val="11"/>
                <w:szCs w:val="11"/>
                <w:b w:val="1"/>
                <w:bCs w:val="1"/>
                <w:color w:val="333333"/>
              </w:rPr>
              <w:t>98</w:t>
            </w:r>
          </w:p>
        </w:tc>
        <w:tc>
          <w:tcPr>
            <w:tcW w:w="3400" w:type="dxa"/>
            <w:vAlign w:val="bottom"/>
          </w:tcPr>
          <w:p>
            <w:pPr>
              <w:ind w:left="1720"/>
              <w:spacing w:after="0"/>
              <w:rPr>
                <w:sz w:val="20"/>
                <w:szCs w:val="20"/>
                <w:color w:val="auto"/>
              </w:rPr>
            </w:pPr>
            <w:r>
              <w:rPr>
                <w:rFonts w:ascii="Arial" w:cs="Arial" w:eastAsia="Arial" w:hAnsi="Arial"/>
                <w:sz w:val="13"/>
                <w:szCs w:val="13"/>
                <w:color w:val="333333"/>
              </w:rPr>
              <w:t>GOVERNANCE</w:t>
            </w:r>
          </w:p>
        </w:tc>
      </w:tr>
    </w:tbl>
    <w:p>
      <w:pPr>
        <w:spacing w:after="0" w:line="155" w:lineRule="exact"/>
        <w:rPr>
          <w:sz w:val="20"/>
          <w:szCs w:val="20"/>
          <w:color w:val="auto"/>
        </w:rPr>
      </w:pPr>
    </w:p>
    <w:p>
      <w:pPr>
        <w:ind w:left="2680"/>
        <w:spacing w:after="0"/>
        <w:rPr>
          <w:sz w:val="20"/>
          <w:szCs w:val="20"/>
          <w:color w:val="auto"/>
        </w:rPr>
      </w:pPr>
      <w:r>
        <w:rPr>
          <w:rFonts w:ascii="Arial" w:cs="Arial" w:eastAsia="Arial" w:hAnsi="Arial"/>
          <w:sz w:val="11"/>
          <w:szCs w:val="11"/>
          <w:color w:val="auto"/>
        </w:rPr>
        <w:t>DIRECTORS’ REMUNERATION REPORT</w:t>
      </w:r>
    </w:p>
    <w:p>
      <w:pPr>
        <w:spacing w:after="0" w:line="48" w:lineRule="exact"/>
        <w:rPr>
          <w:sz w:val="20"/>
          <w:szCs w:val="20"/>
          <w:color w:val="auto"/>
        </w:rPr>
      </w:pPr>
    </w:p>
    <w:p>
      <w:pPr>
        <w:spacing w:after="0"/>
        <w:rPr>
          <w:sz w:val="20"/>
          <w:szCs w:val="20"/>
          <w:color w:val="auto"/>
        </w:rPr>
      </w:pPr>
      <w:r>
        <w:rPr>
          <w:rFonts w:ascii="Arial" w:cs="Arial" w:eastAsia="Arial" w:hAnsi="Arial"/>
          <w:sz w:val="24"/>
          <w:szCs w:val="24"/>
          <w:color w:val="auto"/>
        </w:rPr>
        <w:t>DIRECTORS’ REMUNERATION POLICY</w:t>
      </w:r>
    </w:p>
    <w:p>
      <w:pPr>
        <w:spacing w:after="0" w:line="8" w:lineRule="exact"/>
        <w:rPr>
          <w:sz w:val="20"/>
          <w:szCs w:val="20"/>
          <w:color w:val="auto"/>
        </w:rPr>
      </w:pPr>
    </w:p>
    <w:p>
      <w:pPr>
        <w:spacing w:after="0"/>
        <w:rPr>
          <w:sz w:val="20"/>
          <w:szCs w:val="20"/>
          <w:color w:val="auto"/>
        </w:rPr>
      </w:pPr>
      <w:r>
        <w:rPr>
          <w:rFonts w:ascii="Arial" w:cs="Arial" w:eastAsia="Arial" w:hAnsi="Arial"/>
          <w:sz w:val="24"/>
          <w:szCs w:val="24"/>
          <w:color w:val="666666"/>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3473450" cy="889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spacing w:after="0" w:line="199" w:lineRule="exact"/>
        <w:rPr>
          <w:sz w:val="20"/>
          <w:szCs w:val="20"/>
          <w:color w:val="auto"/>
        </w:rPr>
      </w:pPr>
    </w:p>
    <w:p>
      <w:pPr>
        <w:ind w:right="3040"/>
        <w:spacing w:after="0" w:line="258" w:lineRule="auto"/>
        <w:rPr>
          <w:sz w:val="20"/>
          <w:szCs w:val="20"/>
          <w:color w:val="auto"/>
        </w:rPr>
      </w:pPr>
      <w:r>
        <w:rPr>
          <w:rFonts w:ascii="Arial" w:cs="Arial" w:eastAsia="Arial" w:hAnsi="Arial"/>
          <w:sz w:val="14"/>
          <w:szCs w:val="14"/>
          <w:color w:val="auto"/>
        </w:rPr>
        <w:t>The Shell People Survey includes questions inviting employees’ views on their pay and benefit arrangements.</w:t>
      </w:r>
    </w:p>
    <w:p>
      <w:pPr>
        <w:spacing w:after="0" w:line="154" w:lineRule="exact"/>
        <w:rPr>
          <w:sz w:val="20"/>
          <w:szCs w:val="20"/>
          <w:color w:val="auto"/>
        </w:rPr>
      </w:pPr>
    </w:p>
    <w:p>
      <w:pPr>
        <w:ind w:right="2960"/>
        <w:spacing w:after="0" w:line="245" w:lineRule="auto"/>
        <w:rPr>
          <w:sz w:val="20"/>
          <w:szCs w:val="20"/>
          <w:color w:val="auto"/>
        </w:rPr>
      </w:pPr>
      <w:r>
        <w:rPr>
          <w:rFonts w:ascii="Arial" w:cs="Arial" w:eastAsia="Arial" w:hAnsi="Arial"/>
          <w:sz w:val="14"/>
          <w:szCs w:val="14"/>
          <w:color w:val="auto"/>
        </w:rPr>
        <w:t>REMCO is kept informed by the Chief Executive Officer, the Chief Human Resources &amp; Corporate Officer and the Executive Vice President Remuneration, Benefits &amp; Services on the Group Scorecard and any relevant remuneration matters affecting Senior Management and other senior executives, extending to multiple levels below the Board.</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color w:val="auto"/>
        </w:rPr>
        <w:t>CONSIDERATION OF SHAREHOLDER VIEWS</w:t>
      </w:r>
    </w:p>
    <w:p>
      <w:pPr>
        <w:spacing w:after="0" w:line="1" w:lineRule="exact"/>
        <w:rPr>
          <w:sz w:val="20"/>
          <w:szCs w:val="20"/>
          <w:color w:val="auto"/>
        </w:rPr>
      </w:pPr>
    </w:p>
    <w:p>
      <w:pPr>
        <w:ind w:right="2840"/>
        <w:spacing w:after="0" w:line="244" w:lineRule="auto"/>
        <w:rPr>
          <w:sz w:val="20"/>
          <w:szCs w:val="20"/>
          <w:color w:val="auto"/>
        </w:rPr>
      </w:pPr>
      <w:r>
        <w:rPr>
          <w:rFonts w:ascii="Arial" w:cs="Arial" w:eastAsia="Arial" w:hAnsi="Arial"/>
          <w:sz w:val="14"/>
          <w:szCs w:val="14"/>
          <w:color w:val="auto"/>
        </w:rPr>
        <w:t>REMCO engages with major shareholders on a regular basis throughout the year and this allows it to test proposals when developing the Directors’ Remuneration Policy. Specific examples of REMCO responding to shareholder views include the increase to the shareholding guidelines, the update to the LTIP performance conditions to include a relative ROACE growth measure, and the removal of matching share awards from the DBP.</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color w:val="auto"/>
        </w:rPr>
        <w:t>ADDITIONAL POLICY STATEMENT</w:t>
      </w:r>
    </w:p>
    <w:p>
      <w:pPr>
        <w:spacing w:after="0" w:line="1" w:lineRule="exact"/>
        <w:rPr>
          <w:sz w:val="20"/>
          <w:szCs w:val="20"/>
          <w:color w:val="auto"/>
        </w:rPr>
      </w:pPr>
    </w:p>
    <w:p>
      <w:pPr>
        <w:ind w:right="2860"/>
        <w:spacing w:after="0" w:line="247" w:lineRule="auto"/>
        <w:rPr>
          <w:sz w:val="20"/>
          <w:szCs w:val="20"/>
          <w:color w:val="auto"/>
        </w:rPr>
      </w:pPr>
      <w:r>
        <w:rPr>
          <w:rFonts w:ascii="Arial" w:cs="Arial" w:eastAsia="Arial" w:hAnsi="Arial"/>
          <w:sz w:val="14"/>
          <w:szCs w:val="14"/>
          <w:color w:val="auto"/>
        </w:rPr>
        <w:t>REMCO reserves the right to make payments outside the policy in limited exceptional circumstances, such as for regulatory, tax or administrative purposes or to take account of a change in legislation or exchange controls, and only where REMCO considers such payments are necessary to give effect to the intent of the policy.</w:t>
      </w:r>
    </w:p>
    <w:p>
      <w:pPr>
        <w:spacing w:after="0" w:line="202" w:lineRule="exact"/>
        <w:rPr>
          <w:sz w:val="20"/>
          <w:szCs w:val="20"/>
          <w:color w:val="auto"/>
        </w:rPr>
      </w:pPr>
    </w:p>
    <w:p>
      <w:pPr>
        <w:spacing w:after="0"/>
        <w:rPr>
          <w:sz w:val="20"/>
          <w:szCs w:val="20"/>
          <w:color w:val="auto"/>
        </w:rPr>
      </w:pPr>
      <w:r>
        <w:rPr>
          <w:rFonts w:ascii="Arial" w:cs="Arial" w:eastAsia="Arial" w:hAnsi="Arial"/>
          <w:sz w:val="14"/>
          <w:szCs w:val="14"/>
          <w:color w:val="auto"/>
        </w:rPr>
        <w:t>Signed on behalf of the Board</w:t>
      </w:r>
    </w:p>
    <w:p>
      <w:pPr>
        <w:spacing w:after="0" w:line="204" w:lineRule="exact"/>
        <w:rPr>
          <w:sz w:val="20"/>
          <w:szCs w:val="20"/>
          <w:color w:val="auto"/>
        </w:rPr>
      </w:pPr>
    </w:p>
    <w:p>
      <w:pPr>
        <w:spacing w:after="0"/>
        <w:rPr>
          <w:sz w:val="20"/>
          <w:szCs w:val="20"/>
          <w:color w:val="auto"/>
        </w:rPr>
      </w:pPr>
      <w:r>
        <w:rPr>
          <w:rFonts w:ascii="Arial" w:cs="Arial" w:eastAsia="Arial" w:hAnsi="Arial"/>
          <w:sz w:val="14"/>
          <w:szCs w:val="14"/>
          <w:color w:val="auto"/>
        </w:rPr>
        <w:t>/s/ Michiel Brandjes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3473450" cy="889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spacing w:after="0" w:line="19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Michiel Brandjes</w:t>
      </w:r>
    </w:p>
    <w:p>
      <w:pPr>
        <w:spacing w:after="0" w:line="19" w:lineRule="exact"/>
        <w:rPr>
          <w:sz w:val="20"/>
          <w:szCs w:val="20"/>
          <w:color w:val="auto"/>
        </w:rPr>
      </w:pPr>
    </w:p>
    <w:p>
      <w:pPr>
        <w:spacing w:after="0"/>
        <w:rPr>
          <w:sz w:val="20"/>
          <w:szCs w:val="20"/>
          <w:color w:val="auto"/>
        </w:rPr>
      </w:pPr>
      <w:r>
        <w:rPr>
          <w:rFonts w:ascii="Arial" w:cs="Arial" w:eastAsia="Arial" w:hAnsi="Arial"/>
          <w:sz w:val="14"/>
          <w:szCs w:val="14"/>
          <w:color w:val="auto"/>
        </w:rPr>
        <w:t>Company Secretary</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March 11, 2015</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Arial" w:cs="Arial" w:eastAsia="Arial" w:hAnsi="Arial"/>
          <w:sz w:val="10"/>
          <w:szCs w:val="10"/>
          <w:color w:val="auto"/>
        </w:rPr>
        <w:t>SHELL ANNUAL REPORT AND FORM 20-F 2014</w:t>
      </w:r>
    </w:p>
    <w:p>
      <w:pPr>
        <w:sectPr>
          <w:pgSz w:w="11900" w:h="16838" w:orient="portrait"/>
          <w:cols w:equalWidth="0" w:num="2">
            <w:col w:w="8300" w:space="720"/>
            <w:col w:w="2400"/>
          </w:cols>
          <w:pgMar w:left="240" w:top="459" w:right="239" w:bottom="1440" w:gutter="0" w:footer="0" w:header="0"/>
        </w:sectPr>
      </w:pPr>
    </w:p>
    <w:bookmarkStart w:id="100" w:name="page101"/>
    <w:bookmarkEnd w:id="1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3555365</wp:posOffset>
            </wp:positionH>
            <wp:positionV relativeFrom="paragraph">
              <wp:posOffset>300355</wp:posOffset>
            </wp:positionV>
            <wp:extent cx="3696335" cy="46291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3696335" cy="462915"/>
                    </a:xfrm>
                    <a:prstGeom prst="rect">
                      <a:avLst/>
                    </a:prstGeom>
                    <a:noFill/>
                  </pic:spPr>
                </pic:pic>
              </a:graphicData>
            </a:graphic>
          </wp:anchor>
        </w:drawing>
      </w:r>
    </w:p>
    <w:p>
      <w:pPr>
        <w:spacing w:after="0" w:line="200" w:lineRule="exact"/>
        <w:rPr>
          <w:sz w:val="20"/>
          <w:szCs w:val="20"/>
          <w:color w:val="auto"/>
        </w:rPr>
      </w:pPr>
    </w:p>
    <w:p>
      <w:pPr>
        <w:spacing w:after="0" w:line="253" w:lineRule="exact"/>
        <w:rPr>
          <w:sz w:val="20"/>
          <w:szCs w:val="20"/>
          <w:color w:val="auto"/>
        </w:rPr>
      </w:pPr>
    </w:p>
    <w:tbl>
      <w:tblPr>
        <w:tblLayout w:type="fixed"/>
        <w:tblInd w:w="5600" w:type="dxa"/>
        <w:tblCellMar>
          <w:top w:w="0" w:type="dxa"/>
          <w:left w:w="0" w:type="dxa"/>
          <w:bottom w:w="0" w:type="dxa"/>
          <w:right w:w="0" w:type="dxa"/>
        </w:tblCellMar>
      </w:tblPr>
      <w:tr>
        <w:trPr>
          <w:trHeight w:val="419"/>
        </w:trPr>
        <w:tc>
          <w:tcPr>
            <w:tcW w:w="4540" w:type="dxa"/>
            <w:vAlign w:val="bottom"/>
            <w:shd w:val="clear" w:color="auto" w:fill="FF8B00"/>
          </w:tcPr>
          <w:p>
            <w:pPr>
              <w:spacing w:after="0"/>
              <w:rPr>
                <w:sz w:val="24"/>
                <w:szCs w:val="24"/>
                <w:color w:val="auto"/>
              </w:rPr>
            </w:pPr>
          </w:p>
        </w:tc>
        <w:tc>
          <w:tcPr>
            <w:tcW w:w="1280" w:type="dxa"/>
            <w:vAlign w:val="bottom"/>
            <w:shd w:val="clear" w:color="auto" w:fill="FF8B00"/>
          </w:tcPr>
          <w:p>
            <w:pPr>
              <w:spacing w:after="0"/>
              <w:rPr>
                <w:sz w:val="24"/>
                <w:szCs w:val="24"/>
                <w:color w:val="auto"/>
              </w:rPr>
            </w:pPr>
          </w:p>
        </w:tc>
      </w:tr>
      <w:tr>
        <w:trPr>
          <w:trHeight w:val="152"/>
        </w:trPr>
        <w:tc>
          <w:tcPr>
            <w:tcW w:w="4540" w:type="dxa"/>
            <w:vAlign w:val="bottom"/>
          </w:tcPr>
          <w:p>
            <w:pPr>
              <w:ind w:left="940"/>
              <w:spacing w:after="0"/>
              <w:rPr>
                <w:sz w:val="20"/>
                <w:szCs w:val="20"/>
                <w:color w:val="auto"/>
              </w:rPr>
            </w:pPr>
            <w:r>
              <w:rPr>
                <w:rFonts w:ascii="Arial" w:cs="Arial" w:eastAsia="Arial" w:hAnsi="Arial"/>
                <w:sz w:val="13"/>
                <w:szCs w:val="13"/>
                <w:color w:val="333333"/>
              </w:rPr>
              <w:t>FINANCIAL STATEMENTS AND SUPPLEMENTS</w:t>
            </w:r>
          </w:p>
        </w:tc>
        <w:tc>
          <w:tcPr>
            <w:tcW w:w="1280" w:type="dxa"/>
            <w:vAlign w:val="bottom"/>
          </w:tcPr>
          <w:p>
            <w:pPr>
              <w:jc w:val="right"/>
              <w:ind w:right="306"/>
              <w:spacing w:after="0"/>
              <w:rPr>
                <w:sz w:val="20"/>
                <w:szCs w:val="20"/>
                <w:color w:val="auto"/>
              </w:rPr>
            </w:pPr>
            <w:r>
              <w:rPr>
                <w:rFonts w:ascii="Arial" w:cs="Arial" w:eastAsia="Arial" w:hAnsi="Arial"/>
                <w:sz w:val="11"/>
                <w:szCs w:val="11"/>
                <w:b w:val="1"/>
                <w:bCs w:val="1"/>
                <w:color w:val="333333"/>
              </w:rPr>
              <w:t>99</w:t>
            </w:r>
          </w:p>
        </w:tc>
      </w:tr>
    </w:tbl>
    <w:p>
      <w:pPr>
        <w:spacing w:after="0" w:line="155" w:lineRule="exact"/>
        <w:rPr>
          <w:sz w:val="20"/>
          <w:szCs w:val="20"/>
          <w:color w:val="auto"/>
        </w:rPr>
      </w:pPr>
    </w:p>
    <w:p>
      <w:pPr>
        <w:spacing w:after="0"/>
        <w:tabs>
          <w:tab w:leader="none" w:pos="6520" w:val="left"/>
        </w:tabs>
        <w:rPr>
          <w:sz w:val="20"/>
          <w:szCs w:val="20"/>
          <w:color w:val="auto"/>
        </w:rPr>
      </w:pPr>
      <w:r>
        <w:rPr>
          <w:rFonts w:ascii="Arial" w:cs="Arial" w:eastAsia="Arial" w:hAnsi="Arial"/>
          <w:sz w:val="11"/>
          <w:szCs w:val="11"/>
          <w:color w:val="auto"/>
        </w:rPr>
        <w:t>SHELL ANNUAL REPORT AND FORM 20-F 2014</w:t>
      </w:r>
      <w:r>
        <w:rPr>
          <w:sz w:val="20"/>
          <w:szCs w:val="20"/>
          <w:color w:val="auto"/>
        </w:rPr>
        <w:tab/>
      </w:r>
      <w:r>
        <w:rPr>
          <w:rFonts w:ascii="Arial" w:cs="Arial" w:eastAsia="Arial" w:hAnsi="Arial"/>
          <w:sz w:val="10"/>
          <w:szCs w:val="10"/>
          <w:color w:val="auto"/>
        </w:rPr>
        <w:t>CONSOLIDATED FINANCIAL STATEMENTS</w:t>
      </w:r>
    </w:p>
    <w:p>
      <w:pPr>
        <w:spacing w:after="0" w:line="3" w:lineRule="exact"/>
        <w:rPr>
          <w:sz w:val="20"/>
          <w:szCs w:val="20"/>
          <w:color w:val="auto"/>
        </w:rPr>
      </w:pPr>
    </w:p>
    <w:p>
      <w:pPr>
        <w:spacing w:after="0"/>
        <w:rPr>
          <w:sz w:val="20"/>
          <w:szCs w:val="20"/>
          <w:color w:val="auto"/>
        </w:rPr>
      </w:pPr>
      <w:r>
        <w:rPr>
          <w:rFonts w:ascii="Arial" w:cs="Arial" w:eastAsia="Arial" w:hAnsi="Arial"/>
          <w:sz w:val="41"/>
          <w:szCs w:val="41"/>
          <w:b w:val="1"/>
          <w:bCs w:val="1"/>
          <w:color w:val="auto"/>
        </w:rPr>
        <w:t>FINANCIAL STATEMENTS AND SUPPLEMENTS</w:t>
      </w:r>
    </w:p>
    <w:p>
      <w:pPr>
        <w:sectPr>
          <w:pgSz w:w="11900" w:h="16838" w:orient="portrait"/>
          <w:cols w:equalWidth="0" w:num="1">
            <w:col w:w="11420"/>
          </w:cols>
          <w:pgMar w:left="240" w:top="459" w:right="239" w:bottom="1440" w:gutter="0" w:footer="0" w:header="0"/>
        </w:sectPr>
      </w:pPr>
    </w:p>
    <w:p>
      <w:pPr>
        <w:spacing w:after="0" w:line="287" w:lineRule="exact"/>
        <w:rPr>
          <w:sz w:val="20"/>
          <w:szCs w:val="20"/>
          <w:color w:val="auto"/>
        </w:rPr>
      </w:pPr>
    </w:p>
    <w:p>
      <w:pPr>
        <w:ind w:right="180"/>
        <w:spacing w:after="0" w:line="249" w:lineRule="auto"/>
        <w:rPr>
          <w:sz w:val="20"/>
          <w:szCs w:val="20"/>
          <w:color w:val="auto"/>
        </w:rPr>
      </w:pPr>
      <w:r>
        <w:rPr>
          <w:rFonts w:ascii="Arial" w:cs="Arial" w:eastAsia="Arial" w:hAnsi="Arial"/>
          <w:sz w:val="31"/>
          <w:szCs w:val="31"/>
          <w:color w:val="auto"/>
        </w:rPr>
        <w:t>INDEPENDENT AUDITORS’ REPORT TO THE MEMBERS OF ROYAL DUTCH SHELL PLC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wp:posOffset>
            </wp:positionV>
            <wp:extent cx="3473450" cy="889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spacing w:after="0" w:line="159" w:lineRule="exact"/>
        <w:rPr>
          <w:sz w:val="20"/>
          <w:szCs w:val="20"/>
          <w:color w:val="auto"/>
        </w:rPr>
      </w:pPr>
    </w:p>
    <w:p>
      <w:pPr>
        <w:ind w:right="300"/>
        <w:spacing w:after="0" w:line="339" w:lineRule="auto"/>
        <w:rPr>
          <w:sz w:val="20"/>
          <w:szCs w:val="20"/>
          <w:color w:val="auto"/>
        </w:rPr>
      </w:pPr>
      <w:r>
        <w:rPr>
          <w:rFonts w:ascii="Arial" w:cs="Arial" w:eastAsia="Arial" w:hAnsi="Arial"/>
          <w:sz w:val="18"/>
          <w:szCs w:val="18"/>
          <w:color w:val="auto"/>
        </w:rPr>
        <w:t>REPORT ON THE CONSOLIDATED FINANCIAL STATEMENTS Our opinion</w:t>
      </w:r>
    </w:p>
    <w:p>
      <w:pPr>
        <w:spacing w:after="0" w:line="2" w:lineRule="exact"/>
        <w:rPr>
          <w:sz w:val="20"/>
          <w:szCs w:val="20"/>
          <w:color w:val="auto"/>
        </w:rPr>
      </w:pPr>
    </w:p>
    <w:p>
      <w:pPr>
        <w:spacing w:after="0"/>
        <w:rPr>
          <w:sz w:val="20"/>
          <w:szCs w:val="20"/>
          <w:color w:val="auto"/>
        </w:rPr>
      </w:pPr>
      <w:r>
        <w:rPr>
          <w:rFonts w:ascii="Arial" w:cs="Arial" w:eastAsia="Arial" w:hAnsi="Arial"/>
          <w:sz w:val="14"/>
          <w:szCs w:val="14"/>
          <w:color w:val="auto"/>
        </w:rPr>
        <w:t>In our opinion, the Consolidated Financial Statements of Royal Dutch Shell plc (the</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Company) and its subsidiaries (collectively Shell):</w:t>
      </w:r>
    </w:p>
    <w:p>
      <w:pPr>
        <w:spacing w:after="0" w:line="217" w:lineRule="exact"/>
        <w:rPr>
          <w:sz w:val="20"/>
          <w:szCs w:val="20"/>
          <w:color w:val="auto"/>
        </w:rPr>
      </w:pPr>
    </w:p>
    <w:p>
      <w:pPr>
        <w:ind w:left="180" w:right="40" w:hanging="172"/>
        <w:spacing w:after="0" w:line="182" w:lineRule="auto"/>
        <w:tabs>
          <w:tab w:leader="none" w:pos="180" w:val="left"/>
        </w:tabs>
        <w:numPr>
          <w:ilvl w:val="0"/>
          <w:numId w:val="120"/>
        </w:numPr>
        <w:rPr>
          <w:rFonts w:ascii="Arial" w:cs="Arial" w:eastAsia="Arial" w:hAnsi="Arial"/>
          <w:sz w:val="23"/>
          <w:szCs w:val="23"/>
          <w:color w:val="auto"/>
          <w:vertAlign w:val="superscript"/>
        </w:rPr>
      </w:pPr>
      <w:r>
        <w:rPr>
          <w:rFonts w:ascii="Arial" w:cs="Arial" w:eastAsia="Arial" w:hAnsi="Arial"/>
          <w:sz w:val="14"/>
          <w:szCs w:val="14"/>
          <w:color w:val="auto"/>
        </w:rPr>
        <w:t>give a true and fair view of the state of Shell’s affairs as at December 31, 2014 and of its income and cash flows for the year then ended;</w:t>
      </w:r>
    </w:p>
    <w:p>
      <w:pPr>
        <w:spacing w:after="0" w:line="1" w:lineRule="exact"/>
        <w:rPr>
          <w:rFonts w:ascii="Arial" w:cs="Arial" w:eastAsia="Arial" w:hAnsi="Arial"/>
          <w:sz w:val="23"/>
          <w:szCs w:val="23"/>
          <w:color w:val="auto"/>
          <w:vertAlign w:val="superscript"/>
        </w:rPr>
      </w:pPr>
    </w:p>
    <w:p>
      <w:pPr>
        <w:ind w:left="180" w:right="100" w:hanging="172"/>
        <w:spacing w:after="0" w:line="182" w:lineRule="auto"/>
        <w:tabs>
          <w:tab w:leader="none" w:pos="180" w:val="left"/>
        </w:tabs>
        <w:numPr>
          <w:ilvl w:val="0"/>
          <w:numId w:val="120"/>
        </w:numPr>
        <w:rPr>
          <w:rFonts w:ascii="Arial" w:cs="Arial" w:eastAsia="Arial" w:hAnsi="Arial"/>
          <w:sz w:val="23"/>
          <w:szCs w:val="23"/>
          <w:color w:val="auto"/>
          <w:vertAlign w:val="superscript"/>
        </w:rPr>
      </w:pPr>
      <w:r>
        <w:rPr>
          <w:rFonts w:ascii="Arial" w:cs="Arial" w:eastAsia="Arial" w:hAnsi="Arial"/>
          <w:sz w:val="14"/>
          <w:szCs w:val="14"/>
          <w:color w:val="auto"/>
        </w:rPr>
        <w:t>have been properly prepared in accordance with International Financial Reporting Standards (IFRS) as adopted by the European Union; and</w:t>
      </w:r>
    </w:p>
    <w:p>
      <w:pPr>
        <w:spacing w:after="0" w:line="1" w:lineRule="exact"/>
        <w:rPr>
          <w:rFonts w:ascii="Arial" w:cs="Arial" w:eastAsia="Arial" w:hAnsi="Arial"/>
          <w:sz w:val="23"/>
          <w:szCs w:val="23"/>
          <w:color w:val="auto"/>
          <w:vertAlign w:val="superscript"/>
        </w:rPr>
      </w:pPr>
    </w:p>
    <w:p>
      <w:pPr>
        <w:ind w:left="180" w:right="240" w:hanging="172"/>
        <w:spacing w:after="0" w:line="183" w:lineRule="auto"/>
        <w:tabs>
          <w:tab w:leader="none" w:pos="180" w:val="left"/>
        </w:tabs>
        <w:numPr>
          <w:ilvl w:val="0"/>
          <w:numId w:val="120"/>
        </w:numPr>
        <w:rPr>
          <w:rFonts w:ascii="Arial" w:cs="Arial" w:eastAsia="Arial" w:hAnsi="Arial"/>
          <w:sz w:val="24"/>
          <w:szCs w:val="24"/>
          <w:color w:val="auto"/>
          <w:vertAlign w:val="superscript"/>
        </w:rPr>
      </w:pPr>
      <w:r>
        <w:rPr>
          <w:rFonts w:ascii="Arial" w:cs="Arial" w:eastAsia="Arial" w:hAnsi="Arial"/>
          <w:sz w:val="14"/>
          <w:szCs w:val="14"/>
          <w:color w:val="auto"/>
        </w:rPr>
        <w:t>have been prepared in accordance with the requirements of the Companies Act 2006 and Article 4 of the IAS Regulation.</w:t>
      </w:r>
    </w:p>
    <w:p>
      <w:pPr>
        <w:spacing w:after="0" w:line="161" w:lineRule="exact"/>
        <w:rPr>
          <w:sz w:val="20"/>
          <w:szCs w:val="20"/>
          <w:color w:val="auto"/>
        </w:rPr>
      </w:pPr>
    </w:p>
    <w:p>
      <w:pPr>
        <w:ind w:right="200"/>
        <w:spacing w:after="0" w:line="238" w:lineRule="auto"/>
        <w:rPr>
          <w:sz w:val="20"/>
          <w:szCs w:val="20"/>
          <w:color w:val="auto"/>
        </w:rPr>
      </w:pPr>
      <w:r>
        <w:rPr>
          <w:rFonts w:ascii="Arial" w:cs="Arial" w:eastAsia="Arial" w:hAnsi="Arial"/>
          <w:sz w:val="18"/>
          <w:szCs w:val="18"/>
          <w:color w:val="auto"/>
        </w:rPr>
        <w:t>Separate opinion in relation to IFRS as issued by the International Accounting Standards Board (IASB)</w:t>
      </w:r>
    </w:p>
    <w:p>
      <w:pPr>
        <w:jc w:val="both"/>
        <w:ind w:right="60"/>
        <w:spacing w:after="0" w:line="250" w:lineRule="auto"/>
        <w:rPr>
          <w:sz w:val="20"/>
          <w:szCs w:val="20"/>
          <w:color w:val="auto"/>
        </w:rPr>
      </w:pPr>
      <w:r>
        <w:rPr>
          <w:rFonts w:ascii="Arial" w:cs="Arial" w:eastAsia="Arial" w:hAnsi="Arial"/>
          <w:sz w:val="14"/>
          <w:szCs w:val="14"/>
          <w:color w:val="auto"/>
        </w:rPr>
        <w:t>As explained in Note 1 to the Consolidated Financial Statements, Shell, in addition to complying with its legal obligation to apply IFRS as adopted by the European Union, has also applied IFRS as issued by the IASB.</w:t>
      </w:r>
    </w:p>
    <w:p>
      <w:pPr>
        <w:spacing w:after="0" w:line="172" w:lineRule="exact"/>
        <w:rPr>
          <w:sz w:val="20"/>
          <w:szCs w:val="20"/>
          <w:color w:val="auto"/>
        </w:rPr>
      </w:pPr>
    </w:p>
    <w:p>
      <w:pPr>
        <w:jc w:val="both"/>
        <w:ind w:right="40"/>
        <w:spacing w:after="0" w:line="258" w:lineRule="auto"/>
        <w:rPr>
          <w:sz w:val="20"/>
          <w:szCs w:val="20"/>
          <w:color w:val="auto"/>
        </w:rPr>
      </w:pPr>
      <w:r>
        <w:rPr>
          <w:rFonts w:ascii="Arial" w:cs="Arial" w:eastAsia="Arial" w:hAnsi="Arial"/>
          <w:sz w:val="14"/>
          <w:szCs w:val="14"/>
          <w:color w:val="auto"/>
        </w:rPr>
        <w:t>In our opinion, the Consolidated Financial Statements comply with IFRS as issued by the IASB.</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What we have audited</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The Consolidated Financial Statements comprise:</w:t>
      </w:r>
    </w:p>
    <w:p>
      <w:pPr>
        <w:spacing w:after="0" w:line="217" w:lineRule="exact"/>
        <w:rPr>
          <w:sz w:val="20"/>
          <w:szCs w:val="20"/>
          <w:color w:val="auto"/>
        </w:rPr>
      </w:pPr>
    </w:p>
    <w:p>
      <w:pPr>
        <w:ind w:left="180" w:right="820" w:hanging="172"/>
        <w:spacing w:after="0" w:line="182" w:lineRule="auto"/>
        <w:tabs>
          <w:tab w:leader="none" w:pos="180" w:val="left"/>
        </w:tabs>
        <w:numPr>
          <w:ilvl w:val="0"/>
          <w:numId w:val="121"/>
        </w:numPr>
        <w:rPr>
          <w:rFonts w:ascii="Arial" w:cs="Arial" w:eastAsia="Arial" w:hAnsi="Arial"/>
          <w:sz w:val="23"/>
          <w:szCs w:val="23"/>
          <w:color w:val="auto"/>
          <w:vertAlign w:val="superscript"/>
        </w:rPr>
      </w:pPr>
      <w:r>
        <w:rPr>
          <w:rFonts w:ascii="Arial" w:cs="Arial" w:eastAsia="Arial" w:hAnsi="Arial"/>
          <w:sz w:val="14"/>
          <w:szCs w:val="14"/>
          <w:color w:val="auto"/>
        </w:rPr>
        <w:t>the Consolidated Statement of Income and Consolidated Statement of Comprehensive Income for the year ended December 31, 2014;</w:t>
      </w:r>
    </w:p>
    <w:p>
      <w:pPr>
        <w:spacing w:after="0" w:line="1" w:lineRule="exact"/>
        <w:rPr>
          <w:rFonts w:ascii="Arial" w:cs="Arial" w:eastAsia="Arial" w:hAnsi="Arial"/>
          <w:sz w:val="23"/>
          <w:szCs w:val="23"/>
          <w:color w:val="auto"/>
          <w:vertAlign w:val="superscript"/>
        </w:rPr>
      </w:pPr>
    </w:p>
    <w:p>
      <w:pPr>
        <w:ind w:left="180" w:hanging="172"/>
        <w:spacing w:after="0" w:line="187" w:lineRule="auto"/>
        <w:tabs>
          <w:tab w:leader="none" w:pos="180" w:val="left"/>
        </w:tabs>
        <w:numPr>
          <w:ilvl w:val="0"/>
          <w:numId w:val="121"/>
        </w:numPr>
        <w:rPr>
          <w:rFonts w:ascii="Arial" w:cs="Arial" w:eastAsia="Arial" w:hAnsi="Arial"/>
          <w:sz w:val="18"/>
          <w:szCs w:val="18"/>
          <w:color w:val="auto"/>
          <w:vertAlign w:val="superscript"/>
        </w:rPr>
      </w:pPr>
      <w:r>
        <w:rPr>
          <w:rFonts w:ascii="Arial" w:cs="Arial" w:eastAsia="Arial" w:hAnsi="Arial"/>
          <w:sz w:val="11"/>
          <w:szCs w:val="11"/>
          <w:color w:val="auto"/>
        </w:rPr>
        <w:t>the Consolidated Balance Sheet as at December 31, 2014;</w:t>
      </w:r>
    </w:p>
    <w:p>
      <w:pPr>
        <w:ind w:left="180" w:hanging="172"/>
        <w:spacing w:after="0" w:line="182" w:lineRule="auto"/>
        <w:tabs>
          <w:tab w:leader="none" w:pos="180" w:val="left"/>
        </w:tabs>
        <w:numPr>
          <w:ilvl w:val="0"/>
          <w:numId w:val="121"/>
        </w:numPr>
        <w:rPr>
          <w:rFonts w:ascii="Arial" w:cs="Arial" w:eastAsia="Arial" w:hAnsi="Arial"/>
          <w:sz w:val="23"/>
          <w:szCs w:val="23"/>
          <w:color w:val="auto"/>
          <w:vertAlign w:val="superscript"/>
        </w:rPr>
      </w:pPr>
      <w:r>
        <w:rPr>
          <w:rFonts w:ascii="Arial" w:cs="Arial" w:eastAsia="Arial" w:hAnsi="Arial"/>
          <w:sz w:val="14"/>
          <w:szCs w:val="14"/>
          <w:color w:val="auto"/>
        </w:rPr>
        <w:t>the Consolidated Statement of Changes in Equity for the year ended December 31, 2014;</w:t>
      </w:r>
    </w:p>
    <w:p>
      <w:pPr>
        <w:spacing w:after="0" w:line="1" w:lineRule="exact"/>
        <w:rPr>
          <w:rFonts w:ascii="Arial" w:cs="Arial" w:eastAsia="Arial" w:hAnsi="Arial"/>
          <w:sz w:val="23"/>
          <w:szCs w:val="23"/>
          <w:color w:val="auto"/>
          <w:vertAlign w:val="superscript"/>
        </w:rPr>
      </w:pPr>
    </w:p>
    <w:p>
      <w:pPr>
        <w:ind w:left="180" w:hanging="172"/>
        <w:spacing w:after="0" w:line="182" w:lineRule="auto"/>
        <w:tabs>
          <w:tab w:leader="none" w:pos="180" w:val="left"/>
        </w:tabs>
        <w:numPr>
          <w:ilvl w:val="0"/>
          <w:numId w:val="121"/>
        </w:numPr>
        <w:rPr>
          <w:rFonts w:ascii="Arial" w:cs="Arial" w:eastAsia="Arial" w:hAnsi="Arial"/>
          <w:sz w:val="23"/>
          <w:szCs w:val="23"/>
          <w:color w:val="auto"/>
          <w:vertAlign w:val="superscript"/>
        </w:rPr>
      </w:pPr>
      <w:r>
        <w:rPr>
          <w:rFonts w:ascii="Arial" w:cs="Arial" w:eastAsia="Arial" w:hAnsi="Arial"/>
          <w:sz w:val="14"/>
          <w:szCs w:val="14"/>
          <w:color w:val="auto"/>
        </w:rPr>
        <w:t>the Consolidated Statement of Cash Flows for the year ended December 31, 2014; and</w:t>
      </w:r>
    </w:p>
    <w:p>
      <w:pPr>
        <w:spacing w:after="0" w:line="1" w:lineRule="exact"/>
        <w:rPr>
          <w:rFonts w:ascii="Arial" w:cs="Arial" w:eastAsia="Arial" w:hAnsi="Arial"/>
          <w:sz w:val="23"/>
          <w:szCs w:val="23"/>
          <w:color w:val="auto"/>
          <w:vertAlign w:val="superscript"/>
        </w:rPr>
      </w:pPr>
    </w:p>
    <w:p>
      <w:pPr>
        <w:ind w:left="180" w:right="160" w:hanging="172"/>
        <w:spacing w:after="0" w:line="183" w:lineRule="auto"/>
        <w:tabs>
          <w:tab w:leader="none" w:pos="180" w:val="left"/>
        </w:tabs>
        <w:numPr>
          <w:ilvl w:val="0"/>
          <w:numId w:val="121"/>
        </w:numPr>
        <w:rPr>
          <w:rFonts w:ascii="Arial" w:cs="Arial" w:eastAsia="Arial" w:hAnsi="Arial"/>
          <w:sz w:val="24"/>
          <w:szCs w:val="24"/>
          <w:color w:val="auto"/>
          <w:vertAlign w:val="superscript"/>
        </w:rPr>
      </w:pPr>
      <w:r>
        <w:rPr>
          <w:rFonts w:ascii="Arial" w:cs="Arial" w:eastAsia="Arial" w:hAnsi="Arial"/>
          <w:sz w:val="14"/>
          <w:szCs w:val="14"/>
          <w:color w:val="auto"/>
        </w:rPr>
        <w:t>the Notes to the Consolidated Financial Statements, which include a summary of significant accounting policies and other explanatory information.</w:t>
      </w:r>
    </w:p>
    <w:p>
      <w:pPr>
        <w:spacing w:after="0" w:line="167" w:lineRule="exact"/>
        <w:rPr>
          <w:sz w:val="20"/>
          <w:szCs w:val="20"/>
          <w:color w:val="auto"/>
        </w:rPr>
      </w:pPr>
    </w:p>
    <w:p>
      <w:pPr>
        <w:ind w:right="40"/>
        <w:spacing w:after="0" w:line="247" w:lineRule="auto"/>
        <w:rPr>
          <w:sz w:val="20"/>
          <w:szCs w:val="20"/>
          <w:color w:val="auto"/>
        </w:rPr>
      </w:pPr>
      <w:r>
        <w:rPr>
          <w:rFonts w:ascii="Arial" w:cs="Arial" w:eastAsia="Arial" w:hAnsi="Arial"/>
          <w:sz w:val="14"/>
          <w:szCs w:val="14"/>
          <w:color w:val="auto"/>
        </w:rPr>
        <w:t>Certain required disclosures have been presented elsewhere in the Annual Report and Form 20-F (the Annual Report) rather than in the Consolidated Financial Statements. These are cross-referenced from the Consolidated Financial Statements and are identified as audited.</w:t>
      </w:r>
    </w:p>
    <w:p>
      <w:pPr>
        <w:spacing w:after="0" w:line="175" w:lineRule="exact"/>
        <w:rPr>
          <w:sz w:val="20"/>
          <w:szCs w:val="20"/>
          <w:color w:val="auto"/>
        </w:rPr>
      </w:pPr>
    </w:p>
    <w:p>
      <w:pPr>
        <w:jc w:val="both"/>
        <w:ind w:right="300"/>
        <w:spacing w:after="0" w:line="250" w:lineRule="auto"/>
        <w:rPr>
          <w:sz w:val="20"/>
          <w:szCs w:val="20"/>
          <w:color w:val="auto"/>
        </w:rPr>
      </w:pPr>
      <w:r>
        <w:rPr>
          <w:rFonts w:ascii="Arial" w:cs="Arial" w:eastAsia="Arial" w:hAnsi="Arial"/>
          <w:sz w:val="14"/>
          <w:szCs w:val="14"/>
          <w:color w:val="auto"/>
        </w:rPr>
        <w:t>The financial reporting framework that has been applied in the preparation of the Consolidated Financial Statements is applicable law and IFRS as adopted by the European Union.</w:t>
      </w:r>
    </w:p>
    <w:p>
      <w:pPr>
        <w:spacing w:after="0" w:line="20" w:lineRule="exact"/>
        <w:rPr>
          <w:sz w:val="20"/>
          <w:szCs w:val="20"/>
          <w:color w:val="auto"/>
        </w:rPr>
      </w:pPr>
      <w:r>
        <w:rPr>
          <w:sz w:val="20"/>
          <w:szCs w:val="20"/>
          <w:color w:val="auto"/>
        </w:rPr>
        <w:br w:type="column"/>
      </w:r>
    </w:p>
    <w:p>
      <w:pPr>
        <w:spacing w:after="0" w:line="340" w:lineRule="exact"/>
        <w:rPr>
          <w:sz w:val="20"/>
          <w:szCs w:val="20"/>
          <w:color w:val="auto"/>
        </w:rPr>
      </w:pPr>
    </w:p>
    <w:p>
      <w:pPr>
        <w:spacing w:after="0"/>
        <w:rPr>
          <w:sz w:val="20"/>
          <w:szCs w:val="20"/>
          <w:color w:val="auto"/>
        </w:rPr>
      </w:pPr>
      <w:r>
        <w:rPr>
          <w:rFonts w:ascii="Arial" w:cs="Arial" w:eastAsia="Arial" w:hAnsi="Arial"/>
          <w:sz w:val="18"/>
          <w:szCs w:val="18"/>
          <w:color w:val="auto"/>
        </w:rPr>
        <w:t>Our audit approach</w:t>
      </w:r>
    </w:p>
    <w:p>
      <w:pPr>
        <w:spacing w:after="0" w:line="191" w:lineRule="exact"/>
        <w:rPr>
          <w:sz w:val="20"/>
          <w:szCs w:val="20"/>
          <w:color w:val="auto"/>
        </w:rPr>
      </w:pPr>
    </w:p>
    <w:p>
      <w:pPr>
        <w:ind w:left="60"/>
        <w:spacing w:after="0"/>
        <w:rPr>
          <w:sz w:val="20"/>
          <w:szCs w:val="20"/>
          <w:color w:val="auto"/>
        </w:rPr>
      </w:pPr>
      <w:r>
        <w:rPr>
          <w:rFonts w:ascii="Arial" w:cs="Arial" w:eastAsia="Arial" w:hAnsi="Arial"/>
          <w:sz w:val="15"/>
          <w:szCs w:val="15"/>
          <w:b w:val="1"/>
          <w:bCs w:val="1"/>
          <w:color w:val="FFFFFF"/>
        </w:rPr>
        <w:t>OVERVIEW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-95250</wp:posOffset>
            </wp:positionV>
            <wp:extent cx="3473450" cy="10287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3473450" cy="10287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62"/>
        </w:trPr>
        <w:tc>
          <w:tcPr>
            <w:tcW w:w="1180" w:type="dxa"/>
            <w:vAlign w:val="bottom"/>
          </w:tcPr>
          <w:p>
            <w:pPr>
              <w:spacing w:after="0"/>
              <w:rPr>
                <w:sz w:val="20"/>
                <w:szCs w:val="20"/>
                <w:color w:val="auto"/>
              </w:rPr>
            </w:pPr>
            <w:r>
              <w:rPr>
                <w:rFonts w:ascii="Arial" w:cs="Arial" w:eastAsia="Arial" w:hAnsi="Arial"/>
                <w:sz w:val="14"/>
                <w:szCs w:val="14"/>
                <w:color w:val="auto"/>
              </w:rPr>
              <w:t>Materiality</w:t>
            </w:r>
          </w:p>
        </w:tc>
        <w:tc>
          <w:tcPr>
            <w:tcW w:w="4300" w:type="dxa"/>
            <w:vAlign w:val="bottom"/>
            <w:gridSpan w:val="2"/>
          </w:tcPr>
          <w:p>
            <w:pPr>
              <w:ind w:left="260"/>
              <w:spacing w:after="0"/>
              <w:rPr>
                <w:sz w:val="20"/>
                <w:szCs w:val="20"/>
                <w:color w:val="auto"/>
              </w:rPr>
            </w:pPr>
            <w:r>
              <w:rPr>
                <w:rFonts w:ascii="Arial" w:cs="Arial" w:eastAsia="Arial" w:hAnsi="Arial"/>
                <w:sz w:val="12"/>
                <w:szCs w:val="12"/>
                <w:color w:val="auto"/>
              </w:rPr>
              <w:t xml:space="preserve">n </w:t>
            </w:r>
            <w:r>
              <w:rPr>
                <w:rFonts w:ascii="Arial" w:cs="Arial" w:eastAsia="Arial" w:hAnsi="Arial"/>
                <w:sz w:val="14"/>
                <w:szCs w:val="14"/>
                <w:color w:val="auto"/>
              </w:rPr>
              <w:t>Overall materiality: $1,415 million which represents 5% of</w:t>
            </w:r>
          </w:p>
        </w:tc>
      </w:tr>
      <w:tr>
        <w:trPr>
          <w:trHeight w:val="162"/>
        </w:trPr>
        <w:tc>
          <w:tcPr>
            <w:tcW w:w="11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940" w:type="dxa"/>
            <w:vAlign w:val="bottom"/>
          </w:tcPr>
          <w:p>
            <w:pPr>
              <w:ind w:left="40"/>
              <w:spacing w:after="0"/>
              <w:rPr>
                <w:sz w:val="20"/>
                <w:szCs w:val="20"/>
                <w:color w:val="auto"/>
              </w:rPr>
            </w:pPr>
            <w:r>
              <w:rPr>
                <w:rFonts w:ascii="Arial" w:cs="Arial" w:eastAsia="Arial" w:hAnsi="Arial"/>
                <w:sz w:val="14"/>
                <w:szCs w:val="14"/>
                <w:color w:val="auto"/>
              </w:rPr>
              <w:t>income before taxation. This group materiality is allocated, at</w:t>
            </w:r>
          </w:p>
        </w:tc>
      </w:tr>
      <w:tr>
        <w:trPr>
          <w:trHeight w:val="157"/>
        </w:trPr>
        <w:tc>
          <w:tcPr>
            <w:tcW w:w="118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3940" w:type="dxa"/>
            <w:vAlign w:val="bottom"/>
            <w:tcBorders>
              <w:bottom w:val="single" w:sz="8" w:color="auto"/>
            </w:tcBorders>
          </w:tcPr>
          <w:p>
            <w:pPr>
              <w:ind w:left="40"/>
              <w:spacing w:after="0" w:line="157" w:lineRule="exact"/>
              <w:rPr>
                <w:sz w:val="20"/>
                <w:szCs w:val="20"/>
                <w:color w:val="auto"/>
              </w:rPr>
            </w:pPr>
            <w:r>
              <w:rPr>
                <w:rFonts w:ascii="Arial" w:cs="Arial" w:eastAsia="Arial" w:hAnsi="Arial"/>
                <w:sz w:val="14"/>
                <w:szCs w:val="14"/>
                <w:color w:val="auto"/>
              </w:rPr>
              <w:t>a lower level, to local audit teams.</w:t>
            </w:r>
          </w:p>
        </w:tc>
      </w:tr>
      <w:tr>
        <w:trPr>
          <w:trHeight w:val="160"/>
        </w:trPr>
        <w:tc>
          <w:tcPr>
            <w:tcW w:w="1180" w:type="dxa"/>
            <w:vAlign w:val="bottom"/>
          </w:tcPr>
          <w:p>
            <w:pPr>
              <w:spacing w:after="0"/>
              <w:rPr>
                <w:sz w:val="20"/>
                <w:szCs w:val="20"/>
                <w:color w:val="auto"/>
              </w:rPr>
            </w:pPr>
            <w:r>
              <w:rPr>
                <w:rFonts w:ascii="Arial" w:cs="Arial" w:eastAsia="Arial" w:hAnsi="Arial"/>
                <w:sz w:val="14"/>
                <w:szCs w:val="14"/>
                <w:color w:val="auto"/>
              </w:rPr>
              <w:t>Scoping</w:t>
            </w:r>
          </w:p>
        </w:tc>
        <w:tc>
          <w:tcPr>
            <w:tcW w:w="4300" w:type="dxa"/>
            <w:vAlign w:val="bottom"/>
            <w:gridSpan w:val="2"/>
          </w:tcPr>
          <w:p>
            <w:pPr>
              <w:ind w:left="260"/>
              <w:spacing w:after="0"/>
              <w:rPr>
                <w:sz w:val="20"/>
                <w:szCs w:val="20"/>
                <w:color w:val="auto"/>
              </w:rPr>
            </w:pPr>
            <w:r>
              <w:rPr>
                <w:rFonts w:ascii="Arial" w:cs="Arial" w:eastAsia="Arial" w:hAnsi="Arial"/>
                <w:sz w:val="12"/>
                <w:szCs w:val="12"/>
                <w:color w:val="auto"/>
              </w:rPr>
              <w:t xml:space="preserve">n </w:t>
            </w:r>
            <w:r>
              <w:rPr>
                <w:rFonts w:ascii="Arial" w:cs="Arial" w:eastAsia="Arial" w:hAnsi="Arial"/>
                <w:sz w:val="14"/>
                <w:szCs w:val="14"/>
                <w:color w:val="auto"/>
              </w:rPr>
              <w:t>We conducted full scope audit procedures in respect of</w:t>
            </w:r>
          </w:p>
        </w:tc>
      </w:tr>
      <w:tr>
        <w:trPr>
          <w:trHeight w:val="162"/>
        </w:trPr>
        <w:tc>
          <w:tcPr>
            <w:tcW w:w="11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940" w:type="dxa"/>
            <w:vAlign w:val="bottom"/>
          </w:tcPr>
          <w:p>
            <w:pPr>
              <w:ind w:left="40"/>
              <w:spacing w:after="0"/>
              <w:rPr>
                <w:sz w:val="20"/>
                <w:szCs w:val="20"/>
                <w:color w:val="auto"/>
              </w:rPr>
            </w:pPr>
            <w:r>
              <w:rPr>
                <w:rFonts w:ascii="Arial" w:cs="Arial" w:eastAsia="Arial" w:hAnsi="Arial"/>
                <w:sz w:val="14"/>
                <w:szCs w:val="14"/>
                <w:color w:val="auto"/>
              </w:rPr>
              <w:t>operations in nine countries.</w:t>
            </w:r>
          </w:p>
        </w:tc>
      </w:tr>
      <w:tr>
        <w:trPr>
          <w:trHeight w:val="162"/>
        </w:trPr>
        <w:tc>
          <w:tcPr>
            <w:tcW w:w="1180" w:type="dxa"/>
            <w:vAlign w:val="bottom"/>
          </w:tcPr>
          <w:p>
            <w:pPr>
              <w:spacing w:after="0"/>
              <w:rPr>
                <w:sz w:val="14"/>
                <w:szCs w:val="14"/>
                <w:color w:val="auto"/>
              </w:rPr>
            </w:pPr>
          </w:p>
        </w:tc>
        <w:tc>
          <w:tcPr>
            <w:tcW w:w="4300" w:type="dxa"/>
            <w:vAlign w:val="bottom"/>
            <w:gridSpan w:val="2"/>
          </w:tcPr>
          <w:p>
            <w:pPr>
              <w:ind w:left="260"/>
              <w:spacing w:after="0"/>
              <w:rPr>
                <w:sz w:val="20"/>
                <w:szCs w:val="20"/>
                <w:color w:val="auto"/>
              </w:rPr>
            </w:pPr>
            <w:r>
              <w:rPr>
                <w:rFonts w:ascii="Arial" w:cs="Arial" w:eastAsia="Arial" w:hAnsi="Arial"/>
                <w:sz w:val="12"/>
                <w:szCs w:val="12"/>
                <w:color w:val="auto"/>
              </w:rPr>
              <w:t xml:space="preserve">n </w:t>
            </w:r>
            <w:r>
              <w:rPr>
                <w:rFonts w:ascii="Arial" w:cs="Arial" w:eastAsia="Arial" w:hAnsi="Arial"/>
                <w:sz w:val="14"/>
                <w:szCs w:val="14"/>
                <w:color w:val="auto"/>
              </w:rPr>
              <w:t>We conducted limited scope audit procedures in respect of</w:t>
            </w:r>
          </w:p>
        </w:tc>
      </w:tr>
      <w:tr>
        <w:trPr>
          <w:trHeight w:val="162"/>
        </w:trPr>
        <w:tc>
          <w:tcPr>
            <w:tcW w:w="11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940" w:type="dxa"/>
            <w:vAlign w:val="bottom"/>
          </w:tcPr>
          <w:p>
            <w:pPr>
              <w:ind w:left="40"/>
              <w:spacing w:after="0"/>
              <w:rPr>
                <w:sz w:val="20"/>
                <w:szCs w:val="20"/>
                <w:color w:val="auto"/>
              </w:rPr>
            </w:pPr>
            <w:r>
              <w:rPr>
                <w:rFonts w:ascii="Arial" w:cs="Arial" w:eastAsia="Arial" w:hAnsi="Arial"/>
                <w:sz w:val="14"/>
                <w:szCs w:val="14"/>
                <w:color w:val="auto"/>
              </w:rPr>
              <w:t>operations in a further nine countries.</w:t>
            </w:r>
          </w:p>
        </w:tc>
      </w:tr>
      <w:tr>
        <w:trPr>
          <w:trHeight w:val="162"/>
        </w:trPr>
        <w:tc>
          <w:tcPr>
            <w:tcW w:w="1180" w:type="dxa"/>
            <w:vAlign w:val="bottom"/>
          </w:tcPr>
          <w:p>
            <w:pPr>
              <w:spacing w:after="0"/>
              <w:rPr>
                <w:sz w:val="14"/>
                <w:szCs w:val="14"/>
                <w:color w:val="auto"/>
              </w:rPr>
            </w:pPr>
          </w:p>
        </w:tc>
        <w:tc>
          <w:tcPr>
            <w:tcW w:w="4300" w:type="dxa"/>
            <w:vAlign w:val="bottom"/>
            <w:gridSpan w:val="2"/>
          </w:tcPr>
          <w:p>
            <w:pPr>
              <w:ind w:left="260"/>
              <w:spacing w:after="0"/>
              <w:rPr>
                <w:sz w:val="20"/>
                <w:szCs w:val="20"/>
                <w:color w:val="auto"/>
              </w:rPr>
            </w:pPr>
            <w:r>
              <w:rPr>
                <w:rFonts w:ascii="Arial" w:cs="Arial" w:eastAsia="Arial" w:hAnsi="Arial"/>
                <w:sz w:val="12"/>
                <w:szCs w:val="12"/>
                <w:color w:val="auto"/>
              </w:rPr>
              <w:t xml:space="preserve">n </w:t>
            </w:r>
            <w:r>
              <w:rPr>
                <w:rFonts w:ascii="Arial" w:cs="Arial" w:eastAsia="Arial" w:hAnsi="Arial"/>
                <w:sz w:val="14"/>
                <w:szCs w:val="14"/>
                <w:color w:val="auto"/>
              </w:rPr>
              <w:t>Our audit scope addressed 70% of consolidated revenue and</w:t>
            </w:r>
          </w:p>
        </w:tc>
      </w:tr>
      <w:tr>
        <w:trPr>
          <w:trHeight w:val="162"/>
        </w:trPr>
        <w:tc>
          <w:tcPr>
            <w:tcW w:w="11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940" w:type="dxa"/>
            <w:vAlign w:val="bottom"/>
          </w:tcPr>
          <w:p>
            <w:pPr>
              <w:ind w:left="40"/>
              <w:spacing w:after="0"/>
              <w:rPr>
                <w:sz w:val="20"/>
                <w:szCs w:val="20"/>
                <w:color w:val="auto"/>
              </w:rPr>
            </w:pPr>
            <w:r>
              <w:rPr>
                <w:rFonts w:ascii="Arial" w:cs="Arial" w:eastAsia="Arial" w:hAnsi="Arial"/>
                <w:sz w:val="14"/>
                <w:szCs w:val="14"/>
                <w:color w:val="auto"/>
              </w:rPr>
              <w:t>66% of consolidated assets.</w:t>
            </w:r>
          </w:p>
        </w:tc>
      </w:tr>
      <w:tr>
        <w:trPr>
          <w:trHeight w:val="162"/>
        </w:trPr>
        <w:tc>
          <w:tcPr>
            <w:tcW w:w="1180" w:type="dxa"/>
            <w:vAlign w:val="bottom"/>
          </w:tcPr>
          <w:p>
            <w:pPr>
              <w:spacing w:after="0"/>
              <w:rPr>
                <w:sz w:val="14"/>
                <w:szCs w:val="14"/>
                <w:color w:val="auto"/>
              </w:rPr>
            </w:pPr>
          </w:p>
        </w:tc>
        <w:tc>
          <w:tcPr>
            <w:tcW w:w="4300" w:type="dxa"/>
            <w:vAlign w:val="bottom"/>
            <w:gridSpan w:val="2"/>
          </w:tcPr>
          <w:p>
            <w:pPr>
              <w:ind w:left="260"/>
              <w:spacing w:after="0"/>
              <w:rPr>
                <w:sz w:val="20"/>
                <w:szCs w:val="20"/>
                <w:color w:val="auto"/>
              </w:rPr>
            </w:pPr>
            <w:r>
              <w:rPr>
                <w:rFonts w:ascii="Arial" w:cs="Arial" w:eastAsia="Arial" w:hAnsi="Arial"/>
                <w:sz w:val="12"/>
                <w:szCs w:val="12"/>
                <w:color w:val="auto"/>
              </w:rPr>
              <w:t xml:space="preserve">n </w:t>
            </w:r>
            <w:r>
              <w:rPr>
                <w:rFonts w:ascii="Arial" w:cs="Arial" w:eastAsia="Arial" w:hAnsi="Arial"/>
                <w:sz w:val="14"/>
                <w:szCs w:val="14"/>
                <w:color w:val="auto"/>
              </w:rPr>
              <w:t>The group audit team conducted an overall review, and audit</w:t>
            </w:r>
          </w:p>
        </w:tc>
      </w:tr>
      <w:tr>
        <w:trPr>
          <w:trHeight w:val="162"/>
        </w:trPr>
        <w:tc>
          <w:tcPr>
            <w:tcW w:w="11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940" w:type="dxa"/>
            <w:vAlign w:val="bottom"/>
          </w:tcPr>
          <w:p>
            <w:pPr>
              <w:ind w:left="40"/>
              <w:spacing w:after="0"/>
              <w:rPr>
                <w:sz w:val="20"/>
                <w:szCs w:val="20"/>
                <w:color w:val="auto"/>
              </w:rPr>
            </w:pPr>
            <w:r>
              <w:rPr>
                <w:rFonts w:ascii="Arial" w:cs="Arial" w:eastAsia="Arial" w:hAnsi="Arial"/>
                <w:sz w:val="14"/>
                <w:szCs w:val="14"/>
                <w:color w:val="auto"/>
              </w:rPr>
              <w:t>procedures over specific areas including acquisitions,</w:t>
            </w:r>
          </w:p>
        </w:tc>
      </w:tr>
      <w:tr>
        <w:trPr>
          <w:trHeight w:val="157"/>
        </w:trPr>
        <w:tc>
          <w:tcPr>
            <w:tcW w:w="118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3940" w:type="dxa"/>
            <w:vAlign w:val="bottom"/>
            <w:tcBorders>
              <w:bottom w:val="single" w:sz="8" w:color="auto"/>
            </w:tcBorders>
          </w:tcPr>
          <w:p>
            <w:pPr>
              <w:ind w:left="40"/>
              <w:spacing w:after="0" w:line="157" w:lineRule="exact"/>
              <w:rPr>
                <w:sz w:val="20"/>
                <w:szCs w:val="20"/>
                <w:color w:val="auto"/>
              </w:rPr>
            </w:pPr>
            <w:r>
              <w:rPr>
                <w:rFonts w:ascii="Arial" w:cs="Arial" w:eastAsia="Arial" w:hAnsi="Arial"/>
                <w:sz w:val="14"/>
                <w:szCs w:val="14"/>
                <w:color w:val="auto"/>
              </w:rPr>
              <w:t>divestments and impairment.</w:t>
            </w:r>
          </w:p>
        </w:tc>
      </w:tr>
      <w:tr>
        <w:trPr>
          <w:trHeight w:val="160"/>
        </w:trPr>
        <w:tc>
          <w:tcPr>
            <w:tcW w:w="1180" w:type="dxa"/>
            <w:vAlign w:val="bottom"/>
          </w:tcPr>
          <w:p>
            <w:pPr>
              <w:spacing w:after="0"/>
              <w:rPr>
                <w:sz w:val="20"/>
                <w:szCs w:val="20"/>
                <w:color w:val="auto"/>
              </w:rPr>
            </w:pPr>
            <w:r>
              <w:rPr>
                <w:rFonts w:ascii="Arial" w:cs="Arial" w:eastAsia="Arial" w:hAnsi="Arial"/>
                <w:sz w:val="14"/>
                <w:szCs w:val="14"/>
                <w:color w:val="auto"/>
              </w:rPr>
              <w:t>Areas of focus</w:t>
            </w:r>
          </w:p>
        </w:tc>
        <w:tc>
          <w:tcPr>
            <w:tcW w:w="360" w:type="dxa"/>
            <w:vAlign w:val="bottom"/>
          </w:tcPr>
          <w:p>
            <w:pPr>
              <w:ind w:left="260"/>
              <w:spacing w:after="0"/>
              <w:rPr>
                <w:sz w:val="20"/>
                <w:szCs w:val="20"/>
                <w:color w:val="auto"/>
              </w:rPr>
            </w:pPr>
            <w:r>
              <w:rPr>
                <w:rFonts w:ascii="Arial" w:cs="Arial" w:eastAsia="Arial" w:hAnsi="Arial"/>
                <w:sz w:val="12"/>
                <w:szCs w:val="12"/>
                <w:color w:val="auto"/>
              </w:rPr>
              <w:t>n</w:t>
            </w:r>
          </w:p>
        </w:tc>
        <w:tc>
          <w:tcPr>
            <w:tcW w:w="3940" w:type="dxa"/>
            <w:vAlign w:val="bottom"/>
          </w:tcPr>
          <w:p>
            <w:pPr>
              <w:ind w:left="40"/>
              <w:spacing w:after="0"/>
              <w:rPr>
                <w:sz w:val="20"/>
                <w:szCs w:val="20"/>
                <w:color w:val="auto"/>
              </w:rPr>
            </w:pPr>
            <w:r>
              <w:rPr>
                <w:rFonts w:ascii="Arial" w:cs="Arial" w:eastAsia="Arial" w:hAnsi="Arial"/>
                <w:sz w:val="14"/>
                <w:szCs w:val="14"/>
                <w:color w:val="auto"/>
              </w:rPr>
              <w:t>Recoverability of the carrying amount of refining assets.</w:t>
            </w:r>
          </w:p>
        </w:tc>
      </w:tr>
      <w:tr>
        <w:trPr>
          <w:trHeight w:val="162"/>
        </w:trPr>
        <w:tc>
          <w:tcPr>
            <w:tcW w:w="1180" w:type="dxa"/>
            <w:vAlign w:val="bottom"/>
          </w:tcPr>
          <w:p>
            <w:pPr>
              <w:spacing w:after="0"/>
              <w:rPr>
                <w:sz w:val="14"/>
                <w:szCs w:val="14"/>
                <w:color w:val="auto"/>
              </w:rPr>
            </w:pPr>
          </w:p>
        </w:tc>
        <w:tc>
          <w:tcPr>
            <w:tcW w:w="360" w:type="dxa"/>
            <w:vAlign w:val="bottom"/>
          </w:tcPr>
          <w:p>
            <w:pPr>
              <w:ind w:left="260"/>
              <w:spacing w:after="0"/>
              <w:rPr>
                <w:sz w:val="20"/>
                <w:szCs w:val="20"/>
                <w:color w:val="auto"/>
              </w:rPr>
            </w:pPr>
            <w:r>
              <w:rPr>
                <w:rFonts w:ascii="Arial" w:cs="Arial" w:eastAsia="Arial" w:hAnsi="Arial"/>
                <w:sz w:val="12"/>
                <w:szCs w:val="12"/>
                <w:color w:val="auto"/>
              </w:rPr>
              <w:t>n</w:t>
            </w:r>
          </w:p>
        </w:tc>
        <w:tc>
          <w:tcPr>
            <w:tcW w:w="3940" w:type="dxa"/>
            <w:vAlign w:val="bottom"/>
          </w:tcPr>
          <w:p>
            <w:pPr>
              <w:ind w:left="40"/>
              <w:spacing w:after="0"/>
              <w:rPr>
                <w:sz w:val="20"/>
                <w:szCs w:val="20"/>
                <w:color w:val="auto"/>
              </w:rPr>
            </w:pPr>
            <w:r>
              <w:rPr>
                <w:rFonts w:ascii="Arial" w:cs="Arial" w:eastAsia="Arial" w:hAnsi="Arial"/>
                <w:sz w:val="14"/>
                <w:szCs w:val="14"/>
                <w:color w:val="auto"/>
              </w:rPr>
              <w:t>Recoverability of the carrying amount of North American</w:t>
            </w:r>
          </w:p>
        </w:tc>
      </w:tr>
      <w:tr>
        <w:trPr>
          <w:trHeight w:val="162"/>
        </w:trPr>
        <w:tc>
          <w:tcPr>
            <w:tcW w:w="11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940" w:type="dxa"/>
            <w:vAlign w:val="bottom"/>
          </w:tcPr>
          <w:p>
            <w:pPr>
              <w:ind w:left="40"/>
              <w:spacing w:after="0"/>
              <w:rPr>
                <w:sz w:val="20"/>
                <w:szCs w:val="20"/>
                <w:color w:val="auto"/>
              </w:rPr>
            </w:pPr>
            <w:r>
              <w:rPr>
                <w:rFonts w:ascii="Arial" w:cs="Arial" w:eastAsia="Arial" w:hAnsi="Arial"/>
                <w:sz w:val="14"/>
                <w:szCs w:val="14"/>
                <w:color w:val="auto"/>
              </w:rPr>
              <w:t>tight-gas and liquids-rich shale assets.</w:t>
            </w:r>
          </w:p>
        </w:tc>
      </w:tr>
      <w:tr>
        <w:trPr>
          <w:trHeight w:val="162"/>
        </w:trPr>
        <w:tc>
          <w:tcPr>
            <w:tcW w:w="1180" w:type="dxa"/>
            <w:vAlign w:val="bottom"/>
          </w:tcPr>
          <w:p>
            <w:pPr>
              <w:spacing w:after="0"/>
              <w:rPr>
                <w:sz w:val="14"/>
                <w:szCs w:val="14"/>
                <w:color w:val="auto"/>
              </w:rPr>
            </w:pPr>
          </w:p>
        </w:tc>
        <w:tc>
          <w:tcPr>
            <w:tcW w:w="360" w:type="dxa"/>
            <w:vAlign w:val="bottom"/>
          </w:tcPr>
          <w:p>
            <w:pPr>
              <w:ind w:left="260"/>
              <w:spacing w:after="0"/>
              <w:rPr>
                <w:sz w:val="20"/>
                <w:szCs w:val="20"/>
                <w:color w:val="auto"/>
              </w:rPr>
            </w:pPr>
            <w:r>
              <w:rPr>
                <w:rFonts w:ascii="Arial" w:cs="Arial" w:eastAsia="Arial" w:hAnsi="Arial"/>
                <w:sz w:val="12"/>
                <w:szCs w:val="12"/>
                <w:color w:val="auto"/>
              </w:rPr>
              <w:t>n</w:t>
            </w:r>
          </w:p>
        </w:tc>
        <w:tc>
          <w:tcPr>
            <w:tcW w:w="3940" w:type="dxa"/>
            <w:vAlign w:val="bottom"/>
          </w:tcPr>
          <w:p>
            <w:pPr>
              <w:ind w:left="40"/>
              <w:spacing w:after="0"/>
              <w:rPr>
                <w:sz w:val="20"/>
                <w:szCs w:val="20"/>
                <w:color w:val="auto"/>
              </w:rPr>
            </w:pPr>
            <w:r>
              <w:rPr>
                <w:rFonts w:ascii="Arial" w:cs="Arial" w:eastAsia="Arial" w:hAnsi="Arial"/>
                <w:sz w:val="14"/>
                <w:szCs w:val="14"/>
                <w:color w:val="auto"/>
              </w:rPr>
              <w:t>Impact of the deterioration in the short-term oil and gas price</w:t>
            </w:r>
          </w:p>
        </w:tc>
      </w:tr>
      <w:tr>
        <w:trPr>
          <w:trHeight w:val="162"/>
        </w:trPr>
        <w:tc>
          <w:tcPr>
            <w:tcW w:w="11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940" w:type="dxa"/>
            <w:vAlign w:val="bottom"/>
          </w:tcPr>
          <w:p>
            <w:pPr>
              <w:ind w:left="40"/>
              <w:spacing w:after="0"/>
              <w:rPr>
                <w:sz w:val="20"/>
                <w:szCs w:val="20"/>
                <w:color w:val="auto"/>
              </w:rPr>
            </w:pPr>
            <w:r>
              <w:rPr>
                <w:rFonts w:ascii="Arial" w:cs="Arial" w:eastAsia="Arial" w:hAnsi="Arial"/>
                <w:sz w:val="14"/>
                <w:szCs w:val="14"/>
                <w:color w:val="auto"/>
              </w:rPr>
              <w:t>environment.</w:t>
            </w:r>
          </w:p>
        </w:tc>
      </w:tr>
      <w:tr>
        <w:trPr>
          <w:trHeight w:val="162"/>
        </w:trPr>
        <w:tc>
          <w:tcPr>
            <w:tcW w:w="1180" w:type="dxa"/>
            <w:vAlign w:val="bottom"/>
          </w:tcPr>
          <w:p>
            <w:pPr>
              <w:spacing w:after="0"/>
              <w:rPr>
                <w:sz w:val="14"/>
                <w:szCs w:val="14"/>
                <w:color w:val="auto"/>
              </w:rPr>
            </w:pPr>
          </w:p>
        </w:tc>
        <w:tc>
          <w:tcPr>
            <w:tcW w:w="360" w:type="dxa"/>
            <w:vAlign w:val="bottom"/>
          </w:tcPr>
          <w:p>
            <w:pPr>
              <w:ind w:left="260"/>
              <w:spacing w:after="0"/>
              <w:rPr>
                <w:sz w:val="20"/>
                <w:szCs w:val="20"/>
                <w:color w:val="auto"/>
              </w:rPr>
            </w:pPr>
            <w:r>
              <w:rPr>
                <w:rFonts w:ascii="Arial" w:cs="Arial" w:eastAsia="Arial" w:hAnsi="Arial"/>
                <w:sz w:val="12"/>
                <w:szCs w:val="12"/>
                <w:color w:val="auto"/>
              </w:rPr>
              <w:t>n</w:t>
            </w:r>
          </w:p>
        </w:tc>
        <w:tc>
          <w:tcPr>
            <w:tcW w:w="3940" w:type="dxa"/>
            <w:vAlign w:val="bottom"/>
          </w:tcPr>
          <w:p>
            <w:pPr>
              <w:ind w:left="20"/>
              <w:spacing w:after="0"/>
              <w:rPr>
                <w:sz w:val="20"/>
                <w:szCs w:val="20"/>
                <w:color w:val="auto"/>
              </w:rPr>
            </w:pPr>
            <w:r>
              <w:rPr>
                <w:rFonts w:ascii="Arial" w:cs="Arial" w:eastAsia="Arial" w:hAnsi="Arial"/>
                <w:sz w:val="14"/>
                <w:szCs w:val="14"/>
                <w:color w:val="auto"/>
              </w:rPr>
              <w:t>Allocation of the purchase price in respect of the Repsol</w:t>
            </w:r>
          </w:p>
        </w:tc>
      </w:tr>
      <w:tr>
        <w:trPr>
          <w:trHeight w:val="162"/>
        </w:trPr>
        <w:tc>
          <w:tcPr>
            <w:tcW w:w="11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940" w:type="dxa"/>
            <w:vAlign w:val="bottom"/>
          </w:tcPr>
          <w:p>
            <w:pPr>
              <w:ind w:left="40"/>
              <w:spacing w:after="0"/>
              <w:rPr>
                <w:sz w:val="20"/>
                <w:szCs w:val="20"/>
                <w:color w:val="auto"/>
              </w:rPr>
            </w:pPr>
            <w:r>
              <w:rPr>
                <w:rFonts w:ascii="Arial" w:cs="Arial" w:eastAsia="Arial" w:hAnsi="Arial"/>
                <w:sz w:val="14"/>
                <w:szCs w:val="14"/>
                <w:color w:val="auto"/>
              </w:rPr>
              <w:t>acquisition.</w:t>
            </w:r>
          </w:p>
        </w:tc>
      </w:tr>
      <w:tr>
        <w:trPr>
          <w:trHeight w:val="162"/>
        </w:trPr>
        <w:tc>
          <w:tcPr>
            <w:tcW w:w="1180" w:type="dxa"/>
            <w:vAlign w:val="bottom"/>
          </w:tcPr>
          <w:p>
            <w:pPr>
              <w:spacing w:after="0"/>
              <w:rPr>
                <w:sz w:val="14"/>
                <w:szCs w:val="14"/>
                <w:color w:val="auto"/>
              </w:rPr>
            </w:pPr>
          </w:p>
        </w:tc>
        <w:tc>
          <w:tcPr>
            <w:tcW w:w="360" w:type="dxa"/>
            <w:vAlign w:val="bottom"/>
          </w:tcPr>
          <w:p>
            <w:pPr>
              <w:ind w:left="260"/>
              <w:spacing w:after="0"/>
              <w:rPr>
                <w:sz w:val="20"/>
                <w:szCs w:val="20"/>
                <w:color w:val="auto"/>
              </w:rPr>
            </w:pPr>
            <w:r>
              <w:rPr>
                <w:rFonts w:ascii="Arial" w:cs="Arial" w:eastAsia="Arial" w:hAnsi="Arial"/>
                <w:sz w:val="12"/>
                <w:szCs w:val="12"/>
                <w:color w:val="auto"/>
              </w:rPr>
              <w:t>n</w:t>
            </w:r>
          </w:p>
        </w:tc>
        <w:tc>
          <w:tcPr>
            <w:tcW w:w="3940" w:type="dxa"/>
            <w:vAlign w:val="bottom"/>
          </w:tcPr>
          <w:p>
            <w:pPr>
              <w:ind w:left="40"/>
              <w:spacing w:after="0"/>
              <w:rPr>
                <w:sz w:val="20"/>
                <w:szCs w:val="20"/>
                <w:color w:val="auto"/>
              </w:rPr>
            </w:pPr>
            <w:r>
              <w:rPr>
                <w:rFonts w:ascii="Arial" w:cs="Arial" w:eastAsia="Arial" w:hAnsi="Arial"/>
                <w:sz w:val="14"/>
                <w:szCs w:val="14"/>
                <w:color w:val="auto"/>
              </w:rPr>
              <w:t>Estimation of decommissioning and restoration provisions.</w:t>
            </w:r>
          </w:p>
        </w:tc>
      </w:tr>
      <w:tr>
        <w:trPr>
          <w:trHeight w:val="162"/>
        </w:trPr>
        <w:tc>
          <w:tcPr>
            <w:tcW w:w="1180" w:type="dxa"/>
            <w:vAlign w:val="bottom"/>
          </w:tcPr>
          <w:p>
            <w:pPr>
              <w:spacing w:after="0"/>
              <w:rPr>
                <w:sz w:val="14"/>
                <w:szCs w:val="14"/>
                <w:color w:val="auto"/>
              </w:rPr>
            </w:pPr>
          </w:p>
        </w:tc>
        <w:tc>
          <w:tcPr>
            <w:tcW w:w="360" w:type="dxa"/>
            <w:vAlign w:val="bottom"/>
          </w:tcPr>
          <w:p>
            <w:pPr>
              <w:ind w:left="260"/>
              <w:spacing w:after="0"/>
              <w:rPr>
                <w:sz w:val="20"/>
                <w:szCs w:val="20"/>
                <w:color w:val="auto"/>
              </w:rPr>
            </w:pPr>
            <w:r>
              <w:rPr>
                <w:rFonts w:ascii="Arial" w:cs="Arial" w:eastAsia="Arial" w:hAnsi="Arial"/>
                <w:sz w:val="12"/>
                <w:szCs w:val="12"/>
                <w:color w:val="auto"/>
              </w:rPr>
              <w:t>n</w:t>
            </w:r>
          </w:p>
        </w:tc>
        <w:tc>
          <w:tcPr>
            <w:tcW w:w="3940" w:type="dxa"/>
            <w:vAlign w:val="bottom"/>
          </w:tcPr>
          <w:p>
            <w:pPr>
              <w:ind w:left="40"/>
              <w:spacing w:after="0"/>
              <w:rPr>
                <w:sz w:val="20"/>
                <w:szCs w:val="20"/>
                <w:color w:val="auto"/>
              </w:rPr>
            </w:pPr>
            <w:r>
              <w:rPr>
                <w:rFonts w:ascii="Arial" w:cs="Arial" w:eastAsia="Arial" w:hAnsi="Arial"/>
                <w:sz w:val="14"/>
                <w:szCs w:val="14"/>
                <w:color w:val="auto"/>
              </w:rPr>
              <w:t>Estimation in respect of uncertain tax positions and</w:t>
            </w:r>
          </w:p>
        </w:tc>
      </w:tr>
      <w:tr>
        <w:trPr>
          <w:trHeight w:val="162"/>
        </w:trPr>
        <w:tc>
          <w:tcPr>
            <w:tcW w:w="11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940" w:type="dxa"/>
            <w:vAlign w:val="bottom"/>
          </w:tcPr>
          <w:p>
            <w:pPr>
              <w:ind w:left="40"/>
              <w:spacing w:after="0"/>
              <w:rPr>
                <w:sz w:val="20"/>
                <w:szCs w:val="20"/>
                <w:color w:val="auto"/>
              </w:rPr>
            </w:pPr>
            <w:r>
              <w:rPr>
                <w:rFonts w:ascii="Arial" w:cs="Arial" w:eastAsia="Arial" w:hAnsi="Arial"/>
                <w:sz w:val="14"/>
                <w:szCs w:val="14"/>
                <w:color w:val="auto"/>
              </w:rPr>
              <w:t>recognition of deferred tax assets.</w:t>
            </w:r>
          </w:p>
        </w:tc>
      </w:tr>
      <w:tr>
        <w:trPr>
          <w:trHeight w:val="162"/>
        </w:trPr>
        <w:tc>
          <w:tcPr>
            <w:tcW w:w="1180" w:type="dxa"/>
            <w:vAlign w:val="bottom"/>
          </w:tcPr>
          <w:p>
            <w:pPr>
              <w:spacing w:after="0"/>
              <w:rPr>
                <w:sz w:val="14"/>
                <w:szCs w:val="14"/>
                <w:color w:val="auto"/>
              </w:rPr>
            </w:pPr>
          </w:p>
        </w:tc>
        <w:tc>
          <w:tcPr>
            <w:tcW w:w="360" w:type="dxa"/>
            <w:vAlign w:val="bottom"/>
          </w:tcPr>
          <w:p>
            <w:pPr>
              <w:ind w:left="260"/>
              <w:spacing w:after="0"/>
              <w:rPr>
                <w:sz w:val="20"/>
                <w:szCs w:val="20"/>
                <w:color w:val="auto"/>
              </w:rPr>
            </w:pPr>
            <w:r>
              <w:rPr>
                <w:rFonts w:ascii="Arial" w:cs="Arial" w:eastAsia="Arial" w:hAnsi="Arial"/>
                <w:sz w:val="12"/>
                <w:szCs w:val="12"/>
                <w:color w:val="auto"/>
              </w:rPr>
              <w:t>n</w:t>
            </w:r>
          </w:p>
        </w:tc>
        <w:tc>
          <w:tcPr>
            <w:tcW w:w="3940" w:type="dxa"/>
            <w:vAlign w:val="bottom"/>
          </w:tcPr>
          <w:p>
            <w:pPr>
              <w:ind w:left="20"/>
              <w:spacing w:after="0"/>
              <w:rPr>
                <w:sz w:val="20"/>
                <w:szCs w:val="20"/>
                <w:color w:val="auto"/>
              </w:rPr>
            </w:pPr>
            <w:r>
              <w:rPr>
                <w:rFonts w:ascii="Arial" w:cs="Arial" w:eastAsia="Arial" w:hAnsi="Arial"/>
                <w:sz w:val="14"/>
                <w:szCs w:val="14"/>
                <w:color w:val="auto"/>
              </w:rPr>
              <w:t>Accounting for divestments.</w:t>
            </w:r>
          </w:p>
        </w:tc>
      </w:tr>
      <w:tr>
        <w:trPr>
          <w:trHeight w:val="157"/>
        </w:trPr>
        <w:tc>
          <w:tcPr>
            <w:tcW w:w="1180" w:type="dxa"/>
            <w:vAlign w:val="bottom"/>
            <w:tcBorders>
              <w:bottom w:val="single" w:sz="8" w:color="auto"/>
            </w:tcBorders>
          </w:tcPr>
          <w:p>
            <w:pPr>
              <w:spacing w:after="0"/>
              <w:rPr>
                <w:sz w:val="13"/>
                <w:szCs w:val="13"/>
                <w:color w:val="auto"/>
              </w:rPr>
            </w:pPr>
          </w:p>
        </w:tc>
        <w:tc>
          <w:tcPr>
            <w:tcW w:w="4300" w:type="dxa"/>
            <w:vAlign w:val="bottom"/>
            <w:tcBorders>
              <w:bottom w:val="single" w:sz="8" w:color="auto"/>
            </w:tcBorders>
            <w:gridSpan w:val="2"/>
          </w:tcPr>
          <w:p>
            <w:pPr>
              <w:ind w:left="260"/>
              <w:spacing w:after="0" w:line="157" w:lineRule="exact"/>
              <w:rPr>
                <w:sz w:val="20"/>
                <w:szCs w:val="20"/>
                <w:color w:val="auto"/>
              </w:rPr>
            </w:pPr>
            <w:r>
              <w:rPr>
                <w:rFonts w:ascii="Arial" w:cs="Arial" w:eastAsia="Arial" w:hAnsi="Arial"/>
                <w:sz w:val="12"/>
                <w:szCs w:val="12"/>
                <w:color w:val="auto"/>
              </w:rPr>
              <w:t xml:space="preserve">n </w:t>
            </w:r>
            <w:r>
              <w:rPr>
                <w:rFonts w:ascii="Arial" w:cs="Arial" w:eastAsia="Arial" w:hAnsi="Arial"/>
                <w:sz w:val="14"/>
                <w:szCs w:val="14"/>
                <w:color w:val="auto"/>
              </w:rPr>
              <w:t>Accuracy of the recognition of unrealised trading revenue.</w:t>
            </w:r>
          </w:p>
        </w:tc>
      </w:tr>
    </w:tbl>
    <w:p>
      <w:pPr>
        <w:spacing w:after="0" w:line="166" w:lineRule="exact"/>
        <w:rPr>
          <w:sz w:val="20"/>
          <w:szCs w:val="20"/>
          <w:color w:val="auto"/>
        </w:rPr>
      </w:pPr>
    </w:p>
    <w:p>
      <w:pPr>
        <w:spacing w:after="0"/>
        <w:rPr>
          <w:sz w:val="20"/>
          <w:szCs w:val="20"/>
          <w:color w:val="auto"/>
        </w:rPr>
      </w:pPr>
      <w:r>
        <w:rPr>
          <w:rFonts w:ascii="Arial" w:cs="Arial" w:eastAsia="Arial" w:hAnsi="Arial"/>
          <w:sz w:val="13"/>
          <w:szCs w:val="13"/>
          <w:color w:val="auto"/>
        </w:rPr>
        <w:t>OUR AUDIT APPROACH</w:t>
      </w:r>
    </w:p>
    <w:p>
      <w:pPr>
        <w:ind w:right="320"/>
        <w:spacing w:after="0" w:line="258" w:lineRule="auto"/>
        <w:rPr>
          <w:sz w:val="20"/>
          <w:szCs w:val="20"/>
          <w:color w:val="auto"/>
        </w:rPr>
      </w:pPr>
      <w:r>
        <w:rPr>
          <w:rFonts w:ascii="Arial" w:cs="Arial" w:eastAsia="Arial" w:hAnsi="Arial"/>
          <w:sz w:val="14"/>
          <w:szCs w:val="14"/>
          <w:color w:val="auto"/>
        </w:rPr>
        <w:t>We conducted our audit in accordance with International Standards on Auditing (UK and Ireland) (ISAs (UK and Ireland)).</w:t>
      </w:r>
    </w:p>
    <w:p>
      <w:pPr>
        <w:spacing w:after="0" w:line="154" w:lineRule="exact"/>
        <w:rPr>
          <w:sz w:val="20"/>
          <w:szCs w:val="20"/>
          <w:color w:val="auto"/>
        </w:rPr>
      </w:pPr>
    </w:p>
    <w:p>
      <w:pPr>
        <w:ind w:right="280"/>
        <w:spacing w:after="0" w:line="243" w:lineRule="auto"/>
        <w:rPr>
          <w:sz w:val="20"/>
          <w:szCs w:val="20"/>
          <w:color w:val="auto"/>
        </w:rPr>
      </w:pPr>
      <w:r>
        <w:rPr>
          <w:rFonts w:ascii="Arial" w:cs="Arial" w:eastAsia="Arial" w:hAnsi="Arial"/>
          <w:sz w:val="14"/>
          <w:szCs w:val="14"/>
          <w:color w:val="auto"/>
        </w:rPr>
        <w:t>We designed our audit by determining materiality and assessing the risks of material misstatement in the Consolidated Financial Statements. In particular, we looked at where the Directors made subjective judgements, for example, in respect of significant accounting estimates that involved making assumptions and considering future events that are inherently uncertain. As in all of our audits, we also addressed the risk of management override of internal controls, including evaluating whether there was evidence of bias by the Directors that represented a risk of material misstatement due to fraud.</w:t>
      </w:r>
    </w:p>
    <w:p>
      <w:pPr>
        <w:spacing w:after="0" w:line="167" w:lineRule="exact"/>
        <w:rPr>
          <w:sz w:val="20"/>
          <w:szCs w:val="20"/>
          <w:color w:val="auto"/>
        </w:rPr>
      </w:pPr>
    </w:p>
    <w:p>
      <w:pPr>
        <w:spacing w:after="0"/>
        <w:rPr>
          <w:sz w:val="20"/>
          <w:szCs w:val="20"/>
          <w:color w:val="auto"/>
        </w:rPr>
      </w:pPr>
      <w:r>
        <w:rPr>
          <w:rFonts w:ascii="Arial" w:cs="Arial" w:eastAsia="Arial" w:hAnsi="Arial"/>
          <w:sz w:val="13"/>
          <w:szCs w:val="13"/>
          <w:color w:val="auto"/>
        </w:rPr>
        <w:t>MATERIALITY APPLIED IN OUR WORK</w:t>
      </w:r>
    </w:p>
    <w:p>
      <w:pPr>
        <w:jc w:val="both"/>
        <w:ind w:right="200"/>
        <w:spacing w:after="0" w:line="245" w:lineRule="auto"/>
        <w:rPr>
          <w:sz w:val="20"/>
          <w:szCs w:val="20"/>
          <w:color w:val="auto"/>
        </w:rPr>
      </w:pPr>
      <w:r>
        <w:rPr>
          <w:rFonts w:ascii="Arial" w:cs="Arial" w:eastAsia="Arial" w:hAnsi="Arial"/>
          <w:sz w:val="14"/>
          <w:szCs w:val="14"/>
          <w:color w:val="auto"/>
        </w:rPr>
        <w:t>The scope of our audit was influenced by our application of materiality. We set certain quantitative thresholds for materiality. These, together with qualitative considerations, helped us to determine the scope of our audit and the nature, timing and extent of our audit procedures and to evaluate the effect of misstatements, both individually and in aggregate, on the Consolidated Financial Statements.</w:t>
      </w:r>
    </w:p>
    <w:p>
      <w:pPr>
        <w:sectPr>
          <w:pgSz w:w="11900" w:h="16838" w:orient="portrait"/>
          <w:cols w:equalWidth="0" w:num="2">
            <w:col w:w="5460" w:space="320"/>
            <w:col w:w="5640"/>
          </w:cols>
          <w:pgMar w:left="240" w:top="459" w:right="239" w:bottom="1440" w:gutter="0" w:footer="0" w:header="0"/>
          <w:type w:val="continuous"/>
        </w:sectPr>
      </w:pPr>
    </w:p>
    <w:bookmarkStart w:id="101" w:name="page102"/>
    <w:bookmarkEnd w:id="101"/>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314960</wp:posOffset>
            </wp:positionV>
            <wp:extent cx="3533140" cy="46291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3533140" cy="462915"/>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p>
      <w:pPr>
        <w:spacing w:after="0" w:line="200" w:lineRule="exact"/>
        <w:rPr>
          <w:sz w:val="20"/>
          <w:szCs w:val="20"/>
          <w:color w:val="auto"/>
        </w:rPr>
      </w:pP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419"/>
        </w:trPr>
        <w:tc>
          <w:tcPr>
            <w:tcW w:w="1220" w:type="dxa"/>
            <w:vAlign w:val="bottom"/>
            <w:shd w:val="clear" w:color="auto" w:fill="FF8B00"/>
          </w:tcPr>
          <w:p>
            <w:pPr>
              <w:spacing w:after="0"/>
              <w:rPr>
                <w:sz w:val="24"/>
                <w:szCs w:val="24"/>
                <w:color w:val="auto"/>
              </w:rPr>
            </w:pPr>
          </w:p>
        </w:tc>
        <w:tc>
          <w:tcPr>
            <w:tcW w:w="4360" w:type="dxa"/>
            <w:vAlign w:val="bottom"/>
            <w:shd w:val="clear" w:color="auto" w:fill="FF8B00"/>
          </w:tcPr>
          <w:p>
            <w:pPr>
              <w:spacing w:after="0"/>
              <w:rPr>
                <w:sz w:val="24"/>
                <w:szCs w:val="24"/>
                <w:color w:val="auto"/>
              </w:rPr>
            </w:pPr>
          </w:p>
        </w:tc>
      </w:tr>
      <w:tr>
        <w:trPr>
          <w:trHeight w:val="152"/>
        </w:trPr>
        <w:tc>
          <w:tcPr>
            <w:tcW w:w="1220" w:type="dxa"/>
            <w:vAlign w:val="bottom"/>
          </w:tcPr>
          <w:p>
            <w:pPr>
              <w:jc w:val="right"/>
              <w:ind w:right="726"/>
              <w:spacing w:after="0"/>
              <w:rPr>
                <w:sz w:val="20"/>
                <w:szCs w:val="20"/>
                <w:color w:val="auto"/>
              </w:rPr>
            </w:pPr>
            <w:r>
              <w:rPr>
                <w:rFonts w:ascii="Arial" w:cs="Arial" w:eastAsia="Arial" w:hAnsi="Arial"/>
                <w:sz w:val="11"/>
                <w:szCs w:val="11"/>
                <w:b w:val="1"/>
                <w:bCs w:val="1"/>
                <w:color w:val="333333"/>
              </w:rPr>
              <w:t>100</w:t>
            </w:r>
          </w:p>
        </w:tc>
        <w:tc>
          <w:tcPr>
            <w:tcW w:w="4360" w:type="dxa"/>
            <w:vAlign w:val="bottom"/>
          </w:tcPr>
          <w:p>
            <w:pPr>
              <w:ind w:left="780"/>
              <w:spacing w:after="0"/>
              <w:rPr>
                <w:sz w:val="20"/>
                <w:szCs w:val="20"/>
                <w:color w:val="auto"/>
              </w:rPr>
            </w:pPr>
            <w:r>
              <w:rPr>
                <w:rFonts w:ascii="Arial" w:cs="Arial" w:eastAsia="Arial" w:hAnsi="Arial"/>
                <w:sz w:val="13"/>
                <w:szCs w:val="13"/>
                <w:color w:val="333333"/>
              </w:rPr>
              <w:t>FINANCIAL STATEMENTS AND SUPPLEMENTS</w:t>
            </w:r>
          </w:p>
        </w:tc>
      </w:tr>
    </w:tbl>
    <w:p>
      <w:pPr>
        <w:spacing w:after="0" w:line="155" w:lineRule="exact"/>
        <w:rPr>
          <w:sz w:val="20"/>
          <w:szCs w:val="20"/>
          <w:color w:val="auto"/>
        </w:rPr>
      </w:pPr>
    </w:p>
    <w:p>
      <w:pPr>
        <w:ind w:left="2620"/>
        <w:spacing w:after="0"/>
        <w:rPr>
          <w:sz w:val="20"/>
          <w:szCs w:val="20"/>
          <w:color w:val="auto"/>
        </w:rPr>
      </w:pPr>
      <w:r>
        <w:rPr>
          <w:rFonts w:ascii="Arial" w:cs="Arial" w:eastAsia="Arial" w:hAnsi="Arial"/>
          <w:sz w:val="11"/>
          <w:szCs w:val="11"/>
          <w:color w:val="auto"/>
        </w:rPr>
        <w:t>CONSOLIDATED FINANCIAL STATEMENTS</w:t>
      </w:r>
    </w:p>
    <w:p>
      <w:pPr>
        <w:spacing w:after="0" w:line="71" w:lineRule="exact"/>
        <w:rPr>
          <w:sz w:val="20"/>
          <w:szCs w:val="20"/>
          <w:color w:val="auto"/>
        </w:rPr>
      </w:pPr>
    </w:p>
    <w:p>
      <w:pPr>
        <w:ind w:right="340"/>
        <w:spacing w:after="0" w:line="258" w:lineRule="auto"/>
        <w:rPr>
          <w:sz w:val="20"/>
          <w:szCs w:val="20"/>
          <w:color w:val="auto"/>
        </w:rPr>
      </w:pPr>
      <w:r>
        <w:rPr>
          <w:rFonts w:ascii="Arial" w:cs="Arial" w:eastAsia="Arial" w:hAnsi="Arial"/>
          <w:sz w:val="14"/>
          <w:szCs w:val="14"/>
          <w:color w:val="auto"/>
        </w:rPr>
        <w:t>Based on our judgement, we determined materiality for the Consolidated Financial Statements as a whole as follows: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320" w:type="dxa"/>
            <w:vAlign w:val="bottom"/>
            <w:shd w:val="clear" w:color="auto" w:fill="333333"/>
          </w:tcPr>
          <w:p>
            <w:pPr>
              <w:spacing w:after="0"/>
              <w:rPr>
                <w:sz w:val="14"/>
                <w:szCs w:val="14"/>
                <w:color w:val="auto"/>
              </w:rPr>
            </w:pPr>
          </w:p>
        </w:tc>
        <w:tc>
          <w:tcPr>
            <w:tcW w:w="3160" w:type="dxa"/>
            <w:vAlign w:val="bottom"/>
            <w:shd w:val="clear" w:color="auto" w:fill="333333"/>
          </w:tcPr>
          <w:p>
            <w:pPr>
              <w:spacing w:after="0"/>
              <w:rPr>
                <w:sz w:val="14"/>
                <w:szCs w:val="14"/>
                <w:color w:val="auto"/>
              </w:rPr>
            </w:pPr>
          </w:p>
        </w:tc>
      </w:tr>
      <w:tr>
        <w:trPr>
          <w:trHeight w:val="162"/>
        </w:trPr>
        <w:tc>
          <w:tcPr>
            <w:tcW w:w="23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Overall materiality</w:t>
            </w:r>
          </w:p>
        </w:tc>
        <w:tc>
          <w:tcPr>
            <w:tcW w:w="3160" w:type="dxa"/>
            <w:vAlign w:val="bottom"/>
            <w:tcBorders>
              <w:bottom w:val="single" w:sz="8" w:color="auto"/>
            </w:tcBorders>
          </w:tcPr>
          <w:p>
            <w:pPr>
              <w:ind w:left="220"/>
              <w:spacing w:after="0"/>
              <w:rPr>
                <w:sz w:val="20"/>
                <w:szCs w:val="20"/>
                <w:color w:val="auto"/>
              </w:rPr>
            </w:pPr>
            <w:r>
              <w:rPr>
                <w:rFonts w:ascii="Arial" w:cs="Arial" w:eastAsia="Arial" w:hAnsi="Arial"/>
                <w:sz w:val="14"/>
                <w:szCs w:val="14"/>
                <w:color w:val="auto"/>
              </w:rPr>
              <w:t>$1,415 million (2013: $1,675 million).</w:t>
            </w:r>
          </w:p>
        </w:tc>
      </w:tr>
      <w:tr>
        <w:trPr>
          <w:trHeight w:val="156"/>
        </w:trPr>
        <w:tc>
          <w:tcPr>
            <w:tcW w:w="2320" w:type="dxa"/>
            <w:vAlign w:val="bottom"/>
            <w:tcBorders>
              <w:bottom w:val="single" w:sz="8" w:color="auto"/>
            </w:tcBorders>
          </w:tcPr>
          <w:p>
            <w:pPr>
              <w:ind w:left="20"/>
              <w:spacing w:after="0" w:line="155" w:lineRule="exact"/>
              <w:rPr>
                <w:sz w:val="20"/>
                <w:szCs w:val="20"/>
                <w:color w:val="auto"/>
              </w:rPr>
            </w:pPr>
            <w:r>
              <w:rPr>
                <w:rFonts w:ascii="Arial" w:cs="Arial" w:eastAsia="Arial" w:hAnsi="Arial"/>
                <w:sz w:val="14"/>
                <w:szCs w:val="14"/>
                <w:color w:val="auto"/>
              </w:rPr>
              <w:t>How we determined it</w:t>
            </w:r>
          </w:p>
        </w:tc>
        <w:tc>
          <w:tcPr>
            <w:tcW w:w="3160" w:type="dxa"/>
            <w:vAlign w:val="bottom"/>
            <w:tcBorders>
              <w:bottom w:val="single" w:sz="8" w:color="auto"/>
            </w:tcBorders>
          </w:tcPr>
          <w:p>
            <w:pPr>
              <w:ind w:left="220"/>
              <w:spacing w:after="0" w:line="155" w:lineRule="exact"/>
              <w:rPr>
                <w:sz w:val="20"/>
                <w:szCs w:val="20"/>
                <w:color w:val="auto"/>
              </w:rPr>
            </w:pPr>
            <w:r>
              <w:rPr>
                <w:rFonts w:ascii="Arial" w:cs="Arial" w:eastAsia="Arial" w:hAnsi="Arial"/>
                <w:sz w:val="14"/>
                <w:szCs w:val="14"/>
                <w:color w:val="auto"/>
              </w:rPr>
              <w:t>5% of income before taxation.</w:t>
            </w:r>
          </w:p>
        </w:tc>
      </w:tr>
      <w:tr>
        <w:trPr>
          <w:trHeight w:val="160"/>
        </w:trPr>
        <w:tc>
          <w:tcPr>
            <w:tcW w:w="2320" w:type="dxa"/>
            <w:vAlign w:val="bottom"/>
          </w:tcPr>
          <w:p>
            <w:pPr>
              <w:ind w:left="20"/>
              <w:spacing w:after="0"/>
              <w:rPr>
                <w:sz w:val="20"/>
                <w:szCs w:val="20"/>
                <w:color w:val="auto"/>
              </w:rPr>
            </w:pPr>
            <w:r>
              <w:rPr>
                <w:rFonts w:ascii="Arial" w:cs="Arial" w:eastAsia="Arial" w:hAnsi="Arial"/>
                <w:sz w:val="14"/>
                <w:szCs w:val="14"/>
                <w:color w:val="auto"/>
              </w:rPr>
              <w:t>Rationale for benchmark applied</w:t>
            </w:r>
          </w:p>
        </w:tc>
        <w:tc>
          <w:tcPr>
            <w:tcW w:w="3160" w:type="dxa"/>
            <w:vAlign w:val="bottom"/>
          </w:tcPr>
          <w:p>
            <w:pPr>
              <w:ind w:left="220"/>
              <w:spacing w:after="0"/>
              <w:rPr>
                <w:sz w:val="20"/>
                <w:szCs w:val="20"/>
                <w:color w:val="auto"/>
              </w:rPr>
            </w:pPr>
            <w:r>
              <w:rPr>
                <w:rFonts w:ascii="Arial" w:cs="Arial" w:eastAsia="Arial" w:hAnsi="Arial"/>
                <w:sz w:val="14"/>
                <w:szCs w:val="14"/>
                <w:color w:val="auto"/>
              </w:rPr>
              <w:t>We applied this benchmark, a generally</w:t>
            </w:r>
          </w:p>
        </w:tc>
      </w:tr>
      <w:tr>
        <w:trPr>
          <w:trHeight w:val="162"/>
        </w:trPr>
        <w:tc>
          <w:tcPr>
            <w:tcW w:w="2320" w:type="dxa"/>
            <w:vAlign w:val="bottom"/>
          </w:tcPr>
          <w:p>
            <w:pPr>
              <w:spacing w:after="0"/>
              <w:rPr>
                <w:sz w:val="14"/>
                <w:szCs w:val="14"/>
                <w:color w:val="auto"/>
              </w:rPr>
            </w:pPr>
          </w:p>
        </w:tc>
        <w:tc>
          <w:tcPr>
            <w:tcW w:w="3160" w:type="dxa"/>
            <w:vAlign w:val="bottom"/>
          </w:tcPr>
          <w:p>
            <w:pPr>
              <w:ind w:left="220"/>
              <w:spacing w:after="0"/>
              <w:rPr>
                <w:sz w:val="20"/>
                <w:szCs w:val="20"/>
                <w:color w:val="auto"/>
              </w:rPr>
            </w:pPr>
            <w:r>
              <w:rPr>
                <w:rFonts w:ascii="Arial" w:cs="Arial" w:eastAsia="Arial" w:hAnsi="Arial"/>
                <w:sz w:val="14"/>
                <w:szCs w:val="14"/>
                <w:color w:val="auto"/>
              </w:rPr>
              <w:t>accepted auditing practice, in the absence of</w:t>
            </w:r>
          </w:p>
        </w:tc>
      </w:tr>
      <w:tr>
        <w:trPr>
          <w:trHeight w:val="162"/>
        </w:trPr>
        <w:tc>
          <w:tcPr>
            <w:tcW w:w="2320" w:type="dxa"/>
            <w:vAlign w:val="bottom"/>
          </w:tcPr>
          <w:p>
            <w:pPr>
              <w:spacing w:after="0"/>
              <w:rPr>
                <w:sz w:val="14"/>
                <w:szCs w:val="14"/>
                <w:color w:val="auto"/>
              </w:rPr>
            </w:pPr>
          </w:p>
        </w:tc>
        <w:tc>
          <w:tcPr>
            <w:tcW w:w="3160" w:type="dxa"/>
            <w:vAlign w:val="bottom"/>
          </w:tcPr>
          <w:p>
            <w:pPr>
              <w:ind w:left="220"/>
              <w:spacing w:after="0"/>
              <w:rPr>
                <w:sz w:val="20"/>
                <w:szCs w:val="20"/>
                <w:color w:val="auto"/>
              </w:rPr>
            </w:pPr>
            <w:r>
              <w:rPr>
                <w:rFonts w:ascii="Arial" w:cs="Arial" w:eastAsia="Arial" w:hAnsi="Arial"/>
                <w:sz w:val="14"/>
                <w:szCs w:val="14"/>
                <w:color w:val="auto"/>
              </w:rPr>
              <w:t>indicators that an alternative benchmark</w:t>
            </w:r>
          </w:p>
        </w:tc>
      </w:tr>
      <w:tr>
        <w:trPr>
          <w:trHeight w:val="95"/>
        </w:trPr>
        <w:tc>
          <w:tcPr>
            <w:tcW w:w="2320" w:type="dxa"/>
            <w:vAlign w:val="bottom"/>
          </w:tcPr>
          <w:p>
            <w:pPr>
              <w:spacing w:after="0"/>
              <w:rPr>
                <w:sz w:val="8"/>
                <w:szCs w:val="8"/>
                <w:color w:val="auto"/>
              </w:rPr>
            </w:pPr>
          </w:p>
        </w:tc>
        <w:tc>
          <w:tcPr>
            <w:tcW w:w="3160" w:type="dxa"/>
            <w:vAlign w:val="bottom"/>
          </w:tcPr>
          <w:p>
            <w:pPr>
              <w:ind w:left="220"/>
              <w:spacing w:after="0" w:line="95" w:lineRule="exact"/>
              <w:rPr>
                <w:sz w:val="20"/>
                <w:szCs w:val="20"/>
                <w:color w:val="auto"/>
              </w:rPr>
            </w:pPr>
            <w:r>
              <w:rPr>
                <w:rFonts w:ascii="Arial" w:cs="Arial" w:eastAsia="Arial" w:hAnsi="Arial"/>
                <w:sz w:val="10"/>
                <w:szCs w:val="10"/>
                <w:color w:val="auto"/>
              </w:rPr>
              <w:t>would be more appropriate.</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right"/>
        <w:spacing w:after="0"/>
        <w:rPr>
          <w:sz w:val="20"/>
          <w:szCs w:val="20"/>
          <w:color w:val="auto"/>
        </w:rPr>
      </w:pPr>
      <w:r>
        <w:rPr>
          <w:rFonts w:ascii="Arial" w:cs="Arial" w:eastAsia="Arial" w:hAnsi="Arial"/>
          <w:sz w:val="11"/>
          <w:szCs w:val="11"/>
          <w:color w:val="auto"/>
        </w:rPr>
        <w:t>SHELL ANNUAL REPORT AND FORM 20-F 2014</w:t>
      </w:r>
    </w:p>
    <w:p>
      <w:pPr>
        <w:spacing w:after="0" w:line="56" w:lineRule="exact"/>
        <w:rPr>
          <w:sz w:val="20"/>
          <w:szCs w:val="20"/>
          <w:color w:val="auto"/>
        </w:rPr>
      </w:pPr>
    </w:p>
    <w:p>
      <w:pPr>
        <w:spacing w:after="0"/>
        <w:rPr>
          <w:sz w:val="20"/>
          <w:szCs w:val="20"/>
          <w:color w:val="auto"/>
        </w:rPr>
      </w:pPr>
      <w:r>
        <w:rPr>
          <w:rFonts w:ascii="Arial" w:cs="Arial" w:eastAsia="Arial" w:hAnsi="Arial"/>
          <w:sz w:val="13"/>
          <w:szCs w:val="13"/>
          <w:color w:val="auto"/>
        </w:rPr>
        <w:t>OUR AREAS OF AUDIT FOCUS</w:t>
      </w:r>
    </w:p>
    <w:p>
      <w:pPr>
        <w:ind w:right="180"/>
        <w:spacing w:after="0" w:line="244" w:lineRule="auto"/>
        <w:rPr>
          <w:sz w:val="20"/>
          <w:szCs w:val="20"/>
          <w:color w:val="auto"/>
        </w:rPr>
      </w:pPr>
      <w:r>
        <w:rPr>
          <w:rFonts w:ascii="Arial" w:cs="Arial" w:eastAsia="Arial" w:hAnsi="Arial"/>
          <w:sz w:val="14"/>
          <w:szCs w:val="14"/>
          <w:color w:val="auto"/>
        </w:rPr>
        <w:t>The risks of material misstatement that had the greatest effect on our audit, including the allocation of our resources and effort, are identified as areas of focus in the table below. We have also set out how we tailored our audit to address these specific areas in order to provide an opinion on the Consolidated Financial Statements as a whole, and any comments we make on the results of our procedures should be read in this context. This is not a complete list of all risks identified by our audit.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128270</wp:posOffset>
            </wp:positionV>
            <wp:extent cx="3473450" cy="10287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3473450" cy="102870"/>
                    </a:xfrm>
                    <a:prstGeom prst="rect">
                      <a:avLst/>
                    </a:prstGeom>
                    <a:noFill/>
                  </pic:spPr>
                </pic:pic>
              </a:graphicData>
            </a:graphic>
          </wp:anchor>
        </w:drawing>
      </w:r>
    </w:p>
    <w:p>
      <w:pPr>
        <w:spacing w:after="0" w:line="338" w:lineRule="exact"/>
        <w:rPr>
          <w:sz w:val="20"/>
          <w:szCs w:val="20"/>
          <w:color w:val="auto"/>
        </w:rPr>
      </w:pPr>
    </w:p>
    <w:p>
      <w:pPr>
        <w:spacing w:after="0"/>
        <w:tabs>
          <w:tab w:leader="none" w:pos="2680" w:val="left"/>
        </w:tabs>
        <w:rPr>
          <w:sz w:val="20"/>
          <w:szCs w:val="20"/>
          <w:color w:val="auto"/>
        </w:rPr>
      </w:pPr>
      <w:r>
        <w:rPr>
          <w:rFonts w:ascii="Arial" w:cs="Arial" w:eastAsia="Arial" w:hAnsi="Arial"/>
          <w:sz w:val="13"/>
          <w:szCs w:val="13"/>
          <w:color w:val="auto"/>
        </w:rPr>
        <w:t>Area of focus</w:t>
      </w:r>
      <w:r>
        <w:rPr>
          <w:sz w:val="20"/>
          <w:szCs w:val="20"/>
          <w:color w:val="auto"/>
        </w:rPr>
        <w:tab/>
      </w:r>
      <w:r>
        <w:rPr>
          <w:rFonts w:ascii="Arial" w:cs="Arial" w:eastAsia="Arial" w:hAnsi="Arial"/>
          <w:sz w:val="12"/>
          <w:szCs w:val="12"/>
          <w:color w:val="auto"/>
        </w:rPr>
        <w:t>How our audit addressed the area of focus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3473450" cy="889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spacing w:after="0" w:line="10" w:lineRule="exact"/>
        <w:rPr>
          <w:sz w:val="20"/>
          <w:szCs w:val="20"/>
          <w:color w:val="auto"/>
        </w:rPr>
      </w:pPr>
    </w:p>
    <w:p>
      <w:pPr>
        <w:sectPr>
          <w:pgSz w:w="11900" w:h="16838" w:orient="portrait"/>
          <w:cols w:equalWidth="0" w:num="2">
            <w:col w:w="5580" w:space="200"/>
            <w:col w:w="5640"/>
          </w:cols>
          <w:pgMar w:left="240" w:top="459" w:right="239" w:bottom="1440" w:gutter="0" w:footer="0" w:header="0"/>
          <w:type w:val="continuous"/>
        </w:sectPr>
      </w:pPr>
    </w:p>
    <w:p>
      <w:pPr>
        <w:spacing w:after="0" w:line="283" w:lineRule="exact"/>
        <w:rPr>
          <w:sz w:val="20"/>
          <w:szCs w:val="20"/>
          <w:color w:val="auto"/>
        </w:rPr>
      </w:pPr>
    </w:p>
    <w:p>
      <w:pPr>
        <w:ind w:right="40"/>
        <w:spacing w:after="0" w:line="247" w:lineRule="auto"/>
        <w:rPr>
          <w:sz w:val="20"/>
          <w:szCs w:val="20"/>
          <w:color w:val="auto"/>
        </w:rPr>
      </w:pPr>
      <w:r>
        <w:rPr>
          <w:rFonts w:ascii="Arial" w:cs="Arial" w:eastAsia="Arial" w:hAnsi="Arial"/>
          <w:sz w:val="14"/>
          <w:szCs w:val="14"/>
          <w:color w:val="auto"/>
        </w:rPr>
        <w:t>We agreed with the Audit Committee that we would report to them misstatements identified during our audit above $75 million (2013: $75 million) as well as misstatements below that amount that, in our view, warranted reporting for qualitative reasons.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-560705</wp:posOffset>
            </wp:positionV>
            <wp:extent cx="3473450" cy="889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spacing w:after="0" w:line="141" w:lineRule="exact"/>
        <w:rPr>
          <w:sz w:val="20"/>
          <w:szCs w:val="20"/>
          <w:color w:val="auto"/>
        </w:rPr>
      </w:pPr>
    </w:p>
    <w:p>
      <w:pPr>
        <w:ind w:right="160"/>
        <w:spacing w:after="0" w:line="247" w:lineRule="auto"/>
        <w:rPr>
          <w:sz w:val="20"/>
          <w:szCs w:val="20"/>
          <w:color w:val="auto"/>
        </w:rPr>
      </w:pPr>
      <w:r>
        <w:rPr>
          <w:rFonts w:ascii="Arial" w:cs="Arial" w:eastAsia="Arial" w:hAnsi="Arial"/>
          <w:sz w:val="14"/>
          <w:szCs w:val="14"/>
          <w:color w:val="auto"/>
        </w:rPr>
        <w:t>In terms of the audit work at the local business unit level, this is performed by reference to materiality either allocated as a proportion of the overall materiality, or materiality determined in the context of local reporting requirements, generally local statutory accounts.</w:t>
      </w:r>
    </w:p>
    <w:p>
      <w:pPr>
        <w:spacing w:after="0" w:line="160" w:lineRule="exact"/>
        <w:rPr>
          <w:sz w:val="20"/>
          <w:szCs w:val="20"/>
          <w:color w:val="auto"/>
        </w:rPr>
      </w:pPr>
    </w:p>
    <w:p>
      <w:pPr>
        <w:spacing w:after="0"/>
        <w:rPr>
          <w:sz w:val="20"/>
          <w:szCs w:val="20"/>
          <w:color w:val="auto"/>
        </w:rPr>
      </w:pPr>
      <w:r>
        <w:rPr>
          <w:rFonts w:ascii="Arial" w:cs="Arial" w:eastAsia="Arial" w:hAnsi="Arial"/>
          <w:sz w:val="13"/>
          <w:szCs w:val="13"/>
          <w:color w:val="auto"/>
        </w:rPr>
        <w:t>DETERMINING THE SCOPE OF OUR AUDIT</w:t>
      </w:r>
    </w:p>
    <w:p>
      <w:pPr>
        <w:spacing w:after="0" w:line="245" w:lineRule="auto"/>
        <w:rPr>
          <w:sz w:val="20"/>
          <w:szCs w:val="20"/>
          <w:color w:val="auto"/>
        </w:rPr>
      </w:pPr>
      <w:r>
        <w:rPr>
          <w:rFonts w:ascii="Arial" w:cs="Arial" w:eastAsia="Arial" w:hAnsi="Arial"/>
          <w:sz w:val="14"/>
          <w:szCs w:val="14"/>
          <w:color w:val="auto"/>
        </w:rPr>
        <w:t>We determined the scope of our audit to ensure that we performed enough work to be able to give an opinion on the Consolidated Financial Statements as a whole, taking into account the geographic spread of the Shell businesses, the nature of the accounting processes and controls, and the inherent features of the industry in which Shell operates.</w:t>
      </w:r>
    </w:p>
    <w:p>
      <w:pPr>
        <w:spacing w:after="0" w:line="164" w:lineRule="exact"/>
        <w:rPr>
          <w:sz w:val="20"/>
          <w:szCs w:val="20"/>
          <w:color w:val="auto"/>
        </w:rPr>
      </w:pPr>
    </w:p>
    <w:p>
      <w:pPr>
        <w:ind w:right="320"/>
        <w:spacing w:after="0" w:line="250" w:lineRule="auto"/>
        <w:rPr>
          <w:sz w:val="20"/>
          <w:szCs w:val="20"/>
          <w:color w:val="auto"/>
        </w:rPr>
      </w:pPr>
      <w:r>
        <w:rPr>
          <w:rFonts w:ascii="Arial" w:cs="Arial" w:eastAsia="Arial" w:hAnsi="Arial"/>
          <w:sz w:val="14"/>
          <w:szCs w:val="14"/>
          <w:color w:val="auto"/>
        </w:rPr>
        <w:t>Shell is structured along three reportable segments: Upstream, Downstream and Corporate. The Consolidated Financial Statements include Shell’s operating businesses and centralised functions spread across more than 70 countries.</w:t>
      </w:r>
    </w:p>
    <w:p>
      <w:pPr>
        <w:spacing w:after="0" w:line="159" w:lineRule="exact"/>
        <w:rPr>
          <w:sz w:val="20"/>
          <w:szCs w:val="20"/>
          <w:color w:val="auto"/>
        </w:rPr>
      </w:pPr>
    </w:p>
    <w:p>
      <w:pPr>
        <w:ind w:right="60"/>
        <w:spacing w:after="0" w:line="244" w:lineRule="auto"/>
        <w:rPr>
          <w:sz w:val="20"/>
          <w:szCs w:val="20"/>
          <w:color w:val="auto"/>
        </w:rPr>
      </w:pPr>
      <w:r>
        <w:rPr>
          <w:rFonts w:ascii="Arial" w:cs="Arial" w:eastAsia="Arial" w:hAnsi="Arial"/>
          <w:sz w:val="14"/>
          <w:szCs w:val="14"/>
          <w:color w:val="auto"/>
        </w:rPr>
        <w:t>In establishing the overall approach to the group audit, we determined the type of work required to be performed at the reporting units by us, as the group engagement team, or PwC component auditors from within the UK and other network firms operating under our instruction. Where the work was performed by component auditors, we determined the level of our involvement necessary at those reporting units to be able to conclude whether sufficient appropriate audit evidence had been obtained as a basis for our opinion on the Consolidated Financial Statements as a whole.</w:t>
      </w:r>
    </w:p>
    <w:p>
      <w:pPr>
        <w:spacing w:after="0" w:line="340" w:lineRule="exact"/>
        <w:rPr>
          <w:sz w:val="20"/>
          <w:szCs w:val="20"/>
          <w:color w:val="auto"/>
        </w:rPr>
      </w:pPr>
    </w:p>
    <w:p>
      <w:pPr>
        <w:ind w:right="20"/>
        <w:spacing w:after="0" w:line="244" w:lineRule="auto"/>
        <w:rPr>
          <w:sz w:val="20"/>
          <w:szCs w:val="20"/>
          <w:color w:val="auto"/>
        </w:rPr>
      </w:pPr>
      <w:r>
        <w:rPr>
          <w:rFonts w:ascii="Arial" w:cs="Arial" w:eastAsia="Arial" w:hAnsi="Arial"/>
          <w:sz w:val="14"/>
          <w:szCs w:val="14"/>
          <w:color w:val="auto"/>
        </w:rPr>
        <w:t>We identified 44 reporting units in nine countries that, in our view, required an audit of their complete financial information due to their size or risk characteristics. Specific audit procedures over certain balances and transactions were performed on a further 36 reporting units in 14 countries. The scoping of these reporting units resulted in audit procedures being performed over 70% of consolidated revenue and 66% of consolidated assets. In addition, work at the component level is supplemented by work at the group level by reference to risk and materiality.</w:t>
      </w:r>
    </w:p>
    <w:p>
      <w:pPr>
        <w:spacing w:after="0" w:line="164" w:lineRule="exact"/>
        <w:rPr>
          <w:sz w:val="20"/>
          <w:szCs w:val="20"/>
          <w:color w:val="auto"/>
        </w:rPr>
      </w:pPr>
    </w:p>
    <w:p>
      <w:pPr>
        <w:ind w:right="60"/>
        <w:spacing w:after="0" w:line="243" w:lineRule="auto"/>
        <w:rPr>
          <w:sz w:val="20"/>
          <w:szCs w:val="20"/>
          <w:color w:val="auto"/>
        </w:rPr>
      </w:pPr>
      <w:r>
        <w:rPr>
          <w:rFonts w:ascii="Arial" w:cs="Arial" w:eastAsia="Arial" w:hAnsi="Arial"/>
          <w:sz w:val="14"/>
          <w:szCs w:val="14"/>
          <w:color w:val="auto"/>
        </w:rPr>
        <w:t>During the year, the Senior Statutory Auditor visited 10 locations: Canada, Qatar, Russia, Singapore and the USA (twice), and each of Shell’s five business service centres. During these visits, he met with local management and component auditors. Other senior members of the group audit team also visited Shell’s operations in Nigeria, Singapore and the USA. Members of the group audit team performed onsite reviews of audit working papers for certain locations, including Germany, Malaysia and the USA. The Senior Statutory Auditor also hosted a planning workshop in November 2014 for audit partners responsible for the key reporting units.</w:t>
      </w:r>
    </w:p>
    <w:p>
      <w:pPr>
        <w:spacing w:after="0" w:line="20" w:lineRule="exact"/>
        <w:rPr>
          <w:sz w:val="20"/>
          <w:szCs w:val="20"/>
          <w:color w:val="auto"/>
        </w:rPr>
      </w:pPr>
      <w:r>
        <w:rPr>
          <w:sz w:val="20"/>
          <w:szCs w:val="20"/>
          <w:color w:val="auto"/>
        </w:rPr>
        <w:br w:type="column"/>
      </w:r>
    </w:p>
    <w:p>
      <w:pPr>
        <w:ind w:right="20"/>
        <w:spacing w:after="0" w:line="241" w:lineRule="auto"/>
        <w:rPr>
          <w:sz w:val="20"/>
          <w:szCs w:val="20"/>
          <w:color w:val="auto"/>
        </w:rPr>
      </w:pPr>
      <w:r>
        <w:rPr>
          <w:rFonts w:ascii="Arial" w:cs="Arial" w:eastAsia="Arial" w:hAnsi="Arial"/>
          <w:sz w:val="14"/>
          <w:szCs w:val="14"/>
          <w:color w:val="auto"/>
        </w:rPr>
        <w:t>Recoverability of the carrying amount of refining assets</w:t>
      </w:r>
    </w:p>
    <w:p>
      <w:pPr>
        <w:spacing w:after="0" w:line="1" w:lineRule="exact"/>
        <w:rPr>
          <w:sz w:val="20"/>
          <w:szCs w:val="20"/>
          <w:color w:val="auto"/>
        </w:rPr>
      </w:pPr>
    </w:p>
    <w:p>
      <w:pPr>
        <w:spacing w:after="0" w:line="244" w:lineRule="auto"/>
        <w:rPr>
          <w:sz w:val="20"/>
          <w:szCs w:val="20"/>
          <w:color w:val="auto"/>
        </w:rPr>
      </w:pPr>
      <w:r>
        <w:rPr>
          <w:rFonts w:ascii="Arial" w:cs="Arial" w:eastAsia="Arial" w:hAnsi="Arial"/>
          <w:sz w:val="14"/>
          <w:szCs w:val="14"/>
          <w:color w:val="auto"/>
        </w:rPr>
        <w:t>The performance of and outlook for refining assets in certain locations, in particular Asia and Europe, continues to be challenging due to excess global refining capacity against a backdrop of reduced demand growth. This gives rise to a heightened risk of impairment.</w:t>
      </w:r>
    </w:p>
    <w:p>
      <w:pPr>
        <w:spacing w:after="0" w:line="205" w:lineRule="exact"/>
        <w:rPr>
          <w:sz w:val="20"/>
          <w:szCs w:val="20"/>
          <w:color w:val="auto"/>
        </w:rPr>
      </w:pPr>
    </w:p>
    <w:p>
      <w:pPr>
        <w:ind w:right="20"/>
        <w:spacing w:after="0" w:line="243" w:lineRule="auto"/>
        <w:rPr>
          <w:sz w:val="20"/>
          <w:szCs w:val="20"/>
          <w:color w:val="auto"/>
        </w:rPr>
      </w:pPr>
      <w:r>
        <w:rPr>
          <w:rFonts w:ascii="Arial" w:cs="Arial" w:eastAsia="Arial" w:hAnsi="Arial"/>
          <w:sz w:val="14"/>
          <w:szCs w:val="14"/>
          <w:color w:val="auto"/>
        </w:rPr>
        <w:t>The assessment of the recoverable amount of refinery assets, as calculated under both the value-in-use and fair value less cost to sell bases, requires considerable judgement on the part of management. Estimates of future cash flows are based on management’s views of variables such as future commodity prices, market supply and demand, and product margins.</w:t>
      </w:r>
    </w:p>
    <w:p>
      <w:pPr>
        <w:spacing w:after="0" w:line="207" w:lineRule="exact"/>
        <w:rPr>
          <w:sz w:val="20"/>
          <w:szCs w:val="20"/>
          <w:color w:val="auto"/>
        </w:rPr>
      </w:pPr>
    </w:p>
    <w:p>
      <w:pPr>
        <w:ind w:right="20"/>
        <w:spacing w:after="0" w:line="242" w:lineRule="auto"/>
        <w:rPr>
          <w:sz w:val="20"/>
          <w:szCs w:val="20"/>
          <w:color w:val="auto"/>
        </w:rPr>
      </w:pPr>
      <w:r>
        <w:rPr>
          <w:rFonts w:ascii="Arial" w:cs="Arial" w:eastAsia="Arial" w:hAnsi="Arial"/>
          <w:sz w:val="14"/>
          <w:szCs w:val="14"/>
          <w:color w:val="auto"/>
        </w:rPr>
        <w:t>During the year, management identified indicators of potential impairment in a number of refineries within Shell’s portfolio. Management prepared impairment models for these refineries and, as disclosed in Note 8 to the Consolidated Financial Statements, a pre-tax aggregate impairment charge of $2.8 billion was recognised. Our focus was on the risk that the impairment charge may be understated or that impairment charges may also be required for other refinery assets.</w:t>
      </w:r>
    </w:p>
    <w:p>
      <w:pPr>
        <w:spacing w:after="0" w:line="20" w:lineRule="exact"/>
        <w:rPr>
          <w:sz w:val="20"/>
          <w:szCs w:val="20"/>
          <w:color w:val="auto"/>
        </w:rPr>
      </w:pPr>
      <w:r>
        <w:rPr>
          <w:sz w:val="20"/>
          <w:szCs w:val="20"/>
          <w:color w:val="auto"/>
        </w:rPr>
        <w:br w:type="column"/>
      </w:r>
    </w:p>
    <w:p>
      <w:pPr>
        <w:ind w:right="280"/>
        <w:spacing w:after="0" w:line="243" w:lineRule="auto"/>
        <w:rPr>
          <w:sz w:val="20"/>
          <w:szCs w:val="20"/>
          <w:color w:val="auto"/>
        </w:rPr>
      </w:pPr>
      <w:r>
        <w:rPr>
          <w:rFonts w:ascii="Arial" w:cs="Arial" w:eastAsia="Arial" w:hAnsi="Arial"/>
          <w:sz w:val="14"/>
          <w:szCs w:val="14"/>
          <w:color w:val="auto"/>
        </w:rPr>
        <w:t>We confirmed the appropriateness of management’s defined cash generating units (CGUs) within its refining business. We reviewed management’s macro-economic assumptions, including forecast supply and demand and their associated impact on margins, and compared these with published forecasts issued by recognised third party industry analysts. We found that management’s forecast margins were consistent with these external market views.</w:t>
      </w:r>
    </w:p>
    <w:p>
      <w:pPr>
        <w:spacing w:after="0" w:line="205" w:lineRule="exact"/>
        <w:rPr>
          <w:sz w:val="20"/>
          <w:szCs w:val="20"/>
          <w:color w:val="auto"/>
        </w:rPr>
      </w:pPr>
    </w:p>
    <w:p>
      <w:pPr>
        <w:ind w:right="180"/>
        <w:spacing w:after="0" w:line="242" w:lineRule="auto"/>
        <w:rPr>
          <w:sz w:val="20"/>
          <w:szCs w:val="20"/>
          <w:color w:val="auto"/>
        </w:rPr>
      </w:pPr>
      <w:r>
        <w:rPr>
          <w:rFonts w:ascii="Arial" w:cs="Arial" w:eastAsia="Arial" w:hAnsi="Arial"/>
          <w:sz w:val="14"/>
          <w:szCs w:val="14"/>
          <w:color w:val="auto"/>
        </w:rPr>
        <w:t>Detailed audit procedures were performed in respect of the risk-adjusted models for refineries where management’s review of the macro-economic assumptions suggested that asset write-downs may be required. These procedures included an assessment of the reasonableness of the site-specific adjustments to the forecast margins, including a lookback at prior performance against regional benchmark margins, assessment of the reasonableness of volume throughput forecasts, inflation rates and the discount rate used. Our consideration included assessment of the appropriateness of probability weightings applied to differing scenarios. We also validated the integrity of the valuation models developed by management as part of the impairment assessment and identified no concerns.</w:t>
      </w:r>
    </w:p>
    <w:p>
      <w:pPr>
        <w:sectPr>
          <w:pgSz w:w="11900" w:h="16838" w:orient="portrait"/>
          <w:cols w:equalWidth="0" w:num="3">
            <w:col w:w="5460" w:space="320"/>
            <w:col w:w="2560" w:space="140"/>
            <w:col w:w="2940"/>
          </w:cols>
          <w:pgMar w:left="240" w:top="459" w:right="239" w:bottom="1440" w:gutter="0" w:footer="0" w:header="0"/>
          <w:type w:val="continuous"/>
        </w:sectPr>
      </w:pPr>
    </w:p>
    <w:bookmarkStart w:id="102" w:name="page103"/>
    <w:bookmarkEnd w:id="102"/>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6428105</wp:posOffset>
            </wp:positionH>
            <wp:positionV relativeFrom="paragraph">
              <wp:posOffset>314960</wp:posOffset>
            </wp:positionV>
            <wp:extent cx="8890" cy="46291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8890" cy="462915"/>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11"/>
          <w:szCs w:val="11"/>
          <w:color w:val="auto"/>
        </w:rPr>
        <w:t>SHELL ANNUAL REPORT AND FORM 20-F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wp:posOffset>
            </wp:positionV>
            <wp:extent cx="3473450" cy="10287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3473450" cy="102870"/>
                    </a:xfrm>
                    <a:prstGeom prst="rect">
                      <a:avLst/>
                    </a:prstGeom>
                    <a:noFill/>
                  </pic:spPr>
                </pic:pic>
              </a:graphicData>
            </a:graphic>
          </wp:anchor>
        </w:drawing>
      </w:r>
    </w:p>
    <w:p>
      <w:pPr>
        <w:spacing w:after="0" w:line="193" w:lineRule="exact"/>
        <w:rPr>
          <w:sz w:val="20"/>
          <w:szCs w:val="20"/>
          <w:color w:val="auto"/>
        </w:rPr>
      </w:pPr>
    </w:p>
    <w:p>
      <w:pPr>
        <w:ind w:left="20"/>
        <w:spacing w:after="0"/>
        <w:tabs>
          <w:tab w:leader="none" w:pos="2680" w:val="left"/>
        </w:tabs>
        <w:rPr>
          <w:sz w:val="20"/>
          <w:szCs w:val="20"/>
          <w:color w:val="auto"/>
        </w:rPr>
      </w:pPr>
      <w:r>
        <w:rPr>
          <w:rFonts w:ascii="Arial" w:cs="Arial" w:eastAsia="Arial" w:hAnsi="Arial"/>
          <w:sz w:val="13"/>
          <w:szCs w:val="13"/>
          <w:color w:val="auto"/>
        </w:rPr>
        <w:t>Area of focus</w:t>
      </w:r>
      <w:r>
        <w:rPr>
          <w:sz w:val="20"/>
          <w:szCs w:val="20"/>
          <w:color w:val="auto"/>
        </w:rPr>
        <w:tab/>
      </w:r>
      <w:r>
        <w:rPr>
          <w:rFonts w:ascii="Arial" w:cs="Arial" w:eastAsia="Arial" w:hAnsi="Arial"/>
          <w:sz w:val="12"/>
          <w:szCs w:val="12"/>
          <w:color w:val="auto"/>
        </w:rPr>
        <w:t>How our audit addressed the area of focus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565"/>
        </w:trPr>
        <w:tc>
          <w:tcPr>
            <w:tcW w:w="180" w:type="dxa"/>
            <w:vAlign w:val="bottom"/>
            <w:shd w:val="clear" w:color="auto" w:fill="FF8B00"/>
          </w:tcPr>
          <w:p>
            <w:pPr>
              <w:spacing w:after="0"/>
              <w:rPr>
                <w:sz w:val="24"/>
                <w:szCs w:val="24"/>
                <w:color w:val="auto"/>
              </w:rPr>
            </w:pPr>
          </w:p>
        </w:tc>
        <w:tc>
          <w:tcPr>
            <w:tcW w:w="4260" w:type="dxa"/>
            <w:vAlign w:val="bottom"/>
            <w:gridSpan w:val="2"/>
            <w:shd w:val="clear" w:color="auto" w:fill="FF8B00"/>
          </w:tcPr>
          <w:p>
            <w:pPr>
              <w:ind w:left="700"/>
              <w:spacing w:after="0"/>
              <w:rPr>
                <w:sz w:val="20"/>
                <w:szCs w:val="20"/>
                <w:color w:val="auto"/>
              </w:rPr>
            </w:pPr>
            <w:r>
              <w:rPr>
                <w:rFonts w:ascii="Arial" w:cs="Arial" w:eastAsia="Arial" w:hAnsi="Arial"/>
                <w:sz w:val="13"/>
                <w:szCs w:val="13"/>
                <w:color w:val="333333"/>
              </w:rPr>
              <w:t>FINANCIAL STATEMENTS AND SUPPLEMENTS</w:t>
            </w:r>
          </w:p>
        </w:tc>
        <w:tc>
          <w:tcPr>
            <w:tcW w:w="1220" w:type="dxa"/>
            <w:vAlign w:val="bottom"/>
            <w:shd w:val="clear" w:color="auto" w:fill="FF8B00"/>
          </w:tcPr>
          <w:p>
            <w:pPr>
              <w:jc w:val="right"/>
              <w:ind w:right="206"/>
              <w:spacing w:after="0"/>
              <w:rPr>
                <w:sz w:val="20"/>
                <w:szCs w:val="20"/>
                <w:color w:val="auto"/>
              </w:rPr>
            </w:pPr>
            <w:r>
              <w:rPr>
                <w:rFonts w:ascii="Arial" w:cs="Arial" w:eastAsia="Arial" w:hAnsi="Arial"/>
                <w:sz w:val="11"/>
                <w:szCs w:val="11"/>
                <w:b w:val="1"/>
                <w:bCs w:val="1"/>
                <w:color w:val="333333"/>
              </w:rPr>
              <w:t>101</w:t>
            </w:r>
          </w:p>
        </w:tc>
        <w:tc>
          <w:tcPr>
            <w:tcW w:w="160" w:type="dxa"/>
            <w:vAlign w:val="bottom"/>
            <w:shd w:val="clear" w:color="auto" w:fill="FF8B00"/>
          </w:tcPr>
          <w:p>
            <w:pPr>
              <w:spacing w:after="0"/>
              <w:rPr>
                <w:sz w:val="24"/>
                <w:szCs w:val="24"/>
                <w:color w:val="auto"/>
              </w:rPr>
            </w:pPr>
          </w:p>
        </w:tc>
        <w:tc>
          <w:tcPr>
            <w:tcW w:w="0" w:type="dxa"/>
            <w:vAlign w:val="bottom"/>
          </w:tcPr>
          <w:p>
            <w:pPr>
              <w:spacing w:after="0"/>
              <w:rPr>
                <w:sz w:val="1"/>
                <w:szCs w:val="1"/>
                <w:color w:val="auto"/>
              </w:rPr>
            </w:pPr>
          </w:p>
        </w:tc>
      </w:tr>
      <w:tr>
        <w:trPr>
          <w:trHeight w:val="165"/>
        </w:trPr>
        <w:tc>
          <w:tcPr>
            <w:tcW w:w="180" w:type="dxa"/>
            <w:vAlign w:val="bottom"/>
            <w:shd w:val="clear" w:color="auto" w:fill="FF8B00"/>
          </w:tcPr>
          <w:p>
            <w:pPr>
              <w:spacing w:after="0"/>
              <w:rPr>
                <w:sz w:val="14"/>
                <w:szCs w:val="14"/>
                <w:color w:val="auto"/>
              </w:rPr>
            </w:pPr>
          </w:p>
        </w:tc>
        <w:tc>
          <w:tcPr>
            <w:tcW w:w="4260" w:type="dxa"/>
            <w:vAlign w:val="bottom"/>
            <w:gridSpan w:val="2"/>
            <w:shd w:val="clear" w:color="auto" w:fill="FF8B00"/>
          </w:tcPr>
          <w:p>
            <w:pPr>
              <w:spacing w:after="0"/>
              <w:rPr>
                <w:sz w:val="14"/>
                <w:szCs w:val="14"/>
                <w:color w:val="auto"/>
              </w:rPr>
            </w:pPr>
          </w:p>
        </w:tc>
        <w:tc>
          <w:tcPr>
            <w:tcW w:w="1220" w:type="dxa"/>
            <w:vAlign w:val="bottom"/>
            <w:shd w:val="clear" w:color="auto" w:fill="FF8B00"/>
          </w:tcPr>
          <w:p>
            <w:pPr>
              <w:spacing w:after="0"/>
              <w:rPr>
                <w:sz w:val="14"/>
                <w:szCs w:val="14"/>
                <w:color w:val="auto"/>
              </w:rPr>
            </w:pPr>
          </w:p>
        </w:tc>
        <w:tc>
          <w:tcPr>
            <w:tcW w:w="160" w:type="dxa"/>
            <w:vAlign w:val="bottom"/>
            <w:shd w:val="clear" w:color="auto" w:fill="FF8B00"/>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180" w:type="dxa"/>
            <w:vAlign w:val="bottom"/>
          </w:tcPr>
          <w:p>
            <w:pPr>
              <w:spacing w:after="0"/>
              <w:rPr>
                <w:sz w:val="11"/>
                <w:szCs w:val="11"/>
                <w:color w:val="auto"/>
              </w:rPr>
            </w:pPr>
          </w:p>
        </w:tc>
        <w:tc>
          <w:tcPr>
            <w:tcW w:w="4260" w:type="dxa"/>
            <w:vAlign w:val="bottom"/>
            <w:gridSpan w:val="2"/>
          </w:tcPr>
          <w:p>
            <w:pPr>
              <w:ind w:left="700"/>
              <w:spacing w:after="0"/>
              <w:rPr>
                <w:sz w:val="20"/>
                <w:szCs w:val="20"/>
                <w:color w:val="auto"/>
              </w:rPr>
            </w:pPr>
            <w:r>
              <w:rPr>
                <w:rFonts w:ascii="Arial" w:cs="Arial" w:eastAsia="Arial" w:hAnsi="Arial"/>
                <w:sz w:val="11"/>
                <w:szCs w:val="11"/>
                <w:color w:val="auto"/>
              </w:rPr>
              <w:t>CONSOLIDATED FINANCIAL STATEMENTS</w:t>
            </w:r>
          </w:p>
        </w:tc>
        <w:tc>
          <w:tcPr>
            <w:tcW w:w="1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59"/>
        </w:trPr>
        <w:tc>
          <w:tcPr>
            <w:tcW w:w="1900" w:type="dxa"/>
            <w:vAlign w:val="bottom"/>
            <w:gridSpan w:val="2"/>
          </w:tcPr>
          <w:p>
            <w:pPr>
              <w:spacing w:after="0"/>
              <w:rPr>
                <w:sz w:val="5"/>
                <w:szCs w:val="5"/>
                <w:color w:val="auto"/>
              </w:rPr>
            </w:pPr>
          </w:p>
        </w:tc>
        <w:tc>
          <w:tcPr>
            <w:tcW w:w="3920" w:type="dxa"/>
            <w:vAlign w:val="bottom"/>
            <w:gridSpan w:val="3"/>
          </w:tcPr>
          <w:p>
            <w:pPr>
              <w:spacing w:after="0"/>
              <w:rPr>
                <w:sz w:val="5"/>
                <w:szCs w:val="5"/>
                <w:color w:val="auto"/>
              </w:rPr>
            </w:pPr>
          </w:p>
        </w:tc>
        <w:tc>
          <w:tcPr>
            <w:tcW w:w="0" w:type="dxa"/>
            <w:vAlign w:val="bottom"/>
          </w:tcPr>
          <w:p>
            <w:pPr>
              <w:spacing w:after="0"/>
              <w:rPr>
                <w:sz w:val="1"/>
                <w:szCs w:val="1"/>
                <w:color w:val="auto"/>
              </w:rPr>
            </w:pPr>
          </w:p>
        </w:tc>
      </w:tr>
      <w:tr>
        <w:trPr>
          <w:trHeight w:val="162"/>
        </w:trPr>
        <w:tc>
          <w:tcPr>
            <w:tcW w:w="180" w:type="dxa"/>
            <w:vAlign w:val="bottom"/>
            <w:vMerge w:val="restart"/>
          </w:tcPr>
          <w:p>
            <w:pPr>
              <w:spacing w:after="0"/>
              <w:rPr>
                <w:sz w:val="14"/>
                <w:szCs w:val="14"/>
                <w:color w:val="auto"/>
              </w:rPr>
            </w:pPr>
          </w:p>
        </w:tc>
        <w:tc>
          <w:tcPr>
            <w:tcW w:w="1720" w:type="dxa"/>
            <w:vAlign w:val="bottom"/>
            <w:shd w:val="clear" w:color="auto" w:fill="333333"/>
          </w:tcPr>
          <w:p>
            <w:pPr>
              <w:spacing w:after="0"/>
              <w:rPr>
                <w:sz w:val="14"/>
                <w:szCs w:val="14"/>
                <w:color w:val="auto"/>
              </w:rPr>
            </w:pPr>
          </w:p>
        </w:tc>
        <w:tc>
          <w:tcPr>
            <w:tcW w:w="3760" w:type="dxa"/>
            <w:vAlign w:val="bottom"/>
            <w:gridSpan w:val="2"/>
            <w:shd w:val="clear" w:color="auto" w:fill="333333"/>
          </w:tcPr>
          <w:p>
            <w:pPr>
              <w:spacing w:after="0"/>
              <w:rPr>
                <w:sz w:val="14"/>
                <w:szCs w:val="14"/>
                <w:color w:val="auto"/>
              </w:rPr>
            </w:pPr>
          </w:p>
        </w:tc>
        <w:tc>
          <w:tcPr>
            <w:tcW w:w="16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180" w:type="dxa"/>
            <w:vAlign w:val="bottom"/>
            <w:vMerge w:val="continue"/>
          </w:tcPr>
          <w:p>
            <w:pPr>
              <w:spacing w:after="0"/>
              <w:rPr>
                <w:sz w:val="11"/>
                <w:szCs w:val="11"/>
                <w:color w:val="auto"/>
              </w:rPr>
            </w:pPr>
          </w:p>
        </w:tc>
        <w:tc>
          <w:tcPr>
            <w:tcW w:w="1720" w:type="dxa"/>
            <w:vAlign w:val="bottom"/>
          </w:tcPr>
          <w:p>
            <w:pPr>
              <w:spacing w:after="0" w:line="135" w:lineRule="exact"/>
              <w:rPr>
                <w:sz w:val="20"/>
                <w:szCs w:val="20"/>
                <w:color w:val="auto"/>
              </w:rPr>
            </w:pPr>
            <w:r>
              <w:rPr>
                <w:rFonts w:ascii="Arial" w:cs="Arial" w:eastAsia="Arial" w:hAnsi="Arial"/>
                <w:sz w:val="13"/>
                <w:szCs w:val="13"/>
                <w:color w:val="auto"/>
              </w:rPr>
              <w:t>Area of focus</w:t>
            </w:r>
          </w:p>
        </w:tc>
        <w:tc>
          <w:tcPr>
            <w:tcW w:w="3760" w:type="dxa"/>
            <w:vAlign w:val="bottom"/>
            <w:gridSpan w:val="2"/>
          </w:tcPr>
          <w:p>
            <w:pPr>
              <w:jc w:val="right"/>
              <w:ind w:right="366"/>
              <w:spacing w:after="0" w:line="135" w:lineRule="exact"/>
              <w:rPr>
                <w:sz w:val="20"/>
                <w:szCs w:val="20"/>
                <w:color w:val="auto"/>
              </w:rPr>
            </w:pPr>
            <w:r>
              <w:rPr>
                <w:rFonts w:ascii="Arial" w:cs="Arial" w:eastAsia="Arial" w:hAnsi="Arial"/>
                <w:sz w:val="13"/>
                <w:szCs w:val="13"/>
                <w:color w:val="auto"/>
              </w:rPr>
              <w:t>How our audit addressed the area of focus</w:t>
            </w:r>
          </w:p>
        </w:tc>
        <w:tc>
          <w:tcPr>
            <w:tcW w:w="1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119380</wp:posOffset>
            </wp:positionH>
            <wp:positionV relativeFrom="paragraph">
              <wp:posOffset>0</wp:posOffset>
            </wp:positionV>
            <wp:extent cx="3473450" cy="889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spacing w:after="0" w:line="1" w:lineRule="exact"/>
        <w:rPr>
          <w:sz w:val="20"/>
          <w:szCs w:val="20"/>
          <w:color w:val="auto"/>
        </w:rPr>
      </w:pPr>
    </w:p>
    <w:p>
      <w:pPr>
        <w:sectPr>
          <w:pgSz w:w="11900" w:h="16838" w:orient="portrait"/>
          <w:cols w:equalWidth="0" w:num="2">
            <w:col w:w="5080" w:space="520"/>
            <w:col w:w="5820"/>
          </w:cols>
          <w:pgMar w:left="240" w:top="459" w:right="239" w:bottom="1440" w:gutter="0" w:footer="0" w:header="0"/>
          <w:type w:val="continuous"/>
        </w:sectPr>
      </w:pPr>
    </w:p>
    <w:tbl>
      <w:tblPr>
        <w:tblLayout w:type="fixed"/>
        <w:tblInd w:w="0" w:type="dxa"/>
        <w:tblCellMar>
          <w:top w:w="0" w:type="dxa"/>
          <w:left w:w="0" w:type="dxa"/>
          <w:bottom w:w="0" w:type="dxa"/>
          <w:right w:w="0" w:type="dxa"/>
        </w:tblCellMar>
      </w:tblPr>
      <w:tr>
        <w:trPr>
          <w:trHeight w:val="160"/>
        </w:trPr>
        <w:tc>
          <w:tcPr>
            <w:tcW w:w="2620" w:type="dxa"/>
            <w:vAlign w:val="bottom"/>
            <w:tcBorders>
              <w:top w:val="single" w:sz="8" w:color="auto"/>
            </w:tcBorders>
          </w:tcPr>
          <w:p>
            <w:pPr>
              <w:spacing w:after="0"/>
              <w:rPr>
                <w:sz w:val="13"/>
                <w:szCs w:val="13"/>
                <w:color w:val="auto"/>
              </w:rPr>
            </w:pPr>
          </w:p>
        </w:tc>
        <w:tc>
          <w:tcPr>
            <w:tcW w:w="2860" w:type="dxa"/>
            <w:vAlign w:val="bottom"/>
            <w:tcBorders>
              <w:top w:val="single" w:sz="8" w:color="auto"/>
            </w:tcBorders>
          </w:tcPr>
          <w:p>
            <w:pPr>
              <w:ind w:left="80"/>
              <w:spacing w:after="0"/>
              <w:rPr>
                <w:sz w:val="20"/>
                <w:szCs w:val="20"/>
                <w:color w:val="auto"/>
              </w:rPr>
            </w:pPr>
            <w:r>
              <w:rPr>
                <w:rFonts w:ascii="Arial" w:cs="Arial" w:eastAsia="Arial" w:hAnsi="Arial"/>
                <w:sz w:val="14"/>
                <w:szCs w:val="14"/>
                <w:color w:val="auto"/>
              </w:rPr>
              <w:t>We performed sensitivity analyses around</w:t>
            </w:r>
          </w:p>
        </w:tc>
        <w:tc>
          <w:tcPr>
            <w:tcW w:w="0" w:type="dxa"/>
            <w:vAlign w:val="bottom"/>
          </w:tcPr>
          <w:p>
            <w:pPr>
              <w:spacing w:after="0"/>
              <w:rPr>
                <w:sz w:val="1"/>
                <w:szCs w:val="1"/>
                <w:color w:val="auto"/>
              </w:rPr>
            </w:pPr>
          </w:p>
        </w:tc>
      </w:tr>
      <w:tr>
        <w:trPr>
          <w:trHeight w:val="162"/>
        </w:trPr>
        <w:tc>
          <w:tcPr>
            <w:tcW w:w="2620" w:type="dxa"/>
            <w:vAlign w:val="bottom"/>
          </w:tcPr>
          <w:p>
            <w:pPr>
              <w:spacing w:after="0"/>
              <w:rPr>
                <w:sz w:val="14"/>
                <w:szCs w:val="14"/>
                <w:color w:val="auto"/>
              </w:rPr>
            </w:pPr>
          </w:p>
        </w:tc>
        <w:tc>
          <w:tcPr>
            <w:tcW w:w="2860" w:type="dxa"/>
            <w:vAlign w:val="bottom"/>
          </w:tcPr>
          <w:p>
            <w:pPr>
              <w:ind w:left="80"/>
              <w:spacing w:after="0"/>
              <w:rPr>
                <w:sz w:val="20"/>
                <w:szCs w:val="20"/>
                <w:color w:val="auto"/>
              </w:rPr>
            </w:pPr>
            <w:r>
              <w:rPr>
                <w:rFonts w:ascii="Arial" w:cs="Arial" w:eastAsia="Arial" w:hAnsi="Arial"/>
                <w:sz w:val="14"/>
                <w:szCs w:val="14"/>
                <w:color w:val="auto"/>
              </w:rPr>
              <w:t>the key assumptions, with the calculation</w:t>
            </w:r>
          </w:p>
        </w:tc>
        <w:tc>
          <w:tcPr>
            <w:tcW w:w="0" w:type="dxa"/>
            <w:vAlign w:val="bottom"/>
          </w:tcPr>
          <w:p>
            <w:pPr>
              <w:spacing w:after="0"/>
              <w:rPr>
                <w:sz w:val="1"/>
                <w:szCs w:val="1"/>
                <w:color w:val="auto"/>
              </w:rPr>
            </w:pPr>
          </w:p>
        </w:tc>
      </w:tr>
      <w:tr>
        <w:trPr>
          <w:trHeight w:val="162"/>
        </w:trPr>
        <w:tc>
          <w:tcPr>
            <w:tcW w:w="2620" w:type="dxa"/>
            <w:vAlign w:val="bottom"/>
          </w:tcPr>
          <w:p>
            <w:pPr>
              <w:spacing w:after="0"/>
              <w:rPr>
                <w:sz w:val="14"/>
                <w:szCs w:val="14"/>
                <w:color w:val="auto"/>
              </w:rPr>
            </w:pPr>
          </w:p>
        </w:tc>
        <w:tc>
          <w:tcPr>
            <w:tcW w:w="2860" w:type="dxa"/>
            <w:vAlign w:val="bottom"/>
          </w:tcPr>
          <w:p>
            <w:pPr>
              <w:ind w:left="80"/>
              <w:spacing w:after="0"/>
              <w:rPr>
                <w:sz w:val="20"/>
                <w:szCs w:val="20"/>
                <w:color w:val="auto"/>
              </w:rPr>
            </w:pPr>
            <w:r>
              <w:rPr>
                <w:rFonts w:ascii="Arial" w:cs="Arial" w:eastAsia="Arial" w:hAnsi="Arial"/>
                <w:sz w:val="14"/>
                <w:szCs w:val="14"/>
                <w:color w:val="auto"/>
              </w:rPr>
              <w:t>being most sensitive to changes in the</w:t>
            </w:r>
          </w:p>
        </w:tc>
        <w:tc>
          <w:tcPr>
            <w:tcW w:w="0" w:type="dxa"/>
            <w:vAlign w:val="bottom"/>
          </w:tcPr>
          <w:p>
            <w:pPr>
              <w:spacing w:after="0"/>
              <w:rPr>
                <w:sz w:val="1"/>
                <w:szCs w:val="1"/>
                <w:color w:val="auto"/>
              </w:rPr>
            </w:pPr>
          </w:p>
        </w:tc>
      </w:tr>
      <w:tr>
        <w:trPr>
          <w:trHeight w:val="162"/>
        </w:trPr>
        <w:tc>
          <w:tcPr>
            <w:tcW w:w="2620" w:type="dxa"/>
            <w:vAlign w:val="bottom"/>
          </w:tcPr>
          <w:p>
            <w:pPr>
              <w:spacing w:after="0"/>
              <w:rPr>
                <w:sz w:val="14"/>
                <w:szCs w:val="14"/>
                <w:color w:val="auto"/>
              </w:rPr>
            </w:pPr>
          </w:p>
        </w:tc>
        <w:tc>
          <w:tcPr>
            <w:tcW w:w="2860" w:type="dxa"/>
            <w:vAlign w:val="bottom"/>
          </w:tcPr>
          <w:p>
            <w:pPr>
              <w:ind w:left="80"/>
              <w:spacing w:after="0"/>
              <w:rPr>
                <w:sz w:val="20"/>
                <w:szCs w:val="20"/>
                <w:color w:val="auto"/>
              </w:rPr>
            </w:pPr>
            <w:r>
              <w:rPr>
                <w:rFonts w:ascii="Arial" w:cs="Arial" w:eastAsia="Arial" w:hAnsi="Arial"/>
                <w:sz w:val="14"/>
                <w:szCs w:val="14"/>
                <w:color w:val="auto"/>
              </w:rPr>
              <w:t>realised margin per barrel at each refinery.</w:t>
            </w:r>
          </w:p>
        </w:tc>
        <w:tc>
          <w:tcPr>
            <w:tcW w:w="0" w:type="dxa"/>
            <w:vAlign w:val="bottom"/>
          </w:tcPr>
          <w:p>
            <w:pPr>
              <w:spacing w:after="0"/>
              <w:rPr>
                <w:sz w:val="1"/>
                <w:szCs w:val="1"/>
                <w:color w:val="auto"/>
              </w:rPr>
            </w:pPr>
          </w:p>
        </w:tc>
      </w:tr>
      <w:tr>
        <w:trPr>
          <w:trHeight w:val="162"/>
        </w:trPr>
        <w:tc>
          <w:tcPr>
            <w:tcW w:w="2620" w:type="dxa"/>
            <w:vAlign w:val="bottom"/>
          </w:tcPr>
          <w:p>
            <w:pPr>
              <w:spacing w:after="0"/>
              <w:rPr>
                <w:sz w:val="14"/>
                <w:szCs w:val="14"/>
                <w:color w:val="auto"/>
              </w:rPr>
            </w:pPr>
          </w:p>
        </w:tc>
        <w:tc>
          <w:tcPr>
            <w:tcW w:w="2860" w:type="dxa"/>
            <w:vAlign w:val="bottom"/>
          </w:tcPr>
          <w:p>
            <w:pPr>
              <w:ind w:left="80"/>
              <w:spacing w:after="0"/>
              <w:rPr>
                <w:sz w:val="20"/>
                <w:szCs w:val="20"/>
                <w:color w:val="auto"/>
              </w:rPr>
            </w:pPr>
            <w:r>
              <w:rPr>
                <w:rFonts w:ascii="Arial" w:cs="Arial" w:eastAsia="Arial" w:hAnsi="Arial"/>
                <w:sz w:val="14"/>
                <w:szCs w:val="14"/>
                <w:color w:val="auto"/>
              </w:rPr>
              <w:t>We calculated the extent to which these</w:t>
            </w:r>
          </w:p>
        </w:tc>
        <w:tc>
          <w:tcPr>
            <w:tcW w:w="0" w:type="dxa"/>
            <w:vAlign w:val="bottom"/>
          </w:tcPr>
          <w:p>
            <w:pPr>
              <w:spacing w:after="0"/>
              <w:rPr>
                <w:sz w:val="1"/>
                <w:szCs w:val="1"/>
                <w:color w:val="auto"/>
              </w:rPr>
            </w:pPr>
          </w:p>
        </w:tc>
      </w:tr>
      <w:tr>
        <w:trPr>
          <w:trHeight w:val="162"/>
        </w:trPr>
        <w:tc>
          <w:tcPr>
            <w:tcW w:w="2620" w:type="dxa"/>
            <w:vAlign w:val="bottom"/>
          </w:tcPr>
          <w:p>
            <w:pPr>
              <w:spacing w:after="0"/>
              <w:rPr>
                <w:sz w:val="14"/>
                <w:szCs w:val="14"/>
                <w:color w:val="auto"/>
              </w:rPr>
            </w:pPr>
          </w:p>
        </w:tc>
        <w:tc>
          <w:tcPr>
            <w:tcW w:w="2860" w:type="dxa"/>
            <w:vAlign w:val="bottom"/>
          </w:tcPr>
          <w:p>
            <w:pPr>
              <w:ind w:left="80"/>
              <w:spacing w:after="0"/>
              <w:rPr>
                <w:sz w:val="20"/>
                <w:szCs w:val="20"/>
                <w:color w:val="auto"/>
              </w:rPr>
            </w:pPr>
            <w:r>
              <w:rPr>
                <w:rFonts w:ascii="Arial" w:cs="Arial" w:eastAsia="Arial" w:hAnsi="Arial"/>
                <w:sz w:val="14"/>
                <w:szCs w:val="14"/>
                <w:color w:val="auto"/>
              </w:rPr>
              <w:t>assumptions would need to change before</w:t>
            </w:r>
          </w:p>
        </w:tc>
        <w:tc>
          <w:tcPr>
            <w:tcW w:w="0" w:type="dxa"/>
            <w:vAlign w:val="bottom"/>
          </w:tcPr>
          <w:p>
            <w:pPr>
              <w:spacing w:after="0"/>
              <w:rPr>
                <w:sz w:val="1"/>
                <w:szCs w:val="1"/>
                <w:color w:val="auto"/>
              </w:rPr>
            </w:pPr>
          </w:p>
        </w:tc>
      </w:tr>
      <w:tr>
        <w:trPr>
          <w:trHeight w:val="162"/>
        </w:trPr>
        <w:tc>
          <w:tcPr>
            <w:tcW w:w="2620" w:type="dxa"/>
            <w:vAlign w:val="bottom"/>
          </w:tcPr>
          <w:p>
            <w:pPr>
              <w:spacing w:after="0"/>
              <w:rPr>
                <w:sz w:val="14"/>
                <w:szCs w:val="14"/>
                <w:color w:val="auto"/>
              </w:rPr>
            </w:pPr>
          </w:p>
        </w:tc>
        <w:tc>
          <w:tcPr>
            <w:tcW w:w="2860" w:type="dxa"/>
            <w:vAlign w:val="bottom"/>
          </w:tcPr>
          <w:p>
            <w:pPr>
              <w:ind w:left="80"/>
              <w:spacing w:after="0"/>
              <w:rPr>
                <w:sz w:val="20"/>
                <w:szCs w:val="20"/>
                <w:color w:val="auto"/>
              </w:rPr>
            </w:pPr>
            <w:r>
              <w:rPr>
                <w:rFonts w:ascii="Arial" w:cs="Arial" w:eastAsia="Arial" w:hAnsi="Arial"/>
                <w:sz w:val="14"/>
                <w:szCs w:val="14"/>
                <w:color w:val="auto"/>
              </w:rPr>
              <w:t>the impact was material and assessed the</w:t>
            </w:r>
          </w:p>
        </w:tc>
        <w:tc>
          <w:tcPr>
            <w:tcW w:w="0" w:type="dxa"/>
            <w:vAlign w:val="bottom"/>
          </w:tcPr>
          <w:p>
            <w:pPr>
              <w:spacing w:after="0"/>
              <w:rPr>
                <w:sz w:val="1"/>
                <w:szCs w:val="1"/>
                <w:color w:val="auto"/>
              </w:rPr>
            </w:pPr>
          </w:p>
        </w:tc>
      </w:tr>
      <w:tr>
        <w:trPr>
          <w:trHeight w:val="162"/>
        </w:trPr>
        <w:tc>
          <w:tcPr>
            <w:tcW w:w="2620" w:type="dxa"/>
            <w:vAlign w:val="bottom"/>
          </w:tcPr>
          <w:p>
            <w:pPr>
              <w:spacing w:after="0"/>
              <w:rPr>
                <w:sz w:val="14"/>
                <w:szCs w:val="14"/>
                <w:color w:val="auto"/>
              </w:rPr>
            </w:pPr>
          </w:p>
        </w:tc>
        <w:tc>
          <w:tcPr>
            <w:tcW w:w="2860" w:type="dxa"/>
            <w:vAlign w:val="bottom"/>
          </w:tcPr>
          <w:p>
            <w:pPr>
              <w:ind w:left="80"/>
              <w:spacing w:after="0"/>
              <w:rPr>
                <w:sz w:val="20"/>
                <w:szCs w:val="20"/>
                <w:color w:val="auto"/>
              </w:rPr>
            </w:pPr>
            <w:r>
              <w:rPr>
                <w:rFonts w:ascii="Arial" w:cs="Arial" w:eastAsia="Arial" w:hAnsi="Arial"/>
                <w:sz w:val="14"/>
                <w:szCs w:val="14"/>
                <w:color w:val="auto"/>
              </w:rPr>
              <w:t>likelihood of these movements occurring.</w:t>
            </w:r>
          </w:p>
        </w:tc>
        <w:tc>
          <w:tcPr>
            <w:tcW w:w="0" w:type="dxa"/>
            <w:vAlign w:val="bottom"/>
          </w:tcPr>
          <w:p>
            <w:pPr>
              <w:spacing w:after="0"/>
              <w:rPr>
                <w:sz w:val="1"/>
                <w:szCs w:val="1"/>
                <w:color w:val="auto"/>
              </w:rPr>
            </w:pPr>
          </w:p>
        </w:tc>
      </w:tr>
      <w:tr>
        <w:trPr>
          <w:trHeight w:val="162"/>
        </w:trPr>
        <w:tc>
          <w:tcPr>
            <w:tcW w:w="2620" w:type="dxa"/>
            <w:vAlign w:val="bottom"/>
          </w:tcPr>
          <w:p>
            <w:pPr>
              <w:spacing w:after="0"/>
              <w:rPr>
                <w:sz w:val="14"/>
                <w:szCs w:val="14"/>
                <w:color w:val="auto"/>
              </w:rPr>
            </w:pPr>
          </w:p>
        </w:tc>
        <w:tc>
          <w:tcPr>
            <w:tcW w:w="2860" w:type="dxa"/>
            <w:vAlign w:val="bottom"/>
          </w:tcPr>
          <w:p>
            <w:pPr>
              <w:ind w:left="80"/>
              <w:spacing w:after="0"/>
              <w:rPr>
                <w:sz w:val="20"/>
                <w:szCs w:val="20"/>
                <w:color w:val="auto"/>
              </w:rPr>
            </w:pPr>
            <w:r>
              <w:rPr>
                <w:rFonts w:ascii="Arial" w:cs="Arial" w:eastAsia="Arial" w:hAnsi="Arial"/>
                <w:sz w:val="14"/>
                <w:szCs w:val="14"/>
                <w:color w:val="auto"/>
              </w:rPr>
              <w:t>We assessed the financial statement</w:t>
            </w:r>
          </w:p>
        </w:tc>
        <w:tc>
          <w:tcPr>
            <w:tcW w:w="0" w:type="dxa"/>
            <w:vAlign w:val="bottom"/>
          </w:tcPr>
          <w:p>
            <w:pPr>
              <w:spacing w:after="0"/>
              <w:rPr>
                <w:sz w:val="1"/>
                <w:szCs w:val="1"/>
                <w:color w:val="auto"/>
              </w:rPr>
            </w:pPr>
          </w:p>
        </w:tc>
      </w:tr>
      <w:tr>
        <w:trPr>
          <w:trHeight w:val="162"/>
        </w:trPr>
        <w:tc>
          <w:tcPr>
            <w:tcW w:w="2620" w:type="dxa"/>
            <w:vAlign w:val="bottom"/>
          </w:tcPr>
          <w:p>
            <w:pPr>
              <w:spacing w:after="0"/>
              <w:rPr>
                <w:sz w:val="14"/>
                <w:szCs w:val="14"/>
                <w:color w:val="auto"/>
              </w:rPr>
            </w:pPr>
          </w:p>
        </w:tc>
        <w:tc>
          <w:tcPr>
            <w:tcW w:w="2860" w:type="dxa"/>
            <w:vAlign w:val="bottom"/>
          </w:tcPr>
          <w:p>
            <w:pPr>
              <w:ind w:left="80"/>
              <w:spacing w:after="0"/>
              <w:rPr>
                <w:sz w:val="20"/>
                <w:szCs w:val="20"/>
                <w:color w:val="auto"/>
              </w:rPr>
            </w:pPr>
            <w:r>
              <w:rPr>
                <w:rFonts w:ascii="Arial" w:cs="Arial" w:eastAsia="Arial" w:hAnsi="Arial"/>
                <w:sz w:val="14"/>
                <w:szCs w:val="14"/>
                <w:color w:val="auto"/>
              </w:rPr>
              <w:t>disclosures in light of the analyses and</w:t>
            </w:r>
          </w:p>
        </w:tc>
        <w:tc>
          <w:tcPr>
            <w:tcW w:w="0" w:type="dxa"/>
            <w:vAlign w:val="bottom"/>
          </w:tcPr>
          <w:p>
            <w:pPr>
              <w:spacing w:after="0"/>
              <w:rPr>
                <w:sz w:val="1"/>
                <w:szCs w:val="1"/>
                <w:color w:val="auto"/>
              </w:rPr>
            </w:pPr>
          </w:p>
        </w:tc>
      </w:tr>
      <w:tr>
        <w:trPr>
          <w:trHeight w:val="157"/>
        </w:trPr>
        <w:tc>
          <w:tcPr>
            <w:tcW w:w="2620" w:type="dxa"/>
            <w:vAlign w:val="bottom"/>
            <w:tcBorders>
              <w:bottom w:val="single" w:sz="8" w:color="auto"/>
            </w:tcBorders>
          </w:tcPr>
          <w:p>
            <w:pPr>
              <w:spacing w:after="0"/>
              <w:rPr>
                <w:sz w:val="13"/>
                <w:szCs w:val="13"/>
                <w:color w:val="auto"/>
              </w:rPr>
            </w:pPr>
          </w:p>
        </w:tc>
        <w:tc>
          <w:tcPr>
            <w:tcW w:w="2860" w:type="dxa"/>
            <w:vAlign w:val="bottom"/>
            <w:tcBorders>
              <w:bottom w:val="single" w:sz="8" w:color="auto"/>
            </w:tcBorders>
          </w:tcPr>
          <w:p>
            <w:pPr>
              <w:ind w:left="80"/>
              <w:spacing w:after="0" w:line="157" w:lineRule="exact"/>
              <w:rPr>
                <w:sz w:val="20"/>
                <w:szCs w:val="20"/>
                <w:color w:val="auto"/>
              </w:rPr>
            </w:pPr>
            <w:r>
              <w:rPr>
                <w:rFonts w:ascii="Arial" w:cs="Arial" w:eastAsia="Arial" w:hAnsi="Arial"/>
                <w:sz w:val="14"/>
                <w:szCs w:val="14"/>
                <w:color w:val="auto"/>
              </w:rPr>
              <w:t>consider them to be appropriate.</w:t>
            </w:r>
          </w:p>
        </w:tc>
        <w:tc>
          <w:tcPr>
            <w:tcW w:w="0" w:type="dxa"/>
            <w:vAlign w:val="bottom"/>
          </w:tcPr>
          <w:p>
            <w:pPr>
              <w:spacing w:after="0"/>
              <w:rPr>
                <w:sz w:val="1"/>
                <w:szCs w:val="1"/>
                <w:color w:val="auto"/>
              </w:rPr>
            </w:pPr>
          </w:p>
        </w:tc>
      </w:tr>
      <w:tr>
        <w:trPr>
          <w:trHeight w:val="160"/>
        </w:trPr>
        <w:tc>
          <w:tcPr>
            <w:tcW w:w="2620" w:type="dxa"/>
            <w:vAlign w:val="bottom"/>
          </w:tcPr>
          <w:p>
            <w:pPr>
              <w:ind w:left="20"/>
              <w:spacing w:after="0"/>
              <w:rPr>
                <w:sz w:val="20"/>
                <w:szCs w:val="20"/>
                <w:color w:val="auto"/>
              </w:rPr>
            </w:pPr>
            <w:r>
              <w:rPr>
                <w:rFonts w:ascii="Arial" w:cs="Arial" w:eastAsia="Arial" w:hAnsi="Arial"/>
                <w:sz w:val="14"/>
                <w:szCs w:val="14"/>
                <w:color w:val="auto"/>
              </w:rPr>
              <w:t>Recoverability of the carrying amount of</w:t>
            </w:r>
          </w:p>
        </w:tc>
        <w:tc>
          <w:tcPr>
            <w:tcW w:w="2860" w:type="dxa"/>
            <w:vAlign w:val="bottom"/>
          </w:tcPr>
          <w:p>
            <w:pPr>
              <w:ind w:left="80"/>
              <w:spacing w:after="0"/>
              <w:rPr>
                <w:sz w:val="20"/>
                <w:szCs w:val="20"/>
                <w:color w:val="auto"/>
              </w:rPr>
            </w:pPr>
            <w:r>
              <w:rPr>
                <w:rFonts w:ascii="Arial" w:cs="Arial" w:eastAsia="Arial" w:hAnsi="Arial"/>
                <w:sz w:val="14"/>
                <w:szCs w:val="14"/>
                <w:color w:val="auto"/>
              </w:rPr>
              <w:t>In addition to confirming the</w:t>
            </w:r>
          </w:p>
        </w:tc>
        <w:tc>
          <w:tcPr>
            <w:tcW w:w="0" w:type="dxa"/>
            <w:vAlign w:val="bottom"/>
          </w:tcPr>
          <w:p>
            <w:pPr>
              <w:spacing w:after="0"/>
              <w:rPr>
                <w:sz w:val="1"/>
                <w:szCs w:val="1"/>
                <w:color w:val="auto"/>
              </w:rPr>
            </w:pPr>
          </w:p>
        </w:tc>
      </w:tr>
      <w:tr>
        <w:trPr>
          <w:trHeight w:val="162"/>
        </w:trPr>
        <w:tc>
          <w:tcPr>
            <w:tcW w:w="2620" w:type="dxa"/>
            <w:vAlign w:val="bottom"/>
          </w:tcPr>
          <w:p>
            <w:pPr>
              <w:ind w:left="20"/>
              <w:spacing w:after="0"/>
              <w:rPr>
                <w:sz w:val="20"/>
                <w:szCs w:val="20"/>
                <w:color w:val="auto"/>
              </w:rPr>
            </w:pPr>
            <w:r>
              <w:rPr>
                <w:rFonts w:ascii="Arial" w:cs="Arial" w:eastAsia="Arial" w:hAnsi="Arial"/>
                <w:sz w:val="14"/>
                <w:szCs w:val="14"/>
                <w:color w:val="auto"/>
              </w:rPr>
              <w:t>North American tight-gas and liquids-</w:t>
            </w:r>
          </w:p>
        </w:tc>
        <w:tc>
          <w:tcPr>
            <w:tcW w:w="2860" w:type="dxa"/>
            <w:vAlign w:val="bottom"/>
          </w:tcPr>
          <w:p>
            <w:pPr>
              <w:ind w:left="80"/>
              <w:spacing w:after="0"/>
              <w:rPr>
                <w:sz w:val="20"/>
                <w:szCs w:val="20"/>
                <w:color w:val="auto"/>
              </w:rPr>
            </w:pPr>
            <w:r>
              <w:rPr>
                <w:rFonts w:ascii="Arial" w:cs="Arial" w:eastAsia="Arial" w:hAnsi="Arial"/>
                <w:sz w:val="14"/>
                <w:szCs w:val="14"/>
                <w:color w:val="auto"/>
              </w:rPr>
              <w:t>appropriateness of management’s</w:t>
            </w:r>
          </w:p>
        </w:tc>
        <w:tc>
          <w:tcPr>
            <w:tcW w:w="0" w:type="dxa"/>
            <w:vAlign w:val="bottom"/>
          </w:tcPr>
          <w:p>
            <w:pPr>
              <w:spacing w:after="0"/>
              <w:rPr>
                <w:sz w:val="1"/>
                <w:szCs w:val="1"/>
                <w:color w:val="auto"/>
              </w:rPr>
            </w:pPr>
          </w:p>
        </w:tc>
      </w:tr>
      <w:tr>
        <w:trPr>
          <w:trHeight w:val="162"/>
        </w:trPr>
        <w:tc>
          <w:tcPr>
            <w:tcW w:w="2620" w:type="dxa"/>
            <w:vAlign w:val="bottom"/>
          </w:tcPr>
          <w:p>
            <w:pPr>
              <w:ind w:left="20"/>
              <w:spacing w:after="0"/>
              <w:rPr>
                <w:sz w:val="20"/>
                <w:szCs w:val="20"/>
                <w:color w:val="auto"/>
              </w:rPr>
            </w:pPr>
            <w:r>
              <w:rPr>
                <w:rFonts w:ascii="Arial" w:cs="Arial" w:eastAsia="Arial" w:hAnsi="Arial"/>
                <w:sz w:val="14"/>
                <w:szCs w:val="14"/>
                <w:color w:val="auto"/>
              </w:rPr>
              <w:t>rich shale assets</w:t>
            </w:r>
          </w:p>
        </w:tc>
        <w:tc>
          <w:tcPr>
            <w:tcW w:w="2860" w:type="dxa"/>
            <w:vAlign w:val="bottom"/>
          </w:tcPr>
          <w:p>
            <w:pPr>
              <w:ind w:left="80"/>
              <w:spacing w:after="0"/>
              <w:rPr>
                <w:sz w:val="20"/>
                <w:szCs w:val="20"/>
                <w:color w:val="auto"/>
              </w:rPr>
            </w:pPr>
            <w:r>
              <w:rPr>
                <w:rFonts w:ascii="Arial" w:cs="Arial" w:eastAsia="Arial" w:hAnsi="Arial"/>
                <w:sz w:val="14"/>
                <w:szCs w:val="14"/>
                <w:color w:val="auto"/>
              </w:rPr>
              <w:t>definition of CGUs for the relevant assets,</w:t>
            </w:r>
          </w:p>
        </w:tc>
        <w:tc>
          <w:tcPr>
            <w:tcW w:w="0" w:type="dxa"/>
            <w:vAlign w:val="bottom"/>
          </w:tcPr>
          <w:p>
            <w:pPr>
              <w:spacing w:after="0"/>
              <w:rPr>
                <w:sz w:val="1"/>
                <w:szCs w:val="1"/>
                <w:color w:val="auto"/>
              </w:rPr>
            </w:pPr>
          </w:p>
        </w:tc>
      </w:tr>
      <w:tr>
        <w:trPr>
          <w:trHeight w:val="162"/>
        </w:trPr>
        <w:tc>
          <w:tcPr>
            <w:tcW w:w="2620" w:type="dxa"/>
            <w:vAlign w:val="bottom"/>
          </w:tcPr>
          <w:p>
            <w:pPr>
              <w:ind w:left="20"/>
              <w:spacing w:after="0"/>
              <w:rPr>
                <w:sz w:val="20"/>
                <w:szCs w:val="20"/>
                <w:color w:val="auto"/>
              </w:rPr>
            </w:pPr>
            <w:r>
              <w:rPr>
                <w:rFonts w:ascii="Arial" w:cs="Arial" w:eastAsia="Arial" w:hAnsi="Arial"/>
                <w:sz w:val="14"/>
                <w:szCs w:val="14"/>
                <w:color w:val="auto"/>
              </w:rPr>
              <w:t>The 2014 strategic review of the North</w:t>
            </w:r>
          </w:p>
        </w:tc>
        <w:tc>
          <w:tcPr>
            <w:tcW w:w="2860" w:type="dxa"/>
            <w:vAlign w:val="bottom"/>
          </w:tcPr>
          <w:p>
            <w:pPr>
              <w:ind w:left="80"/>
              <w:spacing w:after="0"/>
              <w:rPr>
                <w:sz w:val="20"/>
                <w:szCs w:val="20"/>
                <w:color w:val="auto"/>
              </w:rPr>
            </w:pPr>
            <w:r>
              <w:rPr>
                <w:rFonts w:ascii="Arial" w:cs="Arial" w:eastAsia="Arial" w:hAnsi="Arial"/>
                <w:sz w:val="14"/>
                <w:szCs w:val="14"/>
                <w:color w:val="auto"/>
              </w:rPr>
              <w:t>we benchmarked management’s key</w:t>
            </w:r>
          </w:p>
        </w:tc>
        <w:tc>
          <w:tcPr>
            <w:tcW w:w="0" w:type="dxa"/>
            <w:vAlign w:val="bottom"/>
          </w:tcPr>
          <w:p>
            <w:pPr>
              <w:spacing w:after="0"/>
              <w:rPr>
                <w:sz w:val="1"/>
                <w:szCs w:val="1"/>
                <w:color w:val="auto"/>
              </w:rPr>
            </w:pPr>
          </w:p>
        </w:tc>
      </w:tr>
      <w:tr>
        <w:trPr>
          <w:trHeight w:val="162"/>
        </w:trPr>
        <w:tc>
          <w:tcPr>
            <w:tcW w:w="2620" w:type="dxa"/>
            <w:vAlign w:val="bottom"/>
          </w:tcPr>
          <w:p>
            <w:pPr>
              <w:ind w:left="20"/>
              <w:spacing w:after="0"/>
              <w:rPr>
                <w:sz w:val="20"/>
                <w:szCs w:val="20"/>
                <w:color w:val="auto"/>
              </w:rPr>
            </w:pPr>
            <w:r>
              <w:rPr>
                <w:rFonts w:ascii="Arial" w:cs="Arial" w:eastAsia="Arial" w:hAnsi="Arial"/>
                <w:sz w:val="14"/>
                <w:szCs w:val="14"/>
                <w:color w:val="auto"/>
              </w:rPr>
              <w:t>American tight-gas and liquids-rich</w:t>
            </w:r>
          </w:p>
        </w:tc>
        <w:tc>
          <w:tcPr>
            <w:tcW w:w="2860" w:type="dxa"/>
            <w:vAlign w:val="bottom"/>
          </w:tcPr>
          <w:p>
            <w:pPr>
              <w:ind w:left="80"/>
              <w:spacing w:after="0"/>
              <w:rPr>
                <w:sz w:val="20"/>
                <w:szCs w:val="20"/>
                <w:color w:val="auto"/>
              </w:rPr>
            </w:pPr>
            <w:r>
              <w:rPr>
                <w:rFonts w:ascii="Arial" w:cs="Arial" w:eastAsia="Arial" w:hAnsi="Arial"/>
                <w:sz w:val="14"/>
                <w:szCs w:val="14"/>
                <w:color w:val="auto"/>
              </w:rPr>
              <w:t>macro-economic assumptions, such as</w:t>
            </w:r>
          </w:p>
        </w:tc>
        <w:tc>
          <w:tcPr>
            <w:tcW w:w="0" w:type="dxa"/>
            <w:vAlign w:val="bottom"/>
          </w:tcPr>
          <w:p>
            <w:pPr>
              <w:spacing w:after="0"/>
              <w:rPr>
                <w:sz w:val="1"/>
                <w:szCs w:val="1"/>
                <w:color w:val="auto"/>
              </w:rPr>
            </w:pPr>
          </w:p>
        </w:tc>
      </w:tr>
      <w:tr>
        <w:trPr>
          <w:trHeight w:val="162"/>
        </w:trPr>
        <w:tc>
          <w:tcPr>
            <w:tcW w:w="2620" w:type="dxa"/>
            <w:vAlign w:val="bottom"/>
          </w:tcPr>
          <w:p>
            <w:pPr>
              <w:ind w:left="20"/>
              <w:spacing w:after="0"/>
              <w:rPr>
                <w:sz w:val="20"/>
                <w:szCs w:val="20"/>
                <w:color w:val="auto"/>
              </w:rPr>
            </w:pPr>
            <w:r>
              <w:rPr>
                <w:rFonts w:ascii="Arial" w:cs="Arial" w:eastAsia="Arial" w:hAnsi="Arial"/>
                <w:sz w:val="14"/>
                <w:szCs w:val="14"/>
                <w:color w:val="auto"/>
              </w:rPr>
              <w:t>shale portfolio was performed in the</w:t>
            </w:r>
          </w:p>
        </w:tc>
        <w:tc>
          <w:tcPr>
            <w:tcW w:w="2860" w:type="dxa"/>
            <w:vAlign w:val="bottom"/>
          </w:tcPr>
          <w:p>
            <w:pPr>
              <w:ind w:left="80"/>
              <w:spacing w:after="0"/>
              <w:rPr>
                <w:sz w:val="20"/>
                <w:szCs w:val="20"/>
                <w:color w:val="auto"/>
              </w:rPr>
            </w:pPr>
            <w:r>
              <w:rPr>
                <w:rFonts w:ascii="Arial" w:cs="Arial" w:eastAsia="Arial" w:hAnsi="Arial"/>
                <w:sz w:val="14"/>
                <w:szCs w:val="14"/>
                <w:color w:val="auto"/>
              </w:rPr>
              <w:t>future gas and liquids prices, and other</w:t>
            </w:r>
          </w:p>
        </w:tc>
        <w:tc>
          <w:tcPr>
            <w:tcW w:w="0" w:type="dxa"/>
            <w:vAlign w:val="bottom"/>
          </w:tcPr>
          <w:p>
            <w:pPr>
              <w:spacing w:after="0"/>
              <w:rPr>
                <w:sz w:val="1"/>
                <w:szCs w:val="1"/>
                <w:color w:val="auto"/>
              </w:rPr>
            </w:pPr>
          </w:p>
        </w:tc>
      </w:tr>
      <w:tr>
        <w:trPr>
          <w:trHeight w:val="162"/>
        </w:trPr>
        <w:tc>
          <w:tcPr>
            <w:tcW w:w="2620" w:type="dxa"/>
            <w:vAlign w:val="bottom"/>
          </w:tcPr>
          <w:p>
            <w:pPr>
              <w:ind w:left="20"/>
              <w:spacing w:after="0"/>
              <w:rPr>
                <w:sz w:val="20"/>
                <w:szCs w:val="20"/>
                <w:color w:val="auto"/>
              </w:rPr>
            </w:pPr>
            <w:r>
              <w:rPr>
                <w:rFonts w:ascii="Arial" w:cs="Arial" w:eastAsia="Arial" w:hAnsi="Arial"/>
                <w:sz w:val="14"/>
                <w:szCs w:val="14"/>
                <w:color w:val="auto"/>
              </w:rPr>
              <w:t>context of increased capital discipline</w:t>
            </w:r>
          </w:p>
        </w:tc>
        <w:tc>
          <w:tcPr>
            <w:tcW w:w="2860" w:type="dxa"/>
            <w:vAlign w:val="bottom"/>
          </w:tcPr>
          <w:p>
            <w:pPr>
              <w:ind w:left="80"/>
              <w:spacing w:after="0"/>
              <w:rPr>
                <w:sz w:val="20"/>
                <w:szCs w:val="20"/>
                <w:color w:val="auto"/>
              </w:rPr>
            </w:pPr>
            <w:r>
              <w:rPr>
                <w:rFonts w:ascii="Arial" w:cs="Arial" w:eastAsia="Arial" w:hAnsi="Arial"/>
                <w:sz w:val="14"/>
                <w:szCs w:val="14"/>
                <w:color w:val="auto"/>
              </w:rPr>
              <w:t>general assumptions used, such as the</w:t>
            </w:r>
          </w:p>
        </w:tc>
        <w:tc>
          <w:tcPr>
            <w:tcW w:w="0" w:type="dxa"/>
            <w:vAlign w:val="bottom"/>
          </w:tcPr>
          <w:p>
            <w:pPr>
              <w:spacing w:after="0"/>
              <w:rPr>
                <w:sz w:val="1"/>
                <w:szCs w:val="1"/>
                <w:color w:val="auto"/>
              </w:rPr>
            </w:pPr>
          </w:p>
        </w:tc>
      </w:tr>
      <w:tr>
        <w:trPr>
          <w:trHeight w:val="162"/>
        </w:trPr>
        <w:tc>
          <w:tcPr>
            <w:tcW w:w="2620" w:type="dxa"/>
            <w:vAlign w:val="bottom"/>
          </w:tcPr>
          <w:p>
            <w:pPr>
              <w:ind w:left="20"/>
              <w:spacing w:after="0"/>
              <w:rPr>
                <w:sz w:val="20"/>
                <w:szCs w:val="20"/>
                <w:color w:val="auto"/>
              </w:rPr>
            </w:pPr>
            <w:r>
              <w:rPr>
                <w:rFonts w:ascii="Arial" w:cs="Arial" w:eastAsia="Arial" w:hAnsi="Arial"/>
                <w:sz w:val="14"/>
                <w:szCs w:val="14"/>
                <w:color w:val="auto"/>
              </w:rPr>
              <w:t>and the commitment by management to</w:t>
            </w:r>
          </w:p>
        </w:tc>
        <w:tc>
          <w:tcPr>
            <w:tcW w:w="2860" w:type="dxa"/>
            <w:vAlign w:val="bottom"/>
          </w:tcPr>
          <w:p>
            <w:pPr>
              <w:ind w:left="80"/>
              <w:spacing w:after="0"/>
              <w:rPr>
                <w:sz w:val="20"/>
                <w:szCs w:val="20"/>
                <w:color w:val="auto"/>
              </w:rPr>
            </w:pPr>
            <w:r>
              <w:rPr>
                <w:rFonts w:ascii="Arial" w:cs="Arial" w:eastAsia="Arial" w:hAnsi="Arial"/>
                <w:sz w:val="14"/>
                <w:szCs w:val="14"/>
                <w:color w:val="auto"/>
              </w:rPr>
              <w:t>discount and inflation rates, against third</w:t>
            </w:r>
          </w:p>
        </w:tc>
        <w:tc>
          <w:tcPr>
            <w:tcW w:w="0" w:type="dxa"/>
            <w:vAlign w:val="bottom"/>
          </w:tcPr>
          <w:p>
            <w:pPr>
              <w:spacing w:after="0"/>
              <w:rPr>
                <w:sz w:val="1"/>
                <w:szCs w:val="1"/>
                <w:color w:val="auto"/>
              </w:rPr>
            </w:pPr>
          </w:p>
        </w:tc>
      </w:tr>
      <w:tr>
        <w:trPr>
          <w:trHeight w:val="162"/>
        </w:trPr>
        <w:tc>
          <w:tcPr>
            <w:tcW w:w="2620" w:type="dxa"/>
            <w:vAlign w:val="bottom"/>
          </w:tcPr>
          <w:p>
            <w:pPr>
              <w:ind w:left="20"/>
              <w:spacing w:after="0"/>
              <w:rPr>
                <w:sz w:val="20"/>
                <w:szCs w:val="20"/>
                <w:color w:val="auto"/>
              </w:rPr>
            </w:pPr>
            <w:r>
              <w:rPr>
                <w:rFonts w:ascii="Arial" w:cs="Arial" w:eastAsia="Arial" w:hAnsi="Arial"/>
                <w:sz w:val="14"/>
                <w:szCs w:val="14"/>
                <w:color w:val="auto"/>
              </w:rPr>
              <w:t>keep, fix or divest assets. As a result,</w:t>
            </w:r>
          </w:p>
        </w:tc>
        <w:tc>
          <w:tcPr>
            <w:tcW w:w="2860" w:type="dxa"/>
            <w:vAlign w:val="bottom"/>
          </w:tcPr>
          <w:p>
            <w:pPr>
              <w:ind w:left="80"/>
              <w:spacing w:after="0"/>
              <w:rPr>
                <w:sz w:val="20"/>
                <w:szCs w:val="20"/>
                <w:color w:val="auto"/>
              </w:rPr>
            </w:pPr>
            <w:r>
              <w:rPr>
                <w:rFonts w:ascii="Arial" w:cs="Arial" w:eastAsia="Arial" w:hAnsi="Arial"/>
                <w:sz w:val="14"/>
                <w:szCs w:val="14"/>
                <w:color w:val="auto"/>
              </w:rPr>
              <w:t>party data. We found the assumptions used</w:t>
            </w:r>
          </w:p>
        </w:tc>
        <w:tc>
          <w:tcPr>
            <w:tcW w:w="0" w:type="dxa"/>
            <w:vAlign w:val="bottom"/>
          </w:tcPr>
          <w:p>
            <w:pPr>
              <w:spacing w:after="0"/>
              <w:rPr>
                <w:sz w:val="1"/>
                <w:szCs w:val="1"/>
                <w:color w:val="auto"/>
              </w:rPr>
            </w:pPr>
          </w:p>
        </w:tc>
      </w:tr>
      <w:tr>
        <w:trPr>
          <w:trHeight w:val="162"/>
        </w:trPr>
        <w:tc>
          <w:tcPr>
            <w:tcW w:w="2620" w:type="dxa"/>
            <w:vAlign w:val="bottom"/>
          </w:tcPr>
          <w:p>
            <w:pPr>
              <w:ind w:left="20"/>
              <w:spacing w:after="0"/>
              <w:rPr>
                <w:sz w:val="20"/>
                <w:szCs w:val="20"/>
                <w:color w:val="auto"/>
              </w:rPr>
            </w:pPr>
            <w:r>
              <w:rPr>
                <w:rFonts w:ascii="Arial" w:cs="Arial" w:eastAsia="Arial" w:hAnsi="Arial"/>
                <w:sz w:val="14"/>
                <w:szCs w:val="14"/>
                <w:color w:val="auto"/>
              </w:rPr>
              <w:t>management identified certain assets</w:t>
            </w:r>
          </w:p>
        </w:tc>
        <w:tc>
          <w:tcPr>
            <w:tcW w:w="2860" w:type="dxa"/>
            <w:vAlign w:val="bottom"/>
          </w:tcPr>
          <w:p>
            <w:pPr>
              <w:ind w:left="80"/>
              <w:spacing w:after="0"/>
              <w:rPr>
                <w:sz w:val="20"/>
                <w:szCs w:val="20"/>
                <w:color w:val="auto"/>
              </w:rPr>
            </w:pPr>
            <w:r>
              <w:rPr>
                <w:rFonts w:ascii="Arial" w:cs="Arial" w:eastAsia="Arial" w:hAnsi="Arial"/>
                <w:sz w:val="14"/>
                <w:szCs w:val="14"/>
                <w:color w:val="auto"/>
              </w:rPr>
              <w:t>by management to be consistent with</w:t>
            </w:r>
          </w:p>
        </w:tc>
        <w:tc>
          <w:tcPr>
            <w:tcW w:w="0" w:type="dxa"/>
            <w:vAlign w:val="bottom"/>
          </w:tcPr>
          <w:p>
            <w:pPr>
              <w:spacing w:after="0"/>
              <w:rPr>
                <w:sz w:val="1"/>
                <w:szCs w:val="1"/>
                <w:color w:val="auto"/>
              </w:rPr>
            </w:pPr>
          </w:p>
        </w:tc>
      </w:tr>
      <w:tr>
        <w:trPr>
          <w:trHeight w:val="162"/>
        </w:trPr>
        <w:tc>
          <w:tcPr>
            <w:tcW w:w="2620" w:type="dxa"/>
            <w:vAlign w:val="bottom"/>
          </w:tcPr>
          <w:p>
            <w:pPr>
              <w:ind w:left="20"/>
              <w:spacing w:after="0"/>
              <w:rPr>
                <w:sz w:val="20"/>
                <w:szCs w:val="20"/>
                <w:color w:val="auto"/>
              </w:rPr>
            </w:pPr>
            <w:r>
              <w:rPr>
                <w:rFonts w:ascii="Arial" w:cs="Arial" w:eastAsia="Arial" w:hAnsi="Arial"/>
                <w:sz w:val="14"/>
                <w:szCs w:val="14"/>
                <w:color w:val="auto"/>
              </w:rPr>
              <w:t>where it was necessary to consider</w:t>
            </w:r>
          </w:p>
        </w:tc>
        <w:tc>
          <w:tcPr>
            <w:tcW w:w="2860" w:type="dxa"/>
            <w:vAlign w:val="bottom"/>
          </w:tcPr>
          <w:p>
            <w:pPr>
              <w:ind w:left="80"/>
              <w:spacing w:after="0"/>
              <w:rPr>
                <w:sz w:val="20"/>
                <w:szCs w:val="20"/>
                <w:color w:val="auto"/>
              </w:rPr>
            </w:pPr>
            <w:r>
              <w:rPr>
                <w:rFonts w:ascii="Arial" w:cs="Arial" w:eastAsia="Arial" w:hAnsi="Arial"/>
                <w:sz w:val="14"/>
                <w:szCs w:val="14"/>
                <w:color w:val="auto"/>
              </w:rPr>
              <w:t>relevant third party sources.</w:t>
            </w:r>
          </w:p>
        </w:tc>
        <w:tc>
          <w:tcPr>
            <w:tcW w:w="0" w:type="dxa"/>
            <w:vAlign w:val="bottom"/>
          </w:tcPr>
          <w:p>
            <w:pPr>
              <w:spacing w:after="0"/>
              <w:rPr>
                <w:sz w:val="1"/>
                <w:szCs w:val="1"/>
                <w:color w:val="auto"/>
              </w:rPr>
            </w:pPr>
          </w:p>
        </w:tc>
      </w:tr>
      <w:tr>
        <w:trPr>
          <w:trHeight w:val="162"/>
        </w:trPr>
        <w:tc>
          <w:tcPr>
            <w:tcW w:w="2620" w:type="dxa"/>
            <w:vAlign w:val="bottom"/>
          </w:tcPr>
          <w:p>
            <w:pPr>
              <w:ind w:left="20"/>
              <w:spacing w:after="0"/>
              <w:rPr>
                <w:sz w:val="20"/>
                <w:szCs w:val="20"/>
                <w:color w:val="auto"/>
              </w:rPr>
            </w:pPr>
            <w:r>
              <w:rPr>
                <w:rFonts w:ascii="Arial" w:cs="Arial" w:eastAsia="Arial" w:hAnsi="Arial"/>
                <w:sz w:val="14"/>
                <w:szCs w:val="14"/>
                <w:color w:val="auto"/>
              </w:rPr>
              <w:t>whether asset carrying amounts were</w:t>
            </w:r>
          </w:p>
        </w:tc>
        <w:tc>
          <w:tcPr>
            <w:tcW w:w="2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620" w:type="dxa"/>
            <w:vAlign w:val="bottom"/>
          </w:tcPr>
          <w:p>
            <w:pPr>
              <w:ind w:left="20"/>
              <w:spacing w:after="0"/>
              <w:rPr>
                <w:sz w:val="20"/>
                <w:szCs w:val="20"/>
                <w:color w:val="auto"/>
              </w:rPr>
            </w:pPr>
            <w:r>
              <w:rPr>
                <w:rFonts w:ascii="Arial" w:cs="Arial" w:eastAsia="Arial" w:hAnsi="Arial"/>
                <w:sz w:val="14"/>
                <w:szCs w:val="14"/>
                <w:color w:val="auto"/>
              </w:rPr>
              <w:t>recoverable.</w:t>
            </w:r>
          </w:p>
        </w:tc>
        <w:tc>
          <w:tcPr>
            <w:tcW w:w="2860" w:type="dxa"/>
            <w:vAlign w:val="bottom"/>
            <w:vMerge w:val="restart"/>
          </w:tcPr>
          <w:p>
            <w:pPr>
              <w:ind w:left="80"/>
              <w:spacing w:after="0"/>
              <w:rPr>
                <w:sz w:val="20"/>
                <w:szCs w:val="20"/>
                <w:color w:val="auto"/>
              </w:rPr>
            </w:pPr>
            <w:r>
              <w:rPr>
                <w:rFonts w:ascii="Arial" w:cs="Arial" w:eastAsia="Arial" w:hAnsi="Arial"/>
                <w:sz w:val="14"/>
                <w:szCs w:val="14"/>
                <w:color w:val="auto"/>
              </w:rPr>
              <w:t>We performed detailed procedures for the</w:t>
            </w:r>
          </w:p>
        </w:tc>
        <w:tc>
          <w:tcPr>
            <w:tcW w:w="0" w:type="dxa"/>
            <w:vAlign w:val="bottom"/>
          </w:tcPr>
          <w:p>
            <w:pPr>
              <w:spacing w:after="0"/>
              <w:rPr>
                <w:sz w:val="1"/>
                <w:szCs w:val="1"/>
                <w:color w:val="auto"/>
              </w:rPr>
            </w:pPr>
          </w:p>
        </w:tc>
      </w:tr>
      <w:tr>
        <w:trPr>
          <w:trHeight w:val="44"/>
        </w:trPr>
        <w:tc>
          <w:tcPr>
            <w:tcW w:w="2620" w:type="dxa"/>
            <w:vAlign w:val="bottom"/>
          </w:tcPr>
          <w:p>
            <w:pPr>
              <w:spacing w:after="0"/>
              <w:rPr>
                <w:sz w:val="3"/>
                <w:szCs w:val="3"/>
                <w:color w:val="auto"/>
              </w:rPr>
            </w:pPr>
          </w:p>
        </w:tc>
        <w:tc>
          <w:tcPr>
            <w:tcW w:w="286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62"/>
        </w:trPr>
        <w:tc>
          <w:tcPr>
            <w:tcW w:w="2620" w:type="dxa"/>
            <w:vAlign w:val="bottom"/>
          </w:tcPr>
          <w:p>
            <w:pPr>
              <w:spacing w:after="0"/>
              <w:rPr>
                <w:sz w:val="14"/>
                <w:szCs w:val="14"/>
                <w:color w:val="auto"/>
              </w:rPr>
            </w:pPr>
          </w:p>
        </w:tc>
        <w:tc>
          <w:tcPr>
            <w:tcW w:w="2860" w:type="dxa"/>
            <w:vAlign w:val="bottom"/>
          </w:tcPr>
          <w:p>
            <w:pPr>
              <w:ind w:left="80"/>
              <w:spacing w:after="0"/>
              <w:rPr>
                <w:sz w:val="20"/>
                <w:szCs w:val="20"/>
                <w:color w:val="auto"/>
              </w:rPr>
            </w:pPr>
            <w:r>
              <w:rPr>
                <w:rFonts w:ascii="Arial" w:cs="Arial" w:eastAsia="Arial" w:hAnsi="Arial"/>
                <w:sz w:val="14"/>
                <w:szCs w:val="14"/>
                <w:color w:val="auto"/>
              </w:rPr>
              <w:t>assets where the need for an impairment</w:t>
            </w:r>
          </w:p>
        </w:tc>
        <w:tc>
          <w:tcPr>
            <w:tcW w:w="0" w:type="dxa"/>
            <w:vAlign w:val="bottom"/>
          </w:tcPr>
          <w:p>
            <w:pPr>
              <w:spacing w:after="0"/>
              <w:rPr>
                <w:sz w:val="1"/>
                <w:szCs w:val="1"/>
                <w:color w:val="auto"/>
              </w:rPr>
            </w:pPr>
          </w:p>
        </w:tc>
      </w:tr>
      <w:tr>
        <w:trPr>
          <w:trHeight w:val="162"/>
        </w:trPr>
        <w:tc>
          <w:tcPr>
            <w:tcW w:w="2620" w:type="dxa"/>
            <w:vAlign w:val="bottom"/>
          </w:tcPr>
          <w:p>
            <w:pPr>
              <w:ind w:left="20"/>
              <w:spacing w:after="0"/>
              <w:rPr>
                <w:sz w:val="20"/>
                <w:szCs w:val="20"/>
                <w:color w:val="auto"/>
              </w:rPr>
            </w:pPr>
            <w:r>
              <w:rPr>
                <w:rFonts w:ascii="Arial" w:cs="Arial" w:eastAsia="Arial" w:hAnsi="Arial"/>
                <w:sz w:val="14"/>
                <w:szCs w:val="14"/>
                <w:color w:val="auto"/>
              </w:rPr>
              <w:t>This resulted in a pre-tax impairment</w:t>
            </w:r>
          </w:p>
        </w:tc>
        <w:tc>
          <w:tcPr>
            <w:tcW w:w="2860" w:type="dxa"/>
            <w:vAlign w:val="bottom"/>
          </w:tcPr>
          <w:p>
            <w:pPr>
              <w:ind w:left="80"/>
              <w:spacing w:after="0"/>
              <w:rPr>
                <w:sz w:val="20"/>
                <w:szCs w:val="20"/>
                <w:color w:val="auto"/>
              </w:rPr>
            </w:pPr>
            <w:r>
              <w:rPr>
                <w:rFonts w:ascii="Arial" w:cs="Arial" w:eastAsia="Arial" w:hAnsi="Arial"/>
                <w:sz w:val="14"/>
                <w:szCs w:val="14"/>
                <w:color w:val="auto"/>
              </w:rPr>
              <w:t>review was identified by management. For</w:t>
            </w:r>
          </w:p>
        </w:tc>
        <w:tc>
          <w:tcPr>
            <w:tcW w:w="0" w:type="dxa"/>
            <w:vAlign w:val="bottom"/>
          </w:tcPr>
          <w:p>
            <w:pPr>
              <w:spacing w:after="0"/>
              <w:rPr>
                <w:sz w:val="1"/>
                <w:szCs w:val="1"/>
                <w:color w:val="auto"/>
              </w:rPr>
            </w:pPr>
          </w:p>
        </w:tc>
      </w:tr>
      <w:tr>
        <w:trPr>
          <w:trHeight w:val="162"/>
        </w:trPr>
        <w:tc>
          <w:tcPr>
            <w:tcW w:w="2620" w:type="dxa"/>
            <w:vAlign w:val="bottom"/>
          </w:tcPr>
          <w:p>
            <w:pPr>
              <w:ind w:left="20"/>
              <w:spacing w:after="0"/>
              <w:rPr>
                <w:sz w:val="20"/>
                <w:szCs w:val="20"/>
                <w:color w:val="auto"/>
              </w:rPr>
            </w:pPr>
            <w:r>
              <w:rPr>
                <w:rFonts w:ascii="Arial" w:cs="Arial" w:eastAsia="Arial" w:hAnsi="Arial"/>
                <w:sz w:val="14"/>
                <w:szCs w:val="14"/>
                <w:color w:val="auto"/>
              </w:rPr>
              <w:t>charge of $2.7 billion in respect of</w:t>
            </w:r>
          </w:p>
        </w:tc>
        <w:tc>
          <w:tcPr>
            <w:tcW w:w="2860" w:type="dxa"/>
            <w:vAlign w:val="bottom"/>
          </w:tcPr>
          <w:p>
            <w:pPr>
              <w:ind w:left="80"/>
              <w:spacing w:after="0"/>
              <w:rPr>
                <w:sz w:val="20"/>
                <w:szCs w:val="20"/>
                <w:color w:val="auto"/>
              </w:rPr>
            </w:pPr>
            <w:r>
              <w:rPr>
                <w:rFonts w:ascii="Arial" w:cs="Arial" w:eastAsia="Arial" w:hAnsi="Arial"/>
                <w:sz w:val="14"/>
                <w:szCs w:val="14"/>
                <w:color w:val="auto"/>
              </w:rPr>
              <w:t>those assets expected to be retained in the</w:t>
            </w:r>
          </w:p>
        </w:tc>
        <w:tc>
          <w:tcPr>
            <w:tcW w:w="0" w:type="dxa"/>
            <w:vAlign w:val="bottom"/>
          </w:tcPr>
          <w:p>
            <w:pPr>
              <w:spacing w:after="0"/>
              <w:rPr>
                <w:sz w:val="1"/>
                <w:szCs w:val="1"/>
                <w:color w:val="auto"/>
              </w:rPr>
            </w:pPr>
          </w:p>
        </w:tc>
      </w:tr>
      <w:tr>
        <w:trPr>
          <w:trHeight w:val="162"/>
        </w:trPr>
        <w:tc>
          <w:tcPr>
            <w:tcW w:w="2620" w:type="dxa"/>
            <w:vAlign w:val="bottom"/>
          </w:tcPr>
          <w:p>
            <w:pPr>
              <w:ind w:left="20"/>
              <w:spacing w:after="0"/>
              <w:rPr>
                <w:sz w:val="20"/>
                <w:szCs w:val="20"/>
                <w:color w:val="auto"/>
              </w:rPr>
            </w:pPr>
            <w:r>
              <w:rPr>
                <w:rFonts w:ascii="Arial" w:cs="Arial" w:eastAsia="Arial" w:hAnsi="Arial"/>
                <w:sz w:val="14"/>
                <w:szCs w:val="14"/>
                <w:color w:val="auto"/>
              </w:rPr>
              <w:t>certain tight-gas assets in the Upstream</w:t>
            </w:r>
          </w:p>
        </w:tc>
        <w:tc>
          <w:tcPr>
            <w:tcW w:w="2860" w:type="dxa"/>
            <w:vAlign w:val="bottom"/>
          </w:tcPr>
          <w:p>
            <w:pPr>
              <w:ind w:left="80"/>
              <w:spacing w:after="0"/>
              <w:rPr>
                <w:sz w:val="20"/>
                <w:szCs w:val="20"/>
                <w:color w:val="auto"/>
              </w:rPr>
            </w:pPr>
            <w:r>
              <w:rPr>
                <w:rFonts w:ascii="Arial" w:cs="Arial" w:eastAsia="Arial" w:hAnsi="Arial"/>
                <w:sz w:val="14"/>
                <w:szCs w:val="14"/>
                <w:color w:val="auto"/>
              </w:rPr>
              <w:t>portfolio, we checked the mathematical</w:t>
            </w:r>
          </w:p>
        </w:tc>
        <w:tc>
          <w:tcPr>
            <w:tcW w:w="0" w:type="dxa"/>
            <w:vAlign w:val="bottom"/>
          </w:tcPr>
          <w:p>
            <w:pPr>
              <w:spacing w:after="0"/>
              <w:rPr>
                <w:sz w:val="1"/>
                <w:szCs w:val="1"/>
                <w:color w:val="auto"/>
              </w:rPr>
            </w:pPr>
          </w:p>
        </w:tc>
      </w:tr>
      <w:tr>
        <w:trPr>
          <w:trHeight w:val="162"/>
        </w:trPr>
        <w:tc>
          <w:tcPr>
            <w:tcW w:w="2620" w:type="dxa"/>
            <w:vAlign w:val="bottom"/>
          </w:tcPr>
          <w:p>
            <w:pPr>
              <w:ind w:left="20"/>
              <w:spacing w:after="0"/>
              <w:rPr>
                <w:sz w:val="20"/>
                <w:szCs w:val="20"/>
                <w:color w:val="auto"/>
              </w:rPr>
            </w:pPr>
            <w:r>
              <w:rPr>
                <w:rFonts w:ascii="Arial" w:cs="Arial" w:eastAsia="Arial" w:hAnsi="Arial"/>
                <w:sz w:val="14"/>
                <w:szCs w:val="14"/>
                <w:color w:val="auto"/>
              </w:rPr>
              <w:t>Americas portfolio.</w:t>
            </w:r>
          </w:p>
        </w:tc>
        <w:tc>
          <w:tcPr>
            <w:tcW w:w="2860" w:type="dxa"/>
            <w:vAlign w:val="bottom"/>
          </w:tcPr>
          <w:p>
            <w:pPr>
              <w:ind w:left="80"/>
              <w:spacing w:after="0"/>
              <w:rPr>
                <w:sz w:val="20"/>
                <w:szCs w:val="20"/>
                <w:color w:val="auto"/>
              </w:rPr>
            </w:pPr>
            <w:r>
              <w:rPr>
                <w:rFonts w:ascii="Arial" w:cs="Arial" w:eastAsia="Arial" w:hAnsi="Arial"/>
                <w:sz w:val="14"/>
                <w:szCs w:val="14"/>
                <w:color w:val="auto"/>
              </w:rPr>
              <w:t>accuracy of management’s risk-adjusted</w:t>
            </w:r>
          </w:p>
        </w:tc>
        <w:tc>
          <w:tcPr>
            <w:tcW w:w="0" w:type="dxa"/>
            <w:vAlign w:val="bottom"/>
          </w:tcPr>
          <w:p>
            <w:pPr>
              <w:spacing w:after="0"/>
              <w:rPr>
                <w:sz w:val="1"/>
                <w:szCs w:val="1"/>
                <w:color w:val="auto"/>
              </w:rPr>
            </w:pPr>
          </w:p>
        </w:tc>
      </w:tr>
      <w:tr>
        <w:trPr>
          <w:trHeight w:val="162"/>
        </w:trPr>
        <w:tc>
          <w:tcPr>
            <w:tcW w:w="2620" w:type="dxa"/>
            <w:vAlign w:val="bottom"/>
          </w:tcPr>
          <w:p>
            <w:pPr>
              <w:spacing w:after="0"/>
              <w:rPr>
                <w:sz w:val="14"/>
                <w:szCs w:val="14"/>
                <w:color w:val="auto"/>
              </w:rPr>
            </w:pPr>
          </w:p>
        </w:tc>
        <w:tc>
          <w:tcPr>
            <w:tcW w:w="2860" w:type="dxa"/>
            <w:vAlign w:val="bottom"/>
          </w:tcPr>
          <w:p>
            <w:pPr>
              <w:ind w:left="80"/>
              <w:spacing w:after="0"/>
              <w:rPr>
                <w:sz w:val="20"/>
                <w:szCs w:val="20"/>
                <w:color w:val="auto"/>
              </w:rPr>
            </w:pPr>
            <w:r>
              <w:rPr>
                <w:rFonts w:ascii="Arial" w:cs="Arial" w:eastAsia="Arial" w:hAnsi="Arial"/>
                <w:sz w:val="14"/>
                <w:szCs w:val="14"/>
                <w:color w:val="auto"/>
              </w:rPr>
              <w:t>cash flow model on the value-in-use basis,</w:t>
            </w:r>
          </w:p>
        </w:tc>
        <w:tc>
          <w:tcPr>
            <w:tcW w:w="0" w:type="dxa"/>
            <w:vAlign w:val="bottom"/>
          </w:tcPr>
          <w:p>
            <w:pPr>
              <w:spacing w:after="0"/>
              <w:rPr>
                <w:sz w:val="1"/>
                <w:szCs w:val="1"/>
                <w:color w:val="auto"/>
              </w:rPr>
            </w:pPr>
          </w:p>
        </w:tc>
      </w:tr>
      <w:tr>
        <w:trPr>
          <w:trHeight w:val="162"/>
        </w:trPr>
        <w:tc>
          <w:tcPr>
            <w:tcW w:w="2620" w:type="dxa"/>
            <w:vAlign w:val="bottom"/>
          </w:tcPr>
          <w:p>
            <w:pPr>
              <w:spacing w:after="0"/>
              <w:rPr>
                <w:sz w:val="14"/>
                <w:szCs w:val="14"/>
                <w:color w:val="auto"/>
              </w:rPr>
            </w:pPr>
          </w:p>
        </w:tc>
        <w:tc>
          <w:tcPr>
            <w:tcW w:w="2860" w:type="dxa"/>
            <w:vAlign w:val="bottom"/>
          </w:tcPr>
          <w:p>
            <w:pPr>
              <w:ind w:left="80"/>
              <w:spacing w:after="0"/>
              <w:rPr>
                <w:sz w:val="20"/>
                <w:szCs w:val="20"/>
                <w:color w:val="auto"/>
              </w:rPr>
            </w:pPr>
            <w:r>
              <w:rPr>
                <w:rFonts w:ascii="Arial" w:cs="Arial" w:eastAsia="Arial" w:hAnsi="Arial"/>
                <w:sz w:val="14"/>
                <w:szCs w:val="14"/>
                <w:color w:val="auto"/>
              </w:rPr>
              <w:t>confirmed that the oil or gas reserves</w:t>
            </w:r>
          </w:p>
        </w:tc>
        <w:tc>
          <w:tcPr>
            <w:tcW w:w="0" w:type="dxa"/>
            <w:vAlign w:val="bottom"/>
          </w:tcPr>
          <w:p>
            <w:pPr>
              <w:spacing w:after="0"/>
              <w:rPr>
                <w:sz w:val="1"/>
                <w:szCs w:val="1"/>
                <w:color w:val="auto"/>
              </w:rPr>
            </w:pPr>
          </w:p>
        </w:tc>
      </w:tr>
      <w:tr>
        <w:trPr>
          <w:trHeight w:val="162"/>
        </w:trPr>
        <w:tc>
          <w:tcPr>
            <w:tcW w:w="2620" w:type="dxa"/>
            <w:vAlign w:val="bottom"/>
          </w:tcPr>
          <w:p>
            <w:pPr>
              <w:spacing w:after="0"/>
              <w:rPr>
                <w:sz w:val="14"/>
                <w:szCs w:val="14"/>
                <w:color w:val="auto"/>
              </w:rPr>
            </w:pPr>
          </w:p>
        </w:tc>
        <w:tc>
          <w:tcPr>
            <w:tcW w:w="2860" w:type="dxa"/>
            <w:vAlign w:val="bottom"/>
          </w:tcPr>
          <w:p>
            <w:pPr>
              <w:ind w:left="80"/>
              <w:spacing w:after="0"/>
              <w:rPr>
                <w:sz w:val="20"/>
                <w:szCs w:val="20"/>
                <w:color w:val="auto"/>
              </w:rPr>
            </w:pPr>
            <w:r>
              <w:rPr>
                <w:rFonts w:ascii="Arial" w:cs="Arial" w:eastAsia="Arial" w:hAnsi="Arial"/>
                <w:sz w:val="14"/>
                <w:szCs w:val="14"/>
                <w:color w:val="auto"/>
              </w:rPr>
              <w:t>incorporated into the model were</w:t>
            </w:r>
          </w:p>
        </w:tc>
        <w:tc>
          <w:tcPr>
            <w:tcW w:w="0" w:type="dxa"/>
            <w:vAlign w:val="bottom"/>
          </w:tcPr>
          <w:p>
            <w:pPr>
              <w:spacing w:after="0"/>
              <w:rPr>
                <w:sz w:val="1"/>
                <w:szCs w:val="1"/>
                <w:color w:val="auto"/>
              </w:rPr>
            </w:pPr>
          </w:p>
        </w:tc>
      </w:tr>
      <w:tr>
        <w:trPr>
          <w:trHeight w:val="162"/>
        </w:trPr>
        <w:tc>
          <w:tcPr>
            <w:tcW w:w="2620" w:type="dxa"/>
            <w:vAlign w:val="bottom"/>
          </w:tcPr>
          <w:p>
            <w:pPr>
              <w:spacing w:after="0"/>
              <w:rPr>
                <w:sz w:val="14"/>
                <w:szCs w:val="14"/>
                <w:color w:val="auto"/>
              </w:rPr>
            </w:pPr>
          </w:p>
        </w:tc>
        <w:tc>
          <w:tcPr>
            <w:tcW w:w="2860" w:type="dxa"/>
            <w:vAlign w:val="bottom"/>
          </w:tcPr>
          <w:p>
            <w:pPr>
              <w:ind w:left="80"/>
              <w:spacing w:after="0"/>
              <w:rPr>
                <w:sz w:val="20"/>
                <w:szCs w:val="20"/>
                <w:color w:val="auto"/>
              </w:rPr>
            </w:pPr>
            <w:r>
              <w:rPr>
                <w:rFonts w:ascii="Arial" w:cs="Arial" w:eastAsia="Arial" w:hAnsi="Arial"/>
                <w:sz w:val="14"/>
                <w:szCs w:val="14"/>
                <w:color w:val="auto"/>
              </w:rPr>
              <w:t>consistent with the estimates prepared by</w:t>
            </w:r>
          </w:p>
        </w:tc>
        <w:tc>
          <w:tcPr>
            <w:tcW w:w="0" w:type="dxa"/>
            <w:vAlign w:val="bottom"/>
          </w:tcPr>
          <w:p>
            <w:pPr>
              <w:spacing w:after="0"/>
              <w:rPr>
                <w:sz w:val="1"/>
                <w:szCs w:val="1"/>
                <w:color w:val="auto"/>
              </w:rPr>
            </w:pPr>
          </w:p>
        </w:tc>
      </w:tr>
      <w:tr>
        <w:trPr>
          <w:trHeight w:val="162"/>
        </w:trPr>
        <w:tc>
          <w:tcPr>
            <w:tcW w:w="2620" w:type="dxa"/>
            <w:vAlign w:val="bottom"/>
          </w:tcPr>
          <w:p>
            <w:pPr>
              <w:spacing w:after="0"/>
              <w:rPr>
                <w:sz w:val="14"/>
                <w:szCs w:val="14"/>
                <w:color w:val="auto"/>
              </w:rPr>
            </w:pPr>
          </w:p>
        </w:tc>
        <w:tc>
          <w:tcPr>
            <w:tcW w:w="2860" w:type="dxa"/>
            <w:vAlign w:val="bottom"/>
          </w:tcPr>
          <w:p>
            <w:pPr>
              <w:ind w:left="80"/>
              <w:spacing w:after="0"/>
              <w:rPr>
                <w:sz w:val="20"/>
                <w:szCs w:val="20"/>
                <w:color w:val="auto"/>
              </w:rPr>
            </w:pPr>
            <w:r>
              <w:rPr>
                <w:rFonts w:ascii="Arial" w:cs="Arial" w:eastAsia="Arial" w:hAnsi="Arial"/>
                <w:sz w:val="14"/>
                <w:szCs w:val="14"/>
                <w:color w:val="auto"/>
              </w:rPr>
              <w:t>reservoir engineers, and assessed the</w:t>
            </w:r>
          </w:p>
        </w:tc>
        <w:tc>
          <w:tcPr>
            <w:tcW w:w="0" w:type="dxa"/>
            <w:vAlign w:val="bottom"/>
          </w:tcPr>
          <w:p>
            <w:pPr>
              <w:spacing w:after="0"/>
              <w:rPr>
                <w:sz w:val="1"/>
                <w:szCs w:val="1"/>
                <w:color w:val="auto"/>
              </w:rPr>
            </w:pPr>
          </w:p>
        </w:tc>
      </w:tr>
      <w:tr>
        <w:trPr>
          <w:trHeight w:val="162"/>
        </w:trPr>
        <w:tc>
          <w:tcPr>
            <w:tcW w:w="2620" w:type="dxa"/>
            <w:vAlign w:val="bottom"/>
          </w:tcPr>
          <w:p>
            <w:pPr>
              <w:spacing w:after="0"/>
              <w:rPr>
                <w:sz w:val="14"/>
                <w:szCs w:val="14"/>
                <w:color w:val="auto"/>
              </w:rPr>
            </w:pPr>
          </w:p>
        </w:tc>
        <w:tc>
          <w:tcPr>
            <w:tcW w:w="2860" w:type="dxa"/>
            <w:vAlign w:val="bottom"/>
          </w:tcPr>
          <w:p>
            <w:pPr>
              <w:ind w:left="80"/>
              <w:spacing w:after="0"/>
              <w:rPr>
                <w:sz w:val="20"/>
                <w:szCs w:val="20"/>
                <w:color w:val="auto"/>
              </w:rPr>
            </w:pPr>
            <w:r>
              <w:rPr>
                <w:rFonts w:ascii="Arial" w:cs="Arial" w:eastAsia="Arial" w:hAnsi="Arial"/>
                <w:sz w:val="14"/>
                <w:szCs w:val="14"/>
                <w:color w:val="auto"/>
              </w:rPr>
              <w:t>reasonableness of the probability weighting</w:t>
            </w:r>
          </w:p>
        </w:tc>
        <w:tc>
          <w:tcPr>
            <w:tcW w:w="0" w:type="dxa"/>
            <w:vAlign w:val="bottom"/>
          </w:tcPr>
          <w:p>
            <w:pPr>
              <w:spacing w:after="0"/>
              <w:rPr>
                <w:sz w:val="1"/>
                <w:szCs w:val="1"/>
                <w:color w:val="auto"/>
              </w:rPr>
            </w:pPr>
          </w:p>
        </w:tc>
      </w:tr>
      <w:tr>
        <w:trPr>
          <w:trHeight w:val="162"/>
        </w:trPr>
        <w:tc>
          <w:tcPr>
            <w:tcW w:w="2620" w:type="dxa"/>
            <w:vAlign w:val="bottom"/>
          </w:tcPr>
          <w:p>
            <w:pPr>
              <w:spacing w:after="0"/>
              <w:rPr>
                <w:sz w:val="14"/>
                <w:szCs w:val="14"/>
                <w:color w:val="auto"/>
              </w:rPr>
            </w:pPr>
          </w:p>
        </w:tc>
        <w:tc>
          <w:tcPr>
            <w:tcW w:w="2860" w:type="dxa"/>
            <w:vAlign w:val="bottom"/>
          </w:tcPr>
          <w:p>
            <w:pPr>
              <w:ind w:left="80"/>
              <w:spacing w:after="0"/>
              <w:rPr>
                <w:sz w:val="20"/>
                <w:szCs w:val="20"/>
                <w:color w:val="auto"/>
              </w:rPr>
            </w:pPr>
            <w:r>
              <w:rPr>
                <w:rFonts w:ascii="Arial" w:cs="Arial" w:eastAsia="Arial" w:hAnsi="Arial"/>
                <w:sz w:val="14"/>
                <w:szCs w:val="14"/>
                <w:color w:val="auto"/>
              </w:rPr>
              <w:t>assigned to potential scenarios. We found</w:t>
            </w:r>
          </w:p>
        </w:tc>
        <w:tc>
          <w:tcPr>
            <w:tcW w:w="0" w:type="dxa"/>
            <w:vAlign w:val="bottom"/>
          </w:tcPr>
          <w:p>
            <w:pPr>
              <w:spacing w:after="0"/>
              <w:rPr>
                <w:sz w:val="1"/>
                <w:szCs w:val="1"/>
                <w:color w:val="auto"/>
              </w:rPr>
            </w:pPr>
          </w:p>
        </w:tc>
      </w:tr>
      <w:tr>
        <w:trPr>
          <w:trHeight w:val="162"/>
        </w:trPr>
        <w:tc>
          <w:tcPr>
            <w:tcW w:w="2620" w:type="dxa"/>
            <w:vAlign w:val="bottom"/>
          </w:tcPr>
          <w:p>
            <w:pPr>
              <w:spacing w:after="0"/>
              <w:rPr>
                <w:sz w:val="14"/>
                <w:szCs w:val="14"/>
                <w:color w:val="auto"/>
              </w:rPr>
            </w:pPr>
          </w:p>
        </w:tc>
        <w:tc>
          <w:tcPr>
            <w:tcW w:w="2860" w:type="dxa"/>
            <w:vAlign w:val="bottom"/>
          </w:tcPr>
          <w:p>
            <w:pPr>
              <w:ind w:left="80"/>
              <w:spacing w:after="0"/>
              <w:rPr>
                <w:sz w:val="20"/>
                <w:szCs w:val="20"/>
                <w:color w:val="auto"/>
              </w:rPr>
            </w:pPr>
            <w:r>
              <w:rPr>
                <w:rFonts w:ascii="Arial" w:cs="Arial" w:eastAsia="Arial" w:hAnsi="Arial"/>
                <w:sz w:val="14"/>
                <w:szCs w:val="14"/>
                <w:color w:val="auto"/>
              </w:rPr>
              <w:t>these models to be consistent with the</w:t>
            </w:r>
          </w:p>
        </w:tc>
        <w:tc>
          <w:tcPr>
            <w:tcW w:w="0" w:type="dxa"/>
            <w:vAlign w:val="bottom"/>
          </w:tcPr>
          <w:p>
            <w:pPr>
              <w:spacing w:after="0"/>
              <w:rPr>
                <w:sz w:val="1"/>
                <w:szCs w:val="1"/>
                <w:color w:val="auto"/>
              </w:rPr>
            </w:pPr>
          </w:p>
        </w:tc>
      </w:tr>
      <w:tr>
        <w:trPr>
          <w:trHeight w:val="162"/>
        </w:trPr>
        <w:tc>
          <w:tcPr>
            <w:tcW w:w="2620" w:type="dxa"/>
            <w:vAlign w:val="bottom"/>
          </w:tcPr>
          <w:p>
            <w:pPr>
              <w:spacing w:after="0"/>
              <w:rPr>
                <w:sz w:val="14"/>
                <w:szCs w:val="14"/>
                <w:color w:val="auto"/>
              </w:rPr>
            </w:pPr>
          </w:p>
        </w:tc>
        <w:tc>
          <w:tcPr>
            <w:tcW w:w="2860" w:type="dxa"/>
            <w:vAlign w:val="bottom"/>
          </w:tcPr>
          <w:p>
            <w:pPr>
              <w:ind w:left="80"/>
              <w:spacing w:after="0"/>
              <w:rPr>
                <w:sz w:val="20"/>
                <w:szCs w:val="20"/>
                <w:color w:val="auto"/>
              </w:rPr>
            </w:pPr>
            <w:r>
              <w:rPr>
                <w:rFonts w:ascii="Arial" w:cs="Arial" w:eastAsia="Arial" w:hAnsi="Arial"/>
                <w:sz w:val="14"/>
                <w:szCs w:val="14"/>
                <w:color w:val="auto"/>
              </w:rPr>
              <w:t>value-in-use approach defined in IFRS and</w:t>
            </w:r>
          </w:p>
        </w:tc>
        <w:tc>
          <w:tcPr>
            <w:tcW w:w="0" w:type="dxa"/>
            <w:vAlign w:val="bottom"/>
          </w:tcPr>
          <w:p>
            <w:pPr>
              <w:spacing w:after="0"/>
              <w:rPr>
                <w:sz w:val="1"/>
                <w:szCs w:val="1"/>
                <w:color w:val="auto"/>
              </w:rPr>
            </w:pPr>
          </w:p>
        </w:tc>
      </w:tr>
      <w:tr>
        <w:trPr>
          <w:trHeight w:val="162"/>
        </w:trPr>
        <w:tc>
          <w:tcPr>
            <w:tcW w:w="2620" w:type="dxa"/>
            <w:vAlign w:val="bottom"/>
          </w:tcPr>
          <w:p>
            <w:pPr>
              <w:spacing w:after="0"/>
              <w:rPr>
                <w:sz w:val="14"/>
                <w:szCs w:val="14"/>
                <w:color w:val="auto"/>
              </w:rPr>
            </w:pPr>
          </w:p>
        </w:tc>
        <w:tc>
          <w:tcPr>
            <w:tcW w:w="2860" w:type="dxa"/>
            <w:vAlign w:val="bottom"/>
          </w:tcPr>
          <w:p>
            <w:pPr>
              <w:ind w:left="80"/>
              <w:spacing w:after="0"/>
              <w:rPr>
                <w:sz w:val="20"/>
                <w:szCs w:val="20"/>
                <w:color w:val="auto"/>
              </w:rPr>
            </w:pPr>
            <w:r>
              <w:rPr>
                <w:rFonts w:ascii="Arial" w:cs="Arial" w:eastAsia="Arial" w:hAnsi="Arial"/>
                <w:sz w:val="14"/>
                <w:szCs w:val="14"/>
                <w:color w:val="auto"/>
              </w:rPr>
              <w:t>management’s asset-specific business</w:t>
            </w:r>
          </w:p>
        </w:tc>
        <w:tc>
          <w:tcPr>
            <w:tcW w:w="0" w:type="dxa"/>
            <w:vAlign w:val="bottom"/>
          </w:tcPr>
          <w:p>
            <w:pPr>
              <w:spacing w:after="0"/>
              <w:rPr>
                <w:sz w:val="1"/>
                <w:szCs w:val="1"/>
                <w:color w:val="auto"/>
              </w:rPr>
            </w:pPr>
          </w:p>
        </w:tc>
      </w:tr>
      <w:tr>
        <w:trPr>
          <w:trHeight w:val="172"/>
        </w:trPr>
        <w:tc>
          <w:tcPr>
            <w:tcW w:w="2620" w:type="dxa"/>
            <w:vAlign w:val="bottom"/>
          </w:tcPr>
          <w:p>
            <w:pPr>
              <w:spacing w:after="0"/>
              <w:rPr>
                <w:sz w:val="14"/>
                <w:szCs w:val="14"/>
                <w:color w:val="auto"/>
              </w:rPr>
            </w:pPr>
          </w:p>
        </w:tc>
        <w:tc>
          <w:tcPr>
            <w:tcW w:w="2860" w:type="dxa"/>
            <w:vAlign w:val="bottom"/>
          </w:tcPr>
          <w:p>
            <w:pPr>
              <w:ind w:left="80"/>
              <w:spacing w:after="0"/>
              <w:rPr>
                <w:sz w:val="20"/>
                <w:szCs w:val="20"/>
                <w:color w:val="auto"/>
              </w:rPr>
            </w:pPr>
            <w:r>
              <w:rPr>
                <w:rFonts w:ascii="Arial" w:cs="Arial" w:eastAsia="Arial" w:hAnsi="Arial"/>
                <w:sz w:val="14"/>
                <w:szCs w:val="14"/>
                <w:color w:val="auto"/>
              </w:rPr>
              <w:t>plans.</w:t>
            </w:r>
          </w:p>
        </w:tc>
        <w:tc>
          <w:tcPr>
            <w:tcW w:w="0" w:type="dxa"/>
            <w:vAlign w:val="bottom"/>
          </w:tcPr>
          <w:p>
            <w:pPr>
              <w:spacing w:after="0"/>
              <w:rPr>
                <w:sz w:val="1"/>
                <w:szCs w:val="1"/>
                <w:color w:val="auto"/>
              </w:rPr>
            </w:pPr>
          </w:p>
        </w:tc>
      </w:tr>
      <w:tr>
        <w:trPr>
          <w:trHeight w:val="368"/>
        </w:trPr>
        <w:tc>
          <w:tcPr>
            <w:tcW w:w="2620" w:type="dxa"/>
            <w:vAlign w:val="bottom"/>
          </w:tcPr>
          <w:p>
            <w:pPr>
              <w:spacing w:after="0"/>
              <w:rPr>
                <w:sz w:val="24"/>
                <w:szCs w:val="24"/>
                <w:color w:val="auto"/>
              </w:rPr>
            </w:pPr>
          </w:p>
        </w:tc>
        <w:tc>
          <w:tcPr>
            <w:tcW w:w="2860" w:type="dxa"/>
            <w:vAlign w:val="bottom"/>
          </w:tcPr>
          <w:p>
            <w:pPr>
              <w:ind w:left="80"/>
              <w:spacing w:after="0"/>
              <w:rPr>
                <w:sz w:val="20"/>
                <w:szCs w:val="20"/>
                <w:color w:val="auto"/>
              </w:rPr>
            </w:pPr>
            <w:r>
              <w:rPr>
                <w:rFonts w:ascii="Arial" w:cs="Arial" w:eastAsia="Arial" w:hAnsi="Arial"/>
                <w:sz w:val="14"/>
                <w:szCs w:val="14"/>
                <w:color w:val="auto"/>
              </w:rPr>
              <w:t>For those assets which were being actively</w:t>
            </w:r>
          </w:p>
        </w:tc>
        <w:tc>
          <w:tcPr>
            <w:tcW w:w="0" w:type="dxa"/>
            <w:vAlign w:val="bottom"/>
          </w:tcPr>
          <w:p>
            <w:pPr>
              <w:spacing w:after="0"/>
              <w:rPr>
                <w:sz w:val="1"/>
                <w:szCs w:val="1"/>
                <w:color w:val="auto"/>
              </w:rPr>
            </w:pPr>
          </w:p>
        </w:tc>
      </w:tr>
      <w:tr>
        <w:trPr>
          <w:trHeight w:val="162"/>
        </w:trPr>
        <w:tc>
          <w:tcPr>
            <w:tcW w:w="2620" w:type="dxa"/>
            <w:vAlign w:val="bottom"/>
          </w:tcPr>
          <w:p>
            <w:pPr>
              <w:spacing w:after="0"/>
              <w:rPr>
                <w:sz w:val="14"/>
                <w:szCs w:val="14"/>
                <w:color w:val="auto"/>
              </w:rPr>
            </w:pPr>
          </w:p>
        </w:tc>
        <w:tc>
          <w:tcPr>
            <w:tcW w:w="2860" w:type="dxa"/>
            <w:vAlign w:val="bottom"/>
          </w:tcPr>
          <w:p>
            <w:pPr>
              <w:ind w:left="80"/>
              <w:spacing w:after="0"/>
              <w:rPr>
                <w:sz w:val="20"/>
                <w:szCs w:val="20"/>
                <w:color w:val="auto"/>
              </w:rPr>
            </w:pPr>
            <w:r>
              <w:rPr>
                <w:rFonts w:ascii="Arial" w:cs="Arial" w:eastAsia="Arial" w:hAnsi="Arial"/>
                <w:sz w:val="14"/>
                <w:szCs w:val="14"/>
                <w:color w:val="auto"/>
              </w:rPr>
              <w:t>marketed, the impairment assessment was</w:t>
            </w:r>
          </w:p>
        </w:tc>
        <w:tc>
          <w:tcPr>
            <w:tcW w:w="0" w:type="dxa"/>
            <w:vAlign w:val="bottom"/>
          </w:tcPr>
          <w:p>
            <w:pPr>
              <w:spacing w:after="0"/>
              <w:rPr>
                <w:sz w:val="1"/>
                <w:szCs w:val="1"/>
                <w:color w:val="auto"/>
              </w:rPr>
            </w:pPr>
          </w:p>
        </w:tc>
      </w:tr>
      <w:tr>
        <w:trPr>
          <w:trHeight w:val="162"/>
        </w:trPr>
        <w:tc>
          <w:tcPr>
            <w:tcW w:w="2620" w:type="dxa"/>
            <w:vAlign w:val="bottom"/>
          </w:tcPr>
          <w:p>
            <w:pPr>
              <w:spacing w:after="0"/>
              <w:rPr>
                <w:sz w:val="14"/>
                <w:szCs w:val="14"/>
                <w:color w:val="auto"/>
              </w:rPr>
            </w:pPr>
          </w:p>
        </w:tc>
        <w:tc>
          <w:tcPr>
            <w:tcW w:w="2860" w:type="dxa"/>
            <w:vAlign w:val="bottom"/>
          </w:tcPr>
          <w:p>
            <w:pPr>
              <w:ind w:left="80"/>
              <w:spacing w:after="0"/>
              <w:rPr>
                <w:sz w:val="20"/>
                <w:szCs w:val="20"/>
                <w:color w:val="auto"/>
              </w:rPr>
            </w:pPr>
            <w:r>
              <w:rPr>
                <w:rFonts w:ascii="Arial" w:cs="Arial" w:eastAsia="Arial" w:hAnsi="Arial"/>
                <w:sz w:val="14"/>
                <w:szCs w:val="14"/>
                <w:color w:val="auto"/>
              </w:rPr>
              <w:t>performed on the fair value less cost to sell</w:t>
            </w:r>
          </w:p>
        </w:tc>
        <w:tc>
          <w:tcPr>
            <w:tcW w:w="0" w:type="dxa"/>
            <w:vAlign w:val="bottom"/>
          </w:tcPr>
          <w:p>
            <w:pPr>
              <w:spacing w:after="0"/>
              <w:rPr>
                <w:sz w:val="1"/>
                <w:szCs w:val="1"/>
                <w:color w:val="auto"/>
              </w:rPr>
            </w:pPr>
          </w:p>
        </w:tc>
      </w:tr>
      <w:tr>
        <w:trPr>
          <w:trHeight w:val="162"/>
        </w:trPr>
        <w:tc>
          <w:tcPr>
            <w:tcW w:w="2620" w:type="dxa"/>
            <w:vAlign w:val="bottom"/>
          </w:tcPr>
          <w:p>
            <w:pPr>
              <w:spacing w:after="0"/>
              <w:rPr>
                <w:sz w:val="14"/>
                <w:szCs w:val="14"/>
                <w:color w:val="auto"/>
              </w:rPr>
            </w:pPr>
          </w:p>
        </w:tc>
        <w:tc>
          <w:tcPr>
            <w:tcW w:w="2860" w:type="dxa"/>
            <w:vAlign w:val="bottom"/>
          </w:tcPr>
          <w:p>
            <w:pPr>
              <w:ind w:left="80"/>
              <w:spacing w:after="0"/>
              <w:rPr>
                <w:sz w:val="20"/>
                <w:szCs w:val="20"/>
                <w:color w:val="auto"/>
              </w:rPr>
            </w:pPr>
            <w:r>
              <w:rPr>
                <w:rFonts w:ascii="Arial" w:cs="Arial" w:eastAsia="Arial" w:hAnsi="Arial"/>
                <w:sz w:val="14"/>
                <w:szCs w:val="14"/>
                <w:color w:val="auto"/>
              </w:rPr>
              <w:t>basis, with the fair value corroborated by</w:t>
            </w:r>
          </w:p>
        </w:tc>
        <w:tc>
          <w:tcPr>
            <w:tcW w:w="0" w:type="dxa"/>
            <w:vAlign w:val="bottom"/>
          </w:tcPr>
          <w:p>
            <w:pPr>
              <w:spacing w:after="0"/>
              <w:rPr>
                <w:sz w:val="1"/>
                <w:szCs w:val="1"/>
                <w:color w:val="auto"/>
              </w:rPr>
            </w:pPr>
          </w:p>
        </w:tc>
      </w:tr>
      <w:tr>
        <w:trPr>
          <w:trHeight w:val="171"/>
        </w:trPr>
        <w:tc>
          <w:tcPr>
            <w:tcW w:w="2620" w:type="dxa"/>
            <w:vAlign w:val="bottom"/>
            <w:tcBorders>
              <w:bottom w:val="single" w:sz="8" w:color="auto"/>
            </w:tcBorders>
          </w:tcPr>
          <w:p>
            <w:pPr>
              <w:spacing w:after="0"/>
              <w:rPr>
                <w:sz w:val="14"/>
                <w:szCs w:val="14"/>
                <w:color w:val="auto"/>
              </w:rPr>
            </w:pPr>
          </w:p>
        </w:tc>
        <w:tc>
          <w:tcPr>
            <w:tcW w:w="2860" w:type="dxa"/>
            <w:vAlign w:val="bottom"/>
            <w:tcBorders>
              <w:bottom w:val="single" w:sz="8" w:color="auto"/>
            </w:tcBorders>
          </w:tcPr>
          <w:p>
            <w:pPr>
              <w:ind w:left="80"/>
              <w:spacing w:after="0"/>
              <w:rPr>
                <w:sz w:val="20"/>
                <w:szCs w:val="20"/>
                <w:color w:val="auto"/>
              </w:rPr>
            </w:pPr>
            <w:r>
              <w:rPr>
                <w:rFonts w:ascii="Arial" w:cs="Arial" w:eastAsia="Arial" w:hAnsi="Arial"/>
                <w:sz w:val="14"/>
                <w:szCs w:val="14"/>
                <w:color w:val="auto"/>
              </w:rPr>
              <w:t>reference to indicative or final bids.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ind w:right="20"/>
        <w:spacing w:after="0" w:line="243" w:lineRule="auto"/>
        <w:rPr>
          <w:sz w:val="20"/>
          <w:szCs w:val="20"/>
          <w:color w:val="auto"/>
        </w:rPr>
      </w:pPr>
      <w:r>
        <w:rPr>
          <w:rFonts w:ascii="Arial" w:cs="Arial" w:eastAsia="Arial" w:hAnsi="Arial"/>
          <w:sz w:val="14"/>
          <w:szCs w:val="14"/>
          <w:color w:val="auto"/>
        </w:rPr>
        <w:t>Impact of the deterioration in the short-term oil and gas price environment During the second half of 2014, the spot price of Brent crude oil declined approximately 50%, from over $110/b to around $55/b at year end. The market drivers behind this short-term price movement could contribute to a revision in long-term price views which are the key assumption in management’s impairment assessment.</w:t>
      </w:r>
    </w:p>
    <w:p>
      <w:pPr>
        <w:spacing w:after="0" w:line="165" w:lineRule="exact"/>
        <w:rPr>
          <w:sz w:val="20"/>
          <w:szCs w:val="20"/>
          <w:color w:val="auto"/>
        </w:rPr>
      </w:pPr>
    </w:p>
    <w:p>
      <w:pPr>
        <w:ind w:right="20"/>
        <w:spacing w:after="0" w:line="245" w:lineRule="auto"/>
        <w:rPr>
          <w:sz w:val="20"/>
          <w:szCs w:val="20"/>
          <w:color w:val="auto"/>
        </w:rPr>
      </w:pPr>
      <w:r>
        <w:rPr>
          <w:rFonts w:ascii="Arial" w:cs="Arial" w:eastAsia="Arial" w:hAnsi="Arial"/>
          <w:sz w:val="14"/>
          <w:szCs w:val="14"/>
          <w:color w:val="auto"/>
        </w:rPr>
        <w:t>This adverse price movement reflects a current excess of supply over demand, with increased uncertainty regarding the medium and longer-term effects. The key drivers behind the excess supply include:</w:t>
      </w:r>
    </w:p>
    <w:p>
      <w:pPr>
        <w:spacing w:after="0" w:line="367" w:lineRule="exact"/>
        <w:rPr>
          <w:sz w:val="20"/>
          <w:szCs w:val="20"/>
          <w:color w:val="auto"/>
        </w:rPr>
      </w:pPr>
    </w:p>
    <w:p>
      <w:pPr>
        <w:ind w:left="140" w:right="180" w:hanging="136"/>
        <w:spacing w:after="0" w:line="241" w:lineRule="auto"/>
        <w:tabs>
          <w:tab w:leader="none" w:pos="245" w:val="left"/>
        </w:tabs>
        <w:numPr>
          <w:ilvl w:val="0"/>
          <w:numId w:val="122"/>
        </w:numPr>
        <w:rPr>
          <w:rFonts w:ascii="Arial" w:cs="Arial" w:eastAsia="Arial" w:hAnsi="Arial"/>
          <w:sz w:val="12"/>
          <w:szCs w:val="12"/>
          <w:color w:val="auto"/>
        </w:rPr>
      </w:pPr>
      <w:r>
        <w:rPr>
          <w:rFonts w:ascii="Arial" w:cs="Arial" w:eastAsia="Arial" w:hAnsi="Arial"/>
          <w:sz w:val="14"/>
          <w:szCs w:val="14"/>
          <w:color w:val="auto"/>
        </w:rPr>
        <w:t>The OPEC members deciding in November 2014 to maintain current output levels;</w:t>
      </w:r>
    </w:p>
    <w:p>
      <w:pPr>
        <w:spacing w:after="0" w:line="1" w:lineRule="exact"/>
        <w:rPr>
          <w:rFonts w:ascii="Arial" w:cs="Arial" w:eastAsia="Arial" w:hAnsi="Arial"/>
          <w:sz w:val="12"/>
          <w:szCs w:val="12"/>
          <w:color w:val="auto"/>
        </w:rPr>
      </w:pPr>
    </w:p>
    <w:p>
      <w:pPr>
        <w:ind w:left="140" w:right="80" w:hanging="136"/>
        <w:spacing w:after="0" w:line="241" w:lineRule="auto"/>
        <w:tabs>
          <w:tab w:leader="none" w:pos="217" w:val="left"/>
        </w:tabs>
        <w:numPr>
          <w:ilvl w:val="0"/>
          <w:numId w:val="122"/>
        </w:numPr>
        <w:rPr>
          <w:rFonts w:ascii="Arial" w:cs="Arial" w:eastAsia="Arial" w:hAnsi="Arial"/>
          <w:sz w:val="12"/>
          <w:szCs w:val="12"/>
          <w:color w:val="auto"/>
        </w:rPr>
      </w:pPr>
      <w:r>
        <w:rPr>
          <w:rFonts w:ascii="Arial" w:cs="Arial" w:eastAsia="Arial" w:hAnsi="Arial"/>
          <w:sz w:val="14"/>
          <w:szCs w:val="14"/>
          <w:color w:val="auto"/>
        </w:rPr>
        <w:t>Russian oil production rising to a near post-Soviet era high despite the imposition of EU and US sanctions; and</w:t>
      </w:r>
    </w:p>
    <w:p>
      <w:pPr>
        <w:spacing w:after="0" w:line="1" w:lineRule="exact"/>
        <w:rPr>
          <w:rFonts w:ascii="Arial" w:cs="Arial" w:eastAsia="Arial" w:hAnsi="Arial"/>
          <w:sz w:val="12"/>
          <w:szCs w:val="12"/>
          <w:color w:val="auto"/>
        </w:rPr>
      </w:pPr>
    </w:p>
    <w:p>
      <w:pPr>
        <w:ind w:left="140" w:right="20" w:hanging="136"/>
        <w:spacing w:after="0" w:line="250" w:lineRule="auto"/>
        <w:tabs>
          <w:tab w:leader="none" w:pos="217" w:val="left"/>
        </w:tabs>
        <w:numPr>
          <w:ilvl w:val="0"/>
          <w:numId w:val="122"/>
        </w:numPr>
        <w:rPr>
          <w:rFonts w:ascii="Arial" w:cs="Arial" w:eastAsia="Arial" w:hAnsi="Arial"/>
          <w:sz w:val="12"/>
          <w:szCs w:val="12"/>
          <w:color w:val="auto"/>
        </w:rPr>
      </w:pPr>
      <w:r>
        <w:rPr>
          <w:rFonts w:ascii="Arial" w:cs="Arial" w:eastAsia="Arial" w:hAnsi="Arial"/>
          <w:sz w:val="14"/>
          <w:szCs w:val="14"/>
          <w:color w:val="auto"/>
        </w:rPr>
        <w:t>US oil production reaching a 30-year high, predominantly as a result of shale oil.</w:t>
      </w:r>
    </w:p>
    <w:p>
      <w:pPr>
        <w:spacing w:after="0" w:line="199" w:lineRule="exact"/>
        <w:rPr>
          <w:sz w:val="20"/>
          <w:szCs w:val="20"/>
          <w:color w:val="auto"/>
        </w:rPr>
      </w:pPr>
    </w:p>
    <w:p>
      <w:pPr>
        <w:ind w:right="280"/>
        <w:spacing w:after="0" w:line="243" w:lineRule="auto"/>
        <w:rPr>
          <w:sz w:val="20"/>
          <w:szCs w:val="20"/>
          <w:color w:val="auto"/>
        </w:rPr>
      </w:pPr>
      <w:r>
        <w:rPr>
          <w:rFonts w:ascii="Arial" w:cs="Arial" w:eastAsia="Arial" w:hAnsi="Arial"/>
          <w:sz w:val="14"/>
          <w:szCs w:val="14"/>
          <w:color w:val="auto"/>
        </w:rPr>
        <w:t>This strong supply environment has coincided with weakening global demand growth mainly driven by a weaker economic outlook for China, warmer winter weather in Europe, reduced consumption in OECD countries and continued economic uncertainty in the eurozone.</w:t>
      </w:r>
    </w:p>
    <w:p>
      <w:pPr>
        <w:spacing w:after="0" w:line="209" w:lineRule="exact"/>
        <w:rPr>
          <w:sz w:val="20"/>
          <w:szCs w:val="20"/>
          <w:color w:val="auto"/>
        </w:rPr>
      </w:pPr>
    </w:p>
    <w:p>
      <w:pPr>
        <w:spacing w:after="0" w:line="243" w:lineRule="auto"/>
        <w:rPr>
          <w:sz w:val="20"/>
          <w:szCs w:val="20"/>
          <w:color w:val="auto"/>
        </w:rPr>
      </w:pPr>
      <w:r>
        <w:rPr>
          <w:rFonts w:ascii="Arial" w:cs="Arial" w:eastAsia="Arial" w:hAnsi="Arial"/>
          <w:sz w:val="14"/>
          <w:szCs w:val="14"/>
          <w:color w:val="auto"/>
        </w:rPr>
        <w:t>The carrying amounts of exploration and production assets and deferred tax assets are dependent upon the future cash flows and profits of the business. Bearing in mind the long-lived nature of Shell’s assets, the most critical assumptions are the longer-term oil and gas prices, beyond the next three to four years.</w:t>
      </w:r>
    </w:p>
    <w:p>
      <w:pPr>
        <w:spacing w:after="0" w:line="20" w:lineRule="exact"/>
        <w:rPr>
          <w:sz w:val="20"/>
          <w:szCs w:val="20"/>
          <w:color w:val="auto"/>
        </w:rPr>
      </w:pPr>
      <w:r>
        <w:rPr>
          <w:sz w:val="20"/>
          <w:szCs w:val="20"/>
          <w:color w:val="auto"/>
        </w:rPr>
        <w:br w:type="column"/>
      </w:r>
    </w:p>
    <w:p>
      <w:pPr>
        <w:ind w:right="220"/>
        <w:spacing w:after="0" w:line="243" w:lineRule="auto"/>
        <w:rPr>
          <w:sz w:val="20"/>
          <w:szCs w:val="20"/>
          <w:color w:val="auto"/>
        </w:rPr>
      </w:pPr>
      <w:r>
        <w:rPr>
          <w:rFonts w:ascii="Arial" w:cs="Arial" w:eastAsia="Arial" w:hAnsi="Arial"/>
          <w:sz w:val="14"/>
          <w:szCs w:val="14"/>
          <w:color w:val="auto"/>
        </w:rPr>
        <w:t>We compared the short- and long-term price assumptions used by management in their Upstream impairment testing to forward curves at December 31, 2014 and recent forecasts published by brokers, economists, consultancies and respected industry bodies such as the International Energy Agency, which creates a range of relevant third-party data points.</w:t>
      </w:r>
    </w:p>
    <w:p>
      <w:pPr>
        <w:spacing w:after="0" w:line="208" w:lineRule="exact"/>
        <w:rPr>
          <w:sz w:val="20"/>
          <w:szCs w:val="20"/>
          <w:color w:val="auto"/>
        </w:rPr>
      </w:pPr>
    </w:p>
    <w:p>
      <w:pPr>
        <w:ind w:right="240"/>
        <w:spacing w:after="0" w:line="245" w:lineRule="auto"/>
        <w:rPr>
          <w:sz w:val="20"/>
          <w:szCs w:val="20"/>
          <w:color w:val="auto"/>
        </w:rPr>
      </w:pPr>
      <w:r>
        <w:rPr>
          <w:rFonts w:ascii="Arial" w:cs="Arial" w:eastAsia="Arial" w:hAnsi="Arial"/>
          <w:sz w:val="14"/>
          <w:szCs w:val="14"/>
          <w:color w:val="auto"/>
        </w:rPr>
        <w:t>We found that management’s short-term price assumptions were above the forward curve at December 31, 2014 but that this had no material impact on management’s impairment conclusions.</w:t>
      </w:r>
    </w:p>
    <w:p>
      <w:pPr>
        <w:spacing w:after="0" w:line="205" w:lineRule="exact"/>
        <w:rPr>
          <w:sz w:val="20"/>
          <w:szCs w:val="20"/>
          <w:color w:val="auto"/>
        </w:rPr>
      </w:pPr>
    </w:p>
    <w:p>
      <w:pPr>
        <w:ind w:right="220"/>
        <w:spacing w:after="0" w:line="243" w:lineRule="auto"/>
        <w:rPr>
          <w:sz w:val="20"/>
          <w:szCs w:val="20"/>
          <w:color w:val="auto"/>
        </w:rPr>
      </w:pPr>
      <w:r>
        <w:rPr>
          <w:rFonts w:ascii="Arial" w:cs="Arial" w:eastAsia="Arial" w:hAnsi="Arial"/>
          <w:sz w:val="14"/>
          <w:szCs w:val="14"/>
          <w:color w:val="auto"/>
        </w:rPr>
        <w:t>With regard to long-term price assumptions, we considered management’s assessment of the potential effects on the carrying amount of exploration and production assets of a sustained reduction in long-term prices, within the range established by the third-party data points. In particular we focused our work on the Groundbirch tight-gas asset in Canada and concluded that the carrying amount remained supportable in a lower long-term price scenario.</w:t>
      </w:r>
    </w:p>
    <w:p>
      <w:pPr>
        <w:spacing w:after="0" w:line="368" w:lineRule="exact"/>
        <w:rPr>
          <w:sz w:val="20"/>
          <w:szCs w:val="20"/>
          <w:color w:val="auto"/>
        </w:rPr>
      </w:pPr>
    </w:p>
    <w:p>
      <w:pPr>
        <w:ind w:right="220"/>
        <w:spacing w:after="0" w:line="242" w:lineRule="auto"/>
        <w:rPr>
          <w:sz w:val="20"/>
          <w:szCs w:val="20"/>
          <w:color w:val="auto"/>
        </w:rPr>
      </w:pPr>
      <w:r>
        <w:rPr>
          <w:rFonts w:ascii="Arial" w:cs="Arial" w:eastAsia="Arial" w:hAnsi="Arial"/>
          <w:sz w:val="14"/>
          <w:szCs w:val="14"/>
          <w:color w:val="auto"/>
        </w:rPr>
        <w:t>We also considered the impact of the recent price movement on deferred tax assets (as described below) and the valuation of derivatives and inventories. Under IFRS, derivatives are recognised at fair value. We audited the year end valuation, focusing on the key judgements, and identified no material issues. Inventories are recognised at the lower of cost and net realisable value and at year end management recorded write-downs to the carrying amount of inventories. Based on our audit work, we are satisfied that Shell’s inventory balances have been appropriately recorded.</w:t>
      </w:r>
    </w:p>
    <w:p>
      <w:pPr>
        <w:sectPr>
          <w:pgSz w:w="11900" w:h="16838" w:orient="portrait"/>
          <w:cols w:equalWidth="0" w:num="3">
            <w:col w:w="5480" w:space="300"/>
            <w:col w:w="2580" w:space="120"/>
            <w:col w:w="2940"/>
          </w:cols>
          <w:pgMar w:left="240" w:top="459" w:right="239" w:bottom="1440" w:gutter="0" w:footer="0" w:header="0"/>
          <w:type w:val="continuous"/>
        </w:sectPr>
      </w:pPr>
    </w:p>
    <w:bookmarkStart w:id="103" w:name="page104"/>
    <w:bookmarkEnd w:id="103"/>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314960</wp:posOffset>
            </wp:positionV>
            <wp:extent cx="8890" cy="46291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8890" cy="462915"/>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p>
      <w:pPr>
        <w:spacing w:after="0" w:line="200" w:lineRule="exact"/>
        <w:rPr>
          <w:sz w:val="20"/>
          <w:szCs w:val="20"/>
          <w:color w:val="auto"/>
        </w:rPr>
      </w:pP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565"/>
        </w:trPr>
        <w:tc>
          <w:tcPr>
            <w:tcW w:w="1380" w:type="dxa"/>
            <w:vAlign w:val="bottom"/>
            <w:shd w:val="clear" w:color="auto" w:fill="FF8B00"/>
          </w:tcPr>
          <w:p>
            <w:pPr>
              <w:jc w:val="right"/>
              <w:ind w:right="881"/>
              <w:spacing w:after="0"/>
              <w:rPr>
                <w:sz w:val="20"/>
                <w:szCs w:val="20"/>
                <w:color w:val="auto"/>
              </w:rPr>
            </w:pPr>
            <w:r>
              <w:rPr>
                <w:rFonts w:ascii="Arial" w:cs="Arial" w:eastAsia="Arial" w:hAnsi="Arial"/>
                <w:sz w:val="11"/>
                <w:szCs w:val="11"/>
                <w:b w:val="1"/>
                <w:bCs w:val="1"/>
                <w:color w:val="333333"/>
              </w:rPr>
              <w:t>102</w:t>
            </w:r>
          </w:p>
        </w:tc>
        <w:tc>
          <w:tcPr>
            <w:tcW w:w="4200" w:type="dxa"/>
            <w:vAlign w:val="bottom"/>
            <w:gridSpan w:val="2"/>
            <w:shd w:val="clear" w:color="auto" w:fill="FF8B00"/>
          </w:tcPr>
          <w:p>
            <w:pPr>
              <w:jc w:val="right"/>
              <w:ind w:right="800"/>
              <w:spacing w:after="0"/>
              <w:rPr>
                <w:sz w:val="20"/>
                <w:szCs w:val="20"/>
                <w:color w:val="auto"/>
              </w:rPr>
            </w:pPr>
            <w:r>
              <w:rPr>
                <w:rFonts w:ascii="Arial" w:cs="Arial" w:eastAsia="Arial" w:hAnsi="Arial"/>
                <w:sz w:val="13"/>
                <w:szCs w:val="13"/>
                <w:color w:val="333333"/>
              </w:rPr>
              <w:t>FINANCIAL STATEMENTS AND SUPPLEMENTS</w:t>
            </w:r>
          </w:p>
        </w:tc>
        <w:tc>
          <w:tcPr>
            <w:tcW w:w="0" w:type="dxa"/>
            <w:vAlign w:val="bottom"/>
          </w:tcPr>
          <w:p>
            <w:pPr>
              <w:spacing w:after="0"/>
              <w:rPr>
                <w:sz w:val="1"/>
                <w:szCs w:val="1"/>
                <w:color w:val="auto"/>
              </w:rPr>
            </w:pPr>
          </w:p>
        </w:tc>
      </w:tr>
      <w:tr>
        <w:trPr>
          <w:trHeight w:val="165"/>
        </w:trPr>
        <w:tc>
          <w:tcPr>
            <w:tcW w:w="1380" w:type="dxa"/>
            <w:vAlign w:val="bottom"/>
            <w:shd w:val="clear" w:color="auto" w:fill="FF8B00"/>
          </w:tcPr>
          <w:p>
            <w:pPr>
              <w:spacing w:after="0"/>
              <w:rPr>
                <w:sz w:val="14"/>
                <w:szCs w:val="14"/>
                <w:color w:val="auto"/>
              </w:rPr>
            </w:pPr>
          </w:p>
        </w:tc>
        <w:tc>
          <w:tcPr>
            <w:tcW w:w="4100" w:type="dxa"/>
            <w:vAlign w:val="bottom"/>
            <w:shd w:val="clear" w:color="auto" w:fill="FF8B00"/>
          </w:tcPr>
          <w:p>
            <w:pPr>
              <w:spacing w:after="0"/>
              <w:rPr>
                <w:sz w:val="14"/>
                <w:szCs w:val="14"/>
                <w:color w:val="auto"/>
              </w:rPr>
            </w:pPr>
          </w:p>
        </w:tc>
        <w:tc>
          <w:tcPr>
            <w:tcW w:w="100" w:type="dxa"/>
            <w:vAlign w:val="bottom"/>
            <w:shd w:val="clear" w:color="auto" w:fill="FF8B00"/>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1380" w:type="dxa"/>
            <w:vAlign w:val="bottom"/>
          </w:tcPr>
          <w:p>
            <w:pPr>
              <w:spacing w:after="0"/>
              <w:rPr>
                <w:sz w:val="11"/>
                <w:szCs w:val="11"/>
                <w:color w:val="auto"/>
              </w:rPr>
            </w:pPr>
          </w:p>
        </w:tc>
        <w:tc>
          <w:tcPr>
            <w:tcW w:w="4200" w:type="dxa"/>
            <w:vAlign w:val="bottom"/>
            <w:gridSpan w:val="2"/>
          </w:tcPr>
          <w:p>
            <w:pPr>
              <w:jc w:val="right"/>
              <w:ind w:right="800"/>
              <w:spacing w:after="0"/>
              <w:rPr>
                <w:sz w:val="20"/>
                <w:szCs w:val="20"/>
                <w:color w:val="auto"/>
              </w:rPr>
            </w:pPr>
            <w:r>
              <w:rPr>
                <w:rFonts w:ascii="Arial" w:cs="Arial" w:eastAsia="Arial" w:hAnsi="Arial"/>
                <w:sz w:val="11"/>
                <w:szCs w:val="11"/>
                <w:color w:val="auto"/>
              </w:rPr>
              <w:t>CONSOLIDATED FINANCIAL STATEMENTS</w:t>
            </w:r>
          </w:p>
        </w:tc>
        <w:tc>
          <w:tcPr>
            <w:tcW w:w="0" w:type="dxa"/>
            <w:vAlign w:val="bottom"/>
          </w:tcPr>
          <w:p>
            <w:pPr>
              <w:spacing w:after="0"/>
              <w:rPr>
                <w:sz w:val="1"/>
                <w:szCs w:val="1"/>
                <w:color w:val="auto"/>
              </w:rPr>
            </w:pPr>
          </w:p>
        </w:tc>
      </w:tr>
      <w:tr>
        <w:trPr>
          <w:trHeight w:val="59"/>
        </w:trPr>
        <w:tc>
          <w:tcPr>
            <w:tcW w:w="1380" w:type="dxa"/>
            <w:vAlign w:val="bottom"/>
          </w:tcPr>
          <w:p>
            <w:pPr>
              <w:spacing w:after="0"/>
              <w:rPr>
                <w:sz w:val="5"/>
                <w:szCs w:val="5"/>
                <w:color w:val="auto"/>
              </w:rPr>
            </w:pPr>
          </w:p>
        </w:tc>
        <w:tc>
          <w:tcPr>
            <w:tcW w:w="420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162"/>
        </w:trPr>
        <w:tc>
          <w:tcPr>
            <w:tcW w:w="1380" w:type="dxa"/>
            <w:vAlign w:val="bottom"/>
            <w:shd w:val="clear" w:color="auto" w:fill="333333"/>
          </w:tcPr>
          <w:p>
            <w:pPr>
              <w:spacing w:after="0"/>
              <w:rPr>
                <w:sz w:val="14"/>
                <w:szCs w:val="14"/>
                <w:color w:val="auto"/>
              </w:rPr>
            </w:pPr>
          </w:p>
        </w:tc>
        <w:tc>
          <w:tcPr>
            <w:tcW w:w="4100" w:type="dxa"/>
            <w:vAlign w:val="bottom"/>
            <w:shd w:val="clear" w:color="auto" w:fill="333333"/>
          </w:tcPr>
          <w:p>
            <w:pPr>
              <w:spacing w:after="0"/>
              <w:rPr>
                <w:sz w:val="14"/>
                <w:szCs w:val="14"/>
                <w:color w:val="auto"/>
              </w:rPr>
            </w:pPr>
          </w:p>
        </w:tc>
        <w:tc>
          <w:tcPr>
            <w:tcW w:w="10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52"/>
        </w:trPr>
        <w:tc>
          <w:tcPr>
            <w:tcW w:w="1380" w:type="dxa"/>
            <w:vAlign w:val="bottom"/>
          </w:tcPr>
          <w:p>
            <w:pPr>
              <w:jc w:val="right"/>
              <w:ind w:right="561"/>
              <w:spacing w:after="0"/>
              <w:rPr>
                <w:sz w:val="20"/>
                <w:szCs w:val="20"/>
                <w:color w:val="auto"/>
              </w:rPr>
            </w:pPr>
            <w:r>
              <w:rPr>
                <w:rFonts w:ascii="Arial" w:cs="Arial" w:eastAsia="Arial" w:hAnsi="Arial"/>
                <w:sz w:val="13"/>
                <w:szCs w:val="13"/>
                <w:color w:val="auto"/>
                <w:w w:val="96"/>
              </w:rPr>
              <w:t>Area of focus</w:t>
            </w:r>
          </w:p>
        </w:tc>
        <w:tc>
          <w:tcPr>
            <w:tcW w:w="4100" w:type="dxa"/>
            <w:vAlign w:val="bottom"/>
          </w:tcPr>
          <w:p>
            <w:pPr>
              <w:jc w:val="right"/>
              <w:ind w:right="340"/>
              <w:spacing w:after="0"/>
              <w:rPr>
                <w:sz w:val="20"/>
                <w:szCs w:val="20"/>
                <w:color w:val="auto"/>
              </w:rPr>
            </w:pPr>
            <w:r>
              <w:rPr>
                <w:rFonts w:ascii="Arial" w:cs="Arial" w:eastAsia="Arial" w:hAnsi="Arial"/>
                <w:sz w:val="13"/>
                <w:szCs w:val="13"/>
                <w:color w:val="auto"/>
              </w:rPr>
              <w:t>How our audit addressed the area of focus</w:t>
            </w:r>
          </w:p>
        </w:tc>
        <w:tc>
          <w:tcPr>
            <w:tcW w:w="1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3473450" cy="889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right"/>
        <w:spacing w:after="0"/>
        <w:rPr>
          <w:sz w:val="20"/>
          <w:szCs w:val="20"/>
          <w:color w:val="auto"/>
        </w:rPr>
      </w:pPr>
      <w:r>
        <w:rPr>
          <w:rFonts w:ascii="Arial" w:cs="Arial" w:eastAsia="Arial" w:hAnsi="Arial"/>
          <w:sz w:val="11"/>
          <w:szCs w:val="11"/>
          <w:color w:val="auto"/>
        </w:rPr>
        <w:t>SHELL ANNUAL REPORT AND FORM 20-F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wp:posOffset>
            </wp:positionV>
            <wp:extent cx="3473450" cy="10287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3473450" cy="102870"/>
                    </a:xfrm>
                    <a:prstGeom prst="rect">
                      <a:avLst/>
                    </a:prstGeom>
                    <a:noFill/>
                  </pic:spPr>
                </pic:pic>
              </a:graphicData>
            </a:graphic>
          </wp:anchor>
        </w:drawing>
      </w:r>
    </w:p>
    <w:p>
      <w:pPr>
        <w:spacing w:after="0" w:line="202" w:lineRule="exact"/>
        <w:rPr>
          <w:sz w:val="20"/>
          <w:szCs w:val="20"/>
          <w:color w:val="auto"/>
        </w:rPr>
      </w:pPr>
    </w:p>
    <w:p>
      <w:pPr>
        <w:spacing w:after="0"/>
        <w:tabs>
          <w:tab w:leader="none" w:pos="2680" w:val="left"/>
        </w:tabs>
        <w:rPr>
          <w:sz w:val="20"/>
          <w:szCs w:val="20"/>
          <w:color w:val="auto"/>
        </w:rPr>
      </w:pPr>
      <w:r>
        <w:rPr>
          <w:rFonts w:ascii="Arial" w:cs="Arial" w:eastAsia="Arial" w:hAnsi="Arial"/>
          <w:sz w:val="13"/>
          <w:szCs w:val="13"/>
          <w:color w:val="auto"/>
        </w:rPr>
        <w:t>Area of focus</w:t>
      </w:r>
      <w:r>
        <w:rPr>
          <w:sz w:val="20"/>
          <w:szCs w:val="20"/>
          <w:color w:val="auto"/>
        </w:rPr>
        <w:tab/>
      </w:r>
      <w:r>
        <w:rPr>
          <w:rFonts w:ascii="Arial" w:cs="Arial" w:eastAsia="Arial" w:hAnsi="Arial"/>
          <w:sz w:val="12"/>
          <w:szCs w:val="12"/>
          <w:color w:val="auto"/>
        </w:rPr>
        <w:t>How our audit addressed the area of focus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3473450" cy="889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spacing w:after="0" w:line="9" w:lineRule="exact"/>
        <w:rPr>
          <w:sz w:val="20"/>
          <w:szCs w:val="20"/>
          <w:color w:val="auto"/>
        </w:rPr>
      </w:pPr>
    </w:p>
    <w:p>
      <w:pPr>
        <w:sectPr>
          <w:pgSz w:w="11900" w:h="16838" w:orient="portrait"/>
          <w:cols w:equalWidth="0" w:num="2">
            <w:col w:w="5580" w:space="200"/>
            <w:col w:w="5640"/>
          </w:cols>
          <w:pgMar w:left="240" w:top="459" w:right="239" w:bottom="1440" w:gutter="0" w:footer="0" w:header="0"/>
          <w:type w:val="continuous"/>
        </w:sectPr>
      </w:pPr>
    </w:p>
    <w:p>
      <w:pPr>
        <w:ind w:left="20"/>
        <w:spacing w:after="0"/>
        <w:rPr>
          <w:sz w:val="20"/>
          <w:szCs w:val="20"/>
          <w:color w:val="auto"/>
        </w:rPr>
      </w:pPr>
      <w:r>
        <w:rPr>
          <w:rFonts w:ascii="Arial" w:cs="Arial" w:eastAsia="Arial" w:hAnsi="Arial"/>
          <w:sz w:val="14"/>
          <w:szCs w:val="14"/>
          <w:color w:val="auto"/>
        </w:rPr>
        <w:t>Assets which are relatively mature or</w:t>
      </w:r>
    </w:p>
    <w:p>
      <w:pPr>
        <w:spacing w:after="0" w:line="1" w:lineRule="exact"/>
        <w:rPr>
          <w:sz w:val="20"/>
          <w:szCs w:val="20"/>
          <w:color w:val="auto"/>
        </w:rPr>
      </w:pPr>
    </w:p>
    <w:p>
      <w:pPr>
        <w:ind w:left="20"/>
        <w:spacing w:after="0"/>
        <w:rPr>
          <w:sz w:val="20"/>
          <w:szCs w:val="20"/>
          <w:color w:val="auto"/>
        </w:rPr>
      </w:pPr>
      <w:r>
        <w:rPr>
          <w:rFonts w:ascii="Arial" w:cs="Arial" w:eastAsia="Arial" w:hAnsi="Arial"/>
          <w:sz w:val="14"/>
          <w:szCs w:val="14"/>
          <w:color w:val="auto"/>
        </w:rPr>
        <w:t>short-lived will be more exposed to the</w:t>
      </w:r>
    </w:p>
    <w:p>
      <w:pPr>
        <w:spacing w:after="0" w:line="1" w:lineRule="exact"/>
        <w:rPr>
          <w:sz w:val="20"/>
          <w:szCs w:val="20"/>
          <w:color w:val="auto"/>
        </w:rPr>
      </w:pPr>
    </w:p>
    <w:p>
      <w:pPr>
        <w:ind w:left="20"/>
        <w:spacing w:after="0"/>
        <w:rPr>
          <w:sz w:val="20"/>
          <w:szCs w:val="20"/>
          <w:color w:val="auto"/>
        </w:rPr>
      </w:pPr>
      <w:r>
        <w:rPr>
          <w:rFonts w:ascii="Arial" w:cs="Arial" w:eastAsia="Arial" w:hAnsi="Arial"/>
          <w:sz w:val="14"/>
          <w:szCs w:val="14"/>
          <w:color w:val="auto"/>
        </w:rPr>
        <w:t>effect of depressed shorter-term prices.</w:t>
      </w:r>
    </w:p>
    <w:p>
      <w:pPr>
        <w:spacing w:after="0" w:line="1" w:lineRule="exact"/>
        <w:rPr>
          <w:sz w:val="20"/>
          <w:szCs w:val="20"/>
          <w:color w:val="auto"/>
        </w:rPr>
      </w:pPr>
    </w:p>
    <w:p>
      <w:pPr>
        <w:ind w:left="20"/>
        <w:spacing w:after="0"/>
        <w:rPr>
          <w:sz w:val="20"/>
          <w:szCs w:val="20"/>
          <w:color w:val="auto"/>
        </w:rPr>
      </w:pPr>
      <w:r>
        <w:rPr>
          <w:rFonts w:ascii="Arial" w:cs="Arial" w:eastAsia="Arial" w:hAnsi="Arial"/>
          <w:sz w:val="14"/>
          <w:szCs w:val="14"/>
          <w:color w:val="auto"/>
        </w:rPr>
        <w:t>It also leads to greater volatility in mark-</w:t>
      </w:r>
    </w:p>
    <w:p>
      <w:pPr>
        <w:spacing w:after="0" w:line="1" w:lineRule="exact"/>
        <w:rPr>
          <w:sz w:val="20"/>
          <w:szCs w:val="20"/>
          <w:color w:val="auto"/>
        </w:rPr>
      </w:pPr>
    </w:p>
    <w:p>
      <w:pPr>
        <w:ind w:left="20"/>
        <w:spacing w:after="0"/>
        <w:rPr>
          <w:sz w:val="20"/>
          <w:szCs w:val="20"/>
          <w:color w:val="auto"/>
        </w:rPr>
      </w:pPr>
      <w:r>
        <w:rPr>
          <w:rFonts w:ascii="Arial" w:cs="Arial" w:eastAsia="Arial" w:hAnsi="Arial"/>
          <w:sz w:val="14"/>
          <w:szCs w:val="14"/>
          <w:color w:val="auto"/>
        </w:rPr>
        <w:t>to-market adjustments for certain</w:t>
      </w:r>
    </w:p>
    <w:p>
      <w:pPr>
        <w:spacing w:after="0" w:line="1" w:lineRule="exact"/>
        <w:rPr>
          <w:sz w:val="20"/>
          <w:szCs w:val="20"/>
          <w:color w:val="auto"/>
        </w:rPr>
      </w:pPr>
    </w:p>
    <w:p>
      <w:pPr>
        <w:ind w:left="20"/>
        <w:spacing w:after="0"/>
        <w:rPr>
          <w:sz w:val="20"/>
          <w:szCs w:val="20"/>
          <w:color w:val="auto"/>
        </w:rPr>
      </w:pPr>
      <w:r>
        <w:rPr>
          <w:rFonts w:ascii="Arial" w:cs="Arial" w:eastAsia="Arial" w:hAnsi="Arial"/>
          <w:sz w:val="14"/>
          <w:szCs w:val="14"/>
          <w:color w:val="auto"/>
        </w:rPr>
        <w:t>financial instruments and the need to</w:t>
      </w:r>
    </w:p>
    <w:p>
      <w:pPr>
        <w:spacing w:after="0" w:line="1" w:lineRule="exact"/>
        <w:rPr>
          <w:sz w:val="20"/>
          <w:szCs w:val="20"/>
          <w:color w:val="auto"/>
        </w:rPr>
      </w:pPr>
    </w:p>
    <w:p>
      <w:pPr>
        <w:ind w:left="20"/>
        <w:spacing w:after="0"/>
        <w:rPr>
          <w:sz w:val="20"/>
          <w:szCs w:val="20"/>
          <w:color w:val="auto"/>
        </w:rPr>
      </w:pPr>
      <w:r>
        <w:rPr>
          <w:rFonts w:ascii="Arial" w:cs="Arial" w:eastAsia="Arial" w:hAnsi="Arial"/>
          <w:sz w:val="14"/>
          <w:szCs w:val="14"/>
          <w:color w:val="auto"/>
        </w:rPr>
        <w:t>consider whether net realisable value is</w:t>
      </w:r>
    </w:p>
    <w:p>
      <w:pPr>
        <w:spacing w:after="0" w:line="1" w:lineRule="exact"/>
        <w:rPr>
          <w:sz w:val="20"/>
          <w:szCs w:val="20"/>
          <w:color w:val="auto"/>
        </w:rPr>
      </w:pPr>
    </w:p>
    <w:p>
      <w:pPr>
        <w:ind w:left="20"/>
        <w:spacing w:after="0"/>
        <w:rPr>
          <w:sz w:val="20"/>
          <w:szCs w:val="20"/>
          <w:color w:val="auto"/>
        </w:rPr>
      </w:pPr>
      <w:r>
        <w:rPr>
          <w:rFonts w:ascii="Arial" w:cs="Arial" w:eastAsia="Arial" w:hAnsi="Arial"/>
          <w:sz w:val="14"/>
          <w:szCs w:val="14"/>
          <w:color w:val="auto"/>
        </w:rPr>
        <w:t>lower than cost of crude oil and product</w:t>
      </w:r>
    </w:p>
    <w:p>
      <w:pPr>
        <w:spacing w:after="0" w:line="1" w:lineRule="exact"/>
        <w:rPr>
          <w:sz w:val="20"/>
          <w:szCs w:val="20"/>
          <w:color w:val="auto"/>
        </w:rPr>
      </w:pPr>
    </w:p>
    <w:p>
      <w:pPr>
        <w:ind w:left="20"/>
        <w:spacing w:after="0"/>
        <w:rPr>
          <w:sz w:val="20"/>
          <w:szCs w:val="20"/>
          <w:color w:val="auto"/>
        </w:rPr>
      </w:pPr>
      <w:r>
        <w:rPr>
          <w:rFonts w:ascii="Arial" w:cs="Arial" w:eastAsia="Arial" w:hAnsi="Arial"/>
          <w:sz w:val="14"/>
          <w:szCs w:val="14"/>
          <w:color w:val="auto"/>
        </w:rPr>
        <w:t>inventories included in the balance</w:t>
      </w:r>
    </w:p>
    <w:p>
      <w:pPr>
        <w:ind w:left="20"/>
        <w:spacing w:after="0" w:line="236" w:lineRule="auto"/>
        <w:rPr>
          <w:sz w:val="20"/>
          <w:szCs w:val="20"/>
          <w:color w:val="auto"/>
        </w:rPr>
      </w:pPr>
      <w:r>
        <w:rPr>
          <w:rFonts w:ascii="Arial" w:cs="Arial" w:eastAsia="Arial" w:hAnsi="Arial"/>
          <w:sz w:val="14"/>
          <w:szCs w:val="14"/>
          <w:color w:val="auto"/>
        </w:rPr>
        <w:t>sheet.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4"/>
          <w:szCs w:val="14"/>
          <w:color w:val="auto"/>
        </w:rPr>
        <w:t>Shell review decommissioning and</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restoration provisions on an annual</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basis. This review incorporates the</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effects of any changes in local</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regulations, management’s expected</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approach to decommissioning and</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discount rates, along with the effects of</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changes in exchange rates.</w:t>
      </w:r>
    </w:p>
    <w:p>
      <w:pPr>
        <w:spacing w:after="0" w:line="20" w:lineRule="exact"/>
        <w:rPr>
          <w:sz w:val="20"/>
          <w:szCs w:val="20"/>
          <w:color w:val="auto"/>
        </w:rPr>
      </w:pPr>
      <w:r>
        <w:rPr>
          <w:sz w:val="20"/>
          <w:szCs w:val="20"/>
          <w:color w:val="auto"/>
        </w:rPr>
        <w:br w:type="column"/>
      </w:r>
    </w:p>
    <w:p>
      <w:pPr>
        <w:ind w:right="220"/>
        <w:spacing w:after="0"/>
        <w:rPr>
          <w:sz w:val="20"/>
          <w:szCs w:val="20"/>
          <w:color w:val="auto"/>
        </w:rPr>
      </w:pPr>
      <w:r>
        <w:rPr>
          <w:rFonts w:ascii="Arial" w:cs="Arial" w:eastAsia="Arial" w:hAnsi="Arial"/>
          <w:sz w:val="14"/>
          <w:szCs w:val="14"/>
          <w:color w:val="auto"/>
        </w:rPr>
        <w:t>We tested the accuracy of calculations and evaluated the appropriateness of the discount rate used. In addition, we performed sensitivity analyses to understand the potential impact of reasonable changes in assumptions on the provisions recognised. This analysis confirmed management’s view that likely changes in assumptions do not materially impact the provisions recorded.</w:t>
      </w:r>
    </w:p>
    <w:p>
      <w:pPr>
        <w:spacing w:after="0" w:line="6" w:lineRule="exact"/>
        <w:rPr>
          <w:sz w:val="20"/>
          <w:szCs w:val="20"/>
          <w:color w:val="auto"/>
        </w:rPr>
      </w:pPr>
    </w:p>
    <w:p>
      <w:pPr>
        <w:sectPr>
          <w:pgSz w:w="11900" w:h="16838" w:orient="portrait"/>
          <w:cols w:equalWidth="0" w:num="3">
            <w:col w:w="5060" w:space="720"/>
            <w:col w:w="2480" w:space="220"/>
            <w:col w:w="2940"/>
          </w:cols>
          <w:pgMar w:left="240" w:top="459" w:right="239" w:bottom="1440" w:gutter="0" w:footer="0" w:header="0"/>
          <w:type w:val="continuous"/>
        </w:sectPr>
      </w:pPr>
    </w:p>
    <w:tbl>
      <w:tblPr>
        <w:tblLayout w:type="fixed"/>
        <w:tblInd w:w="0" w:type="dxa"/>
        <w:tblCellMar>
          <w:top w:w="0" w:type="dxa"/>
          <w:left w:w="0" w:type="dxa"/>
          <w:bottom w:w="0" w:type="dxa"/>
          <w:right w:w="0" w:type="dxa"/>
        </w:tblCellMar>
      </w:tblPr>
      <w:tr>
        <w:trPr>
          <w:trHeight w:val="160"/>
        </w:trPr>
        <w:tc>
          <w:tcPr>
            <w:tcW w:w="2580" w:type="dxa"/>
            <w:vAlign w:val="bottom"/>
            <w:tcBorders>
              <w:top w:val="single" w:sz="8" w:color="auto"/>
            </w:tcBorders>
          </w:tcPr>
          <w:p>
            <w:pPr>
              <w:ind w:left="20"/>
              <w:spacing w:after="0"/>
              <w:rPr>
                <w:sz w:val="20"/>
                <w:szCs w:val="20"/>
                <w:color w:val="auto"/>
              </w:rPr>
            </w:pPr>
            <w:r>
              <w:rPr>
                <w:rFonts w:ascii="Arial" w:cs="Arial" w:eastAsia="Arial" w:hAnsi="Arial"/>
                <w:sz w:val="14"/>
                <w:szCs w:val="14"/>
                <w:color w:val="auto"/>
              </w:rPr>
              <w:t>Allocation of the purchase price in</w:t>
            </w:r>
          </w:p>
        </w:tc>
        <w:tc>
          <w:tcPr>
            <w:tcW w:w="2900" w:type="dxa"/>
            <w:vAlign w:val="bottom"/>
            <w:tcBorders>
              <w:top w:val="single" w:sz="8" w:color="auto"/>
            </w:tcBorders>
          </w:tcPr>
          <w:p>
            <w:pPr>
              <w:ind w:left="120"/>
              <w:spacing w:after="0"/>
              <w:rPr>
                <w:sz w:val="20"/>
                <w:szCs w:val="20"/>
                <w:color w:val="auto"/>
              </w:rPr>
            </w:pPr>
            <w:r>
              <w:rPr>
                <w:rFonts w:ascii="Arial" w:cs="Arial" w:eastAsia="Arial" w:hAnsi="Arial"/>
                <w:sz w:val="14"/>
                <w:szCs w:val="14"/>
                <w:color w:val="auto"/>
              </w:rPr>
              <w:t>We assessed the appropriateness of the</w:t>
            </w:r>
          </w:p>
        </w:tc>
      </w:tr>
      <w:tr>
        <w:trPr>
          <w:trHeight w:val="162"/>
        </w:trPr>
        <w:tc>
          <w:tcPr>
            <w:tcW w:w="2580" w:type="dxa"/>
            <w:vAlign w:val="bottom"/>
          </w:tcPr>
          <w:p>
            <w:pPr>
              <w:ind w:left="20"/>
              <w:spacing w:after="0"/>
              <w:rPr>
                <w:sz w:val="20"/>
                <w:szCs w:val="20"/>
                <w:color w:val="auto"/>
              </w:rPr>
            </w:pPr>
            <w:r>
              <w:rPr>
                <w:rFonts w:ascii="Arial" w:cs="Arial" w:eastAsia="Arial" w:hAnsi="Arial"/>
                <w:sz w:val="14"/>
                <w:szCs w:val="14"/>
                <w:color w:val="auto"/>
              </w:rPr>
              <w:t>respect of the Repsol acquisition</w:t>
            </w:r>
          </w:p>
        </w:tc>
        <w:tc>
          <w:tcPr>
            <w:tcW w:w="2900" w:type="dxa"/>
            <w:vAlign w:val="bottom"/>
          </w:tcPr>
          <w:p>
            <w:pPr>
              <w:ind w:left="120"/>
              <w:spacing w:after="0"/>
              <w:rPr>
                <w:sz w:val="20"/>
                <w:szCs w:val="20"/>
                <w:color w:val="auto"/>
              </w:rPr>
            </w:pPr>
            <w:r>
              <w:rPr>
                <w:rFonts w:ascii="Arial" w:cs="Arial" w:eastAsia="Arial" w:hAnsi="Arial"/>
                <w:sz w:val="14"/>
                <w:szCs w:val="14"/>
                <w:color w:val="auto"/>
              </w:rPr>
              <w:t>valuation methodology adopted in</w:t>
            </w:r>
          </w:p>
        </w:tc>
      </w:tr>
      <w:tr>
        <w:trPr>
          <w:trHeight w:val="162"/>
        </w:trPr>
        <w:tc>
          <w:tcPr>
            <w:tcW w:w="2580" w:type="dxa"/>
            <w:vAlign w:val="bottom"/>
          </w:tcPr>
          <w:p>
            <w:pPr>
              <w:ind w:left="20"/>
              <w:spacing w:after="0"/>
              <w:rPr>
                <w:sz w:val="20"/>
                <w:szCs w:val="20"/>
                <w:color w:val="auto"/>
              </w:rPr>
            </w:pPr>
            <w:r>
              <w:rPr>
                <w:rFonts w:ascii="Arial" w:cs="Arial" w:eastAsia="Arial" w:hAnsi="Arial"/>
                <w:sz w:val="14"/>
                <w:szCs w:val="14"/>
                <w:color w:val="auto"/>
              </w:rPr>
              <w:t>During the year, Shell completed the</w:t>
            </w:r>
          </w:p>
        </w:tc>
        <w:tc>
          <w:tcPr>
            <w:tcW w:w="2900" w:type="dxa"/>
            <w:vAlign w:val="bottom"/>
          </w:tcPr>
          <w:p>
            <w:pPr>
              <w:ind w:left="120"/>
              <w:spacing w:after="0"/>
              <w:rPr>
                <w:sz w:val="20"/>
                <w:szCs w:val="20"/>
                <w:color w:val="auto"/>
              </w:rPr>
            </w:pPr>
            <w:r>
              <w:rPr>
                <w:rFonts w:ascii="Arial" w:cs="Arial" w:eastAsia="Arial" w:hAnsi="Arial"/>
                <w:sz w:val="14"/>
                <w:szCs w:val="14"/>
                <w:color w:val="auto"/>
              </w:rPr>
              <w:t>determining fair values, the underlying</w:t>
            </w:r>
          </w:p>
        </w:tc>
      </w:tr>
      <w:tr>
        <w:trPr>
          <w:trHeight w:val="162"/>
        </w:trPr>
        <w:tc>
          <w:tcPr>
            <w:tcW w:w="2580" w:type="dxa"/>
            <w:vAlign w:val="bottom"/>
          </w:tcPr>
          <w:p>
            <w:pPr>
              <w:ind w:left="20"/>
              <w:spacing w:after="0"/>
              <w:rPr>
                <w:sz w:val="20"/>
                <w:szCs w:val="20"/>
                <w:color w:val="auto"/>
              </w:rPr>
            </w:pPr>
            <w:r>
              <w:rPr>
                <w:rFonts w:ascii="Arial" w:cs="Arial" w:eastAsia="Arial" w:hAnsi="Arial"/>
                <w:sz w:val="14"/>
                <w:szCs w:val="14"/>
                <w:color w:val="auto"/>
              </w:rPr>
              <w:t>acquisition of a portfolio of LNG assets</w:t>
            </w:r>
          </w:p>
        </w:tc>
        <w:tc>
          <w:tcPr>
            <w:tcW w:w="2900" w:type="dxa"/>
            <w:vAlign w:val="bottom"/>
          </w:tcPr>
          <w:p>
            <w:pPr>
              <w:ind w:left="120"/>
              <w:spacing w:after="0"/>
              <w:rPr>
                <w:sz w:val="20"/>
                <w:szCs w:val="20"/>
                <w:color w:val="auto"/>
              </w:rPr>
            </w:pPr>
            <w:r>
              <w:rPr>
                <w:rFonts w:ascii="Arial" w:cs="Arial" w:eastAsia="Arial" w:hAnsi="Arial"/>
                <w:sz w:val="14"/>
                <w:szCs w:val="14"/>
                <w:color w:val="auto"/>
              </w:rPr>
              <w:t>assumptions and the mathematical</w:t>
            </w:r>
          </w:p>
        </w:tc>
      </w:tr>
      <w:tr>
        <w:trPr>
          <w:trHeight w:val="148"/>
        </w:trPr>
        <w:tc>
          <w:tcPr>
            <w:tcW w:w="2580" w:type="dxa"/>
            <w:vAlign w:val="bottom"/>
          </w:tcPr>
          <w:p>
            <w:pPr>
              <w:ind w:left="20"/>
              <w:spacing w:after="0" w:line="148" w:lineRule="exact"/>
              <w:rPr>
                <w:sz w:val="20"/>
                <w:szCs w:val="20"/>
                <w:color w:val="auto"/>
              </w:rPr>
            </w:pPr>
            <w:r>
              <w:rPr>
                <w:rFonts w:ascii="Arial" w:cs="Arial" w:eastAsia="Arial" w:hAnsi="Arial"/>
                <w:sz w:val="14"/>
                <w:szCs w:val="14"/>
                <w:color w:val="auto"/>
              </w:rPr>
              <w:t>from Repsol S.A. The transaction fell</w:t>
            </w:r>
          </w:p>
        </w:tc>
        <w:tc>
          <w:tcPr>
            <w:tcW w:w="2900" w:type="dxa"/>
            <w:vAlign w:val="bottom"/>
          </w:tcPr>
          <w:p>
            <w:pPr>
              <w:ind w:left="120"/>
              <w:spacing w:after="0" w:line="148" w:lineRule="exact"/>
              <w:rPr>
                <w:sz w:val="20"/>
                <w:szCs w:val="20"/>
                <w:color w:val="auto"/>
              </w:rPr>
            </w:pPr>
            <w:r>
              <w:rPr>
                <w:rFonts w:ascii="Arial" w:cs="Arial" w:eastAsia="Arial" w:hAnsi="Arial"/>
                <w:sz w:val="14"/>
                <w:szCs w:val="14"/>
                <w:color w:val="auto"/>
              </w:rPr>
              <w:t>accuracy of the valuation models. In</w:t>
            </w:r>
          </w:p>
        </w:tc>
      </w:tr>
      <w:tr>
        <w:trPr>
          <w:trHeight w:val="162"/>
        </w:trPr>
        <w:tc>
          <w:tcPr>
            <w:tcW w:w="2580" w:type="dxa"/>
            <w:vAlign w:val="bottom"/>
          </w:tcPr>
          <w:p>
            <w:pPr>
              <w:ind w:left="20"/>
              <w:spacing w:after="0"/>
              <w:rPr>
                <w:sz w:val="20"/>
                <w:szCs w:val="20"/>
                <w:color w:val="auto"/>
              </w:rPr>
            </w:pPr>
            <w:r>
              <w:rPr>
                <w:rFonts w:ascii="Arial" w:cs="Arial" w:eastAsia="Arial" w:hAnsi="Arial"/>
                <w:sz w:val="14"/>
                <w:szCs w:val="14"/>
                <w:color w:val="auto"/>
              </w:rPr>
              <w:t xml:space="preserve">under the scope of IFRS 3 </w:t>
            </w:r>
            <w:r>
              <w:rPr>
                <w:rFonts w:ascii="Arial" w:cs="Arial" w:eastAsia="Arial" w:hAnsi="Arial"/>
                <w:sz w:val="14"/>
                <w:szCs w:val="14"/>
                <w:i w:val="1"/>
                <w:iCs w:val="1"/>
                <w:color w:val="auto"/>
              </w:rPr>
              <w:t>Business</w:t>
            </w:r>
          </w:p>
        </w:tc>
        <w:tc>
          <w:tcPr>
            <w:tcW w:w="2900" w:type="dxa"/>
            <w:vAlign w:val="bottom"/>
          </w:tcPr>
          <w:p>
            <w:pPr>
              <w:ind w:left="120"/>
              <w:spacing w:after="0"/>
              <w:rPr>
                <w:sz w:val="20"/>
                <w:szCs w:val="20"/>
                <w:color w:val="auto"/>
              </w:rPr>
            </w:pPr>
            <w:r>
              <w:rPr>
                <w:rFonts w:ascii="Arial" w:cs="Arial" w:eastAsia="Arial" w:hAnsi="Arial"/>
                <w:sz w:val="14"/>
                <w:szCs w:val="14"/>
                <w:color w:val="auto"/>
              </w:rPr>
              <w:t>particular, we considered whether it was</w:t>
            </w:r>
          </w:p>
        </w:tc>
      </w:tr>
      <w:tr>
        <w:trPr>
          <w:trHeight w:val="176"/>
        </w:trPr>
        <w:tc>
          <w:tcPr>
            <w:tcW w:w="2580" w:type="dxa"/>
            <w:vAlign w:val="bottom"/>
          </w:tcPr>
          <w:p>
            <w:pPr>
              <w:ind w:left="20"/>
              <w:spacing w:after="0"/>
              <w:rPr>
                <w:sz w:val="20"/>
                <w:szCs w:val="20"/>
                <w:color w:val="auto"/>
              </w:rPr>
            </w:pPr>
            <w:r>
              <w:rPr>
                <w:rFonts w:ascii="Arial" w:cs="Arial" w:eastAsia="Arial" w:hAnsi="Arial"/>
                <w:sz w:val="14"/>
                <w:szCs w:val="14"/>
                <w:i w:val="1"/>
                <w:iCs w:val="1"/>
                <w:color w:val="auto"/>
              </w:rPr>
              <w:t xml:space="preserve">Combinations </w:t>
            </w:r>
            <w:r>
              <w:rPr>
                <w:rFonts w:ascii="Arial" w:cs="Arial" w:eastAsia="Arial" w:hAnsi="Arial"/>
                <w:sz w:val="14"/>
                <w:szCs w:val="14"/>
                <w:color w:val="auto"/>
              </w:rPr>
              <w:t>and therefore the</w:t>
            </w:r>
          </w:p>
        </w:tc>
        <w:tc>
          <w:tcPr>
            <w:tcW w:w="2900" w:type="dxa"/>
            <w:vAlign w:val="bottom"/>
          </w:tcPr>
          <w:p>
            <w:pPr>
              <w:ind w:left="120"/>
              <w:spacing w:after="0"/>
              <w:rPr>
                <w:sz w:val="20"/>
                <w:szCs w:val="20"/>
                <w:color w:val="auto"/>
              </w:rPr>
            </w:pPr>
            <w:r>
              <w:rPr>
                <w:rFonts w:ascii="Arial" w:cs="Arial" w:eastAsia="Arial" w:hAnsi="Arial"/>
                <w:sz w:val="14"/>
                <w:szCs w:val="14"/>
                <w:color w:val="auto"/>
              </w:rPr>
              <w:t>appropriate to allocate the majority of the</w:t>
            </w:r>
          </w:p>
        </w:tc>
      </w:tr>
      <w:tr>
        <w:trPr>
          <w:trHeight w:val="162"/>
        </w:trPr>
        <w:tc>
          <w:tcPr>
            <w:tcW w:w="2580" w:type="dxa"/>
            <w:vAlign w:val="bottom"/>
          </w:tcPr>
          <w:p>
            <w:pPr>
              <w:ind w:left="20"/>
              <w:spacing w:after="0"/>
              <w:rPr>
                <w:sz w:val="20"/>
                <w:szCs w:val="20"/>
                <w:color w:val="auto"/>
              </w:rPr>
            </w:pPr>
            <w:r>
              <w:rPr>
                <w:rFonts w:ascii="Arial" w:cs="Arial" w:eastAsia="Arial" w:hAnsi="Arial"/>
                <w:sz w:val="14"/>
                <w:szCs w:val="14"/>
                <w:color w:val="auto"/>
              </w:rPr>
              <w:t>acquired assets and liabilities were</w:t>
            </w:r>
          </w:p>
        </w:tc>
        <w:tc>
          <w:tcPr>
            <w:tcW w:w="2900" w:type="dxa"/>
            <w:vAlign w:val="bottom"/>
          </w:tcPr>
          <w:p>
            <w:pPr>
              <w:ind w:left="120"/>
              <w:spacing w:after="0"/>
              <w:rPr>
                <w:sz w:val="20"/>
                <w:szCs w:val="20"/>
                <w:color w:val="auto"/>
              </w:rPr>
            </w:pPr>
            <w:r>
              <w:rPr>
                <w:rFonts w:ascii="Arial" w:cs="Arial" w:eastAsia="Arial" w:hAnsi="Arial"/>
                <w:sz w:val="14"/>
                <w:szCs w:val="14"/>
                <w:color w:val="auto"/>
              </w:rPr>
              <w:t>purchase price to acquired contracts, as</w:t>
            </w:r>
          </w:p>
        </w:tc>
      </w:tr>
      <w:tr>
        <w:trPr>
          <w:trHeight w:val="162"/>
        </w:trPr>
        <w:tc>
          <w:tcPr>
            <w:tcW w:w="2580" w:type="dxa"/>
            <w:vAlign w:val="bottom"/>
          </w:tcPr>
          <w:p>
            <w:pPr>
              <w:ind w:left="20"/>
              <w:spacing w:after="0"/>
              <w:rPr>
                <w:sz w:val="20"/>
                <w:szCs w:val="20"/>
                <w:color w:val="auto"/>
              </w:rPr>
            </w:pPr>
            <w:r>
              <w:rPr>
                <w:rFonts w:ascii="Arial" w:cs="Arial" w:eastAsia="Arial" w:hAnsi="Arial"/>
                <w:sz w:val="14"/>
                <w:szCs w:val="14"/>
                <w:color w:val="auto"/>
              </w:rPr>
              <w:t>recognised at fair value in Shell’s</w:t>
            </w:r>
          </w:p>
        </w:tc>
        <w:tc>
          <w:tcPr>
            <w:tcW w:w="2900" w:type="dxa"/>
            <w:vAlign w:val="bottom"/>
          </w:tcPr>
          <w:p>
            <w:pPr>
              <w:ind w:left="120"/>
              <w:spacing w:after="0"/>
              <w:rPr>
                <w:sz w:val="20"/>
                <w:szCs w:val="20"/>
                <w:color w:val="auto"/>
              </w:rPr>
            </w:pPr>
            <w:r>
              <w:rPr>
                <w:rFonts w:ascii="Arial" w:cs="Arial" w:eastAsia="Arial" w:hAnsi="Arial"/>
                <w:sz w:val="14"/>
                <w:szCs w:val="14"/>
                <w:color w:val="auto"/>
              </w:rPr>
              <w:t>detailed in Note 29 to the Consolidated</w:t>
            </w:r>
          </w:p>
        </w:tc>
      </w:tr>
      <w:tr>
        <w:trPr>
          <w:trHeight w:val="162"/>
        </w:trPr>
        <w:tc>
          <w:tcPr>
            <w:tcW w:w="2580" w:type="dxa"/>
            <w:vAlign w:val="bottom"/>
          </w:tcPr>
          <w:p>
            <w:pPr>
              <w:ind w:left="20"/>
              <w:spacing w:after="0"/>
              <w:rPr>
                <w:sz w:val="20"/>
                <w:szCs w:val="20"/>
                <w:color w:val="auto"/>
              </w:rPr>
            </w:pPr>
            <w:r>
              <w:rPr>
                <w:rFonts w:ascii="Arial" w:cs="Arial" w:eastAsia="Arial" w:hAnsi="Arial"/>
                <w:sz w:val="14"/>
                <w:szCs w:val="14"/>
                <w:color w:val="auto"/>
              </w:rPr>
              <w:t>Consolidated Financial Statements.</w:t>
            </w:r>
          </w:p>
        </w:tc>
        <w:tc>
          <w:tcPr>
            <w:tcW w:w="2900" w:type="dxa"/>
            <w:vAlign w:val="bottom"/>
          </w:tcPr>
          <w:p>
            <w:pPr>
              <w:ind w:left="120"/>
              <w:spacing w:after="0"/>
              <w:rPr>
                <w:sz w:val="20"/>
                <w:szCs w:val="20"/>
                <w:color w:val="auto"/>
              </w:rPr>
            </w:pPr>
            <w:r>
              <w:rPr>
                <w:rFonts w:ascii="Arial" w:cs="Arial" w:eastAsia="Arial" w:hAnsi="Arial"/>
                <w:sz w:val="14"/>
                <w:szCs w:val="14"/>
                <w:color w:val="auto"/>
              </w:rPr>
              <w:t>Financial Statements, or whether a portion</w:t>
            </w:r>
          </w:p>
        </w:tc>
      </w:tr>
    </w:tbl>
    <w:p>
      <w:pPr>
        <w:ind w:left="20"/>
        <w:spacing w:after="0"/>
        <w:tabs>
          <w:tab w:leader="none" w:pos="2680" w:val="left"/>
        </w:tabs>
        <w:rPr>
          <w:sz w:val="20"/>
          <w:szCs w:val="20"/>
          <w:color w:val="auto"/>
        </w:rPr>
      </w:pPr>
      <w:r>
        <w:rPr>
          <w:rFonts w:ascii="Arial" w:cs="Arial" w:eastAsia="Arial" w:hAnsi="Arial"/>
          <w:sz w:val="14"/>
          <w:szCs w:val="14"/>
          <w:color w:val="auto"/>
        </w:rPr>
        <w:t>These assets include a number of long-</w:t>
        <w:tab/>
        <w:t>of the purchase price should be recognised</w:t>
      </w:r>
    </w:p>
    <w:p>
      <w:pPr>
        <w:spacing w:after="0" w:line="1" w:lineRule="exact"/>
        <w:rPr>
          <w:sz w:val="20"/>
          <w:szCs w:val="20"/>
          <w:color w:val="auto"/>
        </w:rPr>
      </w:pPr>
    </w:p>
    <w:p>
      <w:pPr>
        <w:ind w:left="20"/>
        <w:spacing w:after="0"/>
        <w:tabs>
          <w:tab w:leader="none" w:pos="2680" w:val="left"/>
        </w:tabs>
        <w:rPr>
          <w:sz w:val="20"/>
          <w:szCs w:val="20"/>
          <w:color w:val="auto"/>
        </w:rPr>
      </w:pPr>
      <w:r>
        <w:rPr>
          <w:rFonts w:ascii="Arial" w:cs="Arial" w:eastAsia="Arial" w:hAnsi="Arial"/>
          <w:sz w:val="14"/>
          <w:szCs w:val="14"/>
          <w:color w:val="auto"/>
        </w:rPr>
        <w:t>term contracts for the supply of LNG.</w:t>
      </w:r>
      <w:r>
        <w:rPr>
          <w:sz w:val="20"/>
          <w:szCs w:val="20"/>
          <w:color w:val="auto"/>
        </w:rPr>
        <w:tab/>
      </w:r>
      <w:r>
        <w:rPr>
          <w:rFonts w:ascii="Arial" w:cs="Arial" w:eastAsia="Arial" w:hAnsi="Arial"/>
          <w:sz w:val="14"/>
          <w:szCs w:val="14"/>
          <w:color w:val="auto"/>
        </w:rPr>
        <w:t>as goodwill. Our detailed testing of the</w:t>
      </w:r>
    </w:p>
    <w:p>
      <w:pPr>
        <w:spacing w:after="0" w:line="1" w:lineRule="exact"/>
        <w:rPr>
          <w:sz w:val="20"/>
          <w:szCs w:val="20"/>
          <w:color w:val="auto"/>
        </w:rPr>
      </w:pPr>
    </w:p>
    <w:p>
      <w:pPr>
        <w:ind w:left="20"/>
        <w:spacing w:after="0"/>
        <w:tabs>
          <w:tab w:leader="none" w:pos="2680" w:val="left"/>
        </w:tabs>
        <w:rPr>
          <w:sz w:val="20"/>
          <w:szCs w:val="20"/>
          <w:color w:val="auto"/>
        </w:rPr>
      </w:pPr>
      <w:r>
        <w:rPr>
          <w:rFonts w:ascii="Arial" w:cs="Arial" w:eastAsia="Arial" w:hAnsi="Arial"/>
          <w:sz w:val="14"/>
          <w:szCs w:val="14"/>
          <w:color w:val="auto"/>
        </w:rPr>
        <w:t>Management engaged a third party to</w:t>
      </w:r>
      <w:r>
        <w:rPr>
          <w:sz w:val="20"/>
          <w:szCs w:val="20"/>
          <w:color w:val="auto"/>
        </w:rPr>
        <w:tab/>
      </w:r>
      <w:r>
        <w:rPr>
          <w:rFonts w:ascii="Arial" w:cs="Arial" w:eastAsia="Arial" w:hAnsi="Arial"/>
          <w:sz w:val="14"/>
          <w:szCs w:val="14"/>
          <w:color w:val="auto"/>
        </w:rPr>
        <w:t>valuation of the contracts, including</w:t>
      </w:r>
    </w:p>
    <w:p>
      <w:pPr>
        <w:spacing w:after="0" w:line="1" w:lineRule="exact"/>
        <w:rPr>
          <w:sz w:val="20"/>
          <w:szCs w:val="20"/>
          <w:color w:val="auto"/>
        </w:rPr>
      </w:pPr>
    </w:p>
    <w:p>
      <w:pPr>
        <w:ind w:left="20"/>
        <w:spacing w:after="0"/>
        <w:tabs>
          <w:tab w:leader="none" w:pos="2680" w:val="left"/>
        </w:tabs>
        <w:rPr>
          <w:sz w:val="20"/>
          <w:szCs w:val="20"/>
          <w:color w:val="auto"/>
        </w:rPr>
      </w:pPr>
      <w:r>
        <w:rPr>
          <w:rFonts w:ascii="Arial" w:cs="Arial" w:eastAsia="Arial" w:hAnsi="Arial"/>
          <w:sz w:val="14"/>
          <w:szCs w:val="14"/>
          <w:color w:val="auto"/>
        </w:rPr>
        <w:t>provide an independent valuation of</w:t>
      </w:r>
      <w:r>
        <w:rPr>
          <w:sz w:val="20"/>
          <w:szCs w:val="20"/>
          <w:color w:val="auto"/>
        </w:rPr>
        <w:tab/>
      </w:r>
      <w:r>
        <w:rPr>
          <w:rFonts w:ascii="Arial" w:cs="Arial" w:eastAsia="Arial" w:hAnsi="Arial"/>
          <w:sz w:val="14"/>
          <w:szCs w:val="14"/>
          <w:color w:val="auto"/>
        </w:rPr>
        <w:t>considering the reasonableness of</w:t>
      </w:r>
    </w:p>
    <w:p>
      <w:pPr>
        <w:spacing w:after="0" w:line="1" w:lineRule="exact"/>
        <w:rPr>
          <w:sz w:val="20"/>
          <w:szCs w:val="20"/>
          <w:color w:val="auto"/>
        </w:rPr>
      </w:pPr>
    </w:p>
    <w:p>
      <w:pPr>
        <w:ind w:left="20"/>
        <w:spacing w:after="0"/>
        <w:tabs>
          <w:tab w:leader="none" w:pos="2680" w:val="left"/>
        </w:tabs>
        <w:rPr>
          <w:sz w:val="20"/>
          <w:szCs w:val="20"/>
          <w:color w:val="auto"/>
        </w:rPr>
      </w:pPr>
      <w:r>
        <w:rPr>
          <w:rFonts w:ascii="Arial" w:cs="Arial" w:eastAsia="Arial" w:hAnsi="Arial"/>
          <w:sz w:val="14"/>
          <w:szCs w:val="14"/>
          <w:color w:val="auto"/>
        </w:rPr>
        <w:t>these and other assets and liabilities</w:t>
      </w:r>
      <w:r>
        <w:rPr>
          <w:sz w:val="20"/>
          <w:szCs w:val="20"/>
          <w:color w:val="auto"/>
        </w:rPr>
        <w:tab/>
      </w:r>
      <w:r>
        <w:rPr>
          <w:rFonts w:ascii="Arial" w:cs="Arial" w:eastAsia="Arial" w:hAnsi="Arial"/>
          <w:sz w:val="14"/>
          <w:szCs w:val="14"/>
          <w:color w:val="auto"/>
        </w:rPr>
        <w:t>significant underlying assumptions,</w:t>
      </w:r>
    </w:p>
    <w:p>
      <w:pPr>
        <w:spacing w:after="0" w:line="1" w:lineRule="exact"/>
        <w:rPr>
          <w:sz w:val="20"/>
          <w:szCs w:val="20"/>
          <w:color w:val="auto"/>
        </w:rPr>
      </w:pPr>
    </w:p>
    <w:p>
      <w:pPr>
        <w:ind w:left="20"/>
        <w:spacing w:after="0"/>
        <w:tabs>
          <w:tab w:leader="none" w:pos="2680" w:val="left"/>
        </w:tabs>
        <w:rPr>
          <w:sz w:val="20"/>
          <w:szCs w:val="20"/>
          <w:color w:val="auto"/>
        </w:rPr>
      </w:pPr>
      <w:r>
        <w:rPr>
          <w:rFonts w:ascii="Arial" w:cs="Arial" w:eastAsia="Arial" w:hAnsi="Arial"/>
          <w:sz w:val="14"/>
          <w:szCs w:val="14"/>
          <w:color w:val="auto"/>
        </w:rPr>
        <w:t>acquired.</w:t>
      </w:r>
      <w:r>
        <w:rPr>
          <w:sz w:val="20"/>
          <w:szCs w:val="20"/>
          <w:color w:val="auto"/>
        </w:rPr>
        <w:tab/>
      </w:r>
      <w:r>
        <w:rPr>
          <w:rFonts w:ascii="Arial" w:cs="Arial" w:eastAsia="Arial" w:hAnsi="Arial"/>
          <w:sz w:val="14"/>
          <w:szCs w:val="14"/>
          <w:color w:val="auto"/>
        </w:rPr>
        <w:t>confirmed the appropriateness of</w:t>
      </w:r>
    </w:p>
    <w:p>
      <w:pPr>
        <w:spacing w:after="0" w:line="1" w:lineRule="exact"/>
        <w:rPr>
          <w:sz w:val="20"/>
          <w:szCs w:val="20"/>
          <w:color w:val="auto"/>
        </w:rPr>
      </w:pPr>
    </w:p>
    <w:p>
      <w:pPr>
        <w:ind w:left="2700"/>
        <w:spacing w:after="0"/>
        <w:rPr>
          <w:sz w:val="20"/>
          <w:szCs w:val="20"/>
          <w:color w:val="auto"/>
        </w:rPr>
      </w:pPr>
      <w:r>
        <w:rPr>
          <w:rFonts w:ascii="Arial" w:cs="Arial" w:eastAsia="Arial" w:hAnsi="Arial"/>
          <w:sz w:val="14"/>
          <w:szCs w:val="14"/>
          <w:color w:val="auto"/>
        </w:rPr>
        <w:t>management’s valuation approach and the</w:t>
      </w:r>
    </w:p>
    <w:p>
      <w:pPr>
        <w:spacing w:after="0" w:line="1" w:lineRule="exact"/>
        <w:rPr>
          <w:sz w:val="20"/>
          <w:szCs w:val="20"/>
          <w:color w:val="auto"/>
        </w:rPr>
      </w:pPr>
    </w:p>
    <w:p>
      <w:pPr>
        <w:ind w:left="2700"/>
        <w:spacing w:after="0"/>
        <w:rPr>
          <w:sz w:val="20"/>
          <w:szCs w:val="20"/>
          <w:color w:val="auto"/>
        </w:rPr>
      </w:pPr>
      <w:r>
        <w:rPr>
          <w:rFonts w:ascii="Arial" w:cs="Arial" w:eastAsia="Arial" w:hAnsi="Arial"/>
          <w:sz w:val="14"/>
          <w:szCs w:val="14"/>
          <w:color w:val="auto"/>
        </w:rPr>
        <w:t>purchase price allocation.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3473450" cy="889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0"/>
        </w:trPr>
        <w:tc>
          <w:tcPr>
            <w:tcW w:w="2620" w:type="dxa"/>
            <w:vAlign w:val="bottom"/>
            <w:tcBorders>
              <w:top w:val="single" w:sz="8" w:color="auto"/>
            </w:tcBorders>
          </w:tcPr>
          <w:p>
            <w:pPr>
              <w:spacing w:after="0"/>
              <w:rPr>
                <w:sz w:val="20"/>
                <w:szCs w:val="20"/>
                <w:color w:val="auto"/>
              </w:rPr>
            </w:pPr>
            <w:r>
              <w:rPr>
                <w:rFonts w:ascii="Arial" w:cs="Arial" w:eastAsia="Arial" w:hAnsi="Arial"/>
                <w:sz w:val="14"/>
                <w:szCs w:val="14"/>
                <w:color w:val="auto"/>
              </w:rPr>
              <w:t>Estimation in respect of uncertain tax</w:t>
            </w:r>
          </w:p>
        </w:tc>
        <w:tc>
          <w:tcPr>
            <w:tcW w:w="2860" w:type="dxa"/>
            <w:vAlign w:val="bottom"/>
            <w:tcBorders>
              <w:top w:val="single" w:sz="8" w:color="auto"/>
            </w:tcBorders>
          </w:tcPr>
          <w:p>
            <w:pPr>
              <w:ind w:left="80"/>
              <w:spacing w:after="0"/>
              <w:rPr>
                <w:sz w:val="20"/>
                <w:szCs w:val="20"/>
                <w:color w:val="auto"/>
              </w:rPr>
            </w:pPr>
            <w:r>
              <w:rPr>
                <w:rFonts w:ascii="Arial" w:cs="Arial" w:eastAsia="Arial" w:hAnsi="Arial"/>
                <w:sz w:val="14"/>
                <w:szCs w:val="14"/>
                <w:color w:val="auto"/>
              </w:rPr>
              <w:t>We performed detailed testing over the tax</w:t>
            </w:r>
          </w:p>
        </w:tc>
      </w:tr>
      <w:tr>
        <w:trPr>
          <w:trHeight w:val="162"/>
        </w:trPr>
        <w:tc>
          <w:tcPr>
            <w:tcW w:w="2620" w:type="dxa"/>
            <w:vAlign w:val="bottom"/>
          </w:tcPr>
          <w:p>
            <w:pPr>
              <w:spacing w:after="0"/>
              <w:rPr>
                <w:sz w:val="20"/>
                <w:szCs w:val="20"/>
                <w:color w:val="auto"/>
              </w:rPr>
            </w:pPr>
            <w:r>
              <w:rPr>
                <w:rFonts w:ascii="Arial" w:cs="Arial" w:eastAsia="Arial" w:hAnsi="Arial"/>
                <w:sz w:val="14"/>
                <w:szCs w:val="14"/>
                <w:color w:val="auto"/>
              </w:rPr>
              <w:t>positions and recognition of deferred tax</w:t>
            </w:r>
          </w:p>
        </w:tc>
        <w:tc>
          <w:tcPr>
            <w:tcW w:w="2860" w:type="dxa"/>
            <w:vAlign w:val="bottom"/>
          </w:tcPr>
          <w:p>
            <w:pPr>
              <w:ind w:left="80"/>
              <w:spacing w:after="0"/>
              <w:rPr>
                <w:sz w:val="20"/>
                <w:szCs w:val="20"/>
                <w:color w:val="auto"/>
              </w:rPr>
            </w:pPr>
            <w:r>
              <w:rPr>
                <w:rFonts w:ascii="Arial" w:cs="Arial" w:eastAsia="Arial" w:hAnsi="Arial"/>
                <w:sz w:val="14"/>
                <w:szCs w:val="14"/>
                <w:color w:val="auto"/>
              </w:rPr>
              <w:t>positions in the significant tax jurisdictions</w:t>
            </w:r>
          </w:p>
        </w:tc>
      </w:tr>
      <w:tr>
        <w:trPr>
          <w:trHeight w:val="162"/>
        </w:trPr>
        <w:tc>
          <w:tcPr>
            <w:tcW w:w="2620" w:type="dxa"/>
            <w:vAlign w:val="bottom"/>
          </w:tcPr>
          <w:p>
            <w:pPr>
              <w:spacing w:after="0"/>
              <w:rPr>
                <w:sz w:val="20"/>
                <w:szCs w:val="20"/>
                <w:color w:val="auto"/>
              </w:rPr>
            </w:pPr>
            <w:r>
              <w:rPr>
                <w:rFonts w:ascii="Arial" w:cs="Arial" w:eastAsia="Arial" w:hAnsi="Arial"/>
                <w:sz w:val="14"/>
                <w:szCs w:val="14"/>
                <w:color w:val="auto"/>
              </w:rPr>
              <w:t>assets</w:t>
            </w:r>
          </w:p>
        </w:tc>
        <w:tc>
          <w:tcPr>
            <w:tcW w:w="2860" w:type="dxa"/>
            <w:vAlign w:val="bottom"/>
          </w:tcPr>
          <w:p>
            <w:pPr>
              <w:ind w:left="80"/>
              <w:spacing w:after="0"/>
              <w:rPr>
                <w:sz w:val="20"/>
                <w:szCs w:val="20"/>
                <w:color w:val="auto"/>
              </w:rPr>
            </w:pPr>
            <w:r>
              <w:rPr>
                <w:rFonts w:ascii="Arial" w:cs="Arial" w:eastAsia="Arial" w:hAnsi="Arial"/>
                <w:sz w:val="14"/>
                <w:szCs w:val="14"/>
                <w:color w:val="auto"/>
              </w:rPr>
              <w:t>in which Shell has operations, including</w:t>
            </w:r>
          </w:p>
        </w:tc>
      </w:tr>
      <w:tr>
        <w:trPr>
          <w:trHeight w:val="162"/>
        </w:trPr>
        <w:tc>
          <w:tcPr>
            <w:tcW w:w="2620" w:type="dxa"/>
            <w:vAlign w:val="bottom"/>
          </w:tcPr>
          <w:p>
            <w:pPr>
              <w:spacing w:after="0"/>
              <w:rPr>
                <w:sz w:val="20"/>
                <w:szCs w:val="20"/>
                <w:color w:val="auto"/>
              </w:rPr>
            </w:pPr>
            <w:r>
              <w:rPr>
                <w:rFonts w:ascii="Arial" w:cs="Arial" w:eastAsia="Arial" w:hAnsi="Arial"/>
                <w:sz w:val="14"/>
                <w:szCs w:val="14"/>
                <w:color w:val="auto"/>
              </w:rPr>
              <w:t>Management is required to exercise</w:t>
            </w:r>
          </w:p>
        </w:tc>
        <w:tc>
          <w:tcPr>
            <w:tcW w:w="2860" w:type="dxa"/>
            <w:vAlign w:val="bottom"/>
          </w:tcPr>
          <w:p>
            <w:pPr>
              <w:ind w:left="80"/>
              <w:spacing w:after="0"/>
              <w:rPr>
                <w:sz w:val="20"/>
                <w:szCs w:val="20"/>
                <w:color w:val="auto"/>
              </w:rPr>
            </w:pPr>
            <w:r>
              <w:rPr>
                <w:rFonts w:ascii="Arial" w:cs="Arial" w:eastAsia="Arial" w:hAnsi="Arial"/>
                <w:sz w:val="14"/>
                <w:szCs w:val="14"/>
                <w:color w:val="auto"/>
              </w:rPr>
              <w:t>utilising local tax expertise. Procedures</w:t>
            </w:r>
          </w:p>
        </w:tc>
      </w:tr>
      <w:tr>
        <w:trPr>
          <w:trHeight w:val="162"/>
        </w:trPr>
        <w:tc>
          <w:tcPr>
            <w:tcW w:w="2620" w:type="dxa"/>
            <w:vAlign w:val="bottom"/>
          </w:tcPr>
          <w:p>
            <w:pPr>
              <w:spacing w:after="0"/>
              <w:rPr>
                <w:sz w:val="20"/>
                <w:szCs w:val="20"/>
                <w:color w:val="auto"/>
              </w:rPr>
            </w:pPr>
            <w:r>
              <w:rPr>
                <w:rFonts w:ascii="Arial" w:cs="Arial" w:eastAsia="Arial" w:hAnsi="Arial"/>
                <w:sz w:val="14"/>
                <w:szCs w:val="14"/>
                <w:color w:val="auto"/>
              </w:rPr>
              <w:t>considerable judgement when</w:t>
            </w:r>
          </w:p>
        </w:tc>
        <w:tc>
          <w:tcPr>
            <w:tcW w:w="2860" w:type="dxa"/>
            <w:vAlign w:val="bottom"/>
          </w:tcPr>
          <w:p>
            <w:pPr>
              <w:ind w:left="80"/>
              <w:spacing w:after="0"/>
              <w:rPr>
                <w:sz w:val="20"/>
                <w:szCs w:val="20"/>
                <w:color w:val="auto"/>
              </w:rPr>
            </w:pPr>
            <w:r>
              <w:rPr>
                <w:rFonts w:ascii="Arial" w:cs="Arial" w:eastAsia="Arial" w:hAnsi="Arial"/>
                <w:sz w:val="14"/>
                <w:szCs w:val="14"/>
                <w:color w:val="auto"/>
              </w:rPr>
              <w:t>included testing the rates applied to</w:t>
            </w:r>
          </w:p>
        </w:tc>
      </w:tr>
      <w:tr>
        <w:trPr>
          <w:trHeight w:val="162"/>
        </w:trPr>
        <w:tc>
          <w:tcPr>
            <w:tcW w:w="2620" w:type="dxa"/>
            <w:vAlign w:val="bottom"/>
          </w:tcPr>
          <w:p>
            <w:pPr>
              <w:spacing w:after="0"/>
              <w:rPr>
                <w:sz w:val="20"/>
                <w:szCs w:val="20"/>
                <w:color w:val="auto"/>
              </w:rPr>
            </w:pPr>
            <w:r>
              <w:rPr>
                <w:rFonts w:ascii="Arial" w:cs="Arial" w:eastAsia="Arial" w:hAnsi="Arial"/>
                <w:sz w:val="14"/>
                <w:szCs w:val="14"/>
                <w:color w:val="auto"/>
              </w:rPr>
              <w:t>determining the appropriate amount to</w:t>
            </w:r>
          </w:p>
        </w:tc>
        <w:tc>
          <w:tcPr>
            <w:tcW w:w="2860" w:type="dxa"/>
            <w:vAlign w:val="bottom"/>
          </w:tcPr>
          <w:p>
            <w:pPr>
              <w:ind w:left="80"/>
              <w:spacing w:after="0"/>
              <w:rPr>
                <w:sz w:val="20"/>
                <w:szCs w:val="20"/>
                <w:color w:val="auto"/>
              </w:rPr>
            </w:pPr>
            <w:r>
              <w:rPr>
                <w:rFonts w:ascii="Arial" w:cs="Arial" w:eastAsia="Arial" w:hAnsi="Arial"/>
                <w:sz w:val="14"/>
                <w:szCs w:val="14"/>
                <w:color w:val="auto"/>
              </w:rPr>
              <w:t>calculate provisions and deferred tax</w:t>
            </w:r>
          </w:p>
        </w:tc>
      </w:tr>
      <w:tr>
        <w:trPr>
          <w:trHeight w:val="162"/>
        </w:trPr>
        <w:tc>
          <w:tcPr>
            <w:tcW w:w="2620" w:type="dxa"/>
            <w:vAlign w:val="bottom"/>
          </w:tcPr>
          <w:p>
            <w:pPr>
              <w:spacing w:after="0"/>
              <w:rPr>
                <w:sz w:val="20"/>
                <w:szCs w:val="20"/>
                <w:color w:val="auto"/>
              </w:rPr>
            </w:pPr>
            <w:r>
              <w:rPr>
                <w:rFonts w:ascii="Arial" w:cs="Arial" w:eastAsia="Arial" w:hAnsi="Arial"/>
                <w:sz w:val="14"/>
                <w:szCs w:val="14"/>
                <w:color w:val="auto"/>
              </w:rPr>
              <w:t>provide in respect of uncertain tax</w:t>
            </w:r>
          </w:p>
        </w:tc>
        <w:tc>
          <w:tcPr>
            <w:tcW w:w="2860" w:type="dxa"/>
            <w:vAlign w:val="bottom"/>
          </w:tcPr>
          <w:p>
            <w:pPr>
              <w:ind w:left="80"/>
              <w:spacing w:after="0"/>
              <w:rPr>
                <w:sz w:val="20"/>
                <w:szCs w:val="20"/>
                <w:color w:val="auto"/>
              </w:rPr>
            </w:pPr>
            <w:r>
              <w:rPr>
                <w:rFonts w:ascii="Arial" w:cs="Arial" w:eastAsia="Arial" w:hAnsi="Arial"/>
                <w:sz w:val="14"/>
                <w:szCs w:val="14"/>
                <w:color w:val="auto"/>
              </w:rPr>
              <w:t>balances, and a probability assessment of</w:t>
            </w:r>
          </w:p>
        </w:tc>
      </w:tr>
      <w:tr>
        <w:trPr>
          <w:trHeight w:val="162"/>
        </w:trPr>
        <w:tc>
          <w:tcPr>
            <w:tcW w:w="2620" w:type="dxa"/>
            <w:vAlign w:val="bottom"/>
          </w:tcPr>
          <w:p>
            <w:pPr>
              <w:spacing w:after="0"/>
              <w:rPr>
                <w:sz w:val="20"/>
                <w:szCs w:val="20"/>
                <w:color w:val="auto"/>
              </w:rPr>
            </w:pPr>
            <w:r>
              <w:rPr>
                <w:rFonts w:ascii="Arial" w:cs="Arial" w:eastAsia="Arial" w:hAnsi="Arial"/>
                <w:sz w:val="14"/>
                <w:szCs w:val="14"/>
                <w:color w:val="auto"/>
              </w:rPr>
              <w:t>positions, which are generally</w:t>
            </w:r>
          </w:p>
        </w:tc>
        <w:tc>
          <w:tcPr>
            <w:tcW w:w="2860" w:type="dxa"/>
            <w:vAlign w:val="bottom"/>
          </w:tcPr>
          <w:p>
            <w:pPr>
              <w:ind w:left="80"/>
              <w:spacing w:after="0"/>
              <w:rPr>
                <w:sz w:val="20"/>
                <w:szCs w:val="20"/>
                <w:color w:val="auto"/>
              </w:rPr>
            </w:pPr>
            <w:r>
              <w:rPr>
                <w:rFonts w:ascii="Arial" w:cs="Arial" w:eastAsia="Arial" w:hAnsi="Arial"/>
                <w:sz w:val="14"/>
                <w:szCs w:val="14"/>
                <w:color w:val="auto"/>
              </w:rPr>
              <w:t>the potential outcomes where uncertain tax</w:t>
            </w:r>
          </w:p>
        </w:tc>
      </w:tr>
      <w:tr>
        <w:trPr>
          <w:trHeight w:val="162"/>
        </w:trPr>
        <w:tc>
          <w:tcPr>
            <w:tcW w:w="2620" w:type="dxa"/>
            <w:vAlign w:val="bottom"/>
          </w:tcPr>
          <w:p>
            <w:pPr>
              <w:spacing w:after="0"/>
              <w:rPr>
                <w:sz w:val="20"/>
                <w:szCs w:val="20"/>
                <w:color w:val="auto"/>
              </w:rPr>
            </w:pPr>
            <w:r>
              <w:rPr>
                <w:rFonts w:ascii="Arial" w:cs="Arial" w:eastAsia="Arial" w:hAnsi="Arial"/>
                <w:sz w:val="14"/>
                <w:szCs w:val="14"/>
                <w:color w:val="auto"/>
              </w:rPr>
              <w:t>associated with acquisitions,</w:t>
            </w:r>
          </w:p>
        </w:tc>
        <w:tc>
          <w:tcPr>
            <w:tcW w:w="2860" w:type="dxa"/>
            <w:vAlign w:val="bottom"/>
          </w:tcPr>
          <w:p>
            <w:pPr>
              <w:ind w:left="80"/>
              <w:spacing w:after="0"/>
              <w:rPr>
                <w:sz w:val="20"/>
                <w:szCs w:val="20"/>
                <w:color w:val="auto"/>
              </w:rPr>
            </w:pPr>
            <w:r>
              <w:rPr>
                <w:rFonts w:ascii="Arial" w:cs="Arial" w:eastAsia="Arial" w:hAnsi="Arial"/>
                <w:sz w:val="14"/>
                <w:szCs w:val="14"/>
                <w:color w:val="auto"/>
              </w:rPr>
              <w:t>positions exist, based on communications</w:t>
            </w:r>
          </w:p>
        </w:tc>
      </w:tr>
      <w:tr>
        <w:trPr>
          <w:trHeight w:val="162"/>
        </w:trPr>
        <w:tc>
          <w:tcPr>
            <w:tcW w:w="2620" w:type="dxa"/>
            <w:vAlign w:val="bottom"/>
          </w:tcPr>
          <w:p>
            <w:pPr>
              <w:spacing w:after="0"/>
              <w:rPr>
                <w:sz w:val="20"/>
                <w:szCs w:val="20"/>
                <w:color w:val="auto"/>
              </w:rPr>
            </w:pPr>
            <w:r>
              <w:rPr>
                <w:rFonts w:ascii="Arial" w:cs="Arial" w:eastAsia="Arial" w:hAnsi="Arial"/>
                <w:sz w:val="14"/>
                <w:szCs w:val="14"/>
                <w:color w:val="auto"/>
              </w:rPr>
              <w:t>divestments and other activities in</w:t>
            </w:r>
          </w:p>
        </w:tc>
        <w:tc>
          <w:tcPr>
            <w:tcW w:w="2860" w:type="dxa"/>
            <w:vAlign w:val="bottom"/>
          </w:tcPr>
          <w:p>
            <w:pPr>
              <w:ind w:left="80"/>
              <w:spacing w:after="0"/>
              <w:rPr>
                <w:sz w:val="20"/>
                <w:szCs w:val="20"/>
                <w:color w:val="auto"/>
              </w:rPr>
            </w:pPr>
            <w:r>
              <w:rPr>
                <w:rFonts w:ascii="Arial" w:cs="Arial" w:eastAsia="Arial" w:hAnsi="Arial"/>
                <w:sz w:val="14"/>
                <w:szCs w:val="14"/>
                <w:color w:val="auto"/>
              </w:rPr>
              <w:t>received from the relevant tax authorities</w:t>
            </w:r>
          </w:p>
        </w:tc>
      </w:tr>
      <w:tr>
        <w:trPr>
          <w:trHeight w:val="162"/>
        </w:trPr>
        <w:tc>
          <w:tcPr>
            <w:tcW w:w="2620" w:type="dxa"/>
            <w:vAlign w:val="bottom"/>
          </w:tcPr>
          <w:p>
            <w:pPr>
              <w:spacing w:after="0"/>
              <w:rPr>
                <w:sz w:val="20"/>
                <w:szCs w:val="20"/>
                <w:color w:val="auto"/>
              </w:rPr>
            </w:pPr>
            <w:r>
              <w:rPr>
                <w:rFonts w:ascii="Arial" w:cs="Arial" w:eastAsia="Arial" w:hAnsi="Arial"/>
                <w:sz w:val="14"/>
                <w:szCs w:val="14"/>
                <w:color w:val="auto"/>
              </w:rPr>
              <w:t>countries where the tax regime is</w:t>
            </w:r>
          </w:p>
        </w:tc>
        <w:tc>
          <w:tcPr>
            <w:tcW w:w="2860" w:type="dxa"/>
            <w:vAlign w:val="bottom"/>
          </w:tcPr>
          <w:p>
            <w:pPr>
              <w:ind w:left="80"/>
              <w:spacing w:after="0"/>
              <w:rPr>
                <w:sz w:val="20"/>
                <w:szCs w:val="20"/>
                <w:color w:val="auto"/>
              </w:rPr>
            </w:pPr>
            <w:r>
              <w:rPr>
                <w:rFonts w:ascii="Arial" w:cs="Arial" w:eastAsia="Arial" w:hAnsi="Arial"/>
                <w:sz w:val="14"/>
                <w:szCs w:val="14"/>
                <w:color w:val="auto"/>
              </w:rPr>
              <w:t>and applying our local knowledge and</w:t>
            </w:r>
          </w:p>
        </w:tc>
      </w:tr>
      <w:tr>
        <w:trPr>
          <w:trHeight w:val="172"/>
        </w:trPr>
        <w:tc>
          <w:tcPr>
            <w:tcW w:w="2620" w:type="dxa"/>
            <w:vAlign w:val="bottom"/>
          </w:tcPr>
          <w:p>
            <w:pPr>
              <w:spacing w:after="0"/>
              <w:rPr>
                <w:sz w:val="20"/>
                <w:szCs w:val="20"/>
                <w:color w:val="auto"/>
              </w:rPr>
            </w:pPr>
            <w:r>
              <w:rPr>
                <w:rFonts w:ascii="Arial" w:cs="Arial" w:eastAsia="Arial" w:hAnsi="Arial"/>
                <w:sz w:val="14"/>
                <w:szCs w:val="14"/>
                <w:color w:val="auto"/>
              </w:rPr>
              <w:t>uncertain, immature or changing.</w:t>
            </w:r>
          </w:p>
        </w:tc>
        <w:tc>
          <w:tcPr>
            <w:tcW w:w="2860" w:type="dxa"/>
            <w:vAlign w:val="bottom"/>
          </w:tcPr>
          <w:p>
            <w:pPr>
              <w:ind w:left="80"/>
              <w:spacing w:after="0"/>
              <w:rPr>
                <w:sz w:val="20"/>
                <w:szCs w:val="20"/>
                <w:color w:val="auto"/>
              </w:rPr>
            </w:pPr>
            <w:r>
              <w:rPr>
                <w:rFonts w:ascii="Arial" w:cs="Arial" w:eastAsia="Arial" w:hAnsi="Arial"/>
                <w:sz w:val="14"/>
                <w:szCs w:val="14"/>
                <w:color w:val="auto"/>
              </w:rPr>
              <w:t>experience.</w:t>
            </w:r>
          </w:p>
        </w:tc>
      </w:tr>
      <w:tr>
        <w:trPr>
          <w:trHeight w:val="543"/>
        </w:trPr>
        <w:tc>
          <w:tcPr>
            <w:tcW w:w="2620" w:type="dxa"/>
            <w:vAlign w:val="bottom"/>
          </w:tcPr>
          <w:p>
            <w:pPr>
              <w:spacing w:after="0"/>
              <w:rPr>
                <w:sz w:val="20"/>
                <w:szCs w:val="20"/>
                <w:color w:val="auto"/>
              </w:rPr>
            </w:pPr>
            <w:r>
              <w:rPr>
                <w:rFonts w:ascii="Arial" w:cs="Arial" w:eastAsia="Arial" w:hAnsi="Arial"/>
                <w:sz w:val="14"/>
                <w:szCs w:val="14"/>
                <w:color w:val="auto"/>
              </w:rPr>
              <w:t>Where deferred tax assets arise,</w:t>
            </w:r>
          </w:p>
        </w:tc>
        <w:tc>
          <w:tcPr>
            <w:tcW w:w="2860" w:type="dxa"/>
            <w:vAlign w:val="bottom"/>
          </w:tcPr>
          <w:p>
            <w:pPr>
              <w:ind w:left="80"/>
              <w:spacing w:after="0"/>
              <w:rPr>
                <w:sz w:val="20"/>
                <w:szCs w:val="20"/>
                <w:color w:val="auto"/>
              </w:rPr>
            </w:pPr>
            <w:r>
              <w:rPr>
                <w:rFonts w:ascii="Arial" w:cs="Arial" w:eastAsia="Arial" w:hAnsi="Arial"/>
                <w:sz w:val="14"/>
                <w:szCs w:val="14"/>
                <w:color w:val="auto"/>
              </w:rPr>
              <w:t>With respect to deferred tax balances, we</w:t>
            </w:r>
          </w:p>
        </w:tc>
      </w:tr>
      <w:tr>
        <w:trPr>
          <w:trHeight w:val="162"/>
        </w:trPr>
        <w:tc>
          <w:tcPr>
            <w:tcW w:w="2620" w:type="dxa"/>
            <w:vAlign w:val="bottom"/>
          </w:tcPr>
          <w:p>
            <w:pPr>
              <w:spacing w:after="0"/>
              <w:rPr>
                <w:sz w:val="20"/>
                <w:szCs w:val="20"/>
                <w:color w:val="auto"/>
              </w:rPr>
            </w:pPr>
            <w:r>
              <w:rPr>
                <w:rFonts w:ascii="Arial" w:cs="Arial" w:eastAsia="Arial" w:hAnsi="Arial"/>
                <w:sz w:val="14"/>
                <w:szCs w:val="14"/>
                <w:color w:val="auto"/>
              </w:rPr>
              <w:t>management judgement is required to</w:t>
            </w:r>
          </w:p>
        </w:tc>
        <w:tc>
          <w:tcPr>
            <w:tcW w:w="2860" w:type="dxa"/>
            <w:vAlign w:val="bottom"/>
          </w:tcPr>
          <w:p>
            <w:pPr>
              <w:ind w:left="80"/>
              <w:spacing w:after="0"/>
              <w:rPr>
                <w:sz w:val="20"/>
                <w:szCs w:val="20"/>
                <w:color w:val="auto"/>
              </w:rPr>
            </w:pPr>
            <w:r>
              <w:rPr>
                <w:rFonts w:ascii="Arial" w:cs="Arial" w:eastAsia="Arial" w:hAnsi="Arial"/>
                <w:sz w:val="14"/>
                <w:szCs w:val="14"/>
                <w:color w:val="auto"/>
              </w:rPr>
              <w:t>examined documentation supporting the</w:t>
            </w:r>
          </w:p>
        </w:tc>
      </w:tr>
      <w:tr>
        <w:trPr>
          <w:trHeight w:val="162"/>
        </w:trPr>
        <w:tc>
          <w:tcPr>
            <w:tcW w:w="2620" w:type="dxa"/>
            <w:vAlign w:val="bottom"/>
          </w:tcPr>
          <w:p>
            <w:pPr>
              <w:spacing w:after="0"/>
              <w:rPr>
                <w:sz w:val="20"/>
                <w:szCs w:val="20"/>
                <w:color w:val="auto"/>
              </w:rPr>
            </w:pPr>
            <w:r>
              <w:rPr>
                <w:rFonts w:ascii="Arial" w:cs="Arial" w:eastAsia="Arial" w:hAnsi="Arial"/>
                <w:sz w:val="14"/>
                <w:szCs w:val="14"/>
                <w:color w:val="auto"/>
              </w:rPr>
              <w:t>assess the recoverability of the balance,</w:t>
            </w:r>
          </w:p>
        </w:tc>
        <w:tc>
          <w:tcPr>
            <w:tcW w:w="2860" w:type="dxa"/>
            <w:vAlign w:val="bottom"/>
          </w:tcPr>
          <w:p>
            <w:pPr>
              <w:ind w:left="80"/>
              <w:spacing w:after="0"/>
              <w:rPr>
                <w:sz w:val="20"/>
                <w:szCs w:val="20"/>
                <w:color w:val="auto"/>
              </w:rPr>
            </w:pPr>
            <w:r>
              <w:rPr>
                <w:rFonts w:ascii="Arial" w:cs="Arial" w:eastAsia="Arial" w:hAnsi="Arial"/>
                <w:sz w:val="14"/>
                <w:szCs w:val="14"/>
                <w:color w:val="auto"/>
              </w:rPr>
              <w:t>recoverability of deferred tax assets</w:t>
            </w:r>
          </w:p>
        </w:tc>
      </w:tr>
      <w:tr>
        <w:trPr>
          <w:trHeight w:val="122"/>
        </w:trPr>
        <w:tc>
          <w:tcPr>
            <w:tcW w:w="2620" w:type="dxa"/>
            <w:vAlign w:val="bottom"/>
          </w:tcPr>
          <w:p>
            <w:pPr>
              <w:spacing w:after="0" w:line="122" w:lineRule="exact"/>
              <w:rPr>
                <w:sz w:val="20"/>
                <w:szCs w:val="20"/>
                <w:color w:val="auto"/>
              </w:rPr>
            </w:pPr>
            <w:r>
              <w:rPr>
                <w:rFonts w:ascii="Arial" w:cs="Arial" w:eastAsia="Arial" w:hAnsi="Arial"/>
                <w:sz w:val="14"/>
                <w:szCs w:val="14"/>
                <w:color w:val="auto"/>
              </w:rPr>
              <w:t>in particular by reference to forecast</w:t>
            </w:r>
          </w:p>
        </w:tc>
        <w:tc>
          <w:tcPr>
            <w:tcW w:w="2860" w:type="dxa"/>
            <w:vAlign w:val="bottom"/>
          </w:tcPr>
          <w:p>
            <w:pPr>
              <w:ind w:left="80"/>
              <w:spacing w:after="0" w:line="122" w:lineRule="exact"/>
              <w:rPr>
                <w:sz w:val="20"/>
                <w:szCs w:val="20"/>
                <w:color w:val="auto"/>
              </w:rPr>
            </w:pPr>
            <w:r>
              <w:rPr>
                <w:rFonts w:ascii="Arial" w:cs="Arial" w:eastAsia="Arial" w:hAnsi="Arial"/>
                <w:sz w:val="14"/>
                <w:szCs w:val="14"/>
                <w:color w:val="auto"/>
              </w:rPr>
              <w:t>recognised, placing particular emphasis on</w:t>
            </w:r>
          </w:p>
        </w:tc>
      </w:tr>
    </w:tbl>
    <w:p>
      <w:pPr>
        <w:spacing w:after="0" w:line="1" w:lineRule="exact"/>
        <w:rPr>
          <w:sz w:val="20"/>
          <w:szCs w:val="20"/>
          <w:color w:val="auto"/>
        </w:rPr>
      </w:pPr>
    </w:p>
    <w:p>
      <w:pPr>
        <w:sectPr>
          <w:pgSz w:w="11900" w:h="16838" w:orient="portrait"/>
          <w:cols w:equalWidth="0" w:num="2">
            <w:col w:w="5480" w:space="300"/>
            <w:col w:w="5640"/>
          </w:cols>
          <w:pgMar w:left="240" w:top="459" w:right="239" w:bottom="1440" w:gutter="0" w:footer="0" w:header="0"/>
          <w:type w:val="continuous"/>
        </w:sectPr>
      </w:pPr>
    </w:p>
    <w:p>
      <w:pPr>
        <w:ind w:left="20" w:right="300"/>
        <w:spacing w:after="0" w:line="241" w:lineRule="auto"/>
        <w:rPr>
          <w:sz w:val="20"/>
          <w:szCs w:val="20"/>
          <w:color w:val="auto"/>
        </w:rPr>
      </w:pPr>
      <w:r>
        <w:rPr>
          <w:rFonts w:ascii="Arial" w:cs="Arial" w:eastAsia="Arial" w:hAnsi="Arial"/>
          <w:sz w:val="14"/>
          <w:szCs w:val="14"/>
          <w:color w:val="auto"/>
        </w:rPr>
        <w:t>Estimation of decommissioning and restoration provisions</w:t>
      </w:r>
    </w:p>
    <w:p>
      <w:pPr>
        <w:spacing w:after="0" w:line="1" w:lineRule="exact"/>
        <w:rPr>
          <w:sz w:val="20"/>
          <w:szCs w:val="20"/>
          <w:color w:val="auto"/>
        </w:rPr>
      </w:pPr>
    </w:p>
    <w:p>
      <w:pPr>
        <w:ind w:left="20"/>
        <w:spacing w:after="0" w:line="242" w:lineRule="auto"/>
        <w:rPr>
          <w:sz w:val="20"/>
          <w:szCs w:val="20"/>
          <w:color w:val="auto"/>
        </w:rPr>
      </w:pPr>
      <w:r>
        <w:rPr>
          <w:rFonts w:ascii="Arial" w:cs="Arial" w:eastAsia="Arial" w:hAnsi="Arial"/>
          <w:sz w:val="14"/>
          <w:szCs w:val="14"/>
          <w:color w:val="auto"/>
        </w:rPr>
        <w:t>The calculation of decommissioning and restoration provisions, which are primarily in respect of Upstream assets, requires significant management judgement because of the inherent complexity in estimating future costs. The decommissioning of offshore infrastructure is a relatively immature activity and consequently there is limited historical precedent against which to benchmark estimates of future cost. These factors increase the complexity involved in determining accurate accounting provisions that are material to Shell’s balance sheet.</w:t>
      </w:r>
    </w:p>
    <w:p>
      <w:pPr>
        <w:spacing w:after="0" w:line="20" w:lineRule="exact"/>
        <w:rPr>
          <w:sz w:val="20"/>
          <w:szCs w:val="20"/>
          <w:color w:val="auto"/>
        </w:rPr>
      </w:pPr>
      <w:r>
        <w:rPr>
          <w:sz w:val="20"/>
          <w:szCs w:val="20"/>
          <w:color w:val="auto"/>
        </w:rPr>
        <w:br w:type="column"/>
      </w:r>
    </w:p>
    <w:p>
      <w:pPr>
        <w:spacing w:after="0" w:line="242" w:lineRule="auto"/>
        <w:rPr>
          <w:sz w:val="20"/>
          <w:szCs w:val="20"/>
          <w:color w:val="auto"/>
        </w:rPr>
      </w:pPr>
      <w:r>
        <w:rPr>
          <w:rFonts w:ascii="Arial" w:cs="Arial" w:eastAsia="Arial" w:hAnsi="Arial"/>
          <w:sz w:val="14"/>
          <w:szCs w:val="14"/>
          <w:color w:val="auto"/>
        </w:rPr>
        <w:t>We critically appraised management’s annual review of provisions and performed detailed testing of the provision recorded in respect of certain assets based on the associated risk and materiality. We focused in particular on late-life assets, where changes to the cost estimate directly impact the income statement rather than being recognised as an asset. Testing involved understanding the mandatory or constructive obligations with respect to the decommissioning of each asset based on the contractual arrangements and relevant local regulation to validate the appropriateness of the method of decommissioning underpinning the cost estimate.</w:t>
      </w:r>
    </w:p>
    <w:p>
      <w:pPr>
        <w:spacing w:after="0" w:line="211" w:lineRule="exact"/>
        <w:rPr>
          <w:sz w:val="20"/>
          <w:szCs w:val="20"/>
          <w:color w:val="auto"/>
        </w:rPr>
      </w:pPr>
    </w:p>
    <w:p>
      <w:pPr>
        <w:ind w:right="60"/>
        <w:spacing w:after="0" w:line="247" w:lineRule="auto"/>
        <w:rPr>
          <w:sz w:val="20"/>
          <w:szCs w:val="20"/>
          <w:color w:val="auto"/>
        </w:rPr>
      </w:pPr>
      <w:r>
        <w:rPr>
          <w:rFonts w:ascii="Arial" w:cs="Arial" w:eastAsia="Arial" w:hAnsi="Arial"/>
          <w:sz w:val="14"/>
          <w:szCs w:val="14"/>
          <w:color w:val="auto"/>
        </w:rPr>
        <w:t>For these assets we considered the competence of the experts, whether internal or external to Shell, who produced the cost estimates.</w:t>
      </w:r>
    </w:p>
    <w:p>
      <w:pPr>
        <w:spacing w:after="0" w:line="20" w:lineRule="exact"/>
        <w:rPr>
          <w:sz w:val="20"/>
          <w:szCs w:val="20"/>
          <w:color w:val="auto"/>
        </w:rPr>
      </w:pPr>
      <w:r>
        <w:rPr>
          <w:sz w:val="20"/>
          <w:szCs w:val="20"/>
          <w:color w:val="auto"/>
        </w:rPr>
        <w:br w:type="column"/>
      </w:r>
    </w:p>
    <w:p>
      <w:pPr>
        <w:spacing w:after="0" w:line="2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2"/>
        </w:trPr>
        <w:tc>
          <w:tcPr>
            <w:tcW w:w="2620" w:type="dxa"/>
            <w:vAlign w:val="bottom"/>
          </w:tcPr>
          <w:p>
            <w:pPr>
              <w:spacing w:after="0"/>
              <w:rPr>
                <w:sz w:val="20"/>
                <w:szCs w:val="20"/>
                <w:color w:val="auto"/>
              </w:rPr>
            </w:pPr>
            <w:r>
              <w:rPr>
                <w:rFonts w:ascii="Arial" w:cs="Arial" w:eastAsia="Arial" w:hAnsi="Arial"/>
                <w:sz w:val="14"/>
                <w:szCs w:val="14"/>
                <w:color w:val="auto"/>
              </w:rPr>
              <w:t>future taxable income. The periods over</w:t>
            </w:r>
          </w:p>
        </w:tc>
        <w:tc>
          <w:tcPr>
            <w:tcW w:w="2860" w:type="dxa"/>
            <w:vAlign w:val="bottom"/>
          </w:tcPr>
          <w:p>
            <w:pPr>
              <w:ind w:left="80"/>
              <w:spacing w:after="0"/>
              <w:rPr>
                <w:sz w:val="20"/>
                <w:szCs w:val="20"/>
                <w:color w:val="auto"/>
              </w:rPr>
            </w:pPr>
            <w:r>
              <w:rPr>
                <w:rFonts w:ascii="Arial" w:cs="Arial" w:eastAsia="Arial" w:hAnsi="Arial"/>
                <w:sz w:val="14"/>
                <w:szCs w:val="14"/>
                <w:color w:val="auto"/>
              </w:rPr>
              <w:t>the reasonableness of the forecasts which</w:t>
            </w:r>
          </w:p>
        </w:tc>
      </w:tr>
      <w:tr>
        <w:trPr>
          <w:trHeight w:val="162"/>
        </w:trPr>
        <w:tc>
          <w:tcPr>
            <w:tcW w:w="2620" w:type="dxa"/>
            <w:vAlign w:val="bottom"/>
          </w:tcPr>
          <w:p>
            <w:pPr>
              <w:spacing w:after="0"/>
              <w:rPr>
                <w:sz w:val="20"/>
                <w:szCs w:val="20"/>
                <w:color w:val="auto"/>
              </w:rPr>
            </w:pPr>
            <w:r>
              <w:rPr>
                <w:rFonts w:ascii="Arial" w:cs="Arial" w:eastAsia="Arial" w:hAnsi="Arial"/>
                <w:sz w:val="14"/>
                <w:szCs w:val="14"/>
                <w:color w:val="auto"/>
              </w:rPr>
              <w:t>which the deferred tax assets are</w:t>
            </w:r>
          </w:p>
        </w:tc>
        <w:tc>
          <w:tcPr>
            <w:tcW w:w="2860" w:type="dxa"/>
            <w:vAlign w:val="bottom"/>
          </w:tcPr>
          <w:p>
            <w:pPr>
              <w:ind w:left="80"/>
              <w:spacing w:after="0"/>
              <w:rPr>
                <w:sz w:val="20"/>
                <w:szCs w:val="20"/>
                <w:color w:val="auto"/>
              </w:rPr>
            </w:pPr>
            <w:r>
              <w:rPr>
                <w:rFonts w:ascii="Arial" w:cs="Arial" w:eastAsia="Arial" w:hAnsi="Arial"/>
                <w:sz w:val="14"/>
                <w:szCs w:val="14"/>
                <w:color w:val="auto"/>
              </w:rPr>
              <w:t>underpin the asset recognition, including</w:t>
            </w:r>
          </w:p>
        </w:tc>
      </w:tr>
      <w:tr>
        <w:trPr>
          <w:trHeight w:val="162"/>
        </w:trPr>
        <w:tc>
          <w:tcPr>
            <w:tcW w:w="2620" w:type="dxa"/>
            <w:vAlign w:val="bottom"/>
          </w:tcPr>
          <w:p>
            <w:pPr>
              <w:spacing w:after="0"/>
              <w:rPr>
                <w:sz w:val="20"/>
                <w:szCs w:val="20"/>
                <w:color w:val="auto"/>
              </w:rPr>
            </w:pPr>
            <w:r>
              <w:rPr>
                <w:rFonts w:ascii="Arial" w:cs="Arial" w:eastAsia="Arial" w:hAnsi="Arial"/>
                <w:sz w:val="14"/>
                <w:szCs w:val="14"/>
                <w:color w:val="auto"/>
              </w:rPr>
              <w:t>expected to be recovered can be</w:t>
            </w:r>
          </w:p>
        </w:tc>
        <w:tc>
          <w:tcPr>
            <w:tcW w:w="2860" w:type="dxa"/>
            <w:vAlign w:val="bottom"/>
          </w:tcPr>
          <w:p>
            <w:pPr>
              <w:ind w:left="80"/>
              <w:spacing w:after="0"/>
              <w:rPr>
                <w:sz w:val="20"/>
                <w:szCs w:val="20"/>
                <w:color w:val="auto"/>
              </w:rPr>
            </w:pPr>
            <w:r>
              <w:rPr>
                <w:rFonts w:ascii="Arial" w:cs="Arial" w:eastAsia="Arial" w:hAnsi="Arial"/>
                <w:sz w:val="14"/>
                <w:szCs w:val="14"/>
                <w:color w:val="auto"/>
              </w:rPr>
              <w:t>the impact of recent price deterioration. We</w:t>
            </w:r>
          </w:p>
        </w:tc>
      </w:tr>
      <w:tr>
        <w:trPr>
          <w:trHeight w:val="162"/>
        </w:trPr>
        <w:tc>
          <w:tcPr>
            <w:tcW w:w="2620" w:type="dxa"/>
            <w:vAlign w:val="bottom"/>
          </w:tcPr>
          <w:p>
            <w:pPr>
              <w:spacing w:after="0"/>
              <w:rPr>
                <w:sz w:val="20"/>
                <w:szCs w:val="20"/>
                <w:color w:val="auto"/>
              </w:rPr>
            </w:pPr>
            <w:r>
              <w:rPr>
                <w:rFonts w:ascii="Arial" w:cs="Arial" w:eastAsia="Arial" w:hAnsi="Arial"/>
                <w:sz w:val="14"/>
                <w:szCs w:val="14"/>
                <w:color w:val="auto"/>
              </w:rPr>
              <w:t>extensive.</w:t>
            </w:r>
          </w:p>
        </w:tc>
        <w:tc>
          <w:tcPr>
            <w:tcW w:w="2860" w:type="dxa"/>
            <w:vAlign w:val="bottom"/>
          </w:tcPr>
          <w:p>
            <w:pPr>
              <w:ind w:left="80"/>
              <w:spacing w:after="0"/>
              <w:rPr>
                <w:sz w:val="20"/>
                <w:szCs w:val="20"/>
                <w:color w:val="auto"/>
              </w:rPr>
            </w:pPr>
            <w:r>
              <w:rPr>
                <w:rFonts w:ascii="Arial" w:cs="Arial" w:eastAsia="Arial" w:hAnsi="Arial"/>
                <w:sz w:val="14"/>
                <w:szCs w:val="14"/>
                <w:color w:val="auto"/>
              </w:rPr>
              <w:t>found that support for the recognition of</w:t>
            </w:r>
          </w:p>
        </w:tc>
      </w:tr>
      <w:tr>
        <w:trPr>
          <w:trHeight w:val="162"/>
        </w:trPr>
        <w:tc>
          <w:tcPr>
            <w:tcW w:w="2620" w:type="dxa"/>
            <w:vAlign w:val="bottom"/>
          </w:tcPr>
          <w:p>
            <w:pPr>
              <w:spacing w:after="0"/>
              <w:rPr>
                <w:sz w:val="14"/>
                <w:szCs w:val="14"/>
                <w:color w:val="auto"/>
              </w:rPr>
            </w:pPr>
          </w:p>
        </w:tc>
        <w:tc>
          <w:tcPr>
            <w:tcW w:w="2860" w:type="dxa"/>
            <w:vAlign w:val="bottom"/>
          </w:tcPr>
          <w:p>
            <w:pPr>
              <w:ind w:left="80"/>
              <w:spacing w:after="0"/>
              <w:rPr>
                <w:sz w:val="20"/>
                <w:szCs w:val="20"/>
                <w:color w:val="auto"/>
              </w:rPr>
            </w:pPr>
            <w:r>
              <w:rPr>
                <w:rFonts w:ascii="Arial" w:cs="Arial" w:eastAsia="Arial" w:hAnsi="Arial"/>
                <w:sz w:val="14"/>
                <w:szCs w:val="14"/>
                <w:color w:val="auto"/>
              </w:rPr>
              <w:t>these deferred tax assets was consistent</w:t>
            </w:r>
          </w:p>
        </w:tc>
      </w:tr>
      <w:tr>
        <w:trPr>
          <w:trHeight w:val="162"/>
        </w:trPr>
        <w:tc>
          <w:tcPr>
            <w:tcW w:w="2620" w:type="dxa"/>
            <w:vAlign w:val="bottom"/>
          </w:tcPr>
          <w:p>
            <w:pPr>
              <w:spacing w:after="0"/>
              <w:rPr>
                <w:sz w:val="14"/>
                <w:szCs w:val="14"/>
                <w:color w:val="auto"/>
              </w:rPr>
            </w:pPr>
          </w:p>
        </w:tc>
        <w:tc>
          <w:tcPr>
            <w:tcW w:w="2860" w:type="dxa"/>
            <w:vAlign w:val="bottom"/>
          </w:tcPr>
          <w:p>
            <w:pPr>
              <w:ind w:left="80"/>
              <w:spacing w:after="0"/>
              <w:rPr>
                <w:sz w:val="20"/>
                <w:szCs w:val="20"/>
                <w:color w:val="auto"/>
              </w:rPr>
            </w:pPr>
            <w:r>
              <w:rPr>
                <w:rFonts w:ascii="Arial" w:cs="Arial" w:eastAsia="Arial" w:hAnsi="Arial"/>
                <w:sz w:val="14"/>
                <w:szCs w:val="14"/>
                <w:color w:val="auto"/>
              </w:rPr>
              <w:t>with the long-term business plans used by</w:t>
            </w:r>
          </w:p>
        </w:tc>
      </w:tr>
      <w:tr>
        <w:trPr>
          <w:trHeight w:val="162"/>
        </w:trPr>
        <w:tc>
          <w:tcPr>
            <w:tcW w:w="2620" w:type="dxa"/>
            <w:vAlign w:val="bottom"/>
          </w:tcPr>
          <w:p>
            <w:pPr>
              <w:spacing w:after="0"/>
              <w:rPr>
                <w:sz w:val="14"/>
                <w:szCs w:val="14"/>
                <w:color w:val="auto"/>
              </w:rPr>
            </w:pPr>
          </w:p>
        </w:tc>
        <w:tc>
          <w:tcPr>
            <w:tcW w:w="2860" w:type="dxa"/>
            <w:vAlign w:val="bottom"/>
          </w:tcPr>
          <w:p>
            <w:pPr>
              <w:ind w:left="80"/>
              <w:spacing w:after="0"/>
              <w:rPr>
                <w:sz w:val="20"/>
                <w:szCs w:val="20"/>
                <w:color w:val="auto"/>
              </w:rPr>
            </w:pPr>
            <w:r>
              <w:rPr>
                <w:rFonts w:ascii="Arial" w:cs="Arial" w:eastAsia="Arial" w:hAnsi="Arial"/>
                <w:sz w:val="14"/>
                <w:szCs w:val="14"/>
                <w:color w:val="auto"/>
              </w:rPr>
              <w:t>management to manage and monitor the</w:t>
            </w:r>
          </w:p>
        </w:tc>
      </w:tr>
      <w:tr>
        <w:trPr>
          <w:trHeight w:val="162"/>
        </w:trPr>
        <w:tc>
          <w:tcPr>
            <w:tcW w:w="2620" w:type="dxa"/>
            <w:vAlign w:val="bottom"/>
          </w:tcPr>
          <w:p>
            <w:pPr>
              <w:spacing w:after="0"/>
              <w:rPr>
                <w:sz w:val="14"/>
                <w:szCs w:val="14"/>
                <w:color w:val="auto"/>
              </w:rPr>
            </w:pPr>
          </w:p>
        </w:tc>
        <w:tc>
          <w:tcPr>
            <w:tcW w:w="2860" w:type="dxa"/>
            <w:vAlign w:val="bottom"/>
          </w:tcPr>
          <w:p>
            <w:pPr>
              <w:ind w:left="80"/>
              <w:spacing w:after="0"/>
              <w:rPr>
                <w:sz w:val="20"/>
                <w:szCs w:val="20"/>
                <w:color w:val="auto"/>
              </w:rPr>
            </w:pPr>
            <w:r>
              <w:rPr>
                <w:rFonts w:ascii="Arial" w:cs="Arial" w:eastAsia="Arial" w:hAnsi="Arial"/>
                <w:sz w:val="14"/>
                <w:szCs w:val="14"/>
                <w:color w:val="auto"/>
              </w:rPr>
              <w:t>performance of the business, which were</w:t>
            </w:r>
          </w:p>
        </w:tc>
      </w:tr>
      <w:tr>
        <w:trPr>
          <w:trHeight w:val="171"/>
        </w:trPr>
        <w:tc>
          <w:tcPr>
            <w:tcW w:w="2620" w:type="dxa"/>
            <w:vAlign w:val="bottom"/>
            <w:tcBorders>
              <w:bottom w:val="single" w:sz="8" w:color="auto"/>
            </w:tcBorders>
          </w:tcPr>
          <w:p>
            <w:pPr>
              <w:spacing w:after="0"/>
              <w:rPr>
                <w:sz w:val="14"/>
                <w:szCs w:val="14"/>
                <w:color w:val="auto"/>
              </w:rPr>
            </w:pPr>
          </w:p>
        </w:tc>
        <w:tc>
          <w:tcPr>
            <w:tcW w:w="2860" w:type="dxa"/>
            <w:vAlign w:val="bottom"/>
            <w:tcBorders>
              <w:bottom w:val="single" w:sz="8" w:color="auto"/>
            </w:tcBorders>
          </w:tcPr>
          <w:p>
            <w:pPr>
              <w:ind w:left="80"/>
              <w:spacing w:after="0"/>
              <w:rPr>
                <w:sz w:val="20"/>
                <w:szCs w:val="20"/>
                <w:color w:val="auto"/>
              </w:rPr>
            </w:pPr>
            <w:r>
              <w:rPr>
                <w:rFonts w:ascii="Arial" w:cs="Arial" w:eastAsia="Arial" w:hAnsi="Arial"/>
                <w:sz w:val="14"/>
                <w:szCs w:val="14"/>
                <w:color w:val="auto"/>
              </w:rPr>
              <w:t>updated during the second half of 2014.</w:t>
            </w:r>
          </w:p>
        </w:tc>
      </w:tr>
      <w:tr>
        <w:trPr>
          <w:trHeight w:val="160"/>
        </w:trPr>
        <w:tc>
          <w:tcPr>
            <w:tcW w:w="2620" w:type="dxa"/>
            <w:vAlign w:val="bottom"/>
          </w:tcPr>
          <w:p>
            <w:pPr>
              <w:spacing w:after="0"/>
              <w:rPr>
                <w:sz w:val="20"/>
                <w:szCs w:val="20"/>
                <w:color w:val="auto"/>
              </w:rPr>
            </w:pPr>
            <w:r>
              <w:rPr>
                <w:rFonts w:ascii="Arial" w:cs="Arial" w:eastAsia="Arial" w:hAnsi="Arial"/>
                <w:sz w:val="14"/>
                <w:szCs w:val="14"/>
                <w:color w:val="auto"/>
              </w:rPr>
              <w:t>Accounting for divestments</w:t>
            </w:r>
          </w:p>
        </w:tc>
        <w:tc>
          <w:tcPr>
            <w:tcW w:w="2860" w:type="dxa"/>
            <w:vAlign w:val="bottom"/>
          </w:tcPr>
          <w:p>
            <w:pPr>
              <w:ind w:left="80"/>
              <w:spacing w:after="0"/>
              <w:rPr>
                <w:sz w:val="20"/>
                <w:szCs w:val="20"/>
                <w:color w:val="auto"/>
              </w:rPr>
            </w:pPr>
            <w:r>
              <w:rPr>
                <w:rFonts w:ascii="Arial" w:cs="Arial" w:eastAsia="Arial" w:hAnsi="Arial"/>
                <w:sz w:val="14"/>
                <w:szCs w:val="14"/>
                <w:color w:val="auto"/>
              </w:rPr>
              <w:t>We read management’s accounting papers</w:t>
            </w:r>
          </w:p>
        </w:tc>
      </w:tr>
      <w:tr>
        <w:trPr>
          <w:trHeight w:val="162"/>
        </w:trPr>
        <w:tc>
          <w:tcPr>
            <w:tcW w:w="2620" w:type="dxa"/>
            <w:vAlign w:val="bottom"/>
          </w:tcPr>
          <w:p>
            <w:pPr>
              <w:spacing w:after="0"/>
              <w:rPr>
                <w:sz w:val="20"/>
                <w:szCs w:val="20"/>
                <w:color w:val="auto"/>
              </w:rPr>
            </w:pPr>
            <w:r>
              <w:rPr>
                <w:rFonts w:ascii="Arial" w:cs="Arial" w:eastAsia="Arial" w:hAnsi="Arial"/>
                <w:sz w:val="14"/>
                <w:szCs w:val="14"/>
                <w:color w:val="auto"/>
              </w:rPr>
              <w:t>Having publicly announced in early</w:t>
            </w:r>
          </w:p>
        </w:tc>
        <w:tc>
          <w:tcPr>
            <w:tcW w:w="2860" w:type="dxa"/>
            <w:vAlign w:val="bottom"/>
          </w:tcPr>
          <w:p>
            <w:pPr>
              <w:ind w:left="80"/>
              <w:spacing w:after="0"/>
              <w:rPr>
                <w:sz w:val="20"/>
                <w:szCs w:val="20"/>
                <w:color w:val="auto"/>
              </w:rPr>
            </w:pPr>
            <w:r>
              <w:rPr>
                <w:rFonts w:ascii="Arial" w:cs="Arial" w:eastAsia="Arial" w:hAnsi="Arial"/>
                <w:sz w:val="14"/>
                <w:szCs w:val="14"/>
                <w:color w:val="auto"/>
              </w:rPr>
              <w:t>associated with each transaction and</w:t>
            </w:r>
          </w:p>
        </w:tc>
      </w:tr>
      <w:tr>
        <w:trPr>
          <w:trHeight w:val="162"/>
        </w:trPr>
        <w:tc>
          <w:tcPr>
            <w:tcW w:w="2620" w:type="dxa"/>
            <w:vAlign w:val="bottom"/>
          </w:tcPr>
          <w:p>
            <w:pPr>
              <w:spacing w:after="0"/>
              <w:rPr>
                <w:sz w:val="20"/>
                <w:szCs w:val="20"/>
                <w:color w:val="auto"/>
              </w:rPr>
            </w:pPr>
            <w:r>
              <w:rPr>
                <w:rFonts w:ascii="Arial" w:cs="Arial" w:eastAsia="Arial" w:hAnsi="Arial"/>
                <w:sz w:val="14"/>
                <w:szCs w:val="14"/>
                <w:color w:val="auto"/>
              </w:rPr>
              <w:t>2014 the intention to generate proceeds</w:t>
            </w:r>
          </w:p>
        </w:tc>
        <w:tc>
          <w:tcPr>
            <w:tcW w:w="2860" w:type="dxa"/>
            <w:vAlign w:val="bottom"/>
          </w:tcPr>
          <w:p>
            <w:pPr>
              <w:ind w:left="80"/>
              <w:spacing w:after="0"/>
              <w:rPr>
                <w:sz w:val="20"/>
                <w:szCs w:val="20"/>
                <w:color w:val="auto"/>
              </w:rPr>
            </w:pPr>
            <w:r>
              <w:rPr>
                <w:rFonts w:ascii="Arial" w:cs="Arial" w:eastAsia="Arial" w:hAnsi="Arial"/>
                <w:sz w:val="14"/>
                <w:szCs w:val="14"/>
                <w:color w:val="auto"/>
              </w:rPr>
              <w:t>assessed whether the proposed treatment</w:t>
            </w:r>
          </w:p>
        </w:tc>
      </w:tr>
      <w:tr>
        <w:trPr>
          <w:trHeight w:val="162"/>
        </w:trPr>
        <w:tc>
          <w:tcPr>
            <w:tcW w:w="2620" w:type="dxa"/>
            <w:vAlign w:val="bottom"/>
          </w:tcPr>
          <w:p>
            <w:pPr>
              <w:spacing w:after="0"/>
              <w:rPr>
                <w:sz w:val="20"/>
                <w:szCs w:val="20"/>
                <w:color w:val="auto"/>
              </w:rPr>
            </w:pPr>
            <w:r>
              <w:rPr>
                <w:rFonts w:ascii="Arial" w:cs="Arial" w:eastAsia="Arial" w:hAnsi="Arial"/>
                <w:sz w:val="14"/>
                <w:szCs w:val="14"/>
                <w:color w:val="auto"/>
              </w:rPr>
              <w:t>of $15 billion from the divestment of</w:t>
            </w:r>
          </w:p>
        </w:tc>
        <w:tc>
          <w:tcPr>
            <w:tcW w:w="2860" w:type="dxa"/>
            <w:vAlign w:val="bottom"/>
          </w:tcPr>
          <w:p>
            <w:pPr>
              <w:ind w:left="80"/>
              <w:spacing w:after="0"/>
              <w:rPr>
                <w:sz w:val="20"/>
                <w:szCs w:val="20"/>
                <w:color w:val="auto"/>
              </w:rPr>
            </w:pPr>
            <w:r>
              <w:rPr>
                <w:rFonts w:ascii="Arial" w:cs="Arial" w:eastAsia="Arial" w:hAnsi="Arial"/>
                <w:sz w:val="14"/>
                <w:szCs w:val="14"/>
                <w:color w:val="auto"/>
              </w:rPr>
              <w:t>was consistent with the requirements of</w:t>
            </w:r>
          </w:p>
        </w:tc>
      </w:tr>
      <w:tr>
        <w:trPr>
          <w:trHeight w:val="162"/>
        </w:trPr>
        <w:tc>
          <w:tcPr>
            <w:tcW w:w="2620" w:type="dxa"/>
            <w:vAlign w:val="bottom"/>
          </w:tcPr>
          <w:p>
            <w:pPr>
              <w:spacing w:after="0"/>
              <w:rPr>
                <w:sz w:val="20"/>
                <w:szCs w:val="20"/>
                <w:color w:val="auto"/>
              </w:rPr>
            </w:pPr>
            <w:r>
              <w:rPr>
                <w:rFonts w:ascii="Arial" w:cs="Arial" w:eastAsia="Arial" w:hAnsi="Arial"/>
                <w:sz w:val="14"/>
                <w:szCs w:val="14"/>
                <w:color w:val="auto"/>
              </w:rPr>
              <w:t>assets in 2014 and 2015, Shell</w:t>
            </w:r>
          </w:p>
        </w:tc>
        <w:tc>
          <w:tcPr>
            <w:tcW w:w="2860" w:type="dxa"/>
            <w:vAlign w:val="bottom"/>
          </w:tcPr>
          <w:p>
            <w:pPr>
              <w:ind w:left="80"/>
              <w:spacing w:after="0"/>
              <w:rPr>
                <w:sz w:val="20"/>
                <w:szCs w:val="20"/>
                <w:color w:val="auto"/>
              </w:rPr>
            </w:pPr>
            <w:r>
              <w:rPr>
                <w:rFonts w:ascii="Arial" w:cs="Arial" w:eastAsia="Arial" w:hAnsi="Arial"/>
                <w:sz w:val="14"/>
                <w:szCs w:val="14"/>
                <w:color w:val="auto"/>
              </w:rPr>
              <w:t>IFRS and agreed key assumptions or facts</w:t>
            </w:r>
          </w:p>
        </w:tc>
      </w:tr>
      <w:tr>
        <w:trPr>
          <w:trHeight w:val="162"/>
        </w:trPr>
        <w:tc>
          <w:tcPr>
            <w:tcW w:w="2620" w:type="dxa"/>
            <w:vAlign w:val="bottom"/>
          </w:tcPr>
          <w:p>
            <w:pPr>
              <w:spacing w:after="0"/>
              <w:rPr>
                <w:sz w:val="20"/>
                <w:szCs w:val="20"/>
                <w:color w:val="auto"/>
              </w:rPr>
            </w:pPr>
            <w:r>
              <w:rPr>
                <w:rFonts w:ascii="Arial" w:cs="Arial" w:eastAsia="Arial" w:hAnsi="Arial"/>
                <w:sz w:val="14"/>
                <w:szCs w:val="14"/>
                <w:color w:val="auto"/>
              </w:rPr>
              <w:t>generated proceeds of $14 billion from</w:t>
            </w:r>
          </w:p>
        </w:tc>
        <w:tc>
          <w:tcPr>
            <w:tcW w:w="2860" w:type="dxa"/>
            <w:vAlign w:val="bottom"/>
          </w:tcPr>
          <w:p>
            <w:pPr>
              <w:ind w:left="80"/>
              <w:spacing w:after="0"/>
              <w:rPr>
                <w:sz w:val="20"/>
                <w:szCs w:val="20"/>
                <w:color w:val="auto"/>
              </w:rPr>
            </w:pPr>
            <w:r>
              <w:rPr>
                <w:rFonts w:ascii="Arial" w:cs="Arial" w:eastAsia="Arial" w:hAnsi="Arial"/>
                <w:sz w:val="14"/>
                <w:szCs w:val="14"/>
                <w:color w:val="auto"/>
              </w:rPr>
              <w:t>within the papers to underlying</w:t>
            </w:r>
          </w:p>
        </w:tc>
      </w:tr>
      <w:tr>
        <w:trPr>
          <w:trHeight w:val="162"/>
        </w:trPr>
        <w:tc>
          <w:tcPr>
            <w:tcW w:w="2620" w:type="dxa"/>
            <w:vAlign w:val="bottom"/>
          </w:tcPr>
          <w:p>
            <w:pPr>
              <w:spacing w:after="0"/>
              <w:rPr>
                <w:sz w:val="20"/>
                <w:szCs w:val="20"/>
                <w:color w:val="auto"/>
              </w:rPr>
            </w:pPr>
            <w:r>
              <w:rPr>
                <w:rFonts w:ascii="Arial" w:cs="Arial" w:eastAsia="Arial" w:hAnsi="Arial"/>
                <w:sz w:val="14"/>
                <w:szCs w:val="14"/>
                <w:color w:val="auto"/>
              </w:rPr>
              <w:t>divestments during the year.</w:t>
            </w:r>
          </w:p>
        </w:tc>
        <w:tc>
          <w:tcPr>
            <w:tcW w:w="2860" w:type="dxa"/>
            <w:vAlign w:val="bottom"/>
          </w:tcPr>
          <w:p>
            <w:pPr>
              <w:ind w:left="80"/>
              <w:spacing w:after="0"/>
              <w:rPr>
                <w:sz w:val="20"/>
                <w:szCs w:val="20"/>
                <w:color w:val="auto"/>
              </w:rPr>
            </w:pPr>
            <w:r>
              <w:rPr>
                <w:rFonts w:ascii="Arial" w:cs="Arial" w:eastAsia="Arial" w:hAnsi="Arial"/>
                <w:sz w:val="14"/>
                <w:szCs w:val="14"/>
                <w:color w:val="auto"/>
              </w:rPr>
              <w:t>documentation such as the sale and</w:t>
            </w:r>
          </w:p>
        </w:tc>
      </w:tr>
      <w:tr>
        <w:trPr>
          <w:trHeight w:val="162"/>
        </w:trPr>
        <w:tc>
          <w:tcPr>
            <w:tcW w:w="2620" w:type="dxa"/>
            <w:vAlign w:val="bottom"/>
          </w:tcPr>
          <w:p>
            <w:pPr>
              <w:spacing w:after="0"/>
              <w:rPr>
                <w:sz w:val="14"/>
                <w:szCs w:val="14"/>
                <w:color w:val="auto"/>
              </w:rPr>
            </w:pPr>
          </w:p>
        </w:tc>
        <w:tc>
          <w:tcPr>
            <w:tcW w:w="2860" w:type="dxa"/>
            <w:vAlign w:val="bottom"/>
          </w:tcPr>
          <w:p>
            <w:pPr>
              <w:ind w:left="80"/>
              <w:spacing w:after="0"/>
              <w:rPr>
                <w:sz w:val="20"/>
                <w:szCs w:val="20"/>
                <w:color w:val="auto"/>
              </w:rPr>
            </w:pPr>
            <w:r>
              <w:rPr>
                <w:rFonts w:ascii="Arial" w:cs="Arial" w:eastAsia="Arial" w:hAnsi="Arial"/>
                <w:sz w:val="14"/>
                <w:szCs w:val="14"/>
                <w:color w:val="auto"/>
              </w:rPr>
              <w:t>purchase agreements. No discrepancies</w:t>
            </w:r>
          </w:p>
        </w:tc>
      </w:tr>
      <w:tr>
        <w:trPr>
          <w:trHeight w:val="172"/>
        </w:trPr>
        <w:tc>
          <w:tcPr>
            <w:tcW w:w="2620" w:type="dxa"/>
            <w:vAlign w:val="bottom"/>
          </w:tcPr>
          <w:p>
            <w:pPr>
              <w:spacing w:after="0"/>
              <w:rPr>
                <w:sz w:val="14"/>
                <w:szCs w:val="14"/>
                <w:color w:val="auto"/>
              </w:rPr>
            </w:pPr>
          </w:p>
        </w:tc>
        <w:tc>
          <w:tcPr>
            <w:tcW w:w="2860" w:type="dxa"/>
            <w:vAlign w:val="bottom"/>
          </w:tcPr>
          <w:p>
            <w:pPr>
              <w:ind w:left="80"/>
              <w:spacing w:after="0"/>
              <w:rPr>
                <w:sz w:val="20"/>
                <w:szCs w:val="20"/>
                <w:color w:val="auto"/>
              </w:rPr>
            </w:pPr>
            <w:r>
              <w:rPr>
                <w:rFonts w:ascii="Arial" w:cs="Arial" w:eastAsia="Arial" w:hAnsi="Arial"/>
                <w:sz w:val="14"/>
                <w:szCs w:val="14"/>
                <w:color w:val="auto"/>
              </w:rPr>
              <w:t>were noted between</w:t>
            </w:r>
          </w:p>
        </w:tc>
      </w:tr>
    </w:tbl>
    <w:p>
      <w:pPr>
        <w:sectPr>
          <w:pgSz w:w="11900" w:h="16838" w:orient="portrait"/>
          <w:cols w:equalWidth="0" w:num="3">
            <w:col w:w="2580" w:space="120"/>
            <w:col w:w="2760" w:space="320"/>
            <w:col w:w="5640"/>
          </w:cols>
          <w:pgMar w:left="240" w:top="459" w:right="239" w:bottom="1440" w:gutter="0" w:footer="0" w:header="0"/>
          <w:type w:val="continuous"/>
        </w:sectPr>
      </w:pPr>
    </w:p>
    <w:bookmarkStart w:id="104" w:name="page105"/>
    <w:bookmarkEnd w:id="10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tbl>
      <w:tblPr>
        <w:tblLayout w:type="fixed"/>
        <w:tblInd w:w="0" w:type="dxa"/>
        <w:tblCellMar>
          <w:top w:w="0" w:type="dxa"/>
          <w:left w:w="0" w:type="dxa"/>
          <w:bottom w:w="0" w:type="dxa"/>
          <w:right w:w="0" w:type="dxa"/>
        </w:tblCellMar>
      </w:tblPr>
      <w:tr>
        <w:trPr>
          <w:trHeight w:val="130"/>
        </w:trPr>
        <w:tc>
          <w:tcPr>
            <w:tcW w:w="2640" w:type="dxa"/>
            <w:vAlign w:val="bottom"/>
          </w:tcPr>
          <w:p>
            <w:pPr>
              <w:spacing w:after="0"/>
              <w:rPr>
                <w:sz w:val="20"/>
                <w:szCs w:val="20"/>
                <w:color w:val="auto"/>
              </w:rPr>
            </w:pPr>
            <w:r>
              <w:rPr>
                <w:rFonts w:ascii="Arial" w:cs="Arial" w:eastAsia="Arial" w:hAnsi="Arial"/>
                <w:sz w:val="11"/>
                <w:szCs w:val="11"/>
                <w:color w:val="auto"/>
              </w:rPr>
              <w:t>SHELL ANNUAL REPORT AND FORM 20-F 2014</w:t>
            </w:r>
          </w:p>
        </w:tc>
        <w:tc>
          <w:tcPr>
            <w:tcW w:w="2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63"/>
        </w:trPr>
        <w:tc>
          <w:tcPr>
            <w:tcW w:w="2640" w:type="dxa"/>
            <w:vAlign w:val="bottom"/>
          </w:tcPr>
          <w:p>
            <w:pPr>
              <w:spacing w:after="0"/>
              <w:rPr>
                <w:sz w:val="5"/>
                <w:szCs w:val="5"/>
                <w:color w:val="auto"/>
              </w:rPr>
            </w:pPr>
          </w:p>
        </w:tc>
        <w:tc>
          <w:tcPr>
            <w:tcW w:w="286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162"/>
        </w:trPr>
        <w:tc>
          <w:tcPr>
            <w:tcW w:w="2640" w:type="dxa"/>
            <w:vAlign w:val="bottom"/>
            <w:shd w:val="clear" w:color="auto" w:fill="333333"/>
          </w:tcPr>
          <w:p>
            <w:pPr>
              <w:spacing w:after="0"/>
              <w:rPr>
                <w:sz w:val="14"/>
                <w:szCs w:val="14"/>
                <w:color w:val="auto"/>
              </w:rPr>
            </w:pPr>
          </w:p>
        </w:tc>
        <w:tc>
          <w:tcPr>
            <w:tcW w:w="2840" w:type="dxa"/>
            <w:vAlign w:val="bottom"/>
            <w:shd w:val="clear" w:color="auto" w:fill="333333"/>
          </w:tcPr>
          <w:p>
            <w:pPr>
              <w:spacing w:after="0"/>
              <w:rPr>
                <w:sz w:val="14"/>
                <w:szCs w:val="14"/>
                <w:color w:val="auto"/>
              </w:rPr>
            </w:pPr>
          </w:p>
        </w:tc>
        <w:tc>
          <w:tcPr>
            <w:tcW w:w="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2640" w:type="dxa"/>
            <w:vAlign w:val="bottom"/>
            <w:tcBorders>
              <w:bottom w:val="single" w:sz="8" w:color="auto"/>
            </w:tcBorders>
          </w:tcPr>
          <w:p>
            <w:pPr>
              <w:ind w:left="20"/>
              <w:spacing w:after="0" w:line="135" w:lineRule="exact"/>
              <w:rPr>
                <w:sz w:val="20"/>
                <w:szCs w:val="20"/>
                <w:color w:val="auto"/>
              </w:rPr>
            </w:pPr>
            <w:r>
              <w:rPr>
                <w:rFonts w:ascii="Arial" w:cs="Arial" w:eastAsia="Arial" w:hAnsi="Arial"/>
                <w:sz w:val="13"/>
                <w:szCs w:val="13"/>
                <w:color w:val="auto"/>
              </w:rPr>
              <w:t>Area of focus</w:t>
            </w:r>
          </w:p>
        </w:tc>
        <w:tc>
          <w:tcPr>
            <w:tcW w:w="2840" w:type="dxa"/>
            <w:vAlign w:val="bottom"/>
            <w:tcBorders>
              <w:bottom w:val="single" w:sz="8" w:color="auto"/>
            </w:tcBorders>
          </w:tcPr>
          <w:p>
            <w:pPr>
              <w:ind w:left="60"/>
              <w:spacing w:after="0" w:line="135" w:lineRule="exact"/>
              <w:rPr>
                <w:sz w:val="20"/>
                <w:szCs w:val="20"/>
                <w:color w:val="auto"/>
              </w:rPr>
            </w:pPr>
            <w:r>
              <w:rPr>
                <w:rFonts w:ascii="Arial" w:cs="Arial" w:eastAsia="Arial" w:hAnsi="Arial"/>
                <w:sz w:val="13"/>
                <w:szCs w:val="13"/>
                <w:color w:val="auto"/>
              </w:rPr>
              <w:t>How our audit addressed the area of focus</w:t>
            </w:r>
          </w:p>
        </w:tc>
        <w:tc>
          <w:tcPr>
            <w:tcW w:w="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640" w:type="dxa"/>
            <w:vAlign w:val="bottom"/>
          </w:tcPr>
          <w:p>
            <w:pPr>
              <w:ind w:left="20"/>
              <w:spacing w:after="0"/>
              <w:rPr>
                <w:sz w:val="20"/>
                <w:szCs w:val="20"/>
                <w:color w:val="auto"/>
              </w:rPr>
            </w:pPr>
            <w:r>
              <w:rPr>
                <w:rFonts w:ascii="Arial" w:cs="Arial" w:eastAsia="Arial" w:hAnsi="Arial"/>
                <w:sz w:val="14"/>
                <w:szCs w:val="14"/>
                <w:color w:val="auto"/>
              </w:rPr>
              <w:t>Our focus was on understanding the</w:t>
            </w:r>
          </w:p>
        </w:tc>
        <w:tc>
          <w:tcPr>
            <w:tcW w:w="2860" w:type="dxa"/>
            <w:vAlign w:val="bottom"/>
            <w:gridSpan w:val="2"/>
          </w:tcPr>
          <w:p>
            <w:pPr>
              <w:ind w:left="60"/>
              <w:spacing w:after="0"/>
              <w:rPr>
                <w:sz w:val="20"/>
                <w:szCs w:val="20"/>
                <w:color w:val="auto"/>
              </w:rPr>
            </w:pPr>
            <w:r>
              <w:rPr>
                <w:rFonts w:ascii="Arial" w:cs="Arial" w:eastAsia="Arial" w:hAnsi="Arial"/>
                <w:sz w:val="14"/>
                <w:szCs w:val="14"/>
                <w:color w:val="auto"/>
              </w:rPr>
              <w:t>the accounting treatment employed by</w:t>
            </w:r>
          </w:p>
        </w:tc>
        <w:tc>
          <w:tcPr>
            <w:tcW w:w="0" w:type="dxa"/>
            <w:vAlign w:val="bottom"/>
          </w:tcPr>
          <w:p>
            <w:pPr>
              <w:spacing w:after="0"/>
              <w:rPr>
                <w:sz w:val="1"/>
                <w:szCs w:val="1"/>
                <w:color w:val="auto"/>
              </w:rPr>
            </w:pPr>
          </w:p>
        </w:tc>
      </w:tr>
      <w:tr>
        <w:trPr>
          <w:trHeight w:val="162"/>
        </w:trPr>
        <w:tc>
          <w:tcPr>
            <w:tcW w:w="2640" w:type="dxa"/>
            <w:vAlign w:val="bottom"/>
          </w:tcPr>
          <w:p>
            <w:pPr>
              <w:ind w:left="20"/>
              <w:spacing w:after="0"/>
              <w:rPr>
                <w:sz w:val="20"/>
                <w:szCs w:val="20"/>
                <w:color w:val="auto"/>
              </w:rPr>
            </w:pPr>
            <w:r>
              <w:rPr>
                <w:rFonts w:ascii="Arial" w:cs="Arial" w:eastAsia="Arial" w:hAnsi="Arial"/>
                <w:sz w:val="14"/>
                <w:szCs w:val="14"/>
                <w:color w:val="auto"/>
              </w:rPr>
              <w:t>contractual terms which define the</w:t>
            </w:r>
          </w:p>
        </w:tc>
        <w:tc>
          <w:tcPr>
            <w:tcW w:w="2860" w:type="dxa"/>
            <w:vAlign w:val="bottom"/>
            <w:gridSpan w:val="2"/>
          </w:tcPr>
          <w:p>
            <w:pPr>
              <w:ind w:left="60"/>
              <w:spacing w:after="0"/>
              <w:rPr>
                <w:sz w:val="20"/>
                <w:szCs w:val="20"/>
                <w:color w:val="auto"/>
              </w:rPr>
            </w:pPr>
            <w:r>
              <w:rPr>
                <w:rFonts w:ascii="Arial" w:cs="Arial" w:eastAsia="Arial" w:hAnsi="Arial"/>
                <w:sz w:val="14"/>
                <w:szCs w:val="14"/>
                <w:color w:val="auto"/>
              </w:rPr>
              <w:t>Shell and the requirements of IFRS.</w:t>
            </w:r>
          </w:p>
        </w:tc>
        <w:tc>
          <w:tcPr>
            <w:tcW w:w="0" w:type="dxa"/>
            <w:vAlign w:val="bottom"/>
          </w:tcPr>
          <w:p>
            <w:pPr>
              <w:spacing w:after="0"/>
              <w:rPr>
                <w:sz w:val="1"/>
                <w:szCs w:val="1"/>
                <w:color w:val="auto"/>
              </w:rPr>
            </w:pPr>
          </w:p>
        </w:tc>
      </w:tr>
      <w:tr>
        <w:trPr>
          <w:trHeight w:val="162"/>
        </w:trPr>
        <w:tc>
          <w:tcPr>
            <w:tcW w:w="2640" w:type="dxa"/>
            <w:vAlign w:val="bottom"/>
          </w:tcPr>
          <w:p>
            <w:pPr>
              <w:ind w:left="20"/>
              <w:spacing w:after="0"/>
              <w:rPr>
                <w:sz w:val="20"/>
                <w:szCs w:val="20"/>
                <w:color w:val="auto"/>
              </w:rPr>
            </w:pPr>
            <w:r>
              <w:rPr>
                <w:rFonts w:ascii="Arial" w:cs="Arial" w:eastAsia="Arial" w:hAnsi="Arial"/>
                <w:sz w:val="14"/>
                <w:szCs w:val="14"/>
                <w:color w:val="auto"/>
              </w:rPr>
              <w:t>assets and liabilities divested and also,</w:t>
            </w:r>
          </w:p>
        </w:tc>
        <w:tc>
          <w:tcPr>
            <w:tcW w:w="28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640" w:type="dxa"/>
            <w:vAlign w:val="bottom"/>
          </w:tcPr>
          <w:p>
            <w:pPr>
              <w:ind w:left="20"/>
              <w:spacing w:after="0"/>
              <w:rPr>
                <w:sz w:val="20"/>
                <w:szCs w:val="20"/>
                <w:color w:val="auto"/>
              </w:rPr>
            </w:pPr>
            <w:r>
              <w:rPr>
                <w:rFonts w:ascii="Arial" w:cs="Arial" w:eastAsia="Arial" w:hAnsi="Arial"/>
                <w:sz w:val="14"/>
                <w:szCs w:val="14"/>
                <w:color w:val="auto"/>
              </w:rPr>
              <w:t>in particular, any liabilities or obligations</w:t>
            </w:r>
          </w:p>
        </w:tc>
        <w:tc>
          <w:tcPr>
            <w:tcW w:w="2860" w:type="dxa"/>
            <w:vAlign w:val="bottom"/>
            <w:gridSpan w:val="2"/>
            <w:vMerge w:val="restart"/>
          </w:tcPr>
          <w:p>
            <w:pPr>
              <w:ind w:left="60"/>
              <w:spacing w:after="0"/>
              <w:rPr>
                <w:sz w:val="20"/>
                <w:szCs w:val="20"/>
                <w:color w:val="auto"/>
              </w:rPr>
            </w:pPr>
            <w:r>
              <w:rPr>
                <w:rFonts w:ascii="Arial" w:cs="Arial" w:eastAsia="Arial" w:hAnsi="Arial"/>
                <w:sz w:val="14"/>
                <w:szCs w:val="14"/>
                <w:color w:val="auto"/>
              </w:rPr>
              <w:t>For material transactions, we verified</w:t>
            </w:r>
          </w:p>
        </w:tc>
        <w:tc>
          <w:tcPr>
            <w:tcW w:w="0" w:type="dxa"/>
            <w:vAlign w:val="bottom"/>
          </w:tcPr>
          <w:p>
            <w:pPr>
              <w:spacing w:after="0"/>
              <w:rPr>
                <w:sz w:val="1"/>
                <w:szCs w:val="1"/>
                <w:color w:val="auto"/>
              </w:rPr>
            </w:pPr>
          </w:p>
        </w:tc>
      </w:tr>
      <w:tr>
        <w:trPr>
          <w:trHeight w:val="54"/>
        </w:trPr>
        <w:tc>
          <w:tcPr>
            <w:tcW w:w="2640" w:type="dxa"/>
            <w:vAlign w:val="bottom"/>
            <w:vMerge w:val="restart"/>
          </w:tcPr>
          <w:p>
            <w:pPr>
              <w:ind w:left="20"/>
              <w:spacing w:after="0"/>
              <w:rPr>
                <w:sz w:val="20"/>
                <w:szCs w:val="20"/>
                <w:color w:val="auto"/>
              </w:rPr>
            </w:pPr>
            <w:r>
              <w:rPr>
                <w:rFonts w:ascii="Arial" w:cs="Arial" w:eastAsia="Arial" w:hAnsi="Arial"/>
                <w:sz w:val="14"/>
                <w:szCs w:val="14"/>
                <w:color w:val="auto"/>
              </w:rPr>
              <w:t>retained or created. Additional</w:t>
            </w:r>
          </w:p>
        </w:tc>
        <w:tc>
          <w:tcPr>
            <w:tcW w:w="286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08"/>
        </w:trPr>
        <w:tc>
          <w:tcPr>
            <w:tcW w:w="2640" w:type="dxa"/>
            <w:vAlign w:val="bottom"/>
            <w:vMerge w:val="continue"/>
          </w:tcPr>
          <w:p>
            <w:pPr>
              <w:spacing w:after="0"/>
              <w:rPr>
                <w:sz w:val="9"/>
                <w:szCs w:val="9"/>
                <w:color w:val="auto"/>
              </w:rPr>
            </w:pPr>
          </w:p>
        </w:tc>
        <w:tc>
          <w:tcPr>
            <w:tcW w:w="2860" w:type="dxa"/>
            <w:vAlign w:val="bottom"/>
            <w:gridSpan w:val="2"/>
            <w:vMerge w:val="restart"/>
          </w:tcPr>
          <w:p>
            <w:pPr>
              <w:ind w:left="60"/>
              <w:spacing w:after="0"/>
              <w:rPr>
                <w:sz w:val="20"/>
                <w:szCs w:val="20"/>
                <w:color w:val="auto"/>
              </w:rPr>
            </w:pPr>
            <w:r>
              <w:rPr>
                <w:rFonts w:ascii="Arial" w:cs="Arial" w:eastAsia="Arial" w:hAnsi="Arial"/>
                <w:sz w:val="14"/>
                <w:szCs w:val="14"/>
                <w:color w:val="auto"/>
              </w:rPr>
              <w:t>consideration received and agreed it to the</w:t>
            </w:r>
          </w:p>
        </w:tc>
        <w:tc>
          <w:tcPr>
            <w:tcW w:w="0" w:type="dxa"/>
            <w:vAlign w:val="bottom"/>
          </w:tcPr>
          <w:p>
            <w:pPr>
              <w:spacing w:after="0"/>
              <w:rPr>
                <w:sz w:val="1"/>
                <w:szCs w:val="1"/>
                <w:color w:val="auto"/>
              </w:rPr>
            </w:pPr>
          </w:p>
        </w:tc>
      </w:tr>
      <w:tr>
        <w:trPr>
          <w:trHeight w:val="54"/>
        </w:trPr>
        <w:tc>
          <w:tcPr>
            <w:tcW w:w="2640" w:type="dxa"/>
            <w:vAlign w:val="bottom"/>
            <w:vMerge w:val="restart"/>
          </w:tcPr>
          <w:p>
            <w:pPr>
              <w:ind w:left="20"/>
              <w:spacing w:after="0"/>
              <w:rPr>
                <w:sz w:val="20"/>
                <w:szCs w:val="20"/>
                <w:color w:val="auto"/>
              </w:rPr>
            </w:pPr>
            <w:r>
              <w:rPr>
                <w:rFonts w:ascii="Arial" w:cs="Arial" w:eastAsia="Arial" w:hAnsi="Arial"/>
                <w:sz w:val="14"/>
                <w:szCs w:val="14"/>
                <w:color w:val="auto"/>
              </w:rPr>
              <w:t>complexity can also arise where a</w:t>
            </w:r>
          </w:p>
        </w:tc>
        <w:tc>
          <w:tcPr>
            <w:tcW w:w="286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08"/>
        </w:trPr>
        <w:tc>
          <w:tcPr>
            <w:tcW w:w="2640" w:type="dxa"/>
            <w:vAlign w:val="bottom"/>
            <w:vMerge w:val="continue"/>
          </w:tcPr>
          <w:p>
            <w:pPr>
              <w:spacing w:after="0"/>
              <w:rPr>
                <w:sz w:val="9"/>
                <w:szCs w:val="9"/>
                <w:color w:val="auto"/>
              </w:rPr>
            </w:pPr>
          </w:p>
        </w:tc>
        <w:tc>
          <w:tcPr>
            <w:tcW w:w="2860" w:type="dxa"/>
            <w:vAlign w:val="bottom"/>
            <w:gridSpan w:val="2"/>
            <w:vMerge w:val="restart"/>
          </w:tcPr>
          <w:p>
            <w:pPr>
              <w:ind w:left="60"/>
              <w:spacing w:after="0"/>
              <w:rPr>
                <w:sz w:val="20"/>
                <w:szCs w:val="20"/>
                <w:color w:val="auto"/>
              </w:rPr>
            </w:pPr>
            <w:r>
              <w:rPr>
                <w:rFonts w:ascii="Arial" w:cs="Arial" w:eastAsia="Arial" w:hAnsi="Arial"/>
                <w:sz w:val="14"/>
                <w:szCs w:val="14"/>
                <w:color w:val="auto"/>
              </w:rPr>
              <w:t>proceeds recognised in the cash flow</w:t>
            </w:r>
          </w:p>
        </w:tc>
        <w:tc>
          <w:tcPr>
            <w:tcW w:w="0" w:type="dxa"/>
            <w:vAlign w:val="bottom"/>
          </w:tcPr>
          <w:p>
            <w:pPr>
              <w:spacing w:after="0"/>
              <w:rPr>
                <w:sz w:val="1"/>
                <w:szCs w:val="1"/>
                <w:color w:val="auto"/>
              </w:rPr>
            </w:pPr>
          </w:p>
        </w:tc>
      </w:tr>
      <w:tr>
        <w:trPr>
          <w:trHeight w:val="54"/>
        </w:trPr>
        <w:tc>
          <w:tcPr>
            <w:tcW w:w="2640" w:type="dxa"/>
            <w:vAlign w:val="bottom"/>
            <w:vMerge w:val="restart"/>
          </w:tcPr>
          <w:p>
            <w:pPr>
              <w:ind w:left="20"/>
              <w:spacing w:after="0"/>
              <w:rPr>
                <w:sz w:val="20"/>
                <w:szCs w:val="20"/>
                <w:color w:val="auto"/>
              </w:rPr>
            </w:pPr>
            <w:r>
              <w:rPr>
                <w:rFonts w:ascii="Arial" w:cs="Arial" w:eastAsia="Arial" w:hAnsi="Arial"/>
                <w:sz w:val="14"/>
                <w:szCs w:val="14"/>
                <w:color w:val="auto"/>
              </w:rPr>
              <w:t>partial disposal occurs, as this can</w:t>
            </w:r>
          </w:p>
        </w:tc>
        <w:tc>
          <w:tcPr>
            <w:tcW w:w="286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08"/>
        </w:trPr>
        <w:tc>
          <w:tcPr>
            <w:tcW w:w="2640" w:type="dxa"/>
            <w:vAlign w:val="bottom"/>
            <w:vMerge w:val="continue"/>
          </w:tcPr>
          <w:p>
            <w:pPr>
              <w:spacing w:after="0"/>
              <w:rPr>
                <w:sz w:val="9"/>
                <w:szCs w:val="9"/>
                <w:color w:val="auto"/>
              </w:rPr>
            </w:pPr>
          </w:p>
        </w:tc>
        <w:tc>
          <w:tcPr>
            <w:tcW w:w="2860" w:type="dxa"/>
            <w:vAlign w:val="bottom"/>
            <w:gridSpan w:val="2"/>
            <w:vMerge w:val="restart"/>
          </w:tcPr>
          <w:p>
            <w:pPr>
              <w:ind w:left="60"/>
              <w:spacing w:after="0"/>
              <w:rPr>
                <w:sz w:val="20"/>
                <w:szCs w:val="20"/>
                <w:color w:val="auto"/>
              </w:rPr>
            </w:pPr>
            <w:r>
              <w:rPr>
                <w:rFonts w:ascii="Arial" w:cs="Arial" w:eastAsia="Arial" w:hAnsi="Arial"/>
                <w:sz w:val="14"/>
                <w:szCs w:val="14"/>
                <w:color w:val="auto"/>
              </w:rPr>
              <w:t>statement. We confirmed that the</w:t>
            </w:r>
          </w:p>
        </w:tc>
        <w:tc>
          <w:tcPr>
            <w:tcW w:w="0" w:type="dxa"/>
            <w:vAlign w:val="bottom"/>
          </w:tcPr>
          <w:p>
            <w:pPr>
              <w:spacing w:after="0"/>
              <w:rPr>
                <w:sz w:val="1"/>
                <w:szCs w:val="1"/>
                <w:color w:val="auto"/>
              </w:rPr>
            </w:pPr>
          </w:p>
        </w:tc>
      </w:tr>
      <w:tr>
        <w:trPr>
          <w:trHeight w:val="54"/>
        </w:trPr>
        <w:tc>
          <w:tcPr>
            <w:tcW w:w="2640" w:type="dxa"/>
            <w:vAlign w:val="bottom"/>
            <w:vMerge w:val="restart"/>
          </w:tcPr>
          <w:p>
            <w:pPr>
              <w:ind w:left="20"/>
              <w:spacing w:after="0"/>
              <w:rPr>
                <w:sz w:val="20"/>
                <w:szCs w:val="20"/>
                <w:color w:val="auto"/>
              </w:rPr>
            </w:pPr>
            <w:r>
              <w:rPr>
                <w:rFonts w:ascii="Arial" w:cs="Arial" w:eastAsia="Arial" w:hAnsi="Arial"/>
                <w:sz w:val="14"/>
                <w:szCs w:val="14"/>
                <w:color w:val="auto"/>
              </w:rPr>
              <w:t>change the accounting for the retained</w:t>
            </w:r>
          </w:p>
        </w:tc>
        <w:tc>
          <w:tcPr>
            <w:tcW w:w="286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08"/>
        </w:trPr>
        <w:tc>
          <w:tcPr>
            <w:tcW w:w="2640" w:type="dxa"/>
            <w:vAlign w:val="bottom"/>
            <w:vMerge w:val="continue"/>
          </w:tcPr>
          <w:p>
            <w:pPr>
              <w:spacing w:after="0"/>
              <w:rPr>
                <w:sz w:val="9"/>
                <w:szCs w:val="9"/>
                <w:color w:val="auto"/>
              </w:rPr>
            </w:pPr>
          </w:p>
        </w:tc>
        <w:tc>
          <w:tcPr>
            <w:tcW w:w="2860" w:type="dxa"/>
            <w:vAlign w:val="bottom"/>
            <w:gridSpan w:val="2"/>
            <w:vMerge w:val="restart"/>
          </w:tcPr>
          <w:p>
            <w:pPr>
              <w:ind w:left="60"/>
              <w:spacing w:after="0"/>
              <w:rPr>
                <w:sz w:val="20"/>
                <w:szCs w:val="20"/>
                <w:color w:val="auto"/>
              </w:rPr>
            </w:pPr>
            <w:r>
              <w:rPr>
                <w:rFonts w:ascii="Arial" w:cs="Arial" w:eastAsia="Arial" w:hAnsi="Arial"/>
                <w:sz w:val="14"/>
                <w:szCs w:val="14"/>
                <w:color w:val="auto"/>
              </w:rPr>
              <w:t>appropriate accounting entries, including</w:t>
            </w:r>
          </w:p>
        </w:tc>
        <w:tc>
          <w:tcPr>
            <w:tcW w:w="0" w:type="dxa"/>
            <w:vAlign w:val="bottom"/>
          </w:tcPr>
          <w:p>
            <w:pPr>
              <w:spacing w:after="0"/>
              <w:rPr>
                <w:sz w:val="1"/>
                <w:szCs w:val="1"/>
                <w:color w:val="auto"/>
              </w:rPr>
            </w:pPr>
          </w:p>
        </w:tc>
      </w:tr>
      <w:tr>
        <w:trPr>
          <w:trHeight w:val="54"/>
        </w:trPr>
        <w:tc>
          <w:tcPr>
            <w:tcW w:w="2640" w:type="dxa"/>
            <w:vAlign w:val="bottom"/>
            <w:vMerge w:val="restart"/>
          </w:tcPr>
          <w:p>
            <w:pPr>
              <w:ind w:left="20"/>
              <w:spacing w:after="0"/>
              <w:rPr>
                <w:sz w:val="20"/>
                <w:szCs w:val="20"/>
                <w:color w:val="auto"/>
              </w:rPr>
            </w:pPr>
            <w:r>
              <w:rPr>
                <w:rFonts w:ascii="Arial" w:cs="Arial" w:eastAsia="Arial" w:hAnsi="Arial"/>
                <w:sz w:val="14"/>
                <w:szCs w:val="14"/>
                <w:color w:val="auto"/>
              </w:rPr>
              <w:t>asset.</w:t>
            </w:r>
          </w:p>
        </w:tc>
        <w:tc>
          <w:tcPr>
            <w:tcW w:w="286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18"/>
        </w:trPr>
        <w:tc>
          <w:tcPr>
            <w:tcW w:w="2640" w:type="dxa"/>
            <w:vAlign w:val="bottom"/>
            <w:vMerge w:val="continue"/>
          </w:tcPr>
          <w:p>
            <w:pPr>
              <w:spacing w:after="0"/>
              <w:rPr>
                <w:sz w:val="10"/>
                <w:szCs w:val="10"/>
                <w:color w:val="auto"/>
              </w:rPr>
            </w:pPr>
          </w:p>
        </w:tc>
        <w:tc>
          <w:tcPr>
            <w:tcW w:w="2860" w:type="dxa"/>
            <w:vAlign w:val="bottom"/>
            <w:gridSpan w:val="2"/>
            <w:vMerge w:val="restart"/>
          </w:tcPr>
          <w:p>
            <w:pPr>
              <w:ind w:left="60"/>
              <w:spacing w:after="0"/>
              <w:rPr>
                <w:sz w:val="20"/>
                <w:szCs w:val="20"/>
                <w:color w:val="auto"/>
              </w:rPr>
            </w:pPr>
            <w:r>
              <w:rPr>
                <w:rFonts w:ascii="Arial" w:cs="Arial" w:eastAsia="Arial" w:hAnsi="Arial"/>
                <w:sz w:val="14"/>
                <w:szCs w:val="14"/>
                <w:color w:val="auto"/>
              </w:rPr>
              <w:t>de-recognition of divested assets, were</w:t>
            </w:r>
          </w:p>
        </w:tc>
        <w:tc>
          <w:tcPr>
            <w:tcW w:w="0" w:type="dxa"/>
            <w:vAlign w:val="bottom"/>
          </w:tcPr>
          <w:p>
            <w:pPr>
              <w:spacing w:after="0"/>
              <w:rPr>
                <w:sz w:val="1"/>
                <w:szCs w:val="1"/>
                <w:color w:val="auto"/>
              </w:rPr>
            </w:pPr>
          </w:p>
        </w:tc>
      </w:tr>
      <w:tr>
        <w:trPr>
          <w:trHeight w:val="44"/>
        </w:trPr>
        <w:tc>
          <w:tcPr>
            <w:tcW w:w="2640" w:type="dxa"/>
            <w:vAlign w:val="bottom"/>
          </w:tcPr>
          <w:p>
            <w:pPr>
              <w:spacing w:after="0"/>
              <w:rPr>
                <w:sz w:val="3"/>
                <w:szCs w:val="3"/>
                <w:color w:val="auto"/>
              </w:rPr>
            </w:pPr>
          </w:p>
        </w:tc>
        <w:tc>
          <w:tcPr>
            <w:tcW w:w="2860" w:type="dxa"/>
            <w:vAlign w:val="bottom"/>
            <w:gridSpan w:val="2"/>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62"/>
        </w:trPr>
        <w:tc>
          <w:tcPr>
            <w:tcW w:w="2640" w:type="dxa"/>
            <w:vAlign w:val="bottom"/>
          </w:tcPr>
          <w:p>
            <w:pPr>
              <w:spacing w:after="0"/>
              <w:rPr>
                <w:sz w:val="14"/>
                <w:szCs w:val="14"/>
                <w:color w:val="auto"/>
              </w:rPr>
            </w:pPr>
          </w:p>
        </w:tc>
        <w:tc>
          <w:tcPr>
            <w:tcW w:w="2860" w:type="dxa"/>
            <w:vAlign w:val="bottom"/>
            <w:gridSpan w:val="2"/>
          </w:tcPr>
          <w:p>
            <w:pPr>
              <w:ind w:left="60"/>
              <w:spacing w:after="0"/>
              <w:rPr>
                <w:sz w:val="20"/>
                <w:szCs w:val="20"/>
                <w:color w:val="auto"/>
              </w:rPr>
            </w:pPr>
            <w:r>
              <w:rPr>
                <w:rFonts w:ascii="Arial" w:cs="Arial" w:eastAsia="Arial" w:hAnsi="Arial"/>
                <w:sz w:val="14"/>
                <w:szCs w:val="14"/>
                <w:color w:val="auto"/>
              </w:rPr>
              <w:t>recorded. We reviewed relevant contracts</w:t>
            </w:r>
          </w:p>
        </w:tc>
        <w:tc>
          <w:tcPr>
            <w:tcW w:w="0" w:type="dxa"/>
            <w:vAlign w:val="bottom"/>
          </w:tcPr>
          <w:p>
            <w:pPr>
              <w:spacing w:after="0"/>
              <w:rPr>
                <w:sz w:val="1"/>
                <w:szCs w:val="1"/>
                <w:color w:val="auto"/>
              </w:rPr>
            </w:pPr>
          </w:p>
        </w:tc>
      </w:tr>
      <w:tr>
        <w:trPr>
          <w:trHeight w:val="162"/>
        </w:trPr>
        <w:tc>
          <w:tcPr>
            <w:tcW w:w="2640" w:type="dxa"/>
            <w:vAlign w:val="bottom"/>
          </w:tcPr>
          <w:p>
            <w:pPr>
              <w:ind w:left="20"/>
              <w:spacing w:after="0"/>
              <w:rPr>
                <w:sz w:val="20"/>
                <w:szCs w:val="20"/>
                <w:color w:val="auto"/>
              </w:rPr>
            </w:pPr>
            <w:r>
              <w:rPr>
                <w:rFonts w:ascii="Arial" w:cs="Arial" w:eastAsia="Arial" w:hAnsi="Arial"/>
                <w:sz w:val="14"/>
                <w:szCs w:val="14"/>
                <w:color w:val="auto"/>
              </w:rPr>
              <w:t>In particular, we placed focus on the</w:t>
            </w:r>
          </w:p>
        </w:tc>
        <w:tc>
          <w:tcPr>
            <w:tcW w:w="2860" w:type="dxa"/>
            <w:vAlign w:val="bottom"/>
            <w:gridSpan w:val="2"/>
          </w:tcPr>
          <w:p>
            <w:pPr>
              <w:ind w:left="60"/>
              <w:spacing w:after="0"/>
              <w:rPr>
                <w:sz w:val="20"/>
                <w:szCs w:val="20"/>
                <w:color w:val="auto"/>
              </w:rPr>
            </w:pPr>
            <w:r>
              <w:rPr>
                <w:rFonts w:ascii="Arial" w:cs="Arial" w:eastAsia="Arial" w:hAnsi="Arial"/>
                <w:sz w:val="14"/>
                <w:szCs w:val="14"/>
                <w:color w:val="auto"/>
              </w:rPr>
              <w:t>with a particular focus on obligations</w:t>
            </w:r>
          </w:p>
        </w:tc>
        <w:tc>
          <w:tcPr>
            <w:tcW w:w="0" w:type="dxa"/>
            <w:vAlign w:val="bottom"/>
          </w:tcPr>
          <w:p>
            <w:pPr>
              <w:spacing w:after="0"/>
              <w:rPr>
                <w:sz w:val="1"/>
                <w:szCs w:val="1"/>
                <w:color w:val="auto"/>
              </w:rPr>
            </w:pPr>
          </w:p>
        </w:tc>
      </w:tr>
      <w:tr>
        <w:trPr>
          <w:trHeight w:val="162"/>
        </w:trPr>
        <w:tc>
          <w:tcPr>
            <w:tcW w:w="2640" w:type="dxa"/>
            <w:vAlign w:val="bottom"/>
          </w:tcPr>
          <w:p>
            <w:pPr>
              <w:ind w:left="20"/>
              <w:spacing w:after="0"/>
              <w:rPr>
                <w:sz w:val="20"/>
                <w:szCs w:val="20"/>
                <w:color w:val="auto"/>
              </w:rPr>
            </w:pPr>
            <w:r>
              <w:rPr>
                <w:rFonts w:ascii="Arial" w:cs="Arial" w:eastAsia="Arial" w:hAnsi="Arial"/>
                <w:sz w:val="14"/>
                <w:szCs w:val="14"/>
                <w:color w:val="auto"/>
              </w:rPr>
              <w:t>divestments of the majority of the</w:t>
            </w:r>
          </w:p>
        </w:tc>
        <w:tc>
          <w:tcPr>
            <w:tcW w:w="2860" w:type="dxa"/>
            <w:vAlign w:val="bottom"/>
            <w:gridSpan w:val="2"/>
          </w:tcPr>
          <w:p>
            <w:pPr>
              <w:ind w:left="60"/>
              <w:spacing w:after="0"/>
              <w:rPr>
                <w:sz w:val="20"/>
                <w:szCs w:val="20"/>
                <w:color w:val="auto"/>
              </w:rPr>
            </w:pPr>
            <w:r>
              <w:rPr>
                <w:rFonts w:ascii="Arial" w:cs="Arial" w:eastAsia="Arial" w:hAnsi="Arial"/>
                <w:sz w:val="14"/>
                <w:szCs w:val="14"/>
                <w:color w:val="auto"/>
              </w:rPr>
              <w:t>retained by Shell post-divestment. Our</w:t>
            </w:r>
          </w:p>
        </w:tc>
        <w:tc>
          <w:tcPr>
            <w:tcW w:w="0" w:type="dxa"/>
            <w:vAlign w:val="bottom"/>
          </w:tcPr>
          <w:p>
            <w:pPr>
              <w:spacing w:after="0"/>
              <w:rPr>
                <w:sz w:val="1"/>
                <w:szCs w:val="1"/>
                <w:color w:val="auto"/>
              </w:rPr>
            </w:pPr>
          </w:p>
        </w:tc>
      </w:tr>
      <w:tr>
        <w:trPr>
          <w:trHeight w:val="162"/>
        </w:trPr>
        <w:tc>
          <w:tcPr>
            <w:tcW w:w="2640" w:type="dxa"/>
            <w:vAlign w:val="bottom"/>
          </w:tcPr>
          <w:p>
            <w:pPr>
              <w:ind w:left="20"/>
              <w:spacing w:after="0"/>
              <w:rPr>
                <w:sz w:val="20"/>
                <w:szCs w:val="20"/>
                <w:color w:val="auto"/>
              </w:rPr>
            </w:pPr>
            <w:r>
              <w:rPr>
                <w:rFonts w:ascii="Arial" w:cs="Arial" w:eastAsia="Arial" w:hAnsi="Arial"/>
                <w:sz w:val="14"/>
                <w:szCs w:val="14"/>
                <w:color w:val="auto"/>
              </w:rPr>
              <w:t>Downstream business in Australia,</w:t>
            </w:r>
          </w:p>
        </w:tc>
        <w:tc>
          <w:tcPr>
            <w:tcW w:w="2860" w:type="dxa"/>
            <w:vAlign w:val="bottom"/>
            <w:gridSpan w:val="2"/>
          </w:tcPr>
          <w:p>
            <w:pPr>
              <w:ind w:left="60"/>
              <w:spacing w:after="0"/>
              <w:rPr>
                <w:sz w:val="20"/>
                <w:szCs w:val="20"/>
                <w:color w:val="auto"/>
              </w:rPr>
            </w:pPr>
            <w:r>
              <w:rPr>
                <w:rFonts w:ascii="Arial" w:cs="Arial" w:eastAsia="Arial" w:hAnsi="Arial"/>
                <w:sz w:val="14"/>
                <w:szCs w:val="14"/>
                <w:color w:val="auto"/>
              </w:rPr>
              <w:t>procedures confirmed that appropriate</w:t>
            </w:r>
          </w:p>
        </w:tc>
        <w:tc>
          <w:tcPr>
            <w:tcW w:w="0" w:type="dxa"/>
            <w:vAlign w:val="bottom"/>
          </w:tcPr>
          <w:p>
            <w:pPr>
              <w:spacing w:after="0"/>
              <w:rPr>
                <w:sz w:val="1"/>
                <w:szCs w:val="1"/>
                <w:color w:val="auto"/>
              </w:rPr>
            </w:pPr>
          </w:p>
        </w:tc>
      </w:tr>
      <w:tr>
        <w:trPr>
          <w:trHeight w:val="162"/>
        </w:trPr>
        <w:tc>
          <w:tcPr>
            <w:tcW w:w="2640" w:type="dxa"/>
            <w:vAlign w:val="bottom"/>
          </w:tcPr>
          <w:p>
            <w:pPr>
              <w:ind w:left="20"/>
              <w:spacing w:after="0"/>
              <w:rPr>
                <w:sz w:val="20"/>
                <w:szCs w:val="20"/>
                <w:color w:val="auto"/>
              </w:rPr>
            </w:pPr>
            <w:r>
              <w:rPr>
                <w:rFonts w:ascii="Arial" w:cs="Arial" w:eastAsia="Arial" w:hAnsi="Arial"/>
                <w:sz w:val="14"/>
                <w:szCs w:val="14"/>
                <w:color w:val="auto"/>
              </w:rPr>
              <w:t>onshore Upstream assets in Nigeria and</w:t>
            </w:r>
          </w:p>
        </w:tc>
        <w:tc>
          <w:tcPr>
            <w:tcW w:w="2860" w:type="dxa"/>
            <w:vAlign w:val="bottom"/>
            <w:gridSpan w:val="2"/>
          </w:tcPr>
          <w:p>
            <w:pPr>
              <w:ind w:left="60"/>
              <w:spacing w:after="0"/>
              <w:rPr>
                <w:sz w:val="20"/>
                <w:szCs w:val="20"/>
                <w:color w:val="auto"/>
              </w:rPr>
            </w:pPr>
            <w:r>
              <w:rPr>
                <w:rFonts w:ascii="Arial" w:cs="Arial" w:eastAsia="Arial" w:hAnsi="Arial"/>
                <w:sz w:val="14"/>
                <w:szCs w:val="14"/>
                <w:color w:val="auto"/>
              </w:rPr>
              <w:t>consideration of the impact of contractual</w:t>
            </w:r>
          </w:p>
        </w:tc>
        <w:tc>
          <w:tcPr>
            <w:tcW w:w="0" w:type="dxa"/>
            <w:vAlign w:val="bottom"/>
          </w:tcPr>
          <w:p>
            <w:pPr>
              <w:spacing w:after="0"/>
              <w:rPr>
                <w:sz w:val="1"/>
                <w:szCs w:val="1"/>
                <w:color w:val="auto"/>
              </w:rPr>
            </w:pPr>
          </w:p>
        </w:tc>
      </w:tr>
      <w:tr>
        <w:trPr>
          <w:trHeight w:val="162"/>
        </w:trPr>
        <w:tc>
          <w:tcPr>
            <w:tcW w:w="2640" w:type="dxa"/>
            <w:vAlign w:val="bottom"/>
          </w:tcPr>
          <w:p>
            <w:pPr>
              <w:ind w:left="20"/>
              <w:spacing w:after="0"/>
              <w:rPr>
                <w:sz w:val="20"/>
                <w:szCs w:val="20"/>
                <w:color w:val="auto"/>
              </w:rPr>
            </w:pPr>
            <w:r>
              <w:rPr>
                <w:rFonts w:ascii="Arial" w:cs="Arial" w:eastAsia="Arial" w:hAnsi="Arial"/>
                <w:sz w:val="14"/>
                <w:szCs w:val="14"/>
                <w:color w:val="auto"/>
              </w:rPr>
              <w:t>a portion of Shell’s interest in Woodside</w:t>
            </w:r>
          </w:p>
        </w:tc>
        <w:tc>
          <w:tcPr>
            <w:tcW w:w="2860" w:type="dxa"/>
            <w:vAlign w:val="bottom"/>
            <w:gridSpan w:val="2"/>
          </w:tcPr>
          <w:p>
            <w:pPr>
              <w:ind w:left="60"/>
              <w:spacing w:after="0"/>
              <w:rPr>
                <w:sz w:val="20"/>
                <w:szCs w:val="20"/>
                <w:color w:val="auto"/>
              </w:rPr>
            </w:pPr>
            <w:r>
              <w:rPr>
                <w:rFonts w:ascii="Arial" w:cs="Arial" w:eastAsia="Arial" w:hAnsi="Arial"/>
                <w:sz w:val="14"/>
                <w:szCs w:val="14"/>
                <w:color w:val="auto"/>
              </w:rPr>
              <w:t>terms on Shell’s post-divestment balance</w:t>
            </w:r>
          </w:p>
        </w:tc>
        <w:tc>
          <w:tcPr>
            <w:tcW w:w="0" w:type="dxa"/>
            <w:vAlign w:val="bottom"/>
          </w:tcPr>
          <w:p>
            <w:pPr>
              <w:spacing w:after="0"/>
              <w:rPr>
                <w:sz w:val="1"/>
                <w:szCs w:val="1"/>
                <w:color w:val="auto"/>
              </w:rPr>
            </w:pPr>
          </w:p>
        </w:tc>
      </w:tr>
      <w:tr>
        <w:trPr>
          <w:trHeight w:val="172"/>
        </w:trPr>
        <w:tc>
          <w:tcPr>
            <w:tcW w:w="2640" w:type="dxa"/>
            <w:vAlign w:val="bottom"/>
          </w:tcPr>
          <w:p>
            <w:pPr>
              <w:ind w:left="20"/>
              <w:spacing w:after="0"/>
              <w:rPr>
                <w:sz w:val="20"/>
                <w:szCs w:val="20"/>
                <w:color w:val="auto"/>
              </w:rPr>
            </w:pPr>
            <w:r>
              <w:rPr>
                <w:rFonts w:ascii="Arial" w:cs="Arial" w:eastAsia="Arial" w:hAnsi="Arial"/>
                <w:sz w:val="14"/>
                <w:szCs w:val="14"/>
                <w:color w:val="auto"/>
              </w:rPr>
              <w:t>Petroleum Limited (Woodside).</w:t>
            </w:r>
          </w:p>
        </w:tc>
        <w:tc>
          <w:tcPr>
            <w:tcW w:w="2860" w:type="dxa"/>
            <w:vAlign w:val="bottom"/>
            <w:gridSpan w:val="2"/>
          </w:tcPr>
          <w:p>
            <w:pPr>
              <w:ind w:left="60"/>
              <w:spacing w:after="0"/>
              <w:rPr>
                <w:sz w:val="20"/>
                <w:szCs w:val="20"/>
                <w:color w:val="auto"/>
              </w:rPr>
            </w:pPr>
            <w:r>
              <w:rPr>
                <w:rFonts w:ascii="Arial" w:cs="Arial" w:eastAsia="Arial" w:hAnsi="Arial"/>
                <w:sz w:val="14"/>
                <w:szCs w:val="14"/>
                <w:color w:val="auto"/>
              </w:rPr>
              <w:t>sheet had been applied by management.</w:t>
            </w:r>
          </w:p>
        </w:tc>
        <w:tc>
          <w:tcPr>
            <w:tcW w:w="0" w:type="dxa"/>
            <w:vAlign w:val="bottom"/>
          </w:tcPr>
          <w:p>
            <w:pPr>
              <w:spacing w:after="0"/>
              <w:rPr>
                <w:sz w:val="1"/>
                <w:szCs w:val="1"/>
                <w:color w:val="auto"/>
              </w:rPr>
            </w:pPr>
          </w:p>
        </w:tc>
      </w:tr>
      <w:tr>
        <w:trPr>
          <w:trHeight w:val="327"/>
        </w:trPr>
        <w:tc>
          <w:tcPr>
            <w:tcW w:w="2640" w:type="dxa"/>
            <w:vAlign w:val="bottom"/>
          </w:tcPr>
          <w:p>
            <w:pPr>
              <w:spacing w:after="0"/>
              <w:rPr>
                <w:sz w:val="24"/>
                <w:szCs w:val="24"/>
                <w:color w:val="auto"/>
              </w:rPr>
            </w:pPr>
          </w:p>
        </w:tc>
        <w:tc>
          <w:tcPr>
            <w:tcW w:w="2860" w:type="dxa"/>
            <w:vAlign w:val="bottom"/>
            <w:gridSpan w:val="2"/>
          </w:tcPr>
          <w:p>
            <w:pPr>
              <w:ind w:left="60"/>
              <w:spacing w:after="0"/>
              <w:rPr>
                <w:sz w:val="20"/>
                <w:szCs w:val="20"/>
                <w:color w:val="auto"/>
              </w:rPr>
            </w:pPr>
            <w:r>
              <w:rPr>
                <w:rFonts w:ascii="Arial" w:cs="Arial" w:eastAsia="Arial" w:hAnsi="Arial"/>
                <w:sz w:val="14"/>
                <w:szCs w:val="14"/>
                <w:color w:val="auto"/>
              </w:rPr>
              <w:t>We also considered whether the reduction</w:t>
            </w:r>
          </w:p>
        </w:tc>
        <w:tc>
          <w:tcPr>
            <w:tcW w:w="0" w:type="dxa"/>
            <w:vAlign w:val="bottom"/>
          </w:tcPr>
          <w:p>
            <w:pPr>
              <w:spacing w:after="0"/>
              <w:rPr>
                <w:sz w:val="1"/>
                <w:szCs w:val="1"/>
                <w:color w:val="auto"/>
              </w:rPr>
            </w:pPr>
          </w:p>
        </w:tc>
      </w:tr>
      <w:tr>
        <w:trPr>
          <w:trHeight w:val="162"/>
        </w:trPr>
        <w:tc>
          <w:tcPr>
            <w:tcW w:w="2640" w:type="dxa"/>
            <w:vAlign w:val="bottom"/>
          </w:tcPr>
          <w:p>
            <w:pPr>
              <w:spacing w:after="0"/>
              <w:rPr>
                <w:sz w:val="14"/>
                <w:szCs w:val="14"/>
                <w:color w:val="auto"/>
              </w:rPr>
            </w:pPr>
          </w:p>
        </w:tc>
        <w:tc>
          <w:tcPr>
            <w:tcW w:w="2860" w:type="dxa"/>
            <w:vAlign w:val="bottom"/>
            <w:gridSpan w:val="2"/>
          </w:tcPr>
          <w:p>
            <w:pPr>
              <w:ind w:left="60"/>
              <w:spacing w:after="0"/>
              <w:rPr>
                <w:sz w:val="20"/>
                <w:szCs w:val="20"/>
                <w:color w:val="auto"/>
              </w:rPr>
            </w:pPr>
            <w:r>
              <w:rPr>
                <w:rFonts w:ascii="Arial" w:cs="Arial" w:eastAsia="Arial" w:hAnsi="Arial"/>
                <w:sz w:val="14"/>
                <w:szCs w:val="14"/>
                <w:color w:val="auto"/>
              </w:rPr>
              <w:t>in Shell’s interest in Woodside altered</w:t>
            </w:r>
          </w:p>
        </w:tc>
        <w:tc>
          <w:tcPr>
            <w:tcW w:w="0" w:type="dxa"/>
            <w:vAlign w:val="bottom"/>
          </w:tcPr>
          <w:p>
            <w:pPr>
              <w:spacing w:after="0"/>
              <w:rPr>
                <w:sz w:val="1"/>
                <w:szCs w:val="1"/>
                <w:color w:val="auto"/>
              </w:rPr>
            </w:pPr>
          </w:p>
        </w:tc>
      </w:tr>
      <w:tr>
        <w:trPr>
          <w:trHeight w:val="162"/>
        </w:trPr>
        <w:tc>
          <w:tcPr>
            <w:tcW w:w="2640" w:type="dxa"/>
            <w:vAlign w:val="bottom"/>
          </w:tcPr>
          <w:p>
            <w:pPr>
              <w:spacing w:after="0"/>
              <w:rPr>
                <w:sz w:val="14"/>
                <w:szCs w:val="14"/>
                <w:color w:val="auto"/>
              </w:rPr>
            </w:pPr>
          </w:p>
        </w:tc>
        <w:tc>
          <w:tcPr>
            <w:tcW w:w="2860" w:type="dxa"/>
            <w:vAlign w:val="bottom"/>
            <w:gridSpan w:val="2"/>
          </w:tcPr>
          <w:p>
            <w:pPr>
              <w:ind w:left="60"/>
              <w:spacing w:after="0"/>
              <w:rPr>
                <w:sz w:val="20"/>
                <w:szCs w:val="20"/>
                <w:color w:val="auto"/>
              </w:rPr>
            </w:pPr>
            <w:r>
              <w:rPr>
                <w:rFonts w:ascii="Arial" w:cs="Arial" w:eastAsia="Arial" w:hAnsi="Arial"/>
                <w:sz w:val="14"/>
                <w:szCs w:val="14"/>
                <w:color w:val="auto"/>
              </w:rPr>
              <w:t>Shell’s ability to exert significant influence</w:t>
            </w:r>
          </w:p>
        </w:tc>
        <w:tc>
          <w:tcPr>
            <w:tcW w:w="0" w:type="dxa"/>
            <w:vAlign w:val="bottom"/>
          </w:tcPr>
          <w:p>
            <w:pPr>
              <w:spacing w:after="0"/>
              <w:rPr>
                <w:sz w:val="1"/>
                <w:szCs w:val="1"/>
                <w:color w:val="auto"/>
              </w:rPr>
            </w:pPr>
          </w:p>
        </w:tc>
      </w:tr>
      <w:tr>
        <w:trPr>
          <w:trHeight w:val="162"/>
        </w:trPr>
        <w:tc>
          <w:tcPr>
            <w:tcW w:w="2640" w:type="dxa"/>
            <w:vAlign w:val="bottom"/>
          </w:tcPr>
          <w:p>
            <w:pPr>
              <w:spacing w:after="0"/>
              <w:rPr>
                <w:sz w:val="14"/>
                <w:szCs w:val="14"/>
                <w:color w:val="auto"/>
              </w:rPr>
            </w:pPr>
          </w:p>
        </w:tc>
        <w:tc>
          <w:tcPr>
            <w:tcW w:w="2860" w:type="dxa"/>
            <w:vAlign w:val="bottom"/>
            <w:gridSpan w:val="2"/>
          </w:tcPr>
          <w:p>
            <w:pPr>
              <w:ind w:left="60"/>
              <w:spacing w:after="0"/>
              <w:rPr>
                <w:sz w:val="20"/>
                <w:szCs w:val="20"/>
                <w:color w:val="auto"/>
              </w:rPr>
            </w:pPr>
            <w:r>
              <w:rPr>
                <w:rFonts w:ascii="Arial" w:cs="Arial" w:eastAsia="Arial" w:hAnsi="Arial"/>
                <w:sz w:val="14"/>
                <w:szCs w:val="14"/>
                <w:color w:val="auto"/>
              </w:rPr>
              <w:t>over Woodside, to confirm that it remained</w:t>
            </w:r>
          </w:p>
        </w:tc>
        <w:tc>
          <w:tcPr>
            <w:tcW w:w="0" w:type="dxa"/>
            <w:vAlign w:val="bottom"/>
          </w:tcPr>
          <w:p>
            <w:pPr>
              <w:spacing w:after="0"/>
              <w:rPr>
                <w:sz w:val="1"/>
                <w:szCs w:val="1"/>
                <w:color w:val="auto"/>
              </w:rPr>
            </w:pPr>
          </w:p>
        </w:tc>
      </w:tr>
      <w:tr>
        <w:trPr>
          <w:trHeight w:val="162"/>
        </w:trPr>
        <w:tc>
          <w:tcPr>
            <w:tcW w:w="2640" w:type="dxa"/>
            <w:vAlign w:val="bottom"/>
          </w:tcPr>
          <w:p>
            <w:pPr>
              <w:spacing w:after="0"/>
              <w:rPr>
                <w:sz w:val="14"/>
                <w:szCs w:val="14"/>
                <w:color w:val="auto"/>
              </w:rPr>
            </w:pPr>
          </w:p>
        </w:tc>
        <w:tc>
          <w:tcPr>
            <w:tcW w:w="2860" w:type="dxa"/>
            <w:vAlign w:val="bottom"/>
            <w:gridSpan w:val="2"/>
          </w:tcPr>
          <w:p>
            <w:pPr>
              <w:ind w:left="60"/>
              <w:spacing w:after="0"/>
              <w:rPr>
                <w:sz w:val="20"/>
                <w:szCs w:val="20"/>
                <w:color w:val="auto"/>
              </w:rPr>
            </w:pPr>
            <w:r>
              <w:rPr>
                <w:rFonts w:ascii="Arial" w:cs="Arial" w:eastAsia="Arial" w:hAnsi="Arial"/>
                <w:sz w:val="14"/>
                <w:szCs w:val="14"/>
                <w:color w:val="auto"/>
              </w:rPr>
              <w:t>appropriate to classify Woodside as an</w:t>
            </w:r>
          </w:p>
        </w:tc>
        <w:tc>
          <w:tcPr>
            <w:tcW w:w="0" w:type="dxa"/>
            <w:vAlign w:val="bottom"/>
          </w:tcPr>
          <w:p>
            <w:pPr>
              <w:spacing w:after="0"/>
              <w:rPr>
                <w:sz w:val="1"/>
                <w:szCs w:val="1"/>
                <w:color w:val="auto"/>
              </w:rPr>
            </w:pPr>
          </w:p>
        </w:tc>
      </w:tr>
      <w:tr>
        <w:trPr>
          <w:trHeight w:val="171"/>
        </w:trPr>
        <w:tc>
          <w:tcPr>
            <w:tcW w:w="2640" w:type="dxa"/>
            <w:vAlign w:val="bottom"/>
            <w:tcBorders>
              <w:bottom w:val="single" w:sz="8" w:color="auto"/>
            </w:tcBorders>
          </w:tcPr>
          <w:p>
            <w:pPr>
              <w:spacing w:after="0"/>
              <w:rPr>
                <w:sz w:val="14"/>
                <w:szCs w:val="14"/>
                <w:color w:val="auto"/>
              </w:rPr>
            </w:pPr>
          </w:p>
        </w:tc>
        <w:tc>
          <w:tcPr>
            <w:tcW w:w="2840" w:type="dxa"/>
            <w:vAlign w:val="bottom"/>
            <w:tcBorders>
              <w:bottom w:val="single" w:sz="8" w:color="auto"/>
            </w:tcBorders>
          </w:tcPr>
          <w:p>
            <w:pPr>
              <w:ind w:left="60"/>
              <w:spacing w:after="0"/>
              <w:rPr>
                <w:sz w:val="20"/>
                <w:szCs w:val="20"/>
                <w:color w:val="auto"/>
              </w:rPr>
            </w:pPr>
            <w:r>
              <w:rPr>
                <w:rFonts w:ascii="Arial" w:cs="Arial" w:eastAsia="Arial" w:hAnsi="Arial"/>
                <w:sz w:val="14"/>
                <w:szCs w:val="14"/>
                <w:color w:val="auto"/>
              </w:rPr>
              <w:t>associate.</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2640" w:type="dxa"/>
            <w:vAlign w:val="bottom"/>
          </w:tcPr>
          <w:p>
            <w:pPr>
              <w:ind w:left="20"/>
              <w:spacing w:after="0"/>
              <w:rPr>
                <w:sz w:val="20"/>
                <w:szCs w:val="20"/>
                <w:color w:val="auto"/>
              </w:rPr>
            </w:pPr>
            <w:r>
              <w:rPr>
                <w:rFonts w:ascii="Arial" w:cs="Arial" w:eastAsia="Arial" w:hAnsi="Arial"/>
                <w:sz w:val="14"/>
                <w:szCs w:val="14"/>
                <w:color w:val="auto"/>
              </w:rPr>
              <w:t>Accuracy of the recognition of</w:t>
            </w:r>
          </w:p>
        </w:tc>
        <w:tc>
          <w:tcPr>
            <w:tcW w:w="2860" w:type="dxa"/>
            <w:vAlign w:val="bottom"/>
            <w:gridSpan w:val="2"/>
          </w:tcPr>
          <w:p>
            <w:pPr>
              <w:ind w:left="60"/>
              <w:spacing w:after="0"/>
              <w:rPr>
                <w:sz w:val="20"/>
                <w:szCs w:val="20"/>
                <w:color w:val="auto"/>
              </w:rPr>
            </w:pPr>
            <w:r>
              <w:rPr>
                <w:rFonts w:ascii="Arial" w:cs="Arial" w:eastAsia="Arial" w:hAnsi="Arial"/>
                <w:sz w:val="14"/>
                <w:szCs w:val="14"/>
                <w:color w:val="auto"/>
              </w:rPr>
              <w:t>We assessed the overall commodity trading</w:t>
            </w:r>
          </w:p>
        </w:tc>
        <w:tc>
          <w:tcPr>
            <w:tcW w:w="0" w:type="dxa"/>
            <w:vAlign w:val="bottom"/>
          </w:tcPr>
          <w:p>
            <w:pPr>
              <w:spacing w:after="0"/>
              <w:rPr>
                <w:sz w:val="1"/>
                <w:szCs w:val="1"/>
                <w:color w:val="auto"/>
              </w:rPr>
            </w:pPr>
          </w:p>
        </w:tc>
      </w:tr>
      <w:tr>
        <w:trPr>
          <w:trHeight w:val="162"/>
        </w:trPr>
        <w:tc>
          <w:tcPr>
            <w:tcW w:w="2640" w:type="dxa"/>
            <w:vAlign w:val="bottom"/>
          </w:tcPr>
          <w:p>
            <w:pPr>
              <w:ind w:left="20"/>
              <w:spacing w:after="0"/>
              <w:rPr>
                <w:sz w:val="20"/>
                <w:szCs w:val="20"/>
                <w:color w:val="auto"/>
              </w:rPr>
            </w:pPr>
            <w:r>
              <w:rPr>
                <w:rFonts w:ascii="Arial" w:cs="Arial" w:eastAsia="Arial" w:hAnsi="Arial"/>
                <w:sz w:val="14"/>
                <w:szCs w:val="14"/>
                <w:color w:val="auto"/>
              </w:rPr>
              <w:t>unrealised trading revenue</w:t>
            </w:r>
          </w:p>
        </w:tc>
        <w:tc>
          <w:tcPr>
            <w:tcW w:w="2860" w:type="dxa"/>
            <w:vAlign w:val="bottom"/>
            <w:gridSpan w:val="2"/>
          </w:tcPr>
          <w:p>
            <w:pPr>
              <w:ind w:left="60"/>
              <w:spacing w:after="0"/>
              <w:rPr>
                <w:sz w:val="20"/>
                <w:szCs w:val="20"/>
                <w:color w:val="auto"/>
              </w:rPr>
            </w:pPr>
            <w:r>
              <w:rPr>
                <w:rFonts w:ascii="Arial" w:cs="Arial" w:eastAsia="Arial" w:hAnsi="Arial"/>
                <w:sz w:val="14"/>
                <w:szCs w:val="14"/>
                <w:color w:val="auto"/>
              </w:rPr>
              <w:t>process, including internal risk</w:t>
            </w:r>
          </w:p>
        </w:tc>
        <w:tc>
          <w:tcPr>
            <w:tcW w:w="0" w:type="dxa"/>
            <w:vAlign w:val="bottom"/>
          </w:tcPr>
          <w:p>
            <w:pPr>
              <w:spacing w:after="0"/>
              <w:rPr>
                <w:sz w:val="1"/>
                <w:szCs w:val="1"/>
                <w:color w:val="auto"/>
              </w:rPr>
            </w:pPr>
          </w:p>
        </w:tc>
      </w:tr>
      <w:tr>
        <w:trPr>
          <w:trHeight w:val="162"/>
        </w:trPr>
        <w:tc>
          <w:tcPr>
            <w:tcW w:w="2640" w:type="dxa"/>
            <w:vAlign w:val="bottom"/>
          </w:tcPr>
          <w:p>
            <w:pPr>
              <w:ind w:left="20"/>
              <w:spacing w:after="0"/>
              <w:rPr>
                <w:sz w:val="20"/>
                <w:szCs w:val="20"/>
                <w:color w:val="auto"/>
              </w:rPr>
            </w:pPr>
            <w:r>
              <w:rPr>
                <w:rFonts w:ascii="Arial" w:cs="Arial" w:eastAsia="Arial" w:hAnsi="Arial"/>
                <w:sz w:val="14"/>
                <w:szCs w:val="14"/>
                <w:color w:val="auto"/>
              </w:rPr>
              <w:t>Unrealised revenue arises on Shell’s</w:t>
            </w:r>
          </w:p>
        </w:tc>
        <w:tc>
          <w:tcPr>
            <w:tcW w:w="2860" w:type="dxa"/>
            <w:vAlign w:val="bottom"/>
            <w:gridSpan w:val="2"/>
          </w:tcPr>
          <w:p>
            <w:pPr>
              <w:ind w:left="60"/>
              <w:spacing w:after="0"/>
              <w:rPr>
                <w:sz w:val="20"/>
                <w:szCs w:val="20"/>
                <w:color w:val="auto"/>
              </w:rPr>
            </w:pPr>
            <w:r>
              <w:rPr>
                <w:rFonts w:ascii="Arial" w:cs="Arial" w:eastAsia="Arial" w:hAnsi="Arial"/>
                <w:sz w:val="14"/>
                <w:szCs w:val="14"/>
                <w:color w:val="auto"/>
              </w:rPr>
              <w:t>management procedures and the system</w:t>
            </w:r>
          </w:p>
        </w:tc>
        <w:tc>
          <w:tcPr>
            <w:tcW w:w="0" w:type="dxa"/>
            <w:vAlign w:val="bottom"/>
          </w:tcPr>
          <w:p>
            <w:pPr>
              <w:spacing w:after="0"/>
              <w:rPr>
                <w:sz w:val="1"/>
                <w:szCs w:val="1"/>
                <w:color w:val="auto"/>
              </w:rPr>
            </w:pPr>
          </w:p>
        </w:tc>
      </w:tr>
      <w:tr>
        <w:trPr>
          <w:trHeight w:val="162"/>
        </w:trPr>
        <w:tc>
          <w:tcPr>
            <w:tcW w:w="2640" w:type="dxa"/>
            <w:vAlign w:val="bottom"/>
          </w:tcPr>
          <w:p>
            <w:pPr>
              <w:ind w:left="20"/>
              <w:spacing w:after="0"/>
              <w:rPr>
                <w:sz w:val="20"/>
                <w:szCs w:val="20"/>
                <w:color w:val="auto"/>
              </w:rPr>
            </w:pPr>
            <w:r>
              <w:rPr>
                <w:rFonts w:ascii="Arial" w:cs="Arial" w:eastAsia="Arial" w:hAnsi="Arial"/>
                <w:sz w:val="14"/>
                <w:szCs w:val="14"/>
                <w:color w:val="auto"/>
              </w:rPr>
              <w:t>trading activities because of the</w:t>
            </w:r>
          </w:p>
        </w:tc>
        <w:tc>
          <w:tcPr>
            <w:tcW w:w="2860" w:type="dxa"/>
            <w:vAlign w:val="bottom"/>
            <w:gridSpan w:val="2"/>
          </w:tcPr>
          <w:p>
            <w:pPr>
              <w:ind w:left="60"/>
              <w:spacing w:after="0"/>
              <w:rPr>
                <w:sz w:val="20"/>
                <w:szCs w:val="20"/>
                <w:color w:val="auto"/>
              </w:rPr>
            </w:pPr>
            <w:r>
              <w:rPr>
                <w:rFonts w:ascii="Arial" w:cs="Arial" w:eastAsia="Arial" w:hAnsi="Arial"/>
                <w:sz w:val="14"/>
                <w:szCs w:val="14"/>
                <w:color w:val="auto"/>
              </w:rPr>
              <w:t>and controls around origination and</w:t>
            </w:r>
          </w:p>
        </w:tc>
        <w:tc>
          <w:tcPr>
            <w:tcW w:w="0" w:type="dxa"/>
            <w:vAlign w:val="bottom"/>
          </w:tcPr>
          <w:p>
            <w:pPr>
              <w:spacing w:after="0"/>
              <w:rPr>
                <w:sz w:val="1"/>
                <w:szCs w:val="1"/>
                <w:color w:val="auto"/>
              </w:rPr>
            </w:pPr>
          </w:p>
        </w:tc>
      </w:tr>
      <w:tr>
        <w:trPr>
          <w:trHeight w:val="162"/>
        </w:trPr>
        <w:tc>
          <w:tcPr>
            <w:tcW w:w="2640" w:type="dxa"/>
            <w:vAlign w:val="bottom"/>
          </w:tcPr>
          <w:p>
            <w:pPr>
              <w:ind w:left="20"/>
              <w:spacing w:after="0"/>
              <w:rPr>
                <w:sz w:val="20"/>
                <w:szCs w:val="20"/>
                <w:color w:val="auto"/>
              </w:rPr>
            </w:pPr>
            <w:r>
              <w:rPr>
                <w:rFonts w:ascii="Arial" w:cs="Arial" w:eastAsia="Arial" w:hAnsi="Arial"/>
                <w:sz w:val="14"/>
                <w:szCs w:val="14"/>
                <w:color w:val="auto"/>
              </w:rPr>
              <w:t>requirement under IFRS to fair value</w:t>
            </w:r>
          </w:p>
        </w:tc>
        <w:tc>
          <w:tcPr>
            <w:tcW w:w="2860" w:type="dxa"/>
            <w:vAlign w:val="bottom"/>
            <w:gridSpan w:val="2"/>
          </w:tcPr>
          <w:p>
            <w:pPr>
              <w:ind w:left="60"/>
              <w:spacing w:after="0"/>
              <w:rPr>
                <w:sz w:val="20"/>
                <w:szCs w:val="20"/>
                <w:color w:val="auto"/>
              </w:rPr>
            </w:pPr>
            <w:r>
              <w:rPr>
                <w:rFonts w:ascii="Arial" w:cs="Arial" w:eastAsia="Arial" w:hAnsi="Arial"/>
                <w:sz w:val="14"/>
                <w:szCs w:val="14"/>
                <w:color w:val="auto"/>
              </w:rPr>
              <w:t>maintenance of complete and accurate</w:t>
            </w:r>
          </w:p>
        </w:tc>
        <w:tc>
          <w:tcPr>
            <w:tcW w:w="0" w:type="dxa"/>
            <w:vAlign w:val="bottom"/>
          </w:tcPr>
          <w:p>
            <w:pPr>
              <w:spacing w:after="0"/>
              <w:rPr>
                <w:sz w:val="1"/>
                <w:szCs w:val="1"/>
                <w:color w:val="auto"/>
              </w:rPr>
            </w:pPr>
          </w:p>
        </w:tc>
      </w:tr>
      <w:tr>
        <w:trPr>
          <w:trHeight w:val="162"/>
        </w:trPr>
        <w:tc>
          <w:tcPr>
            <w:tcW w:w="2640" w:type="dxa"/>
            <w:vAlign w:val="bottom"/>
          </w:tcPr>
          <w:p>
            <w:pPr>
              <w:ind w:left="20"/>
              <w:spacing w:after="0"/>
              <w:rPr>
                <w:sz w:val="20"/>
                <w:szCs w:val="20"/>
                <w:color w:val="auto"/>
              </w:rPr>
            </w:pPr>
            <w:r>
              <w:rPr>
                <w:rFonts w:ascii="Arial" w:cs="Arial" w:eastAsia="Arial" w:hAnsi="Arial"/>
                <w:sz w:val="14"/>
                <w:szCs w:val="14"/>
                <w:color w:val="auto"/>
              </w:rPr>
              <w:t>derivative contracts. These contracts</w:t>
            </w:r>
          </w:p>
        </w:tc>
        <w:tc>
          <w:tcPr>
            <w:tcW w:w="2860" w:type="dxa"/>
            <w:vAlign w:val="bottom"/>
            <w:gridSpan w:val="2"/>
          </w:tcPr>
          <w:p>
            <w:pPr>
              <w:ind w:left="60"/>
              <w:spacing w:after="0"/>
              <w:rPr>
                <w:sz w:val="20"/>
                <w:szCs w:val="20"/>
                <w:color w:val="auto"/>
              </w:rPr>
            </w:pPr>
            <w:r>
              <w:rPr>
                <w:rFonts w:ascii="Arial" w:cs="Arial" w:eastAsia="Arial" w:hAnsi="Arial"/>
                <w:sz w:val="14"/>
                <w:szCs w:val="14"/>
                <w:color w:val="auto"/>
              </w:rPr>
              <w:t>information relating to derivative contracts.</w:t>
            </w:r>
          </w:p>
        </w:tc>
        <w:tc>
          <w:tcPr>
            <w:tcW w:w="0" w:type="dxa"/>
            <w:vAlign w:val="bottom"/>
          </w:tcPr>
          <w:p>
            <w:pPr>
              <w:spacing w:after="0"/>
              <w:rPr>
                <w:sz w:val="1"/>
                <w:szCs w:val="1"/>
                <w:color w:val="auto"/>
              </w:rPr>
            </w:pPr>
          </w:p>
        </w:tc>
      </w:tr>
      <w:tr>
        <w:trPr>
          <w:trHeight w:val="162"/>
        </w:trPr>
        <w:tc>
          <w:tcPr>
            <w:tcW w:w="2640" w:type="dxa"/>
            <w:vAlign w:val="bottom"/>
          </w:tcPr>
          <w:p>
            <w:pPr>
              <w:ind w:left="20"/>
              <w:spacing w:after="0"/>
              <w:rPr>
                <w:sz w:val="20"/>
                <w:szCs w:val="20"/>
                <w:color w:val="auto"/>
              </w:rPr>
            </w:pPr>
            <w:r>
              <w:rPr>
                <w:rFonts w:ascii="Arial" w:cs="Arial" w:eastAsia="Arial" w:hAnsi="Arial"/>
                <w:sz w:val="14"/>
                <w:szCs w:val="14"/>
                <w:color w:val="auto"/>
              </w:rPr>
              <w:t>principally relate to commodity supply</w:t>
            </w:r>
          </w:p>
        </w:tc>
        <w:tc>
          <w:tcPr>
            <w:tcW w:w="2860" w:type="dxa"/>
            <w:vAlign w:val="bottom"/>
            <w:gridSpan w:val="2"/>
          </w:tcPr>
          <w:p>
            <w:pPr>
              <w:ind w:left="60"/>
              <w:spacing w:after="0"/>
              <w:rPr>
                <w:sz w:val="20"/>
                <w:szCs w:val="20"/>
                <w:color w:val="auto"/>
              </w:rPr>
            </w:pPr>
            <w:r>
              <w:rPr>
                <w:rFonts w:ascii="Arial" w:cs="Arial" w:eastAsia="Arial" w:hAnsi="Arial"/>
                <w:sz w:val="14"/>
                <w:szCs w:val="14"/>
                <w:color w:val="auto"/>
              </w:rPr>
              <w:t>We found the controls in place to be</w:t>
            </w:r>
          </w:p>
        </w:tc>
        <w:tc>
          <w:tcPr>
            <w:tcW w:w="0" w:type="dxa"/>
            <w:vAlign w:val="bottom"/>
          </w:tcPr>
          <w:p>
            <w:pPr>
              <w:spacing w:after="0"/>
              <w:rPr>
                <w:sz w:val="1"/>
                <w:szCs w:val="1"/>
                <w:color w:val="auto"/>
              </w:rPr>
            </w:pPr>
          </w:p>
        </w:tc>
      </w:tr>
      <w:tr>
        <w:trPr>
          <w:trHeight w:val="162"/>
        </w:trPr>
        <w:tc>
          <w:tcPr>
            <w:tcW w:w="2640" w:type="dxa"/>
            <w:vAlign w:val="bottom"/>
          </w:tcPr>
          <w:p>
            <w:pPr>
              <w:ind w:left="20"/>
              <w:spacing w:after="0"/>
              <w:rPr>
                <w:sz w:val="20"/>
                <w:szCs w:val="20"/>
                <w:color w:val="auto"/>
              </w:rPr>
            </w:pPr>
            <w:r>
              <w:rPr>
                <w:rFonts w:ascii="Arial" w:cs="Arial" w:eastAsia="Arial" w:hAnsi="Arial"/>
                <w:sz w:val="14"/>
                <w:szCs w:val="14"/>
                <w:color w:val="auto"/>
              </w:rPr>
              <w:t>arrangements with derivatives</w:t>
            </w:r>
          </w:p>
        </w:tc>
        <w:tc>
          <w:tcPr>
            <w:tcW w:w="2860" w:type="dxa"/>
            <w:vAlign w:val="bottom"/>
            <w:gridSpan w:val="2"/>
          </w:tcPr>
          <w:p>
            <w:pPr>
              <w:ind w:left="60"/>
              <w:spacing w:after="0"/>
              <w:rPr>
                <w:sz w:val="20"/>
                <w:szCs w:val="20"/>
                <w:color w:val="auto"/>
              </w:rPr>
            </w:pPr>
            <w:r>
              <w:rPr>
                <w:rFonts w:ascii="Arial" w:cs="Arial" w:eastAsia="Arial" w:hAnsi="Arial"/>
                <w:sz w:val="14"/>
                <w:szCs w:val="14"/>
                <w:color w:val="auto"/>
              </w:rPr>
              <w:t>operating effectively and therefore placed</w:t>
            </w:r>
          </w:p>
        </w:tc>
        <w:tc>
          <w:tcPr>
            <w:tcW w:w="0" w:type="dxa"/>
            <w:vAlign w:val="bottom"/>
          </w:tcPr>
          <w:p>
            <w:pPr>
              <w:spacing w:after="0"/>
              <w:rPr>
                <w:sz w:val="1"/>
                <w:szCs w:val="1"/>
                <w:color w:val="auto"/>
              </w:rPr>
            </w:pPr>
          </w:p>
        </w:tc>
      </w:tr>
      <w:tr>
        <w:trPr>
          <w:trHeight w:val="172"/>
        </w:trPr>
        <w:tc>
          <w:tcPr>
            <w:tcW w:w="2640" w:type="dxa"/>
            <w:vAlign w:val="bottom"/>
          </w:tcPr>
          <w:p>
            <w:pPr>
              <w:ind w:left="20"/>
              <w:spacing w:after="0"/>
              <w:rPr>
                <w:sz w:val="20"/>
                <w:szCs w:val="20"/>
                <w:color w:val="auto"/>
              </w:rPr>
            </w:pPr>
            <w:r>
              <w:rPr>
                <w:rFonts w:ascii="Arial" w:cs="Arial" w:eastAsia="Arial" w:hAnsi="Arial"/>
                <w:sz w:val="14"/>
                <w:szCs w:val="14"/>
                <w:color w:val="auto"/>
              </w:rPr>
              <w:t>embedded in the contractual terms.</w:t>
            </w:r>
          </w:p>
        </w:tc>
        <w:tc>
          <w:tcPr>
            <w:tcW w:w="2860" w:type="dxa"/>
            <w:vAlign w:val="bottom"/>
            <w:gridSpan w:val="2"/>
          </w:tcPr>
          <w:p>
            <w:pPr>
              <w:ind w:left="60"/>
              <w:spacing w:after="0"/>
              <w:rPr>
                <w:sz w:val="20"/>
                <w:szCs w:val="20"/>
                <w:color w:val="auto"/>
              </w:rPr>
            </w:pPr>
            <w:r>
              <w:rPr>
                <w:rFonts w:ascii="Arial" w:cs="Arial" w:eastAsia="Arial" w:hAnsi="Arial"/>
                <w:sz w:val="14"/>
                <w:szCs w:val="14"/>
                <w:color w:val="auto"/>
              </w:rPr>
              <w:t>reliance on these in our testing.</w:t>
            </w:r>
          </w:p>
        </w:tc>
        <w:tc>
          <w:tcPr>
            <w:tcW w:w="0" w:type="dxa"/>
            <w:vAlign w:val="bottom"/>
          </w:tcPr>
          <w:p>
            <w:pPr>
              <w:spacing w:after="0"/>
              <w:rPr>
                <w:sz w:val="1"/>
                <w:szCs w:val="1"/>
                <w:color w:val="auto"/>
              </w:rPr>
            </w:pPr>
          </w:p>
        </w:tc>
      </w:tr>
      <w:tr>
        <w:trPr>
          <w:trHeight w:val="368"/>
        </w:trPr>
        <w:tc>
          <w:tcPr>
            <w:tcW w:w="2640" w:type="dxa"/>
            <w:vAlign w:val="bottom"/>
          </w:tcPr>
          <w:p>
            <w:pPr>
              <w:ind w:left="20"/>
              <w:spacing w:after="0"/>
              <w:rPr>
                <w:sz w:val="20"/>
                <w:szCs w:val="20"/>
                <w:color w:val="auto"/>
              </w:rPr>
            </w:pPr>
            <w:r>
              <w:rPr>
                <w:rFonts w:ascii="Arial" w:cs="Arial" w:eastAsia="Arial" w:hAnsi="Arial"/>
                <w:sz w:val="14"/>
                <w:szCs w:val="14"/>
                <w:color w:val="auto"/>
              </w:rPr>
              <w:t>Management are required to exercise</w:t>
            </w:r>
          </w:p>
        </w:tc>
        <w:tc>
          <w:tcPr>
            <w:tcW w:w="2860" w:type="dxa"/>
            <w:vAlign w:val="bottom"/>
            <w:gridSpan w:val="2"/>
          </w:tcPr>
          <w:p>
            <w:pPr>
              <w:ind w:left="60"/>
              <w:spacing w:after="0"/>
              <w:rPr>
                <w:sz w:val="20"/>
                <w:szCs w:val="20"/>
                <w:color w:val="auto"/>
              </w:rPr>
            </w:pPr>
            <w:r>
              <w:rPr>
                <w:rFonts w:ascii="Arial" w:cs="Arial" w:eastAsia="Arial" w:hAnsi="Arial"/>
                <w:sz w:val="14"/>
                <w:szCs w:val="14"/>
                <w:color w:val="auto"/>
              </w:rPr>
              <w:t>In addition, we tested the valuation of</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419"/>
        </w:trPr>
        <w:tc>
          <w:tcPr>
            <w:tcW w:w="4440" w:type="dxa"/>
            <w:vAlign w:val="bottom"/>
            <w:shd w:val="clear" w:color="auto" w:fill="FF8B00"/>
          </w:tcPr>
          <w:p>
            <w:pPr>
              <w:spacing w:after="0"/>
              <w:rPr>
                <w:sz w:val="24"/>
                <w:szCs w:val="24"/>
                <w:color w:val="auto"/>
              </w:rPr>
            </w:pPr>
          </w:p>
        </w:tc>
        <w:tc>
          <w:tcPr>
            <w:tcW w:w="1380" w:type="dxa"/>
            <w:vAlign w:val="bottom"/>
            <w:shd w:val="clear" w:color="auto" w:fill="FF8B00"/>
          </w:tcPr>
          <w:p>
            <w:pPr>
              <w:spacing w:after="0"/>
              <w:rPr>
                <w:sz w:val="24"/>
                <w:szCs w:val="24"/>
                <w:color w:val="auto"/>
              </w:rPr>
            </w:pPr>
          </w:p>
        </w:tc>
      </w:tr>
      <w:tr>
        <w:trPr>
          <w:trHeight w:val="152"/>
        </w:trPr>
        <w:tc>
          <w:tcPr>
            <w:tcW w:w="4440" w:type="dxa"/>
            <w:vAlign w:val="bottom"/>
          </w:tcPr>
          <w:p>
            <w:pPr>
              <w:ind w:left="880"/>
              <w:spacing w:after="0"/>
              <w:rPr>
                <w:sz w:val="20"/>
                <w:szCs w:val="20"/>
                <w:color w:val="auto"/>
              </w:rPr>
            </w:pPr>
            <w:r>
              <w:rPr>
                <w:rFonts w:ascii="Arial" w:cs="Arial" w:eastAsia="Arial" w:hAnsi="Arial"/>
                <w:sz w:val="13"/>
                <w:szCs w:val="13"/>
                <w:color w:val="333333"/>
              </w:rPr>
              <w:t>FINANCIAL STATEMENTS AND SUPPLEMENTS</w:t>
            </w:r>
          </w:p>
        </w:tc>
        <w:tc>
          <w:tcPr>
            <w:tcW w:w="1380" w:type="dxa"/>
            <w:vAlign w:val="bottom"/>
          </w:tcPr>
          <w:p>
            <w:pPr>
              <w:jc w:val="right"/>
              <w:ind w:right="366"/>
              <w:spacing w:after="0"/>
              <w:rPr>
                <w:sz w:val="20"/>
                <w:szCs w:val="20"/>
                <w:color w:val="auto"/>
              </w:rPr>
            </w:pPr>
            <w:r>
              <w:rPr>
                <w:rFonts w:ascii="Arial" w:cs="Arial" w:eastAsia="Arial" w:hAnsi="Arial"/>
                <w:sz w:val="11"/>
                <w:szCs w:val="11"/>
                <w:b w:val="1"/>
                <w:bCs w:val="1"/>
                <w:color w:val="333333"/>
              </w:rPr>
              <w:t>103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-3562985</wp:posOffset>
            </wp:positionH>
            <wp:positionV relativeFrom="paragraph">
              <wp:posOffset>-996315</wp:posOffset>
            </wp:positionV>
            <wp:extent cx="7289165" cy="3873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-361950</wp:posOffset>
            </wp:positionV>
            <wp:extent cx="3696335" cy="46291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3696335" cy="462915"/>
                    </a:xfrm>
                    <a:prstGeom prst="rect">
                      <a:avLst/>
                    </a:prstGeom>
                    <a:noFill/>
                  </pic:spPr>
                </pic:pic>
              </a:graphicData>
            </a:graphic>
          </wp:anchor>
        </w:drawing>
      </w:r>
    </w:p>
    <w:p>
      <w:pPr>
        <w:spacing w:after="0" w:line="135" w:lineRule="exact"/>
        <w:rPr>
          <w:sz w:val="20"/>
          <w:szCs w:val="20"/>
          <w:color w:val="auto"/>
        </w:rPr>
      </w:pPr>
    </w:p>
    <w:p>
      <w:pPr>
        <w:ind w:left="880"/>
        <w:spacing w:after="0"/>
        <w:rPr>
          <w:sz w:val="20"/>
          <w:szCs w:val="20"/>
          <w:color w:val="auto"/>
        </w:rPr>
      </w:pPr>
      <w:r>
        <w:rPr>
          <w:rFonts w:ascii="Arial" w:cs="Arial" w:eastAsia="Arial" w:hAnsi="Arial"/>
          <w:sz w:val="11"/>
          <w:szCs w:val="11"/>
          <w:color w:val="auto"/>
        </w:rPr>
        <w:t>CONSOLIDATED FINANCIAL STATEMENTS</w:t>
      </w:r>
    </w:p>
    <w:p>
      <w:pPr>
        <w:spacing w:after="0" w:line="56" w:lineRule="exact"/>
        <w:rPr>
          <w:sz w:val="20"/>
          <w:szCs w:val="20"/>
          <w:color w:val="auto"/>
        </w:rPr>
      </w:pPr>
    </w:p>
    <w:p>
      <w:pPr>
        <w:ind w:left="180"/>
        <w:spacing w:after="0"/>
        <w:rPr>
          <w:sz w:val="20"/>
          <w:szCs w:val="20"/>
          <w:color w:val="auto"/>
        </w:rPr>
      </w:pPr>
      <w:r>
        <w:rPr>
          <w:rFonts w:ascii="Arial" w:cs="Arial" w:eastAsia="Arial" w:hAnsi="Arial"/>
          <w:sz w:val="13"/>
          <w:szCs w:val="13"/>
          <w:color w:val="auto"/>
        </w:rPr>
        <w:t>GOING CONCERN</w:t>
      </w:r>
    </w:p>
    <w:p>
      <w:pPr>
        <w:jc w:val="both"/>
        <w:ind w:left="180" w:right="180"/>
        <w:spacing w:after="0" w:line="250" w:lineRule="auto"/>
        <w:rPr>
          <w:sz w:val="20"/>
          <w:szCs w:val="20"/>
          <w:color w:val="auto"/>
        </w:rPr>
      </w:pPr>
      <w:r>
        <w:rPr>
          <w:rFonts w:ascii="Arial" w:cs="Arial" w:eastAsia="Arial" w:hAnsi="Arial"/>
          <w:sz w:val="14"/>
          <w:szCs w:val="14"/>
          <w:color w:val="auto"/>
        </w:rPr>
        <w:t>Under the Listing Rules we are required to review the Directors’ statement, set out on page 63, in relation to going concern. We have nothing to report having performed our review.</w:t>
      </w:r>
    </w:p>
    <w:p>
      <w:pPr>
        <w:spacing w:after="0" w:line="172" w:lineRule="exact"/>
        <w:rPr>
          <w:sz w:val="20"/>
          <w:szCs w:val="20"/>
          <w:color w:val="auto"/>
        </w:rPr>
      </w:pPr>
    </w:p>
    <w:p>
      <w:pPr>
        <w:ind w:left="180" w:right="340"/>
        <w:spacing w:after="0" w:line="244" w:lineRule="auto"/>
        <w:rPr>
          <w:sz w:val="20"/>
          <w:szCs w:val="20"/>
          <w:color w:val="auto"/>
        </w:rPr>
      </w:pPr>
      <w:r>
        <w:rPr>
          <w:rFonts w:ascii="Arial" w:cs="Arial" w:eastAsia="Arial" w:hAnsi="Arial"/>
          <w:sz w:val="14"/>
          <w:szCs w:val="14"/>
          <w:color w:val="auto"/>
        </w:rPr>
        <w:t>As noted in the Directors’ statement, the Directors have concluded that it is appropriate to prepare the Consolidated Financial Statements using the going concern basis of accounting. The going concern basis presumes that Shell has adequate resources to remain in operation, and that the Directors intend it to do so, for at least one year from the date the Consolidated Financial Statements were signed. As part of our audit we have concluded that the Directors’ use of the going concern basis is appropriate.</w:t>
      </w:r>
    </w:p>
    <w:p>
      <w:pPr>
        <w:spacing w:after="0" w:line="164" w:lineRule="exact"/>
        <w:rPr>
          <w:sz w:val="20"/>
          <w:szCs w:val="20"/>
          <w:color w:val="auto"/>
        </w:rPr>
      </w:pPr>
    </w:p>
    <w:p>
      <w:pPr>
        <w:ind w:left="180" w:right="380"/>
        <w:spacing w:after="0" w:line="258" w:lineRule="auto"/>
        <w:rPr>
          <w:sz w:val="20"/>
          <w:szCs w:val="20"/>
          <w:color w:val="auto"/>
        </w:rPr>
      </w:pPr>
      <w:r>
        <w:rPr>
          <w:rFonts w:ascii="Arial" w:cs="Arial" w:eastAsia="Arial" w:hAnsi="Arial"/>
          <w:sz w:val="14"/>
          <w:szCs w:val="14"/>
          <w:color w:val="auto"/>
        </w:rPr>
        <w:t>However, because not all future events or conditions can be predicted, these statements are not a guarantee as to Shell’s ability to continue as a going concern.</w:t>
      </w:r>
    </w:p>
    <w:p>
      <w:pPr>
        <w:spacing w:after="0" w:line="148" w:lineRule="exact"/>
        <w:rPr>
          <w:sz w:val="20"/>
          <w:szCs w:val="20"/>
          <w:color w:val="auto"/>
        </w:rPr>
      </w:pPr>
    </w:p>
    <w:p>
      <w:pPr>
        <w:ind w:left="180"/>
        <w:spacing w:after="0"/>
        <w:rPr>
          <w:sz w:val="20"/>
          <w:szCs w:val="20"/>
          <w:color w:val="auto"/>
        </w:rPr>
      </w:pPr>
      <w:r>
        <w:rPr>
          <w:rFonts w:ascii="Arial" w:cs="Arial" w:eastAsia="Arial" w:hAnsi="Arial"/>
          <w:sz w:val="18"/>
          <w:szCs w:val="18"/>
          <w:color w:val="auto"/>
        </w:rPr>
        <w:t>OTHER REQUIRED REPORTING</w:t>
      </w:r>
    </w:p>
    <w:p>
      <w:pPr>
        <w:spacing w:after="0" w:line="185" w:lineRule="exact"/>
        <w:rPr>
          <w:sz w:val="20"/>
          <w:szCs w:val="20"/>
          <w:color w:val="auto"/>
        </w:rPr>
      </w:pPr>
    </w:p>
    <w:p>
      <w:pPr>
        <w:ind w:left="180"/>
        <w:spacing w:after="0"/>
        <w:rPr>
          <w:sz w:val="20"/>
          <w:szCs w:val="20"/>
          <w:color w:val="auto"/>
        </w:rPr>
      </w:pPr>
      <w:r>
        <w:rPr>
          <w:rFonts w:ascii="Arial" w:cs="Arial" w:eastAsia="Arial" w:hAnsi="Arial"/>
          <w:sz w:val="18"/>
          <w:szCs w:val="18"/>
          <w:color w:val="auto"/>
        </w:rPr>
        <w:t>Consistency of other information</w:t>
      </w:r>
    </w:p>
    <w:p>
      <w:pPr>
        <w:spacing w:after="0" w:line="162" w:lineRule="exact"/>
        <w:rPr>
          <w:sz w:val="20"/>
          <w:szCs w:val="20"/>
          <w:color w:val="auto"/>
        </w:rPr>
      </w:pPr>
    </w:p>
    <w:p>
      <w:pPr>
        <w:ind w:left="180"/>
        <w:spacing w:after="0"/>
        <w:rPr>
          <w:sz w:val="20"/>
          <w:szCs w:val="20"/>
          <w:color w:val="auto"/>
        </w:rPr>
      </w:pPr>
      <w:r>
        <w:rPr>
          <w:rFonts w:ascii="Arial" w:cs="Arial" w:eastAsia="Arial" w:hAnsi="Arial"/>
          <w:sz w:val="13"/>
          <w:szCs w:val="13"/>
          <w:color w:val="auto"/>
        </w:rPr>
        <w:t>COMPANIES ACT 2006 OPINION</w:t>
      </w:r>
    </w:p>
    <w:p>
      <w:pPr>
        <w:jc w:val="both"/>
        <w:ind w:left="180" w:right="220"/>
        <w:spacing w:after="0" w:line="250" w:lineRule="auto"/>
        <w:rPr>
          <w:sz w:val="20"/>
          <w:szCs w:val="20"/>
          <w:color w:val="auto"/>
        </w:rPr>
      </w:pPr>
      <w:r>
        <w:rPr>
          <w:rFonts w:ascii="Arial" w:cs="Arial" w:eastAsia="Arial" w:hAnsi="Arial"/>
          <w:sz w:val="14"/>
          <w:szCs w:val="14"/>
          <w:color w:val="auto"/>
        </w:rPr>
        <w:t>In our opinion, the information given in the Strategic Report and the Directors’ Report for the financial year for which the Consolidated Financial Statements are prepared is consistent with the Consolidated Financial Statements.</w:t>
      </w:r>
    </w:p>
    <w:p>
      <w:pPr>
        <w:spacing w:after="0" w:line="185" w:lineRule="exact"/>
        <w:rPr>
          <w:sz w:val="20"/>
          <w:szCs w:val="20"/>
          <w:color w:val="auto"/>
        </w:rPr>
      </w:pPr>
    </w:p>
    <w:p>
      <w:pPr>
        <w:ind w:left="180"/>
        <w:spacing w:after="0"/>
        <w:rPr>
          <w:sz w:val="20"/>
          <w:szCs w:val="20"/>
          <w:color w:val="auto"/>
        </w:rPr>
      </w:pPr>
      <w:r>
        <w:rPr>
          <w:rFonts w:ascii="Arial" w:cs="Arial" w:eastAsia="Arial" w:hAnsi="Arial"/>
          <w:sz w:val="13"/>
          <w:szCs w:val="13"/>
          <w:color w:val="auto"/>
        </w:rPr>
        <w:t>ISAs (UK AND IRELAND) REPORTING</w:t>
      </w:r>
    </w:p>
    <w:p>
      <w:pPr>
        <w:ind w:left="180"/>
        <w:spacing w:after="0" w:line="234" w:lineRule="auto"/>
        <w:rPr>
          <w:sz w:val="20"/>
          <w:szCs w:val="20"/>
          <w:color w:val="auto"/>
        </w:rPr>
      </w:pPr>
      <w:r>
        <w:rPr>
          <w:rFonts w:ascii="Arial" w:cs="Arial" w:eastAsia="Arial" w:hAnsi="Arial"/>
          <w:sz w:val="14"/>
          <w:szCs w:val="14"/>
          <w:color w:val="auto"/>
        </w:rPr>
        <w:t>Under ISAs (UK and Ireland) we are required to report to you if, in our opinion:</w:t>
      </w:r>
    </w:p>
    <w:tbl>
      <w:tblPr>
        <w:tblLayout w:type="fixed"/>
        <w:tblInd w:w="180" w:type="dxa"/>
        <w:tblCellMar>
          <w:top w:w="0" w:type="dxa"/>
          <w:left w:w="0" w:type="dxa"/>
          <w:bottom w:w="0" w:type="dxa"/>
          <w:right w:w="0" w:type="dxa"/>
        </w:tblCellMar>
      </w:tblPr>
      <w:tr>
        <w:trPr>
          <w:trHeight w:val="160"/>
        </w:trPr>
        <w:tc>
          <w:tcPr>
            <w:tcW w:w="3340" w:type="dxa"/>
            <w:vAlign w:val="bottom"/>
            <w:tcBorders>
              <w:top w:val="single" w:sz="8" w:color="auto"/>
            </w:tcBorders>
          </w:tcPr>
          <w:p>
            <w:pPr>
              <w:spacing w:after="0"/>
              <w:rPr>
                <w:sz w:val="20"/>
                <w:szCs w:val="20"/>
                <w:color w:val="auto"/>
              </w:rPr>
            </w:pPr>
            <w:r>
              <w:rPr>
                <w:rFonts w:ascii="Arial" w:cs="Arial" w:eastAsia="Arial" w:hAnsi="Arial"/>
                <w:sz w:val="12"/>
                <w:szCs w:val="12"/>
                <w:color w:val="auto"/>
              </w:rPr>
              <w:t xml:space="preserve">n    </w:t>
            </w:r>
            <w:r>
              <w:rPr>
                <w:rFonts w:ascii="Arial" w:cs="Arial" w:eastAsia="Arial" w:hAnsi="Arial"/>
                <w:sz w:val="14"/>
                <w:szCs w:val="14"/>
                <w:color w:val="auto"/>
              </w:rPr>
              <w:t>information in the Annual Report is:</w:t>
            </w:r>
          </w:p>
        </w:tc>
        <w:tc>
          <w:tcPr>
            <w:tcW w:w="2140" w:type="dxa"/>
            <w:vAlign w:val="bottom"/>
            <w:tcBorders>
              <w:top w:val="single" w:sz="8" w:color="auto"/>
            </w:tcBorders>
          </w:tcPr>
          <w:p>
            <w:pPr>
              <w:ind w:left="120"/>
              <w:spacing w:after="0"/>
              <w:rPr>
                <w:sz w:val="20"/>
                <w:szCs w:val="20"/>
                <w:color w:val="auto"/>
              </w:rPr>
            </w:pPr>
            <w:r>
              <w:rPr>
                <w:rFonts w:ascii="Arial" w:cs="Arial" w:eastAsia="Arial" w:hAnsi="Arial"/>
                <w:sz w:val="14"/>
                <w:szCs w:val="14"/>
                <w:color w:val="auto"/>
              </w:rPr>
              <w:t>We have no exceptions to</w:t>
            </w:r>
          </w:p>
        </w:tc>
      </w:tr>
      <w:tr>
        <w:trPr>
          <w:trHeight w:val="162"/>
        </w:trPr>
        <w:tc>
          <w:tcPr>
            <w:tcW w:w="3340" w:type="dxa"/>
            <w:vAlign w:val="bottom"/>
          </w:tcPr>
          <w:p>
            <w:pPr>
              <w:ind w:left="140"/>
              <w:spacing w:after="0"/>
              <w:rPr>
                <w:sz w:val="20"/>
                <w:szCs w:val="20"/>
                <w:color w:val="auto"/>
              </w:rPr>
            </w:pPr>
            <w:r>
              <w:rPr>
                <w:rFonts w:ascii="Arial" w:cs="Arial" w:eastAsia="Arial" w:hAnsi="Arial"/>
                <w:sz w:val="12"/>
                <w:szCs w:val="12"/>
                <w:color w:val="auto"/>
              </w:rPr>
              <w:t xml:space="preserve">n    </w:t>
            </w:r>
            <w:r>
              <w:rPr>
                <w:rFonts w:ascii="Arial" w:cs="Arial" w:eastAsia="Arial" w:hAnsi="Arial"/>
                <w:sz w:val="14"/>
                <w:szCs w:val="14"/>
                <w:color w:val="auto"/>
              </w:rPr>
              <w:t>materially inconsistent with the information in</w:t>
            </w:r>
          </w:p>
        </w:tc>
        <w:tc>
          <w:tcPr>
            <w:tcW w:w="2140" w:type="dxa"/>
            <w:vAlign w:val="bottom"/>
          </w:tcPr>
          <w:p>
            <w:pPr>
              <w:ind w:left="120"/>
              <w:spacing w:after="0"/>
              <w:rPr>
                <w:sz w:val="20"/>
                <w:szCs w:val="20"/>
                <w:color w:val="auto"/>
              </w:rPr>
            </w:pPr>
            <w:r>
              <w:rPr>
                <w:rFonts w:ascii="Arial" w:cs="Arial" w:eastAsia="Arial" w:hAnsi="Arial"/>
                <w:sz w:val="14"/>
                <w:szCs w:val="14"/>
                <w:color w:val="auto"/>
              </w:rPr>
              <w:t>report arising from this</w:t>
            </w:r>
          </w:p>
        </w:tc>
      </w:tr>
      <w:tr>
        <w:trPr>
          <w:trHeight w:val="162"/>
        </w:trPr>
        <w:tc>
          <w:tcPr>
            <w:tcW w:w="3340" w:type="dxa"/>
            <w:vAlign w:val="bottom"/>
          </w:tcPr>
          <w:p>
            <w:pPr>
              <w:ind w:left="300"/>
              <w:spacing w:after="0"/>
              <w:rPr>
                <w:sz w:val="20"/>
                <w:szCs w:val="20"/>
                <w:color w:val="auto"/>
              </w:rPr>
            </w:pPr>
            <w:r>
              <w:rPr>
                <w:rFonts w:ascii="Arial" w:cs="Arial" w:eastAsia="Arial" w:hAnsi="Arial"/>
                <w:sz w:val="14"/>
                <w:szCs w:val="14"/>
                <w:color w:val="auto"/>
              </w:rPr>
              <w:t>the audited Consolidated Financial</w:t>
            </w:r>
          </w:p>
        </w:tc>
        <w:tc>
          <w:tcPr>
            <w:tcW w:w="2140" w:type="dxa"/>
            <w:vAlign w:val="bottom"/>
          </w:tcPr>
          <w:p>
            <w:pPr>
              <w:ind w:left="120"/>
              <w:spacing w:after="0"/>
              <w:rPr>
                <w:sz w:val="20"/>
                <w:szCs w:val="20"/>
                <w:color w:val="auto"/>
              </w:rPr>
            </w:pPr>
            <w:r>
              <w:rPr>
                <w:rFonts w:ascii="Arial" w:cs="Arial" w:eastAsia="Arial" w:hAnsi="Arial"/>
                <w:sz w:val="14"/>
                <w:szCs w:val="14"/>
                <w:color w:val="auto"/>
              </w:rPr>
              <w:t>responsibility.</w:t>
            </w:r>
          </w:p>
        </w:tc>
      </w:tr>
      <w:tr>
        <w:trPr>
          <w:trHeight w:val="162"/>
        </w:trPr>
        <w:tc>
          <w:tcPr>
            <w:tcW w:w="3340" w:type="dxa"/>
            <w:vAlign w:val="bottom"/>
          </w:tcPr>
          <w:p>
            <w:pPr>
              <w:ind w:left="300"/>
              <w:spacing w:after="0"/>
              <w:rPr>
                <w:sz w:val="20"/>
                <w:szCs w:val="20"/>
                <w:color w:val="auto"/>
              </w:rPr>
            </w:pPr>
            <w:r>
              <w:rPr>
                <w:rFonts w:ascii="Arial" w:cs="Arial" w:eastAsia="Arial" w:hAnsi="Arial"/>
                <w:sz w:val="14"/>
                <w:szCs w:val="14"/>
                <w:color w:val="auto"/>
              </w:rPr>
              <w:t>Statements; or</w:t>
            </w:r>
          </w:p>
        </w:tc>
        <w:tc>
          <w:tcPr>
            <w:tcW w:w="2140" w:type="dxa"/>
            <w:vAlign w:val="bottom"/>
          </w:tcPr>
          <w:p>
            <w:pPr>
              <w:spacing w:after="0"/>
              <w:rPr>
                <w:sz w:val="14"/>
                <w:szCs w:val="14"/>
                <w:color w:val="auto"/>
              </w:rPr>
            </w:pPr>
          </w:p>
        </w:tc>
      </w:tr>
      <w:tr>
        <w:trPr>
          <w:trHeight w:val="162"/>
        </w:trPr>
        <w:tc>
          <w:tcPr>
            <w:tcW w:w="3340" w:type="dxa"/>
            <w:vAlign w:val="bottom"/>
          </w:tcPr>
          <w:p>
            <w:pPr>
              <w:ind w:left="140"/>
              <w:spacing w:after="0"/>
              <w:rPr>
                <w:sz w:val="20"/>
                <w:szCs w:val="20"/>
                <w:color w:val="auto"/>
              </w:rPr>
            </w:pPr>
            <w:r>
              <w:rPr>
                <w:rFonts w:ascii="Arial" w:cs="Arial" w:eastAsia="Arial" w:hAnsi="Arial"/>
                <w:sz w:val="12"/>
                <w:szCs w:val="12"/>
                <w:color w:val="auto"/>
              </w:rPr>
              <w:t xml:space="preserve">n    </w:t>
            </w:r>
            <w:r>
              <w:rPr>
                <w:rFonts w:ascii="Arial" w:cs="Arial" w:eastAsia="Arial" w:hAnsi="Arial"/>
                <w:sz w:val="14"/>
                <w:szCs w:val="14"/>
                <w:color w:val="auto"/>
              </w:rPr>
              <w:t>apparently materially incorrect based on, or</w:t>
            </w:r>
          </w:p>
        </w:tc>
        <w:tc>
          <w:tcPr>
            <w:tcW w:w="2140" w:type="dxa"/>
            <w:vAlign w:val="bottom"/>
          </w:tcPr>
          <w:p>
            <w:pPr>
              <w:spacing w:after="0"/>
              <w:rPr>
                <w:sz w:val="14"/>
                <w:szCs w:val="14"/>
                <w:color w:val="auto"/>
              </w:rPr>
            </w:pPr>
          </w:p>
        </w:tc>
      </w:tr>
      <w:tr>
        <w:trPr>
          <w:trHeight w:val="162"/>
        </w:trPr>
        <w:tc>
          <w:tcPr>
            <w:tcW w:w="3340" w:type="dxa"/>
            <w:vAlign w:val="bottom"/>
          </w:tcPr>
          <w:p>
            <w:pPr>
              <w:ind w:left="300"/>
              <w:spacing w:after="0"/>
              <w:rPr>
                <w:sz w:val="20"/>
                <w:szCs w:val="20"/>
                <w:color w:val="auto"/>
              </w:rPr>
            </w:pPr>
            <w:r>
              <w:rPr>
                <w:rFonts w:ascii="Arial" w:cs="Arial" w:eastAsia="Arial" w:hAnsi="Arial"/>
                <w:sz w:val="14"/>
                <w:szCs w:val="14"/>
                <w:color w:val="auto"/>
              </w:rPr>
              <w:t>materially inconsistent with, our knowledge of</w:t>
            </w:r>
          </w:p>
        </w:tc>
        <w:tc>
          <w:tcPr>
            <w:tcW w:w="2140" w:type="dxa"/>
            <w:vAlign w:val="bottom"/>
          </w:tcPr>
          <w:p>
            <w:pPr>
              <w:spacing w:after="0"/>
              <w:rPr>
                <w:sz w:val="14"/>
                <w:szCs w:val="14"/>
                <w:color w:val="auto"/>
              </w:rPr>
            </w:pPr>
          </w:p>
        </w:tc>
      </w:tr>
      <w:tr>
        <w:trPr>
          <w:trHeight w:val="162"/>
        </w:trPr>
        <w:tc>
          <w:tcPr>
            <w:tcW w:w="3340" w:type="dxa"/>
            <w:vAlign w:val="bottom"/>
          </w:tcPr>
          <w:p>
            <w:pPr>
              <w:ind w:left="300"/>
              <w:spacing w:after="0"/>
              <w:rPr>
                <w:sz w:val="20"/>
                <w:szCs w:val="20"/>
                <w:color w:val="auto"/>
              </w:rPr>
            </w:pPr>
            <w:r>
              <w:rPr>
                <w:rFonts w:ascii="Arial" w:cs="Arial" w:eastAsia="Arial" w:hAnsi="Arial"/>
                <w:sz w:val="14"/>
                <w:szCs w:val="14"/>
                <w:color w:val="auto"/>
              </w:rPr>
              <w:t>Shell acquired in the course of performing our</w:t>
            </w:r>
          </w:p>
        </w:tc>
        <w:tc>
          <w:tcPr>
            <w:tcW w:w="2140" w:type="dxa"/>
            <w:vAlign w:val="bottom"/>
          </w:tcPr>
          <w:p>
            <w:pPr>
              <w:spacing w:after="0"/>
              <w:rPr>
                <w:sz w:val="14"/>
                <w:szCs w:val="14"/>
                <w:color w:val="auto"/>
              </w:rPr>
            </w:pPr>
          </w:p>
        </w:tc>
      </w:tr>
      <w:tr>
        <w:trPr>
          <w:trHeight w:val="162"/>
        </w:trPr>
        <w:tc>
          <w:tcPr>
            <w:tcW w:w="3340" w:type="dxa"/>
            <w:vAlign w:val="bottom"/>
          </w:tcPr>
          <w:p>
            <w:pPr>
              <w:ind w:left="300"/>
              <w:spacing w:after="0"/>
              <w:rPr>
                <w:sz w:val="20"/>
                <w:szCs w:val="20"/>
                <w:color w:val="auto"/>
              </w:rPr>
            </w:pPr>
            <w:r>
              <w:rPr>
                <w:rFonts w:ascii="Arial" w:cs="Arial" w:eastAsia="Arial" w:hAnsi="Arial"/>
                <w:sz w:val="14"/>
                <w:szCs w:val="14"/>
                <w:color w:val="auto"/>
              </w:rPr>
              <w:t>audit; or</w:t>
            </w:r>
          </w:p>
        </w:tc>
        <w:tc>
          <w:tcPr>
            <w:tcW w:w="2140" w:type="dxa"/>
            <w:vAlign w:val="bottom"/>
          </w:tcPr>
          <w:p>
            <w:pPr>
              <w:spacing w:after="0"/>
              <w:rPr>
                <w:sz w:val="14"/>
                <w:szCs w:val="14"/>
                <w:color w:val="auto"/>
              </w:rPr>
            </w:pPr>
          </w:p>
        </w:tc>
      </w:tr>
      <w:tr>
        <w:trPr>
          <w:trHeight w:val="135"/>
        </w:trPr>
        <w:tc>
          <w:tcPr>
            <w:tcW w:w="3340" w:type="dxa"/>
            <w:vAlign w:val="bottom"/>
          </w:tcPr>
          <w:p>
            <w:pPr>
              <w:ind w:left="140"/>
              <w:spacing w:after="0" w:line="135" w:lineRule="exact"/>
              <w:rPr>
                <w:sz w:val="20"/>
                <w:szCs w:val="20"/>
                <w:color w:val="auto"/>
              </w:rPr>
            </w:pPr>
            <w:r>
              <w:rPr>
                <w:rFonts w:ascii="Arial" w:cs="Arial" w:eastAsia="Arial" w:hAnsi="Arial"/>
                <w:sz w:val="12"/>
                <w:szCs w:val="12"/>
                <w:color w:val="auto"/>
              </w:rPr>
              <w:t xml:space="preserve">n   </w:t>
            </w:r>
            <w:r>
              <w:rPr>
                <w:rFonts w:ascii="Arial" w:cs="Arial" w:eastAsia="Arial" w:hAnsi="Arial"/>
                <w:sz w:val="14"/>
                <w:szCs w:val="14"/>
                <w:color w:val="auto"/>
              </w:rPr>
              <w:t>otherwise misleading.</w:t>
            </w:r>
          </w:p>
        </w:tc>
        <w:tc>
          <w:tcPr>
            <w:tcW w:w="2140" w:type="dxa"/>
            <w:vAlign w:val="bottom"/>
          </w:tcPr>
          <w:p>
            <w:pPr>
              <w:spacing w:after="0"/>
              <w:rPr>
                <w:sz w:val="11"/>
                <w:szCs w:val="11"/>
                <w:color w:val="auto"/>
              </w:rPr>
            </w:pPr>
          </w:p>
        </w:tc>
      </w:tr>
    </w:tbl>
    <w:p>
      <w:pPr>
        <w:spacing w:after="0" w:line="1" w:lineRule="exact"/>
        <w:rPr>
          <w:sz w:val="20"/>
          <w:szCs w:val="20"/>
          <w:color w:val="auto"/>
        </w:rPr>
      </w:pPr>
    </w:p>
    <w:p>
      <w:pPr>
        <w:sectPr>
          <w:pgSz w:w="11900" w:h="16838" w:orient="portrait"/>
          <w:cols w:equalWidth="0" w:num="2">
            <w:col w:w="5480" w:space="120"/>
            <w:col w:w="5820"/>
          </w:cols>
          <w:pgMar w:left="240" w:top="459" w:right="239" w:bottom="1440" w:gutter="0" w:footer="0" w:header="0"/>
        </w:sectPr>
      </w:pPr>
    </w:p>
    <w:tbl>
      <w:tblPr>
        <w:tblLayout w:type="fixed"/>
        <w:tblInd w:w="0" w:type="dxa"/>
        <w:tblCellMar>
          <w:top w:w="0" w:type="dxa"/>
          <w:left w:w="0" w:type="dxa"/>
          <w:bottom w:w="0" w:type="dxa"/>
          <w:right w:w="0" w:type="dxa"/>
        </w:tblCellMar>
      </w:tblPr>
      <w:tr>
        <w:trPr>
          <w:trHeight w:val="162"/>
        </w:trPr>
        <w:tc>
          <w:tcPr>
            <w:tcW w:w="2640" w:type="dxa"/>
            <w:vAlign w:val="bottom"/>
          </w:tcPr>
          <w:p>
            <w:pPr>
              <w:ind w:left="20"/>
              <w:spacing w:after="0"/>
              <w:rPr>
                <w:sz w:val="20"/>
                <w:szCs w:val="20"/>
                <w:color w:val="auto"/>
              </w:rPr>
            </w:pPr>
            <w:r>
              <w:rPr>
                <w:rFonts w:ascii="Arial" w:cs="Arial" w:eastAsia="Arial" w:hAnsi="Arial"/>
                <w:sz w:val="14"/>
                <w:szCs w:val="14"/>
                <w:color w:val="auto"/>
              </w:rPr>
              <w:t>judgement in valuing these derivative</w:t>
            </w:r>
          </w:p>
        </w:tc>
        <w:tc>
          <w:tcPr>
            <w:tcW w:w="2840" w:type="dxa"/>
            <w:vAlign w:val="bottom"/>
          </w:tcPr>
          <w:p>
            <w:pPr>
              <w:ind w:left="60"/>
              <w:spacing w:after="0"/>
              <w:rPr>
                <w:sz w:val="20"/>
                <w:szCs w:val="20"/>
                <w:color w:val="auto"/>
              </w:rPr>
            </w:pPr>
            <w:r>
              <w:rPr>
                <w:rFonts w:ascii="Arial" w:cs="Arial" w:eastAsia="Arial" w:hAnsi="Arial"/>
                <w:sz w:val="14"/>
                <w:szCs w:val="14"/>
                <w:color w:val="auto"/>
              </w:rPr>
              <w:t>derivative contracts at December 31, 2014</w:t>
            </w:r>
          </w:p>
        </w:tc>
      </w:tr>
      <w:tr>
        <w:trPr>
          <w:trHeight w:val="162"/>
        </w:trPr>
        <w:tc>
          <w:tcPr>
            <w:tcW w:w="2640" w:type="dxa"/>
            <w:vAlign w:val="bottom"/>
          </w:tcPr>
          <w:p>
            <w:pPr>
              <w:ind w:left="20"/>
              <w:spacing w:after="0"/>
              <w:rPr>
                <w:sz w:val="20"/>
                <w:szCs w:val="20"/>
                <w:color w:val="auto"/>
              </w:rPr>
            </w:pPr>
            <w:r>
              <w:rPr>
                <w:rFonts w:ascii="Arial" w:cs="Arial" w:eastAsia="Arial" w:hAnsi="Arial"/>
                <w:sz w:val="14"/>
                <w:szCs w:val="14"/>
                <w:color w:val="auto"/>
              </w:rPr>
              <w:t>contracts, particularly where the life of</w:t>
            </w:r>
          </w:p>
        </w:tc>
        <w:tc>
          <w:tcPr>
            <w:tcW w:w="2840" w:type="dxa"/>
            <w:vAlign w:val="bottom"/>
          </w:tcPr>
          <w:p>
            <w:pPr>
              <w:ind w:left="60"/>
              <w:spacing w:after="0"/>
              <w:rPr>
                <w:sz w:val="20"/>
                <w:szCs w:val="20"/>
                <w:color w:val="auto"/>
              </w:rPr>
            </w:pPr>
            <w:r>
              <w:rPr>
                <w:rFonts w:ascii="Arial" w:cs="Arial" w:eastAsia="Arial" w:hAnsi="Arial"/>
                <w:sz w:val="14"/>
                <w:szCs w:val="14"/>
                <w:color w:val="auto"/>
              </w:rPr>
              <w:t>which require the use of valuation models.</w:t>
            </w:r>
          </w:p>
        </w:tc>
      </w:tr>
      <w:tr>
        <w:trPr>
          <w:trHeight w:val="162"/>
        </w:trPr>
        <w:tc>
          <w:tcPr>
            <w:tcW w:w="2640" w:type="dxa"/>
            <w:vAlign w:val="bottom"/>
          </w:tcPr>
          <w:p>
            <w:pPr>
              <w:ind w:left="20"/>
              <w:spacing w:after="0"/>
              <w:rPr>
                <w:sz w:val="20"/>
                <w:szCs w:val="20"/>
                <w:color w:val="auto"/>
              </w:rPr>
            </w:pPr>
            <w:r>
              <w:rPr>
                <w:rFonts w:ascii="Arial" w:cs="Arial" w:eastAsia="Arial" w:hAnsi="Arial"/>
                <w:sz w:val="14"/>
                <w:szCs w:val="14"/>
                <w:color w:val="auto"/>
              </w:rPr>
              <w:t>the contract is beyond the liquid market</w:t>
            </w:r>
          </w:p>
        </w:tc>
        <w:tc>
          <w:tcPr>
            <w:tcW w:w="2840" w:type="dxa"/>
            <w:vAlign w:val="bottom"/>
          </w:tcPr>
          <w:p>
            <w:pPr>
              <w:ind w:left="60"/>
              <w:spacing w:after="0"/>
              <w:rPr>
                <w:sz w:val="20"/>
                <w:szCs w:val="20"/>
                <w:color w:val="auto"/>
              </w:rPr>
            </w:pPr>
            <w:r>
              <w:rPr>
                <w:rFonts w:ascii="Arial" w:cs="Arial" w:eastAsia="Arial" w:hAnsi="Arial"/>
                <w:sz w:val="14"/>
                <w:szCs w:val="14"/>
                <w:color w:val="auto"/>
              </w:rPr>
              <w:t>Our audit procedures focused on the</w:t>
            </w:r>
          </w:p>
        </w:tc>
      </w:tr>
      <w:tr>
        <w:trPr>
          <w:trHeight w:val="162"/>
        </w:trPr>
        <w:tc>
          <w:tcPr>
            <w:tcW w:w="2640" w:type="dxa"/>
            <w:vAlign w:val="bottom"/>
          </w:tcPr>
          <w:p>
            <w:pPr>
              <w:ind w:left="20"/>
              <w:spacing w:after="0"/>
              <w:rPr>
                <w:sz w:val="20"/>
                <w:szCs w:val="20"/>
                <w:color w:val="auto"/>
              </w:rPr>
            </w:pPr>
            <w:r>
              <w:rPr>
                <w:rFonts w:ascii="Arial" w:cs="Arial" w:eastAsia="Arial" w:hAnsi="Arial"/>
                <w:sz w:val="14"/>
                <w:szCs w:val="14"/>
                <w:color w:val="auto"/>
              </w:rPr>
              <w:t>period requiring bespoke models and</w:t>
            </w:r>
          </w:p>
        </w:tc>
        <w:tc>
          <w:tcPr>
            <w:tcW w:w="2840" w:type="dxa"/>
            <w:vAlign w:val="bottom"/>
          </w:tcPr>
          <w:p>
            <w:pPr>
              <w:ind w:left="60"/>
              <w:spacing w:after="0"/>
              <w:rPr>
                <w:sz w:val="20"/>
                <w:szCs w:val="20"/>
                <w:color w:val="auto"/>
              </w:rPr>
            </w:pPr>
            <w:r>
              <w:rPr>
                <w:rFonts w:ascii="Arial" w:cs="Arial" w:eastAsia="Arial" w:hAnsi="Arial"/>
                <w:sz w:val="14"/>
                <w:szCs w:val="14"/>
                <w:color w:val="auto"/>
              </w:rPr>
              <w:t>integrity of these valuation models and the</w:t>
            </w:r>
          </w:p>
        </w:tc>
      </w:tr>
      <w:tr>
        <w:trPr>
          <w:trHeight w:val="162"/>
        </w:trPr>
        <w:tc>
          <w:tcPr>
            <w:tcW w:w="2640" w:type="dxa"/>
            <w:vAlign w:val="bottom"/>
          </w:tcPr>
          <w:p>
            <w:pPr>
              <w:ind w:left="20"/>
              <w:spacing w:after="0"/>
              <w:rPr>
                <w:sz w:val="20"/>
                <w:szCs w:val="20"/>
                <w:color w:val="auto"/>
              </w:rPr>
            </w:pPr>
            <w:r>
              <w:rPr>
                <w:rFonts w:ascii="Arial" w:cs="Arial" w:eastAsia="Arial" w:hAnsi="Arial"/>
                <w:sz w:val="14"/>
                <w:szCs w:val="14"/>
                <w:color w:val="auto"/>
              </w:rPr>
              <w:t>giving rise to a risk of material</w:t>
            </w:r>
          </w:p>
        </w:tc>
        <w:tc>
          <w:tcPr>
            <w:tcW w:w="2840" w:type="dxa"/>
            <w:vAlign w:val="bottom"/>
          </w:tcPr>
          <w:p>
            <w:pPr>
              <w:ind w:left="60"/>
              <w:spacing w:after="0"/>
              <w:rPr>
                <w:sz w:val="20"/>
                <w:szCs w:val="20"/>
                <w:color w:val="auto"/>
              </w:rPr>
            </w:pPr>
            <w:r>
              <w:rPr>
                <w:rFonts w:ascii="Arial" w:cs="Arial" w:eastAsia="Arial" w:hAnsi="Arial"/>
                <w:sz w:val="14"/>
                <w:szCs w:val="14"/>
                <w:color w:val="auto"/>
              </w:rPr>
              <w:t>incorporation of the contract terms and the</w:t>
            </w:r>
          </w:p>
        </w:tc>
      </w:tr>
      <w:tr>
        <w:trPr>
          <w:trHeight w:val="162"/>
        </w:trPr>
        <w:tc>
          <w:tcPr>
            <w:tcW w:w="2640" w:type="dxa"/>
            <w:vAlign w:val="bottom"/>
          </w:tcPr>
          <w:p>
            <w:pPr>
              <w:ind w:left="20"/>
              <w:spacing w:after="0"/>
              <w:rPr>
                <w:sz w:val="20"/>
                <w:szCs w:val="20"/>
                <w:color w:val="auto"/>
              </w:rPr>
            </w:pPr>
            <w:r>
              <w:rPr>
                <w:rFonts w:ascii="Arial" w:cs="Arial" w:eastAsia="Arial" w:hAnsi="Arial"/>
                <w:sz w:val="14"/>
                <w:szCs w:val="14"/>
                <w:color w:val="auto"/>
              </w:rPr>
              <w:t>misstatement. Particular focus has been</w:t>
            </w:r>
          </w:p>
        </w:tc>
        <w:tc>
          <w:tcPr>
            <w:tcW w:w="2840" w:type="dxa"/>
            <w:vAlign w:val="bottom"/>
          </w:tcPr>
          <w:p>
            <w:pPr>
              <w:ind w:left="60"/>
              <w:spacing w:after="0"/>
              <w:rPr>
                <w:sz w:val="20"/>
                <w:szCs w:val="20"/>
                <w:color w:val="auto"/>
              </w:rPr>
            </w:pPr>
            <w:r>
              <w:rPr>
                <w:rFonts w:ascii="Arial" w:cs="Arial" w:eastAsia="Arial" w:hAnsi="Arial"/>
                <w:sz w:val="14"/>
                <w:szCs w:val="14"/>
                <w:color w:val="auto"/>
              </w:rPr>
              <w:t>key assumptions, including future price</w:t>
            </w:r>
          </w:p>
        </w:tc>
      </w:tr>
      <w:tr>
        <w:trPr>
          <w:trHeight w:val="162"/>
        </w:trPr>
        <w:tc>
          <w:tcPr>
            <w:tcW w:w="2640" w:type="dxa"/>
            <w:vAlign w:val="bottom"/>
          </w:tcPr>
          <w:p>
            <w:pPr>
              <w:ind w:left="20"/>
              <w:spacing w:after="0"/>
              <w:rPr>
                <w:sz w:val="20"/>
                <w:szCs w:val="20"/>
                <w:color w:val="auto"/>
              </w:rPr>
            </w:pPr>
            <w:r>
              <w:rPr>
                <w:rFonts w:ascii="Arial" w:cs="Arial" w:eastAsia="Arial" w:hAnsi="Arial"/>
                <w:sz w:val="14"/>
                <w:szCs w:val="14"/>
                <w:color w:val="auto"/>
              </w:rPr>
              <w:t>placed on the valuation of derivative</w:t>
            </w:r>
          </w:p>
        </w:tc>
        <w:tc>
          <w:tcPr>
            <w:tcW w:w="2840" w:type="dxa"/>
            <w:vAlign w:val="bottom"/>
          </w:tcPr>
          <w:p>
            <w:pPr>
              <w:ind w:left="60"/>
              <w:spacing w:after="0"/>
              <w:rPr>
                <w:sz w:val="20"/>
                <w:szCs w:val="20"/>
                <w:color w:val="auto"/>
              </w:rPr>
            </w:pPr>
            <w:r>
              <w:rPr>
                <w:rFonts w:ascii="Arial" w:cs="Arial" w:eastAsia="Arial" w:hAnsi="Arial"/>
                <w:sz w:val="14"/>
                <w:szCs w:val="14"/>
                <w:color w:val="auto"/>
              </w:rPr>
              <w:t>assumptions and discount rates, in the</w:t>
            </w:r>
          </w:p>
        </w:tc>
      </w:tr>
      <w:tr>
        <w:trPr>
          <w:trHeight w:val="162"/>
        </w:trPr>
        <w:tc>
          <w:tcPr>
            <w:tcW w:w="2640" w:type="dxa"/>
            <w:vAlign w:val="bottom"/>
          </w:tcPr>
          <w:p>
            <w:pPr>
              <w:ind w:left="20"/>
              <w:spacing w:after="0"/>
              <w:rPr>
                <w:sz w:val="20"/>
                <w:szCs w:val="20"/>
                <w:color w:val="auto"/>
              </w:rPr>
            </w:pPr>
            <w:r>
              <w:rPr>
                <w:rFonts w:ascii="Arial" w:cs="Arial" w:eastAsia="Arial" w:hAnsi="Arial"/>
                <w:sz w:val="14"/>
                <w:szCs w:val="14"/>
                <w:color w:val="auto"/>
              </w:rPr>
              <w:t>contracts at the balance sheet date.</w:t>
            </w:r>
          </w:p>
        </w:tc>
        <w:tc>
          <w:tcPr>
            <w:tcW w:w="2840" w:type="dxa"/>
            <w:vAlign w:val="bottom"/>
          </w:tcPr>
          <w:p>
            <w:pPr>
              <w:ind w:left="60"/>
              <w:spacing w:after="0"/>
              <w:rPr>
                <w:sz w:val="20"/>
                <w:szCs w:val="20"/>
                <w:color w:val="auto"/>
              </w:rPr>
            </w:pPr>
            <w:r>
              <w:rPr>
                <w:rFonts w:ascii="Arial" w:cs="Arial" w:eastAsia="Arial" w:hAnsi="Arial"/>
                <w:sz w:val="14"/>
                <w:szCs w:val="14"/>
                <w:color w:val="auto"/>
              </w:rPr>
              <w:t>models. Our testing confirmed that models</w:t>
            </w:r>
          </w:p>
        </w:tc>
      </w:tr>
      <w:tr>
        <w:trPr>
          <w:trHeight w:val="162"/>
        </w:trPr>
        <w:tc>
          <w:tcPr>
            <w:tcW w:w="2640" w:type="dxa"/>
            <w:vAlign w:val="bottom"/>
          </w:tcPr>
          <w:p>
            <w:pPr>
              <w:spacing w:after="0"/>
              <w:rPr>
                <w:sz w:val="14"/>
                <w:szCs w:val="14"/>
                <w:color w:val="auto"/>
              </w:rPr>
            </w:pPr>
          </w:p>
        </w:tc>
        <w:tc>
          <w:tcPr>
            <w:tcW w:w="2840" w:type="dxa"/>
            <w:vAlign w:val="bottom"/>
          </w:tcPr>
          <w:p>
            <w:pPr>
              <w:ind w:left="60"/>
              <w:spacing w:after="0"/>
              <w:rPr>
                <w:sz w:val="20"/>
                <w:szCs w:val="20"/>
                <w:color w:val="auto"/>
              </w:rPr>
            </w:pPr>
            <w:r>
              <w:rPr>
                <w:rFonts w:ascii="Arial" w:cs="Arial" w:eastAsia="Arial" w:hAnsi="Arial"/>
                <w:sz w:val="14"/>
                <w:szCs w:val="14"/>
                <w:color w:val="auto"/>
              </w:rPr>
              <w:t>used to value contracts are appropriate for</w:t>
            </w:r>
          </w:p>
        </w:tc>
      </w:tr>
      <w:tr>
        <w:trPr>
          <w:trHeight w:val="171"/>
        </w:trPr>
        <w:tc>
          <w:tcPr>
            <w:tcW w:w="2640" w:type="dxa"/>
            <w:vAlign w:val="bottom"/>
            <w:tcBorders>
              <w:bottom w:val="single" w:sz="8" w:color="auto"/>
            </w:tcBorders>
          </w:tcPr>
          <w:p>
            <w:pPr>
              <w:spacing w:after="0"/>
              <w:rPr>
                <w:sz w:val="14"/>
                <w:szCs w:val="14"/>
                <w:color w:val="auto"/>
              </w:rPr>
            </w:pPr>
          </w:p>
        </w:tc>
        <w:tc>
          <w:tcPr>
            <w:tcW w:w="2840" w:type="dxa"/>
            <w:vAlign w:val="bottom"/>
            <w:tcBorders>
              <w:bottom w:val="single" w:sz="8" w:color="auto"/>
            </w:tcBorders>
          </w:tcPr>
          <w:p>
            <w:pPr>
              <w:ind w:left="60"/>
              <w:spacing w:after="0"/>
              <w:rPr>
                <w:sz w:val="20"/>
                <w:szCs w:val="20"/>
                <w:color w:val="auto"/>
              </w:rPr>
            </w:pPr>
            <w:r>
              <w:rPr>
                <w:rFonts w:ascii="Arial" w:cs="Arial" w:eastAsia="Arial" w:hAnsi="Arial"/>
                <w:sz w:val="14"/>
                <w:szCs w:val="14"/>
                <w:color w:val="auto"/>
              </w:rPr>
              <w:t>the purposes of the valuations.</w:t>
            </w:r>
          </w:p>
        </w:tc>
      </w:tr>
    </w:tbl>
    <w:p>
      <w:pPr>
        <w:spacing w:after="0" w:line="20" w:lineRule="exact"/>
        <w:rPr>
          <w:sz w:val="20"/>
          <w:szCs w:val="20"/>
          <w:color w:val="auto"/>
        </w:rPr>
      </w:pPr>
      <w:r>
        <w:rPr>
          <w:sz w:val="20"/>
          <w:szCs w:val="20"/>
          <w:color w:val="auto"/>
        </w:rPr>
        <w:br w:type="column"/>
      </w:r>
    </w:p>
    <w:p>
      <w:pPr>
        <w:spacing w:after="0" w:line="20" w:lineRule="exact"/>
        <w:rPr>
          <w:sz w:val="20"/>
          <w:szCs w:val="20"/>
          <w:color w:val="auto"/>
        </w:rPr>
      </w:pPr>
    </w:p>
    <w:p>
      <w:pPr>
        <w:ind w:left="136" w:hanging="136"/>
        <w:spacing w:after="0" w:line="241" w:lineRule="auto"/>
        <w:tabs>
          <w:tab w:leader="none" w:pos="173" w:val="left"/>
        </w:tabs>
        <w:numPr>
          <w:ilvl w:val="0"/>
          <w:numId w:val="123"/>
        </w:numPr>
        <w:rPr>
          <w:rFonts w:ascii="Arial" w:cs="Arial" w:eastAsia="Arial" w:hAnsi="Arial"/>
          <w:sz w:val="12"/>
          <w:szCs w:val="12"/>
          <w:color w:val="auto"/>
        </w:rPr>
      </w:pPr>
      <w:r>
        <w:rPr>
          <w:rFonts w:ascii="Arial" w:cs="Arial" w:eastAsia="Arial" w:hAnsi="Arial"/>
          <w:sz w:val="14"/>
          <w:szCs w:val="14"/>
          <w:color w:val="auto"/>
        </w:rPr>
        <w:t>the statement given by the Directors on page 63, in accordance with the UK Corporate Governance Code (the Code) Provision C.1.1, that they consider the Annual Report including the financial statements, taken as a whole, is fair, balanced and understandable and provides the information necessary for members to assess Shell’s performance, business model and strategy is materially inconsistent with our knowledge of Shell acquired in the course of performing our audit.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-1037590</wp:posOffset>
            </wp:positionV>
            <wp:extent cx="3473450" cy="889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 w:lineRule="exact"/>
        <w:rPr>
          <w:sz w:val="20"/>
          <w:szCs w:val="20"/>
          <w:color w:val="auto"/>
        </w:rPr>
      </w:pPr>
    </w:p>
    <w:p>
      <w:pPr>
        <w:ind w:right="520"/>
        <w:spacing w:after="0" w:line="250" w:lineRule="auto"/>
        <w:rPr>
          <w:sz w:val="20"/>
          <w:szCs w:val="20"/>
          <w:color w:val="auto"/>
        </w:rPr>
      </w:pPr>
      <w:r>
        <w:rPr>
          <w:rFonts w:ascii="Arial" w:cs="Arial" w:eastAsia="Arial" w:hAnsi="Arial"/>
          <w:sz w:val="14"/>
          <w:szCs w:val="14"/>
          <w:color w:val="auto"/>
        </w:rPr>
        <w:t>We have no exceptions to report arising from this responsibility.</w:t>
      </w:r>
    </w:p>
    <w:p>
      <w:pPr>
        <w:spacing w:after="0" w:line="1274" w:lineRule="exact"/>
        <w:rPr>
          <w:sz w:val="20"/>
          <w:szCs w:val="20"/>
          <w:color w:val="auto"/>
        </w:rPr>
      </w:pPr>
    </w:p>
    <w:p>
      <w:pPr>
        <w:sectPr>
          <w:pgSz w:w="11900" w:h="16838" w:orient="portrait"/>
          <w:cols w:equalWidth="0" w:num="3">
            <w:col w:w="5480" w:space="304"/>
            <w:col w:w="3276" w:space="180"/>
            <w:col w:w="2180"/>
          </w:cols>
          <w:pgMar w:left="240" w:top="459" w:right="239" w:bottom="1440" w:gutter="0" w:footer="0" w:header="0"/>
          <w:type w:val="continuous"/>
        </w:sectPr>
      </w:pPr>
    </w:p>
    <w:tbl>
      <w:tblPr>
        <w:tblLayout w:type="fixed"/>
        <w:tblInd w:w="5780" w:type="dxa"/>
        <w:tblCellMar>
          <w:top w:w="0" w:type="dxa"/>
          <w:left w:w="0" w:type="dxa"/>
          <w:bottom w:w="0" w:type="dxa"/>
          <w:right w:w="0" w:type="dxa"/>
        </w:tblCellMar>
      </w:tblPr>
      <w:tr>
        <w:trPr>
          <w:trHeight w:val="160"/>
        </w:trPr>
        <w:tc>
          <w:tcPr>
            <w:tcW w:w="3300" w:type="dxa"/>
            <w:vAlign w:val="bottom"/>
            <w:tcBorders>
              <w:top w:val="single" w:sz="8" w:color="auto"/>
            </w:tcBorders>
          </w:tcPr>
          <w:p>
            <w:pPr>
              <w:spacing w:after="0"/>
              <w:rPr>
                <w:sz w:val="20"/>
                <w:szCs w:val="20"/>
                <w:color w:val="auto"/>
              </w:rPr>
            </w:pPr>
            <w:r>
              <w:rPr>
                <w:rFonts w:ascii="Arial" w:cs="Arial" w:eastAsia="Arial" w:hAnsi="Arial"/>
                <w:sz w:val="12"/>
                <w:szCs w:val="12"/>
                <w:color w:val="auto"/>
              </w:rPr>
              <w:t xml:space="preserve">n   </w:t>
            </w:r>
            <w:r>
              <w:rPr>
                <w:rFonts w:ascii="Arial" w:cs="Arial" w:eastAsia="Arial" w:hAnsi="Arial"/>
                <w:sz w:val="14"/>
                <w:szCs w:val="14"/>
                <w:color w:val="auto"/>
              </w:rPr>
              <w:t>the section of the Annual Report on pages 76-</w:t>
            </w:r>
          </w:p>
        </w:tc>
        <w:tc>
          <w:tcPr>
            <w:tcW w:w="2180" w:type="dxa"/>
            <w:vAlign w:val="bottom"/>
            <w:tcBorders>
              <w:top w:val="single" w:sz="8" w:color="auto"/>
            </w:tcBorders>
          </w:tcPr>
          <w:p>
            <w:pPr>
              <w:ind w:left="160"/>
              <w:spacing w:after="0"/>
              <w:rPr>
                <w:sz w:val="20"/>
                <w:szCs w:val="20"/>
                <w:color w:val="auto"/>
              </w:rPr>
            </w:pPr>
            <w:r>
              <w:rPr>
                <w:rFonts w:ascii="Arial" w:cs="Arial" w:eastAsia="Arial" w:hAnsi="Arial"/>
                <w:sz w:val="14"/>
                <w:szCs w:val="14"/>
                <w:color w:val="auto"/>
              </w:rPr>
              <w:t>We have no exceptions to</w:t>
            </w:r>
          </w:p>
        </w:tc>
      </w:tr>
      <w:tr>
        <w:trPr>
          <w:trHeight w:val="162"/>
        </w:trPr>
        <w:tc>
          <w:tcPr>
            <w:tcW w:w="3300" w:type="dxa"/>
            <w:vAlign w:val="bottom"/>
          </w:tcPr>
          <w:p>
            <w:pPr>
              <w:ind w:left="140"/>
              <w:spacing w:after="0"/>
              <w:rPr>
                <w:sz w:val="20"/>
                <w:szCs w:val="20"/>
                <w:color w:val="auto"/>
              </w:rPr>
            </w:pPr>
            <w:r>
              <w:rPr>
                <w:rFonts w:ascii="Arial" w:cs="Arial" w:eastAsia="Arial" w:hAnsi="Arial"/>
                <w:sz w:val="14"/>
                <w:szCs w:val="14"/>
                <w:color w:val="auto"/>
              </w:rPr>
              <w:t>78, as required by Code Provision C.3.8,</w:t>
            </w:r>
          </w:p>
        </w:tc>
        <w:tc>
          <w:tcPr>
            <w:tcW w:w="2180" w:type="dxa"/>
            <w:vAlign w:val="bottom"/>
          </w:tcPr>
          <w:p>
            <w:pPr>
              <w:ind w:left="160"/>
              <w:spacing w:after="0"/>
              <w:rPr>
                <w:sz w:val="20"/>
                <w:szCs w:val="20"/>
                <w:color w:val="auto"/>
              </w:rPr>
            </w:pPr>
            <w:r>
              <w:rPr>
                <w:rFonts w:ascii="Arial" w:cs="Arial" w:eastAsia="Arial" w:hAnsi="Arial"/>
                <w:sz w:val="14"/>
                <w:szCs w:val="14"/>
                <w:color w:val="auto"/>
              </w:rPr>
              <w:t>report arising from this</w:t>
            </w:r>
          </w:p>
        </w:tc>
      </w:tr>
      <w:tr>
        <w:trPr>
          <w:trHeight w:val="162"/>
        </w:trPr>
        <w:tc>
          <w:tcPr>
            <w:tcW w:w="3300" w:type="dxa"/>
            <w:vAlign w:val="bottom"/>
          </w:tcPr>
          <w:p>
            <w:pPr>
              <w:ind w:left="140"/>
              <w:spacing w:after="0"/>
              <w:rPr>
                <w:sz w:val="20"/>
                <w:szCs w:val="20"/>
                <w:color w:val="auto"/>
              </w:rPr>
            </w:pPr>
            <w:r>
              <w:rPr>
                <w:rFonts w:ascii="Arial" w:cs="Arial" w:eastAsia="Arial" w:hAnsi="Arial"/>
                <w:sz w:val="14"/>
                <w:szCs w:val="14"/>
                <w:color w:val="auto"/>
              </w:rPr>
              <w:t>describing the work</w:t>
            </w:r>
          </w:p>
        </w:tc>
        <w:tc>
          <w:tcPr>
            <w:tcW w:w="2180" w:type="dxa"/>
            <w:vAlign w:val="bottom"/>
          </w:tcPr>
          <w:p>
            <w:pPr>
              <w:ind w:left="160"/>
              <w:spacing w:after="0"/>
              <w:rPr>
                <w:sz w:val="20"/>
                <w:szCs w:val="20"/>
                <w:color w:val="auto"/>
              </w:rPr>
            </w:pPr>
            <w:r>
              <w:rPr>
                <w:rFonts w:ascii="Arial" w:cs="Arial" w:eastAsia="Arial" w:hAnsi="Arial"/>
                <w:sz w:val="14"/>
                <w:szCs w:val="14"/>
                <w:color w:val="auto"/>
              </w:rPr>
              <w:t>responsibility.</w:t>
            </w:r>
          </w:p>
        </w:tc>
      </w:tr>
      <w:tr>
        <w:trPr>
          <w:trHeight w:val="162"/>
        </w:trPr>
        <w:tc>
          <w:tcPr>
            <w:tcW w:w="3300" w:type="dxa"/>
            <w:vAlign w:val="bottom"/>
          </w:tcPr>
          <w:p>
            <w:pPr>
              <w:ind w:left="140"/>
              <w:spacing w:after="0"/>
              <w:rPr>
                <w:sz w:val="20"/>
                <w:szCs w:val="20"/>
                <w:color w:val="auto"/>
              </w:rPr>
            </w:pPr>
            <w:r>
              <w:rPr>
                <w:rFonts w:ascii="Arial" w:cs="Arial" w:eastAsia="Arial" w:hAnsi="Arial"/>
                <w:sz w:val="14"/>
                <w:szCs w:val="14"/>
                <w:color w:val="auto"/>
              </w:rPr>
              <w:t>of the Audit Committee does not appropriately</w:t>
            </w:r>
          </w:p>
        </w:tc>
        <w:tc>
          <w:tcPr>
            <w:tcW w:w="2180" w:type="dxa"/>
            <w:vAlign w:val="bottom"/>
          </w:tcPr>
          <w:p>
            <w:pPr>
              <w:spacing w:after="0"/>
              <w:rPr>
                <w:sz w:val="14"/>
                <w:szCs w:val="14"/>
                <w:color w:val="auto"/>
              </w:rPr>
            </w:pPr>
          </w:p>
        </w:tc>
      </w:tr>
      <w:tr>
        <w:trPr>
          <w:trHeight w:val="162"/>
        </w:trPr>
        <w:tc>
          <w:tcPr>
            <w:tcW w:w="3300" w:type="dxa"/>
            <w:vAlign w:val="bottom"/>
          </w:tcPr>
          <w:p>
            <w:pPr>
              <w:ind w:left="140"/>
              <w:spacing w:after="0"/>
              <w:rPr>
                <w:sz w:val="20"/>
                <w:szCs w:val="20"/>
                <w:color w:val="auto"/>
              </w:rPr>
            </w:pPr>
            <w:r>
              <w:rPr>
                <w:rFonts w:ascii="Arial" w:cs="Arial" w:eastAsia="Arial" w:hAnsi="Arial"/>
                <w:sz w:val="14"/>
                <w:szCs w:val="14"/>
                <w:color w:val="auto"/>
              </w:rPr>
              <w:t>address matters communicated by us to the</w:t>
            </w:r>
          </w:p>
        </w:tc>
        <w:tc>
          <w:tcPr>
            <w:tcW w:w="2180" w:type="dxa"/>
            <w:vAlign w:val="bottom"/>
          </w:tcPr>
          <w:p>
            <w:pPr>
              <w:spacing w:after="0"/>
              <w:rPr>
                <w:sz w:val="14"/>
                <w:szCs w:val="14"/>
                <w:color w:val="auto"/>
              </w:rPr>
            </w:pPr>
          </w:p>
        </w:tc>
      </w:tr>
      <w:tr>
        <w:trPr>
          <w:trHeight w:val="157"/>
        </w:trPr>
        <w:tc>
          <w:tcPr>
            <w:tcW w:w="3300" w:type="dxa"/>
            <w:vAlign w:val="bottom"/>
            <w:tcBorders>
              <w:bottom w:val="single" w:sz="8" w:color="auto"/>
            </w:tcBorders>
          </w:tcPr>
          <w:p>
            <w:pPr>
              <w:ind w:left="140"/>
              <w:spacing w:after="0" w:line="157" w:lineRule="exact"/>
              <w:rPr>
                <w:sz w:val="20"/>
                <w:szCs w:val="20"/>
                <w:color w:val="auto"/>
              </w:rPr>
            </w:pPr>
            <w:r>
              <w:rPr>
                <w:rFonts w:ascii="Arial" w:cs="Arial" w:eastAsia="Arial" w:hAnsi="Arial"/>
                <w:sz w:val="14"/>
                <w:szCs w:val="14"/>
                <w:color w:val="auto"/>
              </w:rPr>
              <w:t>Audit Committee.</w:t>
            </w:r>
          </w:p>
        </w:tc>
        <w:tc>
          <w:tcPr>
            <w:tcW w:w="2180" w:type="dxa"/>
            <w:vAlign w:val="bottom"/>
            <w:tcBorders>
              <w:bottom w:val="single" w:sz="8" w:color="auto"/>
            </w:tcBorders>
          </w:tcPr>
          <w:p>
            <w:pPr>
              <w:spacing w:after="0"/>
              <w:rPr>
                <w:sz w:val="13"/>
                <w:szCs w:val="13"/>
                <w:color w:val="auto"/>
              </w:rPr>
            </w:pPr>
          </w:p>
        </w:tc>
      </w:tr>
    </w:tbl>
    <w:p>
      <w:pPr>
        <w:sectPr>
          <w:pgSz w:w="11900" w:h="16838" w:orient="portrait"/>
          <w:cols w:equalWidth="0" w:num="1">
            <w:col w:w="11420"/>
          </w:cols>
          <w:pgMar w:left="240" w:top="459" w:right="239" w:bottom="1440" w:gutter="0" w:footer="0" w:header="0"/>
          <w:type w:val="continuous"/>
        </w:sectPr>
      </w:pPr>
    </w:p>
    <w:bookmarkStart w:id="105" w:name="page106"/>
    <w:bookmarkEnd w:id="1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300355</wp:posOffset>
            </wp:positionV>
            <wp:extent cx="3627755" cy="46291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3627755" cy="462915"/>
                    </a:xfrm>
                    <a:prstGeom prst="rect">
                      <a:avLst/>
                    </a:prstGeom>
                    <a:noFill/>
                  </pic:spPr>
                </pic:pic>
              </a:graphicData>
            </a:graphic>
          </wp:anchor>
        </w:drawing>
      </w:r>
    </w:p>
    <w:p>
      <w:pPr>
        <w:spacing w:after="0" w:line="200" w:lineRule="exact"/>
        <w:rPr>
          <w:sz w:val="20"/>
          <w:szCs w:val="20"/>
          <w:color w:val="auto"/>
        </w:rPr>
      </w:pP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419"/>
        </w:trPr>
        <w:tc>
          <w:tcPr>
            <w:tcW w:w="1320" w:type="dxa"/>
            <w:vAlign w:val="bottom"/>
            <w:shd w:val="clear" w:color="auto" w:fill="FF8B00"/>
          </w:tcPr>
          <w:p>
            <w:pPr>
              <w:spacing w:after="0"/>
              <w:rPr>
                <w:sz w:val="24"/>
                <w:szCs w:val="24"/>
                <w:color w:val="auto"/>
              </w:rPr>
            </w:pPr>
          </w:p>
        </w:tc>
        <w:tc>
          <w:tcPr>
            <w:tcW w:w="4400" w:type="dxa"/>
            <w:vAlign w:val="bottom"/>
            <w:shd w:val="clear" w:color="auto" w:fill="FF8B00"/>
          </w:tcPr>
          <w:p>
            <w:pPr>
              <w:spacing w:after="0"/>
              <w:rPr>
                <w:sz w:val="24"/>
                <w:szCs w:val="24"/>
                <w:color w:val="auto"/>
              </w:rPr>
            </w:pPr>
          </w:p>
        </w:tc>
      </w:tr>
      <w:tr>
        <w:trPr>
          <w:trHeight w:val="152"/>
        </w:trPr>
        <w:tc>
          <w:tcPr>
            <w:tcW w:w="1320" w:type="dxa"/>
            <w:vAlign w:val="bottom"/>
          </w:tcPr>
          <w:p>
            <w:pPr>
              <w:jc w:val="right"/>
              <w:ind w:right="746"/>
              <w:spacing w:after="0"/>
              <w:rPr>
                <w:sz w:val="20"/>
                <w:szCs w:val="20"/>
                <w:color w:val="auto"/>
              </w:rPr>
            </w:pPr>
            <w:r>
              <w:rPr>
                <w:rFonts w:ascii="Arial" w:cs="Arial" w:eastAsia="Arial" w:hAnsi="Arial"/>
                <w:sz w:val="11"/>
                <w:szCs w:val="11"/>
                <w:b w:val="1"/>
                <w:bCs w:val="1"/>
                <w:color w:val="333333"/>
              </w:rPr>
              <w:t>104</w:t>
            </w:r>
          </w:p>
        </w:tc>
        <w:tc>
          <w:tcPr>
            <w:tcW w:w="4400" w:type="dxa"/>
            <w:vAlign w:val="bottom"/>
          </w:tcPr>
          <w:p>
            <w:pPr>
              <w:ind w:left="820"/>
              <w:spacing w:after="0"/>
              <w:rPr>
                <w:sz w:val="20"/>
                <w:szCs w:val="20"/>
                <w:color w:val="auto"/>
              </w:rPr>
            </w:pPr>
            <w:r>
              <w:rPr>
                <w:rFonts w:ascii="Arial" w:cs="Arial" w:eastAsia="Arial" w:hAnsi="Arial"/>
                <w:sz w:val="13"/>
                <w:szCs w:val="13"/>
                <w:color w:val="333333"/>
              </w:rPr>
              <w:t>FINANCIAL STATEMENTS AND SUPPLEMENTS</w:t>
            </w:r>
          </w:p>
        </w:tc>
      </w:tr>
    </w:tbl>
    <w:p>
      <w:pPr>
        <w:spacing w:after="0" w:line="155" w:lineRule="exact"/>
        <w:rPr>
          <w:sz w:val="20"/>
          <w:szCs w:val="20"/>
          <w:color w:val="auto"/>
        </w:rPr>
      </w:pPr>
    </w:p>
    <w:p>
      <w:pPr>
        <w:ind w:left="2760"/>
        <w:spacing w:after="0"/>
        <w:rPr>
          <w:sz w:val="20"/>
          <w:szCs w:val="20"/>
          <w:color w:val="auto"/>
        </w:rPr>
      </w:pPr>
      <w:r>
        <w:rPr>
          <w:rFonts w:ascii="Arial" w:cs="Arial" w:eastAsia="Arial" w:hAnsi="Arial"/>
          <w:sz w:val="11"/>
          <w:szCs w:val="11"/>
          <w:color w:val="auto"/>
        </w:rPr>
        <w:t>CONSOLIDATED FINANCIAL STATEMENTS</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color w:val="auto"/>
        </w:rPr>
        <w:t>Adequacy of information and explanations received</w:t>
      </w:r>
    </w:p>
    <w:p>
      <w:pPr>
        <w:spacing w:after="0" w:line="1" w:lineRule="exact"/>
        <w:rPr>
          <w:sz w:val="20"/>
          <w:szCs w:val="20"/>
          <w:color w:val="auto"/>
        </w:rPr>
      </w:pPr>
    </w:p>
    <w:p>
      <w:pPr>
        <w:ind w:right="340"/>
        <w:spacing w:after="0" w:line="250" w:lineRule="auto"/>
        <w:rPr>
          <w:sz w:val="20"/>
          <w:szCs w:val="20"/>
          <w:color w:val="auto"/>
        </w:rPr>
      </w:pPr>
      <w:r>
        <w:rPr>
          <w:rFonts w:ascii="Arial" w:cs="Arial" w:eastAsia="Arial" w:hAnsi="Arial"/>
          <w:sz w:val="14"/>
          <w:szCs w:val="14"/>
          <w:color w:val="auto"/>
        </w:rPr>
        <w:t>Under the Companies Act 2006 we are required to report to you if, in our opinion, we have not received all the information and explanations we require for our audit. We have no exceptions to report arising from this responsibility.</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Directors’ remuneration</w:t>
      </w:r>
    </w:p>
    <w:p>
      <w:pPr>
        <w:spacing w:after="0" w:line="1" w:lineRule="exact"/>
        <w:rPr>
          <w:sz w:val="20"/>
          <w:szCs w:val="20"/>
          <w:color w:val="auto"/>
        </w:rPr>
      </w:pPr>
    </w:p>
    <w:p>
      <w:pPr>
        <w:ind w:right="240"/>
        <w:spacing w:after="0" w:line="250" w:lineRule="auto"/>
        <w:rPr>
          <w:sz w:val="20"/>
          <w:szCs w:val="20"/>
          <w:color w:val="auto"/>
        </w:rPr>
      </w:pPr>
      <w:r>
        <w:rPr>
          <w:rFonts w:ascii="Arial" w:cs="Arial" w:eastAsia="Arial" w:hAnsi="Arial"/>
          <w:sz w:val="14"/>
          <w:szCs w:val="14"/>
          <w:color w:val="auto"/>
        </w:rPr>
        <w:t>Under the Companies Act 2006 we are required to report to you if, in our opinion, certain disclosures of Directors’ remuneration specified by law are not made. We have no exceptions to report arising from this responsibility.</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color w:val="auto"/>
        </w:rPr>
        <w:t>Corporate Governance statement</w:t>
      </w:r>
    </w:p>
    <w:p>
      <w:pPr>
        <w:spacing w:after="0" w:line="1" w:lineRule="exact"/>
        <w:rPr>
          <w:sz w:val="20"/>
          <w:szCs w:val="20"/>
          <w:color w:val="auto"/>
        </w:rPr>
      </w:pPr>
    </w:p>
    <w:p>
      <w:pPr>
        <w:ind w:right="360"/>
        <w:spacing w:after="0" w:line="250" w:lineRule="auto"/>
        <w:rPr>
          <w:sz w:val="20"/>
          <w:szCs w:val="20"/>
          <w:color w:val="auto"/>
        </w:rPr>
      </w:pPr>
      <w:r>
        <w:rPr>
          <w:rFonts w:ascii="Arial" w:cs="Arial" w:eastAsia="Arial" w:hAnsi="Arial"/>
          <w:sz w:val="14"/>
          <w:szCs w:val="14"/>
          <w:color w:val="auto"/>
        </w:rPr>
        <w:t>Under the Listing Rules we are required to review the part of the Corporate Governance statement relating to the Company’s compliance with nine provisions of the Code. We have nothing to report having performed our review.</w:t>
      </w:r>
    </w:p>
    <w:p>
      <w:pPr>
        <w:spacing w:after="0" w:line="153" w:lineRule="exact"/>
        <w:rPr>
          <w:sz w:val="20"/>
          <w:szCs w:val="20"/>
          <w:color w:val="auto"/>
        </w:rPr>
      </w:pPr>
    </w:p>
    <w:p>
      <w:pPr>
        <w:ind w:right="780"/>
        <w:spacing w:after="0" w:line="246" w:lineRule="auto"/>
        <w:rPr>
          <w:sz w:val="20"/>
          <w:szCs w:val="20"/>
          <w:color w:val="auto"/>
        </w:rPr>
      </w:pPr>
      <w:r>
        <w:rPr>
          <w:rFonts w:ascii="Arial" w:cs="Arial" w:eastAsia="Arial" w:hAnsi="Arial"/>
          <w:sz w:val="18"/>
          <w:szCs w:val="18"/>
          <w:color w:val="auto"/>
        </w:rPr>
        <w:t>RESPONSIBILITIES FOR THE CONSOLIDATED FINANCIAL STATEMENTS AND THE AUDIT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Our responsibilities and those of the Directors</w:t>
      </w:r>
    </w:p>
    <w:p>
      <w:pPr>
        <w:spacing w:after="0" w:line="1" w:lineRule="exact"/>
        <w:rPr>
          <w:sz w:val="20"/>
          <w:szCs w:val="20"/>
          <w:color w:val="auto"/>
        </w:rPr>
      </w:pPr>
    </w:p>
    <w:p>
      <w:pPr>
        <w:ind w:right="340"/>
        <w:spacing w:after="0" w:line="250" w:lineRule="auto"/>
        <w:rPr>
          <w:sz w:val="20"/>
          <w:szCs w:val="20"/>
          <w:color w:val="auto"/>
        </w:rPr>
      </w:pPr>
      <w:r>
        <w:rPr>
          <w:rFonts w:ascii="Arial" w:cs="Arial" w:eastAsia="Arial" w:hAnsi="Arial"/>
          <w:sz w:val="14"/>
          <w:szCs w:val="14"/>
          <w:color w:val="auto"/>
        </w:rPr>
        <w:t>As explained more fully in the Directors’ Responsibilities Statement set out on pages 62 and 63, the Directors are responsible for the preparation of the Consolidated Financial Statements and for being satisfied that they give a true and fair view.</w:t>
      </w:r>
    </w:p>
    <w:p>
      <w:pPr>
        <w:spacing w:after="0" w:line="159" w:lineRule="exact"/>
        <w:rPr>
          <w:sz w:val="20"/>
          <w:szCs w:val="20"/>
          <w:color w:val="auto"/>
        </w:rPr>
      </w:pPr>
    </w:p>
    <w:p>
      <w:pPr>
        <w:ind w:right="320"/>
        <w:spacing w:after="0" w:line="247" w:lineRule="auto"/>
        <w:rPr>
          <w:sz w:val="20"/>
          <w:szCs w:val="20"/>
          <w:color w:val="auto"/>
        </w:rPr>
      </w:pPr>
      <w:r>
        <w:rPr>
          <w:rFonts w:ascii="Arial" w:cs="Arial" w:eastAsia="Arial" w:hAnsi="Arial"/>
          <w:sz w:val="14"/>
          <w:szCs w:val="14"/>
          <w:color w:val="auto"/>
        </w:rPr>
        <w:t>Our responsibility is to audit and express an opinion on the Consolidated Financial Statements in accordance with applicable law and ISAs (UK and Ireland). Those standards require us to comply with the Auditing Practices Board’s Ethical Standards for Auditors.</w:t>
      </w:r>
    </w:p>
    <w:p>
      <w:pPr>
        <w:spacing w:after="0" w:line="161" w:lineRule="exact"/>
        <w:rPr>
          <w:sz w:val="20"/>
          <w:szCs w:val="20"/>
          <w:color w:val="auto"/>
        </w:rPr>
      </w:pPr>
    </w:p>
    <w:p>
      <w:pPr>
        <w:ind w:right="260"/>
        <w:spacing w:after="0" w:line="244" w:lineRule="auto"/>
        <w:rPr>
          <w:sz w:val="20"/>
          <w:szCs w:val="20"/>
          <w:color w:val="auto"/>
        </w:rPr>
      </w:pPr>
      <w:r>
        <w:rPr>
          <w:rFonts w:ascii="Arial" w:cs="Arial" w:eastAsia="Arial" w:hAnsi="Arial"/>
          <w:sz w:val="14"/>
          <w:szCs w:val="14"/>
          <w:color w:val="auto"/>
        </w:rPr>
        <w:t>This report, including the opinions, has been prepared for and only for the Company’s members as a body in accordance with Chapter 3 of Part 16 of the Companies Act 2006 and for no other purpose. We do not, in giving these opinions, accept or assume responsibility for any other purpose or to any other person to whom this report is shown or into whose hands it may come save where expressly agreed by our prior consent in writing.</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color w:val="auto"/>
        </w:rPr>
        <w:t>What an audit of financial statements involves</w:t>
      </w:r>
    </w:p>
    <w:p>
      <w:pPr>
        <w:spacing w:after="0" w:line="1" w:lineRule="exact"/>
        <w:rPr>
          <w:sz w:val="20"/>
          <w:szCs w:val="20"/>
          <w:color w:val="auto"/>
        </w:rPr>
      </w:pPr>
    </w:p>
    <w:p>
      <w:pPr>
        <w:ind w:right="440"/>
        <w:spacing w:after="0" w:line="247" w:lineRule="auto"/>
        <w:rPr>
          <w:sz w:val="20"/>
          <w:szCs w:val="20"/>
          <w:color w:val="auto"/>
        </w:rPr>
      </w:pPr>
      <w:r>
        <w:rPr>
          <w:rFonts w:ascii="Arial" w:cs="Arial" w:eastAsia="Arial" w:hAnsi="Arial"/>
          <w:sz w:val="14"/>
          <w:szCs w:val="14"/>
          <w:color w:val="auto"/>
        </w:rPr>
        <w:t>An audit involves obtaining evidence about the amounts and disclosures in the Consolidated Financial Statements sufficient to give reasonable assurance that the Consolidated Financial Statements are free from material misstatement, whether caused by fraud or error. This includes an assessment of:</w:t>
      </w:r>
    </w:p>
    <w:p>
      <w:pPr>
        <w:spacing w:after="0" w:line="202" w:lineRule="exact"/>
        <w:rPr>
          <w:sz w:val="20"/>
          <w:szCs w:val="20"/>
          <w:color w:val="auto"/>
        </w:rPr>
      </w:pPr>
    </w:p>
    <w:p>
      <w:pPr>
        <w:ind w:left="180" w:right="320" w:hanging="172"/>
        <w:spacing w:after="0" w:line="182" w:lineRule="auto"/>
        <w:tabs>
          <w:tab w:leader="none" w:pos="180" w:val="left"/>
        </w:tabs>
        <w:numPr>
          <w:ilvl w:val="0"/>
          <w:numId w:val="124"/>
        </w:numPr>
        <w:rPr>
          <w:rFonts w:ascii="Arial" w:cs="Arial" w:eastAsia="Arial" w:hAnsi="Arial"/>
          <w:sz w:val="23"/>
          <w:szCs w:val="23"/>
          <w:color w:val="auto"/>
          <w:vertAlign w:val="superscript"/>
        </w:rPr>
      </w:pPr>
      <w:r>
        <w:rPr>
          <w:rFonts w:ascii="Arial" w:cs="Arial" w:eastAsia="Arial" w:hAnsi="Arial"/>
          <w:sz w:val="14"/>
          <w:szCs w:val="14"/>
          <w:color w:val="auto"/>
        </w:rPr>
        <w:t>whether the accounting policies are appropriate to Shell’s circumstances and have been consistently applied and adequately disclosed;</w:t>
      </w:r>
    </w:p>
    <w:p>
      <w:pPr>
        <w:spacing w:after="0" w:line="1" w:lineRule="exact"/>
        <w:rPr>
          <w:rFonts w:ascii="Arial" w:cs="Arial" w:eastAsia="Arial" w:hAnsi="Arial"/>
          <w:sz w:val="23"/>
          <w:szCs w:val="23"/>
          <w:color w:val="auto"/>
          <w:vertAlign w:val="superscript"/>
        </w:rPr>
      </w:pPr>
    </w:p>
    <w:p>
      <w:pPr>
        <w:ind w:left="180" w:hanging="172"/>
        <w:spacing w:after="0" w:line="187" w:lineRule="auto"/>
        <w:tabs>
          <w:tab w:leader="none" w:pos="180" w:val="left"/>
        </w:tabs>
        <w:numPr>
          <w:ilvl w:val="0"/>
          <w:numId w:val="124"/>
        </w:numPr>
        <w:rPr>
          <w:rFonts w:ascii="Arial" w:cs="Arial" w:eastAsia="Arial" w:hAnsi="Arial"/>
          <w:sz w:val="18"/>
          <w:szCs w:val="18"/>
          <w:color w:val="auto"/>
          <w:vertAlign w:val="superscript"/>
        </w:rPr>
      </w:pPr>
      <w:r>
        <w:rPr>
          <w:rFonts w:ascii="Arial" w:cs="Arial" w:eastAsia="Arial" w:hAnsi="Arial"/>
          <w:sz w:val="11"/>
          <w:szCs w:val="11"/>
          <w:color w:val="auto"/>
        </w:rPr>
        <w:t>the reasonableness of significant accounting estimates made by the Directors; and</w:t>
      </w:r>
    </w:p>
    <w:p>
      <w:pPr>
        <w:ind w:left="180" w:hanging="172"/>
        <w:spacing w:after="0" w:line="189" w:lineRule="auto"/>
        <w:tabs>
          <w:tab w:leader="none" w:pos="180" w:val="left"/>
        </w:tabs>
        <w:numPr>
          <w:ilvl w:val="0"/>
          <w:numId w:val="124"/>
        </w:numPr>
        <w:rPr>
          <w:rFonts w:ascii="Arial" w:cs="Arial" w:eastAsia="Arial" w:hAnsi="Arial"/>
          <w:sz w:val="19"/>
          <w:szCs w:val="19"/>
          <w:color w:val="auto"/>
          <w:vertAlign w:val="superscript"/>
        </w:rPr>
      </w:pPr>
      <w:r>
        <w:rPr>
          <w:rFonts w:ascii="Arial" w:cs="Arial" w:eastAsia="Arial" w:hAnsi="Arial"/>
          <w:sz w:val="12"/>
          <w:szCs w:val="12"/>
          <w:color w:val="auto"/>
        </w:rPr>
        <w:t>the overall presentation of the Consolidated Financial Statements.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left="3240"/>
        <w:spacing w:after="0"/>
        <w:rPr>
          <w:sz w:val="20"/>
          <w:szCs w:val="20"/>
          <w:color w:val="auto"/>
        </w:rPr>
      </w:pPr>
      <w:r>
        <w:rPr>
          <w:rFonts w:ascii="Arial" w:cs="Arial" w:eastAsia="Arial" w:hAnsi="Arial"/>
          <w:sz w:val="10"/>
          <w:szCs w:val="10"/>
          <w:color w:val="auto"/>
        </w:rPr>
        <w:t>SHELL ANNUAL REPORT AND FORM 20-F 2014</w:t>
      </w:r>
    </w:p>
    <w:p>
      <w:pPr>
        <w:spacing w:after="0" w:line="82" w:lineRule="exact"/>
        <w:rPr>
          <w:sz w:val="20"/>
          <w:szCs w:val="20"/>
          <w:color w:val="auto"/>
        </w:rPr>
      </w:pPr>
    </w:p>
    <w:p>
      <w:pPr>
        <w:ind w:right="380"/>
        <w:spacing w:after="0" w:line="250" w:lineRule="auto"/>
        <w:rPr>
          <w:sz w:val="20"/>
          <w:szCs w:val="20"/>
          <w:color w:val="auto"/>
        </w:rPr>
      </w:pPr>
      <w:r>
        <w:rPr>
          <w:rFonts w:ascii="Arial" w:cs="Arial" w:eastAsia="Arial" w:hAnsi="Arial"/>
          <w:sz w:val="14"/>
          <w:szCs w:val="14"/>
          <w:color w:val="auto"/>
        </w:rPr>
        <w:t>We primarily focus our work in these areas by assessing the Directors’ judgements against available evidence, forming our own judgements and evaluating the disclosures in the Consolidated Financial Statements.</w:t>
      </w:r>
    </w:p>
    <w:p>
      <w:pPr>
        <w:spacing w:after="0" w:line="172" w:lineRule="exact"/>
        <w:rPr>
          <w:sz w:val="20"/>
          <w:szCs w:val="20"/>
          <w:color w:val="auto"/>
        </w:rPr>
      </w:pPr>
    </w:p>
    <w:p>
      <w:pPr>
        <w:ind w:right="340"/>
        <w:spacing w:after="0" w:line="247" w:lineRule="auto"/>
        <w:rPr>
          <w:sz w:val="20"/>
          <w:szCs w:val="20"/>
          <w:color w:val="auto"/>
        </w:rPr>
      </w:pPr>
      <w:r>
        <w:rPr>
          <w:rFonts w:ascii="Arial" w:cs="Arial" w:eastAsia="Arial" w:hAnsi="Arial"/>
          <w:sz w:val="14"/>
          <w:szCs w:val="14"/>
          <w:color w:val="auto"/>
        </w:rPr>
        <w:t>We test and examine information, using sampling and other auditing techniques, to the extent we consider necessary to provide a reasonable basis for us to draw conclusions. We obtain audit evidence through testing the effectiveness of controls, substantive procedures or a combination of both.</w:t>
      </w:r>
    </w:p>
    <w:p>
      <w:pPr>
        <w:spacing w:after="0" w:line="161" w:lineRule="exact"/>
        <w:rPr>
          <w:sz w:val="20"/>
          <w:szCs w:val="20"/>
          <w:color w:val="auto"/>
        </w:rPr>
      </w:pPr>
    </w:p>
    <w:p>
      <w:pPr>
        <w:ind w:right="240"/>
        <w:spacing w:after="0" w:line="244" w:lineRule="auto"/>
        <w:rPr>
          <w:sz w:val="20"/>
          <w:szCs w:val="20"/>
          <w:color w:val="auto"/>
        </w:rPr>
      </w:pPr>
      <w:r>
        <w:rPr>
          <w:rFonts w:ascii="Arial" w:cs="Arial" w:eastAsia="Arial" w:hAnsi="Arial"/>
          <w:sz w:val="14"/>
          <w:szCs w:val="14"/>
          <w:color w:val="auto"/>
        </w:rPr>
        <w:t>In addition, we read all the financial and non-financial information in the Annual Report to identify material inconsistencies with the audited Consolidated Financial Statements and to identify any information that is apparently materially incorrect based on, or materially inconsistent with, the knowledge acquired by us in the course of performing the audit. If we become aware of any apparent material misstatements or inconsistencies we consider the implications for our report.</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color w:val="auto"/>
        </w:rPr>
        <w:t>OTHER MATTER</w:t>
      </w:r>
    </w:p>
    <w:p>
      <w:pPr>
        <w:spacing w:after="0" w:line="1" w:lineRule="exact"/>
        <w:rPr>
          <w:sz w:val="20"/>
          <w:szCs w:val="20"/>
          <w:color w:val="auto"/>
        </w:rPr>
      </w:pPr>
    </w:p>
    <w:p>
      <w:pPr>
        <w:jc w:val="both"/>
        <w:ind w:right="260"/>
        <w:spacing w:after="0" w:line="250" w:lineRule="auto"/>
        <w:rPr>
          <w:sz w:val="20"/>
          <w:szCs w:val="20"/>
          <w:color w:val="auto"/>
        </w:rPr>
      </w:pPr>
      <w:r>
        <w:rPr>
          <w:rFonts w:ascii="Arial" w:cs="Arial" w:eastAsia="Arial" w:hAnsi="Arial"/>
          <w:sz w:val="14"/>
          <w:szCs w:val="14"/>
          <w:color w:val="auto"/>
        </w:rPr>
        <w:t>We have reported separately on the Parent Company Financial Statements of Royal Dutch Shell plc for the year ended December 31, 2014, and on the information in the Directors’ Remuneration Report that is described as having been audited.</w:t>
      </w:r>
    </w:p>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Arial" w:cs="Arial" w:eastAsia="Arial" w:hAnsi="Arial"/>
          <w:sz w:val="14"/>
          <w:szCs w:val="14"/>
          <w:color w:val="auto"/>
        </w:rPr>
        <w:t>Ross Hunter (Senior Statutory Auditor)</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for and on behalf of PricewaterhouseCoopers LLP</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Chartered Accountants and Statutory Auditors</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London, United Kingdom</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March 11, 2015</w:t>
      </w:r>
    </w:p>
    <w:p>
      <w:pPr>
        <w:spacing w:after="0" w:line="177" w:lineRule="exact"/>
        <w:rPr>
          <w:sz w:val="20"/>
          <w:szCs w:val="20"/>
          <w:color w:val="auto"/>
        </w:rPr>
      </w:pPr>
    </w:p>
    <w:p>
      <w:pPr>
        <w:ind w:right="360"/>
        <w:spacing w:after="0" w:line="250" w:lineRule="auto"/>
        <w:rPr>
          <w:sz w:val="20"/>
          <w:szCs w:val="20"/>
          <w:color w:val="auto"/>
        </w:rPr>
      </w:pPr>
      <w:r>
        <w:rPr>
          <w:rFonts w:ascii="Arial" w:cs="Arial" w:eastAsia="Arial" w:hAnsi="Arial"/>
          <w:sz w:val="14"/>
          <w:szCs w:val="14"/>
          <w:color w:val="auto"/>
        </w:rPr>
        <w:t>Note that the report set out above is included for the purposes of Royal Dutch Shell plc’s Annual Report and Accounts for 2014 only and does not form part of Royal Dutch Shell plc’s Annual Report on Form 20-F for 2014.</w:t>
      </w:r>
    </w:p>
    <w:p>
      <w:pPr>
        <w:sectPr>
          <w:pgSz w:w="11900" w:h="16838" w:orient="portrait"/>
          <w:cols w:equalWidth="0" w:num="2">
            <w:col w:w="5720" w:space="60"/>
            <w:col w:w="5640"/>
          </w:cols>
          <w:pgMar w:left="240" w:top="459" w:right="239" w:bottom="1440" w:gutter="0" w:footer="0" w:header="0"/>
        </w:sectPr>
      </w:pPr>
    </w:p>
    <w:bookmarkStart w:id="106" w:name="page107"/>
    <w:bookmarkEnd w:id="106"/>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3555365</wp:posOffset>
            </wp:positionH>
            <wp:positionV relativeFrom="paragraph">
              <wp:posOffset>314960</wp:posOffset>
            </wp:positionV>
            <wp:extent cx="3696335" cy="46291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3696335" cy="462915"/>
                    </a:xfrm>
                    <a:prstGeom prst="rect">
                      <a:avLst/>
                    </a:prstGeom>
                    <a:noFill/>
                  </pic:spPr>
                </pic:pic>
              </a:graphicData>
            </a:graphic>
          </wp:anchor>
        </w:drawing>
      </w:r>
    </w:p>
    <w:p>
      <w:pPr>
        <w:sectPr>
          <w:pgSz w:w="11900" w:h="16838" w:orient="portrait"/>
          <w:cols w:equalWidth="0" w:num="1">
            <w:col w:w="11260"/>
          </w:cols>
          <w:pgMar w:left="240" w:top="459" w:right="3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11"/>
          <w:szCs w:val="11"/>
          <w:color w:val="auto"/>
        </w:rPr>
        <w:t>SHELL ANNUAL REPORT AND FORM 20-F 2014</w:t>
      </w:r>
    </w:p>
    <w:p>
      <w:pPr>
        <w:spacing w:after="0" w:line="72" w:lineRule="exact"/>
        <w:rPr>
          <w:sz w:val="20"/>
          <w:szCs w:val="20"/>
          <w:color w:val="auto"/>
        </w:rPr>
      </w:pPr>
    </w:p>
    <w:p>
      <w:pPr>
        <w:ind w:right="120"/>
        <w:spacing w:after="0" w:line="249" w:lineRule="auto"/>
        <w:rPr>
          <w:sz w:val="20"/>
          <w:szCs w:val="20"/>
          <w:color w:val="auto"/>
        </w:rPr>
      </w:pPr>
      <w:r>
        <w:rPr>
          <w:rFonts w:ascii="Arial" w:cs="Arial" w:eastAsia="Arial" w:hAnsi="Arial"/>
          <w:sz w:val="31"/>
          <w:szCs w:val="31"/>
          <w:color w:val="auto"/>
        </w:rPr>
        <w:t>REPORT OF INDEPENDENT REGISTERED PUBLIC ACCOUNTING FIRM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wp:posOffset>
            </wp:positionV>
            <wp:extent cx="3473450" cy="889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spacing w:after="0" w:line="159" w:lineRule="exact"/>
        <w:rPr>
          <w:sz w:val="20"/>
          <w:szCs w:val="20"/>
          <w:color w:val="auto"/>
        </w:rPr>
      </w:pPr>
    </w:p>
    <w:p>
      <w:pPr>
        <w:ind w:right="300"/>
        <w:spacing w:after="0" w:line="246" w:lineRule="auto"/>
        <w:rPr>
          <w:sz w:val="20"/>
          <w:szCs w:val="20"/>
          <w:color w:val="auto"/>
        </w:rPr>
      </w:pPr>
      <w:r>
        <w:rPr>
          <w:rFonts w:ascii="Arial" w:cs="Arial" w:eastAsia="Arial" w:hAnsi="Arial"/>
          <w:sz w:val="18"/>
          <w:szCs w:val="18"/>
          <w:color w:val="auto"/>
        </w:rPr>
        <w:t>TO THE BOARD OF DIRECTORS AND ROYAL DUTCH SHELL PLC SHAREHOLDERS</w:t>
      </w:r>
    </w:p>
    <w:p>
      <w:pPr>
        <w:spacing w:after="0" w:line="162" w:lineRule="exact"/>
        <w:rPr>
          <w:sz w:val="20"/>
          <w:szCs w:val="20"/>
          <w:color w:val="auto"/>
        </w:rPr>
      </w:pPr>
    </w:p>
    <w:p>
      <w:pPr>
        <w:spacing w:after="0" w:line="242" w:lineRule="auto"/>
        <w:rPr>
          <w:sz w:val="20"/>
          <w:szCs w:val="20"/>
          <w:color w:val="auto"/>
        </w:rPr>
      </w:pPr>
      <w:r>
        <w:rPr>
          <w:rFonts w:ascii="Arial" w:cs="Arial" w:eastAsia="Arial" w:hAnsi="Arial"/>
          <w:sz w:val="14"/>
          <w:szCs w:val="14"/>
          <w:color w:val="auto"/>
        </w:rPr>
        <w:t xml:space="preserve">In our opinion, the accompanying Consolidated Statement of Income, the Consolidated Statement of Comprehensive Income, the Consolidated Balance Sheet, the Consolidated Statement of Changes in Equity, the Consolidated Statement of Cash Flows and the related Notes to the Consolidated Financial Statements present fairly, in all material respects, the financial position of Royal Dutch Shell plc (the Company) and its subsidiaries (collectively Shell) at December 31, 2014, and December 31, 2013, and the results of their operations and cash flows for each of the three years in the period ended December 31, 2014, in conformity with International Financial Reporting Standards as issued by the International Accounting Standards Board and in conformity with International Financial Reporting Standards as adopted by the European Union. Also in our opinion, the Company maintained, in all material respects, effective internal control over financial reporting as of December 31, 2014, based on criteria established in </w:t>
      </w:r>
      <w:r>
        <w:rPr>
          <w:rFonts w:ascii="Arial" w:cs="Arial" w:eastAsia="Arial" w:hAnsi="Arial"/>
          <w:sz w:val="14"/>
          <w:szCs w:val="14"/>
          <w:i w:val="1"/>
          <w:iCs w:val="1"/>
          <w:color w:val="auto"/>
        </w:rPr>
        <w:t>Internal Control – Integrated Framework (2013)</w:t>
      </w:r>
      <w:r>
        <w:rPr>
          <w:rFonts w:ascii="Arial" w:cs="Arial" w:eastAsia="Arial" w:hAnsi="Arial"/>
          <w:sz w:val="14"/>
          <w:szCs w:val="14"/>
          <w:color w:val="auto"/>
        </w:rPr>
        <w:t xml:space="preserve"> issued by the Committee of Sponsoring Organizations of the Treadway Commission (COSO). The Company’s management is responsible for these Consolidated Financial Statements, for maintaining effective internal control over financial reporting and for its assessment of the effectiveness of internal control over financial reporting, included in Management’s Report on Internal Control over Financial Reporting of Shell set out on pages 70 and 71. Our responsibility is to express opinions on these Consolidated Financial Statements and on the Company’s internal control over financial reporting based on our integrated audits. We conducted our audits in accordance with the standards of the Public Company Accounting Oversight Board (United States). Those standards require that we plan and perform the audits to obtain reasonable assurance about whether the Consolidated Financial Statements are free of material misstatement and whether effective internal control over financial reporting was maintained in all material respects. Our audits of the Consolidated Financial Statements included examining, on a test basis, evidence supporting the amounts and disclosures in the Consolidated Financial Statements, assessing the accounting principles used and significant estimates made by management, and evaluating</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spacing w:after="0" w:line="1" w:lineRule="exact"/>
        <w:rPr>
          <w:sz w:val="1"/>
          <w:szCs w:val="1"/>
          <w:color w:val="auto"/>
        </w:rPr>
      </w:pPr>
    </w:p>
    <w:tbl>
      <w:tblPr>
        <w:tblLayout w:type="fixed"/>
        <w:tblInd w:w="660" w:type="dxa"/>
        <w:tblCellMar>
          <w:top w:w="0" w:type="dxa"/>
          <w:left w:w="0" w:type="dxa"/>
          <w:bottom w:w="0" w:type="dxa"/>
          <w:right w:w="0" w:type="dxa"/>
        </w:tblCellMar>
      </w:tblPr>
      <w:tr>
        <w:trPr>
          <w:trHeight w:val="161"/>
        </w:trPr>
        <w:tc>
          <w:tcPr>
            <w:tcW w:w="3520" w:type="dxa"/>
            <w:vAlign w:val="bottom"/>
          </w:tcPr>
          <w:p>
            <w:pPr>
              <w:spacing w:after="0"/>
              <w:rPr>
                <w:sz w:val="20"/>
                <w:szCs w:val="20"/>
                <w:color w:val="auto"/>
              </w:rPr>
            </w:pPr>
            <w:r>
              <w:rPr>
                <w:rFonts w:ascii="Arial" w:cs="Arial" w:eastAsia="Arial" w:hAnsi="Arial"/>
                <w:sz w:val="13"/>
                <w:szCs w:val="13"/>
                <w:color w:val="333333"/>
              </w:rPr>
              <w:t>FINANCIAL STATEMENTS AND SUPPLEMENTS</w:t>
            </w:r>
          </w:p>
        </w:tc>
        <w:tc>
          <w:tcPr>
            <w:tcW w:w="920" w:type="dxa"/>
            <w:vAlign w:val="bottom"/>
          </w:tcPr>
          <w:p>
            <w:pPr>
              <w:jc w:val="right"/>
              <w:spacing w:after="0"/>
              <w:rPr>
                <w:sz w:val="20"/>
                <w:szCs w:val="20"/>
                <w:color w:val="auto"/>
              </w:rPr>
            </w:pPr>
            <w:r>
              <w:rPr>
                <w:rFonts w:ascii="Arial" w:cs="Arial" w:eastAsia="Arial" w:hAnsi="Arial"/>
                <w:sz w:val="11"/>
                <w:szCs w:val="11"/>
                <w:b w:val="1"/>
                <w:bCs w:val="1"/>
                <w:color w:val="333333"/>
              </w:rPr>
              <w:t>105</w:t>
            </w:r>
          </w:p>
        </w:tc>
      </w:tr>
    </w:tbl>
    <w:p>
      <w:pPr>
        <w:spacing w:after="0" w:line="161" w:lineRule="exact"/>
        <w:rPr>
          <w:sz w:val="20"/>
          <w:szCs w:val="20"/>
          <w:color w:val="auto"/>
        </w:rPr>
      </w:pPr>
    </w:p>
    <w:p>
      <w:pPr>
        <w:ind w:left="660"/>
        <w:spacing w:after="0"/>
        <w:rPr>
          <w:sz w:val="20"/>
          <w:szCs w:val="20"/>
          <w:color w:val="auto"/>
        </w:rPr>
      </w:pPr>
      <w:r>
        <w:rPr>
          <w:rFonts w:ascii="Arial" w:cs="Arial" w:eastAsia="Arial" w:hAnsi="Arial"/>
          <w:sz w:val="11"/>
          <w:szCs w:val="11"/>
          <w:color w:val="auto"/>
        </w:rPr>
        <w:t>CONSOLIDATED FINANCIAL STATEMENTS</w:t>
      </w:r>
    </w:p>
    <w:p>
      <w:pPr>
        <w:spacing w:after="0" w:line="71" w:lineRule="exact"/>
        <w:rPr>
          <w:sz w:val="20"/>
          <w:szCs w:val="20"/>
          <w:color w:val="auto"/>
        </w:rPr>
      </w:pPr>
    </w:p>
    <w:p>
      <w:pPr>
        <w:ind w:right="40"/>
        <w:spacing w:after="0" w:line="244" w:lineRule="auto"/>
        <w:rPr>
          <w:sz w:val="20"/>
          <w:szCs w:val="20"/>
          <w:color w:val="auto"/>
        </w:rPr>
      </w:pPr>
      <w:r>
        <w:rPr>
          <w:rFonts w:ascii="Arial" w:cs="Arial" w:eastAsia="Arial" w:hAnsi="Arial"/>
          <w:sz w:val="14"/>
          <w:szCs w:val="14"/>
          <w:color w:val="auto"/>
        </w:rPr>
        <w:t>the overall financial statement presentation.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178" w:lineRule="exact"/>
        <w:rPr>
          <w:sz w:val="20"/>
          <w:szCs w:val="20"/>
          <w:color w:val="auto"/>
        </w:rPr>
      </w:pPr>
    </w:p>
    <w:p>
      <w:pPr>
        <w:ind w:right="40"/>
        <w:spacing w:after="0" w:line="242" w:lineRule="auto"/>
        <w:rPr>
          <w:sz w:val="20"/>
          <w:szCs w:val="20"/>
          <w:color w:val="auto"/>
        </w:rPr>
      </w:pPr>
      <w:r>
        <w:rPr>
          <w:rFonts w:ascii="Arial" w:cs="Arial" w:eastAsia="Arial" w:hAnsi="Arial"/>
          <w:sz w:val="14"/>
          <w:szCs w:val="14"/>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authorisations of management and directors of the company; and (iii) provide reasonable assurance regarding prevention or timely detection of unauthorised acquisition, use, or disposition of the company’s assets that could have a material effect on the financial statements.</w:t>
      </w:r>
    </w:p>
    <w:p>
      <w:pPr>
        <w:spacing w:after="0" w:line="334" w:lineRule="exact"/>
        <w:rPr>
          <w:sz w:val="20"/>
          <w:szCs w:val="20"/>
          <w:color w:val="auto"/>
        </w:rPr>
      </w:pPr>
    </w:p>
    <w:p>
      <w:pPr>
        <w:spacing w:after="0" w:line="245" w:lineRule="auto"/>
        <w:rPr>
          <w:sz w:val="20"/>
          <w:szCs w:val="20"/>
          <w:color w:val="auto"/>
        </w:rPr>
      </w:pPr>
      <w:r>
        <w:rPr>
          <w:rFonts w:ascii="Arial" w:cs="Arial" w:eastAsia="Arial" w:hAnsi="Arial"/>
          <w:sz w:val="14"/>
          <w:szCs w:val="14"/>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0" w:lineRule="exact"/>
        <w:rPr>
          <w:sz w:val="20"/>
          <w:szCs w:val="20"/>
          <w:color w:val="auto"/>
        </w:rPr>
      </w:pPr>
    </w:p>
    <w:p>
      <w:pPr>
        <w:spacing w:after="0" w:line="35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PricewaterhouseCoopers LLP</w:t>
      </w:r>
    </w:p>
    <w:p>
      <w:pPr>
        <w:spacing w:after="0" w:line="19" w:lineRule="exact"/>
        <w:rPr>
          <w:sz w:val="20"/>
          <w:szCs w:val="20"/>
          <w:color w:val="auto"/>
        </w:rPr>
      </w:pPr>
    </w:p>
    <w:p>
      <w:pPr>
        <w:spacing w:after="0"/>
        <w:rPr>
          <w:sz w:val="20"/>
          <w:szCs w:val="20"/>
          <w:color w:val="auto"/>
        </w:rPr>
      </w:pPr>
      <w:r>
        <w:rPr>
          <w:rFonts w:ascii="Arial" w:cs="Arial" w:eastAsia="Arial" w:hAnsi="Arial"/>
          <w:sz w:val="14"/>
          <w:szCs w:val="14"/>
          <w:color w:val="auto"/>
        </w:rPr>
        <w:t>London, United Kingdom</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March 11, 2015</w:t>
      </w:r>
    </w:p>
    <w:p>
      <w:pPr>
        <w:spacing w:after="0" w:line="177" w:lineRule="exact"/>
        <w:rPr>
          <w:sz w:val="20"/>
          <w:szCs w:val="20"/>
          <w:color w:val="auto"/>
        </w:rPr>
      </w:pPr>
    </w:p>
    <w:p>
      <w:pPr>
        <w:ind w:right="200"/>
        <w:spacing w:after="0" w:line="250" w:lineRule="auto"/>
        <w:rPr>
          <w:sz w:val="20"/>
          <w:szCs w:val="20"/>
          <w:color w:val="auto"/>
        </w:rPr>
      </w:pPr>
      <w:r>
        <w:rPr>
          <w:rFonts w:ascii="Arial" w:cs="Arial" w:eastAsia="Arial" w:hAnsi="Arial"/>
          <w:sz w:val="14"/>
          <w:szCs w:val="14"/>
          <w:color w:val="auto"/>
        </w:rPr>
        <w:t>Note that the report set out above is included for the purposes of Royal Dutch Shell plc’s Annual Report on Form 20-F for 2014 only and does not form part of Royal Dutch Shell plc’s Annual Report and Accounts for 2014.</w:t>
      </w:r>
    </w:p>
    <w:p>
      <w:pPr>
        <w:sectPr>
          <w:pgSz w:w="11900" w:h="16838" w:orient="portrait"/>
          <w:cols w:equalWidth="0" w:num="2">
            <w:col w:w="5440" w:space="340"/>
            <w:col w:w="5480"/>
          </w:cols>
          <w:pgMar w:left="240" w:top="459" w:right="399" w:bottom="1440" w:gutter="0" w:footer="0" w:header="0"/>
          <w:type w:val="continuous"/>
        </w:sectPr>
      </w:pPr>
    </w:p>
    <w:bookmarkStart w:id="107" w:name="page108"/>
    <w:bookmarkEnd w:id="1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300355</wp:posOffset>
            </wp:positionV>
            <wp:extent cx="3533140" cy="46291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3533140" cy="462915"/>
                    </a:xfrm>
                    <a:prstGeom prst="rect">
                      <a:avLst/>
                    </a:prstGeom>
                    <a:noFill/>
                  </pic:spPr>
                </pic:pic>
              </a:graphicData>
            </a:graphic>
          </wp:anchor>
        </w:drawing>
      </w:r>
    </w:p>
    <w:p>
      <w:pPr>
        <w:spacing w:after="0" w:line="200" w:lineRule="exact"/>
        <w:rPr>
          <w:sz w:val="20"/>
          <w:szCs w:val="20"/>
          <w:color w:val="auto"/>
        </w:rPr>
      </w:pP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419"/>
        </w:trPr>
        <w:tc>
          <w:tcPr>
            <w:tcW w:w="1220" w:type="dxa"/>
            <w:vAlign w:val="bottom"/>
            <w:shd w:val="clear" w:color="auto" w:fill="FF8B00"/>
          </w:tcPr>
          <w:p>
            <w:pPr>
              <w:spacing w:after="0"/>
              <w:rPr>
                <w:sz w:val="24"/>
                <w:szCs w:val="24"/>
                <w:color w:val="auto"/>
              </w:rPr>
            </w:pPr>
          </w:p>
        </w:tc>
        <w:tc>
          <w:tcPr>
            <w:tcW w:w="4360" w:type="dxa"/>
            <w:vAlign w:val="bottom"/>
            <w:shd w:val="clear" w:color="auto" w:fill="FF8B00"/>
          </w:tcPr>
          <w:p>
            <w:pPr>
              <w:spacing w:after="0"/>
              <w:rPr>
                <w:sz w:val="24"/>
                <w:szCs w:val="24"/>
                <w:color w:val="auto"/>
              </w:rPr>
            </w:pPr>
          </w:p>
        </w:tc>
      </w:tr>
      <w:tr>
        <w:trPr>
          <w:trHeight w:val="152"/>
        </w:trPr>
        <w:tc>
          <w:tcPr>
            <w:tcW w:w="1220" w:type="dxa"/>
            <w:vAlign w:val="bottom"/>
          </w:tcPr>
          <w:p>
            <w:pPr>
              <w:jc w:val="right"/>
              <w:ind w:right="726"/>
              <w:spacing w:after="0"/>
              <w:rPr>
                <w:sz w:val="20"/>
                <w:szCs w:val="20"/>
                <w:color w:val="auto"/>
              </w:rPr>
            </w:pPr>
            <w:r>
              <w:rPr>
                <w:rFonts w:ascii="Arial" w:cs="Arial" w:eastAsia="Arial" w:hAnsi="Arial"/>
                <w:sz w:val="11"/>
                <w:szCs w:val="11"/>
                <w:b w:val="1"/>
                <w:bCs w:val="1"/>
                <w:color w:val="333333"/>
              </w:rPr>
              <w:t>106</w:t>
            </w:r>
          </w:p>
        </w:tc>
        <w:tc>
          <w:tcPr>
            <w:tcW w:w="4360" w:type="dxa"/>
            <w:vAlign w:val="bottom"/>
          </w:tcPr>
          <w:p>
            <w:pPr>
              <w:ind w:left="780"/>
              <w:spacing w:after="0"/>
              <w:rPr>
                <w:sz w:val="20"/>
                <w:szCs w:val="20"/>
                <w:color w:val="auto"/>
              </w:rPr>
            </w:pPr>
            <w:r>
              <w:rPr>
                <w:rFonts w:ascii="Arial" w:cs="Arial" w:eastAsia="Arial" w:hAnsi="Arial"/>
                <w:sz w:val="13"/>
                <w:szCs w:val="13"/>
                <w:color w:val="333333"/>
              </w:rPr>
              <w:t>FINANCIAL STATEMENTS AND SUPPLEMENTS</w:t>
            </w:r>
          </w:p>
        </w:tc>
      </w:tr>
    </w:tbl>
    <w:p>
      <w:pPr>
        <w:spacing w:after="0" w:line="155" w:lineRule="exact"/>
        <w:rPr>
          <w:sz w:val="20"/>
          <w:szCs w:val="20"/>
          <w:color w:val="auto"/>
        </w:rPr>
      </w:pPr>
    </w:p>
    <w:p>
      <w:pPr>
        <w:jc w:val="right"/>
        <w:spacing w:after="0"/>
        <w:tabs>
          <w:tab w:leader="none" w:pos="2380" w:val="left"/>
        </w:tabs>
        <w:rPr>
          <w:sz w:val="20"/>
          <w:szCs w:val="20"/>
          <w:color w:val="auto"/>
        </w:rPr>
      </w:pPr>
      <w:r>
        <w:rPr>
          <w:rFonts w:ascii="Arial" w:cs="Arial" w:eastAsia="Arial" w:hAnsi="Arial"/>
          <w:sz w:val="11"/>
          <w:szCs w:val="11"/>
          <w:color w:val="auto"/>
        </w:rPr>
        <w:t>CONSOLIDATED FINANCIAL STATEMENTS</w:t>
      </w:r>
      <w:r>
        <w:rPr>
          <w:sz w:val="20"/>
          <w:szCs w:val="20"/>
          <w:color w:val="auto"/>
        </w:rPr>
        <w:tab/>
      </w:r>
      <w:r>
        <w:rPr>
          <w:rFonts w:ascii="Arial" w:cs="Arial" w:eastAsia="Arial" w:hAnsi="Arial"/>
          <w:sz w:val="10"/>
          <w:szCs w:val="10"/>
          <w:color w:val="auto"/>
        </w:rPr>
        <w:t>SHELL ANNUAL REPORT AND FORM 20-F 2014</w:t>
      </w:r>
    </w:p>
    <w:p>
      <w:pPr>
        <w:spacing w:after="0" w:line="5" w:lineRule="exact"/>
        <w:rPr>
          <w:sz w:val="20"/>
          <w:szCs w:val="20"/>
          <w:color w:val="auto"/>
        </w:rPr>
      </w:pPr>
    </w:p>
    <w:p>
      <w:pPr>
        <w:spacing w:after="0"/>
        <w:rPr>
          <w:sz w:val="20"/>
          <w:szCs w:val="20"/>
          <w:color w:val="auto"/>
        </w:rPr>
      </w:pPr>
      <w:r>
        <w:rPr>
          <w:rFonts w:ascii="Arial" w:cs="Arial" w:eastAsia="Arial" w:hAnsi="Arial"/>
          <w:sz w:val="31"/>
          <w:szCs w:val="31"/>
          <w:color w:val="auto"/>
        </w:rPr>
        <w:t>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wp:posOffset>
            </wp:positionV>
            <wp:extent cx="7246620" cy="889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2" w:lineRule="exact"/>
        <w:rPr>
          <w:sz w:val="20"/>
          <w:szCs w:val="20"/>
          <w:color w:val="auto"/>
        </w:rPr>
      </w:pPr>
    </w:p>
    <w:p>
      <w:pPr>
        <w:ind w:left="480" w:hanging="420"/>
        <w:spacing w:after="0"/>
        <w:tabs>
          <w:tab w:leader="none" w:pos="480" w:val="left"/>
        </w:tabs>
        <w:numPr>
          <w:ilvl w:val="0"/>
          <w:numId w:val="125"/>
        </w:numPr>
        <w:rPr>
          <w:rFonts w:ascii="Arial" w:cs="Arial" w:eastAsia="Arial" w:hAnsi="Arial"/>
          <w:sz w:val="14"/>
          <w:szCs w:val="14"/>
          <w:u w:val="single" w:color="auto"/>
          <w:color w:val="0000EE"/>
        </w:rPr>
      </w:pPr>
      <w:hyperlink w:anchor="page109">
        <w:r>
          <w:rPr>
            <w:rFonts w:ascii="Arial" w:cs="Arial" w:eastAsia="Arial" w:hAnsi="Arial"/>
            <w:sz w:val="14"/>
            <w:szCs w:val="14"/>
            <w:u w:val="single" w:color="auto"/>
            <w:color w:val="0000EE"/>
          </w:rPr>
          <w:t>Consolidated Statement of Income</w:t>
        </w:r>
      </w:hyperlink>
    </w:p>
    <w:p>
      <w:pPr>
        <w:spacing w:after="0" w:line="1" w:lineRule="exact"/>
        <w:rPr>
          <w:sz w:val="20"/>
          <w:szCs w:val="20"/>
          <w:color w:val="auto"/>
        </w:rPr>
      </w:pPr>
    </w:p>
    <w:p>
      <w:pPr>
        <w:ind w:left="480" w:hanging="420"/>
        <w:spacing w:after="0"/>
        <w:tabs>
          <w:tab w:leader="none" w:pos="480" w:val="left"/>
        </w:tabs>
        <w:numPr>
          <w:ilvl w:val="0"/>
          <w:numId w:val="126"/>
        </w:numPr>
        <w:rPr>
          <w:rFonts w:ascii="Arial" w:cs="Arial" w:eastAsia="Arial" w:hAnsi="Arial"/>
          <w:sz w:val="14"/>
          <w:szCs w:val="14"/>
          <w:u w:val="single" w:color="auto"/>
          <w:color w:val="0000EE"/>
        </w:rPr>
      </w:pPr>
      <w:hyperlink w:anchor="page109">
        <w:r>
          <w:rPr>
            <w:rFonts w:ascii="Arial" w:cs="Arial" w:eastAsia="Arial" w:hAnsi="Arial"/>
            <w:sz w:val="14"/>
            <w:szCs w:val="14"/>
            <w:u w:val="single" w:color="auto"/>
            <w:color w:val="0000EE"/>
          </w:rPr>
          <w:t>Consolidated Statement of Comprehensive Income</w:t>
        </w:r>
      </w:hyperlink>
    </w:p>
    <w:p>
      <w:pPr>
        <w:spacing w:after="0" w:line="1" w:lineRule="exact"/>
        <w:rPr>
          <w:rFonts w:ascii="Arial" w:cs="Arial" w:eastAsia="Arial" w:hAnsi="Arial"/>
          <w:sz w:val="14"/>
          <w:szCs w:val="14"/>
          <w:u w:val="single" w:color="auto"/>
          <w:color w:val="0000EE"/>
        </w:rPr>
      </w:pPr>
    </w:p>
    <w:p>
      <w:pPr>
        <w:ind w:left="480" w:hanging="420"/>
        <w:spacing w:after="0"/>
        <w:tabs>
          <w:tab w:leader="none" w:pos="480" w:val="left"/>
        </w:tabs>
        <w:numPr>
          <w:ilvl w:val="0"/>
          <w:numId w:val="126"/>
        </w:numPr>
        <w:rPr>
          <w:rFonts w:ascii="Arial" w:cs="Arial" w:eastAsia="Arial" w:hAnsi="Arial"/>
          <w:sz w:val="14"/>
          <w:szCs w:val="14"/>
          <w:u w:val="single" w:color="auto"/>
          <w:color w:val="0000EE"/>
        </w:rPr>
      </w:pPr>
      <w:hyperlink w:anchor="page110">
        <w:r>
          <w:rPr>
            <w:rFonts w:ascii="Arial" w:cs="Arial" w:eastAsia="Arial" w:hAnsi="Arial"/>
            <w:sz w:val="14"/>
            <w:szCs w:val="14"/>
            <w:u w:val="single" w:color="auto"/>
            <w:color w:val="0000EE"/>
          </w:rPr>
          <w:t>Consolidated Balance Sheet</w:t>
        </w:r>
      </w:hyperlink>
    </w:p>
    <w:p>
      <w:pPr>
        <w:spacing w:after="0" w:line="1" w:lineRule="exact"/>
        <w:rPr>
          <w:rFonts w:ascii="Arial" w:cs="Arial" w:eastAsia="Arial" w:hAnsi="Arial"/>
          <w:sz w:val="14"/>
          <w:szCs w:val="14"/>
          <w:u w:val="single" w:color="auto"/>
          <w:color w:val="0000EE"/>
        </w:rPr>
      </w:pPr>
    </w:p>
    <w:p>
      <w:pPr>
        <w:ind w:left="480" w:hanging="420"/>
        <w:spacing w:after="0"/>
        <w:tabs>
          <w:tab w:leader="none" w:pos="480" w:val="left"/>
        </w:tabs>
        <w:numPr>
          <w:ilvl w:val="0"/>
          <w:numId w:val="126"/>
        </w:numPr>
        <w:rPr>
          <w:rFonts w:ascii="Arial" w:cs="Arial" w:eastAsia="Arial" w:hAnsi="Arial"/>
          <w:sz w:val="14"/>
          <w:szCs w:val="14"/>
          <w:u w:val="single" w:color="auto"/>
          <w:color w:val="0000EE"/>
        </w:rPr>
      </w:pPr>
      <w:hyperlink w:anchor="page111">
        <w:r>
          <w:rPr>
            <w:rFonts w:ascii="Arial" w:cs="Arial" w:eastAsia="Arial" w:hAnsi="Arial"/>
            <w:sz w:val="14"/>
            <w:szCs w:val="14"/>
            <w:u w:val="single" w:color="auto"/>
            <w:color w:val="0000EE"/>
          </w:rPr>
          <w:t>Consolidated Statement of Changes in Equity</w:t>
        </w:r>
      </w:hyperlink>
    </w:p>
    <w:p>
      <w:pPr>
        <w:spacing w:after="0" w:line="1" w:lineRule="exact"/>
        <w:rPr>
          <w:rFonts w:ascii="Arial" w:cs="Arial" w:eastAsia="Arial" w:hAnsi="Arial"/>
          <w:sz w:val="14"/>
          <w:szCs w:val="14"/>
          <w:u w:val="single" w:color="auto"/>
          <w:color w:val="0000EE"/>
        </w:rPr>
      </w:pPr>
    </w:p>
    <w:p>
      <w:pPr>
        <w:ind w:left="480" w:hanging="420"/>
        <w:spacing w:after="0"/>
        <w:tabs>
          <w:tab w:leader="none" w:pos="480" w:val="left"/>
        </w:tabs>
        <w:numPr>
          <w:ilvl w:val="0"/>
          <w:numId w:val="126"/>
        </w:numPr>
        <w:rPr>
          <w:rFonts w:ascii="Arial" w:cs="Arial" w:eastAsia="Arial" w:hAnsi="Arial"/>
          <w:sz w:val="14"/>
          <w:szCs w:val="14"/>
          <w:u w:val="single" w:color="auto"/>
          <w:color w:val="0000EE"/>
        </w:rPr>
      </w:pPr>
      <w:hyperlink w:anchor="page112">
        <w:r>
          <w:rPr>
            <w:rFonts w:ascii="Arial" w:cs="Arial" w:eastAsia="Arial" w:hAnsi="Arial"/>
            <w:sz w:val="14"/>
            <w:szCs w:val="14"/>
            <w:u w:val="single" w:color="auto"/>
            <w:color w:val="0000EE"/>
          </w:rPr>
          <w:t>Consolidated Statement of Cash Flows</w:t>
        </w:r>
      </w:hyperlink>
    </w:p>
    <w:p>
      <w:pPr>
        <w:spacing w:after="0" w:line="1" w:lineRule="exact"/>
        <w:rPr>
          <w:rFonts w:ascii="Arial" w:cs="Arial" w:eastAsia="Arial" w:hAnsi="Arial"/>
          <w:sz w:val="14"/>
          <w:szCs w:val="14"/>
          <w:u w:val="single" w:color="auto"/>
          <w:color w:val="0000EE"/>
        </w:rPr>
      </w:pPr>
    </w:p>
    <w:p>
      <w:pPr>
        <w:ind w:left="480" w:hanging="420"/>
        <w:spacing w:after="0"/>
        <w:tabs>
          <w:tab w:leader="none" w:pos="480" w:val="left"/>
        </w:tabs>
        <w:numPr>
          <w:ilvl w:val="0"/>
          <w:numId w:val="126"/>
        </w:numPr>
        <w:rPr>
          <w:rFonts w:ascii="Arial" w:cs="Arial" w:eastAsia="Arial" w:hAnsi="Arial"/>
          <w:sz w:val="14"/>
          <w:szCs w:val="14"/>
          <w:u w:val="single" w:color="auto"/>
          <w:color w:val="0000EE"/>
        </w:rPr>
      </w:pPr>
      <w:hyperlink w:anchor="page113">
        <w:r>
          <w:rPr>
            <w:rFonts w:ascii="Arial" w:cs="Arial" w:eastAsia="Arial" w:hAnsi="Arial"/>
            <w:sz w:val="14"/>
            <w:szCs w:val="14"/>
            <w:u w:val="single" w:color="auto"/>
            <w:color w:val="0000EE"/>
          </w:rPr>
          <w:t>Notes to the Consolidated Financial Statements</w:t>
        </w:r>
      </w:hyperlink>
    </w:p>
    <w:p>
      <w:pPr>
        <w:spacing w:after="0" w:line="1" w:lineRule="exact"/>
        <w:rPr>
          <w:rFonts w:ascii="Arial" w:cs="Arial" w:eastAsia="Arial" w:hAnsi="Arial"/>
          <w:sz w:val="14"/>
          <w:szCs w:val="14"/>
          <w:u w:val="single" w:color="auto"/>
          <w:color w:val="0000EE"/>
        </w:rPr>
      </w:pPr>
    </w:p>
    <w:p>
      <w:pPr>
        <w:ind w:left="480" w:hanging="420"/>
        <w:spacing w:after="0"/>
        <w:tabs>
          <w:tab w:leader="none" w:pos="480" w:val="left"/>
        </w:tabs>
        <w:numPr>
          <w:ilvl w:val="0"/>
          <w:numId w:val="127"/>
        </w:numPr>
        <w:rPr>
          <w:rFonts w:ascii="Arial" w:cs="Arial" w:eastAsia="Arial" w:hAnsi="Arial"/>
          <w:sz w:val="14"/>
          <w:szCs w:val="14"/>
          <w:u w:val="single" w:color="auto"/>
          <w:color w:val="0000EE"/>
        </w:rPr>
      </w:pPr>
      <w:hyperlink w:anchor="page113">
        <w:r>
          <w:rPr>
            <w:rFonts w:ascii="Arial" w:cs="Arial" w:eastAsia="Arial" w:hAnsi="Arial"/>
            <w:sz w:val="14"/>
            <w:szCs w:val="14"/>
            <w:u w:val="single" w:color="auto"/>
            <w:color w:val="0000EE"/>
          </w:rPr>
          <w:t>Note 1 Basis of preparation</w:t>
        </w:r>
      </w:hyperlink>
    </w:p>
    <w:p>
      <w:pPr>
        <w:spacing w:after="0" w:line="1" w:lineRule="exact"/>
        <w:rPr>
          <w:rFonts w:ascii="Arial" w:cs="Arial" w:eastAsia="Arial" w:hAnsi="Arial"/>
          <w:sz w:val="14"/>
          <w:szCs w:val="14"/>
          <w:u w:val="single" w:color="auto"/>
          <w:color w:val="0000EE"/>
        </w:rPr>
      </w:pPr>
    </w:p>
    <w:p>
      <w:pPr>
        <w:ind w:left="480" w:hanging="420"/>
        <w:spacing w:after="0"/>
        <w:tabs>
          <w:tab w:leader="none" w:pos="480" w:val="left"/>
        </w:tabs>
        <w:numPr>
          <w:ilvl w:val="0"/>
          <w:numId w:val="128"/>
        </w:numPr>
        <w:rPr>
          <w:rFonts w:ascii="Arial" w:cs="Arial" w:eastAsia="Arial" w:hAnsi="Arial"/>
          <w:sz w:val="14"/>
          <w:szCs w:val="14"/>
          <w:u w:val="single" w:color="auto"/>
          <w:color w:val="0000EE"/>
        </w:rPr>
      </w:pPr>
      <w:hyperlink w:anchor="page113">
        <w:r>
          <w:rPr>
            <w:rFonts w:ascii="Arial" w:cs="Arial" w:eastAsia="Arial" w:hAnsi="Arial"/>
            <w:sz w:val="14"/>
            <w:szCs w:val="14"/>
            <w:u w:val="single" w:color="auto"/>
            <w:color w:val="0000EE"/>
          </w:rPr>
          <w:t>Note 2 Accounting policies</w:t>
        </w:r>
      </w:hyperlink>
    </w:p>
    <w:p>
      <w:pPr>
        <w:spacing w:after="0" w:line="1" w:lineRule="exact"/>
        <w:rPr>
          <w:rFonts w:ascii="Arial" w:cs="Arial" w:eastAsia="Arial" w:hAnsi="Arial"/>
          <w:sz w:val="14"/>
          <w:szCs w:val="14"/>
          <w:u w:val="single" w:color="auto"/>
          <w:color w:val="0000EE"/>
        </w:rPr>
      </w:pPr>
    </w:p>
    <w:p>
      <w:pPr>
        <w:ind w:left="480" w:hanging="420"/>
        <w:spacing w:after="0"/>
        <w:tabs>
          <w:tab w:leader="none" w:pos="480" w:val="left"/>
        </w:tabs>
        <w:numPr>
          <w:ilvl w:val="0"/>
          <w:numId w:val="129"/>
        </w:numPr>
        <w:rPr>
          <w:rFonts w:ascii="Arial" w:cs="Arial" w:eastAsia="Arial" w:hAnsi="Arial"/>
          <w:sz w:val="14"/>
          <w:szCs w:val="14"/>
          <w:u w:val="single" w:color="auto"/>
          <w:color w:val="0000EE"/>
        </w:rPr>
      </w:pPr>
      <w:hyperlink w:anchor="page118">
        <w:r>
          <w:rPr>
            <w:rFonts w:ascii="Arial" w:cs="Arial" w:eastAsia="Arial" w:hAnsi="Arial"/>
            <w:sz w:val="14"/>
            <w:szCs w:val="14"/>
            <w:u w:val="single" w:color="auto"/>
            <w:color w:val="0000EE"/>
          </w:rPr>
          <w:t>Note 3 Key accounting estimates and judgements</w:t>
        </w:r>
      </w:hyperlink>
    </w:p>
    <w:p>
      <w:pPr>
        <w:spacing w:after="0" w:line="1" w:lineRule="exact"/>
        <w:rPr>
          <w:rFonts w:ascii="Arial" w:cs="Arial" w:eastAsia="Arial" w:hAnsi="Arial"/>
          <w:sz w:val="14"/>
          <w:szCs w:val="14"/>
          <w:u w:val="single" w:color="auto"/>
          <w:color w:val="0000EE"/>
        </w:rPr>
      </w:pPr>
    </w:p>
    <w:p>
      <w:pPr>
        <w:ind w:left="480" w:hanging="420"/>
        <w:spacing w:after="0"/>
        <w:tabs>
          <w:tab w:leader="none" w:pos="480" w:val="left"/>
        </w:tabs>
        <w:numPr>
          <w:ilvl w:val="0"/>
          <w:numId w:val="129"/>
        </w:numPr>
        <w:rPr>
          <w:rFonts w:ascii="Arial" w:cs="Arial" w:eastAsia="Arial" w:hAnsi="Arial"/>
          <w:sz w:val="14"/>
          <w:szCs w:val="14"/>
          <w:u w:val="single" w:color="auto"/>
          <w:color w:val="0000EE"/>
        </w:rPr>
      </w:pPr>
      <w:hyperlink w:anchor="page119">
        <w:r>
          <w:rPr>
            <w:rFonts w:ascii="Arial" w:cs="Arial" w:eastAsia="Arial" w:hAnsi="Arial"/>
            <w:sz w:val="14"/>
            <w:szCs w:val="14"/>
            <w:u w:val="single" w:color="auto"/>
            <w:color w:val="0000EE"/>
          </w:rPr>
          <w:t>Note 4 Segment information</w:t>
        </w:r>
      </w:hyperlink>
    </w:p>
    <w:p>
      <w:pPr>
        <w:spacing w:after="0" w:line="1" w:lineRule="exact"/>
        <w:rPr>
          <w:rFonts w:ascii="Arial" w:cs="Arial" w:eastAsia="Arial" w:hAnsi="Arial"/>
          <w:sz w:val="14"/>
          <w:szCs w:val="14"/>
          <w:u w:val="single" w:color="auto"/>
          <w:color w:val="0000EE"/>
        </w:rPr>
      </w:pPr>
    </w:p>
    <w:p>
      <w:pPr>
        <w:ind w:left="480" w:hanging="420"/>
        <w:spacing w:after="0"/>
        <w:tabs>
          <w:tab w:leader="none" w:pos="480" w:val="left"/>
        </w:tabs>
        <w:numPr>
          <w:ilvl w:val="0"/>
          <w:numId w:val="130"/>
        </w:numPr>
        <w:rPr>
          <w:rFonts w:ascii="Arial" w:cs="Arial" w:eastAsia="Arial" w:hAnsi="Arial"/>
          <w:sz w:val="14"/>
          <w:szCs w:val="14"/>
          <w:u w:val="single" w:color="auto"/>
          <w:color w:val="0000EE"/>
        </w:rPr>
      </w:pPr>
      <w:hyperlink w:anchor="page121">
        <w:r>
          <w:rPr>
            <w:rFonts w:ascii="Arial" w:cs="Arial" w:eastAsia="Arial" w:hAnsi="Arial"/>
            <w:sz w:val="14"/>
            <w:szCs w:val="14"/>
            <w:u w:val="single" w:color="auto"/>
            <w:color w:val="0000EE"/>
          </w:rPr>
          <w:t>Note 5 Interest and other income</w:t>
        </w:r>
      </w:hyperlink>
    </w:p>
    <w:p>
      <w:pPr>
        <w:spacing w:after="0" w:line="1" w:lineRule="exact"/>
        <w:rPr>
          <w:rFonts w:ascii="Arial" w:cs="Arial" w:eastAsia="Arial" w:hAnsi="Arial"/>
          <w:sz w:val="14"/>
          <w:szCs w:val="14"/>
          <w:u w:val="single" w:color="auto"/>
          <w:color w:val="0000EE"/>
        </w:rPr>
      </w:pPr>
    </w:p>
    <w:p>
      <w:pPr>
        <w:ind w:left="480" w:hanging="420"/>
        <w:spacing w:after="0"/>
        <w:tabs>
          <w:tab w:leader="none" w:pos="480" w:val="left"/>
        </w:tabs>
        <w:numPr>
          <w:ilvl w:val="0"/>
          <w:numId w:val="131"/>
        </w:numPr>
        <w:rPr>
          <w:rFonts w:ascii="Arial" w:cs="Arial" w:eastAsia="Arial" w:hAnsi="Arial"/>
          <w:sz w:val="14"/>
          <w:szCs w:val="14"/>
          <w:u w:val="single" w:color="auto"/>
          <w:color w:val="0000EE"/>
        </w:rPr>
      </w:pPr>
      <w:hyperlink w:anchor="page121">
        <w:r>
          <w:rPr>
            <w:rFonts w:ascii="Arial" w:cs="Arial" w:eastAsia="Arial" w:hAnsi="Arial"/>
            <w:sz w:val="14"/>
            <w:szCs w:val="14"/>
            <w:u w:val="single" w:color="auto"/>
            <w:color w:val="0000EE"/>
          </w:rPr>
          <w:t>Note 6 Interest expense</w:t>
        </w:r>
      </w:hyperlink>
    </w:p>
    <w:p>
      <w:pPr>
        <w:spacing w:after="0" w:line="1" w:lineRule="exact"/>
        <w:rPr>
          <w:rFonts w:ascii="Arial" w:cs="Arial" w:eastAsia="Arial" w:hAnsi="Arial"/>
          <w:sz w:val="14"/>
          <w:szCs w:val="14"/>
          <w:u w:val="single" w:color="auto"/>
          <w:color w:val="0000EE"/>
        </w:rPr>
      </w:pPr>
    </w:p>
    <w:p>
      <w:pPr>
        <w:ind w:left="480" w:hanging="420"/>
        <w:spacing w:after="0"/>
        <w:tabs>
          <w:tab w:leader="none" w:pos="480" w:val="left"/>
        </w:tabs>
        <w:numPr>
          <w:ilvl w:val="0"/>
          <w:numId w:val="132"/>
        </w:numPr>
        <w:rPr>
          <w:rFonts w:ascii="Arial" w:cs="Arial" w:eastAsia="Arial" w:hAnsi="Arial"/>
          <w:sz w:val="14"/>
          <w:szCs w:val="14"/>
          <w:u w:val="single" w:color="auto"/>
          <w:color w:val="0000EE"/>
        </w:rPr>
      </w:pPr>
      <w:hyperlink w:anchor="page121">
        <w:r>
          <w:rPr>
            <w:rFonts w:ascii="Arial" w:cs="Arial" w:eastAsia="Arial" w:hAnsi="Arial"/>
            <w:sz w:val="14"/>
            <w:szCs w:val="14"/>
            <w:u w:val="single" w:color="auto"/>
            <w:color w:val="0000EE"/>
          </w:rPr>
          <w:t>Note 7 Intangible assets</w:t>
        </w:r>
      </w:hyperlink>
    </w:p>
    <w:p>
      <w:pPr>
        <w:spacing w:after="0" w:line="1" w:lineRule="exact"/>
        <w:rPr>
          <w:rFonts w:ascii="Arial" w:cs="Arial" w:eastAsia="Arial" w:hAnsi="Arial"/>
          <w:sz w:val="14"/>
          <w:szCs w:val="14"/>
          <w:u w:val="single" w:color="auto"/>
          <w:color w:val="0000EE"/>
        </w:rPr>
      </w:pPr>
    </w:p>
    <w:p>
      <w:pPr>
        <w:ind w:left="480" w:hanging="420"/>
        <w:spacing w:after="0"/>
        <w:tabs>
          <w:tab w:leader="none" w:pos="480" w:val="left"/>
        </w:tabs>
        <w:numPr>
          <w:ilvl w:val="0"/>
          <w:numId w:val="132"/>
        </w:numPr>
        <w:rPr>
          <w:rFonts w:ascii="Arial" w:cs="Arial" w:eastAsia="Arial" w:hAnsi="Arial"/>
          <w:sz w:val="14"/>
          <w:szCs w:val="14"/>
          <w:u w:val="single" w:color="auto"/>
          <w:color w:val="0000EE"/>
        </w:rPr>
      </w:pPr>
      <w:hyperlink w:anchor="page122">
        <w:r>
          <w:rPr>
            <w:rFonts w:ascii="Arial" w:cs="Arial" w:eastAsia="Arial" w:hAnsi="Arial"/>
            <w:sz w:val="14"/>
            <w:szCs w:val="14"/>
            <w:u w:val="single" w:color="auto"/>
            <w:color w:val="0000EE"/>
          </w:rPr>
          <w:t>Note 8 Property, plant and equipment</w:t>
        </w:r>
      </w:hyperlink>
    </w:p>
    <w:p>
      <w:pPr>
        <w:spacing w:after="0" w:line="1" w:lineRule="exact"/>
        <w:rPr>
          <w:rFonts w:ascii="Arial" w:cs="Arial" w:eastAsia="Arial" w:hAnsi="Arial"/>
          <w:sz w:val="14"/>
          <w:szCs w:val="14"/>
          <w:u w:val="single" w:color="auto"/>
          <w:color w:val="0000EE"/>
        </w:rPr>
      </w:pPr>
    </w:p>
    <w:p>
      <w:pPr>
        <w:ind w:left="480" w:hanging="420"/>
        <w:spacing w:after="0"/>
        <w:tabs>
          <w:tab w:leader="none" w:pos="480" w:val="left"/>
        </w:tabs>
        <w:numPr>
          <w:ilvl w:val="0"/>
          <w:numId w:val="133"/>
        </w:numPr>
        <w:rPr>
          <w:rFonts w:ascii="Arial" w:cs="Arial" w:eastAsia="Arial" w:hAnsi="Arial"/>
          <w:sz w:val="14"/>
          <w:szCs w:val="14"/>
          <w:u w:val="single" w:color="auto"/>
          <w:color w:val="0000EE"/>
        </w:rPr>
      </w:pPr>
      <w:hyperlink w:anchor="page124">
        <w:r>
          <w:rPr>
            <w:rFonts w:ascii="Arial" w:cs="Arial" w:eastAsia="Arial" w:hAnsi="Arial"/>
            <w:sz w:val="14"/>
            <w:szCs w:val="14"/>
            <w:u w:val="single" w:color="auto"/>
            <w:color w:val="0000EE"/>
          </w:rPr>
          <w:t>Note 9 Joint ventures and associates</w:t>
        </w:r>
      </w:hyperlink>
    </w:p>
    <w:p>
      <w:pPr>
        <w:spacing w:after="0" w:line="1" w:lineRule="exact"/>
        <w:rPr>
          <w:rFonts w:ascii="Arial" w:cs="Arial" w:eastAsia="Arial" w:hAnsi="Arial"/>
          <w:sz w:val="14"/>
          <w:szCs w:val="14"/>
          <w:u w:val="single" w:color="auto"/>
          <w:color w:val="0000EE"/>
        </w:rPr>
      </w:pPr>
    </w:p>
    <w:p>
      <w:pPr>
        <w:ind w:left="480" w:hanging="420"/>
        <w:spacing w:after="0"/>
        <w:tabs>
          <w:tab w:leader="none" w:pos="480" w:val="left"/>
        </w:tabs>
        <w:numPr>
          <w:ilvl w:val="0"/>
          <w:numId w:val="134"/>
        </w:numPr>
        <w:rPr>
          <w:rFonts w:ascii="Arial" w:cs="Arial" w:eastAsia="Arial" w:hAnsi="Arial"/>
          <w:sz w:val="14"/>
          <w:szCs w:val="14"/>
          <w:u w:val="single" w:color="auto"/>
          <w:color w:val="0000EE"/>
        </w:rPr>
      </w:pPr>
      <w:hyperlink w:anchor="page124">
        <w:r>
          <w:rPr>
            <w:rFonts w:ascii="Arial" w:cs="Arial" w:eastAsia="Arial" w:hAnsi="Arial"/>
            <w:sz w:val="14"/>
            <w:szCs w:val="14"/>
            <w:u w:val="single" w:color="auto"/>
            <w:color w:val="0000EE"/>
          </w:rPr>
          <w:t>Note 10 Investments in securities</w:t>
        </w:r>
      </w:hyperlink>
    </w:p>
    <w:p>
      <w:pPr>
        <w:spacing w:after="0" w:line="1" w:lineRule="exact"/>
        <w:rPr>
          <w:rFonts w:ascii="Arial" w:cs="Arial" w:eastAsia="Arial" w:hAnsi="Arial"/>
          <w:sz w:val="14"/>
          <w:szCs w:val="14"/>
          <w:u w:val="single" w:color="auto"/>
          <w:color w:val="0000EE"/>
        </w:rPr>
      </w:pPr>
    </w:p>
    <w:p>
      <w:pPr>
        <w:ind w:left="480" w:hanging="420"/>
        <w:spacing w:after="0"/>
        <w:tabs>
          <w:tab w:leader="none" w:pos="480" w:val="left"/>
        </w:tabs>
        <w:numPr>
          <w:ilvl w:val="0"/>
          <w:numId w:val="134"/>
        </w:numPr>
        <w:rPr>
          <w:rFonts w:ascii="Arial" w:cs="Arial" w:eastAsia="Arial" w:hAnsi="Arial"/>
          <w:sz w:val="14"/>
          <w:szCs w:val="14"/>
          <w:u w:val="single" w:color="auto"/>
          <w:color w:val="0000EE"/>
        </w:rPr>
      </w:pPr>
      <w:hyperlink w:anchor="page125">
        <w:r>
          <w:rPr>
            <w:rFonts w:ascii="Arial" w:cs="Arial" w:eastAsia="Arial" w:hAnsi="Arial"/>
            <w:sz w:val="14"/>
            <w:szCs w:val="14"/>
            <w:u w:val="single" w:color="auto"/>
            <w:color w:val="0000EE"/>
          </w:rPr>
          <w:t>Note 11 Trade and other receivables</w:t>
        </w:r>
      </w:hyperlink>
    </w:p>
    <w:p>
      <w:pPr>
        <w:spacing w:after="0" w:line="1" w:lineRule="exact"/>
        <w:rPr>
          <w:rFonts w:ascii="Arial" w:cs="Arial" w:eastAsia="Arial" w:hAnsi="Arial"/>
          <w:sz w:val="14"/>
          <w:szCs w:val="14"/>
          <w:u w:val="single" w:color="auto"/>
          <w:color w:val="0000EE"/>
        </w:rPr>
      </w:pPr>
    </w:p>
    <w:p>
      <w:pPr>
        <w:ind w:left="480" w:hanging="420"/>
        <w:spacing w:after="0"/>
        <w:tabs>
          <w:tab w:leader="none" w:pos="480" w:val="left"/>
        </w:tabs>
        <w:numPr>
          <w:ilvl w:val="0"/>
          <w:numId w:val="135"/>
        </w:numPr>
        <w:rPr>
          <w:rFonts w:ascii="Arial" w:cs="Arial" w:eastAsia="Arial" w:hAnsi="Arial"/>
          <w:sz w:val="14"/>
          <w:szCs w:val="14"/>
          <w:u w:val="single" w:color="auto"/>
          <w:color w:val="0000EE"/>
        </w:rPr>
      </w:pPr>
      <w:hyperlink w:anchor="page125">
        <w:r>
          <w:rPr>
            <w:rFonts w:ascii="Arial" w:cs="Arial" w:eastAsia="Arial" w:hAnsi="Arial"/>
            <w:sz w:val="14"/>
            <w:szCs w:val="14"/>
            <w:u w:val="single" w:color="auto"/>
            <w:color w:val="0000EE"/>
          </w:rPr>
          <w:t>Note 12 Inventories</w:t>
        </w:r>
      </w:hyperlink>
    </w:p>
    <w:p>
      <w:pPr>
        <w:spacing w:after="0" w:line="1" w:lineRule="exact"/>
        <w:rPr>
          <w:rFonts w:ascii="Arial" w:cs="Arial" w:eastAsia="Arial" w:hAnsi="Arial"/>
          <w:sz w:val="14"/>
          <w:szCs w:val="14"/>
          <w:u w:val="single" w:color="auto"/>
          <w:color w:val="0000EE"/>
        </w:rPr>
      </w:pPr>
    </w:p>
    <w:p>
      <w:pPr>
        <w:ind w:left="480" w:hanging="420"/>
        <w:spacing w:after="0"/>
        <w:tabs>
          <w:tab w:leader="none" w:pos="480" w:val="left"/>
        </w:tabs>
        <w:numPr>
          <w:ilvl w:val="0"/>
          <w:numId w:val="136"/>
        </w:numPr>
        <w:rPr>
          <w:rFonts w:ascii="Arial" w:cs="Arial" w:eastAsia="Arial" w:hAnsi="Arial"/>
          <w:sz w:val="14"/>
          <w:szCs w:val="14"/>
          <w:u w:val="single" w:color="auto"/>
          <w:color w:val="0000EE"/>
        </w:rPr>
      </w:pPr>
      <w:hyperlink w:anchor="page125">
        <w:r>
          <w:rPr>
            <w:rFonts w:ascii="Arial" w:cs="Arial" w:eastAsia="Arial" w:hAnsi="Arial"/>
            <w:sz w:val="14"/>
            <w:szCs w:val="14"/>
            <w:u w:val="single" w:color="auto"/>
            <w:color w:val="0000EE"/>
          </w:rPr>
          <w:t>Note 13 Cash and cash equivalents</w:t>
        </w:r>
      </w:hyperlink>
    </w:p>
    <w:p>
      <w:pPr>
        <w:spacing w:after="0" w:line="1" w:lineRule="exact"/>
        <w:rPr>
          <w:rFonts w:ascii="Arial" w:cs="Arial" w:eastAsia="Arial" w:hAnsi="Arial"/>
          <w:sz w:val="14"/>
          <w:szCs w:val="14"/>
          <w:u w:val="single" w:color="auto"/>
          <w:color w:val="0000EE"/>
        </w:rPr>
      </w:pPr>
    </w:p>
    <w:p>
      <w:pPr>
        <w:ind w:left="480" w:hanging="420"/>
        <w:spacing w:after="0"/>
        <w:tabs>
          <w:tab w:leader="none" w:pos="480" w:val="left"/>
        </w:tabs>
        <w:numPr>
          <w:ilvl w:val="0"/>
          <w:numId w:val="136"/>
        </w:numPr>
        <w:rPr>
          <w:rFonts w:ascii="Arial" w:cs="Arial" w:eastAsia="Arial" w:hAnsi="Arial"/>
          <w:sz w:val="14"/>
          <w:szCs w:val="14"/>
          <w:u w:val="single" w:color="auto"/>
          <w:color w:val="0000EE"/>
        </w:rPr>
      </w:pPr>
      <w:hyperlink w:anchor="page126">
        <w:r>
          <w:rPr>
            <w:rFonts w:ascii="Arial" w:cs="Arial" w:eastAsia="Arial" w:hAnsi="Arial"/>
            <w:sz w:val="14"/>
            <w:szCs w:val="14"/>
            <w:u w:val="single" w:color="auto"/>
            <w:color w:val="0000EE"/>
          </w:rPr>
          <w:t>Note 14 Debt and lease arrangements</w:t>
        </w:r>
      </w:hyperlink>
    </w:p>
    <w:p>
      <w:pPr>
        <w:spacing w:after="0" w:line="1" w:lineRule="exact"/>
        <w:rPr>
          <w:rFonts w:ascii="Arial" w:cs="Arial" w:eastAsia="Arial" w:hAnsi="Arial"/>
          <w:sz w:val="14"/>
          <w:szCs w:val="14"/>
          <w:u w:val="single" w:color="auto"/>
          <w:color w:val="0000EE"/>
        </w:rPr>
      </w:pPr>
    </w:p>
    <w:p>
      <w:pPr>
        <w:ind w:left="480" w:hanging="420"/>
        <w:spacing w:after="0"/>
        <w:tabs>
          <w:tab w:leader="none" w:pos="480" w:val="left"/>
        </w:tabs>
        <w:numPr>
          <w:ilvl w:val="0"/>
          <w:numId w:val="137"/>
        </w:numPr>
        <w:rPr>
          <w:rFonts w:ascii="Arial" w:cs="Arial" w:eastAsia="Arial" w:hAnsi="Arial"/>
          <w:sz w:val="14"/>
          <w:szCs w:val="14"/>
          <w:u w:val="single" w:color="auto"/>
          <w:color w:val="0000EE"/>
        </w:rPr>
      </w:pPr>
      <w:hyperlink w:anchor="page128">
        <w:r>
          <w:rPr>
            <w:rFonts w:ascii="Arial" w:cs="Arial" w:eastAsia="Arial" w:hAnsi="Arial"/>
            <w:sz w:val="14"/>
            <w:szCs w:val="14"/>
            <w:u w:val="single" w:color="auto"/>
            <w:color w:val="0000EE"/>
          </w:rPr>
          <w:t>Note 15 Trade and other payables</w:t>
        </w:r>
      </w:hyperlink>
    </w:p>
    <w:p>
      <w:pPr>
        <w:spacing w:after="0" w:line="1" w:lineRule="exact"/>
        <w:rPr>
          <w:rFonts w:ascii="Arial" w:cs="Arial" w:eastAsia="Arial" w:hAnsi="Arial"/>
          <w:sz w:val="14"/>
          <w:szCs w:val="14"/>
          <w:u w:val="single" w:color="auto"/>
          <w:color w:val="0000EE"/>
        </w:rPr>
      </w:pPr>
    </w:p>
    <w:p>
      <w:pPr>
        <w:ind w:left="480" w:hanging="420"/>
        <w:spacing w:after="0"/>
        <w:tabs>
          <w:tab w:leader="none" w:pos="480" w:val="left"/>
        </w:tabs>
        <w:numPr>
          <w:ilvl w:val="0"/>
          <w:numId w:val="137"/>
        </w:numPr>
        <w:rPr>
          <w:rFonts w:ascii="Arial" w:cs="Arial" w:eastAsia="Arial" w:hAnsi="Arial"/>
          <w:sz w:val="14"/>
          <w:szCs w:val="14"/>
          <w:u w:val="single" w:color="auto"/>
          <w:color w:val="0000EE"/>
        </w:rPr>
      </w:pPr>
      <w:hyperlink w:anchor="page129">
        <w:r>
          <w:rPr>
            <w:rFonts w:ascii="Arial" w:cs="Arial" w:eastAsia="Arial" w:hAnsi="Arial"/>
            <w:sz w:val="14"/>
            <w:szCs w:val="14"/>
            <w:u w:val="single" w:color="auto"/>
            <w:color w:val="0000EE"/>
          </w:rPr>
          <w:t>Note 16 Taxation</w:t>
        </w:r>
      </w:hyperlink>
    </w:p>
    <w:p>
      <w:pPr>
        <w:spacing w:after="0" w:line="1" w:lineRule="exact"/>
        <w:rPr>
          <w:rFonts w:ascii="Arial" w:cs="Arial" w:eastAsia="Arial" w:hAnsi="Arial"/>
          <w:sz w:val="14"/>
          <w:szCs w:val="14"/>
          <w:u w:val="single" w:color="auto"/>
          <w:color w:val="0000EE"/>
        </w:rPr>
      </w:pPr>
    </w:p>
    <w:p>
      <w:pPr>
        <w:ind w:left="480" w:hanging="420"/>
        <w:spacing w:after="0"/>
        <w:tabs>
          <w:tab w:leader="none" w:pos="480" w:val="left"/>
        </w:tabs>
        <w:numPr>
          <w:ilvl w:val="0"/>
          <w:numId w:val="138"/>
        </w:numPr>
        <w:rPr>
          <w:rFonts w:ascii="Arial" w:cs="Arial" w:eastAsia="Arial" w:hAnsi="Arial"/>
          <w:sz w:val="14"/>
          <w:szCs w:val="14"/>
          <w:u w:val="single" w:color="auto"/>
          <w:color w:val="0000EE"/>
        </w:rPr>
      </w:pPr>
      <w:hyperlink w:anchor="page131">
        <w:r>
          <w:rPr>
            <w:rFonts w:ascii="Arial" w:cs="Arial" w:eastAsia="Arial" w:hAnsi="Arial"/>
            <w:sz w:val="14"/>
            <w:szCs w:val="14"/>
            <w:u w:val="single" w:color="auto"/>
            <w:color w:val="0000EE"/>
          </w:rPr>
          <w:t>Note 17 Retirement benefits</w:t>
        </w:r>
      </w:hyperlink>
    </w:p>
    <w:p>
      <w:pPr>
        <w:spacing w:after="0" w:line="1" w:lineRule="exact"/>
        <w:rPr>
          <w:rFonts w:ascii="Arial" w:cs="Arial" w:eastAsia="Arial" w:hAnsi="Arial"/>
          <w:sz w:val="14"/>
          <w:szCs w:val="14"/>
          <w:u w:val="single" w:color="auto"/>
          <w:color w:val="0000EE"/>
        </w:rPr>
      </w:pPr>
    </w:p>
    <w:p>
      <w:pPr>
        <w:ind w:left="480" w:hanging="420"/>
        <w:spacing w:after="0"/>
        <w:tabs>
          <w:tab w:leader="none" w:pos="480" w:val="left"/>
        </w:tabs>
        <w:numPr>
          <w:ilvl w:val="0"/>
          <w:numId w:val="139"/>
        </w:numPr>
        <w:rPr>
          <w:rFonts w:ascii="Arial" w:cs="Arial" w:eastAsia="Arial" w:hAnsi="Arial"/>
          <w:sz w:val="14"/>
          <w:szCs w:val="14"/>
          <w:u w:val="single" w:color="auto"/>
          <w:color w:val="0000EE"/>
        </w:rPr>
      </w:pPr>
      <w:hyperlink w:anchor="page133">
        <w:r>
          <w:rPr>
            <w:rFonts w:ascii="Arial" w:cs="Arial" w:eastAsia="Arial" w:hAnsi="Arial"/>
            <w:sz w:val="14"/>
            <w:szCs w:val="14"/>
            <w:u w:val="single" w:color="auto"/>
            <w:color w:val="0000EE"/>
          </w:rPr>
          <w:t>Note 18 Decommissioning and other provisions</w:t>
        </w:r>
      </w:hyperlink>
    </w:p>
    <w:p>
      <w:pPr>
        <w:spacing w:after="0" w:line="1" w:lineRule="exact"/>
        <w:rPr>
          <w:rFonts w:ascii="Arial" w:cs="Arial" w:eastAsia="Arial" w:hAnsi="Arial"/>
          <w:sz w:val="14"/>
          <w:szCs w:val="14"/>
          <w:u w:val="single" w:color="auto"/>
          <w:color w:val="0000EE"/>
        </w:rPr>
      </w:pPr>
    </w:p>
    <w:p>
      <w:pPr>
        <w:ind w:left="480" w:hanging="420"/>
        <w:spacing w:after="0"/>
        <w:tabs>
          <w:tab w:leader="none" w:pos="480" w:val="left"/>
        </w:tabs>
        <w:numPr>
          <w:ilvl w:val="0"/>
          <w:numId w:val="140"/>
        </w:numPr>
        <w:rPr>
          <w:rFonts w:ascii="Arial" w:cs="Arial" w:eastAsia="Arial" w:hAnsi="Arial"/>
          <w:sz w:val="14"/>
          <w:szCs w:val="14"/>
          <w:u w:val="single" w:color="auto"/>
          <w:color w:val="0000EE"/>
        </w:rPr>
      </w:pPr>
      <w:hyperlink w:anchor="page133">
        <w:r>
          <w:rPr>
            <w:rFonts w:ascii="Arial" w:cs="Arial" w:eastAsia="Arial" w:hAnsi="Arial"/>
            <w:sz w:val="14"/>
            <w:szCs w:val="14"/>
            <w:u w:val="single" w:color="auto"/>
            <w:color w:val="0000EE"/>
          </w:rPr>
          <w:t>Note 19 Financial instruments and other derivative contracts</w:t>
        </w:r>
      </w:hyperlink>
    </w:p>
    <w:p>
      <w:pPr>
        <w:spacing w:after="0" w:line="1" w:lineRule="exact"/>
        <w:rPr>
          <w:rFonts w:ascii="Arial" w:cs="Arial" w:eastAsia="Arial" w:hAnsi="Arial"/>
          <w:sz w:val="14"/>
          <w:szCs w:val="14"/>
          <w:u w:val="single" w:color="auto"/>
          <w:color w:val="0000EE"/>
        </w:rPr>
      </w:pPr>
    </w:p>
    <w:p>
      <w:pPr>
        <w:ind w:left="480" w:hanging="420"/>
        <w:spacing w:after="0"/>
        <w:tabs>
          <w:tab w:leader="none" w:pos="480" w:val="left"/>
        </w:tabs>
        <w:numPr>
          <w:ilvl w:val="0"/>
          <w:numId w:val="141"/>
        </w:numPr>
        <w:rPr>
          <w:rFonts w:ascii="Arial" w:cs="Arial" w:eastAsia="Arial" w:hAnsi="Arial"/>
          <w:sz w:val="14"/>
          <w:szCs w:val="14"/>
          <w:u w:val="single" w:color="auto"/>
          <w:color w:val="0000EE"/>
        </w:rPr>
      </w:pPr>
      <w:hyperlink w:anchor="page138">
        <w:r>
          <w:rPr>
            <w:rFonts w:ascii="Arial" w:cs="Arial" w:eastAsia="Arial" w:hAnsi="Arial"/>
            <w:sz w:val="14"/>
            <w:szCs w:val="14"/>
            <w:u w:val="single" w:color="auto"/>
            <w:color w:val="0000EE"/>
          </w:rPr>
          <w:t>Note 20 Share capital</w:t>
        </w:r>
      </w:hyperlink>
    </w:p>
    <w:p>
      <w:pPr>
        <w:spacing w:after="0" w:line="1" w:lineRule="exact"/>
        <w:rPr>
          <w:rFonts w:ascii="Arial" w:cs="Arial" w:eastAsia="Arial" w:hAnsi="Arial"/>
          <w:sz w:val="14"/>
          <w:szCs w:val="14"/>
          <w:u w:val="single" w:color="auto"/>
          <w:color w:val="0000EE"/>
        </w:rPr>
      </w:pPr>
    </w:p>
    <w:p>
      <w:pPr>
        <w:ind w:left="480" w:hanging="420"/>
        <w:spacing w:after="0"/>
        <w:tabs>
          <w:tab w:leader="none" w:pos="480" w:val="left"/>
        </w:tabs>
        <w:numPr>
          <w:ilvl w:val="0"/>
          <w:numId w:val="141"/>
        </w:numPr>
        <w:rPr>
          <w:rFonts w:ascii="Arial" w:cs="Arial" w:eastAsia="Arial" w:hAnsi="Arial"/>
          <w:sz w:val="14"/>
          <w:szCs w:val="14"/>
          <w:u w:val="single" w:color="auto"/>
          <w:color w:val="0000EE"/>
        </w:rPr>
      </w:pPr>
      <w:hyperlink w:anchor="page139">
        <w:r>
          <w:rPr>
            <w:rFonts w:ascii="Arial" w:cs="Arial" w:eastAsia="Arial" w:hAnsi="Arial"/>
            <w:sz w:val="14"/>
            <w:szCs w:val="14"/>
            <w:u w:val="single" w:color="auto"/>
            <w:color w:val="0000EE"/>
          </w:rPr>
          <w:t>Note 21 Share-based compensation plans and shares held in trust</w:t>
        </w:r>
      </w:hyperlink>
    </w:p>
    <w:p>
      <w:pPr>
        <w:spacing w:after="0" w:line="1" w:lineRule="exact"/>
        <w:rPr>
          <w:rFonts w:ascii="Arial" w:cs="Arial" w:eastAsia="Arial" w:hAnsi="Arial"/>
          <w:sz w:val="14"/>
          <w:szCs w:val="14"/>
          <w:u w:val="single" w:color="auto"/>
          <w:color w:val="0000EE"/>
        </w:rPr>
      </w:pPr>
    </w:p>
    <w:p>
      <w:pPr>
        <w:ind w:left="480" w:hanging="420"/>
        <w:spacing w:after="0"/>
        <w:tabs>
          <w:tab w:leader="none" w:pos="480" w:val="left"/>
        </w:tabs>
        <w:numPr>
          <w:ilvl w:val="0"/>
          <w:numId w:val="142"/>
        </w:numPr>
        <w:rPr>
          <w:rFonts w:ascii="Arial" w:cs="Arial" w:eastAsia="Arial" w:hAnsi="Arial"/>
          <w:sz w:val="14"/>
          <w:szCs w:val="14"/>
          <w:u w:val="single" w:color="auto"/>
          <w:color w:val="0000EE"/>
        </w:rPr>
      </w:pPr>
      <w:hyperlink w:anchor="page139">
        <w:r>
          <w:rPr>
            <w:rFonts w:ascii="Arial" w:cs="Arial" w:eastAsia="Arial" w:hAnsi="Arial"/>
            <w:sz w:val="14"/>
            <w:szCs w:val="14"/>
            <w:u w:val="single" w:color="auto"/>
            <w:color w:val="0000EE"/>
          </w:rPr>
          <w:t>Note 22 Other reserves</w:t>
        </w:r>
      </w:hyperlink>
    </w:p>
    <w:p>
      <w:pPr>
        <w:spacing w:after="0" w:line="1" w:lineRule="exact"/>
        <w:rPr>
          <w:rFonts w:ascii="Arial" w:cs="Arial" w:eastAsia="Arial" w:hAnsi="Arial"/>
          <w:sz w:val="14"/>
          <w:szCs w:val="14"/>
          <w:u w:val="single" w:color="auto"/>
          <w:color w:val="0000EE"/>
        </w:rPr>
      </w:pPr>
    </w:p>
    <w:p>
      <w:pPr>
        <w:ind w:left="480" w:hanging="420"/>
        <w:spacing w:after="0"/>
        <w:tabs>
          <w:tab w:leader="none" w:pos="480" w:val="left"/>
        </w:tabs>
        <w:numPr>
          <w:ilvl w:val="0"/>
          <w:numId w:val="143"/>
        </w:numPr>
        <w:rPr>
          <w:rFonts w:ascii="Arial" w:cs="Arial" w:eastAsia="Arial" w:hAnsi="Arial"/>
          <w:sz w:val="14"/>
          <w:szCs w:val="14"/>
          <w:u w:val="single" w:color="auto"/>
          <w:color w:val="0000EE"/>
        </w:rPr>
      </w:pPr>
      <w:hyperlink w:anchor="page141">
        <w:r>
          <w:rPr>
            <w:rFonts w:ascii="Arial" w:cs="Arial" w:eastAsia="Arial" w:hAnsi="Arial"/>
            <w:sz w:val="14"/>
            <w:szCs w:val="14"/>
            <w:u w:val="single" w:color="auto"/>
            <w:color w:val="0000EE"/>
          </w:rPr>
          <w:t>Note 23 Dividends</w:t>
        </w:r>
      </w:hyperlink>
    </w:p>
    <w:p>
      <w:pPr>
        <w:spacing w:after="0" w:line="1" w:lineRule="exact"/>
        <w:rPr>
          <w:rFonts w:ascii="Arial" w:cs="Arial" w:eastAsia="Arial" w:hAnsi="Arial"/>
          <w:sz w:val="14"/>
          <w:szCs w:val="14"/>
          <w:u w:val="single" w:color="auto"/>
          <w:color w:val="0000EE"/>
        </w:rPr>
      </w:pPr>
    </w:p>
    <w:p>
      <w:pPr>
        <w:ind w:left="480" w:hanging="420"/>
        <w:spacing w:after="0"/>
        <w:tabs>
          <w:tab w:leader="none" w:pos="480" w:val="left"/>
        </w:tabs>
        <w:numPr>
          <w:ilvl w:val="0"/>
          <w:numId w:val="144"/>
        </w:numPr>
        <w:rPr>
          <w:rFonts w:ascii="Arial" w:cs="Arial" w:eastAsia="Arial" w:hAnsi="Arial"/>
          <w:sz w:val="14"/>
          <w:szCs w:val="14"/>
          <w:u w:val="single" w:color="auto"/>
          <w:color w:val="0000EE"/>
        </w:rPr>
      </w:pPr>
      <w:hyperlink w:anchor="page141">
        <w:r>
          <w:rPr>
            <w:rFonts w:ascii="Arial" w:cs="Arial" w:eastAsia="Arial" w:hAnsi="Arial"/>
            <w:sz w:val="14"/>
            <w:szCs w:val="14"/>
            <w:u w:val="single" w:color="auto"/>
            <w:color w:val="0000EE"/>
          </w:rPr>
          <w:t>Note 24 Earnings per share</w:t>
        </w:r>
      </w:hyperlink>
    </w:p>
    <w:p>
      <w:pPr>
        <w:spacing w:after="0" w:line="1" w:lineRule="exact"/>
        <w:rPr>
          <w:rFonts w:ascii="Arial" w:cs="Arial" w:eastAsia="Arial" w:hAnsi="Arial"/>
          <w:sz w:val="14"/>
          <w:szCs w:val="14"/>
          <w:u w:val="single" w:color="auto"/>
          <w:color w:val="0000EE"/>
        </w:rPr>
      </w:pPr>
    </w:p>
    <w:p>
      <w:pPr>
        <w:ind w:left="480" w:hanging="420"/>
        <w:spacing w:after="0"/>
        <w:tabs>
          <w:tab w:leader="none" w:pos="480" w:val="left"/>
        </w:tabs>
        <w:numPr>
          <w:ilvl w:val="0"/>
          <w:numId w:val="144"/>
        </w:numPr>
        <w:rPr>
          <w:rFonts w:ascii="Arial" w:cs="Arial" w:eastAsia="Arial" w:hAnsi="Arial"/>
          <w:sz w:val="14"/>
          <w:szCs w:val="14"/>
          <w:u w:val="single" w:color="auto"/>
          <w:color w:val="0000EE"/>
        </w:rPr>
      </w:pPr>
      <w:hyperlink w:anchor="page142">
        <w:r>
          <w:rPr>
            <w:rFonts w:ascii="Arial" w:cs="Arial" w:eastAsia="Arial" w:hAnsi="Arial"/>
            <w:sz w:val="14"/>
            <w:szCs w:val="14"/>
            <w:u w:val="single" w:color="auto"/>
            <w:color w:val="0000EE"/>
          </w:rPr>
          <w:t>Note 25 Legal proceedings and other contingencies</w:t>
        </w:r>
      </w:hyperlink>
    </w:p>
    <w:p>
      <w:pPr>
        <w:spacing w:after="0" w:line="1" w:lineRule="exact"/>
        <w:rPr>
          <w:rFonts w:ascii="Arial" w:cs="Arial" w:eastAsia="Arial" w:hAnsi="Arial"/>
          <w:sz w:val="14"/>
          <w:szCs w:val="14"/>
          <w:u w:val="single" w:color="auto"/>
          <w:color w:val="0000EE"/>
        </w:rPr>
      </w:pPr>
    </w:p>
    <w:p>
      <w:pPr>
        <w:ind w:left="480" w:hanging="420"/>
        <w:spacing w:after="0"/>
        <w:tabs>
          <w:tab w:leader="none" w:pos="480" w:val="left"/>
        </w:tabs>
        <w:numPr>
          <w:ilvl w:val="0"/>
          <w:numId w:val="145"/>
        </w:numPr>
        <w:rPr>
          <w:rFonts w:ascii="Arial" w:cs="Arial" w:eastAsia="Arial" w:hAnsi="Arial"/>
          <w:sz w:val="14"/>
          <w:szCs w:val="14"/>
          <w:u w:val="single" w:color="auto"/>
          <w:color w:val="0000EE"/>
        </w:rPr>
      </w:pPr>
      <w:hyperlink w:anchor="page142">
        <w:r>
          <w:rPr>
            <w:rFonts w:ascii="Arial" w:cs="Arial" w:eastAsia="Arial" w:hAnsi="Arial"/>
            <w:sz w:val="14"/>
            <w:szCs w:val="14"/>
            <w:u w:val="single" w:color="auto"/>
            <w:color w:val="0000EE"/>
          </w:rPr>
          <w:t>Note 26 Employees</w:t>
        </w:r>
      </w:hyperlink>
    </w:p>
    <w:p>
      <w:pPr>
        <w:spacing w:after="0" w:line="1" w:lineRule="exact"/>
        <w:rPr>
          <w:rFonts w:ascii="Arial" w:cs="Arial" w:eastAsia="Arial" w:hAnsi="Arial"/>
          <w:sz w:val="14"/>
          <w:szCs w:val="14"/>
          <w:u w:val="single" w:color="auto"/>
          <w:color w:val="0000EE"/>
        </w:rPr>
      </w:pPr>
    </w:p>
    <w:p>
      <w:pPr>
        <w:ind w:left="480" w:hanging="420"/>
        <w:spacing w:after="0"/>
        <w:tabs>
          <w:tab w:leader="none" w:pos="480" w:val="left"/>
        </w:tabs>
        <w:numPr>
          <w:ilvl w:val="0"/>
          <w:numId w:val="146"/>
        </w:numPr>
        <w:rPr>
          <w:rFonts w:ascii="Arial" w:cs="Arial" w:eastAsia="Arial" w:hAnsi="Arial"/>
          <w:sz w:val="14"/>
          <w:szCs w:val="14"/>
          <w:u w:val="single" w:color="auto"/>
          <w:color w:val="0000EE"/>
        </w:rPr>
      </w:pPr>
      <w:hyperlink w:anchor="page142">
        <w:r>
          <w:rPr>
            <w:rFonts w:ascii="Arial" w:cs="Arial" w:eastAsia="Arial" w:hAnsi="Arial"/>
            <w:sz w:val="14"/>
            <w:szCs w:val="14"/>
            <w:u w:val="single" w:color="auto"/>
            <w:color w:val="0000EE"/>
          </w:rPr>
          <w:t>Note 27 Directors and Senior Management</w:t>
        </w:r>
      </w:hyperlink>
    </w:p>
    <w:p>
      <w:pPr>
        <w:spacing w:after="0" w:line="1" w:lineRule="exact"/>
        <w:rPr>
          <w:rFonts w:ascii="Arial" w:cs="Arial" w:eastAsia="Arial" w:hAnsi="Arial"/>
          <w:sz w:val="14"/>
          <w:szCs w:val="14"/>
          <w:u w:val="single" w:color="auto"/>
          <w:color w:val="0000EE"/>
        </w:rPr>
      </w:pPr>
    </w:p>
    <w:p>
      <w:pPr>
        <w:ind w:left="480" w:hanging="420"/>
        <w:spacing w:after="0"/>
        <w:tabs>
          <w:tab w:leader="none" w:pos="480" w:val="left"/>
        </w:tabs>
        <w:numPr>
          <w:ilvl w:val="0"/>
          <w:numId w:val="146"/>
        </w:numPr>
        <w:rPr>
          <w:rFonts w:ascii="Arial" w:cs="Arial" w:eastAsia="Arial" w:hAnsi="Arial"/>
          <w:sz w:val="14"/>
          <w:szCs w:val="14"/>
          <w:u w:val="single" w:color="auto"/>
          <w:color w:val="0000EE"/>
        </w:rPr>
      </w:pPr>
      <w:hyperlink w:anchor="page143">
        <w:r>
          <w:rPr>
            <w:rFonts w:ascii="Arial" w:cs="Arial" w:eastAsia="Arial" w:hAnsi="Arial"/>
            <w:sz w:val="14"/>
            <w:szCs w:val="14"/>
            <w:u w:val="single" w:color="auto"/>
            <w:color w:val="0000EE"/>
          </w:rPr>
          <w:t>Note 28 Auditor’s remuneration</w:t>
        </w:r>
      </w:hyperlink>
    </w:p>
    <w:p>
      <w:pPr>
        <w:spacing w:after="0" w:line="1" w:lineRule="exact"/>
        <w:rPr>
          <w:rFonts w:ascii="Arial" w:cs="Arial" w:eastAsia="Arial" w:hAnsi="Arial"/>
          <w:sz w:val="14"/>
          <w:szCs w:val="14"/>
          <w:u w:val="single" w:color="auto"/>
          <w:color w:val="0000EE"/>
        </w:rPr>
      </w:pPr>
    </w:p>
    <w:p>
      <w:pPr>
        <w:ind w:left="480" w:hanging="420"/>
        <w:spacing w:after="0"/>
        <w:tabs>
          <w:tab w:leader="none" w:pos="480" w:val="left"/>
        </w:tabs>
        <w:numPr>
          <w:ilvl w:val="0"/>
          <w:numId w:val="147"/>
        </w:numPr>
        <w:rPr>
          <w:rFonts w:ascii="Arial" w:cs="Arial" w:eastAsia="Arial" w:hAnsi="Arial"/>
          <w:sz w:val="14"/>
          <w:szCs w:val="14"/>
          <w:u w:val="single" w:color="auto"/>
          <w:color w:val="0000EE"/>
        </w:rPr>
      </w:pPr>
      <w:hyperlink w:anchor="page143">
        <w:r>
          <w:rPr>
            <w:rFonts w:ascii="Arial" w:cs="Arial" w:eastAsia="Arial" w:hAnsi="Arial"/>
            <w:sz w:val="14"/>
            <w:szCs w:val="14"/>
            <w:u w:val="single" w:color="auto"/>
            <w:color w:val="0000EE"/>
          </w:rPr>
          <w:t>Note 29 Acquisition of Repsol LNG businesses outside North America</w:t>
        </w:r>
      </w:hyperlink>
    </w:p>
    <w:p>
      <w:pPr>
        <w:sectPr>
          <w:pgSz w:w="11900" w:h="16838" w:orient="portrait"/>
          <w:cols w:equalWidth="0" w:num="1">
            <w:col w:w="11420"/>
          </w:cols>
          <w:pgMar w:left="240" w:top="459" w:right="239" w:bottom="1440" w:gutter="0" w:footer="0" w:header="0"/>
        </w:sectPr>
      </w:pPr>
    </w:p>
    <w:bookmarkStart w:id="108" w:name="page109"/>
    <w:bookmarkEnd w:id="1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6428105</wp:posOffset>
            </wp:positionH>
            <wp:positionV relativeFrom="paragraph">
              <wp:posOffset>300355</wp:posOffset>
            </wp:positionV>
            <wp:extent cx="8890" cy="46291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8890" cy="462915"/>
                    </a:xfrm>
                    <a:prstGeom prst="rect">
                      <a:avLst/>
                    </a:prstGeom>
                    <a:noFill/>
                  </pic:spPr>
                </pic:pic>
              </a:graphicData>
            </a:graphic>
          </wp:anchor>
        </w:drawing>
      </w:r>
    </w:p>
    <w:p>
      <w:pPr>
        <w:spacing w:after="0" w:line="200" w:lineRule="exact"/>
        <w:rPr>
          <w:sz w:val="20"/>
          <w:szCs w:val="20"/>
          <w:color w:val="auto"/>
        </w:rPr>
      </w:pP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565"/>
        </w:trPr>
        <w:tc>
          <w:tcPr>
            <w:tcW w:w="5600" w:type="dxa"/>
            <w:vAlign w:val="bottom"/>
          </w:tcPr>
          <w:p>
            <w:pPr>
              <w:spacing w:after="0"/>
              <w:rPr>
                <w:sz w:val="24"/>
                <w:szCs w:val="24"/>
                <w:color w:val="auto"/>
              </w:rPr>
            </w:pPr>
          </w:p>
        </w:tc>
        <w:tc>
          <w:tcPr>
            <w:tcW w:w="3840" w:type="dxa"/>
            <w:vAlign w:val="bottom"/>
            <w:gridSpan w:val="3"/>
            <w:shd w:val="clear" w:color="auto" w:fill="FF8B00"/>
          </w:tcPr>
          <w:p>
            <w:pPr>
              <w:ind w:left="880"/>
              <w:spacing w:after="0"/>
              <w:rPr>
                <w:sz w:val="20"/>
                <w:szCs w:val="20"/>
                <w:color w:val="auto"/>
              </w:rPr>
            </w:pPr>
            <w:r>
              <w:rPr>
                <w:rFonts w:ascii="Arial" w:cs="Arial" w:eastAsia="Arial" w:hAnsi="Arial"/>
                <w:sz w:val="13"/>
                <w:szCs w:val="13"/>
                <w:color w:val="333333"/>
              </w:rPr>
              <w:t>FINANCIAL STATEMENTS AND SUPPLEMENTS</w:t>
            </w:r>
          </w:p>
        </w:tc>
        <w:tc>
          <w:tcPr>
            <w:tcW w:w="880" w:type="dxa"/>
            <w:vAlign w:val="bottom"/>
            <w:shd w:val="clear" w:color="auto" w:fill="FF8B00"/>
          </w:tcPr>
          <w:p>
            <w:pPr>
              <w:spacing w:after="0"/>
              <w:rPr>
                <w:sz w:val="24"/>
                <w:szCs w:val="24"/>
                <w:color w:val="auto"/>
              </w:rPr>
            </w:pPr>
          </w:p>
        </w:tc>
        <w:tc>
          <w:tcPr>
            <w:tcW w:w="1100" w:type="dxa"/>
            <w:vAlign w:val="bottom"/>
            <w:shd w:val="clear" w:color="auto" w:fill="FF8B00"/>
          </w:tcPr>
          <w:p>
            <w:pPr>
              <w:jc w:val="right"/>
              <w:ind w:right="349"/>
              <w:spacing w:after="0"/>
              <w:rPr>
                <w:sz w:val="20"/>
                <w:szCs w:val="20"/>
                <w:color w:val="auto"/>
              </w:rPr>
            </w:pPr>
            <w:r>
              <w:rPr>
                <w:rFonts w:ascii="Arial" w:cs="Arial" w:eastAsia="Arial" w:hAnsi="Arial"/>
                <w:sz w:val="11"/>
                <w:szCs w:val="11"/>
                <w:b w:val="1"/>
                <w:bCs w:val="1"/>
                <w:color w:val="333333"/>
              </w:rPr>
              <w:t>107</w:t>
            </w:r>
          </w:p>
        </w:tc>
        <w:tc>
          <w:tcPr>
            <w:tcW w:w="0" w:type="dxa"/>
            <w:vAlign w:val="bottom"/>
          </w:tcPr>
          <w:p>
            <w:pPr>
              <w:spacing w:after="0"/>
              <w:rPr>
                <w:sz w:val="1"/>
                <w:szCs w:val="1"/>
                <w:color w:val="auto"/>
              </w:rPr>
            </w:pPr>
          </w:p>
        </w:tc>
      </w:tr>
      <w:tr>
        <w:trPr>
          <w:trHeight w:val="165"/>
        </w:trPr>
        <w:tc>
          <w:tcPr>
            <w:tcW w:w="5600" w:type="dxa"/>
            <w:vAlign w:val="bottom"/>
            <w:vMerge w:val="restart"/>
          </w:tcPr>
          <w:p>
            <w:pPr>
              <w:spacing w:after="0"/>
              <w:rPr>
                <w:sz w:val="20"/>
                <w:szCs w:val="20"/>
                <w:color w:val="auto"/>
              </w:rPr>
            </w:pPr>
            <w:r>
              <w:rPr>
                <w:rFonts w:ascii="Arial" w:cs="Arial" w:eastAsia="Arial" w:hAnsi="Arial"/>
                <w:sz w:val="11"/>
                <w:szCs w:val="11"/>
                <w:color w:val="auto"/>
              </w:rPr>
              <w:t>SHELL ANNUAL REPORT AND FORM 20-F 2014</w:t>
            </w:r>
          </w:p>
        </w:tc>
        <w:tc>
          <w:tcPr>
            <w:tcW w:w="2160" w:type="dxa"/>
            <w:vAlign w:val="bottom"/>
            <w:tcBorders>
              <w:right w:val="single" w:sz="8" w:color="FF8B00"/>
            </w:tcBorders>
            <w:shd w:val="clear" w:color="auto" w:fill="FF8B00"/>
          </w:tcPr>
          <w:p>
            <w:pPr>
              <w:spacing w:after="0"/>
              <w:rPr>
                <w:sz w:val="14"/>
                <w:szCs w:val="14"/>
                <w:color w:val="auto"/>
              </w:rPr>
            </w:pPr>
          </w:p>
        </w:tc>
        <w:tc>
          <w:tcPr>
            <w:tcW w:w="1140" w:type="dxa"/>
            <w:vAlign w:val="bottom"/>
            <w:shd w:val="clear" w:color="auto" w:fill="FF8B00"/>
          </w:tcPr>
          <w:p>
            <w:pPr>
              <w:spacing w:after="0"/>
              <w:rPr>
                <w:sz w:val="14"/>
                <w:szCs w:val="14"/>
                <w:color w:val="auto"/>
              </w:rPr>
            </w:pPr>
          </w:p>
        </w:tc>
        <w:tc>
          <w:tcPr>
            <w:tcW w:w="540" w:type="dxa"/>
            <w:vAlign w:val="bottom"/>
            <w:tcBorders>
              <w:left w:val="single" w:sz="8" w:color="FF8B00"/>
            </w:tcBorders>
            <w:shd w:val="clear" w:color="auto" w:fill="FF8B00"/>
          </w:tcPr>
          <w:p>
            <w:pPr>
              <w:spacing w:after="0"/>
              <w:rPr>
                <w:sz w:val="14"/>
                <w:szCs w:val="14"/>
                <w:color w:val="auto"/>
              </w:rPr>
            </w:pPr>
          </w:p>
        </w:tc>
        <w:tc>
          <w:tcPr>
            <w:tcW w:w="880" w:type="dxa"/>
            <w:vAlign w:val="bottom"/>
            <w:shd w:val="clear" w:color="auto" w:fill="FF8B00"/>
          </w:tcPr>
          <w:p>
            <w:pPr>
              <w:spacing w:after="0"/>
              <w:rPr>
                <w:sz w:val="14"/>
                <w:szCs w:val="14"/>
                <w:color w:val="auto"/>
              </w:rPr>
            </w:pPr>
          </w:p>
        </w:tc>
        <w:tc>
          <w:tcPr>
            <w:tcW w:w="1100" w:type="dxa"/>
            <w:vAlign w:val="bottom"/>
            <w:shd w:val="clear" w:color="auto" w:fill="FF8B00"/>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5600" w:type="dxa"/>
            <w:vAlign w:val="bottom"/>
            <w:vMerge w:val="continue"/>
          </w:tcPr>
          <w:p>
            <w:pPr>
              <w:spacing w:after="0"/>
              <w:rPr>
                <w:sz w:val="11"/>
                <w:szCs w:val="11"/>
                <w:color w:val="auto"/>
              </w:rPr>
            </w:pPr>
          </w:p>
        </w:tc>
        <w:tc>
          <w:tcPr>
            <w:tcW w:w="3840" w:type="dxa"/>
            <w:vAlign w:val="bottom"/>
            <w:gridSpan w:val="3"/>
          </w:tcPr>
          <w:p>
            <w:pPr>
              <w:ind w:left="880"/>
              <w:spacing w:after="0"/>
              <w:rPr>
                <w:sz w:val="20"/>
                <w:szCs w:val="20"/>
                <w:color w:val="auto"/>
              </w:rPr>
            </w:pPr>
            <w:r>
              <w:rPr>
                <w:rFonts w:ascii="Arial" w:cs="Arial" w:eastAsia="Arial" w:hAnsi="Arial"/>
                <w:sz w:val="11"/>
                <w:szCs w:val="11"/>
                <w:color w:val="auto"/>
              </w:rPr>
              <w:t>CONSOLIDATED FINANCIAL STATEMENTS</w:t>
            </w:r>
          </w:p>
        </w:tc>
        <w:tc>
          <w:tcPr>
            <w:tcW w:w="8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5600" w:type="dxa"/>
            <w:vAlign w:val="bottom"/>
          </w:tcPr>
          <w:p>
            <w:pPr>
              <w:spacing w:after="0"/>
              <w:rPr>
                <w:sz w:val="13"/>
                <w:szCs w:val="13"/>
                <w:color w:val="auto"/>
              </w:rPr>
            </w:pPr>
          </w:p>
        </w:tc>
        <w:tc>
          <w:tcPr>
            <w:tcW w:w="21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5600" w:type="dxa"/>
            <w:vAlign w:val="bottom"/>
            <w:shd w:val="clear" w:color="auto" w:fill="333333"/>
          </w:tcPr>
          <w:p>
            <w:pPr>
              <w:ind w:left="80"/>
              <w:spacing w:after="0" w:line="162" w:lineRule="exact"/>
              <w:rPr>
                <w:sz w:val="20"/>
                <w:szCs w:val="20"/>
                <w:color w:val="auto"/>
              </w:rPr>
            </w:pPr>
            <w:r>
              <w:rPr>
                <w:rFonts w:ascii="Arial" w:cs="Arial" w:eastAsia="Arial" w:hAnsi="Arial"/>
                <w:sz w:val="15"/>
                <w:szCs w:val="15"/>
                <w:b w:val="1"/>
                <w:bCs w:val="1"/>
                <w:color w:val="FFFFFF"/>
              </w:rPr>
              <w:t>CONSOLIDATED STATEMENT OF INCOME</w:t>
            </w:r>
          </w:p>
        </w:tc>
        <w:tc>
          <w:tcPr>
            <w:tcW w:w="2160" w:type="dxa"/>
            <w:vAlign w:val="bottom"/>
            <w:tcBorders>
              <w:right w:val="single" w:sz="8" w:color="333333"/>
            </w:tcBorders>
            <w:shd w:val="clear" w:color="auto" w:fill="333333"/>
          </w:tcPr>
          <w:p>
            <w:pPr>
              <w:spacing w:after="0"/>
              <w:rPr>
                <w:sz w:val="14"/>
                <w:szCs w:val="14"/>
                <w:color w:val="auto"/>
              </w:rPr>
            </w:pPr>
          </w:p>
        </w:tc>
        <w:tc>
          <w:tcPr>
            <w:tcW w:w="1140" w:type="dxa"/>
            <w:vAlign w:val="bottom"/>
            <w:shd w:val="clear" w:color="auto" w:fill="333333"/>
          </w:tcPr>
          <w:p>
            <w:pPr>
              <w:spacing w:after="0"/>
              <w:rPr>
                <w:sz w:val="14"/>
                <w:szCs w:val="14"/>
                <w:color w:val="auto"/>
              </w:rPr>
            </w:pPr>
          </w:p>
        </w:tc>
        <w:tc>
          <w:tcPr>
            <w:tcW w:w="540" w:type="dxa"/>
            <w:vAlign w:val="bottom"/>
            <w:tcBorders>
              <w:left w:val="single" w:sz="8" w:color="333333"/>
            </w:tcBorders>
            <w:shd w:val="clear" w:color="auto" w:fill="333333"/>
          </w:tcPr>
          <w:p>
            <w:pPr>
              <w:spacing w:after="0"/>
              <w:rPr>
                <w:sz w:val="14"/>
                <w:szCs w:val="14"/>
                <w:color w:val="auto"/>
              </w:rPr>
            </w:pPr>
          </w:p>
        </w:tc>
        <w:tc>
          <w:tcPr>
            <w:tcW w:w="880" w:type="dxa"/>
            <w:vAlign w:val="bottom"/>
            <w:shd w:val="clear" w:color="auto" w:fill="333333"/>
          </w:tcPr>
          <w:p>
            <w:pPr>
              <w:spacing w:after="0"/>
              <w:rPr>
                <w:sz w:val="14"/>
                <w:szCs w:val="14"/>
                <w:color w:val="auto"/>
              </w:rPr>
            </w:pPr>
          </w:p>
        </w:tc>
        <w:tc>
          <w:tcPr>
            <w:tcW w:w="1100" w:type="dxa"/>
            <w:vAlign w:val="bottom"/>
            <w:shd w:val="clear" w:color="auto" w:fill="333333"/>
          </w:tcPr>
          <w:p>
            <w:pPr>
              <w:jc w:val="right"/>
              <w:ind w:right="29"/>
              <w:spacing w:after="0" w:line="162" w:lineRule="exact"/>
              <w:rPr>
                <w:sz w:val="20"/>
                <w:szCs w:val="20"/>
                <w:color w:val="auto"/>
              </w:rPr>
            </w:pPr>
            <w:r>
              <w:rPr>
                <w:rFonts w:ascii="Arial" w:cs="Arial" w:eastAsia="Arial" w:hAnsi="Arial"/>
                <w:sz w:val="15"/>
                <w:szCs w:val="15"/>
                <w:color w:val="FFFFFF"/>
              </w:rPr>
              <w:t>$ MILLION</w:t>
            </w:r>
          </w:p>
        </w:tc>
        <w:tc>
          <w:tcPr>
            <w:tcW w:w="0" w:type="dxa"/>
            <w:vAlign w:val="bottom"/>
          </w:tcPr>
          <w:p>
            <w:pPr>
              <w:spacing w:after="0"/>
              <w:rPr>
                <w:sz w:val="1"/>
                <w:szCs w:val="1"/>
                <w:color w:val="auto"/>
              </w:rPr>
            </w:pPr>
          </w:p>
        </w:tc>
      </w:tr>
      <w:tr>
        <w:trPr>
          <w:trHeight w:val="149"/>
        </w:trPr>
        <w:tc>
          <w:tcPr>
            <w:tcW w:w="5600" w:type="dxa"/>
            <w:vAlign w:val="bottom"/>
            <w:tcBorders>
              <w:bottom w:val="single" w:sz="8" w:color="auto"/>
            </w:tcBorders>
          </w:tcPr>
          <w:p>
            <w:pPr>
              <w:spacing w:after="0"/>
              <w:rPr>
                <w:sz w:val="12"/>
                <w:szCs w:val="12"/>
                <w:color w:val="auto"/>
              </w:rPr>
            </w:pPr>
          </w:p>
        </w:tc>
        <w:tc>
          <w:tcPr>
            <w:tcW w:w="2160" w:type="dxa"/>
            <w:vAlign w:val="bottom"/>
            <w:tcBorders>
              <w:bottom w:val="single" w:sz="8" w:color="auto"/>
              <w:right w:val="single" w:sz="8" w:color="D8D8D8"/>
            </w:tcBorders>
          </w:tcPr>
          <w:p>
            <w:pPr>
              <w:jc w:val="right"/>
              <w:ind w:right="311"/>
              <w:spacing w:after="0"/>
              <w:rPr>
                <w:sz w:val="20"/>
                <w:szCs w:val="20"/>
                <w:color w:val="auto"/>
              </w:rPr>
            </w:pPr>
            <w:r>
              <w:rPr>
                <w:rFonts w:ascii="Arial" w:cs="Arial" w:eastAsia="Arial" w:hAnsi="Arial"/>
                <w:sz w:val="13"/>
                <w:szCs w:val="13"/>
                <w:color w:val="auto"/>
              </w:rPr>
              <w:t>NOTES</w:t>
            </w:r>
          </w:p>
        </w:tc>
        <w:tc>
          <w:tcPr>
            <w:tcW w:w="1140" w:type="dxa"/>
            <w:vAlign w:val="bottom"/>
            <w:tcBorders>
              <w:bottom w:val="single" w:sz="8" w:color="auto"/>
            </w:tcBorders>
            <w:shd w:val="clear" w:color="auto" w:fill="D8D8D8"/>
          </w:tcPr>
          <w:p>
            <w:pPr>
              <w:jc w:val="right"/>
              <w:ind w:right="249"/>
              <w:spacing w:after="0"/>
              <w:rPr>
                <w:sz w:val="20"/>
                <w:szCs w:val="20"/>
                <w:color w:val="auto"/>
              </w:rPr>
            </w:pPr>
            <w:r>
              <w:rPr>
                <w:rFonts w:ascii="Arial" w:cs="Arial" w:eastAsia="Arial" w:hAnsi="Arial"/>
                <w:sz w:val="13"/>
                <w:szCs w:val="13"/>
                <w:color w:val="auto"/>
              </w:rPr>
              <w:t>2014</w:t>
            </w:r>
          </w:p>
        </w:tc>
        <w:tc>
          <w:tcPr>
            <w:tcW w:w="54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129"/>
              <w:spacing w:after="0"/>
              <w:rPr>
                <w:sz w:val="20"/>
                <w:szCs w:val="20"/>
                <w:color w:val="auto"/>
              </w:rPr>
            </w:pPr>
            <w:r>
              <w:rPr>
                <w:rFonts w:ascii="Arial" w:cs="Arial" w:eastAsia="Arial" w:hAnsi="Arial"/>
                <w:sz w:val="13"/>
                <w:szCs w:val="13"/>
                <w:color w:val="auto"/>
              </w:rPr>
              <w:t>2013</w:t>
            </w:r>
          </w:p>
        </w:tc>
        <w:tc>
          <w:tcPr>
            <w:tcW w:w="1100" w:type="dxa"/>
            <w:vAlign w:val="bottom"/>
            <w:tcBorders>
              <w:bottom w:val="single" w:sz="8" w:color="auto"/>
            </w:tcBorders>
          </w:tcPr>
          <w:p>
            <w:pPr>
              <w:jc w:val="right"/>
              <w:ind w:right="269"/>
              <w:spacing w:after="0"/>
              <w:rPr>
                <w:sz w:val="20"/>
                <w:szCs w:val="20"/>
                <w:color w:val="auto"/>
              </w:rPr>
            </w:pPr>
            <w:r>
              <w:rPr>
                <w:rFonts w:ascii="Arial" w:cs="Arial" w:eastAsia="Arial" w:hAnsi="Arial"/>
                <w:sz w:val="13"/>
                <w:szCs w:val="13"/>
                <w:color w:val="auto"/>
              </w:rPr>
              <w:t>2012</w:t>
            </w:r>
          </w:p>
        </w:tc>
        <w:tc>
          <w:tcPr>
            <w:tcW w:w="0" w:type="dxa"/>
            <w:vAlign w:val="bottom"/>
          </w:tcPr>
          <w:p>
            <w:pPr>
              <w:spacing w:after="0"/>
              <w:rPr>
                <w:sz w:val="1"/>
                <w:szCs w:val="1"/>
                <w:color w:val="auto"/>
              </w:rPr>
            </w:pPr>
          </w:p>
        </w:tc>
      </w:tr>
      <w:tr>
        <w:trPr>
          <w:trHeight w:val="156"/>
        </w:trPr>
        <w:tc>
          <w:tcPr>
            <w:tcW w:w="5600" w:type="dxa"/>
            <w:vAlign w:val="bottom"/>
          </w:tcPr>
          <w:p>
            <w:pPr>
              <w:spacing w:after="0" w:line="155" w:lineRule="exact"/>
              <w:rPr>
                <w:sz w:val="20"/>
                <w:szCs w:val="20"/>
                <w:color w:val="auto"/>
              </w:rPr>
            </w:pPr>
            <w:r>
              <w:rPr>
                <w:rFonts w:ascii="Arial" w:cs="Arial" w:eastAsia="Arial" w:hAnsi="Arial"/>
                <w:sz w:val="14"/>
                <w:szCs w:val="14"/>
                <w:color w:val="auto"/>
              </w:rPr>
              <w:t>Revenue</w:t>
            </w:r>
          </w:p>
        </w:tc>
        <w:tc>
          <w:tcPr>
            <w:tcW w:w="2160" w:type="dxa"/>
            <w:vAlign w:val="bottom"/>
            <w:tcBorders>
              <w:right w:val="single" w:sz="8" w:color="D8D8D8"/>
            </w:tcBorders>
          </w:tcPr>
          <w:p>
            <w:pPr>
              <w:spacing w:after="0"/>
              <w:rPr>
                <w:sz w:val="13"/>
                <w:szCs w:val="13"/>
                <w:color w:val="auto"/>
              </w:rPr>
            </w:pPr>
          </w:p>
        </w:tc>
        <w:tc>
          <w:tcPr>
            <w:tcW w:w="1140" w:type="dxa"/>
            <w:vAlign w:val="bottom"/>
            <w:shd w:val="clear" w:color="auto" w:fill="D8D8D8"/>
          </w:tcPr>
          <w:p>
            <w:pPr>
              <w:jc w:val="right"/>
              <w:ind w:right="249"/>
              <w:spacing w:after="0" w:line="155" w:lineRule="exact"/>
              <w:rPr>
                <w:sz w:val="20"/>
                <w:szCs w:val="20"/>
                <w:color w:val="auto"/>
              </w:rPr>
            </w:pPr>
            <w:r>
              <w:rPr>
                <w:rFonts w:ascii="Arial" w:cs="Arial" w:eastAsia="Arial" w:hAnsi="Arial"/>
                <w:sz w:val="14"/>
                <w:szCs w:val="14"/>
                <w:color w:val="auto"/>
              </w:rPr>
              <w:t>421,105</w:t>
            </w:r>
          </w:p>
        </w:tc>
        <w:tc>
          <w:tcPr>
            <w:tcW w:w="540" w:type="dxa"/>
            <w:vAlign w:val="bottom"/>
          </w:tcPr>
          <w:p>
            <w:pPr>
              <w:spacing w:after="0"/>
              <w:rPr>
                <w:sz w:val="13"/>
                <w:szCs w:val="13"/>
                <w:color w:val="auto"/>
              </w:rPr>
            </w:pPr>
          </w:p>
        </w:tc>
        <w:tc>
          <w:tcPr>
            <w:tcW w:w="880" w:type="dxa"/>
            <w:vAlign w:val="bottom"/>
          </w:tcPr>
          <w:p>
            <w:pPr>
              <w:jc w:val="right"/>
              <w:ind w:right="129"/>
              <w:spacing w:after="0" w:line="155" w:lineRule="exact"/>
              <w:rPr>
                <w:sz w:val="20"/>
                <w:szCs w:val="20"/>
                <w:color w:val="auto"/>
              </w:rPr>
            </w:pPr>
            <w:r>
              <w:rPr>
                <w:rFonts w:ascii="Arial" w:cs="Arial" w:eastAsia="Arial" w:hAnsi="Arial"/>
                <w:sz w:val="14"/>
                <w:szCs w:val="14"/>
                <w:color w:val="auto"/>
              </w:rPr>
              <w:t>451,235</w:t>
            </w:r>
          </w:p>
        </w:tc>
        <w:tc>
          <w:tcPr>
            <w:tcW w:w="1100" w:type="dxa"/>
            <w:vAlign w:val="bottom"/>
          </w:tcPr>
          <w:p>
            <w:pPr>
              <w:jc w:val="right"/>
              <w:ind w:right="269"/>
              <w:spacing w:after="0" w:line="155" w:lineRule="exact"/>
              <w:rPr>
                <w:sz w:val="20"/>
                <w:szCs w:val="20"/>
                <w:color w:val="auto"/>
              </w:rPr>
            </w:pPr>
            <w:r>
              <w:rPr>
                <w:rFonts w:ascii="Arial" w:cs="Arial" w:eastAsia="Arial" w:hAnsi="Arial"/>
                <w:sz w:val="14"/>
                <w:szCs w:val="14"/>
                <w:color w:val="auto"/>
              </w:rPr>
              <w:t>467,153</w:t>
            </w:r>
          </w:p>
        </w:tc>
        <w:tc>
          <w:tcPr>
            <w:tcW w:w="0" w:type="dxa"/>
            <w:vAlign w:val="bottom"/>
          </w:tcPr>
          <w:p>
            <w:pPr>
              <w:spacing w:after="0"/>
              <w:rPr>
                <w:sz w:val="1"/>
                <w:szCs w:val="1"/>
                <w:color w:val="auto"/>
              </w:rPr>
            </w:pPr>
          </w:p>
        </w:tc>
      </w:tr>
      <w:tr>
        <w:trPr>
          <w:trHeight w:val="162"/>
        </w:trPr>
        <w:tc>
          <w:tcPr>
            <w:tcW w:w="5600" w:type="dxa"/>
            <w:vAlign w:val="bottom"/>
          </w:tcPr>
          <w:p>
            <w:pPr>
              <w:spacing w:after="0"/>
              <w:rPr>
                <w:sz w:val="20"/>
                <w:szCs w:val="20"/>
                <w:color w:val="auto"/>
              </w:rPr>
            </w:pPr>
            <w:r>
              <w:rPr>
                <w:rFonts w:ascii="Arial" w:cs="Arial" w:eastAsia="Arial" w:hAnsi="Arial"/>
                <w:sz w:val="14"/>
                <w:szCs w:val="14"/>
                <w:color w:val="auto"/>
              </w:rPr>
              <w:t>Share of profit of joint ventures and associates</w:t>
            </w:r>
          </w:p>
        </w:tc>
        <w:tc>
          <w:tcPr>
            <w:tcW w:w="2160" w:type="dxa"/>
            <w:vAlign w:val="bottom"/>
            <w:tcBorders>
              <w:right w:val="single" w:sz="8" w:color="D8D8D8"/>
            </w:tcBorders>
          </w:tcPr>
          <w:p>
            <w:pPr>
              <w:jc w:val="right"/>
              <w:ind w:right="311"/>
              <w:spacing w:after="0"/>
              <w:rPr>
                <w:sz w:val="20"/>
                <w:szCs w:val="20"/>
                <w:color w:val="auto"/>
              </w:rPr>
            </w:pPr>
            <w:r>
              <w:rPr>
                <w:rFonts w:ascii="Arial" w:cs="Arial" w:eastAsia="Arial" w:hAnsi="Arial"/>
                <w:sz w:val="14"/>
                <w:szCs w:val="14"/>
                <w:color w:val="auto"/>
              </w:rPr>
              <w:t>9</w:t>
            </w:r>
          </w:p>
        </w:tc>
        <w:tc>
          <w:tcPr>
            <w:tcW w:w="1140" w:type="dxa"/>
            <w:vAlign w:val="bottom"/>
            <w:shd w:val="clear" w:color="auto" w:fill="D8D8D8"/>
          </w:tcPr>
          <w:p>
            <w:pPr>
              <w:jc w:val="right"/>
              <w:ind w:right="249"/>
              <w:spacing w:after="0"/>
              <w:rPr>
                <w:sz w:val="20"/>
                <w:szCs w:val="20"/>
                <w:color w:val="auto"/>
              </w:rPr>
            </w:pPr>
            <w:r>
              <w:rPr>
                <w:rFonts w:ascii="Arial" w:cs="Arial" w:eastAsia="Arial" w:hAnsi="Arial"/>
                <w:sz w:val="14"/>
                <w:szCs w:val="14"/>
                <w:color w:val="auto"/>
              </w:rPr>
              <w:t>6,116</w:t>
            </w:r>
          </w:p>
        </w:tc>
        <w:tc>
          <w:tcPr>
            <w:tcW w:w="540" w:type="dxa"/>
            <w:vAlign w:val="bottom"/>
          </w:tcPr>
          <w:p>
            <w:pPr>
              <w:spacing w:after="0"/>
              <w:rPr>
                <w:sz w:val="14"/>
                <w:szCs w:val="14"/>
                <w:color w:val="auto"/>
              </w:rPr>
            </w:pPr>
          </w:p>
        </w:tc>
        <w:tc>
          <w:tcPr>
            <w:tcW w:w="880" w:type="dxa"/>
            <w:vAlign w:val="bottom"/>
          </w:tcPr>
          <w:p>
            <w:pPr>
              <w:jc w:val="right"/>
              <w:ind w:right="129"/>
              <w:spacing w:after="0"/>
              <w:rPr>
                <w:sz w:val="20"/>
                <w:szCs w:val="20"/>
                <w:color w:val="auto"/>
              </w:rPr>
            </w:pPr>
            <w:r>
              <w:rPr>
                <w:rFonts w:ascii="Arial" w:cs="Arial" w:eastAsia="Arial" w:hAnsi="Arial"/>
                <w:sz w:val="14"/>
                <w:szCs w:val="14"/>
                <w:color w:val="auto"/>
              </w:rPr>
              <w:t>7,275</w:t>
            </w:r>
          </w:p>
        </w:tc>
        <w:tc>
          <w:tcPr>
            <w:tcW w:w="1100" w:type="dxa"/>
            <w:vAlign w:val="bottom"/>
          </w:tcPr>
          <w:p>
            <w:pPr>
              <w:jc w:val="right"/>
              <w:ind w:right="269"/>
              <w:spacing w:after="0"/>
              <w:rPr>
                <w:sz w:val="20"/>
                <w:szCs w:val="20"/>
                <w:color w:val="auto"/>
              </w:rPr>
            </w:pPr>
            <w:r>
              <w:rPr>
                <w:rFonts w:ascii="Arial" w:cs="Arial" w:eastAsia="Arial" w:hAnsi="Arial"/>
                <w:sz w:val="14"/>
                <w:szCs w:val="14"/>
                <w:color w:val="auto"/>
              </w:rPr>
              <w:t>8,948</w:t>
            </w:r>
          </w:p>
        </w:tc>
        <w:tc>
          <w:tcPr>
            <w:tcW w:w="0" w:type="dxa"/>
            <w:vAlign w:val="bottom"/>
          </w:tcPr>
          <w:p>
            <w:pPr>
              <w:spacing w:after="0"/>
              <w:rPr>
                <w:sz w:val="1"/>
                <w:szCs w:val="1"/>
                <w:color w:val="auto"/>
              </w:rPr>
            </w:pPr>
          </w:p>
        </w:tc>
      </w:tr>
      <w:tr>
        <w:trPr>
          <w:trHeight w:val="162"/>
        </w:trPr>
        <w:tc>
          <w:tcPr>
            <w:tcW w:w="560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Interest and other income</w:t>
            </w:r>
          </w:p>
        </w:tc>
        <w:tc>
          <w:tcPr>
            <w:tcW w:w="2160" w:type="dxa"/>
            <w:vAlign w:val="bottom"/>
            <w:tcBorders>
              <w:bottom w:val="single" w:sz="8" w:color="auto"/>
              <w:right w:val="single" w:sz="8" w:color="D8D8D8"/>
            </w:tcBorders>
          </w:tcPr>
          <w:p>
            <w:pPr>
              <w:jc w:val="right"/>
              <w:ind w:right="311"/>
              <w:spacing w:after="0"/>
              <w:rPr>
                <w:sz w:val="20"/>
                <w:szCs w:val="20"/>
                <w:color w:val="auto"/>
              </w:rPr>
            </w:pPr>
            <w:r>
              <w:rPr>
                <w:rFonts w:ascii="Arial" w:cs="Arial" w:eastAsia="Arial" w:hAnsi="Arial"/>
                <w:sz w:val="14"/>
                <w:szCs w:val="14"/>
                <w:color w:val="auto"/>
              </w:rPr>
              <w:t>5</w:t>
            </w:r>
          </w:p>
        </w:tc>
        <w:tc>
          <w:tcPr>
            <w:tcW w:w="1140" w:type="dxa"/>
            <w:vAlign w:val="bottom"/>
            <w:tcBorders>
              <w:bottom w:val="single" w:sz="8" w:color="auto"/>
            </w:tcBorders>
            <w:shd w:val="clear" w:color="auto" w:fill="D8D8D8"/>
          </w:tcPr>
          <w:p>
            <w:pPr>
              <w:jc w:val="right"/>
              <w:ind w:right="249"/>
              <w:spacing w:after="0"/>
              <w:rPr>
                <w:sz w:val="20"/>
                <w:szCs w:val="20"/>
                <w:color w:val="auto"/>
              </w:rPr>
            </w:pPr>
            <w:r>
              <w:rPr>
                <w:rFonts w:ascii="Arial" w:cs="Arial" w:eastAsia="Arial" w:hAnsi="Arial"/>
                <w:sz w:val="14"/>
                <w:szCs w:val="14"/>
                <w:color w:val="auto"/>
              </w:rPr>
              <w:t>4,123</w:t>
            </w:r>
          </w:p>
        </w:tc>
        <w:tc>
          <w:tcPr>
            <w:tcW w:w="5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129"/>
              <w:spacing w:after="0"/>
              <w:rPr>
                <w:sz w:val="20"/>
                <w:szCs w:val="20"/>
                <w:color w:val="auto"/>
              </w:rPr>
            </w:pPr>
            <w:r>
              <w:rPr>
                <w:rFonts w:ascii="Arial" w:cs="Arial" w:eastAsia="Arial" w:hAnsi="Arial"/>
                <w:sz w:val="14"/>
                <w:szCs w:val="14"/>
                <w:color w:val="auto"/>
              </w:rPr>
              <w:t>1,089</w:t>
            </w:r>
          </w:p>
        </w:tc>
        <w:tc>
          <w:tcPr>
            <w:tcW w:w="1100" w:type="dxa"/>
            <w:vAlign w:val="bottom"/>
            <w:tcBorders>
              <w:bottom w:val="single" w:sz="8" w:color="auto"/>
            </w:tcBorders>
          </w:tcPr>
          <w:p>
            <w:pPr>
              <w:jc w:val="right"/>
              <w:ind w:right="269"/>
              <w:spacing w:after="0"/>
              <w:rPr>
                <w:sz w:val="20"/>
                <w:szCs w:val="20"/>
                <w:color w:val="auto"/>
              </w:rPr>
            </w:pPr>
            <w:r>
              <w:rPr>
                <w:rFonts w:ascii="Arial" w:cs="Arial" w:eastAsia="Arial" w:hAnsi="Arial"/>
                <w:sz w:val="14"/>
                <w:szCs w:val="14"/>
                <w:color w:val="auto"/>
              </w:rPr>
              <w:t>5,599</w:t>
            </w:r>
          </w:p>
        </w:tc>
        <w:tc>
          <w:tcPr>
            <w:tcW w:w="0" w:type="dxa"/>
            <w:vAlign w:val="bottom"/>
          </w:tcPr>
          <w:p>
            <w:pPr>
              <w:spacing w:after="0"/>
              <w:rPr>
                <w:sz w:val="1"/>
                <w:szCs w:val="1"/>
                <w:color w:val="auto"/>
              </w:rPr>
            </w:pPr>
          </w:p>
        </w:tc>
      </w:tr>
      <w:tr>
        <w:trPr>
          <w:trHeight w:val="160"/>
        </w:trPr>
        <w:tc>
          <w:tcPr>
            <w:tcW w:w="5600" w:type="dxa"/>
            <w:vAlign w:val="bottom"/>
          </w:tcPr>
          <w:p>
            <w:pPr>
              <w:spacing w:after="0"/>
              <w:rPr>
                <w:sz w:val="20"/>
                <w:szCs w:val="20"/>
                <w:color w:val="auto"/>
              </w:rPr>
            </w:pPr>
            <w:r>
              <w:rPr>
                <w:rFonts w:ascii="Arial" w:cs="Arial" w:eastAsia="Arial" w:hAnsi="Arial"/>
                <w:sz w:val="14"/>
                <w:szCs w:val="14"/>
                <w:color w:val="auto"/>
              </w:rPr>
              <w:t>Total revenue and other income</w:t>
            </w:r>
          </w:p>
        </w:tc>
        <w:tc>
          <w:tcPr>
            <w:tcW w:w="2160" w:type="dxa"/>
            <w:vAlign w:val="bottom"/>
            <w:tcBorders>
              <w:right w:val="single" w:sz="8" w:color="D8D8D8"/>
            </w:tcBorders>
          </w:tcPr>
          <w:p>
            <w:pPr>
              <w:spacing w:after="0"/>
              <w:rPr>
                <w:sz w:val="13"/>
                <w:szCs w:val="13"/>
                <w:color w:val="auto"/>
              </w:rPr>
            </w:pPr>
          </w:p>
        </w:tc>
        <w:tc>
          <w:tcPr>
            <w:tcW w:w="1140" w:type="dxa"/>
            <w:vAlign w:val="bottom"/>
            <w:shd w:val="clear" w:color="auto" w:fill="D8D8D8"/>
          </w:tcPr>
          <w:p>
            <w:pPr>
              <w:jc w:val="right"/>
              <w:ind w:right="249"/>
              <w:spacing w:after="0"/>
              <w:rPr>
                <w:sz w:val="20"/>
                <w:szCs w:val="20"/>
                <w:color w:val="auto"/>
              </w:rPr>
            </w:pPr>
            <w:r>
              <w:rPr>
                <w:rFonts w:ascii="Arial" w:cs="Arial" w:eastAsia="Arial" w:hAnsi="Arial"/>
                <w:sz w:val="14"/>
                <w:szCs w:val="14"/>
                <w:color w:val="auto"/>
              </w:rPr>
              <w:t>431,344</w:t>
            </w:r>
          </w:p>
        </w:tc>
        <w:tc>
          <w:tcPr>
            <w:tcW w:w="540" w:type="dxa"/>
            <w:vAlign w:val="bottom"/>
          </w:tcPr>
          <w:p>
            <w:pPr>
              <w:spacing w:after="0"/>
              <w:rPr>
                <w:sz w:val="13"/>
                <w:szCs w:val="13"/>
                <w:color w:val="auto"/>
              </w:rPr>
            </w:pPr>
          </w:p>
        </w:tc>
        <w:tc>
          <w:tcPr>
            <w:tcW w:w="880" w:type="dxa"/>
            <w:vAlign w:val="bottom"/>
          </w:tcPr>
          <w:p>
            <w:pPr>
              <w:jc w:val="right"/>
              <w:ind w:right="129"/>
              <w:spacing w:after="0"/>
              <w:rPr>
                <w:sz w:val="20"/>
                <w:szCs w:val="20"/>
                <w:color w:val="auto"/>
              </w:rPr>
            </w:pPr>
            <w:r>
              <w:rPr>
                <w:rFonts w:ascii="Arial" w:cs="Arial" w:eastAsia="Arial" w:hAnsi="Arial"/>
                <w:sz w:val="14"/>
                <w:szCs w:val="14"/>
                <w:color w:val="auto"/>
              </w:rPr>
              <w:t>459,599</w:t>
            </w:r>
          </w:p>
        </w:tc>
        <w:tc>
          <w:tcPr>
            <w:tcW w:w="1100" w:type="dxa"/>
            <w:vAlign w:val="bottom"/>
          </w:tcPr>
          <w:p>
            <w:pPr>
              <w:jc w:val="right"/>
              <w:ind w:right="269"/>
              <w:spacing w:after="0"/>
              <w:rPr>
                <w:sz w:val="20"/>
                <w:szCs w:val="20"/>
                <w:color w:val="auto"/>
              </w:rPr>
            </w:pPr>
            <w:r>
              <w:rPr>
                <w:rFonts w:ascii="Arial" w:cs="Arial" w:eastAsia="Arial" w:hAnsi="Arial"/>
                <w:sz w:val="14"/>
                <w:szCs w:val="14"/>
                <w:color w:val="auto"/>
              </w:rPr>
              <w:t>481,700</w:t>
            </w:r>
          </w:p>
        </w:tc>
        <w:tc>
          <w:tcPr>
            <w:tcW w:w="0" w:type="dxa"/>
            <w:vAlign w:val="bottom"/>
          </w:tcPr>
          <w:p>
            <w:pPr>
              <w:spacing w:after="0"/>
              <w:rPr>
                <w:sz w:val="1"/>
                <w:szCs w:val="1"/>
                <w:color w:val="auto"/>
              </w:rPr>
            </w:pPr>
          </w:p>
        </w:tc>
      </w:tr>
      <w:tr>
        <w:trPr>
          <w:trHeight w:val="162"/>
        </w:trPr>
        <w:tc>
          <w:tcPr>
            <w:tcW w:w="5600" w:type="dxa"/>
            <w:vAlign w:val="bottom"/>
          </w:tcPr>
          <w:p>
            <w:pPr>
              <w:spacing w:after="0"/>
              <w:rPr>
                <w:sz w:val="20"/>
                <w:szCs w:val="20"/>
                <w:color w:val="auto"/>
              </w:rPr>
            </w:pPr>
            <w:r>
              <w:rPr>
                <w:rFonts w:ascii="Arial" w:cs="Arial" w:eastAsia="Arial" w:hAnsi="Arial"/>
                <w:sz w:val="14"/>
                <w:szCs w:val="14"/>
                <w:color w:val="auto"/>
              </w:rPr>
              <w:t>Purchases</w:t>
            </w:r>
          </w:p>
        </w:tc>
        <w:tc>
          <w:tcPr>
            <w:tcW w:w="2160" w:type="dxa"/>
            <w:vAlign w:val="bottom"/>
            <w:tcBorders>
              <w:right w:val="single" w:sz="8" w:color="D8D8D8"/>
            </w:tcBorders>
          </w:tcPr>
          <w:p>
            <w:pPr>
              <w:spacing w:after="0"/>
              <w:rPr>
                <w:sz w:val="14"/>
                <w:szCs w:val="14"/>
                <w:color w:val="auto"/>
              </w:rPr>
            </w:pPr>
          </w:p>
        </w:tc>
        <w:tc>
          <w:tcPr>
            <w:tcW w:w="1140" w:type="dxa"/>
            <w:vAlign w:val="bottom"/>
            <w:shd w:val="clear" w:color="auto" w:fill="D8D8D8"/>
          </w:tcPr>
          <w:p>
            <w:pPr>
              <w:jc w:val="right"/>
              <w:ind w:right="249"/>
              <w:spacing w:after="0"/>
              <w:rPr>
                <w:sz w:val="20"/>
                <w:szCs w:val="20"/>
                <w:color w:val="auto"/>
              </w:rPr>
            </w:pPr>
            <w:r>
              <w:rPr>
                <w:rFonts w:ascii="Arial" w:cs="Arial" w:eastAsia="Arial" w:hAnsi="Arial"/>
                <w:sz w:val="14"/>
                <w:szCs w:val="14"/>
                <w:color w:val="auto"/>
              </w:rPr>
              <w:t>327,278</w:t>
            </w:r>
          </w:p>
        </w:tc>
        <w:tc>
          <w:tcPr>
            <w:tcW w:w="540" w:type="dxa"/>
            <w:vAlign w:val="bottom"/>
          </w:tcPr>
          <w:p>
            <w:pPr>
              <w:spacing w:after="0"/>
              <w:rPr>
                <w:sz w:val="14"/>
                <w:szCs w:val="14"/>
                <w:color w:val="auto"/>
              </w:rPr>
            </w:pPr>
          </w:p>
        </w:tc>
        <w:tc>
          <w:tcPr>
            <w:tcW w:w="880" w:type="dxa"/>
            <w:vAlign w:val="bottom"/>
          </w:tcPr>
          <w:p>
            <w:pPr>
              <w:jc w:val="right"/>
              <w:ind w:right="129"/>
              <w:spacing w:after="0"/>
              <w:rPr>
                <w:sz w:val="20"/>
                <w:szCs w:val="20"/>
                <w:color w:val="auto"/>
              </w:rPr>
            </w:pPr>
            <w:r>
              <w:rPr>
                <w:rFonts w:ascii="Arial" w:cs="Arial" w:eastAsia="Arial" w:hAnsi="Arial"/>
                <w:sz w:val="14"/>
                <w:szCs w:val="14"/>
                <w:color w:val="auto"/>
              </w:rPr>
              <w:t>353,199</w:t>
            </w:r>
          </w:p>
        </w:tc>
        <w:tc>
          <w:tcPr>
            <w:tcW w:w="1100" w:type="dxa"/>
            <w:vAlign w:val="bottom"/>
          </w:tcPr>
          <w:p>
            <w:pPr>
              <w:jc w:val="right"/>
              <w:ind w:right="269"/>
              <w:spacing w:after="0"/>
              <w:rPr>
                <w:sz w:val="20"/>
                <w:szCs w:val="20"/>
                <w:color w:val="auto"/>
              </w:rPr>
            </w:pPr>
            <w:r>
              <w:rPr>
                <w:rFonts w:ascii="Arial" w:cs="Arial" w:eastAsia="Arial" w:hAnsi="Arial"/>
                <w:sz w:val="14"/>
                <w:szCs w:val="14"/>
                <w:color w:val="auto"/>
              </w:rPr>
              <w:t>369,725</w:t>
            </w:r>
          </w:p>
        </w:tc>
        <w:tc>
          <w:tcPr>
            <w:tcW w:w="0" w:type="dxa"/>
            <w:vAlign w:val="bottom"/>
          </w:tcPr>
          <w:p>
            <w:pPr>
              <w:spacing w:after="0"/>
              <w:rPr>
                <w:sz w:val="1"/>
                <w:szCs w:val="1"/>
                <w:color w:val="auto"/>
              </w:rPr>
            </w:pPr>
          </w:p>
        </w:tc>
      </w:tr>
      <w:tr>
        <w:trPr>
          <w:trHeight w:val="162"/>
        </w:trPr>
        <w:tc>
          <w:tcPr>
            <w:tcW w:w="5600" w:type="dxa"/>
            <w:vAlign w:val="bottom"/>
          </w:tcPr>
          <w:p>
            <w:pPr>
              <w:spacing w:after="0"/>
              <w:rPr>
                <w:sz w:val="20"/>
                <w:szCs w:val="20"/>
                <w:color w:val="auto"/>
              </w:rPr>
            </w:pPr>
            <w:r>
              <w:rPr>
                <w:rFonts w:ascii="Arial" w:cs="Arial" w:eastAsia="Arial" w:hAnsi="Arial"/>
                <w:sz w:val="14"/>
                <w:szCs w:val="14"/>
                <w:color w:val="auto"/>
              </w:rPr>
              <w:t>Production and manufacturing expenses</w:t>
            </w:r>
          </w:p>
        </w:tc>
        <w:tc>
          <w:tcPr>
            <w:tcW w:w="2160" w:type="dxa"/>
            <w:vAlign w:val="bottom"/>
            <w:tcBorders>
              <w:right w:val="single" w:sz="8" w:color="D8D8D8"/>
            </w:tcBorders>
          </w:tcPr>
          <w:p>
            <w:pPr>
              <w:spacing w:after="0"/>
              <w:rPr>
                <w:sz w:val="14"/>
                <w:szCs w:val="14"/>
                <w:color w:val="auto"/>
              </w:rPr>
            </w:pPr>
          </w:p>
        </w:tc>
        <w:tc>
          <w:tcPr>
            <w:tcW w:w="1140" w:type="dxa"/>
            <w:vAlign w:val="bottom"/>
            <w:shd w:val="clear" w:color="auto" w:fill="D8D8D8"/>
          </w:tcPr>
          <w:p>
            <w:pPr>
              <w:jc w:val="right"/>
              <w:ind w:right="249"/>
              <w:spacing w:after="0"/>
              <w:rPr>
                <w:sz w:val="20"/>
                <w:szCs w:val="20"/>
                <w:color w:val="auto"/>
              </w:rPr>
            </w:pPr>
            <w:r>
              <w:rPr>
                <w:rFonts w:ascii="Arial" w:cs="Arial" w:eastAsia="Arial" w:hAnsi="Arial"/>
                <w:sz w:val="14"/>
                <w:szCs w:val="14"/>
                <w:color w:val="auto"/>
              </w:rPr>
              <w:t>30,038</w:t>
            </w:r>
          </w:p>
        </w:tc>
        <w:tc>
          <w:tcPr>
            <w:tcW w:w="540" w:type="dxa"/>
            <w:vAlign w:val="bottom"/>
          </w:tcPr>
          <w:p>
            <w:pPr>
              <w:spacing w:after="0"/>
              <w:rPr>
                <w:sz w:val="14"/>
                <w:szCs w:val="14"/>
                <w:color w:val="auto"/>
              </w:rPr>
            </w:pPr>
          </w:p>
        </w:tc>
        <w:tc>
          <w:tcPr>
            <w:tcW w:w="880" w:type="dxa"/>
            <w:vAlign w:val="bottom"/>
          </w:tcPr>
          <w:p>
            <w:pPr>
              <w:jc w:val="right"/>
              <w:ind w:right="129"/>
              <w:spacing w:after="0"/>
              <w:rPr>
                <w:sz w:val="20"/>
                <w:szCs w:val="20"/>
                <w:color w:val="auto"/>
              </w:rPr>
            </w:pPr>
            <w:r>
              <w:rPr>
                <w:rFonts w:ascii="Arial" w:cs="Arial" w:eastAsia="Arial" w:hAnsi="Arial"/>
                <w:sz w:val="14"/>
                <w:szCs w:val="14"/>
                <w:color w:val="auto"/>
              </w:rPr>
              <w:t>28,386</w:t>
            </w:r>
          </w:p>
        </w:tc>
        <w:tc>
          <w:tcPr>
            <w:tcW w:w="1100" w:type="dxa"/>
            <w:vAlign w:val="bottom"/>
          </w:tcPr>
          <w:p>
            <w:pPr>
              <w:jc w:val="right"/>
              <w:ind w:right="269"/>
              <w:spacing w:after="0"/>
              <w:rPr>
                <w:sz w:val="20"/>
                <w:szCs w:val="20"/>
                <w:color w:val="auto"/>
              </w:rPr>
            </w:pPr>
            <w:r>
              <w:rPr>
                <w:rFonts w:ascii="Arial" w:cs="Arial" w:eastAsia="Arial" w:hAnsi="Arial"/>
                <w:sz w:val="14"/>
                <w:szCs w:val="14"/>
                <w:color w:val="auto"/>
              </w:rPr>
              <w:t>26,215</w:t>
            </w:r>
          </w:p>
        </w:tc>
        <w:tc>
          <w:tcPr>
            <w:tcW w:w="0" w:type="dxa"/>
            <w:vAlign w:val="bottom"/>
          </w:tcPr>
          <w:p>
            <w:pPr>
              <w:spacing w:after="0"/>
              <w:rPr>
                <w:sz w:val="1"/>
                <w:szCs w:val="1"/>
                <w:color w:val="auto"/>
              </w:rPr>
            </w:pPr>
          </w:p>
        </w:tc>
      </w:tr>
      <w:tr>
        <w:trPr>
          <w:trHeight w:val="162"/>
        </w:trPr>
        <w:tc>
          <w:tcPr>
            <w:tcW w:w="5600" w:type="dxa"/>
            <w:vAlign w:val="bottom"/>
          </w:tcPr>
          <w:p>
            <w:pPr>
              <w:spacing w:after="0"/>
              <w:rPr>
                <w:sz w:val="20"/>
                <w:szCs w:val="20"/>
                <w:color w:val="auto"/>
              </w:rPr>
            </w:pPr>
            <w:r>
              <w:rPr>
                <w:rFonts w:ascii="Arial" w:cs="Arial" w:eastAsia="Arial" w:hAnsi="Arial"/>
                <w:sz w:val="14"/>
                <w:szCs w:val="14"/>
                <w:color w:val="auto"/>
              </w:rPr>
              <w:t>Selling, distribution and administrative expenses</w:t>
            </w:r>
          </w:p>
        </w:tc>
        <w:tc>
          <w:tcPr>
            <w:tcW w:w="2160" w:type="dxa"/>
            <w:vAlign w:val="bottom"/>
            <w:tcBorders>
              <w:right w:val="single" w:sz="8" w:color="D8D8D8"/>
            </w:tcBorders>
          </w:tcPr>
          <w:p>
            <w:pPr>
              <w:spacing w:after="0"/>
              <w:rPr>
                <w:sz w:val="14"/>
                <w:szCs w:val="14"/>
                <w:color w:val="auto"/>
              </w:rPr>
            </w:pPr>
          </w:p>
        </w:tc>
        <w:tc>
          <w:tcPr>
            <w:tcW w:w="1140" w:type="dxa"/>
            <w:vAlign w:val="bottom"/>
            <w:shd w:val="clear" w:color="auto" w:fill="D8D8D8"/>
          </w:tcPr>
          <w:p>
            <w:pPr>
              <w:jc w:val="right"/>
              <w:ind w:right="249"/>
              <w:spacing w:after="0"/>
              <w:rPr>
                <w:sz w:val="20"/>
                <w:szCs w:val="20"/>
                <w:color w:val="auto"/>
              </w:rPr>
            </w:pPr>
            <w:r>
              <w:rPr>
                <w:rFonts w:ascii="Arial" w:cs="Arial" w:eastAsia="Arial" w:hAnsi="Arial"/>
                <w:sz w:val="14"/>
                <w:szCs w:val="14"/>
                <w:color w:val="auto"/>
              </w:rPr>
              <w:t>13,965</w:t>
            </w:r>
          </w:p>
        </w:tc>
        <w:tc>
          <w:tcPr>
            <w:tcW w:w="540" w:type="dxa"/>
            <w:vAlign w:val="bottom"/>
          </w:tcPr>
          <w:p>
            <w:pPr>
              <w:spacing w:after="0"/>
              <w:rPr>
                <w:sz w:val="14"/>
                <w:szCs w:val="14"/>
                <w:color w:val="auto"/>
              </w:rPr>
            </w:pPr>
          </w:p>
        </w:tc>
        <w:tc>
          <w:tcPr>
            <w:tcW w:w="880" w:type="dxa"/>
            <w:vAlign w:val="bottom"/>
          </w:tcPr>
          <w:p>
            <w:pPr>
              <w:jc w:val="right"/>
              <w:ind w:right="129"/>
              <w:spacing w:after="0"/>
              <w:rPr>
                <w:sz w:val="20"/>
                <w:szCs w:val="20"/>
                <w:color w:val="auto"/>
              </w:rPr>
            </w:pPr>
            <w:r>
              <w:rPr>
                <w:rFonts w:ascii="Arial" w:cs="Arial" w:eastAsia="Arial" w:hAnsi="Arial"/>
                <w:sz w:val="14"/>
                <w:szCs w:val="14"/>
                <w:color w:val="auto"/>
              </w:rPr>
              <w:t>14,675</w:t>
            </w:r>
          </w:p>
        </w:tc>
        <w:tc>
          <w:tcPr>
            <w:tcW w:w="1100" w:type="dxa"/>
            <w:vAlign w:val="bottom"/>
          </w:tcPr>
          <w:p>
            <w:pPr>
              <w:jc w:val="right"/>
              <w:ind w:right="269"/>
              <w:spacing w:after="0"/>
              <w:rPr>
                <w:sz w:val="20"/>
                <w:szCs w:val="20"/>
                <w:color w:val="auto"/>
              </w:rPr>
            </w:pPr>
            <w:r>
              <w:rPr>
                <w:rFonts w:ascii="Arial" w:cs="Arial" w:eastAsia="Arial" w:hAnsi="Arial"/>
                <w:sz w:val="14"/>
                <w:szCs w:val="14"/>
                <w:color w:val="auto"/>
              </w:rPr>
              <w:t>14,465</w:t>
            </w:r>
          </w:p>
        </w:tc>
        <w:tc>
          <w:tcPr>
            <w:tcW w:w="0" w:type="dxa"/>
            <w:vAlign w:val="bottom"/>
          </w:tcPr>
          <w:p>
            <w:pPr>
              <w:spacing w:after="0"/>
              <w:rPr>
                <w:sz w:val="1"/>
                <w:szCs w:val="1"/>
                <w:color w:val="auto"/>
              </w:rPr>
            </w:pPr>
          </w:p>
        </w:tc>
      </w:tr>
      <w:tr>
        <w:trPr>
          <w:trHeight w:val="162"/>
        </w:trPr>
        <w:tc>
          <w:tcPr>
            <w:tcW w:w="5600" w:type="dxa"/>
            <w:vAlign w:val="bottom"/>
          </w:tcPr>
          <w:p>
            <w:pPr>
              <w:spacing w:after="0"/>
              <w:rPr>
                <w:sz w:val="20"/>
                <w:szCs w:val="20"/>
                <w:color w:val="auto"/>
              </w:rPr>
            </w:pPr>
            <w:r>
              <w:rPr>
                <w:rFonts w:ascii="Arial" w:cs="Arial" w:eastAsia="Arial" w:hAnsi="Arial"/>
                <w:sz w:val="14"/>
                <w:szCs w:val="14"/>
                <w:color w:val="auto"/>
              </w:rPr>
              <w:t>Research and development</w:t>
            </w:r>
          </w:p>
        </w:tc>
        <w:tc>
          <w:tcPr>
            <w:tcW w:w="2160" w:type="dxa"/>
            <w:vAlign w:val="bottom"/>
            <w:tcBorders>
              <w:right w:val="single" w:sz="8" w:color="D8D8D8"/>
            </w:tcBorders>
          </w:tcPr>
          <w:p>
            <w:pPr>
              <w:spacing w:after="0"/>
              <w:rPr>
                <w:sz w:val="14"/>
                <w:szCs w:val="14"/>
                <w:color w:val="auto"/>
              </w:rPr>
            </w:pPr>
          </w:p>
        </w:tc>
        <w:tc>
          <w:tcPr>
            <w:tcW w:w="1140" w:type="dxa"/>
            <w:vAlign w:val="bottom"/>
            <w:shd w:val="clear" w:color="auto" w:fill="D8D8D8"/>
          </w:tcPr>
          <w:p>
            <w:pPr>
              <w:jc w:val="right"/>
              <w:ind w:right="249"/>
              <w:spacing w:after="0"/>
              <w:rPr>
                <w:sz w:val="20"/>
                <w:szCs w:val="20"/>
                <w:color w:val="auto"/>
              </w:rPr>
            </w:pPr>
            <w:r>
              <w:rPr>
                <w:rFonts w:ascii="Arial" w:cs="Arial" w:eastAsia="Arial" w:hAnsi="Arial"/>
                <w:sz w:val="14"/>
                <w:szCs w:val="14"/>
                <w:color w:val="auto"/>
              </w:rPr>
              <w:t>1,222</w:t>
            </w:r>
          </w:p>
        </w:tc>
        <w:tc>
          <w:tcPr>
            <w:tcW w:w="540" w:type="dxa"/>
            <w:vAlign w:val="bottom"/>
          </w:tcPr>
          <w:p>
            <w:pPr>
              <w:spacing w:after="0"/>
              <w:rPr>
                <w:sz w:val="14"/>
                <w:szCs w:val="14"/>
                <w:color w:val="auto"/>
              </w:rPr>
            </w:pPr>
          </w:p>
        </w:tc>
        <w:tc>
          <w:tcPr>
            <w:tcW w:w="880" w:type="dxa"/>
            <w:vAlign w:val="bottom"/>
          </w:tcPr>
          <w:p>
            <w:pPr>
              <w:jc w:val="right"/>
              <w:ind w:right="129"/>
              <w:spacing w:after="0"/>
              <w:rPr>
                <w:sz w:val="20"/>
                <w:szCs w:val="20"/>
                <w:color w:val="auto"/>
              </w:rPr>
            </w:pPr>
            <w:r>
              <w:rPr>
                <w:rFonts w:ascii="Arial" w:cs="Arial" w:eastAsia="Arial" w:hAnsi="Arial"/>
                <w:sz w:val="14"/>
                <w:szCs w:val="14"/>
                <w:color w:val="auto"/>
              </w:rPr>
              <w:t>1,318</w:t>
            </w:r>
          </w:p>
        </w:tc>
        <w:tc>
          <w:tcPr>
            <w:tcW w:w="1100" w:type="dxa"/>
            <w:vAlign w:val="bottom"/>
          </w:tcPr>
          <w:p>
            <w:pPr>
              <w:jc w:val="right"/>
              <w:ind w:right="269"/>
              <w:spacing w:after="0"/>
              <w:rPr>
                <w:sz w:val="20"/>
                <w:szCs w:val="20"/>
                <w:color w:val="auto"/>
              </w:rPr>
            </w:pPr>
            <w:r>
              <w:rPr>
                <w:rFonts w:ascii="Arial" w:cs="Arial" w:eastAsia="Arial" w:hAnsi="Arial"/>
                <w:sz w:val="14"/>
                <w:szCs w:val="14"/>
                <w:color w:val="auto"/>
              </w:rPr>
              <w:t>1,307</w:t>
            </w:r>
          </w:p>
        </w:tc>
        <w:tc>
          <w:tcPr>
            <w:tcW w:w="0" w:type="dxa"/>
            <w:vAlign w:val="bottom"/>
          </w:tcPr>
          <w:p>
            <w:pPr>
              <w:spacing w:after="0"/>
              <w:rPr>
                <w:sz w:val="1"/>
                <w:szCs w:val="1"/>
                <w:color w:val="auto"/>
              </w:rPr>
            </w:pPr>
          </w:p>
        </w:tc>
      </w:tr>
      <w:tr>
        <w:trPr>
          <w:trHeight w:val="162"/>
        </w:trPr>
        <w:tc>
          <w:tcPr>
            <w:tcW w:w="5600" w:type="dxa"/>
            <w:vAlign w:val="bottom"/>
          </w:tcPr>
          <w:p>
            <w:pPr>
              <w:spacing w:after="0"/>
              <w:rPr>
                <w:sz w:val="20"/>
                <w:szCs w:val="20"/>
                <w:color w:val="auto"/>
              </w:rPr>
            </w:pPr>
            <w:r>
              <w:rPr>
                <w:rFonts w:ascii="Arial" w:cs="Arial" w:eastAsia="Arial" w:hAnsi="Arial"/>
                <w:sz w:val="14"/>
                <w:szCs w:val="14"/>
                <w:color w:val="auto"/>
              </w:rPr>
              <w:t>Exploration</w:t>
            </w:r>
          </w:p>
        </w:tc>
        <w:tc>
          <w:tcPr>
            <w:tcW w:w="2160" w:type="dxa"/>
            <w:vAlign w:val="bottom"/>
            <w:tcBorders>
              <w:right w:val="single" w:sz="8" w:color="D8D8D8"/>
            </w:tcBorders>
          </w:tcPr>
          <w:p>
            <w:pPr>
              <w:spacing w:after="0"/>
              <w:rPr>
                <w:sz w:val="14"/>
                <w:szCs w:val="14"/>
                <w:color w:val="auto"/>
              </w:rPr>
            </w:pPr>
          </w:p>
        </w:tc>
        <w:tc>
          <w:tcPr>
            <w:tcW w:w="1140" w:type="dxa"/>
            <w:vAlign w:val="bottom"/>
            <w:shd w:val="clear" w:color="auto" w:fill="D8D8D8"/>
          </w:tcPr>
          <w:p>
            <w:pPr>
              <w:jc w:val="right"/>
              <w:ind w:right="249"/>
              <w:spacing w:after="0"/>
              <w:rPr>
                <w:sz w:val="20"/>
                <w:szCs w:val="20"/>
                <w:color w:val="auto"/>
              </w:rPr>
            </w:pPr>
            <w:r>
              <w:rPr>
                <w:rFonts w:ascii="Arial" w:cs="Arial" w:eastAsia="Arial" w:hAnsi="Arial"/>
                <w:sz w:val="14"/>
                <w:szCs w:val="14"/>
                <w:color w:val="auto"/>
              </w:rPr>
              <w:t>4,224</w:t>
            </w:r>
          </w:p>
        </w:tc>
        <w:tc>
          <w:tcPr>
            <w:tcW w:w="540" w:type="dxa"/>
            <w:vAlign w:val="bottom"/>
          </w:tcPr>
          <w:p>
            <w:pPr>
              <w:spacing w:after="0"/>
              <w:rPr>
                <w:sz w:val="14"/>
                <w:szCs w:val="14"/>
                <w:color w:val="auto"/>
              </w:rPr>
            </w:pPr>
          </w:p>
        </w:tc>
        <w:tc>
          <w:tcPr>
            <w:tcW w:w="880" w:type="dxa"/>
            <w:vAlign w:val="bottom"/>
          </w:tcPr>
          <w:p>
            <w:pPr>
              <w:jc w:val="right"/>
              <w:ind w:right="129"/>
              <w:spacing w:after="0"/>
              <w:rPr>
                <w:sz w:val="20"/>
                <w:szCs w:val="20"/>
                <w:color w:val="auto"/>
              </w:rPr>
            </w:pPr>
            <w:r>
              <w:rPr>
                <w:rFonts w:ascii="Arial" w:cs="Arial" w:eastAsia="Arial" w:hAnsi="Arial"/>
                <w:sz w:val="14"/>
                <w:szCs w:val="14"/>
                <w:color w:val="auto"/>
              </w:rPr>
              <w:t>5,278</w:t>
            </w:r>
          </w:p>
        </w:tc>
        <w:tc>
          <w:tcPr>
            <w:tcW w:w="1100" w:type="dxa"/>
            <w:vAlign w:val="bottom"/>
          </w:tcPr>
          <w:p>
            <w:pPr>
              <w:jc w:val="right"/>
              <w:ind w:right="269"/>
              <w:spacing w:after="0"/>
              <w:rPr>
                <w:sz w:val="20"/>
                <w:szCs w:val="20"/>
                <w:color w:val="auto"/>
              </w:rPr>
            </w:pPr>
            <w:r>
              <w:rPr>
                <w:rFonts w:ascii="Arial" w:cs="Arial" w:eastAsia="Arial" w:hAnsi="Arial"/>
                <w:sz w:val="14"/>
                <w:szCs w:val="14"/>
                <w:color w:val="auto"/>
              </w:rPr>
              <w:t>3,104</w:t>
            </w:r>
          </w:p>
        </w:tc>
        <w:tc>
          <w:tcPr>
            <w:tcW w:w="0" w:type="dxa"/>
            <w:vAlign w:val="bottom"/>
          </w:tcPr>
          <w:p>
            <w:pPr>
              <w:spacing w:after="0"/>
              <w:rPr>
                <w:sz w:val="1"/>
                <w:szCs w:val="1"/>
                <w:color w:val="auto"/>
              </w:rPr>
            </w:pPr>
          </w:p>
        </w:tc>
      </w:tr>
      <w:tr>
        <w:trPr>
          <w:trHeight w:val="162"/>
        </w:trPr>
        <w:tc>
          <w:tcPr>
            <w:tcW w:w="5600" w:type="dxa"/>
            <w:vAlign w:val="bottom"/>
          </w:tcPr>
          <w:p>
            <w:pPr>
              <w:spacing w:after="0"/>
              <w:rPr>
                <w:sz w:val="20"/>
                <w:szCs w:val="20"/>
                <w:color w:val="auto"/>
              </w:rPr>
            </w:pPr>
            <w:r>
              <w:rPr>
                <w:rFonts w:ascii="Arial" w:cs="Arial" w:eastAsia="Arial" w:hAnsi="Arial"/>
                <w:sz w:val="14"/>
                <w:szCs w:val="14"/>
                <w:color w:val="auto"/>
              </w:rPr>
              <w:t>Depreciation, depletion and amortisation</w:t>
            </w:r>
          </w:p>
        </w:tc>
        <w:tc>
          <w:tcPr>
            <w:tcW w:w="2160" w:type="dxa"/>
            <w:vAlign w:val="bottom"/>
            <w:tcBorders>
              <w:right w:val="single" w:sz="8" w:color="D8D8D8"/>
            </w:tcBorders>
          </w:tcPr>
          <w:p>
            <w:pPr>
              <w:spacing w:after="0"/>
              <w:rPr>
                <w:sz w:val="14"/>
                <w:szCs w:val="14"/>
                <w:color w:val="auto"/>
              </w:rPr>
            </w:pPr>
          </w:p>
        </w:tc>
        <w:tc>
          <w:tcPr>
            <w:tcW w:w="1140" w:type="dxa"/>
            <w:vAlign w:val="bottom"/>
            <w:shd w:val="clear" w:color="auto" w:fill="D8D8D8"/>
          </w:tcPr>
          <w:p>
            <w:pPr>
              <w:jc w:val="right"/>
              <w:ind w:right="249"/>
              <w:spacing w:after="0"/>
              <w:rPr>
                <w:sz w:val="20"/>
                <w:szCs w:val="20"/>
                <w:color w:val="auto"/>
              </w:rPr>
            </w:pPr>
            <w:r>
              <w:rPr>
                <w:rFonts w:ascii="Arial" w:cs="Arial" w:eastAsia="Arial" w:hAnsi="Arial"/>
                <w:sz w:val="14"/>
                <w:szCs w:val="14"/>
                <w:color w:val="auto"/>
              </w:rPr>
              <w:t>24,499</w:t>
            </w:r>
          </w:p>
        </w:tc>
        <w:tc>
          <w:tcPr>
            <w:tcW w:w="540" w:type="dxa"/>
            <w:vAlign w:val="bottom"/>
          </w:tcPr>
          <w:p>
            <w:pPr>
              <w:spacing w:after="0"/>
              <w:rPr>
                <w:sz w:val="14"/>
                <w:szCs w:val="14"/>
                <w:color w:val="auto"/>
              </w:rPr>
            </w:pPr>
          </w:p>
        </w:tc>
        <w:tc>
          <w:tcPr>
            <w:tcW w:w="880" w:type="dxa"/>
            <w:vAlign w:val="bottom"/>
          </w:tcPr>
          <w:p>
            <w:pPr>
              <w:jc w:val="right"/>
              <w:ind w:right="129"/>
              <w:spacing w:after="0"/>
              <w:rPr>
                <w:sz w:val="20"/>
                <w:szCs w:val="20"/>
                <w:color w:val="auto"/>
              </w:rPr>
            </w:pPr>
            <w:r>
              <w:rPr>
                <w:rFonts w:ascii="Arial" w:cs="Arial" w:eastAsia="Arial" w:hAnsi="Arial"/>
                <w:sz w:val="14"/>
                <w:szCs w:val="14"/>
                <w:color w:val="auto"/>
              </w:rPr>
              <w:t>21,509</w:t>
            </w:r>
          </w:p>
        </w:tc>
        <w:tc>
          <w:tcPr>
            <w:tcW w:w="1100" w:type="dxa"/>
            <w:vAlign w:val="bottom"/>
          </w:tcPr>
          <w:p>
            <w:pPr>
              <w:jc w:val="right"/>
              <w:ind w:right="269"/>
              <w:spacing w:after="0"/>
              <w:rPr>
                <w:sz w:val="20"/>
                <w:szCs w:val="20"/>
                <w:color w:val="auto"/>
              </w:rPr>
            </w:pPr>
            <w:r>
              <w:rPr>
                <w:rFonts w:ascii="Arial" w:cs="Arial" w:eastAsia="Arial" w:hAnsi="Arial"/>
                <w:sz w:val="14"/>
                <w:szCs w:val="14"/>
                <w:color w:val="auto"/>
              </w:rPr>
              <w:t>14,615</w:t>
            </w:r>
          </w:p>
        </w:tc>
        <w:tc>
          <w:tcPr>
            <w:tcW w:w="0" w:type="dxa"/>
            <w:vAlign w:val="bottom"/>
          </w:tcPr>
          <w:p>
            <w:pPr>
              <w:spacing w:after="0"/>
              <w:rPr>
                <w:sz w:val="1"/>
                <w:szCs w:val="1"/>
                <w:color w:val="auto"/>
              </w:rPr>
            </w:pPr>
          </w:p>
        </w:tc>
      </w:tr>
      <w:tr>
        <w:trPr>
          <w:trHeight w:val="157"/>
        </w:trPr>
        <w:tc>
          <w:tcPr>
            <w:tcW w:w="5600" w:type="dxa"/>
            <w:vAlign w:val="bottom"/>
            <w:tcBorders>
              <w:bottom w:val="single" w:sz="8" w:color="auto"/>
            </w:tcBorders>
          </w:tcPr>
          <w:p>
            <w:pPr>
              <w:spacing w:after="0" w:line="157" w:lineRule="exact"/>
              <w:rPr>
                <w:sz w:val="20"/>
                <w:szCs w:val="20"/>
                <w:color w:val="auto"/>
              </w:rPr>
            </w:pPr>
            <w:r>
              <w:rPr>
                <w:rFonts w:ascii="Arial" w:cs="Arial" w:eastAsia="Arial" w:hAnsi="Arial"/>
                <w:sz w:val="14"/>
                <w:szCs w:val="14"/>
                <w:color w:val="auto"/>
              </w:rPr>
              <w:t>Interest expense</w:t>
            </w:r>
          </w:p>
        </w:tc>
        <w:tc>
          <w:tcPr>
            <w:tcW w:w="2160" w:type="dxa"/>
            <w:vAlign w:val="bottom"/>
            <w:tcBorders>
              <w:bottom w:val="single" w:sz="8" w:color="auto"/>
              <w:right w:val="single" w:sz="8" w:color="D8D8D8"/>
            </w:tcBorders>
          </w:tcPr>
          <w:p>
            <w:pPr>
              <w:jc w:val="right"/>
              <w:ind w:right="311"/>
              <w:spacing w:after="0" w:line="157" w:lineRule="exact"/>
              <w:rPr>
                <w:sz w:val="20"/>
                <w:szCs w:val="20"/>
                <w:color w:val="auto"/>
              </w:rPr>
            </w:pPr>
            <w:r>
              <w:rPr>
                <w:rFonts w:ascii="Arial" w:cs="Arial" w:eastAsia="Arial" w:hAnsi="Arial"/>
                <w:sz w:val="14"/>
                <w:szCs w:val="14"/>
                <w:color w:val="auto"/>
              </w:rPr>
              <w:t>6</w:t>
            </w:r>
          </w:p>
        </w:tc>
        <w:tc>
          <w:tcPr>
            <w:tcW w:w="1140" w:type="dxa"/>
            <w:vAlign w:val="bottom"/>
            <w:tcBorders>
              <w:bottom w:val="single" w:sz="8" w:color="auto"/>
            </w:tcBorders>
            <w:shd w:val="clear" w:color="auto" w:fill="D8D8D8"/>
          </w:tcPr>
          <w:p>
            <w:pPr>
              <w:jc w:val="right"/>
              <w:ind w:right="249"/>
              <w:spacing w:after="0" w:line="157" w:lineRule="exact"/>
              <w:rPr>
                <w:sz w:val="20"/>
                <w:szCs w:val="20"/>
                <w:color w:val="auto"/>
              </w:rPr>
            </w:pPr>
            <w:r>
              <w:rPr>
                <w:rFonts w:ascii="Arial" w:cs="Arial" w:eastAsia="Arial" w:hAnsi="Arial"/>
                <w:sz w:val="14"/>
                <w:szCs w:val="14"/>
                <w:color w:val="auto"/>
              </w:rPr>
              <w:t>1,804</w:t>
            </w:r>
          </w:p>
        </w:tc>
        <w:tc>
          <w:tcPr>
            <w:tcW w:w="54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129"/>
              <w:spacing w:after="0" w:line="157" w:lineRule="exact"/>
              <w:rPr>
                <w:sz w:val="20"/>
                <w:szCs w:val="20"/>
                <w:color w:val="auto"/>
              </w:rPr>
            </w:pPr>
            <w:r>
              <w:rPr>
                <w:rFonts w:ascii="Arial" w:cs="Arial" w:eastAsia="Arial" w:hAnsi="Arial"/>
                <w:sz w:val="14"/>
                <w:szCs w:val="14"/>
                <w:color w:val="auto"/>
              </w:rPr>
              <w:t>1,642</w:t>
            </w:r>
          </w:p>
        </w:tc>
        <w:tc>
          <w:tcPr>
            <w:tcW w:w="1100" w:type="dxa"/>
            <w:vAlign w:val="bottom"/>
            <w:tcBorders>
              <w:bottom w:val="single" w:sz="8" w:color="auto"/>
            </w:tcBorders>
          </w:tcPr>
          <w:p>
            <w:pPr>
              <w:jc w:val="right"/>
              <w:ind w:right="269"/>
              <w:spacing w:after="0" w:line="157" w:lineRule="exact"/>
              <w:rPr>
                <w:sz w:val="20"/>
                <w:szCs w:val="20"/>
                <w:color w:val="auto"/>
              </w:rPr>
            </w:pPr>
            <w:r>
              <w:rPr>
                <w:rFonts w:ascii="Arial" w:cs="Arial" w:eastAsia="Arial" w:hAnsi="Arial"/>
                <w:sz w:val="14"/>
                <w:szCs w:val="14"/>
                <w:color w:val="auto"/>
              </w:rPr>
              <w:t>1,757</w:t>
            </w:r>
          </w:p>
        </w:tc>
        <w:tc>
          <w:tcPr>
            <w:tcW w:w="0" w:type="dxa"/>
            <w:vAlign w:val="bottom"/>
          </w:tcPr>
          <w:p>
            <w:pPr>
              <w:spacing w:after="0"/>
              <w:rPr>
                <w:sz w:val="1"/>
                <w:szCs w:val="1"/>
                <w:color w:val="auto"/>
              </w:rPr>
            </w:pPr>
          </w:p>
        </w:tc>
      </w:tr>
      <w:tr>
        <w:trPr>
          <w:trHeight w:val="160"/>
        </w:trPr>
        <w:tc>
          <w:tcPr>
            <w:tcW w:w="5600" w:type="dxa"/>
            <w:vAlign w:val="bottom"/>
          </w:tcPr>
          <w:p>
            <w:pPr>
              <w:spacing w:after="0"/>
              <w:rPr>
                <w:sz w:val="20"/>
                <w:szCs w:val="20"/>
                <w:color w:val="auto"/>
              </w:rPr>
            </w:pPr>
            <w:r>
              <w:rPr>
                <w:rFonts w:ascii="Arial" w:cs="Arial" w:eastAsia="Arial" w:hAnsi="Arial"/>
                <w:sz w:val="14"/>
                <w:szCs w:val="14"/>
                <w:color w:val="auto"/>
              </w:rPr>
              <w:t>Income before taxation</w:t>
            </w:r>
          </w:p>
        </w:tc>
        <w:tc>
          <w:tcPr>
            <w:tcW w:w="2160" w:type="dxa"/>
            <w:vAlign w:val="bottom"/>
            <w:tcBorders>
              <w:right w:val="single" w:sz="8" w:color="D8D8D8"/>
            </w:tcBorders>
          </w:tcPr>
          <w:p>
            <w:pPr>
              <w:spacing w:after="0"/>
              <w:rPr>
                <w:sz w:val="13"/>
                <w:szCs w:val="13"/>
                <w:color w:val="auto"/>
              </w:rPr>
            </w:pPr>
          </w:p>
        </w:tc>
        <w:tc>
          <w:tcPr>
            <w:tcW w:w="1140" w:type="dxa"/>
            <w:vAlign w:val="bottom"/>
            <w:shd w:val="clear" w:color="auto" w:fill="D8D8D8"/>
          </w:tcPr>
          <w:p>
            <w:pPr>
              <w:jc w:val="right"/>
              <w:ind w:right="249"/>
              <w:spacing w:after="0"/>
              <w:rPr>
                <w:sz w:val="20"/>
                <w:szCs w:val="20"/>
                <w:color w:val="auto"/>
              </w:rPr>
            </w:pPr>
            <w:r>
              <w:rPr>
                <w:rFonts w:ascii="Arial" w:cs="Arial" w:eastAsia="Arial" w:hAnsi="Arial"/>
                <w:sz w:val="14"/>
                <w:szCs w:val="14"/>
                <w:color w:val="auto"/>
              </w:rPr>
              <w:t>28,314</w:t>
            </w:r>
          </w:p>
        </w:tc>
        <w:tc>
          <w:tcPr>
            <w:tcW w:w="540" w:type="dxa"/>
            <w:vAlign w:val="bottom"/>
          </w:tcPr>
          <w:p>
            <w:pPr>
              <w:spacing w:after="0"/>
              <w:rPr>
                <w:sz w:val="13"/>
                <w:szCs w:val="13"/>
                <w:color w:val="auto"/>
              </w:rPr>
            </w:pPr>
          </w:p>
        </w:tc>
        <w:tc>
          <w:tcPr>
            <w:tcW w:w="880" w:type="dxa"/>
            <w:vAlign w:val="bottom"/>
          </w:tcPr>
          <w:p>
            <w:pPr>
              <w:jc w:val="right"/>
              <w:ind w:right="129"/>
              <w:spacing w:after="0"/>
              <w:rPr>
                <w:sz w:val="20"/>
                <w:szCs w:val="20"/>
                <w:color w:val="auto"/>
              </w:rPr>
            </w:pPr>
            <w:r>
              <w:rPr>
                <w:rFonts w:ascii="Arial" w:cs="Arial" w:eastAsia="Arial" w:hAnsi="Arial"/>
                <w:sz w:val="14"/>
                <w:szCs w:val="14"/>
                <w:color w:val="auto"/>
              </w:rPr>
              <w:t>33,592</w:t>
            </w:r>
          </w:p>
        </w:tc>
        <w:tc>
          <w:tcPr>
            <w:tcW w:w="1100" w:type="dxa"/>
            <w:vAlign w:val="bottom"/>
          </w:tcPr>
          <w:p>
            <w:pPr>
              <w:jc w:val="right"/>
              <w:ind w:right="269"/>
              <w:spacing w:after="0"/>
              <w:rPr>
                <w:sz w:val="20"/>
                <w:szCs w:val="20"/>
                <w:color w:val="auto"/>
              </w:rPr>
            </w:pPr>
            <w:r>
              <w:rPr>
                <w:rFonts w:ascii="Arial" w:cs="Arial" w:eastAsia="Arial" w:hAnsi="Arial"/>
                <w:sz w:val="14"/>
                <w:szCs w:val="14"/>
                <w:color w:val="auto"/>
              </w:rPr>
              <w:t>50,512</w:t>
            </w:r>
          </w:p>
        </w:tc>
        <w:tc>
          <w:tcPr>
            <w:tcW w:w="0" w:type="dxa"/>
            <w:vAlign w:val="bottom"/>
          </w:tcPr>
          <w:p>
            <w:pPr>
              <w:spacing w:after="0"/>
              <w:rPr>
                <w:sz w:val="1"/>
                <w:szCs w:val="1"/>
                <w:color w:val="auto"/>
              </w:rPr>
            </w:pPr>
          </w:p>
        </w:tc>
      </w:tr>
      <w:tr>
        <w:trPr>
          <w:trHeight w:val="157"/>
        </w:trPr>
        <w:tc>
          <w:tcPr>
            <w:tcW w:w="5600" w:type="dxa"/>
            <w:vAlign w:val="bottom"/>
            <w:tcBorders>
              <w:bottom w:val="single" w:sz="8" w:color="auto"/>
            </w:tcBorders>
          </w:tcPr>
          <w:p>
            <w:pPr>
              <w:spacing w:after="0" w:line="157" w:lineRule="exact"/>
              <w:rPr>
                <w:sz w:val="20"/>
                <w:szCs w:val="20"/>
                <w:color w:val="auto"/>
              </w:rPr>
            </w:pPr>
            <w:r>
              <w:rPr>
                <w:rFonts w:ascii="Arial" w:cs="Arial" w:eastAsia="Arial" w:hAnsi="Arial"/>
                <w:sz w:val="14"/>
                <w:szCs w:val="14"/>
                <w:color w:val="auto"/>
              </w:rPr>
              <w:t>Taxation</w:t>
            </w:r>
          </w:p>
        </w:tc>
        <w:tc>
          <w:tcPr>
            <w:tcW w:w="2160" w:type="dxa"/>
            <w:vAlign w:val="bottom"/>
            <w:tcBorders>
              <w:bottom w:val="single" w:sz="8" w:color="auto"/>
              <w:right w:val="single" w:sz="8" w:color="D8D8D8"/>
            </w:tcBorders>
          </w:tcPr>
          <w:p>
            <w:pPr>
              <w:jc w:val="right"/>
              <w:ind w:right="311"/>
              <w:spacing w:after="0" w:line="157" w:lineRule="exact"/>
              <w:rPr>
                <w:sz w:val="20"/>
                <w:szCs w:val="20"/>
                <w:color w:val="auto"/>
              </w:rPr>
            </w:pPr>
            <w:r>
              <w:rPr>
                <w:rFonts w:ascii="Arial" w:cs="Arial" w:eastAsia="Arial" w:hAnsi="Arial"/>
                <w:sz w:val="14"/>
                <w:szCs w:val="14"/>
                <w:color w:val="auto"/>
              </w:rPr>
              <w:t>16</w:t>
            </w:r>
          </w:p>
        </w:tc>
        <w:tc>
          <w:tcPr>
            <w:tcW w:w="1140" w:type="dxa"/>
            <w:vAlign w:val="bottom"/>
            <w:tcBorders>
              <w:bottom w:val="single" w:sz="8" w:color="auto"/>
            </w:tcBorders>
            <w:shd w:val="clear" w:color="auto" w:fill="D8D8D8"/>
          </w:tcPr>
          <w:p>
            <w:pPr>
              <w:jc w:val="right"/>
              <w:ind w:right="249"/>
              <w:spacing w:after="0" w:line="157" w:lineRule="exact"/>
              <w:rPr>
                <w:sz w:val="20"/>
                <w:szCs w:val="20"/>
                <w:color w:val="auto"/>
              </w:rPr>
            </w:pPr>
            <w:r>
              <w:rPr>
                <w:rFonts w:ascii="Arial" w:cs="Arial" w:eastAsia="Arial" w:hAnsi="Arial"/>
                <w:sz w:val="14"/>
                <w:szCs w:val="14"/>
                <w:color w:val="auto"/>
              </w:rPr>
              <w:t>13,584</w:t>
            </w:r>
          </w:p>
        </w:tc>
        <w:tc>
          <w:tcPr>
            <w:tcW w:w="54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129"/>
              <w:spacing w:after="0" w:line="157" w:lineRule="exact"/>
              <w:rPr>
                <w:sz w:val="20"/>
                <w:szCs w:val="20"/>
                <w:color w:val="auto"/>
              </w:rPr>
            </w:pPr>
            <w:r>
              <w:rPr>
                <w:rFonts w:ascii="Arial" w:cs="Arial" w:eastAsia="Arial" w:hAnsi="Arial"/>
                <w:sz w:val="14"/>
                <w:szCs w:val="14"/>
                <w:color w:val="auto"/>
              </w:rPr>
              <w:t>17,066</w:t>
            </w:r>
          </w:p>
        </w:tc>
        <w:tc>
          <w:tcPr>
            <w:tcW w:w="1100" w:type="dxa"/>
            <w:vAlign w:val="bottom"/>
            <w:tcBorders>
              <w:bottom w:val="single" w:sz="8" w:color="auto"/>
            </w:tcBorders>
          </w:tcPr>
          <w:p>
            <w:pPr>
              <w:jc w:val="right"/>
              <w:ind w:right="269"/>
              <w:spacing w:after="0" w:line="157" w:lineRule="exact"/>
              <w:rPr>
                <w:sz w:val="20"/>
                <w:szCs w:val="20"/>
                <w:color w:val="auto"/>
              </w:rPr>
            </w:pPr>
            <w:r>
              <w:rPr>
                <w:rFonts w:ascii="Arial" w:cs="Arial" w:eastAsia="Arial" w:hAnsi="Arial"/>
                <w:sz w:val="14"/>
                <w:szCs w:val="14"/>
                <w:color w:val="auto"/>
              </w:rPr>
              <w:t>23,552</w:t>
            </w:r>
          </w:p>
        </w:tc>
        <w:tc>
          <w:tcPr>
            <w:tcW w:w="0" w:type="dxa"/>
            <w:vAlign w:val="bottom"/>
          </w:tcPr>
          <w:p>
            <w:pPr>
              <w:spacing w:after="0"/>
              <w:rPr>
                <w:sz w:val="1"/>
                <w:szCs w:val="1"/>
                <w:color w:val="auto"/>
              </w:rPr>
            </w:pPr>
          </w:p>
        </w:tc>
      </w:tr>
      <w:tr>
        <w:trPr>
          <w:trHeight w:val="156"/>
        </w:trPr>
        <w:tc>
          <w:tcPr>
            <w:tcW w:w="5600" w:type="dxa"/>
            <w:vAlign w:val="bottom"/>
            <w:tcBorders>
              <w:bottom w:val="single" w:sz="8" w:color="auto"/>
            </w:tcBorders>
          </w:tcPr>
          <w:p>
            <w:pPr>
              <w:spacing w:after="0" w:line="155" w:lineRule="exact"/>
              <w:rPr>
                <w:sz w:val="20"/>
                <w:szCs w:val="20"/>
                <w:color w:val="auto"/>
              </w:rPr>
            </w:pPr>
            <w:r>
              <w:rPr>
                <w:rFonts w:ascii="Arial" w:cs="Arial" w:eastAsia="Arial" w:hAnsi="Arial"/>
                <w:sz w:val="14"/>
                <w:szCs w:val="14"/>
                <w:color w:val="auto"/>
              </w:rPr>
              <w:t>Income for the period</w:t>
            </w:r>
          </w:p>
        </w:tc>
        <w:tc>
          <w:tcPr>
            <w:tcW w:w="2160" w:type="dxa"/>
            <w:vAlign w:val="bottom"/>
            <w:tcBorders>
              <w:bottom w:val="single" w:sz="8" w:color="auto"/>
              <w:right w:val="single" w:sz="8" w:color="D8D8D8"/>
            </w:tcBorders>
          </w:tcPr>
          <w:p>
            <w:pPr>
              <w:jc w:val="right"/>
              <w:ind w:right="311"/>
              <w:spacing w:after="0" w:line="155" w:lineRule="exact"/>
              <w:rPr>
                <w:sz w:val="20"/>
                <w:szCs w:val="20"/>
                <w:color w:val="auto"/>
              </w:rPr>
            </w:pPr>
            <w:r>
              <w:rPr>
                <w:rFonts w:ascii="Arial" w:cs="Arial" w:eastAsia="Arial" w:hAnsi="Arial"/>
                <w:sz w:val="14"/>
                <w:szCs w:val="14"/>
                <w:color w:val="auto"/>
              </w:rPr>
              <w:t>4</w:t>
            </w:r>
          </w:p>
        </w:tc>
        <w:tc>
          <w:tcPr>
            <w:tcW w:w="1140" w:type="dxa"/>
            <w:vAlign w:val="bottom"/>
            <w:tcBorders>
              <w:bottom w:val="single" w:sz="8" w:color="auto"/>
            </w:tcBorders>
            <w:shd w:val="clear" w:color="auto" w:fill="D8D8D8"/>
          </w:tcPr>
          <w:p>
            <w:pPr>
              <w:jc w:val="right"/>
              <w:ind w:right="249"/>
              <w:spacing w:after="0" w:line="155" w:lineRule="exact"/>
              <w:rPr>
                <w:sz w:val="20"/>
                <w:szCs w:val="20"/>
                <w:color w:val="auto"/>
              </w:rPr>
            </w:pPr>
            <w:r>
              <w:rPr>
                <w:rFonts w:ascii="Arial" w:cs="Arial" w:eastAsia="Arial" w:hAnsi="Arial"/>
                <w:sz w:val="14"/>
                <w:szCs w:val="14"/>
                <w:color w:val="auto"/>
              </w:rPr>
              <w:t>14,730</w:t>
            </w:r>
          </w:p>
        </w:tc>
        <w:tc>
          <w:tcPr>
            <w:tcW w:w="54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129"/>
              <w:spacing w:after="0" w:line="155" w:lineRule="exact"/>
              <w:rPr>
                <w:sz w:val="20"/>
                <w:szCs w:val="20"/>
                <w:color w:val="auto"/>
              </w:rPr>
            </w:pPr>
            <w:r>
              <w:rPr>
                <w:rFonts w:ascii="Arial" w:cs="Arial" w:eastAsia="Arial" w:hAnsi="Arial"/>
                <w:sz w:val="14"/>
                <w:szCs w:val="14"/>
                <w:color w:val="auto"/>
              </w:rPr>
              <w:t>16,526</w:t>
            </w:r>
          </w:p>
        </w:tc>
        <w:tc>
          <w:tcPr>
            <w:tcW w:w="1100" w:type="dxa"/>
            <w:vAlign w:val="bottom"/>
            <w:tcBorders>
              <w:bottom w:val="single" w:sz="8" w:color="auto"/>
            </w:tcBorders>
          </w:tcPr>
          <w:p>
            <w:pPr>
              <w:jc w:val="right"/>
              <w:ind w:right="269"/>
              <w:spacing w:after="0" w:line="155" w:lineRule="exact"/>
              <w:rPr>
                <w:sz w:val="20"/>
                <w:szCs w:val="20"/>
                <w:color w:val="auto"/>
              </w:rPr>
            </w:pPr>
            <w:r>
              <w:rPr>
                <w:rFonts w:ascii="Arial" w:cs="Arial" w:eastAsia="Arial" w:hAnsi="Arial"/>
                <w:sz w:val="14"/>
                <w:szCs w:val="14"/>
                <w:color w:val="auto"/>
              </w:rPr>
              <w:t>26,960</w:t>
            </w:r>
          </w:p>
        </w:tc>
        <w:tc>
          <w:tcPr>
            <w:tcW w:w="0" w:type="dxa"/>
            <w:vAlign w:val="bottom"/>
          </w:tcPr>
          <w:p>
            <w:pPr>
              <w:spacing w:after="0"/>
              <w:rPr>
                <w:sz w:val="1"/>
                <w:szCs w:val="1"/>
                <w:color w:val="auto"/>
              </w:rPr>
            </w:pPr>
          </w:p>
        </w:tc>
      </w:tr>
      <w:tr>
        <w:trPr>
          <w:trHeight w:val="156"/>
        </w:trPr>
        <w:tc>
          <w:tcPr>
            <w:tcW w:w="5600" w:type="dxa"/>
            <w:vAlign w:val="bottom"/>
            <w:tcBorders>
              <w:bottom w:val="single" w:sz="8" w:color="auto"/>
            </w:tcBorders>
          </w:tcPr>
          <w:p>
            <w:pPr>
              <w:spacing w:after="0" w:line="155" w:lineRule="exact"/>
              <w:rPr>
                <w:sz w:val="20"/>
                <w:szCs w:val="20"/>
                <w:color w:val="auto"/>
              </w:rPr>
            </w:pPr>
            <w:r>
              <w:rPr>
                <w:rFonts w:ascii="Arial" w:cs="Arial" w:eastAsia="Arial" w:hAnsi="Arial"/>
                <w:sz w:val="14"/>
                <w:szCs w:val="14"/>
                <w:color w:val="auto"/>
              </w:rPr>
              <w:t>(Loss)/income attributable to non-controlling interest</w:t>
            </w:r>
          </w:p>
        </w:tc>
        <w:tc>
          <w:tcPr>
            <w:tcW w:w="2160" w:type="dxa"/>
            <w:vAlign w:val="bottom"/>
            <w:tcBorders>
              <w:bottom w:val="single" w:sz="8" w:color="auto"/>
              <w:right w:val="single" w:sz="8" w:color="D8D8D8"/>
            </w:tcBorders>
          </w:tcPr>
          <w:p>
            <w:pPr>
              <w:spacing w:after="0"/>
              <w:rPr>
                <w:sz w:val="13"/>
                <w:szCs w:val="13"/>
                <w:color w:val="auto"/>
              </w:rPr>
            </w:pPr>
          </w:p>
        </w:tc>
        <w:tc>
          <w:tcPr>
            <w:tcW w:w="1140" w:type="dxa"/>
            <w:vAlign w:val="bottom"/>
            <w:tcBorders>
              <w:bottom w:val="single" w:sz="8" w:color="auto"/>
            </w:tcBorders>
            <w:shd w:val="clear" w:color="auto" w:fill="D8D8D8"/>
          </w:tcPr>
          <w:p>
            <w:pPr>
              <w:jc w:val="right"/>
              <w:ind w:right="249"/>
              <w:spacing w:after="0" w:line="155" w:lineRule="exact"/>
              <w:rPr>
                <w:sz w:val="20"/>
                <w:szCs w:val="20"/>
                <w:color w:val="auto"/>
              </w:rPr>
            </w:pPr>
            <w:r>
              <w:rPr>
                <w:rFonts w:ascii="Arial" w:cs="Arial" w:eastAsia="Arial" w:hAnsi="Arial"/>
                <w:sz w:val="14"/>
                <w:szCs w:val="14"/>
                <w:color w:val="auto"/>
              </w:rPr>
              <w:t>(144)</w:t>
            </w:r>
          </w:p>
        </w:tc>
        <w:tc>
          <w:tcPr>
            <w:tcW w:w="54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129"/>
              <w:spacing w:after="0" w:line="155" w:lineRule="exact"/>
              <w:rPr>
                <w:sz w:val="20"/>
                <w:szCs w:val="20"/>
                <w:color w:val="auto"/>
              </w:rPr>
            </w:pPr>
            <w:r>
              <w:rPr>
                <w:rFonts w:ascii="Arial" w:cs="Arial" w:eastAsia="Arial" w:hAnsi="Arial"/>
                <w:sz w:val="14"/>
                <w:szCs w:val="14"/>
                <w:color w:val="auto"/>
              </w:rPr>
              <w:t>155</w:t>
            </w:r>
          </w:p>
        </w:tc>
        <w:tc>
          <w:tcPr>
            <w:tcW w:w="1100" w:type="dxa"/>
            <w:vAlign w:val="bottom"/>
            <w:tcBorders>
              <w:bottom w:val="single" w:sz="8" w:color="auto"/>
            </w:tcBorders>
          </w:tcPr>
          <w:p>
            <w:pPr>
              <w:jc w:val="right"/>
              <w:ind w:right="269"/>
              <w:spacing w:after="0" w:line="155" w:lineRule="exact"/>
              <w:rPr>
                <w:sz w:val="20"/>
                <w:szCs w:val="20"/>
                <w:color w:val="auto"/>
              </w:rPr>
            </w:pPr>
            <w:r>
              <w:rPr>
                <w:rFonts w:ascii="Arial" w:cs="Arial" w:eastAsia="Arial" w:hAnsi="Arial"/>
                <w:sz w:val="14"/>
                <w:szCs w:val="14"/>
                <w:color w:val="auto"/>
              </w:rPr>
              <w:t>248</w:t>
            </w:r>
          </w:p>
        </w:tc>
        <w:tc>
          <w:tcPr>
            <w:tcW w:w="0" w:type="dxa"/>
            <w:vAlign w:val="bottom"/>
          </w:tcPr>
          <w:p>
            <w:pPr>
              <w:spacing w:after="0"/>
              <w:rPr>
                <w:sz w:val="1"/>
                <w:szCs w:val="1"/>
                <w:color w:val="auto"/>
              </w:rPr>
            </w:pPr>
          </w:p>
        </w:tc>
      </w:tr>
      <w:tr>
        <w:trPr>
          <w:trHeight w:val="156"/>
        </w:trPr>
        <w:tc>
          <w:tcPr>
            <w:tcW w:w="5600" w:type="dxa"/>
            <w:vAlign w:val="bottom"/>
            <w:tcBorders>
              <w:bottom w:val="single" w:sz="8" w:color="auto"/>
            </w:tcBorders>
          </w:tcPr>
          <w:p>
            <w:pPr>
              <w:spacing w:after="0" w:line="155" w:lineRule="exact"/>
              <w:rPr>
                <w:sz w:val="20"/>
                <w:szCs w:val="20"/>
                <w:color w:val="auto"/>
              </w:rPr>
            </w:pPr>
            <w:r>
              <w:rPr>
                <w:rFonts w:ascii="Arial" w:cs="Arial" w:eastAsia="Arial" w:hAnsi="Arial"/>
                <w:sz w:val="14"/>
                <w:szCs w:val="14"/>
                <w:color w:val="auto"/>
              </w:rPr>
              <w:t>Income attributable to Royal Dutch Shell plc shareholders</w:t>
            </w:r>
          </w:p>
        </w:tc>
        <w:tc>
          <w:tcPr>
            <w:tcW w:w="2160" w:type="dxa"/>
            <w:vAlign w:val="bottom"/>
            <w:tcBorders>
              <w:bottom w:val="single" w:sz="8" w:color="auto"/>
              <w:right w:val="single" w:sz="8" w:color="D8D8D8"/>
            </w:tcBorders>
          </w:tcPr>
          <w:p>
            <w:pPr>
              <w:spacing w:after="0"/>
              <w:rPr>
                <w:sz w:val="13"/>
                <w:szCs w:val="13"/>
                <w:color w:val="auto"/>
              </w:rPr>
            </w:pPr>
          </w:p>
        </w:tc>
        <w:tc>
          <w:tcPr>
            <w:tcW w:w="1140" w:type="dxa"/>
            <w:vAlign w:val="bottom"/>
            <w:tcBorders>
              <w:bottom w:val="single" w:sz="8" w:color="auto"/>
            </w:tcBorders>
            <w:shd w:val="clear" w:color="auto" w:fill="D8D8D8"/>
          </w:tcPr>
          <w:p>
            <w:pPr>
              <w:jc w:val="right"/>
              <w:ind w:right="249"/>
              <w:spacing w:after="0" w:line="155" w:lineRule="exact"/>
              <w:rPr>
                <w:sz w:val="20"/>
                <w:szCs w:val="20"/>
                <w:color w:val="auto"/>
              </w:rPr>
            </w:pPr>
            <w:r>
              <w:rPr>
                <w:rFonts w:ascii="Arial" w:cs="Arial" w:eastAsia="Arial" w:hAnsi="Arial"/>
                <w:sz w:val="14"/>
                <w:szCs w:val="14"/>
                <w:color w:val="auto"/>
              </w:rPr>
              <w:t>14,874</w:t>
            </w:r>
          </w:p>
        </w:tc>
        <w:tc>
          <w:tcPr>
            <w:tcW w:w="54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129"/>
              <w:spacing w:after="0" w:line="155" w:lineRule="exact"/>
              <w:rPr>
                <w:sz w:val="20"/>
                <w:szCs w:val="20"/>
                <w:color w:val="auto"/>
              </w:rPr>
            </w:pPr>
            <w:r>
              <w:rPr>
                <w:rFonts w:ascii="Arial" w:cs="Arial" w:eastAsia="Arial" w:hAnsi="Arial"/>
                <w:sz w:val="14"/>
                <w:szCs w:val="14"/>
                <w:color w:val="auto"/>
              </w:rPr>
              <w:t>16,371</w:t>
            </w:r>
          </w:p>
        </w:tc>
        <w:tc>
          <w:tcPr>
            <w:tcW w:w="1100" w:type="dxa"/>
            <w:vAlign w:val="bottom"/>
            <w:tcBorders>
              <w:bottom w:val="single" w:sz="8" w:color="auto"/>
            </w:tcBorders>
          </w:tcPr>
          <w:p>
            <w:pPr>
              <w:jc w:val="right"/>
              <w:ind w:right="269"/>
              <w:spacing w:after="0" w:line="155" w:lineRule="exact"/>
              <w:rPr>
                <w:sz w:val="20"/>
                <w:szCs w:val="20"/>
                <w:color w:val="auto"/>
              </w:rPr>
            </w:pPr>
            <w:r>
              <w:rPr>
                <w:rFonts w:ascii="Arial" w:cs="Arial" w:eastAsia="Arial" w:hAnsi="Arial"/>
                <w:sz w:val="14"/>
                <w:szCs w:val="14"/>
                <w:color w:val="auto"/>
              </w:rPr>
              <w:t>26,712</w:t>
            </w:r>
          </w:p>
        </w:tc>
        <w:tc>
          <w:tcPr>
            <w:tcW w:w="0" w:type="dxa"/>
            <w:vAlign w:val="bottom"/>
          </w:tcPr>
          <w:p>
            <w:pPr>
              <w:spacing w:after="0"/>
              <w:rPr>
                <w:sz w:val="1"/>
                <w:szCs w:val="1"/>
                <w:color w:val="auto"/>
              </w:rPr>
            </w:pPr>
          </w:p>
        </w:tc>
      </w:tr>
      <w:tr>
        <w:trPr>
          <w:trHeight w:val="277"/>
        </w:trPr>
        <w:tc>
          <w:tcPr>
            <w:tcW w:w="5600" w:type="dxa"/>
            <w:vAlign w:val="bottom"/>
          </w:tcPr>
          <w:p>
            <w:pPr>
              <w:spacing w:after="0"/>
              <w:rPr>
                <w:sz w:val="20"/>
                <w:szCs w:val="20"/>
                <w:color w:val="auto"/>
              </w:rPr>
            </w:pPr>
            <w:r>
              <w:rPr>
                <w:rFonts w:ascii="Arial" w:cs="Arial" w:eastAsia="Arial" w:hAnsi="Arial"/>
                <w:sz w:val="14"/>
                <w:szCs w:val="14"/>
                <w:color w:val="auto"/>
              </w:rPr>
              <w:t>Basic earnings per share ($)</w:t>
            </w:r>
          </w:p>
        </w:tc>
        <w:tc>
          <w:tcPr>
            <w:tcW w:w="2160" w:type="dxa"/>
            <w:vAlign w:val="bottom"/>
            <w:tcBorders>
              <w:right w:val="single" w:sz="8" w:color="D8D8D8"/>
            </w:tcBorders>
          </w:tcPr>
          <w:p>
            <w:pPr>
              <w:jc w:val="right"/>
              <w:ind w:right="311"/>
              <w:spacing w:after="0"/>
              <w:rPr>
                <w:sz w:val="20"/>
                <w:szCs w:val="20"/>
                <w:color w:val="auto"/>
              </w:rPr>
            </w:pPr>
            <w:r>
              <w:rPr>
                <w:rFonts w:ascii="Arial" w:cs="Arial" w:eastAsia="Arial" w:hAnsi="Arial"/>
                <w:sz w:val="14"/>
                <w:szCs w:val="14"/>
                <w:color w:val="auto"/>
              </w:rPr>
              <w:t>24</w:t>
            </w:r>
          </w:p>
        </w:tc>
        <w:tc>
          <w:tcPr>
            <w:tcW w:w="1140" w:type="dxa"/>
            <w:vAlign w:val="bottom"/>
            <w:shd w:val="clear" w:color="auto" w:fill="D8D8D8"/>
          </w:tcPr>
          <w:p>
            <w:pPr>
              <w:jc w:val="right"/>
              <w:ind w:right="249"/>
              <w:spacing w:after="0"/>
              <w:rPr>
                <w:sz w:val="20"/>
                <w:szCs w:val="20"/>
                <w:color w:val="auto"/>
              </w:rPr>
            </w:pPr>
            <w:r>
              <w:rPr>
                <w:rFonts w:ascii="Arial" w:cs="Arial" w:eastAsia="Arial" w:hAnsi="Arial"/>
                <w:sz w:val="14"/>
                <w:szCs w:val="14"/>
                <w:color w:val="auto"/>
              </w:rPr>
              <w:t>2.36</w:t>
            </w:r>
          </w:p>
        </w:tc>
        <w:tc>
          <w:tcPr>
            <w:tcW w:w="540" w:type="dxa"/>
            <w:vAlign w:val="bottom"/>
          </w:tcPr>
          <w:p>
            <w:pPr>
              <w:spacing w:after="0"/>
              <w:rPr>
                <w:sz w:val="24"/>
                <w:szCs w:val="24"/>
                <w:color w:val="auto"/>
              </w:rPr>
            </w:pPr>
          </w:p>
        </w:tc>
        <w:tc>
          <w:tcPr>
            <w:tcW w:w="880" w:type="dxa"/>
            <w:vAlign w:val="bottom"/>
          </w:tcPr>
          <w:p>
            <w:pPr>
              <w:jc w:val="right"/>
              <w:ind w:right="129"/>
              <w:spacing w:after="0"/>
              <w:rPr>
                <w:sz w:val="20"/>
                <w:szCs w:val="20"/>
                <w:color w:val="auto"/>
              </w:rPr>
            </w:pPr>
            <w:r>
              <w:rPr>
                <w:rFonts w:ascii="Arial" w:cs="Arial" w:eastAsia="Arial" w:hAnsi="Arial"/>
                <w:sz w:val="14"/>
                <w:szCs w:val="14"/>
                <w:color w:val="auto"/>
              </w:rPr>
              <w:t>2.60</w:t>
            </w:r>
          </w:p>
        </w:tc>
        <w:tc>
          <w:tcPr>
            <w:tcW w:w="1100" w:type="dxa"/>
            <w:vAlign w:val="bottom"/>
          </w:tcPr>
          <w:p>
            <w:pPr>
              <w:jc w:val="right"/>
              <w:ind w:right="269"/>
              <w:spacing w:after="0"/>
              <w:rPr>
                <w:sz w:val="20"/>
                <w:szCs w:val="20"/>
                <w:color w:val="auto"/>
              </w:rPr>
            </w:pPr>
            <w:r>
              <w:rPr>
                <w:rFonts w:ascii="Arial" w:cs="Arial" w:eastAsia="Arial" w:hAnsi="Arial"/>
                <w:sz w:val="14"/>
                <w:szCs w:val="14"/>
                <w:color w:val="auto"/>
              </w:rPr>
              <w:t>4.27</w:t>
            </w:r>
          </w:p>
        </w:tc>
        <w:tc>
          <w:tcPr>
            <w:tcW w:w="0" w:type="dxa"/>
            <w:vAlign w:val="bottom"/>
          </w:tcPr>
          <w:p>
            <w:pPr>
              <w:spacing w:after="0"/>
              <w:rPr>
                <w:sz w:val="1"/>
                <w:szCs w:val="1"/>
                <w:color w:val="auto"/>
              </w:rPr>
            </w:pPr>
          </w:p>
        </w:tc>
      </w:tr>
      <w:tr>
        <w:trPr>
          <w:trHeight w:val="162"/>
        </w:trPr>
        <w:tc>
          <w:tcPr>
            <w:tcW w:w="560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Diluted earnings per share ($)</w:t>
            </w:r>
          </w:p>
        </w:tc>
        <w:tc>
          <w:tcPr>
            <w:tcW w:w="2160" w:type="dxa"/>
            <w:vAlign w:val="bottom"/>
            <w:tcBorders>
              <w:bottom w:val="single" w:sz="8" w:color="auto"/>
              <w:right w:val="single" w:sz="8" w:color="D8D8D8"/>
            </w:tcBorders>
          </w:tcPr>
          <w:p>
            <w:pPr>
              <w:jc w:val="right"/>
              <w:ind w:right="311"/>
              <w:spacing w:after="0"/>
              <w:rPr>
                <w:sz w:val="20"/>
                <w:szCs w:val="20"/>
                <w:color w:val="auto"/>
              </w:rPr>
            </w:pPr>
            <w:r>
              <w:rPr>
                <w:rFonts w:ascii="Arial" w:cs="Arial" w:eastAsia="Arial" w:hAnsi="Arial"/>
                <w:sz w:val="14"/>
                <w:szCs w:val="14"/>
                <w:color w:val="auto"/>
              </w:rPr>
              <w:t>24</w:t>
            </w:r>
          </w:p>
        </w:tc>
        <w:tc>
          <w:tcPr>
            <w:tcW w:w="1140" w:type="dxa"/>
            <w:vAlign w:val="bottom"/>
            <w:tcBorders>
              <w:bottom w:val="single" w:sz="8" w:color="auto"/>
            </w:tcBorders>
            <w:shd w:val="clear" w:color="auto" w:fill="D8D8D8"/>
          </w:tcPr>
          <w:p>
            <w:pPr>
              <w:jc w:val="right"/>
              <w:ind w:right="249"/>
              <w:spacing w:after="0"/>
              <w:rPr>
                <w:sz w:val="20"/>
                <w:szCs w:val="20"/>
                <w:color w:val="auto"/>
              </w:rPr>
            </w:pPr>
            <w:r>
              <w:rPr>
                <w:rFonts w:ascii="Arial" w:cs="Arial" w:eastAsia="Arial" w:hAnsi="Arial"/>
                <w:sz w:val="14"/>
                <w:szCs w:val="14"/>
                <w:color w:val="auto"/>
              </w:rPr>
              <w:t>2.36</w:t>
            </w:r>
          </w:p>
        </w:tc>
        <w:tc>
          <w:tcPr>
            <w:tcW w:w="5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129"/>
              <w:spacing w:after="0"/>
              <w:rPr>
                <w:sz w:val="20"/>
                <w:szCs w:val="20"/>
                <w:color w:val="auto"/>
              </w:rPr>
            </w:pPr>
            <w:r>
              <w:rPr>
                <w:rFonts w:ascii="Arial" w:cs="Arial" w:eastAsia="Arial" w:hAnsi="Arial"/>
                <w:sz w:val="14"/>
                <w:szCs w:val="14"/>
                <w:color w:val="auto"/>
              </w:rPr>
              <w:t>2.60</w:t>
            </w:r>
          </w:p>
        </w:tc>
        <w:tc>
          <w:tcPr>
            <w:tcW w:w="1100" w:type="dxa"/>
            <w:vAlign w:val="bottom"/>
            <w:tcBorders>
              <w:bottom w:val="single" w:sz="8" w:color="auto"/>
            </w:tcBorders>
          </w:tcPr>
          <w:p>
            <w:pPr>
              <w:jc w:val="right"/>
              <w:ind w:right="269"/>
              <w:spacing w:after="0"/>
              <w:rPr>
                <w:sz w:val="20"/>
                <w:szCs w:val="20"/>
                <w:color w:val="auto"/>
              </w:rPr>
            </w:pPr>
            <w:r>
              <w:rPr>
                <w:rFonts w:ascii="Arial" w:cs="Arial" w:eastAsia="Arial" w:hAnsi="Arial"/>
                <w:sz w:val="14"/>
                <w:szCs w:val="14"/>
                <w:color w:val="auto"/>
              </w:rPr>
              <w:t>4.26</w:t>
            </w:r>
          </w:p>
        </w:tc>
        <w:tc>
          <w:tcPr>
            <w:tcW w:w="0" w:type="dxa"/>
            <w:vAlign w:val="bottom"/>
          </w:tcPr>
          <w:p>
            <w:pPr>
              <w:spacing w:after="0"/>
              <w:rPr>
                <w:sz w:val="1"/>
                <w:szCs w:val="1"/>
                <w:color w:val="auto"/>
              </w:rPr>
            </w:pPr>
          </w:p>
        </w:tc>
      </w:tr>
      <w:tr>
        <w:trPr>
          <w:trHeight w:val="210"/>
        </w:trPr>
        <w:tc>
          <w:tcPr>
            <w:tcW w:w="560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5600" w:type="dxa"/>
            <w:vAlign w:val="bottom"/>
            <w:shd w:val="clear" w:color="auto" w:fill="333333"/>
          </w:tcPr>
          <w:p>
            <w:pPr>
              <w:ind w:left="80"/>
              <w:spacing w:after="0" w:line="162" w:lineRule="exact"/>
              <w:rPr>
                <w:sz w:val="20"/>
                <w:szCs w:val="20"/>
                <w:color w:val="auto"/>
              </w:rPr>
            </w:pPr>
            <w:r>
              <w:rPr>
                <w:rFonts w:ascii="Arial" w:cs="Arial" w:eastAsia="Arial" w:hAnsi="Arial"/>
                <w:sz w:val="15"/>
                <w:szCs w:val="15"/>
                <w:b w:val="1"/>
                <w:bCs w:val="1"/>
                <w:color w:val="FFFFFF"/>
              </w:rPr>
              <w:t>CONSOLIDATED STATEMENT OF COMPREHENSIVE INCOME</w:t>
            </w:r>
          </w:p>
        </w:tc>
        <w:tc>
          <w:tcPr>
            <w:tcW w:w="2160" w:type="dxa"/>
            <w:vAlign w:val="bottom"/>
            <w:tcBorders>
              <w:right w:val="single" w:sz="8" w:color="333333"/>
            </w:tcBorders>
            <w:shd w:val="clear" w:color="auto" w:fill="333333"/>
          </w:tcPr>
          <w:p>
            <w:pPr>
              <w:spacing w:after="0"/>
              <w:rPr>
                <w:sz w:val="14"/>
                <w:szCs w:val="14"/>
                <w:color w:val="auto"/>
              </w:rPr>
            </w:pPr>
          </w:p>
        </w:tc>
        <w:tc>
          <w:tcPr>
            <w:tcW w:w="1140" w:type="dxa"/>
            <w:vAlign w:val="bottom"/>
            <w:shd w:val="clear" w:color="auto" w:fill="333333"/>
          </w:tcPr>
          <w:p>
            <w:pPr>
              <w:spacing w:after="0"/>
              <w:rPr>
                <w:sz w:val="14"/>
                <w:szCs w:val="14"/>
                <w:color w:val="auto"/>
              </w:rPr>
            </w:pPr>
          </w:p>
        </w:tc>
        <w:tc>
          <w:tcPr>
            <w:tcW w:w="540" w:type="dxa"/>
            <w:vAlign w:val="bottom"/>
            <w:tcBorders>
              <w:left w:val="single" w:sz="8" w:color="333333"/>
            </w:tcBorders>
            <w:shd w:val="clear" w:color="auto" w:fill="333333"/>
          </w:tcPr>
          <w:p>
            <w:pPr>
              <w:spacing w:after="0"/>
              <w:rPr>
                <w:sz w:val="14"/>
                <w:szCs w:val="14"/>
                <w:color w:val="auto"/>
              </w:rPr>
            </w:pPr>
          </w:p>
        </w:tc>
        <w:tc>
          <w:tcPr>
            <w:tcW w:w="880" w:type="dxa"/>
            <w:vAlign w:val="bottom"/>
            <w:shd w:val="clear" w:color="auto" w:fill="333333"/>
          </w:tcPr>
          <w:p>
            <w:pPr>
              <w:spacing w:after="0"/>
              <w:rPr>
                <w:sz w:val="14"/>
                <w:szCs w:val="14"/>
                <w:color w:val="auto"/>
              </w:rPr>
            </w:pPr>
          </w:p>
        </w:tc>
        <w:tc>
          <w:tcPr>
            <w:tcW w:w="1100" w:type="dxa"/>
            <w:vAlign w:val="bottom"/>
            <w:shd w:val="clear" w:color="auto" w:fill="333333"/>
          </w:tcPr>
          <w:p>
            <w:pPr>
              <w:jc w:val="right"/>
              <w:ind w:right="149"/>
              <w:spacing w:after="0" w:line="162" w:lineRule="exact"/>
              <w:rPr>
                <w:sz w:val="20"/>
                <w:szCs w:val="20"/>
                <w:color w:val="auto"/>
              </w:rPr>
            </w:pPr>
            <w:r>
              <w:rPr>
                <w:rFonts w:ascii="Arial" w:cs="Arial" w:eastAsia="Arial" w:hAnsi="Arial"/>
                <w:sz w:val="15"/>
                <w:szCs w:val="15"/>
                <w:color w:val="FFFFFF"/>
              </w:rPr>
              <w:t>$ MILLION</w:t>
            </w:r>
          </w:p>
        </w:tc>
        <w:tc>
          <w:tcPr>
            <w:tcW w:w="0" w:type="dxa"/>
            <w:vAlign w:val="bottom"/>
          </w:tcPr>
          <w:p>
            <w:pPr>
              <w:spacing w:after="0"/>
              <w:rPr>
                <w:sz w:val="1"/>
                <w:szCs w:val="1"/>
                <w:color w:val="auto"/>
              </w:rPr>
            </w:pPr>
          </w:p>
        </w:tc>
      </w:tr>
      <w:tr>
        <w:trPr>
          <w:trHeight w:val="149"/>
        </w:trPr>
        <w:tc>
          <w:tcPr>
            <w:tcW w:w="5600" w:type="dxa"/>
            <w:vAlign w:val="bottom"/>
            <w:tcBorders>
              <w:bottom w:val="single" w:sz="8" w:color="auto"/>
            </w:tcBorders>
          </w:tcPr>
          <w:p>
            <w:pPr>
              <w:spacing w:after="0"/>
              <w:rPr>
                <w:sz w:val="12"/>
                <w:szCs w:val="12"/>
                <w:color w:val="auto"/>
              </w:rPr>
            </w:pPr>
          </w:p>
        </w:tc>
        <w:tc>
          <w:tcPr>
            <w:tcW w:w="2160" w:type="dxa"/>
            <w:vAlign w:val="bottom"/>
            <w:tcBorders>
              <w:bottom w:val="single" w:sz="8" w:color="auto"/>
            </w:tcBorders>
          </w:tcPr>
          <w:p>
            <w:pPr>
              <w:jc w:val="right"/>
              <w:ind w:right="271"/>
              <w:spacing w:after="0"/>
              <w:rPr>
                <w:sz w:val="20"/>
                <w:szCs w:val="20"/>
                <w:color w:val="auto"/>
              </w:rPr>
            </w:pPr>
            <w:r>
              <w:rPr>
                <w:rFonts w:ascii="Arial" w:cs="Arial" w:eastAsia="Arial" w:hAnsi="Arial"/>
                <w:sz w:val="13"/>
                <w:szCs w:val="13"/>
                <w:color w:val="auto"/>
              </w:rPr>
              <w:t>NOTES</w:t>
            </w:r>
          </w:p>
        </w:tc>
        <w:tc>
          <w:tcPr>
            <w:tcW w:w="1140" w:type="dxa"/>
            <w:vAlign w:val="bottom"/>
            <w:tcBorders>
              <w:bottom w:val="single" w:sz="8" w:color="auto"/>
            </w:tcBorders>
            <w:shd w:val="clear" w:color="auto" w:fill="D8D8D8"/>
          </w:tcPr>
          <w:p>
            <w:pPr>
              <w:jc w:val="right"/>
              <w:ind w:right="209"/>
              <w:spacing w:after="0"/>
              <w:rPr>
                <w:sz w:val="20"/>
                <w:szCs w:val="20"/>
                <w:color w:val="auto"/>
              </w:rPr>
            </w:pPr>
            <w:r>
              <w:rPr>
                <w:rFonts w:ascii="Arial" w:cs="Arial" w:eastAsia="Arial" w:hAnsi="Arial"/>
                <w:sz w:val="13"/>
                <w:szCs w:val="13"/>
                <w:color w:val="auto"/>
              </w:rPr>
              <w:t>2014</w:t>
            </w:r>
          </w:p>
        </w:tc>
        <w:tc>
          <w:tcPr>
            <w:tcW w:w="540" w:type="dxa"/>
            <w:vAlign w:val="bottom"/>
            <w:tcBorders>
              <w:left w:val="single" w:sz="8" w:color="D8D8D8"/>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129"/>
              <w:spacing w:after="0"/>
              <w:rPr>
                <w:sz w:val="20"/>
                <w:szCs w:val="20"/>
                <w:color w:val="auto"/>
              </w:rPr>
            </w:pPr>
            <w:r>
              <w:rPr>
                <w:rFonts w:ascii="Arial" w:cs="Arial" w:eastAsia="Arial" w:hAnsi="Arial"/>
                <w:sz w:val="13"/>
                <w:szCs w:val="13"/>
                <w:color w:val="auto"/>
              </w:rPr>
              <w:t>2013</w:t>
            </w:r>
          </w:p>
        </w:tc>
        <w:tc>
          <w:tcPr>
            <w:tcW w:w="1100" w:type="dxa"/>
            <w:vAlign w:val="bottom"/>
            <w:tcBorders>
              <w:bottom w:val="single" w:sz="8" w:color="auto"/>
            </w:tcBorders>
          </w:tcPr>
          <w:p>
            <w:pPr>
              <w:jc w:val="right"/>
              <w:ind w:right="269"/>
              <w:spacing w:after="0"/>
              <w:rPr>
                <w:sz w:val="20"/>
                <w:szCs w:val="20"/>
                <w:color w:val="auto"/>
              </w:rPr>
            </w:pPr>
            <w:r>
              <w:rPr>
                <w:rFonts w:ascii="Arial" w:cs="Arial" w:eastAsia="Arial" w:hAnsi="Arial"/>
                <w:sz w:val="13"/>
                <w:szCs w:val="13"/>
                <w:color w:val="auto"/>
              </w:rPr>
              <w:t>2012</w:t>
            </w:r>
          </w:p>
        </w:tc>
        <w:tc>
          <w:tcPr>
            <w:tcW w:w="0" w:type="dxa"/>
            <w:vAlign w:val="bottom"/>
          </w:tcPr>
          <w:p>
            <w:pPr>
              <w:spacing w:after="0"/>
              <w:rPr>
                <w:sz w:val="1"/>
                <w:szCs w:val="1"/>
                <w:color w:val="auto"/>
              </w:rPr>
            </w:pPr>
          </w:p>
        </w:tc>
      </w:tr>
      <w:tr>
        <w:trPr>
          <w:trHeight w:val="156"/>
        </w:trPr>
        <w:tc>
          <w:tcPr>
            <w:tcW w:w="5600" w:type="dxa"/>
            <w:vAlign w:val="bottom"/>
          </w:tcPr>
          <w:p>
            <w:pPr>
              <w:spacing w:after="0" w:line="155" w:lineRule="exact"/>
              <w:rPr>
                <w:sz w:val="20"/>
                <w:szCs w:val="20"/>
                <w:color w:val="auto"/>
              </w:rPr>
            </w:pPr>
            <w:r>
              <w:rPr>
                <w:rFonts w:ascii="Arial" w:cs="Arial" w:eastAsia="Arial" w:hAnsi="Arial"/>
                <w:sz w:val="14"/>
                <w:szCs w:val="14"/>
                <w:color w:val="auto"/>
              </w:rPr>
              <w:t>Income for the period</w:t>
            </w:r>
          </w:p>
        </w:tc>
        <w:tc>
          <w:tcPr>
            <w:tcW w:w="2160" w:type="dxa"/>
            <w:vAlign w:val="bottom"/>
          </w:tcPr>
          <w:p>
            <w:pPr>
              <w:spacing w:after="0"/>
              <w:rPr>
                <w:sz w:val="13"/>
                <w:szCs w:val="13"/>
                <w:color w:val="auto"/>
              </w:rPr>
            </w:pPr>
          </w:p>
        </w:tc>
        <w:tc>
          <w:tcPr>
            <w:tcW w:w="1140" w:type="dxa"/>
            <w:vAlign w:val="bottom"/>
            <w:shd w:val="clear" w:color="auto" w:fill="D8D8D8"/>
          </w:tcPr>
          <w:p>
            <w:pPr>
              <w:jc w:val="right"/>
              <w:ind w:right="209"/>
              <w:spacing w:after="0" w:line="155" w:lineRule="exact"/>
              <w:rPr>
                <w:sz w:val="20"/>
                <w:szCs w:val="20"/>
                <w:color w:val="auto"/>
              </w:rPr>
            </w:pPr>
            <w:r>
              <w:rPr>
                <w:rFonts w:ascii="Arial" w:cs="Arial" w:eastAsia="Arial" w:hAnsi="Arial"/>
                <w:sz w:val="14"/>
                <w:szCs w:val="14"/>
                <w:color w:val="auto"/>
              </w:rPr>
              <w:t>14,730</w:t>
            </w:r>
          </w:p>
        </w:tc>
        <w:tc>
          <w:tcPr>
            <w:tcW w:w="540" w:type="dxa"/>
            <w:vAlign w:val="bottom"/>
            <w:tcBorders>
              <w:left w:val="single" w:sz="8" w:color="D8D8D8"/>
            </w:tcBorders>
          </w:tcPr>
          <w:p>
            <w:pPr>
              <w:spacing w:after="0"/>
              <w:rPr>
                <w:sz w:val="13"/>
                <w:szCs w:val="13"/>
                <w:color w:val="auto"/>
              </w:rPr>
            </w:pPr>
          </w:p>
        </w:tc>
        <w:tc>
          <w:tcPr>
            <w:tcW w:w="880" w:type="dxa"/>
            <w:vAlign w:val="bottom"/>
          </w:tcPr>
          <w:p>
            <w:pPr>
              <w:jc w:val="right"/>
              <w:ind w:right="129"/>
              <w:spacing w:after="0" w:line="155" w:lineRule="exact"/>
              <w:rPr>
                <w:sz w:val="20"/>
                <w:szCs w:val="20"/>
                <w:color w:val="auto"/>
              </w:rPr>
            </w:pPr>
            <w:r>
              <w:rPr>
                <w:rFonts w:ascii="Arial" w:cs="Arial" w:eastAsia="Arial" w:hAnsi="Arial"/>
                <w:sz w:val="14"/>
                <w:szCs w:val="14"/>
                <w:color w:val="auto"/>
              </w:rPr>
              <w:t>16,526</w:t>
            </w:r>
          </w:p>
        </w:tc>
        <w:tc>
          <w:tcPr>
            <w:tcW w:w="1100" w:type="dxa"/>
            <w:vAlign w:val="bottom"/>
          </w:tcPr>
          <w:p>
            <w:pPr>
              <w:jc w:val="right"/>
              <w:ind w:right="269"/>
              <w:spacing w:after="0" w:line="155" w:lineRule="exact"/>
              <w:rPr>
                <w:sz w:val="20"/>
                <w:szCs w:val="20"/>
                <w:color w:val="auto"/>
              </w:rPr>
            </w:pPr>
            <w:r>
              <w:rPr>
                <w:rFonts w:ascii="Arial" w:cs="Arial" w:eastAsia="Arial" w:hAnsi="Arial"/>
                <w:sz w:val="14"/>
                <w:szCs w:val="14"/>
                <w:color w:val="auto"/>
              </w:rPr>
              <w:t>26,960</w:t>
            </w:r>
          </w:p>
        </w:tc>
        <w:tc>
          <w:tcPr>
            <w:tcW w:w="0" w:type="dxa"/>
            <w:vAlign w:val="bottom"/>
          </w:tcPr>
          <w:p>
            <w:pPr>
              <w:spacing w:after="0"/>
              <w:rPr>
                <w:sz w:val="1"/>
                <w:szCs w:val="1"/>
                <w:color w:val="auto"/>
              </w:rPr>
            </w:pPr>
          </w:p>
        </w:tc>
      </w:tr>
      <w:tr>
        <w:trPr>
          <w:trHeight w:val="162"/>
        </w:trPr>
        <w:tc>
          <w:tcPr>
            <w:tcW w:w="5600" w:type="dxa"/>
            <w:vAlign w:val="bottom"/>
          </w:tcPr>
          <w:p>
            <w:pPr>
              <w:spacing w:after="0"/>
              <w:rPr>
                <w:sz w:val="20"/>
                <w:szCs w:val="20"/>
                <w:color w:val="auto"/>
              </w:rPr>
            </w:pPr>
            <w:r>
              <w:rPr>
                <w:rFonts w:ascii="Arial" w:cs="Arial" w:eastAsia="Arial" w:hAnsi="Arial"/>
                <w:sz w:val="14"/>
                <w:szCs w:val="14"/>
                <w:color w:val="auto"/>
              </w:rPr>
              <w:t>Other comprehensive income</w:t>
            </w:r>
          </w:p>
        </w:tc>
        <w:tc>
          <w:tcPr>
            <w:tcW w:w="2160" w:type="dxa"/>
            <w:vAlign w:val="bottom"/>
          </w:tcPr>
          <w:p>
            <w:pPr>
              <w:jc w:val="right"/>
              <w:ind w:right="271"/>
              <w:spacing w:after="0"/>
              <w:rPr>
                <w:sz w:val="20"/>
                <w:szCs w:val="20"/>
                <w:color w:val="auto"/>
              </w:rPr>
            </w:pPr>
            <w:r>
              <w:rPr>
                <w:rFonts w:ascii="Arial" w:cs="Arial" w:eastAsia="Arial" w:hAnsi="Arial"/>
                <w:sz w:val="14"/>
                <w:szCs w:val="14"/>
                <w:color w:val="auto"/>
              </w:rPr>
              <w:t>22</w:t>
            </w:r>
          </w:p>
        </w:tc>
        <w:tc>
          <w:tcPr>
            <w:tcW w:w="1140" w:type="dxa"/>
            <w:vAlign w:val="bottom"/>
            <w:shd w:val="clear" w:color="auto" w:fill="D8D8D8"/>
          </w:tcPr>
          <w:p>
            <w:pPr>
              <w:spacing w:after="0"/>
              <w:rPr>
                <w:sz w:val="14"/>
                <w:szCs w:val="14"/>
                <w:color w:val="auto"/>
              </w:rPr>
            </w:pPr>
          </w:p>
        </w:tc>
        <w:tc>
          <w:tcPr>
            <w:tcW w:w="540" w:type="dxa"/>
            <w:vAlign w:val="bottom"/>
            <w:tcBorders>
              <w:left w:val="single" w:sz="8" w:color="D8D8D8"/>
            </w:tcBorders>
          </w:tcPr>
          <w:p>
            <w:pPr>
              <w:spacing w:after="0"/>
              <w:rPr>
                <w:sz w:val="14"/>
                <w:szCs w:val="14"/>
                <w:color w:val="auto"/>
              </w:rPr>
            </w:pPr>
          </w:p>
        </w:tc>
        <w:tc>
          <w:tcPr>
            <w:tcW w:w="8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5600" w:type="dxa"/>
            <w:vAlign w:val="bottom"/>
          </w:tcPr>
          <w:p>
            <w:pPr>
              <w:ind w:left="140"/>
              <w:spacing w:after="0"/>
              <w:rPr>
                <w:sz w:val="20"/>
                <w:szCs w:val="20"/>
                <w:color w:val="auto"/>
              </w:rPr>
            </w:pPr>
            <w:r>
              <w:rPr>
                <w:rFonts w:ascii="Arial" w:cs="Arial" w:eastAsia="Arial" w:hAnsi="Arial"/>
                <w:sz w:val="14"/>
                <w:szCs w:val="14"/>
                <w:color w:val="auto"/>
              </w:rPr>
              <w:t>Items that may be reclassified to income in later periods:</w:t>
            </w:r>
          </w:p>
        </w:tc>
        <w:tc>
          <w:tcPr>
            <w:tcW w:w="2160" w:type="dxa"/>
            <w:vAlign w:val="bottom"/>
          </w:tcPr>
          <w:p>
            <w:pPr>
              <w:spacing w:after="0"/>
              <w:rPr>
                <w:sz w:val="14"/>
                <w:szCs w:val="14"/>
                <w:color w:val="auto"/>
              </w:rPr>
            </w:pPr>
          </w:p>
        </w:tc>
        <w:tc>
          <w:tcPr>
            <w:tcW w:w="1140" w:type="dxa"/>
            <w:vAlign w:val="bottom"/>
            <w:shd w:val="clear" w:color="auto" w:fill="D8D8D8"/>
          </w:tcPr>
          <w:p>
            <w:pPr>
              <w:spacing w:after="0"/>
              <w:rPr>
                <w:sz w:val="14"/>
                <w:szCs w:val="14"/>
                <w:color w:val="auto"/>
              </w:rPr>
            </w:pPr>
          </w:p>
        </w:tc>
        <w:tc>
          <w:tcPr>
            <w:tcW w:w="540" w:type="dxa"/>
            <w:vAlign w:val="bottom"/>
            <w:tcBorders>
              <w:left w:val="single" w:sz="8" w:color="D8D8D8"/>
            </w:tcBorders>
          </w:tcPr>
          <w:p>
            <w:pPr>
              <w:spacing w:after="0"/>
              <w:rPr>
                <w:sz w:val="14"/>
                <w:szCs w:val="14"/>
                <w:color w:val="auto"/>
              </w:rPr>
            </w:pPr>
          </w:p>
        </w:tc>
        <w:tc>
          <w:tcPr>
            <w:tcW w:w="8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600" w:type="dxa"/>
            <w:vAlign w:val="bottom"/>
          </w:tcPr>
          <w:p>
            <w:pPr>
              <w:ind w:left="260"/>
              <w:spacing w:after="0"/>
              <w:rPr>
                <w:sz w:val="20"/>
                <w:szCs w:val="20"/>
                <w:color w:val="auto"/>
              </w:rPr>
            </w:pPr>
            <w:r>
              <w:rPr>
                <w:rFonts w:ascii="Arial" w:cs="Arial" w:eastAsia="Arial" w:hAnsi="Arial"/>
                <w:sz w:val="14"/>
                <w:szCs w:val="14"/>
                <w:color w:val="auto"/>
              </w:rPr>
              <w:t>Currency translation differences</w:t>
            </w:r>
          </w:p>
        </w:tc>
        <w:tc>
          <w:tcPr>
            <w:tcW w:w="2160" w:type="dxa"/>
            <w:vAlign w:val="bottom"/>
          </w:tcPr>
          <w:p>
            <w:pPr>
              <w:spacing w:after="0"/>
              <w:rPr>
                <w:sz w:val="14"/>
                <w:szCs w:val="14"/>
                <w:color w:val="auto"/>
              </w:rPr>
            </w:pPr>
          </w:p>
        </w:tc>
        <w:tc>
          <w:tcPr>
            <w:tcW w:w="1140" w:type="dxa"/>
            <w:vAlign w:val="bottom"/>
            <w:shd w:val="clear" w:color="auto" w:fill="D8D8D8"/>
          </w:tcPr>
          <w:p>
            <w:pPr>
              <w:jc w:val="right"/>
              <w:ind w:right="209"/>
              <w:spacing w:after="0"/>
              <w:rPr>
                <w:sz w:val="20"/>
                <w:szCs w:val="20"/>
                <w:color w:val="auto"/>
              </w:rPr>
            </w:pPr>
            <w:r>
              <w:rPr>
                <w:rFonts w:ascii="Arial" w:cs="Arial" w:eastAsia="Arial" w:hAnsi="Arial"/>
                <w:sz w:val="14"/>
                <w:szCs w:val="14"/>
                <w:color w:val="auto"/>
              </w:rPr>
              <w:t>(5,321)</w:t>
            </w:r>
          </w:p>
        </w:tc>
        <w:tc>
          <w:tcPr>
            <w:tcW w:w="540" w:type="dxa"/>
            <w:vAlign w:val="bottom"/>
            <w:tcBorders>
              <w:left w:val="single" w:sz="8" w:color="D8D8D8"/>
            </w:tcBorders>
          </w:tcPr>
          <w:p>
            <w:pPr>
              <w:spacing w:after="0"/>
              <w:rPr>
                <w:sz w:val="14"/>
                <w:szCs w:val="14"/>
                <w:color w:val="auto"/>
              </w:rPr>
            </w:pPr>
          </w:p>
        </w:tc>
        <w:tc>
          <w:tcPr>
            <w:tcW w:w="880" w:type="dxa"/>
            <w:vAlign w:val="bottom"/>
          </w:tcPr>
          <w:p>
            <w:pPr>
              <w:jc w:val="right"/>
              <w:ind w:right="69"/>
              <w:spacing w:after="0"/>
              <w:rPr>
                <w:sz w:val="20"/>
                <w:szCs w:val="20"/>
                <w:color w:val="auto"/>
              </w:rPr>
            </w:pPr>
            <w:r>
              <w:rPr>
                <w:rFonts w:ascii="Arial" w:cs="Arial" w:eastAsia="Arial" w:hAnsi="Arial"/>
                <w:sz w:val="14"/>
                <w:szCs w:val="14"/>
                <w:color w:val="auto"/>
              </w:rPr>
              <w:t>(1,938)</w:t>
            </w:r>
          </w:p>
        </w:tc>
        <w:tc>
          <w:tcPr>
            <w:tcW w:w="1100" w:type="dxa"/>
            <w:vAlign w:val="bottom"/>
          </w:tcPr>
          <w:p>
            <w:pPr>
              <w:jc w:val="right"/>
              <w:ind w:right="269"/>
              <w:spacing w:after="0"/>
              <w:rPr>
                <w:sz w:val="20"/>
                <w:szCs w:val="20"/>
                <w:color w:val="auto"/>
              </w:rPr>
            </w:pPr>
            <w:r>
              <w:rPr>
                <w:rFonts w:ascii="Arial" w:cs="Arial" w:eastAsia="Arial" w:hAnsi="Arial"/>
                <w:sz w:val="14"/>
                <w:szCs w:val="14"/>
                <w:color w:val="auto"/>
              </w:rPr>
              <w:t>1,394</w:t>
            </w:r>
          </w:p>
        </w:tc>
        <w:tc>
          <w:tcPr>
            <w:tcW w:w="0" w:type="dxa"/>
            <w:vAlign w:val="bottom"/>
          </w:tcPr>
          <w:p>
            <w:pPr>
              <w:spacing w:after="0"/>
              <w:rPr>
                <w:sz w:val="1"/>
                <w:szCs w:val="1"/>
                <w:color w:val="auto"/>
              </w:rPr>
            </w:pPr>
          </w:p>
        </w:tc>
      </w:tr>
      <w:tr>
        <w:trPr>
          <w:trHeight w:val="162"/>
        </w:trPr>
        <w:tc>
          <w:tcPr>
            <w:tcW w:w="5600" w:type="dxa"/>
            <w:vAlign w:val="bottom"/>
          </w:tcPr>
          <w:p>
            <w:pPr>
              <w:ind w:left="260"/>
              <w:spacing w:after="0"/>
              <w:rPr>
                <w:sz w:val="20"/>
                <w:szCs w:val="20"/>
                <w:color w:val="auto"/>
              </w:rPr>
            </w:pPr>
            <w:r>
              <w:rPr>
                <w:rFonts w:ascii="Arial" w:cs="Arial" w:eastAsia="Arial" w:hAnsi="Arial"/>
                <w:sz w:val="14"/>
                <w:szCs w:val="14"/>
                <w:color w:val="auto"/>
              </w:rPr>
              <w:t>Unrealised losses on securities</w:t>
            </w:r>
          </w:p>
        </w:tc>
        <w:tc>
          <w:tcPr>
            <w:tcW w:w="2160" w:type="dxa"/>
            <w:vAlign w:val="bottom"/>
          </w:tcPr>
          <w:p>
            <w:pPr>
              <w:spacing w:after="0"/>
              <w:rPr>
                <w:sz w:val="14"/>
                <w:szCs w:val="14"/>
                <w:color w:val="auto"/>
              </w:rPr>
            </w:pPr>
          </w:p>
        </w:tc>
        <w:tc>
          <w:tcPr>
            <w:tcW w:w="1140" w:type="dxa"/>
            <w:vAlign w:val="bottom"/>
            <w:shd w:val="clear" w:color="auto" w:fill="D8D8D8"/>
          </w:tcPr>
          <w:p>
            <w:pPr>
              <w:jc w:val="right"/>
              <w:ind w:right="209"/>
              <w:spacing w:after="0"/>
              <w:rPr>
                <w:sz w:val="20"/>
                <w:szCs w:val="20"/>
                <w:color w:val="auto"/>
              </w:rPr>
            </w:pPr>
            <w:r>
              <w:rPr>
                <w:rFonts w:ascii="Arial" w:cs="Arial" w:eastAsia="Arial" w:hAnsi="Arial"/>
                <w:sz w:val="14"/>
                <w:szCs w:val="14"/>
                <w:color w:val="auto"/>
              </w:rPr>
              <w:t>(797)</w:t>
            </w:r>
          </w:p>
        </w:tc>
        <w:tc>
          <w:tcPr>
            <w:tcW w:w="540" w:type="dxa"/>
            <w:vAlign w:val="bottom"/>
            <w:tcBorders>
              <w:left w:val="single" w:sz="8" w:color="D8D8D8"/>
            </w:tcBorders>
          </w:tcPr>
          <w:p>
            <w:pPr>
              <w:spacing w:after="0"/>
              <w:rPr>
                <w:sz w:val="14"/>
                <w:szCs w:val="14"/>
                <w:color w:val="auto"/>
              </w:rPr>
            </w:pPr>
          </w:p>
        </w:tc>
        <w:tc>
          <w:tcPr>
            <w:tcW w:w="880" w:type="dxa"/>
            <w:vAlign w:val="bottom"/>
          </w:tcPr>
          <w:p>
            <w:pPr>
              <w:jc w:val="right"/>
              <w:ind w:right="69"/>
              <w:spacing w:after="0"/>
              <w:rPr>
                <w:sz w:val="20"/>
                <w:szCs w:val="20"/>
                <w:color w:val="auto"/>
              </w:rPr>
            </w:pPr>
            <w:r>
              <w:rPr>
                <w:rFonts w:ascii="Arial" w:cs="Arial" w:eastAsia="Arial" w:hAnsi="Arial"/>
                <w:sz w:val="14"/>
                <w:szCs w:val="14"/>
                <w:color w:val="auto"/>
              </w:rPr>
              <w:t>(166)</w:t>
            </w:r>
          </w:p>
        </w:tc>
        <w:tc>
          <w:tcPr>
            <w:tcW w:w="1100" w:type="dxa"/>
            <w:vAlign w:val="bottom"/>
          </w:tcPr>
          <w:p>
            <w:pPr>
              <w:jc w:val="right"/>
              <w:ind w:right="209"/>
              <w:spacing w:after="0"/>
              <w:rPr>
                <w:sz w:val="20"/>
                <w:szCs w:val="20"/>
                <w:color w:val="auto"/>
              </w:rPr>
            </w:pPr>
            <w:r>
              <w:rPr>
                <w:rFonts w:ascii="Arial" w:cs="Arial" w:eastAsia="Arial" w:hAnsi="Arial"/>
                <w:sz w:val="14"/>
                <w:szCs w:val="14"/>
                <w:color w:val="auto"/>
              </w:rPr>
              <w:t>(815)</w:t>
            </w:r>
          </w:p>
        </w:tc>
        <w:tc>
          <w:tcPr>
            <w:tcW w:w="0" w:type="dxa"/>
            <w:vAlign w:val="bottom"/>
          </w:tcPr>
          <w:p>
            <w:pPr>
              <w:spacing w:after="0"/>
              <w:rPr>
                <w:sz w:val="1"/>
                <w:szCs w:val="1"/>
                <w:color w:val="auto"/>
              </w:rPr>
            </w:pPr>
          </w:p>
        </w:tc>
      </w:tr>
      <w:tr>
        <w:trPr>
          <w:trHeight w:val="162"/>
        </w:trPr>
        <w:tc>
          <w:tcPr>
            <w:tcW w:w="5600" w:type="dxa"/>
            <w:vAlign w:val="bottom"/>
          </w:tcPr>
          <w:p>
            <w:pPr>
              <w:ind w:left="260"/>
              <w:spacing w:after="0"/>
              <w:rPr>
                <w:sz w:val="20"/>
                <w:szCs w:val="20"/>
                <w:color w:val="auto"/>
              </w:rPr>
            </w:pPr>
            <w:r>
              <w:rPr>
                <w:rFonts w:ascii="Arial" w:cs="Arial" w:eastAsia="Arial" w:hAnsi="Arial"/>
                <w:sz w:val="14"/>
                <w:szCs w:val="14"/>
                <w:color w:val="auto"/>
              </w:rPr>
              <w:t>Cash flow hedging gains</w:t>
            </w:r>
          </w:p>
        </w:tc>
        <w:tc>
          <w:tcPr>
            <w:tcW w:w="2160" w:type="dxa"/>
            <w:vAlign w:val="bottom"/>
          </w:tcPr>
          <w:p>
            <w:pPr>
              <w:spacing w:after="0"/>
              <w:rPr>
                <w:sz w:val="14"/>
                <w:szCs w:val="14"/>
                <w:color w:val="auto"/>
              </w:rPr>
            </w:pPr>
          </w:p>
        </w:tc>
        <w:tc>
          <w:tcPr>
            <w:tcW w:w="1140" w:type="dxa"/>
            <w:vAlign w:val="bottom"/>
            <w:shd w:val="clear" w:color="auto" w:fill="D8D8D8"/>
          </w:tcPr>
          <w:p>
            <w:pPr>
              <w:jc w:val="right"/>
              <w:ind w:right="209"/>
              <w:spacing w:after="0"/>
              <w:rPr>
                <w:sz w:val="20"/>
                <w:szCs w:val="20"/>
                <w:color w:val="auto"/>
              </w:rPr>
            </w:pPr>
            <w:r>
              <w:rPr>
                <w:rFonts w:ascii="Arial" w:cs="Arial" w:eastAsia="Arial" w:hAnsi="Arial"/>
                <w:sz w:val="14"/>
                <w:szCs w:val="14"/>
                <w:color w:val="auto"/>
              </w:rPr>
              <w:t>528</w:t>
            </w:r>
          </w:p>
        </w:tc>
        <w:tc>
          <w:tcPr>
            <w:tcW w:w="540" w:type="dxa"/>
            <w:vAlign w:val="bottom"/>
            <w:tcBorders>
              <w:left w:val="single" w:sz="8" w:color="D8D8D8"/>
            </w:tcBorders>
          </w:tcPr>
          <w:p>
            <w:pPr>
              <w:spacing w:after="0"/>
              <w:rPr>
                <w:sz w:val="14"/>
                <w:szCs w:val="14"/>
                <w:color w:val="auto"/>
              </w:rPr>
            </w:pPr>
          </w:p>
        </w:tc>
        <w:tc>
          <w:tcPr>
            <w:tcW w:w="880" w:type="dxa"/>
            <w:vAlign w:val="bottom"/>
          </w:tcPr>
          <w:p>
            <w:pPr>
              <w:jc w:val="right"/>
              <w:ind w:right="129"/>
              <w:spacing w:after="0"/>
              <w:rPr>
                <w:sz w:val="20"/>
                <w:szCs w:val="20"/>
                <w:color w:val="auto"/>
              </w:rPr>
            </w:pPr>
            <w:r>
              <w:rPr>
                <w:rFonts w:ascii="Arial" w:cs="Arial" w:eastAsia="Arial" w:hAnsi="Arial"/>
                <w:sz w:val="14"/>
                <w:szCs w:val="14"/>
                <w:color w:val="auto"/>
              </w:rPr>
              <w:t>178</w:t>
            </w:r>
          </w:p>
        </w:tc>
        <w:tc>
          <w:tcPr>
            <w:tcW w:w="1100" w:type="dxa"/>
            <w:vAlign w:val="bottom"/>
          </w:tcPr>
          <w:p>
            <w:pPr>
              <w:jc w:val="right"/>
              <w:ind w:right="269"/>
              <w:spacing w:after="0"/>
              <w:rPr>
                <w:sz w:val="20"/>
                <w:szCs w:val="20"/>
                <w:color w:val="auto"/>
              </w:rPr>
            </w:pPr>
            <w:r>
              <w:rPr>
                <w:rFonts w:ascii="Arial" w:cs="Arial" w:eastAsia="Arial" w:hAnsi="Arial"/>
                <w:sz w:val="14"/>
                <w:szCs w:val="14"/>
                <w:color w:val="auto"/>
              </w:rPr>
              <w:t>31</w:t>
            </w:r>
          </w:p>
        </w:tc>
        <w:tc>
          <w:tcPr>
            <w:tcW w:w="0" w:type="dxa"/>
            <w:vAlign w:val="bottom"/>
          </w:tcPr>
          <w:p>
            <w:pPr>
              <w:spacing w:after="0"/>
              <w:rPr>
                <w:sz w:val="1"/>
                <w:szCs w:val="1"/>
                <w:color w:val="auto"/>
              </w:rPr>
            </w:pPr>
          </w:p>
        </w:tc>
      </w:tr>
      <w:tr>
        <w:trPr>
          <w:trHeight w:val="157"/>
        </w:trPr>
        <w:tc>
          <w:tcPr>
            <w:tcW w:w="5600" w:type="dxa"/>
            <w:vAlign w:val="bottom"/>
            <w:tcBorders>
              <w:bottom w:val="single" w:sz="8" w:color="auto"/>
            </w:tcBorders>
          </w:tcPr>
          <w:p>
            <w:pPr>
              <w:ind w:left="260"/>
              <w:spacing w:after="0" w:line="157" w:lineRule="exact"/>
              <w:rPr>
                <w:sz w:val="20"/>
                <w:szCs w:val="20"/>
                <w:color w:val="auto"/>
              </w:rPr>
            </w:pPr>
            <w:r>
              <w:rPr>
                <w:rFonts w:ascii="Arial" w:cs="Arial" w:eastAsia="Arial" w:hAnsi="Arial"/>
                <w:sz w:val="14"/>
                <w:szCs w:val="14"/>
                <w:color w:val="auto"/>
              </w:rPr>
              <w:t>Share of other comprehensive loss of joint ventures and associates</w:t>
            </w:r>
          </w:p>
        </w:tc>
        <w:tc>
          <w:tcPr>
            <w:tcW w:w="2160" w:type="dxa"/>
            <w:vAlign w:val="bottom"/>
            <w:tcBorders>
              <w:bottom w:val="single" w:sz="8" w:color="auto"/>
            </w:tcBorders>
          </w:tcPr>
          <w:p>
            <w:pPr>
              <w:jc w:val="right"/>
              <w:ind w:right="271"/>
              <w:spacing w:after="0" w:line="157" w:lineRule="exact"/>
              <w:rPr>
                <w:sz w:val="20"/>
                <w:szCs w:val="20"/>
                <w:color w:val="auto"/>
              </w:rPr>
            </w:pPr>
            <w:r>
              <w:rPr>
                <w:rFonts w:ascii="Arial" w:cs="Arial" w:eastAsia="Arial" w:hAnsi="Arial"/>
                <w:sz w:val="14"/>
                <w:szCs w:val="14"/>
                <w:color w:val="auto"/>
              </w:rPr>
              <w:t>9</w:t>
            </w:r>
          </w:p>
        </w:tc>
        <w:tc>
          <w:tcPr>
            <w:tcW w:w="1140" w:type="dxa"/>
            <w:vAlign w:val="bottom"/>
            <w:tcBorders>
              <w:bottom w:val="single" w:sz="8" w:color="auto"/>
            </w:tcBorders>
            <w:shd w:val="clear" w:color="auto" w:fill="D8D8D8"/>
          </w:tcPr>
          <w:p>
            <w:pPr>
              <w:jc w:val="right"/>
              <w:ind w:right="209"/>
              <w:spacing w:after="0" w:line="157" w:lineRule="exact"/>
              <w:rPr>
                <w:sz w:val="20"/>
                <w:szCs w:val="20"/>
                <w:color w:val="auto"/>
              </w:rPr>
            </w:pPr>
            <w:r>
              <w:rPr>
                <w:rFonts w:ascii="Arial" w:cs="Arial" w:eastAsia="Arial" w:hAnsi="Arial"/>
                <w:sz w:val="14"/>
                <w:szCs w:val="14"/>
                <w:color w:val="auto"/>
              </w:rPr>
              <w:t>(156)</w:t>
            </w:r>
          </w:p>
        </w:tc>
        <w:tc>
          <w:tcPr>
            <w:tcW w:w="540" w:type="dxa"/>
            <w:vAlign w:val="bottom"/>
            <w:tcBorders>
              <w:left w:val="single" w:sz="8" w:color="D8D8D8"/>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69"/>
              <w:spacing w:after="0" w:line="157" w:lineRule="exact"/>
              <w:rPr>
                <w:sz w:val="20"/>
                <w:szCs w:val="20"/>
                <w:color w:val="auto"/>
              </w:rPr>
            </w:pPr>
            <w:r>
              <w:rPr>
                <w:rFonts w:ascii="Arial" w:cs="Arial" w:eastAsia="Arial" w:hAnsi="Arial"/>
                <w:sz w:val="14"/>
                <w:szCs w:val="14"/>
                <w:color w:val="auto"/>
              </w:rPr>
              <w:t>(167)</w:t>
            </w:r>
          </w:p>
        </w:tc>
        <w:tc>
          <w:tcPr>
            <w:tcW w:w="1100" w:type="dxa"/>
            <w:vAlign w:val="bottom"/>
            <w:tcBorders>
              <w:bottom w:val="single" w:sz="8" w:color="auto"/>
            </w:tcBorders>
          </w:tcPr>
          <w:p>
            <w:pPr>
              <w:jc w:val="right"/>
              <w:ind w:right="209"/>
              <w:spacing w:after="0" w:line="157" w:lineRule="exact"/>
              <w:rPr>
                <w:sz w:val="20"/>
                <w:szCs w:val="20"/>
                <w:color w:val="auto"/>
              </w:rPr>
            </w:pPr>
            <w:r>
              <w:rPr>
                <w:rFonts w:ascii="Arial" w:cs="Arial" w:eastAsia="Arial" w:hAnsi="Arial"/>
                <w:sz w:val="14"/>
                <w:szCs w:val="14"/>
                <w:color w:val="auto"/>
              </w:rPr>
              <w:t>(222)</w:t>
            </w:r>
          </w:p>
        </w:tc>
        <w:tc>
          <w:tcPr>
            <w:tcW w:w="0" w:type="dxa"/>
            <w:vAlign w:val="bottom"/>
          </w:tcPr>
          <w:p>
            <w:pPr>
              <w:spacing w:after="0"/>
              <w:rPr>
                <w:sz w:val="1"/>
                <w:szCs w:val="1"/>
                <w:color w:val="auto"/>
              </w:rPr>
            </w:pPr>
          </w:p>
        </w:tc>
      </w:tr>
      <w:tr>
        <w:trPr>
          <w:trHeight w:val="160"/>
        </w:trPr>
        <w:tc>
          <w:tcPr>
            <w:tcW w:w="5600" w:type="dxa"/>
            <w:vAlign w:val="bottom"/>
          </w:tcPr>
          <w:p>
            <w:pPr>
              <w:ind w:left="140"/>
              <w:spacing w:after="0"/>
              <w:rPr>
                <w:sz w:val="20"/>
                <w:szCs w:val="20"/>
                <w:color w:val="auto"/>
              </w:rPr>
            </w:pPr>
            <w:r>
              <w:rPr>
                <w:rFonts w:ascii="Arial" w:cs="Arial" w:eastAsia="Arial" w:hAnsi="Arial"/>
                <w:sz w:val="14"/>
                <w:szCs w:val="14"/>
                <w:color w:val="auto"/>
              </w:rPr>
              <w:t>Total</w:t>
            </w:r>
          </w:p>
        </w:tc>
        <w:tc>
          <w:tcPr>
            <w:tcW w:w="2160" w:type="dxa"/>
            <w:vAlign w:val="bottom"/>
          </w:tcPr>
          <w:p>
            <w:pPr>
              <w:spacing w:after="0"/>
              <w:rPr>
                <w:sz w:val="13"/>
                <w:szCs w:val="13"/>
                <w:color w:val="auto"/>
              </w:rPr>
            </w:pPr>
          </w:p>
        </w:tc>
        <w:tc>
          <w:tcPr>
            <w:tcW w:w="1140" w:type="dxa"/>
            <w:vAlign w:val="bottom"/>
            <w:shd w:val="clear" w:color="auto" w:fill="D8D8D8"/>
          </w:tcPr>
          <w:p>
            <w:pPr>
              <w:jc w:val="right"/>
              <w:ind w:right="209"/>
              <w:spacing w:after="0"/>
              <w:rPr>
                <w:sz w:val="20"/>
                <w:szCs w:val="20"/>
                <w:color w:val="auto"/>
              </w:rPr>
            </w:pPr>
            <w:r>
              <w:rPr>
                <w:rFonts w:ascii="Arial" w:cs="Arial" w:eastAsia="Arial" w:hAnsi="Arial"/>
                <w:sz w:val="14"/>
                <w:szCs w:val="14"/>
                <w:color w:val="auto"/>
              </w:rPr>
              <w:t>(5,746)</w:t>
            </w:r>
          </w:p>
        </w:tc>
        <w:tc>
          <w:tcPr>
            <w:tcW w:w="540" w:type="dxa"/>
            <w:vAlign w:val="bottom"/>
            <w:tcBorders>
              <w:left w:val="single" w:sz="8" w:color="D8D8D8"/>
            </w:tcBorders>
          </w:tcPr>
          <w:p>
            <w:pPr>
              <w:spacing w:after="0"/>
              <w:rPr>
                <w:sz w:val="13"/>
                <w:szCs w:val="13"/>
                <w:color w:val="auto"/>
              </w:rPr>
            </w:pPr>
          </w:p>
        </w:tc>
        <w:tc>
          <w:tcPr>
            <w:tcW w:w="880" w:type="dxa"/>
            <w:vAlign w:val="bottom"/>
          </w:tcPr>
          <w:p>
            <w:pPr>
              <w:jc w:val="right"/>
              <w:ind w:right="69"/>
              <w:spacing w:after="0"/>
              <w:rPr>
                <w:sz w:val="20"/>
                <w:szCs w:val="20"/>
                <w:color w:val="auto"/>
              </w:rPr>
            </w:pPr>
            <w:r>
              <w:rPr>
                <w:rFonts w:ascii="Arial" w:cs="Arial" w:eastAsia="Arial" w:hAnsi="Arial"/>
                <w:sz w:val="14"/>
                <w:szCs w:val="14"/>
                <w:color w:val="auto"/>
              </w:rPr>
              <w:t>(2,093)</w:t>
            </w:r>
          </w:p>
        </w:tc>
        <w:tc>
          <w:tcPr>
            <w:tcW w:w="1100" w:type="dxa"/>
            <w:vAlign w:val="bottom"/>
          </w:tcPr>
          <w:p>
            <w:pPr>
              <w:jc w:val="right"/>
              <w:ind w:right="269"/>
              <w:spacing w:after="0"/>
              <w:rPr>
                <w:sz w:val="20"/>
                <w:szCs w:val="20"/>
                <w:color w:val="auto"/>
              </w:rPr>
            </w:pPr>
            <w:r>
              <w:rPr>
                <w:rFonts w:ascii="Arial" w:cs="Arial" w:eastAsia="Arial" w:hAnsi="Arial"/>
                <w:sz w:val="14"/>
                <w:szCs w:val="14"/>
                <w:color w:val="auto"/>
              </w:rPr>
              <w:t>388</w:t>
            </w:r>
          </w:p>
        </w:tc>
        <w:tc>
          <w:tcPr>
            <w:tcW w:w="0" w:type="dxa"/>
            <w:vAlign w:val="bottom"/>
          </w:tcPr>
          <w:p>
            <w:pPr>
              <w:spacing w:after="0"/>
              <w:rPr>
                <w:sz w:val="1"/>
                <w:szCs w:val="1"/>
                <w:color w:val="auto"/>
              </w:rPr>
            </w:pPr>
          </w:p>
        </w:tc>
      </w:tr>
      <w:tr>
        <w:trPr>
          <w:trHeight w:val="162"/>
        </w:trPr>
        <w:tc>
          <w:tcPr>
            <w:tcW w:w="5600" w:type="dxa"/>
            <w:vAlign w:val="bottom"/>
          </w:tcPr>
          <w:p>
            <w:pPr>
              <w:ind w:left="140"/>
              <w:spacing w:after="0"/>
              <w:rPr>
                <w:sz w:val="20"/>
                <w:szCs w:val="20"/>
                <w:color w:val="auto"/>
              </w:rPr>
            </w:pPr>
            <w:r>
              <w:rPr>
                <w:rFonts w:ascii="Arial" w:cs="Arial" w:eastAsia="Arial" w:hAnsi="Arial"/>
                <w:sz w:val="14"/>
                <w:szCs w:val="14"/>
                <w:color w:val="auto"/>
              </w:rPr>
              <w:t>Items that are not reclassified to income in later periods:</w:t>
            </w:r>
          </w:p>
        </w:tc>
        <w:tc>
          <w:tcPr>
            <w:tcW w:w="2160" w:type="dxa"/>
            <w:vAlign w:val="bottom"/>
          </w:tcPr>
          <w:p>
            <w:pPr>
              <w:spacing w:after="0"/>
              <w:rPr>
                <w:sz w:val="14"/>
                <w:szCs w:val="14"/>
                <w:color w:val="auto"/>
              </w:rPr>
            </w:pPr>
          </w:p>
        </w:tc>
        <w:tc>
          <w:tcPr>
            <w:tcW w:w="1140" w:type="dxa"/>
            <w:vAlign w:val="bottom"/>
            <w:shd w:val="clear" w:color="auto" w:fill="D8D8D8"/>
          </w:tcPr>
          <w:p>
            <w:pPr>
              <w:spacing w:after="0"/>
              <w:rPr>
                <w:sz w:val="14"/>
                <w:szCs w:val="14"/>
                <w:color w:val="auto"/>
              </w:rPr>
            </w:pPr>
          </w:p>
        </w:tc>
        <w:tc>
          <w:tcPr>
            <w:tcW w:w="540" w:type="dxa"/>
            <w:vAlign w:val="bottom"/>
            <w:tcBorders>
              <w:left w:val="single" w:sz="8" w:color="D8D8D8"/>
            </w:tcBorders>
          </w:tcPr>
          <w:p>
            <w:pPr>
              <w:spacing w:after="0"/>
              <w:rPr>
                <w:sz w:val="14"/>
                <w:szCs w:val="14"/>
                <w:color w:val="auto"/>
              </w:rPr>
            </w:pPr>
          </w:p>
        </w:tc>
        <w:tc>
          <w:tcPr>
            <w:tcW w:w="8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5600" w:type="dxa"/>
            <w:vAlign w:val="bottom"/>
            <w:tcBorders>
              <w:bottom w:val="single" w:sz="8" w:color="auto"/>
            </w:tcBorders>
          </w:tcPr>
          <w:p>
            <w:pPr>
              <w:ind w:left="260"/>
              <w:spacing w:after="0" w:line="157" w:lineRule="exact"/>
              <w:rPr>
                <w:sz w:val="20"/>
                <w:szCs w:val="20"/>
                <w:color w:val="auto"/>
              </w:rPr>
            </w:pPr>
            <w:r>
              <w:rPr>
                <w:rFonts w:ascii="Arial" w:cs="Arial" w:eastAsia="Arial" w:hAnsi="Arial"/>
                <w:sz w:val="14"/>
                <w:szCs w:val="14"/>
                <w:color w:val="auto"/>
              </w:rPr>
              <w:t>Retirement benefits remeasurements</w:t>
            </w:r>
          </w:p>
        </w:tc>
        <w:tc>
          <w:tcPr>
            <w:tcW w:w="216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shd w:val="clear" w:color="auto" w:fill="D8D8D8"/>
          </w:tcPr>
          <w:p>
            <w:pPr>
              <w:jc w:val="right"/>
              <w:ind w:right="209"/>
              <w:spacing w:after="0" w:line="157" w:lineRule="exact"/>
              <w:rPr>
                <w:sz w:val="20"/>
                <w:szCs w:val="20"/>
                <w:color w:val="auto"/>
              </w:rPr>
            </w:pPr>
            <w:r>
              <w:rPr>
                <w:rFonts w:ascii="Arial" w:cs="Arial" w:eastAsia="Arial" w:hAnsi="Arial"/>
                <w:sz w:val="14"/>
                <w:szCs w:val="14"/>
                <w:color w:val="auto"/>
              </w:rPr>
              <w:t>(6,482)</w:t>
            </w:r>
          </w:p>
        </w:tc>
        <w:tc>
          <w:tcPr>
            <w:tcW w:w="540" w:type="dxa"/>
            <w:vAlign w:val="bottom"/>
            <w:tcBorders>
              <w:left w:val="single" w:sz="8" w:color="D8D8D8"/>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129"/>
              <w:spacing w:after="0" w:line="157" w:lineRule="exact"/>
              <w:rPr>
                <w:sz w:val="20"/>
                <w:szCs w:val="20"/>
                <w:color w:val="auto"/>
              </w:rPr>
            </w:pPr>
            <w:r>
              <w:rPr>
                <w:rFonts w:ascii="Arial" w:cs="Arial" w:eastAsia="Arial" w:hAnsi="Arial"/>
                <w:sz w:val="14"/>
                <w:szCs w:val="14"/>
                <w:color w:val="auto"/>
              </w:rPr>
              <w:t>3,833</w:t>
            </w:r>
          </w:p>
        </w:tc>
        <w:tc>
          <w:tcPr>
            <w:tcW w:w="1100" w:type="dxa"/>
            <w:vAlign w:val="bottom"/>
            <w:tcBorders>
              <w:bottom w:val="single" w:sz="8" w:color="auto"/>
            </w:tcBorders>
          </w:tcPr>
          <w:p>
            <w:pPr>
              <w:jc w:val="right"/>
              <w:ind w:right="209"/>
              <w:spacing w:after="0" w:line="157" w:lineRule="exact"/>
              <w:rPr>
                <w:sz w:val="20"/>
                <w:szCs w:val="20"/>
                <w:color w:val="auto"/>
              </w:rPr>
            </w:pPr>
            <w:r>
              <w:rPr>
                <w:rFonts w:ascii="Arial" w:cs="Arial" w:eastAsia="Arial" w:hAnsi="Arial"/>
                <w:sz w:val="14"/>
                <w:szCs w:val="14"/>
                <w:color w:val="auto"/>
              </w:rPr>
              <w:t>(2,578)</w:t>
            </w:r>
          </w:p>
        </w:tc>
        <w:tc>
          <w:tcPr>
            <w:tcW w:w="0" w:type="dxa"/>
            <w:vAlign w:val="bottom"/>
          </w:tcPr>
          <w:p>
            <w:pPr>
              <w:spacing w:after="0"/>
              <w:rPr>
                <w:sz w:val="1"/>
                <w:szCs w:val="1"/>
                <w:color w:val="auto"/>
              </w:rPr>
            </w:pPr>
          </w:p>
        </w:tc>
      </w:tr>
      <w:tr>
        <w:trPr>
          <w:trHeight w:val="156"/>
        </w:trPr>
        <w:tc>
          <w:tcPr>
            <w:tcW w:w="5600" w:type="dxa"/>
            <w:vAlign w:val="bottom"/>
            <w:tcBorders>
              <w:bottom w:val="single" w:sz="8" w:color="auto"/>
            </w:tcBorders>
          </w:tcPr>
          <w:p>
            <w:pPr>
              <w:spacing w:after="0" w:line="155" w:lineRule="exact"/>
              <w:rPr>
                <w:sz w:val="20"/>
                <w:szCs w:val="20"/>
                <w:color w:val="auto"/>
              </w:rPr>
            </w:pPr>
            <w:r>
              <w:rPr>
                <w:rFonts w:ascii="Arial" w:cs="Arial" w:eastAsia="Arial" w:hAnsi="Arial"/>
                <w:sz w:val="14"/>
                <w:szCs w:val="14"/>
                <w:color w:val="auto"/>
              </w:rPr>
              <w:t>Other comprehensive (loss)/income for the period</w:t>
            </w:r>
          </w:p>
        </w:tc>
        <w:tc>
          <w:tcPr>
            <w:tcW w:w="216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shd w:val="clear" w:color="auto" w:fill="D8D8D8"/>
          </w:tcPr>
          <w:p>
            <w:pPr>
              <w:jc w:val="right"/>
              <w:ind w:right="209"/>
              <w:spacing w:after="0" w:line="155" w:lineRule="exact"/>
              <w:rPr>
                <w:sz w:val="20"/>
                <w:szCs w:val="20"/>
                <w:color w:val="auto"/>
              </w:rPr>
            </w:pPr>
            <w:r>
              <w:rPr>
                <w:rFonts w:ascii="Arial" w:cs="Arial" w:eastAsia="Arial" w:hAnsi="Arial"/>
                <w:sz w:val="14"/>
                <w:szCs w:val="14"/>
                <w:color w:val="auto"/>
              </w:rPr>
              <w:t>(12,228)</w:t>
            </w:r>
          </w:p>
        </w:tc>
        <w:tc>
          <w:tcPr>
            <w:tcW w:w="540" w:type="dxa"/>
            <w:vAlign w:val="bottom"/>
            <w:tcBorders>
              <w:left w:val="single" w:sz="8" w:color="D8D8D8"/>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129"/>
              <w:spacing w:after="0" w:line="155" w:lineRule="exact"/>
              <w:rPr>
                <w:sz w:val="20"/>
                <w:szCs w:val="20"/>
                <w:color w:val="auto"/>
              </w:rPr>
            </w:pPr>
            <w:r>
              <w:rPr>
                <w:rFonts w:ascii="Arial" w:cs="Arial" w:eastAsia="Arial" w:hAnsi="Arial"/>
                <w:sz w:val="14"/>
                <w:szCs w:val="14"/>
                <w:color w:val="auto"/>
              </w:rPr>
              <w:t>1,740</w:t>
            </w:r>
          </w:p>
        </w:tc>
        <w:tc>
          <w:tcPr>
            <w:tcW w:w="1100" w:type="dxa"/>
            <w:vAlign w:val="bottom"/>
            <w:tcBorders>
              <w:bottom w:val="single" w:sz="8" w:color="auto"/>
            </w:tcBorders>
          </w:tcPr>
          <w:p>
            <w:pPr>
              <w:jc w:val="right"/>
              <w:ind w:right="209"/>
              <w:spacing w:after="0" w:line="155" w:lineRule="exact"/>
              <w:rPr>
                <w:sz w:val="20"/>
                <w:szCs w:val="20"/>
                <w:color w:val="auto"/>
              </w:rPr>
            </w:pPr>
            <w:r>
              <w:rPr>
                <w:rFonts w:ascii="Arial" w:cs="Arial" w:eastAsia="Arial" w:hAnsi="Arial"/>
                <w:sz w:val="14"/>
                <w:szCs w:val="14"/>
                <w:color w:val="auto"/>
              </w:rPr>
              <w:t>(2,190)</w:t>
            </w:r>
          </w:p>
        </w:tc>
        <w:tc>
          <w:tcPr>
            <w:tcW w:w="0" w:type="dxa"/>
            <w:vAlign w:val="bottom"/>
          </w:tcPr>
          <w:p>
            <w:pPr>
              <w:spacing w:after="0"/>
              <w:rPr>
                <w:sz w:val="1"/>
                <w:szCs w:val="1"/>
                <w:color w:val="auto"/>
              </w:rPr>
            </w:pPr>
          </w:p>
        </w:tc>
      </w:tr>
      <w:tr>
        <w:trPr>
          <w:trHeight w:val="156"/>
        </w:trPr>
        <w:tc>
          <w:tcPr>
            <w:tcW w:w="5600" w:type="dxa"/>
            <w:vAlign w:val="bottom"/>
            <w:tcBorders>
              <w:bottom w:val="single" w:sz="8" w:color="auto"/>
            </w:tcBorders>
          </w:tcPr>
          <w:p>
            <w:pPr>
              <w:spacing w:after="0" w:line="155" w:lineRule="exact"/>
              <w:rPr>
                <w:sz w:val="20"/>
                <w:szCs w:val="20"/>
                <w:color w:val="auto"/>
              </w:rPr>
            </w:pPr>
            <w:r>
              <w:rPr>
                <w:rFonts w:ascii="Arial" w:cs="Arial" w:eastAsia="Arial" w:hAnsi="Arial"/>
                <w:sz w:val="14"/>
                <w:szCs w:val="14"/>
                <w:color w:val="auto"/>
              </w:rPr>
              <w:t>Comprehensive income for the period</w:t>
            </w:r>
          </w:p>
        </w:tc>
        <w:tc>
          <w:tcPr>
            <w:tcW w:w="216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shd w:val="clear" w:color="auto" w:fill="D8D8D8"/>
          </w:tcPr>
          <w:p>
            <w:pPr>
              <w:jc w:val="right"/>
              <w:ind w:right="209"/>
              <w:spacing w:after="0" w:line="155" w:lineRule="exact"/>
              <w:rPr>
                <w:sz w:val="20"/>
                <w:szCs w:val="20"/>
                <w:color w:val="auto"/>
              </w:rPr>
            </w:pPr>
            <w:r>
              <w:rPr>
                <w:rFonts w:ascii="Arial" w:cs="Arial" w:eastAsia="Arial" w:hAnsi="Arial"/>
                <w:sz w:val="14"/>
                <w:szCs w:val="14"/>
                <w:color w:val="auto"/>
              </w:rPr>
              <w:t>2,502</w:t>
            </w:r>
          </w:p>
        </w:tc>
        <w:tc>
          <w:tcPr>
            <w:tcW w:w="540" w:type="dxa"/>
            <w:vAlign w:val="bottom"/>
            <w:tcBorders>
              <w:left w:val="single" w:sz="8" w:color="D8D8D8"/>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129"/>
              <w:spacing w:after="0" w:line="155" w:lineRule="exact"/>
              <w:rPr>
                <w:sz w:val="20"/>
                <w:szCs w:val="20"/>
                <w:color w:val="auto"/>
              </w:rPr>
            </w:pPr>
            <w:r>
              <w:rPr>
                <w:rFonts w:ascii="Arial" w:cs="Arial" w:eastAsia="Arial" w:hAnsi="Arial"/>
                <w:sz w:val="14"/>
                <w:szCs w:val="14"/>
                <w:color w:val="auto"/>
              </w:rPr>
              <w:t>18,266</w:t>
            </w:r>
          </w:p>
        </w:tc>
        <w:tc>
          <w:tcPr>
            <w:tcW w:w="1100" w:type="dxa"/>
            <w:vAlign w:val="bottom"/>
            <w:tcBorders>
              <w:bottom w:val="single" w:sz="8" w:color="auto"/>
            </w:tcBorders>
          </w:tcPr>
          <w:p>
            <w:pPr>
              <w:jc w:val="right"/>
              <w:ind w:right="269"/>
              <w:spacing w:after="0" w:line="155" w:lineRule="exact"/>
              <w:rPr>
                <w:sz w:val="20"/>
                <w:szCs w:val="20"/>
                <w:color w:val="auto"/>
              </w:rPr>
            </w:pPr>
            <w:r>
              <w:rPr>
                <w:rFonts w:ascii="Arial" w:cs="Arial" w:eastAsia="Arial" w:hAnsi="Arial"/>
                <w:sz w:val="14"/>
                <w:szCs w:val="14"/>
                <w:color w:val="auto"/>
              </w:rPr>
              <w:t>24,770</w:t>
            </w:r>
          </w:p>
        </w:tc>
        <w:tc>
          <w:tcPr>
            <w:tcW w:w="0" w:type="dxa"/>
            <w:vAlign w:val="bottom"/>
          </w:tcPr>
          <w:p>
            <w:pPr>
              <w:spacing w:after="0"/>
              <w:rPr>
                <w:sz w:val="1"/>
                <w:szCs w:val="1"/>
                <w:color w:val="auto"/>
              </w:rPr>
            </w:pPr>
          </w:p>
        </w:tc>
      </w:tr>
      <w:tr>
        <w:trPr>
          <w:trHeight w:val="156"/>
        </w:trPr>
        <w:tc>
          <w:tcPr>
            <w:tcW w:w="5600" w:type="dxa"/>
            <w:vAlign w:val="bottom"/>
            <w:tcBorders>
              <w:bottom w:val="single" w:sz="8" w:color="auto"/>
            </w:tcBorders>
          </w:tcPr>
          <w:p>
            <w:pPr>
              <w:spacing w:after="0" w:line="155" w:lineRule="exact"/>
              <w:rPr>
                <w:sz w:val="20"/>
                <w:szCs w:val="20"/>
                <w:color w:val="auto"/>
              </w:rPr>
            </w:pPr>
            <w:r>
              <w:rPr>
                <w:rFonts w:ascii="Arial" w:cs="Arial" w:eastAsia="Arial" w:hAnsi="Arial"/>
                <w:sz w:val="14"/>
                <w:szCs w:val="14"/>
                <w:color w:val="auto"/>
              </w:rPr>
              <w:t>Comprehensive (loss)/income attributable to non-controlling interest</w:t>
            </w:r>
          </w:p>
        </w:tc>
        <w:tc>
          <w:tcPr>
            <w:tcW w:w="216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shd w:val="clear" w:color="auto" w:fill="D8D8D8"/>
          </w:tcPr>
          <w:p>
            <w:pPr>
              <w:jc w:val="right"/>
              <w:ind w:right="209"/>
              <w:spacing w:after="0" w:line="155" w:lineRule="exact"/>
              <w:rPr>
                <w:sz w:val="20"/>
                <w:szCs w:val="20"/>
                <w:color w:val="auto"/>
              </w:rPr>
            </w:pPr>
            <w:r>
              <w:rPr>
                <w:rFonts w:ascii="Arial" w:cs="Arial" w:eastAsia="Arial" w:hAnsi="Arial"/>
                <w:sz w:val="14"/>
                <w:szCs w:val="14"/>
                <w:color w:val="auto"/>
              </w:rPr>
              <w:t>(190)</w:t>
            </w:r>
          </w:p>
        </w:tc>
        <w:tc>
          <w:tcPr>
            <w:tcW w:w="540" w:type="dxa"/>
            <w:vAlign w:val="bottom"/>
            <w:tcBorders>
              <w:left w:val="single" w:sz="8" w:color="D8D8D8"/>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129"/>
              <w:spacing w:after="0" w:line="155" w:lineRule="exact"/>
              <w:rPr>
                <w:sz w:val="20"/>
                <w:szCs w:val="20"/>
                <w:color w:val="auto"/>
              </w:rPr>
            </w:pPr>
            <w:r>
              <w:rPr>
                <w:rFonts w:ascii="Arial" w:cs="Arial" w:eastAsia="Arial" w:hAnsi="Arial"/>
                <w:sz w:val="14"/>
                <w:szCs w:val="14"/>
                <w:color w:val="auto"/>
              </w:rPr>
              <w:t>23</w:t>
            </w:r>
          </w:p>
        </w:tc>
        <w:tc>
          <w:tcPr>
            <w:tcW w:w="1100" w:type="dxa"/>
            <w:vAlign w:val="bottom"/>
            <w:tcBorders>
              <w:bottom w:val="single" w:sz="8" w:color="auto"/>
            </w:tcBorders>
          </w:tcPr>
          <w:p>
            <w:pPr>
              <w:jc w:val="right"/>
              <w:ind w:right="269"/>
              <w:spacing w:after="0" w:line="155" w:lineRule="exact"/>
              <w:rPr>
                <w:sz w:val="20"/>
                <w:szCs w:val="20"/>
                <w:color w:val="auto"/>
              </w:rPr>
            </w:pPr>
            <w:r>
              <w:rPr>
                <w:rFonts w:ascii="Arial" w:cs="Arial" w:eastAsia="Arial" w:hAnsi="Arial"/>
                <w:sz w:val="14"/>
                <w:szCs w:val="14"/>
                <w:color w:val="auto"/>
              </w:rPr>
              <w:t>300</w:t>
            </w:r>
          </w:p>
        </w:tc>
        <w:tc>
          <w:tcPr>
            <w:tcW w:w="0" w:type="dxa"/>
            <w:vAlign w:val="bottom"/>
          </w:tcPr>
          <w:p>
            <w:pPr>
              <w:spacing w:after="0"/>
              <w:rPr>
                <w:sz w:val="1"/>
                <w:szCs w:val="1"/>
                <w:color w:val="auto"/>
              </w:rPr>
            </w:pPr>
          </w:p>
        </w:tc>
      </w:tr>
      <w:tr>
        <w:trPr>
          <w:trHeight w:val="156"/>
        </w:trPr>
        <w:tc>
          <w:tcPr>
            <w:tcW w:w="5600" w:type="dxa"/>
            <w:vAlign w:val="bottom"/>
            <w:tcBorders>
              <w:bottom w:val="single" w:sz="8" w:color="auto"/>
            </w:tcBorders>
          </w:tcPr>
          <w:p>
            <w:pPr>
              <w:spacing w:after="0" w:line="155" w:lineRule="exact"/>
              <w:rPr>
                <w:sz w:val="20"/>
                <w:szCs w:val="20"/>
                <w:color w:val="auto"/>
              </w:rPr>
            </w:pPr>
            <w:r>
              <w:rPr>
                <w:rFonts w:ascii="Arial" w:cs="Arial" w:eastAsia="Arial" w:hAnsi="Arial"/>
                <w:sz w:val="14"/>
                <w:szCs w:val="14"/>
                <w:color w:val="auto"/>
              </w:rPr>
              <w:t>Comprehensive income attributable to Royal Dutch Shell plc shareholders</w:t>
            </w:r>
          </w:p>
        </w:tc>
        <w:tc>
          <w:tcPr>
            <w:tcW w:w="216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shd w:val="clear" w:color="auto" w:fill="D8D8D8"/>
          </w:tcPr>
          <w:p>
            <w:pPr>
              <w:jc w:val="right"/>
              <w:ind w:right="209"/>
              <w:spacing w:after="0" w:line="155" w:lineRule="exact"/>
              <w:rPr>
                <w:sz w:val="20"/>
                <w:szCs w:val="20"/>
                <w:color w:val="auto"/>
              </w:rPr>
            </w:pPr>
            <w:r>
              <w:rPr>
                <w:rFonts w:ascii="Arial" w:cs="Arial" w:eastAsia="Arial" w:hAnsi="Arial"/>
                <w:sz w:val="14"/>
                <w:szCs w:val="14"/>
                <w:color w:val="auto"/>
              </w:rPr>
              <w:t>2,692</w:t>
            </w:r>
          </w:p>
        </w:tc>
        <w:tc>
          <w:tcPr>
            <w:tcW w:w="540" w:type="dxa"/>
            <w:vAlign w:val="bottom"/>
            <w:tcBorders>
              <w:left w:val="single" w:sz="8" w:color="D8D8D8"/>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129"/>
              <w:spacing w:after="0" w:line="155" w:lineRule="exact"/>
              <w:rPr>
                <w:sz w:val="20"/>
                <w:szCs w:val="20"/>
                <w:color w:val="auto"/>
              </w:rPr>
            </w:pPr>
            <w:r>
              <w:rPr>
                <w:rFonts w:ascii="Arial" w:cs="Arial" w:eastAsia="Arial" w:hAnsi="Arial"/>
                <w:sz w:val="14"/>
                <w:szCs w:val="14"/>
                <w:color w:val="auto"/>
              </w:rPr>
              <w:t>18,243</w:t>
            </w:r>
          </w:p>
        </w:tc>
        <w:tc>
          <w:tcPr>
            <w:tcW w:w="1100" w:type="dxa"/>
            <w:vAlign w:val="bottom"/>
            <w:tcBorders>
              <w:bottom w:val="single" w:sz="8" w:color="auto"/>
            </w:tcBorders>
          </w:tcPr>
          <w:p>
            <w:pPr>
              <w:jc w:val="right"/>
              <w:ind w:right="269"/>
              <w:spacing w:after="0" w:line="155" w:lineRule="exact"/>
              <w:rPr>
                <w:sz w:val="20"/>
                <w:szCs w:val="20"/>
                <w:color w:val="auto"/>
              </w:rPr>
            </w:pPr>
            <w:r>
              <w:rPr>
                <w:rFonts w:ascii="Arial" w:cs="Arial" w:eastAsia="Arial" w:hAnsi="Arial"/>
                <w:sz w:val="14"/>
                <w:szCs w:val="14"/>
                <w:color w:val="auto"/>
              </w:rPr>
              <w:t>24,470</w:t>
            </w: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09" w:name="page110"/>
    <w:bookmarkEnd w:id="1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300355</wp:posOffset>
            </wp:positionV>
            <wp:extent cx="8890" cy="46291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8890" cy="462915"/>
                    </a:xfrm>
                    <a:prstGeom prst="rect">
                      <a:avLst/>
                    </a:prstGeom>
                    <a:noFill/>
                  </pic:spPr>
                </pic:pic>
              </a:graphicData>
            </a:graphic>
          </wp:anchor>
        </w:drawing>
      </w:r>
    </w:p>
    <w:p>
      <w:pPr>
        <w:spacing w:after="0" w:line="200" w:lineRule="exact"/>
        <w:rPr>
          <w:sz w:val="20"/>
          <w:szCs w:val="20"/>
          <w:color w:val="auto"/>
        </w:rPr>
      </w:pP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565"/>
        </w:trPr>
        <w:tc>
          <w:tcPr>
            <w:tcW w:w="20" w:type="dxa"/>
            <w:vAlign w:val="bottom"/>
          </w:tcPr>
          <w:p>
            <w:pPr>
              <w:spacing w:after="0"/>
              <w:rPr>
                <w:sz w:val="24"/>
                <w:szCs w:val="24"/>
                <w:color w:val="auto"/>
              </w:rPr>
            </w:pPr>
          </w:p>
        </w:tc>
        <w:tc>
          <w:tcPr>
            <w:tcW w:w="1940" w:type="dxa"/>
            <w:vAlign w:val="bottom"/>
            <w:shd w:val="clear" w:color="auto" w:fill="FF8B00"/>
          </w:tcPr>
          <w:p>
            <w:pPr>
              <w:jc w:val="right"/>
              <w:ind w:right="1452"/>
              <w:spacing w:after="0"/>
              <w:rPr>
                <w:sz w:val="20"/>
                <w:szCs w:val="20"/>
                <w:color w:val="auto"/>
              </w:rPr>
            </w:pPr>
            <w:r>
              <w:rPr>
                <w:rFonts w:ascii="Arial" w:cs="Arial" w:eastAsia="Arial" w:hAnsi="Arial"/>
                <w:sz w:val="11"/>
                <w:szCs w:val="11"/>
                <w:b w:val="1"/>
                <w:bCs w:val="1"/>
                <w:color w:val="333333"/>
              </w:rPr>
              <w:t>108</w:t>
            </w:r>
          </w:p>
        </w:tc>
        <w:tc>
          <w:tcPr>
            <w:tcW w:w="3620" w:type="dxa"/>
            <w:vAlign w:val="bottom"/>
            <w:shd w:val="clear" w:color="auto" w:fill="FF8B00"/>
          </w:tcPr>
          <w:p>
            <w:pPr>
              <w:jc w:val="right"/>
              <w:ind w:right="741"/>
              <w:spacing w:after="0"/>
              <w:rPr>
                <w:sz w:val="20"/>
                <w:szCs w:val="20"/>
                <w:color w:val="auto"/>
              </w:rPr>
            </w:pPr>
            <w:r>
              <w:rPr>
                <w:rFonts w:ascii="Arial" w:cs="Arial" w:eastAsia="Arial" w:hAnsi="Arial"/>
                <w:sz w:val="13"/>
                <w:szCs w:val="13"/>
                <w:color w:val="333333"/>
                <w:w w:val="96"/>
              </w:rPr>
              <w:t>FINANCIAL STATEMENTS AND SUPPLEMENTS</w:t>
            </w:r>
          </w:p>
        </w:tc>
        <w:tc>
          <w:tcPr>
            <w:tcW w:w="29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940" w:type="dxa"/>
            <w:vAlign w:val="bottom"/>
            <w:shd w:val="clear" w:color="auto" w:fill="FF8B00"/>
          </w:tcPr>
          <w:p>
            <w:pPr>
              <w:spacing w:after="0"/>
              <w:rPr>
                <w:sz w:val="14"/>
                <w:szCs w:val="14"/>
                <w:color w:val="auto"/>
              </w:rPr>
            </w:pPr>
          </w:p>
        </w:tc>
        <w:tc>
          <w:tcPr>
            <w:tcW w:w="3620" w:type="dxa"/>
            <w:vAlign w:val="bottom"/>
            <w:shd w:val="clear" w:color="auto" w:fill="FF8B00"/>
          </w:tcPr>
          <w:p>
            <w:pPr>
              <w:spacing w:after="0"/>
              <w:rPr>
                <w:sz w:val="14"/>
                <w:szCs w:val="14"/>
                <w:color w:val="auto"/>
              </w:rPr>
            </w:pPr>
          </w:p>
        </w:tc>
        <w:tc>
          <w:tcPr>
            <w:tcW w:w="2940" w:type="dxa"/>
            <w:vAlign w:val="bottom"/>
          </w:tcPr>
          <w:p>
            <w:pPr>
              <w:spacing w:after="0"/>
              <w:rPr>
                <w:sz w:val="14"/>
                <w:szCs w:val="14"/>
                <w:color w:val="auto"/>
              </w:rPr>
            </w:pPr>
          </w:p>
        </w:tc>
        <w:tc>
          <w:tcPr>
            <w:tcW w:w="2920" w:type="dxa"/>
            <w:vAlign w:val="bottom"/>
            <w:gridSpan w:val="3"/>
            <w:vMerge w:val="restart"/>
          </w:tcPr>
          <w:p>
            <w:pPr>
              <w:ind w:left="500"/>
              <w:spacing w:after="0"/>
              <w:rPr>
                <w:sz w:val="20"/>
                <w:szCs w:val="20"/>
                <w:color w:val="auto"/>
              </w:rPr>
            </w:pPr>
            <w:r>
              <w:rPr>
                <w:rFonts w:ascii="Arial" w:cs="Arial" w:eastAsia="Arial" w:hAnsi="Arial"/>
                <w:sz w:val="11"/>
                <w:szCs w:val="11"/>
                <w:color w:val="auto"/>
                <w:w w:val="97"/>
              </w:rPr>
              <w:t>SHELL ANNUAL REPORT AND FORM 20-F 2014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940" w:type="dxa"/>
            <w:vAlign w:val="bottom"/>
          </w:tcPr>
          <w:p>
            <w:pPr>
              <w:spacing w:after="0"/>
              <w:rPr>
                <w:sz w:val="11"/>
                <w:szCs w:val="11"/>
                <w:color w:val="auto"/>
              </w:rPr>
            </w:pPr>
          </w:p>
        </w:tc>
        <w:tc>
          <w:tcPr>
            <w:tcW w:w="3620" w:type="dxa"/>
            <w:vAlign w:val="bottom"/>
          </w:tcPr>
          <w:p>
            <w:pPr>
              <w:jc w:val="right"/>
              <w:ind w:right="741"/>
              <w:spacing w:after="0"/>
              <w:rPr>
                <w:sz w:val="20"/>
                <w:szCs w:val="20"/>
                <w:color w:val="auto"/>
              </w:rPr>
            </w:pPr>
            <w:r>
              <w:rPr>
                <w:rFonts w:ascii="Arial" w:cs="Arial" w:eastAsia="Arial" w:hAnsi="Arial"/>
                <w:sz w:val="11"/>
                <w:szCs w:val="11"/>
                <w:color w:val="auto"/>
              </w:rPr>
              <w:t>CONSOLIDATED FINANCIAL STATEMENTS</w:t>
            </w:r>
          </w:p>
        </w:tc>
        <w:tc>
          <w:tcPr>
            <w:tcW w:w="2940" w:type="dxa"/>
            <w:vAlign w:val="bottom"/>
          </w:tcPr>
          <w:p>
            <w:pPr>
              <w:spacing w:after="0"/>
              <w:rPr>
                <w:sz w:val="11"/>
                <w:szCs w:val="11"/>
                <w:color w:val="auto"/>
              </w:rPr>
            </w:pPr>
          </w:p>
        </w:tc>
        <w:tc>
          <w:tcPr>
            <w:tcW w:w="2920" w:type="dxa"/>
            <w:vAlign w:val="bottom"/>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5560" w:type="dxa"/>
            <w:vAlign w:val="bottom"/>
            <w:gridSpan w:val="2"/>
          </w:tcPr>
          <w:p>
            <w:pPr>
              <w:spacing w:after="0"/>
              <w:rPr>
                <w:sz w:val="13"/>
                <w:szCs w:val="13"/>
                <w:color w:val="auto"/>
              </w:rPr>
            </w:pPr>
          </w:p>
        </w:tc>
        <w:tc>
          <w:tcPr>
            <w:tcW w:w="294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20" w:type="dxa"/>
            <w:vAlign w:val="bottom"/>
            <w:vMerge w:val="restart"/>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560" w:type="dxa"/>
            <w:vAlign w:val="bottom"/>
            <w:gridSpan w:val="2"/>
            <w:shd w:val="clear" w:color="auto" w:fill="333333"/>
          </w:tcPr>
          <w:p>
            <w:pPr>
              <w:jc w:val="right"/>
              <w:ind w:right="2901"/>
              <w:spacing w:after="0" w:line="162" w:lineRule="exact"/>
              <w:rPr>
                <w:sz w:val="20"/>
                <w:szCs w:val="20"/>
                <w:color w:val="auto"/>
              </w:rPr>
            </w:pPr>
            <w:r>
              <w:rPr>
                <w:rFonts w:ascii="Arial" w:cs="Arial" w:eastAsia="Arial" w:hAnsi="Arial"/>
                <w:sz w:val="15"/>
                <w:szCs w:val="15"/>
                <w:b w:val="1"/>
                <w:bCs w:val="1"/>
                <w:color w:val="FFFFFF"/>
              </w:rPr>
              <w:t>CONSOLIDATED BALANCE SHEET</w:t>
            </w:r>
          </w:p>
        </w:tc>
        <w:tc>
          <w:tcPr>
            <w:tcW w:w="2940" w:type="dxa"/>
            <w:vAlign w:val="bottom"/>
            <w:shd w:val="clear" w:color="auto" w:fill="333333"/>
          </w:tcPr>
          <w:p>
            <w:pPr>
              <w:spacing w:after="0"/>
              <w:rPr>
                <w:sz w:val="14"/>
                <w:szCs w:val="14"/>
                <w:color w:val="auto"/>
              </w:rPr>
            </w:pPr>
          </w:p>
        </w:tc>
        <w:tc>
          <w:tcPr>
            <w:tcW w:w="1440" w:type="dxa"/>
            <w:vAlign w:val="bottom"/>
            <w:shd w:val="clear" w:color="auto" w:fill="333333"/>
          </w:tcPr>
          <w:p>
            <w:pPr>
              <w:spacing w:after="0"/>
              <w:rPr>
                <w:sz w:val="14"/>
                <w:szCs w:val="14"/>
                <w:color w:val="auto"/>
              </w:rPr>
            </w:pPr>
          </w:p>
        </w:tc>
        <w:tc>
          <w:tcPr>
            <w:tcW w:w="1460" w:type="dxa"/>
            <w:vAlign w:val="bottom"/>
            <w:shd w:val="clear" w:color="auto" w:fill="333333"/>
          </w:tcPr>
          <w:p>
            <w:pPr>
              <w:jc w:val="right"/>
              <w:ind w:right="28"/>
              <w:spacing w:after="0" w:line="162" w:lineRule="exact"/>
              <w:rPr>
                <w:sz w:val="20"/>
                <w:szCs w:val="20"/>
                <w:color w:val="auto"/>
              </w:rPr>
            </w:pPr>
            <w:r>
              <w:rPr>
                <w:rFonts w:ascii="Arial" w:cs="Arial" w:eastAsia="Arial" w:hAnsi="Arial"/>
                <w:sz w:val="15"/>
                <w:szCs w:val="15"/>
                <w:color w:val="FFFFFF"/>
              </w:rPr>
              <w:t>$ MILLION</w:t>
            </w: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2940" w:type="dxa"/>
            <w:vAlign w:val="bottom"/>
          </w:tcPr>
          <w:p>
            <w:pPr>
              <w:jc w:val="right"/>
              <w:ind w:right="268"/>
              <w:spacing w:after="0"/>
              <w:rPr>
                <w:sz w:val="20"/>
                <w:szCs w:val="20"/>
                <w:color w:val="auto"/>
              </w:rPr>
            </w:pPr>
            <w:r>
              <w:rPr>
                <w:rFonts w:ascii="Arial" w:cs="Arial" w:eastAsia="Arial" w:hAnsi="Arial"/>
                <w:sz w:val="13"/>
                <w:szCs w:val="13"/>
                <w:color w:val="auto"/>
              </w:rPr>
              <w:t>NOTES</w:t>
            </w:r>
          </w:p>
        </w:tc>
        <w:tc>
          <w:tcPr>
            <w:tcW w:w="1440" w:type="dxa"/>
            <w:vAlign w:val="bottom"/>
            <w:shd w:val="clear" w:color="auto" w:fill="D8D8D8"/>
          </w:tcPr>
          <w:p>
            <w:pPr>
              <w:jc w:val="right"/>
              <w:ind w:right="269"/>
              <w:spacing w:after="0"/>
              <w:rPr>
                <w:sz w:val="20"/>
                <w:szCs w:val="20"/>
                <w:color w:val="auto"/>
              </w:rPr>
            </w:pPr>
            <w:r>
              <w:rPr>
                <w:rFonts w:ascii="Arial" w:cs="Arial" w:eastAsia="Arial" w:hAnsi="Arial"/>
                <w:sz w:val="13"/>
                <w:szCs w:val="13"/>
                <w:color w:val="auto"/>
              </w:rPr>
              <w:t>Dec 31, 2014</w:t>
            </w:r>
          </w:p>
        </w:tc>
        <w:tc>
          <w:tcPr>
            <w:tcW w:w="1480" w:type="dxa"/>
            <w:vAlign w:val="bottom"/>
            <w:gridSpan w:val="2"/>
          </w:tcPr>
          <w:p>
            <w:pPr>
              <w:ind w:left="380"/>
              <w:spacing w:after="0"/>
              <w:rPr>
                <w:sz w:val="20"/>
                <w:szCs w:val="20"/>
                <w:color w:val="auto"/>
              </w:rPr>
            </w:pPr>
            <w:r>
              <w:rPr>
                <w:rFonts w:ascii="Arial" w:cs="Arial" w:eastAsia="Arial" w:hAnsi="Arial"/>
                <w:sz w:val="13"/>
                <w:szCs w:val="13"/>
                <w:color w:val="auto"/>
              </w:rPr>
              <w:t>Dec 31, 2013</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940" w:type="dxa"/>
            <w:vAlign w:val="bottom"/>
            <w:tcBorders>
              <w:top w:val="single" w:sz="8" w:color="auto"/>
            </w:tcBorders>
          </w:tcPr>
          <w:p>
            <w:pPr>
              <w:spacing w:after="0" w:line="155" w:lineRule="exact"/>
              <w:rPr>
                <w:sz w:val="20"/>
                <w:szCs w:val="20"/>
                <w:color w:val="auto"/>
              </w:rPr>
            </w:pPr>
            <w:r>
              <w:rPr>
                <w:rFonts w:ascii="Arial" w:cs="Arial" w:eastAsia="Arial" w:hAnsi="Arial"/>
                <w:sz w:val="14"/>
                <w:szCs w:val="14"/>
                <w:b w:val="1"/>
                <w:bCs w:val="1"/>
                <w:color w:val="auto"/>
              </w:rPr>
              <w:t>Assets</w:t>
            </w:r>
          </w:p>
        </w:tc>
        <w:tc>
          <w:tcPr>
            <w:tcW w:w="3620" w:type="dxa"/>
            <w:vAlign w:val="bottom"/>
            <w:tcBorders>
              <w:top w:val="single" w:sz="8" w:color="auto"/>
            </w:tcBorders>
          </w:tcPr>
          <w:p>
            <w:pPr>
              <w:spacing w:after="0"/>
              <w:rPr>
                <w:sz w:val="13"/>
                <w:szCs w:val="13"/>
                <w:color w:val="auto"/>
              </w:rPr>
            </w:pPr>
          </w:p>
        </w:tc>
        <w:tc>
          <w:tcPr>
            <w:tcW w:w="2940" w:type="dxa"/>
            <w:vAlign w:val="bottom"/>
            <w:tcBorders>
              <w:top w:val="single" w:sz="8" w:color="auto"/>
            </w:tcBorders>
          </w:tcPr>
          <w:p>
            <w:pPr>
              <w:spacing w:after="0"/>
              <w:rPr>
                <w:sz w:val="13"/>
                <w:szCs w:val="13"/>
                <w:color w:val="auto"/>
              </w:rPr>
            </w:pPr>
          </w:p>
        </w:tc>
        <w:tc>
          <w:tcPr>
            <w:tcW w:w="1440" w:type="dxa"/>
            <w:vAlign w:val="bottom"/>
            <w:tcBorders>
              <w:top w:val="single" w:sz="8" w:color="auto"/>
            </w:tcBorders>
            <w:shd w:val="clear" w:color="auto" w:fill="D8D8D8"/>
          </w:tcPr>
          <w:p>
            <w:pPr>
              <w:spacing w:after="0"/>
              <w:rPr>
                <w:sz w:val="13"/>
                <w:szCs w:val="13"/>
                <w:color w:val="auto"/>
              </w:rPr>
            </w:pPr>
          </w:p>
        </w:tc>
        <w:tc>
          <w:tcPr>
            <w:tcW w:w="1460" w:type="dxa"/>
            <w:vAlign w:val="bottom"/>
            <w:tcBorders>
              <w:top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1960" w:type="dxa"/>
            <w:vAlign w:val="bottom"/>
            <w:gridSpan w:val="2"/>
          </w:tcPr>
          <w:p>
            <w:pPr>
              <w:spacing w:after="0"/>
              <w:rPr>
                <w:sz w:val="20"/>
                <w:szCs w:val="20"/>
                <w:color w:val="auto"/>
              </w:rPr>
            </w:pPr>
            <w:r>
              <w:rPr>
                <w:rFonts w:ascii="Arial" w:cs="Arial" w:eastAsia="Arial" w:hAnsi="Arial"/>
                <w:sz w:val="14"/>
                <w:szCs w:val="14"/>
                <w:color w:val="auto"/>
              </w:rPr>
              <w:t>Non-current assets</w:t>
            </w:r>
          </w:p>
        </w:tc>
        <w:tc>
          <w:tcPr>
            <w:tcW w:w="3620" w:type="dxa"/>
            <w:vAlign w:val="bottom"/>
          </w:tcPr>
          <w:p>
            <w:pPr>
              <w:spacing w:after="0"/>
              <w:rPr>
                <w:sz w:val="14"/>
                <w:szCs w:val="14"/>
                <w:color w:val="auto"/>
              </w:rPr>
            </w:pPr>
          </w:p>
        </w:tc>
        <w:tc>
          <w:tcPr>
            <w:tcW w:w="2940" w:type="dxa"/>
            <w:vAlign w:val="bottom"/>
          </w:tcPr>
          <w:p>
            <w:pPr>
              <w:spacing w:after="0"/>
              <w:rPr>
                <w:sz w:val="14"/>
                <w:szCs w:val="14"/>
                <w:color w:val="auto"/>
              </w:rPr>
            </w:pPr>
          </w:p>
        </w:tc>
        <w:tc>
          <w:tcPr>
            <w:tcW w:w="1440" w:type="dxa"/>
            <w:vAlign w:val="bottom"/>
            <w:shd w:val="clear" w:color="auto" w:fill="D8D8D8"/>
          </w:tcPr>
          <w:p>
            <w:pPr>
              <w:spacing w:after="0"/>
              <w:rPr>
                <w:sz w:val="14"/>
                <w:szCs w:val="14"/>
                <w:color w:val="auto"/>
              </w:rPr>
            </w:pP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1960" w:type="dxa"/>
            <w:vAlign w:val="bottom"/>
            <w:gridSpan w:val="2"/>
          </w:tcPr>
          <w:p>
            <w:pPr>
              <w:spacing w:after="0"/>
              <w:rPr>
                <w:sz w:val="20"/>
                <w:szCs w:val="20"/>
                <w:color w:val="auto"/>
              </w:rPr>
            </w:pPr>
            <w:r>
              <w:rPr>
                <w:rFonts w:ascii="Arial" w:cs="Arial" w:eastAsia="Arial" w:hAnsi="Arial"/>
                <w:sz w:val="14"/>
                <w:szCs w:val="14"/>
                <w:color w:val="auto"/>
              </w:rPr>
              <w:t>Intangible assets</w:t>
            </w:r>
          </w:p>
        </w:tc>
        <w:tc>
          <w:tcPr>
            <w:tcW w:w="3620" w:type="dxa"/>
            <w:vAlign w:val="bottom"/>
          </w:tcPr>
          <w:p>
            <w:pPr>
              <w:spacing w:after="0"/>
              <w:rPr>
                <w:sz w:val="14"/>
                <w:szCs w:val="14"/>
                <w:color w:val="auto"/>
              </w:rPr>
            </w:pPr>
          </w:p>
        </w:tc>
        <w:tc>
          <w:tcPr>
            <w:tcW w:w="2940" w:type="dxa"/>
            <w:vAlign w:val="bottom"/>
          </w:tcPr>
          <w:p>
            <w:pPr>
              <w:jc w:val="right"/>
              <w:ind w:right="268"/>
              <w:spacing w:after="0"/>
              <w:rPr>
                <w:sz w:val="20"/>
                <w:szCs w:val="20"/>
                <w:color w:val="auto"/>
              </w:rPr>
            </w:pPr>
            <w:r>
              <w:rPr>
                <w:rFonts w:ascii="Arial" w:cs="Arial" w:eastAsia="Arial" w:hAnsi="Arial"/>
                <w:sz w:val="14"/>
                <w:szCs w:val="14"/>
                <w:color w:val="auto"/>
              </w:rPr>
              <w:t>7</w:t>
            </w:r>
          </w:p>
        </w:tc>
        <w:tc>
          <w:tcPr>
            <w:tcW w:w="1440" w:type="dxa"/>
            <w:vAlign w:val="bottom"/>
            <w:shd w:val="clear" w:color="auto" w:fill="D8D8D8"/>
          </w:tcPr>
          <w:p>
            <w:pPr>
              <w:jc w:val="right"/>
              <w:ind w:right="269"/>
              <w:spacing w:after="0"/>
              <w:rPr>
                <w:sz w:val="20"/>
                <w:szCs w:val="20"/>
                <w:color w:val="auto"/>
              </w:rPr>
            </w:pPr>
            <w:r>
              <w:rPr>
                <w:rFonts w:ascii="Arial" w:cs="Arial" w:eastAsia="Arial" w:hAnsi="Arial"/>
                <w:sz w:val="14"/>
                <w:szCs w:val="14"/>
                <w:color w:val="auto"/>
              </w:rPr>
              <w:t>7,076</w:t>
            </w:r>
          </w:p>
        </w:tc>
        <w:tc>
          <w:tcPr>
            <w:tcW w:w="1460" w:type="dxa"/>
            <w:vAlign w:val="bottom"/>
          </w:tcPr>
          <w:p>
            <w:pPr>
              <w:jc w:val="right"/>
              <w:ind w:right="268"/>
              <w:spacing w:after="0"/>
              <w:rPr>
                <w:sz w:val="20"/>
                <w:szCs w:val="20"/>
                <w:color w:val="auto"/>
              </w:rPr>
            </w:pPr>
            <w:r>
              <w:rPr>
                <w:rFonts w:ascii="Arial" w:cs="Arial" w:eastAsia="Arial" w:hAnsi="Arial"/>
                <w:sz w:val="14"/>
                <w:szCs w:val="14"/>
                <w:color w:val="auto"/>
              </w:rPr>
              <w:t>4,394</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960" w:type="dxa"/>
            <w:vAlign w:val="bottom"/>
            <w:gridSpan w:val="2"/>
          </w:tcPr>
          <w:p>
            <w:pPr>
              <w:spacing w:after="0"/>
              <w:rPr>
                <w:sz w:val="20"/>
                <w:szCs w:val="20"/>
                <w:color w:val="auto"/>
              </w:rPr>
            </w:pPr>
            <w:r>
              <w:rPr>
                <w:rFonts w:ascii="Arial" w:cs="Arial" w:eastAsia="Arial" w:hAnsi="Arial"/>
                <w:sz w:val="14"/>
                <w:szCs w:val="14"/>
                <w:color w:val="auto"/>
              </w:rPr>
              <w:t>Property, plant and equipment</w:t>
            </w:r>
          </w:p>
        </w:tc>
        <w:tc>
          <w:tcPr>
            <w:tcW w:w="3620" w:type="dxa"/>
            <w:vAlign w:val="bottom"/>
          </w:tcPr>
          <w:p>
            <w:pPr>
              <w:spacing w:after="0"/>
              <w:rPr>
                <w:sz w:val="14"/>
                <w:szCs w:val="14"/>
                <w:color w:val="auto"/>
              </w:rPr>
            </w:pPr>
          </w:p>
        </w:tc>
        <w:tc>
          <w:tcPr>
            <w:tcW w:w="2940" w:type="dxa"/>
            <w:vAlign w:val="bottom"/>
          </w:tcPr>
          <w:p>
            <w:pPr>
              <w:jc w:val="right"/>
              <w:ind w:right="268"/>
              <w:spacing w:after="0"/>
              <w:rPr>
                <w:sz w:val="20"/>
                <w:szCs w:val="20"/>
                <w:color w:val="auto"/>
              </w:rPr>
            </w:pPr>
            <w:r>
              <w:rPr>
                <w:rFonts w:ascii="Arial" w:cs="Arial" w:eastAsia="Arial" w:hAnsi="Arial"/>
                <w:sz w:val="14"/>
                <w:szCs w:val="14"/>
                <w:color w:val="auto"/>
              </w:rPr>
              <w:t>8</w:t>
            </w:r>
          </w:p>
        </w:tc>
        <w:tc>
          <w:tcPr>
            <w:tcW w:w="1440" w:type="dxa"/>
            <w:vAlign w:val="bottom"/>
            <w:shd w:val="clear" w:color="auto" w:fill="D8D8D8"/>
          </w:tcPr>
          <w:p>
            <w:pPr>
              <w:jc w:val="right"/>
              <w:ind w:right="269"/>
              <w:spacing w:after="0"/>
              <w:rPr>
                <w:sz w:val="20"/>
                <w:szCs w:val="20"/>
                <w:color w:val="auto"/>
              </w:rPr>
            </w:pPr>
            <w:r>
              <w:rPr>
                <w:rFonts w:ascii="Arial" w:cs="Arial" w:eastAsia="Arial" w:hAnsi="Arial"/>
                <w:sz w:val="14"/>
                <w:szCs w:val="14"/>
                <w:color w:val="auto"/>
              </w:rPr>
              <w:t>192,472</w:t>
            </w:r>
          </w:p>
        </w:tc>
        <w:tc>
          <w:tcPr>
            <w:tcW w:w="1460" w:type="dxa"/>
            <w:vAlign w:val="bottom"/>
          </w:tcPr>
          <w:p>
            <w:pPr>
              <w:jc w:val="right"/>
              <w:ind w:right="268"/>
              <w:spacing w:after="0"/>
              <w:rPr>
                <w:sz w:val="20"/>
                <w:szCs w:val="20"/>
                <w:color w:val="auto"/>
              </w:rPr>
            </w:pPr>
            <w:r>
              <w:rPr>
                <w:rFonts w:ascii="Arial" w:cs="Arial" w:eastAsia="Arial" w:hAnsi="Arial"/>
                <w:sz w:val="14"/>
                <w:szCs w:val="14"/>
                <w:color w:val="auto"/>
              </w:rPr>
              <w:t>191,897</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960" w:type="dxa"/>
            <w:vAlign w:val="bottom"/>
            <w:gridSpan w:val="2"/>
          </w:tcPr>
          <w:p>
            <w:pPr>
              <w:spacing w:after="0"/>
              <w:rPr>
                <w:sz w:val="20"/>
                <w:szCs w:val="20"/>
                <w:color w:val="auto"/>
              </w:rPr>
            </w:pPr>
            <w:r>
              <w:rPr>
                <w:rFonts w:ascii="Arial" w:cs="Arial" w:eastAsia="Arial" w:hAnsi="Arial"/>
                <w:sz w:val="14"/>
                <w:szCs w:val="14"/>
                <w:color w:val="auto"/>
              </w:rPr>
              <w:t>Joint ventures and associates</w:t>
            </w:r>
          </w:p>
        </w:tc>
        <w:tc>
          <w:tcPr>
            <w:tcW w:w="3620" w:type="dxa"/>
            <w:vAlign w:val="bottom"/>
          </w:tcPr>
          <w:p>
            <w:pPr>
              <w:spacing w:after="0"/>
              <w:rPr>
                <w:sz w:val="14"/>
                <w:szCs w:val="14"/>
                <w:color w:val="auto"/>
              </w:rPr>
            </w:pPr>
          </w:p>
        </w:tc>
        <w:tc>
          <w:tcPr>
            <w:tcW w:w="2940" w:type="dxa"/>
            <w:vAlign w:val="bottom"/>
          </w:tcPr>
          <w:p>
            <w:pPr>
              <w:jc w:val="right"/>
              <w:ind w:right="268"/>
              <w:spacing w:after="0"/>
              <w:rPr>
                <w:sz w:val="20"/>
                <w:szCs w:val="20"/>
                <w:color w:val="auto"/>
              </w:rPr>
            </w:pPr>
            <w:r>
              <w:rPr>
                <w:rFonts w:ascii="Arial" w:cs="Arial" w:eastAsia="Arial" w:hAnsi="Arial"/>
                <w:sz w:val="14"/>
                <w:szCs w:val="14"/>
                <w:color w:val="auto"/>
              </w:rPr>
              <w:t>9</w:t>
            </w:r>
          </w:p>
        </w:tc>
        <w:tc>
          <w:tcPr>
            <w:tcW w:w="1440" w:type="dxa"/>
            <w:vAlign w:val="bottom"/>
            <w:shd w:val="clear" w:color="auto" w:fill="D8D8D8"/>
          </w:tcPr>
          <w:p>
            <w:pPr>
              <w:jc w:val="right"/>
              <w:ind w:right="269"/>
              <w:spacing w:after="0"/>
              <w:rPr>
                <w:sz w:val="20"/>
                <w:szCs w:val="20"/>
                <w:color w:val="auto"/>
              </w:rPr>
            </w:pPr>
            <w:r>
              <w:rPr>
                <w:rFonts w:ascii="Arial" w:cs="Arial" w:eastAsia="Arial" w:hAnsi="Arial"/>
                <w:sz w:val="14"/>
                <w:szCs w:val="14"/>
                <w:color w:val="auto"/>
              </w:rPr>
              <w:t>31,558</w:t>
            </w:r>
          </w:p>
        </w:tc>
        <w:tc>
          <w:tcPr>
            <w:tcW w:w="1460" w:type="dxa"/>
            <w:vAlign w:val="bottom"/>
          </w:tcPr>
          <w:p>
            <w:pPr>
              <w:jc w:val="right"/>
              <w:ind w:right="268"/>
              <w:spacing w:after="0"/>
              <w:rPr>
                <w:sz w:val="20"/>
                <w:szCs w:val="20"/>
                <w:color w:val="auto"/>
              </w:rPr>
            </w:pPr>
            <w:r>
              <w:rPr>
                <w:rFonts w:ascii="Arial" w:cs="Arial" w:eastAsia="Arial" w:hAnsi="Arial"/>
                <w:sz w:val="14"/>
                <w:szCs w:val="14"/>
                <w:color w:val="auto"/>
              </w:rPr>
              <w:t>34,613</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960" w:type="dxa"/>
            <w:vAlign w:val="bottom"/>
            <w:gridSpan w:val="2"/>
          </w:tcPr>
          <w:p>
            <w:pPr>
              <w:spacing w:after="0"/>
              <w:rPr>
                <w:sz w:val="20"/>
                <w:szCs w:val="20"/>
                <w:color w:val="auto"/>
              </w:rPr>
            </w:pPr>
            <w:r>
              <w:rPr>
                <w:rFonts w:ascii="Arial" w:cs="Arial" w:eastAsia="Arial" w:hAnsi="Arial"/>
                <w:sz w:val="14"/>
                <w:szCs w:val="14"/>
                <w:color w:val="auto"/>
              </w:rPr>
              <w:t>Investments in securities</w:t>
            </w:r>
          </w:p>
        </w:tc>
        <w:tc>
          <w:tcPr>
            <w:tcW w:w="3620" w:type="dxa"/>
            <w:vAlign w:val="bottom"/>
          </w:tcPr>
          <w:p>
            <w:pPr>
              <w:spacing w:after="0"/>
              <w:rPr>
                <w:sz w:val="14"/>
                <w:szCs w:val="14"/>
                <w:color w:val="auto"/>
              </w:rPr>
            </w:pPr>
          </w:p>
        </w:tc>
        <w:tc>
          <w:tcPr>
            <w:tcW w:w="2940" w:type="dxa"/>
            <w:vAlign w:val="bottom"/>
          </w:tcPr>
          <w:p>
            <w:pPr>
              <w:jc w:val="right"/>
              <w:ind w:right="268"/>
              <w:spacing w:after="0"/>
              <w:rPr>
                <w:sz w:val="20"/>
                <w:szCs w:val="20"/>
                <w:color w:val="auto"/>
              </w:rPr>
            </w:pPr>
            <w:r>
              <w:rPr>
                <w:rFonts w:ascii="Arial" w:cs="Arial" w:eastAsia="Arial" w:hAnsi="Arial"/>
                <w:sz w:val="14"/>
                <w:szCs w:val="14"/>
                <w:color w:val="auto"/>
              </w:rPr>
              <w:t>10</w:t>
            </w:r>
          </w:p>
        </w:tc>
        <w:tc>
          <w:tcPr>
            <w:tcW w:w="1440" w:type="dxa"/>
            <w:vAlign w:val="bottom"/>
            <w:shd w:val="clear" w:color="auto" w:fill="D8D8D8"/>
          </w:tcPr>
          <w:p>
            <w:pPr>
              <w:jc w:val="right"/>
              <w:ind w:right="269"/>
              <w:spacing w:after="0"/>
              <w:rPr>
                <w:sz w:val="20"/>
                <w:szCs w:val="20"/>
                <w:color w:val="auto"/>
              </w:rPr>
            </w:pPr>
            <w:r>
              <w:rPr>
                <w:rFonts w:ascii="Arial" w:cs="Arial" w:eastAsia="Arial" w:hAnsi="Arial"/>
                <w:sz w:val="14"/>
                <w:szCs w:val="14"/>
                <w:color w:val="auto"/>
              </w:rPr>
              <w:t>4,115</w:t>
            </w:r>
          </w:p>
        </w:tc>
        <w:tc>
          <w:tcPr>
            <w:tcW w:w="1460" w:type="dxa"/>
            <w:vAlign w:val="bottom"/>
          </w:tcPr>
          <w:p>
            <w:pPr>
              <w:jc w:val="right"/>
              <w:ind w:right="268"/>
              <w:spacing w:after="0"/>
              <w:rPr>
                <w:sz w:val="20"/>
                <w:szCs w:val="20"/>
                <w:color w:val="auto"/>
              </w:rPr>
            </w:pPr>
            <w:r>
              <w:rPr>
                <w:rFonts w:ascii="Arial" w:cs="Arial" w:eastAsia="Arial" w:hAnsi="Arial"/>
                <w:sz w:val="14"/>
                <w:szCs w:val="14"/>
                <w:color w:val="auto"/>
              </w:rPr>
              <w:t>4,715</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960" w:type="dxa"/>
            <w:vAlign w:val="bottom"/>
            <w:gridSpan w:val="2"/>
          </w:tcPr>
          <w:p>
            <w:pPr>
              <w:spacing w:after="0"/>
              <w:rPr>
                <w:sz w:val="20"/>
                <w:szCs w:val="20"/>
                <w:color w:val="auto"/>
              </w:rPr>
            </w:pPr>
            <w:r>
              <w:rPr>
                <w:rFonts w:ascii="Arial" w:cs="Arial" w:eastAsia="Arial" w:hAnsi="Arial"/>
                <w:sz w:val="14"/>
                <w:szCs w:val="14"/>
                <w:color w:val="auto"/>
              </w:rPr>
              <w:t>Deferred tax</w:t>
            </w:r>
          </w:p>
        </w:tc>
        <w:tc>
          <w:tcPr>
            <w:tcW w:w="3620" w:type="dxa"/>
            <w:vAlign w:val="bottom"/>
          </w:tcPr>
          <w:p>
            <w:pPr>
              <w:spacing w:after="0"/>
              <w:rPr>
                <w:sz w:val="14"/>
                <w:szCs w:val="14"/>
                <w:color w:val="auto"/>
              </w:rPr>
            </w:pPr>
          </w:p>
        </w:tc>
        <w:tc>
          <w:tcPr>
            <w:tcW w:w="2940" w:type="dxa"/>
            <w:vAlign w:val="bottom"/>
          </w:tcPr>
          <w:p>
            <w:pPr>
              <w:jc w:val="right"/>
              <w:ind w:right="268"/>
              <w:spacing w:after="0"/>
              <w:rPr>
                <w:sz w:val="20"/>
                <w:szCs w:val="20"/>
                <w:color w:val="auto"/>
              </w:rPr>
            </w:pPr>
            <w:r>
              <w:rPr>
                <w:rFonts w:ascii="Arial" w:cs="Arial" w:eastAsia="Arial" w:hAnsi="Arial"/>
                <w:sz w:val="14"/>
                <w:szCs w:val="14"/>
                <w:color w:val="auto"/>
              </w:rPr>
              <w:t>16</w:t>
            </w:r>
          </w:p>
        </w:tc>
        <w:tc>
          <w:tcPr>
            <w:tcW w:w="1440" w:type="dxa"/>
            <w:vAlign w:val="bottom"/>
            <w:shd w:val="clear" w:color="auto" w:fill="D8D8D8"/>
          </w:tcPr>
          <w:p>
            <w:pPr>
              <w:jc w:val="right"/>
              <w:ind w:right="269"/>
              <w:spacing w:after="0"/>
              <w:rPr>
                <w:sz w:val="20"/>
                <w:szCs w:val="20"/>
                <w:color w:val="auto"/>
              </w:rPr>
            </w:pPr>
            <w:r>
              <w:rPr>
                <w:rFonts w:ascii="Arial" w:cs="Arial" w:eastAsia="Arial" w:hAnsi="Arial"/>
                <w:sz w:val="14"/>
                <w:szCs w:val="14"/>
                <w:color w:val="auto"/>
              </w:rPr>
              <w:t>8,131</w:t>
            </w:r>
          </w:p>
        </w:tc>
        <w:tc>
          <w:tcPr>
            <w:tcW w:w="1460" w:type="dxa"/>
            <w:vAlign w:val="bottom"/>
          </w:tcPr>
          <w:p>
            <w:pPr>
              <w:jc w:val="right"/>
              <w:ind w:right="268"/>
              <w:spacing w:after="0"/>
              <w:rPr>
                <w:sz w:val="20"/>
                <w:szCs w:val="20"/>
                <w:color w:val="auto"/>
              </w:rPr>
            </w:pPr>
            <w:r>
              <w:rPr>
                <w:rFonts w:ascii="Arial" w:cs="Arial" w:eastAsia="Arial" w:hAnsi="Arial"/>
                <w:sz w:val="14"/>
                <w:szCs w:val="14"/>
                <w:color w:val="auto"/>
              </w:rPr>
              <w:t>5,785</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960" w:type="dxa"/>
            <w:vAlign w:val="bottom"/>
            <w:gridSpan w:val="2"/>
          </w:tcPr>
          <w:p>
            <w:pPr>
              <w:spacing w:after="0"/>
              <w:rPr>
                <w:sz w:val="20"/>
                <w:szCs w:val="20"/>
                <w:color w:val="auto"/>
              </w:rPr>
            </w:pPr>
            <w:r>
              <w:rPr>
                <w:rFonts w:ascii="Arial" w:cs="Arial" w:eastAsia="Arial" w:hAnsi="Arial"/>
                <w:sz w:val="14"/>
                <w:szCs w:val="14"/>
                <w:color w:val="auto"/>
              </w:rPr>
              <w:t>Retirement benefits</w:t>
            </w:r>
          </w:p>
        </w:tc>
        <w:tc>
          <w:tcPr>
            <w:tcW w:w="3620" w:type="dxa"/>
            <w:vAlign w:val="bottom"/>
          </w:tcPr>
          <w:p>
            <w:pPr>
              <w:spacing w:after="0"/>
              <w:rPr>
                <w:sz w:val="14"/>
                <w:szCs w:val="14"/>
                <w:color w:val="auto"/>
              </w:rPr>
            </w:pPr>
          </w:p>
        </w:tc>
        <w:tc>
          <w:tcPr>
            <w:tcW w:w="2940" w:type="dxa"/>
            <w:vAlign w:val="bottom"/>
          </w:tcPr>
          <w:p>
            <w:pPr>
              <w:jc w:val="right"/>
              <w:ind w:right="268"/>
              <w:spacing w:after="0"/>
              <w:rPr>
                <w:sz w:val="20"/>
                <w:szCs w:val="20"/>
                <w:color w:val="auto"/>
              </w:rPr>
            </w:pPr>
            <w:r>
              <w:rPr>
                <w:rFonts w:ascii="Arial" w:cs="Arial" w:eastAsia="Arial" w:hAnsi="Arial"/>
                <w:sz w:val="14"/>
                <w:szCs w:val="14"/>
                <w:color w:val="auto"/>
              </w:rPr>
              <w:t>17</w:t>
            </w:r>
          </w:p>
        </w:tc>
        <w:tc>
          <w:tcPr>
            <w:tcW w:w="1440" w:type="dxa"/>
            <w:vAlign w:val="bottom"/>
            <w:shd w:val="clear" w:color="auto" w:fill="D8D8D8"/>
          </w:tcPr>
          <w:p>
            <w:pPr>
              <w:jc w:val="right"/>
              <w:ind w:right="269"/>
              <w:spacing w:after="0"/>
              <w:rPr>
                <w:sz w:val="20"/>
                <w:szCs w:val="20"/>
                <w:color w:val="auto"/>
              </w:rPr>
            </w:pPr>
            <w:r>
              <w:rPr>
                <w:rFonts w:ascii="Arial" w:cs="Arial" w:eastAsia="Arial" w:hAnsi="Arial"/>
                <w:sz w:val="14"/>
                <w:szCs w:val="14"/>
                <w:color w:val="auto"/>
              </w:rPr>
              <w:t>1,682</w:t>
            </w:r>
          </w:p>
        </w:tc>
        <w:tc>
          <w:tcPr>
            <w:tcW w:w="1460" w:type="dxa"/>
            <w:vAlign w:val="bottom"/>
          </w:tcPr>
          <w:p>
            <w:pPr>
              <w:jc w:val="right"/>
              <w:ind w:right="268"/>
              <w:spacing w:after="0"/>
              <w:rPr>
                <w:sz w:val="20"/>
                <w:szCs w:val="20"/>
                <w:color w:val="auto"/>
              </w:rPr>
            </w:pPr>
            <w:r>
              <w:rPr>
                <w:rFonts w:ascii="Arial" w:cs="Arial" w:eastAsia="Arial" w:hAnsi="Arial"/>
                <w:sz w:val="14"/>
                <w:szCs w:val="14"/>
                <w:color w:val="auto"/>
              </w:rPr>
              <w:t>3,574</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1960" w:type="dxa"/>
            <w:vAlign w:val="bottom"/>
            <w:gridSpan w:val="2"/>
          </w:tcPr>
          <w:p>
            <w:pPr>
              <w:spacing w:after="0" w:line="157" w:lineRule="exact"/>
              <w:rPr>
                <w:sz w:val="20"/>
                <w:szCs w:val="20"/>
                <w:color w:val="auto"/>
              </w:rPr>
            </w:pPr>
            <w:r>
              <w:rPr>
                <w:rFonts w:ascii="Arial" w:cs="Arial" w:eastAsia="Arial" w:hAnsi="Arial"/>
                <w:sz w:val="14"/>
                <w:szCs w:val="14"/>
                <w:color w:val="auto"/>
              </w:rPr>
              <w:t>Trade and other receivables</w:t>
            </w:r>
          </w:p>
        </w:tc>
        <w:tc>
          <w:tcPr>
            <w:tcW w:w="3620" w:type="dxa"/>
            <w:vAlign w:val="bottom"/>
          </w:tcPr>
          <w:p>
            <w:pPr>
              <w:spacing w:after="0"/>
              <w:rPr>
                <w:sz w:val="13"/>
                <w:szCs w:val="13"/>
                <w:color w:val="auto"/>
              </w:rPr>
            </w:pPr>
          </w:p>
        </w:tc>
        <w:tc>
          <w:tcPr>
            <w:tcW w:w="2940" w:type="dxa"/>
            <w:vAlign w:val="bottom"/>
          </w:tcPr>
          <w:p>
            <w:pPr>
              <w:jc w:val="right"/>
              <w:ind w:right="268"/>
              <w:spacing w:after="0" w:line="157" w:lineRule="exact"/>
              <w:rPr>
                <w:sz w:val="20"/>
                <w:szCs w:val="20"/>
                <w:color w:val="auto"/>
              </w:rPr>
            </w:pPr>
            <w:r>
              <w:rPr>
                <w:rFonts w:ascii="Arial" w:cs="Arial" w:eastAsia="Arial" w:hAnsi="Arial"/>
                <w:sz w:val="14"/>
                <w:szCs w:val="14"/>
                <w:color w:val="auto"/>
              </w:rPr>
              <w:t>11</w:t>
            </w:r>
          </w:p>
        </w:tc>
        <w:tc>
          <w:tcPr>
            <w:tcW w:w="1440" w:type="dxa"/>
            <w:vAlign w:val="bottom"/>
            <w:shd w:val="clear" w:color="auto" w:fill="D8D8D8"/>
          </w:tcPr>
          <w:p>
            <w:pPr>
              <w:jc w:val="right"/>
              <w:ind w:right="269"/>
              <w:spacing w:after="0" w:line="157" w:lineRule="exact"/>
              <w:rPr>
                <w:sz w:val="20"/>
                <w:szCs w:val="20"/>
                <w:color w:val="auto"/>
              </w:rPr>
            </w:pPr>
            <w:r>
              <w:rPr>
                <w:rFonts w:ascii="Arial" w:cs="Arial" w:eastAsia="Arial" w:hAnsi="Arial"/>
                <w:sz w:val="14"/>
                <w:szCs w:val="14"/>
                <w:color w:val="auto"/>
              </w:rPr>
              <w:t>8,304</w:t>
            </w:r>
          </w:p>
        </w:tc>
        <w:tc>
          <w:tcPr>
            <w:tcW w:w="1460" w:type="dxa"/>
            <w:vAlign w:val="bottom"/>
          </w:tcPr>
          <w:p>
            <w:pPr>
              <w:jc w:val="right"/>
              <w:ind w:right="268"/>
              <w:spacing w:after="0" w:line="157" w:lineRule="exact"/>
              <w:rPr>
                <w:sz w:val="20"/>
                <w:szCs w:val="20"/>
                <w:color w:val="auto"/>
              </w:rPr>
            </w:pPr>
            <w:r>
              <w:rPr>
                <w:rFonts w:ascii="Arial" w:cs="Arial" w:eastAsia="Arial" w:hAnsi="Arial"/>
                <w:sz w:val="14"/>
                <w:szCs w:val="14"/>
                <w:color w:val="auto"/>
              </w:rPr>
              <w:t>9,191</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940" w:type="dxa"/>
            <w:vAlign w:val="bottom"/>
            <w:tcBorders>
              <w:top w:val="single" w:sz="8" w:color="auto"/>
              <w:bottom w:val="single" w:sz="8" w:color="auto"/>
            </w:tcBorders>
          </w:tcPr>
          <w:p>
            <w:pPr>
              <w:spacing w:after="0"/>
              <w:rPr>
                <w:sz w:val="13"/>
                <w:szCs w:val="13"/>
                <w:color w:val="auto"/>
              </w:rPr>
            </w:pPr>
          </w:p>
        </w:tc>
        <w:tc>
          <w:tcPr>
            <w:tcW w:w="3620" w:type="dxa"/>
            <w:vAlign w:val="bottom"/>
            <w:tcBorders>
              <w:top w:val="single" w:sz="8" w:color="auto"/>
              <w:bottom w:val="single" w:sz="8" w:color="auto"/>
            </w:tcBorders>
          </w:tcPr>
          <w:p>
            <w:pPr>
              <w:spacing w:after="0"/>
              <w:rPr>
                <w:sz w:val="13"/>
                <w:szCs w:val="13"/>
                <w:color w:val="auto"/>
              </w:rPr>
            </w:pPr>
          </w:p>
        </w:tc>
        <w:tc>
          <w:tcPr>
            <w:tcW w:w="2940" w:type="dxa"/>
            <w:vAlign w:val="bottom"/>
            <w:tcBorders>
              <w:top w:val="single" w:sz="8" w:color="auto"/>
              <w:bottom w:val="single" w:sz="8" w:color="auto"/>
            </w:tcBorders>
          </w:tcPr>
          <w:p>
            <w:pPr>
              <w:spacing w:after="0"/>
              <w:rPr>
                <w:sz w:val="13"/>
                <w:szCs w:val="13"/>
                <w:color w:val="auto"/>
              </w:rPr>
            </w:pPr>
          </w:p>
        </w:tc>
        <w:tc>
          <w:tcPr>
            <w:tcW w:w="1440" w:type="dxa"/>
            <w:vAlign w:val="bottom"/>
            <w:tcBorders>
              <w:top w:val="single" w:sz="8" w:color="auto"/>
              <w:bottom w:val="single" w:sz="8" w:color="auto"/>
            </w:tcBorders>
            <w:shd w:val="clear" w:color="auto" w:fill="D8D8D8"/>
          </w:tcPr>
          <w:p>
            <w:pPr>
              <w:jc w:val="right"/>
              <w:ind w:right="269"/>
              <w:spacing w:after="0" w:line="155" w:lineRule="exact"/>
              <w:rPr>
                <w:sz w:val="20"/>
                <w:szCs w:val="20"/>
                <w:color w:val="auto"/>
              </w:rPr>
            </w:pPr>
            <w:r>
              <w:rPr>
                <w:rFonts w:ascii="Arial" w:cs="Arial" w:eastAsia="Arial" w:hAnsi="Arial"/>
                <w:sz w:val="14"/>
                <w:szCs w:val="14"/>
                <w:color w:val="auto"/>
              </w:rPr>
              <w:t>253,338</w:t>
            </w:r>
          </w:p>
        </w:tc>
        <w:tc>
          <w:tcPr>
            <w:tcW w:w="1460" w:type="dxa"/>
            <w:vAlign w:val="bottom"/>
            <w:tcBorders>
              <w:top w:val="single" w:sz="8" w:color="auto"/>
              <w:bottom w:val="single" w:sz="8" w:color="auto"/>
            </w:tcBorders>
          </w:tcPr>
          <w:p>
            <w:pPr>
              <w:jc w:val="right"/>
              <w:ind w:right="268"/>
              <w:spacing w:after="0" w:line="155" w:lineRule="exact"/>
              <w:rPr>
                <w:sz w:val="20"/>
                <w:szCs w:val="20"/>
                <w:color w:val="auto"/>
              </w:rPr>
            </w:pPr>
            <w:r>
              <w:rPr>
                <w:rFonts w:ascii="Arial" w:cs="Arial" w:eastAsia="Arial" w:hAnsi="Arial"/>
                <w:sz w:val="14"/>
                <w:szCs w:val="14"/>
                <w:color w:val="auto"/>
              </w:rPr>
              <w:t>254,169</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1960" w:type="dxa"/>
            <w:vAlign w:val="bottom"/>
            <w:gridSpan w:val="2"/>
          </w:tcPr>
          <w:p>
            <w:pPr>
              <w:spacing w:after="0"/>
              <w:rPr>
                <w:sz w:val="20"/>
                <w:szCs w:val="20"/>
                <w:color w:val="auto"/>
              </w:rPr>
            </w:pPr>
            <w:r>
              <w:rPr>
                <w:rFonts w:ascii="Arial" w:cs="Arial" w:eastAsia="Arial" w:hAnsi="Arial"/>
                <w:sz w:val="14"/>
                <w:szCs w:val="14"/>
                <w:color w:val="auto"/>
              </w:rPr>
              <w:t>Current assets</w:t>
            </w:r>
          </w:p>
        </w:tc>
        <w:tc>
          <w:tcPr>
            <w:tcW w:w="3620" w:type="dxa"/>
            <w:vAlign w:val="bottom"/>
          </w:tcPr>
          <w:p>
            <w:pPr>
              <w:spacing w:after="0"/>
              <w:rPr>
                <w:sz w:val="13"/>
                <w:szCs w:val="13"/>
                <w:color w:val="auto"/>
              </w:rPr>
            </w:pPr>
          </w:p>
        </w:tc>
        <w:tc>
          <w:tcPr>
            <w:tcW w:w="2940" w:type="dxa"/>
            <w:vAlign w:val="bottom"/>
          </w:tcPr>
          <w:p>
            <w:pPr>
              <w:spacing w:after="0"/>
              <w:rPr>
                <w:sz w:val="13"/>
                <w:szCs w:val="13"/>
                <w:color w:val="auto"/>
              </w:rPr>
            </w:pPr>
          </w:p>
        </w:tc>
        <w:tc>
          <w:tcPr>
            <w:tcW w:w="1440" w:type="dxa"/>
            <w:vAlign w:val="bottom"/>
            <w:shd w:val="clear" w:color="auto" w:fill="D8D8D8"/>
          </w:tcPr>
          <w:p>
            <w:pPr>
              <w:spacing w:after="0"/>
              <w:rPr>
                <w:sz w:val="13"/>
                <w:szCs w:val="13"/>
                <w:color w:val="auto"/>
              </w:rPr>
            </w:pPr>
          </w:p>
        </w:tc>
        <w:tc>
          <w:tcPr>
            <w:tcW w:w="14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1960" w:type="dxa"/>
            <w:vAlign w:val="bottom"/>
            <w:gridSpan w:val="2"/>
          </w:tcPr>
          <w:p>
            <w:pPr>
              <w:spacing w:after="0"/>
              <w:rPr>
                <w:sz w:val="20"/>
                <w:szCs w:val="20"/>
                <w:color w:val="auto"/>
              </w:rPr>
            </w:pPr>
            <w:r>
              <w:rPr>
                <w:rFonts w:ascii="Arial" w:cs="Arial" w:eastAsia="Arial" w:hAnsi="Arial"/>
                <w:sz w:val="14"/>
                <w:szCs w:val="14"/>
                <w:color w:val="auto"/>
              </w:rPr>
              <w:t>Inventories</w:t>
            </w:r>
          </w:p>
        </w:tc>
        <w:tc>
          <w:tcPr>
            <w:tcW w:w="3620" w:type="dxa"/>
            <w:vAlign w:val="bottom"/>
          </w:tcPr>
          <w:p>
            <w:pPr>
              <w:spacing w:after="0"/>
              <w:rPr>
                <w:sz w:val="14"/>
                <w:szCs w:val="14"/>
                <w:color w:val="auto"/>
              </w:rPr>
            </w:pPr>
          </w:p>
        </w:tc>
        <w:tc>
          <w:tcPr>
            <w:tcW w:w="2940" w:type="dxa"/>
            <w:vAlign w:val="bottom"/>
          </w:tcPr>
          <w:p>
            <w:pPr>
              <w:jc w:val="right"/>
              <w:ind w:right="268"/>
              <w:spacing w:after="0"/>
              <w:rPr>
                <w:sz w:val="20"/>
                <w:szCs w:val="20"/>
                <w:color w:val="auto"/>
              </w:rPr>
            </w:pPr>
            <w:r>
              <w:rPr>
                <w:rFonts w:ascii="Arial" w:cs="Arial" w:eastAsia="Arial" w:hAnsi="Arial"/>
                <w:sz w:val="14"/>
                <w:szCs w:val="14"/>
                <w:color w:val="auto"/>
              </w:rPr>
              <w:t>12</w:t>
            </w:r>
          </w:p>
        </w:tc>
        <w:tc>
          <w:tcPr>
            <w:tcW w:w="1440" w:type="dxa"/>
            <w:vAlign w:val="bottom"/>
            <w:shd w:val="clear" w:color="auto" w:fill="D8D8D8"/>
          </w:tcPr>
          <w:p>
            <w:pPr>
              <w:jc w:val="right"/>
              <w:ind w:right="269"/>
              <w:spacing w:after="0"/>
              <w:rPr>
                <w:sz w:val="20"/>
                <w:szCs w:val="20"/>
                <w:color w:val="auto"/>
              </w:rPr>
            </w:pPr>
            <w:r>
              <w:rPr>
                <w:rFonts w:ascii="Arial" w:cs="Arial" w:eastAsia="Arial" w:hAnsi="Arial"/>
                <w:sz w:val="14"/>
                <w:szCs w:val="14"/>
                <w:color w:val="auto"/>
              </w:rPr>
              <w:t>19,701</w:t>
            </w:r>
          </w:p>
        </w:tc>
        <w:tc>
          <w:tcPr>
            <w:tcW w:w="1460" w:type="dxa"/>
            <w:vAlign w:val="bottom"/>
          </w:tcPr>
          <w:p>
            <w:pPr>
              <w:jc w:val="right"/>
              <w:ind w:right="268"/>
              <w:spacing w:after="0"/>
              <w:rPr>
                <w:sz w:val="20"/>
                <w:szCs w:val="20"/>
                <w:color w:val="auto"/>
              </w:rPr>
            </w:pPr>
            <w:r>
              <w:rPr>
                <w:rFonts w:ascii="Arial" w:cs="Arial" w:eastAsia="Arial" w:hAnsi="Arial"/>
                <w:sz w:val="14"/>
                <w:szCs w:val="14"/>
                <w:color w:val="auto"/>
              </w:rPr>
              <w:t>30,009</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960" w:type="dxa"/>
            <w:vAlign w:val="bottom"/>
            <w:gridSpan w:val="2"/>
          </w:tcPr>
          <w:p>
            <w:pPr>
              <w:spacing w:after="0"/>
              <w:rPr>
                <w:sz w:val="20"/>
                <w:szCs w:val="20"/>
                <w:color w:val="auto"/>
              </w:rPr>
            </w:pPr>
            <w:r>
              <w:rPr>
                <w:rFonts w:ascii="Arial" w:cs="Arial" w:eastAsia="Arial" w:hAnsi="Arial"/>
                <w:sz w:val="14"/>
                <w:szCs w:val="14"/>
                <w:color w:val="auto"/>
              </w:rPr>
              <w:t>Trade and other receivables</w:t>
            </w:r>
          </w:p>
        </w:tc>
        <w:tc>
          <w:tcPr>
            <w:tcW w:w="3620" w:type="dxa"/>
            <w:vAlign w:val="bottom"/>
          </w:tcPr>
          <w:p>
            <w:pPr>
              <w:spacing w:after="0"/>
              <w:rPr>
                <w:sz w:val="14"/>
                <w:szCs w:val="14"/>
                <w:color w:val="auto"/>
              </w:rPr>
            </w:pPr>
          </w:p>
        </w:tc>
        <w:tc>
          <w:tcPr>
            <w:tcW w:w="2940" w:type="dxa"/>
            <w:vAlign w:val="bottom"/>
          </w:tcPr>
          <w:p>
            <w:pPr>
              <w:jc w:val="right"/>
              <w:ind w:right="268"/>
              <w:spacing w:after="0"/>
              <w:rPr>
                <w:sz w:val="20"/>
                <w:szCs w:val="20"/>
                <w:color w:val="auto"/>
              </w:rPr>
            </w:pPr>
            <w:r>
              <w:rPr>
                <w:rFonts w:ascii="Arial" w:cs="Arial" w:eastAsia="Arial" w:hAnsi="Arial"/>
                <w:sz w:val="14"/>
                <w:szCs w:val="14"/>
                <w:color w:val="auto"/>
              </w:rPr>
              <w:t>11</w:t>
            </w:r>
          </w:p>
        </w:tc>
        <w:tc>
          <w:tcPr>
            <w:tcW w:w="1440" w:type="dxa"/>
            <w:vAlign w:val="bottom"/>
            <w:shd w:val="clear" w:color="auto" w:fill="D8D8D8"/>
          </w:tcPr>
          <w:p>
            <w:pPr>
              <w:jc w:val="right"/>
              <w:ind w:right="269"/>
              <w:spacing w:after="0"/>
              <w:rPr>
                <w:sz w:val="20"/>
                <w:szCs w:val="20"/>
                <w:color w:val="auto"/>
              </w:rPr>
            </w:pPr>
            <w:r>
              <w:rPr>
                <w:rFonts w:ascii="Arial" w:cs="Arial" w:eastAsia="Arial" w:hAnsi="Arial"/>
                <w:sz w:val="14"/>
                <w:szCs w:val="14"/>
                <w:color w:val="auto"/>
              </w:rPr>
              <w:t>58,470</w:t>
            </w:r>
          </w:p>
        </w:tc>
        <w:tc>
          <w:tcPr>
            <w:tcW w:w="1460" w:type="dxa"/>
            <w:vAlign w:val="bottom"/>
          </w:tcPr>
          <w:p>
            <w:pPr>
              <w:jc w:val="right"/>
              <w:ind w:right="268"/>
              <w:spacing w:after="0"/>
              <w:rPr>
                <w:sz w:val="20"/>
                <w:szCs w:val="20"/>
                <w:color w:val="auto"/>
              </w:rPr>
            </w:pPr>
            <w:r>
              <w:rPr>
                <w:rFonts w:ascii="Arial" w:cs="Arial" w:eastAsia="Arial" w:hAnsi="Arial"/>
                <w:sz w:val="14"/>
                <w:szCs w:val="14"/>
                <w:color w:val="auto"/>
              </w:rPr>
              <w:t>63,638</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1960" w:type="dxa"/>
            <w:vAlign w:val="bottom"/>
            <w:gridSpan w:val="2"/>
          </w:tcPr>
          <w:p>
            <w:pPr>
              <w:spacing w:after="0" w:line="157" w:lineRule="exact"/>
              <w:rPr>
                <w:sz w:val="20"/>
                <w:szCs w:val="20"/>
                <w:color w:val="auto"/>
              </w:rPr>
            </w:pPr>
            <w:r>
              <w:rPr>
                <w:rFonts w:ascii="Arial" w:cs="Arial" w:eastAsia="Arial" w:hAnsi="Arial"/>
                <w:sz w:val="14"/>
                <w:szCs w:val="14"/>
                <w:color w:val="auto"/>
              </w:rPr>
              <w:t>Cash and cash equivalents</w:t>
            </w:r>
          </w:p>
        </w:tc>
        <w:tc>
          <w:tcPr>
            <w:tcW w:w="3620" w:type="dxa"/>
            <w:vAlign w:val="bottom"/>
          </w:tcPr>
          <w:p>
            <w:pPr>
              <w:spacing w:after="0"/>
              <w:rPr>
                <w:sz w:val="13"/>
                <w:szCs w:val="13"/>
                <w:color w:val="auto"/>
              </w:rPr>
            </w:pPr>
          </w:p>
        </w:tc>
        <w:tc>
          <w:tcPr>
            <w:tcW w:w="2940" w:type="dxa"/>
            <w:vAlign w:val="bottom"/>
          </w:tcPr>
          <w:p>
            <w:pPr>
              <w:jc w:val="right"/>
              <w:ind w:right="268"/>
              <w:spacing w:after="0" w:line="157" w:lineRule="exact"/>
              <w:rPr>
                <w:sz w:val="20"/>
                <w:szCs w:val="20"/>
                <w:color w:val="auto"/>
              </w:rPr>
            </w:pPr>
            <w:r>
              <w:rPr>
                <w:rFonts w:ascii="Arial" w:cs="Arial" w:eastAsia="Arial" w:hAnsi="Arial"/>
                <w:sz w:val="14"/>
                <w:szCs w:val="14"/>
                <w:color w:val="auto"/>
              </w:rPr>
              <w:t>13</w:t>
            </w:r>
          </w:p>
        </w:tc>
        <w:tc>
          <w:tcPr>
            <w:tcW w:w="1440" w:type="dxa"/>
            <w:vAlign w:val="bottom"/>
            <w:shd w:val="clear" w:color="auto" w:fill="D8D8D8"/>
          </w:tcPr>
          <w:p>
            <w:pPr>
              <w:jc w:val="right"/>
              <w:ind w:right="269"/>
              <w:spacing w:after="0" w:line="157" w:lineRule="exact"/>
              <w:rPr>
                <w:sz w:val="20"/>
                <w:szCs w:val="20"/>
                <w:color w:val="auto"/>
              </w:rPr>
            </w:pPr>
            <w:r>
              <w:rPr>
                <w:rFonts w:ascii="Arial" w:cs="Arial" w:eastAsia="Arial" w:hAnsi="Arial"/>
                <w:sz w:val="14"/>
                <w:szCs w:val="14"/>
                <w:color w:val="auto"/>
              </w:rPr>
              <w:t>21,607</w:t>
            </w:r>
          </w:p>
        </w:tc>
        <w:tc>
          <w:tcPr>
            <w:tcW w:w="1460" w:type="dxa"/>
            <w:vAlign w:val="bottom"/>
          </w:tcPr>
          <w:p>
            <w:pPr>
              <w:jc w:val="right"/>
              <w:ind w:right="268"/>
              <w:spacing w:after="0" w:line="157" w:lineRule="exact"/>
              <w:rPr>
                <w:sz w:val="20"/>
                <w:szCs w:val="20"/>
                <w:color w:val="auto"/>
              </w:rPr>
            </w:pPr>
            <w:r>
              <w:rPr>
                <w:rFonts w:ascii="Arial" w:cs="Arial" w:eastAsia="Arial" w:hAnsi="Arial"/>
                <w:sz w:val="14"/>
                <w:szCs w:val="14"/>
                <w:color w:val="auto"/>
              </w:rPr>
              <w:t>9,696</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940" w:type="dxa"/>
            <w:vAlign w:val="bottom"/>
            <w:tcBorders>
              <w:top w:val="single" w:sz="8" w:color="auto"/>
              <w:bottom w:val="single" w:sz="8" w:color="auto"/>
            </w:tcBorders>
          </w:tcPr>
          <w:p>
            <w:pPr>
              <w:spacing w:after="0"/>
              <w:rPr>
                <w:sz w:val="13"/>
                <w:szCs w:val="13"/>
                <w:color w:val="auto"/>
              </w:rPr>
            </w:pPr>
          </w:p>
        </w:tc>
        <w:tc>
          <w:tcPr>
            <w:tcW w:w="3620" w:type="dxa"/>
            <w:vAlign w:val="bottom"/>
            <w:tcBorders>
              <w:top w:val="single" w:sz="8" w:color="auto"/>
              <w:bottom w:val="single" w:sz="8" w:color="auto"/>
            </w:tcBorders>
          </w:tcPr>
          <w:p>
            <w:pPr>
              <w:spacing w:after="0"/>
              <w:rPr>
                <w:sz w:val="13"/>
                <w:szCs w:val="13"/>
                <w:color w:val="auto"/>
              </w:rPr>
            </w:pPr>
          </w:p>
        </w:tc>
        <w:tc>
          <w:tcPr>
            <w:tcW w:w="2940" w:type="dxa"/>
            <w:vAlign w:val="bottom"/>
            <w:tcBorders>
              <w:top w:val="single" w:sz="8" w:color="auto"/>
              <w:bottom w:val="single" w:sz="8" w:color="auto"/>
            </w:tcBorders>
          </w:tcPr>
          <w:p>
            <w:pPr>
              <w:spacing w:after="0"/>
              <w:rPr>
                <w:sz w:val="13"/>
                <w:szCs w:val="13"/>
                <w:color w:val="auto"/>
              </w:rPr>
            </w:pPr>
          </w:p>
        </w:tc>
        <w:tc>
          <w:tcPr>
            <w:tcW w:w="1440" w:type="dxa"/>
            <w:vAlign w:val="bottom"/>
            <w:tcBorders>
              <w:top w:val="single" w:sz="8" w:color="auto"/>
              <w:bottom w:val="single" w:sz="8" w:color="auto"/>
            </w:tcBorders>
            <w:shd w:val="clear" w:color="auto" w:fill="D8D8D8"/>
          </w:tcPr>
          <w:p>
            <w:pPr>
              <w:jc w:val="right"/>
              <w:ind w:right="269"/>
              <w:spacing w:after="0" w:line="155" w:lineRule="exact"/>
              <w:rPr>
                <w:sz w:val="20"/>
                <w:szCs w:val="20"/>
                <w:color w:val="auto"/>
              </w:rPr>
            </w:pPr>
            <w:r>
              <w:rPr>
                <w:rFonts w:ascii="Arial" w:cs="Arial" w:eastAsia="Arial" w:hAnsi="Arial"/>
                <w:sz w:val="14"/>
                <w:szCs w:val="14"/>
                <w:color w:val="auto"/>
              </w:rPr>
              <w:t>99,778</w:t>
            </w:r>
          </w:p>
        </w:tc>
        <w:tc>
          <w:tcPr>
            <w:tcW w:w="1460" w:type="dxa"/>
            <w:vAlign w:val="bottom"/>
            <w:tcBorders>
              <w:top w:val="single" w:sz="8" w:color="auto"/>
              <w:bottom w:val="single" w:sz="8" w:color="auto"/>
            </w:tcBorders>
          </w:tcPr>
          <w:p>
            <w:pPr>
              <w:jc w:val="right"/>
              <w:ind w:right="268"/>
              <w:spacing w:after="0" w:line="155" w:lineRule="exact"/>
              <w:rPr>
                <w:sz w:val="20"/>
                <w:szCs w:val="20"/>
                <w:color w:val="auto"/>
              </w:rPr>
            </w:pPr>
            <w:r>
              <w:rPr>
                <w:rFonts w:ascii="Arial" w:cs="Arial" w:eastAsia="Arial" w:hAnsi="Arial"/>
                <w:sz w:val="14"/>
                <w:szCs w:val="14"/>
                <w:color w:val="auto"/>
              </w:rPr>
              <w:t>103,343</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960" w:type="dxa"/>
            <w:vAlign w:val="bottom"/>
            <w:tcBorders>
              <w:bottom w:val="single" w:sz="8" w:color="auto"/>
            </w:tcBorders>
            <w:gridSpan w:val="2"/>
          </w:tcPr>
          <w:p>
            <w:pPr>
              <w:spacing w:after="0" w:line="155" w:lineRule="exact"/>
              <w:rPr>
                <w:sz w:val="20"/>
                <w:szCs w:val="20"/>
                <w:color w:val="auto"/>
              </w:rPr>
            </w:pPr>
            <w:r>
              <w:rPr>
                <w:rFonts w:ascii="Arial" w:cs="Arial" w:eastAsia="Arial" w:hAnsi="Arial"/>
                <w:sz w:val="14"/>
                <w:szCs w:val="14"/>
                <w:color w:val="auto"/>
              </w:rPr>
              <w:t>Total assets</w:t>
            </w:r>
          </w:p>
        </w:tc>
        <w:tc>
          <w:tcPr>
            <w:tcW w:w="3620" w:type="dxa"/>
            <w:vAlign w:val="bottom"/>
            <w:tcBorders>
              <w:bottom w:val="single" w:sz="8" w:color="auto"/>
            </w:tcBorders>
          </w:tcPr>
          <w:p>
            <w:pPr>
              <w:spacing w:after="0"/>
              <w:rPr>
                <w:sz w:val="13"/>
                <w:szCs w:val="13"/>
                <w:color w:val="auto"/>
              </w:rPr>
            </w:pPr>
          </w:p>
        </w:tc>
        <w:tc>
          <w:tcPr>
            <w:tcW w:w="2940" w:type="dxa"/>
            <w:vAlign w:val="bottom"/>
            <w:tcBorders>
              <w:bottom w:val="single" w:sz="8" w:color="auto"/>
            </w:tcBorders>
          </w:tcPr>
          <w:p>
            <w:pPr>
              <w:spacing w:after="0"/>
              <w:rPr>
                <w:sz w:val="13"/>
                <w:szCs w:val="13"/>
                <w:color w:val="auto"/>
              </w:rPr>
            </w:pPr>
          </w:p>
        </w:tc>
        <w:tc>
          <w:tcPr>
            <w:tcW w:w="1440" w:type="dxa"/>
            <w:vAlign w:val="bottom"/>
            <w:tcBorders>
              <w:bottom w:val="single" w:sz="8" w:color="auto"/>
            </w:tcBorders>
            <w:shd w:val="clear" w:color="auto" w:fill="D8D8D8"/>
          </w:tcPr>
          <w:p>
            <w:pPr>
              <w:jc w:val="right"/>
              <w:ind w:right="269"/>
              <w:spacing w:after="0" w:line="155" w:lineRule="exact"/>
              <w:rPr>
                <w:sz w:val="20"/>
                <w:szCs w:val="20"/>
                <w:color w:val="auto"/>
              </w:rPr>
            </w:pPr>
            <w:r>
              <w:rPr>
                <w:rFonts w:ascii="Arial" w:cs="Arial" w:eastAsia="Arial" w:hAnsi="Arial"/>
                <w:sz w:val="14"/>
                <w:szCs w:val="14"/>
                <w:color w:val="auto"/>
              </w:rPr>
              <w:t>353,116</w:t>
            </w:r>
          </w:p>
        </w:tc>
        <w:tc>
          <w:tcPr>
            <w:tcW w:w="1460" w:type="dxa"/>
            <w:vAlign w:val="bottom"/>
            <w:tcBorders>
              <w:bottom w:val="single" w:sz="8" w:color="auto"/>
            </w:tcBorders>
          </w:tcPr>
          <w:p>
            <w:pPr>
              <w:jc w:val="right"/>
              <w:ind w:right="268"/>
              <w:spacing w:after="0" w:line="155" w:lineRule="exact"/>
              <w:rPr>
                <w:sz w:val="20"/>
                <w:szCs w:val="20"/>
                <w:color w:val="auto"/>
              </w:rPr>
            </w:pPr>
            <w:r>
              <w:rPr>
                <w:rFonts w:ascii="Arial" w:cs="Arial" w:eastAsia="Arial" w:hAnsi="Arial"/>
                <w:sz w:val="14"/>
                <w:szCs w:val="14"/>
                <w:color w:val="auto"/>
              </w:rPr>
              <w:t>357,512</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1960" w:type="dxa"/>
            <w:vAlign w:val="bottom"/>
            <w:gridSpan w:val="2"/>
          </w:tcPr>
          <w:p>
            <w:pPr>
              <w:spacing w:after="0"/>
              <w:rPr>
                <w:sz w:val="20"/>
                <w:szCs w:val="20"/>
                <w:color w:val="auto"/>
              </w:rPr>
            </w:pPr>
            <w:r>
              <w:rPr>
                <w:rFonts w:ascii="Arial" w:cs="Arial" w:eastAsia="Arial" w:hAnsi="Arial"/>
                <w:sz w:val="14"/>
                <w:szCs w:val="14"/>
                <w:b w:val="1"/>
                <w:bCs w:val="1"/>
                <w:color w:val="auto"/>
              </w:rPr>
              <w:t>Liabilities</w:t>
            </w:r>
          </w:p>
        </w:tc>
        <w:tc>
          <w:tcPr>
            <w:tcW w:w="3620" w:type="dxa"/>
            <w:vAlign w:val="bottom"/>
          </w:tcPr>
          <w:p>
            <w:pPr>
              <w:spacing w:after="0"/>
              <w:rPr>
                <w:sz w:val="13"/>
                <w:szCs w:val="13"/>
                <w:color w:val="auto"/>
              </w:rPr>
            </w:pPr>
          </w:p>
        </w:tc>
        <w:tc>
          <w:tcPr>
            <w:tcW w:w="2940" w:type="dxa"/>
            <w:vAlign w:val="bottom"/>
          </w:tcPr>
          <w:p>
            <w:pPr>
              <w:spacing w:after="0"/>
              <w:rPr>
                <w:sz w:val="13"/>
                <w:szCs w:val="13"/>
                <w:color w:val="auto"/>
              </w:rPr>
            </w:pPr>
          </w:p>
        </w:tc>
        <w:tc>
          <w:tcPr>
            <w:tcW w:w="1440" w:type="dxa"/>
            <w:vAlign w:val="bottom"/>
            <w:shd w:val="clear" w:color="auto" w:fill="D8D8D8"/>
          </w:tcPr>
          <w:p>
            <w:pPr>
              <w:spacing w:after="0"/>
              <w:rPr>
                <w:sz w:val="13"/>
                <w:szCs w:val="13"/>
                <w:color w:val="auto"/>
              </w:rPr>
            </w:pPr>
          </w:p>
        </w:tc>
        <w:tc>
          <w:tcPr>
            <w:tcW w:w="14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1960" w:type="dxa"/>
            <w:vAlign w:val="bottom"/>
            <w:gridSpan w:val="2"/>
          </w:tcPr>
          <w:p>
            <w:pPr>
              <w:spacing w:after="0"/>
              <w:rPr>
                <w:sz w:val="20"/>
                <w:szCs w:val="20"/>
                <w:color w:val="auto"/>
              </w:rPr>
            </w:pPr>
            <w:r>
              <w:rPr>
                <w:rFonts w:ascii="Arial" w:cs="Arial" w:eastAsia="Arial" w:hAnsi="Arial"/>
                <w:sz w:val="14"/>
                <w:szCs w:val="14"/>
                <w:color w:val="auto"/>
              </w:rPr>
              <w:t>Non-current liabilities</w:t>
            </w:r>
          </w:p>
        </w:tc>
        <w:tc>
          <w:tcPr>
            <w:tcW w:w="3620" w:type="dxa"/>
            <w:vAlign w:val="bottom"/>
          </w:tcPr>
          <w:p>
            <w:pPr>
              <w:spacing w:after="0"/>
              <w:rPr>
                <w:sz w:val="14"/>
                <w:szCs w:val="14"/>
                <w:color w:val="auto"/>
              </w:rPr>
            </w:pPr>
          </w:p>
        </w:tc>
        <w:tc>
          <w:tcPr>
            <w:tcW w:w="2940" w:type="dxa"/>
            <w:vAlign w:val="bottom"/>
          </w:tcPr>
          <w:p>
            <w:pPr>
              <w:spacing w:after="0"/>
              <w:rPr>
                <w:sz w:val="14"/>
                <w:szCs w:val="14"/>
                <w:color w:val="auto"/>
              </w:rPr>
            </w:pPr>
          </w:p>
        </w:tc>
        <w:tc>
          <w:tcPr>
            <w:tcW w:w="1440" w:type="dxa"/>
            <w:vAlign w:val="bottom"/>
            <w:shd w:val="clear" w:color="auto" w:fill="D8D8D8"/>
          </w:tcPr>
          <w:p>
            <w:pPr>
              <w:spacing w:after="0"/>
              <w:rPr>
                <w:sz w:val="14"/>
                <w:szCs w:val="14"/>
                <w:color w:val="auto"/>
              </w:rPr>
            </w:pP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960" w:type="dxa"/>
            <w:vAlign w:val="bottom"/>
            <w:gridSpan w:val="2"/>
          </w:tcPr>
          <w:p>
            <w:pPr>
              <w:spacing w:after="0"/>
              <w:rPr>
                <w:sz w:val="20"/>
                <w:szCs w:val="20"/>
                <w:color w:val="auto"/>
              </w:rPr>
            </w:pPr>
            <w:r>
              <w:rPr>
                <w:rFonts w:ascii="Arial" w:cs="Arial" w:eastAsia="Arial" w:hAnsi="Arial"/>
                <w:sz w:val="14"/>
                <w:szCs w:val="14"/>
                <w:color w:val="auto"/>
              </w:rPr>
              <w:t>Debt</w:t>
            </w:r>
          </w:p>
        </w:tc>
        <w:tc>
          <w:tcPr>
            <w:tcW w:w="3620" w:type="dxa"/>
            <w:vAlign w:val="bottom"/>
          </w:tcPr>
          <w:p>
            <w:pPr>
              <w:spacing w:after="0"/>
              <w:rPr>
                <w:sz w:val="14"/>
                <w:szCs w:val="14"/>
                <w:color w:val="auto"/>
              </w:rPr>
            </w:pPr>
          </w:p>
        </w:tc>
        <w:tc>
          <w:tcPr>
            <w:tcW w:w="2940" w:type="dxa"/>
            <w:vAlign w:val="bottom"/>
          </w:tcPr>
          <w:p>
            <w:pPr>
              <w:jc w:val="right"/>
              <w:ind w:right="268"/>
              <w:spacing w:after="0"/>
              <w:rPr>
                <w:sz w:val="20"/>
                <w:szCs w:val="20"/>
                <w:color w:val="auto"/>
              </w:rPr>
            </w:pPr>
            <w:r>
              <w:rPr>
                <w:rFonts w:ascii="Arial" w:cs="Arial" w:eastAsia="Arial" w:hAnsi="Arial"/>
                <w:sz w:val="14"/>
                <w:szCs w:val="14"/>
                <w:color w:val="auto"/>
              </w:rPr>
              <w:t>14</w:t>
            </w:r>
          </w:p>
        </w:tc>
        <w:tc>
          <w:tcPr>
            <w:tcW w:w="1440" w:type="dxa"/>
            <w:vAlign w:val="bottom"/>
            <w:shd w:val="clear" w:color="auto" w:fill="D8D8D8"/>
          </w:tcPr>
          <w:p>
            <w:pPr>
              <w:jc w:val="right"/>
              <w:ind w:right="269"/>
              <w:spacing w:after="0"/>
              <w:rPr>
                <w:sz w:val="20"/>
                <w:szCs w:val="20"/>
                <w:color w:val="auto"/>
              </w:rPr>
            </w:pPr>
            <w:r>
              <w:rPr>
                <w:rFonts w:ascii="Arial" w:cs="Arial" w:eastAsia="Arial" w:hAnsi="Arial"/>
                <w:sz w:val="14"/>
                <w:szCs w:val="14"/>
                <w:color w:val="auto"/>
              </w:rPr>
              <w:t>38,332</w:t>
            </w:r>
          </w:p>
        </w:tc>
        <w:tc>
          <w:tcPr>
            <w:tcW w:w="1460" w:type="dxa"/>
            <w:vAlign w:val="bottom"/>
          </w:tcPr>
          <w:p>
            <w:pPr>
              <w:jc w:val="right"/>
              <w:ind w:right="268"/>
              <w:spacing w:after="0"/>
              <w:rPr>
                <w:sz w:val="20"/>
                <w:szCs w:val="20"/>
                <w:color w:val="auto"/>
              </w:rPr>
            </w:pPr>
            <w:r>
              <w:rPr>
                <w:rFonts w:ascii="Arial" w:cs="Arial" w:eastAsia="Arial" w:hAnsi="Arial"/>
                <w:sz w:val="14"/>
                <w:szCs w:val="14"/>
                <w:color w:val="auto"/>
              </w:rPr>
              <w:t>36,218</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960" w:type="dxa"/>
            <w:vAlign w:val="bottom"/>
            <w:gridSpan w:val="2"/>
          </w:tcPr>
          <w:p>
            <w:pPr>
              <w:spacing w:after="0"/>
              <w:rPr>
                <w:sz w:val="20"/>
                <w:szCs w:val="20"/>
                <w:color w:val="auto"/>
              </w:rPr>
            </w:pPr>
            <w:r>
              <w:rPr>
                <w:rFonts w:ascii="Arial" w:cs="Arial" w:eastAsia="Arial" w:hAnsi="Arial"/>
                <w:sz w:val="14"/>
                <w:szCs w:val="14"/>
                <w:color w:val="auto"/>
              </w:rPr>
              <w:t>Trade and other payables</w:t>
            </w:r>
          </w:p>
        </w:tc>
        <w:tc>
          <w:tcPr>
            <w:tcW w:w="3620" w:type="dxa"/>
            <w:vAlign w:val="bottom"/>
          </w:tcPr>
          <w:p>
            <w:pPr>
              <w:spacing w:after="0"/>
              <w:rPr>
                <w:sz w:val="14"/>
                <w:szCs w:val="14"/>
                <w:color w:val="auto"/>
              </w:rPr>
            </w:pPr>
          </w:p>
        </w:tc>
        <w:tc>
          <w:tcPr>
            <w:tcW w:w="2940" w:type="dxa"/>
            <w:vAlign w:val="bottom"/>
          </w:tcPr>
          <w:p>
            <w:pPr>
              <w:jc w:val="right"/>
              <w:ind w:right="268"/>
              <w:spacing w:after="0"/>
              <w:rPr>
                <w:sz w:val="20"/>
                <w:szCs w:val="20"/>
                <w:color w:val="auto"/>
              </w:rPr>
            </w:pPr>
            <w:r>
              <w:rPr>
                <w:rFonts w:ascii="Arial" w:cs="Arial" w:eastAsia="Arial" w:hAnsi="Arial"/>
                <w:sz w:val="14"/>
                <w:szCs w:val="14"/>
                <w:color w:val="auto"/>
              </w:rPr>
              <w:t>15</w:t>
            </w:r>
          </w:p>
        </w:tc>
        <w:tc>
          <w:tcPr>
            <w:tcW w:w="1440" w:type="dxa"/>
            <w:vAlign w:val="bottom"/>
            <w:shd w:val="clear" w:color="auto" w:fill="D8D8D8"/>
          </w:tcPr>
          <w:p>
            <w:pPr>
              <w:jc w:val="right"/>
              <w:ind w:right="269"/>
              <w:spacing w:after="0"/>
              <w:rPr>
                <w:sz w:val="20"/>
                <w:szCs w:val="20"/>
                <w:color w:val="auto"/>
              </w:rPr>
            </w:pPr>
            <w:r>
              <w:rPr>
                <w:rFonts w:ascii="Arial" w:cs="Arial" w:eastAsia="Arial" w:hAnsi="Arial"/>
                <w:sz w:val="14"/>
                <w:szCs w:val="14"/>
                <w:color w:val="auto"/>
              </w:rPr>
              <w:t>3,582</w:t>
            </w:r>
          </w:p>
        </w:tc>
        <w:tc>
          <w:tcPr>
            <w:tcW w:w="1460" w:type="dxa"/>
            <w:vAlign w:val="bottom"/>
          </w:tcPr>
          <w:p>
            <w:pPr>
              <w:jc w:val="right"/>
              <w:ind w:right="268"/>
              <w:spacing w:after="0"/>
              <w:rPr>
                <w:sz w:val="20"/>
                <w:szCs w:val="20"/>
                <w:color w:val="auto"/>
              </w:rPr>
            </w:pPr>
            <w:r>
              <w:rPr>
                <w:rFonts w:ascii="Arial" w:cs="Arial" w:eastAsia="Arial" w:hAnsi="Arial"/>
                <w:sz w:val="14"/>
                <w:szCs w:val="14"/>
                <w:color w:val="auto"/>
              </w:rPr>
              <w:t>4,065</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960" w:type="dxa"/>
            <w:vAlign w:val="bottom"/>
            <w:gridSpan w:val="2"/>
          </w:tcPr>
          <w:p>
            <w:pPr>
              <w:spacing w:after="0"/>
              <w:rPr>
                <w:sz w:val="20"/>
                <w:szCs w:val="20"/>
                <w:color w:val="auto"/>
              </w:rPr>
            </w:pPr>
            <w:r>
              <w:rPr>
                <w:rFonts w:ascii="Arial" w:cs="Arial" w:eastAsia="Arial" w:hAnsi="Arial"/>
                <w:sz w:val="14"/>
                <w:szCs w:val="14"/>
                <w:color w:val="auto"/>
              </w:rPr>
              <w:t>Deferred tax</w:t>
            </w:r>
          </w:p>
        </w:tc>
        <w:tc>
          <w:tcPr>
            <w:tcW w:w="3620" w:type="dxa"/>
            <w:vAlign w:val="bottom"/>
          </w:tcPr>
          <w:p>
            <w:pPr>
              <w:spacing w:after="0"/>
              <w:rPr>
                <w:sz w:val="14"/>
                <w:szCs w:val="14"/>
                <w:color w:val="auto"/>
              </w:rPr>
            </w:pPr>
          </w:p>
        </w:tc>
        <w:tc>
          <w:tcPr>
            <w:tcW w:w="2940" w:type="dxa"/>
            <w:vAlign w:val="bottom"/>
          </w:tcPr>
          <w:p>
            <w:pPr>
              <w:jc w:val="right"/>
              <w:ind w:right="268"/>
              <w:spacing w:after="0"/>
              <w:rPr>
                <w:sz w:val="20"/>
                <w:szCs w:val="20"/>
                <w:color w:val="auto"/>
              </w:rPr>
            </w:pPr>
            <w:r>
              <w:rPr>
                <w:rFonts w:ascii="Arial" w:cs="Arial" w:eastAsia="Arial" w:hAnsi="Arial"/>
                <w:sz w:val="14"/>
                <w:szCs w:val="14"/>
                <w:color w:val="auto"/>
              </w:rPr>
              <w:t>16</w:t>
            </w:r>
          </w:p>
        </w:tc>
        <w:tc>
          <w:tcPr>
            <w:tcW w:w="1440" w:type="dxa"/>
            <w:vAlign w:val="bottom"/>
            <w:shd w:val="clear" w:color="auto" w:fill="D8D8D8"/>
          </w:tcPr>
          <w:p>
            <w:pPr>
              <w:jc w:val="right"/>
              <w:ind w:right="269"/>
              <w:spacing w:after="0"/>
              <w:rPr>
                <w:sz w:val="20"/>
                <w:szCs w:val="20"/>
                <w:color w:val="auto"/>
              </w:rPr>
            </w:pPr>
            <w:r>
              <w:rPr>
                <w:rFonts w:ascii="Arial" w:cs="Arial" w:eastAsia="Arial" w:hAnsi="Arial"/>
                <w:sz w:val="14"/>
                <w:szCs w:val="14"/>
                <w:color w:val="auto"/>
              </w:rPr>
              <w:t>12,052</w:t>
            </w:r>
          </w:p>
        </w:tc>
        <w:tc>
          <w:tcPr>
            <w:tcW w:w="1460" w:type="dxa"/>
            <w:vAlign w:val="bottom"/>
          </w:tcPr>
          <w:p>
            <w:pPr>
              <w:jc w:val="right"/>
              <w:ind w:right="268"/>
              <w:spacing w:after="0"/>
              <w:rPr>
                <w:sz w:val="20"/>
                <w:szCs w:val="20"/>
                <w:color w:val="auto"/>
              </w:rPr>
            </w:pPr>
            <w:r>
              <w:rPr>
                <w:rFonts w:ascii="Arial" w:cs="Arial" w:eastAsia="Arial" w:hAnsi="Arial"/>
                <w:sz w:val="14"/>
                <w:szCs w:val="14"/>
                <w:color w:val="auto"/>
              </w:rPr>
              <w:t>11,943</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960" w:type="dxa"/>
            <w:vAlign w:val="bottom"/>
            <w:gridSpan w:val="2"/>
          </w:tcPr>
          <w:p>
            <w:pPr>
              <w:spacing w:after="0"/>
              <w:rPr>
                <w:sz w:val="20"/>
                <w:szCs w:val="20"/>
                <w:color w:val="auto"/>
              </w:rPr>
            </w:pPr>
            <w:r>
              <w:rPr>
                <w:rFonts w:ascii="Arial" w:cs="Arial" w:eastAsia="Arial" w:hAnsi="Arial"/>
                <w:sz w:val="14"/>
                <w:szCs w:val="14"/>
                <w:color w:val="auto"/>
              </w:rPr>
              <w:t>Retirement benefits</w:t>
            </w:r>
          </w:p>
        </w:tc>
        <w:tc>
          <w:tcPr>
            <w:tcW w:w="3620" w:type="dxa"/>
            <w:vAlign w:val="bottom"/>
          </w:tcPr>
          <w:p>
            <w:pPr>
              <w:spacing w:after="0"/>
              <w:rPr>
                <w:sz w:val="14"/>
                <w:szCs w:val="14"/>
                <w:color w:val="auto"/>
              </w:rPr>
            </w:pPr>
          </w:p>
        </w:tc>
        <w:tc>
          <w:tcPr>
            <w:tcW w:w="2940" w:type="dxa"/>
            <w:vAlign w:val="bottom"/>
          </w:tcPr>
          <w:p>
            <w:pPr>
              <w:jc w:val="right"/>
              <w:ind w:right="268"/>
              <w:spacing w:after="0"/>
              <w:rPr>
                <w:sz w:val="20"/>
                <w:szCs w:val="20"/>
                <w:color w:val="auto"/>
              </w:rPr>
            </w:pPr>
            <w:r>
              <w:rPr>
                <w:rFonts w:ascii="Arial" w:cs="Arial" w:eastAsia="Arial" w:hAnsi="Arial"/>
                <w:sz w:val="14"/>
                <w:szCs w:val="14"/>
                <w:color w:val="auto"/>
              </w:rPr>
              <w:t>17</w:t>
            </w:r>
          </w:p>
        </w:tc>
        <w:tc>
          <w:tcPr>
            <w:tcW w:w="1440" w:type="dxa"/>
            <w:vAlign w:val="bottom"/>
            <w:shd w:val="clear" w:color="auto" w:fill="D8D8D8"/>
          </w:tcPr>
          <w:p>
            <w:pPr>
              <w:jc w:val="right"/>
              <w:ind w:right="269"/>
              <w:spacing w:after="0"/>
              <w:rPr>
                <w:sz w:val="20"/>
                <w:szCs w:val="20"/>
                <w:color w:val="auto"/>
              </w:rPr>
            </w:pPr>
            <w:r>
              <w:rPr>
                <w:rFonts w:ascii="Arial" w:cs="Arial" w:eastAsia="Arial" w:hAnsi="Arial"/>
                <w:sz w:val="14"/>
                <w:szCs w:val="14"/>
                <w:color w:val="auto"/>
              </w:rPr>
              <w:t>16,318</w:t>
            </w:r>
          </w:p>
        </w:tc>
        <w:tc>
          <w:tcPr>
            <w:tcW w:w="1460" w:type="dxa"/>
            <w:vAlign w:val="bottom"/>
          </w:tcPr>
          <w:p>
            <w:pPr>
              <w:jc w:val="right"/>
              <w:ind w:right="268"/>
              <w:spacing w:after="0"/>
              <w:rPr>
                <w:sz w:val="20"/>
                <w:szCs w:val="20"/>
                <w:color w:val="auto"/>
              </w:rPr>
            </w:pPr>
            <w:r>
              <w:rPr>
                <w:rFonts w:ascii="Arial" w:cs="Arial" w:eastAsia="Arial" w:hAnsi="Arial"/>
                <w:sz w:val="14"/>
                <w:szCs w:val="14"/>
                <w:color w:val="auto"/>
              </w:rPr>
              <w:t>11,182</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5580" w:type="dxa"/>
            <w:vAlign w:val="bottom"/>
            <w:gridSpan w:val="3"/>
          </w:tcPr>
          <w:p>
            <w:pPr>
              <w:spacing w:after="0" w:line="157" w:lineRule="exact"/>
              <w:rPr>
                <w:sz w:val="20"/>
                <w:szCs w:val="20"/>
                <w:color w:val="auto"/>
              </w:rPr>
            </w:pPr>
            <w:r>
              <w:rPr>
                <w:rFonts w:ascii="Arial" w:cs="Arial" w:eastAsia="Arial" w:hAnsi="Arial"/>
                <w:sz w:val="14"/>
                <w:szCs w:val="14"/>
                <w:color w:val="auto"/>
              </w:rPr>
              <w:t>Decommissioning and other provisions</w:t>
            </w:r>
          </w:p>
        </w:tc>
        <w:tc>
          <w:tcPr>
            <w:tcW w:w="2940" w:type="dxa"/>
            <w:vAlign w:val="bottom"/>
          </w:tcPr>
          <w:p>
            <w:pPr>
              <w:jc w:val="right"/>
              <w:ind w:right="268"/>
              <w:spacing w:after="0" w:line="157" w:lineRule="exact"/>
              <w:rPr>
                <w:sz w:val="20"/>
                <w:szCs w:val="20"/>
                <w:color w:val="auto"/>
              </w:rPr>
            </w:pPr>
            <w:r>
              <w:rPr>
                <w:rFonts w:ascii="Arial" w:cs="Arial" w:eastAsia="Arial" w:hAnsi="Arial"/>
                <w:sz w:val="14"/>
                <w:szCs w:val="14"/>
                <w:color w:val="auto"/>
              </w:rPr>
              <w:t>18</w:t>
            </w:r>
          </w:p>
        </w:tc>
        <w:tc>
          <w:tcPr>
            <w:tcW w:w="1440" w:type="dxa"/>
            <w:vAlign w:val="bottom"/>
            <w:shd w:val="clear" w:color="auto" w:fill="D8D8D8"/>
          </w:tcPr>
          <w:p>
            <w:pPr>
              <w:jc w:val="right"/>
              <w:ind w:right="269"/>
              <w:spacing w:after="0" w:line="157" w:lineRule="exact"/>
              <w:rPr>
                <w:sz w:val="20"/>
                <w:szCs w:val="20"/>
                <w:color w:val="auto"/>
              </w:rPr>
            </w:pPr>
            <w:r>
              <w:rPr>
                <w:rFonts w:ascii="Arial" w:cs="Arial" w:eastAsia="Arial" w:hAnsi="Arial"/>
                <w:sz w:val="14"/>
                <w:szCs w:val="14"/>
                <w:color w:val="auto"/>
              </w:rPr>
              <w:t>23,834</w:t>
            </w:r>
          </w:p>
        </w:tc>
        <w:tc>
          <w:tcPr>
            <w:tcW w:w="1460" w:type="dxa"/>
            <w:vAlign w:val="bottom"/>
          </w:tcPr>
          <w:p>
            <w:pPr>
              <w:jc w:val="right"/>
              <w:ind w:right="268"/>
              <w:spacing w:after="0" w:line="157" w:lineRule="exact"/>
              <w:rPr>
                <w:sz w:val="20"/>
                <w:szCs w:val="20"/>
                <w:color w:val="auto"/>
              </w:rPr>
            </w:pPr>
            <w:r>
              <w:rPr>
                <w:rFonts w:ascii="Arial" w:cs="Arial" w:eastAsia="Arial" w:hAnsi="Arial"/>
                <w:sz w:val="14"/>
                <w:szCs w:val="14"/>
                <w:color w:val="auto"/>
              </w:rPr>
              <w:t>19,698</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940" w:type="dxa"/>
            <w:vAlign w:val="bottom"/>
            <w:tcBorders>
              <w:top w:val="single" w:sz="8" w:color="auto"/>
              <w:bottom w:val="single" w:sz="8" w:color="auto"/>
            </w:tcBorders>
          </w:tcPr>
          <w:p>
            <w:pPr>
              <w:spacing w:after="0"/>
              <w:rPr>
                <w:sz w:val="13"/>
                <w:szCs w:val="13"/>
                <w:color w:val="auto"/>
              </w:rPr>
            </w:pPr>
          </w:p>
        </w:tc>
        <w:tc>
          <w:tcPr>
            <w:tcW w:w="3620" w:type="dxa"/>
            <w:vAlign w:val="bottom"/>
            <w:tcBorders>
              <w:top w:val="single" w:sz="8" w:color="auto"/>
              <w:bottom w:val="single" w:sz="8" w:color="auto"/>
            </w:tcBorders>
          </w:tcPr>
          <w:p>
            <w:pPr>
              <w:spacing w:after="0"/>
              <w:rPr>
                <w:sz w:val="13"/>
                <w:szCs w:val="13"/>
                <w:color w:val="auto"/>
              </w:rPr>
            </w:pPr>
          </w:p>
        </w:tc>
        <w:tc>
          <w:tcPr>
            <w:tcW w:w="2940" w:type="dxa"/>
            <w:vAlign w:val="bottom"/>
            <w:tcBorders>
              <w:top w:val="single" w:sz="8" w:color="auto"/>
              <w:bottom w:val="single" w:sz="8" w:color="auto"/>
            </w:tcBorders>
          </w:tcPr>
          <w:p>
            <w:pPr>
              <w:spacing w:after="0"/>
              <w:rPr>
                <w:sz w:val="13"/>
                <w:szCs w:val="13"/>
                <w:color w:val="auto"/>
              </w:rPr>
            </w:pPr>
          </w:p>
        </w:tc>
        <w:tc>
          <w:tcPr>
            <w:tcW w:w="1440" w:type="dxa"/>
            <w:vAlign w:val="bottom"/>
            <w:tcBorders>
              <w:top w:val="single" w:sz="8" w:color="auto"/>
              <w:bottom w:val="single" w:sz="8" w:color="auto"/>
            </w:tcBorders>
            <w:shd w:val="clear" w:color="auto" w:fill="D8D8D8"/>
          </w:tcPr>
          <w:p>
            <w:pPr>
              <w:jc w:val="right"/>
              <w:ind w:right="269"/>
              <w:spacing w:after="0" w:line="155" w:lineRule="exact"/>
              <w:rPr>
                <w:sz w:val="20"/>
                <w:szCs w:val="20"/>
                <w:color w:val="auto"/>
              </w:rPr>
            </w:pPr>
            <w:r>
              <w:rPr>
                <w:rFonts w:ascii="Arial" w:cs="Arial" w:eastAsia="Arial" w:hAnsi="Arial"/>
                <w:sz w:val="14"/>
                <w:szCs w:val="14"/>
                <w:color w:val="auto"/>
              </w:rPr>
              <w:t>94,118</w:t>
            </w:r>
          </w:p>
        </w:tc>
        <w:tc>
          <w:tcPr>
            <w:tcW w:w="1460" w:type="dxa"/>
            <w:vAlign w:val="bottom"/>
            <w:tcBorders>
              <w:top w:val="single" w:sz="8" w:color="auto"/>
              <w:bottom w:val="single" w:sz="8" w:color="auto"/>
            </w:tcBorders>
          </w:tcPr>
          <w:p>
            <w:pPr>
              <w:jc w:val="right"/>
              <w:ind w:right="268"/>
              <w:spacing w:after="0" w:line="155" w:lineRule="exact"/>
              <w:rPr>
                <w:sz w:val="20"/>
                <w:szCs w:val="20"/>
                <w:color w:val="auto"/>
              </w:rPr>
            </w:pPr>
            <w:r>
              <w:rPr>
                <w:rFonts w:ascii="Arial" w:cs="Arial" w:eastAsia="Arial" w:hAnsi="Arial"/>
                <w:sz w:val="14"/>
                <w:szCs w:val="14"/>
                <w:color w:val="auto"/>
              </w:rPr>
              <w:t>83,106</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1960" w:type="dxa"/>
            <w:vAlign w:val="bottom"/>
            <w:gridSpan w:val="2"/>
          </w:tcPr>
          <w:p>
            <w:pPr>
              <w:spacing w:after="0"/>
              <w:rPr>
                <w:sz w:val="20"/>
                <w:szCs w:val="20"/>
                <w:color w:val="auto"/>
              </w:rPr>
            </w:pPr>
            <w:r>
              <w:rPr>
                <w:rFonts w:ascii="Arial" w:cs="Arial" w:eastAsia="Arial" w:hAnsi="Arial"/>
                <w:sz w:val="14"/>
                <w:szCs w:val="14"/>
                <w:color w:val="auto"/>
              </w:rPr>
              <w:t>Current liabilities</w:t>
            </w:r>
          </w:p>
        </w:tc>
        <w:tc>
          <w:tcPr>
            <w:tcW w:w="3620" w:type="dxa"/>
            <w:vAlign w:val="bottom"/>
          </w:tcPr>
          <w:p>
            <w:pPr>
              <w:spacing w:after="0"/>
              <w:rPr>
                <w:sz w:val="13"/>
                <w:szCs w:val="13"/>
                <w:color w:val="auto"/>
              </w:rPr>
            </w:pPr>
          </w:p>
        </w:tc>
        <w:tc>
          <w:tcPr>
            <w:tcW w:w="2940" w:type="dxa"/>
            <w:vAlign w:val="bottom"/>
          </w:tcPr>
          <w:p>
            <w:pPr>
              <w:spacing w:after="0"/>
              <w:rPr>
                <w:sz w:val="13"/>
                <w:szCs w:val="13"/>
                <w:color w:val="auto"/>
              </w:rPr>
            </w:pPr>
          </w:p>
        </w:tc>
        <w:tc>
          <w:tcPr>
            <w:tcW w:w="1440" w:type="dxa"/>
            <w:vAlign w:val="bottom"/>
            <w:shd w:val="clear" w:color="auto" w:fill="D8D8D8"/>
          </w:tcPr>
          <w:p>
            <w:pPr>
              <w:spacing w:after="0"/>
              <w:rPr>
                <w:sz w:val="13"/>
                <w:szCs w:val="13"/>
                <w:color w:val="auto"/>
              </w:rPr>
            </w:pPr>
          </w:p>
        </w:tc>
        <w:tc>
          <w:tcPr>
            <w:tcW w:w="14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1960" w:type="dxa"/>
            <w:vAlign w:val="bottom"/>
            <w:gridSpan w:val="2"/>
          </w:tcPr>
          <w:p>
            <w:pPr>
              <w:spacing w:after="0"/>
              <w:rPr>
                <w:sz w:val="20"/>
                <w:szCs w:val="20"/>
                <w:color w:val="auto"/>
              </w:rPr>
            </w:pPr>
            <w:r>
              <w:rPr>
                <w:rFonts w:ascii="Arial" w:cs="Arial" w:eastAsia="Arial" w:hAnsi="Arial"/>
                <w:sz w:val="14"/>
                <w:szCs w:val="14"/>
                <w:color w:val="auto"/>
              </w:rPr>
              <w:t>Debt</w:t>
            </w:r>
          </w:p>
        </w:tc>
        <w:tc>
          <w:tcPr>
            <w:tcW w:w="3620" w:type="dxa"/>
            <w:vAlign w:val="bottom"/>
          </w:tcPr>
          <w:p>
            <w:pPr>
              <w:spacing w:after="0"/>
              <w:rPr>
                <w:sz w:val="14"/>
                <w:szCs w:val="14"/>
                <w:color w:val="auto"/>
              </w:rPr>
            </w:pPr>
          </w:p>
        </w:tc>
        <w:tc>
          <w:tcPr>
            <w:tcW w:w="2940" w:type="dxa"/>
            <w:vAlign w:val="bottom"/>
          </w:tcPr>
          <w:p>
            <w:pPr>
              <w:jc w:val="right"/>
              <w:ind w:right="268"/>
              <w:spacing w:after="0"/>
              <w:rPr>
                <w:sz w:val="20"/>
                <w:szCs w:val="20"/>
                <w:color w:val="auto"/>
              </w:rPr>
            </w:pPr>
            <w:r>
              <w:rPr>
                <w:rFonts w:ascii="Arial" w:cs="Arial" w:eastAsia="Arial" w:hAnsi="Arial"/>
                <w:sz w:val="14"/>
                <w:szCs w:val="14"/>
                <w:color w:val="auto"/>
              </w:rPr>
              <w:t>14</w:t>
            </w:r>
          </w:p>
        </w:tc>
        <w:tc>
          <w:tcPr>
            <w:tcW w:w="1440" w:type="dxa"/>
            <w:vAlign w:val="bottom"/>
            <w:shd w:val="clear" w:color="auto" w:fill="D8D8D8"/>
          </w:tcPr>
          <w:p>
            <w:pPr>
              <w:jc w:val="right"/>
              <w:ind w:right="269"/>
              <w:spacing w:after="0"/>
              <w:rPr>
                <w:sz w:val="20"/>
                <w:szCs w:val="20"/>
                <w:color w:val="auto"/>
              </w:rPr>
            </w:pPr>
            <w:r>
              <w:rPr>
                <w:rFonts w:ascii="Arial" w:cs="Arial" w:eastAsia="Arial" w:hAnsi="Arial"/>
                <w:sz w:val="14"/>
                <w:szCs w:val="14"/>
                <w:color w:val="auto"/>
              </w:rPr>
              <w:t>7,208</w:t>
            </w:r>
          </w:p>
        </w:tc>
        <w:tc>
          <w:tcPr>
            <w:tcW w:w="1460" w:type="dxa"/>
            <w:vAlign w:val="bottom"/>
          </w:tcPr>
          <w:p>
            <w:pPr>
              <w:jc w:val="right"/>
              <w:ind w:right="268"/>
              <w:spacing w:after="0"/>
              <w:rPr>
                <w:sz w:val="20"/>
                <w:szCs w:val="20"/>
                <w:color w:val="auto"/>
              </w:rPr>
            </w:pPr>
            <w:r>
              <w:rPr>
                <w:rFonts w:ascii="Arial" w:cs="Arial" w:eastAsia="Arial" w:hAnsi="Arial"/>
                <w:sz w:val="14"/>
                <w:szCs w:val="14"/>
                <w:color w:val="auto"/>
              </w:rPr>
              <w:t>8,344</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960" w:type="dxa"/>
            <w:vAlign w:val="bottom"/>
            <w:gridSpan w:val="2"/>
          </w:tcPr>
          <w:p>
            <w:pPr>
              <w:spacing w:after="0"/>
              <w:rPr>
                <w:sz w:val="20"/>
                <w:szCs w:val="20"/>
                <w:color w:val="auto"/>
              </w:rPr>
            </w:pPr>
            <w:r>
              <w:rPr>
                <w:rFonts w:ascii="Arial" w:cs="Arial" w:eastAsia="Arial" w:hAnsi="Arial"/>
                <w:sz w:val="14"/>
                <w:szCs w:val="14"/>
                <w:color w:val="auto"/>
              </w:rPr>
              <w:t>Trade and other payables</w:t>
            </w:r>
          </w:p>
        </w:tc>
        <w:tc>
          <w:tcPr>
            <w:tcW w:w="3620" w:type="dxa"/>
            <w:vAlign w:val="bottom"/>
          </w:tcPr>
          <w:p>
            <w:pPr>
              <w:spacing w:after="0"/>
              <w:rPr>
                <w:sz w:val="14"/>
                <w:szCs w:val="14"/>
                <w:color w:val="auto"/>
              </w:rPr>
            </w:pPr>
          </w:p>
        </w:tc>
        <w:tc>
          <w:tcPr>
            <w:tcW w:w="2940" w:type="dxa"/>
            <w:vAlign w:val="bottom"/>
          </w:tcPr>
          <w:p>
            <w:pPr>
              <w:jc w:val="right"/>
              <w:ind w:right="268"/>
              <w:spacing w:after="0"/>
              <w:rPr>
                <w:sz w:val="20"/>
                <w:szCs w:val="20"/>
                <w:color w:val="auto"/>
              </w:rPr>
            </w:pPr>
            <w:r>
              <w:rPr>
                <w:rFonts w:ascii="Arial" w:cs="Arial" w:eastAsia="Arial" w:hAnsi="Arial"/>
                <w:sz w:val="14"/>
                <w:szCs w:val="14"/>
                <w:color w:val="auto"/>
              </w:rPr>
              <w:t>15</w:t>
            </w:r>
          </w:p>
        </w:tc>
        <w:tc>
          <w:tcPr>
            <w:tcW w:w="1440" w:type="dxa"/>
            <w:vAlign w:val="bottom"/>
            <w:shd w:val="clear" w:color="auto" w:fill="D8D8D8"/>
          </w:tcPr>
          <w:p>
            <w:pPr>
              <w:jc w:val="right"/>
              <w:ind w:right="269"/>
              <w:spacing w:after="0"/>
              <w:rPr>
                <w:sz w:val="20"/>
                <w:szCs w:val="20"/>
                <w:color w:val="auto"/>
              </w:rPr>
            </w:pPr>
            <w:r>
              <w:rPr>
                <w:rFonts w:ascii="Arial" w:cs="Arial" w:eastAsia="Arial" w:hAnsi="Arial"/>
                <w:sz w:val="14"/>
                <w:szCs w:val="14"/>
                <w:color w:val="auto"/>
              </w:rPr>
              <w:t>64,864</w:t>
            </w:r>
          </w:p>
        </w:tc>
        <w:tc>
          <w:tcPr>
            <w:tcW w:w="1460" w:type="dxa"/>
            <w:vAlign w:val="bottom"/>
          </w:tcPr>
          <w:p>
            <w:pPr>
              <w:jc w:val="right"/>
              <w:ind w:right="268"/>
              <w:spacing w:after="0"/>
              <w:rPr>
                <w:sz w:val="20"/>
                <w:szCs w:val="20"/>
                <w:color w:val="auto"/>
              </w:rPr>
            </w:pPr>
            <w:r>
              <w:rPr>
                <w:rFonts w:ascii="Arial" w:cs="Arial" w:eastAsia="Arial" w:hAnsi="Arial"/>
                <w:sz w:val="14"/>
                <w:szCs w:val="14"/>
                <w:color w:val="auto"/>
              </w:rPr>
              <w:t>70,112</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960" w:type="dxa"/>
            <w:vAlign w:val="bottom"/>
            <w:gridSpan w:val="2"/>
          </w:tcPr>
          <w:p>
            <w:pPr>
              <w:spacing w:after="0"/>
              <w:rPr>
                <w:sz w:val="20"/>
                <w:szCs w:val="20"/>
                <w:color w:val="auto"/>
              </w:rPr>
            </w:pPr>
            <w:r>
              <w:rPr>
                <w:rFonts w:ascii="Arial" w:cs="Arial" w:eastAsia="Arial" w:hAnsi="Arial"/>
                <w:sz w:val="14"/>
                <w:szCs w:val="14"/>
                <w:color w:val="auto"/>
              </w:rPr>
              <w:t>Taxes payable</w:t>
            </w:r>
          </w:p>
        </w:tc>
        <w:tc>
          <w:tcPr>
            <w:tcW w:w="3620" w:type="dxa"/>
            <w:vAlign w:val="bottom"/>
          </w:tcPr>
          <w:p>
            <w:pPr>
              <w:spacing w:after="0"/>
              <w:rPr>
                <w:sz w:val="14"/>
                <w:szCs w:val="14"/>
                <w:color w:val="auto"/>
              </w:rPr>
            </w:pPr>
          </w:p>
        </w:tc>
        <w:tc>
          <w:tcPr>
            <w:tcW w:w="2940" w:type="dxa"/>
            <w:vAlign w:val="bottom"/>
          </w:tcPr>
          <w:p>
            <w:pPr>
              <w:jc w:val="right"/>
              <w:ind w:right="268"/>
              <w:spacing w:after="0"/>
              <w:rPr>
                <w:sz w:val="20"/>
                <w:szCs w:val="20"/>
                <w:color w:val="auto"/>
              </w:rPr>
            </w:pPr>
            <w:r>
              <w:rPr>
                <w:rFonts w:ascii="Arial" w:cs="Arial" w:eastAsia="Arial" w:hAnsi="Arial"/>
                <w:sz w:val="14"/>
                <w:szCs w:val="14"/>
                <w:color w:val="auto"/>
              </w:rPr>
              <w:t>16</w:t>
            </w:r>
          </w:p>
        </w:tc>
        <w:tc>
          <w:tcPr>
            <w:tcW w:w="1440" w:type="dxa"/>
            <w:vAlign w:val="bottom"/>
            <w:shd w:val="clear" w:color="auto" w:fill="D8D8D8"/>
          </w:tcPr>
          <w:p>
            <w:pPr>
              <w:jc w:val="right"/>
              <w:ind w:right="269"/>
              <w:spacing w:after="0"/>
              <w:rPr>
                <w:sz w:val="20"/>
                <w:szCs w:val="20"/>
                <w:color w:val="auto"/>
              </w:rPr>
            </w:pPr>
            <w:r>
              <w:rPr>
                <w:rFonts w:ascii="Arial" w:cs="Arial" w:eastAsia="Arial" w:hAnsi="Arial"/>
                <w:sz w:val="14"/>
                <w:szCs w:val="14"/>
                <w:color w:val="auto"/>
              </w:rPr>
              <w:t>9,797</w:t>
            </w:r>
          </w:p>
        </w:tc>
        <w:tc>
          <w:tcPr>
            <w:tcW w:w="1460" w:type="dxa"/>
            <w:vAlign w:val="bottom"/>
          </w:tcPr>
          <w:p>
            <w:pPr>
              <w:jc w:val="right"/>
              <w:ind w:right="268"/>
              <w:spacing w:after="0"/>
              <w:rPr>
                <w:sz w:val="20"/>
                <w:szCs w:val="20"/>
                <w:color w:val="auto"/>
              </w:rPr>
            </w:pPr>
            <w:r>
              <w:rPr>
                <w:rFonts w:ascii="Arial" w:cs="Arial" w:eastAsia="Arial" w:hAnsi="Arial"/>
                <w:sz w:val="14"/>
                <w:szCs w:val="14"/>
                <w:color w:val="auto"/>
              </w:rPr>
              <w:t>11,173</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960" w:type="dxa"/>
            <w:vAlign w:val="bottom"/>
            <w:gridSpan w:val="2"/>
          </w:tcPr>
          <w:p>
            <w:pPr>
              <w:spacing w:after="0"/>
              <w:rPr>
                <w:sz w:val="20"/>
                <w:szCs w:val="20"/>
                <w:color w:val="auto"/>
              </w:rPr>
            </w:pPr>
            <w:r>
              <w:rPr>
                <w:rFonts w:ascii="Arial" w:cs="Arial" w:eastAsia="Arial" w:hAnsi="Arial"/>
                <w:sz w:val="14"/>
                <w:szCs w:val="14"/>
                <w:color w:val="auto"/>
              </w:rPr>
              <w:t>Retirement benefits</w:t>
            </w:r>
          </w:p>
        </w:tc>
        <w:tc>
          <w:tcPr>
            <w:tcW w:w="3620" w:type="dxa"/>
            <w:vAlign w:val="bottom"/>
          </w:tcPr>
          <w:p>
            <w:pPr>
              <w:spacing w:after="0"/>
              <w:rPr>
                <w:sz w:val="14"/>
                <w:szCs w:val="14"/>
                <w:color w:val="auto"/>
              </w:rPr>
            </w:pPr>
          </w:p>
        </w:tc>
        <w:tc>
          <w:tcPr>
            <w:tcW w:w="2940" w:type="dxa"/>
            <w:vAlign w:val="bottom"/>
          </w:tcPr>
          <w:p>
            <w:pPr>
              <w:jc w:val="right"/>
              <w:ind w:right="268"/>
              <w:spacing w:after="0"/>
              <w:rPr>
                <w:sz w:val="20"/>
                <w:szCs w:val="20"/>
                <w:color w:val="auto"/>
              </w:rPr>
            </w:pPr>
            <w:r>
              <w:rPr>
                <w:rFonts w:ascii="Arial" w:cs="Arial" w:eastAsia="Arial" w:hAnsi="Arial"/>
                <w:sz w:val="14"/>
                <w:szCs w:val="14"/>
                <w:color w:val="auto"/>
              </w:rPr>
              <w:t>17</w:t>
            </w:r>
          </w:p>
        </w:tc>
        <w:tc>
          <w:tcPr>
            <w:tcW w:w="1440" w:type="dxa"/>
            <w:vAlign w:val="bottom"/>
            <w:shd w:val="clear" w:color="auto" w:fill="D8D8D8"/>
          </w:tcPr>
          <w:p>
            <w:pPr>
              <w:jc w:val="right"/>
              <w:ind w:right="269"/>
              <w:spacing w:after="0"/>
              <w:rPr>
                <w:sz w:val="20"/>
                <w:szCs w:val="20"/>
                <w:color w:val="auto"/>
              </w:rPr>
            </w:pPr>
            <w:r>
              <w:rPr>
                <w:rFonts w:ascii="Arial" w:cs="Arial" w:eastAsia="Arial" w:hAnsi="Arial"/>
                <w:sz w:val="14"/>
                <w:szCs w:val="14"/>
                <w:color w:val="auto"/>
              </w:rPr>
              <w:t>377</w:t>
            </w:r>
          </w:p>
        </w:tc>
        <w:tc>
          <w:tcPr>
            <w:tcW w:w="1460" w:type="dxa"/>
            <w:vAlign w:val="bottom"/>
          </w:tcPr>
          <w:p>
            <w:pPr>
              <w:jc w:val="right"/>
              <w:ind w:right="268"/>
              <w:spacing w:after="0"/>
              <w:rPr>
                <w:sz w:val="20"/>
                <w:szCs w:val="20"/>
                <w:color w:val="auto"/>
              </w:rPr>
            </w:pPr>
            <w:r>
              <w:rPr>
                <w:rFonts w:ascii="Arial" w:cs="Arial" w:eastAsia="Arial" w:hAnsi="Arial"/>
                <w:sz w:val="14"/>
                <w:szCs w:val="14"/>
                <w:color w:val="auto"/>
              </w:rPr>
              <w:t>382</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5580" w:type="dxa"/>
            <w:vAlign w:val="bottom"/>
            <w:gridSpan w:val="3"/>
          </w:tcPr>
          <w:p>
            <w:pPr>
              <w:spacing w:after="0" w:line="157" w:lineRule="exact"/>
              <w:rPr>
                <w:sz w:val="20"/>
                <w:szCs w:val="20"/>
                <w:color w:val="auto"/>
              </w:rPr>
            </w:pPr>
            <w:r>
              <w:rPr>
                <w:rFonts w:ascii="Arial" w:cs="Arial" w:eastAsia="Arial" w:hAnsi="Arial"/>
                <w:sz w:val="14"/>
                <w:szCs w:val="14"/>
                <w:color w:val="auto"/>
              </w:rPr>
              <w:t>Decommissioning and other provisions</w:t>
            </w:r>
          </w:p>
        </w:tc>
        <w:tc>
          <w:tcPr>
            <w:tcW w:w="2940" w:type="dxa"/>
            <w:vAlign w:val="bottom"/>
          </w:tcPr>
          <w:p>
            <w:pPr>
              <w:jc w:val="right"/>
              <w:ind w:right="268"/>
              <w:spacing w:after="0" w:line="157" w:lineRule="exact"/>
              <w:rPr>
                <w:sz w:val="20"/>
                <w:szCs w:val="20"/>
                <w:color w:val="auto"/>
              </w:rPr>
            </w:pPr>
            <w:r>
              <w:rPr>
                <w:rFonts w:ascii="Arial" w:cs="Arial" w:eastAsia="Arial" w:hAnsi="Arial"/>
                <w:sz w:val="14"/>
                <w:szCs w:val="14"/>
                <w:color w:val="auto"/>
              </w:rPr>
              <w:t>18</w:t>
            </w:r>
          </w:p>
        </w:tc>
        <w:tc>
          <w:tcPr>
            <w:tcW w:w="1440" w:type="dxa"/>
            <w:vAlign w:val="bottom"/>
            <w:shd w:val="clear" w:color="auto" w:fill="D8D8D8"/>
          </w:tcPr>
          <w:p>
            <w:pPr>
              <w:jc w:val="right"/>
              <w:ind w:right="269"/>
              <w:spacing w:after="0" w:line="157" w:lineRule="exact"/>
              <w:rPr>
                <w:sz w:val="20"/>
                <w:szCs w:val="20"/>
                <w:color w:val="auto"/>
              </w:rPr>
            </w:pPr>
            <w:r>
              <w:rPr>
                <w:rFonts w:ascii="Arial" w:cs="Arial" w:eastAsia="Arial" w:hAnsi="Arial"/>
                <w:sz w:val="14"/>
                <w:szCs w:val="14"/>
                <w:color w:val="auto"/>
              </w:rPr>
              <w:t>3,966</w:t>
            </w:r>
          </w:p>
        </w:tc>
        <w:tc>
          <w:tcPr>
            <w:tcW w:w="1460" w:type="dxa"/>
            <w:vAlign w:val="bottom"/>
          </w:tcPr>
          <w:p>
            <w:pPr>
              <w:jc w:val="right"/>
              <w:ind w:right="268"/>
              <w:spacing w:after="0" w:line="157" w:lineRule="exact"/>
              <w:rPr>
                <w:sz w:val="20"/>
                <w:szCs w:val="20"/>
                <w:color w:val="auto"/>
              </w:rPr>
            </w:pPr>
            <w:r>
              <w:rPr>
                <w:rFonts w:ascii="Arial" w:cs="Arial" w:eastAsia="Arial" w:hAnsi="Arial"/>
                <w:sz w:val="14"/>
                <w:szCs w:val="14"/>
                <w:color w:val="auto"/>
              </w:rPr>
              <w:t>3,247</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940" w:type="dxa"/>
            <w:vAlign w:val="bottom"/>
            <w:tcBorders>
              <w:top w:val="single" w:sz="8" w:color="auto"/>
              <w:bottom w:val="single" w:sz="8" w:color="auto"/>
            </w:tcBorders>
          </w:tcPr>
          <w:p>
            <w:pPr>
              <w:spacing w:after="0"/>
              <w:rPr>
                <w:sz w:val="13"/>
                <w:szCs w:val="13"/>
                <w:color w:val="auto"/>
              </w:rPr>
            </w:pPr>
          </w:p>
        </w:tc>
        <w:tc>
          <w:tcPr>
            <w:tcW w:w="3620" w:type="dxa"/>
            <w:vAlign w:val="bottom"/>
            <w:tcBorders>
              <w:top w:val="single" w:sz="8" w:color="auto"/>
              <w:bottom w:val="single" w:sz="8" w:color="auto"/>
            </w:tcBorders>
          </w:tcPr>
          <w:p>
            <w:pPr>
              <w:spacing w:after="0"/>
              <w:rPr>
                <w:sz w:val="13"/>
                <w:szCs w:val="13"/>
                <w:color w:val="auto"/>
              </w:rPr>
            </w:pPr>
          </w:p>
        </w:tc>
        <w:tc>
          <w:tcPr>
            <w:tcW w:w="2940" w:type="dxa"/>
            <w:vAlign w:val="bottom"/>
            <w:tcBorders>
              <w:top w:val="single" w:sz="8" w:color="auto"/>
              <w:bottom w:val="single" w:sz="8" w:color="auto"/>
            </w:tcBorders>
          </w:tcPr>
          <w:p>
            <w:pPr>
              <w:spacing w:after="0"/>
              <w:rPr>
                <w:sz w:val="13"/>
                <w:szCs w:val="13"/>
                <w:color w:val="auto"/>
              </w:rPr>
            </w:pPr>
          </w:p>
        </w:tc>
        <w:tc>
          <w:tcPr>
            <w:tcW w:w="1440" w:type="dxa"/>
            <w:vAlign w:val="bottom"/>
            <w:tcBorders>
              <w:top w:val="single" w:sz="8" w:color="auto"/>
              <w:bottom w:val="single" w:sz="8" w:color="auto"/>
            </w:tcBorders>
            <w:shd w:val="clear" w:color="auto" w:fill="D8D8D8"/>
          </w:tcPr>
          <w:p>
            <w:pPr>
              <w:jc w:val="right"/>
              <w:ind w:right="269"/>
              <w:spacing w:after="0" w:line="155" w:lineRule="exact"/>
              <w:rPr>
                <w:sz w:val="20"/>
                <w:szCs w:val="20"/>
                <w:color w:val="auto"/>
              </w:rPr>
            </w:pPr>
            <w:r>
              <w:rPr>
                <w:rFonts w:ascii="Arial" w:cs="Arial" w:eastAsia="Arial" w:hAnsi="Arial"/>
                <w:sz w:val="14"/>
                <w:szCs w:val="14"/>
                <w:color w:val="auto"/>
              </w:rPr>
              <w:t>86,212</w:t>
            </w:r>
          </w:p>
        </w:tc>
        <w:tc>
          <w:tcPr>
            <w:tcW w:w="1460" w:type="dxa"/>
            <w:vAlign w:val="bottom"/>
            <w:tcBorders>
              <w:top w:val="single" w:sz="8" w:color="auto"/>
              <w:bottom w:val="single" w:sz="8" w:color="auto"/>
            </w:tcBorders>
          </w:tcPr>
          <w:p>
            <w:pPr>
              <w:jc w:val="right"/>
              <w:ind w:right="268"/>
              <w:spacing w:after="0" w:line="155" w:lineRule="exact"/>
              <w:rPr>
                <w:sz w:val="20"/>
                <w:szCs w:val="20"/>
                <w:color w:val="auto"/>
              </w:rPr>
            </w:pPr>
            <w:r>
              <w:rPr>
                <w:rFonts w:ascii="Arial" w:cs="Arial" w:eastAsia="Arial" w:hAnsi="Arial"/>
                <w:sz w:val="14"/>
                <w:szCs w:val="14"/>
                <w:color w:val="auto"/>
              </w:rPr>
              <w:t>93,258</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960" w:type="dxa"/>
            <w:vAlign w:val="bottom"/>
            <w:tcBorders>
              <w:bottom w:val="single" w:sz="8" w:color="auto"/>
            </w:tcBorders>
            <w:gridSpan w:val="2"/>
          </w:tcPr>
          <w:p>
            <w:pPr>
              <w:spacing w:after="0" w:line="155" w:lineRule="exact"/>
              <w:rPr>
                <w:sz w:val="20"/>
                <w:szCs w:val="20"/>
                <w:color w:val="auto"/>
              </w:rPr>
            </w:pPr>
            <w:r>
              <w:rPr>
                <w:rFonts w:ascii="Arial" w:cs="Arial" w:eastAsia="Arial" w:hAnsi="Arial"/>
                <w:sz w:val="14"/>
                <w:szCs w:val="14"/>
                <w:color w:val="auto"/>
              </w:rPr>
              <w:t>Total liabilities</w:t>
            </w:r>
          </w:p>
        </w:tc>
        <w:tc>
          <w:tcPr>
            <w:tcW w:w="3620" w:type="dxa"/>
            <w:vAlign w:val="bottom"/>
            <w:tcBorders>
              <w:bottom w:val="single" w:sz="8" w:color="auto"/>
            </w:tcBorders>
          </w:tcPr>
          <w:p>
            <w:pPr>
              <w:spacing w:after="0"/>
              <w:rPr>
                <w:sz w:val="13"/>
                <w:szCs w:val="13"/>
                <w:color w:val="auto"/>
              </w:rPr>
            </w:pPr>
          </w:p>
        </w:tc>
        <w:tc>
          <w:tcPr>
            <w:tcW w:w="2940" w:type="dxa"/>
            <w:vAlign w:val="bottom"/>
            <w:tcBorders>
              <w:bottom w:val="single" w:sz="8" w:color="auto"/>
            </w:tcBorders>
          </w:tcPr>
          <w:p>
            <w:pPr>
              <w:spacing w:after="0"/>
              <w:rPr>
                <w:sz w:val="13"/>
                <w:szCs w:val="13"/>
                <w:color w:val="auto"/>
              </w:rPr>
            </w:pPr>
          </w:p>
        </w:tc>
        <w:tc>
          <w:tcPr>
            <w:tcW w:w="1440" w:type="dxa"/>
            <w:vAlign w:val="bottom"/>
            <w:tcBorders>
              <w:bottom w:val="single" w:sz="8" w:color="auto"/>
            </w:tcBorders>
            <w:shd w:val="clear" w:color="auto" w:fill="D8D8D8"/>
          </w:tcPr>
          <w:p>
            <w:pPr>
              <w:jc w:val="right"/>
              <w:ind w:right="269"/>
              <w:spacing w:after="0" w:line="155" w:lineRule="exact"/>
              <w:rPr>
                <w:sz w:val="20"/>
                <w:szCs w:val="20"/>
                <w:color w:val="auto"/>
              </w:rPr>
            </w:pPr>
            <w:r>
              <w:rPr>
                <w:rFonts w:ascii="Arial" w:cs="Arial" w:eastAsia="Arial" w:hAnsi="Arial"/>
                <w:sz w:val="14"/>
                <w:szCs w:val="14"/>
                <w:color w:val="auto"/>
              </w:rPr>
              <w:t>180,330</w:t>
            </w:r>
          </w:p>
        </w:tc>
        <w:tc>
          <w:tcPr>
            <w:tcW w:w="1460" w:type="dxa"/>
            <w:vAlign w:val="bottom"/>
            <w:tcBorders>
              <w:bottom w:val="single" w:sz="8" w:color="auto"/>
            </w:tcBorders>
          </w:tcPr>
          <w:p>
            <w:pPr>
              <w:jc w:val="right"/>
              <w:ind w:right="268"/>
              <w:spacing w:after="0" w:line="155" w:lineRule="exact"/>
              <w:rPr>
                <w:sz w:val="20"/>
                <w:szCs w:val="20"/>
                <w:color w:val="auto"/>
              </w:rPr>
            </w:pPr>
            <w:r>
              <w:rPr>
                <w:rFonts w:ascii="Arial" w:cs="Arial" w:eastAsia="Arial" w:hAnsi="Arial"/>
                <w:sz w:val="14"/>
                <w:szCs w:val="14"/>
                <w:color w:val="auto"/>
              </w:rPr>
              <w:t>176,364</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1960" w:type="dxa"/>
            <w:vAlign w:val="bottom"/>
            <w:gridSpan w:val="2"/>
          </w:tcPr>
          <w:p>
            <w:pPr>
              <w:spacing w:after="0"/>
              <w:rPr>
                <w:sz w:val="20"/>
                <w:szCs w:val="20"/>
                <w:color w:val="auto"/>
              </w:rPr>
            </w:pPr>
            <w:r>
              <w:rPr>
                <w:rFonts w:ascii="Arial" w:cs="Arial" w:eastAsia="Arial" w:hAnsi="Arial"/>
                <w:sz w:val="14"/>
                <w:szCs w:val="14"/>
                <w:b w:val="1"/>
                <w:bCs w:val="1"/>
                <w:color w:val="auto"/>
              </w:rPr>
              <w:t>Equity</w:t>
            </w:r>
          </w:p>
        </w:tc>
        <w:tc>
          <w:tcPr>
            <w:tcW w:w="3620" w:type="dxa"/>
            <w:vAlign w:val="bottom"/>
          </w:tcPr>
          <w:p>
            <w:pPr>
              <w:spacing w:after="0"/>
              <w:rPr>
                <w:sz w:val="13"/>
                <w:szCs w:val="13"/>
                <w:color w:val="auto"/>
              </w:rPr>
            </w:pPr>
          </w:p>
        </w:tc>
        <w:tc>
          <w:tcPr>
            <w:tcW w:w="2940" w:type="dxa"/>
            <w:vAlign w:val="bottom"/>
          </w:tcPr>
          <w:p>
            <w:pPr>
              <w:spacing w:after="0"/>
              <w:rPr>
                <w:sz w:val="13"/>
                <w:szCs w:val="13"/>
                <w:color w:val="auto"/>
              </w:rPr>
            </w:pPr>
          </w:p>
        </w:tc>
        <w:tc>
          <w:tcPr>
            <w:tcW w:w="1440" w:type="dxa"/>
            <w:vAlign w:val="bottom"/>
            <w:shd w:val="clear" w:color="auto" w:fill="D8D8D8"/>
          </w:tcPr>
          <w:p>
            <w:pPr>
              <w:spacing w:after="0"/>
              <w:rPr>
                <w:sz w:val="13"/>
                <w:szCs w:val="13"/>
                <w:color w:val="auto"/>
              </w:rPr>
            </w:pPr>
          </w:p>
        </w:tc>
        <w:tc>
          <w:tcPr>
            <w:tcW w:w="14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1960" w:type="dxa"/>
            <w:vAlign w:val="bottom"/>
            <w:gridSpan w:val="2"/>
          </w:tcPr>
          <w:p>
            <w:pPr>
              <w:spacing w:after="0"/>
              <w:rPr>
                <w:sz w:val="20"/>
                <w:szCs w:val="20"/>
                <w:color w:val="auto"/>
              </w:rPr>
            </w:pPr>
            <w:r>
              <w:rPr>
                <w:rFonts w:ascii="Arial" w:cs="Arial" w:eastAsia="Arial" w:hAnsi="Arial"/>
                <w:sz w:val="14"/>
                <w:szCs w:val="14"/>
                <w:color w:val="auto"/>
              </w:rPr>
              <w:t>Share capital</w:t>
            </w:r>
          </w:p>
        </w:tc>
        <w:tc>
          <w:tcPr>
            <w:tcW w:w="3620" w:type="dxa"/>
            <w:vAlign w:val="bottom"/>
          </w:tcPr>
          <w:p>
            <w:pPr>
              <w:spacing w:after="0"/>
              <w:rPr>
                <w:sz w:val="14"/>
                <w:szCs w:val="14"/>
                <w:color w:val="auto"/>
              </w:rPr>
            </w:pPr>
          </w:p>
        </w:tc>
        <w:tc>
          <w:tcPr>
            <w:tcW w:w="2940" w:type="dxa"/>
            <w:vAlign w:val="bottom"/>
          </w:tcPr>
          <w:p>
            <w:pPr>
              <w:jc w:val="right"/>
              <w:ind w:right="268"/>
              <w:spacing w:after="0"/>
              <w:rPr>
                <w:sz w:val="20"/>
                <w:szCs w:val="20"/>
                <w:color w:val="auto"/>
              </w:rPr>
            </w:pPr>
            <w:r>
              <w:rPr>
                <w:rFonts w:ascii="Arial" w:cs="Arial" w:eastAsia="Arial" w:hAnsi="Arial"/>
                <w:sz w:val="14"/>
                <w:szCs w:val="14"/>
                <w:color w:val="auto"/>
              </w:rPr>
              <w:t>20</w:t>
            </w:r>
          </w:p>
        </w:tc>
        <w:tc>
          <w:tcPr>
            <w:tcW w:w="1440" w:type="dxa"/>
            <w:vAlign w:val="bottom"/>
            <w:shd w:val="clear" w:color="auto" w:fill="D8D8D8"/>
          </w:tcPr>
          <w:p>
            <w:pPr>
              <w:jc w:val="right"/>
              <w:ind w:right="269"/>
              <w:spacing w:after="0"/>
              <w:rPr>
                <w:sz w:val="20"/>
                <w:szCs w:val="20"/>
                <w:color w:val="auto"/>
              </w:rPr>
            </w:pPr>
            <w:r>
              <w:rPr>
                <w:rFonts w:ascii="Arial" w:cs="Arial" w:eastAsia="Arial" w:hAnsi="Arial"/>
                <w:sz w:val="14"/>
                <w:szCs w:val="14"/>
                <w:color w:val="auto"/>
              </w:rPr>
              <w:t>540</w:t>
            </w:r>
          </w:p>
        </w:tc>
        <w:tc>
          <w:tcPr>
            <w:tcW w:w="1460" w:type="dxa"/>
            <w:vAlign w:val="bottom"/>
          </w:tcPr>
          <w:p>
            <w:pPr>
              <w:jc w:val="right"/>
              <w:ind w:right="268"/>
              <w:spacing w:after="0"/>
              <w:rPr>
                <w:sz w:val="20"/>
                <w:szCs w:val="20"/>
                <w:color w:val="auto"/>
              </w:rPr>
            </w:pPr>
            <w:r>
              <w:rPr>
                <w:rFonts w:ascii="Arial" w:cs="Arial" w:eastAsia="Arial" w:hAnsi="Arial"/>
                <w:sz w:val="14"/>
                <w:szCs w:val="14"/>
                <w:color w:val="auto"/>
              </w:rPr>
              <w:t>542</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960" w:type="dxa"/>
            <w:vAlign w:val="bottom"/>
            <w:gridSpan w:val="2"/>
          </w:tcPr>
          <w:p>
            <w:pPr>
              <w:spacing w:after="0"/>
              <w:rPr>
                <w:sz w:val="20"/>
                <w:szCs w:val="20"/>
                <w:color w:val="auto"/>
              </w:rPr>
            </w:pPr>
            <w:r>
              <w:rPr>
                <w:rFonts w:ascii="Arial" w:cs="Arial" w:eastAsia="Arial" w:hAnsi="Arial"/>
                <w:sz w:val="14"/>
                <w:szCs w:val="14"/>
                <w:color w:val="auto"/>
              </w:rPr>
              <w:t>Shares held in trust</w:t>
            </w:r>
          </w:p>
        </w:tc>
        <w:tc>
          <w:tcPr>
            <w:tcW w:w="3620" w:type="dxa"/>
            <w:vAlign w:val="bottom"/>
          </w:tcPr>
          <w:p>
            <w:pPr>
              <w:spacing w:after="0"/>
              <w:rPr>
                <w:sz w:val="14"/>
                <w:szCs w:val="14"/>
                <w:color w:val="auto"/>
              </w:rPr>
            </w:pPr>
          </w:p>
        </w:tc>
        <w:tc>
          <w:tcPr>
            <w:tcW w:w="2940" w:type="dxa"/>
            <w:vAlign w:val="bottom"/>
          </w:tcPr>
          <w:p>
            <w:pPr>
              <w:jc w:val="right"/>
              <w:ind w:right="268"/>
              <w:spacing w:after="0"/>
              <w:rPr>
                <w:sz w:val="20"/>
                <w:szCs w:val="20"/>
                <w:color w:val="auto"/>
              </w:rPr>
            </w:pPr>
            <w:r>
              <w:rPr>
                <w:rFonts w:ascii="Arial" w:cs="Arial" w:eastAsia="Arial" w:hAnsi="Arial"/>
                <w:sz w:val="14"/>
                <w:szCs w:val="14"/>
                <w:color w:val="auto"/>
              </w:rPr>
              <w:t>21</w:t>
            </w:r>
          </w:p>
        </w:tc>
        <w:tc>
          <w:tcPr>
            <w:tcW w:w="1440" w:type="dxa"/>
            <w:vAlign w:val="bottom"/>
            <w:shd w:val="clear" w:color="auto" w:fill="D8D8D8"/>
          </w:tcPr>
          <w:p>
            <w:pPr>
              <w:jc w:val="right"/>
              <w:ind w:right="269"/>
              <w:spacing w:after="0"/>
              <w:rPr>
                <w:sz w:val="20"/>
                <w:szCs w:val="20"/>
                <w:color w:val="auto"/>
              </w:rPr>
            </w:pPr>
            <w:r>
              <w:rPr>
                <w:rFonts w:ascii="Arial" w:cs="Arial" w:eastAsia="Arial" w:hAnsi="Arial"/>
                <w:sz w:val="14"/>
                <w:szCs w:val="14"/>
                <w:color w:val="auto"/>
              </w:rPr>
              <w:t>(1,190)</w:t>
            </w:r>
          </w:p>
        </w:tc>
        <w:tc>
          <w:tcPr>
            <w:tcW w:w="1460" w:type="dxa"/>
            <w:vAlign w:val="bottom"/>
          </w:tcPr>
          <w:p>
            <w:pPr>
              <w:jc w:val="right"/>
              <w:ind w:right="208"/>
              <w:spacing w:after="0"/>
              <w:rPr>
                <w:sz w:val="20"/>
                <w:szCs w:val="20"/>
                <w:color w:val="auto"/>
              </w:rPr>
            </w:pPr>
            <w:r>
              <w:rPr>
                <w:rFonts w:ascii="Arial" w:cs="Arial" w:eastAsia="Arial" w:hAnsi="Arial"/>
                <w:sz w:val="14"/>
                <w:szCs w:val="14"/>
                <w:color w:val="auto"/>
              </w:rPr>
              <w:t>(1,932)</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960" w:type="dxa"/>
            <w:vAlign w:val="bottom"/>
            <w:gridSpan w:val="2"/>
          </w:tcPr>
          <w:p>
            <w:pPr>
              <w:spacing w:after="0"/>
              <w:rPr>
                <w:sz w:val="20"/>
                <w:szCs w:val="20"/>
                <w:color w:val="auto"/>
              </w:rPr>
            </w:pPr>
            <w:r>
              <w:rPr>
                <w:rFonts w:ascii="Arial" w:cs="Arial" w:eastAsia="Arial" w:hAnsi="Arial"/>
                <w:sz w:val="14"/>
                <w:szCs w:val="14"/>
                <w:color w:val="auto"/>
              </w:rPr>
              <w:t>Other reserves</w:t>
            </w:r>
          </w:p>
        </w:tc>
        <w:tc>
          <w:tcPr>
            <w:tcW w:w="3620" w:type="dxa"/>
            <w:vAlign w:val="bottom"/>
          </w:tcPr>
          <w:p>
            <w:pPr>
              <w:spacing w:after="0"/>
              <w:rPr>
                <w:sz w:val="14"/>
                <w:szCs w:val="14"/>
                <w:color w:val="auto"/>
              </w:rPr>
            </w:pPr>
          </w:p>
        </w:tc>
        <w:tc>
          <w:tcPr>
            <w:tcW w:w="2940" w:type="dxa"/>
            <w:vAlign w:val="bottom"/>
          </w:tcPr>
          <w:p>
            <w:pPr>
              <w:jc w:val="right"/>
              <w:ind w:right="268"/>
              <w:spacing w:after="0"/>
              <w:rPr>
                <w:sz w:val="20"/>
                <w:szCs w:val="20"/>
                <w:color w:val="auto"/>
              </w:rPr>
            </w:pPr>
            <w:r>
              <w:rPr>
                <w:rFonts w:ascii="Arial" w:cs="Arial" w:eastAsia="Arial" w:hAnsi="Arial"/>
                <w:sz w:val="14"/>
                <w:szCs w:val="14"/>
                <w:color w:val="auto"/>
              </w:rPr>
              <w:t>22</w:t>
            </w:r>
          </w:p>
        </w:tc>
        <w:tc>
          <w:tcPr>
            <w:tcW w:w="1440" w:type="dxa"/>
            <w:vAlign w:val="bottom"/>
            <w:shd w:val="clear" w:color="auto" w:fill="D8D8D8"/>
          </w:tcPr>
          <w:p>
            <w:pPr>
              <w:jc w:val="right"/>
              <w:ind w:right="269"/>
              <w:spacing w:after="0"/>
              <w:rPr>
                <w:sz w:val="20"/>
                <w:szCs w:val="20"/>
                <w:color w:val="auto"/>
              </w:rPr>
            </w:pPr>
            <w:r>
              <w:rPr>
                <w:rFonts w:ascii="Arial" w:cs="Arial" w:eastAsia="Arial" w:hAnsi="Arial"/>
                <w:sz w:val="14"/>
                <w:szCs w:val="14"/>
                <w:color w:val="auto"/>
              </w:rPr>
              <w:t>(14,365)</w:t>
            </w:r>
          </w:p>
        </w:tc>
        <w:tc>
          <w:tcPr>
            <w:tcW w:w="1460" w:type="dxa"/>
            <w:vAlign w:val="bottom"/>
          </w:tcPr>
          <w:p>
            <w:pPr>
              <w:jc w:val="right"/>
              <w:ind w:right="208"/>
              <w:spacing w:after="0"/>
              <w:rPr>
                <w:sz w:val="20"/>
                <w:szCs w:val="20"/>
                <w:color w:val="auto"/>
              </w:rPr>
            </w:pPr>
            <w:r>
              <w:rPr>
                <w:rFonts w:ascii="Arial" w:cs="Arial" w:eastAsia="Arial" w:hAnsi="Arial"/>
                <w:sz w:val="14"/>
                <w:szCs w:val="14"/>
                <w:color w:val="auto"/>
              </w:rPr>
              <w:t>(2,037)</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1960" w:type="dxa"/>
            <w:vAlign w:val="bottom"/>
            <w:tcBorders>
              <w:bottom w:val="single" w:sz="8" w:color="auto"/>
            </w:tcBorders>
            <w:gridSpan w:val="2"/>
          </w:tcPr>
          <w:p>
            <w:pPr>
              <w:spacing w:after="0" w:line="157" w:lineRule="exact"/>
              <w:rPr>
                <w:sz w:val="20"/>
                <w:szCs w:val="20"/>
                <w:color w:val="auto"/>
              </w:rPr>
            </w:pPr>
            <w:r>
              <w:rPr>
                <w:rFonts w:ascii="Arial" w:cs="Arial" w:eastAsia="Arial" w:hAnsi="Arial"/>
                <w:sz w:val="14"/>
                <w:szCs w:val="14"/>
                <w:color w:val="auto"/>
              </w:rPr>
              <w:t>Retained earnings</w:t>
            </w:r>
          </w:p>
        </w:tc>
        <w:tc>
          <w:tcPr>
            <w:tcW w:w="3620" w:type="dxa"/>
            <w:vAlign w:val="bottom"/>
            <w:tcBorders>
              <w:bottom w:val="single" w:sz="8" w:color="auto"/>
            </w:tcBorders>
          </w:tcPr>
          <w:p>
            <w:pPr>
              <w:spacing w:after="0"/>
              <w:rPr>
                <w:sz w:val="13"/>
                <w:szCs w:val="13"/>
                <w:color w:val="auto"/>
              </w:rPr>
            </w:pPr>
          </w:p>
        </w:tc>
        <w:tc>
          <w:tcPr>
            <w:tcW w:w="2940" w:type="dxa"/>
            <w:vAlign w:val="bottom"/>
            <w:tcBorders>
              <w:bottom w:val="single" w:sz="8" w:color="auto"/>
            </w:tcBorders>
          </w:tcPr>
          <w:p>
            <w:pPr>
              <w:spacing w:after="0"/>
              <w:rPr>
                <w:sz w:val="13"/>
                <w:szCs w:val="13"/>
                <w:color w:val="auto"/>
              </w:rPr>
            </w:pPr>
          </w:p>
        </w:tc>
        <w:tc>
          <w:tcPr>
            <w:tcW w:w="1440" w:type="dxa"/>
            <w:vAlign w:val="bottom"/>
            <w:tcBorders>
              <w:bottom w:val="single" w:sz="8" w:color="auto"/>
            </w:tcBorders>
            <w:shd w:val="clear" w:color="auto" w:fill="D8D8D8"/>
          </w:tcPr>
          <w:p>
            <w:pPr>
              <w:jc w:val="right"/>
              <w:ind w:right="269"/>
              <w:spacing w:after="0" w:line="157" w:lineRule="exact"/>
              <w:rPr>
                <w:sz w:val="20"/>
                <w:szCs w:val="20"/>
                <w:color w:val="auto"/>
              </w:rPr>
            </w:pPr>
            <w:r>
              <w:rPr>
                <w:rFonts w:ascii="Arial" w:cs="Arial" w:eastAsia="Arial" w:hAnsi="Arial"/>
                <w:sz w:val="14"/>
                <w:szCs w:val="14"/>
                <w:color w:val="auto"/>
              </w:rPr>
              <w:t>186,981</w:t>
            </w:r>
          </w:p>
        </w:tc>
        <w:tc>
          <w:tcPr>
            <w:tcW w:w="1460" w:type="dxa"/>
            <w:vAlign w:val="bottom"/>
            <w:tcBorders>
              <w:bottom w:val="single" w:sz="8" w:color="auto"/>
            </w:tcBorders>
          </w:tcPr>
          <w:p>
            <w:pPr>
              <w:jc w:val="right"/>
              <w:ind w:right="268"/>
              <w:spacing w:after="0" w:line="157" w:lineRule="exact"/>
              <w:rPr>
                <w:sz w:val="20"/>
                <w:szCs w:val="20"/>
                <w:color w:val="auto"/>
              </w:rPr>
            </w:pPr>
            <w:r>
              <w:rPr>
                <w:rFonts w:ascii="Arial" w:cs="Arial" w:eastAsia="Arial" w:hAnsi="Arial"/>
                <w:sz w:val="14"/>
                <w:szCs w:val="14"/>
                <w:color w:val="auto"/>
              </w:rPr>
              <w:t>183,474</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5580" w:type="dxa"/>
            <w:vAlign w:val="bottom"/>
            <w:gridSpan w:val="3"/>
          </w:tcPr>
          <w:p>
            <w:pPr>
              <w:spacing w:after="0"/>
              <w:rPr>
                <w:sz w:val="20"/>
                <w:szCs w:val="20"/>
                <w:color w:val="auto"/>
              </w:rPr>
            </w:pPr>
            <w:r>
              <w:rPr>
                <w:rFonts w:ascii="Arial" w:cs="Arial" w:eastAsia="Arial" w:hAnsi="Arial"/>
                <w:sz w:val="14"/>
                <w:szCs w:val="14"/>
                <w:color w:val="auto"/>
              </w:rPr>
              <w:t>Equity attributable to Royal Dutch Shell plc shareholders</w:t>
            </w:r>
          </w:p>
        </w:tc>
        <w:tc>
          <w:tcPr>
            <w:tcW w:w="2940" w:type="dxa"/>
            <w:vAlign w:val="bottom"/>
          </w:tcPr>
          <w:p>
            <w:pPr>
              <w:spacing w:after="0"/>
              <w:rPr>
                <w:sz w:val="13"/>
                <w:szCs w:val="13"/>
                <w:color w:val="auto"/>
              </w:rPr>
            </w:pPr>
          </w:p>
        </w:tc>
        <w:tc>
          <w:tcPr>
            <w:tcW w:w="1440" w:type="dxa"/>
            <w:vAlign w:val="bottom"/>
            <w:shd w:val="clear" w:color="auto" w:fill="D8D8D8"/>
          </w:tcPr>
          <w:p>
            <w:pPr>
              <w:jc w:val="right"/>
              <w:ind w:right="269"/>
              <w:spacing w:after="0"/>
              <w:rPr>
                <w:sz w:val="20"/>
                <w:szCs w:val="20"/>
                <w:color w:val="auto"/>
              </w:rPr>
            </w:pPr>
            <w:r>
              <w:rPr>
                <w:rFonts w:ascii="Arial" w:cs="Arial" w:eastAsia="Arial" w:hAnsi="Arial"/>
                <w:sz w:val="14"/>
                <w:szCs w:val="14"/>
                <w:color w:val="auto"/>
              </w:rPr>
              <w:t>171,966</w:t>
            </w:r>
          </w:p>
        </w:tc>
        <w:tc>
          <w:tcPr>
            <w:tcW w:w="1460" w:type="dxa"/>
            <w:vAlign w:val="bottom"/>
          </w:tcPr>
          <w:p>
            <w:pPr>
              <w:jc w:val="right"/>
              <w:ind w:right="268"/>
              <w:spacing w:after="0"/>
              <w:rPr>
                <w:sz w:val="20"/>
                <w:szCs w:val="20"/>
                <w:color w:val="auto"/>
              </w:rPr>
            </w:pPr>
            <w:r>
              <w:rPr>
                <w:rFonts w:ascii="Arial" w:cs="Arial" w:eastAsia="Arial" w:hAnsi="Arial"/>
                <w:sz w:val="14"/>
                <w:szCs w:val="14"/>
                <w:color w:val="auto"/>
              </w:rPr>
              <w:t>180,047</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1960" w:type="dxa"/>
            <w:vAlign w:val="bottom"/>
            <w:tcBorders>
              <w:bottom w:val="single" w:sz="8" w:color="auto"/>
            </w:tcBorders>
            <w:gridSpan w:val="2"/>
          </w:tcPr>
          <w:p>
            <w:pPr>
              <w:spacing w:after="0" w:line="157" w:lineRule="exact"/>
              <w:rPr>
                <w:sz w:val="20"/>
                <w:szCs w:val="20"/>
                <w:color w:val="auto"/>
              </w:rPr>
            </w:pPr>
            <w:r>
              <w:rPr>
                <w:rFonts w:ascii="Arial" w:cs="Arial" w:eastAsia="Arial" w:hAnsi="Arial"/>
                <w:sz w:val="14"/>
                <w:szCs w:val="14"/>
                <w:color w:val="auto"/>
              </w:rPr>
              <w:t>Non-controlling interest</w:t>
            </w:r>
          </w:p>
        </w:tc>
        <w:tc>
          <w:tcPr>
            <w:tcW w:w="3620" w:type="dxa"/>
            <w:vAlign w:val="bottom"/>
            <w:tcBorders>
              <w:bottom w:val="single" w:sz="8" w:color="auto"/>
            </w:tcBorders>
          </w:tcPr>
          <w:p>
            <w:pPr>
              <w:spacing w:after="0"/>
              <w:rPr>
                <w:sz w:val="13"/>
                <w:szCs w:val="13"/>
                <w:color w:val="auto"/>
              </w:rPr>
            </w:pPr>
          </w:p>
        </w:tc>
        <w:tc>
          <w:tcPr>
            <w:tcW w:w="2940" w:type="dxa"/>
            <w:vAlign w:val="bottom"/>
            <w:tcBorders>
              <w:bottom w:val="single" w:sz="8" w:color="auto"/>
            </w:tcBorders>
          </w:tcPr>
          <w:p>
            <w:pPr>
              <w:spacing w:after="0"/>
              <w:rPr>
                <w:sz w:val="13"/>
                <w:szCs w:val="13"/>
                <w:color w:val="auto"/>
              </w:rPr>
            </w:pPr>
          </w:p>
        </w:tc>
        <w:tc>
          <w:tcPr>
            <w:tcW w:w="1440" w:type="dxa"/>
            <w:vAlign w:val="bottom"/>
            <w:tcBorders>
              <w:bottom w:val="single" w:sz="8" w:color="auto"/>
            </w:tcBorders>
            <w:shd w:val="clear" w:color="auto" w:fill="D8D8D8"/>
          </w:tcPr>
          <w:p>
            <w:pPr>
              <w:jc w:val="right"/>
              <w:ind w:right="269"/>
              <w:spacing w:after="0" w:line="157" w:lineRule="exact"/>
              <w:rPr>
                <w:sz w:val="20"/>
                <w:szCs w:val="20"/>
                <w:color w:val="auto"/>
              </w:rPr>
            </w:pPr>
            <w:r>
              <w:rPr>
                <w:rFonts w:ascii="Arial" w:cs="Arial" w:eastAsia="Arial" w:hAnsi="Arial"/>
                <w:sz w:val="14"/>
                <w:szCs w:val="14"/>
                <w:color w:val="auto"/>
              </w:rPr>
              <w:t>820</w:t>
            </w:r>
          </w:p>
        </w:tc>
        <w:tc>
          <w:tcPr>
            <w:tcW w:w="1460" w:type="dxa"/>
            <w:vAlign w:val="bottom"/>
            <w:tcBorders>
              <w:bottom w:val="single" w:sz="8" w:color="auto"/>
            </w:tcBorders>
          </w:tcPr>
          <w:p>
            <w:pPr>
              <w:jc w:val="right"/>
              <w:ind w:right="268"/>
              <w:spacing w:after="0" w:line="157" w:lineRule="exact"/>
              <w:rPr>
                <w:sz w:val="20"/>
                <w:szCs w:val="20"/>
                <w:color w:val="auto"/>
              </w:rPr>
            </w:pPr>
            <w:r>
              <w:rPr>
                <w:rFonts w:ascii="Arial" w:cs="Arial" w:eastAsia="Arial" w:hAnsi="Arial"/>
                <w:sz w:val="14"/>
                <w:szCs w:val="14"/>
                <w:color w:val="auto"/>
              </w:rPr>
              <w:t>1,101</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960" w:type="dxa"/>
            <w:vAlign w:val="bottom"/>
            <w:tcBorders>
              <w:bottom w:val="single" w:sz="8" w:color="auto"/>
            </w:tcBorders>
            <w:gridSpan w:val="2"/>
          </w:tcPr>
          <w:p>
            <w:pPr>
              <w:spacing w:after="0" w:line="155" w:lineRule="exact"/>
              <w:rPr>
                <w:sz w:val="20"/>
                <w:szCs w:val="20"/>
                <w:color w:val="auto"/>
              </w:rPr>
            </w:pPr>
            <w:r>
              <w:rPr>
                <w:rFonts w:ascii="Arial" w:cs="Arial" w:eastAsia="Arial" w:hAnsi="Arial"/>
                <w:sz w:val="14"/>
                <w:szCs w:val="14"/>
                <w:color w:val="auto"/>
              </w:rPr>
              <w:t>Total equity</w:t>
            </w:r>
          </w:p>
        </w:tc>
        <w:tc>
          <w:tcPr>
            <w:tcW w:w="3620" w:type="dxa"/>
            <w:vAlign w:val="bottom"/>
            <w:tcBorders>
              <w:bottom w:val="single" w:sz="8" w:color="auto"/>
            </w:tcBorders>
          </w:tcPr>
          <w:p>
            <w:pPr>
              <w:spacing w:after="0"/>
              <w:rPr>
                <w:sz w:val="13"/>
                <w:szCs w:val="13"/>
                <w:color w:val="auto"/>
              </w:rPr>
            </w:pPr>
          </w:p>
        </w:tc>
        <w:tc>
          <w:tcPr>
            <w:tcW w:w="2940" w:type="dxa"/>
            <w:vAlign w:val="bottom"/>
            <w:tcBorders>
              <w:bottom w:val="single" w:sz="8" w:color="auto"/>
            </w:tcBorders>
          </w:tcPr>
          <w:p>
            <w:pPr>
              <w:spacing w:after="0"/>
              <w:rPr>
                <w:sz w:val="13"/>
                <w:szCs w:val="13"/>
                <w:color w:val="auto"/>
              </w:rPr>
            </w:pPr>
          </w:p>
        </w:tc>
        <w:tc>
          <w:tcPr>
            <w:tcW w:w="1440" w:type="dxa"/>
            <w:vAlign w:val="bottom"/>
            <w:tcBorders>
              <w:bottom w:val="single" w:sz="8" w:color="auto"/>
            </w:tcBorders>
            <w:shd w:val="clear" w:color="auto" w:fill="D8D8D8"/>
          </w:tcPr>
          <w:p>
            <w:pPr>
              <w:jc w:val="right"/>
              <w:ind w:right="269"/>
              <w:spacing w:after="0" w:line="155" w:lineRule="exact"/>
              <w:rPr>
                <w:sz w:val="20"/>
                <w:szCs w:val="20"/>
                <w:color w:val="auto"/>
              </w:rPr>
            </w:pPr>
            <w:r>
              <w:rPr>
                <w:rFonts w:ascii="Arial" w:cs="Arial" w:eastAsia="Arial" w:hAnsi="Arial"/>
                <w:sz w:val="14"/>
                <w:szCs w:val="14"/>
                <w:color w:val="auto"/>
              </w:rPr>
              <w:t>172,786</w:t>
            </w:r>
          </w:p>
        </w:tc>
        <w:tc>
          <w:tcPr>
            <w:tcW w:w="1460" w:type="dxa"/>
            <w:vAlign w:val="bottom"/>
            <w:tcBorders>
              <w:bottom w:val="single" w:sz="8" w:color="auto"/>
            </w:tcBorders>
          </w:tcPr>
          <w:p>
            <w:pPr>
              <w:jc w:val="right"/>
              <w:ind w:right="268"/>
              <w:spacing w:after="0" w:line="155" w:lineRule="exact"/>
              <w:rPr>
                <w:sz w:val="20"/>
                <w:szCs w:val="20"/>
                <w:color w:val="auto"/>
              </w:rPr>
            </w:pPr>
            <w:r>
              <w:rPr>
                <w:rFonts w:ascii="Arial" w:cs="Arial" w:eastAsia="Arial" w:hAnsi="Arial"/>
                <w:sz w:val="14"/>
                <w:szCs w:val="14"/>
                <w:color w:val="auto"/>
              </w:rPr>
              <w:t>181,148</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960" w:type="dxa"/>
            <w:vAlign w:val="bottom"/>
            <w:gridSpan w:val="2"/>
          </w:tcPr>
          <w:p>
            <w:pPr>
              <w:spacing w:after="0" w:line="155" w:lineRule="exact"/>
              <w:rPr>
                <w:sz w:val="20"/>
                <w:szCs w:val="20"/>
                <w:color w:val="auto"/>
              </w:rPr>
            </w:pPr>
            <w:r>
              <w:rPr>
                <w:rFonts w:ascii="Arial" w:cs="Arial" w:eastAsia="Arial" w:hAnsi="Arial"/>
                <w:sz w:val="14"/>
                <w:szCs w:val="14"/>
                <w:color w:val="auto"/>
              </w:rPr>
              <w:t>Total liabilities and equity</w:t>
            </w:r>
          </w:p>
        </w:tc>
        <w:tc>
          <w:tcPr>
            <w:tcW w:w="3620" w:type="dxa"/>
            <w:vAlign w:val="bottom"/>
          </w:tcPr>
          <w:p>
            <w:pPr>
              <w:spacing w:after="0"/>
              <w:rPr>
                <w:sz w:val="13"/>
                <w:szCs w:val="13"/>
                <w:color w:val="auto"/>
              </w:rPr>
            </w:pPr>
          </w:p>
        </w:tc>
        <w:tc>
          <w:tcPr>
            <w:tcW w:w="2940" w:type="dxa"/>
            <w:vAlign w:val="bottom"/>
          </w:tcPr>
          <w:p>
            <w:pPr>
              <w:spacing w:after="0"/>
              <w:rPr>
                <w:sz w:val="13"/>
                <w:szCs w:val="13"/>
                <w:color w:val="auto"/>
              </w:rPr>
            </w:pPr>
          </w:p>
        </w:tc>
        <w:tc>
          <w:tcPr>
            <w:tcW w:w="1440" w:type="dxa"/>
            <w:vAlign w:val="bottom"/>
            <w:shd w:val="clear" w:color="auto" w:fill="D8D8D8"/>
          </w:tcPr>
          <w:p>
            <w:pPr>
              <w:jc w:val="right"/>
              <w:ind w:right="269"/>
              <w:spacing w:after="0" w:line="155" w:lineRule="exact"/>
              <w:rPr>
                <w:sz w:val="20"/>
                <w:szCs w:val="20"/>
                <w:color w:val="auto"/>
              </w:rPr>
            </w:pPr>
            <w:r>
              <w:rPr>
                <w:rFonts w:ascii="Arial" w:cs="Arial" w:eastAsia="Arial" w:hAnsi="Arial"/>
                <w:sz w:val="14"/>
                <w:szCs w:val="14"/>
                <w:color w:val="auto"/>
              </w:rPr>
              <w:t>353,116</w:t>
            </w:r>
          </w:p>
        </w:tc>
        <w:tc>
          <w:tcPr>
            <w:tcW w:w="1460" w:type="dxa"/>
            <w:vAlign w:val="bottom"/>
          </w:tcPr>
          <w:p>
            <w:pPr>
              <w:jc w:val="right"/>
              <w:ind w:right="268"/>
              <w:spacing w:after="0" w:line="155" w:lineRule="exact"/>
              <w:rPr>
                <w:sz w:val="20"/>
                <w:szCs w:val="20"/>
                <w:color w:val="auto"/>
              </w:rPr>
            </w:pPr>
            <w:r>
              <w:rPr>
                <w:rFonts w:ascii="Arial" w:cs="Arial" w:eastAsia="Arial" w:hAnsi="Arial"/>
                <w:sz w:val="14"/>
                <w:szCs w:val="14"/>
                <w:color w:val="auto"/>
              </w:rPr>
              <w:t>357,512</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940" w:type="dxa"/>
            <w:vAlign w:val="bottom"/>
            <w:shd w:val="clear" w:color="auto" w:fill="000000"/>
          </w:tcPr>
          <w:p>
            <w:pPr>
              <w:spacing w:after="0" w:line="20" w:lineRule="exact"/>
              <w:rPr>
                <w:sz w:val="1"/>
                <w:szCs w:val="1"/>
                <w:color w:val="auto"/>
              </w:rPr>
            </w:pPr>
          </w:p>
        </w:tc>
        <w:tc>
          <w:tcPr>
            <w:tcW w:w="3620" w:type="dxa"/>
            <w:vAlign w:val="bottom"/>
            <w:shd w:val="clear" w:color="auto" w:fill="000000"/>
          </w:tcPr>
          <w:p>
            <w:pPr>
              <w:spacing w:after="0" w:line="20" w:lineRule="exact"/>
              <w:rPr>
                <w:sz w:val="1"/>
                <w:szCs w:val="1"/>
                <w:color w:val="auto"/>
              </w:rPr>
            </w:pPr>
          </w:p>
        </w:tc>
        <w:tc>
          <w:tcPr>
            <w:tcW w:w="2940" w:type="dxa"/>
            <w:vAlign w:val="bottom"/>
            <w:shd w:val="clear" w:color="auto" w:fill="000000"/>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1" w:lineRule="exact"/>
        <w:rPr>
          <w:sz w:val="20"/>
          <w:szCs w:val="20"/>
          <w:color w:val="auto"/>
        </w:rPr>
      </w:pPr>
    </w:p>
    <w:p>
      <w:pPr>
        <w:spacing w:after="0"/>
        <w:rPr>
          <w:sz w:val="20"/>
          <w:szCs w:val="20"/>
          <w:color w:val="auto"/>
        </w:rPr>
      </w:pPr>
      <w:r>
        <w:rPr>
          <w:rFonts w:ascii="Arial" w:cs="Arial" w:eastAsia="Arial" w:hAnsi="Arial"/>
          <w:sz w:val="14"/>
          <w:szCs w:val="14"/>
          <w:color w:val="auto"/>
        </w:rPr>
        <w:t>Signed on behalf of the Board</w:t>
      </w:r>
    </w:p>
    <w:p>
      <w:pPr>
        <w:spacing w:after="0" w:line="244" w:lineRule="exact"/>
        <w:rPr>
          <w:sz w:val="20"/>
          <w:szCs w:val="20"/>
          <w:color w:val="auto"/>
        </w:rPr>
      </w:pPr>
    </w:p>
    <w:p>
      <w:pPr>
        <w:spacing w:after="0"/>
        <w:rPr>
          <w:sz w:val="20"/>
          <w:szCs w:val="20"/>
          <w:color w:val="auto"/>
        </w:rPr>
      </w:pPr>
      <w:r>
        <w:rPr>
          <w:rFonts w:ascii="Arial" w:cs="Arial" w:eastAsia="Arial" w:hAnsi="Arial"/>
          <w:sz w:val="14"/>
          <w:szCs w:val="14"/>
          <w:color w:val="auto"/>
        </w:rPr>
        <w:t>/s/ Simon Henry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160655</wp:posOffset>
            </wp:positionV>
            <wp:extent cx="3473450" cy="8890"/>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spacing w:after="0" w:line="23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Simon Henry</w:t>
      </w:r>
    </w:p>
    <w:p>
      <w:pPr>
        <w:spacing w:after="0" w:line="19" w:lineRule="exact"/>
        <w:rPr>
          <w:sz w:val="20"/>
          <w:szCs w:val="20"/>
          <w:color w:val="auto"/>
        </w:rPr>
      </w:pPr>
    </w:p>
    <w:p>
      <w:pPr>
        <w:spacing w:after="0"/>
        <w:rPr>
          <w:sz w:val="20"/>
          <w:szCs w:val="20"/>
          <w:color w:val="auto"/>
        </w:rPr>
      </w:pPr>
      <w:r>
        <w:rPr>
          <w:rFonts w:ascii="Arial" w:cs="Arial" w:eastAsia="Arial" w:hAnsi="Arial"/>
          <w:sz w:val="14"/>
          <w:szCs w:val="14"/>
          <w:color w:val="auto"/>
        </w:rPr>
        <w:t>Chief Financial Officer</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March 11, 2015</w:t>
      </w:r>
    </w:p>
    <w:p>
      <w:pPr>
        <w:sectPr>
          <w:pgSz w:w="11900" w:h="16838" w:orient="portrait"/>
          <w:cols w:equalWidth="0" w:num="1">
            <w:col w:w="11420"/>
          </w:cols>
          <w:pgMar w:left="240" w:top="459" w:right="239" w:bottom="1440" w:gutter="0" w:footer="0" w:header="0"/>
        </w:sectPr>
      </w:pPr>
    </w:p>
    <w:bookmarkStart w:id="110" w:name="page111"/>
    <w:bookmarkEnd w:id="1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6428105</wp:posOffset>
            </wp:positionH>
            <wp:positionV relativeFrom="paragraph">
              <wp:posOffset>300355</wp:posOffset>
            </wp:positionV>
            <wp:extent cx="8890" cy="46291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8890" cy="462915"/>
                    </a:xfrm>
                    <a:prstGeom prst="rect">
                      <a:avLst/>
                    </a:prstGeom>
                    <a:noFill/>
                  </pic:spPr>
                </pic:pic>
              </a:graphicData>
            </a:graphic>
          </wp:anchor>
        </w:drawing>
      </w:r>
    </w:p>
    <w:p>
      <w:pPr>
        <w:spacing w:after="0" w:line="200" w:lineRule="exact"/>
        <w:rPr>
          <w:sz w:val="20"/>
          <w:szCs w:val="20"/>
          <w:color w:val="auto"/>
        </w:rPr>
      </w:pP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565"/>
        </w:trPr>
        <w:tc>
          <w:tcPr>
            <w:tcW w:w="20" w:type="dxa"/>
            <w:vAlign w:val="bottom"/>
          </w:tcPr>
          <w:p>
            <w:pPr>
              <w:spacing w:after="0"/>
              <w:rPr>
                <w:sz w:val="24"/>
                <w:szCs w:val="24"/>
                <w:color w:val="auto"/>
              </w:rPr>
            </w:pPr>
          </w:p>
        </w:tc>
        <w:tc>
          <w:tcPr>
            <w:tcW w:w="43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4020" w:type="dxa"/>
            <w:vAlign w:val="bottom"/>
            <w:gridSpan w:val="4"/>
            <w:shd w:val="clear" w:color="auto" w:fill="FF8B00"/>
          </w:tcPr>
          <w:p>
            <w:pPr>
              <w:ind w:left="880"/>
              <w:spacing w:after="0"/>
              <w:rPr>
                <w:sz w:val="20"/>
                <w:szCs w:val="20"/>
                <w:color w:val="auto"/>
              </w:rPr>
            </w:pPr>
            <w:r>
              <w:rPr>
                <w:rFonts w:ascii="Arial" w:cs="Arial" w:eastAsia="Arial" w:hAnsi="Arial"/>
                <w:sz w:val="13"/>
                <w:szCs w:val="13"/>
                <w:color w:val="333333"/>
              </w:rPr>
              <w:t>FINANCIAL STATEMENTS AND SUPPLEMENTS</w:t>
            </w:r>
          </w:p>
        </w:tc>
        <w:tc>
          <w:tcPr>
            <w:tcW w:w="1040" w:type="dxa"/>
            <w:vAlign w:val="bottom"/>
            <w:shd w:val="clear" w:color="auto" w:fill="FF8B00"/>
          </w:tcPr>
          <w:p>
            <w:pPr>
              <w:spacing w:after="0"/>
              <w:rPr>
                <w:sz w:val="24"/>
                <w:szCs w:val="24"/>
                <w:color w:val="auto"/>
              </w:rPr>
            </w:pPr>
          </w:p>
        </w:tc>
        <w:tc>
          <w:tcPr>
            <w:tcW w:w="760" w:type="dxa"/>
            <w:vAlign w:val="bottom"/>
            <w:shd w:val="clear" w:color="auto" w:fill="FF8B00"/>
          </w:tcPr>
          <w:p>
            <w:pPr>
              <w:jc w:val="right"/>
              <w:ind w:right="349"/>
              <w:spacing w:after="0"/>
              <w:rPr>
                <w:sz w:val="20"/>
                <w:szCs w:val="20"/>
                <w:color w:val="auto"/>
              </w:rPr>
            </w:pPr>
            <w:r>
              <w:rPr>
                <w:rFonts w:ascii="Arial" w:cs="Arial" w:eastAsia="Arial" w:hAnsi="Arial"/>
                <w:sz w:val="11"/>
                <w:szCs w:val="11"/>
                <w:b w:val="1"/>
                <w:bCs w:val="1"/>
                <w:color w:val="333333"/>
              </w:rPr>
              <w:t>109</w:t>
            </w:r>
          </w:p>
        </w:tc>
        <w:tc>
          <w:tcPr>
            <w:tcW w:w="0" w:type="dxa"/>
            <w:vAlign w:val="bottom"/>
          </w:tcPr>
          <w:p>
            <w:pPr>
              <w:spacing w:after="0"/>
              <w:rPr>
                <w:sz w:val="1"/>
                <w:szCs w:val="1"/>
                <w:color w:val="auto"/>
              </w:rPr>
            </w:pPr>
          </w:p>
        </w:tc>
      </w:tr>
      <w:tr>
        <w:trPr>
          <w:trHeight w:val="165"/>
        </w:trPr>
        <w:tc>
          <w:tcPr>
            <w:tcW w:w="4340" w:type="dxa"/>
            <w:vAlign w:val="bottom"/>
            <w:gridSpan w:val="2"/>
            <w:vMerge w:val="restart"/>
          </w:tcPr>
          <w:p>
            <w:pPr>
              <w:spacing w:after="0"/>
              <w:rPr>
                <w:sz w:val="20"/>
                <w:szCs w:val="20"/>
                <w:color w:val="auto"/>
              </w:rPr>
            </w:pPr>
            <w:r>
              <w:rPr>
                <w:rFonts w:ascii="Arial" w:cs="Arial" w:eastAsia="Arial" w:hAnsi="Arial"/>
                <w:sz w:val="11"/>
                <w:szCs w:val="11"/>
                <w:color w:val="auto"/>
              </w:rPr>
              <w:t>SHELL ANNUAL REPORT AND FORM 20-F 2014</w:t>
            </w:r>
          </w:p>
        </w:tc>
        <w:tc>
          <w:tcPr>
            <w:tcW w:w="1260" w:type="dxa"/>
            <w:vAlign w:val="bottom"/>
          </w:tcPr>
          <w:p>
            <w:pPr>
              <w:spacing w:after="0"/>
              <w:rPr>
                <w:sz w:val="14"/>
                <w:szCs w:val="14"/>
                <w:color w:val="auto"/>
              </w:rPr>
            </w:pPr>
          </w:p>
        </w:tc>
        <w:tc>
          <w:tcPr>
            <w:tcW w:w="3220" w:type="dxa"/>
            <w:vAlign w:val="bottom"/>
            <w:gridSpan w:val="3"/>
            <w:shd w:val="clear" w:color="auto" w:fill="FF8B00"/>
          </w:tcPr>
          <w:p>
            <w:pPr>
              <w:spacing w:after="0"/>
              <w:rPr>
                <w:sz w:val="14"/>
                <w:szCs w:val="14"/>
                <w:color w:val="auto"/>
              </w:rPr>
            </w:pPr>
          </w:p>
        </w:tc>
        <w:tc>
          <w:tcPr>
            <w:tcW w:w="800" w:type="dxa"/>
            <w:vAlign w:val="bottom"/>
            <w:shd w:val="clear" w:color="auto" w:fill="FF8B00"/>
          </w:tcPr>
          <w:p>
            <w:pPr>
              <w:spacing w:after="0"/>
              <w:rPr>
                <w:sz w:val="14"/>
                <w:szCs w:val="14"/>
                <w:color w:val="auto"/>
              </w:rPr>
            </w:pPr>
          </w:p>
        </w:tc>
        <w:tc>
          <w:tcPr>
            <w:tcW w:w="1040" w:type="dxa"/>
            <w:vAlign w:val="bottom"/>
            <w:shd w:val="clear" w:color="auto" w:fill="FF8B00"/>
          </w:tcPr>
          <w:p>
            <w:pPr>
              <w:spacing w:after="0"/>
              <w:rPr>
                <w:sz w:val="14"/>
                <w:szCs w:val="14"/>
                <w:color w:val="auto"/>
              </w:rPr>
            </w:pPr>
          </w:p>
        </w:tc>
        <w:tc>
          <w:tcPr>
            <w:tcW w:w="760" w:type="dxa"/>
            <w:vAlign w:val="bottom"/>
            <w:shd w:val="clear" w:color="auto" w:fill="FF8B00"/>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4340" w:type="dxa"/>
            <w:vAlign w:val="bottom"/>
            <w:gridSpan w:val="2"/>
            <w:vMerge w:val="continue"/>
          </w:tcPr>
          <w:p>
            <w:pPr>
              <w:spacing w:after="0"/>
              <w:rPr>
                <w:sz w:val="11"/>
                <w:szCs w:val="11"/>
                <w:color w:val="auto"/>
              </w:rPr>
            </w:pPr>
          </w:p>
        </w:tc>
        <w:tc>
          <w:tcPr>
            <w:tcW w:w="1260" w:type="dxa"/>
            <w:vAlign w:val="bottom"/>
          </w:tcPr>
          <w:p>
            <w:pPr>
              <w:spacing w:after="0"/>
              <w:rPr>
                <w:sz w:val="11"/>
                <w:szCs w:val="11"/>
                <w:color w:val="auto"/>
              </w:rPr>
            </w:pPr>
          </w:p>
        </w:tc>
        <w:tc>
          <w:tcPr>
            <w:tcW w:w="3220" w:type="dxa"/>
            <w:vAlign w:val="bottom"/>
            <w:gridSpan w:val="3"/>
          </w:tcPr>
          <w:p>
            <w:pPr>
              <w:ind w:left="880"/>
              <w:spacing w:after="0"/>
              <w:rPr>
                <w:sz w:val="20"/>
                <w:szCs w:val="20"/>
                <w:color w:val="auto"/>
              </w:rPr>
            </w:pPr>
            <w:r>
              <w:rPr>
                <w:rFonts w:ascii="Arial" w:cs="Arial" w:eastAsia="Arial" w:hAnsi="Arial"/>
                <w:sz w:val="11"/>
                <w:szCs w:val="11"/>
                <w:color w:val="auto"/>
              </w:rPr>
              <w:t>CONSOLIDATED FINANCIAL STATEMENTS</w:t>
            </w:r>
          </w:p>
        </w:tc>
        <w:tc>
          <w:tcPr>
            <w:tcW w:w="8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43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0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320" w:type="dxa"/>
            <w:vAlign w:val="bottom"/>
            <w:shd w:val="clear" w:color="auto" w:fill="333333"/>
          </w:tcPr>
          <w:p>
            <w:pPr>
              <w:ind w:left="60"/>
              <w:spacing w:after="0" w:line="162" w:lineRule="exact"/>
              <w:rPr>
                <w:sz w:val="20"/>
                <w:szCs w:val="20"/>
                <w:color w:val="auto"/>
              </w:rPr>
            </w:pPr>
            <w:r>
              <w:rPr>
                <w:rFonts w:ascii="Arial" w:cs="Arial" w:eastAsia="Arial" w:hAnsi="Arial"/>
                <w:sz w:val="15"/>
                <w:szCs w:val="15"/>
                <w:b w:val="1"/>
                <w:bCs w:val="1"/>
                <w:color w:val="FFFFFF"/>
              </w:rPr>
              <w:t>CONSOLIDATED STATEMENT OF CHANGES IN EQUITY</w:t>
            </w:r>
          </w:p>
        </w:tc>
        <w:tc>
          <w:tcPr>
            <w:tcW w:w="1260" w:type="dxa"/>
            <w:vAlign w:val="bottom"/>
            <w:shd w:val="clear" w:color="auto" w:fill="333333"/>
          </w:tcPr>
          <w:p>
            <w:pPr>
              <w:spacing w:after="0"/>
              <w:rPr>
                <w:sz w:val="14"/>
                <w:szCs w:val="14"/>
                <w:color w:val="auto"/>
              </w:rPr>
            </w:pPr>
          </w:p>
        </w:tc>
        <w:tc>
          <w:tcPr>
            <w:tcW w:w="1160" w:type="dxa"/>
            <w:vAlign w:val="bottom"/>
            <w:shd w:val="clear" w:color="auto" w:fill="333333"/>
          </w:tcPr>
          <w:p>
            <w:pPr>
              <w:spacing w:after="0"/>
              <w:rPr>
                <w:sz w:val="14"/>
                <w:szCs w:val="14"/>
                <w:color w:val="auto"/>
              </w:rPr>
            </w:pPr>
          </w:p>
        </w:tc>
        <w:tc>
          <w:tcPr>
            <w:tcW w:w="1160" w:type="dxa"/>
            <w:vAlign w:val="bottom"/>
            <w:shd w:val="clear" w:color="auto" w:fill="333333"/>
          </w:tcPr>
          <w:p>
            <w:pPr>
              <w:spacing w:after="0"/>
              <w:rPr>
                <w:sz w:val="14"/>
                <w:szCs w:val="14"/>
                <w:color w:val="auto"/>
              </w:rPr>
            </w:pPr>
          </w:p>
        </w:tc>
        <w:tc>
          <w:tcPr>
            <w:tcW w:w="900" w:type="dxa"/>
            <w:vAlign w:val="bottom"/>
            <w:shd w:val="clear" w:color="auto" w:fill="333333"/>
          </w:tcPr>
          <w:p>
            <w:pPr>
              <w:spacing w:after="0"/>
              <w:rPr>
                <w:sz w:val="14"/>
                <w:szCs w:val="14"/>
                <w:color w:val="auto"/>
              </w:rPr>
            </w:pPr>
          </w:p>
        </w:tc>
        <w:tc>
          <w:tcPr>
            <w:tcW w:w="800" w:type="dxa"/>
            <w:vAlign w:val="bottom"/>
            <w:shd w:val="clear" w:color="auto" w:fill="333333"/>
          </w:tcPr>
          <w:p>
            <w:pPr>
              <w:spacing w:after="0"/>
              <w:rPr>
                <w:sz w:val="14"/>
                <w:szCs w:val="14"/>
                <w:color w:val="auto"/>
              </w:rPr>
            </w:pPr>
          </w:p>
        </w:tc>
        <w:tc>
          <w:tcPr>
            <w:tcW w:w="1800" w:type="dxa"/>
            <w:vAlign w:val="bottom"/>
            <w:gridSpan w:val="2"/>
            <w:shd w:val="clear" w:color="auto" w:fill="333333"/>
          </w:tcPr>
          <w:p>
            <w:pPr>
              <w:jc w:val="right"/>
              <w:ind w:right="109"/>
              <w:spacing w:after="0" w:line="162" w:lineRule="exact"/>
              <w:rPr>
                <w:sz w:val="20"/>
                <w:szCs w:val="20"/>
                <w:color w:val="auto"/>
              </w:rPr>
            </w:pPr>
            <w:r>
              <w:rPr>
                <w:rFonts w:ascii="Arial" w:cs="Arial" w:eastAsia="Arial" w:hAnsi="Arial"/>
                <w:sz w:val="15"/>
                <w:szCs w:val="15"/>
                <w:color w:val="FFFFFF"/>
              </w:rPr>
              <w:t>$ MILLION</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320" w:type="dxa"/>
            <w:vAlign w:val="bottom"/>
          </w:tcPr>
          <w:p>
            <w:pPr>
              <w:spacing w:after="0"/>
              <w:rPr>
                <w:sz w:val="11"/>
                <w:szCs w:val="11"/>
                <w:color w:val="auto"/>
              </w:rPr>
            </w:pPr>
          </w:p>
        </w:tc>
        <w:tc>
          <w:tcPr>
            <w:tcW w:w="1260" w:type="dxa"/>
            <w:vAlign w:val="bottom"/>
            <w:tcBorders>
              <w:bottom w:val="single" w:sz="8" w:color="auto"/>
            </w:tcBorders>
          </w:tcPr>
          <w:p>
            <w:pPr>
              <w:spacing w:after="0"/>
              <w:rPr>
                <w:sz w:val="11"/>
                <w:szCs w:val="11"/>
                <w:color w:val="auto"/>
              </w:rPr>
            </w:pPr>
          </w:p>
        </w:tc>
        <w:tc>
          <w:tcPr>
            <w:tcW w:w="4020" w:type="dxa"/>
            <w:vAlign w:val="bottom"/>
            <w:tcBorders>
              <w:bottom w:val="single" w:sz="8" w:color="auto"/>
            </w:tcBorders>
            <w:gridSpan w:val="4"/>
          </w:tcPr>
          <w:p>
            <w:pPr>
              <w:jc w:val="right"/>
              <w:ind w:right="28"/>
              <w:spacing w:after="0" w:line="135" w:lineRule="exact"/>
              <w:rPr>
                <w:sz w:val="20"/>
                <w:szCs w:val="20"/>
                <w:color w:val="auto"/>
              </w:rPr>
            </w:pPr>
            <w:r>
              <w:rPr>
                <w:rFonts w:ascii="Arial" w:cs="Arial" w:eastAsia="Arial" w:hAnsi="Arial"/>
                <w:sz w:val="13"/>
                <w:szCs w:val="13"/>
                <w:color w:val="auto"/>
              </w:rPr>
              <w:t>Equity attributable to Royal Dutch Shell plc shareholders</w:t>
            </w:r>
          </w:p>
        </w:tc>
        <w:tc>
          <w:tcPr>
            <w:tcW w:w="10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432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1160" w:type="dxa"/>
            <w:vAlign w:val="bottom"/>
          </w:tcPr>
          <w:p>
            <w:pPr>
              <w:jc w:val="right"/>
              <w:ind w:right="150"/>
              <w:spacing w:after="0" w:line="123" w:lineRule="exact"/>
              <w:rPr>
                <w:sz w:val="20"/>
                <w:szCs w:val="20"/>
                <w:color w:val="auto"/>
              </w:rPr>
            </w:pPr>
            <w:r>
              <w:rPr>
                <w:rFonts w:ascii="Arial" w:cs="Arial" w:eastAsia="Arial" w:hAnsi="Arial"/>
                <w:sz w:val="13"/>
                <w:szCs w:val="13"/>
                <w:color w:val="auto"/>
              </w:rPr>
              <w:t>Shares</w:t>
            </w:r>
          </w:p>
        </w:tc>
        <w:tc>
          <w:tcPr>
            <w:tcW w:w="11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3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160" w:type="dxa"/>
            <w:vAlign w:val="bottom"/>
          </w:tcPr>
          <w:p>
            <w:pPr>
              <w:jc w:val="right"/>
              <w:ind w:right="150"/>
              <w:spacing w:after="0" w:line="135" w:lineRule="exact"/>
              <w:rPr>
                <w:sz w:val="20"/>
                <w:szCs w:val="20"/>
                <w:color w:val="auto"/>
              </w:rPr>
            </w:pPr>
            <w:r>
              <w:rPr>
                <w:rFonts w:ascii="Arial" w:cs="Arial" w:eastAsia="Arial" w:hAnsi="Arial"/>
                <w:sz w:val="13"/>
                <w:szCs w:val="13"/>
                <w:color w:val="auto"/>
              </w:rPr>
              <w:t>held in</w:t>
            </w:r>
          </w:p>
        </w:tc>
        <w:tc>
          <w:tcPr>
            <w:tcW w:w="1160" w:type="dxa"/>
            <w:vAlign w:val="bottom"/>
          </w:tcPr>
          <w:p>
            <w:pPr>
              <w:jc w:val="right"/>
              <w:ind w:right="149"/>
              <w:spacing w:after="0" w:line="135" w:lineRule="exact"/>
              <w:rPr>
                <w:sz w:val="20"/>
                <w:szCs w:val="20"/>
                <w:color w:val="auto"/>
              </w:rPr>
            </w:pPr>
            <w:r>
              <w:rPr>
                <w:rFonts w:ascii="Arial" w:cs="Arial" w:eastAsia="Arial" w:hAnsi="Arial"/>
                <w:sz w:val="13"/>
                <w:szCs w:val="13"/>
                <w:color w:val="auto"/>
              </w:rPr>
              <w:t>Other</w:t>
            </w:r>
          </w:p>
        </w:tc>
        <w:tc>
          <w:tcPr>
            <w:tcW w:w="9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40" w:type="dxa"/>
            <w:vAlign w:val="bottom"/>
          </w:tcPr>
          <w:p>
            <w:pPr>
              <w:jc w:val="right"/>
              <w:ind w:right="109"/>
              <w:spacing w:after="0" w:line="135" w:lineRule="exact"/>
              <w:rPr>
                <w:sz w:val="20"/>
                <w:szCs w:val="20"/>
                <w:color w:val="auto"/>
              </w:rPr>
            </w:pPr>
            <w:r>
              <w:rPr>
                <w:rFonts w:ascii="Arial" w:cs="Arial" w:eastAsia="Arial" w:hAnsi="Arial"/>
                <w:sz w:val="13"/>
                <w:szCs w:val="13"/>
                <w:color w:val="auto"/>
              </w:rPr>
              <w:t>Non-</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320" w:type="dxa"/>
            <w:vAlign w:val="bottom"/>
          </w:tcPr>
          <w:p>
            <w:pPr>
              <w:spacing w:after="0"/>
              <w:rPr>
                <w:sz w:val="11"/>
                <w:szCs w:val="11"/>
                <w:color w:val="auto"/>
              </w:rPr>
            </w:pPr>
          </w:p>
        </w:tc>
        <w:tc>
          <w:tcPr>
            <w:tcW w:w="1260" w:type="dxa"/>
            <w:vAlign w:val="bottom"/>
          </w:tcPr>
          <w:p>
            <w:pPr>
              <w:jc w:val="right"/>
              <w:ind w:right="129"/>
              <w:spacing w:after="0" w:line="135" w:lineRule="exact"/>
              <w:rPr>
                <w:sz w:val="20"/>
                <w:szCs w:val="20"/>
                <w:color w:val="auto"/>
              </w:rPr>
            </w:pPr>
            <w:r>
              <w:rPr>
                <w:rFonts w:ascii="Arial" w:cs="Arial" w:eastAsia="Arial" w:hAnsi="Arial"/>
                <w:sz w:val="13"/>
                <w:szCs w:val="13"/>
                <w:color w:val="auto"/>
              </w:rPr>
              <w:t>Share capital</w:t>
            </w:r>
          </w:p>
        </w:tc>
        <w:tc>
          <w:tcPr>
            <w:tcW w:w="1160" w:type="dxa"/>
            <w:vAlign w:val="bottom"/>
          </w:tcPr>
          <w:p>
            <w:pPr>
              <w:jc w:val="right"/>
              <w:ind w:right="150"/>
              <w:spacing w:after="0" w:line="135" w:lineRule="exact"/>
              <w:rPr>
                <w:sz w:val="20"/>
                <w:szCs w:val="20"/>
                <w:color w:val="auto"/>
              </w:rPr>
            </w:pPr>
            <w:r>
              <w:rPr>
                <w:rFonts w:ascii="Arial" w:cs="Arial" w:eastAsia="Arial" w:hAnsi="Arial"/>
                <w:sz w:val="13"/>
                <w:szCs w:val="13"/>
                <w:color w:val="auto"/>
              </w:rPr>
              <w:t>trust</w:t>
            </w:r>
          </w:p>
        </w:tc>
        <w:tc>
          <w:tcPr>
            <w:tcW w:w="1160" w:type="dxa"/>
            <w:vAlign w:val="bottom"/>
          </w:tcPr>
          <w:p>
            <w:pPr>
              <w:jc w:val="right"/>
              <w:ind w:right="149"/>
              <w:spacing w:after="0" w:line="135" w:lineRule="exact"/>
              <w:rPr>
                <w:sz w:val="20"/>
                <w:szCs w:val="20"/>
                <w:color w:val="auto"/>
              </w:rPr>
            </w:pPr>
            <w:r>
              <w:rPr>
                <w:rFonts w:ascii="Arial" w:cs="Arial" w:eastAsia="Arial" w:hAnsi="Arial"/>
                <w:sz w:val="13"/>
                <w:szCs w:val="13"/>
                <w:color w:val="auto"/>
              </w:rPr>
              <w:t>reserves</w:t>
            </w:r>
          </w:p>
        </w:tc>
        <w:tc>
          <w:tcPr>
            <w:tcW w:w="900" w:type="dxa"/>
            <w:vAlign w:val="bottom"/>
          </w:tcPr>
          <w:p>
            <w:pPr>
              <w:jc w:val="right"/>
              <w:ind w:right="129"/>
              <w:spacing w:after="0" w:line="135" w:lineRule="exact"/>
              <w:rPr>
                <w:sz w:val="20"/>
                <w:szCs w:val="20"/>
                <w:color w:val="auto"/>
              </w:rPr>
            </w:pPr>
            <w:r>
              <w:rPr>
                <w:rFonts w:ascii="Arial" w:cs="Arial" w:eastAsia="Arial" w:hAnsi="Arial"/>
                <w:sz w:val="13"/>
                <w:szCs w:val="13"/>
                <w:color w:val="auto"/>
              </w:rPr>
              <w:t>Retained</w:t>
            </w:r>
          </w:p>
        </w:tc>
        <w:tc>
          <w:tcPr>
            <w:tcW w:w="800" w:type="dxa"/>
            <w:vAlign w:val="bottom"/>
          </w:tcPr>
          <w:p>
            <w:pPr>
              <w:spacing w:after="0"/>
              <w:rPr>
                <w:sz w:val="11"/>
                <w:szCs w:val="11"/>
                <w:color w:val="auto"/>
              </w:rPr>
            </w:pPr>
          </w:p>
        </w:tc>
        <w:tc>
          <w:tcPr>
            <w:tcW w:w="1040" w:type="dxa"/>
            <w:vAlign w:val="bottom"/>
          </w:tcPr>
          <w:p>
            <w:pPr>
              <w:jc w:val="right"/>
              <w:ind w:right="109"/>
              <w:spacing w:after="0" w:line="135" w:lineRule="exact"/>
              <w:rPr>
                <w:sz w:val="20"/>
                <w:szCs w:val="20"/>
                <w:color w:val="auto"/>
              </w:rPr>
            </w:pPr>
            <w:r>
              <w:rPr>
                <w:rFonts w:ascii="Arial" w:cs="Arial" w:eastAsia="Arial" w:hAnsi="Arial"/>
                <w:sz w:val="13"/>
                <w:szCs w:val="13"/>
                <w:color w:val="auto"/>
              </w:rPr>
              <w:t>controlling</w:t>
            </w:r>
          </w:p>
        </w:tc>
        <w:tc>
          <w:tcPr>
            <w:tcW w:w="760" w:type="dxa"/>
            <w:vAlign w:val="bottom"/>
          </w:tcPr>
          <w:p>
            <w:pPr>
              <w:jc w:val="right"/>
              <w:ind w:right="29"/>
              <w:spacing w:after="0" w:line="135" w:lineRule="exact"/>
              <w:rPr>
                <w:sz w:val="20"/>
                <w:szCs w:val="20"/>
                <w:color w:val="auto"/>
              </w:rPr>
            </w:pPr>
            <w:r>
              <w:rPr>
                <w:rFonts w:ascii="Arial" w:cs="Arial" w:eastAsia="Arial" w:hAnsi="Arial"/>
                <w:sz w:val="13"/>
                <w:szCs w:val="13"/>
                <w:color w:val="auto"/>
              </w:rPr>
              <w:t>Total</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432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tcPr>
          <w:p>
            <w:pPr>
              <w:jc w:val="right"/>
              <w:ind w:right="129"/>
              <w:spacing w:after="0"/>
              <w:rPr>
                <w:sz w:val="20"/>
                <w:szCs w:val="20"/>
                <w:color w:val="auto"/>
              </w:rPr>
            </w:pPr>
            <w:r>
              <w:rPr>
                <w:rFonts w:ascii="Arial" w:cs="Arial" w:eastAsia="Arial" w:hAnsi="Arial"/>
                <w:sz w:val="13"/>
                <w:szCs w:val="13"/>
                <w:color w:val="auto"/>
              </w:rPr>
              <w:t>(see Note 20)</w:t>
            </w:r>
          </w:p>
        </w:tc>
        <w:tc>
          <w:tcPr>
            <w:tcW w:w="1160" w:type="dxa"/>
            <w:vAlign w:val="bottom"/>
            <w:tcBorders>
              <w:bottom w:val="single" w:sz="8" w:color="auto"/>
            </w:tcBorders>
          </w:tcPr>
          <w:p>
            <w:pPr>
              <w:jc w:val="right"/>
              <w:ind w:right="150"/>
              <w:spacing w:after="0"/>
              <w:rPr>
                <w:sz w:val="20"/>
                <w:szCs w:val="20"/>
                <w:color w:val="auto"/>
              </w:rPr>
            </w:pPr>
            <w:r>
              <w:rPr>
                <w:rFonts w:ascii="Arial" w:cs="Arial" w:eastAsia="Arial" w:hAnsi="Arial"/>
                <w:sz w:val="13"/>
                <w:szCs w:val="13"/>
                <w:color w:val="auto"/>
              </w:rPr>
              <w:t>(see Note 21)</w:t>
            </w:r>
          </w:p>
        </w:tc>
        <w:tc>
          <w:tcPr>
            <w:tcW w:w="1160" w:type="dxa"/>
            <w:vAlign w:val="bottom"/>
            <w:tcBorders>
              <w:bottom w:val="single" w:sz="8" w:color="auto"/>
            </w:tcBorders>
          </w:tcPr>
          <w:p>
            <w:pPr>
              <w:jc w:val="right"/>
              <w:ind w:right="149"/>
              <w:spacing w:after="0"/>
              <w:rPr>
                <w:sz w:val="20"/>
                <w:szCs w:val="20"/>
                <w:color w:val="auto"/>
              </w:rPr>
            </w:pPr>
            <w:r>
              <w:rPr>
                <w:rFonts w:ascii="Arial" w:cs="Arial" w:eastAsia="Arial" w:hAnsi="Arial"/>
                <w:sz w:val="13"/>
                <w:szCs w:val="13"/>
                <w:color w:val="auto"/>
              </w:rPr>
              <w:t>(see Note 22)</w:t>
            </w:r>
          </w:p>
        </w:tc>
        <w:tc>
          <w:tcPr>
            <w:tcW w:w="900" w:type="dxa"/>
            <w:vAlign w:val="bottom"/>
            <w:tcBorders>
              <w:bottom w:val="single" w:sz="8" w:color="auto"/>
            </w:tcBorders>
          </w:tcPr>
          <w:p>
            <w:pPr>
              <w:jc w:val="right"/>
              <w:ind w:right="129"/>
              <w:spacing w:after="0"/>
              <w:rPr>
                <w:sz w:val="20"/>
                <w:szCs w:val="20"/>
                <w:color w:val="auto"/>
              </w:rPr>
            </w:pPr>
            <w:r>
              <w:rPr>
                <w:rFonts w:ascii="Arial" w:cs="Arial" w:eastAsia="Arial" w:hAnsi="Arial"/>
                <w:sz w:val="13"/>
                <w:szCs w:val="13"/>
                <w:color w:val="auto"/>
              </w:rPr>
              <w:t>earnings</w:t>
            </w:r>
          </w:p>
        </w:tc>
        <w:tc>
          <w:tcPr>
            <w:tcW w:w="800" w:type="dxa"/>
            <w:vAlign w:val="bottom"/>
            <w:tcBorders>
              <w:bottom w:val="single" w:sz="8" w:color="auto"/>
            </w:tcBorders>
          </w:tcPr>
          <w:p>
            <w:pPr>
              <w:jc w:val="right"/>
              <w:ind w:right="28"/>
              <w:spacing w:after="0"/>
              <w:rPr>
                <w:sz w:val="20"/>
                <w:szCs w:val="20"/>
                <w:color w:val="auto"/>
              </w:rPr>
            </w:pPr>
            <w:r>
              <w:rPr>
                <w:rFonts w:ascii="Arial" w:cs="Arial" w:eastAsia="Arial" w:hAnsi="Arial"/>
                <w:sz w:val="13"/>
                <w:szCs w:val="13"/>
                <w:color w:val="auto"/>
              </w:rPr>
              <w:t>Total</w:t>
            </w:r>
          </w:p>
        </w:tc>
        <w:tc>
          <w:tcPr>
            <w:tcW w:w="1040" w:type="dxa"/>
            <w:vAlign w:val="bottom"/>
            <w:tcBorders>
              <w:bottom w:val="single" w:sz="8" w:color="auto"/>
            </w:tcBorders>
          </w:tcPr>
          <w:p>
            <w:pPr>
              <w:jc w:val="right"/>
              <w:ind w:right="109"/>
              <w:spacing w:after="0"/>
              <w:rPr>
                <w:sz w:val="20"/>
                <w:szCs w:val="20"/>
                <w:color w:val="auto"/>
              </w:rPr>
            </w:pPr>
            <w:r>
              <w:rPr>
                <w:rFonts w:ascii="Arial" w:cs="Arial" w:eastAsia="Arial" w:hAnsi="Arial"/>
                <w:sz w:val="13"/>
                <w:szCs w:val="13"/>
                <w:color w:val="auto"/>
              </w:rPr>
              <w:t>interest</w:t>
            </w:r>
          </w:p>
        </w:tc>
        <w:tc>
          <w:tcPr>
            <w:tcW w:w="760" w:type="dxa"/>
            <w:vAlign w:val="bottom"/>
            <w:tcBorders>
              <w:bottom w:val="single" w:sz="8" w:color="auto"/>
            </w:tcBorders>
          </w:tcPr>
          <w:p>
            <w:pPr>
              <w:jc w:val="right"/>
              <w:ind w:right="29"/>
              <w:spacing w:after="0"/>
              <w:rPr>
                <w:sz w:val="20"/>
                <w:szCs w:val="20"/>
                <w:color w:val="auto"/>
              </w:rPr>
            </w:pPr>
            <w:r>
              <w:rPr>
                <w:rFonts w:ascii="Arial" w:cs="Arial" w:eastAsia="Arial" w:hAnsi="Arial"/>
                <w:sz w:val="13"/>
                <w:szCs w:val="13"/>
                <w:color w:val="auto"/>
              </w:rPr>
              <w:t>equity</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4320" w:type="dxa"/>
            <w:vAlign w:val="bottom"/>
          </w:tcPr>
          <w:p>
            <w:pPr>
              <w:spacing w:after="0"/>
              <w:rPr>
                <w:sz w:val="20"/>
                <w:szCs w:val="20"/>
                <w:color w:val="auto"/>
              </w:rPr>
            </w:pPr>
            <w:r>
              <w:rPr>
                <w:rFonts w:ascii="Arial" w:cs="Arial" w:eastAsia="Arial" w:hAnsi="Arial"/>
                <w:sz w:val="14"/>
                <w:szCs w:val="14"/>
                <w:b w:val="1"/>
                <w:bCs w:val="1"/>
                <w:color w:val="auto"/>
              </w:rPr>
              <w:t>At January 1, 2014</w:t>
            </w:r>
          </w:p>
        </w:tc>
        <w:tc>
          <w:tcPr>
            <w:tcW w:w="1260" w:type="dxa"/>
            <w:vAlign w:val="bottom"/>
          </w:tcPr>
          <w:p>
            <w:pPr>
              <w:jc w:val="right"/>
              <w:ind w:right="129"/>
              <w:spacing w:after="0"/>
              <w:rPr>
                <w:sz w:val="20"/>
                <w:szCs w:val="20"/>
                <w:color w:val="auto"/>
              </w:rPr>
            </w:pPr>
            <w:r>
              <w:rPr>
                <w:rFonts w:ascii="Arial" w:cs="Arial" w:eastAsia="Arial" w:hAnsi="Arial"/>
                <w:sz w:val="14"/>
                <w:szCs w:val="14"/>
                <w:color w:val="auto"/>
              </w:rPr>
              <w:t>542</w:t>
            </w:r>
          </w:p>
        </w:tc>
        <w:tc>
          <w:tcPr>
            <w:tcW w:w="1160" w:type="dxa"/>
            <w:vAlign w:val="bottom"/>
          </w:tcPr>
          <w:p>
            <w:pPr>
              <w:jc w:val="right"/>
              <w:ind w:right="90"/>
              <w:spacing w:after="0"/>
              <w:rPr>
                <w:sz w:val="20"/>
                <w:szCs w:val="20"/>
                <w:color w:val="auto"/>
              </w:rPr>
            </w:pPr>
            <w:r>
              <w:rPr>
                <w:rFonts w:ascii="Arial" w:cs="Arial" w:eastAsia="Arial" w:hAnsi="Arial"/>
                <w:sz w:val="14"/>
                <w:szCs w:val="14"/>
                <w:color w:val="auto"/>
              </w:rPr>
              <w:t>(1,932)</w:t>
            </w:r>
          </w:p>
        </w:tc>
        <w:tc>
          <w:tcPr>
            <w:tcW w:w="1160" w:type="dxa"/>
            <w:vAlign w:val="bottom"/>
          </w:tcPr>
          <w:p>
            <w:pPr>
              <w:jc w:val="right"/>
              <w:ind w:right="89"/>
              <w:spacing w:after="0"/>
              <w:rPr>
                <w:sz w:val="20"/>
                <w:szCs w:val="20"/>
                <w:color w:val="auto"/>
              </w:rPr>
            </w:pPr>
            <w:r>
              <w:rPr>
                <w:rFonts w:ascii="Arial" w:cs="Arial" w:eastAsia="Arial" w:hAnsi="Arial"/>
                <w:sz w:val="14"/>
                <w:szCs w:val="14"/>
                <w:color w:val="auto"/>
              </w:rPr>
              <w:t>(2,037)</w:t>
            </w:r>
          </w:p>
        </w:tc>
        <w:tc>
          <w:tcPr>
            <w:tcW w:w="900" w:type="dxa"/>
            <w:vAlign w:val="bottom"/>
          </w:tcPr>
          <w:p>
            <w:pPr>
              <w:jc w:val="right"/>
              <w:ind w:right="129"/>
              <w:spacing w:after="0"/>
              <w:rPr>
                <w:sz w:val="20"/>
                <w:szCs w:val="20"/>
                <w:color w:val="auto"/>
              </w:rPr>
            </w:pPr>
            <w:r>
              <w:rPr>
                <w:rFonts w:ascii="Arial" w:cs="Arial" w:eastAsia="Arial" w:hAnsi="Arial"/>
                <w:sz w:val="14"/>
                <w:szCs w:val="14"/>
                <w:color w:val="auto"/>
              </w:rPr>
              <w:t>183,474</w:t>
            </w: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180,047</w:t>
            </w:r>
          </w:p>
        </w:tc>
        <w:tc>
          <w:tcPr>
            <w:tcW w:w="1040" w:type="dxa"/>
            <w:vAlign w:val="bottom"/>
          </w:tcPr>
          <w:p>
            <w:pPr>
              <w:jc w:val="right"/>
              <w:ind w:right="109"/>
              <w:spacing w:after="0"/>
              <w:rPr>
                <w:sz w:val="20"/>
                <w:szCs w:val="20"/>
                <w:color w:val="auto"/>
              </w:rPr>
            </w:pPr>
            <w:r>
              <w:rPr>
                <w:rFonts w:ascii="Arial" w:cs="Arial" w:eastAsia="Arial" w:hAnsi="Arial"/>
                <w:sz w:val="14"/>
                <w:szCs w:val="14"/>
                <w:color w:val="auto"/>
              </w:rPr>
              <w:t>1,101</w:t>
            </w:r>
          </w:p>
        </w:tc>
        <w:tc>
          <w:tcPr>
            <w:tcW w:w="760" w:type="dxa"/>
            <w:vAlign w:val="bottom"/>
          </w:tcPr>
          <w:p>
            <w:pPr>
              <w:jc w:val="right"/>
              <w:ind w:right="29"/>
              <w:spacing w:after="0"/>
              <w:rPr>
                <w:sz w:val="20"/>
                <w:szCs w:val="20"/>
                <w:color w:val="auto"/>
              </w:rPr>
            </w:pPr>
            <w:r>
              <w:rPr>
                <w:rFonts w:ascii="Arial" w:cs="Arial" w:eastAsia="Arial" w:hAnsi="Arial"/>
                <w:sz w:val="14"/>
                <w:szCs w:val="14"/>
                <w:color w:val="auto"/>
              </w:rPr>
              <w:t>181,148</w:t>
            </w:r>
          </w:p>
        </w:tc>
        <w:tc>
          <w:tcPr>
            <w:tcW w:w="0" w:type="dxa"/>
            <w:vAlign w:val="bottom"/>
          </w:tcPr>
          <w:p>
            <w:pPr>
              <w:spacing w:after="0"/>
              <w:rPr>
                <w:sz w:val="1"/>
                <w:szCs w:val="1"/>
                <w:color w:val="auto"/>
              </w:rPr>
            </w:pPr>
          </w:p>
        </w:tc>
      </w:tr>
      <w:tr>
        <w:trPr>
          <w:trHeight w:val="162"/>
        </w:trPr>
        <w:tc>
          <w:tcPr>
            <w:tcW w:w="4340" w:type="dxa"/>
            <w:vAlign w:val="bottom"/>
            <w:gridSpan w:val="2"/>
          </w:tcPr>
          <w:p>
            <w:pPr>
              <w:spacing w:after="0"/>
              <w:rPr>
                <w:sz w:val="20"/>
                <w:szCs w:val="20"/>
                <w:color w:val="auto"/>
              </w:rPr>
            </w:pPr>
            <w:r>
              <w:rPr>
                <w:rFonts w:ascii="Arial" w:cs="Arial" w:eastAsia="Arial" w:hAnsi="Arial"/>
                <w:sz w:val="14"/>
                <w:szCs w:val="14"/>
                <w:color w:val="auto"/>
              </w:rPr>
              <w:t>Comprehensive income for the period</w:t>
            </w:r>
          </w:p>
        </w:tc>
        <w:tc>
          <w:tcPr>
            <w:tcW w:w="1260" w:type="dxa"/>
            <w:vAlign w:val="bottom"/>
          </w:tcPr>
          <w:p>
            <w:pPr>
              <w:jc w:val="right"/>
              <w:ind w:right="129"/>
              <w:spacing w:after="0"/>
              <w:rPr>
                <w:sz w:val="20"/>
                <w:szCs w:val="20"/>
                <w:color w:val="auto"/>
              </w:rPr>
            </w:pPr>
            <w:r>
              <w:rPr>
                <w:rFonts w:ascii="Arial" w:cs="Arial" w:eastAsia="Arial" w:hAnsi="Arial"/>
                <w:sz w:val="14"/>
                <w:szCs w:val="14"/>
                <w:color w:val="auto"/>
              </w:rPr>
              <w:t>–</w:t>
            </w:r>
          </w:p>
        </w:tc>
        <w:tc>
          <w:tcPr>
            <w:tcW w:w="1160" w:type="dxa"/>
            <w:vAlign w:val="bottom"/>
          </w:tcPr>
          <w:p>
            <w:pPr>
              <w:jc w:val="right"/>
              <w:ind w:right="150"/>
              <w:spacing w:after="0"/>
              <w:rPr>
                <w:sz w:val="20"/>
                <w:szCs w:val="20"/>
                <w:color w:val="auto"/>
              </w:rPr>
            </w:pPr>
            <w:r>
              <w:rPr>
                <w:rFonts w:ascii="Arial" w:cs="Arial" w:eastAsia="Arial" w:hAnsi="Arial"/>
                <w:sz w:val="14"/>
                <w:szCs w:val="14"/>
                <w:color w:val="auto"/>
              </w:rPr>
              <w:t>–</w:t>
            </w:r>
          </w:p>
        </w:tc>
        <w:tc>
          <w:tcPr>
            <w:tcW w:w="1160" w:type="dxa"/>
            <w:vAlign w:val="bottom"/>
          </w:tcPr>
          <w:p>
            <w:pPr>
              <w:jc w:val="right"/>
              <w:ind w:right="89"/>
              <w:spacing w:after="0"/>
              <w:rPr>
                <w:sz w:val="20"/>
                <w:szCs w:val="20"/>
                <w:color w:val="auto"/>
              </w:rPr>
            </w:pPr>
            <w:r>
              <w:rPr>
                <w:rFonts w:ascii="Arial" w:cs="Arial" w:eastAsia="Arial" w:hAnsi="Arial"/>
                <w:sz w:val="14"/>
                <w:szCs w:val="14"/>
                <w:color w:val="auto"/>
              </w:rPr>
              <w:t>(12,182)</w:t>
            </w:r>
          </w:p>
        </w:tc>
        <w:tc>
          <w:tcPr>
            <w:tcW w:w="900" w:type="dxa"/>
            <w:vAlign w:val="bottom"/>
          </w:tcPr>
          <w:p>
            <w:pPr>
              <w:jc w:val="right"/>
              <w:ind w:right="129"/>
              <w:spacing w:after="0"/>
              <w:rPr>
                <w:sz w:val="20"/>
                <w:szCs w:val="20"/>
                <w:color w:val="auto"/>
              </w:rPr>
            </w:pPr>
            <w:r>
              <w:rPr>
                <w:rFonts w:ascii="Arial" w:cs="Arial" w:eastAsia="Arial" w:hAnsi="Arial"/>
                <w:sz w:val="14"/>
                <w:szCs w:val="14"/>
                <w:color w:val="auto"/>
              </w:rPr>
              <w:t>14,874</w:t>
            </w: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2,692</w:t>
            </w:r>
          </w:p>
        </w:tc>
        <w:tc>
          <w:tcPr>
            <w:tcW w:w="1040" w:type="dxa"/>
            <w:vAlign w:val="bottom"/>
          </w:tcPr>
          <w:p>
            <w:pPr>
              <w:jc w:val="right"/>
              <w:ind w:right="49"/>
              <w:spacing w:after="0"/>
              <w:rPr>
                <w:sz w:val="20"/>
                <w:szCs w:val="20"/>
                <w:color w:val="auto"/>
              </w:rPr>
            </w:pPr>
            <w:r>
              <w:rPr>
                <w:rFonts w:ascii="Arial" w:cs="Arial" w:eastAsia="Arial" w:hAnsi="Arial"/>
                <w:sz w:val="14"/>
                <w:szCs w:val="14"/>
                <w:color w:val="auto"/>
              </w:rPr>
              <w:t>(190)</w:t>
            </w:r>
          </w:p>
        </w:tc>
        <w:tc>
          <w:tcPr>
            <w:tcW w:w="760" w:type="dxa"/>
            <w:vAlign w:val="bottom"/>
          </w:tcPr>
          <w:p>
            <w:pPr>
              <w:jc w:val="right"/>
              <w:ind w:right="29"/>
              <w:spacing w:after="0"/>
              <w:rPr>
                <w:sz w:val="20"/>
                <w:szCs w:val="20"/>
                <w:color w:val="auto"/>
              </w:rPr>
            </w:pPr>
            <w:r>
              <w:rPr>
                <w:rFonts w:ascii="Arial" w:cs="Arial" w:eastAsia="Arial" w:hAnsi="Arial"/>
                <w:sz w:val="14"/>
                <w:szCs w:val="14"/>
                <w:color w:val="auto"/>
              </w:rPr>
              <w:t>2,502</w:t>
            </w:r>
          </w:p>
        </w:tc>
        <w:tc>
          <w:tcPr>
            <w:tcW w:w="0" w:type="dxa"/>
            <w:vAlign w:val="bottom"/>
          </w:tcPr>
          <w:p>
            <w:pPr>
              <w:spacing w:after="0"/>
              <w:rPr>
                <w:sz w:val="1"/>
                <w:szCs w:val="1"/>
                <w:color w:val="auto"/>
              </w:rPr>
            </w:pPr>
          </w:p>
        </w:tc>
      </w:tr>
      <w:tr>
        <w:trPr>
          <w:trHeight w:val="162"/>
        </w:trPr>
        <w:tc>
          <w:tcPr>
            <w:tcW w:w="4340" w:type="dxa"/>
            <w:vAlign w:val="bottom"/>
            <w:gridSpan w:val="2"/>
          </w:tcPr>
          <w:p>
            <w:pPr>
              <w:spacing w:after="0"/>
              <w:rPr>
                <w:sz w:val="20"/>
                <w:szCs w:val="20"/>
                <w:color w:val="auto"/>
              </w:rPr>
            </w:pPr>
            <w:r>
              <w:rPr>
                <w:rFonts w:ascii="Arial" w:cs="Arial" w:eastAsia="Arial" w:hAnsi="Arial"/>
                <w:sz w:val="14"/>
                <w:szCs w:val="14"/>
                <w:color w:val="auto"/>
              </w:rPr>
              <w:t>Capital contributions from, and other changes in, non-controlling</w:t>
            </w:r>
          </w:p>
        </w:tc>
        <w:tc>
          <w:tcPr>
            <w:tcW w:w="12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320" w:type="dxa"/>
            <w:vAlign w:val="bottom"/>
          </w:tcPr>
          <w:p>
            <w:pPr>
              <w:ind w:left="140"/>
              <w:spacing w:after="0"/>
              <w:rPr>
                <w:sz w:val="20"/>
                <w:szCs w:val="20"/>
                <w:color w:val="auto"/>
              </w:rPr>
            </w:pPr>
            <w:r>
              <w:rPr>
                <w:rFonts w:ascii="Arial" w:cs="Arial" w:eastAsia="Arial" w:hAnsi="Arial"/>
                <w:sz w:val="14"/>
                <w:szCs w:val="14"/>
                <w:color w:val="auto"/>
              </w:rPr>
              <w:t>interest [A]</w:t>
            </w:r>
          </w:p>
        </w:tc>
        <w:tc>
          <w:tcPr>
            <w:tcW w:w="1260" w:type="dxa"/>
            <w:vAlign w:val="bottom"/>
          </w:tcPr>
          <w:p>
            <w:pPr>
              <w:jc w:val="right"/>
              <w:ind w:right="129"/>
              <w:spacing w:after="0"/>
              <w:rPr>
                <w:sz w:val="20"/>
                <w:szCs w:val="20"/>
                <w:color w:val="auto"/>
              </w:rPr>
            </w:pPr>
            <w:r>
              <w:rPr>
                <w:rFonts w:ascii="Arial" w:cs="Arial" w:eastAsia="Arial" w:hAnsi="Arial"/>
                <w:sz w:val="14"/>
                <w:szCs w:val="14"/>
                <w:color w:val="auto"/>
              </w:rPr>
              <w:t>–</w:t>
            </w:r>
          </w:p>
        </w:tc>
        <w:tc>
          <w:tcPr>
            <w:tcW w:w="1160" w:type="dxa"/>
            <w:vAlign w:val="bottom"/>
          </w:tcPr>
          <w:p>
            <w:pPr>
              <w:jc w:val="right"/>
              <w:ind w:right="150"/>
              <w:spacing w:after="0"/>
              <w:rPr>
                <w:sz w:val="20"/>
                <w:szCs w:val="20"/>
                <w:color w:val="auto"/>
              </w:rPr>
            </w:pPr>
            <w:r>
              <w:rPr>
                <w:rFonts w:ascii="Arial" w:cs="Arial" w:eastAsia="Arial" w:hAnsi="Arial"/>
                <w:sz w:val="14"/>
                <w:szCs w:val="14"/>
                <w:color w:val="auto"/>
              </w:rPr>
              <w:t>–</w:t>
            </w:r>
          </w:p>
        </w:tc>
        <w:tc>
          <w:tcPr>
            <w:tcW w:w="1160" w:type="dxa"/>
            <w:vAlign w:val="bottom"/>
          </w:tcPr>
          <w:p>
            <w:pPr>
              <w:jc w:val="right"/>
              <w:ind w:right="149"/>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129"/>
              <w:spacing w:after="0"/>
              <w:rPr>
                <w:sz w:val="20"/>
                <w:szCs w:val="20"/>
                <w:color w:val="auto"/>
              </w:rPr>
            </w:pPr>
            <w:r>
              <w:rPr>
                <w:rFonts w:ascii="Arial" w:cs="Arial" w:eastAsia="Arial" w:hAnsi="Arial"/>
                <w:sz w:val="14"/>
                <w:szCs w:val="14"/>
                <w:color w:val="auto"/>
              </w:rPr>
              <w:t>727</w:t>
            </w: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727</w:t>
            </w:r>
          </w:p>
        </w:tc>
        <w:tc>
          <w:tcPr>
            <w:tcW w:w="1040" w:type="dxa"/>
            <w:vAlign w:val="bottom"/>
          </w:tcPr>
          <w:p>
            <w:pPr>
              <w:jc w:val="right"/>
              <w:ind w:right="109"/>
              <w:spacing w:after="0"/>
              <w:rPr>
                <w:sz w:val="20"/>
                <w:szCs w:val="20"/>
                <w:color w:val="auto"/>
              </w:rPr>
            </w:pPr>
            <w:r>
              <w:rPr>
                <w:rFonts w:ascii="Arial" w:cs="Arial" w:eastAsia="Arial" w:hAnsi="Arial"/>
                <w:sz w:val="14"/>
                <w:szCs w:val="14"/>
                <w:color w:val="auto"/>
              </w:rPr>
              <w:t>25</w:t>
            </w:r>
          </w:p>
        </w:tc>
        <w:tc>
          <w:tcPr>
            <w:tcW w:w="760" w:type="dxa"/>
            <w:vAlign w:val="bottom"/>
          </w:tcPr>
          <w:p>
            <w:pPr>
              <w:jc w:val="right"/>
              <w:ind w:right="29"/>
              <w:spacing w:after="0"/>
              <w:rPr>
                <w:sz w:val="20"/>
                <w:szCs w:val="20"/>
                <w:color w:val="auto"/>
              </w:rPr>
            </w:pPr>
            <w:r>
              <w:rPr>
                <w:rFonts w:ascii="Arial" w:cs="Arial" w:eastAsia="Arial" w:hAnsi="Arial"/>
                <w:sz w:val="14"/>
                <w:szCs w:val="14"/>
                <w:color w:val="auto"/>
              </w:rPr>
              <w:t>752</w:t>
            </w:r>
          </w:p>
        </w:tc>
        <w:tc>
          <w:tcPr>
            <w:tcW w:w="0" w:type="dxa"/>
            <w:vAlign w:val="bottom"/>
          </w:tcPr>
          <w:p>
            <w:pPr>
              <w:spacing w:after="0"/>
              <w:rPr>
                <w:sz w:val="1"/>
                <w:szCs w:val="1"/>
                <w:color w:val="auto"/>
              </w:rPr>
            </w:pPr>
          </w:p>
        </w:tc>
      </w:tr>
      <w:tr>
        <w:trPr>
          <w:trHeight w:val="162"/>
        </w:trPr>
        <w:tc>
          <w:tcPr>
            <w:tcW w:w="4340" w:type="dxa"/>
            <w:vAlign w:val="bottom"/>
            <w:gridSpan w:val="2"/>
          </w:tcPr>
          <w:p>
            <w:pPr>
              <w:spacing w:after="0"/>
              <w:rPr>
                <w:sz w:val="20"/>
                <w:szCs w:val="20"/>
                <w:color w:val="auto"/>
              </w:rPr>
            </w:pPr>
            <w:r>
              <w:rPr>
                <w:rFonts w:ascii="Arial" w:cs="Arial" w:eastAsia="Arial" w:hAnsi="Arial"/>
                <w:sz w:val="14"/>
                <w:szCs w:val="14"/>
                <w:color w:val="auto"/>
              </w:rPr>
              <w:t>Dividends paid (see Note 23)</w:t>
            </w:r>
          </w:p>
        </w:tc>
        <w:tc>
          <w:tcPr>
            <w:tcW w:w="1260" w:type="dxa"/>
            <w:vAlign w:val="bottom"/>
          </w:tcPr>
          <w:p>
            <w:pPr>
              <w:jc w:val="right"/>
              <w:ind w:right="129"/>
              <w:spacing w:after="0"/>
              <w:rPr>
                <w:sz w:val="20"/>
                <w:szCs w:val="20"/>
                <w:color w:val="auto"/>
              </w:rPr>
            </w:pPr>
            <w:r>
              <w:rPr>
                <w:rFonts w:ascii="Arial" w:cs="Arial" w:eastAsia="Arial" w:hAnsi="Arial"/>
                <w:sz w:val="14"/>
                <w:szCs w:val="14"/>
                <w:color w:val="auto"/>
              </w:rPr>
              <w:t>–</w:t>
            </w:r>
          </w:p>
        </w:tc>
        <w:tc>
          <w:tcPr>
            <w:tcW w:w="1160" w:type="dxa"/>
            <w:vAlign w:val="bottom"/>
          </w:tcPr>
          <w:p>
            <w:pPr>
              <w:jc w:val="right"/>
              <w:ind w:right="150"/>
              <w:spacing w:after="0"/>
              <w:rPr>
                <w:sz w:val="20"/>
                <w:szCs w:val="20"/>
                <w:color w:val="auto"/>
              </w:rPr>
            </w:pPr>
            <w:r>
              <w:rPr>
                <w:rFonts w:ascii="Arial" w:cs="Arial" w:eastAsia="Arial" w:hAnsi="Arial"/>
                <w:sz w:val="14"/>
                <w:szCs w:val="14"/>
                <w:color w:val="auto"/>
              </w:rPr>
              <w:t>–</w:t>
            </w:r>
          </w:p>
        </w:tc>
        <w:tc>
          <w:tcPr>
            <w:tcW w:w="1160" w:type="dxa"/>
            <w:vAlign w:val="bottom"/>
          </w:tcPr>
          <w:p>
            <w:pPr>
              <w:jc w:val="right"/>
              <w:ind w:right="149"/>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89"/>
              <w:spacing w:after="0"/>
              <w:rPr>
                <w:sz w:val="20"/>
                <w:szCs w:val="20"/>
                <w:color w:val="auto"/>
              </w:rPr>
            </w:pPr>
            <w:r>
              <w:rPr>
                <w:rFonts w:ascii="Arial" w:cs="Arial" w:eastAsia="Arial" w:hAnsi="Arial"/>
                <w:sz w:val="14"/>
                <w:szCs w:val="14"/>
                <w:color w:val="auto"/>
              </w:rPr>
              <w:t>(11,843)</w:t>
            </w:r>
          </w:p>
        </w:tc>
        <w:tc>
          <w:tcPr>
            <w:tcW w:w="800" w:type="dxa"/>
            <w:vAlign w:val="bottom"/>
          </w:tcPr>
          <w:p>
            <w:pPr>
              <w:jc w:val="right"/>
              <w:spacing w:after="0"/>
              <w:rPr>
                <w:sz w:val="20"/>
                <w:szCs w:val="20"/>
                <w:color w:val="auto"/>
              </w:rPr>
            </w:pPr>
            <w:r>
              <w:rPr>
                <w:rFonts w:ascii="Arial" w:cs="Arial" w:eastAsia="Arial" w:hAnsi="Arial"/>
                <w:sz w:val="14"/>
                <w:szCs w:val="14"/>
                <w:color w:val="auto"/>
              </w:rPr>
              <w:t>(11,843)</w:t>
            </w:r>
          </w:p>
        </w:tc>
        <w:tc>
          <w:tcPr>
            <w:tcW w:w="1040" w:type="dxa"/>
            <w:vAlign w:val="bottom"/>
          </w:tcPr>
          <w:p>
            <w:pPr>
              <w:jc w:val="right"/>
              <w:ind w:right="49"/>
              <w:spacing w:after="0"/>
              <w:rPr>
                <w:sz w:val="20"/>
                <w:szCs w:val="20"/>
                <w:color w:val="auto"/>
              </w:rPr>
            </w:pPr>
            <w:r>
              <w:rPr>
                <w:rFonts w:ascii="Arial" w:cs="Arial" w:eastAsia="Arial" w:hAnsi="Arial"/>
                <w:sz w:val="14"/>
                <w:szCs w:val="14"/>
                <w:color w:val="auto"/>
              </w:rPr>
              <w:t>(116)</w:t>
            </w:r>
          </w:p>
        </w:tc>
        <w:tc>
          <w:tcPr>
            <w:tcW w:w="760" w:type="dxa"/>
            <w:vAlign w:val="bottom"/>
          </w:tcPr>
          <w:p>
            <w:pPr>
              <w:jc w:val="right"/>
              <w:spacing w:after="0"/>
              <w:rPr>
                <w:sz w:val="20"/>
                <w:szCs w:val="20"/>
                <w:color w:val="auto"/>
              </w:rPr>
            </w:pPr>
            <w:r>
              <w:rPr>
                <w:rFonts w:ascii="Arial" w:cs="Arial" w:eastAsia="Arial" w:hAnsi="Arial"/>
                <w:sz w:val="14"/>
                <w:szCs w:val="14"/>
                <w:color w:val="auto"/>
              </w:rPr>
              <w:t>(11,959)</w:t>
            </w:r>
          </w:p>
        </w:tc>
        <w:tc>
          <w:tcPr>
            <w:tcW w:w="0" w:type="dxa"/>
            <w:vAlign w:val="bottom"/>
          </w:tcPr>
          <w:p>
            <w:pPr>
              <w:spacing w:after="0"/>
              <w:rPr>
                <w:sz w:val="1"/>
                <w:szCs w:val="1"/>
                <w:color w:val="auto"/>
              </w:rPr>
            </w:pPr>
          </w:p>
        </w:tc>
      </w:tr>
      <w:tr>
        <w:trPr>
          <w:trHeight w:val="162"/>
        </w:trPr>
        <w:tc>
          <w:tcPr>
            <w:tcW w:w="4340" w:type="dxa"/>
            <w:vAlign w:val="bottom"/>
            <w:gridSpan w:val="2"/>
          </w:tcPr>
          <w:p>
            <w:pPr>
              <w:spacing w:after="0"/>
              <w:rPr>
                <w:sz w:val="20"/>
                <w:szCs w:val="20"/>
                <w:color w:val="auto"/>
              </w:rPr>
            </w:pPr>
            <w:r>
              <w:rPr>
                <w:rFonts w:ascii="Arial" w:cs="Arial" w:eastAsia="Arial" w:hAnsi="Arial"/>
                <w:sz w:val="14"/>
                <w:szCs w:val="14"/>
                <w:color w:val="auto"/>
              </w:rPr>
              <w:t>Scrip dividends (see Note 23)</w:t>
            </w:r>
          </w:p>
        </w:tc>
        <w:tc>
          <w:tcPr>
            <w:tcW w:w="1260" w:type="dxa"/>
            <w:vAlign w:val="bottom"/>
          </w:tcPr>
          <w:p>
            <w:pPr>
              <w:jc w:val="right"/>
              <w:ind w:right="129"/>
              <w:spacing w:after="0"/>
              <w:rPr>
                <w:sz w:val="20"/>
                <w:szCs w:val="20"/>
                <w:color w:val="auto"/>
              </w:rPr>
            </w:pPr>
            <w:r>
              <w:rPr>
                <w:rFonts w:ascii="Arial" w:cs="Arial" w:eastAsia="Arial" w:hAnsi="Arial"/>
                <w:sz w:val="14"/>
                <w:szCs w:val="14"/>
                <w:color w:val="auto"/>
              </w:rPr>
              <w:t>6</w:t>
            </w:r>
          </w:p>
        </w:tc>
        <w:tc>
          <w:tcPr>
            <w:tcW w:w="1160" w:type="dxa"/>
            <w:vAlign w:val="bottom"/>
          </w:tcPr>
          <w:p>
            <w:pPr>
              <w:jc w:val="right"/>
              <w:ind w:right="150"/>
              <w:spacing w:after="0"/>
              <w:rPr>
                <w:sz w:val="20"/>
                <w:szCs w:val="20"/>
                <w:color w:val="auto"/>
              </w:rPr>
            </w:pPr>
            <w:r>
              <w:rPr>
                <w:rFonts w:ascii="Arial" w:cs="Arial" w:eastAsia="Arial" w:hAnsi="Arial"/>
                <w:sz w:val="14"/>
                <w:szCs w:val="14"/>
                <w:color w:val="auto"/>
              </w:rPr>
              <w:t>–</w:t>
            </w:r>
          </w:p>
        </w:tc>
        <w:tc>
          <w:tcPr>
            <w:tcW w:w="1160" w:type="dxa"/>
            <w:vAlign w:val="bottom"/>
          </w:tcPr>
          <w:p>
            <w:pPr>
              <w:jc w:val="right"/>
              <w:ind w:right="89"/>
              <w:spacing w:after="0"/>
              <w:rPr>
                <w:sz w:val="20"/>
                <w:szCs w:val="20"/>
                <w:color w:val="auto"/>
              </w:rPr>
            </w:pPr>
            <w:r>
              <w:rPr>
                <w:rFonts w:ascii="Arial" w:cs="Arial" w:eastAsia="Arial" w:hAnsi="Arial"/>
                <w:sz w:val="14"/>
                <w:szCs w:val="14"/>
                <w:color w:val="auto"/>
              </w:rPr>
              <w:t>(6)</w:t>
            </w:r>
          </w:p>
        </w:tc>
        <w:tc>
          <w:tcPr>
            <w:tcW w:w="900" w:type="dxa"/>
            <w:vAlign w:val="bottom"/>
          </w:tcPr>
          <w:p>
            <w:pPr>
              <w:jc w:val="right"/>
              <w:ind w:right="129"/>
              <w:spacing w:after="0"/>
              <w:rPr>
                <w:sz w:val="20"/>
                <w:szCs w:val="20"/>
                <w:color w:val="auto"/>
              </w:rPr>
            </w:pPr>
            <w:r>
              <w:rPr>
                <w:rFonts w:ascii="Arial" w:cs="Arial" w:eastAsia="Arial" w:hAnsi="Arial"/>
                <w:sz w:val="14"/>
                <w:szCs w:val="14"/>
                <w:color w:val="auto"/>
              </w:rPr>
              <w:t>2,399</w:t>
            </w: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2,399</w:t>
            </w:r>
          </w:p>
        </w:tc>
        <w:tc>
          <w:tcPr>
            <w:tcW w:w="1040" w:type="dxa"/>
            <w:vAlign w:val="bottom"/>
          </w:tcPr>
          <w:p>
            <w:pPr>
              <w:jc w:val="right"/>
              <w:ind w:right="109"/>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29"/>
              <w:spacing w:after="0"/>
              <w:rPr>
                <w:sz w:val="20"/>
                <w:szCs w:val="20"/>
                <w:color w:val="auto"/>
              </w:rPr>
            </w:pPr>
            <w:r>
              <w:rPr>
                <w:rFonts w:ascii="Arial" w:cs="Arial" w:eastAsia="Arial" w:hAnsi="Arial"/>
                <w:sz w:val="14"/>
                <w:szCs w:val="14"/>
                <w:color w:val="auto"/>
              </w:rPr>
              <w:t>2,399</w:t>
            </w:r>
          </w:p>
        </w:tc>
        <w:tc>
          <w:tcPr>
            <w:tcW w:w="0" w:type="dxa"/>
            <w:vAlign w:val="bottom"/>
          </w:tcPr>
          <w:p>
            <w:pPr>
              <w:spacing w:after="0"/>
              <w:rPr>
                <w:sz w:val="1"/>
                <w:szCs w:val="1"/>
                <w:color w:val="auto"/>
              </w:rPr>
            </w:pPr>
          </w:p>
        </w:tc>
      </w:tr>
      <w:tr>
        <w:trPr>
          <w:trHeight w:val="162"/>
        </w:trPr>
        <w:tc>
          <w:tcPr>
            <w:tcW w:w="4340" w:type="dxa"/>
            <w:vAlign w:val="bottom"/>
            <w:gridSpan w:val="2"/>
          </w:tcPr>
          <w:p>
            <w:pPr>
              <w:spacing w:after="0"/>
              <w:rPr>
                <w:sz w:val="20"/>
                <w:szCs w:val="20"/>
                <w:color w:val="auto"/>
              </w:rPr>
            </w:pPr>
            <w:r>
              <w:rPr>
                <w:rFonts w:ascii="Arial" w:cs="Arial" w:eastAsia="Arial" w:hAnsi="Arial"/>
                <w:sz w:val="14"/>
                <w:szCs w:val="14"/>
                <w:color w:val="auto"/>
              </w:rPr>
              <w:t>Repurchases of shares</w:t>
            </w:r>
          </w:p>
        </w:tc>
        <w:tc>
          <w:tcPr>
            <w:tcW w:w="1260" w:type="dxa"/>
            <w:vAlign w:val="bottom"/>
          </w:tcPr>
          <w:p>
            <w:pPr>
              <w:jc w:val="right"/>
              <w:ind w:right="89"/>
              <w:spacing w:after="0"/>
              <w:rPr>
                <w:sz w:val="20"/>
                <w:szCs w:val="20"/>
                <w:color w:val="auto"/>
              </w:rPr>
            </w:pPr>
            <w:r>
              <w:rPr>
                <w:rFonts w:ascii="Arial" w:cs="Arial" w:eastAsia="Arial" w:hAnsi="Arial"/>
                <w:sz w:val="14"/>
                <w:szCs w:val="14"/>
                <w:color w:val="auto"/>
              </w:rPr>
              <w:t>(8)</w:t>
            </w:r>
          </w:p>
        </w:tc>
        <w:tc>
          <w:tcPr>
            <w:tcW w:w="1160" w:type="dxa"/>
            <w:vAlign w:val="bottom"/>
          </w:tcPr>
          <w:p>
            <w:pPr>
              <w:jc w:val="right"/>
              <w:ind w:right="150"/>
              <w:spacing w:after="0"/>
              <w:rPr>
                <w:sz w:val="20"/>
                <w:szCs w:val="20"/>
                <w:color w:val="auto"/>
              </w:rPr>
            </w:pPr>
            <w:r>
              <w:rPr>
                <w:rFonts w:ascii="Arial" w:cs="Arial" w:eastAsia="Arial" w:hAnsi="Arial"/>
                <w:sz w:val="14"/>
                <w:szCs w:val="14"/>
                <w:color w:val="auto"/>
              </w:rPr>
              <w:t>–</w:t>
            </w:r>
          </w:p>
        </w:tc>
        <w:tc>
          <w:tcPr>
            <w:tcW w:w="1160" w:type="dxa"/>
            <w:vAlign w:val="bottom"/>
          </w:tcPr>
          <w:p>
            <w:pPr>
              <w:jc w:val="right"/>
              <w:ind w:right="149"/>
              <w:spacing w:after="0"/>
              <w:rPr>
                <w:sz w:val="20"/>
                <w:szCs w:val="20"/>
                <w:color w:val="auto"/>
              </w:rPr>
            </w:pPr>
            <w:r>
              <w:rPr>
                <w:rFonts w:ascii="Arial" w:cs="Arial" w:eastAsia="Arial" w:hAnsi="Arial"/>
                <w:sz w:val="14"/>
                <w:szCs w:val="14"/>
                <w:color w:val="auto"/>
              </w:rPr>
              <w:t>8</w:t>
            </w:r>
          </w:p>
        </w:tc>
        <w:tc>
          <w:tcPr>
            <w:tcW w:w="900" w:type="dxa"/>
            <w:vAlign w:val="bottom"/>
          </w:tcPr>
          <w:p>
            <w:pPr>
              <w:jc w:val="right"/>
              <w:ind w:right="89"/>
              <w:spacing w:after="0"/>
              <w:rPr>
                <w:sz w:val="20"/>
                <w:szCs w:val="20"/>
                <w:color w:val="auto"/>
              </w:rPr>
            </w:pPr>
            <w:r>
              <w:rPr>
                <w:rFonts w:ascii="Arial" w:cs="Arial" w:eastAsia="Arial" w:hAnsi="Arial"/>
                <w:sz w:val="14"/>
                <w:szCs w:val="14"/>
                <w:color w:val="auto"/>
              </w:rPr>
              <w:t>(2,787)</w:t>
            </w:r>
          </w:p>
        </w:tc>
        <w:tc>
          <w:tcPr>
            <w:tcW w:w="800" w:type="dxa"/>
            <w:vAlign w:val="bottom"/>
          </w:tcPr>
          <w:p>
            <w:pPr>
              <w:jc w:val="right"/>
              <w:spacing w:after="0"/>
              <w:rPr>
                <w:sz w:val="20"/>
                <w:szCs w:val="20"/>
                <w:color w:val="auto"/>
              </w:rPr>
            </w:pPr>
            <w:r>
              <w:rPr>
                <w:rFonts w:ascii="Arial" w:cs="Arial" w:eastAsia="Arial" w:hAnsi="Arial"/>
                <w:sz w:val="14"/>
                <w:szCs w:val="14"/>
                <w:color w:val="auto"/>
              </w:rPr>
              <w:t>(2,787)</w:t>
            </w:r>
          </w:p>
        </w:tc>
        <w:tc>
          <w:tcPr>
            <w:tcW w:w="1040" w:type="dxa"/>
            <w:vAlign w:val="bottom"/>
          </w:tcPr>
          <w:p>
            <w:pPr>
              <w:jc w:val="right"/>
              <w:ind w:right="109"/>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(2,787)</w:t>
            </w:r>
          </w:p>
        </w:tc>
        <w:tc>
          <w:tcPr>
            <w:tcW w:w="0" w:type="dxa"/>
            <w:vAlign w:val="bottom"/>
          </w:tcPr>
          <w:p>
            <w:pPr>
              <w:spacing w:after="0"/>
              <w:rPr>
                <w:sz w:val="1"/>
                <w:szCs w:val="1"/>
                <w:color w:val="auto"/>
              </w:rPr>
            </w:pPr>
          </w:p>
        </w:tc>
      </w:tr>
      <w:tr>
        <w:trPr>
          <w:trHeight w:val="162"/>
        </w:trPr>
        <w:tc>
          <w:tcPr>
            <w:tcW w:w="4340" w:type="dxa"/>
            <w:vAlign w:val="bottom"/>
            <w:gridSpan w:val="2"/>
          </w:tcPr>
          <w:p>
            <w:pPr>
              <w:spacing w:after="0"/>
              <w:rPr>
                <w:sz w:val="20"/>
                <w:szCs w:val="20"/>
                <w:color w:val="auto"/>
              </w:rPr>
            </w:pPr>
            <w:r>
              <w:rPr>
                <w:rFonts w:ascii="Arial" w:cs="Arial" w:eastAsia="Arial" w:hAnsi="Arial"/>
                <w:sz w:val="14"/>
                <w:szCs w:val="14"/>
                <w:color w:val="auto"/>
              </w:rPr>
              <w:t>Shares held in trust: net sales and dividends received</w:t>
            </w:r>
          </w:p>
        </w:tc>
        <w:tc>
          <w:tcPr>
            <w:tcW w:w="1260" w:type="dxa"/>
            <w:vAlign w:val="bottom"/>
          </w:tcPr>
          <w:p>
            <w:pPr>
              <w:jc w:val="right"/>
              <w:ind w:right="129"/>
              <w:spacing w:after="0"/>
              <w:rPr>
                <w:sz w:val="20"/>
                <w:szCs w:val="20"/>
                <w:color w:val="auto"/>
              </w:rPr>
            </w:pPr>
            <w:r>
              <w:rPr>
                <w:rFonts w:ascii="Arial" w:cs="Arial" w:eastAsia="Arial" w:hAnsi="Arial"/>
                <w:sz w:val="14"/>
                <w:szCs w:val="14"/>
                <w:color w:val="auto"/>
              </w:rPr>
              <w:t>–</w:t>
            </w:r>
          </w:p>
        </w:tc>
        <w:tc>
          <w:tcPr>
            <w:tcW w:w="1160" w:type="dxa"/>
            <w:vAlign w:val="bottom"/>
          </w:tcPr>
          <w:p>
            <w:pPr>
              <w:jc w:val="right"/>
              <w:ind w:right="150"/>
              <w:spacing w:after="0"/>
              <w:rPr>
                <w:sz w:val="20"/>
                <w:szCs w:val="20"/>
                <w:color w:val="auto"/>
              </w:rPr>
            </w:pPr>
            <w:r>
              <w:rPr>
                <w:rFonts w:ascii="Arial" w:cs="Arial" w:eastAsia="Arial" w:hAnsi="Arial"/>
                <w:sz w:val="14"/>
                <w:szCs w:val="14"/>
                <w:color w:val="auto"/>
              </w:rPr>
              <w:t>742</w:t>
            </w:r>
          </w:p>
        </w:tc>
        <w:tc>
          <w:tcPr>
            <w:tcW w:w="1160" w:type="dxa"/>
            <w:vAlign w:val="bottom"/>
          </w:tcPr>
          <w:p>
            <w:pPr>
              <w:jc w:val="right"/>
              <w:ind w:right="149"/>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129"/>
              <w:spacing w:after="0"/>
              <w:rPr>
                <w:sz w:val="20"/>
                <w:szCs w:val="20"/>
                <w:color w:val="auto"/>
              </w:rPr>
            </w:pPr>
            <w:r>
              <w:rPr>
                <w:rFonts w:ascii="Arial" w:cs="Arial" w:eastAsia="Arial" w:hAnsi="Arial"/>
                <w:sz w:val="14"/>
                <w:szCs w:val="14"/>
                <w:color w:val="auto"/>
              </w:rPr>
              <w:t>107</w:t>
            </w: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849</w:t>
            </w:r>
          </w:p>
        </w:tc>
        <w:tc>
          <w:tcPr>
            <w:tcW w:w="1040" w:type="dxa"/>
            <w:vAlign w:val="bottom"/>
          </w:tcPr>
          <w:p>
            <w:pPr>
              <w:jc w:val="right"/>
              <w:ind w:right="109"/>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29"/>
              <w:spacing w:after="0"/>
              <w:rPr>
                <w:sz w:val="20"/>
                <w:szCs w:val="20"/>
                <w:color w:val="auto"/>
              </w:rPr>
            </w:pPr>
            <w:r>
              <w:rPr>
                <w:rFonts w:ascii="Arial" w:cs="Arial" w:eastAsia="Arial" w:hAnsi="Arial"/>
                <w:sz w:val="14"/>
                <w:szCs w:val="14"/>
                <w:color w:val="auto"/>
              </w:rPr>
              <w:t>849</w:t>
            </w:r>
          </w:p>
        </w:tc>
        <w:tc>
          <w:tcPr>
            <w:tcW w:w="0" w:type="dxa"/>
            <w:vAlign w:val="bottom"/>
          </w:tcPr>
          <w:p>
            <w:pPr>
              <w:spacing w:after="0"/>
              <w:rPr>
                <w:sz w:val="1"/>
                <w:szCs w:val="1"/>
                <w:color w:val="auto"/>
              </w:rPr>
            </w:pPr>
          </w:p>
        </w:tc>
      </w:tr>
      <w:tr>
        <w:trPr>
          <w:trHeight w:val="157"/>
        </w:trPr>
        <w:tc>
          <w:tcPr>
            <w:tcW w:w="4340" w:type="dxa"/>
            <w:vAlign w:val="bottom"/>
            <w:tcBorders>
              <w:bottom w:val="single" w:sz="8" w:color="auto"/>
            </w:tcBorders>
            <w:gridSpan w:val="2"/>
          </w:tcPr>
          <w:p>
            <w:pPr>
              <w:spacing w:after="0" w:line="157" w:lineRule="exact"/>
              <w:rPr>
                <w:sz w:val="20"/>
                <w:szCs w:val="20"/>
                <w:color w:val="auto"/>
              </w:rPr>
            </w:pPr>
            <w:r>
              <w:rPr>
                <w:rFonts w:ascii="Arial" w:cs="Arial" w:eastAsia="Arial" w:hAnsi="Arial"/>
                <w:sz w:val="14"/>
                <w:szCs w:val="14"/>
                <w:color w:val="auto"/>
              </w:rPr>
              <w:t>Share-based compensation</w:t>
            </w:r>
          </w:p>
        </w:tc>
        <w:tc>
          <w:tcPr>
            <w:tcW w:w="1260" w:type="dxa"/>
            <w:vAlign w:val="bottom"/>
            <w:tcBorders>
              <w:bottom w:val="single" w:sz="8" w:color="auto"/>
            </w:tcBorders>
          </w:tcPr>
          <w:p>
            <w:pPr>
              <w:jc w:val="right"/>
              <w:ind w:right="129"/>
              <w:spacing w:after="0" w:line="157" w:lineRule="exact"/>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tcPr>
          <w:p>
            <w:pPr>
              <w:jc w:val="right"/>
              <w:ind w:right="150"/>
              <w:spacing w:after="0" w:line="157" w:lineRule="exact"/>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tcPr>
          <w:p>
            <w:pPr>
              <w:jc w:val="right"/>
              <w:ind w:right="89"/>
              <w:spacing w:after="0" w:line="157" w:lineRule="exact"/>
              <w:rPr>
                <w:sz w:val="20"/>
                <w:szCs w:val="20"/>
                <w:color w:val="auto"/>
              </w:rPr>
            </w:pPr>
            <w:r>
              <w:rPr>
                <w:rFonts w:ascii="Arial" w:cs="Arial" w:eastAsia="Arial" w:hAnsi="Arial"/>
                <w:sz w:val="14"/>
                <w:szCs w:val="14"/>
                <w:color w:val="auto"/>
              </w:rPr>
              <w:t>(148)</w:t>
            </w:r>
          </w:p>
        </w:tc>
        <w:tc>
          <w:tcPr>
            <w:tcW w:w="900" w:type="dxa"/>
            <w:vAlign w:val="bottom"/>
            <w:tcBorders>
              <w:bottom w:val="single" w:sz="8" w:color="auto"/>
            </w:tcBorders>
          </w:tcPr>
          <w:p>
            <w:pPr>
              <w:jc w:val="right"/>
              <w:ind w:right="129"/>
              <w:spacing w:after="0" w:line="157" w:lineRule="exact"/>
              <w:rPr>
                <w:sz w:val="20"/>
                <w:szCs w:val="20"/>
                <w:color w:val="auto"/>
              </w:rPr>
            </w:pPr>
            <w:r>
              <w:rPr>
                <w:rFonts w:ascii="Arial" w:cs="Arial" w:eastAsia="Arial" w:hAnsi="Arial"/>
                <w:sz w:val="14"/>
                <w:szCs w:val="14"/>
                <w:color w:val="auto"/>
              </w:rPr>
              <w:t>30</w:t>
            </w:r>
          </w:p>
        </w:tc>
        <w:tc>
          <w:tcPr>
            <w:tcW w:w="800" w:type="dxa"/>
            <w:vAlign w:val="bottom"/>
            <w:tcBorders>
              <w:bottom w:val="single" w:sz="8" w:color="auto"/>
            </w:tcBorders>
          </w:tcPr>
          <w:p>
            <w:pPr>
              <w:jc w:val="right"/>
              <w:spacing w:after="0" w:line="157" w:lineRule="exact"/>
              <w:rPr>
                <w:sz w:val="20"/>
                <w:szCs w:val="20"/>
                <w:color w:val="auto"/>
              </w:rPr>
            </w:pPr>
            <w:r>
              <w:rPr>
                <w:rFonts w:ascii="Arial" w:cs="Arial" w:eastAsia="Arial" w:hAnsi="Arial"/>
                <w:sz w:val="14"/>
                <w:szCs w:val="14"/>
                <w:color w:val="auto"/>
              </w:rPr>
              <w:t>(118)</w:t>
            </w:r>
          </w:p>
        </w:tc>
        <w:tc>
          <w:tcPr>
            <w:tcW w:w="1040" w:type="dxa"/>
            <w:vAlign w:val="bottom"/>
            <w:tcBorders>
              <w:bottom w:val="single" w:sz="8" w:color="auto"/>
            </w:tcBorders>
          </w:tcPr>
          <w:p>
            <w:pPr>
              <w:jc w:val="right"/>
              <w:ind w:right="109"/>
              <w:spacing w:after="0" w:line="157" w:lineRule="exact"/>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tcPr>
          <w:p>
            <w:pPr>
              <w:jc w:val="right"/>
              <w:spacing w:after="0" w:line="157" w:lineRule="exact"/>
              <w:rPr>
                <w:sz w:val="20"/>
                <w:szCs w:val="20"/>
                <w:color w:val="auto"/>
              </w:rPr>
            </w:pPr>
            <w:r>
              <w:rPr>
                <w:rFonts w:ascii="Arial" w:cs="Arial" w:eastAsia="Arial" w:hAnsi="Arial"/>
                <w:sz w:val="14"/>
                <w:szCs w:val="14"/>
                <w:color w:val="auto"/>
              </w:rPr>
              <w:t>(118)</w:t>
            </w:r>
          </w:p>
        </w:tc>
        <w:tc>
          <w:tcPr>
            <w:tcW w:w="0" w:type="dxa"/>
            <w:vAlign w:val="bottom"/>
          </w:tcPr>
          <w:p>
            <w:pPr>
              <w:spacing w:after="0"/>
              <w:rPr>
                <w:sz w:val="1"/>
                <w:szCs w:val="1"/>
                <w:color w:val="auto"/>
              </w:rPr>
            </w:pPr>
          </w:p>
        </w:tc>
      </w:tr>
      <w:tr>
        <w:trPr>
          <w:trHeight w:val="156"/>
        </w:trPr>
        <w:tc>
          <w:tcPr>
            <w:tcW w:w="4340" w:type="dxa"/>
            <w:vAlign w:val="bottom"/>
            <w:tcBorders>
              <w:bottom w:val="single" w:sz="8" w:color="auto"/>
            </w:tcBorders>
            <w:gridSpan w:val="2"/>
          </w:tcPr>
          <w:p>
            <w:pPr>
              <w:spacing w:after="0" w:line="155" w:lineRule="exact"/>
              <w:rPr>
                <w:sz w:val="20"/>
                <w:szCs w:val="20"/>
                <w:color w:val="auto"/>
              </w:rPr>
            </w:pPr>
            <w:r>
              <w:rPr>
                <w:rFonts w:ascii="Arial" w:cs="Arial" w:eastAsia="Arial" w:hAnsi="Arial"/>
                <w:sz w:val="14"/>
                <w:szCs w:val="14"/>
                <w:b w:val="1"/>
                <w:bCs w:val="1"/>
                <w:color w:val="auto"/>
              </w:rPr>
              <w:t>At December 31, 2014</w:t>
            </w:r>
          </w:p>
        </w:tc>
        <w:tc>
          <w:tcPr>
            <w:tcW w:w="1260" w:type="dxa"/>
            <w:vAlign w:val="bottom"/>
            <w:tcBorders>
              <w:bottom w:val="single" w:sz="8" w:color="auto"/>
            </w:tcBorders>
          </w:tcPr>
          <w:p>
            <w:pPr>
              <w:jc w:val="right"/>
              <w:ind w:right="129"/>
              <w:spacing w:after="0" w:line="155" w:lineRule="exact"/>
              <w:rPr>
                <w:sz w:val="20"/>
                <w:szCs w:val="20"/>
                <w:color w:val="auto"/>
              </w:rPr>
            </w:pPr>
            <w:r>
              <w:rPr>
                <w:rFonts w:ascii="Arial" w:cs="Arial" w:eastAsia="Arial" w:hAnsi="Arial"/>
                <w:sz w:val="14"/>
                <w:szCs w:val="14"/>
                <w:color w:val="auto"/>
              </w:rPr>
              <w:t>540</w:t>
            </w:r>
          </w:p>
        </w:tc>
        <w:tc>
          <w:tcPr>
            <w:tcW w:w="1160" w:type="dxa"/>
            <w:vAlign w:val="bottom"/>
            <w:tcBorders>
              <w:bottom w:val="single" w:sz="8" w:color="auto"/>
            </w:tcBorders>
          </w:tcPr>
          <w:p>
            <w:pPr>
              <w:jc w:val="right"/>
              <w:ind w:right="90"/>
              <w:spacing w:after="0" w:line="155" w:lineRule="exact"/>
              <w:rPr>
                <w:sz w:val="20"/>
                <w:szCs w:val="20"/>
                <w:color w:val="auto"/>
              </w:rPr>
            </w:pPr>
            <w:r>
              <w:rPr>
                <w:rFonts w:ascii="Arial" w:cs="Arial" w:eastAsia="Arial" w:hAnsi="Arial"/>
                <w:sz w:val="14"/>
                <w:szCs w:val="14"/>
                <w:color w:val="auto"/>
              </w:rPr>
              <w:t>(1,190)</w:t>
            </w:r>
          </w:p>
        </w:tc>
        <w:tc>
          <w:tcPr>
            <w:tcW w:w="1160" w:type="dxa"/>
            <w:vAlign w:val="bottom"/>
            <w:tcBorders>
              <w:bottom w:val="single" w:sz="8" w:color="auto"/>
            </w:tcBorders>
          </w:tcPr>
          <w:p>
            <w:pPr>
              <w:jc w:val="right"/>
              <w:ind w:right="89"/>
              <w:spacing w:after="0" w:line="155" w:lineRule="exact"/>
              <w:rPr>
                <w:sz w:val="20"/>
                <w:szCs w:val="20"/>
                <w:color w:val="auto"/>
              </w:rPr>
            </w:pPr>
            <w:r>
              <w:rPr>
                <w:rFonts w:ascii="Arial" w:cs="Arial" w:eastAsia="Arial" w:hAnsi="Arial"/>
                <w:sz w:val="14"/>
                <w:szCs w:val="14"/>
                <w:color w:val="auto"/>
              </w:rPr>
              <w:t>(14,365)</w:t>
            </w:r>
          </w:p>
        </w:tc>
        <w:tc>
          <w:tcPr>
            <w:tcW w:w="900" w:type="dxa"/>
            <w:vAlign w:val="bottom"/>
            <w:tcBorders>
              <w:bottom w:val="single" w:sz="8" w:color="auto"/>
            </w:tcBorders>
          </w:tcPr>
          <w:p>
            <w:pPr>
              <w:jc w:val="right"/>
              <w:ind w:right="129"/>
              <w:spacing w:after="0" w:line="155" w:lineRule="exact"/>
              <w:rPr>
                <w:sz w:val="20"/>
                <w:szCs w:val="20"/>
                <w:color w:val="auto"/>
              </w:rPr>
            </w:pPr>
            <w:r>
              <w:rPr>
                <w:rFonts w:ascii="Arial" w:cs="Arial" w:eastAsia="Arial" w:hAnsi="Arial"/>
                <w:sz w:val="14"/>
                <w:szCs w:val="14"/>
                <w:color w:val="auto"/>
              </w:rPr>
              <w:t>186,981</w:t>
            </w:r>
          </w:p>
        </w:tc>
        <w:tc>
          <w:tcPr>
            <w:tcW w:w="800" w:type="dxa"/>
            <w:vAlign w:val="bottom"/>
            <w:tcBorders>
              <w:bottom w:val="single" w:sz="8" w:color="auto"/>
            </w:tcBorders>
          </w:tcPr>
          <w:p>
            <w:pPr>
              <w:jc w:val="right"/>
              <w:ind w:right="28"/>
              <w:spacing w:after="0" w:line="155" w:lineRule="exact"/>
              <w:rPr>
                <w:sz w:val="20"/>
                <w:szCs w:val="20"/>
                <w:color w:val="auto"/>
              </w:rPr>
            </w:pPr>
            <w:r>
              <w:rPr>
                <w:rFonts w:ascii="Arial" w:cs="Arial" w:eastAsia="Arial" w:hAnsi="Arial"/>
                <w:sz w:val="14"/>
                <w:szCs w:val="14"/>
                <w:color w:val="auto"/>
              </w:rPr>
              <w:t>171,966</w:t>
            </w:r>
          </w:p>
        </w:tc>
        <w:tc>
          <w:tcPr>
            <w:tcW w:w="1040" w:type="dxa"/>
            <w:vAlign w:val="bottom"/>
            <w:tcBorders>
              <w:bottom w:val="single" w:sz="8" w:color="auto"/>
            </w:tcBorders>
          </w:tcPr>
          <w:p>
            <w:pPr>
              <w:jc w:val="right"/>
              <w:ind w:right="109"/>
              <w:spacing w:after="0" w:line="155" w:lineRule="exact"/>
              <w:rPr>
                <w:sz w:val="20"/>
                <w:szCs w:val="20"/>
                <w:color w:val="auto"/>
              </w:rPr>
            </w:pPr>
            <w:r>
              <w:rPr>
                <w:rFonts w:ascii="Arial" w:cs="Arial" w:eastAsia="Arial" w:hAnsi="Arial"/>
                <w:sz w:val="14"/>
                <w:szCs w:val="14"/>
                <w:color w:val="auto"/>
              </w:rPr>
              <w:t>820</w:t>
            </w:r>
          </w:p>
        </w:tc>
        <w:tc>
          <w:tcPr>
            <w:tcW w:w="760" w:type="dxa"/>
            <w:vAlign w:val="bottom"/>
            <w:tcBorders>
              <w:bottom w:val="single" w:sz="8" w:color="auto"/>
            </w:tcBorders>
          </w:tcPr>
          <w:p>
            <w:pPr>
              <w:jc w:val="right"/>
              <w:ind w:right="29"/>
              <w:spacing w:after="0" w:line="155" w:lineRule="exact"/>
              <w:rPr>
                <w:sz w:val="20"/>
                <w:szCs w:val="20"/>
                <w:color w:val="auto"/>
              </w:rPr>
            </w:pPr>
            <w:r>
              <w:rPr>
                <w:rFonts w:ascii="Arial" w:cs="Arial" w:eastAsia="Arial" w:hAnsi="Arial"/>
                <w:sz w:val="14"/>
                <w:szCs w:val="14"/>
                <w:color w:val="auto"/>
              </w:rPr>
              <w:t>172,786</w:t>
            </w:r>
          </w:p>
        </w:tc>
        <w:tc>
          <w:tcPr>
            <w:tcW w:w="0" w:type="dxa"/>
            <w:vAlign w:val="bottom"/>
          </w:tcPr>
          <w:p>
            <w:pPr>
              <w:spacing w:after="0"/>
              <w:rPr>
                <w:sz w:val="1"/>
                <w:szCs w:val="1"/>
                <w:color w:val="auto"/>
              </w:rPr>
            </w:pPr>
          </w:p>
        </w:tc>
      </w:tr>
      <w:tr>
        <w:trPr>
          <w:trHeight w:val="160"/>
        </w:trPr>
        <w:tc>
          <w:tcPr>
            <w:tcW w:w="4340" w:type="dxa"/>
            <w:vAlign w:val="bottom"/>
            <w:gridSpan w:val="2"/>
          </w:tcPr>
          <w:p>
            <w:pPr>
              <w:spacing w:after="0"/>
              <w:rPr>
                <w:sz w:val="20"/>
                <w:szCs w:val="20"/>
                <w:color w:val="auto"/>
              </w:rPr>
            </w:pPr>
            <w:r>
              <w:rPr>
                <w:rFonts w:ascii="Arial" w:cs="Arial" w:eastAsia="Arial" w:hAnsi="Arial"/>
                <w:sz w:val="14"/>
                <w:szCs w:val="14"/>
                <w:b w:val="1"/>
                <w:bCs w:val="1"/>
                <w:color w:val="auto"/>
              </w:rPr>
              <w:t>At January 1, 2013</w:t>
            </w:r>
          </w:p>
        </w:tc>
        <w:tc>
          <w:tcPr>
            <w:tcW w:w="1260" w:type="dxa"/>
            <w:vAlign w:val="bottom"/>
          </w:tcPr>
          <w:p>
            <w:pPr>
              <w:jc w:val="right"/>
              <w:ind w:right="129"/>
              <w:spacing w:after="0"/>
              <w:rPr>
                <w:sz w:val="20"/>
                <w:szCs w:val="20"/>
                <w:color w:val="auto"/>
              </w:rPr>
            </w:pPr>
            <w:r>
              <w:rPr>
                <w:rFonts w:ascii="Arial" w:cs="Arial" w:eastAsia="Arial" w:hAnsi="Arial"/>
                <w:sz w:val="14"/>
                <w:szCs w:val="14"/>
                <w:color w:val="auto"/>
              </w:rPr>
              <w:t>542</w:t>
            </w:r>
          </w:p>
        </w:tc>
        <w:tc>
          <w:tcPr>
            <w:tcW w:w="1160" w:type="dxa"/>
            <w:vAlign w:val="bottom"/>
          </w:tcPr>
          <w:p>
            <w:pPr>
              <w:jc w:val="right"/>
              <w:ind w:right="90"/>
              <w:spacing w:after="0"/>
              <w:rPr>
                <w:sz w:val="20"/>
                <w:szCs w:val="20"/>
                <w:color w:val="auto"/>
              </w:rPr>
            </w:pPr>
            <w:r>
              <w:rPr>
                <w:rFonts w:ascii="Arial" w:cs="Arial" w:eastAsia="Arial" w:hAnsi="Arial"/>
                <w:sz w:val="14"/>
                <w:szCs w:val="14"/>
                <w:color w:val="auto"/>
              </w:rPr>
              <w:t>(2,287)</w:t>
            </w:r>
          </w:p>
        </w:tc>
        <w:tc>
          <w:tcPr>
            <w:tcW w:w="1160" w:type="dxa"/>
            <w:vAlign w:val="bottom"/>
          </w:tcPr>
          <w:p>
            <w:pPr>
              <w:jc w:val="right"/>
              <w:ind w:right="89"/>
              <w:spacing w:after="0"/>
              <w:rPr>
                <w:sz w:val="20"/>
                <w:szCs w:val="20"/>
                <w:color w:val="auto"/>
              </w:rPr>
            </w:pPr>
            <w:r>
              <w:rPr>
                <w:rFonts w:ascii="Arial" w:cs="Arial" w:eastAsia="Arial" w:hAnsi="Arial"/>
                <w:sz w:val="14"/>
                <w:szCs w:val="14"/>
                <w:color w:val="auto"/>
              </w:rPr>
              <w:t>(3,752)</w:t>
            </w:r>
          </w:p>
        </w:tc>
        <w:tc>
          <w:tcPr>
            <w:tcW w:w="900" w:type="dxa"/>
            <w:vAlign w:val="bottom"/>
          </w:tcPr>
          <w:p>
            <w:pPr>
              <w:jc w:val="right"/>
              <w:ind w:right="129"/>
              <w:spacing w:after="0"/>
              <w:rPr>
                <w:sz w:val="20"/>
                <w:szCs w:val="20"/>
                <w:color w:val="auto"/>
              </w:rPr>
            </w:pPr>
            <w:r>
              <w:rPr>
                <w:rFonts w:ascii="Arial" w:cs="Arial" w:eastAsia="Arial" w:hAnsi="Arial"/>
                <w:sz w:val="14"/>
                <w:szCs w:val="14"/>
                <w:color w:val="auto"/>
              </w:rPr>
              <w:t>180,246</w:t>
            </w: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174,749</w:t>
            </w:r>
          </w:p>
        </w:tc>
        <w:tc>
          <w:tcPr>
            <w:tcW w:w="1040" w:type="dxa"/>
            <w:vAlign w:val="bottom"/>
          </w:tcPr>
          <w:p>
            <w:pPr>
              <w:jc w:val="right"/>
              <w:ind w:right="109"/>
              <w:spacing w:after="0"/>
              <w:rPr>
                <w:sz w:val="20"/>
                <w:szCs w:val="20"/>
                <w:color w:val="auto"/>
              </w:rPr>
            </w:pPr>
            <w:r>
              <w:rPr>
                <w:rFonts w:ascii="Arial" w:cs="Arial" w:eastAsia="Arial" w:hAnsi="Arial"/>
                <w:sz w:val="14"/>
                <w:szCs w:val="14"/>
                <w:color w:val="auto"/>
              </w:rPr>
              <w:t>1,433</w:t>
            </w:r>
          </w:p>
        </w:tc>
        <w:tc>
          <w:tcPr>
            <w:tcW w:w="760" w:type="dxa"/>
            <w:vAlign w:val="bottom"/>
          </w:tcPr>
          <w:p>
            <w:pPr>
              <w:jc w:val="right"/>
              <w:ind w:right="29"/>
              <w:spacing w:after="0"/>
              <w:rPr>
                <w:sz w:val="20"/>
                <w:szCs w:val="20"/>
                <w:color w:val="auto"/>
              </w:rPr>
            </w:pPr>
            <w:r>
              <w:rPr>
                <w:rFonts w:ascii="Arial" w:cs="Arial" w:eastAsia="Arial" w:hAnsi="Arial"/>
                <w:sz w:val="14"/>
                <w:szCs w:val="14"/>
                <w:color w:val="auto"/>
              </w:rPr>
              <w:t>176,182</w:t>
            </w:r>
          </w:p>
        </w:tc>
        <w:tc>
          <w:tcPr>
            <w:tcW w:w="0" w:type="dxa"/>
            <w:vAlign w:val="bottom"/>
          </w:tcPr>
          <w:p>
            <w:pPr>
              <w:spacing w:after="0"/>
              <w:rPr>
                <w:sz w:val="1"/>
                <w:szCs w:val="1"/>
                <w:color w:val="auto"/>
              </w:rPr>
            </w:pPr>
          </w:p>
        </w:tc>
      </w:tr>
      <w:tr>
        <w:trPr>
          <w:trHeight w:val="162"/>
        </w:trPr>
        <w:tc>
          <w:tcPr>
            <w:tcW w:w="4340" w:type="dxa"/>
            <w:vAlign w:val="bottom"/>
            <w:gridSpan w:val="2"/>
          </w:tcPr>
          <w:p>
            <w:pPr>
              <w:spacing w:after="0"/>
              <w:rPr>
                <w:sz w:val="20"/>
                <w:szCs w:val="20"/>
                <w:color w:val="auto"/>
              </w:rPr>
            </w:pPr>
            <w:r>
              <w:rPr>
                <w:rFonts w:ascii="Arial" w:cs="Arial" w:eastAsia="Arial" w:hAnsi="Arial"/>
                <w:sz w:val="14"/>
                <w:szCs w:val="14"/>
                <w:color w:val="auto"/>
              </w:rPr>
              <w:t>Comprehensive income for the period</w:t>
            </w:r>
          </w:p>
        </w:tc>
        <w:tc>
          <w:tcPr>
            <w:tcW w:w="1260" w:type="dxa"/>
            <w:vAlign w:val="bottom"/>
          </w:tcPr>
          <w:p>
            <w:pPr>
              <w:jc w:val="right"/>
              <w:ind w:right="129"/>
              <w:spacing w:after="0"/>
              <w:rPr>
                <w:sz w:val="20"/>
                <w:szCs w:val="20"/>
                <w:color w:val="auto"/>
              </w:rPr>
            </w:pPr>
            <w:r>
              <w:rPr>
                <w:rFonts w:ascii="Arial" w:cs="Arial" w:eastAsia="Arial" w:hAnsi="Arial"/>
                <w:sz w:val="14"/>
                <w:szCs w:val="14"/>
                <w:color w:val="auto"/>
              </w:rPr>
              <w:t>–</w:t>
            </w:r>
          </w:p>
        </w:tc>
        <w:tc>
          <w:tcPr>
            <w:tcW w:w="1160" w:type="dxa"/>
            <w:vAlign w:val="bottom"/>
          </w:tcPr>
          <w:p>
            <w:pPr>
              <w:jc w:val="right"/>
              <w:ind w:right="150"/>
              <w:spacing w:after="0"/>
              <w:rPr>
                <w:sz w:val="20"/>
                <w:szCs w:val="20"/>
                <w:color w:val="auto"/>
              </w:rPr>
            </w:pPr>
            <w:r>
              <w:rPr>
                <w:rFonts w:ascii="Arial" w:cs="Arial" w:eastAsia="Arial" w:hAnsi="Arial"/>
                <w:sz w:val="14"/>
                <w:szCs w:val="14"/>
                <w:color w:val="auto"/>
              </w:rPr>
              <w:t>–</w:t>
            </w:r>
          </w:p>
        </w:tc>
        <w:tc>
          <w:tcPr>
            <w:tcW w:w="1160" w:type="dxa"/>
            <w:vAlign w:val="bottom"/>
          </w:tcPr>
          <w:p>
            <w:pPr>
              <w:jc w:val="right"/>
              <w:ind w:right="149"/>
              <w:spacing w:after="0"/>
              <w:rPr>
                <w:sz w:val="20"/>
                <w:szCs w:val="20"/>
                <w:color w:val="auto"/>
              </w:rPr>
            </w:pPr>
            <w:r>
              <w:rPr>
                <w:rFonts w:ascii="Arial" w:cs="Arial" w:eastAsia="Arial" w:hAnsi="Arial"/>
                <w:sz w:val="14"/>
                <w:szCs w:val="14"/>
                <w:color w:val="auto"/>
              </w:rPr>
              <w:t>1,872</w:t>
            </w:r>
          </w:p>
        </w:tc>
        <w:tc>
          <w:tcPr>
            <w:tcW w:w="900" w:type="dxa"/>
            <w:vAlign w:val="bottom"/>
          </w:tcPr>
          <w:p>
            <w:pPr>
              <w:jc w:val="right"/>
              <w:ind w:right="129"/>
              <w:spacing w:after="0"/>
              <w:rPr>
                <w:sz w:val="20"/>
                <w:szCs w:val="20"/>
                <w:color w:val="auto"/>
              </w:rPr>
            </w:pPr>
            <w:r>
              <w:rPr>
                <w:rFonts w:ascii="Arial" w:cs="Arial" w:eastAsia="Arial" w:hAnsi="Arial"/>
                <w:sz w:val="14"/>
                <w:szCs w:val="14"/>
                <w:color w:val="auto"/>
              </w:rPr>
              <w:t>16,371</w:t>
            </w: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18,243</w:t>
            </w:r>
          </w:p>
        </w:tc>
        <w:tc>
          <w:tcPr>
            <w:tcW w:w="1040" w:type="dxa"/>
            <w:vAlign w:val="bottom"/>
          </w:tcPr>
          <w:p>
            <w:pPr>
              <w:jc w:val="right"/>
              <w:ind w:right="109"/>
              <w:spacing w:after="0"/>
              <w:rPr>
                <w:sz w:val="20"/>
                <w:szCs w:val="20"/>
                <w:color w:val="auto"/>
              </w:rPr>
            </w:pPr>
            <w:r>
              <w:rPr>
                <w:rFonts w:ascii="Arial" w:cs="Arial" w:eastAsia="Arial" w:hAnsi="Arial"/>
                <w:sz w:val="14"/>
                <w:szCs w:val="14"/>
                <w:color w:val="auto"/>
              </w:rPr>
              <w:t>23</w:t>
            </w:r>
          </w:p>
        </w:tc>
        <w:tc>
          <w:tcPr>
            <w:tcW w:w="760" w:type="dxa"/>
            <w:vAlign w:val="bottom"/>
          </w:tcPr>
          <w:p>
            <w:pPr>
              <w:jc w:val="right"/>
              <w:ind w:right="29"/>
              <w:spacing w:after="0"/>
              <w:rPr>
                <w:sz w:val="20"/>
                <w:szCs w:val="20"/>
                <w:color w:val="auto"/>
              </w:rPr>
            </w:pPr>
            <w:r>
              <w:rPr>
                <w:rFonts w:ascii="Arial" w:cs="Arial" w:eastAsia="Arial" w:hAnsi="Arial"/>
                <w:sz w:val="14"/>
                <w:szCs w:val="14"/>
                <w:color w:val="auto"/>
              </w:rPr>
              <w:t>18,266</w:t>
            </w:r>
          </w:p>
        </w:tc>
        <w:tc>
          <w:tcPr>
            <w:tcW w:w="0" w:type="dxa"/>
            <w:vAlign w:val="bottom"/>
          </w:tcPr>
          <w:p>
            <w:pPr>
              <w:spacing w:after="0"/>
              <w:rPr>
                <w:sz w:val="1"/>
                <w:szCs w:val="1"/>
                <w:color w:val="auto"/>
              </w:rPr>
            </w:pPr>
          </w:p>
        </w:tc>
      </w:tr>
      <w:tr>
        <w:trPr>
          <w:trHeight w:val="162"/>
        </w:trPr>
        <w:tc>
          <w:tcPr>
            <w:tcW w:w="4340" w:type="dxa"/>
            <w:vAlign w:val="bottom"/>
            <w:gridSpan w:val="2"/>
          </w:tcPr>
          <w:p>
            <w:pPr>
              <w:spacing w:after="0"/>
              <w:rPr>
                <w:sz w:val="20"/>
                <w:szCs w:val="20"/>
                <w:color w:val="auto"/>
              </w:rPr>
            </w:pPr>
            <w:r>
              <w:rPr>
                <w:rFonts w:ascii="Arial" w:cs="Arial" w:eastAsia="Arial" w:hAnsi="Arial"/>
                <w:sz w:val="14"/>
                <w:szCs w:val="14"/>
                <w:color w:val="auto"/>
              </w:rPr>
              <w:t>Capital contributions from, and other changes in, non-controlling</w:t>
            </w:r>
          </w:p>
        </w:tc>
        <w:tc>
          <w:tcPr>
            <w:tcW w:w="12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320" w:type="dxa"/>
            <w:vAlign w:val="bottom"/>
          </w:tcPr>
          <w:p>
            <w:pPr>
              <w:ind w:left="140"/>
              <w:spacing w:after="0"/>
              <w:rPr>
                <w:sz w:val="20"/>
                <w:szCs w:val="20"/>
                <w:color w:val="auto"/>
              </w:rPr>
            </w:pPr>
            <w:r>
              <w:rPr>
                <w:rFonts w:ascii="Arial" w:cs="Arial" w:eastAsia="Arial" w:hAnsi="Arial"/>
                <w:sz w:val="14"/>
                <w:szCs w:val="14"/>
                <w:color w:val="auto"/>
              </w:rPr>
              <w:t>interest</w:t>
            </w:r>
          </w:p>
        </w:tc>
        <w:tc>
          <w:tcPr>
            <w:tcW w:w="1260" w:type="dxa"/>
            <w:vAlign w:val="bottom"/>
          </w:tcPr>
          <w:p>
            <w:pPr>
              <w:jc w:val="right"/>
              <w:ind w:right="129"/>
              <w:spacing w:after="0"/>
              <w:rPr>
                <w:sz w:val="20"/>
                <w:szCs w:val="20"/>
                <w:color w:val="auto"/>
              </w:rPr>
            </w:pPr>
            <w:r>
              <w:rPr>
                <w:rFonts w:ascii="Arial" w:cs="Arial" w:eastAsia="Arial" w:hAnsi="Arial"/>
                <w:sz w:val="14"/>
                <w:szCs w:val="14"/>
                <w:color w:val="auto"/>
              </w:rPr>
              <w:t>–</w:t>
            </w:r>
          </w:p>
        </w:tc>
        <w:tc>
          <w:tcPr>
            <w:tcW w:w="1160" w:type="dxa"/>
            <w:vAlign w:val="bottom"/>
          </w:tcPr>
          <w:p>
            <w:pPr>
              <w:jc w:val="right"/>
              <w:ind w:right="150"/>
              <w:spacing w:after="0"/>
              <w:rPr>
                <w:sz w:val="20"/>
                <w:szCs w:val="20"/>
                <w:color w:val="auto"/>
              </w:rPr>
            </w:pPr>
            <w:r>
              <w:rPr>
                <w:rFonts w:ascii="Arial" w:cs="Arial" w:eastAsia="Arial" w:hAnsi="Arial"/>
                <w:sz w:val="14"/>
                <w:szCs w:val="14"/>
                <w:color w:val="auto"/>
              </w:rPr>
              <w:t>–</w:t>
            </w:r>
          </w:p>
        </w:tc>
        <w:tc>
          <w:tcPr>
            <w:tcW w:w="1160" w:type="dxa"/>
            <w:vAlign w:val="bottom"/>
          </w:tcPr>
          <w:p>
            <w:pPr>
              <w:jc w:val="right"/>
              <w:ind w:right="149"/>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129"/>
              <w:spacing w:after="0"/>
              <w:rPr>
                <w:sz w:val="20"/>
                <w:szCs w:val="20"/>
                <w:color w:val="auto"/>
              </w:rPr>
            </w:pPr>
            <w:r>
              <w:rPr>
                <w:rFonts w:ascii="Arial" w:cs="Arial" w:eastAsia="Arial" w:hAnsi="Arial"/>
                <w:sz w:val="14"/>
                <w:szCs w:val="14"/>
                <w:color w:val="auto"/>
              </w:rPr>
              <w:t>18</w:t>
            </w: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18</w:t>
            </w:r>
          </w:p>
        </w:tc>
        <w:tc>
          <w:tcPr>
            <w:tcW w:w="1040" w:type="dxa"/>
            <w:vAlign w:val="bottom"/>
          </w:tcPr>
          <w:p>
            <w:pPr>
              <w:jc w:val="right"/>
              <w:ind w:right="49"/>
              <w:spacing w:after="0"/>
              <w:rPr>
                <w:sz w:val="20"/>
                <w:szCs w:val="20"/>
                <w:color w:val="auto"/>
              </w:rPr>
            </w:pPr>
            <w:r>
              <w:rPr>
                <w:rFonts w:ascii="Arial" w:cs="Arial" w:eastAsia="Arial" w:hAnsi="Arial"/>
                <w:sz w:val="14"/>
                <w:szCs w:val="14"/>
                <w:color w:val="auto"/>
              </w:rPr>
              <w:t>(103)</w:t>
            </w:r>
          </w:p>
        </w:tc>
        <w:tc>
          <w:tcPr>
            <w:tcW w:w="760" w:type="dxa"/>
            <w:vAlign w:val="bottom"/>
          </w:tcPr>
          <w:p>
            <w:pPr>
              <w:jc w:val="right"/>
              <w:spacing w:after="0"/>
              <w:rPr>
                <w:sz w:val="20"/>
                <w:szCs w:val="20"/>
                <w:color w:val="auto"/>
              </w:rPr>
            </w:pPr>
            <w:r>
              <w:rPr>
                <w:rFonts w:ascii="Arial" w:cs="Arial" w:eastAsia="Arial" w:hAnsi="Arial"/>
                <w:sz w:val="14"/>
                <w:szCs w:val="14"/>
                <w:color w:val="auto"/>
              </w:rPr>
              <w:t>(85)</w:t>
            </w:r>
          </w:p>
        </w:tc>
        <w:tc>
          <w:tcPr>
            <w:tcW w:w="0" w:type="dxa"/>
            <w:vAlign w:val="bottom"/>
          </w:tcPr>
          <w:p>
            <w:pPr>
              <w:spacing w:after="0"/>
              <w:rPr>
                <w:sz w:val="1"/>
                <w:szCs w:val="1"/>
                <w:color w:val="auto"/>
              </w:rPr>
            </w:pPr>
          </w:p>
        </w:tc>
      </w:tr>
      <w:tr>
        <w:trPr>
          <w:trHeight w:val="162"/>
        </w:trPr>
        <w:tc>
          <w:tcPr>
            <w:tcW w:w="4340" w:type="dxa"/>
            <w:vAlign w:val="bottom"/>
            <w:gridSpan w:val="2"/>
          </w:tcPr>
          <w:p>
            <w:pPr>
              <w:spacing w:after="0"/>
              <w:rPr>
                <w:sz w:val="20"/>
                <w:szCs w:val="20"/>
                <w:color w:val="auto"/>
              </w:rPr>
            </w:pPr>
            <w:r>
              <w:rPr>
                <w:rFonts w:ascii="Arial" w:cs="Arial" w:eastAsia="Arial" w:hAnsi="Arial"/>
                <w:sz w:val="14"/>
                <w:szCs w:val="14"/>
                <w:color w:val="auto"/>
              </w:rPr>
              <w:t>Dividends paid (see Note 23)</w:t>
            </w:r>
          </w:p>
        </w:tc>
        <w:tc>
          <w:tcPr>
            <w:tcW w:w="1260" w:type="dxa"/>
            <w:vAlign w:val="bottom"/>
          </w:tcPr>
          <w:p>
            <w:pPr>
              <w:jc w:val="right"/>
              <w:ind w:right="129"/>
              <w:spacing w:after="0"/>
              <w:rPr>
                <w:sz w:val="20"/>
                <w:szCs w:val="20"/>
                <w:color w:val="auto"/>
              </w:rPr>
            </w:pPr>
            <w:r>
              <w:rPr>
                <w:rFonts w:ascii="Arial" w:cs="Arial" w:eastAsia="Arial" w:hAnsi="Arial"/>
                <w:sz w:val="14"/>
                <w:szCs w:val="14"/>
                <w:color w:val="auto"/>
              </w:rPr>
              <w:t>–</w:t>
            </w:r>
          </w:p>
        </w:tc>
        <w:tc>
          <w:tcPr>
            <w:tcW w:w="1160" w:type="dxa"/>
            <w:vAlign w:val="bottom"/>
          </w:tcPr>
          <w:p>
            <w:pPr>
              <w:jc w:val="right"/>
              <w:ind w:right="150"/>
              <w:spacing w:after="0"/>
              <w:rPr>
                <w:sz w:val="20"/>
                <w:szCs w:val="20"/>
                <w:color w:val="auto"/>
              </w:rPr>
            </w:pPr>
            <w:r>
              <w:rPr>
                <w:rFonts w:ascii="Arial" w:cs="Arial" w:eastAsia="Arial" w:hAnsi="Arial"/>
                <w:sz w:val="14"/>
                <w:szCs w:val="14"/>
                <w:color w:val="auto"/>
              </w:rPr>
              <w:t>–</w:t>
            </w:r>
          </w:p>
        </w:tc>
        <w:tc>
          <w:tcPr>
            <w:tcW w:w="1160" w:type="dxa"/>
            <w:vAlign w:val="bottom"/>
          </w:tcPr>
          <w:p>
            <w:pPr>
              <w:jc w:val="right"/>
              <w:ind w:right="149"/>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89"/>
              <w:spacing w:after="0"/>
              <w:rPr>
                <w:sz w:val="20"/>
                <w:szCs w:val="20"/>
                <w:color w:val="auto"/>
              </w:rPr>
            </w:pPr>
            <w:r>
              <w:rPr>
                <w:rFonts w:ascii="Arial" w:cs="Arial" w:eastAsia="Arial" w:hAnsi="Arial"/>
                <w:sz w:val="14"/>
                <w:szCs w:val="14"/>
                <w:color w:val="auto"/>
              </w:rPr>
              <w:t>(11,338)</w:t>
            </w:r>
          </w:p>
        </w:tc>
        <w:tc>
          <w:tcPr>
            <w:tcW w:w="800" w:type="dxa"/>
            <w:vAlign w:val="bottom"/>
          </w:tcPr>
          <w:p>
            <w:pPr>
              <w:jc w:val="right"/>
              <w:spacing w:after="0"/>
              <w:rPr>
                <w:sz w:val="20"/>
                <w:szCs w:val="20"/>
                <w:color w:val="auto"/>
              </w:rPr>
            </w:pPr>
            <w:r>
              <w:rPr>
                <w:rFonts w:ascii="Arial" w:cs="Arial" w:eastAsia="Arial" w:hAnsi="Arial"/>
                <w:sz w:val="14"/>
                <w:szCs w:val="14"/>
                <w:color w:val="auto"/>
              </w:rPr>
              <w:t>(11,338)</w:t>
            </w:r>
          </w:p>
        </w:tc>
        <w:tc>
          <w:tcPr>
            <w:tcW w:w="1040" w:type="dxa"/>
            <w:vAlign w:val="bottom"/>
          </w:tcPr>
          <w:p>
            <w:pPr>
              <w:jc w:val="right"/>
              <w:ind w:right="49"/>
              <w:spacing w:after="0"/>
              <w:rPr>
                <w:sz w:val="20"/>
                <w:szCs w:val="20"/>
                <w:color w:val="auto"/>
              </w:rPr>
            </w:pPr>
            <w:r>
              <w:rPr>
                <w:rFonts w:ascii="Arial" w:cs="Arial" w:eastAsia="Arial" w:hAnsi="Arial"/>
                <w:sz w:val="14"/>
                <w:szCs w:val="14"/>
                <w:color w:val="auto"/>
              </w:rPr>
              <w:t>(252)</w:t>
            </w:r>
          </w:p>
        </w:tc>
        <w:tc>
          <w:tcPr>
            <w:tcW w:w="760" w:type="dxa"/>
            <w:vAlign w:val="bottom"/>
          </w:tcPr>
          <w:p>
            <w:pPr>
              <w:jc w:val="right"/>
              <w:spacing w:after="0"/>
              <w:rPr>
                <w:sz w:val="20"/>
                <w:szCs w:val="20"/>
                <w:color w:val="auto"/>
              </w:rPr>
            </w:pPr>
            <w:r>
              <w:rPr>
                <w:rFonts w:ascii="Arial" w:cs="Arial" w:eastAsia="Arial" w:hAnsi="Arial"/>
                <w:sz w:val="14"/>
                <w:szCs w:val="14"/>
                <w:color w:val="auto"/>
              </w:rPr>
              <w:t>(11,590)</w:t>
            </w:r>
          </w:p>
        </w:tc>
        <w:tc>
          <w:tcPr>
            <w:tcW w:w="0" w:type="dxa"/>
            <w:vAlign w:val="bottom"/>
          </w:tcPr>
          <w:p>
            <w:pPr>
              <w:spacing w:after="0"/>
              <w:rPr>
                <w:sz w:val="1"/>
                <w:szCs w:val="1"/>
                <w:color w:val="auto"/>
              </w:rPr>
            </w:pPr>
          </w:p>
        </w:tc>
      </w:tr>
      <w:tr>
        <w:trPr>
          <w:trHeight w:val="162"/>
        </w:trPr>
        <w:tc>
          <w:tcPr>
            <w:tcW w:w="4340" w:type="dxa"/>
            <w:vAlign w:val="bottom"/>
            <w:gridSpan w:val="2"/>
          </w:tcPr>
          <w:p>
            <w:pPr>
              <w:spacing w:after="0"/>
              <w:rPr>
                <w:sz w:val="20"/>
                <w:szCs w:val="20"/>
                <w:color w:val="auto"/>
              </w:rPr>
            </w:pPr>
            <w:r>
              <w:rPr>
                <w:rFonts w:ascii="Arial" w:cs="Arial" w:eastAsia="Arial" w:hAnsi="Arial"/>
                <w:sz w:val="14"/>
                <w:szCs w:val="14"/>
                <w:color w:val="auto"/>
              </w:rPr>
              <w:t>Scrip dividends (see Note 23)</w:t>
            </w:r>
          </w:p>
        </w:tc>
        <w:tc>
          <w:tcPr>
            <w:tcW w:w="1260" w:type="dxa"/>
            <w:vAlign w:val="bottom"/>
          </w:tcPr>
          <w:p>
            <w:pPr>
              <w:jc w:val="right"/>
              <w:ind w:right="129"/>
              <w:spacing w:after="0"/>
              <w:rPr>
                <w:sz w:val="20"/>
                <w:szCs w:val="20"/>
                <w:color w:val="auto"/>
              </w:rPr>
            </w:pPr>
            <w:r>
              <w:rPr>
                <w:rFonts w:ascii="Arial" w:cs="Arial" w:eastAsia="Arial" w:hAnsi="Arial"/>
                <w:sz w:val="14"/>
                <w:szCs w:val="14"/>
                <w:color w:val="auto"/>
              </w:rPr>
              <w:t>12</w:t>
            </w:r>
          </w:p>
        </w:tc>
        <w:tc>
          <w:tcPr>
            <w:tcW w:w="1160" w:type="dxa"/>
            <w:vAlign w:val="bottom"/>
          </w:tcPr>
          <w:p>
            <w:pPr>
              <w:jc w:val="right"/>
              <w:ind w:right="150"/>
              <w:spacing w:after="0"/>
              <w:rPr>
                <w:sz w:val="20"/>
                <w:szCs w:val="20"/>
                <w:color w:val="auto"/>
              </w:rPr>
            </w:pPr>
            <w:r>
              <w:rPr>
                <w:rFonts w:ascii="Arial" w:cs="Arial" w:eastAsia="Arial" w:hAnsi="Arial"/>
                <w:sz w:val="14"/>
                <w:szCs w:val="14"/>
                <w:color w:val="auto"/>
              </w:rPr>
              <w:t>–</w:t>
            </w:r>
          </w:p>
        </w:tc>
        <w:tc>
          <w:tcPr>
            <w:tcW w:w="1160" w:type="dxa"/>
            <w:vAlign w:val="bottom"/>
          </w:tcPr>
          <w:p>
            <w:pPr>
              <w:jc w:val="right"/>
              <w:ind w:right="89"/>
              <w:spacing w:after="0"/>
              <w:rPr>
                <w:sz w:val="20"/>
                <w:szCs w:val="20"/>
                <w:color w:val="auto"/>
              </w:rPr>
            </w:pPr>
            <w:r>
              <w:rPr>
                <w:rFonts w:ascii="Arial" w:cs="Arial" w:eastAsia="Arial" w:hAnsi="Arial"/>
                <w:sz w:val="14"/>
                <w:szCs w:val="14"/>
                <w:color w:val="auto"/>
              </w:rPr>
              <w:t>(12)</w:t>
            </w:r>
          </w:p>
        </w:tc>
        <w:tc>
          <w:tcPr>
            <w:tcW w:w="900" w:type="dxa"/>
            <w:vAlign w:val="bottom"/>
          </w:tcPr>
          <w:p>
            <w:pPr>
              <w:jc w:val="right"/>
              <w:ind w:right="129"/>
              <w:spacing w:after="0"/>
              <w:rPr>
                <w:sz w:val="20"/>
                <w:szCs w:val="20"/>
                <w:color w:val="auto"/>
              </w:rPr>
            </w:pPr>
            <w:r>
              <w:rPr>
                <w:rFonts w:ascii="Arial" w:cs="Arial" w:eastAsia="Arial" w:hAnsi="Arial"/>
                <w:sz w:val="14"/>
                <w:szCs w:val="14"/>
                <w:color w:val="auto"/>
              </w:rPr>
              <w:t>4,140</w:t>
            </w: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4,140</w:t>
            </w:r>
          </w:p>
        </w:tc>
        <w:tc>
          <w:tcPr>
            <w:tcW w:w="1040" w:type="dxa"/>
            <w:vAlign w:val="bottom"/>
          </w:tcPr>
          <w:p>
            <w:pPr>
              <w:jc w:val="right"/>
              <w:ind w:right="109"/>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29"/>
              <w:spacing w:after="0"/>
              <w:rPr>
                <w:sz w:val="20"/>
                <w:szCs w:val="20"/>
                <w:color w:val="auto"/>
              </w:rPr>
            </w:pPr>
            <w:r>
              <w:rPr>
                <w:rFonts w:ascii="Arial" w:cs="Arial" w:eastAsia="Arial" w:hAnsi="Arial"/>
                <w:sz w:val="14"/>
                <w:szCs w:val="14"/>
                <w:color w:val="auto"/>
              </w:rPr>
              <w:t>4,140</w:t>
            </w:r>
          </w:p>
        </w:tc>
        <w:tc>
          <w:tcPr>
            <w:tcW w:w="0" w:type="dxa"/>
            <w:vAlign w:val="bottom"/>
          </w:tcPr>
          <w:p>
            <w:pPr>
              <w:spacing w:after="0"/>
              <w:rPr>
                <w:sz w:val="1"/>
                <w:szCs w:val="1"/>
                <w:color w:val="auto"/>
              </w:rPr>
            </w:pPr>
          </w:p>
        </w:tc>
      </w:tr>
      <w:tr>
        <w:trPr>
          <w:trHeight w:val="162"/>
        </w:trPr>
        <w:tc>
          <w:tcPr>
            <w:tcW w:w="4340" w:type="dxa"/>
            <w:vAlign w:val="bottom"/>
            <w:gridSpan w:val="2"/>
          </w:tcPr>
          <w:p>
            <w:pPr>
              <w:spacing w:after="0"/>
              <w:rPr>
                <w:sz w:val="20"/>
                <w:szCs w:val="20"/>
                <w:color w:val="auto"/>
              </w:rPr>
            </w:pPr>
            <w:r>
              <w:rPr>
                <w:rFonts w:ascii="Arial" w:cs="Arial" w:eastAsia="Arial" w:hAnsi="Arial"/>
                <w:sz w:val="14"/>
                <w:szCs w:val="14"/>
                <w:color w:val="auto"/>
              </w:rPr>
              <w:t>Repurchases of shares</w:t>
            </w:r>
          </w:p>
        </w:tc>
        <w:tc>
          <w:tcPr>
            <w:tcW w:w="1260" w:type="dxa"/>
            <w:vAlign w:val="bottom"/>
          </w:tcPr>
          <w:p>
            <w:pPr>
              <w:jc w:val="right"/>
              <w:ind w:right="89"/>
              <w:spacing w:after="0"/>
              <w:rPr>
                <w:sz w:val="20"/>
                <w:szCs w:val="20"/>
                <w:color w:val="auto"/>
              </w:rPr>
            </w:pPr>
            <w:r>
              <w:rPr>
                <w:rFonts w:ascii="Arial" w:cs="Arial" w:eastAsia="Arial" w:hAnsi="Arial"/>
                <w:sz w:val="14"/>
                <w:szCs w:val="14"/>
                <w:color w:val="auto"/>
              </w:rPr>
              <w:t>(12)</w:t>
            </w:r>
          </w:p>
        </w:tc>
        <w:tc>
          <w:tcPr>
            <w:tcW w:w="1160" w:type="dxa"/>
            <w:vAlign w:val="bottom"/>
          </w:tcPr>
          <w:p>
            <w:pPr>
              <w:jc w:val="right"/>
              <w:ind w:right="150"/>
              <w:spacing w:after="0"/>
              <w:rPr>
                <w:sz w:val="20"/>
                <w:szCs w:val="20"/>
                <w:color w:val="auto"/>
              </w:rPr>
            </w:pPr>
            <w:r>
              <w:rPr>
                <w:rFonts w:ascii="Arial" w:cs="Arial" w:eastAsia="Arial" w:hAnsi="Arial"/>
                <w:sz w:val="14"/>
                <w:szCs w:val="14"/>
                <w:color w:val="auto"/>
              </w:rPr>
              <w:t>–</w:t>
            </w:r>
          </w:p>
        </w:tc>
        <w:tc>
          <w:tcPr>
            <w:tcW w:w="1160" w:type="dxa"/>
            <w:vAlign w:val="bottom"/>
          </w:tcPr>
          <w:p>
            <w:pPr>
              <w:jc w:val="right"/>
              <w:ind w:right="149"/>
              <w:spacing w:after="0"/>
              <w:rPr>
                <w:sz w:val="20"/>
                <w:szCs w:val="20"/>
                <w:color w:val="auto"/>
              </w:rPr>
            </w:pPr>
            <w:r>
              <w:rPr>
                <w:rFonts w:ascii="Arial" w:cs="Arial" w:eastAsia="Arial" w:hAnsi="Arial"/>
                <w:sz w:val="14"/>
                <w:szCs w:val="14"/>
                <w:color w:val="auto"/>
              </w:rPr>
              <w:t>12</w:t>
            </w:r>
          </w:p>
        </w:tc>
        <w:tc>
          <w:tcPr>
            <w:tcW w:w="900" w:type="dxa"/>
            <w:vAlign w:val="bottom"/>
          </w:tcPr>
          <w:p>
            <w:pPr>
              <w:jc w:val="right"/>
              <w:ind w:right="89"/>
              <w:spacing w:after="0"/>
              <w:rPr>
                <w:sz w:val="20"/>
                <w:szCs w:val="20"/>
                <w:color w:val="auto"/>
              </w:rPr>
            </w:pPr>
            <w:r>
              <w:rPr>
                <w:rFonts w:ascii="Arial" w:cs="Arial" w:eastAsia="Arial" w:hAnsi="Arial"/>
                <w:sz w:val="14"/>
                <w:szCs w:val="14"/>
                <w:color w:val="auto"/>
              </w:rPr>
              <w:t>(5,757)</w:t>
            </w:r>
          </w:p>
        </w:tc>
        <w:tc>
          <w:tcPr>
            <w:tcW w:w="800" w:type="dxa"/>
            <w:vAlign w:val="bottom"/>
          </w:tcPr>
          <w:p>
            <w:pPr>
              <w:jc w:val="right"/>
              <w:spacing w:after="0"/>
              <w:rPr>
                <w:sz w:val="20"/>
                <w:szCs w:val="20"/>
                <w:color w:val="auto"/>
              </w:rPr>
            </w:pPr>
            <w:r>
              <w:rPr>
                <w:rFonts w:ascii="Arial" w:cs="Arial" w:eastAsia="Arial" w:hAnsi="Arial"/>
                <w:sz w:val="14"/>
                <w:szCs w:val="14"/>
                <w:color w:val="auto"/>
              </w:rPr>
              <w:t>(5,757)</w:t>
            </w:r>
          </w:p>
        </w:tc>
        <w:tc>
          <w:tcPr>
            <w:tcW w:w="1040" w:type="dxa"/>
            <w:vAlign w:val="bottom"/>
          </w:tcPr>
          <w:p>
            <w:pPr>
              <w:jc w:val="right"/>
              <w:ind w:right="109"/>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(5,757)</w:t>
            </w:r>
          </w:p>
        </w:tc>
        <w:tc>
          <w:tcPr>
            <w:tcW w:w="0" w:type="dxa"/>
            <w:vAlign w:val="bottom"/>
          </w:tcPr>
          <w:p>
            <w:pPr>
              <w:spacing w:after="0"/>
              <w:rPr>
                <w:sz w:val="1"/>
                <w:szCs w:val="1"/>
                <w:color w:val="auto"/>
              </w:rPr>
            </w:pPr>
          </w:p>
        </w:tc>
      </w:tr>
      <w:tr>
        <w:trPr>
          <w:trHeight w:val="162"/>
        </w:trPr>
        <w:tc>
          <w:tcPr>
            <w:tcW w:w="4340" w:type="dxa"/>
            <w:vAlign w:val="bottom"/>
            <w:gridSpan w:val="2"/>
          </w:tcPr>
          <w:p>
            <w:pPr>
              <w:spacing w:after="0"/>
              <w:rPr>
                <w:sz w:val="20"/>
                <w:szCs w:val="20"/>
                <w:color w:val="auto"/>
              </w:rPr>
            </w:pPr>
            <w:r>
              <w:rPr>
                <w:rFonts w:ascii="Arial" w:cs="Arial" w:eastAsia="Arial" w:hAnsi="Arial"/>
                <w:sz w:val="14"/>
                <w:szCs w:val="14"/>
                <w:color w:val="auto"/>
              </w:rPr>
              <w:t>Shares held in trust: net sales and dividends received</w:t>
            </w:r>
          </w:p>
        </w:tc>
        <w:tc>
          <w:tcPr>
            <w:tcW w:w="1260" w:type="dxa"/>
            <w:vAlign w:val="bottom"/>
          </w:tcPr>
          <w:p>
            <w:pPr>
              <w:jc w:val="right"/>
              <w:ind w:right="129"/>
              <w:spacing w:after="0"/>
              <w:rPr>
                <w:sz w:val="20"/>
                <w:szCs w:val="20"/>
                <w:color w:val="auto"/>
              </w:rPr>
            </w:pPr>
            <w:r>
              <w:rPr>
                <w:rFonts w:ascii="Arial" w:cs="Arial" w:eastAsia="Arial" w:hAnsi="Arial"/>
                <w:sz w:val="14"/>
                <w:szCs w:val="14"/>
                <w:color w:val="auto"/>
              </w:rPr>
              <w:t>–</w:t>
            </w:r>
          </w:p>
        </w:tc>
        <w:tc>
          <w:tcPr>
            <w:tcW w:w="1160" w:type="dxa"/>
            <w:vAlign w:val="bottom"/>
          </w:tcPr>
          <w:p>
            <w:pPr>
              <w:jc w:val="right"/>
              <w:ind w:right="150"/>
              <w:spacing w:after="0"/>
              <w:rPr>
                <w:sz w:val="20"/>
                <w:szCs w:val="20"/>
                <w:color w:val="auto"/>
              </w:rPr>
            </w:pPr>
            <w:r>
              <w:rPr>
                <w:rFonts w:ascii="Arial" w:cs="Arial" w:eastAsia="Arial" w:hAnsi="Arial"/>
                <w:sz w:val="14"/>
                <w:szCs w:val="14"/>
                <w:color w:val="auto"/>
              </w:rPr>
              <w:t>355</w:t>
            </w:r>
          </w:p>
        </w:tc>
        <w:tc>
          <w:tcPr>
            <w:tcW w:w="1160" w:type="dxa"/>
            <w:vAlign w:val="bottom"/>
          </w:tcPr>
          <w:p>
            <w:pPr>
              <w:jc w:val="right"/>
              <w:ind w:right="149"/>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129"/>
              <w:spacing w:after="0"/>
              <w:rPr>
                <w:sz w:val="20"/>
                <w:szCs w:val="20"/>
                <w:color w:val="auto"/>
              </w:rPr>
            </w:pPr>
            <w:r>
              <w:rPr>
                <w:rFonts w:ascii="Arial" w:cs="Arial" w:eastAsia="Arial" w:hAnsi="Arial"/>
                <w:sz w:val="14"/>
                <w:szCs w:val="14"/>
                <w:color w:val="auto"/>
              </w:rPr>
              <w:t>126</w:t>
            </w: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481</w:t>
            </w:r>
          </w:p>
        </w:tc>
        <w:tc>
          <w:tcPr>
            <w:tcW w:w="1040" w:type="dxa"/>
            <w:vAlign w:val="bottom"/>
          </w:tcPr>
          <w:p>
            <w:pPr>
              <w:jc w:val="right"/>
              <w:ind w:right="109"/>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29"/>
              <w:spacing w:after="0"/>
              <w:rPr>
                <w:sz w:val="20"/>
                <w:szCs w:val="20"/>
                <w:color w:val="auto"/>
              </w:rPr>
            </w:pPr>
            <w:r>
              <w:rPr>
                <w:rFonts w:ascii="Arial" w:cs="Arial" w:eastAsia="Arial" w:hAnsi="Arial"/>
                <w:sz w:val="14"/>
                <w:szCs w:val="14"/>
                <w:color w:val="auto"/>
              </w:rPr>
              <w:t>481</w:t>
            </w:r>
          </w:p>
        </w:tc>
        <w:tc>
          <w:tcPr>
            <w:tcW w:w="0" w:type="dxa"/>
            <w:vAlign w:val="bottom"/>
          </w:tcPr>
          <w:p>
            <w:pPr>
              <w:spacing w:after="0"/>
              <w:rPr>
                <w:sz w:val="1"/>
                <w:szCs w:val="1"/>
                <w:color w:val="auto"/>
              </w:rPr>
            </w:pPr>
          </w:p>
        </w:tc>
      </w:tr>
      <w:tr>
        <w:trPr>
          <w:trHeight w:val="157"/>
        </w:trPr>
        <w:tc>
          <w:tcPr>
            <w:tcW w:w="4340" w:type="dxa"/>
            <w:vAlign w:val="bottom"/>
            <w:tcBorders>
              <w:bottom w:val="single" w:sz="8" w:color="auto"/>
            </w:tcBorders>
            <w:gridSpan w:val="2"/>
          </w:tcPr>
          <w:p>
            <w:pPr>
              <w:spacing w:after="0" w:line="157" w:lineRule="exact"/>
              <w:rPr>
                <w:sz w:val="20"/>
                <w:szCs w:val="20"/>
                <w:color w:val="auto"/>
              </w:rPr>
            </w:pPr>
            <w:r>
              <w:rPr>
                <w:rFonts w:ascii="Arial" w:cs="Arial" w:eastAsia="Arial" w:hAnsi="Arial"/>
                <w:sz w:val="14"/>
                <w:szCs w:val="14"/>
                <w:color w:val="auto"/>
              </w:rPr>
              <w:t>Share-based compensation</w:t>
            </w:r>
          </w:p>
        </w:tc>
        <w:tc>
          <w:tcPr>
            <w:tcW w:w="1260" w:type="dxa"/>
            <w:vAlign w:val="bottom"/>
            <w:tcBorders>
              <w:bottom w:val="single" w:sz="8" w:color="auto"/>
            </w:tcBorders>
          </w:tcPr>
          <w:p>
            <w:pPr>
              <w:jc w:val="right"/>
              <w:ind w:right="129"/>
              <w:spacing w:after="0" w:line="157" w:lineRule="exact"/>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tcPr>
          <w:p>
            <w:pPr>
              <w:jc w:val="right"/>
              <w:ind w:right="150"/>
              <w:spacing w:after="0" w:line="157" w:lineRule="exact"/>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tcPr>
          <w:p>
            <w:pPr>
              <w:jc w:val="right"/>
              <w:ind w:right="89"/>
              <w:spacing w:after="0" w:line="157" w:lineRule="exact"/>
              <w:rPr>
                <w:sz w:val="20"/>
                <w:szCs w:val="20"/>
                <w:color w:val="auto"/>
              </w:rPr>
            </w:pPr>
            <w:r>
              <w:rPr>
                <w:rFonts w:ascii="Arial" w:cs="Arial" w:eastAsia="Arial" w:hAnsi="Arial"/>
                <w:sz w:val="14"/>
                <w:szCs w:val="14"/>
                <w:color w:val="auto"/>
              </w:rPr>
              <w:t>(157)</w:t>
            </w:r>
          </w:p>
        </w:tc>
        <w:tc>
          <w:tcPr>
            <w:tcW w:w="900" w:type="dxa"/>
            <w:vAlign w:val="bottom"/>
            <w:tcBorders>
              <w:bottom w:val="single" w:sz="8" w:color="auto"/>
            </w:tcBorders>
          </w:tcPr>
          <w:p>
            <w:pPr>
              <w:jc w:val="right"/>
              <w:ind w:right="89"/>
              <w:spacing w:after="0" w:line="157" w:lineRule="exact"/>
              <w:rPr>
                <w:sz w:val="20"/>
                <w:szCs w:val="20"/>
                <w:color w:val="auto"/>
              </w:rPr>
            </w:pPr>
            <w:r>
              <w:rPr>
                <w:rFonts w:ascii="Arial" w:cs="Arial" w:eastAsia="Arial" w:hAnsi="Arial"/>
                <w:sz w:val="14"/>
                <w:szCs w:val="14"/>
                <w:color w:val="auto"/>
              </w:rPr>
              <w:t>(332)</w:t>
            </w:r>
          </w:p>
        </w:tc>
        <w:tc>
          <w:tcPr>
            <w:tcW w:w="800" w:type="dxa"/>
            <w:vAlign w:val="bottom"/>
            <w:tcBorders>
              <w:bottom w:val="single" w:sz="8" w:color="auto"/>
            </w:tcBorders>
          </w:tcPr>
          <w:p>
            <w:pPr>
              <w:jc w:val="right"/>
              <w:spacing w:after="0" w:line="157" w:lineRule="exact"/>
              <w:rPr>
                <w:sz w:val="20"/>
                <w:szCs w:val="20"/>
                <w:color w:val="auto"/>
              </w:rPr>
            </w:pPr>
            <w:r>
              <w:rPr>
                <w:rFonts w:ascii="Arial" w:cs="Arial" w:eastAsia="Arial" w:hAnsi="Arial"/>
                <w:sz w:val="14"/>
                <w:szCs w:val="14"/>
                <w:color w:val="auto"/>
              </w:rPr>
              <w:t>(489)</w:t>
            </w:r>
          </w:p>
        </w:tc>
        <w:tc>
          <w:tcPr>
            <w:tcW w:w="1040" w:type="dxa"/>
            <w:vAlign w:val="bottom"/>
            <w:tcBorders>
              <w:bottom w:val="single" w:sz="8" w:color="auto"/>
            </w:tcBorders>
          </w:tcPr>
          <w:p>
            <w:pPr>
              <w:jc w:val="right"/>
              <w:ind w:right="109"/>
              <w:spacing w:after="0" w:line="157" w:lineRule="exact"/>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tcPr>
          <w:p>
            <w:pPr>
              <w:jc w:val="right"/>
              <w:spacing w:after="0" w:line="157" w:lineRule="exact"/>
              <w:rPr>
                <w:sz w:val="20"/>
                <w:szCs w:val="20"/>
                <w:color w:val="auto"/>
              </w:rPr>
            </w:pPr>
            <w:r>
              <w:rPr>
                <w:rFonts w:ascii="Arial" w:cs="Arial" w:eastAsia="Arial" w:hAnsi="Arial"/>
                <w:sz w:val="14"/>
                <w:szCs w:val="14"/>
                <w:color w:val="auto"/>
              </w:rPr>
              <w:t>(489)</w:t>
            </w:r>
          </w:p>
        </w:tc>
        <w:tc>
          <w:tcPr>
            <w:tcW w:w="0" w:type="dxa"/>
            <w:vAlign w:val="bottom"/>
          </w:tcPr>
          <w:p>
            <w:pPr>
              <w:spacing w:after="0"/>
              <w:rPr>
                <w:sz w:val="1"/>
                <w:szCs w:val="1"/>
                <w:color w:val="auto"/>
              </w:rPr>
            </w:pPr>
          </w:p>
        </w:tc>
      </w:tr>
      <w:tr>
        <w:trPr>
          <w:trHeight w:val="156"/>
        </w:trPr>
        <w:tc>
          <w:tcPr>
            <w:tcW w:w="4340" w:type="dxa"/>
            <w:vAlign w:val="bottom"/>
            <w:tcBorders>
              <w:bottom w:val="single" w:sz="8" w:color="auto"/>
            </w:tcBorders>
            <w:gridSpan w:val="2"/>
          </w:tcPr>
          <w:p>
            <w:pPr>
              <w:spacing w:after="0" w:line="155" w:lineRule="exact"/>
              <w:rPr>
                <w:sz w:val="20"/>
                <w:szCs w:val="20"/>
                <w:color w:val="auto"/>
              </w:rPr>
            </w:pPr>
            <w:r>
              <w:rPr>
                <w:rFonts w:ascii="Arial" w:cs="Arial" w:eastAsia="Arial" w:hAnsi="Arial"/>
                <w:sz w:val="14"/>
                <w:szCs w:val="14"/>
                <w:b w:val="1"/>
                <w:bCs w:val="1"/>
                <w:color w:val="auto"/>
              </w:rPr>
              <w:t>At December 31, 2013</w:t>
            </w:r>
          </w:p>
        </w:tc>
        <w:tc>
          <w:tcPr>
            <w:tcW w:w="1260" w:type="dxa"/>
            <w:vAlign w:val="bottom"/>
            <w:tcBorders>
              <w:bottom w:val="single" w:sz="8" w:color="auto"/>
            </w:tcBorders>
          </w:tcPr>
          <w:p>
            <w:pPr>
              <w:jc w:val="right"/>
              <w:ind w:right="129"/>
              <w:spacing w:after="0" w:line="155" w:lineRule="exact"/>
              <w:rPr>
                <w:sz w:val="20"/>
                <w:szCs w:val="20"/>
                <w:color w:val="auto"/>
              </w:rPr>
            </w:pPr>
            <w:r>
              <w:rPr>
                <w:rFonts w:ascii="Arial" w:cs="Arial" w:eastAsia="Arial" w:hAnsi="Arial"/>
                <w:sz w:val="14"/>
                <w:szCs w:val="14"/>
                <w:color w:val="auto"/>
              </w:rPr>
              <w:t>542</w:t>
            </w:r>
          </w:p>
        </w:tc>
        <w:tc>
          <w:tcPr>
            <w:tcW w:w="1160" w:type="dxa"/>
            <w:vAlign w:val="bottom"/>
            <w:tcBorders>
              <w:bottom w:val="single" w:sz="8" w:color="auto"/>
            </w:tcBorders>
          </w:tcPr>
          <w:p>
            <w:pPr>
              <w:jc w:val="right"/>
              <w:ind w:right="90"/>
              <w:spacing w:after="0" w:line="155" w:lineRule="exact"/>
              <w:rPr>
                <w:sz w:val="20"/>
                <w:szCs w:val="20"/>
                <w:color w:val="auto"/>
              </w:rPr>
            </w:pPr>
            <w:r>
              <w:rPr>
                <w:rFonts w:ascii="Arial" w:cs="Arial" w:eastAsia="Arial" w:hAnsi="Arial"/>
                <w:sz w:val="14"/>
                <w:szCs w:val="14"/>
                <w:color w:val="auto"/>
              </w:rPr>
              <w:t>(1,932)</w:t>
            </w:r>
          </w:p>
        </w:tc>
        <w:tc>
          <w:tcPr>
            <w:tcW w:w="1160" w:type="dxa"/>
            <w:vAlign w:val="bottom"/>
            <w:tcBorders>
              <w:bottom w:val="single" w:sz="8" w:color="auto"/>
            </w:tcBorders>
          </w:tcPr>
          <w:p>
            <w:pPr>
              <w:jc w:val="right"/>
              <w:ind w:right="89"/>
              <w:spacing w:after="0" w:line="155" w:lineRule="exact"/>
              <w:rPr>
                <w:sz w:val="20"/>
                <w:szCs w:val="20"/>
                <w:color w:val="auto"/>
              </w:rPr>
            </w:pPr>
            <w:r>
              <w:rPr>
                <w:rFonts w:ascii="Arial" w:cs="Arial" w:eastAsia="Arial" w:hAnsi="Arial"/>
                <w:sz w:val="14"/>
                <w:szCs w:val="14"/>
                <w:color w:val="auto"/>
              </w:rPr>
              <w:t>(2,037)</w:t>
            </w:r>
          </w:p>
        </w:tc>
        <w:tc>
          <w:tcPr>
            <w:tcW w:w="900" w:type="dxa"/>
            <w:vAlign w:val="bottom"/>
            <w:tcBorders>
              <w:bottom w:val="single" w:sz="8" w:color="auto"/>
            </w:tcBorders>
          </w:tcPr>
          <w:p>
            <w:pPr>
              <w:jc w:val="right"/>
              <w:ind w:right="129"/>
              <w:spacing w:after="0" w:line="155" w:lineRule="exact"/>
              <w:rPr>
                <w:sz w:val="20"/>
                <w:szCs w:val="20"/>
                <w:color w:val="auto"/>
              </w:rPr>
            </w:pPr>
            <w:r>
              <w:rPr>
                <w:rFonts w:ascii="Arial" w:cs="Arial" w:eastAsia="Arial" w:hAnsi="Arial"/>
                <w:sz w:val="14"/>
                <w:szCs w:val="14"/>
                <w:color w:val="auto"/>
              </w:rPr>
              <w:t>183,474</w:t>
            </w:r>
          </w:p>
        </w:tc>
        <w:tc>
          <w:tcPr>
            <w:tcW w:w="800" w:type="dxa"/>
            <w:vAlign w:val="bottom"/>
            <w:tcBorders>
              <w:bottom w:val="single" w:sz="8" w:color="auto"/>
            </w:tcBorders>
          </w:tcPr>
          <w:p>
            <w:pPr>
              <w:jc w:val="right"/>
              <w:ind w:right="28"/>
              <w:spacing w:after="0" w:line="155" w:lineRule="exact"/>
              <w:rPr>
                <w:sz w:val="20"/>
                <w:szCs w:val="20"/>
                <w:color w:val="auto"/>
              </w:rPr>
            </w:pPr>
            <w:r>
              <w:rPr>
                <w:rFonts w:ascii="Arial" w:cs="Arial" w:eastAsia="Arial" w:hAnsi="Arial"/>
                <w:sz w:val="14"/>
                <w:szCs w:val="14"/>
                <w:color w:val="auto"/>
              </w:rPr>
              <w:t>180,047</w:t>
            </w:r>
          </w:p>
        </w:tc>
        <w:tc>
          <w:tcPr>
            <w:tcW w:w="1040" w:type="dxa"/>
            <w:vAlign w:val="bottom"/>
            <w:tcBorders>
              <w:bottom w:val="single" w:sz="8" w:color="auto"/>
            </w:tcBorders>
          </w:tcPr>
          <w:p>
            <w:pPr>
              <w:jc w:val="right"/>
              <w:ind w:right="109"/>
              <w:spacing w:after="0" w:line="155" w:lineRule="exact"/>
              <w:rPr>
                <w:sz w:val="20"/>
                <w:szCs w:val="20"/>
                <w:color w:val="auto"/>
              </w:rPr>
            </w:pPr>
            <w:r>
              <w:rPr>
                <w:rFonts w:ascii="Arial" w:cs="Arial" w:eastAsia="Arial" w:hAnsi="Arial"/>
                <w:sz w:val="14"/>
                <w:szCs w:val="14"/>
                <w:color w:val="auto"/>
              </w:rPr>
              <w:t>1,101</w:t>
            </w:r>
          </w:p>
        </w:tc>
        <w:tc>
          <w:tcPr>
            <w:tcW w:w="760" w:type="dxa"/>
            <w:vAlign w:val="bottom"/>
            <w:tcBorders>
              <w:bottom w:val="single" w:sz="8" w:color="auto"/>
            </w:tcBorders>
          </w:tcPr>
          <w:p>
            <w:pPr>
              <w:jc w:val="right"/>
              <w:ind w:right="29"/>
              <w:spacing w:after="0" w:line="155" w:lineRule="exact"/>
              <w:rPr>
                <w:sz w:val="20"/>
                <w:szCs w:val="20"/>
                <w:color w:val="auto"/>
              </w:rPr>
            </w:pPr>
            <w:r>
              <w:rPr>
                <w:rFonts w:ascii="Arial" w:cs="Arial" w:eastAsia="Arial" w:hAnsi="Arial"/>
                <w:sz w:val="14"/>
                <w:szCs w:val="14"/>
                <w:color w:val="auto"/>
              </w:rPr>
              <w:t>181,148</w:t>
            </w:r>
          </w:p>
        </w:tc>
        <w:tc>
          <w:tcPr>
            <w:tcW w:w="0" w:type="dxa"/>
            <w:vAlign w:val="bottom"/>
          </w:tcPr>
          <w:p>
            <w:pPr>
              <w:spacing w:after="0"/>
              <w:rPr>
                <w:sz w:val="1"/>
                <w:szCs w:val="1"/>
                <w:color w:val="auto"/>
              </w:rPr>
            </w:pPr>
          </w:p>
        </w:tc>
      </w:tr>
      <w:tr>
        <w:trPr>
          <w:trHeight w:val="160"/>
        </w:trPr>
        <w:tc>
          <w:tcPr>
            <w:tcW w:w="4340" w:type="dxa"/>
            <w:vAlign w:val="bottom"/>
            <w:gridSpan w:val="2"/>
          </w:tcPr>
          <w:p>
            <w:pPr>
              <w:spacing w:after="0"/>
              <w:rPr>
                <w:sz w:val="20"/>
                <w:szCs w:val="20"/>
                <w:color w:val="auto"/>
              </w:rPr>
            </w:pPr>
            <w:r>
              <w:rPr>
                <w:rFonts w:ascii="Arial" w:cs="Arial" w:eastAsia="Arial" w:hAnsi="Arial"/>
                <w:sz w:val="14"/>
                <w:szCs w:val="14"/>
                <w:b w:val="1"/>
                <w:bCs w:val="1"/>
                <w:color w:val="auto"/>
              </w:rPr>
              <w:t>At January 1, 2012</w:t>
            </w:r>
          </w:p>
        </w:tc>
        <w:tc>
          <w:tcPr>
            <w:tcW w:w="1260" w:type="dxa"/>
            <w:vAlign w:val="bottom"/>
          </w:tcPr>
          <w:p>
            <w:pPr>
              <w:jc w:val="right"/>
              <w:ind w:right="129"/>
              <w:spacing w:after="0"/>
              <w:rPr>
                <w:sz w:val="20"/>
                <w:szCs w:val="20"/>
                <w:color w:val="auto"/>
              </w:rPr>
            </w:pPr>
            <w:r>
              <w:rPr>
                <w:rFonts w:ascii="Arial" w:cs="Arial" w:eastAsia="Arial" w:hAnsi="Arial"/>
                <w:sz w:val="14"/>
                <w:szCs w:val="14"/>
                <w:color w:val="auto"/>
              </w:rPr>
              <w:t>536</w:t>
            </w:r>
          </w:p>
        </w:tc>
        <w:tc>
          <w:tcPr>
            <w:tcW w:w="1160" w:type="dxa"/>
            <w:vAlign w:val="bottom"/>
          </w:tcPr>
          <w:p>
            <w:pPr>
              <w:jc w:val="right"/>
              <w:ind w:right="90"/>
              <w:spacing w:after="0"/>
              <w:rPr>
                <w:sz w:val="20"/>
                <w:szCs w:val="20"/>
                <w:color w:val="auto"/>
              </w:rPr>
            </w:pPr>
            <w:r>
              <w:rPr>
                <w:rFonts w:ascii="Arial" w:cs="Arial" w:eastAsia="Arial" w:hAnsi="Arial"/>
                <w:sz w:val="14"/>
                <w:szCs w:val="14"/>
                <w:color w:val="auto"/>
              </w:rPr>
              <w:t>(2,990)</w:t>
            </w:r>
          </w:p>
        </w:tc>
        <w:tc>
          <w:tcPr>
            <w:tcW w:w="1160" w:type="dxa"/>
            <w:vAlign w:val="bottom"/>
          </w:tcPr>
          <w:p>
            <w:pPr>
              <w:jc w:val="right"/>
              <w:ind w:right="89"/>
              <w:spacing w:after="0"/>
              <w:rPr>
                <w:sz w:val="20"/>
                <w:szCs w:val="20"/>
                <w:color w:val="auto"/>
              </w:rPr>
            </w:pPr>
            <w:r>
              <w:rPr>
                <w:rFonts w:ascii="Arial" w:cs="Arial" w:eastAsia="Arial" w:hAnsi="Arial"/>
                <w:sz w:val="14"/>
                <w:szCs w:val="14"/>
                <w:color w:val="auto"/>
              </w:rPr>
              <w:t>(1,961)</w:t>
            </w:r>
          </w:p>
        </w:tc>
        <w:tc>
          <w:tcPr>
            <w:tcW w:w="900" w:type="dxa"/>
            <w:vAlign w:val="bottom"/>
          </w:tcPr>
          <w:p>
            <w:pPr>
              <w:jc w:val="right"/>
              <w:ind w:right="129"/>
              <w:spacing w:after="0"/>
              <w:rPr>
                <w:sz w:val="20"/>
                <w:szCs w:val="20"/>
                <w:color w:val="auto"/>
              </w:rPr>
            </w:pPr>
            <w:r>
              <w:rPr>
                <w:rFonts w:ascii="Arial" w:cs="Arial" w:eastAsia="Arial" w:hAnsi="Arial"/>
                <w:sz w:val="14"/>
                <w:szCs w:val="14"/>
                <w:color w:val="auto"/>
              </w:rPr>
              <w:t>162,895</w:t>
            </w: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158,480</w:t>
            </w:r>
          </w:p>
        </w:tc>
        <w:tc>
          <w:tcPr>
            <w:tcW w:w="1040" w:type="dxa"/>
            <w:vAlign w:val="bottom"/>
          </w:tcPr>
          <w:p>
            <w:pPr>
              <w:jc w:val="right"/>
              <w:ind w:right="109"/>
              <w:spacing w:after="0"/>
              <w:rPr>
                <w:sz w:val="20"/>
                <w:szCs w:val="20"/>
                <w:color w:val="auto"/>
              </w:rPr>
            </w:pPr>
            <w:r>
              <w:rPr>
                <w:rFonts w:ascii="Arial" w:cs="Arial" w:eastAsia="Arial" w:hAnsi="Arial"/>
                <w:sz w:val="14"/>
                <w:szCs w:val="14"/>
                <w:color w:val="auto"/>
              </w:rPr>
              <w:t>1,486</w:t>
            </w:r>
          </w:p>
        </w:tc>
        <w:tc>
          <w:tcPr>
            <w:tcW w:w="760" w:type="dxa"/>
            <w:vAlign w:val="bottom"/>
          </w:tcPr>
          <w:p>
            <w:pPr>
              <w:jc w:val="right"/>
              <w:ind w:right="29"/>
              <w:spacing w:after="0"/>
              <w:rPr>
                <w:sz w:val="20"/>
                <w:szCs w:val="20"/>
                <w:color w:val="auto"/>
              </w:rPr>
            </w:pPr>
            <w:r>
              <w:rPr>
                <w:rFonts w:ascii="Arial" w:cs="Arial" w:eastAsia="Arial" w:hAnsi="Arial"/>
                <w:sz w:val="14"/>
                <w:szCs w:val="14"/>
                <w:color w:val="auto"/>
              </w:rPr>
              <w:t>159,966</w:t>
            </w:r>
          </w:p>
        </w:tc>
        <w:tc>
          <w:tcPr>
            <w:tcW w:w="0" w:type="dxa"/>
            <w:vAlign w:val="bottom"/>
          </w:tcPr>
          <w:p>
            <w:pPr>
              <w:spacing w:after="0"/>
              <w:rPr>
                <w:sz w:val="1"/>
                <w:szCs w:val="1"/>
                <w:color w:val="auto"/>
              </w:rPr>
            </w:pPr>
          </w:p>
        </w:tc>
      </w:tr>
      <w:tr>
        <w:trPr>
          <w:trHeight w:val="162"/>
        </w:trPr>
        <w:tc>
          <w:tcPr>
            <w:tcW w:w="4340" w:type="dxa"/>
            <w:vAlign w:val="bottom"/>
            <w:gridSpan w:val="2"/>
          </w:tcPr>
          <w:p>
            <w:pPr>
              <w:spacing w:after="0"/>
              <w:rPr>
                <w:sz w:val="20"/>
                <w:szCs w:val="20"/>
                <w:color w:val="auto"/>
              </w:rPr>
            </w:pPr>
            <w:r>
              <w:rPr>
                <w:rFonts w:ascii="Arial" w:cs="Arial" w:eastAsia="Arial" w:hAnsi="Arial"/>
                <w:sz w:val="14"/>
                <w:szCs w:val="14"/>
                <w:color w:val="auto"/>
              </w:rPr>
              <w:t>Comprehensive income for the period</w:t>
            </w:r>
          </w:p>
        </w:tc>
        <w:tc>
          <w:tcPr>
            <w:tcW w:w="1260" w:type="dxa"/>
            <w:vAlign w:val="bottom"/>
          </w:tcPr>
          <w:p>
            <w:pPr>
              <w:jc w:val="right"/>
              <w:ind w:right="129"/>
              <w:spacing w:after="0"/>
              <w:rPr>
                <w:sz w:val="20"/>
                <w:szCs w:val="20"/>
                <w:color w:val="auto"/>
              </w:rPr>
            </w:pPr>
            <w:r>
              <w:rPr>
                <w:rFonts w:ascii="Arial" w:cs="Arial" w:eastAsia="Arial" w:hAnsi="Arial"/>
                <w:sz w:val="14"/>
                <w:szCs w:val="14"/>
                <w:color w:val="auto"/>
              </w:rPr>
              <w:t>–</w:t>
            </w:r>
          </w:p>
        </w:tc>
        <w:tc>
          <w:tcPr>
            <w:tcW w:w="1160" w:type="dxa"/>
            <w:vAlign w:val="bottom"/>
          </w:tcPr>
          <w:p>
            <w:pPr>
              <w:jc w:val="right"/>
              <w:ind w:right="150"/>
              <w:spacing w:after="0"/>
              <w:rPr>
                <w:sz w:val="20"/>
                <w:szCs w:val="20"/>
                <w:color w:val="auto"/>
              </w:rPr>
            </w:pPr>
            <w:r>
              <w:rPr>
                <w:rFonts w:ascii="Arial" w:cs="Arial" w:eastAsia="Arial" w:hAnsi="Arial"/>
                <w:sz w:val="14"/>
                <w:szCs w:val="14"/>
                <w:color w:val="auto"/>
              </w:rPr>
              <w:t>–</w:t>
            </w:r>
          </w:p>
        </w:tc>
        <w:tc>
          <w:tcPr>
            <w:tcW w:w="1160" w:type="dxa"/>
            <w:vAlign w:val="bottom"/>
          </w:tcPr>
          <w:p>
            <w:pPr>
              <w:jc w:val="right"/>
              <w:ind w:right="89"/>
              <w:spacing w:after="0"/>
              <w:rPr>
                <w:sz w:val="20"/>
                <w:szCs w:val="20"/>
                <w:color w:val="auto"/>
              </w:rPr>
            </w:pPr>
            <w:r>
              <w:rPr>
                <w:rFonts w:ascii="Arial" w:cs="Arial" w:eastAsia="Arial" w:hAnsi="Arial"/>
                <w:sz w:val="14"/>
                <w:szCs w:val="14"/>
                <w:color w:val="auto"/>
              </w:rPr>
              <w:t>(2,242)</w:t>
            </w:r>
          </w:p>
        </w:tc>
        <w:tc>
          <w:tcPr>
            <w:tcW w:w="900" w:type="dxa"/>
            <w:vAlign w:val="bottom"/>
          </w:tcPr>
          <w:p>
            <w:pPr>
              <w:jc w:val="right"/>
              <w:ind w:right="129"/>
              <w:spacing w:after="0"/>
              <w:rPr>
                <w:sz w:val="20"/>
                <w:szCs w:val="20"/>
                <w:color w:val="auto"/>
              </w:rPr>
            </w:pPr>
            <w:r>
              <w:rPr>
                <w:rFonts w:ascii="Arial" w:cs="Arial" w:eastAsia="Arial" w:hAnsi="Arial"/>
                <w:sz w:val="14"/>
                <w:szCs w:val="14"/>
                <w:color w:val="auto"/>
              </w:rPr>
              <w:t>26,712</w:t>
            </w: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24,470</w:t>
            </w:r>
          </w:p>
        </w:tc>
        <w:tc>
          <w:tcPr>
            <w:tcW w:w="1040" w:type="dxa"/>
            <w:vAlign w:val="bottom"/>
          </w:tcPr>
          <w:p>
            <w:pPr>
              <w:jc w:val="right"/>
              <w:ind w:right="109"/>
              <w:spacing w:after="0"/>
              <w:rPr>
                <w:sz w:val="20"/>
                <w:szCs w:val="20"/>
                <w:color w:val="auto"/>
              </w:rPr>
            </w:pPr>
            <w:r>
              <w:rPr>
                <w:rFonts w:ascii="Arial" w:cs="Arial" w:eastAsia="Arial" w:hAnsi="Arial"/>
                <w:sz w:val="14"/>
                <w:szCs w:val="14"/>
                <w:color w:val="auto"/>
              </w:rPr>
              <w:t>300</w:t>
            </w:r>
          </w:p>
        </w:tc>
        <w:tc>
          <w:tcPr>
            <w:tcW w:w="760" w:type="dxa"/>
            <w:vAlign w:val="bottom"/>
          </w:tcPr>
          <w:p>
            <w:pPr>
              <w:jc w:val="right"/>
              <w:ind w:right="29"/>
              <w:spacing w:after="0"/>
              <w:rPr>
                <w:sz w:val="20"/>
                <w:szCs w:val="20"/>
                <w:color w:val="auto"/>
              </w:rPr>
            </w:pPr>
            <w:r>
              <w:rPr>
                <w:rFonts w:ascii="Arial" w:cs="Arial" w:eastAsia="Arial" w:hAnsi="Arial"/>
                <w:sz w:val="14"/>
                <w:szCs w:val="14"/>
                <w:color w:val="auto"/>
              </w:rPr>
              <w:t>24,770</w:t>
            </w:r>
          </w:p>
        </w:tc>
        <w:tc>
          <w:tcPr>
            <w:tcW w:w="0" w:type="dxa"/>
            <w:vAlign w:val="bottom"/>
          </w:tcPr>
          <w:p>
            <w:pPr>
              <w:spacing w:after="0"/>
              <w:rPr>
                <w:sz w:val="1"/>
                <w:szCs w:val="1"/>
                <w:color w:val="auto"/>
              </w:rPr>
            </w:pPr>
          </w:p>
        </w:tc>
      </w:tr>
      <w:tr>
        <w:trPr>
          <w:trHeight w:val="162"/>
        </w:trPr>
        <w:tc>
          <w:tcPr>
            <w:tcW w:w="4340" w:type="dxa"/>
            <w:vAlign w:val="bottom"/>
            <w:gridSpan w:val="2"/>
          </w:tcPr>
          <w:p>
            <w:pPr>
              <w:spacing w:after="0"/>
              <w:rPr>
                <w:sz w:val="20"/>
                <w:szCs w:val="20"/>
                <w:color w:val="auto"/>
              </w:rPr>
            </w:pPr>
            <w:r>
              <w:rPr>
                <w:rFonts w:ascii="Arial" w:cs="Arial" w:eastAsia="Arial" w:hAnsi="Arial"/>
                <w:sz w:val="14"/>
                <w:szCs w:val="14"/>
                <w:color w:val="auto"/>
              </w:rPr>
              <w:t>Capital contributions from, and other changes in, non-controlling</w:t>
            </w:r>
          </w:p>
        </w:tc>
        <w:tc>
          <w:tcPr>
            <w:tcW w:w="12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320" w:type="dxa"/>
            <w:vAlign w:val="bottom"/>
          </w:tcPr>
          <w:p>
            <w:pPr>
              <w:ind w:left="140"/>
              <w:spacing w:after="0"/>
              <w:rPr>
                <w:sz w:val="20"/>
                <w:szCs w:val="20"/>
                <w:color w:val="auto"/>
              </w:rPr>
            </w:pPr>
            <w:r>
              <w:rPr>
                <w:rFonts w:ascii="Arial" w:cs="Arial" w:eastAsia="Arial" w:hAnsi="Arial"/>
                <w:sz w:val="14"/>
                <w:szCs w:val="14"/>
                <w:color w:val="auto"/>
              </w:rPr>
              <w:t>interest</w:t>
            </w:r>
          </w:p>
        </w:tc>
        <w:tc>
          <w:tcPr>
            <w:tcW w:w="1260" w:type="dxa"/>
            <w:vAlign w:val="bottom"/>
          </w:tcPr>
          <w:p>
            <w:pPr>
              <w:jc w:val="right"/>
              <w:ind w:right="129"/>
              <w:spacing w:after="0"/>
              <w:rPr>
                <w:sz w:val="20"/>
                <w:szCs w:val="20"/>
                <w:color w:val="auto"/>
              </w:rPr>
            </w:pPr>
            <w:r>
              <w:rPr>
                <w:rFonts w:ascii="Arial" w:cs="Arial" w:eastAsia="Arial" w:hAnsi="Arial"/>
                <w:sz w:val="14"/>
                <w:szCs w:val="14"/>
                <w:color w:val="auto"/>
              </w:rPr>
              <w:t>–</w:t>
            </w:r>
          </w:p>
        </w:tc>
        <w:tc>
          <w:tcPr>
            <w:tcW w:w="1160" w:type="dxa"/>
            <w:vAlign w:val="bottom"/>
          </w:tcPr>
          <w:p>
            <w:pPr>
              <w:jc w:val="right"/>
              <w:ind w:right="150"/>
              <w:spacing w:after="0"/>
              <w:rPr>
                <w:sz w:val="20"/>
                <w:szCs w:val="20"/>
                <w:color w:val="auto"/>
              </w:rPr>
            </w:pPr>
            <w:r>
              <w:rPr>
                <w:rFonts w:ascii="Arial" w:cs="Arial" w:eastAsia="Arial" w:hAnsi="Arial"/>
                <w:sz w:val="14"/>
                <w:szCs w:val="14"/>
                <w:color w:val="auto"/>
              </w:rPr>
              <w:t>–</w:t>
            </w:r>
          </w:p>
        </w:tc>
        <w:tc>
          <w:tcPr>
            <w:tcW w:w="1160" w:type="dxa"/>
            <w:vAlign w:val="bottom"/>
          </w:tcPr>
          <w:p>
            <w:pPr>
              <w:jc w:val="right"/>
              <w:ind w:right="149"/>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129"/>
              <w:spacing w:after="0"/>
              <w:rPr>
                <w:sz w:val="20"/>
                <w:szCs w:val="20"/>
                <w:color w:val="auto"/>
              </w:rPr>
            </w:pPr>
            <w:r>
              <w:rPr>
                <w:rFonts w:ascii="Arial" w:cs="Arial" w:eastAsia="Arial" w:hAnsi="Arial"/>
                <w:sz w:val="14"/>
                <w:szCs w:val="14"/>
                <w:color w:val="auto"/>
              </w:rPr>
              <w:t>39</w:t>
            </w: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39</w:t>
            </w:r>
          </w:p>
        </w:tc>
        <w:tc>
          <w:tcPr>
            <w:tcW w:w="1040" w:type="dxa"/>
            <w:vAlign w:val="bottom"/>
          </w:tcPr>
          <w:p>
            <w:pPr>
              <w:jc w:val="right"/>
              <w:ind w:right="49"/>
              <w:spacing w:after="0"/>
              <w:rPr>
                <w:sz w:val="20"/>
                <w:szCs w:val="20"/>
                <w:color w:val="auto"/>
              </w:rPr>
            </w:pPr>
            <w:r>
              <w:rPr>
                <w:rFonts w:ascii="Arial" w:cs="Arial" w:eastAsia="Arial" w:hAnsi="Arial"/>
                <w:sz w:val="14"/>
                <w:szCs w:val="14"/>
                <w:color w:val="auto"/>
              </w:rPr>
              <w:t>(61)</w:t>
            </w:r>
          </w:p>
        </w:tc>
        <w:tc>
          <w:tcPr>
            <w:tcW w:w="760" w:type="dxa"/>
            <w:vAlign w:val="bottom"/>
          </w:tcPr>
          <w:p>
            <w:pPr>
              <w:jc w:val="right"/>
              <w:spacing w:after="0"/>
              <w:rPr>
                <w:sz w:val="20"/>
                <w:szCs w:val="20"/>
                <w:color w:val="auto"/>
              </w:rPr>
            </w:pPr>
            <w:r>
              <w:rPr>
                <w:rFonts w:ascii="Arial" w:cs="Arial" w:eastAsia="Arial" w:hAnsi="Arial"/>
                <w:sz w:val="14"/>
                <w:szCs w:val="14"/>
                <w:color w:val="auto"/>
              </w:rPr>
              <w:t>(22)</w:t>
            </w:r>
          </w:p>
        </w:tc>
        <w:tc>
          <w:tcPr>
            <w:tcW w:w="0" w:type="dxa"/>
            <w:vAlign w:val="bottom"/>
          </w:tcPr>
          <w:p>
            <w:pPr>
              <w:spacing w:after="0"/>
              <w:rPr>
                <w:sz w:val="1"/>
                <w:szCs w:val="1"/>
                <w:color w:val="auto"/>
              </w:rPr>
            </w:pPr>
          </w:p>
        </w:tc>
      </w:tr>
      <w:tr>
        <w:trPr>
          <w:trHeight w:val="162"/>
        </w:trPr>
        <w:tc>
          <w:tcPr>
            <w:tcW w:w="4340" w:type="dxa"/>
            <w:vAlign w:val="bottom"/>
            <w:gridSpan w:val="2"/>
          </w:tcPr>
          <w:p>
            <w:pPr>
              <w:spacing w:after="0"/>
              <w:rPr>
                <w:sz w:val="20"/>
                <w:szCs w:val="20"/>
                <w:color w:val="auto"/>
              </w:rPr>
            </w:pPr>
            <w:r>
              <w:rPr>
                <w:rFonts w:ascii="Arial" w:cs="Arial" w:eastAsia="Arial" w:hAnsi="Arial"/>
                <w:sz w:val="14"/>
                <w:szCs w:val="14"/>
                <w:color w:val="auto"/>
              </w:rPr>
              <w:t>Dividends paid (see Note 23)</w:t>
            </w:r>
          </w:p>
        </w:tc>
        <w:tc>
          <w:tcPr>
            <w:tcW w:w="1260" w:type="dxa"/>
            <w:vAlign w:val="bottom"/>
          </w:tcPr>
          <w:p>
            <w:pPr>
              <w:jc w:val="right"/>
              <w:ind w:right="129"/>
              <w:spacing w:after="0"/>
              <w:rPr>
                <w:sz w:val="20"/>
                <w:szCs w:val="20"/>
                <w:color w:val="auto"/>
              </w:rPr>
            </w:pPr>
            <w:r>
              <w:rPr>
                <w:rFonts w:ascii="Arial" w:cs="Arial" w:eastAsia="Arial" w:hAnsi="Arial"/>
                <w:sz w:val="14"/>
                <w:szCs w:val="14"/>
                <w:color w:val="auto"/>
              </w:rPr>
              <w:t>–</w:t>
            </w:r>
          </w:p>
        </w:tc>
        <w:tc>
          <w:tcPr>
            <w:tcW w:w="1160" w:type="dxa"/>
            <w:vAlign w:val="bottom"/>
          </w:tcPr>
          <w:p>
            <w:pPr>
              <w:jc w:val="right"/>
              <w:ind w:right="150"/>
              <w:spacing w:after="0"/>
              <w:rPr>
                <w:sz w:val="20"/>
                <w:szCs w:val="20"/>
                <w:color w:val="auto"/>
              </w:rPr>
            </w:pPr>
            <w:r>
              <w:rPr>
                <w:rFonts w:ascii="Arial" w:cs="Arial" w:eastAsia="Arial" w:hAnsi="Arial"/>
                <w:sz w:val="14"/>
                <w:szCs w:val="14"/>
                <w:color w:val="auto"/>
              </w:rPr>
              <w:t>–</w:t>
            </w:r>
          </w:p>
        </w:tc>
        <w:tc>
          <w:tcPr>
            <w:tcW w:w="1160" w:type="dxa"/>
            <w:vAlign w:val="bottom"/>
          </w:tcPr>
          <w:p>
            <w:pPr>
              <w:jc w:val="right"/>
              <w:ind w:right="149"/>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89"/>
              <w:spacing w:after="0"/>
              <w:rPr>
                <w:sz w:val="20"/>
                <w:szCs w:val="20"/>
                <w:color w:val="auto"/>
              </w:rPr>
            </w:pPr>
            <w:r>
              <w:rPr>
                <w:rFonts w:ascii="Arial" w:cs="Arial" w:eastAsia="Arial" w:hAnsi="Arial"/>
                <w:sz w:val="14"/>
                <w:szCs w:val="14"/>
                <w:color w:val="auto"/>
              </w:rPr>
              <w:t>(10,955)</w:t>
            </w:r>
          </w:p>
        </w:tc>
        <w:tc>
          <w:tcPr>
            <w:tcW w:w="800" w:type="dxa"/>
            <w:vAlign w:val="bottom"/>
          </w:tcPr>
          <w:p>
            <w:pPr>
              <w:jc w:val="right"/>
              <w:spacing w:after="0"/>
              <w:rPr>
                <w:sz w:val="20"/>
                <w:szCs w:val="20"/>
                <w:color w:val="auto"/>
              </w:rPr>
            </w:pPr>
            <w:r>
              <w:rPr>
                <w:rFonts w:ascii="Arial" w:cs="Arial" w:eastAsia="Arial" w:hAnsi="Arial"/>
                <w:sz w:val="14"/>
                <w:szCs w:val="14"/>
                <w:color w:val="auto"/>
              </w:rPr>
              <w:t>(10,955)</w:t>
            </w:r>
          </w:p>
        </w:tc>
        <w:tc>
          <w:tcPr>
            <w:tcW w:w="1040" w:type="dxa"/>
            <w:vAlign w:val="bottom"/>
          </w:tcPr>
          <w:p>
            <w:pPr>
              <w:jc w:val="right"/>
              <w:ind w:right="49"/>
              <w:spacing w:after="0"/>
              <w:rPr>
                <w:sz w:val="20"/>
                <w:szCs w:val="20"/>
                <w:color w:val="auto"/>
              </w:rPr>
            </w:pPr>
            <w:r>
              <w:rPr>
                <w:rFonts w:ascii="Arial" w:cs="Arial" w:eastAsia="Arial" w:hAnsi="Arial"/>
                <w:sz w:val="14"/>
                <w:szCs w:val="14"/>
                <w:color w:val="auto"/>
              </w:rPr>
              <w:t>(292)</w:t>
            </w:r>
          </w:p>
        </w:tc>
        <w:tc>
          <w:tcPr>
            <w:tcW w:w="760" w:type="dxa"/>
            <w:vAlign w:val="bottom"/>
          </w:tcPr>
          <w:p>
            <w:pPr>
              <w:jc w:val="right"/>
              <w:spacing w:after="0"/>
              <w:rPr>
                <w:sz w:val="20"/>
                <w:szCs w:val="20"/>
                <w:color w:val="auto"/>
              </w:rPr>
            </w:pPr>
            <w:r>
              <w:rPr>
                <w:rFonts w:ascii="Arial" w:cs="Arial" w:eastAsia="Arial" w:hAnsi="Arial"/>
                <w:sz w:val="14"/>
                <w:szCs w:val="14"/>
                <w:color w:val="auto"/>
              </w:rPr>
              <w:t>(11,247)</w:t>
            </w:r>
          </w:p>
        </w:tc>
        <w:tc>
          <w:tcPr>
            <w:tcW w:w="0" w:type="dxa"/>
            <w:vAlign w:val="bottom"/>
          </w:tcPr>
          <w:p>
            <w:pPr>
              <w:spacing w:after="0"/>
              <w:rPr>
                <w:sz w:val="1"/>
                <w:szCs w:val="1"/>
                <w:color w:val="auto"/>
              </w:rPr>
            </w:pPr>
          </w:p>
        </w:tc>
      </w:tr>
      <w:tr>
        <w:trPr>
          <w:trHeight w:val="162"/>
        </w:trPr>
        <w:tc>
          <w:tcPr>
            <w:tcW w:w="4340" w:type="dxa"/>
            <w:vAlign w:val="bottom"/>
            <w:gridSpan w:val="2"/>
          </w:tcPr>
          <w:p>
            <w:pPr>
              <w:spacing w:after="0"/>
              <w:rPr>
                <w:sz w:val="20"/>
                <w:szCs w:val="20"/>
                <w:color w:val="auto"/>
              </w:rPr>
            </w:pPr>
            <w:r>
              <w:rPr>
                <w:rFonts w:ascii="Arial" w:cs="Arial" w:eastAsia="Arial" w:hAnsi="Arial"/>
                <w:sz w:val="14"/>
                <w:szCs w:val="14"/>
                <w:color w:val="auto"/>
              </w:rPr>
              <w:t>Scrip dividends (see Note 23)</w:t>
            </w:r>
          </w:p>
        </w:tc>
        <w:tc>
          <w:tcPr>
            <w:tcW w:w="1260" w:type="dxa"/>
            <w:vAlign w:val="bottom"/>
          </w:tcPr>
          <w:p>
            <w:pPr>
              <w:jc w:val="right"/>
              <w:ind w:right="129"/>
              <w:spacing w:after="0"/>
              <w:rPr>
                <w:sz w:val="20"/>
                <w:szCs w:val="20"/>
                <w:color w:val="auto"/>
              </w:rPr>
            </w:pPr>
            <w:r>
              <w:rPr>
                <w:rFonts w:ascii="Arial" w:cs="Arial" w:eastAsia="Arial" w:hAnsi="Arial"/>
                <w:sz w:val="14"/>
                <w:szCs w:val="14"/>
                <w:color w:val="auto"/>
              </w:rPr>
              <w:t>9</w:t>
            </w:r>
          </w:p>
        </w:tc>
        <w:tc>
          <w:tcPr>
            <w:tcW w:w="1160" w:type="dxa"/>
            <w:vAlign w:val="bottom"/>
          </w:tcPr>
          <w:p>
            <w:pPr>
              <w:jc w:val="right"/>
              <w:ind w:right="150"/>
              <w:spacing w:after="0"/>
              <w:rPr>
                <w:sz w:val="20"/>
                <w:szCs w:val="20"/>
                <w:color w:val="auto"/>
              </w:rPr>
            </w:pPr>
            <w:r>
              <w:rPr>
                <w:rFonts w:ascii="Arial" w:cs="Arial" w:eastAsia="Arial" w:hAnsi="Arial"/>
                <w:sz w:val="14"/>
                <w:szCs w:val="14"/>
                <w:color w:val="auto"/>
              </w:rPr>
              <w:t>–</w:t>
            </w:r>
          </w:p>
        </w:tc>
        <w:tc>
          <w:tcPr>
            <w:tcW w:w="1160" w:type="dxa"/>
            <w:vAlign w:val="bottom"/>
          </w:tcPr>
          <w:p>
            <w:pPr>
              <w:jc w:val="right"/>
              <w:ind w:right="89"/>
              <w:spacing w:after="0"/>
              <w:rPr>
                <w:sz w:val="20"/>
                <w:szCs w:val="20"/>
                <w:color w:val="auto"/>
              </w:rPr>
            </w:pPr>
            <w:r>
              <w:rPr>
                <w:rFonts w:ascii="Arial" w:cs="Arial" w:eastAsia="Arial" w:hAnsi="Arial"/>
                <w:sz w:val="14"/>
                <w:szCs w:val="14"/>
                <w:color w:val="auto"/>
              </w:rPr>
              <w:t>(9)</w:t>
            </w:r>
          </w:p>
        </w:tc>
        <w:tc>
          <w:tcPr>
            <w:tcW w:w="900" w:type="dxa"/>
            <w:vAlign w:val="bottom"/>
          </w:tcPr>
          <w:p>
            <w:pPr>
              <w:jc w:val="right"/>
              <w:ind w:right="129"/>
              <w:spacing w:after="0"/>
              <w:rPr>
                <w:sz w:val="20"/>
                <w:szCs w:val="20"/>
                <w:color w:val="auto"/>
              </w:rPr>
            </w:pPr>
            <w:r>
              <w:rPr>
                <w:rFonts w:ascii="Arial" w:cs="Arial" w:eastAsia="Arial" w:hAnsi="Arial"/>
                <w:sz w:val="14"/>
                <w:szCs w:val="14"/>
                <w:color w:val="auto"/>
              </w:rPr>
              <w:t>3,565</w:t>
            </w: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3,565</w:t>
            </w:r>
          </w:p>
        </w:tc>
        <w:tc>
          <w:tcPr>
            <w:tcW w:w="1040" w:type="dxa"/>
            <w:vAlign w:val="bottom"/>
          </w:tcPr>
          <w:p>
            <w:pPr>
              <w:jc w:val="right"/>
              <w:ind w:right="109"/>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29"/>
              <w:spacing w:after="0"/>
              <w:rPr>
                <w:sz w:val="20"/>
                <w:szCs w:val="20"/>
                <w:color w:val="auto"/>
              </w:rPr>
            </w:pPr>
            <w:r>
              <w:rPr>
                <w:rFonts w:ascii="Arial" w:cs="Arial" w:eastAsia="Arial" w:hAnsi="Arial"/>
                <w:sz w:val="14"/>
                <w:szCs w:val="14"/>
                <w:color w:val="auto"/>
              </w:rPr>
              <w:t>3,565</w:t>
            </w:r>
          </w:p>
        </w:tc>
        <w:tc>
          <w:tcPr>
            <w:tcW w:w="0" w:type="dxa"/>
            <w:vAlign w:val="bottom"/>
          </w:tcPr>
          <w:p>
            <w:pPr>
              <w:spacing w:after="0"/>
              <w:rPr>
                <w:sz w:val="1"/>
                <w:szCs w:val="1"/>
                <w:color w:val="auto"/>
              </w:rPr>
            </w:pPr>
          </w:p>
        </w:tc>
      </w:tr>
      <w:tr>
        <w:trPr>
          <w:trHeight w:val="162"/>
        </w:trPr>
        <w:tc>
          <w:tcPr>
            <w:tcW w:w="4340" w:type="dxa"/>
            <w:vAlign w:val="bottom"/>
            <w:gridSpan w:val="2"/>
          </w:tcPr>
          <w:p>
            <w:pPr>
              <w:spacing w:after="0"/>
              <w:rPr>
                <w:sz w:val="20"/>
                <w:szCs w:val="20"/>
                <w:color w:val="auto"/>
              </w:rPr>
            </w:pPr>
            <w:r>
              <w:rPr>
                <w:rFonts w:ascii="Arial" w:cs="Arial" w:eastAsia="Arial" w:hAnsi="Arial"/>
                <w:sz w:val="14"/>
                <w:szCs w:val="14"/>
                <w:color w:val="auto"/>
              </w:rPr>
              <w:t>Repurchases of shares</w:t>
            </w:r>
          </w:p>
        </w:tc>
        <w:tc>
          <w:tcPr>
            <w:tcW w:w="1260" w:type="dxa"/>
            <w:vAlign w:val="bottom"/>
          </w:tcPr>
          <w:p>
            <w:pPr>
              <w:jc w:val="right"/>
              <w:ind w:right="89"/>
              <w:spacing w:after="0"/>
              <w:rPr>
                <w:sz w:val="20"/>
                <w:szCs w:val="20"/>
                <w:color w:val="auto"/>
              </w:rPr>
            </w:pPr>
            <w:r>
              <w:rPr>
                <w:rFonts w:ascii="Arial" w:cs="Arial" w:eastAsia="Arial" w:hAnsi="Arial"/>
                <w:sz w:val="14"/>
                <w:szCs w:val="14"/>
                <w:color w:val="auto"/>
              </w:rPr>
              <w:t>(3)</w:t>
            </w:r>
          </w:p>
        </w:tc>
        <w:tc>
          <w:tcPr>
            <w:tcW w:w="1160" w:type="dxa"/>
            <w:vAlign w:val="bottom"/>
          </w:tcPr>
          <w:p>
            <w:pPr>
              <w:jc w:val="right"/>
              <w:ind w:right="150"/>
              <w:spacing w:after="0"/>
              <w:rPr>
                <w:sz w:val="20"/>
                <w:szCs w:val="20"/>
                <w:color w:val="auto"/>
              </w:rPr>
            </w:pPr>
            <w:r>
              <w:rPr>
                <w:rFonts w:ascii="Arial" w:cs="Arial" w:eastAsia="Arial" w:hAnsi="Arial"/>
                <w:sz w:val="14"/>
                <w:szCs w:val="14"/>
                <w:color w:val="auto"/>
              </w:rPr>
              <w:t>–</w:t>
            </w:r>
          </w:p>
        </w:tc>
        <w:tc>
          <w:tcPr>
            <w:tcW w:w="1160" w:type="dxa"/>
            <w:vAlign w:val="bottom"/>
          </w:tcPr>
          <w:p>
            <w:pPr>
              <w:jc w:val="right"/>
              <w:ind w:right="149"/>
              <w:spacing w:after="0"/>
              <w:rPr>
                <w:sz w:val="20"/>
                <w:szCs w:val="20"/>
                <w:color w:val="auto"/>
              </w:rPr>
            </w:pPr>
            <w:r>
              <w:rPr>
                <w:rFonts w:ascii="Arial" w:cs="Arial" w:eastAsia="Arial" w:hAnsi="Arial"/>
                <w:sz w:val="14"/>
                <w:szCs w:val="14"/>
                <w:color w:val="auto"/>
              </w:rPr>
              <w:t>3</w:t>
            </w:r>
          </w:p>
        </w:tc>
        <w:tc>
          <w:tcPr>
            <w:tcW w:w="900" w:type="dxa"/>
            <w:vAlign w:val="bottom"/>
          </w:tcPr>
          <w:p>
            <w:pPr>
              <w:jc w:val="right"/>
              <w:ind w:right="89"/>
              <w:spacing w:after="0"/>
              <w:rPr>
                <w:sz w:val="20"/>
                <w:szCs w:val="20"/>
                <w:color w:val="auto"/>
              </w:rPr>
            </w:pPr>
            <w:r>
              <w:rPr>
                <w:rFonts w:ascii="Arial" w:cs="Arial" w:eastAsia="Arial" w:hAnsi="Arial"/>
                <w:sz w:val="14"/>
                <w:szCs w:val="14"/>
                <w:color w:val="auto"/>
              </w:rPr>
              <w:t>(1,728)</w:t>
            </w:r>
          </w:p>
        </w:tc>
        <w:tc>
          <w:tcPr>
            <w:tcW w:w="800" w:type="dxa"/>
            <w:vAlign w:val="bottom"/>
          </w:tcPr>
          <w:p>
            <w:pPr>
              <w:jc w:val="right"/>
              <w:spacing w:after="0"/>
              <w:rPr>
                <w:sz w:val="20"/>
                <w:szCs w:val="20"/>
                <w:color w:val="auto"/>
              </w:rPr>
            </w:pPr>
            <w:r>
              <w:rPr>
                <w:rFonts w:ascii="Arial" w:cs="Arial" w:eastAsia="Arial" w:hAnsi="Arial"/>
                <w:sz w:val="14"/>
                <w:szCs w:val="14"/>
                <w:color w:val="auto"/>
              </w:rPr>
              <w:t>(1,728)</w:t>
            </w:r>
          </w:p>
        </w:tc>
        <w:tc>
          <w:tcPr>
            <w:tcW w:w="1040" w:type="dxa"/>
            <w:vAlign w:val="bottom"/>
          </w:tcPr>
          <w:p>
            <w:pPr>
              <w:jc w:val="right"/>
              <w:ind w:right="109"/>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(1,728)</w:t>
            </w:r>
          </w:p>
        </w:tc>
        <w:tc>
          <w:tcPr>
            <w:tcW w:w="0" w:type="dxa"/>
            <w:vAlign w:val="bottom"/>
          </w:tcPr>
          <w:p>
            <w:pPr>
              <w:spacing w:after="0"/>
              <w:rPr>
                <w:sz w:val="1"/>
                <w:szCs w:val="1"/>
                <w:color w:val="auto"/>
              </w:rPr>
            </w:pPr>
          </w:p>
        </w:tc>
      </w:tr>
      <w:tr>
        <w:trPr>
          <w:trHeight w:val="162"/>
        </w:trPr>
        <w:tc>
          <w:tcPr>
            <w:tcW w:w="4340" w:type="dxa"/>
            <w:vAlign w:val="bottom"/>
            <w:gridSpan w:val="2"/>
          </w:tcPr>
          <w:p>
            <w:pPr>
              <w:spacing w:after="0"/>
              <w:rPr>
                <w:sz w:val="20"/>
                <w:szCs w:val="20"/>
                <w:color w:val="auto"/>
              </w:rPr>
            </w:pPr>
            <w:r>
              <w:rPr>
                <w:rFonts w:ascii="Arial" w:cs="Arial" w:eastAsia="Arial" w:hAnsi="Arial"/>
                <w:sz w:val="14"/>
                <w:szCs w:val="14"/>
                <w:color w:val="auto"/>
              </w:rPr>
              <w:t>Shares held in trust: net sales and dividends received</w:t>
            </w:r>
          </w:p>
        </w:tc>
        <w:tc>
          <w:tcPr>
            <w:tcW w:w="1260" w:type="dxa"/>
            <w:vAlign w:val="bottom"/>
          </w:tcPr>
          <w:p>
            <w:pPr>
              <w:jc w:val="right"/>
              <w:ind w:right="129"/>
              <w:spacing w:after="0"/>
              <w:rPr>
                <w:sz w:val="20"/>
                <w:szCs w:val="20"/>
                <w:color w:val="auto"/>
              </w:rPr>
            </w:pPr>
            <w:r>
              <w:rPr>
                <w:rFonts w:ascii="Arial" w:cs="Arial" w:eastAsia="Arial" w:hAnsi="Arial"/>
                <w:sz w:val="14"/>
                <w:szCs w:val="14"/>
                <w:color w:val="auto"/>
              </w:rPr>
              <w:t>–</w:t>
            </w:r>
          </w:p>
        </w:tc>
        <w:tc>
          <w:tcPr>
            <w:tcW w:w="1160" w:type="dxa"/>
            <w:vAlign w:val="bottom"/>
          </w:tcPr>
          <w:p>
            <w:pPr>
              <w:jc w:val="right"/>
              <w:ind w:right="150"/>
              <w:spacing w:after="0"/>
              <w:rPr>
                <w:sz w:val="20"/>
                <w:szCs w:val="20"/>
                <w:color w:val="auto"/>
              </w:rPr>
            </w:pPr>
            <w:r>
              <w:rPr>
                <w:rFonts w:ascii="Arial" w:cs="Arial" w:eastAsia="Arial" w:hAnsi="Arial"/>
                <w:sz w:val="14"/>
                <w:szCs w:val="14"/>
                <w:color w:val="auto"/>
              </w:rPr>
              <w:t>703</w:t>
            </w:r>
          </w:p>
        </w:tc>
        <w:tc>
          <w:tcPr>
            <w:tcW w:w="1160" w:type="dxa"/>
            <w:vAlign w:val="bottom"/>
          </w:tcPr>
          <w:p>
            <w:pPr>
              <w:jc w:val="right"/>
              <w:ind w:right="149"/>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129"/>
              <w:spacing w:after="0"/>
              <w:rPr>
                <w:sz w:val="20"/>
                <w:szCs w:val="20"/>
                <w:color w:val="auto"/>
              </w:rPr>
            </w:pPr>
            <w:r>
              <w:rPr>
                <w:rFonts w:ascii="Arial" w:cs="Arial" w:eastAsia="Arial" w:hAnsi="Arial"/>
                <w:sz w:val="14"/>
                <w:szCs w:val="14"/>
                <w:color w:val="auto"/>
              </w:rPr>
              <w:t>150</w:t>
            </w: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853</w:t>
            </w:r>
          </w:p>
        </w:tc>
        <w:tc>
          <w:tcPr>
            <w:tcW w:w="1040" w:type="dxa"/>
            <w:vAlign w:val="bottom"/>
          </w:tcPr>
          <w:p>
            <w:pPr>
              <w:jc w:val="right"/>
              <w:ind w:right="109"/>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29"/>
              <w:spacing w:after="0"/>
              <w:rPr>
                <w:sz w:val="20"/>
                <w:szCs w:val="20"/>
                <w:color w:val="auto"/>
              </w:rPr>
            </w:pPr>
            <w:r>
              <w:rPr>
                <w:rFonts w:ascii="Arial" w:cs="Arial" w:eastAsia="Arial" w:hAnsi="Arial"/>
                <w:sz w:val="14"/>
                <w:szCs w:val="14"/>
                <w:color w:val="auto"/>
              </w:rPr>
              <w:t>853</w:t>
            </w:r>
          </w:p>
        </w:tc>
        <w:tc>
          <w:tcPr>
            <w:tcW w:w="0" w:type="dxa"/>
            <w:vAlign w:val="bottom"/>
          </w:tcPr>
          <w:p>
            <w:pPr>
              <w:spacing w:after="0"/>
              <w:rPr>
                <w:sz w:val="1"/>
                <w:szCs w:val="1"/>
                <w:color w:val="auto"/>
              </w:rPr>
            </w:pPr>
          </w:p>
        </w:tc>
      </w:tr>
      <w:tr>
        <w:trPr>
          <w:trHeight w:val="157"/>
        </w:trPr>
        <w:tc>
          <w:tcPr>
            <w:tcW w:w="4340" w:type="dxa"/>
            <w:vAlign w:val="bottom"/>
            <w:tcBorders>
              <w:bottom w:val="single" w:sz="8" w:color="auto"/>
            </w:tcBorders>
            <w:gridSpan w:val="2"/>
          </w:tcPr>
          <w:p>
            <w:pPr>
              <w:spacing w:after="0" w:line="157" w:lineRule="exact"/>
              <w:rPr>
                <w:sz w:val="20"/>
                <w:szCs w:val="20"/>
                <w:color w:val="auto"/>
              </w:rPr>
            </w:pPr>
            <w:r>
              <w:rPr>
                <w:rFonts w:ascii="Arial" w:cs="Arial" w:eastAsia="Arial" w:hAnsi="Arial"/>
                <w:sz w:val="14"/>
                <w:szCs w:val="14"/>
                <w:color w:val="auto"/>
              </w:rPr>
              <w:t>Share-based compensation</w:t>
            </w:r>
          </w:p>
        </w:tc>
        <w:tc>
          <w:tcPr>
            <w:tcW w:w="1260" w:type="dxa"/>
            <w:vAlign w:val="bottom"/>
            <w:tcBorders>
              <w:bottom w:val="single" w:sz="8" w:color="auto"/>
            </w:tcBorders>
          </w:tcPr>
          <w:p>
            <w:pPr>
              <w:jc w:val="right"/>
              <w:ind w:right="129"/>
              <w:spacing w:after="0" w:line="157" w:lineRule="exact"/>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tcPr>
          <w:p>
            <w:pPr>
              <w:jc w:val="right"/>
              <w:ind w:right="150"/>
              <w:spacing w:after="0" w:line="157" w:lineRule="exact"/>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tcPr>
          <w:p>
            <w:pPr>
              <w:jc w:val="right"/>
              <w:ind w:right="149"/>
              <w:spacing w:after="0" w:line="157" w:lineRule="exact"/>
              <w:rPr>
                <w:sz w:val="20"/>
                <w:szCs w:val="20"/>
                <w:color w:val="auto"/>
              </w:rPr>
            </w:pPr>
            <w:r>
              <w:rPr>
                <w:rFonts w:ascii="Arial" w:cs="Arial" w:eastAsia="Arial" w:hAnsi="Arial"/>
                <w:sz w:val="14"/>
                <w:szCs w:val="14"/>
                <w:color w:val="auto"/>
              </w:rPr>
              <w:t>457</w:t>
            </w:r>
          </w:p>
        </w:tc>
        <w:tc>
          <w:tcPr>
            <w:tcW w:w="900" w:type="dxa"/>
            <w:vAlign w:val="bottom"/>
            <w:tcBorders>
              <w:bottom w:val="single" w:sz="8" w:color="auto"/>
            </w:tcBorders>
          </w:tcPr>
          <w:p>
            <w:pPr>
              <w:jc w:val="right"/>
              <w:ind w:right="89"/>
              <w:spacing w:after="0" w:line="157" w:lineRule="exact"/>
              <w:rPr>
                <w:sz w:val="20"/>
                <w:szCs w:val="20"/>
                <w:color w:val="auto"/>
              </w:rPr>
            </w:pPr>
            <w:r>
              <w:rPr>
                <w:rFonts w:ascii="Arial" w:cs="Arial" w:eastAsia="Arial" w:hAnsi="Arial"/>
                <w:sz w:val="14"/>
                <w:szCs w:val="14"/>
                <w:color w:val="auto"/>
              </w:rPr>
              <w:t>(432)</w:t>
            </w:r>
          </w:p>
        </w:tc>
        <w:tc>
          <w:tcPr>
            <w:tcW w:w="800" w:type="dxa"/>
            <w:vAlign w:val="bottom"/>
            <w:tcBorders>
              <w:bottom w:val="single" w:sz="8" w:color="auto"/>
            </w:tcBorders>
          </w:tcPr>
          <w:p>
            <w:pPr>
              <w:jc w:val="right"/>
              <w:ind w:right="28"/>
              <w:spacing w:after="0" w:line="157" w:lineRule="exact"/>
              <w:rPr>
                <w:sz w:val="20"/>
                <w:szCs w:val="20"/>
                <w:color w:val="auto"/>
              </w:rPr>
            </w:pPr>
            <w:r>
              <w:rPr>
                <w:rFonts w:ascii="Arial" w:cs="Arial" w:eastAsia="Arial" w:hAnsi="Arial"/>
                <w:sz w:val="14"/>
                <w:szCs w:val="14"/>
                <w:color w:val="auto"/>
              </w:rPr>
              <w:t>25</w:t>
            </w:r>
          </w:p>
        </w:tc>
        <w:tc>
          <w:tcPr>
            <w:tcW w:w="1040" w:type="dxa"/>
            <w:vAlign w:val="bottom"/>
            <w:tcBorders>
              <w:bottom w:val="single" w:sz="8" w:color="auto"/>
            </w:tcBorders>
          </w:tcPr>
          <w:p>
            <w:pPr>
              <w:jc w:val="right"/>
              <w:ind w:right="109"/>
              <w:spacing w:after="0" w:line="157" w:lineRule="exact"/>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tcPr>
          <w:p>
            <w:pPr>
              <w:jc w:val="right"/>
              <w:ind w:right="29"/>
              <w:spacing w:after="0" w:line="157" w:lineRule="exact"/>
              <w:rPr>
                <w:sz w:val="20"/>
                <w:szCs w:val="20"/>
                <w:color w:val="auto"/>
              </w:rPr>
            </w:pPr>
            <w:r>
              <w:rPr>
                <w:rFonts w:ascii="Arial" w:cs="Arial" w:eastAsia="Arial" w:hAnsi="Arial"/>
                <w:sz w:val="14"/>
                <w:szCs w:val="14"/>
                <w:color w:val="auto"/>
              </w:rPr>
              <w:t>25</w:t>
            </w:r>
          </w:p>
        </w:tc>
        <w:tc>
          <w:tcPr>
            <w:tcW w:w="0" w:type="dxa"/>
            <w:vAlign w:val="bottom"/>
          </w:tcPr>
          <w:p>
            <w:pPr>
              <w:spacing w:after="0"/>
              <w:rPr>
                <w:sz w:val="1"/>
                <w:szCs w:val="1"/>
                <w:color w:val="auto"/>
              </w:rPr>
            </w:pPr>
          </w:p>
        </w:tc>
      </w:tr>
      <w:tr>
        <w:trPr>
          <w:trHeight w:val="156"/>
        </w:trPr>
        <w:tc>
          <w:tcPr>
            <w:tcW w:w="4340" w:type="dxa"/>
            <w:vAlign w:val="bottom"/>
            <w:tcBorders>
              <w:bottom w:val="single" w:sz="8" w:color="auto"/>
            </w:tcBorders>
            <w:gridSpan w:val="2"/>
          </w:tcPr>
          <w:p>
            <w:pPr>
              <w:spacing w:after="0" w:line="155" w:lineRule="exact"/>
              <w:rPr>
                <w:sz w:val="20"/>
                <w:szCs w:val="20"/>
                <w:color w:val="auto"/>
              </w:rPr>
            </w:pPr>
            <w:r>
              <w:rPr>
                <w:rFonts w:ascii="Arial" w:cs="Arial" w:eastAsia="Arial" w:hAnsi="Arial"/>
                <w:sz w:val="14"/>
                <w:szCs w:val="14"/>
                <w:b w:val="1"/>
                <w:bCs w:val="1"/>
                <w:color w:val="auto"/>
              </w:rPr>
              <w:t>At December 31, 2012</w:t>
            </w:r>
          </w:p>
        </w:tc>
        <w:tc>
          <w:tcPr>
            <w:tcW w:w="1260" w:type="dxa"/>
            <w:vAlign w:val="bottom"/>
            <w:tcBorders>
              <w:bottom w:val="single" w:sz="8" w:color="auto"/>
            </w:tcBorders>
          </w:tcPr>
          <w:p>
            <w:pPr>
              <w:jc w:val="right"/>
              <w:ind w:right="129"/>
              <w:spacing w:after="0" w:line="155" w:lineRule="exact"/>
              <w:rPr>
                <w:sz w:val="20"/>
                <w:szCs w:val="20"/>
                <w:color w:val="auto"/>
              </w:rPr>
            </w:pPr>
            <w:r>
              <w:rPr>
                <w:rFonts w:ascii="Arial" w:cs="Arial" w:eastAsia="Arial" w:hAnsi="Arial"/>
                <w:sz w:val="14"/>
                <w:szCs w:val="14"/>
                <w:color w:val="auto"/>
              </w:rPr>
              <w:t>542</w:t>
            </w:r>
          </w:p>
        </w:tc>
        <w:tc>
          <w:tcPr>
            <w:tcW w:w="1160" w:type="dxa"/>
            <w:vAlign w:val="bottom"/>
            <w:tcBorders>
              <w:bottom w:val="single" w:sz="8" w:color="auto"/>
            </w:tcBorders>
          </w:tcPr>
          <w:p>
            <w:pPr>
              <w:jc w:val="right"/>
              <w:ind w:right="90"/>
              <w:spacing w:after="0" w:line="155" w:lineRule="exact"/>
              <w:rPr>
                <w:sz w:val="20"/>
                <w:szCs w:val="20"/>
                <w:color w:val="auto"/>
              </w:rPr>
            </w:pPr>
            <w:r>
              <w:rPr>
                <w:rFonts w:ascii="Arial" w:cs="Arial" w:eastAsia="Arial" w:hAnsi="Arial"/>
                <w:sz w:val="14"/>
                <w:szCs w:val="14"/>
                <w:color w:val="auto"/>
              </w:rPr>
              <w:t>(2,287)</w:t>
            </w:r>
          </w:p>
        </w:tc>
        <w:tc>
          <w:tcPr>
            <w:tcW w:w="1160" w:type="dxa"/>
            <w:vAlign w:val="bottom"/>
            <w:tcBorders>
              <w:bottom w:val="single" w:sz="8" w:color="auto"/>
            </w:tcBorders>
          </w:tcPr>
          <w:p>
            <w:pPr>
              <w:jc w:val="right"/>
              <w:ind w:right="89"/>
              <w:spacing w:after="0" w:line="155" w:lineRule="exact"/>
              <w:rPr>
                <w:sz w:val="20"/>
                <w:szCs w:val="20"/>
                <w:color w:val="auto"/>
              </w:rPr>
            </w:pPr>
            <w:r>
              <w:rPr>
                <w:rFonts w:ascii="Arial" w:cs="Arial" w:eastAsia="Arial" w:hAnsi="Arial"/>
                <w:sz w:val="14"/>
                <w:szCs w:val="14"/>
                <w:color w:val="auto"/>
              </w:rPr>
              <w:t>(3,752)</w:t>
            </w:r>
          </w:p>
        </w:tc>
        <w:tc>
          <w:tcPr>
            <w:tcW w:w="900" w:type="dxa"/>
            <w:vAlign w:val="bottom"/>
            <w:tcBorders>
              <w:bottom w:val="single" w:sz="8" w:color="auto"/>
            </w:tcBorders>
          </w:tcPr>
          <w:p>
            <w:pPr>
              <w:jc w:val="right"/>
              <w:ind w:right="129"/>
              <w:spacing w:after="0" w:line="155" w:lineRule="exact"/>
              <w:rPr>
                <w:sz w:val="20"/>
                <w:szCs w:val="20"/>
                <w:color w:val="auto"/>
              </w:rPr>
            </w:pPr>
            <w:r>
              <w:rPr>
                <w:rFonts w:ascii="Arial" w:cs="Arial" w:eastAsia="Arial" w:hAnsi="Arial"/>
                <w:sz w:val="14"/>
                <w:szCs w:val="14"/>
                <w:color w:val="auto"/>
              </w:rPr>
              <w:t>180,246</w:t>
            </w:r>
          </w:p>
        </w:tc>
        <w:tc>
          <w:tcPr>
            <w:tcW w:w="800" w:type="dxa"/>
            <w:vAlign w:val="bottom"/>
            <w:tcBorders>
              <w:bottom w:val="single" w:sz="8" w:color="auto"/>
            </w:tcBorders>
          </w:tcPr>
          <w:p>
            <w:pPr>
              <w:jc w:val="right"/>
              <w:ind w:right="28"/>
              <w:spacing w:after="0" w:line="155" w:lineRule="exact"/>
              <w:rPr>
                <w:sz w:val="20"/>
                <w:szCs w:val="20"/>
                <w:color w:val="auto"/>
              </w:rPr>
            </w:pPr>
            <w:r>
              <w:rPr>
                <w:rFonts w:ascii="Arial" w:cs="Arial" w:eastAsia="Arial" w:hAnsi="Arial"/>
                <w:sz w:val="14"/>
                <w:szCs w:val="14"/>
                <w:color w:val="auto"/>
              </w:rPr>
              <w:t>174,749</w:t>
            </w:r>
          </w:p>
        </w:tc>
        <w:tc>
          <w:tcPr>
            <w:tcW w:w="1040" w:type="dxa"/>
            <w:vAlign w:val="bottom"/>
            <w:tcBorders>
              <w:bottom w:val="single" w:sz="8" w:color="auto"/>
            </w:tcBorders>
          </w:tcPr>
          <w:p>
            <w:pPr>
              <w:jc w:val="right"/>
              <w:ind w:right="109"/>
              <w:spacing w:after="0" w:line="155" w:lineRule="exact"/>
              <w:rPr>
                <w:sz w:val="20"/>
                <w:szCs w:val="20"/>
                <w:color w:val="auto"/>
              </w:rPr>
            </w:pPr>
            <w:r>
              <w:rPr>
                <w:rFonts w:ascii="Arial" w:cs="Arial" w:eastAsia="Arial" w:hAnsi="Arial"/>
                <w:sz w:val="14"/>
                <w:szCs w:val="14"/>
                <w:color w:val="auto"/>
              </w:rPr>
              <w:t>1,433</w:t>
            </w:r>
          </w:p>
        </w:tc>
        <w:tc>
          <w:tcPr>
            <w:tcW w:w="760" w:type="dxa"/>
            <w:vAlign w:val="bottom"/>
            <w:tcBorders>
              <w:bottom w:val="single" w:sz="8" w:color="auto"/>
            </w:tcBorders>
          </w:tcPr>
          <w:p>
            <w:pPr>
              <w:jc w:val="right"/>
              <w:ind w:right="29"/>
              <w:spacing w:after="0" w:line="155" w:lineRule="exact"/>
              <w:rPr>
                <w:sz w:val="20"/>
                <w:szCs w:val="20"/>
                <w:color w:val="auto"/>
              </w:rPr>
            </w:pPr>
            <w:r>
              <w:rPr>
                <w:rFonts w:ascii="Arial" w:cs="Arial" w:eastAsia="Arial" w:hAnsi="Arial"/>
                <w:sz w:val="14"/>
                <w:szCs w:val="14"/>
                <w:color w:val="auto"/>
              </w:rPr>
              <w:t>176,182</w:t>
            </w:r>
          </w:p>
        </w:tc>
        <w:tc>
          <w:tcPr>
            <w:tcW w:w="0" w:type="dxa"/>
            <w:vAlign w:val="bottom"/>
          </w:tcPr>
          <w:p>
            <w:pPr>
              <w:spacing w:after="0"/>
              <w:rPr>
                <w:sz w:val="1"/>
                <w:szCs w:val="1"/>
                <w:color w:val="auto"/>
              </w:rPr>
            </w:pPr>
          </w:p>
        </w:tc>
      </w:tr>
    </w:tbl>
    <w:p>
      <w:pPr>
        <w:spacing w:after="0" w:line="37" w:lineRule="exact"/>
        <w:rPr>
          <w:sz w:val="20"/>
          <w:szCs w:val="20"/>
          <w:color w:val="auto"/>
        </w:rPr>
      </w:pPr>
    </w:p>
    <w:p>
      <w:pPr>
        <w:ind w:right="40" w:firstLine="8"/>
        <w:spacing w:after="0" w:line="238" w:lineRule="auto"/>
        <w:tabs>
          <w:tab w:leader="none" w:pos="162" w:val="left"/>
        </w:tabs>
        <w:numPr>
          <w:ilvl w:val="0"/>
          <w:numId w:val="148"/>
        </w:numPr>
        <w:rPr>
          <w:rFonts w:ascii="Arial" w:cs="Arial" w:eastAsia="Arial" w:hAnsi="Arial"/>
          <w:sz w:val="11"/>
          <w:szCs w:val="11"/>
          <w:color w:val="auto"/>
        </w:rPr>
      </w:pPr>
      <w:r>
        <w:rPr>
          <w:rFonts w:ascii="Arial" w:cs="Arial" w:eastAsia="Arial" w:hAnsi="Arial"/>
          <w:sz w:val="11"/>
          <w:szCs w:val="11"/>
          <w:color w:val="auto"/>
        </w:rPr>
        <w:t>Mainly relates to the initial public offering of limited partner units in Shell Midstream Partners, L.P. The difference between the proceeds after tax and the increase in non-controlling interest, measured by reference to the carrying amount of the entity’s net assets at the date of the transaction, was recognised in retained earnings.</w:t>
      </w:r>
    </w:p>
    <w:p>
      <w:pPr>
        <w:sectPr>
          <w:pgSz w:w="11900" w:h="16838" w:orient="portrait"/>
          <w:cols w:equalWidth="0" w:num="1">
            <w:col w:w="11420"/>
          </w:cols>
          <w:pgMar w:left="240" w:top="459" w:right="239" w:bottom="1440" w:gutter="0" w:footer="0" w:header="0"/>
        </w:sectPr>
      </w:pPr>
    </w:p>
    <w:bookmarkStart w:id="111" w:name="page112"/>
    <w:bookmarkEnd w:id="1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300355</wp:posOffset>
            </wp:positionV>
            <wp:extent cx="8890" cy="46291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8890" cy="462915"/>
                    </a:xfrm>
                    <a:prstGeom prst="rect">
                      <a:avLst/>
                    </a:prstGeom>
                    <a:noFill/>
                  </pic:spPr>
                </pic:pic>
              </a:graphicData>
            </a:graphic>
          </wp:anchor>
        </w:drawing>
      </w:r>
    </w:p>
    <w:p>
      <w:pPr>
        <w:spacing w:after="0" w:line="200" w:lineRule="exact"/>
        <w:rPr>
          <w:sz w:val="20"/>
          <w:szCs w:val="20"/>
          <w:color w:val="auto"/>
        </w:rPr>
      </w:pP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565"/>
        </w:trPr>
        <w:tc>
          <w:tcPr>
            <w:tcW w:w="20" w:type="dxa"/>
            <w:vAlign w:val="bottom"/>
          </w:tcPr>
          <w:p>
            <w:pPr>
              <w:spacing w:after="0"/>
              <w:rPr>
                <w:sz w:val="24"/>
                <w:szCs w:val="24"/>
                <w:color w:val="auto"/>
              </w:rPr>
            </w:pPr>
          </w:p>
        </w:tc>
        <w:tc>
          <w:tcPr>
            <w:tcW w:w="1780" w:type="dxa"/>
            <w:vAlign w:val="bottom"/>
            <w:shd w:val="clear" w:color="auto" w:fill="FF8B00"/>
          </w:tcPr>
          <w:p>
            <w:pPr>
              <w:ind w:left="240"/>
              <w:spacing w:after="0"/>
              <w:rPr>
                <w:sz w:val="20"/>
                <w:szCs w:val="20"/>
                <w:color w:val="auto"/>
              </w:rPr>
            </w:pPr>
            <w:r>
              <w:rPr>
                <w:rFonts w:ascii="Arial" w:cs="Arial" w:eastAsia="Arial" w:hAnsi="Arial"/>
                <w:sz w:val="11"/>
                <w:szCs w:val="11"/>
                <w:b w:val="1"/>
                <w:bCs w:val="1"/>
                <w:color w:val="333333"/>
              </w:rPr>
              <w:t>110</w:t>
            </w:r>
          </w:p>
        </w:tc>
        <w:tc>
          <w:tcPr>
            <w:tcW w:w="3780" w:type="dxa"/>
            <w:vAlign w:val="bottom"/>
            <w:shd w:val="clear" w:color="auto" w:fill="FF8B00"/>
          </w:tcPr>
          <w:p>
            <w:pPr>
              <w:jc w:val="right"/>
              <w:ind w:right="741"/>
              <w:spacing w:after="0"/>
              <w:rPr>
                <w:sz w:val="20"/>
                <w:szCs w:val="20"/>
                <w:color w:val="auto"/>
              </w:rPr>
            </w:pPr>
            <w:r>
              <w:rPr>
                <w:rFonts w:ascii="Arial" w:cs="Arial" w:eastAsia="Arial" w:hAnsi="Arial"/>
                <w:sz w:val="13"/>
                <w:szCs w:val="13"/>
                <w:color w:val="333333"/>
              </w:rPr>
              <w:t>FINANCIAL STATEMENTS AND SUPPLEMENTS</w:t>
            </w:r>
          </w:p>
        </w:tc>
        <w:tc>
          <w:tcPr>
            <w:tcW w:w="18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780" w:type="dxa"/>
            <w:vAlign w:val="bottom"/>
            <w:shd w:val="clear" w:color="auto" w:fill="FF8B00"/>
          </w:tcPr>
          <w:p>
            <w:pPr>
              <w:spacing w:after="0"/>
              <w:rPr>
                <w:sz w:val="14"/>
                <w:szCs w:val="14"/>
                <w:color w:val="auto"/>
              </w:rPr>
            </w:pPr>
          </w:p>
        </w:tc>
        <w:tc>
          <w:tcPr>
            <w:tcW w:w="3780" w:type="dxa"/>
            <w:vAlign w:val="bottom"/>
            <w:shd w:val="clear" w:color="auto" w:fill="FF8B00"/>
          </w:tcPr>
          <w:p>
            <w:pPr>
              <w:spacing w:after="0"/>
              <w:rPr>
                <w:sz w:val="14"/>
                <w:szCs w:val="14"/>
                <w:color w:val="auto"/>
              </w:rPr>
            </w:pPr>
          </w:p>
        </w:tc>
        <w:tc>
          <w:tcPr>
            <w:tcW w:w="18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740" w:type="dxa"/>
            <w:vAlign w:val="bottom"/>
            <w:gridSpan w:val="3"/>
            <w:vMerge w:val="restart"/>
          </w:tcPr>
          <w:p>
            <w:pPr>
              <w:ind w:left="320"/>
              <w:spacing w:after="0"/>
              <w:rPr>
                <w:sz w:val="20"/>
                <w:szCs w:val="20"/>
                <w:color w:val="auto"/>
              </w:rPr>
            </w:pPr>
            <w:r>
              <w:rPr>
                <w:rFonts w:ascii="Arial" w:cs="Arial" w:eastAsia="Arial" w:hAnsi="Arial"/>
                <w:sz w:val="11"/>
                <w:szCs w:val="11"/>
                <w:color w:val="auto"/>
                <w:w w:val="97"/>
              </w:rPr>
              <w:t>SHELL ANNUAL REPORT AND FORM 20-F 2014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780" w:type="dxa"/>
            <w:vAlign w:val="bottom"/>
          </w:tcPr>
          <w:p>
            <w:pPr>
              <w:spacing w:after="0"/>
              <w:rPr>
                <w:sz w:val="11"/>
                <w:szCs w:val="11"/>
                <w:color w:val="auto"/>
              </w:rPr>
            </w:pPr>
          </w:p>
        </w:tc>
        <w:tc>
          <w:tcPr>
            <w:tcW w:w="3780" w:type="dxa"/>
            <w:vAlign w:val="bottom"/>
          </w:tcPr>
          <w:p>
            <w:pPr>
              <w:jc w:val="right"/>
              <w:ind w:right="741"/>
              <w:spacing w:after="0"/>
              <w:rPr>
                <w:sz w:val="20"/>
                <w:szCs w:val="20"/>
                <w:color w:val="auto"/>
              </w:rPr>
            </w:pPr>
            <w:r>
              <w:rPr>
                <w:rFonts w:ascii="Arial" w:cs="Arial" w:eastAsia="Arial" w:hAnsi="Arial"/>
                <w:sz w:val="11"/>
                <w:szCs w:val="11"/>
                <w:color w:val="auto"/>
              </w:rPr>
              <w:t>CONSOLIDATED FINANCIAL STATEMENTS</w:t>
            </w:r>
          </w:p>
        </w:tc>
        <w:tc>
          <w:tcPr>
            <w:tcW w:w="182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2740" w:type="dxa"/>
            <w:vAlign w:val="bottom"/>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5560" w:type="dxa"/>
            <w:vAlign w:val="bottom"/>
            <w:gridSpan w:val="2"/>
          </w:tcPr>
          <w:p>
            <w:pPr>
              <w:spacing w:after="0"/>
              <w:rPr>
                <w:sz w:val="13"/>
                <w:szCs w:val="13"/>
                <w:color w:val="auto"/>
              </w:rPr>
            </w:pPr>
          </w:p>
        </w:tc>
        <w:tc>
          <w:tcPr>
            <w:tcW w:w="182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20" w:type="dxa"/>
            <w:vAlign w:val="bottom"/>
            <w:vMerge w:val="restart"/>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560" w:type="dxa"/>
            <w:vAlign w:val="bottom"/>
            <w:gridSpan w:val="2"/>
            <w:shd w:val="clear" w:color="auto" w:fill="333333"/>
          </w:tcPr>
          <w:p>
            <w:pPr>
              <w:ind w:left="60"/>
              <w:spacing w:after="0" w:line="162" w:lineRule="exact"/>
              <w:rPr>
                <w:sz w:val="20"/>
                <w:szCs w:val="20"/>
                <w:color w:val="auto"/>
              </w:rPr>
            </w:pPr>
            <w:r>
              <w:rPr>
                <w:rFonts w:ascii="Arial" w:cs="Arial" w:eastAsia="Arial" w:hAnsi="Arial"/>
                <w:sz w:val="15"/>
                <w:szCs w:val="15"/>
                <w:b w:val="1"/>
                <w:bCs w:val="1"/>
                <w:color w:val="FFFFFF"/>
              </w:rPr>
              <w:t>CONSOLIDATED STATEMENT OF CASH FLOWS</w:t>
            </w:r>
          </w:p>
        </w:tc>
        <w:tc>
          <w:tcPr>
            <w:tcW w:w="1820" w:type="dxa"/>
            <w:vAlign w:val="bottom"/>
            <w:shd w:val="clear" w:color="auto" w:fill="333333"/>
          </w:tcPr>
          <w:p>
            <w:pPr>
              <w:spacing w:after="0"/>
              <w:rPr>
                <w:sz w:val="14"/>
                <w:szCs w:val="14"/>
                <w:color w:val="auto"/>
              </w:rPr>
            </w:pPr>
          </w:p>
        </w:tc>
        <w:tc>
          <w:tcPr>
            <w:tcW w:w="1300" w:type="dxa"/>
            <w:vAlign w:val="bottom"/>
            <w:shd w:val="clear" w:color="auto" w:fill="333333"/>
          </w:tcPr>
          <w:p>
            <w:pPr>
              <w:spacing w:after="0"/>
              <w:rPr>
                <w:sz w:val="14"/>
                <w:szCs w:val="14"/>
                <w:color w:val="auto"/>
              </w:rPr>
            </w:pPr>
          </w:p>
        </w:tc>
        <w:tc>
          <w:tcPr>
            <w:tcW w:w="1520" w:type="dxa"/>
            <w:vAlign w:val="bottom"/>
            <w:shd w:val="clear" w:color="auto" w:fill="333333"/>
          </w:tcPr>
          <w:p>
            <w:pPr>
              <w:spacing w:after="0"/>
              <w:rPr>
                <w:sz w:val="14"/>
                <w:szCs w:val="14"/>
                <w:color w:val="auto"/>
              </w:rPr>
            </w:pPr>
          </w:p>
        </w:tc>
        <w:tc>
          <w:tcPr>
            <w:tcW w:w="1200" w:type="dxa"/>
            <w:vAlign w:val="bottom"/>
            <w:shd w:val="clear" w:color="auto" w:fill="333333"/>
          </w:tcPr>
          <w:p>
            <w:pPr>
              <w:jc w:val="right"/>
              <w:ind w:right="188"/>
              <w:spacing w:after="0" w:line="162" w:lineRule="exact"/>
              <w:rPr>
                <w:sz w:val="20"/>
                <w:szCs w:val="20"/>
                <w:color w:val="auto"/>
              </w:rPr>
            </w:pPr>
            <w:r>
              <w:rPr>
                <w:rFonts w:ascii="Arial" w:cs="Arial" w:eastAsia="Arial" w:hAnsi="Arial"/>
                <w:sz w:val="15"/>
                <w:szCs w:val="15"/>
                <w:color w:val="FFFFFF"/>
              </w:rPr>
              <w:t>$ MILLION</w:t>
            </w: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80" w:type="dxa"/>
            <w:vAlign w:val="bottom"/>
            <w:tcBorders>
              <w:bottom w:val="single" w:sz="8" w:color="auto"/>
            </w:tcBorders>
          </w:tcPr>
          <w:p>
            <w:pPr>
              <w:spacing w:after="0"/>
              <w:rPr>
                <w:sz w:val="12"/>
                <w:szCs w:val="12"/>
                <w:color w:val="auto"/>
              </w:rPr>
            </w:pPr>
          </w:p>
        </w:tc>
        <w:tc>
          <w:tcPr>
            <w:tcW w:w="3780" w:type="dxa"/>
            <w:vAlign w:val="bottom"/>
            <w:tcBorders>
              <w:bottom w:val="single" w:sz="8" w:color="auto"/>
            </w:tcBorders>
          </w:tcPr>
          <w:p>
            <w:pPr>
              <w:spacing w:after="0"/>
              <w:rPr>
                <w:sz w:val="12"/>
                <w:szCs w:val="12"/>
                <w:color w:val="auto"/>
              </w:rPr>
            </w:pPr>
          </w:p>
        </w:tc>
        <w:tc>
          <w:tcPr>
            <w:tcW w:w="1820" w:type="dxa"/>
            <w:vAlign w:val="bottom"/>
            <w:tcBorders>
              <w:bottom w:val="single" w:sz="8" w:color="auto"/>
            </w:tcBorders>
          </w:tcPr>
          <w:p>
            <w:pPr>
              <w:jc w:val="right"/>
              <w:ind w:right="271"/>
              <w:spacing w:after="0"/>
              <w:rPr>
                <w:sz w:val="20"/>
                <w:szCs w:val="20"/>
                <w:color w:val="auto"/>
              </w:rPr>
            </w:pPr>
            <w:r>
              <w:rPr>
                <w:rFonts w:ascii="Arial" w:cs="Arial" w:eastAsia="Arial" w:hAnsi="Arial"/>
                <w:sz w:val="13"/>
                <w:szCs w:val="13"/>
                <w:color w:val="auto"/>
              </w:rPr>
              <w:t>NOTES</w:t>
            </w:r>
          </w:p>
        </w:tc>
        <w:tc>
          <w:tcPr>
            <w:tcW w:w="1300" w:type="dxa"/>
            <w:vAlign w:val="bottom"/>
            <w:tcBorders>
              <w:bottom w:val="single" w:sz="8" w:color="auto"/>
            </w:tcBorders>
            <w:shd w:val="clear" w:color="auto" w:fill="D8D8D8"/>
          </w:tcPr>
          <w:p>
            <w:pPr>
              <w:jc w:val="right"/>
              <w:ind w:right="268"/>
              <w:spacing w:after="0"/>
              <w:rPr>
                <w:sz w:val="20"/>
                <w:szCs w:val="20"/>
                <w:color w:val="auto"/>
              </w:rPr>
            </w:pPr>
            <w:r>
              <w:rPr>
                <w:rFonts w:ascii="Arial" w:cs="Arial" w:eastAsia="Arial" w:hAnsi="Arial"/>
                <w:sz w:val="13"/>
                <w:szCs w:val="13"/>
                <w:color w:val="auto"/>
              </w:rPr>
              <w:t>2014</w:t>
            </w:r>
          </w:p>
        </w:tc>
        <w:tc>
          <w:tcPr>
            <w:tcW w:w="1520" w:type="dxa"/>
            <w:vAlign w:val="bottom"/>
            <w:tcBorders>
              <w:bottom w:val="single" w:sz="8" w:color="auto"/>
            </w:tcBorders>
          </w:tcPr>
          <w:p>
            <w:pPr>
              <w:jc w:val="right"/>
              <w:ind w:right="169"/>
              <w:spacing w:after="0"/>
              <w:rPr>
                <w:sz w:val="20"/>
                <w:szCs w:val="20"/>
                <w:color w:val="auto"/>
              </w:rPr>
            </w:pPr>
            <w:r>
              <w:rPr>
                <w:rFonts w:ascii="Arial" w:cs="Arial" w:eastAsia="Arial" w:hAnsi="Arial"/>
                <w:sz w:val="13"/>
                <w:szCs w:val="13"/>
                <w:color w:val="auto"/>
              </w:rPr>
              <w:t>2013</w:t>
            </w:r>
          </w:p>
        </w:tc>
        <w:tc>
          <w:tcPr>
            <w:tcW w:w="1200" w:type="dxa"/>
            <w:vAlign w:val="bottom"/>
            <w:tcBorders>
              <w:bottom w:val="single" w:sz="8" w:color="auto"/>
            </w:tcBorders>
          </w:tcPr>
          <w:p>
            <w:pPr>
              <w:jc w:val="right"/>
              <w:ind w:right="268"/>
              <w:spacing w:after="0"/>
              <w:rPr>
                <w:sz w:val="20"/>
                <w:szCs w:val="20"/>
                <w:color w:val="auto"/>
              </w:rPr>
            </w:pPr>
            <w:r>
              <w:rPr>
                <w:rFonts w:ascii="Arial" w:cs="Arial" w:eastAsia="Arial" w:hAnsi="Arial"/>
                <w:sz w:val="13"/>
                <w:szCs w:val="13"/>
                <w:color w:val="auto"/>
              </w:rPr>
              <w:t>2012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560" w:type="dxa"/>
            <w:vAlign w:val="bottom"/>
            <w:gridSpan w:val="2"/>
          </w:tcPr>
          <w:p>
            <w:pPr>
              <w:spacing w:after="0" w:line="155" w:lineRule="exact"/>
              <w:rPr>
                <w:sz w:val="20"/>
                <w:szCs w:val="20"/>
                <w:color w:val="auto"/>
              </w:rPr>
            </w:pPr>
            <w:r>
              <w:rPr>
                <w:rFonts w:ascii="Arial" w:cs="Arial" w:eastAsia="Arial" w:hAnsi="Arial"/>
                <w:sz w:val="14"/>
                <w:szCs w:val="14"/>
                <w:b w:val="1"/>
                <w:bCs w:val="1"/>
                <w:color w:val="auto"/>
              </w:rPr>
              <w:t>Cash flow from operating activities</w:t>
            </w:r>
          </w:p>
        </w:tc>
        <w:tc>
          <w:tcPr>
            <w:tcW w:w="1820" w:type="dxa"/>
            <w:vAlign w:val="bottom"/>
          </w:tcPr>
          <w:p>
            <w:pPr>
              <w:spacing w:after="0"/>
              <w:rPr>
                <w:sz w:val="13"/>
                <w:szCs w:val="13"/>
                <w:color w:val="auto"/>
              </w:rPr>
            </w:pPr>
          </w:p>
        </w:tc>
        <w:tc>
          <w:tcPr>
            <w:tcW w:w="1300" w:type="dxa"/>
            <w:vAlign w:val="bottom"/>
            <w:shd w:val="clear" w:color="auto" w:fill="D8D8D8"/>
          </w:tcPr>
          <w:p>
            <w:pPr>
              <w:spacing w:after="0"/>
              <w:rPr>
                <w:sz w:val="13"/>
                <w:szCs w:val="13"/>
                <w:color w:val="auto"/>
              </w:rPr>
            </w:pPr>
          </w:p>
        </w:tc>
        <w:tc>
          <w:tcPr>
            <w:tcW w:w="15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1800" w:type="dxa"/>
            <w:vAlign w:val="bottom"/>
            <w:gridSpan w:val="2"/>
          </w:tcPr>
          <w:p>
            <w:pPr>
              <w:spacing w:after="0"/>
              <w:rPr>
                <w:sz w:val="20"/>
                <w:szCs w:val="20"/>
                <w:color w:val="auto"/>
              </w:rPr>
            </w:pPr>
            <w:r>
              <w:rPr>
                <w:rFonts w:ascii="Arial" w:cs="Arial" w:eastAsia="Arial" w:hAnsi="Arial"/>
                <w:sz w:val="14"/>
                <w:szCs w:val="14"/>
                <w:color w:val="auto"/>
              </w:rPr>
              <w:t>Income for the period</w:t>
            </w:r>
          </w:p>
        </w:tc>
        <w:tc>
          <w:tcPr>
            <w:tcW w:w="378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300" w:type="dxa"/>
            <w:vAlign w:val="bottom"/>
            <w:shd w:val="clear" w:color="auto" w:fill="D8D8D8"/>
          </w:tcPr>
          <w:p>
            <w:pPr>
              <w:jc w:val="right"/>
              <w:ind w:right="268"/>
              <w:spacing w:after="0"/>
              <w:rPr>
                <w:sz w:val="20"/>
                <w:szCs w:val="20"/>
                <w:color w:val="auto"/>
              </w:rPr>
            </w:pPr>
            <w:r>
              <w:rPr>
                <w:rFonts w:ascii="Arial" w:cs="Arial" w:eastAsia="Arial" w:hAnsi="Arial"/>
                <w:sz w:val="14"/>
                <w:szCs w:val="14"/>
                <w:color w:val="auto"/>
              </w:rPr>
              <w:t>14,730</w:t>
            </w:r>
          </w:p>
        </w:tc>
        <w:tc>
          <w:tcPr>
            <w:tcW w:w="1520" w:type="dxa"/>
            <w:vAlign w:val="bottom"/>
          </w:tcPr>
          <w:p>
            <w:pPr>
              <w:jc w:val="right"/>
              <w:ind w:right="169"/>
              <w:spacing w:after="0"/>
              <w:rPr>
                <w:sz w:val="20"/>
                <w:szCs w:val="20"/>
                <w:color w:val="auto"/>
              </w:rPr>
            </w:pPr>
            <w:r>
              <w:rPr>
                <w:rFonts w:ascii="Arial" w:cs="Arial" w:eastAsia="Arial" w:hAnsi="Arial"/>
                <w:sz w:val="14"/>
                <w:szCs w:val="14"/>
                <w:color w:val="auto"/>
              </w:rPr>
              <w:t>16,526</w:t>
            </w:r>
          </w:p>
        </w:tc>
        <w:tc>
          <w:tcPr>
            <w:tcW w:w="1200" w:type="dxa"/>
            <w:vAlign w:val="bottom"/>
          </w:tcPr>
          <w:p>
            <w:pPr>
              <w:jc w:val="right"/>
              <w:ind w:right="268"/>
              <w:spacing w:after="0"/>
              <w:rPr>
                <w:sz w:val="20"/>
                <w:szCs w:val="20"/>
                <w:color w:val="auto"/>
              </w:rPr>
            </w:pPr>
            <w:r>
              <w:rPr>
                <w:rFonts w:ascii="Arial" w:cs="Arial" w:eastAsia="Arial" w:hAnsi="Arial"/>
                <w:sz w:val="14"/>
                <w:szCs w:val="14"/>
                <w:color w:val="auto"/>
              </w:rPr>
              <w:t>26,960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1800" w:type="dxa"/>
            <w:vAlign w:val="bottom"/>
            <w:gridSpan w:val="2"/>
          </w:tcPr>
          <w:p>
            <w:pPr>
              <w:spacing w:after="0"/>
              <w:rPr>
                <w:sz w:val="20"/>
                <w:szCs w:val="20"/>
                <w:color w:val="auto"/>
              </w:rPr>
            </w:pPr>
            <w:r>
              <w:rPr>
                <w:rFonts w:ascii="Arial" w:cs="Arial" w:eastAsia="Arial" w:hAnsi="Arial"/>
                <w:sz w:val="14"/>
                <w:szCs w:val="14"/>
                <w:color w:val="auto"/>
              </w:rPr>
              <w:t>Adjustment for:</w:t>
            </w:r>
          </w:p>
        </w:tc>
        <w:tc>
          <w:tcPr>
            <w:tcW w:w="378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300" w:type="dxa"/>
            <w:vAlign w:val="bottom"/>
            <w:shd w:val="clear" w:color="auto" w:fill="D8D8D8"/>
          </w:tcPr>
          <w:p>
            <w:pPr>
              <w:spacing w:after="0"/>
              <w:rPr>
                <w:sz w:val="14"/>
                <w:szCs w:val="14"/>
                <w:color w:val="auto"/>
              </w:rPr>
            </w:pPr>
          </w:p>
        </w:tc>
        <w:tc>
          <w:tcPr>
            <w:tcW w:w="15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780" w:type="dxa"/>
            <w:vAlign w:val="bottom"/>
          </w:tcPr>
          <w:p>
            <w:pPr>
              <w:ind w:left="120"/>
              <w:spacing w:after="0"/>
              <w:rPr>
                <w:sz w:val="20"/>
                <w:szCs w:val="20"/>
                <w:color w:val="auto"/>
              </w:rPr>
            </w:pPr>
            <w:r>
              <w:rPr>
                <w:rFonts w:ascii="Arial" w:cs="Arial" w:eastAsia="Arial" w:hAnsi="Arial"/>
                <w:sz w:val="14"/>
                <w:szCs w:val="14"/>
                <w:color w:val="auto"/>
              </w:rPr>
              <w:t>Current taxation</w:t>
            </w:r>
          </w:p>
        </w:tc>
        <w:tc>
          <w:tcPr>
            <w:tcW w:w="378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300" w:type="dxa"/>
            <w:vAlign w:val="bottom"/>
            <w:shd w:val="clear" w:color="auto" w:fill="D8D8D8"/>
          </w:tcPr>
          <w:p>
            <w:pPr>
              <w:jc w:val="right"/>
              <w:ind w:right="268"/>
              <w:spacing w:after="0"/>
              <w:rPr>
                <w:sz w:val="20"/>
                <w:szCs w:val="20"/>
                <w:color w:val="auto"/>
              </w:rPr>
            </w:pPr>
            <w:r>
              <w:rPr>
                <w:rFonts w:ascii="Arial" w:cs="Arial" w:eastAsia="Arial" w:hAnsi="Arial"/>
                <w:sz w:val="14"/>
                <w:szCs w:val="14"/>
                <w:color w:val="auto"/>
              </w:rPr>
              <w:t>13,757</w:t>
            </w:r>
          </w:p>
        </w:tc>
        <w:tc>
          <w:tcPr>
            <w:tcW w:w="1520" w:type="dxa"/>
            <w:vAlign w:val="bottom"/>
          </w:tcPr>
          <w:p>
            <w:pPr>
              <w:jc w:val="right"/>
              <w:ind w:right="169"/>
              <w:spacing w:after="0"/>
              <w:rPr>
                <w:sz w:val="20"/>
                <w:szCs w:val="20"/>
                <w:color w:val="auto"/>
              </w:rPr>
            </w:pPr>
            <w:r>
              <w:rPr>
                <w:rFonts w:ascii="Arial" w:cs="Arial" w:eastAsia="Arial" w:hAnsi="Arial"/>
                <w:sz w:val="14"/>
                <w:szCs w:val="14"/>
                <w:color w:val="auto"/>
              </w:rPr>
              <w:t>18,582</w:t>
            </w:r>
          </w:p>
        </w:tc>
        <w:tc>
          <w:tcPr>
            <w:tcW w:w="1200" w:type="dxa"/>
            <w:vAlign w:val="bottom"/>
          </w:tcPr>
          <w:p>
            <w:pPr>
              <w:jc w:val="right"/>
              <w:ind w:right="268"/>
              <w:spacing w:after="0"/>
              <w:rPr>
                <w:sz w:val="20"/>
                <w:szCs w:val="20"/>
                <w:color w:val="auto"/>
              </w:rPr>
            </w:pPr>
            <w:r>
              <w:rPr>
                <w:rFonts w:ascii="Arial" w:cs="Arial" w:eastAsia="Arial" w:hAnsi="Arial"/>
                <w:sz w:val="14"/>
                <w:szCs w:val="14"/>
                <w:color w:val="auto"/>
              </w:rPr>
              <w:t>22,722</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780" w:type="dxa"/>
            <w:vAlign w:val="bottom"/>
          </w:tcPr>
          <w:p>
            <w:pPr>
              <w:ind w:left="120"/>
              <w:spacing w:after="0"/>
              <w:rPr>
                <w:sz w:val="20"/>
                <w:szCs w:val="20"/>
                <w:color w:val="auto"/>
              </w:rPr>
            </w:pPr>
            <w:r>
              <w:rPr>
                <w:rFonts w:ascii="Arial" w:cs="Arial" w:eastAsia="Arial" w:hAnsi="Arial"/>
                <w:sz w:val="14"/>
                <w:szCs w:val="14"/>
                <w:color w:val="auto"/>
              </w:rPr>
              <w:t>Interest expense (net)</w:t>
            </w:r>
          </w:p>
        </w:tc>
        <w:tc>
          <w:tcPr>
            <w:tcW w:w="378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300" w:type="dxa"/>
            <w:vAlign w:val="bottom"/>
            <w:shd w:val="clear" w:color="auto" w:fill="D8D8D8"/>
          </w:tcPr>
          <w:p>
            <w:pPr>
              <w:jc w:val="right"/>
              <w:ind w:right="268"/>
              <w:spacing w:after="0"/>
              <w:rPr>
                <w:sz w:val="20"/>
                <w:szCs w:val="20"/>
                <w:color w:val="auto"/>
              </w:rPr>
            </w:pPr>
            <w:r>
              <w:rPr>
                <w:rFonts w:ascii="Arial" w:cs="Arial" w:eastAsia="Arial" w:hAnsi="Arial"/>
                <w:sz w:val="14"/>
                <w:szCs w:val="14"/>
                <w:color w:val="auto"/>
              </w:rPr>
              <w:t>1,598</w:t>
            </w:r>
          </w:p>
        </w:tc>
        <w:tc>
          <w:tcPr>
            <w:tcW w:w="1520" w:type="dxa"/>
            <w:vAlign w:val="bottom"/>
          </w:tcPr>
          <w:p>
            <w:pPr>
              <w:jc w:val="right"/>
              <w:ind w:right="169"/>
              <w:spacing w:after="0"/>
              <w:rPr>
                <w:sz w:val="20"/>
                <w:szCs w:val="20"/>
                <w:color w:val="auto"/>
              </w:rPr>
            </w:pPr>
            <w:r>
              <w:rPr>
                <w:rFonts w:ascii="Arial" w:cs="Arial" w:eastAsia="Arial" w:hAnsi="Arial"/>
                <w:sz w:val="14"/>
                <w:szCs w:val="14"/>
                <w:color w:val="auto"/>
              </w:rPr>
              <w:t>1,448</w:t>
            </w:r>
          </w:p>
        </w:tc>
        <w:tc>
          <w:tcPr>
            <w:tcW w:w="1200" w:type="dxa"/>
            <w:vAlign w:val="bottom"/>
          </w:tcPr>
          <w:p>
            <w:pPr>
              <w:jc w:val="right"/>
              <w:ind w:right="268"/>
              <w:spacing w:after="0"/>
              <w:rPr>
                <w:sz w:val="20"/>
                <w:szCs w:val="20"/>
                <w:color w:val="auto"/>
              </w:rPr>
            </w:pPr>
            <w:r>
              <w:rPr>
                <w:rFonts w:ascii="Arial" w:cs="Arial" w:eastAsia="Arial" w:hAnsi="Arial"/>
                <w:sz w:val="14"/>
                <w:szCs w:val="14"/>
                <w:color w:val="auto"/>
              </w:rPr>
              <w:t>1,543</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560" w:type="dxa"/>
            <w:vAlign w:val="bottom"/>
            <w:gridSpan w:val="2"/>
          </w:tcPr>
          <w:p>
            <w:pPr>
              <w:ind w:left="120"/>
              <w:spacing w:after="0"/>
              <w:rPr>
                <w:sz w:val="20"/>
                <w:szCs w:val="20"/>
                <w:color w:val="auto"/>
              </w:rPr>
            </w:pPr>
            <w:r>
              <w:rPr>
                <w:rFonts w:ascii="Arial" w:cs="Arial" w:eastAsia="Arial" w:hAnsi="Arial"/>
                <w:sz w:val="14"/>
                <w:szCs w:val="14"/>
                <w:color w:val="auto"/>
              </w:rPr>
              <w:t>Depreciation, depletion and amortisation</w:t>
            </w:r>
          </w:p>
        </w:tc>
        <w:tc>
          <w:tcPr>
            <w:tcW w:w="1820" w:type="dxa"/>
            <w:vAlign w:val="bottom"/>
          </w:tcPr>
          <w:p>
            <w:pPr>
              <w:spacing w:after="0"/>
              <w:rPr>
                <w:sz w:val="14"/>
                <w:szCs w:val="14"/>
                <w:color w:val="auto"/>
              </w:rPr>
            </w:pPr>
          </w:p>
        </w:tc>
        <w:tc>
          <w:tcPr>
            <w:tcW w:w="1300" w:type="dxa"/>
            <w:vAlign w:val="bottom"/>
            <w:shd w:val="clear" w:color="auto" w:fill="D8D8D8"/>
          </w:tcPr>
          <w:p>
            <w:pPr>
              <w:jc w:val="right"/>
              <w:ind w:right="268"/>
              <w:spacing w:after="0"/>
              <w:rPr>
                <w:sz w:val="20"/>
                <w:szCs w:val="20"/>
                <w:color w:val="auto"/>
              </w:rPr>
            </w:pPr>
            <w:r>
              <w:rPr>
                <w:rFonts w:ascii="Arial" w:cs="Arial" w:eastAsia="Arial" w:hAnsi="Arial"/>
                <w:sz w:val="14"/>
                <w:szCs w:val="14"/>
                <w:color w:val="auto"/>
              </w:rPr>
              <w:t>24,499</w:t>
            </w:r>
          </w:p>
        </w:tc>
        <w:tc>
          <w:tcPr>
            <w:tcW w:w="1520" w:type="dxa"/>
            <w:vAlign w:val="bottom"/>
          </w:tcPr>
          <w:p>
            <w:pPr>
              <w:jc w:val="right"/>
              <w:ind w:right="169"/>
              <w:spacing w:after="0"/>
              <w:rPr>
                <w:sz w:val="20"/>
                <w:szCs w:val="20"/>
                <w:color w:val="auto"/>
              </w:rPr>
            </w:pPr>
            <w:r>
              <w:rPr>
                <w:rFonts w:ascii="Arial" w:cs="Arial" w:eastAsia="Arial" w:hAnsi="Arial"/>
                <w:sz w:val="14"/>
                <w:szCs w:val="14"/>
                <w:color w:val="auto"/>
              </w:rPr>
              <w:t>21,509</w:t>
            </w:r>
          </w:p>
        </w:tc>
        <w:tc>
          <w:tcPr>
            <w:tcW w:w="1200" w:type="dxa"/>
            <w:vAlign w:val="bottom"/>
          </w:tcPr>
          <w:p>
            <w:pPr>
              <w:jc w:val="right"/>
              <w:ind w:right="268"/>
              <w:spacing w:after="0"/>
              <w:rPr>
                <w:sz w:val="20"/>
                <w:szCs w:val="20"/>
                <w:color w:val="auto"/>
              </w:rPr>
            </w:pPr>
            <w:r>
              <w:rPr>
                <w:rFonts w:ascii="Arial" w:cs="Arial" w:eastAsia="Arial" w:hAnsi="Arial"/>
                <w:sz w:val="14"/>
                <w:szCs w:val="14"/>
                <w:color w:val="auto"/>
              </w:rPr>
              <w:t>14,615</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560" w:type="dxa"/>
            <w:vAlign w:val="bottom"/>
            <w:gridSpan w:val="2"/>
          </w:tcPr>
          <w:p>
            <w:pPr>
              <w:ind w:left="120"/>
              <w:spacing w:after="0"/>
              <w:rPr>
                <w:sz w:val="20"/>
                <w:szCs w:val="20"/>
                <w:color w:val="auto"/>
              </w:rPr>
            </w:pPr>
            <w:r>
              <w:rPr>
                <w:rFonts w:ascii="Arial" w:cs="Arial" w:eastAsia="Arial" w:hAnsi="Arial"/>
                <w:sz w:val="14"/>
                <w:szCs w:val="14"/>
                <w:color w:val="auto"/>
              </w:rPr>
              <w:t>Net gains on sale of non-current assets and businesses</w:t>
            </w:r>
          </w:p>
        </w:tc>
        <w:tc>
          <w:tcPr>
            <w:tcW w:w="1820" w:type="dxa"/>
            <w:vAlign w:val="bottom"/>
          </w:tcPr>
          <w:p>
            <w:pPr>
              <w:spacing w:after="0"/>
              <w:rPr>
                <w:sz w:val="14"/>
                <w:szCs w:val="14"/>
                <w:color w:val="auto"/>
              </w:rPr>
            </w:pPr>
          </w:p>
        </w:tc>
        <w:tc>
          <w:tcPr>
            <w:tcW w:w="1300" w:type="dxa"/>
            <w:vAlign w:val="bottom"/>
            <w:shd w:val="clear" w:color="auto" w:fill="D8D8D8"/>
          </w:tcPr>
          <w:p>
            <w:pPr>
              <w:jc w:val="right"/>
              <w:ind w:right="268"/>
              <w:spacing w:after="0"/>
              <w:rPr>
                <w:sz w:val="20"/>
                <w:szCs w:val="20"/>
                <w:color w:val="auto"/>
              </w:rPr>
            </w:pPr>
            <w:r>
              <w:rPr>
                <w:rFonts w:ascii="Arial" w:cs="Arial" w:eastAsia="Arial" w:hAnsi="Arial"/>
                <w:sz w:val="14"/>
                <w:szCs w:val="14"/>
                <w:color w:val="auto"/>
              </w:rPr>
              <w:t>(3,212)</w:t>
            </w:r>
          </w:p>
        </w:tc>
        <w:tc>
          <w:tcPr>
            <w:tcW w:w="1520" w:type="dxa"/>
            <w:vAlign w:val="bottom"/>
          </w:tcPr>
          <w:p>
            <w:pPr>
              <w:jc w:val="right"/>
              <w:ind w:right="109"/>
              <w:spacing w:after="0"/>
              <w:rPr>
                <w:sz w:val="20"/>
                <w:szCs w:val="20"/>
                <w:color w:val="auto"/>
              </w:rPr>
            </w:pPr>
            <w:r>
              <w:rPr>
                <w:rFonts w:ascii="Arial" w:cs="Arial" w:eastAsia="Arial" w:hAnsi="Arial"/>
                <w:sz w:val="14"/>
                <w:szCs w:val="14"/>
                <w:color w:val="auto"/>
              </w:rPr>
              <w:t>(382)</w:t>
            </w:r>
          </w:p>
        </w:tc>
        <w:tc>
          <w:tcPr>
            <w:tcW w:w="1200" w:type="dxa"/>
            <w:vAlign w:val="bottom"/>
          </w:tcPr>
          <w:p>
            <w:pPr>
              <w:jc w:val="right"/>
              <w:ind w:right="208"/>
              <w:spacing w:after="0"/>
              <w:rPr>
                <w:sz w:val="20"/>
                <w:szCs w:val="20"/>
                <w:color w:val="auto"/>
              </w:rPr>
            </w:pPr>
            <w:r>
              <w:rPr>
                <w:rFonts w:ascii="Arial" w:cs="Arial" w:eastAsia="Arial" w:hAnsi="Arial"/>
                <w:sz w:val="14"/>
                <w:szCs w:val="14"/>
                <w:color w:val="auto"/>
              </w:rPr>
              <w:t>(4,228)</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560" w:type="dxa"/>
            <w:vAlign w:val="bottom"/>
            <w:gridSpan w:val="2"/>
          </w:tcPr>
          <w:p>
            <w:pPr>
              <w:ind w:left="120"/>
              <w:spacing w:after="0"/>
              <w:rPr>
                <w:sz w:val="20"/>
                <w:szCs w:val="20"/>
                <w:color w:val="auto"/>
              </w:rPr>
            </w:pPr>
            <w:r>
              <w:rPr>
                <w:rFonts w:ascii="Arial" w:cs="Arial" w:eastAsia="Arial" w:hAnsi="Arial"/>
                <w:sz w:val="14"/>
                <w:szCs w:val="14"/>
                <w:color w:val="auto"/>
              </w:rPr>
              <w:t>Decrease/(increase) in inventories</w:t>
            </w:r>
          </w:p>
        </w:tc>
        <w:tc>
          <w:tcPr>
            <w:tcW w:w="1820" w:type="dxa"/>
            <w:vAlign w:val="bottom"/>
          </w:tcPr>
          <w:p>
            <w:pPr>
              <w:spacing w:after="0"/>
              <w:rPr>
                <w:sz w:val="14"/>
                <w:szCs w:val="14"/>
                <w:color w:val="auto"/>
              </w:rPr>
            </w:pPr>
          </w:p>
        </w:tc>
        <w:tc>
          <w:tcPr>
            <w:tcW w:w="1300" w:type="dxa"/>
            <w:vAlign w:val="bottom"/>
            <w:shd w:val="clear" w:color="auto" w:fill="D8D8D8"/>
          </w:tcPr>
          <w:p>
            <w:pPr>
              <w:jc w:val="right"/>
              <w:ind w:right="268"/>
              <w:spacing w:after="0"/>
              <w:rPr>
                <w:sz w:val="20"/>
                <w:szCs w:val="20"/>
                <w:color w:val="auto"/>
              </w:rPr>
            </w:pPr>
            <w:r>
              <w:rPr>
                <w:rFonts w:ascii="Arial" w:cs="Arial" w:eastAsia="Arial" w:hAnsi="Arial"/>
                <w:sz w:val="14"/>
                <w:szCs w:val="14"/>
                <w:color w:val="auto"/>
              </w:rPr>
              <w:t>7,958</w:t>
            </w:r>
          </w:p>
        </w:tc>
        <w:tc>
          <w:tcPr>
            <w:tcW w:w="1520" w:type="dxa"/>
            <w:vAlign w:val="bottom"/>
          </w:tcPr>
          <w:p>
            <w:pPr>
              <w:jc w:val="right"/>
              <w:ind w:right="169"/>
              <w:spacing w:after="0"/>
              <w:rPr>
                <w:sz w:val="20"/>
                <w:szCs w:val="20"/>
                <w:color w:val="auto"/>
              </w:rPr>
            </w:pPr>
            <w:r>
              <w:rPr>
                <w:rFonts w:ascii="Arial" w:cs="Arial" w:eastAsia="Arial" w:hAnsi="Arial"/>
                <w:sz w:val="14"/>
                <w:szCs w:val="14"/>
                <w:color w:val="auto"/>
              </w:rPr>
              <w:t>608</w:t>
            </w:r>
          </w:p>
        </w:tc>
        <w:tc>
          <w:tcPr>
            <w:tcW w:w="1200" w:type="dxa"/>
            <w:vAlign w:val="bottom"/>
          </w:tcPr>
          <w:p>
            <w:pPr>
              <w:jc w:val="right"/>
              <w:ind w:right="208"/>
              <w:spacing w:after="0"/>
              <w:rPr>
                <w:sz w:val="20"/>
                <w:szCs w:val="20"/>
                <w:color w:val="auto"/>
              </w:rPr>
            </w:pPr>
            <w:r>
              <w:rPr>
                <w:rFonts w:ascii="Arial" w:cs="Arial" w:eastAsia="Arial" w:hAnsi="Arial"/>
                <w:sz w:val="14"/>
                <w:szCs w:val="14"/>
                <w:color w:val="auto"/>
              </w:rPr>
              <w:t>(1,746)</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560" w:type="dxa"/>
            <w:vAlign w:val="bottom"/>
            <w:gridSpan w:val="2"/>
          </w:tcPr>
          <w:p>
            <w:pPr>
              <w:ind w:left="120"/>
              <w:spacing w:after="0"/>
              <w:rPr>
                <w:sz w:val="20"/>
                <w:szCs w:val="20"/>
                <w:color w:val="auto"/>
              </w:rPr>
            </w:pPr>
            <w:r>
              <w:rPr>
                <w:rFonts w:ascii="Arial" w:cs="Arial" w:eastAsia="Arial" w:hAnsi="Arial"/>
                <w:sz w:val="14"/>
                <w:szCs w:val="14"/>
                <w:color w:val="auto"/>
              </w:rPr>
              <w:t>(Increase)/decrease in current receivables</w:t>
            </w:r>
          </w:p>
        </w:tc>
        <w:tc>
          <w:tcPr>
            <w:tcW w:w="1820" w:type="dxa"/>
            <w:vAlign w:val="bottom"/>
          </w:tcPr>
          <w:p>
            <w:pPr>
              <w:spacing w:after="0"/>
              <w:rPr>
                <w:sz w:val="14"/>
                <w:szCs w:val="14"/>
                <w:color w:val="auto"/>
              </w:rPr>
            </w:pPr>
          </w:p>
        </w:tc>
        <w:tc>
          <w:tcPr>
            <w:tcW w:w="1300" w:type="dxa"/>
            <w:vAlign w:val="bottom"/>
            <w:shd w:val="clear" w:color="auto" w:fill="D8D8D8"/>
          </w:tcPr>
          <w:p>
            <w:pPr>
              <w:jc w:val="right"/>
              <w:ind w:right="268"/>
              <w:spacing w:after="0"/>
              <w:rPr>
                <w:sz w:val="20"/>
                <w:szCs w:val="20"/>
                <w:color w:val="auto"/>
              </w:rPr>
            </w:pPr>
            <w:r>
              <w:rPr>
                <w:rFonts w:ascii="Arial" w:cs="Arial" w:eastAsia="Arial" w:hAnsi="Arial"/>
                <w:sz w:val="14"/>
                <w:szCs w:val="14"/>
                <w:color w:val="auto"/>
              </w:rPr>
              <w:t>(1,541)</w:t>
            </w:r>
          </w:p>
        </w:tc>
        <w:tc>
          <w:tcPr>
            <w:tcW w:w="1520" w:type="dxa"/>
            <w:vAlign w:val="bottom"/>
          </w:tcPr>
          <w:p>
            <w:pPr>
              <w:jc w:val="right"/>
              <w:ind w:right="169"/>
              <w:spacing w:after="0"/>
              <w:rPr>
                <w:sz w:val="20"/>
                <w:szCs w:val="20"/>
                <w:color w:val="auto"/>
              </w:rPr>
            </w:pPr>
            <w:r>
              <w:rPr>
                <w:rFonts w:ascii="Arial" w:cs="Arial" w:eastAsia="Arial" w:hAnsi="Arial"/>
                <w:sz w:val="14"/>
                <w:szCs w:val="14"/>
                <w:color w:val="auto"/>
              </w:rPr>
              <w:t>5,648</w:t>
            </w:r>
          </w:p>
        </w:tc>
        <w:tc>
          <w:tcPr>
            <w:tcW w:w="1200" w:type="dxa"/>
            <w:vAlign w:val="bottom"/>
          </w:tcPr>
          <w:p>
            <w:pPr>
              <w:jc w:val="right"/>
              <w:ind w:right="268"/>
              <w:spacing w:after="0"/>
              <w:rPr>
                <w:sz w:val="20"/>
                <w:szCs w:val="20"/>
                <w:color w:val="auto"/>
              </w:rPr>
            </w:pPr>
            <w:r>
              <w:rPr>
                <w:rFonts w:ascii="Arial" w:cs="Arial" w:eastAsia="Arial" w:hAnsi="Arial"/>
                <w:sz w:val="14"/>
                <w:szCs w:val="14"/>
                <w:color w:val="auto"/>
              </w:rPr>
              <w:t>14,145</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560" w:type="dxa"/>
            <w:vAlign w:val="bottom"/>
            <w:gridSpan w:val="2"/>
          </w:tcPr>
          <w:p>
            <w:pPr>
              <w:ind w:left="120"/>
              <w:spacing w:after="0"/>
              <w:rPr>
                <w:sz w:val="20"/>
                <w:szCs w:val="20"/>
                <w:color w:val="auto"/>
              </w:rPr>
            </w:pPr>
            <w:r>
              <w:rPr>
                <w:rFonts w:ascii="Arial" w:cs="Arial" w:eastAsia="Arial" w:hAnsi="Arial"/>
                <w:sz w:val="14"/>
                <w:szCs w:val="14"/>
                <w:color w:val="auto"/>
              </w:rPr>
              <w:t>Decrease in current payables</w:t>
            </w:r>
          </w:p>
        </w:tc>
        <w:tc>
          <w:tcPr>
            <w:tcW w:w="1820" w:type="dxa"/>
            <w:vAlign w:val="bottom"/>
          </w:tcPr>
          <w:p>
            <w:pPr>
              <w:spacing w:after="0"/>
              <w:rPr>
                <w:sz w:val="14"/>
                <w:szCs w:val="14"/>
                <w:color w:val="auto"/>
              </w:rPr>
            </w:pPr>
          </w:p>
        </w:tc>
        <w:tc>
          <w:tcPr>
            <w:tcW w:w="1300" w:type="dxa"/>
            <w:vAlign w:val="bottom"/>
            <w:shd w:val="clear" w:color="auto" w:fill="D8D8D8"/>
          </w:tcPr>
          <w:p>
            <w:pPr>
              <w:jc w:val="right"/>
              <w:ind w:right="268"/>
              <w:spacing w:after="0"/>
              <w:rPr>
                <w:sz w:val="20"/>
                <w:szCs w:val="20"/>
                <w:color w:val="auto"/>
              </w:rPr>
            </w:pPr>
            <w:r>
              <w:rPr>
                <w:rFonts w:ascii="Arial" w:cs="Arial" w:eastAsia="Arial" w:hAnsi="Arial"/>
                <w:sz w:val="14"/>
                <w:szCs w:val="14"/>
                <w:color w:val="auto"/>
              </w:rPr>
              <w:t>(12)</w:t>
            </w:r>
          </w:p>
        </w:tc>
        <w:tc>
          <w:tcPr>
            <w:tcW w:w="1520" w:type="dxa"/>
            <w:vAlign w:val="bottom"/>
          </w:tcPr>
          <w:p>
            <w:pPr>
              <w:jc w:val="right"/>
              <w:ind w:right="109"/>
              <w:spacing w:after="0"/>
              <w:rPr>
                <w:sz w:val="20"/>
                <w:szCs w:val="20"/>
                <w:color w:val="auto"/>
              </w:rPr>
            </w:pPr>
            <w:r>
              <w:rPr>
                <w:rFonts w:ascii="Arial" w:cs="Arial" w:eastAsia="Arial" w:hAnsi="Arial"/>
                <w:sz w:val="14"/>
                <w:szCs w:val="14"/>
                <w:color w:val="auto"/>
              </w:rPr>
              <w:t>(3,268)</w:t>
            </w:r>
          </w:p>
        </w:tc>
        <w:tc>
          <w:tcPr>
            <w:tcW w:w="1200" w:type="dxa"/>
            <w:vAlign w:val="bottom"/>
          </w:tcPr>
          <w:p>
            <w:pPr>
              <w:jc w:val="right"/>
              <w:ind w:right="208"/>
              <w:spacing w:after="0"/>
              <w:rPr>
                <w:sz w:val="20"/>
                <w:szCs w:val="20"/>
                <w:color w:val="auto"/>
              </w:rPr>
            </w:pPr>
            <w:r>
              <w:rPr>
                <w:rFonts w:ascii="Arial" w:cs="Arial" w:eastAsia="Arial" w:hAnsi="Arial"/>
                <w:sz w:val="14"/>
                <w:szCs w:val="14"/>
                <w:color w:val="auto"/>
              </w:rPr>
              <w:t>(9,008)</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560" w:type="dxa"/>
            <w:vAlign w:val="bottom"/>
            <w:gridSpan w:val="2"/>
          </w:tcPr>
          <w:p>
            <w:pPr>
              <w:ind w:left="120"/>
              <w:spacing w:after="0"/>
              <w:rPr>
                <w:sz w:val="20"/>
                <w:szCs w:val="20"/>
                <w:color w:val="auto"/>
              </w:rPr>
            </w:pPr>
            <w:r>
              <w:rPr>
                <w:rFonts w:ascii="Arial" w:cs="Arial" w:eastAsia="Arial" w:hAnsi="Arial"/>
                <w:sz w:val="14"/>
                <w:szCs w:val="14"/>
                <w:color w:val="auto"/>
              </w:rPr>
              <w:t>Share of profit of joint ventures and associates</w:t>
            </w:r>
          </w:p>
        </w:tc>
        <w:tc>
          <w:tcPr>
            <w:tcW w:w="1820" w:type="dxa"/>
            <w:vAlign w:val="bottom"/>
          </w:tcPr>
          <w:p>
            <w:pPr>
              <w:spacing w:after="0"/>
              <w:rPr>
                <w:sz w:val="14"/>
                <w:szCs w:val="14"/>
                <w:color w:val="auto"/>
              </w:rPr>
            </w:pPr>
          </w:p>
        </w:tc>
        <w:tc>
          <w:tcPr>
            <w:tcW w:w="1300" w:type="dxa"/>
            <w:vAlign w:val="bottom"/>
            <w:shd w:val="clear" w:color="auto" w:fill="D8D8D8"/>
          </w:tcPr>
          <w:p>
            <w:pPr>
              <w:jc w:val="right"/>
              <w:ind w:right="268"/>
              <w:spacing w:after="0"/>
              <w:rPr>
                <w:sz w:val="20"/>
                <w:szCs w:val="20"/>
                <w:color w:val="auto"/>
              </w:rPr>
            </w:pPr>
            <w:r>
              <w:rPr>
                <w:rFonts w:ascii="Arial" w:cs="Arial" w:eastAsia="Arial" w:hAnsi="Arial"/>
                <w:sz w:val="14"/>
                <w:szCs w:val="14"/>
                <w:color w:val="auto"/>
              </w:rPr>
              <w:t>(6,116)</w:t>
            </w:r>
          </w:p>
        </w:tc>
        <w:tc>
          <w:tcPr>
            <w:tcW w:w="1520" w:type="dxa"/>
            <w:vAlign w:val="bottom"/>
          </w:tcPr>
          <w:p>
            <w:pPr>
              <w:jc w:val="right"/>
              <w:ind w:right="109"/>
              <w:spacing w:after="0"/>
              <w:rPr>
                <w:sz w:val="20"/>
                <w:szCs w:val="20"/>
                <w:color w:val="auto"/>
              </w:rPr>
            </w:pPr>
            <w:r>
              <w:rPr>
                <w:rFonts w:ascii="Arial" w:cs="Arial" w:eastAsia="Arial" w:hAnsi="Arial"/>
                <w:sz w:val="14"/>
                <w:szCs w:val="14"/>
                <w:color w:val="auto"/>
              </w:rPr>
              <w:t>(7,275)</w:t>
            </w:r>
          </w:p>
        </w:tc>
        <w:tc>
          <w:tcPr>
            <w:tcW w:w="1200" w:type="dxa"/>
            <w:vAlign w:val="bottom"/>
          </w:tcPr>
          <w:p>
            <w:pPr>
              <w:jc w:val="right"/>
              <w:ind w:right="208"/>
              <w:spacing w:after="0"/>
              <w:rPr>
                <w:sz w:val="20"/>
                <w:szCs w:val="20"/>
                <w:color w:val="auto"/>
              </w:rPr>
            </w:pPr>
            <w:r>
              <w:rPr>
                <w:rFonts w:ascii="Arial" w:cs="Arial" w:eastAsia="Arial" w:hAnsi="Arial"/>
                <w:sz w:val="14"/>
                <w:szCs w:val="14"/>
                <w:color w:val="auto"/>
              </w:rPr>
              <w:t>(8,948)</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560" w:type="dxa"/>
            <w:vAlign w:val="bottom"/>
            <w:gridSpan w:val="2"/>
          </w:tcPr>
          <w:p>
            <w:pPr>
              <w:ind w:left="120"/>
              <w:spacing w:after="0"/>
              <w:rPr>
                <w:sz w:val="20"/>
                <w:szCs w:val="20"/>
                <w:color w:val="auto"/>
              </w:rPr>
            </w:pPr>
            <w:r>
              <w:rPr>
                <w:rFonts w:ascii="Arial" w:cs="Arial" w:eastAsia="Arial" w:hAnsi="Arial"/>
                <w:sz w:val="14"/>
                <w:szCs w:val="14"/>
                <w:color w:val="auto"/>
              </w:rPr>
              <w:t>Dividends received from joint ventures and associates</w:t>
            </w:r>
          </w:p>
        </w:tc>
        <w:tc>
          <w:tcPr>
            <w:tcW w:w="1820" w:type="dxa"/>
            <w:vAlign w:val="bottom"/>
          </w:tcPr>
          <w:p>
            <w:pPr>
              <w:spacing w:after="0"/>
              <w:rPr>
                <w:sz w:val="14"/>
                <w:szCs w:val="14"/>
                <w:color w:val="auto"/>
              </w:rPr>
            </w:pPr>
          </w:p>
        </w:tc>
        <w:tc>
          <w:tcPr>
            <w:tcW w:w="1300" w:type="dxa"/>
            <w:vAlign w:val="bottom"/>
            <w:shd w:val="clear" w:color="auto" w:fill="D8D8D8"/>
          </w:tcPr>
          <w:p>
            <w:pPr>
              <w:jc w:val="right"/>
              <w:ind w:right="268"/>
              <w:spacing w:after="0"/>
              <w:rPr>
                <w:sz w:val="20"/>
                <w:szCs w:val="20"/>
                <w:color w:val="auto"/>
              </w:rPr>
            </w:pPr>
            <w:r>
              <w:rPr>
                <w:rFonts w:ascii="Arial" w:cs="Arial" w:eastAsia="Arial" w:hAnsi="Arial"/>
                <w:sz w:val="14"/>
                <w:szCs w:val="14"/>
                <w:color w:val="auto"/>
              </w:rPr>
              <w:t>6,902</w:t>
            </w:r>
          </w:p>
        </w:tc>
        <w:tc>
          <w:tcPr>
            <w:tcW w:w="1520" w:type="dxa"/>
            <w:vAlign w:val="bottom"/>
          </w:tcPr>
          <w:p>
            <w:pPr>
              <w:jc w:val="right"/>
              <w:ind w:right="169"/>
              <w:spacing w:after="0"/>
              <w:rPr>
                <w:sz w:val="20"/>
                <w:szCs w:val="20"/>
                <w:color w:val="auto"/>
              </w:rPr>
            </w:pPr>
            <w:r>
              <w:rPr>
                <w:rFonts w:ascii="Arial" w:cs="Arial" w:eastAsia="Arial" w:hAnsi="Arial"/>
                <w:sz w:val="14"/>
                <w:szCs w:val="14"/>
                <w:color w:val="auto"/>
              </w:rPr>
              <w:t>7,117</w:t>
            </w:r>
          </w:p>
        </w:tc>
        <w:tc>
          <w:tcPr>
            <w:tcW w:w="1200" w:type="dxa"/>
            <w:vAlign w:val="bottom"/>
          </w:tcPr>
          <w:p>
            <w:pPr>
              <w:jc w:val="right"/>
              <w:ind w:right="268"/>
              <w:spacing w:after="0"/>
              <w:rPr>
                <w:sz w:val="20"/>
                <w:szCs w:val="20"/>
                <w:color w:val="auto"/>
              </w:rPr>
            </w:pPr>
            <w:r>
              <w:rPr>
                <w:rFonts w:ascii="Arial" w:cs="Arial" w:eastAsia="Arial" w:hAnsi="Arial"/>
                <w:sz w:val="14"/>
                <w:szCs w:val="14"/>
                <w:color w:val="auto"/>
              </w:rPr>
              <w:t>10,573</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560" w:type="dxa"/>
            <w:vAlign w:val="bottom"/>
            <w:gridSpan w:val="2"/>
          </w:tcPr>
          <w:p>
            <w:pPr>
              <w:ind w:left="120"/>
              <w:spacing w:after="0"/>
              <w:rPr>
                <w:sz w:val="20"/>
                <w:szCs w:val="20"/>
                <w:color w:val="auto"/>
              </w:rPr>
            </w:pPr>
            <w:r>
              <w:rPr>
                <w:rFonts w:ascii="Arial" w:cs="Arial" w:eastAsia="Arial" w:hAnsi="Arial"/>
                <w:sz w:val="14"/>
                <w:szCs w:val="14"/>
                <w:color w:val="auto"/>
              </w:rPr>
              <w:t>Deferred taxation, retirement benefits, decommissioning and other provisions</w:t>
            </w:r>
          </w:p>
        </w:tc>
        <w:tc>
          <w:tcPr>
            <w:tcW w:w="1820" w:type="dxa"/>
            <w:vAlign w:val="bottom"/>
          </w:tcPr>
          <w:p>
            <w:pPr>
              <w:spacing w:after="0"/>
              <w:rPr>
                <w:sz w:val="14"/>
                <w:szCs w:val="14"/>
                <w:color w:val="auto"/>
              </w:rPr>
            </w:pPr>
          </w:p>
        </w:tc>
        <w:tc>
          <w:tcPr>
            <w:tcW w:w="1300" w:type="dxa"/>
            <w:vAlign w:val="bottom"/>
            <w:shd w:val="clear" w:color="auto" w:fill="D8D8D8"/>
          </w:tcPr>
          <w:p>
            <w:pPr>
              <w:jc w:val="right"/>
              <w:ind w:right="268"/>
              <w:spacing w:after="0"/>
              <w:rPr>
                <w:sz w:val="20"/>
                <w:szCs w:val="20"/>
                <w:color w:val="auto"/>
              </w:rPr>
            </w:pPr>
            <w:r>
              <w:rPr>
                <w:rFonts w:ascii="Arial" w:cs="Arial" w:eastAsia="Arial" w:hAnsi="Arial"/>
                <w:sz w:val="14"/>
                <w:szCs w:val="14"/>
                <w:color w:val="auto"/>
              </w:rPr>
              <w:t>(1,720)</w:t>
            </w:r>
          </w:p>
        </w:tc>
        <w:tc>
          <w:tcPr>
            <w:tcW w:w="1520" w:type="dxa"/>
            <w:vAlign w:val="bottom"/>
          </w:tcPr>
          <w:p>
            <w:pPr>
              <w:jc w:val="right"/>
              <w:ind w:right="109"/>
              <w:spacing w:after="0"/>
              <w:rPr>
                <w:sz w:val="20"/>
                <w:szCs w:val="20"/>
                <w:color w:val="auto"/>
              </w:rPr>
            </w:pPr>
            <w:r>
              <w:rPr>
                <w:rFonts w:ascii="Arial" w:cs="Arial" w:eastAsia="Arial" w:hAnsi="Arial"/>
                <w:sz w:val="14"/>
                <w:szCs w:val="14"/>
                <w:color w:val="auto"/>
              </w:rPr>
              <w:t>(2,701)</w:t>
            </w:r>
          </w:p>
        </w:tc>
        <w:tc>
          <w:tcPr>
            <w:tcW w:w="1200" w:type="dxa"/>
            <w:vAlign w:val="bottom"/>
          </w:tcPr>
          <w:p>
            <w:pPr>
              <w:jc w:val="right"/>
              <w:ind w:right="268"/>
              <w:spacing w:after="0"/>
              <w:rPr>
                <w:sz w:val="20"/>
                <w:szCs w:val="20"/>
                <w:color w:val="auto"/>
              </w:rPr>
            </w:pPr>
            <w:r>
              <w:rPr>
                <w:rFonts w:ascii="Arial" w:cs="Arial" w:eastAsia="Arial" w:hAnsi="Arial"/>
                <w:sz w:val="14"/>
                <w:szCs w:val="14"/>
                <w:color w:val="auto"/>
              </w:rPr>
              <w:t>341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1780" w:type="dxa"/>
            <w:vAlign w:val="bottom"/>
            <w:tcBorders>
              <w:bottom w:val="single" w:sz="8" w:color="auto"/>
            </w:tcBorders>
          </w:tcPr>
          <w:p>
            <w:pPr>
              <w:ind w:left="120"/>
              <w:spacing w:after="0" w:line="157" w:lineRule="exact"/>
              <w:rPr>
                <w:sz w:val="20"/>
                <w:szCs w:val="20"/>
                <w:color w:val="auto"/>
              </w:rPr>
            </w:pPr>
            <w:r>
              <w:rPr>
                <w:rFonts w:ascii="Arial" w:cs="Arial" w:eastAsia="Arial" w:hAnsi="Arial"/>
                <w:sz w:val="14"/>
                <w:szCs w:val="14"/>
                <w:color w:val="auto"/>
              </w:rPr>
              <w:t>Other</w:t>
            </w:r>
          </w:p>
        </w:tc>
        <w:tc>
          <w:tcPr>
            <w:tcW w:w="3780" w:type="dxa"/>
            <w:vAlign w:val="bottom"/>
            <w:tcBorders>
              <w:bottom w:val="single" w:sz="8" w:color="auto"/>
            </w:tcBorders>
          </w:tcPr>
          <w:p>
            <w:pPr>
              <w:spacing w:after="0"/>
              <w:rPr>
                <w:sz w:val="13"/>
                <w:szCs w:val="13"/>
                <w:color w:val="auto"/>
              </w:rPr>
            </w:pPr>
          </w:p>
        </w:tc>
        <w:tc>
          <w:tcPr>
            <w:tcW w:w="182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shd w:val="clear" w:color="auto" w:fill="D8D8D8"/>
          </w:tcPr>
          <w:p>
            <w:pPr>
              <w:jc w:val="right"/>
              <w:ind w:right="268"/>
              <w:spacing w:after="0" w:line="157" w:lineRule="exact"/>
              <w:rPr>
                <w:sz w:val="20"/>
                <w:szCs w:val="20"/>
                <w:color w:val="auto"/>
              </w:rPr>
            </w:pPr>
            <w:r>
              <w:rPr>
                <w:rFonts w:ascii="Arial" w:cs="Arial" w:eastAsia="Arial" w:hAnsi="Arial"/>
                <w:sz w:val="14"/>
                <w:szCs w:val="14"/>
                <w:color w:val="auto"/>
              </w:rPr>
              <w:t>2,500</w:t>
            </w:r>
          </w:p>
        </w:tc>
        <w:tc>
          <w:tcPr>
            <w:tcW w:w="1520" w:type="dxa"/>
            <w:vAlign w:val="bottom"/>
            <w:tcBorders>
              <w:bottom w:val="single" w:sz="8" w:color="auto"/>
            </w:tcBorders>
          </w:tcPr>
          <w:p>
            <w:pPr>
              <w:jc w:val="right"/>
              <w:ind w:right="169"/>
              <w:spacing w:after="0" w:line="157" w:lineRule="exact"/>
              <w:rPr>
                <w:sz w:val="20"/>
                <w:szCs w:val="20"/>
                <w:color w:val="auto"/>
              </w:rPr>
            </w:pPr>
            <w:r>
              <w:rPr>
                <w:rFonts w:ascii="Arial" w:cs="Arial" w:eastAsia="Arial" w:hAnsi="Arial"/>
                <w:sz w:val="14"/>
                <w:szCs w:val="14"/>
                <w:color w:val="auto"/>
              </w:rPr>
              <w:t>2,937</w:t>
            </w:r>
          </w:p>
        </w:tc>
        <w:tc>
          <w:tcPr>
            <w:tcW w:w="1200" w:type="dxa"/>
            <w:vAlign w:val="bottom"/>
            <w:tcBorders>
              <w:bottom w:val="single" w:sz="8" w:color="auto"/>
            </w:tcBorders>
          </w:tcPr>
          <w:p>
            <w:pPr>
              <w:jc w:val="right"/>
              <w:ind w:right="268"/>
              <w:spacing w:after="0" w:line="157" w:lineRule="exact"/>
              <w:rPr>
                <w:sz w:val="20"/>
                <w:szCs w:val="20"/>
                <w:color w:val="auto"/>
              </w:rPr>
            </w:pPr>
            <w:r>
              <w:rPr>
                <w:rFonts w:ascii="Arial" w:cs="Arial" w:eastAsia="Arial" w:hAnsi="Arial"/>
                <w:sz w:val="14"/>
                <w:szCs w:val="14"/>
                <w:color w:val="auto"/>
              </w:rPr>
              <w:t>201</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5580" w:type="dxa"/>
            <w:vAlign w:val="bottom"/>
            <w:gridSpan w:val="3"/>
          </w:tcPr>
          <w:p>
            <w:pPr>
              <w:spacing w:after="0"/>
              <w:rPr>
                <w:sz w:val="20"/>
                <w:szCs w:val="20"/>
                <w:color w:val="auto"/>
              </w:rPr>
            </w:pPr>
            <w:r>
              <w:rPr>
                <w:rFonts w:ascii="Arial" w:cs="Arial" w:eastAsia="Arial" w:hAnsi="Arial"/>
                <w:sz w:val="14"/>
                <w:szCs w:val="14"/>
                <w:color w:val="auto"/>
              </w:rPr>
              <w:t>Net cash from operating activities (pre-tax)</w:t>
            </w:r>
          </w:p>
        </w:tc>
        <w:tc>
          <w:tcPr>
            <w:tcW w:w="1820" w:type="dxa"/>
            <w:vAlign w:val="bottom"/>
          </w:tcPr>
          <w:p>
            <w:pPr>
              <w:spacing w:after="0"/>
              <w:rPr>
                <w:sz w:val="13"/>
                <w:szCs w:val="13"/>
                <w:color w:val="auto"/>
              </w:rPr>
            </w:pPr>
          </w:p>
        </w:tc>
        <w:tc>
          <w:tcPr>
            <w:tcW w:w="1300" w:type="dxa"/>
            <w:vAlign w:val="bottom"/>
            <w:shd w:val="clear" w:color="auto" w:fill="D8D8D8"/>
          </w:tcPr>
          <w:p>
            <w:pPr>
              <w:jc w:val="right"/>
              <w:ind w:right="268"/>
              <w:spacing w:after="0"/>
              <w:rPr>
                <w:sz w:val="20"/>
                <w:szCs w:val="20"/>
                <w:color w:val="auto"/>
              </w:rPr>
            </w:pPr>
            <w:r>
              <w:rPr>
                <w:rFonts w:ascii="Arial" w:cs="Arial" w:eastAsia="Arial" w:hAnsi="Arial"/>
                <w:sz w:val="14"/>
                <w:szCs w:val="14"/>
                <w:color w:val="auto"/>
              </w:rPr>
              <w:t>59,343</w:t>
            </w:r>
          </w:p>
        </w:tc>
        <w:tc>
          <w:tcPr>
            <w:tcW w:w="1520" w:type="dxa"/>
            <w:vAlign w:val="bottom"/>
          </w:tcPr>
          <w:p>
            <w:pPr>
              <w:jc w:val="right"/>
              <w:ind w:right="169"/>
              <w:spacing w:after="0"/>
              <w:rPr>
                <w:sz w:val="20"/>
                <w:szCs w:val="20"/>
                <w:color w:val="auto"/>
              </w:rPr>
            </w:pPr>
            <w:r>
              <w:rPr>
                <w:rFonts w:ascii="Arial" w:cs="Arial" w:eastAsia="Arial" w:hAnsi="Arial"/>
                <w:sz w:val="14"/>
                <w:szCs w:val="14"/>
                <w:color w:val="auto"/>
              </w:rPr>
              <w:t>60,749</w:t>
            </w:r>
          </w:p>
        </w:tc>
        <w:tc>
          <w:tcPr>
            <w:tcW w:w="1200" w:type="dxa"/>
            <w:vAlign w:val="bottom"/>
          </w:tcPr>
          <w:p>
            <w:pPr>
              <w:jc w:val="right"/>
              <w:ind w:right="268"/>
              <w:spacing w:after="0"/>
              <w:rPr>
                <w:sz w:val="20"/>
                <w:szCs w:val="20"/>
                <w:color w:val="auto"/>
              </w:rPr>
            </w:pPr>
            <w:r>
              <w:rPr>
                <w:rFonts w:ascii="Arial" w:cs="Arial" w:eastAsia="Arial" w:hAnsi="Arial"/>
                <w:sz w:val="14"/>
                <w:szCs w:val="14"/>
                <w:color w:val="auto"/>
              </w:rPr>
              <w:t>67,170</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1800" w:type="dxa"/>
            <w:vAlign w:val="bottom"/>
            <w:tcBorders>
              <w:bottom w:val="single" w:sz="8" w:color="auto"/>
            </w:tcBorders>
            <w:gridSpan w:val="2"/>
          </w:tcPr>
          <w:p>
            <w:pPr>
              <w:spacing w:after="0" w:line="157" w:lineRule="exact"/>
              <w:rPr>
                <w:sz w:val="20"/>
                <w:szCs w:val="20"/>
                <w:color w:val="auto"/>
              </w:rPr>
            </w:pPr>
            <w:r>
              <w:rPr>
                <w:rFonts w:ascii="Arial" w:cs="Arial" w:eastAsia="Arial" w:hAnsi="Arial"/>
                <w:sz w:val="14"/>
                <w:szCs w:val="14"/>
                <w:color w:val="auto"/>
              </w:rPr>
              <w:t>Taxation paid</w:t>
            </w:r>
          </w:p>
        </w:tc>
        <w:tc>
          <w:tcPr>
            <w:tcW w:w="3780" w:type="dxa"/>
            <w:vAlign w:val="bottom"/>
            <w:tcBorders>
              <w:bottom w:val="single" w:sz="8" w:color="auto"/>
            </w:tcBorders>
          </w:tcPr>
          <w:p>
            <w:pPr>
              <w:spacing w:after="0"/>
              <w:rPr>
                <w:sz w:val="13"/>
                <w:szCs w:val="13"/>
                <w:color w:val="auto"/>
              </w:rPr>
            </w:pPr>
          </w:p>
        </w:tc>
        <w:tc>
          <w:tcPr>
            <w:tcW w:w="182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shd w:val="clear" w:color="auto" w:fill="D8D8D8"/>
          </w:tcPr>
          <w:p>
            <w:pPr>
              <w:jc w:val="right"/>
              <w:ind w:right="268"/>
              <w:spacing w:after="0" w:line="157" w:lineRule="exact"/>
              <w:rPr>
                <w:sz w:val="20"/>
                <w:szCs w:val="20"/>
                <w:color w:val="auto"/>
              </w:rPr>
            </w:pPr>
            <w:r>
              <w:rPr>
                <w:rFonts w:ascii="Arial" w:cs="Arial" w:eastAsia="Arial" w:hAnsi="Arial"/>
                <w:sz w:val="14"/>
                <w:szCs w:val="14"/>
                <w:color w:val="auto"/>
              </w:rPr>
              <w:t>(14,299)</w:t>
            </w:r>
          </w:p>
        </w:tc>
        <w:tc>
          <w:tcPr>
            <w:tcW w:w="1520" w:type="dxa"/>
            <w:vAlign w:val="bottom"/>
            <w:tcBorders>
              <w:bottom w:val="single" w:sz="8" w:color="auto"/>
            </w:tcBorders>
          </w:tcPr>
          <w:p>
            <w:pPr>
              <w:jc w:val="right"/>
              <w:ind w:right="109"/>
              <w:spacing w:after="0" w:line="157" w:lineRule="exact"/>
              <w:rPr>
                <w:sz w:val="20"/>
                <w:szCs w:val="20"/>
                <w:color w:val="auto"/>
              </w:rPr>
            </w:pPr>
            <w:r>
              <w:rPr>
                <w:rFonts w:ascii="Arial" w:cs="Arial" w:eastAsia="Arial" w:hAnsi="Arial"/>
                <w:sz w:val="14"/>
                <w:szCs w:val="14"/>
                <w:color w:val="auto"/>
              </w:rPr>
              <w:t>(20,309)</w:t>
            </w:r>
          </w:p>
        </w:tc>
        <w:tc>
          <w:tcPr>
            <w:tcW w:w="1200" w:type="dxa"/>
            <w:vAlign w:val="bottom"/>
            <w:tcBorders>
              <w:bottom w:val="single" w:sz="8" w:color="auto"/>
            </w:tcBorders>
          </w:tcPr>
          <w:p>
            <w:pPr>
              <w:jc w:val="right"/>
              <w:ind w:right="208"/>
              <w:spacing w:after="0" w:line="157" w:lineRule="exact"/>
              <w:rPr>
                <w:sz w:val="20"/>
                <w:szCs w:val="20"/>
                <w:color w:val="auto"/>
              </w:rPr>
            </w:pPr>
            <w:r>
              <w:rPr>
                <w:rFonts w:ascii="Arial" w:cs="Arial" w:eastAsia="Arial" w:hAnsi="Arial"/>
                <w:sz w:val="14"/>
                <w:szCs w:val="14"/>
                <w:color w:val="auto"/>
              </w:rPr>
              <w:t>(21,030)</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5580" w:type="dxa"/>
            <w:vAlign w:val="bottom"/>
            <w:tcBorders>
              <w:bottom w:val="single" w:sz="8" w:color="auto"/>
            </w:tcBorders>
            <w:gridSpan w:val="3"/>
          </w:tcPr>
          <w:p>
            <w:pPr>
              <w:spacing w:after="0" w:line="155" w:lineRule="exact"/>
              <w:rPr>
                <w:sz w:val="20"/>
                <w:szCs w:val="20"/>
                <w:color w:val="auto"/>
              </w:rPr>
            </w:pPr>
            <w:r>
              <w:rPr>
                <w:rFonts w:ascii="Arial" w:cs="Arial" w:eastAsia="Arial" w:hAnsi="Arial"/>
                <w:sz w:val="14"/>
                <w:szCs w:val="14"/>
                <w:color w:val="auto"/>
              </w:rPr>
              <w:t>Net cash from operating activities</w:t>
            </w:r>
          </w:p>
        </w:tc>
        <w:tc>
          <w:tcPr>
            <w:tcW w:w="182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shd w:val="clear" w:color="auto" w:fill="D8D8D8"/>
          </w:tcPr>
          <w:p>
            <w:pPr>
              <w:jc w:val="right"/>
              <w:ind w:right="268"/>
              <w:spacing w:after="0" w:line="155" w:lineRule="exact"/>
              <w:rPr>
                <w:sz w:val="20"/>
                <w:szCs w:val="20"/>
                <w:color w:val="auto"/>
              </w:rPr>
            </w:pPr>
            <w:r>
              <w:rPr>
                <w:rFonts w:ascii="Arial" w:cs="Arial" w:eastAsia="Arial" w:hAnsi="Arial"/>
                <w:sz w:val="14"/>
                <w:szCs w:val="14"/>
                <w:color w:val="auto"/>
              </w:rPr>
              <w:t>45,044</w:t>
            </w:r>
          </w:p>
        </w:tc>
        <w:tc>
          <w:tcPr>
            <w:tcW w:w="1520" w:type="dxa"/>
            <w:vAlign w:val="bottom"/>
            <w:tcBorders>
              <w:bottom w:val="single" w:sz="8" w:color="auto"/>
            </w:tcBorders>
          </w:tcPr>
          <w:p>
            <w:pPr>
              <w:jc w:val="right"/>
              <w:ind w:right="169"/>
              <w:spacing w:after="0" w:line="155" w:lineRule="exact"/>
              <w:rPr>
                <w:sz w:val="20"/>
                <w:szCs w:val="20"/>
                <w:color w:val="auto"/>
              </w:rPr>
            </w:pPr>
            <w:r>
              <w:rPr>
                <w:rFonts w:ascii="Arial" w:cs="Arial" w:eastAsia="Arial" w:hAnsi="Arial"/>
                <w:sz w:val="14"/>
                <w:szCs w:val="14"/>
                <w:color w:val="auto"/>
              </w:rPr>
              <w:t>40,440</w:t>
            </w:r>
          </w:p>
        </w:tc>
        <w:tc>
          <w:tcPr>
            <w:tcW w:w="1200" w:type="dxa"/>
            <w:vAlign w:val="bottom"/>
            <w:tcBorders>
              <w:bottom w:val="single" w:sz="8" w:color="auto"/>
            </w:tcBorders>
          </w:tcPr>
          <w:p>
            <w:pPr>
              <w:jc w:val="right"/>
              <w:ind w:right="268"/>
              <w:spacing w:after="0" w:line="155" w:lineRule="exact"/>
              <w:rPr>
                <w:sz w:val="20"/>
                <w:szCs w:val="20"/>
                <w:color w:val="auto"/>
              </w:rPr>
            </w:pPr>
            <w:r>
              <w:rPr>
                <w:rFonts w:ascii="Arial" w:cs="Arial" w:eastAsia="Arial" w:hAnsi="Arial"/>
                <w:sz w:val="14"/>
                <w:szCs w:val="14"/>
                <w:color w:val="auto"/>
              </w:rPr>
              <w:t>46,140</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5580" w:type="dxa"/>
            <w:vAlign w:val="bottom"/>
            <w:gridSpan w:val="3"/>
          </w:tcPr>
          <w:p>
            <w:pPr>
              <w:spacing w:after="0"/>
              <w:rPr>
                <w:sz w:val="20"/>
                <w:szCs w:val="20"/>
                <w:color w:val="auto"/>
              </w:rPr>
            </w:pPr>
            <w:r>
              <w:rPr>
                <w:rFonts w:ascii="Arial" w:cs="Arial" w:eastAsia="Arial" w:hAnsi="Arial"/>
                <w:sz w:val="14"/>
                <w:szCs w:val="14"/>
                <w:b w:val="1"/>
                <w:bCs w:val="1"/>
                <w:color w:val="auto"/>
              </w:rPr>
              <w:t>Cash flow from investing activities</w:t>
            </w:r>
          </w:p>
        </w:tc>
        <w:tc>
          <w:tcPr>
            <w:tcW w:w="1820" w:type="dxa"/>
            <w:vAlign w:val="bottom"/>
          </w:tcPr>
          <w:p>
            <w:pPr>
              <w:spacing w:after="0"/>
              <w:rPr>
                <w:sz w:val="13"/>
                <w:szCs w:val="13"/>
                <w:color w:val="auto"/>
              </w:rPr>
            </w:pPr>
          </w:p>
        </w:tc>
        <w:tc>
          <w:tcPr>
            <w:tcW w:w="1300" w:type="dxa"/>
            <w:vAlign w:val="bottom"/>
            <w:shd w:val="clear" w:color="auto" w:fill="D8D8D8"/>
          </w:tcPr>
          <w:p>
            <w:pPr>
              <w:spacing w:after="0"/>
              <w:rPr>
                <w:sz w:val="13"/>
                <w:szCs w:val="13"/>
                <w:color w:val="auto"/>
              </w:rPr>
            </w:pPr>
          </w:p>
        </w:tc>
        <w:tc>
          <w:tcPr>
            <w:tcW w:w="15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1800" w:type="dxa"/>
            <w:vAlign w:val="bottom"/>
            <w:gridSpan w:val="2"/>
          </w:tcPr>
          <w:p>
            <w:pPr>
              <w:spacing w:after="0"/>
              <w:rPr>
                <w:sz w:val="20"/>
                <w:szCs w:val="20"/>
                <w:color w:val="auto"/>
              </w:rPr>
            </w:pPr>
            <w:r>
              <w:rPr>
                <w:rFonts w:ascii="Arial" w:cs="Arial" w:eastAsia="Arial" w:hAnsi="Arial"/>
                <w:sz w:val="14"/>
                <w:szCs w:val="14"/>
                <w:color w:val="auto"/>
              </w:rPr>
              <w:t>Capital expenditure</w:t>
            </w:r>
          </w:p>
        </w:tc>
        <w:tc>
          <w:tcPr>
            <w:tcW w:w="378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300" w:type="dxa"/>
            <w:vAlign w:val="bottom"/>
            <w:shd w:val="clear" w:color="auto" w:fill="D8D8D8"/>
          </w:tcPr>
          <w:p>
            <w:pPr>
              <w:jc w:val="right"/>
              <w:ind w:right="268"/>
              <w:spacing w:after="0"/>
              <w:rPr>
                <w:sz w:val="20"/>
                <w:szCs w:val="20"/>
                <w:color w:val="auto"/>
              </w:rPr>
            </w:pPr>
            <w:r>
              <w:rPr>
                <w:rFonts w:ascii="Arial" w:cs="Arial" w:eastAsia="Arial" w:hAnsi="Arial"/>
                <w:sz w:val="14"/>
                <w:szCs w:val="14"/>
                <w:color w:val="auto"/>
              </w:rPr>
              <w:t>(31,854)</w:t>
            </w:r>
          </w:p>
        </w:tc>
        <w:tc>
          <w:tcPr>
            <w:tcW w:w="1520" w:type="dxa"/>
            <w:vAlign w:val="bottom"/>
          </w:tcPr>
          <w:p>
            <w:pPr>
              <w:jc w:val="right"/>
              <w:ind w:right="109"/>
              <w:spacing w:after="0"/>
              <w:rPr>
                <w:sz w:val="20"/>
                <w:szCs w:val="20"/>
                <w:color w:val="auto"/>
              </w:rPr>
            </w:pPr>
            <w:r>
              <w:rPr>
                <w:rFonts w:ascii="Arial" w:cs="Arial" w:eastAsia="Arial" w:hAnsi="Arial"/>
                <w:sz w:val="14"/>
                <w:szCs w:val="14"/>
                <w:color w:val="auto"/>
              </w:rPr>
              <w:t>(40,145)</w:t>
            </w:r>
          </w:p>
        </w:tc>
        <w:tc>
          <w:tcPr>
            <w:tcW w:w="1200" w:type="dxa"/>
            <w:vAlign w:val="bottom"/>
          </w:tcPr>
          <w:p>
            <w:pPr>
              <w:jc w:val="right"/>
              <w:ind w:right="208"/>
              <w:spacing w:after="0"/>
              <w:rPr>
                <w:sz w:val="20"/>
                <w:szCs w:val="20"/>
                <w:color w:val="auto"/>
              </w:rPr>
            </w:pPr>
            <w:r>
              <w:rPr>
                <w:rFonts w:ascii="Arial" w:cs="Arial" w:eastAsia="Arial" w:hAnsi="Arial"/>
                <w:sz w:val="14"/>
                <w:szCs w:val="14"/>
                <w:color w:val="auto"/>
              </w:rPr>
              <w:t>(32,576)</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580" w:type="dxa"/>
            <w:vAlign w:val="bottom"/>
            <w:gridSpan w:val="3"/>
          </w:tcPr>
          <w:p>
            <w:pPr>
              <w:spacing w:after="0"/>
              <w:rPr>
                <w:sz w:val="20"/>
                <w:szCs w:val="20"/>
                <w:color w:val="auto"/>
              </w:rPr>
            </w:pPr>
            <w:r>
              <w:rPr>
                <w:rFonts w:ascii="Arial" w:cs="Arial" w:eastAsia="Arial" w:hAnsi="Arial"/>
                <w:sz w:val="14"/>
                <w:szCs w:val="14"/>
                <w:color w:val="auto"/>
              </w:rPr>
              <w:t>Investments in joint ventures and associates</w:t>
            </w:r>
          </w:p>
        </w:tc>
        <w:tc>
          <w:tcPr>
            <w:tcW w:w="1820" w:type="dxa"/>
            <w:vAlign w:val="bottom"/>
          </w:tcPr>
          <w:p>
            <w:pPr>
              <w:spacing w:after="0"/>
              <w:rPr>
                <w:sz w:val="14"/>
                <w:szCs w:val="14"/>
                <w:color w:val="auto"/>
              </w:rPr>
            </w:pPr>
          </w:p>
        </w:tc>
        <w:tc>
          <w:tcPr>
            <w:tcW w:w="1300" w:type="dxa"/>
            <w:vAlign w:val="bottom"/>
            <w:shd w:val="clear" w:color="auto" w:fill="D8D8D8"/>
          </w:tcPr>
          <w:p>
            <w:pPr>
              <w:jc w:val="right"/>
              <w:ind w:right="268"/>
              <w:spacing w:after="0"/>
              <w:rPr>
                <w:sz w:val="20"/>
                <w:szCs w:val="20"/>
                <w:color w:val="auto"/>
              </w:rPr>
            </w:pPr>
            <w:r>
              <w:rPr>
                <w:rFonts w:ascii="Arial" w:cs="Arial" w:eastAsia="Arial" w:hAnsi="Arial"/>
                <w:sz w:val="14"/>
                <w:szCs w:val="14"/>
                <w:color w:val="auto"/>
              </w:rPr>
              <w:t>(1,426)</w:t>
            </w:r>
          </w:p>
        </w:tc>
        <w:tc>
          <w:tcPr>
            <w:tcW w:w="1520" w:type="dxa"/>
            <w:vAlign w:val="bottom"/>
          </w:tcPr>
          <w:p>
            <w:pPr>
              <w:jc w:val="right"/>
              <w:ind w:right="109"/>
              <w:spacing w:after="0"/>
              <w:rPr>
                <w:sz w:val="20"/>
                <w:szCs w:val="20"/>
                <w:color w:val="auto"/>
              </w:rPr>
            </w:pPr>
            <w:r>
              <w:rPr>
                <w:rFonts w:ascii="Arial" w:cs="Arial" w:eastAsia="Arial" w:hAnsi="Arial"/>
                <w:sz w:val="14"/>
                <w:szCs w:val="14"/>
                <w:color w:val="auto"/>
              </w:rPr>
              <w:t>(1,538)</w:t>
            </w:r>
          </w:p>
        </w:tc>
        <w:tc>
          <w:tcPr>
            <w:tcW w:w="1200" w:type="dxa"/>
            <w:vAlign w:val="bottom"/>
          </w:tcPr>
          <w:p>
            <w:pPr>
              <w:jc w:val="right"/>
              <w:ind w:right="208"/>
              <w:spacing w:after="0"/>
              <w:rPr>
                <w:sz w:val="20"/>
                <w:szCs w:val="20"/>
                <w:color w:val="auto"/>
              </w:rPr>
            </w:pPr>
            <w:r>
              <w:rPr>
                <w:rFonts w:ascii="Arial" w:cs="Arial" w:eastAsia="Arial" w:hAnsi="Arial"/>
                <w:sz w:val="14"/>
                <w:szCs w:val="14"/>
                <w:color w:val="auto"/>
              </w:rPr>
              <w:t>(3,028)</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580" w:type="dxa"/>
            <w:vAlign w:val="bottom"/>
            <w:gridSpan w:val="3"/>
          </w:tcPr>
          <w:p>
            <w:pPr>
              <w:spacing w:after="0"/>
              <w:rPr>
                <w:sz w:val="20"/>
                <w:szCs w:val="20"/>
                <w:color w:val="auto"/>
              </w:rPr>
            </w:pPr>
            <w:r>
              <w:rPr>
                <w:rFonts w:ascii="Arial" w:cs="Arial" w:eastAsia="Arial" w:hAnsi="Arial"/>
                <w:sz w:val="14"/>
                <w:szCs w:val="14"/>
                <w:color w:val="auto"/>
              </w:rPr>
              <w:t>Proceeds from sale of property, plant and equipment and businesses</w:t>
            </w:r>
          </w:p>
        </w:tc>
        <w:tc>
          <w:tcPr>
            <w:tcW w:w="1820" w:type="dxa"/>
            <w:vAlign w:val="bottom"/>
          </w:tcPr>
          <w:p>
            <w:pPr>
              <w:spacing w:after="0"/>
              <w:rPr>
                <w:sz w:val="14"/>
                <w:szCs w:val="14"/>
                <w:color w:val="auto"/>
              </w:rPr>
            </w:pPr>
          </w:p>
        </w:tc>
        <w:tc>
          <w:tcPr>
            <w:tcW w:w="1300" w:type="dxa"/>
            <w:vAlign w:val="bottom"/>
            <w:shd w:val="clear" w:color="auto" w:fill="D8D8D8"/>
          </w:tcPr>
          <w:p>
            <w:pPr>
              <w:jc w:val="right"/>
              <w:ind w:right="268"/>
              <w:spacing w:after="0"/>
              <w:rPr>
                <w:sz w:val="20"/>
                <w:szCs w:val="20"/>
                <w:color w:val="auto"/>
              </w:rPr>
            </w:pPr>
            <w:r>
              <w:rPr>
                <w:rFonts w:ascii="Arial" w:cs="Arial" w:eastAsia="Arial" w:hAnsi="Arial"/>
                <w:sz w:val="14"/>
                <w:szCs w:val="14"/>
                <w:color w:val="auto"/>
              </w:rPr>
              <w:t>9,873</w:t>
            </w:r>
          </w:p>
        </w:tc>
        <w:tc>
          <w:tcPr>
            <w:tcW w:w="1520" w:type="dxa"/>
            <w:vAlign w:val="bottom"/>
          </w:tcPr>
          <w:p>
            <w:pPr>
              <w:jc w:val="right"/>
              <w:ind w:right="169"/>
              <w:spacing w:after="0"/>
              <w:rPr>
                <w:sz w:val="20"/>
                <w:szCs w:val="20"/>
                <w:color w:val="auto"/>
              </w:rPr>
            </w:pPr>
            <w:r>
              <w:rPr>
                <w:rFonts w:ascii="Arial" w:cs="Arial" w:eastAsia="Arial" w:hAnsi="Arial"/>
                <w:sz w:val="14"/>
                <w:szCs w:val="14"/>
                <w:color w:val="auto"/>
              </w:rPr>
              <w:t>1,212</w:t>
            </w:r>
          </w:p>
        </w:tc>
        <w:tc>
          <w:tcPr>
            <w:tcW w:w="1200" w:type="dxa"/>
            <w:vAlign w:val="bottom"/>
          </w:tcPr>
          <w:p>
            <w:pPr>
              <w:jc w:val="right"/>
              <w:ind w:right="268"/>
              <w:spacing w:after="0"/>
              <w:rPr>
                <w:sz w:val="20"/>
                <w:szCs w:val="20"/>
                <w:color w:val="auto"/>
              </w:rPr>
            </w:pPr>
            <w:r>
              <w:rPr>
                <w:rFonts w:ascii="Arial" w:cs="Arial" w:eastAsia="Arial" w:hAnsi="Arial"/>
                <w:sz w:val="14"/>
                <w:szCs w:val="14"/>
                <w:color w:val="auto"/>
              </w:rPr>
              <w:t>6,346</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580" w:type="dxa"/>
            <w:vAlign w:val="bottom"/>
            <w:gridSpan w:val="3"/>
          </w:tcPr>
          <w:p>
            <w:pPr>
              <w:spacing w:after="0"/>
              <w:rPr>
                <w:sz w:val="20"/>
                <w:szCs w:val="20"/>
                <w:color w:val="auto"/>
              </w:rPr>
            </w:pPr>
            <w:r>
              <w:rPr>
                <w:rFonts w:ascii="Arial" w:cs="Arial" w:eastAsia="Arial" w:hAnsi="Arial"/>
                <w:sz w:val="14"/>
                <w:szCs w:val="14"/>
                <w:color w:val="auto"/>
              </w:rPr>
              <w:t>Proceeds from sale of joint ventures and associates</w:t>
            </w:r>
          </w:p>
        </w:tc>
        <w:tc>
          <w:tcPr>
            <w:tcW w:w="1820" w:type="dxa"/>
            <w:vAlign w:val="bottom"/>
          </w:tcPr>
          <w:p>
            <w:pPr>
              <w:spacing w:after="0"/>
              <w:rPr>
                <w:sz w:val="14"/>
                <w:szCs w:val="14"/>
                <w:color w:val="auto"/>
              </w:rPr>
            </w:pPr>
          </w:p>
        </w:tc>
        <w:tc>
          <w:tcPr>
            <w:tcW w:w="1300" w:type="dxa"/>
            <w:vAlign w:val="bottom"/>
            <w:shd w:val="clear" w:color="auto" w:fill="D8D8D8"/>
          </w:tcPr>
          <w:p>
            <w:pPr>
              <w:jc w:val="right"/>
              <w:ind w:right="268"/>
              <w:spacing w:after="0"/>
              <w:rPr>
                <w:sz w:val="20"/>
                <w:szCs w:val="20"/>
                <w:color w:val="auto"/>
              </w:rPr>
            </w:pPr>
            <w:r>
              <w:rPr>
                <w:rFonts w:ascii="Arial" w:cs="Arial" w:eastAsia="Arial" w:hAnsi="Arial"/>
                <w:sz w:val="14"/>
                <w:szCs w:val="14"/>
                <w:color w:val="auto"/>
              </w:rPr>
              <w:t>4,163</w:t>
            </w:r>
          </w:p>
        </w:tc>
        <w:tc>
          <w:tcPr>
            <w:tcW w:w="1520" w:type="dxa"/>
            <w:vAlign w:val="bottom"/>
          </w:tcPr>
          <w:p>
            <w:pPr>
              <w:jc w:val="right"/>
              <w:ind w:right="169"/>
              <w:spacing w:after="0"/>
              <w:rPr>
                <w:sz w:val="20"/>
                <w:szCs w:val="20"/>
                <w:color w:val="auto"/>
              </w:rPr>
            </w:pPr>
            <w:r>
              <w:rPr>
                <w:rFonts w:ascii="Arial" w:cs="Arial" w:eastAsia="Arial" w:hAnsi="Arial"/>
                <w:sz w:val="14"/>
                <w:szCs w:val="14"/>
                <w:color w:val="auto"/>
              </w:rPr>
              <w:t>538</w:t>
            </w:r>
          </w:p>
        </w:tc>
        <w:tc>
          <w:tcPr>
            <w:tcW w:w="1200" w:type="dxa"/>
            <w:vAlign w:val="bottom"/>
          </w:tcPr>
          <w:p>
            <w:pPr>
              <w:jc w:val="right"/>
              <w:ind w:right="268"/>
              <w:spacing w:after="0"/>
              <w:rPr>
                <w:sz w:val="20"/>
                <w:szCs w:val="20"/>
                <w:color w:val="auto"/>
              </w:rPr>
            </w:pPr>
            <w:r>
              <w:rPr>
                <w:rFonts w:ascii="Arial" w:cs="Arial" w:eastAsia="Arial" w:hAnsi="Arial"/>
                <w:sz w:val="14"/>
                <w:szCs w:val="14"/>
                <w:color w:val="auto"/>
              </w:rPr>
              <w:t>698</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800" w:type="dxa"/>
            <w:vAlign w:val="bottom"/>
            <w:gridSpan w:val="2"/>
          </w:tcPr>
          <w:p>
            <w:pPr>
              <w:spacing w:after="0"/>
              <w:rPr>
                <w:sz w:val="20"/>
                <w:szCs w:val="20"/>
                <w:color w:val="auto"/>
              </w:rPr>
            </w:pPr>
            <w:r>
              <w:rPr>
                <w:rFonts w:ascii="Arial" w:cs="Arial" w:eastAsia="Arial" w:hAnsi="Arial"/>
                <w:sz w:val="14"/>
                <w:szCs w:val="14"/>
                <w:color w:val="auto"/>
              </w:rPr>
              <w:t>Other investments (net)</w:t>
            </w:r>
          </w:p>
        </w:tc>
        <w:tc>
          <w:tcPr>
            <w:tcW w:w="378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300" w:type="dxa"/>
            <w:vAlign w:val="bottom"/>
            <w:shd w:val="clear" w:color="auto" w:fill="D8D8D8"/>
          </w:tcPr>
          <w:p>
            <w:pPr>
              <w:jc w:val="right"/>
              <w:ind w:right="268"/>
              <w:spacing w:after="0"/>
              <w:rPr>
                <w:sz w:val="20"/>
                <w:szCs w:val="20"/>
                <w:color w:val="auto"/>
              </w:rPr>
            </w:pPr>
            <w:r>
              <w:rPr>
                <w:rFonts w:ascii="Arial" w:cs="Arial" w:eastAsia="Arial" w:hAnsi="Arial"/>
                <w:sz w:val="14"/>
                <w:szCs w:val="14"/>
                <w:color w:val="auto"/>
              </w:rPr>
              <w:t>(587)</w:t>
            </w:r>
          </w:p>
        </w:tc>
        <w:tc>
          <w:tcPr>
            <w:tcW w:w="1520" w:type="dxa"/>
            <w:vAlign w:val="bottom"/>
          </w:tcPr>
          <w:p>
            <w:pPr>
              <w:jc w:val="right"/>
              <w:ind w:right="109"/>
              <w:spacing w:after="0"/>
              <w:rPr>
                <w:sz w:val="20"/>
                <w:szCs w:val="20"/>
                <w:color w:val="auto"/>
              </w:rPr>
            </w:pPr>
            <w:r>
              <w:rPr>
                <w:rFonts w:ascii="Arial" w:cs="Arial" w:eastAsia="Arial" w:hAnsi="Arial"/>
                <w:sz w:val="14"/>
                <w:szCs w:val="14"/>
                <w:color w:val="auto"/>
              </w:rPr>
              <w:t>(388)</w:t>
            </w:r>
          </w:p>
        </w:tc>
        <w:tc>
          <w:tcPr>
            <w:tcW w:w="1200" w:type="dxa"/>
            <w:vAlign w:val="bottom"/>
          </w:tcPr>
          <w:p>
            <w:pPr>
              <w:jc w:val="right"/>
              <w:ind w:right="208"/>
              <w:spacing w:after="0"/>
              <w:rPr>
                <w:sz w:val="20"/>
                <w:szCs w:val="20"/>
                <w:color w:val="auto"/>
              </w:rPr>
            </w:pPr>
            <w:r>
              <w:rPr>
                <w:rFonts w:ascii="Arial" w:cs="Arial" w:eastAsia="Arial" w:hAnsi="Arial"/>
                <w:sz w:val="14"/>
                <w:szCs w:val="14"/>
                <w:color w:val="auto"/>
              </w:rPr>
              <w:t>(86)</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1800" w:type="dxa"/>
            <w:vAlign w:val="bottom"/>
            <w:tcBorders>
              <w:bottom w:val="single" w:sz="8" w:color="auto"/>
            </w:tcBorders>
            <w:gridSpan w:val="2"/>
          </w:tcPr>
          <w:p>
            <w:pPr>
              <w:spacing w:after="0" w:line="157" w:lineRule="exact"/>
              <w:rPr>
                <w:sz w:val="20"/>
                <w:szCs w:val="20"/>
                <w:color w:val="auto"/>
              </w:rPr>
            </w:pPr>
            <w:r>
              <w:rPr>
                <w:rFonts w:ascii="Arial" w:cs="Arial" w:eastAsia="Arial" w:hAnsi="Arial"/>
                <w:sz w:val="14"/>
                <w:szCs w:val="14"/>
                <w:color w:val="auto"/>
              </w:rPr>
              <w:t>Interest received</w:t>
            </w:r>
          </w:p>
        </w:tc>
        <w:tc>
          <w:tcPr>
            <w:tcW w:w="3780" w:type="dxa"/>
            <w:vAlign w:val="bottom"/>
            <w:tcBorders>
              <w:bottom w:val="single" w:sz="8" w:color="auto"/>
            </w:tcBorders>
          </w:tcPr>
          <w:p>
            <w:pPr>
              <w:spacing w:after="0"/>
              <w:rPr>
                <w:sz w:val="13"/>
                <w:szCs w:val="13"/>
                <w:color w:val="auto"/>
              </w:rPr>
            </w:pPr>
          </w:p>
        </w:tc>
        <w:tc>
          <w:tcPr>
            <w:tcW w:w="182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shd w:val="clear" w:color="auto" w:fill="D8D8D8"/>
          </w:tcPr>
          <w:p>
            <w:pPr>
              <w:jc w:val="right"/>
              <w:ind w:right="268"/>
              <w:spacing w:after="0" w:line="157" w:lineRule="exact"/>
              <w:rPr>
                <w:sz w:val="20"/>
                <w:szCs w:val="20"/>
                <w:color w:val="auto"/>
              </w:rPr>
            </w:pPr>
            <w:r>
              <w:rPr>
                <w:rFonts w:ascii="Arial" w:cs="Arial" w:eastAsia="Arial" w:hAnsi="Arial"/>
                <w:sz w:val="14"/>
                <w:szCs w:val="14"/>
                <w:color w:val="auto"/>
              </w:rPr>
              <w:t>174</w:t>
            </w:r>
          </w:p>
        </w:tc>
        <w:tc>
          <w:tcPr>
            <w:tcW w:w="1520" w:type="dxa"/>
            <w:vAlign w:val="bottom"/>
            <w:tcBorders>
              <w:bottom w:val="single" w:sz="8" w:color="auto"/>
            </w:tcBorders>
          </w:tcPr>
          <w:p>
            <w:pPr>
              <w:jc w:val="right"/>
              <w:ind w:right="169"/>
              <w:spacing w:after="0" w:line="157" w:lineRule="exact"/>
              <w:rPr>
                <w:sz w:val="20"/>
                <w:szCs w:val="20"/>
                <w:color w:val="auto"/>
              </w:rPr>
            </w:pPr>
            <w:r>
              <w:rPr>
                <w:rFonts w:ascii="Arial" w:cs="Arial" w:eastAsia="Arial" w:hAnsi="Arial"/>
                <w:sz w:val="14"/>
                <w:szCs w:val="14"/>
                <w:color w:val="auto"/>
              </w:rPr>
              <w:t>175</w:t>
            </w:r>
          </w:p>
        </w:tc>
        <w:tc>
          <w:tcPr>
            <w:tcW w:w="1200" w:type="dxa"/>
            <w:vAlign w:val="bottom"/>
            <w:tcBorders>
              <w:bottom w:val="single" w:sz="8" w:color="auto"/>
            </w:tcBorders>
          </w:tcPr>
          <w:p>
            <w:pPr>
              <w:jc w:val="right"/>
              <w:ind w:right="268"/>
              <w:spacing w:after="0" w:line="157" w:lineRule="exact"/>
              <w:rPr>
                <w:sz w:val="20"/>
                <w:szCs w:val="20"/>
                <w:color w:val="auto"/>
              </w:rPr>
            </w:pPr>
            <w:r>
              <w:rPr>
                <w:rFonts w:ascii="Arial" w:cs="Arial" w:eastAsia="Arial" w:hAnsi="Arial"/>
                <w:sz w:val="14"/>
                <w:szCs w:val="14"/>
                <w:color w:val="auto"/>
              </w:rPr>
              <w:t>193</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5580" w:type="dxa"/>
            <w:vAlign w:val="bottom"/>
            <w:tcBorders>
              <w:bottom w:val="single" w:sz="8" w:color="auto"/>
            </w:tcBorders>
            <w:gridSpan w:val="3"/>
          </w:tcPr>
          <w:p>
            <w:pPr>
              <w:spacing w:after="0" w:line="155" w:lineRule="exact"/>
              <w:rPr>
                <w:sz w:val="20"/>
                <w:szCs w:val="20"/>
                <w:color w:val="auto"/>
              </w:rPr>
            </w:pPr>
            <w:r>
              <w:rPr>
                <w:rFonts w:ascii="Arial" w:cs="Arial" w:eastAsia="Arial" w:hAnsi="Arial"/>
                <w:sz w:val="14"/>
                <w:szCs w:val="14"/>
                <w:color w:val="auto"/>
              </w:rPr>
              <w:t>Net cash used in investing activities</w:t>
            </w:r>
          </w:p>
        </w:tc>
        <w:tc>
          <w:tcPr>
            <w:tcW w:w="182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shd w:val="clear" w:color="auto" w:fill="D8D8D8"/>
          </w:tcPr>
          <w:p>
            <w:pPr>
              <w:jc w:val="right"/>
              <w:ind w:right="268"/>
              <w:spacing w:after="0" w:line="155" w:lineRule="exact"/>
              <w:rPr>
                <w:sz w:val="20"/>
                <w:szCs w:val="20"/>
                <w:color w:val="auto"/>
              </w:rPr>
            </w:pPr>
            <w:r>
              <w:rPr>
                <w:rFonts w:ascii="Arial" w:cs="Arial" w:eastAsia="Arial" w:hAnsi="Arial"/>
                <w:sz w:val="14"/>
                <w:szCs w:val="14"/>
                <w:color w:val="auto"/>
              </w:rPr>
              <w:t>(19,657)</w:t>
            </w:r>
          </w:p>
        </w:tc>
        <w:tc>
          <w:tcPr>
            <w:tcW w:w="1520" w:type="dxa"/>
            <w:vAlign w:val="bottom"/>
            <w:tcBorders>
              <w:bottom w:val="single" w:sz="8" w:color="auto"/>
            </w:tcBorders>
          </w:tcPr>
          <w:p>
            <w:pPr>
              <w:jc w:val="right"/>
              <w:ind w:right="109"/>
              <w:spacing w:after="0" w:line="155" w:lineRule="exact"/>
              <w:rPr>
                <w:sz w:val="20"/>
                <w:szCs w:val="20"/>
                <w:color w:val="auto"/>
              </w:rPr>
            </w:pPr>
            <w:r>
              <w:rPr>
                <w:rFonts w:ascii="Arial" w:cs="Arial" w:eastAsia="Arial" w:hAnsi="Arial"/>
                <w:sz w:val="14"/>
                <w:szCs w:val="14"/>
                <w:color w:val="auto"/>
              </w:rPr>
              <w:t>(40,146)</w:t>
            </w:r>
          </w:p>
        </w:tc>
        <w:tc>
          <w:tcPr>
            <w:tcW w:w="1200" w:type="dxa"/>
            <w:vAlign w:val="bottom"/>
            <w:tcBorders>
              <w:bottom w:val="single" w:sz="8" w:color="auto"/>
            </w:tcBorders>
          </w:tcPr>
          <w:p>
            <w:pPr>
              <w:jc w:val="right"/>
              <w:ind w:right="208"/>
              <w:spacing w:after="0" w:line="155" w:lineRule="exact"/>
              <w:rPr>
                <w:sz w:val="20"/>
                <w:szCs w:val="20"/>
                <w:color w:val="auto"/>
              </w:rPr>
            </w:pPr>
            <w:r>
              <w:rPr>
                <w:rFonts w:ascii="Arial" w:cs="Arial" w:eastAsia="Arial" w:hAnsi="Arial"/>
                <w:sz w:val="14"/>
                <w:szCs w:val="14"/>
                <w:color w:val="auto"/>
              </w:rPr>
              <w:t>(28,453)</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5580" w:type="dxa"/>
            <w:vAlign w:val="bottom"/>
            <w:gridSpan w:val="3"/>
          </w:tcPr>
          <w:p>
            <w:pPr>
              <w:spacing w:after="0"/>
              <w:rPr>
                <w:sz w:val="20"/>
                <w:szCs w:val="20"/>
                <w:color w:val="auto"/>
              </w:rPr>
            </w:pPr>
            <w:r>
              <w:rPr>
                <w:rFonts w:ascii="Arial" w:cs="Arial" w:eastAsia="Arial" w:hAnsi="Arial"/>
                <w:sz w:val="14"/>
                <w:szCs w:val="14"/>
                <w:b w:val="1"/>
                <w:bCs w:val="1"/>
                <w:color w:val="auto"/>
              </w:rPr>
              <w:t>Cash flow from financing activities</w:t>
            </w:r>
          </w:p>
        </w:tc>
        <w:tc>
          <w:tcPr>
            <w:tcW w:w="1820" w:type="dxa"/>
            <w:vAlign w:val="bottom"/>
          </w:tcPr>
          <w:p>
            <w:pPr>
              <w:spacing w:after="0"/>
              <w:rPr>
                <w:sz w:val="13"/>
                <w:szCs w:val="13"/>
                <w:color w:val="auto"/>
              </w:rPr>
            </w:pPr>
          </w:p>
        </w:tc>
        <w:tc>
          <w:tcPr>
            <w:tcW w:w="1300" w:type="dxa"/>
            <w:vAlign w:val="bottom"/>
            <w:shd w:val="clear" w:color="auto" w:fill="D8D8D8"/>
          </w:tcPr>
          <w:p>
            <w:pPr>
              <w:spacing w:after="0"/>
              <w:rPr>
                <w:sz w:val="13"/>
                <w:szCs w:val="13"/>
                <w:color w:val="auto"/>
              </w:rPr>
            </w:pPr>
          </w:p>
        </w:tc>
        <w:tc>
          <w:tcPr>
            <w:tcW w:w="15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5580" w:type="dxa"/>
            <w:vAlign w:val="bottom"/>
            <w:gridSpan w:val="3"/>
          </w:tcPr>
          <w:p>
            <w:pPr>
              <w:spacing w:after="0"/>
              <w:rPr>
                <w:sz w:val="20"/>
                <w:szCs w:val="20"/>
                <w:color w:val="auto"/>
              </w:rPr>
            </w:pPr>
            <w:r>
              <w:rPr>
                <w:rFonts w:ascii="Arial" w:cs="Arial" w:eastAsia="Arial" w:hAnsi="Arial"/>
                <w:sz w:val="14"/>
                <w:szCs w:val="14"/>
                <w:color w:val="auto"/>
              </w:rPr>
              <w:t>Net (decrease)/increase in debt with maturity period within three months</w:t>
            </w:r>
          </w:p>
        </w:tc>
        <w:tc>
          <w:tcPr>
            <w:tcW w:w="1820" w:type="dxa"/>
            <w:vAlign w:val="bottom"/>
          </w:tcPr>
          <w:p>
            <w:pPr>
              <w:spacing w:after="0"/>
              <w:rPr>
                <w:sz w:val="14"/>
                <w:szCs w:val="14"/>
                <w:color w:val="auto"/>
              </w:rPr>
            </w:pPr>
          </w:p>
        </w:tc>
        <w:tc>
          <w:tcPr>
            <w:tcW w:w="1300" w:type="dxa"/>
            <w:vAlign w:val="bottom"/>
            <w:shd w:val="clear" w:color="auto" w:fill="D8D8D8"/>
          </w:tcPr>
          <w:p>
            <w:pPr>
              <w:jc w:val="right"/>
              <w:ind w:right="268"/>
              <w:spacing w:after="0"/>
              <w:rPr>
                <w:sz w:val="20"/>
                <w:szCs w:val="20"/>
                <w:color w:val="auto"/>
              </w:rPr>
            </w:pPr>
            <w:r>
              <w:rPr>
                <w:rFonts w:ascii="Arial" w:cs="Arial" w:eastAsia="Arial" w:hAnsi="Arial"/>
                <w:sz w:val="14"/>
                <w:szCs w:val="14"/>
                <w:color w:val="auto"/>
              </w:rPr>
              <w:t>(3,332)</w:t>
            </w:r>
          </w:p>
        </w:tc>
        <w:tc>
          <w:tcPr>
            <w:tcW w:w="1520" w:type="dxa"/>
            <w:vAlign w:val="bottom"/>
          </w:tcPr>
          <w:p>
            <w:pPr>
              <w:jc w:val="right"/>
              <w:ind w:right="169"/>
              <w:spacing w:after="0"/>
              <w:rPr>
                <w:sz w:val="20"/>
                <w:szCs w:val="20"/>
                <w:color w:val="auto"/>
              </w:rPr>
            </w:pPr>
            <w:r>
              <w:rPr>
                <w:rFonts w:ascii="Arial" w:cs="Arial" w:eastAsia="Arial" w:hAnsi="Arial"/>
                <w:sz w:val="14"/>
                <w:szCs w:val="14"/>
                <w:color w:val="auto"/>
              </w:rPr>
              <w:t>3,126</w:t>
            </w:r>
          </w:p>
        </w:tc>
        <w:tc>
          <w:tcPr>
            <w:tcW w:w="1200" w:type="dxa"/>
            <w:vAlign w:val="bottom"/>
          </w:tcPr>
          <w:p>
            <w:pPr>
              <w:jc w:val="right"/>
              <w:ind w:right="208"/>
              <w:spacing w:after="0"/>
              <w:rPr>
                <w:sz w:val="20"/>
                <w:szCs w:val="20"/>
                <w:color w:val="auto"/>
              </w:rPr>
            </w:pPr>
            <w:r>
              <w:rPr>
                <w:rFonts w:ascii="Arial" w:cs="Arial" w:eastAsia="Arial" w:hAnsi="Arial"/>
                <w:sz w:val="14"/>
                <w:szCs w:val="14"/>
                <w:color w:val="auto"/>
              </w:rPr>
              <w:t>(165)</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800" w:type="dxa"/>
            <w:vAlign w:val="bottom"/>
            <w:gridSpan w:val="2"/>
          </w:tcPr>
          <w:p>
            <w:pPr>
              <w:spacing w:after="0"/>
              <w:rPr>
                <w:sz w:val="20"/>
                <w:szCs w:val="20"/>
                <w:color w:val="auto"/>
              </w:rPr>
            </w:pPr>
            <w:r>
              <w:rPr>
                <w:rFonts w:ascii="Arial" w:cs="Arial" w:eastAsia="Arial" w:hAnsi="Arial"/>
                <w:sz w:val="14"/>
                <w:szCs w:val="14"/>
                <w:color w:val="auto"/>
              </w:rPr>
              <w:t>Other debt:</w:t>
            </w:r>
          </w:p>
        </w:tc>
        <w:tc>
          <w:tcPr>
            <w:tcW w:w="378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300" w:type="dxa"/>
            <w:vAlign w:val="bottom"/>
            <w:shd w:val="clear" w:color="auto" w:fill="D8D8D8"/>
          </w:tcPr>
          <w:p>
            <w:pPr>
              <w:spacing w:after="0"/>
              <w:rPr>
                <w:sz w:val="14"/>
                <w:szCs w:val="14"/>
                <w:color w:val="auto"/>
              </w:rPr>
            </w:pPr>
          </w:p>
        </w:tc>
        <w:tc>
          <w:tcPr>
            <w:tcW w:w="15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780" w:type="dxa"/>
            <w:vAlign w:val="bottom"/>
          </w:tcPr>
          <w:p>
            <w:pPr>
              <w:ind w:left="120"/>
              <w:spacing w:after="0"/>
              <w:rPr>
                <w:sz w:val="20"/>
                <w:szCs w:val="20"/>
                <w:color w:val="auto"/>
              </w:rPr>
            </w:pPr>
            <w:r>
              <w:rPr>
                <w:rFonts w:ascii="Arial" w:cs="Arial" w:eastAsia="Arial" w:hAnsi="Arial"/>
                <w:sz w:val="14"/>
                <w:szCs w:val="14"/>
                <w:color w:val="auto"/>
              </w:rPr>
              <w:t>New borrowings</w:t>
            </w:r>
          </w:p>
        </w:tc>
        <w:tc>
          <w:tcPr>
            <w:tcW w:w="378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300" w:type="dxa"/>
            <w:vAlign w:val="bottom"/>
            <w:shd w:val="clear" w:color="auto" w:fill="D8D8D8"/>
          </w:tcPr>
          <w:p>
            <w:pPr>
              <w:jc w:val="right"/>
              <w:ind w:right="268"/>
              <w:spacing w:after="0"/>
              <w:rPr>
                <w:sz w:val="20"/>
                <w:szCs w:val="20"/>
                <w:color w:val="auto"/>
              </w:rPr>
            </w:pPr>
            <w:r>
              <w:rPr>
                <w:rFonts w:ascii="Arial" w:cs="Arial" w:eastAsia="Arial" w:hAnsi="Arial"/>
                <w:sz w:val="14"/>
                <w:szCs w:val="14"/>
                <w:color w:val="auto"/>
              </w:rPr>
              <w:t>7,778</w:t>
            </w:r>
          </w:p>
        </w:tc>
        <w:tc>
          <w:tcPr>
            <w:tcW w:w="1520" w:type="dxa"/>
            <w:vAlign w:val="bottom"/>
          </w:tcPr>
          <w:p>
            <w:pPr>
              <w:jc w:val="right"/>
              <w:ind w:right="169"/>
              <w:spacing w:after="0"/>
              <w:rPr>
                <w:sz w:val="20"/>
                <w:szCs w:val="20"/>
                <w:color w:val="auto"/>
              </w:rPr>
            </w:pPr>
            <w:r>
              <w:rPr>
                <w:rFonts w:ascii="Arial" w:cs="Arial" w:eastAsia="Arial" w:hAnsi="Arial"/>
                <w:sz w:val="14"/>
                <w:szCs w:val="14"/>
                <w:color w:val="auto"/>
              </w:rPr>
              <w:t>9,146</w:t>
            </w:r>
          </w:p>
        </w:tc>
        <w:tc>
          <w:tcPr>
            <w:tcW w:w="1200" w:type="dxa"/>
            <w:vAlign w:val="bottom"/>
          </w:tcPr>
          <w:p>
            <w:pPr>
              <w:jc w:val="right"/>
              <w:ind w:right="268"/>
              <w:spacing w:after="0"/>
              <w:rPr>
                <w:sz w:val="20"/>
                <w:szCs w:val="20"/>
                <w:color w:val="auto"/>
              </w:rPr>
            </w:pPr>
            <w:r>
              <w:rPr>
                <w:rFonts w:ascii="Arial" w:cs="Arial" w:eastAsia="Arial" w:hAnsi="Arial"/>
                <w:sz w:val="14"/>
                <w:szCs w:val="14"/>
                <w:color w:val="auto"/>
              </w:rPr>
              <w:t>5,108</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780" w:type="dxa"/>
            <w:vAlign w:val="bottom"/>
          </w:tcPr>
          <w:p>
            <w:pPr>
              <w:ind w:left="120"/>
              <w:spacing w:after="0"/>
              <w:rPr>
                <w:sz w:val="20"/>
                <w:szCs w:val="20"/>
                <w:color w:val="auto"/>
              </w:rPr>
            </w:pPr>
            <w:r>
              <w:rPr>
                <w:rFonts w:ascii="Arial" w:cs="Arial" w:eastAsia="Arial" w:hAnsi="Arial"/>
                <w:sz w:val="14"/>
                <w:szCs w:val="14"/>
                <w:color w:val="auto"/>
              </w:rPr>
              <w:t>Repayments</w:t>
            </w:r>
          </w:p>
        </w:tc>
        <w:tc>
          <w:tcPr>
            <w:tcW w:w="378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300" w:type="dxa"/>
            <w:vAlign w:val="bottom"/>
            <w:shd w:val="clear" w:color="auto" w:fill="D8D8D8"/>
          </w:tcPr>
          <w:p>
            <w:pPr>
              <w:jc w:val="right"/>
              <w:ind w:right="268"/>
              <w:spacing w:after="0"/>
              <w:rPr>
                <w:sz w:val="20"/>
                <w:szCs w:val="20"/>
                <w:color w:val="auto"/>
              </w:rPr>
            </w:pPr>
            <w:r>
              <w:rPr>
                <w:rFonts w:ascii="Arial" w:cs="Arial" w:eastAsia="Arial" w:hAnsi="Arial"/>
                <w:sz w:val="14"/>
                <w:szCs w:val="14"/>
                <w:color w:val="auto"/>
              </w:rPr>
              <w:t>(4,089)</w:t>
            </w:r>
          </w:p>
        </w:tc>
        <w:tc>
          <w:tcPr>
            <w:tcW w:w="1520" w:type="dxa"/>
            <w:vAlign w:val="bottom"/>
          </w:tcPr>
          <w:p>
            <w:pPr>
              <w:jc w:val="right"/>
              <w:ind w:right="109"/>
              <w:spacing w:after="0"/>
              <w:rPr>
                <w:sz w:val="20"/>
                <w:szCs w:val="20"/>
                <w:color w:val="auto"/>
              </w:rPr>
            </w:pPr>
            <w:r>
              <w:rPr>
                <w:rFonts w:ascii="Arial" w:cs="Arial" w:eastAsia="Arial" w:hAnsi="Arial"/>
                <w:sz w:val="14"/>
                <w:szCs w:val="14"/>
                <w:color w:val="auto"/>
              </w:rPr>
              <w:t>(6,877)</w:t>
            </w:r>
          </w:p>
        </w:tc>
        <w:tc>
          <w:tcPr>
            <w:tcW w:w="1200" w:type="dxa"/>
            <w:vAlign w:val="bottom"/>
          </w:tcPr>
          <w:p>
            <w:pPr>
              <w:jc w:val="right"/>
              <w:ind w:right="208"/>
              <w:spacing w:after="0"/>
              <w:rPr>
                <w:sz w:val="20"/>
                <w:szCs w:val="20"/>
                <w:color w:val="auto"/>
              </w:rPr>
            </w:pPr>
            <w:r>
              <w:rPr>
                <w:rFonts w:ascii="Arial" w:cs="Arial" w:eastAsia="Arial" w:hAnsi="Arial"/>
                <w:sz w:val="14"/>
                <w:szCs w:val="14"/>
                <w:color w:val="auto"/>
              </w:rPr>
              <w:t>(4,960)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800" w:type="dxa"/>
            <w:vAlign w:val="bottom"/>
            <w:gridSpan w:val="2"/>
          </w:tcPr>
          <w:p>
            <w:pPr>
              <w:spacing w:after="0"/>
              <w:rPr>
                <w:sz w:val="20"/>
                <w:szCs w:val="20"/>
                <w:color w:val="auto"/>
              </w:rPr>
            </w:pPr>
            <w:r>
              <w:rPr>
                <w:rFonts w:ascii="Arial" w:cs="Arial" w:eastAsia="Arial" w:hAnsi="Arial"/>
                <w:sz w:val="14"/>
                <w:szCs w:val="14"/>
                <w:color w:val="auto"/>
              </w:rPr>
              <w:t>Interest paid</w:t>
            </w:r>
          </w:p>
        </w:tc>
        <w:tc>
          <w:tcPr>
            <w:tcW w:w="378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300" w:type="dxa"/>
            <w:vAlign w:val="bottom"/>
            <w:shd w:val="clear" w:color="auto" w:fill="D8D8D8"/>
          </w:tcPr>
          <w:p>
            <w:pPr>
              <w:jc w:val="right"/>
              <w:ind w:right="268"/>
              <w:spacing w:after="0"/>
              <w:rPr>
                <w:sz w:val="20"/>
                <w:szCs w:val="20"/>
                <w:color w:val="auto"/>
              </w:rPr>
            </w:pPr>
            <w:r>
              <w:rPr>
                <w:rFonts w:ascii="Arial" w:cs="Arial" w:eastAsia="Arial" w:hAnsi="Arial"/>
                <w:sz w:val="14"/>
                <w:szCs w:val="14"/>
                <w:color w:val="auto"/>
              </w:rPr>
              <w:t>(1,480)</w:t>
            </w:r>
          </w:p>
        </w:tc>
        <w:tc>
          <w:tcPr>
            <w:tcW w:w="1520" w:type="dxa"/>
            <w:vAlign w:val="bottom"/>
          </w:tcPr>
          <w:p>
            <w:pPr>
              <w:jc w:val="right"/>
              <w:ind w:right="109"/>
              <w:spacing w:after="0"/>
              <w:rPr>
                <w:sz w:val="20"/>
                <w:szCs w:val="20"/>
                <w:color w:val="auto"/>
              </w:rPr>
            </w:pPr>
            <w:r>
              <w:rPr>
                <w:rFonts w:ascii="Arial" w:cs="Arial" w:eastAsia="Arial" w:hAnsi="Arial"/>
                <w:sz w:val="14"/>
                <w:szCs w:val="14"/>
                <w:color w:val="auto"/>
              </w:rPr>
              <w:t>(1,307)</w:t>
            </w:r>
          </w:p>
        </w:tc>
        <w:tc>
          <w:tcPr>
            <w:tcW w:w="1200" w:type="dxa"/>
            <w:vAlign w:val="bottom"/>
          </w:tcPr>
          <w:p>
            <w:pPr>
              <w:jc w:val="right"/>
              <w:ind w:right="208"/>
              <w:spacing w:after="0"/>
              <w:rPr>
                <w:sz w:val="20"/>
                <w:szCs w:val="20"/>
                <w:color w:val="auto"/>
              </w:rPr>
            </w:pPr>
            <w:r>
              <w:rPr>
                <w:rFonts w:ascii="Arial" w:cs="Arial" w:eastAsia="Arial" w:hAnsi="Arial"/>
                <w:sz w:val="14"/>
                <w:szCs w:val="14"/>
                <w:color w:val="auto"/>
              </w:rPr>
              <w:t>(1,428)</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580" w:type="dxa"/>
            <w:vAlign w:val="bottom"/>
            <w:gridSpan w:val="3"/>
          </w:tcPr>
          <w:p>
            <w:pPr>
              <w:spacing w:after="0"/>
              <w:rPr>
                <w:sz w:val="20"/>
                <w:szCs w:val="20"/>
                <w:color w:val="auto"/>
              </w:rPr>
            </w:pPr>
            <w:r>
              <w:rPr>
                <w:rFonts w:ascii="Arial" w:cs="Arial" w:eastAsia="Arial" w:hAnsi="Arial"/>
                <w:sz w:val="14"/>
                <w:szCs w:val="14"/>
                <w:color w:val="auto"/>
              </w:rPr>
              <w:t>Change in non-controlling interest</w:t>
            </w:r>
          </w:p>
        </w:tc>
        <w:tc>
          <w:tcPr>
            <w:tcW w:w="1820" w:type="dxa"/>
            <w:vAlign w:val="bottom"/>
          </w:tcPr>
          <w:p>
            <w:pPr>
              <w:spacing w:after="0"/>
              <w:rPr>
                <w:sz w:val="14"/>
                <w:szCs w:val="14"/>
                <w:color w:val="auto"/>
              </w:rPr>
            </w:pPr>
          </w:p>
        </w:tc>
        <w:tc>
          <w:tcPr>
            <w:tcW w:w="1300" w:type="dxa"/>
            <w:vAlign w:val="bottom"/>
            <w:shd w:val="clear" w:color="auto" w:fill="D8D8D8"/>
          </w:tcPr>
          <w:p>
            <w:pPr>
              <w:jc w:val="right"/>
              <w:ind w:right="268"/>
              <w:spacing w:after="0"/>
              <w:rPr>
                <w:sz w:val="20"/>
                <w:szCs w:val="20"/>
                <w:color w:val="auto"/>
              </w:rPr>
            </w:pPr>
            <w:r>
              <w:rPr>
                <w:rFonts w:ascii="Arial" w:cs="Arial" w:eastAsia="Arial" w:hAnsi="Arial"/>
                <w:sz w:val="14"/>
                <w:szCs w:val="14"/>
                <w:color w:val="auto"/>
              </w:rPr>
              <w:t>989</w:t>
            </w:r>
          </w:p>
        </w:tc>
        <w:tc>
          <w:tcPr>
            <w:tcW w:w="1520" w:type="dxa"/>
            <w:vAlign w:val="bottom"/>
          </w:tcPr>
          <w:p>
            <w:pPr>
              <w:jc w:val="right"/>
              <w:ind w:right="109"/>
              <w:spacing w:after="0"/>
              <w:rPr>
                <w:sz w:val="20"/>
                <w:szCs w:val="20"/>
                <w:color w:val="auto"/>
              </w:rPr>
            </w:pPr>
            <w:r>
              <w:rPr>
                <w:rFonts w:ascii="Arial" w:cs="Arial" w:eastAsia="Arial" w:hAnsi="Arial"/>
                <w:sz w:val="14"/>
                <w:szCs w:val="14"/>
                <w:color w:val="auto"/>
              </w:rPr>
              <w:t>(51)</w:t>
            </w:r>
          </w:p>
        </w:tc>
        <w:tc>
          <w:tcPr>
            <w:tcW w:w="1200" w:type="dxa"/>
            <w:vAlign w:val="bottom"/>
          </w:tcPr>
          <w:p>
            <w:pPr>
              <w:jc w:val="right"/>
              <w:ind w:right="268"/>
              <w:spacing w:after="0"/>
              <w:rPr>
                <w:sz w:val="20"/>
                <w:szCs w:val="20"/>
                <w:color w:val="auto"/>
              </w:rPr>
            </w:pPr>
            <w:r>
              <w:rPr>
                <w:rFonts w:ascii="Arial" w:cs="Arial" w:eastAsia="Arial" w:hAnsi="Arial"/>
                <w:sz w:val="14"/>
                <w:szCs w:val="14"/>
                <w:color w:val="auto"/>
              </w:rPr>
              <w:t>23</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800" w:type="dxa"/>
            <w:vAlign w:val="bottom"/>
            <w:gridSpan w:val="2"/>
          </w:tcPr>
          <w:p>
            <w:pPr>
              <w:spacing w:after="0"/>
              <w:rPr>
                <w:sz w:val="20"/>
                <w:szCs w:val="20"/>
                <w:color w:val="auto"/>
              </w:rPr>
            </w:pPr>
            <w:r>
              <w:rPr>
                <w:rFonts w:ascii="Arial" w:cs="Arial" w:eastAsia="Arial" w:hAnsi="Arial"/>
                <w:sz w:val="14"/>
                <w:szCs w:val="14"/>
                <w:color w:val="auto"/>
              </w:rPr>
              <w:t>Cash dividends paid to:</w:t>
            </w:r>
          </w:p>
        </w:tc>
        <w:tc>
          <w:tcPr>
            <w:tcW w:w="378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300" w:type="dxa"/>
            <w:vAlign w:val="bottom"/>
            <w:shd w:val="clear" w:color="auto" w:fill="D8D8D8"/>
          </w:tcPr>
          <w:p>
            <w:pPr>
              <w:spacing w:after="0"/>
              <w:rPr>
                <w:sz w:val="14"/>
                <w:szCs w:val="14"/>
                <w:color w:val="auto"/>
              </w:rPr>
            </w:pPr>
          </w:p>
        </w:tc>
        <w:tc>
          <w:tcPr>
            <w:tcW w:w="15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560" w:type="dxa"/>
            <w:vAlign w:val="bottom"/>
            <w:gridSpan w:val="2"/>
          </w:tcPr>
          <w:p>
            <w:pPr>
              <w:ind w:left="120"/>
              <w:spacing w:after="0"/>
              <w:rPr>
                <w:sz w:val="20"/>
                <w:szCs w:val="20"/>
                <w:color w:val="auto"/>
              </w:rPr>
            </w:pPr>
            <w:r>
              <w:rPr>
                <w:rFonts w:ascii="Arial" w:cs="Arial" w:eastAsia="Arial" w:hAnsi="Arial"/>
                <w:sz w:val="14"/>
                <w:szCs w:val="14"/>
                <w:color w:val="auto"/>
              </w:rPr>
              <w:t>Royal Dutch Shell plc shareholders</w:t>
            </w:r>
          </w:p>
        </w:tc>
        <w:tc>
          <w:tcPr>
            <w:tcW w:w="1820" w:type="dxa"/>
            <w:vAlign w:val="bottom"/>
          </w:tcPr>
          <w:p>
            <w:pPr>
              <w:jc w:val="right"/>
              <w:ind w:right="271"/>
              <w:spacing w:after="0"/>
              <w:rPr>
                <w:sz w:val="20"/>
                <w:szCs w:val="20"/>
                <w:color w:val="auto"/>
              </w:rPr>
            </w:pPr>
            <w:r>
              <w:rPr>
                <w:rFonts w:ascii="Arial" w:cs="Arial" w:eastAsia="Arial" w:hAnsi="Arial"/>
                <w:sz w:val="14"/>
                <w:szCs w:val="14"/>
                <w:color w:val="auto"/>
              </w:rPr>
              <w:t>23</w:t>
            </w:r>
          </w:p>
        </w:tc>
        <w:tc>
          <w:tcPr>
            <w:tcW w:w="1300" w:type="dxa"/>
            <w:vAlign w:val="bottom"/>
            <w:shd w:val="clear" w:color="auto" w:fill="D8D8D8"/>
          </w:tcPr>
          <w:p>
            <w:pPr>
              <w:jc w:val="right"/>
              <w:ind w:right="268"/>
              <w:spacing w:after="0"/>
              <w:rPr>
                <w:sz w:val="20"/>
                <w:szCs w:val="20"/>
                <w:color w:val="auto"/>
              </w:rPr>
            </w:pPr>
            <w:r>
              <w:rPr>
                <w:rFonts w:ascii="Arial" w:cs="Arial" w:eastAsia="Arial" w:hAnsi="Arial"/>
                <w:sz w:val="14"/>
                <w:szCs w:val="14"/>
                <w:color w:val="auto"/>
              </w:rPr>
              <w:t>(9,444)</w:t>
            </w:r>
          </w:p>
        </w:tc>
        <w:tc>
          <w:tcPr>
            <w:tcW w:w="1520" w:type="dxa"/>
            <w:vAlign w:val="bottom"/>
          </w:tcPr>
          <w:p>
            <w:pPr>
              <w:jc w:val="right"/>
              <w:ind w:right="109"/>
              <w:spacing w:after="0"/>
              <w:rPr>
                <w:sz w:val="20"/>
                <w:szCs w:val="20"/>
                <w:color w:val="auto"/>
              </w:rPr>
            </w:pPr>
            <w:r>
              <w:rPr>
                <w:rFonts w:ascii="Arial" w:cs="Arial" w:eastAsia="Arial" w:hAnsi="Arial"/>
                <w:sz w:val="14"/>
                <w:szCs w:val="14"/>
                <w:color w:val="auto"/>
              </w:rPr>
              <w:t>(7,198)</w:t>
            </w:r>
          </w:p>
        </w:tc>
        <w:tc>
          <w:tcPr>
            <w:tcW w:w="1200" w:type="dxa"/>
            <w:vAlign w:val="bottom"/>
          </w:tcPr>
          <w:p>
            <w:pPr>
              <w:jc w:val="right"/>
              <w:ind w:right="208"/>
              <w:spacing w:after="0"/>
              <w:rPr>
                <w:sz w:val="20"/>
                <w:szCs w:val="20"/>
                <w:color w:val="auto"/>
              </w:rPr>
            </w:pPr>
            <w:r>
              <w:rPr>
                <w:rFonts w:ascii="Arial" w:cs="Arial" w:eastAsia="Arial" w:hAnsi="Arial"/>
                <w:sz w:val="14"/>
                <w:szCs w:val="14"/>
                <w:color w:val="auto"/>
              </w:rPr>
              <w:t>(7,390)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780" w:type="dxa"/>
            <w:vAlign w:val="bottom"/>
          </w:tcPr>
          <w:p>
            <w:pPr>
              <w:ind w:left="120"/>
              <w:spacing w:after="0"/>
              <w:rPr>
                <w:sz w:val="20"/>
                <w:szCs w:val="20"/>
                <w:color w:val="auto"/>
              </w:rPr>
            </w:pPr>
            <w:r>
              <w:rPr>
                <w:rFonts w:ascii="Arial" w:cs="Arial" w:eastAsia="Arial" w:hAnsi="Arial"/>
                <w:sz w:val="14"/>
                <w:szCs w:val="14"/>
                <w:color w:val="auto"/>
              </w:rPr>
              <w:t>Non-controlling interest</w:t>
            </w:r>
          </w:p>
        </w:tc>
        <w:tc>
          <w:tcPr>
            <w:tcW w:w="378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300" w:type="dxa"/>
            <w:vAlign w:val="bottom"/>
            <w:shd w:val="clear" w:color="auto" w:fill="D8D8D8"/>
          </w:tcPr>
          <w:p>
            <w:pPr>
              <w:jc w:val="right"/>
              <w:ind w:right="268"/>
              <w:spacing w:after="0"/>
              <w:rPr>
                <w:sz w:val="20"/>
                <w:szCs w:val="20"/>
                <w:color w:val="auto"/>
              </w:rPr>
            </w:pPr>
            <w:r>
              <w:rPr>
                <w:rFonts w:ascii="Arial" w:cs="Arial" w:eastAsia="Arial" w:hAnsi="Arial"/>
                <w:sz w:val="14"/>
                <w:szCs w:val="14"/>
                <w:color w:val="auto"/>
              </w:rPr>
              <w:t>(116)</w:t>
            </w:r>
          </w:p>
        </w:tc>
        <w:tc>
          <w:tcPr>
            <w:tcW w:w="1520" w:type="dxa"/>
            <w:vAlign w:val="bottom"/>
          </w:tcPr>
          <w:p>
            <w:pPr>
              <w:jc w:val="right"/>
              <w:ind w:right="109"/>
              <w:spacing w:after="0"/>
              <w:rPr>
                <w:sz w:val="20"/>
                <w:szCs w:val="20"/>
                <w:color w:val="auto"/>
              </w:rPr>
            </w:pPr>
            <w:r>
              <w:rPr>
                <w:rFonts w:ascii="Arial" w:cs="Arial" w:eastAsia="Arial" w:hAnsi="Arial"/>
                <w:sz w:val="14"/>
                <w:szCs w:val="14"/>
                <w:color w:val="auto"/>
              </w:rPr>
              <w:t>(252)</w:t>
            </w:r>
          </w:p>
        </w:tc>
        <w:tc>
          <w:tcPr>
            <w:tcW w:w="1200" w:type="dxa"/>
            <w:vAlign w:val="bottom"/>
          </w:tcPr>
          <w:p>
            <w:pPr>
              <w:jc w:val="right"/>
              <w:ind w:right="208"/>
              <w:spacing w:after="0"/>
              <w:rPr>
                <w:sz w:val="20"/>
                <w:szCs w:val="20"/>
                <w:color w:val="auto"/>
              </w:rPr>
            </w:pPr>
            <w:r>
              <w:rPr>
                <w:rFonts w:ascii="Arial" w:cs="Arial" w:eastAsia="Arial" w:hAnsi="Arial"/>
                <w:sz w:val="14"/>
                <w:szCs w:val="14"/>
                <w:color w:val="auto"/>
              </w:rPr>
              <w:t>(292)</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800" w:type="dxa"/>
            <w:vAlign w:val="bottom"/>
            <w:gridSpan w:val="2"/>
          </w:tcPr>
          <w:p>
            <w:pPr>
              <w:spacing w:after="0"/>
              <w:rPr>
                <w:sz w:val="20"/>
                <w:szCs w:val="20"/>
                <w:color w:val="auto"/>
              </w:rPr>
            </w:pPr>
            <w:r>
              <w:rPr>
                <w:rFonts w:ascii="Arial" w:cs="Arial" w:eastAsia="Arial" w:hAnsi="Arial"/>
                <w:sz w:val="14"/>
                <w:szCs w:val="14"/>
                <w:color w:val="auto"/>
              </w:rPr>
              <w:t>Repurchases of shares</w:t>
            </w:r>
          </w:p>
        </w:tc>
        <w:tc>
          <w:tcPr>
            <w:tcW w:w="378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300" w:type="dxa"/>
            <w:vAlign w:val="bottom"/>
            <w:shd w:val="clear" w:color="auto" w:fill="D8D8D8"/>
          </w:tcPr>
          <w:p>
            <w:pPr>
              <w:jc w:val="right"/>
              <w:ind w:right="268"/>
              <w:spacing w:after="0"/>
              <w:rPr>
                <w:sz w:val="20"/>
                <w:szCs w:val="20"/>
                <w:color w:val="auto"/>
              </w:rPr>
            </w:pPr>
            <w:r>
              <w:rPr>
                <w:rFonts w:ascii="Arial" w:cs="Arial" w:eastAsia="Arial" w:hAnsi="Arial"/>
                <w:sz w:val="14"/>
                <w:szCs w:val="14"/>
                <w:color w:val="auto"/>
              </w:rPr>
              <w:t>(3,328)</w:t>
            </w:r>
          </w:p>
        </w:tc>
        <w:tc>
          <w:tcPr>
            <w:tcW w:w="1520" w:type="dxa"/>
            <w:vAlign w:val="bottom"/>
          </w:tcPr>
          <w:p>
            <w:pPr>
              <w:jc w:val="right"/>
              <w:ind w:right="109"/>
              <w:spacing w:after="0"/>
              <w:rPr>
                <w:sz w:val="20"/>
                <w:szCs w:val="20"/>
                <w:color w:val="auto"/>
              </w:rPr>
            </w:pPr>
            <w:r>
              <w:rPr>
                <w:rFonts w:ascii="Arial" w:cs="Arial" w:eastAsia="Arial" w:hAnsi="Arial"/>
                <w:sz w:val="14"/>
                <w:szCs w:val="14"/>
                <w:color w:val="auto"/>
              </w:rPr>
              <w:t>(5,000)</w:t>
            </w:r>
          </w:p>
        </w:tc>
        <w:tc>
          <w:tcPr>
            <w:tcW w:w="1200" w:type="dxa"/>
            <w:vAlign w:val="bottom"/>
          </w:tcPr>
          <w:p>
            <w:pPr>
              <w:jc w:val="right"/>
              <w:ind w:right="208"/>
              <w:spacing w:after="0"/>
              <w:rPr>
                <w:sz w:val="20"/>
                <w:szCs w:val="20"/>
                <w:color w:val="auto"/>
              </w:rPr>
            </w:pPr>
            <w:r>
              <w:rPr>
                <w:rFonts w:ascii="Arial" w:cs="Arial" w:eastAsia="Arial" w:hAnsi="Arial"/>
                <w:sz w:val="14"/>
                <w:szCs w:val="14"/>
                <w:color w:val="auto"/>
              </w:rPr>
              <w:t>(1,492)</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5580" w:type="dxa"/>
            <w:vAlign w:val="bottom"/>
            <w:tcBorders>
              <w:bottom w:val="single" w:sz="8" w:color="auto"/>
            </w:tcBorders>
            <w:gridSpan w:val="3"/>
          </w:tcPr>
          <w:p>
            <w:pPr>
              <w:spacing w:after="0" w:line="157" w:lineRule="exact"/>
              <w:rPr>
                <w:sz w:val="20"/>
                <w:szCs w:val="20"/>
                <w:color w:val="auto"/>
              </w:rPr>
            </w:pPr>
            <w:r>
              <w:rPr>
                <w:rFonts w:ascii="Arial" w:cs="Arial" w:eastAsia="Arial" w:hAnsi="Arial"/>
                <w:sz w:val="14"/>
                <w:szCs w:val="14"/>
                <w:color w:val="auto"/>
              </w:rPr>
              <w:t>Shares held in trust: net sales/(purchases) and dividends received</w:t>
            </w:r>
          </w:p>
        </w:tc>
        <w:tc>
          <w:tcPr>
            <w:tcW w:w="182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shd w:val="clear" w:color="auto" w:fill="D8D8D8"/>
          </w:tcPr>
          <w:p>
            <w:pPr>
              <w:jc w:val="right"/>
              <w:ind w:right="268"/>
              <w:spacing w:after="0" w:line="157" w:lineRule="exact"/>
              <w:rPr>
                <w:sz w:val="20"/>
                <w:szCs w:val="20"/>
                <w:color w:val="auto"/>
              </w:rPr>
            </w:pPr>
            <w:r>
              <w:rPr>
                <w:rFonts w:ascii="Arial" w:cs="Arial" w:eastAsia="Arial" w:hAnsi="Arial"/>
                <w:sz w:val="14"/>
                <w:szCs w:val="14"/>
                <w:color w:val="auto"/>
              </w:rPr>
              <w:t>232</w:t>
            </w:r>
          </w:p>
        </w:tc>
        <w:tc>
          <w:tcPr>
            <w:tcW w:w="1520" w:type="dxa"/>
            <w:vAlign w:val="bottom"/>
            <w:tcBorders>
              <w:bottom w:val="single" w:sz="8" w:color="auto"/>
            </w:tcBorders>
          </w:tcPr>
          <w:p>
            <w:pPr>
              <w:jc w:val="right"/>
              <w:ind w:right="109"/>
              <w:spacing w:after="0" w:line="157" w:lineRule="exact"/>
              <w:rPr>
                <w:sz w:val="20"/>
                <w:szCs w:val="20"/>
                <w:color w:val="auto"/>
              </w:rPr>
            </w:pPr>
            <w:r>
              <w:rPr>
                <w:rFonts w:ascii="Arial" w:cs="Arial" w:eastAsia="Arial" w:hAnsi="Arial"/>
                <w:sz w:val="14"/>
                <w:szCs w:val="14"/>
                <w:color w:val="auto"/>
              </w:rPr>
              <w:t>(565)</w:t>
            </w:r>
          </w:p>
        </w:tc>
        <w:tc>
          <w:tcPr>
            <w:tcW w:w="1200" w:type="dxa"/>
            <w:vAlign w:val="bottom"/>
            <w:tcBorders>
              <w:bottom w:val="single" w:sz="8" w:color="auto"/>
            </w:tcBorders>
          </w:tcPr>
          <w:p>
            <w:pPr>
              <w:jc w:val="right"/>
              <w:ind w:right="208"/>
              <w:spacing w:after="0" w:line="157" w:lineRule="exact"/>
              <w:rPr>
                <w:sz w:val="20"/>
                <w:szCs w:val="20"/>
                <w:color w:val="auto"/>
              </w:rPr>
            </w:pPr>
            <w:r>
              <w:rPr>
                <w:rFonts w:ascii="Arial" w:cs="Arial" w:eastAsia="Arial" w:hAnsi="Arial"/>
                <w:sz w:val="14"/>
                <w:szCs w:val="14"/>
                <w:color w:val="auto"/>
              </w:rPr>
              <w:t>(34)</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5580" w:type="dxa"/>
            <w:vAlign w:val="bottom"/>
            <w:tcBorders>
              <w:bottom w:val="single" w:sz="8" w:color="auto"/>
            </w:tcBorders>
            <w:gridSpan w:val="3"/>
          </w:tcPr>
          <w:p>
            <w:pPr>
              <w:spacing w:after="0" w:line="155" w:lineRule="exact"/>
              <w:rPr>
                <w:sz w:val="20"/>
                <w:szCs w:val="20"/>
                <w:color w:val="auto"/>
              </w:rPr>
            </w:pPr>
            <w:r>
              <w:rPr>
                <w:rFonts w:ascii="Arial" w:cs="Arial" w:eastAsia="Arial" w:hAnsi="Arial"/>
                <w:sz w:val="14"/>
                <w:szCs w:val="14"/>
                <w:color w:val="auto"/>
              </w:rPr>
              <w:t>Net cash used in financing activities</w:t>
            </w:r>
          </w:p>
        </w:tc>
        <w:tc>
          <w:tcPr>
            <w:tcW w:w="182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shd w:val="clear" w:color="auto" w:fill="D8D8D8"/>
          </w:tcPr>
          <w:p>
            <w:pPr>
              <w:jc w:val="right"/>
              <w:ind w:right="268"/>
              <w:spacing w:after="0" w:line="155" w:lineRule="exact"/>
              <w:rPr>
                <w:sz w:val="20"/>
                <w:szCs w:val="20"/>
                <w:color w:val="auto"/>
              </w:rPr>
            </w:pPr>
            <w:r>
              <w:rPr>
                <w:rFonts w:ascii="Arial" w:cs="Arial" w:eastAsia="Arial" w:hAnsi="Arial"/>
                <w:sz w:val="14"/>
                <w:szCs w:val="14"/>
                <w:color w:val="auto"/>
              </w:rPr>
              <w:t>(12,790)</w:t>
            </w:r>
          </w:p>
        </w:tc>
        <w:tc>
          <w:tcPr>
            <w:tcW w:w="1520" w:type="dxa"/>
            <w:vAlign w:val="bottom"/>
            <w:tcBorders>
              <w:bottom w:val="single" w:sz="8" w:color="auto"/>
            </w:tcBorders>
          </w:tcPr>
          <w:p>
            <w:pPr>
              <w:jc w:val="right"/>
              <w:ind w:right="109"/>
              <w:spacing w:after="0" w:line="155" w:lineRule="exact"/>
              <w:rPr>
                <w:sz w:val="20"/>
                <w:szCs w:val="20"/>
                <w:color w:val="auto"/>
              </w:rPr>
            </w:pPr>
            <w:r>
              <w:rPr>
                <w:rFonts w:ascii="Arial" w:cs="Arial" w:eastAsia="Arial" w:hAnsi="Arial"/>
                <w:sz w:val="14"/>
                <w:szCs w:val="14"/>
                <w:color w:val="auto"/>
              </w:rPr>
              <w:t>(8,978)</w:t>
            </w:r>
          </w:p>
        </w:tc>
        <w:tc>
          <w:tcPr>
            <w:tcW w:w="1200" w:type="dxa"/>
            <w:vAlign w:val="bottom"/>
            <w:tcBorders>
              <w:bottom w:val="single" w:sz="8" w:color="auto"/>
            </w:tcBorders>
          </w:tcPr>
          <w:p>
            <w:pPr>
              <w:jc w:val="right"/>
              <w:ind w:right="208"/>
              <w:spacing w:after="0" w:line="155" w:lineRule="exact"/>
              <w:rPr>
                <w:sz w:val="20"/>
                <w:szCs w:val="20"/>
                <w:color w:val="auto"/>
              </w:rPr>
            </w:pPr>
            <w:r>
              <w:rPr>
                <w:rFonts w:ascii="Arial" w:cs="Arial" w:eastAsia="Arial" w:hAnsi="Arial"/>
                <w:sz w:val="14"/>
                <w:szCs w:val="14"/>
                <w:color w:val="auto"/>
              </w:rPr>
              <w:t>(10,630)</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5580" w:type="dxa"/>
            <w:vAlign w:val="bottom"/>
            <w:tcBorders>
              <w:bottom w:val="single" w:sz="8" w:color="auto"/>
            </w:tcBorders>
            <w:gridSpan w:val="3"/>
          </w:tcPr>
          <w:p>
            <w:pPr>
              <w:spacing w:after="0" w:line="155" w:lineRule="exact"/>
              <w:rPr>
                <w:sz w:val="20"/>
                <w:szCs w:val="20"/>
                <w:color w:val="auto"/>
              </w:rPr>
            </w:pPr>
            <w:r>
              <w:rPr>
                <w:rFonts w:ascii="Arial" w:cs="Arial" w:eastAsia="Arial" w:hAnsi="Arial"/>
                <w:sz w:val="14"/>
                <w:szCs w:val="14"/>
                <w:color w:val="auto"/>
              </w:rPr>
              <w:t>Currency translation differences relating to cash and cash equivalents</w:t>
            </w:r>
          </w:p>
        </w:tc>
        <w:tc>
          <w:tcPr>
            <w:tcW w:w="182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shd w:val="clear" w:color="auto" w:fill="D8D8D8"/>
          </w:tcPr>
          <w:p>
            <w:pPr>
              <w:jc w:val="right"/>
              <w:ind w:right="268"/>
              <w:spacing w:after="0" w:line="155" w:lineRule="exact"/>
              <w:rPr>
                <w:sz w:val="20"/>
                <w:szCs w:val="20"/>
                <w:color w:val="auto"/>
              </w:rPr>
            </w:pPr>
            <w:r>
              <w:rPr>
                <w:rFonts w:ascii="Arial" w:cs="Arial" w:eastAsia="Arial" w:hAnsi="Arial"/>
                <w:sz w:val="14"/>
                <w:szCs w:val="14"/>
                <w:color w:val="auto"/>
              </w:rPr>
              <w:t>(686)</w:t>
            </w:r>
          </w:p>
        </w:tc>
        <w:tc>
          <w:tcPr>
            <w:tcW w:w="1520" w:type="dxa"/>
            <w:vAlign w:val="bottom"/>
            <w:tcBorders>
              <w:bottom w:val="single" w:sz="8" w:color="auto"/>
            </w:tcBorders>
          </w:tcPr>
          <w:p>
            <w:pPr>
              <w:jc w:val="right"/>
              <w:ind w:right="109"/>
              <w:spacing w:after="0" w:line="155" w:lineRule="exact"/>
              <w:rPr>
                <w:sz w:val="20"/>
                <w:szCs w:val="20"/>
                <w:color w:val="auto"/>
              </w:rPr>
            </w:pPr>
            <w:r>
              <w:rPr>
                <w:rFonts w:ascii="Arial" w:cs="Arial" w:eastAsia="Arial" w:hAnsi="Arial"/>
                <w:sz w:val="14"/>
                <w:szCs w:val="14"/>
                <w:color w:val="auto"/>
              </w:rPr>
              <w:t>(170)</w:t>
            </w:r>
          </w:p>
        </w:tc>
        <w:tc>
          <w:tcPr>
            <w:tcW w:w="1200" w:type="dxa"/>
            <w:vAlign w:val="bottom"/>
            <w:tcBorders>
              <w:bottom w:val="single" w:sz="8" w:color="auto"/>
            </w:tcBorders>
          </w:tcPr>
          <w:p>
            <w:pPr>
              <w:jc w:val="right"/>
              <w:ind w:right="268"/>
              <w:spacing w:after="0" w:line="155" w:lineRule="exact"/>
              <w:rPr>
                <w:sz w:val="20"/>
                <w:szCs w:val="20"/>
                <w:color w:val="auto"/>
              </w:rPr>
            </w:pPr>
            <w:r>
              <w:rPr>
                <w:rFonts w:ascii="Arial" w:cs="Arial" w:eastAsia="Arial" w:hAnsi="Arial"/>
                <w:sz w:val="14"/>
                <w:szCs w:val="14"/>
                <w:color w:val="auto"/>
              </w:rPr>
              <w:t>201</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5580" w:type="dxa"/>
            <w:vAlign w:val="bottom"/>
            <w:gridSpan w:val="3"/>
          </w:tcPr>
          <w:p>
            <w:pPr>
              <w:spacing w:after="0"/>
              <w:rPr>
                <w:sz w:val="20"/>
                <w:szCs w:val="20"/>
                <w:color w:val="auto"/>
              </w:rPr>
            </w:pPr>
            <w:r>
              <w:rPr>
                <w:rFonts w:ascii="Arial" w:cs="Arial" w:eastAsia="Arial" w:hAnsi="Arial"/>
                <w:sz w:val="14"/>
                <w:szCs w:val="14"/>
                <w:color w:val="auto"/>
              </w:rPr>
              <w:t>Increase/(decrease) in cash and cash equivalents</w:t>
            </w:r>
          </w:p>
        </w:tc>
        <w:tc>
          <w:tcPr>
            <w:tcW w:w="1820" w:type="dxa"/>
            <w:vAlign w:val="bottom"/>
          </w:tcPr>
          <w:p>
            <w:pPr>
              <w:jc w:val="right"/>
              <w:ind w:right="271"/>
              <w:spacing w:after="0"/>
              <w:rPr>
                <w:sz w:val="20"/>
                <w:szCs w:val="20"/>
                <w:color w:val="auto"/>
              </w:rPr>
            </w:pPr>
            <w:r>
              <w:rPr>
                <w:rFonts w:ascii="Arial" w:cs="Arial" w:eastAsia="Arial" w:hAnsi="Arial"/>
                <w:sz w:val="14"/>
                <w:szCs w:val="14"/>
                <w:color w:val="auto"/>
              </w:rPr>
              <w:t>13</w:t>
            </w:r>
          </w:p>
        </w:tc>
        <w:tc>
          <w:tcPr>
            <w:tcW w:w="1300" w:type="dxa"/>
            <w:vAlign w:val="bottom"/>
            <w:shd w:val="clear" w:color="auto" w:fill="D8D8D8"/>
          </w:tcPr>
          <w:p>
            <w:pPr>
              <w:jc w:val="right"/>
              <w:ind w:right="268"/>
              <w:spacing w:after="0"/>
              <w:rPr>
                <w:sz w:val="20"/>
                <w:szCs w:val="20"/>
                <w:color w:val="auto"/>
              </w:rPr>
            </w:pPr>
            <w:r>
              <w:rPr>
                <w:rFonts w:ascii="Arial" w:cs="Arial" w:eastAsia="Arial" w:hAnsi="Arial"/>
                <w:sz w:val="14"/>
                <w:szCs w:val="14"/>
                <w:color w:val="auto"/>
              </w:rPr>
              <w:t>11,911</w:t>
            </w:r>
          </w:p>
        </w:tc>
        <w:tc>
          <w:tcPr>
            <w:tcW w:w="1520" w:type="dxa"/>
            <w:vAlign w:val="bottom"/>
          </w:tcPr>
          <w:p>
            <w:pPr>
              <w:jc w:val="right"/>
              <w:ind w:right="109"/>
              <w:spacing w:after="0"/>
              <w:rPr>
                <w:sz w:val="20"/>
                <w:szCs w:val="20"/>
                <w:color w:val="auto"/>
              </w:rPr>
            </w:pPr>
            <w:r>
              <w:rPr>
                <w:rFonts w:ascii="Arial" w:cs="Arial" w:eastAsia="Arial" w:hAnsi="Arial"/>
                <w:sz w:val="14"/>
                <w:szCs w:val="14"/>
                <w:color w:val="auto"/>
              </w:rPr>
              <w:t>(8,854)</w:t>
            </w:r>
          </w:p>
        </w:tc>
        <w:tc>
          <w:tcPr>
            <w:tcW w:w="1200" w:type="dxa"/>
            <w:vAlign w:val="bottom"/>
          </w:tcPr>
          <w:p>
            <w:pPr>
              <w:jc w:val="right"/>
              <w:ind w:right="268"/>
              <w:spacing w:after="0"/>
              <w:rPr>
                <w:sz w:val="20"/>
                <w:szCs w:val="20"/>
                <w:color w:val="auto"/>
              </w:rPr>
            </w:pPr>
            <w:r>
              <w:rPr>
                <w:rFonts w:ascii="Arial" w:cs="Arial" w:eastAsia="Arial" w:hAnsi="Arial"/>
                <w:sz w:val="14"/>
                <w:szCs w:val="14"/>
                <w:color w:val="auto"/>
              </w:rPr>
              <w:t>7,258</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5580" w:type="dxa"/>
            <w:vAlign w:val="bottom"/>
            <w:tcBorders>
              <w:bottom w:val="single" w:sz="8" w:color="auto"/>
            </w:tcBorders>
            <w:gridSpan w:val="3"/>
          </w:tcPr>
          <w:p>
            <w:pPr>
              <w:spacing w:after="0" w:line="157" w:lineRule="exact"/>
              <w:rPr>
                <w:sz w:val="20"/>
                <w:szCs w:val="20"/>
                <w:color w:val="auto"/>
              </w:rPr>
            </w:pPr>
            <w:r>
              <w:rPr>
                <w:rFonts w:ascii="Arial" w:cs="Arial" w:eastAsia="Arial" w:hAnsi="Arial"/>
                <w:sz w:val="14"/>
                <w:szCs w:val="14"/>
                <w:color w:val="auto"/>
              </w:rPr>
              <w:t>Cash and cash equivalents at January 1</w:t>
            </w:r>
          </w:p>
        </w:tc>
        <w:tc>
          <w:tcPr>
            <w:tcW w:w="182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shd w:val="clear" w:color="auto" w:fill="D8D8D8"/>
          </w:tcPr>
          <w:p>
            <w:pPr>
              <w:jc w:val="right"/>
              <w:ind w:right="268"/>
              <w:spacing w:after="0" w:line="157" w:lineRule="exact"/>
              <w:rPr>
                <w:sz w:val="20"/>
                <w:szCs w:val="20"/>
                <w:color w:val="auto"/>
              </w:rPr>
            </w:pPr>
            <w:r>
              <w:rPr>
                <w:rFonts w:ascii="Arial" w:cs="Arial" w:eastAsia="Arial" w:hAnsi="Arial"/>
                <w:sz w:val="14"/>
                <w:szCs w:val="14"/>
                <w:color w:val="auto"/>
              </w:rPr>
              <w:t>9,696</w:t>
            </w:r>
          </w:p>
        </w:tc>
        <w:tc>
          <w:tcPr>
            <w:tcW w:w="1520" w:type="dxa"/>
            <w:vAlign w:val="bottom"/>
            <w:tcBorders>
              <w:bottom w:val="single" w:sz="8" w:color="auto"/>
            </w:tcBorders>
          </w:tcPr>
          <w:p>
            <w:pPr>
              <w:jc w:val="right"/>
              <w:ind w:right="169"/>
              <w:spacing w:after="0" w:line="157" w:lineRule="exact"/>
              <w:rPr>
                <w:sz w:val="20"/>
                <w:szCs w:val="20"/>
                <w:color w:val="auto"/>
              </w:rPr>
            </w:pPr>
            <w:r>
              <w:rPr>
                <w:rFonts w:ascii="Arial" w:cs="Arial" w:eastAsia="Arial" w:hAnsi="Arial"/>
                <w:sz w:val="14"/>
                <w:szCs w:val="14"/>
                <w:color w:val="auto"/>
              </w:rPr>
              <w:t>18,550</w:t>
            </w:r>
          </w:p>
        </w:tc>
        <w:tc>
          <w:tcPr>
            <w:tcW w:w="1200" w:type="dxa"/>
            <w:vAlign w:val="bottom"/>
            <w:tcBorders>
              <w:bottom w:val="single" w:sz="8" w:color="auto"/>
            </w:tcBorders>
          </w:tcPr>
          <w:p>
            <w:pPr>
              <w:jc w:val="right"/>
              <w:ind w:right="268"/>
              <w:spacing w:after="0" w:line="157" w:lineRule="exact"/>
              <w:rPr>
                <w:sz w:val="20"/>
                <w:szCs w:val="20"/>
                <w:color w:val="auto"/>
              </w:rPr>
            </w:pPr>
            <w:r>
              <w:rPr>
                <w:rFonts w:ascii="Arial" w:cs="Arial" w:eastAsia="Arial" w:hAnsi="Arial"/>
                <w:sz w:val="14"/>
                <w:szCs w:val="14"/>
                <w:color w:val="auto"/>
              </w:rPr>
              <w:t>11,292</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5580" w:type="dxa"/>
            <w:vAlign w:val="bottom"/>
            <w:gridSpan w:val="3"/>
          </w:tcPr>
          <w:p>
            <w:pPr>
              <w:spacing w:after="0" w:line="155" w:lineRule="exact"/>
              <w:rPr>
                <w:sz w:val="20"/>
                <w:szCs w:val="20"/>
                <w:color w:val="auto"/>
              </w:rPr>
            </w:pPr>
            <w:r>
              <w:rPr>
                <w:rFonts w:ascii="Arial" w:cs="Arial" w:eastAsia="Arial" w:hAnsi="Arial"/>
                <w:sz w:val="14"/>
                <w:szCs w:val="14"/>
                <w:color w:val="auto"/>
              </w:rPr>
              <w:t>Cash and cash equivalents at December 31</w:t>
            </w:r>
          </w:p>
        </w:tc>
        <w:tc>
          <w:tcPr>
            <w:tcW w:w="1820" w:type="dxa"/>
            <w:vAlign w:val="bottom"/>
          </w:tcPr>
          <w:p>
            <w:pPr>
              <w:spacing w:after="0"/>
              <w:rPr>
                <w:sz w:val="13"/>
                <w:szCs w:val="13"/>
                <w:color w:val="auto"/>
              </w:rPr>
            </w:pPr>
          </w:p>
        </w:tc>
        <w:tc>
          <w:tcPr>
            <w:tcW w:w="1300" w:type="dxa"/>
            <w:vAlign w:val="bottom"/>
            <w:shd w:val="clear" w:color="auto" w:fill="D8D8D8"/>
          </w:tcPr>
          <w:p>
            <w:pPr>
              <w:jc w:val="right"/>
              <w:ind w:right="268"/>
              <w:spacing w:after="0" w:line="155" w:lineRule="exact"/>
              <w:rPr>
                <w:sz w:val="20"/>
                <w:szCs w:val="20"/>
                <w:color w:val="auto"/>
              </w:rPr>
            </w:pPr>
            <w:r>
              <w:rPr>
                <w:rFonts w:ascii="Arial" w:cs="Arial" w:eastAsia="Arial" w:hAnsi="Arial"/>
                <w:sz w:val="14"/>
                <w:szCs w:val="14"/>
                <w:color w:val="auto"/>
              </w:rPr>
              <w:t>21,607</w:t>
            </w:r>
          </w:p>
        </w:tc>
        <w:tc>
          <w:tcPr>
            <w:tcW w:w="1520" w:type="dxa"/>
            <w:vAlign w:val="bottom"/>
          </w:tcPr>
          <w:p>
            <w:pPr>
              <w:jc w:val="right"/>
              <w:ind w:right="169"/>
              <w:spacing w:after="0" w:line="155" w:lineRule="exact"/>
              <w:rPr>
                <w:sz w:val="20"/>
                <w:szCs w:val="20"/>
                <w:color w:val="auto"/>
              </w:rPr>
            </w:pPr>
            <w:r>
              <w:rPr>
                <w:rFonts w:ascii="Arial" w:cs="Arial" w:eastAsia="Arial" w:hAnsi="Arial"/>
                <w:sz w:val="14"/>
                <w:szCs w:val="14"/>
                <w:color w:val="auto"/>
              </w:rPr>
              <w:t>9,696</w:t>
            </w:r>
          </w:p>
        </w:tc>
        <w:tc>
          <w:tcPr>
            <w:tcW w:w="1200" w:type="dxa"/>
            <w:vAlign w:val="bottom"/>
          </w:tcPr>
          <w:p>
            <w:pPr>
              <w:jc w:val="right"/>
              <w:ind w:right="268"/>
              <w:spacing w:after="0" w:line="155" w:lineRule="exact"/>
              <w:rPr>
                <w:sz w:val="20"/>
                <w:szCs w:val="20"/>
                <w:color w:val="auto"/>
              </w:rPr>
            </w:pPr>
            <w:r>
              <w:rPr>
                <w:rFonts w:ascii="Arial" w:cs="Arial" w:eastAsia="Arial" w:hAnsi="Arial"/>
                <w:sz w:val="14"/>
                <w:szCs w:val="14"/>
                <w:color w:val="auto"/>
              </w:rPr>
              <w:t>18,550</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780" w:type="dxa"/>
            <w:vAlign w:val="bottom"/>
            <w:shd w:val="clear" w:color="auto" w:fill="000000"/>
          </w:tcPr>
          <w:p>
            <w:pPr>
              <w:spacing w:after="0" w:line="20" w:lineRule="exact"/>
              <w:rPr>
                <w:sz w:val="1"/>
                <w:szCs w:val="1"/>
                <w:color w:val="auto"/>
              </w:rPr>
            </w:pPr>
          </w:p>
        </w:tc>
        <w:tc>
          <w:tcPr>
            <w:tcW w:w="3780" w:type="dxa"/>
            <w:vAlign w:val="bottom"/>
            <w:shd w:val="clear" w:color="auto" w:fill="000000"/>
          </w:tcPr>
          <w:p>
            <w:pPr>
              <w:spacing w:after="0" w:line="20" w:lineRule="exact"/>
              <w:rPr>
                <w:sz w:val="1"/>
                <w:szCs w:val="1"/>
                <w:color w:val="auto"/>
              </w:rPr>
            </w:pPr>
          </w:p>
        </w:tc>
        <w:tc>
          <w:tcPr>
            <w:tcW w:w="182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420"/>
          </w:cols>
          <w:pgMar w:left="240" w:top="459" w:right="239" w:bottom="1440" w:gutter="0" w:footer="0" w:header="0"/>
        </w:sectPr>
      </w:pPr>
    </w:p>
    <w:bookmarkStart w:id="112" w:name="page113"/>
    <w:bookmarkEnd w:id="1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3555365</wp:posOffset>
            </wp:positionH>
            <wp:positionV relativeFrom="paragraph">
              <wp:posOffset>300355</wp:posOffset>
            </wp:positionV>
            <wp:extent cx="3696335" cy="46291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3696335" cy="4629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tbl>
      <w:tblPr>
        <w:tblLayout w:type="fixed"/>
        <w:tblInd w:w="6440" w:type="dxa"/>
        <w:tblCellMar>
          <w:top w:w="0" w:type="dxa"/>
          <w:left w:w="0" w:type="dxa"/>
          <w:bottom w:w="0" w:type="dxa"/>
          <w:right w:w="0" w:type="dxa"/>
        </w:tblCellMar>
      </w:tblPr>
      <w:tr>
        <w:trPr>
          <w:trHeight w:val="161"/>
        </w:trPr>
        <w:tc>
          <w:tcPr>
            <w:tcW w:w="3520" w:type="dxa"/>
            <w:vAlign w:val="bottom"/>
          </w:tcPr>
          <w:p>
            <w:pPr>
              <w:spacing w:after="0"/>
              <w:rPr>
                <w:sz w:val="20"/>
                <w:szCs w:val="20"/>
                <w:color w:val="auto"/>
              </w:rPr>
            </w:pPr>
            <w:r>
              <w:rPr>
                <w:rFonts w:ascii="Arial" w:cs="Arial" w:eastAsia="Arial" w:hAnsi="Arial"/>
                <w:sz w:val="13"/>
                <w:szCs w:val="13"/>
                <w:color w:val="333333"/>
              </w:rPr>
              <w:t>FINANCIAL STATEMENTS AND SUPPLEMENTS</w:t>
            </w:r>
          </w:p>
        </w:tc>
        <w:tc>
          <w:tcPr>
            <w:tcW w:w="920" w:type="dxa"/>
            <w:vAlign w:val="bottom"/>
          </w:tcPr>
          <w:p>
            <w:pPr>
              <w:jc w:val="right"/>
              <w:spacing w:after="0"/>
              <w:rPr>
                <w:sz w:val="20"/>
                <w:szCs w:val="20"/>
                <w:color w:val="auto"/>
              </w:rPr>
            </w:pPr>
            <w:r>
              <w:rPr>
                <w:rFonts w:ascii="Arial" w:cs="Arial" w:eastAsia="Arial" w:hAnsi="Arial"/>
                <w:sz w:val="11"/>
                <w:szCs w:val="11"/>
                <w:b w:val="1"/>
                <w:bCs w:val="1"/>
                <w:color w:val="333333"/>
              </w:rPr>
              <w:t>111</w:t>
            </w:r>
          </w:p>
        </w:tc>
      </w:tr>
    </w:tbl>
    <w:p>
      <w:pPr>
        <w:spacing w:after="0" w:line="161" w:lineRule="exact"/>
        <w:rPr>
          <w:sz w:val="20"/>
          <w:szCs w:val="20"/>
          <w:color w:val="auto"/>
        </w:rPr>
      </w:pPr>
    </w:p>
    <w:p>
      <w:pPr>
        <w:spacing w:after="0"/>
        <w:tabs>
          <w:tab w:leader="none" w:pos="6420" w:val="left"/>
        </w:tabs>
        <w:rPr>
          <w:sz w:val="20"/>
          <w:szCs w:val="20"/>
          <w:color w:val="auto"/>
        </w:rPr>
      </w:pPr>
      <w:r>
        <w:rPr>
          <w:rFonts w:ascii="Arial" w:cs="Arial" w:eastAsia="Arial" w:hAnsi="Arial"/>
          <w:sz w:val="11"/>
          <w:szCs w:val="11"/>
          <w:color w:val="auto"/>
        </w:rPr>
        <w:t>SHELL ANNUAL REPORT AND FORM 20-F 2014</w:t>
      </w:r>
      <w:r>
        <w:rPr>
          <w:sz w:val="20"/>
          <w:szCs w:val="20"/>
          <w:color w:val="auto"/>
        </w:rPr>
        <w:tab/>
      </w:r>
      <w:r>
        <w:rPr>
          <w:rFonts w:ascii="Arial" w:cs="Arial" w:eastAsia="Arial" w:hAnsi="Arial"/>
          <w:sz w:val="10"/>
          <w:szCs w:val="10"/>
          <w:color w:val="auto"/>
        </w:rPr>
        <w:t>CONSOLIDATED FINANCIAL STATEMENTS</w:t>
      </w:r>
    </w:p>
    <w:p>
      <w:pPr>
        <w:spacing w:after="0" w:line="18" w:lineRule="exact"/>
        <w:rPr>
          <w:sz w:val="20"/>
          <w:szCs w:val="20"/>
          <w:color w:val="auto"/>
        </w:rPr>
      </w:pPr>
    </w:p>
    <w:p>
      <w:pPr>
        <w:spacing w:after="0"/>
        <w:rPr>
          <w:sz w:val="20"/>
          <w:szCs w:val="20"/>
          <w:color w:val="auto"/>
        </w:rPr>
      </w:pPr>
      <w:r>
        <w:rPr>
          <w:rFonts w:ascii="Arial" w:cs="Arial" w:eastAsia="Arial" w:hAnsi="Arial"/>
          <w:sz w:val="31"/>
          <w:szCs w:val="31"/>
          <w:color w:val="auto"/>
        </w:rPr>
        <w:t>NOTES TO THE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wp:posOffset>
            </wp:positionV>
            <wp:extent cx="7246620" cy="8890"/>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color w:val="auto"/>
        </w:rPr>
        <w:t>1 BASIS OF PREPARATION</w:t>
      </w:r>
    </w:p>
    <w:p>
      <w:pPr>
        <w:spacing w:after="0" w:line="1" w:lineRule="exact"/>
        <w:rPr>
          <w:sz w:val="20"/>
          <w:szCs w:val="20"/>
          <w:color w:val="auto"/>
        </w:rPr>
      </w:pPr>
    </w:p>
    <w:p>
      <w:pPr>
        <w:ind w:right="60"/>
        <w:spacing w:after="0" w:line="247" w:lineRule="auto"/>
        <w:rPr>
          <w:sz w:val="20"/>
          <w:szCs w:val="20"/>
          <w:color w:val="auto"/>
        </w:rPr>
      </w:pPr>
      <w:r>
        <w:rPr>
          <w:rFonts w:ascii="Arial" w:cs="Arial" w:eastAsia="Arial" w:hAnsi="Arial"/>
          <w:sz w:val="14"/>
          <w:szCs w:val="14"/>
          <w:color w:val="auto"/>
        </w:rPr>
        <w:t>The Consolidated Financial Statements of Royal Dutch Shell plc (the Company) and its subsidiaries (collectively referred to as Shell) have been prepared in accordance with the provisions of the Companies Act 2006 and Article 4 of the International Accounting Standards (IAS) Regulation, and therefore in accordance with International Financial Reporting Standards (IFRS) as adopted by the European Union. As applied to Shell, there are no material differences from IFRS as issued by the International Accounting Standards Board (IASB); therefore the Consolidated Financial Statements have been prepared in accordance with IFRS as issued by the IASB.</w:t>
      </w:r>
    </w:p>
    <w:p>
      <w:pPr>
        <w:spacing w:after="0" w:line="161" w:lineRule="exact"/>
        <w:rPr>
          <w:sz w:val="20"/>
          <w:szCs w:val="20"/>
          <w:color w:val="auto"/>
        </w:rPr>
      </w:pPr>
    </w:p>
    <w:p>
      <w:pPr>
        <w:ind w:right="580"/>
        <w:spacing w:after="0" w:line="258" w:lineRule="auto"/>
        <w:rPr>
          <w:sz w:val="20"/>
          <w:szCs w:val="20"/>
          <w:color w:val="auto"/>
        </w:rPr>
      </w:pPr>
      <w:r>
        <w:rPr>
          <w:rFonts w:ascii="Arial" w:cs="Arial" w:eastAsia="Arial" w:hAnsi="Arial"/>
          <w:sz w:val="14"/>
          <w:szCs w:val="14"/>
          <w:color w:val="auto"/>
        </w:rPr>
        <w:t>As described in the accounting policies in Note 2, the Consolidated Financial Statements have been prepared under the historical cost convention except for certain items measured at fair value. Those accounting policies have been applied consistently in all periods.</w:t>
      </w:r>
    </w:p>
    <w:p>
      <w:pPr>
        <w:spacing w:after="0" w:line="154" w:lineRule="exact"/>
        <w:rPr>
          <w:sz w:val="20"/>
          <w:szCs w:val="20"/>
          <w:color w:val="auto"/>
        </w:rPr>
      </w:pPr>
    </w:p>
    <w:p>
      <w:pPr>
        <w:spacing w:after="0"/>
        <w:rPr>
          <w:sz w:val="20"/>
          <w:szCs w:val="20"/>
          <w:color w:val="auto"/>
        </w:rPr>
      </w:pPr>
      <w:r>
        <w:rPr>
          <w:rFonts w:ascii="Arial" w:cs="Arial" w:eastAsia="Arial" w:hAnsi="Arial"/>
          <w:sz w:val="14"/>
          <w:szCs w:val="14"/>
          <w:color w:val="auto"/>
        </w:rPr>
        <w:t>The Consolidated Financial Statements were approved and authorised for issue by the Board of Directors on March 11, 2015.</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Accounting standards not yet adopted</w:t>
      </w:r>
    </w:p>
    <w:p>
      <w:pPr>
        <w:spacing w:after="0" w:line="1" w:lineRule="exact"/>
        <w:rPr>
          <w:sz w:val="20"/>
          <w:szCs w:val="20"/>
          <w:color w:val="auto"/>
        </w:rPr>
      </w:pPr>
    </w:p>
    <w:p>
      <w:pPr>
        <w:ind w:right="60"/>
        <w:spacing w:after="0" w:line="248" w:lineRule="auto"/>
        <w:rPr>
          <w:sz w:val="20"/>
          <w:szCs w:val="20"/>
          <w:color w:val="auto"/>
        </w:rPr>
      </w:pPr>
      <w:r>
        <w:rPr>
          <w:rFonts w:ascii="Arial" w:cs="Arial" w:eastAsia="Arial" w:hAnsi="Arial"/>
          <w:sz w:val="14"/>
          <w:szCs w:val="14"/>
          <w:color w:val="auto"/>
        </w:rPr>
        <w:t xml:space="preserve">The final version of IFRS 9 </w:t>
      </w:r>
      <w:r>
        <w:rPr>
          <w:rFonts w:ascii="Arial" w:cs="Arial" w:eastAsia="Arial" w:hAnsi="Arial"/>
          <w:sz w:val="14"/>
          <w:szCs w:val="14"/>
          <w:i w:val="1"/>
          <w:iCs w:val="1"/>
          <w:color w:val="auto"/>
        </w:rPr>
        <w:t>Financial Instruments</w:t>
      </w:r>
      <w:r>
        <w:rPr>
          <w:rFonts w:ascii="Arial" w:cs="Arial" w:eastAsia="Arial" w:hAnsi="Arial"/>
          <w:sz w:val="14"/>
          <w:szCs w:val="14"/>
          <w:color w:val="auto"/>
        </w:rPr>
        <w:t xml:space="preserve"> was issued in 2014 which sets out the requirements for recognising and measuring financial assets, financial liabilities and some contracts to buy or sell non-financial items. It replaces IAS 39 </w:t>
      </w:r>
      <w:r>
        <w:rPr>
          <w:rFonts w:ascii="Arial" w:cs="Arial" w:eastAsia="Arial" w:hAnsi="Arial"/>
          <w:sz w:val="14"/>
          <w:szCs w:val="14"/>
          <w:i w:val="1"/>
          <w:iCs w:val="1"/>
          <w:color w:val="auto"/>
        </w:rPr>
        <w:t>Financial Instruments: Recognition and Measurement</w:t>
      </w:r>
      <w:r>
        <w:rPr>
          <w:rFonts w:ascii="Arial" w:cs="Arial" w:eastAsia="Arial" w:hAnsi="Arial"/>
          <w:sz w:val="14"/>
          <w:szCs w:val="14"/>
          <w:color w:val="auto"/>
        </w:rPr>
        <w:t>. IFRS 9 is required to be adopted by 2018. The impact for Shell is under review and IFRS 9 may facilitate further use of hedge accounting and also could result in different timing of income recognition in respect of certain investments in securities.</w:t>
      </w:r>
    </w:p>
    <w:p>
      <w:pPr>
        <w:spacing w:after="0" w:line="311" w:lineRule="exact"/>
        <w:rPr>
          <w:sz w:val="20"/>
          <w:szCs w:val="20"/>
          <w:color w:val="auto"/>
        </w:rPr>
      </w:pPr>
    </w:p>
    <w:p>
      <w:pPr>
        <w:spacing w:after="0" w:line="247" w:lineRule="auto"/>
        <w:rPr>
          <w:sz w:val="20"/>
          <w:szCs w:val="20"/>
          <w:color w:val="auto"/>
        </w:rPr>
      </w:pPr>
      <w:r>
        <w:rPr>
          <w:rFonts w:ascii="Arial" w:cs="Arial" w:eastAsia="Arial" w:hAnsi="Arial"/>
          <w:sz w:val="14"/>
          <w:szCs w:val="14"/>
          <w:color w:val="auto"/>
        </w:rPr>
        <w:t xml:space="preserve">IFRS 11 </w:t>
      </w:r>
      <w:r>
        <w:rPr>
          <w:rFonts w:ascii="Arial" w:cs="Arial" w:eastAsia="Arial" w:hAnsi="Arial"/>
          <w:sz w:val="14"/>
          <w:szCs w:val="14"/>
          <w:i w:val="1"/>
          <w:iCs w:val="1"/>
          <w:color w:val="auto"/>
        </w:rPr>
        <w:t>Joint Arrangements</w:t>
      </w:r>
      <w:r>
        <w:rPr>
          <w:rFonts w:ascii="Arial" w:cs="Arial" w:eastAsia="Arial" w:hAnsi="Arial"/>
          <w:sz w:val="14"/>
          <w:szCs w:val="14"/>
          <w:color w:val="auto"/>
        </w:rPr>
        <w:t xml:space="preserve"> was amended in 2014 to clarify the accounting for the acquisition of an interest or an additional interest in a joint operation where the joint operation itself meets the IFRS definition of a business. The principles of business combination accounting, with some exceptions, should be applied to such transactions which take place on or after the implementation date. This differs from Shell’s current practice which is to account for these as asset acquisitions and therefore the amendment may result in further use of fair value measurements and recognition of goodwill. IFRS 10 </w:t>
      </w:r>
      <w:r>
        <w:rPr>
          <w:rFonts w:ascii="Arial" w:cs="Arial" w:eastAsia="Arial" w:hAnsi="Arial"/>
          <w:sz w:val="14"/>
          <w:szCs w:val="14"/>
          <w:i w:val="1"/>
          <w:iCs w:val="1"/>
          <w:color w:val="auto"/>
        </w:rPr>
        <w:t>Consolidated Financial Statements</w:t>
      </w:r>
      <w:r>
        <w:rPr>
          <w:rFonts w:ascii="Arial" w:cs="Arial" w:eastAsia="Arial" w:hAnsi="Arial"/>
          <w:sz w:val="14"/>
          <w:szCs w:val="14"/>
          <w:color w:val="auto"/>
        </w:rPr>
        <w:t xml:space="preserve"> and IAS 28 </w:t>
      </w:r>
      <w:r>
        <w:rPr>
          <w:rFonts w:ascii="Arial" w:cs="Arial" w:eastAsia="Arial" w:hAnsi="Arial"/>
          <w:sz w:val="14"/>
          <w:szCs w:val="14"/>
          <w:i w:val="1"/>
          <w:iCs w:val="1"/>
          <w:color w:val="auto"/>
        </w:rPr>
        <w:t>Investments in Associates and Joint Ventures</w:t>
      </w:r>
      <w:r>
        <w:rPr>
          <w:rFonts w:ascii="Arial" w:cs="Arial" w:eastAsia="Arial" w:hAnsi="Arial"/>
          <w:sz w:val="14"/>
          <w:szCs w:val="14"/>
          <w:color w:val="auto"/>
        </w:rPr>
        <w:t xml:space="preserve"> were amended in 2014 to clarify the accounting for the contribution of a business to a joint venture or an associate in exchange for an equity interest in that joint venture or associate. A full gain or loss on sale should be recognised for such transactions which take place on or after the implementation date, which differs from Shell’s current practice. It is not intended to early adopt these amendments, whose effective date is January 1, 2016, and the impact on Shell will depend on future transactions.</w:t>
      </w:r>
    </w:p>
    <w:p>
      <w:pPr>
        <w:spacing w:after="0" w:line="150" w:lineRule="exact"/>
        <w:rPr>
          <w:sz w:val="20"/>
          <w:szCs w:val="20"/>
          <w:color w:val="auto"/>
        </w:rPr>
      </w:pPr>
    </w:p>
    <w:p>
      <w:pPr>
        <w:ind w:right="100"/>
        <w:spacing w:after="0" w:line="279" w:lineRule="auto"/>
        <w:rPr>
          <w:sz w:val="20"/>
          <w:szCs w:val="20"/>
          <w:color w:val="auto"/>
        </w:rPr>
      </w:pPr>
      <w:r>
        <w:rPr>
          <w:rFonts w:ascii="Arial" w:cs="Arial" w:eastAsia="Arial" w:hAnsi="Arial"/>
          <w:sz w:val="14"/>
          <w:szCs w:val="14"/>
          <w:color w:val="auto"/>
        </w:rPr>
        <w:t xml:space="preserve">IFRS 15 </w:t>
      </w:r>
      <w:r>
        <w:rPr>
          <w:rFonts w:ascii="Arial" w:cs="Arial" w:eastAsia="Arial" w:hAnsi="Arial"/>
          <w:sz w:val="14"/>
          <w:szCs w:val="14"/>
          <w:i w:val="1"/>
          <w:iCs w:val="1"/>
          <w:color w:val="auto"/>
        </w:rPr>
        <w:t>Revenue from Contracts with Customers</w:t>
      </w:r>
      <w:r>
        <w:rPr>
          <w:rFonts w:ascii="Arial" w:cs="Arial" w:eastAsia="Arial" w:hAnsi="Arial"/>
          <w:sz w:val="14"/>
          <w:szCs w:val="14"/>
          <w:color w:val="auto"/>
        </w:rPr>
        <w:t xml:space="preserve"> was issued in 2014 and replaces IAS 18 </w:t>
      </w:r>
      <w:r>
        <w:rPr>
          <w:rFonts w:ascii="Arial" w:cs="Arial" w:eastAsia="Arial" w:hAnsi="Arial"/>
          <w:sz w:val="14"/>
          <w:szCs w:val="14"/>
          <w:i w:val="1"/>
          <w:iCs w:val="1"/>
          <w:color w:val="auto"/>
        </w:rPr>
        <w:t>Revenue</w:t>
      </w:r>
      <w:r>
        <w:rPr>
          <w:rFonts w:ascii="Arial" w:cs="Arial" w:eastAsia="Arial" w:hAnsi="Arial"/>
          <w:sz w:val="14"/>
          <w:szCs w:val="14"/>
          <w:color w:val="auto"/>
        </w:rPr>
        <w:t xml:space="preserve"> and certain other pronouncements. It is required to be adopted by 2017. The impact is under review but IFRS 15 is not expected to have a significant effect on Shell’s accounting or disclosures.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2 ACCOUNTING POLICIES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Nature of the Consolidated Financial Statements</w:t>
      </w:r>
    </w:p>
    <w:p>
      <w:pPr>
        <w:spacing w:after="0" w:line="1" w:lineRule="exact"/>
        <w:rPr>
          <w:sz w:val="20"/>
          <w:szCs w:val="20"/>
          <w:color w:val="auto"/>
        </w:rPr>
      </w:pPr>
    </w:p>
    <w:p>
      <w:pPr>
        <w:ind w:right="100"/>
        <w:spacing w:after="0" w:line="250" w:lineRule="auto"/>
        <w:rPr>
          <w:sz w:val="20"/>
          <w:szCs w:val="20"/>
          <w:color w:val="auto"/>
        </w:rPr>
      </w:pPr>
      <w:r>
        <w:rPr>
          <w:rFonts w:ascii="Arial" w:cs="Arial" w:eastAsia="Arial" w:hAnsi="Arial"/>
          <w:sz w:val="14"/>
          <w:szCs w:val="14"/>
          <w:color w:val="auto"/>
        </w:rPr>
        <w:t>The Consolidated Financial Statements are presented in US dollars (dollars) and comprise the financial statements of the Company and its subsidiaries, being those entities over which the Company has control, either directly or indirectly, through exposure or rights to their variable returns and the ability to affect those returns through its power over the entities. Information about significant subsidiaries at December 31, 2014, is set out in Exhibit 8.</w:t>
      </w:r>
    </w:p>
    <w:p>
      <w:pPr>
        <w:spacing w:after="0" w:line="159" w:lineRule="exact"/>
        <w:rPr>
          <w:sz w:val="20"/>
          <w:szCs w:val="20"/>
          <w:color w:val="auto"/>
        </w:rPr>
      </w:pPr>
    </w:p>
    <w:p>
      <w:pPr>
        <w:spacing w:after="0" w:line="247" w:lineRule="auto"/>
        <w:rPr>
          <w:sz w:val="20"/>
          <w:szCs w:val="20"/>
          <w:color w:val="auto"/>
        </w:rPr>
      </w:pPr>
      <w:r>
        <w:rPr>
          <w:rFonts w:ascii="Arial" w:cs="Arial" w:eastAsia="Arial" w:hAnsi="Arial"/>
          <w:sz w:val="14"/>
          <w:szCs w:val="14"/>
          <w:color w:val="auto"/>
        </w:rPr>
        <w:t>Subsidiaries are consolidated from the date on which control is obtained until the date that such control ceases, using consistent accounting policies. All inter-company balances and transactions, including unrealised profits arising from such transactions, are eliminated. Unrealised losses are also eliminated unless the transaction provides evidence of an impairment of the asset transferred. Non-controlling interest represents the proportion of income, other comprehensive income and net assets in subsidiaries that is not attributable to the Company’s shareholders.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color w:val="auto"/>
        </w:rPr>
        <w:t>Nature of operations and segmental reporting</w:t>
      </w:r>
    </w:p>
    <w:p>
      <w:pPr>
        <w:spacing w:after="0" w:line="1" w:lineRule="exact"/>
        <w:rPr>
          <w:sz w:val="20"/>
          <w:szCs w:val="20"/>
          <w:color w:val="auto"/>
        </w:rPr>
      </w:pPr>
    </w:p>
    <w:p>
      <w:pPr>
        <w:ind w:right="20"/>
        <w:spacing w:after="0" w:line="243" w:lineRule="auto"/>
        <w:rPr>
          <w:sz w:val="20"/>
          <w:szCs w:val="20"/>
          <w:color w:val="auto"/>
        </w:rPr>
      </w:pPr>
      <w:r>
        <w:rPr>
          <w:rFonts w:ascii="Arial" w:cs="Arial" w:eastAsia="Arial" w:hAnsi="Arial"/>
          <w:sz w:val="14"/>
          <w:szCs w:val="14"/>
          <w:color w:val="auto"/>
        </w:rPr>
        <w:t>Shell is engaged in the principal aspects of the oil and gas industry in more than 70 countries and reports its business through three segments. Upstream combines the operating segments Upstream International and Upstream Americas, which are engaged in exploring for and recovering crude oil and natural gas; the liquefaction and transportation of gas; the extraction of bitumen from oil sands that is converted into synthetic crude oil; and wind energy. These operating segments have similar economic characteristics because their earnings are significantly dependent on crude oil and natural gas prices and production volumes, and because their projects generally require significant investment, are complex and generate revenues for many years. Downstream is engaged in manufacturing, supply and distribution and marketing activities for oil products and chemicals and in alternative energy (excluding wind). Corporate represents the key support functions, comprising Shell’s holdings and treasury organisation, including its self-insurance activities as well as its headquarters and central functions. Integrated within the Upstream and Downstream segments are Shell’s trading activities, and functions such as safety and environment, and CO</w:t>
      </w:r>
      <w:r>
        <w:rPr>
          <w:rFonts w:ascii="Arial" w:cs="Arial" w:eastAsia="Arial" w:hAnsi="Arial"/>
          <w:sz w:val="12"/>
          <w:szCs w:val="12"/>
          <w:color w:val="auto"/>
        </w:rPr>
        <w:t>2</w:t>
      </w:r>
      <w:r>
        <w:rPr>
          <w:rFonts w:ascii="Arial" w:cs="Arial" w:eastAsia="Arial" w:hAnsi="Arial"/>
          <w:sz w:val="14"/>
          <w:szCs w:val="14"/>
          <w:color w:val="auto"/>
        </w:rPr>
        <w:t xml:space="preserve"> management. Sales between segments are based on prices generally equivalent to commercially available prices.</w:t>
      </w:r>
    </w:p>
    <w:p>
      <w:pPr>
        <w:spacing w:after="0" w:line="168" w:lineRule="exact"/>
        <w:rPr>
          <w:sz w:val="20"/>
          <w:szCs w:val="20"/>
          <w:color w:val="auto"/>
        </w:rPr>
      </w:pPr>
    </w:p>
    <w:p>
      <w:pPr>
        <w:ind w:right="40"/>
        <w:spacing w:after="0" w:line="250" w:lineRule="auto"/>
        <w:rPr>
          <w:sz w:val="20"/>
          <w:szCs w:val="20"/>
          <w:color w:val="auto"/>
        </w:rPr>
      </w:pPr>
      <w:r>
        <w:rPr>
          <w:rFonts w:ascii="Arial" w:cs="Arial" w:eastAsia="Arial" w:hAnsi="Arial"/>
          <w:sz w:val="14"/>
          <w:szCs w:val="14"/>
          <w:color w:val="auto"/>
        </w:rPr>
        <w:t>Segment earnings are presented on a current cost of supplies basis (CCS earnings), which is the earnings measure used by the Chief Executive Officer (CEO) for the purposes of making decisions about allocating resources and assessing performance. On this basis, the purchase price of volumes sold during the period is based on the current cost of supplies during the same period after making allowance for the tax effect. CCS earnings therefore exclude the effect of changes in the oil price on inventory carrying amounts.</w:t>
      </w:r>
    </w:p>
    <w:p>
      <w:pPr>
        <w:sectPr>
          <w:pgSz w:w="11900" w:h="16838" w:orient="portrait"/>
          <w:cols w:equalWidth="0" w:num="1">
            <w:col w:w="11380"/>
          </w:cols>
          <w:pgMar w:left="240" w:top="459" w:right="279" w:bottom="1440" w:gutter="0" w:footer="0" w:header="0"/>
        </w:sectPr>
      </w:pPr>
    </w:p>
    <w:bookmarkStart w:id="113" w:name="page114"/>
    <w:bookmarkEnd w:id="1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300355</wp:posOffset>
            </wp:positionV>
            <wp:extent cx="3627755" cy="46291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3627755" cy="462915"/>
                    </a:xfrm>
                    <a:prstGeom prst="rect">
                      <a:avLst/>
                    </a:prstGeom>
                    <a:noFill/>
                  </pic:spPr>
                </pic:pic>
              </a:graphicData>
            </a:graphic>
          </wp:anchor>
        </w:drawing>
      </w:r>
    </w:p>
    <w:p>
      <w:pPr>
        <w:spacing w:after="0" w:line="200" w:lineRule="exact"/>
        <w:rPr>
          <w:sz w:val="20"/>
          <w:szCs w:val="20"/>
          <w:color w:val="auto"/>
        </w:rPr>
      </w:pP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419"/>
        </w:trPr>
        <w:tc>
          <w:tcPr>
            <w:tcW w:w="1320" w:type="dxa"/>
            <w:vAlign w:val="bottom"/>
            <w:shd w:val="clear" w:color="auto" w:fill="FF8B00"/>
          </w:tcPr>
          <w:p>
            <w:pPr>
              <w:spacing w:after="0"/>
              <w:rPr>
                <w:sz w:val="24"/>
                <w:szCs w:val="24"/>
                <w:color w:val="auto"/>
              </w:rPr>
            </w:pPr>
          </w:p>
        </w:tc>
        <w:tc>
          <w:tcPr>
            <w:tcW w:w="4400" w:type="dxa"/>
            <w:vAlign w:val="bottom"/>
            <w:shd w:val="clear" w:color="auto" w:fill="FF8B00"/>
          </w:tcPr>
          <w:p>
            <w:pPr>
              <w:spacing w:after="0"/>
              <w:rPr>
                <w:sz w:val="24"/>
                <w:szCs w:val="24"/>
                <w:color w:val="auto"/>
              </w:rPr>
            </w:pPr>
          </w:p>
        </w:tc>
      </w:tr>
      <w:tr>
        <w:trPr>
          <w:trHeight w:val="152"/>
        </w:trPr>
        <w:tc>
          <w:tcPr>
            <w:tcW w:w="1320" w:type="dxa"/>
            <w:vAlign w:val="bottom"/>
          </w:tcPr>
          <w:p>
            <w:pPr>
              <w:jc w:val="right"/>
              <w:ind w:right="746"/>
              <w:spacing w:after="0"/>
              <w:rPr>
                <w:sz w:val="20"/>
                <w:szCs w:val="20"/>
                <w:color w:val="auto"/>
              </w:rPr>
            </w:pPr>
            <w:r>
              <w:rPr>
                <w:rFonts w:ascii="Arial" w:cs="Arial" w:eastAsia="Arial" w:hAnsi="Arial"/>
                <w:sz w:val="11"/>
                <w:szCs w:val="11"/>
                <w:b w:val="1"/>
                <w:bCs w:val="1"/>
                <w:color w:val="333333"/>
              </w:rPr>
              <w:t>112</w:t>
            </w:r>
          </w:p>
        </w:tc>
        <w:tc>
          <w:tcPr>
            <w:tcW w:w="4400" w:type="dxa"/>
            <w:vAlign w:val="bottom"/>
          </w:tcPr>
          <w:p>
            <w:pPr>
              <w:ind w:left="820"/>
              <w:spacing w:after="0"/>
              <w:rPr>
                <w:sz w:val="20"/>
                <w:szCs w:val="20"/>
                <w:color w:val="auto"/>
              </w:rPr>
            </w:pPr>
            <w:r>
              <w:rPr>
                <w:rFonts w:ascii="Arial" w:cs="Arial" w:eastAsia="Arial" w:hAnsi="Arial"/>
                <w:sz w:val="13"/>
                <w:szCs w:val="13"/>
                <w:color w:val="333333"/>
              </w:rPr>
              <w:t>FINANCIAL STATEMENTS AND SUPPLEMENTS</w:t>
            </w:r>
          </w:p>
        </w:tc>
      </w:tr>
    </w:tbl>
    <w:p>
      <w:pPr>
        <w:spacing w:after="0" w:line="155" w:lineRule="exact"/>
        <w:rPr>
          <w:sz w:val="20"/>
          <w:szCs w:val="20"/>
          <w:color w:val="auto"/>
        </w:rPr>
      </w:pPr>
    </w:p>
    <w:p>
      <w:pPr>
        <w:jc w:val="right"/>
        <w:spacing w:after="0"/>
        <w:tabs>
          <w:tab w:leader="none" w:pos="2380" w:val="left"/>
        </w:tabs>
        <w:rPr>
          <w:sz w:val="20"/>
          <w:szCs w:val="20"/>
          <w:color w:val="auto"/>
        </w:rPr>
      </w:pPr>
      <w:r>
        <w:rPr>
          <w:rFonts w:ascii="Arial" w:cs="Arial" w:eastAsia="Arial" w:hAnsi="Arial"/>
          <w:sz w:val="11"/>
          <w:szCs w:val="11"/>
          <w:color w:val="auto"/>
        </w:rPr>
        <w:t>CONSOLIDATED FINANCIAL STATEMENTS</w:t>
      </w:r>
      <w:r>
        <w:rPr>
          <w:sz w:val="20"/>
          <w:szCs w:val="20"/>
          <w:color w:val="auto"/>
        </w:rPr>
        <w:tab/>
      </w:r>
      <w:r>
        <w:rPr>
          <w:rFonts w:ascii="Arial" w:cs="Arial" w:eastAsia="Arial" w:hAnsi="Arial"/>
          <w:sz w:val="10"/>
          <w:szCs w:val="10"/>
          <w:color w:val="auto"/>
        </w:rPr>
        <w:t>SHELL ANNUAL REPORT AND FORM 20-F 2014</w:t>
      </w:r>
    </w:p>
    <w:p>
      <w:pPr>
        <w:spacing w:after="0" w:line="6" w:lineRule="exact"/>
        <w:rPr>
          <w:sz w:val="20"/>
          <w:szCs w:val="20"/>
          <w:color w:val="auto"/>
        </w:rPr>
      </w:pPr>
    </w:p>
    <w:p>
      <w:pPr>
        <w:spacing w:after="0"/>
        <w:rPr>
          <w:sz w:val="20"/>
          <w:szCs w:val="20"/>
          <w:color w:val="auto"/>
        </w:rPr>
      </w:pPr>
      <w:r>
        <w:rPr>
          <w:rFonts w:ascii="Arial" w:cs="Arial" w:eastAsia="Arial" w:hAnsi="Arial"/>
          <w:sz w:val="11"/>
          <w:szCs w:val="11"/>
          <w:color w:val="auto"/>
        </w:rPr>
        <w:t>[Note 2 continued]</w:t>
      </w:r>
    </w:p>
    <w:p>
      <w:pPr>
        <w:spacing w:after="0"/>
        <w:rPr>
          <w:sz w:val="20"/>
          <w:szCs w:val="20"/>
          <w:color w:val="auto"/>
        </w:rPr>
      </w:pPr>
      <w:r>
        <w:rPr>
          <w:rFonts w:ascii="Arial" w:cs="Arial" w:eastAsia="Arial" w:hAnsi="Arial"/>
          <w:sz w:val="18"/>
          <w:szCs w:val="18"/>
          <w:color w:val="auto"/>
        </w:rPr>
        <w:t>Currency translation</w:t>
      </w:r>
    </w:p>
    <w:p>
      <w:pPr>
        <w:spacing w:after="0" w:line="1" w:lineRule="exact"/>
        <w:rPr>
          <w:sz w:val="20"/>
          <w:szCs w:val="20"/>
          <w:color w:val="auto"/>
        </w:rPr>
      </w:pPr>
    </w:p>
    <w:p>
      <w:pPr>
        <w:ind w:right="160"/>
        <w:spacing w:after="0" w:line="245" w:lineRule="auto"/>
        <w:rPr>
          <w:sz w:val="20"/>
          <w:szCs w:val="20"/>
          <w:color w:val="auto"/>
        </w:rPr>
      </w:pPr>
      <w:r>
        <w:rPr>
          <w:rFonts w:ascii="Arial" w:cs="Arial" w:eastAsia="Arial" w:hAnsi="Arial"/>
          <w:sz w:val="14"/>
          <w:szCs w:val="14"/>
          <w:color w:val="auto"/>
        </w:rPr>
        <w:t>Foreign currency transactions are translated using the exchange rate at the dates of the transactions or valuation where items are re-measured. Foreign exchange gains and losses resulting from the settlement of such transactions and from the translation at quarter-end exchange rates of monetary assets and liabilities denominated in foreign currencies (including those in respect of inter-company balances unless related to loans of a long-term investment nature) are recognised in income, except when deferred in equity as qualifying cash flow hedges, and presented within interest and other income or within purchases where not related to financing. Share capital issued in currencies other than the dollar is translated at the exchange rate at the date of issue.</w:t>
      </w:r>
    </w:p>
    <w:p>
      <w:pPr>
        <w:spacing w:after="0" w:line="178" w:lineRule="exact"/>
        <w:rPr>
          <w:sz w:val="20"/>
          <w:szCs w:val="20"/>
          <w:color w:val="auto"/>
        </w:rPr>
      </w:pPr>
    </w:p>
    <w:p>
      <w:pPr>
        <w:ind w:right="80"/>
        <w:spacing w:after="0" w:line="247" w:lineRule="auto"/>
        <w:rPr>
          <w:sz w:val="20"/>
          <w:szCs w:val="20"/>
          <w:color w:val="auto"/>
        </w:rPr>
      </w:pPr>
      <w:r>
        <w:rPr>
          <w:rFonts w:ascii="Arial" w:cs="Arial" w:eastAsia="Arial" w:hAnsi="Arial"/>
          <w:sz w:val="14"/>
          <w:szCs w:val="14"/>
          <w:color w:val="auto"/>
        </w:rPr>
        <w:t>On consolidation, assets and liabilities of non-dollar entities are translated to dollars at year-end rates of exchange, while their statements of income, other comprehensive income and cash flows are translated at quarterly average rates. The resulting translation differences are recognised as currency translation differences within other comprehensive income. Upon divestment of all or part of an interest in, or upon liquidation of, an entity, the appropriate portion of cumulative currency translation differences related to that entity are generally recognised in income.</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color w:val="auto"/>
        </w:rPr>
        <w:t>Revenue recognition</w:t>
      </w:r>
    </w:p>
    <w:p>
      <w:pPr>
        <w:spacing w:after="0" w:line="1" w:lineRule="exact"/>
        <w:rPr>
          <w:sz w:val="20"/>
          <w:szCs w:val="20"/>
          <w:color w:val="auto"/>
        </w:rPr>
      </w:pPr>
    </w:p>
    <w:p>
      <w:pPr>
        <w:ind w:right="20"/>
        <w:spacing w:after="0" w:line="245" w:lineRule="auto"/>
        <w:rPr>
          <w:sz w:val="20"/>
          <w:szCs w:val="20"/>
          <w:color w:val="auto"/>
        </w:rPr>
      </w:pPr>
      <w:r>
        <w:rPr>
          <w:rFonts w:ascii="Arial" w:cs="Arial" w:eastAsia="Arial" w:hAnsi="Arial"/>
          <w:sz w:val="14"/>
          <w:szCs w:val="14"/>
          <w:color w:val="auto"/>
        </w:rPr>
        <w:t>Revenue from sales of oil, natural gas, chemicals and other products is recognised at the fair value of consideration received or receivable, after deducting sales taxes, excise duties and similar levies, when the significant risks and rewards of ownership have been transferred, which is when title passes to the customer. For sales by Upstream operations, this generally occurs when product is physically transferred into a vessel, pipe or other delivery mechanism; for sales by refining operations it is either when product is placed onboard a vessel or offloaded from the vessel, depending on the contractually agreed terms; and for wholesale sales of oil products and chemicals it is either at the point of delivery or the point of receipt, depending on contractual conditions.</w:t>
      </w:r>
    </w:p>
    <w:p>
      <w:pPr>
        <w:spacing w:after="0" w:line="164" w:lineRule="exact"/>
        <w:rPr>
          <w:sz w:val="20"/>
          <w:szCs w:val="20"/>
          <w:color w:val="auto"/>
        </w:rPr>
      </w:pPr>
    </w:p>
    <w:p>
      <w:pPr>
        <w:jc w:val="both"/>
        <w:ind w:right="120"/>
        <w:spacing w:after="0" w:line="245" w:lineRule="auto"/>
        <w:rPr>
          <w:sz w:val="20"/>
          <w:szCs w:val="20"/>
          <w:color w:val="auto"/>
        </w:rPr>
      </w:pPr>
      <w:r>
        <w:rPr>
          <w:rFonts w:ascii="Arial" w:cs="Arial" w:eastAsia="Arial" w:hAnsi="Arial"/>
          <w:sz w:val="14"/>
          <w:szCs w:val="14"/>
          <w:color w:val="auto"/>
        </w:rPr>
        <w:t>Revenue resulting from the production of oil and natural gas from properties in which Shell has an interest with partners in joint arrangements is recognised on the basis of Shell’s working interest (entitlement method). Revenue resulting from the production of oil and natural gas under production-sharing contracts is recognised for those amounts relating to Shell’s cost recoveries and Shell’s share of the remaining production. Gains and losses on derivative contracts and the revenue and costs associated with other contracts that are classified as held for trading purposes are reported on a net basis in the Consolidated Statement of Income. Purchases and sales of hydrocarbons under exchange contracts that are necessary to obtain or reposition feedstocks for refinery operations are presented net in the Consolidated Statement of Income.</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color w:val="auto"/>
        </w:rPr>
        <w:t>Research and development</w:t>
      </w:r>
    </w:p>
    <w:p>
      <w:pPr>
        <w:spacing w:after="0" w:line="1" w:lineRule="exact"/>
        <w:rPr>
          <w:sz w:val="20"/>
          <w:szCs w:val="20"/>
          <w:color w:val="auto"/>
        </w:rPr>
      </w:pPr>
    </w:p>
    <w:p>
      <w:pPr>
        <w:ind w:right="500"/>
        <w:spacing w:after="0" w:line="258" w:lineRule="auto"/>
        <w:rPr>
          <w:sz w:val="20"/>
          <w:szCs w:val="20"/>
          <w:color w:val="auto"/>
        </w:rPr>
      </w:pPr>
      <w:r>
        <w:rPr>
          <w:rFonts w:ascii="Arial" w:cs="Arial" w:eastAsia="Arial" w:hAnsi="Arial"/>
          <w:sz w:val="14"/>
          <w:szCs w:val="14"/>
          <w:color w:val="auto"/>
        </w:rPr>
        <w:t>Development costs that are expected to generate probable future economic benefits are capitalised as intangible assets. All other research and development expenditure is recognised in income as incurred.</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Exploration costs</w:t>
      </w:r>
    </w:p>
    <w:p>
      <w:pPr>
        <w:spacing w:after="0" w:line="1" w:lineRule="exact"/>
        <w:rPr>
          <w:sz w:val="20"/>
          <w:szCs w:val="20"/>
          <w:color w:val="auto"/>
        </w:rPr>
      </w:pPr>
    </w:p>
    <w:p>
      <w:pPr>
        <w:ind w:right="140"/>
        <w:spacing w:after="0" w:line="245" w:lineRule="auto"/>
        <w:rPr>
          <w:sz w:val="20"/>
          <w:szCs w:val="20"/>
          <w:color w:val="auto"/>
        </w:rPr>
      </w:pPr>
      <w:r>
        <w:rPr>
          <w:rFonts w:ascii="Arial" w:cs="Arial" w:eastAsia="Arial" w:hAnsi="Arial"/>
          <w:sz w:val="14"/>
          <w:szCs w:val="14"/>
          <w:color w:val="auto"/>
        </w:rPr>
        <w:t>Oil and natural gas exploration costs are accounted for under the successful efforts method: exploration costs are recognised in income when incurred, except that exploratory drilling costs are included in property, plant and equipment pending determination of proved reserves. Exploration costs capitalised in respect of exploration wells that are more than 12 months old are written off unless: (a) proved reserves are booked; or (b) (i) they have found commercially producible quantities of reserves and (ii) they are subject to further exploration or appraisal activity in that either drilling of additional exploratory wells is underway or firmly planned for the near future or other activities are being undertaken to sufficiently progress the assessing of reserves and the economic and operating viability of the project.</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color w:val="auto"/>
        </w:rPr>
        <w:t>Property, plant and equipment and intangible assets</w:t>
      </w:r>
    </w:p>
    <w:p>
      <w:pPr>
        <w:spacing w:after="0" w:line="176" w:lineRule="exact"/>
        <w:rPr>
          <w:sz w:val="20"/>
          <w:szCs w:val="20"/>
          <w:color w:val="auto"/>
        </w:rPr>
      </w:pPr>
    </w:p>
    <w:p>
      <w:pPr>
        <w:spacing w:after="0"/>
        <w:rPr>
          <w:sz w:val="20"/>
          <w:szCs w:val="20"/>
          <w:color w:val="auto"/>
        </w:rPr>
      </w:pPr>
      <w:r>
        <w:rPr>
          <w:rFonts w:ascii="Arial" w:cs="Arial" w:eastAsia="Arial" w:hAnsi="Arial"/>
          <w:sz w:val="13"/>
          <w:szCs w:val="13"/>
          <w:color w:val="auto"/>
        </w:rPr>
        <w:t>RECOGNITION</w:t>
      </w:r>
    </w:p>
    <w:p>
      <w:pPr>
        <w:ind w:right="40"/>
        <w:spacing w:after="0" w:line="244" w:lineRule="auto"/>
        <w:rPr>
          <w:sz w:val="20"/>
          <w:szCs w:val="20"/>
          <w:color w:val="auto"/>
        </w:rPr>
      </w:pPr>
      <w:r>
        <w:rPr>
          <w:rFonts w:ascii="Arial" w:cs="Arial" w:eastAsia="Arial" w:hAnsi="Arial"/>
          <w:sz w:val="14"/>
          <w:szCs w:val="14"/>
          <w:color w:val="auto"/>
        </w:rPr>
        <w:t>Property, plant and equipment comprise assets owned by Shell, assets held by Shell under finance leases and assets operated by Shell as contractor in production-sharing contracts. They include rights and concessions in respect of properties with proved reserves (proved properties) and with no proved reserves (unproved properties). Property, plant and equipment, including expenditure on major inspections, and intangible assets are initially recognised in the Consolidated Balance Sheet at cost where it is probable that they will generate future economic benefits. This includes capitalisation of decommissioning and restoration costs associated with provisions for asset retirement (see “Provisions”), certain development costs (see “Research and development”) and the effects of associated cash flow hedges (see “Derivative contracts”) as applicable. The accounting for exploration costs is described separately (see “Exploration costs”). Intangible assets include goodwill, capitalised off-take and sales contracts, software costs and trademarks. Interest is capitalised, as an increase in property, plant and equipment, on major capital projects during construction.</w:t>
      </w:r>
    </w:p>
    <w:p>
      <w:pPr>
        <w:spacing w:after="0" w:line="164" w:lineRule="exact"/>
        <w:rPr>
          <w:sz w:val="20"/>
          <w:szCs w:val="20"/>
          <w:color w:val="auto"/>
        </w:rPr>
      </w:pPr>
    </w:p>
    <w:p>
      <w:pPr>
        <w:ind w:right="100"/>
        <w:spacing w:after="0" w:line="258" w:lineRule="auto"/>
        <w:rPr>
          <w:sz w:val="20"/>
          <w:szCs w:val="20"/>
          <w:color w:val="auto"/>
        </w:rPr>
      </w:pPr>
      <w:r>
        <w:rPr>
          <w:rFonts w:ascii="Arial" w:cs="Arial" w:eastAsia="Arial" w:hAnsi="Arial"/>
          <w:sz w:val="14"/>
          <w:szCs w:val="14"/>
          <w:color w:val="auto"/>
        </w:rPr>
        <w:t>Property, plant and equipment and intangible assets are subsequently carried at cost less accumulated depreciation, depletion and amortisation (including any impairment). Gains and losses on disposals are determined by comparing the proceeds with the carrying amounts of assets sold and are recognised in income, within interest and other income.</w:t>
      </w:r>
    </w:p>
    <w:p>
      <w:pPr>
        <w:spacing w:after="0" w:line="139" w:lineRule="exact"/>
        <w:rPr>
          <w:sz w:val="20"/>
          <w:szCs w:val="20"/>
          <w:color w:val="auto"/>
        </w:rPr>
      </w:pPr>
    </w:p>
    <w:p>
      <w:pPr>
        <w:spacing w:after="0"/>
        <w:rPr>
          <w:sz w:val="20"/>
          <w:szCs w:val="20"/>
          <w:color w:val="auto"/>
        </w:rPr>
      </w:pPr>
      <w:r>
        <w:rPr>
          <w:rFonts w:ascii="Arial" w:cs="Arial" w:eastAsia="Arial" w:hAnsi="Arial"/>
          <w:sz w:val="13"/>
          <w:szCs w:val="13"/>
          <w:color w:val="auto"/>
        </w:rPr>
        <w:t>DEPRECIATION, DEPLETION AND AMORTISATION</w:t>
      </w:r>
    </w:p>
    <w:p>
      <w:pPr>
        <w:ind w:right="20"/>
        <w:spacing w:after="0" w:line="247" w:lineRule="auto"/>
        <w:rPr>
          <w:sz w:val="20"/>
          <w:szCs w:val="20"/>
          <w:color w:val="auto"/>
        </w:rPr>
      </w:pPr>
      <w:r>
        <w:rPr>
          <w:rFonts w:ascii="Arial" w:cs="Arial" w:eastAsia="Arial" w:hAnsi="Arial"/>
          <w:sz w:val="14"/>
          <w:szCs w:val="14"/>
          <w:color w:val="auto"/>
        </w:rPr>
        <w:t>Property, plant and equipment related to hydrocarbon production activities are depreciated on a unit-of-production basis over the proved developed reserves of the field concerned, except in the case of assets whose useful lives differ from the lifetime of the field, in which case the straight-line method is applied. Rights and concessions in respect of proved properties are depleted on the unit-of-production basis over the total proved reserves of the relevant area. Where individually insignificant, unproved properties may be grouped and depreciated based on factors such as the average concession term and past experience of recognising proved reserves.</w:t>
      </w:r>
    </w:p>
    <w:p>
      <w:pPr>
        <w:sectPr>
          <w:pgSz w:w="11900" w:h="16838" w:orient="portrait"/>
          <w:cols w:equalWidth="0" w:num="1">
            <w:col w:w="11420"/>
          </w:cols>
          <w:pgMar w:left="240" w:top="459" w:right="239" w:bottom="1440" w:gutter="0" w:footer="0" w:header="0"/>
        </w:sectPr>
      </w:pPr>
    </w:p>
    <w:bookmarkStart w:id="114" w:name="page115"/>
    <w:bookmarkEnd w:id="1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3555365</wp:posOffset>
            </wp:positionH>
            <wp:positionV relativeFrom="paragraph">
              <wp:posOffset>300355</wp:posOffset>
            </wp:positionV>
            <wp:extent cx="3696335" cy="46291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3696335" cy="462915"/>
                    </a:xfrm>
                    <a:prstGeom prst="rect">
                      <a:avLst/>
                    </a:prstGeom>
                    <a:noFill/>
                  </pic:spPr>
                </pic:pic>
              </a:graphicData>
            </a:graphic>
          </wp:anchor>
        </w:drawing>
      </w:r>
    </w:p>
    <w:p>
      <w:pPr>
        <w:spacing w:after="0" w:line="200" w:lineRule="exact"/>
        <w:rPr>
          <w:sz w:val="20"/>
          <w:szCs w:val="20"/>
          <w:color w:val="auto"/>
        </w:rPr>
      </w:pPr>
    </w:p>
    <w:p>
      <w:pPr>
        <w:spacing w:after="0" w:line="253" w:lineRule="exact"/>
        <w:rPr>
          <w:sz w:val="20"/>
          <w:szCs w:val="20"/>
          <w:color w:val="auto"/>
        </w:rPr>
      </w:pPr>
    </w:p>
    <w:tbl>
      <w:tblPr>
        <w:tblLayout w:type="fixed"/>
        <w:tblInd w:w="5600" w:type="dxa"/>
        <w:tblCellMar>
          <w:top w:w="0" w:type="dxa"/>
          <w:left w:w="0" w:type="dxa"/>
          <w:bottom w:w="0" w:type="dxa"/>
          <w:right w:w="0" w:type="dxa"/>
        </w:tblCellMar>
      </w:tblPr>
      <w:tr>
        <w:trPr>
          <w:trHeight w:val="419"/>
        </w:trPr>
        <w:tc>
          <w:tcPr>
            <w:tcW w:w="4440" w:type="dxa"/>
            <w:vAlign w:val="bottom"/>
            <w:shd w:val="clear" w:color="auto" w:fill="FF8B00"/>
          </w:tcPr>
          <w:p>
            <w:pPr>
              <w:spacing w:after="0"/>
              <w:rPr>
                <w:sz w:val="24"/>
                <w:szCs w:val="24"/>
                <w:color w:val="auto"/>
              </w:rPr>
            </w:pPr>
          </w:p>
        </w:tc>
        <w:tc>
          <w:tcPr>
            <w:tcW w:w="1380" w:type="dxa"/>
            <w:vAlign w:val="bottom"/>
            <w:shd w:val="clear" w:color="auto" w:fill="FF8B00"/>
          </w:tcPr>
          <w:p>
            <w:pPr>
              <w:spacing w:after="0"/>
              <w:rPr>
                <w:sz w:val="24"/>
                <w:szCs w:val="24"/>
                <w:color w:val="auto"/>
              </w:rPr>
            </w:pPr>
          </w:p>
        </w:tc>
      </w:tr>
      <w:tr>
        <w:trPr>
          <w:trHeight w:val="152"/>
        </w:trPr>
        <w:tc>
          <w:tcPr>
            <w:tcW w:w="4440" w:type="dxa"/>
            <w:vAlign w:val="bottom"/>
          </w:tcPr>
          <w:p>
            <w:pPr>
              <w:ind w:left="880"/>
              <w:spacing w:after="0"/>
              <w:rPr>
                <w:sz w:val="20"/>
                <w:szCs w:val="20"/>
                <w:color w:val="auto"/>
              </w:rPr>
            </w:pPr>
            <w:r>
              <w:rPr>
                <w:rFonts w:ascii="Arial" w:cs="Arial" w:eastAsia="Arial" w:hAnsi="Arial"/>
                <w:sz w:val="13"/>
                <w:szCs w:val="13"/>
                <w:color w:val="333333"/>
              </w:rPr>
              <w:t>FINANCIAL STATEMENTS AND SUPPLEMENTS</w:t>
            </w:r>
          </w:p>
        </w:tc>
        <w:tc>
          <w:tcPr>
            <w:tcW w:w="1380" w:type="dxa"/>
            <w:vAlign w:val="bottom"/>
          </w:tcPr>
          <w:p>
            <w:pPr>
              <w:jc w:val="right"/>
              <w:ind w:right="366"/>
              <w:spacing w:after="0"/>
              <w:rPr>
                <w:sz w:val="20"/>
                <w:szCs w:val="20"/>
                <w:color w:val="auto"/>
              </w:rPr>
            </w:pPr>
            <w:r>
              <w:rPr>
                <w:rFonts w:ascii="Arial" w:cs="Arial" w:eastAsia="Arial" w:hAnsi="Arial"/>
                <w:sz w:val="11"/>
                <w:szCs w:val="11"/>
                <w:b w:val="1"/>
                <w:bCs w:val="1"/>
                <w:color w:val="333333"/>
              </w:rPr>
              <w:t>113</w:t>
            </w:r>
          </w:p>
        </w:tc>
      </w:tr>
    </w:tbl>
    <w:p>
      <w:pPr>
        <w:spacing w:after="0" w:line="155" w:lineRule="exact"/>
        <w:rPr>
          <w:sz w:val="20"/>
          <w:szCs w:val="20"/>
          <w:color w:val="auto"/>
        </w:rPr>
      </w:pPr>
    </w:p>
    <w:p>
      <w:pPr>
        <w:spacing w:after="0"/>
        <w:tabs>
          <w:tab w:leader="none" w:pos="6460" w:val="left"/>
        </w:tabs>
        <w:rPr>
          <w:sz w:val="20"/>
          <w:szCs w:val="20"/>
          <w:color w:val="auto"/>
        </w:rPr>
      </w:pPr>
      <w:r>
        <w:rPr>
          <w:rFonts w:ascii="Arial" w:cs="Arial" w:eastAsia="Arial" w:hAnsi="Arial"/>
          <w:sz w:val="11"/>
          <w:szCs w:val="11"/>
          <w:color w:val="auto"/>
        </w:rPr>
        <w:t>SHELL ANNUAL REPORT AND FORM 20-F 2014</w:t>
      </w:r>
      <w:r>
        <w:rPr>
          <w:sz w:val="20"/>
          <w:szCs w:val="20"/>
          <w:color w:val="auto"/>
        </w:rPr>
        <w:tab/>
      </w:r>
      <w:r>
        <w:rPr>
          <w:rFonts w:ascii="Arial" w:cs="Arial" w:eastAsia="Arial" w:hAnsi="Arial"/>
          <w:sz w:val="10"/>
          <w:szCs w:val="10"/>
          <w:color w:val="auto"/>
        </w:rPr>
        <w:t>CONSOLIDATED FINANCIAL STATEMENTS</w:t>
      </w:r>
    </w:p>
    <w:p>
      <w:pPr>
        <w:spacing w:after="0" w:line="17" w:lineRule="exact"/>
        <w:rPr>
          <w:sz w:val="20"/>
          <w:szCs w:val="20"/>
          <w:color w:val="auto"/>
        </w:rPr>
      </w:pPr>
    </w:p>
    <w:p>
      <w:pPr>
        <w:ind w:right="80"/>
        <w:spacing w:after="0" w:line="258" w:lineRule="auto"/>
        <w:rPr>
          <w:sz w:val="20"/>
          <w:szCs w:val="20"/>
          <w:color w:val="auto"/>
        </w:rPr>
      </w:pPr>
      <w:r>
        <w:rPr>
          <w:rFonts w:ascii="Arial" w:cs="Arial" w:eastAsia="Arial" w:hAnsi="Arial"/>
          <w:sz w:val="14"/>
          <w:szCs w:val="14"/>
          <w:color w:val="auto"/>
        </w:rPr>
        <w:t>Other property, plant and equipment and intangible assets are depreciated and amortised on a straight-line basis over their estimated useful lives, except for goodwill, which is not amortised. They include major inspection costs, which are depreciated over the estimated period before the next planned major inspection (three to five years), and the following:</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10020" w:type="dxa"/>
            <w:vAlign w:val="bottom"/>
            <w:shd w:val="clear" w:color="auto" w:fill="333333"/>
          </w:tcPr>
          <w:p>
            <w:pPr>
              <w:ind w:left="80"/>
              <w:spacing w:after="0"/>
              <w:rPr>
                <w:sz w:val="20"/>
                <w:szCs w:val="20"/>
                <w:color w:val="auto"/>
              </w:rPr>
            </w:pPr>
            <w:r>
              <w:rPr>
                <w:rFonts w:ascii="Arial" w:cs="Arial" w:eastAsia="Arial" w:hAnsi="Arial"/>
                <w:sz w:val="15"/>
                <w:szCs w:val="15"/>
                <w:b w:val="1"/>
                <w:bCs w:val="1"/>
                <w:color w:val="FFFFFF"/>
              </w:rPr>
              <w:t>ASSET TYPE</w:t>
            </w:r>
          </w:p>
        </w:tc>
        <w:tc>
          <w:tcPr>
            <w:tcW w:w="1400" w:type="dxa"/>
            <w:vAlign w:val="bottom"/>
            <w:shd w:val="clear" w:color="auto" w:fill="333333"/>
          </w:tcPr>
          <w:p>
            <w:pPr>
              <w:jc w:val="right"/>
              <w:ind w:right="147"/>
              <w:spacing w:after="0"/>
              <w:rPr>
                <w:sz w:val="20"/>
                <w:szCs w:val="20"/>
                <w:color w:val="auto"/>
              </w:rPr>
            </w:pPr>
            <w:r>
              <w:rPr>
                <w:rFonts w:ascii="Arial" w:cs="Arial" w:eastAsia="Arial" w:hAnsi="Arial"/>
                <w:sz w:val="15"/>
                <w:szCs w:val="15"/>
                <w:color w:val="FFFFFF"/>
              </w:rPr>
              <w:t>USEFUL LIFE</w:t>
            </w:r>
          </w:p>
        </w:tc>
      </w:tr>
      <w:tr>
        <w:trPr>
          <w:trHeight w:val="167"/>
        </w:trPr>
        <w:tc>
          <w:tcPr>
            <w:tcW w:w="10020" w:type="dxa"/>
            <w:vAlign w:val="bottom"/>
          </w:tcPr>
          <w:p>
            <w:pPr>
              <w:spacing w:after="0"/>
              <w:rPr>
                <w:sz w:val="20"/>
                <w:szCs w:val="20"/>
                <w:color w:val="auto"/>
              </w:rPr>
            </w:pPr>
            <w:r>
              <w:rPr>
                <w:rFonts w:ascii="Arial" w:cs="Arial" w:eastAsia="Arial" w:hAnsi="Arial"/>
                <w:sz w:val="14"/>
                <w:szCs w:val="14"/>
                <w:color w:val="auto"/>
              </w:rPr>
              <w:t>Property, plant and equipment</w:t>
            </w:r>
          </w:p>
        </w:tc>
        <w:tc>
          <w:tcPr>
            <w:tcW w:w="1400" w:type="dxa"/>
            <w:vAlign w:val="bottom"/>
          </w:tcPr>
          <w:p>
            <w:pPr>
              <w:spacing w:after="0"/>
              <w:rPr>
                <w:sz w:val="14"/>
                <w:szCs w:val="14"/>
                <w:color w:val="auto"/>
              </w:rPr>
            </w:pPr>
          </w:p>
        </w:tc>
      </w:tr>
      <w:tr>
        <w:trPr>
          <w:trHeight w:val="162"/>
        </w:trPr>
        <w:tc>
          <w:tcPr>
            <w:tcW w:w="10020" w:type="dxa"/>
            <w:vAlign w:val="bottom"/>
          </w:tcPr>
          <w:p>
            <w:pPr>
              <w:ind w:left="140"/>
              <w:spacing w:after="0"/>
              <w:rPr>
                <w:sz w:val="20"/>
                <w:szCs w:val="20"/>
                <w:color w:val="auto"/>
              </w:rPr>
            </w:pPr>
            <w:r>
              <w:rPr>
                <w:rFonts w:ascii="Arial" w:cs="Arial" w:eastAsia="Arial" w:hAnsi="Arial"/>
                <w:sz w:val="14"/>
                <w:szCs w:val="14"/>
                <w:color w:val="auto"/>
              </w:rPr>
              <w:t>Held under finance leases</w:t>
            </w:r>
          </w:p>
        </w:tc>
        <w:tc>
          <w:tcPr>
            <w:tcW w:w="1400" w:type="dxa"/>
            <w:vAlign w:val="bottom"/>
          </w:tcPr>
          <w:p>
            <w:pPr>
              <w:jc w:val="right"/>
              <w:ind w:right="147"/>
              <w:spacing w:after="0"/>
              <w:rPr>
                <w:sz w:val="20"/>
                <w:szCs w:val="20"/>
                <w:color w:val="auto"/>
              </w:rPr>
            </w:pPr>
            <w:r>
              <w:rPr>
                <w:rFonts w:ascii="Arial" w:cs="Arial" w:eastAsia="Arial" w:hAnsi="Arial"/>
                <w:sz w:val="14"/>
                <w:szCs w:val="14"/>
                <w:color w:val="auto"/>
              </w:rPr>
              <w:t>lease term</w:t>
            </w:r>
          </w:p>
        </w:tc>
      </w:tr>
      <w:tr>
        <w:trPr>
          <w:trHeight w:val="162"/>
        </w:trPr>
        <w:tc>
          <w:tcPr>
            <w:tcW w:w="10020" w:type="dxa"/>
            <w:vAlign w:val="bottom"/>
          </w:tcPr>
          <w:p>
            <w:pPr>
              <w:ind w:left="140"/>
              <w:spacing w:after="0"/>
              <w:rPr>
                <w:sz w:val="20"/>
                <w:szCs w:val="20"/>
                <w:color w:val="auto"/>
              </w:rPr>
            </w:pPr>
            <w:r>
              <w:rPr>
                <w:rFonts w:ascii="Arial" w:cs="Arial" w:eastAsia="Arial" w:hAnsi="Arial"/>
                <w:sz w:val="14"/>
                <w:szCs w:val="14"/>
                <w:color w:val="auto"/>
              </w:rPr>
              <w:t>Refineries and chemical plants</w:t>
            </w:r>
          </w:p>
        </w:tc>
        <w:tc>
          <w:tcPr>
            <w:tcW w:w="1400" w:type="dxa"/>
            <w:vAlign w:val="bottom"/>
          </w:tcPr>
          <w:p>
            <w:pPr>
              <w:jc w:val="right"/>
              <w:ind w:right="147"/>
              <w:spacing w:after="0"/>
              <w:rPr>
                <w:sz w:val="20"/>
                <w:szCs w:val="20"/>
                <w:color w:val="auto"/>
              </w:rPr>
            </w:pPr>
            <w:r>
              <w:rPr>
                <w:rFonts w:ascii="Arial" w:cs="Arial" w:eastAsia="Arial" w:hAnsi="Arial"/>
                <w:sz w:val="14"/>
                <w:szCs w:val="14"/>
                <w:color w:val="auto"/>
              </w:rPr>
              <w:t>20 years</w:t>
            </w:r>
          </w:p>
        </w:tc>
      </w:tr>
      <w:tr>
        <w:trPr>
          <w:trHeight w:val="162"/>
        </w:trPr>
        <w:tc>
          <w:tcPr>
            <w:tcW w:w="10020" w:type="dxa"/>
            <w:vAlign w:val="bottom"/>
          </w:tcPr>
          <w:p>
            <w:pPr>
              <w:ind w:left="140"/>
              <w:spacing w:after="0"/>
              <w:rPr>
                <w:sz w:val="20"/>
                <w:szCs w:val="20"/>
                <w:color w:val="auto"/>
              </w:rPr>
            </w:pPr>
            <w:r>
              <w:rPr>
                <w:rFonts w:ascii="Arial" w:cs="Arial" w:eastAsia="Arial" w:hAnsi="Arial"/>
                <w:sz w:val="14"/>
                <w:szCs w:val="14"/>
                <w:color w:val="auto"/>
              </w:rPr>
              <w:t>Retail service stations</w:t>
            </w:r>
          </w:p>
        </w:tc>
        <w:tc>
          <w:tcPr>
            <w:tcW w:w="1400" w:type="dxa"/>
            <w:vAlign w:val="bottom"/>
          </w:tcPr>
          <w:p>
            <w:pPr>
              <w:jc w:val="right"/>
              <w:ind w:right="147"/>
              <w:spacing w:after="0"/>
              <w:rPr>
                <w:sz w:val="20"/>
                <w:szCs w:val="20"/>
                <w:color w:val="auto"/>
              </w:rPr>
            </w:pPr>
            <w:r>
              <w:rPr>
                <w:rFonts w:ascii="Arial" w:cs="Arial" w:eastAsia="Arial" w:hAnsi="Arial"/>
                <w:sz w:val="14"/>
                <w:szCs w:val="14"/>
                <w:color w:val="auto"/>
              </w:rPr>
              <w:t>15 years</w:t>
            </w:r>
          </w:p>
        </w:tc>
      </w:tr>
      <w:tr>
        <w:trPr>
          <w:trHeight w:val="162"/>
        </w:trPr>
        <w:tc>
          <w:tcPr>
            <w:tcW w:w="10020" w:type="dxa"/>
            <w:vAlign w:val="bottom"/>
          </w:tcPr>
          <w:p>
            <w:pPr>
              <w:ind w:left="140"/>
              <w:spacing w:after="0"/>
              <w:rPr>
                <w:sz w:val="20"/>
                <w:szCs w:val="20"/>
                <w:color w:val="auto"/>
              </w:rPr>
            </w:pPr>
            <w:r>
              <w:rPr>
                <w:rFonts w:ascii="Arial" w:cs="Arial" w:eastAsia="Arial" w:hAnsi="Arial"/>
                <w:sz w:val="14"/>
                <w:szCs w:val="14"/>
                <w:color w:val="auto"/>
              </w:rPr>
              <w:t>Upgraders</w:t>
            </w:r>
          </w:p>
        </w:tc>
        <w:tc>
          <w:tcPr>
            <w:tcW w:w="1400" w:type="dxa"/>
            <w:vAlign w:val="bottom"/>
          </w:tcPr>
          <w:p>
            <w:pPr>
              <w:jc w:val="right"/>
              <w:ind w:right="147"/>
              <w:spacing w:after="0"/>
              <w:rPr>
                <w:sz w:val="20"/>
                <w:szCs w:val="20"/>
                <w:color w:val="auto"/>
              </w:rPr>
            </w:pPr>
            <w:r>
              <w:rPr>
                <w:rFonts w:ascii="Arial" w:cs="Arial" w:eastAsia="Arial" w:hAnsi="Arial"/>
                <w:sz w:val="14"/>
                <w:szCs w:val="14"/>
                <w:color w:val="auto"/>
              </w:rPr>
              <w:t>30 years</w:t>
            </w:r>
          </w:p>
        </w:tc>
      </w:tr>
      <w:tr>
        <w:trPr>
          <w:trHeight w:val="162"/>
        </w:trPr>
        <w:tc>
          <w:tcPr>
            <w:tcW w:w="10020" w:type="dxa"/>
            <w:vAlign w:val="bottom"/>
          </w:tcPr>
          <w:p>
            <w:pPr>
              <w:spacing w:after="0"/>
              <w:rPr>
                <w:sz w:val="20"/>
                <w:szCs w:val="20"/>
                <w:color w:val="auto"/>
              </w:rPr>
            </w:pPr>
            <w:r>
              <w:rPr>
                <w:rFonts w:ascii="Arial" w:cs="Arial" w:eastAsia="Arial" w:hAnsi="Arial"/>
                <w:sz w:val="14"/>
                <w:szCs w:val="14"/>
                <w:color w:val="auto"/>
              </w:rPr>
              <w:t>Intangible assets</w:t>
            </w:r>
          </w:p>
        </w:tc>
        <w:tc>
          <w:tcPr>
            <w:tcW w:w="1400" w:type="dxa"/>
            <w:vAlign w:val="bottom"/>
          </w:tcPr>
          <w:p>
            <w:pPr>
              <w:spacing w:after="0"/>
              <w:rPr>
                <w:sz w:val="14"/>
                <w:szCs w:val="14"/>
                <w:color w:val="auto"/>
              </w:rPr>
            </w:pPr>
          </w:p>
        </w:tc>
      </w:tr>
      <w:tr>
        <w:trPr>
          <w:trHeight w:val="162"/>
        </w:trPr>
        <w:tc>
          <w:tcPr>
            <w:tcW w:w="10020" w:type="dxa"/>
            <w:vAlign w:val="bottom"/>
          </w:tcPr>
          <w:p>
            <w:pPr>
              <w:ind w:left="140"/>
              <w:spacing w:after="0"/>
              <w:rPr>
                <w:sz w:val="20"/>
                <w:szCs w:val="20"/>
                <w:color w:val="auto"/>
              </w:rPr>
            </w:pPr>
            <w:r>
              <w:rPr>
                <w:rFonts w:ascii="Arial" w:cs="Arial" w:eastAsia="Arial" w:hAnsi="Arial"/>
                <w:sz w:val="14"/>
                <w:szCs w:val="14"/>
                <w:color w:val="auto"/>
              </w:rPr>
              <w:t>LNG off-take and sales contracts</w:t>
            </w:r>
          </w:p>
        </w:tc>
        <w:tc>
          <w:tcPr>
            <w:tcW w:w="1400" w:type="dxa"/>
            <w:vAlign w:val="bottom"/>
          </w:tcPr>
          <w:p>
            <w:pPr>
              <w:jc w:val="right"/>
              <w:ind w:right="147"/>
              <w:spacing w:after="0"/>
              <w:rPr>
                <w:sz w:val="20"/>
                <w:szCs w:val="20"/>
                <w:color w:val="auto"/>
              </w:rPr>
            </w:pPr>
            <w:r>
              <w:rPr>
                <w:rFonts w:ascii="Arial" w:cs="Arial" w:eastAsia="Arial" w:hAnsi="Arial"/>
                <w:sz w:val="14"/>
                <w:szCs w:val="14"/>
                <w:color w:val="auto"/>
              </w:rPr>
              <w:t>10 to 15 years</w:t>
            </w:r>
          </w:p>
        </w:tc>
      </w:tr>
      <w:tr>
        <w:trPr>
          <w:trHeight w:val="162"/>
        </w:trPr>
        <w:tc>
          <w:tcPr>
            <w:tcW w:w="10020" w:type="dxa"/>
            <w:vAlign w:val="bottom"/>
          </w:tcPr>
          <w:p>
            <w:pPr>
              <w:ind w:left="140"/>
              <w:spacing w:after="0"/>
              <w:rPr>
                <w:sz w:val="20"/>
                <w:szCs w:val="20"/>
                <w:color w:val="auto"/>
              </w:rPr>
            </w:pPr>
            <w:r>
              <w:rPr>
                <w:rFonts w:ascii="Arial" w:cs="Arial" w:eastAsia="Arial" w:hAnsi="Arial"/>
                <w:sz w:val="14"/>
                <w:szCs w:val="14"/>
                <w:color w:val="auto"/>
              </w:rPr>
              <w:t>Software</w:t>
            </w:r>
          </w:p>
        </w:tc>
        <w:tc>
          <w:tcPr>
            <w:tcW w:w="1400" w:type="dxa"/>
            <w:vAlign w:val="bottom"/>
          </w:tcPr>
          <w:p>
            <w:pPr>
              <w:jc w:val="right"/>
              <w:ind w:right="147"/>
              <w:spacing w:after="0"/>
              <w:rPr>
                <w:sz w:val="20"/>
                <w:szCs w:val="20"/>
                <w:color w:val="auto"/>
              </w:rPr>
            </w:pPr>
            <w:r>
              <w:rPr>
                <w:rFonts w:ascii="Arial" w:cs="Arial" w:eastAsia="Arial" w:hAnsi="Arial"/>
                <w:sz w:val="14"/>
                <w:szCs w:val="14"/>
                <w:color w:val="auto"/>
              </w:rPr>
              <w:t>5 years</w:t>
            </w:r>
          </w:p>
        </w:tc>
      </w:tr>
      <w:tr>
        <w:trPr>
          <w:trHeight w:val="157"/>
        </w:trPr>
        <w:tc>
          <w:tcPr>
            <w:tcW w:w="10020" w:type="dxa"/>
            <w:vAlign w:val="bottom"/>
            <w:tcBorders>
              <w:bottom w:val="single" w:sz="8" w:color="auto"/>
            </w:tcBorders>
          </w:tcPr>
          <w:p>
            <w:pPr>
              <w:ind w:left="140"/>
              <w:spacing w:after="0" w:line="157" w:lineRule="exact"/>
              <w:rPr>
                <w:sz w:val="20"/>
                <w:szCs w:val="20"/>
                <w:color w:val="auto"/>
              </w:rPr>
            </w:pPr>
            <w:r>
              <w:rPr>
                <w:rFonts w:ascii="Arial" w:cs="Arial" w:eastAsia="Arial" w:hAnsi="Arial"/>
                <w:sz w:val="14"/>
                <w:szCs w:val="14"/>
                <w:color w:val="auto"/>
              </w:rPr>
              <w:t>Trademarks</w:t>
            </w:r>
          </w:p>
        </w:tc>
        <w:tc>
          <w:tcPr>
            <w:tcW w:w="1400" w:type="dxa"/>
            <w:vAlign w:val="bottom"/>
            <w:tcBorders>
              <w:bottom w:val="single" w:sz="8" w:color="auto"/>
            </w:tcBorders>
          </w:tcPr>
          <w:p>
            <w:pPr>
              <w:jc w:val="right"/>
              <w:ind w:right="147"/>
              <w:spacing w:after="0" w:line="157" w:lineRule="exact"/>
              <w:rPr>
                <w:sz w:val="20"/>
                <w:szCs w:val="20"/>
                <w:color w:val="auto"/>
              </w:rPr>
            </w:pPr>
            <w:r>
              <w:rPr>
                <w:rFonts w:ascii="Arial" w:cs="Arial" w:eastAsia="Arial" w:hAnsi="Arial"/>
                <w:sz w:val="14"/>
                <w:szCs w:val="14"/>
                <w:color w:val="auto"/>
              </w:rPr>
              <w:t>40 years</w:t>
            </w:r>
          </w:p>
        </w:tc>
      </w:tr>
      <w:tr>
        <w:trPr>
          <w:trHeight w:val="279"/>
        </w:trPr>
        <w:tc>
          <w:tcPr>
            <w:tcW w:w="10020" w:type="dxa"/>
            <w:vAlign w:val="bottom"/>
          </w:tcPr>
          <w:p>
            <w:pPr>
              <w:spacing w:after="0"/>
              <w:rPr>
                <w:sz w:val="20"/>
                <w:szCs w:val="20"/>
                <w:color w:val="auto"/>
              </w:rPr>
            </w:pPr>
            <w:r>
              <w:rPr>
                <w:rFonts w:ascii="Arial" w:cs="Arial" w:eastAsia="Arial" w:hAnsi="Arial"/>
                <w:sz w:val="14"/>
                <w:szCs w:val="14"/>
                <w:color w:val="auto"/>
              </w:rPr>
              <w:t>Estimates of the useful lives and residual values of property, plant and equipment and intangible assets are reviewed annually and adjusted if appropriate.</w:t>
            </w:r>
          </w:p>
        </w:tc>
        <w:tc>
          <w:tcPr>
            <w:tcW w:w="1400" w:type="dxa"/>
            <w:vAlign w:val="bottom"/>
          </w:tcPr>
          <w:p>
            <w:pPr>
              <w:spacing w:after="0"/>
              <w:rPr>
                <w:sz w:val="24"/>
                <w:szCs w:val="24"/>
                <w:color w:val="auto"/>
              </w:rPr>
            </w:pPr>
          </w:p>
        </w:tc>
      </w:tr>
    </w:tbl>
    <w:p>
      <w:pPr>
        <w:spacing w:after="0" w:line="164" w:lineRule="exact"/>
        <w:rPr>
          <w:sz w:val="20"/>
          <w:szCs w:val="20"/>
          <w:color w:val="auto"/>
        </w:rPr>
      </w:pPr>
    </w:p>
    <w:p>
      <w:pPr>
        <w:spacing w:after="0"/>
        <w:rPr>
          <w:sz w:val="20"/>
          <w:szCs w:val="20"/>
          <w:color w:val="auto"/>
        </w:rPr>
      </w:pPr>
      <w:r>
        <w:rPr>
          <w:rFonts w:ascii="Arial" w:cs="Arial" w:eastAsia="Arial" w:hAnsi="Arial"/>
          <w:sz w:val="13"/>
          <w:szCs w:val="13"/>
          <w:color w:val="auto"/>
        </w:rPr>
        <w:t>IMPAIRMENT</w:t>
      </w:r>
    </w:p>
    <w:p>
      <w:pPr>
        <w:jc w:val="both"/>
        <w:ind w:right="120"/>
        <w:spacing w:after="0" w:line="250" w:lineRule="auto"/>
        <w:rPr>
          <w:sz w:val="20"/>
          <w:szCs w:val="20"/>
          <w:color w:val="auto"/>
        </w:rPr>
      </w:pPr>
      <w:r>
        <w:rPr>
          <w:rFonts w:ascii="Arial" w:cs="Arial" w:eastAsia="Arial" w:hAnsi="Arial"/>
          <w:sz w:val="14"/>
          <w:szCs w:val="14"/>
          <w:color w:val="auto"/>
        </w:rPr>
        <w:t>The carrying amount of goodwill is tested for impairment annually; in addition, assets other than unproved properties (see “Exploration costs”) are tested for impairment whenever events or changes in circumstances indicate that the carrying amounts for those assets may not be recoverable. If assets are determined to be impaired, the carrying amounts of those assets are written down to their recoverable amount, which is the higher of fair value less costs to sell (see “Fair value measurements”) and value in use.</w:t>
      </w:r>
    </w:p>
    <w:p>
      <w:pPr>
        <w:spacing w:after="0" w:line="159" w:lineRule="exact"/>
        <w:rPr>
          <w:sz w:val="20"/>
          <w:szCs w:val="20"/>
          <w:color w:val="auto"/>
        </w:rPr>
      </w:pPr>
    </w:p>
    <w:p>
      <w:pPr>
        <w:ind w:right="20"/>
        <w:spacing w:after="0" w:line="244" w:lineRule="auto"/>
        <w:rPr>
          <w:sz w:val="20"/>
          <w:szCs w:val="20"/>
          <w:color w:val="auto"/>
        </w:rPr>
      </w:pPr>
      <w:r>
        <w:rPr>
          <w:rFonts w:ascii="Arial" w:cs="Arial" w:eastAsia="Arial" w:hAnsi="Arial"/>
          <w:sz w:val="14"/>
          <w:szCs w:val="14"/>
          <w:color w:val="auto"/>
        </w:rPr>
        <w:t>Value in use is determined as the amount of estimated risk-adjusted discounted future cash flows. For this purpose, assets are grouped into cash-generating units based on separately identifiable and largely independent cash inflows. Estimates of future cash flows used in the evaluation of impairment of assets are made using management’s forecasts of commodity prices, market supply and demand, product margins and, in the case of exploration and production assets, expected production volumes. The latter takes into account assessments of field and reservoir performance and includes expectations about both proved reserves and volumes that are expected to constitute proved reserves in the future (unproved volumes), which are risk-weighted utilising geological, production, recovery and economic projections. Cash flow estimates are risk-adjusted to reflect local conditions as appropriate and discounted at a rate based on Shell’s marginal cost of debt.</w:t>
      </w:r>
    </w:p>
    <w:p>
      <w:pPr>
        <w:spacing w:after="0" w:line="166" w:lineRule="exact"/>
        <w:rPr>
          <w:sz w:val="20"/>
          <w:szCs w:val="20"/>
          <w:color w:val="auto"/>
        </w:rPr>
      </w:pPr>
    </w:p>
    <w:p>
      <w:pPr>
        <w:spacing w:after="0"/>
        <w:rPr>
          <w:sz w:val="20"/>
          <w:szCs w:val="20"/>
          <w:color w:val="auto"/>
        </w:rPr>
      </w:pPr>
      <w:r>
        <w:rPr>
          <w:rFonts w:ascii="Arial" w:cs="Arial" w:eastAsia="Arial" w:hAnsi="Arial"/>
          <w:sz w:val="14"/>
          <w:szCs w:val="14"/>
          <w:color w:val="auto"/>
        </w:rPr>
        <w:t>Impairments, except those related to goodwill, are reversed as applicable to the extent that the events or circumstances that triggered the original impairment have changed.</w:t>
      </w:r>
    </w:p>
    <w:p>
      <w:pPr>
        <w:spacing w:after="0" w:line="190" w:lineRule="exact"/>
        <w:rPr>
          <w:sz w:val="20"/>
          <w:szCs w:val="20"/>
          <w:color w:val="auto"/>
        </w:rPr>
      </w:pPr>
    </w:p>
    <w:p>
      <w:pPr>
        <w:spacing w:after="0"/>
        <w:rPr>
          <w:sz w:val="20"/>
          <w:szCs w:val="20"/>
          <w:color w:val="auto"/>
        </w:rPr>
      </w:pPr>
      <w:r>
        <w:rPr>
          <w:rFonts w:ascii="Arial" w:cs="Arial" w:eastAsia="Arial" w:hAnsi="Arial"/>
          <w:sz w:val="14"/>
          <w:szCs w:val="14"/>
          <w:color w:val="auto"/>
        </w:rPr>
        <w:t>Impairment charges and reversals are reported within depreciation, depletion and amortisation.</w:t>
      </w:r>
    </w:p>
    <w:p>
      <w:pPr>
        <w:spacing w:after="0" w:line="177" w:lineRule="exact"/>
        <w:rPr>
          <w:sz w:val="20"/>
          <w:szCs w:val="20"/>
          <w:color w:val="auto"/>
        </w:rPr>
      </w:pPr>
    </w:p>
    <w:p>
      <w:pPr>
        <w:spacing w:after="0" w:line="258" w:lineRule="auto"/>
        <w:rPr>
          <w:sz w:val="20"/>
          <w:szCs w:val="20"/>
          <w:color w:val="auto"/>
        </w:rPr>
      </w:pPr>
      <w:r>
        <w:rPr>
          <w:rFonts w:ascii="Arial" w:cs="Arial" w:eastAsia="Arial" w:hAnsi="Arial"/>
          <w:sz w:val="14"/>
          <w:szCs w:val="14"/>
          <w:color w:val="auto"/>
        </w:rPr>
        <w:t>On reclassification as held for sale, the carrying amounts of intangible assets and property, plant and equipment are also reviewed and, where appropriate, written down to their fair value less costs to sell. No further provision for depreciation, depletion or amortisation is charged.</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Leases</w:t>
      </w:r>
    </w:p>
    <w:p>
      <w:pPr>
        <w:spacing w:after="0" w:line="1" w:lineRule="exact"/>
        <w:rPr>
          <w:sz w:val="20"/>
          <w:szCs w:val="20"/>
          <w:color w:val="auto"/>
        </w:rPr>
      </w:pPr>
    </w:p>
    <w:p>
      <w:pPr>
        <w:jc w:val="both"/>
        <w:ind w:right="300"/>
        <w:spacing w:after="0" w:line="247" w:lineRule="auto"/>
        <w:rPr>
          <w:sz w:val="20"/>
          <w:szCs w:val="20"/>
          <w:color w:val="auto"/>
        </w:rPr>
      </w:pPr>
      <w:r>
        <w:rPr>
          <w:rFonts w:ascii="Arial" w:cs="Arial" w:eastAsia="Arial" w:hAnsi="Arial"/>
          <w:sz w:val="14"/>
          <w:szCs w:val="14"/>
          <w:color w:val="auto"/>
        </w:rPr>
        <w:t>Agreements under which payments are made to owners in return for the right to use an asset for a period are accounted for as leases. Leases that transfer substantially all the risks and rewards of ownership are recognised at the commencement of the lease term as finance leases within property, plant and equipment and debt at the fair value of the leased asset or, if lower, at the present value of the minimum lease payments. Finance lease payments are apportioned between interest expense and repayments of debt. All other leases are classified as operating leases and the cost is recognised in income on a straight-line basis.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color w:val="auto"/>
        </w:rPr>
        <w:t>Joint arrangements and associates</w:t>
      </w:r>
    </w:p>
    <w:p>
      <w:pPr>
        <w:spacing w:after="0" w:line="1" w:lineRule="exact"/>
        <w:rPr>
          <w:sz w:val="20"/>
          <w:szCs w:val="20"/>
          <w:color w:val="auto"/>
        </w:rPr>
      </w:pPr>
    </w:p>
    <w:p>
      <w:pPr>
        <w:ind w:right="120"/>
        <w:spacing w:after="0" w:line="250" w:lineRule="auto"/>
        <w:rPr>
          <w:sz w:val="20"/>
          <w:szCs w:val="20"/>
          <w:color w:val="auto"/>
        </w:rPr>
      </w:pPr>
      <w:r>
        <w:rPr>
          <w:rFonts w:ascii="Arial" w:cs="Arial" w:eastAsia="Arial" w:hAnsi="Arial"/>
          <w:sz w:val="14"/>
          <w:szCs w:val="14"/>
          <w:color w:val="auto"/>
        </w:rPr>
        <w:t>Arrangements under which Shell has contractually agreed to share control (see “Nature of the Consolidated Financial Statements”) with another party or parties are joint ventures where the parties have rights to the net assets of the arrangement, or joint operations where the parties have rights to the assets and obligations for the liabilities relating to the arrangement. Investments in entities over which Shell has the right to exercise significant influence but neither control nor joint control are classified as associates.</w:t>
      </w:r>
    </w:p>
    <w:p>
      <w:pPr>
        <w:spacing w:after="0" w:line="159" w:lineRule="exact"/>
        <w:rPr>
          <w:sz w:val="20"/>
          <w:szCs w:val="20"/>
          <w:color w:val="auto"/>
        </w:rPr>
      </w:pPr>
    </w:p>
    <w:p>
      <w:pPr>
        <w:spacing w:after="0" w:line="244" w:lineRule="auto"/>
        <w:rPr>
          <w:sz w:val="20"/>
          <w:szCs w:val="20"/>
          <w:color w:val="auto"/>
        </w:rPr>
      </w:pPr>
      <w:r>
        <w:rPr>
          <w:rFonts w:ascii="Arial" w:cs="Arial" w:eastAsia="Arial" w:hAnsi="Arial"/>
          <w:sz w:val="14"/>
          <w:szCs w:val="14"/>
          <w:color w:val="auto"/>
        </w:rPr>
        <w:t>Investments in joint ventures and associates are accounted for using the equity method, under which the investment is initially recognised at cost and subsequently adjusted for the Shell share of post-acquisition income less dividends received and the Shell share of other comprehensive income and other movements in equity, together with any loans of a long-term investment nature. Where necessary, adjustments are made to the financial statements of joint ventures and associates to bring the accounting policies used into line with those of Shell. In an exchange of assets and liabilities for an interest in a joint venture, the non-Shell share of any excess of the fair value of the assets and liabilities transferred over the pre-exchange carrying amounts is recognised in income. Unrealised gains on other transactions between Shell and its joint ventures and associates are eliminated to the extent of Shell’s interest in them; unrealised losses are treated similarly but may also result in an assessment of whether the asset transferred is impaired.</w:t>
      </w:r>
    </w:p>
    <w:p>
      <w:pPr>
        <w:spacing w:after="0" w:line="166" w:lineRule="exact"/>
        <w:rPr>
          <w:sz w:val="20"/>
          <w:szCs w:val="20"/>
          <w:color w:val="auto"/>
        </w:rPr>
      </w:pPr>
    </w:p>
    <w:p>
      <w:pPr>
        <w:spacing w:after="0"/>
        <w:rPr>
          <w:sz w:val="20"/>
          <w:szCs w:val="20"/>
          <w:color w:val="auto"/>
        </w:rPr>
      </w:pPr>
      <w:r>
        <w:rPr>
          <w:rFonts w:ascii="Arial" w:cs="Arial" w:eastAsia="Arial" w:hAnsi="Arial"/>
          <w:sz w:val="14"/>
          <w:szCs w:val="14"/>
          <w:color w:val="auto"/>
        </w:rPr>
        <w:t>Shell recognises its assets and liabilities relating to its interests in joint operations, including its share of assets held jointly and liabilities incurred jointly with other partners.</w:t>
      </w:r>
    </w:p>
    <w:p>
      <w:pPr>
        <w:sectPr>
          <w:pgSz w:w="11900" w:h="16838" w:orient="portrait"/>
          <w:cols w:equalWidth="0" w:num="1">
            <w:col w:w="11420"/>
          </w:cols>
          <w:pgMar w:left="240" w:top="459" w:right="239" w:bottom="1440" w:gutter="0" w:footer="0" w:header="0"/>
        </w:sectPr>
      </w:pPr>
    </w:p>
    <w:bookmarkStart w:id="115" w:name="page116"/>
    <w:bookmarkEnd w:id="1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300355</wp:posOffset>
            </wp:positionV>
            <wp:extent cx="3627755" cy="46291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3627755" cy="462915"/>
                    </a:xfrm>
                    <a:prstGeom prst="rect">
                      <a:avLst/>
                    </a:prstGeom>
                    <a:noFill/>
                  </pic:spPr>
                </pic:pic>
              </a:graphicData>
            </a:graphic>
          </wp:anchor>
        </w:drawing>
      </w:r>
    </w:p>
    <w:p>
      <w:pPr>
        <w:spacing w:after="0" w:line="200" w:lineRule="exact"/>
        <w:rPr>
          <w:sz w:val="20"/>
          <w:szCs w:val="20"/>
          <w:color w:val="auto"/>
        </w:rPr>
      </w:pP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419"/>
        </w:trPr>
        <w:tc>
          <w:tcPr>
            <w:tcW w:w="1320" w:type="dxa"/>
            <w:vAlign w:val="bottom"/>
            <w:shd w:val="clear" w:color="auto" w:fill="FF8B00"/>
          </w:tcPr>
          <w:p>
            <w:pPr>
              <w:spacing w:after="0"/>
              <w:rPr>
                <w:sz w:val="24"/>
                <w:szCs w:val="24"/>
                <w:color w:val="auto"/>
              </w:rPr>
            </w:pPr>
          </w:p>
        </w:tc>
        <w:tc>
          <w:tcPr>
            <w:tcW w:w="4400" w:type="dxa"/>
            <w:vAlign w:val="bottom"/>
            <w:shd w:val="clear" w:color="auto" w:fill="FF8B00"/>
          </w:tcPr>
          <w:p>
            <w:pPr>
              <w:spacing w:after="0"/>
              <w:rPr>
                <w:sz w:val="24"/>
                <w:szCs w:val="24"/>
                <w:color w:val="auto"/>
              </w:rPr>
            </w:pPr>
          </w:p>
        </w:tc>
      </w:tr>
      <w:tr>
        <w:trPr>
          <w:trHeight w:val="152"/>
        </w:trPr>
        <w:tc>
          <w:tcPr>
            <w:tcW w:w="1320" w:type="dxa"/>
            <w:vAlign w:val="bottom"/>
          </w:tcPr>
          <w:p>
            <w:pPr>
              <w:jc w:val="right"/>
              <w:ind w:right="746"/>
              <w:spacing w:after="0"/>
              <w:rPr>
                <w:sz w:val="20"/>
                <w:szCs w:val="20"/>
                <w:color w:val="auto"/>
              </w:rPr>
            </w:pPr>
            <w:r>
              <w:rPr>
                <w:rFonts w:ascii="Arial" w:cs="Arial" w:eastAsia="Arial" w:hAnsi="Arial"/>
                <w:sz w:val="11"/>
                <w:szCs w:val="11"/>
                <w:b w:val="1"/>
                <w:bCs w:val="1"/>
                <w:color w:val="333333"/>
              </w:rPr>
              <w:t>114</w:t>
            </w:r>
          </w:p>
        </w:tc>
        <w:tc>
          <w:tcPr>
            <w:tcW w:w="4400" w:type="dxa"/>
            <w:vAlign w:val="bottom"/>
          </w:tcPr>
          <w:p>
            <w:pPr>
              <w:ind w:left="820"/>
              <w:spacing w:after="0"/>
              <w:rPr>
                <w:sz w:val="20"/>
                <w:szCs w:val="20"/>
                <w:color w:val="auto"/>
              </w:rPr>
            </w:pPr>
            <w:r>
              <w:rPr>
                <w:rFonts w:ascii="Arial" w:cs="Arial" w:eastAsia="Arial" w:hAnsi="Arial"/>
                <w:sz w:val="13"/>
                <w:szCs w:val="13"/>
                <w:color w:val="333333"/>
              </w:rPr>
              <w:t>FINANCIAL STATEMENTS AND SUPPLEMENTS</w:t>
            </w:r>
          </w:p>
        </w:tc>
      </w:tr>
    </w:tbl>
    <w:p>
      <w:pPr>
        <w:spacing w:after="0" w:line="155" w:lineRule="exact"/>
        <w:rPr>
          <w:sz w:val="20"/>
          <w:szCs w:val="20"/>
          <w:color w:val="auto"/>
        </w:rPr>
      </w:pPr>
    </w:p>
    <w:p>
      <w:pPr>
        <w:jc w:val="right"/>
        <w:spacing w:after="0"/>
        <w:tabs>
          <w:tab w:leader="none" w:pos="2380" w:val="left"/>
        </w:tabs>
        <w:rPr>
          <w:sz w:val="20"/>
          <w:szCs w:val="20"/>
          <w:color w:val="auto"/>
        </w:rPr>
      </w:pPr>
      <w:r>
        <w:rPr>
          <w:rFonts w:ascii="Arial" w:cs="Arial" w:eastAsia="Arial" w:hAnsi="Arial"/>
          <w:sz w:val="11"/>
          <w:szCs w:val="11"/>
          <w:color w:val="auto"/>
        </w:rPr>
        <w:t>CONSOLIDATED FINANCIAL STATEMENTS</w:t>
      </w:r>
      <w:r>
        <w:rPr>
          <w:sz w:val="20"/>
          <w:szCs w:val="20"/>
          <w:color w:val="auto"/>
        </w:rPr>
        <w:tab/>
      </w:r>
      <w:r>
        <w:rPr>
          <w:rFonts w:ascii="Arial" w:cs="Arial" w:eastAsia="Arial" w:hAnsi="Arial"/>
          <w:sz w:val="10"/>
          <w:szCs w:val="10"/>
          <w:color w:val="auto"/>
        </w:rPr>
        <w:t>SHELL ANNUAL REPORT AND FORM 20-F 2014</w:t>
      </w:r>
    </w:p>
    <w:p>
      <w:pPr>
        <w:spacing w:after="0" w:line="6" w:lineRule="exact"/>
        <w:rPr>
          <w:sz w:val="20"/>
          <w:szCs w:val="20"/>
          <w:color w:val="auto"/>
        </w:rPr>
      </w:pPr>
    </w:p>
    <w:p>
      <w:pPr>
        <w:spacing w:after="0"/>
        <w:rPr>
          <w:sz w:val="20"/>
          <w:szCs w:val="20"/>
          <w:color w:val="auto"/>
        </w:rPr>
      </w:pPr>
      <w:r>
        <w:rPr>
          <w:rFonts w:ascii="Arial" w:cs="Arial" w:eastAsia="Arial" w:hAnsi="Arial"/>
          <w:sz w:val="11"/>
          <w:szCs w:val="11"/>
          <w:color w:val="auto"/>
        </w:rPr>
        <w:t>[Note 2 continued]</w:t>
      </w:r>
    </w:p>
    <w:p>
      <w:pPr>
        <w:spacing w:after="0"/>
        <w:rPr>
          <w:sz w:val="20"/>
          <w:szCs w:val="20"/>
          <w:color w:val="auto"/>
        </w:rPr>
      </w:pPr>
      <w:r>
        <w:rPr>
          <w:rFonts w:ascii="Arial" w:cs="Arial" w:eastAsia="Arial" w:hAnsi="Arial"/>
          <w:sz w:val="18"/>
          <w:szCs w:val="18"/>
          <w:color w:val="auto"/>
        </w:rPr>
        <w:t>Inventories</w:t>
      </w:r>
    </w:p>
    <w:p>
      <w:pPr>
        <w:spacing w:after="0" w:line="1" w:lineRule="exact"/>
        <w:rPr>
          <w:sz w:val="20"/>
          <w:szCs w:val="20"/>
          <w:color w:val="auto"/>
        </w:rPr>
      </w:pPr>
    </w:p>
    <w:p>
      <w:pPr>
        <w:ind w:right="40"/>
        <w:spacing w:after="0" w:line="258" w:lineRule="auto"/>
        <w:rPr>
          <w:sz w:val="20"/>
          <w:szCs w:val="20"/>
          <w:color w:val="auto"/>
        </w:rPr>
      </w:pPr>
      <w:r>
        <w:rPr>
          <w:rFonts w:ascii="Arial" w:cs="Arial" w:eastAsia="Arial" w:hAnsi="Arial"/>
          <w:sz w:val="14"/>
          <w:szCs w:val="14"/>
          <w:color w:val="auto"/>
        </w:rPr>
        <w:t>Inventories are stated at cost or net realisable value, whichever is lower. Cost comprises direct purchase costs (including transportation), cost of production and manufacturing and taxes, and is determined using the first-in, first-out (FIFO) method for oil and chemicals and by the weighted average cost method for materials.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auto"/>
        </w:rPr>
        <w:t>Taxation</w:t>
      </w:r>
    </w:p>
    <w:p>
      <w:pPr>
        <w:spacing w:after="0" w:line="1" w:lineRule="exact"/>
        <w:rPr>
          <w:sz w:val="20"/>
          <w:szCs w:val="20"/>
          <w:color w:val="auto"/>
        </w:rPr>
      </w:pPr>
    </w:p>
    <w:p>
      <w:pPr>
        <w:ind w:right="340"/>
        <w:spacing w:after="0" w:line="258" w:lineRule="auto"/>
        <w:rPr>
          <w:sz w:val="20"/>
          <w:szCs w:val="20"/>
          <w:color w:val="auto"/>
        </w:rPr>
      </w:pPr>
      <w:r>
        <w:rPr>
          <w:rFonts w:ascii="Arial" w:cs="Arial" w:eastAsia="Arial" w:hAnsi="Arial"/>
          <w:sz w:val="14"/>
          <w:szCs w:val="14"/>
          <w:color w:val="auto"/>
        </w:rPr>
        <w:t>The charge for current tax is calculated based on the income reported by the Company and its subsidiaries, as adjusted for items that are non-taxable or disallowed and using rates that have been enacted or substantively enacted by the balance sheet date.</w:t>
      </w:r>
    </w:p>
    <w:p>
      <w:pPr>
        <w:spacing w:after="0" w:line="154" w:lineRule="exact"/>
        <w:rPr>
          <w:sz w:val="20"/>
          <w:szCs w:val="20"/>
          <w:color w:val="auto"/>
        </w:rPr>
      </w:pPr>
    </w:p>
    <w:p>
      <w:pPr>
        <w:ind w:right="520"/>
        <w:spacing w:after="0" w:line="258" w:lineRule="auto"/>
        <w:rPr>
          <w:sz w:val="20"/>
          <w:szCs w:val="20"/>
          <w:color w:val="auto"/>
        </w:rPr>
      </w:pPr>
      <w:r>
        <w:rPr>
          <w:rFonts w:ascii="Arial" w:cs="Arial" w:eastAsia="Arial" w:hAnsi="Arial"/>
          <w:sz w:val="14"/>
          <w:szCs w:val="14"/>
          <w:color w:val="auto"/>
        </w:rPr>
        <w:t>Deferred taxation is determined, using the liability method, on temporary differences arising between the tax bases of assets and liabilities and their carrying amounts in the Consolidated Balance Sheet and on unused tax losses and credits carried forward.</w:t>
      </w:r>
    </w:p>
    <w:p>
      <w:pPr>
        <w:spacing w:after="0" w:line="154" w:lineRule="exact"/>
        <w:rPr>
          <w:sz w:val="20"/>
          <w:szCs w:val="20"/>
          <w:color w:val="auto"/>
        </w:rPr>
      </w:pPr>
    </w:p>
    <w:p>
      <w:pPr>
        <w:ind w:right="80"/>
        <w:spacing w:after="0" w:line="247" w:lineRule="auto"/>
        <w:rPr>
          <w:sz w:val="20"/>
          <w:szCs w:val="20"/>
          <w:color w:val="auto"/>
        </w:rPr>
      </w:pPr>
      <w:r>
        <w:rPr>
          <w:rFonts w:ascii="Arial" w:cs="Arial" w:eastAsia="Arial" w:hAnsi="Arial"/>
          <w:sz w:val="14"/>
          <w:szCs w:val="14"/>
          <w:color w:val="auto"/>
        </w:rPr>
        <w:t>Deferred tax assets and liabilities are calculated using the enacted or substantively enacted rates that are expected to apply when the asset or liability is recovered. They are not recognised where they arise on the initial recognition of goodwill or of an asset or liability in a transaction (other than in a business combination) that, at the time of the transaction, affects neither accounting nor taxable profit, or in respect of taxes on possible future distributions of retained earnings of subsidiaries, joint ventures and associates where the timing of the distribution can be controlled by Shell and it is probable that the retained earnings will be reinvested by the entities concerned.</w:t>
      </w:r>
    </w:p>
    <w:p>
      <w:pPr>
        <w:spacing w:after="0" w:line="175" w:lineRule="exact"/>
        <w:rPr>
          <w:sz w:val="20"/>
          <w:szCs w:val="20"/>
          <w:color w:val="auto"/>
        </w:rPr>
      </w:pPr>
    </w:p>
    <w:p>
      <w:pPr>
        <w:ind w:right="20"/>
        <w:spacing w:after="0" w:line="258" w:lineRule="auto"/>
        <w:rPr>
          <w:sz w:val="20"/>
          <w:szCs w:val="20"/>
          <w:color w:val="auto"/>
        </w:rPr>
      </w:pPr>
      <w:r>
        <w:rPr>
          <w:rFonts w:ascii="Arial" w:cs="Arial" w:eastAsia="Arial" w:hAnsi="Arial"/>
          <w:sz w:val="14"/>
          <w:szCs w:val="14"/>
          <w:color w:val="auto"/>
        </w:rPr>
        <w:t>Deferred tax assets are recognised to the extent that it is probable that future taxable profits will be available against which the deductible temporary differences, unused tax losses and credits carried forward can be utilised.</w:t>
      </w:r>
    </w:p>
    <w:p>
      <w:pPr>
        <w:spacing w:after="0" w:line="154" w:lineRule="exact"/>
        <w:rPr>
          <w:sz w:val="20"/>
          <w:szCs w:val="20"/>
          <w:color w:val="auto"/>
        </w:rPr>
      </w:pPr>
    </w:p>
    <w:p>
      <w:pPr>
        <w:ind w:right="180"/>
        <w:spacing w:after="0" w:line="250" w:lineRule="auto"/>
        <w:rPr>
          <w:sz w:val="20"/>
          <w:szCs w:val="20"/>
          <w:color w:val="auto"/>
        </w:rPr>
      </w:pPr>
      <w:r>
        <w:rPr>
          <w:rFonts w:ascii="Arial" w:cs="Arial" w:eastAsia="Arial" w:hAnsi="Arial"/>
          <w:sz w:val="14"/>
          <w:szCs w:val="14"/>
          <w:color w:val="auto"/>
        </w:rPr>
        <w:t>Income taxes are recognised in income except when they relate to items recognised in other comprehensive income, in which case the tax is recognised in other comprehensive income. Income tax assets and liabilities are presented separately in the Consolidated Balance Sheet except where there is a right of set-off within fiscal jurisdictions and an intention to settle such balances on a net basis.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color w:val="auto"/>
        </w:rPr>
        <w:t>Retirement benefits</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Benefits in the form of retirement pensions and healthcare and life insurance are provided to certain employees and retirees under defined benefit and defined contribution plans.</w:t>
      </w:r>
    </w:p>
    <w:p>
      <w:pPr>
        <w:spacing w:after="0" w:line="190" w:lineRule="exact"/>
        <w:rPr>
          <w:sz w:val="20"/>
          <w:szCs w:val="20"/>
          <w:color w:val="auto"/>
        </w:rPr>
      </w:pPr>
    </w:p>
    <w:p>
      <w:pPr>
        <w:spacing w:after="0" w:line="247" w:lineRule="auto"/>
        <w:rPr>
          <w:sz w:val="20"/>
          <w:szCs w:val="20"/>
          <w:color w:val="auto"/>
        </w:rPr>
      </w:pPr>
      <w:r>
        <w:rPr>
          <w:rFonts w:ascii="Arial" w:cs="Arial" w:eastAsia="Arial" w:hAnsi="Arial"/>
          <w:sz w:val="14"/>
          <w:szCs w:val="14"/>
          <w:color w:val="auto"/>
        </w:rPr>
        <w:t>Obligations under defined benefit plans are calculated annually by independent actuaries using the projected unit credit method, which takes into account employees’ years of service and, for pensions, average or final pensionable remuneration, and are discounted to their present value using interest rates of high-quality corporate bonds denominated in the currency in which the benefits will be paid and of a duration consistent with the plan obligations. Where plans are funded, payments are made to independently managed trusts; assets held by those trusts are measured at fair value.</w:t>
      </w:r>
    </w:p>
    <w:p>
      <w:pPr>
        <w:spacing w:after="0" w:line="161" w:lineRule="exact"/>
        <w:rPr>
          <w:sz w:val="20"/>
          <w:szCs w:val="20"/>
          <w:color w:val="auto"/>
        </w:rPr>
      </w:pPr>
    </w:p>
    <w:p>
      <w:pPr>
        <w:ind w:right="60"/>
        <w:spacing w:after="0" w:line="244" w:lineRule="auto"/>
        <w:rPr>
          <w:sz w:val="20"/>
          <w:szCs w:val="20"/>
          <w:color w:val="auto"/>
        </w:rPr>
      </w:pPr>
      <w:r>
        <w:rPr>
          <w:rFonts w:ascii="Arial" w:cs="Arial" w:eastAsia="Arial" w:hAnsi="Arial"/>
          <w:sz w:val="14"/>
          <w:szCs w:val="14"/>
          <w:color w:val="auto"/>
        </w:rPr>
        <w:t>The amounts recognised in income in respect of defined benefit plans mainly comprise service cost and interest. Service cost comprises principally the increase in the present value of the obligation for benefits resulting from employee service during the period (current service cost) and also amounts relating to past service and settlements or amendments of plans. Plan amendments are changes to benefits and are generally recognised when all legal and regulatory approvals have been received and the effects have been communicated to members. Interest is calculated using the discount rate on the net defined benefit liability or asset at the beginning of each year for each plan. Remeasurements of the net defined benefit liability or asset resulting from actuarial gains and losses and the return on plan assets excluding the amount recognised in income are recognised in other comprehensive income.</w:t>
      </w:r>
    </w:p>
    <w:p>
      <w:pPr>
        <w:spacing w:after="0" w:line="166" w:lineRule="exact"/>
        <w:rPr>
          <w:sz w:val="20"/>
          <w:szCs w:val="20"/>
          <w:color w:val="auto"/>
        </w:rPr>
      </w:pPr>
    </w:p>
    <w:p>
      <w:pPr>
        <w:spacing w:after="0"/>
        <w:rPr>
          <w:sz w:val="20"/>
          <w:szCs w:val="20"/>
          <w:color w:val="auto"/>
        </w:rPr>
      </w:pPr>
      <w:r>
        <w:rPr>
          <w:rFonts w:ascii="Arial" w:cs="Arial" w:eastAsia="Arial" w:hAnsi="Arial"/>
          <w:sz w:val="14"/>
          <w:szCs w:val="14"/>
          <w:color w:val="auto"/>
        </w:rPr>
        <w:t>For defined contribution plans, pension expense represents the amount of employer contributions payable for the period.</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Provisions</w:t>
      </w:r>
    </w:p>
    <w:p>
      <w:pPr>
        <w:spacing w:after="0" w:line="1" w:lineRule="exact"/>
        <w:rPr>
          <w:sz w:val="20"/>
          <w:szCs w:val="20"/>
          <w:color w:val="auto"/>
        </w:rPr>
      </w:pPr>
    </w:p>
    <w:p>
      <w:pPr>
        <w:jc w:val="both"/>
        <w:ind w:right="660"/>
        <w:spacing w:after="0" w:line="250" w:lineRule="auto"/>
        <w:rPr>
          <w:sz w:val="20"/>
          <w:szCs w:val="20"/>
          <w:color w:val="auto"/>
        </w:rPr>
      </w:pPr>
      <w:r>
        <w:rPr>
          <w:rFonts w:ascii="Arial" w:cs="Arial" w:eastAsia="Arial" w:hAnsi="Arial"/>
          <w:sz w:val="14"/>
          <w:szCs w:val="14"/>
          <w:color w:val="auto"/>
        </w:rPr>
        <w:t>Provisions are recognised at the balance sheet date at management’s best estimate of the expenditure required to settle the present obligation. Non-current amounts are discounted at a rate intended to reflect the time value of money. Specific details for decommissioning and restoration costs are described below. The carrying amounts of provisions are regularly reviewed and adjusted for new facts or changes in law or technology.</w:t>
      </w:r>
    </w:p>
    <w:p>
      <w:pPr>
        <w:spacing w:after="0" w:line="159" w:lineRule="exact"/>
        <w:rPr>
          <w:sz w:val="20"/>
          <w:szCs w:val="20"/>
          <w:color w:val="auto"/>
        </w:rPr>
      </w:pPr>
    </w:p>
    <w:p>
      <w:pPr>
        <w:ind w:right="60"/>
        <w:spacing w:after="0" w:line="245" w:lineRule="auto"/>
        <w:rPr>
          <w:sz w:val="20"/>
          <w:szCs w:val="20"/>
          <w:color w:val="auto"/>
        </w:rPr>
      </w:pPr>
      <w:r>
        <w:rPr>
          <w:rFonts w:ascii="Arial" w:cs="Arial" w:eastAsia="Arial" w:hAnsi="Arial"/>
          <w:sz w:val="14"/>
          <w:szCs w:val="14"/>
          <w:color w:val="auto"/>
        </w:rPr>
        <w:t>Provisions for decommissioning and restoration costs, which arise principally in connection with hydrocarbon production facilities and pipelines, are measured on the basis of current requirements, technology and price levels; the present value is calculated using amounts discounted over the useful economic life of the assets. The liability is recognised (together with a corresponding amount as part of the related property, plant and equipment) once an obligation crystallises in the period when a reasonable estimate can be made. The effects of changes resulting from revisions to the timing or the amount of the original estimate of the provision are reflected on a prospective basis, generally by adjustment to the carrying amount of the related property, plant and equipment.</w:t>
      </w:r>
    </w:p>
    <w:p>
      <w:pPr>
        <w:spacing w:after="0" w:line="164" w:lineRule="exact"/>
        <w:rPr>
          <w:sz w:val="20"/>
          <w:szCs w:val="20"/>
          <w:color w:val="auto"/>
        </w:rPr>
      </w:pPr>
    </w:p>
    <w:p>
      <w:pPr>
        <w:ind w:right="40"/>
        <w:spacing w:after="0" w:line="250" w:lineRule="auto"/>
        <w:rPr>
          <w:sz w:val="20"/>
          <w:szCs w:val="20"/>
          <w:color w:val="auto"/>
        </w:rPr>
      </w:pPr>
      <w:r>
        <w:rPr>
          <w:rFonts w:ascii="Arial" w:cs="Arial" w:eastAsia="Arial" w:hAnsi="Arial"/>
          <w:sz w:val="14"/>
          <w:szCs w:val="14"/>
          <w:color w:val="auto"/>
        </w:rPr>
        <w:t>Other provisions are recognised in income in the period in which an obligation arises and the amount can be reasonably estimated. Provisions are measured based on current legal requirements and existing technology where applicable. Recognition of any joint and several liability is based on management’s best estimate of the final pro-rata share of the liability. Provisions are determined independently of expected insurance recoveries. Recoveries are recognised when virtually certain of realisation.</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Financial instruments and other derivative contracts</w:t>
      </w:r>
    </w:p>
    <w:p>
      <w:pPr>
        <w:spacing w:after="0" w:line="1" w:lineRule="exact"/>
        <w:rPr>
          <w:sz w:val="20"/>
          <w:szCs w:val="20"/>
          <w:color w:val="auto"/>
        </w:rPr>
      </w:pPr>
    </w:p>
    <w:p>
      <w:pPr>
        <w:ind w:right="580"/>
        <w:spacing w:after="0" w:line="258" w:lineRule="auto"/>
        <w:rPr>
          <w:sz w:val="20"/>
          <w:szCs w:val="20"/>
          <w:color w:val="auto"/>
        </w:rPr>
      </w:pPr>
      <w:r>
        <w:rPr>
          <w:rFonts w:ascii="Arial" w:cs="Arial" w:eastAsia="Arial" w:hAnsi="Arial"/>
          <w:sz w:val="14"/>
          <w:szCs w:val="14"/>
          <w:color w:val="auto"/>
        </w:rPr>
        <w:t>Financial assets and liabilities are presented separately in the Consolidated Balance Sheet except where unconditional offsetting of outstanding balances is allowed under offsetting, master netting and similar arrangements with counterparties and net settlement is regularly applied.</w:t>
      </w:r>
    </w:p>
    <w:p>
      <w:pPr>
        <w:sectPr>
          <w:pgSz w:w="11900" w:h="16838" w:orient="portrait"/>
          <w:cols w:equalWidth="0" w:num="1">
            <w:col w:w="11420"/>
          </w:cols>
          <w:pgMar w:left="240" w:top="459" w:right="239" w:bottom="1440" w:gutter="0" w:footer="0" w:header="0"/>
        </w:sectPr>
      </w:pPr>
    </w:p>
    <w:bookmarkStart w:id="116" w:name="page117"/>
    <w:bookmarkEnd w:id="1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3555365</wp:posOffset>
            </wp:positionH>
            <wp:positionV relativeFrom="paragraph">
              <wp:posOffset>300355</wp:posOffset>
            </wp:positionV>
            <wp:extent cx="3696335" cy="46291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3696335" cy="4629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tbl>
      <w:tblPr>
        <w:tblLayout w:type="fixed"/>
        <w:tblInd w:w="6440" w:type="dxa"/>
        <w:tblCellMar>
          <w:top w:w="0" w:type="dxa"/>
          <w:left w:w="0" w:type="dxa"/>
          <w:bottom w:w="0" w:type="dxa"/>
          <w:right w:w="0" w:type="dxa"/>
        </w:tblCellMar>
      </w:tblPr>
      <w:tr>
        <w:trPr>
          <w:trHeight w:val="161"/>
        </w:trPr>
        <w:tc>
          <w:tcPr>
            <w:tcW w:w="3520" w:type="dxa"/>
            <w:vAlign w:val="bottom"/>
          </w:tcPr>
          <w:p>
            <w:pPr>
              <w:spacing w:after="0"/>
              <w:rPr>
                <w:sz w:val="20"/>
                <w:szCs w:val="20"/>
                <w:color w:val="auto"/>
              </w:rPr>
            </w:pPr>
            <w:r>
              <w:rPr>
                <w:rFonts w:ascii="Arial" w:cs="Arial" w:eastAsia="Arial" w:hAnsi="Arial"/>
                <w:sz w:val="13"/>
                <w:szCs w:val="13"/>
                <w:color w:val="333333"/>
              </w:rPr>
              <w:t>FINANCIAL STATEMENTS AND SUPPLEMENTS</w:t>
            </w:r>
          </w:p>
        </w:tc>
        <w:tc>
          <w:tcPr>
            <w:tcW w:w="920" w:type="dxa"/>
            <w:vAlign w:val="bottom"/>
          </w:tcPr>
          <w:p>
            <w:pPr>
              <w:jc w:val="right"/>
              <w:spacing w:after="0"/>
              <w:rPr>
                <w:sz w:val="20"/>
                <w:szCs w:val="20"/>
                <w:color w:val="auto"/>
              </w:rPr>
            </w:pPr>
            <w:r>
              <w:rPr>
                <w:rFonts w:ascii="Arial" w:cs="Arial" w:eastAsia="Arial" w:hAnsi="Arial"/>
                <w:sz w:val="11"/>
                <w:szCs w:val="11"/>
                <w:b w:val="1"/>
                <w:bCs w:val="1"/>
                <w:color w:val="333333"/>
              </w:rPr>
              <w:t>115</w:t>
            </w:r>
          </w:p>
        </w:tc>
      </w:tr>
    </w:tbl>
    <w:p>
      <w:pPr>
        <w:spacing w:after="0" w:line="161" w:lineRule="exact"/>
        <w:rPr>
          <w:sz w:val="20"/>
          <w:szCs w:val="20"/>
          <w:color w:val="auto"/>
        </w:rPr>
      </w:pPr>
    </w:p>
    <w:p>
      <w:pPr>
        <w:spacing w:after="0"/>
        <w:tabs>
          <w:tab w:leader="none" w:pos="6420" w:val="left"/>
        </w:tabs>
        <w:rPr>
          <w:sz w:val="20"/>
          <w:szCs w:val="20"/>
          <w:color w:val="auto"/>
        </w:rPr>
      </w:pPr>
      <w:r>
        <w:rPr>
          <w:rFonts w:ascii="Arial" w:cs="Arial" w:eastAsia="Arial" w:hAnsi="Arial"/>
          <w:sz w:val="11"/>
          <w:szCs w:val="11"/>
          <w:color w:val="auto"/>
        </w:rPr>
        <w:t>SHELL ANNUAL REPORT AND FORM 20-F 2014</w:t>
      </w:r>
      <w:r>
        <w:rPr>
          <w:sz w:val="20"/>
          <w:szCs w:val="20"/>
          <w:color w:val="auto"/>
        </w:rPr>
        <w:tab/>
      </w:r>
      <w:r>
        <w:rPr>
          <w:rFonts w:ascii="Arial" w:cs="Arial" w:eastAsia="Arial" w:hAnsi="Arial"/>
          <w:sz w:val="10"/>
          <w:szCs w:val="10"/>
          <w:color w:val="auto"/>
        </w:rPr>
        <w:t>CONSOLIDATED FINANCIAL STATEMENTS</w:t>
      </w:r>
    </w:p>
    <w:p>
      <w:pPr>
        <w:spacing w:after="0" w:line="6" w:lineRule="exact"/>
        <w:rPr>
          <w:sz w:val="20"/>
          <w:szCs w:val="20"/>
          <w:color w:val="auto"/>
        </w:rPr>
      </w:pPr>
    </w:p>
    <w:p>
      <w:pPr>
        <w:spacing w:after="0"/>
        <w:rPr>
          <w:sz w:val="20"/>
          <w:szCs w:val="20"/>
          <w:color w:val="auto"/>
        </w:rPr>
      </w:pPr>
      <w:r>
        <w:rPr>
          <w:rFonts w:ascii="Arial" w:cs="Arial" w:eastAsia="Arial" w:hAnsi="Arial"/>
          <w:sz w:val="13"/>
          <w:szCs w:val="13"/>
          <w:color w:val="auto"/>
        </w:rPr>
        <w:t>FINANCIAL ASSETS</w:t>
      </w:r>
    </w:p>
    <w:p>
      <w:pPr>
        <w:spacing w:after="0" w:line="185" w:lineRule="exact"/>
        <w:rPr>
          <w:sz w:val="20"/>
          <w:szCs w:val="20"/>
          <w:color w:val="auto"/>
        </w:rPr>
      </w:pPr>
    </w:p>
    <w:p>
      <w:pPr>
        <w:spacing w:after="0"/>
        <w:rPr>
          <w:sz w:val="20"/>
          <w:szCs w:val="20"/>
          <w:color w:val="auto"/>
        </w:rPr>
      </w:pPr>
      <w:r>
        <w:rPr>
          <w:rFonts w:ascii="Arial" w:cs="Arial" w:eastAsia="Arial" w:hAnsi="Arial"/>
          <w:sz w:val="14"/>
          <w:szCs w:val="14"/>
          <w:color w:val="auto"/>
        </w:rPr>
        <w:t>Investments in securities</w:t>
      </w:r>
    </w:p>
    <w:p>
      <w:pPr>
        <w:spacing w:after="0" w:line="1" w:lineRule="exact"/>
        <w:rPr>
          <w:sz w:val="20"/>
          <w:szCs w:val="20"/>
          <w:color w:val="auto"/>
        </w:rPr>
      </w:pPr>
    </w:p>
    <w:p>
      <w:pPr>
        <w:ind w:right="40"/>
        <w:spacing w:after="0" w:line="247" w:lineRule="auto"/>
        <w:rPr>
          <w:sz w:val="20"/>
          <w:szCs w:val="20"/>
          <w:color w:val="auto"/>
        </w:rPr>
      </w:pPr>
      <w:r>
        <w:rPr>
          <w:rFonts w:ascii="Arial" w:cs="Arial" w:eastAsia="Arial" w:hAnsi="Arial"/>
          <w:sz w:val="14"/>
          <w:szCs w:val="14"/>
          <w:color w:val="auto"/>
        </w:rPr>
        <w:t>Investments in securities (also referred to as “securities”) comprise equity and debt securities classified on initial recognition as available-for-sale and are carried at fair value, except where their fair value cannot be measured reliably, in which case they are carried at cost, less any impairment. Unrealised holding gains and losses other than impairments are recognised in other comprehensive income, except for translation differences arising on foreign currency debt securities, which are recognised in income. On maturity or disposal, net gains and losses previously deferred in accumulated other comprehensive income are recognised in income.</w:t>
      </w:r>
    </w:p>
    <w:p>
      <w:pPr>
        <w:spacing w:after="0" w:line="161" w:lineRule="exact"/>
        <w:rPr>
          <w:sz w:val="20"/>
          <w:szCs w:val="20"/>
          <w:color w:val="auto"/>
        </w:rPr>
      </w:pPr>
    </w:p>
    <w:p>
      <w:pPr>
        <w:spacing w:after="0"/>
        <w:rPr>
          <w:sz w:val="20"/>
          <w:szCs w:val="20"/>
          <w:color w:val="auto"/>
        </w:rPr>
      </w:pPr>
      <w:r>
        <w:rPr>
          <w:rFonts w:ascii="Arial" w:cs="Arial" w:eastAsia="Arial" w:hAnsi="Arial"/>
          <w:sz w:val="14"/>
          <w:szCs w:val="14"/>
          <w:color w:val="auto"/>
        </w:rPr>
        <w:t>Interest income on debt securities is recognised in income using the effective interest method. Dividends on equity securities are recognised in income when receivable.</w:t>
      </w:r>
    </w:p>
    <w:p>
      <w:pPr>
        <w:spacing w:after="0" w:line="177" w:lineRule="exact"/>
        <w:rPr>
          <w:sz w:val="20"/>
          <w:szCs w:val="20"/>
          <w:color w:val="auto"/>
        </w:rPr>
      </w:pPr>
    </w:p>
    <w:p>
      <w:pPr>
        <w:spacing w:after="0"/>
        <w:rPr>
          <w:sz w:val="20"/>
          <w:szCs w:val="20"/>
          <w:color w:val="auto"/>
        </w:rPr>
      </w:pPr>
      <w:r>
        <w:rPr>
          <w:rFonts w:ascii="Arial" w:cs="Arial" w:eastAsia="Arial" w:hAnsi="Arial"/>
          <w:sz w:val="14"/>
          <w:szCs w:val="14"/>
          <w:color w:val="auto"/>
        </w:rPr>
        <w:t>Cash and cash equivalents</w:t>
      </w:r>
    </w:p>
    <w:p>
      <w:pPr>
        <w:spacing w:after="0" w:line="1" w:lineRule="exact"/>
        <w:rPr>
          <w:sz w:val="20"/>
          <w:szCs w:val="20"/>
          <w:color w:val="auto"/>
        </w:rPr>
      </w:pPr>
    </w:p>
    <w:p>
      <w:pPr>
        <w:ind w:right="320"/>
        <w:spacing w:after="0" w:line="258" w:lineRule="auto"/>
        <w:rPr>
          <w:sz w:val="20"/>
          <w:szCs w:val="20"/>
          <w:color w:val="auto"/>
        </w:rPr>
      </w:pPr>
      <w:r>
        <w:rPr>
          <w:rFonts w:ascii="Arial" w:cs="Arial" w:eastAsia="Arial" w:hAnsi="Arial"/>
          <w:sz w:val="14"/>
          <w:szCs w:val="14"/>
          <w:color w:val="auto"/>
        </w:rPr>
        <w:t>Cash and cash equivalents comprise cash at bank and in hand, including offsetting bank overdrafts, short-term bank deposits, money market funds, reverse repos and similar instruments that have a maturity of three months or less at the date of acquisition.</w:t>
      </w:r>
    </w:p>
    <w:p>
      <w:pPr>
        <w:spacing w:after="0" w:line="167" w:lineRule="exact"/>
        <w:rPr>
          <w:sz w:val="20"/>
          <w:szCs w:val="20"/>
          <w:color w:val="auto"/>
        </w:rPr>
      </w:pPr>
    </w:p>
    <w:p>
      <w:pPr>
        <w:spacing w:after="0"/>
        <w:rPr>
          <w:sz w:val="20"/>
          <w:szCs w:val="20"/>
          <w:color w:val="auto"/>
        </w:rPr>
      </w:pPr>
      <w:r>
        <w:rPr>
          <w:rFonts w:ascii="Arial" w:cs="Arial" w:eastAsia="Arial" w:hAnsi="Arial"/>
          <w:sz w:val="14"/>
          <w:szCs w:val="14"/>
          <w:color w:val="auto"/>
        </w:rPr>
        <w:t>Trade receivables</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Trade receivables are recognised initially at fair value based on amounts exchanged and subsequently at amortised cost less any impairment.</w:t>
      </w:r>
    </w:p>
    <w:p>
      <w:pPr>
        <w:spacing w:after="0" w:line="162" w:lineRule="exact"/>
        <w:rPr>
          <w:sz w:val="20"/>
          <w:szCs w:val="20"/>
          <w:color w:val="auto"/>
        </w:rPr>
      </w:pPr>
    </w:p>
    <w:p>
      <w:pPr>
        <w:spacing w:after="0"/>
        <w:rPr>
          <w:sz w:val="20"/>
          <w:szCs w:val="20"/>
          <w:color w:val="auto"/>
        </w:rPr>
      </w:pPr>
      <w:r>
        <w:rPr>
          <w:rFonts w:ascii="Arial" w:cs="Arial" w:eastAsia="Arial" w:hAnsi="Arial"/>
          <w:sz w:val="13"/>
          <w:szCs w:val="13"/>
          <w:color w:val="auto"/>
        </w:rPr>
        <w:t>FINANCIAL LIABILITIES</w:t>
      </w:r>
    </w:p>
    <w:p>
      <w:pPr>
        <w:ind w:right="20"/>
        <w:spacing w:after="0" w:line="258" w:lineRule="auto"/>
        <w:rPr>
          <w:sz w:val="20"/>
          <w:szCs w:val="20"/>
          <w:color w:val="auto"/>
        </w:rPr>
      </w:pPr>
      <w:r>
        <w:rPr>
          <w:rFonts w:ascii="Arial" w:cs="Arial" w:eastAsia="Arial" w:hAnsi="Arial"/>
          <w:sz w:val="14"/>
          <w:szCs w:val="14"/>
          <w:color w:val="auto"/>
        </w:rPr>
        <w:t>Debt and trade payables are recognised initially at fair value based on amounts exchanged, net of transaction costs, and subsequently at amortised cost, except for fixed rate debt subject to fair value hedging which is remeasured for the hedged risk (see “Derivative contracts”).</w:t>
      </w:r>
    </w:p>
    <w:p>
      <w:pPr>
        <w:spacing w:after="0" w:line="154" w:lineRule="exact"/>
        <w:rPr>
          <w:sz w:val="20"/>
          <w:szCs w:val="20"/>
          <w:color w:val="auto"/>
        </w:rPr>
      </w:pPr>
    </w:p>
    <w:p>
      <w:pPr>
        <w:spacing w:after="0"/>
        <w:rPr>
          <w:sz w:val="20"/>
          <w:szCs w:val="20"/>
          <w:color w:val="auto"/>
        </w:rPr>
      </w:pPr>
      <w:r>
        <w:rPr>
          <w:rFonts w:ascii="Arial" w:cs="Arial" w:eastAsia="Arial" w:hAnsi="Arial"/>
          <w:sz w:val="14"/>
          <w:szCs w:val="14"/>
          <w:color w:val="auto"/>
        </w:rPr>
        <w:t>Interest expense on debt is accounted for using the effective interest method and, other than interest capitalised, is recognised in income.</w:t>
      </w:r>
    </w:p>
    <w:p>
      <w:pPr>
        <w:spacing w:after="0" w:line="176" w:lineRule="exact"/>
        <w:rPr>
          <w:sz w:val="20"/>
          <w:szCs w:val="20"/>
          <w:color w:val="auto"/>
        </w:rPr>
      </w:pPr>
    </w:p>
    <w:p>
      <w:pPr>
        <w:spacing w:after="0"/>
        <w:rPr>
          <w:sz w:val="20"/>
          <w:szCs w:val="20"/>
          <w:color w:val="auto"/>
        </w:rPr>
      </w:pPr>
      <w:r>
        <w:rPr>
          <w:rFonts w:ascii="Arial" w:cs="Arial" w:eastAsia="Arial" w:hAnsi="Arial"/>
          <w:sz w:val="13"/>
          <w:szCs w:val="13"/>
          <w:color w:val="auto"/>
        </w:rPr>
        <w:t>DERIVATIVE CONTRACTS</w:t>
      </w:r>
    </w:p>
    <w:p>
      <w:pPr>
        <w:ind w:right="300"/>
        <w:spacing w:after="0" w:line="258" w:lineRule="auto"/>
        <w:rPr>
          <w:sz w:val="20"/>
          <w:szCs w:val="20"/>
          <w:color w:val="auto"/>
        </w:rPr>
      </w:pPr>
      <w:r>
        <w:rPr>
          <w:rFonts w:ascii="Arial" w:cs="Arial" w:eastAsia="Arial" w:hAnsi="Arial"/>
          <w:sz w:val="14"/>
          <w:szCs w:val="14"/>
          <w:color w:val="auto"/>
        </w:rPr>
        <w:t>Derivatives are used in the management of interest rate risk, foreign currency risk and commodity price risk, and in the management of foreign currency cash balances. These derivative contracts are recognised at fair value.</w:t>
      </w:r>
    </w:p>
    <w:p>
      <w:pPr>
        <w:spacing w:after="0" w:line="154" w:lineRule="exact"/>
        <w:rPr>
          <w:sz w:val="20"/>
          <w:szCs w:val="20"/>
          <w:color w:val="auto"/>
        </w:rPr>
      </w:pPr>
    </w:p>
    <w:p>
      <w:pPr>
        <w:ind w:right="320"/>
        <w:spacing w:after="0" w:line="258" w:lineRule="auto"/>
        <w:rPr>
          <w:sz w:val="20"/>
          <w:szCs w:val="20"/>
          <w:color w:val="auto"/>
        </w:rPr>
      </w:pPr>
      <w:r>
        <w:rPr>
          <w:rFonts w:ascii="Arial" w:cs="Arial" w:eastAsia="Arial" w:hAnsi="Arial"/>
          <w:sz w:val="14"/>
          <w:szCs w:val="14"/>
          <w:color w:val="auto"/>
        </w:rPr>
        <w:t>Those derivatives qualifying and designated as hedges are either: (i) a “fair value” hedge of the change in fair value of a recognised asset or liability or an unrecognised firm commitment; or (ii) a “cash flow” hedge of the change in cash flows to be received or paid relating to a recognised asset or liability or a highly probable forecasted transaction.</w:t>
      </w:r>
    </w:p>
    <w:p>
      <w:pPr>
        <w:spacing w:after="0" w:line="154" w:lineRule="exact"/>
        <w:rPr>
          <w:sz w:val="20"/>
          <w:szCs w:val="20"/>
          <w:color w:val="auto"/>
        </w:rPr>
      </w:pPr>
    </w:p>
    <w:p>
      <w:pPr>
        <w:spacing w:after="0" w:line="245" w:lineRule="auto"/>
        <w:rPr>
          <w:sz w:val="20"/>
          <w:szCs w:val="20"/>
          <w:color w:val="auto"/>
        </w:rPr>
      </w:pPr>
      <w:r>
        <w:rPr>
          <w:rFonts w:ascii="Arial" w:cs="Arial" w:eastAsia="Arial" w:hAnsi="Arial"/>
          <w:sz w:val="14"/>
          <w:szCs w:val="14"/>
          <w:color w:val="auto"/>
        </w:rPr>
        <w:t>A change in the fair value of a hedging instrument designated as a fair value hedge is recognised in income, together with the consequential adjustment to the carrying amount of the hedged item. The effective portion of a change in fair value of a derivative designated as a cash flow hedge is recognised in other comprehensive income until the hedged transaction occurs; any ineffective portion is recognised in income. Where the hedged item is a non-financial asset or liability, the amount in accumulated other comprehensive income is transferred to the initial carrying amount of the asset or liability; for other hedged items, the amount in accumulated other comprehensive income is recognised in income when the hedged transaction affects income.</w:t>
      </w:r>
    </w:p>
    <w:p>
      <w:pPr>
        <w:spacing w:after="0" w:line="178" w:lineRule="exact"/>
        <w:rPr>
          <w:sz w:val="20"/>
          <w:szCs w:val="20"/>
          <w:color w:val="auto"/>
        </w:rPr>
      </w:pPr>
    </w:p>
    <w:p>
      <w:pPr>
        <w:jc w:val="both"/>
        <w:ind w:right="120"/>
        <w:spacing w:after="0" w:line="258" w:lineRule="auto"/>
        <w:rPr>
          <w:sz w:val="20"/>
          <w:szCs w:val="20"/>
          <w:color w:val="auto"/>
        </w:rPr>
      </w:pPr>
      <w:r>
        <w:rPr>
          <w:rFonts w:ascii="Arial" w:cs="Arial" w:eastAsia="Arial" w:hAnsi="Arial"/>
          <w:sz w:val="14"/>
          <w:szCs w:val="14"/>
          <w:color w:val="auto"/>
        </w:rPr>
        <w:t>All relationships between hedging instruments and hedged items are documented, as well as risk management objectives and strategies for undertaking hedge transactions. The effectiveness of a hedge is also continually assessed and, when it ceases, hedge accounting is discontinued.</w:t>
      </w:r>
    </w:p>
    <w:p>
      <w:pPr>
        <w:spacing w:after="0" w:line="154" w:lineRule="exact"/>
        <w:rPr>
          <w:sz w:val="20"/>
          <w:szCs w:val="20"/>
          <w:color w:val="auto"/>
        </w:rPr>
      </w:pPr>
    </w:p>
    <w:p>
      <w:pPr>
        <w:ind w:right="60"/>
        <w:spacing w:after="0" w:line="258" w:lineRule="auto"/>
        <w:rPr>
          <w:sz w:val="20"/>
          <w:szCs w:val="20"/>
          <w:color w:val="auto"/>
        </w:rPr>
      </w:pPr>
      <w:r>
        <w:rPr>
          <w:rFonts w:ascii="Arial" w:cs="Arial" w:eastAsia="Arial" w:hAnsi="Arial"/>
          <w:sz w:val="14"/>
          <w:szCs w:val="14"/>
          <w:color w:val="auto"/>
        </w:rPr>
        <w:t>Gains and losses on derivatives not qualifying and designated as hedges, including forward sale and purchase contracts for commodities in trading operations that may be settled by the physical delivery or receipt of the commodity, are recognised in income.</w:t>
      </w:r>
    </w:p>
    <w:p>
      <w:pPr>
        <w:spacing w:after="0" w:line="154" w:lineRule="exact"/>
        <w:rPr>
          <w:sz w:val="20"/>
          <w:szCs w:val="20"/>
          <w:color w:val="auto"/>
        </w:rPr>
      </w:pPr>
    </w:p>
    <w:p>
      <w:pPr>
        <w:jc w:val="both"/>
        <w:ind w:right="140"/>
        <w:spacing w:after="0" w:line="250" w:lineRule="auto"/>
        <w:rPr>
          <w:sz w:val="20"/>
          <w:szCs w:val="20"/>
          <w:color w:val="auto"/>
        </w:rPr>
      </w:pPr>
      <w:r>
        <w:rPr>
          <w:rFonts w:ascii="Arial" w:cs="Arial" w:eastAsia="Arial" w:hAnsi="Arial"/>
          <w:sz w:val="14"/>
          <w:szCs w:val="14"/>
          <w:color w:val="auto"/>
        </w:rPr>
        <w:t>Unless designated as hedging instruments, contracts to sell or purchase non-financial items that can be settled net as if the contracts were financial instruments and that do not meet expected own use requirements (typically, forward sale and purchase contracts for commodities in trading operations), and contracts that are or contain written options, are recognised at fair value; associated gains and losses are recognised in income.</w:t>
      </w:r>
    </w:p>
    <w:p>
      <w:pPr>
        <w:spacing w:after="0" w:line="172" w:lineRule="exact"/>
        <w:rPr>
          <w:sz w:val="20"/>
          <w:szCs w:val="20"/>
          <w:color w:val="auto"/>
        </w:rPr>
      </w:pPr>
    </w:p>
    <w:p>
      <w:pPr>
        <w:ind w:right="500"/>
        <w:spacing w:after="0" w:line="258" w:lineRule="auto"/>
        <w:rPr>
          <w:sz w:val="20"/>
          <w:szCs w:val="20"/>
          <w:color w:val="auto"/>
        </w:rPr>
      </w:pPr>
      <w:r>
        <w:rPr>
          <w:rFonts w:ascii="Arial" w:cs="Arial" w:eastAsia="Arial" w:hAnsi="Arial"/>
          <w:sz w:val="14"/>
          <w:szCs w:val="14"/>
          <w:color w:val="auto"/>
        </w:rPr>
        <w:t>Derivatives embedded within contracts that are not already required to be recognised at fair value, and that are not closely related to the host contract in terms of economic characteristics and risks, are separated from their host contract and recognised at fair value; associated gains and losses are recognised in income.</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Fair value measurements</w:t>
      </w:r>
    </w:p>
    <w:p>
      <w:pPr>
        <w:spacing w:after="0" w:line="1" w:lineRule="exact"/>
        <w:rPr>
          <w:sz w:val="20"/>
          <w:szCs w:val="20"/>
          <w:color w:val="auto"/>
        </w:rPr>
      </w:pPr>
    </w:p>
    <w:p>
      <w:pPr>
        <w:spacing w:after="0" w:line="243" w:lineRule="auto"/>
        <w:rPr>
          <w:sz w:val="20"/>
          <w:szCs w:val="20"/>
          <w:color w:val="auto"/>
        </w:rPr>
      </w:pPr>
      <w:r>
        <w:rPr>
          <w:rFonts w:ascii="Arial" w:cs="Arial" w:eastAsia="Arial" w:hAnsi="Arial"/>
          <w:sz w:val="14"/>
          <w:szCs w:val="14"/>
          <w:color w:val="auto"/>
        </w:rPr>
        <w:t>Fair value measurements are estimates of the amounts for which assets or liabilities could be transferred at the measurement date, based on the assumption that such transfers take place between participants in principal markets and, where applicable, taking highest and best use into account. Where available, fair value measurements are derived from prices quoted in active markets for identical assets or liabilities. In the absence of such information, other observable inputs are used to estimate fair value. Inputs derived from external sources are corroborated or otherwise verified, as appropriate. In the absence of publicly available information, fair value is determined using estimation techniques that take into account market perspectives relevant to the asset or liability, in as far as they can reasonably be ascertained, based on predominantly unobservable inputs. For derivative contracts where publicly available information is not available, fair value estimations are generally determined using models and other valuation methods, the key inputs for which include future prices, volatility, price correlation, counterparty credit risk and market liquidity, as appropriate; for other assets and liabilities, fair value estimations are generally based on the net present value of expected future cash flows.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color w:val="auto"/>
        </w:rPr>
        <w:t>Share-based compensation plans</w:t>
      </w:r>
    </w:p>
    <w:p>
      <w:pPr>
        <w:spacing w:after="0" w:line="1" w:lineRule="exact"/>
        <w:rPr>
          <w:sz w:val="20"/>
          <w:szCs w:val="20"/>
          <w:color w:val="auto"/>
        </w:rPr>
      </w:pPr>
    </w:p>
    <w:p>
      <w:pPr>
        <w:ind w:right="80"/>
        <w:spacing w:after="0" w:line="258" w:lineRule="auto"/>
        <w:rPr>
          <w:sz w:val="20"/>
          <w:szCs w:val="20"/>
          <w:color w:val="auto"/>
        </w:rPr>
      </w:pPr>
      <w:r>
        <w:rPr>
          <w:rFonts w:ascii="Arial" w:cs="Arial" w:eastAsia="Arial" w:hAnsi="Arial"/>
          <w:sz w:val="14"/>
          <w:szCs w:val="14"/>
          <w:color w:val="auto"/>
        </w:rPr>
        <w:t>The fair value of share-based compensation expense arising from the Performance Share Plan (PSP) – Shell’s main equity-settled plan – is estimated using a Monte Carlo option pricing model and is recognised in income from the date of grant over the vesting period with a</w:t>
      </w:r>
    </w:p>
    <w:p>
      <w:pPr>
        <w:sectPr>
          <w:pgSz w:w="11900" w:h="16838" w:orient="portrait"/>
          <w:cols w:equalWidth="0" w:num="1">
            <w:col w:w="11380"/>
          </w:cols>
          <w:pgMar w:left="240" w:top="459" w:right="279" w:bottom="1440" w:gutter="0" w:footer="0" w:header="0"/>
        </w:sectPr>
      </w:pPr>
    </w:p>
    <w:bookmarkStart w:id="117" w:name="page118"/>
    <w:bookmarkEnd w:id="1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300355</wp:posOffset>
            </wp:positionV>
            <wp:extent cx="3627755" cy="46291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3627755" cy="462915"/>
                    </a:xfrm>
                    <a:prstGeom prst="rect">
                      <a:avLst/>
                    </a:prstGeom>
                    <a:noFill/>
                  </pic:spPr>
                </pic:pic>
              </a:graphicData>
            </a:graphic>
          </wp:anchor>
        </w:drawing>
      </w:r>
    </w:p>
    <w:p>
      <w:pPr>
        <w:spacing w:after="0" w:line="200" w:lineRule="exact"/>
        <w:rPr>
          <w:sz w:val="20"/>
          <w:szCs w:val="20"/>
          <w:color w:val="auto"/>
        </w:rPr>
      </w:pP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419"/>
        </w:trPr>
        <w:tc>
          <w:tcPr>
            <w:tcW w:w="1320" w:type="dxa"/>
            <w:vAlign w:val="bottom"/>
            <w:shd w:val="clear" w:color="auto" w:fill="FF8B00"/>
          </w:tcPr>
          <w:p>
            <w:pPr>
              <w:spacing w:after="0"/>
              <w:rPr>
                <w:sz w:val="24"/>
                <w:szCs w:val="24"/>
                <w:color w:val="auto"/>
              </w:rPr>
            </w:pPr>
          </w:p>
        </w:tc>
        <w:tc>
          <w:tcPr>
            <w:tcW w:w="4400" w:type="dxa"/>
            <w:vAlign w:val="bottom"/>
            <w:shd w:val="clear" w:color="auto" w:fill="FF8B00"/>
          </w:tcPr>
          <w:p>
            <w:pPr>
              <w:spacing w:after="0"/>
              <w:rPr>
                <w:sz w:val="24"/>
                <w:szCs w:val="24"/>
                <w:color w:val="auto"/>
              </w:rPr>
            </w:pPr>
          </w:p>
        </w:tc>
      </w:tr>
      <w:tr>
        <w:trPr>
          <w:trHeight w:val="152"/>
        </w:trPr>
        <w:tc>
          <w:tcPr>
            <w:tcW w:w="1320" w:type="dxa"/>
            <w:vAlign w:val="bottom"/>
          </w:tcPr>
          <w:p>
            <w:pPr>
              <w:jc w:val="right"/>
              <w:ind w:right="746"/>
              <w:spacing w:after="0"/>
              <w:rPr>
                <w:sz w:val="20"/>
                <w:szCs w:val="20"/>
                <w:color w:val="auto"/>
              </w:rPr>
            </w:pPr>
            <w:r>
              <w:rPr>
                <w:rFonts w:ascii="Arial" w:cs="Arial" w:eastAsia="Arial" w:hAnsi="Arial"/>
                <w:sz w:val="11"/>
                <w:szCs w:val="11"/>
                <w:b w:val="1"/>
                <w:bCs w:val="1"/>
                <w:color w:val="333333"/>
              </w:rPr>
              <w:t>116</w:t>
            </w:r>
          </w:p>
        </w:tc>
        <w:tc>
          <w:tcPr>
            <w:tcW w:w="4400" w:type="dxa"/>
            <w:vAlign w:val="bottom"/>
          </w:tcPr>
          <w:p>
            <w:pPr>
              <w:ind w:left="820"/>
              <w:spacing w:after="0"/>
              <w:rPr>
                <w:sz w:val="20"/>
                <w:szCs w:val="20"/>
                <w:color w:val="auto"/>
              </w:rPr>
            </w:pPr>
            <w:r>
              <w:rPr>
                <w:rFonts w:ascii="Arial" w:cs="Arial" w:eastAsia="Arial" w:hAnsi="Arial"/>
                <w:sz w:val="13"/>
                <w:szCs w:val="13"/>
                <w:color w:val="333333"/>
              </w:rPr>
              <w:t>FINANCIAL STATEMENTS AND SUPPLEMENTS</w:t>
            </w:r>
          </w:p>
        </w:tc>
      </w:tr>
    </w:tbl>
    <w:p>
      <w:pPr>
        <w:spacing w:after="0" w:line="155" w:lineRule="exact"/>
        <w:rPr>
          <w:sz w:val="20"/>
          <w:szCs w:val="20"/>
          <w:color w:val="auto"/>
        </w:rPr>
      </w:pPr>
    </w:p>
    <w:p>
      <w:pPr>
        <w:jc w:val="right"/>
        <w:spacing w:after="0"/>
        <w:tabs>
          <w:tab w:leader="none" w:pos="2380" w:val="left"/>
        </w:tabs>
        <w:rPr>
          <w:sz w:val="20"/>
          <w:szCs w:val="20"/>
          <w:color w:val="auto"/>
        </w:rPr>
      </w:pPr>
      <w:r>
        <w:rPr>
          <w:rFonts w:ascii="Arial" w:cs="Arial" w:eastAsia="Arial" w:hAnsi="Arial"/>
          <w:sz w:val="11"/>
          <w:szCs w:val="11"/>
          <w:color w:val="auto"/>
        </w:rPr>
        <w:t>CONSOLIDATED FINANCIAL STATEMENTS</w:t>
      </w:r>
      <w:r>
        <w:rPr>
          <w:sz w:val="20"/>
          <w:szCs w:val="20"/>
          <w:color w:val="auto"/>
        </w:rPr>
        <w:tab/>
      </w:r>
      <w:r>
        <w:rPr>
          <w:rFonts w:ascii="Arial" w:cs="Arial" w:eastAsia="Arial" w:hAnsi="Arial"/>
          <w:sz w:val="10"/>
          <w:szCs w:val="10"/>
          <w:color w:val="auto"/>
        </w:rPr>
        <w:t>SHELL ANNUAL REPORT AND FORM 20-F 2014</w:t>
      </w:r>
    </w:p>
    <w:p>
      <w:pPr>
        <w:spacing w:after="0" w:line="9" w:lineRule="exact"/>
        <w:rPr>
          <w:sz w:val="20"/>
          <w:szCs w:val="20"/>
          <w:color w:val="auto"/>
        </w:rPr>
      </w:pPr>
    </w:p>
    <w:p>
      <w:pPr>
        <w:spacing w:after="0"/>
        <w:rPr>
          <w:sz w:val="20"/>
          <w:szCs w:val="20"/>
          <w:color w:val="auto"/>
        </w:rPr>
      </w:pPr>
      <w:r>
        <w:rPr>
          <w:rFonts w:ascii="Arial" w:cs="Arial" w:eastAsia="Arial" w:hAnsi="Arial"/>
          <w:sz w:val="11"/>
          <w:szCs w:val="11"/>
          <w:color w:val="auto"/>
        </w:rPr>
        <w:t>[Note 2 continued]</w:t>
      </w:r>
    </w:p>
    <w:p>
      <w:pPr>
        <w:spacing w:after="0" w:line="3" w:lineRule="exact"/>
        <w:rPr>
          <w:sz w:val="20"/>
          <w:szCs w:val="20"/>
          <w:color w:val="auto"/>
        </w:rPr>
      </w:pPr>
    </w:p>
    <w:p>
      <w:pPr>
        <w:ind w:right="240"/>
        <w:spacing w:after="0" w:line="250" w:lineRule="auto"/>
        <w:rPr>
          <w:sz w:val="20"/>
          <w:szCs w:val="20"/>
          <w:color w:val="auto"/>
        </w:rPr>
      </w:pPr>
      <w:r>
        <w:rPr>
          <w:rFonts w:ascii="Arial" w:cs="Arial" w:eastAsia="Arial" w:hAnsi="Arial"/>
          <w:sz w:val="14"/>
          <w:szCs w:val="14"/>
          <w:color w:val="auto"/>
        </w:rPr>
        <w:t>corresponding increase directly in equity. The model projects and averages the results for a range of potential outcomes for the vesting conditions, the principal assumptions for which are the share price volatility and dividend yields for Shell and four of its main competitors over the last three years and the last 10 years. The change in the fair value of share-based compensation for cash-settled plans is recognised in income with a corresponding change in liabilities.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Shares held in trust</w:t>
      </w:r>
    </w:p>
    <w:p>
      <w:pPr>
        <w:spacing w:after="0" w:line="1" w:lineRule="exact"/>
        <w:rPr>
          <w:sz w:val="20"/>
          <w:szCs w:val="20"/>
          <w:color w:val="auto"/>
        </w:rPr>
      </w:pPr>
    </w:p>
    <w:p>
      <w:pPr>
        <w:ind w:right="40"/>
        <w:spacing w:after="0" w:line="258" w:lineRule="auto"/>
        <w:rPr>
          <w:sz w:val="20"/>
          <w:szCs w:val="20"/>
          <w:color w:val="auto"/>
        </w:rPr>
      </w:pPr>
      <w:r>
        <w:rPr>
          <w:rFonts w:ascii="Arial" w:cs="Arial" w:eastAsia="Arial" w:hAnsi="Arial"/>
          <w:sz w:val="14"/>
          <w:szCs w:val="14"/>
          <w:color w:val="auto"/>
        </w:rPr>
        <w:t>Shares in the Company, which are held by employee share ownership trusts and trust-like entities, are not included in assets but are reflected at cost as a deduction from equity as shares held in trust.</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Acquisitions and disposals of interests in a business</w:t>
      </w:r>
    </w:p>
    <w:p>
      <w:pPr>
        <w:spacing w:after="0" w:line="1" w:lineRule="exact"/>
        <w:rPr>
          <w:sz w:val="20"/>
          <w:szCs w:val="20"/>
          <w:color w:val="auto"/>
        </w:rPr>
      </w:pPr>
    </w:p>
    <w:p>
      <w:pPr>
        <w:ind w:right="80"/>
        <w:spacing w:after="0" w:line="245" w:lineRule="auto"/>
        <w:rPr>
          <w:sz w:val="20"/>
          <w:szCs w:val="20"/>
          <w:color w:val="auto"/>
        </w:rPr>
      </w:pPr>
      <w:r>
        <w:rPr>
          <w:rFonts w:ascii="Arial" w:cs="Arial" w:eastAsia="Arial" w:hAnsi="Arial"/>
          <w:sz w:val="14"/>
          <w:szCs w:val="14"/>
          <w:color w:val="auto"/>
        </w:rPr>
        <w:t>Assets acquired and liabilities assumed when control is obtained over a business are recognised at their fair value at the date of the acquisition; the amount of the purchase consideration above this value is recognised as goodwill, with any non-controlling interest recognised as the proportionate share of the identifiable net assets. The acquisition of a non-controlling interest in a subsidiary and the disposal of an interest while retaining control are accounted for as transactions within equity. The difference between the purchase consideration or disposal proceeds after tax and the relevant proportion of the non-controlling interest, measured by reference to the carrying amount of the interest’s net assets at the date of acquisition or disposal, is recognised in retained earnings as a movement in equity attributable to Royal Dutch Shell plc shareholders.</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color w:val="auto"/>
        </w:rPr>
        <w:t>Consolidated Statement of Income presentation</w:t>
      </w:r>
    </w:p>
    <w:p>
      <w:pPr>
        <w:spacing w:after="0" w:line="1" w:lineRule="exact"/>
        <w:rPr>
          <w:sz w:val="20"/>
          <w:szCs w:val="20"/>
          <w:color w:val="auto"/>
        </w:rPr>
      </w:pPr>
    </w:p>
    <w:p>
      <w:pPr>
        <w:ind w:right="320"/>
        <w:spacing w:after="0" w:line="250" w:lineRule="auto"/>
        <w:rPr>
          <w:sz w:val="20"/>
          <w:szCs w:val="20"/>
          <w:color w:val="auto"/>
        </w:rPr>
      </w:pPr>
      <w:r>
        <w:rPr>
          <w:rFonts w:ascii="Arial" w:cs="Arial" w:eastAsia="Arial" w:hAnsi="Arial"/>
          <w:sz w:val="14"/>
          <w:szCs w:val="14"/>
          <w:color w:val="auto"/>
        </w:rPr>
        <w:t>Purchases reflect all costs related to the acquisition of inventories and the effects of the changes therein, and include supplies used for conversion into finished or intermediate products. Production and manufacturing expenses are the costs of operating, maintaining and managing production and manufacturing assets. Selling, distribution and administrative expenses include direct and indirect costs of marketing and selling products.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3 KEY ACCOUNTING ESTIMATES AND JUDGEMENTS</w:t>
      </w:r>
    </w:p>
    <w:p>
      <w:pPr>
        <w:spacing w:after="0" w:line="1" w:lineRule="exact"/>
        <w:rPr>
          <w:sz w:val="20"/>
          <w:szCs w:val="20"/>
          <w:color w:val="auto"/>
        </w:rPr>
      </w:pPr>
    </w:p>
    <w:p>
      <w:pPr>
        <w:ind w:right="40"/>
        <w:spacing w:after="0" w:line="250" w:lineRule="auto"/>
        <w:rPr>
          <w:sz w:val="20"/>
          <w:szCs w:val="20"/>
          <w:color w:val="auto"/>
        </w:rPr>
      </w:pPr>
      <w:r>
        <w:rPr>
          <w:rFonts w:ascii="Arial" w:cs="Arial" w:eastAsia="Arial" w:hAnsi="Arial"/>
          <w:sz w:val="14"/>
          <w:szCs w:val="14"/>
          <w:color w:val="auto"/>
        </w:rPr>
        <w:t>In order to prepare the Consolidated Financial Statements in conformity with IFRS, management has to make estimates and judgements. The matters described below are considered to be the most important in understanding the judgements that are involved in preparing these statements and the uncertainties that could impact the amounts reported in the results of operations, financial condition and cash flows. Shell’s accounting policies are described in Note 2.</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color w:val="auto"/>
        </w:rPr>
        <w:t>Estimation of proved oil and gas reserves</w:t>
      </w:r>
    </w:p>
    <w:p>
      <w:pPr>
        <w:spacing w:after="0" w:line="1" w:lineRule="exact"/>
        <w:rPr>
          <w:sz w:val="20"/>
          <w:szCs w:val="20"/>
          <w:color w:val="auto"/>
        </w:rPr>
      </w:pPr>
    </w:p>
    <w:p>
      <w:pPr>
        <w:ind w:right="180"/>
        <w:spacing w:after="0" w:line="250" w:lineRule="auto"/>
        <w:rPr>
          <w:sz w:val="20"/>
          <w:szCs w:val="20"/>
          <w:color w:val="auto"/>
        </w:rPr>
      </w:pPr>
      <w:r>
        <w:rPr>
          <w:rFonts w:ascii="Arial" w:cs="Arial" w:eastAsia="Arial" w:hAnsi="Arial"/>
          <w:sz w:val="14"/>
          <w:szCs w:val="14"/>
          <w:color w:val="auto"/>
        </w:rPr>
        <w:t>Unit-of-production depreciation, depletion and amortisation charges are principally measured based on management’s estimates of proved developed oil and gas reserves. Also, exploration drilling costs are capitalised pending the results of further exploration or appraisal activity, which may take several years to complete and before any related proved reserves can be booked.</w:t>
      </w:r>
    </w:p>
    <w:p>
      <w:pPr>
        <w:spacing w:after="0" w:line="159" w:lineRule="exact"/>
        <w:rPr>
          <w:sz w:val="20"/>
          <w:szCs w:val="20"/>
          <w:color w:val="auto"/>
        </w:rPr>
      </w:pPr>
    </w:p>
    <w:p>
      <w:pPr>
        <w:spacing w:after="0" w:line="247" w:lineRule="auto"/>
        <w:rPr>
          <w:sz w:val="20"/>
          <w:szCs w:val="20"/>
          <w:color w:val="auto"/>
        </w:rPr>
      </w:pPr>
      <w:r>
        <w:rPr>
          <w:rFonts w:ascii="Arial" w:cs="Arial" w:eastAsia="Arial" w:hAnsi="Arial"/>
          <w:sz w:val="14"/>
          <w:szCs w:val="14"/>
          <w:color w:val="auto"/>
        </w:rPr>
        <w:t>Proved reserves are estimated by reference to available geological and engineering data and only include volumes for which access to market is assured with reasonable certainty. Estimates of proved reserves are inherently imprecise, require the application of judgement and are subject to regular revision, either upward or downward, based on new information such as from the drilling of additional wells, observation of long-term reservoir performance under producing conditions and changes in economic factors, including product prices, contract terms or development plans.</w:t>
      </w:r>
    </w:p>
    <w:p>
      <w:pPr>
        <w:spacing w:after="0" w:line="175" w:lineRule="exact"/>
        <w:rPr>
          <w:sz w:val="20"/>
          <w:szCs w:val="20"/>
          <w:color w:val="auto"/>
        </w:rPr>
      </w:pPr>
    </w:p>
    <w:p>
      <w:pPr>
        <w:ind w:right="40"/>
        <w:spacing w:after="0" w:line="250" w:lineRule="auto"/>
        <w:rPr>
          <w:sz w:val="20"/>
          <w:szCs w:val="20"/>
          <w:color w:val="auto"/>
        </w:rPr>
      </w:pPr>
      <w:r>
        <w:rPr>
          <w:rFonts w:ascii="Arial" w:cs="Arial" w:eastAsia="Arial" w:hAnsi="Arial"/>
          <w:sz w:val="14"/>
          <w:szCs w:val="14"/>
          <w:color w:val="auto"/>
        </w:rPr>
        <w:t>Changes to estimates of proved developed reserves affect prospectively the amounts of depreciation, depletion and amortisation charged and, consequently, the carrying amounts of exploration and production assets. It is expected, however, that in the normal course of business the diversity of the asset portfolio will limit the effect of such revisions. The outcome of, or assessment of plans for, exploration or appraisal activity may result in the related capitalised exploration drilling costs being recognised in income in that period.</w:t>
      </w:r>
    </w:p>
    <w:p>
      <w:pPr>
        <w:spacing w:after="0" w:line="159" w:lineRule="exact"/>
        <w:rPr>
          <w:sz w:val="20"/>
          <w:szCs w:val="20"/>
          <w:color w:val="auto"/>
        </w:rPr>
      </w:pPr>
    </w:p>
    <w:p>
      <w:pPr>
        <w:ind w:right="120"/>
        <w:spacing w:after="0" w:line="258" w:lineRule="auto"/>
        <w:rPr>
          <w:sz w:val="20"/>
          <w:szCs w:val="20"/>
          <w:color w:val="auto"/>
        </w:rPr>
      </w:pPr>
      <w:r>
        <w:rPr>
          <w:rFonts w:ascii="Arial" w:cs="Arial" w:eastAsia="Arial" w:hAnsi="Arial"/>
          <w:sz w:val="14"/>
          <w:szCs w:val="14"/>
          <w:color w:val="auto"/>
        </w:rPr>
        <w:t>Information about the carrying amounts of exploration and production assets and the amounts charged to income, including depreciation, depletion and amortisation, is presented in Note 8.</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Impairment of property, plant and equipment and intangible assets</w:t>
      </w:r>
    </w:p>
    <w:p>
      <w:pPr>
        <w:spacing w:after="0" w:line="1" w:lineRule="exact"/>
        <w:rPr>
          <w:sz w:val="20"/>
          <w:szCs w:val="20"/>
          <w:color w:val="auto"/>
        </w:rPr>
      </w:pPr>
    </w:p>
    <w:p>
      <w:pPr>
        <w:ind w:right="40"/>
        <w:spacing w:after="0" w:line="247" w:lineRule="auto"/>
        <w:rPr>
          <w:sz w:val="20"/>
          <w:szCs w:val="20"/>
          <w:color w:val="auto"/>
        </w:rPr>
      </w:pPr>
      <w:r>
        <w:rPr>
          <w:rFonts w:ascii="Arial" w:cs="Arial" w:eastAsia="Arial" w:hAnsi="Arial"/>
          <w:sz w:val="14"/>
          <w:szCs w:val="14"/>
          <w:color w:val="auto"/>
        </w:rPr>
        <w:t>For the purposes of determining whether impairment of assets has occurred, and the extent of any impairment or its reversal, the key assumptions management uses in estimating risk-adjusted future cash flows for value-in-use measures are future oil and gas prices, expected production volumes and refining margins appropriate to the local circumstances and environment. These assumptions and the judgements of management that are based on them are subject to change as new information becomes available. Changes in economic conditions can also affect the rate used to discount future cash flow estimates.</w:t>
      </w:r>
    </w:p>
    <w:p>
      <w:pPr>
        <w:spacing w:after="0" w:line="175" w:lineRule="exact"/>
        <w:rPr>
          <w:sz w:val="20"/>
          <w:szCs w:val="20"/>
          <w:color w:val="auto"/>
        </w:rPr>
      </w:pPr>
    </w:p>
    <w:p>
      <w:pPr>
        <w:ind w:right="40"/>
        <w:spacing w:after="0" w:line="244" w:lineRule="auto"/>
        <w:rPr>
          <w:sz w:val="20"/>
          <w:szCs w:val="20"/>
          <w:color w:val="auto"/>
        </w:rPr>
      </w:pPr>
      <w:r>
        <w:rPr>
          <w:rFonts w:ascii="Arial" w:cs="Arial" w:eastAsia="Arial" w:hAnsi="Arial"/>
          <w:sz w:val="14"/>
          <w:szCs w:val="14"/>
          <w:color w:val="auto"/>
        </w:rPr>
        <w:t>Future price assumptions tend to be stable because management does not consider short-term increases or decreases in prices as being indicative of long-term levels, but they are nonetheless subject to change. Expected production volumes, which comprise proved reserves and unproved volumes, are used for impairment testing because management believes this to be the most appropriate indicator of expected future cash flows. As discussed in “Estimation of proved oil and gas reserves”, reserves estimates are inherently imprecise. Furthermore, projections about unproved volumes are based on information that is necessarily less robust than that available for mature reservoirs. Due to the nature and geographical spread of the business activity in which those assets are used, it is typically not practicable to estimate the likelihood or extent of impairments under different sets of assumptions. The discount rate applied is reviewed annually.</w:t>
      </w:r>
    </w:p>
    <w:p>
      <w:pPr>
        <w:spacing w:after="0" w:line="166" w:lineRule="exact"/>
        <w:rPr>
          <w:sz w:val="20"/>
          <w:szCs w:val="20"/>
          <w:color w:val="auto"/>
        </w:rPr>
      </w:pPr>
    </w:p>
    <w:p>
      <w:pPr>
        <w:spacing w:after="0"/>
        <w:rPr>
          <w:sz w:val="20"/>
          <w:szCs w:val="20"/>
          <w:color w:val="auto"/>
        </w:rPr>
      </w:pPr>
      <w:r>
        <w:rPr>
          <w:rFonts w:ascii="Arial" w:cs="Arial" w:eastAsia="Arial" w:hAnsi="Arial"/>
          <w:sz w:val="14"/>
          <w:szCs w:val="14"/>
          <w:color w:val="auto"/>
        </w:rPr>
        <w:t>Changes in assumptions could affect the carrying amounts of assets, and impairment charges and reversals will affect income.</w:t>
      </w:r>
    </w:p>
    <w:p>
      <w:pPr>
        <w:spacing w:after="0" w:line="177" w:lineRule="exact"/>
        <w:rPr>
          <w:sz w:val="20"/>
          <w:szCs w:val="20"/>
          <w:color w:val="auto"/>
        </w:rPr>
      </w:pPr>
    </w:p>
    <w:p>
      <w:pPr>
        <w:spacing w:after="0"/>
        <w:rPr>
          <w:sz w:val="20"/>
          <w:szCs w:val="20"/>
          <w:color w:val="auto"/>
        </w:rPr>
      </w:pPr>
      <w:r>
        <w:rPr>
          <w:rFonts w:ascii="Arial" w:cs="Arial" w:eastAsia="Arial" w:hAnsi="Arial"/>
          <w:sz w:val="14"/>
          <w:szCs w:val="14"/>
          <w:color w:val="auto"/>
        </w:rPr>
        <w:t>Information about the carrying amounts of assets and impairments is presented in Notes 7 and 8.</w:t>
      </w:r>
    </w:p>
    <w:p>
      <w:pPr>
        <w:sectPr>
          <w:pgSz w:w="11900" w:h="16838" w:orient="portrait"/>
          <w:cols w:equalWidth="0" w:num="1">
            <w:col w:w="11420"/>
          </w:cols>
          <w:pgMar w:left="240" w:top="459" w:right="239" w:bottom="1440" w:gutter="0" w:footer="0" w:header="0"/>
        </w:sectPr>
      </w:pPr>
    </w:p>
    <w:bookmarkStart w:id="118" w:name="page119"/>
    <w:bookmarkEnd w:id="1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3555365</wp:posOffset>
            </wp:positionH>
            <wp:positionV relativeFrom="paragraph">
              <wp:posOffset>300355</wp:posOffset>
            </wp:positionV>
            <wp:extent cx="3696335" cy="46291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3696335" cy="462915"/>
                    </a:xfrm>
                    <a:prstGeom prst="rect">
                      <a:avLst/>
                    </a:prstGeom>
                    <a:noFill/>
                  </pic:spPr>
                </pic:pic>
              </a:graphicData>
            </a:graphic>
          </wp:anchor>
        </w:drawing>
      </w:r>
    </w:p>
    <w:p>
      <w:pPr>
        <w:spacing w:after="0" w:line="200" w:lineRule="exact"/>
        <w:rPr>
          <w:sz w:val="20"/>
          <w:szCs w:val="20"/>
          <w:color w:val="auto"/>
        </w:rPr>
      </w:pPr>
    </w:p>
    <w:p>
      <w:pPr>
        <w:spacing w:after="0" w:line="253" w:lineRule="exact"/>
        <w:rPr>
          <w:sz w:val="20"/>
          <w:szCs w:val="20"/>
          <w:color w:val="auto"/>
        </w:rPr>
      </w:pPr>
    </w:p>
    <w:tbl>
      <w:tblPr>
        <w:tblLayout w:type="fixed"/>
        <w:tblInd w:w="5600" w:type="dxa"/>
        <w:tblCellMar>
          <w:top w:w="0" w:type="dxa"/>
          <w:left w:w="0" w:type="dxa"/>
          <w:bottom w:w="0" w:type="dxa"/>
          <w:right w:w="0" w:type="dxa"/>
        </w:tblCellMar>
      </w:tblPr>
      <w:tr>
        <w:trPr>
          <w:trHeight w:val="419"/>
        </w:trPr>
        <w:tc>
          <w:tcPr>
            <w:tcW w:w="4440" w:type="dxa"/>
            <w:vAlign w:val="bottom"/>
            <w:shd w:val="clear" w:color="auto" w:fill="FF8B00"/>
          </w:tcPr>
          <w:p>
            <w:pPr>
              <w:spacing w:after="0"/>
              <w:rPr>
                <w:sz w:val="24"/>
                <w:szCs w:val="24"/>
                <w:color w:val="auto"/>
              </w:rPr>
            </w:pPr>
          </w:p>
        </w:tc>
        <w:tc>
          <w:tcPr>
            <w:tcW w:w="1380" w:type="dxa"/>
            <w:vAlign w:val="bottom"/>
            <w:shd w:val="clear" w:color="auto" w:fill="FF8B00"/>
          </w:tcPr>
          <w:p>
            <w:pPr>
              <w:spacing w:after="0"/>
              <w:rPr>
                <w:sz w:val="24"/>
                <w:szCs w:val="24"/>
                <w:color w:val="auto"/>
              </w:rPr>
            </w:pPr>
          </w:p>
        </w:tc>
      </w:tr>
      <w:tr>
        <w:trPr>
          <w:trHeight w:val="152"/>
        </w:trPr>
        <w:tc>
          <w:tcPr>
            <w:tcW w:w="4440" w:type="dxa"/>
            <w:vAlign w:val="bottom"/>
          </w:tcPr>
          <w:p>
            <w:pPr>
              <w:ind w:left="880"/>
              <w:spacing w:after="0"/>
              <w:rPr>
                <w:sz w:val="20"/>
                <w:szCs w:val="20"/>
                <w:color w:val="auto"/>
              </w:rPr>
            </w:pPr>
            <w:r>
              <w:rPr>
                <w:rFonts w:ascii="Arial" w:cs="Arial" w:eastAsia="Arial" w:hAnsi="Arial"/>
                <w:sz w:val="13"/>
                <w:szCs w:val="13"/>
                <w:color w:val="333333"/>
              </w:rPr>
              <w:t>FINANCIAL STATEMENTS AND SUPPLEMENTS</w:t>
            </w:r>
          </w:p>
        </w:tc>
        <w:tc>
          <w:tcPr>
            <w:tcW w:w="1380" w:type="dxa"/>
            <w:vAlign w:val="bottom"/>
          </w:tcPr>
          <w:p>
            <w:pPr>
              <w:jc w:val="right"/>
              <w:ind w:right="366"/>
              <w:spacing w:after="0"/>
              <w:rPr>
                <w:sz w:val="20"/>
                <w:szCs w:val="20"/>
                <w:color w:val="auto"/>
              </w:rPr>
            </w:pPr>
            <w:r>
              <w:rPr>
                <w:rFonts w:ascii="Arial" w:cs="Arial" w:eastAsia="Arial" w:hAnsi="Arial"/>
                <w:sz w:val="11"/>
                <w:szCs w:val="11"/>
                <w:b w:val="1"/>
                <w:bCs w:val="1"/>
                <w:color w:val="333333"/>
              </w:rPr>
              <w:t>117</w:t>
            </w:r>
          </w:p>
        </w:tc>
      </w:tr>
    </w:tbl>
    <w:p>
      <w:pPr>
        <w:spacing w:after="0" w:line="155" w:lineRule="exact"/>
        <w:rPr>
          <w:sz w:val="20"/>
          <w:szCs w:val="20"/>
          <w:color w:val="auto"/>
        </w:rPr>
      </w:pPr>
    </w:p>
    <w:p>
      <w:pPr>
        <w:spacing w:after="0"/>
        <w:tabs>
          <w:tab w:leader="none" w:pos="6460" w:val="left"/>
        </w:tabs>
        <w:rPr>
          <w:sz w:val="20"/>
          <w:szCs w:val="20"/>
          <w:color w:val="auto"/>
        </w:rPr>
      </w:pPr>
      <w:r>
        <w:rPr>
          <w:rFonts w:ascii="Arial" w:cs="Arial" w:eastAsia="Arial" w:hAnsi="Arial"/>
          <w:sz w:val="11"/>
          <w:szCs w:val="11"/>
          <w:color w:val="auto"/>
        </w:rPr>
        <w:t>SHELL ANNUAL REPORT AND FORM 20-F 2014</w:t>
      </w:r>
      <w:r>
        <w:rPr>
          <w:sz w:val="20"/>
          <w:szCs w:val="20"/>
          <w:color w:val="auto"/>
        </w:rPr>
        <w:tab/>
      </w:r>
      <w:r>
        <w:rPr>
          <w:rFonts w:ascii="Arial" w:cs="Arial" w:eastAsia="Arial" w:hAnsi="Arial"/>
          <w:sz w:val="10"/>
          <w:szCs w:val="10"/>
          <w:color w:val="auto"/>
        </w:rPr>
        <w:t>CONSOLIDATED FINANCIAL STATEMENTS</w:t>
      </w:r>
    </w:p>
    <w:p>
      <w:pPr>
        <w:spacing w:after="0" w:line="11" w:lineRule="exact"/>
        <w:rPr>
          <w:sz w:val="20"/>
          <w:szCs w:val="20"/>
          <w:color w:val="auto"/>
        </w:rPr>
      </w:pPr>
    </w:p>
    <w:p>
      <w:pPr>
        <w:spacing w:after="0"/>
        <w:rPr>
          <w:sz w:val="20"/>
          <w:szCs w:val="20"/>
          <w:color w:val="auto"/>
        </w:rPr>
      </w:pPr>
      <w:r>
        <w:rPr>
          <w:rFonts w:ascii="Arial" w:cs="Arial" w:eastAsia="Arial" w:hAnsi="Arial"/>
          <w:sz w:val="18"/>
          <w:szCs w:val="18"/>
          <w:color w:val="auto"/>
        </w:rPr>
        <w:t>Defined benefit pension plans</w:t>
      </w:r>
    </w:p>
    <w:p>
      <w:pPr>
        <w:spacing w:after="0" w:line="1" w:lineRule="exact"/>
        <w:rPr>
          <w:sz w:val="20"/>
          <w:szCs w:val="20"/>
          <w:color w:val="auto"/>
        </w:rPr>
      </w:pPr>
    </w:p>
    <w:p>
      <w:pPr>
        <w:ind w:right="80"/>
        <w:spacing w:after="0" w:line="247" w:lineRule="auto"/>
        <w:rPr>
          <w:sz w:val="20"/>
          <w:szCs w:val="20"/>
          <w:color w:val="auto"/>
        </w:rPr>
      </w:pPr>
      <w:r>
        <w:rPr>
          <w:rFonts w:ascii="Arial" w:cs="Arial" w:eastAsia="Arial" w:hAnsi="Arial"/>
          <w:sz w:val="14"/>
          <w:szCs w:val="14"/>
          <w:color w:val="auto"/>
        </w:rPr>
        <w:t>Defined benefit obligations and plan assets, and the resulting liabilities and assets that are recognised, are subject to significant volatility as actuarial assumptions regarding future outcomes and market values change. Substantial judgement is required in determining the actuarial assumptions, which vary for the different plans to reflect local conditions but are determined under a common process in consultation with independent actuaries. The assumptions applied in respect of each plan are reviewed annually and adjusted where necessary to reflect changes in experience and actuarial recommendations.</w:t>
      </w:r>
    </w:p>
    <w:p>
      <w:pPr>
        <w:spacing w:after="0" w:line="175" w:lineRule="exact"/>
        <w:rPr>
          <w:sz w:val="20"/>
          <w:szCs w:val="20"/>
          <w:color w:val="auto"/>
        </w:rPr>
      </w:pPr>
    </w:p>
    <w:p>
      <w:pPr>
        <w:ind w:right="120"/>
        <w:spacing w:after="0" w:line="258" w:lineRule="auto"/>
        <w:rPr>
          <w:sz w:val="20"/>
          <w:szCs w:val="20"/>
          <w:color w:val="auto"/>
        </w:rPr>
      </w:pPr>
      <w:r>
        <w:rPr>
          <w:rFonts w:ascii="Arial" w:cs="Arial" w:eastAsia="Arial" w:hAnsi="Arial"/>
          <w:sz w:val="14"/>
          <w:szCs w:val="14"/>
          <w:color w:val="auto"/>
        </w:rPr>
        <w:t>Information about the amounts reported in respect of defined benefit pension plans, assumptions applicable to the principal plans and their sensitivity to changes are presented in Note 17.</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Decommissioning and restoration provisions</w:t>
      </w:r>
    </w:p>
    <w:p>
      <w:pPr>
        <w:spacing w:after="0" w:line="1" w:lineRule="exact"/>
        <w:rPr>
          <w:sz w:val="20"/>
          <w:szCs w:val="20"/>
          <w:color w:val="auto"/>
        </w:rPr>
      </w:pPr>
    </w:p>
    <w:p>
      <w:pPr>
        <w:jc w:val="both"/>
        <w:ind w:right="20"/>
        <w:spacing w:after="0" w:line="250" w:lineRule="auto"/>
        <w:rPr>
          <w:sz w:val="20"/>
          <w:szCs w:val="20"/>
          <w:color w:val="auto"/>
        </w:rPr>
      </w:pPr>
      <w:r>
        <w:rPr>
          <w:rFonts w:ascii="Arial" w:cs="Arial" w:eastAsia="Arial" w:hAnsi="Arial"/>
          <w:sz w:val="14"/>
          <w:szCs w:val="14"/>
          <w:color w:val="auto"/>
        </w:rPr>
        <w:t>Provisions are recognised for the future decommissioning and restoration of hydrocarbon production facilities and pipelines at the end of their economic lives. The estimated cost is recognised in income over the life of the proved developed reserves on a unit-of-production basis or on a straight-line basis, as applicable. Changes in the estimates of costs to be incurred, proved developed reserves or in the rate of production will therefore impact income, generally over the remaining economic life of the related assets.</w:t>
      </w:r>
    </w:p>
    <w:p>
      <w:pPr>
        <w:spacing w:after="0" w:line="159" w:lineRule="exact"/>
        <w:rPr>
          <w:sz w:val="20"/>
          <w:szCs w:val="20"/>
          <w:color w:val="auto"/>
        </w:rPr>
      </w:pPr>
    </w:p>
    <w:p>
      <w:pPr>
        <w:ind w:right="120"/>
        <w:spacing w:after="0" w:line="250" w:lineRule="auto"/>
        <w:rPr>
          <w:sz w:val="20"/>
          <w:szCs w:val="20"/>
          <w:color w:val="auto"/>
        </w:rPr>
      </w:pPr>
      <w:r>
        <w:rPr>
          <w:rFonts w:ascii="Arial" w:cs="Arial" w:eastAsia="Arial" w:hAnsi="Arial"/>
          <w:sz w:val="14"/>
          <w:szCs w:val="14"/>
          <w:color w:val="auto"/>
        </w:rPr>
        <w:t>Estimates of the amounts of provisions recognised are based on current legal and constructive requirements, technology and price levels. Because actual outflows can differ from estimates due to changes in laws, regulations, public expectations, technology, prices and conditions, and can take place many years in the future, the carrying amounts of provisions are regularly reviewed and adjusted to take account of such changes. The discount rate applied is reviewed annually.</w:t>
      </w:r>
    </w:p>
    <w:p>
      <w:pPr>
        <w:spacing w:after="0" w:line="172" w:lineRule="exact"/>
        <w:rPr>
          <w:sz w:val="20"/>
          <w:szCs w:val="20"/>
          <w:color w:val="auto"/>
        </w:rPr>
      </w:pPr>
    </w:p>
    <w:p>
      <w:pPr>
        <w:spacing w:after="0"/>
        <w:rPr>
          <w:sz w:val="20"/>
          <w:szCs w:val="20"/>
          <w:color w:val="auto"/>
        </w:rPr>
      </w:pPr>
      <w:r>
        <w:rPr>
          <w:rFonts w:ascii="Arial" w:cs="Arial" w:eastAsia="Arial" w:hAnsi="Arial"/>
          <w:sz w:val="14"/>
          <w:szCs w:val="14"/>
          <w:color w:val="auto"/>
        </w:rPr>
        <w:t>Information about decommissioning and restoration provisions is presented in Note 18.</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Taxation</w:t>
      </w:r>
    </w:p>
    <w:p>
      <w:pPr>
        <w:spacing w:after="0" w:line="1" w:lineRule="exact"/>
        <w:rPr>
          <w:sz w:val="20"/>
          <w:szCs w:val="20"/>
          <w:color w:val="auto"/>
        </w:rPr>
      </w:pPr>
    </w:p>
    <w:p>
      <w:pPr>
        <w:spacing w:after="0" w:line="247" w:lineRule="auto"/>
        <w:rPr>
          <w:sz w:val="20"/>
          <w:szCs w:val="20"/>
          <w:color w:val="auto"/>
        </w:rPr>
      </w:pPr>
      <w:r>
        <w:rPr>
          <w:rFonts w:ascii="Arial" w:cs="Arial" w:eastAsia="Arial" w:hAnsi="Arial"/>
          <w:sz w:val="14"/>
          <w:szCs w:val="14"/>
          <w:color w:val="auto"/>
        </w:rPr>
        <w:t>Tax liabilities are recognised when it is considered probable that there will be a future outflow of funds to a taxing authority. In such cases, provision is made for the amount that is expected to be settled, where this can be reasonably estimated. This requires the application of judgement as to the ultimate outcome, which can change over time depending on facts and circumstances. A change in estimate of the likelihood of a future outflow and/or in the expected amount to be settled would be recognised in income in the period in which the change occurs.</w:t>
      </w:r>
    </w:p>
    <w:p>
      <w:pPr>
        <w:spacing w:after="0" w:line="161" w:lineRule="exact"/>
        <w:rPr>
          <w:sz w:val="20"/>
          <w:szCs w:val="20"/>
          <w:color w:val="auto"/>
        </w:rPr>
      </w:pPr>
    </w:p>
    <w:p>
      <w:pPr>
        <w:ind w:right="160"/>
        <w:spacing w:after="0" w:line="247" w:lineRule="auto"/>
        <w:rPr>
          <w:sz w:val="20"/>
          <w:szCs w:val="20"/>
          <w:color w:val="auto"/>
        </w:rPr>
      </w:pPr>
      <w:r>
        <w:rPr>
          <w:rFonts w:ascii="Arial" w:cs="Arial" w:eastAsia="Arial" w:hAnsi="Arial"/>
          <w:sz w:val="14"/>
          <w:szCs w:val="14"/>
          <w:color w:val="auto"/>
        </w:rPr>
        <w:t>Deferred tax assets are recognised only to the extent it is considered probable that those assets will be recoverable. This involves an assessment of when those assets are likely to reverse, and a judgement as to whether or not there will be sufficient taxable profits available to offset the assets when they do reverse. This requires assumptions regarding future profitability and is therefore inherently uncertain. To the extent assumptions regarding future profitability change, there can be an increase or decrease in the amounts recognised in respect of deferred tax assets as well as in the amounts recognised in income in the period in which the change occurs.</w:t>
      </w:r>
    </w:p>
    <w:p>
      <w:pPr>
        <w:spacing w:after="0" w:line="175" w:lineRule="exact"/>
        <w:rPr>
          <w:sz w:val="20"/>
          <w:szCs w:val="20"/>
          <w:color w:val="auto"/>
        </w:rPr>
      </w:pPr>
    </w:p>
    <w:p>
      <w:pPr>
        <w:spacing w:after="0"/>
        <w:rPr>
          <w:sz w:val="20"/>
          <w:szCs w:val="20"/>
          <w:color w:val="auto"/>
        </w:rPr>
      </w:pPr>
      <w:r>
        <w:rPr>
          <w:rFonts w:ascii="Arial" w:cs="Arial" w:eastAsia="Arial" w:hAnsi="Arial"/>
          <w:sz w:val="14"/>
          <w:szCs w:val="14"/>
          <w:color w:val="auto"/>
        </w:rPr>
        <w:t>Taxation information, including charges and deferred tax assets and liabilities, is presented in Note 16.</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Change in shareholding in Woodside</w:t>
      </w:r>
    </w:p>
    <w:p>
      <w:pPr>
        <w:spacing w:after="0" w:line="1" w:lineRule="exact"/>
        <w:rPr>
          <w:sz w:val="20"/>
          <w:szCs w:val="20"/>
          <w:color w:val="auto"/>
        </w:rPr>
      </w:pPr>
    </w:p>
    <w:p>
      <w:pPr>
        <w:ind w:right="140"/>
        <w:spacing w:after="0" w:line="245" w:lineRule="auto"/>
        <w:rPr>
          <w:sz w:val="20"/>
          <w:szCs w:val="20"/>
          <w:color w:val="auto"/>
        </w:rPr>
      </w:pPr>
      <w:r>
        <w:rPr>
          <w:rFonts w:ascii="Arial" w:cs="Arial" w:eastAsia="Arial" w:hAnsi="Arial"/>
          <w:sz w:val="14"/>
          <w:szCs w:val="14"/>
          <w:color w:val="auto"/>
        </w:rPr>
        <w:t>In 2014, Shell’s interest in Woodside Petroleum Limited (Woodside), a publicly listed company on the Australian Securities Exchange, was reduced from 23% to 14% by a sale of shares. In the absence of other factors, a reduction below a shareholding of 20% is an indicator that significant influence over an entity may no longer exist and that therefore the interest in Woodside should no longer be accounted for as an associate, using the equity method, but as a financial asset measured at fair value. However, after considering the level of Shell’s involvement in Woodside’s financial and operating policy decisions, based on Board representation and joint-venture relationships, management concluded that Shell continues to have significant influence over Woodside and therefore should continue to account for the interest as an associate.</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color w:val="auto"/>
        </w:rPr>
        <w:t>4 SEGMENT INFORMATION</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Income information by segment is as follows: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5540" w:type="dxa"/>
            <w:vAlign w:val="bottom"/>
            <w:shd w:val="clear" w:color="auto" w:fill="333333"/>
          </w:tcPr>
          <w:p>
            <w:pPr>
              <w:ind w:left="80"/>
              <w:spacing w:after="0"/>
              <w:rPr>
                <w:sz w:val="20"/>
                <w:szCs w:val="20"/>
                <w:color w:val="auto"/>
              </w:rPr>
            </w:pPr>
            <w:r>
              <w:rPr>
                <w:rFonts w:ascii="Arial" w:cs="Arial" w:eastAsia="Arial" w:hAnsi="Arial"/>
                <w:sz w:val="15"/>
                <w:szCs w:val="15"/>
                <w:b w:val="1"/>
                <w:bCs w:val="1"/>
                <w:color w:val="FFFFFF"/>
              </w:rPr>
              <w:t>2014</w:t>
            </w:r>
          </w:p>
        </w:tc>
        <w:tc>
          <w:tcPr>
            <w:tcW w:w="2540" w:type="dxa"/>
            <w:vAlign w:val="bottom"/>
            <w:shd w:val="clear" w:color="auto" w:fill="333333"/>
          </w:tcPr>
          <w:p>
            <w:pPr>
              <w:spacing w:after="0"/>
              <w:rPr>
                <w:sz w:val="15"/>
                <w:szCs w:val="15"/>
                <w:color w:val="auto"/>
              </w:rPr>
            </w:pPr>
          </w:p>
        </w:tc>
        <w:tc>
          <w:tcPr>
            <w:tcW w:w="1200" w:type="dxa"/>
            <w:vAlign w:val="bottom"/>
            <w:shd w:val="clear" w:color="auto" w:fill="333333"/>
          </w:tcPr>
          <w:p>
            <w:pPr>
              <w:spacing w:after="0"/>
              <w:rPr>
                <w:sz w:val="15"/>
                <w:szCs w:val="15"/>
                <w:color w:val="auto"/>
              </w:rPr>
            </w:pPr>
          </w:p>
        </w:tc>
        <w:tc>
          <w:tcPr>
            <w:tcW w:w="1060" w:type="dxa"/>
            <w:vAlign w:val="bottom"/>
            <w:shd w:val="clear" w:color="auto" w:fill="333333"/>
          </w:tcPr>
          <w:p>
            <w:pPr>
              <w:spacing w:after="0"/>
              <w:rPr>
                <w:sz w:val="15"/>
                <w:szCs w:val="15"/>
                <w:color w:val="auto"/>
              </w:rPr>
            </w:pPr>
          </w:p>
        </w:tc>
        <w:tc>
          <w:tcPr>
            <w:tcW w:w="1080" w:type="dxa"/>
            <w:vAlign w:val="bottom"/>
            <w:shd w:val="clear" w:color="auto" w:fill="333333"/>
          </w:tcPr>
          <w:p>
            <w:pPr>
              <w:jc w:val="right"/>
              <w:ind w:right="28"/>
              <w:spacing w:after="0"/>
              <w:rPr>
                <w:sz w:val="20"/>
                <w:szCs w:val="20"/>
                <w:color w:val="auto"/>
              </w:rPr>
            </w:pPr>
            <w:r>
              <w:rPr>
                <w:rFonts w:ascii="Arial" w:cs="Arial" w:eastAsia="Arial" w:hAnsi="Arial"/>
                <w:sz w:val="15"/>
                <w:szCs w:val="15"/>
                <w:color w:val="FFFFFF"/>
              </w:rPr>
              <w:t>$ MILLION</w:t>
            </w:r>
          </w:p>
        </w:tc>
      </w:tr>
      <w:tr>
        <w:trPr>
          <w:trHeight w:val="149"/>
        </w:trPr>
        <w:tc>
          <w:tcPr>
            <w:tcW w:w="5540" w:type="dxa"/>
            <w:vAlign w:val="bottom"/>
            <w:tcBorders>
              <w:bottom w:val="single" w:sz="8" w:color="auto"/>
            </w:tcBorders>
          </w:tcPr>
          <w:p>
            <w:pPr>
              <w:spacing w:after="0"/>
              <w:rPr>
                <w:sz w:val="12"/>
                <w:szCs w:val="12"/>
                <w:color w:val="auto"/>
              </w:rPr>
            </w:pPr>
          </w:p>
        </w:tc>
        <w:tc>
          <w:tcPr>
            <w:tcW w:w="2540" w:type="dxa"/>
            <w:vAlign w:val="bottom"/>
            <w:tcBorders>
              <w:bottom w:val="single" w:sz="8" w:color="auto"/>
            </w:tcBorders>
          </w:tcPr>
          <w:p>
            <w:pPr>
              <w:jc w:val="right"/>
              <w:ind w:right="169"/>
              <w:spacing w:after="0"/>
              <w:rPr>
                <w:sz w:val="20"/>
                <w:szCs w:val="20"/>
                <w:color w:val="auto"/>
              </w:rPr>
            </w:pPr>
            <w:r>
              <w:rPr>
                <w:rFonts w:ascii="Arial" w:cs="Arial" w:eastAsia="Arial" w:hAnsi="Arial"/>
                <w:sz w:val="13"/>
                <w:szCs w:val="13"/>
                <w:color w:val="auto"/>
              </w:rPr>
              <w:t>Upstream</w:t>
            </w:r>
          </w:p>
        </w:tc>
        <w:tc>
          <w:tcPr>
            <w:tcW w:w="1200" w:type="dxa"/>
            <w:vAlign w:val="bottom"/>
            <w:tcBorders>
              <w:bottom w:val="single" w:sz="8" w:color="auto"/>
            </w:tcBorders>
          </w:tcPr>
          <w:p>
            <w:pPr>
              <w:jc w:val="right"/>
              <w:ind w:right="189"/>
              <w:spacing w:after="0"/>
              <w:rPr>
                <w:sz w:val="20"/>
                <w:szCs w:val="20"/>
                <w:color w:val="auto"/>
              </w:rPr>
            </w:pPr>
            <w:r>
              <w:rPr>
                <w:rFonts w:ascii="Arial" w:cs="Arial" w:eastAsia="Arial" w:hAnsi="Arial"/>
                <w:sz w:val="13"/>
                <w:szCs w:val="13"/>
                <w:color w:val="auto"/>
              </w:rPr>
              <w:t>Downstream</w:t>
            </w:r>
          </w:p>
        </w:tc>
        <w:tc>
          <w:tcPr>
            <w:tcW w:w="1060" w:type="dxa"/>
            <w:vAlign w:val="bottom"/>
            <w:tcBorders>
              <w:bottom w:val="single" w:sz="8" w:color="auto"/>
            </w:tcBorders>
          </w:tcPr>
          <w:p>
            <w:pPr>
              <w:jc w:val="right"/>
              <w:ind w:right="209"/>
              <w:spacing w:after="0"/>
              <w:rPr>
                <w:sz w:val="20"/>
                <w:szCs w:val="20"/>
                <w:color w:val="auto"/>
              </w:rPr>
            </w:pPr>
            <w:r>
              <w:rPr>
                <w:rFonts w:ascii="Arial" w:cs="Arial" w:eastAsia="Arial" w:hAnsi="Arial"/>
                <w:sz w:val="13"/>
                <w:szCs w:val="13"/>
                <w:color w:val="auto"/>
              </w:rPr>
              <w:t>Corporate</w:t>
            </w:r>
          </w:p>
        </w:tc>
        <w:tc>
          <w:tcPr>
            <w:tcW w:w="1080" w:type="dxa"/>
            <w:vAlign w:val="bottom"/>
            <w:tcBorders>
              <w:bottom w:val="single" w:sz="8" w:color="auto"/>
            </w:tcBorders>
          </w:tcPr>
          <w:p>
            <w:pPr>
              <w:jc w:val="right"/>
              <w:ind w:right="148"/>
              <w:spacing w:after="0"/>
              <w:rPr>
                <w:sz w:val="20"/>
                <w:szCs w:val="20"/>
                <w:color w:val="auto"/>
              </w:rPr>
            </w:pPr>
            <w:r>
              <w:rPr>
                <w:rFonts w:ascii="Arial" w:cs="Arial" w:eastAsia="Arial" w:hAnsi="Arial"/>
                <w:sz w:val="13"/>
                <w:szCs w:val="13"/>
                <w:color w:val="auto"/>
              </w:rPr>
              <w:t>Total</w:t>
            </w:r>
          </w:p>
        </w:tc>
      </w:tr>
      <w:tr>
        <w:trPr>
          <w:trHeight w:val="160"/>
        </w:trPr>
        <w:tc>
          <w:tcPr>
            <w:tcW w:w="5540" w:type="dxa"/>
            <w:vAlign w:val="bottom"/>
          </w:tcPr>
          <w:p>
            <w:pPr>
              <w:spacing w:after="0"/>
              <w:rPr>
                <w:sz w:val="20"/>
                <w:szCs w:val="20"/>
                <w:color w:val="auto"/>
              </w:rPr>
            </w:pPr>
            <w:r>
              <w:rPr>
                <w:rFonts w:ascii="Arial" w:cs="Arial" w:eastAsia="Arial" w:hAnsi="Arial"/>
                <w:sz w:val="14"/>
                <w:szCs w:val="14"/>
                <w:color w:val="auto"/>
              </w:rPr>
              <w:t>Revenue and other income</w:t>
            </w:r>
          </w:p>
        </w:tc>
        <w:tc>
          <w:tcPr>
            <w:tcW w:w="25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r>
      <w:tr>
        <w:trPr>
          <w:trHeight w:val="162"/>
        </w:trPr>
        <w:tc>
          <w:tcPr>
            <w:tcW w:w="5540" w:type="dxa"/>
            <w:vAlign w:val="bottom"/>
          </w:tcPr>
          <w:p>
            <w:pPr>
              <w:ind w:left="140"/>
              <w:spacing w:after="0"/>
              <w:rPr>
                <w:sz w:val="20"/>
                <w:szCs w:val="20"/>
                <w:color w:val="auto"/>
              </w:rPr>
            </w:pPr>
            <w:r>
              <w:rPr>
                <w:rFonts w:ascii="Arial" w:cs="Arial" w:eastAsia="Arial" w:hAnsi="Arial"/>
                <w:sz w:val="14"/>
                <w:szCs w:val="14"/>
                <w:color w:val="auto"/>
              </w:rPr>
              <w:t>Revenue</w:t>
            </w:r>
          </w:p>
        </w:tc>
        <w:tc>
          <w:tcPr>
            <w:tcW w:w="25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62"/>
        </w:trPr>
        <w:tc>
          <w:tcPr>
            <w:tcW w:w="5540" w:type="dxa"/>
            <w:vAlign w:val="bottom"/>
          </w:tcPr>
          <w:p>
            <w:pPr>
              <w:ind w:left="260"/>
              <w:spacing w:after="0"/>
              <w:rPr>
                <w:sz w:val="20"/>
                <w:szCs w:val="20"/>
                <w:color w:val="auto"/>
              </w:rPr>
            </w:pPr>
            <w:r>
              <w:rPr>
                <w:rFonts w:ascii="Arial" w:cs="Arial" w:eastAsia="Arial" w:hAnsi="Arial"/>
                <w:sz w:val="14"/>
                <w:szCs w:val="14"/>
                <w:color w:val="auto"/>
              </w:rPr>
              <w:t>Third party</w:t>
            </w:r>
          </w:p>
        </w:tc>
        <w:tc>
          <w:tcPr>
            <w:tcW w:w="2540" w:type="dxa"/>
            <w:vAlign w:val="bottom"/>
          </w:tcPr>
          <w:p>
            <w:pPr>
              <w:jc w:val="right"/>
              <w:ind w:right="169"/>
              <w:spacing w:after="0"/>
              <w:rPr>
                <w:sz w:val="20"/>
                <w:szCs w:val="20"/>
                <w:color w:val="auto"/>
              </w:rPr>
            </w:pPr>
            <w:r>
              <w:rPr>
                <w:rFonts w:ascii="Arial" w:cs="Arial" w:eastAsia="Arial" w:hAnsi="Arial"/>
                <w:sz w:val="14"/>
                <w:szCs w:val="14"/>
                <w:color w:val="auto"/>
              </w:rPr>
              <w:t>45,240</w:t>
            </w:r>
          </w:p>
        </w:tc>
        <w:tc>
          <w:tcPr>
            <w:tcW w:w="1200" w:type="dxa"/>
            <w:vAlign w:val="bottom"/>
          </w:tcPr>
          <w:p>
            <w:pPr>
              <w:jc w:val="right"/>
              <w:ind w:right="189"/>
              <w:spacing w:after="0"/>
              <w:rPr>
                <w:sz w:val="20"/>
                <w:szCs w:val="20"/>
                <w:color w:val="auto"/>
              </w:rPr>
            </w:pPr>
            <w:r>
              <w:rPr>
                <w:rFonts w:ascii="Arial" w:cs="Arial" w:eastAsia="Arial" w:hAnsi="Arial"/>
                <w:sz w:val="14"/>
                <w:szCs w:val="14"/>
                <w:color w:val="auto"/>
              </w:rPr>
              <w:t>375,752</w:t>
            </w:r>
          </w:p>
        </w:tc>
        <w:tc>
          <w:tcPr>
            <w:tcW w:w="1060" w:type="dxa"/>
            <w:vAlign w:val="bottom"/>
          </w:tcPr>
          <w:p>
            <w:pPr>
              <w:jc w:val="right"/>
              <w:ind w:right="209"/>
              <w:spacing w:after="0"/>
              <w:rPr>
                <w:sz w:val="20"/>
                <w:szCs w:val="20"/>
                <w:color w:val="auto"/>
              </w:rPr>
            </w:pPr>
            <w:r>
              <w:rPr>
                <w:rFonts w:ascii="Arial" w:cs="Arial" w:eastAsia="Arial" w:hAnsi="Arial"/>
                <w:sz w:val="14"/>
                <w:szCs w:val="14"/>
                <w:color w:val="auto"/>
              </w:rPr>
              <w:t>113</w:t>
            </w:r>
          </w:p>
        </w:tc>
        <w:tc>
          <w:tcPr>
            <w:tcW w:w="1080" w:type="dxa"/>
            <w:vAlign w:val="bottom"/>
          </w:tcPr>
          <w:p>
            <w:pPr>
              <w:jc w:val="right"/>
              <w:ind w:right="148"/>
              <w:spacing w:after="0"/>
              <w:rPr>
                <w:sz w:val="20"/>
                <w:szCs w:val="20"/>
                <w:color w:val="auto"/>
              </w:rPr>
            </w:pPr>
            <w:r>
              <w:rPr>
                <w:rFonts w:ascii="Arial" w:cs="Arial" w:eastAsia="Arial" w:hAnsi="Arial"/>
                <w:sz w:val="14"/>
                <w:szCs w:val="14"/>
                <w:color w:val="auto"/>
              </w:rPr>
              <w:t>421,105</w:t>
            </w:r>
          </w:p>
        </w:tc>
      </w:tr>
      <w:tr>
        <w:trPr>
          <w:trHeight w:val="162"/>
        </w:trPr>
        <w:tc>
          <w:tcPr>
            <w:tcW w:w="5540" w:type="dxa"/>
            <w:vAlign w:val="bottom"/>
          </w:tcPr>
          <w:p>
            <w:pPr>
              <w:ind w:left="260"/>
              <w:spacing w:after="0"/>
              <w:rPr>
                <w:sz w:val="20"/>
                <w:szCs w:val="20"/>
                <w:color w:val="auto"/>
              </w:rPr>
            </w:pPr>
            <w:r>
              <w:rPr>
                <w:rFonts w:ascii="Arial" w:cs="Arial" w:eastAsia="Arial" w:hAnsi="Arial"/>
                <w:sz w:val="14"/>
                <w:szCs w:val="14"/>
                <w:color w:val="auto"/>
              </w:rPr>
              <w:t>Inter-segment</w:t>
            </w:r>
          </w:p>
        </w:tc>
        <w:tc>
          <w:tcPr>
            <w:tcW w:w="2540" w:type="dxa"/>
            <w:vAlign w:val="bottom"/>
          </w:tcPr>
          <w:p>
            <w:pPr>
              <w:jc w:val="right"/>
              <w:ind w:right="169"/>
              <w:spacing w:after="0"/>
              <w:rPr>
                <w:sz w:val="20"/>
                <w:szCs w:val="20"/>
                <w:color w:val="auto"/>
              </w:rPr>
            </w:pPr>
            <w:r>
              <w:rPr>
                <w:rFonts w:ascii="Arial" w:cs="Arial" w:eastAsia="Arial" w:hAnsi="Arial"/>
                <w:sz w:val="14"/>
                <w:szCs w:val="14"/>
                <w:color w:val="auto"/>
              </w:rPr>
              <w:t>47,059</w:t>
            </w:r>
          </w:p>
        </w:tc>
        <w:tc>
          <w:tcPr>
            <w:tcW w:w="1200" w:type="dxa"/>
            <w:vAlign w:val="bottom"/>
          </w:tcPr>
          <w:p>
            <w:pPr>
              <w:jc w:val="right"/>
              <w:ind w:right="189"/>
              <w:spacing w:after="0"/>
              <w:rPr>
                <w:sz w:val="20"/>
                <w:szCs w:val="20"/>
                <w:color w:val="auto"/>
              </w:rPr>
            </w:pPr>
            <w:r>
              <w:rPr>
                <w:rFonts w:ascii="Arial" w:cs="Arial" w:eastAsia="Arial" w:hAnsi="Arial"/>
                <w:sz w:val="14"/>
                <w:szCs w:val="14"/>
                <w:color w:val="auto"/>
              </w:rPr>
              <w:t>2,294</w:t>
            </w:r>
          </w:p>
        </w:tc>
        <w:tc>
          <w:tcPr>
            <w:tcW w:w="1060" w:type="dxa"/>
            <w:vAlign w:val="bottom"/>
          </w:tcPr>
          <w:p>
            <w:pPr>
              <w:jc w:val="right"/>
              <w:ind w:right="209"/>
              <w:spacing w:after="0"/>
              <w:rPr>
                <w:sz w:val="20"/>
                <w:szCs w:val="20"/>
                <w:color w:val="auto"/>
              </w:rPr>
            </w:pPr>
            <w:r>
              <w:rPr>
                <w:rFonts w:ascii="Arial" w:cs="Arial" w:eastAsia="Arial" w:hAnsi="Arial"/>
                <w:sz w:val="14"/>
                <w:szCs w:val="14"/>
                <w:color w:val="auto"/>
              </w:rPr>
              <w:t>–</w:t>
            </w:r>
          </w:p>
        </w:tc>
        <w:tc>
          <w:tcPr>
            <w:tcW w:w="1080" w:type="dxa"/>
            <w:vAlign w:val="bottom"/>
          </w:tcPr>
          <w:p>
            <w:pPr>
              <w:spacing w:after="0"/>
              <w:rPr>
                <w:sz w:val="14"/>
                <w:szCs w:val="14"/>
                <w:color w:val="auto"/>
              </w:rPr>
            </w:pPr>
          </w:p>
        </w:tc>
      </w:tr>
      <w:tr>
        <w:trPr>
          <w:trHeight w:val="162"/>
        </w:trPr>
        <w:tc>
          <w:tcPr>
            <w:tcW w:w="5540" w:type="dxa"/>
            <w:vAlign w:val="bottom"/>
          </w:tcPr>
          <w:p>
            <w:pPr>
              <w:ind w:left="140"/>
              <w:spacing w:after="0"/>
              <w:rPr>
                <w:sz w:val="20"/>
                <w:szCs w:val="20"/>
                <w:color w:val="auto"/>
              </w:rPr>
            </w:pPr>
            <w:r>
              <w:rPr>
                <w:rFonts w:ascii="Arial" w:cs="Arial" w:eastAsia="Arial" w:hAnsi="Arial"/>
                <w:sz w:val="14"/>
                <w:szCs w:val="14"/>
                <w:color w:val="auto"/>
              </w:rPr>
              <w:t>Share of profit/(loss) of joint ventures and associates</w:t>
            </w:r>
          </w:p>
        </w:tc>
        <w:tc>
          <w:tcPr>
            <w:tcW w:w="2540" w:type="dxa"/>
            <w:vAlign w:val="bottom"/>
          </w:tcPr>
          <w:p>
            <w:pPr>
              <w:jc w:val="right"/>
              <w:ind w:right="169"/>
              <w:spacing w:after="0"/>
              <w:rPr>
                <w:sz w:val="20"/>
                <w:szCs w:val="20"/>
                <w:color w:val="auto"/>
              </w:rPr>
            </w:pPr>
            <w:r>
              <w:rPr>
                <w:rFonts w:ascii="Arial" w:cs="Arial" w:eastAsia="Arial" w:hAnsi="Arial"/>
                <w:sz w:val="14"/>
                <w:szCs w:val="14"/>
                <w:color w:val="auto"/>
              </w:rPr>
              <w:t>5,502</w:t>
            </w:r>
          </w:p>
        </w:tc>
        <w:tc>
          <w:tcPr>
            <w:tcW w:w="1200" w:type="dxa"/>
            <w:vAlign w:val="bottom"/>
          </w:tcPr>
          <w:p>
            <w:pPr>
              <w:jc w:val="right"/>
              <w:ind w:right="189"/>
              <w:spacing w:after="0"/>
              <w:rPr>
                <w:sz w:val="20"/>
                <w:szCs w:val="20"/>
                <w:color w:val="auto"/>
              </w:rPr>
            </w:pPr>
            <w:r>
              <w:rPr>
                <w:rFonts w:ascii="Arial" w:cs="Arial" w:eastAsia="Arial" w:hAnsi="Arial"/>
                <w:sz w:val="14"/>
                <w:szCs w:val="14"/>
                <w:color w:val="auto"/>
              </w:rPr>
              <w:t>965</w:t>
            </w:r>
          </w:p>
        </w:tc>
        <w:tc>
          <w:tcPr>
            <w:tcW w:w="1060" w:type="dxa"/>
            <w:vAlign w:val="bottom"/>
          </w:tcPr>
          <w:p>
            <w:pPr>
              <w:jc w:val="right"/>
              <w:ind w:right="169"/>
              <w:spacing w:after="0"/>
              <w:rPr>
                <w:sz w:val="20"/>
                <w:szCs w:val="20"/>
                <w:color w:val="auto"/>
              </w:rPr>
            </w:pPr>
            <w:r>
              <w:rPr>
                <w:rFonts w:ascii="Arial" w:cs="Arial" w:eastAsia="Arial" w:hAnsi="Arial"/>
                <w:sz w:val="14"/>
                <w:szCs w:val="14"/>
                <w:color w:val="auto"/>
              </w:rPr>
              <w:t>(351)</w:t>
            </w:r>
          </w:p>
        </w:tc>
        <w:tc>
          <w:tcPr>
            <w:tcW w:w="1080" w:type="dxa"/>
            <w:vAlign w:val="bottom"/>
          </w:tcPr>
          <w:p>
            <w:pPr>
              <w:jc w:val="right"/>
              <w:ind w:right="148"/>
              <w:spacing w:after="0"/>
              <w:rPr>
                <w:sz w:val="20"/>
                <w:szCs w:val="20"/>
                <w:color w:val="auto"/>
              </w:rPr>
            </w:pPr>
            <w:r>
              <w:rPr>
                <w:rFonts w:ascii="Arial" w:cs="Arial" w:eastAsia="Arial" w:hAnsi="Arial"/>
                <w:sz w:val="14"/>
                <w:szCs w:val="14"/>
                <w:color w:val="auto"/>
              </w:rPr>
              <w:t>6,116</w:t>
            </w:r>
          </w:p>
        </w:tc>
      </w:tr>
      <w:tr>
        <w:trPr>
          <w:trHeight w:val="157"/>
        </w:trPr>
        <w:tc>
          <w:tcPr>
            <w:tcW w:w="5540" w:type="dxa"/>
            <w:vAlign w:val="bottom"/>
            <w:tcBorders>
              <w:bottom w:val="single" w:sz="8" w:color="auto"/>
            </w:tcBorders>
          </w:tcPr>
          <w:p>
            <w:pPr>
              <w:ind w:left="140"/>
              <w:spacing w:after="0" w:line="157" w:lineRule="exact"/>
              <w:rPr>
                <w:sz w:val="20"/>
                <w:szCs w:val="20"/>
                <w:color w:val="auto"/>
              </w:rPr>
            </w:pPr>
            <w:r>
              <w:rPr>
                <w:rFonts w:ascii="Arial" w:cs="Arial" w:eastAsia="Arial" w:hAnsi="Arial"/>
                <w:sz w:val="14"/>
                <w:szCs w:val="14"/>
                <w:color w:val="auto"/>
              </w:rPr>
              <w:t>Interest and other income</w:t>
            </w:r>
          </w:p>
        </w:tc>
        <w:tc>
          <w:tcPr>
            <w:tcW w:w="2540" w:type="dxa"/>
            <w:vAlign w:val="bottom"/>
            <w:tcBorders>
              <w:bottom w:val="single" w:sz="8" w:color="auto"/>
            </w:tcBorders>
          </w:tcPr>
          <w:p>
            <w:pPr>
              <w:jc w:val="right"/>
              <w:ind w:right="169"/>
              <w:spacing w:after="0" w:line="157" w:lineRule="exact"/>
              <w:rPr>
                <w:sz w:val="20"/>
                <w:szCs w:val="20"/>
                <w:color w:val="auto"/>
              </w:rPr>
            </w:pPr>
            <w:r>
              <w:rPr>
                <w:rFonts w:ascii="Arial" w:cs="Arial" w:eastAsia="Arial" w:hAnsi="Arial"/>
                <w:sz w:val="14"/>
                <w:szCs w:val="14"/>
                <w:color w:val="auto"/>
              </w:rPr>
              <w:t>4,029</w:t>
            </w:r>
          </w:p>
        </w:tc>
        <w:tc>
          <w:tcPr>
            <w:tcW w:w="1200" w:type="dxa"/>
            <w:vAlign w:val="bottom"/>
            <w:tcBorders>
              <w:bottom w:val="single" w:sz="8" w:color="auto"/>
            </w:tcBorders>
          </w:tcPr>
          <w:p>
            <w:pPr>
              <w:jc w:val="right"/>
              <w:ind w:right="189"/>
              <w:spacing w:after="0" w:line="157" w:lineRule="exact"/>
              <w:rPr>
                <w:sz w:val="20"/>
                <w:szCs w:val="20"/>
                <w:color w:val="auto"/>
              </w:rPr>
            </w:pPr>
            <w:r>
              <w:rPr>
                <w:rFonts w:ascii="Arial" w:cs="Arial" w:eastAsia="Arial" w:hAnsi="Arial"/>
                <w:sz w:val="14"/>
                <w:szCs w:val="14"/>
                <w:color w:val="auto"/>
              </w:rPr>
              <w:t>41</w:t>
            </w:r>
          </w:p>
        </w:tc>
        <w:tc>
          <w:tcPr>
            <w:tcW w:w="1060" w:type="dxa"/>
            <w:vAlign w:val="bottom"/>
            <w:tcBorders>
              <w:bottom w:val="single" w:sz="8" w:color="auto"/>
            </w:tcBorders>
          </w:tcPr>
          <w:p>
            <w:pPr>
              <w:jc w:val="right"/>
              <w:ind w:right="209"/>
              <w:spacing w:after="0" w:line="157" w:lineRule="exact"/>
              <w:rPr>
                <w:sz w:val="20"/>
                <w:szCs w:val="20"/>
                <w:color w:val="auto"/>
              </w:rPr>
            </w:pPr>
            <w:r>
              <w:rPr>
                <w:rFonts w:ascii="Arial" w:cs="Arial" w:eastAsia="Arial" w:hAnsi="Arial"/>
                <w:sz w:val="14"/>
                <w:szCs w:val="14"/>
                <w:color w:val="auto"/>
              </w:rPr>
              <w:t>53</w:t>
            </w:r>
          </w:p>
        </w:tc>
        <w:tc>
          <w:tcPr>
            <w:tcW w:w="1080" w:type="dxa"/>
            <w:vAlign w:val="bottom"/>
            <w:tcBorders>
              <w:bottom w:val="single" w:sz="8" w:color="auto"/>
            </w:tcBorders>
          </w:tcPr>
          <w:p>
            <w:pPr>
              <w:jc w:val="right"/>
              <w:ind w:right="148"/>
              <w:spacing w:after="0" w:line="157" w:lineRule="exact"/>
              <w:rPr>
                <w:sz w:val="20"/>
                <w:szCs w:val="20"/>
                <w:color w:val="auto"/>
              </w:rPr>
            </w:pPr>
            <w:r>
              <w:rPr>
                <w:rFonts w:ascii="Arial" w:cs="Arial" w:eastAsia="Arial" w:hAnsi="Arial"/>
                <w:sz w:val="14"/>
                <w:szCs w:val="14"/>
                <w:color w:val="auto"/>
              </w:rPr>
              <w:t>4,123</w:t>
            </w:r>
          </w:p>
        </w:tc>
      </w:tr>
      <w:tr>
        <w:trPr>
          <w:trHeight w:val="156"/>
        </w:trPr>
        <w:tc>
          <w:tcPr>
            <w:tcW w:w="5540" w:type="dxa"/>
            <w:vAlign w:val="bottom"/>
            <w:tcBorders>
              <w:bottom w:val="single" w:sz="8" w:color="auto"/>
            </w:tcBorders>
          </w:tcPr>
          <w:p>
            <w:pPr>
              <w:spacing w:after="0" w:line="155" w:lineRule="exact"/>
              <w:rPr>
                <w:sz w:val="20"/>
                <w:szCs w:val="20"/>
                <w:color w:val="auto"/>
              </w:rPr>
            </w:pPr>
            <w:r>
              <w:rPr>
                <w:rFonts w:ascii="Arial" w:cs="Arial" w:eastAsia="Arial" w:hAnsi="Arial"/>
                <w:sz w:val="14"/>
                <w:szCs w:val="14"/>
                <w:color w:val="auto"/>
              </w:rPr>
              <w:t>Total</w:t>
            </w:r>
          </w:p>
        </w:tc>
        <w:tc>
          <w:tcPr>
            <w:tcW w:w="254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148"/>
              <w:spacing w:after="0" w:line="155" w:lineRule="exact"/>
              <w:rPr>
                <w:sz w:val="20"/>
                <w:szCs w:val="20"/>
                <w:color w:val="auto"/>
              </w:rPr>
            </w:pPr>
            <w:r>
              <w:rPr>
                <w:rFonts w:ascii="Arial" w:cs="Arial" w:eastAsia="Arial" w:hAnsi="Arial"/>
                <w:sz w:val="14"/>
                <w:szCs w:val="14"/>
                <w:color w:val="auto"/>
              </w:rPr>
              <w:t>431,344</w:t>
            </w:r>
          </w:p>
        </w:tc>
      </w:tr>
      <w:tr>
        <w:trPr>
          <w:trHeight w:val="169"/>
        </w:trPr>
        <w:tc>
          <w:tcPr>
            <w:tcW w:w="554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CCS earnings</w:t>
            </w:r>
          </w:p>
        </w:tc>
        <w:tc>
          <w:tcPr>
            <w:tcW w:w="2540" w:type="dxa"/>
            <w:vAlign w:val="bottom"/>
            <w:tcBorders>
              <w:bottom w:val="single" w:sz="8" w:color="auto"/>
            </w:tcBorders>
          </w:tcPr>
          <w:p>
            <w:pPr>
              <w:jc w:val="right"/>
              <w:ind w:right="169"/>
              <w:spacing w:after="0"/>
              <w:rPr>
                <w:sz w:val="20"/>
                <w:szCs w:val="20"/>
                <w:color w:val="auto"/>
              </w:rPr>
            </w:pPr>
            <w:r>
              <w:rPr>
                <w:rFonts w:ascii="Arial" w:cs="Arial" w:eastAsia="Arial" w:hAnsi="Arial"/>
                <w:sz w:val="14"/>
                <w:szCs w:val="14"/>
                <w:color w:val="auto"/>
              </w:rPr>
              <w:t>15,841</w:t>
            </w:r>
          </w:p>
        </w:tc>
        <w:tc>
          <w:tcPr>
            <w:tcW w:w="1200" w:type="dxa"/>
            <w:vAlign w:val="bottom"/>
            <w:tcBorders>
              <w:bottom w:val="single" w:sz="8" w:color="auto"/>
            </w:tcBorders>
          </w:tcPr>
          <w:p>
            <w:pPr>
              <w:jc w:val="right"/>
              <w:ind w:right="189"/>
              <w:spacing w:after="0"/>
              <w:rPr>
                <w:sz w:val="20"/>
                <w:szCs w:val="20"/>
                <w:color w:val="auto"/>
              </w:rPr>
            </w:pPr>
            <w:r>
              <w:rPr>
                <w:rFonts w:ascii="Arial" w:cs="Arial" w:eastAsia="Arial" w:hAnsi="Arial"/>
                <w:sz w:val="14"/>
                <w:szCs w:val="14"/>
                <w:color w:val="auto"/>
              </w:rPr>
              <w:t>3,411</w:t>
            </w:r>
          </w:p>
        </w:tc>
        <w:tc>
          <w:tcPr>
            <w:tcW w:w="1060" w:type="dxa"/>
            <w:vAlign w:val="bottom"/>
            <w:tcBorders>
              <w:bottom w:val="single" w:sz="8" w:color="auto"/>
            </w:tcBorders>
          </w:tcPr>
          <w:p>
            <w:pPr>
              <w:jc w:val="right"/>
              <w:ind w:right="169"/>
              <w:spacing w:after="0"/>
              <w:rPr>
                <w:sz w:val="20"/>
                <w:szCs w:val="20"/>
                <w:color w:val="auto"/>
              </w:rPr>
            </w:pPr>
            <w:r>
              <w:rPr>
                <w:rFonts w:ascii="Arial" w:cs="Arial" w:eastAsia="Arial" w:hAnsi="Arial"/>
                <w:sz w:val="14"/>
                <w:szCs w:val="14"/>
                <w:color w:val="auto"/>
              </w:rPr>
              <w:t>(156)</w:t>
            </w:r>
          </w:p>
        </w:tc>
        <w:tc>
          <w:tcPr>
            <w:tcW w:w="108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19,096</w:t>
            </w:r>
          </w:p>
        </w:tc>
      </w:tr>
      <w:tr>
        <w:trPr>
          <w:trHeight w:val="160"/>
        </w:trPr>
        <w:tc>
          <w:tcPr>
            <w:tcW w:w="5540" w:type="dxa"/>
            <w:vAlign w:val="bottom"/>
          </w:tcPr>
          <w:p>
            <w:pPr>
              <w:spacing w:after="0"/>
              <w:rPr>
                <w:sz w:val="20"/>
                <w:szCs w:val="20"/>
                <w:color w:val="auto"/>
              </w:rPr>
            </w:pPr>
            <w:r>
              <w:rPr>
                <w:rFonts w:ascii="Arial" w:cs="Arial" w:eastAsia="Arial" w:hAnsi="Arial"/>
                <w:sz w:val="14"/>
                <w:szCs w:val="14"/>
                <w:color w:val="auto"/>
              </w:rPr>
              <w:t>Other items</w:t>
            </w:r>
          </w:p>
        </w:tc>
        <w:tc>
          <w:tcPr>
            <w:tcW w:w="25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r>
      <w:tr>
        <w:trPr>
          <w:trHeight w:val="162"/>
        </w:trPr>
        <w:tc>
          <w:tcPr>
            <w:tcW w:w="5540" w:type="dxa"/>
            <w:vAlign w:val="bottom"/>
          </w:tcPr>
          <w:p>
            <w:pPr>
              <w:ind w:left="140"/>
              <w:spacing w:after="0"/>
              <w:rPr>
                <w:sz w:val="20"/>
                <w:szCs w:val="20"/>
                <w:color w:val="auto"/>
              </w:rPr>
            </w:pPr>
            <w:r>
              <w:rPr>
                <w:rFonts w:ascii="Arial" w:cs="Arial" w:eastAsia="Arial" w:hAnsi="Arial"/>
                <w:sz w:val="14"/>
                <w:szCs w:val="14"/>
                <w:color w:val="auto"/>
              </w:rPr>
              <w:t>Depreciation, depletion and amortisation charge of which:</w:t>
            </w:r>
          </w:p>
        </w:tc>
        <w:tc>
          <w:tcPr>
            <w:tcW w:w="2540" w:type="dxa"/>
            <w:vAlign w:val="bottom"/>
          </w:tcPr>
          <w:p>
            <w:pPr>
              <w:jc w:val="right"/>
              <w:ind w:right="169"/>
              <w:spacing w:after="0"/>
              <w:rPr>
                <w:sz w:val="20"/>
                <w:szCs w:val="20"/>
                <w:color w:val="auto"/>
              </w:rPr>
            </w:pPr>
            <w:r>
              <w:rPr>
                <w:rFonts w:ascii="Arial" w:cs="Arial" w:eastAsia="Arial" w:hAnsi="Arial"/>
                <w:sz w:val="14"/>
                <w:szCs w:val="14"/>
                <w:color w:val="auto"/>
              </w:rPr>
              <w:t>17,868</w:t>
            </w:r>
          </w:p>
        </w:tc>
        <w:tc>
          <w:tcPr>
            <w:tcW w:w="1200" w:type="dxa"/>
            <w:vAlign w:val="bottom"/>
          </w:tcPr>
          <w:p>
            <w:pPr>
              <w:jc w:val="right"/>
              <w:ind w:right="189"/>
              <w:spacing w:after="0"/>
              <w:rPr>
                <w:sz w:val="20"/>
                <w:szCs w:val="20"/>
                <w:color w:val="auto"/>
              </w:rPr>
            </w:pPr>
            <w:r>
              <w:rPr>
                <w:rFonts w:ascii="Arial" w:cs="Arial" w:eastAsia="Arial" w:hAnsi="Arial"/>
                <w:sz w:val="14"/>
                <w:szCs w:val="14"/>
                <w:color w:val="auto"/>
              </w:rPr>
              <w:t>6,619</w:t>
            </w:r>
          </w:p>
        </w:tc>
        <w:tc>
          <w:tcPr>
            <w:tcW w:w="1060" w:type="dxa"/>
            <w:vAlign w:val="bottom"/>
          </w:tcPr>
          <w:p>
            <w:pPr>
              <w:jc w:val="right"/>
              <w:ind w:right="209"/>
              <w:spacing w:after="0"/>
              <w:rPr>
                <w:sz w:val="20"/>
                <w:szCs w:val="20"/>
                <w:color w:val="auto"/>
              </w:rPr>
            </w:pPr>
            <w:r>
              <w:rPr>
                <w:rFonts w:ascii="Arial" w:cs="Arial" w:eastAsia="Arial" w:hAnsi="Arial"/>
                <w:sz w:val="14"/>
                <w:szCs w:val="14"/>
                <w:color w:val="auto"/>
              </w:rPr>
              <w:t>12</w:t>
            </w:r>
          </w:p>
        </w:tc>
        <w:tc>
          <w:tcPr>
            <w:tcW w:w="1080" w:type="dxa"/>
            <w:vAlign w:val="bottom"/>
          </w:tcPr>
          <w:p>
            <w:pPr>
              <w:jc w:val="right"/>
              <w:ind w:right="148"/>
              <w:spacing w:after="0"/>
              <w:rPr>
                <w:sz w:val="20"/>
                <w:szCs w:val="20"/>
                <w:color w:val="auto"/>
              </w:rPr>
            </w:pPr>
            <w:r>
              <w:rPr>
                <w:rFonts w:ascii="Arial" w:cs="Arial" w:eastAsia="Arial" w:hAnsi="Arial"/>
                <w:sz w:val="14"/>
                <w:szCs w:val="14"/>
                <w:color w:val="auto"/>
              </w:rPr>
              <w:t>24,499</w:t>
            </w:r>
          </w:p>
        </w:tc>
      </w:tr>
      <w:tr>
        <w:trPr>
          <w:trHeight w:val="162"/>
        </w:trPr>
        <w:tc>
          <w:tcPr>
            <w:tcW w:w="5540" w:type="dxa"/>
            <w:vAlign w:val="bottom"/>
          </w:tcPr>
          <w:p>
            <w:pPr>
              <w:ind w:left="260"/>
              <w:spacing w:after="0"/>
              <w:rPr>
                <w:sz w:val="20"/>
                <w:szCs w:val="20"/>
                <w:color w:val="auto"/>
              </w:rPr>
            </w:pPr>
            <w:r>
              <w:rPr>
                <w:rFonts w:ascii="Arial" w:cs="Arial" w:eastAsia="Arial" w:hAnsi="Arial"/>
                <w:sz w:val="14"/>
                <w:szCs w:val="14"/>
                <w:color w:val="auto"/>
              </w:rPr>
              <w:t>Impairment losses</w:t>
            </w:r>
          </w:p>
        </w:tc>
        <w:tc>
          <w:tcPr>
            <w:tcW w:w="2540" w:type="dxa"/>
            <w:vAlign w:val="bottom"/>
          </w:tcPr>
          <w:p>
            <w:pPr>
              <w:jc w:val="right"/>
              <w:ind w:right="169"/>
              <w:spacing w:after="0"/>
              <w:rPr>
                <w:sz w:val="20"/>
                <w:szCs w:val="20"/>
                <w:color w:val="auto"/>
              </w:rPr>
            </w:pPr>
            <w:r>
              <w:rPr>
                <w:rFonts w:ascii="Arial" w:cs="Arial" w:eastAsia="Arial" w:hAnsi="Arial"/>
                <w:sz w:val="14"/>
                <w:szCs w:val="14"/>
                <w:color w:val="auto"/>
              </w:rPr>
              <w:t>3,587</w:t>
            </w:r>
          </w:p>
        </w:tc>
        <w:tc>
          <w:tcPr>
            <w:tcW w:w="1200" w:type="dxa"/>
            <w:vAlign w:val="bottom"/>
          </w:tcPr>
          <w:p>
            <w:pPr>
              <w:jc w:val="right"/>
              <w:ind w:right="189"/>
              <w:spacing w:after="0"/>
              <w:rPr>
                <w:sz w:val="20"/>
                <w:szCs w:val="20"/>
                <w:color w:val="auto"/>
              </w:rPr>
            </w:pPr>
            <w:r>
              <w:rPr>
                <w:rFonts w:ascii="Arial" w:cs="Arial" w:eastAsia="Arial" w:hAnsi="Arial"/>
                <w:sz w:val="14"/>
                <w:szCs w:val="14"/>
                <w:color w:val="auto"/>
              </w:rPr>
              <w:t>3,396</w:t>
            </w:r>
          </w:p>
        </w:tc>
        <w:tc>
          <w:tcPr>
            <w:tcW w:w="1060" w:type="dxa"/>
            <w:vAlign w:val="bottom"/>
          </w:tcPr>
          <w:p>
            <w:pPr>
              <w:jc w:val="right"/>
              <w:ind w:right="209"/>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148"/>
              <w:spacing w:after="0"/>
              <w:rPr>
                <w:sz w:val="20"/>
                <w:szCs w:val="20"/>
                <w:color w:val="auto"/>
              </w:rPr>
            </w:pPr>
            <w:r>
              <w:rPr>
                <w:rFonts w:ascii="Arial" w:cs="Arial" w:eastAsia="Arial" w:hAnsi="Arial"/>
                <w:sz w:val="14"/>
                <w:szCs w:val="14"/>
                <w:color w:val="auto"/>
              </w:rPr>
              <w:t>6,983</w:t>
            </w:r>
          </w:p>
        </w:tc>
      </w:tr>
      <w:tr>
        <w:trPr>
          <w:trHeight w:val="162"/>
        </w:trPr>
        <w:tc>
          <w:tcPr>
            <w:tcW w:w="5540" w:type="dxa"/>
            <w:vAlign w:val="bottom"/>
          </w:tcPr>
          <w:p>
            <w:pPr>
              <w:ind w:left="260"/>
              <w:spacing w:after="0"/>
              <w:rPr>
                <w:sz w:val="20"/>
                <w:szCs w:val="20"/>
                <w:color w:val="auto"/>
              </w:rPr>
            </w:pPr>
            <w:r>
              <w:rPr>
                <w:rFonts w:ascii="Arial" w:cs="Arial" w:eastAsia="Arial" w:hAnsi="Arial"/>
                <w:sz w:val="14"/>
                <w:szCs w:val="14"/>
                <w:color w:val="auto"/>
              </w:rPr>
              <w:t>Impairment reversals</w:t>
            </w:r>
          </w:p>
        </w:tc>
        <w:tc>
          <w:tcPr>
            <w:tcW w:w="2540" w:type="dxa"/>
            <w:vAlign w:val="bottom"/>
          </w:tcPr>
          <w:p>
            <w:pPr>
              <w:jc w:val="right"/>
              <w:ind w:right="169"/>
              <w:spacing w:after="0"/>
              <w:rPr>
                <w:sz w:val="20"/>
                <w:szCs w:val="20"/>
                <w:color w:val="auto"/>
              </w:rPr>
            </w:pPr>
            <w:r>
              <w:rPr>
                <w:rFonts w:ascii="Arial" w:cs="Arial" w:eastAsia="Arial" w:hAnsi="Arial"/>
                <w:sz w:val="14"/>
                <w:szCs w:val="14"/>
                <w:color w:val="auto"/>
              </w:rPr>
              <w:t>100</w:t>
            </w:r>
          </w:p>
        </w:tc>
        <w:tc>
          <w:tcPr>
            <w:tcW w:w="1200" w:type="dxa"/>
            <w:vAlign w:val="bottom"/>
          </w:tcPr>
          <w:p>
            <w:pPr>
              <w:jc w:val="right"/>
              <w:ind w:right="189"/>
              <w:spacing w:after="0"/>
              <w:rPr>
                <w:sz w:val="20"/>
                <w:szCs w:val="20"/>
                <w:color w:val="auto"/>
              </w:rPr>
            </w:pPr>
            <w:r>
              <w:rPr>
                <w:rFonts w:ascii="Arial" w:cs="Arial" w:eastAsia="Arial" w:hAnsi="Arial"/>
                <w:sz w:val="14"/>
                <w:szCs w:val="14"/>
                <w:color w:val="auto"/>
              </w:rPr>
              <w:t>251</w:t>
            </w:r>
          </w:p>
        </w:tc>
        <w:tc>
          <w:tcPr>
            <w:tcW w:w="1060" w:type="dxa"/>
            <w:vAlign w:val="bottom"/>
          </w:tcPr>
          <w:p>
            <w:pPr>
              <w:jc w:val="right"/>
              <w:ind w:right="209"/>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148"/>
              <w:spacing w:after="0"/>
              <w:rPr>
                <w:sz w:val="20"/>
                <w:szCs w:val="20"/>
                <w:color w:val="auto"/>
              </w:rPr>
            </w:pPr>
            <w:r>
              <w:rPr>
                <w:rFonts w:ascii="Arial" w:cs="Arial" w:eastAsia="Arial" w:hAnsi="Arial"/>
                <w:sz w:val="14"/>
                <w:szCs w:val="14"/>
                <w:color w:val="auto"/>
              </w:rPr>
              <w:t>351</w:t>
            </w:r>
          </w:p>
        </w:tc>
      </w:tr>
      <w:tr>
        <w:trPr>
          <w:trHeight w:val="162"/>
        </w:trPr>
        <w:tc>
          <w:tcPr>
            <w:tcW w:w="5540" w:type="dxa"/>
            <w:vAlign w:val="bottom"/>
          </w:tcPr>
          <w:p>
            <w:pPr>
              <w:ind w:left="140"/>
              <w:spacing w:after="0"/>
              <w:rPr>
                <w:sz w:val="20"/>
                <w:szCs w:val="20"/>
                <w:color w:val="auto"/>
              </w:rPr>
            </w:pPr>
            <w:r>
              <w:rPr>
                <w:rFonts w:ascii="Arial" w:cs="Arial" w:eastAsia="Arial" w:hAnsi="Arial"/>
                <w:sz w:val="14"/>
                <w:szCs w:val="14"/>
                <w:color w:val="auto"/>
              </w:rPr>
              <w:t>Interest expense</w:t>
            </w:r>
          </w:p>
        </w:tc>
        <w:tc>
          <w:tcPr>
            <w:tcW w:w="2540" w:type="dxa"/>
            <w:vAlign w:val="bottom"/>
          </w:tcPr>
          <w:p>
            <w:pPr>
              <w:jc w:val="right"/>
              <w:ind w:right="169"/>
              <w:spacing w:after="0"/>
              <w:rPr>
                <w:sz w:val="20"/>
                <w:szCs w:val="20"/>
                <w:color w:val="auto"/>
              </w:rPr>
            </w:pPr>
            <w:r>
              <w:rPr>
                <w:rFonts w:ascii="Arial" w:cs="Arial" w:eastAsia="Arial" w:hAnsi="Arial"/>
                <w:sz w:val="14"/>
                <w:szCs w:val="14"/>
                <w:color w:val="auto"/>
              </w:rPr>
              <w:t>953</w:t>
            </w:r>
          </w:p>
        </w:tc>
        <w:tc>
          <w:tcPr>
            <w:tcW w:w="1200" w:type="dxa"/>
            <w:vAlign w:val="bottom"/>
          </w:tcPr>
          <w:p>
            <w:pPr>
              <w:jc w:val="right"/>
              <w:ind w:right="189"/>
              <w:spacing w:after="0"/>
              <w:rPr>
                <w:sz w:val="20"/>
                <w:szCs w:val="20"/>
                <w:color w:val="auto"/>
              </w:rPr>
            </w:pPr>
            <w:r>
              <w:rPr>
                <w:rFonts w:ascii="Arial" w:cs="Arial" w:eastAsia="Arial" w:hAnsi="Arial"/>
                <w:sz w:val="14"/>
                <w:szCs w:val="14"/>
                <w:color w:val="auto"/>
              </w:rPr>
              <w:t>86</w:t>
            </w:r>
          </w:p>
        </w:tc>
        <w:tc>
          <w:tcPr>
            <w:tcW w:w="1060" w:type="dxa"/>
            <w:vAlign w:val="bottom"/>
          </w:tcPr>
          <w:p>
            <w:pPr>
              <w:jc w:val="right"/>
              <w:ind w:right="209"/>
              <w:spacing w:after="0"/>
              <w:rPr>
                <w:sz w:val="20"/>
                <w:szCs w:val="20"/>
                <w:color w:val="auto"/>
              </w:rPr>
            </w:pPr>
            <w:r>
              <w:rPr>
                <w:rFonts w:ascii="Arial" w:cs="Arial" w:eastAsia="Arial" w:hAnsi="Arial"/>
                <w:sz w:val="14"/>
                <w:szCs w:val="14"/>
                <w:color w:val="auto"/>
              </w:rPr>
              <w:t>765</w:t>
            </w:r>
          </w:p>
        </w:tc>
        <w:tc>
          <w:tcPr>
            <w:tcW w:w="1080" w:type="dxa"/>
            <w:vAlign w:val="bottom"/>
          </w:tcPr>
          <w:p>
            <w:pPr>
              <w:jc w:val="right"/>
              <w:ind w:right="148"/>
              <w:spacing w:after="0"/>
              <w:rPr>
                <w:sz w:val="20"/>
                <w:szCs w:val="20"/>
                <w:color w:val="auto"/>
              </w:rPr>
            </w:pPr>
            <w:r>
              <w:rPr>
                <w:rFonts w:ascii="Arial" w:cs="Arial" w:eastAsia="Arial" w:hAnsi="Arial"/>
                <w:sz w:val="14"/>
                <w:szCs w:val="14"/>
                <w:color w:val="auto"/>
              </w:rPr>
              <w:t>1,804</w:t>
            </w:r>
          </w:p>
        </w:tc>
      </w:tr>
      <w:tr>
        <w:trPr>
          <w:trHeight w:val="157"/>
        </w:trPr>
        <w:tc>
          <w:tcPr>
            <w:tcW w:w="5540" w:type="dxa"/>
            <w:vAlign w:val="bottom"/>
            <w:tcBorders>
              <w:bottom w:val="single" w:sz="8" w:color="auto"/>
            </w:tcBorders>
          </w:tcPr>
          <w:p>
            <w:pPr>
              <w:ind w:left="140"/>
              <w:spacing w:after="0" w:line="157" w:lineRule="exact"/>
              <w:rPr>
                <w:sz w:val="20"/>
                <w:szCs w:val="20"/>
                <w:color w:val="auto"/>
              </w:rPr>
            </w:pPr>
            <w:r>
              <w:rPr>
                <w:rFonts w:ascii="Arial" w:cs="Arial" w:eastAsia="Arial" w:hAnsi="Arial"/>
                <w:sz w:val="14"/>
                <w:szCs w:val="14"/>
                <w:color w:val="auto"/>
              </w:rPr>
              <w:t>Taxation charge/(credit)</w:t>
            </w:r>
          </w:p>
        </w:tc>
        <w:tc>
          <w:tcPr>
            <w:tcW w:w="2540" w:type="dxa"/>
            <w:vAlign w:val="bottom"/>
            <w:tcBorders>
              <w:bottom w:val="single" w:sz="8" w:color="auto"/>
            </w:tcBorders>
          </w:tcPr>
          <w:p>
            <w:pPr>
              <w:jc w:val="right"/>
              <w:ind w:right="169"/>
              <w:spacing w:after="0" w:line="157" w:lineRule="exact"/>
              <w:rPr>
                <w:sz w:val="20"/>
                <w:szCs w:val="20"/>
                <w:color w:val="auto"/>
              </w:rPr>
            </w:pPr>
            <w:r>
              <w:rPr>
                <w:rFonts w:ascii="Arial" w:cs="Arial" w:eastAsia="Arial" w:hAnsi="Arial"/>
                <w:sz w:val="14"/>
                <w:szCs w:val="14"/>
                <w:color w:val="auto"/>
              </w:rPr>
              <w:t>15,277</w:t>
            </w:r>
          </w:p>
        </w:tc>
        <w:tc>
          <w:tcPr>
            <w:tcW w:w="1200" w:type="dxa"/>
            <w:vAlign w:val="bottom"/>
            <w:tcBorders>
              <w:bottom w:val="single" w:sz="8" w:color="auto"/>
            </w:tcBorders>
          </w:tcPr>
          <w:p>
            <w:pPr>
              <w:jc w:val="right"/>
              <w:ind w:right="149"/>
              <w:spacing w:after="0" w:line="157" w:lineRule="exact"/>
              <w:rPr>
                <w:sz w:val="20"/>
                <w:szCs w:val="20"/>
                <w:color w:val="auto"/>
              </w:rPr>
            </w:pPr>
            <w:r>
              <w:rPr>
                <w:rFonts w:ascii="Arial" w:cs="Arial" w:eastAsia="Arial" w:hAnsi="Arial"/>
                <w:sz w:val="14"/>
                <w:szCs w:val="14"/>
                <w:color w:val="auto"/>
              </w:rPr>
              <w:t>(369)</w:t>
            </w:r>
          </w:p>
        </w:tc>
        <w:tc>
          <w:tcPr>
            <w:tcW w:w="1060" w:type="dxa"/>
            <w:vAlign w:val="bottom"/>
            <w:tcBorders>
              <w:bottom w:val="single" w:sz="8" w:color="auto"/>
            </w:tcBorders>
          </w:tcPr>
          <w:p>
            <w:pPr>
              <w:jc w:val="right"/>
              <w:ind w:right="169"/>
              <w:spacing w:after="0" w:line="157" w:lineRule="exact"/>
              <w:rPr>
                <w:sz w:val="20"/>
                <w:szCs w:val="20"/>
                <w:color w:val="auto"/>
              </w:rPr>
            </w:pPr>
            <w:r>
              <w:rPr>
                <w:rFonts w:ascii="Arial" w:cs="Arial" w:eastAsia="Arial" w:hAnsi="Arial"/>
                <w:sz w:val="14"/>
                <w:szCs w:val="14"/>
                <w:color w:val="auto"/>
              </w:rPr>
              <w:t>(1,324)</w:t>
            </w:r>
          </w:p>
        </w:tc>
        <w:tc>
          <w:tcPr>
            <w:tcW w:w="1080" w:type="dxa"/>
            <w:vAlign w:val="bottom"/>
            <w:tcBorders>
              <w:bottom w:val="single" w:sz="8" w:color="auto"/>
            </w:tcBorders>
          </w:tcPr>
          <w:p>
            <w:pPr>
              <w:jc w:val="right"/>
              <w:ind w:right="148"/>
              <w:spacing w:after="0" w:line="157" w:lineRule="exact"/>
              <w:rPr>
                <w:sz w:val="20"/>
                <w:szCs w:val="20"/>
                <w:color w:val="auto"/>
              </w:rPr>
            </w:pPr>
            <w:r>
              <w:rPr>
                <w:rFonts w:ascii="Arial" w:cs="Arial" w:eastAsia="Arial" w:hAnsi="Arial"/>
                <w:sz w:val="14"/>
                <w:szCs w:val="14"/>
                <w:color w:val="auto"/>
              </w:rPr>
              <w:t>13,584</w:t>
            </w:r>
          </w:p>
        </w:tc>
      </w:tr>
    </w:tbl>
    <w:p>
      <w:pPr>
        <w:sectPr>
          <w:pgSz w:w="11900" w:h="16838" w:orient="portrait"/>
          <w:cols w:equalWidth="0" w:num="1">
            <w:col w:w="11420"/>
          </w:cols>
          <w:pgMar w:left="240" w:top="459" w:right="239" w:bottom="1440" w:gutter="0" w:footer="0" w:header="0"/>
        </w:sectPr>
      </w:pPr>
    </w:p>
    <w:bookmarkStart w:id="119" w:name="page120"/>
    <w:bookmarkEnd w:id="1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300355</wp:posOffset>
            </wp:positionV>
            <wp:extent cx="8890" cy="46291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8890" cy="462915"/>
                    </a:xfrm>
                    <a:prstGeom prst="rect">
                      <a:avLst/>
                    </a:prstGeom>
                    <a:noFill/>
                  </pic:spPr>
                </pic:pic>
              </a:graphicData>
            </a:graphic>
          </wp:anchor>
        </w:drawing>
      </w:r>
    </w:p>
    <w:p>
      <w:pPr>
        <w:spacing w:after="0" w:line="200" w:lineRule="exact"/>
        <w:rPr>
          <w:sz w:val="20"/>
          <w:szCs w:val="20"/>
          <w:color w:val="auto"/>
        </w:rPr>
      </w:pP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565"/>
        </w:trPr>
        <w:tc>
          <w:tcPr>
            <w:tcW w:w="1440" w:type="dxa"/>
            <w:vAlign w:val="bottom"/>
            <w:shd w:val="clear" w:color="auto" w:fill="FF8B00"/>
          </w:tcPr>
          <w:p>
            <w:pPr>
              <w:jc w:val="right"/>
              <w:ind w:right="946"/>
              <w:spacing w:after="0"/>
              <w:rPr>
                <w:sz w:val="20"/>
                <w:szCs w:val="20"/>
                <w:color w:val="auto"/>
              </w:rPr>
            </w:pPr>
            <w:r>
              <w:rPr>
                <w:rFonts w:ascii="Arial" w:cs="Arial" w:eastAsia="Arial" w:hAnsi="Arial"/>
                <w:sz w:val="11"/>
                <w:szCs w:val="11"/>
                <w:b w:val="1"/>
                <w:bCs w:val="1"/>
                <w:color w:val="333333"/>
              </w:rPr>
              <w:t>118</w:t>
            </w:r>
          </w:p>
        </w:tc>
        <w:tc>
          <w:tcPr>
            <w:tcW w:w="4140" w:type="dxa"/>
            <w:vAlign w:val="bottom"/>
            <w:shd w:val="clear" w:color="auto" w:fill="FF8B00"/>
          </w:tcPr>
          <w:p>
            <w:pPr>
              <w:jc w:val="right"/>
              <w:ind w:right="741"/>
              <w:spacing w:after="0"/>
              <w:rPr>
                <w:sz w:val="20"/>
                <w:szCs w:val="20"/>
                <w:color w:val="auto"/>
              </w:rPr>
            </w:pPr>
            <w:r>
              <w:rPr>
                <w:rFonts w:ascii="Arial" w:cs="Arial" w:eastAsia="Arial" w:hAnsi="Arial"/>
                <w:sz w:val="13"/>
                <w:szCs w:val="13"/>
                <w:color w:val="333333"/>
              </w:rPr>
              <w:t>FINANCIAL STATEMENTS AND SUPPLEMENTS</w:t>
            </w:r>
          </w:p>
        </w:tc>
        <w:tc>
          <w:tcPr>
            <w:tcW w:w="5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5"/>
        </w:trPr>
        <w:tc>
          <w:tcPr>
            <w:tcW w:w="1440" w:type="dxa"/>
            <w:vAlign w:val="bottom"/>
            <w:shd w:val="clear" w:color="auto" w:fill="FF8B00"/>
          </w:tcPr>
          <w:p>
            <w:pPr>
              <w:spacing w:after="0"/>
              <w:rPr>
                <w:sz w:val="14"/>
                <w:szCs w:val="14"/>
                <w:color w:val="auto"/>
              </w:rPr>
            </w:pPr>
          </w:p>
        </w:tc>
        <w:tc>
          <w:tcPr>
            <w:tcW w:w="4140" w:type="dxa"/>
            <w:vAlign w:val="bottom"/>
            <w:shd w:val="clear" w:color="auto" w:fill="FF8B00"/>
          </w:tcPr>
          <w:p>
            <w:pPr>
              <w:spacing w:after="0"/>
              <w:rPr>
                <w:sz w:val="14"/>
                <w:szCs w:val="14"/>
                <w:color w:val="auto"/>
              </w:rPr>
            </w:pPr>
          </w:p>
        </w:tc>
        <w:tc>
          <w:tcPr>
            <w:tcW w:w="5840" w:type="dxa"/>
            <w:vAlign w:val="bottom"/>
            <w:vMerge w:val="restart"/>
          </w:tcPr>
          <w:p>
            <w:pPr>
              <w:ind w:left="3440"/>
              <w:spacing w:after="0"/>
              <w:rPr>
                <w:sz w:val="20"/>
                <w:szCs w:val="20"/>
                <w:color w:val="auto"/>
              </w:rPr>
            </w:pPr>
            <w:r>
              <w:rPr>
                <w:rFonts w:ascii="Arial" w:cs="Arial" w:eastAsia="Arial" w:hAnsi="Arial"/>
                <w:sz w:val="11"/>
                <w:szCs w:val="11"/>
                <w:color w:val="auto"/>
                <w:w w:val="96"/>
              </w:rPr>
              <w:t>SHELL ANNUAL REPORT AND FORM 20-F 2014</w:t>
            </w:r>
          </w:p>
        </w:tc>
        <w:tc>
          <w:tcPr>
            <w:tcW w:w="0" w:type="dxa"/>
            <w:vAlign w:val="bottom"/>
          </w:tcPr>
          <w:p>
            <w:pPr>
              <w:spacing w:after="0"/>
              <w:rPr>
                <w:sz w:val="1"/>
                <w:szCs w:val="1"/>
                <w:color w:val="auto"/>
              </w:rPr>
            </w:pPr>
          </w:p>
        </w:tc>
      </w:tr>
      <w:tr>
        <w:trPr>
          <w:trHeight w:val="130"/>
        </w:trPr>
        <w:tc>
          <w:tcPr>
            <w:tcW w:w="1440" w:type="dxa"/>
            <w:vAlign w:val="bottom"/>
          </w:tcPr>
          <w:p>
            <w:pPr>
              <w:spacing w:after="0"/>
              <w:rPr>
                <w:sz w:val="11"/>
                <w:szCs w:val="11"/>
                <w:color w:val="auto"/>
              </w:rPr>
            </w:pPr>
          </w:p>
        </w:tc>
        <w:tc>
          <w:tcPr>
            <w:tcW w:w="4140" w:type="dxa"/>
            <w:vAlign w:val="bottom"/>
          </w:tcPr>
          <w:p>
            <w:pPr>
              <w:jc w:val="right"/>
              <w:ind w:right="741"/>
              <w:spacing w:after="0"/>
              <w:rPr>
                <w:sz w:val="20"/>
                <w:szCs w:val="20"/>
                <w:color w:val="auto"/>
              </w:rPr>
            </w:pPr>
            <w:r>
              <w:rPr>
                <w:rFonts w:ascii="Arial" w:cs="Arial" w:eastAsia="Arial" w:hAnsi="Arial"/>
                <w:sz w:val="11"/>
                <w:szCs w:val="11"/>
                <w:color w:val="auto"/>
              </w:rPr>
              <w:t>CONSOLIDATED FINANCIAL STATEMENTS</w:t>
            </w:r>
          </w:p>
        </w:tc>
        <w:tc>
          <w:tcPr>
            <w:tcW w:w="58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1440" w:type="dxa"/>
            <w:vAlign w:val="bottom"/>
          </w:tcPr>
          <w:p>
            <w:pPr>
              <w:jc w:val="right"/>
              <w:ind w:right="506"/>
              <w:spacing w:after="0"/>
              <w:rPr>
                <w:sz w:val="20"/>
                <w:szCs w:val="20"/>
                <w:color w:val="auto"/>
              </w:rPr>
            </w:pPr>
            <w:r>
              <w:rPr>
                <w:rFonts w:ascii="Arial" w:cs="Arial" w:eastAsia="Arial" w:hAnsi="Arial"/>
                <w:sz w:val="11"/>
                <w:szCs w:val="11"/>
                <w:color w:val="auto"/>
                <w:w w:val="96"/>
              </w:rPr>
              <w:t>[Note 4 continued]</w:t>
            </w:r>
          </w:p>
        </w:tc>
        <w:tc>
          <w:tcPr>
            <w:tcW w:w="4140" w:type="dxa"/>
            <w:vAlign w:val="bottom"/>
          </w:tcPr>
          <w:p>
            <w:pPr>
              <w:spacing w:after="0"/>
              <w:rPr>
                <w:sz w:val="11"/>
                <w:szCs w:val="11"/>
                <w:color w:val="auto"/>
              </w:rPr>
            </w:pPr>
          </w:p>
        </w:tc>
        <w:tc>
          <w:tcPr>
            <w:tcW w:w="584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5720" w:type="dxa"/>
            <w:vAlign w:val="bottom"/>
            <w:shd w:val="clear" w:color="auto" w:fill="333333"/>
          </w:tcPr>
          <w:p>
            <w:pPr>
              <w:ind w:left="80"/>
              <w:spacing w:after="0"/>
              <w:rPr>
                <w:sz w:val="20"/>
                <w:szCs w:val="20"/>
                <w:color w:val="auto"/>
              </w:rPr>
            </w:pPr>
            <w:r>
              <w:rPr>
                <w:rFonts w:ascii="Arial" w:cs="Arial" w:eastAsia="Arial" w:hAnsi="Arial"/>
                <w:sz w:val="15"/>
                <w:szCs w:val="15"/>
                <w:b w:val="1"/>
                <w:bCs w:val="1"/>
                <w:color w:val="FFFFFF"/>
              </w:rPr>
              <w:t>2013</w:t>
            </w:r>
          </w:p>
        </w:tc>
        <w:tc>
          <w:tcPr>
            <w:tcW w:w="2660" w:type="dxa"/>
            <w:vAlign w:val="bottom"/>
            <w:shd w:val="clear" w:color="auto" w:fill="333333"/>
          </w:tcPr>
          <w:p>
            <w:pPr>
              <w:spacing w:after="0"/>
              <w:rPr>
                <w:sz w:val="14"/>
                <w:szCs w:val="14"/>
                <w:color w:val="auto"/>
              </w:rPr>
            </w:pPr>
          </w:p>
        </w:tc>
        <w:tc>
          <w:tcPr>
            <w:tcW w:w="1060" w:type="dxa"/>
            <w:vAlign w:val="bottom"/>
            <w:shd w:val="clear" w:color="auto" w:fill="333333"/>
          </w:tcPr>
          <w:p>
            <w:pPr>
              <w:spacing w:after="0"/>
              <w:rPr>
                <w:sz w:val="14"/>
                <w:szCs w:val="14"/>
                <w:color w:val="auto"/>
              </w:rPr>
            </w:pPr>
          </w:p>
        </w:tc>
        <w:tc>
          <w:tcPr>
            <w:tcW w:w="940" w:type="dxa"/>
            <w:vAlign w:val="bottom"/>
            <w:shd w:val="clear" w:color="auto" w:fill="333333"/>
          </w:tcPr>
          <w:p>
            <w:pPr>
              <w:spacing w:after="0"/>
              <w:rPr>
                <w:sz w:val="14"/>
                <w:szCs w:val="14"/>
                <w:color w:val="auto"/>
              </w:rPr>
            </w:pPr>
          </w:p>
        </w:tc>
        <w:tc>
          <w:tcPr>
            <w:tcW w:w="1040" w:type="dxa"/>
            <w:vAlign w:val="bottom"/>
            <w:shd w:val="clear" w:color="auto" w:fill="333333"/>
          </w:tcPr>
          <w:p>
            <w:pPr>
              <w:jc w:val="right"/>
              <w:ind w:right="68"/>
              <w:spacing w:after="0"/>
              <w:rPr>
                <w:sz w:val="20"/>
                <w:szCs w:val="20"/>
                <w:color w:val="auto"/>
              </w:rPr>
            </w:pPr>
            <w:r>
              <w:rPr>
                <w:rFonts w:ascii="Arial" w:cs="Arial" w:eastAsia="Arial" w:hAnsi="Arial"/>
                <w:sz w:val="15"/>
                <w:szCs w:val="15"/>
                <w:color w:val="FFFFFF"/>
              </w:rPr>
              <w:t>$ MILLION</w:t>
            </w:r>
          </w:p>
        </w:tc>
      </w:tr>
      <w:tr>
        <w:trPr>
          <w:trHeight w:val="149"/>
        </w:trPr>
        <w:tc>
          <w:tcPr>
            <w:tcW w:w="5720" w:type="dxa"/>
            <w:vAlign w:val="bottom"/>
            <w:tcBorders>
              <w:bottom w:val="single" w:sz="8" w:color="auto"/>
            </w:tcBorders>
          </w:tcPr>
          <w:p>
            <w:pPr>
              <w:spacing w:after="0"/>
              <w:rPr>
                <w:sz w:val="12"/>
                <w:szCs w:val="12"/>
                <w:color w:val="auto"/>
              </w:rPr>
            </w:pPr>
          </w:p>
        </w:tc>
        <w:tc>
          <w:tcPr>
            <w:tcW w:w="2660" w:type="dxa"/>
            <w:vAlign w:val="bottom"/>
            <w:tcBorders>
              <w:bottom w:val="single" w:sz="8" w:color="auto"/>
            </w:tcBorders>
          </w:tcPr>
          <w:p>
            <w:pPr>
              <w:jc w:val="right"/>
              <w:ind w:right="109"/>
              <w:spacing w:after="0"/>
              <w:rPr>
                <w:sz w:val="20"/>
                <w:szCs w:val="20"/>
                <w:color w:val="auto"/>
              </w:rPr>
            </w:pPr>
            <w:r>
              <w:rPr>
                <w:rFonts w:ascii="Arial" w:cs="Arial" w:eastAsia="Arial" w:hAnsi="Arial"/>
                <w:sz w:val="13"/>
                <w:szCs w:val="13"/>
                <w:color w:val="auto"/>
              </w:rPr>
              <w:t>Upstream</w:t>
            </w:r>
          </w:p>
        </w:tc>
        <w:tc>
          <w:tcPr>
            <w:tcW w:w="1060" w:type="dxa"/>
            <w:vAlign w:val="bottom"/>
            <w:tcBorders>
              <w:bottom w:val="single" w:sz="8" w:color="auto"/>
            </w:tcBorders>
          </w:tcPr>
          <w:p>
            <w:pPr>
              <w:jc w:val="right"/>
              <w:ind w:right="109"/>
              <w:spacing w:after="0"/>
              <w:rPr>
                <w:sz w:val="20"/>
                <w:szCs w:val="20"/>
                <w:color w:val="auto"/>
              </w:rPr>
            </w:pPr>
            <w:r>
              <w:rPr>
                <w:rFonts w:ascii="Arial" w:cs="Arial" w:eastAsia="Arial" w:hAnsi="Arial"/>
                <w:sz w:val="13"/>
                <w:szCs w:val="13"/>
                <w:color w:val="auto"/>
              </w:rPr>
              <w:t>Downstream</w:t>
            </w:r>
          </w:p>
        </w:tc>
        <w:tc>
          <w:tcPr>
            <w:tcW w:w="940" w:type="dxa"/>
            <w:vAlign w:val="bottom"/>
            <w:tcBorders>
              <w:bottom w:val="single" w:sz="8" w:color="auto"/>
            </w:tcBorders>
          </w:tcPr>
          <w:p>
            <w:pPr>
              <w:jc w:val="right"/>
              <w:ind w:right="149"/>
              <w:spacing w:after="0"/>
              <w:rPr>
                <w:sz w:val="20"/>
                <w:szCs w:val="20"/>
                <w:color w:val="auto"/>
              </w:rPr>
            </w:pPr>
            <w:r>
              <w:rPr>
                <w:rFonts w:ascii="Arial" w:cs="Arial" w:eastAsia="Arial" w:hAnsi="Arial"/>
                <w:sz w:val="13"/>
                <w:szCs w:val="13"/>
                <w:color w:val="auto"/>
              </w:rPr>
              <w:t>Corporate</w:t>
            </w:r>
          </w:p>
        </w:tc>
        <w:tc>
          <w:tcPr>
            <w:tcW w:w="1040" w:type="dxa"/>
            <w:vAlign w:val="bottom"/>
            <w:tcBorders>
              <w:bottom w:val="single" w:sz="8" w:color="auto"/>
            </w:tcBorders>
          </w:tcPr>
          <w:p>
            <w:pPr>
              <w:jc w:val="right"/>
              <w:ind w:right="28"/>
              <w:spacing w:after="0"/>
              <w:rPr>
                <w:sz w:val="20"/>
                <w:szCs w:val="20"/>
                <w:color w:val="auto"/>
              </w:rPr>
            </w:pPr>
            <w:r>
              <w:rPr>
                <w:rFonts w:ascii="Arial" w:cs="Arial" w:eastAsia="Arial" w:hAnsi="Arial"/>
                <w:sz w:val="13"/>
                <w:szCs w:val="13"/>
                <w:color w:val="auto"/>
              </w:rPr>
              <w:t>Total</w:t>
            </w:r>
          </w:p>
        </w:tc>
      </w:tr>
      <w:tr>
        <w:trPr>
          <w:trHeight w:val="160"/>
        </w:trPr>
        <w:tc>
          <w:tcPr>
            <w:tcW w:w="5720" w:type="dxa"/>
            <w:vAlign w:val="bottom"/>
          </w:tcPr>
          <w:p>
            <w:pPr>
              <w:spacing w:after="0"/>
              <w:rPr>
                <w:sz w:val="20"/>
                <w:szCs w:val="20"/>
                <w:color w:val="auto"/>
              </w:rPr>
            </w:pPr>
            <w:r>
              <w:rPr>
                <w:rFonts w:ascii="Arial" w:cs="Arial" w:eastAsia="Arial" w:hAnsi="Arial"/>
                <w:sz w:val="14"/>
                <w:szCs w:val="14"/>
                <w:color w:val="auto"/>
              </w:rPr>
              <w:t>Revenue and other income</w:t>
            </w:r>
          </w:p>
        </w:tc>
        <w:tc>
          <w:tcPr>
            <w:tcW w:w="26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40" w:type="dxa"/>
            <w:vAlign w:val="bottom"/>
          </w:tcPr>
          <w:p>
            <w:pPr>
              <w:spacing w:after="0"/>
              <w:rPr>
                <w:sz w:val="13"/>
                <w:szCs w:val="13"/>
                <w:color w:val="auto"/>
              </w:rPr>
            </w:pPr>
          </w:p>
        </w:tc>
      </w:tr>
      <w:tr>
        <w:trPr>
          <w:trHeight w:val="162"/>
        </w:trPr>
        <w:tc>
          <w:tcPr>
            <w:tcW w:w="5720" w:type="dxa"/>
            <w:vAlign w:val="bottom"/>
          </w:tcPr>
          <w:p>
            <w:pPr>
              <w:ind w:left="140"/>
              <w:spacing w:after="0"/>
              <w:rPr>
                <w:sz w:val="20"/>
                <w:szCs w:val="20"/>
                <w:color w:val="auto"/>
              </w:rPr>
            </w:pPr>
            <w:r>
              <w:rPr>
                <w:rFonts w:ascii="Arial" w:cs="Arial" w:eastAsia="Arial" w:hAnsi="Arial"/>
                <w:sz w:val="14"/>
                <w:szCs w:val="14"/>
                <w:color w:val="auto"/>
              </w:rPr>
              <w:t>Revenue</w:t>
            </w:r>
          </w:p>
        </w:tc>
        <w:tc>
          <w:tcPr>
            <w:tcW w:w="26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2"/>
        </w:trPr>
        <w:tc>
          <w:tcPr>
            <w:tcW w:w="5720" w:type="dxa"/>
            <w:vAlign w:val="bottom"/>
          </w:tcPr>
          <w:p>
            <w:pPr>
              <w:ind w:left="260"/>
              <w:spacing w:after="0"/>
              <w:rPr>
                <w:sz w:val="20"/>
                <w:szCs w:val="20"/>
                <w:color w:val="auto"/>
              </w:rPr>
            </w:pPr>
            <w:r>
              <w:rPr>
                <w:rFonts w:ascii="Arial" w:cs="Arial" w:eastAsia="Arial" w:hAnsi="Arial"/>
                <w:sz w:val="14"/>
                <w:szCs w:val="14"/>
                <w:color w:val="auto"/>
              </w:rPr>
              <w:t>Third party</w:t>
            </w:r>
          </w:p>
        </w:tc>
        <w:tc>
          <w:tcPr>
            <w:tcW w:w="2660" w:type="dxa"/>
            <w:vAlign w:val="bottom"/>
          </w:tcPr>
          <w:p>
            <w:pPr>
              <w:jc w:val="right"/>
              <w:ind w:right="109"/>
              <w:spacing w:after="0"/>
              <w:rPr>
                <w:sz w:val="20"/>
                <w:szCs w:val="20"/>
                <w:color w:val="auto"/>
              </w:rPr>
            </w:pPr>
            <w:r>
              <w:rPr>
                <w:rFonts w:ascii="Arial" w:cs="Arial" w:eastAsia="Arial" w:hAnsi="Arial"/>
                <w:sz w:val="14"/>
                <w:szCs w:val="14"/>
                <w:color w:val="auto"/>
              </w:rPr>
              <w:t>47,357</w:t>
            </w:r>
          </w:p>
        </w:tc>
        <w:tc>
          <w:tcPr>
            <w:tcW w:w="1060" w:type="dxa"/>
            <w:vAlign w:val="bottom"/>
          </w:tcPr>
          <w:p>
            <w:pPr>
              <w:jc w:val="right"/>
              <w:ind w:right="109"/>
              <w:spacing w:after="0"/>
              <w:rPr>
                <w:sz w:val="20"/>
                <w:szCs w:val="20"/>
                <w:color w:val="auto"/>
              </w:rPr>
            </w:pPr>
            <w:r>
              <w:rPr>
                <w:rFonts w:ascii="Arial" w:cs="Arial" w:eastAsia="Arial" w:hAnsi="Arial"/>
                <w:sz w:val="14"/>
                <w:szCs w:val="14"/>
                <w:color w:val="auto"/>
              </w:rPr>
              <w:t>403,725</w:t>
            </w:r>
          </w:p>
        </w:tc>
        <w:tc>
          <w:tcPr>
            <w:tcW w:w="940" w:type="dxa"/>
            <w:vAlign w:val="bottom"/>
          </w:tcPr>
          <w:p>
            <w:pPr>
              <w:jc w:val="right"/>
              <w:ind w:right="149"/>
              <w:spacing w:after="0"/>
              <w:rPr>
                <w:sz w:val="20"/>
                <w:szCs w:val="20"/>
                <w:color w:val="auto"/>
              </w:rPr>
            </w:pPr>
            <w:r>
              <w:rPr>
                <w:rFonts w:ascii="Arial" w:cs="Arial" w:eastAsia="Arial" w:hAnsi="Arial"/>
                <w:sz w:val="14"/>
                <w:szCs w:val="14"/>
                <w:color w:val="auto"/>
              </w:rPr>
              <w:t>153</w:t>
            </w: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451,235</w:t>
            </w:r>
          </w:p>
        </w:tc>
      </w:tr>
      <w:tr>
        <w:trPr>
          <w:trHeight w:val="162"/>
        </w:trPr>
        <w:tc>
          <w:tcPr>
            <w:tcW w:w="5720" w:type="dxa"/>
            <w:vAlign w:val="bottom"/>
          </w:tcPr>
          <w:p>
            <w:pPr>
              <w:ind w:left="260"/>
              <w:spacing w:after="0"/>
              <w:rPr>
                <w:sz w:val="20"/>
                <w:szCs w:val="20"/>
                <w:color w:val="auto"/>
              </w:rPr>
            </w:pPr>
            <w:r>
              <w:rPr>
                <w:rFonts w:ascii="Arial" w:cs="Arial" w:eastAsia="Arial" w:hAnsi="Arial"/>
                <w:sz w:val="14"/>
                <w:szCs w:val="14"/>
                <w:color w:val="auto"/>
              </w:rPr>
              <w:t>Inter-segment</w:t>
            </w:r>
          </w:p>
        </w:tc>
        <w:tc>
          <w:tcPr>
            <w:tcW w:w="2660" w:type="dxa"/>
            <w:vAlign w:val="bottom"/>
          </w:tcPr>
          <w:p>
            <w:pPr>
              <w:jc w:val="right"/>
              <w:ind w:right="109"/>
              <w:spacing w:after="0"/>
              <w:rPr>
                <w:sz w:val="20"/>
                <w:szCs w:val="20"/>
                <w:color w:val="auto"/>
              </w:rPr>
            </w:pPr>
            <w:r>
              <w:rPr>
                <w:rFonts w:ascii="Arial" w:cs="Arial" w:eastAsia="Arial" w:hAnsi="Arial"/>
                <w:sz w:val="14"/>
                <w:szCs w:val="14"/>
                <w:color w:val="auto"/>
              </w:rPr>
              <w:t>45,512</w:t>
            </w:r>
          </w:p>
        </w:tc>
        <w:tc>
          <w:tcPr>
            <w:tcW w:w="1060" w:type="dxa"/>
            <w:vAlign w:val="bottom"/>
          </w:tcPr>
          <w:p>
            <w:pPr>
              <w:jc w:val="right"/>
              <w:ind w:right="109"/>
              <w:spacing w:after="0"/>
              <w:rPr>
                <w:sz w:val="20"/>
                <w:szCs w:val="20"/>
                <w:color w:val="auto"/>
              </w:rPr>
            </w:pPr>
            <w:r>
              <w:rPr>
                <w:rFonts w:ascii="Arial" w:cs="Arial" w:eastAsia="Arial" w:hAnsi="Arial"/>
                <w:sz w:val="14"/>
                <w:szCs w:val="14"/>
                <w:color w:val="auto"/>
              </w:rPr>
              <w:t>702</w:t>
            </w:r>
          </w:p>
        </w:tc>
        <w:tc>
          <w:tcPr>
            <w:tcW w:w="940" w:type="dxa"/>
            <w:vAlign w:val="bottom"/>
          </w:tcPr>
          <w:p>
            <w:pPr>
              <w:jc w:val="right"/>
              <w:ind w:right="149"/>
              <w:spacing w:after="0"/>
              <w:rPr>
                <w:sz w:val="20"/>
                <w:szCs w:val="20"/>
                <w:color w:val="auto"/>
              </w:rPr>
            </w:pPr>
            <w:r>
              <w:rPr>
                <w:rFonts w:ascii="Arial" w:cs="Arial" w:eastAsia="Arial" w:hAnsi="Arial"/>
                <w:sz w:val="14"/>
                <w:szCs w:val="14"/>
                <w:color w:val="auto"/>
              </w:rPr>
              <w:t>–</w:t>
            </w:r>
          </w:p>
        </w:tc>
        <w:tc>
          <w:tcPr>
            <w:tcW w:w="1040" w:type="dxa"/>
            <w:vAlign w:val="bottom"/>
          </w:tcPr>
          <w:p>
            <w:pPr>
              <w:spacing w:after="0"/>
              <w:rPr>
                <w:sz w:val="14"/>
                <w:szCs w:val="14"/>
                <w:color w:val="auto"/>
              </w:rPr>
            </w:pPr>
          </w:p>
        </w:tc>
      </w:tr>
      <w:tr>
        <w:trPr>
          <w:trHeight w:val="162"/>
        </w:trPr>
        <w:tc>
          <w:tcPr>
            <w:tcW w:w="5720" w:type="dxa"/>
            <w:vAlign w:val="bottom"/>
          </w:tcPr>
          <w:p>
            <w:pPr>
              <w:ind w:left="140"/>
              <w:spacing w:after="0"/>
              <w:rPr>
                <w:sz w:val="20"/>
                <w:szCs w:val="20"/>
                <w:color w:val="auto"/>
              </w:rPr>
            </w:pPr>
            <w:r>
              <w:rPr>
                <w:rFonts w:ascii="Arial" w:cs="Arial" w:eastAsia="Arial" w:hAnsi="Arial"/>
                <w:sz w:val="14"/>
                <w:szCs w:val="14"/>
                <w:color w:val="auto"/>
              </w:rPr>
              <w:t>Share of profit/(loss) of joint ventures and associates</w:t>
            </w:r>
          </w:p>
        </w:tc>
        <w:tc>
          <w:tcPr>
            <w:tcW w:w="2660" w:type="dxa"/>
            <w:vAlign w:val="bottom"/>
          </w:tcPr>
          <w:p>
            <w:pPr>
              <w:jc w:val="right"/>
              <w:ind w:right="109"/>
              <w:spacing w:after="0"/>
              <w:rPr>
                <w:sz w:val="20"/>
                <w:szCs w:val="20"/>
                <w:color w:val="auto"/>
              </w:rPr>
            </w:pPr>
            <w:r>
              <w:rPr>
                <w:rFonts w:ascii="Arial" w:cs="Arial" w:eastAsia="Arial" w:hAnsi="Arial"/>
                <w:sz w:val="14"/>
                <w:szCs w:val="14"/>
                <w:color w:val="auto"/>
              </w:rPr>
              <w:t>6,120</w:t>
            </w:r>
          </w:p>
        </w:tc>
        <w:tc>
          <w:tcPr>
            <w:tcW w:w="1060" w:type="dxa"/>
            <w:vAlign w:val="bottom"/>
          </w:tcPr>
          <w:p>
            <w:pPr>
              <w:jc w:val="right"/>
              <w:ind w:right="109"/>
              <w:spacing w:after="0"/>
              <w:rPr>
                <w:sz w:val="20"/>
                <w:szCs w:val="20"/>
                <w:color w:val="auto"/>
              </w:rPr>
            </w:pPr>
            <w:r>
              <w:rPr>
                <w:rFonts w:ascii="Arial" w:cs="Arial" w:eastAsia="Arial" w:hAnsi="Arial"/>
                <w:sz w:val="14"/>
                <w:szCs w:val="14"/>
                <w:color w:val="auto"/>
              </w:rPr>
              <w:t>1,543</w:t>
            </w:r>
          </w:p>
        </w:tc>
        <w:tc>
          <w:tcPr>
            <w:tcW w:w="940" w:type="dxa"/>
            <w:vAlign w:val="bottom"/>
          </w:tcPr>
          <w:p>
            <w:pPr>
              <w:jc w:val="right"/>
              <w:ind w:right="89"/>
              <w:spacing w:after="0"/>
              <w:rPr>
                <w:sz w:val="20"/>
                <w:szCs w:val="20"/>
                <w:color w:val="auto"/>
              </w:rPr>
            </w:pPr>
            <w:r>
              <w:rPr>
                <w:rFonts w:ascii="Arial" w:cs="Arial" w:eastAsia="Arial" w:hAnsi="Arial"/>
                <w:sz w:val="14"/>
                <w:szCs w:val="14"/>
                <w:color w:val="auto"/>
              </w:rPr>
              <w:t>(388)</w:t>
            </w: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7,275</w:t>
            </w:r>
          </w:p>
        </w:tc>
      </w:tr>
      <w:tr>
        <w:trPr>
          <w:trHeight w:val="157"/>
        </w:trPr>
        <w:tc>
          <w:tcPr>
            <w:tcW w:w="5720" w:type="dxa"/>
            <w:vAlign w:val="bottom"/>
            <w:tcBorders>
              <w:bottom w:val="single" w:sz="8" w:color="auto"/>
            </w:tcBorders>
          </w:tcPr>
          <w:p>
            <w:pPr>
              <w:ind w:left="140"/>
              <w:spacing w:after="0" w:line="157" w:lineRule="exact"/>
              <w:rPr>
                <w:sz w:val="20"/>
                <w:szCs w:val="20"/>
                <w:color w:val="auto"/>
              </w:rPr>
            </w:pPr>
            <w:r>
              <w:rPr>
                <w:rFonts w:ascii="Arial" w:cs="Arial" w:eastAsia="Arial" w:hAnsi="Arial"/>
                <w:sz w:val="14"/>
                <w:szCs w:val="14"/>
                <w:color w:val="auto"/>
              </w:rPr>
              <w:t>Interest and other income</w:t>
            </w:r>
          </w:p>
        </w:tc>
        <w:tc>
          <w:tcPr>
            <w:tcW w:w="2660" w:type="dxa"/>
            <w:vAlign w:val="bottom"/>
            <w:tcBorders>
              <w:bottom w:val="single" w:sz="8" w:color="auto"/>
            </w:tcBorders>
          </w:tcPr>
          <w:p>
            <w:pPr>
              <w:jc w:val="right"/>
              <w:ind w:right="109"/>
              <w:spacing w:after="0" w:line="157" w:lineRule="exact"/>
              <w:rPr>
                <w:sz w:val="20"/>
                <w:szCs w:val="20"/>
                <w:color w:val="auto"/>
              </w:rPr>
            </w:pPr>
            <w:r>
              <w:rPr>
                <w:rFonts w:ascii="Arial" w:cs="Arial" w:eastAsia="Arial" w:hAnsi="Arial"/>
                <w:sz w:val="14"/>
                <w:szCs w:val="14"/>
                <w:color w:val="auto"/>
              </w:rPr>
              <w:t>659</w:t>
            </w:r>
          </w:p>
        </w:tc>
        <w:tc>
          <w:tcPr>
            <w:tcW w:w="1060" w:type="dxa"/>
            <w:vAlign w:val="bottom"/>
            <w:tcBorders>
              <w:bottom w:val="single" w:sz="8" w:color="auto"/>
            </w:tcBorders>
          </w:tcPr>
          <w:p>
            <w:pPr>
              <w:jc w:val="right"/>
              <w:ind w:right="109"/>
              <w:spacing w:after="0" w:line="157" w:lineRule="exact"/>
              <w:rPr>
                <w:sz w:val="20"/>
                <w:szCs w:val="20"/>
                <w:color w:val="auto"/>
              </w:rPr>
            </w:pPr>
            <w:r>
              <w:rPr>
                <w:rFonts w:ascii="Arial" w:cs="Arial" w:eastAsia="Arial" w:hAnsi="Arial"/>
                <w:sz w:val="14"/>
                <w:szCs w:val="14"/>
                <w:color w:val="auto"/>
              </w:rPr>
              <w:t>273</w:t>
            </w:r>
          </w:p>
        </w:tc>
        <w:tc>
          <w:tcPr>
            <w:tcW w:w="940" w:type="dxa"/>
            <w:vAlign w:val="bottom"/>
            <w:tcBorders>
              <w:bottom w:val="single" w:sz="8" w:color="auto"/>
            </w:tcBorders>
          </w:tcPr>
          <w:p>
            <w:pPr>
              <w:jc w:val="right"/>
              <w:ind w:right="149"/>
              <w:spacing w:after="0" w:line="157" w:lineRule="exact"/>
              <w:rPr>
                <w:sz w:val="20"/>
                <w:szCs w:val="20"/>
                <w:color w:val="auto"/>
              </w:rPr>
            </w:pPr>
            <w:r>
              <w:rPr>
                <w:rFonts w:ascii="Arial" w:cs="Arial" w:eastAsia="Arial" w:hAnsi="Arial"/>
                <w:sz w:val="14"/>
                <w:szCs w:val="14"/>
                <w:color w:val="auto"/>
              </w:rPr>
              <w:t>157</w:t>
            </w:r>
          </w:p>
        </w:tc>
        <w:tc>
          <w:tcPr>
            <w:tcW w:w="1040" w:type="dxa"/>
            <w:vAlign w:val="bottom"/>
            <w:tcBorders>
              <w:bottom w:val="single" w:sz="8" w:color="auto"/>
            </w:tcBorders>
          </w:tcPr>
          <w:p>
            <w:pPr>
              <w:jc w:val="right"/>
              <w:ind w:right="28"/>
              <w:spacing w:after="0" w:line="157" w:lineRule="exact"/>
              <w:rPr>
                <w:sz w:val="20"/>
                <w:szCs w:val="20"/>
                <w:color w:val="auto"/>
              </w:rPr>
            </w:pPr>
            <w:r>
              <w:rPr>
                <w:rFonts w:ascii="Arial" w:cs="Arial" w:eastAsia="Arial" w:hAnsi="Arial"/>
                <w:sz w:val="14"/>
                <w:szCs w:val="14"/>
                <w:color w:val="auto"/>
              </w:rPr>
              <w:t>1,089</w:t>
            </w:r>
          </w:p>
        </w:tc>
      </w:tr>
      <w:tr>
        <w:trPr>
          <w:trHeight w:val="156"/>
        </w:trPr>
        <w:tc>
          <w:tcPr>
            <w:tcW w:w="5720" w:type="dxa"/>
            <w:vAlign w:val="bottom"/>
            <w:tcBorders>
              <w:bottom w:val="single" w:sz="8" w:color="auto"/>
            </w:tcBorders>
          </w:tcPr>
          <w:p>
            <w:pPr>
              <w:spacing w:after="0" w:line="155" w:lineRule="exact"/>
              <w:rPr>
                <w:sz w:val="20"/>
                <w:szCs w:val="20"/>
                <w:color w:val="auto"/>
              </w:rPr>
            </w:pPr>
            <w:r>
              <w:rPr>
                <w:rFonts w:ascii="Arial" w:cs="Arial" w:eastAsia="Arial" w:hAnsi="Arial"/>
                <w:sz w:val="14"/>
                <w:szCs w:val="14"/>
                <w:color w:val="auto"/>
              </w:rPr>
              <w:t>Total</w:t>
            </w:r>
          </w:p>
        </w:tc>
        <w:tc>
          <w:tcPr>
            <w:tcW w:w="266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28"/>
              <w:spacing w:after="0" w:line="155" w:lineRule="exact"/>
              <w:rPr>
                <w:sz w:val="20"/>
                <w:szCs w:val="20"/>
                <w:color w:val="auto"/>
              </w:rPr>
            </w:pPr>
            <w:r>
              <w:rPr>
                <w:rFonts w:ascii="Arial" w:cs="Arial" w:eastAsia="Arial" w:hAnsi="Arial"/>
                <w:sz w:val="14"/>
                <w:szCs w:val="14"/>
                <w:color w:val="auto"/>
              </w:rPr>
              <w:t>459,599</w:t>
            </w:r>
          </w:p>
        </w:tc>
      </w:tr>
      <w:tr>
        <w:trPr>
          <w:trHeight w:val="169"/>
        </w:trPr>
        <w:tc>
          <w:tcPr>
            <w:tcW w:w="572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CCS earnings</w:t>
            </w:r>
          </w:p>
        </w:tc>
        <w:tc>
          <w:tcPr>
            <w:tcW w:w="266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color w:val="auto"/>
              </w:rPr>
              <w:t>12,638</w:t>
            </w:r>
          </w:p>
        </w:tc>
        <w:tc>
          <w:tcPr>
            <w:tcW w:w="106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color w:val="auto"/>
              </w:rPr>
              <w:t>3,869</w:t>
            </w:r>
          </w:p>
        </w:tc>
        <w:tc>
          <w:tcPr>
            <w:tcW w:w="940" w:type="dxa"/>
            <w:vAlign w:val="bottom"/>
            <w:tcBorders>
              <w:bottom w:val="single" w:sz="8" w:color="auto"/>
            </w:tcBorders>
          </w:tcPr>
          <w:p>
            <w:pPr>
              <w:jc w:val="right"/>
              <w:ind w:right="149"/>
              <w:spacing w:after="0"/>
              <w:rPr>
                <w:sz w:val="20"/>
                <w:szCs w:val="20"/>
                <w:color w:val="auto"/>
              </w:rPr>
            </w:pPr>
            <w:r>
              <w:rPr>
                <w:rFonts w:ascii="Arial" w:cs="Arial" w:eastAsia="Arial" w:hAnsi="Arial"/>
                <w:sz w:val="14"/>
                <w:szCs w:val="14"/>
                <w:color w:val="auto"/>
              </w:rPr>
              <w:t>372</w:t>
            </w:r>
          </w:p>
        </w:tc>
        <w:tc>
          <w:tcPr>
            <w:tcW w:w="10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16,879</w:t>
            </w:r>
          </w:p>
        </w:tc>
      </w:tr>
      <w:tr>
        <w:trPr>
          <w:trHeight w:val="160"/>
        </w:trPr>
        <w:tc>
          <w:tcPr>
            <w:tcW w:w="5720" w:type="dxa"/>
            <w:vAlign w:val="bottom"/>
          </w:tcPr>
          <w:p>
            <w:pPr>
              <w:spacing w:after="0"/>
              <w:rPr>
                <w:sz w:val="20"/>
                <w:szCs w:val="20"/>
                <w:color w:val="auto"/>
              </w:rPr>
            </w:pPr>
            <w:r>
              <w:rPr>
                <w:rFonts w:ascii="Arial" w:cs="Arial" w:eastAsia="Arial" w:hAnsi="Arial"/>
                <w:sz w:val="14"/>
                <w:szCs w:val="14"/>
                <w:color w:val="auto"/>
              </w:rPr>
              <w:t>Other items</w:t>
            </w:r>
          </w:p>
        </w:tc>
        <w:tc>
          <w:tcPr>
            <w:tcW w:w="26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40" w:type="dxa"/>
            <w:vAlign w:val="bottom"/>
          </w:tcPr>
          <w:p>
            <w:pPr>
              <w:spacing w:after="0"/>
              <w:rPr>
                <w:sz w:val="13"/>
                <w:szCs w:val="13"/>
                <w:color w:val="auto"/>
              </w:rPr>
            </w:pPr>
          </w:p>
        </w:tc>
      </w:tr>
      <w:tr>
        <w:trPr>
          <w:trHeight w:val="162"/>
        </w:trPr>
        <w:tc>
          <w:tcPr>
            <w:tcW w:w="5720" w:type="dxa"/>
            <w:vAlign w:val="bottom"/>
          </w:tcPr>
          <w:p>
            <w:pPr>
              <w:ind w:left="140"/>
              <w:spacing w:after="0"/>
              <w:rPr>
                <w:sz w:val="20"/>
                <w:szCs w:val="20"/>
                <w:color w:val="auto"/>
              </w:rPr>
            </w:pPr>
            <w:r>
              <w:rPr>
                <w:rFonts w:ascii="Arial" w:cs="Arial" w:eastAsia="Arial" w:hAnsi="Arial"/>
                <w:sz w:val="14"/>
                <w:szCs w:val="14"/>
                <w:color w:val="auto"/>
              </w:rPr>
              <w:t>Depreciation, depletion and amortisation charge of which:</w:t>
            </w:r>
          </w:p>
        </w:tc>
        <w:tc>
          <w:tcPr>
            <w:tcW w:w="2660" w:type="dxa"/>
            <w:vAlign w:val="bottom"/>
          </w:tcPr>
          <w:p>
            <w:pPr>
              <w:jc w:val="right"/>
              <w:ind w:right="109"/>
              <w:spacing w:after="0"/>
              <w:rPr>
                <w:sz w:val="20"/>
                <w:szCs w:val="20"/>
                <w:color w:val="auto"/>
              </w:rPr>
            </w:pPr>
            <w:r>
              <w:rPr>
                <w:rFonts w:ascii="Arial" w:cs="Arial" w:eastAsia="Arial" w:hAnsi="Arial"/>
                <w:sz w:val="14"/>
                <w:szCs w:val="14"/>
                <w:color w:val="auto"/>
              </w:rPr>
              <w:t>16,949</w:t>
            </w:r>
          </w:p>
        </w:tc>
        <w:tc>
          <w:tcPr>
            <w:tcW w:w="1060" w:type="dxa"/>
            <w:vAlign w:val="bottom"/>
          </w:tcPr>
          <w:p>
            <w:pPr>
              <w:jc w:val="right"/>
              <w:ind w:right="109"/>
              <w:spacing w:after="0"/>
              <w:rPr>
                <w:sz w:val="20"/>
                <w:szCs w:val="20"/>
                <w:color w:val="auto"/>
              </w:rPr>
            </w:pPr>
            <w:r>
              <w:rPr>
                <w:rFonts w:ascii="Arial" w:cs="Arial" w:eastAsia="Arial" w:hAnsi="Arial"/>
                <w:sz w:val="14"/>
                <w:szCs w:val="14"/>
                <w:color w:val="auto"/>
              </w:rPr>
              <w:t>4,421</w:t>
            </w:r>
          </w:p>
        </w:tc>
        <w:tc>
          <w:tcPr>
            <w:tcW w:w="940" w:type="dxa"/>
            <w:vAlign w:val="bottom"/>
          </w:tcPr>
          <w:p>
            <w:pPr>
              <w:jc w:val="right"/>
              <w:ind w:right="149"/>
              <w:spacing w:after="0"/>
              <w:rPr>
                <w:sz w:val="20"/>
                <w:szCs w:val="20"/>
                <w:color w:val="auto"/>
              </w:rPr>
            </w:pPr>
            <w:r>
              <w:rPr>
                <w:rFonts w:ascii="Arial" w:cs="Arial" w:eastAsia="Arial" w:hAnsi="Arial"/>
                <w:sz w:val="14"/>
                <w:szCs w:val="14"/>
                <w:color w:val="auto"/>
              </w:rPr>
              <w:t>139</w:t>
            </w: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21,509</w:t>
            </w:r>
          </w:p>
        </w:tc>
      </w:tr>
      <w:tr>
        <w:trPr>
          <w:trHeight w:val="162"/>
        </w:trPr>
        <w:tc>
          <w:tcPr>
            <w:tcW w:w="5720" w:type="dxa"/>
            <w:vAlign w:val="bottom"/>
          </w:tcPr>
          <w:p>
            <w:pPr>
              <w:ind w:left="260"/>
              <w:spacing w:after="0"/>
              <w:rPr>
                <w:sz w:val="20"/>
                <w:szCs w:val="20"/>
                <w:color w:val="auto"/>
              </w:rPr>
            </w:pPr>
            <w:r>
              <w:rPr>
                <w:rFonts w:ascii="Arial" w:cs="Arial" w:eastAsia="Arial" w:hAnsi="Arial"/>
                <w:sz w:val="14"/>
                <w:szCs w:val="14"/>
                <w:color w:val="auto"/>
              </w:rPr>
              <w:t>Impairment losses</w:t>
            </w:r>
          </w:p>
        </w:tc>
        <w:tc>
          <w:tcPr>
            <w:tcW w:w="2660" w:type="dxa"/>
            <w:vAlign w:val="bottom"/>
          </w:tcPr>
          <w:p>
            <w:pPr>
              <w:jc w:val="right"/>
              <w:ind w:right="109"/>
              <w:spacing w:after="0"/>
              <w:rPr>
                <w:sz w:val="20"/>
                <w:szCs w:val="20"/>
                <w:color w:val="auto"/>
              </w:rPr>
            </w:pPr>
            <w:r>
              <w:rPr>
                <w:rFonts w:ascii="Arial" w:cs="Arial" w:eastAsia="Arial" w:hAnsi="Arial"/>
                <w:sz w:val="14"/>
                <w:szCs w:val="14"/>
                <w:color w:val="auto"/>
              </w:rPr>
              <w:t>4,678</w:t>
            </w:r>
          </w:p>
        </w:tc>
        <w:tc>
          <w:tcPr>
            <w:tcW w:w="1060" w:type="dxa"/>
            <w:vAlign w:val="bottom"/>
          </w:tcPr>
          <w:p>
            <w:pPr>
              <w:jc w:val="right"/>
              <w:ind w:right="109"/>
              <w:spacing w:after="0"/>
              <w:rPr>
                <w:sz w:val="20"/>
                <w:szCs w:val="20"/>
                <w:color w:val="auto"/>
              </w:rPr>
            </w:pPr>
            <w:r>
              <w:rPr>
                <w:rFonts w:ascii="Arial" w:cs="Arial" w:eastAsia="Arial" w:hAnsi="Arial"/>
                <w:sz w:val="14"/>
                <w:szCs w:val="14"/>
                <w:color w:val="auto"/>
              </w:rPr>
              <w:t>749</w:t>
            </w:r>
          </w:p>
        </w:tc>
        <w:tc>
          <w:tcPr>
            <w:tcW w:w="940" w:type="dxa"/>
            <w:vAlign w:val="bottom"/>
          </w:tcPr>
          <w:p>
            <w:pPr>
              <w:jc w:val="right"/>
              <w:ind w:right="149"/>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5,427</w:t>
            </w:r>
          </w:p>
        </w:tc>
      </w:tr>
      <w:tr>
        <w:trPr>
          <w:trHeight w:val="162"/>
        </w:trPr>
        <w:tc>
          <w:tcPr>
            <w:tcW w:w="5720" w:type="dxa"/>
            <w:vAlign w:val="bottom"/>
          </w:tcPr>
          <w:p>
            <w:pPr>
              <w:ind w:left="260"/>
              <w:spacing w:after="0"/>
              <w:rPr>
                <w:sz w:val="20"/>
                <w:szCs w:val="20"/>
                <w:color w:val="auto"/>
              </w:rPr>
            </w:pPr>
            <w:r>
              <w:rPr>
                <w:rFonts w:ascii="Arial" w:cs="Arial" w:eastAsia="Arial" w:hAnsi="Arial"/>
                <w:sz w:val="14"/>
                <w:szCs w:val="14"/>
                <w:color w:val="auto"/>
              </w:rPr>
              <w:t>Impairment reversals</w:t>
            </w:r>
          </w:p>
        </w:tc>
        <w:tc>
          <w:tcPr>
            <w:tcW w:w="2660" w:type="dxa"/>
            <w:vAlign w:val="bottom"/>
          </w:tcPr>
          <w:p>
            <w:pPr>
              <w:jc w:val="right"/>
              <w:ind w:right="109"/>
              <w:spacing w:after="0"/>
              <w:rPr>
                <w:sz w:val="20"/>
                <w:szCs w:val="20"/>
                <w:color w:val="auto"/>
              </w:rPr>
            </w:pPr>
            <w:r>
              <w:rPr>
                <w:rFonts w:ascii="Arial" w:cs="Arial" w:eastAsia="Arial" w:hAnsi="Arial"/>
                <w:sz w:val="14"/>
                <w:szCs w:val="14"/>
                <w:color w:val="auto"/>
              </w:rPr>
              <w:t>17</w:t>
            </w:r>
          </w:p>
        </w:tc>
        <w:tc>
          <w:tcPr>
            <w:tcW w:w="1060" w:type="dxa"/>
            <w:vAlign w:val="bottom"/>
          </w:tcPr>
          <w:p>
            <w:pPr>
              <w:jc w:val="right"/>
              <w:ind w:right="109"/>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149"/>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17</w:t>
            </w:r>
          </w:p>
        </w:tc>
      </w:tr>
      <w:tr>
        <w:trPr>
          <w:trHeight w:val="162"/>
        </w:trPr>
        <w:tc>
          <w:tcPr>
            <w:tcW w:w="5720" w:type="dxa"/>
            <w:vAlign w:val="bottom"/>
          </w:tcPr>
          <w:p>
            <w:pPr>
              <w:ind w:left="140"/>
              <w:spacing w:after="0"/>
              <w:rPr>
                <w:sz w:val="20"/>
                <w:szCs w:val="20"/>
                <w:color w:val="auto"/>
              </w:rPr>
            </w:pPr>
            <w:r>
              <w:rPr>
                <w:rFonts w:ascii="Arial" w:cs="Arial" w:eastAsia="Arial" w:hAnsi="Arial"/>
                <w:sz w:val="14"/>
                <w:szCs w:val="14"/>
                <w:color w:val="auto"/>
              </w:rPr>
              <w:t>Interest expense</w:t>
            </w:r>
          </w:p>
        </w:tc>
        <w:tc>
          <w:tcPr>
            <w:tcW w:w="2660" w:type="dxa"/>
            <w:vAlign w:val="bottom"/>
          </w:tcPr>
          <w:p>
            <w:pPr>
              <w:jc w:val="right"/>
              <w:ind w:right="109"/>
              <w:spacing w:after="0"/>
              <w:rPr>
                <w:sz w:val="20"/>
                <w:szCs w:val="20"/>
                <w:color w:val="auto"/>
              </w:rPr>
            </w:pPr>
            <w:r>
              <w:rPr>
                <w:rFonts w:ascii="Arial" w:cs="Arial" w:eastAsia="Arial" w:hAnsi="Arial"/>
                <w:sz w:val="14"/>
                <w:szCs w:val="14"/>
                <w:color w:val="auto"/>
              </w:rPr>
              <w:t>910</w:t>
            </w:r>
          </w:p>
        </w:tc>
        <w:tc>
          <w:tcPr>
            <w:tcW w:w="1060" w:type="dxa"/>
            <w:vAlign w:val="bottom"/>
          </w:tcPr>
          <w:p>
            <w:pPr>
              <w:jc w:val="right"/>
              <w:ind w:right="109"/>
              <w:spacing w:after="0"/>
              <w:rPr>
                <w:sz w:val="20"/>
                <w:szCs w:val="20"/>
                <w:color w:val="auto"/>
              </w:rPr>
            </w:pPr>
            <w:r>
              <w:rPr>
                <w:rFonts w:ascii="Arial" w:cs="Arial" w:eastAsia="Arial" w:hAnsi="Arial"/>
                <w:sz w:val="14"/>
                <w:szCs w:val="14"/>
                <w:color w:val="auto"/>
              </w:rPr>
              <w:t>83</w:t>
            </w:r>
          </w:p>
        </w:tc>
        <w:tc>
          <w:tcPr>
            <w:tcW w:w="940" w:type="dxa"/>
            <w:vAlign w:val="bottom"/>
          </w:tcPr>
          <w:p>
            <w:pPr>
              <w:jc w:val="right"/>
              <w:ind w:right="149"/>
              <w:spacing w:after="0"/>
              <w:rPr>
                <w:sz w:val="20"/>
                <w:szCs w:val="20"/>
                <w:color w:val="auto"/>
              </w:rPr>
            </w:pPr>
            <w:r>
              <w:rPr>
                <w:rFonts w:ascii="Arial" w:cs="Arial" w:eastAsia="Arial" w:hAnsi="Arial"/>
                <w:sz w:val="14"/>
                <w:szCs w:val="14"/>
                <w:color w:val="auto"/>
              </w:rPr>
              <w:t>649</w:t>
            </w: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1,642</w:t>
            </w:r>
          </w:p>
        </w:tc>
      </w:tr>
      <w:tr>
        <w:trPr>
          <w:trHeight w:val="157"/>
        </w:trPr>
        <w:tc>
          <w:tcPr>
            <w:tcW w:w="5720" w:type="dxa"/>
            <w:vAlign w:val="bottom"/>
            <w:tcBorders>
              <w:bottom w:val="single" w:sz="8" w:color="auto"/>
            </w:tcBorders>
          </w:tcPr>
          <w:p>
            <w:pPr>
              <w:ind w:left="140"/>
              <w:spacing w:after="0" w:line="157" w:lineRule="exact"/>
              <w:rPr>
                <w:sz w:val="20"/>
                <w:szCs w:val="20"/>
                <w:color w:val="auto"/>
              </w:rPr>
            </w:pPr>
            <w:r>
              <w:rPr>
                <w:rFonts w:ascii="Arial" w:cs="Arial" w:eastAsia="Arial" w:hAnsi="Arial"/>
                <w:sz w:val="14"/>
                <w:szCs w:val="14"/>
                <w:color w:val="auto"/>
              </w:rPr>
              <w:t>Taxation charge/(credit)</w:t>
            </w:r>
          </w:p>
        </w:tc>
        <w:tc>
          <w:tcPr>
            <w:tcW w:w="2660" w:type="dxa"/>
            <w:vAlign w:val="bottom"/>
            <w:tcBorders>
              <w:bottom w:val="single" w:sz="8" w:color="auto"/>
            </w:tcBorders>
          </w:tcPr>
          <w:p>
            <w:pPr>
              <w:jc w:val="right"/>
              <w:ind w:right="109"/>
              <w:spacing w:after="0" w:line="157" w:lineRule="exact"/>
              <w:rPr>
                <w:sz w:val="20"/>
                <w:szCs w:val="20"/>
                <w:color w:val="auto"/>
              </w:rPr>
            </w:pPr>
            <w:r>
              <w:rPr>
                <w:rFonts w:ascii="Arial" w:cs="Arial" w:eastAsia="Arial" w:hAnsi="Arial"/>
                <w:sz w:val="14"/>
                <w:szCs w:val="14"/>
                <w:color w:val="auto"/>
              </w:rPr>
              <w:t>17,803</w:t>
            </w:r>
          </w:p>
        </w:tc>
        <w:tc>
          <w:tcPr>
            <w:tcW w:w="1060" w:type="dxa"/>
            <w:vAlign w:val="bottom"/>
            <w:tcBorders>
              <w:bottom w:val="single" w:sz="8" w:color="auto"/>
            </w:tcBorders>
          </w:tcPr>
          <w:p>
            <w:pPr>
              <w:jc w:val="right"/>
              <w:ind w:right="109"/>
              <w:spacing w:after="0" w:line="157" w:lineRule="exact"/>
              <w:rPr>
                <w:sz w:val="20"/>
                <w:szCs w:val="20"/>
                <w:color w:val="auto"/>
              </w:rPr>
            </w:pPr>
            <w:r>
              <w:rPr>
                <w:rFonts w:ascii="Arial" w:cs="Arial" w:eastAsia="Arial" w:hAnsi="Arial"/>
                <w:sz w:val="14"/>
                <w:szCs w:val="14"/>
                <w:color w:val="auto"/>
              </w:rPr>
              <w:t>975</w:t>
            </w:r>
          </w:p>
        </w:tc>
        <w:tc>
          <w:tcPr>
            <w:tcW w:w="940" w:type="dxa"/>
            <w:vAlign w:val="bottom"/>
            <w:tcBorders>
              <w:bottom w:val="single" w:sz="8" w:color="auto"/>
            </w:tcBorders>
          </w:tcPr>
          <w:p>
            <w:pPr>
              <w:jc w:val="right"/>
              <w:ind w:right="89"/>
              <w:spacing w:after="0" w:line="157" w:lineRule="exact"/>
              <w:rPr>
                <w:sz w:val="20"/>
                <w:szCs w:val="20"/>
                <w:color w:val="auto"/>
              </w:rPr>
            </w:pPr>
            <w:r>
              <w:rPr>
                <w:rFonts w:ascii="Arial" w:cs="Arial" w:eastAsia="Arial" w:hAnsi="Arial"/>
                <w:sz w:val="14"/>
                <w:szCs w:val="14"/>
                <w:color w:val="auto"/>
              </w:rPr>
              <w:t>(1,712)</w:t>
            </w:r>
          </w:p>
        </w:tc>
        <w:tc>
          <w:tcPr>
            <w:tcW w:w="1040" w:type="dxa"/>
            <w:vAlign w:val="bottom"/>
            <w:tcBorders>
              <w:bottom w:val="single" w:sz="8" w:color="auto"/>
            </w:tcBorders>
          </w:tcPr>
          <w:p>
            <w:pPr>
              <w:jc w:val="right"/>
              <w:ind w:right="28"/>
              <w:spacing w:after="0" w:line="157" w:lineRule="exact"/>
              <w:rPr>
                <w:sz w:val="20"/>
                <w:szCs w:val="20"/>
                <w:color w:val="auto"/>
              </w:rPr>
            </w:pPr>
            <w:r>
              <w:rPr>
                <w:rFonts w:ascii="Arial" w:cs="Arial" w:eastAsia="Arial" w:hAnsi="Arial"/>
                <w:sz w:val="14"/>
                <w:szCs w:val="14"/>
                <w:color w:val="auto"/>
              </w:rPr>
              <w:t>17,066</w:t>
            </w:r>
          </w:p>
        </w:tc>
      </w:tr>
    </w:tbl>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5580" w:type="dxa"/>
            <w:vAlign w:val="bottom"/>
            <w:shd w:val="clear" w:color="auto" w:fill="333333"/>
          </w:tcPr>
          <w:p>
            <w:pPr>
              <w:ind w:left="80"/>
              <w:spacing w:after="0"/>
              <w:rPr>
                <w:sz w:val="20"/>
                <w:szCs w:val="20"/>
                <w:color w:val="auto"/>
              </w:rPr>
            </w:pPr>
            <w:r>
              <w:rPr>
                <w:rFonts w:ascii="Arial" w:cs="Arial" w:eastAsia="Arial" w:hAnsi="Arial"/>
                <w:sz w:val="15"/>
                <w:szCs w:val="15"/>
                <w:b w:val="1"/>
                <w:bCs w:val="1"/>
                <w:color w:val="FFFFFF"/>
              </w:rPr>
              <w:t>2012</w:t>
            </w:r>
          </w:p>
        </w:tc>
        <w:tc>
          <w:tcPr>
            <w:tcW w:w="2580" w:type="dxa"/>
            <w:vAlign w:val="bottom"/>
            <w:shd w:val="clear" w:color="auto" w:fill="333333"/>
          </w:tcPr>
          <w:p>
            <w:pPr>
              <w:spacing w:after="0"/>
              <w:rPr>
                <w:sz w:val="14"/>
                <w:szCs w:val="14"/>
                <w:color w:val="auto"/>
              </w:rPr>
            </w:pPr>
          </w:p>
        </w:tc>
        <w:tc>
          <w:tcPr>
            <w:tcW w:w="1180" w:type="dxa"/>
            <w:vAlign w:val="bottom"/>
            <w:shd w:val="clear" w:color="auto" w:fill="333333"/>
          </w:tcPr>
          <w:p>
            <w:pPr>
              <w:spacing w:after="0"/>
              <w:rPr>
                <w:sz w:val="14"/>
                <w:szCs w:val="14"/>
                <w:color w:val="auto"/>
              </w:rPr>
            </w:pPr>
          </w:p>
        </w:tc>
        <w:tc>
          <w:tcPr>
            <w:tcW w:w="1020" w:type="dxa"/>
            <w:vAlign w:val="bottom"/>
            <w:shd w:val="clear" w:color="auto" w:fill="333333"/>
          </w:tcPr>
          <w:p>
            <w:pPr>
              <w:spacing w:after="0"/>
              <w:rPr>
                <w:sz w:val="14"/>
                <w:szCs w:val="14"/>
                <w:color w:val="auto"/>
              </w:rPr>
            </w:pPr>
          </w:p>
        </w:tc>
        <w:tc>
          <w:tcPr>
            <w:tcW w:w="1060" w:type="dxa"/>
            <w:vAlign w:val="bottom"/>
            <w:shd w:val="clear" w:color="auto" w:fill="333333"/>
          </w:tcPr>
          <w:p>
            <w:pPr>
              <w:jc w:val="right"/>
              <w:ind w:right="68"/>
              <w:spacing w:after="0"/>
              <w:rPr>
                <w:sz w:val="20"/>
                <w:szCs w:val="20"/>
                <w:color w:val="auto"/>
              </w:rPr>
            </w:pPr>
            <w:r>
              <w:rPr>
                <w:rFonts w:ascii="Arial" w:cs="Arial" w:eastAsia="Arial" w:hAnsi="Arial"/>
                <w:sz w:val="15"/>
                <w:szCs w:val="15"/>
                <w:color w:val="FFFFFF"/>
              </w:rPr>
              <w:t>$ MILLION</w:t>
            </w:r>
          </w:p>
        </w:tc>
      </w:tr>
      <w:tr>
        <w:trPr>
          <w:trHeight w:val="149"/>
        </w:trPr>
        <w:tc>
          <w:tcPr>
            <w:tcW w:w="5580" w:type="dxa"/>
            <w:vAlign w:val="bottom"/>
            <w:tcBorders>
              <w:bottom w:val="single" w:sz="8" w:color="auto"/>
            </w:tcBorders>
          </w:tcPr>
          <w:p>
            <w:pPr>
              <w:spacing w:after="0"/>
              <w:rPr>
                <w:sz w:val="12"/>
                <w:szCs w:val="12"/>
                <w:color w:val="auto"/>
              </w:rPr>
            </w:pPr>
          </w:p>
        </w:tc>
        <w:tc>
          <w:tcPr>
            <w:tcW w:w="2580" w:type="dxa"/>
            <w:vAlign w:val="bottom"/>
            <w:tcBorders>
              <w:bottom w:val="single" w:sz="8" w:color="auto"/>
            </w:tcBorders>
          </w:tcPr>
          <w:p>
            <w:pPr>
              <w:jc w:val="right"/>
              <w:ind w:right="169"/>
              <w:spacing w:after="0"/>
              <w:rPr>
                <w:sz w:val="20"/>
                <w:szCs w:val="20"/>
                <w:color w:val="auto"/>
              </w:rPr>
            </w:pPr>
            <w:r>
              <w:rPr>
                <w:rFonts w:ascii="Arial" w:cs="Arial" w:eastAsia="Arial" w:hAnsi="Arial"/>
                <w:sz w:val="13"/>
                <w:szCs w:val="13"/>
                <w:color w:val="auto"/>
              </w:rPr>
              <w:t>Upstream</w:t>
            </w:r>
          </w:p>
        </w:tc>
        <w:tc>
          <w:tcPr>
            <w:tcW w:w="1180" w:type="dxa"/>
            <w:vAlign w:val="bottom"/>
            <w:tcBorders>
              <w:bottom w:val="single" w:sz="8" w:color="auto"/>
            </w:tcBorders>
          </w:tcPr>
          <w:p>
            <w:pPr>
              <w:jc w:val="right"/>
              <w:ind w:right="169"/>
              <w:spacing w:after="0"/>
              <w:rPr>
                <w:sz w:val="20"/>
                <w:szCs w:val="20"/>
                <w:color w:val="auto"/>
              </w:rPr>
            </w:pPr>
            <w:r>
              <w:rPr>
                <w:rFonts w:ascii="Arial" w:cs="Arial" w:eastAsia="Arial" w:hAnsi="Arial"/>
                <w:sz w:val="13"/>
                <w:szCs w:val="13"/>
                <w:color w:val="auto"/>
              </w:rPr>
              <w:t>Downstream</w:t>
            </w:r>
          </w:p>
        </w:tc>
        <w:tc>
          <w:tcPr>
            <w:tcW w:w="1020" w:type="dxa"/>
            <w:vAlign w:val="bottom"/>
            <w:tcBorders>
              <w:bottom w:val="single" w:sz="8" w:color="auto"/>
            </w:tcBorders>
          </w:tcPr>
          <w:p>
            <w:pPr>
              <w:jc w:val="right"/>
              <w:ind w:right="169"/>
              <w:spacing w:after="0"/>
              <w:rPr>
                <w:sz w:val="20"/>
                <w:szCs w:val="20"/>
                <w:color w:val="auto"/>
              </w:rPr>
            </w:pPr>
            <w:r>
              <w:rPr>
                <w:rFonts w:ascii="Arial" w:cs="Arial" w:eastAsia="Arial" w:hAnsi="Arial"/>
                <w:sz w:val="13"/>
                <w:szCs w:val="13"/>
                <w:color w:val="auto"/>
              </w:rPr>
              <w:t>Corporate</w:t>
            </w:r>
          </w:p>
        </w:tc>
        <w:tc>
          <w:tcPr>
            <w:tcW w:w="1060" w:type="dxa"/>
            <w:vAlign w:val="bottom"/>
            <w:tcBorders>
              <w:bottom w:val="single" w:sz="8" w:color="auto"/>
            </w:tcBorders>
          </w:tcPr>
          <w:p>
            <w:pPr>
              <w:jc w:val="right"/>
              <w:ind w:right="148"/>
              <w:spacing w:after="0"/>
              <w:rPr>
                <w:sz w:val="20"/>
                <w:szCs w:val="20"/>
                <w:color w:val="auto"/>
              </w:rPr>
            </w:pPr>
            <w:r>
              <w:rPr>
                <w:rFonts w:ascii="Arial" w:cs="Arial" w:eastAsia="Arial" w:hAnsi="Arial"/>
                <w:sz w:val="13"/>
                <w:szCs w:val="13"/>
                <w:color w:val="auto"/>
              </w:rPr>
              <w:t>Total</w:t>
            </w:r>
          </w:p>
        </w:tc>
      </w:tr>
      <w:tr>
        <w:trPr>
          <w:trHeight w:val="160"/>
        </w:trPr>
        <w:tc>
          <w:tcPr>
            <w:tcW w:w="5580" w:type="dxa"/>
            <w:vAlign w:val="bottom"/>
          </w:tcPr>
          <w:p>
            <w:pPr>
              <w:spacing w:after="0"/>
              <w:rPr>
                <w:sz w:val="20"/>
                <w:szCs w:val="20"/>
                <w:color w:val="auto"/>
              </w:rPr>
            </w:pPr>
            <w:r>
              <w:rPr>
                <w:rFonts w:ascii="Arial" w:cs="Arial" w:eastAsia="Arial" w:hAnsi="Arial"/>
                <w:sz w:val="14"/>
                <w:szCs w:val="14"/>
                <w:color w:val="auto"/>
              </w:rPr>
              <w:t>Revenue and other income</w:t>
            </w:r>
          </w:p>
        </w:tc>
        <w:tc>
          <w:tcPr>
            <w:tcW w:w="25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60" w:type="dxa"/>
            <w:vAlign w:val="bottom"/>
          </w:tcPr>
          <w:p>
            <w:pPr>
              <w:spacing w:after="0"/>
              <w:rPr>
                <w:sz w:val="13"/>
                <w:szCs w:val="13"/>
                <w:color w:val="auto"/>
              </w:rPr>
            </w:pPr>
          </w:p>
        </w:tc>
      </w:tr>
      <w:tr>
        <w:trPr>
          <w:trHeight w:val="162"/>
        </w:trPr>
        <w:tc>
          <w:tcPr>
            <w:tcW w:w="5580" w:type="dxa"/>
            <w:vAlign w:val="bottom"/>
          </w:tcPr>
          <w:p>
            <w:pPr>
              <w:ind w:left="140"/>
              <w:spacing w:after="0"/>
              <w:rPr>
                <w:sz w:val="20"/>
                <w:szCs w:val="20"/>
                <w:color w:val="auto"/>
              </w:rPr>
            </w:pPr>
            <w:r>
              <w:rPr>
                <w:rFonts w:ascii="Arial" w:cs="Arial" w:eastAsia="Arial" w:hAnsi="Arial"/>
                <w:sz w:val="14"/>
                <w:szCs w:val="14"/>
                <w:color w:val="auto"/>
              </w:rPr>
              <w:t>Revenue</w:t>
            </w:r>
          </w:p>
        </w:tc>
        <w:tc>
          <w:tcPr>
            <w:tcW w:w="25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62"/>
        </w:trPr>
        <w:tc>
          <w:tcPr>
            <w:tcW w:w="5580" w:type="dxa"/>
            <w:vAlign w:val="bottom"/>
          </w:tcPr>
          <w:p>
            <w:pPr>
              <w:ind w:left="260"/>
              <w:spacing w:after="0"/>
              <w:rPr>
                <w:sz w:val="20"/>
                <w:szCs w:val="20"/>
                <w:color w:val="auto"/>
              </w:rPr>
            </w:pPr>
            <w:r>
              <w:rPr>
                <w:rFonts w:ascii="Arial" w:cs="Arial" w:eastAsia="Arial" w:hAnsi="Arial"/>
                <w:sz w:val="14"/>
                <w:szCs w:val="14"/>
                <w:color w:val="auto"/>
              </w:rPr>
              <w:t>Third party</w:t>
            </w:r>
          </w:p>
        </w:tc>
        <w:tc>
          <w:tcPr>
            <w:tcW w:w="2580" w:type="dxa"/>
            <w:vAlign w:val="bottom"/>
          </w:tcPr>
          <w:p>
            <w:pPr>
              <w:jc w:val="right"/>
              <w:ind w:right="169"/>
              <w:spacing w:after="0"/>
              <w:rPr>
                <w:sz w:val="20"/>
                <w:szCs w:val="20"/>
                <w:color w:val="auto"/>
              </w:rPr>
            </w:pPr>
            <w:r>
              <w:rPr>
                <w:rFonts w:ascii="Arial" w:cs="Arial" w:eastAsia="Arial" w:hAnsi="Arial"/>
                <w:sz w:val="14"/>
                <w:szCs w:val="14"/>
                <w:color w:val="auto"/>
              </w:rPr>
              <w:t>43,431</w:t>
            </w:r>
          </w:p>
        </w:tc>
        <w:tc>
          <w:tcPr>
            <w:tcW w:w="1180" w:type="dxa"/>
            <w:vAlign w:val="bottom"/>
          </w:tcPr>
          <w:p>
            <w:pPr>
              <w:jc w:val="right"/>
              <w:ind w:right="169"/>
              <w:spacing w:after="0"/>
              <w:rPr>
                <w:sz w:val="20"/>
                <w:szCs w:val="20"/>
                <w:color w:val="auto"/>
              </w:rPr>
            </w:pPr>
            <w:r>
              <w:rPr>
                <w:rFonts w:ascii="Arial" w:cs="Arial" w:eastAsia="Arial" w:hAnsi="Arial"/>
                <w:sz w:val="14"/>
                <w:szCs w:val="14"/>
                <w:color w:val="auto"/>
              </w:rPr>
              <w:t>423,638</w:t>
            </w:r>
          </w:p>
        </w:tc>
        <w:tc>
          <w:tcPr>
            <w:tcW w:w="1020" w:type="dxa"/>
            <w:vAlign w:val="bottom"/>
          </w:tcPr>
          <w:p>
            <w:pPr>
              <w:jc w:val="right"/>
              <w:ind w:right="169"/>
              <w:spacing w:after="0"/>
              <w:rPr>
                <w:sz w:val="20"/>
                <w:szCs w:val="20"/>
                <w:color w:val="auto"/>
              </w:rPr>
            </w:pPr>
            <w:r>
              <w:rPr>
                <w:rFonts w:ascii="Arial" w:cs="Arial" w:eastAsia="Arial" w:hAnsi="Arial"/>
                <w:sz w:val="14"/>
                <w:szCs w:val="14"/>
                <w:color w:val="auto"/>
              </w:rPr>
              <w:t>84</w:t>
            </w:r>
          </w:p>
        </w:tc>
        <w:tc>
          <w:tcPr>
            <w:tcW w:w="1060" w:type="dxa"/>
            <w:vAlign w:val="bottom"/>
          </w:tcPr>
          <w:p>
            <w:pPr>
              <w:jc w:val="right"/>
              <w:ind w:right="148"/>
              <w:spacing w:after="0"/>
              <w:rPr>
                <w:sz w:val="20"/>
                <w:szCs w:val="20"/>
                <w:color w:val="auto"/>
              </w:rPr>
            </w:pPr>
            <w:r>
              <w:rPr>
                <w:rFonts w:ascii="Arial" w:cs="Arial" w:eastAsia="Arial" w:hAnsi="Arial"/>
                <w:sz w:val="14"/>
                <w:szCs w:val="14"/>
                <w:color w:val="auto"/>
              </w:rPr>
              <w:t>467,153</w:t>
            </w:r>
          </w:p>
        </w:tc>
      </w:tr>
      <w:tr>
        <w:trPr>
          <w:trHeight w:val="162"/>
        </w:trPr>
        <w:tc>
          <w:tcPr>
            <w:tcW w:w="5580" w:type="dxa"/>
            <w:vAlign w:val="bottom"/>
          </w:tcPr>
          <w:p>
            <w:pPr>
              <w:ind w:left="260"/>
              <w:spacing w:after="0"/>
              <w:rPr>
                <w:sz w:val="20"/>
                <w:szCs w:val="20"/>
                <w:color w:val="auto"/>
              </w:rPr>
            </w:pPr>
            <w:r>
              <w:rPr>
                <w:rFonts w:ascii="Arial" w:cs="Arial" w:eastAsia="Arial" w:hAnsi="Arial"/>
                <w:sz w:val="14"/>
                <w:szCs w:val="14"/>
                <w:color w:val="auto"/>
              </w:rPr>
              <w:t>Inter-segment</w:t>
            </w:r>
          </w:p>
        </w:tc>
        <w:tc>
          <w:tcPr>
            <w:tcW w:w="2580" w:type="dxa"/>
            <w:vAlign w:val="bottom"/>
          </w:tcPr>
          <w:p>
            <w:pPr>
              <w:jc w:val="right"/>
              <w:ind w:right="169"/>
              <w:spacing w:after="0"/>
              <w:rPr>
                <w:sz w:val="20"/>
                <w:szCs w:val="20"/>
                <w:color w:val="auto"/>
              </w:rPr>
            </w:pPr>
            <w:r>
              <w:rPr>
                <w:rFonts w:ascii="Arial" w:cs="Arial" w:eastAsia="Arial" w:hAnsi="Arial"/>
                <w:sz w:val="14"/>
                <w:szCs w:val="14"/>
                <w:color w:val="auto"/>
              </w:rPr>
              <w:t>51,119</w:t>
            </w:r>
          </w:p>
        </w:tc>
        <w:tc>
          <w:tcPr>
            <w:tcW w:w="1180" w:type="dxa"/>
            <w:vAlign w:val="bottom"/>
          </w:tcPr>
          <w:p>
            <w:pPr>
              <w:jc w:val="right"/>
              <w:ind w:right="169"/>
              <w:spacing w:after="0"/>
              <w:rPr>
                <w:sz w:val="20"/>
                <w:szCs w:val="20"/>
                <w:color w:val="auto"/>
              </w:rPr>
            </w:pPr>
            <w:r>
              <w:rPr>
                <w:rFonts w:ascii="Arial" w:cs="Arial" w:eastAsia="Arial" w:hAnsi="Arial"/>
                <w:sz w:val="14"/>
                <w:szCs w:val="14"/>
                <w:color w:val="auto"/>
              </w:rPr>
              <w:t>772</w:t>
            </w:r>
          </w:p>
        </w:tc>
        <w:tc>
          <w:tcPr>
            <w:tcW w:w="1020" w:type="dxa"/>
            <w:vAlign w:val="bottom"/>
          </w:tcPr>
          <w:p>
            <w:pPr>
              <w:jc w:val="right"/>
              <w:ind w:right="169"/>
              <w:spacing w:after="0"/>
              <w:rPr>
                <w:sz w:val="20"/>
                <w:szCs w:val="20"/>
                <w:color w:val="auto"/>
              </w:rPr>
            </w:pPr>
            <w:r>
              <w:rPr>
                <w:rFonts w:ascii="Arial" w:cs="Arial" w:eastAsia="Arial" w:hAnsi="Arial"/>
                <w:sz w:val="14"/>
                <w:szCs w:val="14"/>
                <w:color w:val="auto"/>
              </w:rPr>
              <w:t>–</w:t>
            </w:r>
          </w:p>
        </w:tc>
        <w:tc>
          <w:tcPr>
            <w:tcW w:w="1060" w:type="dxa"/>
            <w:vAlign w:val="bottom"/>
          </w:tcPr>
          <w:p>
            <w:pPr>
              <w:spacing w:after="0"/>
              <w:rPr>
                <w:sz w:val="14"/>
                <w:szCs w:val="14"/>
                <w:color w:val="auto"/>
              </w:rPr>
            </w:pPr>
          </w:p>
        </w:tc>
      </w:tr>
      <w:tr>
        <w:trPr>
          <w:trHeight w:val="162"/>
        </w:trPr>
        <w:tc>
          <w:tcPr>
            <w:tcW w:w="5580" w:type="dxa"/>
            <w:vAlign w:val="bottom"/>
          </w:tcPr>
          <w:p>
            <w:pPr>
              <w:ind w:left="140"/>
              <w:spacing w:after="0"/>
              <w:rPr>
                <w:sz w:val="20"/>
                <w:szCs w:val="20"/>
                <w:color w:val="auto"/>
              </w:rPr>
            </w:pPr>
            <w:r>
              <w:rPr>
                <w:rFonts w:ascii="Arial" w:cs="Arial" w:eastAsia="Arial" w:hAnsi="Arial"/>
                <w:sz w:val="14"/>
                <w:szCs w:val="14"/>
                <w:color w:val="auto"/>
              </w:rPr>
              <w:t>Share of profit/(loss) of joint ventures and associates</w:t>
            </w:r>
          </w:p>
        </w:tc>
        <w:tc>
          <w:tcPr>
            <w:tcW w:w="2580" w:type="dxa"/>
            <w:vAlign w:val="bottom"/>
          </w:tcPr>
          <w:p>
            <w:pPr>
              <w:jc w:val="right"/>
              <w:ind w:right="169"/>
              <w:spacing w:after="0"/>
              <w:rPr>
                <w:sz w:val="20"/>
                <w:szCs w:val="20"/>
                <w:color w:val="auto"/>
              </w:rPr>
            </w:pPr>
            <w:r>
              <w:rPr>
                <w:rFonts w:ascii="Arial" w:cs="Arial" w:eastAsia="Arial" w:hAnsi="Arial"/>
                <w:sz w:val="14"/>
                <w:szCs w:val="14"/>
                <w:color w:val="auto"/>
              </w:rPr>
              <w:t>8,001</w:t>
            </w:r>
          </w:p>
        </w:tc>
        <w:tc>
          <w:tcPr>
            <w:tcW w:w="1180" w:type="dxa"/>
            <w:vAlign w:val="bottom"/>
          </w:tcPr>
          <w:p>
            <w:pPr>
              <w:jc w:val="right"/>
              <w:ind w:right="169"/>
              <w:spacing w:after="0"/>
              <w:rPr>
                <w:sz w:val="20"/>
                <w:szCs w:val="20"/>
                <w:color w:val="auto"/>
              </w:rPr>
            </w:pPr>
            <w:r>
              <w:rPr>
                <w:rFonts w:ascii="Arial" w:cs="Arial" w:eastAsia="Arial" w:hAnsi="Arial"/>
                <w:sz w:val="14"/>
                <w:szCs w:val="14"/>
                <w:color w:val="auto"/>
              </w:rPr>
              <w:t>1,240</w:t>
            </w:r>
          </w:p>
        </w:tc>
        <w:tc>
          <w:tcPr>
            <w:tcW w:w="1020" w:type="dxa"/>
            <w:vAlign w:val="bottom"/>
          </w:tcPr>
          <w:p>
            <w:pPr>
              <w:jc w:val="right"/>
              <w:ind w:right="109"/>
              <w:spacing w:after="0"/>
              <w:rPr>
                <w:sz w:val="20"/>
                <w:szCs w:val="20"/>
                <w:color w:val="auto"/>
              </w:rPr>
            </w:pPr>
            <w:r>
              <w:rPr>
                <w:rFonts w:ascii="Arial" w:cs="Arial" w:eastAsia="Arial" w:hAnsi="Arial"/>
                <w:sz w:val="14"/>
                <w:szCs w:val="14"/>
                <w:color w:val="auto"/>
              </w:rPr>
              <w:t>(293)</w:t>
            </w:r>
          </w:p>
        </w:tc>
        <w:tc>
          <w:tcPr>
            <w:tcW w:w="1060" w:type="dxa"/>
            <w:vAlign w:val="bottom"/>
          </w:tcPr>
          <w:p>
            <w:pPr>
              <w:jc w:val="right"/>
              <w:ind w:right="148"/>
              <w:spacing w:after="0"/>
              <w:rPr>
                <w:sz w:val="20"/>
                <w:szCs w:val="20"/>
                <w:color w:val="auto"/>
              </w:rPr>
            </w:pPr>
            <w:r>
              <w:rPr>
                <w:rFonts w:ascii="Arial" w:cs="Arial" w:eastAsia="Arial" w:hAnsi="Arial"/>
                <w:sz w:val="14"/>
                <w:szCs w:val="14"/>
                <w:color w:val="auto"/>
              </w:rPr>
              <w:t>8,948</w:t>
            </w:r>
          </w:p>
        </w:tc>
      </w:tr>
      <w:tr>
        <w:trPr>
          <w:trHeight w:val="157"/>
        </w:trPr>
        <w:tc>
          <w:tcPr>
            <w:tcW w:w="5580" w:type="dxa"/>
            <w:vAlign w:val="bottom"/>
            <w:tcBorders>
              <w:bottom w:val="single" w:sz="8" w:color="auto"/>
            </w:tcBorders>
          </w:tcPr>
          <w:p>
            <w:pPr>
              <w:ind w:left="140"/>
              <w:spacing w:after="0" w:line="157" w:lineRule="exact"/>
              <w:rPr>
                <w:sz w:val="20"/>
                <w:szCs w:val="20"/>
                <w:color w:val="auto"/>
              </w:rPr>
            </w:pPr>
            <w:r>
              <w:rPr>
                <w:rFonts w:ascii="Arial" w:cs="Arial" w:eastAsia="Arial" w:hAnsi="Arial"/>
                <w:sz w:val="14"/>
                <w:szCs w:val="14"/>
                <w:color w:val="auto"/>
              </w:rPr>
              <w:t>Interest and other income</w:t>
            </w:r>
          </w:p>
        </w:tc>
        <w:tc>
          <w:tcPr>
            <w:tcW w:w="2580" w:type="dxa"/>
            <w:vAlign w:val="bottom"/>
            <w:tcBorders>
              <w:bottom w:val="single" w:sz="8" w:color="auto"/>
            </w:tcBorders>
          </w:tcPr>
          <w:p>
            <w:pPr>
              <w:jc w:val="right"/>
              <w:ind w:right="169"/>
              <w:spacing w:after="0" w:line="157" w:lineRule="exact"/>
              <w:rPr>
                <w:sz w:val="20"/>
                <w:szCs w:val="20"/>
                <w:color w:val="auto"/>
              </w:rPr>
            </w:pPr>
            <w:r>
              <w:rPr>
                <w:rFonts w:ascii="Arial" w:cs="Arial" w:eastAsia="Arial" w:hAnsi="Arial"/>
                <w:sz w:val="14"/>
                <w:szCs w:val="14"/>
                <w:color w:val="auto"/>
              </w:rPr>
              <w:t>4,836</w:t>
            </w:r>
          </w:p>
        </w:tc>
        <w:tc>
          <w:tcPr>
            <w:tcW w:w="1180" w:type="dxa"/>
            <w:vAlign w:val="bottom"/>
            <w:tcBorders>
              <w:bottom w:val="single" w:sz="8" w:color="auto"/>
            </w:tcBorders>
          </w:tcPr>
          <w:p>
            <w:pPr>
              <w:jc w:val="right"/>
              <w:ind w:right="169"/>
              <w:spacing w:after="0" w:line="157" w:lineRule="exact"/>
              <w:rPr>
                <w:sz w:val="20"/>
                <w:szCs w:val="20"/>
                <w:color w:val="auto"/>
              </w:rPr>
            </w:pPr>
            <w:r>
              <w:rPr>
                <w:rFonts w:ascii="Arial" w:cs="Arial" w:eastAsia="Arial" w:hAnsi="Arial"/>
                <w:sz w:val="14"/>
                <w:szCs w:val="14"/>
                <w:color w:val="auto"/>
              </w:rPr>
              <w:t>305</w:t>
            </w:r>
          </w:p>
        </w:tc>
        <w:tc>
          <w:tcPr>
            <w:tcW w:w="1020" w:type="dxa"/>
            <w:vAlign w:val="bottom"/>
            <w:tcBorders>
              <w:bottom w:val="single" w:sz="8" w:color="auto"/>
            </w:tcBorders>
          </w:tcPr>
          <w:p>
            <w:pPr>
              <w:jc w:val="right"/>
              <w:ind w:right="169"/>
              <w:spacing w:after="0" w:line="157" w:lineRule="exact"/>
              <w:rPr>
                <w:sz w:val="20"/>
                <w:szCs w:val="20"/>
                <w:color w:val="auto"/>
              </w:rPr>
            </w:pPr>
            <w:r>
              <w:rPr>
                <w:rFonts w:ascii="Arial" w:cs="Arial" w:eastAsia="Arial" w:hAnsi="Arial"/>
                <w:sz w:val="14"/>
                <w:szCs w:val="14"/>
                <w:color w:val="auto"/>
              </w:rPr>
              <w:t>458</w:t>
            </w:r>
          </w:p>
        </w:tc>
        <w:tc>
          <w:tcPr>
            <w:tcW w:w="1060" w:type="dxa"/>
            <w:vAlign w:val="bottom"/>
            <w:tcBorders>
              <w:bottom w:val="single" w:sz="8" w:color="auto"/>
            </w:tcBorders>
          </w:tcPr>
          <w:p>
            <w:pPr>
              <w:jc w:val="right"/>
              <w:ind w:right="148"/>
              <w:spacing w:after="0" w:line="157" w:lineRule="exact"/>
              <w:rPr>
                <w:sz w:val="20"/>
                <w:szCs w:val="20"/>
                <w:color w:val="auto"/>
              </w:rPr>
            </w:pPr>
            <w:r>
              <w:rPr>
                <w:rFonts w:ascii="Arial" w:cs="Arial" w:eastAsia="Arial" w:hAnsi="Arial"/>
                <w:sz w:val="14"/>
                <w:szCs w:val="14"/>
                <w:color w:val="auto"/>
              </w:rPr>
              <w:t>5,599</w:t>
            </w:r>
          </w:p>
        </w:tc>
      </w:tr>
      <w:tr>
        <w:trPr>
          <w:trHeight w:val="156"/>
        </w:trPr>
        <w:tc>
          <w:tcPr>
            <w:tcW w:w="5580" w:type="dxa"/>
            <w:vAlign w:val="bottom"/>
            <w:tcBorders>
              <w:bottom w:val="single" w:sz="8" w:color="auto"/>
            </w:tcBorders>
          </w:tcPr>
          <w:p>
            <w:pPr>
              <w:spacing w:after="0" w:line="155" w:lineRule="exact"/>
              <w:rPr>
                <w:sz w:val="20"/>
                <w:szCs w:val="20"/>
                <w:color w:val="auto"/>
              </w:rPr>
            </w:pPr>
            <w:r>
              <w:rPr>
                <w:rFonts w:ascii="Arial" w:cs="Arial" w:eastAsia="Arial" w:hAnsi="Arial"/>
                <w:sz w:val="14"/>
                <w:szCs w:val="14"/>
                <w:color w:val="auto"/>
              </w:rPr>
              <w:t>Total</w:t>
            </w:r>
          </w:p>
        </w:tc>
        <w:tc>
          <w:tcPr>
            <w:tcW w:w="258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ind w:right="148"/>
              <w:spacing w:after="0" w:line="155" w:lineRule="exact"/>
              <w:rPr>
                <w:sz w:val="20"/>
                <w:szCs w:val="20"/>
                <w:color w:val="auto"/>
              </w:rPr>
            </w:pPr>
            <w:r>
              <w:rPr>
                <w:rFonts w:ascii="Arial" w:cs="Arial" w:eastAsia="Arial" w:hAnsi="Arial"/>
                <w:sz w:val="14"/>
                <w:szCs w:val="14"/>
                <w:color w:val="auto"/>
              </w:rPr>
              <w:t>481,700</w:t>
            </w:r>
          </w:p>
        </w:tc>
      </w:tr>
      <w:tr>
        <w:trPr>
          <w:trHeight w:val="169"/>
        </w:trPr>
        <w:tc>
          <w:tcPr>
            <w:tcW w:w="558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CCS earnings</w:t>
            </w:r>
          </w:p>
        </w:tc>
        <w:tc>
          <w:tcPr>
            <w:tcW w:w="2580" w:type="dxa"/>
            <w:vAlign w:val="bottom"/>
            <w:tcBorders>
              <w:bottom w:val="single" w:sz="8" w:color="auto"/>
            </w:tcBorders>
          </w:tcPr>
          <w:p>
            <w:pPr>
              <w:jc w:val="right"/>
              <w:ind w:right="169"/>
              <w:spacing w:after="0"/>
              <w:rPr>
                <w:sz w:val="20"/>
                <w:szCs w:val="20"/>
                <w:color w:val="auto"/>
              </w:rPr>
            </w:pPr>
            <w:r>
              <w:rPr>
                <w:rFonts w:ascii="Arial" w:cs="Arial" w:eastAsia="Arial" w:hAnsi="Arial"/>
                <w:sz w:val="14"/>
                <w:szCs w:val="14"/>
                <w:color w:val="auto"/>
              </w:rPr>
              <w:t>22,244</w:t>
            </w:r>
          </w:p>
        </w:tc>
        <w:tc>
          <w:tcPr>
            <w:tcW w:w="1180" w:type="dxa"/>
            <w:vAlign w:val="bottom"/>
            <w:tcBorders>
              <w:bottom w:val="single" w:sz="8" w:color="auto"/>
            </w:tcBorders>
          </w:tcPr>
          <w:p>
            <w:pPr>
              <w:jc w:val="right"/>
              <w:ind w:right="169"/>
              <w:spacing w:after="0"/>
              <w:rPr>
                <w:sz w:val="20"/>
                <w:szCs w:val="20"/>
                <w:color w:val="auto"/>
              </w:rPr>
            </w:pPr>
            <w:r>
              <w:rPr>
                <w:rFonts w:ascii="Arial" w:cs="Arial" w:eastAsia="Arial" w:hAnsi="Arial"/>
                <w:sz w:val="14"/>
                <w:szCs w:val="14"/>
                <w:color w:val="auto"/>
              </w:rPr>
              <w:t>5,382</w:t>
            </w:r>
          </w:p>
        </w:tc>
        <w:tc>
          <w:tcPr>
            <w:tcW w:w="102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color w:val="auto"/>
              </w:rPr>
              <w:t>(203)</w:t>
            </w:r>
          </w:p>
        </w:tc>
        <w:tc>
          <w:tcPr>
            <w:tcW w:w="106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27,423</w:t>
            </w:r>
          </w:p>
        </w:tc>
      </w:tr>
      <w:tr>
        <w:trPr>
          <w:trHeight w:val="160"/>
        </w:trPr>
        <w:tc>
          <w:tcPr>
            <w:tcW w:w="5580" w:type="dxa"/>
            <w:vAlign w:val="bottom"/>
          </w:tcPr>
          <w:p>
            <w:pPr>
              <w:spacing w:after="0"/>
              <w:rPr>
                <w:sz w:val="20"/>
                <w:szCs w:val="20"/>
                <w:color w:val="auto"/>
              </w:rPr>
            </w:pPr>
            <w:r>
              <w:rPr>
                <w:rFonts w:ascii="Arial" w:cs="Arial" w:eastAsia="Arial" w:hAnsi="Arial"/>
                <w:sz w:val="14"/>
                <w:szCs w:val="14"/>
                <w:color w:val="auto"/>
              </w:rPr>
              <w:t>Other items</w:t>
            </w:r>
          </w:p>
        </w:tc>
        <w:tc>
          <w:tcPr>
            <w:tcW w:w="25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60" w:type="dxa"/>
            <w:vAlign w:val="bottom"/>
          </w:tcPr>
          <w:p>
            <w:pPr>
              <w:spacing w:after="0"/>
              <w:rPr>
                <w:sz w:val="13"/>
                <w:szCs w:val="13"/>
                <w:color w:val="auto"/>
              </w:rPr>
            </w:pPr>
          </w:p>
        </w:tc>
      </w:tr>
      <w:tr>
        <w:trPr>
          <w:trHeight w:val="162"/>
        </w:trPr>
        <w:tc>
          <w:tcPr>
            <w:tcW w:w="5580" w:type="dxa"/>
            <w:vAlign w:val="bottom"/>
          </w:tcPr>
          <w:p>
            <w:pPr>
              <w:ind w:left="140"/>
              <w:spacing w:after="0"/>
              <w:rPr>
                <w:sz w:val="20"/>
                <w:szCs w:val="20"/>
                <w:color w:val="auto"/>
              </w:rPr>
            </w:pPr>
            <w:r>
              <w:rPr>
                <w:rFonts w:ascii="Arial" w:cs="Arial" w:eastAsia="Arial" w:hAnsi="Arial"/>
                <w:sz w:val="14"/>
                <w:szCs w:val="14"/>
                <w:color w:val="auto"/>
              </w:rPr>
              <w:t>Depreciation, depletion and amortisation charge of which:</w:t>
            </w:r>
          </w:p>
        </w:tc>
        <w:tc>
          <w:tcPr>
            <w:tcW w:w="2580" w:type="dxa"/>
            <w:vAlign w:val="bottom"/>
          </w:tcPr>
          <w:p>
            <w:pPr>
              <w:jc w:val="right"/>
              <w:ind w:right="169"/>
              <w:spacing w:after="0"/>
              <w:rPr>
                <w:sz w:val="20"/>
                <w:szCs w:val="20"/>
                <w:color w:val="auto"/>
              </w:rPr>
            </w:pPr>
            <w:r>
              <w:rPr>
                <w:rFonts w:ascii="Arial" w:cs="Arial" w:eastAsia="Arial" w:hAnsi="Arial"/>
                <w:sz w:val="14"/>
                <w:szCs w:val="14"/>
                <w:color w:val="auto"/>
              </w:rPr>
              <w:t>11,387</w:t>
            </w:r>
          </w:p>
        </w:tc>
        <w:tc>
          <w:tcPr>
            <w:tcW w:w="1180" w:type="dxa"/>
            <w:vAlign w:val="bottom"/>
          </w:tcPr>
          <w:p>
            <w:pPr>
              <w:jc w:val="right"/>
              <w:ind w:right="169"/>
              <w:spacing w:after="0"/>
              <w:rPr>
                <w:sz w:val="20"/>
                <w:szCs w:val="20"/>
                <w:color w:val="auto"/>
              </w:rPr>
            </w:pPr>
            <w:r>
              <w:rPr>
                <w:rFonts w:ascii="Arial" w:cs="Arial" w:eastAsia="Arial" w:hAnsi="Arial"/>
                <w:sz w:val="14"/>
                <w:szCs w:val="14"/>
                <w:color w:val="auto"/>
              </w:rPr>
              <w:t>3,083</w:t>
            </w:r>
          </w:p>
        </w:tc>
        <w:tc>
          <w:tcPr>
            <w:tcW w:w="1020" w:type="dxa"/>
            <w:vAlign w:val="bottom"/>
          </w:tcPr>
          <w:p>
            <w:pPr>
              <w:jc w:val="right"/>
              <w:ind w:right="169"/>
              <w:spacing w:after="0"/>
              <w:rPr>
                <w:sz w:val="20"/>
                <w:szCs w:val="20"/>
                <w:color w:val="auto"/>
              </w:rPr>
            </w:pPr>
            <w:r>
              <w:rPr>
                <w:rFonts w:ascii="Arial" w:cs="Arial" w:eastAsia="Arial" w:hAnsi="Arial"/>
                <w:sz w:val="14"/>
                <w:szCs w:val="14"/>
                <w:color w:val="auto"/>
              </w:rPr>
              <w:t>145</w:t>
            </w:r>
          </w:p>
        </w:tc>
        <w:tc>
          <w:tcPr>
            <w:tcW w:w="1060" w:type="dxa"/>
            <w:vAlign w:val="bottom"/>
          </w:tcPr>
          <w:p>
            <w:pPr>
              <w:jc w:val="right"/>
              <w:ind w:right="148"/>
              <w:spacing w:after="0"/>
              <w:rPr>
                <w:sz w:val="20"/>
                <w:szCs w:val="20"/>
                <w:color w:val="auto"/>
              </w:rPr>
            </w:pPr>
            <w:r>
              <w:rPr>
                <w:rFonts w:ascii="Arial" w:cs="Arial" w:eastAsia="Arial" w:hAnsi="Arial"/>
                <w:sz w:val="14"/>
                <w:szCs w:val="14"/>
                <w:color w:val="auto"/>
              </w:rPr>
              <w:t>14,615</w:t>
            </w:r>
          </w:p>
        </w:tc>
      </w:tr>
      <w:tr>
        <w:trPr>
          <w:trHeight w:val="162"/>
        </w:trPr>
        <w:tc>
          <w:tcPr>
            <w:tcW w:w="5580" w:type="dxa"/>
            <w:vAlign w:val="bottom"/>
          </w:tcPr>
          <w:p>
            <w:pPr>
              <w:ind w:left="260"/>
              <w:spacing w:after="0"/>
              <w:rPr>
                <w:sz w:val="20"/>
                <w:szCs w:val="20"/>
                <w:color w:val="auto"/>
              </w:rPr>
            </w:pPr>
            <w:r>
              <w:rPr>
                <w:rFonts w:ascii="Arial" w:cs="Arial" w:eastAsia="Arial" w:hAnsi="Arial"/>
                <w:sz w:val="14"/>
                <w:szCs w:val="14"/>
                <w:color w:val="auto"/>
              </w:rPr>
              <w:t>Impairment losses</w:t>
            </w:r>
          </w:p>
        </w:tc>
        <w:tc>
          <w:tcPr>
            <w:tcW w:w="2580" w:type="dxa"/>
            <w:vAlign w:val="bottom"/>
          </w:tcPr>
          <w:p>
            <w:pPr>
              <w:jc w:val="right"/>
              <w:ind w:right="169"/>
              <w:spacing w:after="0"/>
              <w:rPr>
                <w:sz w:val="20"/>
                <w:szCs w:val="20"/>
                <w:color w:val="auto"/>
              </w:rPr>
            </w:pPr>
            <w:r>
              <w:rPr>
                <w:rFonts w:ascii="Arial" w:cs="Arial" w:eastAsia="Arial" w:hAnsi="Arial"/>
                <w:sz w:val="14"/>
                <w:szCs w:val="14"/>
                <w:color w:val="auto"/>
              </w:rPr>
              <w:t>980</w:t>
            </w:r>
          </w:p>
        </w:tc>
        <w:tc>
          <w:tcPr>
            <w:tcW w:w="1180" w:type="dxa"/>
            <w:vAlign w:val="bottom"/>
          </w:tcPr>
          <w:p>
            <w:pPr>
              <w:jc w:val="right"/>
              <w:ind w:right="169"/>
              <w:spacing w:after="0"/>
              <w:rPr>
                <w:sz w:val="20"/>
                <w:szCs w:val="20"/>
                <w:color w:val="auto"/>
              </w:rPr>
            </w:pPr>
            <w:r>
              <w:rPr>
                <w:rFonts w:ascii="Arial" w:cs="Arial" w:eastAsia="Arial" w:hAnsi="Arial"/>
                <w:sz w:val="14"/>
                <w:szCs w:val="14"/>
                <w:color w:val="auto"/>
              </w:rPr>
              <w:t>138</w:t>
            </w:r>
          </w:p>
        </w:tc>
        <w:tc>
          <w:tcPr>
            <w:tcW w:w="1020" w:type="dxa"/>
            <w:vAlign w:val="bottom"/>
          </w:tcPr>
          <w:p>
            <w:pPr>
              <w:jc w:val="right"/>
              <w:ind w:right="169"/>
              <w:spacing w:after="0"/>
              <w:rPr>
                <w:sz w:val="20"/>
                <w:szCs w:val="20"/>
                <w:color w:val="auto"/>
              </w:rPr>
            </w:pPr>
            <w:r>
              <w:rPr>
                <w:rFonts w:ascii="Arial" w:cs="Arial" w:eastAsia="Arial" w:hAnsi="Arial"/>
                <w:sz w:val="14"/>
                <w:szCs w:val="14"/>
                <w:color w:val="auto"/>
              </w:rPr>
              <w:t>3</w:t>
            </w:r>
          </w:p>
        </w:tc>
        <w:tc>
          <w:tcPr>
            <w:tcW w:w="1060" w:type="dxa"/>
            <w:vAlign w:val="bottom"/>
          </w:tcPr>
          <w:p>
            <w:pPr>
              <w:jc w:val="right"/>
              <w:ind w:right="148"/>
              <w:spacing w:after="0"/>
              <w:rPr>
                <w:sz w:val="20"/>
                <w:szCs w:val="20"/>
                <w:color w:val="auto"/>
              </w:rPr>
            </w:pPr>
            <w:r>
              <w:rPr>
                <w:rFonts w:ascii="Arial" w:cs="Arial" w:eastAsia="Arial" w:hAnsi="Arial"/>
                <w:sz w:val="14"/>
                <w:szCs w:val="14"/>
                <w:color w:val="auto"/>
              </w:rPr>
              <w:t>1,121</w:t>
            </w:r>
          </w:p>
        </w:tc>
      </w:tr>
      <w:tr>
        <w:trPr>
          <w:trHeight w:val="162"/>
        </w:trPr>
        <w:tc>
          <w:tcPr>
            <w:tcW w:w="5580" w:type="dxa"/>
            <w:vAlign w:val="bottom"/>
          </w:tcPr>
          <w:p>
            <w:pPr>
              <w:ind w:left="260"/>
              <w:spacing w:after="0"/>
              <w:rPr>
                <w:sz w:val="20"/>
                <w:szCs w:val="20"/>
                <w:color w:val="auto"/>
              </w:rPr>
            </w:pPr>
            <w:r>
              <w:rPr>
                <w:rFonts w:ascii="Arial" w:cs="Arial" w:eastAsia="Arial" w:hAnsi="Arial"/>
                <w:sz w:val="14"/>
                <w:szCs w:val="14"/>
                <w:color w:val="auto"/>
              </w:rPr>
              <w:t>Impairment reversals</w:t>
            </w:r>
          </w:p>
        </w:tc>
        <w:tc>
          <w:tcPr>
            <w:tcW w:w="2580" w:type="dxa"/>
            <w:vAlign w:val="bottom"/>
          </w:tcPr>
          <w:p>
            <w:pPr>
              <w:jc w:val="right"/>
              <w:ind w:right="169"/>
              <w:spacing w:after="0"/>
              <w:rPr>
                <w:sz w:val="20"/>
                <w:szCs w:val="20"/>
                <w:color w:val="auto"/>
              </w:rPr>
            </w:pPr>
            <w:r>
              <w:rPr>
                <w:rFonts w:ascii="Arial" w:cs="Arial" w:eastAsia="Arial" w:hAnsi="Arial"/>
                <w:sz w:val="14"/>
                <w:szCs w:val="14"/>
                <w:color w:val="auto"/>
              </w:rPr>
              <w:t>–</w:t>
            </w:r>
          </w:p>
        </w:tc>
        <w:tc>
          <w:tcPr>
            <w:tcW w:w="1180" w:type="dxa"/>
            <w:vAlign w:val="bottom"/>
          </w:tcPr>
          <w:p>
            <w:pPr>
              <w:jc w:val="right"/>
              <w:ind w:right="169"/>
              <w:spacing w:after="0"/>
              <w:rPr>
                <w:sz w:val="20"/>
                <w:szCs w:val="20"/>
                <w:color w:val="auto"/>
              </w:rPr>
            </w:pPr>
            <w:r>
              <w:rPr>
                <w:rFonts w:ascii="Arial" w:cs="Arial" w:eastAsia="Arial" w:hAnsi="Arial"/>
                <w:sz w:val="14"/>
                <w:szCs w:val="14"/>
                <w:color w:val="auto"/>
              </w:rPr>
              <w:t>24</w:t>
            </w:r>
          </w:p>
        </w:tc>
        <w:tc>
          <w:tcPr>
            <w:tcW w:w="1020" w:type="dxa"/>
            <w:vAlign w:val="bottom"/>
          </w:tcPr>
          <w:p>
            <w:pPr>
              <w:jc w:val="right"/>
              <w:ind w:right="169"/>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148"/>
              <w:spacing w:after="0"/>
              <w:rPr>
                <w:sz w:val="20"/>
                <w:szCs w:val="20"/>
                <w:color w:val="auto"/>
              </w:rPr>
            </w:pPr>
            <w:r>
              <w:rPr>
                <w:rFonts w:ascii="Arial" w:cs="Arial" w:eastAsia="Arial" w:hAnsi="Arial"/>
                <w:sz w:val="14"/>
                <w:szCs w:val="14"/>
                <w:color w:val="auto"/>
              </w:rPr>
              <w:t>24</w:t>
            </w:r>
          </w:p>
        </w:tc>
      </w:tr>
      <w:tr>
        <w:trPr>
          <w:trHeight w:val="162"/>
        </w:trPr>
        <w:tc>
          <w:tcPr>
            <w:tcW w:w="5580" w:type="dxa"/>
            <w:vAlign w:val="bottom"/>
          </w:tcPr>
          <w:p>
            <w:pPr>
              <w:ind w:left="140"/>
              <w:spacing w:after="0"/>
              <w:rPr>
                <w:sz w:val="20"/>
                <w:szCs w:val="20"/>
                <w:color w:val="auto"/>
              </w:rPr>
            </w:pPr>
            <w:r>
              <w:rPr>
                <w:rFonts w:ascii="Arial" w:cs="Arial" w:eastAsia="Arial" w:hAnsi="Arial"/>
                <w:sz w:val="14"/>
                <w:szCs w:val="14"/>
                <w:color w:val="auto"/>
              </w:rPr>
              <w:t>Interest expense</w:t>
            </w:r>
          </w:p>
        </w:tc>
        <w:tc>
          <w:tcPr>
            <w:tcW w:w="2580" w:type="dxa"/>
            <w:vAlign w:val="bottom"/>
          </w:tcPr>
          <w:p>
            <w:pPr>
              <w:jc w:val="right"/>
              <w:ind w:right="169"/>
              <w:spacing w:after="0"/>
              <w:rPr>
                <w:sz w:val="20"/>
                <w:szCs w:val="20"/>
                <w:color w:val="auto"/>
              </w:rPr>
            </w:pPr>
            <w:r>
              <w:rPr>
                <w:rFonts w:ascii="Arial" w:cs="Arial" w:eastAsia="Arial" w:hAnsi="Arial"/>
                <w:sz w:val="14"/>
                <w:szCs w:val="14"/>
                <w:color w:val="auto"/>
              </w:rPr>
              <w:t>774</w:t>
            </w:r>
          </w:p>
        </w:tc>
        <w:tc>
          <w:tcPr>
            <w:tcW w:w="1180" w:type="dxa"/>
            <w:vAlign w:val="bottom"/>
          </w:tcPr>
          <w:p>
            <w:pPr>
              <w:jc w:val="right"/>
              <w:ind w:right="169"/>
              <w:spacing w:after="0"/>
              <w:rPr>
                <w:sz w:val="20"/>
                <w:szCs w:val="20"/>
                <w:color w:val="auto"/>
              </w:rPr>
            </w:pPr>
            <w:r>
              <w:rPr>
                <w:rFonts w:ascii="Arial" w:cs="Arial" w:eastAsia="Arial" w:hAnsi="Arial"/>
                <w:sz w:val="14"/>
                <w:szCs w:val="14"/>
                <w:color w:val="auto"/>
              </w:rPr>
              <w:t>89</w:t>
            </w:r>
          </w:p>
        </w:tc>
        <w:tc>
          <w:tcPr>
            <w:tcW w:w="1020" w:type="dxa"/>
            <w:vAlign w:val="bottom"/>
          </w:tcPr>
          <w:p>
            <w:pPr>
              <w:jc w:val="right"/>
              <w:ind w:right="169"/>
              <w:spacing w:after="0"/>
              <w:rPr>
                <w:sz w:val="20"/>
                <w:szCs w:val="20"/>
                <w:color w:val="auto"/>
              </w:rPr>
            </w:pPr>
            <w:r>
              <w:rPr>
                <w:rFonts w:ascii="Arial" w:cs="Arial" w:eastAsia="Arial" w:hAnsi="Arial"/>
                <w:sz w:val="14"/>
                <w:szCs w:val="14"/>
                <w:color w:val="auto"/>
              </w:rPr>
              <w:t>894</w:t>
            </w:r>
          </w:p>
        </w:tc>
        <w:tc>
          <w:tcPr>
            <w:tcW w:w="1060" w:type="dxa"/>
            <w:vAlign w:val="bottom"/>
          </w:tcPr>
          <w:p>
            <w:pPr>
              <w:jc w:val="right"/>
              <w:ind w:right="148"/>
              <w:spacing w:after="0"/>
              <w:rPr>
                <w:sz w:val="20"/>
                <w:szCs w:val="20"/>
                <w:color w:val="auto"/>
              </w:rPr>
            </w:pPr>
            <w:r>
              <w:rPr>
                <w:rFonts w:ascii="Arial" w:cs="Arial" w:eastAsia="Arial" w:hAnsi="Arial"/>
                <w:sz w:val="14"/>
                <w:szCs w:val="14"/>
                <w:color w:val="auto"/>
              </w:rPr>
              <w:t>1,757</w:t>
            </w:r>
          </w:p>
        </w:tc>
      </w:tr>
      <w:tr>
        <w:trPr>
          <w:trHeight w:val="157"/>
        </w:trPr>
        <w:tc>
          <w:tcPr>
            <w:tcW w:w="5580" w:type="dxa"/>
            <w:vAlign w:val="bottom"/>
            <w:tcBorders>
              <w:bottom w:val="single" w:sz="8" w:color="auto"/>
            </w:tcBorders>
          </w:tcPr>
          <w:p>
            <w:pPr>
              <w:ind w:left="140"/>
              <w:spacing w:after="0" w:line="157" w:lineRule="exact"/>
              <w:rPr>
                <w:sz w:val="20"/>
                <w:szCs w:val="20"/>
                <w:color w:val="auto"/>
              </w:rPr>
            </w:pPr>
            <w:r>
              <w:rPr>
                <w:rFonts w:ascii="Arial" w:cs="Arial" w:eastAsia="Arial" w:hAnsi="Arial"/>
                <w:sz w:val="14"/>
                <w:szCs w:val="14"/>
                <w:color w:val="auto"/>
              </w:rPr>
              <w:t>Taxation charge/(credit)</w:t>
            </w:r>
          </w:p>
        </w:tc>
        <w:tc>
          <w:tcPr>
            <w:tcW w:w="2580" w:type="dxa"/>
            <w:vAlign w:val="bottom"/>
            <w:tcBorders>
              <w:bottom w:val="single" w:sz="8" w:color="auto"/>
            </w:tcBorders>
          </w:tcPr>
          <w:p>
            <w:pPr>
              <w:jc w:val="right"/>
              <w:ind w:right="169"/>
              <w:spacing w:after="0" w:line="157" w:lineRule="exact"/>
              <w:rPr>
                <w:sz w:val="20"/>
                <w:szCs w:val="20"/>
                <w:color w:val="auto"/>
              </w:rPr>
            </w:pPr>
            <w:r>
              <w:rPr>
                <w:rFonts w:ascii="Arial" w:cs="Arial" w:eastAsia="Arial" w:hAnsi="Arial"/>
                <w:sz w:val="14"/>
                <w:szCs w:val="14"/>
                <w:color w:val="auto"/>
              </w:rPr>
              <w:t>23,690</w:t>
            </w:r>
          </w:p>
        </w:tc>
        <w:tc>
          <w:tcPr>
            <w:tcW w:w="1180" w:type="dxa"/>
            <w:vAlign w:val="bottom"/>
            <w:tcBorders>
              <w:bottom w:val="single" w:sz="8" w:color="auto"/>
            </w:tcBorders>
          </w:tcPr>
          <w:p>
            <w:pPr>
              <w:jc w:val="right"/>
              <w:ind w:right="169"/>
              <w:spacing w:after="0" w:line="157" w:lineRule="exact"/>
              <w:rPr>
                <w:sz w:val="20"/>
                <w:szCs w:val="20"/>
                <w:color w:val="auto"/>
              </w:rPr>
            </w:pPr>
            <w:r>
              <w:rPr>
                <w:rFonts w:ascii="Arial" w:cs="Arial" w:eastAsia="Arial" w:hAnsi="Arial"/>
                <w:sz w:val="14"/>
                <w:szCs w:val="14"/>
                <w:color w:val="auto"/>
              </w:rPr>
              <w:t>1,178</w:t>
            </w:r>
          </w:p>
        </w:tc>
        <w:tc>
          <w:tcPr>
            <w:tcW w:w="1020" w:type="dxa"/>
            <w:vAlign w:val="bottom"/>
            <w:tcBorders>
              <w:bottom w:val="single" w:sz="8" w:color="auto"/>
            </w:tcBorders>
          </w:tcPr>
          <w:p>
            <w:pPr>
              <w:jc w:val="right"/>
              <w:ind w:right="109"/>
              <w:spacing w:after="0" w:line="157" w:lineRule="exact"/>
              <w:rPr>
                <w:sz w:val="20"/>
                <w:szCs w:val="20"/>
                <w:color w:val="auto"/>
              </w:rPr>
            </w:pPr>
            <w:r>
              <w:rPr>
                <w:rFonts w:ascii="Arial" w:cs="Arial" w:eastAsia="Arial" w:hAnsi="Arial"/>
                <w:sz w:val="14"/>
                <w:szCs w:val="14"/>
                <w:color w:val="auto"/>
              </w:rPr>
              <w:t>(1,316)</w:t>
            </w:r>
          </w:p>
        </w:tc>
        <w:tc>
          <w:tcPr>
            <w:tcW w:w="1060" w:type="dxa"/>
            <w:vAlign w:val="bottom"/>
            <w:tcBorders>
              <w:bottom w:val="single" w:sz="8" w:color="auto"/>
            </w:tcBorders>
          </w:tcPr>
          <w:p>
            <w:pPr>
              <w:jc w:val="right"/>
              <w:ind w:right="148"/>
              <w:spacing w:after="0" w:line="157" w:lineRule="exact"/>
              <w:rPr>
                <w:sz w:val="20"/>
                <w:szCs w:val="20"/>
                <w:color w:val="auto"/>
              </w:rPr>
            </w:pPr>
            <w:r>
              <w:rPr>
                <w:rFonts w:ascii="Arial" w:cs="Arial" w:eastAsia="Arial" w:hAnsi="Arial"/>
                <w:sz w:val="14"/>
                <w:szCs w:val="14"/>
                <w:color w:val="auto"/>
              </w:rPr>
              <w:t>23,552</w:t>
            </w:r>
          </w:p>
        </w:tc>
      </w:tr>
    </w:tbl>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7300" w:type="dxa"/>
            <w:vAlign w:val="bottom"/>
            <w:shd w:val="clear" w:color="auto" w:fill="333333"/>
          </w:tcPr>
          <w:p>
            <w:pPr>
              <w:ind w:left="80"/>
              <w:spacing w:after="0"/>
              <w:rPr>
                <w:sz w:val="20"/>
                <w:szCs w:val="20"/>
                <w:color w:val="auto"/>
              </w:rPr>
            </w:pPr>
            <w:r>
              <w:rPr>
                <w:rFonts w:ascii="Arial" w:cs="Arial" w:eastAsia="Arial" w:hAnsi="Arial"/>
                <w:sz w:val="15"/>
                <w:szCs w:val="15"/>
                <w:b w:val="1"/>
                <w:bCs w:val="1"/>
                <w:color w:val="FFFFFF"/>
              </w:rPr>
              <w:t>RECONCILIATION OF TOTAL CCS EARNINGS TO INCOME FOR THE PERIOD</w:t>
            </w:r>
          </w:p>
        </w:tc>
        <w:tc>
          <w:tcPr>
            <w:tcW w:w="1340" w:type="dxa"/>
            <w:vAlign w:val="bottom"/>
            <w:shd w:val="clear" w:color="auto" w:fill="333333"/>
          </w:tcPr>
          <w:p>
            <w:pPr>
              <w:spacing w:after="0"/>
              <w:rPr>
                <w:sz w:val="15"/>
                <w:szCs w:val="15"/>
                <w:color w:val="auto"/>
              </w:rPr>
            </w:pPr>
          </w:p>
        </w:tc>
        <w:tc>
          <w:tcPr>
            <w:tcW w:w="1620" w:type="dxa"/>
            <w:vAlign w:val="bottom"/>
            <w:shd w:val="clear" w:color="auto" w:fill="333333"/>
          </w:tcPr>
          <w:p>
            <w:pPr>
              <w:spacing w:after="0"/>
              <w:rPr>
                <w:sz w:val="15"/>
                <w:szCs w:val="15"/>
                <w:color w:val="auto"/>
              </w:rPr>
            </w:pPr>
          </w:p>
        </w:tc>
        <w:tc>
          <w:tcPr>
            <w:tcW w:w="1160" w:type="dxa"/>
            <w:vAlign w:val="bottom"/>
            <w:shd w:val="clear" w:color="auto" w:fill="333333"/>
          </w:tcPr>
          <w:p>
            <w:pPr>
              <w:jc w:val="right"/>
              <w:ind w:right="69"/>
              <w:spacing w:after="0"/>
              <w:rPr>
                <w:sz w:val="20"/>
                <w:szCs w:val="20"/>
                <w:color w:val="auto"/>
              </w:rPr>
            </w:pPr>
            <w:r>
              <w:rPr>
                <w:rFonts w:ascii="Arial" w:cs="Arial" w:eastAsia="Arial" w:hAnsi="Arial"/>
                <w:sz w:val="15"/>
                <w:szCs w:val="15"/>
                <w:color w:val="FFFFFF"/>
              </w:rPr>
              <w:t>$ MILLION</w:t>
            </w:r>
          </w:p>
        </w:tc>
      </w:tr>
      <w:tr>
        <w:trPr>
          <w:trHeight w:val="149"/>
        </w:trPr>
        <w:tc>
          <w:tcPr>
            <w:tcW w:w="7300" w:type="dxa"/>
            <w:vAlign w:val="bottom"/>
            <w:tcBorders>
              <w:bottom w:val="single" w:sz="8" w:color="auto"/>
            </w:tcBorders>
          </w:tcPr>
          <w:p>
            <w:pPr>
              <w:spacing w:after="0"/>
              <w:rPr>
                <w:sz w:val="12"/>
                <w:szCs w:val="12"/>
                <w:color w:val="auto"/>
              </w:rPr>
            </w:pPr>
          </w:p>
        </w:tc>
        <w:tc>
          <w:tcPr>
            <w:tcW w:w="1340" w:type="dxa"/>
            <w:vAlign w:val="bottom"/>
            <w:tcBorders>
              <w:bottom w:val="single" w:sz="8" w:color="auto"/>
            </w:tcBorders>
            <w:shd w:val="clear" w:color="auto" w:fill="D8D8D8"/>
          </w:tcPr>
          <w:p>
            <w:pPr>
              <w:jc w:val="right"/>
              <w:ind w:right="150"/>
              <w:spacing w:after="0"/>
              <w:rPr>
                <w:sz w:val="20"/>
                <w:szCs w:val="20"/>
                <w:color w:val="auto"/>
              </w:rPr>
            </w:pPr>
            <w:r>
              <w:rPr>
                <w:rFonts w:ascii="Arial" w:cs="Arial" w:eastAsia="Arial" w:hAnsi="Arial"/>
                <w:sz w:val="13"/>
                <w:szCs w:val="13"/>
                <w:color w:val="auto"/>
              </w:rPr>
              <w:t>2014</w:t>
            </w:r>
          </w:p>
        </w:tc>
        <w:tc>
          <w:tcPr>
            <w:tcW w:w="1620" w:type="dxa"/>
            <w:vAlign w:val="bottom"/>
            <w:tcBorders>
              <w:bottom w:val="single" w:sz="8" w:color="auto"/>
            </w:tcBorders>
          </w:tcPr>
          <w:p>
            <w:pPr>
              <w:jc w:val="right"/>
              <w:ind w:right="250"/>
              <w:spacing w:after="0"/>
              <w:rPr>
                <w:sz w:val="20"/>
                <w:szCs w:val="20"/>
                <w:color w:val="auto"/>
              </w:rPr>
            </w:pPr>
            <w:r>
              <w:rPr>
                <w:rFonts w:ascii="Arial" w:cs="Arial" w:eastAsia="Arial" w:hAnsi="Arial"/>
                <w:sz w:val="13"/>
                <w:szCs w:val="13"/>
                <w:color w:val="auto"/>
              </w:rPr>
              <w:t>2013</w:t>
            </w:r>
          </w:p>
        </w:tc>
        <w:tc>
          <w:tcPr>
            <w:tcW w:w="1160" w:type="dxa"/>
            <w:vAlign w:val="bottom"/>
            <w:tcBorders>
              <w:bottom w:val="single" w:sz="8" w:color="auto"/>
            </w:tcBorders>
          </w:tcPr>
          <w:p>
            <w:pPr>
              <w:jc w:val="right"/>
              <w:ind w:right="149"/>
              <w:spacing w:after="0"/>
              <w:rPr>
                <w:sz w:val="20"/>
                <w:szCs w:val="20"/>
                <w:color w:val="auto"/>
              </w:rPr>
            </w:pPr>
            <w:r>
              <w:rPr>
                <w:rFonts w:ascii="Arial" w:cs="Arial" w:eastAsia="Arial" w:hAnsi="Arial"/>
                <w:sz w:val="13"/>
                <w:szCs w:val="13"/>
                <w:color w:val="auto"/>
              </w:rPr>
              <w:t>2012</w:t>
            </w:r>
          </w:p>
        </w:tc>
      </w:tr>
      <w:tr>
        <w:trPr>
          <w:trHeight w:val="169"/>
        </w:trPr>
        <w:tc>
          <w:tcPr>
            <w:tcW w:w="7300" w:type="dxa"/>
            <w:vAlign w:val="bottom"/>
          </w:tcPr>
          <w:p>
            <w:pPr>
              <w:spacing w:after="0"/>
              <w:rPr>
                <w:sz w:val="20"/>
                <w:szCs w:val="20"/>
                <w:color w:val="auto"/>
              </w:rPr>
            </w:pPr>
            <w:r>
              <w:rPr>
                <w:rFonts w:ascii="Arial" w:cs="Arial" w:eastAsia="Arial" w:hAnsi="Arial"/>
                <w:sz w:val="14"/>
                <w:szCs w:val="14"/>
                <w:color w:val="auto"/>
              </w:rPr>
              <w:t>Total CCS earnings</w:t>
            </w:r>
          </w:p>
        </w:tc>
        <w:tc>
          <w:tcPr>
            <w:tcW w:w="1340" w:type="dxa"/>
            <w:vAlign w:val="bottom"/>
            <w:shd w:val="clear" w:color="auto" w:fill="D8D8D8"/>
          </w:tcPr>
          <w:p>
            <w:pPr>
              <w:jc w:val="right"/>
              <w:ind w:right="150"/>
              <w:spacing w:after="0"/>
              <w:rPr>
                <w:sz w:val="20"/>
                <w:szCs w:val="20"/>
                <w:color w:val="auto"/>
              </w:rPr>
            </w:pPr>
            <w:r>
              <w:rPr>
                <w:rFonts w:ascii="Arial" w:cs="Arial" w:eastAsia="Arial" w:hAnsi="Arial"/>
                <w:sz w:val="14"/>
                <w:szCs w:val="14"/>
                <w:color w:val="auto"/>
              </w:rPr>
              <w:t>19,096</w:t>
            </w:r>
          </w:p>
        </w:tc>
        <w:tc>
          <w:tcPr>
            <w:tcW w:w="1620" w:type="dxa"/>
            <w:vAlign w:val="bottom"/>
          </w:tcPr>
          <w:p>
            <w:pPr>
              <w:jc w:val="right"/>
              <w:ind w:right="250"/>
              <w:spacing w:after="0"/>
              <w:rPr>
                <w:sz w:val="20"/>
                <w:szCs w:val="20"/>
                <w:color w:val="auto"/>
              </w:rPr>
            </w:pPr>
            <w:r>
              <w:rPr>
                <w:rFonts w:ascii="Arial" w:cs="Arial" w:eastAsia="Arial" w:hAnsi="Arial"/>
                <w:sz w:val="14"/>
                <w:szCs w:val="14"/>
                <w:color w:val="auto"/>
              </w:rPr>
              <w:t>16,879</w:t>
            </w:r>
          </w:p>
        </w:tc>
        <w:tc>
          <w:tcPr>
            <w:tcW w:w="1160" w:type="dxa"/>
            <w:vAlign w:val="bottom"/>
          </w:tcPr>
          <w:p>
            <w:pPr>
              <w:jc w:val="right"/>
              <w:ind w:right="149"/>
              <w:spacing w:after="0"/>
              <w:rPr>
                <w:sz w:val="20"/>
                <w:szCs w:val="20"/>
                <w:color w:val="auto"/>
              </w:rPr>
            </w:pPr>
            <w:r>
              <w:rPr>
                <w:rFonts w:ascii="Arial" w:cs="Arial" w:eastAsia="Arial" w:hAnsi="Arial"/>
                <w:sz w:val="14"/>
                <w:szCs w:val="14"/>
                <w:color w:val="auto"/>
              </w:rPr>
              <w:t>27,423</w:t>
            </w:r>
          </w:p>
        </w:tc>
      </w:tr>
      <w:tr>
        <w:trPr>
          <w:trHeight w:val="176"/>
        </w:trPr>
        <w:tc>
          <w:tcPr>
            <w:tcW w:w="7300" w:type="dxa"/>
            <w:vAlign w:val="bottom"/>
          </w:tcPr>
          <w:p>
            <w:pPr>
              <w:spacing w:after="0"/>
              <w:rPr>
                <w:sz w:val="20"/>
                <w:szCs w:val="20"/>
                <w:color w:val="auto"/>
              </w:rPr>
            </w:pPr>
            <w:r>
              <w:rPr>
                <w:rFonts w:ascii="Arial" w:cs="Arial" w:eastAsia="Arial" w:hAnsi="Arial"/>
                <w:sz w:val="14"/>
                <w:szCs w:val="14"/>
                <w:color w:val="auto"/>
              </w:rPr>
              <w:t>Current cost of supplies adjustment:</w:t>
            </w:r>
          </w:p>
        </w:tc>
        <w:tc>
          <w:tcPr>
            <w:tcW w:w="1340" w:type="dxa"/>
            <w:vAlign w:val="bottom"/>
            <w:shd w:val="clear" w:color="auto" w:fill="D8D8D8"/>
          </w:tcPr>
          <w:p>
            <w:pPr>
              <w:spacing w:after="0"/>
              <w:rPr>
                <w:sz w:val="15"/>
                <w:szCs w:val="15"/>
                <w:color w:val="auto"/>
              </w:rPr>
            </w:pPr>
          </w:p>
        </w:tc>
        <w:tc>
          <w:tcPr>
            <w:tcW w:w="1620" w:type="dxa"/>
            <w:vAlign w:val="bottom"/>
          </w:tcPr>
          <w:p>
            <w:pPr>
              <w:spacing w:after="0"/>
              <w:rPr>
                <w:sz w:val="15"/>
                <w:szCs w:val="15"/>
                <w:color w:val="auto"/>
              </w:rPr>
            </w:pPr>
          </w:p>
        </w:tc>
        <w:tc>
          <w:tcPr>
            <w:tcW w:w="1160" w:type="dxa"/>
            <w:vAlign w:val="bottom"/>
          </w:tcPr>
          <w:p>
            <w:pPr>
              <w:spacing w:after="0"/>
              <w:rPr>
                <w:sz w:val="15"/>
                <w:szCs w:val="15"/>
                <w:color w:val="auto"/>
              </w:rPr>
            </w:pPr>
          </w:p>
        </w:tc>
      </w:tr>
      <w:tr>
        <w:trPr>
          <w:trHeight w:val="167"/>
        </w:trPr>
        <w:tc>
          <w:tcPr>
            <w:tcW w:w="7300" w:type="dxa"/>
            <w:vAlign w:val="bottom"/>
          </w:tcPr>
          <w:p>
            <w:pPr>
              <w:ind w:left="140"/>
              <w:spacing w:after="0"/>
              <w:rPr>
                <w:sz w:val="20"/>
                <w:szCs w:val="20"/>
                <w:color w:val="auto"/>
              </w:rPr>
            </w:pPr>
            <w:r>
              <w:rPr>
                <w:rFonts w:ascii="Arial" w:cs="Arial" w:eastAsia="Arial" w:hAnsi="Arial"/>
                <w:sz w:val="14"/>
                <w:szCs w:val="14"/>
                <w:color w:val="auto"/>
              </w:rPr>
              <w:t>Purchases</w:t>
            </w:r>
          </w:p>
        </w:tc>
        <w:tc>
          <w:tcPr>
            <w:tcW w:w="1340" w:type="dxa"/>
            <w:vAlign w:val="bottom"/>
            <w:shd w:val="clear" w:color="auto" w:fill="D8D8D8"/>
          </w:tcPr>
          <w:p>
            <w:pPr>
              <w:jc w:val="right"/>
              <w:ind w:right="150"/>
              <w:spacing w:after="0"/>
              <w:rPr>
                <w:sz w:val="20"/>
                <w:szCs w:val="20"/>
                <w:color w:val="auto"/>
              </w:rPr>
            </w:pPr>
            <w:r>
              <w:rPr>
                <w:rFonts w:ascii="Arial" w:cs="Arial" w:eastAsia="Arial" w:hAnsi="Arial"/>
                <w:sz w:val="14"/>
                <w:szCs w:val="14"/>
                <w:color w:val="auto"/>
              </w:rPr>
              <w:t>(5,087)</w:t>
            </w:r>
          </w:p>
        </w:tc>
        <w:tc>
          <w:tcPr>
            <w:tcW w:w="1620" w:type="dxa"/>
            <w:vAlign w:val="bottom"/>
          </w:tcPr>
          <w:p>
            <w:pPr>
              <w:jc w:val="right"/>
              <w:ind w:right="190"/>
              <w:spacing w:after="0"/>
              <w:rPr>
                <w:sz w:val="20"/>
                <w:szCs w:val="20"/>
                <w:color w:val="auto"/>
              </w:rPr>
            </w:pPr>
            <w:r>
              <w:rPr>
                <w:rFonts w:ascii="Arial" w:cs="Arial" w:eastAsia="Arial" w:hAnsi="Arial"/>
                <w:sz w:val="14"/>
                <w:szCs w:val="14"/>
                <w:color w:val="auto"/>
              </w:rPr>
              <w:t>(525)</w:t>
            </w:r>
          </w:p>
        </w:tc>
        <w:tc>
          <w:tcPr>
            <w:tcW w:w="1160" w:type="dxa"/>
            <w:vAlign w:val="bottom"/>
          </w:tcPr>
          <w:p>
            <w:pPr>
              <w:jc w:val="right"/>
              <w:ind w:right="89"/>
              <w:spacing w:after="0"/>
              <w:rPr>
                <w:sz w:val="20"/>
                <w:szCs w:val="20"/>
                <w:color w:val="auto"/>
              </w:rPr>
            </w:pPr>
            <w:r>
              <w:rPr>
                <w:rFonts w:ascii="Arial" w:cs="Arial" w:eastAsia="Arial" w:hAnsi="Arial"/>
                <w:sz w:val="14"/>
                <w:szCs w:val="14"/>
                <w:color w:val="auto"/>
              </w:rPr>
              <w:t>(514)</w:t>
            </w:r>
          </w:p>
        </w:tc>
      </w:tr>
      <w:tr>
        <w:trPr>
          <w:trHeight w:val="162"/>
        </w:trPr>
        <w:tc>
          <w:tcPr>
            <w:tcW w:w="7300" w:type="dxa"/>
            <w:vAlign w:val="bottom"/>
          </w:tcPr>
          <w:p>
            <w:pPr>
              <w:ind w:left="140"/>
              <w:spacing w:after="0"/>
              <w:rPr>
                <w:sz w:val="20"/>
                <w:szCs w:val="20"/>
                <w:color w:val="auto"/>
              </w:rPr>
            </w:pPr>
            <w:r>
              <w:rPr>
                <w:rFonts w:ascii="Arial" w:cs="Arial" w:eastAsia="Arial" w:hAnsi="Arial"/>
                <w:sz w:val="14"/>
                <w:szCs w:val="14"/>
                <w:color w:val="auto"/>
              </w:rPr>
              <w:t>Taxation</w:t>
            </w:r>
          </w:p>
        </w:tc>
        <w:tc>
          <w:tcPr>
            <w:tcW w:w="1340" w:type="dxa"/>
            <w:vAlign w:val="bottom"/>
            <w:shd w:val="clear" w:color="auto" w:fill="D8D8D8"/>
          </w:tcPr>
          <w:p>
            <w:pPr>
              <w:jc w:val="right"/>
              <w:ind w:right="150"/>
              <w:spacing w:after="0"/>
              <w:rPr>
                <w:sz w:val="20"/>
                <w:szCs w:val="20"/>
                <w:color w:val="auto"/>
              </w:rPr>
            </w:pPr>
            <w:r>
              <w:rPr>
                <w:rFonts w:ascii="Arial" w:cs="Arial" w:eastAsia="Arial" w:hAnsi="Arial"/>
                <w:sz w:val="14"/>
                <w:szCs w:val="14"/>
                <w:color w:val="auto"/>
              </w:rPr>
              <w:t>1,454</w:t>
            </w:r>
          </w:p>
        </w:tc>
        <w:tc>
          <w:tcPr>
            <w:tcW w:w="1620" w:type="dxa"/>
            <w:vAlign w:val="bottom"/>
          </w:tcPr>
          <w:p>
            <w:pPr>
              <w:jc w:val="right"/>
              <w:ind w:right="250"/>
              <w:spacing w:after="0"/>
              <w:rPr>
                <w:sz w:val="20"/>
                <w:szCs w:val="20"/>
                <w:color w:val="auto"/>
              </w:rPr>
            </w:pPr>
            <w:r>
              <w:rPr>
                <w:rFonts w:ascii="Arial" w:cs="Arial" w:eastAsia="Arial" w:hAnsi="Arial"/>
                <w:sz w:val="14"/>
                <w:szCs w:val="14"/>
                <w:color w:val="auto"/>
              </w:rPr>
              <w:t>154</w:t>
            </w:r>
          </w:p>
        </w:tc>
        <w:tc>
          <w:tcPr>
            <w:tcW w:w="1160" w:type="dxa"/>
            <w:vAlign w:val="bottom"/>
          </w:tcPr>
          <w:p>
            <w:pPr>
              <w:jc w:val="right"/>
              <w:ind w:right="149"/>
              <w:spacing w:after="0"/>
              <w:rPr>
                <w:sz w:val="20"/>
                <w:szCs w:val="20"/>
                <w:color w:val="auto"/>
              </w:rPr>
            </w:pPr>
            <w:r>
              <w:rPr>
                <w:rFonts w:ascii="Arial" w:cs="Arial" w:eastAsia="Arial" w:hAnsi="Arial"/>
                <w:sz w:val="14"/>
                <w:szCs w:val="14"/>
                <w:color w:val="auto"/>
              </w:rPr>
              <w:t>165</w:t>
            </w:r>
          </w:p>
        </w:tc>
      </w:tr>
      <w:tr>
        <w:trPr>
          <w:trHeight w:val="157"/>
        </w:trPr>
        <w:tc>
          <w:tcPr>
            <w:tcW w:w="7300" w:type="dxa"/>
            <w:vAlign w:val="bottom"/>
            <w:tcBorders>
              <w:bottom w:val="single" w:sz="8" w:color="auto"/>
            </w:tcBorders>
          </w:tcPr>
          <w:p>
            <w:pPr>
              <w:ind w:left="140"/>
              <w:spacing w:after="0" w:line="157" w:lineRule="exact"/>
              <w:rPr>
                <w:sz w:val="20"/>
                <w:szCs w:val="20"/>
                <w:color w:val="auto"/>
              </w:rPr>
            </w:pPr>
            <w:r>
              <w:rPr>
                <w:rFonts w:ascii="Arial" w:cs="Arial" w:eastAsia="Arial" w:hAnsi="Arial"/>
                <w:sz w:val="14"/>
                <w:szCs w:val="14"/>
                <w:color w:val="auto"/>
              </w:rPr>
              <w:t>Share of (loss)/profit of joint ventures and associates</w:t>
            </w:r>
          </w:p>
        </w:tc>
        <w:tc>
          <w:tcPr>
            <w:tcW w:w="1340" w:type="dxa"/>
            <w:vAlign w:val="bottom"/>
            <w:tcBorders>
              <w:bottom w:val="single" w:sz="8" w:color="auto"/>
            </w:tcBorders>
            <w:shd w:val="clear" w:color="auto" w:fill="D8D8D8"/>
          </w:tcPr>
          <w:p>
            <w:pPr>
              <w:jc w:val="right"/>
              <w:ind w:right="150"/>
              <w:spacing w:after="0" w:line="157" w:lineRule="exact"/>
              <w:rPr>
                <w:sz w:val="20"/>
                <w:szCs w:val="20"/>
                <w:color w:val="auto"/>
              </w:rPr>
            </w:pPr>
            <w:r>
              <w:rPr>
                <w:rFonts w:ascii="Arial" w:cs="Arial" w:eastAsia="Arial" w:hAnsi="Arial"/>
                <w:sz w:val="14"/>
                <w:szCs w:val="14"/>
                <w:color w:val="auto"/>
              </w:rPr>
              <w:t>(733)</w:t>
            </w:r>
          </w:p>
        </w:tc>
        <w:tc>
          <w:tcPr>
            <w:tcW w:w="1620" w:type="dxa"/>
            <w:vAlign w:val="bottom"/>
            <w:tcBorders>
              <w:bottom w:val="single" w:sz="8" w:color="auto"/>
            </w:tcBorders>
          </w:tcPr>
          <w:p>
            <w:pPr>
              <w:jc w:val="right"/>
              <w:ind w:right="250"/>
              <w:spacing w:after="0" w:line="157" w:lineRule="exact"/>
              <w:rPr>
                <w:sz w:val="20"/>
                <w:szCs w:val="20"/>
                <w:color w:val="auto"/>
              </w:rPr>
            </w:pPr>
            <w:r>
              <w:rPr>
                <w:rFonts w:ascii="Arial" w:cs="Arial" w:eastAsia="Arial" w:hAnsi="Arial"/>
                <w:sz w:val="14"/>
                <w:szCs w:val="14"/>
                <w:color w:val="auto"/>
              </w:rPr>
              <w:t>18</w:t>
            </w:r>
          </w:p>
        </w:tc>
        <w:tc>
          <w:tcPr>
            <w:tcW w:w="1160" w:type="dxa"/>
            <w:vAlign w:val="bottom"/>
            <w:tcBorders>
              <w:bottom w:val="single" w:sz="8" w:color="auto"/>
            </w:tcBorders>
          </w:tcPr>
          <w:p>
            <w:pPr>
              <w:jc w:val="right"/>
              <w:ind w:right="89"/>
              <w:spacing w:after="0" w:line="157" w:lineRule="exact"/>
              <w:rPr>
                <w:sz w:val="20"/>
                <w:szCs w:val="20"/>
                <w:color w:val="auto"/>
              </w:rPr>
            </w:pPr>
            <w:r>
              <w:rPr>
                <w:rFonts w:ascii="Arial" w:cs="Arial" w:eastAsia="Arial" w:hAnsi="Arial"/>
                <w:sz w:val="14"/>
                <w:szCs w:val="14"/>
                <w:color w:val="auto"/>
              </w:rPr>
              <w:t>(114)</w:t>
            </w:r>
          </w:p>
        </w:tc>
      </w:tr>
      <w:tr>
        <w:trPr>
          <w:trHeight w:val="156"/>
        </w:trPr>
        <w:tc>
          <w:tcPr>
            <w:tcW w:w="7300" w:type="dxa"/>
            <w:vAlign w:val="bottom"/>
            <w:tcBorders>
              <w:bottom w:val="single" w:sz="8" w:color="auto"/>
            </w:tcBorders>
          </w:tcPr>
          <w:p>
            <w:pPr>
              <w:spacing w:after="0" w:line="155" w:lineRule="exact"/>
              <w:rPr>
                <w:sz w:val="20"/>
                <w:szCs w:val="20"/>
                <w:color w:val="auto"/>
              </w:rPr>
            </w:pPr>
            <w:r>
              <w:rPr>
                <w:rFonts w:ascii="Arial" w:cs="Arial" w:eastAsia="Arial" w:hAnsi="Arial"/>
                <w:sz w:val="14"/>
                <w:szCs w:val="14"/>
                <w:color w:val="auto"/>
              </w:rPr>
              <w:t>Income for the period</w:t>
            </w:r>
          </w:p>
        </w:tc>
        <w:tc>
          <w:tcPr>
            <w:tcW w:w="1340" w:type="dxa"/>
            <w:vAlign w:val="bottom"/>
            <w:tcBorders>
              <w:bottom w:val="single" w:sz="8" w:color="auto"/>
            </w:tcBorders>
            <w:shd w:val="clear" w:color="auto" w:fill="D8D8D8"/>
          </w:tcPr>
          <w:p>
            <w:pPr>
              <w:jc w:val="right"/>
              <w:ind w:right="150"/>
              <w:spacing w:after="0" w:line="155" w:lineRule="exact"/>
              <w:rPr>
                <w:sz w:val="20"/>
                <w:szCs w:val="20"/>
                <w:color w:val="auto"/>
              </w:rPr>
            </w:pPr>
            <w:r>
              <w:rPr>
                <w:rFonts w:ascii="Arial" w:cs="Arial" w:eastAsia="Arial" w:hAnsi="Arial"/>
                <w:sz w:val="14"/>
                <w:szCs w:val="14"/>
                <w:color w:val="auto"/>
              </w:rPr>
              <w:t>14,730</w:t>
            </w:r>
          </w:p>
        </w:tc>
        <w:tc>
          <w:tcPr>
            <w:tcW w:w="1620" w:type="dxa"/>
            <w:vAlign w:val="bottom"/>
            <w:tcBorders>
              <w:bottom w:val="single" w:sz="8" w:color="auto"/>
            </w:tcBorders>
          </w:tcPr>
          <w:p>
            <w:pPr>
              <w:jc w:val="right"/>
              <w:ind w:right="250"/>
              <w:spacing w:after="0" w:line="155" w:lineRule="exact"/>
              <w:rPr>
                <w:sz w:val="20"/>
                <w:szCs w:val="20"/>
                <w:color w:val="auto"/>
              </w:rPr>
            </w:pPr>
            <w:r>
              <w:rPr>
                <w:rFonts w:ascii="Arial" w:cs="Arial" w:eastAsia="Arial" w:hAnsi="Arial"/>
                <w:sz w:val="14"/>
                <w:szCs w:val="14"/>
                <w:color w:val="auto"/>
              </w:rPr>
              <w:t>16,526</w:t>
            </w:r>
          </w:p>
        </w:tc>
        <w:tc>
          <w:tcPr>
            <w:tcW w:w="1160" w:type="dxa"/>
            <w:vAlign w:val="bottom"/>
            <w:tcBorders>
              <w:bottom w:val="single" w:sz="8" w:color="auto"/>
            </w:tcBorders>
          </w:tcPr>
          <w:p>
            <w:pPr>
              <w:jc w:val="right"/>
              <w:ind w:right="149"/>
              <w:spacing w:after="0" w:line="155" w:lineRule="exact"/>
              <w:rPr>
                <w:sz w:val="20"/>
                <w:szCs w:val="20"/>
                <w:color w:val="auto"/>
              </w:rPr>
            </w:pPr>
            <w:r>
              <w:rPr>
                <w:rFonts w:ascii="Arial" w:cs="Arial" w:eastAsia="Arial" w:hAnsi="Arial"/>
                <w:sz w:val="14"/>
                <w:szCs w:val="14"/>
                <w:color w:val="auto"/>
              </w:rPr>
              <w:t>26,960</w:t>
            </w:r>
          </w:p>
        </w:tc>
      </w:tr>
      <w:tr>
        <w:trPr>
          <w:trHeight w:val="279"/>
        </w:trPr>
        <w:tc>
          <w:tcPr>
            <w:tcW w:w="7300" w:type="dxa"/>
            <w:vAlign w:val="bottom"/>
          </w:tcPr>
          <w:p>
            <w:pPr>
              <w:spacing w:after="0"/>
              <w:rPr>
                <w:sz w:val="20"/>
                <w:szCs w:val="20"/>
                <w:color w:val="auto"/>
              </w:rPr>
            </w:pPr>
            <w:r>
              <w:rPr>
                <w:rFonts w:ascii="Arial" w:cs="Arial" w:eastAsia="Arial" w:hAnsi="Arial"/>
                <w:sz w:val="14"/>
                <w:szCs w:val="14"/>
                <w:color w:val="auto"/>
              </w:rPr>
              <w:t>Information by geographical area is as follows:</w:t>
            </w:r>
          </w:p>
        </w:tc>
        <w:tc>
          <w:tcPr>
            <w:tcW w:w="13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160" w:type="dxa"/>
            <w:vAlign w:val="bottom"/>
          </w:tcPr>
          <w:p>
            <w:pPr>
              <w:spacing w:after="0"/>
              <w:rPr>
                <w:sz w:val="24"/>
                <w:szCs w:val="24"/>
                <w:color w:val="auto"/>
              </w:rPr>
            </w:pPr>
          </w:p>
        </w:tc>
      </w:tr>
    </w:tbl>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4480" w:type="dxa"/>
            <w:vAlign w:val="bottom"/>
            <w:shd w:val="clear" w:color="auto" w:fill="333333"/>
          </w:tcPr>
          <w:p>
            <w:pPr>
              <w:jc w:val="right"/>
              <w:ind w:right="3987"/>
              <w:spacing w:after="0"/>
              <w:rPr>
                <w:sz w:val="20"/>
                <w:szCs w:val="20"/>
                <w:color w:val="auto"/>
              </w:rPr>
            </w:pPr>
            <w:r>
              <w:rPr>
                <w:rFonts w:ascii="Arial" w:cs="Arial" w:eastAsia="Arial" w:hAnsi="Arial"/>
                <w:sz w:val="15"/>
                <w:szCs w:val="15"/>
                <w:b w:val="1"/>
                <w:bCs w:val="1"/>
                <w:color w:val="FFFFFF"/>
              </w:rPr>
              <w:t>2014</w:t>
            </w:r>
          </w:p>
        </w:tc>
        <w:tc>
          <w:tcPr>
            <w:tcW w:w="1400" w:type="dxa"/>
            <w:vAlign w:val="bottom"/>
            <w:shd w:val="clear" w:color="auto" w:fill="333333"/>
          </w:tcPr>
          <w:p>
            <w:pPr>
              <w:spacing w:after="0"/>
              <w:rPr>
                <w:sz w:val="15"/>
                <w:szCs w:val="15"/>
                <w:color w:val="auto"/>
              </w:rPr>
            </w:pPr>
          </w:p>
        </w:tc>
        <w:tc>
          <w:tcPr>
            <w:tcW w:w="1340" w:type="dxa"/>
            <w:vAlign w:val="bottom"/>
            <w:shd w:val="clear" w:color="auto" w:fill="333333"/>
          </w:tcPr>
          <w:p>
            <w:pPr>
              <w:spacing w:after="0"/>
              <w:rPr>
                <w:sz w:val="15"/>
                <w:szCs w:val="15"/>
                <w:color w:val="auto"/>
              </w:rPr>
            </w:pPr>
          </w:p>
        </w:tc>
        <w:tc>
          <w:tcPr>
            <w:tcW w:w="1260" w:type="dxa"/>
            <w:vAlign w:val="bottom"/>
            <w:shd w:val="clear" w:color="auto" w:fill="333333"/>
          </w:tcPr>
          <w:p>
            <w:pPr>
              <w:spacing w:after="0"/>
              <w:rPr>
                <w:sz w:val="15"/>
                <w:szCs w:val="15"/>
                <w:color w:val="auto"/>
              </w:rPr>
            </w:pPr>
          </w:p>
        </w:tc>
        <w:tc>
          <w:tcPr>
            <w:tcW w:w="1520" w:type="dxa"/>
            <w:vAlign w:val="bottom"/>
            <w:shd w:val="clear" w:color="auto" w:fill="333333"/>
          </w:tcPr>
          <w:p>
            <w:pPr>
              <w:spacing w:after="0"/>
              <w:rPr>
                <w:sz w:val="15"/>
                <w:szCs w:val="15"/>
                <w:color w:val="auto"/>
              </w:rPr>
            </w:pPr>
          </w:p>
        </w:tc>
        <w:tc>
          <w:tcPr>
            <w:tcW w:w="1420" w:type="dxa"/>
            <w:vAlign w:val="bottom"/>
            <w:shd w:val="clear" w:color="auto" w:fill="333333"/>
          </w:tcPr>
          <w:p>
            <w:pPr>
              <w:jc w:val="right"/>
              <w:ind w:right="29"/>
              <w:spacing w:after="0"/>
              <w:rPr>
                <w:sz w:val="20"/>
                <w:szCs w:val="20"/>
                <w:color w:val="auto"/>
              </w:rPr>
            </w:pPr>
            <w:r>
              <w:rPr>
                <w:rFonts w:ascii="Arial" w:cs="Arial" w:eastAsia="Arial" w:hAnsi="Arial"/>
                <w:sz w:val="15"/>
                <w:szCs w:val="15"/>
                <w:color w:val="FFFFFF"/>
              </w:rPr>
              <w:t>$ MILLION</w:t>
            </w:r>
          </w:p>
        </w:tc>
      </w:tr>
      <w:tr>
        <w:trPr>
          <w:trHeight w:val="129"/>
        </w:trPr>
        <w:tc>
          <w:tcPr>
            <w:tcW w:w="448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1340" w:type="dxa"/>
            <w:vAlign w:val="bottom"/>
          </w:tcPr>
          <w:p>
            <w:pPr>
              <w:jc w:val="right"/>
              <w:ind w:right="333"/>
              <w:spacing w:after="0" w:line="129" w:lineRule="exact"/>
              <w:rPr>
                <w:sz w:val="20"/>
                <w:szCs w:val="20"/>
                <w:color w:val="auto"/>
              </w:rPr>
            </w:pPr>
            <w:r>
              <w:rPr>
                <w:rFonts w:ascii="Arial" w:cs="Arial" w:eastAsia="Arial" w:hAnsi="Arial"/>
                <w:sz w:val="13"/>
                <w:szCs w:val="13"/>
                <w:color w:val="auto"/>
              </w:rPr>
              <w:t>Asia,</w:t>
            </w:r>
          </w:p>
        </w:tc>
        <w:tc>
          <w:tcPr>
            <w:tcW w:w="126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1420" w:type="dxa"/>
            <w:vAlign w:val="bottom"/>
          </w:tcPr>
          <w:p>
            <w:pPr>
              <w:spacing w:after="0"/>
              <w:rPr>
                <w:sz w:val="11"/>
                <w:szCs w:val="11"/>
                <w:color w:val="auto"/>
              </w:rPr>
            </w:pPr>
          </w:p>
        </w:tc>
      </w:tr>
      <w:tr>
        <w:trPr>
          <w:trHeight w:val="135"/>
        </w:trPr>
        <w:tc>
          <w:tcPr>
            <w:tcW w:w="448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1340" w:type="dxa"/>
            <w:vAlign w:val="bottom"/>
          </w:tcPr>
          <w:p>
            <w:pPr>
              <w:jc w:val="right"/>
              <w:ind w:right="333"/>
              <w:spacing w:after="0" w:line="135" w:lineRule="exact"/>
              <w:rPr>
                <w:sz w:val="20"/>
                <w:szCs w:val="20"/>
                <w:color w:val="auto"/>
              </w:rPr>
            </w:pPr>
            <w:r>
              <w:rPr>
                <w:rFonts w:ascii="Arial" w:cs="Arial" w:eastAsia="Arial" w:hAnsi="Arial"/>
                <w:sz w:val="13"/>
                <w:szCs w:val="13"/>
                <w:color w:val="auto"/>
              </w:rPr>
              <w:t>Oceania,</w:t>
            </w:r>
          </w:p>
        </w:tc>
        <w:tc>
          <w:tcPr>
            <w:tcW w:w="1260" w:type="dxa"/>
            <w:vAlign w:val="bottom"/>
          </w:tcPr>
          <w:p>
            <w:pPr>
              <w:spacing w:after="0"/>
              <w:rPr>
                <w:sz w:val="11"/>
                <w:szCs w:val="11"/>
                <w:color w:val="auto"/>
              </w:rPr>
            </w:pPr>
          </w:p>
        </w:tc>
        <w:tc>
          <w:tcPr>
            <w:tcW w:w="1520" w:type="dxa"/>
            <w:vAlign w:val="bottom"/>
          </w:tcPr>
          <w:p>
            <w:pPr>
              <w:jc w:val="right"/>
              <w:ind w:right="513"/>
              <w:spacing w:after="0" w:line="135" w:lineRule="exact"/>
              <w:rPr>
                <w:sz w:val="20"/>
                <w:szCs w:val="20"/>
                <w:color w:val="auto"/>
              </w:rPr>
            </w:pPr>
            <w:r>
              <w:rPr>
                <w:rFonts w:ascii="Arial" w:cs="Arial" w:eastAsia="Arial" w:hAnsi="Arial"/>
                <w:sz w:val="13"/>
                <w:szCs w:val="13"/>
                <w:color w:val="auto"/>
              </w:rPr>
              <w:t>Other</w:t>
            </w:r>
          </w:p>
        </w:tc>
        <w:tc>
          <w:tcPr>
            <w:tcW w:w="1420" w:type="dxa"/>
            <w:vAlign w:val="bottom"/>
          </w:tcPr>
          <w:p>
            <w:pPr>
              <w:spacing w:after="0"/>
              <w:rPr>
                <w:sz w:val="11"/>
                <w:szCs w:val="11"/>
                <w:color w:val="auto"/>
              </w:rPr>
            </w:pPr>
          </w:p>
        </w:tc>
      </w:tr>
      <w:tr>
        <w:trPr>
          <w:trHeight w:val="155"/>
        </w:trPr>
        <w:tc>
          <w:tcPr>
            <w:tcW w:w="4480" w:type="dxa"/>
            <w:vAlign w:val="bottom"/>
            <w:tcBorders>
              <w:bottom w:val="single" w:sz="8" w:color="auto"/>
            </w:tcBorders>
          </w:tcPr>
          <w:p>
            <w:pPr>
              <w:spacing w:after="0"/>
              <w:rPr>
                <w:sz w:val="13"/>
                <w:szCs w:val="13"/>
                <w:color w:val="auto"/>
              </w:rPr>
            </w:pPr>
          </w:p>
        </w:tc>
        <w:tc>
          <w:tcPr>
            <w:tcW w:w="1400" w:type="dxa"/>
            <w:vAlign w:val="bottom"/>
            <w:tcBorders>
              <w:bottom w:val="single" w:sz="8" w:color="auto"/>
            </w:tcBorders>
          </w:tcPr>
          <w:p>
            <w:pPr>
              <w:jc w:val="right"/>
              <w:ind w:right="331"/>
              <w:spacing w:after="0"/>
              <w:rPr>
                <w:sz w:val="20"/>
                <w:szCs w:val="20"/>
                <w:color w:val="auto"/>
              </w:rPr>
            </w:pPr>
            <w:r>
              <w:rPr>
                <w:rFonts w:ascii="Arial" w:cs="Arial" w:eastAsia="Arial" w:hAnsi="Arial"/>
                <w:sz w:val="13"/>
                <w:szCs w:val="13"/>
                <w:color w:val="auto"/>
              </w:rPr>
              <w:t>Europe</w:t>
            </w:r>
          </w:p>
        </w:tc>
        <w:tc>
          <w:tcPr>
            <w:tcW w:w="1340" w:type="dxa"/>
            <w:vAlign w:val="bottom"/>
            <w:tcBorders>
              <w:bottom w:val="single" w:sz="8" w:color="auto"/>
            </w:tcBorders>
          </w:tcPr>
          <w:p>
            <w:pPr>
              <w:jc w:val="right"/>
              <w:ind w:right="333"/>
              <w:spacing w:after="0"/>
              <w:rPr>
                <w:sz w:val="20"/>
                <w:szCs w:val="20"/>
                <w:color w:val="auto"/>
              </w:rPr>
            </w:pPr>
            <w:r>
              <w:rPr>
                <w:rFonts w:ascii="Arial" w:cs="Arial" w:eastAsia="Arial" w:hAnsi="Arial"/>
                <w:sz w:val="13"/>
                <w:szCs w:val="13"/>
                <w:color w:val="auto"/>
              </w:rPr>
              <w:t>Africa</w:t>
            </w:r>
          </w:p>
        </w:tc>
        <w:tc>
          <w:tcPr>
            <w:tcW w:w="1260" w:type="dxa"/>
            <w:vAlign w:val="bottom"/>
            <w:tcBorders>
              <w:bottom w:val="single" w:sz="8" w:color="auto"/>
            </w:tcBorders>
          </w:tcPr>
          <w:p>
            <w:pPr>
              <w:jc w:val="right"/>
              <w:ind w:right="331"/>
              <w:spacing w:after="0"/>
              <w:rPr>
                <w:sz w:val="20"/>
                <w:szCs w:val="20"/>
                <w:color w:val="auto"/>
              </w:rPr>
            </w:pPr>
            <w:r>
              <w:rPr>
                <w:rFonts w:ascii="Arial" w:cs="Arial" w:eastAsia="Arial" w:hAnsi="Arial"/>
                <w:sz w:val="13"/>
                <w:szCs w:val="13"/>
                <w:color w:val="auto"/>
              </w:rPr>
              <w:t>USA</w:t>
            </w:r>
          </w:p>
        </w:tc>
        <w:tc>
          <w:tcPr>
            <w:tcW w:w="1520" w:type="dxa"/>
            <w:vAlign w:val="bottom"/>
            <w:tcBorders>
              <w:bottom w:val="single" w:sz="8" w:color="auto"/>
            </w:tcBorders>
          </w:tcPr>
          <w:p>
            <w:pPr>
              <w:jc w:val="right"/>
              <w:ind w:right="513"/>
              <w:spacing w:after="0"/>
              <w:rPr>
                <w:sz w:val="20"/>
                <w:szCs w:val="20"/>
                <w:color w:val="auto"/>
              </w:rPr>
            </w:pPr>
            <w:r>
              <w:rPr>
                <w:rFonts w:ascii="Arial" w:cs="Arial" w:eastAsia="Arial" w:hAnsi="Arial"/>
                <w:sz w:val="13"/>
                <w:szCs w:val="13"/>
                <w:color w:val="auto"/>
              </w:rPr>
              <w:t>Americas</w:t>
            </w:r>
          </w:p>
        </w:tc>
        <w:tc>
          <w:tcPr>
            <w:tcW w:w="1420" w:type="dxa"/>
            <w:vAlign w:val="bottom"/>
            <w:tcBorders>
              <w:bottom w:val="single" w:sz="8" w:color="auto"/>
            </w:tcBorders>
          </w:tcPr>
          <w:p>
            <w:pPr>
              <w:jc w:val="right"/>
              <w:ind w:right="269"/>
              <w:spacing w:after="0"/>
              <w:rPr>
                <w:sz w:val="20"/>
                <w:szCs w:val="20"/>
                <w:color w:val="auto"/>
              </w:rPr>
            </w:pPr>
            <w:r>
              <w:rPr>
                <w:rFonts w:ascii="Arial" w:cs="Arial" w:eastAsia="Arial" w:hAnsi="Arial"/>
                <w:sz w:val="13"/>
                <w:szCs w:val="13"/>
                <w:color w:val="auto"/>
              </w:rPr>
              <w:t>Total</w:t>
            </w:r>
          </w:p>
        </w:tc>
      </w:tr>
      <w:tr>
        <w:trPr>
          <w:trHeight w:val="160"/>
        </w:trPr>
        <w:tc>
          <w:tcPr>
            <w:tcW w:w="4480" w:type="dxa"/>
            <w:vAlign w:val="bottom"/>
          </w:tcPr>
          <w:p>
            <w:pPr>
              <w:spacing w:after="0"/>
              <w:rPr>
                <w:sz w:val="20"/>
                <w:szCs w:val="20"/>
                <w:color w:val="auto"/>
              </w:rPr>
            </w:pPr>
            <w:r>
              <w:rPr>
                <w:rFonts w:ascii="Arial" w:cs="Arial" w:eastAsia="Arial" w:hAnsi="Arial"/>
                <w:sz w:val="14"/>
                <w:szCs w:val="14"/>
                <w:color w:val="auto"/>
              </w:rPr>
              <w:t>Third-party revenue, by origin</w:t>
            </w:r>
          </w:p>
        </w:tc>
        <w:tc>
          <w:tcPr>
            <w:tcW w:w="1400" w:type="dxa"/>
            <w:vAlign w:val="bottom"/>
          </w:tcPr>
          <w:p>
            <w:pPr>
              <w:jc w:val="right"/>
              <w:ind w:right="331"/>
              <w:spacing w:after="0"/>
              <w:rPr>
                <w:sz w:val="20"/>
                <w:szCs w:val="20"/>
                <w:color w:val="auto"/>
              </w:rPr>
            </w:pPr>
            <w:r>
              <w:rPr>
                <w:rFonts w:ascii="Arial" w:cs="Arial" w:eastAsia="Arial" w:hAnsi="Arial"/>
                <w:sz w:val="14"/>
                <w:szCs w:val="14"/>
                <w:color w:val="auto"/>
              </w:rPr>
              <w:t>154,709</w:t>
            </w:r>
          </w:p>
        </w:tc>
        <w:tc>
          <w:tcPr>
            <w:tcW w:w="1340" w:type="dxa"/>
            <w:vAlign w:val="bottom"/>
          </w:tcPr>
          <w:p>
            <w:pPr>
              <w:jc w:val="right"/>
              <w:ind w:right="333"/>
              <w:spacing w:after="0"/>
              <w:rPr>
                <w:sz w:val="20"/>
                <w:szCs w:val="20"/>
                <w:color w:val="auto"/>
              </w:rPr>
            </w:pPr>
            <w:r>
              <w:rPr>
                <w:rFonts w:ascii="Arial" w:cs="Arial" w:eastAsia="Arial" w:hAnsi="Arial"/>
                <w:sz w:val="14"/>
                <w:szCs w:val="14"/>
                <w:color w:val="auto"/>
              </w:rPr>
              <w:t>149,869</w:t>
            </w:r>
          </w:p>
        </w:tc>
        <w:tc>
          <w:tcPr>
            <w:tcW w:w="1260" w:type="dxa"/>
            <w:vAlign w:val="bottom"/>
          </w:tcPr>
          <w:p>
            <w:pPr>
              <w:jc w:val="right"/>
              <w:ind w:right="331"/>
              <w:spacing w:after="0"/>
              <w:rPr>
                <w:sz w:val="20"/>
                <w:szCs w:val="20"/>
                <w:color w:val="auto"/>
              </w:rPr>
            </w:pPr>
            <w:r>
              <w:rPr>
                <w:rFonts w:ascii="Arial" w:cs="Arial" w:eastAsia="Arial" w:hAnsi="Arial"/>
                <w:sz w:val="14"/>
                <w:szCs w:val="14"/>
                <w:color w:val="auto"/>
              </w:rPr>
              <w:t>70,813</w:t>
            </w:r>
          </w:p>
        </w:tc>
        <w:tc>
          <w:tcPr>
            <w:tcW w:w="1520" w:type="dxa"/>
            <w:vAlign w:val="bottom"/>
          </w:tcPr>
          <w:p>
            <w:pPr>
              <w:jc w:val="right"/>
              <w:ind w:right="513"/>
              <w:spacing w:after="0"/>
              <w:rPr>
                <w:sz w:val="20"/>
                <w:szCs w:val="20"/>
                <w:color w:val="auto"/>
              </w:rPr>
            </w:pPr>
            <w:r>
              <w:rPr>
                <w:rFonts w:ascii="Arial" w:cs="Arial" w:eastAsia="Arial" w:hAnsi="Arial"/>
                <w:sz w:val="14"/>
                <w:szCs w:val="14"/>
                <w:color w:val="auto"/>
              </w:rPr>
              <w:t>45,714</w:t>
            </w:r>
          </w:p>
        </w:tc>
        <w:tc>
          <w:tcPr>
            <w:tcW w:w="1420" w:type="dxa"/>
            <w:vAlign w:val="bottom"/>
          </w:tcPr>
          <w:p>
            <w:pPr>
              <w:jc w:val="right"/>
              <w:ind w:right="269"/>
              <w:spacing w:after="0"/>
              <w:rPr>
                <w:sz w:val="20"/>
                <w:szCs w:val="20"/>
                <w:color w:val="auto"/>
              </w:rPr>
            </w:pPr>
            <w:r>
              <w:rPr>
                <w:rFonts w:ascii="Arial" w:cs="Arial" w:eastAsia="Arial" w:hAnsi="Arial"/>
                <w:sz w:val="14"/>
                <w:szCs w:val="14"/>
                <w:color w:val="auto"/>
              </w:rPr>
              <w:t>421,105</w:t>
            </w:r>
          </w:p>
        </w:tc>
      </w:tr>
      <w:tr>
        <w:trPr>
          <w:trHeight w:val="162"/>
        </w:trPr>
        <w:tc>
          <w:tcPr>
            <w:tcW w:w="4480" w:type="dxa"/>
            <w:vAlign w:val="bottom"/>
          </w:tcPr>
          <w:p>
            <w:pPr>
              <w:spacing w:after="0"/>
              <w:rPr>
                <w:sz w:val="20"/>
                <w:szCs w:val="20"/>
                <w:color w:val="auto"/>
              </w:rPr>
            </w:pPr>
            <w:r>
              <w:rPr>
                <w:rFonts w:ascii="Arial" w:cs="Arial" w:eastAsia="Arial" w:hAnsi="Arial"/>
                <w:sz w:val="14"/>
                <w:szCs w:val="14"/>
                <w:color w:val="auto"/>
              </w:rPr>
              <w:t>Intangible assets, property, plant and equipment, joint ventures</w:t>
            </w:r>
          </w:p>
        </w:tc>
        <w:tc>
          <w:tcPr>
            <w:tcW w:w="14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157"/>
        </w:trPr>
        <w:tc>
          <w:tcPr>
            <w:tcW w:w="4480" w:type="dxa"/>
            <w:vAlign w:val="bottom"/>
            <w:tcBorders>
              <w:bottom w:val="single" w:sz="8" w:color="auto"/>
            </w:tcBorders>
          </w:tcPr>
          <w:p>
            <w:pPr>
              <w:ind w:left="160"/>
              <w:spacing w:after="0" w:line="157" w:lineRule="exact"/>
              <w:rPr>
                <w:sz w:val="20"/>
                <w:szCs w:val="20"/>
                <w:color w:val="auto"/>
              </w:rPr>
            </w:pPr>
            <w:r>
              <w:rPr>
                <w:rFonts w:ascii="Arial" w:cs="Arial" w:eastAsia="Arial" w:hAnsi="Arial"/>
                <w:sz w:val="14"/>
                <w:szCs w:val="14"/>
                <w:color w:val="auto"/>
              </w:rPr>
              <w:t>and associates at December 31</w:t>
            </w:r>
          </w:p>
        </w:tc>
        <w:tc>
          <w:tcPr>
            <w:tcW w:w="1400" w:type="dxa"/>
            <w:vAlign w:val="bottom"/>
            <w:tcBorders>
              <w:bottom w:val="single" w:sz="8" w:color="auto"/>
            </w:tcBorders>
          </w:tcPr>
          <w:p>
            <w:pPr>
              <w:jc w:val="right"/>
              <w:ind w:right="331"/>
              <w:spacing w:after="0" w:line="157" w:lineRule="exact"/>
              <w:rPr>
                <w:sz w:val="20"/>
                <w:szCs w:val="20"/>
                <w:color w:val="auto"/>
              </w:rPr>
            </w:pPr>
            <w:r>
              <w:rPr>
                <w:rFonts w:ascii="Arial" w:cs="Arial" w:eastAsia="Arial" w:hAnsi="Arial"/>
                <w:sz w:val="14"/>
                <w:szCs w:val="14"/>
                <w:color w:val="auto"/>
              </w:rPr>
              <w:t>35,220</w:t>
            </w:r>
          </w:p>
        </w:tc>
        <w:tc>
          <w:tcPr>
            <w:tcW w:w="1340" w:type="dxa"/>
            <w:vAlign w:val="bottom"/>
            <w:tcBorders>
              <w:bottom w:val="single" w:sz="8" w:color="auto"/>
            </w:tcBorders>
          </w:tcPr>
          <w:p>
            <w:pPr>
              <w:jc w:val="right"/>
              <w:ind w:right="333"/>
              <w:spacing w:after="0" w:line="157" w:lineRule="exact"/>
              <w:rPr>
                <w:sz w:val="20"/>
                <w:szCs w:val="20"/>
                <w:color w:val="auto"/>
              </w:rPr>
            </w:pPr>
            <w:r>
              <w:rPr>
                <w:rFonts w:ascii="Arial" w:cs="Arial" w:eastAsia="Arial" w:hAnsi="Arial"/>
                <w:sz w:val="14"/>
                <w:szCs w:val="14"/>
                <w:color w:val="auto"/>
              </w:rPr>
              <w:t>105,226</w:t>
            </w:r>
          </w:p>
        </w:tc>
        <w:tc>
          <w:tcPr>
            <w:tcW w:w="1260" w:type="dxa"/>
            <w:vAlign w:val="bottom"/>
            <w:tcBorders>
              <w:bottom w:val="single" w:sz="8" w:color="auto"/>
            </w:tcBorders>
          </w:tcPr>
          <w:p>
            <w:pPr>
              <w:jc w:val="right"/>
              <w:ind w:right="331"/>
              <w:spacing w:after="0" w:line="157" w:lineRule="exact"/>
              <w:rPr>
                <w:sz w:val="20"/>
                <w:szCs w:val="20"/>
                <w:color w:val="auto"/>
              </w:rPr>
            </w:pPr>
            <w:r>
              <w:rPr>
                <w:rFonts w:ascii="Arial" w:cs="Arial" w:eastAsia="Arial" w:hAnsi="Arial"/>
                <w:sz w:val="14"/>
                <w:szCs w:val="14"/>
                <w:color w:val="auto"/>
              </w:rPr>
              <w:t>51,124</w:t>
            </w:r>
          </w:p>
        </w:tc>
        <w:tc>
          <w:tcPr>
            <w:tcW w:w="1520" w:type="dxa"/>
            <w:vAlign w:val="bottom"/>
            <w:tcBorders>
              <w:bottom w:val="single" w:sz="8" w:color="auto"/>
            </w:tcBorders>
          </w:tcPr>
          <w:p>
            <w:pPr>
              <w:jc w:val="right"/>
              <w:ind w:right="513"/>
              <w:spacing w:after="0" w:line="157" w:lineRule="exact"/>
              <w:rPr>
                <w:sz w:val="20"/>
                <w:szCs w:val="20"/>
                <w:color w:val="auto"/>
              </w:rPr>
            </w:pPr>
            <w:r>
              <w:rPr>
                <w:rFonts w:ascii="Arial" w:cs="Arial" w:eastAsia="Arial" w:hAnsi="Arial"/>
                <w:sz w:val="14"/>
                <w:szCs w:val="14"/>
                <w:color w:val="auto"/>
              </w:rPr>
              <w:t>39,536</w:t>
            </w:r>
          </w:p>
        </w:tc>
        <w:tc>
          <w:tcPr>
            <w:tcW w:w="1420" w:type="dxa"/>
            <w:vAlign w:val="bottom"/>
            <w:tcBorders>
              <w:bottom w:val="single" w:sz="8" w:color="auto"/>
            </w:tcBorders>
          </w:tcPr>
          <w:p>
            <w:pPr>
              <w:jc w:val="right"/>
              <w:ind w:right="269"/>
              <w:spacing w:after="0" w:line="157" w:lineRule="exact"/>
              <w:rPr>
                <w:sz w:val="20"/>
                <w:szCs w:val="20"/>
                <w:color w:val="auto"/>
              </w:rPr>
            </w:pPr>
            <w:r>
              <w:rPr>
                <w:rFonts w:ascii="Arial" w:cs="Arial" w:eastAsia="Arial" w:hAnsi="Arial"/>
                <w:sz w:val="14"/>
                <w:szCs w:val="14"/>
                <w:color w:val="auto"/>
              </w:rPr>
              <w:t>231,106</w:t>
            </w:r>
          </w:p>
        </w:tc>
      </w:tr>
    </w:tbl>
    <w:p>
      <w:pPr>
        <w:sectPr>
          <w:pgSz w:w="11900" w:h="16838" w:orient="portrait"/>
          <w:cols w:equalWidth="0" w:num="1">
            <w:col w:w="11420"/>
          </w:cols>
          <w:pgMar w:left="240" w:top="459" w:right="239" w:bottom="1440" w:gutter="0" w:footer="0" w:header="0"/>
        </w:sectPr>
      </w:pPr>
    </w:p>
    <w:bookmarkStart w:id="120" w:name="page121"/>
    <w:bookmarkEnd w:id="1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6428105</wp:posOffset>
            </wp:positionH>
            <wp:positionV relativeFrom="paragraph">
              <wp:posOffset>300355</wp:posOffset>
            </wp:positionV>
            <wp:extent cx="8890" cy="46291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8890" cy="462915"/>
                    </a:xfrm>
                    <a:prstGeom prst="rect">
                      <a:avLst/>
                    </a:prstGeom>
                    <a:noFill/>
                  </pic:spPr>
                </pic:pic>
              </a:graphicData>
            </a:graphic>
          </wp:anchor>
        </w:drawing>
      </w:r>
    </w:p>
    <w:p>
      <w:pPr>
        <w:spacing w:after="0" w:line="200" w:lineRule="exact"/>
        <w:rPr>
          <w:sz w:val="20"/>
          <w:szCs w:val="20"/>
          <w:color w:val="auto"/>
        </w:rPr>
      </w:pP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565"/>
        </w:trPr>
        <w:tc>
          <w:tcPr>
            <w:tcW w:w="20" w:type="dxa"/>
            <w:vAlign w:val="bottom"/>
          </w:tcPr>
          <w:p>
            <w:pPr>
              <w:spacing w:after="0"/>
              <w:rPr>
                <w:sz w:val="24"/>
                <w:szCs w:val="24"/>
                <w:color w:val="auto"/>
              </w:rPr>
            </w:pPr>
          </w:p>
        </w:tc>
        <w:tc>
          <w:tcPr>
            <w:tcW w:w="44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640" w:type="dxa"/>
            <w:vAlign w:val="bottom"/>
            <w:gridSpan w:val="4"/>
            <w:shd w:val="clear" w:color="auto" w:fill="FF8B00"/>
          </w:tcPr>
          <w:p>
            <w:pPr>
              <w:ind w:left="880"/>
              <w:spacing w:after="0"/>
              <w:rPr>
                <w:sz w:val="20"/>
                <w:szCs w:val="20"/>
                <w:color w:val="auto"/>
              </w:rPr>
            </w:pPr>
            <w:r>
              <w:rPr>
                <w:rFonts w:ascii="Arial" w:cs="Arial" w:eastAsia="Arial" w:hAnsi="Arial"/>
                <w:sz w:val="13"/>
                <w:szCs w:val="13"/>
                <w:color w:val="333333"/>
              </w:rPr>
              <w:t>FINANCIAL STATEMENTS AND SUPPLEMENTS</w:t>
            </w:r>
          </w:p>
        </w:tc>
        <w:tc>
          <w:tcPr>
            <w:tcW w:w="1180" w:type="dxa"/>
            <w:vAlign w:val="bottom"/>
            <w:shd w:val="clear" w:color="auto" w:fill="FF8B00"/>
          </w:tcPr>
          <w:p>
            <w:pPr>
              <w:jc w:val="right"/>
              <w:ind w:right="350"/>
              <w:spacing w:after="0"/>
              <w:rPr>
                <w:sz w:val="20"/>
                <w:szCs w:val="20"/>
                <w:color w:val="auto"/>
              </w:rPr>
            </w:pPr>
            <w:r>
              <w:rPr>
                <w:rFonts w:ascii="Arial" w:cs="Arial" w:eastAsia="Arial" w:hAnsi="Arial"/>
                <w:sz w:val="11"/>
                <w:szCs w:val="11"/>
                <w:b w:val="1"/>
                <w:bCs w:val="1"/>
                <w:color w:val="333333"/>
              </w:rPr>
              <w:t>119</w:t>
            </w:r>
          </w:p>
        </w:tc>
        <w:tc>
          <w:tcPr>
            <w:tcW w:w="0" w:type="dxa"/>
            <w:vAlign w:val="bottom"/>
          </w:tcPr>
          <w:p>
            <w:pPr>
              <w:spacing w:after="0"/>
              <w:rPr>
                <w:sz w:val="1"/>
                <w:szCs w:val="1"/>
                <w:color w:val="auto"/>
              </w:rPr>
            </w:pPr>
          </w:p>
        </w:tc>
      </w:tr>
      <w:tr>
        <w:trPr>
          <w:trHeight w:val="165"/>
        </w:trPr>
        <w:tc>
          <w:tcPr>
            <w:tcW w:w="4480" w:type="dxa"/>
            <w:vAlign w:val="bottom"/>
            <w:gridSpan w:val="2"/>
            <w:vMerge w:val="restart"/>
          </w:tcPr>
          <w:p>
            <w:pPr>
              <w:spacing w:after="0"/>
              <w:rPr>
                <w:sz w:val="20"/>
                <w:szCs w:val="20"/>
                <w:color w:val="auto"/>
              </w:rPr>
            </w:pPr>
            <w:r>
              <w:rPr>
                <w:rFonts w:ascii="Arial" w:cs="Arial" w:eastAsia="Arial" w:hAnsi="Arial"/>
                <w:sz w:val="11"/>
                <w:szCs w:val="11"/>
                <w:color w:val="auto"/>
              </w:rPr>
              <w:t>SHELL ANNUAL REPORT AND FORM 20-F 2014</w:t>
            </w:r>
          </w:p>
        </w:tc>
        <w:tc>
          <w:tcPr>
            <w:tcW w:w="1120" w:type="dxa"/>
            <w:vAlign w:val="bottom"/>
          </w:tcPr>
          <w:p>
            <w:pPr>
              <w:spacing w:after="0"/>
              <w:rPr>
                <w:sz w:val="14"/>
                <w:szCs w:val="14"/>
                <w:color w:val="auto"/>
              </w:rPr>
            </w:pPr>
          </w:p>
        </w:tc>
        <w:tc>
          <w:tcPr>
            <w:tcW w:w="1480" w:type="dxa"/>
            <w:vAlign w:val="bottom"/>
            <w:shd w:val="clear" w:color="auto" w:fill="FF8B00"/>
          </w:tcPr>
          <w:p>
            <w:pPr>
              <w:spacing w:after="0"/>
              <w:rPr>
                <w:sz w:val="14"/>
                <w:szCs w:val="14"/>
                <w:color w:val="auto"/>
              </w:rPr>
            </w:pPr>
          </w:p>
        </w:tc>
        <w:tc>
          <w:tcPr>
            <w:tcW w:w="1380" w:type="dxa"/>
            <w:vAlign w:val="bottom"/>
            <w:shd w:val="clear" w:color="auto" w:fill="FF8B00"/>
          </w:tcPr>
          <w:p>
            <w:pPr>
              <w:spacing w:after="0"/>
              <w:rPr>
                <w:sz w:val="14"/>
                <w:szCs w:val="14"/>
                <w:color w:val="auto"/>
              </w:rPr>
            </w:pPr>
          </w:p>
        </w:tc>
        <w:tc>
          <w:tcPr>
            <w:tcW w:w="280" w:type="dxa"/>
            <w:vAlign w:val="bottom"/>
            <w:shd w:val="clear" w:color="auto" w:fill="FF8B00"/>
          </w:tcPr>
          <w:p>
            <w:pPr>
              <w:spacing w:after="0"/>
              <w:rPr>
                <w:sz w:val="14"/>
                <w:szCs w:val="14"/>
                <w:color w:val="auto"/>
              </w:rPr>
            </w:pPr>
          </w:p>
        </w:tc>
        <w:tc>
          <w:tcPr>
            <w:tcW w:w="1500" w:type="dxa"/>
            <w:vAlign w:val="bottom"/>
            <w:shd w:val="clear" w:color="auto" w:fill="FF8B00"/>
          </w:tcPr>
          <w:p>
            <w:pPr>
              <w:spacing w:after="0"/>
              <w:rPr>
                <w:sz w:val="14"/>
                <w:szCs w:val="14"/>
                <w:color w:val="auto"/>
              </w:rPr>
            </w:pPr>
          </w:p>
        </w:tc>
        <w:tc>
          <w:tcPr>
            <w:tcW w:w="1180" w:type="dxa"/>
            <w:vAlign w:val="bottom"/>
            <w:shd w:val="clear" w:color="auto" w:fill="FF8B00"/>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4480" w:type="dxa"/>
            <w:vAlign w:val="bottom"/>
            <w:gridSpan w:val="2"/>
            <w:vMerge w:val="continue"/>
          </w:tcPr>
          <w:p>
            <w:pPr>
              <w:spacing w:after="0"/>
              <w:rPr>
                <w:sz w:val="11"/>
                <w:szCs w:val="11"/>
                <w:color w:val="auto"/>
              </w:rPr>
            </w:pPr>
          </w:p>
        </w:tc>
        <w:tc>
          <w:tcPr>
            <w:tcW w:w="1120" w:type="dxa"/>
            <w:vAlign w:val="bottom"/>
          </w:tcPr>
          <w:p>
            <w:pPr>
              <w:spacing w:after="0"/>
              <w:rPr>
                <w:sz w:val="11"/>
                <w:szCs w:val="11"/>
                <w:color w:val="auto"/>
              </w:rPr>
            </w:pPr>
          </w:p>
        </w:tc>
        <w:tc>
          <w:tcPr>
            <w:tcW w:w="3140" w:type="dxa"/>
            <w:vAlign w:val="bottom"/>
            <w:gridSpan w:val="3"/>
          </w:tcPr>
          <w:p>
            <w:pPr>
              <w:ind w:left="880"/>
              <w:spacing w:after="0"/>
              <w:rPr>
                <w:sz w:val="20"/>
                <w:szCs w:val="20"/>
                <w:color w:val="auto"/>
              </w:rPr>
            </w:pPr>
            <w:r>
              <w:rPr>
                <w:rFonts w:ascii="Arial" w:cs="Arial" w:eastAsia="Arial" w:hAnsi="Arial"/>
                <w:sz w:val="11"/>
                <w:szCs w:val="11"/>
                <w:color w:val="auto"/>
                <w:w w:val="99"/>
              </w:rPr>
              <w:t>CONSOLIDATED FINANCIAL STATEMENTS</w:t>
            </w:r>
          </w:p>
        </w:tc>
        <w:tc>
          <w:tcPr>
            <w:tcW w:w="15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460" w:type="dxa"/>
            <w:vAlign w:val="bottom"/>
            <w:shd w:val="clear" w:color="auto" w:fill="333333"/>
          </w:tcPr>
          <w:p>
            <w:pPr>
              <w:jc w:val="right"/>
              <w:ind w:right="3986"/>
              <w:spacing w:after="0" w:line="167" w:lineRule="exact"/>
              <w:rPr>
                <w:sz w:val="20"/>
                <w:szCs w:val="20"/>
                <w:color w:val="auto"/>
              </w:rPr>
            </w:pPr>
            <w:r>
              <w:rPr>
                <w:rFonts w:ascii="Arial" w:cs="Arial" w:eastAsia="Arial" w:hAnsi="Arial"/>
                <w:sz w:val="15"/>
                <w:szCs w:val="15"/>
                <w:b w:val="1"/>
                <w:bCs w:val="1"/>
                <w:color w:val="FFFFFF"/>
              </w:rPr>
              <w:t>2013</w:t>
            </w:r>
          </w:p>
        </w:tc>
        <w:tc>
          <w:tcPr>
            <w:tcW w:w="1120" w:type="dxa"/>
            <w:vAlign w:val="bottom"/>
            <w:shd w:val="clear" w:color="auto" w:fill="333333"/>
          </w:tcPr>
          <w:p>
            <w:pPr>
              <w:spacing w:after="0"/>
              <w:rPr>
                <w:sz w:val="14"/>
                <w:szCs w:val="14"/>
                <w:color w:val="auto"/>
              </w:rPr>
            </w:pPr>
          </w:p>
        </w:tc>
        <w:tc>
          <w:tcPr>
            <w:tcW w:w="1480" w:type="dxa"/>
            <w:vAlign w:val="bottom"/>
            <w:shd w:val="clear" w:color="auto" w:fill="333333"/>
          </w:tcPr>
          <w:p>
            <w:pPr>
              <w:spacing w:after="0"/>
              <w:rPr>
                <w:sz w:val="14"/>
                <w:szCs w:val="14"/>
                <w:color w:val="auto"/>
              </w:rPr>
            </w:pPr>
          </w:p>
        </w:tc>
        <w:tc>
          <w:tcPr>
            <w:tcW w:w="1380" w:type="dxa"/>
            <w:vAlign w:val="bottom"/>
            <w:shd w:val="clear" w:color="auto" w:fill="333333"/>
          </w:tcPr>
          <w:p>
            <w:pPr>
              <w:spacing w:after="0"/>
              <w:rPr>
                <w:sz w:val="14"/>
                <w:szCs w:val="14"/>
                <w:color w:val="auto"/>
              </w:rPr>
            </w:pPr>
          </w:p>
        </w:tc>
        <w:tc>
          <w:tcPr>
            <w:tcW w:w="280" w:type="dxa"/>
            <w:vAlign w:val="bottom"/>
            <w:shd w:val="clear" w:color="auto" w:fill="333333"/>
          </w:tcPr>
          <w:p>
            <w:pPr>
              <w:spacing w:after="0"/>
              <w:rPr>
                <w:sz w:val="14"/>
                <w:szCs w:val="14"/>
                <w:color w:val="auto"/>
              </w:rPr>
            </w:pPr>
          </w:p>
        </w:tc>
        <w:tc>
          <w:tcPr>
            <w:tcW w:w="1500" w:type="dxa"/>
            <w:vAlign w:val="bottom"/>
            <w:shd w:val="clear" w:color="auto" w:fill="333333"/>
          </w:tcPr>
          <w:p>
            <w:pPr>
              <w:spacing w:after="0"/>
              <w:rPr>
                <w:sz w:val="14"/>
                <w:szCs w:val="14"/>
                <w:color w:val="auto"/>
              </w:rPr>
            </w:pPr>
          </w:p>
        </w:tc>
        <w:tc>
          <w:tcPr>
            <w:tcW w:w="1180" w:type="dxa"/>
            <w:vAlign w:val="bottom"/>
            <w:shd w:val="clear" w:color="auto" w:fill="333333"/>
          </w:tcPr>
          <w:p>
            <w:pPr>
              <w:jc w:val="right"/>
              <w:ind w:right="70"/>
              <w:spacing w:after="0" w:line="167" w:lineRule="exact"/>
              <w:rPr>
                <w:sz w:val="20"/>
                <w:szCs w:val="20"/>
                <w:color w:val="auto"/>
              </w:rPr>
            </w:pPr>
            <w:r>
              <w:rPr>
                <w:rFonts w:ascii="Arial" w:cs="Arial" w:eastAsia="Arial" w:hAnsi="Arial"/>
                <w:sz w:val="15"/>
                <w:szCs w:val="15"/>
                <w:color w:val="FFFFFF"/>
              </w:rPr>
              <w:t>$ MILLION</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4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480" w:type="dxa"/>
            <w:vAlign w:val="bottom"/>
          </w:tcPr>
          <w:p>
            <w:pPr>
              <w:jc w:val="right"/>
              <w:ind w:right="235"/>
              <w:spacing w:after="0" w:line="129" w:lineRule="exact"/>
              <w:rPr>
                <w:sz w:val="20"/>
                <w:szCs w:val="20"/>
                <w:color w:val="auto"/>
              </w:rPr>
            </w:pPr>
            <w:r>
              <w:rPr>
                <w:rFonts w:ascii="Arial" w:cs="Arial" w:eastAsia="Arial" w:hAnsi="Arial"/>
                <w:sz w:val="13"/>
                <w:szCs w:val="13"/>
                <w:color w:val="auto"/>
              </w:rPr>
              <w:t>Asia,</w:t>
            </w:r>
          </w:p>
        </w:tc>
        <w:tc>
          <w:tcPr>
            <w:tcW w:w="13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4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480" w:type="dxa"/>
            <w:vAlign w:val="bottom"/>
          </w:tcPr>
          <w:p>
            <w:pPr>
              <w:jc w:val="right"/>
              <w:ind w:right="235"/>
              <w:spacing w:after="0" w:line="135" w:lineRule="exact"/>
              <w:rPr>
                <w:sz w:val="20"/>
                <w:szCs w:val="20"/>
                <w:color w:val="auto"/>
              </w:rPr>
            </w:pPr>
            <w:r>
              <w:rPr>
                <w:rFonts w:ascii="Arial" w:cs="Arial" w:eastAsia="Arial" w:hAnsi="Arial"/>
                <w:sz w:val="13"/>
                <w:szCs w:val="13"/>
                <w:color w:val="auto"/>
              </w:rPr>
              <w:t>Oceania,</w:t>
            </w:r>
          </w:p>
        </w:tc>
        <w:tc>
          <w:tcPr>
            <w:tcW w:w="13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500" w:type="dxa"/>
            <w:vAlign w:val="bottom"/>
          </w:tcPr>
          <w:p>
            <w:pPr>
              <w:jc w:val="right"/>
              <w:ind w:right="811"/>
              <w:spacing w:after="0" w:line="135" w:lineRule="exact"/>
              <w:rPr>
                <w:sz w:val="20"/>
                <w:szCs w:val="20"/>
                <w:color w:val="auto"/>
              </w:rPr>
            </w:pPr>
            <w:r>
              <w:rPr>
                <w:rFonts w:ascii="Arial" w:cs="Arial" w:eastAsia="Arial" w:hAnsi="Arial"/>
                <w:sz w:val="13"/>
                <w:szCs w:val="13"/>
                <w:color w:val="auto"/>
              </w:rPr>
              <w:t>Other</w:t>
            </w:r>
          </w:p>
        </w:tc>
        <w:tc>
          <w:tcPr>
            <w:tcW w:w="1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446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71"/>
              <w:spacing w:after="0"/>
              <w:rPr>
                <w:sz w:val="20"/>
                <w:szCs w:val="20"/>
                <w:color w:val="auto"/>
              </w:rPr>
            </w:pPr>
            <w:r>
              <w:rPr>
                <w:rFonts w:ascii="Arial" w:cs="Arial" w:eastAsia="Arial" w:hAnsi="Arial"/>
                <w:sz w:val="13"/>
                <w:szCs w:val="13"/>
                <w:color w:val="auto"/>
              </w:rPr>
              <w:t>Europe</w:t>
            </w:r>
          </w:p>
        </w:tc>
        <w:tc>
          <w:tcPr>
            <w:tcW w:w="1480" w:type="dxa"/>
            <w:vAlign w:val="bottom"/>
            <w:tcBorders>
              <w:bottom w:val="single" w:sz="8" w:color="auto"/>
            </w:tcBorders>
          </w:tcPr>
          <w:p>
            <w:pPr>
              <w:jc w:val="right"/>
              <w:ind w:right="235"/>
              <w:spacing w:after="0"/>
              <w:rPr>
                <w:sz w:val="20"/>
                <w:szCs w:val="20"/>
                <w:color w:val="auto"/>
              </w:rPr>
            </w:pPr>
            <w:r>
              <w:rPr>
                <w:rFonts w:ascii="Arial" w:cs="Arial" w:eastAsia="Arial" w:hAnsi="Arial"/>
                <w:sz w:val="13"/>
                <w:szCs w:val="13"/>
                <w:color w:val="auto"/>
              </w:rPr>
              <w:t>Africa</w:t>
            </w:r>
          </w:p>
        </w:tc>
        <w:tc>
          <w:tcPr>
            <w:tcW w:w="1660" w:type="dxa"/>
            <w:vAlign w:val="bottom"/>
            <w:tcBorders>
              <w:bottom w:val="single" w:sz="8" w:color="auto"/>
            </w:tcBorders>
            <w:gridSpan w:val="2"/>
          </w:tcPr>
          <w:p>
            <w:pPr>
              <w:jc w:val="right"/>
              <w:ind w:right="700"/>
              <w:spacing w:after="0"/>
              <w:rPr>
                <w:sz w:val="20"/>
                <w:szCs w:val="20"/>
                <w:color w:val="auto"/>
              </w:rPr>
            </w:pPr>
            <w:r>
              <w:rPr>
                <w:rFonts w:ascii="Arial" w:cs="Arial" w:eastAsia="Arial" w:hAnsi="Arial"/>
                <w:sz w:val="13"/>
                <w:szCs w:val="13"/>
                <w:color w:val="auto"/>
              </w:rPr>
              <w:t>USA</w:t>
            </w:r>
          </w:p>
        </w:tc>
        <w:tc>
          <w:tcPr>
            <w:tcW w:w="1500" w:type="dxa"/>
            <w:vAlign w:val="bottom"/>
            <w:tcBorders>
              <w:bottom w:val="single" w:sz="8" w:color="auto"/>
            </w:tcBorders>
          </w:tcPr>
          <w:p>
            <w:pPr>
              <w:jc w:val="right"/>
              <w:ind w:right="811"/>
              <w:spacing w:after="0"/>
              <w:rPr>
                <w:sz w:val="20"/>
                <w:szCs w:val="20"/>
                <w:color w:val="auto"/>
              </w:rPr>
            </w:pPr>
            <w:r>
              <w:rPr>
                <w:rFonts w:ascii="Arial" w:cs="Arial" w:eastAsia="Arial" w:hAnsi="Arial"/>
                <w:sz w:val="13"/>
                <w:szCs w:val="13"/>
                <w:color w:val="auto"/>
              </w:rPr>
              <w:t>Americas</w:t>
            </w:r>
          </w:p>
        </w:tc>
        <w:tc>
          <w:tcPr>
            <w:tcW w:w="1180" w:type="dxa"/>
            <w:vAlign w:val="bottom"/>
            <w:tcBorders>
              <w:bottom w:val="single" w:sz="8" w:color="auto"/>
            </w:tcBorders>
          </w:tcPr>
          <w:p>
            <w:pPr>
              <w:jc w:val="right"/>
              <w:ind w:right="70"/>
              <w:spacing w:after="0"/>
              <w:rPr>
                <w:sz w:val="20"/>
                <w:szCs w:val="20"/>
                <w:color w:val="auto"/>
              </w:rPr>
            </w:pPr>
            <w:r>
              <w:rPr>
                <w:rFonts w:ascii="Arial" w:cs="Arial" w:eastAsia="Arial" w:hAnsi="Arial"/>
                <w:sz w:val="13"/>
                <w:szCs w:val="13"/>
                <w:color w:val="auto"/>
              </w:rPr>
              <w:t>Total</w:t>
            </w:r>
          </w:p>
        </w:tc>
        <w:tc>
          <w:tcPr>
            <w:tcW w:w="0" w:type="dxa"/>
            <w:vAlign w:val="bottom"/>
          </w:tcPr>
          <w:p>
            <w:pPr>
              <w:spacing w:after="0"/>
              <w:rPr>
                <w:sz w:val="1"/>
                <w:szCs w:val="1"/>
                <w:color w:val="auto"/>
              </w:rPr>
            </w:pPr>
          </w:p>
        </w:tc>
      </w:tr>
      <w:tr>
        <w:trPr>
          <w:trHeight w:val="160"/>
        </w:trPr>
        <w:tc>
          <w:tcPr>
            <w:tcW w:w="4480" w:type="dxa"/>
            <w:vAlign w:val="bottom"/>
            <w:gridSpan w:val="2"/>
          </w:tcPr>
          <w:p>
            <w:pPr>
              <w:spacing w:after="0"/>
              <w:rPr>
                <w:sz w:val="20"/>
                <w:szCs w:val="20"/>
                <w:color w:val="auto"/>
              </w:rPr>
            </w:pPr>
            <w:r>
              <w:rPr>
                <w:rFonts w:ascii="Arial" w:cs="Arial" w:eastAsia="Arial" w:hAnsi="Arial"/>
                <w:sz w:val="14"/>
                <w:szCs w:val="14"/>
                <w:color w:val="auto"/>
              </w:rPr>
              <w:t>Third-party revenue, by origin</w:t>
            </w:r>
          </w:p>
        </w:tc>
        <w:tc>
          <w:tcPr>
            <w:tcW w:w="1120" w:type="dxa"/>
            <w:vAlign w:val="bottom"/>
          </w:tcPr>
          <w:p>
            <w:pPr>
              <w:jc w:val="right"/>
              <w:ind w:right="71"/>
              <w:spacing w:after="0"/>
              <w:rPr>
                <w:sz w:val="20"/>
                <w:szCs w:val="20"/>
                <w:color w:val="auto"/>
              </w:rPr>
            </w:pPr>
            <w:r>
              <w:rPr>
                <w:rFonts w:ascii="Arial" w:cs="Arial" w:eastAsia="Arial" w:hAnsi="Arial"/>
                <w:sz w:val="14"/>
                <w:szCs w:val="14"/>
                <w:color w:val="auto"/>
              </w:rPr>
              <w:t>175,584</w:t>
            </w:r>
          </w:p>
        </w:tc>
        <w:tc>
          <w:tcPr>
            <w:tcW w:w="1480" w:type="dxa"/>
            <w:vAlign w:val="bottom"/>
          </w:tcPr>
          <w:p>
            <w:pPr>
              <w:jc w:val="right"/>
              <w:ind w:right="235"/>
              <w:spacing w:after="0"/>
              <w:rPr>
                <w:sz w:val="20"/>
                <w:szCs w:val="20"/>
                <w:color w:val="auto"/>
              </w:rPr>
            </w:pPr>
            <w:r>
              <w:rPr>
                <w:rFonts w:ascii="Arial" w:cs="Arial" w:eastAsia="Arial" w:hAnsi="Arial"/>
                <w:sz w:val="14"/>
                <w:szCs w:val="14"/>
                <w:color w:val="auto"/>
              </w:rPr>
              <w:t>157,673</w:t>
            </w:r>
          </w:p>
        </w:tc>
        <w:tc>
          <w:tcPr>
            <w:tcW w:w="1380" w:type="dxa"/>
            <w:vAlign w:val="bottom"/>
          </w:tcPr>
          <w:p>
            <w:pPr>
              <w:jc w:val="right"/>
              <w:ind w:right="350"/>
              <w:spacing w:after="0"/>
              <w:rPr>
                <w:sz w:val="20"/>
                <w:szCs w:val="20"/>
                <w:color w:val="auto"/>
              </w:rPr>
            </w:pPr>
            <w:r>
              <w:rPr>
                <w:rFonts w:ascii="Arial" w:cs="Arial" w:eastAsia="Arial" w:hAnsi="Arial"/>
                <w:sz w:val="14"/>
                <w:szCs w:val="14"/>
                <w:color w:val="auto"/>
              </w:rPr>
              <w:t>72,552</w:t>
            </w:r>
          </w:p>
        </w:tc>
        <w:tc>
          <w:tcPr>
            <w:tcW w:w="280" w:type="dxa"/>
            <w:vAlign w:val="bottom"/>
          </w:tcPr>
          <w:p>
            <w:pPr>
              <w:spacing w:after="0"/>
              <w:rPr>
                <w:sz w:val="13"/>
                <w:szCs w:val="13"/>
                <w:color w:val="auto"/>
              </w:rPr>
            </w:pPr>
          </w:p>
        </w:tc>
        <w:tc>
          <w:tcPr>
            <w:tcW w:w="1500" w:type="dxa"/>
            <w:vAlign w:val="bottom"/>
          </w:tcPr>
          <w:p>
            <w:pPr>
              <w:jc w:val="right"/>
              <w:ind w:right="811"/>
              <w:spacing w:after="0"/>
              <w:rPr>
                <w:sz w:val="20"/>
                <w:szCs w:val="20"/>
                <w:color w:val="auto"/>
              </w:rPr>
            </w:pPr>
            <w:r>
              <w:rPr>
                <w:rFonts w:ascii="Arial" w:cs="Arial" w:eastAsia="Arial" w:hAnsi="Arial"/>
                <w:sz w:val="14"/>
                <w:szCs w:val="14"/>
                <w:color w:val="auto"/>
              </w:rPr>
              <w:t>45,426</w:t>
            </w:r>
          </w:p>
        </w:tc>
        <w:tc>
          <w:tcPr>
            <w:tcW w:w="1180" w:type="dxa"/>
            <w:vAlign w:val="bottom"/>
          </w:tcPr>
          <w:p>
            <w:pPr>
              <w:jc w:val="right"/>
              <w:ind w:right="70"/>
              <w:spacing w:after="0"/>
              <w:rPr>
                <w:sz w:val="20"/>
                <w:szCs w:val="20"/>
                <w:color w:val="auto"/>
              </w:rPr>
            </w:pPr>
            <w:r>
              <w:rPr>
                <w:rFonts w:ascii="Arial" w:cs="Arial" w:eastAsia="Arial" w:hAnsi="Arial"/>
                <w:sz w:val="14"/>
                <w:szCs w:val="14"/>
                <w:color w:val="auto"/>
              </w:rPr>
              <w:t>451,235</w:t>
            </w:r>
          </w:p>
        </w:tc>
        <w:tc>
          <w:tcPr>
            <w:tcW w:w="0" w:type="dxa"/>
            <w:vAlign w:val="bottom"/>
          </w:tcPr>
          <w:p>
            <w:pPr>
              <w:spacing w:after="0"/>
              <w:rPr>
                <w:sz w:val="1"/>
                <w:szCs w:val="1"/>
                <w:color w:val="auto"/>
              </w:rPr>
            </w:pPr>
          </w:p>
        </w:tc>
      </w:tr>
      <w:tr>
        <w:trPr>
          <w:trHeight w:val="162"/>
        </w:trPr>
        <w:tc>
          <w:tcPr>
            <w:tcW w:w="4480" w:type="dxa"/>
            <w:vAlign w:val="bottom"/>
            <w:gridSpan w:val="2"/>
          </w:tcPr>
          <w:p>
            <w:pPr>
              <w:spacing w:after="0"/>
              <w:rPr>
                <w:sz w:val="20"/>
                <w:szCs w:val="20"/>
                <w:color w:val="auto"/>
              </w:rPr>
            </w:pPr>
            <w:r>
              <w:rPr>
                <w:rFonts w:ascii="Arial" w:cs="Arial" w:eastAsia="Arial" w:hAnsi="Arial"/>
                <w:sz w:val="14"/>
                <w:szCs w:val="14"/>
                <w:color w:val="auto"/>
              </w:rPr>
              <w:t>Intangible assets, property, plant and equipment, joint ventures</w:t>
            </w:r>
          </w:p>
        </w:tc>
        <w:tc>
          <w:tcPr>
            <w:tcW w:w="11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4460" w:type="dxa"/>
            <w:vAlign w:val="bottom"/>
            <w:tcBorders>
              <w:bottom w:val="single" w:sz="8" w:color="auto"/>
            </w:tcBorders>
          </w:tcPr>
          <w:p>
            <w:pPr>
              <w:jc w:val="right"/>
              <w:ind w:right="2226"/>
              <w:spacing w:after="0" w:line="157" w:lineRule="exact"/>
              <w:rPr>
                <w:sz w:val="20"/>
                <w:szCs w:val="20"/>
                <w:color w:val="auto"/>
              </w:rPr>
            </w:pPr>
            <w:r>
              <w:rPr>
                <w:rFonts w:ascii="Arial" w:cs="Arial" w:eastAsia="Arial" w:hAnsi="Arial"/>
                <w:sz w:val="14"/>
                <w:szCs w:val="14"/>
                <w:color w:val="auto"/>
              </w:rPr>
              <w:t>and associates at December 31</w:t>
            </w:r>
          </w:p>
        </w:tc>
        <w:tc>
          <w:tcPr>
            <w:tcW w:w="1120" w:type="dxa"/>
            <w:vAlign w:val="bottom"/>
            <w:tcBorders>
              <w:bottom w:val="single" w:sz="8" w:color="auto"/>
            </w:tcBorders>
          </w:tcPr>
          <w:p>
            <w:pPr>
              <w:jc w:val="right"/>
              <w:ind w:right="71"/>
              <w:spacing w:after="0" w:line="157" w:lineRule="exact"/>
              <w:rPr>
                <w:sz w:val="20"/>
                <w:szCs w:val="20"/>
                <w:color w:val="auto"/>
              </w:rPr>
            </w:pPr>
            <w:r>
              <w:rPr>
                <w:rFonts w:ascii="Arial" w:cs="Arial" w:eastAsia="Arial" w:hAnsi="Arial"/>
                <w:sz w:val="14"/>
                <w:szCs w:val="14"/>
                <w:color w:val="auto"/>
              </w:rPr>
              <w:t>35,919</w:t>
            </w:r>
          </w:p>
        </w:tc>
        <w:tc>
          <w:tcPr>
            <w:tcW w:w="1480" w:type="dxa"/>
            <w:vAlign w:val="bottom"/>
            <w:tcBorders>
              <w:bottom w:val="single" w:sz="8" w:color="auto"/>
            </w:tcBorders>
          </w:tcPr>
          <w:p>
            <w:pPr>
              <w:jc w:val="right"/>
              <w:ind w:right="235"/>
              <w:spacing w:after="0" w:line="157" w:lineRule="exact"/>
              <w:rPr>
                <w:sz w:val="20"/>
                <w:szCs w:val="20"/>
                <w:color w:val="auto"/>
              </w:rPr>
            </w:pPr>
            <w:r>
              <w:rPr>
                <w:rFonts w:ascii="Arial" w:cs="Arial" w:eastAsia="Arial" w:hAnsi="Arial"/>
                <w:sz w:val="14"/>
                <w:szCs w:val="14"/>
                <w:color w:val="auto"/>
              </w:rPr>
              <w:t>101,003</w:t>
            </w:r>
          </w:p>
        </w:tc>
        <w:tc>
          <w:tcPr>
            <w:tcW w:w="1380" w:type="dxa"/>
            <w:vAlign w:val="bottom"/>
            <w:tcBorders>
              <w:bottom w:val="single" w:sz="8" w:color="auto"/>
            </w:tcBorders>
          </w:tcPr>
          <w:p>
            <w:pPr>
              <w:jc w:val="right"/>
              <w:ind w:right="350"/>
              <w:spacing w:after="0" w:line="157" w:lineRule="exact"/>
              <w:rPr>
                <w:sz w:val="20"/>
                <w:szCs w:val="20"/>
                <w:color w:val="auto"/>
              </w:rPr>
            </w:pPr>
            <w:r>
              <w:rPr>
                <w:rFonts w:ascii="Arial" w:cs="Arial" w:eastAsia="Arial" w:hAnsi="Arial"/>
                <w:sz w:val="14"/>
                <w:szCs w:val="14"/>
                <w:color w:val="auto"/>
              </w:rPr>
              <w:t>51,626</w:t>
            </w:r>
          </w:p>
        </w:tc>
        <w:tc>
          <w:tcPr>
            <w:tcW w:w="280" w:type="dxa"/>
            <w:vAlign w:val="bottom"/>
            <w:tcBorders>
              <w:bottom w:val="single" w:sz="8" w:color="auto"/>
            </w:tcBorders>
          </w:tcPr>
          <w:p>
            <w:pPr>
              <w:spacing w:after="0"/>
              <w:rPr>
                <w:sz w:val="13"/>
                <w:szCs w:val="13"/>
                <w:color w:val="auto"/>
              </w:rPr>
            </w:pPr>
          </w:p>
        </w:tc>
        <w:tc>
          <w:tcPr>
            <w:tcW w:w="1500" w:type="dxa"/>
            <w:vAlign w:val="bottom"/>
            <w:tcBorders>
              <w:bottom w:val="single" w:sz="8" w:color="auto"/>
            </w:tcBorders>
          </w:tcPr>
          <w:p>
            <w:pPr>
              <w:jc w:val="right"/>
              <w:ind w:right="811"/>
              <w:spacing w:after="0" w:line="157" w:lineRule="exact"/>
              <w:rPr>
                <w:sz w:val="20"/>
                <w:szCs w:val="20"/>
                <w:color w:val="auto"/>
              </w:rPr>
            </w:pPr>
            <w:r>
              <w:rPr>
                <w:rFonts w:ascii="Arial" w:cs="Arial" w:eastAsia="Arial" w:hAnsi="Arial"/>
                <w:sz w:val="14"/>
                <w:szCs w:val="14"/>
                <w:color w:val="auto"/>
              </w:rPr>
              <w:t>42,356</w:t>
            </w:r>
          </w:p>
        </w:tc>
        <w:tc>
          <w:tcPr>
            <w:tcW w:w="1180" w:type="dxa"/>
            <w:vAlign w:val="bottom"/>
            <w:tcBorders>
              <w:bottom w:val="single" w:sz="8" w:color="auto"/>
            </w:tcBorders>
          </w:tcPr>
          <w:p>
            <w:pPr>
              <w:jc w:val="right"/>
              <w:ind w:right="70"/>
              <w:spacing w:after="0" w:line="157" w:lineRule="exact"/>
              <w:rPr>
                <w:sz w:val="20"/>
                <w:szCs w:val="20"/>
                <w:color w:val="auto"/>
              </w:rPr>
            </w:pPr>
            <w:r>
              <w:rPr>
                <w:rFonts w:ascii="Arial" w:cs="Arial" w:eastAsia="Arial" w:hAnsi="Arial"/>
                <w:sz w:val="14"/>
                <w:szCs w:val="14"/>
                <w:color w:val="auto"/>
              </w:rPr>
              <w:t>230,904</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460" w:type="dxa"/>
            <w:vAlign w:val="bottom"/>
            <w:shd w:val="clear" w:color="auto" w:fill="333333"/>
          </w:tcPr>
          <w:p>
            <w:pPr>
              <w:jc w:val="right"/>
              <w:ind w:right="3986"/>
              <w:spacing w:after="0" w:line="156" w:lineRule="exact"/>
              <w:rPr>
                <w:sz w:val="20"/>
                <w:szCs w:val="20"/>
                <w:color w:val="auto"/>
              </w:rPr>
            </w:pPr>
            <w:r>
              <w:rPr>
                <w:rFonts w:ascii="Arial" w:cs="Arial" w:eastAsia="Arial" w:hAnsi="Arial"/>
                <w:sz w:val="15"/>
                <w:szCs w:val="15"/>
                <w:b w:val="1"/>
                <w:bCs w:val="1"/>
                <w:color w:val="FFFFFF"/>
              </w:rPr>
              <w:t>2012</w:t>
            </w:r>
          </w:p>
        </w:tc>
        <w:tc>
          <w:tcPr>
            <w:tcW w:w="1120" w:type="dxa"/>
            <w:vAlign w:val="bottom"/>
            <w:shd w:val="clear" w:color="auto" w:fill="333333"/>
          </w:tcPr>
          <w:p>
            <w:pPr>
              <w:spacing w:after="0"/>
              <w:rPr>
                <w:sz w:val="13"/>
                <w:szCs w:val="13"/>
                <w:color w:val="auto"/>
              </w:rPr>
            </w:pPr>
          </w:p>
        </w:tc>
        <w:tc>
          <w:tcPr>
            <w:tcW w:w="1480" w:type="dxa"/>
            <w:vAlign w:val="bottom"/>
            <w:shd w:val="clear" w:color="auto" w:fill="333333"/>
          </w:tcPr>
          <w:p>
            <w:pPr>
              <w:spacing w:after="0"/>
              <w:rPr>
                <w:sz w:val="13"/>
                <w:szCs w:val="13"/>
                <w:color w:val="auto"/>
              </w:rPr>
            </w:pPr>
          </w:p>
        </w:tc>
        <w:tc>
          <w:tcPr>
            <w:tcW w:w="1380" w:type="dxa"/>
            <w:vAlign w:val="bottom"/>
            <w:shd w:val="clear" w:color="auto" w:fill="333333"/>
          </w:tcPr>
          <w:p>
            <w:pPr>
              <w:spacing w:after="0"/>
              <w:rPr>
                <w:sz w:val="13"/>
                <w:szCs w:val="13"/>
                <w:color w:val="auto"/>
              </w:rPr>
            </w:pPr>
          </w:p>
        </w:tc>
        <w:tc>
          <w:tcPr>
            <w:tcW w:w="280" w:type="dxa"/>
            <w:vAlign w:val="bottom"/>
            <w:shd w:val="clear" w:color="auto" w:fill="333333"/>
          </w:tcPr>
          <w:p>
            <w:pPr>
              <w:spacing w:after="0"/>
              <w:rPr>
                <w:sz w:val="13"/>
                <w:szCs w:val="13"/>
                <w:color w:val="auto"/>
              </w:rPr>
            </w:pPr>
          </w:p>
        </w:tc>
        <w:tc>
          <w:tcPr>
            <w:tcW w:w="1500" w:type="dxa"/>
            <w:vAlign w:val="bottom"/>
            <w:shd w:val="clear" w:color="auto" w:fill="333333"/>
          </w:tcPr>
          <w:p>
            <w:pPr>
              <w:spacing w:after="0"/>
              <w:rPr>
                <w:sz w:val="13"/>
                <w:szCs w:val="13"/>
                <w:color w:val="auto"/>
              </w:rPr>
            </w:pPr>
          </w:p>
        </w:tc>
        <w:tc>
          <w:tcPr>
            <w:tcW w:w="1180" w:type="dxa"/>
            <w:vAlign w:val="bottom"/>
            <w:shd w:val="clear" w:color="auto" w:fill="333333"/>
          </w:tcPr>
          <w:p>
            <w:pPr>
              <w:jc w:val="right"/>
              <w:ind w:right="70"/>
              <w:spacing w:after="0" w:line="156" w:lineRule="exact"/>
              <w:rPr>
                <w:sz w:val="20"/>
                <w:szCs w:val="20"/>
                <w:color w:val="auto"/>
              </w:rPr>
            </w:pPr>
            <w:r>
              <w:rPr>
                <w:rFonts w:ascii="Arial" w:cs="Arial" w:eastAsia="Arial" w:hAnsi="Arial"/>
                <w:sz w:val="15"/>
                <w:szCs w:val="15"/>
                <w:color w:val="FFFFFF"/>
              </w:rPr>
              <w:t>$ MILLION</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4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480" w:type="dxa"/>
            <w:vAlign w:val="bottom"/>
          </w:tcPr>
          <w:p>
            <w:pPr>
              <w:jc w:val="right"/>
              <w:ind w:right="195"/>
              <w:spacing w:after="0" w:line="129" w:lineRule="exact"/>
              <w:rPr>
                <w:sz w:val="20"/>
                <w:szCs w:val="20"/>
                <w:color w:val="auto"/>
              </w:rPr>
            </w:pPr>
            <w:r>
              <w:rPr>
                <w:rFonts w:ascii="Arial" w:cs="Arial" w:eastAsia="Arial" w:hAnsi="Arial"/>
                <w:sz w:val="13"/>
                <w:szCs w:val="13"/>
                <w:color w:val="auto"/>
              </w:rPr>
              <w:t>Asia,</w:t>
            </w:r>
          </w:p>
        </w:tc>
        <w:tc>
          <w:tcPr>
            <w:tcW w:w="13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4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480" w:type="dxa"/>
            <w:vAlign w:val="bottom"/>
          </w:tcPr>
          <w:p>
            <w:pPr>
              <w:jc w:val="right"/>
              <w:ind w:right="195"/>
              <w:spacing w:after="0" w:line="135" w:lineRule="exact"/>
              <w:rPr>
                <w:sz w:val="20"/>
                <w:szCs w:val="20"/>
                <w:color w:val="auto"/>
              </w:rPr>
            </w:pPr>
            <w:r>
              <w:rPr>
                <w:rFonts w:ascii="Arial" w:cs="Arial" w:eastAsia="Arial" w:hAnsi="Arial"/>
                <w:sz w:val="13"/>
                <w:szCs w:val="13"/>
                <w:color w:val="auto"/>
              </w:rPr>
              <w:t>Oceania,</w:t>
            </w:r>
          </w:p>
        </w:tc>
        <w:tc>
          <w:tcPr>
            <w:tcW w:w="13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500" w:type="dxa"/>
            <w:vAlign w:val="bottom"/>
          </w:tcPr>
          <w:p>
            <w:pPr>
              <w:jc w:val="right"/>
              <w:ind w:right="751"/>
              <w:spacing w:after="0" w:line="135" w:lineRule="exact"/>
              <w:rPr>
                <w:sz w:val="20"/>
                <w:szCs w:val="20"/>
                <w:color w:val="auto"/>
              </w:rPr>
            </w:pPr>
            <w:r>
              <w:rPr>
                <w:rFonts w:ascii="Arial" w:cs="Arial" w:eastAsia="Arial" w:hAnsi="Arial"/>
                <w:sz w:val="13"/>
                <w:szCs w:val="13"/>
                <w:color w:val="auto"/>
              </w:rPr>
              <w:t>Other</w:t>
            </w:r>
          </w:p>
        </w:tc>
        <w:tc>
          <w:tcPr>
            <w:tcW w:w="1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446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51"/>
              <w:spacing w:after="0"/>
              <w:rPr>
                <w:sz w:val="20"/>
                <w:szCs w:val="20"/>
                <w:color w:val="auto"/>
              </w:rPr>
            </w:pPr>
            <w:r>
              <w:rPr>
                <w:rFonts w:ascii="Arial" w:cs="Arial" w:eastAsia="Arial" w:hAnsi="Arial"/>
                <w:sz w:val="13"/>
                <w:szCs w:val="13"/>
                <w:color w:val="auto"/>
              </w:rPr>
              <w:t>Europe</w:t>
            </w:r>
          </w:p>
        </w:tc>
        <w:tc>
          <w:tcPr>
            <w:tcW w:w="1480" w:type="dxa"/>
            <w:vAlign w:val="bottom"/>
            <w:tcBorders>
              <w:bottom w:val="single" w:sz="8" w:color="auto"/>
            </w:tcBorders>
          </w:tcPr>
          <w:p>
            <w:pPr>
              <w:jc w:val="right"/>
              <w:ind w:right="195"/>
              <w:spacing w:after="0"/>
              <w:rPr>
                <w:sz w:val="20"/>
                <w:szCs w:val="20"/>
                <w:color w:val="auto"/>
              </w:rPr>
            </w:pPr>
            <w:r>
              <w:rPr>
                <w:rFonts w:ascii="Arial" w:cs="Arial" w:eastAsia="Arial" w:hAnsi="Arial"/>
                <w:sz w:val="13"/>
                <w:szCs w:val="13"/>
                <w:color w:val="auto"/>
              </w:rPr>
              <w:t>Africa</w:t>
            </w:r>
          </w:p>
        </w:tc>
        <w:tc>
          <w:tcPr>
            <w:tcW w:w="1660" w:type="dxa"/>
            <w:vAlign w:val="bottom"/>
            <w:tcBorders>
              <w:bottom w:val="single" w:sz="8" w:color="auto"/>
            </w:tcBorders>
            <w:gridSpan w:val="2"/>
          </w:tcPr>
          <w:p>
            <w:pPr>
              <w:jc w:val="right"/>
              <w:ind w:right="660"/>
              <w:spacing w:after="0"/>
              <w:rPr>
                <w:sz w:val="20"/>
                <w:szCs w:val="20"/>
                <w:color w:val="auto"/>
              </w:rPr>
            </w:pPr>
            <w:r>
              <w:rPr>
                <w:rFonts w:ascii="Arial" w:cs="Arial" w:eastAsia="Arial" w:hAnsi="Arial"/>
                <w:sz w:val="13"/>
                <w:szCs w:val="13"/>
                <w:color w:val="auto"/>
              </w:rPr>
              <w:t>USA</w:t>
            </w:r>
          </w:p>
        </w:tc>
        <w:tc>
          <w:tcPr>
            <w:tcW w:w="1500" w:type="dxa"/>
            <w:vAlign w:val="bottom"/>
            <w:tcBorders>
              <w:bottom w:val="single" w:sz="8" w:color="auto"/>
            </w:tcBorders>
          </w:tcPr>
          <w:p>
            <w:pPr>
              <w:jc w:val="right"/>
              <w:ind w:right="751"/>
              <w:spacing w:after="0"/>
              <w:rPr>
                <w:sz w:val="20"/>
                <w:szCs w:val="20"/>
                <w:color w:val="auto"/>
              </w:rPr>
            </w:pPr>
            <w:r>
              <w:rPr>
                <w:rFonts w:ascii="Arial" w:cs="Arial" w:eastAsia="Arial" w:hAnsi="Arial"/>
                <w:sz w:val="13"/>
                <w:szCs w:val="13"/>
                <w:color w:val="auto"/>
              </w:rPr>
              <w:t>Americas</w:t>
            </w:r>
          </w:p>
        </w:tc>
        <w:tc>
          <w:tcPr>
            <w:tcW w:w="1180" w:type="dxa"/>
            <w:vAlign w:val="bottom"/>
            <w:tcBorders>
              <w:bottom w:val="single" w:sz="8" w:color="auto"/>
            </w:tcBorders>
          </w:tcPr>
          <w:p>
            <w:pPr>
              <w:jc w:val="right"/>
              <w:ind w:right="270"/>
              <w:spacing w:after="0"/>
              <w:rPr>
                <w:sz w:val="20"/>
                <w:szCs w:val="20"/>
                <w:color w:val="auto"/>
              </w:rPr>
            </w:pPr>
            <w:r>
              <w:rPr>
                <w:rFonts w:ascii="Arial" w:cs="Arial" w:eastAsia="Arial" w:hAnsi="Arial"/>
                <w:sz w:val="13"/>
                <w:szCs w:val="13"/>
                <w:color w:val="auto"/>
              </w:rPr>
              <w:t>Total</w:t>
            </w:r>
          </w:p>
        </w:tc>
        <w:tc>
          <w:tcPr>
            <w:tcW w:w="0" w:type="dxa"/>
            <w:vAlign w:val="bottom"/>
          </w:tcPr>
          <w:p>
            <w:pPr>
              <w:spacing w:after="0"/>
              <w:rPr>
                <w:sz w:val="1"/>
                <w:szCs w:val="1"/>
                <w:color w:val="auto"/>
              </w:rPr>
            </w:pPr>
          </w:p>
        </w:tc>
      </w:tr>
      <w:tr>
        <w:trPr>
          <w:trHeight w:val="160"/>
        </w:trPr>
        <w:tc>
          <w:tcPr>
            <w:tcW w:w="4480" w:type="dxa"/>
            <w:vAlign w:val="bottom"/>
            <w:gridSpan w:val="2"/>
          </w:tcPr>
          <w:p>
            <w:pPr>
              <w:spacing w:after="0"/>
              <w:rPr>
                <w:sz w:val="20"/>
                <w:szCs w:val="20"/>
                <w:color w:val="auto"/>
              </w:rPr>
            </w:pPr>
            <w:r>
              <w:rPr>
                <w:rFonts w:ascii="Arial" w:cs="Arial" w:eastAsia="Arial" w:hAnsi="Arial"/>
                <w:sz w:val="14"/>
                <w:szCs w:val="14"/>
                <w:color w:val="auto"/>
              </w:rPr>
              <w:t>Third-party revenue, by origin</w:t>
            </w:r>
          </w:p>
        </w:tc>
        <w:tc>
          <w:tcPr>
            <w:tcW w:w="1120" w:type="dxa"/>
            <w:vAlign w:val="bottom"/>
          </w:tcPr>
          <w:p>
            <w:pPr>
              <w:jc w:val="right"/>
              <w:ind w:right="51"/>
              <w:spacing w:after="0"/>
              <w:rPr>
                <w:sz w:val="20"/>
                <w:szCs w:val="20"/>
                <w:color w:val="auto"/>
              </w:rPr>
            </w:pPr>
            <w:r>
              <w:rPr>
                <w:rFonts w:ascii="Arial" w:cs="Arial" w:eastAsia="Arial" w:hAnsi="Arial"/>
                <w:sz w:val="14"/>
                <w:szCs w:val="14"/>
                <w:color w:val="auto"/>
              </w:rPr>
              <w:t>184,223</w:t>
            </w:r>
          </w:p>
        </w:tc>
        <w:tc>
          <w:tcPr>
            <w:tcW w:w="1480" w:type="dxa"/>
            <w:vAlign w:val="bottom"/>
          </w:tcPr>
          <w:p>
            <w:pPr>
              <w:jc w:val="right"/>
              <w:ind w:right="195"/>
              <w:spacing w:after="0"/>
              <w:rPr>
                <w:sz w:val="20"/>
                <w:szCs w:val="20"/>
                <w:color w:val="auto"/>
              </w:rPr>
            </w:pPr>
            <w:r>
              <w:rPr>
                <w:rFonts w:ascii="Arial" w:cs="Arial" w:eastAsia="Arial" w:hAnsi="Arial"/>
                <w:sz w:val="14"/>
                <w:szCs w:val="14"/>
                <w:color w:val="auto"/>
              </w:rPr>
              <w:t>156,310</w:t>
            </w:r>
          </w:p>
        </w:tc>
        <w:tc>
          <w:tcPr>
            <w:tcW w:w="1380" w:type="dxa"/>
            <w:vAlign w:val="bottom"/>
          </w:tcPr>
          <w:p>
            <w:pPr>
              <w:jc w:val="right"/>
              <w:ind w:right="310"/>
              <w:spacing w:after="0"/>
              <w:rPr>
                <w:sz w:val="20"/>
                <w:szCs w:val="20"/>
                <w:color w:val="auto"/>
              </w:rPr>
            </w:pPr>
            <w:r>
              <w:rPr>
                <w:rFonts w:ascii="Arial" w:cs="Arial" w:eastAsia="Arial" w:hAnsi="Arial"/>
                <w:sz w:val="14"/>
                <w:szCs w:val="14"/>
                <w:color w:val="auto"/>
              </w:rPr>
              <w:t>91,571</w:t>
            </w:r>
          </w:p>
        </w:tc>
        <w:tc>
          <w:tcPr>
            <w:tcW w:w="280" w:type="dxa"/>
            <w:vAlign w:val="bottom"/>
          </w:tcPr>
          <w:p>
            <w:pPr>
              <w:spacing w:after="0"/>
              <w:rPr>
                <w:sz w:val="13"/>
                <w:szCs w:val="13"/>
                <w:color w:val="auto"/>
              </w:rPr>
            </w:pPr>
          </w:p>
        </w:tc>
        <w:tc>
          <w:tcPr>
            <w:tcW w:w="1500" w:type="dxa"/>
            <w:vAlign w:val="bottom"/>
          </w:tcPr>
          <w:p>
            <w:pPr>
              <w:jc w:val="right"/>
              <w:ind w:right="751"/>
              <w:spacing w:after="0"/>
              <w:rPr>
                <w:sz w:val="20"/>
                <w:szCs w:val="20"/>
                <w:color w:val="auto"/>
              </w:rPr>
            </w:pPr>
            <w:r>
              <w:rPr>
                <w:rFonts w:ascii="Arial" w:cs="Arial" w:eastAsia="Arial" w:hAnsi="Arial"/>
                <w:sz w:val="14"/>
                <w:szCs w:val="14"/>
                <w:color w:val="auto"/>
              </w:rPr>
              <w:t>35,049</w:t>
            </w:r>
          </w:p>
        </w:tc>
        <w:tc>
          <w:tcPr>
            <w:tcW w:w="1180" w:type="dxa"/>
            <w:vAlign w:val="bottom"/>
          </w:tcPr>
          <w:p>
            <w:pPr>
              <w:jc w:val="right"/>
              <w:ind w:right="270"/>
              <w:spacing w:after="0"/>
              <w:rPr>
                <w:sz w:val="20"/>
                <w:szCs w:val="20"/>
                <w:color w:val="auto"/>
              </w:rPr>
            </w:pPr>
            <w:r>
              <w:rPr>
                <w:rFonts w:ascii="Arial" w:cs="Arial" w:eastAsia="Arial" w:hAnsi="Arial"/>
                <w:sz w:val="14"/>
                <w:szCs w:val="14"/>
                <w:color w:val="auto"/>
              </w:rPr>
              <w:t>467,153</w:t>
            </w:r>
          </w:p>
        </w:tc>
        <w:tc>
          <w:tcPr>
            <w:tcW w:w="0" w:type="dxa"/>
            <w:vAlign w:val="bottom"/>
          </w:tcPr>
          <w:p>
            <w:pPr>
              <w:spacing w:after="0"/>
              <w:rPr>
                <w:sz w:val="1"/>
                <w:szCs w:val="1"/>
                <w:color w:val="auto"/>
              </w:rPr>
            </w:pPr>
          </w:p>
        </w:tc>
      </w:tr>
      <w:tr>
        <w:trPr>
          <w:trHeight w:val="162"/>
        </w:trPr>
        <w:tc>
          <w:tcPr>
            <w:tcW w:w="4480" w:type="dxa"/>
            <w:vAlign w:val="bottom"/>
            <w:gridSpan w:val="2"/>
          </w:tcPr>
          <w:p>
            <w:pPr>
              <w:spacing w:after="0"/>
              <w:rPr>
                <w:sz w:val="20"/>
                <w:szCs w:val="20"/>
                <w:color w:val="auto"/>
              </w:rPr>
            </w:pPr>
            <w:r>
              <w:rPr>
                <w:rFonts w:ascii="Arial" w:cs="Arial" w:eastAsia="Arial" w:hAnsi="Arial"/>
                <w:sz w:val="14"/>
                <w:szCs w:val="14"/>
                <w:color w:val="auto"/>
              </w:rPr>
              <w:t>Intangible assets, property, plant and equipment, joint ventures</w:t>
            </w:r>
          </w:p>
        </w:tc>
        <w:tc>
          <w:tcPr>
            <w:tcW w:w="11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4460" w:type="dxa"/>
            <w:vAlign w:val="bottom"/>
            <w:tcBorders>
              <w:bottom w:val="single" w:sz="8" w:color="auto"/>
            </w:tcBorders>
          </w:tcPr>
          <w:p>
            <w:pPr>
              <w:jc w:val="right"/>
              <w:ind w:right="2226"/>
              <w:spacing w:after="0" w:line="157" w:lineRule="exact"/>
              <w:rPr>
                <w:sz w:val="20"/>
                <w:szCs w:val="20"/>
                <w:color w:val="auto"/>
              </w:rPr>
            </w:pPr>
            <w:r>
              <w:rPr>
                <w:rFonts w:ascii="Arial" w:cs="Arial" w:eastAsia="Arial" w:hAnsi="Arial"/>
                <w:sz w:val="14"/>
                <w:szCs w:val="14"/>
                <w:color w:val="auto"/>
              </w:rPr>
              <w:t>and associates at December 31</w:t>
            </w:r>
          </w:p>
        </w:tc>
        <w:tc>
          <w:tcPr>
            <w:tcW w:w="1120" w:type="dxa"/>
            <w:vAlign w:val="bottom"/>
            <w:tcBorders>
              <w:bottom w:val="single" w:sz="8" w:color="auto"/>
            </w:tcBorders>
          </w:tcPr>
          <w:p>
            <w:pPr>
              <w:jc w:val="right"/>
              <w:ind w:right="51"/>
              <w:spacing w:after="0" w:line="157" w:lineRule="exact"/>
              <w:rPr>
                <w:sz w:val="20"/>
                <w:szCs w:val="20"/>
                <w:color w:val="auto"/>
              </w:rPr>
            </w:pPr>
            <w:r>
              <w:rPr>
                <w:rFonts w:ascii="Arial" w:cs="Arial" w:eastAsia="Arial" w:hAnsi="Arial"/>
                <w:sz w:val="14"/>
                <w:szCs w:val="14"/>
                <w:color w:val="auto"/>
              </w:rPr>
              <w:t>31,275</w:t>
            </w:r>
          </w:p>
        </w:tc>
        <w:tc>
          <w:tcPr>
            <w:tcW w:w="1480" w:type="dxa"/>
            <w:vAlign w:val="bottom"/>
            <w:tcBorders>
              <w:bottom w:val="single" w:sz="8" w:color="auto"/>
            </w:tcBorders>
          </w:tcPr>
          <w:p>
            <w:pPr>
              <w:jc w:val="right"/>
              <w:ind w:right="195"/>
              <w:spacing w:after="0" w:line="157" w:lineRule="exact"/>
              <w:rPr>
                <w:sz w:val="20"/>
                <w:szCs w:val="20"/>
                <w:color w:val="auto"/>
              </w:rPr>
            </w:pPr>
            <w:r>
              <w:rPr>
                <w:rFonts w:ascii="Arial" w:cs="Arial" w:eastAsia="Arial" w:hAnsi="Arial"/>
                <w:sz w:val="14"/>
                <w:szCs w:val="14"/>
                <w:color w:val="auto"/>
              </w:rPr>
              <w:t>91,602</w:t>
            </w:r>
          </w:p>
        </w:tc>
        <w:tc>
          <w:tcPr>
            <w:tcW w:w="1380" w:type="dxa"/>
            <w:vAlign w:val="bottom"/>
            <w:tcBorders>
              <w:bottom w:val="single" w:sz="8" w:color="auto"/>
            </w:tcBorders>
          </w:tcPr>
          <w:p>
            <w:pPr>
              <w:jc w:val="right"/>
              <w:ind w:right="310"/>
              <w:spacing w:after="0" w:line="157" w:lineRule="exact"/>
              <w:rPr>
                <w:sz w:val="20"/>
                <w:szCs w:val="20"/>
                <w:color w:val="auto"/>
              </w:rPr>
            </w:pPr>
            <w:r>
              <w:rPr>
                <w:rFonts w:ascii="Arial" w:cs="Arial" w:eastAsia="Arial" w:hAnsi="Arial"/>
                <w:sz w:val="14"/>
                <w:szCs w:val="14"/>
                <w:color w:val="auto"/>
              </w:rPr>
              <w:t>51,865</w:t>
            </w:r>
          </w:p>
        </w:tc>
        <w:tc>
          <w:tcPr>
            <w:tcW w:w="280" w:type="dxa"/>
            <w:vAlign w:val="bottom"/>
            <w:tcBorders>
              <w:bottom w:val="single" w:sz="8" w:color="auto"/>
            </w:tcBorders>
          </w:tcPr>
          <w:p>
            <w:pPr>
              <w:spacing w:after="0"/>
              <w:rPr>
                <w:sz w:val="13"/>
                <w:szCs w:val="13"/>
                <w:color w:val="auto"/>
              </w:rPr>
            </w:pPr>
          </w:p>
        </w:tc>
        <w:tc>
          <w:tcPr>
            <w:tcW w:w="1500" w:type="dxa"/>
            <w:vAlign w:val="bottom"/>
            <w:tcBorders>
              <w:bottom w:val="single" w:sz="8" w:color="auto"/>
            </w:tcBorders>
          </w:tcPr>
          <w:p>
            <w:pPr>
              <w:jc w:val="right"/>
              <w:ind w:right="751"/>
              <w:spacing w:after="0" w:line="157" w:lineRule="exact"/>
              <w:rPr>
                <w:sz w:val="20"/>
                <w:szCs w:val="20"/>
                <w:color w:val="auto"/>
              </w:rPr>
            </w:pPr>
            <w:r>
              <w:rPr>
                <w:rFonts w:ascii="Arial" w:cs="Arial" w:eastAsia="Arial" w:hAnsi="Arial"/>
                <w:sz w:val="14"/>
                <w:szCs w:val="14"/>
                <w:color w:val="auto"/>
              </w:rPr>
              <w:t>40,371</w:t>
            </w:r>
          </w:p>
        </w:tc>
        <w:tc>
          <w:tcPr>
            <w:tcW w:w="1180" w:type="dxa"/>
            <w:vAlign w:val="bottom"/>
            <w:tcBorders>
              <w:bottom w:val="single" w:sz="8" w:color="auto"/>
            </w:tcBorders>
          </w:tcPr>
          <w:p>
            <w:pPr>
              <w:jc w:val="right"/>
              <w:ind w:right="270"/>
              <w:spacing w:after="0" w:line="157" w:lineRule="exact"/>
              <w:rPr>
                <w:sz w:val="20"/>
                <w:szCs w:val="20"/>
                <w:color w:val="auto"/>
              </w:rPr>
            </w:pPr>
            <w:r>
              <w:rPr>
                <w:rFonts w:ascii="Arial" w:cs="Arial" w:eastAsia="Arial" w:hAnsi="Arial"/>
                <w:sz w:val="14"/>
                <w:szCs w:val="14"/>
                <w:color w:val="auto"/>
              </w:rPr>
              <w:t>215,113</w:t>
            </w:r>
          </w:p>
        </w:tc>
        <w:tc>
          <w:tcPr>
            <w:tcW w:w="0" w:type="dxa"/>
            <w:vAlign w:val="bottom"/>
          </w:tcPr>
          <w:p>
            <w:pPr>
              <w:spacing w:after="0"/>
              <w:rPr>
                <w:sz w:val="1"/>
                <w:szCs w:val="1"/>
                <w:color w:val="auto"/>
              </w:rPr>
            </w:pPr>
          </w:p>
        </w:tc>
      </w:tr>
      <w:tr>
        <w:trPr>
          <w:trHeight w:val="399"/>
        </w:trPr>
        <w:tc>
          <w:tcPr>
            <w:tcW w:w="4480" w:type="dxa"/>
            <w:vAlign w:val="bottom"/>
            <w:gridSpan w:val="2"/>
          </w:tcPr>
          <w:p>
            <w:pPr>
              <w:spacing w:after="0"/>
              <w:rPr>
                <w:sz w:val="20"/>
                <w:szCs w:val="20"/>
                <w:color w:val="auto"/>
              </w:rPr>
            </w:pPr>
            <w:r>
              <w:rPr>
                <w:rFonts w:ascii="Arial" w:cs="Arial" w:eastAsia="Arial" w:hAnsi="Arial"/>
                <w:sz w:val="18"/>
                <w:szCs w:val="18"/>
                <w:color w:val="auto"/>
              </w:rPr>
              <w:t>5 INTEREST AND OTHER INCOME</w:t>
            </w:r>
          </w:p>
        </w:tc>
        <w:tc>
          <w:tcPr>
            <w:tcW w:w="11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4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460" w:type="dxa"/>
            <w:vAlign w:val="bottom"/>
            <w:shd w:val="clear" w:color="auto" w:fill="333333"/>
          </w:tcPr>
          <w:p>
            <w:pPr>
              <w:spacing w:after="0"/>
              <w:rPr>
                <w:sz w:val="14"/>
                <w:szCs w:val="14"/>
                <w:color w:val="auto"/>
              </w:rPr>
            </w:pPr>
          </w:p>
        </w:tc>
        <w:tc>
          <w:tcPr>
            <w:tcW w:w="1120" w:type="dxa"/>
            <w:vAlign w:val="bottom"/>
            <w:shd w:val="clear" w:color="auto" w:fill="333333"/>
          </w:tcPr>
          <w:p>
            <w:pPr>
              <w:spacing w:after="0"/>
              <w:rPr>
                <w:sz w:val="14"/>
                <w:szCs w:val="14"/>
                <w:color w:val="auto"/>
              </w:rPr>
            </w:pPr>
          </w:p>
        </w:tc>
        <w:tc>
          <w:tcPr>
            <w:tcW w:w="1480" w:type="dxa"/>
            <w:vAlign w:val="bottom"/>
            <w:shd w:val="clear" w:color="auto" w:fill="333333"/>
          </w:tcPr>
          <w:p>
            <w:pPr>
              <w:spacing w:after="0"/>
              <w:rPr>
                <w:sz w:val="14"/>
                <w:szCs w:val="14"/>
                <w:color w:val="auto"/>
              </w:rPr>
            </w:pPr>
          </w:p>
        </w:tc>
        <w:tc>
          <w:tcPr>
            <w:tcW w:w="1380" w:type="dxa"/>
            <w:vAlign w:val="bottom"/>
            <w:shd w:val="clear" w:color="auto" w:fill="333333"/>
          </w:tcPr>
          <w:p>
            <w:pPr>
              <w:spacing w:after="0"/>
              <w:rPr>
                <w:sz w:val="14"/>
                <w:szCs w:val="14"/>
                <w:color w:val="auto"/>
              </w:rPr>
            </w:pPr>
          </w:p>
        </w:tc>
        <w:tc>
          <w:tcPr>
            <w:tcW w:w="280" w:type="dxa"/>
            <w:vAlign w:val="bottom"/>
            <w:shd w:val="clear" w:color="auto" w:fill="333333"/>
          </w:tcPr>
          <w:p>
            <w:pPr>
              <w:spacing w:after="0"/>
              <w:rPr>
                <w:sz w:val="14"/>
                <w:szCs w:val="14"/>
                <w:color w:val="auto"/>
              </w:rPr>
            </w:pPr>
          </w:p>
        </w:tc>
        <w:tc>
          <w:tcPr>
            <w:tcW w:w="1500" w:type="dxa"/>
            <w:vAlign w:val="bottom"/>
            <w:shd w:val="clear" w:color="auto" w:fill="333333"/>
          </w:tcPr>
          <w:p>
            <w:pPr>
              <w:spacing w:after="0"/>
              <w:rPr>
                <w:sz w:val="14"/>
                <w:szCs w:val="14"/>
                <w:color w:val="auto"/>
              </w:rPr>
            </w:pPr>
          </w:p>
        </w:tc>
        <w:tc>
          <w:tcPr>
            <w:tcW w:w="1180" w:type="dxa"/>
            <w:vAlign w:val="bottom"/>
            <w:shd w:val="clear" w:color="auto" w:fill="333333"/>
          </w:tcPr>
          <w:p>
            <w:pPr>
              <w:jc w:val="right"/>
              <w:ind w:right="30"/>
              <w:spacing w:after="0" w:line="162" w:lineRule="exact"/>
              <w:rPr>
                <w:sz w:val="20"/>
                <w:szCs w:val="20"/>
                <w:color w:val="auto"/>
              </w:rPr>
            </w:pPr>
            <w:r>
              <w:rPr>
                <w:rFonts w:ascii="Arial" w:cs="Arial" w:eastAsia="Arial" w:hAnsi="Arial"/>
                <w:sz w:val="15"/>
                <w:szCs w:val="15"/>
                <w:color w:val="FFFFFF"/>
              </w:rPr>
              <w:t>$ MILLION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6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spacing w:after="0"/>
              <w:rPr>
                <w:sz w:val="12"/>
                <w:szCs w:val="12"/>
                <w:color w:val="auto"/>
              </w:rPr>
            </w:pPr>
          </w:p>
        </w:tc>
        <w:tc>
          <w:tcPr>
            <w:tcW w:w="1480" w:type="dxa"/>
            <w:vAlign w:val="bottom"/>
            <w:tcBorders>
              <w:bottom w:val="single" w:sz="8" w:color="auto"/>
            </w:tcBorders>
          </w:tcPr>
          <w:p>
            <w:pPr>
              <w:spacing w:after="0"/>
              <w:rPr>
                <w:sz w:val="12"/>
                <w:szCs w:val="12"/>
                <w:color w:val="auto"/>
              </w:rPr>
            </w:pPr>
          </w:p>
        </w:tc>
        <w:tc>
          <w:tcPr>
            <w:tcW w:w="1380" w:type="dxa"/>
            <w:vAlign w:val="bottom"/>
            <w:tcBorders>
              <w:bottom w:val="single" w:sz="8" w:color="auto"/>
            </w:tcBorders>
            <w:shd w:val="clear" w:color="auto" w:fill="D8D8D8"/>
          </w:tcPr>
          <w:p>
            <w:pPr>
              <w:jc w:val="right"/>
              <w:ind w:right="370"/>
              <w:spacing w:after="0"/>
              <w:rPr>
                <w:sz w:val="20"/>
                <w:szCs w:val="20"/>
                <w:color w:val="auto"/>
              </w:rPr>
            </w:pPr>
            <w:r>
              <w:rPr>
                <w:rFonts w:ascii="Arial" w:cs="Arial" w:eastAsia="Arial" w:hAnsi="Arial"/>
                <w:sz w:val="13"/>
                <w:szCs w:val="13"/>
                <w:color w:val="auto"/>
              </w:rPr>
              <w:t>2014</w:t>
            </w:r>
          </w:p>
        </w:tc>
        <w:tc>
          <w:tcPr>
            <w:tcW w:w="280" w:type="dxa"/>
            <w:vAlign w:val="bottom"/>
            <w:tcBorders>
              <w:bottom w:val="single" w:sz="8" w:color="auto"/>
            </w:tcBorders>
          </w:tcPr>
          <w:p>
            <w:pPr>
              <w:spacing w:after="0"/>
              <w:rPr>
                <w:sz w:val="12"/>
                <w:szCs w:val="12"/>
                <w:color w:val="auto"/>
              </w:rPr>
            </w:pPr>
          </w:p>
        </w:tc>
        <w:tc>
          <w:tcPr>
            <w:tcW w:w="1500" w:type="dxa"/>
            <w:vAlign w:val="bottom"/>
            <w:tcBorders>
              <w:bottom w:val="single" w:sz="8" w:color="auto"/>
            </w:tcBorders>
          </w:tcPr>
          <w:p>
            <w:pPr>
              <w:jc w:val="right"/>
              <w:ind w:right="291"/>
              <w:spacing w:after="0"/>
              <w:rPr>
                <w:sz w:val="20"/>
                <w:szCs w:val="20"/>
                <w:color w:val="auto"/>
              </w:rPr>
            </w:pPr>
            <w:r>
              <w:rPr>
                <w:rFonts w:ascii="Arial" w:cs="Arial" w:eastAsia="Arial" w:hAnsi="Arial"/>
                <w:sz w:val="13"/>
                <w:szCs w:val="13"/>
                <w:color w:val="auto"/>
              </w:rPr>
              <w:t>2013</w:t>
            </w:r>
          </w:p>
        </w:tc>
        <w:tc>
          <w:tcPr>
            <w:tcW w:w="1180" w:type="dxa"/>
            <w:vAlign w:val="bottom"/>
            <w:tcBorders>
              <w:bottom w:val="single" w:sz="8" w:color="auto"/>
            </w:tcBorders>
          </w:tcPr>
          <w:p>
            <w:pPr>
              <w:jc w:val="right"/>
              <w:ind w:right="370"/>
              <w:spacing w:after="0"/>
              <w:rPr>
                <w:sz w:val="20"/>
                <w:szCs w:val="20"/>
                <w:color w:val="auto"/>
              </w:rPr>
            </w:pPr>
            <w:r>
              <w:rPr>
                <w:rFonts w:ascii="Arial" w:cs="Arial" w:eastAsia="Arial" w:hAnsi="Arial"/>
                <w:sz w:val="13"/>
                <w:szCs w:val="13"/>
                <w:color w:val="auto"/>
              </w:rPr>
              <w:t>2012</w:t>
            </w:r>
          </w:p>
        </w:tc>
        <w:tc>
          <w:tcPr>
            <w:tcW w:w="0" w:type="dxa"/>
            <w:vAlign w:val="bottom"/>
          </w:tcPr>
          <w:p>
            <w:pPr>
              <w:spacing w:after="0"/>
              <w:rPr>
                <w:sz w:val="1"/>
                <w:szCs w:val="1"/>
                <w:color w:val="auto"/>
              </w:rPr>
            </w:pPr>
          </w:p>
        </w:tc>
      </w:tr>
      <w:tr>
        <w:trPr>
          <w:trHeight w:val="156"/>
        </w:trPr>
        <w:tc>
          <w:tcPr>
            <w:tcW w:w="4480" w:type="dxa"/>
            <w:vAlign w:val="bottom"/>
            <w:gridSpan w:val="2"/>
          </w:tcPr>
          <w:p>
            <w:pPr>
              <w:spacing w:after="0" w:line="155" w:lineRule="exact"/>
              <w:rPr>
                <w:sz w:val="20"/>
                <w:szCs w:val="20"/>
                <w:color w:val="auto"/>
              </w:rPr>
            </w:pPr>
            <w:r>
              <w:rPr>
                <w:rFonts w:ascii="Arial" w:cs="Arial" w:eastAsia="Arial" w:hAnsi="Arial"/>
                <w:sz w:val="14"/>
                <w:szCs w:val="14"/>
                <w:color w:val="auto"/>
              </w:rPr>
              <w:t>Interest income</w:t>
            </w:r>
          </w:p>
        </w:tc>
        <w:tc>
          <w:tcPr>
            <w:tcW w:w="112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1380" w:type="dxa"/>
            <w:vAlign w:val="bottom"/>
            <w:shd w:val="clear" w:color="auto" w:fill="D8D8D8"/>
          </w:tcPr>
          <w:p>
            <w:pPr>
              <w:jc w:val="right"/>
              <w:ind w:right="370"/>
              <w:spacing w:after="0" w:line="155" w:lineRule="exact"/>
              <w:rPr>
                <w:sz w:val="20"/>
                <w:szCs w:val="20"/>
                <w:color w:val="auto"/>
              </w:rPr>
            </w:pPr>
            <w:r>
              <w:rPr>
                <w:rFonts w:ascii="Arial" w:cs="Arial" w:eastAsia="Arial" w:hAnsi="Arial"/>
                <w:sz w:val="14"/>
                <w:szCs w:val="14"/>
                <w:color w:val="auto"/>
              </w:rPr>
              <w:t>206</w:t>
            </w:r>
          </w:p>
        </w:tc>
        <w:tc>
          <w:tcPr>
            <w:tcW w:w="280" w:type="dxa"/>
            <w:vAlign w:val="bottom"/>
          </w:tcPr>
          <w:p>
            <w:pPr>
              <w:spacing w:after="0"/>
              <w:rPr>
                <w:sz w:val="13"/>
                <w:szCs w:val="13"/>
                <w:color w:val="auto"/>
              </w:rPr>
            </w:pPr>
          </w:p>
        </w:tc>
        <w:tc>
          <w:tcPr>
            <w:tcW w:w="1500" w:type="dxa"/>
            <w:vAlign w:val="bottom"/>
          </w:tcPr>
          <w:p>
            <w:pPr>
              <w:jc w:val="right"/>
              <w:ind w:right="291"/>
              <w:spacing w:after="0" w:line="155" w:lineRule="exact"/>
              <w:rPr>
                <w:sz w:val="20"/>
                <w:szCs w:val="20"/>
                <w:color w:val="auto"/>
              </w:rPr>
            </w:pPr>
            <w:r>
              <w:rPr>
                <w:rFonts w:ascii="Arial" w:cs="Arial" w:eastAsia="Arial" w:hAnsi="Arial"/>
                <w:sz w:val="14"/>
                <w:szCs w:val="14"/>
                <w:color w:val="auto"/>
              </w:rPr>
              <w:t>194</w:t>
            </w:r>
          </w:p>
        </w:tc>
        <w:tc>
          <w:tcPr>
            <w:tcW w:w="1180" w:type="dxa"/>
            <w:vAlign w:val="bottom"/>
          </w:tcPr>
          <w:p>
            <w:pPr>
              <w:jc w:val="right"/>
              <w:ind w:right="370"/>
              <w:spacing w:after="0" w:line="155" w:lineRule="exact"/>
              <w:rPr>
                <w:sz w:val="20"/>
                <w:szCs w:val="20"/>
                <w:color w:val="auto"/>
              </w:rPr>
            </w:pPr>
            <w:r>
              <w:rPr>
                <w:rFonts w:ascii="Arial" w:cs="Arial" w:eastAsia="Arial" w:hAnsi="Arial"/>
                <w:sz w:val="14"/>
                <w:szCs w:val="14"/>
                <w:color w:val="auto"/>
              </w:rPr>
              <w:t>214</w:t>
            </w:r>
          </w:p>
        </w:tc>
        <w:tc>
          <w:tcPr>
            <w:tcW w:w="0" w:type="dxa"/>
            <w:vAlign w:val="bottom"/>
          </w:tcPr>
          <w:p>
            <w:pPr>
              <w:spacing w:after="0"/>
              <w:rPr>
                <w:sz w:val="1"/>
                <w:szCs w:val="1"/>
                <w:color w:val="auto"/>
              </w:rPr>
            </w:pPr>
          </w:p>
        </w:tc>
      </w:tr>
      <w:tr>
        <w:trPr>
          <w:trHeight w:val="162"/>
        </w:trPr>
        <w:tc>
          <w:tcPr>
            <w:tcW w:w="4480" w:type="dxa"/>
            <w:vAlign w:val="bottom"/>
            <w:gridSpan w:val="2"/>
          </w:tcPr>
          <w:p>
            <w:pPr>
              <w:spacing w:after="0"/>
              <w:rPr>
                <w:sz w:val="20"/>
                <w:szCs w:val="20"/>
                <w:color w:val="auto"/>
              </w:rPr>
            </w:pPr>
            <w:r>
              <w:rPr>
                <w:rFonts w:ascii="Arial" w:cs="Arial" w:eastAsia="Arial" w:hAnsi="Arial"/>
                <w:sz w:val="14"/>
                <w:szCs w:val="14"/>
                <w:color w:val="auto"/>
              </w:rPr>
              <w:t>Dividend income (from investments in securities)</w:t>
            </w:r>
          </w:p>
        </w:tc>
        <w:tc>
          <w:tcPr>
            <w:tcW w:w="11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380" w:type="dxa"/>
            <w:vAlign w:val="bottom"/>
            <w:shd w:val="clear" w:color="auto" w:fill="D8D8D8"/>
          </w:tcPr>
          <w:p>
            <w:pPr>
              <w:jc w:val="right"/>
              <w:ind w:right="370"/>
              <w:spacing w:after="0"/>
              <w:rPr>
                <w:sz w:val="20"/>
                <w:szCs w:val="20"/>
                <w:color w:val="auto"/>
              </w:rPr>
            </w:pPr>
            <w:r>
              <w:rPr>
                <w:rFonts w:ascii="Arial" w:cs="Arial" w:eastAsia="Arial" w:hAnsi="Arial"/>
                <w:sz w:val="14"/>
                <w:szCs w:val="14"/>
                <w:color w:val="auto"/>
              </w:rPr>
              <w:t>888</w:t>
            </w:r>
          </w:p>
        </w:tc>
        <w:tc>
          <w:tcPr>
            <w:tcW w:w="280" w:type="dxa"/>
            <w:vAlign w:val="bottom"/>
          </w:tcPr>
          <w:p>
            <w:pPr>
              <w:spacing w:after="0"/>
              <w:rPr>
                <w:sz w:val="14"/>
                <w:szCs w:val="14"/>
                <w:color w:val="auto"/>
              </w:rPr>
            </w:pPr>
          </w:p>
        </w:tc>
        <w:tc>
          <w:tcPr>
            <w:tcW w:w="1500" w:type="dxa"/>
            <w:vAlign w:val="bottom"/>
          </w:tcPr>
          <w:p>
            <w:pPr>
              <w:jc w:val="right"/>
              <w:ind w:right="291"/>
              <w:spacing w:after="0"/>
              <w:rPr>
                <w:sz w:val="20"/>
                <w:szCs w:val="20"/>
                <w:color w:val="auto"/>
              </w:rPr>
            </w:pPr>
            <w:r>
              <w:rPr>
                <w:rFonts w:ascii="Arial" w:cs="Arial" w:eastAsia="Arial" w:hAnsi="Arial"/>
                <w:sz w:val="14"/>
                <w:szCs w:val="14"/>
                <w:color w:val="auto"/>
              </w:rPr>
              <w:t>615</w:t>
            </w:r>
          </w:p>
        </w:tc>
        <w:tc>
          <w:tcPr>
            <w:tcW w:w="1180" w:type="dxa"/>
            <w:vAlign w:val="bottom"/>
          </w:tcPr>
          <w:p>
            <w:pPr>
              <w:jc w:val="right"/>
              <w:ind w:right="370"/>
              <w:spacing w:after="0"/>
              <w:rPr>
                <w:sz w:val="20"/>
                <w:szCs w:val="20"/>
                <w:color w:val="auto"/>
              </w:rPr>
            </w:pPr>
            <w:r>
              <w:rPr>
                <w:rFonts w:ascii="Arial" w:cs="Arial" w:eastAsia="Arial" w:hAnsi="Arial"/>
                <w:sz w:val="14"/>
                <w:szCs w:val="14"/>
                <w:color w:val="auto"/>
              </w:rPr>
              <w:t>799</w:t>
            </w:r>
          </w:p>
        </w:tc>
        <w:tc>
          <w:tcPr>
            <w:tcW w:w="0" w:type="dxa"/>
            <w:vAlign w:val="bottom"/>
          </w:tcPr>
          <w:p>
            <w:pPr>
              <w:spacing w:after="0"/>
              <w:rPr>
                <w:sz w:val="1"/>
                <w:szCs w:val="1"/>
                <w:color w:val="auto"/>
              </w:rPr>
            </w:pPr>
          </w:p>
        </w:tc>
      </w:tr>
      <w:tr>
        <w:trPr>
          <w:trHeight w:val="167"/>
        </w:trPr>
        <w:tc>
          <w:tcPr>
            <w:tcW w:w="4480" w:type="dxa"/>
            <w:vAlign w:val="bottom"/>
            <w:gridSpan w:val="2"/>
          </w:tcPr>
          <w:p>
            <w:pPr>
              <w:spacing w:after="0"/>
              <w:rPr>
                <w:sz w:val="20"/>
                <w:szCs w:val="20"/>
                <w:color w:val="auto"/>
              </w:rPr>
            </w:pPr>
            <w:r>
              <w:rPr>
                <w:rFonts w:ascii="Arial" w:cs="Arial" w:eastAsia="Arial" w:hAnsi="Arial"/>
                <w:sz w:val="14"/>
                <w:szCs w:val="14"/>
                <w:color w:val="auto"/>
              </w:rPr>
              <w:t>Net gains on sale of non-current assets and businesses</w:t>
            </w:r>
          </w:p>
        </w:tc>
        <w:tc>
          <w:tcPr>
            <w:tcW w:w="11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380" w:type="dxa"/>
            <w:vAlign w:val="bottom"/>
            <w:shd w:val="clear" w:color="auto" w:fill="D8D8D8"/>
          </w:tcPr>
          <w:p>
            <w:pPr>
              <w:jc w:val="right"/>
              <w:ind w:right="370"/>
              <w:spacing w:after="0"/>
              <w:rPr>
                <w:sz w:val="20"/>
                <w:szCs w:val="20"/>
                <w:color w:val="auto"/>
              </w:rPr>
            </w:pPr>
            <w:r>
              <w:rPr>
                <w:rFonts w:ascii="Arial" w:cs="Arial" w:eastAsia="Arial" w:hAnsi="Arial"/>
                <w:sz w:val="14"/>
                <w:szCs w:val="14"/>
                <w:color w:val="auto"/>
              </w:rPr>
              <w:t>3,212</w:t>
            </w:r>
          </w:p>
        </w:tc>
        <w:tc>
          <w:tcPr>
            <w:tcW w:w="280" w:type="dxa"/>
            <w:vAlign w:val="bottom"/>
          </w:tcPr>
          <w:p>
            <w:pPr>
              <w:spacing w:after="0"/>
              <w:rPr>
                <w:sz w:val="14"/>
                <w:szCs w:val="14"/>
                <w:color w:val="auto"/>
              </w:rPr>
            </w:pPr>
          </w:p>
        </w:tc>
        <w:tc>
          <w:tcPr>
            <w:tcW w:w="1500" w:type="dxa"/>
            <w:vAlign w:val="bottom"/>
          </w:tcPr>
          <w:p>
            <w:pPr>
              <w:jc w:val="right"/>
              <w:ind w:right="291"/>
              <w:spacing w:after="0"/>
              <w:rPr>
                <w:sz w:val="20"/>
                <w:szCs w:val="20"/>
                <w:color w:val="auto"/>
              </w:rPr>
            </w:pPr>
            <w:r>
              <w:rPr>
                <w:rFonts w:ascii="Arial" w:cs="Arial" w:eastAsia="Arial" w:hAnsi="Arial"/>
                <w:sz w:val="14"/>
                <w:szCs w:val="14"/>
                <w:color w:val="auto"/>
              </w:rPr>
              <w:t>382</w:t>
            </w:r>
          </w:p>
        </w:tc>
        <w:tc>
          <w:tcPr>
            <w:tcW w:w="1180" w:type="dxa"/>
            <w:vAlign w:val="bottom"/>
          </w:tcPr>
          <w:p>
            <w:pPr>
              <w:jc w:val="right"/>
              <w:ind w:right="370"/>
              <w:spacing w:after="0"/>
              <w:rPr>
                <w:sz w:val="20"/>
                <w:szCs w:val="20"/>
                <w:color w:val="auto"/>
              </w:rPr>
            </w:pPr>
            <w:r>
              <w:rPr>
                <w:rFonts w:ascii="Arial" w:cs="Arial" w:eastAsia="Arial" w:hAnsi="Arial"/>
                <w:sz w:val="14"/>
                <w:szCs w:val="14"/>
                <w:color w:val="auto"/>
              </w:rPr>
              <w:t>4,228</w:t>
            </w:r>
          </w:p>
        </w:tc>
        <w:tc>
          <w:tcPr>
            <w:tcW w:w="0" w:type="dxa"/>
            <w:vAlign w:val="bottom"/>
          </w:tcPr>
          <w:p>
            <w:pPr>
              <w:spacing w:after="0"/>
              <w:rPr>
                <w:sz w:val="1"/>
                <w:szCs w:val="1"/>
                <w:color w:val="auto"/>
              </w:rPr>
            </w:pPr>
          </w:p>
        </w:tc>
      </w:tr>
      <w:tr>
        <w:trPr>
          <w:trHeight w:val="162"/>
        </w:trPr>
        <w:tc>
          <w:tcPr>
            <w:tcW w:w="4480" w:type="dxa"/>
            <w:vAlign w:val="bottom"/>
            <w:gridSpan w:val="2"/>
          </w:tcPr>
          <w:p>
            <w:pPr>
              <w:spacing w:after="0"/>
              <w:rPr>
                <w:sz w:val="20"/>
                <w:szCs w:val="20"/>
                <w:color w:val="auto"/>
              </w:rPr>
            </w:pPr>
            <w:r>
              <w:rPr>
                <w:rFonts w:ascii="Arial" w:cs="Arial" w:eastAsia="Arial" w:hAnsi="Arial"/>
                <w:sz w:val="14"/>
                <w:szCs w:val="14"/>
                <w:color w:val="auto"/>
              </w:rPr>
              <w:t>Foreign exchange (losses)/gains on financing activities</w:t>
            </w:r>
          </w:p>
        </w:tc>
        <w:tc>
          <w:tcPr>
            <w:tcW w:w="11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380" w:type="dxa"/>
            <w:vAlign w:val="bottom"/>
            <w:shd w:val="clear" w:color="auto" w:fill="D8D8D8"/>
          </w:tcPr>
          <w:p>
            <w:pPr>
              <w:jc w:val="right"/>
              <w:ind w:right="370"/>
              <w:spacing w:after="0"/>
              <w:rPr>
                <w:sz w:val="20"/>
                <w:szCs w:val="20"/>
                <w:color w:val="auto"/>
              </w:rPr>
            </w:pPr>
            <w:r>
              <w:rPr>
                <w:rFonts w:ascii="Arial" w:cs="Arial" w:eastAsia="Arial" w:hAnsi="Arial"/>
                <w:sz w:val="14"/>
                <w:szCs w:val="14"/>
                <w:color w:val="auto"/>
              </w:rPr>
              <w:t>(195)</w:t>
            </w:r>
          </w:p>
        </w:tc>
        <w:tc>
          <w:tcPr>
            <w:tcW w:w="280" w:type="dxa"/>
            <w:vAlign w:val="bottom"/>
          </w:tcPr>
          <w:p>
            <w:pPr>
              <w:spacing w:after="0"/>
              <w:rPr>
                <w:sz w:val="14"/>
                <w:szCs w:val="14"/>
                <w:color w:val="auto"/>
              </w:rPr>
            </w:pPr>
          </w:p>
        </w:tc>
        <w:tc>
          <w:tcPr>
            <w:tcW w:w="1500" w:type="dxa"/>
            <w:vAlign w:val="bottom"/>
          </w:tcPr>
          <w:p>
            <w:pPr>
              <w:jc w:val="right"/>
              <w:ind w:right="251"/>
              <w:spacing w:after="0"/>
              <w:rPr>
                <w:sz w:val="20"/>
                <w:szCs w:val="20"/>
                <w:color w:val="auto"/>
              </w:rPr>
            </w:pPr>
            <w:r>
              <w:rPr>
                <w:rFonts w:ascii="Arial" w:cs="Arial" w:eastAsia="Arial" w:hAnsi="Arial"/>
                <w:sz w:val="14"/>
                <w:szCs w:val="14"/>
                <w:color w:val="auto"/>
              </w:rPr>
              <w:t>(184)</w:t>
            </w:r>
          </w:p>
        </w:tc>
        <w:tc>
          <w:tcPr>
            <w:tcW w:w="1180" w:type="dxa"/>
            <w:vAlign w:val="bottom"/>
          </w:tcPr>
          <w:p>
            <w:pPr>
              <w:jc w:val="right"/>
              <w:ind w:right="370"/>
              <w:spacing w:after="0"/>
              <w:rPr>
                <w:sz w:val="20"/>
                <w:szCs w:val="20"/>
                <w:color w:val="auto"/>
              </w:rPr>
            </w:pPr>
            <w:r>
              <w:rPr>
                <w:rFonts w:ascii="Arial" w:cs="Arial" w:eastAsia="Arial" w:hAnsi="Arial"/>
                <w:sz w:val="14"/>
                <w:szCs w:val="14"/>
                <w:color w:val="auto"/>
              </w:rPr>
              <w:t>194</w:t>
            </w:r>
          </w:p>
        </w:tc>
        <w:tc>
          <w:tcPr>
            <w:tcW w:w="0" w:type="dxa"/>
            <w:vAlign w:val="bottom"/>
          </w:tcPr>
          <w:p>
            <w:pPr>
              <w:spacing w:after="0"/>
              <w:rPr>
                <w:sz w:val="1"/>
                <w:szCs w:val="1"/>
                <w:color w:val="auto"/>
              </w:rPr>
            </w:pPr>
          </w:p>
        </w:tc>
      </w:tr>
      <w:tr>
        <w:trPr>
          <w:trHeight w:val="157"/>
        </w:trPr>
        <w:tc>
          <w:tcPr>
            <w:tcW w:w="4480" w:type="dxa"/>
            <w:vAlign w:val="bottom"/>
            <w:tcBorders>
              <w:bottom w:val="single" w:sz="8" w:color="auto"/>
            </w:tcBorders>
            <w:gridSpan w:val="2"/>
          </w:tcPr>
          <w:p>
            <w:pPr>
              <w:spacing w:after="0" w:line="157" w:lineRule="exact"/>
              <w:rPr>
                <w:sz w:val="20"/>
                <w:szCs w:val="20"/>
                <w:color w:val="auto"/>
              </w:rPr>
            </w:pPr>
            <w:r>
              <w:rPr>
                <w:rFonts w:ascii="Arial" w:cs="Arial" w:eastAsia="Arial" w:hAnsi="Arial"/>
                <w:sz w:val="14"/>
                <w:szCs w:val="14"/>
                <w:color w:val="auto"/>
              </w:rPr>
              <w:t>Other</w:t>
            </w:r>
          </w:p>
        </w:tc>
        <w:tc>
          <w:tcPr>
            <w:tcW w:w="1120" w:type="dxa"/>
            <w:vAlign w:val="bottom"/>
            <w:tcBorders>
              <w:bottom w:val="single" w:sz="8" w:color="auto"/>
            </w:tcBorders>
          </w:tcPr>
          <w:p>
            <w:pPr>
              <w:spacing w:after="0"/>
              <w:rPr>
                <w:sz w:val="13"/>
                <w:szCs w:val="13"/>
                <w:color w:val="auto"/>
              </w:rPr>
            </w:pPr>
          </w:p>
        </w:tc>
        <w:tc>
          <w:tcPr>
            <w:tcW w:w="1480" w:type="dxa"/>
            <w:vAlign w:val="bottom"/>
            <w:tcBorders>
              <w:bottom w:val="single" w:sz="8" w:color="auto"/>
            </w:tcBorders>
          </w:tcPr>
          <w:p>
            <w:pPr>
              <w:spacing w:after="0"/>
              <w:rPr>
                <w:sz w:val="13"/>
                <w:szCs w:val="13"/>
                <w:color w:val="auto"/>
              </w:rPr>
            </w:pPr>
          </w:p>
        </w:tc>
        <w:tc>
          <w:tcPr>
            <w:tcW w:w="1380" w:type="dxa"/>
            <w:vAlign w:val="bottom"/>
            <w:tcBorders>
              <w:bottom w:val="single" w:sz="8" w:color="auto"/>
            </w:tcBorders>
            <w:shd w:val="clear" w:color="auto" w:fill="D8D8D8"/>
          </w:tcPr>
          <w:p>
            <w:pPr>
              <w:jc w:val="right"/>
              <w:ind w:right="370"/>
              <w:spacing w:after="0" w:line="157" w:lineRule="exact"/>
              <w:rPr>
                <w:sz w:val="20"/>
                <w:szCs w:val="20"/>
                <w:color w:val="auto"/>
              </w:rPr>
            </w:pPr>
            <w:r>
              <w:rPr>
                <w:rFonts w:ascii="Arial" w:cs="Arial" w:eastAsia="Arial" w:hAnsi="Arial"/>
                <w:sz w:val="14"/>
                <w:szCs w:val="14"/>
                <w:color w:val="auto"/>
              </w:rPr>
              <w:t>12</w:t>
            </w:r>
          </w:p>
        </w:tc>
        <w:tc>
          <w:tcPr>
            <w:tcW w:w="280" w:type="dxa"/>
            <w:vAlign w:val="bottom"/>
            <w:tcBorders>
              <w:bottom w:val="single" w:sz="8" w:color="auto"/>
            </w:tcBorders>
          </w:tcPr>
          <w:p>
            <w:pPr>
              <w:spacing w:after="0"/>
              <w:rPr>
                <w:sz w:val="13"/>
                <w:szCs w:val="13"/>
                <w:color w:val="auto"/>
              </w:rPr>
            </w:pPr>
          </w:p>
        </w:tc>
        <w:tc>
          <w:tcPr>
            <w:tcW w:w="1500" w:type="dxa"/>
            <w:vAlign w:val="bottom"/>
            <w:tcBorders>
              <w:bottom w:val="single" w:sz="8" w:color="auto"/>
            </w:tcBorders>
          </w:tcPr>
          <w:p>
            <w:pPr>
              <w:jc w:val="right"/>
              <w:ind w:right="291"/>
              <w:spacing w:after="0" w:line="157" w:lineRule="exact"/>
              <w:rPr>
                <w:sz w:val="20"/>
                <w:szCs w:val="20"/>
                <w:color w:val="auto"/>
              </w:rPr>
            </w:pPr>
            <w:r>
              <w:rPr>
                <w:rFonts w:ascii="Arial" w:cs="Arial" w:eastAsia="Arial" w:hAnsi="Arial"/>
                <w:sz w:val="14"/>
                <w:szCs w:val="14"/>
                <w:color w:val="auto"/>
              </w:rPr>
              <w:t>82</w:t>
            </w:r>
          </w:p>
        </w:tc>
        <w:tc>
          <w:tcPr>
            <w:tcW w:w="1180" w:type="dxa"/>
            <w:vAlign w:val="bottom"/>
            <w:tcBorders>
              <w:bottom w:val="single" w:sz="8" w:color="auto"/>
            </w:tcBorders>
          </w:tcPr>
          <w:p>
            <w:pPr>
              <w:jc w:val="right"/>
              <w:ind w:right="370"/>
              <w:spacing w:after="0" w:line="157" w:lineRule="exact"/>
              <w:rPr>
                <w:sz w:val="20"/>
                <w:szCs w:val="20"/>
                <w:color w:val="auto"/>
              </w:rPr>
            </w:pPr>
            <w:r>
              <w:rPr>
                <w:rFonts w:ascii="Arial" w:cs="Arial" w:eastAsia="Arial" w:hAnsi="Arial"/>
                <w:sz w:val="14"/>
                <w:szCs w:val="14"/>
                <w:color w:val="auto"/>
              </w:rPr>
              <w:t>164</w:t>
            </w:r>
          </w:p>
        </w:tc>
        <w:tc>
          <w:tcPr>
            <w:tcW w:w="0" w:type="dxa"/>
            <w:vAlign w:val="bottom"/>
          </w:tcPr>
          <w:p>
            <w:pPr>
              <w:spacing w:after="0"/>
              <w:rPr>
                <w:sz w:val="1"/>
                <w:szCs w:val="1"/>
                <w:color w:val="auto"/>
              </w:rPr>
            </w:pPr>
          </w:p>
        </w:tc>
      </w:tr>
      <w:tr>
        <w:trPr>
          <w:trHeight w:val="156"/>
        </w:trPr>
        <w:tc>
          <w:tcPr>
            <w:tcW w:w="4480" w:type="dxa"/>
            <w:vAlign w:val="bottom"/>
            <w:gridSpan w:val="2"/>
          </w:tcPr>
          <w:p>
            <w:pPr>
              <w:spacing w:after="0" w:line="155" w:lineRule="exact"/>
              <w:rPr>
                <w:sz w:val="20"/>
                <w:szCs w:val="20"/>
                <w:color w:val="auto"/>
              </w:rPr>
            </w:pPr>
            <w:r>
              <w:rPr>
                <w:rFonts w:ascii="Arial" w:cs="Arial" w:eastAsia="Arial" w:hAnsi="Arial"/>
                <w:sz w:val="14"/>
                <w:szCs w:val="14"/>
                <w:color w:val="auto"/>
              </w:rPr>
              <w:t>Total</w:t>
            </w:r>
          </w:p>
        </w:tc>
        <w:tc>
          <w:tcPr>
            <w:tcW w:w="112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1380" w:type="dxa"/>
            <w:vAlign w:val="bottom"/>
            <w:shd w:val="clear" w:color="auto" w:fill="D8D8D8"/>
          </w:tcPr>
          <w:p>
            <w:pPr>
              <w:jc w:val="right"/>
              <w:ind w:right="370"/>
              <w:spacing w:after="0" w:line="155" w:lineRule="exact"/>
              <w:rPr>
                <w:sz w:val="20"/>
                <w:szCs w:val="20"/>
                <w:color w:val="auto"/>
              </w:rPr>
            </w:pPr>
            <w:r>
              <w:rPr>
                <w:rFonts w:ascii="Arial" w:cs="Arial" w:eastAsia="Arial" w:hAnsi="Arial"/>
                <w:sz w:val="14"/>
                <w:szCs w:val="14"/>
                <w:color w:val="auto"/>
              </w:rPr>
              <w:t>4,123</w:t>
            </w:r>
          </w:p>
        </w:tc>
        <w:tc>
          <w:tcPr>
            <w:tcW w:w="280" w:type="dxa"/>
            <w:vAlign w:val="bottom"/>
          </w:tcPr>
          <w:p>
            <w:pPr>
              <w:spacing w:after="0"/>
              <w:rPr>
                <w:sz w:val="13"/>
                <w:szCs w:val="13"/>
                <w:color w:val="auto"/>
              </w:rPr>
            </w:pPr>
          </w:p>
        </w:tc>
        <w:tc>
          <w:tcPr>
            <w:tcW w:w="1500" w:type="dxa"/>
            <w:vAlign w:val="bottom"/>
          </w:tcPr>
          <w:p>
            <w:pPr>
              <w:jc w:val="right"/>
              <w:ind w:right="291"/>
              <w:spacing w:after="0" w:line="155" w:lineRule="exact"/>
              <w:rPr>
                <w:sz w:val="20"/>
                <w:szCs w:val="20"/>
                <w:color w:val="auto"/>
              </w:rPr>
            </w:pPr>
            <w:r>
              <w:rPr>
                <w:rFonts w:ascii="Arial" w:cs="Arial" w:eastAsia="Arial" w:hAnsi="Arial"/>
                <w:sz w:val="14"/>
                <w:szCs w:val="14"/>
                <w:color w:val="auto"/>
              </w:rPr>
              <w:t>1,089</w:t>
            </w:r>
          </w:p>
        </w:tc>
        <w:tc>
          <w:tcPr>
            <w:tcW w:w="1180" w:type="dxa"/>
            <w:vAlign w:val="bottom"/>
          </w:tcPr>
          <w:p>
            <w:pPr>
              <w:jc w:val="right"/>
              <w:ind w:right="370"/>
              <w:spacing w:after="0" w:line="155" w:lineRule="exact"/>
              <w:rPr>
                <w:sz w:val="20"/>
                <w:szCs w:val="20"/>
                <w:color w:val="auto"/>
              </w:rPr>
            </w:pPr>
            <w:r>
              <w:rPr>
                <w:rFonts w:ascii="Arial" w:cs="Arial" w:eastAsia="Arial" w:hAnsi="Arial"/>
                <w:sz w:val="14"/>
                <w:szCs w:val="14"/>
                <w:color w:val="auto"/>
              </w:rPr>
              <w:t>5,599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6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0" w:lineRule="exact"/>
        <w:rPr>
          <w:sz w:val="20"/>
          <w:szCs w:val="20"/>
          <w:color w:val="auto"/>
        </w:rPr>
      </w:pPr>
    </w:p>
    <w:p>
      <w:pPr>
        <w:spacing w:after="0"/>
        <w:rPr>
          <w:sz w:val="20"/>
          <w:szCs w:val="20"/>
          <w:color w:val="auto"/>
        </w:rPr>
      </w:pPr>
      <w:r>
        <w:rPr>
          <w:rFonts w:ascii="Arial" w:cs="Arial" w:eastAsia="Arial" w:hAnsi="Arial"/>
          <w:sz w:val="14"/>
          <w:szCs w:val="14"/>
          <w:color w:val="auto"/>
        </w:rPr>
        <w:t>Net gains on sale of non-current assets and businesses in 2014 and 2012 arose mainly in respect of Upstream interests in Australia, Nigeria and the USA.</w:t>
      </w:r>
    </w:p>
    <w:p>
      <w:pPr>
        <w:spacing w:after="0" w:line="177" w:lineRule="exact"/>
        <w:rPr>
          <w:sz w:val="20"/>
          <w:szCs w:val="20"/>
          <w:color w:val="auto"/>
        </w:rPr>
      </w:pPr>
    </w:p>
    <w:p>
      <w:pPr>
        <w:spacing w:after="0"/>
        <w:rPr>
          <w:sz w:val="20"/>
          <w:szCs w:val="20"/>
          <w:color w:val="auto"/>
        </w:rPr>
      </w:pPr>
      <w:r>
        <w:rPr>
          <w:rFonts w:ascii="Arial" w:cs="Arial" w:eastAsia="Arial" w:hAnsi="Arial"/>
          <w:sz w:val="14"/>
          <w:szCs w:val="14"/>
          <w:color w:val="auto"/>
        </w:rPr>
        <w:t>Other net foreign exchange losses of $122 million (2013: $17 million gains; 2012: $67 million losses) are included in purchases.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6 INTEREST EXPENSE</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6960" w:type="dxa"/>
            <w:vAlign w:val="bottom"/>
            <w:shd w:val="clear" w:color="auto" w:fill="333333"/>
          </w:tcPr>
          <w:p>
            <w:pPr>
              <w:spacing w:after="0"/>
              <w:rPr>
                <w:sz w:val="15"/>
                <w:szCs w:val="15"/>
                <w:color w:val="auto"/>
              </w:rPr>
            </w:pPr>
          </w:p>
        </w:tc>
        <w:tc>
          <w:tcPr>
            <w:tcW w:w="1280" w:type="dxa"/>
            <w:vAlign w:val="bottom"/>
            <w:shd w:val="clear" w:color="auto" w:fill="333333"/>
          </w:tcPr>
          <w:p>
            <w:pPr>
              <w:spacing w:after="0"/>
              <w:rPr>
                <w:sz w:val="15"/>
                <w:szCs w:val="15"/>
                <w:color w:val="auto"/>
              </w:rPr>
            </w:pPr>
          </w:p>
        </w:tc>
        <w:tc>
          <w:tcPr>
            <w:tcW w:w="1660" w:type="dxa"/>
            <w:vAlign w:val="bottom"/>
            <w:shd w:val="clear" w:color="auto" w:fill="333333"/>
          </w:tcPr>
          <w:p>
            <w:pPr>
              <w:spacing w:after="0"/>
              <w:rPr>
                <w:sz w:val="15"/>
                <w:szCs w:val="15"/>
                <w:color w:val="auto"/>
              </w:rPr>
            </w:pPr>
          </w:p>
        </w:tc>
        <w:tc>
          <w:tcPr>
            <w:tcW w:w="1520" w:type="dxa"/>
            <w:vAlign w:val="bottom"/>
            <w:shd w:val="clear" w:color="auto" w:fill="333333"/>
          </w:tcPr>
          <w:p>
            <w:pPr>
              <w:jc w:val="right"/>
              <w:ind w:right="369"/>
              <w:spacing w:after="0"/>
              <w:rPr>
                <w:sz w:val="20"/>
                <w:szCs w:val="20"/>
                <w:color w:val="auto"/>
              </w:rPr>
            </w:pPr>
            <w:r>
              <w:rPr>
                <w:rFonts w:ascii="Arial" w:cs="Arial" w:eastAsia="Arial" w:hAnsi="Arial"/>
                <w:sz w:val="15"/>
                <w:szCs w:val="15"/>
                <w:color w:val="FFFFFF"/>
              </w:rPr>
              <w:t>$ MILLION</w:t>
            </w:r>
          </w:p>
        </w:tc>
      </w:tr>
      <w:tr>
        <w:trPr>
          <w:trHeight w:val="149"/>
        </w:trPr>
        <w:tc>
          <w:tcPr>
            <w:tcW w:w="6960" w:type="dxa"/>
            <w:vAlign w:val="bottom"/>
            <w:tcBorders>
              <w:bottom w:val="single" w:sz="8" w:color="auto"/>
            </w:tcBorders>
          </w:tcPr>
          <w:p>
            <w:pPr>
              <w:spacing w:after="0"/>
              <w:rPr>
                <w:sz w:val="12"/>
                <w:szCs w:val="12"/>
                <w:color w:val="auto"/>
              </w:rPr>
            </w:pPr>
          </w:p>
        </w:tc>
        <w:tc>
          <w:tcPr>
            <w:tcW w:w="1280" w:type="dxa"/>
            <w:vAlign w:val="bottom"/>
            <w:tcBorders>
              <w:bottom w:val="single" w:sz="8" w:color="auto"/>
            </w:tcBorders>
            <w:shd w:val="clear" w:color="auto" w:fill="D8D8D8"/>
          </w:tcPr>
          <w:p>
            <w:pPr>
              <w:jc w:val="right"/>
              <w:ind w:right="390"/>
              <w:spacing w:after="0"/>
              <w:rPr>
                <w:sz w:val="20"/>
                <w:szCs w:val="20"/>
                <w:color w:val="auto"/>
              </w:rPr>
            </w:pPr>
            <w:r>
              <w:rPr>
                <w:rFonts w:ascii="Arial" w:cs="Arial" w:eastAsia="Arial" w:hAnsi="Arial"/>
                <w:sz w:val="13"/>
                <w:szCs w:val="13"/>
                <w:color w:val="auto"/>
              </w:rPr>
              <w:t>2014</w:t>
            </w:r>
          </w:p>
        </w:tc>
        <w:tc>
          <w:tcPr>
            <w:tcW w:w="1660" w:type="dxa"/>
            <w:vAlign w:val="bottom"/>
            <w:tcBorders>
              <w:bottom w:val="single" w:sz="8" w:color="auto"/>
            </w:tcBorders>
          </w:tcPr>
          <w:p>
            <w:pPr>
              <w:jc w:val="right"/>
              <w:ind w:right="310"/>
              <w:spacing w:after="0"/>
              <w:rPr>
                <w:sz w:val="20"/>
                <w:szCs w:val="20"/>
                <w:color w:val="auto"/>
              </w:rPr>
            </w:pPr>
            <w:r>
              <w:rPr>
                <w:rFonts w:ascii="Arial" w:cs="Arial" w:eastAsia="Arial" w:hAnsi="Arial"/>
                <w:sz w:val="13"/>
                <w:szCs w:val="13"/>
                <w:color w:val="auto"/>
              </w:rPr>
              <w:t>2013</w:t>
            </w:r>
          </w:p>
        </w:tc>
        <w:tc>
          <w:tcPr>
            <w:tcW w:w="1520" w:type="dxa"/>
            <w:vAlign w:val="bottom"/>
            <w:tcBorders>
              <w:bottom w:val="single" w:sz="8" w:color="auto"/>
            </w:tcBorders>
          </w:tcPr>
          <w:p>
            <w:pPr>
              <w:jc w:val="right"/>
              <w:ind w:right="369"/>
              <w:spacing w:after="0"/>
              <w:rPr>
                <w:sz w:val="20"/>
                <w:szCs w:val="20"/>
                <w:color w:val="auto"/>
              </w:rPr>
            </w:pPr>
            <w:r>
              <w:rPr>
                <w:rFonts w:ascii="Arial" w:cs="Arial" w:eastAsia="Arial" w:hAnsi="Arial"/>
                <w:sz w:val="13"/>
                <w:szCs w:val="13"/>
                <w:color w:val="auto"/>
              </w:rPr>
              <w:t>2012</w:t>
            </w:r>
          </w:p>
        </w:tc>
      </w:tr>
      <w:tr>
        <w:trPr>
          <w:trHeight w:val="156"/>
        </w:trPr>
        <w:tc>
          <w:tcPr>
            <w:tcW w:w="6960" w:type="dxa"/>
            <w:vAlign w:val="bottom"/>
          </w:tcPr>
          <w:p>
            <w:pPr>
              <w:spacing w:after="0" w:line="155" w:lineRule="exact"/>
              <w:rPr>
                <w:sz w:val="20"/>
                <w:szCs w:val="20"/>
                <w:color w:val="auto"/>
              </w:rPr>
            </w:pPr>
            <w:r>
              <w:rPr>
                <w:rFonts w:ascii="Arial" w:cs="Arial" w:eastAsia="Arial" w:hAnsi="Arial"/>
                <w:sz w:val="14"/>
                <w:szCs w:val="14"/>
                <w:color w:val="auto"/>
              </w:rPr>
              <w:t>Interest incurred and similar charges</w:t>
            </w:r>
          </w:p>
        </w:tc>
        <w:tc>
          <w:tcPr>
            <w:tcW w:w="1280" w:type="dxa"/>
            <w:vAlign w:val="bottom"/>
            <w:shd w:val="clear" w:color="auto" w:fill="D8D8D8"/>
          </w:tcPr>
          <w:p>
            <w:pPr>
              <w:jc w:val="right"/>
              <w:ind w:right="390"/>
              <w:spacing w:after="0" w:line="155" w:lineRule="exact"/>
              <w:rPr>
                <w:sz w:val="20"/>
                <w:szCs w:val="20"/>
                <w:color w:val="auto"/>
              </w:rPr>
            </w:pPr>
            <w:r>
              <w:rPr>
                <w:rFonts w:ascii="Arial" w:cs="Arial" w:eastAsia="Arial" w:hAnsi="Arial"/>
                <w:sz w:val="14"/>
                <w:szCs w:val="14"/>
                <w:color w:val="auto"/>
              </w:rPr>
              <w:t>1,517</w:t>
            </w:r>
          </w:p>
        </w:tc>
        <w:tc>
          <w:tcPr>
            <w:tcW w:w="1660" w:type="dxa"/>
            <w:vAlign w:val="bottom"/>
          </w:tcPr>
          <w:p>
            <w:pPr>
              <w:jc w:val="right"/>
              <w:ind w:right="310"/>
              <w:spacing w:after="0" w:line="155" w:lineRule="exact"/>
              <w:rPr>
                <w:sz w:val="20"/>
                <w:szCs w:val="20"/>
                <w:color w:val="auto"/>
              </w:rPr>
            </w:pPr>
            <w:r>
              <w:rPr>
                <w:rFonts w:ascii="Arial" w:cs="Arial" w:eastAsia="Arial" w:hAnsi="Arial"/>
                <w:sz w:val="14"/>
                <w:szCs w:val="14"/>
                <w:color w:val="auto"/>
              </w:rPr>
              <w:t>1,330</w:t>
            </w:r>
          </w:p>
        </w:tc>
        <w:tc>
          <w:tcPr>
            <w:tcW w:w="1520" w:type="dxa"/>
            <w:vAlign w:val="bottom"/>
          </w:tcPr>
          <w:p>
            <w:pPr>
              <w:jc w:val="right"/>
              <w:ind w:right="369"/>
              <w:spacing w:after="0" w:line="155" w:lineRule="exact"/>
              <w:rPr>
                <w:sz w:val="20"/>
                <w:szCs w:val="20"/>
                <w:color w:val="auto"/>
              </w:rPr>
            </w:pPr>
            <w:r>
              <w:rPr>
                <w:rFonts w:ascii="Arial" w:cs="Arial" w:eastAsia="Arial" w:hAnsi="Arial"/>
                <w:sz w:val="14"/>
                <w:szCs w:val="14"/>
                <w:color w:val="auto"/>
              </w:rPr>
              <w:t>1,251</w:t>
            </w:r>
          </w:p>
        </w:tc>
      </w:tr>
      <w:tr>
        <w:trPr>
          <w:trHeight w:val="162"/>
        </w:trPr>
        <w:tc>
          <w:tcPr>
            <w:tcW w:w="6960" w:type="dxa"/>
            <w:vAlign w:val="bottom"/>
          </w:tcPr>
          <w:p>
            <w:pPr>
              <w:spacing w:after="0"/>
              <w:rPr>
                <w:sz w:val="20"/>
                <w:szCs w:val="20"/>
                <w:color w:val="auto"/>
              </w:rPr>
            </w:pPr>
            <w:r>
              <w:rPr>
                <w:rFonts w:ascii="Arial" w:cs="Arial" w:eastAsia="Arial" w:hAnsi="Arial"/>
                <w:sz w:val="14"/>
                <w:szCs w:val="14"/>
                <w:color w:val="auto"/>
              </w:rPr>
              <w:t>Less: interest capitalised</w:t>
            </w:r>
          </w:p>
        </w:tc>
        <w:tc>
          <w:tcPr>
            <w:tcW w:w="1280" w:type="dxa"/>
            <w:vAlign w:val="bottom"/>
            <w:shd w:val="clear" w:color="auto" w:fill="D8D8D8"/>
          </w:tcPr>
          <w:p>
            <w:pPr>
              <w:jc w:val="right"/>
              <w:ind w:right="390"/>
              <w:spacing w:after="0"/>
              <w:rPr>
                <w:sz w:val="20"/>
                <w:szCs w:val="20"/>
                <w:color w:val="auto"/>
              </w:rPr>
            </w:pPr>
            <w:r>
              <w:rPr>
                <w:rFonts w:ascii="Arial" w:cs="Arial" w:eastAsia="Arial" w:hAnsi="Arial"/>
                <w:sz w:val="14"/>
                <w:szCs w:val="14"/>
                <w:color w:val="auto"/>
              </w:rPr>
              <w:t>(757)</w:t>
            </w:r>
          </w:p>
        </w:tc>
        <w:tc>
          <w:tcPr>
            <w:tcW w:w="1660" w:type="dxa"/>
            <w:vAlign w:val="bottom"/>
          </w:tcPr>
          <w:p>
            <w:pPr>
              <w:jc w:val="right"/>
              <w:ind w:right="270"/>
              <w:spacing w:after="0"/>
              <w:rPr>
                <w:sz w:val="20"/>
                <w:szCs w:val="20"/>
                <w:color w:val="auto"/>
              </w:rPr>
            </w:pPr>
            <w:r>
              <w:rPr>
                <w:rFonts w:ascii="Arial" w:cs="Arial" w:eastAsia="Arial" w:hAnsi="Arial"/>
                <w:sz w:val="14"/>
                <w:szCs w:val="14"/>
                <w:color w:val="auto"/>
              </w:rPr>
              <w:t>(762)</w:t>
            </w:r>
          </w:p>
        </w:tc>
        <w:tc>
          <w:tcPr>
            <w:tcW w:w="1520" w:type="dxa"/>
            <w:vAlign w:val="bottom"/>
          </w:tcPr>
          <w:p>
            <w:pPr>
              <w:jc w:val="right"/>
              <w:ind w:right="329"/>
              <w:spacing w:after="0"/>
              <w:rPr>
                <w:sz w:val="20"/>
                <w:szCs w:val="20"/>
                <w:color w:val="auto"/>
              </w:rPr>
            </w:pPr>
            <w:r>
              <w:rPr>
                <w:rFonts w:ascii="Arial" w:cs="Arial" w:eastAsia="Arial" w:hAnsi="Arial"/>
                <w:sz w:val="14"/>
                <w:szCs w:val="14"/>
                <w:color w:val="auto"/>
              </w:rPr>
              <w:t>(567)</w:t>
            </w:r>
          </w:p>
        </w:tc>
      </w:tr>
      <w:tr>
        <w:trPr>
          <w:trHeight w:val="167"/>
        </w:trPr>
        <w:tc>
          <w:tcPr>
            <w:tcW w:w="6960" w:type="dxa"/>
            <w:vAlign w:val="bottom"/>
          </w:tcPr>
          <w:p>
            <w:pPr>
              <w:spacing w:after="0"/>
              <w:rPr>
                <w:sz w:val="20"/>
                <w:szCs w:val="20"/>
                <w:color w:val="auto"/>
              </w:rPr>
            </w:pPr>
            <w:r>
              <w:rPr>
                <w:rFonts w:ascii="Arial" w:cs="Arial" w:eastAsia="Arial" w:hAnsi="Arial"/>
                <w:sz w:val="14"/>
                <w:szCs w:val="14"/>
                <w:color w:val="auto"/>
              </w:rPr>
              <w:t>Other net losses on fair value hedges of debt</w:t>
            </w:r>
          </w:p>
        </w:tc>
        <w:tc>
          <w:tcPr>
            <w:tcW w:w="1280" w:type="dxa"/>
            <w:vAlign w:val="bottom"/>
            <w:shd w:val="clear" w:color="auto" w:fill="D8D8D8"/>
          </w:tcPr>
          <w:p>
            <w:pPr>
              <w:jc w:val="right"/>
              <w:ind w:right="390"/>
              <w:spacing w:after="0"/>
              <w:rPr>
                <w:sz w:val="20"/>
                <w:szCs w:val="20"/>
                <w:color w:val="auto"/>
              </w:rPr>
            </w:pPr>
            <w:r>
              <w:rPr>
                <w:rFonts w:ascii="Arial" w:cs="Arial" w:eastAsia="Arial" w:hAnsi="Arial"/>
                <w:sz w:val="14"/>
                <w:szCs w:val="14"/>
                <w:color w:val="auto"/>
              </w:rPr>
              <w:t>5</w:t>
            </w:r>
          </w:p>
        </w:tc>
        <w:tc>
          <w:tcPr>
            <w:tcW w:w="1660" w:type="dxa"/>
            <w:vAlign w:val="bottom"/>
          </w:tcPr>
          <w:p>
            <w:pPr>
              <w:jc w:val="right"/>
              <w:ind w:right="310"/>
              <w:spacing w:after="0"/>
              <w:rPr>
                <w:sz w:val="20"/>
                <w:szCs w:val="20"/>
                <w:color w:val="auto"/>
              </w:rPr>
            </w:pPr>
            <w:r>
              <w:rPr>
                <w:rFonts w:ascii="Arial" w:cs="Arial" w:eastAsia="Arial" w:hAnsi="Arial"/>
                <w:sz w:val="14"/>
                <w:szCs w:val="14"/>
                <w:color w:val="auto"/>
              </w:rPr>
              <w:t>82</w:t>
            </w:r>
          </w:p>
        </w:tc>
        <w:tc>
          <w:tcPr>
            <w:tcW w:w="1520" w:type="dxa"/>
            <w:vAlign w:val="bottom"/>
          </w:tcPr>
          <w:p>
            <w:pPr>
              <w:jc w:val="right"/>
              <w:ind w:right="369"/>
              <w:spacing w:after="0"/>
              <w:rPr>
                <w:sz w:val="20"/>
                <w:szCs w:val="20"/>
                <w:color w:val="auto"/>
              </w:rPr>
            </w:pPr>
            <w:r>
              <w:rPr>
                <w:rFonts w:ascii="Arial" w:cs="Arial" w:eastAsia="Arial" w:hAnsi="Arial"/>
                <w:sz w:val="14"/>
                <w:szCs w:val="14"/>
                <w:color w:val="auto"/>
              </w:rPr>
              <w:t>210</w:t>
            </w:r>
          </w:p>
        </w:tc>
      </w:tr>
      <w:tr>
        <w:trPr>
          <w:trHeight w:val="157"/>
        </w:trPr>
        <w:tc>
          <w:tcPr>
            <w:tcW w:w="6960" w:type="dxa"/>
            <w:vAlign w:val="bottom"/>
            <w:tcBorders>
              <w:bottom w:val="single" w:sz="8" w:color="auto"/>
            </w:tcBorders>
          </w:tcPr>
          <w:p>
            <w:pPr>
              <w:spacing w:after="0" w:line="157" w:lineRule="exact"/>
              <w:rPr>
                <w:sz w:val="20"/>
                <w:szCs w:val="20"/>
                <w:color w:val="auto"/>
              </w:rPr>
            </w:pPr>
            <w:r>
              <w:rPr>
                <w:rFonts w:ascii="Arial" w:cs="Arial" w:eastAsia="Arial" w:hAnsi="Arial"/>
                <w:sz w:val="14"/>
                <w:szCs w:val="14"/>
                <w:color w:val="auto"/>
              </w:rPr>
              <w:t>Accretion expense (see Note 18)</w:t>
            </w:r>
          </w:p>
        </w:tc>
        <w:tc>
          <w:tcPr>
            <w:tcW w:w="1280" w:type="dxa"/>
            <w:vAlign w:val="bottom"/>
            <w:tcBorders>
              <w:bottom w:val="single" w:sz="8" w:color="auto"/>
            </w:tcBorders>
            <w:shd w:val="clear" w:color="auto" w:fill="D8D8D8"/>
          </w:tcPr>
          <w:p>
            <w:pPr>
              <w:jc w:val="right"/>
              <w:ind w:right="390"/>
              <w:spacing w:after="0" w:line="157" w:lineRule="exact"/>
              <w:rPr>
                <w:sz w:val="20"/>
                <w:szCs w:val="20"/>
                <w:color w:val="auto"/>
              </w:rPr>
            </w:pPr>
            <w:r>
              <w:rPr>
                <w:rFonts w:ascii="Arial" w:cs="Arial" w:eastAsia="Arial" w:hAnsi="Arial"/>
                <w:sz w:val="14"/>
                <w:szCs w:val="14"/>
                <w:color w:val="auto"/>
              </w:rPr>
              <w:t>1,039</w:t>
            </w:r>
          </w:p>
        </w:tc>
        <w:tc>
          <w:tcPr>
            <w:tcW w:w="1660" w:type="dxa"/>
            <w:vAlign w:val="bottom"/>
            <w:tcBorders>
              <w:bottom w:val="single" w:sz="8" w:color="auto"/>
            </w:tcBorders>
          </w:tcPr>
          <w:p>
            <w:pPr>
              <w:jc w:val="right"/>
              <w:ind w:right="310"/>
              <w:spacing w:after="0" w:line="157" w:lineRule="exact"/>
              <w:rPr>
                <w:sz w:val="20"/>
                <w:szCs w:val="20"/>
                <w:color w:val="auto"/>
              </w:rPr>
            </w:pPr>
            <w:r>
              <w:rPr>
                <w:rFonts w:ascii="Arial" w:cs="Arial" w:eastAsia="Arial" w:hAnsi="Arial"/>
                <w:sz w:val="14"/>
                <w:szCs w:val="14"/>
                <w:color w:val="auto"/>
              </w:rPr>
              <w:t>992</w:t>
            </w:r>
          </w:p>
        </w:tc>
        <w:tc>
          <w:tcPr>
            <w:tcW w:w="1520" w:type="dxa"/>
            <w:vAlign w:val="bottom"/>
            <w:tcBorders>
              <w:bottom w:val="single" w:sz="8" w:color="auto"/>
            </w:tcBorders>
          </w:tcPr>
          <w:p>
            <w:pPr>
              <w:jc w:val="right"/>
              <w:ind w:right="369"/>
              <w:spacing w:after="0" w:line="157" w:lineRule="exact"/>
              <w:rPr>
                <w:sz w:val="20"/>
                <w:szCs w:val="20"/>
                <w:color w:val="auto"/>
              </w:rPr>
            </w:pPr>
            <w:r>
              <w:rPr>
                <w:rFonts w:ascii="Arial" w:cs="Arial" w:eastAsia="Arial" w:hAnsi="Arial"/>
                <w:sz w:val="14"/>
                <w:szCs w:val="14"/>
                <w:color w:val="auto"/>
              </w:rPr>
              <w:t>863</w:t>
            </w:r>
          </w:p>
        </w:tc>
      </w:tr>
      <w:tr>
        <w:trPr>
          <w:trHeight w:val="156"/>
        </w:trPr>
        <w:tc>
          <w:tcPr>
            <w:tcW w:w="6960" w:type="dxa"/>
            <w:vAlign w:val="bottom"/>
            <w:tcBorders>
              <w:bottom w:val="single" w:sz="8" w:color="auto"/>
            </w:tcBorders>
          </w:tcPr>
          <w:p>
            <w:pPr>
              <w:spacing w:after="0" w:line="155" w:lineRule="exact"/>
              <w:rPr>
                <w:sz w:val="20"/>
                <w:szCs w:val="20"/>
                <w:color w:val="auto"/>
              </w:rPr>
            </w:pPr>
            <w:r>
              <w:rPr>
                <w:rFonts w:ascii="Arial" w:cs="Arial" w:eastAsia="Arial" w:hAnsi="Arial"/>
                <w:sz w:val="14"/>
                <w:szCs w:val="14"/>
                <w:color w:val="auto"/>
              </w:rPr>
              <w:t>Total</w:t>
            </w:r>
          </w:p>
        </w:tc>
        <w:tc>
          <w:tcPr>
            <w:tcW w:w="1280" w:type="dxa"/>
            <w:vAlign w:val="bottom"/>
            <w:tcBorders>
              <w:bottom w:val="single" w:sz="8" w:color="auto"/>
            </w:tcBorders>
            <w:shd w:val="clear" w:color="auto" w:fill="D8D8D8"/>
          </w:tcPr>
          <w:p>
            <w:pPr>
              <w:jc w:val="right"/>
              <w:ind w:right="390"/>
              <w:spacing w:after="0" w:line="155" w:lineRule="exact"/>
              <w:rPr>
                <w:sz w:val="20"/>
                <w:szCs w:val="20"/>
                <w:color w:val="auto"/>
              </w:rPr>
            </w:pPr>
            <w:r>
              <w:rPr>
                <w:rFonts w:ascii="Arial" w:cs="Arial" w:eastAsia="Arial" w:hAnsi="Arial"/>
                <w:sz w:val="14"/>
                <w:szCs w:val="14"/>
                <w:color w:val="auto"/>
              </w:rPr>
              <w:t>1,804</w:t>
            </w:r>
          </w:p>
        </w:tc>
        <w:tc>
          <w:tcPr>
            <w:tcW w:w="1660" w:type="dxa"/>
            <w:vAlign w:val="bottom"/>
            <w:tcBorders>
              <w:bottom w:val="single" w:sz="8" w:color="auto"/>
            </w:tcBorders>
          </w:tcPr>
          <w:p>
            <w:pPr>
              <w:jc w:val="right"/>
              <w:ind w:right="310"/>
              <w:spacing w:after="0" w:line="155" w:lineRule="exact"/>
              <w:rPr>
                <w:sz w:val="20"/>
                <w:szCs w:val="20"/>
                <w:color w:val="auto"/>
              </w:rPr>
            </w:pPr>
            <w:r>
              <w:rPr>
                <w:rFonts w:ascii="Arial" w:cs="Arial" w:eastAsia="Arial" w:hAnsi="Arial"/>
                <w:sz w:val="14"/>
                <w:szCs w:val="14"/>
                <w:color w:val="auto"/>
              </w:rPr>
              <w:t>1,642</w:t>
            </w:r>
          </w:p>
        </w:tc>
        <w:tc>
          <w:tcPr>
            <w:tcW w:w="1520" w:type="dxa"/>
            <w:vAlign w:val="bottom"/>
            <w:tcBorders>
              <w:bottom w:val="single" w:sz="8" w:color="auto"/>
            </w:tcBorders>
          </w:tcPr>
          <w:p>
            <w:pPr>
              <w:jc w:val="right"/>
              <w:ind w:right="369"/>
              <w:spacing w:after="0" w:line="155" w:lineRule="exact"/>
              <w:rPr>
                <w:sz w:val="20"/>
                <w:szCs w:val="20"/>
                <w:color w:val="auto"/>
              </w:rPr>
            </w:pPr>
            <w:r>
              <w:rPr>
                <w:rFonts w:ascii="Arial" w:cs="Arial" w:eastAsia="Arial" w:hAnsi="Arial"/>
                <w:sz w:val="14"/>
                <w:szCs w:val="14"/>
                <w:color w:val="auto"/>
              </w:rPr>
              <w:t>1,757</w:t>
            </w:r>
          </w:p>
        </w:tc>
      </w:tr>
    </w:tbl>
    <w:p>
      <w:pPr>
        <w:spacing w:after="0" w:line="180" w:lineRule="exact"/>
        <w:rPr>
          <w:sz w:val="20"/>
          <w:szCs w:val="20"/>
          <w:color w:val="auto"/>
        </w:rPr>
      </w:pPr>
    </w:p>
    <w:p>
      <w:pPr>
        <w:spacing w:after="0"/>
        <w:rPr>
          <w:sz w:val="20"/>
          <w:szCs w:val="20"/>
          <w:color w:val="auto"/>
        </w:rPr>
      </w:pPr>
      <w:r>
        <w:rPr>
          <w:rFonts w:ascii="Arial" w:cs="Arial" w:eastAsia="Arial" w:hAnsi="Arial"/>
          <w:sz w:val="14"/>
          <w:szCs w:val="14"/>
          <w:color w:val="auto"/>
        </w:rPr>
        <w:t>The rate applied in determining the amount of interest capitalised in 2014 was 3% (2013: 3%; 2012: 3%).</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7 INTANGIBLE ASSETS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5020" w:type="dxa"/>
            <w:vAlign w:val="bottom"/>
            <w:shd w:val="clear" w:color="auto" w:fill="333333"/>
          </w:tcPr>
          <w:p>
            <w:pPr>
              <w:ind w:left="80"/>
              <w:spacing w:after="0"/>
              <w:rPr>
                <w:sz w:val="20"/>
                <w:szCs w:val="20"/>
                <w:color w:val="auto"/>
              </w:rPr>
            </w:pPr>
            <w:r>
              <w:rPr>
                <w:rFonts w:ascii="Arial" w:cs="Arial" w:eastAsia="Arial" w:hAnsi="Arial"/>
                <w:sz w:val="15"/>
                <w:szCs w:val="15"/>
                <w:b w:val="1"/>
                <w:bCs w:val="1"/>
                <w:color w:val="FFFFFF"/>
              </w:rPr>
              <w:t>2014</w:t>
            </w:r>
          </w:p>
        </w:tc>
        <w:tc>
          <w:tcPr>
            <w:tcW w:w="2320" w:type="dxa"/>
            <w:vAlign w:val="bottom"/>
            <w:shd w:val="clear" w:color="auto" w:fill="333333"/>
          </w:tcPr>
          <w:p>
            <w:pPr>
              <w:spacing w:after="0"/>
              <w:rPr>
                <w:sz w:val="15"/>
                <w:szCs w:val="15"/>
                <w:color w:val="auto"/>
              </w:rPr>
            </w:pPr>
          </w:p>
        </w:tc>
        <w:tc>
          <w:tcPr>
            <w:tcW w:w="1460" w:type="dxa"/>
            <w:vAlign w:val="bottom"/>
            <w:shd w:val="clear" w:color="auto" w:fill="333333"/>
          </w:tcPr>
          <w:p>
            <w:pPr>
              <w:spacing w:after="0"/>
              <w:rPr>
                <w:sz w:val="15"/>
                <w:szCs w:val="15"/>
                <w:color w:val="auto"/>
              </w:rPr>
            </w:pPr>
          </w:p>
        </w:tc>
        <w:tc>
          <w:tcPr>
            <w:tcW w:w="1240" w:type="dxa"/>
            <w:vAlign w:val="bottom"/>
            <w:shd w:val="clear" w:color="auto" w:fill="333333"/>
          </w:tcPr>
          <w:p>
            <w:pPr>
              <w:spacing w:after="0"/>
              <w:rPr>
                <w:sz w:val="15"/>
                <w:szCs w:val="15"/>
                <w:color w:val="auto"/>
              </w:rPr>
            </w:pPr>
          </w:p>
        </w:tc>
        <w:tc>
          <w:tcPr>
            <w:tcW w:w="1380" w:type="dxa"/>
            <w:vAlign w:val="bottom"/>
            <w:shd w:val="clear" w:color="auto" w:fill="333333"/>
          </w:tcPr>
          <w:p>
            <w:pPr>
              <w:jc w:val="right"/>
              <w:ind w:right="268"/>
              <w:spacing w:after="0"/>
              <w:rPr>
                <w:sz w:val="20"/>
                <w:szCs w:val="20"/>
                <w:color w:val="auto"/>
              </w:rPr>
            </w:pPr>
            <w:r>
              <w:rPr>
                <w:rFonts w:ascii="Arial" w:cs="Arial" w:eastAsia="Arial" w:hAnsi="Arial"/>
                <w:sz w:val="15"/>
                <w:szCs w:val="15"/>
                <w:color w:val="FFFFFF"/>
              </w:rPr>
              <w:t>$ MILLION</w:t>
            </w:r>
          </w:p>
        </w:tc>
      </w:tr>
      <w:tr>
        <w:trPr>
          <w:trHeight w:val="129"/>
        </w:trPr>
        <w:tc>
          <w:tcPr>
            <w:tcW w:w="5020" w:type="dxa"/>
            <w:vAlign w:val="bottom"/>
          </w:tcPr>
          <w:p>
            <w:pPr>
              <w:spacing w:after="0"/>
              <w:rPr>
                <w:sz w:val="11"/>
                <w:szCs w:val="11"/>
                <w:color w:val="auto"/>
              </w:rPr>
            </w:pPr>
          </w:p>
        </w:tc>
        <w:tc>
          <w:tcPr>
            <w:tcW w:w="2320" w:type="dxa"/>
            <w:vAlign w:val="bottom"/>
          </w:tcPr>
          <w:p>
            <w:pPr>
              <w:jc w:val="right"/>
              <w:ind w:right="329"/>
              <w:spacing w:after="0" w:line="129" w:lineRule="exact"/>
              <w:rPr>
                <w:sz w:val="20"/>
                <w:szCs w:val="20"/>
                <w:color w:val="auto"/>
              </w:rPr>
            </w:pPr>
            <w:r>
              <w:rPr>
                <w:rFonts w:ascii="Arial" w:cs="Arial" w:eastAsia="Arial" w:hAnsi="Arial"/>
                <w:sz w:val="13"/>
                <w:szCs w:val="13"/>
                <w:color w:val="auto"/>
              </w:rPr>
              <w:t>LNG off-take and</w:t>
            </w:r>
          </w:p>
        </w:tc>
        <w:tc>
          <w:tcPr>
            <w:tcW w:w="146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380" w:type="dxa"/>
            <w:vAlign w:val="bottom"/>
          </w:tcPr>
          <w:p>
            <w:pPr>
              <w:spacing w:after="0"/>
              <w:rPr>
                <w:sz w:val="11"/>
                <w:szCs w:val="11"/>
                <w:color w:val="auto"/>
              </w:rPr>
            </w:pPr>
          </w:p>
        </w:tc>
      </w:tr>
      <w:tr>
        <w:trPr>
          <w:trHeight w:val="141"/>
        </w:trPr>
        <w:tc>
          <w:tcPr>
            <w:tcW w:w="5020" w:type="dxa"/>
            <w:vAlign w:val="bottom"/>
            <w:tcBorders>
              <w:bottom w:val="single" w:sz="8" w:color="auto"/>
            </w:tcBorders>
          </w:tcPr>
          <w:p>
            <w:pPr>
              <w:spacing w:after="0"/>
              <w:rPr>
                <w:sz w:val="12"/>
                <w:szCs w:val="12"/>
                <w:color w:val="auto"/>
              </w:rPr>
            </w:pPr>
          </w:p>
        </w:tc>
        <w:tc>
          <w:tcPr>
            <w:tcW w:w="2320" w:type="dxa"/>
            <w:vAlign w:val="bottom"/>
            <w:tcBorders>
              <w:bottom w:val="single" w:sz="8" w:color="auto"/>
            </w:tcBorders>
          </w:tcPr>
          <w:p>
            <w:pPr>
              <w:jc w:val="right"/>
              <w:ind w:right="329"/>
              <w:spacing w:after="0" w:line="141" w:lineRule="exact"/>
              <w:rPr>
                <w:sz w:val="20"/>
                <w:szCs w:val="20"/>
                <w:color w:val="auto"/>
              </w:rPr>
            </w:pPr>
            <w:r>
              <w:rPr>
                <w:rFonts w:ascii="Arial" w:cs="Arial" w:eastAsia="Arial" w:hAnsi="Arial"/>
                <w:sz w:val="13"/>
                <w:szCs w:val="13"/>
                <w:color w:val="auto"/>
              </w:rPr>
              <w:t>sales contracts</w:t>
            </w:r>
          </w:p>
        </w:tc>
        <w:tc>
          <w:tcPr>
            <w:tcW w:w="1460" w:type="dxa"/>
            <w:vAlign w:val="bottom"/>
            <w:tcBorders>
              <w:bottom w:val="single" w:sz="8" w:color="auto"/>
            </w:tcBorders>
          </w:tcPr>
          <w:p>
            <w:pPr>
              <w:jc w:val="right"/>
              <w:ind w:right="509"/>
              <w:spacing w:after="0" w:line="141" w:lineRule="exact"/>
              <w:rPr>
                <w:sz w:val="20"/>
                <w:szCs w:val="20"/>
                <w:color w:val="auto"/>
              </w:rPr>
            </w:pPr>
            <w:r>
              <w:rPr>
                <w:rFonts w:ascii="Arial" w:cs="Arial" w:eastAsia="Arial" w:hAnsi="Arial"/>
                <w:sz w:val="13"/>
                <w:szCs w:val="13"/>
                <w:color w:val="auto"/>
              </w:rPr>
              <w:t>Goodwill</w:t>
            </w:r>
          </w:p>
        </w:tc>
        <w:tc>
          <w:tcPr>
            <w:tcW w:w="1240" w:type="dxa"/>
            <w:vAlign w:val="bottom"/>
            <w:tcBorders>
              <w:bottom w:val="single" w:sz="8" w:color="auto"/>
            </w:tcBorders>
          </w:tcPr>
          <w:p>
            <w:pPr>
              <w:jc w:val="right"/>
              <w:ind w:right="269"/>
              <w:spacing w:after="0" w:line="141" w:lineRule="exact"/>
              <w:rPr>
                <w:sz w:val="20"/>
                <w:szCs w:val="20"/>
                <w:color w:val="auto"/>
              </w:rPr>
            </w:pPr>
            <w:r>
              <w:rPr>
                <w:rFonts w:ascii="Arial" w:cs="Arial" w:eastAsia="Arial" w:hAnsi="Arial"/>
                <w:sz w:val="13"/>
                <w:szCs w:val="13"/>
                <w:color w:val="auto"/>
              </w:rPr>
              <w:t>Other</w:t>
            </w:r>
          </w:p>
        </w:tc>
        <w:tc>
          <w:tcPr>
            <w:tcW w:w="1380" w:type="dxa"/>
            <w:vAlign w:val="bottom"/>
            <w:tcBorders>
              <w:bottom w:val="single" w:sz="8" w:color="auto"/>
            </w:tcBorders>
          </w:tcPr>
          <w:p>
            <w:pPr>
              <w:jc w:val="right"/>
              <w:ind w:right="268"/>
              <w:spacing w:after="0" w:line="141" w:lineRule="exact"/>
              <w:rPr>
                <w:sz w:val="20"/>
                <w:szCs w:val="20"/>
                <w:color w:val="auto"/>
              </w:rPr>
            </w:pPr>
            <w:r>
              <w:rPr>
                <w:rFonts w:ascii="Arial" w:cs="Arial" w:eastAsia="Arial" w:hAnsi="Arial"/>
                <w:sz w:val="13"/>
                <w:szCs w:val="13"/>
                <w:color w:val="auto"/>
              </w:rPr>
              <w:t>Total</w:t>
            </w:r>
          </w:p>
        </w:tc>
      </w:tr>
      <w:tr>
        <w:trPr>
          <w:trHeight w:val="160"/>
        </w:trPr>
        <w:tc>
          <w:tcPr>
            <w:tcW w:w="5020" w:type="dxa"/>
            <w:vAlign w:val="bottom"/>
          </w:tcPr>
          <w:p>
            <w:pPr>
              <w:spacing w:after="0"/>
              <w:rPr>
                <w:sz w:val="20"/>
                <w:szCs w:val="20"/>
                <w:color w:val="auto"/>
              </w:rPr>
            </w:pPr>
            <w:r>
              <w:rPr>
                <w:rFonts w:ascii="Arial" w:cs="Arial" w:eastAsia="Arial" w:hAnsi="Arial"/>
                <w:sz w:val="14"/>
                <w:szCs w:val="14"/>
                <w:color w:val="auto"/>
              </w:rPr>
              <w:t>Cost</w:t>
            </w:r>
          </w:p>
        </w:tc>
        <w:tc>
          <w:tcPr>
            <w:tcW w:w="232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380" w:type="dxa"/>
            <w:vAlign w:val="bottom"/>
          </w:tcPr>
          <w:p>
            <w:pPr>
              <w:spacing w:after="0"/>
              <w:rPr>
                <w:sz w:val="13"/>
                <w:szCs w:val="13"/>
                <w:color w:val="auto"/>
              </w:rPr>
            </w:pPr>
          </w:p>
        </w:tc>
      </w:tr>
      <w:tr>
        <w:trPr>
          <w:trHeight w:val="162"/>
        </w:trPr>
        <w:tc>
          <w:tcPr>
            <w:tcW w:w="5020" w:type="dxa"/>
            <w:vAlign w:val="bottom"/>
          </w:tcPr>
          <w:p>
            <w:pPr>
              <w:ind w:left="140"/>
              <w:spacing w:after="0"/>
              <w:rPr>
                <w:sz w:val="20"/>
                <w:szCs w:val="20"/>
                <w:color w:val="auto"/>
              </w:rPr>
            </w:pPr>
            <w:r>
              <w:rPr>
                <w:rFonts w:ascii="Arial" w:cs="Arial" w:eastAsia="Arial" w:hAnsi="Arial"/>
                <w:sz w:val="14"/>
                <w:szCs w:val="14"/>
                <w:color w:val="auto"/>
              </w:rPr>
              <w:t>At January 1</w:t>
            </w:r>
          </w:p>
        </w:tc>
        <w:tc>
          <w:tcPr>
            <w:tcW w:w="2320" w:type="dxa"/>
            <w:vAlign w:val="bottom"/>
          </w:tcPr>
          <w:p>
            <w:pPr>
              <w:jc w:val="right"/>
              <w:ind w:right="329"/>
              <w:spacing w:after="0"/>
              <w:rPr>
                <w:sz w:val="20"/>
                <w:szCs w:val="20"/>
                <w:color w:val="auto"/>
              </w:rPr>
            </w:pPr>
            <w:r>
              <w:rPr>
                <w:rFonts w:ascii="Arial" w:cs="Arial" w:eastAsia="Arial" w:hAnsi="Arial"/>
                <w:sz w:val="14"/>
                <w:szCs w:val="14"/>
                <w:color w:val="auto"/>
              </w:rPr>
              <w:t>–</w:t>
            </w:r>
          </w:p>
        </w:tc>
        <w:tc>
          <w:tcPr>
            <w:tcW w:w="1460" w:type="dxa"/>
            <w:vAlign w:val="bottom"/>
          </w:tcPr>
          <w:p>
            <w:pPr>
              <w:jc w:val="right"/>
              <w:ind w:right="509"/>
              <w:spacing w:after="0"/>
              <w:rPr>
                <w:sz w:val="20"/>
                <w:szCs w:val="20"/>
                <w:color w:val="auto"/>
              </w:rPr>
            </w:pPr>
            <w:r>
              <w:rPr>
                <w:rFonts w:ascii="Arial" w:cs="Arial" w:eastAsia="Arial" w:hAnsi="Arial"/>
                <w:sz w:val="14"/>
                <w:szCs w:val="14"/>
                <w:color w:val="auto"/>
              </w:rPr>
              <w:t>2,948</w:t>
            </w:r>
          </w:p>
        </w:tc>
        <w:tc>
          <w:tcPr>
            <w:tcW w:w="1240" w:type="dxa"/>
            <w:vAlign w:val="bottom"/>
          </w:tcPr>
          <w:p>
            <w:pPr>
              <w:jc w:val="right"/>
              <w:ind w:right="269"/>
              <w:spacing w:after="0"/>
              <w:rPr>
                <w:sz w:val="20"/>
                <w:szCs w:val="20"/>
                <w:color w:val="auto"/>
              </w:rPr>
            </w:pPr>
            <w:r>
              <w:rPr>
                <w:rFonts w:ascii="Arial" w:cs="Arial" w:eastAsia="Arial" w:hAnsi="Arial"/>
                <w:sz w:val="14"/>
                <w:szCs w:val="14"/>
                <w:color w:val="auto"/>
              </w:rPr>
              <w:t>4,585</w:t>
            </w:r>
          </w:p>
        </w:tc>
        <w:tc>
          <w:tcPr>
            <w:tcW w:w="1380" w:type="dxa"/>
            <w:vAlign w:val="bottom"/>
          </w:tcPr>
          <w:p>
            <w:pPr>
              <w:jc w:val="right"/>
              <w:ind w:right="268"/>
              <w:spacing w:after="0"/>
              <w:rPr>
                <w:sz w:val="20"/>
                <w:szCs w:val="20"/>
                <w:color w:val="auto"/>
              </w:rPr>
            </w:pPr>
            <w:r>
              <w:rPr>
                <w:rFonts w:ascii="Arial" w:cs="Arial" w:eastAsia="Arial" w:hAnsi="Arial"/>
                <w:sz w:val="14"/>
                <w:szCs w:val="14"/>
                <w:color w:val="auto"/>
              </w:rPr>
              <w:t>7,533</w:t>
            </w:r>
          </w:p>
        </w:tc>
      </w:tr>
      <w:tr>
        <w:trPr>
          <w:trHeight w:val="162"/>
        </w:trPr>
        <w:tc>
          <w:tcPr>
            <w:tcW w:w="5020" w:type="dxa"/>
            <w:vAlign w:val="bottom"/>
          </w:tcPr>
          <w:p>
            <w:pPr>
              <w:ind w:left="140"/>
              <w:spacing w:after="0"/>
              <w:rPr>
                <w:sz w:val="20"/>
                <w:szCs w:val="20"/>
                <w:color w:val="auto"/>
              </w:rPr>
            </w:pPr>
            <w:r>
              <w:rPr>
                <w:rFonts w:ascii="Arial" w:cs="Arial" w:eastAsia="Arial" w:hAnsi="Arial"/>
                <w:sz w:val="14"/>
                <w:szCs w:val="14"/>
                <w:color w:val="auto"/>
              </w:rPr>
              <w:t>Additions</w:t>
            </w:r>
          </w:p>
        </w:tc>
        <w:tc>
          <w:tcPr>
            <w:tcW w:w="2320" w:type="dxa"/>
            <w:vAlign w:val="bottom"/>
          </w:tcPr>
          <w:p>
            <w:pPr>
              <w:jc w:val="right"/>
              <w:ind w:right="329"/>
              <w:spacing w:after="0"/>
              <w:rPr>
                <w:sz w:val="20"/>
                <w:szCs w:val="20"/>
                <w:color w:val="auto"/>
              </w:rPr>
            </w:pPr>
            <w:r>
              <w:rPr>
                <w:rFonts w:ascii="Arial" w:cs="Arial" w:eastAsia="Arial" w:hAnsi="Arial"/>
                <w:sz w:val="14"/>
                <w:szCs w:val="14"/>
                <w:color w:val="auto"/>
              </w:rPr>
              <w:t>3,271</w:t>
            </w:r>
          </w:p>
        </w:tc>
        <w:tc>
          <w:tcPr>
            <w:tcW w:w="1460" w:type="dxa"/>
            <w:vAlign w:val="bottom"/>
          </w:tcPr>
          <w:p>
            <w:pPr>
              <w:jc w:val="right"/>
              <w:ind w:right="509"/>
              <w:spacing w:after="0"/>
              <w:rPr>
                <w:sz w:val="20"/>
                <w:szCs w:val="20"/>
                <w:color w:val="auto"/>
              </w:rPr>
            </w:pPr>
            <w:r>
              <w:rPr>
                <w:rFonts w:ascii="Arial" w:cs="Arial" w:eastAsia="Arial" w:hAnsi="Arial"/>
                <w:sz w:val="14"/>
                <w:szCs w:val="14"/>
                <w:color w:val="auto"/>
              </w:rPr>
              <w:t>–</w:t>
            </w:r>
          </w:p>
        </w:tc>
        <w:tc>
          <w:tcPr>
            <w:tcW w:w="1240" w:type="dxa"/>
            <w:vAlign w:val="bottom"/>
          </w:tcPr>
          <w:p>
            <w:pPr>
              <w:jc w:val="right"/>
              <w:ind w:right="269"/>
              <w:spacing w:after="0"/>
              <w:rPr>
                <w:sz w:val="20"/>
                <w:szCs w:val="20"/>
                <w:color w:val="auto"/>
              </w:rPr>
            </w:pPr>
            <w:r>
              <w:rPr>
                <w:rFonts w:ascii="Arial" w:cs="Arial" w:eastAsia="Arial" w:hAnsi="Arial"/>
                <w:sz w:val="14"/>
                <w:szCs w:val="14"/>
                <w:color w:val="auto"/>
              </w:rPr>
              <w:t>162</w:t>
            </w:r>
          </w:p>
        </w:tc>
        <w:tc>
          <w:tcPr>
            <w:tcW w:w="1380" w:type="dxa"/>
            <w:vAlign w:val="bottom"/>
          </w:tcPr>
          <w:p>
            <w:pPr>
              <w:jc w:val="right"/>
              <w:ind w:right="268"/>
              <w:spacing w:after="0"/>
              <w:rPr>
                <w:sz w:val="20"/>
                <w:szCs w:val="20"/>
                <w:color w:val="auto"/>
              </w:rPr>
            </w:pPr>
            <w:r>
              <w:rPr>
                <w:rFonts w:ascii="Arial" w:cs="Arial" w:eastAsia="Arial" w:hAnsi="Arial"/>
                <w:sz w:val="14"/>
                <w:szCs w:val="14"/>
                <w:color w:val="auto"/>
              </w:rPr>
              <w:t>3,433</w:t>
            </w:r>
          </w:p>
        </w:tc>
      </w:tr>
      <w:tr>
        <w:trPr>
          <w:trHeight w:val="162"/>
        </w:trPr>
        <w:tc>
          <w:tcPr>
            <w:tcW w:w="5020" w:type="dxa"/>
            <w:vAlign w:val="bottom"/>
          </w:tcPr>
          <w:p>
            <w:pPr>
              <w:ind w:left="140"/>
              <w:spacing w:after="0"/>
              <w:rPr>
                <w:sz w:val="20"/>
                <w:szCs w:val="20"/>
                <w:color w:val="auto"/>
              </w:rPr>
            </w:pPr>
            <w:r>
              <w:rPr>
                <w:rFonts w:ascii="Arial" w:cs="Arial" w:eastAsia="Arial" w:hAnsi="Arial"/>
                <w:sz w:val="14"/>
                <w:szCs w:val="14"/>
                <w:color w:val="auto"/>
              </w:rPr>
              <w:t>Sales, retirements and other movements</w:t>
            </w:r>
          </w:p>
        </w:tc>
        <w:tc>
          <w:tcPr>
            <w:tcW w:w="2320" w:type="dxa"/>
            <w:vAlign w:val="bottom"/>
          </w:tcPr>
          <w:p>
            <w:pPr>
              <w:jc w:val="right"/>
              <w:ind w:right="329"/>
              <w:spacing w:after="0"/>
              <w:rPr>
                <w:sz w:val="20"/>
                <w:szCs w:val="20"/>
                <w:color w:val="auto"/>
              </w:rPr>
            </w:pPr>
            <w:r>
              <w:rPr>
                <w:rFonts w:ascii="Arial" w:cs="Arial" w:eastAsia="Arial" w:hAnsi="Arial"/>
                <w:sz w:val="14"/>
                <w:szCs w:val="14"/>
                <w:color w:val="auto"/>
              </w:rPr>
              <w:t>–</w:t>
            </w:r>
          </w:p>
        </w:tc>
        <w:tc>
          <w:tcPr>
            <w:tcW w:w="1460" w:type="dxa"/>
            <w:vAlign w:val="bottom"/>
          </w:tcPr>
          <w:p>
            <w:pPr>
              <w:jc w:val="right"/>
              <w:ind w:right="469"/>
              <w:spacing w:after="0"/>
              <w:rPr>
                <w:sz w:val="20"/>
                <w:szCs w:val="20"/>
                <w:color w:val="auto"/>
              </w:rPr>
            </w:pPr>
            <w:r>
              <w:rPr>
                <w:rFonts w:ascii="Arial" w:cs="Arial" w:eastAsia="Arial" w:hAnsi="Arial"/>
                <w:sz w:val="14"/>
                <w:szCs w:val="14"/>
                <w:color w:val="auto"/>
              </w:rPr>
              <w:t>(170)</w:t>
            </w:r>
          </w:p>
        </w:tc>
        <w:tc>
          <w:tcPr>
            <w:tcW w:w="1240" w:type="dxa"/>
            <w:vAlign w:val="bottom"/>
          </w:tcPr>
          <w:p>
            <w:pPr>
              <w:jc w:val="right"/>
              <w:ind w:right="269"/>
              <w:spacing w:after="0"/>
              <w:rPr>
                <w:sz w:val="20"/>
                <w:szCs w:val="20"/>
                <w:color w:val="auto"/>
              </w:rPr>
            </w:pPr>
            <w:r>
              <w:rPr>
                <w:rFonts w:ascii="Arial" w:cs="Arial" w:eastAsia="Arial" w:hAnsi="Arial"/>
                <w:sz w:val="14"/>
                <w:szCs w:val="14"/>
                <w:color w:val="auto"/>
              </w:rPr>
              <w:t>9</w:t>
            </w:r>
          </w:p>
        </w:tc>
        <w:tc>
          <w:tcPr>
            <w:tcW w:w="1380" w:type="dxa"/>
            <w:vAlign w:val="bottom"/>
          </w:tcPr>
          <w:p>
            <w:pPr>
              <w:jc w:val="right"/>
              <w:ind w:right="208"/>
              <w:spacing w:after="0"/>
              <w:rPr>
                <w:sz w:val="20"/>
                <w:szCs w:val="20"/>
                <w:color w:val="auto"/>
              </w:rPr>
            </w:pPr>
            <w:r>
              <w:rPr>
                <w:rFonts w:ascii="Arial" w:cs="Arial" w:eastAsia="Arial" w:hAnsi="Arial"/>
                <w:sz w:val="14"/>
                <w:szCs w:val="14"/>
                <w:color w:val="auto"/>
              </w:rPr>
              <w:t>(161)</w:t>
            </w:r>
          </w:p>
        </w:tc>
      </w:tr>
      <w:tr>
        <w:trPr>
          <w:trHeight w:val="157"/>
        </w:trPr>
        <w:tc>
          <w:tcPr>
            <w:tcW w:w="5020" w:type="dxa"/>
            <w:vAlign w:val="bottom"/>
            <w:tcBorders>
              <w:bottom w:val="single" w:sz="8" w:color="auto"/>
            </w:tcBorders>
          </w:tcPr>
          <w:p>
            <w:pPr>
              <w:ind w:left="140"/>
              <w:spacing w:after="0" w:line="157" w:lineRule="exact"/>
              <w:rPr>
                <w:sz w:val="20"/>
                <w:szCs w:val="20"/>
                <w:color w:val="auto"/>
              </w:rPr>
            </w:pPr>
            <w:r>
              <w:rPr>
                <w:rFonts w:ascii="Arial" w:cs="Arial" w:eastAsia="Arial" w:hAnsi="Arial"/>
                <w:sz w:val="14"/>
                <w:szCs w:val="14"/>
                <w:color w:val="auto"/>
              </w:rPr>
              <w:t>Currency translation differences</w:t>
            </w:r>
          </w:p>
        </w:tc>
        <w:tc>
          <w:tcPr>
            <w:tcW w:w="2320" w:type="dxa"/>
            <w:vAlign w:val="bottom"/>
            <w:tcBorders>
              <w:bottom w:val="single" w:sz="8" w:color="auto"/>
            </w:tcBorders>
          </w:tcPr>
          <w:p>
            <w:pPr>
              <w:jc w:val="right"/>
              <w:ind w:right="329"/>
              <w:spacing w:after="0" w:line="157" w:lineRule="exact"/>
              <w:rPr>
                <w:sz w:val="20"/>
                <w:szCs w:val="20"/>
                <w:color w:val="auto"/>
              </w:rPr>
            </w:pPr>
            <w:r>
              <w:rPr>
                <w:rFonts w:ascii="Arial" w:cs="Arial" w:eastAsia="Arial" w:hAnsi="Arial"/>
                <w:sz w:val="14"/>
                <w:szCs w:val="14"/>
                <w:color w:val="auto"/>
              </w:rPr>
              <w:t>–</w:t>
            </w:r>
          </w:p>
        </w:tc>
        <w:tc>
          <w:tcPr>
            <w:tcW w:w="1460" w:type="dxa"/>
            <w:vAlign w:val="bottom"/>
            <w:tcBorders>
              <w:bottom w:val="single" w:sz="8" w:color="auto"/>
            </w:tcBorders>
          </w:tcPr>
          <w:p>
            <w:pPr>
              <w:jc w:val="right"/>
              <w:ind w:right="469"/>
              <w:spacing w:after="0" w:line="157" w:lineRule="exact"/>
              <w:rPr>
                <w:sz w:val="20"/>
                <w:szCs w:val="20"/>
                <w:color w:val="auto"/>
              </w:rPr>
            </w:pPr>
            <w:r>
              <w:rPr>
                <w:rFonts w:ascii="Arial" w:cs="Arial" w:eastAsia="Arial" w:hAnsi="Arial"/>
                <w:sz w:val="14"/>
                <w:szCs w:val="14"/>
                <w:color w:val="auto"/>
              </w:rPr>
              <w:t>(66)</w:t>
            </w:r>
          </w:p>
        </w:tc>
        <w:tc>
          <w:tcPr>
            <w:tcW w:w="1240" w:type="dxa"/>
            <w:vAlign w:val="bottom"/>
            <w:tcBorders>
              <w:bottom w:val="single" w:sz="8" w:color="auto"/>
            </w:tcBorders>
          </w:tcPr>
          <w:p>
            <w:pPr>
              <w:jc w:val="right"/>
              <w:ind w:right="229"/>
              <w:spacing w:after="0" w:line="157" w:lineRule="exact"/>
              <w:rPr>
                <w:sz w:val="20"/>
                <w:szCs w:val="20"/>
                <w:color w:val="auto"/>
              </w:rPr>
            </w:pPr>
            <w:r>
              <w:rPr>
                <w:rFonts w:ascii="Arial" w:cs="Arial" w:eastAsia="Arial" w:hAnsi="Arial"/>
                <w:sz w:val="14"/>
                <w:szCs w:val="14"/>
                <w:color w:val="auto"/>
              </w:rPr>
              <w:t>(194)</w:t>
            </w:r>
          </w:p>
        </w:tc>
        <w:tc>
          <w:tcPr>
            <w:tcW w:w="1380" w:type="dxa"/>
            <w:vAlign w:val="bottom"/>
            <w:tcBorders>
              <w:bottom w:val="single" w:sz="8" w:color="auto"/>
            </w:tcBorders>
          </w:tcPr>
          <w:p>
            <w:pPr>
              <w:jc w:val="right"/>
              <w:ind w:right="208"/>
              <w:spacing w:after="0" w:line="157" w:lineRule="exact"/>
              <w:rPr>
                <w:sz w:val="20"/>
                <w:szCs w:val="20"/>
                <w:color w:val="auto"/>
              </w:rPr>
            </w:pPr>
            <w:r>
              <w:rPr>
                <w:rFonts w:ascii="Arial" w:cs="Arial" w:eastAsia="Arial" w:hAnsi="Arial"/>
                <w:sz w:val="14"/>
                <w:szCs w:val="14"/>
                <w:color w:val="auto"/>
              </w:rPr>
              <w:t>(260)</w:t>
            </w:r>
          </w:p>
        </w:tc>
      </w:tr>
      <w:tr>
        <w:trPr>
          <w:trHeight w:val="156"/>
        </w:trPr>
        <w:tc>
          <w:tcPr>
            <w:tcW w:w="5020" w:type="dxa"/>
            <w:vAlign w:val="bottom"/>
            <w:tcBorders>
              <w:bottom w:val="single" w:sz="8" w:color="auto"/>
            </w:tcBorders>
          </w:tcPr>
          <w:p>
            <w:pPr>
              <w:spacing w:after="0" w:line="155" w:lineRule="exact"/>
              <w:rPr>
                <w:sz w:val="20"/>
                <w:szCs w:val="20"/>
                <w:color w:val="auto"/>
              </w:rPr>
            </w:pPr>
            <w:r>
              <w:rPr>
                <w:rFonts w:ascii="Arial" w:cs="Arial" w:eastAsia="Arial" w:hAnsi="Arial"/>
                <w:sz w:val="14"/>
                <w:szCs w:val="14"/>
                <w:color w:val="auto"/>
              </w:rPr>
              <w:t>At December 31</w:t>
            </w:r>
          </w:p>
        </w:tc>
        <w:tc>
          <w:tcPr>
            <w:tcW w:w="2320" w:type="dxa"/>
            <w:vAlign w:val="bottom"/>
            <w:tcBorders>
              <w:bottom w:val="single" w:sz="8" w:color="auto"/>
            </w:tcBorders>
          </w:tcPr>
          <w:p>
            <w:pPr>
              <w:jc w:val="right"/>
              <w:ind w:right="329"/>
              <w:spacing w:after="0" w:line="155" w:lineRule="exact"/>
              <w:rPr>
                <w:sz w:val="20"/>
                <w:szCs w:val="20"/>
                <w:color w:val="auto"/>
              </w:rPr>
            </w:pPr>
            <w:r>
              <w:rPr>
                <w:rFonts w:ascii="Arial" w:cs="Arial" w:eastAsia="Arial" w:hAnsi="Arial"/>
                <w:sz w:val="14"/>
                <w:szCs w:val="14"/>
                <w:color w:val="auto"/>
              </w:rPr>
              <w:t>3,271</w:t>
            </w:r>
          </w:p>
        </w:tc>
        <w:tc>
          <w:tcPr>
            <w:tcW w:w="1460" w:type="dxa"/>
            <w:vAlign w:val="bottom"/>
            <w:tcBorders>
              <w:bottom w:val="single" w:sz="8" w:color="auto"/>
            </w:tcBorders>
          </w:tcPr>
          <w:p>
            <w:pPr>
              <w:jc w:val="right"/>
              <w:ind w:right="509"/>
              <w:spacing w:after="0" w:line="155" w:lineRule="exact"/>
              <w:rPr>
                <w:sz w:val="20"/>
                <w:szCs w:val="20"/>
                <w:color w:val="auto"/>
              </w:rPr>
            </w:pPr>
            <w:r>
              <w:rPr>
                <w:rFonts w:ascii="Arial" w:cs="Arial" w:eastAsia="Arial" w:hAnsi="Arial"/>
                <w:sz w:val="14"/>
                <w:szCs w:val="14"/>
                <w:color w:val="auto"/>
              </w:rPr>
              <w:t>2,712</w:t>
            </w:r>
          </w:p>
        </w:tc>
        <w:tc>
          <w:tcPr>
            <w:tcW w:w="1240" w:type="dxa"/>
            <w:vAlign w:val="bottom"/>
            <w:tcBorders>
              <w:bottom w:val="single" w:sz="8" w:color="auto"/>
            </w:tcBorders>
          </w:tcPr>
          <w:p>
            <w:pPr>
              <w:jc w:val="right"/>
              <w:ind w:right="269"/>
              <w:spacing w:after="0" w:line="155" w:lineRule="exact"/>
              <w:rPr>
                <w:sz w:val="20"/>
                <w:szCs w:val="20"/>
                <w:color w:val="auto"/>
              </w:rPr>
            </w:pPr>
            <w:r>
              <w:rPr>
                <w:rFonts w:ascii="Arial" w:cs="Arial" w:eastAsia="Arial" w:hAnsi="Arial"/>
                <w:sz w:val="14"/>
                <w:szCs w:val="14"/>
                <w:color w:val="auto"/>
              </w:rPr>
              <w:t>4,562</w:t>
            </w:r>
          </w:p>
        </w:tc>
        <w:tc>
          <w:tcPr>
            <w:tcW w:w="1380" w:type="dxa"/>
            <w:vAlign w:val="bottom"/>
            <w:tcBorders>
              <w:bottom w:val="single" w:sz="8" w:color="auto"/>
            </w:tcBorders>
          </w:tcPr>
          <w:p>
            <w:pPr>
              <w:jc w:val="right"/>
              <w:ind w:right="268"/>
              <w:spacing w:after="0" w:line="155" w:lineRule="exact"/>
              <w:rPr>
                <w:sz w:val="20"/>
                <w:szCs w:val="20"/>
                <w:color w:val="auto"/>
              </w:rPr>
            </w:pPr>
            <w:r>
              <w:rPr>
                <w:rFonts w:ascii="Arial" w:cs="Arial" w:eastAsia="Arial" w:hAnsi="Arial"/>
                <w:sz w:val="14"/>
                <w:szCs w:val="14"/>
                <w:color w:val="auto"/>
              </w:rPr>
              <w:t>10,545</w:t>
            </w:r>
          </w:p>
        </w:tc>
      </w:tr>
      <w:tr>
        <w:trPr>
          <w:trHeight w:val="160"/>
        </w:trPr>
        <w:tc>
          <w:tcPr>
            <w:tcW w:w="5020" w:type="dxa"/>
            <w:vAlign w:val="bottom"/>
          </w:tcPr>
          <w:p>
            <w:pPr>
              <w:spacing w:after="0"/>
              <w:rPr>
                <w:sz w:val="20"/>
                <w:szCs w:val="20"/>
                <w:color w:val="auto"/>
              </w:rPr>
            </w:pPr>
            <w:r>
              <w:rPr>
                <w:rFonts w:ascii="Arial" w:cs="Arial" w:eastAsia="Arial" w:hAnsi="Arial"/>
                <w:sz w:val="14"/>
                <w:szCs w:val="14"/>
                <w:color w:val="auto"/>
              </w:rPr>
              <w:t>Depreciation, depletion and amortisation, including impairments</w:t>
            </w:r>
          </w:p>
        </w:tc>
        <w:tc>
          <w:tcPr>
            <w:tcW w:w="232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380" w:type="dxa"/>
            <w:vAlign w:val="bottom"/>
          </w:tcPr>
          <w:p>
            <w:pPr>
              <w:spacing w:after="0"/>
              <w:rPr>
                <w:sz w:val="13"/>
                <w:szCs w:val="13"/>
                <w:color w:val="auto"/>
              </w:rPr>
            </w:pPr>
          </w:p>
        </w:tc>
      </w:tr>
      <w:tr>
        <w:trPr>
          <w:trHeight w:val="162"/>
        </w:trPr>
        <w:tc>
          <w:tcPr>
            <w:tcW w:w="5020" w:type="dxa"/>
            <w:vAlign w:val="bottom"/>
          </w:tcPr>
          <w:p>
            <w:pPr>
              <w:ind w:left="140"/>
              <w:spacing w:after="0"/>
              <w:rPr>
                <w:sz w:val="20"/>
                <w:szCs w:val="20"/>
                <w:color w:val="auto"/>
              </w:rPr>
            </w:pPr>
            <w:r>
              <w:rPr>
                <w:rFonts w:ascii="Arial" w:cs="Arial" w:eastAsia="Arial" w:hAnsi="Arial"/>
                <w:sz w:val="14"/>
                <w:szCs w:val="14"/>
                <w:color w:val="auto"/>
              </w:rPr>
              <w:t>At January 1</w:t>
            </w:r>
          </w:p>
        </w:tc>
        <w:tc>
          <w:tcPr>
            <w:tcW w:w="2320" w:type="dxa"/>
            <w:vAlign w:val="bottom"/>
          </w:tcPr>
          <w:p>
            <w:pPr>
              <w:jc w:val="right"/>
              <w:ind w:right="329"/>
              <w:spacing w:after="0"/>
              <w:rPr>
                <w:sz w:val="20"/>
                <w:szCs w:val="20"/>
                <w:color w:val="auto"/>
              </w:rPr>
            </w:pPr>
            <w:r>
              <w:rPr>
                <w:rFonts w:ascii="Arial" w:cs="Arial" w:eastAsia="Arial" w:hAnsi="Arial"/>
                <w:sz w:val="14"/>
                <w:szCs w:val="14"/>
                <w:color w:val="auto"/>
              </w:rPr>
              <w:t>–</w:t>
            </w:r>
          </w:p>
        </w:tc>
        <w:tc>
          <w:tcPr>
            <w:tcW w:w="1460" w:type="dxa"/>
            <w:vAlign w:val="bottom"/>
          </w:tcPr>
          <w:p>
            <w:pPr>
              <w:jc w:val="right"/>
              <w:ind w:right="509"/>
              <w:spacing w:after="0"/>
              <w:rPr>
                <w:sz w:val="20"/>
                <w:szCs w:val="20"/>
                <w:color w:val="auto"/>
              </w:rPr>
            </w:pPr>
            <w:r>
              <w:rPr>
                <w:rFonts w:ascii="Arial" w:cs="Arial" w:eastAsia="Arial" w:hAnsi="Arial"/>
                <w:sz w:val="14"/>
                <w:szCs w:val="14"/>
                <w:color w:val="auto"/>
              </w:rPr>
              <w:t>385</w:t>
            </w:r>
          </w:p>
        </w:tc>
        <w:tc>
          <w:tcPr>
            <w:tcW w:w="1240" w:type="dxa"/>
            <w:vAlign w:val="bottom"/>
          </w:tcPr>
          <w:p>
            <w:pPr>
              <w:jc w:val="right"/>
              <w:ind w:right="269"/>
              <w:spacing w:after="0"/>
              <w:rPr>
                <w:sz w:val="20"/>
                <w:szCs w:val="20"/>
                <w:color w:val="auto"/>
              </w:rPr>
            </w:pPr>
            <w:r>
              <w:rPr>
                <w:rFonts w:ascii="Arial" w:cs="Arial" w:eastAsia="Arial" w:hAnsi="Arial"/>
                <w:sz w:val="14"/>
                <w:szCs w:val="14"/>
                <w:color w:val="auto"/>
              </w:rPr>
              <w:t>2,754</w:t>
            </w:r>
          </w:p>
        </w:tc>
        <w:tc>
          <w:tcPr>
            <w:tcW w:w="1380" w:type="dxa"/>
            <w:vAlign w:val="bottom"/>
          </w:tcPr>
          <w:p>
            <w:pPr>
              <w:jc w:val="right"/>
              <w:ind w:right="268"/>
              <w:spacing w:after="0"/>
              <w:rPr>
                <w:sz w:val="20"/>
                <w:szCs w:val="20"/>
                <w:color w:val="auto"/>
              </w:rPr>
            </w:pPr>
            <w:r>
              <w:rPr>
                <w:rFonts w:ascii="Arial" w:cs="Arial" w:eastAsia="Arial" w:hAnsi="Arial"/>
                <w:sz w:val="14"/>
                <w:szCs w:val="14"/>
                <w:color w:val="auto"/>
              </w:rPr>
              <w:t>3,139</w:t>
            </w:r>
          </w:p>
        </w:tc>
      </w:tr>
      <w:tr>
        <w:trPr>
          <w:trHeight w:val="162"/>
        </w:trPr>
        <w:tc>
          <w:tcPr>
            <w:tcW w:w="5020" w:type="dxa"/>
            <w:vAlign w:val="bottom"/>
          </w:tcPr>
          <w:p>
            <w:pPr>
              <w:ind w:left="140"/>
              <w:spacing w:after="0"/>
              <w:rPr>
                <w:sz w:val="20"/>
                <w:szCs w:val="20"/>
                <w:color w:val="auto"/>
              </w:rPr>
            </w:pPr>
            <w:r>
              <w:rPr>
                <w:rFonts w:ascii="Arial" w:cs="Arial" w:eastAsia="Arial" w:hAnsi="Arial"/>
                <w:sz w:val="14"/>
                <w:szCs w:val="14"/>
                <w:color w:val="auto"/>
              </w:rPr>
              <w:t>Charge for the year</w:t>
            </w:r>
          </w:p>
        </w:tc>
        <w:tc>
          <w:tcPr>
            <w:tcW w:w="2320" w:type="dxa"/>
            <w:vAlign w:val="bottom"/>
          </w:tcPr>
          <w:p>
            <w:pPr>
              <w:jc w:val="right"/>
              <w:ind w:right="309"/>
              <w:spacing w:after="0"/>
              <w:rPr>
                <w:sz w:val="20"/>
                <w:szCs w:val="20"/>
                <w:color w:val="auto"/>
              </w:rPr>
            </w:pPr>
            <w:r>
              <w:rPr>
                <w:rFonts w:ascii="Arial" w:cs="Arial" w:eastAsia="Arial" w:hAnsi="Arial"/>
                <w:sz w:val="14"/>
                <w:szCs w:val="14"/>
                <w:color w:val="auto"/>
              </w:rPr>
              <w:t>278</w:t>
            </w:r>
          </w:p>
        </w:tc>
        <w:tc>
          <w:tcPr>
            <w:tcW w:w="1460" w:type="dxa"/>
            <w:vAlign w:val="bottom"/>
          </w:tcPr>
          <w:p>
            <w:pPr>
              <w:jc w:val="right"/>
              <w:ind w:right="509"/>
              <w:spacing w:after="0"/>
              <w:rPr>
                <w:sz w:val="20"/>
                <w:szCs w:val="20"/>
                <w:color w:val="auto"/>
              </w:rPr>
            </w:pPr>
            <w:r>
              <w:rPr>
                <w:rFonts w:ascii="Arial" w:cs="Arial" w:eastAsia="Arial" w:hAnsi="Arial"/>
                <w:sz w:val="14"/>
                <w:szCs w:val="14"/>
                <w:color w:val="auto"/>
              </w:rPr>
              <w:t>–</w:t>
            </w:r>
          </w:p>
        </w:tc>
        <w:tc>
          <w:tcPr>
            <w:tcW w:w="1240" w:type="dxa"/>
            <w:vAlign w:val="bottom"/>
          </w:tcPr>
          <w:p>
            <w:pPr>
              <w:jc w:val="right"/>
              <w:ind w:right="269"/>
              <w:spacing w:after="0"/>
              <w:rPr>
                <w:sz w:val="20"/>
                <w:szCs w:val="20"/>
                <w:color w:val="auto"/>
              </w:rPr>
            </w:pPr>
            <w:r>
              <w:rPr>
                <w:rFonts w:ascii="Arial" w:cs="Arial" w:eastAsia="Arial" w:hAnsi="Arial"/>
                <w:sz w:val="14"/>
                <w:szCs w:val="14"/>
                <w:color w:val="auto"/>
              </w:rPr>
              <w:t>386</w:t>
            </w:r>
          </w:p>
        </w:tc>
        <w:tc>
          <w:tcPr>
            <w:tcW w:w="1380" w:type="dxa"/>
            <w:vAlign w:val="bottom"/>
          </w:tcPr>
          <w:p>
            <w:pPr>
              <w:jc w:val="right"/>
              <w:ind w:right="268"/>
              <w:spacing w:after="0"/>
              <w:rPr>
                <w:sz w:val="20"/>
                <w:szCs w:val="20"/>
                <w:color w:val="auto"/>
              </w:rPr>
            </w:pPr>
            <w:r>
              <w:rPr>
                <w:rFonts w:ascii="Arial" w:cs="Arial" w:eastAsia="Arial" w:hAnsi="Arial"/>
                <w:sz w:val="14"/>
                <w:szCs w:val="14"/>
                <w:color w:val="auto"/>
              </w:rPr>
              <w:t>664</w:t>
            </w:r>
          </w:p>
        </w:tc>
      </w:tr>
      <w:tr>
        <w:trPr>
          <w:trHeight w:val="162"/>
        </w:trPr>
        <w:tc>
          <w:tcPr>
            <w:tcW w:w="5020" w:type="dxa"/>
            <w:vAlign w:val="bottom"/>
          </w:tcPr>
          <w:p>
            <w:pPr>
              <w:ind w:left="140"/>
              <w:spacing w:after="0"/>
              <w:rPr>
                <w:sz w:val="20"/>
                <w:szCs w:val="20"/>
                <w:color w:val="auto"/>
              </w:rPr>
            </w:pPr>
            <w:r>
              <w:rPr>
                <w:rFonts w:ascii="Arial" w:cs="Arial" w:eastAsia="Arial" w:hAnsi="Arial"/>
                <w:sz w:val="14"/>
                <w:szCs w:val="14"/>
                <w:color w:val="auto"/>
              </w:rPr>
              <w:t>Sales, retirements and other movements</w:t>
            </w:r>
          </w:p>
        </w:tc>
        <w:tc>
          <w:tcPr>
            <w:tcW w:w="2320" w:type="dxa"/>
            <w:vAlign w:val="bottom"/>
          </w:tcPr>
          <w:p>
            <w:pPr>
              <w:jc w:val="right"/>
              <w:ind w:right="329"/>
              <w:spacing w:after="0"/>
              <w:rPr>
                <w:sz w:val="20"/>
                <w:szCs w:val="20"/>
                <w:color w:val="auto"/>
              </w:rPr>
            </w:pPr>
            <w:r>
              <w:rPr>
                <w:rFonts w:ascii="Arial" w:cs="Arial" w:eastAsia="Arial" w:hAnsi="Arial"/>
                <w:sz w:val="14"/>
                <w:szCs w:val="14"/>
                <w:color w:val="auto"/>
              </w:rPr>
              <w:t>–</w:t>
            </w:r>
          </w:p>
        </w:tc>
        <w:tc>
          <w:tcPr>
            <w:tcW w:w="1460" w:type="dxa"/>
            <w:vAlign w:val="bottom"/>
          </w:tcPr>
          <w:p>
            <w:pPr>
              <w:jc w:val="right"/>
              <w:ind w:right="469"/>
              <w:spacing w:after="0"/>
              <w:rPr>
                <w:sz w:val="20"/>
                <w:szCs w:val="20"/>
                <w:color w:val="auto"/>
              </w:rPr>
            </w:pPr>
            <w:r>
              <w:rPr>
                <w:rFonts w:ascii="Arial" w:cs="Arial" w:eastAsia="Arial" w:hAnsi="Arial"/>
                <w:sz w:val="14"/>
                <w:szCs w:val="14"/>
                <w:color w:val="auto"/>
              </w:rPr>
              <w:t>(59)</w:t>
            </w:r>
          </w:p>
        </w:tc>
        <w:tc>
          <w:tcPr>
            <w:tcW w:w="1240" w:type="dxa"/>
            <w:vAlign w:val="bottom"/>
          </w:tcPr>
          <w:p>
            <w:pPr>
              <w:jc w:val="right"/>
              <w:ind w:right="229"/>
              <w:spacing w:after="0"/>
              <w:rPr>
                <w:sz w:val="20"/>
                <w:szCs w:val="20"/>
                <w:color w:val="auto"/>
              </w:rPr>
            </w:pPr>
            <w:r>
              <w:rPr>
                <w:rFonts w:ascii="Arial" w:cs="Arial" w:eastAsia="Arial" w:hAnsi="Arial"/>
                <w:sz w:val="14"/>
                <w:szCs w:val="14"/>
                <w:color w:val="auto"/>
              </w:rPr>
              <w:t>(128)</w:t>
            </w:r>
          </w:p>
        </w:tc>
        <w:tc>
          <w:tcPr>
            <w:tcW w:w="1380" w:type="dxa"/>
            <w:vAlign w:val="bottom"/>
          </w:tcPr>
          <w:p>
            <w:pPr>
              <w:jc w:val="right"/>
              <w:ind w:right="208"/>
              <w:spacing w:after="0"/>
              <w:rPr>
                <w:sz w:val="20"/>
                <w:szCs w:val="20"/>
                <w:color w:val="auto"/>
              </w:rPr>
            </w:pPr>
            <w:r>
              <w:rPr>
                <w:rFonts w:ascii="Arial" w:cs="Arial" w:eastAsia="Arial" w:hAnsi="Arial"/>
                <w:sz w:val="14"/>
                <w:szCs w:val="14"/>
                <w:color w:val="auto"/>
              </w:rPr>
              <w:t>(187)</w:t>
            </w:r>
          </w:p>
        </w:tc>
      </w:tr>
      <w:tr>
        <w:trPr>
          <w:trHeight w:val="157"/>
        </w:trPr>
        <w:tc>
          <w:tcPr>
            <w:tcW w:w="5020" w:type="dxa"/>
            <w:vAlign w:val="bottom"/>
            <w:tcBorders>
              <w:bottom w:val="single" w:sz="8" w:color="auto"/>
            </w:tcBorders>
          </w:tcPr>
          <w:p>
            <w:pPr>
              <w:ind w:left="140"/>
              <w:spacing w:after="0" w:line="157" w:lineRule="exact"/>
              <w:rPr>
                <w:sz w:val="20"/>
                <w:szCs w:val="20"/>
                <w:color w:val="auto"/>
              </w:rPr>
            </w:pPr>
            <w:r>
              <w:rPr>
                <w:rFonts w:ascii="Arial" w:cs="Arial" w:eastAsia="Arial" w:hAnsi="Arial"/>
                <w:sz w:val="14"/>
                <w:szCs w:val="14"/>
                <w:color w:val="auto"/>
              </w:rPr>
              <w:t>Currency translation differences</w:t>
            </w:r>
          </w:p>
        </w:tc>
        <w:tc>
          <w:tcPr>
            <w:tcW w:w="2320" w:type="dxa"/>
            <w:vAlign w:val="bottom"/>
            <w:tcBorders>
              <w:bottom w:val="single" w:sz="8" w:color="auto"/>
            </w:tcBorders>
          </w:tcPr>
          <w:p>
            <w:pPr>
              <w:jc w:val="right"/>
              <w:ind w:right="329"/>
              <w:spacing w:after="0" w:line="157" w:lineRule="exact"/>
              <w:rPr>
                <w:sz w:val="20"/>
                <w:szCs w:val="20"/>
                <w:color w:val="auto"/>
              </w:rPr>
            </w:pPr>
            <w:r>
              <w:rPr>
                <w:rFonts w:ascii="Arial" w:cs="Arial" w:eastAsia="Arial" w:hAnsi="Arial"/>
                <w:sz w:val="14"/>
                <w:szCs w:val="14"/>
                <w:color w:val="auto"/>
              </w:rPr>
              <w:t>–</w:t>
            </w:r>
          </w:p>
        </w:tc>
        <w:tc>
          <w:tcPr>
            <w:tcW w:w="1460" w:type="dxa"/>
            <w:vAlign w:val="bottom"/>
            <w:tcBorders>
              <w:bottom w:val="single" w:sz="8" w:color="auto"/>
            </w:tcBorders>
          </w:tcPr>
          <w:p>
            <w:pPr>
              <w:jc w:val="right"/>
              <w:ind w:right="469"/>
              <w:spacing w:after="0" w:line="157" w:lineRule="exact"/>
              <w:rPr>
                <w:sz w:val="20"/>
                <w:szCs w:val="20"/>
                <w:color w:val="auto"/>
              </w:rPr>
            </w:pPr>
            <w:r>
              <w:rPr>
                <w:rFonts w:ascii="Arial" w:cs="Arial" w:eastAsia="Arial" w:hAnsi="Arial"/>
                <w:sz w:val="14"/>
                <w:szCs w:val="14"/>
                <w:color w:val="auto"/>
              </w:rPr>
              <w:t>(10)</w:t>
            </w:r>
          </w:p>
        </w:tc>
        <w:tc>
          <w:tcPr>
            <w:tcW w:w="1240" w:type="dxa"/>
            <w:vAlign w:val="bottom"/>
            <w:tcBorders>
              <w:bottom w:val="single" w:sz="8" w:color="auto"/>
            </w:tcBorders>
          </w:tcPr>
          <w:p>
            <w:pPr>
              <w:jc w:val="right"/>
              <w:ind w:right="229"/>
              <w:spacing w:after="0" w:line="157" w:lineRule="exact"/>
              <w:rPr>
                <w:sz w:val="20"/>
                <w:szCs w:val="20"/>
                <w:color w:val="auto"/>
              </w:rPr>
            </w:pPr>
            <w:r>
              <w:rPr>
                <w:rFonts w:ascii="Arial" w:cs="Arial" w:eastAsia="Arial" w:hAnsi="Arial"/>
                <w:sz w:val="14"/>
                <w:szCs w:val="14"/>
                <w:color w:val="auto"/>
              </w:rPr>
              <w:t>(137)</w:t>
            </w:r>
          </w:p>
        </w:tc>
        <w:tc>
          <w:tcPr>
            <w:tcW w:w="1380" w:type="dxa"/>
            <w:vAlign w:val="bottom"/>
            <w:tcBorders>
              <w:bottom w:val="single" w:sz="8" w:color="auto"/>
            </w:tcBorders>
          </w:tcPr>
          <w:p>
            <w:pPr>
              <w:jc w:val="right"/>
              <w:ind w:right="208"/>
              <w:spacing w:after="0" w:line="157" w:lineRule="exact"/>
              <w:rPr>
                <w:sz w:val="20"/>
                <w:szCs w:val="20"/>
                <w:color w:val="auto"/>
              </w:rPr>
            </w:pPr>
            <w:r>
              <w:rPr>
                <w:rFonts w:ascii="Arial" w:cs="Arial" w:eastAsia="Arial" w:hAnsi="Arial"/>
                <w:sz w:val="14"/>
                <w:szCs w:val="14"/>
                <w:color w:val="auto"/>
              </w:rPr>
              <w:t>(147)</w:t>
            </w:r>
          </w:p>
        </w:tc>
      </w:tr>
      <w:tr>
        <w:trPr>
          <w:trHeight w:val="156"/>
        </w:trPr>
        <w:tc>
          <w:tcPr>
            <w:tcW w:w="5020" w:type="dxa"/>
            <w:vAlign w:val="bottom"/>
            <w:tcBorders>
              <w:bottom w:val="single" w:sz="8" w:color="auto"/>
            </w:tcBorders>
          </w:tcPr>
          <w:p>
            <w:pPr>
              <w:spacing w:after="0" w:line="155" w:lineRule="exact"/>
              <w:rPr>
                <w:sz w:val="20"/>
                <w:szCs w:val="20"/>
                <w:color w:val="auto"/>
              </w:rPr>
            </w:pPr>
            <w:r>
              <w:rPr>
                <w:rFonts w:ascii="Arial" w:cs="Arial" w:eastAsia="Arial" w:hAnsi="Arial"/>
                <w:sz w:val="14"/>
                <w:szCs w:val="14"/>
                <w:color w:val="auto"/>
              </w:rPr>
              <w:t>At December 31</w:t>
            </w:r>
          </w:p>
        </w:tc>
        <w:tc>
          <w:tcPr>
            <w:tcW w:w="2320" w:type="dxa"/>
            <w:vAlign w:val="bottom"/>
            <w:tcBorders>
              <w:bottom w:val="single" w:sz="8" w:color="auto"/>
            </w:tcBorders>
          </w:tcPr>
          <w:p>
            <w:pPr>
              <w:jc w:val="right"/>
              <w:ind w:right="309"/>
              <w:spacing w:after="0" w:line="155" w:lineRule="exact"/>
              <w:rPr>
                <w:sz w:val="20"/>
                <w:szCs w:val="20"/>
                <w:color w:val="auto"/>
              </w:rPr>
            </w:pPr>
            <w:r>
              <w:rPr>
                <w:rFonts w:ascii="Arial" w:cs="Arial" w:eastAsia="Arial" w:hAnsi="Arial"/>
                <w:sz w:val="14"/>
                <w:szCs w:val="14"/>
                <w:color w:val="auto"/>
              </w:rPr>
              <w:t>278</w:t>
            </w:r>
          </w:p>
        </w:tc>
        <w:tc>
          <w:tcPr>
            <w:tcW w:w="1460" w:type="dxa"/>
            <w:vAlign w:val="bottom"/>
            <w:tcBorders>
              <w:bottom w:val="single" w:sz="8" w:color="auto"/>
            </w:tcBorders>
          </w:tcPr>
          <w:p>
            <w:pPr>
              <w:jc w:val="right"/>
              <w:ind w:right="509"/>
              <w:spacing w:after="0" w:line="155" w:lineRule="exact"/>
              <w:rPr>
                <w:sz w:val="20"/>
                <w:szCs w:val="20"/>
                <w:color w:val="auto"/>
              </w:rPr>
            </w:pPr>
            <w:r>
              <w:rPr>
                <w:rFonts w:ascii="Arial" w:cs="Arial" w:eastAsia="Arial" w:hAnsi="Arial"/>
                <w:sz w:val="14"/>
                <w:szCs w:val="14"/>
                <w:color w:val="auto"/>
              </w:rPr>
              <w:t>316</w:t>
            </w:r>
          </w:p>
        </w:tc>
        <w:tc>
          <w:tcPr>
            <w:tcW w:w="1240" w:type="dxa"/>
            <w:vAlign w:val="bottom"/>
            <w:tcBorders>
              <w:bottom w:val="single" w:sz="8" w:color="auto"/>
            </w:tcBorders>
          </w:tcPr>
          <w:p>
            <w:pPr>
              <w:jc w:val="right"/>
              <w:ind w:right="269"/>
              <w:spacing w:after="0" w:line="155" w:lineRule="exact"/>
              <w:rPr>
                <w:sz w:val="20"/>
                <w:szCs w:val="20"/>
                <w:color w:val="auto"/>
              </w:rPr>
            </w:pPr>
            <w:r>
              <w:rPr>
                <w:rFonts w:ascii="Arial" w:cs="Arial" w:eastAsia="Arial" w:hAnsi="Arial"/>
                <w:sz w:val="14"/>
                <w:szCs w:val="14"/>
                <w:color w:val="auto"/>
              </w:rPr>
              <w:t>2,875</w:t>
            </w:r>
          </w:p>
        </w:tc>
        <w:tc>
          <w:tcPr>
            <w:tcW w:w="1380" w:type="dxa"/>
            <w:vAlign w:val="bottom"/>
            <w:tcBorders>
              <w:bottom w:val="single" w:sz="8" w:color="auto"/>
            </w:tcBorders>
          </w:tcPr>
          <w:p>
            <w:pPr>
              <w:jc w:val="right"/>
              <w:ind w:right="268"/>
              <w:spacing w:after="0" w:line="155" w:lineRule="exact"/>
              <w:rPr>
                <w:sz w:val="20"/>
                <w:szCs w:val="20"/>
                <w:color w:val="auto"/>
              </w:rPr>
            </w:pPr>
            <w:r>
              <w:rPr>
                <w:rFonts w:ascii="Arial" w:cs="Arial" w:eastAsia="Arial" w:hAnsi="Arial"/>
                <w:sz w:val="14"/>
                <w:szCs w:val="14"/>
                <w:color w:val="auto"/>
              </w:rPr>
              <w:t>3,469</w:t>
            </w:r>
          </w:p>
        </w:tc>
      </w:tr>
      <w:tr>
        <w:trPr>
          <w:trHeight w:val="156"/>
        </w:trPr>
        <w:tc>
          <w:tcPr>
            <w:tcW w:w="5020" w:type="dxa"/>
            <w:vAlign w:val="bottom"/>
            <w:tcBorders>
              <w:bottom w:val="single" w:sz="8" w:color="auto"/>
            </w:tcBorders>
          </w:tcPr>
          <w:p>
            <w:pPr>
              <w:spacing w:after="0" w:line="155" w:lineRule="exact"/>
              <w:rPr>
                <w:sz w:val="20"/>
                <w:szCs w:val="20"/>
                <w:color w:val="auto"/>
              </w:rPr>
            </w:pPr>
            <w:r>
              <w:rPr>
                <w:rFonts w:ascii="Arial" w:cs="Arial" w:eastAsia="Arial" w:hAnsi="Arial"/>
                <w:sz w:val="14"/>
                <w:szCs w:val="14"/>
                <w:color w:val="auto"/>
              </w:rPr>
              <w:t>Carrying amount at December 31</w:t>
            </w:r>
          </w:p>
        </w:tc>
        <w:tc>
          <w:tcPr>
            <w:tcW w:w="2320" w:type="dxa"/>
            <w:vAlign w:val="bottom"/>
            <w:tcBorders>
              <w:bottom w:val="single" w:sz="8" w:color="auto"/>
            </w:tcBorders>
          </w:tcPr>
          <w:p>
            <w:pPr>
              <w:jc w:val="right"/>
              <w:ind w:right="329"/>
              <w:spacing w:after="0" w:line="155" w:lineRule="exact"/>
              <w:rPr>
                <w:sz w:val="20"/>
                <w:szCs w:val="20"/>
                <w:color w:val="auto"/>
              </w:rPr>
            </w:pPr>
            <w:r>
              <w:rPr>
                <w:rFonts w:ascii="Arial" w:cs="Arial" w:eastAsia="Arial" w:hAnsi="Arial"/>
                <w:sz w:val="14"/>
                <w:szCs w:val="14"/>
                <w:color w:val="auto"/>
              </w:rPr>
              <w:t>2,993</w:t>
            </w:r>
          </w:p>
        </w:tc>
        <w:tc>
          <w:tcPr>
            <w:tcW w:w="1460" w:type="dxa"/>
            <w:vAlign w:val="bottom"/>
            <w:tcBorders>
              <w:bottom w:val="single" w:sz="8" w:color="auto"/>
            </w:tcBorders>
          </w:tcPr>
          <w:p>
            <w:pPr>
              <w:jc w:val="right"/>
              <w:ind w:right="509"/>
              <w:spacing w:after="0" w:line="155" w:lineRule="exact"/>
              <w:rPr>
                <w:sz w:val="20"/>
                <w:szCs w:val="20"/>
                <w:color w:val="auto"/>
              </w:rPr>
            </w:pPr>
            <w:r>
              <w:rPr>
                <w:rFonts w:ascii="Arial" w:cs="Arial" w:eastAsia="Arial" w:hAnsi="Arial"/>
                <w:sz w:val="14"/>
                <w:szCs w:val="14"/>
                <w:color w:val="auto"/>
              </w:rPr>
              <w:t>2,396</w:t>
            </w:r>
          </w:p>
        </w:tc>
        <w:tc>
          <w:tcPr>
            <w:tcW w:w="1240" w:type="dxa"/>
            <w:vAlign w:val="bottom"/>
            <w:tcBorders>
              <w:bottom w:val="single" w:sz="8" w:color="auto"/>
            </w:tcBorders>
          </w:tcPr>
          <w:p>
            <w:pPr>
              <w:jc w:val="right"/>
              <w:ind w:right="269"/>
              <w:spacing w:after="0" w:line="155" w:lineRule="exact"/>
              <w:rPr>
                <w:sz w:val="20"/>
                <w:szCs w:val="20"/>
                <w:color w:val="auto"/>
              </w:rPr>
            </w:pPr>
            <w:r>
              <w:rPr>
                <w:rFonts w:ascii="Arial" w:cs="Arial" w:eastAsia="Arial" w:hAnsi="Arial"/>
                <w:sz w:val="14"/>
                <w:szCs w:val="14"/>
                <w:color w:val="auto"/>
              </w:rPr>
              <w:t>1,687</w:t>
            </w:r>
          </w:p>
        </w:tc>
        <w:tc>
          <w:tcPr>
            <w:tcW w:w="1380" w:type="dxa"/>
            <w:vAlign w:val="bottom"/>
            <w:tcBorders>
              <w:bottom w:val="single" w:sz="8" w:color="auto"/>
            </w:tcBorders>
          </w:tcPr>
          <w:p>
            <w:pPr>
              <w:jc w:val="right"/>
              <w:ind w:right="268"/>
              <w:spacing w:after="0" w:line="155" w:lineRule="exact"/>
              <w:rPr>
                <w:sz w:val="20"/>
                <w:szCs w:val="20"/>
                <w:color w:val="auto"/>
              </w:rPr>
            </w:pPr>
            <w:r>
              <w:rPr>
                <w:rFonts w:ascii="Arial" w:cs="Arial" w:eastAsia="Arial" w:hAnsi="Arial"/>
                <w:sz w:val="14"/>
                <w:szCs w:val="14"/>
                <w:color w:val="auto"/>
              </w:rPr>
              <w:t>7,076</w:t>
            </w:r>
          </w:p>
        </w:tc>
      </w:tr>
    </w:tbl>
    <w:p>
      <w:pPr>
        <w:sectPr>
          <w:pgSz w:w="11900" w:h="16838" w:orient="portrait"/>
          <w:cols w:equalWidth="0" w:num="1">
            <w:col w:w="11420"/>
          </w:cols>
          <w:pgMar w:left="240" w:top="459" w:right="239" w:bottom="1440" w:gutter="0" w:footer="0" w:header="0"/>
        </w:sectPr>
      </w:pPr>
    </w:p>
    <w:bookmarkStart w:id="121" w:name="page122"/>
    <w:bookmarkEnd w:id="1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300355</wp:posOffset>
            </wp:positionV>
            <wp:extent cx="8890" cy="46291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8890" cy="462915"/>
                    </a:xfrm>
                    <a:prstGeom prst="rect">
                      <a:avLst/>
                    </a:prstGeom>
                    <a:noFill/>
                  </pic:spPr>
                </pic:pic>
              </a:graphicData>
            </a:graphic>
          </wp:anchor>
        </w:drawing>
      </w:r>
    </w:p>
    <w:p>
      <w:pPr>
        <w:spacing w:after="0" w:line="200" w:lineRule="exact"/>
        <w:rPr>
          <w:sz w:val="20"/>
          <w:szCs w:val="20"/>
          <w:color w:val="auto"/>
        </w:rPr>
      </w:pP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565"/>
        </w:trPr>
        <w:tc>
          <w:tcPr>
            <w:tcW w:w="1680" w:type="dxa"/>
            <w:vAlign w:val="bottom"/>
            <w:shd w:val="clear" w:color="auto" w:fill="FF8B00"/>
          </w:tcPr>
          <w:p>
            <w:pPr>
              <w:ind w:left="260"/>
              <w:spacing w:after="0"/>
              <w:rPr>
                <w:sz w:val="20"/>
                <w:szCs w:val="20"/>
                <w:color w:val="auto"/>
              </w:rPr>
            </w:pPr>
            <w:r>
              <w:rPr>
                <w:rFonts w:ascii="Arial" w:cs="Arial" w:eastAsia="Arial" w:hAnsi="Arial"/>
                <w:sz w:val="11"/>
                <w:szCs w:val="11"/>
                <w:b w:val="1"/>
                <w:bCs w:val="1"/>
                <w:color w:val="333333"/>
              </w:rPr>
              <w:t>120</w:t>
            </w:r>
          </w:p>
        </w:tc>
        <w:tc>
          <w:tcPr>
            <w:tcW w:w="3900" w:type="dxa"/>
            <w:vAlign w:val="bottom"/>
            <w:shd w:val="clear" w:color="auto" w:fill="FF8B00"/>
          </w:tcPr>
          <w:p>
            <w:pPr>
              <w:jc w:val="right"/>
              <w:ind w:right="741"/>
              <w:spacing w:after="0"/>
              <w:rPr>
                <w:sz w:val="20"/>
                <w:szCs w:val="20"/>
                <w:color w:val="auto"/>
              </w:rPr>
            </w:pPr>
            <w:r>
              <w:rPr>
                <w:rFonts w:ascii="Arial" w:cs="Arial" w:eastAsia="Arial" w:hAnsi="Arial"/>
                <w:sz w:val="13"/>
                <w:szCs w:val="13"/>
                <w:color w:val="333333"/>
              </w:rPr>
              <w:t>FINANCIAL STATEMENTS AND SUPPLEMENTS</w:t>
            </w:r>
          </w:p>
        </w:tc>
        <w:tc>
          <w:tcPr>
            <w:tcW w:w="31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5"/>
        </w:trPr>
        <w:tc>
          <w:tcPr>
            <w:tcW w:w="1680" w:type="dxa"/>
            <w:vAlign w:val="bottom"/>
            <w:shd w:val="clear" w:color="auto" w:fill="FF8B00"/>
          </w:tcPr>
          <w:p>
            <w:pPr>
              <w:spacing w:after="0"/>
              <w:rPr>
                <w:sz w:val="14"/>
                <w:szCs w:val="14"/>
                <w:color w:val="auto"/>
              </w:rPr>
            </w:pPr>
          </w:p>
        </w:tc>
        <w:tc>
          <w:tcPr>
            <w:tcW w:w="3900" w:type="dxa"/>
            <w:vAlign w:val="bottom"/>
            <w:shd w:val="clear" w:color="auto" w:fill="FF8B00"/>
          </w:tcPr>
          <w:p>
            <w:pPr>
              <w:spacing w:after="0"/>
              <w:rPr>
                <w:sz w:val="14"/>
                <w:szCs w:val="14"/>
                <w:color w:val="auto"/>
              </w:rPr>
            </w:pPr>
          </w:p>
        </w:tc>
        <w:tc>
          <w:tcPr>
            <w:tcW w:w="3180" w:type="dxa"/>
            <w:vAlign w:val="bottom"/>
          </w:tcPr>
          <w:p>
            <w:pPr>
              <w:spacing w:after="0"/>
              <w:rPr>
                <w:sz w:val="14"/>
                <w:szCs w:val="14"/>
                <w:color w:val="auto"/>
              </w:rPr>
            </w:pPr>
          </w:p>
        </w:tc>
        <w:tc>
          <w:tcPr>
            <w:tcW w:w="2660" w:type="dxa"/>
            <w:vAlign w:val="bottom"/>
            <w:gridSpan w:val="2"/>
            <w:vMerge w:val="restart"/>
          </w:tcPr>
          <w:p>
            <w:pPr>
              <w:jc w:val="right"/>
              <w:spacing w:after="0"/>
              <w:rPr>
                <w:sz w:val="20"/>
                <w:szCs w:val="20"/>
                <w:color w:val="auto"/>
              </w:rPr>
            </w:pPr>
            <w:r>
              <w:rPr>
                <w:rFonts w:ascii="Arial" w:cs="Arial" w:eastAsia="Arial" w:hAnsi="Arial"/>
                <w:sz w:val="11"/>
                <w:szCs w:val="11"/>
                <w:color w:val="auto"/>
              </w:rPr>
              <w:t>SHELL ANNUAL REPORT AND FORM 20-F 2014</w:t>
            </w:r>
          </w:p>
        </w:tc>
        <w:tc>
          <w:tcPr>
            <w:tcW w:w="0" w:type="dxa"/>
            <w:vAlign w:val="bottom"/>
          </w:tcPr>
          <w:p>
            <w:pPr>
              <w:spacing w:after="0"/>
              <w:rPr>
                <w:sz w:val="1"/>
                <w:szCs w:val="1"/>
                <w:color w:val="auto"/>
              </w:rPr>
            </w:pPr>
          </w:p>
        </w:tc>
      </w:tr>
      <w:tr>
        <w:trPr>
          <w:trHeight w:val="130"/>
        </w:trPr>
        <w:tc>
          <w:tcPr>
            <w:tcW w:w="1680" w:type="dxa"/>
            <w:vAlign w:val="bottom"/>
          </w:tcPr>
          <w:p>
            <w:pPr>
              <w:spacing w:after="0"/>
              <w:rPr>
                <w:sz w:val="11"/>
                <w:szCs w:val="11"/>
                <w:color w:val="auto"/>
              </w:rPr>
            </w:pPr>
          </w:p>
        </w:tc>
        <w:tc>
          <w:tcPr>
            <w:tcW w:w="3900" w:type="dxa"/>
            <w:vAlign w:val="bottom"/>
          </w:tcPr>
          <w:p>
            <w:pPr>
              <w:jc w:val="right"/>
              <w:ind w:right="741"/>
              <w:spacing w:after="0"/>
              <w:rPr>
                <w:sz w:val="20"/>
                <w:szCs w:val="20"/>
                <w:color w:val="auto"/>
              </w:rPr>
            </w:pPr>
            <w:r>
              <w:rPr>
                <w:rFonts w:ascii="Arial" w:cs="Arial" w:eastAsia="Arial" w:hAnsi="Arial"/>
                <w:sz w:val="11"/>
                <w:szCs w:val="11"/>
                <w:color w:val="auto"/>
              </w:rPr>
              <w:t>CONSOLIDATED FINANCIAL STATEMENTS</w:t>
            </w:r>
          </w:p>
        </w:tc>
        <w:tc>
          <w:tcPr>
            <w:tcW w:w="3180" w:type="dxa"/>
            <w:vAlign w:val="bottom"/>
          </w:tcPr>
          <w:p>
            <w:pPr>
              <w:spacing w:after="0"/>
              <w:rPr>
                <w:sz w:val="11"/>
                <w:szCs w:val="11"/>
                <w:color w:val="auto"/>
              </w:rPr>
            </w:pPr>
          </w:p>
        </w:tc>
        <w:tc>
          <w:tcPr>
            <w:tcW w:w="266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1680" w:type="dxa"/>
            <w:vAlign w:val="bottom"/>
          </w:tcPr>
          <w:p>
            <w:pPr>
              <w:spacing w:after="0"/>
              <w:rPr>
                <w:sz w:val="20"/>
                <w:szCs w:val="20"/>
                <w:color w:val="auto"/>
              </w:rPr>
            </w:pPr>
            <w:r>
              <w:rPr>
                <w:rFonts w:ascii="Arial" w:cs="Arial" w:eastAsia="Arial" w:hAnsi="Arial"/>
                <w:sz w:val="11"/>
                <w:szCs w:val="11"/>
                <w:color w:val="auto"/>
              </w:rPr>
              <w:t>[Note 7 continued]</w:t>
            </w:r>
          </w:p>
        </w:tc>
        <w:tc>
          <w:tcPr>
            <w:tcW w:w="3900" w:type="dxa"/>
            <w:vAlign w:val="bottom"/>
          </w:tcPr>
          <w:p>
            <w:pPr>
              <w:spacing w:after="0"/>
              <w:rPr>
                <w:sz w:val="11"/>
                <w:szCs w:val="11"/>
                <w:color w:val="auto"/>
              </w:rPr>
            </w:pPr>
          </w:p>
        </w:tc>
        <w:tc>
          <w:tcPr>
            <w:tcW w:w="318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1680" w:type="dxa"/>
            <w:vAlign w:val="bottom"/>
            <w:shd w:val="clear" w:color="auto" w:fill="333333"/>
          </w:tcPr>
          <w:p>
            <w:pPr>
              <w:ind w:left="80"/>
              <w:spacing w:after="0" w:line="162" w:lineRule="exact"/>
              <w:rPr>
                <w:sz w:val="20"/>
                <w:szCs w:val="20"/>
                <w:color w:val="auto"/>
              </w:rPr>
            </w:pPr>
            <w:r>
              <w:rPr>
                <w:rFonts w:ascii="Arial" w:cs="Arial" w:eastAsia="Arial" w:hAnsi="Arial"/>
                <w:sz w:val="15"/>
                <w:szCs w:val="15"/>
                <w:b w:val="1"/>
                <w:bCs w:val="1"/>
                <w:color w:val="FFFFFF"/>
              </w:rPr>
              <w:t>2013</w:t>
            </w:r>
          </w:p>
        </w:tc>
        <w:tc>
          <w:tcPr>
            <w:tcW w:w="3900" w:type="dxa"/>
            <w:vAlign w:val="bottom"/>
            <w:shd w:val="clear" w:color="auto" w:fill="333333"/>
          </w:tcPr>
          <w:p>
            <w:pPr>
              <w:spacing w:after="0"/>
              <w:rPr>
                <w:sz w:val="14"/>
                <w:szCs w:val="14"/>
                <w:color w:val="auto"/>
              </w:rPr>
            </w:pPr>
          </w:p>
        </w:tc>
        <w:tc>
          <w:tcPr>
            <w:tcW w:w="3180" w:type="dxa"/>
            <w:vAlign w:val="bottom"/>
            <w:shd w:val="clear" w:color="auto" w:fill="333333"/>
          </w:tcPr>
          <w:p>
            <w:pPr>
              <w:spacing w:after="0"/>
              <w:rPr>
                <w:sz w:val="14"/>
                <w:szCs w:val="14"/>
                <w:color w:val="auto"/>
              </w:rPr>
            </w:pPr>
          </w:p>
        </w:tc>
        <w:tc>
          <w:tcPr>
            <w:tcW w:w="1520" w:type="dxa"/>
            <w:vAlign w:val="bottom"/>
            <w:shd w:val="clear" w:color="auto" w:fill="333333"/>
          </w:tcPr>
          <w:p>
            <w:pPr>
              <w:spacing w:after="0"/>
              <w:rPr>
                <w:sz w:val="14"/>
                <w:szCs w:val="14"/>
                <w:color w:val="auto"/>
              </w:rPr>
            </w:pPr>
          </w:p>
        </w:tc>
        <w:tc>
          <w:tcPr>
            <w:tcW w:w="1140" w:type="dxa"/>
            <w:vAlign w:val="bottom"/>
            <w:shd w:val="clear" w:color="auto" w:fill="333333"/>
          </w:tcPr>
          <w:p>
            <w:pPr>
              <w:jc w:val="right"/>
              <w:ind w:right="28"/>
              <w:spacing w:after="0" w:line="162" w:lineRule="exact"/>
              <w:rPr>
                <w:sz w:val="20"/>
                <w:szCs w:val="20"/>
                <w:color w:val="auto"/>
              </w:rPr>
            </w:pPr>
            <w:r>
              <w:rPr>
                <w:rFonts w:ascii="Arial" w:cs="Arial" w:eastAsia="Arial" w:hAnsi="Arial"/>
                <w:sz w:val="15"/>
                <w:szCs w:val="15"/>
                <w:color w:val="FFFFFF"/>
              </w:rPr>
              <w:t>$ MILLION</w:t>
            </w:r>
          </w:p>
        </w:tc>
        <w:tc>
          <w:tcPr>
            <w:tcW w:w="0" w:type="dxa"/>
            <w:vAlign w:val="bottom"/>
          </w:tcPr>
          <w:p>
            <w:pPr>
              <w:spacing w:after="0"/>
              <w:rPr>
                <w:sz w:val="1"/>
                <w:szCs w:val="1"/>
                <w:color w:val="auto"/>
              </w:rPr>
            </w:pPr>
          </w:p>
        </w:tc>
      </w:tr>
      <w:tr>
        <w:trPr>
          <w:trHeight w:val="149"/>
        </w:trPr>
        <w:tc>
          <w:tcPr>
            <w:tcW w:w="1680" w:type="dxa"/>
            <w:vAlign w:val="bottom"/>
            <w:tcBorders>
              <w:bottom w:val="single" w:sz="8" w:color="auto"/>
            </w:tcBorders>
          </w:tcPr>
          <w:p>
            <w:pPr>
              <w:spacing w:after="0"/>
              <w:rPr>
                <w:sz w:val="12"/>
                <w:szCs w:val="12"/>
                <w:color w:val="auto"/>
              </w:rPr>
            </w:pPr>
          </w:p>
        </w:tc>
        <w:tc>
          <w:tcPr>
            <w:tcW w:w="3900" w:type="dxa"/>
            <w:vAlign w:val="bottom"/>
            <w:tcBorders>
              <w:bottom w:val="single" w:sz="8" w:color="auto"/>
            </w:tcBorders>
          </w:tcPr>
          <w:p>
            <w:pPr>
              <w:spacing w:after="0"/>
              <w:rPr>
                <w:sz w:val="12"/>
                <w:szCs w:val="12"/>
                <w:color w:val="auto"/>
              </w:rPr>
            </w:pPr>
          </w:p>
        </w:tc>
        <w:tc>
          <w:tcPr>
            <w:tcW w:w="3180" w:type="dxa"/>
            <w:vAlign w:val="bottom"/>
            <w:tcBorders>
              <w:bottom w:val="single" w:sz="8" w:color="auto"/>
            </w:tcBorders>
          </w:tcPr>
          <w:p>
            <w:pPr>
              <w:jc w:val="right"/>
              <w:ind w:right="229"/>
              <w:spacing w:after="0"/>
              <w:rPr>
                <w:sz w:val="20"/>
                <w:szCs w:val="20"/>
                <w:color w:val="auto"/>
              </w:rPr>
            </w:pPr>
            <w:r>
              <w:rPr>
                <w:rFonts w:ascii="Arial" w:cs="Arial" w:eastAsia="Arial" w:hAnsi="Arial"/>
                <w:sz w:val="13"/>
                <w:szCs w:val="13"/>
                <w:color w:val="auto"/>
              </w:rPr>
              <w:t>Goodwill</w:t>
            </w:r>
          </w:p>
        </w:tc>
        <w:tc>
          <w:tcPr>
            <w:tcW w:w="1520" w:type="dxa"/>
            <w:vAlign w:val="bottom"/>
            <w:tcBorders>
              <w:bottom w:val="single" w:sz="8" w:color="auto"/>
            </w:tcBorders>
          </w:tcPr>
          <w:p>
            <w:pPr>
              <w:jc w:val="right"/>
              <w:ind w:right="270"/>
              <w:spacing w:after="0"/>
              <w:rPr>
                <w:sz w:val="20"/>
                <w:szCs w:val="20"/>
                <w:color w:val="auto"/>
              </w:rPr>
            </w:pPr>
            <w:r>
              <w:rPr>
                <w:rFonts w:ascii="Arial" w:cs="Arial" w:eastAsia="Arial" w:hAnsi="Arial"/>
                <w:sz w:val="13"/>
                <w:szCs w:val="13"/>
                <w:color w:val="auto"/>
              </w:rPr>
              <w:t>Other</w:t>
            </w:r>
          </w:p>
        </w:tc>
        <w:tc>
          <w:tcPr>
            <w:tcW w:w="1140" w:type="dxa"/>
            <w:vAlign w:val="bottom"/>
            <w:tcBorders>
              <w:bottom w:val="single" w:sz="8" w:color="auto"/>
            </w:tcBorders>
          </w:tcPr>
          <w:p>
            <w:pPr>
              <w:jc w:val="right"/>
              <w:ind w:right="368"/>
              <w:spacing w:after="0"/>
              <w:rPr>
                <w:sz w:val="20"/>
                <w:szCs w:val="20"/>
                <w:color w:val="auto"/>
              </w:rPr>
            </w:pPr>
            <w:r>
              <w:rPr>
                <w:rFonts w:ascii="Arial" w:cs="Arial" w:eastAsia="Arial" w:hAnsi="Arial"/>
                <w:sz w:val="13"/>
                <w:szCs w:val="13"/>
                <w:color w:val="auto"/>
              </w:rPr>
              <w:t>Total</w:t>
            </w:r>
          </w:p>
        </w:tc>
        <w:tc>
          <w:tcPr>
            <w:tcW w:w="0" w:type="dxa"/>
            <w:vAlign w:val="bottom"/>
          </w:tcPr>
          <w:p>
            <w:pPr>
              <w:spacing w:after="0"/>
              <w:rPr>
                <w:sz w:val="1"/>
                <w:szCs w:val="1"/>
                <w:color w:val="auto"/>
              </w:rPr>
            </w:pPr>
          </w:p>
        </w:tc>
      </w:tr>
      <w:tr>
        <w:trPr>
          <w:trHeight w:val="160"/>
        </w:trPr>
        <w:tc>
          <w:tcPr>
            <w:tcW w:w="1680" w:type="dxa"/>
            <w:vAlign w:val="bottom"/>
          </w:tcPr>
          <w:p>
            <w:pPr>
              <w:spacing w:after="0"/>
              <w:rPr>
                <w:sz w:val="20"/>
                <w:szCs w:val="20"/>
                <w:color w:val="auto"/>
              </w:rPr>
            </w:pPr>
            <w:r>
              <w:rPr>
                <w:rFonts w:ascii="Arial" w:cs="Arial" w:eastAsia="Arial" w:hAnsi="Arial"/>
                <w:sz w:val="14"/>
                <w:szCs w:val="14"/>
                <w:color w:val="auto"/>
              </w:rPr>
              <w:t>Cost</w:t>
            </w:r>
          </w:p>
        </w:tc>
        <w:tc>
          <w:tcPr>
            <w:tcW w:w="3900" w:type="dxa"/>
            <w:vAlign w:val="bottom"/>
          </w:tcPr>
          <w:p>
            <w:pPr>
              <w:spacing w:after="0"/>
              <w:rPr>
                <w:sz w:val="13"/>
                <w:szCs w:val="13"/>
                <w:color w:val="auto"/>
              </w:rPr>
            </w:pPr>
          </w:p>
        </w:tc>
        <w:tc>
          <w:tcPr>
            <w:tcW w:w="318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1680" w:type="dxa"/>
            <w:vAlign w:val="bottom"/>
          </w:tcPr>
          <w:p>
            <w:pPr>
              <w:ind w:left="140"/>
              <w:spacing w:after="0"/>
              <w:rPr>
                <w:sz w:val="20"/>
                <w:szCs w:val="20"/>
                <w:color w:val="auto"/>
              </w:rPr>
            </w:pPr>
            <w:r>
              <w:rPr>
                <w:rFonts w:ascii="Arial" w:cs="Arial" w:eastAsia="Arial" w:hAnsi="Arial"/>
                <w:sz w:val="14"/>
                <w:szCs w:val="14"/>
                <w:color w:val="auto"/>
              </w:rPr>
              <w:t>At January 1</w:t>
            </w:r>
          </w:p>
        </w:tc>
        <w:tc>
          <w:tcPr>
            <w:tcW w:w="3900" w:type="dxa"/>
            <w:vAlign w:val="bottom"/>
          </w:tcPr>
          <w:p>
            <w:pPr>
              <w:spacing w:after="0"/>
              <w:rPr>
                <w:sz w:val="14"/>
                <w:szCs w:val="14"/>
                <w:color w:val="auto"/>
              </w:rPr>
            </w:pPr>
          </w:p>
        </w:tc>
        <w:tc>
          <w:tcPr>
            <w:tcW w:w="3180" w:type="dxa"/>
            <w:vAlign w:val="bottom"/>
          </w:tcPr>
          <w:p>
            <w:pPr>
              <w:jc w:val="right"/>
              <w:ind w:right="229"/>
              <w:spacing w:after="0"/>
              <w:rPr>
                <w:sz w:val="20"/>
                <w:szCs w:val="20"/>
                <w:color w:val="auto"/>
              </w:rPr>
            </w:pPr>
            <w:r>
              <w:rPr>
                <w:rFonts w:ascii="Arial" w:cs="Arial" w:eastAsia="Arial" w:hAnsi="Arial"/>
                <w:sz w:val="14"/>
                <w:szCs w:val="14"/>
                <w:color w:val="auto"/>
              </w:rPr>
              <w:t>2,955</w:t>
            </w:r>
          </w:p>
        </w:tc>
        <w:tc>
          <w:tcPr>
            <w:tcW w:w="1520" w:type="dxa"/>
            <w:vAlign w:val="bottom"/>
          </w:tcPr>
          <w:p>
            <w:pPr>
              <w:jc w:val="right"/>
              <w:ind w:right="270"/>
              <w:spacing w:after="0"/>
              <w:rPr>
                <w:sz w:val="20"/>
                <w:szCs w:val="20"/>
                <w:color w:val="auto"/>
              </w:rPr>
            </w:pPr>
            <w:r>
              <w:rPr>
                <w:rFonts w:ascii="Arial" w:cs="Arial" w:eastAsia="Arial" w:hAnsi="Arial"/>
                <w:sz w:val="14"/>
                <w:szCs w:val="14"/>
                <w:color w:val="auto"/>
              </w:rPr>
              <w:t>4,547</w:t>
            </w:r>
          </w:p>
        </w:tc>
        <w:tc>
          <w:tcPr>
            <w:tcW w:w="1140" w:type="dxa"/>
            <w:vAlign w:val="bottom"/>
          </w:tcPr>
          <w:p>
            <w:pPr>
              <w:jc w:val="right"/>
              <w:ind w:right="368"/>
              <w:spacing w:after="0"/>
              <w:rPr>
                <w:sz w:val="20"/>
                <w:szCs w:val="20"/>
                <w:color w:val="auto"/>
              </w:rPr>
            </w:pPr>
            <w:r>
              <w:rPr>
                <w:rFonts w:ascii="Arial" w:cs="Arial" w:eastAsia="Arial" w:hAnsi="Arial"/>
                <w:sz w:val="14"/>
                <w:szCs w:val="14"/>
                <w:color w:val="auto"/>
              </w:rPr>
              <w:t>7,502</w:t>
            </w:r>
          </w:p>
        </w:tc>
        <w:tc>
          <w:tcPr>
            <w:tcW w:w="0" w:type="dxa"/>
            <w:vAlign w:val="bottom"/>
          </w:tcPr>
          <w:p>
            <w:pPr>
              <w:spacing w:after="0"/>
              <w:rPr>
                <w:sz w:val="1"/>
                <w:szCs w:val="1"/>
                <w:color w:val="auto"/>
              </w:rPr>
            </w:pPr>
          </w:p>
        </w:tc>
      </w:tr>
      <w:tr>
        <w:trPr>
          <w:trHeight w:val="162"/>
        </w:trPr>
        <w:tc>
          <w:tcPr>
            <w:tcW w:w="1680" w:type="dxa"/>
            <w:vAlign w:val="bottom"/>
          </w:tcPr>
          <w:p>
            <w:pPr>
              <w:ind w:left="140"/>
              <w:spacing w:after="0"/>
              <w:rPr>
                <w:sz w:val="20"/>
                <w:szCs w:val="20"/>
                <w:color w:val="auto"/>
              </w:rPr>
            </w:pPr>
            <w:r>
              <w:rPr>
                <w:rFonts w:ascii="Arial" w:cs="Arial" w:eastAsia="Arial" w:hAnsi="Arial"/>
                <w:sz w:val="14"/>
                <w:szCs w:val="14"/>
                <w:color w:val="auto"/>
              </w:rPr>
              <w:t>Additions</w:t>
            </w:r>
          </w:p>
        </w:tc>
        <w:tc>
          <w:tcPr>
            <w:tcW w:w="3900" w:type="dxa"/>
            <w:vAlign w:val="bottom"/>
          </w:tcPr>
          <w:p>
            <w:pPr>
              <w:spacing w:after="0"/>
              <w:rPr>
                <w:sz w:val="14"/>
                <w:szCs w:val="14"/>
                <w:color w:val="auto"/>
              </w:rPr>
            </w:pPr>
          </w:p>
        </w:tc>
        <w:tc>
          <w:tcPr>
            <w:tcW w:w="3180" w:type="dxa"/>
            <w:vAlign w:val="bottom"/>
          </w:tcPr>
          <w:p>
            <w:pPr>
              <w:jc w:val="right"/>
              <w:ind w:right="229"/>
              <w:spacing w:after="0"/>
              <w:rPr>
                <w:sz w:val="20"/>
                <w:szCs w:val="20"/>
                <w:color w:val="auto"/>
              </w:rPr>
            </w:pPr>
            <w:r>
              <w:rPr>
                <w:rFonts w:ascii="Arial" w:cs="Arial" w:eastAsia="Arial" w:hAnsi="Arial"/>
                <w:sz w:val="14"/>
                <w:szCs w:val="14"/>
                <w:color w:val="auto"/>
              </w:rPr>
              <w:t>57</w:t>
            </w:r>
          </w:p>
        </w:tc>
        <w:tc>
          <w:tcPr>
            <w:tcW w:w="1520" w:type="dxa"/>
            <w:vAlign w:val="bottom"/>
          </w:tcPr>
          <w:p>
            <w:pPr>
              <w:jc w:val="right"/>
              <w:ind w:right="270"/>
              <w:spacing w:after="0"/>
              <w:rPr>
                <w:sz w:val="20"/>
                <w:szCs w:val="20"/>
                <w:color w:val="auto"/>
              </w:rPr>
            </w:pPr>
            <w:r>
              <w:rPr>
                <w:rFonts w:ascii="Arial" w:cs="Arial" w:eastAsia="Arial" w:hAnsi="Arial"/>
                <w:sz w:val="14"/>
                <w:szCs w:val="14"/>
                <w:color w:val="auto"/>
              </w:rPr>
              <w:t>315</w:t>
            </w:r>
          </w:p>
        </w:tc>
        <w:tc>
          <w:tcPr>
            <w:tcW w:w="1140" w:type="dxa"/>
            <w:vAlign w:val="bottom"/>
          </w:tcPr>
          <w:p>
            <w:pPr>
              <w:jc w:val="right"/>
              <w:ind w:right="368"/>
              <w:spacing w:after="0"/>
              <w:rPr>
                <w:sz w:val="20"/>
                <w:szCs w:val="20"/>
                <w:color w:val="auto"/>
              </w:rPr>
            </w:pPr>
            <w:r>
              <w:rPr>
                <w:rFonts w:ascii="Arial" w:cs="Arial" w:eastAsia="Arial" w:hAnsi="Arial"/>
                <w:sz w:val="14"/>
                <w:szCs w:val="14"/>
                <w:color w:val="auto"/>
              </w:rPr>
              <w:t>372</w:t>
            </w:r>
          </w:p>
        </w:tc>
        <w:tc>
          <w:tcPr>
            <w:tcW w:w="0" w:type="dxa"/>
            <w:vAlign w:val="bottom"/>
          </w:tcPr>
          <w:p>
            <w:pPr>
              <w:spacing w:after="0"/>
              <w:rPr>
                <w:sz w:val="1"/>
                <w:szCs w:val="1"/>
                <w:color w:val="auto"/>
              </w:rPr>
            </w:pPr>
          </w:p>
        </w:tc>
      </w:tr>
      <w:tr>
        <w:trPr>
          <w:trHeight w:val="162"/>
        </w:trPr>
        <w:tc>
          <w:tcPr>
            <w:tcW w:w="5580" w:type="dxa"/>
            <w:vAlign w:val="bottom"/>
            <w:gridSpan w:val="2"/>
          </w:tcPr>
          <w:p>
            <w:pPr>
              <w:ind w:left="140"/>
              <w:spacing w:after="0"/>
              <w:rPr>
                <w:sz w:val="20"/>
                <w:szCs w:val="20"/>
                <w:color w:val="auto"/>
              </w:rPr>
            </w:pPr>
            <w:r>
              <w:rPr>
                <w:rFonts w:ascii="Arial" w:cs="Arial" w:eastAsia="Arial" w:hAnsi="Arial"/>
                <w:sz w:val="14"/>
                <w:szCs w:val="14"/>
                <w:color w:val="auto"/>
              </w:rPr>
              <w:t>Sales, retirements and other movements</w:t>
            </w:r>
          </w:p>
        </w:tc>
        <w:tc>
          <w:tcPr>
            <w:tcW w:w="3180" w:type="dxa"/>
            <w:vAlign w:val="bottom"/>
          </w:tcPr>
          <w:p>
            <w:pPr>
              <w:jc w:val="right"/>
              <w:ind w:right="169"/>
              <w:spacing w:after="0"/>
              <w:rPr>
                <w:sz w:val="20"/>
                <w:szCs w:val="20"/>
                <w:color w:val="auto"/>
              </w:rPr>
            </w:pPr>
            <w:r>
              <w:rPr>
                <w:rFonts w:ascii="Arial" w:cs="Arial" w:eastAsia="Arial" w:hAnsi="Arial"/>
                <w:sz w:val="14"/>
                <w:szCs w:val="14"/>
                <w:color w:val="auto"/>
              </w:rPr>
              <w:t>(3)</w:t>
            </w:r>
          </w:p>
        </w:tc>
        <w:tc>
          <w:tcPr>
            <w:tcW w:w="1520" w:type="dxa"/>
            <w:vAlign w:val="bottom"/>
          </w:tcPr>
          <w:p>
            <w:pPr>
              <w:jc w:val="right"/>
              <w:ind w:right="230"/>
              <w:spacing w:after="0"/>
              <w:rPr>
                <w:sz w:val="20"/>
                <w:szCs w:val="20"/>
                <w:color w:val="auto"/>
              </w:rPr>
            </w:pPr>
            <w:r>
              <w:rPr>
                <w:rFonts w:ascii="Arial" w:cs="Arial" w:eastAsia="Arial" w:hAnsi="Arial"/>
                <w:sz w:val="14"/>
                <w:szCs w:val="14"/>
                <w:color w:val="auto"/>
              </w:rPr>
              <w:t>(284)</w:t>
            </w:r>
          </w:p>
        </w:tc>
        <w:tc>
          <w:tcPr>
            <w:tcW w:w="1140" w:type="dxa"/>
            <w:vAlign w:val="bottom"/>
          </w:tcPr>
          <w:p>
            <w:pPr>
              <w:jc w:val="right"/>
              <w:ind w:right="328"/>
              <w:spacing w:after="0"/>
              <w:rPr>
                <w:sz w:val="20"/>
                <w:szCs w:val="20"/>
                <w:color w:val="auto"/>
              </w:rPr>
            </w:pPr>
            <w:r>
              <w:rPr>
                <w:rFonts w:ascii="Arial" w:cs="Arial" w:eastAsia="Arial" w:hAnsi="Arial"/>
                <w:sz w:val="14"/>
                <w:szCs w:val="14"/>
                <w:color w:val="auto"/>
              </w:rPr>
              <w:t>(287)</w:t>
            </w:r>
          </w:p>
        </w:tc>
        <w:tc>
          <w:tcPr>
            <w:tcW w:w="0" w:type="dxa"/>
            <w:vAlign w:val="bottom"/>
          </w:tcPr>
          <w:p>
            <w:pPr>
              <w:spacing w:after="0"/>
              <w:rPr>
                <w:sz w:val="1"/>
                <w:szCs w:val="1"/>
                <w:color w:val="auto"/>
              </w:rPr>
            </w:pPr>
          </w:p>
        </w:tc>
      </w:tr>
      <w:tr>
        <w:trPr>
          <w:trHeight w:val="157"/>
        </w:trPr>
        <w:tc>
          <w:tcPr>
            <w:tcW w:w="5580" w:type="dxa"/>
            <w:vAlign w:val="bottom"/>
            <w:tcBorders>
              <w:bottom w:val="single" w:sz="8" w:color="auto"/>
            </w:tcBorders>
            <w:gridSpan w:val="2"/>
          </w:tcPr>
          <w:p>
            <w:pPr>
              <w:ind w:left="140"/>
              <w:spacing w:after="0" w:line="157" w:lineRule="exact"/>
              <w:rPr>
                <w:sz w:val="20"/>
                <w:szCs w:val="20"/>
                <w:color w:val="auto"/>
              </w:rPr>
            </w:pPr>
            <w:r>
              <w:rPr>
                <w:rFonts w:ascii="Arial" w:cs="Arial" w:eastAsia="Arial" w:hAnsi="Arial"/>
                <w:sz w:val="14"/>
                <w:szCs w:val="14"/>
                <w:color w:val="auto"/>
              </w:rPr>
              <w:t>Currency translation differences</w:t>
            </w:r>
          </w:p>
        </w:tc>
        <w:tc>
          <w:tcPr>
            <w:tcW w:w="3180" w:type="dxa"/>
            <w:vAlign w:val="bottom"/>
            <w:tcBorders>
              <w:bottom w:val="single" w:sz="8" w:color="auto"/>
            </w:tcBorders>
          </w:tcPr>
          <w:p>
            <w:pPr>
              <w:jc w:val="right"/>
              <w:ind w:right="169"/>
              <w:spacing w:after="0" w:line="157" w:lineRule="exact"/>
              <w:rPr>
                <w:sz w:val="20"/>
                <w:szCs w:val="20"/>
                <w:color w:val="auto"/>
              </w:rPr>
            </w:pPr>
            <w:r>
              <w:rPr>
                <w:rFonts w:ascii="Arial" w:cs="Arial" w:eastAsia="Arial" w:hAnsi="Arial"/>
                <w:sz w:val="14"/>
                <w:szCs w:val="14"/>
                <w:color w:val="auto"/>
              </w:rPr>
              <w:t>(61)</w:t>
            </w:r>
          </w:p>
        </w:tc>
        <w:tc>
          <w:tcPr>
            <w:tcW w:w="1520" w:type="dxa"/>
            <w:vAlign w:val="bottom"/>
            <w:tcBorders>
              <w:bottom w:val="single" w:sz="8" w:color="auto"/>
            </w:tcBorders>
          </w:tcPr>
          <w:p>
            <w:pPr>
              <w:jc w:val="right"/>
              <w:ind w:right="270"/>
              <w:spacing w:after="0" w:line="157" w:lineRule="exact"/>
              <w:rPr>
                <w:sz w:val="20"/>
                <w:szCs w:val="20"/>
                <w:color w:val="auto"/>
              </w:rPr>
            </w:pPr>
            <w:r>
              <w:rPr>
                <w:rFonts w:ascii="Arial" w:cs="Arial" w:eastAsia="Arial" w:hAnsi="Arial"/>
                <w:sz w:val="14"/>
                <w:szCs w:val="14"/>
                <w:color w:val="auto"/>
              </w:rPr>
              <w:t>7</w:t>
            </w:r>
          </w:p>
        </w:tc>
        <w:tc>
          <w:tcPr>
            <w:tcW w:w="1140" w:type="dxa"/>
            <w:vAlign w:val="bottom"/>
            <w:tcBorders>
              <w:bottom w:val="single" w:sz="8" w:color="auto"/>
            </w:tcBorders>
          </w:tcPr>
          <w:p>
            <w:pPr>
              <w:jc w:val="right"/>
              <w:ind w:right="328"/>
              <w:spacing w:after="0" w:line="157" w:lineRule="exact"/>
              <w:rPr>
                <w:sz w:val="20"/>
                <w:szCs w:val="20"/>
                <w:color w:val="auto"/>
              </w:rPr>
            </w:pPr>
            <w:r>
              <w:rPr>
                <w:rFonts w:ascii="Arial" w:cs="Arial" w:eastAsia="Arial" w:hAnsi="Arial"/>
                <w:sz w:val="14"/>
                <w:szCs w:val="14"/>
                <w:color w:val="auto"/>
              </w:rPr>
              <w:t>(54)</w:t>
            </w:r>
          </w:p>
        </w:tc>
        <w:tc>
          <w:tcPr>
            <w:tcW w:w="0" w:type="dxa"/>
            <w:vAlign w:val="bottom"/>
          </w:tcPr>
          <w:p>
            <w:pPr>
              <w:spacing w:after="0"/>
              <w:rPr>
                <w:sz w:val="1"/>
                <w:szCs w:val="1"/>
                <w:color w:val="auto"/>
              </w:rPr>
            </w:pPr>
          </w:p>
        </w:tc>
      </w:tr>
      <w:tr>
        <w:trPr>
          <w:trHeight w:val="156"/>
        </w:trPr>
        <w:tc>
          <w:tcPr>
            <w:tcW w:w="1680" w:type="dxa"/>
            <w:vAlign w:val="bottom"/>
            <w:tcBorders>
              <w:bottom w:val="single" w:sz="8" w:color="auto"/>
            </w:tcBorders>
          </w:tcPr>
          <w:p>
            <w:pPr>
              <w:spacing w:after="0" w:line="155" w:lineRule="exact"/>
              <w:rPr>
                <w:sz w:val="20"/>
                <w:szCs w:val="20"/>
                <w:color w:val="auto"/>
              </w:rPr>
            </w:pPr>
            <w:r>
              <w:rPr>
                <w:rFonts w:ascii="Arial" w:cs="Arial" w:eastAsia="Arial" w:hAnsi="Arial"/>
                <w:sz w:val="14"/>
                <w:szCs w:val="14"/>
                <w:color w:val="auto"/>
              </w:rPr>
              <w:t>At December 31</w:t>
            </w:r>
          </w:p>
        </w:tc>
        <w:tc>
          <w:tcPr>
            <w:tcW w:w="3900" w:type="dxa"/>
            <w:vAlign w:val="bottom"/>
            <w:tcBorders>
              <w:bottom w:val="single" w:sz="8" w:color="auto"/>
            </w:tcBorders>
          </w:tcPr>
          <w:p>
            <w:pPr>
              <w:spacing w:after="0"/>
              <w:rPr>
                <w:sz w:val="13"/>
                <w:szCs w:val="13"/>
                <w:color w:val="auto"/>
              </w:rPr>
            </w:pPr>
          </w:p>
        </w:tc>
        <w:tc>
          <w:tcPr>
            <w:tcW w:w="3180" w:type="dxa"/>
            <w:vAlign w:val="bottom"/>
            <w:tcBorders>
              <w:bottom w:val="single" w:sz="8" w:color="auto"/>
            </w:tcBorders>
          </w:tcPr>
          <w:p>
            <w:pPr>
              <w:jc w:val="right"/>
              <w:ind w:right="229"/>
              <w:spacing w:after="0" w:line="155" w:lineRule="exact"/>
              <w:rPr>
                <w:sz w:val="20"/>
                <w:szCs w:val="20"/>
                <w:color w:val="auto"/>
              </w:rPr>
            </w:pPr>
            <w:r>
              <w:rPr>
                <w:rFonts w:ascii="Arial" w:cs="Arial" w:eastAsia="Arial" w:hAnsi="Arial"/>
                <w:sz w:val="14"/>
                <w:szCs w:val="14"/>
                <w:color w:val="auto"/>
              </w:rPr>
              <w:t>2,948</w:t>
            </w:r>
          </w:p>
        </w:tc>
        <w:tc>
          <w:tcPr>
            <w:tcW w:w="1520" w:type="dxa"/>
            <w:vAlign w:val="bottom"/>
            <w:tcBorders>
              <w:bottom w:val="single" w:sz="8" w:color="auto"/>
            </w:tcBorders>
          </w:tcPr>
          <w:p>
            <w:pPr>
              <w:jc w:val="right"/>
              <w:ind w:right="270"/>
              <w:spacing w:after="0" w:line="155" w:lineRule="exact"/>
              <w:rPr>
                <w:sz w:val="20"/>
                <w:szCs w:val="20"/>
                <w:color w:val="auto"/>
              </w:rPr>
            </w:pPr>
            <w:r>
              <w:rPr>
                <w:rFonts w:ascii="Arial" w:cs="Arial" w:eastAsia="Arial" w:hAnsi="Arial"/>
                <w:sz w:val="14"/>
                <w:szCs w:val="14"/>
                <w:color w:val="auto"/>
              </w:rPr>
              <w:t>4,585</w:t>
            </w:r>
          </w:p>
        </w:tc>
        <w:tc>
          <w:tcPr>
            <w:tcW w:w="1140" w:type="dxa"/>
            <w:vAlign w:val="bottom"/>
            <w:tcBorders>
              <w:bottom w:val="single" w:sz="8" w:color="auto"/>
            </w:tcBorders>
          </w:tcPr>
          <w:p>
            <w:pPr>
              <w:jc w:val="right"/>
              <w:ind w:right="368"/>
              <w:spacing w:after="0" w:line="155" w:lineRule="exact"/>
              <w:rPr>
                <w:sz w:val="20"/>
                <w:szCs w:val="20"/>
                <w:color w:val="auto"/>
              </w:rPr>
            </w:pPr>
            <w:r>
              <w:rPr>
                <w:rFonts w:ascii="Arial" w:cs="Arial" w:eastAsia="Arial" w:hAnsi="Arial"/>
                <w:sz w:val="14"/>
                <w:szCs w:val="14"/>
                <w:color w:val="auto"/>
              </w:rPr>
              <w:t>7,533</w:t>
            </w:r>
          </w:p>
        </w:tc>
        <w:tc>
          <w:tcPr>
            <w:tcW w:w="0" w:type="dxa"/>
            <w:vAlign w:val="bottom"/>
          </w:tcPr>
          <w:p>
            <w:pPr>
              <w:spacing w:after="0"/>
              <w:rPr>
                <w:sz w:val="1"/>
                <w:szCs w:val="1"/>
                <w:color w:val="auto"/>
              </w:rPr>
            </w:pPr>
          </w:p>
        </w:tc>
      </w:tr>
      <w:tr>
        <w:trPr>
          <w:trHeight w:val="160"/>
        </w:trPr>
        <w:tc>
          <w:tcPr>
            <w:tcW w:w="5580" w:type="dxa"/>
            <w:vAlign w:val="bottom"/>
            <w:gridSpan w:val="2"/>
          </w:tcPr>
          <w:p>
            <w:pPr>
              <w:spacing w:after="0"/>
              <w:rPr>
                <w:sz w:val="20"/>
                <w:szCs w:val="20"/>
                <w:color w:val="auto"/>
              </w:rPr>
            </w:pPr>
            <w:r>
              <w:rPr>
                <w:rFonts w:ascii="Arial" w:cs="Arial" w:eastAsia="Arial" w:hAnsi="Arial"/>
                <w:sz w:val="14"/>
                <w:szCs w:val="14"/>
                <w:color w:val="auto"/>
              </w:rPr>
              <w:t>Depreciation, depletion and amortisation, including impairments</w:t>
            </w:r>
          </w:p>
        </w:tc>
        <w:tc>
          <w:tcPr>
            <w:tcW w:w="318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1680" w:type="dxa"/>
            <w:vAlign w:val="bottom"/>
          </w:tcPr>
          <w:p>
            <w:pPr>
              <w:ind w:left="140"/>
              <w:spacing w:after="0"/>
              <w:rPr>
                <w:sz w:val="20"/>
                <w:szCs w:val="20"/>
                <w:color w:val="auto"/>
              </w:rPr>
            </w:pPr>
            <w:r>
              <w:rPr>
                <w:rFonts w:ascii="Arial" w:cs="Arial" w:eastAsia="Arial" w:hAnsi="Arial"/>
                <w:sz w:val="14"/>
                <w:szCs w:val="14"/>
                <w:color w:val="auto"/>
              </w:rPr>
              <w:t>At January 1</w:t>
            </w:r>
          </w:p>
        </w:tc>
        <w:tc>
          <w:tcPr>
            <w:tcW w:w="3900" w:type="dxa"/>
            <w:vAlign w:val="bottom"/>
          </w:tcPr>
          <w:p>
            <w:pPr>
              <w:spacing w:after="0"/>
              <w:rPr>
                <w:sz w:val="14"/>
                <w:szCs w:val="14"/>
                <w:color w:val="auto"/>
              </w:rPr>
            </w:pPr>
          </w:p>
        </w:tc>
        <w:tc>
          <w:tcPr>
            <w:tcW w:w="3180" w:type="dxa"/>
            <w:vAlign w:val="bottom"/>
          </w:tcPr>
          <w:p>
            <w:pPr>
              <w:jc w:val="right"/>
              <w:ind w:right="229"/>
              <w:spacing w:after="0"/>
              <w:rPr>
                <w:sz w:val="20"/>
                <w:szCs w:val="20"/>
                <w:color w:val="auto"/>
              </w:rPr>
            </w:pPr>
            <w:r>
              <w:rPr>
                <w:rFonts w:ascii="Arial" w:cs="Arial" w:eastAsia="Arial" w:hAnsi="Arial"/>
                <w:sz w:val="14"/>
                <w:szCs w:val="14"/>
                <w:color w:val="auto"/>
              </w:rPr>
              <w:t>340</w:t>
            </w:r>
          </w:p>
        </w:tc>
        <w:tc>
          <w:tcPr>
            <w:tcW w:w="1520" w:type="dxa"/>
            <w:vAlign w:val="bottom"/>
          </w:tcPr>
          <w:p>
            <w:pPr>
              <w:jc w:val="right"/>
              <w:ind w:right="270"/>
              <w:spacing w:after="0"/>
              <w:rPr>
                <w:sz w:val="20"/>
                <w:szCs w:val="20"/>
                <w:color w:val="auto"/>
              </w:rPr>
            </w:pPr>
            <w:r>
              <w:rPr>
                <w:rFonts w:ascii="Arial" w:cs="Arial" w:eastAsia="Arial" w:hAnsi="Arial"/>
                <w:sz w:val="14"/>
                <w:szCs w:val="14"/>
                <w:color w:val="auto"/>
              </w:rPr>
              <w:t>2,692</w:t>
            </w:r>
          </w:p>
        </w:tc>
        <w:tc>
          <w:tcPr>
            <w:tcW w:w="1140" w:type="dxa"/>
            <w:vAlign w:val="bottom"/>
          </w:tcPr>
          <w:p>
            <w:pPr>
              <w:jc w:val="right"/>
              <w:ind w:right="368"/>
              <w:spacing w:after="0"/>
              <w:rPr>
                <w:sz w:val="20"/>
                <w:szCs w:val="20"/>
                <w:color w:val="auto"/>
              </w:rPr>
            </w:pPr>
            <w:r>
              <w:rPr>
                <w:rFonts w:ascii="Arial" w:cs="Arial" w:eastAsia="Arial" w:hAnsi="Arial"/>
                <w:sz w:val="14"/>
                <w:szCs w:val="14"/>
                <w:color w:val="auto"/>
              </w:rPr>
              <w:t>3,032</w:t>
            </w:r>
          </w:p>
        </w:tc>
        <w:tc>
          <w:tcPr>
            <w:tcW w:w="0" w:type="dxa"/>
            <w:vAlign w:val="bottom"/>
          </w:tcPr>
          <w:p>
            <w:pPr>
              <w:spacing w:after="0"/>
              <w:rPr>
                <w:sz w:val="1"/>
                <w:szCs w:val="1"/>
                <w:color w:val="auto"/>
              </w:rPr>
            </w:pPr>
          </w:p>
        </w:tc>
      </w:tr>
      <w:tr>
        <w:trPr>
          <w:trHeight w:val="162"/>
        </w:trPr>
        <w:tc>
          <w:tcPr>
            <w:tcW w:w="1680" w:type="dxa"/>
            <w:vAlign w:val="bottom"/>
          </w:tcPr>
          <w:p>
            <w:pPr>
              <w:ind w:left="140"/>
              <w:spacing w:after="0"/>
              <w:rPr>
                <w:sz w:val="20"/>
                <w:szCs w:val="20"/>
                <w:color w:val="auto"/>
              </w:rPr>
            </w:pPr>
            <w:r>
              <w:rPr>
                <w:rFonts w:ascii="Arial" w:cs="Arial" w:eastAsia="Arial" w:hAnsi="Arial"/>
                <w:sz w:val="14"/>
                <w:szCs w:val="14"/>
                <w:color w:val="auto"/>
              </w:rPr>
              <w:t>Charge for the year</w:t>
            </w:r>
          </w:p>
        </w:tc>
        <w:tc>
          <w:tcPr>
            <w:tcW w:w="3900" w:type="dxa"/>
            <w:vAlign w:val="bottom"/>
          </w:tcPr>
          <w:p>
            <w:pPr>
              <w:spacing w:after="0"/>
              <w:rPr>
                <w:sz w:val="14"/>
                <w:szCs w:val="14"/>
                <w:color w:val="auto"/>
              </w:rPr>
            </w:pPr>
          </w:p>
        </w:tc>
        <w:tc>
          <w:tcPr>
            <w:tcW w:w="3180" w:type="dxa"/>
            <w:vAlign w:val="bottom"/>
          </w:tcPr>
          <w:p>
            <w:pPr>
              <w:jc w:val="right"/>
              <w:ind w:right="229"/>
              <w:spacing w:after="0"/>
              <w:rPr>
                <w:sz w:val="20"/>
                <w:szCs w:val="20"/>
                <w:color w:val="auto"/>
              </w:rPr>
            </w:pPr>
            <w:r>
              <w:rPr>
                <w:rFonts w:ascii="Arial" w:cs="Arial" w:eastAsia="Arial" w:hAnsi="Arial"/>
                <w:sz w:val="14"/>
                <w:szCs w:val="14"/>
                <w:color w:val="auto"/>
              </w:rPr>
              <w:t>54</w:t>
            </w:r>
          </w:p>
        </w:tc>
        <w:tc>
          <w:tcPr>
            <w:tcW w:w="1520" w:type="dxa"/>
            <w:vAlign w:val="bottom"/>
          </w:tcPr>
          <w:p>
            <w:pPr>
              <w:jc w:val="right"/>
              <w:ind w:right="270"/>
              <w:spacing w:after="0"/>
              <w:rPr>
                <w:sz w:val="20"/>
                <w:szCs w:val="20"/>
                <w:color w:val="auto"/>
              </w:rPr>
            </w:pPr>
            <w:r>
              <w:rPr>
                <w:rFonts w:ascii="Arial" w:cs="Arial" w:eastAsia="Arial" w:hAnsi="Arial"/>
                <w:sz w:val="14"/>
                <w:szCs w:val="14"/>
                <w:color w:val="auto"/>
              </w:rPr>
              <w:t>372</w:t>
            </w:r>
          </w:p>
        </w:tc>
        <w:tc>
          <w:tcPr>
            <w:tcW w:w="1140" w:type="dxa"/>
            <w:vAlign w:val="bottom"/>
          </w:tcPr>
          <w:p>
            <w:pPr>
              <w:jc w:val="right"/>
              <w:ind w:right="368"/>
              <w:spacing w:after="0"/>
              <w:rPr>
                <w:sz w:val="20"/>
                <w:szCs w:val="20"/>
                <w:color w:val="auto"/>
              </w:rPr>
            </w:pPr>
            <w:r>
              <w:rPr>
                <w:rFonts w:ascii="Arial" w:cs="Arial" w:eastAsia="Arial" w:hAnsi="Arial"/>
                <w:sz w:val="14"/>
                <w:szCs w:val="14"/>
                <w:color w:val="auto"/>
              </w:rPr>
              <w:t>426</w:t>
            </w:r>
          </w:p>
        </w:tc>
        <w:tc>
          <w:tcPr>
            <w:tcW w:w="0" w:type="dxa"/>
            <w:vAlign w:val="bottom"/>
          </w:tcPr>
          <w:p>
            <w:pPr>
              <w:spacing w:after="0"/>
              <w:rPr>
                <w:sz w:val="1"/>
                <w:szCs w:val="1"/>
                <w:color w:val="auto"/>
              </w:rPr>
            </w:pPr>
          </w:p>
        </w:tc>
      </w:tr>
      <w:tr>
        <w:trPr>
          <w:trHeight w:val="162"/>
        </w:trPr>
        <w:tc>
          <w:tcPr>
            <w:tcW w:w="5580" w:type="dxa"/>
            <w:vAlign w:val="bottom"/>
            <w:gridSpan w:val="2"/>
          </w:tcPr>
          <w:p>
            <w:pPr>
              <w:ind w:left="140"/>
              <w:spacing w:after="0"/>
              <w:rPr>
                <w:sz w:val="20"/>
                <w:szCs w:val="20"/>
                <w:color w:val="auto"/>
              </w:rPr>
            </w:pPr>
            <w:r>
              <w:rPr>
                <w:rFonts w:ascii="Arial" w:cs="Arial" w:eastAsia="Arial" w:hAnsi="Arial"/>
                <w:sz w:val="14"/>
                <w:szCs w:val="14"/>
                <w:color w:val="auto"/>
              </w:rPr>
              <w:t>Sales, retirements and other movements</w:t>
            </w:r>
          </w:p>
        </w:tc>
        <w:tc>
          <w:tcPr>
            <w:tcW w:w="3180" w:type="dxa"/>
            <w:vAlign w:val="bottom"/>
          </w:tcPr>
          <w:p>
            <w:pPr>
              <w:jc w:val="right"/>
              <w:ind w:right="169"/>
              <w:spacing w:after="0"/>
              <w:rPr>
                <w:sz w:val="20"/>
                <w:szCs w:val="20"/>
                <w:color w:val="auto"/>
              </w:rPr>
            </w:pPr>
            <w:r>
              <w:rPr>
                <w:rFonts w:ascii="Arial" w:cs="Arial" w:eastAsia="Arial" w:hAnsi="Arial"/>
                <w:sz w:val="14"/>
                <w:szCs w:val="14"/>
                <w:color w:val="auto"/>
              </w:rPr>
              <w:t>(1)</w:t>
            </w:r>
          </w:p>
        </w:tc>
        <w:tc>
          <w:tcPr>
            <w:tcW w:w="1520" w:type="dxa"/>
            <w:vAlign w:val="bottom"/>
          </w:tcPr>
          <w:p>
            <w:pPr>
              <w:jc w:val="right"/>
              <w:ind w:right="230"/>
              <w:spacing w:after="0"/>
              <w:rPr>
                <w:sz w:val="20"/>
                <w:szCs w:val="20"/>
                <w:color w:val="auto"/>
              </w:rPr>
            </w:pPr>
            <w:r>
              <w:rPr>
                <w:rFonts w:ascii="Arial" w:cs="Arial" w:eastAsia="Arial" w:hAnsi="Arial"/>
                <w:sz w:val="14"/>
                <w:szCs w:val="14"/>
                <w:color w:val="auto"/>
              </w:rPr>
              <w:t>(309)</w:t>
            </w:r>
          </w:p>
        </w:tc>
        <w:tc>
          <w:tcPr>
            <w:tcW w:w="1140" w:type="dxa"/>
            <w:vAlign w:val="bottom"/>
          </w:tcPr>
          <w:p>
            <w:pPr>
              <w:jc w:val="right"/>
              <w:ind w:right="328"/>
              <w:spacing w:after="0"/>
              <w:rPr>
                <w:sz w:val="20"/>
                <w:szCs w:val="20"/>
                <w:color w:val="auto"/>
              </w:rPr>
            </w:pPr>
            <w:r>
              <w:rPr>
                <w:rFonts w:ascii="Arial" w:cs="Arial" w:eastAsia="Arial" w:hAnsi="Arial"/>
                <w:sz w:val="14"/>
                <w:szCs w:val="14"/>
                <w:color w:val="auto"/>
              </w:rPr>
              <w:t>(310)</w:t>
            </w:r>
          </w:p>
        </w:tc>
        <w:tc>
          <w:tcPr>
            <w:tcW w:w="0" w:type="dxa"/>
            <w:vAlign w:val="bottom"/>
          </w:tcPr>
          <w:p>
            <w:pPr>
              <w:spacing w:after="0"/>
              <w:rPr>
                <w:sz w:val="1"/>
                <w:szCs w:val="1"/>
                <w:color w:val="auto"/>
              </w:rPr>
            </w:pPr>
          </w:p>
        </w:tc>
      </w:tr>
      <w:tr>
        <w:trPr>
          <w:trHeight w:val="157"/>
        </w:trPr>
        <w:tc>
          <w:tcPr>
            <w:tcW w:w="5580" w:type="dxa"/>
            <w:vAlign w:val="bottom"/>
            <w:tcBorders>
              <w:bottom w:val="single" w:sz="8" w:color="auto"/>
            </w:tcBorders>
            <w:gridSpan w:val="2"/>
          </w:tcPr>
          <w:p>
            <w:pPr>
              <w:ind w:left="140"/>
              <w:spacing w:after="0" w:line="157" w:lineRule="exact"/>
              <w:rPr>
                <w:sz w:val="20"/>
                <w:szCs w:val="20"/>
                <w:color w:val="auto"/>
              </w:rPr>
            </w:pPr>
            <w:r>
              <w:rPr>
                <w:rFonts w:ascii="Arial" w:cs="Arial" w:eastAsia="Arial" w:hAnsi="Arial"/>
                <w:sz w:val="14"/>
                <w:szCs w:val="14"/>
                <w:color w:val="auto"/>
              </w:rPr>
              <w:t>Currency translation differences</w:t>
            </w:r>
          </w:p>
        </w:tc>
        <w:tc>
          <w:tcPr>
            <w:tcW w:w="3180" w:type="dxa"/>
            <w:vAlign w:val="bottom"/>
            <w:tcBorders>
              <w:bottom w:val="single" w:sz="8" w:color="auto"/>
            </w:tcBorders>
          </w:tcPr>
          <w:p>
            <w:pPr>
              <w:jc w:val="right"/>
              <w:ind w:right="169"/>
              <w:spacing w:after="0" w:line="157" w:lineRule="exact"/>
              <w:rPr>
                <w:sz w:val="20"/>
                <w:szCs w:val="20"/>
                <w:color w:val="auto"/>
              </w:rPr>
            </w:pPr>
            <w:r>
              <w:rPr>
                <w:rFonts w:ascii="Arial" w:cs="Arial" w:eastAsia="Arial" w:hAnsi="Arial"/>
                <w:sz w:val="14"/>
                <w:szCs w:val="14"/>
                <w:color w:val="auto"/>
              </w:rPr>
              <w:t>(8)</w:t>
            </w:r>
          </w:p>
        </w:tc>
        <w:tc>
          <w:tcPr>
            <w:tcW w:w="1520" w:type="dxa"/>
            <w:vAlign w:val="bottom"/>
            <w:tcBorders>
              <w:bottom w:val="single" w:sz="8" w:color="auto"/>
            </w:tcBorders>
          </w:tcPr>
          <w:p>
            <w:pPr>
              <w:jc w:val="right"/>
              <w:ind w:right="230"/>
              <w:spacing w:after="0" w:line="157" w:lineRule="exact"/>
              <w:rPr>
                <w:sz w:val="20"/>
                <w:szCs w:val="20"/>
                <w:color w:val="auto"/>
              </w:rPr>
            </w:pPr>
            <w:r>
              <w:rPr>
                <w:rFonts w:ascii="Arial" w:cs="Arial" w:eastAsia="Arial" w:hAnsi="Arial"/>
                <w:sz w:val="14"/>
                <w:szCs w:val="14"/>
                <w:color w:val="auto"/>
              </w:rPr>
              <w:t>(1)</w:t>
            </w:r>
          </w:p>
        </w:tc>
        <w:tc>
          <w:tcPr>
            <w:tcW w:w="1140" w:type="dxa"/>
            <w:vAlign w:val="bottom"/>
            <w:tcBorders>
              <w:bottom w:val="single" w:sz="8" w:color="auto"/>
            </w:tcBorders>
          </w:tcPr>
          <w:p>
            <w:pPr>
              <w:jc w:val="right"/>
              <w:ind w:right="328"/>
              <w:spacing w:after="0" w:line="157" w:lineRule="exact"/>
              <w:rPr>
                <w:sz w:val="20"/>
                <w:szCs w:val="20"/>
                <w:color w:val="auto"/>
              </w:rPr>
            </w:pPr>
            <w:r>
              <w:rPr>
                <w:rFonts w:ascii="Arial" w:cs="Arial" w:eastAsia="Arial" w:hAnsi="Arial"/>
                <w:sz w:val="14"/>
                <w:szCs w:val="14"/>
                <w:color w:val="auto"/>
              </w:rPr>
              <w:t>(9)</w:t>
            </w:r>
          </w:p>
        </w:tc>
        <w:tc>
          <w:tcPr>
            <w:tcW w:w="0" w:type="dxa"/>
            <w:vAlign w:val="bottom"/>
          </w:tcPr>
          <w:p>
            <w:pPr>
              <w:spacing w:after="0"/>
              <w:rPr>
                <w:sz w:val="1"/>
                <w:szCs w:val="1"/>
                <w:color w:val="auto"/>
              </w:rPr>
            </w:pPr>
          </w:p>
        </w:tc>
      </w:tr>
      <w:tr>
        <w:trPr>
          <w:trHeight w:val="156"/>
        </w:trPr>
        <w:tc>
          <w:tcPr>
            <w:tcW w:w="1680" w:type="dxa"/>
            <w:vAlign w:val="bottom"/>
            <w:tcBorders>
              <w:bottom w:val="single" w:sz="8" w:color="auto"/>
            </w:tcBorders>
          </w:tcPr>
          <w:p>
            <w:pPr>
              <w:spacing w:after="0" w:line="155" w:lineRule="exact"/>
              <w:rPr>
                <w:sz w:val="20"/>
                <w:szCs w:val="20"/>
                <w:color w:val="auto"/>
              </w:rPr>
            </w:pPr>
            <w:r>
              <w:rPr>
                <w:rFonts w:ascii="Arial" w:cs="Arial" w:eastAsia="Arial" w:hAnsi="Arial"/>
                <w:sz w:val="14"/>
                <w:szCs w:val="14"/>
                <w:color w:val="auto"/>
              </w:rPr>
              <w:t>At December 31</w:t>
            </w:r>
          </w:p>
        </w:tc>
        <w:tc>
          <w:tcPr>
            <w:tcW w:w="3900" w:type="dxa"/>
            <w:vAlign w:val="bottom"/>
            <w:tcBorders>
              <w:bottom w:val="single" w:sz="8" w:color="auto"/>
            </w:tcBorders>
          </w:tcPr>
          <w:p>
            <w:pPr>
              <w:spacing w:after="0"/>
              <w:rPr>
                <w:sz w:val="13"/>
                <w:szCs w:val="13"/>
                <w:color w:val="auto"/>
              </w:rPr>
            </w:pPr>
          </w:p>
        </w:tc>
        <w:tc>
          <w:tcPr>
            <w:tcW w:w="3180" w:type="dxa"/>
            <w:vAlign w:val="bottom"/>
            <w:tcBorders>
              <w:bottom w:val="single" w:sz="8" w:color="auto"/>
            </w:tcBorders>
          </w:tcPr>
          <w:p>
            <w:pPr>
              <w:jc w:val="right"/>
              <w:ind w:right="229"/>
              <w:spacing w:after="0" w:line="155" w:lineRule="exact"/>
              <w:rPr>
                <w:sz w:val="20"/>
                <w:szCs w:val="20"/>
                <w:color w:val="auto"/>
              </w:rPr>
            </w:pPr>
            <w:r>
              <w:rPr>
                <w:rFonts w:ascii="Arial" w:cs="Arial" w:eastAsia="Arial" w:hAnsi="Arial"/>
                <w:sz w:val="14"/>
                <w:szCs w:val="14"/>
                <w:color w:val="auto"/>
              </w:rPr>
              <w:t>385</w:t>
            </w:r>
          </w:p>
        </w:tc>
        <w:tc>
          <w:tcPr>
            <w:tcW w:w="1520" w:type="dxa"/>
            <w:vAlign w:val="bottom"/>
            <w:tcBorders>
              <w:bottom w:val="single" w:sz="8" w:color="auto"/>
            </w:tcBorders>
          </w:tcPr>
          <w:p>
            <w:pPr>
              <w:jc w:val="right"/>
              <w:ind w:right="270"/>
              <w:spacing w:after="0" w:line="155" w:lineRule="exact"/>
              <w:rPr>
                <w:sz w:val="20"/>
                <w:szCs w:val="20"/>
                <w:color w:val="auto"/>
              </w:rPr>
            </w:pPr>
            <w:r>
              <w:rPr>
                <w:rFonts w:ascii="Arial" w:cs="Arial" w:eastAsia="Arial" w:hAnsi="Arial"/>
                <w:sz w:val="14"/>
                <w:szCs w:val="14"/>
                <w:color w:val="auto"/>
              </w:rPr>
              <w:t>2,754</w:t>
            </w:r>
          </w:p>
        </w:tc>
        <w:tc>
          <w:tcPr>
            <w:tcW w:w="1140" w:type="dxa"/>
            <w:vAlign w:val="bottom"/>
            <w:tcBorders>
              <w:bottom w:val="single" w:sz="8" w:color="auto"/>
            </w:tcBorders>
          </w:tcPr>
          <w:p>
            <w:pPr>
              <w:jc w:val="right"/>
              <w:ind w:right="368"/>
              <w:spacing w:after="0" w:line="155" w:lineRule="exact"/>
              <w:rPr>
                <w:sz w:val="20"/>
                <w:szCs w:val="20"/>
                <w:color w:val="auto"/>
              </w:rPr>
            </w:pPr>
            <w:r>
              <w:rPr>
                <w:rFonts w:ascii="Arial" w:cs="Arial" w:eastAsia="Arial" w:hAnsi="Arial"/>
                <w:sz w:val="14"/>
                <w:szCs w:val="14"/>
                <w:color w:val="auto"/>
              </w:rPr>
              <w:t>3,139</w:t>
            </w:r>
          </w:p>
        </w:tc>
        <w:tc>
          <w:tcPr>
            <w:tcW w:w="0" w:type="dxa"/>
            <w:vAlign w:val="bottom"/>
          </w:tcPr>
          <w:p>
            <w:pPr>
              <w:spacing w:after="0"/>
              <w:rPr>
                <w:sz w:val="1"/>
                <w:szCs w:val="1"/>
                <w:color w:val="auto"/>
              </w:rPr>
            </w:pPr>
          </w:p>
        </w:tc>
      </w:tr>
      <w:tr>
        <w:trPr>
          <w:trHeight w:val="156"/>
        </w:trPr>
        <w:tc>
          <w:tcPr>
            <w:tcW w:w="5580" w:type="dxa"/>
            <w:vAlign w:val="bottom"/>
            <w:tcBorders>
              <w:bottom w:val="single" w:sz="8" w:color="auto"/>
            </w:tcBorders>
            <w:gridSpan w:val="2"/>
          </w:tcPr>
          <w:p>
            <w:pPr>
              <w:spacing w:after="0" w:line="155" w:lineRule="exact"/>
              <w:rPr>
                <w:sz w:val="20"/>
                <w:szCs w:val="20"/>
                <w:color w:val="auto"/>
              </w:rPr>
            </w:pPr>
            <w:r>
              <w:rPr>
                <w:rFonts w:ascii="Arial" w:cs="Arial" w:eastAsia="Arial" w:hAnsi="Arial"/>
                <w:sz w:val="14"/>
                <w:szCs w:val="14"/>
                <w:color w:val="auto"/>
              </w:rPr>
              <w:t>Carrying amount at December 31</w:t>
            </w:r>
          </w:p>
        </w:tc>
        <w:tc>
          <w:tcPr>
            <w:tcW w:w="3180" w:type="dxa"/>
            <w:vAlign w:val="bottom"/>
            <w:tcBorders>
              <w:bottom w:val="single" w:sz="8" w:color="auto"/>
            </w:tcBorders>
          </w:tcPr>
          <w:p>
            <w:pPr>
              <w:jc w:val="right"/>
              <w:ind w:right="229"/>
              <w:spacing w:after="0" w:line="155" w:lineRule="exact"/>
              <w:rPr>
                <w:sz w:val="20"/>
                <w:szCs w:val="20"/>
                <w:color w:val="auto"/>
              </w:rPr>
            </w:pPr>
            <w:r>
              <w:rPr>
                <w:rFonts w:ascii="Arial" w:cs="Arial" w:eastAsia="Arial" w:hAnsi="Arial"/>
                <w:sz w:val="14"/>
                <w:szCs w:val="14"/>
                <w:color w:val="auto"/>
              </w:rPr>
              <w:t>2,563</w:t>
            </w:r>
          </w:p>
        </w:tc>
        <w:tc>
          <w:tcPr>
            <w:tcW w:w="1520" w:type="dxa"/>
            <w:vAlign w:val="bottom"/>
            <w:tcBorders>
              <w:bottom w:val="single" w:sz="8" w:color="auto"/>
            </w:tcBorders>
          </w:tcPr>
          <w:p>
            <w:pPr>
              <w:jc w:val="right"/>
              <w:ind w:right="270"/>
              <w:spacing w:after="0" w:line="155" w:lineRule="exact"/>
              <w:rPr>
                <w:sz w:val="20"/>
                <w:szCs w:val="20"/>
                <w:color w:val="auto"/>
              </w:rPr>
            </w:pPr>
            <w:r>
              <w:rPr>
                <w:rFonts w:ascii="Arial" w:cs="Arial" w:eastAsia="Arial" w:hAnsi="Arial"/>
                <w:sz w:val="14"/>
                <w:szCs w:val="14"/>
                <w:color w:val="auto"/>
              </w:rPr>
              <w:t>1,831</w:t>
            </w:r>
          </w:p>
        </w:tc>
        <w:tc>
          <w:tcPr>
            <w:tcW w:w="1140" w:type="dxa"/>
            <w:vAlign w:val="bottom"/>
            <w:tcBorders>
              <w:bottom w:val="single" w:sz="8" w:color="auto"/>
            </w:tcBorders>
          </w:tcPr>
          <w:p>
            <w:pPr>
              <w:jc w:val="right"/>
              <w:ind w:right="368"/>
              <w:spacing w:after="0" w:line="155" w:lineRule="exact"/>
              <w:rPr>
                <w:sz w:val="20"/>
                <w:szCs w:val="20"/>
                <w:color w:val="auto"/>
              </w:rPr>
            </w:pPr>
            <w:r>
              <w:rPr>
                <w:rFonts w:ascii="Arial" w:cs="Arial" w:eastAsia="Arial" w:hAnsi="Arial"/>
                <w:sz w:val="14"/>
                <w:szCs w:val="14"/>
                <w:color w:val="auto"/>
              </w:rPr>
              <w:t>4,394</w:t>
            </w:r>
          </w:p>
        </w:tc>
        <w:tc>
          <w:tcPr>
            <w:tcW w:w="0" w:type="dxa"/>
            <w:vAlign w:val="bottom"/>
          </w:tcPr>
          <w:p>
            <w:pPr>
              <w:spacing w:after="0"/>
              <w:rPr>
                <w:sz w:val="1"/>
                <w:szCs w:val="1"/>
                <w:color w:val="auto"/>
              </w:rPr>
            </w:pPr>
          </w:p>
        </w:tc>
      </w:tr>
    </w:tbl>
    <w:p>
      <w:pPr>
        <w:spacing w:after="0" w:line="194" w:lineRule="exact"/>
        <w:rPr>
          <w:sz w:val="20"/>
          <w:szCs w:val="20"/>
          <w:color w:val="auto"/>
        </w:rPr>
      </w:pPr>
    </w:p>
    <w:p>
      <w:pPr>
        <w:spacing w:after="0"/>
        <w:rPr>
          <w:sz w:val="20"/>
          <w:szCs w:val="20"/>
          <w:color w:val="auto"/>
        </w:rPr>
      </w:pPr>
      <w:r>
        <w:rPr>
          <w:rFonts w:ascii="Arial" w:cs="Arial" w:eastAsia="Arial" w:hAnsi="Arial"/>
          <w:sz w:val="14"/>
          <w:szCs w:val="14"/>
          <w:color w:val="auto"/>
        </w:rPr>
        <w:t>Additions in 2014 mainly comprise assets acquired as a result of the acquisition of Repsol LNG businesses (see Note 29).</w:t>
      </w:r>
    </w:p>
    <w:p>
      <w:pPr>
        <w:spacing w:after="0" w:line="177" w:lineRule="exact"/>
        <w:rPr>
          <w:sz w:val="20"/>
          <w:szCs w:val="20"/>
          <w:color w:val="auto"/>
        </w:rPr>
      </w:pPr>
    </w:p>
    <w:p>
      <w:pPr>
        <w:ind w:right="40"/>
        <w:spacing w:after="0" w:line="248" w:lineRule="auto"/>
        <w:rPr>
          <w:sz w:val="20"/>
          <w:szCs w:val="20"/>
          <w:color w:val="auto"/>
        </w:rPr>
      </w:pPr>
      <w:r>
        <w:rPr>
          <w:rFonts w:ascii="Arial" w:cs="Arial" w:eastAsia="Arial" w:hAnsi="Arial"/>
          <w:sz w:val="14"/>
          <w:szCs w:val="14"/>
          <w:color w:val="auto"/>
        </w:rPr>
        <w:t>Goodwill at December 31, 2014 and 2013, principally relates to Pennzoil-Quaker State Company, a lubricants business in the Downstream segment based largely in North America. For impairment testing purposes, cash flow projections for this business reflected long-term growth rates that were assumed to be equal to the average expected inflation rate for the USA (2014: 2%; 2013: 2%) and were adjusted for a variety of risks, in particular volume and margin deterioration. The nominal pre-tax discount rate applied was 6% (2013: 6%).</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color w:val="auto"/>
        </w:rPr>
        <w:t>8 PROPERTY, PLANT AND EQUIPMENT</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5940" w:type="dxa"/>
            <w:vAlign w:val="bottom"/>
            <w:shd w:val="clear" w:color="auto" w:fill="333333"/>
          </w:tcPr>
          <w:p>
            <w:pPr>
              <w:ind w:left="80"/>
              <w:spacing w:after="0"/>
              <w:rPr>
                <w:sz w:val="20"/>
                <w:szCs w:val="20"/>
                <w:color w:val="auto"/>
              </w:rPr>
            </w:pPr>
            <w:r>
              <w:rPr>
                <w:rFonts w:ascii="Arial" w:cs="Arial" w:eastAsia="Arial" w:hAnsi="Arial"/>
                <w:sz w:val="15"/>
                <w:szCs w:val="15"/>
                <w:b w:val="1"/>
                <w:bCs w:val="1"/>
                <w:color w:val="FFFFFF"/>
              </w:rPr>
              <w:t>2014</w:t>
            </w:r>
          </w:p>
        </w:tc>
        <w:tc>
          <w:tcPr>
            <w:tcW w:w="1500" w:type="dxa"/>
            <w:vAlign w:val="bottom"/>
            <w:shd w:val="clear" w:color="auto" w:fill="333333"/>
          </w:tcPr>
          <w:p>
            <w:pPr>
              <w:spacing w:after="0"/>
              <w:rPr>
                <w:sz w:val="14"/>
                <w:szCs w:val="14"/>
                <w:color w:val="auto"/>
              </w:rPr>
            </w:pPr>
          </w:p>
        </w:tc>
        <w:tc>
          <w:tcPr>
            <w:tcW w:w="920" w:type="dxa"/>
            <w:vAlign w:val="bottom"/>
            <w:shd w:val="clear" w:color="auto" w:fill="333333"/>
          </w:tcPr>
          <w:p>
            <w:pPr>
              <w:spacing w:after="0"/>
              <w:rPr>
                <w:sz w:val="14"/>
                <w:szCs w:val="14"/>
                <w:color w:val="auto"/>
              </w:rPr>
            </w:pPr>
          </w:p>
        </w:tc>
        <w:tc>
          <w:tcPr>
            <w:tcW w:w="1560" w:type="dxa"/>
            <w:vAlign w:val="bottom"/>
            <w:shd w:val="clear" w:color="auto" w:fill="333333"/>
          </w:tcPr>
          <w:p>
            <w:pPr>
              <w:spacing w:after="0"/>
              <w:rPr>
                <w:sz w:val="14"/>
                <w:szCs w:val="14"/>
                <w:color w:val="auto"/>
              </w:rPr>
            </w:pPr>
          </w:p>
        </w:tc>
        <w:tc>
          <w:tcPr>
            <w:tcW w:w="1500" w:type="dxa"/>
            <w:vAlign w:val="bottom"/>
            <w:gridSpan w:val="2"/>
            <w:shd w:val="clear" w:color="auto" w:fill="333333"/>
          </w:tcPr>
          <w:p>
            <w:pPr>
              <w:jc w:val="right"/>
              <w:ind w:right="109"/>
              <w:spacing w:after="0"/>
              <w:rPr>
                <w:sz w:val="20"/>
                <w:szCs w:val="20"/>
                <w:color w:val="auto"/>
              </w:rPr>
            </w:pPr>
            <w:r>
              <w:rPr>
                <w:rFonts w:ascii="Arial" w:cs="Arial" w:eastAsia="Arial" w:hAnsi="Arial"/>
                <w:sz w:val="15"/>
                <w:szCs w:val="15"/>
                <w:color w:val="FFFFFF"/>
              </w:rPr>
              <w:t>$ MILLION</w:t>
            </w:r>
          </w:p>
        </w:tc>
      </w:tr>
      <w:tr>
        <w:trPr>
          <w:trHeight w:val="129"/>
        </w:trPr>
        <w:tc>
          <w:tcPr>
            <w:tcW w:w="5940" w:type="dxa"/>
            <w:vAlign w:val="bottom"/>
          </w:tcPr>
          <w:p>
            <w:pPr>
              <w:spacing w:after="0"/>
              <w:rPr>
                <w:sz w:val="11"/>
                <w:szCs w:val="11"/>
                <w:color w:val="auto"/>
              </w:rPr>
            </w:pPr>
          </w:p>
        </w:tc>
        <w:tc>
          <w:tcPr>
            <w:tcW w:w="2420" w:type="dxa"/>
            <w:vAlign w:val="bottom"/>
            <w:tcBorders>
              <w:bottom w:val="single" w:sz="8" w:color="auto"/>
            </w:tcBorders>
            <w:gridSpan w:val="2"/>
          </w:tcPr>
          <w:p>
            <w:pPr>
              <w:jc w:val="right"/>
              <w:ind w:right="9"/>
              <w:spacing w:after="0" w:line="129" w:lineRule="exact"/>
              <w:rPr>
                <w:sz w:val="20"/>
                <w:szCs w:val="20"/>
                <w:color w:val="auto"/>
              </w:rPr>
            </w:pPr>
            <w:r>
              <w:rPr>
                <w:rFonts w:ascii="Arial" w:cs="Arial" w:eastAsia="Arial" w:hAnsi="Arial"/>
                <w:sz w:val="13"/>
                <w:szCs w:val="13"/>
                <w:color w:val="auto"/>
              </w:rPr>
              <w:t>Exploration and production assets</w:t>
            </w:r>
          </w:p>
        </w:tc>
        <w:tc>
          <w:tcPr>
            <w:tcW w:w="1560" w:type="dxa"/>
            <w:vAlign w:val="bottom"/>
          </w:tcPr>
          <w:p>
            <w:pPr>
              <w:jc w:val="right"/>
              <w:ind w:right="130"/>
              <w:spacing w:after="0" w:line="129" w:lineRule="exact"/>
              <w:rPr>
                <w:sz w:val="20"/>
                <w:szCs w:val="20"/>
                <w:color w:val="auto"/>
              </w:rPr>
            </w:pPr>
            <w:r>
              <w:rPr>
                <w:rFonts w:ascii="Arial" w:cs="Arial" w:eastAsia="Arial" w:hAnsi="Arial"/>
                <w:sz w:val="13"/>
                <w:szCs w:val="13"/>
                <w:color w:val="auto"/>
              </w:rPr>
              <w:t>Manufacturing,</w:t>
            </w: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r>
      <w:tr>
        <w:trPr>
          <w:trHeight w:val="115"/>
        </w:trPr>
        <w:tc>
          <w:tcPr>
            <w:tcW w:w="5940" w:type="dxa"/>
            <w:vAlign w:val="bottom"/>
          </w:tcPr>
          <w:p>
            <w:pPr>
              <w:spacing w:after="0"/>
              <w:rPr>
                <w:sz w:val="10"/>
                <w:szCs w:val="10"/>
                <w:color w:val="auto"/>
              </w:rPr>
            </w:pPr>
          </w:p>
        </w:tc>
        <w:tc>
          <w:tcPr>
            <w:tcW w:w="1500" w:type="dxa"/>
            <w:vAlign w:val="bottom"/>
          </w:tcPr>
          <w:p>
            <w:pPr>
              <w:jc w:val="right"/>
              <w:ind w:right="210"/>
              <w:spacing w:after="0" w:line="115" w:lineRule="exact"/>
              <w:rPr>
                <w:sz w:val="20"/>
                <w:szCs w:val="20"/>
                <w:color w:val="auto"/>
              </w:rPr>
            </w:pPr>
            <w:r>
              <w:rPr>
                <w:rFonts w:ascii="Arial" w:cs="Arial" w:eastAsia="Arial" w:hAnsi="Arial"/>
                <w:sz w:val="13"/>
                <w:szCs w:val="13"/>
                <w:color w:val="auto"/>
              </w:rPr>
              <w:t>Exploration</w:t>
            </w:r>
          </w:p>
        </w:tc>
        <w:tc>
          <w:tcPr>
            <w:tcW w:w="920" w:type="dxa"/>
            <w:vAlign w:val="bottom"/>
          </w:tcPr>
          <w:p>
            <w:pPr>
              <w:spacing w:after="0"/>
              <w:rPr>
                <w:sz w:val="10"/>
                <w:szCs w:val="10"/>
                <w:color w:val="auto"/>
              </w:rPr>
            </w:pPr>
          </w:p>
        </w:tc>
        <w:tc>
          <w:tcPr>
            <w:tcW w:w="1560" w:type="dxa"/>
            <w:vAlign w:val="bottom"/>
          </w:tcPr>
          <w:p>
            <w:pPr>
              <w:jc w:val="right"/>
              <w:ind w:right="130"/>
              <w:spacing w:after="0" w:line="115" w:lineRule="exact"/>
              <w:rPr>
                <w:sz w:val="20"/>
                <w:szCs w:val="20"/>
                <w:color w:val="auto"/>
              </w:rPr>
            </w:pPr>
            <w:r>
              <w:rPr>
                <w:rFonts w:ascii="Arial" w:cs="Arial" w:eastAsia="Arial" w:hAnsi="Arial"/>
                <w:sz w:val="13"/>
                <w:szCs w:val="13"/>
                <w:color w:val="auto"/>
              </w:rPr>
              <w:t>supply and</w:t>
            </w:r>
          </w:p>
        </w:tc>
        <w:tc>
          <w:tcPr>
            <w:tcW w:w="760" w:type="dxa"/>
            <w:vAlign w:val="bottom"/>
          </w:tcPr>
          <w:p>
            <w:pPr>
              <w:spacing w:after="0"/>
              <w:rPr>
                <w:sz w:val="10"/>
                <w:szCs w:val="10"/>
                <w:color w:val="auto"/>
              </w:rPr>
            </w:pPr>
          </w:p>
        </w:tc>
        <w:tc>
          <w:tcPr>
            <w:tcW w:w="740" w:type="dxa"/>
            <w:vAlign w:val="bottom"/>
          </w:tcPr>
          <w:p>
            <w:pPr>
              <w:spacing w:after="0"/>
              <w:rPr>
                <w:sz w:val="10"/>
                <w:szCs w:val="10"/>
                <w:color w:val="auto"/>
              </w:rPr>
            </w:pPr>
          </w:p>
        </w:tc>
      </w:tr>
      <w:tr>
        <w:trPr>
          <w:trHeight w:val="155"/>
        </w:trPr>
        <w:tc>
          <w:tcPr>
            <w:tcW w:w="5940" w:type="dxa"/>
            <w:vAlign w:val="bottom"/>
            <w:tcBorders>
              <w:bottom w:val="single" w:sz="8" w:color="auto"/>
            </w:tcBorders>
          </w:tcPr>
          <w:p>
            <w:pPr>
              <w:spacing w:after="0"/>
              <w:rPr>
                <w:sz w:val="13"/>
                <w:szCs w:val="13"/>
                <w:color w:val="auto"/>
              </w:rPr>
            </w:pPr>
          </w:p>
        </w:tc>
        <w:tc>
          <w:tcPr>
            <w:tcW w:w="1500" w:type="dxa"/>
            <w:vAlign w:val="bottom"/>
            <w:tcBorders>
              <w:bottom w:val="single" w:sz="8" w:color="auto"/>
            </w:tcBorders>
          </w:tcPr>
          <w:p>
            <w:pPr>
              <w:jc w:val="right"/>
              <w:ind w:right="210"/>
              <w:spacing w:after="0"/>
              <w:rPr>
                <w:sz w:val="20"/>
                <w:szCs w:val="20"/>
                <w:color w:val="auto"/>
              </w:rPr>
            </w:pPr>
            <w:r>
              <w:rPr>
                <w:rFonts w:ascii="Arial" w:cs="Arial" w:eastAsia="Arial" w:hAnsi="Arial"/>
                <w:sz w:val="13"/>
                <w:szCs w:val="13"/>
                <w:color w:val="auto"/>
              </w:rPr>
              <w:t>and evaluation</w:t>
            </w:r>
          </w:p>
        </w:tc>
        <w:tc>
          <w:tcPr>
            <w:tcW w:w="920" w:type="dxa"/>
            <w:vAlign w:val="bottom"/>
            <w:tcBorders>
              <w:bottom w:val="single" w:sz="8" w:color="auto"/>
            </w:tcBorders>
          </w:tcPr>
          <w:p>
            <w:pPr>
              <w:jc w:val="right"/>
              <w:ind w:right="9"/>
              <w:spacing w:after="0"/>
              <w:rPr>
                <w:sz w:val="20"/>
                <w:szCs w:val="20"/>
                <w:color w:val="auto"/>
              </w:rPr>
            </w:pPr>
            <w:r>
              <w:rPr>
                <w:rFonts w:ascii="Arial" w:cs="Arial" w:eastAsia="Arial" w:hAnsi="Arial"/>
                <w:sz w:val="13"/>
                <w:szCs w:val="13"/>
                <w:color w:val="auto"/>
              </w:rPr>
              <w:t>Production</w:t>
            </w:r>
          </w:p>
        </w:tc>
        <w:tc>
          <w:tcPr>
            <w:tcW w:w="1560" w:type="dxa"/>
            <w:vAlign w:val="bottom"/>
            <w:tcBorders>
              <w:bottom w:val="single" w:sz="8" w:color="auto"/>
            </w:tcBorders>
          </w:tcPr>
          <w:p>
            <w:pPr>
              <w:jc w:val="right"/>
              <w:ind w:right="130"/>
              <w:spacing w:after="0"/>
              <w:rPr>
                <w:sz w:val="20"/>
                <w:szCs w:val="20"/>
                <w:color w:val="auto"/>
              </w:rPr>
            </w:pPr>
            <w:r>
              <w:rPr>
                <w:rFonts w:ascii="Arial" w:cs="Arial" w:eastAsia="Arial" w:hAnsi="Arial"/>
                <w:sz w:val="13"/>
                <w:szCs w:val="13"/>
                <w:color w:val="auto"/>
              </w:rPr>
              <w:t>distribution</w:t>
            </w:r>
          </w:p>
        </w:tc>
        <w:tc>
          <w:tcPr>
            <w:tcW w:w="760" w:type="dxa"/>
            <w:vAlign w:val="bottom"/>
            <w:tcBorders>
              <w:bottom w:val="single" w:sz="8" w:color="auto"/>
            </w:tcBorders>
          </w:tcPr>
          <w:p>
            <w:pPr>
              <w:jc w:val="right"/>
              <w:ind w:right="88"/>
              <w:spacing w:after="0"/>
              <w:rPr>
                <w:sz w:val="20"/>
                <w:szCs w:val="20"/>
                <w:color w:val="auto"/>
              </w:rPr>
            </w:pPr>
            <w:r>
              <w:rPr>
                <w:rFonts w:ascii="Arial" w:cs="Arial" w:eastAsia="Arial" w:hAnsi="Arial"/>
                <w:sz w:val="13"/>
                <w:szCs w:val="13"/>
                <w:color w:val="auto"/>
              </w:rPr>
              <w:t>Other</w:t>
            </w:r>
          </w:p>
        </w:tc>
        <w:tc>
          <w:tcPr>
            <w:tcW w:w="740" w:type="dxa"/>
            <w:vAlign w:val="bottom"/>
            <w:tcBorders>
              <w:bottom w:val="single" w:sz="8" w:color="auto"/>
            </w:tcBorders>
          </w:tcPr>
          <w:p>
            <w:pPr>
              <w:jc w:val="right"/>
              <w:ind w:right="29"/>
              <w:spacing w:after="0"/>
              <w:rPr>
                <w:sz w:val="20"/>
                <w:szCs w:val="20"/>
                <w:color w:val="auto"/>
              </w:rPr>
            </w:pPr>
            <w:r>
              <w:rPr>
                <w:rFonts w:ascii="Arial" w:cs="Arial" w:eastAsia="Arial" w:hAnsi="Arial"/>
                <w:sz w:val="13"/>
                <w:szCs w:val="13"/>
                <w:color w:val="auto"/>
              </w:rPr>
              <w:t>Total</w:t>
            </w:r>
          </w:p>
        </w:tc>
      </w:tr>
      <w:tr>
        <w:trPr>
          <w:trHeight w:val="160"/>
        </w:trPr>
        <w:tc>
          <w:tcPr>
            <w:tcW w:w="5940" w:type="dxa"/>
            <w:vAlign w:val="bottom"/>
          </w:tcPr>
          <w:p>
            <w:pPr>
              <w:spacing w:after="0"/>
              <w:rPr>
                <w:sz w:val="20"/>
                <w:szCs w:val="20"/>
                <w:color w:val="auto"/>
              </w:rPr>
            </w:pPr>
            <w:r>
              <w:rPr>
                <w:rFonts w:ascii="Arial" w:cs="Arial" w:eastAsia="Arial" w:hAnsi="Arial"/>
                <w:sz w:val="14"/>
                <w:szCs w:val="14"/>
                <w:color w:val="auto"/>
              </w:rPr>
              <w:t>Cost</w:t>
            </w:r>
          </w:p>
        </w:tc>
        <w:tc>
          <w:tcPr>
            <w:tcW w:w="15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40" w:type="dxa"/>
            <w:vAlign w:val="bottom"/>
          </w:tcPr>
          <w:p>
            <w:pPr>
              <w:spacing w:after="0"/>
              <w:rPr>
                <w:sz w:val="13"/>
                <w:szCs w:val="13"/>
                <w:color w:val="auto"/>
              </w:rPr>
            </w:pPr>
          </w:p>
        </w:tc>
      </w:tr>
      <w:tr>
        <w:trPr>
          <w:trHeight w:val="162"/>
        </w:trPr>
        <w:tc>
          <w:tcPr>
            <w:tcW w:w="5940" w:type="dxa"/>
            <w:vAlign w:val="bottom"/>
          </w:tcPr>
          <w:p>
            <w:pPr>
              <w:ind w:left="140"/>
              <w:spacing w:after="0"/>
              <w:rPr>
                <w:sz w:val="20"/>
                <w:szCs w:val="20"/>
                <w:color w:val="auto"/>
              </w:rPr>
            </w:pPr>
            <w:r>
              <w:rPr>
                <w:rFonts w:ascii="Arial" w:cs="Arial" w:eastAsia="Arial" w:hAnsi="Arial"/>
                <w:sz w:val="14"/>
                <w:szCs w:val="14"/>
                <w:color w:val="auto"/>
              </w:rPr>
              <w:t>At January 1</w:t>
            </w:r>
          </w:p>
        </w:tc>
        <w:tc>
          <w:tcPr>
            <w:tcW w:w="1500" w:type="dxa"/>
            <w:vAlign w:val="bottom"/>
          </w:tcPr>
          <w:p>
            <w:pPr>
              <w:jc w:val="right"/>
              <w:ind w:right="210"/>
              <w:spacing w:after="0"/>
              <w:rPr>
                <w:sz w:val="20"/>
                <w:szCs w:val="20"/>
                <w:color w:val="auto"/>
              </w:rPr>
            </w:pPr>
            <w:r>
              <w:rPr>
                <w:rFonts w:ascii="Arial" w:cs="Arial" w:eastAsia="Arial" w:hAnsi="Arial"/>
                <w:sz w:val="14"/>
                <w:szCs w:val="14"/>
                <w:color w:val="auto"/>
              </w:rPr>
              <w:t>34,102</w:t>
            </w:r>
          </w:p>
        </w:tc>
        <w:tc>
          <w:tcPr>
            <w:tcW w:w="920" w:type="dxa"/>
            <w:vAlign w:val="bottom"/>
          </w:tcPr>
          <w:p>
            <w:pPr>
              <w:jc w:val="right"/>
              <w:ind w:right="9"/>
              <w:spacing w:after="0"/>
              <w:rPr>
                <w:sz w:val="20"/>
                <w:szCs w:val="20"/>
                <w:color w:val="auto"/>
              </w:rPr>
            </w:pPr>
            <w:r>
              <w:rPr>
                <w:rFonts w:ascii="Arial" w:cs="Arial" w:eastAsia="Arial" w:hAnsi="Arial"/>
                <w:sz w:val="14"/>
                <w:szCs w:val="14"/>
                <w:color w:val="auto"/>
              </w:rPr>
              <w:t>233,180</w:t>
            </w:r>
          </w:p>
        </w:tc>
        <w:tc>
          <w:tcPr>
            <w:tcW w:w="1560" w:type="dxa"/>
            <w:vAlign w:val="bottom"/>
          </w:tcPr>
          <w:p>
            <w:pPr>
              <w:jc w:val="right"/>
              <w:ind w:right="130"/>
              <w:spacing w:after="0"/>
              <w:rPr>
                <w:sz w:val="20"/>
                <w:szCs w:val="20"/>
                <w:color w:val="auto"/>
              </w:rPr>
            </w:pPr>
            <w:r>
              <w:rPr>
                <w:rFonts w:ascii="Arial" w:cs="Arial" w:eastAsia="Arial" w:hAnsi="Arial"/>
                <w:sz w:val="14"/>
                <w:szCs w:val="14"/>
                <w:color w:val="auto"/>
              </w:rPr>
              <w:t>76,624</w:t>
            </w:r>
          </w:p>
        </w:tc>
        <w:tc>
          <w:tcPr>
            <w:tcW w:w="760" w:type="dxa"/>
            <w:vAlign w:val="bottom"/>
          </w:tcPr>
          <w:p>
            <w:pPr>
              <w:jc w:val="right"/>
              <w:ind w:right="88"/>
              <w:spacing w:after="0"/>
              <w:rPr>
                <w:sz w:val="20"/>
                <w:szCs w:val="20"/>
                <w:color w:val="auto"/>
              </w:rPr>
            </w:pPr>
            <w:r>
              <w:rPr>
                <w:rFonts w:ascii="Arial" w:cs="Arial" w:eastAsia="Arial" w:hAnsi="Arial"/>
                <w:sz w:val="14"/>
                <w:szCs w:val="14"/>
                <w:color w:val="auto"/>
              </w:rPr>
              <w:t>27,209</w:t>
            </w:r>
          </w:p>
        </w:tc>
        <w:tc>
          <w:tcPr>
            <w:tcW w:w="740" w:type="dxa"/>
            <w:vAlign w:val="bottom"/>
          </w:tcPr>
          <w:p>
            <w:pPr>
              <w:jc w:val="right"/>
              <w:ind w:right="29"/>
              <w:spacing w:after="0"/>
              <w:rPr>
                <w:sz w:val="20"/>
                <w:szCs w:val="20"/>
                <w:color w:val="auto"/>
              </w:rPr>
            </w:pPr>
            <w:r>
              <w:rPr>
                <w:rFonts w:ascii="Arial" w:cs="Arial" w:eastAsia="Arial" w:hAnsi="Arial"/>
                <w:sz w:val="14"/>
                <w:szCs w:val="14"/>
                <w:color w:val="auto"/>
              </w:rPr>
              <w:t>371,115</w:t>
            </w:r>
          </w:p>
        </w:tc>
      </w:tr>
      <w:tr>
        <w:trPr>
          <w:trHeight w:val="162"/>
        </w:trPr>
        <w:tc>
          <w:tcPr>
            <w:tcW w:w="5940" w:type="dxa"/>
            <w:vAlign w:val="bottom"/>
          </w:tcPr>
          <w:p>
            <w:pPr>
              <w:ind w:left="140"/>
              <w:spacing w:after="0"/>
              <w:rPr>
                <w:sz w:val="20"/>
                <w:szCs w:val="20"/>
                <w:color w:val="auto"/>
              </w:rPr>
            </w:pPr>
            <w:r>
              <w:rPr>
                <w:rFonts w:ascii="Arial" w:cs="Arial" w:eastAsia="Arial" w:hAnsi="Arial"/>
                <w:sz w:val="14"/>
                <w:szCs w:val="14"/>
                <w:color w:val="auto"/>
              </w:rPr>
              <w:t>Additions</w:t>
            </w:r>
          </w:p>
        </w:tc>
        <w:tc>
          <w:tcPr>
            <w:tcW w:w="1500" w:type="dxa"/>
            <w:vAlign w:val="bottom"/>
          </w:tcPr>
          <w:p>
            <w:pPr>
              <w:jc w:val="right"/>
              <w:ind w:right="210"/>
              <w:spacing w:after="0"/>
              <w:rPr>
                <w:sz w:val="20"/>
                <w:szCs w:val="20"/>
                <w:color w:val="auto"/>
              </w:rPr>
            </w:pPr>
            <w:r>
              <w:rPr>
                <w:rFonts w:ascii="Arial" w:cs="Arial" w:eastAsia="Arial" w:hAnsi="Arial"/>
                <w:sz w:val="14"/>
                <w:szCs w:val="14"/>
                <w:color w:val="auto"/>
              </w:rPr>
              <w:t>5,457</w:t>
            </w:r>
          </w:p>
        </w:tc>
        <w:tc>
          <w:tcPr>
            <w:tcW w:w="920" w:type="dxa"/>
            <w:vAlign w:val="bottom"/>
          </w:tcPr>
          <w:p>
            <w:pPr>
              <w:jc w:val="right"/>
              <w:ind w:right="9"/>
              <w:spacing w:after="0"/>
              <w:rPr>
                <w:sz w:val="20"/>
                <w:szCs w:val="20"/>
                <w:color w:val="auto"/>
              </w:rPr>
            </w:pPr>
            <w:r>
              <w:rPr>
                <w:rFonts w:ascii="Arial" w:cs="Arial" w:eastAsia="Arial" w:hAnsi="Arial"/>
                <w:sz w:val="14"/>
                <w:szCs w:val="14"/>
                <w:color w:val="auto"/>
              </w:rPr>
              <w:t>21,958</w:t>
            </w:r>
          </w:p>
        </w:tc>
        <w:tc>
          <w:tcPr>
            <w:tcW w:w="1560" w:type="dxa"/>
            <w:vAlign w:val="bottom"/>
          </w:tcPr>
          <w:p>
            <w:pPr>
              <w:jc w:val="right"/>
              <w:ind w:right="130"/>
              <w:spacing w:after="0"/>
              <w:rPr>
                <w:sz w:val="20"/>
                <w:szCs w:val="20"/>
                <w:color w:val="auto"/>
              </w:rPr>
            </w:pPr>
            <w:r>
              <w:rPr>
                <w:rFonts w:ascii="Arial" w:cs="Arial" w:eastAsia="Arial" w:hAnsi="Arial"/>
                <w:sz w:val="14"/>
                <w:szCs w:val="14"/>
                <w:color w:val="auto"/>
              </w:rPr>
              <w:t>5,633</w:t>
            </w:r>
          </w:p>
        </w:tc>
        <w:tc>
          <w:tcPr>
            <w:tcW w:w="760" w:type="dxa"/>
            <w:vAlign w:val="bottom"/>
          </w:tcPr>
          <w:p>
            <w:pPr>
              <w:jc w:val="right"/>
              <w:ind w:right="88"/>
              <w:spacing w:after="0"/>
              <w:rPr>
                <w:sz w:val="20"/>
                <w:szCs w:val="20"/>
                <w:color w:val="auto"/>
              </w:rPr>
            </w:pPr>
            <w:r>
              <w:rPr>
                <w:rFonts w:ascii="Arial" w:cs="Arial" w:eastAsia="Arial" w:hAnsi="Arial"/>
                <w:sz w:val="14"/>
                <w:szCs w:val="14"/>
                <w:color w:val="auto"/>
              </w:rPr>
              <w:t>2,042</w:t>
            </w:r>
          </w:p>
        </w:tc>
        <w:tc>
          <w:tcPr>
            <w:tcW w:w="740" w:type="dxa"/>
            <w:vAlign w:val="bottom"/>
          </w:tcPr>
          <w:p>
            <w:pPr>
              <w:jc w:val="right"/>
              <w:ind w:right="29"/>
              <w:spacing w:after="0"/>
              <w:rPr>
                <w:sz w:val="20"/>
                <w:szCs w:val="20"/>
                <w:color w:val="auto"/>
              </w:rPr>
            </w:pPr>
            <w:r>
              <w:rPr>
                <w:rFonts w:ascii="Arial" w:cs="Arial" w:eastAsia="Arial" w:hAnsi="Arial"/>
                <w:sz w:val="14"/>
                <w:szCs w:val="14"/>
                <w:color w:val="auto"/>
              </w:rPr>
              <w:t>35,090</w:t>
            </w:r>
          </w:p>
        </w:tc>
      </w:tr>
      <w:tr>
        <w:trPr>
          <w:trHeight w:val="162"/>
        </w:trPr>
        <w:tc>
          <w:tcPr>
            <w:tcW w:w="5940" w:type="dxa"/>
            <w:vAlign w:val="bottom"/>
          </w:tcPr>
          <w:p>
            <w:pPr>
              <w:ind w:left="140"/>
              <w:spacing w:after="0"/>
              <w:rPr>
                <w:sz w:val="20"/>
                <w:szCs w:val="20"/>
                <w:color w:val="auto"/>
              </w:rPr>
            </w:pPr>
            <w:r>
              <w:rPr>
                <w:rFonts w:ascii="Arial" w:cs="Arial" w:eastAsia="Arial" w:hAnsi="Arial"/>
                <w:sz w:val="14"/>
                <w:szCs w:val="14"/>
                <w:color w:val="auto"/>
              </w:rPr>
              <w:t>Sales, retirements and other movements</w:t>
            </w:r>
          </w:p>
        </w:tc>
        <w:tc>
          <w:tcPr>
            <w:tcW w:w="1500" w:type="dxa"/>
            <w:vAlign w:val="bottom"/>
          </w:tcPr>
          <w:p>
            <w:pPr>
              <w:jc w:val="right"/>
              <w:ind w:right="150"/>
              <w:spacing w:after="0"/>
              <w:rPr>
                <w:sz w:val="20"/>
                <w:szCs w:val="20"/>
                <w:color w:val="auto"/>
              </w:rPr>
            </w:pPr>
            <w:r>
              <w:rPr>
                <w:rFonts w:ascii="Arial" w:cs="Arial" w:eastAsia="Arial" w:hAnsi="Arial"/>
                <w:sz w:val="14"/>
                <w:szCs w:val="14"/>
                <w:color w:val="auto"/>
              </w:rPr>
              <w:t>(8,907)</w:t>
            </w:r>
          </w:p>
        </w:tc>
        <w:tc>
          <w:tcPr>
            <w:tcW w:w="920" w:type="dxa"/>
            <w:vAlign w:val="bottom"/>
          </w:tcPr>
          <w:p>
            <w:pPr>
              <w:jc w:val="right"/>
              <w:spacing w:after="0"/>
              <w:rPr>
                <w:sz w:val="20"/>
                <w:szCs w:val="20"/>
                <w:color w:val="auto"/>
              </w:rPr>
            </w:pPr>
            <w:r>
              <w:rPr>
                <w:rFonts w:ascii="Arial" w:cs="Arial" w:eastAsia="Arial" w:hAnsi="Arial"/>
                <w:sz w:val="14"/>
                <w:szCs w:val="14"/>
                <w:color w:val="auto"/>
              </w:rPr>
              <w:t>(11,821)</w:t>
            </w:r>
          </w:p>
        </w:tc>
        <w:tc>
          <w:tcPr>
            <w:tcW w:w="1560" w:type="dxa"/>
            <w:vAlign w:val="bottom"/>
          </w:tcPr>
          <w:p>
            <w:pPr>
              <w:jc w:val="right"/>
              <w:ind w:right="90"/>
              <w:spacing w:after="0"/>
              <w:rPr>
                <w:sz w:val="20"/>
                <w:szCs w:val="20"/>
                <w:color w:val="auto"/>
              </w:rPr>
            </w:pPr>
            <w:r>
              <w:rPr>
                <w:rFonts w:ascii="Arial" w:cs="Arial" w:eastAsia="Arial" w:hAnsi="Arial"/>
                <w:sz w:val="14"/>
                <w:szCs w:val="14"/>
                <w:color w:val="auto"/>
              </w:rPr>
              <w:t>(3,544)</w:t>
            </w: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(3,274)</w:t>
            </w:r>
          </w:p>
        </w:tc>
        <w:tc>
          <w:tcPr>
            <w:tcW w:w="740" w:type="dxa"/>
            <w:vAlign w:val="bottom"/>
          </w:tcPr>
          <w:p>
            <w:pPr>
              <w:jc w:val="right"/>
              <w:spacing w:after="0"/>
              <w:rPr>
                <w:sz w:val="20"/>
                <w:szCs w:val="20"/>
                <w:color w:val="auto"/>
              </w:rPr>
            </w:pPr>
            <w:r>
              <w:rPr>
                <w:rFonts w:ascii="Arial" w:cs="Arial" w:eastAsia="Arial" w:hAnsi="Arial"/>
                <w:sz w:val="14"/>
                <w:szCs w:val="14"/>
                <w:color w:val="auto"/>
              </w:rPr>
              <w:t>(27,546)</w:t>
            </w:r>
          </w:p>
        </w:tc>
      </w:tr>
      <w:tr>
        <w:trPr>
          <w:trHeight w:val="157"/>
        </w:trPr>
        <w:tc>
          <w:tcPr>
            <w:tcW w:w="5940" w:type="dxa"/>
            <w:vAlign w:val="bottom"/>
            <w:tcBorders>
              <w:bottom w:val="single" w:sz="8" w:color="auto"/>
            </w:tcBorders>
          </w:tcPr>
          <w:p>
            <w:pPr>
              <w:ind w:left="140"/>
              <w:spacing w:after="0" w:line="157" w:lineRule="exact"/>
              <w:rPr>
                <w:sz w:val="20"/>
                <w:szCs w:val="20"/>
                <w:color w:val="auto"/>
              </w:rPr>
            </w:pPr>
            <w:r>
              <w:rPr>
                <w:rFonts w:ascii="Arial" w:cs="Arial" w:eastAsia="Arial" w:hAnsi="Arial"/>
                <w:sz w:val="14"/>
                <w:szCs w:val="14"/>
                <w:color w:val="auto"/>
              </w:rPr>
              <w:t>Currency translation differences</w:t>
            </w:r>
          </w:p>
        </w:tc>
        <w:tc>
          <w:tcPr>
            <w:tcW w:w="1500" w:type="dxa"/>
            <w:vAlign w:val="bottom"/>
            <w:tcBorders>
              <w:bottom w:val="single" w:sz="8" w:color="auto"/>
            </w:tcBorders>
          </w:tcPr>
          <w:p>
            <w:pPr>
              <w:jc w:val="right"/>
              <w:ind w:right="150"/>
              <w:spacing w:after="0" w:line="157" w:lineRule="exact"/>
              <w:rPr>
                <w:sz w:val="20"/>
                <w:szCs w:val="20"/>
                <w:color w:val="auto"/>
              </w:rPr>
            </w:pPr>
            <w:r>
              <w:rPr>
                <w:rFonts w:ascii="Arial" w:cs="Arial" w:eastAsia="Arial" w:hAnsi="Arial"/>
                <w:sz w:val="14"/>
                <w:szCs w:val="14"/>
                <w:color w:val="auto"/>
              </w:rPr>
              <w:t>(730)</w:t>
            </w:r>
          </w:p>
        </w:tc>
        <w:tc>
          <w:tcPr>
            <w:tcW w:w="920" w:type="dxa"/>
            <w:vAlign w:val="bottom"/>
            <w:tcBorders>
              <w:bottom w:val="single" w:sz="8" w:color="auto"/>
            </w:tcBorders>
          </w:tcPr>
          <w:p>
            <w:pPr>
              <w:jc w:val="right"/>
              <w:spacing w:after="0" w:line="157" w:lineRule="exact"/>
              <w:rPr>
                <w:sz w:val="20"/>
                <w:szCs w:val="20"/>
                <w:color w:val="auto"/>
              </w:rPr>
            </w:pPr>
            <w:r>
              <w:rPr>
                <w:rFonts w:ascii="Arial" w:cs="Arial" w:eastAsia="Arial" w:hAnsi="Arial"/>
                <w:sz w:val="14"/>
                <w:szCs w:val="14"/>
                <w:color w:val="auto"/>
              </w:rPr>
              <w:t>(8,592)</w:t>
            </w:r>
          </w:p>
        </w:tc>
        <w:tc>
          <w:tcPr>
            <w:tcW w:w="1560" w:type="dxa"/>
            <w:vAlign w:val="bottom"/>
            <w:tcBorders>
              <w:bottom w:val="single" w:sz="8" w:color="auto"/>
            </w:tcBorders>
          </w:tcPr>
          <w:p>
            <w:pPr>
              <w:jc w:val="right"/>
              <w:ind w:right="90"/>
              <w:spacing w:after="0" w:line="157" w:lineRule="exact"/>
              <w:rPr>
                <w:sz w:val="20"/>
                <w:szCs w:val="20"/>
                <w:color w:val="auto"/>
              </w:rPr>
            </w:pPr>
            <w:r>
              <w:rPr>
                <w:rFonts w:ascii="Arial" w:cs="Arial" w:eastAsia="Arial" w:hAnsi="Arial"/>
                <w:sz w:val="14"/>
                <w:szCs w:val="14"/>
                <w:color w:val="auto"/>
              </w:rPr>
              <w:t>(3,032)</w:t>
            </w:r>
          </w:p>
        </w:tc>
        <w:tc>
          <w:tcPr>
            <w:tcW w:w="760" w:type="dxa"/>
            <w:vAlign w:val="bottom"/>
            <w:tcBorders>
              <w:bottom w:val="single" w:sz="8" w:color="auto"/>
            </w:tcBorders>
          </w:tcPr>
          <w:p>
            <w:pPr>
              <w:jc w:val="right"/>
              <w:ind w:right="48"/>
              <w:spacing w:after="0" w:line="157" w:lineRule="exact"/>
              <w:rPr>
                <w:sz w:val="20"/>
                <w:szCs w:val="20"/>
                <w:color w:val="auto"/>
              </w:rPr>
            </w:pPr>
            <w:r>
              <w:rPr>
                <w:rFonts w:ascii="Arial" w:cs="Arial" w:eastAsia="Arial" w:hAnsi="Arial"/>
                <w:sz w:val="14"/>
                <w:szCs w:val="14"/>
                <w:color w:val="auto"/>
              </w:rPr>
              <w:t>(2,106)</w:t>
            </w:r>
          </w:p>
        </w:tc>
        <w:tc>
          <w:tcPr>
            <w:tcW w:w="740" w:type="dxa"/>
            <w:vAlign w:val="bottom"/>
            <w:tcBorders>
              <w:bottom w:val="single" w:sz="8" w:color="auto"/>
            </w:tcBorders>
          </w:tcPr>
          <w:p>
            <w:pPr>
              <w:jc w:val="right"/>
              <w:spacing w:after="0" w:line="157" w:lineRule="exact"/>
              <w:rPr>
                <w:sz w:val="20"/>
                <w:szCs w:val="20"/>
                <w:color w:val="auto"/>
              </w:rPr>
            </w:pPr>
            <w:r>
              <w:rPr>
                <w:rFonts w:ascii="Arial" w:cs="Arial" w:eastAsia="Arial" w:hAnsi="Arial"/>
                <w:sz w:val="14"/>
                <w:szCs w:val="14"/>
                <w:color w:val="auto"/>
              </w:rPr>
              <w:t>(14,460)</w:t>
            </w:r>
          </w:p>
        </w:tc>
      </w:tr>
      <w:tr>
        <w:trPr>
          <w:trHeight w:val="156"/>
        </w:trPr>
        <w:tc>
          <w:tcPr>
            <w:tcW w:w="5940" w:type="dxa"/>
            <w:vAlign w:val="bottom"/>
            <w:tcBorders>
              <w:bottom w:val="single" w:sz="8" w:color="auto"/>
            </w:tcBorders>
          </w:tcPr>
          <w:p>
            <w:pPr>
              <w:spacing w:after="0" w:line="155" w:lineRule="exact"/>
              <w:rPr>
                <w:sz w:val="20"/>
                <w:szCs w:val="20"/>
                <w:color w:val="auto"/>
              </w:rPr>
            </w:pPr>
            <w:r>
              <w:rPr>
                <w:rFonts w:ascii="Arial" w:cs="Arial" w:eastAsia="Arial" w:hAnsi="Arial"/>
                <w:sz w:val="14"/>
                <w:szCs w:val="14"/>
                <w:color w:val="auto"/>
              </w:rPr>
              <w:t>At December 31</w:t>
            </w:r>
          </w:p>
        </w:tc>
        <w:tc>
          <w:tcPr>
            <w:tcW w:w="1500" w:type="dxa"/>
            <w:vAlign w:val="bottom"/>
            <w:tcBorders>
              <w:bottom w:val="single" w:sz="8" w:color="auto"/>
            </w:tcBorders>
          </w:tcPr>
          <w:p>
            <w:pPr>
              <w:jc w:val="right"/>
              <w:ind w:right="210"/>
              <w:spacing w:after="0" w:line="155" w:lineRule="exact"/>
              <w:rPr>
                <w:sz w:val="20"/>
                <w:szCs w:val="20"/>
                <w:color w:val="auto"/>
              </w:rPr>
            </w:pPr>
            <w:r>
              <w:rPr>
                <w:rFonts w:ascii="Arial" w:cs="Arial" w:eastAsia="Arial" w:hAnsi="Arial"/>
                <w:sz w:val="14"/>
                <w:szCs w:val="14"/>
                <w:color w:val="auto"/>
              </w:rPr>
              <w:t>29,922</w:t>
            </w:r>
          </w:p>
        </w:tc>
        <w:tc>
          <w:tcPr>
            <w:tcW w:w="920" w:type="dxa"/>
            <w:vAlign w:val="bottom"/>
            <w:tcBorders>
              <w:bottom w:val="single" w:sz="8" w:color="auto"/>
            </w:tcBorders>
          </w:tcPr>
          <w:p>
            <w:pPr>
              <w:jc w:val="right"/>
              <w:ind w:right="9"/>
              <w:spacing w:after="0" w:line="155" w:lineRule="exact"/>
              <w:rPr>
                <w:sz w:val="20"/>
                <w:szCs w:val="20"/>
                <w:color w:val="auto"/>
              </w:rPr>
            </w:pPr>
            <w:r>
              <w:rPr>
                <w:rFonts w:ascii="Arial" w:cs="Arial" w:eastAsia="Arial" w:hAnsi="Arial"/>
                <w:sz w:val="14"/>
                <w:szCs w:val="14"/>
                <w:color w:val="auto"/>
              </w:rPr>
              <w:t>234,725</w:t>
            </w:r>
          </w:p>
        </w:tc>
        <w:tc>
          <w:tcPr>
            <w:tcW w:w="1560" w:type="dxa"/>
            <w:vAlign w:val="bottom"/>
            <w:tcBorders>
              <w:bottom w:val="single" w:sz="8" w:color="auto"/>
            </w:tcBorders>
          </w:tcPr>
          <w:p>
            <w:pPr>
              <w:jc w:val="right"/>
              <w:ind w:right="130"/>
              <w:spacing w:after="0" w:line="155" w:lineRule="exact"/>
              <w:rPr>
                <w:sz w:val="20"/>
                <w:szCs w:val="20"/>
                <w:color w:val="auto"/>
              </w:rPr>
            </w:pPr>
            <w:r>
              <w:rPr>
                <w:rFonts w:ascii="Arial" w:cs="Arial" w:eastAsia="Arial" w:hAnsi="Arial"/>
                <w:sz w:val="14"/>
                <w:szCs w:val="14"/>
                <w:color w:val="auto"/>
              </w:rPr>
              <w:t>75,681</w:t>
            </w:r>
          </w:p>
        </w:tc>
        <w:tc>
          <w:tcPr>
            <w:tcW w:w="760" w:type="dxa"/>
            <w:vAlign w:val="bottom"/>
            <w:tcBorders>
              <w:bottom w:val="single" w:sz="8" w:color="auto"/>
            </w:tcBorders>
          </w:tcPr>
          <w:p>
            <w:pPr>
              <w:jc w:val="right"/>
              <w:ind w:right="88"/>
              <w:spacing w:after="0" w:line="155" w:lineRule="exact"/>
              <w:rPr>
                <w:sz w:val="20"/>
                <w:szCs w:val="20"/>
                <w:color w:val="auto"/>
              </w:rPr>
            </w:pPr>
            <w:r>
              <w:rPr>
                <w:rFonts w:ascii="Arial" w:cs="Arial" w:eastAsia="Arial" w:hAnsi="Arial"/>
                <w:sz w:val="14"/>
                <w:szCs w:val="14"/>
                <w:color w:val="auto"/>
              </w:rPr>
              <w:t>23,871</w:t>
            </w:r>
          </w:p>
        </w:tc>
        <w:tc>
          <w:tcPr>
            <w:tcW w:w="740" w:type="dxa"/>
            <w:vAlign w:val="bottom"/>
            <w:tcBorders>
              <w:bottom w:val="single" w:sz="8" w:color="auto"/>
            </w:tcBorders>
          </w:tcPr>
          <w:p>
            <w:pPr>
              <w:jc w:val="right"/>
              <w:ind w:right="29"/>
              <w:spacing w:after="0" w:line="155" w:lineRule="exact"/>
              <w:rPr>
                <w:sz w:val="20"/>
                <w:szCs w:val="20"/>
                <w:color w:val="auto"/>
              </w:rPr>
            </w:pPr>
            <w:r>
              <w:rPr>
                <w:rFonts w:ascii="Arial" w:cs="Arial" w:eastAsia="Arial" w:hAnsi="Arial"/>
                <w:sz w:val="14"/>
                <w:szCs w:val="14"/>
                <w:color w:val="auto"/>
              </w:rPr>
              <w:t>364,199</w:t>
            </w:r>
          </w:p>
        </w:tc>
      </w:tr>
      <w:tr>
        <w:trPr>
          <w:trHeight w:val="160"/>
        </w:trPr>
        <w:tc>
          <w:tcPr>
            <w:tcW w:w="5940" w:type="dxa"/>
            <w:vAlign w:val="bottom"/>
          </w:tcPr>
          <w:p>
            <w:pPr>
              <w:spacing w:after="0"/>
              <w:rPr>
                <w:sz w:val="20"/>
                <w:szCs w:val="20"/>
                <w:color w:val="auto"/>
              </w:rPr>
            </w:pPr>
            <w:r>
              <w:rPr>
                <w:rFonts w:ascii="Arial" w:cs="Arial" w:eastAsia="Arial" w:hAnsi="Arial"/>
                <w:sz w:val="14"/>
                <w:szCs w:val="14"/>
                <w:color w:val="auto"/>
              </w:rPr>
              <w:t>Depreciation, depletion and amortisation, including impairments</w:t>
            </w:r>
          </w:p>
        </w:tc>
        <w:tc>
          <w:tcPr>
            <w:tcW w:w="15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40" w:type="dxa"/>
            <w:vAlign w:val="bottom"/>
          </w:tcPr>
          <w:p>
            <w:pPr>
              <w:spacing w:after="0"/>
              <w:rPr>
                <w:sz w:val="13"/>
                <w:szCs w:val="13"/>
                <w:color w:val="auto"/>
              </w:rPr>
            </w:pPr>
          </w:p>
        </w:tc>
      </w:tr>
      <w:tr>
        <w:trPr>
          <w:trHeight w:val="162"/>
        </w:trPr>
        <w:tc>
          <w:tcPr>
            <w:tcW w:w="5940" w:type="dxa"/>
            <w:vAlign w:val="bottom"/>
          </w:tcPr>
          <w:p>
            <w:pPr>
              <w:ind w:left="140"/>
              <w:spacing w:after="0"/>
              <w:rPr>
                <w:sz w:val="20"/>
                <w:szCs w:val="20"/>
                <w:color w:val="auto"/>
              </w:rPr>
            </w:pPr>
            <w:r>
              <w:rPr>
                <w:rFonts w:ascii="Arial" w:cs="Arial" w:eastAsia="Arial" w:hAnsi="Arial"/>
                <w:sz w:val="14"/>
                <w:szCs w:val="14"/>
                <w:color w:val="auto"/>
              </w:rPr>
              <w:t>At January 1</w:t>
            </w:r>
          </w:p>
        </w:tc>
        <w:tc>
          <w:tcPr>
            <w:tcW w:w="1500" w:type="dxa"/>
            <w:vAlign w:val="bottom"/>
          </w:tcPr>
          <w:p>
            <w:pPr>
              <w:jc w:val="right"/>
              <w:ind w:right="210"/>
              <w:spacing w:after="0"/>
              <w:rPr>
                <w:sz w:val="20"/>
                <w:szCs w:val="20"/>
                <w:color w:val="auto"/>
              </w:rPr>
            </w:pPr>
            <w:r>
              <w:rPr>
                <w:rFonts w:ascii="Arial" w:cs="Arial" w:eastAsia="Arial" w:hAnsi="Arial"/>
                <w:sz w:val="14"/>
                <w:szCs w:val="14"/>
                <w:color w:val="auto"/>
              </w:rPr>
              <w:t>4,978</w:t>
            </w:r>
          </w:p>
        </w:tc>
        <w:tc>
          <w:tcPr>
            <w:tcW w:w="920" w:type="dxa"/>
            <w:vAlign w:val="bottom"/>
          </w:tcPr>
          <w:p>
            <w:pPr>
              <w:jc w:val="right"/>
              <w:ind w:right="9"/>
              <w:spacing w:after="0"/>
              <w:rPr>
                <w:sz w:val="20"/>
                <w:szCs w:val="20"/>
                <w:color w:val="auto"/>
              </w:rPr>
            </w:pPr>
            <w:r>
              <w:rPr>
                <w:rFonts w:ascii="Arial" w:cs="Arial" w:eastAsia="Arial" w:hAnsi="Arial"/>
                <w:sz w:val="14"/>
                <w:szCs w:val="14"/>
                <w:color w:val="auto"/>
              </w:rPr>
              <w:t>121,714</w:t>
            </w:r>
          </w:p>
        </w:tc>
        <w:tc>
          <w:tcPr>
            <w:tcW w:w="1560" w:type="dxa"/>
            <w:vAlign w:val="bottom"/>
          </w:tcPr>
          <w:p>
            <w:pPr>
              <w:jc w:val="right"/>
              <w:ind w:right="130"/>
              <w:spacing w:after="0"/>
              <w:rPr>
                <w:sz w:val="20"/>
                <w:szCs w:val="20"/>
                <w:color w:val="auto"/>
              </w:rPr>
            </w:pPr>
            <w:r>
              <w:rPr>
                <w:rFonts w:ascii="Arial" w:cs="Arial" w:eastAsia="Arial" w:hAnsi="Arial"/>
                <w:sz w:val="14"/>
                <w:szCs w:val="14"/>
                <w:color w:val="auto"/>
              </w:rPr>
              <w:t>38,421</w:t>
            </w:r>
          </w:p>
        </w:tc>
        <w:tc>
          <w:tcPr>
            <w:tcW w:w="760" w:type="dxa"/>
            <w:vAlign w:val="bottom"/>
          </w:tcPr>
          <w:p>
            <w:pPr>
              <w:jc w:val="right"/>
              <w:ind w:right="88"/>
              <w:spacing w:after="0"/>
              <w:rPr>
                <w:sz w:val="20"/>
                <w:szCs w:val="20"/>
                <w:color w:val="auto"/>
              </w:rPr>
            </w:pPr>
            <w:r>
              <w:rPr>
                <w:rFonts w:ascii="Arial" w:cs="Arial" w:eastAsia="Arial" w:hAnsi="Arial"/>
                <w:sz w:val="14"/>
                <w:szCs w:val="14"/>
                <w:color w:val="auto"/>
              </w:rPr>
              <w:t>14,105</w:t>
            </w:r>
          </w:p>
        </w:tc>
        <w:tc>
          <w:tcPr>
            <w:tcW w:w="740" w:type="dxa"/>
            <w:vAlign w:val="bottom"/>
          </w:tcPr>
          <w:p>
            <w:pPr>
              <w:jc w:val="right"/>
              <w:ind w:right="29"/>
              <w:spacing w:after="0"/>
              <w:rPr>
                <w:sz w:val="20"/>
                <w:szCs w:val="20"/>
                <w:color w:val="auto"/>
              </w:rPr>
            </w:pPr>
            <w:r>
              <w:rPr>
                <w:rFonts w:ascii="Arial" w:cs="Arial" w:eastAsia="Arial" w:hAnsi="Arial"/>
                <w:sz w:val="14"/>
                <w:szCs w:val="14"/>
                <w:color w:val="auto"/>
              </w:rPr>
              <w:t>179,218</w:t>
            </w:r>
          </w:p>
        </w:tc>
      </w:tr>
      <w:tr>
        <w:trPr>
          <w:trHeight w:val="162"/>
        </w:trPr>
        <w:tc>
          <w:tcPr>
            <w:tcW w:w="5940" w:type="dxa"/>
            <w:vAlign w:val="bottom"/>
          </w:tcPr>
          <w:p>
            <w:pPr>
              <w:ind w:left="140"/>
              <w:spacing w:after="0"/>
              <w:rPr>
                <w:sz w:val="20"/>
                <w:szCs w:val="20"/>
                <w:color w:val="auto"/>
              </w:rPr>
            </w:pPr>
            <w:r>
              <w:rPr>
                <w:rFonts w:ascii="Arial" w:cs="Arial" w:eastAsia="Arial" w:hAnsi="Arial"/>
                <w:sz w:val="14"/>
                <w:szCs w:val="14"/>
                <w:color w:val="auto"/>
              </w:rPr>
              <w:t>Charge for the year</w:t>
            </w:r>
          </w:p>
        </w:tc>
        <w:tc>
          <w:tcPr>
            <w:tcW w:w="1500" w:type="dxa"/>
            <w:vAlign w:val="bottom"/>
          </w:tcPr>
          <w:p>
            <w:pPr>
              <w:jc w:val="right"/>
              <w:ind w:right="210"/>
              <w:spacing w:after="0"/>
              <w:rPr>
                <w:sz w:val="20"/>
                <w:szCs w:val="20"/>
                <w:color w:val="auto"/>
              </w:rPr>
            </w:pPr>
            <w:r>
              <w:rPr>
                <w:rFonts w:ascii="Arial" w:cs="Arial" w:eastAsia="Arial" w:hAnsi="Arial"/>
                <w:sz w:val="14"/>
                <w:szCs w:val="14"/>
                <w:color w:val="auto"/>
              </w:rPr>
              <w:t>2,587</w:t>
            </w:r>
          </w:p>
        </w:tc>
        <w:tc>
          <w:tcPr>
            <w:tcW w:w="920" w:type="dxa"/>
            <w:vAlign w:val="bottom"/>
          </w:tcPr>
          <w:p>
            <w:pPr>
              <w:jc w:val="right"/>
              <w:ind w:right="9"/>
              <w:spacing w:after="0"/>
              <w:rPr>
                <w:sz w:val="20"/>
                <w:szCs w:val="20"/>
                <w:color w:val="auto"/>
              </w:rPr>
            </w:pPr>
            <w:r>
              <w:rPr>
                <w:rFonts w:ascii="Arial" w:cs="Arial" w:eastAsia="Arial" w:hAnsi="Arial"/>
                <w:sz w:val="14"/>
                <w:szCs w:val="14"/>
                <w:color w:val="auto"/>
              </w:rPr>
              <w:t>13,633</w:t>
            </w:r>
          </w:p>
        </w:tc>
        <w:tc>
          <w:tcPr>
            <w:tcW w:w="1560" w:type="dxa"/>
            <w:vAlign w:val="bottom"/>
          </w:tcPr>
          <w:p>
            <w:pPr>
              <w:jc w:val="right"/>
              <w:ind w:right="130"/>
              <w:spacing w:after="0"/>
              <w:rPr>
                <w:sz w:val="20"/>
                <w:szCs w:val="20"/>
                <w:color w:val="auto"/>
              </w:rPr>
            </w:pPr>
            <w:r>
              <w:rPr>
                <w:rFonts w:ascii="Arial" w:cs="Arial" w:eastAsia="Arial" w:hAnsi="Arial"/>
                <w:sz w:val="14"/>
                <w:szCs w:val="14"/>
                <w:color w:val="auto"/>
              </w:rPr>
              <w:t>6,234</w:t>
            </w:r>
          </w:p>
        </w:tc>
        <w:tc>
          <w:tcPr>
            <w:tcW w:w="760" w:type="dxa"/>
            <w:vAlign w:val="bottom"/>
          </w:tcPr>
          <w:p>
            <w:pPr>
              <w:jc w:val="right"/>
              <w:ind w:right="88"/>
              <w:spacing w:after="0"/>
              <w:rPr>
                <w:sz w:val="20"/>
                <w:szCs w:val="20"/>
                <w:color w:val="auto"/>
              </w:rPr>
            </w:pPr>
            <w:r>
              <w:rPr>
                <w:rFonts w:ascii="Arial" w:cs="Arial" w:eastAsia="Arial" w:hAnsi="Arial"/>
                <w:sz w:val="14"/>
                <w:szCs w:val="14"/>
                <w:color w:val="auto"/>
              </w:rPr>
              <w:t>1,381</w:t>
            </w:r>
          </w:p>
        </w:tc>
        <w:tc>
          <w:tcPr>
            <w:tcW w:w="740" w:type="dxa"/>
            <w:vAlign w:val="bottom"/>
          </w:tcPr>
          <w:p>
            <w:pPr>
              <w:jc w:val="right"/>
              <w:ind w:right="29"/>
              <w:spacing w:after="0"/>
              <w:rPr>
                <w:sz w:val="20"/>
                <w:szCs w:val="20"/>
                <w:color w:val="auto"/>
              </w:rPr>
            </w:pPr>
            <w:r>
              <w:rPr>
                <w:rFonts w:ascii="Arial" w:cs="Arial" w:eastAsia="Arial" w:hAnsi="Arial"/>
                <w:sz w:val="14"/>
                <w:szCs w:val="14"/>
                <w:color w:val="auto"/>
              </w:rPr>
              <w:t>23,835</w:t>
            </w:r>
          </w:p>
        </w:tc>
      </w:tr>
      <w:tr>
        <w:trPr>
          <w:trHeight w:val="162"/>
        </w:trPr>
        <w:tc>
          <w:tcPr>
            <w:tcW w:w="5940" w:type="dxa"/>
            <w:vAlign w:val="bottom"/>
          </w:tcPr>
          <w:p>
            <w:pPr>
              <w:ind w:left="140"/>
              <w:spacing w:after="0"/>
              <w:rPr>
                <w:sz w:val="20"/>
                <w:szCs w:val="20"/>
                <w:color w:val="auto"/>
              </w:rPr>
            </w:pPr>
            <w:r>
              <w:rPr>
                <w:rFonts w:ascii="Arial" w:cs="Arial" w:eastAsia="Arial" w:hAnsi="Arial"/>
                <w:sz w:val="14"/>
                <w:szCs w:val="14"/>
                <w:color w:val="auto"/>
              </w:rPr>
              <w:t>Sales, retirements and other movements</w:t>
            </w:r>
          </w:p>
        </w:tc>
        <w:tc>
          <w:tcPr>
            <w:tcW w:w="1500" w:type="dxa"/>
            <w:vAlign w:val="bottom"/>
          </w:tcPr>
          <w:p>
            <w:pPr>
              <w:jc w:val="right"/>
              <w:ind w:right="150"/>
              <w:spacing w:after="0"/>
              <w:rPr>
                <w:sz w:val="20"/>
                <w:szCs w:val="20"/>
                <w:color w:val="auto"/>
              </w:rPr>
            </w:pPr>
            <w:r>
              <w:rPr>
                <w:rFonts w:ascii="Arial" w:cs="Arial" w:eastAsia="Arial" w:hAnsi="Arial"/>
                <w:sz w:val="14"/>
                <w:szCs w:val="14"/>
                <w:color w:val="auto"/>
              </w:rPr>
              <w:t>(3,679)</w:t>
            </w:r>
          </w:p>
        </w:tc>
        <w:tc>
          <w:tcPr>
            <w:tcW w:w="920" w:type="dxa"/>
            <w:vAlign w:val="bottom"/>
          </w:tcPr>
          <w:p>
            <w:pPr>
              <w:jc w:val="right"/>
              <w:spacing w:after="0"/>
              <w:rPr>
                <w:sz w:val="20"/>
                <w:szCs w:val="20"/>
                <w:color w:val="auto"/>
              </w:rPr>
            </w:pPr>
            <w:r>
              <w:rPr>
                <w:rFonts w:ascii="Arial" w:cs="Arial" w:eastAsia="Arial" w:hAnsi="Arial"/>
                <w:sz w:val="14"/>
                <w:szCs w:val="14"/>
                <w:color w:val="auto"/>
              </w:rPr>
              <w:t>(14,353)</w:t>
            </w:r>
          </w:p>
        </w:tc>
        <w:tc>
          <w:tcPr>
            <w:tcW w:w="1560" w:type="dxa"/>
            <w:vAlign w:val="bottom"/>
          </w:tcPr>
          <w:p>
            <w:pPr>
              <w:jc w:val="right"/>
              <w:ind w:right="90"/>
              <w:spacing w:after="0"/>
              <w:rPr>
                <w:sz w:val="20"/>
                <w:szCs w:val="20"/>
                <w:color w:val="auto"/>
              </w:rPr>
            </w:pPr>
            <w:r>
              <w:rPr>
                <w:rFonts w:ascii="Arial" w:cs="Arial" w:eastAsia="Arial" w:hAnsi="Arial"/>
                <w:sz w:val="14"/>
                <w:szCs w:val="14"/>
                <w:color w:val="auto"/>
              </w:rPr>
              <w:t>(3,323)</w:t>
            </w: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(2,295)</w:t>
            </w:r>
          </w:p>
        </w:tc>
        <w:tc>
          <w:tcPr>
            <w:tcW w:w="740" w:type="dxa"/>
            <w:vAlign w:val="bottom"/>
          </w:tcPr>
          <w:p>
            <w:pPr>
              <w:jc w:val="right"/>
              <w:spacing w:after="0"/>
              <w:rPr>
                <w:sz w:val="20"/>
                <w:szCs w:val="20"/>
                <w:color w:val="auto"/>
              </w:rPr>
            </w:pPr>
            <w:r>
              <w:rPr>
                <w:rFonts w:ascii="Arial" w:cs="Arial" w:eastAsia="Arial" w:hAnsi="Arial"/>
                <w:sz w:val="14"/>
                <w:szCs w:val="14"/>
                <w:color w:val="auto"/>
              </w:rPr>
              <w:t>(23,650)</w:t>
            </w:r>
          </w:p>
        </w:tc>
      </w:tr>
      <w:tr>
        <w:trPr>
          <w:trHeight w:val="157"/>
        </w:trPr>
        <w:tc>
          <w:tcPr>
            <w:tcW w:w="5940" w:type="dxa"/>
            <w:vAlign w:val="bottom"/>
            <w:tcBorders>
              <w:bottom w:val="single" w:sz="8" w:color="auto"/>
            </w:tcBorders>
          </w:tcPr>
          <w:p>
            <w:pPr>
              <w:ind w:left="140"/>
              <w:spacing w:after="0" w:line="157" w:lineRule="exact"/>
              <w:rPr>
                <w:sz w:val="20"/>
                <w:szCs w:val="20"/>
                <w:color w:val="auto"/>
              </w:rPr>
            </w:pPr>
            <w:r>
              <w:rPr>
                <w:rFonts w:ascii="Arial" w:cs="Arial" w:eastAsia="Arial" w:hAnsi="Arial"/>
                <w:sz w:val="14"/>
                <w:szCs w:val="14"/>
                <w:color w:val="auto"/>
              </w:rPr>
              <w:t>Currency translation differences</w:t>
            </w:r>
          </w:p>
        </w:tc>
        <w:tc>
          <w:tcPr>
            <w:tcW w:w="1500" w:type="dxa"/>
            <w:vAlign w:val="bottom"/>
            <w:tcBorders>
              <w:bottom w:val="single" w:sz="8" w:color="auto"/>
            </w:tcBorders>
          </w:tcPr>
          <w:p>
            <w:pPr>
              <w:jc w:val="right"/>
              <w:ind w:right="150"/>
              <w:spacing w:after="0" w:line="157" w:lineRule="exact"/>
              <w:rPr>
                <w:sz w:val="20"/>
                <w:szCs w:val="20"/>
                <w:color w:val="auto"/>
              </w:rPr>
            </w:pPr>
            <w:r>
              <w:rPr>
                <w:rFonts w:ascii="Arial" w:cs="Arial" w:eastAsia="Arial" w:hAnsi="Arial"/>
                <w:sz w:val="14"/>
                <w:szCs w:val="14"/>
                <w:color w:val="auto"/>
              </w:rPr>
              <w:t>(76)</w:t>
            </w:r>
          </w:p>
        </w:tc>
        <w:tc>
          <w:tcPr>
            <w:tcW w:w="920" w:type="dxa"/>
            <w:vAlign w:val="bottom"/>
            <w:tcBorders>
              <w:bottom w:val="single" w:sz="8" w:color="auto"/>
            </w:tcBorders>
          </w:tcPr>
          <w:p>
            <w:pPr>
              <w:jc w:val="right"/>
              <w:spacing w:after="0" w:line="157" w:lineRule="exact"/>
              <w:rPr>
                <w:sz w:val="20"/>
                <w:szCs w:val="20"/>
                <w:color w:val="auto"/>
              </w:rPr>
            </w:pPr>
            <w:r>
              <w:rPr>
                <w:rFonts w:ascii="Arial" w:cs="Arial" w:eastAsia="Arial" w:hAnsi="Arial"/>
                <w:sz w:val="14"/>
                <w:szCs w:val="14"/>
                <w:color w:val="auto"/>
              </w:rPr>
              <w:t>(4,518)</w:t>
            </w:r>
          </w:p>
        </w:tc>
        <w:tc>
          <w:tcPr>
            <w:tcW w:w="1560" w:type="dxa"/>
            <w:vAlign w:val="bottom"/>
            <w:tcBorders>
              <w:bottom w:val="single" w:sz="8" w:color="auto"/>
            </w:tcBorders>
          </w:tcPr>
          <w:p>
            <w:pPr>
              <w:jc w:val="right"/>
              <w:ind w:right="90"/>
              <w:spacing w:after="0" w:line="157" w:lineRule="exact"/>
              <w:rPr>
                <w:sz w:val="20"/>
                <w:szCs w:val="20"/>
                <w:color w:val="auto"/>
              </w:rPr>
            </w:pPr>
            <w:r>
              <w:rPr>
                <w:rFonts w:ascii="Arial" w:cs="Arial" w:eastAsia="Arial" w:hAnsi="Arial"/>
                <w:sz w:val="14"/>
                <w:szCs w:val="14"/>
                <w:color w:val="auto"/>
              </w:rPr>
              <w:t>(1,985)</w:t>
            </w:r>
          </w:p>
        </w:tc>
        <w:tc>
          <w:tcPr>
            <w:tcW w:w="760" w:type="dxa"/>
            <w:vAlign w:val="bottom"/>
            <w:tcBorders>
              <w:bottom w:val="single" w:sz="8" w:color="auto"/>
            </w:tcBorders>
          </w:tcPr>
          <w:p>
            <w:pPr>
              <w:jc w:val="right"/>
              <w:ind w:right="48"/>
              <w:spacing w:after="0" w:line="157" w:lineRule="exact"/>
              <w:rPr>
                <w:sz w:val="20"/>
                <w:szCs w:val="20"/>
                <w:color w:val="auto"/>
              </w:rPr>
            </w:pPr>
            <w:r>
              <w:rPr>
                <w:rFonts w:ascii="Arial" w:cs="Arial" w:eastAsia="Arial" w:hAnsi="Arial"/>
                <w:sz w:val="14"/>
                <w:szCs w:val="14"/>
                <w:color w:val="auto"/>
              </w:rPr>
              <w:t>(1,097)</w:t>
            </w:r>
          </w:p>
        </w:tc>
        <w:tc>
          <w:tcPr>
            <w:tcW w:w="740" w:type="dxa"/>
            <w:vAlign w:val="bottom"/>
            <w:tcBorders>
              <w:bottom w:val="single" w:sz="8" w:color="auto"/>
            </w:tcBorders>
          </w:tcPr>
          <w:p>
            <w:pPr>
              <w:jc w:val="right"/>
              <w:spacing w:after="0" w:line="157" w:lineRule="exact"/>
              <w:rPr>
                <w:sz w:val="20"/>
                <w:szCs w:val="20"/>
                <w:color w:val="auto"/>
              </w:rPr>
            </w:pPr>
            <w:r>
              <w:rPr>
                <w:rFonts w:ascii="Arial" w:cs="Arial" w:eastAsia="Arial" w:hAnsi="Arial"/>
                <w:sz w:val="14"/>
                <w:szCs w:val="14"/>
                <w:color w:val="auto"/>
              </w:rPr>
              <w:t>(7,676)</w:t>
            </w:r>
          </w:p>
        </w:tc>
      </w:tr>
      <w:tr>
        <w:trPr>
          <w:trHeight w:val="156"/>
        </w:trPr>
        <w:tc>
          <w:tcPr>
            <w:tcW w:w="5940" w:type="dxa"/>
            <w:vAlign w:val="bottom"/>
            <w:tcBorders>
              <w:bottom w:val="single" w:sz="8" w:color="auto"/>
            </w:tcBorders>
          </w:tcPr>
          <w:p>
            <w:pPr>
              <w:spacing w:after="0" w:line="155" w:lineRule="exact"/>
              <w:rPr>
                <w:sz w:val="20"/>
                <w:szCs w:val="20"/>
                <w:color w:val="auto"/>
              </w:rPr>
            </w:pPr>
            <w:r>
              <w:rPr>
                <w:rFonts w:ascii="Arial" w:cs="Arial" w:eastAsia="Arial" w:hAnsi="Arial"/>
                <w:sz w:val="14"/>
                <w:szCs w:val="14"/>
                <w:color w:val="auto"/>
              </w:rPr>
              <w:t>At December 31</w:t>
            </w:r>
          </w:p>
        </w:tc>
        <w:tc>
          <w:tcPr>
            <w:tcW w:w="1500" w:type="dxa"/>
            <w:vAlign w:val="bottom"/>
            <w:tcBorders>
              <w:bottom w:val="single" w:sz="8" w:color="auto"/>
            </w:tcBorders>
          </w:tcPr>
          <w:p>
            <w:pPr>
              <w:jc w:val="right"/>
              <w:ind w:right="210"/>
              <w:spacing w:after="0" w:line="155" w:lineRule="exact"/>
              <w:rPr>
                <w:sz w:val="20"/>
                <w:szCs w:val="20"/>
                <w:color w:val="auto"/>
              </w:rPr>
            </w:pPr>
            <w:r>
              <w:rPr>
                <w:rFonts w:ascii="Arial" w:cs="Arial" w:eastAsia="Arial" w:hAnsi="Arial"/>
                <w:sz w:val="14"/>
                <w:szCs w:val="14"/>
                <w:color w:val="auto"/>
              </w:rPr>
              <w:t>3,810</w:t>
            </w:r>
          </w:p>
        </w:tc>
        <w:tc>
          <w:tcPr>
            <w:tcW w:w="920" w:type="dxa"/>
            <w:vAlign w:val="bottom"/>
            <w:tcBorders>
              <w:bottom w:val="single" w:sz="8" w:color="auto"/>
            </w:tcBorders>
          </w:tcPr>
          <w:p>
            <w:pPr>
              <w:jc w:val="right"/>
              <w:ind w:right="9"/>
              <w:spacing w:after="0" w:line="155" w:lineRule="exact"/>
              <w:rPr>
                <w:sz w:val="20"/>
                <w:szCs w:val="20"/>
                <w:color w:val="auto"/>
              </w:rPr>
            </w:pPr>
            <w:r>
              <w:rPr>
                <w:rFonts w:ascii="Arial" w:cs="Arial" w:eastAsia="Arial" w:hAnsi="Arial"/>
                <w:sz w:val="14"/>
                <w:szCs w:val="14"/>
                <w:color w:val="auto"/>
              </w:rPr>
              <w:t>116,476</w:t>
            </w:r>
          </w:p>
        </w:tc>
        <w:tc>
          <w:tcPr>
            <w:tcW w:w="1560" w:type="dxa"/>
            <w:vAlign w:val="bottom"/>
            <w:tcBorders>
              <w:bottom w:val="single" w:sz="8" w:color="auto"/>
            </w:tcBorders>
          </w:tcPr>
          <w:p>
            <w:pPr>
              <w:jc w:val="right"/>
              <w:ind w:right="130"/>
              <w:spacing w:after="0" w:line="155" w:lineRule="exact"/>
              <w:rPr>
                <w:sz w:val="20"/>
                <w:szCs w:val="20"/>
                <w:color w:val="auto"/>
              </w:rPr>
            </w:pPr>
            <w:r>
              <w:rPr>
                <w:rFonts w:ascii="Arial" w:cs="Arial" w:eastAsia="Arial" w:hAnsi="Arial"/>
                <w:sz w:val="14"/>
                <w:szCs w:val="14"/>
                <w:color w:val="auto"/>
              </w:rPr>
              <w:t>39,347</w:t>
            </w:r>
          </w:p>
        </w:tc>
        <w:tc>
          <w:tcPr>
            <w:tcW w:w="760" w:type="dxa"/>
            <w:vAlign w:val="bottom"/>
            <w:tcBorders>
              <w:bottom w:val="single" w:sz="8" w:color="auto"/>
            </w:tcBorders>
          </w:tcPr>
          <w:p>
            <w:pPr>
              <w:jc w:val="right"/>
              <w:ind w:right="88"/>
              <w:spacing w:after="0" w:line="155" w:lineRule="exact"/>
              <w:rPr>
                <w:sz w:val="20"/>
                <w:szCs w:val="20"/>
                <w:color w:val="auto"/>
              </w:rPr>
            </w:pPr>
            <w:r>
              <w:rPr>
                <w:rFonts w:ascii="Arial" w:cs="Arial" w:eastAsia="Arial" w:hAnsi="Arial"/>
                <w:sz w:val="14"/>
                <w:szCs w:val="14"/>
                <w:color w:val="auto"/>
              </w:rPr>
              <w:t>12,094</w:t>
            </w:r>
          </w:p>
        </w:tc>
        <w:tc>
          <w:tcPr>
            <w:tcW w:w="740" w:type="dxa"/>
            <w:vAlign w:val="bottom"/>
            <w:tcBorders>
              <w:bottom w:val="single" w:sz="8" w:color="auto"/>
            </w:tcBorders>
          </w:tcPr>
          <w:p>
            <w:pPr>
              <w:jc w:val="right"/>
              <w:ind w:right="29"/>
              <w:spacing w:after="0" w:line="155" w:lineRule="exact"/>
              <w:rPr>
                <w:sz w:val="20"/>
                <w:szCs w:val="20"/>
                <w:color w:val="auto"/>
              </w:rPr>
            </w:pPr>
            <w:r>
              <w:rPr>
                <w:rFonts w:ascii="Arial" w:cs="Arial" w:eastAsia="Arial" w:hAnsi="Arial"/>
                <w:sz w:val="14"/>
                <w:szCs w:val="14"/>
                <w:color w:val="auto"/>
              </w:rPr>
              <w:t>171,727</w:t>
            </w:r>
          </w:p>
        </w:tc>
      </w:tr>
      <w:tr>
        <w:trPr>
          <w:trHeight w:val="156"/>
        </w:trPr>
        <w:tc>
          <w:tcPr>
            <w:tcW w:w="5940" w:type="dxa"/>
            <w:vAlign w:val="bottom"/>
            <w:tcBorders>
              <w:bottom w:val="single" w:sz="8" w:color="auto"/>
            </w:tcBorders>
          </w:tcPr>
          <w:p>
            <w:pPr>
              <w:spacing w:after="0" w:line="155" w:lineRule="exact"/>
              <w:rPr>
                <w:sz w:val="20"/>
                <w:szCs w:val="20"/>
                <w:color w:val="auto"/>
              </w:rPr>
            </w:pPr>
            <w:r>
              <w:rPr>
                <w:rFonts w:ascii="Arial" w:cs="Arial" w:eastAsia="Arial" w:hAnsi="Arial"/>
                <w:sz w:val="14"/>
                <w:szCs w:val="14"/>
                <w:color w:val="auto"/>
              </w:rPr>
              <w:t>Carrying amount at December 31</w:t>
            </w:r>
          </w:p>
        </w:tc>
        <w:tc>
          <w:tcPr>
            <w:tcW w:w="1500" w:type="dxa"/>
            <w:vAlign w:val="bottom"/>
            <w:tcBorders>
              <w:bottom w:val="single" w:sz="8" w:color="auto"/>
            </w:tcBorders>
          </w:tcPr>
          <w:p>
            <w:pPr>
              <w:jc w:val="right"/>
              <w:ind w:right="210"/>
              <w:spacing w:after="0" w:line="155" w:lineRule="exact"/>
              <w:rPr>
                <w:sz w:val="20"/>
                <w:szCs w:val="20"/>
                <w:color w:val="auto"/>
              </w:rPr>
            </w:pPr>
            <w:r>
              <w:rPr>
                <w:rFonts w:ascii="Arial" w:cs="Arial" w:eastAsia="Arial" w:hAnsi="Arial"/>
                <w:sz w:val="14"/>
                <w:szCs w:val="14"/>
                <w:color w:val="auto"/>
              </w:rPr>
              <w:t>26,112</w:t>
            </w:r>
          </w:p>
        </w:tc>
        <w:tc>
          <w:tcPr>
            <w:tcW w:w="920" w:type="dxa"/>
            <w:vAlign w:val="bottom"/>
            <w:tcBorders>
              <w:bottom w:val="single" w:sz="8" w:color="auto"/>
            </w:tcBorders>
          </w:tcPr>
          <w:p>
            <w:pPr>
              <w:jc w:val="right"/>
              <w:ind w:right="9"/>
              <w:spacing w:after="0" w:line="155" w:lineRule="exact"/>
              <w:rPr>
                <w:sz w:val="20"/>
                <w:szCs w:val="20"/>
                <w:color w:val="auto"/>
              </w:rPr>
            </w:pPr>
            <w:r>
              <w:rPr>
                <w:rFonts w:ascii="Arial" w:cs="Arial" w:eastAsia="Arial" w:hAnsi="Arial"/>
                <w:sz w:val="14"/>
                <w:szCs w:val="14"/>
                <w:color w:val="auto"/>
              </w:rPr>
              <w:t>118,249</w:t>
            </w:r>
          </w:p>
        </w:tc>
        <w:tc>
          <w:tcPr>
            <w:tcW w:w="1560" w:type="dxa"/>
            <w:vAlign w:val="bottom"/>
            <w:tcBorders>
              <w:bottom w:val="single" w:sz="8" w:color="auto"/>
            </w:tcBorders>
          </w:tcPr>
          <w:p>
            <w:pPr>
              <w:jc w:val="right"/>
              <w:ind w:right="130"/>
              <w:spacing w:after="0" w:line="155" w:lineRule="exact"/>
              <w:rPr>
                <w:sz w:val="20"/>
                <w:szCs w:val="20"/>
                <w:color w:val="auto"/>
              </w:rPr>
            </w:pPr>
            <w:r>
              <w:rPr>
                <w:rFonts w:ascii="Arial" w:cs="Arial" w:eastAsia="Arial" w:hAnsi="Arial"/>
                <w:sz w:val="14"/>
                <w:szCs w:val="14"/>
                <w:color w:val="auto"/>
              </w:rPr>
              <w:t>36,334</w:t>
            </w:r>
          </w:p>
        </w:tc>
        <w:tc>
          <w:tcPr>
            <w:tcW w:w="760" w:type="dxa"/>
            <w:vAlign w:val="bottom"/>
            <w:tcBorders>
              <w:bottom w:val="single" w:sz="8" w:color="auto"/>
            </w:tcBorders>
          </w:tcPr>
          <w:p>
            <w:pPr>
              <w:jc w:val="right"/>
              <w:ind w:right="88"/>
              <w:spacing w:after="0" w:line="155" w:lineRule="exact"/>
              <w:rPr>
                <w:sz w:val="20"/>
                <w:szCs w:val="20"/>
                <w:color w:val="auto"/>
              </w:rPr>
            </w:pPr>
            <w:r>
              <w:rPr>
                <w:rFonts w:ascii="Arial" w:cs="Arial" w:eastAsia="Arial" w:hAnsi="Arial"/>
                <w:sz w:val="14"/>
                <w:szCs w:val="14"/>
                <w:color w:val="auto"/>
              </w:rPr>
              <w:t>11,777</w:t>
            </w:r>
          </w:p>
        </w:tc>
        <w:tc>
          <w:tcPr>
            <w:tcW w:w="740" w:type="dxa"/>
            <w:vAlign w:val="bottom"/>
            <w:tcBorders>
              <w:bottom w:val="single" w:sz="8" w:color="auto"/>
            </w:tcBorders>
          </w:tcPr>
          <w:p>
            <w:pPr>
              <w:jc w:val="right"/>
              <w:ind w:right="29"/>
              <w:spacing w:after="0" w:line="155" w:lineRule="exact"/>
              <w:rPr>
                <w:sz w:val="20"/>
                <w:szCs w:val="20"/>
                <w:color w:val="auto"/>
              </w:rPr>
            </w:pPr>
            <w:r>
              <w:rPr>
                <w:rFonts w:ascii="Arial" w:cs="Arial" w:eastAsia="Arial" w:hAnsi="Arial"/>
                <w:sz w:val="14"/>
                <w:szCs w:val="14"/>
                <w:color w:val="auto"/>
              </w:rPr>
              <w:t>192,472</w:t>
            </w:r>
          </w:p>
        </w:tc>
      </w:tr>
    </w:tbl>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5940" w:type="dxa"/>
            <w:vAlign w:val="bottom"/>
            <w:shd w:val="clear" w:color="auto" w:fill="333333"/>
          </w:tcPr>
          <w:p>
            <w:pPr>
              <w:ind w:left="80"/>
              <w:spacing w:after="0"/>
              <w:rPr>
                <w:sz w:val="20"/>
                <w:szCs w:val="20"/>
                <w:color w:val="auto"/>
              </w:rPr>
            </w:pPr>
            <w:r>
              <w:rPr>
                <w:rFonts w:ascii="Arial" w:cs="Arial" w:eastAsia="Arial" w:hAnsi="Arial"/>
                <w:sz w:val="15"/>
                <w:szCs w:val="15"/>
                <w:b w:val="1"/>
                <w:bCs w:val="1"/>
                <w:color w:val="FFFFFF"/>
              </w:rPr>
              <w:t>2013</w:t>
            </w:r>
          </w:p>
        </w:tc>
        <w:tc>
          <w:tcPr>
            <w:tcW w:w="1500" w:type="dxa"/>
            <w:vAlign w:val="bottom"/>
            <w:shd w:val="clear" w:color="auto" w:fill="333333"/>
          </w:tcPr>
          <w:p>
            <w:pPr>
              <w:spacing w:after="0"/>
              <w:rPr>
                <w:sz w:val="15"/>
                <w:szCs w:val="15"/>
                <w:color w:val="auto"/>
              </w:rPr>
            </w:pPr>
          </w:p>
        </w:tc>
        <w:tc>
          <w:tcPr>
            <w:tcW w:w="920" w:type="dxa"/>
            <w:vAlign w:val="bottom"/>
            <w:shd w:val="clear" w:color="auto" w:fill="333333"/>
          </w:tcPr>
          <w:p>
            <w:pPr>
              <w:spacing w:after="0"/>
              <w:rPr>
                <w:sz w:val="15"/>
                <w:szCs w:val="15"/>
                <w:color w:val="auto"/>
              </w:rPr>
            </w:pPr>
          </w:p>
        </w:tc>
        <w:tc>
          <w:tcPr>
            <w:tcW w:w="1560" w:type="dxa"/>
            <w:vAlign w:val="bottom"/>
            <w:shd w:val="clear" w:color="auto" w:fill="333333"/>
          </w:tcPr>
          <w:p>
            <w:pPr>
              <w:spacing w:after="0"/>
              <w:rPr>
                <w:sz w:val="15"/>
                <w:szCs w:val="15"/>
                <w:color w:val="auto"/>
              </w:rPr>
            </w:pPr>
          </w:p>
        </w:tc>
        <w:tc>
          <w:tcPr>
            <w:tcW w:w="1500" w:type="dxa"/>
            <w:vAlign w:val="bottom"/>
            <w:gridSpan w:val="2"/>
            <w:shd w:val="clear" w:color="auto" w:fill="333333"/>
          </w:tcPr>
          <w:p>
            <w:pPr>
              <w:jc w:val="right"/>
              <w:ind w:right="109"/>
              <w:spacing w:after="0"/>
              <w:rPr>
                <w:sz w:val="20"/>
                <w:szCs w:val="20"/>
                <w:color w:val="auto"/>
              </w:rPr>
            </w:pPr>
            <w:r>
              <w:rPr>
                <w:rFonts w:ascii="Arial" w:cs="Arial" w:eastAsia="Arial" w:hAnsi="Arial"/>
                <w:sz w:val="15"/>
                <w:szCs w:val="15"/>
                <w:color w:val="FFFFFF"/>
              </w:rPr>
              <w:t>$ MILLION</w:t>
            </w:r>
          </w:p>
        </w:tc>
        <w:tc>
          <w:tcPr>
            <w:tcW w:w="0" w:type="dxa"/>
            <w:vAlign w:val="bottom"/>
          </w:tcPr>
          <w:p>
            <w:pPr>
              <w:spacing w:after="0"/>
              <w:rPr>
                <w:sz w:val="1"/>
                <w:szCs w:val="1"/>
                <w:color w:val="auto"/>
              </w:rPr>
            </w:pPr>
          </w:p>
        </w:tc>
      </w:tr>
      <w:tr>
        <w:trPr>
          <w:trHeight w:val="135"/>
        </w:trPr>
        <w:tc>
          <w:tcPr>
            <w:tcW w:w="5940" w:type="dxa"/>
            <w:vAlign w:val="bottom"/>
          </w:tcPr>
          <w:p>
            <w:pPr>
              <w:spacing w:after="0"/>
              <w:rPr>
                <w:sz w:val="11"/>
                <w:szCs w:val="11"/>
                <w:color w:val="auto"/>
              </w:rPr>
            </w:pPr>
          </w:p>
        </w:tc>
        <w:tc>
          <w:tcPr>
            <w:tcW w:w="2420" w:type="dxa"/>
            <w:vAlign w:val="bottom"/>
            <w:tcBorders>
              <w:bottom w:val="single" w:sz="8" w:color="auto"/>
            </w:tcBorders>
            <w:gridSpan w:val="2"/>
          </w:tcPr>
          <w:p>
            <w:pPr>
              <w:jc w:val="right"/>
              <w:ind w:right="9"/>
              <w:spacing w:after="0" w:line="135" w:lineRule="exact"/>
              <w:rPr>
                <w:sz w:val="20"/>
                <w:szCs w:val="20"/>
                <w:color w:val="auto"/>
              </w:rPr>
            </w:pPr>
            <w:r>
              <w:rPr>
                <w:rFonts w:ascii="Arial" w:cs="Arial" w:eastAsia="Arial" w:hAnsi="Arial"/>
                <w:sz w:val="13"/>
                <w:szCs w:val="13"/>
                <w:color w:val="auto"/>
              </w:rPr>
              <w:t>Exploration and production assets</w:t>
            </w:r>
          </w:p>
        </w:tc>
        <w:tc>
          <w:tcPr>
            <w:tcW w:w="1560" w:type="dxa"/>
            <w:vAlign w:val="bottom"/>
          </w:tcPr>
          <w:p>
            <w:pPr>
              <w:jc w:val="right"/>
              <w:ind w:right="130"/>
              <w:spacing w:after="0" w:line="135" w:lineRule="exact"/>
              <w:rPr>
                <w:sz w:val="20"/>
                <w:szCs w:val="20"/>
                <w:color w:val="auto"/>
              </w:rPr>
            </w:pPr>
            <w:r>
              <w:rPr>
                <w:rFonts w:ascii="Arial" w:cs="Arial" w:eastAsia="Arial" w:hAnsi="Arial"/>
                <w:sz w:val="13"/>
                <w:szCs w:val="13"/>
                <w:color w:val="auto"/>
              </w:rPr>
              <w:t>Manufacturing,</w:t>
            </w: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3"/>
        </w:trPr>
        <w:tc>
          <w:tcPr>
            <w:tcW w:w="5940" w:type="dxa"/>
            <w:vAlign w:val="bottom"/>
          </w:tcPr>
          <w:p>
            <w:pPr>
              <w:spacing w:after="0"/>
              <w:rPr>
                <w:sz w:val="10"/>
                <w:szCs w:val="10"/>
                <w:color w:val="auto"/>
              </w:rPr>
            </w:pPr>
          </w:p>
        </w:tc>
        <w:tc>
          <w:tcPr>
            <w:tcW w:w="1500" w:type="dxa"/>
            <w:vAlign w:val="bottom"/>
          </w:tcPr>
          <w:p>
            <w:pPr>
              <w:jc w:val="right"/>
              <w:ind w:right="210"/>
              <w:spacing w:after="0" w:line="123" w:lineRule="exact"/>
              <w:rPr>
                <w:sz w:val="20"/>
                <w:szCs w:val="20"/>
                <w:color w:val="auto"/>
              </w:rPr>
            </w:pPr>
            <w:r>
              <w:rPr>
                <w:rFonts w:ascii="Arial" w:cs="Arial" w:eastAsia="Arial" w:hAnsi="Arial"/>
                <w:sz w:val="13"/>
                <w:szCs w:val="13"/>
                <w:color w:val="auto"/>
              </w:rPr>
              <w:t>Exploration</w:t>
            </w:r>
          </w:p>
        </w:tc>
        <w:tc>
          <w:tcPr>
            <w:tcW w:w="920" w:type="dxa"/>
            <w:vAlign w:val="bottom"/>
          </w:tcPr>
          <w:p>
            <w:pPr>
              <w:spacing w:after="0"/>
              <w:rPr>
                <w:sz w:val="10"/>
                <w:szCs w:val="10"/>
                <w:color w:val="auto"/>
              </w:rPr>
            </w:pPr>
          </w:p>
        </w:tc>
        <w:tc>
          <w:tcPr>
            <w:tcW w:w="1560" w:type="dxa"/>
            <w:vAlign w:val="bottom"/>
          </w:tcPr>
          <w:p>
            <w:pPr>
              <w:jc w:val="right"/>
              <w:ind w:right="130"/>
              <w:spacing w:after="0" w:line="123" w:lineRule="exact"/>
              <w:rPr>
                <w:sz w:val="20"/>
                <w:szCs w:val="20"/>
                <w:color w:val="auto"/>
              </w:rPr>
            </w:pPr>
            <w:r>
              <w:rPr>
                <w:rFonts w:ascii="Arial" w:cs="Arial" w:eastAsia="Arial" w:hAnsi="Arial"/>
                <w:sz w:val="13"/>
                <w:szCs w:val="13"/>
                <w:color w:val="auto"/>
              </w:rPr>
              <w:t>supply and</w:t>
            </w:r>
          </w:p>
        </w:tc>
        <w:tc>
          <w:tcPr>
            <w:tcW w:w="760" w:type="dxa"/>
            <w:vAlign w:val="bottom"/>
            <w:vMerge w:val="restart"/>
          </w:tcPr>
          <w:p>
            <w:pPr>
              <w:jc w:val="right"/>
              <w:ind w:right="88"/>
              <w:spacing w:after="0"/>
              <w:rPr>
                <w:sz w:val="20"/>
                <w:szCs w:val="20"/>
                <w:color w:val="auto"/>
              </w:rPr>
            </w:pPr>
            <w:r>
              <w:rPr>
                <w:rFonts w:ascii="Arial" w:cs="Arial" w:eastAsia="Arial" w:hAnsi="Arial"/>
                <w:sz w:val="13"/>
                <w:szCs w:val="13"/>
                <w:color w:val="auto"/>
              </w:rPr>
              <w:t>Other</w:t>
            </w:r>
          </w:p>
        </w:tc>
        <w:tc>
          <w:tcPr>
            <w:tcW w:w="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1"/>
        </w:trPr>
        <w:tc>
          <w:tcPr>
            <w:tcW w:w="5940" w:type="dxa"/>
            <w:vAlign w:val="bottom"/>
            <w:tcBorders>
              <w:bottom w:val="single" w:sz="8" w:color="auto"/>
            </w:tcBorders>
          </w:tcPr>
          <w:p>
            <w:pPr>
              <w:spacing w:after="0"/>
              <w:rPr>
                <w:sz w:val="12"/>
                <w:szCs w:val="12"/>
                <w:color w:val="auto"/>
              </w:rPr>
            </w:pPr>
          </w:p>
        </w:tc>
        <w:tc>
          <w:tcPr>
            <w:tcW w:w="1500" w:type="dxa"/>
            <w:vAlign w:val="bottom"/>
            <w:tcBorders>
              <w:bottom w:val="single" w:sz="8" w:color="auto"/>
            </w:tcBorders>
          </w:tcPr>
          <w:p>
            <w:pPr>
              <w:jc w:val="right"/>
              <w:ind w:right="210"/>
              <w:spacing w:after="0" w:line="141" w:lineRule="exact"/>
              <w:rPr>
                <w:sz w:val="20"/>
                <w:szCs w:val="20"/>
                <w:color w:val="auto"/>
              </w:rPr>
            </w:pPr>
            <w:r>
              <w:rPr>
                <w:rFonts w:ascii="Arial" w:cs="Arial" w:eastAsia="Arial" w:hAnsi="Arial"/>
                <w:sz w:val="13"/>
                <w:szCs w:val="13"/>
                <w:color w:val="auto"/>
              </w:rPr>
              <w:t>and evaluation</w:t>
            </w:r>
          </w:p>
        </w:tc>
        <w:tc>
          <w:tcPr>
            <w:tcW w:w="920" w:type="dxa"/>
            <w:vAlign w:val="bottom"/>
            <w:tcBorders>
              <w:bottom w:val="single" w:sz="8" w:color="auto"/>
            </w:tcBorders>
          </w:tcPr>
          <w:p>
            <w:pPr>
              <w:jc w:val="right"/>
              <w:ind w:right="9"/>
              <w:spacing w:after="0" w:line="141" w:lineRule="exact"/>
              <w:rPr>
                <w:sz w:val="20"/>
                <w:szCs w:val="20"/>
                <w:color w:val="auto"/>
              </w:rPr>
            </w:pPr>
            <w:r>
              <w:rPr>
                <w:rFonts w:ascii="Arial" w:cs="Arial" w:eastAsia="Arial" w:hAnsi="Arial"/>
                <w:sz w:val="13"/>
                <w:szCs w:val="13"/>
                <w:color w:val="auto"/>
              </w:rPr>
              <w:t>Production</w:t>
            </w:r>
          </w:p>
        </w:tc>
        <w:tc>
          <w:tcPr>
            <w:tcW w:w="1560" w:type="dxa"/>
            <w:vAlign w:val="bottom"/>
            <w:tcBorders>
              <w:bottom w:val="single" w:sz="8" w:color="auto"/>
            </w:tcBorders>
          </w:tcPr>
          <w:p>
            <w:pPr>
              <w:jc w:val="right"/>
              <w:ind w:right="130"/>
              <w:spacing w:after="0" w:line="141" w:lineRule="exact"/>
              <w:rPr>
                <w:sz w:val="20"/>
                <w:szCs w:val="20"/>
                <w:color w:val="auto"/>
              </w:rPr>
            </w:pPr>
            <w:r>
              <w:rPr>
                <w:rFonts w:ascii="Arial" w:cs="Arial" w:eastAsia="Arial" w:hAnsi="Arial"/>
                <w:sz w:val="13"/>
                <w:szCs w:val="13"/>
                <w:color w:val="auto"/>
              </w:rPr>
              <w:t>distribution</w:t>
            </w:r>
          </w:p>
        </w:tc>
        <w:tc>
          <w:tcPr>
            <w:tcW w:w="760" w:type="dxa"/>
            <w:vAlign w:val="bottom"/>
            <w:tcBorders>
              <w:bottom w:val="single" w:sz="8" w:color="auto"/>
            </w:tcBorders>
            <w:vMerge w:val="continue"/>
          </w:tcPr>
          <w:p>
            <w:pPr>
              <w:spacing w:after="0"/>
              <w:rPr>
                <w:sz w:val="12"/>
                <w:szCs w:val="12"/>
                <w:color w:val="auto"/>
              </w:rPr>
            </w:pPr>
          </w:p>
        </w:tc>
        <w:tc>
          <w:tcPr>
            <w:tcW w:w="740" w:type="dxa"/>
            <w:vAlign w:val="bottom"/>
            <w:tcBorders>
              <w:bottom w:val="single" w:sz="8" w:color="auto"/>
            </w:tcBorders>
          </w:tcPr>
          <w:p>
            <w:pPr>
              <w:jc w:val="right"/>
              <w:ind w:right="29"/>
              <w:spacing w:after="0" w:line="141" w:lineRule="exact"/>
              <w:rPr>
                <w:sz w:val="20"/>
                <w:szCs w:val="20"/>
                <w:color w:val="auto"/>
              </w:rPr>
            </w:pPr>
            <w:r>
              <w:rPr>
                <w:rFonts w:ascii="Arial" w:cs="Arial" w:eastAsia="Arial" w:hAnsi="Arial"/>
                <w:sz w:val="13"/>
                <w:szCs w:val="13"/>
                <w:color w:val="auto"/>
              </w:rPr>
              <w:t>Total</w:t>
            </w:r>
          </w:p>
        </w:tc>
        <w:tc>
          <w:tcPr>
            <w:tcW w:w="0" w:type="dxa"/>
            <w:vAlign w:val="bottom"/>
          </w:tcPr>
          <w:p>
            <w:pPr>
              <w:spacing w:after="0"/>
              <w:rPr>
                <w:sz w:val="1"/>
                <w:szCs w:val="1"/>
                <w:color w:val="auto"/>
              </w:rPr>
            </w:pPr>
          </w:p>
        </w:tc>
      </w:tr>
      <w:tr>
        <w:trPr>
          <w:trHeight w:val="160"/>
        </w:trPr>
        <w:tc>
          <w:tcPr>
            <w:tcW w:w="5940" w:type="dxa"/>
            <w:vAlign w:val="bottom"/>
          </w:tcPr>
          <w:p>
            <w:pPr>
              <w:spacing w:after="0"/>
              <w:rPr>
                <w:sz w:val="20"/>
                <w:szCs w:val="20"/>
                <w:color w:val="auto"/>
              </w:rPr>
            </w:pPr>
            <w:r>
              <w:rPr>
                <w:rFonts w:ascii="Arial" w:cs="Arial" w:eastAsia="Arial" w:hAnsi="Arial"/>
                <w:sz w:val="14"/>
                <w:szCs w:val="14"/>
                <w:color w:val="auto"/>
              </w:rPr>
              <w:t>Cost</w:t>
            </w:r>
          </w:p>
        </w:tc>
        <w:tc>
          <w:tcPr>
            <w:tcW w:w="15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5940" w:type="dxa"/>
            <w:vAlign w:val="bottom"/>
          </w:tcPr>
          <w:p>
            <w:pPr>
              <w:ind w:left="140"/>
              <w:spacing w:after="0"/>
              <w:rPr>
                <w:sz w:val="20"/>
                <w:szCs w:val="20"/>
                <w:color w:val="auto"/>
              </w:rPr>
            </w:pPr>
            <w:r>
              <w:rPr>
                <w:rFonts w:ascii="Arial" w:cs="Arial" w:eastAsia="Arial" w:hAnsi="Arial"/>
                <w:sz w:val="14"/>
                <w:szCs w:val="14"/>
                <w:color w:val="auto"/>
              </w:rPr>
              <w:t>At January 1</w:t>
            </w:r>
          </w:p>
        </w:tc>
        <w:tc>
          <w:tcPr>
            <w:tcW w:w="1500" w:type="dxa"/>
            <w:vAlign w:val="bottom"/>
          </w:tcPr>
          <w:p>
            <w:pPr>
              <w:jc w:val="right"/>
              <w:ind w:right="210"/>
              <w:spacing w:after="0"/>
              <w:rPr>
                <w:sz w:val="20"/>
                <w:szCs w:val="20"/>
                <w:color w:val="auto"/>
              </w:rPr>
            </w:pPr>
            <w:r>
              <w:rPr>
                <w:rFonts w:ascii="Arial" w:cs="Arial" w:eastAsia="Arial" w:hAnsi="Arial"/>
                <w:sz w:val="14"/>
                <w:szCs w:val="14"/>
                <w:color w:val="auto"/>
              </w:rPr>
              <w:t>32,871</w:t>
            </w:r>
          </w:p>
        </w:tc>
        <w:tc>
          <w:tcPr>
            <w:tcW w:w="920" w:type="dxa"/>
            <w:vAlign w:val="bottom"/>
          </w:tcPr>
          <w:p>
            <w:pPr>
              <w:jc w:val="right"/>
              <w:ind w:right="9"/>
              <w:spacing w:after="0"/>
              <w:rPr>
                <w:sz w:val="20"/>
                <w:szCs w:val="20"/>
                <w:color w:val="auto"/>
              </w:rPr>
            </w:pPr>
            <w:r>
              <w:rPr>
                <w:rFonts w:ascii="Arial" w:cs="Arial" w:eastAsia="Arial" w:hAnsi="Arial"/>
                <w:sz w:val="14"/>
                <w:szCs w:val="14"/>
                <w:color w:val="auto"/>
              </w:rPr>
              <w:t>198,851</w:t>
            </w:r>
          </w:p>
        </w:tc>
        <w:tc>
          <w:tcPr>
            <w:tcW w:w="1560" w:type="dxa"/>
            <w:vAlign w:val="bottom"/>
          </w:tcPr>
          <w:p>
            <w:pPr>
              <w:jc w:val="right"/>
              <w:ind w:right="130"/>
              <w:spacing w:after="0"/>
              <w:rPr>
                <w:sz w:val="20"/>
                <w:szCs w:val="20"/>
                <w:color w:val="auto"/>
              </w:rPr>
            </w:pPr>
            <w:r>
              <w:rPr>
                <w:rFonts w:ascii="Arial" w:cs="Arial" w:eastAsia="Arial" w:hAnsi="Arial"/>
                <w:sz w:val="14"/>
                <w:szCs w:val="14"/>
                <w:color w:val="auto"/>
              </w:rPr>
              <w:t>67,460</w:t>
            </w:r>
          </w:p>
        </w:tc>
        <w:tc>
          <w:tcPr>
            <w:tcW w:w="760" w:type="dxa"/>
            <w:vAlign w:val="bottom"/>
          </w:tcPr>
          <w:p>
            <w:pPr>
              <w:jc w:val="right"/>
              <w:ind w:right="88"/>
              <w:spacing w:after="0"/>
              <w:rPr>
                <w:sz w:val="20"/>
                <w:szCs w:val="20"/>
                <w:color w:val="auto"/>
              </w:rPr>
            </w:pPr>
            <w:r>
              <w:rPr>
                <w:rFonts w:ascii="Arial" w:cs="Arial" w:eastAsia="Arial" w:hAnsi="Arial"/>
                <w:sz w:val="14"/>
                <w:szCs w:val="14"/>
                <w:color w:val="auto"/>
              </w:rPr>
              <w:t>26,571</w:t>
            </w:r>
          </w:p>
        </w:tc>
        <w:tc>
          <w:tcPr>
            <w:tcW w:w="740" w:type="dxa"/>
            <w:vAlign w:val="bottom"/>
          </w:tcPr>
          <w:p>
            <w:pPr>
              <w:jc w:val="right"/>
              <w:ind w:right="29"/>
              <w:spacing w:after="0"/>
              <w:rPr>
                <w:sz w:val="20"/>
                <w:szCs w:val="20"/>
                <w:color w:val="auto"/>
              </w:rPr>
            </w:pPr>
            <w:r>
              <w:rPr>
                <w:rFonts w:ascii="Arial" w:cs="Arial" w:eastAsia="Arial" w:hAnsi="Arial"/>
                <w:sz w:val="14"/>
                <w:szCs w:val="14"/>
                <w:color w:val="auto"/>
              </w:rPr>
              <w:t>325,753</w:t>
            </w:r>
          </w:p>
        </w:tc>
        <w:tc>
          <w:tcPr>
            <w:tcW w:w="0" w:type="dxa"/>
            <w:vAlign w:val="bottom"/>
          </w:tcPr>
          <w:p>
            <w:pPr>
              <w:spacing w:after="0"/>
              <w:rPr>
                <w:sz w:val="1"/>
                <w:szCs w:val="1"/>
                <w:color w:val="auto"/>
              </w:rPr>
            </w:pPr>
          </w:p>
        </w:tc>
      </w:tr>
      <w:tr>
        <w:trPr>
          <w:trHeight w:val="162"/>
        </w:trPr>
        <w:tc>
          <w:tcPr>
            <w:tcW w:w="5940" w:type="dxa"/>
            <w:vAlign w:val="bottom"/>
          </w:tcPr>
          <w:p>
            <w:pPr>
              <w:ind w:left="140"/>
              <w:spacing w:after="0"/>
              <w:rPr>
                <w:sz w:val="20"/>
                <w:szCs w:val="20"/>
                <w:color w:val="auto"/>
              </w:rPr>
            </w:pPr>
            <w:r>
              <w:rPr>
                <w:rFonts w:ascii="Arial" w:cs="Arial" w:eastAsia="Arial" w:hAnsi="Arial"/>
                <w:sz w:val="14"/>
                <w:szCs w:val="14"/>
                <w:color w:val="auto"/>
              </w:rPr>
              <w:t>Additions</w:t>
            </w:r>
          </w:p>
        </w:tc>
        <w:tc>
          <w:tcPr>
            <w:tcW w:w="1500" w:type="dxa"/>
            <w:vAlign w:val="bottom"/>
          </w:tcPr>
          <w:p>
            <w:pPr>
              <w:jc w:val="right"/>
              <w:ind w:right="210"/>
              <w:spacing w:after="0"/>
              <w:rPr>
                <w:sz w:val="20"/>
                <w:szCs w:val="20"/>
                <w:color w:val="auto"/>
              </w:rPr>
            </w:pPr>
            <w:r>
              <w:rPr>
                <w:rFonts w:ascii="Arial" w:cs="Arial" w:eastAsia="Arial" w:hAnsi="Arial"/>
                <w:sz w:val="14"/>
                <w:szCs w:val="14"/>
                <w:color w:val="auto"/>
              </w:rPr>
              <w:t>8,517</w:t>
            </w:r>
          </w:p>
        </w:tc>
        <w:tc>
          <w:tcPr>
            <w:tcW w:w="920" w:type="dxa"/>
            <w:vAlign w:val="bottom"/>
          </w:tcPr>
          <w:p>
            <w:pPr>
              <w:jc w:val="right"/>
              <w:ind w:right="9"/>
              <w:spacing w:after="0"/>
              <w:rPr>
                <w:sz w:val="20"/>
                <w:szCs w:val="20"/>
                <w:color w:val="auto"/>
              </w:rPr>
            </w:pPr>
            <w:r>
              <w:rPr>
                <w:rFonts w:ascii="Arial" w:cs="Arial" w:eastAsia="Arial" w:hAnsi="Arial"/>
                <w:sz w:val="14"/>
                <w:szCs w:val="14"/>
                <w:color w:val="auto"/>
              </w:rPr>
              <w:t>24,269</w:t>
            </w:r>
          </w:p>
        </w:tc>
        <w:tc>
          <w:tcPr>
            <w:tcW w:w="1560" w:type="dxa"/>
            <w:vAlign w:val="bottom"/>
          </w:tcPr>
          <w:p>
            <w:pPr>
              <w:jc w:val="right"/>
              <w:ind w:right="130"/>
              <w:spacing w:after="0"/>
              <w:rPr>
                <w:sz w:val="20"/>
                <w:szCs w:val="20"/>
                <w:color w:val="auto"/>
              </w:rPr>
            </w:pPr>
            <w:r>
              <w:rPr>
                <w:rFonts w:ascii="Arial" w:cs="Arial" w:eastAsia="Arial" w:hAnsi="Arial"/>
                <w:sz w:val="14"/>
                <w:szCs w:val="14"/>
                <w:color w:val="auto"/>
              </w:rPr>
              <w:t>3,544</w:t>
            </w:r>
          </w:p>
        </w:tc>
        <w:tc>
          <w:tcPr>
            <w:tcW w:w="760" w:type="dxa"/>
            <w:vAlign w:val="bottom"/>
          </w:tcPr>
          <w:p>
            <w:pPr>
              <w:jc w:val="right"/>
              <w:ind w:right="88"/>
              <w:spacing w:after="0"/>
              <w:rPr>
                <w:sz w:val="20"/>
                <w:szCs w:val="20"/>
                <w:color w:val="auto"/>
              </w:rPr>
            </w:pPr>
            <w:r>
              <w:rPr>
                <w:rFonts w:ascii="Arial" w:cs="Arial" w:eastAsia="Arial" w:hAnsi="Arial"/>
                <w:sz w:val="14"/>
                <w:szCs w:val="14"/>
                <w:color w:val="auto"/>
              </w:rPr>
              <w:t>2,230</w:t>
            </w:r>
          </w:p>
        </w:tc>
        <w:tc>
          <w:tcPr>
            <w:tcW w:w="740" w:type="dxa"/>
            <w:vAlign w:val="bottom"/>
          </w:tcPr>
          <w:p>
            <w:pPr>
              <w:jc w:val="right"/>
              <w:ind w:right="29"/>
              <w:spacing w:after="0"/>
              <w:rPr>
                <w:sz w:val="20"/>
                <w:szCs w:val="20"/>
                <w:color w:val="auto"/>
              </w:rPr>
            </w:pPr>
            <w:r>
              <w:rPr>
                <w:rFonts w:ascii="Arial" w:cs="Arial" w:eastAsia="Arial" w:hAnsi="Arial"/>
                <w:sz w:val="14"/>
                <w:szCs w:val="14"/>
                <w:color w:val="auto"/>
              </w:rPr>
              <w:t>38,560</w:t>
            </w:r>
          </w:p>
        </w:tc>
        <w:tc>
          <w:tcPr>
            <w:tcW w:w="0" w:type="dxa"/>
            <w:vAlign w:val="bottom"/>
          </w:tcPr>
          <w:p>
            <w:pPr>
              <w:spacing w:after="0"/>
              <w:rPr>
                <w:sz w:val="1"/>
                <w:szCs w:val="1"/>
                <w:color w:val="auto"/>
              </w:rPr>
            </w:pPr>
          </w:p>
        </w:tc>
      </w:tr>
      <w:tr>
        <w:trPr>
          <w:trHeight w:val="162"/>
        </w:trPr>
        <w:tc>
          <w:tcPr>
            <w:tcW w:w="5940" w:type="dxa"/>
            <w:vAlign w:val="bottom"/>
          </w:tcPr>
          <w:p>
            <w:pPr>
              <w:ind w:left="140"/>
              <w:spacing w:after="0"/>
              <w:rPr>
                <w:sz w:val="20"/>
                <w:szCs w:val="20"/>
                <w:color w:val="auto"/>
              </w:rPr>
            </w:pPr>
            <w:r>
              <w:rPr>
                <w:rFonts w:ascii="Arial" w:cs="Arial" w:eastAsia="Arial" w:hAnsi="Arial"/>
                <w:sz w:val="14"/>
                <w:szCs w:val="14"/>
                <w:color w:val="auto"/>
              </w:rPr>
              <w:t>Sales, retirements and other movements</w:t>
            </w:r>
          </w:p>
        </w:tc>
        <w:tc>
          <w:tcPr>
            <w:tcW w:w="1500" w:type="dxa"/>
            <w:vAlign w:val="bottom"/>
          </w:tcPr>
          <w:p>
            <w:pPr>
              <w:jc w:val="right"/>
              <w:ind w:right="150"/>
              <w:spacing w:after="0"/>
              <w:rPr>
                <w:sz w:val="20"/>
                <w:szCs w:val="20"/>
                <w:color w:val="auto"/>
              </w:rPr>
            </w:pPr>
            <w:r>
              <w:rPr>
                <w:rFonts w:ascii="Arial" w:cs="Arial" w:eastAsia="Arial" w:hAnsi="Arial"/>
                <w:sz w:val="14"/>
                <w:szCs w:val="14"/>
                <w:color w:val="auto"/>
              </w:rPr>
              <w:t>(6,728)</w:t>
            </w:r>
          </w:p>
        </w:tc>
        <w:tc>
          <w:tcPr>
            <w:tcW w:w="920" w:type="dxa"/>
            <w:vAlign w:val="bottom"/>
          </w:tcPr>
          <w:p>
            <w:pPr>
              <w:jc w:val="right"/>
              <w:ind w:right="9"/>
              <w:spacing w:after="0"/>
              <w:rPr>
                <w:sz w:val="20"/>
                <w:szCs w:val="20"/>
                <w:color w:val="auto"/>
              </w:rPr>
            </w:pPr>
            <w:r>
              <w:rPr>
                <w:rFonts w:ascii="Arial" w:cs="Arial" w:eastAsia="Arial" w:hAnsi="Arial"/>
                <w:sz w:val="14"/>
                <w:szCs w:val="14"/>
                <w:color w:val="auto"/>
              </w:rPr>
              <w:t>12,781</w:t>
            </w:r>
          </w:p>
        </w:tc>
        <w:tc>
          <w:tcPr>
            <w:tcW w:w="1560" w:type="dxa"/>
            <w:vAlign w:val="bottom"/>
          </w:tcPr>
          <w:p>
            <w:pPr>
              <w:jc w:val="right"/>
              <w:ind w:right="130"/>
              <w:spacing w:after="0"/>
              <w:rPr>
                <w:sz w:val="20"/>
                <w:szCs w:val="20"/>
                <w:color w:val="auto"/>
              </w:rPr>
            </w:pPr>
            <w:r>
              <w:rPr>
                <w:rFonts w:ascii="Arial" w:cs="Arial" w:eastAsia="Arial" w:hAnsi="Arial"/>
                <w:sz w:val="14"/>
                <w:szCs w:val="14"/>
                <w:color w:val="auto"/>
              </w:rPr>
              <w:t>5,711</w:t>
            </w: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(1,374)</w:t>
            </w:r>
          </w:p>
        </w:tc>
        <w:tc>
          <w:tcPr>
            <w:tcW w:w="740" w:type="dxa"/>
            <w:vAlign w:val="bottom"/>
          </w:tcPr>
          <w:p>
            <w:pPr>
              <w:jc w:val="right"/>
              <w:ind w:right="29"/>
              <w:spacing w:after="0"/>
              <w:rPr>
                <w:sz w:val="20"/>
                <w:szCs w:val="20"/>
                <w:color w:val="auto"/>
              </w:rPr>
            </w:pPr>
            <w:r>
              <w:rPr>
                <w:rFonts w:ascii="Arial" w:cs="Arial" w:eastAsia="Arial" w:hAnsi="Arial"/>
                <w:sz w:val="14"/>
                <w:szCs w:val="14"/>
                <w:color w:val="auto"/>
              </w:rPr>
              <w:t>10,390</w:t>
            </w:r>
          </w:p>
        </w:tc>
        <w:tc>
          <w:tcPr>
            <w:tcW w:w="0" w:type="dxa"/>
            <w:vAlign w:val="bottom"/>
          </w:tcPr>
          <w:p>
            <w:pPr>
              <w:spacing w:after="0"/>
              <w:rPr>
                <w:sz w:val="1"/>
                <w:szCs w:val="1"/>
                <w:color w:val="auto"/>
              </w:rPr>
            </w:pPr>
          </w:p>
        </w:tc>
      </w:tr>
      <w:tr>
        <w:trPr>
          <w:trHeight w:val="157"/>
        </w:trPr>
        <w:tc>
          <w:tcPr>
            <w:tcW w:w="5940" w:type="dxa"/>
            <w:vAlign w:val="bottom"/>
            <w:tcBorders>
              <w:bottom w:val="single" w:sz="8" w:color="auto"/>
            </w:tcBorders>
          </w:tcPr>
          <w:p>
            <w:pPr>
              <w:ind w:left="140"/>
              <w:spacing w:after="0" w:line="157" w:lineRule="exact"/>
              <w:rPr>
                <w:sz w:val="20"/>
                <w:szCs w:val="20"/>
                <w:color w:val="auto"/>
              </w:rPr>
            </w:pPr>
            <w:r>
              <w:rPr>
                <w:rFonts w:ascii="Arial" w:cs="Arial" w:eastAsia="Arial" w:hAnsi="Arial"/>
                <w:sz w:val="14"/>
                <w:szCs w:val="14"/>
                <w:color w:val="auto"/>
              </w:rPr>
              <w:t>Currency translation differences</w:t>
            </w:r>
          </w:p>
        </w:tc>
        <w:tc>
          <w:tcPr>
            <w:tcW w:w="1500" w:type="dxa"/>
            <w:vAlign w:val="bottom"/>
            <w:tcBorders>
              <w:bottom w:val="single" w:sz="8" w:color="auto"/>
            </w:tcBorders>
          </w:tcPr>
          <w:p>
            <w:pPr>
              <w:jc w:val="right"/>
              <w:ind w:right="150"/>
              <w:spacing w:after="0" w:line="157" w:lineRule="exact"/>
              <w:rPr>
                <w:sz w:val="20"/>
                <w:szCs w:val="20"/>
                <w:color w:val="auto"/>
              </w:rPr>
            </w:pPr>
            <w:r>
              <w:rPr>
                <w:rFonts w:ascii="Arial" w:cs="Arial" w:eastAsia="Arial" w:hAnsi="Arial"/>
                <w:sz w:val="14"/>
                <w:szCs w:val="14"/>
                <w:color w:val="auto"/>
              </w:rPr>
              <w:t>(558)</w:t>
            </w:r>
          </w:p>
        </w:tc>
        <w:tc>
          <w:tcPr>
            <w:tcW w:w="920" w:type="dxa"/>
            <w:vAlign w:val="bottom"/>
            <w:tcBorders>
              <w:bottom w:val="single" w:sz="8" w:color="auto"/>
            </w:tcBorders>
          </w:tcPr>
          <w:p>
            <w:pPr>
              <w:jc w:val="right"/>
              <w:spacing w:after="0" w:line="157" w:lineRule="exact"/>
              <w:rPr>
                <w:sz w:val="20"/>
                <w:szCs w:val="20"/>
                <w:color w:val="auto"/>
              </w:rPr>
            </w:pPr>
            <w:r>
              <w:rPr>
                <w:rFonts w:ascii="Arial" w:cs="Arial" w:eastAsia="Arial" w:hAnsi="Arial"/>
                <w:sz w:val="14"/>
                <w:szCs w:val="14"/>
                <w:color w:val="auto"/>
              </w:rPr>
              <w:t>(2,721)</w:t>
            </w:r>
          </w:p>
        </w:tc>
        <w:tc>
          <w:tcPr>
            <w:tcW w:w="1560" w:type="dxa"/>
            <w:vAlign w:val="bottom"/>
            <w:tcBorders>
              <w:bottom w:val="single" w:sz="8" w:color="auto"/>
            </w:tcBorders>
          </w:tcPr>
          <w:p>
            <w:pPr>
              <w:jc w:val="right"/>
              <w:ind w:right="90"/>
              <w:spacing w:after="0" w:line="157" w:lineRule="exact"/>
              <w:rPr>
                <w:sz w:val="20"/>
                <w:szCs w:val="20"/>
                <w:color w:val="auto"/>
              </w:rPr>
            </w:pPr>
            <w:r>
              <w:rPr>
                <w:rFonts w:ascii="Arial" w:cs="Arial" w:eastAsia="Arial" w:hAnsi="Arial"/>
                <w:sz w:val="14"/>
                <w:szCs w:val="14"/>
                <w:color w:val="auto"/>
              </w:rPr>
              <w:t>(91)</w:t>
            </w:r>
          </w:p>
        </w:tc>
        <w:tc>
          <w:tcPr>
            <w:tcW w:w="760" w:type="dxa"/>
            <w:vAlign w:val="bottom"/>
            <w:tcBorders>
              <w:bottom w:val="single" w:sz="8" w:color="auto"/>
            </w:tcBorders>
          </w:tcPr>
          <w:p>
            <w:pPr>
              <w:jc w:val="right"/>
              <w:ind w:right="48"/>
              <w:spacing w:after="0" w:line="157" w:lineRule="exact"/>
              <w:rPr>
                <w:sz w:val="20"/>
                <w:szCs w:val="20"/>
                <w:color w:val="auto"/>
              </w:rPr>
            </w:pPr>
            <w:r>
              <w:rPr>
                <w:rFonts w:ascii="Arial" w:cs="Arial" w:eastAsia="Arial" w:hAnsi="Arial"/>
                <w:sz w:val="14"/>
                <w:szCs w:val="14"/>
                <w:color w:val="auto"/>
              </w:rPr>
              <w:t>(218)</w:t>
            </w:r>
          </w:p>
        </w:tc>
        <w:tc>
          <w:tcPr>
            <w:tcW w:w="740" w:type="dxa"/>
            <w:vAlign w:val="bottom"/>
            <w:tcBorders>
              <w:bottom w:val="single" w:sz="8" w:color="auto"/>
            </w:tcBorders>
          </w:tcPr>
          <w:p>
            <w:pPr>
              <w:jc w:val="right"/>
              <w:spacing w:after="0" w:line="157" w:lineRule="exact"/>
              <w:rPr>
                <w:sz w:val="20"/>
                <w:szCs w:val="20"/>
                <w:color w:val="auto"/>
              </w:rPr>
            </w:pPr>
            <w:r>
              <w:rPr>
                <w:rFonts w:ascii="Arial" w:cs="Arial" w:eastAsia="Arial" w:hAnsi="Arial"/>
                <w:sz w:val="14"/>
                <w:szCs w:val="14"/>
                <w:color w:val="auto"/>
              </w:rPr>
              <w:t>(3,588)</w:t>
            </w:r>
          </w:p>
        </w:tc>
        <w:tc>
          <w:tcPr>
            <w:tcW w:w="0" w:type="dxa"/>
            <w:vAlign w:val="bottom"/>
          </w:tcPr>
          <w:p>
            <w:pPr>
              <w:spacing w:after="0"/>
              <w:rPr>
                <w:sz w:val="1"/>
                <w:szCs w:val="1"/>
                <w:color w:val="auto"/>
              </w:rPr>
            </w:pPr>
          </w:p>
        </w:tc>
      </w:tr>
      <w:tr>
        <w:trPr>
          <w:trHeight w:val="156"/>
        </w:trPr>
        <w:tc>
          <w:tcPr>
            <w:tcW w:w="5940" w:type="dxa"/>
            <w:vAlign w:val="bottom"/>
            <w:tcBorders>
              <w:bottom w:val="single" w:sz="8" w:color="auto"/>
            </w:tcBorders>
          </w:tcPr>
          <w:p>
            <w:pPr>
              <w:spacing w:after="0" w:line="155" w:lineRule="exact"/>
              <w:rPr>
                <w:sz w:val="20"/>
                <w:szCs w:val="20"/>
                <w:color w:val="auto"/>
              </w:rPr>
            </w:pPr>
            <w:r>
              <w:rPr>
                <w:rFonts w:ascii="Arial" w:cs="Arial" w:eastAsia="Arial" w:hAnsi="Arial"/>
                <w:sz w:val="14"/>
                <w:szCs w:val="14"/>
                <w:color w:val="auto"/>
              </w:rPr>
              <w:t>At December 31</w:t>
            </w:r>
          </w:p>
        </w:tc>
        <w:tc>
          <w:tcPr>
            <w:tcW w:w="1500" w:type="dxa"/>
            <w:vAlign w:val="bottom"/>
            <w:tcBorders>
              <w:bottom w:val="single" w:sz="8" w:color="auto"/>
            </w:tcBorders>
          </w:tcPr>
          <w:p>
            <w:pPr>
              <w:jc w:val="right"/>
              <w:ind w:right="210"/>
              <w:spacing w:after="0" w:line="155" w:lineRule="exact"/>
              <w:rPr>
                <w:sz w:val="20"/>
                <w:szCs w:val="20"/>
                <w:color w:val="auto"/>
              </w:rPr>
            </w:pPr>
            <w:r>
              <w:rPr>
                <w:rFonts w:ascii="Arial" w:cs="Arial" w:eastAsia="Arial" w:hAnsi="Arial"/>
                <w:sz w:val="14"/>
                <w:szCs w:val="14"/>
                <w:color w:val="auto"/>
              </w:rPr>
              <w:t>34,102</w:t>
            </w:r>
          </w:p>
        </w:tc>
        <w:tc>
          <w:tcPr>
            <w:tcW w:w="920" w:type="dxa"/>
            <w:vAlign w:val="bottom"/>
            <w:tcBorders>
              <w:bottom w:val="single" w:sz="8" w:color="auto"/>
            </w:tcBorders>
          </w:tcPr>
          <w:p>
            <w:pPr>
              <w:jc w:val="right"/>
              <w:ind w:right="9"/>
              <w:spacing w:after="0" w:line="155" w:lineRule="exact"/>
              <w:rPr>
                <w:sz w:val="20"/>
                <w:szCs w:val="20"/>
                <w:color w:val="auto"/>
              </w:rPr>
            </w:pPr>
            <w:r>
              <w:rPr>
                <w:rFonts w:ascii="Arial" w:cs="Arial" w:eastAsia="Arial" w:hAnsi="Arial"/>
                <w:sz w:val="14"/>
                <w:szCs w:val="14"/>
                <w:color w:val="auto"/>
              </w:rPr>
              <w:t>233,180</w:t>
            </w:r>
          </w:p>
        </w:tc>
        <w:tc>
          <w:tcPr>
            <w:tcW w:w="1560" w:type="dxa"/>
            <w:vAlign w:val="bottom"/>
            <w:tcBorders>
              <w:bottom w:val="single" w:sz="8" w:color="auto"/>
            </w:tcBorders>
          </w:tcPr>
          <w:p>
            <w:pPr>
              <w:jc w:val="right"/>
              <w:ind w:right="130"/>
              <w:spacing w:after="0" w:line="155" w:lineRule="exact"/>
              <w:rPr>
                <w:sz w:val="20"/>
                <w:szCs w:val="20"/>
                <w:color w:val="auto"/>
              </w:rPr>
            </w:pPr>
            <w:r>
              <w:rPr>
                <w:rFonts w:ascii="Arial" w:cs="Arial" w:eastAsia="Arial" w:hAnsi="Arial"/>
                <w:sz w:val="14"/>
                <w:szCs w:val="14"/>
                <w:color w:val="auto"/>
              </w:rPr>
              <w:t>76,624</w:t>
            </w:r>
          </w:p>
        </w:tc>
        <w:tc>
          <w:tcPr>
            <w:tcW w:w="760" w:type="dxa"/>
            <w:vAlign w:val="bottom"/>
            <w:tcBorders>
              <w:bottom w:val="single" w:sz="8" w:color="auto"/>
            </w:tcBorders>
          </w:tcPr>
          <w:p>
            <w:pPr>
              <w:jc w:val="right"/>
              <w:ind w:right="88"/>
              <w:spacing w:after="0" w:line="155" w:lineRule="exact"/>
              <w:rPr>
                <w:sz w:val="20"/>
                <w:szCs w:val="20"/>
                <w:color w:val="auto"/>
              </w:rPr>
            </w:pPr>
            <w:r>
              <w:rPr>
                <w:rFonts w:ascii="Arial" w:cs="Arial" w:eastAsia="Arial" w:hAnsi="Arial"/>
                <w:sz w:val="14"/>
                <w:szCs w:val="14"/>
                <w:color w:val="auto"/>
              </w:rPr>
              <w:t>27,209</w:t>
            </w:r>
          </w:p>
        </w:tc>
        <w:tc>
          <w:tcPr>
            <w:tcW w:w="740" w:type="dxa"/>
            <w:vAlign w:val="bottom"/>
            <w:tcBorders>
              <w:bottom w:val="single" w:sz="8" w:color="auto"/>
            </w:tcBorders>
          </w:tcPr>
          <w:p>
            <w:pPr>
              <w:jc w:val="right"/>
              <w:ind w:right="29"/>
              <w:spacing w:after="0" w:line="155" w:lineRule="exact"/>
              <w:rPr>
                <w:sz w:val="20"/>
                <w:szCs w:val="20"/>
                <w:color w:val="auto"/>
              </w:rPr>
            </w:pPr>
            <w:r>
              <w:rPr>
                <w:rFonts w:ascii="Arial" w:cs="Arial" w:eastAsia="Arial" w:hAnsi="Arial"/>
                <w:sz w:val="14"/>
                <w:szCs w:val="14"/>
                <w:color w:val="auto"/>
              </w:rPr>
              <w:t>371,115</w:t>
            </w:r>
          </w:p>
        </w:tc>
        <w:tc>
          <w:tcPr>
            <w:tcW w:w="0" w:type="dxa"/>
            <w:vAlign w:val="bottom"/>
          </w:tcPr>
          <w:p>
            <w:pPr>
              <w:spacing w:after="0"/>
              <w:rPr>
                <w:sz w:val="1"/>
                <w:szCs w:val="1"/>
                <w:color w:val="auto"/>
              </w:rPr>
            </w:pPr>
          </w:p>
        </w:tc>
      </w:tr>
      <w:tr>
        <w:trPr>
          <w:trHeight w:val="160"/>
        </w:trPr>
        <w:tc>
          <w:tcPr>
            <w:tcW w:w="5940" w:type="dxa"/>
            <w:vAlign w:val="bottom"/>
          </w:tcPr>
          <w:p>
            <w:pPr>
              <w:spacing w:after="0"/>
              <w:rPr>
                <w:sz w:val="20"/>
                <w:szCs w:val="20"/>
                <w:color w:val="auto"/>
              </w:rPr>
            </w:pPr>
            <w:r>
              <w:rPr>
                <w:rFonts w:ascii="Arial" w:cs="Arial" w:eastAsia="Arial" w:hAnsi="Arial"/>
                <w:sz w:val="14"/>
                <w:szCs w:val="14"/>
                <w:color w:val="auto"/>
              </w:rPr>
              <w:t>Depreciation, depletion and amortisation, including impairments</w:t>
            </w:r>
          </w:p>
        </w:tc>
        <w:tc>
          <w:tcPr>
            <w:tcW w:w="15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5940" w:type="dxa"/>
            <w:vAlign w:val="bottom"/>
          </w:tcPr>
          <w:p>
            <w:pPr>
              <w:ind w:left="140"/>
              <w:spacing w:after="0"/>
              <w:rPr>
                <w:sz w:val="20"/>
                <w:szCs w:val="20"/>
                <w:color w:val="auto"/>
              </w:rPr>
            </w:pPr>
            <w:r>
              <w:rPr>
                <w:rFonts w:ascii="Arial" w:cs="Arial" w:eastAsia="Arial" w:hAnsi="Arial"/>
                <w:sz w:val="14"/>
                <w:szCs w:val="14"/>
                <w:color w:val="auto"/>
              </w:rPr>
              <w:t>At January 1</w:t>
            </w:r>
          </w:p>
        </w:tc>
        <w:tc>
          <w:tcPr>
            <w:tcW w:w="1500" w:type="dxa"/>
            <w:vAlign w:val="bottom"/>
          </w:tcPr>
          <w:p>
            <w:pPr>
              <w:jc w:val="right"/>
              <w:ind w:right="210"/>
              <w:spacing w:after="0"/>
              <w:rPr>
                <w:sz w:val="20"/>
                <w:szCs w:val="20"/>
                <w:color w:val="auto"/>
              </w:rPr>
            </w:pPr>
            <w:r>
              <w:rPr>
                <w:rFonts w:ascii="Arial" w:cs="Arial" w:eastAsia="Arial" w:hAnsi="Arial"/>
                <w:sz w:val="14"/>
                <w:szCs w:val="14"/>
                <w:color w:val="auto"/>
              </w:rPr>
              <w:t>2,110</w:t>
            </w:r>
          </w:p>
        </w:tc>
        <w:tc>
          <w:tcPr>
            <w:tcW w:w="920" w:type="dxa"/>
            <w:vAlign w:val="bottom"/>
          </w:tcPr>
          <w:p>
            <w:pPr>
              <w:jc w:val="right"/>
              <w:ind w:right="9"/>
              <w:spacing w:after="0"/>
              <w:rPr>
                <w:sz w:val="20"/>
                <w:szCs w:val="20"/>
                <w:color w:val="auto"/>
              </w:rPr>
            </w:pPr>
            <w:r>
              <w:rPr>
                <w:rFonts w:ascii="Arial" w:cs="Arial" w:eastAsia="Arial" w:hAnsi="Arial"/>
                <w:sz w:val="14"/>
                <w:szCs w:val="14"/>
                <w:color w:val="auto"/>
              </w:rPr>
              <w:t>106,130</w:t>
            </w:r>
          </w:p>
        </w:tc>
        <w:tc>
          <w:tcPr>
            <w:tcW w:w="1560" w:type="dxa"/>
            <w:vAlign w:val="bottom"/>
          </w:tcPr>
          <w:p>
            <w:pPr>
              <w:jc w:val="right"/>
              <w:ind w:right="130"/>
              <w:spacing w:after="0"/>
              <w:rPr>
                <w:sz w:val="20"/>
                <w:szCs w:val="20"/>
                <w:color w:val="auto"/>
              </w:rPr>
            </w:pPr>
            <w:r>
              <w:rPr>
                <w:rFonts w:ascii="Arial" w:cs="Arial" w:eastAsia="Arial" w:hAnsi="Arial"/>
                <w:sz w:val="14"/>
                <w:szCs w:val="14"/>
                <w:color w:val="auto"/>
              </w:rPr>
              <w:t>31,613</w:t>
            </w:r>
          </w:p>
        </w:tc>
        <w:tc>
          <w:tcPr>
            <w:tcW w:w="760" w:type="dxa"/>
            <w:vAlign w:val="bottom"/>
          </w:tcPr>
          <w:p>
            <w:pPr>
              <w:jc w:val="right"/>
              <w:ind w:right="88"/>
              <w:spacing w:after="0"/>
              <w:rPr>
                <w:sz w:val="20"/>
                <w:szCs w:val="20"/>
                <w:color w:val="auto"/>
              </w:rPr>
            </w:pPr>
            <w:r>
              <w:rPr>
                <w:rFonts w:ascii="Arial" w:cs="Arial" w:eastAsia="Arial" w:hAnsi="Arial"/>
                <w:sz w:val="14"/>
                <w:szCs w:val="14"/>
                <w:color w:val="auto"/>
              </w:rPr>
              <w:t>13,607</w:t>
            </w:r>
          </w:p>
        </w:tc>
        <w:tc>
          <w:tcPr>
            <w:tcW w:w="740" w:type="dxa"/>
            <w:vAlign w:val="bottom"/>
          </w:tcPr>
          <w:p>
            <w:pPr>
              <w:jc w:val="right"/>
              <w:ind w:right="29"/>
              <w:spacing w:after="0"/>
              <w:rPr>
                <w:sz w:val="20"/>
                <w:szCs w:val="20"/>
                <w:color w:val="auto"/>
              </w:rPr>
            </w:pPr>
            <w:r>
              <w:rPr>
                <w:rFonts w:ascii="Arial" w:cs="Arial" w:eastAsia="Arial" w:hAnsi="Arial"/>
                <w:sz w:val="14"/>
                <w:szCs w:val="14"/>
                <w:color w:val="auto"/>
              </w:rPr>
              <w:t>153,460</w:t>
            </w:r>
          </w:p>
        </w:tc>
        <w:tc>
          <w:tcPr>
            <w:tcW w:w="0" w:type="dxa"/>
            <w:vAlign w:val="bottom"/>
          </w:tcPr>
          <w:p>
            <w:pPr>
              <w:spacing w:after="0"/>
              <w:rPr>
                <w:sz w:val="1"/>
                <w:szCs w:val="1"/>
                <w:color w:val="auto"/>
              </w:rPr>
            </w:pPr>
          </w:p>
        </w:tc>
      </w:tr>
      <w:tr>
        <w:trPr>
          <w:trHeight w:val="162"/>
        </w:trPr>
        <w:tc>
          <w:tcPr>
            <w:tcW w:w="5940" w:type="dxa"/>
            <w:vAlign w:val="bottom"/>
          </w:tcPr>
          <w:p>
            <w:pPr>
              <w:ind w:left="140"/>
              <w:spacing w:after="0"/>
              <w:rPr>
                <w:sz w:val="20"/>
                <w:szCs w:val="20"/>
                <w:color w:val="auto"/>
              </w:rPr>
            </w:pPr>
            <w:r>
              <w:rPr>
                <w:rFonts w:ascii="Arial" w:cs="Arial" w:eastAsia="Arial" w:hAnsi="Arial"/>
                <w:sz w:val="14"/>
                <w:szCs w:val="14"/>
                <w:color w:val="auto"/>
              </w:rPr>
              <w:t>Charge for the year</w:t>
            </w:r>
          </w:p>
        </w:tc>
        <w:tc>
          <w:tcPr>
            <w:tcW w:w="1500" w:type="dxa"/>
            <w:vAlign w:val="bottom"/>
          </w:tcPr>
          <w:p>
            <w:pPr>
              <w:jc w:val="right"/>
              <w:ind w:right="210"/>
              <w:spacing w:after="0"/>
              <w:rPr>
                <w:sz w:val="20"/>
                <w:szCs w:val="20"/>
                <w:color w:val="auto"/>
              </w:rPr>
            </w:pPr>
            <w:r>
              <w:rPr>
                <w:rFonts w:ascii="Arial" w:cs="Arial" w:eastAsia="Arial" w:hAnsi="Arial"/>
                <w:sz w:val="14"/>
                <w:szCs w:val="14"/>
                <w:color w:val="auto"/>
              </w:rPr>
              <w:t>3,626</w:t>
            </w:r>
          </w:p>
        </w:tc>
        <w:tc>
          <w:tcPr>
            <w:tcW w:w="920" w:type="dxa"/>
            <w:vAlign w:val="bottom"/>
          </w:tcPr>
          <w:p>
            <w:pPr>
              <w:jc w:val="right"/>
              <w:ind w:right="9"/>
              <w:spacing w:after="0"/>
              <w:rPr>
                <w:sz w:val="20"/>
                <w:szCs w:val="20"/>
                <w:color w:val="auto"/>
              </w:rPr>
            </w:pPr>
            <w:r>
              <w:rPr>
                <w:rFonts w:ascii="Arial" w:cs="Arial" w:eastAsia="Arial" w:hAnsi="Arial"/>
                <w:sz w:val="14"/>
                <w:szCs w:val="14"/>
                <w:color w:val="auto"/>
              </w:rPr>
              <w:t>12,092</w:t>
            </w:r>
          </w:p>
        </w:tc>
        <w:tc>
          <w:tcPr>
            <w:tcW w:w="1560" w:type="dxa"/>
            <w:vAlign w:val="bottom"/>
          </w:tcPr>
          <w:p>
            <w:pPr>
              <w:jc w:val="right"/>
              <w:ind w:right="130"/>
              <w:spacing w:after="0"/>
              <w:rPr>
                <w:sz w:val="20"/>
                <w:szCs w:val="20"/>
                <w:color w:val="auto"/>
              </w:rPr>
            </w:pPr>
            <w:r>
              <w:rPr>
                <w:rFonts w:ascii="Arial" w:cs="Arial" w:eastAsia="Arial" w:hAnsi="Arial"/>
                <w:sz w:val="14"/>
                <w:szCs w:val="14"/>
                <w:color w:val="auto"/>
              </w:rPr>
              <w:t>3,793</w:t>
            </w:r>
          </w:p>
        </w:tc>
        <w:tc>
          <w:tcPr>
            <w:tcW w:w="760" w:type="dxa"/>
            <w:vAlign w:val="bottom"/>
          </w:tcPr>
          <w:p>
            <w:pPr>
              <w:jc w:val="right"/>
              <w:ind w:right="88"/>
              <w:spacing w:after="0"/>
              <w:rPr>
                <w:sz w:val="20"/>
                <w:szCs w:val="20"/>
                <w:color w:val="auto"/>
              </w:rPr>
            </w:pPr>
            <w:r>
              <w:rPr>
                <w:rFonts w:ascii="Arial" w:cs="Arial" w:eastAsia="Arial" w:hAnsi="Arial"/>
                <w:sz w:val="14"/>
                <w:szCs w:val="14"/>
                <w:color w:val="auto"/>
              </w:rPr>
              <w:t>1,572</w:t>
            </w:r>
          </w:p>
        </w:tc>
        <w:tc>
          <w:tcPr>
            <w:tcW w:w="740" w:type="dxa"/>
            <w:vAlign w:val="bottom"/>
          </w:tcPr>
          <w:p>
            <w:pPr>
              <w:jc w:val="right"/>
              <w:ind w:right="29"/>
              <w:spacing w:after="0"/>
              <w:rPr>
                <w:sz w:val="20"/>
                <w:szCs w:val="20"/>
                <w:color w:val="auto"/>
              </w:rPr>
            </w:pPr>
            <w:r>
              <w:rPr>
                <w:rFonts w:ascii="Arial" w:cs="Arial" w:eastAsia="Arial" w:hAnsi="Arial"/>
                <w:sz w:val="14"/>
                <w:szCs w:val="14"/>
                <w:color w:val="auto"/>
              </w:rPr>
              <w:t>21,083</w:t>
            </w:r>
          </w:p>
        </w:tc>
        <w:tc>
          <w:tcPr>
            <w:tcW w:w="0" w:type="dxa"/>
            <w:vAlign w:val="bottom"/>
          </w:tcPr>
          <w:p>
            <w:pPr>
              <w:spacing w:after="0"/>
              <w:rPr>
                <w:sz w:val="1"/>
                <w:szCs w:val="1"/>
                <w:color w:val="auto"/>
              </w:rPr>
            </w:pPr>
          </w:p>
        </w:tc>
      </w:tr>
      <w:tr>
        <w:trPr>
          <w:trHeight w:val="162"/>
        </w:trPr>
        <w:tc>
          <w:tcPr>
            <w:tcW w:w="5940" w:type="dxa"/>
            <w:vAlign w:val="bottom"/>
          </w:tcPr>
          <w:p>
            <w:pPr>
              <w:ind w:left="140"/>
              <w:spacing w:after="0"/>
              <w:rPr>
                <w:sz w:val="20"/>
                <w:szCs w:val="20"/>
                <w:color w:val="auto"/>
              </w:rPr>
            </w:pPr>
            <w:r>
              <w:rPr>
                <w:rFonts w:ascii="Arial" w:cs="Arial" w:eastAsia="Arial" w:hAnsi="Arial"/>
                <w:sz w:val="14"/>
                <w:szCs w:val="14"/>
                <w:color w:val="auto"/>
              </w:rPr>
              <w:t>Sales, retirements and other movements</w:t>
            </w:r>
          </w:p>
        </w:tc>
        <w:tc>
          <w:tcPr>
            <w:tcW w:w="1500" w:type="dxa"/>
            <w:vAlign w:val="bottom"/>
          </w:tcPr>
          <w:p>
            <w:pPr>
              <w:jc w:val="right"/>
              <w:ind w:right="150"/>
              <w:spacing w:after="0"/>
              <w:rPr>
                <w:sz w:val="20"/>
                <w:szCs w:val="20"/>
                <w:color w:val="auto"/>
              </w:rPr>
            </w:pPr>
            <w:r>
              <w:rPr>
                <w:rFonts w:ascii="Arial" w:cs="Arial" w:eastAsia="Arial" w:hAnsi="Arial"/>
                <w:sz w:val="14"/>
                <w:szCs w:val="14"/>
                <w:color w:val="auto"/>
              </w:rPr>
              <w:t>(728)</w:t>
            </w:r>
          </w:p>
        </w:tc>
        <w:tc>
          <w:tcPr>
            <w:tcW w:w="920" w:type="dxa"/>
            <w:vAlign w:val="bottom"/>
          </w:tcPr>
          <w:p>
            <w:pPr>
              <w:jc w:val="right"/>
              <w:ind w:right="9"/>
              <w:spacing w:after="0"/>
              <w:rPr>
                <w:sz w:val="20"/>
                <w:szCs w:val="20"/>
                <w:color w:val="auto"/>
              </w:rPr>
            </w:pPr>
            <w:r>
              <w:rPr>
                <w:rFonts w:ascii="Arial" w:cs="Arial" w:eastAsia="Arial" w:hAnsi="Arial"/>
                <w:sz w:val="14"/>
                <w:szCs w:val="14"/>
                <w:color w:val="auto"/>
              </w:rPr>
              <w:t>4,603</w:t>
            </w:r>
          </w:p>
        </w:tc>
        <w:tc>
          <w:tcPr>
            <w:tcW w:w="1560" w:type="dxa"/>
            <w:vAlign w:val="bottom"/>
          </w:tcPr>
          <w:p>
            <w:pPr>
              <w:jc w:val="right"/>
              <w:ind w:right="130"/>
              <w:spacing w:after="0"/>
              <w:rPr>
                <w:sz w:val="20"/>
                <w:szCs w:val="20"/>
                <w:color w:val="auto"/>
              </w:rPr>
            </w:pPr>
            <w:r>
              <w:rPr>
                <w:rFonts w:ascii="Arial" w:cs="Arial" w:eastAsia="Arial" w:hAnsi="Arial"/>
                <w:sz w:val="14"/>
                <w:szCs w:val="14"/>
                <w:color w:val="auto"/>
              </w:rPr>
              <w:t>3,146</w:t>
            </w: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(1,047)</w:t>
            </w:r>
          </w:p>
        </w:tc>
        <w:tc>
          <w:tcPr>
            <w:tcW w:w="740" w:type="dxa"/>
            <w:vAlign w:val="bottom"/>
          </w:tcPr>
          <w:p>
            <w:pPr>
              <w:jc w:val="right"/>
              <w:ind w:right="29"/>
              <w:spacing w:after="0"/>
              <w:rPr>
                <w:sz w:val="20"/>
                <w:szCs w:val="20"/>
                <w:color w:val="auto"/>
              </w:rPr>
            </w:pPr>
            <w:r>
              <w:rPr>
                <w:rFonts w:ascii="Arial" w:cs="Arial" w:eastAsia="Arial" w:hAnsi="Arial"/>
                <w:sz w:val="14"/>
                <w:szCs w:val="14"/>
                <w:color w:val="auto"/>
              </w:rPr>
              <w:t>5,974</w:t>
            </w:r>
          </w:p>
        </w:tc>
        <w:tc>
          <w:tcPr>
            <w:tcW w:w="0" w:type="dxa"/>
            <w:vAlign w:val="bottom"/>
          </w:tcPr>
          <w:p>
            <w:pPr>
              <w:spacing w:after="0"/>
              <w:rPr>
                <w:sz w:val="1"/>
                <w:szCs w:val="1"/>
                <w:color w:val="auto"/>
              </w:rPr>
            </w:pPr>
          </w:p>
        </w:tc>
      </w:tr>
      <w:tr>
        <w:trPr>
          <w:trHeight w:val="157"/>
        </w:trPr>
        <w:tc>
          <w:tcPr>
            <w:tcW w:w="5940" w:type="dxa"/>
            <w:vAlign w:val="bottom"/>
            <w:tcBorders>
              <w:bottom w:val="single" w:sz="8" w:color="auto"/>
            </w:tcBorders>
          </w:tcPr>
          <w:p>
            <w:pPr>
              <w:ind w:left="140"/>
              <w:spacing w:after="0" w:line="157" w:lineRule="exact"/>
              <w:rPr>
                <w:sz w:val="20"/>
                <w:szCs w:val="20"/>
                <w:color w:val="auto"/>
              </w:rPr>
            </w:pPr>
            <w:r>
              <w:rPr>
                <w:rFonts w:ascii="Arial" w:cs="Arial" w:eastAsia="Arial" w:hAnsi="Arial"/>
                <w:sz w:val="14"/>
                <w:szCs w:val="14"/>
                <w:color w:val="auto"/>
              </w:rPr>
              <w:t>Currency translation differences</w:t>
            </w:r>
          </w:p>
        </w:tc>
        <w:tc>
          <w:tcPr>
            <w:tcW w:w="1500" w:type="dxa"/>
            <w:vAlign w:val="bottom"/>
            <w:tcBorders>
              <w:bottom w:val="single" w:sz="8" w:color="auto"/>
            </w:tcBorders>
          </w:tcPr>
          <w:p>
            <w:pPr>
              <w:jc w:val="right"/>
              <w:ind w:right="150"/>
              <w:spacing w:after="0" w:line="157" w:lineRule="exact"/>
              <w:rPr>
                <w:sz w:val="20"/>
                <w:szCs w:val="20"/>
                <w:color w:val="auto"/>
              </w:rPr>
            </w:pPr>
            <w:r>
              <w:rPr>
                <w:rFonts w:ascii="Arial" w:cs="Arial" w:eastAsia="Arial" w:hAnsi="Arial"/>
                <w:sz w:val="14"/>
                <w:szCs w:val="14"/>
                <w:color w:val="auto"/>
              </w:rPr>
              <w:t>(30)</w:t>
            </w:r>
          </w:p>
        </w:tc>
        <w:tc>
          <w:tcPr>
            <w:tcW w:w="920" w:type="dxa"/>
            <w:vAlign w:val="bottom"/>
            <w:tcBorders>
              <w:bottom w:val="single" w:sz="8" w:color="auto"/>
            </w:tcBorders>
          </w:tcPr>
          <w:p>
            <w:pPr>
              <w:jc w:val="right"/>
              <w:spacing w:after="0" w:line="157" w:lineRule="exact"/>
              <w:rPr>
                <w:sz w:val="20"/>
                <w:szCs w:val="20"/>
                <w:color w:val="auto"/>
              </w:rPr>
            </w:pPr>
            <w:r>
              <w:rPr>
                <w:rFonts w:ascii="Arial" w:cs="Arial" w:eastAsia="Arial" w:hAnsi="Arial"/>
                <w:sz w:val="14"/>
                <w:szCs w:val="14"/>
                <w:color w:val="auto"/>
              </w:rPr>
              <w:t>(1,111)</w:t>
            </w:r>
          </w:p>
        </w:tc>
        <w:tc>
          <w:tcPr>
            <w:tcW w:w="1560" w:type="dxa"/>
            <w:vAlign w:val="bottom"/>
            <w:tcBorders>
              <w:bottom w:val="single" w:sz="8" w:color="auto"/>
            </w:tcBorders>
          </w:tcPr>
          <w:p>
            <w:pPr>
              <w:jc w:val="right"/>
              <w:ind w:right="90"/>
              <w:spacing w:after="0" w:line="157" w:lineRule="exact"/>
              <w:rPr>
                <w:sz w:val="20"/>
                <w:szCs w:val="20"/>
                <w:color w:val="auto"/>
              </w:rPr>
            </w:pPr>
            <w:r>
              <w:rPr>
                <w:rFonts w:ascii="Arial" w:cs="Arial" w:eastAsia="Arial" w:hAnsi="Arial"/>
                <w:sz w:val="14"/>
                <w:szCs w:val="14"/>
                <w:color w:val="auto"/>
              </w:rPr>
              <w:t>(131)</w:t>
            </w:r>
          </w:p>
        </w:tc>
        <w:tc>
          <w:tcPr>
            <w:tcW w:w="760" w:type="dxa"/>
            <w:vAlign w:val="bottom"/>
            <w:tcBorders>
              <w:bottom w:val="single" w:sz="8" w:color="auto"/>
            </w:tcBorders>
          </w:tcPr>
          <w:p>
            <w:pPr>
              <w:jc w:val="right"/>
              <w:ind w:right="48"/>
              <w:spacing w:after="0" w:line="157" w:lineRule="exact"/>
              <w:rPr>
                <w:sz w:val="20"/>
                <w:szCs w:val="20"/>
                <w:color w:val="auto"/>
              </w:rPr>
            </w:pPr>
            <w:r>
              <w:rPr>
                <w:rFonts w:ascii="Arial" w:cs="Arial" w:eastAsia="Arial" w:hAnsi="Arial"/>
                <w:sz w:val="14"/>
                <w:szCs w:val="14"/>
                <w:color w:val="auto"/>
              </w:rPr>
              <w:t>(27)</w:t>
            </w:r>
          </w:p>
        </w:tc>
        <w:tc>
          <w:tcPr>
            <w:tcW w:w="740" w:type="dxa"/>
            <w:vAlign w:val="bottom"/>
            <w:tcBorders>
              <w:bottom w:val="single" w:sz="8" w:color="auto"/>
            </w:tcBorders>
          </w:tcPr>
          <w:p>
            <w:pPr>
              <w:jc w:val="right"/>
              <w:spacing w:after="0" w:line="157" w:lineRule="exact"/>
              <w:rPr>
                <w:sz w:val="20"/>
                <w:szCs w:val="20"/>
                <w:color w:val="auto"/>
              </w:rPr>
            </w:pPr>
            <w:r>
              <w:rPr>
                <w:rFonts w:ascii="Arial" w:cs="Arial" w:eastAsia="Arial" w:hAnsi="Arial"/>
                <w:sz w:val="14"/>
                <w:szCs w:val="14"/>
                <w:color w:val="auto"/>
              </w:rPr>
              <w:t>(1,299)</w:t>
            </w:r>
          </w:p>
        </w:tc>
        <w:tc>
          <w:tcPr>
            <w:tcW w:w="0" w:type="dxa"/>
            <w:vAlign w:val="bottom"/>
          </w:tcPr>
          <w:p>
            <w:pPr>
              <w:spacing w:after="0"/>
              <w:rPr>
                <w:sz w:val="1"/>
                <w:szCs w:val="1"/>
                <w:color w:val="auto"/>
              </w:rPr>
            </w:pPr>
          </w:p>
        </w:tc>
      </w:tr>
      <w:tr>
        <w:trPr>
          <w:trHeight w:val="156"/>
        </w:trPr>
        <w:tc>
          <w:tcPr>
            <w:tcW w:w="5940" w:type="dxa"/>
            <w:vAlign w:val="bottom"/>
            <w:tcBorders>
              <w:bottom w:val="single" w:sz="8" w:color="auto"/>
            </w:tcBorders>
          </w:tcPr>
          <w:p>
            <w:pPr>
              <w:spacing w:after="0" w:line="155" w:lineRule="exact"/>
              <w:rPr>
                <w:sz w:val="20"/>
                <w:szCs w:val="20"/>
                <w:color w:val="auto"/>
              </w:rPr>
            </w:pPr>
            <w:r>
              <w:rPr>
                <w:rFonts w:ascii="Arial" w:cs="Arial" w:eastAsia="Arial" w:hAnsi="Arial"/>
                <w:sz w:val="14"/>
                <w:szCs w:val="14"/>
                <w:color w:val="auto"/>
              </w:rPr>
              <w:t>At December 31</w:t>
            </w:r>
          </w:p>
        </w:tc>
        <w:tc>
          <w:tcPr>
            <w:tcW w:w="1500" w:type="dxa"/>
            <w:vAlign w:val="bottom"/>
            <w:tcBorders>
              <w:bottom w:val="single" w:sz="8" w:color="auto"/>
            </w:tcBorders>
          </w:tcPr>
          <w:p>
            <w:pPr>
              <w:jc w:val="right"/>
              <w:ind w:right="210"/>
              <w:spacing w:after="0" w:line="155" w:lineRule="exact"/>
              <w:rPr>
                <w:sz w:val="20"/>
                <w:szCs w:val="20"/>
                <w:color w:val="auto"/>
              </w:rPr>
            </w:pPr>
            <w:r>
              <w:rPr>
                <w:rFonts w:ascii="Arial" w:cs="Arial" w:eastAsia="Arial" w:hAnsi="Arial"/>
                <w:sz w:val="14"/>
                <w:szCs w:val="14"/>
                <w:color w:val="auto"/>
              </w:rPr>
              <w:t>4,978</w:t>
            </w:r>
          </w:p>
        </w:tc>
        <w:tc>
          <w:tcPr>
            <w:tcW w:w="920" w:type="dxa"/>
            <w:vAlign w:val="bottom"/>
            <w:tcBorders>
              <w:bottom w:val="single" w:sz="8" w:color="auto"/>
            </w:tcBorders>
          </w:tcPr>
          <w:p>
            <w:pPr>
              <w:jc w:val="right"/>
              <w:ind w:right="9"/>
              <w:spacing w:after="0" w:line="155" w:lineRule="exact"/>
              <w:rPr>
                <w:sz w:val="20"/>
                <w:szCs w:val="20"/>
                <w:color w:val="auto"/>
              </w:rPr>
            </w:pPr>
            <w:r>
              <w:rPr>
                <w:rFonts w:ascii="Arial" w:cs="Arial" w:eastAsia="Arial" w:hAnsi="Arial"/>
                <w:sz w:val="14"/>
                <w:szCs w:val="14"/>
                <w:color w:val="auto"/>
              </w:rPr>
              <w:t>121,714</w:t>
            </w:r>
          </w:p>
        </w:tc>
        <w:tc>
          <w:tcPr>
            <w:tcW w:w="1560" w:type="dxa"/>
            <w:vAlign w:val="bottom"/>
            <w:tcBorders>
              <w:bottom w:val="single" w:sz="8" w:color="auto"/>
            </w:tcBorders>
          </w:tcPr>
          <w:p>
            <w:pPr>
              <w:jc w:val="right"/>
              <w:ind w:right="130"/>
              <w:spacing w:after="0" w:line="155" w:lineRule="exact"/>
              <w:rPr>
                <w:sz w:val="20"/>
                <w:szCs w:val="20"/>
                <w:color w:val="auto"/>
              </w:rPr>
            </w:pPr>
            <w:r>
              <w:rPr>
                <w:rFonts w:ascii="Arial" w:cs="Arial" w:eastAsia="Arial" w:hAnsi="Arial"/>
                <w:sz w:val="14"/>
                <w:szCs w:val="14"/>
                <w:color w:val="auto"/>
              </w:rPr>
              <w:t>38,421</w:t>
            </w:r>
          </w:p>
        </w:tc>
        <w:tc>
          <w:tcPr>
            <w:tcW w:w="760" w:type="dxa"/>
            <w:vAlign w:val="bottom"/>
            <w:tcBorders>
              <w:bottom w:val="single" w:sz="8" w:color="auto"/>
            </w:tcBorders>
          </w:tcPr>
          <w:p>
            <w:pPr>
              <w:jc w:val="right"/>
              <w:ind w:right="88"/>
              <w:spacing w:after="0" w:line="155" w:lineRule="exact"/>
              <w:rPr>
                <w:sz w:val="20"/>
                <w:szCs w:val="20"/>
                <w:color w:val="auto"/>
              </w:rPr>
            </w:pPr>
            <w:r>
              <w:rPr>
                <w:rFonts w:ascii="Arial" w:cs="Arial" w:eastAsia="Arial" w:hAnsi="Arial"/>
                <w:sz w:val="14"/>
                <w:szCs w:val="14"/>
                <w:color w:val="auto"/>
              </w:rPr>
              <w:t>14,105</w:t>
            </w:r>
          </w:p>
        </w:tc>
        <w:tc>
          <w:tcPr>
            <w:tcW w:w="740" w:type="dxa"/>
            <w:vAlign w:val="bottom"/>
            <w:tcBorders>
              <w:bottom w:val="single" w:sz="8" w:color="auto"/>
            </w:tcBorders>
          </w:tcPr>
          <w:p>
            <w:pPr>
              <w:jc w:val="right"/>
              <w:ind w:right="29"/>
              <w:spacing w:after="0" w:line="155" w:lineRule="exact"/>
              <w:rPr>
                <w:sz w:val="20"/>
                <w:szCs w:val="20"/>
                <w:color w:val="auto"/>
              </w:rPr>
            </w:pPr>
            <w:r>
              <w:rPr>
                <w:rFonts w:ascii="Arial" w:cs="Arial" w:eastAsia="Arial" w:hAnsi="Arial"/>
                <w:sz w:val="14"/>
                <w:szCs w:val="14"/>
                <w:color w:val="auto"/>
              </w:rPr>
              <w:t>179,218</w:t>
            </w:r>
          </w:p>
        </w:tc>
        <w:tc>
          <w:tcPr>
            <w:tcW w:w="0" w:type="dxa"/>
            <w:vAlign w:val="bottom"/>
          </w:tcPr>
          <w:p>
            <w:pPr>
              <w:spacing w:after="0"/>
              <w:rPr>
                <w:sz w:val="1"/>
                <w:szCs w:val="1"/>
                <w:color w:val="auto"/>
              </w:rPr>
            </w:pPr>
          </w:p>
        </w:tc>
      </w:tr>
      <w:tr>
        <w:trPr>
          <w:trHeight w:val="156"/>
        </w:trPr>
        <w:tc>
          <w:tcPr>
            <w:tcW w:w="5940" w:type="dxa"/>
            <w:vAlign w:val="bottom"/>
            <w:tcBorders>
              <w:bottom w:val="single" w:sz="8" w:color="auto"/>
            </w:tcBorders>
          </w:tcPr>
          <w:p>
            <w:pPr>
              <w:spacing w:after="0" w:line="155" w:lineRule="exact"/>
              <w:rPr>
                <w:sz w:val="20"/>
                <w:szCs w:val="20"/>
                <w:color w:val="auto"/>
              </w:rPr>
            </w:pPr>
            <w:r>
              <w:rPr>
                <w:rFonts w:ascii="Arial" w:cs="Arial" w:eastAsia="Arial" w:hAnsi="Arial"/>
                <w:sz w:val="14"/>
                <w:szCs w:val="14"/>
                <w:color w:val="auto"/>
              </w:rPr>
              <w:t>Carrying amount at December 31</w:t>
            </w:r>
          </w:p>
        </w:tc>
        <w:tc>
          <w:tcPr>
            <w:tcW w:w="1500" w:type="dxa"/>
            <w:vAlign w:val="bottom"/>
            <w:tcBorders>
              <w:bottom w:val="single" w:sz="8" w:color="auto"/>
            </w:tcBorders>
          </w:tcPr>
          <w:p>
            <w:pPr>
              <w:jc w:val="right"/>
              <w:ind w:right="210"/>
              <w:spacing w:after="0" w:line="155" w:lineRule="exact"/>
              <w:rPr>
                <w:sz w:val="20"/>
                <w:szCs w:val="20"/>
                <w:color w:val="auto"/>
              </w:rPr>
            </w:pPr>
            <w:r>
              <w:rPr>
                <w:rFonts w:ascii="Arial" w:cs="Arial" w:eastAsia="Arial" w:hAnsi="Arial"/>
                <w:sz w:val="14"/>
                <w:szCs w:val="14"/>
                <w:color w:val="auto"/>
              </w:rPr>
              <w:t>29,124</w:t>
            </w:r>
          </w:p>
        </w:tc>
        <w:tc>
          <w:tcPr>
            <w:tcW w:w="920" w:type="dxa"/>
            <w:vAlign w:val="bottom"/>
            <w:tcBorders>
              <w:bottom w:val="single" w:sz="8" w:color="auto"/>
            </w:tcBorders>
          </w:tcPr>
          <w:p>
            <w:pPr>
              <w:jc w:val="right"/>
              <w:ind w:right="9"/>
              <w:spacing w:after="0" w:line="155" w:lineRule="exact"/>
              <w:rPr>
                <w:sz w:val="20"/>
                <w:szCs w:val="20"/>
                <w:color w:val="auto"/>
              </w:rPr>
            </w:pPr>
            <w:r>
              <w:rPr>
                <w:rFonts w:ascii="Arial" w:cs="Arial" w:eastAsia="Arial" w:hAnsi="Arial"/>
                <w:sz w:val="14"/>
                <w:szCs w:val="14"/>
                <w:color w:val="auto"/>
              </w:rPr>
              <w:t>111,466</w:t>
            </w:r>
          </w:p>
        </w:tc>
        <w:tc>
          <w:tcPr>
            <w:tcW w:w="1560" w:type="dxa"/>
            <w:vAlign w:val="bottom"/>
            <w:tcBorders>
              <w:bottom w:val="single" w:sz="8" w:color="auto"/>
            </w:tcBorders>
          </w:tcPr>
          <w:p>
            <w:pPr>
              <w:jc w:val="right"/>
              <w:ind w:right="130"/>
              <w:spacing w:after="0" w:line="155" w:lineRule="exact"/>
              <w:rPr>
                <w:sz w:val="20"/>
                <w:szCs w:val="20"/>
                <w:color w:val="auto"/>
              </w:rPr>
            </w:pPr>
            <w:r>
              <w:rPr>
                <w:rFonts w:ascii="Arial" w:cs="Arial" w:eastAsia="Arial" w:hAnsi="Arial"/>
                <w:sz w:val="14"/>
                <w:szCs w:val="14"/>
                <w:color w:val="auto"/>
              </w:rPr>
              <w:t>38,203</w:t>
            </w:r>
          </w:p>
        </w:tc>
        <w:tc>
          <w:tcPr>
            <w:tcW w:w="760" w:type="dxa"/>
            <w:vAlign w:val="bottom"/>
            <w:tcBorders>
              <w:bottom w:val="single" w:sz="8" w:color="auto"/>
            </w:tcBorders>
          </w:tcPr>
          <w:p>
            <w:pPr>
              <w:jc w:val="right"/>
              <w:ind w:right="88"/>
              <w:spacing w:after="0" w:line="155" w:lineRule="exact"/>
              <w:rPr>
                <w:sz w:val="20"/>
                <w:szCs w:val="20"/>
                <w:color w:val="auto"/>
              </w:rPr>
            </w:pPr>
            <w:r>
              <w:rPr>
                <w:rFonts w:ascii="Arial" w:cs="Arial" w:eastAsia="Arial" w:hAnsi="Arial"/>
                <w:sz w:val="14"/>
                <w:szCs w:val="14"/>
                <w:color w:val="auto"/>
              </w:rPr>
              <w:t>13,104</w:t>
            </w:r>
          </w:p>
        </w:tc>
        <w:tc>
          <w:tcPr>
            <w:tcW w:w="740" w:type="dxa"/>
            <w:vAlign w:val="bottom"/>
            <w:tcBorders>
              <w:bottom w:val="single" w:sz="8" w:color="auto"/>
            </w:tcBorders>
          </w:tcPr>
          <w:p>
            <w:pPr>
              <w:jc w:val="right"/>
              <w:ind w:right="29"/>
              <w:spacing w:after="0" w:line="155" w:lineRule="exact"/>
              <w:rPr>
                <w:sz w:val="20"/>
                <w:szCs w:val="20"/>
                <w:color w:val="auto"/>
              </w:rPr>
            </w:pPr>
            <w:r>
              <w:rPr>
                <w:rFonts w:ascii="Arial" w:cs="Arial" w:eastAsia="Arial" w:hAnsi="Arial"/>
                <w:sz w:val="14"/>
                <w:szCs w:val="14"/>
                <w:color w:val="auto"/>
              </w:rPr>
              <w:t>191,897</w:t>
            </w: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22" w:name="page123"/>
    <w:bookmarkEnd w:id="1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3555365</wp:posOffset>
            </wp:positionH>
            <wp:positionV relativeFrom="paragraph">
              <wp:posOffset>300355</wp:posOffset>
            </wp:positionV>
            <wp:extent cx="3696335" cy="46291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3696335" cy="462915"/>
                    </a:xfrm>
                    <a:prstGeom prst="rect">
                      <a:avLst/>
                    </a:prstGeom>
                    <a:noFill/>
                  </pic:spPr>
                </pic:pic>
              </a:graphicData>
            </a:graphic>
          </wp:anchor>
        </w:drawing>
      </w:r>
    </w:p>
    <w:p>
      <w:pPr>
        <w:spacing w:after="0" w:line="200" w:lineRule="exact"/>
        <w:rPr>
          <w:sz w:val="20"/>
          <w:szCs w:val="20"/>
          <w:color w:val="auto"/>
        </w:rPr>
      </w:pPr>
    </w:p>
    <w:p>
      <w:pPr>
        <w:spacing w:after="0" w:line="253" w:lineRule="exact"/>
        <w:rPr>
          <w:sz w:val="20"/>
          <w:szCs w:val="20"/>
          <w:color w:val="auto"/>
        </w:rPr>
      </w:pPr>
    </w:p>
    <w:tbl>
      <w:tblPr>
        <w:tblLayout w:type="fixed"/>
        <w:tblInd w:w="5600" w:type="dxa"/>
        <w:tblCellMar>
          <w:top w:w="0" w:type="dxa"/>
          <w:left w:w="0" w:type="dxa"/>
          <w:bottom w:w="0" w:type="dxa"/>
          <w:right w:w="0" w:type="dxa"/>
        </w:tblCellMar>
      </w:tblPr>
      <w:tr>
        <w:trPr>
          <w:trHeight w:val="419"/>
        </w:trPr>
        <w:tc>
          <w:tcPr>
            <w:tcW w:w="4440" w:type="dxa"/>
            <w:vAlign w:val="bottom"/>
            <w:shd w:val="clear" w:color="auto" w:fill="FF8B00"/>
          </w:tcPr>
          <w:p>
            <w:pPr>
              <w:spacing w:after="0"/>
              <w:rPr>
                <w:sz w:val="24"/>
                <w:szCs w:val="24"/>
                <w:color w:val="auto"/>
              </w:rPr>
            </w:pPr>
          </w:p>
        </w:tc>
        <w:tc>
          <w:tcPr>
            <w:tcW w:w="1380" w:type="dxa"/>
            <w:vAlign w:val="bottom"/>
            <w:shd w:val="clear" w:color="auto" w:fill="FF8B00"/>
          </w:tcPr>
          <w:p>
            <w:pPr>
              <w:spacing w:after="0"/>
              <w:rPr>
                <w:sz w:val="24"/>
                <w:szCs w:val="24"/>
                <w:color w:val="auto"/>
              </w:rPr>
            </w:pPr>
          </w:p>
        </w:tc>
      </w:tr>
      <w:tr>
        <w:trPr>
          <w:trHeight w:val="152"/>
        </w:trPr>
        <w:tc>
          <w:tcPr>
            <w:tcW w:w="4440" w:type="dxa"/>
            <w:vAlign w:val="bottom"/>
          </w:tcPr>
          <w:p>
            <w:pPr>
              <w:ind w:left="880"/>
              <w:spacing w:after="0"/>
              <w:rPr>
                <w:sz w:val="20"/>
                <w:szCs w:val="20"/>
                <w:color w:val="auto"/>
              </w:rPr>
            </w:pPr>
            <w:r>
              <w:rPr>
                <w:rFonts w:ascii="Arial" w:cs="Arial" w:eastAsia="Arial" w:hAnsi="Arial"/>
                <w:sz w:val="13"/>
                <w:szCs w:val="13"/>
                <w:color w:val="333333"/>
              </w:rPr>
              <w:t>FINANCIAL STATEMENTS AND SUPPLEMENTS</w:t>
            </w:r>
          </w:p>
        </w:tc>
        <w:tc>
          <w:tcPr>
            <w:tcW w:w="1380" w:type="dxa"/>
            <w:vAlign w:val="bottom"/>
          </w:tcPr>
          <w:p>
            <w:pPr>
              <w:jc w:val="right"/>
              <w:ind w:right="366"/>
              <w:spacing w:after="0"/>
              <w:rPr>
                <w:sz w:val="20"/>
                <w:szCs w:val="20"/>
                <w:color w:val="auto"/>
              </w:rPr>
            </w:pPr>
            <w:r>
              <w:rPr>
                <w:rFonts w:ascii="Arial" w:cs="Arial" w:eastAsia="Arial" w:hAnsi="Arial"/>
                <w:sz w:val="11"/>
                <w:szCs w:val="11"/>
                <w:b w:val="1"/>
                <w:bCs w:val="1"/>
                <w:color w:val="333333"/>
              </w:rPr>
              <w:t>121</w:t>
            </w:r>
          </w:p>
        </w:tc>
      </w:tr>
    </w:tbl>
    <w:p>
      <w:pPr>
        <w:spacing w:after="0" w:line="155" w:lineRule="exact"/>
        <w:rPr>
          <w:sz w:val="20"/>
          <w:szCs w:val="20"/>
          <w:color w:val="auto"/>
        </w:rPr>
      </w:pPr>
    </w:p>
    <w:p>
      <w:pPr>
        <w:spacing w:after="0"/>
        <w:tabs>
          <w:tab w:leader="none" w:pos="6460" w:val="left"/>
        </w:tabs>
        <w:rPr>
          <w:sz w:val="20"/>
          <w:szCs w:val="20"/>
          <w:color w:val="auto"/>
        </w:rPr>
      </w:pPr>
      <w:r>
        <w:rPr>
          <w:rFonts w:ascii="Arial" w:cs="Arial" w:eastAsia="Arial" w:hAnsi="Arial"/>
          <w:sz w:val="11"/>
          <w:szCs w:val="11"/>
          <w:color w:val="auto"/>
        </w:rPr>
        <w:t>SHELL ANNUAL REPORT AND FORM 20-F 2014</w:t>
      </w:r>
      <w:r>
        <w:rPr>
          <w:sz w:val="20"/>
          <w:szCs w:val="20"/>
          <w:color w:val="auto"/>
        </w:rPr>
        <w:tab/>
      </w:r>
      <w:r>
        <w:rPr>
          <w:rFonts w:ascii="Arial" w:cs="Arial" w:eastAsia="Arial" w:hAnsi="Arial"/>
          <w:sz w:val="10"/>
          <w:szCs w:val="10"/>
          <w:color w:val="auto"/>
        </w:rPr>
        <w:t>CONSOLIDATED FINANCIAL STATEMENTS</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The carrying amount at December 31, 2014, includes $46,193 million (2013: $41,115 million) of assets under construction. This amount excludes exploration and evaluation</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assets. The carrying amount at December 31, 2014, also includes $1,412 million of assets classified as held for sale (2013: $2,185 million).</w:t>
      </w:r>
    </w:p>
    <w:p>
      <w:pPr>
        <w:spacing w:after="0" w:line="190" w:lineRule="exact"/>
        <w:rPr>
          <w:sz w:val="20"/>
          <w:szCs w:val="20"/>
          <w:color w:val="auto"/>
        </w:rPr>
      </w:pPr>
    </w:p>
    <w:p>
      <w:pPr>
        <w:spacing w:after="0"/>
        <w:rPr>
          <w:sz w:val="20"/>
          <w:szCs w:val="20"/>
          <w:color w:val="auto"/>
        </w:rPr>
      </w:pPr>
      <w:r>
        <w:rPr>
          <w:rFonts w:ascii="Arial" w:cs="Arial" w:eastAsia="Arial" w:hAnsi="Arial"/>
          <w:sz w:val="14"/>
          <w:szCs w:val="14"/>
          <w:color w:val="auto"/>
        </w:rPr>
        <w:t>Contractual commitments for the acquisition of property, plant and equipment at December 31, 2014, amounted to $4,565 million (2013: $6,769 million).</w:t>
      </w:r>
    </w:p>
    <w:p>
      <w:pPr>
        <w:spacing w:after="0" w:line="177" w:lineRule="exact"/>
        <w:rPr>
          <w:sz w:val="20"/>
          <w:szCs w:val="20"/>
          <w:color w:val="auto"/>
        </w:rPr>
      </w:pPr>
    </w:p>
    <w:p>
      <w:pPr>
        <w:spacing w:after="0"/>
        <w:rPr>
          <w:sz w:val="20"/>
          <w:szCs w:val="20"/>
          <w:color w:val="auto"/>
        </w:rPr>
      </w:pPr>
      <w:r>
        <w:rPr>
          <w:rFonts w:ascii="Arial" w:cs="Arial" w:eastAsia="Arial" w:hAnsi="Arial"/>
          <w:sz w:val="14"/>
          <w:szCs w:val="14"/>
          <w:color w:val="auto"/>
        </w:rPr>
        <w:t>Exploration and production assets at December 31, 2014, include rights and concessions in respect of proved and unproved properties of $24,152 million (2013: $28,869 million).</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Exploration and evaluation assets principally comprise rights and concessions in respect of unproved properties and capitalised exploration drilling costs.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8440" w:type="dxa"/>
            <w:vAlign w:val="bottom"/>
            <w:shd w:val="clear" w:color="auto" w:fill="333333"/>
          </w:tcPr>
          <w:p>
            <w:pPr>
              <w:ind w:left="80"/>
              <w:spacing w:after="0"/>
              <w:rPr>
                <w:sz w:val="20"/>
                <w:szCs w:val="20"/>
                <w:color w:val="auto"/>
              </w:rPr>
            </w:pPr>
            <w:r>
              <w:rPr>
                <w:rFonts w:ascii="Arial" w:cs="Arial" w:eastAsia="Arial" w:hAnsi="Arial"/>
                <w:sz w:val="15"/>
                <w:szCs w:val="15"/>
                <w:b w:val="1"/>
                <w:bCs w:val="1"/>
                <w:color w:val="FFFFFF"/>
              </w:rPr>
              <w:t>CARRYING AMOUNT OF PROPERTY, PLANT AND EQUIPMENT HELD UNDER FINANCE LEASES</w:t>
            </w:r>
          </w:p>
        </w:tc>
        <w:tc>
          <w:tcPr>
            <w:tcW w:w="1620" w:type="dxa"/>
            <w:vAlign w:val="bottom"/>
            <w:shd w:val="clear" w:color="auto" w:fill="333333"/>
          </w:tcPr>
          <w:p>
            <w:pPr>
              <w:spacing w:after="0"/>
              <w:rPr>
                <w:sz w:val="15"/>
                <w:szCs w:val="15"/>
                <w:color w:val="auto"/>
              </w:rPr>
            </w:pPr>
          </w:p>
        </w:tc>
        <w:tc>
          <w:tcPr>
            <w:tcW w:w="1360" w:type="dxa"/>
            <w:vAlign w:val="bottom"/>
            <w:shd w:val="clear" w:color="auto" w:fill="333333"/>
          </w:tcPr>
          <w:p>
            <w:pPr>
              <w:jc w:val="right"/>
              <w:ind w:right="269"/>
              <w:spacing w:after="0"/>
              <w:rPr>
                <w:sz w:val="20"/>
                <w:szCs w:val="20"/>
                <w:color w:val="auto"/>
              </w:rPr>
            </w:pPr>
            <w:r>
              <w:rPr>
                <w:rFonts w:ascii="Arial" w:cs="Arial" w:eastAsia="Arial" w:hAnsi="Arial"/>
                <w:sz w:val="15"/>
                <w:szCs w:val="15"/>
                <w:color w:val="FFFFFF"/>
              </w:rPr>
              <w:t>$ MILLION</w:t>
            </w:r>
          </w:p>
        </w:tc>
      </w:tr>
      <w:tr>
        <w:trPr>
          <w:trHeight w:val="149"/>
        </w:trPr>
        <w:tc>
          <w:tcPr>
            <w:tcW w:w="8440" w:type="dxa"/>
            <w:vAlign w:val="bottom"/>
            <w:tcBorders>
              <w:bottom w:val="single" w:sz="8" w:color="auto"/>
            </w:tcBorders>
          </w:tcPr>
          <w:p>
            <w:pPr>
              <w:spacing w:after="0"/>
              <w:rPr>
                <w:sz w:val="12"/>
                <w:szCs w:val="12"/>
                <w:color w:val="auto"/>
              </w:rPr>
            </w:pPr>
          </w:p>
        </w:tc>
        <w:tc>
          <w:tcPr>
            <w:tcW w:w="1620" w:type="dxa"/>
            <w:vAlign w:val="bottom"/>
            <w:tcBorders>
              <w:bottom w:val="single" w:sz="8" w:color="auto"/>
            </w:tcBorders>
            <w:shd w:val="clear" w:color="auto" w:fill="D8D8D8"/>
          </w:tcPr>
          <w:p>
            <w:pPr>
              <w:jc w:val="right"/>
              <w:ind w:right="270"/>
              <w:spacing w:after="0"/>
              <w:rPr>
                <w:sz w:val="20"/>
                <w:szCs w:val="20"/>
                <w:color w:val="auto"/>
              </w:rPr>
            </w:pPr>
            <w:r>
              <w:rPr>
                <w:rFonts w:ascii="Arial" w:cs="Arial" w:eastAsia="Arial" w:hAnsi="Arial"/>
                <w:sz w:val="13"/>
                <w:szCs w:val="13"/>
                <w:color w:val="auto"/>
              </w:rPr>
              <w:t>Dec 31, 2014</w:t>
            </w:r>
          </w:p>
        </w:tc>
        <w:tc>
          <w:tcPr>
            <w:tcW w:w="1360" w:type="dxa"/>
            <w:vAlign w:val="bottom"/>
            <w:tcBorders>
              <w:bottom w:val="single" w:sz="8" w:color="auto"/>
            </w:tcBorders>
          </w:tcPr>
          <w:p>
            <w:pPr>
              <w:jc w:val="right"/>
              <w:ind w:right="269"/>
              <w:spacing w:after="0"/>
              <w:rPr>
                <w:sz w:val="20"/>
                <w:szCs w:val="20"/>
                <w:color w:val="auto"/>
              </w:rPr>
            </w:pPr>
            <w:r>
              <w:rPr>
                <w:rFonts w:ascii="Arial" w:cs="Arial" w:eastAsia="Arial" w:hAnsi="Arial"/>
                <w:sz w:val="13"/>
                <w:szCs w:val="13"/>
                <w:color w:val="auto"/>
              </w:rPr>
              <w:t>Dec 31, 2013</w:t>
            </w:r>
          </w:p>
        </w:tc>
      </w:tr>
      <w:tr>
        <w:trPr>
          <w:trHeight w:val="156"/>
        </w:trPr>
        <w:tc>
          <w:tcPr>
            <w:tcW w:w="8440" w:type="dxa"/>
            <w:vAlign w:val="bottom"/>
          </w:tcPr>
          <w:p>
            <w:pPr>
              <w:spacing w:after="0" w:line="155" w:lineRule="exact"/>
              <w:rPr>
                <w:sz w:val="20"/>
                <w:szCs w:val="20"/>
                <w:color w:val="auto"/>
              </w:rPr>
            </w:pPr>
            <w:r>
              <w:rPr>
                <w:rFonts w:ascii="Arial" w:cs="Arial" w:eastAsia="Arial" w:hAnsi="Arial"/>
                <w:sz w:val="14"/>
                <w:szCs w:val="14"/>
                <w:color w:val="auto"/>
              </w:rPr>
              <w:t>Exploration and production assets</w:t>
            </w:r>
          </w:p>
        </w:tc>
        <w:tc>
          <w:tcPr>
            <w:tcW w:w="1620" w:type="dxa"/>
            <w:vAlign w:val="bottom"/>
            <w:shd w:val="clear" w:color="auto" w:fill="D8D8D8"/>
          </w:tcPr>
          <w:p>
            <w:pPr>
              <w:jc w:val="right"/>
              <w:ind w:right="270"/>
              <w:spacing w:after="0" w:line="155" w:lineRule="exact"/>
              <w:rPr>
                <w:sz w:val="20"/>
                <w:szCs w:val="20"/>
                <w:color w:val="auto"/>
              </w:rPr>
            </w:pPr>
            <w:r>
              <w:rPr>
                <w:rFonts w:ascii="Arial" w:cs="Arial" w:eastAsia="Arial" w:hAnsi="Arial"/>
                <w:sz w:val="14"/>
                <w:szCs w:val="14"/>
                <w:color w:val="auto"/>
              </w:rPr>
              <w:t>2,686</w:t>
            </w:r>
          </w:p>
        </w:tc>
        <w:tc>
          <w:tcPr>
            <w:tcW w:w="1360" w:type="dxa"/>
            <w:vAlign w:val="bottom"/>
          </w:tcPr>
          <w:p>
            <w:pPr>
              <w:jc w:val="right"/>
              <w:ind w:right="269"/>
              <w:spacing w:after="0" w:line="155" w:lineRule="exact"/>
              <w:rPr>
                <w:sz w:val="20"/>
                <w:szCs w:val="20"/>
                <w:color w:val="auto"/>
              </w:rPr>
            </w:pPr>
            <w:r>
              <w:rPr>
                <w:rFonts w:ascii="Arial" w:cs="Arial" w:eastAsia="Arial" w:hAnsi="Arial"/>
                <w:sz w:val="14"/>
                <w:szCs w:val="14"/>
                <w:color w:val="auto"/>
              </w:rPr>
              <w:t>2,595</w:t>
            </w:r>
          </w:p>
        </w:tc>
      </w:tr>
      <w:tr>
        <w:trPr>
          <w:trHeight w:val="162"/>
        </w:trPr>
        <w:tc>
          <w:tcPr>
            <w:tcW w:w="8440" w:type="dxa"/>
            <w:vAlign w:val="bottom"/>
          </w:tcPr>
          <w:p>
            <w:pPr>
              <w:spacing w:after="0"/>
              <w:rPr>
                <w:sz w:val="20"/>
                <w:szCs w:val="20"/>
                <w:color w:val="auto"/>
              </w:rPr>
            </w:pPr>
            <w:r>
              <w:rPr>
                <w:rFonts w:ascii="Arial" w:cs="Arial" w:eastAsia="Arial" w:hAnsi="Arial"/>
                <w:sz w:val="14"/>
                <w:szCs w:val="14"/>
                <w:color w:val="auto"/>
              </w:rPr>
              <w:t>Manufacturing, supply and distribution</w:t>
            </w:r>
          </w:p>
        </w:tc>
        <w:tc>
          <w:tcPr>
            <w:tcW w:w="1620" w:type="dxa"/>
            <w:vAlign w:val="bottom"/>
            <w:shd w:val="clear" w:color="auto" w:fill="D8D8D8"/>
          </w:tcPr>
          <w:p>
            <w:pPr>
              <w:jc w:val="right"/>
              <w:ind w:right="270"/>
              <w:spacing w:after="0"/>
              <w:rPr>
                <w:sz w:val="20"/>
                <w:szCs w:val="20"/>
                <w:color w:val="auto"/>
              </w:rPr>
            </w:pPr>
            <w:r>
              <w:rPr>
                <w:rFonts w:ascii="Arial" w:cs="Arial" w:eastAsia="Arial" w:hAnsi="Arial"/>
                <w:sz w:val="14"/>
                <w:szCs w:val="14"/>
                <w:color w:val="auto"/>
              </w:rPr>
              <w:t>2,069</w:t>
            </w:r>
          </w:p>
        </w:tc>
        <w:tc>
          <w:tcPr>
            <w:tcW w:w="1360" w:type="dxa"/>
            <w:vAlign w:val="bottom"/>
          </w:tcPr>
          <w:p>
            <w:pPr>
              <w:jc w:val="right"/>
              <w:ind w:right="269"/>
              <w:spacing w:after="0"/>
              <w:rPr>
                <w:sz w:val="20"/>
                <w:szCs w:val="20"/>
                <w:color w:val="auto"/>
              </w:rPr>
            </w:pPr>
            <w:r>
              <w:rPr>
                <w:rFonts w:ascii="Arial" w:cs="Arial" w:eastAsia="Arial" w:hAnsi="Arial"/>
                <w:sz w:val="14"/>
                <w:szCs w:val="14"/>
                <w:color w:val="auto"/>
              </w:rPr>
              <w:t>902</w:t>
            </w:r>
          </w:p>
        </w:tc>
      </w:tr>
      <w:tr>
        <w:trPr>
          <w:trHeight w:val="162"/>
        </w:trPr>
        <w:tc>
          <w:tcPr>
            <w:tcW w:w="844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Other</w:t>
            </w:r>
          </w:p>
        </w:tc>
        <w:tc>
          <w:tcPr>
            <w:tcW w:w="1620" w:type="dxa"/>
            <w:vAlign w:val="bottom"/>
            <w:tcBorders>
              <w:bottom w:val="single" w:sz="8" w:color="auto"/>
            </w:tcBorders>
            <w:shd w:val="clear" w:color="auto" w:fill="D8D8D8"/>
          </w:tcPr>
          <w:p>
            <w:pPr>
              <w:jc w:val="right"/>
              <w:ind w:right="270"/>
              <w:spacing w:after="0"/>
              <w:rPr>
                <w:sz w:val="20"/>
                <w:szCs w:val="20"/>
                <w:color w:val="auto"/>
              </w:rPr>
            </w:pPr>
            <w:r>
              <w:rPr>
                <w:rFonts w:ascii="Arial" w:cs="Arial" w:eastAsia="Arial" w:hAnsi="Arial"/>
                <w:sz w:val="14"/>
                <w:szCs w:val="14"/>
                <w:color w:val="auto"/>
              </w:rPr>
              <w:t>293</w:t>
            </w:r>
          </w:p>
        </w:tc>
        <w:tc>
          <w:tcPr>
            <w:tcW w:w="1360" w:type="dxa"/>
            <w:vAlign w:val="bottom"/>
            <w:tcBorders>
              <w:bottom w:val="single" w:sz="8" w:color="auto"/>
            </w:tcBorders>
          </w:tcPr>
          <w:p>
            <w:pPr>
              <w:jc w:val="right"/>
              <w:ind w:right="269"/>
              <w:spacing w:after="0"/>
              <w:rPr>
                <w:sz w:val="20"/>
                <w:szCs w:val="20"/>
                <w:color w:val="auto"/>
              </w:rPr>
            </w:pPr>
            <w:r>
              <w:rPr>
                <w:rFonts w:ascii="Arial" w:cs="Arial" w:eastAsia="Arial" w:hAnsi="Arial"/>
                <w:sz w:val="14"/>
                <w:szCs w:val="14"/>
                <w:color w:val="auto"/>
              </w:rPr>
              <w:t>374</w:t>
            </w:r>
          </w:p>
        </w:tc>
      </w:tr>
      <w:tr>
        <w:trPr>
          <w:trHeight w:val="156"/>
        </w:trPr>
        <w:tc>
          <w:tcPr>
            <w:tcW w:w="8440" w:type="dxa"/>
            <w:vAlign w:val="bottom"/>
            <w:tcBorders>
              <w:bottom w:val="single" w:sz="8" w:color="auto"/>
            </w:tcBorders>
          </w:tcPr>
          <w:p>
            <w:pPr>
              <w:spacing w:after="0" w:line="155" w:lineRule="exact"/>
              <w:rPr>
                <w:sz w:val="20"/>
                <w:szCs w:val="20"/>
                <w:color w:val="auto"/>
              </w:rPr>
            </w:pPr>
            <w:r>
              <w:rPr>
                <w:rFonts w:ascii="Arial" w:cs="Arial" w:eastAsia="Arial" w:hAnsi="Arial"/>
                <w:sz w:val="14"/>
                <w:szCs w:val="14"/>
                <w:color w:val="auto"/>
              </w:rPr>
              <w:t>Total</w:t>
            </w:r>
          </w:p>
        </w:tc>
        <w:tc>
          <w:tcPr>
            <w:tcW w:w="1620" w:type="dxa"/>
            <w:vAlign w:val="bottom"/>
            <w:tcBorders>
              <w:bottom w:val="single" w:sz="8" w:color="auto"/>
            </w:tcBorders>
            <w:shd w:val="clear" w:color="auto" w:fill="D8D8D8"/>
          </w:tcPr>
          <w:p>
            <w:pPr>
              <w:jc w:val="right"/>
              <w:ind w:right="270"/>
              <w:spacing w:after="0" w:line="155" w:lineRule="exact"/>
              <w:rPr>
                <w:sz w:val="20"/>
                <w:szCs w:val="20"/>
                <w:color w:val="auto"/>
              </w:rPr>
            </w:pPr>
            <w:r>
              <w:rPr>
                <w:rFonts w:ascii="Arial" w:cs="Arial" w:eastAsia="Arial" w:hAnsi="Arial"/>
                <w:sz w:val="14"/>
                <w:szCs w:val="14"/>
                <w:color w:val="auto"/>
              </w:rPr>
              <w:t>5,048</w:t>
            </w:r>
          </w:p>
        </w:tc>
        <w:tc>
          <w:tcPr>
            <w:tcW w:w="1360" w:type="dxa"/>
            <w:vAlign w:val="bottom"/>
            <w:tcBorders>
              <w:bottom w:val="single" w:sz="8" w:color="auto"/>
            </w:tcBorders>
          </w:tcPr>
          <w:p>
            <w:pPr>
              <w:jc w:val="right"/>
              <w:ind w:right="269"/>
              <w:spacing w:after="0" w:line="155" w:lineRule="exact"/>
              <w:rPr>
                <w:sz w:val="20"/>
                <w:szCs w:val="20"/>
                <w:color w:val="auto"/>
              </w:rPr>
            </w:pPr>
            <w:r>
              <w:rPr>
                <w:rFonts w:ascii="Arial" w:cs="Arial" w:eastAsia="Arial" w:hAnsi="Arial"/>
                <w:sz w:val="14"/>
                <w:szCs w:val="14"/>
                <w:color w:val="auto"/>
              </w:rPr>
              <w:t>3,871</w:t>
            </w:r>
          </w:p>
        </w:tc>
      </w:tr>
    </w:tbl>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6960" w:type="dxa"/>
            <w:vAlign w:val="bottom"/>
            <w:shd w:val="clear" w:color="auto" w:fill="333333"/>
          </w:tcPr>
          <w:p>
            <w:pPr>
              <w:ind w:left="80"/>
              <w:spacing w:after="0"/>
              <w:rPr>
                <w:sz w:val="20"/>
                <w:szCs w:val="20"/>
                <w:color w:val="auto"/>
              </w:rPr>
            </w:pPr>
            <w:r>
              <w:rPr>
                <w:rFonts w:ascii="Arial" w:cs="Arial" w:eastAsia="Arial" w:hAnsi="Arial"/>
                <w:sz w:val="15"/>
                <w:szCs w:val="15"/>
                <w:b w:val="1"/>
                <w:bCs w:val="1"/>
                <w:color w:val="FFFFFF"/>
              </w:rPr>
              <w:t>IMPAIRMENTS</w:t>
            </w:r>
          </w:p>
        </w:tc>
        <w:tc>
          <w:tcPr>
            <w:tcW w:w="1340" w:type="dxa"/>
            <w:vAlign w:val="bottom"/>
            <w:shd w:val="clear" w:color="auto" w:fill="333333"/>
          </w:tcPr>
          <w:p>
            <w:pPr>
              <w:spacing w:after="0"/>
              <w:rPr>
                <w:sz w:val="14"/>
                <w:szCs w:val="14"/>
                <w:color w:val="auto"/>
              </w:rPr>
            </w:pPr>
          </w:p>
        </w:tc>
        <w:tc>
          <w:tcPr>
            <w:tcW w:w="1420" w:type="dxa"/>
            <w:vAlign w:val="bottom"/>
            <w:shd w:val="clear" w:color="auto" w:fill="333333"/>
          </w:tcPr>
          <w:p>
            <w:pPr>
              <w:spacing w:after="0"/>
              <w:rPr>
                <w:sz w:val="14"/>
                <w:szCs w:val="14"/>
                <w:color w:val="auto"/>
              </w:rPr>
            </w:pPr>
          </w:p>
        </w:tc>
        <w:tc>
          <w:tcPr>
            <w:tcW w:w="1700" w:type="dxa"/>
            <w:vAlign w:val="bottom"/>
            <w:shd w:val="clear" w:color="auto" w:fill="333333"/>
          </w:tcPr>
          <w:p>
            <w:pPr>
              <w:jc w:val="right"/>
              <w:ind w:right="368"/>
              <w:spacing w:after="0"/>
              <w:rPr>
                <w:sz w:val="20"/>
                <w:szCs w:val="20"/>
                <w:color w:val="auto"/>
              </w:rPr>
            </w:pPr>
            <w:r>
              <w:rPr>
                <w:rFonts w:ascii="Arial" w:cs="Arial" w:eastAsia="Arial" w:hAnsi="Arial"/>
                <w:sz w:val="15"/>
                <w:szCs w:val="15"/>
                <w:color w:val="FFFFFF"/>
              </w:rPr>
              <w:t>$ MILLION</w:t>
            </w:r>
          </w:p>
        </w:tc>
      </w:tr>
      <w:tr>
        <w:trPr>
          <w:trHeight w:val="149"/>
        </w:trPr>
        <w:tc>
          <w:tcPr>
            <w:tcW w:w="6960" w:type="dxa"/>
            <w:vAlign w:val="bottom"/>
            <w:tcBorders>
              <w:bottom w:val="single" w:sz="8" w:color="auto"/>
            </w:tcBorders>
          </w:tcPr>
          <w:p>
            <w:pPr>
              <w:spacing w:after="0"/>
              <w:rPr>
                <w:sz w:val="12"/>
                <w:szCs w:val="12"/>
                <w:color w:val="auto"/>
              </w:rPr>
            </w:pPr>
          </w:p>
        </w:tc>
        <w:tc>
          <w:tcPr>
            <w:tcW w:w="1340" w:type="dxa"/>
            <w:vAlign w:val="bottom"/>
            <w:tcBorders>
              <w:bottom w:val="single" w:sz="8" w:color="auto"/>
            </w:tcBorders>
            <w:shd w:val="clear" w:color="auto" w:fill="D8D8D8"/>
          </w:tcPr>
          <w:p>
            <w:pPr>
              <w:jc w:val="right"/>
              <w:ind w:right="369"/>
              <w:spacing w:after="0"/>
              <w:rPr>
                <w:sz w:val="20"/>
                <w:szCs w:val="20"/>
                <w:color w:val="auto"/>
              </w:rPr>
            </w:pPr>
            <w:r>
              <w:rPr>
                <w:rFonts w:ascii="Arial" w:cs="Arial" w:eastAsia="Arial" w:hAnsi="Arial"/>
                <w:sz w:val="13"/>
                <w:szCs w:val="13"/>
                <w:color w:val="auto"/>
              </w:rPr>
              <w:t>2014</w:t>
            </w:r>
          </w:p>
        </w:tc>
        <w:tc>
          <w:tcPr>
            <w:tcW w:w="1420" w:type="dxa"/>
            <w:vAlign w:val="bottom"/>
            <w:tcBorders>
              <w:bottom w:val="single" w:sz="8" w:color="auto"/>
            </w:tcBorders>
          </w:tcPr>
          <w:p>
            <w:pPr>
              <w:jc w:val="right"/>
              <w:ind w:right="449"/>
              <w:spacing w:after="0"/>
              <w:rPr>
                <w:sz w:val="20"/>
                <w:szCs w:val="20"/>
                <w:color w:val="auto"/>
              </w:rPr>
            </w:pPr>
            <w:r>
              <w:rPr>
                <w:rFonts w:ascii="Arial" w:cs="Arial" w:eastAsia="Arial" w:hAnsi="Arial"/>
                <w:sz w:val="13"/>
                <w:szCs w:val="13"/>
                <w:color w:val="auto"/>
              </w:rPr>
              <w:t>2013</w:t>
            </w:r>
          </w:p>
        </w:tc>
        <w:tc>
          <w:tcPr>
            <w:tcW w:w="1700" w:type="dxa"/>
            <w:vAlign w:val="bottom"/>
            <w:tcBorders>
              <w:bottom w:val="single" w:sz="8" w:color="auto"/>
            </w:tcBorders>
          </w:tcPr>
          <w:p>
            <w:pPr>
              <w:jc w:val="right"/>
              <w:ind w:right="368"/>
              <w:spacing w:after="0"/>
              <w:rPr>
                <w:sz w:val="20"/>
                <w:szCs w:val="20"/>
                <w:color w:val="auto"/>
              </w:rPr>
            </w:pPr>
            <w:r>
              <w:rPr>
                <w:rFonts w:ascii="Arial" w:cs="Arial" w:eastAsia="Arial" w:hAnsi="Arial"/>
                <w:sz w:val="13"/>
                <w:szCs w:val="13"/>
                <w:color w:val="auto"/>
              </w:rPr>
              <w:t>2012</w:t>
            </w:r>
          </w:p>
        </w:tc>
      </w:tr>
      <w:tr>
        <w:trPr>
          <w:trHeight w:val="156"/>
        </w:trPr>
        <w:tc>
          <w:tcPr>
            <w:tcW w:w="6960" w:type="dxa"/>
            <w:vAlign w:val="bottom"/>
          </w:tcPr>
          <w:p>
            <w:pPr>
              <w:spacing w:after="0" w:line="155" w:lineRule="exact"/>
              <w:rPr>
                <w:sz w:val="20"/>
                <w:szCs w:val="20"/>
                <w:color w:val="auto"/>
              </w:rPr>
            </w:pPr>
            <w:r>
              <w:rPr>
                <w:rFonts w:ascii="Arial" w:cs="Arial" w:eastAsia="Arial" w:hAnsi="Arial"/>
                <w:sz w:val="14"/>
                <w:szCs w:val="14"/>
                <w:color w:val="auto"/>
              </w:rPr>
              <w:t>Impairment losses [A]</w:t>
            </w:r>
          </w:p>
        </w:tc>
        <w:tc>
          <w:tcPr>
            <w:tcW w:w="1340" w:type="dxa"/>
            <w:vAlign w:val="bottom"/>
            <w:shd w:val="clear" w:color="auto" w:fill="D8D8D8"/>
          </w:tcPr>
          <w:p>
            <w:pPr>
              <w:spacing w:after="0"/>
              <w:rPr>
                <w:sz w:val="13"/>
                <w:szCs w:val="13"/>
                <w:color w:val="auto"/>
              </w:rPr>
            </w:pPr>
          </w:p>
        </w:tc>
        <w:tc>
          <w:tcPr>
            <w:tcW w:w="1420" w:type="dxa"/>
            <w:vAlign w:val="bottom"/>
          </w:tcPr>
          <w:p>
            <w:pPr>
              <w:spacing w:after="0"/>
              <w:rPr>
                <w:sz w:val="13"/>
                <w:szCs w:val="13"/>
                <w:color w:val="auto"/>
              </w:rPr>
            </w:pPr>
          </w:p>
        </w:tc>
        <w:tc>
          <w:tcPr>
            <w:tcW w:w="1700" w:type="dxa"/>
            <w:vAlign w:val="bottom"/>
          </w:tcPr>
          <w:p>
            <w:pPr>
              <w:spacing w:after="0"/>
              <w:rPr>
                <w:sz w:val="13"/>
                <w:szCs w:val="13"/>
                <w:color w:val="auto"/>
              </w:rPr>
            </w:pPr>
          </w:p>
        </w:tc>
      </w:tr>
      <w:tr>
        <w:trPr>
          <w:trHeight w:val="162"/>
        </w:trPr>
        <w:tc>
          <w:tcPr>
            <w:tcW w:w="6960" w:type="dxa"/>
            <w:vAlign w:val="bottom"/>
          </w:tcPr>
          <w:p>
            <w:pPr>
              <w:ind w:left="140"/>
              <w:spacing w:after="0"/>
              <w:rPr>
                <w:sz w:val="20"/>
                <w:szCs w:val="20"/>
                <w:color w:val="auto"/>
              </w:rPr>
            </w:pPr>
            <w:r>
              <w:rPr>
                <w:rFonts w:ascii="Arial" w:cs="Arial" w:eastAsia="Arial" w:hAnsi="Arial"/>
                <w:sz w:val="14"/>
                <w:szCs w:val="14"/>
                <w:color w:val="auto"/>
              </w:rPr>
              <w:t>Exploration and production assets</w:t>
            </w:r>
          </w:p>
        </w:tc>
        <w:tc>
          <w:tcPr>
            <w:tcW w:w="1340" w:type="dxa"/>
            <w:vAlign w:val="bottom"/>
            <w:shd w:val="clear" w:color="auto" w:fill="D8D8D8"/>
          </w:tcPr>
          <w:p>
            <w:pPr>
              <w:jc w:val="right"/>
              <w:ind w:right="369"/>
              <w:spacing w:after="0"/>
              <w:rPr>
                <w:sz w:val="20"/>
                <w:szCs w:val="20"/>
                <w:color w:val="auto"/>
              </w:rPr>
            </w:pPr>
            <w:r>
              <w:rPr>
                <w:rFonts w:ascii="Arial" w:cs="Arial" w:eastAsia="Arial" w:hAnsi="Arial"/>
                <w:sz w:val="14"/>
                <w:szCs w:val="14"/>
                <w:color w:val="auto"/>
              </w:rPr>
              <w:t>3,585</w:t>
            </w:r>
          </w:p>
        </w:tc>
        <w:tc>
          <w:tcPr>
            <w:tcW w:w="1420" w:type="dxa"/>
            <w:vAlign w:val="bottom"/>
          </w:tcPr>
          <w:p>
            <w:pPr>
              <w:jc w:val="right"/>
              <w:ind w:right="449"/>
              <w:spacing w:after="0"/>
              <w:rPr>
                <w:sz w:val="20"/>
                <w:szCs w:val="20"/>
                <w:color w:val="auto"/>
              </w:rPr>
            </w:pPr>
            <w:r>
              <w:rPr>
                <w:rFonts w:ascii="Arial" w:cs="Arial" w:eastAsia="Arial" w:hAnsi="Arial"/>
                <w:sz w:val="14"/>
                <w:szCs w:val="14"/>
                <w:color w:val="auto"/>
              </w:rPr>
              <w:t>4,528</w:t>
            </w:r>
          </w:p>
        </w:tc>
        <w:tc>
          <w:tcPr>
            <w:tcW w:w="1700" w:type="dxa"/>
            <w:vAlign w:val="bottom"/>
          </w:tcPr>
          <w:p>
            <w:pPr>
              <w:jc w:val="right"/>
              <w:ind w:right="368"/>
              <w:spacing w:after="0"/>
              <w:rPr>
                <w:sz w:val="20"/>
                <w:szCs w:val="20"/>
                <w:color w:val="auto"/>
              </w:rPr>
            </w:pPr>
            <w:r>
              <w:rPr>
                <w:rFonts w:ascii="Arial" w:cs="Arial" w:eastAsia="Arial" w:hAnsi="Arial"/>
                <w:sz w:val="14"/>
                <w:szCs w:val="14"/>
                <w:color w:val="auto"/>
              </w:rPr>
              <w:t>940</w:t>
            </w:r>
          </w:p>
        </w:tc>
      </w:tr>
      <w:tr>
        <w:trPr>
          <w:trHeight w:val="167"/>
        </w:trPr>
        <w:tc>
          <w:tcPr>
            <w:tcW w:w="6960" w:type="dxa"/>
            <w:vAlign w:val="bottom"/>
          </w:tcPr>
          <w:p>
            <w:pPr>
              <w:ind w:left="140"/>
              <w:spacing w:after="0"/>
              <w:rPr>
                <w:sz w:val="20"/>
                <w:szCs w:val="20"/>
                <w:color w:val="auto"/>
              </w:rPr>
            </w:pPr>
            <w:r>
              <w:rPr>
                <w:rFonts w:ascii="Arial" w:cs="Arial" w:eastAsia="Arial" w:hAnsi="Arial"/>
                <w:sz w:val="14"/>
                <w:szCs w:val="14"/>
                <w:color w:val="auto"/>
              </w:rPr>
              <w:t>Manufacturing, supply and distribution</w:t>
            </w:r>
          </w:p>
        </w:tc>
        <w:tc>
          <w:tcPr>
            <w:tcW w:w="1340" w:type="dxa"/>
            <w:vAlign w:val="bottom"/>
            <w:shd w:val="clear" w:color="auto" w:fill="D8D8D8"/>
          </w:tcPr>
          <w:p>
            <w:pPr>
              <w:jc w:val="right"/>
              <w:ind w:right="369"/>
              <w:spacing w:after="0"/>
              <w:rPr>
                <w:sz w:val="20"/>
                <w:szCs w:val="20"/>
                <w:color w:val="auto"/>
              </w:rPr>
            </w:pPr>
            <w:r>
              <w:rPr>
                <w:rFonts w:ascii="Arial" w:cs="Arial" w:eastAsia="Arial" w:hAnsi="Arial"/>
                <w:sz w:val="14"/>
                <w:szCs w:val="14"/>
                <w:color w:val="auto"/>
              </w:rPr>
              <w:t>3,099</w:t>
            </w:r>
          </w:p>
        </w:tc>
        <w:tc>
          <w:tcPr>
            <w:tcW w:w="1420" w:type="dxa"/>
            <w:vAlign w:val="bottom"/>
          </w:tcPr>
          <w:p>
            <w:pPr>
              <w:jc w:val="right"/>
              <w:ind w:right="449"/>
              <w:spacing w:after="0"/>
              <w:rPr>
                <w:sz w:val="20"/>
                <w:szCs w:val="20"/>
                <w:color w:val="auto"/>
              </w:rPr>
            </w:pPr>
            <w:r>
              <w:rPr>
                <w:rFonts w:ascii="Arial" w:cs="Arial" w:eastAsia="Arial" w:hAnsi="Arial"/>
                <w:sz w:val="14"/>
                <w:szCs w:val="14"/>
                <w:color w:val="auto"/>
              </w:rPr>
              <w:t>305</w:t>
            </w:r>
          </w:p>
        </w:tc>
        <w:tc>
          <w:tcPr>
            <w:tcW w:w="1700" w:type="dxa"/>
            <w:vAlign w:val="bottom"/>
          </w:tcPr>
          <w:p>
            <w:pPr>
              <w:jc w:val="right"/>
              <w:ind w:right="368"/>
              <w:spacing w:after="0"/>
              <w:rPr>
                <w:sz w:val="20"/>
                <w:szCs w:val="20"/>
                <w:color w:val="auto"/>
              </w:rPr>
            </w:pPr>
            <w:r>
              <w:rPr>
                <w:rFonts w:ascii="Arial" w:cs="Arial" w:eastAsia="Arial" w:hAnsi="Arial"/>
                <w:sz w:val="14"/>
                <w:szCs w:val="14"/>
                <w:color w:val="auto"/>
              </w:rPr>
              <w:t>49</w:t>
            </w:r>
          </w:p>
        </w:tc>
      </w:tr>
      <w:tr>
        <w:trPr>
          <w:trHeight w:val="157"/>
        </w:trPr>
        <w:tc>
          <w:tcPr>
            <w:tcW w:w="6960" w:type="dxa"/>
            <w:vAlign w:val="bottom"/>
            <w:tcBorders>
              <w:bottom w:val="single" w:sz="8" w:color="auto"/>
            </w:tcBorders>
          </w:tcPr>
          <w:p>
            <w:pPr>
              <w:ind w:left="140"/>
              <w:spacing w:after="0" w:line="157" w:lineRule="exact"/>
              <w:rPr>
                <w:sz w:val="20"/>
                <w:szCs w:val="20"/>
                <w:color w:val="auto"/>
              </w:rPr>
            </w:pPr>
            <w:r>
              <w:rPr>
                <w:rFonts w:ascii="Arial" w:cs="Arial" w:eastAsia="Arial" w:hAnsi="Arial"/>
                <w:sz w:val="14"/>
                <w:szCs w:val="14"/>
                <w:color w:val="auto"/>
              </w:rPr>
              <w:t>Other</w:t>
            </w:r>
          </w:p>
        </w:tc>
        <w:tc>
          <w:tcPr>
            <w:tcW w:w="1340" w:type="dxa"/>
            <w:vAlign w:val="bottom"/>
            <w:tcBorders>
              <w:bottom w:val="single" w:sz="8" w:color="auto"/>
            </w:tcBorders>
            <w:shd w:val="clear" w:color="auto" w:fill="D8D8D8"/>
          </w:tcPr>
          <w:p>
            <w:pPr>
              <w:jc w:val="right"/>
              <w:ind w:right="369"/>
              <w:spacing w:after="0" w:line="157" w:lineRule="exact"/>
              <w:rPr>
                <w:sz w:val="20"/>
                <w:szCs w:val="20"/>
                <w:color w:val="auto"/>
              </w:rPr>
            </w:pPr>
            <w:r>
              <w:rPr>
                <w:rFonts w:ascii="Arial" w:cs="Arial" w:eastAsia="Arial" w:hAnsi="Arial"/>
                <w:sz w:val="14"/>
                <w:szCs w:val="14"/>
                <w:color w:val="auto"/>
              </w:rPr>
              <w:t>299</w:t>
            </w:r>
          </w:p>
        </w:tc>
        <w:tc>
          <w:tcPr>
            <w:tcW w:w="1420" w:type="dxa"/>
            <w:vAlign w:val="bottom"/>
            <w:tcBorders>
              <w:bottom w:val="single" w:sz="8" w:color="auto"/>
            </w:tcBorders>
          </w:tcPr>
          <w:p>
            <w:pPr>
              <w:jc w:val="right"/>
              <w:ind w:right="449"/>
              <w:spacing w:after="0" w:line="157" w:lineRule="exact"/>
              <w:rPr>
                <w:sz w:val="20"/>
                <w:szCs w:val="20"/>
                <w:color w:val="auto"/>
              </w:rPr>
            </w:pPr>
            <w:r>
              <w:rPr>
                <w:rFonts w:ascii="Arial" w:cs="Arial" w:eastAsia="Arial" w:hAnsi="Arial"/>
                <w:sz w:val="14"/>
                <w:szCs w:val="14"/>
                <w:color w:val="auto"/>
              </w:rPr>
              <w:t>532</w:t>
            </w:r>
          </w:p>
        </w:tc>
        <w:tc>
          <w:tcPr>
            <w:tcW w:w="1700" w:type="dxa"/>
            <w:vAlign w:val="bottom"/>
            <w:tcBorders>
              <w:bottom w:val="single" w:sz="8" w:color="auto"/>
            </w:tcBorders>
          </w:tcPr>
          <w:p>
            <w:pPr>
              <w:jc w:val="right"/>
              <w:ind w:right="368"/>
              <w:spacing w:after="0" w:line="157" w:lineRule="exact"/>
              <w:rPr>
                <w:sz w:val="20"/>
                <w:szCs w:val="20"/>
                <w:color w:val="auto"/>
              </w:rPr>
            </w:pPr>
            <w:r>
              <w:rPr>
                <w:rFonts w:ascii="Arial" w:cs="Arial" w:eastAsia="Arial" w:hAnsi="Arial"/>
                <w:sz w:val="14"/>
                <w:szCs w:val="14"/>
                <w:color w:val="auto"/>
              </w:rPr>
              <w:t>93</w:t>
            </w:r>
          </w:p>
        </w:tc>
      </w:tr>
      <w:tr>
        <w:trPr>
          <w:trHeight w:val="156"/>
        </w:trPr>
        <w:tc>
          <w:tcPr>
            <w:tcW w:w="6960" w:type="dxa"/>
            <w:vAlign w:val="bottom"/>
            <w:tcBorders>
              <w:bottom w:val="single" w:sz="8" w:color="auto"/>
            </w:tcBorders>
          </w:tcPr>
          <w:p>
            <w:pPr>
              <w:spacing w:after="0" w:line="155" w:lineRule="exact"/>
              <w:rPr>
                <w:sz w:val="20"/>
                <w:szCs w:val="20"/>
                <w:color w:val="auto"/>
              </w:rPr>
            </w:pPr>
            <w:r>
              <w:rPr>
                <w:rFonts w:ascii="Arial" w:cs="Arial" w:eastAsia="Arial" w:hAnsi="Arial"/>
                <w:sz w:val="14"/>
                <w:szCs w:val="14"/>
                <w:color w:val="auto"/>
              </w:rPr>
              <w:t>Total</w:t>
            </w:r>
          </w:p>
        </w:tc>
        <w:tc>
          <w:tcPr>
            <w:tcW w:w="1340" w:type="dxa"/>
            <w:vAlign w:val="bottom"/>
            <w:tcBorders>
              <w:bottom w:val="single" w:sz="8" w:color="auto"/>
            </w:tcBorders>
            <w:shd w:val="clear" w:color="auto" w:fill="D8D8D8"/>
          </w:tcPr>
          <w:p>
            <w:pPr>
              <w:jc w:val="right"/>
              <w:ind w:right="369"/>
              <w:spacing w:after="0" w:line="155" w:lineRule="exact"/>
              <w:rPr>
                <w:sz w:val="20"/>
                <w:szCs w:val="20"/>
                <w:color w:val="auto"/>
              </w:rPr>
            </w:pPr>
            <w:r>
              <w:rPr>
                <w:rFonts w:ascii="Arial" w:cs="Arial" w:eastAsia="Arial" w:hAnsi="Arial"/>
                <w:sz w:val="14"/>
                <w:szCs w:val="14"/>
                <w:color w:val="auto"/>
              </w:rPr>
              <w:t>6,983</w:t>
            </w:r>
          </w:p>
        </w:tc>
        <w:tc>
          <w:tcPr>
            <w:tcW w:w="1420" w:type="dxa"/>
            <w:vAlign w:val="bottom"/>
            <w:tcBorders>
              <w:bottom w:val="single" w:sz="8" w:color="auto"/>
            </w:tcBorders>
          </w:tcPr>
          <w:p>
            <w:pPr>
              <w:jc w:val="right"/>
              <w:ind w:right="449"/>
              <w:spacing w:after="0" w:line="155" w:lineRule="exact"/>
              <w:rPr>
                <w:sz w:val="20"/>
                <w:szCs w:val="20"/>
                <w:color w:val="auto"/>
              </w:rPr>
            </w:pPr>
            <w:r>
              <w:rPr>
                <w:rFonts w:ascii="Arial" w:cs="Arial" w:eastAsia="Arial" w:hAnsi="Arial"/>
                <w:sz w:val="14"/>
                <w:szCs w:val="14"/>
                <w:color w:val="auto"/>
              </w:rPr>
              <w:t>5,365</w:t>
            </w:r>
          </w:p>
        </w:tc>
        <w:tc>
          <w:tcPr>
            <w:tcW w:w="1700" w:type="dxa"/>
            <w:vAlign w:val="bottom"/>
            <w:tcBorders>
              <w:bottom w:val="single" w:sz="8" w:color="auto"/>
            </w:tcBorders>
          </w:tcPr>
          <w:p>
            <w:pPr>
              <w:jc w:val="right"/>
              <w:ind w:right="368"/>
              <w:spacing w:after="0" w:line="155" w:lineRule="exact"/>
              <w:rPr>
                <w:sz w:val="20"/>
                <w:szCs w:val="20"/>
                <w:color w:val="auto"/>
              </w:rPr>
            </w:pPr>
            <w:r>
              <w:rPr>
                <w:rFonts w:ascii="Arial" w:cs="Arial" w:eastAsia="Arial" w:hAnsi="Arial"/>
                <w:sz w:val="14"/>
                <w:szCs w:val="14"/>
                <w:color w:val="auto"/>
              </w:rPr>
              <w:t>1,082</w:t>
            </w:r>
          </w:p>
        </w:tc>
      </w:tr>
      <w:tr>
        <w:trPr>
          <w:trHeight w:val="160"/>
        </w:trPr>
        <w:tc>
          <w:tcPr>
            <w:tcW w:w="6960" w:type="dxa"/>
            <w:vAlign w:val="bottom"/>
          </w:tcPr>
          <w:p>
            <w:pPr>
              <w:spacing w:after="0"/>
              <w:rPr>
                <w:sz w:val="20"/>
                <w:szCs w:val="20"/>
                <w:color w:val="auto"/>
              </w:rPr>
            </w:pPr>
            <w:r>
              <w:rPr>
                <w:rFonts w:ascii="Arial" w:cs="Arial" w:eastAsia="Arial" w:hAnsi="Arial"/>
                <w:sz w:val="14"/>
                <w:szCs w:val="14"/>
                <w:color w:val="auto"/>
              </w:rPr>
              <w:t>Impairment reversals [A]</w:t>
            </w:r>
          </w:p>
        </w:tc>
        <w:tc>
          <w:tcPr>
            <w:tcW w:w="1340" w:type="dxa"/>
            <w:vAlign w:val="bottom"/>
            <w:shd w:val="clear" w:color="auto" w:fill="D8D8D8"/>
          </w:tcPr>
          <w:p>
            <w:pPr>
              <w:spacing w:after="0"/>
              <w:rPr>
                <w:sz w:val="13"/>
                <w:szCs w:val="13"/>
                <w:color w:val="auto"/>
              </w:rPr>
            </w:pPr>
          </w:p>
        </w:tc>
        <w:tc>
          <w:tcPr>
            <w:tcW w:w="1420" w:type="dxa"/>
            <w:vAlign w:val="bottom"/>
          </w:tcPr>
          <w:p>
            <w:pPr>
              <w:spacing w:after="0"/>
              <w:rPr>
                <w:sz w:val="13"/>
                <w:szCs w:val="13"/>
                <w:color w:val="auto"/>
              </w:rPr>
            </w:pPr>
          </w:p>
        </w:tc>
        <w:tc>
          <w:tcPr>
            <w:tcW w:w="1700" w:type="dxa"/>
            <w:vAlign w:val="bottom"/>
          </w:tcPr>
          <w:p>
            <w:pPr>
              <w:spacing w:after="0"/>
              <w:rPr>
                <w:sz w:val="13"/>
                <w:szCs w:val="13"/>
                <w:color w:val="auto"/>
              </w:rPr>
            </w:pPr>
          </w:p>
        </w:tc>
      </w:tr>
      <w:tr>
        <w:trPr>
          <w:trHeight w:val="162"/>
        </w:trPr>
        <w:tc>
          <w:tcPr>
            <w:tcW w:w="6960" w:type="dxa"/>
            <w:vAlign w:val="bottom"/>
          </w:tcPr>
          <w:p>
            <w:pPr>
              <w:ind w:left="140"/>
              <w:spacing w:after="0"/>
              <w:rPr>
                <w:sz w:val="20"/>
                <w:szCs w:val="20"/>
                <w:color w:val="auto"/>
              </w:rPr>
            </w:pPr>
            <w:r>
              <w:rPr>
                <w:rFonts w:ascii="Arial" w:cs="Arial" w:eastAsia="Arial" w:hAnsi="Arial"/>
                <w:sz w:val="14"/>
                <w:szCs w:val="14"/>
                <w:color w:val="auto"/>
              </w:rPr>
              <w:t>Exploration and production assets</w:t>
            </w:r>
          </w:p>
        </w:tc>
        <w:tc>
          <w:tcPr>
            <w:tcW w:w="1340" w:type="dxa"/>
            <w:vAlign w:val="bottom"/>
            <w:shd w:val="clear" w:color="auto" w:fill="D8D8D8"/>
          </w:tcPr>
          <w:p>
            <w:pPr>
              <w:jc w:val="right"/>
              <w:ind w:right="369"/>
              <w:spacing w:after="0"/>
              <w:rPr>
                <w:sz w:val="20"/>
                <w:szCs w:val="20"/>
                <w:color w:val="auto"/>
              </w:rPr>
            </w:pPr>
            <w:r>
              <w:rPr>
                <w:rFonts w:ascii="Arial" w:cs="Arial" w:eastAsia="Arial" w:hAnsi="Arial"/>
                <w:sz w:val="14"/>
                <w:szCs w:val="14"/>
                <w:color w:val="auto"/>
              </w:rPr>
              <w:t>100</w:t>
            </w:r>
          </w:p>
        </w:tc>
        <w:tc>
          <w:tcPr>
            <w:tcW w:w="1420" w:type="dxa"/>
            <w:vAlign w:val="bottom"/>
          </w:tcPr>
          <w:p>
            <w:pPr>
              <w:jc w:val="right"/>
              <w:ind w:right="449"/>
              <w:spacing w:after="0"/>
              <w:rPr>
                <w:sz w:val="20"/>
                <w:szCs w:val="20"/>
                <w:color w:val="auto"/>
              </w:rPr>
            </w:pPr>
            <w:r>
              <w:rPr>
                <w:rFonts w:ascii="Arial" w:cs="Arial" w:eastAsia="Arial" w:hAnsi="Arial"/>
                <w:sz w:val="14"/>
                <w:szCs w:val="14"/>
                <w:color w:val="auto"/>
              </w:rPr>
              <w:t>17</w:t>
            </w:r>
          </w:p>
        </w:tc>
        <w:tc>
          <w:tcPr>
            <w:tcW w:w="1700" w:type="dxa"/>
            <w:vAlign w:val="bottom"/>
          </w:tcPr>
          <w:p>
            <w:pPr>
              <w:jc w:val="right"/>
              <w:ind w:right="368"/>
              <w:spacing w:after="0"/>
              <w:rPr>
                <w:sz w:val="20"/>
                <w:szCs w:val="20"/>
                <w:color w:val="auto"/>
              </w:rPr>
            </w:pPr>
            <w:r>
              <w:rPr>
                <w:rFonts w:ascii="Arial" w:cs="Arial" w:eastAsia="Arial" w:hAnsi="Arial"/>
                <w:sz w:val="14"/>
                <w:szCs w:val="14"/>
                <w:color w:val="auto"/>
              </w:rPr>
              <w:t>–</w:t>
            </w:r>
          </w:p>
        </w:tc>
      </w:tr>
      <w:tr>
        <w:trPr>
          <w:trHeight w:val="162"/>
        </w:trPr>
        <w:tc>
          <w:tcPr>
            <w:tcW w:w="6960" w:type="dxa"/>
            <w:vAlign w:val="bottom"/>
          </w:tcPr>
          <w:p>
            <w:pPr>
              <w:ind w:left="140"/>
              <w:spacing w:after="0"/>
              <w:rPr>
                <w:sz w:val="20"/>
                <w:szCs w:val="20"/>
                <w:color w:val="auto"/>
              </w:rPr>
            </w:pPr>
            <w:r>
              <w:rPr>
                <w:rFonts w:ascii="Arial" w:cs="Arial" w:eastAsia="Arial" w:hAnsi="Arial"/>
                <w:sz w:val="14"/>
                <w:szCs w:val="14"/>
                <w:color w:val="auto"/>
              </w:rPr>
              <w:t>Manufacturing, supply and distribution</w:t>
            </w:r>
          </w:p>
        </w:tc>
        <w:tc>
          <w:tcPr>
            <w:tcW w:w="1340" w:type="dxa"/>
            <w:vAlign w:val="bottom"/>
            <w:shd w:val="clear" w:color="auto" w:fill="D8D8D8"/>
          </w:tcPr>
          <w:p>
            <w:pPr>
              <w:jc w:val="right"/>
              <w:ind w:right="369"/>
              <w:spacing w:after="0"/>
              <w:rPr>
                <w:sz w:val="20"/>
                <w:szCs w:val="20"/>
                <w:color w:val="auto"/>
              </w:rPr>
            </w:pPr>
            <w:r>
              <w:rPr>
                <w:rFonts w:ascii="Arial" w:cs="Arial" w:eastAsia="Arial" w:hAnsi="Arial"/>
                <w:sz w:val="14"/>
                <w:szCs w:val="14"/>
                <w:color w:val="auto"/>
              </w:rPr>
              <w:t>–</w:t>
            </w:r>
          </w:p>
        </w:tc>
        <w:tc>
          <w:tcPr>
            <w:tcW w:w="1420" w:type="dxa"/>
            <w:vAlign w:val="bottom"/>
          </w:tcPr>
          <w:p>
            <w:pPr>
              <w:jc w:val="right"/>
              <w:ind w:right="449"/>
              <w:spacing w:after="0"/>
              <w:rPr>
                <w:sz w:val="20"/>
                <w:szCs w:val="20"/>
                <w:color w:val="auto"/>
              </w:rPr>
            </w:pPr>
            <w:r>
              <w:rPr>
                <w:rFonts w:ascii="Arial" w:cs="Arial" w:eastAsia="Arial" w:hAnsi="Arial"/>
                <w:sz w:val="14"/>
                <w:szCs w:val="14"/>
                <w:color w:val="auto"/>
              </w:rPr>
              <w:t>–</w:t>
            </w:r>
          </w:p>
        </w:tc>
        <w:tc>
          <w:tcPr>
            <w:tcW w:w="1700" w:type="dxa"/>
            <w:vAlign w:val="bottom"/>
          </w:tcPr>
          <w:p>
            <w:pPr>
              <w:jc w:val="right"/>
              <w:ind w:right="368"/>
              <w:spacing w:after="0"/>
              <w:rPr>
                <w:sz w:val="20"/>
                <w:szCs w:val="20"/>
                <w:color w:val="auto"/>
              </w:rPr>
            </w:pPr>
            <w:r>
              <w:rPr>
                <w:rFonts w:ascii="Arial" w:cs="Arial" w:eastAsia="Arial" w:hAnsi="Arial"/>
                <w:sz w:val="14"/>
                <w:szCs w:val="14"/>
                <w:color w:val="auto"/>
              </w:rPr>
              <w:t>23</w:t>
            </w:r>
          </w:p>
        </w:tc>
      </w:tr>
      <w:tr>
        <w:trPr>
          <w:trHeight w:val="157"/>
        </w:trPr>
        <w:tc>
          <w:tcPr>
            <w:tcW w:w="6960" w:type="dxa"/>
            <w:vAlign w:val="bottom"/>
            <w:tcBorders>
              <w:bottom w:val="single" w:sz="8" w:color="auto"/>
            </w:tcBorders>
          </w:tcPr>
          <w:p>
            <w:pPr>
              <w:ind w:left="140"/>
              <w:spacing w:after="0" w:line="157" w:lineRule="exact"/>
              <w:rPr>
                <w:sz w:val="20"/>
                <w:szCs w:val="20"/>
                <w:color w:val="auto"/>
              </w:rPr>
            </w:pPr>
            <w:r>
              <w:rPr>
                <w:rFonts w:ascii="Arial" w:cs="Arial" w:eastAsia="Arial" w:hAnsi="Arial"/>
                <w:sz w:val="14"/>
                <w:szCs w:val="14"/>
                <w:color w:val="auto"/>
              </w:rPr>
              <w:t>Other</w:t>
            </w:r>
          </w:p>
        </w:tc>
        <w:tc>
          <w:tcPr>
            <w:tcW w:w="1340" w:type="dxa"/>
            <w:vAlign w:val="bottom"/>
            <w:tcBorders>
              <w:bottom w:val="single" w:sz="8" w:color="auto"/>
            </w:tcBorders>
            <w:shd w:val="clear" w:color="auto" w:fill="D8D8D8"/>
          </w:tcPr>
          <w:p>
            <w:pPr>
              <w:jc w:val="right"/>
              <w:ind w:right="369"/>
              <w:spacing w:after="0" w:line="157" w:lineRule="exact"/>
              <w:rPr>
                <w:sz w:val="20"/>
                <w:szCs w:val="20"/>
                <w:color w:val="auto"/>
              </w:rPr>
            </w:pPr>
            <w:r>
              <w:rPr>
                <w:rFonts w:ascii="Arial" w:cs="Arial" w:eastAsia="Arial" w:hAnsi="Arial"/>
                <w:sz w:val="14"/>
                <w:szCs w:val="14"/>
                <w:color w:val="auto"/>
              </w:rPr>
              <w:t>244</w:t>
            </w:r>
          </w:p>
        </w:tc>
        <w:tc>
          <w:tcPr>
            <w:tcW w:w="1420" w:type="dxa"/>
            <w:vAlign w:val="bottom"/>
            <w:tcBorders>
              <w:bottom w:val="single" w:sz="8" w:color="auto"/>
            </w:tcBorders>
          </w:tcPr>
          <w:p>
            <w:pPr>
              <w:jc w:val="right"/>
              <w:ind w:right="449"/>
              <w:spacing w:after="0" w:line="157" w:lineRule="exact"/>
              <w:rPr>
                <w:sz w:val="20"/>
                <w:szCs w:val="20"/>
                <w:color w:val="auto"/>
              </w:rPr>
            </w:pPr>
            <w:r>
              <w:rPr>
                <w:rFonts w:ascii="Arial" w:cs="Arial" w:eastAsia="Arial" w:hAnsi="Arial"/>
                <w:sz w:val="14"/>
                <w:szCs w:val="14"/>
                <w:color w:val="auto"/>
              </w:rPr>
              <w:t>–</w:t>
            </w:r>
          </w:p>
        </w:tc>
        <w:tc>
          <w:tcPr>
            <w:tcW w:w="1700" w:type="dxa"/>
            <w:vAlign w:val="bottom"/>
            <w:tcBorders>
              <w:bottom w:val="single" w:sz="8" w:color="auto"/>
            </w:tcBorders>
          </w:tcPr>
          <w:p>
            <w:pPr>
              <w:jc w:val="right"/>
              <w:ind w:right="368"/>
              <w:spacing w:after="0" w:line="157" w:lineRule="exact"/>
              <w:rPr>
                <w:sz w:val="20"/>
                <w:szCs w:val="20"/>
                <w:color w:val="auto"/>
              </w:rPr>
            </w:pPr>
            <w:r>
              <w:rPr>
                <w:rFonts w:ascii="Arial" w:cs="Arial" w:eastAsia="Arial" w:hAnsi="Arial"/>
                <w:sz w:val="14"/>
                <w:szCs w:val="14"/>
                <w:color w:val="auto"/>
              </w:rPr>
              <w:t>1</w:t>
            </w:r>
          </w:p>
        </w:tc>
      </w:tr>
      <w:tr>
        <w:trPr>
          <w:trHeight w:val="156"/>
        </w:trPr>
        <w:tc>
          <w:tcPr>
            <w:tcW w:w="6960" w:type="dxa"/>
            <w:vAlign w:val="bottom"/>
            <w:tcBorders>
              <w:bottom w:val="single" w:sz="8" w:color="auto"/>
            </w:tcBorders>
          </w:tcPr>
          <w:p>
            <w:pPr>
              <w:spacing w:after="0" w:line="155" w:lineRule="exact"/>
              <w:rPr>
                <w:sz w:val="20"/>
                <w:szCs w:val="20"/>
                <w:color w:val="auto"/>
              </w:rPr>
            </w:pPr>
            <w:r>
              <w:rPr>
                <w:rFonts w:ascii="Arial" w:cs="Arial" w:eastAsia="Arial" w:hAnsi="Arial"/>
                <w:sz w:val="14"/>
                <w:szCs w:val="14"/>
                <w:color w:val="auto"/>
              </w:rPr>
              <w:t>Total</w:t>
            </w:r>
          </w:p>
        </w:tc>
        <w:tc>
          <w:tcPr>
            <w:tcW w:w="1340" w:type="dxa"/>
            <w:vAlign w:val="bottom"/>
            <w:tcBorders>
              <w:bottom w:val="single" w:sz="8" w:color="auto"/>
            </w:tcBorders>
            <w:shd w:val="clear" w:color="auto" w:fill="D8D8D8"/>
          </w:tcPr>
          <w:p>
            <w:pPr>
              <w:jc w:val="right"/>
              <w:ind w:right="369"/>
              <w:spacing w:after="0" w:line="155" w:lineRule="exact"/>
              <w:rPr>
                <w:sz w:val="20"/>
                <w:szCs w:val="20"/>
                <w:color w:val="auto"/>
              </w:rPr>
            </w:pPr>
            <w:r>
              <w:rPr>
                <w:rFonts w:ascii="Arial" w:cs="Arial" w:eastAsia="Arial" w:hAnsi="Arial"/>
                <w:sz w:val="14"/>
                <w:szCs w:val="14"/>
                <w:color w:val="auto"/>
              </w:rPr>
              <w:t>344</w:t>
            </w:r>
          </w:p>
        </w:tc>
        <w:tc>
          <w:tcPr>
            <w:tcW w:w="1420" w:type="dxa"/>
            <w:vAlign w:val="bottom"/>
            <w:tcBorders>
              <w:bottom w:val="single" w:sz="8" w:color="auto"/>
            </w:tcBorders>
          </w:tcPr>
          <w:p>
            <w:pPr>
              <w:jc w:val="right"/>
              <w:ind w:right="449"/>
              <w:spacing w:after="0" w:line="155" w:lineRule="exact"/>
              <w:rPr>
                <w:sz w:val="20"/>
                <w:szCs w:val="20"/>
                <w:color w:val="auto"/>
              </w:rPr>
            </w:pPr>
            <w:r>
              <w:rPr>
                <w:rFonts w:ascii="Arial" w:cs="Arial" w:eastAsia="Arial" w:hAnsi="Arial"/>
                <w:sz w:val="14"/>
                <w:szCs w:val="14"/>
                <w:color w:val="auto"/>
              </w:rPr>
              <w:t>17</w:t>
            </w:r>
          </w:p>
        </w:tc>
        <w:tc>
          <w:tcPr>
            <w:tcW w:w="1700" w:type="dxa"/>
            <w:vAlign w:val="bottom"/>
            <w:tcBorders>
              <w:bottom w:val="single" w:sz="8" w:color="auto"/>
            </w:tcBorders>
          </w:tcPr>
          <w:p>
            <w:pPr>
              <w:jc w:val="right"/>
              <w:ind w:right="368"/>
              <w:spacing w:after="0" w:line="155" w:lineRule="exact"/>
              <w:rPr>
                <w:sz w:val="20"/>
                <w:szCs w:val="20"/>
                <w:color w:val="auto"/>
              </w:rPr>
            </w:pPr>
            <w:r>
              <w:rPr>
                <w:rFonts w:ascii="Arial" w:cs="Arial" w:eastAsia="Arial" w:hAnsi="Arial"/>
                <w:sz w:val="14"/>
                <w:szCs w:val="14"/>
                <w:color w:val="auto"/>
              </w:rPr>
              <w:t>24</w:t>
            </w:r>
          </w:p>
        </w:tc>
      </w:tr>
    </w:tbl>
    <w:p>
      <w:pPr>
        <w:spacing w:after="0" w:line="37" w:lineRule="exact"/>
        <w:rPr>
          <w:sz w:val="20"/>
          <w:szCs w:val="20"/>
          <w:color w:val="auto"/>
        </w:rPr>
      </w:pPr>
    </w:p>
    <w:p>
      <w:pPr>
        <w:spacing w:after="0"/>
        <w:rPr>
          <w:sz w:val="20"/>
          <w:szCs w:val="20"/>
          <w:color w:val="auto"/>
        </w:rPr>
      </w:pPr>
      <w:r>
        <w:rPr>
          <w:rFonts w:ascii="Arial" w:cs="Arial" w:eastAsia="Arial" w:hAnsi="Arial"/>
          <w:sz w:val="11"/>
          <w:szCs w:val="11"/>
          <w:color w:val="auto"/>
        </w:rPr>
        <w:t>[A] Presented by segment in Note 4.</w:t>
      </w:r>
    </w:p>
    <w:p>
      <w:pPr>
        <w:spacing w:after="0" w:line="179" w:lineRule="exact"/>
        <w:rPr>
          <w:sz w:val="20"/>
          <w:szCs w:val="20"/>
          <w:color w:val="auto"/>
        </w:rPr>
      </w:pPr>
    </w:p>
    <w:p>
      <w:pPr>
        <w:ind w:right="80"/>
        <w:spacing w:after="0" w:line="247" w:lineRule="auto"/>
        <w:rPr>
          <w:sz w:val="20"/>
          <w:szCs w:val="20"/>
          <w:color w:val="auto"/>
        </w:rPr>
      </w:pPr>
      <w:r>
        <w:rPr>
          <w:rFonts w:ascii="Arial" w:cs="Arial" w:eastAsia="Arial" w:hAnsi="Arial"/>
          <w:sz w:val="14"/>
          <w:szCs w:val="14"/>
          <w:color w:val="auto"/>
        </w:rPr>
        <w:t>In 2014, an impairment review of the refining portfolio was carried out in response to the continuation of weak refining margins across the industry, resulting in impairment charges of $2.8 billion in Downstream using a value-in-use methodology which included impairment of the full carrying amount of the Bukom refinery in Singapore. The key assumptions made by management related to future expected refining margins, planned improvements in operational performance, inflation rate and discount rate. Future changes to these assumptions, in particular refining margins, could lead to further impairments.</w:t>
      </w:r>
    </w:p>
    <w:p>
      <w:pPr>
        <w:spacing w:after="0" w:line="161" w:lineRule="exact"/>
        <w:rPr>
          <w:sz w:val="20"/>
          <w:szCs w:val="20"/>
          <w:color w:val="auto"/>
        </w:rPr>
      </w:pPr>
    </w:p>
    <w:p>
      <w:pPr>
        <w:ind w:right="160"/>
        <w:spacing w:after="0" w:line="250" w:lineRule="auto"/>
        <w:rPr>
          <w:sz w:val="20"/>
          <w:szCs w:val="20"/>
          <w:color w:val="auto"/>
        </w:rPr>
      </w:pPr>
      <w:r>
        <w:rPr>
          <w:rFonts w:ascii="Arial" w:cs="Arial" w:eastAsia="Arial" w:hAnsi="Arial"/>
          <w:sz w:val="14"/>
          <w:szCs w:val="14"/>
          <w:color w:val="auto"/>
        </w:rPr>
        <w:t>In response to changes to future capital expenditure plans, an impairment review of tight-gas properties in North America was also carried out, resulting in impairment charges of $2.7 billion in Upstream in respect of a number of US properties, including Bradford, Pinedale and Slippery Rock. The key assumptions made by management related to future disposal proceeds (where assets were in the process of being divested), long-term oil and gas prices, drilling and development plans, inflation rate and discount rate.</w:t>
      </w:r>
    </w:p>
    <w:p>
      <w:pPr>
        <w:spacing w:after="0" w:line="172" w:lineRule="exact"/>
        <w:rPr>
          <w:sz w:val="20"/>
          <w:szCs w:val="20"/>
          <w:color w:val="auto"/>
        </w:rPr>
      </w:pPr>
    </w:p>
    <w:p>
      <w:pPr>
        <w:spacing w:after="0"/>
        <w:rPr>
          <w:sz w:val="20"/>
          <w:szCs w:val="20"/>
          <w:color w:val="auto"/>
        </w:rPr>
      </w:pPr>
      <w:r>
        <w:rPr>
          <w:rFonts w:ascii="Arial" w:cs="Arial" w:eastAsia="Arial" w:hAnsi="Arial"/>
          <w:sz w:val="14"/>
          <w:szCs w:val="14"/>
          <w:color w:val="auto"/>
        </w:rPr>
        <w:t>In the calculation of the value in use, cash flows were adjusted for risks specific to the related assets and the nominal pre-tax discount rate applied was 6%.</w:t>
      </w:r>
    </w:p>
    <w:p>
      <w:pPr>
        <w:spacing w:after="0" w:line="177" w:lineRule="exact"/>
        <w:rPr>
          <w:sz w:val="20"/>
          <w:szCs w:val="20"/>
          <w:color w:val="auto"/>
        </w:rPr>
      </w:pPr>
    </w:p>
    <w:p>
      <w:pPr>
        <w:ind w:right="480"/>
        <w:spacing w:after="0" w:line="258" w:lineRule="auto"/>
        <w:rPr>
          <w:sz w:val="20"/>
          <w:szCs w:val="20"/>
          <w:color w:val="auto"/>
        </w:rPr>
      </w:pPr>
      <w:r>
        <w:rPr>
          <w:rFonts w:ascii="Arial" w:cs="Arial" w:eastAsia="Arial" w:hAnsi="Arial"/>
          <w:sz w:val="14"/>
          <w:szCs w:val="14"/>
          <w:color w:val="auto"/>
        </w:rPr>
        <w:t>In response to the fall in oil and gas prices in the second half of 2014, management reviewed Shell’s short- and long-term price assumptions. This did not lead to any further impairments being recognised.</w:t>
      </w:r>
    </w:p>
    <w:p>
      <w:pPr>
        <w:spacing w:after="0" w:line="154" w:lineRule="exact"/>
        <w:rPr>
          <w:sz w:val="20"/>
          <w:szCs w:val="20"/>
          <w:color w:val="auto"/>
        </w:rPr>
      </w:pPr>
    </w:p>
    <w:p>
      <w:pPr>
        <w:ind w:right="280"/>
        <w:spacing w:after="0" w:line="250" w:lineRule="auto"/>
        <w:rPr>
          <w:sz w:val="20"/>
          <w:szCs w:val="20"/>
          <w:color w:val="auto"/>
        </w:rPr>
      </w:pPr>
      <w:r>
        <w:rPr>
          <w:rFonts w:ascii="Arial" w:cs="Arial" w:eastAsia="Arial" w:hAnsi="Arial"/>
          <w:sz w:val="14"/>
          <w:szCs w:val="14"/>
          <w:color w:val="auto"/>
        </w:rPr>
        <w:t>Impairment losses in 2013 arose principally in Upstream in respect of the US tight-gas and liquids-rich shale portfolio, including the Eagle Ford and Kansas Mississippi Lime properties, certain of which were classified as held for sale at December 31, 2013. Impairment losses in 2012 were driven generally by changes in development and production plans in Upstream.</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6960" w:type="dxa"/>
            <w:vAlign w:val="bottom"/>
            <w:shd w:val="clear" w:color="auto" w:fill="333333"/>
          </w:tcPr>
          <w:p>
            <w:pPr>
              <w:ind w:left="80"/>
              <w:spacing w:after="0"/>
              <w:rPr>
                <w:sz w:val="20"/>
                <w:szCs w:val="20"/>
                <w:color w:val="auto"/>
              </w:rPr>
            </w:pPr>
            <w:r>
              <w:rPr>
                <w:rFonts w:ascii="Arial" w:cs="Arial" w:eastAsia="Arial" w:hAnsi="Arial"/>
                <w:sz w:val="15"/>
                <w:szCs w:val="15"/>
                <w:b w:val="1"/>
                <w:bCs w:val="1"/>
                <w:color w:val="FFFFFF"/>
              </w:rPr>
              <w:t>CAPITALISED EXPLORATION DRILLING COSTS</w:t>
            </w:r>
          </w:p>
        </w:tc>
        <w:tc>
          <w:tcPr>
            <w:tcW w:w="1300" w:type="dxa"/>
            <w:vAlign w:val="bottom"/>
            <w:shd w:val="clear" w:color="auto" w:fill="333333"/>
          </w:tcPr>
          <w:p>
            <w:pPr>
              <w:spacing w:after="0"/>
              <w:rPr>
                <w:sz w:val="15"/>
                <w:szCs w:val="15"/>
                <w:color w:val="auto"/>
              </w:rPr>
            </w:pPr>
          </w:p>
        </w:tc>
        <w:tc>
          <w:tcPr>
            <w:tcW w:w="1720" w:type="dxa"/>
            <w:vAlign w:val="bottom"/>
            <w:shd w:val="clear" w:color="auto" w:fill="333333"/>
          </w:tcPr>
          <w:p>
            <w:pPr>
              <w:spacing w:after="0"/>
              <w:rPr>
                <w:sz w:val="15"/>
                <w:szCs w:val="15"/>
                <w:color w:val="auto"/>
              </w:rPr>
            </w:pPr>
          </w:p>
        </w:tc>
        <w:tc>
          <w:tcPr>
            <w:tcW w:w="1440" w:type="dxa"/>
            <w:vAlign w:val="bottom"/>
            <w:shd w:val="clear" w:color="auto" w:fill="333333"/>
          </w:tcPr>
          <w:p>
            <w:pPr>
              <w:jc w:val="right"/>
              <w:ind w:right="269"/>
              <w:spacing w:after="0"/>
              <w:rPr>
                <w:sz w:val="20"/>
                <w:szCs w:val="20"/>
                <w:color w:val="auto"/>
              </w:rPr>
            </w:pPr>
            <w:r>
              <w:rPr>
                <w:rFonts w:ascii="Arial" w:cs="Arial" w:eastAsia="Arial" w:hAnsi="Arial"/>
                <w:sz w:val="15"/>
                <w:szCs w:val="15"/>
                <w:color w:val="FFFFFF"/>
              </w:rPr>
              <w:t>$ MILLION</w:t>
            </w:r>
          </w:p>
        </w:tc>
      </w:tr>
      <w:tr>
        <w:trPr>
          <w:trHeight w:val="149"/>
        </w:trPr>
        <w:tc>
          <w:tcPr>
            <w:tcW w:w="6960" w:type="dxa"/>
            <w:vAlign w:val="bottom"/>
            <w:tcBorders>
              <w:bottom w:val="single" w:sz="8" w:color="auto"/>
            </w:tcBorders>
          </w:tcPr>
          <w:p>
            <w:pPr>
              <w:spacing w:after="0"/>
              <w:rPr>
                <w:sz w:val="12"/>
                <w:szCs w:val="12"/>
                <w:color w:val="auto"/>
              </w:rPr>
            </w:pPr>
          </w:p>
        </w:tc>
        <w:tc>
          <w:tcPr>
            <w:tcW w:w="1300" w:type="dxa"/>
            <w:vAlign w:val="bottom"/>
            <w:tcBorders>
              <w:bottom w:val="single" w:sz="8" w:color="auto"/>
            </w:tcBorders>
            <w:shd w:val="clear" w:color="auto" w:fill="D8D8D8"/>
          </w:tcPr>
          <w:p>
            <w:pPr>
              <w:jc w:val="right"/>
              <w:ind w:right="269"/>
              <w:spacing w:after="0"/>
              <w:rPr>
                <w:sz w:val="20"/>
                <w:szCs w:val="20"/>
                <w:color w:val="auto"/>
              </w:rPr>
            </w:pPr>
            <w:r>
              <w:rPr>
                <w:rFonts w:ascii="Arial" w:cs="Arial" w:eastAsia="Arial" w:hAnsi="Arial"/>
                <w:sz w:val="13"/>
                <w:szCs w:val="13"/>
                <w:color w:val="auto"/>
              </w:rPr>
              <w:t>2014</w:t>
            </w:r>
          </w:p>
        </w:tc>
        <w:tc>
          <w:tcPr>
            <w:tcW w:w="1720" w:type="dxa"/>
            <w:vAlign w:val="bottom"/>
            <w:tcBorders>
              <w:bottom w:val="single" w:sz="8" w:color="auto"/>
            </w:tcBorders>
          </w:tcPr>
          <w:p>
            <w:pPr>
              <w:jc w:val="right"/>
              <w:ind w:right="329"/>
              <w:spacing w:after="0"/>
              <w:rPr>
                <w:sz w:val="20"/>
                <w:szCs w:val="20"/>
                <w:color w:val="auto"/>
              </w:rPr>
            </w:pPr>
            <w:r>
              <w:rPr>
                <w:rFonts w:ascii="Arial" w:cs="Arial" w:eastAsia="Arial" w:hAnsi="Arial"/>
                <w:sz w:val="13"/>
                <w:szCs w:val="13"/>
                <w:color w:val="auto"/>
              </w:rPr>
              <w:t>2013</w:t>
            </w:r>
          </w:p>
        </w:tc>
        <w:tc>
          <w:tcPr>
            <w:tcW w:w="1440" w:type="dxa"/>
            <w:vAlign w:val="bottom"/>
            <w:tcBorders>
              <w:bottom w:val="single" w:sz="8" w:color="auto"/>
            </w:tcBorders>
          </w:tcPr>
          <w:p>
            <w:pPr>
              <w:jc w:val="right"/>
              <w:ind w:right="269"/>
              <w:spacing w:after="0"/>
              <w:rPr>
                <w:sz w:val="20"/>
                <w:szCs w:val="20"/>
                <w:color w:val="auto"/>
              </w:rPr>
            </w:pPr>
            <w:r>
              <w:rPr>
                <w:rFonts w:ascii="Arial" w:cs="Arial" w:eastAsia="Arial" w:hAnsi="Arial"/>
                <w:sz w:val="13"/>
                <w:szCs w:val="13"/>
                <w:color w:val="auto"/>
              </w:rPr>
              <w:t>2012</w:t>
            </w:r>
          </w:p>
        </w:tc>
      </w:tr>
      <w:tr>
        <w:trPr>
          <w:trHeight w:val="156"/>
        </w:trPr>
        <w:tc>
          <w:tcPr>
            <w:tcW w:w="6960" w:type="dxa"/>
            <w:vAlign w:val="bottom"/>
          </w:tcPr>
          <w:p>
            <w:pPr>
              <w:spacing w:after="0" w:line="155" w:lineRule="exact"/>
              <w:rPr>
                <w:sz w:val="20"/>
                <w:szCs w:val="20"/>
                <w:color w:val="auto"/>
              </w:rPr>
            </w:pPr>
            <w:r>
              <w:rPr>
                <w:rFonts w:ascii="Arial" w:cs="Arial" w:eastAsia="Arial" w:hAnsi="Arial"/>
                <w:sz w:val="14"/>
                <w:szCs w:val="14"/>
                <w:color w:val="auto"/>
              </w:rPr>
              <w:t>At January 1</w:t>
            </w:r>
          </w:p>
        </w:tc>
        <w:tc>
          <w:tcPr>
            <w:tcW w:w="1300" w:type="dxa"/>
            <w:vAlign w:val="bottom"/>
            <w:shd w:val="clear" w:color="auto" w:fill="D8D8D8"/>
          </w:tcPr>
          <w:p>
            <w:pPr>
              <w:jc w:val="right"/>
              <w:ind w:right="269"/>
              <w:spacing w:after="0" w:line="155" w:lineRule="exact"/>
              <w:rPr>
                <w:sz w:val="20"/>
                <w:szCs w:val="20"/>
                <w:color w:val="auto"/>
              </w:rPr>
            </w:pPr>
            <w:r>
              <w:rPr>
                <w:rFonts w:ascii="Arial" w:cs="Arial" w:eastAsia="Arial" w:hAnsi="Arial"/>
                <w:sz w:val="14"/>
                <w:szCs w:val="14"/>
                <w:color w:val="auto"/>
              </w:rPr>
              <w:t>8,377</w:t>
            </w:r>
          </w:p>
        </w:tc>
        <w:tc>
          <w:tcPr>
            <w:tcW w:w="1720" w:type="dxa"/>
            <w:vAlign w:val="bottom"/>
          </w:tcPr>
          <w:p>
            <w:pPr>
              <w:jc w:val="right"/>
              <w:ind w:right="329"/>
              <w:spacing w:after="0" w:line="155" w:lineRule="exact"/>
              <w:rPr>
                <w:sz w:val="20"/>
                <w:szCs w:val="20"/>
                <w:color w:val="auto"/>
              </w:rPr>
            </w:pPr>
            <w:r>
              <w:rPr>
                <w:rFonts w:ascii="Arial" w:cs="Arial" w:eastAsia="Arial" w:hAnsi="Arial"/>
                <w:sz w:val="14"/>
                <w:szCs w:val="14"/>
                <w:color w:val="auto"/>
              </w:rPr>
              <w:t>7,886</w:t>
            </w:r>
          </w:p>
        </w:tc>
        <w:tc>
          <w:tcPr>
            <w:tcW w:w="1440" w:type="dxa"/>
            <w:vAlign w:val="bottom"/>
          </w:tcPr>
          <w:p>
            <w:pPr>
              <w:jc w:val="right"/>
              <w:ind w:right="269"/>
              <w:spacing w:after="0" w:line="155" w:lineRule="exact"/>
              <w:rPr>
                <w:sz w:val="20"/>
                <w:szCs w:val="20"/>
                <w:color w:val="auto"/>
              </w:rPr>
            </w:pPr>
            <w:r>
              <w:rPr>
                <w:rFonts w:ascii="Arial" w:cs="Arial" w:eastAsia="Arial" w:hAnsi="Arial"/>
                <w:sz w:val="14"/>
                <w:szCs w:val="14"/>
                <w:color w:val="auto"/>
              </w:rPr>
              <w:t>5,298</w:t>
            </w:r>
          </w:p>
        </w:tc>
      </w:tr>
      <w:tr>
        <w:trPr>
          <w:trHeight w:val="162"/>
        </w:trPr>
        <w:tc>
          <w:tcPr>
            <w:tcW w:w="6960" w:type="dxa"/>
            <w:vAlign w:val="bottom"/>
          </w:tcPr>
          <w:p>
            <w:pPr>
              <w:spacing w:after="0"/>
              <w:rPr>
                <w:sz w:val="20"/>
                <w:szCs w:val="20"/>
                <w:color w:val="auto"/>
              </w:rPr>
            </w:pPr>
            <w:r>
              <w:rPr>
                <w:rFonts w:ascii="Arial" w:cs="Arial" w:eastAsia="Arial" w:hAnsi="Arial"/>
                <w:sz w:val="14"/>
                <w:szCs w:val="14"/>
                <w:color w:val="auto"/>
              </w:rPr>
              <w:t>Additions pending determination of proved reserves</w:t>
            </w:r>
          </w:p>
        </w:tc>
        <w:tc>
          <w:tcPr>
            <w:tcW w:w="1300" w:type="dxa"/>
            <w:vAlign w:val="bottom"/>
            <w:shd w:val="clear" w:color="auto" w:fill="D8D8D8"/>
          </w:tcPr>
          <w:p>
            <w:pPr>
              <w:jc w:val="right"/>
              <w:ind w:right="269"/>
              <w:spacing w:after="0"/>
              <w:rPr>
                <w:sz w:val="20"/>
                <w:szCs w:val="20"/>
                <w:color w:val="auto"/>
              </w:rPr>
            </w:pPr>
            <w:r>
              <w:rPr>
                <w:rFonts w:ascii="Arial" w:cs="Arial" w:eastAsia="Arial" w:hAnsi="Arial"/>
                <w:sz w:val="14"/>
                <w:szCs w:val="14"/>
                <w:color w:val="auto"/>
              </w:rPr>
              <w:t>4,370</w:t>
            </w:r>
          </w:p>
        </w:tc>
        <w:tc>
          <w:tcPr>
            <w:tcW w:w="1720" w:type="dxa"/>
            <w:vAlign w:val="bottom"/>
          </w:tcPr>
          <w:p>
            <w:pPr>
              <w:jc w:val="right"/>
              <w:ind w:right="329"/>
              <w:spacing w:after="0"/>
              <w:rPr>
                <w:sz w:val="20"/>
                <w:szCs w:val="20"/>
                <w:color w:val="auto"/>
              </w:rPr>
            </w:pPr>
            <w:r>
              <w:rPr>
                <w:rFonts w:ascii="Arial" w:cs="Arial" w:eastAsia="Arial" w:hAnsi="Arial"/>
                <w:sz w:val="14"/>
                <w:szCs w:val="14"/>
                <w:color w:val="auto"/>
              </w:rPr>
              <w:t>5,978</w:t>
            </w:r>
          </w:p>
        </w:tc>
        <w:tc>
          <w:tcPr>
            <w:tcW w:w="1440" w:type="dxa"/>
            <w:vAlign w:val="bottom"/>
          </w:tcPr>
          <w:p>
            <w:pPr>
              <w:jc w:val="right"/>
              <w:ind w:right="269"/>
              <w:spacing w:after="0"/>
              <w:rPr>
                <w:sz w:val="20"/>
                <w:szCs w:val="20"/>
                <w:color w:val="auto"/>
              </w:rPr>
            </w:pPr>
            <w:r>
              <w:rPr>
                <w:rFonts w:ascii="Arial" w:cs="Arial" w:eastAsia="Arial" w:hAnsi="Arial"/>
                <w:sz w:val="14"/>
                <w:szCs w:val="14"/>
                <w:color w:val="auto"/>
              </w:rPr>
              <w:t>6,395</w:t>
            </w:r>
          </w:p>
        </w:tc>
      </w:tr>
      <w:tr>
        <w:trPr>
          <w:trHeight w:val="167"/>
        </w:trPr>
        <w:tc>
          <w:tcPr>
            <w:tcW w:w="6960" w:type="dxa"/>
            <w:vAlign w:val="bottom"/>
          </w:tcPr>
          <w:p>
            <w:pPr>
              <w:spacing w:after="0"/>
              <w:rPr>
                <w:sz w:val="20"/>
                <w:szCs w:val="20"/>
                <w:color w:val="auto"/>
              </w:rPr>
            </w:pPr>
            <w:r>
              <w:rPr>
                <w:rFonts w:ascii="Arial" w:cs="Arial" w:eastAsia="Arial" w:hAnsi="Arial"/>
                <w:sz w:val="14"/>
                <w:szCs w:val="14"/>
                <w:color w:val="auto"/>
              </w:rPr>
              <w:t>Amounts charged to expense</w:t>
            </w:r>
          </w:p>
        </w:tc>
        <w:tc>
          <w:tcPr>
            <w:tcW w:w="1300" w:type="dxa"/>
            <w:vAlign w:val="bottom"/>
            <w:shd w:val="clear" w:color="auto" w:fill="D8D8D8"/>
          </w:tcPr>
          <w:p>
            <w:pPr>
              <w:jc w:val="right"/>
              <w:ind w:right="269"/>
              <w:spacing w:after="0"/>
              <w:rPr>
                <w:sz w:val="20"/>
                <w:szCs w:val="20"/>
                <w:color w:val="auto"/>
              </w:rPr>
            </w:pPr>
            <w:r>
              <w:rPr>
                <w:rFonts w:ascii="Arial" w:cs="Arial" w:eastAsia="Arial" w:hAnsi="Arial"/>
                <w:sz w:val="14"/>
                <w:szCs w:val="14"/>
                <w:color w:val="auto"/>
              </w:rPr>
              <w:t>(1,881)</w:t>
            </w:r>
          </w:p>
        </w:tc>
        <w:tc>
          <w:tcPr>
            <w:tcW w:w="1720" w:type="dxa"/>
            <w:vAlign w:val="bottom"/>
          </w:tcPr>
          <w:p>
            <w:pPr>
              <w:jc w:val="right"/>
              <w:ind w:right="269"/>
              <w:spacing w:after="0"/>
              <w:rPr>
                <w:sz w:val="20"/>
                <w:szCs w:val="20"/>
                <w:color w:val="auto"/>
              </w:rPr>
            </w:pPr>
            <w:r>
              <w:rPr>
                <w:rFonts w:ascii="Arial" w:cs="Arial" w:eastAsia="Arial" w:hAnsi="Arial"/>
                <w:sz w:val="14"/>
                <w:szCs w:val="14"/>
                <w:color w:val="auto"/>
              </w:rPr>
              <w:t>(2,742)</w:t>
            </w:r>
          </w:p>
        </w:tc>
        <w:tc>
          <w:tcPr>
            <w:tcW w:w="1440" w:type="dxa"/>
            <w:vAlign w:val="bottom"/>
          </w:tcPr>
          <w:p>
            <w:pPr>
              <w:jc w:val="right"/>
              <w:ind w:right="209"/>
              <w:spacing w:after="0"/>
              <w:rPr>
                <w:sz w:val="20"/>
                <w:szCs w:val="20"/>
                <w:color w:val="auto"/>
              </w:rPr>
            </w:pPr>
            <w:r>
              <w:rPr>
                <w:rFonts w:ascii="Arial" w:cs="Arial" w:eastAsia="Arial" w:hAnsi="Arial"/>
                <w:sz w:val="14"/>
                <w:szCs w:val="14"/>
                <w:color w:val="auto"/>
              </w:rPr>
              <w:t>(990)</w:t>
            </w:r>
          </w:p>
        </w:tc>
      </w:tr>
      <w:tr>
        <w:trPr>
          <w:trHeight w:val="162"/>
        </w:trPr>
        <w:tc>
          <w:tcPr>
            <w:tcW w:w="6960" w:type="dxa"/>
            <w:vAlign w:val="bottom"/>
          </w:tcPr>
          <w:p>
            <w:pPr>
              <w:spacing w:after="0"/>
              <w:rPr>
                <w:sz w:val="20"/>
                <w:szCs w:val="20"/>
                <w:color w:val="auto"/>
              </w:rPr>
            </w:pPr>
            <w:r>
              <w:rPr>
                <w:rFonts w:ascii="Arial" w:cs="Arial" w:eastAsia="Arial" w:hAnsi="Arial"/>
                <w:sz w:val="14"/>
                <w:szCs w:val="14"/>
                <w:color w:val="auto"/>
              </w:rPr>
              <w:t>Reclassifications to productive wells on determination of proved reserves</w:t>
            </w:r>
          </w:p>
        </w:tc>
        <w:tc>
          <w:tcPr>
            <w:tcW w:w="1300" w:type="dxa"/>
            <w:vAlign w:val="bottom"/>
            <w:shd w:val="clear" w:color="auto" w:fill="D8D8D8"/>
          </w:tcPr>
          <w:p>
            <w:pPr>
              <w:jc w:val="right"/>
              <w:ind w:right="269"/>
              <w:spacing w:after="0"/>
              <w:rPr>
                <w:sz w:val="20"/>
                <w:szCs w:val="20"/>
                <w:color w:val="auto"/>
              </w:rPr>
            </w:pPr>
            <w:r>
              <w:rPr>
                <w:rFonts w:ascii="Arial" w:cs="Arial" w:eastAsia="Arial" w:hAnsi="Arial"/>
                <w:sz w:val="14"/>
                <w:szCs w:val="14"/>
                <w:color w:val="auto"/>
              </w:rPr>
              <w:t>(2,116)</w:t>
            </w:r>
          </w:p>
        </w:tc>
        <w:tc>
          <w:tcPr>
            <w:tcW w:w="1720" w:type="dxa"/>
            <w:vAlign w:val="bottom"/>
          </w:tcPr>
          <w:p>
            <w:pPr>
              <w:jc w:val="right"/>
              <w:ind w:right="269"/>
              <w:spacing w:after="0"/>
              <w:rPr>
                <w:sz w:val="20"/>
                <w:szCs w:val="20"/>
                <w:color w:val="auto"/>
              </w:rPr>
            </w:pPr>
            <w:r>
              <w:rPr>
                <w:rFonts w:ascii="Arial" w:cs="Arial" w:eastAsia="Arial" w:hAnsi="Arial"/>
                <w:sz w:val="14"/>
                <w:szCs w:val="14"/>
                <w:color w:val="auto"/>
              </w:rPr>
              <w:t>(2,231)</w:t>
            </w:r>
          </w:p>
        </w:tc>
        <w:tc>
          <w:tcPr>
            <w:tcW w:w="1440" w:type="dxa"/>
            <w:vAlign w:val="bottom"/>
          </w:tcPr>
          <w:p>
            <w:pPr>
              <w:jc w:val="right"/>
              <w:ind w:right="209"/>
              <w:spacing w:after="0"/>
              <w:rPr>
                <w:sz w:val="20"/>
                <w:szCs w:val="20"/>
                <w:color w:val="auto"/>
              </w:rPr>
            </w:pPr>
            <w:r>
              <w:rPr>
                <w:rFonts w:ascii="Arial" w:cs="Arial" w:eastAsia="Arial" w:hAnsi="Arial"/>
                <w:sz w:val="14"/>
                <w:szCs w:val="14"/>
                <w:color w:val="auto"/>
              </w:rPr>
              <w:t>(2,748)</w:t>
            </w:r>
          </w:p>
        </w:tc>
      </w:tr>
      <w:tr>
        <w:trPr>
          <w:trHeight w:val="157"/>
        </w:trPr>
        <w:tc>
          <w:tcPr>
            <w:tcW w:w="6960" w:type="dxa"/>
            <w:vAlign w:val="bottom"/>
            <w:tcBorders>
              <w:bottom w:val="single" w:sz="8" w:color="auto"/>
            </w:tcBorders>
          </w:tcPr>
          <w:p>
            <w:pPr>
              <w:spacing w:after="0" w:line="157" w:lineRule="exact"/>
              <w:rPr>
                <w:sz w:val="20"/>
                <w:szCs w:val="20"/>
                <w:color w:val="auto"/>
              </w:rPr>
            </w:pPr>
            <w:r>
              <w:rPr>
                <w:rFonts w:ascii="Arial" w:cs="Arial" w:eastAsia="Arial" w:hAnsi="Arial"/>
                <w:sz w:val="14"/>
                <w:szCs w:val="14"/>
                <w:color w:val="auto"/>
              </w:rPr>
              <w:t>Other movements</w:t>
            </w:r>
          </w:p>
        </w:tc>
        <w:tc>
          <w:tcPr>
            <w:tcW w:w="1300" w:type="dxa"/>
            <w:vAlign w:val="bottom"/>
            <w:tcBorders>
              <w:bottom w:val="single" w:sz="8" w:color="auto"/>
            </w:tcBorders>
            <w:shd w:val="clear" w:color="auto" w:fill="D8D8D8"/>
          </w:tcPr>
          <w:p>
            <w:pPr>
              <w:jc w:val="right"/>
              <w:ind w:right="269"/>
              <w:spacing w:after="0" w:line="157" w:lineRule="exact"/>
              <w:rPr>
                <w:sz w:val="20"/>
                <w:szCs w:val="20"/>
                <w:color w:val="auto"/>
              </w:rPr>
            </w:pPr>
            <w:r>
              <w:rPr>
                <w:rFonts w:ascii="Arial" w:cs="Arial" w:eastAsia="Arial" w:hAnsi="Arial"/>
                <w:sz w:val="14"/>
                <w:szCs w:val="14"/>
                <w:color w:val="auto"/>
              </w:rPr>
              <w:t>(285)</w:t>
            </w:r>
          </w:p>
        </w:tc>
        <w:tc>
          <w:tcPr>
            <w:tcW w:w="1720" w:type="dxa"/>
            <w:vAlign w:val="bottom"/>
            <w:tcBorders>
              <w:bottom w:val="single" w:sz="8" w:color="auto"/>
            </w:tcBorders>
          </w:tcPr>
          <w:p>
            <w:pPr>
              <w:jc w:val="right"/>
              <w:ind w:right="269"/>
              <w:spacing w:after="0" w:line="157" w:lineRule="exact"/>
              <w:rPr>
                <w:sz w:val="20"/>
                <w:szCs w:val="20"/>
                <w:color w:val="auto"/>
              </w:rPr>
            </w:pPr>
            <w:r>
              <w:rPr>
                <w:rFonts w:ascii="Arial" w:cs="Arial" w:eastAsia="Arial" w:hAnsi="Arial"/>
                <w:sz w:val="14"/>
                <w:szCs w:val="14"/>
                <w:color w:val="auto"/>
              </w:rPr>
              <w:t>(514)</w:t>
            </w:r>
          </w:p>
        </w:tc>
        <w:tc>
          <w:tcPr>
            <w:tcW w:w="1440" w:type="dxa"/>
            <w:vAlign w:val="bottom"/>
            <w:tcBorders>
              <w:bottom w:val="single" w:sz="8" w:color="auto"/>
            </w:tcBorders>
          </w:tcPr>
          <w:p>
            <w:pPr>
              <w:jc w:val="right"/>
              <w:ind w:right="209"/>
              <w:spacing w:after="0" w:line="157" w:lineRule="exact"/>
              <w:rPr>
                <w:sz w:val="20"/>
                <w:szCs w:val="20"/>
                <w:color w:val="auto"/>
              </w:rPr>
            </w:pPr>
            <w:r>
              <w:rPr>
                <w:rFonts w:ascii="Arial" w:cs="Arial" w:eastAsia="Arial" w:hAnsi="Arial"/>
                <w:sz w:val="14"/>
                <w:szCs w:val="14"/>
                <w:color w:val="auto"/>
              </w:rPr>
              <w:t>(69)</w:t>
            </w:r>
          </w:p>
        </w:tc>
      </w:tr>
      <w:tr>
        <w:trPr>
          <w:trHeight w:val="156"/>
        </w:trPr>
        <w:tc>
          <w:tcPr>
            <w:tcW w:w="6960" w:type="dxa"/>
            <w:vAlign w:val="bottom"/>
            <w:tcBorders>
              <w:bottom w:val="single" w:sz="8" w:color="auto"/>
            </w:tcBorders>
          </w:tcPr>
          <w:p>
            <w:pPr>
              <w:spacing w:after="0" w:line="155" w:lineRule="exact"/>
              <w:rPr>
                <w:sz w:val="20"/>
                <w:szCs w:val="20"/>
                <w:color w:val="auto"/>
              </w:rPr>
            </w:pPr>
            <w:r>
              <w:rPr>
                <w:rFonts w:ascii="Arial" w:cs="Arial" w:eastAsia="Arial" w:hAnsi="Arial"/>
                <w:sz w:val="14"/>
                <w:szCs w:val="14"/>
                <w:color w:val="auto"/>
              </w:rPr>
              <w:t>At December 31</w:t>
            </w:r>
          </w:p>
        </w:tc>
        <w:tc>
          <w:tcPr>
            <w:tcW w:w="1300" w:type="dxa"/>
            <w:vAlign w:val="bottom"/>
            <w:tcBorders>
              <w:bottom w:val="single" w:sz="8" w:color="auto"/>
            </w:tcBorders>
            <w:shd w:val="clear" w:color="auto" w:fill="D8D8D8"/>
          </w:tcPr>
          <w:p>
            <w:pPr>
              <w:jc w:val="right"/>
              <w:ind w:right="269"/>
              <w:spacing w:after="0" w:line="155" w:lineRule="exact"/>
              <w:rPr>
                <w:sz w:val="20"/>
                <w:szCs w:val="20"/>
                <w:color w:val="auto"/>
              </w:rPr>
            </w:pPr>
            <w:r>
              <w:rPr>
                <w:rFonts w:ascii="Arial" w:cs="Arial" w:eastAsia="Arial" w:hAnsi="Arial"/>
                <w:sz w:val="14"/>
                <w:szCs w:val="14"/>
                <w:color w:val="auto"/>
              </w:rPr>
              <w:t>8,465</w:t>
            </w:r>
          </w:p>
        </w:tc>
        <w:tc>
          <w:tcPr>
            <w:tcW w:w="1720" w:type="dxa"/>
            <w:vAlign w:val="bottom"/>
            <w:tcBorders>
              <w:bottom w:val="single" w:sz="8" w:color="auto"/>
            </w:tcBorders>
          </w:tcPr>
          <w:p>
            <w:pPr>
              <w:jc w:val="right"/>
              <w:ind w:right="329"/>
              <w:spacing w:after="0" w:line="155" w:lineRule="exact"/>
              <w:rPr>
                <w:sz w:val="20"/>
                <w:szCs w:val="20"/>
                <w:color w:val="auto"/>
              </w:rPr>
            </w:pPr>
            <w:r>
              <w:rPr>
                <w:rFonts w:ascii="Arial" w:cs="Arial" w:eastAsia="Arial" w:hAnsi="Arial"/>
                <w:sz w:val="14"/>
                <w:szCs w:val="14"/>
                <w:color w:val="auto"/>
              </w:rPr>
              <w:t>8,377</w:t>
            </w:r>
          </w:p>
        </w:tc>
        <w:tc>
          <w:tcPr>
            <w:tcW w:w="1440" w:type="dxa"/>
            <w:vAlign w:val="bottom"/>
            <w:tcBorders>
              <w:bottom w:val="single" w:sz="8" w:color="auto"/>
            </w:tcBorders>
          </w:tcPr>
          <w:p>
            <w:pPr>
              <w:jc w:val="right"/>
              <w:ind w:right="269"/>
              <w:spacing w:after="0" w:line="155" w:lineRule="exact"/>
              <w:rPr>
                <w:sz w:val="20"/>
                <w:szCs w:val="20"/>
                <w:color w:val="auto"/>
              </w:rPr>
            </w:pPr>
            <w:r>
              <w:rPr>
                <w:rFonts w:ascii="Arial" w:cs="Arial" w:eastAsia="Arial" w:hAnsi="Arial"/>
                <w:sz w:val="14"/>
                <w:szCs w:val="14"/>
                <w:color w:val="auto"/>
              </w:rPr>
              <w:t>7,886</w:t>
            </w:r>
          </w:p>
        </w:tc>
      </w:tr>
    </w:tbl>
    <w:p>
      <w:pPr>
        <w:spacing w:after="0" w:line="194" w:lineRule="exact"/>
        <w:rPr>
          <w:sz w:val="20"/>
          <w:szCs w:val="20"/>
          <w:color w:val="auto"/>
        </w:rPr>
      </w:pPr>
    </w:p>
    <w:p>
      <w:pPr>
        <w:jc w:val="both"/>
        <w:ind w:right="160"/>
        <w:spacing w:after="0" w:line="250" w:lineRule="auto"/>
        <w:rPr>
          <w:sz w:val="20"/>
          <w:szCs w:val="20"/>
          <w:color w:val="auto"/>
        </w:rPr>
      </w:pPr>
      <w:r>
        <w:rPr>
          <w:rFonts w:ascii="Arial" w:cs="Arial" w:eastAsia="Arial" w:hAnsi="Arial"/>
          <w:sz w:val="14"/>
          <w:szCs w:val="14"/>
          <w:color w:val="auto"/>
        </w:rPr>
        <w:t>Exploration drilling costs capitalised for periods greater than one year at December 31, 2014, analysed according to the most recent year of activity, are presented in the table on the next page. They comprise $871 million relating to 16 projects where drilling activities were underway or firmly planned for the future and $3,456 million relating to 37 projects awaiting development concepts.</w:t>
      </w:r>
    </w:p>
    <w:p>
      <w:pPr>
        <w:sectPr>
          <w:pgSz w:w="11900" w:h="16838" w:orient="portrait"/>
          <w:cols w:equalWidth="0" w:num="1">
            <w:col w:w="11420"/>
          </w:cols>
          <w:pgMar w:left="240" w:top="459" w:right="239" w:bottom="1440" w:gutter="0" w:footer="0" w:header="0"/>
        </w:sectPr>
      </w:pPr>
    </w:p>
    <w:bookmarkStart w:id="123" w:name="page124"/>
    <w:bookmarkEnd w:id="1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300355</wp:posOffset>
            </wp:positionV>
            <wp:extent cx="8890" cy="46291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8890" cy="462915"/>
                    </a:xfrm>
                    <a:prstGeom prst="rect">
                      <a:avLst/>
                    </a:prstGeom>
                    <a:noFill/>
                  </pic:spPr>
                </pic:pic>
              </a:graphicData>
            </a:graphic>
          </wp:anchor>
        </w:drawing>
      </w:r>
    </w:p>
    <w:p>
      <w:pPr>
        <w:spacing w:after="0" w:line="200" w:lineRule="exact"/>
        <w:rPr>
          <w:sz w:val="20"/>
          <w:szCs w:val="20"/>
          <w:color w:val="auto"/>
        </w:rPr>
      </w:pP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565"/>
        </w:trPr>
        <w:tc>
          <w:tcPr>
            <w:tcW w:w="1780" w:type="dxa"/>
            <w:vAlign w:val="bottom"/>
            <w:shd w:val="clear" w:color="auto" w:fill="FF8B00"/>
          </w:tcPr>
          <w:p>
            <w:pPr>
              <w:ind w:left="260"/>
              <w:spacing w:after="0"/>
              <w:rPr>
                <w:sz w:val="20"/>
                <w:szCs w:val="20"/>
                <w:color w:val="auto"/>
              </w:rPr>
            </w:pPr>
            <w:r>
              <w:rPr>
                <w:rFonts w:ascii="Arial" w:cs="Arial" w:eastAsia="Arial" w:hAnsi="Arial"/>
                <w:sz w:val="11"/>
                <w:szCs w:val="11"/>
                <w:b w:val="1"/>
                <w:bCs w:val="1"/>
                <w:color w:val="333333"/>
              </w:rPr>
              <w:t>122</w:t>
            </w:r>
          </w:p>
        </w:tc>
        <w:tc>
          <w:tcPr>
            <w:tcW w:w="3020" w:type="dxa"/>
            <w:vAlign w:val="bottom"/>
            <w:gridSpan w:val="2"/>
            <w:shd w:val="clear" w:color="auto" w:fill="FF8B00"/>
          </w:tcPr>
          <w:p>
            <w:pPr>
              <w:jc w:val="right"/>
              <w:ind w:right="20"/>
              <w:spacing w:after="0"/>
              <w:rPr>
                <w:sz w:val="20"/>
                <w:szCs w:val="20"/>
                <w:color w:val="auto"/>
              </w:rPr>
            </w:pPr>
            <w:r>
              <w:rPr>
                <w:rFonts w:ascii="Arial" w:cs="Arial" w:eastAsia="Arial" w:hAnsi="Arial"/>
                <w:sz w:val="13"/>
                <w:szCs w:val="13"/>
                <w:color w:val="333333"/>
              </w:rPr>
              <w:t>FINANCIAL STATEMENTS AND SUPPLEMENTS</w:t>
            </w:r>
          </w:p>
        </w:tc>
        <w:tc>
          <w:tcPr>
            <w:tcW w:w="560" w:type="dxa"/>
            <w:vAlign w:val="bottom"/>
            <w:shd w:val="clear" w:color="auto" w:fill="FF8B00"/>
          </w:tcPr>
          <w:p>
            <w:pPr>
              <w:spacing w:after="0"/>
              <w:rPr>
                <w:sz w:val="24"/>
                <w:szCs w:val="24"/>
                <w:color w:val="auto"/>
              </w:rPr>
            </w:pPr>
          </w:p>
        </w:tc>
        <w:tc>
          <w:tcPr>
            <w:tcW w:w="220" w:type="dxa"/>
            <w:vAlign w:val="bottom"/>
            <w:tcBorders>
              <w:right w:val="single" w:sz="8" w:color="FF8B00"/>
            </w:tcBorders>
            <w:shd w:val="clear" w:color="auto" w:fill="FF8B00"/>
          </w:tcPr>
          <w:p>
            <w:pPr>
              <w:spacing w:after="0"/>
              <w:rPr>
                <w:sz w:val="24"/>
                <w:szCs w:val="24"/>
                <w:color w:val="auto"/>
              </w:rPr>
            </w:pPr>
          </w:p>
        </w:tc>
        <w:tc>
          <w:tcPr>
            <w:tcW w:w="6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5"/>
        </w:trPr>
        <w:tc>
          <w:tcPr>
            <w:tcW w:w="1780" w:type="dxa"/>
            <w:vAlign w:val="bottom"/>
            <w:shd w:val="clear" w:color="auto" w:fill="FF8B00"/>
          </w:tcPr>
          <w:p>
            <w:pPr>
              <w:spacing w:after="0"/>
              <w:rPr>
                <w:sz w:val="14"/>
                <w:szCs w:val="14"/>
                <w:color w:val="auto"/>
              </w:rPr>
            </w:pPr>
          </w:p>
        </w:tc>
        <w:tc>
          <w:tcPr>
            <w:tcW w:w="2860" w:type="dxa"/>
            <w:vAlign w:val="bottom"/>
            <w:shd w:val="clear" w:color="auto" w:fill="FF8B00"/>
          </w:tcPr>
          <w:p>
            <w:pPr>
              <w:spacing w:after="0"/>
              <w:rPr>
                <w:sz w:val="14"/>
                <w:szCs w:val="14"/>
                <w:color w:val="auto"/>
              </w:rPr>
            </w:pPr>
          </w:p>
        </w:tc>
        <w:tc>
          <w:tcPr>
            <w:tcW w:w="160" w:type="dxa"/>
            <w:vAlign w:val="bottom"/>
            <w:shd w:val="clear" w:color="auto" w:fill="FF8B00"/>
          </w:tcPr>
          <w:p>
            <w:pPr>
              <w:spacing w:after="0"/>
              <w:rPr>
                <w:sz w:val="14"/>
                <w:szCs w:val="14"/>
                <w:color w:val="auto"/>
              </w:rPr>
            </w:pPr>
          </w:p>
        </w:tc>
        <w:tc>
          <w:tcPr>
            <w:tcW w:w="560" w:type="dxa"/>
            <w:vAlign w:val="bottom"/>
            <w:shd w:val="clear" w:color="auto" w:fill="FF8B00"/>
          </w:tcPr>
          <w:p>
            <w:pPr>
              <w:spacing w:after="0"/>
              <w:rPr>
                <w:sz w:val="14"/>
                <w:szCs w:val="14"/>
                <w:color w:val="auto"/>
              </w:rPr>
            </w:pPr>
          </w:p>
        </w:tc>
        <w:tc>
          <w:tcPr>
            <w:tcW w:w="220" w:type="dxa"/>
            <w:vAlign w:val="bottom"/>
            <w:tcBorders>
              <w:right w:val="single" w:sz="8" w:color="FF8B00"/>
            </w:tcBorders>
            <w:shd w:val="clear" w:color="auto" w:fill="FF8B00"/>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vMerge w:val="restart"/>
          </w:tcPr>
          <w:p>
            <w:pPr>
              <w:spacing w:after="0"/>
              <w:rPr>
                <w:sz w:val="14"/>
                <w:szCs w:val="14"/>
                <w:color w:val="auto"/>
              </w:rPr>
            </w:pPr>
          </w:p>
        </w:tc>
        <w:tc>
          <w:tcPr>
            <w:tcW w:w="60" w:type="dxa"/>
            <w:vAlign w:val="bottom"/>
            <w:vMerge w:val="restart"/>
          </w:tcPr>
          <w:p>
            <w:pPr>
              <w:spacing w:after="0"/>
              <w:rPr>
                <w:sz w:val="14"/>
                <w:szCs w:val="14"/>
                <w:color w:val="auto"/>
              </w:rPr>
            </w:pPr>
          </w:p>
        </w:tc>
        <w:tc>
          <w:tcPr>
            <w:tcW w:w="2540" w:type="dxa"/>
            <w:vAlign w:val="bottom"/>
            <w:gridSpan w:val="6"/>
            <w:vMerge w:val="restart"/>
          </w:tcPr>
          <w:p>
            <w:pPr>
              <w:ind w:left="120"/>
              <w:spacing w:after="0"/>
              <w:rPr>
                <w:sz w:val="20"/>
                <w:szCs w:val="20"/>
                <w:color w:val="auto"/>
              </w:rPr>
            </w:pPr>
            <w:r>
              <w:rPr>
                <w:rFonts w:ascii="Arial" w:cs="Arial" w:eastAsia="Arial" w:hAnsi="Arial"/>
                <w:sz w:val="11"/>
                <w:szCs w:val="11"/>
                <w:color w:val="auto"/>
                <w:w w:val="97"/>
              </w:rPr>
              <w:t>SHELL ANNUAL REPORT AND FORM 20-F 2014</w:t>
            </w:r>
          </w:p>
        </w:tc>
        <w:tc>
          <w:tcPr>
            <w:tcW w:w="0" w:type="dxa"/>
            <w:vAlign w:val="bottom"/>
          </w:tcPr>
          <w:p>
            <w:pPr>
              <w:spacing w:after="0"/>
              <w:rPr>
                <w:sz w:val="1"/>
                <w:szCs w:val="1"/>
                <w:color w:val="auto"/>
              </w:rPr>
            </w:pPr>
          </w:p>
        </w:tc>
      </w:tr>
      <w:tr>
        <w:trPr>
          <w:trHeight w:val="130"/>
        </w:trPr>
        <w:tc>
          <w:tcPr>
            <w:tcW w:w="1780" w:type="dxa"/>
            <w:vAlign w:val="bottom"/>
            <w:vMerge w:val="restart"/>
          </w:tcPr>
          <w:p>
            <w:pPr>
              <w:spacing w:after="0"/>
              <w:rPr>
                <w:sz w:val="20"/>
                <w:szCs w:val="20"/>
                <w:color w:val="auto"/>
              </w:rPr>
            </w:pPr>
            <w:r>
              <w:rPr>
                <w:rFonts w:ascii="Arial" w:cs="Arial" w:eastAsia="Arial" w:hAnsi="Arial"/>
                <w:sz w:val="11"/>
                <w:szCs w:val="11"/>
                <w:color w:val="auto"/>
              </w:rPr>
              <w:t>[Note 8 continued]</w:t>
            </w:r>
          </w:p>
        </w:tc>
        <w:tc>
          <w:tcPr>
            <w:tcW w:w="3020" w:type="dxa"/>
            <w:vAlign w:val="bottom"/>
            <w:gridSpan w:val="2"/>
          </w:tcPr>
          <w:p>
            <w:pPr>
              <w:jc w:val="right"/>
              <w:ind w:right="20"/>
              <w:spacing w:after="0"/>
              <w:rPr>
                <w:sz w:val="20"/>
                <w:szCs w:val="20"/>
                <w:color w:val="auto"/>
              </w:rPr>
            </w:pPr>
            <w:r>
              <w:rPr>
                <w:rFonts w:ascii="Arial" w:cs="Arial" w:eastAsia="Arial" w:hAnsi="Arial"/>
                <w:sz w:val="11"/>
                <w:szCs w:val="11"/>
                <w:color w:val="auto"/>
              </w:rPr>
              <w:t>CONSOLIDATED FINANCIAL STATEMENTS</w:t>
            </w: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vMerge w:val="continue"/>
          </w:tcPr>
          <w:p>
            <w:pPr>
              <w:spacing w:after="0"/>
              <w:rPr>
                <w:sz w:val="11"/>
                <w:szCs w:val="11"/>
                <w:color w:val="auto"/>
              </w:rPr>
            </w:pPr>
          </w:p>
        </w:tc>
        <w:tc>
          <w:tcPr>
            <w:tcW w:w="60" w:type="dxa"/>
            <w:vAlign w:val="bottom"/>
            <w:vMerge w:val="continue"/>
          </w:tcPr>
          <w:p>
            <w:pPr>
              <w:spacing w:after="0"/>
              <w:rPr>
                <w:sz w:val="11"/>
                <w:szCs w:val="11"/>
                <w:color w:val="auto"/>
              </w:rPr>
            </w:pPr>
          </w:p>
        </w:tc>
        <w:tc>
          <w:tcPr>
            <w:tcW w:w="2540" w:type="dxa"/>
            <w:vAlign w:val="bottom"/>
            <w:gridSpan w:val="6"/>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18"/>
        </w:trPr>
        <w:tc>
          <w:tcPr>
            <w:tcW w:w="1780" w:type="dxa"/>
            <w:vAlign w:val="bottom"/>
            <w:vMerge w:val="continue"/>
          </w:tcPr>
          <w:p>
            <w:pPr>
              <w:spacing w:after="0"/>
              <w:rPr>
                <w:sz w:val="10"/>
                <w:szCs w:val="10"/>
                <w:color w:val="auto"/>
              </w:rPr>
            </w:pPr>
          </w:p>
        </w:tc>
        <w:tc>
          <w:tcPr>
            <w:tcW w:w="28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8"/>
        </w:trPr>
        <w:tc>
          <w:tcPr>
            <w:tcW w:w="1780" w:type="dxa"/>
            <w:vAlign w:val="bottom"/>
          </w:tcPr>
          <w:p>
            <w:pPr>
              <w:spacing w:after="0"/>
              <w:rPr>
                <w:sz w:val="20"/>
                <w:szCs w:val="20"/>
                <w:color w:val="auto"/>
              </w:rPr>
            </w:pPr>
          </w:p>
        </w:tc>
        <w:tc>
          <w:tcPr>
            <w:tcW w:w="28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440" w:type="dxa"/>
            <w:vAlign w:val="bottom"/>
            <w:gridSpan w:val="3"/>
          </w:tcPr>
          <w:p>
            <w:pPr>
              <w:spacing w:after="0"/>
              <w:rPr>
                <w:sz w:val="20"/>
                <w:szCs w:val="20"/>
                <w:color w:val="auto"/>
              </w:rPr>
            </w:pPr>
          </w:p>
        </w:tc>
        <w:tc>
          <w:tcPr>
            <w:tcW w:w="0" w:type="dxa"/>
            <w:vAlign w:val="bottom"/>
          </w:tcPr>
          <w:p>
            <w:pPr>
              <w:spacing w:after="0"/>
              <w:rPr>
                <w:sz w:val="1"/>
                <w:szCs w:val="1"/>
                <w:color w:val="auto"/>
              </w:rPr>
            </w:pPr>
          </w:p>
        </w:tc>
      </w:tr>
      <w:tr>
        <w:trPr>
          <w:trHeight w:val="162"/>
        </w:trPr>
        <w:tc>
          <w:tcPr>
            <w:tcW w:w="1780" w:type="dxa"/>
            <w:vAlign w:val="bottom"/>
            <w:shd w:val="clear" w:color="auto" w:fill="333333"/>
          </w:tcPr>
          <w:p>
            <w:pPr>
              <w:spacing w:after="0"/>
              <w:rPr>
                <w:sz w:val="14"/>
                <w:szCs w:val="14"/>
                <w:color w:val="auto"/>
              </w:rPr>
            </w:pPr>
          </w:p>
        </w:tc>
        <w:tc>
          <w:tcPr>
            <w:tcW w:w="2860" w:type="dxa"/>
            <w:vAlign w:val="bottom"/>
            <w:shd w:val="clear" w:color="auto" w:fill="333333"/>
          </w:tcPr>
          <w:p>
            <w:pPr>
              <w:spacing w:after="0"/>
              <w:rPr>
                <w:sz w:val="14"/>
                <w:szCs w:val="14"/>
                <w:color w:val="auto"/>
              </w:rPr>
            </w:pPr>
          </w:p>
        </w:tc>
        <w:tc>
          <w:tcPr>
            <w:tcW w:w="160" w:type="dxa"/>
            <w:vAlign w:val="bottom"/>
            <w:shd w:val="clear" w:color="auto" w:fill="333333"/>
          </w:tcPr>
          <w:p>
            <w:pPr>
              <w:spacing w:after="0"/>
              <w:rPr>
                <w:sz w:val="14"/>
                <w:szCs w:val="14"/>
                <w:color w:val="auto"/>
              </w:rPr>
            </w:pPr>
          </w:p>
        </w:tc>
        <w:tc>
          <w:tcPr>
            <w:tcW w:w="560" w:type="dxa"/>
            <w:vAlign w:val="bottom"/>
            <w:shd w:val="clear" w:color="auto" w:fill="333333"/>
          </w:tcPr>
          <w:p>
            <w:pPr>
              <w:spacing w:after="0"/>
              <w:rPr>
                <w:sz w:val="14"/>
                <w:szCs w:val="14"/>
                <w:color w:val="auto"/>
              </w:rPr>
            </w:pPr>
          </w:p>
        </w:tc>
        <w:tc>
          <w:tcPr>
            <w:tcW w:w="220" w:type="dxa"/>
            <w:vAlign w:val="bottom"/>
            <w:tcBorders>
              <w:right w:val="single" w:sz="8" w:color="333333"/>
            </w:tcBorders>
            <w:shd w:val="clear" w:color="auto" w:fill="333333"/>
          </w:tcPr>
          <w:p>
            <w:pPr>
              <w:spacing w:after="0"/>
              <w:rPr>
                <w:sz w:val="14"/>
                <w:szCs w:val="14"/>
                <w:color w:val="auto"/>
              </w:rPr>
            </w:pPr>
          </w:p>
        </w:tc>
        <w:tc>
          <w:tcPr>
            <w:tcW w:w="640" w:type="dxa"/>
            <w:vAlign w:val="bottom"/>
            <w:tcBorders>
              <w:right w:val="single" w:sz="8" w:color="333333"/>
            </w:tcBorders>
            <w:shd w:val="clear" w:color="auto" w:fill="333333"/>
          </w:tcPr>
          <w:p>
            <w:pPr>
              <w:spacing w:after="0"/>
              <w:rPr>
                <w:sz w:val="14"/>
                <w:szCs w:val="14"/>
                <w:color w:val="auto"/>
              </w:rPr>
            </w:pPr>
          </w:p>
        </w:tc>
        <w:tc>
          <w:tcPr>
            <w:tcW w:w="560" w:type="dxa"/>
            <w:vAlign w:val="bottom"/>
            <w:shd w:val="clear" w:color="auto" w:fill="333333"/>
          </w:tcPr>
          <w:p>
            <w:pPr>
              <w:spacing w:after="0"/>
              <w:rPr>
                <w:sz w:val="14"/>
                <w:szCs w:val="14"/>
                <w:color w:val="auto"/>
              </w:rPr>
            </w:pPr>
          </w:p>
        </w:tc>
        <w:tc>
          <w:tcPr>
            <w:tcW w:w="160" w:type="dxa"/>
            <w:vAlign w:val="bottom"/>
            <w:shd w:val="clear" w:color="auto" w:fill="333333"/>
          </w:tcPr>
          <w:p>
            <w:pPr>
              <w:spacing w:after="0"/>
              <w:rPr>
                <w:sz w:val="14"/>
                <w:szCs w:val="14"/>
                <w:color w:val="auto"/>
              </w:rPr>
            </w:pPr>
          </w:p>
        </w:tc>
        <w:tc>
          <w:tcPr>
            <w:tcW w:w="20" w:type="dxa"/>
            <w:vAlign w:val="bottom"/>
            <w:shd w:val="clear" w:color="auto" w:fill="333333"/>
          </w:tcPr>
          <w:p>
            <w:pPr>
              <w:spacing w:after="0"/>
              <w:rPr>
                <w:sz w:val="14"/>
                <w:szCs w:val="14"/>
                <w:color w:val="auto"/>
              </w:rPr>
            </w:pPr>
          </w:p>
        </w:tc>
        <w:tc>
          <w:tcPr>
            <w:tcW w:w="1000" w:type="dxa"/>
            <w:vAlign w:val="bottom"/>
            <w:shd w:val="clear" w:color="auto" w:fill="333333"/>
          </w:tcPr>
          <w:p>
            <w:pPr>
              <w:spacing w:after="0"/>
              <w:rPr>
                <w:sz w:val="14"/>
                <w:szCs w:val="14"/>
                <w:color w:val="auto"/>
              </w:rPr>
            </w:pPr>
          </w:p>
        </w:tc>
        <w:tc>
          <w:tcPr>
            <w:tcW w:w="180" w:type="dxa"/>
            <w:vAlign w:val="bottom"/>
            <w:shd w:val="clear" w:color="auto" w:fill="333333"/>
          </w:tcPr>
          <w:p>
            <w:pPr>
              <w:spacing w:after="0"/>
              <w:rPr>
                <w:sz w:val="14"/>
                <w:szCs w:val="14"/>
                <w:color w:val="auto"/>
              </w:rPr>
            </w:pPr>
          </w:p>
        </w:tc>
        <w:tc>
          <w:tcPr>
            <w:tcW w:w="300" w:type="dxa"/>
            <w:vAlign w:val="bottom"/>
            <w:shd w:val="clear" w:color="auto" w:fill="333333"/>
          </w:tcPr>
          <w:p>
            <w:pPr>
              <w:spacing w:after="0"/>
              <w:rPr>
                <w:sz w:val="14"/>
                <w:szCs w:val="14"/>
                <w:color w:val="auto"/>
              </w:rPr>
            </w:pPr>
          </w:p>
        </w:tc>
        <w:tc>
          <w:tcPr>
            <w:tcW w:w="220" w:type="dxa"/>
            <w:vAlign w:val="bottom"/>
            <w:shd w:val="clear" w:color="auto" w:fill="333333"/>
          </w:tcPr>
          <w:p>
            <w:pPr>
              <w:spacing w:after="0"/>
              <w:rPr>
                <w:sz w:val="14"/>
                <w:szCs w:val="14"/>
                <w:color w:val="auto"/>
              </w:rPr>
            </w:pPr>
          </w:p>
        </w:tc>
        <w:tc>
          <w:tcPr>
            <w:tcW w:w="180" w:type="dxa"/>
            <w:vAlign w:val="bottom"/>
            <w:shd w:val="clear" w:color="auto" w:fill="333333"/>
          </w:tcPr>
          <w:p>
            <w:pPr>
              <w:spacing w:after="0"/>
              <w:rPr>
                <w:sz w:val="14"/>
                <w:szCs w:val="14"/>
                <w:color w:val="auto"/>
              </w:rPr>
            </w:pPr>
          </w:p>
        </w:tc>
        <w:tc>
          <w:tcPr>
            <w:tcW w:w="60" w:type="dxa"/>
            <w:vAlign w:val="bottom"/>
            <w:shd w:val="clear" w:color="auto" w:fill="333333"/>
          </w:tcPr>
          <w:p>
            <w:pPr>
              <w:spacing w:after="0"/>
              <w:rPr>
                <w:sz w:val="14"/>
                <w:szCs w:val="14"/>
                <w:color w:val="auto"/>
              </w:rPr>
            </w:pPr>
          </w:p>
        </w:tc>
        <w:tc>
          <w:tcPr>
            <w:tcW w:w="220" w:type="dxa"/>
            <w:vAlign w:val="bottom"/>
            <w:shd w:val="clear" w:color="auto" w:fill="333333"/>
          </w:tcPr>
          <w:p>
            <w:pPr>
              <w:spacing w:after="0"/>
              <w:rPr>
                <w:sz w:val="14"/>
                <w:szCs w:val="14"/>
                <w:color w:val="auto"/>
              </w:rPr>
            </w:pPr>
          </w:p>
        </w:tc>
        <w:tc>
          <w:tcPr>
            <w:tcW w:w="160" w:type="dxa"/>
            <w:vAlign w:val="bottom"/>
            <w:shd w:val="clear" w:color="auto" w:fill="333333"/>
          </w:tcPr>
          <w:p>
            <w:pPr>
              <w:spacing w:after="0"/>
              <w:rPr>
                <w:sz w:val="14"/>
                <w:szCs w:val="14"/>
                <w:color w:val="auto"/>
              </w:rPr>
            </w:pPr>
          </w:p>
        </w:tc>
        <w:tc>
          <w:tcPr>
            <w:tcW w:w="720" w:type="dxa"/>
            <w:vAlign w:val="bottom"/>
            <w:shd w:val="clear" w:color="auto" w:fill="333333"/>
          </w:tcPr>
          <w:p>
            <w:pPr>
              <w:spacing w:after="0"/>
              <w:rPr>
                <w:sz w:val="14"/>
                <w:szCs w:val="14"/>
                <w:color w:val="auto"/>
              </w:rPr>
            </w:pPr>
          </w:p>
        </w:tc>
        <w:tc>
          <w:tcPr>
            <w:tcW w:w="1420" w:type="dxa"/>
            <w:vAlign w:val="bottom"/>
            <w:gridSpan w:val="2"/>
            <w:shd w:val="clear" w:color="auto" w:fill="333333"/>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78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0" w:type="dxa"/>
            <w:vAlign w:val="bottom"/>
          </w:tcPr>
          <w:p>
            <w:pPr>
              <w:jc w:val="right"/>
              <w:ind w:right="95"/>
              <w:spacing w:after="0"/>
              <w:rPr>
                <w:sz w:val="20"/>
                <w:szCs w:val="20"/>
                <w:color w:val="auto"/>
              </w:rPr>
            </w:pPr>
            <w:r>
              <w:rPr>
                <w:rFonts w:ascii="Arial" w:cs="Arial" w:eastAsia="Arial" w:hAnsi="Arial"/>
                <w:sz w:val="13"/>
                <w:szCs w:val="13"/>
                <w:color w:val="auto"/>
              </w:rPr>
              <w:t>Projects</w:t>
            </w:r>
          </w:p>
        </w:tc>
        <w:tc>
          <w:tcPr>
            <w:tcW w:w="1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40" w:type="dxa"/>
            <w:vAlign w:val="bottom"/>
            <w:gridSpan w:val="3"/>
          </w:tcPr>
          <w:p>
            <w:pPr>
              <w:jc w:val="right"/>
              <w:ind w:right="360"/>
              <w:spacing w:after="0"/>
              <w:rPr>
                <w:sz w:val="20"/>
                <w:szCs w:val="20"/>
                <w:color w:val="auto"/>
              </w:rPr>
            </w:pPr>
            <w:r>
              <w:rPr>
                <w:rFonts w:ascii="Arial" w:cs="Arial" w:eastAsia="Arial" w:hAnsi="Arial"/>
                <w:sz w:val="13"/>
                <w:szCs w:val="13"/>
                <w:color w:val="auto"/>
              </w:rPr>
              <w:t>Wells</w:t>
            </w:r>
          </w:p>
        </w:tc>
        <w:tc>
          <w:tcPr>
            <w:tcW w:w="0" w:type="dxa"/>
            <w:vAlign w:val="bottom"/>
          </w:tcPr>
          <w:p>
            <w:pPr>
              <w:spacing w:after="0"/>
              <w:rPr>
                <w:sz w:val="1"/>
                <w:szCs w:val="1"/>
                <w:color w:val="auto"/>
              </w:rPr>
            </w:pPr>
          </w:p>
        </w:tc>
      </w:tr>
      <w:tr>
        <w:trPr>
          <w:trHeight w:val="129"/>
        </w:trPr>
        <w:tc>
          <w:tcPr>
            <w:tcW w:w="1780" w:type="dxa"/>
            <w:vAlign w:val="bottom"/>
            <w:tcBorders>
              <w:bottom w:val="single" w:sz="8" w:color="auto"/>
            </w:tcBorders>
          </w:tcPr>
          <w:p>
            <w:pPr>
              <w:spacing w:after="0"/>
              <w:rPr>
                <w:sz w:val="11"/>
                <w:szCs w:val="11"/>
                <w:color w:val="auto"/>
              </w:rPr>
            </w:pPr>
          </w:p>
        </w:tc>
        <w:tc>
          <w:tcPr>
            <w:tcW w:w="286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640" w:type="dxa"/>
            <w:vAlign w:val="bottom"/>
            <w:tcBorders>
              <w:top w:val="single" w:sz="8" w:color="auto"/>
              <w:bottom w:val="single" w:sz="8" w:color="auto"/>
            </w:tcBorders>
          </w:tcPr>
          <w:p>
            <w:pPr>
              <w:spacing w:after="0"/>
              <w:rPr>
                <w:sz w:val="11"/>
                <w:szCs w:val="11"/>
                <w:color w:val="auto"/>
              </w:rPr>
            </w:pPr>
          </w:p>
        </w:tc>
        <w:tc>
          <w:tcPr>
            <w:tcW w:w="720" w:type="dxa"/>
            <w:vAlign w:val="bottom"/>
            <w:tcBorders>
              <w:top w:val="single" w:sz="8" w:color="auto"/>
              <w:bottom w:val="single" w:sz="8" w:color="auto"/>
            </w:tcBorders>
            <w:gridSpan w:val="2"/>
          </w:tcPr>
          <w:p>
            <w:pPr>
              <w:jc w:val="right"/>
              <w:ind w:right="220"/>
              <w:spacing w:after="0" w:line="129" w:lineRule="exact"/>
              <w:rPr>
                <w:sz w:val="20"/>
                <w:szCs w:val="20"/>
                <w:color w:val="auto"/>
              </w:rPr>
            </w:pPr>
            <w:r>
              <w:rPr>
                <w:rFonts w:ascii="Arial" w:cs="Arial" w:eastAsia="Arial" w:hAnsi="Arial"/>
                <w:sz w:val="13"/>
                <w:szCs w:val="13"/>
                <w:color w:val="auto"/>
              </w:rPr>
              <w:t>Number</w:t>
            </w:r>
          </w:p>
        </w:tc>
        <w:tc>
          <w:tcPr>
            <w:tcW w:w="20" w:type="dxa"/>
            <w:vAlign w:val="bottom"/>
            <w:tcBorders>
              <w:top w:val="single" w:sz="8" w:color="auto"/>
              <w:bottom w:val="single" w:sz="8" w:color="auto"/>
            </w:tcBorders>
          </w:tcPr>
          <w:p>
            <w:pPr>
              <w:spacing w:after="0"/>
              <w:rPr>
                <w:sz w:val="11"/>
                <w:szCs w:val="11"/>
                <w:color w:val="auto"/>
              </w:rPr>
            </w:pPr>
          </w:p>
        </w:tc>
        <w:tc>
          <w:tcPr>
            <w:tcW w:w="1000" w:type="dxa"/>
            <w:vAlign w:val="bottom"/>
            <w:tcBorders>
              <w:top w:val="single" w:sz="8" w:color="auto"/>
              <w:bottom w:val="single" w:sz="8" w:color="auto"/>
            </w:tcBorders>
          </w:tcPr>
          <w:p>
            <w:pPr>
              <w:jc w:val="right"/>
              <w:ind w:right="95"/>
              <w:spacing w:after="0" w:line="129" w:lineRule="exact"/>
              <w:rPr>
                <w:sz w:val="20"/>
                <w:szCs w:val="20"/>
                <w:color w:val="auto"/>
              </w:rPr>
            </w:pPr>
            <w:r>
              <w:rPr>
                <w:rFonts w:ascii="Arial" w:cs="Arial" w:eastAsia="Arial" w:hAnsi="Arial"/>
                <w:sz w:val="13"/>
                <w:szCs w:val="13"/>
                <w:color w:val="auto"/>
              </w:rPr>
              <w:t>$ MILLION</w:t>
            </w:r>
          </w:p>
        </w:tc>
        <w:tc>
          <w:tcPr>
            <w:tcW w:w="180" w:type="dxa"/>
            <w:vAlign w:val="bottom"/>
            <w:tcBorders>
              <w:top w:val="single" w:sz="8" w:color="auto"/>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60" w:type="dxa"/>
            <w:vAlign w:val="bottom"/>
            <w:tcBorders>
              <w:top w:val="single" w:sz="8" w:color="auto"/>
              <w:bottom w:val="single" w:sz="8" w:color="auto"/>
            </w:tcBorders>
          </w:tcPr>
          <w:p>
            <w:pPr>
              <w:spacing w:after="0"/>
              <w:rPr>
                <w:sz w:val="11"/>
                <w:szCs w:val="11"/>
                <w:color w:val="auto"/>
              </w:rPr>
            </w:pPr>
          </w:p>
        </w:tc>
        <w:tc>
          <w:tcPr>
            <w:tcW w:w="220" w:type="dxa"/>
            <w:vAlign w:val="bottom"/>
            <w:tcBorders>
              <w:top w:val="single" w:sz="8" w:color="auto"/>
              <w:bottom w:val="single" w:sz="8" w:color="auto"/>
            </w:tcBorders>
          </w:tcPr>
          <w:p>
            <w:pPr>
              <w:spacing w:after="0"/>
              <w:rPr>
                <w:sz w:val="11"/>
                <w:szCs w:val="11"/>
                <w:color w:val="auto"/>
              </w:rPr>
            </w:pPr>
          </w:p>
        </w:tc>
        <w:tc>
          <w:tcPr>
            <w:tcW w:w="160" w:type="dxa"/>
            <w:vAlign w:val="bottom"/>
            <w:tcBorders>
              <w:top w:val="single" w:sz="8" w:color="auto"/>
              <w:bottom w:val="single" w:sz="8" w:color="auto"/>
            </w:tcBorders>
          </w:tcPr>
          <w:p>
            <w:pPr>
              <w:spacing w:after="0"/>
              <w:rPr>
                <w:sz w:val="11"/>
                <w:szCs w:val="11"/>
                <w:color w:val="auto"/>
              </w:rPr>
            </w:pPr>
          </w:p>
        </w:tc>
        <w:tc>
          <w:tcPr>
            <w:tcW w:w="72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Number</w:t>
            </w:r>
          </w:p>
        </w:tc>
        <w:tc>
          <w:tcPr>
            <w:tcW w:w="1420" w:type="dxa"/>
            <w:vAlign w:val="bottom"/>
            <w:tcBorders>
              <w:top w:val="single" w:sz="8" w:color="auto"/>
              <w:bottom w:val="single" w:sz="8" w:color="auto"/>
            </w:tcBorders>
            <w:gridSpan w:val="2"/>
          </w:tcPr>
          <w:p>
            <w:pPr>
              <w:jc w:val="right"/>
              <w:ind w:right="271"/>
              <w:spacing w:after="0" w:line="129" w:lineRule="exact"/>
              <w:rPr>
                <w:sz w:val="20"/>
                <w:szCs w:val="20"/>
                <w:color w:val="auto"/>
              </w:rPr>
            </w:pPr>
            <w:r>
              <w:rPr>
                <w:rFonts w:ascii="Arial" w:cs="Arial" w:eastAsia="Arial" w:hAnsi="Arial"/>
                <w:sz w:val="13"/>
                <w:szCs w:val="13"/>
                <w:color w:val="auto"/>
              </w:rPr>
              <w:t>$ MILLION</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1780" w:type="dxa"/>
            <w:vAlign w:val="bottom"/>
          </w:tcPr>
          <w:p>
            <w:pPr>
              <w:spacing w:after="0"/>
              <w:rPr>
                <w:sz w:val="20"/>
                <w:szCs w:val="20"/>
                <w:color w:val="auto"/>
              </w:rPr>
            </w:pPr>
            <w:r>
              <w:rPr>
                <w:rFonts w:ascii="Arial" w:cs="Arial" w:eastAsia="Arial" w:hAnsi="Arial"/>
                <w:sz w:val="14"/>
                <w:szCs w:val="14"/>
                <w:color w:val="auto"/>
              </w:rPr>
              <w:t>Between 1 and 5 years</w:t>
            </w:r>
          </w:p>
        </w:tc>
        <w:tc>
          <w:tcPr>
            <w:tcW w:w="28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45</w:t>
            </w:r>
          </w:p>
        </w:tc>
        <w:tc>
          <w:tcPr>
            <w:tcW w:w="160" w:type="dxa"/>
            <w:vAlign w:val="bottom"/>
          </w:tcPr>
          <w:p>
            <w:pPr>
              <w:spacing w:after="0"/>
              <w:rPr>
                <w:sz w:val="13"/>
                <w:szCs w:val="13"/>
                <w:color w:val="auto"/>
              </w:rPr>
            </w:pPr>
          </w:p>
        </w:tc>
        <w:tc>
          <w:tcPr>
            <w:tcW w:w="1020" w:type="dxa"/>
            <w:vAlign w:val="bottom"/>
            <w:gridSpan w:val="2"/>
          </w:tcPr>
          <w:p>
            <w:pPr>
              <w:jc w:val="right"/>
              <w:ind w:right="95"/>
              <w:spacing w:after="0"/>
              <w:rPr>
                <w:sz w:val="20"/>
                <w:szCs w:val="20"/>
                <w:color w:val="auto"/>
              </w:rPr>
            </w:pPr>
            <w:r>
              <w:rPr>
                <w:rFonts w:ascii="Arial" w:cs="Arial" w:eastAsia="Arial" w:hAnsi="Arial"/>
                <w:sz w:val="14"/>
                <w:szCs w:val="14"/>
                <w:color w:val="auto"/>
              </w:rPr>
              <w:t>4,046</w:t>
            </w:r>
          </w:p>
        </w:tc>
        <w:tc>
          <w:tcPr>
            <w:tcW w:w="1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80" w:type="dxa"/>
            <w:vAlign w:val="bottom"/>
            <w:gridSpan w:val="2"/>
          </w:tcPr>
          <w:p>
            <w:pPr>
              <w:jc w:val="right"/>
              <w:spacing w:after="0"/>
              <w:rPr>
                <w:sz w:val="20"/>
                <w:szCs w:val="20"/>
                <w:color w:val="auto"/>
              </w:rPr>
            </w:pPr>
            <w:r>
              <w:rPr>
                <w:rFonts w:ascii="Arial" w:cs="Arial" w:eastAsia="Arial" w:hAnsi="Arial"/>
                <w:sz w:val="14"/>
                <w:szCs w:val="14"/>
                <w:color w:val="auto"/>
              </w:rPr>
              <w:t>195</w:t>
            </w:r>
          </w:p>
        </w:tc>
        <w:tc>
          <w:tcPr>
            <w:tcW w:w="1420" w:type="dxa"/>
            <w:vAlign w:val="bottom"/>
            <w:gridSpan w:val="2"/>
          </w:tcPr>
          <w:p>
            <w:pPr>
              <w:jc w:val="right"/>
              <w:ind w:right="271"/>
              <w:spacing w:after="0"/>
              <w:rPr>
                <w:sz w:val="20"/>
                <w:szCs w:val="20"/>
                <w:color w:val="auto"/>
              </w:rPr>
            </w:pPr>
            <w:r>
              <w:rPr>
                <w:rFonts w:ascii="Arial" w:cs="Arial" w:eastAsia="Arial" w:hAnsi="Arial"/>
                <w:sz w:val="14"/>
                <w:szCs w:val="14"/>
                <w:color w:val="auto"/>
              </w:rPr>
              <w:t>3,520</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1780" w:type="dxa"/>
            <w:vAlign w:val="bottom"/>
            <w:tcBorders>
              <w:bottom w:val="single" w:sz="8" w:color="auto"/>
            </w:tcBorders>
          </w:tcPr>
          <w:p>
            <w:pPr>
              <w:spacing w:after="0" w:line="157" w:lineRule="exact"/>
              <w:rPr>
                <w:sz w:val="20"/>
                <w:szCs w:val="20"/>
                <w:color w:val="auto"/>
              </w:rPr>
            </w:pPr>
            <w:r>
              <w:rPr>
                <w:rFonts w:ascii="Arial" w:cs="Arial" w:eastAsia="Arial" w:hAnsi="Arial"/>
                <w:sz w:val="14"/>
                <w:szCs w:val="14"/>
                <w:color w:val="auto"/>
              </w:rPr>
              <w:t>Between 6 and 15 years</w:t>
            </w:r>
          </w:p>
        </w:tc>
        <w:tc>
          <w:tcPr>
            <w:tcW w:w="286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spacing w:after="0" w:line="157" w:lineRule="exact"/>
              <w:rPr>
                <w:sz w:val="20"/>
                <w:szCs w:val="20"/>
                <w:color w:val="auto"/>
              </w:rPr>
            </w:pPr>
            <w:r>
              <w:rPr>
                <w:rFonts w:ascii="Arial" w:cs="Arial" w:eastAsia="Arial" w:hAnsi="Arial"/>
                <w:sz w:val="14"/>
                <w:szCs w:val="14"/>
                <w:color w:val="auto"/>
              </w:rPr>
              <w:t>8</w:t>
            </w:r>
          </w:p>
        </w:tc>
        <w:tc>
          <w:tcPr>
            <w:tcW w:w="16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gridSpan w:val="2"/>
          </w:tcPr>
          <w:p>
            <w:pPr>
              <w:jc w:val="right"/>
              <w:ind w:right="95"/>
              <w:spacing w:after="0" w:line="157" w:lineRule="exact"/>
              <w:rPr>
                <w:sz w:val="20"/>
                <w:szCs w:val="20"/>
                <w:color w:val="auto"/>
              </w:rPr>
            </w:pPr>
            <w:r>
              <w:rPr>
                <w:rFonts w:ascii="Arial" w:cs="Arial" w:eastAsia="Arial" w:hAnsi="Arial"/>
                <w:sz w:val="14"/>
                <w:szCs w:val="14"/>
                <w:color w:val="auto"/>
              </w:rPr>
              <w:t>281</w:t>
            </w:r>
          </w:p>
        </w:tc>
        <w:tc>
          <w:tcPr>
            <w:tcW w:w="18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gridSpan w:val="2"/>
          </w:tcPr>
          <w:p>
            <w:pPr>
              <w:jc w:val="right"/>
              <w:spacing w:after="0" w:line="157" w:lineRule="exact"/>
              <w:rPr>
                <w:sz w:val="20"/>
                <w:szCs w:val="20"/>
                <w:color w:val="auto"/>
              </w:rPr>
            </w:pPr>
            <w:r>
              <w:rPr>
                <w:rFonts w:ascii="Arial" w:cs="Arial" w:eastAsia="Arial" w:hAnsi="Arial"/>
                <w:sz w:val="14"/>
                <w:szCs w:val="14"/>
                <w:color w:val="auto"/>
              </w:rPr>
              <w:t>39</w:t>
            </w:r>
          </w:p>
        </w:tc>
        <w:tc>
          <w:tcPr>
            <w:tcW w:w="84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ind w:right="271"/>
              <w:spacing w:after="0" w:line="157" w:lineRule="exact"/>
              <w:rPr>
                <w:sz w:val="20"/>
                <w:szCs w:val="20"/>
                <w:color w:val="auto"/>
              </w:rPr>
            </w:pPr>
            <w:r>
              <w:rPr>
                <w:rFonts w:ascii="Arial" w:cs="Arial" w:eastAsia="Arial" w:hAnsi="Arial"/>
                <w:sz w:val="14"/>
                <w:szCs w:val="14"/>
                <w:color w:val="auto"/>
                <w:w w:val="94"/>
              </w:rPr>
              <w:t>807</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780" w:type="dxa"/>
            <w:vAlign w:val="bottom"/>
            <w:tcBorders>
              <w:bottom w:val="single" w:sz="8" w:color="auto"/>
            </w:tcBorders>
          </w:tcPr>
          <w:p>
            <w:pPr>
              <w:spacing w:after="0" w:line="155" w:lineRule="exact"/>
              <w:rPr>
                <w:sz w:val="20"/>
                <w:szCs w:val="20"/>
                <w:color w:val="auto"/>
              </w:rPr>
            </w:pPr>
            <w:r>
              <w:rPr>
                <w:rFonts w:ascii="Arial" w:cs="Arial" w:eastAsia="Arial" w:hAnsi="Arial"/>
                <w:sz w:val="14"/>
                <w:szCs w:val="14"/>
                <w:color w:val="auto"/>
              </w:rPr>
              <w:t>Total</w:t>
            </w:r>
          </w:p>
        </w:tc>
        <w:tc>
          <w:tcPr>
            <w:tcW w:w="286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53</w:t>
            </w:r>
          </w:p>
        </w:tc>
        <w:tc>
          <w:tcPr>
            <w:tcW w:w="16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gridSpan w:val="2"/>
          </w:tcPr>
          <w:p>
            <w:pPr>
              <w:jc w:val="right"/>
              <w:ind w:right="95"/>
              <w:spacing w:after="0" w:line="155" w:lineRule="exact"/>
              <w:rPr>
                <w:sz w:val="20"/>
                <w:szCs w:val="20"/>
                <w:color w:val="auto"/>
              </w:rPr>
            </w:pPr>
            <w:r>
              <w:rPr>
                <w:rFonts w:ascii="Arial" w:cs="Arial" w:eastAsia="Arial" w:hAnsi="Arial"/>
                <w:sz w:val="14"/>
                <w:szCs w:val="14"/>
                <w:color w:val="auto"/>
              </w:rPr>
              <w:t>4,327</w:t>
            </w:r>
          </w:p>
        </w:tc>
        <w:tc>
          <w:tcPr>
            <w:tcW w:w="18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gridSpan w:val="2"/>
          </w:tcPr>
          <w:p>
            <w:pPr>
              <w:jc w:val="right"/>
              <w:spacing w:after="0" w:line="155" w:lineRule="exact"/>
              <w:rPr>
                <w:sz w:val="20"/>
                <w:szCs w:val="20"/>
                <w:color w:val="auto"/>
              </w:rPr>
            </w:pPr>
            <w:r>
              <w:rPr>
                <w:rFonts w:ascii="Arial" w:cs="Arial" w:eastAsia="Arial" w:hAnsi="Arial"/>
                <w:sz w:val="14"/>
                <w:szCs w:val="14"/>
                <w:color w:val="auto"/>
              </w:rPr>
              <w:t>234</w:t>
            </w:r>
          </w:p>
        </w:tc>
        <w:tc>
          <w:tcPr>
            <w:tcW w:w="1420" w:type="dxa"/>
            <w:vAlign w:val="bottom"/>
            <w:tcBorders>
              <w:bottom w:val="single" w:sz="8" w:color="auto"/>
            </w:tcBorders>
            <w:gridSpan w:val="2"/>
          </w:tcPr>
          <w:p>
            <w:pPr>
              <w:jc w:val="right"/>
              <w:ind w:right="271"/>
              <w:spacing w:after="0" w:line="155" w:lineRule="exact"/>
              <w:rPr>
                <w:sz w:val="20"/>
                <w:szCs w:val="20"/>
                <w:color w:val="auto"/>
              </w:rPr>
            </w:pPr>
            <w:r>
              <w:rPr>
                <w:rFonts w:ascii="Arial" w:cs="Arial" w:eastAsia="Arial" w:hAnsi="Arial"/>
                <w:sz w:val="14"/>
                <w:szCs w:val="14"/>
                <w:color w:val="auto"/>
              </w:rPr>
              <w:t>4,327</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99"/>
        </w:trPr>
        <w:tc>
          <w:tcPr>
            <w:tcW w:w="4800" w:type="dxa"/>
            <w:vAlign w:val="bottom"/>
            <w:gridSpan w:val="3"/>
          </w:tcPr>
          <w:p>
            <w:pPr>
              <w:spacing w:after="0"/>
              <w:rPr>
                <w:sz w:val="20"/>
                <w:szCs w:val="20"/>
                <w:color w:val="auto"/>
              </w:rPr>
            </w:pPr>
            <w:r>
              <w:rPr>
                <w:rFonts w:ascii="Arial" w:cs="Arial" w:eastAsia="Arial" w:hAnsi="Arial"/>
                <w:sz w:val="18"/>
                <w:szCs w:val="18"/>
                <w:color w:val="auto"/>
              </w:rPr>
              <w:t>9 JOINT VENTURES AND ASSOCIATES</w:t>
            </w: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4640" w:type="dxa"/>
            <w:vAlign w:val="bottom"/>
            <w:gridSpan w:val="2"/>
          </w:tcPr>
          <w:p>
            <w:pPr>
              <w:spacing w:after="0"/>
              <w:rPr>
                <w:sz w:val="17"/>
                <w:szCs w:val="17"/>
                <w:color w:val="auto"/>
              </w:rPr>
            </w:pPr>
          </w:p>
        </w:tc>
        <w:tc>
          <w:tcPr>
            <w:tcW w:w="720" w:type="dxa"/>
            <w:vAlign w:val="bottom"/>
            <w:gridSpan w:val="2"/>
          </w:tcPr>
          <w:p>
            <w:pPr>
              <w:spacing w:after="0"/>
              <w:rPr>
                <w:sz w:val="17"/>
                <w:szCs w:val="17"/>
                <w:color w:val="auto"/>
              </w:rPr>
            </w:pPr>
          </w:p>
        </w:tc>
        <w:tc>
          <w:tcPr>
            <w:tcW w:w="860" w:type="dxa"/>
            <w:vAlign w:val="bottom"/>
            <w:gridSpan w:val="2"/>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20" w:type="dxa"/>
            <w:vAlign w:val="bottom"/>
            <w:gridSpan w:val="2"/>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6940" w:type="dxa"/>
            <w:vAlign w:val="bottom"/>
            <w:gridSpan w:val="8"/>
            <w:shd w:val="clear" w:color="auto" w:fill="333333"/>
          </w:tcPr>
          <w:p>
            <w:pPr>
              <w:ind w:left="80"/>
              <w:spacing w:after="0" w:line="162" w:lineRule="exact"/>
              <w:rPr>
                <w:sz w:val="20"/>
                <w:szCs w:val="20"/>
                <w:color w:val="auto"/>
              </w:rPr>
            </w:pPr>
            <w:r>
              <w:rPr>
                <w:rFonts w:ascii="Arial" w:cs="Arial" w:eastAsia="Arial" w:hAnsi="Arial"/>
                <w:sz w:val="15"/>
                <w:szCs w:val="15"/>
                <w:b w:val="1"/>
                <w:bCs w:val="1"/>
                <w:color w:val="FFFFFF"/>
              </w:rPr>
              <w:t>SHELL SHARE OF COMPREHENSIVE INCOME OF JOINT VENTURES AND ASSOCIATES</w:t>
            </w:r>
          </w:p>
        </w:tc>
        <w:tc>
          <w:tcPr>
            <w:tcW w:w="20" w:type="dxa"/>
            <w:vAlign w:val="bottom"/>
            <w:shd w:val="clear" w:color="auto" w:fill="333333"/>
          </w:tcPr>
          <w:p>
            <w:pPr>
              <w:spacing w:after="0"/>
              <w:rPr>
                <w:sz w:val="14"/>
                <w:szCs w:val="14"/>
                <w:color w:val="auto"/>
              </w:rPr>
            </w:pPr>
          </w:p>
        </w:tc>
        <w:tc>
          <w:tcPr>
            <w:tcW w:w="1000" w:type="dxa"/>
            <w:vAlign w:val="bottom"/>
            <w:shd w:val="clear" w:color="auto" w:fill="333333"/>
          </w:tcPr>
          <w:p>
            <w:pPr>
              <w:spacing w:after="0"/>
              <w:rPr>
                <w:sz w:val="14"/>
                <w:szCs w:val="14"/>
                <w:color w:val="auto"/>
              </w:rPr>
            </w:pPr>
          </w:p>
        </w:tc>
        <w:tc>
          <w:tcPr>
            <w:tcW w:w="180" w:type="dxa"/>
            <w:vAlign w:val="bottom"/>
            <w:shd w:val="clear" w:color="auto" w:fill="333333"/>
          </w:tcPr>
          <w:p>
            <w:pPr>
              <w:spacing w:after="0"/>
              <w:rPr>
                <w:sz w:val="14"/>
                <w:szCs w:val="14"/>
                <w:color w:val="auto"/>
              </w:rPr>
            </w:pPr>
          </w:p>
        </w:tc>
        <w:tc>
          <w:tcPr>
            <w:tcW w:w="300" w:type="dxa"/>
            <w:vAlign w:val="bottom"/>
            <w:shd w:val="clear" w:color="auto" w:fill="333333"/>
          </w:tcPr>
          <w:p>
            <w:pPr>
              <w:spacing w:after="0"/>
              <w:rPr>
                <w:sz w:val="14"/>
                <w:szCs w:val="14"/>
                <w:color w:val="auto"/>
              </w:rPr>
            </w:pPr>
          </w:p>
        </w:tc>
        <w:tc>
          <w:tcPr>
            <w:tcW w:w="220" w:type="dxa"/>
            <w:vAlign w:val="bottom"/>
            <w:shd w:val="clear" w:color="auto" w:fill="333333"/>
          </w:tcPr>
          <w:p>
            <w:pPr>
              <w:spacing w:after="0"/>
              <w:rPr>
                <w:sz w:val="14"/>
                <w:szCs w:val="14"/>
                <w:color w:val="auto"/>
              </w:rPr>
            </w:pPr>
          </w:p>
        </w:tc>
        <w:tc>
          <w:tcPr>
            <w:tcW w:w="180" w:type="dxa"/>
            <w:vAlign w:val="bottom"/>
            <w:shd w:val="clear" w:color="auto" w:fill="333333"/>
          </w:tcPr>
          <w:p>
            <w:pPr>
              <w:spacing w:after="0"/>
              <w:rPr>
                <w:sz w:val="14"/>
                <w:szCs w:val="14"/>
                <w:color w:val="auto"/>
              </w:rPr>
            </w:pPr>
          </w:p>
        </w:tc>
        <w:tc>
          <w:tcPr>
            <w:tcW w:w="60" w:type="dxa"/>
            <w:vAlign w:val="bottom"/>
            <w:shd w:val="clear" w:color="auto" w:fill="333333"/>
          </w:tcPr>
          <w:p>
            <w:pPr>
              <w:spacing w:after="0"/>
              <w:rPr>
                <w:sz w:val="14"/>
                <w:szCs w:val="14"/>
                <w:color w:val="auto"/>
              </w:rPr>
            </w:pPr>
          </w:p>
        </w:tc>
        <w:tc>
          <w:tcPr>
            <w:tcW w:w="220" w:type="dxa"/>
            <w:vAlign w:val="bottom"/>
            <w:shd w:val="clear" w:color="auto" w:fill="333333"/>
          </w:tcPr>
          <w:p>
            <w:pPr>
              <w:spacing w:after="0"/>
              <w:rPr>
                <w:sz w:val="14"/>
                <w:szCs w:val="14"/>
                <w:color w:val="auto"/>
              </w:rPr>
            </w:pPr>
          </w:p>
        </w:tc>
        <w:tc>
          <w:tcPr>
            <w:tcW w:w="160" w:type="dxa"/>
            <w:vAlign w:val="bottom"/>
            <w:shd w:val="clear" w:color="auto" w:fill="333333"/>
          </w:tcPr>
          <w:p>
            <w:pPr>
              <w:spacing w:after="0"/>
              <w:rPr>
                <w:sz w:val="14"/>
                <w:szCs w:val="14"/>
                <w:color w:val="auto"/>
              </w:rPr>
            </w:pPr>
          </w:p>
        </w:tc>
        <w:tc>
          <w:tcPr>
            <w:tcW w:w="720" w:type="dxa"/>
            <w:vAlign w:val="bottom"/>
            <w:shd w:val="clear" w:color="auto" w:fill="333333"/>
          </w:tcPr>
          <w:p>
            <w:pPr>
              <w:spacing w:after="0"/>
              <w:rPr>
                <w:sz w:val="14"/>
                <w:szCs w:val="14"/>
                <w:color w:val="auto"/>
              </w:rPr>
            </w:pPr>
          </w:p>
        </w:tc>
        <w:tc>
          <w:tcPr>
            <w:tcW w:w="1420" w:type="dxa"/>
            <w:vAlign w:val="bottom"/>
            <w:gridSpan w:val="2"/>
            <w:shd w:val="clear" w:color="auto" w:fill="333333"/>
          </w:tcPr>
          <w:p>
            <w:pPr>
              <w:jc w:val="right"/>
              <w:ind w:right="371"/>
              <w:spacing w:after="0" w:line="162" w:lineRule="exact"/>
              <w:rPr>
                <w:sz w:val="20"/>
                <w:szCs w:val="20"/>
                <w:color w:val="auto"/>
              </w:rPr>
            </w:pPr>
            <w:r>
              <w:rPr>
                <w:rFonts w:ascii="Arial" w:cs="Arial" w:eastAsia="Arial" w:hAnsi="Arial"/>
                <w:sz w:val="15"/>
                <w:szCs w:val="15"/>
                <w:color w:val="FFFFFF"/>
              </w:rPr>
              <w:t>$ MILLION</w:t>
            </w: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78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160" w:type="dxa"/>
            <w:vAlign w:val="bottom"/>
            <w:tcBorders>
              <w:bottom w:val="single" w:sz="8" w:color="auto"/>
            </w:tcBorders>
            <w:shd w:val="clear" w:color="auto" w:fill="D8D8D8"/>
          </w:tcPr>
          <w:p>
            <w:pPr>
              <w:spacing w:after="0"/>
              <w:rPr>
                <w:sz w:val="14"/>
                <w:szCs w:val="14"/>
                <w:color w:val="auto"/>
              </w:rPr>
            </w:pPr>
          </w:p>
        </w:tc>
        <w:tc>
          <w:tcPr>
            <w:tcW w:w="560" w:type="dxa"/>
            <w:vAlign w:val="bottom"/>
            <w:tcBorders>
              <w:bottom w:val="single" w:sz="8" w:color="auto"/>
            </w:tcBorders>
            <w:shd w:val="clear" w:color="auto" w:fill="D8D8D8"/>
          </w:tcPr>
          <w:p>
            <w:pPr>
              <w:spacing w:after="0"/>
              <w:rPr>
                <w:sz w:val="14"/>
                <w:szCs w:val="14"/>
                <w:color w:val="auto"/>
              </w:rPr>
            </w:pPr>
          </w:p>
        </w:tc>
        <w:tc>
          <w:tcPr>
            <w:tcW w:w="220" w:type="dxa"/>
            <w:vAlign w:val="bottom"/>
            <w:tcBorders>
              <w:bottom w:val="single" w:sz="8" w:color="auto"/>
              <w:right w:val="single" w:sz="8" w:color="D8D8D8"/>
            </w:tcBorders>
            <w:shd w:val="clear" w:color="auto" w:fill="D8D8D8"/>
          </w:tcPr>
          <w:p>
            <w:pPr>
              <w:spacing w:after="0"/>
              <w:rPr>
                <w:sz w:val="14"/>
                <w:szCs w:val="14"/>
                <w:color w:val="auto"/>
              </w:rPr>
            </w:pPr>
          </w:p>
        </w:tc>
        <w:tc>
          <w:tcPr>
            <w:tcW w:w="640" w:type="dxa"/>
            <w:vAlign w:val="bottom"/>
            <w:tcBorders>
              <w:bottom w:val="single" w:sz="8" w:color="auto"/>
              <w:right w:val="single" w:sz="8" w:color="D8D8D8"/>
            </w:tcBorders>
            <w:shd w:val="clear" w:color="auto" w:fill="D8D8D8"/>
          </w:tcPr>
          <w:p>
            <w:pPr>
              <w:spacing w:after="0"/>
              <w:rPr>
                <w:sz w:val="14"/>
                <w:szCs w:val="14"/>
                <w:color w:val="auto"/>
              </w:rPr>
            </w:pPr>
          </w:p>
        </w:tc>
        <w:tc>
          <w:tcPr>
            <w:tcW w:w="560" w:type="dxa"/>
            <w:vAlign w:val="bottom"/>
            <w:tcBorders>
              <w:bottom w:val="single" w:sz="8" w:color="auto"/>
            </w:tcBorders>
            <w:shd w:val="clear" w:color="auto" w:fill="D8D8D8"/>
          </w:tcPr>
          <w:p>
            <w:pPr>
              <w:jc w:val="right"/>
              <w:ind w:right="32"/>
              <w:spacing w:after="0"/>
              <w:rPr>
                <w:sz w:val="20"/>
                <w:szCs w:val="20"/>
                <w:color w:val="auto"/>
              </w:rPr>
            </w:pPr>
            <w:r>
              <w:rPr>
                <w:rFonts w:ascii="Arial" w:cs="Arial" w:eastAsia="Arial" w:hAnsi="Arial"/>
                <w:sz w:val="13"/>
                <w:szCs w:val="13"/>
                <w:color w:val="auto"/>
              </w:rPr>
              <w:t>2014</w:t>
            </w:r>
          </w:p>
        </w:tc>
        <w:tc>
          <w:tcPr>
            <w:tcW w:w="16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gridSpan w:val="3"/>
          </w:tcPr>
          <w:p>
            <w:pPr>
              <w:jc w:val="right"/>
              <w:ind w:right="46"/>
              <w:spacing w:after="0"/>
              <w:rPr>
                <w:sz w:val="20"/>
                <w:szCs w:val="20"/>
                <w:color w:val="auto"/>
              </w:rPr>
            </w:pPr>
            <w:r>
              <w:rPr>
                <w:rFonts w:ascii="Arial" w:cs="Arial" w:eastAsia="Arial" w:hAnsi="Arial"/>
                <w:sz w:val="13"/>
                <w:szCs w:val="13"/>
                <w:color w:val="auto"/>
              </w:rPr>
              <w:t>2013</w:t>
            </w:r>
          </w:p>
        </w:tc>
        <w:tc>
          <w:tcPr>
            <w:tcW w:w="160" w:type="dxa"/>
            <w:vAlign w:val="bottom"/>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31"/>
              <w:spacing w:after="0"/>
              <w:rPr>
                <w:sz w:val="20"/>
                <w:szCs w:val="20"/>
                <w:color w:val="auto"/>
              </w:rPr>
            </w:pPr>
            <w:r>
              <w:rPr>
                <w:rFonts w:ascii="Arial" w:cs="Arial" w:eastAsia="Arial" w:hAnsi="Arial"/>
                <w:sz w:val="13"/>
                <w:szCs w:val="13"/>
                <w:color w:val="auto"/>
              </w:rPr>
              <w:t>2012</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1780" w:type="dxa"/>
            <w:vAlign w:val="bottom"/>
          </w:tcPr>
          <w:p>
            <w:pPr>
              <w:spacing w:after="0"/>
              <w:rPr>
                <w:sz w:val="10"/>
                <w:szCs w:val="10"/>
                <w:color w:val="auto"/>
              </w:rPr>
            </w:pPr>
          </w:p>
        </w:tc>
        <w:tc>
          <w:tcPr>
            <w:tcW w:w="2860" w:type="dxa"/>
            <w:vAlign w:val="bottom"/>
          </w:tcPr>
          <w:p>
            <w:pPr>
              <w:spacing w:after="0"/>
              <w:rPr>
                <w:sz w:val="10"/>
                <w:szCs w:val="10"/>
                <w:color w:val="auto"/>
              </w:rPr>
            </w:pPr>
          </w:p>
        </w:tc>
        <w:tc>
          <w:tcPr>
            <w:tcW w:w="160" w:type="dxa"/>
            <w:vAlign w:val="bottom"/>
            <w:shd w:val="clear" w:color="auto" w:fill="D8D8D8"/>
          </w:tcPr>
          <w:p>
            <w:pPr>
              <w:spacing w:after="0"/>
              <w:rPr>
                <w:sz w:val="10"/>
                <w:szCs w:val="10"/>
                <w:color w:val="auto"/>
              </w:rPr>
            </w:pPr>
          </w:p>
        </w:tc>
        <w:tc>
          <w:tcPr>
            <w:tcW w:w="560" w:type="dxa"/>
            <w:vAlign w:val="bottom"/>
            <w:shd w:val="clear" w:color="auto" w:fill="D8D8D8"/>
          </w:tcPr>
          <w:p>
            <w:pPr>
              <w:jc w:val="right"/>
              <w:ind w:right="12"/>
              <w:spacing w:after="0" w:line="123" w:lineRule="exact"/>
              <w:rPr>
                <w:sz w:val="20"/>
                <w:szCs w:val="20"/>
                <w:color w:val="auto"/>
              </w:rPr>
            </w:pPr>
            <w:r>
              <w:rPr>
                <w:rFonts w:ascii="Arial" w:cs="Arial" w:eastAsia="Arial" w:hAnsi="Arial"/>
                <w:sz w:val="13"/>
                <w:szCs w:val="13"/>
                <w:color w:val="auto"/>
              </w:rPr>
              <w:t>Joint</w:t>
            </w:r>
          </w:p>
        </w:tc>
        <w:tc>
          <w:tcPr>
            <w:tcW w:w="220" w:type="dxa"/>
            <w:vAlign w:val="bottom"/>
            <w:tcBorders>
              <w:right w:val="single" w:sz="8" w:color="D8D8D8"/>
            </w:tcBorders>
            <w:shd w:val="clear" w:color="auto" w:fill="D8D8D8"/>
          </w:tcPr>
          <w:p>
            <w:pPr>
              <w:spacing w:after="0"/>
              <w:rPr>
                <w:sz w:val="10"/>
                <w:szCs w:val="10"/>
                <w:color w:val="auto"/>
              </w:rPr>
            </w:pPr>
          </w:p>
        </w:tc>
        <w:tc>
          <w:tcPr>
            <w:tcW w:w="640" w:type="dxa"/>
            <w:vAlign w:val="bottom"/>
            <w:tcBorders>
              <w:right w:val="single" w:sz="8" w:color="D8D8D8"/>
            </w:tcBorders>
            <w:shd w:val="clear" w:color="auto" w:fill="D8D8D8"/>
          </w:tcPr>
          <w:p>
            <w:pPr>
              <w:spacing w:after="0"/>
              <w:rPr>
                <w:sz w:val="10"/>
                <w:szCs w:val="10"/>
                <w:color w:val="auto"/>
              </w:rPr>
            </w:pPr>
          </w:p>
        </w:tc>
        <w:tc>
          <w:tcPr>
            <w:tcW w:w="560" w:type="dxa"/>
            <w:vAlign w:val="bottom"/>
            <w:shd w:val="clear" w:color="auto" w:fill="D8D8D8"/>
          </w:tcPr>
          <w:p>
            <w:pPr>
              <w:spacing w:after="0"/>
              <w:rPr>
                <w:sz w:val="10"/>
                <w:szCs w:val="10"/>
                <w:color w:val="auto"/>
              </w:rPr>
            </w:pPr>
          </w:p>
        </w:tc>
        <w:tc>
          <w:tcPr>
            <w:tcW w:w="1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0" w:type="dxa"/>
            <w:vAlign w:val="bottom"/>
          </w:tcPr>
          <w:p>
            <w:pPr>
              <w:jc w:val="right"/>
              <w:ind w:right="315"/>
              <w:spacing w:after="0" w:line="123" w:lineRule="exact"/>
              <w:rPr>
                <w:sz w:val="20"/>
                <w:szCs w:val="20"/>
                <w:color w:val="auto"/>
              </w:rPr>
            </w:pPr>
            <w:r>
              <w:rPr>
                <w:rFonts w:ascii="Arial" w:cs="Arial" w:eastAsia="Arial" w:hAnsi="Arial"/>
                <w:sz w:val="13"/>
                <w:szCs w:val="13"/>
                <w:color w:val="auto"/>
              </w:rPr>
              <w:t>Joint</w:t>
            </w:r>
          </w:p>
        </w:tc>
        <w:tc>
          <w:tcPr>
            <w:tcW w:w="1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20" w:type="dxa"/>
            <w:vAlign w:val="bottom"/>
          </w:tcPr>
          <w:p>
            <w:pPr>
              <w:jc w:val="right"/>
              <w:ind w:right="37"/>
              <w:spacing w:after="0" w:line="123" w:lineRule="exact"/>
              <w:rPr>
                <w:sz w:val="20"/>
                <w:szCs w:val="20"/>
                <w:color w:val="auto"/>
              </w:rPr>
            </w:pPr>
            <w:r>
              <w:rPr>
                <w:rFonts w:ascii="Arial" w:cs="Arial" w:eastAsia="Arial" w:hAnsi="Arial"/>
                <w:sz w:val="13"/>
                <w:szCs w:val="13"/>
                <w:color w:val="auto"/>
              </w:rPr>
              <w:t>Joint</w:t>
            </w:r>
          </w:p>
        </w:tc>
        <w:tc>
          <w:tcPr>
            <w:tcW w:w="8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1"/>
        </w:trPr>
        <w:tc>
          <w:tcPr>
            <w:tcW w:w="178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160" w:type="dxa"/>
            <w:vAlign w:val="bottom"/>
            <w:shd w:val="clear" w:color="auto" w:fill="D8D8D8"/>
          </w:tcPr>
          <w:p>
            <w:pPr>
              <w:spacing w:after="0"/>
              <w:rPr>
                <w:sz w:val="12"/>
                <w:szCs w:val="12"/>
                <w:color w:val="auto"/>
              </w:rPr>
            </w:pPr>
          </w:p>
        </w:tc>
        <w:tc>
          <w:tcPr>
            <w:tcW w:w="560" w:type="dxa"/>
            <w:vAlign w:val="bottom"/>
            <w:shd w:val="clear" w:color="auto" w:fill="D8D8D8"/>
          </w:tcPr>
          <w:p>
            <w:pPr>
              <w:jc w:val="right"/>
              <w:ind w:right="12"/>
              <w:spacing w:after="0" w:line="141" w:lineRule="exact"/>
              <w:rPr>
                <w:sz w:val="20"/>
                <w:szCs w:val="20"/>
                <w:color w:val="auto"/>
              </w:rPr>
            </w:pPr>
            <w:r>
              <w:rPr>
                <w:rFonts w:ascii="Arial" w:cs="Arial" w:eastAsia="Arial" w:hAnsi="Arial"/>
                <w:sz w:val="13"/>
                <w:szCs w:val="13"/>
                <w:color w:val="auto"/>
                <w:w w:val="92"/>
              </w:rPr>
              <w:t>ventures</w:t>
            </w:r>
          </w:p>
        </w:tc>
        <w:tc>
          <w:tcPr>
            <w:tcW w:w="860" w:type="dxa"/>
            <w:vAlign w:val="bottom"/>
            <w:tcBorders>
              <w:right w:val="single" w:sz="8" w:color="D8D8D8"/>
            </w:tcBorders>
            <w:gridSpan w:val="2"/>
            <w:shd w:val="clear" w:color="auto" w:fill="D8D8D8"/>
          </w:tcPr>
          <w:p>
            <w:pPr>
              <w:jc w:val="right"/>
              <w:ind w:right="80"/>
              <w:spacing w:after="0" w:line="141" w:lineRule="exact"/>
              <w:rPr>
                <w:sz w:val="20"/>
                <w:szCs w:val="20"/>
                <w:color w:val="auto"/>
              </w:rPr>
            </w:pPr>
            <w:r>
              <w:rPr>
                <w:rFonts w:ascii="Arial" w:cs="Arial" w:eastAsia="Arial" w:hAnsi="Arial"/>
                <w:sz w:val="13"/>
                <w:szCs w:val="13"/>
                <w:color w:val="auto"/>
              </w:rPr>
              <w:t>Associates</w:t>
            </w:r>
          </w:p>
        </w:tc>
        <w:tc>
          <w:tcPr>
            <w:tcW w:w="560" w:type="dxa"/>
            <w:vAlign w:val="bottom"/>
            <w:shd w:val="clear" w:color="auto" w:fill="D8D8D8"/>
          </w:tcPr>
          <w:p>
            <w:pPr>
              <w:jc w:val="right"/>
              <w:ind w:right="32"/>
              <w:spacing w:after="0" w:line="141" w:lineRule="exact"/>
              <w:rPr>
                <w:sz w:val="20"/>
                <w:szCs w:val="20"/>
                <w:color w:val="auto"/>
              </w:rPr>
            </w:pPr>
            <w:r>
              <w:rPr>
                <w:rFonts w:ascii="Arial" w:cs="Arial" w:eastAsia="Arial" w:hAnsi="Arial"/>
                <w:sz w:val="13"/>
                <w:szCs w:val="13"/>
                <w:color w:val="auto"/>
              </w:rPr>
              <w:t>Total</w:t>
            </w: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700" w:type="dxa"/>
            <w:vAlign w:val="bottom"/>
            <w:gridSpan w:val="4"/>
          </w:tcPr>
          <w:p>
            <w:pPr>
              <w:jc w:val="right"/>
              <w:ind w:right="240"/>
              <w:spacing w:after="0" w:line="141" w:lineRule="exact"/>
              <w:rPr>
                <w:sz w:val="20"/>
                <w:szCs w:val="20"/>
                <w:color w:val="auto"/>
              </w:rPr>
            </w:pPr>
            <w:r>
              <w:rPr>
                <w:rFonts w:ascii="Arial" w:cs="Arial" w:eastAsia="Arial" w:hAnsi="Arial"/>
                <w:sz w:val="13"/>
                <w:szCs w:val="13"/>
                <w:color w:val="auto"/>
              </w:rPr>
              <w:t>ventures    Associates</w:t>
            </w:r>
          </w:p>
        </w:tc>
        <w:tc>
          <w:tcPr>
            <w:tcW w:w="460" w:type="dxa"/>
            <w:vAlign w:val="bottom"/>
            <w:gridSpan w:val="3"/>
          </w:tcPr>
          <w:p>
            <w:pPr>
              <w:jc w:val="right"/>
              <w:ind w:right="46"/>
              <w:spacing w:after="0" w:line="141" w:lineRule="exact"/>
              <w:rPr>
                <w:sz w:val="20"/>
                <w:szCs w:val="20"/>
                <w:color w:val="auto"/>
              </w:rPr>
            </w:pPr>
            <w:r>
              <w:rPr>
                <w:rFonts w:ascii="Arial" w:cs="Arial" w:eastAsia="Arial" w:hAnsi="Arial"/>
                <w:sz w:val="13"/>
                <w:szCs w:val="13"/>
                <w:color w:val="auto"/>
              </w:rPr>
              <w:t>Total</w:t>
            </w:r>
          </w:p>
        </w:tc>
        <w:tc>
          <w:tcPr>
            <w:tcW w:w="160" w:type="dxa"/>
            <w:vAlign w:val="bottom"/>
          </w:tcPr>
          <w:p>
            <w:pPr>
              <w:spacing w:after="0"/>
              <w:rPr>
                <w:sz w:val="12"/>
                <w:szCs w:val="12"/>
                <w:color w:val="auto"/>
              </w:rPr>
            </w:pPr>
          </w:p>
        </w:tc>
        <w:tc>
          <w:tcPr>
            <w:tcW w:w="720" w:type="dxa"/>
            <w:vAlign w:val="bottom"/>
          </w:tcPr>
          <w:p>
            <w:pPr>
              <w:jc w:val="right"/>
              <w:ind w:right="37"/>
              <w:spacing w:after="0" w:line="141" w:lineRule="exact"/>
              <w:rPr>
                <w:sz w:val="20"/>
                <w:szCs w:val="20"/>
                <w:color w:val="auto"/>
              </w:rPr>
            </w:pPr>
            <w:r>
              <w:rPr>
                <w:rFonts w:ascii="Arial" w:cs="Arial" w:eastAsia="Arial" w:hAnsi="Arial"/>
                <w:sz w:val="13"/>
                <w:szCs w:val="13"/>
                <w:color w:val="auto"/>
              </w:rPr>
              <w:t>ventures</w:t>
            </w:r>
          </w:p>
        </w:tc>
        <w:tc>
          <w:tcPr>
            <w:tcW w:w="840" w:type="dxa"/>
            <w:vAlign w:val="bottom"/>
          </w:tcPr>
          <w:p>
            <w:pPr>
              <w:jc w:val="right"/>
              <w:spacing w:after="0" w:line="141" w:lineRule="exact"/>
              <w:rPr>
                <w:sz w:val="20"/>
                <w:szCs w:val="20"/>
                <w:color w:val="auto"/>
              </w:rPr>
            </w:pPr>
            <w:r>
              <w:rPr>
                <w:rFonts w:ascii="Arial" w:cs="Arial" w:eastAsia="Arial" w:hAnsi="Arial"/>
                <w:sz w:val="13"/>
                <w:szCs w:val="13"/>
                <w:color w:val="auto"/>
              </w:rPr>
              <w:t>Associates</w:t>
            </w:r>
          </w:p>
        </w:tc>
        <w:tc>
          <w:tcPr>
            <w:tcW w:w="600" w:type="dxa"/>
            <w:vAlign w:val="bottom"/>
            <w:gridSpan w:val="2"/>
          </w:tcPr>
          <w:p>
            <w:pPr>
              <w:jc w:val="right"/>
              <w:ind w:right="120"/>
              <w:spacing w:after="0" w:line="141" w:lineRule="exact"/>
              <w:rPr>
                <w:sz w:val="20"/>
                <w:szCs w:val="20"/>
                <w:color w:val="auto"/>
              </w:rPr>
            </w:pPr>
            <w:r>
              <w:rPr>
                <w:rFonts w:ascii="Arial" w:cs="Arial" w:eastAsia="Arial" w:hAnsi="Arial"/>
                <w:sz w:val="13"/>
                <w:szCs w:val="13"/>
                <w:color w:val="auto"/>
              </w:rPr>
              <w:t>Total</w:t>
            </w:r>
          </w:p>
        </w:tc>
        <w:tc>
          <w:tcPr>
            <w:tcW w:w="0" w:type="dxa"/>
            <w:vAlign w:val="bottom"/>
          </w:tcPr>
          <w:p>
            <w:pPr>
              <w:spacing w:after="0"/>
              <w:rPr>
                <w:sz w:val="1"/>
                <w:szCs w:val="1"/>
                <w:color w:val="auto"/>
              </w:rPr>
            </w:pPr>
          </w:p>
        </w:tc>
      </w:tr>
      <w:tr>
        <w:trPr>
          <w:trHeight w:val="156"/>
        </w:trPr>
        <w:tc>
          <w:tcPr>
            <w:tcW w:w="1780" w:type="dxa"/>
            <w:vAlign w:val="bottom"/>
            <w:tcBorders>
              <w:top w:val="single" w:sz="8" w:color="auto"/>
            </w:tcBorders>
          </w:tcPr>
          <w:p>
            <w:pPr>
              <w:spacing w:after="0" w:line="155" w:lineRule="exact"/>
              <w:rPr>
                <w:sz w:val="20"/>
                <w:szCs w:val="20"/>
                <w:color w:val="auto"/>
              </w:rPr>
            </w:pPr>
            <w:r>
              <w:rPr>
                <w:rFonts w:ascii="Arial" w:cs="Arial" w:eastAsia="Arial" w:hAnsi="Arial"/>
                <w:sz w:val="14"/>
                <w:szCs w:val="14"/>
                <w:color w:val="auto"/>
              </w:rPr>
              <w:t>Income for the period</w:t>
            </w:r>
          </w:p>
        </w:tc>
        <w:tc>
          <w:tcPr>
            <w:tcW w:w="286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shd w:val="clear" w:color="auto" w:fill="D8D8D8"/>
          </w:tcPr>
          <w:p>
            <w:pPr>
              <w:spacing w:after="0"/>
              <w:rPr>
                <w:sz w:val="13"/>
                <w:szCs w:val="13"/>
                <w:color w:val="auto"/>
              </w:rPr>
            </w:pPr>
          </w:p>
        </w:tc>
        <w:tc>
          <w:tcPr>
            <w:tcW w:w="560" w:type="dxa"/>
            <w:vAlign w:val="bottom"/>
            <w:tcBorders>
              <w:top w:val="single" w:sz="8" w:color="auto"/>
            </w:tcBorders>
            <w:shd w:val="clear" w:color="auto" w:fill="D8D8D8"/>
          </w:tcPr>
          <w:p>
            <w:pPr>
              <w:jc w:val="right"/>
              <w:ind w:right="12"/>
              <w:spacing w:after="0" w:line="155" w:lineRule="exact"/>
              <w:rPr>
                <w:sz w:val="20"/>
                <w:szCs w:val="20"/>
                <w:color w:val="auto"/>
              </w:rPr>
            </w:pPr>
            <w:r>
              <w:rPr>
                <w:rFonts w:ascii="Arial" w:cs="Arial" w:eastAsia="Arial" w:hAnsi="Arial"/>
                <w:sz w:val="14"/>
                <w:szCs w:val="14"/>
                <w:color w:val="auto"/>
              </w:rPr>
              <w:t>1,813</w:t>
            </w:r>
          </w:p>
        </w:tc>
        <w:tc>
          <w:tcPr>
            <w:tcW w:w="860" w:type="dxa"/>
            <w:vAlign w:val="bottom"/>
            <w:tcBorders>
              <w:top w:val="single" w:sz="8" w:color="auto"/>
              <w:right w:val="single" w:sz="8" w:color="D8D8D8"/>
            </w:tcBorders>
            <w:gridSpan w:val="2"/>
            <w:shd w:val="clear" w:color="auto" w:fill="D8D8D8"/>
          </w:tcPr>
          <w:p>
            <w:pPr>
              <w:jc w:val="right"/>
              <w:ind w:right="80"/>
              <w:spacing w:after="0" w:line="155" w:lineRule="exact"/>
              <w:rPr>
                <w:sz w:val="20"/>
                <w:szCs w:val="20"/>
                <w:color w:val="auto"/>
              </w:rPr>
            </w:pPr>
            <w:r>
              <w:rPr>
                <w:rFonts w:ascii="Arial" w:cs="Arial" w:eastAsia="Arial" w:hAnsi="Arial"/>
                <w:sz w:val="14"/>
                <w:szCs w:val="14"/>
                <w:color w:val="auto"/>
              </w:rPr>
              <w:t>4,303</w:t>
            </w:r>
          </w:p>
        </w:tc>
        <w:tc>
          <w:tcPr>
            <w:tcW w:w="560" w:type="dxa"/>
            <w:vAlign w:val="bottom"/>
            <w:tcBorders>
              <w:top w:val="single" w:sz="8" w:color="auto"/>
            </w:tcBorders>
            <w:shd w:val="clear" w:color="auto" w:fill="D8D8D8"/>
          </w:tcPr>
          <w:p>
            <w:pPr>
              <w:jc w:val="right"/>
              <w:ind w:right="32"/>
              <w:spacing w:after="0" w:line="155" w:lineRule="exact"/>
              <w:rPr>
                <w:sz w:val="20"/>
                <w:szCs w:val="20"/>
                <w:color w:val="auto"/>
              </w:rPr>
            </w:pPr>
            <w:r>
              <w:rPr>
                <w:rFonts w:ascii="Arial" w:cs="Arial" w:eastAsia="Arial" w:hAnsi="Arial"/>
                <w:sz w:val="14"/>
                <w:szCs w:val="14"/>
                <w:color w:val="auto"/>
              </w:rPr>
              <w:t>6,116</w:t>
            </w:r>
          </w:p>
        </w:tc>
        <w:tc>
          <w:tcPr>
            <w:tcW w:w="160" w:type="dxa"/>
            <w:vAlign w:val="bottom"/>
            <w:tcBorders>
              <w:top w:val="single" w:sz="8" w:color="auto"/>
            </w:tcBorders>
          </w:tcPr>
          <w:p>
            <w:pPr>
              <w:spacing w:after="0"/>
              <w:rPr>
                <w:sz w:val="13"/>
                <w:szCs w:val="13"/>
                <w:color w:val="auto"/>
              </w:rPr>
            </w:pPr>
          </w:p>
        </w:tc>
        <w:tc>
          <w:tcPr>
            <w:tcW w:w="1020" w:type="dxa"/>
            <w:vAlign w:val="bottom"/>
            <w:tcBorders>
              <w:top w:val="single" w:sz="8" w:color="auto"/>
            </w:tcBorders>
            <w:gridSpan w:val="2"/>
          </w:tcPr>
          <w:p>
            <w:pPr>
              <w:jc w:val="right"/>
              <w:ind w:right="315"/>
              <w:spacing w:after="0" w:line="155" w:lineRule="exact"/>
              <w:rPr>
                <w:sz w:val="20"/>
                <w:szCs w:val="20"/>
                <w:color w:val="auto"/>
              </w:rPr>
            </w:pPr>
            <w:r>
              <w:rPr>
                <w:rFonts w:ascii="Arial" w:cs="Arial" w:eastAsia="Arial" w:hAnsi="Arial"/>
                <w:sz w:val="14"/>
                <w:szCs w:val="14"/>
                <w:color w:val="auto"/>
              </w:rPr>
              <w:t>2,541</w:t>
            </w:r>
          </w:p>
        </w:tc>
        <w:tc>
          <w:tcPr>
            <w:tcW w:w="480" w:type="dxa"/>
            <w:vAlign w:val="bottom"/>
            <w:tcBorders>
              <w:top w:val="single" w:sz="8" w:color="auto"/>
            </w:tcBorders>
            <w:gridSpan w:val="2"/>
          </w:tcPr>
          <w:p>
            <w:pPr>
              <w:jc w:val="right"/>
              <w:spacing w:after="0" w:line="155" w:lineRule="exact"/>
              <w:rPr>
                <w:sz w:val="20"/>
                <w:szCs w:val="20"/>
                <w:color w:val="auto"/>
              </w:rPr>
            </w:pPr>
            <w:r>
              <w:rPr>
                <w:rFonts w:ascii="Arial" w:cs="Arial" w:eastAsia="Arial" w:hAnsi="Arial"/>
                <w:sz w:val="14"/>
                <w:szCs w:val="14"/>
                <w:color w:val="auto"/>
              </w:rPr>
              <w:t>4,734</w:t>
            </w:r>
          </w:p>
        </w:tc>
        <w:tc>
          <w:tcPr>
            <w:tcW w:w="220" w:type="dxa"/>
            <w:vAlign w:val="bottom"/>
            <w:tcBorders>
              <w:top w:val="single" w:sz="8" w:color="auto"/>
            </w:tcBorders>
          </w:tcPr>
          <w:p>
            <w:pPr>
              <w:spacing w:after="0"/>
              <w:rPr>
                <w:sz w:val="13"/>
                <w:szCs w:val="13"/>
                <w:color w:val="auto"/>
              </w:rPr>
            </w:pPr>
          </w:p>
        </w:tc>
        <w:tc>
          <w:tcPr>
            <w:tcW w:w="460" w:type="dxa"/>
            <w:vAlign w:val="bottom"/>
            <w:tcBorders>
              <w:top w:val="single" w:sz="8" w:color="auto"/>
            </w:tcBorders>
            <w:gridSpan w:val="3"/>
          </w:tcPr>
          <w:p>
            <w:pPr>
              <w:jc w:val="right"/>
              <w:ind w:right="46"/>
              <w:spacing w:after="0" w:line="155" w:lineRule="exact"/>
              <w:rPr>
                <w:sz w:val="20"/>
                <w:szCs w:val="20"/>
                <w:color w:val="auto"/>
              </w:rPr>
            </w:pPr>
            <w:r>
              <w:rPr>
                <w:rFonts w:ascii="Arial" w:cs="Arial" w:eastAsia="Arial" w:hAnsi="Arial"/>
                <w:sz w:val="14"/>
                <w:szCs w:val="14"/>
                <w:color w:val="auto"/>
                <w:w w:val="96"/>
              </w:rPr>
              <w:t>7,275</w:t>
            </w:r>
          </w:p>
        </w:tc>
        <w:tc>
          <w:tcPr>
            <w:tcW w:w="880" w:type="dxa"/>
            <w:vAlign w:val="bottom"/>
            <w:tcBorders>
              <w:top w:val="single" w:sz="8" w:color="auto"/>
            </w:tcBorders>
            <w:gridSpan w:val="2"/>
          </w:tcPr>
          <w:p>
            <w:pPr>
              <w:jc w:val="right"/>
              <w:ind w:right="37"/>
              <w:spacing w:after="0" w:line="155" w:lineRule="exact"/>
              <w:rPr>
                <w:sz w:val="20"/>
                <w:szCs w:val="20"/>
                <w:color w:val="auto"/>
              </w:rPr>
            </w:pPr>
            <w:r>
              <w:rPr>
                <w:rFonts w:ascii="Arial" w:cs="Arial" w:eastAsia="Arial" w:hAnsi="Arial"/>
                <w:sz w:val="14"/>
                <w:szCs w:val="14"/>
                <w:color w:val="auto"/>
              </w:rPr>
              <w:t>4,071</w:t>
            </w:r>
          </w:p>
        </w:tc>
        <w:tc>
          <w:tcPr>
            <w:tcW w:w="84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4,877</w:t>
            </w:r>
          </w:p>
        </w:tc>
        <w:tc>
          <w:tcPr>
            <w:tcW w:w="580" w:type="dxa"/>
            <w:vAlign w:val="bottom"/>
            <w:tcBorders>
              <w:top w:val="single" w:sz="8" w:color="auto"/>
            </w:tcBorders>
          </w:tcPr>
          <w:p>
            <w:pPr>
              <w:jc w:val="right"/>
              <w:ind w:right="31"/>
              <w:spacing w:after="0" w:line="155" w:lineRule="exact"/>
              <w:rPr>
                <w:sz w:val="20"/>
                <w:szCs w:val="20"/>
                <w:color w:val="auto"/>
              </w:rPr>
            </w:pPr>
            <w:r>
              <w:rPr>
                <w:rFonts w:ascii="Arial" w:cs="Arial" w:eastAsia="Arial" w:hAnsi="Arial"/>
                <w:sz w:val="14"/>
                <w:szCs w:val="14"/>
                <w:color w:val="auto"/>
              </w:rPr>
              <w:t>8,948</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4640" w:type="dxa"/>
            <w:vAlign w:val="bottom"/>
            <w:tcBorders>
              <w:bottom w:val="single" w:sz="8" w:color="auto"/>
            </w:tcBorders>
            <w:gridSpan w:val="2"/>
          </w:tcPr>
          <w:p>
            <w:pPr>
              <w:spacing w:after="0"/>
              <w:rPr>
                <w:sz w:val="20"/>
                <w:szCs w:val="20"/>
                <w:color w:val="auto"/>
              </w:rPr>
            </w:pPr>
            <w:r>
              <w:rPr>
                <w:rFonts w:ascii="Arial" w:cs="Arial" w:eastAsia="Arial" w:hAnsi="Arial"/>
                <w:sz w:val="14"/>
                <w:szCs w:val="14"/>
                <w:color w:val="auto"/>
              </w:rPr>
              <w:t>Other comprehensive (loss)/income for the period</w:t>
            </w:r>
          </w:p>
        </w:tc>
        <w:tc>
          <w:tcPr>
            <w:tcW w:w="160" w:type="dxa"/>
            <w:vAlign w:val="bottom"/>
            <w:tcBorders>
              <w:bottom w:val="single" w:sz="8" w:color="auto"/>
            </w:tcBorders>
            <w:shd w:val="clear" w:color="auto" w:fill="D8D8D8"/>
          </w:tcPr>
          <w:p>
            <w:pPr>
              <w:spacing w:after="0"/>
              <w:rPr>
                <w:sz w:val="14"/>
                <w:szCs w:val="14"/>
                <w:color w:val="auto"/>
              </w:rPr>
            </w:pPr>
          </w:p>
        </w:tc>
        <w:tc>
          <w:tcPr>
            <w:tcW w:w="560" w:type="dxa"/>
            <w:vAlign w:val="bottom"/>
            <w:tcBorders>
              <w:bottom w:val="single" w:sz="8" w:color="auto"/>
            </w:tcBorders>
            <w:shd w:val="clear" w:color="auto" w:fill="D8D8D8"/>
          </w:tcPr>
          <w:p>
            <w:pPr>
              <w:jc w:val="right"/>
              <w:ind w:right="12"/>
              <w:spacing w:after="0"/>
              <w:rPr>
                <w:sz w:val="20"/>
                <w:szCs w:val="20"/>
                <w:color w:val="auto"/>
              </w:rPr>
            </w:pPr>
            <w:r>
              <w:rPr>
                <w:rFonts w:ascii="Arial" w:cs="Arial" w:eastAsia="Arial" w:hAnsi="Arial"/>
                <w:sz w:val="14"/>
                <w:szCs w:val="14"/>
                <w:color w:val="auto"/>
              </w:rPr>
              <w:t>(90)</w:t>
            </w:r>
          </w:p>
        </w:tc>
        <w:tc>
          <w:tcPr>
            <w:tcW w:w="860" w:type="dxa"/>
            <w:vAlign w:val="bottom"/>
            <w:tcBorders>
              <w:bottom w:val="single" w:sz="8" w:color="auto"/>
              <w:right w:val="single" w:sz="8" w:color="D8D8D8"/>
            </w:tcBorders>
            <w:gridSpan w:val="2"/>
            <w:shd w:val="clear" w:color="auto" w:fill="D8D8D8"/>
          </w:tcPr>
          <w:p>
            <w:pPr>
              <w:jc w:val="right"/>
              <w:ind w:right="40"/>
              <w:spacing w:after="0"/>
              <w:rPr>
                <w:sz w:val="20"/>
                <w:szCs w:val="20"/>
                <w:color w:val="auto"/>
              </w:rPr>
            </w:pPr>
            <w:r>
              <w:rPr>
                <w:rFonts w:ascii="Arial" w:cs="Arial" w:eastAsia="Arial" w:hAnsi="Arial"/>
                <w:sz w:val="14"/>
                <w:szCs w:val="14"/>
                <w:color w:val="auto"/>
              </w:rPr>
              <w:t>(66)</w:t>
            </w:r>
          </w:p>
        </w:tc>
        <w:tc>
          <w:tcPr>
            <w:tcW w:w="560" w:type="dxa"/>
            <w:vAlign w:val="bottom"/>
            <w:tcBorders>
              <w:bottom w:val="single" w:sz="8" w:color="auto"/>
            </w:tcBorders>
            <w:shd w:val="clear" w:color="auto" w:fill="D8D8D8"/>
          </w:tcPr>
          <w:p>
            <w:pPr>
              <w:jc w:val="right"/>
              <w:spacing w:after="0"/>
              <w:rPr>
                <w:sz w:val="20"/>
                <w:szCs w:val="20"/>
                <w:color w:val="auto"/>
              </w:rPr>
            </w:pPr>
            <w:r>
              <w:rPr>
                <w:rFonts w:ascii="Arial" w:cs="Arial" w:eastAsia="Arial" w:hAnsi="Arial"/>
                <w:sz w:val="14"/>
                <w:szCs w:val="14"/>
                <w:color w:val="auto"/>
              </w:rPr>
              <w:t>(156)</w:t>
            </w:r>
          </w:p>
        </w:tc>
        <w:tc>
          <w:tcPr>
            <w:tcW w:w="16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gridSpan w:val="2"/>
          </w:tcPr>
          <w:p>
            <w:pPr>
              <w:jc w:val="right"/>
              <w:ind w:right="315"/>
              <w:spacing w:after="0"/>
              <w:rPr>
                <w:sz w:val="20"/>
                <w:szCs w:val="20"/>
                <w:color w:val="auto"/>
              </w:rPr>
            </w:pPr>
            <w:r>
              <w:rPr>
                <w:rFonts w:ascii="Arial" w:cs="Arial" w:eastAsia="Arial" w:hAnsi="Arial"/>
                <w:sz w:val="14"/>
                <w:szCs w:val="14"/>
                <w:color w:val="auto"/>
              </w:rPr>
              <w:t>24</w:t>
            </w:r>
          </w:p>
        </w:tc>
        <w:tc>
          <w:tcPr>
            <w:tcW w:w="700" w:type="dxa"/>
            <w:vAlign w:val="bottom"/>
            <w:tcBorders>
              <w:bottom w:val="single" w:sz="8" w:color="auto"/>
            </w:tcBorders>
            <w:gridSpan w:val="3"/>
          </w:tcPr>
          <w:p>
            <w:pPr>
              <w:jc w:val="right"/>
              <w:ind w:right="200"/>
              <w:spacing w:after="0"/>
              <w:rPr>
                <w:sz w:val="20"/>
                <w:szCs w:val="20"/>
                <w:color w:val="auto"/>
              </w:rPr>
            </w:pPr>
            <w:r>
              <w:rPr>
                <w:rFonts w:ascii="Arial" w:cs="Arial" w:eastAsia="Arial" w:hAnsi="Arial"/>
                <w:sz w:val="14"/>
                <w:szCs w:val="14"/>
                <w:color w:val="auto"/>
              </w:rPr>
              <w:t>(191)</w:t>
            </w:r>
          </w:p>
        </w:tc>
        <w:tc>
          <w:tcPr>
            <w:tcW w:w="4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color w:val="auto"/>
              </w:rPr>
              <w:t>(167)</w:t>
            </w:r>
          </w:p>
        </w:tc>
        <w:tc>
          <w:tcPr>
            <w:tcW w:w="8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(56)</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(166)</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(222)</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4640" w:type="dxa"/>
            <w:vAlign w:val="bottom"/>
            <w:tcBorders>
              <w:bottom w:val="single" w:sz="8" w:color="auto"/>
            </w:tcBorders>
            <w:gridSpan w:val="2"/>
          </w:tcPr>
          <w:p>
            <w:pPr>
              <w:spacing w:after="0" w:line="155" w:lineRule="exact"/>
              <w:rPr>
                <w:sz w:val="20"/>
                <w:szCs w:val="20"/>
                <w:color w:val="auto"/>
              </w:rPr>
            </w:pPr>
            <w:r>
              <w:rPr>
                <w:rFonts w:ascii="Arial" w:cs="Arial" w:eastAsia="Arial" w:hAnsi="Arial"/>
                <w:sz w:val="14"/>
                <w:szCs w:val="14"/>
                <w:color w:val="auto"/>
              </w:rPr>
              <w:t>Comprehensive income for the period</w:t>
            </w:r>
          </w:p>
        </w:tc>
        <w:tc>
          <w:tcPr>
            <w:tcW w:w="160" w:type="dxa"/>
            <w:vAlign w:val="bottom"/>
            <w:tcBorders>
              <w:bottom w:val="single" w:sz="8" w:color="auto"/>
            </w:tcBorders>
            <w:shd w:val="clear" w:color="auto" w:fill="D8D8D8"/>
          </w:tcPr>
          <w:p>
            <w:pPr>
              <w:spacing w:after="0"/>
              <w:rPr>
                <w:sz w:val="13"/>
                <w:szCs w:val="13"/>
                <w:color w:val="auto"/>
              </w:rPr>
            </w:pPr>
          </w:p>
        </w:tc>
        <w:tc>
          <w:tcPr>
            <w:tcW w:w="560" w:type="dxa"/>
            <w:vAlign w:val="bottom"/>
            <w:tcBorders>
              <w:bottom w:val="single" w:sz="8" w:color="auto"/>
            </w:tcBorders>
            <w:shd w:val="clear" w:color="auto" w:fill="D8D8D8"/>
          </w:tcPr>
          <w:p>
            <w:pPr>
              <w:jc w:val="right"/>
              <w:ind w:right="12"/>
              <w:spacing w:after="0" w:line="155" w:lineRule="exact"/>
              <w:rPr>
                <w:sz w:val="20"/>
                <w:szCs w:val="20"/>
                <w:color w:val="auto"/>
              </w:rPr>
            </w:pPr>
            <w:r>
              <w:rPr>
                <w:rFonts w:ascii="Arial" w:cs="Arial" w:eastAsia="Arial" w:hAnsi="Arial"/>
                <w:sz w:val="14"/>
                <w:szCs w:val="14"/>
                <w:color w:val="auto"/>
              </w:rPr>
              <w:t>1,723</w:t>
            </w:r>
          </w:p>
        </w:tc>
        <w:tc>
          <w:tcPr>
            <w:tcW w:w="860" w:type="dxa"/>
            <w:vAlign w:val="bottom"/>
            <w:tcBorders>
              <w:bottom w:val="single" w:sz="8" w:color="auto"/>
              <w:right w:val="single" w:sz="8" w:color="D8D8D8"/>
            </w:tcBorders>
            <w:gridSpan w:val="2"/>
            <w:shd w:val="clear" w:color="auto" w:fill="D8D8D8"/>
          </w:tcPr>
          <w:p>
            <w:pPr>
              <w:jc w:val="right"/>
              <w:ind w:right="80"/>
              <w:spacing w:after="0" w:line="155" w:lineRule="exact"/>
              <w:rPr>
                <w:sz w:val="20"/>
                <w:szCs w:val="20"/>
                <w:color w:val="auto"/>
              </w:rPr>
            </w:pPr>
            <w:r>
              <w:rPr>
                <w:rFonts w:ascii="Arial" w:cs="Arial" w:eastAsia="Arial" w:hAnsi="Arial"/>
                <w:sz w:val="14"/>
                <w:szCs w:val="14"/>
                <w:color w:val="auto"/>
              </w:rPr>
              <w:t>4,237</w:t>
            </w:r>
          </w:p>
        </w:tc>
        <w:tc>
          <w:tcPr>
            <w:tcW w:w="560" w:type="dxa"/>
            <w:vAlign w:val="bottom"/>
            <w:tcBorders>
              <w:bottom w:val="single" w:sz="8" w:color="auto"/>
            </w:tcBorders>
            <w:shd w:val="clear" w:color="auto" w:fill="D8D8D8"/>
          </w:tcPr>
          <w:p>
            <w:pPr>
              <w:jc w:val="right"/>
              <w:ind w:right="32"/>
              <w:spacing w:after="0" w:line="155" w:lineRule="exact"/>
              <w:rPr>
                <w:sz w:val="20"/>
                <w:szCs w:val="20"/>
                <w:color w:val="auto"/>
              </w:rPr>
            </w:pPr>
            <w:r>
              <w:rPr>
                <w:rFonts w:ascii="Arial" w:cs="Arial" w:eastAsia="Arial" w:hAnsi="Arial"/>
                <w:sz w:val="14"/>
                <w:szCs w:val="14"/>
                <w:color w:val="auto"/>
              </w:rPr>
              <w:t>5,960</w:t>
            </w:r>
          </w:p>
        </w:tc>
        <w:tc>
          <w:tcPr>
            <w:tcW w:w="16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gridSpan w:val="2"/>
          </w:tcPr>
          <w:p>
            <w:pPr>
              <w:jc w:val="right"/>
              <w:ind w:right="315"/>
              <w:spacing w:after="0" w:line="155" w:lineRule="exact"/>
              <w:rPr>
                <w:sz w:val="20"/>
                <w:szCs w:val="20"/>
                <w:color w:val="auto"/>
              </w:rPr>
            </w:pPr>
            <w:r>
              <w:rPr>
                <w:rFonts w:ascii="Arial" w:cs="Arial" w:eastAsia="Arial" w:hAnsi="Arial"/>
                <w:sz w:val="14"/>
                <w:szCs w:val="14"/>
                <w:color w:val="auto"/>
              </w:rPr>
              <w:t>2,565</w:t>
            </w:r>
          </w:p>
        </w:tc>
        <w:tc>
          <w:tcPr>
            <w:tcW w:w="480" w:type="dxa"/>
            <w:vAlign w:val="bottom"/>
            <w:tcBorders>
              <w:bottom w:val="single" w:sz="8" w:color="auto"/>
            </w:tcBorders>
            <w:gridSpan w:val="2"/>
          </w:tcPr>
          <w:p>
            <w:pPr>
              <w:jc w:val="right"/>
              <w:spacing w:after="0" w:line="155" w:lineRule="exact"/>
              <w:rPr>
                <w:sz w:val="20"/>
                <w:szCs w:val="20"/>
                <w:color w:val="auto"/>
              </w:rPr>
            </w:pPr>
            <w:r>
              <w:rPr>
                <w:rFonts w:ascii="Arial" w:cs="Arial" w:eastAsia="Arial" w:hAnsi="Arial"/>
                <w:sz w:val="14"/>
                <w:szCs w:val="14"/>
                <w:color w:val="auto"/>
              </w:rPr>
              <w:t>4,543</w:t>
            </w:r>
          </w:p>
        </w:tc>
        <w:tc>
          <w:tcPr>
            <w:tcW w:w="22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gridSpan w:val="3"/>
          </w:tcPr>
          <w:p>
            <w:pPr>
              <w:jc w:val="right"/>
              <w:ind w:right="46"/>
              <w:spacing w:after="0" w:line="155" w:lineRule="exact"/>
              <w:rPr>
                <w:sz w:val="20"/>
                <w:szCs w:val="20"/>
                <w:color w:val="auto"/>
              </w:rPr>
            </w:pPr>
            <w:r>
              <w:rPr>
                <w:rFonts w:ascii="Arial" w:cs="Arial" w:eastAsia="Arial" w:hAnsi="Arial"/>
                <w:sz w:val="14"/>
                <w:szCs w:val="14"/>
                <w:color w:val="auto"/>
                <w:w w:val="96"/>
              </w:rPr>
              <w:t>7,108</w:t>
            </w:r>
          </w:p>
        </w:tc>
        <w:tc>
          <w:tcPr>
            <w:tcW w:w="880" w:type="dxa"/>
            <w:vAlign w:val="bottom"/>
            <w:tcBorders>
              <w:bottom w:val="single" w:sz="8" w:color="auto"/>
            </w:tcBorders>
            <w:gridSpan w:val="2"/>
          </w:tcPr>
          <w:p>
            <w:pPr>
              <w:jc w:val="right"/>
              <w:ind w:right="37"/>
              <w:spacing w:after="0" w:line="155" w:lineRule="exact"/>
              <w:rPr>
                <w:sz w:val="20"/>
                <w:szCs w:val="20"/>
                <w:color w:val="auto"/>
              </w:rPr>
            </w:pPr>
            <w:r>
              <w:rPr>
                <w:rFonts w:ascii="Arial" w:cs="Arial" w:eastAsia="Arial" w:hAnsi="Arial"/>
                <w:sz w:val="14"/>
                <w:szCs w:val="14"/>
                <w:color w:val="auto"/>
              </w:rPr>
              <w:t>4,015</w:t>
            </w:r>
          </w:p>
        </w:tc>
        <w:tc>
          <w:tcPr>
            <w:tcW w:w="8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4,711</w:t>
            </w:r>
          </w:p>
        </w:tc>
        <w:tc>
          <w:tcPr>
            <w:tcW w:w="580" w:type="dxa"/>
            <w:vAlign w:val="bottom"/>
            <w:tcBorders>
              <w:bottom w:val="single" w:sz="8" w:color="auto"/>
            </w:tcBorders>
          </w:tcPr>
          <w:p>
            <w:pPr>
              <w:jc w:val="right"/>
              <w:ind w:right="31"/>
              <w:spacing w:after="0" w:line="155" w:lineRule="exact"/>
              <w:rPr>
                <w:sz w:val="20"/>
                <w:szCs w:val="20"/>
                <w:color w:val="auto"/>
              </w:rPr>
            </w:pPr>
            <w:r>
              <w:rPr>
                <w:rFonts w:ascii="Arial" w:cs="Arial" w:eastAsia="Arial" w:hAnsi="Arial"/>
                <w:sz w:val="14"/>
                <w:szCs w:val="14"/>
                <w:color w:val="auto"/>
              </w:rPr>
              <w:t>8,726</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6220" w:type="dxa"/>
            <w:vAlign w:val="bottom"/>
            <w:gridSpan w:val="6"/>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20" w:type="dxa"/>
            <w:vAlign w:val="bottom"/>
            <w:gridSpan w:val="2"/>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6220" w:type="dxa"/>
            <w:vAlign w:val="bottom"/>
            <w:tcBorders>
              <w:right w:val="single" w:sz="8" w:color="333333"/>
            </w:tcBorders>
            <w:gridSpan w:val="6"/>
            <w:shd w:val="clear" w:color="auto" w:fill="333333"/>
          </w:tcPr>
          <w:p>
            <w:pPr>
              <w:ind w:left="80"/>
              <w:spacing w:after="0" w:line="162" w:lineRule="exact"/>
              <w:rPr>
                <w:sz w:val="20"/>
                <w:szCs w:val="20"/>
                <w:color w:val="auto"/>
              </w:rPr>
            </w:pPr>
            <w:r>
              <w:rPr>
                <w:rFonts w:ascii="Arial" w:cs="Arial" w:eastAsia="Arial" w:hAnsi="Arial"/>
                <w:sz w:val="15"/>
                <w:szCs w:val="15"/>
                <w:b w:val="1"/>
                <w:bCs w:val="1"/>
                <w:color w:val="FFFFFF"/>
              </w:rPr>
              <w:t>CARRYING AMOUNT OF INTERESTS IN JOINT VENTURES AND ASSOCIATES</w:t>
            </w:r>
          </w:p>
        </w:tc>
        <w:tc>
          <w:tcPr>
            <w:tcW w:w="560" w:type="dxa"/>
            <w:vAlign w:val="bottom"/>
            <w:shd w:val="clear" w:color="auto" w:fill="333333"/>
          </w:tcPr>
          <w:p>
            <w:pPr>
              <w:spacing w:after="0"/>
              <w:rPr>
                <w:sz w:val="14"/>
                <w:szCs w:val="14"/>
                <w:color w:val="auto"/>
              </w:rPr>
            </w:pPr>
          </w:p>
        </w:tc>
        <w:tc>
          <w:tcPr>
            <w:tcW w:w="160" w:type="dxa"/>
            <w:vAlign w:val="bottom"/>
            <w:shd w:val="clear" w:color="auto" w:fill="333333"/>
          </w:tcPr>
          <w:p>
            <w:pPr>
              <w:spacing w:after="0"/>
              <w:rPr>
                <w:sz w:val="14"/>
                <w:szCs w:val="14"/>
                <w:color w:val="auto"/>
              </w:rPr>
            </w:pPr>
          </w:p>
        </w:tc>
        <w:tc>
          <w:tcPr>
            <w:tcW w:w="20" w:type="dxa"/>
            <w:vAlign w:val="bottom"/>
            <w:shd w:val="clear" w:color="auto" w:fill="333333"/>
          </w:tcPr>
          <w:p>
            <w:pPr>
              <w:spacing w:after="0"/>
              <w:rPr>
                <w:sz w:val="14"/>
                <w:szCs w:val="14"/>
                <w:color w:val="auto"/>
              </w:rPr>
            </w:pPr>
          </w:p>
        </w:tc>
        <w:tc>
          <w:tcPr>
            <w:tcW w:w="1000" w:type="dxa"/>
            <w:vAlign w:val="bottom"/>
            <w:shd w:val="clear" w:color="auto" w:fill="333333"/>
          </w:tcPr>
          <w:p>
            <w:pPr>
              <w:spacing w:after="0"/>
              <w:rPr>
                <w:sz w:val="14"/>
                <w:szCs w:val="14"/>
                <w:color w:val="auto"/>
              </w:rPr>
            </w:pPr>
          </w:p>
        </w:tc>
        <w:tc>
          <w:tcPr>
            <w:tcW w:w="180" w:type="dxa"/>
            <w:vAlign w:val="bottom"/>
            <w:shd w:val="clear" w:color="auto" w:fill="333333"/>
          </w:tcPr>
          <w:p>
            <w:pPr>
              <w:spacing w:after="0"/>
              <w:rPr>
                <w:sz w:val="14"/>
                <w:szCs w:val="14"/>
                <w:color w:val="auto"/>
              </w:rPr>
            </w:pPr>
          </w:p>
        </w:tc>
        <w:tc>
          <w:tcPr>
            <w:tcW w:w="300" w:type="dxa"/>
            <w:vAlign w:val="bottom"/>
            <w:shd w:val="clear" w:color="auto" w:fill="333333"/>
          </w:tcPr>
          <w:p>
            <w:pPr>
              <w:spacing w:after="0"/>
              <w:rPr>
                <w:sz w:val="14"/>
                <w:szCs w:val="14"/>
                <w:color w:val="auto"/>
              </w:rPr>
            </w:pPr>
          </w:p>
        </w:tc>
        <w:tc>
          <w:tcPr>
            <w:tcW w:w="220" w:type="dxa"/>
            <w:vAlign w:val="bottom"/>
            <w:shd w:val="clear" w:color="auto" w:fill="333333"/>
          </w:tcPr>
          <w:p>
            <w:pPr>
              <w:spacing w:after="0"/>
              <w:rPr>
                <w:sz w:val="14"/>
                <w:szCs w:val="14"/>
                <w:color w:val="auto"/>
              </w:rPr>
            </w:pPr>
          </w:p>
        </w:tc>
        <w:tc>
          <w:tcPr>
            <w:tcW w:w="180" w:type="dxa"/>
            <w:vAlign w:val="bottom"/>
            <w:shd w:val="clear" w:color="auto" w:fill="333333"/>
          </w:tcPr>
          <w:p>
            <w:pPr>
              <w:spacing w:after="0"/>
              <w:rPr>
                <w:sz w:val="14"/>
                <w:szCs w:val="14"/>
                <w:color w:val="auto"/>
              </w:rPr>
            </w:pPr>
          </w:p>
        </w:tc>
        <w:tc>
          <w:tcPr>
            <w:tcW w:w="60" w:type="dxa"/>
            <w:vAlign w:val="bottom"/>
            <w:shd w:val="clear" w:color="auto" w:fill="333333"/>
          </w:tcPr>
          <w:p>
            <w:pPr>
              <w:spacing w:after="0"/>
              <w:rPr>
                <w:sz w:val="14"/>
                <w:szCs w:val="14"/>
                <w:color w:val="auto"/>
              </w:rPr>
            </w:pPr>
          </w:p>
        </w:tc>
        <w:tc>
          <w:tcPr>
            <w:tcW w:w="220" w:type="dxa"/>
            <w:vAlign w:val="bottom"/>
            <w:shd w:val="clear" w:color="auto" w:fill="333333"/>
          </w:tcPr>
          <w:p>
            <w:pPr>
              <w:spacing w:after="0"/>
              <w:rPr>
                <w:sz w:val="14"/>
                <w:szCs w:val="14"/>
                <w:color w:val="auto"/>
              </w:rPr>
            </w:pPr>
          </w:p>
        </w:tc>
        <w:tc>
          <w:tcPr>
            <w:tcW w:w="160" w:type="dxa"/>
            <w:vAlign w:val="bottom"/>
            <w:shd w:val="clear" w:color="auto" w:fill="333333"/>
          </w:tcPr>
          <w:p>
            <w:pPr>
              <w:spacing w:after="0"/>
              <w:rPr>
                <w:sz w:val="14"/>
                <w:szCs w:val="14"/>
                <w:color w:val="auto"/>
              </w:rPr>
            </w:pPr>
          </w:p>
        </w:tc>
        <w:tc>
          <w:tcPr>
            <w:tcW w:w="720" w:type="dxa"/>
            <w:vAlign w:val="bottom"/>
            <w:shd w:val="clear" w:color="auto" w:fill="333333"/>
          </w:tcPr>
          <w:p>
            <w:pPr>
              <w:spacing w:after="0"/>
              <w:rPr>
                <w:sz w:val="14"/>
                <w:szCs w:val="14"/>
                <w:color w:val="auto"/>
              </w:rPr>
            </w:pPr>
          </w:p>
        </w:tc>
        <w:tc>
          <w:tcPr>
            <w:tcW w:w="1420" w:type="dxa"/>
            <w:vAlign w:val="bottom"/>
            <w:gridSpan w:val="2"/>
            <w:shd w:val="clear" w:color="auto" w:fill="333333"/>
          </w:tcPr>
          <w:p>
            <w:pPr>
              <w:jc w:val="right"/>
              <w:ind w:right="31"/>
              <w:spacing w:after="0" w:line="162" w:lineRule="exact"/>
              <w:rPr>
                <w:sz w:val="20"/>
                <w:szCs w:val="20"/>
                <w:color w:val="auto"/>
              </w:rPr>
            </w:pPr>
            <w:r>
              <w:rPr>
                <w:rFonts w:ascii="Arial" w:cs="Arial" w:eastAsia="Arial" w:hAnsi="Arial"/>
                <w:sz w:val="15"/>
                <w:szCs w:val="15"/>
                <w:color w:val="FFFFFF"/>
              </w:rPr>
              <w:t>$ MILLION</w:t>
            </w: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1780" w:type="dxa"/>
            <w:vAlign w:val="bottom"/>
          </w:tcPr>
          <w:p>
            <w:pPr>
              <w:spacing w:after="0"/>
              <w:rPr>
                <w:sz w:val="11"/>
                <w:szCs w:val="11"/>
                <w:color w:val="auto"/>
              </w:rPr>
            </w:pPr>
          </w:p>
        </w:tc>
        <w:tc>
          <w:tcPr>
            <w:tcW w:w="28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40" w:type="dxa"/>
            <w:vAlign w:val="bottom"/>
            <w:tcBorders>
              <w:right w:val="single" w:sz="8" w:color="D8D8D8"/>
            </w:tcBorders>
          </w:tcPr>
          <w:p>
            <w:pPr>
              <w:spacing w:after="0"/>
              <w:rPr>
                <w:sz w:val="11"/>
                <w:szCs w:val="11"/>
                <w:color w:val="auto"/>
              </w:rPr>
            </w:pPr>
          </w:p>
        </w:tc>
        <w:tc>
          <w:tcPr>
            <w:tcW w:w="560" w:type="dxa"/>
            <w:vAlign w:val="bottom"/>
            <w:tcBorders>
              <w:bottom w:val="single" w:sz="8" w:color="auto"/>
            </w:tcBorders>
            <w:shd w:val="clear" w:color="auto" w:fill="D8D8D8"/>
          </w:tcPr>
          <w:p>
            <w:pPr>
              <w:spacing w:after="0"/>
              <w:rPr>
                <w:sz w:val="11"/>
                <w:szCs w:val="11"/>
                <w:color w:val="auto"/>
              </w:rPr>
            </w:pPr>
          </w:p>
        </w:tc>
        <w:tc>
          <w:tcPr>
            <w:tcW w:w="160" w:type="dxa"/>
            <w:vAlign w:val="bottom"/>
            <w:tcBorders>
              <w:bottom w:val="single" w:sz="8" w:color="auto"/>
            </w:tcBorders>
            <w:shd w:val="clear" w:color="auto" w:fill="D8D8D8"/>
          </w:tcPr>
          <w:p>
            <w:pPr>
              <w:spacing w:after="0"/>
              <w:rPr>
                <w:sz w:val="11"/>
                <w:szCs w:val="11"/>
                <w:color w:val="auto"/>
              </w:rPr>
            </w:pPr>
          </w:p>
        </w:tc>
        <w:tc>
          <w:tcPr>
            <w:tcW w:w="20" w:type="dxa"/>
            <w:vAlign w:val="bottom"/>
            <w:tcBorders>
              <w:bottom w:val="single" w:sz="8" w:color="auto"/>
            </w:tcBorders>
            <w:shd w:val="clear" w:color="auto" w:fill="D8D8D8"/>
          </w:tcPr>
          <w:p>
            <w:pPr>
              <w:spacing w:after="0"/>
              <w:rPr>
                <w:sz w:val="11"/>
                <w:szCs w:val="11"/>
                <w:color w:val="auto"/>
              </w:rPr>
            </w:pPr>
          </w:p>
        </w:tc>
        <w:tc>
          <w:tcPr>
            <w:tcW w:w="1700" w:type="dxa"/>
            <w:vAlign w:val="bottom"/>
            <w:tcBorders>
              <w:bottom w:val="single" w:sz="8" w:color="auto"/>
            </w:tcBorders>
            <w:gridSpan w:val="4"/>
            <w:shd w:val="clear" w:color="auto" w:fill="D8D8D8"/>
          </w:tcPr>
          <w:p>
            <w:pPr>
              <w:jc w:val="right"/>
              <w:ind w:right="120"/>
              <w:spacing w:after="0" w:line="135" w:lineRule="exact"/>
              <w:rPr>
                <w:sz w:val="20"/>
                <w:szCs w:val="20"/>
                <w:color w:val="auto"/>
              </w:rPr>
            </w:pPr>
            <w:r>
              <w:rPr>
                <w:rFonts w:ascii="Arial" w:cs="Arial" w:eastAsia="Arial" w:hAnsi="Arial"/>
                <w:sz w:val="13"/>
                <w:szCs w:val="13"/>
                <w:color w:val="auto"/>
              </w:rPr>
              <w:t>Dec 31, 2014</w:t>
            </w: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1420" w:type="dxa"/>
            <w:vAlign w:val="bottom"/>
            <w:tcBorders>
              <w:bottom w:val="single" w:sz="8" w:color="auto"/>
            </w:tcBorders>
            <w:gridSpan w:val="2"/>
          </w:tcPr>
          <w:p>
            <w:pPr>
              <w:jc w:val="right"/>
              <w:ind w:right="31"/>
              <w:spacing w:after="0" w:line="135" w:lineRule="exact"/>
              <w:rPr>
                <w:sz w:val="20"/>
                <w:szCs w:val="20"/>
                <w:color w:val="auto"/>
              </w:rPr>
            </w:pPr>
            <w:r>
              <w:rPr>
                <w:rFonts w:ascii="Arial" w:cs="Arial" w:eastAsia="Arial" w:hAnsi="Arial"/>
                <w:sz w:val="13"/>
                <w:szCs w:val="13"/>
                <w:color w:val="auto"/>
              </w:rPr>
              <w:t>Dec 31, 2013</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3"/>
        </w:trPr>
        <w:tc>
          <w:tcPr>
            <w:tcW w:w="1780" w:type="dxa"/>
            <w:vAlign w:val="bottom"/>
          </w:tcPr>
          <w:p>
            <w:pPr>
              <w:spacing w:after="0"/>
              <w:rPr>
                <w:sz w:val="10"/>
                <w:szCs w:val="10"/>
                <w:color w:val="auto"/>
              </w:rPr>
            </w:pPr>
          </w:p>
        </w:tc>
        <w:tc>
          <w:tcPr>
            <w:tcW w:w="28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40" w:type="dxa"/>
            <w:vAlign w:val="bottom"/>
            <w:tcBorders>
              <w:right w:val="single" w:sz="8" w:color="D8D8D8"/>
            </w:tcBorders>
          </w:tcPr>
          <w:p>
            <w:pPr>
              <w:spacing w:after="0"/>
              <w:rPr>
                <w:sz w:val="10"/>
                <w:szCs w:val="10"/>
                <w:color w:val="auto"/>
              </w:rPr>
            </w:pPr>
          </w:p>
        </w:tc>
        <w:tc>
          <w:tcPr>
            <w:tcW w:w="720" w:type="dxa"/>
            <w:vAlign w:val="bottom"/>
            <w:gridSpan w:val="2"/>
            <w:shd w:val="clear" w:color="auto" w:fill="D8D8D8"/>
          </w:tcPr>
          <w:p>
            <w:pPr>
              <w:jc w:val="right"/>
              <w:ind w:right="40"/>
              <w:spacing w:after="0" w:line="123" w:lineRule="exact"/>
              <w:rPr>
                <w:sz w:val="20"/>
                <w:szCs w:val="20"/>
                <w:color w:val="auto"/>
              </w:rPr>
            </w:pPr>
            <w:r>
              <w:rPr>
                <w:rFonts w:ascii="Arial" w:cs="Arial" w:eastAsia="Arial" w:hAnsi="Arial"/>
                <w:sz w:val="13"/>
                <w:szCs w:val="13"/>
                <w:color w:val="auto"/>
              </w:rPr>
              <w:t>Joint</w:t>
            </w:r>
          </w:p>
        </w:tc>
        <w:tc>
          <w:tcPr>
            <w:tcW w:w="20" w:type="dxa"/>
            <w:vAlign w:val="bottom"/>
            <w:shd w:val="clear" w:color="auto" w:fill="D8D8D8"/>
          </w:tcPr>
          <w:p>
            <w:pPr>
              <w:spacing w:after="0"/>
              <w:rPr>
                <w:sz w:val="10"/>
                <w:szCs w:val="10"/>
                <w:color w:val="auto"/>
              </w:rPr>
            </w:pPr>
          </w:p>
        </w:tc>
        <w:tc>
          <w:tcPr>
            <w:tcW w:w="1000" w:type="dxa"/>
            <w:vAlign w:val="bottom"/>
            <w:shd w:val="clear" w:color="auto" w:fill="D8D8D8"/>
          </w:tcPr>
          <w:p>
            <w:pPr>
              <w:spacing w:after="0"/>
              <w:rPr>
                <w:sz w:val="10"/>
                <w:szCs w:val="10"/>
                <w:color w:val="auto"/>
              </w:rPr>
            </w:pPr>
          </w:p>
        </w:tc>
        <w:tc>
          <w:tcPr>
            <w:tcW w:w="180" w:type="dxa"/>
            <w:vAlign w:val="bottom"/>
            <w:shd w:val="clear" w:color="auto" w:fill="D8D8D8"/>
          </w:tcPr>
          <w:p>
            <w:pPr>
              <w:spacing w:after="0"/>
              <w:rPr>
                <w:sz w:val="10"/>
                <w:szCs w:val="10"/>
                <w:color w:val="auto"/>
              </w:rPr>
            </w:pPr>
          </w:p>
        </w:tc>
        <w:tc>
          <w:tcPr>
            <w:tcW w:w="300" w:type="dxa"/>
            <w:vAlign w:val="bottom"/>
            <w:shd w:val="clear" w:color="auto" w:fill="D8D8D8"/>
          </w:tcPr>
          <w:p>
            <w:pPr>
              <w:spacing w:after="0"/>
              <w:rPr>
                <w:sz w:val="10"/>
                <w:szCs w:val="10"/>
                <w:color w:val="auto"/>
              </w:rPr>
            </w:pPr>
          </w:p>
        </w:tc>
        <w:tc>
          <w:tcPr>
            <w:tcW w:w="220" w:type="dxa"/>
            <w:vAlign w:val="bottom"/>
            <w:shd w:val="clear" w:color="auto" w:fill="D8D8D8"/>
          </w:tcPr>
          <w:p>
            <w:pPr>
              <w:spacing w:after="0"/>
              <w:rPr>
                <w:sz w:val="10"/>
                <w:szCs w:val="10"/>
                <w:color w:val="auto"/>
              </w:rPr>
            </w:pPr>
          </w:p>
        </w:tc>
        <w:tc>
          <w:tcPr>
            <w:tcW w:w="1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20" w:type="dxa"/>
            <w:vAlign w:val="bottom"/>
          </w:tcPr>
          <w:p>
            <w:pPr>
              <w:jc w:val="right"/>
              <w:ind w:right="277"/>
              <w:spacing w:after="0" w:line="123" w:lineRule="exact"/>
              <w:rPr>
                <w:sz w:val="20"/>
                <w:szCs w:val="20"/>
                <w:color w:val="auto"/>
              </w:rPr>
            </w:pPr>
            <w:r>
              <w:rPr>
                <w:rFonts w:ascii="Arial" w:cs="Arial" w:eastAsia="Arial" w:hAnsi="Arial"/>
                <w:sz w:val="13"/>
                <w:szCs w:val="13"/>
                <w:color w:val="auto"/>
              </w:rPr>
              <w:t>Joint</w:t>
            </w:r>
          </w:p>
        </w:tc>
        <w:tc>
          <w:tcPr>
            <w:tcW w:w="8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1"/>
        </w:trPr>
        <w:tc>
          <w:tcPr>
            <w:tcW w:w="178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tcBorders>
              <w:right w:val="single" w:sz="8" w:color="D8D8D8"/>
            </w:tcBorders>
          </w:tcPr>
          <w:p>
            <w:pPr>
              <w:spacing w:after="0"/>
              <w:rPr>
                <w:sz w:val="12"/>
                <w:szCs w:val="12"/>
                <w:color w:val="auto"/>
              </w:rPr>
            </w:pPr>
          </w:p>
        </w:tc>
        <w:tc>
          <w:tcPr>
            <w:tcW w:w="720" w:type="dxa"/>
            <w:vAlign w:val="bottom"/>
            <w:gridSpan w:val="2"/>
            <w:shd w:val="clear" w:color="auto" w:fill="D8D8D8"/>
          </w:tcPr>
          <w:p>
            <w:pPr>
              <w:jc w:val="right"/>
              <w:ind w:right="40"/>
              <w:spacing w:after="0" w:line="141" w:lineRule="exact"/>
              <w:rPr>
                <w:sz w:val="20"/>
                <w:szCs w:val="20"/>
                <w:color w:val="auto"/>
              </w:rPr>
            </w:pPr>
            <w:r>
              <w:rPr>
                <w:rFonts w:ascii="Arial" w:cs="Arial" w:eastAsia="Arial" w:hAnsi="Arial"/>
                <w:sz w:val="13"/>
                <w:szCs w:val="13"/>
                <w:color w:val="auto"/>
              </w:rPr>
              <w:t>ventures</w:t>
            </w:r>
          </w:p>
        </w:tc>
        <w:tc>
          <w:tcPr>
            <w:tcW w:w="20" w:type="dxa"/>
            <w:vAlign w:val="bottom"/>
            <w:shd w:val="clear" w:color="auto" w:fill="D8D8D8"/>
          </w:tcPr>
          <w:p>
            <w:pPr>
              <w:spacing w:after="0"/>
              <w:rPr>
                <w:sz w:val="12"/>
                <w:szCs w:val="12"/>
                <w:color w:val="auto"/>
              </w:rPr>
            </w:pPr>
          </w:p>
        </w:tc>
        <w:tc>
          <w:tcPr>
            <w:tcW w:w="1000" w:type="dxa"/>
            <w:vAlign w:val="bottom"/>
            <w:shd w:val="clear" w:color="auto" w:fill="D8D8D8"/>
          </w:tcPr>
          <w:p>
            <w:pPr>
              <w:jc w:val="right"/>
              <w:ind w:right="35"/>
              <w:spacing w:after="0" w:line="141" w:lineRule="exact"/>
              <w:rPr>
                <w:sz w:val="20"/>
                <w:szCs w:val="20"/>
                <w:color w:val="auto"/>
              </w:rPr>
            </w:pPr>
            <w:r>
              <w:rPr>
                <w:rFonts w:ascii="Arial" w:cs="Arial" w:eastAsia="Arial" w:hAnsi="Arial"/>
                <w:sz w:val="13"/>
                <w:szCs w:val="13"/>
                <w:color w:val="auto"/>
              </w:rPr>
              <w:t>Associates</w:t>
            </w:r>
          </w:p>
        </w:tc>
        <w:tc>
          <w:tcPr>
            <w:tcW w:w="180" w:type="dxa"/>
            <w:vAlign w:val="bottom"/>
            <w:shd w:val="clear" w:color="auto" w:fill="D8D8D8"/>
          </w:tcPr>
          <w:p>
            <w:pPr>
              <w:spacing w:after="0"/>
              <w:rPr>
                <w:sz w:val="12"/>
                <w:szCs w:val="12"/>
                <w:color w:val="auto"/>
              </w:rPr>
            </w:pPr>
          </w:p>
        </w:tc>
        <w:tc>
          <w:tcPr>
            <w:tcW w:w="520" w:type="dxa"/>
            <w:vAlign w:val="bottom"/>
            <w:gridSpan w:val="2"/>
            <w:shd w:val="clear" w:color="auto" w:fill="D8D8D8"/>
          </w:tcPr>
          <w:p>
            <w:pPr>
              <w:jc w:val="right"/>
              <w:ind w:right="120"/>
              <w:spacing w:after="0" w:line="141" w:lineRule="exact"/>
              <w:rPr>
                <w:sz w:val="20"/>
                <w:szCs w:val="20"/>
                <w:color w:val="auto"/>
              </w:rPr>
            </w:pPr>
            <w:r>
              <w:rPr>
                <w:rFonts w:ascii="Arial" w:cs="Arial" w:eastAsia="Arial" w:hAnsi="Arial"/>
                <w:sz w:val="13"/>
                <w:szCs w:val="13"/>
                <w:color w:val="auto"/>
              </w:rPr>
              <w:t>Total</w:t>
            </w: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gridSpan w:val="2"/>
          </w:tcPr>
          <w:p>
            <w:pPr>
              <w:jc w:val="right"/>
              <w:ind w:right="277"/>
              <w:spacing w:after="0" w:line="141" w:lineRule="exact"/>
              <w:rPr>
                <w:sz w:val="20"/>
                <w:szCs w:val="20"/>
                <w:color w:val="auto"/>
              </w:rPr>
            </w:pPr>
            <w:r>
              <w:rPr>
                <w:rFonts w:ascii="Arial" w:cs="Arial" w:eastAsia="Arial" w:hAnsi="Arial"/>
                <w:sz w:val="13"/>
                <w:szCs w:val="13"/>
                <w:color w:val="auto"/>
              </w:rPr>
              <w:t>ventures</w:t>
            </w:r>
          </w:p>
        </w:tc>
        <w:tc>
          <w:tcPr>
            <w:tcW w:w="840" w:type="dxa"/>
            <w:vAlign w:val="bottom"/>
          </w:tcPr>
          <w:p>
            <w:pPr>
              <w:jc w:val="right"/>
              <w:ind w:right="150"/>
              <w:spacing w:after="0" w:line="141" w:lineRule="exact"/>
              <w:rPr>
                <w:sz w:val="20"/>
                <w:szCs w:val="20"/>
                <w:color w:val="auto"/>
              </w:rPr>
            </w:pPr>
            <w:r>
              <w:rPr>
                <w:rFonts w:ascii="Arial" w:cs="Arial" w:eastAsia="Arial" w:hAnsi="Arial"/>
                <w:sz w:val="13"/>
                <w:szCs w:val="13"/>
                <w:color w:val="auto"/>
                <w:w w:val="95"/>
              </w:rPr>
              <w:t>Associates</w:t>
            </w:r>
          </w:p>
        </w:tc>
        <w:tc>
          <w:tcPr>
            <w:tcW w:w="600" w:type="dxa"/>
            <w:vAlign w:val="bottom"/>
            <w:gridSpan w:val="2"/>
          </w:tcPr>
          <w:p>
            <w:pPr>
              <w:jc w:val="right"/>
              <w:ind w:right="120"/>
              <w:spacing w:after="0" w:line="141" w:lineRule="exact"/>
              <w:rPr>
                <w:sz w:val="20"/>
                <w:szCs w:val="20"/>
                <w:color w:val="auto"/>
              </w:rPr>
            </w:pPr>
            <w:r>
              <w:rPr>
                <w:rFonts w:ascii="Arial" w:cs="Arial" w:eastAsia="Arial" w:hAnsi="Arial"/>
                <w:sz w:val="13"/>
                <w:szCs w:val="13"/>
                <w:color w:val="auto"/>
              </w:rPr>
              <w:t>Total</w:t>
            </w:r>
          </w:p>
        </w:tc>
        <w:tc>
          <w:tcPr>
            <w:tcW w:w="0" w:type="dxa"/>
            <w:vAlign w:val="bottom"/>
          </w:tcPr>
          <w:p>
            <w:pPr>
              <w:spacing w:after="0"/>
              <w:rPr>
                <w:sz w:val="1"/>
                <w:szCs w:val="1"/>
                <w:color w:val="auto"/>
              </w:rPr>
            </w:pPr>
          </w:p>
        </w:tc>
      </w:tr>
      <w:tr>
        <w:trPr>
          <w:trHeight w:val="156"/>
        </w:trPr>
        <w:tc>
          <w:tcPr>
            <w:tcW w:w="178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color w:val="auto"/>
              </w:rPr>
              <w:t>Net assets</w:t>
            </w:r>
          </w:p>
        </w:tc>
        <w:tc>
          <w:tcPr>
            <w:tcW w:w="2860" w:type="dxa"/>
            <w:vAlign w:val="bottom"/>
            <w:tcBorders>
              <w:top w:val="single" w:sz="8" w:color="auto"/>
              <w:bottom w:val="single" w:sz="8" w:color="auto"/>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560" w:type="dxa"/>
            <w:vAlign w:val="bottom"/>
            <w:tcBorders>
              <w:top w:val="single" w:sz="8" w:color="auto"/>
              <w:bottom w:val="single" w:sz="8" w:color="auto"/>
            </w:tcBorders>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640" w:type="dxa"/>
            <w:vAlign w:val="bottom"/>
            <w:tcBorders>
              <w:top w:val="single" w:sz="8" w:color="auto"/>
              <w:bottom w:val="single" w:sz="8" w:color="auto"/>
              <w:right w:val="single" w:sz="8" w:color="D8D8D8"/>
            </w:tcBorders>
          </w:tcPr>
          <w:p>
            <w:pPr>
              <w:spacing w:after="0"/>
              <w:rPr>
                <w:sz w:val="13"/>
                <w:szCs w:val="13"/>
                <w:color w:val="auto"/>
              </w:rPr>
            </w:pPr>
          </w:p>
        </w:tc>
        <w:tc>
          <w:tcPr>
            <w:tcW w:w="720" w:type="dxa"/>
            <w:vAlign w:val="bottom"/>
            <w:tcBorders>
              <w:top w:val="single" w:sz="8" w:color="auto"/>
              <w:bottom w:val="single" w:sz="8" w:color="auto"/>
            </w:tcBorders>
            <w:gridSpan w:val="2"/>
            <w:shd w:val="clear" w:color="auto" w:fill="D8D8D8"/>
          </w:tcPr>
          <w:p>
            <w:pPr>
              <w:jc w:val="right"/>
              <w:ind w:right="40"/>
              <w:spacing w:after="0" w:line="155" w:lineRule="exact"/>
              <w:rPr>
                <w:sz w:val="20"/>
                <w:szCs w:val="20"/>
                <w:color w:val="auto"/>
              </w:rPr>
            </w:pPr>
            <w:r>
              <w:rPr>
                <w:rFonts w:ascii="Arial" w:cs="Arial" w:eastAsia="Arial" w:hAnsi="Arial"/>
                <w:sz w:val="14"/>
                <w:szCs w:val="14"/>
                <w:color w:val="auto"/>
              </w:rPr>
              <w:t>20,387</w:t>
            </w:r>
          </w:p>
        </w:tc>
        <w:tc>
          <w:tcPr>
            <w:tcW w:w="1020" w:type="dxa"/>
            <w:vAlign w:val="bottom"/>
            <w:tcBorders>
              <w:top w:val="single" w:sz="8" w:color="auto"/>
              <w:bottom w:val="single" w:sz="8" w:color="auto"/>
            </w:tcBorders>
            <w:gridSpan w:val="2"/>
            <w:shd w:val="clear" w:color="auto" w:fill="D8D8D8"/>
          </w:tcPr>
          <w:p>
            <w:pPr>
              <w:jc w:val="right"/>
              <w:ind w:right="35"/>
              <w:spacing w:after="0" w:line="155" w:lineRule="exact"/>
              <w:rPr>
                <w:sz w:val="20"/>
                <w:szCs w:val="20"/>
                <w:color w:val="auto"/>
              </w:rPr>
            </w:pPr>
            <w:r>
              <w:rPr>
                <w:rFonts w:ascii="Arial" w:cs="Arial" w:eastAsia="Arial" w:hAnsi="Arial"/>
                <w:sz w:val="14"/>
                <w:szCs w:val="14"/>
                <w:color w:val="auto"/>
              </w:rPr>
              <w:t>11,171</w:t>
            </w:r>
          </w:p>
        </w:tc>
        <w:tc>
          <w:tcPr>
            <w:tcW w:w="700" w:type="dxa"/>
            <w:vAlign w:val="bottom"/>
            <w:tcBorders>
              <w:top w:val="single" w:sz="8" w:color="auto"/>
              <w:bottom w:val="single" w:sz="8" w:color="auto"/>
            </w:tcBorders>
            <w:gridSpan w:val="3"/>
            <w:shd w:val="clear" w:color="auto" w:fill="D8D8D8"/>
          </w:tcPr>
          <w:p>
            <w:pPr>
              <w:jc w:val="right"/>
              <w:ind w:right="120"/>
              <w:spacing w:after="0" w:line="155" w:lineRule="exact"/>
              <w:rPr>
                <w:sz w:val="20"/>
                <w:szCs w:val="20"/>
                <w:color w:val="auto"/>
              </w:rPr>
            </w:pPr>
            <w:r>
              <w:rPr>
                <w:rFonts w:ascii="Arial" w:cs="Arial" w:eastAsia="Arial" w:hAnsi="Arial"/>
                <w:sz w:val="14"/>
                <w:szCs w:val="14"/>
                <w:color w:val="auto"/>
              </w:rPr>
              <w:t>31,558</w:t>
            </w:r>
          </w:p>
        </w:tc>
        <w:tc>
          <w:tcPr>
            <w:tcW w:w="180" w:type="dxa"/>
            <w:vAlign w:val="bottom"/>
            <w:tcBorders>
              <w:top w:val="single" w:sz="8" w:color="auto"/>
              <w:bottom w:val="single" w:sz="8" w:color="auto"/>
            </w:tcBorders>
          </w:tcPr>
          <w:p>
            <w:pPr>
              <w:spacing w:after="0"/>
              <w:rPr>
                <w:sz w:val="13"/>
                <w:szCs w:val="13"/>
                <w:color w:val="auto"/>
              </w:rPr>
            </w:pPr>
          </w:p>
        </w:tc>
        <w:tc>
          <w:tcPr>
            <w:tcW w:w="60" w:type="dxa"/>
            <w:vAlign w:val="bottom"/>
            <w:tcBorders>
              <w:top w:val="single" w:sz="8" w:color="auto"/>
              <w:bottom w:val="single" w:sz="8" w:color="auto"/>
            </w:tcBorders>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880" w:type="dxa"/>
            <w:vAlign w:val="bottom"/>
            <w:tcBorders>
              <w:top w:val="single" w:sz="8" w:color="auto"/>
              <w:bottom w:val="single" w:sz="8" w:color="auto"/>
            </w:tcBorders>
            <w:gridSpan w:val="2"/>
          </w:tcPr>
          <w:p>
            <w:pPr>
              <w:jc w:val="right"/>
              <w:ind w:right="277"/>
              <w:spacing w:after="0" w:line="155" w:lineRule="exact"/>
              <w:rPr>
                <w:sz w:val="20"/>
                <w:szCs w:val="20"/>
                <w:color w:val="auto"/>
              </w:rPr>
            </w:pPr>
            <w:r>
              <w:rPr>
                <w:rFonts w:ascii="Arial" w:cs="Arial" w:eastAsia="Arial" w:hAnsi="Arial"/>
                <w:sz w:val="14"/>
                <w:szCs w:val="14"/>
                <w:color w:val="auto"/>
              </w:rPr>
              <w:t>21,889</w:t>
            </w:r>
          </w:p>
        </w:tc>
        <w:tc>
          <w:tcPr>
            <w:tcW w:w="840" w:type="dxa"/>
            <w:vAlign w:val="bottom"/>
            <w:tcBorders>
              <w:top w:val="single" w:sz="8" w:color="auto"/>
              <w:bottom w:val="single" w:sz="8" w:color="auto"/>
            </w:tcBorders>
          </w:tcPr>
          <w:p>
            <w:pPr>
              <w:jc w:val="right"/>
              <w:ind w:right="150"/>
              <w:spacing w:after="0" w:line="155" w:lineRule="exact"/>
              <w:rPr>
                <w:sz w:val="20"/>
                <w:szCs w:val="20"/>
                <w:color w:val="auto"/>
              </w:rPr>
            </w:pPr>
            <w:r>
              <w:rPr>
                <w:rFonts w:ascii="Arial" w:cs="Arial" w:eastAsia="Arial" w:hAnsi="Arial"/>
                <w:sz w:val="14"/>
                <w:szCs w:val="14"/>
                <w:color w:val="auto"/>
              </w:rPr>
              <w:t>12,724</w:t>
            </w:r>
          </w:p>
        </w:tc>
        <w:tc>
          <w:tcPr>
            <w:tcW w:w="580" w:type="dxa"/>
            <w:vAlign w:val="bottom"/>
            <w:tcBorders>
              <w:top w:val="single" w:sz="8" w:color="auto"/>
              <w:bottom w:val="single" w:sz="8" w:color="auto"/>
            </w:tcBorders>
          </w:tcPr>
          <w:p>
            <w:pPr>
              <w:jc w:val="right"/>
              <w:ind w:right="31"/>
              <w:spacing w:after="0" w:line="155" w:lineRule="exact"/>
              <w:rPr>
                <w:sz w:val="20"/>
                <w:szCs w:val="20"/>
                <w:color w:val="auto"/>
              </w:rPr>
            </w:pPr>
            <w:r>
              <w:rPr>
                <w:rFonts w:ascii="Arial" w:cs="Arial" w:eastAsia="Arial" w:hAnsi="Arial"/>
                <w:sz w:val="14"/>
                <w:szCs w:val="14"/>
                <w:color w:val="auto"/>
              </w:rPr>
              <w:t>34,613</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4800" w:type="dxa"/>
            <w:vAlign w:val="bottom"/>
            <w:gridSpan w:val="3"/>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20" w:type="dxa"/>
            <w:vAlign w:val="bottom"/>
            <w:gridSpan w:val="2"/>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4800" w:type="dxa"/>
            <w:vAlign w:val="bottom"/>
            <w:gridSpan w:val="3"/>
            <w:shd w:val="clear" w:color="auto" w:fill="333333"/>
          </w:tcPr>
          <w:p>
            <w:pPr>
              <w:ind w:left="80"/>
              <w:spacing w:after="0" w:line="162" w:lineRule="exact"/>
              <w:rPr>
                <w:sz w:val="20"/>
                <w:szCs w:val="20"/>
                <w:color w:val="auto"/>
              </w:rPr>
            </w:pPr>
            <w:r>
              <w:rPr>
                <w:rFonts w:ascii="Arial" w:cs="Arial" w:eastAsia="Arial" w:hAnsi="Arial"/>
                <w:sz w:val="15"/>
                <w:szCs w:val="15"/>
                <w:b w:val="1"/>
                <w:bCs w:val="1"/>
                <w:color w:val="FFFFFF"/>
              </w:rPr>
              <w:t>TRANSACTIONS WITH JOINT VENTURES AND ASSOCIATES</w:t>
            </w:r>
          </w:p>
        </w:tc>
        <w:tc>
          <w:tcPr>
            <w:tcW w:w="560" w:type="dxa"/>
            <w:vAlign w:val="bottom"/>
            <w:shd w:val="clear" w:color="auto" w:fill="333333"/>
          </w:tcPr>
          <w:p>
            <w:pPr>
              <w:spacing w:after="0"/>
              <w:rPr>
                <w:sz w:val="14"/>
                <w:szCs w:val="14"/>
                <w:color w:val="auto"/>
              </w:rPr>
            </w:pPr>
          </w:p>
        </w:tc>
        <w:tc>
          <w:tcPr>
            <w:tcW w:w="220" w:type="dxa"/>
            <w:vAlign w:val="bottom"/>
            <w:tcBorders>
              <w:right w:val="single" w:sz="8" w:color="333333"/>
            </w:tcBorders>
            <w:shd w:val="clear" w:color="auto" w:fill="333333"/>
          </w:tcPr>
          <w:p>
            <w:pPr>
              <w:spacing w:after="0"/>
              <w:rPr>
                <w:sz w:val="14"/>
                <w:szCs w:val="14"/>
                <w:color w:val="auto"/>
              </w:rPr>
            </w:pPr>
          </w:p>
        </w:tc>
        <w:tc>
          <w:tcPr>
            <w:tcW w:w="640" w:type="dxa"/>
            <w:vAlign w:val="bottom"/>
            <w:tcBorders>
              <w:right w:val="single" w:sz="8" w:color="333333"/>
            </w:tcBorders>
            <w:shd w:val="clear" w:color="auto" w:fill="333333"/>
          </w:tcPr>
          <w:p>
            <w:pPr>
              <w:spacing w:after="0"/>
              <w:rPr>
                <w:sz w:val="14"/>
                <w:szCs w:val="14"/>
                <w:color w:val="auto"/>
              </w:rPr>
            </w:pPr>
          </w:p>
        </w:tc>
        <w:tc>
          <w:tcPr>
            <w:tcW w:w="560" w:type="dxa"/>
            <w:vAlign w:val="bottom"/>
            <w:shd w:val="clear" w:color="auto" w:fill="333333"/>
          </w:tcPr>
          <w:p>
            <w:pPr>
              <w:spacing w:after="0"/>
              <w:rPr>
                <w:sz w:val="14"/>
                <w:szCs w:val="14"/>
                <w:color w:val="auto"/>
              </w:rPr>
            </w:pPr>
          </w:p>
        </w:tc>
        <w:tc>
          <w:tcPr>
            <w:tcW w:w="160" w:type="dxa"/>
            <w:vAlign w:val="bottom"/>
            <w:shd w:val="clear" w:color="auto" w:fill="333333"/>
          </w:tcPr>
          <w:p>
            <w:pPr>
              <w:spacing w:after="0"/>
              <w:rPr>
                <w:sz w:val="14"/>
                <w:szCs w:val="14"/>
                <w:color w:val="auto"/>
              </w:rPr>
            </w:pPr>
          </w:p>
        </w:tc>
        <w:tc>
          <w:tcPr>
            <w:tcW w:w="20" w:type="dxa"/>
            <w:vAlign w:val="bottom"/>
            <w:shd w:val="clear" w:color="auto" w:fill="333333"/>
          </w:tcPr>
          <w:p>
            <w:pPr>
              <w:spacing w:after="0"/>
              <w:rPr>
                <w:sz w:val="14"/>
                <w:szCs w:val="14"/>
                <w:color w:val="auto"/>
              </w:rPr>
            </w:pPr>
          </w:p>
        </w:tc>
        <w:tc>
          <w:tcPr>
            <w:tcW w:w="1000" w:type="dxa"/>
            <w:vAlign w:val="bottom"/>
            <w:shd w:val="clear" w:color="auto" w:fill="333333"/>
          </w:tcPr>
          <w:p>
            <w:pPr>
              <w:spacing w:after="0"/>
              <w:rPr>
                <w:sz w:val="14"/>
                <w:szCs w:val="14"/>
                <w:color w:val="auto"/>
              </w:rPr>
            </w:pPr>
          </w:p>
        </w:tc>
        <w:tc>
          <w:tcPr>
            <w:tcW w:w="180" w:type="dxa"/>
            <w:vAlign w:val="bottom"/>
            <w:shd w:val="clear" w:color="auto" w:fill="333333"/>
          </w:tcPr>
          <w:p>
            <w:pPr>
              <w:spacing w:after="0"/>
              <w:rPr>
                <w:sz w:val="14"/>
                <w:szCs w:val="14"/>
                <w:color w:val="auto"/>
              </w:rPr>
            </w:pPr>
          </w:p>
        </w:tc>
        <w:tc>
          <w:tcPr>
            <w:tcW w:w="300" w:type="dxa"/>
            <w:vAlign w:val="bottom"/>
            <w:shd w:val="clear" w:color="auto" w:fill="333333"/>
          </w:tcPr>
          <w:p>
            <w:pPr>
              <w:spacing w:after="0"/>
              <w:rPr>
                <w:sz w:val="14"/>
                <w:szCs w:val="14"/>
                <w:color w:val="auto"/>
              </w:rPr>
            </w:pPr>
          </w:p>
        </w:tc>
        <w:tc>
          <w:tcPr>
            <w:tcW w:w="220" w:type="dxa"/>
            <w:vAlign w:val="bottom"/>
            <w:shd w:val="clear" w:color="auto" w:fill="333333"/>
          </w:tcPr>
          <w:p>
            <w:pPr>
              <w:spacing w:after="0"/>
              <w:rPr>
                <w:sz w:val="14"/>
                <w:szCs w:val="14"/>
                <w:color w:val="auto"/>
              </w:rPr>
            </w:pPr>
          </w:p>
        </w:tc>
        <w:tc>
          <w:tcPr>
            <w:tcW w:w="180" w:type="dxa"/>
            <w:vAlign w:val="bottom"/>
            <w:shd w:val="clear" w:color="auto" w:fill="333333"/>
          </w:tcPr>
          <w:p>
            <w:pPr>
              <w:spacing w:after="0"/>
              <w:rPr>
                <w:sz w:val="14"/>
                <w:szCs w:val="14"/>
                <w:color w:val="auto"/>
              </w:rPr>
            </w:pPr>
          </w:p>
        </w:tc>
        <w:tc>
          <w:tcPr>
            <w:tcW w:w="60" w:type="dxa"/>
            <w:vAlign w:val="bottom"/>
            <w:shd w:val="clear" w:color="auto" w:fill="333333"/>
          </w:tcPr>
          <w:p>
            <w:pPr>
              <w:spacing w:after="0"/>
              <w:rPr>
                <w:sz w:val="14"/>
                <w:szCs w:val="14"/>
                <w:color w:val="auto"/>
              </w:rPr>
            </w:pPr>
          </w:p>
        </w:tc>
        <w:tc>
          <w:tcPr>
            <w:tcW w:w="220" w:type="dxa"/>
            <w:vAlign w:val="bottom"/>
            <w:shd w:val="clear" w:color="auto" w:fill="333333"/>
          </w:tcPr>
          <w:p>
            <w:pPr>
              <w:spacing w:after="0"/>
              <w:rPr>
                <w:sz w:val="14"/>
                <w:szCs w:val="14"/>
                <w:color w:val="auto"/>
              </w:rPr>
            </w:pPr>
          </w:p>
        </w:tc>
        <w:tc>
          <w:tcPr>
            <w:tcW w:w="160" w:type="dxa"/>
            <w:vAlign w:val="bottom"/>
            <w:shd w:val="clear" w:color="auto" w:fill="333333"/>
          </w:tcPr>
          <w:p>
            <w:pPr>
              <w:spacing w:after="0"/>
              <w:rPr>
                <w:sz w:val="14"/>
                <w:szCs w:val="14"/>
                <w:color w:val="auto"/>
              </w:rPr>
            </w:pPr>
          </w:p>
        </w:tc>
        <w:tc>
          <w:tcPr>
            <w:tcW w:w="720" w:type="dxa"/>
            <w:vAlign w:val="bottom"/>
            <w:shd w:val="clear" w:color="auto" w:fill="333333"/>
          </w:tcPr>
          <w:p>
            <w:pPr>
              <w:spacing w:after="0"/>
              <w:rPr>
                <w:sz w:val="14"/>
                <w:szCs w:val="14"/>
                <w:color w:val="auto"/>
              </w:rPr>
            </w:pPr>
          </w:p>
        </w:tc>
        <w:tc>
          <w:tcPr>
            <w:tcW w:w="1420" w:type="dxa"/>
            <w:vAlign w:val="bottom"/>
            <w:gridSpan w:val="2"/>
            <w:shd w:val="clear" w:color="auto" w:fill="333333"/>
          </w:tcPr>
          <w:p>
            <w:pPr>
              <w:jc w:val="right"/>
              <w:ind w:right="31"/>
              <w:spacing w:after="0" w:line="162" w:lineRule="exact"/>
              <w:rPr>
                <w:sz w:val="20"/>
                <w:szCs w:val="20"/>
                <w:color w:val="auto"/>
              </w:rPr>
            </w:pPr>
            <w:r>
              <w:rPr>
                <w:rFonts w:ascii="Arial" w:cs="Arial" w:eastAsia="Arial" w:hAnsi="Arial"/>
                <w:sz w:val="15"/>
                <w:szCs w:val="15"/>
                <w:color w:val="FFFFFF"/>
              </w:rPr>
              <w:t>$ MILLION</w:t>
            </w: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780" w:type="dxa"/>
            <w:vAlign w:val="bottom"/>
            <w:tcBorders>
              <w:bottom w:val="single" w:sz="8" w:color="auto"/>
            </w:tcBorders>
          </w:tcPr>
          <w:p>
            <w:pPr>
              <w:spacing w:after="0"/>
              <w:rPr>
                <w:sz w:val="12"/>
                <w:szCs w:val="12"/>
                <w:color w:val="auto"/>
              </w:rPr>
            </w:pPr>
          </w:p>
        </w:tc>
        <w:tc>
          <w:tcPr>
            <w:tcW w:w="286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180" w:type="dxa"/>
            <w:vAlign w:val="bottom"/>
            <w:tcBorders>
              <w:bottom w:val="single" w:sz="8" w:color="auto"/>
            </w:tcBorders>
            <w:gridSpan w:val="2"/>
            <w:shd w:val="clear" w:color="auto" w:fill="D8D8D8"/>
          </w:tcPr>
          <w:p>
            <w:pPr>
              <w:jc w:val="right"/>
              <w:spacing w:after="0"/>
              <w:rPr>
                <w:sz w:val="20"/>
                <w:szCs w:val="20"/>
                <w:color w:val="auto"/>
              </w:rPr>
            </w:pPr>
            <w:r>
              <w:rPr>
                <w:rFonts w:ascii="Arial" w:cs="Arial" w:eastAsia="Arial" w:hAnsi="Arial"/>
                <w:sz w:val="13"/>
                <w:szCs w:val="13"/>
                <w:color w:val="auto"/>
              </w:rPr>
              <w:t>2014</w:t>
            </w:r>
          </w:p>
        </w:tc>
        <w:tc>
          <w:tcPr>
            <w:tcW w:w="300" w:type="dxa"/>
            <w:vAlign w:val="bottom"/>
            <w:tcBorders>
              <w:bottom w:val="single" w:sz="8" w:color="auto"/>
            </w:tcBorders>
            <w:shd w:val="clear" w:color="auto" w:fill="D8D8D8"/>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gridSpan w:val="2"/>
          </w:tcPr>
          <w:p>
            <w:pPr>
              <w:jc w:val="right"/>
              <w:ind w:right="477"/>
              <w:spacing w:after="0"/>
              <w:rPr>
                <w:sz w:val="20"/>
                <w:szCs w:val="20"/>
                <w:color w:val="auto"/>
              </w:rPr>
            </w:pPr>
            <w:r>
              <w:rPr>
                <w:rFonts w:ascii="Arial" w:cs="Arial" w:eastAsia="Arial" w:hAnsi="Arial"/>
                <w:sz w:val="13"/>
                <w:szCs w:val="13"/>
                <w:color w:val="auto"/>
              </w:rPr>
              <w:t>2013</w:t>
            </w:r>
          </w:p>
        </w:tc>
        <w:tc>
          <w:tcPr>
            <w:tcW w:w="1420" w:type="dxa"/>
            <w:vAlign w:val="bottom"/>
            <w:tcBorders>
              <w:bottom w:val="single" w:sz="8" w:color="auto"/>
            </w:tcBorders>
            <w:gridSpan w:val="2"/>
          </w:tcPr>
          <w:p>
            <w:pPr>
              <w:jc w:val="right"/>
              <w:ind w:right="271"/>
              <w:spacing w:after="0"/>
              <w:rPr>
                <w:sz w:val="20"/>
                <w:szCs w:val="20"/>
                <w:color w:val="auto"/>
              </w:rPr>
            </w:pPr>
            <w:r>
              <w:rPr>
                <w:rFonts w:ascii="Arial" w:cs="Arial" w:eastAsia="Arial" w:hAnsi="Arial"/>
                <w:sz w:val="13"/>
                <w:szCs w:val="13"/>
                <w:color w:val="auto"/>
              </w:rPr>
              <w:t>2012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4800" w:type="dxa"/>
            <w:vAlign w:val="bottom"/>
            <w:gridSpan w:val="3"/>
          </w:tcPr>
          <w:p>
            <w:pPr>
              <w:spacing w:after="0" w:line="155" w:lineRule="exact"/>
              <w:rPr>
                <w:sz w:val="20"/>
                <w:szCs w:val="20"/>
                <w:color w:val="auto"/>
              </w:rPr>
            </w:pPr>
            <w:r>
              <w:rPr>
                <w:rFonts w:ascii="Arial" w:cs="Arial" w:eastAsia="Arial" w:hAnsi="Arial"/>
                <w:sz w:val="14"/>
                <w:szCs w:val="14"/>
                <w:color w:val="auto"/>
              </w:rPr>
              <w:t>Sales and charges to joint ventures and associates</w:t>
            </w:r>
          </w:p>
        </w:tc>
        <w:tc>
          <w:tcPr>
            <w:tcW w:w="5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180" w:type="dxa"/>
            <w:vAlign w:val="bottom"/>
            <w:gridSpan w:val="2"/>
            <w:shd w:val="clear" w:color="auto" w:fill="D8D8D8"/>
          </w:tcPr>
          <w:p>
            <w:pPr>
              <w:jc w:val="right"/>
              <w:spacing w:after="0" w:line="155" w:lineRule="exact"/>
              <w:rPr>
                <w:sz w:val="20"/>
                <w:szCs w:val="20"/>
                <w:color w:val="auto"/>
              </w:rPr>
            </w:pPr>
            <w:r>
              <w:rPr>
                <w:rFonts w:ascii="Arial" w:cs="Arial" w:eastAsia="Arial" w:hAnsi="Arial"/>
                <w:sz w:val="14"/>
                <w:szCs w:val="14"/>
                <w:color w:val="auto"/>
              </w:rPr>
              <w:t>48,379</w:t>
            </w:r>
          </w:p>
        </w:tc>
        <w:tc>
          <w:tcPr>
            <w:tcW w:w="300" w:type="dxa"/>
            <w:vAlign w:val="bottom"/>
            <w:shd w:val="clear" w:color="auto" w:fill="D8D8D8"/>
          </w:tcPr>
          <w:p>
            <w:pPr>
              <w:spacing w:after="0"/>
              <w:rPr>
                <w:sz w:val="13"/>
                <w:szCs w:val="13"/>
                <w:color w:val="auto"/>
              </w:rPr>
            </w:pPr>
          </w:p>
        </w:tc>
        <w:tc>
          <w:tcPr>
            <w:tcW w:w="220" w:type="dxa"/>
            <w:vAlign w:val="bottom"/>
          </w:tcPr>
          <w:p>
            <w:pPr>
              <w:spacing w:after="0"/>
              <w:rPr>
                <w:sz w:val="13"/>
                <w:szCs w:val="13"/>
                <w:color w:val="auto"/>
              </w:rPr>
            </w:pPr>
          </w:p>
        </w:tc>
        <w:tc>
          <w:tcPr>
            <w:tcW w:w="1340" w:type="dxa"/>
            <w:vAlign w:val="bottom"/>
            <w:gridSpan w:val="5"/>
          </w:tcPr>
          <w:p>
            <w:pPr>
              <w:jc w:val="right"/>
              <w:ind w:right="477"/>
              <w:spacing w:after="0" w:line="155" w:lineRule="exact"/>
              <w:rPr>
                <w:sz w:val="20"/>
                <w:szCs w:val="20"/>
                <w:color w:val="auto"/>
              </w:rPr>
            </w:pPr>
            <w:r>
              <w:rPr>
                <w:rFonts w:ascii="Arial" w:cs="Arial" w:eastAsia="Arial" w:hAnsi="Arial"/>
                <w:sz w:val="14"/>
                <w:szCs w:val="14"/>
                <w:color w:val="auto"/>
              </w:rPr>
              <w:t>52,003</w:t>
            </w:r>
          </w:p>
        </w:tc>
        <w:tc>
          <w:tcPr>
            <w:tcW w:w="1420" w:type="dxa"/>
            <w:vAlign w:val="bottom"/>
            <w:gridSpan w:val="2"/>
          </w:tcPr>
          <w:p>
            <w:pPr>
              <w:jc w:val="right"/>
              <w:ind w:right="271"/>
              <w:spacing w:after="0" w:line="155" w:lineRule="exact"/>
              <w:rPr>
                <w:sz w:val="20"/>
                <w:szCs w:val="20"/>
                <w:color w:val="auto"/>
              </w:rPr>
            </w:pPr>
            <w:r>
              <w:rPr>
                <w:rFonts w:ascii="Arial" w:cs="Arial" w:eastAsia="Arial" w:hAnsi="Arial"/>
                <w:sz w:val="14"/>
                <w:szCs w:val="14"/>
                <w:color w:val="auto"/>
              </w:rPr>
              <w:t>51,484</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4800" w:type="dxa"/>
            <w:vAlign w:val="bottom"/>
            <w:tcBorders>
              <w:bottom w:val="single" w:sz="8" w:color="auto"/>
            </w:tcBorders>
            <w:gridSpan w:val="3"/>
          </w:tcPr>
          <w:p>
            <w:pPr>
              <w:spacing w:after="0"/>
              <w:rPr>
                <w:sz w:val="20"/>
                <w:szCs w:val="20"/>
                <w:color w:val="auto"/>
              </w:rPr>
            </w:pPr>
            <w:r>
              <w:rPr>
                <w:rFonts w:ascii="Arial" w:cs="Arial" w:eastAsia="Arial" w:hAnsi="Arial"/>
                <w:sz w:val="14"/>
                <w:szCs w:val="14"/>
                <w:color w:val="auto"/>
              </w:rPr>
              <w:t>Purchases and charges from joint ventures and associates</w:t>
            </w:r>
          </w:p>
        </w:tc>
        <w:tc>
          <w:tcPr>
            <w:tcW w:w="5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gridSpan w:val="2"/>
            <w:shd w:val="clear" w:color="auto" w:fill="D8D8D8"/>
          </w:tcPr>
          <w:p>
            <w:pPr>
              <w:jc w:val="right"/>
              <w:spacing w:after="0"/>
              <w:rPr>
                <w:sz w:val="20"/>
                <w:szCs w:val="20"/>
                <w:color w:val="auto"/>
              </w:rPr>
            </w:pPr>
            <w:r>
              <w:rPr>
                <w:rFonts w:ascii="Arial" w:cs="Arial" w:eastAsia="Arial" w:hAnsi="Arial"/>
                <w:sz w:val="14"/>
                <w:szCs w:val="14"/>
                <w:color w:val="auto"/>
              </w:rPr>
              <w:t>36,567</w:t>
            </w:r>
          </w:p>
        </w:tc>
        <w:tc>
          <w:tcPr>
            <w:tcW w:w="300" w:type="dxa"/>
            <w:vAlign w:val="bottom"/>
            <w:tcBorders>
              <w:bottom w:val="single" w:sz="8" w:color="auto"/>
            </w:tcBorders>
            <w:shd w:val="clear" w:color="auto" w:fill="D8D8D8"/>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gridSpan w:val="5"/>
          </w:tcPr>
          <w:p>
            <w:pPr>
              <w:jc w:val="right"/>
              <w:ind w:right="477"/>
              <w:spacing w:after="0"/>
              <w:rPr>
                <w:sz w:val="20"/>
                <w:szCs w:val="20"/>
                <w:color w:val="auto"/>
              </w:rPr>
            </w:pPr>
            <w:r>
              <w:rPr>
                <w:rFonts w:ascii="Arial" w:cs="Arial" w:eastAsia="Arial" w:hAnsi="Arial"/>
                <w:sz w:val="14"/>
                <w:szCs w:val="14"/>
                <w:color w:val="auto"/>
              </w:rPr>
              <w:t>35,941</w:t>
            </w:r>
          </w:p>
        </w:tc>
        <w:tc>
          <w:tcPr>
            <w:tcW w:w="1420" w:type="dxa"/>
            <w:vAlign w:val="bottom"/>
            <w:tcBorders>
              <w:bottom w:val="single" w:sz="8" w:color="auto"/>
            </w:tcBorders>
            <w:gridSpan w:val="2"/>
          </w:tcPr>
          <w:p>
            <w:pPr>
              <w:jc w:val="right"/>
              <w:ind w:right="271"/>
              <w:spacing w:after="0"/>
              <w:rPr>
                <w:sz w:val="20"/>
                <w:szCs w:val="20"/>
                <w:color w:val="auto"/>
              </w:rPr>
            </w:pPr>
            <w:r>
              <w:rPr>
                <w:rFonts w:ascii="Arial" w:cs="Arial" w:eastAsia="Arial" w:hAnsi="Arial"/>
                <w:sz w:val="14"/>
                <w:szCs w:val="14"/>
                <w:color w:val="auto"/>
              </w:rPr>
              <w:t>44,597</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180" w:lineRule="exact"/>
        <w:rPr>
          <w:sz w:val="20"/>
          <w:szCs w:val="20"/>
          <w:color w:val="auto"/>
        </w:rPr>
      </w:pPr>
    </w:p>
    <w:p>
      <w:pPr>
        <w:ind w:right="180"/>
        <w:spacing w:after="0" w:line="258" w:lineRule="auto"/>
        <w:rPr>
          <w:sz w:val="20"/>
          <w:szCs w:val="20"/>
          <w:color w:val="auto"/>
        </w:rPr>
      </w:pPr>
      <w:r>
        <w:rPr>
          <w:rFonts w:ascii="Arial" w:cs="Arial" w:eastAsia="Arial" w:hAnsi="Arial"/>
          <w:sz w:val="14"/>
          <w:szCs w:val="14"/>
          <w:color w:val="auto"/>
        </w:rPr>
        <w:t>These transactions principally comprise sales and purchases of goods and services in the ordinary course of business. Related balances outstanding at December 31, 2014 and 2013, are presented in Notes 11 and 15.</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8440" w:type="dxa"/>
            <w:vAlign w:val="bottom"/>
            <w:shd w:val="clear" w:color="auto" w:fill="333333"/>
          </w:tcPr>
          <w:p>
            <w:pPr>
              <w:ind w:left="80"/>
              <w:spacing w:after="0"/>
              <w:rPr>
                <w:sz w:val="20"/>
                <w:szCs w:val="20"/>
                <w:color w:val="auto"/>
              </w:rPr>
            </w:pPr>
            <w:r>
              <w:rPr>
                <w:rFonts w:ascii="Arial" w:cs="Arial" w:eastAsia="Arial" w:hAnsi="Arial"/>
                <w:sz w:val="15"/>
                <w:szCs w:val="15"/>
                <w:b w:val="1"/>
                <w:bCs w:val="1"/>
                <w:color w:val="FFFFFF"/>
              </w:rPr>
              <w:t>OTHER ARRANGEMENTS IN RESPECT OF JOINT VENTURES AND ASSOCIATES</w:t>
            </w:r>
          </w:p>
        </w:tc>
        <w:tc>
          <w:tcPr>
            <w:tcW w:w="1480" w:type="dxa"/>
            <w:vAlign w:val="bottom"/>
            <w:shd w:val="clear" w:color="auto" w:fill="333333"/>
          </w:tcPr>
          <w:p>
            <w:pPr>
              <w:spacing w:after="0"/>
              <w:rPr>
                <w:sz w:val="15"/>
                <w:szCs w:val="15"/>
                <w:color w:val="auto"/>
              </w:rPr>
            </w:pPr>
          </w:p>
        </w:tc>
        <w:tc>
          <w:tcPr>
            <w:tcW w:w="1500" w:type="dxa"/>
            <w:vAlign w:val="bottom"/>
            <w:shd w:val="clear" w:color="auto" w:fill="333333"/>
          </w:tcPr>
          <w:p>
            <w:pPr>
              <w:jc w:val="right"/>
              <w:ind w:right="269"/>
              <w:spacing w:after="0"/>
              <w:rPr>
                <w:sz w:val="20"/>
                <w:szCs w:val="20"/>
                <w:color w:val="auto"/>
              </w:rPr>
            </w:pPr>
            <w:r>
              <w:rPr>
                <w:rFonts w:ascii="Arial" w:cs="Arial" w:eastAsia="Arial" w:hAnsi="Arial"/>
                <w:sz w:val="15"/>
                <w:szCs w:val="15"/>
                <w:color w:val="FFFFFF"/>
              </w:rPr>
              <w:t>$ BILLION</w:t>
            </w:r>
          </w:p>
        </w:tc>
      </w:tr>
      <w:tr>
        <w:trPr>
          <w:trHeight w:val="149"/>
        </w:trPr>
        <w:tc>
          <w:tcPr>
            <w:tcW w:w="8440" w:type="dxa"/>
            <w:vAlign w:val="bottom"/>
            <w:tcBorders>
              <w:bottom w:val="single" w:sz="8" w:color="auto"/>
            </w:tcBorders>
          </w:tcPr>
          <w:p>
            <w:pPr>
              <w:spacing w:after="0"/>
              <w:rPr>
                <w:sz w:val="12"/>
                <w:szCs w:val="12"/>
                <w:color w:val="auto"/>
              </w:rPr>
            </w:pPr>
          </w:p>
        </w:tc>
        <w:tc>
          <w:tcPr>
            <w:tcW w:w="1480" w:type="dxa"/>
            <w:vAlign w:val="bottom"/>
            <w:tcBorders>
              <w:bottom w:val="single" w:sz="8" w:color="auto"/>
            </w:tcBorders>
            <w:shd w:val="clear" w:color="auto" w:fill="D8D8D8"/>
          </w:tcPr>
          <w:p>
            <w:pPr>
              <w:jc w:val="right"/>
              <w:ind w:right="270"/>
              <w:spacing w:after="0"/>
              <w:rPr>
                <w:sz w:val="20"/>
                <w:szCs w:val="20"/>
                <w:color w:val="auto"/>
              </w:rPr>
            </w:pPr>
            <w:r>
              <w:rPr>
                <w:rFonts w:ascii="Arial" w:cs="Arial" w:eastAsia="Arial" w:hAnsi="Arial"/>
                <w:sz w:val="13"/>
                <w:szCs w:val="13"/>
                <w:color w:val="auto"/>
              </w:rPr>
              <w:t>Dec 31, 2014</w:t>
            </w:r>
          </w:p>
        </w:tc>
        <w:tc>
          <w:tcPr>
            <w:tcW w:w="1500" w:type="dxa"/>
            <w:vAlign w:val="bottom"/>
            <w:tcBorders>
              <w:bottom w:val="single" w:sz="8" w:color="auto"/>
            </w:tcBorders>
          </w:tcPr>
          <w:p>
            <w:pPr>
              <w:jc w:val="right"/>
              <w:ind w:right="269"/>
              <w:spacing w:after="0"/>
              <w:rPr>
                <w:sz w:val="20"/>
                <w:szCs w:val="20"/>
                <w:color w:val="auto"/>
              </w:rPr>
            </w:pPr>
            <w:r>
              <w:rPr>
                <w:rFonts w:ascii="Arial" w:cs="Arial" w:eastAsia="Arial" w:hAnsi="Arial"/>
                <w:sz w:val="13"/>
                <w:szCs w:val="13"/>
                <w:color w:val="auto"/>
              </w:rPr>
              <w:t>Dec 31, 2013</w:t>
            </w:r>
          </w:p>
        </w:tc>
      </w:tr>
      <w:tr>
        <w:trPr>
          <w:trHeight w:val="156"/>
        </w:trPr>
        <w:tc>
          <w:tcPr>
            <w:tcW w:w="8440" w:type="dxa"/>
            <w:vAlign w:val="bottom"/>
          </w:tcPr>
          <w:p>
            <w:pPr>
              <w:spacing w:after="0" w:line="155" w:lineRule="exact"/>
              <w:rPr>
                <w:sz w:val="20"/>
                <w:szCs w:val="20"/>
                <w:color w:val="auto"/>
              </w:rPr>
            </w:pPr>
            <w:r>
              <w:rPr>
                <w:rFonts w:ascii="Arial" w:cs="Arial" w:eastAsia="Arial" w:hAnsi="Arial"/>
                <w:sz w:val="14"/>
                <w:szCs w:val="14"/>
                <w:color w:val="auto"/>
              </w:rPr>
              <w:t>Commitments to make purchases from joint ventures and associates</w:t>
            </w:r>
          </w:p>
        </w:tc>
        <w:tc>
          <w:tcPr>
            <w:tcW w:w="1480" w:type="dxa"/>
            <w:vAlign w:val="bottom"/>
            <w:shd w:val="clear" w:color="auto" w:fill="D8D8D8"/>
          </w:tcPr>
          <w:p>
            <w:pPr>
              <w:jc w:val="right"/>
              <w:ind w:right="270"/>
              <w:spacing w:after="0" w:line="155" w:lineRule="exact"/>
              <w:rPr>
                <w:sz w:val="20"/>
                <w:szCs w:val="20"/>
                <w:color w:val="auto"/>
              </w:rPr>
            </w:pPr>
            <w:r>
              <w:rPr>
                <w:rFonts w:ascii="Arial" w:cs="Arial" w:eastAsia="Arial" w:hAnsi="Arial"/>
                <w:sz w:val="14"/>
                <w:szCs w:val="14"/>
                <w:color w:val="auto"/>
              </w:rPr>
              <w:t>131.2</w:t>
            </w:r>
          </w:p>
        </w:tc>
        <w:tc>
          <w:tcPr>
            <w:tcW w:w="1500" w:type="dxa"/>
            <w:vAlign w:val="bottom"/>
          </w:tcPr>
          <w:p>
            <w:pPr>
              <w:jc w:val="right"/>
              <w:ind w:right="269"/>
              <w:spacing w:after="0" w:line="155" w:lineRule="exact"/>
              <w:rPr>
                <w:sz w:val="20"/>
                <w:szCs w:val="20"/>
                <w:color w:val="auto"/>
              </w:rPr>
            </w:pPr>
            <w:r>
              <w:rPr>
                <w:rFonts w:ascii="Arial" w:cs="Arial" w:eastAsia="Arial" w:hAnsi="Arial"/>
                <w:sz w:val="14"/>
                <w:szCs w:val="14"/>
                <w:color w:val="auto"/>
              </w:rPr>
              <w:t>131.8</w:t>
            </w:r>
          </w:p>
        </w:tc>
      </w:tr>
      <w:tr>
        <w:trPr>
          <w:trHeight w:val="162"/>
        </w:trPr>
        <w:tc>
          <w:tcPr>
            <w:tcW w:w="8440" w:type="dxa"/>
            <w:vAlign w:val="bottom"/>
          </w:tcPr>
          <w:p>
            <w:pPr>
              <w:spacing w:after="0"/>
              <w:rPr>
                <w:sz w:val="20"/>
                <w:szCs w:val="20"/>
                <w:color w:val="auto"/>
              </w:rPr>
            </w:pPr>
            <w:r>
              <w:rPr>
                <w:rFonts w:ascii="Arial" w:cs="Arial" w:eastAsia="Arial" w:hAnsi="Arial"/>
                <w:sz w:val="14"/>
                <w:szCs w:val="14"/>
                <w:color w:val="auto"/>
              </w:rPr>
              <w:t>Commitments to provide debt or equity funding to joint ventures and associates</w:t>
            </w:r>
          </w:p>
        </w:tc>
        <w:tc>
          <w:tcPr>
            <w:tcW w:w="1480" w:type="dxa"/>
            <w:vAlign w:val="bottom"/>
            <w:shd w:val="clear" w:color="auto" w:fill="D8D8D8"/>
          </w:tcPr>
          <w:p>
            <w:pPr>
              <w:jc w:val="right"/>
              <w:ind w:right="270"/>
              <w:spacing w:after="0"/>
              <w:rPr>
                <w:sz w:val="20"/>
                <w:szCs w:val="20"/>
                <w:color w:val="auto"/>
              </w:rPr>
            </w:pPr>
            <w:r>
              <w:rPr>
                <w:rFonts w:ascii="Arial" w:cs="Arial" w:eastAsia="Arial" w:hAnsi="Arial"/>
                <w:sz w:val="14"/>
                <w:szCs w:val="14"/>
                <w:color w:val="auto"/>
              </w:rPr>
              <w:t>3.7</w:t>
            </w:r>
          </w:p>
        </w:tc>
        <w:tc>
          <w:tcPr>
            <w:tcW w:w="1500" w:type="dxa"/>
            <w:vAlign w:val="bottom"/>
          </w:tcPr>
          <w:p>
            <w:pPr>
              <w:jc w:val="right"/>
              <w:ind w:right="269"/>
              <w:spacing w:after="0"/>
              <w:rPr>
                <w:sz w:val="20"/>
                <w:szCs w:val="20"/>
                <w:color w:val="auto"/>
              </w:rPr>
            </w:pPr>
            <w:r>
              <w:rPr>
                <w:rFonts w:ascii="Arial" w:cs="Arial" w:eastAsia="Arial" w:hAnsi="Arial"/>
                <w:sz w:val="14"/>
                <w:szCs w:val="14"/>
                <w:color w:val="auto"/>
              </w:rPr>
              <w:t>2.3</w:t>
            </w:r>
          </w:p>
        </w:tc>
      </w:tr>
      <w:tr>
        <w:trPr>
          <w:trHeight w:val="162"/>
        </w:trPr>
        <w:tc>
          <w:tcPr>
            <w:tcW w:w="844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Amounts guaranteed in respect of joint ventures and associates</w:t>
            </w:r>
          </w:p>
        </w:tc>
        <w:tc>
          <w:tcPr>
            <w:tcW w:w="1480" w:type="dxa"/>
            <w:vAlign w:val="bottom"/>
            <w:tcBorders>
              <w:bottom w:val="single" w:sz="8" w:color="auto"/>
            </w:tcBorders>
            <w:shd w:val="clear" w:color="auto" w:fill="D8D8D8"/>
          </w:tcPr>
          <w:p>
            <w:pPr>
              <w:jc w:val="right"/>
              <w:ind w:right="270"/>
              <w:spacing w:after="0"/>
              <w:rPr>
                <w:sz w:val="20"/>
                <w:szCs w:val="20"/>
                <w:color w:val="auto"/>
              </w:rPr>
            </w:pPr>
            <w:r>
              <w:rPr>
                <w:rFonts w:ascii="Arial" w:cs="Arial" w:eastAsia="Arial" w:hAnsi="Arial"/>
                <w:sz w:val="14"/>
                <w:szCs w:val="14"/>
                <w:color w:val="auto"/>
              </w:rPr>
              <w:t>1.6</w:t>
            </w:r>
          </w:p>
        </w:tc>
        <w:tc>
          <w:tcPr>
            <w:tcW w:w="1500" w:type="dxa"/>
            <w:vAlign w:val="bottom"/>
            <w:tcBorders>
              <w:bottom w:val="single" w:sz="8" w:color="auto"/>
            </w:tcBorders>
          </w:tcPr>
          <w:p>
            <w:pPr>
              <w:jc w:val="right"/>
              <w:ind w:right="269"/>
              <w:spacing w:after="0"/>
              <w:rPr>
                <w:sz w:val="20"/>
                <w:szCs w:val="20"/>
                <w:color w:val="auto"/>
              </w:rPr>
            </w:pPr>
            <w:r>
              <w:rPr>
                <w:rFonts w:ascii="Arial" w:cs="Arial" w:eastAsia="Arial" w:hAnsi="Arial"/>
                <w:sz w:val="14"/>
                <w:szCs w:val="14"/>
                <w:color w:val="auto"/>
              </w:rPr>
              <w:t>2.2</w:t>
            </w:r>
          </w:p>
        </w:tc>
      </w:tr>
    </w:tbl>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10 INVESTMENTS IN SECURITIES</w:t>
      </w:r>
    </w:p>
    <w:p>
      <w:pPr>
        <w:spacing w:after="0" w:line="1" w:lineRule="exact"/>
        <w:rPr>
          <w:sz w:val="20"/>
          <w:szCs w:val="20"/>
          <w:color w:val="auto"/>
        </w:rPr>
      </w:pPr>
    </w:p>
    <w:p>
      <w:pPr>
        <w:ind w:right="140"/>
        <w:spacing w:after="0" w:line="258" w:lineRule="auto"/>
        <w:rPr>
          <w:sz w:val="20"/>
          <w:szCs w:val="20"/>
          <w:color w:val="auto"/>
        </w:rPr>
      </w:pPr>
      <w:r>
        <w:rPr>
          <w:rFonts w:ascii="Arial" w:cs="Arial" w:eastAsia="Arial" w:hAnsi="Arial"/>
          <w:sz w:val="14"/>
          <w:szCs w:val="14"/>
          <w:color w:val="auto"/>
        </w:rPr>
        <w:t>Investments in securities at December 31, 2014, comprise equity and debt securities. Equity securities principally comprise 15% interests in each of Malaysia LNG Dua Sendirian Berhad and Malaysia LNG Tiga Sendirian Berhad. Debt securities comprise a portfolio required to be held by Shell’s insurance entities as security for their activities.</w:t>
      </w:r>
    </w:p>
    <w:p>
      <w:pPr>
        <w:spacing w:after="0" w:line="167" w:lineRule="exact"/>
        <w:rPr>
          <w:sz w:val="20"/>
          <w:szCs w:val="20"/>
          <w:color w:val="auto"/>
        </w:rPr>
      </w:pPr>
    </w:p>
    <w:p>
      <w:pPr>
        <w:ind w:right="60"/>
        <w:spacing w:after="0" w:line="245" w:lineRule="auto"/>
        <w:rPr>
          <w:sz w:val="20"/>
          <w:szCs w:val="20"/>
          <w:color w:val="auto"/>
        </w:rPr>
      </w:pPr>
      <w:r>
        <w:rPr>
          <w:rFonts w:ascii="Arial" w:cs="Arial" w:eastAsia="Arial" w:hAnsi="Arial"/>
          <w:sz w:val="14"/>
          <w:szCs w:val="14"/>
          <w:color w:val="auto"/>
        </w:rPr>
        <w:t>Equity and debt securities carried at fair value totalled $3,776 million at December 31, 2014 (2013: $4,449 million), with the remainder carried at cost. Of these, $1,383 million (2013: $1,283 million) are measured by reference to prices in active markets for identical assets, and $2,393 million (2013: $3,166 million) are measured by reference to predominantly unobservable inputs. Assets in the latter category, all of which are equity securities, are measured based on expected dividend flows, adjusted for country and other risks as appropriate and discounted to their present value. In the case of the Malaysia LNG investments referred to above, were the oil price assumption used in their valuation to be decreased by $10 per barrel with no change in other measurement inputs, their carrying amount would decrease by $228 million (2013: $354 million).</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8320" w:type="dxa"/>
            <w:vAlign w:val="bottom"/>
            <w:shd w:val="clear" w:color="auto" w:fill="333333"/>
          </w:tcPr>
          <w:p>
            <w:pPr>
              <w:ind w:left="80"/>
              <w:spacing w:after="0"/>
              <w:rPr>
                <w:sz w:val="20"/>
                <w:szCs w:val="20"/>
                <w:color w:val="auto"/>
              </w:rPr>
            </w:pPr>
            <w:r>
              <w:rPr>
                <w:rFonts w:ascii="Arial" w:cs="Arial" w:eastAsia="Arial" w:hAnsi="Arial"/>
                <w:sz w:val="15"/>
                <w:szCs w:val="15"/>
                <w:b w:val="1"/>
                <w:bCs w:val="1"/>
                <w:color w:val="FFFFFF"/>
              </w:rPr>
              <w:t>INVESTMENTS IN SECURITIES MEASURED USING PREDOMINANTLY UNOBSERVABLE INPUTS</w:t>
            </w:r>
          </w:p>
        </w:tc>
        <w:tc>
          <w:tcPr>
            <w:tcW w:w="1520" w:type="dxa"/>
            <w:vAlign w:val="bottom"/>
            <w:shd w:val="clear" w:color="auto" w:fill="333333"/>
          </w:tcPr>
          <w:p>
            <w:pPr>
              <w:spacing w:after="0"/>
              <w:rPr>
                <w:sz w:val="15"/>
                <w:szCs w:val="15"/>
                <w:color w:val="auto"/>
              </w:rPr>
            </w:pPr>
          </w:p>
        </w:tc>
        <w:tc>
          <w:tcPr>
            <w:tcW w:w="1580" w:type="dxa"/>
            <w:vAlign w:val="bottom"/>
            <w:shd w:val="clear" w:color="auto" w:fill="333333"/>
          </w:tcPr>
          <w:p>
            <w:pPr>
              <w:jc w:val="right"/>
              <w:ind w:right="369"/>
              <w:spacing w:after="0"/>
              <w:rPr>
                <w:sz w:val="20"/>
                <w:szCs w:val="20"/>
                <w:color w:val="auto"/>
              </w:rPr>
            </w:pPr>
            <w:r>
              <w:rPr>
                <w:rFonts w:ascii="Arial" w:cs="Arial" w:eastAsia="Arial" w:hAnsi="Arial"/>
                <w:sz w:val="15"/>
                <w:szCs w:val="15"/>
                <w:color w:val="FFFFFF"/>
              </w:rPr>
              <w:t>$ MILLION</w:t>
            </w:r>
          </w:p>
        </w:tc>
      </w:tr>
      <w:tr>
        <w:trPr>
          <w:trHeight w:val="149"/>
        </w:trPr>
        <w:tc>
          <w:tcPr>
            <w:tcW w:w="8320" w:type="dxa"/>
            <w:vAlign w:val="bottom"/>
            <w:tcBorders>
              <w:bottom w:val="single" w:sz="8" w:color="auto"/>
            </w:tcBorders>
          </w:tcPr>
          <w:p>
            <w:pPr>
              <w:spacing w:after="0"/>
              <w:rPr>
                <w:sz w:val="12"/>
                <w:szCs w:val="12"/>
                <w:color w:val="auto"/>
              </w:rPr>
            </w:pPr>
          </w:p>
        </w:tc>
        <w:tc>
          <w:tcPr>
            <w:tcW w:w="1520" w:type="dxa"/>
            <w:vAlign w:val="bottom"/>
            <w:tcBorders>
              <w:bottom w:val="single" w:sz="8" w:color="auto"/>
            </w:tcBorders>
            <w:shd w:val="clear" w:color="auto" w:fill="D8D8D8"/>
          </w:tcPr>
          <w:p>
            <w:pPr>
              <w:jc w:val="right"/>
              <w:ind w:right="369"/>
              <w:spacing w:after="0"/>
              <w:rPr>
                <w:sz w:val="20"/>
                <w:szCs w:val="20"/>
                <w:color w:val="auto"/>
              </w:rPr>
            </w:pPr>
            <w:r>
              <w:rPr>
                <w:rFonts w:ascii="Arial" w:cs="Arial" w:eastAsia="Arial" w:hAnsi="Arial"/>
                <w:sz w:val="13"/>
                <w:szCs w:val="13"/>
                <w:color w:val="auto"/>
              </w:rPr>
              <w:t>2014</w:t>
            </w:r>
          </w:p>
        </w:tc>
        <w:tc>
          <w:tcPr>
            <w:tcW w:w="1580" w:type="dxa"/>
            <w:vAlign w:val="bottom"/>
            <w:tcBorders>
              <w:bottom w:val="single" w:sz="8" w:color="auto"/>
            </w:tcBorders>
          </w:tcPr>
          <w:p>
            <w:pPr>
              <w:jc w:val="right"/>
              <w:ind w:right="369"/>
              <w:spacing w:after="0"/>
              <w:rPr>
                <w:sz w:val="20"/>
                <w:szCs w:val="20"/>
                <w:color w:val="auto"/>
              </w:rPr>
            </w:pPr>
            <w:r>
              <w:rPr>
                <w:rFonts w:ascii="Arial" w:cs="Arial" w:eastAsia="Arial" w:hAnsi="Arial"/>
                <w:sz w:val="13"/>
                <w:szCs w:val="13"/>
                <w:color w:val="auto"/>
              </w:rPr>
              <w:t>2013</w:t>
            </w:r>
          </w:p>
        </w:tc>
      </w:tr>
      <w:tr>
        <w:trPr>
          <w:trHeight w:val="156"/>
        </w:trPr>
        <w:tc>
          <w:tcPr>
            <w:tcW w:w="8320" w:type="dxa"/>
            <w:vAlign w:val="bottom"/>
          </w:tcPr>
          <w:p>
            <w:pPr>
              <w:spacing w:after="0" w:line="155" w:lineRule="exact"/>
              <w:rPr>
                <w:sz w:val="20"/>
                <w:szCs w:val="20"/>
                <w:color w:val="auto"/>
              </w:rPr>
            </w:pPr>
            <w:r>
              <w:rPr>
                <w:rFonts w:ascii="Arial" w:cs="Arial" w:eastAsia="Arial" w:hAnsi="Arial"/>
                <w:sz w:val="14"/>
                <w:szCs w:val="14"/>
                <w:color w:val="auto"/>
              </w:rPr>
              <w:t>At January 1</w:t>
            </w:r>
          </w:p>
        </w:tc>
        <w:tc>
          <w:tcPr>
            <w:tcW w:w="1520" w:type="dxa"/>
            <w:vAlign w:val="bottom"/>
            <w:shd w:val="clear" w:color="auto" w:fill="D8D8D8"/>
          </w:tcPr>
          <w:p>
            <w:pPr>
              <w:jc w:val="right"/>
              <w:ind w:right="369"/>
              <w:spacing w:after="0" w:line="155" w:lineRule="exact"/>
              <w:rPr>
                <w:sz w:val="20"/>
                <w:szCs w:val="20"/>
                <w:color w:val="auto"/>
              </w:rPr>
            </w:pPr>
            <w:r>
              <w:rPr>
                <w:rFonts w:ascii="Arial" w:cs="Arial" w:eastAsia="Arial" w:hAnsi="Arial"/>
                <w:sz w:val="14"/>
                <w:szCs w:val="14"/>
                <w:color w:val="auto"/>
              </w:rPr>
              <w:t>3,166</w:t>
            </w:r>
          </w:p>
        </w:tc>
        <w:tc>
          <w:tcPr>
            <w:tcW w:w="1580" w:type="dxa"/>
            <w:vAlign w:val="bottom"/>
          </w:tcPr>
          <w:p>
            <w:pPr>
              <w:jc w:val="right"/>
              <w:ind w:right="369"/>
              <w:spacing w:after="0" w:line="155" w:lineRule="exact"/>
              <w:rPr>
                <w:sz w:val="20"/>
                <w:szCs w:val="20"/>
                <w:color w:val="auto"/>
              </w:rPr>
            </w:pPr>
            <w:r>
              <w:rPr>
                <w:rFonts w:ascii="Arial" w:cs="Arial" w:eastAsia="Arial" w:hAnsi="Arial"/>
                <w:sz w:val="14"/>
                <w:szCs w:val="14"/>
                <w:color w:val="auto"/>
              </w:rPr>
              <w:t>3,281</w:t>
            </w:r>
          </w:p>
        </w:tc>
      </w:tr>
      <w:tr>
        <w:trPr>
          <w:trHeight w:val="162"/>
        </w:trPr>
        <w:tc>
          <w:tcPr>
            <w:tcW w:w="8320" w:type="dxa"/>
            <w:vAlign w:val="bottom"/>
          </w:tcPr>
          <w:p>
            <w:pPr>
              <w:spacing w:after="0"/>
              <w:rPr>
                <w:sz w:val="20"/>
                <w:szCs w:val="20"/>
                <w:color w:val="auto"/>
              </w:rPr>
            </w:pPr>
            <w:r>
              <w:rPr>
                <w:rFonts w:ascii="Arial" w:cs="Arial" w:eastAsia="Arial" w:hAnsi="Arial"/>
                <w:sz w:val="14"/>
                <w:szCs w:val="14"/>
                <w:color w:val="auto"/>
              </w:rPr>
              <w:t>Losses recognised in other comprehensive income</w:t>
            </w:r>
          </w:p>
        </w:tc>
        <w:tc>
          <w:tcPr>
            <w:tcW w:w="1520" w:type="dxa"/>
            <w:vAlign w:val="bottom"/>
            <w:shd w:val="clear" w:color="auto" w:fill="D8D8D8"/>
          </w:tcPr>
          <w:p>
            <w:pPr>
              <w:jc w:val="right"/>
              <w:ind w:right="369"/>
              <w:spacing w:after="0"/>
              <w:rPr>
                <w:sz w:val="20"/>
                <w:szCs w:val="20"/>
                <w:color w:val="auto"/>
              </w:rPr>
            </w:pPr>
            <w:r>
              <w:rPr>
                <w:rFonts w:ascii="Arial" w:cs="Arial" w:eastAsia="Arial" w:hAnsi="Arial"/>
                <w:sz w:val="14"/>
                <w:szCs w:val="14"/>
                <w:color w:val="auto"/>
              </w:rPr>
              <w:t>(776)</w:t>
            </w:r>
          </w:p>
        </w:tc>
        <w:tc>
          <w:tcPr>
            <w:tcW w:w="1580" w:type="dxa"/>
            <w:vAlign w:val="bottom"/>
          </w:tcPr>
          <w:p>
            <w:pPr>
              <w:jc w:val="right"/>
              <w:ind w:right="329"/>
              <w:spacing w:after="0"/>
              <w:rPr>
                <w:sz w:val="20"/>
                <w:szCs w:val="20"/>
                <w:color w:val="auto"/>
              </w:rPr>
            </w:pPr>
            <w:r>
              <w:rPr>
                <w:rFonts w:ascii="Arial" w:cs="Arial" w:eastAsia="Arial" w:hAnsi="Arial"/>
                <w:sz w:val="14"/>
                <w:szCs w:val="14"/>
                <w:color w:val="auto"/>
              </w:rPr>
              <w:t>(113)</w:t>
            </w:r>
          </w:p>
        </w:tc>
      </w:tr>
      <w:tr>
        <w:trPr>
          <w:trHeight w:val="167"/>
        </w:trPr>
        <w:tc>
          <w:tcPr>
            <w:tcW w:w="8320" w:type="dxa"/>
            <w:vAlign w:val="bottom"/>
          </w:tcPr>
          <w:p>
            <w:pPr>
              <w:spacing w:after="0"/>
              <w:rPr>
                <w:sz w:val="20"/>
                <w:szCs w:val="20"/>
                <w:color w:val="auto"/>
              </w:rPr>
            </w:pPr>
            <w:r>
              <w:rPr>
                <w:rFonts w:ascii="Arial" w:cs="Arial" w:eastAsia="Arial" w:hAnsi="Arial"/>
                <w:sz w:val="14"/>
                <w:szCs w:val="14"/>
                <w:color w:val="auto"/>
              </w:rPr>
              <w:t>Purchases</w:t>
            </w:r>
          </w:p>
        </w:tc>
        <w:tc>
          <w:tcPr>
            <w:tcW w:w="1520" w:type="dxa"/>
            <w:vAlign w:val="bottom"/>
            <w:shd w:val="clear" w:color="auto" w:fill="D8D8D8"/>
          </w:tcPr>
          <w:p>
            <w:pPr>
              <w:jc w:val="right"/>
              <w:ind w:right="369"/>
              <w:spacing w:after="0"/>
              <w:rPr>
                <w:sz w:val="20"/>
                <w:szCs w:val="20"/>
                <w:color w:val="auto"/>
              </w:rPr>
            </w:pPr>
            <w:r>
              <w:rPr>
                <w:rFonts w:ascii="Arial" w:cs="Arial" w:eastAsia="Arial" w:hAnsi="Arial"/>
                <w:sz w:val="14"/>
                <w:szCs w:val="14"/>
                <w:color w:val="auto"/>
              </w:rPr>
              <w:t>72</w:t>
            </w:r>
          </w:p>
        </w:tc>
        <w:tc>
          <w:tcPr>
            <w:tcW w:w="1580" w:type="dxa"/>
            <w:vAlign w:val="bottom"/>
          </w:tcPr>
          <w:p>
            <w:pPr>
              <w:jc w:val="right"/>
              <w:ind w:right="369"/>
              <w:spacing w:after="0"/>
              <w:rPr>
                <w:sz w:val="20"/>
                <w:szCs w:val="20"/>
                <w:color w:val="auto"/>
              </w:rPr>
            </w:pPr>
            <w:r>
              <w:rPr>
                <w:rFonts w:ascii="Arial" w:cs="Arial" w:eastAsia="Arial" w:hAnsi="Arial"/>
                <w:sz w:val="14"/>
                <w:szCs w:val="14"/>
                <w:color w:val="auto"/>
              </w:rPr>
              <w:t>11</w:t>
            </w:r>
          </w:p>
        </w:tc>
      </w:tr>
      <w:tr>
        <w:trPr>
          <w:trHeight w:val="162"/>
        </w:trPr>
        <w:tc>
          <w:tcPr>
            <w:tcW w:w="8320" w:type="dxa"/>
            <w:vAlign w:val="bottom"/>
          </w:tcPr>
          <w:p>
            <w:pPr>
              <w:spacing w:after="0"/>
              <w:rPr>
                <w:sz w:val="20"/>
                <w:szCs w:val="20"/>
                <w:color w:val="auto"/>
              </w:rPr>
            </w:pPr>
            <w:r>
              <w:rPr>
                <w:rFonts w:ascii="Arial" w:cs="Arial" w:eastAsia="Arial" w:hAnsi="Arial"/>
                <w:sz w:val="14"/>
                <w:szCs w:val="14"/>
                <w:color w:val="auto"/>
              </w:rPr>
              <w:t>Sales</w:t>
            </w:r>
          </w:p>
        </w:tc>
        <w:tc>
          <w:tcPr>
            <w:tcW w:w="1520" w:type="dxa"/>
            <w:vAlign w:val="bottom"/>
            <w:shd w:val="clear" w:color="auto" w:fill="D8D8D8"/>
          </w:tcPr>
          <w:p>
            <w:pPr>
              <w:jc w:val="right"/>
              <w:ind w:right="369"/>
              <w:spacing w:after="0"/>
              <w:rPr>
                <w:sz w:val="20"/>
                <w:szCs w:val="20"/>
                <w:color w:val="auto"/>
              </w:rPr>
            </w:pPr>
            <w:r>
              <w:rPr>
                <w:rFonts w:ascii="Arial" w:cs="Arial" w:eastAsia="Arial" w:hAnsi="Arial"/>
                <w:sz w:val="14"/>
                <w:szCs w:val="14"/>
                <w:color w:val="auto"/>
              </w:rPr>
              <w:t>(59)</w:t>
            </w:r>
          </w:p>
        </w:tc>
        <w:tc>
          <w:tcPr>
            <w:tcW w:w="1580" w:type="dxa"/>
            <w:vAlign w:val="bottom"/>
          </w:tcPr>
          <w:p>
            <w:pPr>
              <w:jc w:val="right"/>
              <w:ind w:right="329"/>
              <w:spacing w:after="0"/>
              <w:rPr>
                <w:sz w:val="20"/>
                <w:szCs w:val="20"/>
                <w:color w:val="auto"/>
              </w:rPr>
            </w:pPr>
            <w:r>
              <w:rPr>
                <w:rFonts w:ascii="Arial" w:cs="Arial" w:eastAsia="Arial" w:hAnsi="Arial"/>
                <w:sz w:val="14"/>
                <w:szCs w:val="14"/>
                <w:color w:val="auto"/>
              </w:rPr>
              <w:t>(16)</w:t>
            </w:r>
          </w:p>
        </w:tc>
      </w:tr>
      <w:tr>
        <w:trPr>
          <w:trHeight w:val="157"/>
        </w:trPr>
        <w:tc>
          <w:tcPr>
            <w:tcW w:w="8320" w:type="dxa"/>
            <w:vAlign w:val="bottom"/>
            <w:tcBorders>
              <w:bottom w:val="single" w:sz="8" w:color="auto"/>
            </w:tcBorders>
          </w:tcPr>
          <w:p>
            <w:pPr>
              <w:spacing w:after="0" w:line="157" w:lineRule="exact"/>
              <w:rPr>
                <w:sz w:val="20"/>
                <w:szCs w:val="20"/>
                <w:color w:val="auto"/>
              </w:rPr>
            </w:pPr>
            <w:r>
              <w:rPr>
                <w:rFonts w:ascii="Arial" w:cs="Arial" w:eastAsia="Arial" w:hAnsi="Arial"/>
                <w:sz w:val="14"/>
                <w:szCs w:val="14"/>
                <w:color w:val="auto"/>
              </w:rPr>
              <w:t>Currency translation differences</w:t>
            </w:r>
          </w:p>
        </w:tc>
        <w:tc>
          <w:tcPr>
            <w:tcW w:w="1520" w:type="dxa"/>
            <w:vAlign w:val="bottom"/>
            <w:tcBorders>
              <w:bottom w:val="single" w:sz="8" w:color="auto"/>
            </w:tcBorders>
            <w:shd w:val="clear" w:color="auto" w:fill="D8D8D8"/>
          </w:tcPr>
          <w:p>
            <w:pPr>
              <w:jc w:val="right"/>
              <w:ind w:right="369"/>
              <w:spacing w:after="0" w:line="157" w:lineRule="exact"/>
              <w:rPr>
                <w:sz w:val="20"/>
                <w:szCs w:val="20"/>
                <w:color w:val="auto"/>
              </w:rPr>
            </w:pPr>
            <w:r>
              <w:rPr>
                <w:rFonts w:ascii="Arial" w:cs="Arial" w:eastAsia="Arial" w:hAnsi="Arial"/>
                <w:sz w:val="14"/>
                <w:szCs w:val="14"/>
                <w:color w:val="auto"/>
              </w:rPr>
              <w:t>(10)</w:t>
            </w:r>
          </w:p>
        </w:tc>
        <w:tc>
          <w:tcPr>
            <w:tcW w:w="1580" w:type="dxa"/>
            <w:vAlign w:val="bottom"/>
            <w:tcBorders>
              <w:bottom w:val="single" w:sz="8" w:color="auto"/>
            </w:tcBorders>
          </w:tcPr>
          <w:p>
            <w:pPr>
              <w:jc w:val="right"/>
              <w:ind w:right="369"/>
              <w:spacing w:after="0" w:line="157" w:lineRule="exact"/>
              <w:rPr>
                <w:sz w:val="20"/>
                <w:szCs w:val="20"/>
                <w:color w:val="auto"/>
              </w:rPr>
            </w:pPr>
            <w:r>
              <w:rPr>
                <w:rFonts w:ascii="Arial" w:cs="Arial" w:eastAsia="Arial" w:hAnsi="Arial"/>
                <w:sz w:val="14"/>
                <w:szCs w:val="14"/>
                <w:color w:val="auto"/>
              </w:rPr>
              <w:t>3</w:t>
            </w:r>
          </w:p>
        </w:tc>
      </w:tr>
      <w:tr>
        <w:trPr>
          <w:trHeight w:val="156"/>
        </w:trPr>
        <w:tc>
          <w:tcPr>
            <w:tcW w:w="8320" w:type="dxa"/>
            <w:vAlign w:val="bottom"/>
            <w:tcBorders>
              <w:bottom w:val="single" w:sz="8" w:color="auto"/>
            </w:tcBorders>
          </w:tcPr>
          <w:p>
            <w:pPr>
              <w:spacing w:after="0" w:line="155" w:lineRule="exact"/>
              <w:rPr>
                <w:sz w:val="20"/>
                <w:szCs w:val="20"/>
                <w:color w:val="auto"/>
              </w:rPr>
            </w:pPr>
            <w:r>
              <w:rPr>
                <w:rFonts w:ascii="Arial" w:cs="Arial" w:eastAsia="Arial" w:hAnsi="Arial"/>
                <w:sz w:val="14"/>
                <w:szCs w:val="14"/>
                <w:color w:val="auto"/>
              </w:rPr>
              <w:t>At December 31</w:t>
            </w:r>
          </w:p>
        </w:tc>
        <w:tc>
          <w:tcPr>
            <w:tcW w:w="1520" w:type="dxa"/>
            <w:vAlign w:val="bottom"/>
            <w:tcBorders>
              <w:bottom w:val="single" w:sz="8" w:color="auto"/>
            </w:tcBorders>
            <w:shd w:val="clear" w:color="auto" w:fill="D8D8D8"/>
          </w:tcPr>
          <w:p>
            <w:pPr>
              <w:jc w:val="right"/>
              <w:ind w:right="369"/>
              <w:spacing w:after="0" w:line="155" w:lineRule="exact"/>
              <w:rPr>
                <w:sz w:val="20"/>
                <w:szCs w:val="20"/>
                <w:color w:val="auto"/>
              </w:rPr>
            </w:pPr>
            <w:r>
              <w:rPr>
                <w:rFonts w:ascii="Arial" w:cs="Arial" w:eastAsia="Arial" w:hAnsi="Arial"/>
                <w:sz w:val="14"/>
                <w:szCs w:val="14"/>
                <w:color w:val="auto"/>
              </w:rPr>
              <w:t>2,393</w:t>
            </w:r>
          </w:p>
        </w:tc>
        <w:tc>
          <w:tcPr>
            <w:tcW w:w="1580" w:type="dxa"/>
            <w:vAlign w:val="bottom"/>
            <w:tcBorders>
              <w:bottom w:val="single" w:sz="8" w:color="auto"/>
            </w:tcBorders>
          </w:tcPr>
          <w:p>
            <w:pPr>
              <w:jc w:val="right"/>
              <w:ind w:right="369"/>
              <w:spacing w:after="0" w:line="155" w:lineRule="exact"/>
              <w:rPr>
                <w:sz w:val="20"/>
                <w:szCs w:val="20"/>
                <w:color w:val="auto"/>
              </w:rPr>
            </w:pPr>
            <w:r>
              <w:rPr>
                <w:rFonts w:ascii="Arial" w:cs="Arial" w:eastAsia="Arial" w:hAnsi="Arial"/>
                <w:sz w:val="14"/>
                <w:szCs w:val="14"/>
                <w:color w:val="auto"/>
              </w:rPr>
              <w:t>3,166</w:t>
            </w:r>
          </w:p>
        </w:tc>
      </w:tr>
    </w:tbl>
    <w:p>
      <w:pPr>
        <w:sectPr>
          <w:pgSz w:w="11900" w:h="16838" w:orient="portrait"/>
          <w:cols w:equalWidth="0" w:num="1">
            <w:col w:w="11420"/>
          </w:cols>
          <w:pgMar w:left="240" w:top="459" w:right="239" w:bottom="1440" w:gutter="0" w:footer="0" w:header="0"/>
        </w:sectPr>
      </w:pPr>
    </w:p>
    <w:bookmarkStart w:id="124" w:name="page125"/>
    <w:bookmarkEnd w:id="1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6428105</wp:posOffset>
            </wp:positionH>
            <wp:positionV relativeFrom="paragraph">
              <wp:posOffset>300355</wp:posOffset>
            </wp:positionV>
            <wp:extent cx="8890" cy="46291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8890" cy="462915"/>
                    </a:xfrm>
                    <a:prstGeom prst="rect">
                      <a:avLst/>
                    </a:prstGeom>
                    <a:noFill/>
                  </pic:spPr>
                </pic:pic>
              </a:graphicData>
            </a:graphic>
          </wp:anchor>
        </w:drawing>
      </w:r>
    </w:p>
    <w:p>
      <w:pPr>
        <w:spacing w:after="0" w:line="200" w:lineRule="exact"/>
        <w:rPr>
          <w:sz w:val="20"/>
          <w:szCs w:val="20"/>
          <w:color w:val="auto"/>
        </w:rPr>
      </w:pP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565"/>
        </w:trPr>
        <w:tc>
          <w:tcPr>
            <w:tcW w:w="5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60" w:type="dxa"/>
            <w:vAlign w:val="bottom"/>
            <w:shd w:val="clear" w:color="auto" w:fill="FF8B00"/>
          </w:tcPr>
          <w:p>
            <w:pPr>
              <w:spacing w:after="0"/>
              <w:rPr>
                <w:sz w:val="24"/>
                <w:szCs w:val="24"/>
                <w:color w:val="auto"/>
              </w:rPr>
            </w:pPr>
          </w:p>
        </w:tc>
        <w:tc>
          <w:tcPr>
            <w:tcW w:w="2860" w:type="dxa"/>
            <w:vAlign w:val="bottom"/>
            <w:gridSpan w:val="3"/>
            <w:shd w:val="clear" w:color="auto" w:fill="FF8B00"/>
          </w:tcPr>
          <w:p>
            <w:pPr>
              <w:ind w:left="20"/>
              <w:spacing w:after="0"/>
              <w:rPr>
                <w:sz w:val="20"/>
                <w:szCs w:val="20"/>
                <w:color w:val="auto"/>
              </w:rPr>
            </w:pPr>
            <w:r>
              <w:rPr>
                <w:rFonts w:ascii="Arial" w:cs="Arial" w:eastAsia="Arial" w:hAnsi="Arial"/>
                <w:sz w:val="13"/>
                <w:szCs w:val="13"/>
                <w:color w:val="333333"/>
                <w:w w:val="97"/>
              </w:rPr>
              <w:t>FINANCIAL STATEMENTS AND SUPPLEMENTS</w:t>
            </w:r>
          </w:p>
        </w:tc>
        <w:tc>
          <w:tcPr>
            <w:tcW w:w="760" w:type="dxa"/>
            <w:vAlign w:val="bottom"/>
            <w:shd w:val="clear" w:color="auto" w:fill="FF8B00"/>
          </w:tcPr>
          <w:p>
            <w:pPr>
              <w:spacing w:after="0"/>
              <w:rPr>
                <w:sz w:val="24"/>
                <w:szCs w:val="24"/>
                <w:color w:val="auto"/>
              </w:rPr>
            </w:pPr>
          </w:p>
        </w:tc>
        <w:tc>
          <w:tcPr>
            <w:tcW w:w="1340" w:type="dxa"/>
            <w:vAlign w:val="bottom"/>
            <w:shd w:val="clear" w:color="auto" w:fill="FF8B00"/>
          </w:tcPr>
          <w:p>
            <w:pPr>
              <w:jc w:val="right"/>
              <w:ind w:right="351"/>
              <w:spacing w:after="0"/>
              <w:rPr>
                <w:sz w:val="20"/>
                <w:szCs w:val="20"/>
                <w:color w:val="auto"/>
              </w:rPr>
            </w:pPr>
            <w:r>
              <w:rPr>
                <w:rFonts w:ascii="Arial" w:cs="Arial" w:eastAsia="Arial" w:hAnsi="Arial"/>
                <w:sz w:val="11"/>
                <w:szCs w:val="11"/>
                <w:b w:val="1"/>
                <w:bCs w:val="1"/>
                <w:color w:val="333333"/>
              </w:rPr>
              <w:t>123</w:t>
            </w:r>
          </w:p>
        </w:tc>
        <w:tc>
          <w:tcPr>
            <w:tcW w:w="0" w:type="dxa"/>
            <w:vAlign w:val="bottom"/>
          </w:tcPr>
          <w:p>
            <w:pPr>
              <w:spacing w:after="0"/>
              <w:rPr>
                <w:sz w:val="1"/>
                <w:szCs w:val="1"/>
                <w:color w:val="auto"/>
              </w:rPr>
            </w:pPr>
          </w:p>
        </w:tc>
      </w:tr>
      <w:tr>
        <w:trPr>
          <w:trHeight w:val="165"/>
        </w:trPr>
        <w:tc>
          <w:tcPr>
            <w:tcW w:w="5600" w:type="dxa"/>
            <w:vAlign w:val="bottom"/>
            <w:gridSpan w:val="2"/>
            <w:vMerge w:val="restart"/>
          </w:tcPr>
          <w:p>
            <w:pPr>
              <w:spacing w:after="0"/>
              <w:rPr>
                <w:sz w:val="20"/>
                <w:szCs w:val="20"/>
                <w:color w:val="auto"/>
              </w:rPr>
            </w:pPr>
            <w:r>
              <w:rPr>
                <w:rFonts w:ascii="Arial" w:cs="Arial" w:eastAsia="Arial" w:hAnsi="Arial"/>
                <w:sz w:val="11"/>
                <w:szCs w:val="11"/>
                <w:color w:val="auto"/>
              </w:rPr>
              <w:t>SHELL ANNUAL REPORT AND FORM 20-F 2014</w:t>
            </w:r>
          </w:p>
        </w:tc>
        <w:tc>
          <w:tcPr>
            <w:tcW w:w="860" w:type="dxa"/>
            <w:vAlign w:val="bottom"/>
            <w:shd w:val="clear" w:color="auto" w:fill="FF8B00"/>
          </w:tcPr>
          <w:p>
            <w:pPr>
              <w:spacing w:after="0"/>
              <w:rPr>
                <w:sz w:val="14"/>
                <w:szCs w:val="14"/>
                <w:color w:val="auto"/>
              </w:rPr>
            </w:pPr>
          </w:p>
        </w:tc>
        <w:tc>
          <w:tcPr>
            <w:tcW w:w="1460" w:type="dxa"/>
            <w:vAlign w:val="bottom"/>
            <w:shd w:val="clear" w:color="auto" w:fill="FF8B00"/>
          </w:tcPr>
          <w:p>
            <w:pPr>
              <w:spacing w:after="0"/>
              <w:rPr>
                <w:sz w:val="14"/>
                <w:szCs w:val="14"/>
                <w:color w:val="auto"/>
              </w:rPr>
            </w:pPr>
          </w:p>
        </w:tc>
        <w:tc>
          <w:tcPr>
            <w:tcW w:w="720" w:type="dxa"/>
            <w:vAlign w:val="bottom"/>
            <w:shd w:val="clear" w:color="auto" w:fill="FF8B00"/>
          </w:tcPr>
          <w:p>
            <w:pPr>
              <w:spacing w:after="0"/>
              <w:rPr>
                <w:sz w:val="14"/>
                <w:szCs w:val="14"/>
                <w:color w:val="auto"/>
              </w:rPr>
            </w:pPr>
          </w:p>
        </w:tc>
        <w:tc>
          <w:tcPr>
            <w:tcW w:w="680" w:type="dxa"/>
            <w:vAlign w:val="bottom"/>
            <w:shd w:val="clear" w:color="auto" w:fill="FF8B00"/>
          </w:tcPr>
          <w:p>
            <w:pPr>
              <w:spacing w:after="0"/>
              <w:rPr>
                <w:sz w:val="14"/>
                <w:szCs w:val="14"/>
                <w:color w:val="auto"/>
              </w:rPr>
            </w:pPr>
          </w:p>
        </w:tc>
        <w:tc>
          <w:tcPr>
            <w:tcW w:w="760" w:type="dxa"/>
            <w:vAlign w:val="bottom"/>
            <w:shd w:val="clear" w:color="auto" w:fill="FF8B00"/>
          </w:tcPr>
          <w:p>
            <w:pPr>
              <w:spacing w:after="0"/>
              <w:rPr>
                <w:sz w:val="14"/>
                <w:szCs w:val="14"/>
                <w:color w:val="auto"/>
              </w:rPr>
            </w:pPr>
          </w:p>
        </w:tc>
        <w:tc>
          <w:tcPr>
            <w:tcW w:w="1340" w:type="dxa"/>
            <w:vAlign w:val="bottom"/>
            <w:shd w:val="clear" w:color="auto" w:fill="FF8B00"/>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5600" w:type="dxa"/>
            <w:vAlign w:val="bottom"/>
            <w:gridSpan w:val="2"/>
            <w:vMerge w:val="continue"/>
          </w:tcPr>
          <w:p>
            <w:pPr>
              <w:spacing w:after="0"/>
              <w:rPr>
                <w:sz w:val="10"/>
                <w:szCs w:val="10"/>
                <w:color w:val="auto"/>
              </w:rPr>
            </w:pPr>
          </w:p>
        </w:tc>
        <w:tc>
          <w:tcPr>
            <w:tcW w:w="860" w:type="dxa"/>
            <w:vAlign w:val="bottom"/>
          </w:tcPr>
          <w:p>
            <w:pPr>
              <w:spacing w:after="0"/>
              <w:rPr>
                <w:sz w:val="10"/>
                <w:szCs w:val="10"/>
                <w:color w:val="auto"/>
              </w:rPr>
            </w:pPr>
          </w:p>
        </w:tc>
        <w:tc>
          <w:tcPr>
            <w:tcW w:w="2860" w:type="dxa"/>
            <w:vAlign w:val="bottom"/>
            <w:gridSpan w:val="3"/>
          </w:tcPr>
          <w:p>
            <w:pPr>
              <w:ind w:left="20"/>
              <w:spacing w:after="0" w:line="121" w:lineRule="exact"/>
              <w:rPr>
                <w:sz w:val="20"/>
                <w:szCs w:val="20"/>
                <w:color w:val="auto"/>
              </w:rPr>
            </w:pPr>
            <w:r>
              <w:rPr>
                <w:rFonts w:ascii="Arial" w:cs="Arial" w:eastAsia="Arial" w:hAnsi="Arial"/>
                <w:sz w:val="11"/>
                <w:szCs w:val="11"/>
                <w:color w:val="auto"/>
              </w:rPr>
              <w:t>CONSOLIDATED FINANCIAL STATEMENTS</w:t>
            </w:r>
          </w:p>
        </w:tc>
        <w:tc>
          <w:tcPr>
            <w:tcW w:w="76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7"/>
        </w:trPr>
        <w:tc>
          <w:tcPr>
            <w:tcW w:w="5600" w:type="dxa"/>
            <w:vAlign w:val="bottom"/>
            <w:gridSpan w:val="2"/>
          </w:tcPr>
          <w:p>
            <w:pPr>
              <w:spacing w:after="0"/>
              <w:rPr>
                <w:sz w:val="20"/>
                <w:szCs w:val="20"/>
                <w:color w:val="auto"/>
              </w:rPr>
            </w:pPr>
            <w:r>
              <w:rPr>
                <w:rFonts w:ascii="Arial" w:cs="Arial" w:eastAsia="Arial" w:hAnsi="Arial"/>
                <w:sz w:val="18"/>
                <w:szCs w:val="18"/>
                <w:color w:val="auto"/>
              </w:rPr>
              <w:t>11 TRADE AND OTHER RECEIVABLES</w:t>
            </w:r>
          </w:p>
        </w:tc>
        <w:tc>
          <w:tcPr>
            <w:tcW w:w="8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5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5240" w:type="dxa"/>
            <w:vAlign w:val="bottom"/>
            <w:shd w:val="clear" w:color="auto" w:fill="333333"/>
          </w:tcPr>
          <w:p>
            <w:pPr>
              <w:spacing w:after="0"/>
              <w:rPr>
                <w:sz w:val="14"/>
                <w:szCs w:val="14"/>
                <w:color w:val="auto"/>
              </w:rPr>
            </w:pPr>
          </w:p>
        </w:tc>
        <w:tc>
          <w:tcPr>
            <w:tcW w:w="360" w:type="dxa"/>
            <w:vAlign w:val="bottom"/>
            <w:shd w:val="clear" w:color="auto" w:fill="333333"/>
          </w:tcPr>
          <w:p>
            <w:pPr>
              <w:spacing w:after="0"/>
              <w:rPr>
                <w:sz w:val="14"/>
                <w:szCs w:val="14"/>
                <w:color w:val="auto"/>
              </w:rPr>
            </w:pPr>
          </w:p>
        </w:tc>
        <w:tc>
          <w:tcPr>
            <w:tcW w:w="860" w:type="dxa"/>
            <w:vAlign w:val="bottom"/>
            <w:shd w:val="clear" w:color="auto" w:fill="333333"/>
          </w:tcPr>
          <w:p>
            <w:pPr>
              <w:spacing w:after="0"/>
              <w:rPr>
                <w:sz w:val="14"/>
                <w:szCs w:val="14"/>
                <w:color w:val="auto"/>
              </w:rPr>
            </w:pPr>
          </w:p>
        </w:tc>
        <w:tc>
          <w:tcPr>
            <w:tcW w:w="1460" w:type="dxa"/>
            <w:vAlign w:val="bottom"/>
            <w:shd w:val="clear" w:color="auto" w:fill="333333"/>
          </w:tcPr>
          <w:p>
            <w:pPr>
              <w:spacing w:after="0"/>
              <w:rPr>
                <w:sz w:val="14"/>
                <w:szCs w:val="14"/>
                <w:color w:val="auto"/>
              </w:rPr>
            </w:pPr>
          </w:p>
        </w:tc>
        <w:tc>
          <w:tcPr>
            <w:tcW w:w="720" w:type="dxa"/>
            <w:vAlign w:val="bottom"/>
            <w:shd w:val="clear" w:color="auto" w:fill="333333"/>
          </w:tcPr>
          <w:p>
            <w:pPr>
              <w:spacing w:after="0"/>
              <w:rPr>
                <w:sz w:val="14"/>
                <w:szCs w:val="14"/>
                <w:color w:val="auto"/>
              </w:rPr>
            </w:pPr>
          </w:p>
        </w:tc>
        <w:tc>
          <w:tcPr>
            <w:tcW w:w="680" w:type="dxa"/>
            <w:vAlign w:val="bottom"/>
            <w:shd w:val="clear" w:color="auto" w:fill="333333"/>
          </w:tcPr>
          <w:p>
            <w:pPr>
              <w:spacing w:after="0"/>
              <w:rPr>
                <w:sz w:val="14"/>
                <w:szCs w:val="14"/>
                <w:color w:val="auto"/>
              </w:rPr>
            </w:pPr>
          </w:p>
        </w:tc>
        <w:tc>
          <w:tcPr>
            <w:tcW w:w="760" w:type="dxa"/>
            <w:vAlign w:val="bottom"/>
            <w:shd w:val="clear" w:color="auto" w:fill="333333"/>
          </w:tcPr>
          <w:p>
            <w:pPr>
              <w:spacing w:after="0"/>
              <w:rPr>
                <w:sz w:val="14"/>
                <w:szCs w:val="14"/>
                <w:color w:val="auto"/>
              </w:rPr>
            </w:pPr>
          </w:p>
        </w:tc>
        <w:tc>
          <w:tcPr>
            <w:tcW w:w="1340" w:type="dxa"/>
            <w:vAlign w:val="bottom"/>
            <w:shd w:val="clear" w:color="auto" w:fill="333333"/>
          </w:tcPr>
          <w:p>
            <w:pPr>
              <w:jc w:val="right"/>
              <w:ind w:right="271"/>
              <w:spacing w:after="0" w:line="162" w:lineRule="exact"/>
              <w:rPr>
                <w:sz w:val="20"/>
                <w:szCs w:val="20"/>
                <w:color w:val="auto"/>
              </w:rPr>
            </w:pPr>
            <w:r>
              <w:rPr>
                <w:rFonts w:ascii="Arial" w:cs="Arial" w:eastAsia="Arial" w:hAnsi="Arial"/>
                <w:sz w:val="15"/>
                <w:szCs w:val="15"/>
                <w:color w:val="FFFFFF"/>
              </w:rPr>
              <w:t>$ MILLION</w:t>
            </w:r>
          </w:p>
        </w:tc>
        <w:tc>
          <w:tcPr>
            <w:tcW w:w="0" w:type="dxa"/>
            <w:vAlign w:val="bottom"/>
          </w:tcPr>
          <w:p>
            <w:pPr>
              <w:spacing w:after="0"/>
              <w:rPr>
                <w:sz w:val="1"/>
                <w:szCs w:val="1"/>
                <w:color w:val="auto"/>
              </w:rPr>
            </w:pPr>
          </w:p>
        </w:tc>
      </w:tr>
      <w:tr>
        <w:trPr>
          <w:trHeight w:val="135"/>
        </w:trPr>
        <w:tc>
          <w:tcPr>
            <w:tcW w:w="5240" w:type="dxa"/>
            <w:vAlign w:val="bottom"/>
          </w:tcPr>
          <w:p>
            <w:pPr>
              <w:spacing w:after="0"/>
              <w:rPr>
                <w:sz w:val="11"/>
                <w:szCs w:val="11"/>
                <w:color w:val="auto"/>
              </w:rPr>
            </w:pPr>
          </w:p>
        </w:tc>
        <w:tc>
          <w:tcPr>
            <w:tcW w:w="360" w:type="dxa"/>
            <w:vAlign w:val="bottom"/>
            <w:tcBorders>
              <w:bottom w:val="single" w:sz="8" w:color="auto"/>
            </w:tcBorders>
            <w:shd w:val="clear" w:color="auto" w:fill="D8D8D8"/>
          </w:tcPr>
          <w:p>
            <w:pPr>
              <w:spacing w:after="0"/>
              <w:rPr>
                <w:sz w:val="11"/>
                <w:szCs w:val="11"/>
                <w:color w:val="auto"/>
              </w:rPr>
            </w:pPr>
          </w:p>
        </w:tc>
        <w:tc>
          <w:tcPr>
            <w:tcW w:w="860" w:type="dxa"/>
            <w:vAlign w:val="bottom"/>
            <w:tcBorders>
              <w:bottom w:val="single" w:sz="8" w:color="auto"/>
            </w:tcBorders>
            <w:shd w:val="clear" w:color="auto" w:fill="D8D8D8"/>
          </w:tcPr>
          <w:p>
            <w:pPr>
              <w:spacing w:after="0"/>
              <w:rPr>
                <w:sz w:val="11"/>
                <w:szCs w:val="11"/>
                <w:color w:val="auto"/>
              </w:rPr>
            </w:pPr>
          </w:p>
        </w:tc>
        <w:tc>
          <w:tcPr>
            <w:tcW w:w="1460" w:type="dxa"/>
            <w:vAlign w:val="bottom"/>
            <w:tcBorders>
              <w:bottom w:val="single" w:sz="8" w:color="auto"/>
            </w:tcBorders>
            <w:shd w:val="clear" w:color="auto" w:fill="D8D8D8"/>
          </w:tcPr>
          <w:p>
            <w:pPr>
              <w:jc w:val="right"/>
              <w:ind w:right="273"/>
              <w:spacing w:after="0" w:line="135" w:lineRule="exact"/>
              <w:rPr>
                <w:sz w:val="20"/>
                <w:szCs w:val="20"/>
                <w:color w:val="auto"/>
              </w:rPr>
            </w:pPr>
            <w:r>
              <w:rPr>
                <w:rFonts w:ascii="Arial" w:cs="Arial" w:eastAsia="Arial" w:hAnsi="Arial"/>
                <w:sz w:val="13"/>
                <w:szCs w:val="13"/>
                <w:color w:val="auto"/>
              </w:rPr>
              <w:t>Dec 31, 2014</w:t>
            </w:r>
          </w:p>
        </w:tc>
        <w:tc>
          <w:tcPr>
            <w:tcW w:w="720" w:type="dxa"/>
            <w:vAlign w:val="bottom"/>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spacing w:after="0"/>
              <w:rPr>
                <w:sz w:val="11"/>
                <w:szCs w:val="11"/>
                <w:color w:val="auto"/>
              </w:rPr>
            </w:pPr>
          </w:p>
        </w:tc>
        <w:tc>
          <w:tcPr>
            <w:tcW w:w="1340" w:type="dxa"/>
            <w:vAlign w:val="bottom"/>
            <w:tcBorders>
              <w:bottom w:val="single" w:sz="8" w:color="auto"/>
            </w:tcBorders>
          </w:tcPr>
          <w:p>
            <w:pPr>
              <w:jc w:val="right"/>
              <w:ind w:right="271"/>
              <w:spacing w:after="0" w:line="135" w:lineRule="exact"/>
              <w:rPr>
                <w:sz w:val="20"/>
                <w:szCs w:val="20"/>
                <w:color w:val="auto"/>
              </w:rPr>
            </w:pPr>
            <w:r>
              <w:rPr>
                <w:rFonts w:ascii="Arial" w:cs="Arial" w:eastAsia="Arial" w:hAnsi="Arial"/>
                <w:sz w:val="13"/>
                <w:szCs w:val="13"/>
                <w:color w:val="auto"/>
              </w:rPr>
              <w:t>Dec 31, 2013</w:t>
            </w:r>
          </w:p>
        </w:tc>
        <w:tc>
          <w:tcPr>
            <w:tcW w:w="0" w:type="dxa"/>
            <w:vAlign w:val="bottom"/>
          </w:tcPr>
          <w:p>
            <w:pPr>
              <w:spacing w:after="0"/>
              <w:rPr>
                <w:sz w:val="1"/>
                <w:szCs w:val="1"/>
                <w:color w:val="auto"/>
              </w:rPr>
            </w:pPr>
          </w:p>
        </w:tc>
      </w:tr>
      <w:tr>
        <w:trPr>
          <w:trHeight w:val="129"/>
        </w:trPr>
        <w:tc>
          <w:tcPr>
            <w:tcW w:w="524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shd w:val="clear" w:color="auto" w:fill="D8D8D8"/>
          </w:tcPr>
          <w:p>
            <w:pPr>
              <w:spacing w:after="0"/>
              <w:rPr>
                <w:sz w:val="11"/>
                <w:szCs w:val="11"/>
                <w:color w:val="auto"/>
              </w:rPr>
            </w:pPr>
          </w:p>
        </w:tc>
        <w:tc>
          <w:tcPr>
            <w:tcW w:w="860" w:type="dxa"/>
            <w:vAlign w:val="bottom"/>
            <w:tcBorders>
              <w:bottom w:val="single" w:sz="8" w:color="auto"/>
            </w:tcBorders>
            <w:shd w:val="clear" w:color="auto" w:fill="D8D8D8"/>
          </w:tcPr>
          <w:p>
            <w:pPr>
              <w:jc w:val="right"/>
              <w:spacing w:after="0" w:line="129" w:lineRule="exact"/>
              <w:rPr>
                <w:sz w:val="20"/>
                <w:szCs w:val="20"/>
                <w:color w:val="auto"/>
              </w:rPr>
            </w:pPr>
            <w:r>
              <w:rPr>
                <w:rFonts w:ascii="Arial" w:cs="Arial" w:eastAsia="Arial" w:hAnsi="Arial"/>
                <w:sz w:val="13"/>
                <w:szCs w:val="13"/>
                <w:color w:val="auto"/>
              </w:rPr>
              <w:t>Current</w:t>
            </w:r>
          </w:p>
        </w:tc>
        <w:tc>
          <w:tcPr>
            <w:tcW w:w="1460" w:type="dxa"/>
            <w:vAlign w:val="bottom"/>
            <w:tcBorders>
              <w:bottom w:val="single" w:sz="8" w:color="auto"/>
            </w:tcBorders>
            <w:shd w:val="clear" w:color="auto" w:fill="D8D8D8"/>
          </w:tcPr>
          <w:p>
            <w:pPr>
              <w:jc w:val="right"/>
              <w:ind w:right="273"/>
              <w:spacing w:after="0" w:line="129" w:lineRule="exact"/>
              <w:rPr>
                <w:sz w:val="20"/>
                <w:szCs w:val="20"/>
                <w:color w:val="auto"/>
              </w:rPr>
            </w:pPr>
            <w:r>
              <w:rPr>
                <w:rFonts w:ascii="Arial" w:cs="Arial" w:eastAsia="Arial" w:hAnsi="Arial"/>
                <w:sz w:val="13"/>
                <w:szCs w:val="13"/>
                <w:color w:val="auto"/>
              </w:rPr>
              <w:t>Non-current</w:t>
            </w:r>
          </w:p>
        </w:tc>
        <w:tc>
          <w:tcPr>
            <w:tcW w:w="72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jc w:val="right"/>
              <w:ind w:right="189"/>
              <w:spacing w:after="0" w:line="129" w:lineRule="exact"/>
              <w:rPr>
                <w:sz w:val="20"/>
                <w:szCs w:val="20"/>
                <w:color w:val="auto"/>
              </w:rPr>
            </w:pPr>
            <w:r>
              <w:rPr>
                <w:rFonts w:ascii="Arial" w:cs="Arial" w:eastAsia="Arial" w:hAnsi="Arial"/>
                <w:sz w:val="13"/>
                <w:szCs w:val="13"/>
                <w:color w:val="auto"/>
              </w:rPr>
              <w:t>Current</w:t>
            </w:r>
          </w:p>
        </w:tc>
        <w:tc>
          <w:tcPr>
            <w:tcW w:w="1340" w:type="dxa"/>
            <w:vAlign w:val="bottom"/>
            <w:tcBorders>
              <w:bottom w:val="single" w:sz="8" w:color="auto"/>
            </w:tcBorders>
          </w:tcPr>
          <w:p>
            <w:pPr>
              <w:jc w:val="right"/>
              <w:ind w:right="271"/>
              <w:spacing w:after="0" w:line="129" w:lineRule="exact"/>
              <w:rPr>
                <w:sz w:val="20"/>
                <w:szCs w:val="20"/>
                <w:color w:val="auto"/>
              </w:rPr>
            </w:pPr>
            <w:r>
              <w:rPr>
                <w:rFonts w:ascii="Arial" w:cs="Arial" w:eastAsia="Arial" w:hAnsi="Arial"/>
                <w:sz w:val="13"/>
                <w:szCs w:val="13"/>
                <w:color w:val="auto"/>
              </w:rPr>
              <w:t>Non-current</w:t>
            </w:r>
          </w:p>
        </w:tc>
        <w:tc>
          <w:tcPr>
            <w:tcW w:w="0" w:type="dxa"/>
            <w:vAlign w:val="bottom"/>
          </w:tcPr>
          <w:p>
            <w:pPr>
              <w:spacing w:after="0"/>
              <w:rPr>
                <w:sz w:val="1"/>
                <w:szCs w:val="1"/>
                <w:color w:val="auto"/>
              </w:rPr>
            </w:pPr>
          </w:p>
        </w:tc>
      </w:tr>
      <w:tr>
        <w:trPr>
          <w:trHeight w:val="156"/>
        </w:trPr>
        <w:tc>
          <w:tcPr>
            <w:tcW w:w="5240" w:type="dxa"/>
            <w:vAlign w:val="bottom"/>
          </w:tcPr>
          <w:p>
            <w:pPr>
              <w:spacing w:after="0" w:line="155" w:lineRule="exact"/>
              <w:rPr>
                <w:sz w:val="20"/>
                <w:szCs w:val="20"/>
                <w:color w:val="auto"/>
              </w:rPr>
            </w:pPr>
            <w:r>
              <w:rPr>
                <w:rFonts w:ascii="Arial" w:cs="Arial" w:eastAsia="Arial" w:hAnsi="Arial"/>
                <w:sz w:val="14"/>
                <w:szCs w:val="14"/>
                <w:color w:val="auto"/>
              </w:rPr>
              <w:t>Trade receivables</w:t>
            </w:r>
          </w:p>
        </w:tc>
        <w:tc>
          <w:tcPr>
            <w:tcW w:w="360" w:type="dxa"/>
            <w:vAlign w:val="bottom"/>
            <w:shd w:val="clear" w:color="auto" w:fill="D8D8D8"/>
          </w:tcPr>
          <w:p>
            <w:pPr>
              <w:spacing w:after="0"/>
              <w:rPr>
                <w:sz w:val="13"/>
                <w:szCs w:val="13"/>
                <w:color w:val="auto"/>
              </w:rPr>
            </w:pPr>
          </w:p>
        </w:tc>
        <w:tc>
          <w:tcPr>
            <w:tcW w:w="860" w:type="dxa"/>
            <w:vAlign w:val="bottom"/>
            <w:shd w:val="clear" w:color="auto" w:fill="D8D8D8"/>
          </w:tcPr>
          <w:p>
            <w:pPr>
              <w:jc w:val="right"/>
              <w:spacing w:after="0" w:line="155" w:lineRule="exact"/>
              <w:rPr>
                <w:sz w:val="20"/>
                <w:szCs w:val="20"/>
                <w:color w:val="auto"/>
              </w:rPr>
            </w:pPr>
            <w:r>
              <w:rPr>
                <w:rFonts w:ascii="Arial" w:cs="Arial" w:eastAsia="Arial" w:hAnsi="Arial"/>
                <w:sz w:val="14"/>
                <w:szCs w:val="14"/>
                <w:color w:val="auto"/>
              </w:rPr>
              <w:t>28,393</w:t>
            </w:r>
          </w:p>
        </w:tc>
        <w:tc>
          <w:tcPr>
            <w:tcW w:w="1460" w:type="dxa"/>
            <w:vAlign w:val="bottom"/>
            <w:shd w:val="clear" w:color="auto" w:fill="D8D8D8"/>
          </w:tcPr>
          <w:p>
            <w:pPr>
              <w:jc w:val="right"/>
              <w:ind w:right="273"/>
              <w:spacing w:after="0" w:line="155" w:lineRule="exact"/>
              <w:rPr>
                <w:sz w:val="20"/>
                <w:szCs w:val="20"/>
                <w:color w:val="auto"/>
              </w:rPr>
            </w:pPr>
            <w:r>
              <w:rPr>
                <w:rFonts w:ascii="Arial" w:cs="Arial" w:eastAsia="Arial" w:hAnsi="Arial"/>
                <w:sz w:val="14"/>
                <w:szCs w:val="14"/>
                <w:color w:val="auto"/>
              </w:rPr>
              <w:t>–</w:t>
            </w:r>
          </w:p>
        </w:tc>
        <w:tc>
          <w:tcPr>
            <w:tcW w:w="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60" w:type="dxa"/>
            <w:vAlign w:val="bottom"/>
          </w:tcPr>
          <w:p>
            <w:pPr>
              <w:jc w:val="right"/>
              <w:ind w:right="189"/>
              <w:spacing w:after="0" w:line="155" w:lineRule="exact"/>
              <w:rPr>
                <w:sz w:val="20"/>
                <w:szCs w:val="20"/>
                <w:color w:val="auto"/>
              </w:rPr>
            </w:pPr>
            <w:r>
              <w:rPr>
                <w:rFonts w:ascii="Arial" w:cs="Arial" w:eastAsia="Arial" w:hAnsi="Arial"/>
                <w:sz w:val="14"/>
                <w:szCs w:val="14"/>
                <w:color w:val="auto"/>
              </w:rPr>
              <w:t>39,094</w:t>
            </w:r>
          </w:p>
        </w:tc>
        <w:tc>
          <w:tcPr>
            <w:tcW w:w="1340" w:type="dxa"/>
            <w:vAlign w:val="bottom"/>
          </w:tcPr>
          <w:p>
            <w:pPr>
              <w:jc w:val="right"/>
              <w:ind w:right="271"/>
              <w:spacing w:after="0" w:line="155"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5240" w:type="dxa"/>
            <w:vAlign w:val="bottom"/>
          </w:tcPr>
          <w:p>
            <w:pPr>
              <w:spacing w:after="0"/>
              <w:rPr>
                <w:sz w:val="20"/>
                <w:szCs w:val="20"/>
                <w:color w:val="auto"/>
              </w:rPr>
            </w:pPr>
            <w:r>
              <w:rPr>
                <w:rFonts w:ascii="Arial" w:cs="Arial" w:eastAsia="Arial" w:hAnsi="Arial"/>
                <w:sz w:val="14"/>
                <w:szCs w:val="14"/>
                <w:color w:val="auto"/>
              </w:rPr>
              <w:t>Other receivables</w:t>
            </w:r>
          </w:p>
        </w:tc>
        <w:tc>
          <w:tcPr>
            <w:tcW w:w="360" w:type="dxa"/>
            <w:vAlign w:val="bottom"/>
            <w:shd w:val="clear" w:color="auto" w:fill="D8D8D8"/>
          </w:tcPr>
          <w:p>
            <w:pPr>
              <w:spacing w:after="0"/>
              <w:rPr>
                <w:sz w:val="14"/>
                <w:szCs w:val="14"/>
                <w:color w:val="auto"/>
              </w:rPr>
            </w:pPr>
          </w:p>
        </w:tc>
        <w:tc>
          <w:tcPr>
            <w:tcW w:w="860" w:type="dxa"/>
            <w:vAlign w:val="bottom"/>
            <w:shd w:val="clear" w:color="auto" w:fill="D8D8D8"/>
          </w:tcPr>
          <w:p>
            <w:pPr>
              <w:jc w:val="right"/>
              <w:spacing w:after="0"/>
              <w:rPr>
                <w:sz w:val="20"/>
                <w:szCs w:val="20"/>
                <w:color w:val="auto"/>
              </w:rPr>
            </w:pPr>
            <w:r>
              <w:rPr>
                <w:rFonts w:ascii="Arial" w:cs="Arial" w:eastAsia="Arial" w:hAnsi="Arial"/>
                <w:sz w:val="14"/>
                <w:szCs w:val="14"/>
                <w:color w:val="auto"/>
              </w:rPr>
              <w:t>8,968</w:t>
            </w:r>
          </w:p>
        </w:tc>
        <w:tc>
          <w:tcPr>
            <w:tcW w:w="1460" w:type="dxa"/>
            <w:vAlign w:val="bottom"/>
            <w:shd w:val="clear" w:color="auto" w:fill="D8D8D8"/>
          </w:tcPr>
          <w:p>
            <w:pPr>
              <w:jc w:val="right"/>
              <w:ind w:right="273"/>
              <w:spacing w:after="0"/>
              <w:rPr>
                <w:sz w:val="20"/>
                <w:szCs w:val="20"/>
                <w:color w:val="auto"/>
              </w:rPr>
            </w:pPr>
            <w:r>
              <w:rPr>
                <w:rFonts w:ascii="Arial" w:cs="Arial" w:eastAsia="Arial" w:hAnsi="Arial"/>
                <w:sz w:val="14"/>
                <w:szCs w:val="14"/>
                <w:color w:val="auto"/>
              </w:rPr>
              <w:t>3,738</w:t>
            </w: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60" w:type="dxa"/>
            <w:vAlign w:val="bottom"/>
          </w:tcPr>
          <w:p>
            <w:pPr>
              <w:jc w:val="right"/>
              <w:ind w:right="189"/>
              <w:spacing w:after="0"/>
              <w:rPr>
                <w:sz w:val="20"/>
                <w:szCs w:val="20"/>
                <w:color w:val="auto"/>
              </w:rPr>
            </w:pPr>
            <w:r>
              <w:rPr>
                <w:rFonts w:ascii="Arial" w:cs="Arial" w:eastAsia="Arial" w:hAnsi="Arial"/>
                <w:sz w:val="14"/>
                <w:szCs w:val="14"/>
                <w:color w:val="auto"/>
              </w:rPr>
              <w:t>8,315</w:t>
            </w:r>
          </w:p>
        </w:tc>
        <w:tc>
          <w:tcPr>
            <w:tcW w:w="1340" w:type="dxa"/>
            <w:vAlign w:val="bottom"/>
          </w:tcPr>
          <w:p>
            <w:pPr>
              <w:jc w:val="right"/>
              <w:ind w:right="271"/>
              <w:spacing w:after="0"/>
              <w:rPr>
                <w:sz w:val="20"/>
                <w:szCs w:val="20"/>
                <w:color w:val="auto"/>
              </w:rPr>
            </w:pPr>
            <w:r>
              <w:rPr>
                <w:rFonts w:ascii="Arial" w:cs="Arial" w:eastAsia="Arial" w:hAnsi="Arial"/>
                <w:sz w:val="14"/>
                <w:szCs w:val="14"/>
                <w:color w:val="auto"/>
              </w:rPr>
              <w:t>3,032</w:t>
            </w:r>
          </w:p>
        </w:tc>
        <w:tc>
          <w:tcPr>
            <w:tcW w:w="0" w:type="dxa"/>
            <w:vAlign w:val="bottom"/>
          </w:tcPr>
          <w:p>
            <w:pPr>
              <w:spacing w:after="0"/>
              <w:rPr>
                <w:sz w:val="1"/>
                <w:szCs w:val="1"/>
                <w:color w:val="auto"/>
              </w:rPr>
            </w:pPr>
          </w:p>
        </w:tc>
      </w:tr>
      <w:tr>
        <w:trPr>
          <w:trHeight w:val="162"/>
        </w:trPr>
        <w:tc>
          <w:tcPr>
            <w:tcW w:w="5240" w:type="dxa"/>
            <w:vAlign w:val="bottom"/>
          </w:tcPr>
          <w:p>
            <w:pPr>
              <w:spacing w:after="0"/>
              <w:rPr>
                <w:sz w:val="20"/>
                <w:szCs w:val="20"/>
                <w:color w:val="auto"/>
              </w:rPr>
            </w:pPr>
            <w:r>
              <w:rPr>
                <w:rFonts w:ascii="Arial" w:cs="Arial" w:eastAsia="Arial" w:hAnsi="Arial"/>
                <w:sz w:val="14"/>
                <w:szCs w:val="14"/>
                <w:color w:val="auto"/>
              </w:rPr>
              <w:t>Amounts due from joint ventures and associates</w:t>
            </w:r>
          </w:p>
        </w:tc>
        <w:tc>
          <w:tcPr>
            <w:tcW w:w="360" w:type="dxa"/>
            <w:vAlign w:val="bottom"/>
            <w:shd w:val="clear" w:color="auto" w:fill="D8D8D8"/>
          </w:tcPr>
          <w:p>
            <w:pPr>
              <w:spacing w:after="0"/>
              <w:rPr>
                <w:sz w:val="14"/>
                <w:szCs w:val="14"/>
                <w:color w:val="auto"/>
              </w:rPr>
            </w:pPr>
          </w:p>
        </w:tc>
        <w:tc>
          <w:tcPr>
            <w:tcW w:w="860" w:type="dxa"/>
            <w:vAlign w:val="bottom"/>
            <w:shd w:val="clear" w:color="auto" w:fill="D8D8D8"/>
          </w:tcPr>
          <w:p>
            <w:pPr>
              <w:jc w:val="right"/>
              <w:spacing w:after="0"/>
              <w:rPr>
                <w:sz w:val="20"/>
                <w:szCs w:val="20"/>
                <w:color w:val="auto"/>
              </w:rPr>
            </w:pPr>
            <w:r>
              <w:rPr>
                <w:rFonts w:ascii="Arial" w:cs="Arial" w:eastAsia="Arial" w:hAnsi="Arial"/>
                <w:sz w:val="14"/>
                <w:szCs w:val="14"/>
                <w:color w:val="auto"/>
              </w:rPr>
              <w:t>3,173</w:t>
            </w:r>
          </w:p>
        </w:tc>
        <w:tc>
          <w:tcPr>
            <w:tcW w:w="1460" w:type="dxa"/>
            <w:vAlign w:val="bottom"/>
            <w:shd w:val="clear" w:color="auto" w:fill="D8D8D8"/>
          </w:tcPr>
          <w:p>
            <w:pPr>
              <w:jc w:val="right"/>
              <w:ind w:right="273"/>
              <w:spacing w:after="0"/>
              <w:rPr>
                <w:sz w:val="20"/>
                <w:szCs w:val="20"/>
                <w:color w:val="auto"/>
              </w:rPr>
            </w:pPr>
            <w:r>
              <w:rPr>
                <w:rFonts w:ascii="Arial" w:cs="Arial" w:eastAsia="Arial" w:hAnsi="Arial"/>
                <w:sz w:val="14"/>
                <w:szCs w:val="14"/>
                <w:color w:val="auto"/>
              </w:rPr>
              <w:t>2,212</w:t>
            </w: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60" w:type="dxa"/>
            <w:vAlign w:val="bottom"/>
          </w:tcPr>
          <w:p>
            <w:pPr>
              <w:jc w:val="right"/>
              <w:ind w:right="189"/>
              <w:spacing w:after="0"/>
              <w:rPr>
                <w:sz w:val="20"/>
                <w:szCs w:val="20"/>
                <w:color w:val="auto"/>
              </w:rPr>
            </w:pPr>
            <w:r>
              <w:rPr>
                <w:rFonts w:ascii="Arial" w:cs="Arial" w:eastAsia="Arial" w:hAnsi="Arial"/>
                <w:sz w:val="14"/>
                <w:szCs w:val="14"/>
                <w:color w:val="auto"/>
              </w:rPr>
              <w:t>2,948</w:t>
            </w:r>
          </w:p>
        </w:tc>
        <w:tc>
          <w:tcPr>
            <w:tcW w:w="1340" w:type="dxa"/>
            <w:vAlign w:val="bottom"/>
          </w:tcPr>
          <w:p>
            <w:pPr>
              <w:jc w:val="right"/>
              <w:ind w:right="271"/>
              <w:spacing w:after="0"/>
              <w:rPr>
                <w:sz w:val="20"/>
                <w:szCs w:val="20"/>
                <w:color w:val="auto"/>
              </w:rPr>
            </w:pPr>
            <w:r>
              <w:rPr>
                <w:rFonts w:ascii="Arial" w:cs="Arial" w:eastAsia="Arial" w:hAnsi="Arial"/>
                <w:sz w:val="14"/>
                <w:szCs w:val="14"/>
                <w:color w:val="auto"/>
              </w:rPr>
              <w:t>2,584</w:t>
            </w:r>
          </w:p>
        </w:tc>
        <w:tc>
          <w:tcPr>
            <w:tcW w:w="0" w:type="dxa"/>
            <w:vAlign w:val="bottom"/>
          </w:tcPr>
          <w:p>
            <w:pPr>
              <w:spacing w:after="0"/>
              <w:rPr>
                <w:sz w:val="1"/>
                <w:szCs w:val="1"/>
                <w:color w:val="auto"/>
              </w:rPr>
            </w:pPr>
          </w:p>
        </w:tc>
      </w:tr>
      <w:tr>
        <w:trPr>
          <w:trHeight w:val="162"/>
        </w:trPr>
        <w:tc>
          <w:tcPr>
            <w:tcW w:w="5240" w:type="dxa"/>
            <w:vAlign w:val="bottom"/>
          </w:tcPr>
          <w:p>
            <w:pPr>
              <w:spacing w:after="0"/>
              <w:rPr>
                <w:sz w:val="20"/>
                <w:szCs w:val="20"/>
                <w:color w:val="auto"/>
              </w:rPr>
            </w:pPr>
            <w:r>
              <w:rPr>
                <w:rFonts w:ascii="Arial" w:cs="Arial" w:eastAsia="Arial" w:hAnsi="Arial"/>
                <w:sz w:val="14"/>
                <w:szCs w:val="14"/>
                <w:color w:val="auto"/>
              </w:rPr>
              <w:t>Derivative contracts (see Note 19)</w:t>
            </w:r>
          </w:p>
        </w:tc>
        <w:tc>
          <w:tcPr>
            <w:tcW w:w="360" w:type="dxa"/>
            <w:vAlign w:val="bottom"/>
            <w:shd w:val="clear" w:color="auto" w:fill="D8D8D8"/>
          </w:tcPr>
          <w:p>
            <w:pPr>
              <w:spacing w:after="0"/>
              <w:rPr>
                <w:sz w:val="14"/>
                <w:szCs w:val="14"/>
                <w:color w:val="auto"/>
              </w:rPr>
            </w:pPr>
          </w:p>
        </w:tc>
        <w:tc>
          <w:tcPr>
            <w:tcW w:w="860" w:type="dxa"/>
            <w:vAlign w:val="bottom"/>
            <w:shd w:val="clear" w:color="auto" w:fill="D8D8D8"/>
          </w:tcPr>
          <w:p>
            <w:pPr>
              <w:jc w:val="right"/>
              <w:spacing w:after="0"/>
              <w:rPr>
                <w:sz w:val="20"/>
                <w:szCs w:val="20"/>
                <w:color w:val="auto"/>
              </w:rPr>
            </w:pPr>
            <w:r>
              <w:rPr>
                <w:rFonts w:ascii="Arial" w:cs="Arial" w:eastAsia="Arial" w:hAnsi="Arial"/>
                <w:sz w:val="14"/>
                <w:szCs w:val="14"/>
                <w:color w:val="auto"/>
              </w:rPr>
              <w:t>14,037</w:t>
            </w:r>
          </w:p>
        </w:tc>
        <w:tc>
          <w:tcPr>
            <w:tcW w:w="1460" w:type="dxa"/>
            <w:vAlign w:val="bottom"/>
            <w:shd w:val="clear" w:color="auto" w:fill="D8D8D8"/>
          </w:tcPr>
          <w:p>
            <w:pPr>
              <w:jc w:val="right"/>
              <w:ind w:right="273"/>
              <w:spacing w:after="0"/>
              <w:rPr>
                <w:sz w:val="20"/>
                <w:szCs w:val="20"/>
                <w:color w:val="auto"/>
              </w:rPr>
            </w:pPr>
            <w:r>
              <w:rPr>
                <w:rFonts w:ascii="Arial" w:cs="Arial" w:eastAsia="Arial" w:hAnsi="Arial"/>
                <w:sz w:val="14"/>
                <w:szCs w:val="14"/>
                <w:color w:val="auto"/>
              </w:rPr>
              <w:t>703</w:t>
            </w: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60" w:type="dxa"/>
            <w:vAlign w:val="bottom"/>
          </w:tcPr>
          <w:p>
            <w:pPr>
              <w:jc w:val="right"/>
              <w:ind w:right="189"/>
              <w:spacing w:after="0"/>
              <w:rPr>
                <w:sz w:val="20"/>
                <w:szCs w:val="20"/>
                <w:color w:val="auto"/>
              </w:rPr>
            </w:pPr>
            <w:r>
              <w:rPr>
                <w:rFonts w:ascii="Arial" w:cs="Arial" w:eastAsia="Arial" w:hAnsi="Arial"/>
                <w:sz w:val="14"/>
                <w:szCs w:val="14"/>
                <w:color w:val="auto"/>
              </w:rPr>
              <w:t>6,445</w:t>
            </w:r>
          </w:p>
        </w:tc>
        <w:tc>
          <w:tcPr>
            <w:tcW w:w="1340" w:type="dxa"/>
            <w:vAlign w:val="bottom"/>
          </w:tcPr>
          <w:p>
            <w:pPr>
              <w:jc w:val="right"/>
              <w:ind w:right="271"/>
              <w:spacing w:after="0"/>
              <w:rPr>
                <w:sz w:val="20"/>
                <w:szCs w:val="20"/>
                <w:color w:val="auto"/>
              </w:rPr>
            </w:pPr>
            <w:r>
              <w:rPr>
                <w:rFonts w:ascii="Arial" w:cs="Arial" w:eastAsia="Arial" w:hAnsi="Arial"/>
                <w:sz w:val="14"/>
                <w:szCs w:val="14"/>
                <w:color w:val="auto"/>
              </w:rPr>
              <w:t>1,772</w:t>
            </w:r>
          </w:p>
        </w:tc>
        <w:tc>
          <w:tcPr>
            <w:tcW w:w="0" w:type="dxa"/>
            <w:vAlign w:val="bottom"/>
          </w:tcPr>
          <w:p>
            <w:pPr>
              <w:spacing w:after="0"/>
              <w:rPr>
                <w:sz w:val="1"/>
                <w:szCs w:val="1"/>
                <w:color w:val="auto"/>
              </w:rPr>
            </w:pPr>
          </w:p>
        </w:tc>
      </w:tr>
      <w:tr>
        <w:trPr>
          <w:trHeight w:val="162"/>
        </w:trPr>
        <w:tc>
          <w:tcPr>
            <w:tcW w:w="524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Prepayments and deferred charges</w:t>
            </w:r>
          </w:p>
        </w:tc>
        <w:tc>
          <w:tcPr>
            <w:tcW w:w="360" w:type="dxa"/>
            <w:vAlign w:val="bottom"/>
            <w:tcBorders>
              <w:bottom w:val="single" w:sz="8" w:color="auto"/>
            </w:tcBorders>
            <w:shd w:val="clear" w:color="auto" w:fill="D8D8D8"/>
          </w:tcPr>
          <w:p>
            <w:pPr>
              <w:spacing w:after="0"/>
              <w:rPr>
                <w:sz w:val="14"/>
                <w:szCs w:val="14"/>
                <w:color w:val="auto"/>
              </w:rPr>
            </w:pPr>
          </w:p>
        </w:tc>
        <w:tc>
          <w:tcPr>
            <w:tcW w:w="860" w:type="dxa"/>
            <w:vAlign w:val="bottom"/>
            <w:tcBorders>
              <w:bottom w:val="single" w:sz="8" w:color="auto"/>
            </w:tcBorders>
            <w:shd w:val="clear" w:color="auto" w:fill="D8D8D8"/>
          </w:tcPr>
          <w:p>
            <w:pPr>
              <w:jc w:val="right"/>
              <w:spacing w:after="0"/>
              <w:rPr>
                <w:sz w:val="20"/>
                <w:szCs w:val="20"/>
                <w:color w:val="auto"/>
              </w:rPr>
            </w:pPr>
            <w:r>
              <w:rPr>
                <w:rFonts w:ascii="Arial" w:cs="Arial" w:eastAsia="Arial" w:hAnsi="Arial"/>
                <w:sz w:val="14"/>
                <w:szCs w:val="14"/>
                <w:color w:val="auto"/>
              </w:rPr>
              <w:t>3,899</w:t>
            </w:r>
          </w:p>
        </w:tc>
        <w:tc>
          <w:tcPr>
            <w:tcW w:w="1460" w:type="dxa"/>
            <w:vAlign w:val="bottom"/>
            <w:tcBorders>
              <w:bottom w:val="single" w:sz="8" w:color="auto"/>
            </w:tcBorders>
            <w:shd w:val="clear" w:color="auto" w:fill="D8D8D8"/>
          </w:tcPr>
          <w:p>
            <w:pPr>
              <w:jc w:val="right"/>
              <w:ind w:right="273"/>
              <w:spacing w:after="0"/>
              <w:rPr>
                <w:sz w:val="20"/>
                <w:szCs w:val="20"/>
                <w:color w:val="auto"/>
              </w:rPr>
            </w:pPr>
            <w:r>
              <w:rPr>
                <w:rFonts w:ascii="Arial" w:cs="Arial" w:eastAsia="Arial" w:hAnsi="Arial"/>
                <w:sz w:val="14"/>
                <w:szCs w:val="14"/>
                <w:color w:val="auto"/>
              </w:rPr>
              <w:t>1,651</w:t>
            </w:r>
          </w:p>
        </w:tc>
        <w:tc>
          <w:tcPr>
            <w:tcW w:w="7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189"/>
              <w:spacing w:after="0"/>
              <w:rPr>
                <w:sz w:val="20"/>
                <w:szCs w:val="20"/>
                <w:color w:val="auto"/>
              </w:rPr>
            </w:pPr>
            <w:r>
              <w:rPr>
                <w:rFonts w:ascii="Arial" w:cs="Arial" w:eastAsia="Arial" w:hAnsi="Arial"/>
                <w:sz w:val="14"/>
                <w:szCs w:val="14"/>
                <w:color w:val="auto"/>
              </w:rPr>
              <w:t>6,836</w:t>
            </w:r>
          </w:p>
        </w:tc>
        <w:tc>
          <w:tcPr>
            <w:tcW w:w="1340" w:type="dxa"/>
            <w:vAlign w:val="bottom"/>
            <w:tcBorders>
              <w:bottom w:val="single" w:sz="8" w:color="auto"/>
            </w:tcBorders>
          </w:tcPr>
          <w:p>
            <w:pPr>
              <w:jc w:val="right"/>
              <w:ind w:right="271"/>
              <w:spacing w:after="0"/>
              <w:rPr>
                <w:sz w:val="20"/>
                <w:szCs w:val="20"/>
                <w:color w:val="auto"/>
              </w:rPr>
            </w:pPr>
            <w:r>
              <w:rPr>
                <w:rFonts w:ascii="Arial" w:cs="Arial" w:eastAsia="Arial" w:hAnsi="Arial"/>
                <w:sz w:val="14"/>
                <w:szCs w:val="14"/>
                <w:color w:val="auto"/>
              </w:rPr>
              <w:t>1,803</w:t>
            </w:r>
          </w:p>
        </w:tc>
        <w:tc>
          <w:tcPr>
            <w:tcW w:w="0" w:type="dxa"/>
            <w:vAlign w:val="bottom"/>
          </w:tcPr>
          <w:p>
            <w:pPr>
              <w:spacing w:after="0"/>
              <w:rPr>
                <w:sz w:val="1"/>
                <w:szCs w:val="1"/>
                <w:color w:val="auto"/>
              </w:rPr>
            </w:pPr>
          </w:p>
        </w:tc>
      </w:tr>
      <w:tr>
        <w:trPr>
          <w:trHeight w:val="156"/>
        </w:trPr>
        <w:tc>
          <w:tcPr>
            <w:tcW w:w="5240" w:type="dxa"/>
            <w:vAlign w:val="bottom"/>
            <w:tcBorders>
              <w:bottom w:val="single" w:sz="8" w:color="auto"/>
            </w:tcBorders>
          </w:tcPr>
          <w:p>
            <w:pPr>
              <w:spacing w:after="0" w:line="155" w:lineRule="exact"/>
              <w:rPr>
                <w:sz w:val="20"/>
                <w:szCs w:val="20"/>
                <w:color w:val="auto"/>
              </w:rPr>
            </w:pPr>
            <w:r>
              <w:rPr>
                <w:rFonts w:ascii="Arial" w:cs="Arial" w:eastAsia="Arial" w:hAnsi="Arial"/>
                <w:sz w:val="14"/>
                <w:szCs w:val="14"/>
                <w:color w:val="auto"/>
              </w:rPr>
              <w:t>Total</w:t>
            </w:r>
          </w:p>
        </w:tc>
        <w:tc>
          <w:tcPr>
            <w:tcW w:w="360" w:type="dxa"/>
            <w:vAlign w:val="bottom"/>
            <w:tcBorders>
              <w:bottom w:val="single" w:sz="8" w:color="auto"/>
            </w:tcBorders>
            <w:shd w:val="clear" w:color="auto" w:fill="D8D8D8"/>
          </w:tcPr>
          <w:p>
            <w:pPr>
              <w:spacing w:after="0"/>
              <w:rPr>
                <w:sz w:val="13"/>
                <w:szCs w:val="13"/>
                <w:color w:val="auto"/>
              </w:rPr>
            </w:pPr>
          </w:p>
        </w:tc>
        <w:tc>
          <w:tcPr>
            <w:tcW w:w="860" w:type="dxa"/>
            <w:vAlign w:val="bottom"/>
            <w:tcBorders>
              <w:bottom w:val="single" w:sz="8" w:color="auto"/>
            </w:tcBorders>
            <w:shd w:val="clear" w:color="auto" w:fill="D8D8D8"/>
          </w:tcPr>
          <w:p>
            <w:pPr>
              <w:jc w:val="right"/>
              <w:spacing w:after="0" w:line="155" w:lineRule="exact"/>
              <w:rPr>
                <w:sz w:val="20"/>
                <w:szCs w:val="20"/>
                <w:color w:val="auto"/>
              </w:rPr>
            </w:pPr>
            <w:r>
              <w:rPr>
                <w:rFonts w:ascii="Arial" w:cs="Arial" w:eastAsia="Arial" w:hAnsi="Arial"/>
                <w:sz w:val="14"/>
                <w:szCs w:val="14"/>
                <w:color w:val="auto"/>
              </w:rPr>
              <w:t>58,470</w:t>
            </w:r>
          </w:p>
        </w:tc>
        <w:tc>
          <w:tcPr>
            <w:tcW w:w="1460" w:type="dxa"/>
            <w:vAlign w:val="bottom"/>
            <w:tcBorders>
              <w:bottom w:val="single" w:sz="8" w:color="auto"/>
            </w:tcBorders>
            <w:shd w:val="clear" w:color="auto" w:fill="D8D8D8"/>
          </w:tcPr>
          <w:p>
            <w:pPr>
              <w:jc w:val="right"/>
              <w:ind w:right="273"/>
              <w:spacing w:after="0" w:line="155" w:lineRule="exact"/>
              <w:rPr>
                <w:sz w:val="20"/>
                <w:szCs w:val="20"/>
                <w:color w:val="auto"/>
              </w:rPr>
            </w:pPr>
            <w:r>
              <w:rPr>
                <w:rFonts w:ascii="Arial" w:cs="Arial" w:eastAsia="Arial" w:hAnsi="Arial"/>
                <w:sz w:val="14"/>
                <w:szCs w:val="14"/>
                <w:color w:val="auto"/>
              </w:rPr>
              <w:t>8,304</w:t>
            </w:r>
          </w:p>
        </w:tc>
        <w:tc>
          <w:tcPr>
            <w:tcW w:w="72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189"/>
              <w:spacing w:after="0" w:line="155" w:lineRule="exact"/>
              <w:rPr>
                <w:sz w:val="20"/>
                <w:szCs w:val="20"/>
                <w:color w:val="auto"/>
              </w:rPr>
            </w:pPr>
            <w:r>
              <w:rPr>
                <w:rFonts w:ascii="Arial" w:cs="Arial" w:eastAsia="Arial" w:hAnsi="Arial"/>
                <w:sz w:val="14"/>
                <w:szCs w:val="14"/>
                <w:color w:val="auto"/>
              </w:rPr>
              <w:t>63,638</w:t>
            </w:r>
          </w:p>
        </w:tc>
        <w:tc>
          <w:tcPr>
            <w:tcW w:w="1340" w:type="dxa"/>
            <w:vAlign w:val="bottom"/>
            <w:tcBorders>
              <w:bottom w:val="single" w:sz="8" w:color="auto"/>
            </w:tcBorders>
          </w:tcPr>
          <w:p>
            <w:pPr>
              <w:jc w:val="right"/>
              <w:ind w:right="271"/>
              <w:spacing w:after="0" w:line="155" w:lineRule="exact"/>
              <w:rPr>
                <w:sz w:val="20"/>
                <w:szCs w:val="20"/>
                <w:color w:val="auto"/>
              </w:rPr>
            </w:pPr>
            <w:r>
              <w:rPr>
                <w:rFonts w:ascii="Arial" w:cs="Arial" w:eastAsia="Arial" w:hAnsi="Arial"/>
                <w:sz w:val="14"/>
                <w:szCs w:val="14"/>
                <w:color w:val="auto"/>
              </w:rPr>
              <w:t>9,191</w:t>
            </w:r>
          </w:p>
        </w:tc>
        <w:tc>
          <w:tcPr>
            <w:tcW w:w="0" w:type="dxa"/>
            <w:vAlign w:val="bottom"/>
          </w:tcPr>
          <w:p>
            <w:pPr>
              <w:spacing w:after="0"/>
              <w:rPr>
                <w:sz w:val="1"/>
                <w:szCs w:val="1"/>
                <w:color w:val="auto"/>
              </w:rPr>
            </w:pPr>
          </w:p>
        </w:tc>
      </w:tr>
    </w:tbl>
    <w:p>
      <w:pPr>
        <w:spacing w:after="0" w:line="194" w:lineRule="exact"/>
        <w:rPr>
          <w:sz w:val="20"/>
          <w:szCs w:val="20"/>
          <w:color w:val="auto"/>
        </w:rPr>
      </w:pPr>
    </w:p>
    <w:p>
      <w:pPr>
        <w:ind w:right="100"/>
        <w:spacing w:after="0" w:line="258" w:lineRule="auto"/>
        <w:rPr>
          <w:sz w:val="20"/>
          <w:szCs w:val="20"/>
          <w:color w:val="auto"/>
        </w:rPr>
      </w:pPr>
      <w:r>
        <w:rPr>
          <w:rFonts w:ascii="Arial" w:cs="Arial" w:eastAsia="Arial" w:hAnsi="Arial"/>
          <w:sz w:val="14"/>
          <w:szCs w:val="14"/>
          <w:color w:val="auto"/>
        </w:rPr>
        <w:t>The fair value of financial assets included above approximates the carrying amount and, other than of certain derivative contracts, is determined from predominantly unobservable inputs.</w:t>
      </w:r>
    </w:p>
    <w:p>
      <w:pPr>
        <w:spacing w:after="0" w:line="154" w:lineRule="exact"/>
        <w:rPr>
          <w:sz w:val="20"/>
          <w:szCs w:val="20"/>
          <w:color w:val="auto"/>
        </w:rPr>
      </w:pPr>
    </w:p>
    <w:p>
      <w:pPr>
        <w:spacing w:after="0"/>
        <w:rPr>
          <w:sz w:val="20"/>
          <w:szCs w:val="20"/>
          <w:color w:val="auto"/>
        </w:rPr>
      </w:pPr>
      <w:r>
        <w:rPr>
          <w:rFonts w:ascii="Arial" w:cs="Arial" w:eastAsia="Arial" w:hAnsi="Arial"/>
          <w:sz w:val="14"/>
          <w:szCs w:val="14"/>
          <w:color w:val="auto"/>
        </w:rPr>
        <w:t>Other receivables principally include income tax recoverable (see Note 16), other taxes recoverable and balances due from joint arrangement partners.</w:t>
      </w:r>
    </w:p>
    <w:p>
      <w:pPr>
        <w:spacing w:after="0" w:line="177" w:lineRule="exact"/>
        <w:rPr>
          <w:sz w:val="20"/>
          <w:szCs w:val="20"/>
          <w:color w:val="auto"/>
        </w:rPr>
      </w:pPr>
    </w:p>
    <w:p>
      <w:pPr>
        <w:spacing w:after="0"/>
        <w:rPr>
          <w:sz w:val="20"/>
          <w:szCs w:val="20"/>
          <w:color w:val="auto"/>
        </w:rPr>
      </w:pPr>
      <w:r>
        <w:rPr>
          <w:rFonts w:ascii="Arial" w:cs="Arial" w:eastAsia="Arial" w:hAnsi="Arial"/>
          <w:sz w:val="14"/>
          <w:szCs w:val="14"/>
          <w:color w:val="auto"/>
        </w:rPr>
        <w:t>Prepayments and deferred charges at December 31, 2013, included $3,385 million in respect of the acquisition of Repsol LNG businesses (see Note 29).</w:t>
      </w:r>
    </w:p>
    <w:p>
      <w:pPr>
        <w:spacing w:after="0" w:line="190" w:lineRule="exact"/>
        <w:rPr>
          <w:sz w:val="20"/>
          <w:szCs w:val="20"/>
          <w:color w:val="auto"/>
        </w:rPr>
      </w:pPr>
    </w:p>
    <w:p>
      <w:pPr>
        <w:spacing w:after="0"/>
        <w:rPr>
          <w:sz w:val="20"/>
          <w:szCs w:val="20"/>
          <w:color w:val="auto"/>
        </w:rPr>
      </w:pPr>
      <w:r>
        <w:rPr>
          <w:rFonts w:ascii="Arial" w:cs="Arial" w:eastAsia="Arial" w:hAnsi="Arial"/>
          <w:sz w:val="14"/>
          <w:szCs w:val="14"/>
          <w:color w:val="auto"/>
        </w:rPr>
        <w:t>Provisions for impairments deducted from trade and other receivables amounted to $533 million at December 31, 2014 (2013: $563 million).</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8440" w:type="dxa"/>
            <w:vAlign w:val="bottom"/>
            <w:shd w:val="clear" w:color="auto" w:fill="333333"/>
          </w:tcPr>
          <w:p>
            <w:pPr>
              <w:ind w:left="80"/>
              <w:spacing w:after="0"/>
              <w:rPr>
                <w:sz w:val="20"/>
                <w:szCs w:val="20"/>
                <w:color w:val="auto"/>
              </w:rPr>
            </w:pPr>
            <w:r>
              <w:rPr>
                <w:rFonts w:ascii="Arial" w:cs="Arial" w:eastAsia="Arial" w:hAnsi="Arial"/>
                <w:sz w:val="15"/>
                <w:szCs w:val="15"/>
                <w:b w:val="1"/>
                <w:bCs w:val="1"/>
                <w:color w:val="FFFFFF"/>
              </w:rPr>
              <w:t>OVERDUE TRADE RECEIVABLES</w:t>
            </w:r>
          </w:p>
        </w:tc>
        <w:tc>
          <w:tcPr>
            <w:tcW w:w="1480" w:type="dxa"/>
            <w:vAlign w:val="bottom"/>
            <w:shd w:val="clear" w:color="auto" w:fill="333333"/>
          </w:tcPr>
          <w:p>
            <w:pPr>
              <w:spacing w:after="0"/>
              <w:rPr>
                <w:sz w:val="14"/>
                <w:szCs w:val="14"/>
                <w:color w:val="auto"/>
              </w:rPr>
            </w:pPr>
          </w:p>
        </w:tc>
        <w:tc>
          <w:tcPr>
            <w:tcW w:w="1500" w:type="dxa"/>
            <w:vAlign w:val="bottom"/>
            <w:shd w:val="clear" w:color="auto" w:fill="333333"/>
          </w:tcPr>
          <w:p>
            <w:pPr>
              <w:jc w:val="right"/>
              <w:ind w:right="489"/>
              <w:spacing w:after="0"/>
              <w:rPr>
                <w:sz w:val="20"/>
                <w:szCs w:val="20"/>
                <w:color w:val="auto"/>
              </w:rPr>
            </w:pPr>
            <w:r>
              <w:rPr>
                <w:rFonts w:ascii="Arial" w:cs="Arial" w:eastAsia="Arial" w:hAnsi="Arial"/>
                <w:sz w:val="15"/>
                <w:szCs w:val="15"/>
                <w:color w:val="FFFFFF"/>
              </w:rPr>
              <w:t>$ MILLION</w:t>
            </w:r>
          </w:p>
        </w:tc>
      </w:tr>
      <w:tr>
        <w:trPr>
          <w:trHeight w:val="149"/>
        </w:trPr>
        <w:tc>
          <w:tcPr>
            <w:tcW w:w="8440" w:type="dxa"/>
            <w:vAlign w:val="bottom"/>
            <w:tcBorders>
              <w:bottom w:val="single" w:sz="8" w:color="auto"/>
            </w:tcBorders>
          </w:tcPr>
          <w:p>
            <w:pPr>
              <w:spacing w:after="0"/>
              <w:rPr>
                <w:sz w:val="12"/>
                <w:szCs w:val="12"/>
                <w:color w:val="auto"/>
              </w:rPr>
            </w:pPr>
          </w:p>
        </w:tc>
        <w:tc>
          <w:tcPr>
            <w:tcW w:w="1480" w:type="dxa"/>
            <w:vAlign w:val="bottom"/>
            <w:tcBorders>
              <w:bottom w:val="single" w:sz="8" w:color="auto"/>
            </w:tcBorders>
            <w:shd w:val="clear" w:color="auto" w:fill="D8D8D8"/>
          </w:tcPr>
          <w:p>
            <w:pPr>
              <w:jc w:val="right"/>
              <w:ind w:right="270"/>
              <w:spacing w:after="0"/>
              <w:rPr>
                <w:sz w:val="20"/>
                <w:szCs w:val="20"/>
                <w:color w:val="auto"/>
              </w:rPr>
            </w:pPr>
            <w:r>
              <w:rPr>
                <w:rFonts w:ascii="Arial" w:cs="Arial" w:eastAsia="Arial" w:hAnsi="Arial"/>
                <w:sz w:val="13"/>
                <w:szCs w:val="13"/>
                <w:color w:val="auto"/>
              </w:rPr>
              <w:t>Dec 31, 2014</w:t>
            </w:r>
          </w:p>
        </w:tc>
        <w:tc>
          <w:tcPr>
            <w:tcW w:w="1500" w:type="dxa"/>
            <w:vAlign w:val="bottom"/>
            <w:tcBorders>
              <w:bottom w:val="single" w:sz="8" w:color="auto"/>
            </w:tcBorders>
          </w:tcPr>
          <w:p>
            <w:pPr>
              <w:jc w:val="right"/>
              <w:ind w:right="269"/>
              <w:spacing w:after="0"/>
              <w:rPr>
                <w:sz w:val="20"/>
                <w:szCs w:val="20"/>
                <w:color w:val="auto"/>
              </w:rPr>
            </w:pPr>
            <w:r>
              <w:rPr>
                <w:rFonts w:ascii="Arial" w:cs="Arial" w:eastAsia="Arial" w:hAnsi="Arial"/>
                <w:sz w:val="13"/>
                <w:szCs w:val="13"/>
                <w:color w:val="auto"/>
              </w:rPr>
              <w:t>Dec 31, 2013</w:t>
            </w:r>
          </w:p>
        </w:tc>
      </w:tr>
      <w:tr>
        <w:trPr>
          <w:trHeight w:val="156"/>
        </w:trPr>
        <w:tc>
          <w:tcPr>
            <w:tcW w:w="8440" w:type="dxa"/>
            <w:vAlign w:val="bottom"/>
          </w:tcPr>
          <w:p>
            <w:pPr>
              <w:spacing w:after="0" w:line="155" w:lineRule="exact"/>
              <w:rPr>
                <w:sz w:val="20"/>
                <w:szCs w:val="20"/>
                <w:color w:val="auto"/>
              </w:rPr>
            </w:pPr>
            <w:r>
              <w:rPr>
                <w:rFonts w:ascii="Arial" w:cs="Arial" w:eastAsia="Arial" w:hAnsi="Arial"/>
                <w:sz w:val="14"/>
                <w:szCs w:val="14"/>
                <w:color w:val="auto"/>
              </w:rPr>
              <w:t>Overdue 1–30 days</w:t>
            </w:r>
          </w:p>
        </w:tc>
        <w:tc>
          <w:tcPr>
            <w:tcW w:w="1480" w:type="dxa"/>
            <w:vAlign w:val="bottom"/>
            <w:shd w:val="clear" w:color="auto" w:fill="D8D8D8"/>
          </w:tcPr>
          <w:p>
            <w:pPr>
              <w:jc w:val="right"/>
              <w:ind w:right="270"/>
              <w:spacing w:after="0" w:line="155" w:lineRule="exact"/>
              <w:rPr>
                <w:sz w:val="20"/>
                <w:szCs w:val="20"/>
                <w:color w:val="auto"/>
              </w:rPr>
            </w:pPr>
            <w:r>
              <w:rPr>
                <w:rFonts w:ascii="Arial" w:cs="Arial" w:eastAsia="Arial" w:hAnsi="Arial"/>
                <w:sz w:val="14"/>
                <w:szCs w:val="14"/>
                <w:color w:val="auto"/>
              </w:rPr>
              <w:t>753</w:t>
            </w:r>
          </w:p>
        </w:tc>
        <w:tc>
          <w:tcPr>
            <w:tcW w:w="1500" w:type="dxa"/>
            <w:vAlign w:val="bottom"/>
          </w:tcPr>
          <w:p>
            <w:pPr>
              <w:jc w:val="right"/>
              <w:ind w:right="269"/>
              <w:spacing w:after="0" w:line="155" w:lineRule="exact"/>
              <w:rPr>
                <w:sz w:val="20"/>
                <w:szCs w:val="20"/>
                <w:color w:val="auto"/>
              </w:rPr>
            </w:pPr>
            <w:r>
              <w:rPr>
                <w:rFonts w:ascii="Arial" w:cs="Arial" w:eastAsia="Arial" w:hAnsi="Arial"/>
                <w:sz w:val="14"/>
                <w:szCs w:val="14"/>
                <w:color w:val="auto"/>
              </w:rPr>
              <w:t>1,000</w:t>
            </w:r>
          </w:p>
        </w:tc>
      </w:tr>
      <w:tr>
        <w:trPr>
          <w:trHeight w:val="162"/>
        </w:trPr>
        <w:tc>
          <w:tcPr>
            <w:tcW w:w="8440" w:type="dxa"/>
            <w:vAlign w:val="bottom"/>
          </w:tcPr>
          <w:p>
            <w:pPr>
              <w:spacing w:after="0"/>
              <w:rPr>
                <w:sz w:val="20"/>
                <w:szCs w:val="20"/>
                <w:color w:val="auto"/>
              </w:rPr>
            </w:pPr>
            <w:r>
              <w:rPr>
                <w:rFonts w:ascii="Arial" w:cs="Arial" w:eastAsia="Arial" w:hAnsi="Arial"/>
                <w:sz w:val="14"/>
                <w:szCs w:val="14"/>
                <w:color w:val="auto"/>
              </w:rPr>
              <w:t>Overdue 31–180 days</w:t>
            </w:r>
          </w:p>
        </w:tc>
        <w:tc>
          <w:tcPr>
            <w:tcW w:w="1480" w:type="dxa"/>
            <w:vAlign w:val="bottom"/>
            <w:shd w:val="clear" w:color="auto" w:fill="D8D8D8"/>
          </w:tcPr>
          <w:p>
            <w:pPr>
              <w:jc w:val="right"/>
              <w:ind w:right="270"/>
              <w:spacing w:after="0"/>
              <w:rPr>
                <w:sz w:val="20"/>
                <w:szCs w:val="20"/>
                <w:color w:val="auto"/>
              </w:rPr>
            </w:pPr>
            <w:r>
              <w:rPr>
                <w:rFonts w:ascii="Arial" w:cs="Arial" w:eastAsia="Arial" w:hAnsi="Arial"/>
                <w:sz w:val="14"/>
                <w:szCs w:val="14"/>
                <w:color w:val="auto"/>
              </w:rPr>
              <w:t>415</w:t>
            </w:r>
          </w:p>
        </w:tc>
        <w:tc>
          <w:tcPr>
            <w:tcW w:w="1500" w:type="dxa"/>
            <w:vAlign w:val="bottom"/>
          </w:tcPr>
          <w:p>
            <w:pPr>
              <w:jc w:val="right"/>
              <w:ind w:right="269"/>
              <w:spacing w:after="0"/>
              <w:rPr>
                <w:sz w:val="20"/>
                <w:szCs w:val="20"/>
                <w:color w:val="auto"/>
              </w:rPr>
            </w:pPr>
            <w:r>
              <w:rPr>
                <w:rFonts w:ascii="Arial" w:cs="Arial" w:eastAsia="Arial" w:hAnsi="Arial"/>
                <w:sz w:val="14"/>
                <w:szCs w:val="14"/>
                <w:color w:val="auto"/>
              </w:rPr>
              <w:t>586</w:t>
            </w:r>
          </w:p>
        </w:tc>
      </w:tr>
      <w:tr>
        <w:trPr>
          <w:trHeight w:val="162"/>
        </w:trPr>
        <w:tc>
          <w:tcPr>
            <w:tcW w:w="844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Overdue more than 180 days</w:t>
            </w:r>
          </w:p>
        </w:tc>
        <w:tc>
          <w:tcPr>
            <w:tcW w:w="1480" w:type="dxa"/>
            <w:vAlign w:val="bottom"/>
            <w:tcBorders>
              <w:bottom w:val="single" w:sz="8" w:color="auto"/>
            </w:tcBorders>
            <w:shd w:val="clear" w:color="auto" w:fill="D8D8D8"/>
          </w:tcPr>
          <w:p>
            <w:pPr>
              <w:jc w:val="right"/>
              <w:ind w:right="270"/>
              <w:spacing w:after="0"/>
              <w:rPr>
                <w:sz w:val="20"/>
                <w:szCs w:val="20"/>
                <w:color w:val="auto"/>
              </w:rPr>
            </w:pPr>
            <w:r>
              <w:rPr>
                <w:rFonts w:ascii="Arial" w:cs="Arial" w:eastAsia="Arial" w:hAnsi="Arial"/>
                <w:sz w:val="14"/>
                <w:szCs w:val="14"/>
                <w:color w:val="auto"/>
              </w:rPr>
              <w:t>476</w:t>
            </w:r>
          </w:p>
        </w:tc>
        <w:tc>
          <w:tcPr>
            <w:tcW w:w="1500" w:type="dxa"/>
            <w:vAlign w:val="bottom"/>
            <w:tcBorders>
              <w:bottom w:val="single" w:sz="8" w:color="auto"/>
            </w:tcBorders>
          </w:tcPr>
          <w:p>
            <w:pPr>
              <w:jc w:val="right"/>
              <w:ind w:right="269"/>
              <w:spacing w:after="0"/>
              <w:rPr>
                <w:sz w:val="20"/>
                <w:szCs w:val="20"/>
                <w:color w:val="auto"/>
              </w:rPr>
            </w:pPr>
            <w:r>
              <w:rPr>
                <w:rFonts w:ascii="Arial" w:cs="Arial" w:eastAsia="Arial" w:hAnsi="Arial"/>
                <w:sz w:val="14"/>
                <w:szCs w:val="14"/>
                <w:color w:val="auto"/>
              </w:rPr>
              <w:t>541</w:t>
            </w:r>
          </w:p>
        </w:tc>
      </w:tr>
      <w:tr>
        <w:trPr>
          <w:trHeight w:val="156"/>
        </w:trPr>
        <w:tc>
          <w:tcPr>
            <w:tcW w:w="8440" w:type="dxa"/>
            <w:vAlign w:val="bottom"/>
            <w:tcBorders>
              <w:bottom w:val="single" w:sz="8" w:color="auto"/>
            </w:tcBorders>
          </w:tcPr>
          <w:p>
            <w:pPr>
              <w:spacing w:after="0" w:line="155" w:lineRule="exact"/>
              <w:rPr>
                <w:sz w:val="20"/>
                <w:szCs w:val="20"/>
                <w:color w:val="auto"/>
              </w:rPr>
            </w:pPr>
            <w:r>
              <w:rPr>
                <w:rFonts w:ascii="Arial" w:cs="Arial" w:eastAsia="Arial" w:hAnsi="Arial"/>
                <w:sz w:val="14"/>
                <w:szCs w:val="14"/>
                <w:color w:val="auto"/>
              </w:rPr>
              <w:t>Total</w:t>
            </w:r>
          </w:p>
        </w:tc>
        <w:tc>
          <w:tcPr>
            <w:tcW w:w="1480" w:type="dxa"/>
            <w:vAlign w:val="bottom"/>
            <w:tcBorders>
              <w:bottom w:val="single" w:sz="8" w:color="auto"/>
            </w:tcBorders>
            <w:shd w:val="clear" w:color="auto" w:fill="D8D8D8"/>
          </w:tcPr>
          <w:p>
            <w:pPr>
              <w:jc w:val="right"/>
              <w:ind w:right="270"/>
              <w:spacing w:after="0" w:line="155" w:lineRule="exact"/>
              <w:rPr>
                <w:sz w:val="20"/>
                <w:szCs w:val="20"/>
                <w:color w:val="auto"/>
              </w:rPr>
            </w:pPr>
            <w:r>
              <w:rPr>
                <w:rFonts w:ascii="Arial" w:cs="Arial" w:eastAsia="Arial" w:hAnsi="Arial"/>
                <w:sz w:val="14"/>
                <w:szCs w:val="14"/>
                <w:color w:val="auto"/>
              </w:rPr>
              <w:t>1,644</w:t>
            </w:r>
          </w:p>
        </w:tc>
        <w:tc>
          <w:tcPr>
            <w:tcW w:w="1500" w:type="dxa"/>
            <w:vAlign w:val="bottom"/>
            <w:tcBorders>
              <w:bottom w:val="single" w:sz="8" w:color="auto"/>
            </w:tcBorders>
          </w:tcPr>
          <w:p>
            <w:pPr>
              <w:jc w:val="right"/>
              <w:ind w:right="269"/>
              <w:spacing w:after="0" w:line="155" w:lineRule="exact"/>
              <w:rPr>
                <w:sz w:val="20"/>
                <w:szCs w:val="20"/>
                <w:color w:val="auto"/>
              </w:rPr>
            </w:pPr>
            <w:r>
              <w:rPr>
                <w:rFonts w:ascii="Arial" w:cs="Arial" w:eastAsia="Arial" w:hAnsi="Arial"/>
                <w:sz w:val="14"/>
                <w:szCs w:val="14"/>
                <w:color w:val="auto"/>
              </w:rPr>
              <w:t>2,127</w:t>
            </w:r>
          </w:p>
        </w:tc>
      </w:tr>
      <w:tr>
        <w:trPr>
          <w:trHeight w:val="346"/>
        </w:trPr>
        <w:tc>
          <w:tcPr>
            <w:tcW w:w="8440" w:type="dxa"/>
            <w:vAlign w:val="bottom"/>
          </w:tcPr>
          <w:p>
            <w:pPr>
              <w:spacing w:after="0"/>
              <w:rPr>
                <w:sz w:val="20"/>
                <w:szCs w:val="20"/>
                <w:color w:val="auto"/>
              </w:rPr>
            </w:pPr>
            <w:r>
              <w:rPr>
                <w:rFonts w:ascii="Arial" w:cs="Arial" w:eastAsia="Arial" w:hAnsi="Arial"/>
                <w:sz w:val="14"/>
                <w:szCs w:val="14"/>
                <w:color w:val="auto"/>
              </w:rPr>
              <w:t>Information about offsetting, collateral and credit risk is presented in Note 19.</w:t>
            </w:r>
          </w:p>
        </w:tc>
        <w:tc>
          <w:tcPr>
            <w:tcW w:w="1480" w:type="dxa"/>
            <w:vAlign w:val="bottom"/>
          </w:tcPr>
          <w:p>
            <w:pPr>
              <w:spacing w:after="0"/>
              <w:rPr>
                <w:sz w:val="24"/>
                <w:szCs w:val="24"/>
                <w:color w:val="auto"/>
              </w:rPr>
            </w:pPr>
          </w:p>
        </w:tc>
        <w:tc>
          <w:tcPr>
            <w:tcW w:w="1500" w:type="dxa"/>
            <w:vAlign w:val="bottom"/>
          </w:tcPr>
          <w:p>
            <w:pPr>
              <w:spacing w:after="0"/>
              <w:rPr>
                <w:sz w:val="24"/>
                <w:szCs w:val="24"/>
                <w:color w:val="auto"/>
              </w:rPr>
            </w:pPr>
          </w:p>
        </w:tc>
      </w:tr>
      <w:tr>
        <w:trPr>
          <w:trHeight w:val="377"/>
        </w:trPr>
        <w:tc>
          <w:tcPr>
            <w:tcW w:w="8440" w:type="dxa"/>
            <w:vAlign w:val="bottom"/>
          </w:tcPr>
          <w:p>
            <w:pPr>
              <w:spacing w:after="0"/>
              <w:rPr>
                <w:sz w:val="20"/>
                <w:szCs w:val="20"/>
                <w:color w:val="auto"/>
              </w:rPr>
            </w:pPr>
            <w:r>
              <w:rPr>
                <w:rFonts w:ascii="Arial" w:cs="Arial" w:eastAsia="Arial" w:hAnsi="Arial"/>
                <w:sz w:val="18"/>
                <w:szCs w:val="18"/>
                <w:color w:val="auto"/>
              </w:rPr>
              <w:t>12 INVENTORIES</w:t>
            </w:r>
          </w:p>
        </w:tc>
        <w:tc>
          <w:tcPr>
            <w:tcW w:w="1480" w:type="dxa"/>
            <w:vAlign w:val="bottom"/>
          </w:tcPr>
          <w:p>
            <w:pPr>
              <w:spacing w:after="0"/>
              <w:rPr>
                <w:sz w:val="24"/>
                <w:szCs w:val="24"/>
                <w:color w:val="auto"/>
              </w:rPr>
            </w:pPr>
          </w:p>
        </w:tc>
        <w:tc>
          <w:tcPr>
            <w:tcW w:w="1500" w:type="dxa"/>
            <w:vAlign w:val="bottom"/>
          </w:tcPr>
          <w:p>
            <w:pPr>
              <w:spacing w:after="0"/>
              <w:rPr>
                <w:sz w:val="24"/>
                <w:szCs w:val="24"/>
                <w:color w:val="auto"/>
              </w:rPr>
            </w:pPr>
          </w:p>
        </w:tc>
      </w:tr>
    </w:tbl>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8440" w:type="dxa"/>
            <w:vAlign w:val="bottom"/>
            <w:shd w:val="clear" w:color="auto" w:fill="333333"/>
          </w:tcPr>
          <w:p>
            <w:pPr>
              <w:spacing w:after="0"/>
              <w:rPr>
                <w:sz w:val="15"/>
                <w:szCs w:val="15"/>
                <w:color w:val="auto"/>
              </w:rPr>
            </w:pPr>
          </w:p>
        </w:tc>
        <w:tc>
          <w:tcPr>
            <w:tcW w:w="1480" w:type="dxa"/>
            <w:vAlign w:val="bottom"/>
            <w:shd w:val="clear" w:color="auto" w:fill="333333"/>
          </w:tcPr>
          <w:p>
            <w:pPr>
              <w:spacing w:after="0"/>
              <w:rPr>
                <w:sz w:val="15"/>
                <w:szCs w:val="15"/>
                <w:color w:val="auto"/>
              </w:rPr>
            </w:pPr>
          </w:p>
        </w:tc>
        <w:tc>
          <w:tcPr>
            <w:tcW w:w="1500" w:type="dxa"/>
            <w:vAlign w:val="bottom"/>
            <w:shd w:val="clear" w:color="auto" w:fill="333333"/>
          </w:tcPr>
          <w:p>
            <w:pPr>
              <w:jc w:val="right"/>
              <w:ind w:right="29"/>
              <w:spacing w:after="0"/>
              <w:rPr>
                <w:sz w:val="20"/>
                <w:szCs w:val="20"/>
                <w:color w:val="auto"/>
              </w:rPr>
            </w:pPr>
            <w:r>
              <w:rPr>
                <w:rFonts w:ascii="Arial" w:cs="Arial" w:eastAsia="Arial" w:hAnsi="Arial"/>
                <w:sz w:val="15"/>
                <w:szCs w:val="15"/>
                <w:color w:val="FFFFFF"/>
              </w:rPr>
              <w:t>$ MILLION</w:t>
            </w:r>
          </w:p>
        </w:tc>
      </w:tr>
      <w:tr>
        <w:trPr>
          <w:trHeight w:val="149"/>
        </w:trPr>
        <w:tc>
          <w:tcPr>
            <w:tcW w:w="8440" w:type="dxa"/>
            <w:vAlign w:val="bottom"/>
            <w:tcBorders>
              <w:bottom w:val="single" w:sz="8" w:color="auto"/>
            </w:tcBorders>
          </w:tcPr>
          <w:p>
            <w:pPr>
              <w:spacing w:after="0"/>
              <w:rPr>
                <w:sz w:val="12"/>
                <w:szCs w:val="12"/>
                <w:color w:val="auto"/>
              </w:rPr>
            </w:pPr>
          </w:p>
        </w:tc>
        <w:tc>
          <w:tcPr>
            <w:tcW w:w="1480" w:type="dxa"/>
            <w:vAlign w:val="bottom"/>
            <w:tcBorders>
              <w:bottom w:val="single" w:sz="8" w:color="auto"/>
            </w:tcBorders>
            <w:shd w:val="clear" w:color="auto" w:fill="D8D8D8"/>
          </w:tcPr>
          <w:p>
            <w:pPr>
              <w:jc w:val="right"/>
              <w:ind w:right="270"/>
              <w:spacing w:after="0"/>
              <w:rPr>
                <w:sz w:val="20"/>
                <w:szCs w:val="20"/>
                <w:color w:val="auto"/>
              </w:rPr>
            </w:pPr>
            <w:r>
              <w:rPr>
                <w:rFonts w:ascii="Arial" w:cs="Arial" w:eastAsia="Arial" w:hAnsi="Arial"/>
                <w:sz w:val="13"/>
                <w:szCs w:val="13"/>
                <w:color w:val="auto"/>
              </w:rPr>
              <w:t>Dec 31, 2014</w:t>
            </w:r>
          </w:p>
        </w:tc>
        <w:tc>
          <w:tcPr>
            <w:tcW w:w="1500" w:type="dxa"/>
            <w:vAlign w:val="bottom"/>
            <w:tcBorders>
              <w:bottom w:val="single" w:sz="8" w:color="auto"/>
            </w:tcBorders>
          </w:tcPr>
          <w:p>
            <w:pPr>
              <w:jc w:val="right"/>
              <w:ind w:right="269"/>
              <w:spacing w:after="0"/>
              <w:rPr>
                <w:sz w:val="20"/>
                <w:szCs w:val="20"/>
                <w:color w:val="auto"/>
              </w:rPr>
            </w:pPr>
            <w:r>
              <w:rPr>
                <w:rFonts w:ascii="Arial" w:cs="Arial" w:eastAsia="Arial" w:hAnsi="Arial"/>
                <w:sz w:val="13"/>
                <w:szCs w:val="13"/>
                <w:color w:val="auto"/>
              </w:rPr>
              <w:t>Dec 31, 2013</w:t>
            </w:r>
          </w:p>
        </w:tc>
      </w:tr>
      <w:tr>
        <w:trPr>
          <w:trHeight w:val="156"/>
        </w:trPr>
        <w:tc>
          <w:tcPr>
            <w:tcW w:w="8440" w:type="dxa"/>
            <w:vAlign w:val="bottom"/>
          </w:tcPr>
          <w:p>
            <w:pPr>
              <w:spacing w:after="0" w:line="155" w:lineRule="exact"/>
              <w:rPr>
                <w:sz w:val="20"/>
                <w:szCs w:val="20"/>
                <w:color w:val="auto"/>
              </w:rPr>
            </w:pPr>
            <w:r>
              <w:rPr>
                <w:rFonts w:ascii="Arial" w:cs="Arial" w:eastAsia="Arial" w:hAnsi="Arial"/>
                <w:sz w:val="14"/>
                <w:szCs w:val="14"/>
                <w:color w:val="auto"/>
              </w:rPr>
              <w:t>Oil and chemicals</w:t>
            </w:r>
          </w:p>
        </w:tc>
        <w:tc>
          <w:tcPr>
            <w:tcW w:w="1480" w:type="dxa"/>
            <w:vAlign w:val="bottom"/>
            <w:shd w:val="clear" w:color="auto" w:fill="D8D8D8"/>
          </w:tcPr>
          <w:p>
            <w:pPr>
              <w:jc w:val="right"/>
              <w:ind w:right="270"/>
              <w:spacing w:after="0" w:line="155" w:lineRule="exact"/>
              <w:rPr>
                <w:sz w:val="20"/>
                <w:szCs w:val="20"/>
                <w:color w:val="auto"/>
              </w:rPr>
            </w:pPr>
            <w:r>
              <w:rPr>
                <w:rFonts w:ascii="Arial" w:cs="Arial" w:eastAsia="Arial" w:hAnsi="Arial"/>
                <w:sz w:val="14"/>
                <w:szCs w:val="14"/>
                <w:color w:val="auto"/>
              </w:rPr>
              <w:t>17,842</w:t>
            </w:r>
          </w:p>
        </w:tc>
        <w:tc>
          <w:tcPr>
            <w:tcW w:w="1500" w:type="dxa"/>
            <w:vAlign w:val="bottom"/>
          </w:tcPr>
          <w:p>
            <w:pPr>
              <w:jc w:val="right"/>
              <w:ind w:right="269"/>
              <w:spacing w:after="0" w:line="155" w:lineRule="exact"/>
              <w:rPr>
                <w:sz w:val="20"/>
                <w:szCs w:val="20"/>
                <w:color w:val="auto"/>
              </w:rPr>
            </w:pPr>
            <w:r>
              <w:rPr>
                <w:rFonts w:ascii="Arial" w:cs="Arial" w:eastAsia="Arial" w:hAnsi="Arial"/>
                <w:sz w:val="14"/>
                <w:szCs w:val="14"/>
                <w:color w:val="auto"/>
              </w:rPr>
              <w:t>28,212</w:t>
            </w:r>
          </w:p>
        </w:tc>
      </w:tr>
      <w:tr>
        <w:trPr>
          <w:trHeight w:val="162"/>
        </w:trPr>
        <w:tc>
          <w:tcPr>
            <w:tcW w:w="844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Materials</w:t>
            </w:r>
          </w:p>
        </w:tc>
        <w:tc>
          <w:tcPr>
            <w:tcW w:w="1480" w:type="dxa"/>
            <w:vAlign w:val="bottom"/>
            <w:tcBorders>
              <w:bottom w:val="single" w:sz="8" w:color="auto"/>
            </w:tcBorders>
            <w:shd w:val="clear" w:color="auto" w:fill="D8D8D8"/>
          </w:tcPr>
          <w:p>
            <w:pPr>
              <w:jc w:val="right"/>
              <w:ind w:right="270"/>
              <w:spacing w:after="0"/>
              <w:rPr>
                <w:sz w:val="20"/>
                <w:szCs w:val="20"/>
                <w:color w:val="auto"/>
              </w:rPr>
            </w:pPr>
            <w:r>
              <w:rPr>
                <w:rFonts w:ascii="Arial" w:cs="Arial" w:eastAsia="Arial" w:hAnsi="Arial"/>
                <w:sz w:val="14"/>
                <w:szCs w:val="14"/>
                <w:color w:val="auto"/>
              </w:rPr>
              <w:t>1,859</w:t>
            </w:r>
          </w:p>
        </w:tc>
        <w:tc>
          <w:tcPr>
            <w:tcW w:w="1500" w:type="dxa"/>
            <w:vAlign w:val="bottom"/>
            <w:tcBorders>
              <w:bottom w:val="single" w:sz="8" w:color="auto"/>
            </w:tcBorders>
          </w:tcPr>
          <w:p>
            <w:pPr>
              <w:jc w:val="right"/>
              <w:ind w:right="269"/>
              <w:spacing w:after="0"/>
              <w:rPr>
                <w:sz w:val="20"/>
                <w:szCs w:val="20"/>
                <w:color w:val="auto"/>
              </w:rPr>
            </w:pPr>
            <w:r>
              <w:rPr>
                <w:rFonts w:ascii="Arial" w:cs="Arial" w:eastAsia="Arial" w:hAnsi="Arial"/>
                <w:sz w:val="14"/>
                <w:szCs w:val="14"/>
                <w:color w:val="auto"/>
              </w:rPr>
              <w:t>1,797</w:t>
            </w:r>
          </w:p>
        </w:tc>
      </w:tr>
      <w:tr>
        <w:trPr>
          <w:trHeight w:val="156"/>
        </w:trPr>
        <w:tc>
          <w:tcPr>
            <w:tcW w:w="8440" w:type="dxa"/>
            <w:vAlign w:val="bottom"/>
            <w:tcBorders>
              <w:bottom w:val="single" w:sz="8" w:color="auto"/>
            </w:tcBorders>
          </w:tcPr>
          <w:p>
            <w:pPr>
              <w:spacing w:after="0" w:line="155" w:lineRule="exact"/>
              <w:rPr>
                <w:sz w:val="20"/>
                <w:szCs w:val="20"/>
                <w:color w:val="auto"/>
              </w:rPr>
            </w:pPr>
            <w:r>
              <w:rPr>
                <w:rFonts w:ascii="Arial" w:cs="Arial" w:eastAsia="Arial" w:hAnsi="Arial"/>
                <w:sz w:val="14"/>
                <w:szCs w:val="14"/>
                <w:color w:val="auto"/>
              </w:rPr>
              <w:t>Total</w:t>
            </w:r>
          </w:p>
        </w:tc>
        <w:tc>
          <w:tcPr>
            <w:tcW w:w="1480" w:type="dxa"/>
            <w:vAlign w:val="bottom"/>
            <w:tcBorders>
              <w:bottom w:val="single" w:sz="8" w:color="auto"/>
            </w:tcBorders>
            <w:shd w:val="clear" w:color="auto" w:fill="D8D8D8"/>
          </w:tcPr>
          <w:p>
            <w:pPr>
              <w:jc w:val="right"/>
              <w:ind w:right="270"/>
              <w:spacing w:after="0" w:line="155" w:lineRule="exact"/>
              <w:rPr>
                <w:sz w:val="20"/>
                <w:szCs w:val="20"/>
                <w:color w:val="auto"/>
              </w:rPr>
            </w:pPr>
            <w:r>
              <w:rPr>
                <w:rFonts w:ascii="Arial" w:cs="Arial" w:eastAsia="Arial" w:hAnsi="Arial"/>
                <w:sz w:val="14"/>
                <w:szCs w:val="14"/>
                <w:color w:val="auto"/>
              </w:rPr>
              <w:t>19,701</w:t>
            </w:r>
          </w:p>
        </w:tc>
        <w:tc>
          <w:tcPr>
            <w:tcW w:w="1500" w:type="dxa"/>
            <w:vAlign w:val="bottom"/>
            <w:tcBorders>
              <w:bottom w:val="single" w:sz="8" w:color="auto"/>
            </w:tcBorders>
          </w:tcPr>
          <w:p>
            <w:pPr>
              <w:jc w:val="right"/>
              <w:ind w:right="269"/>
              <w:spacing w:after="0" w:line="155" w:lineRule="exact"/>
              <w:rPr>
                <w:sz w:val="20"/>
                <w:szCs w:val="20"/>
                <w:color w:val="auto"/>
              </w:rPr>
            </w:pPr>
            <w:r>
              <w:rPr>
                <w:rFonts w:ascii="Arial" w:cs="Arial" w:eastAsia="Arial" w:hAnsi="Arial"/>
                <w:sz w:val="14"/>
                <w:szCs w:val="14"/>
                <w:color w:val="auto"/>
              </w:rPr>
              <w:t>30,009</w:t>
            </w:r>
          </w:p>
        </w:tc>
      </w:tr>
    </w:tbl>
    <w:p>
      <w:pPr>
        <w:spacing w:after="0" w:line="194" w:lineRule="exact"/>
        <w:rPr>
          <w:sz w:val="20"/>
          <w:szCs w:val="20"/>
          <w:color w:val="auto"/>
        </w:rPr>
      </w:pPr>
    </w:p>
    <w:p>
      <w:pPr>
        <w:spacing w:after="0"/>
        <w:rPr>
          <w:sz w:val="20"/>
          <w:szCs w:val="20"/>
          <w:color w:val="auto"/>
        </w:rPr>
      </w:pPr>
      <w:r>
        <w:rPr>
          <w:rFonts w:ascii="Arial" w:cs="Arial" w:eastAsia="Arial" w:hAnsi="Arial"/>
          <w:sz w:val="14"/>
          <w:szCs w:val="14"/>
          <w:color w:val="auto"/>
        </w:rPr>
        <w:t>The cost of inventories recognised in income in 2014 includes net write-downs of $1,163 million (2013: $48 million net write-down reversals; 2012: $51 million net write-downs).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13 CASH AND CASH EQUIVALENTS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8440" w:type="dxa"/>
            <w:vAlign w:val="bottom"/>
            <w:shd w:val="clear" w:color="auto" w:fill="333333"/>
          </w:tcPr>
          <w:p>
            <w:pPr>
              <w:spacing w:after="0"/>
              <w:rPr>
                <w:sz w:val="15"/>
                <w:szCs w:val="15"/>
                <w:color w:val="auto"/>
              </w:rPr>
            </w:pPr>
          </w:p>
        </w:tc>
        <w:tc>
          <w:tcPr>
            <w:tcW w:w="1480" w:type="dxa"/>
            <w:vAlign w:val="bottom"/>
            <w:shd w:val="clear" w:color="auto" w:fill="333333"/>
          </w:tcPr>
          <w:p>
            <w:pPr>
              <w:spacing w:after="0"/>
              <w:rPr>
                <w:sz w:val="15"/>
                <w:szCs w:val="15"/>
                <w:color w:val="auto"/>
              </w:rPr>
            </w:pPr>
          </w:p>
        </w:tc>
        <w:tc>
          <w:tcPr>
            <w:tcW w:w="1500" w:type="dxa"/>
            <w:vAlign w:val="bottom"/>
            <w:shd w:val="clear" w:color="auto" w:fill="333333"/>
          </w:tcPr>
          <w:p>
            <w:pPr>
              <w:jc w:val="right"/>
              <w:ind w:right="29"/>
              <w:spacing w:after="0"/>
              <w:rPr>
                <w:sz w:val="20"/>
                <w:szCs w:val="20"/>
                <w:color w:val="auto"/>
              </w:rPr>
            </w:pPr>
            <w:r>
              <w:rPr>
                <w:rFonts w:ascii="Arial" w:cs="Arial" w:eastAsia="Arial" w:hAnsi="Arial"/>
                <w:sz w:val="15"/>
                <w:szCs w:val="15"/>
                <w:color w:val="FFFFFF"/>
              </w:rPr>
              <w:t>$ MILLION</w:t>
            </w:r>
          </w:p>
        </w:tc>
      </w:tr>
      <w:tr>
        <w:trPr>
          <w:trHeight w:val="149"/>
        </w:trPr>
        <w:tc>
          <w:tcPr>
            <w:tcW w:w="8440" w:type="dxa"/>
            <w:vAlign w:val="bottom"/>
            <w:tcBorders>
              <w:bottom w:val="single" w:sz="8" w:color="auto"/>
            </w:tcBorders>
          </w:tcPr>
          <w:p>
            <w:pPr>
              <w:spacing w:after="0"/>
              <w:rPr>
                <w:sz w:val="12"/>
                <w:szCs w:val="12"/>
                <w:color w:val="auto"/>
              </w:rPr>
            </w:pPr>
          </w:p>
        </w:tc>
        <w:tc>
          <w:tcPr>
            <w:tcW w:w="1480" w:type="dxa"/>
            <w:vAlign w:val="bottom"/>
            <w:tcBorders>
              <w:bottom w:val="single" w:sz="8" w:color="auto"/>
            </w:tcBorders>
            <w:shd w:val="clear" w:color="auto" w:fill="D8D8D8"/>
          </w:tcPr>
          <w:p>
            <w:pPr>
              <w:jc w:val="right"/>
              <w:ind w:right="270"/>
              <w:spacing w:after="0"/>
              <w:rPr>
                <w:sz w:val="20"/>
                <w:szCs w:val="20"/>
                <w:color w:val="auto"/>
              </w:rPr>
            </w:pPr>
            <w:r>
              <w:rPr>
                <w:rFonts w:ascii="Arial" w:cs="Arial" w:eastAsia="Arial" w:hAnsi="Arial"/>
                <w:sz w:val="13"/>
                <w:szCs w:val="13"/>
                <w:color w:val="auto"/>
              </w:rPr>
              <w:t>Dec 31, 2014</w:t>
            </w:r>
          </w:p>
        </w:tc>
        <w:tc>
          <w:tcPr>
            <w:tcW w:w="1500" w:type="dxa"/>
            <w:vAlign w:val="bottom"/>
            <w:tcBorders>
              <w:bottom w:val="single" w:sz="8" w:color="auto"/>
            </w:tcBorders>
          </w:tcPr>
          <w:p>
            <w:pPr>
              <w:jc w:val="right"/>
              <w:ind w:right="269"/>
              <w:spacing w:after="0"/>
              <w:rPr>
                <w:sz w:val="20"/>
                <w:szCs w:val="20"/>
                <w:color w:val="auto"/>
              </w:rPr>
            </w:pPr>
            <w:r>
              <w:rPr>
                <w:rFonts w:ascii="Arial" w:cs="Arial" w:eastAsia="Arial" w:hAnsi="Arial"/>
                <w:sz w:val="13"/>
                <w:szCs w:val="13"/>
                <w:color w:val="auto"/>
              </w:rPr>
              <w:t>Dec 31, 2013</w:t>
            </w:r>
          </w:p>
        </w:tc>
      </w:tr>
      <w:tr>
        <w:trPr>
          <w:trHeight w:val="156"/>
        </w:trPr>
        <w:tc>
          <w:tcPr>
            <w:tcW w:w="8440" w:type="dxa"/>
            <w:vAlign w:val="bottom"/>
          </w:tcPr>
          <w:p>
            <w:pPr>
              <w:spacing w:after="0" w:line="155" w:lineRule="exact"/>
              <w:rPr>
                <w:sz w:val="20"/>
                <w:szCs w:val="20"/>
                <w:color w:val="auto"/>
              </w:rPr>
            </w:pPr>
            <w:r>
              <w:rPr>
                <w:rFonts w:ascii="Arial" w:cs="Arial" w:eastAsia="Arial" w:hAnsi="Arial"/>
                <w:sz w:val="14"/>
                <w:szCs w:val="14"/>
                <w:color w:val="auto"/>
              </w:rPr>
              <w:t>Cash</w:t>
            </w:r>
          </w:p>
        </w:tc>
        <w:tc>
          <w:tcPr>
            <w:tcW w:w="1480" w:type="dxa"/>
            <w:vAlign w:val="bottom"/>
            <w:shd w:val="clear" w:color="auto" w:fill="D8D8D8"/>
          </w:tcPr>
          <w:p>
            <w:pPr>
              <w:jc w:val="right"/>
              <w:ind w:right="270"/>
              <w:spacing w:after="0" w:line="155" w:lineRule="exact"/>
              <w:rPr>
                <w:sz w:val="20"/>
                <w:szCs w:val="20"/>
                <w:color w:val="auto"/>
              </w:rPr>
            </w:pPr>
            <w:r>
              <w:rPr>
                <w:rFonts w:ascii="Arial" w:cs="Arial" w:eastAsia="Arial" w:hAnsi="Arial"/>
                <w:sz w:val="14"/>
                <w:szCs w:val="14"/>
                <w:color w:val="auto"/>
              </w:rPr>
              <w:t>5,095</w:t>
            </w:r>
          </w:p>
        </w:tc>
        <w:tc>
          <w:tcPr>
            <w:tcW w:w="1500" w:type="dxa"/>
            <w:vAlign w:val="bottom"/>
          </w:tcPr>
          <w:p>
            <w:pPr>
              <w:jc w:val="right"/>
              <w:ind w:right="269"/>
              <w:spacing w:after="0" w:line="155" w:lineRule="exact"/>
              <w:rPr>
                <w:sz w:val="20"/>
                <w:szCs w:val="20"/>
                <w:color w:val="auto"/>
              </w:rPr>
            </w:pPr>
            <w:r>
              <w:rPr>
                <w:rFonts w:ascii="Arial" w:cs="Arial" w:eastAsia="Arial" w:hAnsi="Arial"/>
                <w:sz w:val="14"/>
                <w:szCs w:val="14"/>
                <w:color w:val="auto"/>
              </w:rPr>
              <w:t>4,806</w:t>
            </w:r>
          </w:p>
        </w:tc>
      </w:tr>
      <w:tr>
        <w:trPr>
          <w:trHeight w:val="162"/>
        </w:trPr>
        <w:tc>
          <w:tcPr>
            <w:tcW w:w="8440" w:type="dxa"/>
            <w:vAlign w:val="bottom"/>
          </w:tcPr>
          <w:p>
            <w:pPr>
              <w:spacing w:after="0"/>
              <w:rPr>
                <w:sz w:val="20"/>
                <w:szCs w:val="20"/>
                <w:color w:val="auto"/>
              </w:rPr>
            </w:pPr>
            <w:r>
              <w:rPr>
                <w:rFonts w:ascii="Arial" w:cs="Arial" w:eastAsia="Arial" w:hAnsi="Arial"/>
                <w:sz w:val="14"/>
                <w:szCs w:val="14"/>
                <w:color w:val="auto"/>
              </w:rPr>
              <w:t>Short-term bank deposits</w:t>
            </w:r>
          </w:p>
        </w:tc>
        <w:tc>
          <w:tcPr>
            <w:tcW w:w="1480" w:type="dxa"/>
            <w:vAlign w:val="bottom"/>
            <w:shd w:val="clear" w:color="auto" w:fill="D8D8D8"/>
          </w:tcPr>
          <w:p>
            <w:pPr>
              <w:jc w:val="right"/>
              <w:ind w:right="270"/>
              <w:spacing w:after="0"/>
              <w:rPr>
                <w:sz w:val="20"/>
                <w:szCs w:val="20"/>
                <w:color w:val="auto"/>
              </w:rPr>
            </w:pPr>
            <w:r>
              <w:rPr>
                <w:rFonts w:ascii="Arial" w:cs="Arial" w:eastAsia="Arial" w:hAnsi="Arial"/>
                <w:sz w:val="14"/>
                <w:szCs w:val="14"/>
                <w:color w:val="auto"/>
              </w:rPr>
              <w:t>7,707</w:t>
            </w:r>
          </w:p>
        </w:tc>
        <w:tc>
          <w:tcPr>
            <w:tcW w:w="1500" w:type="dxa"/>
            <w:vAlign w:val="bottom"/>
          </w:tcPr>
          <w:p>
            <w:pPr>
              <w:jc w:val="right"/>
              <w:ind w:right="269"/>
              <w:spacing w:after="0"/>
              <w:rPr>
                <w:sz w:val="20"/>
                <w:szCs w:val="20"/>
                <w:color w:val="auto"/>
              </w:rPr>
            </w:pPr>
            <w:r>
              <w:rPr>
                <w:rFonts w:ascii="Arial" w:cs="Arial" w:eastAsia="Arial" w:hAnsi="Arial"/>
                <w:sz w:val="14"/>
                <w:szCs w:val="14"/>
                <w:color w:val="auto"/>
              </w:rPr>
              <w:t>2,226</w:t>
            </w:r>
          </w:p>
        </w:tc>
      </w:tr>
      <w:tr>
        <w:trPr>
          <w:trHeight w:val="162"/>
        </w:trPr>
        <w:tc>
          <w:tcPr>
            <w:tcW w:w="844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Money market funds, reverse repos and other cash equivalents</w:t>
            </w:r>
          </w:p>
        </w:tc>
        <w:tc>
          <w:tcPr>
            <w:tcW w:w="1480" w:type="dxa"/>
            <w:vAlign w:val="bottom"/>
            <w:tcBorders>
              <w:bottom w:val="single" w:sz="8" w:color="auto"/>
            </w:tcBorders>
            <w:shd w:val="clear" w:color="auto" w:fill="D8D8D8"/>
          </w:tcPr>
          <w:p>
            <w:pPr>
              <w:jc w:val="right"/>
              <w:ind w:right="270"/>
              <w:spacing w:after="0"/>
              <w:rPr>
                <w:sz w:val="20"/>
                <w:szCs w:val="20"/>
                <w:color w:val="auto"/>
              </w:rPr>
            </w:pPr>
            <w:r>
              <w:rPr>
                <w:rFonts w:ascii="Arial" w:cs="Arial" w:eastAsia="Arial" w:hAnsi="Arial"/>
                <w:sz w:val="14"/>
                <w:szCs w:val="14"/>
                <w:color w:val="auto"/>
              </w:rPr>
              <w:t>8,805</w:t>
            </w:r>
          </w:p>
        </w:tc>
        <w:tc>
          <w:tcPr>
            <w:tcW w:w="1500" w:type="dxa"/>
            <w:vAlign w:val="bottom"/>
            <w:tcBorders>
              <w:bottom w:val="single" w:sz="8" w:color="auto"/>
            </w:tcBorders>
          </w:tcPr>
          <w:p>
            <w:pPr>
              <w:jc w:val="right"/>
              <w:ind w:right="269"/>
              <w:spacing w:after="0"/>
              <w:rPr>
                <w:sz w:val="20"/>
                <w:szCs w:val="20"/>
                <w:color w:val="auto"/>
              </w:rPr>
            </w:pPr>
            <w:r>
              <w:rPr>
                <w:rFonts w:ascii="Arial" w:cs="Arial" w:eastAsia="Arial" w:hAnsi="Arial"/>
                <w:sz w:val="14"/>
                <w:szCs w:val="14"/>
                <w:color w:val="auto"/>
              </w:rPr>
              <w:t>2,664</w:t>
            </w:r>
          </w:p>
        </w:tc>
      </w:tr>
      <w:tr>
        <w:trPr>
          <w:trHeight w:val="156"/>
        </w:trPr>
        <w:tc>
          <w:tcPr>
            <w:tcW w:w="8440" w:type="dxa"/>
            <w:vAlign w:val="bottom"/>
            <w:tcBorders>
              <w:bottom w:val="single" w:sz="8" w:color="auto"/>
            </w:tcBorders>
          </w:tcPr>
          <w:p>
            <w:pPr>
              <w:spacing w:after="0" w:line="155" w:lineRule="exact"/>
              <w:rPr>
                <w:sz w:val="20"/>
                <w:szCs w:val="20"/>
                <w:color w:val="auto"/>
              </w:rPr>
            </w:pPr>
            <w:r>
              <w:rPr>
                <w:rFonts w:ascii="Arial" w:cs="Arial" w:eastAsia="Arial" w:hAnsi="Arial"/>
                <w:sz w:val="14"/>
                <w:szCs w:val="14"/>
                <w:color w:val="auto"/>
              </w:rPr>
              <w:t>Total</w:t>
            </w:r>
          </w:p>
        </w:tc>
        <w:tc>
          <w:tcPr>
            <w:tcW w:w="1480" w:type="dxa"/>
            <w:vAlign w:val="bottom"/>
            <w:tcBorders>
              <w:bottom w:val="single" w:sz="8" w:color="auto"/>
            </w:tcBorders>
            <w:shd w:val="clear" w:color="auto" w:fill="D8D8D8"/>
          </w:tcPr>
          <w:p>
            <w:pPr>
              <w:jc w:val="right"/>
              <w:ind w:right="270"/>
              <w:spacing w:after="0" w:line="155" w:lineRule="exact"/>
              <w:rPr>
                <w:sz w:val="20"/>
                <w:szCs w:val="20"/>
                <w:color w:val="auto"/>
              </w:rPr>
            </w:pPr>
            <w:r>
              <w:rPr>
                <w:rFonts w:ascii="Arial" w:cs="Arial" w:eastAsia="Arial" w:hAnsi="Arial"/>
                <w:sz w:val="14"/>
                <w:szCs w:val="14"/>
                <w:color w:val="auto"/>
              </w:rPr>
              <w:t>21,607</w:t>
            </w:r>
          </w:p>
        </w:tc>
        <w:tc>
          <w:tcPr>
            <w:tcW w:w="1500" w:type="dxa"/>
            <w:vAlign w:val="bottom"/>
            <w:tcBorders>
              <w:bottom w:val="single" w:sz="8" w:color="auto"/>
            </w:tcBorders>
          </w:tcPr>
          <w:p>
            <w:pPr>
              <w:jc w:val="right"/>
              <w:ind w:right="269"/>
              <w:spacing w:after="0" w:line="155" w:lineRule="exact"/>
              <w:rPr>
                <w:sz w:val="20"/>
                <w:szCs w:val="20"/>
                <w:color w:val="auto"/>
              </w:rPr>
            </w:pPr>
            <w:r>
              <w:rPr>
                <w:rFonts w:ascii="Arial" w:cs="Arial" w:eastAsia="Arial" w:hAnsi="Arial"/>
                <w:sz w:val="14"/>
                <w:szCs w:val="14"/>
                <w:color w:val="auto"/>
              </w:rPr>
              <w:t>9,696</w:t>
            </w:r>
          </w:p>
        </w:tc>
      </w:tr>
    </w:tbl>
    <w:p>
      <w:pPr>
        <w:spacing w:after="0" w:line="180" w:lineRule="exact"/>
        <w:rPr>
          <w:sz w:val="20"/>
          <w:szCs w:val="20"/>
          <w:color w:val="auto"/>
        </w:rPr>
      </w:pPr>
    </w:p>
    <w:p>
      <w:pPr>
        <w:spacing w:after="0"/>
        <w:rPr>
          <w:sz w:val="20"/>
          <w:szCs w:val="20"/>
          <w:color w:val="auto"/>
        </w:rPr>
      </w:pPr>
      <w:r>
        <w:rPr>
          <w:rFonts w:ascii="Arial" w:cs="Arial" w:eastAsia="Arial" w:hAnsi="Arial"/>
          <w:sz w:val="14"/>
          <w:szCs w:val="14"/>
          <w:color w:val="auto"/>
        </w:rPr>
        <w:t>Included in cash and cash equivalents at December 31, 2014, are amounts totalling $626 million (2013: $582 million) that are subject to currency controls or other legal restrictions.</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Information about credit risk is presented in Note 19.</w:t>
      </w:r>
    </w:p>
    <w:p>
      <w:pPr>
        <w:sectPr>
          <w:pgSz w:w="11900" w:h="16838" w:orient="portrait"/>
          <w:cols w:equalWidth="0" w:num="1">
            <w:col w:w="11420"/>
          </w:cols>
          <w:pgMar w:left="240" w:top="459" w:right="239" w:bottom="1440" w:gutter="0" w:footer="0" w:header="0"/>
        </w:sectPr>
      </w:pPr>
    </w:p>
    <w:bookmarkStart w:id="125" w:name="page126"/>
    <w:bookmarkEnd w:id="1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300355</wp:posOffset>
            </wp:positionV>
            <wp:extent cx="8890" cy="46291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8890" cy="462915"/>
                    </a:xfrm>
                    <a:prstGeom prst="rect">
                      <a:avLst/>
                    </a:prstGeom>
                    <a:noFill/>
                  </pic:spPr>
                </pic:pic>
              </a:graphicData>
            </a:graphic>
          </wp:anchor>
        </w:drawing>
      </w:r>
    </w:p>
    <w:p>
      <w:pPr>
        <w:spacing w:after="0" w:line="200" w:lineRule="exact"/>
        <w:rPr>
          <w:sz w:val="20"/>
          <w:szCs w:val="20"/>
          <w:color w:val="auto"/>
        </w:rPr>
      </w:pP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565"/>
        </w:trPr>
        <w:tc>
          <w:tcPr>
            <w:tcW w:w="1540" w:type="dxa"/>
            <w:vAlign w:val="bottom"/>
            <w:shd w:val="clear" w:color="auto" w:fill="FF8B00"/>
          </w:tcPr>
          <w:p>
            <w:pPr>
              <w:ind w:left="260"/>
              <w:spacing w:after="0"/>
              <w:rPr>
                <w:sz w:val="20"/>
                <w:szCs w:val="20"/>
                <w:color w:val="auto"/>
              </w:rPr>
            </w:pPr>
            <w:r>
              <w:rPr>
                <w:rFonts w:ascii="Arial" w:cs="Arial" w:eastAsia="Arial" w:hAnsi="Arial"/>
                <w:sz w:val="11"/>
                <w:szCs w:val="11"/>
                <w:b w:val="1"/>
                <w:bCs w:val="1"/>
                <w:color w:val="333333"/>
              </w:rPr>
              <w:t>124</w:t>
            </w:r>
          </w:p>
        </w:tc>
        <w:tc>
          <w:tcPr>
            <w:tcW w:w="3600" w:type="dxa"/>
            <w:vAlign w:val="bottom"/>
            <w:gridSpan w:val="2"/>
            <w:shd w:val="clear" w:color="auto" w:fill="FF8B00"/>
          </w:tcPr>
          <w:p>
            <w:pPr>
              <w:jc w:val="right"/>
              <w:ind w:right="360"/>
              <w:spacing w:after="0"/>
              <w:rPr>
                <w:sz w:val="20"/>
                <w:szCs w:val="20"/>
                <w:color w:val="auto"/>
              </w:rPr>
            </w:pPr>
            <w:r>
              <w:rPr>
                <w:rFonts w:ascii="Arial" w:cs="Arial" w:eastAsia="Arial" w:hAnsi="Arial"/>
                <w:sz w:val="13"/>
                <w:szCs w:val="13"/>
                <w:color w:val="333333"/>
              </w:rPr>
              <w:t>FINANCIAL STATEMENTS AND SUPPLEMENTS</w:t>
            </w:r>
          </w:p>
        </w:tc>
        <w:tc>
          <w:tcPr>
            <w:tcW w:w="440" w:type="dxa"/>
            <w:vAlign w:val="bottom"/>
            <w:shd w:val="clear" w:color="auto" w:fill="FF8B00"/>
          </w:tcPr>
          <w:p>
            <w:pPr>
              <w:spacing w:after="0"/>
              <w:rPr>
                <w:sz w:val="24"/>
                <w:szCs w:val="24"/>
                <w:color w:val="auto"/>
              </w:rPr>
            </w:pPr>
          </w:p>
        </w:tc>
        <w:tc>
          <w:tcPr>
            <w:tcW w:w="3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5"/>
        </w:trPr>
        <w:tc>
          <w:tcPr>
            <w:tcW w:w="1540" w:type="dxa"/>
            <w:vAlign w:val="bottom"/>
            <w:shd w:val="clear" w:color="auto" w:fill="FF8B00"/>
          </w:tcPr>
          <w:p>
            <w:pPr>
              <w:spacing w:after="0"/>
              <w:rPr>
                <w:sz w:val="14"/>
                <w:szCs w:val="14"/>
                <w:color w:val="auto"/>
              </w:rPr>
            </w:pPr>
          </w:p>
        </w:tc>
        <w:tc>
          <w:tcPr>
            <w:tcW w:w="3240" w:type="dxa"/>
            <w:vAlign w:val="bottom"/>
            <w:shd w:val="clear" w:color="auto" w:fill="FF8B00"/>
          </w:tcPr>
          <w:p>
            <w:pPr>
              <w:spacing w:after="0"/>
              <w:rPr>
                <w:sz w:val="14"/>
                <w:szCs w:val="14"/>
                <w:color w:val="auto"/>
              </w:rPr>
            </w:pPr>
          </w:p>
        </w:tc>
        <w:tc>
          <w:tcPr>
            <w:tcW w:w="360" w:type="dxa"/>
            <w:vAlign w:val="bottom"/>
            <w:shd w:val="clear" w:color="auto" w:fill="FF8B00"/>
          </w:tcPr>
          <w:p>
            <w:pPr>
              <w:spacing w:after="0"/>
              <w:rPr>
                <w:sz w:val="14"/>
                <w:szCs w:val="14"/>
                <w:color w:val="auto"/>
              </w:rPr>
            </w:pPr>
          </w:p>
        </w:tc>
        <w:tc>
          <w:tcPr>
            <w:tcW w:w="440" w:type="dxa"/>
            <w:vAlign w:val="bottom"/>
            <w:shd w:val="clear" w:color="auto" w:fill="FF8B00"/>
          </w:tcPr>
          <w:p>
            <w:pPr>
              <w:spacing w:after="0"/>
              <w:rPr>
                <w:sz w:val="14"/>
                <w:szCs w:val="14"/>
                <w:color w:val="auto"/>
              </w:rPr>
            </w:pPr>
          </w:p>
        </w:tc>
        <w:tc>
          <w:tcPr>
            <w:tcW w:w="3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80" w:type="dxa"/>
            <w:vAlign w:val="bottom"/>
            <w:vMerge w:val="restart"/>
          </w:tcPr>
          <w:p>
            <w:pPr>
              <w:spacing w:after="0"/>
              <w:rPr>
                <w:sz w:val="14"/>
                <w:szCs w:val="14"/>
                <w:color w:val="auto"/>
              </w:rPr>
            </w:pPr>
          </w:p>
        </w:tc>
        <w:tc>
          <w:tcPr>
            <w:tcW w:w="3200" w:type="dxa"/>
            <w:vAlign w:val="bottom"/>
            <w:gridSpan w:val="4"/>
            <w:vMerge w:val="restart"/>
          </w:tcPr>
          <w:p>
            <w:pPr>
              <w:ind w:left="780"/>
              <w:spacing w:after="0"/>
              <w:rPr>
                <w:sz w:val="20"/>
                <w:szCs w:val="20"/>
                <w:color w:val="auto"/>
              </w:rPr>
            </w:pPr>
            <w:r>
              <w:rPr>
                <w:rFonts w:ascii="Arial" w:cs="Arial" w:eastAsia="Arial" w:hAnsi="Arial"/>
                <w:sz w:val="11"/>
                <w:szCs w:val="11"/>
                <w:color w:val="auto"/>
                <w:w w:val="97"/>
              </w:rPr>
              <w:t>SHELL ANNUAL REPORT AND FORM 20-F 2014</w:t>
            </w:r>
          </w:p>
        </w:tc>
        <w:tc>
          <w:tcPr>
            <w:tcW w:w="0" w:type="dxa"/>
            <w:vAlign w:val="bottom"/>
          </w:tcPr>
          <w:p>
            <w:pPr>
              <w:spacing w:after="0"/>
              <w:rPr>
                <w:sz w:val="1"/>
                <w:szCs w:val="1"/>
                <w:color w:val="auto"/>
              </w:rPr>
            </w:pPr>
          </w:p>
        </w:tc>
      </w:tr>
      <w:tr>
        <w:trPr>
          <w:trHeight w:val="121"/>
        </w:trPr>
        <w:tc>
          <w:tcPr>
            <w:tcW w:w="1540" w:type="dxa"/>
            <w:vAlign w:val="bottom"/>
          </w:tcPr>
          <w:p>
            <w:pPr>
              <w:spacing w:after="0"/>
              <w:rPr>
                <w:sz w:val="10"/>
                <w:szCs w:val="10"/>
                <w:color w:val="auto"/>
              </w:rPr>
            </w:pPr>
          </w:p>
        </w:tc>
        <w:tc>
          <w:tcPr>
            <w:tcW w:w="3600" w:type="dxa"/>
            <w:vAlign w:val="bottom"/>
            <w:gridSpan w:val="2"/>
          </w:tcPr>
          <w:p>
            <w:pPr>
              <w:jc w:val="right"/>
              <w:ind w:right="360"/>
              <w:spacing w:after="0" w:line="121" w:lineRule="exact"/>
              <w:rPr>
                <w:sz w:val="20"/>
                <w:szCs w:val="20"/>
                <w:color w:val="auto"/>
              </w:rPr>
            </w:pPr>
            <w:r>
              <w:rPr>
                <w:rFonts w:ascii="Arial" w:cs="Arial" w:eastAsia="Arial" w:hAnsi="Arial"/>
                <w:sz w:val="11"/>
                <w:szCs w:val="11"/>
                <w:color w:val="auto"/>
              </w:rPr>
              <w:t>CONSOLIDATED FINANCIAL STATEMENTS</w:t>
            </w:r>
          </w:p>
        </w:tc>
        <w:tc>
          <w:tcPr>
            <w:tcW w:w="4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380" w:type="dxa"/>
            <w:vAlign w:val="bottom"/>
            <w:vMerge w:val="continue"/>
          </w:tcPr>
          <w:p>
            <w:pPr>
              <w:spacing w:after="0"/>
              <w:rPr>
                <w:sz w:val="10"/>
                <w:szCs w:val="10"/>
                <w:color w:val="auto"/>
              </w:rPr>
            </w:pPr>
          </w:p>
        </w:tc>
        <w:tc>
          <w:tcPr>
            <w:tcW w:w="3200" w:type="dxa"/>
            <w:vAlign w:val="bottom"/>
            <w:gridSpan w:val="4"/>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7"/>
        </w:trPr>
        <w:tc>
          <w:tcPr>
            <w:tcW w:w="5140" w:type="dxa"/>
            <w:vAlign w:val="bottom"/>
            <w:gridSpan w:val="3"/>
          </w:tcPr>
          <w:p>
            <w:pPr>
              <w:spacing w:after="0"/>
              <w:rPr>
                <w:sz w:val="20"/>
                <w:szCs w:val="20"/>
                <w:color w:val="auto"/>
              </w:rPr>
            </w:pPr>
            <w:r>
              <w:rPr>
                <w:rFonts w:ascii="Arial" w:cs="Arial" w:eastAsia="Arial" w:hAnsi="Arial"/>
                <w:sz w:val="18"/>
                <w:szCs w:val="18"/>
                <w:color w:val="auto"/>
              </w:rPr>
              <w:t>14 DEBT AND LEASE ARRANGEMENTS</w:t>
            </w:r>
          </w:p>
        </w:tc>
        <w:tc>
          <w:tcPr>
            <w:tcW w:w="4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1540" w:type="dxa"/>
            <w:vAlign w:val="bottom"/>
          </w:tcPr>
          <w:p>
            <w:pPr>
              <w:spacing w:after="0"/>
              <w:rPr>
                <w:sz w:val="17"/>
                <w:szCs w:val="17"/>
                <w:color w:val="auto"/>
              </w:rPr>
            </w:pPr>
          </w:p>
        </w:tc>
        <w:tc>
          <w:tcPr>
            <w:tcW w:w="3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800" w:type="dxa"/>
            <w:vAlign w:val="bottom"/>
            <w:gridSpan w:val="2"/>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1540" w:type="dxa"/>
            <w:vAlign w:val="bottom"/>
            <w:shd w:val="clear" w:color="auto" w:fill="333333"/>
          </w:tcPr>
          <w:p>
            <w:pPr>
              <w:ind w:left="80"/>
              <w:spacing w:after="0" w:line="162" w:lineRule="exact"/>
              <w:rPr>
                <w:sz w:val="20"/>
                <w:szCs w:val="20"/>
                <w:color w:val="auto"/>
              </w:rPr>
            </w:pPr>
            <w:r>
              <w:rPr>
                <w:rFonts w:ascii="Arial" w:cs="Arial" w:eastAsia="Arial" w:hAnsi="Arial"/>
                <w:sz w:val="15"/>
                <w:szCs w:val="15"/>
                <w:b w:val="1"/>
                <w:bCs w:val="1"/>
                <w:color w:val="FFFFFF"/>
              </w:rPr>
              <w:t>DEBT</w:t>
            </w:r>
          </w:p>
        </w:tc>
        <w:tc>
          <w:tcPr>
            <w:tcW w:w="3240" w:type="dxa"/>
            <w:vAlign w:val="bottom"/>
            <w:shd w:val="clear" w:color="auto" w:fill="333333"/>
          </w:tcPr>
          <w:p>
            <w:pPr>
              <w:spacing w:after="0"/>
              <w:rPr>
                <w:sz w:val="14"/>
                <w:szCs w:val="14"/>
                <w:color w:val="auto"/>
              </w:rPr>
            </w:pPr>
          </w:p>
        </w:tc>
        <w:tc>
          <w:tcPr>
            <w:tcW w:w="360" w:type="dxa"/>
            <w:vAlign w:val="bottom"/>
            <w:shd w:val="clear" w:color="auto" w:fill="333333"/>
          </w:tcPr>
          <w:p>
            <w:pPr>
              <w:spacing w:after="0"/>
              <w:rPr>
                <w:sz w:val="14"/>
                <w:szCs w:val="14"/>
                <w:color w:val="auto"/>
              </w:rPr>
            </w:pPr>
          </w:p>
        </w:tc>
        <w:tc>
          <w:tcPr>
            <w:tcW w:w="440" w:type="dxa"/>
            <w:vAlign w:val="bottom"/>
            <w:shd w:val="clear" w:color="auto" w:fill="333333"/>
          </w:tcPr>
          <w:p>
            <w:pPr>
              <w:spacing w:after="0"/>
              <w:rPr>
                <w:sz w:val="14"/>
                <w:szCs w:val="14"/>
                <w:color w:val="auto"/>
              </w:rPr>
            </w:pPr>
          </w:p>
        </w:tc>
        <w:tc>
          <w:tcPr>
            <w:tcW w:w="360" w:type="dxa"/>
            <w:vAlign w:val="bottom"/>
            <w:shd w:val="clear" w:color="auto" w:fill="333333"/>
          </w:tcPr>
          <w:p>
            <w:pPr>
              <w:spacing w:after="0"/>
              <w:rPr>
                <w:sz w:val="14"/>
                <w:szCs w:val="14"/>
                <w:color w:val="auto"/>
              </w:rPr>
            </w:pPr>
          </w:p>
        </w:tc>
        <w:tc>
          <w:tcPr>
            <w:tcW w:w="960" w:type="dxa"/>
            <w:vAlign w:val="bottom"/>
            <w:shd w:val="clear" w:color="auto" w:fill="333333"/>
          </w:tcPr>
          <w:p>
            <w:pPr>
              <w:spacing w:after="0"/>
              <w:rPr>
                <w:sz w:val="14"/>
                <w:szCs w:val="14"/>
                <w:color w:val="auto"/>
              </w:rPr>
            </w:pPr>
          </w:p>
        </w:tc>
        <w:tc>
          <w:tcPr>
            <w:tcW w:w="960" w:type="dxa"/>
            <w:vAlign w:val="bottom"/>
            <w:shd w:val="clear" w:color="auto" w:fill="333333"/>
          </w:tcPr>
          <w:p>
            <w:pPr>
              <w:spacing w:after="0"/>
              <w:rPr>
                <w:sz w:val="14"/>
                <w:szCs w:val="14"/>
                <w:color w:val="auto"/>
              </w:rPr>
            </w:pPr>
          </w:p>
        </w:tc>
        <w:tc>
          <w:tcPr>
            <w:tcW w:w="380" w:type="dxa"/>
            <w:vAlign w:val="bottom"/>
            <w:shd w:val="clear" w:color="auto" w:fill="333333"/>
          </w:tcPr>
          <w:p>
            <w:pPr>
              <w:spacing w:after="0"/>
              <w:rPr>
                <w:sz w:val="14"/>
                <w:szCs w:val="14"/>
                <w:color w:val="auto"/>
              </w:rPr>
            </w:pPr>
          </w:p>
        </w:tc>
        <w:tc>
          <w:tcPr>
            <w:tcW w:w="1380" w:type="dxa"/>
            <w:vAlign w:val="bottom"/>
            <w:shd w:val="clear" w:color="auto" w:fill="333333"/>
          </w:tcPr>
          <w:p>
            <w:pPr>
              <w:spacing w:after="0"/>
              <w:rPr>
                <w:sz w:val="14"/>
                <w:szCs w:val="14"/>
                <w:color w:val="auto"/>
              </w:rPr>
            </w:pPr>
          </w:p>
        </w:tc>
        <w:tc>
          <w:tcPr>
            <w:tcW w:w="1800" w:type="dxa"/>
            <w:vAlign w:val="bottom"/>
            <w:gridSpan w:val="2"/>
            <w:shd w:val="clear" w:color="auto" w:fill="333333"/>
          </w:tcPr>
          <w:p>
            <w:pPr>
              <w:jc w:val="right"/>
              <w:ind w:right="231"/>
              <w:spacing w:after="0" w:line="162" w:lineRule="exact"/>
              <w:rPr>
                <w:sz w:val="20"/>
                <w:szCs w:val="20"/>
                <w:color w:val="auto"/>
              </w:rPr>
            </w:pPr>
            <w:r>
              <w:rPr>
                <w:rFonts w:ascii="Arial" w:cs="Arial" w:eastAsia="Arial" w:hAnsi="Arial"/>
                <w:sz w:val="15"/>
                <w:szCs w:val="15"/>
                <w:color w:val="FFFFFF"/>
              </w:rPr>
              <w:t>$ MILLION</w:t>
            </w: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1540" w:type="dxa"/>
            <w:vAlign w:val="bottom"/>
          </w:tcPr>
          <w:p>
            <w:pPr>
              <w:spacing w:after="0"/>
              <w:rPr>
                <w:sz w:val="11"/>
                <w:szCs w:val="11"/>
                <w:color w:val="auto"/>
              </w:rPr>
            </w:pPr>
          </w:p>
        </w:tc>
        <w:tc>
          <w:tcPr>
            <w:tcW w:w="3240" w:type="dxa"/>
            <w:vAlign w:val="bottom"/>
          </w:tcPr>
          <w:p>
            <w:pPr>
              <w:spacing w:after="0"/>
              <w:rPr>
                <w:sz w:val="11"/>
                <w:szCs w:val="11"/>
                <w:color w:val="auto"/>
              </w:rPr>
            </w:pPr>
          </w:p>
        </w:tc>
        <w:tc>
          <w:tcPr>
            <w:tcW w:w="360" w:type="dxa"/>
            <w:vAlign w:val="bottom"/>
            <w:tcBorders>
              <w:bottom w:val="single" w:sz="8" w:color="auto"/>
            </w:tcBorders>
            <w:shd w:val="clear" w:color="auto" w:fill="D8D8D8"/>
          </w:tcPr>
          <w:p>
            <w:pPr>
              <w:spacing w:after="0"/>
              <w:rPr>
                <w:sz w:val="11"/>
                <w:szCs w:val="11"/>
                <w:color w:val="auto"/>
              </w:rPr>
            </w:pPr>
          </w:p>
        </w:tc>
        <w:tc>
          <w:tcPr>
            <w:tcW w:w="440" w:type="dxa"/>
            <w:vAlign w:val="bottom"/>
            <w:tcBorders>
              <w:bottom w:val="single" w:sz="8" w:color="auto"/>
            </w:tcBorders>
            <w:shd w:val="clear" w:color="auto" w:fill="D8D8D8"/>
          </w:tcPr>
          <w:p>
            <w:pPr>
              <w:spacing w:after="0"/>
              <w:rPr>
                <w:sz w:val="11"/>
                <w:szCs w:val="11"/>
                <w:color w:val="auto"/>
              </w:rPr>
            </w:pPr>
          </w:p>
        </w:tc>
        <w:tc>
          <w:tcPr>
            <w:tcW w:w="360" w:type="dxa"/>
            <w:vAlign w:val="bottom"/>
            <w:tcBorders>
              <w:bottom w:val="single" w:sz="8" w:color="auto"/>
            </w:tcBorders>
            <w:shd w:val="clear" w:color="auto" w:fill="D8D8D8"/>
          </w:tcPr>
          <w:p>
            <w:pPr>
              <w:spacing w:after="0"/>
              <w:rPr>
                <w:sz w:val="11"/>
                <w:szCs w:val="11"/>
                <w:color w:val="auto"/>
              </w:rPr>
            </w:pPr>
          </w:p>
        </w:tc>
        <w:tc>
          <w:tcPr>
            <w:tcW w:w="960" w:type="dxa"/>
            <w:vAlign w:val="bottom"/>
            <w:tcBorders>
              <w:bottom w:val="single" w:sz="8" w:color="auto"/>
            </w:tcBorders>
            <w:shd w:val="clear" w:color="auto" w:fill="D8D8D8"/>
          </w:tcPr>
          <w:p>
            <w:pPr>
              <w:spacing w:after="0"/>
              <w:rPr>
                <w:sz w:val="11"/>
                <w:szCs w:val="11"/>
                <w:color w:val="auto"/>
              </w:rPr>
            </w:pPr>
          </w:p>
        </w:tc>
        <w:tc>
          <w:tcPr>
            <w:tcW w:w="960" w:type="dxa"/>
            <w:vAlign w:val="bottom"/>
            <w:tcBorders>
              <w:bottom w:val="single" w:sz="8" w:color="auto"/>
            </w:tcBorders>
            <w:shd w:val="clear" w:color="auto" w:fill="D8D8D8"/>
          </w:tcPr>
          <w:p>
            <w:pPr>
              <w:jc w:val="right"/>
              <w:ind w:right="131"/>
              <w:spacing w:after="0" w:line="135" w:lineRule="exact"/>
              <w:rPr>
                <w:sz w:val="20"/>
                <w:szCs w:val="20"/>
                <w:color w:val="auto"/>
              </w:rPr>
            </w:pPr>
            <w:r>
              <w:rPr>
                <w:rFonts w:ascii="Arial" w:cs="Arial" w:eastAsia="Arial" w:hAnsi="Arial"/>
                <w:sz w:val="13"/>
                <w:szCs w:val="13"/>
                <w:color w:val="auto"/>
                <w:w w:val="95"/>
              </w:rPr>
              <w:t>Dec 31, 2014</w:t>
            </w:r>
          </w:p>
        </w:tc>
        <w:tc>
          <w:tcPr>
            <w:tcW w:w="380" w:type="dxa"/>
            <w:vAlign w:val="bottom"/>
          </w:tcPr>
          <w:p>
            <w:pPr>
              <w:spacing w:after="0"/>
              <w:rPr>
                <w:sz w:val="11"/>
                <w:szCs w:val="11"/>
                <w:color w:val="auto"/>
              </w:rPr>
            </w:pPr>
          </w:p>
        </w:tc>
        <w:tc>
          <w:tcPr>
            <w:tcW w:w="138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1000" w:type="dxa"/>
            <w:vAlign w:val="bottom"/>
            <w:tcBorders>
              <w:bottom w:val="single" w:sz="8" w:color="auto"/>
            </w:tcBorders>
          </w:tcPr>
          <w:p>
            <w:pPr>
              <w:jc w:val="right"/>
              <w:ind w:right="151"/>
              <w:spacing w:after="0" w:line="135" w:lineRule="exact"/>
              <w:rPr>
                <w:sz w:val="20"/>
                <w:szCs w:val="20"/>
                <w:color w:val="auto"/>
              </w:rPr>
            </w:pPr>
            <w:r>
              <w:rPr>
                <w:rFonts w:ascii="Arial" w:cs="Arial" w:eastAsia="Arial" w:hAnsi="Arial"/>
                <w:sz w:val="13"/>
                <w:szCs w:val="13"/>
                <w:color w:val="auto"/>
                <w:w w:val="98"/>
              </w:rPr>
              <w:t>Dec 31, 2013</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3"/>
        </w:trPr>
        <w:tc>
          <w:tcPr>
            <w:tcW w:w="1540" w:type="dxa"/>
            <w:vAlign w:val="bottom"/>
          </w:tcPr>
          <w:p>
            <w:pPr>
              <w:spacing w:after="0"/>
              <w:rPr>
                <w:sz w:val="10"/>
                <w:szCs w:val="10"/>
                <w:color w:val="auto"/>
              </w:rPr>
            </w:pPr>
          </w:p>
        </w:tc>
        <w:tc>
          <w:tcPr>
            <w:tcW w:w="3240" w:type="dxa"/>
            <w:vAlign w:val="bottom"/>
          </w:tcPr>
          <w:p>
            <w:pPr>
              <w:spacing w:after="0"/>
              <w:rPr>
                <w:sz w:val="10"/>
                <w:szCs w:val="10"/>
                <w:color w:val="auto"/>
              </w:rPr>
            </w:pPr>
          </w:p>
        </w:tc>
        <w:tc>
          <w:tcPr>
            <w:tcW w:w="360" w:type="dxa"/>
            <w:vAlign w:val="bottom"/>
            <w:shd w:val="clear" w:color="auto" w:fill="D8D8D8"/>
          </w:tcPr>
          <w:p>
            <w:pPr>
              <w:spacing w:after="0"/>
              <w:rPr>
                <w:sz w:val="10"/>
                <w:szCs w:val="10"/>
                <w:color w:val="auto"/>
              </w:rPr>
            </w:pPr>
          </w:p>
        </w:tc>
        <w:tc>
          <w:tcPr>
            <w:tcW w:w="440" w:type="dxa"/>
            <w:vAlign w:val="bottom"/>
            <w:shd w:val="clear" w:color="auto" w:fill="D8D8D8"/>
          </w:tcPr>
          <w:p>
            <w:pPr>
              <w:spacing w:after="0"/>
              <w:rPr>
                <w:sz w:val="10"/>
                <w:szCs w:val="10"/>
                <w:color w:val="auto"/>
              </w:rPr>
            </w:pPr>
          </w:p>
        </w:tc>
        <w:tc>
          <w:tcPr>
            <w:tcW w:w="360" w:type="dxa"/>
            <w:vAlign w:val="bottom"/>
            <w:shd w:val="clear" w:color="auto" w:fill="D8D8D8"/>
          </w:tcPr>
          <w:p>
            <w:pPr>
              <w:jc w:val="right"/>
              <w:ind w:right="37"/>
              <w:spacing w:after="0" w:line="123" w:lineRule="exact"/>
              <w:rPr>
                <w:sz w:val="20"/>
                <w:szCs w:val="20"/>
                <w:color w:val="auto"/>
              </w:rPr>
            </w:pPr>
            <w:r>
              <w:rPr>
                <w:rFonts w:ascii="Arial" w:cs="Arial" w:eastAsia="Arial" w:hAnsi="Arial"/>
                <w:sz w:val="13"/>
                <w:szCs w:val="13"/>
                <w:color w:val="auto"/>
                <w:w w:val="87"/>
              </w:rPr>
              <w:t>Debt</w:t>
            </w:r>
          </w:p>
        </w:tc>
        <w:tc>
          <w:tcPr>
            <w:tcW w:w="960" w:type="dxa"/>
            <w:vAlign w:val="bottom"/>
            <w:shd w:val="clear" w:color="auto" w:fill="D8D8D8"/>
          </w:tcPr>
          <w:p>
            <w:pPr>
              <w:spacing w:after="0"/>
              <w:rPr>
                <w:sz w:val="10"/>
                <w:szCs w:val="10"/>
                <w:color w:val="auto"/>
              </w:rPr>
            </w:pPr>
          </w:p>
        </w:tc>
        <w:tc>
          <w:tcPr>
            <w:tcW w:w="960" w:type="dxa"/>
            <w:vAlign w:val="bottom"/>
            <w:shd w:val="clear" w:color="auto" w:fill="D8D8D8"/>
          </w:tcPr>
          <w:p>
            <w:pPr>
              <w:spacing w:after="0"/>
              <w:rPr>
                <w:sz w:val="10"/>
                <w:szCs w:val="10"/>
                <w:color w:val="auto"/>
              </w:rPr>
            </w:pPr>
          </w:p>
        </w:tc>
        <w:tc>
          <w:tcPr>
            <w:tcW w:w="380" w:type="dxa"/>
            <w:vAlign w:val="bottom"/>
          </w:tcPr>
          <w:p>
            <w:pPr>
              <w:spacing w:after="0"/>
              <w:rPr>
                <w:sz w:val="10"/>
                <w:szCs w:val="10"/>
                <w:color w:val="auto"/>
              </w:rPr>
            </w:pPr>
          </w:p>
        </w:tc>
        <w:tc>
          <w:tcPr>
            <w:tcW w:w="1380" w:type="dxa"/>
            <w:vAlign w:val="bottom"/>
          </w:tcPr>
          <w:p>
            <w:pPr>
              <w:jc w:val="right"/>
              <w:ind w:right="238"/>
              <w:spacing w:after="0" w:line="123" w:lineRule="exact"/>
              <w:rPr>
                <w:sz w:val="20"/>
                <w:szCs w:val="20"/>
                <w:color w:val="auto"/>
              </w:rPr>
            </w:pPr>
            <w:r>
              <w:rPr>
                <w:rFonts w:ascii="Arial" w:cs="Arial" w:eastAsia="Arial" w:hAnsi="Arial"/>
                <w:sz w:val="13"/>
                <w:szCs w:val="13"/>
                <w:color w:val="auto"/>
              </w:rPr>
              <w:t>Debt</w:t>
            </w:r>
          </w:p>
        </w:tc>
        <w:tc>
          <w:tcPr>
            <w:tcW w:w="8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1540" w:type="dxa"/>
            <w:vAlign w:val="bottom"/>
          </w:tcPr>
          <w:p>
            <w:pPr>
              <w:spacing w:after="0"/>
              <w:rPr>
                <w:sz w:val="11"/>
                <w:szCs w:val="11"/>
                <w:color w:val="auto"/>
              </w:rPr>
            </w:pPr>
          </w:p>
        </w:tc>
        <w:tc>
          <w:tcPr>
            <w:tcW w:w="3240" w:type="dxa"/>
            <w:vAlign w:val="bottom"/>
          </w:tcPr>
          <w:p>
            <w:pPr>
              <w:spacing w:after="0"/>
              <w:rPr>
                <w:sz w:val="11"/>
                <w:szCs w:val="11"/>
                <w:color w:val="auto"/>
              </w:rPr>
            </w:pPr>
          </w:p>
        </w:tc>
        <w:tc>
          <w:tcPr>
            <w:tcW w:w="360" w:type="dxa"/>
            <w:vAlign w:val="bottom"/>
            <w:shd w:val="clear" w:color="auto" w:fill="D8D8D8"/>
          </w:tcPr>
          <w:p>
            <w:pPr>
              <w:spacing w:after="0"/>
              <w:rPr>
                <w:sz w:val="11"/>
                <w:szCs w:val="11"/>
                <w:color w:val="auto"/>
              </w:rPr>
            </w:pPr>
          </w:p>
        </w:tc>
        <w:tc>
          <w:tcPr>
            <w:tcW w:w="800" w:type="dxa"/>
            <w:vAlign w:val="bottom"/>
            <w:gridSpan w:val="2"/>
            <w:shd w:val="clear" w:color="auto" w:fill="D8D8D8"/>
          </w:tcPr>
          <w:p>
            <w:pPr>
              <w:jc w:val="right"/>
              <w:ind w:right="37"/>
              <w:spacing w:after="0" w:line="135" w:lineRule="exact"/>
              <w:rPr>
                <w:sz w:val="20"/>
                <w:szCs w:val="20"/>
                <w:color w:val="auto"/>
              </w:rPr>
            </w:pPr>
            <w:r>
              <w:rPr>
                <w:rFonts w:ascii="Arial" w:cs="Arial" w:eastAsia="Arial" w:hAnsi="Arial"/>
                <w:sz w:val="13"/>
                <w:szCs w:val="13"/>
                <w:color w:val="auto"/>
              </w:rPr>
              <w:t>(excluding</w:t>
            </w:r>
          </w:p>
        </w:tc>
        <w:tc>
          <w:tcPr>
            <w:tcW w:w="960" w:type="dxa"/>
            <w:vAlign w:val="bottom"/>
            <w:shd w:val="clear" w:color="auto" w:fill="D8D8D8"/>
          </w:tcPr>
          <w:p>
            <w:pPr>
              <w:spacing w:after="0"/>
              <w:rPr>
                <w:sz w:val="11"/>
                <w:szCs w:val="11"/>
                <w:color w:val="auto"/>
              </w:rPr>
            </w:pPr>
          </w:p>
        </w:tc>
        <w:tc>
          <w:tcPr>
            <w:tcW w:w="960" w:type="dxa"/>
            <w:vAlign w:val="bottom"/>
            <w:shd w:val="clear" w:color="auto" w:fill="D8D8D8"/>
          </w:tcPr>
          <w:p>
            <w:pPr>
              <w:spacing w:after="0"/>
              <w:rPr>
                <w:sz w:val="11"/>
                <w:szCs w:val="11"/>
                <w:color w:val="auto"/>
              </w:rPr>
            </w:pPr>
          </w:p>
        </w:tc>
        <w:tc>
          <w:tcPr>
            <w:tcW w:w="380" w:type="dxa"/>
            <w:vAlign w:val="bottom"/>
          </w:tcPr>
          <w:p>
            <w:pPr>
              <w:spacing w:after="0"/>
              <w:rPr>
                <w:sz w:val="11"/>
                <w:szCs w:val="11"/>
                <w:color w:val="auto"/>
              </w:rPr>
            </w:pPr>
          </w:p>
        </w:tc>
        <w:tc>
          <w:tcPr>
            <w:tcW w:w="1380" w:type="dxa"/>
            <w:vAlign w:val="bottom"/>
          </w:tcPr>
          <w:p>
            <w:pPr>
              <w:jc w:val="right"/>
              <w:ind w:right="238"/>
              <w:spacing w:after="0" w:line="135" w:lineRule="exact"/>
              <w:rPr>
                <w:sz w:val="20"/>
                <w:szCs w:val="20"/>
                <w:color w:val="auto"/>
              </w:rPr>
            </w:pPr>
            <w:r>
              <w:rPr>
                <w:rFonts w:ascii="Arial" w:cs="Arial" w:eastAsia="Arial" w:hAnsi="Arial"/>
                <w:sz w:val="13"/>
                <w:szCs w:val="13"/>
                <w:color w:val="auto"/>
              </w:rPr>
              <w:t>(excluding</w:t>
            </w:r>
          </w:p>
        </w:tc>
        <w:tc>
          <w:tcPr>
            <w:tcW w:w="8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540" w:type="dxa"/>
            <w:vAlign w:val="bottom"/>
          </w:tcPr>
          <w:p>
            <w:pPr>
              <w:spacing w:after="0"/>
              <w:rPr>
                <w:sz w:val="11"/>
                <w:szCs w:val="11"/>
                <w:color w:val="auto"/>
              </w:rPr>
            </w:pPr>
          </w:p>
        </w:tc>
        <w:tc>
          <w:tcPr>
            <w:tcW w:w="3240" w:type="dxa"/>
            <w:vAlign w:val="bottom"/>
          </w:tcPr>
          <w:p>
            <w:pPr>
              <w:spacing w:after="0"/>
              <w:rPr>
                <w:sz w:val="11"/>
                <w:szCs w:val="11"/>
                <w:color w:val="auto"/>
              </w:rPr>
            </w:pPr>
          </w:p>
        </w:tc>
        <w:tc>
          <w:tcPr>
            <w:tcW w:w="360" w:type="dxa"/>
            <w:vAlign w:val="bottom"/>
            <w:shd w:val="clear" w:color="auto" w:fill="D8D8D8"/>
          </w:tcPr>
          <w:p>
            <w:pPr>
              <w:spacing w:after="0"/>
              <w:rPr>
                <w:sz w:val="11"/>
                <w:szCs w:val="11"/>
                <w:color w:val="auto"/>
              </w:rPr>
            </w:pPr>
          </w:p>
        </w:tc>
        <w:tc>
          <w:tcPr>
            <w:tcW w:w="800" w:type="dxa"/>
            <w:vAlign w:val="bottom"/>
            <w:gridSpan w:val="2"/>
            <w:shd w:val="clear" w:color="auto" w:fill="D8D8D8"/>
          </w:tcPr>
          <w:p>
            <w:pPr>
              <w:jc w:val="right"/>
              <w:ind w:right="37"/>
              <w:spacing w:after="0" w:line="135" w:lineRule="exact"/>
              <w:rPr>
                <w:sz w:val="20"/>
                <w:szCs w:val="20"/>
                <w:color w:val="auto"/>
              </w:rPr>
            </w:pPr>
            <w:r>
              <w:rPr>
                <w:rFonts w:ascii="Arial" w:cs="Arial" w:eastAsia="Arial" w:hAnsi="Arial"/>
                <w:sz w:val="13"/>
                <w:szCs w:val="13"/>
                <w:color w:val="auto"/>
              </w:rPr>
              <w:t>finance</w:t>
            </w:r>
          </w:p>
        </w:tc>
        <w:tc>
          <w:tcPr>
            <w:tcW w:w="960" w:type="dxa"/>
            <w:vAlign w:val="bottom"/>
            <w:shd w:val="clear" w:color="auto" w:fill="D8D8D8"/>
          </w:tcPr>
          <w:p>
            <w:pPr>
              <w:jc w:val="right"/>
              <w:spacing w:after="0" w:line="135" w:lineRule="exact"/>
              <w:rPr>
                <w:sz w:val="20"/>
                <w:szCs w:val="20"/>
                <w:color w:val="auto"/>
              </w:rPr>
            </w:pPr>
            <w:r>
              <w:rPr>
                <w:rFonts w:ascii="Arial" w:cs="Arial" w:eastAsia="Arial" w:hAnsi="Arial"/>
                <w:sz w:val="13"/>
                <w:szCs w:val="13"/>
                <w:color w:val="auto"/>
              </w:rPr>
              <w:t>Finance</w:t>
            </w:r>
          </w:p>
        </w:tc>
        <w:tc>
          <w:tcPr>
            <w:tcW w:w="960" w:type="dxa"/>
            <w:vAlign w:val="bottom"/>
            <w:shd w:val="clear" w:color="auto" w:fill="D8D8D8"/>
          </w:tcPr>
          <w:p>
            <w:pPr>
              <w:spacing w:after="0"/>
              <w:rPr>
                <w:sz w:val="11"/>
                <w:szCs w:val="11"/>
                <w:color w:val="auto"/>
              </w:rPr>
            </w:pPr>
          </w:p>
        </w:tc>
        <w:tc>
          <w:tcPr>
            <w:tcW w:w="380" w:type="dxa"/>
            <w:vAlign w:val="bottom"/>
          </w:tcPr>
          <w:p>
            <w:pPr>
              <w:spacing w:after="0"/>
              <w:rPr>
                <w:sz w:val="11"/>
                <w:szCs w:val="11"/>
                <w:color w:val="auto"/>
              </w:rPr>
            </w:pPr>
          </w:p>
        </w:tc>
        <w:tc>
          <w:tcPr>
            <w:tcW w:w="1380" w:type="dxa"/>
            <w:vAlign w:val="bottom"/>
          </w:tcPr>
          <w:p>
            <w:pPr>
              <w:jc w:val="right"/>
              <w:ind w:right="238"/>
              <w:spacing w:after="0" w:line="135" w:lineRule="exact"/>
              <w:rPr>
                <w:sz w:val="20"/>
                <w:szCs w:val="20"/>
                <w:color w:val="auto"/>
              </w:rPr>
            </w:pPr>
            <w:r>
              <w:rPr>
                <w:rFonts w:ascii="Arial" w:cs="Arial" w:eastAsia="Arial" w:hAnsi="Arial"/>
                <w:sz w:val="13"/>
                <w:szCs w:val="13"/>
                <w:color w:val="auto"/>
              </w:rPr>
              <w:t>finance</w:t>
            </w:r>
          </w:p>
        </w:tc>
        <w:tc>
          <w:tcPr>
            <w:tcW w:w="800" w:type="dxa"/>
            <w:vAlign w:val="bottom"/>
          </w:tcPr>
          <w:p>
            <w:pPr>
              <w:jc w:val="right"/>
              <w:spacing w:after="0" w:line="135" w:lineRule="exact"/>
              <w:rPr>
                <w:sz w:val="20"/>
                <w:szCs w:val="20"/>
                <w:color w:val="auto"/>
              </w:rPr>
            </w:pPr>
            <w:r>
              <w:rPr>
                <w:rFonts w:ascii="Arial" w:cs="Arial" w:eastAsia="Arial" w:hAnsi="Arial"/>
                <w:sz w:val="13"/>
                <w:szCs w:val="13"/>
                <w:color w:val="auto"/>
              </w:rPr>
              <w:t>Finance</w:t>
            </w:r>
          </w:p>
        </w:tc>
        <w:tc>
          <w:tcPr>
            <w:tcW w:w="10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540" w:type="dxa"/>
            <w:vAlign w:val="bottom"/>
          </w:tcPr>
          <w:p>
            <w:pPr>
              <w:spacing w:after="0"/>
              <w:rPr>
                <w:sz w:val="11"/>
                <w:szCs w:val="11"/>
                <w:color w:val="auto"/>
              </w:rPr>
            </w:pPr>
          </w:p>
        </w:tc>
        <w:tc>
          <w:tcPr>
            <w:tcW w:w="3240" w:type="dxa"/>
            <w:vAlign w:val="bottom"/>
          </w:tcPr>
          <w:p>
            <w:pPr>
              <w:spacing w:after="0"/>
              <w:rPr>
                <w:sz w:val="11"/>
                <w:szCs w:val="11"/>
                <w:color w:val="auto"/>
              </w:rPr>
            </w:pPr>
          </w:p>
        </w:tc>
        <w:tc>
          <w:tcPr>
            <w:tcW w:w="360" w:type="dxa"/>
            <w:vAlign w:val="bottom"/>
            <w:shd w:val="clear" w:color="auto" w:fill="D8D8D8"/>
          </w:tcPr>
          <w:p>
            <w:pPr>
              <w:spacing w:after="0"/>
              <w:rPr>
                <w:sz w:val="11"/>
                <w:szCs w:val="11"/>
                <w:color w:val="auto"/>
              </w:rPr>
            </w:pPr>
          </w:p>
        </w:tc>
        <w:tc>
          <w:tcPr>
            <w:tcW w:w="800" w:type="dxa"/>
            <w:vAlign w:val="bottom"/>
            <w:gridSpan w:val="2"/>
            <w:shd w:val="clear" w:color="auto" w:fill="D8D8D8"/>
          </w:tcPr>
          <w:p>
            <w:pPr>
              <w:jc w:val="right"/>
              <w:ind w:right="37"/>
              <w:spacing w:after="0" w:line="135" w:lineRule="exact"/>
              <w:rPr>
                <w:sz w:val="20"/>
                <w:szCs w:val="20"/>
                <w:color w:val="auto"/>
              </w:rPr>
            </w:pPr>
            <w:r>
              <w:rPr>
                <w:rFonts w:ascii="Arial" w:cs="Arial" w:eastAsia="Arial" w:hAnsi="Arial"/>
                <w:sz w:val="13"/>
                <w:szCs w:val="13"/>
                <w:color w:val="auto"/>
              </w:rPr>
              <w:t>lease</w:t>
            </w:r>
          </w:p>
        </w:tc>
        <w:tc>
          <w:tcPr>
            <w:tcW w:w="960" w:type="dxa"/>
            <w:vAlign w:val="bottom"/>
            <w:shd w:val="clear" w:color="auto" w:fill="D8D8D8"/>
          </w:tcPr>
          <w:p>
            <w:pPr>
              <w:jc w:val="right"/>
              <w:spacing w:after="0" w:line="135" w:lineRule="exact"/>
              <w:rPr>
                <w:sz w:val="20"/>
                <w:szCs w:val="20"/>
                <w:color w:val="auto"/>
              </w:rPr>
            </w:pPr>
            <w:r>
              <w:rPr>
                <w:rFonts w:ascii="Arial" w:cs="Arial" w:eastAsia="Arial" w:hAnsi="Arial"/>
                <w:sz w:val="13"/>
                <w:szCs w:val="13"/>
                <w:color w:val="auto"/>
              </w:rPr>
              <w:t>lease</w:t>
            </w:r>
          </w:p>
        </w:tc>
        <w:tc>
          <w:tcPr>
            <w:tcW w:w="960" w:type="dxa"/>
            <w:vAlign w:val="bottom"/>
            <w:shd w:val="clear" w:color="auto" w:fill="D8D8D8"/>
          </w:tcPr>
          <w:p>
            <w:pPr>
              <w:spacing w:after="0"/>
              <w:rPr>
                <w:sz w:val="11"/>
                <w:szCs w:val="11"/>
                <w:color w:val="auto"/>
              </w:rPr>
            </w:pPr>
          </w:p>
        </w:tc>
        <w:tc>
          <w:tcPr>
            <w:tcW w:w="380" w:type="dxa"/>
            <w:vAlign w:val="bottom"/>
          </w:tcPr>
          <w:p>
            <w:pPr>
              <w:spacing w:after="0"/>
              <w:rPr>
                <w:sz w:val="11"/>
                <w:szCs w:val="11"/>
                <w:color w:val="auto"/>
              </w:rPr>
            </w:pPr>
          </w:p>
        </w:tc>
        <w:tc>
          <w:tcPr>
            <w:tcW w:w="1380" w:type="dxa"/>
            <w:vAlign w:val="bottom"/>
          </w:tcPr>
          <w:p>
            <w:pPr>
              <w:jc w:val="right"/>
              <w:ind w:right="238"/>
              <w:spacing w:after="0" w:line="135" w:lineRule="exact"/>
              <w:rPr>
                <w:sz w:val="20"/>
                <w:szCs w:val="20"/>
                <w:color w:val="auto"/>
              </w:rPr>
            </w:pPr>
            <w:r>
              <w:rPr>
                <w:rFonts w:ascii="Arial" w:cs="Arial" w:eastAsia="Arial" w:hAnsi="Arial"/>
                <w:sz w:val="13"/>
                <w:szCs w:val="13"/>
                <w:color w:val="auto"/>
              </w:rPr>
              <w:t>lease</w:t>
            </w:r>
          </w:p>
        </w:tc>
        <w:tc>
          <w:tcPr>
            <w:tcW w:w="800" w:type="dxa"/>
            <w:vAlign w:val="bottom"/>
          </w:tcPr>
          <w:p>
            <w:pPr>
              <w:jc w:val="right"/>
              <w:spacing w:after="0" w:line="135" w:lineRule="exact"/>
              <w:rPr>
                <w:sz w:val="20"/>
                <w:szCs w:val="20"/>
                <w:color w:val="auto"/>
              </w:rPr>
            </w:pPr>
            <w:r>
              <w:rPr>
                <w:rFonts w:ascii="Arial" w:cs="Arial" w:eastAsia="Arial" w:hAnsi="Arial"/>
                <w:sz w:val="13"/>
                <w:szCs w:val="13"/>
                <w:color w:val="auto"/>
              </w:rPr>
              <w:t>lease</w:t>
            </w:r>
          </w:p>
        </w:tc>
        <w:tc>
          <w:tcPr>
            <w:tcW w:w="10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1"/>
        </w:trPr>
        <w:tc>
          <w:tcPr>
            <w:tcW w:w="1540" w:type="dxa"/>
            <w:vAlign w:val="bottom"/>
          </w:tcPr>
          <w:p>
            <w:pPr>
              <w:spacing w:after="0"/>
              <w:rPr>
                <w:sz w:val="12"/>
                <w:szCs w:val="12"/>
                <w:color w:val="auto"/>
              </w:rPr>
            </w:pPr>
          </w:p>
        </w:tc>
        <w:tc>
          <w:tcPr>
            <w:tcW w:w="3240" w:type="dxa"/>
            <w:vAlign w:val="bottom"/>
          </w:tcPr>
          <w:p>
            <w:pPr>
              <w:spacing w:after="0"/>
              <w:rPr>
                <w:sz w:val="12"/>
                <w:szCs w:val="12"/>
                <w:color w:val="auto"/>
              </w:rPr>
            </w:pPr>
          </w:p>
        </w:tc>
        <w:tc>
          <w:tcPr>
            <w:tcW w:w="360" w:type="dxa"/>
            <w:vAlign w:val="bottom"/>
            <w:shd w:val="clear" w:color="auto" w:fill="D8D8D8"/>
          </w:tcPr>
          <w:p>
            <w:pPr>
              <w:spacing w:after="0"/>
              <w:rPr>
                <w:sz w:val="12"/>
                <w:szCs w:val="12"/>
                <w:color w:val="auto"/>
              </w:rPr>
            </w:pPr>
          </w:p>
        </w:tc>
        <w:tc>
          <w:tcPr>
            <w:tcW w:w="800" w:type="dxa"/>
            <w:vAlign w:val="bottom"/>
            <w:gridSpan w:val="2"/>
            <w:shd w:val="clear" w:color="auto" w:fill="D8D8D8"/>
          </w:tcPr>
          <w:p>
            <w:pPr>
              <w:jc w:val="right"/>
              <w:ind w:right="37"/>
              <w:spacing w:after="0" w:line="141" w:lineRule="exact"/>
              <w:rPr>
                <w:sz w:val="20"/>
                <w:szCs w:val="20"/>
                <w:color w:val="auto"/>
              </w:rPr>
            </w:pPr>
            <w:r>
              <w:rPr>
                <w:rFonts w:ascii="Arial" w:cs="Arial" w:eastAsia="Arial" w:hAnsi="Arial"/>
                <w:sz w:val="13"/>
                <w:szCs w:val="13"/>
                <w:color w:val="auto"/>
              </w:rPr>
              <w:t>liabilities)</w:t>
            </w:r>
          </w:p>
        </w:tc>
        <w:tc>
          <w:tcPr>
            <w:tcW w:w="960" w:type="dxa"/>
            <w:vAlign w:val="bottom"/>
            <w:shd w:val="clear" w:color="auto" w:fill="D8D8D8"/>
          </w:tcPr>
          <w:p>
            <w:pPr>
              <w:jc w:val="right"/>
              <w:spacing w:after="0" w:line="141" w:lineRule="exact"/>
              <w:rPr>
                <w:sz w:val="20"/>
                <w:szCs w:val="20"/>
                <w:color w:val="auto"/>
              </w:rPr>
            </w:pPr>
            <w:r>
              <w:rPr>
                <w:rFonts w:ascii="Arial" w:cs="Arial" w:eastAsia="Arial" w:hAnsi="Arial"/>
                <w:sz w:val="13"/>
                <w:szCs w:val="13"/>
                <w:color w:val="auto"/>
              </w:rPr>
              <w:t>liabilities</w:t>
            </w:r>
          </w:p>
        </w:tc>
        <w:tc>
          <w:tcPr>
            <w:tcW w:w="960" w:type="dxa"/>
            <w:vAlign w:val="bottom"/>
            <w:shd w:val="clear" w:color="auto" w:fill="D8D8D8"/>
          </w:tcPr>
          <w:p>
            <w:pPr>
              <w:jc w:val="right"/>
              <w:ind w:right="131"/>
              <w:spacing w:after="0" w:line="141" w:lineRule="exact"/>
              <w:rPr>
                <w:sz w:val="20"/>
                <w:szCs w:val="20"/>
                <w:color w:val="auto"/>
              </w:rPr>
            </w:pPr>
            <w:r>
              <w:rPr>
                <w:rFonts w:ascii="Arial" w:cs="Arial" w:eastAsia="Arial" w:hAnsi="Arial"/>
                <w:sz w:val="13"/>
                <w:szCs w:val="13"/>
                <w:color w:val="auto"/>
              </w:rPr>
              <w:t>Total</w:t>
            </w:r>
          </w:p>
        </w:tc>
        <w:tc>
          <w:tcPr>
            <w:tcW w:w="380" w:type="dxa"/>
            <w:vAlign w:val="bottom"/>
          </w:tcPr>
          <w:p>
            <w:pPr>
              <w:spacing w:after="0"/>
              <w:rPr>
                <w:sz w:val="12"/>
                <w:szCs w:val="12"/>
                <w:color w:val="auto"/>
              </w:rPr>
            </w:pPr>
          </w:p>
        </w:tc>
        <w:tc>
          <w:tcPr>
            <w:tcW w:w="1380" w:type="dxa"/>
            <w:vAlign w:val="bottom"/>
          </w:tcPr>
          <w:p>
            <w:pPr>
              <w:jc w:val="right"/>
              <w:ind w:right="238"/>
              <w:spacing w:after="0" w:line="141" w:lineRule="exact"/>
              <w:rPr>
                <w:sz w:val="20"/>
                <w:szCs w:val="20"/>
                <w:color w:val="auto"/>
              </w:rPr>
            </w:pPr>
            <w:r>
              <w:rPr>
                <w:rFonts w:ascii="Arial" w:cs="Arial" w:eastAsia="Arial" w:hAnsi="Arial"/>
                <w:sz w:val="13"/>
                <w:szCs w:val="13"/>
                <w:color w:val="auto"/>
              </w:rPr>
              <w:t>liabilities)</w:t>
            </w:r>
          </w:p>
        </w:tc>
        <w:tc>
          <w:tcPr>
            <w:tcW w:w="800" w:type="dxa"/>
            <w:vAlign w:val="bottom"/>
          </w:tcPr>
          <w:p>
            <w:pPr>
              <w:jc w:val="right"/>
              <w:spacing w:after="0" w:line="141" w:lineRule="exact"/>
              <w:rPr>
                <w:sz w:val="20"/>
                <w:szCs w:val="20"/>
                <w:color w:val="auto"/>
              </w:rPr>
            </w:pPr>
            <w:r>
              <w:rPr>
                <w:rFonts w:ascii="Arial" w:cs="Arial" w:eastAsia="Arial" w:hAnsi="Arial"/>
                <w:sz w:val="13"/>
                <w:szCs w:val="13"/>
                <w:color w:val="auto"/>
              </w:rPr>
              <w:t>liabilities</w:t>
            </w:r>
          </w:p>
        </w:tc>
        <w:tc>
          <w:tcPr>
            <w:tcW w:w="1020" w:type="dxa"/>
            <w:vAlign w:val="bottom"/>
            <w:gridSpan w:val="2"/>
          </w:tcPr>
          <w:p>
            <w:pPr>
              <w:jc w:val="right"/>
              <w:ind w:right="240"/>
              <w:spacing w:after="0" w:line="141" w:lineRule="exact"/>
              <w:rPr>
                <w:sz w:val="20"/>
                <w:szCs w:val="20"/>
                <w:color w:val="auto"/>
              </w:rPr>
            </w:pPr>
            <w:r>
              <w:rPr>
                <w:rFonts w:ascii="Arial" w:cs="Arial" w:eastAsia="Arial" w:hAnsi="Arial"/>
                <w:sz w:val="13"/>
                <w:szCs w:val="13"/>
                <w:color w:val="auto"/>
              </w:rPr>
              <w:t>Total</w:t>
            </w:r>
          </w:p>
        </w:tc>
        <w:tc>
          <w:tcPr>
            <w:tcW w:w="0" w:type="dxa"/>
            <w:vAlign w:val="bottom"/>
          </w:tcPr>
          <w:p>
            <w:pPr>
              <w:spacing w:after="0"/>
              <w:rPr>
                <w:sz w:val="1"/>
                <w:szCs w:val="1"/>
                <w:color w:val="auto"/>
              </w:rPr>
            </w:pPr>
          </w:p>
        </w:tc>
      </w:tr>
      <w:tr>
        <w:trPr>
          <w:trHeight w:val="156"/>
        </w:trPr>
        <w:tc>
          <w:tcPr>
            <w:tcW w:w="1540" w:type="dxa"/>
            <w:vAlign w:val="bottom"/>
            <w:tcBorders>
              <w:top w:val="single" w:sz="8" w:color="auto"/>
            </w:tcBorders>
          </w:tcPr>
          <w:p>
            <w:pPr>
              <w:spacing w:after="0" w:line="155" w:lineRule="exact"/>
              <w:rPr>
                <w:sz w:val="20"/>
                <w:szCs w:val="20"/>
                <w:color w:val="auto"/>
              </w:rPr>
            </w:pPr>
            <w:r>
              <w:rPr>
                <w:rFonts w:ascii="Arial" w:cs="Arial" w:eastAsia="Arial" w:hAnsi="Arial"/>
                <w:sz w:val="14"/>
                <w:szCs w:val="14"/>
                <w:color w:val="auto"/>
              </w:rPr>
              <w:t>Short-term debt</w:t>
            </w:r>
          </w:p>
        </w:tc>
        <w:tc>
          <w:tcPr>
            <w:tcW w:w="3240" w:type="dxa"/>
            <w:vAlign w:val="bottom"/>
            <w:tcBorders>
              <w:top w:val="single" w:sz="8" w:color="auto"/>
            </w:tcBorders>
          </w:tcPr>
          <w:p>
            <w:pPr>
              <w:spacing w:after="0"/>
              <w:rPr>
                <w:sz w:val="13"/>
                <w:szCs w:val="13"/>
                <w:color w:val="auto"/>
              </w:rPr>
            </w:pPr>
          </w:p>
        </w:tc>
        <w:tc>
          <w:tcPr>
            <w:tcW w:w="360" w:type="dxa"/>
            <w:vAlign w:val="bottom"/>
            <w:tcBorders>
              <w:top w:val="single" w:sz="8" w:color="auto"/>
            </w:tcBorders>
            <w:shd w:val="clear" w:color="auto" w:fill="D8D8D8"/>
          </w:tcPr>
          <w:p>
            <w:pPr>
              <w:spacing w:after="0"/>
              <w:rPr>
                <w:sz w:val="13"/>
                <w:szCs w:val="13"/>
                <w:color w:val="auto"/>
              </w:rPr>
            </w:pPr>
          </w:p>
        </w:tc>
        <w:tc>
          <w:tcPr>
            <w:tcW w:w="800" w:type="dxa"/>
            <w:vAlign w:val="bottom"/>
            <w:tcBorders>
              <w:top w:val="single" w:sz="8" w:color="auto"/>
            </w:tcBorders>
            <w:gridSpan w:val="2"/>
            <w:shd w:val="clear" w:color="auto" w:fill="D8D8D8"/>
          </w:tcPr>
          <w:p>
            <w:pPr>
              <w:jc w:val="right"/>
              <w:ind w:right="37"/>
              <w:spacing w:after="0" w:line="155" w:lineRule="exact"/>
              <w:rPr>
                <w:sz w:val="20"/>
                <w:szCs w:val="20"/>
                <w:color w:val="auto"/>
              </w:rPr>
            </w:pPr>
            <w:r>
              <w:rPr>
                <w:rFonts w:ascii="Arial" w:cs="Arial" w:eastAsia="Arial" w:hAnsi="Arial"/>
                <w:sz w:val="14"/>
                <w:szCs w:val="14"/>
                <w:color w:val="auto"/>
              </w:rPr>
              <w:t>1,590</w:t>
            </w:r>
          </w:p>
        </w:tc>
        <w:tc>
          <w:tcPr>
            <w:tcW w:w="960" w:type="dxa"/>
            <w:vAlign w:val="bottom"/>
            <w:tcBorders>
              <w:top w:val="single" w:sz="8" w:color="auto"/>
            </w:tcBorders>
            <w:shd w:val="clear" w:color="auto" w:fill="D8D8D8"/>
          </w:tcPr>
          <w:p>
            <w:pPr>
              <w:jc w:val="right"/>
              <w:spacing w:after="0" w:line="155" w:lineRule="exact"/>
              <w:rPr>
                <w:sz w:val="20"/>
                <w:szCs w:val="20"/>
                <w:color w:val="auto"/>
              </w:rPr>
            </w:pPr>
            <w:r>
              <w:rPr>
                <w:rFonts w:ascii="Arial" w:cs="Arial" w:eastAsia="Arial" w:hAnsi="Arial"/>
                <w:sz w:val="14"/>
                <w:szCs w:val="14"/>
                <w:color w:val="auto"/>
              </w:rPr>
              <w:t>–</w:t>
            </w:r>
          </w:p>
        </w:tc>
        <w:tc>
          <w:tcPr>
            <w:tcW w:w="960" w:type="dxa"/>
            <w:vAlign w:val="bottom"/>
            <w:tcBorders>
              <w:top w:val="single" w:sz="8" w:color="auto"/>
            </w:tcBorders>
            <w:shd w:val="clear" w:color="auto" w:fill="D8D8D8"/>
          </w:tcPr>
          <w:p>
            <w:pPr>
              <w:jc w:val="right"/>
              <w:ind w:right="131"/>
              <w:spacing w:after="0" w:line="155" w:lineRule="exact"/>
              <w:rPr>
                <w:sz w:val="20"/>
                <w:szCs w:val="20"/>
                <w:color w:val="auto"/>
              </w:rPr>
            </w:pPr>
            <w:r>
              <w:rPr>
                <w:rFonts w:ascii="Arial" w:cs="Arial" w:eastAsia="Arial" w:hAnsi="Arial"/>
                <w:sz w:val="14"/>
                <w:szCs w:val="14"/>
                <w:color w:val="auto"/>
              </w:rPr>
              <w:t>1,590</w:t>
            </w:r>
          </w:p>
        </w:tc>
        <w:tc>
          <w:tcPr>
            <w:tcW w:w="1760" w:type="dxa"/>
            <w:vAlign w:val="bottom"/>
            <w:tcBorders>
              <w:top w:val="single" w:sz="8" w:color="auto"/>
            </w:tcBorders>
            <w:gridSpan w:val="2"/>
          </w:tcPr>
          <w:p>
            <w:pPr>
              <w:jc w:val="right"/>
              <w:ind w:right="238"/>
              <w:spacing w:after="0" w:line="155" w:lineRule="exact"/>
              <w:rPr>
                <w:sz w:val="20"/>
                <w:szCs w:val="20"/>
                <w:color w:val="auto"/>
              </w:rPr>
            </w:pPr>
            <w:r>
              <w:rPr>
                <w:rFonts w:ascii="Arial" w:cs="Arial" w:eastAsia="Arial" w:hAnsi="Arial"/>
                <w:sz w:val="14"/>
                <w:szCs w:val="14"/>
                <w:color w:val="auto"/>
              </w:rPr>
              <w:t>5,042</w:t>
            </w:r>
          </w:p>
        </w:tc>
        <w:tc>
          <w:tcPr>
            <w:tcW w:w="80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1000" w:type="dxa"/>
            <w:vAlign w:val="bottom"/>
            <w:tcBorders>
              <w:top w:val="single" w:sz="8" w:color="auto"/>
            </w:tcBorders>
          </w:tcPr>
          <w:p>
            <w:pPr>
              <w:jc w:val="right"/>
              <w:ind w:right="151"/>
              <w:spacing w:after="0" w:line="155" w:lineRule="exact"/>
              <w:rPr>
                <w:sz w:val="20"/>
                <w:szCs w:val="20"/>
                <w:color w:val="auto"/>
              </w:rPr>
            </w:pPr>
            <w:r>
              <w:rPr>
                <w:rFonts w:ascii="Arial" w:cs="Arial" w:eastAsia="Arial" w:hAnsi="Arial"/>
                <w:sz w:val="14"/>
                <w:szCs w:val="14"/>
                <w:color w:val="auto"/>
              </w:rPr>
              <w:t>5,042</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4780" w:type="dxa"/>
            <w:vAlign w:val="bottom"/>
            <w:tcBorders>
              <w:bottom w:val="single" w:sz="8" w:color="auto"/>
            </w:tcBorders>
            <w:gridSpan w:val="2"/>
          </w:tcPr>
          <w:p>
            <w:pPr>
              <w:spacing w:after="0"/>
              <w:rPr>
                <w:sz w:val="20"/>
                <w:szCs w:val="20"/>
                <w:color w:val="auto"/>
              </w:rPr>
            </w:pPr>
            <w:r>
              <w:rPr>
                <w:rFonts w:ascii="Arial" w:cs="Arial" w:eastAsia="Arial" w:hAnsi="Arial"/>
                <w:sz w:val="14"/>
                <w:szCs w:val="14"/>
                <w:color w:val="auto"/>
              </w:rPr>
              <w:t>Long-term debt due within 1 year</w:t>
            </w:r>
          </w:p>
        </w:tc>
        <w:tc>
          <w:tcPr>
            <w:tcW w:w="360" w:type="dxa"/>
            <w:vAlign w:val="bottom"/>
            <w:tcBorders>
              <w:bottom w:val="single" w:sz="8" w:color="auto"/>
            </w:tcBorders>
            <w:shd w:val="clear" w:color="auto" w:fill="D8D8D8"/>
          </w:tcPr>
          <w:p>
            <w:pPr>
              <w:spacing w:after="0"/>
              <w:rPr>
                <w:sz w:val="14"/>
                <w:szCs w:val="14"/>
                <w:color w:val="auto"/>
              </w:rPr>
            </w:pPr>
          </w:p>
        </w:tc>
        <w:tc>
          <w:tcPr>
            <w:tcW w:w="800" w:type="dxa"/>
            <w:vAlign w:val="bottom"/>
            <w:tcBorders>
              <w:bottom w:val="single" w:sz="8" w:color="auto"/>
            </w:tcBorders>
            <w:gridSpan w:val="2"/>
            <w:shd w:val="clear" w:color="auto" w:fill="D8D8D8"/>
          </w:tcPr>
          <w:p>
            <w:pPr>
              <w:jc w:val="right"/>
              <w:ind w:right="37"/>
              <w:spacing w:after="0"/>
              <w:rPr>
                <w:sz w:val="20"/>
                <w:szCs w:val="20"/>
                <w:color w:val="auto"/>
              </w:rPr>
            </w:pPr>
            <w:r>
              <w:rPr>
                <w:rFonts w:ascii="Arial" w:cs="Arial" w:eastAsia="Arial" w:hAnsi="Arial"/>
                <w:sz w:val="14"/>
                <w:szCs w:val="14"/>
                <w:color w:val="auto"/>
              </w:rPr>
              <w:t>5,104</w:t>
            </w:r>
          </w:p>
        </w:tc>
        <w:tc>
          <w:tcPr>
            <w:tcW w:w="960" w:type="dxa"/>
            <w:vAlign w:val="bottom"/>
            <w:tcBorders>
              <w:bottom w:val="single" w:sz="8" w:color="auto"/>
            </w:tcBorders>
            <w:shd w:val="clear" w:color="auto" w:fill="D8D8D8"/>
          </w:tcPr>
          <w:p>
            <w:pPr>
              <w:jc w:val="right"/>
              <w:spacing w:after="0"/>
              <w:rPr>
                <w:sz w:val="20"/>
                <w:szCs w:val="20"/>
                <w:color w:val="auto"/>
              </w:rPr>
            </w:pPr>
            <w:r>
              <w:rPr>
                <w:rFonts w:ascii="Arial" w:cs="Arial" w:eastAsia="Arial" w:hAnsi="Arial"/>
                <w:sz w:val="14"/>
                <w:szCs w:val="14"/>
                <w:color w:val="auto"/>
              </w:rPr>
              <w:t>514</w:t>
            </w:r>
          </w:p>
        </w:tc>
        <w:tc>
          <w:tcPr>
            <w:tcW w:w="960" w:type="dxa"/>
            <w:vAlign w:val="bottom"/>
            <w:tcBorders>
              <w:bottom w:val="single" w:sz="8" w:color="auto"/>
            </w:tcBorders>
            <w:shd w:val="clear" w:color="auto" w:fill="D8D8D8"/>
          </w:tcPr>
          <w:p>
            <w:pPr>
              <w:jc w:val="right"/>
              <w:ind w:right="131"/>
              <w:spacing w:after="0"/>
              <w:rPr>
                <w:sz w:val="20"/>
                <w:szCs w:val="20"/>
                <w:color w:val="auto"/>
              </w:rPr>
            </w:pPr>
            <w:r>
              <w:rPr>
                <w:rFonts w:ascii="Arial" w:cs="Arial" w:eastAsia="Arial" w:hAnsi="Arial"/>
                <w:sz w:val="14"/>
                <w:szCs w:val="14"/>
                <w:color w:val="auto"/>
              </w:rPr>
              <w:t>5,618</w:t>
            </w:r>
          </w:p>
        </w:tc>
        <w:tc>
          <w:tcPr>
            <w:tcW w:w="1760" w:type="dxa"/>
            <w:vAlign w:val="bottom"/>
            <w:tcBorders>
              <w:bottom w:val="single" w:sz="8" w:color="auto"/>
            </w:tcBorders>
            <w:gridSpan w:val="2"/>
          </w:tcPr>
          <w:p>
            <w:pPr>
              <w:jc w:val="right"/>
              <w:ind w:right="238"/>
              <w:spacing w:after="0"/>
              <w:rPr>
                <w:sz w:val="20"/>
                <w:szCs w:val="20"/>
                <w:color w:val="auto"/>
              </w:rPr>
            </w:pPr>
            <w:r>
              <w:rPr>
                <w:rFonts w:ascii="Arial" w:cs="Arial" w:eastAsia="Arial" w:hAnsi="Arial"/>
                <w:sz w:val="14"/>
                <w:szCs w:val="14"/>
                <w:color w:val="auto"/>
              </w:rPr>
              <w:t>2,895</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407</w:t>
            </w:r>
          </w:p>
        </w:tc>
        <w:tc>
          <w:tcPr>
            <w:tcW w:w="1000" w:type="dxa"/>
            <w:vAlign w:val="bottom"/>
            <w:tcBorders>
              <w:bottom w:val="single" w:sz="8" w:color="auto"/>
            </w:tcBorders>
          </w:tcPr>
          <w:p>
            <w:pPr>
              <w:jc w:val="right"/>
              <w:ind w:right="151"/>
              <w:spacing w:after="0"/>
              <w:rPr>
                <w:sz w:val="20"/>
                <w:szCs w:val="20"/>
                <w:color w:val="auto"/>
              </w:rPr>
            </w:pPr>
            <w:r>
              <w:rPr>
                <w:rFonts w:ascii="Arial" w:cs="Arial" w:eastAsia="Arial" w:hAnsi="Arial"/>
                <w:sz w:val="14"/>
                <w:szCs w:val="14"/>
                <w:color w:val="auto"/>
              </w:rPr>
              <w:t>3,302</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1540" w:type="dxa"/>
            <w:vAlign w:val="bottom"/>
          </w:tcPr>
          <w:p>
            <w:pPr>
              <w:spacing w:after="0" w:line="155" w:lineRule="exact"/>
              <w:rPr>
                <w:sz w:val="20"/>
                <w:szCs w:val="20"/>
                <w:color w:val="auto"/>
              </w:rPr>
            </w:pPr>
            <w:r>
              <w:rPr>
                <w:rFonts w:ascii="Arial" w:cs="Arial" w:eastAsia="Arial" w:hAnsi="Arial"/>
                <w:sz w:val="14"/>
                <w:szCs w:val="14"/>
                <w:color w:val="auto"/>
              </w:rPr>
              <w:t>Current debt</w:t>
            </w:r>
          </w:p>
        </w:tc>
        <w:tc>
          <w:tcPr>
            <w:tcW w:w="3240" w:type="dxa"/>
            <w:vAlign w:val="bottom"/>
          </w:tcPr>
          <w:p>
            <w:pPr>
              <w:spacing w:after="0"/>
              <w:rPr>
                <w:sz w:val="13"/>
                <w:szCs w:val="13"/>
                <w:color w:val="auto"/>
              </w:rPr>
            </w:pPr>
          </w:p>
        </w:tc>
        <w:tc>
          <w:tcPr>
            <w:tcW w:w="360" w:type="dxa"/>
            <w:vAlign w:val="bottom"/>
            <w:shd w:val="clear" w:color="auto" w:fill="D8D8D8"/>
          </w:tcPr>
          <w:p>
            <w:pPr>
              <w:spacing w:after="0"/>
              <w:rPr>
                <w:sz w:val="13"/>
                <w:szCs w:val="13"/>
                <w:color w:val="auto"/>
              </w:rPr>
            </w:pPr>
          </w:p>
        </w:tc>
        <w:tc>
          <w:tcPr>
            <w:tcW w:w="800" w:type="dxa"/>
            <w:vAlign w:val="bottom"/>
            <w:gridSpan w:val="2"/>
            <w:shd w:val="clear" w:color="auto" w:fill="D8D8D8"/>
          </w:tcPr>
          <w:p>
            <w:pPr>
              <w:jc w:val="right"/>
              <w:ind w:right="37"/>
              <w:spacing w:after="0" w:line="155" w:lineRule="exact"/>
              <w:rPr>
                <w:sz w:val="20"/>
                <w:szCs w:val="20"/>
                <w:color w:val="auto"/>
              </w:rPr>
            </w:pPr>
            <w:r>
              <w:rPr>
                <w:rFonts w:ascii="Arial" w:cs="Arial" w:eastAsia="Arial" w:hAnsi="Arial"/>
                <w:sz w:val="14"/>
                <w:szCs w:val="14"/>
                <w:color w:val="auto"/>
              </w:rPr>
              <w:t>6,694</w:t>
            </w:r>
          </w:p>
        </w:tc>
        <w:tc>
          <w:tcPr>
            <w:tcW w:w="960" w:type="dxa"/>
            <w:vAlign w:val="bottom"/>
            <w:shd w:val="clear" w:color="auto" w:fill="D8D8D8"/>
          </w:tcPr>
          <w:p>
            <w:pPr>
              <w:jc w:val="right"/>
              <w:spacing w:after="0" w:line="155" w:lineRule="exact"/>
              <w:rPr>
                <w:sz w:val="20"/>
                <w:szCs w:val="20"/>
                <w:color w:val="auto"/>
              </w:rPr>
            </w:pPr>
            <w:r>
              <w:rPr>
                <w:rFonts w:ascii="Arial" w:cs="Arial" w:eastAsia="Arial" w:hAnsi="Arial"/>
                <w:sz w:val="14"/>
                <w:szCs w:val="14"/>
                <w:color w:val="auto"/>
              </w:rPr>
              <w:t>514</w:t>
            </w:r>
          </w:p>
        </w:tc>
        <w:tc>
          <w:tcPr>
            <w:tcW w:w="960" w:type="dxa"/>
            <w:vAlign w:val="bottom"/>
            <w:shd w:val="clear" w:color="auto" w:fill="D8D8D8"/>
          </w:tcPr>
          <w:p>
            <w:pPr>
              <w:jc w:val="right"/>
              <w:ind w:right="131"/>
              <w:spacing w:after="0" w:line="155" w:lineRule="exact"/>
              <w:rPr>
                <w:sz w:val="20"/>
                <w:szCs w:val="20"/>
                <w:color w:val="auto"/>
              </w:rPr>
            </w:pPr>
            <w:r>
              <w:rPr>
                <w:rFonts w:ascii="Arial" w:cs="Arial" w:eastAsia="Arial" w:hAnsi="Arial"/>
                <w:sz w:val="14"/>
                <w:szCs w:val="14"/>
                <w:color w:val="auto"/>
              </w:rPr>
              <w:t>7,208</w:t>
            </w:r>
          </w:p>
        </w:tc>
        <w:tc>
          <w:tcPr>
            <w:tcW w:w="1760" w:type="dxa"/>
            <w:vAlign w:val="bottom"/>
            <w:gridSpan w:val="2"/>
          </w:tcPr>
          <w:p>
            <w:pPr>
              <w:jc w:val="right"/>
              <w:ind w:right="238"/>
              <w:spacing w:after="0" w:line="155" w:lineRule="exact"/>
              <w:rPr>
                <w:sz w:val="20"/>
                <w:szCs w:val="20"/>
                <w:color w:val="auto"/>
              </w:rPr>
            </w:pPr>
            <w:r>
              <w:rPr>
                <w:rFonts w:ascii="Arial" w:cs="Arial" w:eastAsia="Arial" w:hAnsi="Arial"/>
                <w:sz w:val="14"/>
                <w:szCs w:val="14"/>
                <w:color w:val="auto"/>
              </w:rPr>
              <w:t>7,937</w:t>
            </w:r>
          </w:p>
        </w:tc>
        <w:tc>
          <w:tcPr>
            <w:tcW w:w="800" w:type="dxa"/>
            <w:vAlign w:val="bottom"/>
          </w:tcPr>
          <w:p>
            <w:pPr>
              <w:jc w:val="right"/>
              <w:spacing w:after="0" w:line="155" w:lineRule="exact"/>
              <w:rPr>
                <w:sz w:val="20"/>
                <w:szCs w:val="20"/>
                <w:color w:val="auto"/>
              </w:rPr>
            </w:pPr>
            <w:r>
              <w:rPr>
                <w:rFonts w:ascii="Arial" w:cs="Arial" w:eastAsia="Arial" w:hAnsi="Arial"/>
                <w:sz w:val="14"/>
                <w:szCs w:val="14"/>
                <w:color w:val="auto"/>
              </w:rPr>
              <w:t>407</w:t>
            </w:r>
          </w:p>
        </w:tc>
        <w:tc>
          <w:tcPr>
            <w:tcW w:w="1000" w:type="dxa"/>
            <w:vAlign w:val="bottom"/>
          </w:tcPr>
          <w:p>
            <w:pPr>
              <w:jc w:val="right"/>
              <w:ind w:right="151"/>
              <w:spacing w:after="0" w:line="155" w:lineRule="exact"/>
              <w:rPr>
                <w:sz w:val="20"/>
                <w:szCs w:val="20"/>
                <w:color w:val="auto"/>
              </w:rPr>
            </w:pPr>
            <w:r>
              <w:rPr>
                <w:rFonts w:ascii="Arial" w:cs="Arial" w:eastAsia="Arial" w:hAnsi="Arial"/>
                <w:sz w:val="14"/>
                <w:szCs w:val="14"/>
                <w:color w:val="auto"/>
              </w:rPr>
              <w:t>8,344</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154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Non-current debt</w:t>
            </w:r>
          </w:p>
        </w:tc>
        <w:tc>
          <w:tcPr>
            <w:tcW w:w="324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shd w:val="clear" w:color="auto" w:fill="D8D8D8"/>
          </w:tcPr>
          <w:p>
            <w:pPr>
              <w:spacing w:after="0"/>
              <w:rPr>
                <w:sz w:val="14"/>
                <w:szCs w:val="14"/>
                <w:color w:val="auto"/>
              </w:rPr>
            </w:pPr>
          </w:p>
        </w:tc>
        <w:tc>
          <w:tcPr>
            <w:tcW w:w="800" w:type="dxa"/>
            <w:vAlign w:val="bottom"/>
            <w:tcBorders>
              <w:bottom w:val="single" w:sz="8" w:color="auto"/>
            </w:tcBorders>
            <w:gridSpan w:val="2"/>
            <w:shd w:val="clear" w:color="auto" w:fill="D8D8D8"/>
          </w:tcPr>
          <w:p>
            <w:pPr>
              <w:jc w:val="right"/>
              <w:ind w:right="37"/>
              <w:spacing w:after="0"/>
              <w:rPr>
                <w:sz w:val="20"/>
                <w:szCs w:val="20"/>
                <w:color w:val="auto"/>
              </w:rPr>
            </w:pPr>
            <w:r>
              <w:rPr>
                <w:rFonts w:ascii="Arial" w:cs="Arial" w:eastAsia="Arial" w:hAnsi="Arial"/>
                <w:sz w:val="14"/>
                <w:szCs w:val="14"/>
                <w:color w:val="auto"/>
              </w:rPr>
              <w:t>32,144</w:t>
            </w:r>
          </w:p>
        </w:tc>
        <w:tc>
          <w:tcPr>
            <w:tcW w:w="960" w:type="dxa"/>
            <w:vAlign w:val="bottom"/>
            <w:tcBorders>
              <w:bottom w:val="single" w:sz="8" w:color="auto"/>
            </w:tcBorders>
            <w:shd w:val="clear" w:color="auto" w:fill="D8D8D8"/>
          </w:tcPr>
          <w:p>
            <w:pPr>
              <w:jc w:val="right"/>
              <w:spacing w:after="0"/>
              <w:rPr>
                <w:sz w:val="20"/>
                <w:szCs w:val="20"/>
                <w:color w:val="auto"/>
              </w:rPr>
            </w:pPr>
            <w:r>
              <w:rPr>
                <w:rFonts w:ascii="Arial" w:cs="Arial" w:eastAsia="Arial" w:hAnsi="Arial"/>
                <w:sz w:val="14"/>
                <w:szCs w:val="14"/>
                <w:color w:val="auto"/>
              </w:rPr>
              <w:t>6,188</w:t>
            </w:r>
          </w:p>
        </w:tc>
        <w:tc>
          <w:tcPr>
            <w:tcW w:w="960" w:type="dxa"/>
            <w:vAlign w:val="bottom"/>
            <w:tcBorders>
              <w:bottom w:val="single" w:sz="8" w:color="auto"/>
            </w:tcBorders>
            <w:shd w:val="clear" w:color="auto" w:fill="D8D8D8"/>
          </w:tcPr>
          <w:p>
            <w:pPr>
              <w:jc w:val="right"/>
              <w:ind w:right="131"/>
              <w:spacing w:after="0"/>
              <w:rPr>
                <w:sz w:val="20"/>
                <w:szCs w:val="20"/>
                <w:color w:val="auto"/>
              </w:rPr>
            </w:pPr>
            <w:r>
              <w:rPr>
                <w:rFonts w:ascii="Arial" w:cs="Arial" w:eastAsia="Arial" w:hAnsi="Arial"/>
                <w:sz w:val="14"/>
                <w:szCs w:val="14"/>
                <w:color w:val="auto"/>
              </w:rPr>
              <w:t>38,332</w:t>
            </w:r>
          </w:p>
        </w:tc>
        <w:tc>
          <w:tcPr>
            <w:tcW w:w="1760" w:type="dxa"/>
            <w:vAlign w:val="bottom"/>
            <w:tcBorders>
              <w:bottom w:val="single" w:sz="8" w:color="auto"/>
            </w:tcBorders>
            <w:gridSpan w:val="2"/>
          </w:tcPr>
          <w:p>
            <w:pPr>
              <w:jc w:val="right"/>
              <w:ind w:right="238"/>
              <w:spacing w:after="0"/>
              <w:rPr>
                <w:sz w:val="20"/>
                <w:szCs w:val="20"/>
                <w:color w:val="auto"/>
              </w:rPr>
            </w:pPr>
            <w:r>
              <w:rPr>
                <w:rFonts w:ascii="Arial" w:cs="Arial" w:eastAsia="Arial" w:hAnsi="Arial"/>
                <w:sz w:val="14"/>
                <w:szCs w:val="14"/>
                <w:color w:val="auto"/>
              </w:rPr>
              <w:t>31,480</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4,738</w:t>
            </w:r>
          </w:p>
        </w:tc>
        <w:tc>
          <w:tcPr>
            <w:tcW w:w="1000" w:type="dxa"/>
            <w:vAlign w:val="bottom"/>
            <w:tcBorders>
              <w:bottom w:val="single" w:sz="8" w:color="auto"/>
            </w:tcBorders>
          </w:tcPr>
          <w:p>
            <w:pPr>
              <w:jc w:val="right"/>
              <w:ind w:right="151"/>
              <w:spacing w:after="0"/>
              <w:rPr>
                <w:sz w:val="20"/>
                <w:szCs w:val="20"/>
                <w:color w:val="auto"/>
              </w:rPr>
            </w:pPr>
            <w:r>
              <w:rPr>
                <w:rFonts w:ascii="Arial" w:cs="Arial" w:eastAsia="Arial" w:hAnsi="Arial"/>
                <w:sz w:val="14"/>
                <w:szCs w:val="14"/>
                <w:color w:val="auto"/>
              </w:rPr>
              <w:t>36,218</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1540" w:type="dxa"/>
            <w:vAlign w:val="bottom"/>
            <w:tcBorders>
              <w:bottom w:val="single" w:sz="8" w:color="auto"/>
            </w:tcBorders>
          </w:tcPr>
          <w:p>
            <w:pPr>
              <w:spacing w:after="0" w:line="155" w:lineRule="exact"/>
              <w:rPr>
                <w:sz w:val="20"/>
                <w:szCs w:val="20"/>
                <w:color w:val="auto"/>
              </w:rPr>
            </w:pPr>
            <w:r>
              <w:rPr>
                <w:rFonts w:ascii="Arial" w:cs="Arial" w:eastAsia="Arial" w:hAnsi="Arial"/>
                <w:sz w:val="14"/>
                <w:szCs w:val="14"/>
                <w:color w:val="auto"/>
              </w:rPr>
              <w:t>Total</w:t>
            </w:r>
          </w:p>
        </w:tc>
        <w:tc>
          <w:tcPr>
            <w:tcW w:w="324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shd w:val="clear" w:color="auto" w:fill="D8D8D8"/>
          </w:tcPr>
          <w:p>
            <w:pPr>
              <w:spacing w:after="0"/>
              <w:rPr>
                <w:sz w:val="13"/>
                <w:szCs w:val="13"/>
                <w:color w:val="auto"/>
              </w:rPr>
            </w:pPr>
          </w:p>
        </w:tc>
        <w:tc>
          <w:tcPr>
            <w:tcW w:w="800" w:type="dxa"/>
            <w:vAlign w:val="bottom"/>
            <w:tcBorders>
              <w:bottom w:val="single" w:sz="8" w:color="auto"/>
            </w:tcBorders>
            <w:gridSpan w:val="2"/>
            <w:shd w:val="clear" w:color="auto" w:fill="D8D8D8"/>
          </w:tcPr>
          <w:p>
            <w:pPr>
              <w:jc w:val="right"/>
              <w:ind w:right="37"/>
              <w:spacing w:after="0" w:line="155" w:lineRule="exact"/>
              <w:rPr>
                <w:sz w:val="20"/>
                <w:szCs w:val="20"/>
                <w:color w:val="auto"/>
              </w:rPr>
            </w:pPr>
            <w:r>
              <w:rPr>
                <w:rFonts w:ascii="Arial" w:cs="Arial" w:eastAsia="Arial" w:hAnsi="Arial"/>
                <w:sz w:val="14"/>
                <w:szCs w:val="14"/>
                <w:color w:val="auto"/>
              </w:rPr>
              <w:t>38,838</w:t>
            </w:r>
          </w:p>
        </w:tc>
        <w:tc>
          <w:tcPr>
            <w:tcW w:w="960" w:type="dxa"/>
            <w:vAlign w:val="bottom"/>
            <w:tcBorders>
              <w:bottom w:val="single" w:sz="8" w:color="auto"/>
            </w:tcBorders>
            <w:shd w:val="clear" w:color="auto" w:fill="D8D8D8"/>
          </w:tcPr>
          <w:p>
            <w:pPr>
              <w:jc w:val="right"/>
              <w:spacing w:after="0" w:line="155" w:lineRule="exact"/>
              <w:rPr>
                <w:sz w:val="20"/>
                <w:szCs w:val="20"/>
                <w:color w:val="auto"/>
              </w:rPr>
            </w:pPr>
            <w:r>
              <w:rPr>
                <w:rFonts w:ascii="Arial" w:cs="Arial" w:eastAsia="Arial" w:hAnsi="Arial"/>
                <w:sz w:val="14"/>
                <w:szCs w:val="14"/>
                <w:color w:val="auto"/>
              </w:rPr>
              <w:t>6,702</w:t>
            </w:r>
          </w:p>
        </w:tc>
        <w:tc>
          <w:tcPr>
            <w:tcW w:w="960" w:type="dxa"/>
            <w:vAlign w:val="bottom"/>
            <w:tcBorders>
              <w:bottom w:val="single" w:sz="8" w:color="auto"/>
            </w:tcBorders>
            <w:shd w:val="clear" w:color="auto" w:fill="D8D8D8"/>
          </w:tcPr>
          <w:p>
            <w:pPr>
              <w:jc w:val="right"/>
              <w:ind w:right="131"/>
              <w:spacing w:after="0" w:line="155" w:lineRule="exact"/>
              <w:rPr>
                <w:sz w:val="20"/>
                <w:szCs w:val="20"/>
                <w:color w:val="auto"/>
              </w:rPr>
            </w:pPr>
            <w:r>
              <w:rPr>
                <w:rFonts w:ascii="Arial" w:cs="Arial" w:eastAsia="Arial" w:hAnsi="Arial"/>
                <w:sz w:val="14"/>
                <w:szCs w:val="14"/>
                <w:color w:val="auto"/>
              </w:rPr>
              <w:t>45,540</w:t>
            </w:r>
          </w:p>
        </w:tc>
        <w:tc>
          <w:tcPr>
            <w:tcW w:w="1760" w:type="dxa"/>
            <w:vAlign w:val="bottom"/>
            <w:tcBorders>
              <w:bottom w:val="single" w:sz="8" w:color="auto"/>
            </w:tcBorders>
            <w:gridSpan w:val="2"/>
          </w:tcPr>
          <w:p>
            <w:pPr>
              <w:jc w:val="right"/>
              <w:ind w:right="238"/>
              <w:spacing w:after="0" w:line="155" w:lineRule="exact"/>
              <w:rPr>
                <w:sz w:val="20"/>
                <w:szCs w:val="20"/>
                <w:color w:val="auto"/>
              </w:rPr>
            </w:pPr>
            <w:r>
              <w:rPr>
                <w:rFonts w:ascii="Arial" w:cs="Arial" w:eastAsia="Arial" w:hAnsi="Arial"/>
                <w:sz w:val="14"/>
                <w:szCs w:val="14"/>
                <w:color w:val="auto"/>
              </w:rPr>
              <w:t>39,417</w:t>
            </w:r>
          </w:p>
        </w:tc>
        <w:tc>
          <w:tcPr>
            <w:tcW w:w="8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5,145</w:t>
            </w:r>
          </w:p>
        </w:tc>
        <w:tc>
          <w:tcPr>
            <w:tcW w:w="1000" w:type="dxa"/>
            <w:vAlign w:val="bottom"/>
            <w:tcBorders>
              <w:bottom w:val="single" w:sz="8" w:color="auto"/>
            </w:tcBorders>
          </w:tcPr>
          <w:p>
            <w:pPr>
              <w:jc w:val="right"/>
              <w:ind w:right="151"/>
              <w:spacing w:after="0" w:line="155" w:lineRule="exact"/>
              <w:rPr>
                <w:sz w:val="20"/>
                <w:szCs w:val="20"/>
                <w:color w:val="auto"/>
              </w:rPr>
            </w:pPr>
            <w:r>
              <w:rPr>
                <w:rFonts w:ascii="Arial" w:cs="Arial" w:eastAsia="Arial" w:hAnsi="Arial"/>
                <w:sz w:val="14"/>
                <w:szCs w:val="14"/>
                <w:color w:val="auto"/>
              </w:rPr>
              <w:t>44,562</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4640" w:type="dxa"/>
            <w:vAlign w:val="bottom"/>
            <w:shd w:val="clear" w:color="auto" w:fill="333333"/>
          </w:tcPr>
          <w:p>
            <w:pPr>
              <w:ind w:left="80"/>
              <w:spacing w:after="0"/>
              <w:rPr>
                <w:sz w:val="20"/>
                <w:szCs w:val="20"/>
                <w:color w:val="auto"/>
              </w:rPr>
            </w:pPr>
            <w:r>
              <w:rPr>
                <w:rFonts w:ascii="Arial" w:cs="Arial" w:eastAsia="Arial" w:hAnsi="Arial"/>
                <w:sz w:val="15"/>
                <w:szCs w:val="15"/>
                <w:b w:val="1"/>
                <w:bCs w:val="1"/>
                <w:color w:val="FFFFFF"/>
              </w:rPr>
              <w:t>NET DEBT</w:t>
            </w:r>
          </w:p>
        </w:tc>
        <w:tc>
          <w:tcPr>
            <w:tcW w:w="2600" w:type="dxa"/>
            <w:vAlign w:val="bottom"/>
            <w:shd w:val="clear" w:color="auto" w:fill="333333"/>
          </w:tcPr>
          <w:p>
            <w:pPr>
              <w:spacing w:after="0"/>
              <w:rPr>
                <w:sz w:val="14"/>
                <w:szCs w:val="14"/>
                <w:color w:val="auto"/>
              </w:rPr>
            </w:pPr>
          </w:p>
        </w:tc>
        <w:tc>
          <w:tcPr>
            <w:tcW w:w="1540" w:type="dxa"/>
            <w:vAlign w:val="bottom"/>
            <w:shd w:val="clear" w:color="auto" w:fill="333333"/>
          </w:tcPr>
          <w:p>
            <w:pPr>
              <w:spacing w:after="0"/>
              <w:rPr>
                <w:sz w:val="14"/>
                <w:szCs w:val="14"/>
                <w:color w:val="auto"/>
              </w:rPr>
            </w:pPr>
          </w:p>
        </w:tc>
        <w:tc>
          <w:tcPr>
            <w:tcW w:w="1540" w:type="dxa"/>
            <w:vAlign w:val="bottom"/>
            <w:shd w:val="clear" w:color="auto" w:fill="333333"/>
          </w:tcPr>
          <w:p>
            <w:pPr>
              <w:spacing w:after="0"/>
              <w:rPr>
                <w:sz w:val="14"/>
                <w:szCs w:val="14"/>
                <w:color w:val="auto"/>
              </w:rPr>
            </w:pPr>
          </w:p>
        </w:tc>
        <w:tc>
          <w:tcPr>
            <w:tcW w:w="1100" w:type="dxa"/>
            <w:vAlign w:val="bottom"/>
            <w:shd w:val="clear" w:color="auto" w:fill="333333"/>
          </w:tcPr>
          <w:p>
            <w:pPr>
              <w:jc w:val="right"/>
              <w:ind w:right="68"/>
              <w:spacing w:after="0"/>
              <w:rPr>
                <w:sz w:val="20"/>
                <w:szCs w:val="20"/>
                <w:color w:val="auto"/>
              </w:rPr>
            </w:pPr>
            <w:r>
              <w:rPr>
                <w:rFonts w:ascii="Arial" w:cs="Arial" w:eastAsia="Arial" w:hAnsi="Arial"/>
                <w:sz w:val="15"/>
                <w:szCs w:val="15"/>
                <w:color w:val="FFFFFF"/>
              </w:rPr>
              <w:t>$ MILLION</w:t>
            </w:r>
          </w:p>
        </w:tc>
      </w:tr>
      <w:tr>
        <w:trPr>
          <w:trHeight w:val="129"/>
        </w:trPr>
        <w:tc>
          <w:tcPr>
            <w:tcW w:w="464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540" w:type="dxa"/>
            <w:vAlign w:val="bottom"/>
          </w:tcPr>
          <w:p>
            <w:pPr>
              <w:spacing w:after="0"/>
              <w:rPr>
                <w:sz w:val="11"/>
                <w:szCs w:val="11"/>
                <w:color w:val="auto"/>
              </w:rPr>
            </w:pPr>
          </w:p>
        </w:tc>
        <w:tc>
          <w:tcPr>
            <w:tcW w:w="1540" w:type="dxa"/>
            <w:vAlign w:val="bottom"/>
          </w:tcPr>
          <w:p>
            <w:pPr>
              <w:jc w:val="right"/>
              <w:ind w:right="210"/>
              <w:spacing w:after="0" w:line="129" w:lineRule="exact"/>
              <w:rPr>
                <w:sz w:val="20"/>
                <w:szCs w:val="20"/>
                <w:color w:val="auto"/>
              </w:rPr>
            </w:pPr>
            <w:r>
              <w:rPr>
                <w:rFonts w:ascii="Arial" w:cs="Arial" w:eastAsia="Arial" w:hAnsi="Arial"/>
                <w:sz w:val="13"/>
                <w:szCs w:val="13"/>
                <w:color w:val="auto"/>
              </w:rPr>
              <w:t>Cash and cash</w:t>
            </w:r>
          </w:p>
        </w:tc>
        <w:tc>
          <w:tcPr>
            <w:tcW w:w="1100" w:type="dxa"/>
            <w:vAlign w:val="bottom"/>
          </w:tcPr>
          <w:p>
            <w:pPr>
              <w:spacing w:after="0"/>
              <w:rPr>
                <w:sz w:val="11"/>
                <w:szCs w:val="11"/>
                <w:color w:val="auto"/>
              </w:rPr>
            </w:pPr>
          </w:p>
        </w:tc>
      </w:tr>
      <w:tr>
        <w:trPr>
          <w:trHeight w:val="135"/>
        </w:trPr>
        <w:tc>
          <w:tcPr>
            <w:tcW w:w="4640" w:type="dxa"/>
            <w:vAlign w:val="bottom"/>
          </w:tcPr>
          <w:p>
            <w:pPr>
              <w:spacing w:after="0"/>
              <w:rPr>
                <w:sz w:val="11"/>
                <w:szCs w:val="11"/>
                <w:color w:val="auto"/>
              </w:rPr>
            </w:pPr>
          </w:p>
        </w:tc>
        <w:tc>
          <w:tcPr>
            <w:tcW w:w="2600" w:type="dxa"/>
            <w:vAlign w:val="bottom"/>
          </w:tcPr>
          <w:p>
            <w:pPr>
              <w:jc w:val="right"/>
              <w:ind w:right="389"/>
              <w:spacing w:after="0" w:line="135" w:lineRule="exact"/>
              <w:rPr>
                <w:sz w:val="20"/>
                <w:szCs w:val="20"/>
                <w:color w:val="auto"/>
              </w:rPr>
            </w:pPr>
            <w:r>
              <w:rPr>
                <w:rFonts w:ascii="Arial" w:cs="Arial" w:eastAsia="Arial" w:hAnsi="Arial"/>
                <w:sz w:val="13"/>
                <w:szCs w:val="13"/>
                <w:color w:val="auto"/>
              </w:rPr>
              <w:t>Current</w:t>
            </w:r>
          </w:p>
        </w:tc>
        <w:tc>
          <w:tcPr>
            <w:tcW w:w="1540" w:type="dxa"/>
            <w:vAlign w:val="bottom"/>
          </w:tcPr>
          <w:p>
            <w:pPr>
              <w:jc w:val="right"/>
              <w:ind w:right="389"/>
              <w:spacing w:after="0" w:line="135" w:lineRule="exact"/>
              <w:rPr>
                <w:sz w:val="20"/>
                <w:szCs w:val="20"/>
                <w:color w:val="auto"/>
              </w:rPr>
            </w:pPr>
            <w:r>
              <w:rPr>
                <w:rFonts w:ascii="Arial" w:cs="Arial" w:eastAsia="Arial" w:hAnsi="Arial"/>
                <w:sz w:val="13"/>
                <w:szCs w:val="13"/>
                <w:color w:val="auto"/>
              </w:rPr>
              <w:t>Non-current</w:t>
            </w:r>
          </w:p>
        </w:tc>
        <w:tc>
          <w:tcPr>
            <w:tcW w:w="1540" w:type="dxa"/>
            <w:vAlign w:val="bottom"/>
          </w:tcPr>
          <w:p>
            <w:pPr>
              <w:jc w:val="right"/>
              <w:ind w:right="210"/>
              <w:spacing w:after="0" w:line="135" w:lineRule="exact"/>
              <w:rPr>
                <w:sz w:val="20"/>
                <w:szCs w:val="20"/>
                <w:color w:val="auto"/>
              </w:rPr>
            </w:pPr>
            <w:r>
              <w:rPr>
                <w:rFonts w:ascii="Arial" w:cs="Arial" w:eastAsia="Arial" w:hAnsi="Arial"/>
                <w:sz w:val="13"/>
                <w:szCs w:val="13"/>
                <w:color w:val="auto"/>
              </w:rPr>
              <w:t>equivalents</w:t>
            </w:r>
          </w:p>
        </w:tc>
        <w:tc>
          <w:tcPr>
            <w:tcW w:w="1100" w:type="dxa"/>
            <w:vAlign w:val="bottom"/>
          </w:tcPr>
          <w:p>
            <w:pPr>
              <w:spacing w:after="0"/>
              <w:rPr>
                <w:sz w:val="11"/>
                <w:szCs w:val="11"/>
                <w:color w:val="auto"/>
              </w:rPr>
            </w:pPr>
          </w:p>
        </w:tc>
      </w:tr>
      <w:tr>
        <w:trPr>
          <w:trHeight w:val="155"/>
        </w:trPr>
        <w:tc>
          <w:tcPr>
            <w:tcW w:w="4640" w:type="dxa"/>
            <w:vAlign w:val="bottom"/>
            <w:tcBorders>
              <w:bottom w:val="single" w:sz="8" w:color="auto"/>
            </w:tcBorders>
          </w:tcPr>
          <w:p>
            <w:pPr>
              <w:spacing w:after="0"/>
              <w:rPr>
                <w:sz w:val="13"/>
                <w:szCs w:val="13"/>
                <w:color w:val="auto"/>
              </w:rPr>
            </w:pPr>
          </w:p>
        </w:tc>
        <w:tc>
          <w:tcPr>
            <w:tcW w:w="2600" w:type="dxa"/>
            <w:vAlign w:val="bottom"/>
            <w:tcBorders>
              <w:bottom w:val="single" w:sz="8" w:color="auto"/>
            </w:tcBorders>
          </w:tcPr>
          <w:p>
            <w:pPr>
              <w:jc w:val="right"/>
              <w:ind w:right="389"/>
              <w:spacing w:after="0"/>
              <w:rPr>
                <w:sz w:val="20"/>
                <w:szCs w:val="20"/>
                <w:color w:val="auto"/>
              </w:rPr>
            </w:pPr>
            <w:r>
              <w:rPr>
                <w:rFonts w:ascii="Arial" w:cs="Arial" w:eastAsia="Arial" w:hAnsi="Arial"/>
                <w:sz w:val="13"/>
                <w:szCs w:val="13"/>
                <w:color w:val="auto"/>
              </w:rPr>
              <w:t>debt</w:t>
            </w:r>
          </w:p>
        </w:tc>
        <w:tc>
          <w:tcPr>
            <w:tcW w:w="1540" w:type="dxa"/>
            <w:vAlign w:val="bottom"/>
            <w:tcBorders>
              <w:bottom w:val="single" w:sz="8" w:color="auto"/>
            </w:tcBorders>
          </w:tcPr>
          <w:p>
            <w:pPr>
              <w:jc w:val="right"/>
              <w:ind w:right="389"/>
              <w:spacing w:after="0"/>
              <w:rPr>
                <w:sz w:val="20"/>
                <w:szCs w:val="20"/>
                <w:color w:val="auto"/>
              </w:rPr>
            </w:pPr>
            <w:r>
              <w:rPr>
                <w:rFonts w:ascii="Arial" w:cs="Arial" w:eastAsia="Arial" w:hAnsi="Arial"/>
                <w:sz w:val="13"/>
                <w:szCs w:val="13"/>
                <w:color w:val="auto"/>
              </w:rPr>
              <w:t>debt</w:t>
            </w:r>
          </w:p>
        </w:tc>
        <w:tc>
          <w:tcPr>
            <w:tcW w:w="1540" w:type="dxa"/>
            <w:vAlign w:val="bottom"/>
            <w:tcBorders>
              <w:bottom w:val="single" w:sz="8" w:color="auto"/>
            </w:tcBorders>
          </w:tcPr>
          <w:p>
            <w:pPr>
              <w:jc w:val="right"/>
              <w:ind w:right="210"/>
              <w:spacing w:after="0"/>
              <w:rPr>
                <w:sz w:val="20"/>
                <w:szCs w:val="20"/>
                <w:color w:val="auto"/>
              </w:rPr>
            </w:pPr>
            <w:r>
              <w:rPr>
                <w:rFonts w:ascii="Arial" w:cs="Arial" w:eastAsia="Arial" w:hAnsi="Arial"/>
                <w:sz w:val="13"/>
                <w:szCs w:val="13"/>
                <w:color w:val="auto"/>
              </w:rPr>
              <w:t>(see Note 13)</w:t>
            </w:r>
          </w:p>
        </w:tc>
        <w:tc>
          <w:tcPr>
            <w:tcW w:w="1100" w:type="dxa"/>
            <w:vAlign w:val="bottom"/>
            <w:tcBorders>
              <w:bottom w:val="single" w:sz="8" w:color="auto"/>
            </w:tcBorders>
          </w:tcPr>
          <w:p>
            <w:pPr>
              <w:jc w:val="right"/>
              <w:ind w:right="268"/>
              <w:spacing w:after="0"/>
              <w:rPr>
                <w:sz w:val="20"/>
                <w:szCs w:val="20"/>
                <w:color w:val="auto"/>
              </w:rPr>
            </w:pPr>
            <w:r>
              <w:rPr>
                <w:rFonts w:ascii="Arial" w:cs="Arial" w:eastAsia="Arial" w:hAnsi="Arial"/>
                <w:sz w:val="13"/>
                <w:szCs w:val="13"/>
                <w:color w:val="auto"/>
              </w:rPr>
              <w:t>Net debt</w:t>
            </w:r>
          </w:p>
        </w:tc>
      </w:tr>
      <w:tr>
        <w:trPr>
          <w:trHeight w:val="160"/>
        </w:trPr>
        <w:tc>
          <w:tcPr>
            <w:tcW w:w="4640" w:type="dxa"/>
            <w:vAlign w:val="bottom"/>
          </w:tcPr>
          <w:p>
            <w:pPr>
              <w:spacing w:after="0"/>
              <w:rPr>
                <w:sz w:val="20"/>
                <w:szCs w:val="20"/>
                <w:color w:val="auto"/>
              </w:rPr>
            </w:pPr>
            <w:r>
              <w:rPr>
                <w:rFonts w:ascii="Arial" w:cs="Arial" w:eastAsia="Arial" w:hAnsi="Arial"/>
                <w:sz w:val="14"/>
                <w:szCs w:val="14"/>
                <w:color w:val="auto"/>
              </w:rPr>
              <w:t>At January 1, 2014</w:t>
            </w:r>
          </w:p>
        </w:tc>
        <w:tc>
          <w:tcPr>
            <w:tcW w:w="2600" w:type="dxa"/>
            <w:vAlign w:val="bottom"/>
          </w:tcPr>
          <w:p>
            <w:pPr>
              <w:jc w:val="right"/>
              <w:ind w:right="349"/>
              <w:spacing w:after="0"/>
              <w:rPr>
                <w:sz w:val="20"/>
                <w:szCs w:val="20"/>
                <w:color w:val="auto"/>
              </w:rPr>
            </w:pPr>
            <w:r>
              <w:rPr>
                <w:rFonts w:ascii="Arial" w:cs="Arial" w:eastAsia="Arial" w:hAnsi="Arial"/>
                <w:sz w:val="14"/>
                <w:szCs w:val="14"/>
                <w:color w:val="auto"/>
              </w:rPr>
              <w:t>(8,344)</w:t>
            </w:r>
          </w:p>
        </w:tc>
        <w:tc>
          <w:tcPr>
            <w:tcW w:w="1540" w:type="dxa"/>
            <w:vAlign w:val="bottom"/>
          </w:tcPr>
          <w:p>
            <w:pPr>
              <w:jc w:val="right"/>
              <w:ind w:right="349"/>
              <w:spacing w:after="0"/>
              <w:rPr>
                <w:sz w:val="20"/>
                <w:szCs w:val="20"/>
                <w:color w:val="auto"/>
              </w:rPr>
            </w:pPr>
            <w:r>
              <w:rPr>
                <w:rFonts w:ascii="Arial" w:cs="Arial" w:eastAsia="Arial" w:hAnsi="Arial"/>
                <w:sz w:val="14"/>
                <w:szCs w:val="14"/>
                <w:color w:val="auto"/>
              </w:rPr>
              <w:t>(36,218)</w:t>
            </w:r>
          </w:p>
        </w:tc>
        <w:tc>
          <w:tcPr>
            <w:tcW w:w="1540" w:type="dxa"/>
            <w:vAlign w:val="bottom"/>
          </w:tcPr>
          <w:p>
            <w:pPr>
              <w:jc w:val="right"/>
              <w:ind w:right="210"/>
              <w:spacing w:after="0"/>
              <w:rPr>
                <w:sz w:val="20"/>
                <w:szCs w:val="20"/>
                <w:color w:val="auto"/>
              </w:rPr>
            </w:pPr>
            <w:r>
              <w:rPr>
                <w:rFonts w:ascii="Arial" w:cs="Arial" w:eastAsia="Arial" w:hAnsi="Arial"/>
                <w:sz w:val="14"/>
                <w:szCs w:val="14"/>
                <w:color w:val="auto"/>
              </w:rPr>
              <w:t>9,696</w:t>
            </w:r>
          </w:p>
        </w:tc>
        <w:tc>
          <w:tcPr>
            <w:tcW w:w="1100" w:type="dxa"/>
            <w:vAlign w:val="bottom"/>
          </w:tcPr>
          <w:p>
            <w:pPr>
              <w:jc w:val="right"/>
              <w:ind w:right="208"/>
              <w:spacing w:after="0"/>
              <w:rPr>
                <w:sz w:val="20"/>
                <w:szCs w:val="20"/>
                <w:color w:val="auto"/>
              </w:rPr>
            </w:pPr>
            <w:r>
              <w:rPr>
                <w:rFonts w:ascii="Arial" w:cs="Arial" w:eastAsia="Arial" w:hAnsi="Arial"/>
                <w:sz w:val="14"/>
                <w:szCs w:val="14"/>
                <w:color w:val="auto"/>
              </w:rPr>
              <w:t>(34,866)</w:t>
            </w:r>
          </w:p>
        </w:tc>
      </w:tr>
      <w:tr>
        <w:trPr>
          <w:trHeight w:val="162"/>
        </w:trPr>
        <w:tc>
          <w:tcPr>
            <w:tcW w:w="4640" w:type="dxa"/>
            <w:vAlign w:val="bottom"/>
          </w:tcPr>
          <w:p>
            <w:pPr>
              <w:spacing w:after="0"/>
              <w:rPr>
                <w:sz w:val="20"/>
                <w:szCs w:val="20"/>
                <w:color w:val="auto"/>
              </w:rPr>
            </w:pPr>
            <w:r>
              <w:rPr>
                <w:rFonts w:ascii="Arial" w:cs="Arial" w:eastAsia="Arial" w:hAnsi="Arial"/>
                <w:sz w:val="14"/>
                <w:szCs w:val="14"/>
                <w:color w:val="auto"/>
              </w:rPr>
              <w:t>Cash flow</w:t>
            </w:r>
          </w:p>
        </w:tc>
        <w:tc>
          <w:tcPr>
            <w:tcW w:w="2600" w:type="dxa"/>
            <w:vAlign w:val="bottom"/>
          </w:tcPr>
          <w:p>
            <w:pPr>
              <w:jc w:val="right"/>
              <w:ind w:right="389"/>
              <w:spacing w:after="0"/>
              <w:rPr>
                <w:sz w:val="20"/>
                <w:szCs w:val="20"/>
                <w:color w:val="auto"/>
              </w:rPr>
            </w:pPr>
            <w:r>
              <w:rPr>
                <w:rFonts w:ascii="Arial" w:cs="Arial" w:eastAsia="Arial" w:hAnsi="Arial"/>
                <w:sz w:val="14"/>
                <w:szCs w:val="14"/>
                <w:color w:val="auto"/>
              </w:rPr>
              <w:t>6,518</w:t>
            </w:r>
          </w:p>
        </w:tc>
        <w:tc>
          <w:tcPr>
            <w:tcW w:w="1540" w:type="dxa"/>
            <w:vAlign w:val="bottom"/>
          </w:tcPr>
          <w:p>
            <w:pPr>
              <w:jc w:val="right"/>
              <w:ind w:right="349"/>
              <w:spacing w:after="0"/>
              <w:rPr>
                <w:sz w:val="20"/>
                <w:szCs w:val="20"/>
                <w:color w:val="auto"/>
              </w:rPr>
            </w:pPr>
            <w:r>
              <w:rPr>
                <w:rFonts w:ascii="Arial" w:cs="Arial" w:eastAsia="Arial" w:hAnsi="Arial"/>
                <w:sz w:val="14"/>
                <w:szCs w:val="14"/>
                <w:color w:val="auto"/>
              </w:rPr>
              <w:t>(6,875)</w:t>
            </w:r>
          </w:p>
        </w:tc>
        <w:tc>
          <w:tcPr>
            <w:tcW w:w="1540" w:type="dxa"/>
            <w:vAlign w:val="bottom"/>
          </w:tcPr>
          <w:p>
            <w:pPr>
              <w:jc w:val="right"/>
              <w:ind w:right="210"/>
              <w:spacing w:after="0"/>
              <w:rPr>
                <w:sz w:val="20"/>
                <w:szCs w:val="20"/>
                <w:color w:val="auto"/>
              </w:rPr>
            </w:pPr>
            <w:r>
              <w:rPr>
                <w:rFonts w:ascii="Arial" w:cs="Arial" w:eastAsia="Arial" w:hAnsi="Arial"/>
                <w:sz w:val="14"/>
                <w:szCs w:val="14"/>
                <w:color w:val="auto"/>
              </w:rPr>
              <w:t>12,597</w:t>
            </w:r>
          </w:p>
        </w:tc>
        <w:tc>
          <w:tcPr>
            <w:tcW w:w="1100" w:type="dxa"/>
            <w:vAlign w:val="bottom"/>
          </w:tcPr>
          <w:p>
            <w:pPr>
              <w:jc w:val="right"/>
              <w:ind w:right="268"/>
              <w:spacing w:after="0"/>
              <w:rPr>
                <w:sz w:val="20"/>
                <w:szCs w:val="20"/>
                <w:color w:val="auto"/>
              </w:rPr>
            </w:pPr>
            <w:r>
              <w:rPr>
                <w:rFonts w:ascii="Arial" w:cs="Arial" w:eastAsia="Arial" w:hAnsi="Arial"/>
                <w:sz w:val="14"/>
                <w:szCs w:val="14"/>
                <w:color w:val="auto"/>
              </w:rPr>
              <w:t>12,240</w:t>
            </w:r>
          </w:p>
        </w:tc>
      </w:tr>
      <w:tr>
        <w:trPr>
          <w:trHeight w:val="162"/>
        </w:trPr>
        <w:tc>
          <w:tcPr>
            <w:tcW w:w="4640" w:type="dxa"/>
            <w:vAlign w:val="bottom"/>
          </w:tcPr>
          <w:p>
            <w:pPr>
              <w:spacing w:after="0"/>
              <w:rPr>
                <w:sz w:val="20"/>
                <w:szCs w:val="20"/>
                <w:color w:val="auto"/>
              </w:rPr>
            </w:pPr>
            <w:r>
              <w:rPr>
                <w:rFonts w:ascii="Arial" w:cs="Arial" w:eastAsia="Arial" w:hAnsi="Arial"/>
                <w:sz w:val="14"/>
                <w:szCs w:val="14"/>
                <w:color w:val="auto"/>
              </w:rPr>
              <w:t>Other movements</w:t>
            </w:r>
          </w:p>
        </w:tc>
        <w:tc>
          <w:tcPr>
            <w:tcW w:w="2600" w:type="dxa"/>
            <w:vAlign w:val="bottom"/>
          </w:tcPr>
          <w:p>
            <w:pPr>
              <w:jc w:val="right"/>
              <w:ind w:right="349"/>
              <w:spacing w:after="0"/>
              <w:rPr>
                <w:sz w:val="20"/>
                <w:szCs w:val="20"/>
                <w:color w:val="auto"/>
              </w:rPr>
            </w:pPr>
            <w:r>
              <w:rPr>
                <w:rFonts w:ascii="Arial" w:cs="Arial" w:eastAsia="Arial" w:hAnsi="Arial"/>
                <w:sz w:val="14"/>
                <w:szCs w:val="14"/>
                <w:color w:val="auto"/>
              </w:rPr>
              <w:t>(5,472)</w:t>
            </w:r>
          </w:p>
        </w:tc>
        <w:tc>
          <w:tcPr>
            <w:tcW w:w="1540" w:type="dxa"/>
            <w:vAlign w:val="bottom"/>
          </w:tcPr>
          <w:p>
            <w:pPr>
              <w:jc w:val="right"/>
              <w:ind w:right="389"/>
              <w:spacing w:after="0"/>
              <w:rPr>
                <w:sz w:val="20"/>
                <w:szCs w:val="20"/>
                <w:color w:val="auto"/>
              </w:rPr>
            </w:pPr>
            <w:r>
              <w:rPr>
                <w:rFonts w:ascii="Arial" w:cs="Arial" w:eastAsia="Arial" w:hAnsi="Arial"/>
                <w:sz w:val="14"/>
                <w:szCs w:val="14"/>
                <w:color w:val="auto"/>
              </w:rPr>
              <w:t>4,634</w:t>
            </w:r>
          </w:p>
        </w:tc>
        <w:tc>
          <w:tcPr>
            <w:tcW w:w="1540" w:type="dxa"/>
            <w:vAlign w:val="bottom"/>
          </w:tcPr>
          <w:p>
            <w:pPr>
              <w:jc w:val="right"/>
              <w:ind w:right="210"/>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208"/>
              <w:spacing w:after="0"/>
              <w:rPr>
                <w:sz w:val="20"/>
                <w:szCs w:val="20"/>
                <w:color w:val="auto"/>
              </w:rPr>
            </w:pPr>
            <w:r>
              <w:rPr>
                <w:rFonts w:ascii="Arial" w:cs="Arial" w:eastAsia="Arial" w:hAnsi="Arial"/>
                <w:sz w:val="14"/>
                <w:szCs w:val="14"/>
                <w:color w:val="auto"/>
              </w:rPr>
              <w:t>(838)</w:t>
            </w:r>
          </w:p>
        </w:tc>
      </w:tr>
      <w:tr>
        <w:trPr>
          <w:trHeight w:val="157"/>
        </w:trPr>
        <w:tc>
          <w:tcPr>
            <w:tcW w:w="4640" w:type="dxa"/>
            <w:vAlign w:val="bottom"/>
            <w:tcBorders>
              <w:bottom w:val="single" w:sz="8" w:color="auto"/>
            </w:tcBorders>
          </w:tcPr>
          <w:p>
            <w:pPr>
              <w:spacing w:after="0" w:line="157" w:lineRule="exact"/>
              <w:rPr>
                <w:sz w:val="20"/>
                <w:szCs w:val="20"/>
                <w:color w:val="auto"/>
              </w:rPr>
            </w:pPr>
            <w:r>
              <w:rPr>
                <w:rFonts w:ascii="Arial" w:cs="Arial" w:eastAsia="Arial" w:hAnsi="Arial"/>
                <w:sz w:val="14"/>
                <w:szCs w:val="14"/>
                <w:color w:val="auto"/>
              </w:rPr>
              <w:t>Currency translation differences</w:t>
            </w:r>
          </w:p>
        </w:tc>
        <w:tc>
          <w:tcPr>
            <w:tcW w:w="2600" w:type="dxa"/>
            <w:vAlign w:val="bottom"/>
            <w:tcBorders>
              <w:bottom w:val="single" w:sz="8" w:color="auto"/>
            </w:tcBorders>
          </w:tcPr>
          <w:p>
            <w:pPr>
              <w:jc w:val="right"/>
              <w:ind w:right="389"/>
              <w:spacing w:after="0" w:line="157" w:lineRule="exact"/>
              <w:rPr>
                <w:sz w:val="20"/>
                <w:szCs w:val="20"/>
                <w:color w:val="auto"/>
              </w:rPr>
            </w:pPr>
            <w:r>
              <w:rPr>
                <w:rFonts w:ascii="Arial" w:cs="Arial" w:eastAsia="Arial" w:hAnsi="Arial"/>
                <w:sz w:val="14"/>
                <w:szCs w:val="14"/>
                <w:color w:val="auto"/>
              </w:rPr>
              <w:t>90</w:t>
            </w:r>
          </w:p>
        </w:tc>
        <w:tc>
          <w:tcPr>
            <w:tcW w:w="1540" w:type="dxa"/>
            <w:vAlign w:val="bottom"/>
            <w:tcBorders>
              <w:bottom w:val="single" w:sz="8" w:color="auto"/>
            </w:tcBorders>
          </w:tcPr>
          <w:p>
            <w:pPr>
              <w:jc w:val="right"/>
              <w:ind w:right="389"/>
              <w:spacing w:after="0" w:line="157" w:lineRule="exact"/>
              <w:rPr>
                <w:sz w:val="20"/>
                <w:szCs w:val="20"/>
                <w:color w:val="auto"/>
              </w:rPr>
            </w:pPr>
            <w:r>
              <w:rPr>
                <w:rFonts w:ascii="Arial" w:cs="Arial" w:eastAsia="Arial" w:hAnsi="Arial"/>
                <w:sz w:val="14"/>
                <w:szCs w:val="14"/>
                <w:color w:val="auto"/>
              </w:rPr>
              <w:t>127</w:t>
            </w:r>
          </w:p>
        </w:tc>
        <w:tc>
          <w:tcPr>
            <w:tcW w:w="1540" w:type="dxa"/>
            <w:vAlign w:val="bottom"/>
            <w:tcBorders>
              <w:bottom w:val="single" w:sz="8" w:color="auto"/>
            </w:tcBorders>
          </w:tcPr>
          <w:p>
            <w:pPr>
              <w:jc w:val="right"/>
              <w:ind w:right="150"/>
              <w:spacing w:after="0" w:line="157" w:lineRule="exact"/>
              <w:rPr>
                <w:sz w:val="20"/>
                <w:szCs w:val="20"/>
                <w:color w:val="auto"/>
              </w:rPr>
            </w:pPr>
            <w:r>
              <w:rPr>
                <w:rFonts w:ascii="Arial" w:cs="Arial" w:eastAsia="Arial" w:hAnsi="Arial"/>
                <w:sz w:val="14"/>
                <w:szCs w:val="14"/>
                <w:color w:val="auto"/>
              </w:rPr>
              <w:t>(686)</w:t>
            </w:r>
          </w:p>
        </w:tc>
        <w:tc>
          <w:tcPr>
            <w:tcW w:w="1100" w:type="dxa"/>
            <w:vAlign w:val="bottom"/>
            <w:tcBorders>
              <w:bottom w:val="single" w:sz="8" w:color="auto"/>
            </w:tcBorders>
          </w:tcPr>
          <w:p>
            <w:pPr>
              <w:jc w:val="right"/>
              <w:ind w:right="208"/>
              <w:spacing w:after="0" w:line="157" w:lineRule="exact"/>
              <w:rPr>
                <w:sz w:val="20"/>
                <w:szCs w:val="20"/>
                <w:color w:val="auto"/>
              </w:rPr>
            </w:pPr>
            <w:r>
              <w:rPr>
                <w:rFonts w:ascii="Arial" w:cs="Arial" w:eastAsia="Arial" w:hAnsi="Arial"/>
                <w:sz w:val="14"/>
                <w:szCs w:val="14"/>
                <w:color w:val="auto"/>
              </w:rPr>
              <w:t>(469)</w:t>
            </w:r>
          </w:p>
        </w:tc>
      </w:tr>
      <w:tr>
        <w:trPr>
          <w:trHeight w:val="156"/>
        </w:trPr>
        <w:tc>
          <w:tcPr>
            <w:tcW w:w="4640" w:type="dxa"/>
            <w:vAlign w:val="bottom"/>
            <w:tcBorders>
              <w:bottom w:val="single" w:sz="8" w:color="auto"/>
            </w:tcBorders>
          </w:tcPr>
          <w:p>
            <w:pPr>
              <w:spacing w:after="0" w:line="155" w:lineRule="exact"/>
              <w:rPr>
                <w:sz w:val="20"/>
                <w:szCs w:val="20"/>
                <w:color w:val="auto"/>
              </w:rPr>
            </w:pPr>
            <w:r>
              <w:rPr>
                <w:rFonts w:ascii="Arial" w:cs="Arial" w:eastAsia="Arial" w:hAnsi="Arial"/>
                <w:sz w:val="14"/>
                <w:szCs w:val="14"/>
                <w:color w:val="auto"/>
              </w:rPr>
              <w:t>At December 31, 2014</w:t>
            </w:r>
          </w:p>
        </w:tc>
        <w:tc>
          <w:tcPr>
            <w:tcW w:w="2600" w:type="dxa"/>
            <w:vAlign w:val="bottom"/>
            <w:tcBorders>
              <w:bottom w:val="single" w:sz="8" w:color="auto"/>
            </w:tcBorders>
          </w:tcPr>
          <w:p>
            <w:pPr>
              <w:jc w:val="right"/>
              <w:ind w:right="349"/>
              <w:spacing w:after="0" w:line="155" w:lineRule="exact"/>
              <w:rPr>
                <w:sz w:val="20"/>
                <w:szCs w:val="20"/>
                <w:color w:val="auto"/>
              </w:rPr>
            </w:pPr>
            <w:r>
              <w:rPr>
                <w:rFonts w:ascii="Arial" w:cs="Arial" w:eastAsia="Arial" w:hAnsi="Arial"/>
                <w:sz w:val="14"/>
                <w:szCs w:val="14"/>
                <w:color w:val="auto"/>
              </w:rPr>
              <w:t>(7,208)</w:t>
            </w:r>
          </w:p>
        </w:tc>
        <w:tc>
          <w:tcPr>
            <w:tcW w:w="1540" w:type="dxa"/>
            <w:vAlign w:val="bottom"/>
            <w:tcBorders>
              <w:bottom w:val="single" w:sz="8" w:color="auto"/>
            </w:tcBorders>
          </w:tcPr>
          <w:p>
            <w:pPr>
              <w:jc w:val="right"/>
              <w:ind w:right="349"/>
              <w:spacing w:after="0" w:line="155" w:lineRule="exact"/>
              <w:rPr>
                <w:sz w:val="20"/>
                <w:szCs w:val="20"/>
                <w:color w:val="auto"/>
              </w:rPr>
            </w:pPr>
            <w:r>
              <w:rPr>
                <w:rFonts w:ascii="Arial" w:cs="Arial" w:eastAsia="Arial" w:hAnsi="Arial"/>
                <w:sz w:val="14"/>
                <w:szCs w:val="14"/>
                <w:color w:val="auto"/>
              </w:rPr>
              <w:t>(38,332)</w:t>
            </w:r>
          </w:p>
        </w:tc>
        <w:tc>
          <w:tcPr>
            <w:tcW w:w="1540" w:type="dxa"/>
            <w:vAlign w:val="bottom"/>
            <w:tcBorders>
              <w:bottom w:val="single" w:sz="8" w:color="auto"/>
            </w:tcBorders>
          </w:tcPr>
          <w:p>
            <w:pPr>
              <w:jc w:val="right"/>
              <w:ind w:right="210"/>
              <w:spacing w:after="0" w:line="155" w:lineRule="exact"/>
              <w:rPr>
                <w:sz w:val="20"/>
                <w:szCs w:val="20"/>
                <w:color w:val="auto"/>
              </w:rPr>
            </w:pPr>
            <w:r>
              <w:rPr>
                <w:rFonts w:ascii="Arial" w:cs="Arial" w:eastAsia="Arial" w:hAnsi="Arial"/>
                <w:sz w:val="14"/>
                <w:szCs w:val="14"/>
                <w:color w:val="auto"/>
              </w:rPr>
              <w:t>21,607</w:t>
            </w:r>
          </w:p>
        </w:tc>
        <w:tc>
          <w:tcPr>
            <w:tcW w:w="1100" w:type="dxa"/>
            <w:vAlign w:val="bottom"/>
            <w:tcBorders>
              <w:bottom w:val="single" w:sz="8" w:color="auto"/>
            </w:tcBorders>
          </w:tcPr>
          <w:p>
            <w:pPr>
              <w:jc w:val="right"/>
              <w:ind w:right="208"/>
              <w:spacing w:after="0" w:line="155" w:lineRule="exact"/>
              <w:rPr>
                <w:sz w:val="20"/>
                <w:szCs w:val="20"/>
                <w:color w:val="auto"/>
              </w:rPr>
            </w:pPr>
            <w:r>
              <w:rPr>
                <w:rFonts w:ascii="Arial" w:cs="Arial" w:eastAsia="Arial" w:hAnsi="Arial"/>
                <w:sz w:val="14"/>
                <w:szCs w:val="14"/>
                <w:color w:val="auto"/>
              </w:rPr>
              <w:t>(23,933)</w:t>
            </w:r>
          </w:p>
        </w:tc>
      </w:tr>
      <w:tr>
        <w:trPr>
          <w:trHeight w:val="160"/>
        </w:trPr>
        <w:tc>
          <w:tcPr>
            <w:tcW w:w="4640" w:type="dxa"/>
            <w:vAlign w:val="bottom"/>
          </w:tcPr>
          <w:p>
            <w:pPr>
              <w:spacing w:after="0"/>
              <w:rPr>
                <w:sz w:val="20"/>
                <w:szCs w:val="20"/>
                <w:color w:val="auto"/>
              </w:rPr>
            </w:pPr>
            <w:r>
              <w:rPr>
                <w:rFonts w:ascii="Arial" w:cs="Arial" w:eastAsia="Arial" w:hAnsi="Arial"/>
                <w:sz w:val="14"/>
                <w:szCs w:val="14"/>
                <w:color w:val="auto"/>
              </w:rPr>
              <w:t>At January 1, 2013</w:t>
            </w:r>
          </w:p>
        </w:tc>
        <w:tc>
          <w:tcPr>
            <w:tcW w:w="2600" w:type="dxa"/>
            <w:vAlign w:val="bottom"/>
          </w:tcPr>
          <w:p>
            <w:pPr>
              <w:jc w:val="right"/>
              <w:ind w:right="349"/>
              <w:spacing w:after="0"/>
              <w:rPr>
                <w:sz w:val="20"/>
                <w:szCs w:val="20"/>
                <w:color w:val="auto"/>
              </w:rPr>
            </w:pPr>
            <w:r>
              <w:rPr>
                <w:rFonts w:ascii="Arial" w:cs="Arial" w:eastAsia="Arial" w:hAnsi="Arial"/>
                <w:sz w:val="14"/>
                <w:szCs w:val="14"/>
                <w:color w:val="auto"/>
              </w:rPr>
              <w:t>(7,833)</w:t>
            </w:r>
          </w:p>
        </w:tc>
        <w:tc>
          <w:tcPr>
            <w:tcW w:w="1540" w:type="dxa"/>
            <w:vAlign w:val="bottom"/>
          </w:tcPr>
          <w:p>
            <w:pPr>
              <w:jc w:val="right"/>
              <w:ind w:right="349"/>
              <w:spacing w:after="0"/>
              <w:rPr>
                <w:sz w:val="20"/>
                <w:szCs w:val="20"/>
                <w:color w:val="auto"/>
              </w:rPr>
            </w:pPr>
            <w:r>
              <w:rPr>
                <w:rFonts w:ascii="Arial" w:cs="Arial" w:eastAsia="Arial" w:hAnsi="Arial"/>
                <w:sz w:val="14"/>
                <w:szCs w:val="14"/>
                <w:color w:val="auto"/>
              </w:rPr>
              <w:t>(29,921)</w:t>
            </w:r>
          </w:p>
        </w:tc>
        <w:tc>
          <w:tcPr>
            <w:tcW w:w="1540" w:type="dxa"/>
            <w:vAlign w:val="bottom"/>
          </w:tcPr>
          <w:p>
            <w:pPr>
              <w:jc w:val="right"/>
              <w:ind w:right="210"/>
              <w:spacing w:after="0"/>
              <w:rPr>
                <w:sz w:val="20"/>
                <w:szCs w:val="20"/>
                <w:color w:val="auto"/>
              </w:rPr>
            </w:pPr>
            <w:r>
              <w:rPr>
                <w:rFonts w:ascii="Arial" w:cs="Arial" w:eastAsia="Arial" w:hAnsi="Arial"/>
                <w:sz w:val="14"/>
                <w:szCs w:val="14"/>
                <w:color w:val="auto"/>
              </w:rPr>
              <w:t>18,550</w:t>
            </w:r>
          </w:p>
        </w:tc>
        <w:tc>
          <w:tcPr>
            <w:tcW w:w="1100" w:type="dxa"/>
            <w:vAlign w:val="bottom"/>
          </w:tcPr>
          <w:p>
            <w:pPr>
              <w:jc w:val="right"/>
              <w:ind w:right="208"/>
              <w:spacing w:after="0"/>
              <w:rPr>
                <w:sz w:val="20"/>
                <w:szCs w:val="20"/>
                <w:color w:val="auto"/>
              </w:rPr>
            </w:pPr>
            <w:r>
              <w:rPr>
                <w:rFonts w:ascii="Arial" w:cs="Arial" w:eastAsia="Arial" w:hAnsi="Arial"/>
                <w:sz w:val="14"/>
                <w:szCs w:val="14"/>
                <w:color w:val="auto"/>
              </w:rPr>
              <w:t>(19,204)</w:t>
            </w:r>
          </w:p>
        </w:tc>
      </w:tr>
      <w:tr>
        <w:trPr>
          <w:trHeight w:val="162"/>
        </w:trPr>
        <w:tc>
          <w:tcPr>
            <w:tcW w:w="4640" w:type="dxa"/>
            <w:vAlign w:val="bottom"/>
          </w:tcPr>
          <w:p>
            <w:pPr>
              <w:spacing w:after="0"/>
              <w:rPr>
                <w:sz w:val="20"/>
                <w:szCs w:val="20"/>
                <w:color w:val="auto"/>
              </w:rPr>
            </w:pPr>
            <w:r>
              <w:rPr>
                <w:rFonts w:ascii="Arial" w:cs="Arial" w:eastAsia="Arial" w:hAnsi="Arial"/>
                <w:sz w:val="14"/>
                <w:szCs w:val="14"/>
                <w:color w:val="auto"/>
              </w:rPr>
              <w:t>Cash flow</w:t>
            </w:r>
          </w:p>
        </w:tc>
        <w:tc>
          <w:tcPr>
            <w:tcW w:w="2600" w:type="dxa"/>
            <w:vAlign w:val="bottom"/>
          </w:tcPr>
          <w:p>
            <w:pPr>
              <w:jc w:val="right"/>
              <w:ind w:right="389"/>
              <w:spacing w:after="0"/>
              <w:rPr>
                <w:sz w:val="20"/>
                <w:szCs w:val="20"/>
                <w:color w:val="auto"/>
              </w:rPr>
            </w:pPr>
            <w:r>
              <w:rPr>
                <w:rFonts w:ascii="Arial" w:cs="Arial" w:eastAsia="Arial" w:hAnsi="Arial"/>
                <w:sz w:val="14"/>
                <w:szCs w:val="14"/>
                <w:color w:val="auto"/>
              </w:rPr>
              <w:t>2,313</w:t>
            </w:r>
          </w:p>
        </w:tc>
        <w:tc>
          <w:tcPr>
            <w:tcW w:w="1540" w:type="dxa"/>
            <w:vAlign w:val="bottom"/>
          </w:tcPr>
          <w:p>
            <w:pPr>
              <w:jc w:val="right"/>
              <w:ind w:right="349"/>
              <w:spacing w:after="0"/>
              <w:rPr>
                <w:sz w:val="20"/>
                <w:szCs w:val="20"/>
                <w:color w:val="auto"/>
              </w:rPr>
            </w:pPr>
            <w:r>
              <w:rPr>
                <w:rFonts w:ascii="Arial" w:cs="Arial" w:eastAsia="Arial" w:hAnsi="Arial"/>
                <w:sz w:val="14"/>
                <w:szCs w:val="14"/>
                <w:color w:val="auto"/>
              </w:rPr>
              <w:t>(7,708)</w:t>
            </w:r>
          </w:p>
        </w:tc>
        <w:tc>
          <w:tcPr>
            <w:tcW w:w="1540" w:type="dxa"/>
            <w:vAlign w:val="bottom"/>
          </w:tcPr>
          <w:p>
            <w:pPr>
              <w:jc w:val="right"/>
              <w:ind w:right="150"/>
              <w:spacing w:after="0"/>
              <w:rPr>
                <w:sz w:val="20"/>
                <w:szCs w:val="20"/>
                <w:color w:val="auto"/>
              </w:rPr>
            </w:pPr>
            <w:r>
              <w:rPr>
                <w:rFonts w:ascii="Arial" w:cs="Arial" w:eastAsia="Arial" w:hAnsi="Arial"/>
                <w:sz w:val="14"/>
                <w:szCs w:val="14"/>
                <w:color w:val="auto"/>
              </w:rPr>
              <w:t>(8,684)</w:t>
            </w:r>
          </w:p>
        </w:tc>
        <w:tc>
          <w:tcPr>
            <w:tcW w:w="1100" w:type="dxa"/>
            <w:vAlign w:val="bottom"/>
          </w:tcPr>
          <w:p>
            <w:pPr>
              <w:jc w:val="right"/>
              <w:ind w:right="208"/>
              <w:spacing w:after="0"/>
              <w:rPr>
                <w:sz w:val="20"/>
                <w:szCs w:val="20"/>
                <w:color w:val="auto"/>
              </w:rPr>
            </w:pPr>
            <w:r>
              <w:rPr>
                <w:rFonts w:ascii="Arial" w:cs="Arial" w:eastAsia="Arial" w:hAnsi="Arial"/>
                <w:sz w:val="14"/>
                <w:szCs w:val="14"/>
                <w:color w:val="auto"/>
              </w:rPr>
              <w:t>(14,079)</w:t>
            </w:r>
          </w:p>
        </w:tc>
      </w:tr>
      <w:tr>
        <w:trPr>
          <w:trHeight w:val="162"/>
        </w:trPr>
        <w:tc>
          <w:tcPr>
            <w:tcW w:w="4640" w:type="dxa"/>
            <w:vAlign w:val="bottom"/>
          </w:tcPr>
          <w:p>
            <w:pPr>
              <w:spacing w:after="0"/>
              <w:rPr>
                <w:sz w:val="20"/>
                <w:szCs w:val="20"/>
                <w:color w:val="auto"/>
              </w:rPr>
            </w:pPr>
            <w:r>
              <w:rPr>
                <w:rFonts w:ascii="Arial" w:cs="Arial" w:eastAsia="Arial" w:hAnsi="Arial"/>
                <w:sz w:val="14"/>
                <w:szCs w:val="14"/>
                <w:color w:val="auto"/>
              </w:rPr>
              <w:t>Settlement of debt-related hedging derivatives</w:t>
            </w:r>
          </w:p>
        </w:tc>
        <w:tc>
          <w:tcPr>
            <w:tcW w:w="2600" w:type="dxa"/>
            <w:vAlign w:val="bottom"/>
          </w:tcPr>
          <w:p>
            <w:pPr>
              <w:jc w:val="right"/>
              <w:ind w:right="349"/>
              <w:spacing w:after="0"/>
              <w:rPr>
                <w:sz w:val="20"/>
                <w:szCs w:val="20"/>
                <w:color w:val="auto"/>
              </w:rPr>
            </w:pPr>
            <w:r>
              <w:rPr>
                <w:rFonts w:ascii="Arial" w:cs="Arial" w:eastAsia="Arial" w:hAnsi="Arial"/>
                <w:sz w:val="14"/>
                <w:szCs w:val="14"/>
                <w:color w:val="auto"/>
              </w:rPr>
              <w:t>(174)</w:t>
            </w:r>
          </w:p>
        </w:tc>
        <w:tc>
          <w:tcPr>
            <w:tcW w:w="1540" w:type="dxa"/>
            <w:vAlign w:val="bottom"/>
          </w:tcPr>
          <w:p>
            <w:pPr>
              <w:jc w:val="right"/>
              <w:ind w:right="389"/>
              <w:spacing w:after="0"/>
              <w:rPr>
                <w:sz w:val="20"/>
                <w:szCs w:val="20"/>
                <w:color w:val="auto"/>
              </w:rPr>
            </w:pPr>
            <w:r>
              <w:rPr>
                <w:rFonts w:ascii="Arial" w:cs="Arial" w:eastAsia="Arial" w:hAnsi="Arial"/>
                <w:sz w:val="14"/>
                <w:szCs w:val="14"/>
                <w:color w:val="auto"/>
              </w:rPr>
              <w:t>–</w:t>
            </w:r>
          </w:p>
        </w:tc>
        <w:tc>
          <w:tcPr>
            <w:tcW w:w="1540" w:type="dxa"/>
            <w:vAlign w:val="bottom"/>
          </w:tcPr>
          <w:p>
            <w:pPr>
              <w:jc w:val="right"/>
              <w:ind w:right="210"/>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208"/>
              <w:spacing w:after="0"/>
              <w:rPr>
                <w:sz w:val="20"/>
                <w:szCs w:val="20"/>
                <w:color w:val="auto"/>
              </w:rPr>
            </w:pPr>
            <w:r>
              <w:rPr>
                <w:rFonts w:ascii="Arial" w:cs="Arial" w:eastAsia="Arial" w:hAnsi="Arial"/>
                <w:sz w:val="14"/>
                <w:szCs w:val="14"/>
                <w:color w:val="auto"/>
              </w:rPr>
              <w:t>(174)</w:t>
            </w:r>
          </w:p>
        </w:tc>
      </w:tr>
      <w:tr>
        <w:trPr>
          <w:trHeight w:val="162"/>
        </w:trPr>
        <w:tc>
          <w:tcPr>
            <w:tcW w:w="4640" w:type="dxa"/>
            <w:vAlign w:val="bottom"/>
          </w:tcPr>
          <w:p>
            <w:pPr>
              <w:spacing w:after="0"/>
              <w:rPr>
                <w:sz w:val="20"/>
                <w:szCs w:val="20"/>
                <w:color w:val="auto"/>
              </w:rPr>
            </w:pPr>
            <w:r>
              <w:rPr>
                <w:rFonts w:ascii="Arial" w:cs="Arial" w:eastAsia="Arial" w:hAnsi="Arial"/>
                <w:sz w:val="14"/>
                <w:szCs w:val="14"/>
                <w:color w:val="auto"/>
              </w:rPr>
              <w:t>Other movements</w:t>
            </w:r>
          </w:p>
        </w:tc>
        <w:tc>
          <w:tcPr>
            <w:tcW w:w="2600" w:type="dxa"/>
            <w:vAlign w:val="bottom"/>
          </w:tcPr>
          <w:p>
            <w:pPr>
              <w:jc w:val="right"/>
              <w:ind w:right="349"/>
              <w:spacing w:after="0"/>
              <w:rPr>
                <w:sz w:val="20"/>
                <w:szCs w:val="20"/>
                <w:color w:val="auto"/>
              </w:rPr>
            </w:pPr>
            <w:r>
              <w:rPr>
                <w:rFonts w:ascii="Arial" w:cs="Arial" w:eastAsia="Arial" w:hAnsi="Arial"/>
                <w:sz w:val="14"/>
                <w:szCs w:val="14"/>
                <w:color w:val="auto"/>
              </w:rPr>
              <w:t>(2,791)</w:t>
            </w:r>
          </w:p>
        </w:tc>
        <w:tc>
          <w:tcPr>
            <w:tcW w:w="1540" w:type="dxa"/>
            <w:vAlign w:val="bottom"/>
          </w:tcPr>
          <w:p>
            <w:pPr>
              <w:jc w:val="right"/>
              <w:ind w:right="389"/>
              <w:spacing w:after="0"/>
              <w:rPr>
                <w:sz w:val="20"/>
                <w:szCs w:val="20"/>
                <w:color w:val="auto"/>
              </w:rPr>
            </w:pPr>
            <w:r>
              <w:rPr>
                <w:rFonts w:ascii="Arial" w:cs="Arial" w:eastAsia="Arial" w:hAnsi="Arial"/>
                <w:sz w:val="14"/>
                <w:szCs w:val="14"/>
                <w:color w:val="auto"/>
              </w:rPr>
              <w:t>1,317</w:t>
            </w:r>
          </w:p>
        </w:tc>
        <w:tc>
          <w:tcPr>
            <w:tcW w:w="1540" w:type="dxa"/>
            <w:vAlign w:val="bottom"/>
          </w:tcPr>
          <w:p>
            <w:pPr>
              <w:jc w:val="right"/>
              <w:ind w:right="210"/>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208"/>
              <w:spacing w:after="0"/>
              <w:rPr>
                <w:sz w:val="20"/>
                <w:szCs w:val="20"/>
                <w:color w:val="auto"/>
              </w:rPr>
            </w:pPr>
            <w:r>
              <w:rPr>
                <w:rFonts w:ascii="Arial" w:cs="Arial" w:eastAsia="Arial" w:hAnsi="Arial"/>
                <w:sz w:val="14"/>
                <w:szCs w:val="14"/>
                <w:color w:val="auto"/>
              </w:rPr>
              <w:t>(1,474)</w:t>
            </w:r>
          </w:p>
        </w:tc>
      </w:tr>
      <w:tr>
        <w:trPr>
          <w:trHeight w:val="157"/>
        </w:trPr>
        <w:tc>
          <w:tcPr>
            <w:tcW w:w="4640" w:type="dxa"/>
            <w:vAlign w:val="bottom"/>
            <w:tcBorders>
              <w:bottom w:val="single" w:sz="8" w:color="auto"/>
            </w:tcBorders>
          </w:tcPr>
          <w:p>
            <w:pPr>
              <w:spacing w:after="0" w:line="157" w:lineRule="exact"/>
              <w:rPr>
                <w:sz w:val="20"/>
                <w:szCs w:val="20"/>
                <w:color w:val="auto"/>
              </w:rPr>
            </w:pPr>
            <w:r>
              <w:rPr>
                <w:rFonts w:ascii="Arial" w:cs="Arial" w:eastAsia="Arial" w:hAnsi="Arial"/>
                <w:sz w:val="14"/>
                <w:szCs w:val="14"/>
                <w:color w:val="auto"/>
              </w:rPr>
              <w:t>Currency translation differences</w:t>
            </w:r>
          </w:p>
        </w:tc>
        <w:tc>
          <w:tcPr>
            <w:tcW w:w="2600" w:type="dxa"/>
            <w:vAlign w:val="bottom"/>
            <w:tcBorders>
              <w:bottom w:val="single" w:sz="8" w:color="auto"/>
            </w:tcBorders>
          </w:tcPr>
          <w:p>
            <w:pPr>
              <w:jc w:val="right"/>
              <w:ind w:right="389"/>
              <w:spacing w:after="0" w:line="157" w:lineRule="exact"/>
              <w:rPr>
                <w:sz w:val="20"/>
                <w:szCs w:val="20"/>
                <w:color w:val="auto"/>
              </w:rPr>
            </w:pPr>
            <w:r>
              <w:rPr>
                <w:rFonts w:ascii="Arial" w:cs="Arial" w:eastAsia="Arial" w:hAnsi="Arial"/>
                <w:sz w:val="14"/>
                <w:szCs w:val="14"/>
                <w:color w:val="auto"/>
              </w:rPr>
              <w:t>141</w:t>
            </w:r>
          </w:p>
        </w:tc>
        <w:tc>
          <w:tcPr>
            <w:tcW w:w="1540" w:type="dxa"/>
            <w:vAlign w:val="bottom"/>
            <w:tcBorders>
              <w:bottom w:val="single" w:sz="8" w:color="auto"/>
            </w:tcBorders>
          </w:tcPr>
          <w:p>
            <w:pPr>
              <w:jc w:val="right"/>
              <w:ind w:right="389"/>
              <w:spacing w:after="0" w:line="157" w:lineRule="exact"/>
              <w:rPr>
                <w:sz w:val="20"/>
                <w:szCs w:val="20"/>
                <w:color w:val="auto"/>
              </w:rPr>
            </w:pPr>
            <w:r>
              <w:rPr>
                <w:rFonts w:ascii="Arial" w:cs="Arial" w:eastAsia="Arial" w:hAnsi="Arial"/>
                <w:sz w:val="14"/>
                <w:szCs w:val="14"/>
                <w:color w:val="auto"/>
              </w:rPr>
              <w:t>94</w:t>
            </w:r>
          </w:p>
        </w:tc>
        <w:tc>
          <w:tcPr>
            <w:tcW w:w="1540" w:type="dxa"/>
            <w:vAlign w:val="bottom"/>
            <w:tcBorders>
              <w:bottom w:val="single" w:sz="8" w:color="auto"/>
            </w:tcBorders>
          </w:tcPr>
          <w:p>
            <w:pPr>
              <w:jc w:val="right"/>
              <w:ind w:right="150"/>
              <w:spacing w:after="0" w:line="157" w:lineRule="exact"/>
              <w:rPr>
                <w:sz w:val="20"/>
                <w:szCs w:val="20"/>
                <w:color w:val="auto"/>
              </w:rPr>
            </w:pPr>
            <w:r>
              <w:rPr>
                <w:rFonts w:ascii="Arial" w:cs="Arial" w:eastAsia="Arial" w:hAnsi="Arial"/>
                <w:sz w:val="14"/>
                <w:szCs w:val="14"/>
                <w:color w:val="auto"/>
              </w:rPr>
              <w:t>(170)</w:t>
            </w:r>
          </w:p>
        </w:tc>
        <w:tc>
          <w:tcPr>
            <w:tcW w:w="1100" w:type="dxa"/>
            <w:vAlign w:val="bottom"/>
            <w:tcBorders>
              <w:bottom w:val="single" w:sz="8" w:color="auto"/>
            </w:tcBorders>
          </w:tcPr>
          <w:p>
            <w:pPr>
              <w:jc w:val="right"/>
              <w:ind w:right="268"/>
              <w:spacing w:after="0" w:line="157" w:lineRule="exact"/>
              <w:rPr>
                <w:sz w:val="20"/>
                <w:szCs w:val="20"/>
                <w:color w:val="auto"/>
              </w:rPr>
            </w:pPr>
            <w:r>
              <w:rPr>
                <w:rFonts w:ascii="Arial" w:cs="Arial" w:eastAsia="Arial" w:hAnsi="Arial"/>
                <w:sz w:val="14"/>
                <w:szCs w:val="14"/>
                <w:color w:val="auto"/>
              </w:rPr>
              <w:t>65</w:t>
            </w:r>
          </w:p>
        </w:tc>
      </w:tr>
      <w:tr>
        <w:trPr>
          <w:trHeight w:val="156"/>
        </w:trPr>
        <w:tc>
          <w:tcPr>
            <w:tcW w:w="4640" w:type="dxa"/>
            <w:vAlign w:val="bottom"/>
            <w:tcBorders>
              <w:bottom w:val="single" w:sz="8" w:color="auto"/>
            </w:tcBorders>
          </w:tcPr>
          <w:p>
            <w:pPr>
              <w:spacing w:after="0" w:line="155" w:lineRule="exact"/>
              <w:rPr>
                <w:sz w:val="20"/>
                <w:szCs w:val="20"/>
                <w:color w:val="auto"/>
              </w:rPr>
            </w:pPr>
            <w:r>
              <w:rPr>
                <w:rFonts w:ascii="Arial" w:cs="Arial" w:eastAsia="Arial" w:hAnsi="Arial"/>
                <w:sz w:val="14"/>
                <w:szCs w:val="14"/>
                <w:color w:val="auto"/>
              </w:rPr>
              <w:t>At December 31, 2013</w:t>
            </w:r>
          </w:p>
        </w:tc>
        <w:tc>
          <w:tcPr>
            <w:tcW w:w="2600" w:type="dxa"/>
            <w:vAlign w:val="bottom"/>
            <w:tcBorders>
              <w:bottom w:val="single" w:sz="8" w:color="auto"/>
            </w:tcBorders>
          </w:tcPr>
          <w:p>
            <w:pPr>
              <w:jc w:val="right"/>
              <w:ind w:right="349"/>
              <w:spacing w:after="0" w:line="155" w:lineRule="exact"/>
              <w:rPr>
                <w:sz w:val="20"/>
                <w:szCs w:val="20"/>
                <w:color w:val="auto"/>
              </w:rPr>
            </w:pPr>
            <w:r>
              <w:rPr>
                <w:rFonts w:ascii="Arial" w:cs="Arial" w:eastAsia="Arial" w:hAnsi="Arial"/>
                <w:sz w:val="14"/>
                <w:szCs w:val="14"/>
                <w:color w:val="auto"/>
              </w:rPr>
              <w:t>(8,344)</w:t>
            </w:r>
          </w:p>
        </w:tc>
        <w:tc>
          <w:tcPr>
            <w:tcW w:w="1540" w:type="dxa"/>
            <w:vAlign w:val="bottom"/>
            <w:tcBorders>
              <w:bottom w:val="single" w:sz="8" w:color="auto"/>
            </w:tcBorders>
          </w:tcPr>
          <w:p>
            <w:pPr>
              <w:jc w:val="right"/>
              <w:ind w:right="349"/>
              <w:spacing w:after="0" w:line="155" w:lineRule="exact"/>
              <w:rPr>
                <w:sz w:val="20"/>
                <w:szCs w:val="20"/>
                <w:color w:val="auto"/>
              </w:rPr>
            </w:pPr>
            <w:r>
              <w:rPr>
                <w:rFonts w:ascii="Arial" w:cs="Arial" w:eastAsia="Arial" w:hAnsi="Arial"/>
                <w:sz w:val="14"/>
                <w:szCs w:val="14"/>
                <w:color w:val="auto"/>
              </w:rPr>
              <w:t>(36,218)</w:t>
            </w:r>
          </w:p>
        </w:tc>
        <w:tc>
          <w:tcPr>
            <w:tcW w:w="1540" w:type="dxa"/>
            <w:vAlign w:val="bottom"/>
            <w:tcBorders>
              <w:bottom w:val="single" w:sz="8" w:color="auto"/>
            </w:tcBorders>
          </w:tcPr>
          <w:p>
            <w:pPr>
              <w:jc w:val="right"/>
              <w:ind w:right="210"/>
              <w:spacing w:after="0" w:line="155" w:lineRule="exact"/>
              <w:rPr>
                <w:sz w:val="20"/>
                <w:szCs w:val="20"/>
                <w:color w:val="auto"/>
              </w:rPr>
            </w:pPr>
            <w:r>
              <w:rPr>
                <w:rFonts w:ascii="Arial" w:cs="Arial" w:eastAsia="Arial" w:hAnsi="Arial"/>
                <w:sz w:val="14"/>
                <w:szCs w:val="14"/>
                <w:color w:val="auto"/>
              </w:rPr>
              <w:t>9,696</w:t>
            </w:r>
          </w:p>
        </w:tc>
        <w:tc>
          <w:tcPr>
            <w:tcW w:w="1100" w:type="dxa"/>
            <w:vAlign w:val="bottom"/>
            <w:tcBorders>
              <w:bottom w:val="single" w:sz="8" w:color="auto"/>
            </w:tcBorders>
          </w:tcPr>
          <w:p>
            <w:pPr>
              <w:jc w:val="right"/>
              <w:ind w:right="208"/>
              <w:spacing w:after="0" w:line="155" w:lineRule="exact"/>
              <w:rPr>
                <w:sz w:val="20"/>
                <w:szCs w:val="20"/>
                <w:color w:val="auto"/>
              </w:rPr>
            </w:pPr>
            <w:r>
              <w:rPr>
                <w:rFonts w:ascii="Arial" w:cs="Arial" w:eastAsia="Arial" w:hAnsi="Arial"/>
                <w:sz w:val="14"/>
                <w:szCs w:val="14"/>
                <w:color w:val="auto"/>
              </w:rPr>
              <w:t>(34,866)</w:t>
            </w:r>
          </w:p>
        </w:tc>
      </w:tr>
    </w:tbl>
    <w:p>
      <w:pPr>
        <w:spacing w:after="0" w:line="194" w:lineRule="exact"/>
        <w:rPr>
          <w:sz w:val="20"/>
          <w:szCs w:val="20"/>
          <w:color w:val="auto"/>
        </w:rPr>
      </w:pPr>
    </w:p>
    <w:p>
      <w:pPr>
        <w:ind w:right="120"/>
        <w:spacing w:after="0" w:line="258" w:lineRule="auto"/>
        <w:rPr>
          <w:sz w:val="20"/>
          <w:szCs w:val="20"/>
          <w:color w:val="auto"/>
        </w:rPr>
      </w:pPr>
      <w:r>
        <w:rPr>
          <w:rFonts w:ascii="Arial" w:cs="Arial" w:eastAsia="Arial" w:hAnsi="Arial"/>
          <w:sz w:val="14"/>
          <w:szCs w:val="14"/>
          <w:color w:val="auto"/>
        </w:rPr>
        <w:t>Shell management’s financial strategy is to manage Shell’s assets and liabilities with the aim that, across the business cycle, “cash in” at least equals “cash out” while maintaining a strong balance sheet.</w:t>
      </w:r>
    </w:p>
    <w:p>
      <w:pPr>
        <w:spacing w:after="0" w:line="154" w:lineRule="exact"/>
        <w:rPr>
          <w:sz w:val="20"/>
          <w:szCs w:val="20"/>
          <w:color w:val="auto"/>
        </w:rPr>
      </w:pPr>
    </w:p>
    <w:p>
      <w:pPr>
        <w:ind w:right="80"/>
        <w:spacing w:after="0" w:line="250" w:lineRule="auto"/>
        <w:rPr>
          <w:sz w:val="20"/>
          <w:szCs w:val="20"/>
          <w:color w:val="auto"/>
        </w:rPr>
      </w:pPr>
      <w:r>
        <w:rPr>
          <w:rFonts w:ascii="Arial" w:cs="Arial" w:eastAsia="Arial" w:hAnsi="Arial"/>
          <w:sz w:val="14"/>
          <w:szCs w:val="14"/>
          <w:color w:val="auto"/>
        </w:rPr>
        <w:t>Gearing, calculated as net debt (total debt less cash and cash equivalents) as a percentage of total capital (net debt plus total equity), is a key measure of Shell’s capital structure. Across the business cycle management aims to manage gearing within a range of 0-30%. During 2014, gearing ranged from 11.7% to 16.1% (2013: 9.1% to 16.1%) and at December 31, 2014, it was 12.2% (2013: 16.1%).</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4100" w:type="dxa"/>
            <w:vAlign w:val="bottom"/>
            <w:shd w:val="clear" w:color="auto" w:fill="333333"/>
          </w:tcPr>
          <w:p>
            <w:pPr>
              <w:ind w:left="80"/>
              <w:spacing w:after="0"/>
              <w:rPr>
                <w:sz w:val="20"/>
                <w:szCs w:val="20"/>
                <w:color w:val="auto"/>
              </w:rPr>
            </w:pPr>
            <w:r>
              <w:rPr>
                <w:rFonts w:ascii="Arial" w:cs="Arial" w:eastAsia="Arial" w:hAnsi="Arial"/>
                <w:sz w:val="15"/>
                <w:szCs w:val="15"/>
                <w:b w:val="1"/>
                <w:bCs w:val="1"/>
                <w:color w:val="FFFFFF"/>
              </w:rPr>
              <w:t>GEARING</w:t>
            </w:r>
          </w:p>
        </w:tc>
        <w:tc>
          <w:tcPr>
            <w:tcW w:w="7320" w:type="dxa"/>
            <w:vAlign w:val="bottom"/>
            <w:gridSpan w:val="3"/>
            <w:shd w:val="clear" w:color="auto" w:fill="333333"/>
          </w:tcPr>
          <w:p>
            <w:pPr>
              <w:jc w:val="right"/>
              <w:ind w:right="70"/>
              <w:spacing w:after="0"/>
              <w:rPr>
                <w:sz w:val="20"/>
                <w:szCs w:val="20"/>
                <w:color w:val="auto"/>
              </w:rPr>
            </w:pPr>
            <w:r>
              <w:rPr>
                <w:rFonts w:ascii="Arial" w:cs="Arial" w:eastAsia="Arial" w:hAnsi="Arial"/>
                <w:sz w:val="15"/>
                <w:szCs w:val="15"/>
                <w:color w:val="FFFFFF"/>
              </w:rPr>
              <w:t>$ MILLION, EXCEPT WHERE OTHERWISE INDICATED</w:t>
            </w:r>
          </w:p>
        </w:tc>
      </w:tr>
      <w:tr>
        <w:trPr>
          <w:trHeight w:val="149"/>
        </w:trPr>
        <w:tc>
          <w:tcPr>
            <w:tcW w:w="4100" w:type="dxa"/>
            <w:vAlign w:val="bottom"/>
            <w:tcBorders>
              <w:bottom w:val="single" w:sz="8" w:color="auto"/>
            </w:tcBorders>
          </w:tcPr>
          <w:p>
            <w:pPr>
              <w:spacing w:after="0"/>
              <w:rPr>
                <w:sz w:val="12"/>
                <w:szCs w:val="12"/>
                <w:color w:val="auto"/>
              </w:rPr>
            </w:pPr>
          </w:p>
        </w:tc>
        <w:tc>
          <w:tcPr>
            <w:tcW w:w="4340" w:type="dxa"/>
            <w:vAlign w:val="bottom"/>
            <w:tcBorders>
              <w:bottom w:val="single" w:sz="8" w:color="auto"/>
            </w:tcBorders>
          </w:tcPr>
          <w:p>
            <w:pPr>
              <w:spacing w:after="0"/>
              <w:rPr>
                <w:sz w:val="12"/>
                <w:szCs w:val="12"/>
                <w:color w:val="auto"/>
              </w:rPr>
            </w:pPr>
          </w:p>
        </w:tc>
        <w:tc>
          <w:tcPr>
            <w:tcW w:w="1480" w:type="dxa"/>
            <w:vAlign w:val="bottom"/>
            <w:tcBorders>
              <w:bottom w:val="single" w:sz="8" w:color="auto"/>
            </w:tcBorders>
            <w:shd w:val="clear" w:color="auto" w:fill="D8D8D8"/>
          </w:tcPr>
          <w:p>
            <w:pPr>
              <w:jc w:val="right"/>
              <w:ind w:right="270"/>
              <w:spacing w:after="0"/>
              <w:rPr>
                <w:sz w:val="20"/>
                <w:szCs w:val="20"/>
                <w:color w:val="auto"/>
              </w:rPr>
            </w:pPr>
            <w:r>
              <w:rPr>
                <w:rFonts w:ascii="Arial" w:cs="Arial" w:eastAsia="Arial" w:hAnsi="Arial"/>
                <w:sz w:val="13"/>
                <w:szCs w:val="13"/>
                <w:color w:val="auto"/>
              </w:rPr>
              <w:t>Dec 31, 2014</w:t>
            </w:r>
          </w:p>
        </w:tc>
        <w:tc>
          <w:tcPr>
            <w:tcW w:w="1500" w:type="dxa"/>
            <w:vAlign w:val="bottom"/>
            <w:tcBorders>
              <w:bottom w:val="single" w:sz="8" w:color="auto"/>
            </w:tcBorders>
          </w:tcPr>
          <w:p>
            <w:pPr>
              <w:jc w:val="right"/>
              <w:ind w:right="270"/>
              <w:spacing w:after="0"/>
              <w:rPr>
                <w:sz w:val="20"/>
                <w:szCs w:val="20"/>
                <w:color w:val="auto"/>
              </w:rPr>
            </w:pPr>
            <w:r>
              <w:rPr>
                <w:rFonts w:ascii="Arial" w:cs="Arial" w:eastAsia="Arial" w:hAnsi="Arial"/>
                <w:sz w:val="13"/>
                <w:szCs w:val="13"/>
                <w:color w:val="auto"/>
              </w:rPr>
              <w:t>Dec 31, 2013</w:t>
            </w:r>
          </w:p>
        </w:tc>
      </w:tr>
      <w:tr>
        <w:trPr>
          <w:trHeight w:val="156"/>
        </w:trPr>
        <w:tc>
          <w:tcPr>
            <w:tcW w:w="4100" w:type="dxa"/>
            <w:vAlign w:val="bottom"/>
          </w:tcPr>
          <w:p>
            <w:pPr>
              <w:spacing w:after="0" w:line="155" w:lineRule="exact"/>
              <w:rPr>
                <w:sz w:val="20"/>
                <w:szCs w:val="20"/>
                <w:color w:val="auto"/>
              </w:rPr>
            </w:pPr>
            <w:r>
              <w:rPr>
                <w:rFonts w:ascii="Arial" w:cs="Arial" w:eastAsia="Arial" w:hAnsi="Arial"/>
                <w:sz w:val="14"/>
                <w:szCs w:val="14"/>
                <w:color w:val="auto"/>
              </w:rPr>
              <w:t>Net debt</w:t>
            </w:r>
          </w:p>
        </w:tc>
        <w:tc>
          <w:tcPr>
            <w:tcW w:w="4340" w:type="dxa"/>
            <w:vAlign w:val="bottom"/>
          </w:tcPr>
          <w:p>
            <w:pPr>
              <w:spacing w:after="0"/>
              <w:rPr>
                <w:sz w:val="13"/>
                <w:szCs w:val="13"/>
                <w:color w:val="auto"/>
              </w:rPr>
            </w:pPr>
          </w:p>
        </w:tc>
        <w:tc>
          <w:tcPr>
            <w:tcW w:w="1480" w:type="dxa"/>
            <w:vAlign w:val="bottom"/>
            <w:shd w:val="clear" w:color="auto" w:fill="D8D8D8"/>
          </w:tcPr>
          <w:p>
            <w:pPr>
              <w:jc w:val="right"/>
              <w:ind w:right="270"/>
              <w:spacing w:after="0" w:line="155" w:lineRule="exact"/>
              <w:rPr>
                <w:sz w:val="20"/>
                <w:szCs w:val="20"/>
                <w:color w:val="auto"/>
              </w:rPr>
            </w:pPr>
            <w:r>
              <w:rPr>
                <w:rFonts w:ascii="Arial" w:cs="Arial" w:eastAsia="Arial" w:hAnsi="Arial"/>
                <w:sz w:val="14"/>
                <w:szCs w:val="14"/>
                <w:color w:val="auto"/>
              </w:rPr>
              <w:t>23,933</w:t>
            </w:r>
          </w:p>
        </w:tc>
        <w:tc>
          <w:tcPr>
            <w:tcW w:w="1500" w:type="dxa"/>
            <w:vAlign w:val="bottom"/>
          </w:tcPr>
          <w:p>
            <w:pPr>
              <w:jc w:val="right"/>
              <w:ind w:right="270"/>
              <w:spacing w:after="0" w:line="155" w:lineRule="exact"/>
              <w:rPr>
                <w:sz w:val="20"/>
                <w:szCs w:val="20"/>
                <w:color w:val="auto"/>
              </w:rPr>
            </w:pPr>
            <w:r>
              <w:rPr>
                <w:rFonts w:ascii="Arial" w:cs="Arial" w:eastAsia="Arial" w:hAnsi="Arial"/>
                <w:sz w:val="14"/>
                <w:szCs w:val="14"/>
                <w:color w:val="auto"/>
              </w:rPr>
              <w:t>34,866</w:t>
            </w:r>
          </w:p>
        </w:tc>
      </w:tr>
      <w:tr>
        <w:trPr>
          <w:trHeight w:val="162"/>
        </w:trPr>
        <w:tc>
          <w:tcPr>
            <w:tcW w:w="410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Total equity</w:t>
            </w:r>
          </w:p>
        </w:tc>
        <w:tc>
          <w:tcPr>
            <w:tcW w:w="434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shd w:val="clear" w:color="auto" w:fill="D8D8D8"/>
          </w:tcPr>
          <w:p>
            <w:pPr>
              <w:jc w:val="right"/>
              <w:ind w:right="270"/>
              <w:spacing w:after="0"/>
              <w:rPr>
                <w:sz w:val="20"/>
                <w:szCs w:val="20"/>
                <w:color w:val="auto"/>
              </w:rPr>
            </w:pPr>
            <w:r>
              <w:rPr>
                <w:rFonts w:ascii="Arial" w:cs="Arial" w:eastAsia="Arial" w:hAnsi="Arial"/>
                <w:sz w:val="14"/>
                <w:szCs w:val="14"/>
                <w:color w:val="auto"/>
              </w:rPr>
              <w:t>172,786</w:t>
            </w:r>
          </w:p>
        </w:tc>
        <w:tc>
          <w:tcPr>
            <w:tcW w:w="1500" w:type="dxa"/>
            <w:vAlign w:val="bottom"/>
            <w:tcBorders>
              <w:bottom w:val="single" w:sz="8" w:color="auto"/>
            </w:tcBorders>
          </w:tcPr>
          <w:p>
            <w:pPr>
              <w:jc w:val="right"/>
              <w:ind w:right="270"/>
              <w:spacing w:after="0"/>
              <w:rPr>
                <w:sz w:val="20"/>
                <w:szCs w:val="20"/>
                <w:color w:val="auto"/>
              </w:rPr>
            </w:pPr>
            <w:r>
              <w:rPr>
                <w:rFonts w:ascii="Arial" w:cs="Arial" w:eastAsia="Arial" w:hAnsi="Arial"/>
                <w:sz w:val="14"/>
                <w:szCs w:val="14"/>
                <w:color w:val="auto"/>
              </w:rPr>
              <w:t>181,148</w:t>
            </w:r>
          </w:p>
        </w:tc>
      </w:tr>
      <w:tr>
        <w:trPr>
          <w:trHeight w:val="156"/>
        </w:trPr>
        <w:tc>
          <w:tcPr>
            <w:tcW w:w="4100" w:type="dxa"/>
            <w:vAlign w:val="bottom"/>
            <w:tcBorders>
              <w:bottom w:val="single" w:sz="8" w:color="auto"/>
            </w:tcBorders>
          </w:tcPr>
          <w:p>
            <w:pPr>
              <w:spacing w:after="0" w:line="155" w:lineRule="exact"/>
              <w:rPr>
                <w:sz w:val="20"/>
                <w:szCs w:val="20"/>
                <w:color w:val="auto"/>
              </w:rPr>
            </w:pPr>
            <w:r>
              <w:rPr>
                <w:rFonts w:ascii="Arial" w:cs="Arial" w:eastAsia="Arial" w:hAnsi="Arial"/>
                <w:sz w:val="14"/>
                <w:szCs w:val="14"/>
                <w:color w:val="auto"/>
              </w:rPr>
              <w:t>Total capital</w:t>
            </w:r>
          </w:p>
        </w:tc>
        <w:tc>
          <w:tcPr>
            <w:tcW w:w="4340" w:type="dxa"/>
            <w:vAlign w:val="bottom"/>
            <w:tcBorders>
              <w:bottom w:val="single" w:sz="8" w:color="auto"/>
            </w:tcBorders>
          </w:tcPr>
          <w:p>
            <w:pPr>
              <w:spacing w:after="0"/>
              <w:rPr>
                <w:sz w:val="13"/>
                <w:szCs w:val="13"/>
                <w:color w:val="auto"/>
              </w:rPr>
            </w:pPr>
          </w:p>
        </w:tc>
        <w:tc>
          <w:tcPr>
            <w:tcW w:w="1480" w:type="dxa"/>
            <w:vAlign w:val="bottom"/>
            <w:tcBorders>
              <w:bottom w:val="single" w:sz="8" w:color="auto"/>
            </w:tcBorders>
            <w:shd w:val="clear" w:color="auto" w:fill="D8D8D8"/>
          </w:tcPr>
          <w:p>
            <w:pPr>
              <w:jc w:val="right"/>
              <w:ind w:right="270"/>
              <w:spacing w:after="0" w:line="155" w:lineRule="exact"/>
              <w:rPr>
                <w:sz w:val="20"/>
                <w:szCs w:val="20"/>
                <w:color w:val="auto"/>
              </w:rPr>
            </w:pPr>
            <w:r>
              <w:rPr>
                <w:rFonts w:ascii="Arial" w:cs="Arial" w:eastAsia="Arial" w:hAnsi="Arial"/>
                <w:sz w:val="14"/>
                <w:szCs w:val="14"/>
                <w:color w:val="auto"/>
              </w:rPr>
              <w:t>196,719</w:t>
            </w:r>
          </w:p>
        </w:tc>
        <w:tc>
          <w:tcPr>
            <w:tcW w:w="1500" w:type="dxa"/>
            <w:vAlign w:val="bottom"/>
            <w:tcBorders>
              <w:bottom w:val="single" w:sz="8" w:color="auto"/>
            </w:tcBorders>
          </w:tcPr>
          <w:p>
            <w:pPr>
              <w:jc w:val="right"/>
              <w:ind w:right="270"/>
              <w:spacing w:after="0" w:line="155" w:lineRule="exact"/>
              <w:rPr>
                <w:sz w:val="20"/>
                <w:szCs w:val="20"/>
                <w:color w:val="auto"/>
              </w:rPr>
            </w:pPr>
            <w:r>
              <w:rPr>
                <w:rFonts w:ascii="Arial" w:cs="Arial" w:eastAsia="Arial" w:hAnsi="Arial"/>
                <w:sz w:val="14"/>
                <w:szCs w:val="14"/>
                <w:color w:val="auto"/>
              </w:rPr>
              <w:t>216,014</w:t>
            </w:r>
          </w:p>
        </w:tc>
      </w:tr>
      <w:tr>
        <w:trPr>
          <w:trHeight w:val="156"/>
        </w:trPr>
        <w:tc>
          <w:tcPr>
            <w:tcW w:w="4100" w:type="dxa"/>
            <w:vAlign w:val="bottom"/>
            <w:tcBorders>
              <w:bottom w:val="single" w:sz="8" w:color="auto"/>
            </w:tcBorders>
          </w:tcPr>
          <w:p>
            <w:pPr>
              <w:spacing w:after="0" w:line="155" w:lineRule="exact"/>
              <w:rPr>
                <w:sz w:val="20"/>
                <w:szCs w:val="20"/>
                <w:color w:val="auto"/>
              </w:rPr>
            </w:pPr>
            <w:r>
              <w:rPr>
                <w:rFonts w:ascii="Arial" w:cs="Arial" w:eastAsia="Arial" w:hAnsi="Arial"/>
                <w:sz w:val="14"/>
                <w:szCs w:val="14"/>
                <w:color w:val="auto"/>
              </w:rPr>
              <w:t>Gearing</w:t>
            </w:r>
          </w:p>
        </w:tc>
        <w:tc>
          <w:tcPr>
            <w:tcW w:w="4340" w:type="dxa"/>
            <w:vAlign w:val="bottom"/>
            <w:tcBorders>
              <w:bottom w:val="single" w:sz="8" w:color="auto"/>
            </w:tcBorders>
          </w:tcPr>
          <w:p>
            <w:pPr>
              <w:spacing w:after="0"/>
              <w:rPr>
                <w:sz w:val="13"/>
                <w:szCs w:val="13"/>
                <w:color w:val="auto"/>
              </w:rPr>
            </w:pPr>
          </w:p>
        </w:tc>
        <w:tc>
          <w:tcPr>
            <w:tcW w:w="1480" w:type="dxa"/>
            <w:vAlign w:val="bottom"/>
            <w:tcBorders>
              <w:bottom w:val="single" w:sz="8" w:color="auto"/>
            </w:tcBorders>
            <w:shd w:val="clear" w:color="auto" w:fill="D8D8D8"/>
          </w:tcPr>
          <w:p>
            <w:pPr>
              <w:jc w:val="right"/>
              <w:ind w:right="270"/>
              <w:spacing w:after="0" w:line="155" w:lineRule="exact"/>
              <w:rPr>
                <w:sz w:val="20"/>
                <w:szCs w:val="20"/>
                <w:color w:val="auto"/>
              </w:rPr>
            </w:pPr>
            <w:r>
              <w:rPr>
                <w:rFonts w:ascii="Arial" w:cs="Arial" w:eastAsia="Arial" w:hAnsi="Arial"/>
                <w:sz w:val="14"/>
                <w:szCs w:val="14"/>
                <w:color w:val="auto"/>
              </w:rPr>
              <w:t>12.2%</w:t>
            </w:r>
          </w:p>
        </w:tc>
        <w:tc>
          <w:tcPr>
            <w:tcW w:w="1500" w:type="dxa"/>
            <w:vAlign w:val="bottom"/>
            <w:tcBorders>
              <w:bottom w:val="single" w:sz="8" w:color="auto"/>
            </w:tcBorders>
          </w:tcPr>
          <w:p>
            <w:pPr>
              <w:jc w:val="right"/>
              <w:ind w:right="270"/>
              <w:spacing w:after="0" w:line="155" w:lineRule="exact"/>
              <w:rPr>
                <w:sz w:val="20"/>
                <w:szCs w:val="20"/>
                <w:color w:val="auto"/>
              </w:rPr>
            </w:pPr>
            <w:r>
              <w:rPr>
                <w:rFonts w:ascii="Arial" w:cs="Arial" w:eastAsia="Arial" w:hAnsi="Arial"/>
                <w:sz w:val="14"/>
                <w:szCs w:val="14"/>
                <w:color w:val="auto"/>
              </w:rPr>
              <w:t>16.1%</w:t>
            </w:r>
          </w:p>
        </w:tc>
      </w:tr>
    </w:tbl>
    <w:p>
      <w:pPr>
        <w:spacing w:after="0" w:line="180" w:lineRule="exact"/>
        <w:rPr>
          <w:sz w:val="20"/>
          <w:szCs w:val="20"/>
          <w:color w:val="auto"/>
        </w:rPr>
      </w:pPr>
    </w:p>
    <w:p>
      <w:pPr>
        <w:ind w:right="220"/>
        <w:spacing w:after="0" w:line="250" w:lineRule="auto"/>
        <w:rPr>
          <w:sz w:val="20"/>
          <w:szCs w:val="20"/>
          <w:color w:val="auto"/>
        </w:rPr>
      </w:pPr>
      <w:r>
        <w:rPr>
          <w:rFonts w:ascii="Arial" w:cs="Arial" w:eastAsia="Arial" w:hAnsi="Arial"/>
          <w:sz w:val="14"/>
          <w:szCs w:val="14"/>
          <w:color w:val="auto"/>
        </w:rPr>
        <w:t>With respect to the objective of maintaining a strong balance sheet, management prioritises the application of cash to the servicing of debt commitments, paying dividends, investing for organic and inorganic growth and returning surplus cash to shareholders. Management’s policy is to grow the US dollar dividend through time in line with its view of Shell’s underlying earnings and cash flow.</w:t>
      </w:r>
    </w:p>
    <w:p>
      <w:pPr>
        <w:spacing w:after="0" w:line="172" w:lineRule="exact"/>
        <w:rPr>
          <w:sz w:val="20"/>
          <w:szCs w:val="20"/>
          <w:color w:val="auto"/>
        </w:rPr>
      </w:pPr>
    </w:p>
    <w:p>
      <w:pPr>
        <w:ind w:right="260"/>
        <w:spacing w:after="0" w:line="258" w:lineRule="auto"/>
        <w:rPr>
          <w:sz w:val="20"/>
          <w:szCs w:val="20"/>
          <w:color w:val="auto"/>
        </w:rPr>
      </w:pPr>
      <w:r>
        <w:rPr>
          <w:rFonts w:ascii="Arial" w:cs="Arial" w:eastAsia="Arial" w:hAnsi="Arial"/>
          <w:sz w:val="14"/>
          <w:szCs w:val="14"/>
          <w:color w:val="auto"/>
        </w:rPr>
        <w:t>Shell has access to international debt capital markets via two commercial paper (CP) programmes, a euro medium-term note (EMTN) programme and a US universal shelf (US shelf) registration. Issuances under the CP programmes are supported by a committed credit facility and cash.</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5240" w:type="dxa"/>
            <w:vAlign w:val="bottom"/>
            <w:shd w:val="clear" w:color="auto" w:fill="333333"/>
          </w:tcPr>
          <w:p>
            <w:pPr>
              <w:ind w:left="80"/>
              <w:spacing w:after="0"/>
              <w:rPr>
                <w:sz w:val="20"/>
                <w:szCs w:val="20"/>
                <w:color w:val="auto"/>
              </w:rPr>
            </w:pPr>
            <w:r>
              <w:rPr>
                <w:rFonts w:ascii="Arial" w:cs="Arial" w:eastAsia="Arial" w:hAnsi="Arial"/>
                <w:sz w:val="15"/>
                <w:szCs w:val="15"/>
                <w:b w:val="1"/>
                <w:bCs w:val="1"/>
                <w:color w:val="FFFFFF"/>
              </w:rPr>
              <w:t>BORROWING FACILITIES AND AMOUNTS UNDRAWN</w:t>
            </w:r>
          </w:p>
        </w:tc>
        <w:tc>
          <w:tcPr>
            <w:tcW w:w="1380" w:type="dxa"/>
            <w:vAlign w:val="bottom"/>
            <w:shd w:val="clear" w:color="auto" w:fill="333333"/>
          </w:tcPr>
          <w:p>
            <w:pPr>
              <w:spacing w:after="0"/>
              <w:rPr>
                <w:sz w:val="15"/>
                <w:szCs w:val="15"/>
                <w:color w:val="auto"/>
              </w:rPr>
            </w:pPr>
          </w:p>
        </w:tc>
        <w:tc>
          <w:tcPr>
            <w:tcW w:w="1460" w:type="dxa"/>
            <w:vAlign w:val="bottom"/>
            <w:shd w:val="clear" w:color="auto" w:fill="333333"/>
          </w:tcPr>
          <w:p>
            <w:pPr>
              <w:spacing w:after="0"/>
              <w:rPr>
                <w:sz w:val="15"/>
                <w:szCs w:val="15"/>
                <w:color w:val="auto"/>
              </w:rPr>
            </w:pPr>
          </w:p>
        </w:tc>
        <w:tc>
          <w:tcPr>
            <w:tcW w:w="600" w:type="dxa"/>
            <w:vAlign w:val="bottom"/>
            <w:shd w:val="clear" w:color="auto" w:fill="333333"/>
          </w:tcPr>
          <w:p>
            <w:pPr>
              <w:spacing w:after="0"/>
              <w:rPr>
                <w:sz w:val="15"/>
                <w:szCs w:val="15"/>
                <w:color w:val="auto"/>
              </w:rPr>
            </w:pPr>
          </w:p>
        </w:tc>
        <w:tc>
          <w:tcPr>
            <w:tcW w:w="1360" w:type="dxa"/>
            <w:vAlign w:val="bottom"/>
            <w:shd w:val="clear" w:color="auto" w:fill="333333"/>
          </w:tcPr>
          <w:p>
            <w:pPr>
              <w:spacing w:after="0"/>
              <w:rPr>
                <w:sz w:val="15"/>
                <w:szCs w:val="15"/>
                <w:color w:val="auto"/>
              </w:rPr>
            </w:pPr>
          </w:p>
        </w:tc>
        <w:tc>
          <w:tcPr>
            <w:tcW w:w="1380" w:type="dxa"/>
            <w:vAlign w:val="bottom"/>
            <w:shd w:val="clear" w:color="auto" w:fill="333333"/>
          </w:tcPr>
          <w:p>
            <w:pPr>
              <w:jc w:val="right"/>
              <w:ind w:right="30"/>
              <w:spacing w:after="0"/>
              <w:rPr>
                <w:sz w:val="20"/>
                <w:szCs w:val="20"/>
                <w:color w:val="auto"/>
              </w:rPr>
            </w:pPr>
            <w:r>
              <w:rPr>
                <w:rFonts w:ascii="Arial" w:cs="Arial" w:eastAsia="Arial" w:hAnsi="Arial"/>
                <w:sz w:val="15"/>
                <w:szCs w:val="15"/>
                <w:color w:val="FFFFFF"/>
              </w:rPr>
              <w:t>$ MILLION</w:t>
            </w:r>
          </w:p>
        </w:tc>
      </w:tr>
      <w:tr>
        <w:trPr>
          <w:trHeight w:val="135"/>
        </w:trPr>
        <w:tc>
          <w:tcPr>
            <w:tcW w:w="524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2060" w:type="dxa"/>
            <w:vAlign w:val="bottom"/>
            <w:gridSpan w:val="2"/>
          </w:tcPr>
          <w:p>
            <w:pPr>
              <w:jc w:val="right"/>
              <w:ind w:right="700"/>
              <w:spacing w:after="0" w:line="135" w:lineRule="exact"/>
              <w:rPr>
                <w:sz w:val="20"/>
                <w:szCs w:val="20"/>
                <w:color w:val="auto"/>
              </w:rPr>
            </w:pPr>
            <w:r>
              <w:rPr>
                <w:rFonts w:ascii="Arial" w:cs="Arial" w:eastAsia="Arial" w:hAnsi="Arial"/>
                <w:sz w:val="13"/>
                <w:szCs w:val="13"/>
                <w:color w:val="auto"/>
              </w:rPr>
              <w:t>Facility</w:t>
            </w:r>
          </w:p>
        </w:tc>
        <w:tc>
          <w:tcPr>
            <w:tcW w:w="1360" w:type="dxa"/>
            <w:vAlign w:val="bottom"/>
          </w:tcPr>
          <w:p>
            <w:pPr>
              <w:spacing w:after="0"/>
              <w:rPr>
                <w:sz w:val="11"/>
                <w:szCs w:val="11"/>
                <w:color w:val="auto"/>
              </w:rPr>
            </w:pPr>
          </w:p>
        </w:tc>
        <w:tc>
          <w:tcPr>
            <w:tcW w:w="1380" w:type="dxa"/>
            <w:vAlign w:val="bottom"/>
          </w:tcPr>
          <w:p>
            <w:pPr>
              <w:jc w:val="right"/>
              <w:ind w:right="270"/>
              <w:spacing w:after="0" w:line="135" w:lineRule="exact"/>
              <w:rPr>
                <w:sz w:val="20"/>
                <w:szCs w:val="20"/>
                <w:color w:val="auto"/>
              </w:rPr>
            </w:pPr>
            <w:r>
              <w:rPr>
                <w:rFonts w:ascii="Arial" w:cs="Arial" w:eastAsia="Arial" w:hAnsi="Arial"/>
                <w:sz w:val="13"/>
                <w:szCs w:val="13"/>
                <w:color w:val="auto"/>
              </w:rPr>
              <w:t>Amount undrawn</w:t>
            </w:r>
          </w:p>
        </w:tc>
      </w:tr>
      <w:tr>
        <w:trPr>
          <w:trHeight w:val="129"/>
        </w:trPr>
        <w:tc>
          <w:tcPr>
            <w:tcW w:w="5240" w:type="dxa"/>
            <w:vAlign w:val="bottom"/>
            <w:tcBorders>
              <w:bottom w:val="single" w:sz="8" w:color="auto"/>
            </w:tcBorders>
          </w:tcPr>
          <w:p>
            <w:pPr>
              <w:spacing w:after="0"/>
              <w:rPr>
                <w:sz w:val="11"/>
                <w:szCs w:val="11"/>
                <w:color w:val="auto"/>
              </w:rPr>
            </w:pPr>
          </w:p>
        </w:tc>
        <w:tc>
          <w:tcPr>
            <w:tcW w:w="1380" w:type="dxa"/>
            <w:vAlign w:val="bottom"/>
            <w:tcBorders>
              <w:top w:val="single" w:sz="8" w:color="auto"/>
              <w:bottom w:val="single" w:sz="8" w:color="auto"/>
            </w:tcBorders>
            <w:shd w:val="clear" w:color="auto" w:fill="D8D8D8"/>
          </w:tcPr>
          <w:p>
            <w:pPr>
              <w:jc w:val="right"/>
              <w:ind w:right="290"/>
              <w:spacing w:after="0" w:line="129" w:lineRule="exact"/>
              <w:rPr>
                <w:sz w:val="20"/>
                <w:szCs w:val="20"/>
                <w:color w:val="auto"/>
              </w:rPr>
            </w:pPr>
            <w:r>
              <w:rPr>
                <w:rFonts w:ascii="Arial" w:cs="Arial" w:eastAsia="Arial" w:hAnsi="Arial"/>
                <w:sz w:val="13"/>
                <w:szCs w:val="13"/>
                <w:color w:val="auto"/>
              </w:rPr>
              <w:t>Dec 31, 2014</w:t>
            </w:r>
          </w:p>
        </w:tc>
        <w:tc>
          <w:tcPr>
            <w:tcW w:w="1460" w:type="dxa"/>
            <w:vAlign w:val="bottom"/>
            <w:tcBorders>
              <w:top w:val="single" w:sz="8" w:color="auto"/>
              <w:bottom w:val="single" w:sz="8" w:color="auto"/>
            </w:tcBorders>
          </w:tcPr>
          <w:p>
            <w:pPr>
              <w:jc w:val="right"/>
              <w:ind w:right="31"/>
              <w:spacing w:after="0" w:line="129" w:lineRule="exact"/>
              <w:rPr>
                <w:sz w:val="20"/>
                <w:szCs w:val="20"/>
                <w:color w:val="auto"/>
              </w:rPr>
            </w:pPr>
            <w:r>
              <w:rPr>
                <w:rFonts w:ascii="Arial" w:cs="Arial" w:eastAsia="Arial" w:hAnsi="Arial"/>
                <w:sz w:val="13"/>
                <w:szCs w:val="13"/>
                <w:color w:val="auto"/>
              </w:rPr>
              <w:t>Dec 31, 2013</w:t>
            </w:r>
          </w:p>
        </w:tc>
        <w:tc>
          <w:tcPr>
            <w:tcW w:w="600" w:type="dxa"/>
            <w:vAlign w:val="bottom"/>
            <w:tcBorders>
              <w:bottom w:val="single" w:sz="8" w:color="auto"/>
            </w:tcBorders>
          </w:tcPr>
          <w:p>
            <w:pPr>
              <w:spacing w:after="0"/>
              <w:rPr>
                <w:sz w:val="11"/>
                <w:szCs w:val="11"/>
                <w:color w:val="auto"/>
              </w:rPr>
            </w:pPr>
          </w:p>
        </w:tc>
        <w:tc>
          <w:tcPr>
            <w:tcW w:w="1360" w:type="dxa"/>
            <w:vAlign w:val="bottom"/>
            <w:tcBorders>
              <w:top w:val="single" w:sz="8" w:color="auto"/>
              <w:bottom w:val="single" w:sz="8" w:color="auto"/>
            </w:tcBorders>
            <w:shd w:val="clear" w:color="auto" w:fill="D8D8D8"/>
          </w:tcPr>
          <w:p>
            <w:pPr>
              <w:jc w:val="right"/>
              <w:ind w:right="270"/>
              <w:spacing w:after="0" w:line="129" w:lineRule="exact"/>
              <w:rPr>
                <w:sz w:val="20"/>
                <w:szCs w:val="20"/>
                <w:color w:val="auto"/>
              </w:rPr>
            </w:pPr>
            <w:r>
              <w:rPr>
                <w:rFonts w:ascii="Arial" w:cs="Arial" w:eastAsia="Arial" w:hAnsi="Arial"/>
                <w:sz w:val="13"/>
                <w:szCs w:val="13"/>
                <w:color w:val="auto"/>
              </w:rPr>
              <w:t>Dec 31, 2014</w:t>
            </w:r>
          </w:p>
        </w:tc>
        <w:tc>
          <w:tcPr>
            <w:tcW w:w="1380" w:type="dxa"/>
            <w:vAlign w:val="bottom"/>
            <w:tcBorders>
              <w:top w:val="single" w:sz="8" w:color="auto"/>
              <w:bottom w:val="single" w:sz="8" w:color="auto"/>
            </w:tcBorders>
          </w:tcPr>
          <w:p>
            <w:pPr>
              <w:jc w:val="right"/>
              <w:ind w:right="270"/>
              <w:spacing w:after="0" w:line="129" w:lineRule="exact"/>
              <w:rPr>
                <w:sz w:val="20"/>
                <w:szCs w:val="20"/>
                <w:color w:val="auto"/>
              </w:rPr>
            </w:pPr>
            <w:r>
              <w:rPr>
                <w:rFonts w:ascii="Arial" w:cs="Arial" w:eastAsia="Arial" w:hAnsi="Arial"/>
                <w:sz w:val="13"/>
                <w:szCs w:val="13"/>
                <w:color w:val="auto"/>
              </w:rPr>
              <w:t>Dec 31, 2013</w:t>
            </w:r>
          </w:p>
        </w:tc>
      </w:tr>
      <w:tr>
        <w:trPr>
          <w:trHeight w:val="156"/>
        </w:trPr>
        <w:tc>
          <w:tcPr>
            <w:tcW w:w="5240" w:type="dxa"/>
            <w:vAlign w:val="bottom"/>
          </w:tcPr>
          <w:p>
            <w:pPr>
              <w:spacing w:after="0" w:line="155" w:lineRule="exact"/>
              <w:rPr>
                <w:sz w:val="20"/>
                <w:szCs w:val="20"/>
                <w:color w:val="auto"/>
              </w:rPr>
            </w:pPr>
            <w:r>
              <w:rPr>
                <w:rFonts w:ascii="Arial" w:cs="Arial" w:eastAsia="Arial" w:hAnsi="Arial"/>
                <w:sz w:val="14"/>
                <w:szCs w:val="14"/>
                <w:color w:val="auto"/>
              </w:rPr>
              <w:t>CP programmes</w:t>
            </w:r>
          </w:p>
        </w:tc>
        <w:tc>
          <w:tcPr>
            <w:tcW w:w="1380" w:type="dxa"/>
            <w:vAlign w:val="bottom"/>
            <w:shd w:val="clear" w:color="auto" w:fill="D8D8D8"/>
          </w:tcPr>
          <w:p>
            <w:pPr>
              <w:jc w:val="right"/>
              <w:ind w:right="270"/>
              <w:spacing w:after="0" w:line="155" w:lineRule="exact"/>
              <w:rPr>
                <w:sz w:val="20"/>
                <w:szCs w:val="20"/>
                <w:color w:val="auto"/>
              </w:rPr>
            </w:pPr>
            <w:r>
              <w:rPr>
                <w:rFonts w:ascii="Arial" w:cs="Arial" w:eastAsia="Arial" w:hAnsi="Arial"/>
                <w:sz w:val="14"/>
                <w:szCs w:val="14"/>
                <w:color w:val="auto"/>
              </w:rPr>
              <w:t>20,000</w:t>
            </w:r>
          </w:p>
        </w:tc>
        <w:tc>
          <w:tcPr>
            <w:tcW w:w="1460" w:type="dxa"/>
            <w:vAlign w:val="bottom"/>
          </w:tcPr>
          <w:p>
            <w:pPr>
              <w:jc w:val="right"/>
              <w:ind w:right="31"/>
              <w:spacing w:after="0" w:line="155" w:lineRule="exact"/>
              <w:rPr>
                <w:sz w:val="20"/>
                <w:szCs w:val="20"/>
                <w:color w:val="auto"/>
              </w:rPr>
            </w:pPr>
            <w:r>
              <w:rPr>
                <w:rFonts w:ascii="Arial" w:cs="Arial" w:eastAsia="Arial" w:hAnsi="Arial"/>
                <w:sz w:val="14"/>
                <w:szCs w:val="14"/>
                <w:color w:val="auto"/>
              </w:rPr>
              <w:t>20,000</w:t>
            </w:r>
          </w:p>
        </w:tc>
        <w:tc>
          <w:tcPr>
            <w:tcW w:w="600" w:type="dxa"/>
            <w:vAlign w:val="bottom"/>
          </w:tcPr>
          <w:p>
            <w:pPr>
              <w:spacing w:after="0"/>
              <w:rPr>
                <w:sz w:val="13"/>
                <w:szCs w:val="13"/>
                <w:color w:val="auto"/>
              </w:rPr>
            </w:pPr>
          </w:p>
        </w:tc>
        <w:tc>
          <w:tcPr>
            <w:tcW w:w="1360" w:type="dxa"/>
            <w:vAlign w:val="bottom"/>
            <w:shd w:val="clear" w:color="auto" w:fill="D8D8D8"/>
          </w:tcPr>
          <w:p>
            <w:pPr>
              <w:jc w:val="right"/>
              <w:ind w:right="270"/>
              <w:spacing w:after="0" w:line="155" w:lineRule="exact"/>
              <w:rPr>
                <w:sz w:val="20"/>
                <w:szCs w:val="20"/>
                <w:color w:val="auto"/>
              </w:rPr>
            </w:pPr>
            <w:r>
              <w:rPr>
                <w:rFonts w:ascii="Arial" w:cs="Arial" w:eastAsia="Arial" w:hAnsi="Arial"/>
                <w:sz w:val="14"/>
                <w:szCs w:val="14"/>
                <w:color w:val="auto"/>
              </w:rPr>
              <w:t>20,000</w:t>
            </w:r>
          </w:p>
        </w:tc>
        <w:tc>
          <w:tcPr>
            <w:tcW w:w="1380" w:type="dxa"/>
            <w:vAlign w:val="bottom"/>
          </w:tcPr>
          <w:p>
            <w:pPr>
              <w:jc w:val="right"/>
              <w:ind w:right="270"/>
              <w:spacing w:after="0" w:line="155" w:lineRule="exact"/>
              <w:rPr>
                <w:sz w:val="20"/>
                <w:szCs w:val="20"/>
                <w:color w:val="auto"/>
              </w:rPr>
            </w:pPr>
            <w:r>
              <w:rPr>
                <w:rFonts w:ascii="Arial" w:cs="Arial" w:eastAsia="Arial" w:hAnsi="Arial"/>
                <w:sz w:val="14"/>
                <w:szCs w:val="14"/>
                <w:color w:val="auto"/>
              </w:rPr>
              <w:t>17,000</w:t>
            </w:r>
          </w:p>
        </w:tc>
      </w:tr>
      <w:tr>
        <w:trPr>
          <w:trHeight w:val="162"/>
        </w:trPr>
        <w:tc>
          <w:tcPr>
            <w:tcW w:w="5240" w:type="dxa"/>
            <w:vAlign w:val="bottom"/>
          </w:tcPr>
          <w:p>
            <w:pPr>
              <w:spacing w:after="0"/>
              <w:rPr>
                <w:sz w:val="20"/>
                <w:szCs w:val="20"/>
                <w:color w:val="auto"/>
              </w:rPr>
            </w:pPr>
            <w:r>
              <w:rPr>
                <w:rFonts w:ascii="Arial" w:cs="Arial" w:eastAsia="Arial" w:hAnsi="Arial"/>
                <w:sz w:val="14"/>
                <w:szCs w:val="14"/>
                <w:color w:val="auto"/>
              </w:rPr>
              <w:t>EMTN programme</w:t>
            </w:r>
          </w:p>
        </w:tc>
        <w:tc>
          <w:tcPr>
            <w:tcW w:w="1380" w:type="dxa"/>
            <w:vAlign w:val="bottom"/>
            <w:shd w:val="clear" w:color="auto" w:fill="D8D8D8"/>
          </w:tcPr>
          <w:p>
            <w:pPr>
              <w:jc w:val="right"/>
              <w:ind w:right="270"/>
              <w:spacing w:after="0"/>
              <w:rPr>
                <w:sz w:val="20"/>
                <w:szCs w:val="20"/>
                <w:color w:val="auto"/>
              </w:rPr>
            </w:pPr>
            <w:r>
              <w:rPr>
                <w:rFonts w:ascii="Arial" w:cs="Arial" w:eastAsia="Arial" w:hAnsi="Arial"/>
                <w:sz w:val="14"/>
                <w:szCs w:val="14"/>
                <w:color w:val="auto"/>
              </w:rPr>
              <w:t>25,000</w:t>
            </w:r>
          </w:p>
        </w:tc>
        <w:tc>
          <w:tcPr>
            <w:tcW w:w="1460" w:type="dxa"/>
            <w:vAlign w:val="bottom"/>
          </w:tcPr>
          <w:p>
            <w:pPr>
              <w:jc w:val="right"/>
              <w:ind w:right="31"/>
              <w:spacing w:after="0"/>
              <w:rPr>
                <w:sz w:val="20"/>
                <w:szCs w:val="20"/>
                <w:color w:val="auto"/>
              </w:rPr>
            </w:pPr>
            <w:r>
              <w:rPr>
                <w:rFonts w:ascii="Arial" w:cs="Arial" w:eastAsia="Arial" w:hAnsi="Arial"/>
                <w:sz w:val="14"/>
                <w:szCs w:val="14"/>
                <w:color w:val="auto"/>
              </w:rPr>
              <w:t>25,000</w:t>
            </w:r>
          </w:p>
        </w:tc>
        <w:tc>
          <w:tcPr>
            <w:tcW w:w="600" w:type="dxa"/>
            <w:vAlign w:val="bottom"/>
          </w:tcPr>
          <w:p>
            <w:pPr>
              <w:spacing w:after="0"/>
              <w:rPr>
                <w:sz w:val="14"/>
                <w:szCs w:val="14"/>
                <w:color w:val="auto"/>
              </w:rPr>
            </w:pPr>
          </w:p>
        </w:tc>
        <w:tc>
          <w:tcPr>
            <w:tcW w:w="1360" w:type="dxa"/>
            <w:vAlign w:val="bottom"/>
            <w:shd w:val="clear" w:color="auto" w:fill="D8D8D8"/>
          </w:tcPr>
          <w:p>
            <w:pPr>
              <w:jc w:val="right"/>
              <w:ind w:right="270"/>
              <w:spacing w:after="0"/>
              <w:rPr>
                <w:sz w:val="20"/>
                <w:szCs w:val="20"/>
                <w:color w:val="auto"/>
              </w:rPr>
            </w:pPr>
            <w:r>
              <w:rPr>
                <w:rFonts w:ascii="Arial" w:cs="Arial" w:eastAsia="Arial" w:hAnsi="Arial"/>
                <w:sz w:val="14"/>
                <w:szCs w:val="14"/>
                <w:color w:val="auto"/>
              </w:rPr>
              <w:t>12,117</w:t>
            </w:r>
          </w:p>
        </w:tc>
        <w:tc>
          <w:tcPr>
            <w:tcW w:w="1380" w:type="dxa"/>
            <w:vAlign w:val="bottom"/>
          </w:tcPr>
          <w:p>
            <w:pPr>
              <w:jc w:val="right"/>
              <w:ind w:right="270"/>
              <w:spacing w:after="0"/>
              <w:rPr>
                <w:sz w:val="20"/>
                <w:szCs w:val="20"/>
                <w:color w:val="auto"/>
              </w:rPr>
            </w:pPr>
            <w:r>
              <w:rPr>
                <w:rFonts w:ascii="Arial" w:cs="Arial" w:eastAsia="Arial" w:hAnsi="Arial"/>
                <w:sz w:val="14"/>
                <w:szCs w:val="14"/>
                <w:color w:val="auto"/>
              </w:rPr>
              <w:t>18,023</w:t>
            </w:r>
          </w:p>
        </w:tc>
      </w:tr>
      <w:tr>
        <w:trPr>
          <w:trHeight w:val="167"/>
        </w:trPr>
        <w:tc>
          <w:tcPr>
            <w:tcW w:w="5240" w:type="dxa"/>
            <w:vAlign w:val="bottom"/>
          </w:tcPr>
          <w:p>
            <w:pPr>
              <w:spacing w:after="0"/>
              <w:rPr>
                <w:sz w:val="20"/>
                <w:szCs w:val="20"/>
                <w:color w:val="auto"/>
              </w:rPr>
            </w:pPr>
            <w:r>
              <w:rPr>
                <w:rFonts w:ascii="Arial" w:cs="Arial" w:eastAsia="Arial" w:hAnsi="Arial"/>
                <w:sz w:val="14"/>
                <w:szCs w:val="14"/>
                <w:color w:val="auto"/>
              </w:rPr>
              <w:t>US shelf registration</w:t>
            </w:r>
          </w:p>
        </w:tc>
        <w:tc>
          <w:tcPr>
            <w:tcW w:w="1380" w:type="dxa"/>
            <w:vAlign w:val="bottom"/>
            <w:shd w:val="clear" w:color="auto" w:fill="D8D8D8"/>
          </w:tcPr>
          <w:p>
            <w:pPr>
              <w:jc w:val="right"/>
              <w:ind w:right="270"/>
              <w:spacing w:after="0"/>
              <w:rPr>
                <w:sz w:val="20"/>
                <w:szCs w:val="20"/>
                <w:color w:val="auto"/>
              </w:rPr>
            </w:pPr>
            <w:r>
              <w:rPr>
                <w:rFonts w:ascii="Arial" w:cs="Arial" w:eastAsia="Arial" w:hAnsi="Arial"/>
                <w:sz w:val="14"/>
                <w:szCs w:val="14"/>
                <w:color w:val="auto"/>
              </w:rPr>
              <w:t>unlimited</w:t>
            </w:r>
          </w:p>
        </w:tc>
        <w:tc>
          <w:tcPr>
            <w:tcW w:w="2060" w:type="dxa"/>
            <w:vAlign w:val="bottom"/>
            <w:gridSpan w:val="2"/>
          </w:tcPr>
          <w:p>
            <w:pPr>
              <w:jc w:val="right"/>
              <w:ind w:right="700"/>
              <w:spacing w:after="0"/>
              <w:rPr>
                <w:sz w:val="20"/>
                <w:szCs w:val="20"/>
                <w:color w:val="auto"/>
              </w:rPr>
            </w:pPr>
            <w:r>
              <w:rPr>
                <w:rFonts w:ascii="Arial" w:cs="Arial" w:eastAsia="Arial" w:hAnsi="Arial"/>
                <w:sz w:val="14"/>
                <w:szCs w:val="14"/>
                <w:color w:val="auto"/>
              </w:rPr>
              <w:t>unlimited</w:t>
            </w:r>
          </w:p>
        </w:tc>
        <w:tc>
          <w:tcPr>
            <w:tcW w:w="1360" w:type="dxa"/>
            <w:vAlign w:val="bottom"/>
            <w:shd w:val="clear" w:color="auto" w:fill="D8D8D8"/>
          </w:tcPr>
          <w:p>
            <w:pPr>
              <w:jc w:val="right"/>
              <w:ind w:right="270"/>
              <w:spacing w:after="0"/>
              <w:rPr>
                <w:sz w:val="20"/>
                <w:szCs w:val="20"/>
                <w:color w:val="auto"/>
              </w:rPr>
            </w:pPr>
            <w:r>
              <w:rPr>
                <w:rFonts w:ascii="Arial" w:cs="Arial" w:eastAsia="Arial" w:hAnsi="Arial"/>
                <w:sz w:val="14"/>
                <w:szCs w:val="14"/>
                <w:color w:val="auto"/>
              </w:rPr>
              <w:t>n/a</w:t>
            </w:r>
          </w:p>
        </w:tc>
        <w:tc>
          <w:tcPr>
            <w:tcW w:w="1380" w:type="dxa"/>
            <w:vAlign w:val="bottom"/>
          </w:tcPr>
          <w:p>
            <w:pPr>
              <w:jc w:val="right"/>
              <w:ind w:right="270"/>
              <w:spacing w:after="0"/>
              <w:rPr>
                <w:sz w:val="20"/>
                <w:szCs w:val="20"/>
                <w:color w:val="auto"/>
              </w:rPr>
            </w:pPr>
            <w:r>
              <w:rPr>
                <w:rFonts w:ascii="Arial" w:cs="Arial" w:eastAsia="Arial" w:hAnsi="Arial"/>
                <w:sz w:val="14"/>
                <w:szCs w:val="14"/>
                <w:color w:val="auto"/>
              </w:rPr>
              <w:t>n/a</w:t>
            </w:r>
          </w:p>
        </w:tc>
      </w:tr>
      <w:tr>
        <w:trPr>
          <w:trHeight w:val="157"/>
        </w:trPr>
        <w:tc>
          <w:tcPr>
            <w:tcW w:w="5240" w:type="dxa"/>
            <w:vAlign w:val="bottom"/>
            <w:tcBorders>
              <w:bottom w:val="single" w:sz="8" w:color="auto"/>
            </w:tcBorders>
          </w:tcPr>
          <w:p>
            <w:pPr>
              <w:spacing w:after="0" w:line="157" w:lineRule="exact"/>
              <w:rPr>
                <w:sz w:val="20"/>
                <w:szCs w:val="20"/>
                <w:color w:val="auto"/>
              </w:rPr>
            </w:pPr>
            <w:r>
              <w:rPr>
                <w:rFonts w:ascii="Arial" w:cs="Arial" w:eastAsia="Arial" w:hAnsi="Arial"/>
                <w:sz w:val="14"/>
                <w:szCs w:val="14"/>
                <w:color w:val="auto"/>
              </w:rPr>
              <w:t>Committed credit facility</w:t>
            </w:r>
          </w:p>
        </w:tc>
        <w:tc>
          <w:tcPr>
            <w:tcW w:w="1380" w:type="dxa"/>
            <w:vAlign w:val="bottom"/>
            <w:tcBorders>
              <w:bottom w:val="single" w:sz="8" w:color="auto"/>
            </w:tcBorders>
            <w:shd w:val="clear" w:color="auto" w:fill="D8D8D8"/>
          </w:tcPr>
          <w:p>
            <w:pPr>
              <w:jc w:val="right"/>
              <w:ind w:right="270"/>
              <w:spacing w:after="0" w:line="157" w:lineRule="exact"/>
              <w:rPr>
                <w:sz w:val="20"/>
                <w:szCs w:val="20"/>
                <w:color w:val="auto"/>
              </w:rPr>
            </w:pPr>
            <w:r>
              <w:rPr>
                <w:rFonts w:ascii="Arial" w:cs="Arial" w:eastAsia="Arial" w:hAnsi="Arial"/>
                <w:sz w:val="14"/>
                <w:szCs w:val="14"/>
                <w:color w:val="auto"/>
              </w:rPr>
              <w:t>7,480</w:t>
            </w:r>
          </w:p>
        </w:tc>
        <w:tc>
          <w:tcPr>
            <w:tcW w:w="1460" w:type="dxa"/>
            <w:vAlign w:val="bottom"/>
            <w:tcBorders>
              <w:bottom w:val="single" w:sz="8" w:color="auto"/>
            </w:tcBorders>
          </w:tcPr>
          <w:p>
            <w:pPr>
              <w:jc w:val="right"/>
              <w:ind w:right="31"/>
              <w:spacing w:after="0" w:line="157" w:lineRule="exact"/>
              <w:rPr>
                <w:sz w:val="20"/>
                <w:szCs w:val="20"/>
                <w:color w:val="auto"/>
              </w:rPr>
            </w:pPr>
            <w:r>
              <w:rPr>
                <w:rFonts w:ascii="Arial" w:cs="Arial" w:eastAsia="Arial" w:hAnsi="Arial"/>
                <w:sz w:val="14"/>
                <w:szCs w:val="14"/>
                <w:color w:val="auto"/>
              </w:rPr>
              <w:t>7,480</w:t>
            </w:r>
          </w:p>
        </w:tc>
        <w:tc>
          <w:tcPr>
            <w:tcW w:w="60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shd w:val="clear" w:color="auto" w:fill="D8D8D8"/>
          </w:tcPr>
          <w:p>
            <w:pPr>
              <w:jc w:val="right"/>
              <w:ind w:right="270"/>
              <w:spacing w:after="0" w:line="157" w:lineRule="exact"/>
              <w:rPr>
                <w:sz w:val="20"/>
                <w:szCs w:val="20"/>
                <w:color w:val="auto"/>
              </w:rPr>
            </w:pPr>
            <w:r>
              <w:rPr>
                <w:rFonts w:ascii="Arial" w:cs="Arial" w:eastAsia="Arial" w:hAnsi="Arial"/>
                <w:sz w:val="14"/>
                <w:szCs w:val="14"/>
                <w:color w:val="auto"/>
              </w:rPr>
              <w:t>7,480</w:t>
            </w:r>
          </w:p>
        </w:tc>
        <w:tc>
          <w:tcPr>
            <w:tcW w:w="1380" w:type="dxa"/>
            <w:vAlign w:val="bottom"/>
            <w:tcBorders>
              <w:bottom w:val="single" w:sz="8" w:color="auto"/>
            </w:tcBorders>
          </w:tcPr>
          <w:p>
            <w:pPr>
              <w:jc w:val="right"/>
              <w:ind w:right="270"/>
              <w:spacing w:after="0" w:line="157" w:lineRule="exact"/>
              <w:rPr>
                <w:sz w:val="20"/>
                <w:szCs w:val="20"/>
                <w:color w:val="auto"/>
              </w:rPr>
            </w:pPr>
            <w:r>
              <w:rPr>
                <w:rFonts w:ascii="Arial" w:cs="Arial" w:eastAsia="Arial" w:hAnsi="Arial"/>
                <w:sz w:val="14"/>
                <w:szCs w:val="14"/>
                <w:color w:val="auto"/>
              </w:rPr>
              <w:t>7,480</w:t>
            </w:r>
          </w:p>
        </w:tc>
      </w:tr>
    </w:tbl>
    <w:p>
      <w:pPr>
        <w:sectPr>
          <w:pgSz w:w="11900" w:h="16838" w:orient="portrait"/>
          <w:cols w:equalWidth="0" w:num="1">
            <w:col w:w="11420"/>
          </w:cols>
          <w:pgMar w:left="240" w:top="459" w:right="239" w:bottom="1440" w:gutter="0" w:footer="0" w:header="0"/>
        </w:sectPr>
      </w:pPr>
    </w:p>
    <w:bookmarkStart w:id="126" w:name="page127"/>
    <w:bookmarkEnd w:id="1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3555365</wp:posOffset>
            </wp:positionH>
            <wp:positionV relativeFrom="paragraph">
              <wp:posOffset>300355</wp:posOffset>
            </wp:positionV>
            <wp:extent cx="3696335" cy="46291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3696335" cy="462915"/>
                    </a:xfrm>
                    <a:prstGeom prst="rect">
                      <a:avLst/>
                    </a:prstGeom>
                    <a:noFill/>
                  </pic:spPr>
                </pic:pic>
              </a:graphicData>
            </a:graphic>
          </wp:anchor>
        </w:drawing>
      </w:r>
    </w:p>
    <w:p>
      <w:pPr>
        <w:spacing w:after="0" w:line="200" w:lineRule="exact"/>
        <w:rPr>
          <w:sz w:val="20"/>
          <w:szCs w:val="20"/>
          <w:color w:val="auto"/>
        </w:rPr>
      </w:pPr>
    </w:p>
    <w:p>
      <w:pPr>
        <w:spacing w:after="0" w:line="253" w:lineRule="exact"/>
        <w:rPr>
          <w:sz w:val="20"/>
          <w:szCs w:val="20"/>
          <w:color w:val="auto"/>
        </w:rPr>
      </w:pPr>
    </w:p>
    <w:tbl>
      <w:tblPr>
        <w:tblLayout w:type="fixed"/>
        <w:tblInd w:w="5600" w:type="dxa"/>
        <w:tblCellMar>
          <w:top w:w="0" w:type="dxa"/>
          <w:left w:w="0" w:type="dxa"/>
          <w:bottom w:w="0" w:type="dxa"/>
          <w:right w:w="0" w:type="dxa"/>
        </w:tblCellMar>
      </w:tblPr>
      <w:tr>
        <w:trPr>
          <w:trHeight w:val="419"/>
        </w:trPr>
        <w:tc>
          <w:tcPr>
            <w:tcW w:w="4440" w:type="dxa"/>
            <w:vAlign w:val="bottom"/>
            <w:shd w:val="clear" w:color="auto" w:fill="FF8B00"/>
          </w:tcPr>
          <w:p>
            <w:pPr>
              <w:spacing w:after="0"/>
              <w:rPr>
                <w:sz w:val="24"/>
                <w:szCs w:val="24"/>
                <w:color w:val="auto"/>
              </w:rPr>
            </w:pPr>
          </w:p>
        </w:tc>
        <w:tc>
          <w:tcPr>
            <w:tcW w:w="1380" w:type="dxa"/>
            <w:vAlign w:val="bottom"/>
            <w:shd w:val="clear" w:color="auto" w:fill="FF8B00"/>
          </w:tcPr>
          <w:p>
            <w:pPr>
              <w:spacing w:after="0"/>
              <w:rPr>
                <w:sz w:val="24"/>
                <w:szCs w:val="24"/>
                <w:color w:val="auto"/>
              </w:rPr>
            </w:pPr>
          </w:p>
        </w:tc>
      </w:tr>
      <w:tr>
        <w:trPr>
          <w:trHeight w:val="152"/>
        </w:trPr>
        <w:tc>
          <w:tcPr>
            <w:tcW w:w="4440" w:type="dxa"/>
            <w:vAlign w:val="bottom"/>
          </w:tcPr>
          <w:p>
            <w:pPr>
              <w:ind w:left="880"/>
              <w:spacing w:after="0"/>
              <w:rPr>
                <w:sz w:val="20"/>
                <w:szCs w:val="20"/>
                <w:color w:val="auto"/>
              </w:rPr>
            </w:pPr>
            <w:r>
              <w:rPr>
                <w:rFonts w:ascii="Arial" w:cs="Arial" w:eastAsia="Arial" w:hAnsi="Arial"/>
                <w:sz w:val="13"/>
                <w:szCs w:val="13"/>
                <w:color w:val="333333"/>
              </w:rPr>
              <w:t>FINANCIAL STATEMENTS AND SUPPLEMENTS</w:t>
            </w:r>
          </w:p>
        </w:tc>
        <w:tc>
          <w:tcPr>
            <w:tcW w:w="1380" w:type="dxa"/>
            <w:vAlign w:val="bottom"/>
          </w:tcPr>
          <w:p>
            <w:pPr>
              <w:jc w:val="right"/>
              <w:ind w:right="366"/>
              <w:spacing w:after="0"/>
              <w:rPr>
                <w:sz w:val="20"/>
                <w:szCs w:val="20"/>
                <w:color w:val="auto"/>
              </w:rPr>
            </w:pPr>
            <w:r>
              <w:rPr>
                <w:rFonts w:ascii="Arial" w:cs="Arial" w:eastAsia="Arial" w:hAnsi="Arial"/>
                <w:sz w:val="11"/>
                <w:szCs w:val="11"/>
                <w:b w:val="1"/>
                <w:bCs w:val="1"/>
                <w:color w:val="333333"/>
              </w:rPr>
              <w:t>125</w:t>
            </w:r>
          </w:p>
        </w:tc>
      </w:tr>
    </w:tbl>
    <w:p>
      <w:pPr>
        <w:spacing w:after="0" w:line="155" w:lineRule="exact"/>
        <w:rPr>
          <w:sz w:val="20"/>
          <w:szCs w:val="20"/>
          <w:color w:val="auto"/>
        </w:rPr>
      </w:pPr>
    </w:p>
    <w:p>
      <w:pPr>
        <w:spacing w:after="0"/>
        <w:tabs>
          <w:tab w:leader="none" w:pos="6460" w:val="left"/>
        </w:tabs>
        <w:rPr>
          <w:sz w:val="20"/>
          <w:szCs w:val="20"/>
          <w:color w:val="auto"/>
        </w:rPr>
      </w:pPr>
      <w:r>
        <w:rPr>
          <w:rFonts w:ascii="Arial" w:cs="Arial" w:eastAsia="Arial" w:hAnsi="Arial"/>
          <w:sz w:val="11"/>
          <w:szCs w:val="11"/>
          <w:color w:val="auto"/>
        </w:rPr>
        <w:t>SHELL ANNUAL REPORT AND FORM 20-F 2014</w:t>
      </w:r>
      <w:r>
        <w:rPr>
          <w:sz w:val="20"/>
          <w:szCs w:val="20"/>
          <w:color w:val="auto"/>
        </w:rPr>
        <w:tab/>
      </w:r>
      <w:r>
        <w:rPr>
          <w:rFonts w:ascii="Arial" w:cs="Arial" w:eastAsia="Arial" w:hAnsi="Arial"/>
          <w:sz w:val="10"/>
          <w:szCs w:val="10"/>
          <w:color w:val="auto"/>
        </w:rPr>
        <w:t>CONSOLIDATED FINANCIAL STATEMENTS</w:t>
      </w:r>
    </w:p>
    <w:p>
      <w:pPr>
        <w:spacing w:after="0" w:line="3" w:lineRule="exact"/>
        <w:rPr>
          <w:sz w:val="20"/>
          <w:szCs w:val="20"/>
          <w:color w:val="auto"/>
        </w:rPr>
      </w:pPr>
    </w:p>
    <w:p>
      <w:pPr>
        <w:ind w:right="20"/>
        <w:spacing w:after="0" w:line="245" w:lineRule="auto"/>
        <w:rPr>
          <w:sz w:val="20"/>
          <w:szCs w:val="20"/>
          <w:color w:val="auto"/>
        </w:rPr>
      </w:pPr>
      <w:r>
        <w:rPr>
          <w:rFonts w:ascii="Arial" w:cs="Arial" w:eastAsia="Arial" w:hAnsi="Arial"/>
          <w:sz w:val="14"/>
          <w:szCs w:val="14"/>
          <w:color w:val="auto"/>
        </w:rPr>
        <w:t>Under the CP programmes, Shell can issue debt of up to $10 billion with maturities not exceeding 270 days and $10 billion with maturities not exceeding 397 days. The EMTN programme is updated each year, most recently in August 2014. $6,394 million was issued under this programme in 2014 (2013: $nil). The US shelf registration provides Shell with the flexibility to issue debt securities, ordinary shares, preferred shares and warrants. The registration is updated every three years and was last updated in October 2014. During 2014, no debt (2013: $7,750 million) was issued under the registration. The committed credit facility is available on same-day terms, at pre-agreed margins, and is due to expire in 2019 but may, by mutual agreement, be extended for a further year. The terms and availability are not conditional on Shell’s financial ratios or its financial credit ratings.</w:t>
      </w:r>
    </w:p>
    <w:p>
      <w:pPr>
        <w:spacing w:after="0" w:line="178" w:lineRule="exact"/>
        <w:rPr>
          <w:sz w:val="20"/>
          <w:szCs w:val="20"/>
          <w:color w:val="auto"/>
        </w:rPr>
      </w:pPr>
    </w:p>
    <w:p>
      <w:pPr>
        <w:spacing w:after="0"/>
        <w:rPr>
          <w:sz w:val="20"/>
          <w:szCs w:val="20"/>
          <w:color w:val="auto"/>
        </w:rPr>
      </w:pPr>
      <w:r>
        <w:rPr>
          <w:rFonts w:ascii="Arial" w:cs="Arial" w:eastAsia="Arial" w:hAnsi="Arial"/>
          <w:sz w:val="14"/>
          <w:szCs w:val="14"/>
          <w:color w:val="auto"/>
        </w:rPr>
        <w:t>In addition, other subsidiaries have access to short-term bank facilities totalling $3,760 million at December 31, 2014 (2013: $3,631 million).</w:t>
      </w:r>
    </w:p>
    <w:p>
      <w:pPr>
        <w:spacing w:after="0" w:line="177" w:lineRule="exact"/>
        <w:rPr>
          <w:sz w:val="20"/>
          <w:szCs w:val="20"/>
          <w:color w:val="auto"/>
        </w:rPr>
      </w:pPr>
    </w:p>
    <w:p>
      <w:pPr>
        <w:spacing w:after="0"/>
        <w:rPr>
          <w:sz w:val="20"/>
          <w:szCs w:val="20"/>
          <w:color w:val="auto"/>
        </w:rPr>
      </w:pPr>
      <w:r>
        <w:rPr>
          <w:rFonts w:ascii="Arial" w:cs="Arial" w:eastAsia="Arial" w:hAnsi="Arial"/>
          <w:sz w:val="14"/>
          <w:szCs w:val="14"/>
          <w:color w:val="auto"/>
        </w:rPr>
        <w:t>Information about liquidity risk is presented in Note 19.</w:t>
      </w:r>
    </w:p>
    <w:p>
      <w:pPr>
        <w:spacing w:after="0" w:line="177" w:lineRule="exact"/>
        <w:rPr>
          <w:sz w:val="20"/>
          <w:szCs w:val="20"/>
          <w:color w:val="auto"/>
        </w:rPr>
      </w:pPr>
    </w:p>
    <w:p>
      <w:pPr>
        <w:ind w:right="80"/>
        <w:spacing w:after="0" w:line="249" w:lineRule="auto"/>
        <w:rPr>
          <w:sz w:val="20"/>
          <w:szCs w:val="20"/>
          <w:color w:val="auto"/>
        </w:rPr>
      </w:pPr>
      <w:r>
        <w:rPr>
          <w:rFonts w:ascii="Arial" w:cs="Arial" w:eastAsia="Arial" w:hAnsi="Arial"/>
          <w:sz w:val="14"/>
          <w:szCs w:val="14"/>
          <w:color w:val="auto"/>
        </w:rPr>
        <w:t>Interest rate swaps were entered into against certain of the fixed rate debt due to mature after more than one year, affecting the effective interest rate on these balances (see Note 19).</w:t>
      </w:r>
    </w:p>
    <w:p>
      <w:pPr>
        <w:spacing w:after="0" w:line="346" w:lineRule="exact"/>
        <w:rPr>
          <w:sz w:val="20"/>
          <w:szCs w:val="20"/>
          <w:color w:val="auto"/>
        </w:rPr>
      </w:pPr>
    </w:p>
    <w:p>
      <w:pPr>
        <w:ind w:right="220"/>
        <w:spacing w:after="0" w:line="247" w:lineRule="auto"/>
        <w:rPr>
          <w:sz w:val="20"/>
          <w:szCs w:val="20"/>
          <w:color w:val="auto"/>
        </w:rPr>
      </w:pPr>
      <w:r>
        <w:rPr>
          <w:rFonts w:ascii="Arial" w:cs="Arial" w:eastAsia="Arial" w:hAnsi="Arial"/>
          <w:sz w:val="14"/>
          <w:szCs w:val="14"/>
          <w:color w:val="auto"/>
        </w:rPr>
        <w:t>The following tables compare contractual cash flows for debt excluding finance lease liabilities at December 31, with the carrying amount in the Consolidated Balance Sheet. Contractual amounts reflect the effects of changes in currency exchange rates; differences from carrying amounts reflect the effects of discounting, premiums and, where hedge accounting is applied, fair value adjustments. Interest is estimated assuming interest rates applicable to variable rate debt remain constant and there is no change in aggregate principal amounts of debt other than repayment at scheduled maturity, as reflected in the table.</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3660" w:type="dxa"/>
            <w:vAlign w:val="bottom"/>
            <w:shd w:val="clear" w:color="auto" w:fill="333333"/>
          </w:tcPr>
          <w:p>
            <w:pPr>
              <w:ind w:left="80"/>
              <w:spacing w:after="0"/>
              <w:rPr>
                <w:sz w:val="20"/>
                <w:szCs w:val="20"/>
                <w:color w:val="auto"/>
              </w:rPr>
            </w:pPr>
            <w:r>
              <w:rPr>
                <w:rFonts w:ascii="Arial" w:cs="Arial" w:eastAsia="Arial" w:hAnsi="Arial"/>
                <w:sz w:val="15"/>
                <w:szCs w:val="15"/>
                <w:b w:val="1"/>
                <w:bCs w:val="1"/>
                <w:color w:val="FFFFFF"/>
              </w:rPr>
              <w:t>2014</w:t>
            </w:r>
          </w:p>
        </w:tc>
        <w:tc>
          <w:tcPr>
            <w:tcW w:w="1000" w:type="dxa"/>
            <w:vAlign w:val="bottom"/>
            <w:shd w:val="clear" w:color="auto" w:fill="333333"/>
          </w:tcPr>
          <w:p>
            <w:pPr>
              <w:spacing w:after="0"/>
              <w:rPr>
                <w:sz w:val="14"/>
                <w:szCs w:val="14"/>
                <w:color w:val="auto"/>
              </w:rPr>
            </w:pPr>
          </w:p>
        </w:tc>
        <w:tc>
          <w:tcPr>
            <w:tcW w:w="840" w:type="dxa"/>
            <w:vAlign w:val="bottom"/>
            <w:shd w:val="clear" w:color="auto" w:fill="333333"/>
          </w:tcPr>
          <w:p>
            <w:pPr>
              <w:spacing w:after="0"/>
              <w:rPr>
                <w:sz w:val="14"/>
                <w:szCs w:val="14"/>
                <w:color w:val="auto"/>
              </w:rPr>
            </w:pPr>
          </w:p>
        </w:tc>
        <w:tc>
          <w:tcPr>
            <w:tcW w:w="860" w:type="dxa"/>
            <w:vAlign w:val="bottom"/>
            <w:shd w:val="clear" w:color="auto" w:fill="333333"/>
          </w:tcPr>
          <w:p>
            <w:pPr>
              <w:spacing w:after="0"/>
              <w:rPr>
                <w:sz w:val="14"/>
                <w:szCs w:val="14"/>
                <w:color w:val="auto"/>
              </w:rPr>
            </w:pPr>
          </w:p>
        </w:tc>
        <w:tc>
          <w:tcPr>
            <w:tcW w:w="880" w:type="dxa"/>
            <w:vAlign w:val="bottom"/>
            <w:shd w:val="clear" w:color="auto" w:fill="333333"/>
          </w:tcPr>
          <w:p>
            <w:pPr>
              <w:spacing w:after="0"/>
              <w:rPr>
                <w:sz w:val="14"/>
                <w:szCs w:val="14"/>
                <w:color w:val="auto"/>
              </w:rPr>
            </w:pPr>
          </w:p>
        </w:tc>
        <w:tc>
          <w:tcPr>
            <w:tcW w:w="860" w:type="dxa"/>
            <w:vAlign w:val="bottom"/>
            <w:shd w:val="clear" w:color="auto" w:fill="333333"/>
          </w:tcPr>
          <w:p>
            <w:pPr>
              <w:spacing w:after="0"/>
              <w:rPr>
                <w:sz w:val="14"/>
                <w:szCs w:val="14"/>
                <w:color w:val="auto"/>
              </w:rPr>
            </w:pPr>
          </w:p>
        </w:tc>
        <w:tc>
          <w:tcPr>
            <w:tcW w:w="860" w:type="dxa"/>
            <w:vAlign w:val="bottom"/>
            <w:shd w:val="clear" w:color="auto" w:fill="333333"/>
          </w:tcPr>
          <w:p>
            <w:pPr>
              <w:spacing w:after="0"/>
              <w:rPr>
                <w:sz w:val="14"/>
                <w:szCs w:val="14"/>
                <w:color w:val="auto"/>
              </w:rPr>
            </w:pPr>
          </w:p>
        </w:tc>
        <w:tc>
          <w:tcPr>
            <w:tcW w:w="700" w:type="dxa"/>
            <w:vAlign w:val="bottom"/>
            <w:shd w:val="clear" w:color="auto" w:fill="333333"/>
          </w:tcPr>
          <w:p>
            <w:pPr>
              <w:spacing w:after="0"/>
              <w:rPr>
                <w:sz w:val="14"/>
                <w:szCs w:val="14"/>
                <w:color w:val="auto"/>
              </w:rPr>
            </w:pPr>
          </w:p>
        </w:tc>
        <w:tc>
          <w:tcPr>
            <w:tcW w:w="900" w:type="dxa"/>
            <w:vAlign w:val="bottom"/>
            <w:shd w:val="clear" w:color="auto" w:fill="333333"/>
          </w:tcPr>
          <w:p>
            <w:pPr>
              <w:spacing w:after="0"/>
              <w:rPr>
                <w:sz w:val="14"/>
                <w:szCs w:val="14"/>
                <w:color w:val="auto"/>
              </w:rPr>
            </w:pPr>
          </w:p>
        </w:tc>
        <w:tc>
          <w:tcPr>
            <w:tcW w:w="860" w:type="dxa"/>
            <w:vAlign w:val="bottom"/>
            <w:shd w:val="clear" w:color="auto" w:fill="333333"/>
          </w:tcPr>
          <w:p>
            <w:pPr>
              <w:jc w:val="right"/>
              <w:ind w:right="30"/>
              <w:spacing w:after="0"/>
              <w:rPr>
                <w:sz w:val="20"/>
                <w:szCs w:val="20"/>
                <w:color w:val="auto"/>
              </w:rPr>
            </w:pPr>
            <w:r>
              <w:rPr>
                <w:rFonts w:ascii="Arial" w:cs="Arial" w:eastAsia="Arial" w:hAnsi="Arial"/>
                <w:sz w:val="15"/>
                <w:szCs w:val="15"/>
                <w:color w:val="FFFFFF"/>
              </w:rPr>
              <w:t>$ MILLION</w:t>
            </w:r>
          </w:p>
        </w:tc>
      </w:tr>
      <w:tr>
        <w:trPr>
          <w:trHeight w:val="135"/>
        </w:trPr>
        <w:tc>
          <w:tcPr>
            <w:tcW w:w="3660" w:type="dxa"/>
            <w:vAlign w:val="bottom"/>
          </w:tcPr>
          <w:p>
            <w:pPr>
              <w:spacing w:after="0"/>
              <w:rPr>
                <w:sz w:val="11"/>
                <w:szCs w:val="11"/>
                <w:color w:val="auto"/>
              </w:rPr>
            </w:pPr>
          </w:p>
        </w:tc>
        <w:tc>
          <w:tcPr>
            <w:tcW w:w="100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spacing w:after="0"/>
              <w:rPr>
                <w:sz w:val="11"/>
                <w:szCs w:val="11"/>
                <w:color w:val="auto"/>
              </w:rPr>
            </w:pPr>
          </w:p>
        </w:tc>
        <w:tc>
          <w:tcPr>
            <w:tcW w:w="1560" w:type="dxa"/>
            <w:vAlign w:val="bottom"/>
            <w:tcBorders>
              <w:bottom w:val="single" w:sz="8" w:color="auto"/>
            </w:tcBorders>
            <w:gridSpan w:val="2"/>
          </w:tcPr>
          <w:p>
            <w:pPr>
              <w:jc w:val="right"/>
              <w:ind w:right="10"/>
              <w:spacing w:after="0" w:line="135" w:lineRule="exact"/>
              <w:rPr>
                <w:sz w:val="20"/>
                <w:szCs w:val="20"/>
                <w:color w:val="auto"/>
              </w:rPr>
            </w:pPr>
            <w:r>
              <w:rPr>
                <w:rFonts w:ascii="Arial" w:cs="Arial" w:eastAsia="Arial" w:hAnsi="Arial"/>
                <w:sz w:val="13"/>
                <w:szCs w:val="13"/>
                <w:color w:val="auto"/>
              </w:rPr>
              <w:t>Contractual payments</w:t>
            </w:r>
          </w:p>
        </w:tc>
        <w:tc>
          <w:tcPr>
            <w:tcW w:w="900" w:type="dxa"/>
            <w:vAlign w:val="bottom"/>
          </w:tcPr>
          <w:p>
            <w:pPr>
              <w:jc w:val="right"/>
              <w:spacing w:after="0" w:line="135" w:lineRule="exact"/>
              <w:rPr>
                <w:sz w:val="20"/>
                <w:szCs w:val="20"/>
                <w:color w:val="auto"/>
              </w:rPr>
            </w:pPr>
            <w:r>
              <w:rPr>
                <w:rFonts w:ascii="Arial" w:cs="Arial" w:eastAsia="Arial" w:hAnsi="Arial"/>
                <w:sz w:val="13"/>
                <w:szCs w:val="13"/>
                <w:color w:val="auto"/>
              </w:rPr>
              <w:t>Difference</w:t>
            </w:r>
          </w:p>
        </w:tc>
        <w:tc>
          <w:tcPr>
            <w:tcW w:w="860" w:type="dxa"/>
            <w:vAlign w:val="bottom"/>
          </w:tcPr>
          <w:p>
            <w:pPr>
              <w:spacing w:after="0"/>
              <w:rPr>
                <w:sz w:val="11"/>
                <w:szCs w:val="11"/>
                <w:color w:val="auto"/>
              </w:rPr>
            </w:pPr>
          </w:p>
        </w:tc>
      </w:tr>
      <w:tr>
        <w:trPr>
          <w:trHeight w:val="123"/>
        </w:trPr>
        <w:tc>
          <w:tcPr>
            <w:tcW w:w="36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840" w:type="dxa"/>
            <w:vAlign w:val="bottom"/>
          </w:tcPr>
          <w:p>
            <w:pPr>
              <w:jc w:val="right"/>
              <w:ind w:right="111"/>
              <w:spacing w:after="0" w:line="123" w:lineRule="exact"/>
              <w:rPr>
                <w:sz w:val="20"/>
                <w:szCs w:val="20"/>
                <w:color w:val="auto"/>
              </w:rPr>
            </w:pPr>
            <w:r>
              <w:rPr>
                <w:rFonts w:ascii="Arial" w:cs="Arial" w:eastAsia="Arial" w:hAnsi="Arial"/>
                <w:sz w:val="13"/>
                <w:szCs w:val="13"/>
                <w:color w:val="auto"/>
              </w:rPr>
              <w:t>Between</w:t>
            </w:r>
          </w:p>
        </w:tc>
        <w:tc>
          <w:tcPr>
            <w:tcW w:w="860" w:type="dxa"/>
            <w:vAlign w:val="bottom"/>
          </w:tcPr>
          <w:p>
            <w:pPr>
              <w:jc w:val="right"/>
              <w:ind w:right="111"/>
              <w:spacing w:after="0" w:line="123" w:lineRule="exact"/>
              <w:rPr>
                <w:sz w:val="20"/>
                <w:szCs w:val="20"/>
                <w:color w:val="auto"/>
              </w:rPr>
            </w:pPr>
            <w:r>
              <w:rPr>
                <w:rFonts w:ascii="Arial" w:cs="Arial" w:eastAsia="Arial" w:hAnsi="Arial"/>
                <w:sz w:val="13"/>
                <w:szCs w:val="13"/>
                <w:color w:val="auto"/>
              </w:rPr>
              <w:t>Between</w:t>
            </w:r>
          </w:p>
        </w:tc>
        <w:tc>
          <w:tcPr>
            <w:tcW w:w="880" w:type="dxa"/>
            <w:vAlign w:val="bottom"/>
          </w:tcPr>
          <w:p>
            <w:pPr>
              <w:jc w:val="right"/>
              <w:ind w:right="131"/>
              <w:spacing w:after="0" w:line="123" w:lineRule="exact"/>
              <w:rPr>
                <w:sz w:val="20"/>
                <w:szCs w:val="20"/>
                <w:color w:val="auto"/>
              </w:rPr>
            </w:pPr>
            <w:r>
              <w:rPr>
                <w:rFonts w:ascii="Arial" w:cs="Arial" w:eastAsia="Arial" w:hAnsi="Arial"/>
                <w:sz w:val="13"/>
                <w:szCs w:val="13"/>
                <w:color w:val="auto"/>
              </w:rPr>
              <w:t>Between</w:t>
            </w:r>
          </w:p>
        </w:tc>
        <w:tc>
          <w:tcPr>
            <w:tcW w:w="860" w:type="dxa"/>
            <w:vAlign w:val="bottom"/>
          </w:tcPr>
          <w:p>
            <w:pPr>
              <w:jc w:val="right"/>
              <w:ind w:right="131"/>
              <w:spacing w:after="0" w:line="123" w:lineRule="exact"/>
              <w:rPr>
                <w:sz w:val="20"/>
                <w:szCs w:val="20"/>
                <w:color w:val="auto"/>
              </w:rPr>
            </w:pPr>
            <w:r>
              <w:rPr>
                <w:rFonts w:ascii="Arial" w:cs="Arial" w:eastAsia="Arial" w:hAnsi="Arial"/>
                <w:sz w:val="13"/>
                <w:szCs w:val="13"/>
                <w:color w:val="auto"/>
              </w:rPr>
              <w:t>Between</w:t>
            </w:r>
          </w:p>
        </w:tc>
        <w:tc>
          <w:tcPr>
            <w:tcW w:w="8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900" w:type="dxa"/>
            <w:vAlign w:val="bottom"/>
          </w:tcPr>
          <w:p>
            <w:pPr>
              <w:jc w:val="right"/>
              <w:spacing w:after="0" w:line="123" w:lineRule="exact"/>
              <w:rPr>
                <w:sz w:val="20"/>
                <w:szCs w:val="20"/>
                <w:color w:val="auto"/>
              </w:rPr>
            </w:pPr>
            <w:r>
              <w:rPr>
                <w:rFonts w:ascii="Arial" w:cs="Arial" w:eastAsia="Arial" w:hAnsi="Arial"/>
                <w:sz w:val="13"/>
                <w:szCs w:val="13"/>
                <w:color w:val="auto"/>
              </w:rPr>
              <w:t>from</w:t>
            </w:r>
          </w:p>
        </w:tc>
        <w:tc>
          <w:tcPr>
            <w:tcW w:w="860" w:type="dxa"/>
            <w:vAlign w:val="bottom"/>
          </w:tcPr>
          <w:p>
            <w:pPr>
              <w:spacing w:after="0"/>
              <w:rPr>
                <w:sz w:val="10"/>
                <w:szCs w:val="10"/>
                <w:color w:val="auto"/>
              </w:rPr>
            </w:pPr>
          </w:p>
        </w:tc>
      </w:tr>
      <w:tr>
        <w:trPr>
          <w:trHeight w:val="135"/>
        </w:trPr>
        <w:tc>
          <w:tcPr>
            <w:tcW w:w="3660" w:type="dxa"/>
            <w:vAlign w:val="bottom"/>
          </w:tcPr>
          <w:p>
            <w:pPr>
              <w:spacing w:after="0"/>
              <w:rPr>
                <w:sz w:val="11"/>
                <w:szCs w:val="11"/>
                <w:color w:val="auto"/>
              </w:rPr>
            </w:pPr>
          </w:p>
        </w:tc>
        <w:tc>
          <w:tcPr>
            <w:tcW w:w="1000" w:type="dxa"/>
            <w:vAlign w:val="bottom"/>
          </w:tcPr>
          <w:p>
            <w:pPr>
              <w:jc w:val="right"/>
              <w:ind w:right="111"/>
              <w:spacing w:after="0" w:line="135" w:lineRule="exact"/>
              <w:rPr>
                <w:sz w:val="20"/>
                <w:szCs w:val="20"/>
                <w:color w:val="auto"/>
              </w:rPr>
            </w:pPr>
            <w:r>
              <w:rPr>
                <w:rFonts w:ascii="Arial" w:cs="Arial" w:eastAsia="Arial" w:hAnsi="Arial"/>
                <w:sz w:val="13"/>
                <w:szCs w:val="13"/>
                <w:color w:val="auto"/>
              </w:rPr>
              <w:t>Less than</w:t>
            </w:r>
          </w:p>
        </w:tc>
        <w:tc>
          <w:tcPr>
            <w:tcW w:w="840" w:type="dxa"/>
            <w:vAlign w:val="bottom"/>
          </w:tcPr>
          <w:p>
            <w:pPr>
              <w:jc w:val="right"/>
              <w:ind w:right="111"/>
              <w:spacing w:after="0" w:line="135" w:lineRule="exact"/>
              <w:rPr>
                <w:sz w:val="20"/>
                <w:szCs w:val="20"/>
                <w:color w:val="auto"/>
              </w:rPr>
            </w:pPr>
            <w:r>
              <w:rPr>
                <w:rFonts w:ascii="Arial" w:cs="Arial" w:eastAsia="Arial" w:hAnsi="Arial"/>
                <w:sz w:val="13"/>
                <w:szCs w:val="13"/>
                <w:color w:val="auto"/>
              </w:rPr>
              <w:t>1 and 2</w:t>
            </w:r>
          </w:p>
        </w:tc>
        <w:tc>
          <w:tcPr>
            <w:tcW w:w="860" w:type="dxa"/>
            <w:vAlign w:val="bottom"/>
          </w:tcPr>
          <w:p>
            <w:pPr>
              <w:jc w:val="right"/>
              <w:ind w:right="111"/>
              <w:spacing w:after="0" w:line="135" w:lineRule="exact"/>
              <w:rPr>
                <w:sz w:val="20"/>
                <w:szCs w:val="20"/>
                <w:color w:val="auto"/>
              </w:rPr>
            </w:pPr>
            <w:r>
              <w:rPr>
                <w:rFonts w:ascii="Arial" w:cs="Arial" w:eastAsia="Arial" w:hAnsi="Arial"/>
                <w:sz w:val="13"/>
                <w:szCs w:val="13"/>
                <w:color w:val="auto"/>
              </w:rPr>
              <w:t>2 and 3</w:t>
            </w:r>
          </w:p>
        </w:tc>
        <w:tc>
          <w:tcPr>
            <w:tcW w:w="880" w:type="dxa"/>
            <w:vAlign w:val="bottom"/>
          </w:tcPr>
          <w:p>
            <w:pPr>
              <w:jc w:val="right"/>
              <w:ind w:right="131"/>
              <w:spacing w:after="0" w:line="135" w:lineRule="exact"/>
              <w:rPr>
                <w:sz w:val="20"/>
                <w:szCs w:val="20"/>
                <w:color w:val="auto"/>
              </w:rPr>
            </w:pPr>
            <w:r>
              <w:rPr>
                <w:rFonts w:ascii="Arial" w:cs="Arial" w:eastAsia="Arial" w:hAnsi="Arial"/>
                <w:sz w:val="13"/>
                <w:szCs w:val="13"/>
                <w:color w:val="auto"/>
              </w:rPr>
              <w:t>3 and 4</w:t>
            </w:r>
          </w:p>
        </w:tc>
        <w:tc>
          <w:tcPr>
            <w:tcW w:w="860" w:type="dxa"/>
            <w:vAlign w:val="bottom"/>
          </w:tcPr>
          <w:p>
            <w:pPr>
              <w:jc w:val="right"/>
              <w:ind w:right="131"/>
              <w:spacing w:after="0" w:line="135" w:lineRule="exact"/>
              <w:rPr>
                <w:sz w:val="20"/>
                <w:szCs w:val="20"/>
                <w:color w:val="auto"/>
              </w:rPr>
            </w:pPr>
            <w:r>
              <w:rPr>
                <w:rFonts w:ascii="Arial" w:cs="Arial" w:eastAsia="Arial" w:hAnsi="Arial"/>
                <w:sz w:val="13"/>
                <w:szCs w:val="13"/>
                <w:color w:val="auto"/>
              </w:rPr>
              <w:t>4 and 5</w:t>
            </w:r>
          </w:p>
        </w:tc>
        <w:tc>
          <w:tcPr>
            <w:tcW w:w="860" w:type="dxa"/>
            <w:vAlign w:val="bottom"/>
          </w:tcPr>
          <w:p>
            <w:pPr>
              <w:jc w:val="right"/>
              <w:ind w:right="111"/>
              <w:spacing w:after="0" w:line="135" w:lineRule="exact"/>
              <w:rPr>
                <w:sz w:val="20"/>
                <w:szCs w:val="20"/>
                <w:color w:val="auto"/>
              </w:rPr>
            </w:pPr>
            <w:r>
              <w:rPr>
                <w:rFonts w:ascii="Arial" w:cs="Arial" w:eastAsia="Arial" w:hAnsi="Arial"/>
                <w:sz w:val="13"/>
                <w:szCs w:val="13"/>
                <w:color w:val="auto"/>
              </w:rPr>
              <w:t>5 years</w:t>
            </w:r>
          </w:p>
        </w:tc>
        <w:tc>
          <w:tcPr>
            <w:tcW w:w="700" w:type="dxa"/>
            <w:vAlign w:val="bottom"/>
          </w:tcPr>
          <w:p>
            <w:pPr>
              <w:spacing w:after="0"/>
              <w:rPr>
                <w:sz w:val="11"/>
                <w:szCs w:val="11"/>
                <w:color w:val="auto"/>
              </w:rPr>
            </w:pPr>
          </w:p>
        </w:tc>
        <w:tc>
          <w:tcPr>
            <w:tcW w:w="900" w:type="dxa"/>
            <w:vAlign w:val="bottom"/>
          </w:tcPr>
          <w:p>
            <w:pPr>
              <w:jc w:val="right"/>
              <w:spacing w:after="0" w:line="135" w:lineRule="exact"/>
              <w:rPr>
                <w:sz w:val="20"/>
                <w:szCs w:val="20"/>
                <w:color w:val="auto"/>
              </w:rPr>
            </w:pPr>
            <w:r>
              <w:rPr>
                <w:rFonts w:ascii="Arial" w:cs="Arial" w:eastAsia="Arial" w:hAnsi="Arial"/>
                <w:sz w:val="13"/>
                <w:szCs w:val="13"/>
                <w:color w:val="auto"/>
              </w:rPr>
              <w:t>carrying</w:t>
            </w:r>
          </w:p>
        </w:tc>
        <w:tc>
          <w:tcPr>
            <w:tcW w:w="860" w:type="dxa"/>
            <w:vAlign w:val="bottom"/>
          </w:tcPr>
          <w:p>
            <w:pPr>
              <w:jc w:val="right"/>
              <w:ind w:right="30"/>
              <w:spacing w:after="0" w:line="135" w:lineRule="exact"/>
              <w:rPr>
                <w:sz w:val="20"/>
                <w:szCs w:val="20"/>
                <w:color w:val="auto"/>
              </w:rPr>
            </w:pPr>
            <w:r>
              <w:rPr>
                <w:rFonts w:ascii="Arial" w:cs="Arial" w:eastAsia="Arial" w:hAnsi="Arial"/>
                <w:sz w:val="13"/>
                <w:szCs w:val="13"/>
                <w:color w:val="auto"/>
              </w:rPr>
              <w:t>Carrying</w:t>
            </w:r>
          </w:p>
        </w:tc>
      </w:tr>
      <w:tr>
        <w:trPr>
          <w:trHeight w:val="141"/>
        </w:trPr>
        <w:tc>
          <w:tcPr>
            <w:tcW w:w="366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ind w:right="111"/>
              <w:spacing w:after="0" w:line="141" w:lineRule="exact"/>
              <w:rPr>
                <w:sz w:val="20"/>
                <w:szCs w:val="20"/>
                <w:color w:val="auto"/>
              </w:rPr>
            </w:pPr>
            <w:r>
              <w:rPr>
                <w:rFonts w:ascii="Arial" w:cs="Arial" w:eastAsia="Arial" w:hAnsi="Arial"/>
                <w:sz w:val="13"/>
                <w:szCs w:val="13"/>
                <w:color w:val="auto"/>
              </w:rPr>
              <w:t>1 year</w:t>
            </w:r>
          </w:p>
        </w:tc>
        <w:tc>
          <w:tcPr>
            <w:tcW w:w="840" w:type="dxa"/>
            <w:vAlign w:val="bottom"/>
            <w:tcBorders>
              <w:bottom w:val="single" w:sz="8" w:color="auto"/>
            </w:tcBorders>
          </w:tcPr>
          <w:p>
            <w:pPr>
              <w:jc w:val="right"/>
              <w:ind w:right="111"/>
              <w:spacing w:after="0" w:line="141" w:lineRule="exact"/>
              <w:rPr>
                <w:sz w:val="20"/>
                <w:szCs w:val="20"/>
                <w:color w:val="auto"/>
              </w:rPr>
            </w:pPr>
            <w:r>
              <w:rPr>
                <w:rFonts w:ascii="Arial" w:cs="Arial" w:eastAsia="Arial" w:hAnsi="Arial"/>
                <w:sz w:val="13"/>
                <w:szCs w:val="13"/>
                <w:color w:val="auto"/>
              </w:rPr>
              <w:t>years</w:t>
            </w:r>
          </w:p>
        </w:tc>
        <w:tc>
          <w:tcPr>
            <w:tcW w:w="860" w:type="dxa"/>
            <w:vAlign w:val="bottom"/>
            <w:tcBorders>
              <w:bottom w:val="single" w:sz="8" w:color="auto"/>
            </w:tcBorders>
          </w:tcPr>
          <w:p>
            <w:pPr>
              <w:jc w:val="right"/>
              <w:ind w:right="111"/>
              <w:spacing w:after="0" w:line="141" w:lineRule="exact"/>
              <w:rPr>
                <w:sz w:val="20"/>
                <w:szCs w:val="20"/>
                <w:color w:val="auto"/>
              </w:rPr>
            </w:pPr>
            <w:r>
              <w:rPr>
                <w:rFonts w:ascii="Arial" w:cs="Arial" w:eastAsia="Arial" w:hAnsi="Arial"/>
                <w:sz w:val="13"/>
                <w:szCs w:val="13"/>
                <w:color w:val="auto"/>
              </w:rPr>
              <w:t>years</w:t>
            </w:r>
          </w:p>
        </w:tc>
        <w:tc>
          <w:tcPr>
            <w:tcW w:w="880" w:type="dxa"/>
            <w:vAlign w:val="bottom"/>
            <w:tcBorders>
              <w:bottom w:val="single" w:sz="8" w:color="auto"/>
            </w:tcBorders>
          </w:tcPr>
          <w:p>
            <w:pPr>
              <w:jc w:val="right"/>
              <w:ind w:right="131"/>
              <w:spacing w:after="0" w:line="141" w:lineRule="exact"/>
              <w:rPr>
                <w:sz w:val="20"/>
                <w:szCs w:val="20"/>
                <w:color w:val="auto"/>
              </w:rPr>
            </w:pPr>
            <w:r>
              <w:rPr>
                <w:rFonts w:ascii="Arial" w:cs="Arial" w:eastAsia="Arial" w:hAnsi="Arial"/>
                <w:sz w:val="13"/>
                <w:szCs w:val="13"/>
                <w:color w:val="auto"/>
              </w:rPr>
              <w:t>years</w:t>
            </w:r>
          </w:p>
        </w:tc>
        <w:tc>
          <w:tcPr>
            <w:tcW w:w="860" w:type="dxa"/>
            <w:vAlign w:val="bottom"/>
            <w:tcBorders>
              <w:bottom w:val="single" w:sz="8" w:color="auto"/>
            </w:tcBorders>
          </w:tcPr>
          <w:p>
            <w:pPr>
              <w:jc w:val="right"/>
              <w:ind w:right="131"/>
              <w:spacing w:after="0" w:line="141" w:lineRule="exact"/>
              <w:rPr>
                <w:sz w:val="20"/>
                <w:szCs w:val="20"/>
                <w:color w:val="auto"/>
              </w:rPr>
            </w:pPr>
            <w:r>
              <w:rPr>
                <w:rFonts w:ascii="Arial" w:cs="Arial" w:eastAsia="Arial" w:hAnsi="Arial"/>
                <w:sz w:val="13"/>
                <w:szCs w:val="13"/>
                <w:color w:val="auto"/>
              </w:rPr>
              <w:t>years</w:t>
            </w:r>
          </w:p>
        </w:tc>
        <w:tc>
          <w:tcPr>
            <w:tcW w:w="860" w:type="dxa"/>
            <w:vAlign w:val="bottom"/>
            <w:tcBorders>
              <w:bottom w:val="single" w:sz="8" w:color="auto"/>
            </w:tcBorders>
          </w:tcPr>
          <w:p>
            <w:pPr>
              <w:jc w:val="right"/>
              <w:ind w:right="111"/>
              <w:spacing w:after="0" w:line="141" w:lineRule="exact"/>
              <w:rPr>
                <w:sz w:val="20"/>
                <w:szCs w:val="20"/>
                <w:color w:val="auto"/>
              </w:rPr>
            </w:pPr>
            <w:r>
              <w:rPr>
                <w:rFonts w:ascii="Arial" w:cs="Arial" w:eastAsia="Arial" w:hAnsi="Arial"/>
                <w:sz w:val="13"/>
                <w:szCs w:val="13"/>
                <w:color w:val="auto"/>
              </w:rPr>
              <w:t>and later</w:t>
            </w:r>
          </w:p>
        </w:tc>
        <w:tc>
          <w:tcPr>
            <w:tcW w:w="700" w:type="dxa"/>
            <w:vAlign w:val="bottom"/>
            <w:tcBorders>
              <w:bottom w:val="single" w:sz="8" w:color="auto"/>
            </w:tcBorders>
          </w:tcPr>
          <w:p>
            <w:pPr>
              <w:jc w:val="right"/>
              <w:ind w:right="10"/>
              <w:spacing w:after="0" w:line="141" w:lineRule="exact"/>
              <w:rPr>
                <w:sz w:val="20"/>
                <w:szCs w:val="20"/>
                <w:color w:val="auto"/>
              </w:rPr>
            </w:pPr>
            <w:r>
              <w:rPr>
                <w:rFonts w:ascii="Arial" w:cs="Arial" w:eastAsia="Arial" w:hAnsi="Arial"/>
                <w:sz w:val="13"/>
                <w:szCs w:val="13"/>
                <w:color w:val="auto"/>
              </w:rPr>
              <w:t>Total</w:t>
            </w:r>
          </w:p>
        </w:tc>
        <w:tc>
          <w:tcPr>
            <w:tcW w:w="900" w:type="dxa"/>
            <w:vAlign w:val="bottom"/>
            <w:tcBorders>
              <w:bottom w:val="single" w:sz="8" w:color="auto"/>
            </w:tcBorders>
          </w:tcPr>
          <w:p>
            <w:pPr>
              <w:jc w:val="right"/>
              <w:spacing w:after="0" w:line="141" w:lineRule="exact"/>
              <w:rPr>
                <w:sz w:val="20"/>
                <w:szCs w:val="20"/>
                <w:color w:val="auto"/>
              </w:rPr>
            </w:pPr>
            <w:r>
              <w:rPr>
                <w:rFonts w:ascii="Arial" w:cs="Arial" w:eastAsia="Arial" w:hAnsi="Arial"/>
                <w:sz w:val="13"/>
                <w:szCs w:val="13"/>
                <w:color w:val="auto"/>
              </w:rPr>
              <w:t>amount</w:t>
            </w:r>
          </w:p>
        </w:tc>
        <w:tc>
          <w:tcPr>
            <w:tcW w:w="860" w:type="dxa"/>
            <w:vAlign w:val="bottom"/>
            <w:tcBorders>
              <w:bottom w:val="single" w:sz="8" w:color="auto"/>
            </w:tcBorders>
          </w:tcPr>
          <w:p>
            <w:pPr>
              <w:jc w:val="right"/>
              <w:ind w:right="30"/>
              <w:spacing w:after="0" w:line="141" w:lineRule="exact"/>
              <w:rPr>
                <w:sz w:val="20"/>
                <w:szCs w:val="20"/>
                <w:color w:val="auto"/>
              </w:rPr>
            </w:pPr>
            <w:r>
              <w:rPr>
                <w:rFonts w:ascii="Arial" w:cs="Arial" w:eastAsia="Arial" w:hAnsi="Arial"/>
                <w:sz w:val="13"/>
                <w:szCs w:val="13"/>
                <w:color w:val="auto"/>
              </w:rPr>
              <w:t>amount</w:t>
            </w:r>
          </w:p>
        </w:tc>
      </w:tr>
      <w:tr>
        <w:trPr>
          <w:trHeight w:val="160"/>
        </w:trPr>
        <w:tc>
          <w:tcPr>
            <w:tcW w:w="3660" w:type="dxa"/>
            <w:vAlign w:val="bottom"/>
          </w:tcPr>
          <w:p>
            <w:pPr>
              <w:spacing w:after="0"/>
              <w:rPr>
                <w:sz w:val="20"/>
                <w:szCs w:val="20"/>
                <w:color w:val="auto"/>
              </w:rPr>
            </w:pPr>
            <w:r>
              <w:rPr>
                <w:rFonts w:ascii="Arial" w:cs="Arial" w:eastAsia="Arial" w:hAnsi="Arial"/>
                <w:sz w:val="14"/>
                <w:szCs w:val="14"/>
                <w:color w:val="auto"/>
              </w:rPr>
              <w:t>EMTN programme</w:t>
            </w:r>
          </w:p>
        </w:tc>
        <w:tc>
          <w:tcPr>
            <w:tcW w:w="1000" w:type="dxa"/>
            <w:vAlign w:val="bottom"/>
          </w:tcPr>
          <w:p>
            <w:pPr>
              <w:jc w:val="right"/>
              <w:ind w:right="111"/>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111"/>
              <w:spacing w:after="0"/>
              <w:rPr>
                <w:sz w:val="20"/>
                <w:szCs w:val="20"/>
                <w:color w:val="auto"/>
              </w:rPr>
            </w:pPr>
            <w:r>
              <w:rPr>
                <w:rFonts w:ascii="Arial" w:cs="Arial" w:eastAsia="Arial" w:hAnsi="Arial"/>
                <w:sz w:val="14"/>
                <w:szCs w:val="14"/>
                <w:color w:val="auto"/>
              </w:rPr>
              <w:t>1,519</w:t>
            </w:r>
          </w:p>
        </w:tc>
        <w:tc>
          <w:tcPr>
            <w:tcW w:w="860" w:type="dxa"/>
            <w:vAlign w:val="bottom"/>
          </w:tcPr>
          <w:p>
            <w:pPr>
              <w:jc w:val="right"/>
              <w:ind w:right="111"/>
              <w:spacing w:after="0"/>
              <w:rPr>
                <w:sz w:val="20"/>
                <w:szCs w:val="20"/>
                <w:color w:val="auto"/>
              </w:rPr>
            </w:pPr>
            <w:r>
              <w:rPr>
                <w:rFonts w:ascii="Arial" w:cs="Arial" w:eastAsia="Arial" w:hAnsi="Arial"/>
                <w:sz w:val="14"/>
                <w:szCs w:val="14"/>
                <w:color w:val="auto"/>
              </w:rPr>
              <w:t>1,823</w:t>
            </w:r>
          </w:p>
        </w:tc>
        <w:tc>
          <w:tcPr>
            <w:tcW w:w="880" w:type="dxa"/>
            <w:vAlign w:val="bottom"/>
          </w:tcPr>
          <w:p>
            <w:pPr>
              <w:jc w:val="right"/>
              <w:ind w:right="131"/>
              <w:spacing w:after="0"/>
              <w:rPr>
                <w:sz w:val="20"/>
                <w:szCs w:val="20"/>
                <w:color w:val="auto"/>
              </w:rPr>
            </w:pPr>
            <w:r>
              <w:rPr>
                <w:rFonts w:ascii="Arial" w:cs="Arial" w:eastAsia="Arial" w:hAnsi="Arial"/>
                <w:sz w:val="14"/>
                <w:szCs w:val="14"/>
                <w:color w:val="auto"/>
              </w:rPr>
              <w:t>3,039</w:t>
            </w:r>
          </w:p>
        </w:tc>
        <w:tc>
          <w:tcPr>
            <w:tcW w:w="860" w:type="dxa"/>
            <w:vAlign w:val="bottom"/>
          </w:tcPr>
          <w:p>
            <w:pPr>
              <w:jc w:val="right"/>
              <w:ind w:right="131"/>
              <w:spacing w:after="0"/>
              <w:rPr>
                <w:sz w:val="20"/>
                <w:szCs w:val="20"/>
                <w:color w:val="auto"/>
              </w:rPr>
            </w:pPr>
            <w:r>
              <w:rPr>
                <w:rFonts w:ascii="Arial" w:cs="Arial" w:eastAsia="Arial" w:hAnsi="Arial"/>
                <w:sz w:val="14"/>
                <w:szCs w:val="14"/>
                <w:color w:val="auto"/>
              </w:rPr>
              <w:t>779</w:t>
            </w:r>
          </w:p>
        </w:tc>
        <w:tc>
          <w:tcPr>
            <w:tcW w:w="860" w:type="dxa"/>
            <w:vAlign w:val="bottom"/>
          </w:tcPr>
          <w:p>
            <w:pPr>
              <w:jc w:val="right"/>
              <w:ind w:right="111"/>
              <w:spacing w:after="0"/>
              <w:rPr>
                <w:sz w:val="20"/>
                <w:szCs w:val="20"/>
                <w:color w:val="auto"/>
              </w:rPr>
            </w:pPr>
            <w:r>
              <w:rPr>
                <w:rFonts w:ascii="Arial" w:cs="Arial" w:eastAsia="Arial" w:hAnsi="Arial"/>
                <w:sz w:val="14"/>
                <w:szCs w:val="14"/>
                <w:color w:val="auto"/>
              </w:rPr>
              <w:t>5,166</w:t>
            </w:r>
          </w:p>
        </w:tc>
        <w:tc>
          <w:tcPr>
            <w:tcW w:w="700" w:type="dxa"/>
            <w:vAlign w:val="bottom"/>
          </w:tcPr>
          <w:p>
            <w:pPr>
              <w:jc w:val="right"/>
              <w:ind w:right="10"/>
              <w:spacing w:after="0"/>
              <w:rPr>
                <w:sz w:val="20"/>
                <w:szCs w:val="20"/>
                <w:color w:val="auto"/>
              </w:rPr>
            </w:pPr>
            <w:r>
              <w:rPr>
                <w:rFonts w:ascii="Arial" w:cs="Arial" w:eastAsia="Arial" w:hAnsi="Arial"/>
                <w:sz w:val="14"/>
                <w:szCs w:val="14"/>
                <w:color w:val="auto"/>
              </w:rPr>
              <w:t>12,326</w:t>
            </w:r>
          </w:p>
        </w:tc>
        <w:tc>
          <w:tcPr>
            <w:tcW w:w="900" w:type="dxa"/>
            <w:vAlign w:val="bottom"/>
          </w:tcPr>
          <w:p>
            <w:pPr>
              <w:jc w:val="right"/>
              <w:spacing w:after="0"/>
              <w:rPr>
                <w:sz w:val="20"/>
                <w:szCs w:val="20"/>
                <w:color w:val="auto"/>
              </w:rPr>
            </w:pPr>
            <w:r>
              <w:rPr>
                <w:rFonts w:ascii="Arial" w:cs="Arial" w:eastAsia="Arial" w:hAnsi="Arial"/>
                <w:sz w:val="14"/>
                <w:szCs w:val="14"/>
                <w:color w:val="auto"/>
              </w:rPr>
              <w:t>752</w:t>
            </w:r>
          </w:p>
        </w:tc>
        <w:tc>
          <w:tcPr>
            <w:tcW w:w="860" w:type="dxa"/>
            <w:vAlign w:val="bottom"/>
          </w:tcPr>
          <w:p>
            <w:pPr>
              <w:jc w:val="right"/>
              <w:ind w:right="30"/>
              <w:spacing w:after="0"/>
              <w:rPr>
                <w:sz w:val="20"/>
                <w:szCs w:val="20"/>
                <w:color w:val="auto"/>
              </w:rPr>
            </w:pPr>
            <w:r>
              <w:rPr>
                <w:rFonts w:ascii="Arial" w:cs="Arial" w:eastAsia="Arial" w:hAnsi="Arial"/>
                <w:sz w:val="14"/>
                <w:szCs w:val="14"/>
                <w:color w:val="auto"/>
              </w:rPr>
              <w:t>13,078</w:t>
            </w:r>
          </w:p>
        </w:tc>
      </w:tr>
      <w:tr>
        <w:trPr>
          <w:trHeight w:val="162"/>
        </w:trPr>
        <w:tc>
          <w:tcPr>
            <w:tcW w:w="3660" w:type="dxa"/>
            <w:vAlign w:val="bottom"/>
          </w:tcPr>
          <w:p>
            <w:pPr>
              <w:spacing w:after="0"/>
              <w:rPr>
                <w:sz w:val="20"/>
                <w:szCs w:val="20"/>
                <w:color w:val="auto"/>
              </w:rPr>
            </w:pPr>
            <w:r>
              <w:rPr>
                <w:rFonts w:ascii="Arial" w:cs="Arial" w:eastAsia="Arial" w:hAnsi="Arial"/>
                <w:sz w:val="14"/>
                <w:szCs w:val="14"/>
                <w:color w:val="auto"/>
              </w:rPr>
              <w:t>US shelf registration</w:t>
            </w:r>
          </w:p>
        </w:tc>
        <w:tc>
          <w:tcPr>
            <w:tcW w:w="1000" w:type="dxa"/>
            <w:vAlign w:val="bottom"/>
          </w:tcPr>
          <w:p>
            <w:pPr>
              <w:jc w:val="right"/>
              <w:ind w:right="111"/>
              <w:spacing w:after="0"/>
              <w:rPr>
                <w:sz w:val="20"/>
                <w:szCs w:val="20"/>
                <w:color w:val="auto"/>
              </w:rPr>
            </w:pPr>
            <w:r>
              <w:rPr>
                <w:rFonts w:ascii="Arial" w:cs="Arial" w:eastAsia="Arial" w:hAnsi="Arial"/>
                <w:sz w:val="14"/>
                <w:szCs w:val="14"/>
                <w:color w:val="auto"/>
              </w:rPr>
              <w:t>4,250</w:t>
            </w:r>
          </w:p>
        </w:tc>
        <w:tc>
          <w:tcPr>
            <w:tcW w:w="840" w:type="dxa"/>
            <w:vAlign w:val="bottom"/>
          </w:tcPr>
          <w:p>
            <w:pPr>
              <w:jc w:val="right"/>
              <w:ind w:right="111"/>
              <w:spacing w:after="0"/>
              <w:rPr>
                <w:sz w:val="20"/>
                <w:szCs w:val="20"/>
                <w:color w:val="auto"/>
              </w:rPr>
            </w:pPr>
            <w:r>
              <w:rPr>
                <w:rFonts w:ascii="Arial" w:cs="Arial" w:eastAsia="Arial" w:hAnsi="Arial"/>
                <w:sz w:val="14"/>
                <w:szCs w:val="14"/>
                <w:color w:val="auto"/>
              </w:rPr>
              <w:t>2,000</w:t>
            </w:r>
          </w:p>
        </w:tc>
        <w:tc>
          <w:tcPr>
            <w:tcW w:w="860" w:type="dxa"/>
            <w:vAlign w:val="bottom"/>
          </w:tcPr>
          <w:p>
            <w:pPr>
              <w:jc w:val="right"/>
              <w:ind w:right="111"/>
              <w:spacing w:after="0"/>
              <w:rPr>
                <w:sz w:val="20"/>
                <w:szCs w:val="20"/>
                <w:color w:val="auto"/>
              </w:rPr>
            </w:pPr>
            <w:r>
              <w:rPr>
                <w:rFonts w:ascii="Arial" w:cs="Arial" w:eastAsia="Arial" w:hAnsi="Arial"/>
                <w:sz w:val="14"/>
                <w:szCs w:val="14"/>
                <w:color w:val="auto"/>
              </w:rPr>
              <w:t>1,750</w:t>
            </w:r>
          </w:p>
        </w:tc>
        <w:tc>
          <w:tcPr>
            <w:tcW w:w="880" w:type="dxa"/>
            <w:vAlign w:val="bottom"/>
          </w:tcPr>
          <w:p>
            <w:pPr>
              <w:jc w:val="right"/>
              <w:ind w:right="131"/>
              <w:spacing w:after="0"/>
              <w:rPr>
                <w:sz w:val="20"/>
                <w:szCs w:val="20"/>
                <w:color w:val="auto"/>
              </w:rPr>
            </w:pPr>
            <w:r>
              <w:rPr>
                <w:rFonts w:ascii="Arial" w:cs="Arial" w:eastAsia="Arial" w:hAnsi="Arial"/>
                <w:sz w:val="14"/>
                <w:szCs w:val="14"/>
                <w:color w:val="auto"/>
              </w:rPr>
              <w:t>2,750</w:t>
            </w:r>
          </w:p>
        </w:tc>
        <w:tc>
          <w:tcPr>
            <w:tcW w:w="860" w:type="dxa"/>
            <w:vAlign w:val="bottom"/>
          </w:tcPr>
          <w:p>
            <w:pPr>
              <w:jc w:val="right"/>
              <w:ind w:right="131"/>
              <w:spacing w:after="0"/>
              <w:rPr>
                <w:sz w:val="20"/>
                <w:szCs w:val="20"/>
                <w:color w:val="auto"/>
              </w:rPr>
            </w:pPr>
            <w:r>
              <w:rPr>
                <w:rFonts w:ascii="Arial" w:cs="Arial" w:eastAsia="Arial" w:hAnsi="Arial"/>
                <w:sz w:val="14"/>
                <w:szCs w:val="14"/>
                <w:color w:val="auto"/>
              </w:rPr>
              <w:t>2,000</w:t>
            </w:r>
          </w:p>
        </w:tc>
        <w:tc>
          <w:tcPr>
            <w:tcW w:w="860" w:type="dxa"/>
            <w:vAlign w:val="bottom"/>
          </w:tcPr>
          <w:p>
            <w:pPr>
              <w:jc w:val="right"/>
              <w:ind w:right="111"/>
              <w:spacing w:after="0"/>
              <w:rPr>
                <w:sz w:val="20"/>
                <w:szCs w:val="20"/>
                <w:color w:val="auto"/>
              </w:rPr>
            </w:pPr>
            <w:r>
              <w:rPr>
                <w:rFonts w:ascii="Arial" w:cs="Arial" w:eastAsia="Arial" w:hAnsi="Arial"/>
                <w:sz w:val="14"/>
                <w:szCs w:val="14"/>
                <w:color w:val="auto"/>
              </w:rPr>
              <w:t>9,750</w:t>
            </w:r>
          </w:p>
        </w:tc>
        <w:tc>
          <w:tcPr>
            <w:tcW w:w="700" w:type="dxa"/>
            <w:vAlign w:val="bottom"/>
          </w:tcPr>
          <w:p>
            <w:pPr>
              <w:jc w:val="right"/>
              <w:ind w:right="10"/>
              <w:spacing w:after="0"/>
              <w:rPr>
                <w:sz w:val="20"/>
                <w:szCs w:val="20"/>
                <w:color w:val="auto"/>
              </w:rPr>
            </w:pPr>
            <w:r>
              <w:rPr>
                <w:rFonts w:ascii="Arial" w:cs="Arial" w:eastAsia="Arial" w:hAnsi="Arial"/>
                <w:sz w:val="14"/>
                <w:szCs w:val="14"/>
                <w:color w:val="auto"/>
              </w:rPr>
              <w:t>22,500</w:t>
            </w:r>
          </w:p>
        </w:tc>
        <w:tc>
          <w:tcPr>
            <w:tcW w:w="900" w:type="dxa"/>
            <w:vAlign w:val="bottom"/>
          </w:tcPr>
          <w:p>
            <w:pPr>
              <w:jc w:val="right"/>
              <w:spacing w:after="0"/>
              <w:rPr>
                <w:sz w:val="20"/>
                <w:szCs w:val="20"/>
                <w:color w:val="auto"/>
              </w:rPr>
            </w:pPr>
            <w:r>
              <w:rPr>
                <w:rFonts w:ascii="Arial" w:cs="Arial" w:eastAsia="Arial" w:hAnsi="Arial"/>
                <w:sz w:val="14"/>
                <w:szCs w:val="14"/>
                <w:color w:val="auto"/>
              </w:rPr>
              <w:t>5</w:t>
            </w:r>
          </w:p>
        </w:tc>
        <w:tc>
          <w:tcPr>
            <w:tcW w:w="860" w:type="dxa"/>
            <w:vAlign w:val="bottom"/>
          </w:tcPr>
          <w:p>
            <w:pPr>
              <w:jc w:val="right"/>
              <w:ind w:right="30"/>
              <w:spacing w:after="0"/>
              <w:rPr>
                <w:sz w:val="20"/>
                <w:szCs w:val="20"/>
                <w:color w:val="auto"/>
              </w:rPr>
            </w:pPr>
            <w:r>
              <w:rPr>
                <w:rFonts w:ascii="Arial" w:cs="Arial" w:eastAsia="Arial" w:hAnsi="Arial"/>
                <w:sz w:val="14"/>
                <w:szCs w:val="14"/>
                <w:color w:val="auto"/>
              </w:rPr>
              <w:t>22,505</w:t>
            </w:r>
          </w:p>
        </w:tc>
      </w:tr>
      <w:tr>
        <w:trPr>
          <w:trHeight w:val="157"/>
        </w:trPr>
        <w:tc>
          <w:tcPr>
            <w:tcW w:w="3660" w:type="dxa"/>
            <w:vAlign w:val="bottom"/>
            <w:tcBorders>
              <w:bottom w:val="single" w:sz="8" w:color="auto"/>
            </w:tcBorders>
          </w:tcPr>
          <w:p>
            <w:pPr>
              <w:spacing w:after="0" w:line="157" w:lineRule="exact"/>
              <w:rPr>
                <w:sz w:val="20"/>
                <w:szCs w:val="20"/>
                <w:color w:val="auto"/>
              </w:rPr>
            </w:pPr>
            <w:r>
              <w:rPr>
                <w:rFonts w:ascii="Arial" w:cs="Arial" w:eastAsia="Arial" w:hAnsi="Arial"/>
                <w:sz w:val="14"/>
                <w:szCs w:val="14"/>
                <w:color w:val="auto"/>
              </w:rPr>
              <w:t>Bank and other borrowings</w:t>
            </w:r>
          </w:p>
        </w:tc>
        <w:tc>
          <w:tcPr>
            <w:tcW w:w="1000" w:type="dxa"/>
            <w:vAlign w:val="bottom"/>
            <w:tcBorders>
              <w:bottom w:val="single" w:sz="8" w:color="auto"/>
            </w:tcBorders>
          </w:tcPr>
          <w:p>
            <w:pPr>
              <w:jc w:val="right"/>
              <w:ind w:right="111"/>
              <w:spacing w:after="0" w:line="157" w:lineRule="exact"/>
              <w:rPr>
                <w:sz w:val="20"/>
                <w:szCs w:val="20"/>
                <w:color w:val="auto"/>
              </w:rPr>
            </w:pPr>
            <w:r>
              <w:rPr>
                <w:rFonts w:ascii="Arial" w:cs="Arial" w:eastAsia="Arial" w:hAnsi="Arial"/>
                <w:sz w:val="14"/>
                <w:szCs w:val="14"/>
                <w:color w:val="auto"/>
              </w:rPr>
              <w:t>2,421</w:t>
            </w:r>
          </w:p>
        </w:tc>
        <w:tc>
          <w:tcPr>
            <w:tcW w:w="840" w:type="dxa"/>
            <w:vAlign w:val="bottom"/>
            <w:tcBorders>
              <w:bottom w:val="single" w:sz="8" w:color="auto"/>
            </w:tcBorders>
          </w:tcPr>
          <w:p>
            <w:pPr>
              <w:jc w:val="right"/>
              <w:ind w:right="111"/>
              <w:spacing w:after="0" w:line="157" w:lineRule="exact"/>
              <w:rPr>
                <w:sz w:val="20"/>
                <w:szCs w:val="20"/>
                <w:color w:val="auto"/>
              </w:rPr>
            </w:pPr>
            <w:r>
              <w:rPr>
                <w:rFonts w:ascii="Arial" w:cs="Arial" w:eastAsia="Arial" w:hAnsi="Arial"/>
                <w:sz w:val="14"/>
                <w:szCs w:val="14"/>
                <w:color w:val="auto"/>
              </w:rPr>
              <w:t>262</w:t>
            </w:r>
          </w:p>
        </w:tc>
        <w:tc>
          <w:tcPr>
            <w:tcW w:w="860" w:type="dxa"/>
            <w:vAlign w:val="bottom"/>
            <w:tcBorders>
              <w:bottom w:val="single" w:sz="8" w:color="auto"/>
            </w:tcBorders>
          </w:tcPr>
          <w:p>
            <w:pPr>
              <w:jc w:val="right"/>
              <w:ind w:right="111"/>
              <w:spacing w:after="0" w:line="157" w:lineRule="exact"/>
              <w:rPr>
                <w:sz w:val="20"/>
                <w:szCs w:val="20"/>
                <w:color w:val="auto"/>
              </w:rPr>
            </w:pPr>
            <w:r>
              <w:rPr>
                <w:rFonts w:ascii="Arial" w:cs="Arial" w:eastAsia="Arial" w:hAnsi="Arial"/>
                <w:sz w:val="14"/>
                <w:szCs w:val="14"/>
                <w:color w:val="auto"/>
              </w:rPr>
              <w:t>319</w:t>
            </w:r>
          </w:p>
        </w:tc>
        <w:tc>
          <w:tcPr>
            <w:tcW w:w="880" w:type="dxa"/>
            <w:vAlign w:val="bottom"/>
            <w:tcBorders>
              <w:bottom w:val="single" w:sz="8" w:color="auto"/>
            </w:tcBorders>
          </w:tcPr>
          <w:p>
            <w:pPr>
              <w:jc w:val="right"/>
              <w:ind w:right="131"/>
              <w:spacing w:after="0" w:line="157" w:lineRule="exact"/>
              <w:rPr>
                <w:sz w:val="20"/>
                <w:szCs w:val="20"/>
                <w:color w:val="auto"/>
              </w:rPr>
            </w:pPr>
            <w:r>
              <w:rPr>
                <w:rFonts w:ascii="Arial" w:cs="Arial" w:eastAsia="Arial" w:hAnsi="Arial"/>
                <w:sz w:val="14"/>
                <w:szCs w:val="14"/>
                <w:color w:val="auto"/>
              </w:rPr>
              <w:t>130</w:t>
            </w:r>
          </w:p>
        </w:tc>
        <w:tc>
          <w:tcPr>
            <w:tcW w:w="860" w:type="dxa"/>
            <w:vAlign w:val="bottom"/>
            <w:tcBorders>
              <w:bottom w:val="single" w:sz="8" w:color="auto"/>
            </w:tcBorders>
          </w:tcPr>
          <w:p>
            <w:pPr>
              <w:jc w:val="right"/>
              <w:ind w:right="131"/>
              <w:spacing w:after="0" w:line="157" w:lineRule="exact"/>
              <w:rPr>
                <w:sz w:val="20"/>
                <w:szCs w:val="20"/>
                <w:color w:val="auto"/>
              </w:rPr>
            </w:pPr>
            <w:r>
              <w:rPr>
                <w:rFonts w:ascii="Arial" w:cs="Arial" w:eastAsia="Arial" w:hAnsi="Arial"/>
                <w:sz w:val="14"/>
                <w:szCs w:val="14"/>
                <w:color w:val="auto"/>
              </w:rPr>
              <w:t>49</w:t>
            </w:r>
          </w:p>
        </w:tc>
        <w:tc>
          <w:tcPr>
            <w:tcW w:w="860" w:type="dxa"/>
            <w:vAlign w:val="bottom"/>
            <w:tcBorders>
              <w:bottom w:val="single" w:sz="8" w:color="auto"/>
            </w:tcBorders>
          </w:tcPr>
          <w:p>
            <w:pPr>
              <w:jc w:val="right"/>
              <w:ind w:right="111"/>
              <w:spacing w:after="0" w:line="157" w:lineRule="exact"/>
              <w:rPr>
                <w:sz w:val="20"/>
                <w:szCs w:val="20"/>
                <w:color w:val="auto"/>
              </w:rPr>
            </w:pPr>
            <w:r>
              <w:rPr>
                <w:rFonts w:ascii="Arial" w:cs="Arial" w:eastAsia="Arial" w:hAnsi="Arial"/>
                <w:sz w:val="14"/>
                <w:szCs w:val="14"/>
                <w:color w:val="auto"/>
              </w:rPr>
              <w:t>74</w:t>
            </w:r>
          </w:p>
        </w:tc>
        <w:tc>
          <w:tcPr>
            <w:tcW w:w="700" w:type="dxa"/>
            <w:vAlign w:val="bottom"/>
            <w:tcBorders>
              <w:bottom w:val="single" w:sz="8" w:color="auto"/>
            </w:tcBorders>
          </w:tcPr>
          <w:p>
            <w:pPr>
              <w:jc w:val="right"/>
              <w:ind w:right="10"/>
              <w:spacing w:after="0" w:line="157" w:lineRule="exact"/>
              <w:rPr>
                <w:sz w:val="20"/>
                <w:szCs w:val="20"/>
                <w:color w:val="auto"/>
              </w:rPr>
            </w:pPr>
            <w:r>
              <w:rPr>
                <w:rFonts w:ascii="Arial" w:cs="Arial" w:eastAsia="Arial" w:hAnsi="Arial"/>
                <w:sz w:val="14"/>
                <w:szCs w:val="14"/>
                <w:color w:val="auto"/>
              </w:rPr>
              <w:t>3,255</w:t>
            </w:r>
          </w:p>
        </w:tc>
        <w:tc>
          <w:tcPr>
            <w:tcW w:w="900" w:type="dxa"/>
            <w:vAlign w:val="bottom"/>
            <w:tcBorders>
              <w:bottom w:val="single" w:sz="8" w:color="auto"/>
            </w:tcBorders>
          </w:tcPr>
          <w:p>
            <w:pPr>
              <w:jc w:val="right"/>
              <w:spacing w:after="0" w:line="157" w:lineRule="exact"/>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tcPr>
          <w:p>
            <w:pPr>
              <w:jc w:val="right"/>
              <w:ind w:right="30"/>
              <w:spacing w:after="0" w:line="157" w:lineRule="exact"/>
              <w:rPr>
                <w:sz w:val="20"/>
                <w:szCs w:val="20"/>
                <w:color w:val="auto"/>
              </w:rPr>
            </w:pPr>
            <w:r>
              <w:rPr>
                <w:rFonts w:ascii="Arial" w:cs="Arial" w:eastAsia="Arial" w:hAnsi="Arial"/>
                <w:sz w:val="14"/>
                <w:szCs w:val="14"/>
                <w:color w:val="auto"/>
              </w:rPr>
              <w:t>3,255</w:t>
            </w:r>
          </w:p>
        </w:tc>
      </w:tr>
      <w:tr>
        <w:trPr>
          <w:trHeight w:val="156"/>
        </w:trPr>
        <w:tc>
          <w:tcPr>
            <w:tcW w:w="3660" w:type="dxa"/>
            <w:vAlign w:val="bottom"/>
            <w:tcBorders>
              <w:bottom w:val="single" w:sz="8" w:color="auto"/>
            </w:tcBorders>
          </w:tcPr>
          <w:p>
            <w:pPr>
              <w:spacing w:after="0" w:line="155" w:lineRule="exact"/>
              <w:rPr>
                <w:sz w:val="20"/>
                <w:szCs w:val="20"/>
                <w:color w:val="auto"/>
              </w:rPr>
            </w:pPr>
            <w:r>
              <w:rPr>
                <w:rFonts w:ascii="Arial" w:cs="Arial" w:eastAsia="Arial" w:hAnsi="Arial"/>
                <w:sz w:val="14"/>
                <w:szCs w:val="14"/>
                <w:color w:val="auto"/>
              </w:rPr>
              <w:t>Total (excluding interest)</w:t>
            </w:r>
          </w:p>
        </w:tc>
        <w:tc>
          <w:tcPr>
            <w:tcW w:w="1000" w:type="dxa"/>
            <w:vAlign w:val="bottom"/>
            <w:tcBorders>
              <w:bottom w:val="single" w:sz="8" w:color="auto"/>
            </w:tcBorders>
          </w:tcPr>
          <w:p>
            <w:pPr>
              <w:jc w:val="right"/>
              <w:ind w:right="111"/>
              <w:spacing w:after="0" w:line="155" w:lineRule="exact"/>
              <w:rPr>
                <w:sz w:val="20"/>
                <w:szCs w:val="20"/>
                <w:color w:val="auto"/>
              </w:rPr>
            </w:pPr>
            <w:r>
              <w:rPr>
                <w:rFonts w:ascii="Arial" w:cs="Arial" w:eastAsia="Arial" w:hAnsi="Arial"/>
                <w:sz w:val="14"/>
                <w:szCs w:val="14"/>
                <w:color w:val="auto"/>
              </w:rPr>
              <w:t>6,671</w:t>
            </w:r>
          </w:p>
        </w:tc>
        <w:tc>
          <w:tcPr>
            <w:tcW w:w="840" w:type="dxa"/>
            <w:vAlign w:val="bottom"/>
            <w:tcBorders>
              <w:bottom w:val="single" w:sz="8" w:color="auto"/>
            </w:tcBorders>
          </w:tcPr>
          <w:p>
            <w:pPr>
              <w:jc w:val="right"/>
              <w:ind w:right="111"/>
              <w:spacing w:after="0" w:line="155" w:lineRule="exact"/>
              <w:rPr>
                <w:sz w:val="20"/>
                <w:szCs w:val="20"/>
                <w:color w:val="auto"/>
              </w:rPr>
            </w:pPr>
            <w:r>
              <w:rPr>
                <w:rFonts w:ascii="Arial" w:cs="Arial" w:eastAsia="Arial" w:hAnsi="Arial"/>
                <w:sz w:val="14"/>
                <w:szCs w:val="14"/>
                <w:color w:val="auto"/>
              </w:rPr>
              <w:t>3,781</w:t>
            </w:r>
          </w:p>
        </w:tc>
        <w:tc>
          <w:tcPr>
            <w:tcW w:w="860" w:type="dxa"/>
            <w:vAlign w:val="bottom"/>
            <w:tcBorders>
              <w:bottom w:val="single" w:sz="8" w:color="auto"/>
            </w:tcBorders>
          </w:tcPr>
          <w:p>
            <w:pPr>
              <w:jc w:val="right"/>
              <w:ind w:right="111"/>
              <w:spacing w:after="0" w:line="155" w:lineRule="exact"/>
              <w:rPr>
                <w:sz w:val="20"/>
                <w:szCs w:val="20"/>
                <w:color w:val="auto"/>
              </w:rPr>
            </w:pPr>
            <w:r>
              <w:rPr>
                <w:rFonts w:ascii="Arial" w:cs="Arial" w:eastAsia="Arial" w:hAnsi="Arial"/>
                <w:sz w:val="14"/>
                <w:szCs w:val="14"/>
                <w:color w:val="auto"/>
              </w:rPr>
              <w:t>3,892</w:t>
            </w:r>
          </w:p>
        </w:tc>
        <w:tc>
          <w:tcPr>
            <w:tcW w:w="880" w:type="dxa"/>
            <w:vAlign w:val="bottom"/>
            <w:tcBorders>
              <w:bottom w:val="single" w:sz="8" w:color="auto"/>
            </w:tcBorders>
          </w:tcPr>
          <w:p>
            <w:pPr>
              <w:jc w:val="right"/>
              <w:ind w:right="131"/>
              <w:spacing w:after="0" w:line="155" w:lineRule="exact"/>
              <w:rPr>
                <w:sz w:val="20"/>
                <w:szCs w:val="20"/>
                <w:color w:val="auto"/>
              </w:rPr>
            </w:pPr>
            <w:r>
              <w:rPr>
                <w:rFonts w:ascii="Arial" w:cs="Arial" w:eastAsia="Arial" w:hAnsi="Arial"/>
                <w:sz w:val="14"/>
                <w:szCs w:val="14"/>
                <w:color w:val="auto"/>
              </w:rPr>
              <w:t>5,919</w:t>
            </w:r>
          </w:p>
        </w:tc>
        <w:tc>
          <w:tcPr>
            <w:tcW w:w="860" w:type="dxa"/>
            <w:vAlign w:val="bottom"/>
            <w:tcBorders>
              <w:bottom w:val="single" w:sz="8" w:color="auto"/>
            </w:tcBorders>
          </w:tcPr>
          <w:p>
            <w:pPr>
              <w:jc w:val="right"/>
              <w:ind w:right="131"/>
              <w:spacing w:after="0" w:line="155" w:lineRule="exact"/>
              <w:rPr>
                <w:sz w:val="20"/>
                <w:szCs w:val="20"/>
                <w:color w:val="auto"/>
              </w:rPr>
            </w:pPr>
            <w:r>
              <w:rPr>
                <w:rFonts w:ascii="Arial" w:cs="Arial" w:eastAsia="Arial" w:hAnsi="Arial"/>
                <w:sz w:val="14"/>
                <w:szCs w:val="14"/>
                <w:color w:val="auto"/>
              </w:rPr>
              <w:t>2,828</w:t>
            </w:r>
          </w:p>
        </w:tc>
        <w:tc>
          <w:tcPr>
            <w:tcW w:w="860" w:type="dxa"/>
            <w:vAlign w:val="bottom"/>
            <w:tcBorders>
              <w:bottom w:val="single" w:sz="8" w:color="auto"/>
            </w:tcBorders>
          </w:tcPr>
          <w:p>
            <w:pPr>
              <w:jc w:val="right"/>
              <w:ind w:right="111"/>
              <w:spacing w:after="0" w:line="155" w:lineRule="exact"/>
              <w:rPr>
                <w:sz w:val="20"/>
                <w:szCs w:val="20"/>
                <w:color w:val="auto"/>
              </w:rPr>
            </w:pPr>
            <w:r>
              <w:rPr>
                <w:rFonts w:ascii="Arial" w:cs="Arial" w:eastAsia="Arial" w:hAnsi="Arial"/>
                <w:sz w:val="14"/>
                <w:szCs w:val="14"/>
                <w:color w:val="auto"/>
              </w:rPr>
              <w:t>14,990</w:t>
            </w:r>
          </w:p>
        </w:tc>
        <w:tc>
          <w:tcPr>
            <w:tcW w:w="700" w:type="dxa"/>
            <w:vAlign w:val="bottom"/>
            <w:tcBorders>
              <w:bottom w:val="single" w:sz="8" w:color="auto"/>
            </w:tcBorders>
          </w:tcPr>
          <w:p>
            <w:pPr>
              <w:jc w:val="right"/>
              <w:ind w:right="10"/>
              <w:spacing w:after="0" w:line="155" w:lineRule="exact"/>
              <w:rPr>
                <w:sz w:val="20"/>
                <w:szCs w:val="20"/>
                <w:color w:val="auto"/>
              </w:rPr>
            </w:pPr>
            <w:r>
              <w:rPr>
                <w:rFonts w:ascii="Arial" w:cs="Arial" w:eastAsia="Arial" w:hAnsi="Arial"/>
                <w:sz w:val="14"/>
                <w:szCs w:val="14"/>
                <w:color w:val="auto"/>
              </w:rPr>
              <w:t>38,081</w:t>
            </w:r>
          </w:p>
        </w:tc>
        <w:tc>
          <w:tcPr>
            <w:tcW w:w="9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757</w:t>
            </w:r>
          </w:p>
        </w:tc>
        <w:tc>
          <w:tcPr>
            <w:tcW w:w="860" w:type="dxa"/>
            <w:vAlign w:val="bottom"/>
            <w:tcBorders>
              <w:bottom w:val="single" w:sz="8" w:color="auto"/>
            </w:tcBorders>
          </w:tcPr>
          <w:p>
            <w:pPr>
              <w:jc w:val="right"/>
              <w:ind w:right="30"/>
              <w:spacing w:after="0" w:line="155" w:lineRule="exact"/>
              <w:rPr>
                <w:sz w:val="20"/>
                <w:szCs w:val="20"/>
                <w:color w:val="auto"/>
              </w:rPr>
            </w:pPr>
            <w:r>
              <w:rPr>
                <w:rFonts w:ascii="Arial" w:cs="Arial" w:eastAsia="Arial" w:hAnsi="Arial"/>
                <w:sz w:val="14"/>
                <w:szCs w:val="14"/>
                <w:color w:val="auto"/>
              </w:rPr>
              <w:t>38,838</w:t>
            </w:r>
          </w:p>
        </w:tc>
      </w:tr>
      <w:tr>
        <w:trPr>
          <w:trHeight w:val="156"/>
        </w:trPr>
        <w:tc>
          <w:tcPr>
            <w:tcW w:w="3660" w:type="dxa"/>
            <w:vAlign w:val="bottom"/>
            <w:tcBorders>
              <w:bottom w:val="single" w:sz="8" w:color="auto"/>
            </w:tcBorders>
          </w:tcPr>
          <w:p>
            <w:pPr>
              <w:spacing w:after="0" w:line="155" w:lineRule="exact"/>
              <w:rPr>
                <w:sz w:val="20"/>
                <w:szCs w:val="20"/>
                <w:color w:val="auto"/>
              </w:rPr>
            </w:pPr>
            <w:r>
              <w:rPr>
                <w:rFonts w:ascii="Arial" w:cs="Arial" w:eastAsia="Arial" w:hAnsi="Arial"/>
                <w:sz w:val="14"/>
                <w:szCs w:val="14"/>
                <w:color w:val="auto"/>
              </w:rPr>
              <w:t>Interest</w:t>
            </w:r>
          </w:p>
        </w:tc>
        <w:tc>
          <w:tcPr>
            <w:tcW w:w="1000" w:type="dxa"/>
            <w:vAlign w:val="bottom"/>
            <w:tcBorders>
              <w:bottom w:val="single" w:sz="8" w:color="auto"/>
            </w:tcBorders>
          </w:tcPr>
          <w:p>
            <w:pPr>
              <w:jc w:val="right"/>
              <w:ind w:right="111"/>
              <w:spacing w:after="0" w:line="155" w:lineRule="exact"/>
              <w:rPr>
                <w:sz w:val="20"/>
                <w:szCs w:val="20"/>
                <w:color w:val="auto"/>
              </w:rPr>
            </w:pPr>
            <w:r>
              <w:rPr>
                <w:rFonts w:ascii="Arial" w:cs="Arial" w:eastAsia="Arial" w:hAnsi="Arial"/>
                <w:sz w:val="14"/>
                <w:szCs w:val="14"/>
                <w:color w:val="auto"/>
              </w:rPr>
              <w:t>1,107</w:t>
            </w:r>
          </w:p>
        </w:tc>
        <w:tc>
          <w:tcPr>
            <w:tcW w:w="840" w:type="dxa"/>
            <w:vAlign w:val="bottom"/>
            <w:tcBorders>
              <w:bottom w:val="single" w:sz="8" w:color="auto"/>
            </w:tcBorders>
          </w:tcPr>
          <w:p>
            <w:pPr>
              <w:jc w:val="right"/>
              <w:ind w:right="111"/>
              <w:spacing w:after="0" w:line="155" w:lineRule="exact"/>
              <w:rPr>
                <w:sz w:val="20"/>
                <w:szCs w:val="20"/>
                <w:color w:val="auto"/>
              </w:rPr>
            </w:pPr>
            <w:r>
              <w:rPr>
                <w:rFonts w:ascii="Arial" w:cs="Arial" w:eastAsia="Arial" w:hAnsi="Arial"/>
                <w:sz w:val="14"/>
                <w:szCs w:val="14"/>
                <w:color w:val="auto"/>
              </w:rPr>
              <w:t>1,076</w:t>
            </w:r>
          </w:p>
        </w:tc>
        <w:tc>
          <w:tcPr>
            <w:tcW w:w="860" w:type="dxa"/>
            <w:vAlign w:val="bottom"/>
            <w:tcBorders>
              <w:bottom w:val="single" w:sz="8" w:color="auto"/>
            </w:tcBorders>
          </w:tcPr>
          <w:p>
            <w:pPr>
              <w:jc w:val="right"/>
              <w:ind w:right="111"/>
              <w:spacing w:after="0" w:line="155" w:lineRule="exact"/>
              <w:rPr>
                <w:sz w:val="20"/>
                <w:szCs w:val="20"/>
                <w:color w:val="auto"/>
              </w:rPr>
            </w:pPr>
            <w:r>
              <w:rPr>
                <w:rFonts w:ascii="Arial" w:cs="Arial" w:eastAsia="Arial" w:hAnsi="Arial"/>
                <w:sz w:val="14"/>
                <w:szCs w:val="14"/>
                <w:color w:val="auto"/>
              </w:rPr>
              <w:t>955</w:t>
            </w:r>
          </w:p>
        </w:tc>
        <w:tc>
          <w:tcPr>
            <w:tcW w:w="880" w:type="dxa"/>
            <w:vAlign w:val="bottom"/>
            <w:tcBorders>
              <w:bottom w:val="single" w:sz="8" w:color="auto"/>
            </w:tcBorders>
          </w:tcPr>
          <w:p>
            <w:pPr>
              <w:jc w:val="right"/>
              <w:ind w:right="131"/>
              <w:spacing w:after="0" w:line="155" w:lineRule="exact"/>
              <w:rPr>
                <w:sz w:val="20"/>
                <w:szCs w:val="20"/>
                <w:color w:val="auto"/>
              </w:rPr>
            </w:pPr>
            <w:r>
              <w:rPr>
                <w:rFonts w:ascii="Arial" w:cs="Arial" w:eastAsia="Arial" w:hAnsi="Arial"/>
                <w:sz w:val="14"/>
                <w:szCs w:val="14"/>
                <w:color w:val="auto"/>
              </w:rPr>
              <w:t>833</w:t>
            </w:r>
          </w:p>
        </w:tc>
        <w:tc>
          <w:tcPr>
            <w:tcW w:w="860" w:type="dxa"/>
            <w:vAlign w:val="bottom"/>
            <w:tcBorders>
              <w:bottom w:val="single" w:sz="8" w:color="auto"/>
            </w:tcBorders>
          </w:tcPr>
          <w:p>
            <w:pPr>
              <w:jc w:val="right"/>
              <w:ind w:right="131"/>
              <w:spacing w:after="0" w:line="155" w:lineRule="exact"/>
              <w:rPr>
                <w:sz w:val="20"/>
                <w:szCs w:val="20"/>
                <w:color w:val="auto"/>
              </w:rPr>
            </w:pPr>
            <w:r>
              <w:rPr>
                <w:rFonts w:ascii="Arial" w:cs="Arial" w:eastAsia="Arial" w:hAnsi="Arial"/>
                <w:sz w:val="14"/>
                <w:szCs w:val="14"/>
                <w:color w:val="auto"/>
              </w:rPr>
              <w:t>644</w:t>
            </w:r>
          </w:p>
        </w:tc>
        <w:tc>
          <w:tcPr>
            <w:tcW w:w="860" w:type="dxa"/>
            <w:vAlign w:val="bottom"/>
            <w:tcBorders>
              <w:bottom w:val="single" w:sz="8" w:color="auto"/>
            </w:tcBorders>
          </w:tcPr>
          <w:p>
            <w:pPr>
              <w:jc w:val="right"/>
              <w:ind w:right="111"/>
              <w:spacing w:after="0" w:line="155" w:lineRule="exact"/>
              <w:rPr>
                <w:sz w:val="20"/>
                <w:szCs w:val="20"/>
                <w:color w:val="auto"/>
              </w:rPr>
            </w:pPr>
            <w:r>
              <w:rPr>
                <w:rFonts w:ascii="Arial" w:cs="Arial" w:eastAsia="Arial" w:hAnsi="Arial"/>
                <w:sz w:val="14"/>
                <w:szCs w:val="14"/>
                <w:color w:val="auto"/>
              </w:rPr>
              <w:t>7,050</w:t>
            </w:r>
          </w:p>
        </w:tc>
        <w:tc>
          <w:tcPr>
            <w:tcW w:w="700" w:type="dxa"/>
            <w:vAlign w:val="bottom"/>
            <w:tcBorders>
              <w:bottom w:val="single" w:sz="8" w:color="auto"/>
            </w:tcBorders>
          </w:tcPr>
          <w:p>
            <w:pPr>
              <w:jc w:val="right"/>
              <w:ind w:right="10"/>
              <w:spacing w:after="0" w:line="155" w:lineRule="exact"/>
              <w:rPr>
                <w:sz w:val="20"/>
                <w:szCs w:val="20"/>
                <w:color w:val="auto"/>
              </w:rPr>
            </w:pPr>
            <w:r>
              <w:rPr>
                <w:rFonts w:ascii="Arial" w:cs="Arial" w:eastAsia="Arial" w:hAnsi="Arial"/>
                <w:sz w:val="14"/>
                <w:szCs w:val="14"/>
                <w:color w:val="auto"/>
              </w:rPr>
              <w:t>11,665</w:t>
            </w:r>
          </w:p>
        </w:tc>
        <w:tc>
          <w:tcPr>
            <w:tcW w:w="90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spacing w:after="0"/>
              <w:rPr>
                <w:sz w:val="13"/>
                <w:szCs w:val="13"/>
                <w:color w:val="auto"/>
              </w:rPr>
            </w:pPr>
          </w:p>
        </w:tc>
      </w:tr>
    </w:tbl>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3660" w:type="dxa"/>
            <w:vAlign w:val="bottom"/>
            <w:shd w:val="clear" w:color="auto" w:fill="333333"/>
          </w:tcPr>
          <w:p>
            <w:pPr>
              <w:ind w:left="80"/>
              <w:spacing w:after="0"/>
              <w:rPr>
                <w:sz w:val="20"/>
                <w:szCs w:val="20"/>
                <w:color w:val="auto"/>
              </w:rPr>
            </w:pPr>
            <w:r>
              <w:rPr>
                <w:rFonts w:ascii="Arial" w:cs="Arial" w:eastAsia="Arial" w:hAnsi="Arial"/>
                <w:sz w:val="15"/>
                <w:szCs w:val="15"/>
                <w:b w:val="1"/>
                <w:bCs w:val="1"/>
                <w:color w:val="FFFFFF"/>
              </w:rPr>
              <w:t>2013</w:t>
            </w:r>
          </w:p>
        </w:tc>
        <w:tc>
          <w:tcPr>
            <w:tcW w:w="1000" w:type="dxa"/>
            <w:vAlign w:val="bottom"/>
            <w:shd w:val="clear" w:color="auto" w:fill="333333"/>
          </w:tcPr>
          <w:p>
            <w:pPr>
              <w:spacing w:after="0"/>
              <w:rPr>
                <w:sz w:val="15"/>
                <w:szCs w:val="15"/>
                <w:color w:val="auto"/>
              </w:rPr>
            </w:pPr>
          </w:p>
        </w:tc>
        <w:tc>
          <w:tcPr>
            <w:tcW w:w="840" w:type="dxa"/>
            <w:vAlign w:val="bottom"/>
            <w:shd w:val="clear" w:color="auto" w:fill="333333"/>
          </w:tcPr>
          <w:p>
            <w:pPr>
              <w:spacing w:after="0"/>
              <w:rPr>
                <w:sz w:val="15"/>
                <w:szCs w:val="15"/>
                <w:color w:val="auto"/>
              </w:rPr>
            </w:pPr>
          </w:p>
        </w:tc>
        <w:tc>
          <w:tcPr>
            <w:tcW w:w="860" w:type="dxa"/>
            <w:vAlign w:val="bottom"/>
            <w:shd w:val="clear" w:color="auto" w:fill="333333"/>
          </w:tcPr>
          <w:p>
            <w:pPr>
              <w:spacing w:after="0"/>
              <w:rPr>
                <w:sz w:val="15"/>
                <w:szCs w:val="15"/>
                <w:color w:val="auto"/>
              </w:rPr>
            </w:pPr>
          </w:p>
        </w:tc>
        <w:tc>
          <w:tcPr>
            <w:tcW w:w="880" w:type="dxa"/>
            <w:vAlign w:val="bottom"/>
            <w:shd w:val="clear" w:color="auto" w:fill="333333"/>
          </w:tcPr>
          <w:p>
            <w:pPr>
              <w:spacing w:after="0"/>
              <w:rPr>
                <w:sz w:val="15"/>
                <w:szCs w:val="15"/>
                <w:color w:val="auto"/>
              </w:rPr>
            </w:pPr>
          </w:p>
        </w:tc>
        <w:tc>
          <w:tcPr>
            <w:tcW w:w="860" w:type="dxa"/>
            <w:vAlign w:val="bottom"/>
            <w:shd w:val="clear" w:color="auto" w:fill="333333"/>
          </w:tcPr>
          <w:p>
            <w:pPr>
              <w:spacing w:after="0"/>
              <w:rPr>
                <w:sz w:val="15"/>
                <w:szCs w:val="15"/>
                <w:color w:val="auto"/>
              </w:rPr>
            </w:pPr>
          </w:p>
        </w:tc>
        <w:tc>
          <w:tcPr>
            <w:tcW w:w="860" w:type="dxa"/>
            <w:vAlign w:val="bottom"/>
            <w:shd w:val="clear" w:color="auto" w:fill="333333"/>
          </w:tcPr>
          <w:p>
            <w:pPr>
              <w:spacing w:after="0"/>
              <w:rPr>
                <w:sz w:val="15"/>
                <w:szCs w:val="15"/>
                <w:color w:val="auto"/>
              </w:rPr>
            </w:pPr>
          </w:p>
        </w:tc>
        <w:tc>
          <w:tcPr>
            <w:tcW w:w="700" w:type="dxa"/>
            <w:vAlign w:val="bottom"/>
            <w:shd w:val="clear" w:color="auto" w:fill="333333"/>
          </w:tcPr>
          <w:p>
            <w:pPr>
              <w:spacing w:after="0"/>
              <w:rPr>
                <w:sz w:val="15"/>
                <w:szCs w:val="15"/>
                <w:color w:val="auto"/>
              </w:rPr>
            </w:pPr>
          </w:p>
        </w:tc>
        <w:tc>
          <w:tcPr>
            <w:tcW w:w="900" w:type="dxa"/>
            <w:vAlign w:val="bottom"/>
            <w:shd w:val="clear" w:color="auto" w:fill="333333"/>
          </w:tcPr>
          <w:p>
            <w:pPr>
              <w:spacing w:after="0"/>
              <w:rPr>
                <w:sz w:val="15"/>
                <w:szCs w:val="15"/>
                <w:color w:val="auto"/>
              </w:rPr>
            </w:pPr>
          </w:p>
        </w:tc>
        <w:tc>
          <w:tcPr>
            <w:tcW w:w="860" w:type="dxa"/>
            <w:vAlign w:val="bottom"/>
            <w:shd w:val="clear" w:color="auto" w:fill="333333"/>
          </w:tcPr>
          <w:p>
            <w:pPr>
              <w:jc w:val="right"/>
              <w:ind w:right="30"/>
              <w:spacing w:after="0"/>
              <w:rPr>
                <w:sz w:val="20"/>
                <w:szCs w:val="20"/>
                <w:color w:val="auto"/>
              </w:rPr>
            </w:pPr>
            <w:r>
              <w:rPr>
                <w:rFonts w:ascii="Arial" w:cs="Arial" w:eastAsia="Arial" w:hAnsi="Arial"/>
                <w:sz w:val="15"/>
                <w:szCs w:val="15"/>
                <w:color w:val="FFFFFF"/>
              </w:rPr>
              <w:t>$ MILLION</w:t>
            </w:r>
          </w:p>
        </w:tc>
      </w:tr>
      <w:tr>
        <w:trPr>
          <w:trHeight w:val="129"/>
        </w:trPr>
        <w:tc>
          <w:tcPr>
            <w:tcW w:w="3660" w:type="dxa"/>
            <w:vAlign w:val="bottom"/>
          </w:tcPr>
          <w:p>
            <w:pPr>
              <w:spacing w:after="0"/>
              <w:rPr>
                <w:sz w:val="11"/>
                <w:szCs w:val="11"/>
                <w:color w:val="auto"/>
              </w:rPr>
            </w:pPr>
          </w:p>
        </w:tc>
        <w:tc>
          <w:tcPr>
            <w:tcW w:w="100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spacing w:after="0"/>
              <w:rPr>
                <w:sz w:val="11"/>
                <w:szCs w:val="11"/>
                <w:color w:val="auto"/>
              </w:rPr>
            </w:pPr>
          </w:p>
        </w:tc>
        <w:tc>
          <w:tcPr>
            <w:tcW w:w="1560" w:type="dxa"/>
            <w:vAlign w:val="bottom"/>
            <w:tcBorders>
              <w:bottom w:val="single" w:sz="8" w:color="auto"/>
            </w:tcBorders>
            <w:gridSpan w:val="2"/>
          </w:tcPr>
          <w:p>
            <w:pPr>
              <w:jc w:val="right"/>
              <w:ind w:right="9"/>
              <w:spacing w:after="0" w:line="129" w:lineRule="exact"/>
              <w:rPr>
                <w:sz w:val="20"/>
                <w:szCs w:val="20"/>
                <w:color w:val="auto"/>
              </w:rPr>
            </w:pPr>
            <w:r>
              <w:rPr>
                <w:rFonts w:ascii="Arial" w:cs="Arial" w:eastAsia="Arial" w:hAnsi="Arial"/>
                <w:sz w:val="13"/>
                <w:szCs w:val="13"/>
                <w:color w:val="auto"/>
              </w:rPr>
              <w:t>Contractual payments</w:t>
            </w:r>
          </w:p>
        </w:tc>
        <w:tc>
          <w:tcPr>
            <w:tcW w:w="900" w:type="dxa"/>
            <w:vAlign w:val="bottom"/>
          </w:tcPr>
          <w:p>
            <w:pPr>
              <w:jc w:val="right"/>
              <w:spacing w:after="0" w:line="129" w:lineRule="exact"/>
              <w:rPr>
                <w:sz w:val="20"/>
                <w:szCs w:val="20"/>
                <w:color w:val="auto"/>
              </w:rPr>
            </w:pPr>
            <w:r>
              <w:rPr>
                <w:rFonts w:ascii="Arial" w:cs="Arial" w:eastAsia="Arial" w:hAnsi="Arial"/>
                <w:sz w:val="13"/>
                <w:szCs w:val="13"/>
                <w:color w:val="auto"/>
              </w:rPr>
              <w:t>Difference</w:t>
            </w:r>
          </w:p>
        </w:tc>
        <w:tc>
          <w:tcPr>
            <w:tcW w:w="860" w:type="dxa"/>
            <w:vAlign w:val="bottom"/>
          </w:tcPr>
          <w:p>
            <w:pPr>
              <w:spacing w:after="0"/>
              <w:rPr>
                <w:sz w:val="11"/>
                <w:szCs w:val="11"/>
                <w:color w:val="auto"/>
              </w:rPr>
            </w:pPr>
          </w:p>
        </w:tc>
      </w:tr>
      <w:tr>
        <w:trPr>
          <w:trHeight w:val="115"/>
        </w:trPr>
        <w:tc>
          <w:tcPr>
            <w:tcW w:w="36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840" w:type="dxa"/>
            <w:vAlign w:val="bottom"/>
          </w:tcPr>
          <w:p>
            <w:pPr>
              <w:jc w:val="right"/>
              <w:ind w:right="111"/>
              <w:spacing w:after="0" w:line="115" w:lineRule="exact"/>
              <w:rPr>
                <w:sz w:val="20"/>
                <w:szCs w:val="20"/>
                <w:color w:val="auto"/>
              </w:rPr>
            </w:pPr>
            <w:r>
              <w:rPr>
                <w:rFonts w:ascii="Arial" w:cs="Arial" w:eastAsia="Arial" w:hAnsi="Arial"/>
                <w:sz w:val="13"/>
                <w:szCs w:val="13"/>
                <w:color w:val="auto"/>
              </w:rPr>
              <w:t>Between</w:t>
            </w:r>
          </w:p>
        </w:tc>
        <w:tc>
          <w:tcPr>
            <w:tcW w:w="860" w:type="dxa"/>
            <w:vAlign w:val="bottom"/>
          </w:tcPr>
          <w:p>
            <w:pPr>
              <w:jc w:val="right"/>
              <w:ind w:right="111"/>
              <w:spacing w:after="0" w:line="115" w:lineRule="exact"/>
              <w:rPr>
                <w:sz w:val="20"/>
                <w:szCs w:val="20"/>
                <w:color w:val="auto"/>
              </w:rPr>
            </w:pPr>
            <w:r>
              <w:rPr>
                <w:rFonts w:ascii="Arial" w:cs="Arial" w:eastAsia="Arial" w:hAnsi="Arial"/>
                <w:sz w:val="13"/>
                <w:szCs w:val="13"/>
                <w:color w:val="auto"/>
              </w:rPr>
              <w:t>Between</w:t>
            </w:r>
          </w:p>
        </w:tc>
        <w:tc>
          <w:tcPr>
            <w:tcW w:w="880" w:type="dxa"/>
            <w:vAlign w:val="bottom"/>
          </w:tcPr>
          <w:p>
            <w:pPr>
              <w:jc w:val="right"/>
              <w:ind w:right="131"/>
              <w:spacing w:after="0" w:line="115" w:lineRule="exact"/>
              <w:rPr>
                <w:sz w:val="20"/>
                <w:szCs w:val="20"/>
                <w:color w:val="auto"/>
              </w:rPr>
            </w:pPr>
            <w:r>
              <w:rPr>
                <w:rFonts w:ascii="Arial" w:cs="Arial" w:eastAsia="Arial" w:hAnsi="Arial"/>
                <w:sz w:val="13"/>
                <w:szCs w:val="13"/>
                <w:color w:val="auto"/>
              </w:rPr>
              <w:t>Between</w:t>
            </w:r>
          </w:p>
        </w:tc>
        <w:tc>
          <w:tcPr>
            <w:tcW w:w="860" w:type="dxa"/>
            <w:vAlign w:val="bottom"/>
          </w:tcPr>
          <w:p>
            <w:pPr>
              <w:jc w:val="right"/>
              <w:ind w:right="131"/>
              <w:spacing w:after="0" w:line="115" w:lineRule="exact"/>
              <w:rPr>
                <w:sz w:val="20"/>
                <w:szCs w:val="20"/>
                <w:color w:val="auto"/>
              </w:rPr>
            </w:pPr>
            <w:r>
              <w:rPr>
                <w:rFonts w:ascii="Arial" w:cs="Arial" w:eastAsia="Arial" w:hAnsi="Arial"/>
                <w:sz w:val="13"/>
                <w:szCs w:val="13"/>
                <w:color w:val="auto"/>
              </w:rPr>
              <w:t>Between</w:t>
            </w:r>
          </w:p>
        </w:tc>
        <w:tc>
          <w:tcPr>
            <w:tcW w:w="8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900" w:type="dxa"/>
            <w:vAlign w:val="bottom"/>
          </w:tcPr>
          <w:p>
            <w:pPr>
              <w:jc w:val="right"/>
              <w:spacing w:after="0" w:line="115" w:lineRule="exact"/>
              <w:rPr>
                <w:sz w:val="20"/>
                <w:szCs w:val="20"/>
                <w:color w:val="auto"/>
              </w:rPr>
            </w:pPr>
            <w:r>
              <w:rPr>
                <w:rFonts w:ascii="Arial" w:cs="Arial" w:eastAsia="Arial" w:hAnsi="Arial"/>
                <w:sz w:val="13"/>
                <w:szCs w:val="13"/>
                <w:color w:val="auto"/>
              </w:rPr>
              <w:t>from</w:t>
            </w:r>
          </w:p>
        </w:tc>
        <w:tc>
          <w:tcPr>
            <w:tcW w:w="860" w:type="dxa"/>
            <w:vAlign w:val="bottom"/>
          </w:tcPr>
          <w:p>
            <w:pPr>
              <w:spacing w:after="0"/>
              <w:rPr>
                <w:sz w:val="10"/>
                <w:szCs w:val="10"/>
                <w:color w:val="auto"/>
              </w:rPr>
            </w:pPr>
          </w:p>
        </w:tc>
      </w:tr>
      <w:tr>
        <w:trPr>
          <w:trHeight w:val="135"/>
        </w:trPr>
        <w:tc>
          <w:tcPr>
            <w:tcW w:w="3660" w:type="dxa"/>
            <w:vAlign w:val="bottom"/>
          </w:tcPr>
          <w:p>
            <w:pPr>
              <w:spacing w:after="0"/>
              <w:rPr>
                <w:sz w:val="11"/>
                <w:szCs w:val="11"/>
                <w:color w:val="auto"/>
              </w:rPr>
            </w:pPr>
          </w:p>
        </w:tc>
        <w:tc>
          <w:tcPr>
            <w:tcW w:w="1000" w:type="dxa"/>
            <w:vAlign w:val="bottom"/>
          </w:tcPr>
          <w:p>
            <w:pPr>
              <w:jc w:val="right"/>
              <w:ind w:right="110"/>
              <w:spacing w:after="0" w:line="135" w:lineRule="exact"/>
              <w:rPr>
                <w:sz w:val="20"/>
                <w:szCs w:val="20"/>
                <w:color w:val="auto"/>
              </w:rPr>
            </w:pPr>
            <w:r>
              <w:rPr>
                <w:rFonts w:ascii="Arial" w:cs="Arial" w:eastAsia="Arial" w:hAnsi="Arial"/>
                <w:sz w:val="13"/>
                <w:szCs w:val="13"/>
                <w:color w:val="auto"/>
              </w:rPr>
              <w:t>Less than</w:t>
            </w:r>
          </w:p>
        </w:tc>
        <w:tc>
          <w:tcPr>
            <w:tcW w:w="840" w:type="dxa"/>
            <w:vAlign w:val="bottom"/>
          </w:tcPr>
          <w:p>
            <w:pPr>
              <w:jc w:val="right"/>
              <w:ind w:right="111"/>
              <w:spacing w:after="0" w:line="135" w:lineRule="exact"/>
              <w:rPr>
                <w:sz w:val="20"/>
                <w:szCs w:val="20"/>
                <w:color w:val="auto"/>
              </w:rPr>
            </w:pPr>
            <w:r>
              <w:rPr>
                <w:rFonts w:ascii="Arial" w:cs="Arial" w:eastAsia="Arial" w:hAnsi="Arial"/>
                <w:sz w:val="13"/>
                <w:szCs w:val="13"/>
                <w:color w:val="auto"/>
              </w:rPr>
              <w:t>1 and 2</w:t>
            </w:r>
          </w:p>
        </w:tc>
        <w:tc>
          <w:tcPr>
            <w:tcW w:w="860" w:type="dxa"/>
            <w:vAlign w:val="bottom"/>
          </w:tcPr>
          <w:p>
            <w:pPr>
              <w:jc w:val="right"/>
              <w:ind w:right="111"/>
              <w:spacing w:after="0" w:line="135" w:lineRule="exact"/>
              <w:rPr>
                <w:sz w:val="20"/>
                <w:szCs w:val="20"/>
                <w:color w:val="auto"/>
              </w:rPr>
            </w:pPr>
            <w:r>
              <w:rPr>
                <w:rFonts w:ascii="Arial" w:cs="Arial" w:eastAsia="Arial" w:hAnsi="Arial"/>
                <w:sz w:val="13"/>
                <w:szCs w:val="13"/>
                <w:color w:val="auto"/>
              </w:rPr>
              <w:t>2 and 3</w:t>
            </w:r>
          </w:p>
        </w:tc>
        <w:tc>
          <w:tcPr>
            <w:tcW w:w="880" w:type="dxa"/>
            <w:vAlign w:val="bottom"/>
          </w:tcPr>
          <w:p>
            <w:pPr>
              <w:jc w:val="right"/>
              <w:ind w:right="131"/>
              <w:spacing w:after="0" w:line="135" w:lineRule="exact"/>
              <w:rPr>
                <w:sz w:val="20"/>
                <w:szCs w:val="20"/>
                <w:color w:val="auto"/>
              </w:rPr>
            </w:pPr>
            <w:r>
              <w:rPr>
                <w:rFonts w:ascii="Arial" w:cs="Arial" w:eastAsia="Arial" w:hAnsi="Arial"/>
                <w:sz w:val="13"/>
                <w:szCs w:val="13"/>
                <w:color w:val="auto"/>
              </w:rPr>
              <w:t>3 and 4</w:t>
            </w:r>
          </w:p>
        </w:tc>
        <w:tc>
          <w:tcPr>
            <w:tcW w:w="860" w:type="dxa"/>
            <w:vAlign w:val="bottom"/>
          </w:tcPr>
          <w:p>
            <w:pPr>
              <w:jc w:val="right"/>
              <w:ind w:right="131"/>
              <w:spacing w:after="0" w:line="135" w:lineRule="exact"/>
              <w:rPr>
                <w:sz w:val="20"/>
                <w:szCs w:val="20"/>
                <w:color w:val="auto"/>
              </w:rPr>
            </w:pPr>
            <w:r>
              <w:rPr>
                <w:rFonts w:ascii="Arial" w:cs="Arial" w:eastAsia="Arial" w:hAnsi="Arial"/>
                <w:sz w:val="13"/>
                <w:szCs w:val="13"/>
                <w:color w:val="auto"/>
              </w:rPr>
              <w:t>4 and 5</w:t>
            </w:r>
          </w:p>
        </w:tc>
        <w:tc>
          <w:tcPr>
            <w:tcW w:w="860" w:type="dxa"/>
            <w:vAlign w:val="bottom"/>
          </w:tcPr>
          <w:p>
            <w:pPr>
              <w:jc w:val="right"/>
              <w:ind w:right="111"/>
              <w:spacing w:after="0" w:line="135" w:lineRule="exact"/>
              <w:rPr>
                <w:sz w:val="20"/>
                <w:szCs w:val="20"/>
                <w:color w:val="auto"/>
              </w:rPr>
            </w:pPr>
            <w:r>
              <w:rPr>
                <w:rFonts w:ascii="Arial" w:cs="Arial" w:eastAsia="Arial" w:hAnsi="Arial"/>
                <w:sz w:val="13"/>
                <w:szCs w:val="13"/>
                <w:color w:val="auto"/>
              </w:rPr>
              <w:t>5 years</w:t>
            </w:r>
          </w:p>
        </w:tc>
        <w:tc>
          <w:tcPr>
            <w:tcW w:w="700" w:type="dxa"/>
            <w:vAlign w:val="bottom"/>
          </w:tcPr>
          <w:p>
            <w:pPr>
              <w:spacing w:after="0"/>
              <w:rPr>
                <w:sz w:val="11"/>
                <w:szCs w:val="11"/>
                <w:color w:val="auto"/>
              </w:rPr>
            </w:pPr>
          </w:p>
        </w:tc>
        <w:tc>
          <w:tcPr>
            <w:tcW w:w="900" w:type="dxa"/>
            <w:vAlign w:val="bottom"/>
          </w:tcPr>
          <w:p>
            <w:pPr>
              <w:jc w:val="right"/>
              <w:spacing w:after="0" w:line="135" w:lineRule="exact"/>
              <w:rPr>
                <w:sz w:val="20"/>
                <w:szCs w:val="20"/>
                <w:color w:val="auto"/>
              </w:rPr>
            </w:pPr>
            <w:r>
              <w:rPr>
                <w:rFonts w:ascii="Arial" w:cs="Arial" w:eastAsia="Arial" w:hAnsi="Arial"/>
                <w:sz w:val="13"/>
                <w:szCs w:val="13"/>
                <w:color w:val="auto"/>
              </w:rPr>
              <w:t>carrying</w:t>
            </w:r>
          </w:p>
        </w:tc>
        <w:tc>
          <w:tcPr>
            <w:tcW w:w="860" w:type="dxa"/>
            <w:vAlign w:val="bottom"/>
          </w:tcPr>
          <w:p>
            <w:pPr>
              <w:jc w:val="right"/>
              <w:ind w:right="30"/>
              <w:spacing w:after="0" w:line="135" w:lineRule="exact"/>
              <w:rPr>
                <w:sz w:val="20"/>
                <w:szCs w:val="20"/>
                <w:color w:val="auto"/>
              </w:rPr>
            </w:pPr>
            <w:r>
              <w:rPr>
                <w:rFonts w:ascii="Arial" w:cs="Arial" w:eastAsia="Arial" w:hAnsi="Arial"/>
                <w:sz w:val="13"/>
                <w:szCs w:val="13"/>
                <w:color w:val="auto"/>
              </w:rPr>
              <w:t>Carrying</w:t>
            </w:r>
          </w:p>
        </w:tc>
      </w:tr>
      <w:tr>
        <w:trPr>
          <w:trHeight w:val="155"/>
        </w:trPr>
        <w:tc>
          <w:tcPr>
            <w:tcW w:w="366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110"/>
              <w:spacing w:after="0"/>
              <w:rPr>
                <w:sz w:val="20"/>
                <w:szCs w:val="20"/>
                <w:color w:val="auto"/>
              </w:rPr>
            </w:pPr>
            <w:r>
              <w:rPr>
                <w:rFonts w:ascii="Arial" w:cs="Arial" w:eastAsia="Arial" w:hAnsi="Arial"/>
                <w:sz w:val="13"/>
                <w:szCs w:val="13"/>
                <w:color w:val="auto"/>
              </w:rPr>
              <w:t>1 year</w:t>
            </w:r>
          </w:p>
        </w:tc>
        <w:tc>
          <w:tcPr>
            <w:tcW w:w="840" w:type="dxa"/>
            <w:vAlign w:val="bottom"/>
            <w:tcBorders>
              <w:bottom w:val="single" w:sz="8" w:color="auto"/>
            </w:tcBorders>
          </w:tcPr>
          <w:p>
            <w:pPr>
              <w:jc w:val="right"/>
              <w:ind w:right="111"/>
              <w:spacing w:after="0"/>
              <w:rPr>
                <w:sz w:val="20"/>
                <w:szCs w:val="20"/>
                <w:color w:val="auto"/>
              </w:rPr>
            </w:pPr>
            <w:r>
              <w:rPr>
                <w:rFonts w:ascii="Arial" w:cs="Arial" w:eastAsia="Arial" w:hAnsi="Arial"/>
                <w:sz w:val="13"/>
                <w:szCs w:val="13"/>
                <w:color w:val="auto"/>
              </w:rPr>
              <w:t>years</w:t>
            </w:r>
          </w:p>
        </w:tc>
        <w:tc>
          <w:tcPr>
            <w:tcW w:w="860" w:type="dxa"/>
            <w:vAlign w:val="bottom"/>
            <w:tcBorders>
              <w:bottom w:val="single" w:sz="8" w:color="auto"/>
            </w:tcBorders>
          </w:tcPr>
          <w:p>
            <w:pPr>
              <w:jc w:val="right"/>
              <w:ind w:right="111"/>
              <w:spacing w:after="0"/>
              <w:rPr>
                <w:sz w:val="20"/>
                <w:szCs w:val="20"/>
                <w:color w:val="auto"/>
              </w:rPr>
            </w:pPr>
            <w:r>
              <w:rPr>
                <w:rFonts w:ascii="Arial" w:cs="Arial" w:eastAsia="Arial" w:hAnsi="Arial"/>
                <w:sz w:val="13"/>
                <w:szCs w:val="13"/>
                <w:color w:val="auto"/>
              </w:rPr>
              <w:t>years</w:t>
            </w:r>
          </w:p>
        </w:tc>
        <w:tc>
          <w:tcPr>
            <w:tcW w:w="880" w:type="dxa"/>
            <w:vAlign w:val="bottom"/>
            <w:tcBorders>
              <w:bottom w:val="single" w:sz="8" w:color="auto"/>
            </w:tcBorders>
          </w:tcPr>
          <w:p>
            <w:pPr>
              <w:jc w:val="right"/>
              <w:ind w:right="131"/>
              <w:spacing w:after="0"/>
              <w:rPr>
                <w:sz w:val="20"/>
                <w:szCs w:val="20"/>
                <w:color w:val="auto"/>
              </w:rPr>
            </w:pPr>
            <w:r>
              <w:rPr>
                <w:rFonts w:ascii="Arial" w:cs="Arial" w:eastAsia="Arial" w:hAnsi="Arial"/>
                <w:sz w:val="13"/>
                <w:szCs w:val="13"/>
                <w:color w:val="auto"/>
              </w:rPr>
              <w:t>years</w:t>
            </w:r>
          </w:p>
        </w:tc>
        <w:tc>
          <w:tcPr>
            <w:tcW w:w="860" w:type="dxa"/>
            <w:vAlign w:val="bottom"/>
            <w:tcBorders>
              <w:bottom w:val="single" w:sz="8" w:color="auto"/>
            </w:tcBorders>
          </w:tcPr>
          <w:p>
            <w:pPr>
              <w:jc w:val="right"/>
              <w:ind w:right="131"/>
              <w:spacing w:after="0"/>
              <w:rPr>
                <w:sz w:val="20"/>
                <w:szCs w:val="20"/>
                <w:color w:val="auto"/>
              </w:rPr>
            </w:pPr>
            <w:r>
              <w:rPr>
                <w:rFonts w:ascii="Arial" w:cs="Arial" w:eastAsia="Arial" w:hAnsi="Arial"/>
                <w:sz w:val="13"/>
                <w:szCs w:val="13"/>
                <w:color w:val="auto"/>
              </w:rPr>
              <w:t>years</w:t>
            </w:r>
          </w:p>
        </w:tc>
        <w:tc>
          <w:tcPr>
            <w:tcW w:w="860" w:type="dxa"/>
            <w:vAlign w:val="bottom"/>
            <w:tcBorders>
              <w:bottom w:val="single" w:sz="8" w:color="auto"/>
            </w:tcBorders>
          </w:tcPr>
          <w:p>
            <w:pPr>
              <w:jc w:val="right"/>
              <w:ind w:right="111"/>
              <w:spacing w:after="0"/>
              <w:rPr>
                <w:sz w:val="20"/>
                <w:szCs w:val="20"/>
                <w:color w:val="auto"/>
              </w:rPr>
            </w:pPr>
            <w:r>
              <w:rPr>
                <w:rFonts w:ascii="Arial" w:cs="Arial" w:eastAsia="Arial" w:hAnsi="Arial"/>
                <w:sz w:val="13"/>
                <w:szCs w:val="13"/>
                <w:color w:val="auto"/>
              </w:rPr>
              <w:t>and later</w:t>
            </w:r>
          </w:p>
        </w:tc>
        <w:tc>
          <w:tcPr>
            <w:tcW w:w="700" w:type="dxa"/>
            <w:vAlign w:val="bottom"/>
            <w:tcBorders>
              <w:bottom w:val="single" w:sz="8" w:color="auto"/>
            </w:tcBorders>
          </w:tcPr>
          <w:p>
            <w:pPr>
              <w:jc w:val="right"/>
              <w:ind w:right="9"/>
              <w:spacing w:after="0"/>
              <w:rPr>
                <w:sz w:val="20"/>
                <w:szCs w:val="20"/>
                <w:color w:val="auto"/>
              </w:rPr>
            </w:pPr>
            <w:r>
              <w:rPr>
                <w:rFonts w:ascii="Arial" w:cs="Arial" w:eastAsia="Arial" w:hAnsi="Arial"/>
                <w:sz w:val="13"/>
                <w:szCs w:val="13"/>
                <w:color w:val="auto"/>
              </w:rPr>
              <w:t>Total</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amount</w:t>
            </w:r>
          </w:p>
        </w:tc>
        <w:tc>
          <w:tcPr>
            <w:tcW w:w="860" w:type="dxa"/>
            <w:vAlign w:val="bottom"/>
            <w:tcBorders>
              <w:bottom w:val="single" w:sz="8" w:color="auto"/>
            </w:tcBorders>
          </w:tcPr>
          <w:p>
            <w:pPr>
              <w:jc w:val="right"/>
              <w:ind w:right="30"/>
              <w:spacing w:after="0"/>
              <w:rPr>
                <w:sz w:val="20"/>
                <w:szCs w:val="20"/>
                <w:color w:val="auto"/>
              </w:rPr>
            </w:pPr>
            <w:r>
              <w:rPr>
                <w:rFonts w:ascii="Arial" w:cs="Arial" w:eastAsia="Arial" w:hAnsi="Arial"/>
                <w:sz w:val="13"/>
                <w:szCs w:val="13"/>
                <w:color w:val="auto"/>
              </w:rPr>
              <w:t>amount</w:t>
            </w:r>
          </w:p>
        </w:tc>
      </w:tr>
      <w:tr>
        <w:trPr>
          <w:trHeight w:val="160"/>
        </w:trPr>
        <w:tc>
          <w:tcPr>
            <w:tcW w:w="3660" w:type="dxa"/>
            <w:vAlign w:val="bottom"/>
          </w:tcPr>
          <w:p>
            <w:pPr>
              <w:spacing w:after="0"/>
              <w:rPr>
                <w:sz w:val="20"/>
                <w:szCs w:val="20"/>
                <w:color w:val="auto"/>
              </w:rPr>
            </w:pPr>
            <w:r>
              <w:rPr>
                <w:rFonts w:ascii="Arial" w:cs="Arial" w:eastAsia="Arial" w:hAnsi="Arial"/>
                <w:sz w:val="14"/>
                <w:szCs w:val="14"/>
                <w:color w:val="auto"/>
              </w:rPr>
              <w:t>CP programmes</w:t>
            </w:r>
          </w:p>
        </w:tc>
        <w:tc>
          <w:tcPr>
            <w:tcW w:w="1000" w:type="dxa"/>
            <w:vAlign w:val="bottom"/>
          </w:tcPr>
          <w:p>
            <w:pPr>
              <w:jc w:val="right"/>
              <w:ind w:right="110"/>
              <w:spacing w:after="0"/>
              <w:rPr>
                <w:sz w:val="20"/>
                <w:szCs w:val="20"/>
                <w:color w:val="auto"/>
              </w:rPr>
            </w:pPr>
            <w:r>
              <w:rPr>
                <w:rFonts w:ascii="Arial" w:cs="Arial" w:eastAsia="Arial" w:hAnsi="Arial"/>
                <w:sz w:val="14"/>
                <w:szCs w:val="14"/>
                <w:color w:val="auto"/>
              </w:rPr>
              <w:t>3,000</w:t>
            </w:r>
          </w:p>
        </w:tc>
        <w:tc>
          <w:tcPr>
            <w:tcW w:w="840" w:type="dxa"/>
            <w:vAlign w:val="bottom"/>
          </w:tcPr>
          <w:p>
            <w:pPr>
              <w:jc w:val="right"/>
              <w:ind w:right="111"/>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111"/>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131"/>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131"/>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111"/>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9"/>
              <w:spacing w:after="0"/>
              <w:rPr>
                <w:sz w:val="20"/>
                <w:szCs w:val="20"/>
                <w:color w:val="auto"/>
              </w:rPr>
            </w:pPr>
            <w:r>
              <w:rPr>
                <w:rFonts w:ascii="Arial" w:cs="Arial" w:eastAsia="Arial" w:hAnsi="Arial"/>
                <w:sz w:val="14"/>
                <w:szCs w:val="14"/>
                <w:color w:val="auto"/>
              </w:rPr>
              <w:t>3,000</w:t>
            </w:r>
          </w:p>
        </w:tc>
        <w:tc>
          <w:tcPr>
            <w:tcW w:w="900" w:type="dxa"/>
            <w:vAlign w:val="bottom"/>
          </w:tcPr>
          <w:p>
            <w:pPr>
              <w:jc w:val="right"/>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30"/>
              <w:spacing w:after="0"/>
              <w:rPr>
                <w:sz w:val="20"/>
                <w:szCs w:val="20"/>
                <w:color w:val="auto"/>
              </w:rPr>
            </w:pPr>
            <w:r>
              <w:rPr>
                <w:rFonts w:ascii="Arial" w:cs="Arial" w:eastAsia="Arial" w:hAnsi="Arial"/>
                <w:sz w:val="14"/>
                <w:szCs w:val="14"/>
                <w:color w:val="auto"/>
              </w:rPr>
              <w:t>3,000</w:t>
            </w:r>
          </w:p>
        </w:tc>
      </w:tr>
      <w:tr>
        <w:trPr>
          <w:trHeight w:val="162"/>
        </w:trPr>
        <w:tc>
          <w:tcPr>
            <w:tcW w:w="3660" w:type="dxa"/>
            <w:vAlign w:val="bottom"/>
          </w:tcPr>
          <w:p>
            <w:pPr>
              <w:spacing w:after="0"/>
              <w:rPr>
                <w:sz w:val="20"/>
                <w:szCs w:val="20"/>
                <w:color w:val="auto"/>
              </w:rPr>
            </w:pPr>
            <w:r>
              <w:rPr>
                <w:rFonts w:ascii="Arial" w:cs="Arial" w:eastAsia="Arial" w:hAnsi="Arial"/>
                <w:sz w:val="14"/>
                <w:szCs w:val="14"/>
                <w:color w:val="auto"/>
              </w:rPr>
              <w:t>EMTN programme</w:t>
            </w:r>
          </w:p>
        </w:tc>
        <w:tc>
          <w:tcPr>
            <w:tcW w:w="1000" w:type="dxa"/>
            <w:vAlign w:val="bottom"/>
          </w:tcPr>
          <w:p>
            <w:pPr>
              <w:jc w:val="right"/>
              <w:ind w:right="110"/>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111"/>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111"/>
              <w:spacing w:after="0"/>
              <w:rPr>
                <w:sz w:val="20"/>
                <w:szCs w:val="20"/>
                <w:color w:val="auto"/>
              </w:rPr>
            </w:pPr>
            <w:r>
              <w:rPr>
                <w:rFonts w:ascii="Arial" w:cs="Arial" w:eastAsia="Arial" w:hAnsi="Arial"/>
                <w:sz w:val="14"/>
                <w:szCs w:val="14"/>
                <w:color w:val="auto"/>
              </w:rPr>
              <w:t>1,721</w:t>
            </w:r>
          </w:p>
        </w:tc>
        <w:tc>
          <w:tcPr>
            <w:tcW w:w="880" w:type="dxa"/>
            <w:vAlign w:val="bottom"/>
          </w:tcPr>
          <w:p>
            <w:pPr>
              <w:jc w:val="right"/>
              <w:ind w:right="131"/>
              <w:spacing w:after="0"/>
              <w:rPr>
                <w:sz w:val="20"/>
                <w:szCs w:val="20"/>
                <w:color w:val="auto"/>
              </w:rPr>
            </w:pPr>
            <w:r>
              <w:rPr>
                <w:rFonts w:ascii="Arial" w:cs="Arial" w:eastAsia="Arial" w:hAnsi="Arial"/>
                <w:sz w:val="14"/>
                <w:szCs w:val="14"/>
                <w:color w:val="auto"/>
              </w:rPr>
              <w:t>2,066</w:t>
            </w:r>
          </w:p>
        </w:tc>
        <w:tc>
          <w:tcPr>
            <w:tcW w:w="860" w:type="dxa"/>
            <w:vAlign w:val="bottom"/>
          </w:tcPr>
          <w:p>
            <w:pPr>
              <w:jc w:val="right"/>
              <w:ind w:right="131"/>
              <w:spacing w:after="0"/>
              <w:rPr>
                <w:sz w:val="20"/>
                <w:szCs w:val="20"/>
                <w:color w:val="auto"/>
              </w:rPr>
            </w:pPr>
            <w:r>
              <w:rPr>
                <w:rFonts w:ascii="Arial" w:cs="Arial" w:eastAsia="Arial" w:hAnsi="Arial"/>
                <w:sz w:val="14"/>
                <w:szCs w:val="14"/>
                <w:color w:val="auto"/>
              </w:rPr>
              <w:t>3,443</w:t>
            </w:r>
          </w:p>
        </w:tc>
        <w:tc>
          <w:tcPr>
            <w:tcW w:w="860" w:type="dxa"/>
            <w:vAlign w:val="bottom"/>
          </w:tcPr>
          <w:p>
            <w:pPr>
              <w:jc w:val="right"/>
              <w:ind w:right="111"/>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9"/>
              <w:spacing w:after="0"/>
              <w:rPr>
                <w:sz w:val="20"/>
                <w:szCs w:val="20"/>
                <w:color w:val="auto"/>
              </w:rPr>
            </w:pPr>
            <w:r>
              <w:rPr>
                <w:rFonts w:ascii="Arial" w:cs="Arial" w:eastAsia="Arial" w:hAnsi="Arial"/>
                <w:sz w:val="14"/>
                <w:szCs w:val="14"/>
                <w:color w:val="auto"/>
              </w:rPr>
              <w:t>7,230</w:t>
            </w:r>
          </w:p>
        </w:tc>
        <w:tc>
          <w:tcPr>
            <w:tcW w:w="900" w:type="dxa"/>
            <w:vAlign w:val="bottom"/>
          </w:tcPr>
          <w:p>
            <w:pPr>
              <w:jc w:val="right"/>
              <w:spacing w:after="0"/>
              <w:rPr>
                <w:sz w:val="20"/>
                <w:szCs w:val="20"/>
                <w:color w:val="auto"/>
              </w:rPr>
            </w:pPr>
            <w:r>
              <w:rPr>
                <w:rFonts w:ascii="Arial" w:cs="Arial" w:eastAsia="Arial" w:hAnsi="Arial"/>
                <w:sz w:val="14"/>
                <w:szCs w:val="14"/>
                <w:color w:val="auto"/>
              </w:rPr>
              <w:t>652</w:t>
            </w:r>
          </w:p>
        </w:tc>
        <w:tc>
          <w:tcPr>
            <w:tcW w:w="860" w:type="dxa"/>
            <w:vAlign w:val="bottom"/>
          </w:tcPr>
          <w:p>
            <w:pPr>
              <w:jc w:val="right"/>
              <w:ind w:right="30"/>
              <w:spacing w:after="0"/>
              <w:rPr>
                <w:sz w:val="20"/>
                <w:szCs w:val="20"/>
                <w:color w:val="auto"/>
              </w:rPr>
            </w:pPr>
            <w:r>
              <w:rPr>
                <w:rFonts w:ascii="Arial" w:cs="Arial" w:eastAsia="Arial" w:hAnsi="Arial"/>
                <w:sz w:val="14"/>
                <w:szCs w:val="14"/>
                <w:color w:val="auto"/>
              </w:rPr>
              <w:t>7,882</w:t>
            </w:r>
          </w:p>
        </w:tc>
      </w:tr>
      <w:tr>
        <w:trPr>
          <w:trHeight w:val="162"/>
        </w:trPr>
        <w:tc>
          <w:tcPr>
            <w:tcW w:w="3660" w:type="dxa"/>
            <w:vAlign w:val="bottom"/>
          </w:tcPr>
          <w:p>
            <w:pPr>
              <w:spacing w:after="0"/>
              <w:rPr>
                <w:sz w:val="20"/>
                <w:szCs w:val="20"/>
                <w:color w:val="auto"/>
              </w:rPr>
            </w:pPr>
            <w:r>
              <w:rPr>
                <w:rFonts w:ascii="Arial" w:cs="Arial" w:eastAsia="Arial" w:hAnsi="Arial"/>
                <w:sz w:val="14"/>
                <w:szCs w:val="14"/>
                <w:color w:val="auto"/>
              </w:rPr>
              <w:t>US shelf registration</w:t>
            </w:r>
          </w:p>
        </w:tc>
        <w:tc>
          <w:tcPr>
            <w:tcW w:w="1000" w:type="dxa"/>
            <w:vAlign w:val="bottom"/>
          </w:tcPr>
          <w:p>
            <w:pPr>
              <w:jc w:val="right"/>
              <w:ind w:right="110"/>
              <w:spacing w:after="0"/>
              <w:rPr>
                <w:sz w:val="20"/>
                <w:szCs w:val="20"/>
                <w:color w:val="auto"/>
              </w:rPr>
            </w:pPr>
            <w:r>
              <w:rPr>
                <w:rFonts w:ascii="Arial" w:cs="Arial" w:eastAsia="Arial" w:hAnsi="Arial"/>
                <w:sz w:val="14"/>
                <w:szCs w:val="14"/>
                <w:color w:val="auto"/>
              </w:rPr>
              <w:t>2,500</w:t>
            </w:r>
          </w:p>
        </w:tc>
        <w:tc>
          <w:tcPr>
            <w:tcW w:w="840" w:type="dxa"/>
            <w:vAlign w:val="bottom"/>
          </w:tcPr>
          <w:p>
            <w:pPr>
              <w:jc w:val="right"/>
              <w:ind w:right="111"/>
              <w:spacing w:after="0"/>
              <w:rPr>
                <w:sz w:val="20"/>
                <w:szCs w:val="20"/>
                <w:color w:val="auto"/>
              </w:rPr>
            </w:pPr>
            <w:r>
              <w:rPr>
                <w:rFonts w:ascii="Arial" w:cs="Arial" w:eastAsia="Arial" w:hAnsi="Arial"/>
                <w:sz w:val="14"/>
                <w:szCs w:val="14"/>
                <w:color w:val="auto"/>
              </w:rPr>
              <w:t>4,250</w:t>
            </w:r>
          </w:p>
        </w:tc>
        <w:tc>
          <w:tcPr>
            <w:tcW w:w="860" w:type="dxa"/>
            <w:vAlign w:val="bottom"/>
          </w:tcPr>
          <w:p>
            <w:pPr>
              <w:jc w:val="right"/>
              <w:ind w:right="111"/>
              <w:spacing w:after="0"/>
              <w:rPr>
                <w:sz w:val="20"/>
                <w:szCs w:val="20"/>
                <w:color w:val="auto"/>
              </w:rPr>
            </w:pPr>
            <w:r>
              <w:rPr>
                <w:rFonts w:ascii="Arial" w:cs="Arial" w:eastAsia="Arial" w:hAnsi="Arial"/>
                <w:sz w:val="14"/>
                <w:szCs w:val="14"/>
                <w:color w:val="auto"/>
              </w:rPr>
              <w:t>2,000</w:t>
            </w:r>
          </w:p>
        </w:tc>
        <w:tc>
          <w:tcPr>
            <w:tcW w:w="880" w:type="dxa"/>
            <w:vAlign w:val="bottom"/>
          </w:tcPr>
          <w:p>
            <w:pPr>
              <w:jc w:val="right"/>
              <w:ind w:right="131"/>
              <w:spacing w:after="0"/>
              <w:rPr>
                <w:sz w:val="20"/>
                <w:szCs w:val="20"/>
                <w:color w:val="auto"/>
              </w:rPr>
            </w:pPr>
            <w:r>
              <w:rPr>
                <w:rFonts w:ascii="Arial" w:cs="Arial" w:eastAsia="Arial" w:hAnsi="Arial"/>
                <w:sz w:val="14"/>
                <w:szCs w:val="14"/>
                <w:color w:val="auto"/>
              </w:rPr>
              <w:t>1,750</w:t>
            </w:r>
          </w:p>
        </w:tc>
        <w:tc>
          <w:tcPr>
            <w:tcW w:w="860" w:type="dxa"/>
            <w:vAlign w:val="bottom"/>
          </w:tcPr>
          <w:p>
            <w:pPr>
              <w:jc w:val="right"/>
              <w:ind w:right="131"/>
              <w:spacing w:after="0"/>
              <w:rPr>
                <w:sz w:val="20"/>
                <w:szCs w:val="20"/>
                <w:color w:val="auto"/>
              </w:rPr>
            </w:pPr>
            <w:r>
              <w:rPr>
                <w:rFonts w:ascii="Arial" w:cs="Arial" w:eastAsia="Arial" w:hAnsi="Arial"/>
                <w:sz w:val="14"/>
                <w:szCs w:val="14"/>
                <w:color w:val="auto"/>
              </w:rPr>
              <w:t>2,750</w:t>
            </w:r>
          </w:p>
        </w:tc>
        <w:tc>
          <w:tcPr>
            <w:tcW w:w="860" w:type="dxa"/>
            <w:vAlign w:val="bottom"/>
          </w:tcPr>
          <w:p>
            <w:pPr>
              <w:jc w:val="right"/>
              <w:ind w:right="111"/>
              <w:spacing w:after="0"/>
              <w:rPr>
                <w:sz w:val="20"/>
                <w:szCs w:val="20"/>
                <w:color w:val="auto"/>
              </w:rPr>
            </w:pPr>
            <w:r>
              <w:rPr>
                <w:rFonts w:ascii="Arial" w:cs="Arial" w:eastAsia="Arial" w:hAnsi="Arial"/>
                <w:sz w:val="14"/>
                <w:szCs w:val="14"/>
                <w:color w:val="auto"/>
              </w:rPr>
              <w:t>11,750</w:t>
            </w:r>
          </w:p>
        </w:tc>
        <w:tc>
          <w:tcPr>
            <w:tcW w:w="700" w:type="dxa"/>
            <w:vAlign w:val="bottom"/>
          </w:tcPr>
          <w:p>
            <w:pPr>
              <w:jc w:val="right"/>
              <w:ind w:right="9"/>
              <w:spacing w:after="0"/>
              <w:rPr>
                <w:sz w:val="20"/>
                <w:szCs w:val="20"/>
                <w:color w:val="auto"/>
              </w:rPr>
            </w:pPr>
            <w:r>
              <w:rPr>
                <w:rFonts w:ascii="Arial" w:cs="Arial" w:eastAsia="Arial" w:hAnsi="Arial"/>
                <w:sz w:val="14"/>
                <w:szCs w:val="14"/>
                <w:color w:val="auto"/>
              </w:rPr>
              <w:t>25,000</w:t>
            </w:r>
          </w:p>
        </w:tc>
        <w:tc>
          <w:tcPr>
            <w:tcW w:w="900" w:type="dxa"/>
            <w:vAlign w:val="bottom"/>
          </w:tcPr>
          <w:p>
            <w:pPr>
              <w:jc w:val="right"/>
              <w:spacing w:after="0"/>
              <w:rPr>
                <w:sz w:val="20"/>
                <w:szCs w:val="20"/>
                <w:color w:val="auto"/>
              </w:rPr>
            </w:pPr>
            <w:r>
              <w:rPr>
                <w:rFonts w:ascii="Arial" w:cs="Arial" w:eastAsia="Arial" w:hAnsi="Arial"/>
                <w:sz w:val="14"/>
                <w:szCs w:val="14"/>
                <w:color w:val="auto"/>
              </w:rPr>
              <w:t>72</w:t>
            </w:r>
          </w:p>
        </w:tc>
        <w:tc>
          <w:tcPr>
            <w:tcW w:w="860" w:type="dxa"/>
            <w:vAlign w:val="bottom"/>
          </w:tcPr>
          <w:p>
            <w:pPr>
              <w:jc w:val="right"/>
              <w:ind w:right="30"/>
              <w:spacing w:after="0"/>
              <w:rPr>
                <w:sz w:val="20"/>
                <w:szCs w:val="20"/>
                <w:color w:val="auto"/>
              </w:rPr>
            </w:pPr>
            <w:r>
              <w:rPr>
                <w:rFonts w:ascii="Arial" w:cs="Arial" w:eastAsia="Arial" w:hAnsi="Arial"/>
                <w:sz w:val="14"/>
                <w:szCs w:val="14"/>
                <w:color w:val="auto"/>
              </w:rPr>
              <w:t>25,072</w:t>
            </w:r>
          </w:p>
        </w:tc>
      </w:tr>
      <w:tr>
        <w:trPr>
          <w:trHeight w:val="157"/>
        </w:trPr>
        <w:tc>
          <w:tcPr>
            <w:tcW w:w="3660" w:type="dxa"/>
            <w:vAlign w:val="bottom"/>
            <w:tcBorders>
              <w:bottom w:val="single" w:sz="8" w:color="auto"/>
            </w:tcBorders>
          </w:tcPr>
          <w:p>
            <w:pPr>
              <w:spacing w:after="0" w:line="157" w:lineRule="exact"/>
              <w:rPr>
                <w:sz w:val="20"/>
                <w:szCs w:val="20"/>
                <w:color w:val="auto"/>
              </w:rPr>
            </w:pPr>
            <w:r>
              <w:rPr>
                <w:rFonts w:ascii="Arial" w:cs="Arial" w:eastAsia="Arial" w:hAnsi="Arial"/>
                <w:sz w:val="14"/>
                <w:szCs w:val="14"/>
                <w:color w:val="auto"/>
              </w:rPr>
              <w:t>Bank and other borrowings</w:t>
            </w:r>
          </w:p>
        </w:tc>
        <w:tc>
          <w:tcPr>
            <w:tcW w:w="1000" w:type="dxa"/>
            <w:vAlign w:val="bottom"/>
            <w:tcBorders>
              <w:bottom w:val="single" w:sz="8" w:color="auto"/>
            </w:tcBorders>
          </w:tcPr>
          <w:p>
            <w:pPr>
              <w:jc w:val="right"/>
              <w:ind w:right="110"/>
              <w:spacing w:after="0" w:line="157" w:lineRule="exact"/>
              <w:rPr>
                <w:sz w:val="20"/>
                <w:szCs w:val="20"/>
                <w:color w:val="auto"/>
              </w:rPr>
            </w:pPr>
            <w:r>
              <w:rPr>
                <w:rFonts w:ascii="Arial" w:cs="Arial" w:eastAsia="Arial" w:hAnsi="Arial"/>
                <w:sz w:val="14"/>
                <w:szCs w:val="14"/>
                <w:color w:val="auto"/>
              </w:rPr>
              <w:t>2,437</w:t>
            </w:r>
          </w:p>
        </w:tc>
        <w:tc>
          <w:tcPr>
            <w:tcW w:w="840" w:type="dxa"/>
            <w:vAlign w:val="bottom"/>
            <w:tcBorders>
              <w:bottom w:val="single" w:sz="8" w:color="auto"/>
            </w:tcBorders>
          </w:tcPr>
          <w:p>
            <w:pPr>
              <w:jc w:val="right"/>
              <w:ind w:right="111"/>
              <w:spacing w:after="0" w:line="157" w:lineRule="exact"/>
              <w:rPr>
                <w:sz w:val="20"/>
                <w:szCs w:val="20"/>
                <w:color w:val="auto"/>
              </w:rPr>
            </w:pPr>
            <w:r>
              <w:rPr>
                <w:rFonts w:ascii="Arial" w:cs="Arial" w:eastAsia="Arial" w:hAnsi="Arial"/>
                <w:sz w:val="14"/>
                <w:szCs w:val="14"/>
                <w:color w:val="auto"/>
              </w:rPr>
              <w:t>433</w:t>
            </w:r>
          </w:p>
        </w:tc>
        <w:tc>
          <w:tcPr>
            <w:tcW w:w="860" w:type="dxa"/>
            <w:vAlign w:val="bottom"/>
            <w:tcBorders>
              <w:bottom w:val="single" w:sz="8" w:color="auto"/>
            </w:tcBorders>
          </w:tcPr>
          <w:p>
            <w:pPr>
              <w:jc w:val="right"/>
              <w:ind w:right="111"/>
              <w:spacing w:after="0" w:line="157" w:lineRule="exact"/>
              <w:rPr>
                <w:sz w:val="20"/>
                <w:szCs w:val="20"/>
                <w:color w:val="auto"/>
              </w:rPr>
            </w:pPr>
            <w:r>
              <w:rPr>
                <w:rFonts w:ascii="Arial" w:cs="Arial" w:eastAsia="Arial" w:hAnsi="Arial"/>
                <w:sz w:val="14"/>
                <w:szCs w:val="14"/>
                <w:color w:val="auto"/>
              </w:rPr>
              <w:t>257</w:t>
            </w:r>
          </w:p>
        </w:tc>
        <w:tc>
          <w:tcPr>
            <w:tcW w:w="880" w:type="dxa"/>
            <w:vAlign w:val="bottom"/>
            <w:tcBorders>
              <w:bottom w:val="single" w:sz="8" w:color="auto"/>
            </w:tcBorders>
          </w:tcPr>
          <w:p>
            <w:pPr>
              <w:jc w:val="right"/>
              <w:ind w:right="131"/>
              <w:spacing w:after="0" w:line="157" w:lineRule="exact"/>
              <w:rPr>
                <w:sz w:val="20"/>
                <w:szCs w:val="20"/>
                <w:color w:val="auto"/>
              </w:rPr>
            </w:pPr>
            <w:r>
              <w:rPr>
                <w:rFonts w:ascii="Arial" w:cs="Arial" w:eastAsia="Arial" w:hAnsi="Arial"/>
                <w:sz w:val="14"/>
                <w:szCs w:val="14"/>
                <w:color w:val="auto"/>
              </w:rPr>
              <w:t>8</w:t>
            </w:r>
          </w:p>
        </w:tc>
        <w:tc>
          <w:tcPr>
            <w:tcW w:w="860" w:type="dxa"/>
            <w:vAlign w:val="bottom"/>
            <w:tcBorders>
              <w:bottom w:val="single" w:sz="8" w:color="auto"/>
            </w:tcBorders>
          </w:tcPr>
          <w:p>
            <w:pPr>
              <w:jc w:val="right"/>
              <w:ind w:right="131"/>
              <w:spacing w:after="0" w:line="157" w:lineRule="exact"/>
              <w:rPr>
                <w:sz w:val="20"/>
                <w:szCs w:val="20"/>
                <w:color w:val="auto"/>
              </w:rPr>
            </w:pPr>
            <w:r>
              <w:rPr>
                <w:rFonts w:ascii="Arial" w:cs="Arial" w:eastAsia="Arial" w:hAnsi="Arial"/>
                <w:sz w:val="14"/>
                <w:szCs w:val="14"/>
                <w:color w:val="auto"/>
              </w:rPr>
              <w:t>73</w:t>
            </w:r>
          </w:p>
        </w:tc>
        <w:tc>
          <w:tcPr>
            <w:tcW w:w="860" w:type="dxa"/>
            <w:vAlign w:val="bottom"/>
            <w:tcBorders>
              <w:bottom w:val="single" w:sz="8" w:color="auto"/>
            </w:tcBorders>
          </w:tcPr>
          <w:p>
            <w:pPr>
              <w:jc w:val="right"/>
              <w:ind w:right="111"/>
              <w:spacing w:after="0" w:line="157" w:lineRule="exact"/>
              <w:rPr>
                <w:sz w:val="20"/>
                <w:szCs w:val="20"/>
                <w:color w:val="auto"/>
              </w:rPr>
            </w:pPr>
            <w:r>
              <w:rPr>
                <w:rFonts w:ascii="Arial" w:cs="Arial" w:eastAsia="Arial" w:hAnsi="Arial"/>
                <w:sz w:val="14"/>
                <w:szCs w:val="14"/>
                <w:color w:val="auto"/>
              </w:rPr>
              <w:t>255</w:t>
            </w:r>
          </w:p>
        </w:tc>
        <w:tc>
          <w:tcPr>
            <w:tcW w:w="700" w:type="dxa"/>
            <w:vAlign w:val="bottom"/>
            <w:tcBorders>
              <w:bottom w:val="single" w:sz="8" w:color="auto"/>
            </w:tcBorders>
          </w:tcPr>
          <w:p>
            <w:pPr>
              <w:jc w:val="right"/>
              <w:ind w:right="9"/>
              <w:spacing w:after="0" w:line="157" w:lineRule="exact"/>
              <w:rPr>
                <w:sz w:val="20"/>
                <w:szCs w:val="20"/>
                <w:color w:val="auto"/>
              </w:rPr>
            </w:pPr>
            <w:r>
              <w:rPr>
                <w:rFonts w:ascii="Arial" w:cs="Arial" w:eastAsia="Arial" w:hAnsi="Arial"/>
                <w:sz w:val="14"/>
                <w:szCs w:val="14"/>
                <w:color w:val="auto"/>
              </w:rPr>
              <w:t>3,463</w:t>
            </w:r>
          </w:p>
        </w:tc>
        <w:tc>
          <w:tcPr>
            <w:tcW w:w="900" w:type="dxa"/>
            <w:vAlign w:val="bottom"/>
            <w:tcBorders>
              <w:bottom w:val="single" w:sz="8" w:color="auto"/>
            </w:tcBorders>
          </w:tcPr>
          <w:p>
            <w:pPr>
              <w:jc w:val="right"/>
              <w:spacing w:after="0" w:line="157" w:lineRule="exact"/>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tcPr>
          <w:p>
            <w:pPr>
              <w:jc w:val="right"/>
              <w:ind w:right="30"/>
              <w:spacing w:after="0" w:line="157" w:lineRule="exact"/>
              <w:rPr>
                <w:sz w:val="20"/>
                <w:szCs w:val="20"/>
                <w:color w:val="auto"/>
              </w:rPr>
            </w:pPr>
            <w:r>
              <w:rPr>
                <w:rFonts w:ascii="Arial" w:cs="Arial" w:eastAsia="Arial" w:hAnsi="Arial"/>
                <w:sz w:val="14"/>
                <w:szCs w:val="14"/>
                <w:color w:val="auto"/>
              </w:rPr>
              <w:t>3,463</w:t>
            </w:r>
          </w:p>
        </w:tc>
      </w:tr>
      <w:tr>
        <w:trPr>
          <w:trHeight w:val="156"/>
        </w:trPr>
        <w:tc>
          <w:tcPr>
            <w:tcW w:w="3660" w:type="dxa"/>
            <w:vAlign w:val="bottom"/>
            <w:tcBorders>
              <w:bottom w:val="single" w:sz="8" w:color="auto"/>
            </w:tcBorders>
          </w:tcPr>
          <w:p>
            <w:pPr>
              <w:spacing w:after="0" w:line="155" w:lineRule="exact"/>
              <w:rPr>
                <w:sz w:val="20"/>
                <w:szCs w:val="20"/>
                <w:color w:val="auto"/>
              </w:rPr>
            </w:pPr>
            <w:r>
              <w:rPr>
                <w:rFonts w:ascii="Arial" w:cs="Arial" w:eastAsia="Arial" w:hAnsi="Arial"/>
                <w:sz w:val="14"/>
                <w:szCs w:val="14"/>
                <w:color w:val="auto"/>
              </w:rPr>
              <w:t>Total (excluding interest)</w:t>
            </w:r>
          </w:p>
        </w:tc>
        <w:tc>
          <w:tcPr>
            <w:tcW w:w="1000" w:type="dxa"/>
            <w:vAlign w:val="bottom"/>
            <w:tcBorders>
              <w:bottom w:val="single" w:sz="8" w:color="auto"/>
            </w:tcBorders>
          </w:tcPr>
          <w:p>
            <w:pPr>
              <w:jc w:val="right"/>
              <w:ind w:right="110"/>
              <w:spacing w:after="0" w:line="155" w:lineRule="exact"/>
              <w:rPr>
                <w:sz w:val="20"/>
                <w:szCs w:val="20"/>
                <w:color w:val="auto"/>
              </w:rPr>
            </w:pPr>
            <w:r>
              <w:rPr>
                <w:rFonts w:ascii="Arial" w:cs="Arial" w:eastAsia="Arial" w:hAnsi="Arial"/>
                <w:sz w:val="14"/>
                <w:szCs w:val="14"/>
                <w:color w:val="auto"/>
              </w:rPr>
              <w:t>7,937</w:t>
            </w:r>
          </w:p>
        </w:tc>
        <w:tc>
          <w:tcPr>
            <w:tcW w:w="840" w:type="dxa"/>
            <w:vAlign w:val="bottom"/>
            <w:tcBorders>
              <w:bottom w:val="single" w:sz="8" w:color="auto"/>
            </w:tcBorders>
          </w:tcPr>
          <w:p>
            <w:pPr>
              <w:jc w:val="right"/>
              <w:ind w:right="111"/>
              <w:spacing w:after="0" w:line="155" w:lineRule="exact"/>
              <w:rPr>
                <w:sz w:val="20"/>
                <w:szCs w:val="20"/>
                <w:color w:val="auto"/>
              </w:rPr>
            </w:pPr>
            <w:r>
              <w:rPr>
                <w:rFonts w:ascii="Arial" w:cs="Arial" w:eastAsia="Arial" w:hAnsi="Arial"/>
                <w:sz w:val="14"/>
                <w:szCs w:val="14"/>
                <w:color w:val="auto"/>
              </w:rPr>
              <w:t>4,683</w:t>
            </w:r>
          </w:p>
        </w:tc>
        <w:tc>
          <w:tcPr>
            <w:tcW w:w="860" w:type="dxa"/>
            <w:vAlign w:val="bottom"/>
            <w:tcBorders>
              <w:bottom w:val="single" w:sz="8" w:color="auto"/>
            </w:tcBorders>
          </w:tcPr>
          <w:p>
            <w:pPr>
              <w:jc w:val="right"/>
              <w:ind w:right="111"/>
              <w:spacing w:after="0" w:line="155" w:lineRule="exact"/>
              <w:rPr>
                <w:sz w:val="20"/>
                <w:szCs w:val="20"/>
                <w:color w:val="auto"/>
              </w:rPr>
            </w:pPr>
            <w:r>
              <w:rPr>
                <w:rFonts w:ascii="Arial" w:cs="Arial" w:eastAsia="Arial" w:hAnsi="Arial"/>
                <w:sz w:val="14"/>
                <w:szCs w:val="14"/>
                <w:color w:val="auto"/>
              </w:rPr>
              <w:t>3,978</w:t>
            </w:r>
          </w:p>
        </w:tc>
        <w:tc>
          <w:tcPr>
            <w:tcW w:w="880" w:type="dxa"/>
            <w:vAlign w:val="bottom"/>
            <w:tcBorders>
              <w:bottom w:val="single" w:sz="8" w:color="auto"/>
            </w:tcBorders>
          </w:tcPr>
          <w:p>
            <w:pPr>
              <w:jc w:val="right"/>
              <w:ind w:right="131"/>
              <w:spacing w:after="0" w:line="155" w:lineRule="exact"/>
              <w:rPr>
                <w:sz w:val="20"/>
                <w:szCs w:val="20"/>
                <w:color w:val="auto"/>
              </w:rPr>
            </w:pPr>
            <w:r>
              <w:rPr>
                <w:rFonts w:ascii="Arial" w:cs="Arial" w:eastAsia="Arial" w:hAnsi="Arial"/>
                <w:sz w:val="14"/>
                <w:szCs w:val="14"/>
                <w:color w:val="auto"/>
              </w:rPr>
              <w:t>3,824</w:t>
            </w:r>
          </w:p>
        </w:tc>
        <w:tc>
          <w:tcPr>
            <w:tcW w:w="860" w:type="dxa"/>
            <w:vAlign w:val="bottom"/>
            <w:tcBorders>
              <w:bottom w:val="single" w:sz="8" w:color="auto"/>
            </w:tcBorders>
          </w:tcPr>
          <w:p>
            <w:pPr>
              <w:jc w:val="right"/>
              <w:ind w:right="131"/>
              <w:spacing w:after="0" w:line="155" w:lineRule="exact"/>
              <w:rPr>
                <w:sz w:val="20"/>
                <w:szCs w:val="20"/>
                <w:color w:val="auto"/>
              </w:rPr>
            </w:pPr>
            <w:r>
              <w:rPr>
                <w:rFonts w:ascii="Arial" w:cs="Arial" w:eastAsia="Arial" w:hAnsi="Arial"/>
                <w:sz w:val="14"/>
                <w:szCs w:val="14"/>
                <w:color w:val="auto"/>
              </w:rPr>
              <w:t>6,266</w:t>
            </w:r>
          </w:p>
        </w:tc>
        <w:tc>
          <w:tcPr>
            <w:tcW w:w="860" w:type="dxa"/>
            <w:vAlign w:val="bottom"/>
            <w:tcBorders>
              <w:bottom w:val="single" w:sz="8" w:color="auto"/>
            </w:tcBorders>
          </w:tcPr>
          <w:p>
            <w:pPr>
              <w:jc w:val="right"/>
              <w:ind w:right="111"/>
              <w:spacing w:after="0" w:line="155" w:lineRule="exact"/>
              <w:rPr>
                <w:sz w:val="20"/>
                <w:szCs w:val="20"/>
                <w:color w:val="auto"/>
              </w:rPr>
            </w:pPr>
            <w:r>
              <w:rPr>
                <w:rFonts w:ascii="Arial" w:cs="Arial" w:eastAsia="Arial" w:hAnsi="Arial"/>
                <w:sz w:val="14"/>
                <w:szCs w:val="14"/>
                <w:color w:val="auto"/>
              </w:rPr>
              <w:t>12,005</w:t>
            </w:r>
          </w:p>
        </w:tc>
        <w:tc>
          <w:tcPr>
            <w:tcW w:w="700" w:type="dxa"/>
            <w:vAlign w:val="bottom"/>
            <w:tcBorders>
              <w:bottom w:val="single" w:sz="8" w:color="auto"/>
            </w:tcBorders>
          </w:tcPr>
          <w:p>
            <w:pPr>
              <w:jc w:val="right"/>
              <w:ind w:right="9"/>
              <w:spacing w:after="0" w:line="155" w:lineRule="exact"/>
              <w:rPr>
                <w:sz w:val="20"/>
                <w:szCs w:val="20"/>
                <w:color w:val="auto"/>
              </w:rPr>
            </w:pPr>
            <w:r>
              <w:rPr>
                <w:rFonts w:ascii="Arial" w:cs="Arial" w:eastAsia="Arial" w:hAnsi="Arial"/>
                <w:sz w:val="14"/>
                <w:szCs w:val="14"/>
                <w:color w:val="auto"/>
              </w:rPr>
              <w:t>38,693</w:t>
            </w:r>
          </w:p>
        </w:tc>
        <w:tc>
          <w:tcPr>
            <w:tcW w:w="9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724</w:t>
            </w:r>
          </w:p>
        </w:tc>
        <w:tc>
          <w:tcPr>
            <w:tcW w:w="860" w:type="dxa"/>
            <w:vAlign w:val="bottom"/>
            <w:tcBorders>
              <w:bottom w:val="single" w:sz="8" w:color="auto"/>
            </w:tcBorders>
          </w:tcPr>
          <w:p>
            <w:pPr>
              <w:jc w:val="right"/>
              <w:ind w:right="30"/>
              <w:spacing w:after="0" w:line="155" w:lineRule="exact"/>
              <w:rPr>
                <w:sz w:val="20"/>
                <w:szCs w:val="20"/>
                <w:color w:val="auto"/>
              </w:rPr>
            </w:pPr>
            <w:r>
              <w:rPr>
                <w:rFonts w:ascii="Arial" w:cs="Arial" w:eastAsia="Arial" w:hAnsi="Arial"/>
                <w:sz w:val="14"/>
                <w:szCs w:val="14"/>
                <w:color w:val="auto"/>
              </w:rPr>
              <w:t>39,417</w:t>
            </w:r>
          </w:p>
        </w:tc>
      </w:tr>
      <w:tr>
        <w:trPr>
          <w:trHeight w:val="156"/>
        </w:trPr>
        <w:tc>
          <w:tcPr>
            <w:tcW w:w="3660" w:type="dxa"/>
            <w:vAlign w:val="bottom"/>
            <w:tcBorders>
              <w:bottom w:val="single" w:sz="8" w:color="auto"/>
            </w:tcBorders>
          </w:tcPr>
          <w:p>
            <w:pPr>
              <w:spacing w:after="0" w:line="155" w:lineRule="exact"/>
              <w:rPr>
                <w:sz w:val="20"/>
                <w:szCs w:val="20"/>
                <w:color w:val="auto"/>
              </w:rPr>
            </w:pPr>
            <w:r>
              <w:rPr>
                <w:rFonts w:ascii="Arial" w:cs="Arial" w:eastAsia="Arial" w:hAnsi="Arial"/>
                <w:sz w:val="14"/>
                <w:szCs w:val="14"/>
                <w:color w:val="auto"/>
              </w:rPr>
              <w:t>Interest</w:t>
            </w:r>
          </w:p>
        </w:tc>
        <w:tc>
          <w:tcPr>
            <w:tcW w:w="1000" w:type="dxa"/>
            <w:vAlign w:val="bottom"/>
            <w:tcBorders>
              <w:bottom w:val="single" w:sz="8" w:color="auto"/>
            </w:tcBorders>
          </w:tcPr>
          <w:p>
            <w:pPr>
              <w:jc w:val="right"/>
              <w:ind w:right="110"/>
              <w:spacing w:after="0" w:line="155" w:lineRule="exact"/>
              <w:rPr>
                <w:sz w:val="20"/>
                <w:szCs w:val="20"/>
                <w:color w:val="auto"/>
              </w:rPr>
            </w:pPr>
            <w:r>
              <w:rPr>
                <w:rFonts w:ascii="Arial" w:cs="Arial" w:eastAsia="Arial" w:hAnsi="Arial"/>
                <w:sz w:val="14"/>
                <w:szCs w:val="14"/>
                <w:color w:val="auto"/>
              </w:rPr>
              <w:t>1,166</w:t>
            </w:r>
          </w:p>
        </w:tc>
        <w:tc>
          <w:tcPr>
            <w:tcW w:w="840" w:type="dxa"/>
            <w:vAlign w:val="bottom"/>
            <w:tcBorders>
              <w:bottom w:val="single" w:sz="8" w:color="auto"/>
            </w:tcBorders>
          </w:tcPr>
          <w:p>
            <w:pPr>
              <w:jc w:val="right"/>
              <w:ind w:right="111"/>
              <w:spacing w:after="0" w:line="155" w:lineRule="exact"/>
              <w:rPr>
                <w:sz w:val="20"/>
                <w:szCs w:val="20"/>
                <w:color w:val="auto"/>
              </w:rPr>
            </w:pPr>
            <w:r>
              <w:rPr>
                <w:rFonts w:ascii="Arial" w:cs="Arial" w:eastAsia="Arial" w:hAnsi="Arial"/>
                <w:sz w:val="14"/>
                <w:szCs w:val="14"/>
                <w:color w:val="auto"/>
              </w:rPr>
              <w:t>1,049</w:t>
            </w:r>
          </w:p>
        </w:tc>
        <w:tc>
          <w:tcPr>
            <w:tcW w:w="860" w:type="dxa"/>
            <w:vAlign w:val="bottom"/>
            <w:tcBorders>
              <w:bottom w:val="single" w:sz="8" w:color="auto"/>
            </w:tcBorders>
          </w:tcPr>
          <w:p>
            <w:pPr>
              <w:jc w:val="right"/>
              <w:ind w:right="111"/>
              <w:spacing w:after="0" w:line="155" w:lineRule="exact"/>
              <w:rPr>
                <w:sz w:val="20"/>
                <w:szCs w:val="20"/>
                <w:color w:val="auto"/>
              </w:rPr>
            </w:pPr>
            <w:r>
              <w:rPr>
                <w:rFonts w:ascii="Arial" w:cs="Arial" w:eastAsia="Arial" w:hAnsi="Arial"/>
                <w:sz w:val="14"/>
                <w:szCs w:val="14"/>
                <w:color w:val="auto"/>
              </w:rPr>
              <w:t>982</w:t>
            </w:r>
          </w:p>
        </w:tc>
        <w:tc>
          <w:tcPr>
            <w:tcW w:w="880" w:type="dxa"/>
            <w:vAlign w:val="bottom"/>
            <w:tcBorders>
              <w:bottom w:val="single" w:sz="8" w:color="auto"/>
            </w:tcBorders>
          </w:tcPr>
          <w:p>
            <w:pPr>
              <w:jc w:val="right"/>
              <w:ind w:right="131"/>
              <w:spacing w:after="0" w:line="155" w:lineRule="exact"/>
              <w:rPr>
                <w:sz w:val="20"/>
                <w:szCs w:val="20"/>
                <w:color w:val="auto"/>
              </w:rPr>
            </w:pPr>
            <w:r>
              <w:rPr>
                <w:rFonts w:ascii="Arial" w:cs="Arial" w:eastAsia="Arial" w:hAnsi="Arial"/>
                <w:sz w:val="14"/>
                <w:szCs w:val="14"/>
                <w:color w:val="auto"/>
              </w:rPr>
              <w:t>863</w:t>
            </w:r>
          </w:p>
        </w:tc>
        <w:tc>
          <w:tcPr>
            <w:tcW w:w="860" w:type="dxa"/>
            <w:vAlign w:val="bottom"/>
            <w:tcBorders>
              <w:bottom w:val="single" w:sz="8" w:color="auto"/>
            </w:tcBorders>
          </w:tcPr>
          <w:p>
            <w:pPr>
              <w:jc w:val="right"/>
              <w:ind w:right="131"/>
              <w:spacing w:after="0" w:line="155" w:lineRule="exact"/>
              <w:rPr>
                <w:sz w:val="20"/>
                <w:szCs w:val="20"/>
                <w:color w:val="auto"/>
              </w:rPr>
            </w:pPr>
            <w:r>
              <w:rPr>
                <w:rFonts w:ascii="Arial" w:cs="Arial" w:eastAsia="Arial" w:hAnsi="Arial"/>
                <w:sz w:val="14"/>
                <w:szCs w:val="14"/>
                <w:color w:val="auto"/>
              </w:rPr>
              <w:t>736</w:t>
            </w:r>
          </w:p>
        </w:tc>
        <w:tc>
          <w:tcPr>
            <w:tcW w:w="860" w:type="dxa"/>
            <w:vAlign w:val="bottom"/>
            <w:tcBorders>
              <w:bottom w:val="single" w:sz="8" w:color="auto"/>
            </w:tcBorders>
          </w:tcPr>
          <w:p>
            <w:pPr>
              <w:jc w:val="right"/>
              <w:ind w:right="111"/>
              <w:spacing w:after="0" w:line="155" w:lineRule="exact"/>
              <w:rPr>
                <w:sz w:val="20"/>
                <w:szCs w:val="20"/>
                <w:color w:val="auto"/>
              </w:rPr>
            </w:pPr>
            <w:r>
              <w:rPr>
                <w:rFonts w:ascii="Arial" w:cs="Arial" w:eastAsia="Arial" w:hAnsi="Arial"/>
                <w:sz w:val="14"/>
                <w:szCs w:val="14"/>
                <w:color w:val="auto"/>
              </w:rPr>
              <w:t>7,084</w:t>
            </w:r>
          </w:p>
        </w:tc>
        <w:tc>
          <w:tcPr>
            <w:tcW w:w="700" w:type="dxa"/>
            <w:vAlign w:val="bottom"/>
            <w:tcBorders>
              <w:bottom w:val="single" w:sz="8" w:color="auto"/>
            </w:tcBorders>
          </w:tcPr>
          <w:p>
            <w:pPr>
              <w:jc w:val="right"/>
              <w:ind w:right="9"/>
              <w:spacing w:after="0" w:line="155" w:lineRule="exact"/>
              <w:rPr>
                <w:sz w:val="20"/>
                <w:szCs w:val="20"/>
                <w:color w:val="auto"/>
              </w:rPr>
            </w:pPr>
            <w:r>
              <w:rPr>
                <w:rFonts w:ascii="Arial" w:cs="Arial" w:eastAsia="Arial" w:hAnsi="Arial"/>
                <w:sz w:val="14"/>
                <w:szCs w:val="14"/>
                <w:color w:val="auto"/>
              </w:rPr>
              <w:t>11,880</w:t>
            </w:r>
          </w:p>
        </w:tc>
        <w:tc>
          <w:tcPr>
            <w:tcW w:w="90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spacing w:after="0"/>
              <w:rPr>
                <w:sz w:val="13"/>
                <w:szCs w:val="13"/>
                <w:color w:val="auto"/>
              </w:rPr>
            </w:pPr>
          </w:p>
        </w:tc>
      </w:tr>
    </w:tbl>
    <w:p>
      <w:pPr>
        <w:spacing w:after="0" w:line="180" w:lineRule="exact"/>
        <w:rPr>
          <w:sz w:val="20"/>
          <w:szCs w:val="20"/>
          <w:color w:val="auto"/>
        </w:rPr>
      </w:pPr>
    </w:p>
    <w:p>
      <w:pPr>
        <w:ind w:right="520"/>
        <w:spacing w:after="0" w:line="258" w:lineRule="auto"/>
        <w:rPr>
          <w:sz w:val="20"/>
          <w:szCs w:val="20"/>
          <w:color w:val="auto"/>
        </w:rPr>
      </w:pPr>
      <w:r>
        <w:rPr>
          <w:rFonts w:ascii="Arial" w:cs="Arial" w:eastAsia="Arial" w:hAnsi="Arial"/>
          <w:sz w:val="14"/>
          <w:szCs w:val="14"/>
          <w:color w:val="auto"/>
        </w:rPr>
        <w:t>Debt is issued under the EMTN programme and US shelf registration by Shell International Finance B.V., a 100%-owned subsidiary of the Company, and is underwritten by guarantees issued by the Company. Bank and other borrowings are raised by other subsidiaries with no recourse beyond the immediate borrower and/or the local assets.</w:t>
      </w:r>
    </w:p>
    <w:p>
      <w:pPr>
        <w:spacing w:after="0" w:line="154" w:lineRule="exact"/>
        <w:rPr>
          <w:sz w:val="20"/>
          <w:szCs w:val="20"/>
          <w:color w:val="auto"/>
        </w:rPr>
      </w:pPr>
    </w:p>
    <w:p>
      <w:pPr>
        <w:spacing w:after="0"/>
        <w:rPr>
          <w:sz w:val="20"/>
          <w:szCs w:val="20"/>
          <w:color w:val="auto"/>
        </w:rPr>
      </w:pPr>
      <w:r>
        <w:rPr>
          <w:rFonts w:ascii="Arial" w:cs="Arial" w:eastAsia="Arial" w:hAnsi="Arial"/>
          <w:sz w:val="14"/>
          <w:szCs w:val="14"/>
          <w:color w:val="auto"/>
        </w:rPr>
        <w:t>The fair value of debt excluding finance lease liabilities at December 31, 2014, was $41,120 million (2013: $40,569 million) determined from the prices quoted for those securities.</w:t>
      </w:r>
    </w:p>
    <w:p>
      <w:pPr>
        <w:spacing w:after="0" w:line="190" w:lineRule="exact"/>
        <w:rPr>
          <w:sz w:val="20"/>
          <w:szCs w:val="20"/>
          <w:color w:val="auto"/>
        </w:rPr>
      </w:pPr>
    </w:p>
    <w:p>
      <w:pPr>
        <w:ind w:right="40"/>
        <w:spacing w:after="0" w:line="258" w:lineRule="auto"/>
        <w:rPr>
          <w:sz w:val="20"/>
          <w:szCs w:val="20"/>
          <w:color w:val="auto"/>
        </w:rPr>
      </w:pPr>
      <w:r>
        <w:rPr>
          <w:rFonts w:ascii="Arial" w:cs="Arial" w:eastAsia="Arial" w:hAnsi="Arial"/>
          <w:sz w:val="14"/>
          <w:szCs w:val="14"/>
          <w:color w:val="auto"/>
        </w:rPr>
        <w:t>Lease arrangements are entered into, as lessee, for: in Upstream, principally drilling and ancillary equipment, service vessels, obligations under certain power generation contracts (“tolling agreements”) and LNG vessels; in Downstream, principally tankers, storage capacity and retail sites; and in Corporate, principally land and buildings.</w:t>
      </w:r>
    </w:p>
    <w:p>
      <w:pPr>
        <w:sectPr>
          <w:pgSz w:w="11900" w:h="16838" w:orient="portrait"/>
          <w:cols w:equalWidth="0" w:num="1">
            <w:col w:w="11420"/>
          </w:cols>
          <w:pgMar w:left="240" w:top="459" w:right="239" w:bottom="1440" w:gutter="0" w:footer="0" w:header="0"/>
        </w:sectPr>
      </w:pPr>
    </w:p>
    <w:bookmarkStart w:id="127" w:name="page128"/>
    <w:bookmarkEnd w:id="1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300355</wp:posOffset>
            </wp:positionV>
            <wp:extent cx="3533140" cy="46291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3533140" cy="462915"/>
                    </a:xfrm>
                    <a:prstGeom prst="rect">
                      <a:avLst/>
                    </a:prstGeom>
                    <a:noFill/>
                  </pic:spPr>
                </pic:pic>
              </a:graphicData>
            </a:graphic>
          </wp:anchor>
        </w:drawing>
      </w:r>
    </w:p>
    <w:p>
      <w:pPr>
        <w:spacing w:after="0" w:line="200" w:lineRule="exact"/>
        <w:rPr>
          <w:sz w:val="20"/>
          <w:szCs w:val="20"/>
          <w:color w:val="auto"/>
        </w:rPr>
      </w:pP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419"/>
        </w:trPr>
        <w:tc>
          <w:tcPr>
            <w:tcW w:w="1220" w:type="dxa"/>
            <w:vAlign w:val="bottom"/>
            <w:shd w:val="clear" w:color="auto" w:fill="FF8B00"/>
          </w:tcPr>
          <w:p>
            <w:pPr>
              <w:spacing w:after="0"/>
              <w:rPr>
                <w:sz w:val="24"/>
                <w:szCs w:val="24"/>
                <w:color w:val="auto"/>
              </w:rPr>
            </w:pPr>
          </w:p>
        </w:tc>
        <w:tc>
          <w:tcPr>
            <w:tcW w:w="4360" w:type="dxa"/>
            <w:vAlign w:val="bottom"/>
            <w:shd w:val="clear" w:color="auto" w:fill="FF8B00"/>
          </w:tcPr>
          <w:p>
            <w:pPr>
              <w:spacing w:after="0"/>
              <w:rPr>
                <w:sz w:val="24"/>
                <w:szCs w:val="24"/>
                <w:color w:val="auto"/>
              </w:rPr>
            </w:pPr>
          </w:p>
        </w:tc>
      </w:tr>
      <w:tr>
        <w:trPr>
          <w:trHeight w:val="152"/>
        </w:trPr>
        <w:tc>
          <w:tcPr>
            <w:tcW w:w="1220" w:type="dxa"/>
            <w:vAlign w:val="bottom"/>
          </w:tcPr>
          <w:p>
            <w:pPr>
              <w:jc w:val="right"/>
              <w:ind w:right="726"/>
              <w:spacing w:after="0"/>
              <w:rPr>
                <w:sz w:val="20"/>
                <w:szCs w:val="20"/>
                <w:color w:val="auto"/>
              </w:rPr>
            </w:pPr>
            <w:r>
              <w:rPr>
                <w:rFonts w:ascii="Arial" w:cs="Arial" w:eastAsia="Arial" w:hAnsi="Arial"/>
                <w:sz w:val="11"/>
                <w:szCs w:val="11"/>
                <w:b w:val="1"/>
                <w:bCs w:val="1"/>
                <w:color w:val="333333"/>
              </w:rPr>
              <w:t>126</w:t>
            </w:r>
          </w:p>
        </w:tc>
        <w:tc>
          <w:tcPr>
            <w:tcW w:w="4360" w:type="dxa"/>
            <w:vAlign w:val="bottom"/>
          </w:tcPr>
          <w:p>
            <w:pPr>
              <w:ind w:left="780"/>
              <w:spacing w:after="0"/>
              <w:rPr>
                <w:sz w:val="20"/>
                <w:szCs w:val="20"/>
                <w:color w:val="auto"/>
              </w:rPr>
            </w:pPr>
            <w:r>
              <w:rPr>
                <w:rFonts w:ascii="Arial" w:cs="Arial" w:eastAsia="Arial" w:hAnsi="Arial"/>
                <w:sz w:val="13"/>
                <w:szCs w:val="13"/>
                <w:color w:val="333333"/>
              </w:rPr>
              <w:t>FINANCIAL STATEMENTS AND SUPPLEMENTS</w:t>
            </w:r>
          </w:p>
        </w:tc>
      </w:tr>
    </w:tbl>
    <w:p>
      <w:pPr>
        <w:spacing w:after="0" w:line="150" w:lineRule="exact"/>
        <w:rPr>
          <w:sz w:val="20"/>
          <w:szCs w:val="20"/>
          <w:color w:val="auto"/>
        </w:rPr>
      </w:pPr>
    </w:p>
    <w:p>
      <w:pPr>
        <w:jc w:val="right"/>
        <w:spacing w:after="0"/>
        <w:tabs>
          <w:tab w:leader="none" w:pos="2380" w:val="left"/>
        </w:tabs>
        <w:rPr>
          <w:sz w:val="20"/>
          <w:szCs w:val="20"/>
          <w:color w:val="auto"/>
        </w:rPr>
      </w:pPr>
      <w:r>
        <w:rPr>
          <w:rFonts w:ascii="Arial" w:cs="Arial" w:eastAsia="Arial" w:hAnsi="Arial"/>
          <w:sz w:val="11"/>
          <w:szCs w:val="11"/>
          <w:color w:val="auto"/>
        </w:rPr>
        <w:t>CONSOLIDATED FINANCIAL STATEMENTS</w:t>
      </w:r>
      <w:r>
        <w:rPr>
          <w:sz w:val="20"/>
          <w:szCs w:val="20"/>
          <w:color w:val="auto"/>
        </w:rPr>
        <w:tab/>
      </w:r>
      <w:r>
        <w:rPr>
          <w:rFonts w:ascii="Arial" w:cs="Arial" w:eastAsia="Arial" w:hAnsi="Arial"/>
          <w:sz w:val="10"/>
          <w:szCs w:val="10"/>
          <w:color w:val="auto"/>
        </w:rPr>
        <w:t>SHELL ANNUAL REPORT AND FORM 20-F 2014</w:t>
      </w:r>
    </w:p>
    <w:p>
      <w:pPr>
        <w:spacing w:after="0"/>
        <w:rPr>
          <w:sz w:val="20"/>
          <w:szCs w:val="20"/>
          <w:color w:val="auto"/>
        </w:rPr>
      </w:pPr>
      <w:r>
        <w:rPr>
          <w:rFonts w:ascii="Arial" w:cs="Arial" w:eastAsia="Arial" w:hAnsi="Arial"/>
          <w:sz w:val="11"/>
          <w:szCs w:val="11"/>
          <w:color w:val="auto"/>
        </w:rPr>
        <w:t>[Note 14 continued]</w:t>
      </w:r>
    </w:p>
    <w:p>
      <w:pPr>
        <w:spacing w:after="0" w:line="3" w:lineRule="exact"/>
        <w:rPr>
          <w:sz w:val="20"/>
          <w:szCs w:val="20"/>
          <w:color w:val="auto"/>
        </w:rPr>
      </w:pPr>
    </w:p>
    <w:p>
      <w:pPr>
        <w:ind w:right="180"/>
        <w:spacing w:after="0" w:line="258" w:lineRule="auto"/>
        <w:rPr>
          <w:sz w:val="20"/>
          <w:szCs w:val="20"/>
          <w:color w:val="auto"/>
        </w:rPr>
      </w:pPr>
      <w:r>
        <w:rPr>
          <w:rFonts w:ascii="Arial" w:cs="Arial" w:eastAsia="Arial" w:hAnsi="Arial"/>
          <w:sz w:val="14"/>
          <w:szCs w:val="14"/>
          <w:color w:val="auto"/>
        </w:rPr>
        <w:t>The future minimum lease payments for finance and operating leases and the present value of future minimum finance lease payments at December 31, by payment date are as follows: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6720" w:type="dxa"/>
            <w:vAlign w:val="bottom"/>
            <w:shd w:val="clear" w:color="auto" w:fill="333333"/>
          </w:tcPr>
          <w:p>
            <w:pPr>
              <w:ind w:left="80"/>
              <w:spacing w:after="0"/>
              <w:rPr>
                <w:sz w:val="20"/>
                <w:szCs w:val="20"/>
                <w:color w:val="auto"/>
              </w:rPr>
            </w:pPr>
            <w:r>
              <w:rPr>
                <w:rFonts w:ascii="Arial" w:cs="Arial" w:eastAsia="Arial" w:hAnsi="Arial"/>
                <w:sz w:val="15"/>
                <w:szCs w:val="15"/>
                <w:b w:val="1"/>
                <w:bCs w:val="1"/>
                <w:color w:val="FFFFFF"/>
              </w:rPr>
              <w:t>2014</w:t>
            </w:r>
          </w:p>
        </w:tc>
        <w:tc>
          <w:tcPr>
            <w:tcW w:w="1260" w:type="dxa"/>
            <w:vAlign w:val="bottom"/>
            <w:shd w:val="clear" w:color="auto" w:fill="333333"/>
          </w:tcPr>
          <w:p>
            <w:pPr>
              <w:spacing w:after="0"/>
              <w:rPr>
                <w:sz w:val="14"/>
                <w:szCs w:val="14"/>
                <w:color w:val="auto"/>
              </w:rPr>
            </w:pPr>
          </w:p>
        </w:tc>
        <w:tc>
          <w:tcPr>
            <w:tcW w:w="740" w:type="dxa"/>
            <w:vAlign w:val="bottom"/>
            <w:shd w:val="clear" w:color="auto" w:fill="333333"/>
          </w:tcPr>
          <w:p>
            <w:pPr>
              <w:spacing w:after="0"/>
              <w:rPr>
                <w:sz w:val="14"/>
                <w:szCs w:val="14"/>
                <w:color w:val="auto"/>
              </w:rPr>
            </w:pPr>
          </w:p>
        </w:tc>
        <w:tc>
          <w:tcPr>
            <w:tcW w:w="1260" w:type="dxa"/>
            <w:vAlign w:val="bottom"/>
            <w:shd w:val="clear" w:color="auto" w:fill="333333"/>
          </w:tcPr>
          <w:p>
            <w:pPr>
              <w:spacing w:after="0"/>
              <w:rPr>
                <w:sz w:val="14"/>
                <w:szCs w:val="14"/>
                <w:color w:val="auto"/>
              </w:rPr>
            </w:pPr>
          </w:p>
        </w:tc>
        <w:tc>
          <w:tcPr>
            <w:tcW w:w="260" w:type="dxa"/>
            <w:vAlign w:val="bottom"/>
            <w:shd w:val="clear" w:color="auto" w:fill="333333"/>
          </w:tcPr>
          <w:p>
            <w:pPr>
              <w:spacing w:after="0"/>
              <w:rPr>
                <w:sz w:val="14"/>
                <w:szCs w:val="14"/>
                <w:color w:val="auto"/>
              </w:rPr>
            </w:pPr>
          </w:p>
        </w:tc>
        <w:tc>
          <w:tcPr>
            <w:tcW w:w="1180" w:type="dxa"/>
            <w:vAlign w:val="bottom"/>
            <w:shd w:val="clear" w:color="auto" w:fill="333333"/>
          </w:tcPr>
          <w:p>
            <w:pPr>
              <w:jc w:val="right"/>
              <w:ind w:right="32"/>
              <w:spacing w:after="0"/>
              <w:rPr>
                <w:sz w:val="20"/>
                <w:szCs w:val="20"/>
                <w:color w:val="auto"/>
              </w:rPr>
            </w:pPr>
            <w:r>
              <w:rPr>
                <w:rFonts w:ascii="Arial" w:cs="Arial" w:eastAsia="Arial" w:hAnsi="Arial"/>
                <w:sz w:val="15"/>
                <w:szCs w:val="15"/>
                <w:color w:val="FFFFFF"/>
              </w:rPr>
              <w:t>$ MILLION</w:t>
            </w:r>
          </w:p>
        </w:tc>
      </w:tr>
      <w:tr>
        <w:trPr>
          <w:trHeight w:val="135"/>
        </w:trPr>
        <w:tc>
          <w:tcPr>
            <w:tcW w:w="67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520" w:type="dxa"/>
            <w:vAlign w:val="bottom"/>
            <w:gridSpan w:val="2"/>
          </w:tcPr>
          <w:p>
            <w:pPr>
              <w:jc w:val="right"/>
              <w:ind w:right="340"/>
              <w:spacing w:after="0" w:line="135" w:lineRule="exact"/>
              <w:rPr>
                <w:sz w:val="20"/>
                <w:szCs w:val="20"/>
                <w:color w:val="auto"/>
              </w:rPr>
            </w:pPr>
            <w:r>
              <w:rPr>
                <w:rFonts w:ascii="Arial" w:cs="Arial" w:eastAsia="Arial" w:hAnsi="Arial"/>
                <w:sz w:val="13"/>
                <w:szCs w:val="13"/>
                <w:color w:val="auto"/>
              </w:rPr>
              <w:t>Finance leases</w:t>
            </w:r>
          </w:p>
        </w:tc>
        <w:tc>
          <w:tcPr>
            <w:tcW w:w="1180" w:type="dxa"/>
            <w:vAlign w:val="bottom"/>
          </w:tcPr>
          <w:p>
            <w:pPr>
              <w:jc w:val="right"/>
              <w:ind w:right="32"/>
              <w:spacing w:after="0" w:line="135" w:lineRule="exact"/>
              <w:rPr>
                <w:sz w:val="20"/>
                <w:szCs w:val="20"/>
                <w:color w:val="auto"/>
              </w:rPr>
            </w:pPr>
            <w:r>
              <w:rPr>
                <w:rFonts w:ascii="Arial" w:cs="Arial" w:eastAsia="Arial" w:hAnsi="Arial"/>
                <w:sz w:val="13"/>
                <w:szCs w:val="13"/>
                <w:color w:val="auto"/>
              </w:rPr>
              <w:t>Operating leases</w:t>
            </w:r>
          </w:p>
        </w:tc>
      </w:tr>
      <w:tr>
        <w:trPr>
          <w:trHeight w:val="123"/>
        </w:trPr>
        <w:tc>
          <w:tcPr>
            <w:tcW w:w="6720" w:type="dxa"/>
            <w:vAlign w:val="bottom"/>
          </w:tcPr>
          <w:p>
            <w:pPr>
              <w:spacing w:after="0"/>
              <w:rPr>
                <w:sz w:val="10"/>
                <w:szCs w:val="10"/>
                <w:color w:val="auto"/>
              </w:rPr>
            </w:pPr>
          </w:p>
        </w:tc>
        <w:tc>
          <w:tcPr>
            <w:tcW w:w="1260" w:type="dxa"/>
            <w:vAlign w:val="bottom"/>
            <w:tcBorders>
              <w:top w:val="single" w:sz="8" w:color="auto"/>
            </w:tcBorders>
          </w:tcPr>
          <w:p>
            <w:pPr>
              <w:jc w:val="right"/>
              <w:ind w:right="52"/>
              <w:spacing w:after="0" w:line="123" w:lineRule="exact"/>
              <w:rPr>
                <w:sz w:val="20"/>
                <w:szCs w:val="20"/>
                <w:color w:val="auto"/>
              </w:rPr>
            </w:pPr>
            <w:r>
              <w:rPr>
                <w:rFonts w:ascii="Arial" w:cs="Arial" w:eastAsia="Arial" w:hAnsi="Arial"/>
                <w:sz w:val="13"/>
                <w:szCs w:val="13"/>
                <w:color w:val="auto"/>
              </w:rPr>
              <w:t>Future</w:t>
            </w:r>
          </w:p>
        </w:tc>
        <w:tc>
          <w:tcPr>
            <w:tcW w:w="740" w:type="dxa"/>
            <w:vAlign w:val="bottom"/>
            <w:tcBorders>
              <w:top w:val="single" w:sz="8" w:color="auto"/>
            </w:tcBorders>
          </w:tcPr>
          <w:p>
            <w:pPr>
              <w:spacing w:after="0"/>
              <w:rPr>
                <w:sz w:val="10"/>
                <w:szCs w:val="10"/>
                <w:color w:val="auto"/>
              </w:rPr>
            </w:pPr>
          </w:p>
        </w:tc>
        <w:tc>
          <w:tcPr>
            <w:tcW w:w="1260" w:type="dxa"/>
            <w:vAlign w:val="bottom"/>
            <w:tcBorders>
              <w:top w:val="single" w:sz="8" w:color="auto"/>
            </w:tcBorders>
          </w:tcPr>
          <w:p>
            <w:pPr>
              <w:jc w:val="right"/>
              <w:ind w:right="13"/>
              <w:spacing w:after="0" w:line="123" w:lineRule="exact"/>
              <w:rPr>
                <w:sz w:val="20"/>
                <w:szCs w:val="20"/>
                <w:color w:val="auto"/>
              </w:rPr>
            </w:pPr>
            <w:r>
              <w:rPr>
                <w:rFonts w:ascii="Arial" w:cs="Arial" w:eastAsia="Arial" w:hAnsi="Arial"/>
                <w:sz w:val="13"/>
                <w:szCs w:val="13"/>
                <w:color w:val="auto"/>
              </w:rPr>
              <w:t>Present value</w:t>
            </w:r>
          </w:p>
        </w:tc>
        <w:tc>
          <w:tcPr>
            <w:tcW w:w="260" w:type="dxa"/>
            <w:vAlign w:val="bottom"/>
          </w:tcPr>
          <w:p>
            <w:pPr>
              <w:spacing w:after="0"/>
              <w:rPr>
                <w:sz w:val="10"/>
                <w:szCs w:val="10"/>
                <w:color w:val="auto"/>
              </w:rPr>
            </w:pPr>
          </w:p>
        </w:tc>
        <w:tc>
          <w:tcPr>
            <w:tcW w:w="1180" w:type="dxa"/>
            <w:vAlign w:val="bottom"/>
            <w:tcBorders>
              <w:top w:val="single" w:sz="8" w:color="auto"/>
            </w:tcBorders>
          </w:tcPr>
          <w:p>
            <w:pPr>
              <w:jc w:val="right"/>
              <w:ind w:right="32"/>
              <w:spacing w:after="0" w:line="123" w:lineRule="exact"/>
              <w:rPr>
                <w:sz w:val="20"/>
                <w:szCs w:val="20"/>
                <w:color w:val="auto"/>
              </w:rPr>
            </w:pPr>
            <w:r>
              <w:rPr>
                <w:rFonts w:ascii="Arial" w:cs="Arial" w:eastAsia="Arial" w:hAnsi="Arial"/>
                <w:sz w:val="13"/>
                <w:szCs w:val="13"/>
                <w:color w:val="auto"/>
              </w:rPr>
              <w:t>Future</w:t>
            </w:r>
          </w:p>
        </w:tc>
      </w:tr>
      <w:tr>
        <w:trPr>
          <w:trHeight w:val="135"/>
        </w:trPr>
        <w:tc>
          <w:tcPr>
            <w:tcW w:w="6720" w:type="dxa"/>
            <w:vAlign w:val="bottom"/>
          </w:tcPr>
          <w:p>
            <w:pPr>
              <w:spacing w:after="0"/>
              <w:rPr>
                <w:sz w:val="11"/>
                <w:szCs w:val="11"/>
                <w:color w:val="auto"/>
              </w:rPr>
            </w:pPr>
          </w:p>
        </w:tc>
        <w:tc>
          <w:tcPr>
            <w:tcW w:w="1260" w:type="dxa"/>
            <w:vAlign w:val="bottom"/>
          </w:tcPr>
          <w:p>
            <w:pPr>
              <w:jc w:val="right"/>
              <w:ind w:right="52"/>
              <w:spacing w:after="0" w:line="135" w:lineRule="exact"/>
              <w:rPr>
                <w:sz w:val="20"/>
                <w:szCs w:val="20"/>
                <w:color w:val="auto"/>
              </w:rPr>
            </w:pPr>
            <w:r>
              <w:rPr>
                <w:rFonts w:ascii="Arial" w:cs="Arial" w:eastAsia="Arial" w:hAnsi="Arial"/>
                <w:sz w:val="13"/>
                <w:szCs w:val="13"/>
                <w:color w:val="auto"/>
              </w:rPr>
              <w:t>minimum</w:t>
            </w:r>
          </w:p>
        </w:tc>
        <w:tc>
          <w:tcPr>
            <w:tcW w:w="740" w:type="dxa"/>
            <w:vAlign w:val="bottom"/>
          </w:tcPr>
          <w:p>
            <w:pPr>
              <w:spacing w:after="0"/>
              <w:rPr>
                <w:sz w:val="11"/>
                <w:szCs w:val="11"/>
                <w:color w:val="auto"/>
              </w:rPr>
            </w:pPr>
          </w:p>
        </w:tc>
        <w:tc>
          <w:tcPr>
            <w:tcW w:w="1520" w:type="dxa"/>
            <w:vAlign w:val="bottom"/>
            <w:gridSpan w:val="2"/>
          </w:tcPr>
          <w:p>
            <w:pPr>
              <w:jc w:val="right"/>
              <w:ind w:right="340"/>
              <w:spacing w:after="0" w:line="135" w:lineRule="exact"/>
              <w:rPr>
                <w:sz w:val="20"/>
                <w:szCs w:val="20"/>
                <w:color w:val="auto"/>
              </w:rPr>
            </w:pPr>
            <w:r>
              <w:rPr>
                <w:rFonts w:ascii="Arial" w:cs="Arial" w:eastAsia="Arial" w:hAnsi="Arial"/>
                <w:sz w:val="13"/>
                <w:szCs w:val="13"/>
                <w:color w:val="auto"/>
              </w:rPr>
              <w:t>of future minimum</w:t>
            </w:r>
          </w:p>
        </w:tc>
        <w:tc>
          <w:tcPr>
            <w:tcW w:w="1180" w:type="dxa"/>
            <w:vAlign w:val="bottom"/>
          </w:tcPr>
          <w:p>
            <w:pPr>
              <w:jc w:val="right"/>
              <w:ind w:right="32"/>
              <w:spacing w:after="0" w:line="135" w:lineRule="exact"/>
              <w:rPr>
                <w:sz w:val="20"/>
                <w:szCs w:val="20"/>
                <w:color w:val="auto"/>
              </w:rPr>
            </w:pPr>
            <w:r>
              <w:rPr>
                <w:rFonts w:ascii="Arial" w:cs="Arial" w:eastAsia="Arial" w:hAnsi="Arial"/>
                <w:sz w:val="13"/>
                <w:szCs w:val="13"/>
                <w:color w:val="auto"/>
              </w:rPr>
              <w:t>minimum</w:t>
            </w:r>
          </w:p>
        </w:tc>
      </w:tr>
      <w:tr>
        <w:trPr>
          <w:trHeight w:val="141"/>
        </w:trPr>
        <w:tc>
          <w:tcPr>
            <w:tcW w:w="6720" w:type="dxa"/>
            <w:vAlign w:val="bottom"/>
            <w:tcBorders>
              <w:bottom w:val="single" w:sz="8" w:color="auto"/>
            </w:tcBorders>
          </w:tcPr>
          <w:p>
            <w:pPr>
              <w:spacing w:after="0"/>
              <w:rPr>
                <w:sz w:val="12"/>
                <w:szCs w:val="12"/>
                <w:color w:val="auto"/>
              </w:rPr>
            </w:pPr>
          </w:p>
        </w:tc>
        <w:tc>
          <w:tcPr>
            <w:tcW w:w="1260" w:type="dxa"/>
            <w:vAlign w:val="bottom"/>
            <w:tcBorders>
              <w:bottom w:val="single" w:sz="8" w:color="auto"/>
            </w:tcBorders>
          </w:tcPr>
          <w:p>
            <w:pPr>
              <w:jc w:val="right"/>
              <w:ind w:right="52"/>
              <w:spacing w:after="0" w:line="141" w:lineRule="exact"/>
              <w:rPr>
                <w:sz w:val="20"/>
                <w:szCs w:val="20"/>
                <w:color w:val="auto"/>
              </w:rPr>
            </w:pPr>
            <w:r>
              <w:rPr>
                <w:rFonts w:ascii="Arial" w:cs="Arial" w:eastAsia="Arial" w:hAnsi="Arial"/>
                <w:sz w:val="13"/>
                <w:szCs w:val="13"/>
                <w:color w:val="auto"/>
              </w:rPr>
              <w:t>lease payments</w:t>
            </w:r>
          </w:p>
        </w:tc>
        <w:tc>
          <w:tcPr>
            <w:tcW w:w="740" w:type="dxa"/>
            <w:vAlign w:val="bottom"/>
            <w:tcBorders>
              <w:bottom w:val="single" w:sz="8" w:color="auto"/>
            </w:tcBorders>
          </w:tcPr>
          <w:p>
            <w:pPr>
              <w:jc w:val="right"/>
              <w:ind w:right="110"/>
              <w:spacing w:after="0" w:line="141" w:lineRule="exact"/>
              <w:rPr>
                <w:sz w:val="20"/>
                <w:szCs w:val="20"/>
                <w:color w:val="auto"/>
              </w:rPr>
            </w:pPr>
            <w:r>
              <w:rPr>
                <w:rFonts w:ascii="Arial" w:cs="Arial" w:eastAsia="Arial" w:hAnsi="Arial"/>
                <w:sz w:val="13"/>
                <w:szCs w:val="13"/>
                <w:color w:val="auto"/>
              </w:rPr>
              <w:t>Interest</w:t>
            </w:r>
          </w:p>
        </w:tc>
        <w:tc>
          <w:tcPr>
            <w:tcW w:w="1520" w:type="dxa"/>
            <w:vAlign w:val="bottom"/>
            <w:tcBorders>
              <w:bottom w:val="single" w:sz="8" w:color="auto"/>
            </w:tcBorders>
            <w:gridSpan w:val="2"/>
          </w:tcPr>
          <w:p>
            <w:pPr>
              <w:jc w:val="right"/>
              <w:ind w:right="340"/>
              <w:spacing w:after="0" w:line="141" w:lineRule="exact"/>
              <w:rPr>
                <w:sz w:val="20"/>
                <w:szCs w:val="20"/>
                <w:color w:val="auto"/>
              </w:rPr>
            </w:pPr>
            <w:r>
              <w:rPr>
                <w:rFonts w:ascii="Arial" w:cs="Arial" w:eastAsia="Arial" w:hAnsi="Arial"/>
                <w:sz w:val="13"/>
                <w:szCs w:val="13"/>
                <w:color w:val="auto"/>
              </w:rPr>
              <w:t>lease payments</w:t>
            </w:r>
          </w:p>
        </w:tc>
        <w:tc>
          <w:tcPr>
            <w:tcW w:w="1180" w:type="dxa"/>
            <w:vAlign w:val="bottom"/>
            <w:tcBorders>
              <w:bottom w:val="single" w:sz="8" w:color="auto"/>
            </w:tcBorders>
          </w:tcPr>
          <w:p>
            <w:pPr>
              <w:jc w:val="right"/>
              <w:ind w:right="32"/>
              <w:spacing w:after="0" w:line="141" w:lineRule="exact"/>
              <w:rPr>
                <w:sz w:val="20"/>
                <w:szCs w:val="20"/>
                <w:color w:val="auto"/>
              </w:rPr>
            </w:pPr>
            <w:r>
              <w:rPr>
                <w:rFonts w:ascii="Arial" w:cs="Arial" w:eastAsia="Arial" w:hAnsi="Arial"/>
                <w:sz w:val="13"/>
                <w:szCs w:val="13"/>
                <w:color w:val="auto"/>
              </w:rPr>
              <w:t>lease payments</w:t>
            </w:r>
          </w:p>
        </w:tc>
      </w:tr>
      <w:tr>
        <w:trPr>
          <w:trHeight w:val="160"/>
        </w:trPr>
        <w:tc>
          <w:tcPr>
            <w:tcW w:w="6720" w:type="dxa"/>
            <w:vAlign w:val="bottom"/>
          </w:tcPr>
          <w:p>
            <w:pPr>
              <w:spacing w:after="0"/>
              <w:rPr>
                <w:sz w:val="20"/>
                <w:szCs w:val="20"/>
                <w:color w:val="auto"/>
              </w:rPr>
            </w:pPr>
            <w:r>
              <w:rPr>
                <w:rFonts w:ascii="Arial" w:cs="Arial" w:eastAsia="Arial" w:hAnsi="Arial"/>
                <w:sz w:val="14"/>
                <w:szCs w:val="14"/>
                <w:color w:val="auto"/>
              </w:rPr>
              <w:t>Less than 1 year</w:t>
            </w:r>
          </w:p>
        </w:tc>
        <w:tc>
          <w:tcPr>
            <w:tcW w:w="1260" w:type="dxa"/>
            <w:vAlign w:val="bottom"/>
          </w:tcPr>
          <w:p>
            <w:pPr>
              <w:jc w:val="right"/>
              <w:ind w:right="52"/>
              <w:spacing w:after="0"/>
              <w:rPr>
                <w:sz w:val="20"/>
                <w:szCs w:val="20"/>
                <w:color w:val="auto"/>
              </w:rPr>
            </w:pPr>
            <w:r>
              <w:rPr>
                <w:rFonts w:ascii="Arial" w:cs="Arial" w:eastAsia="Arial" w:hAnsi="Arial"/>
                <w:sz w:val="14"/>
                <w:szCs w:val="14"/>
                <w:color w:val="auto"/>
              </w:rPr>
              <w:t>1,068</w:t>
            </w:r>
          </w:p>
        </w:tc>
        <w:tc>
          <w:tcPr>
            <w:tcW w:w="740" w:type="dxa"/>
            <w:vAlign w:val="bottom"/>
          </w:tcPr>
          <w:p>
            <w:pPr>
              <w:jc w:val="right"/>
              <w:ind w:right="110"/>
              <w:spacing w:after="0"/>
              <w:rPr>
                <w:sz w:val="20"/>
                <w:szCs w:val="20"/>
                <w:color w:val="auto"/>
              </w:rPr>
            </w:pPr>
            <w:r>
              <w:rPr>
                <w:rFonts w:ascii="Arial" w:cs="Arial" w:eastAsia="Arial" w:hAnsi="Arial"/>
                <w:sz w:val="14"/>
                <w:szCs w:val="14"/>
                <w:color w:val="auto"/>
              </w:rPr>
              <w:t>554</w:t>
            </w:r>
          </w:p>
        </w:tc>
        <w:tc>
          <w:tcPr>
            <w:tcW w:w="1260" w:type="dxa"/>
            <w:vAlign w:val="bottom"/>
          </w:tcPr>
          <w:p>
            <w:pPr>
              <w:jc w:val="right"/>
              <w:ind w:right="13"/>
              <w:spacing w:after="0"/>
              <w:rPr>
                <w:sz w:val="20"/>
                <w:szCs w:val="20"/>
                <w:color w:val="auto"/>
              </w:rPr>
            </w:pPr>
            <w:r>
              <w:rPr>
                <w:rFonts w:ascii="Arial" w:cs="Arial" w:eastAsia="Arial" w:hAnsi="Arial"/>
                <w:sz w:val="14"/>
                <w:szCs w:val="14"/>
                <w:color w:val="auto"/>
              </w:rPr>
              <w:t>514</w:t>
            </w:r>
          </w:p>
        </w:tc>
        <w:tc>
          <w:tcPr>
            <w:tcW w:w="260" w:type="dxa"/>
            <w:vAlign w:val="bottom"/>
          </w:tcPr>
          <w:p>
            <w:pPr>
              <w:spacing w:after="0"/>
              <w:rPr>
                <w:sz w:val="13"/>
                <w:szCs w:val="13"/>
                <w:color w:val="auto"/>
              </w:rPr>
            </w:pPr>
          </w:p>
        </w:tc>
        <w:tc>
          <w:tcPr>
            <w:tcW w:w="1180" w:type="dxa"/>
            <w:vAlign w:val="bottom"/>
          </w:tcPr>
          <w:p>
            <w:pPr>
              <w:jc w:val="right"/>
              <w:ind w:right="32"/>
              <w:spacing w:after="0"/>
              <w:rPr>
                <w:sz w:val="20"/>
                <w:szCs w:val="20"/>
                <w:color w:val="auto"/>
              </w:rPr>
            </w:pPr>
            <w:r>
              <w:rPr>
                <w:rFonts w:ascii="Arial" w:cs="Arial" w:eastAsia="Arial" w:hAnsi="Arial"/>
                <w:sz w:val="14"/>
                <w:szCs w:val="14"/>
                <w:color w:val="auto"/>
              </w:rPr>
              <w:t>5,697</w:t>
            </w:r>
          </w:p>
        </w:tc>
      </w:tr>
      <w:tr>
        <w:trPr>
          <w:trHeight w:val="162"/>
        </w:trPr>
        <w:tc>
          <w:tcPr>
            <w:tcW w:w="6720" w:type="dxa"/>
            <w:vAlign w:val="bottom"/>
          </w:tcPr>
          <w:p>
            <w:pPr>
              <w:spacing w:after="0"/>
              <w:rPr>
                <w:sz w:val="20"/>
                <w:szCs w:val="20"/>
                <w:color w:val="auto"/>
              </w:rPr>
            </w:pPr>
            <w:r>
              <w:rPr>
                <w:rFonts w:ascii="Arial" w:cs="Arial" w:eastAsia="Arial" w:hAnsi="Arial"/>
                <w:sz w:val="14"/>
                <w:szCs w:val="14"/>
                <w:color w:val="auto"/>
              </w:rPr>
              <w:t>Between 1 and 5 years</w:t>
            </w:r>
          </w:p>
        </w:tc>
        <w:tc>
          <w:tcPr>
            <w:tcW w:w="1260" w:type="dxa"/>
            <w:vAlign w:val="bottom"/>
          </w:tcPr>
          <w:p>
            <w:pPr>
              <w:jc w:val="right"/>
              <w:ind w:right="52"/>
              <w:spacing w:after="0"/>
              <w:rPr>
                <w:sz w:val="20"/>
                <w:szCs w:val="20"/>
                <w:color w:val="auto"/>
              </w:rPr>
            </w:pPr>
            <w:r>
              <w:rPr>
                <w:rFonts w:ascii="Arial" w:cs="Arial" w:eastAsia="Arial" w:hAnsi="Arial"/>
                <w:sz w:val="14"/>
                <w:szCs w:val="14"/>
                <w:color w:val="auto"/>
              </w:rPr>
              <w:t>3,636</w:t>
            </w:r>
          </w:p>
        </w:tc>
        <w:tc>
          <w:tcPr>
            <w:tcW w:w="740" w:type="dxa"/>
            <w:vAlign w:val="bottom"/>
          </w:tcPr>
          <w:p>
            <w:pPr>
              <w:jc w:val="right"/>
              <w:ind w:right="110"/>
              <w:spacing w:after="0"/>
              <w:rPr>
                <w:sz w:val="20"/>
                <w:szCs w:val="20"/>
                <w:color w:val="auto"/>
              </w:rPr>
            </w:pPr>
            <w:r>
              <w:rPr>
                <w:rFonts w:ascii="Arial" w:cs="Arial" w:eastAsia="Arial" w:hAnsi="Arial"/>
                <w:sz w:val="14"/>
                <w:szCs w:val="14"/>
                <w:color w:val="auto"/>
              </w:rPr>
              <w:t>1,637</w:t>
            </w:r>
          </w:p>
        </w:tc>
        <w:tc>
          <w:tcPr>
            <w:tcW w:w="1260" w:type="dxa"/>
            <w:vAlign w:val="bottom"/>
          </w:tcPr>
          <w:p>
            <w:pPr>
              <w:jc w:val="right"/>
              <w:ind w:right="13"/>
              <w:spacing w:after="0"/>
              <w:rPr>
                <w:sz w:val="20"/>
                <w:szCs w:val="20"/>
                <w:color w:val="auto"/>
              </w:rPr>
            </w:pPr>
            <w:r>
              <w:rPr>
                <w:rFonts w:ascii="Arial" w:cs="Arial" w:eastAsia="Arial" w:hAnsi="Arial"/>
                <w:sz w:val="14"/>
                <w:szCs w:val="14"/>
                <w:color w:val="auto"/>
              </w:rPr>
              <w:t>1,999</w:t>
            </w:r>
          </w:p>
        </w:tc>
        <w:tc>
          <w:tcPr>
            <w:tcW w:w="260" w:type="dxa"/>
            <w:vAlign w:val="bottom"/>
          </w:tcPr>
          <w:p>
            <w:pPr>
              <w:spacing w:after="0"/>
              <w:rPr>
                <w:sz w:val="14"/>
                <w:szCs w:val="14"/>
                <w:color w:val="auto"/>
              </w:rPr>
            </w:pPr>
          </w:p>
        </w:tc>
        <w:tc>
          <w:tcPr>
            <w:tcW w:w="1180" w:type="dxa"/>
            <w:vAlign w:val="bottom"/>
          </w:tcPr>
          <w:p>
            <w:pPr>
              <w:jc w:val="right"/>
              <w:ind w:right="32"/>
              <w:spacing w:after="0"/>
              <w:rPr>
                <w:sz w:val="20"/>
                <w:szCs w:val="20"/>
                <w:color w:val="auto"/>
              </w:rPr>
            </w:pPr>
            <w:r>
              <w:rPr>
                <w:rFonts w:ascii="Arial" w:cs="Arial" w:eastAsia="Arial" w:hAnsi="Arial"/>
                <w:sz w:val="14"/>
                <w:szCs w:val="14"/>
                <w:color w:val="auto"/>
              </w:rPr>
              <w:t>15,199</w:t>
            </w:r>
          </w:p>
        </w:tc>
      </w:tr>
      <w:tr>
        <w:trPr>
          <w:trHeight w:val="157"/>
        </w:trPr>
        <w:tc>
          <w:tcPr>
            <w:tcW w:w="6720" w:type="dxa"/>
            <w:vAlign w:val="bottom"/>
            <w:tcBorders>
              <w:bottom w:val="single" w:sz="8" w:color="auto"/>
            </w:tcBorders>
          </w:tcPr>
          <w:p>
            <w:pPr>
              <w:spacing w:after="0" w:line="157" w:lineRule="exact"/>
              <w:rPr>
                <w:sz w:val="20"/>
                <w:szCs w:val="20"/>
                <w:color w:val="auto"/>
              </w:rPr>
            </w:pPr>
            <w:r>
              <w:rPr>
                <w:rFonts w:ascii="Arial" w:cs="Arial" w:eastAsia="Arial" w:hAnsi="Arial"/>
                <w:sz w:val="14"/>
                <w:szCs w:val="14"/>
                <w:color w:val="auto"/>
              </w:rPr>
              <w:t>5 years and later</w:t>
            </w:r>
          </w:p>
        </w:tc>
        <w:tc>
          <w:tcPr>
            <w:tcW w:w="1260" w:type="dxa"/>
            <w:vAlign w:val="bottom"/>
            <w:tcBorders>
              <w:bottom w:val="single" w:sz="8" w:color="auto"/>
            </w:tcBorders>
          </w:tcPr>
          <w:p>
            <w:pPr>
              <w:jc w:val="right"/>
              <w:ind w:right="52"/>
              <w:spacing w:after="0" w:line="157" w:lineRule="exact"/>
              <w:rPr>
                <w:sz w:val="20"/>
                <w:szCs w:val="20"/>
                <w:color w:val="auto"/>
              </w:rPr>
            </w:pPr>
            <w:r>
              <w:rPr>
                <w:rFonts w:ascii="Arial" w:cs="Arial" w:eastAsia="Arial" w:hAnsi="Arial"/>
                <w:sz w:val="14"/>
                <w:szCs w:val="14"/>
                <w:color w:val="auto"/>
              </w:rPr>
              <w:t>6,254</w:t>
            </w:r>
          </w:p>
        </w:tc>
        <w:tc>
          <w:tcPr>
            <w:tcW w:w="740" w:type="dxa"/>
            <w:vAlign w:val="bottom"/>
            <w:tcBorders>
              <w:bottom w:val="single" w:sz="8" w:color="auto"/>
            </w:tcBorders>
          </w:tcPr>
          <w:p>
            <w:pPr>
              <w:jc w:val="right"/>
              <w:ind w:right="110"/>
              <w:spacing w:after="0" w:line="157" w:lineRule="exact"/>
              <w:rPr>
                <w:sz w:val="20"/>
                <w:szCs w:val="20"/>
                <w:color w:val="auto"/>
              </w:rPr>
            </w:pPr>
            <w:r>
              <w:rPr>
                <w:rFonts w:ascii="Arial" w:cs="Arial" w:eastAsia="Arial" w:hAnsi="Arial"/>
                <w:sz w:val="14"/>
                <w:szCs w:val="14"/>
                <w:color w:val="auto"/>
              </w:rPr>
              <w:t>2,065</w:t>
            </w:r>
          </w:p>
        </w:tc>
        <w:tc>
          <w:tcPr>
            <w:tcW w:w="1260" w:type="dxa"/>
            <w:vAlign w:val="bottom"/>
            <w:tcBorders>
              <w:bottom w:val="single" w:sz="8" w:color="auto"/>
            </w:tcBorders>
          </w:tcPr>
          <w:p>
            <w:pPr>
              <w:jc w:val="right"/>
              <w:ind w:right="13"/>
              <w:spacing w:after="0" w:line="157" w:lineRule="exact"/>
              <w:rPr>
                <w:sz w:val="20"/>
                <w:szCs w:val="20"/>
                <w:color w:val="auto"/>
              </w:rPr>
            </w:pPr>
            <w:r>
              <w:rPr>
                <w:rFonts w:ascii="Arial" w:cs="Arial" w:eastAsia="Arial" w:hAnsi="Arial"/>
                <w:sz w:val="14"/>
                <w:szCs w:val="14"/>
                <w:color w:val="auto"/>
              </w:rPr>
              <w:t>4,189</w:t>
            </w:r>
          </w:p>
        </w:tc>
        <w:tc>
          <w:tcPr>
            <w:tcW w:w="26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ind w:right="32"/>
              <w:spacing w:after="0" w:line="157" w:lineRule="exact"/>
              <w:rPr>
                <w:sz w:val="20"/>
                <w:szCs w:val="20"/>
                <w:color w:val="auto"/>
              </w:rPr>
            </w:pPr>
            <w:r>
              <w:rPr>
                <w:rFonts w:ascii="Arial" w:cs="Arial" w:eastAsia="Arial" w:hAnsi="Arial"/>
                <w:sz w:val="14"/>
                <w:szCs w:val="14"/>
                <w:color w:val="auto"/>
              </w:rPr>
              <w:t>9,929</w:t>
            </w:r>
          </w:p>
        </w:tc>
      </w:tr>
      <w:tr>
        <w:trPr>
          <w:trHeight w:val="156"/>
        </w:trPr>
        <w:tc>
          <w:tcPr>
            <w:tcW w:w="6720" w:type="dxa"/>
            <w:vAlign w:val="bottom"/>
            <w:tcBorders>
              <w:bottom w:val="single" w:sz="8" w:color="auto"/>
            </w:tcBorders>
          </w:tcPr>
          <w:p>
            <w:pPr>
              <w:spacing w:after="0" w:line="155" w:lineRule="exact"/>
              <w:rPr>
                <w:sz w:val="20"/>
                <w:szCs w:val="20"/>
                <w:color w:val="auto"/>
              </w:rPr>
            </w:pPr>
            <w:r>
              <w:rPr>
                <w:rFonts w:ascii="Arial" w:cs="Arial" w:eastAsia="Arial" w:hAnsi="Arial"/>
                <w:sz w:val="14"/>
                <w:szCs w:val="14"/>
                <w:color w:val="auto"/>
              </w:rPr>
              <w:t>Total</w:t>
            </w:r>
          </w:p>
        </w:tc>
        <w:tc>
          <w:tcPr>
            <w:tcW w:w="1260" w:type="dxa"/>
            <w:vAlign w:val="bottom"/>
            <w:tcBorders>
              <w:bottom w:val="single" w:sz="8" w:color="auto"/>
            </w:tcBorders>
          </w:tcPr>
          <w:p>
            <w:pPr>
              <w:jc w:val="right"/>
              <w:ind w:right="52"/>
              <w:spacing w:after="0" w:line="155" w:lineRule="exact"/>
              <w:rPr>
                <w:sz w:val="20"/>
                <w:szCs w:val="20"/>
                <w:color w:val="auto"/>
              </w:rPr>
            </w:pPr>
            <w:r>
              <w:rPr>
                <w:rFonts w:ascii="Arial" w:cs="Arial" w:eastAsia="Arial" w:hAnsi="Arial"/>
                <w:sz w:val="14"/>
                <w:szCs w:val="14"/>
                <w:color w:val="auto"/>
              </w:rPr>
              <w:t>10,958</w:t>
            </w:r>
          </w:p>
        </w:tc>
        <w:tc>
          <w:tcPr>
            <w:tcW w:w="740" w:type="dxa"/>
            <w:vAlign w:val="bottom"/>
            <w:tcBorders>
              <w:bottom w:val="single" w:sz="8" w:color="auto"/>
            </w:tcBorders>
          </w:tcPr>
          <w:p>
            <w:pPr>
              <w:jc w:val="right"/>
              <w:ind w:right="110"/>
              <w:spacing w:after="0" w:line="155" w:lineRule="exact"/>
              <w:rPr>
                <w:sz w:val="20"/>
                <w:szCs w:val="20"/>
                <w:color w:val="auto"/>
              </w:rPr>
            </w:pPr>
            <w:r>
              <w:rPr>
                <w:rFonts w:ascii="Arial" w:cs="Arial" w:eastAsia="Arial" w:hAnsi="Arial"/>
                <w:sz w:val="14"/>
                <w:szCs w:val="14"/>
                <w:color w:val="auto"/>
              </w:rPr>
              <w:t>4,256</w:t>
            </w:r>
          </w:p>
        </w:tc>
        <w:tc>
          <w:tcPr>
            <w:tcW w:w="1260" w:type="dxa"/>
            <w:vAlign w:val="bottom"/>
            <w:tcBorders>
              <w:bottom w:val="single" w:sz="8" w:color="auto"/>
            </w:tcBorders>
          </w:tcPr>
          <w:p>
            <w:pPr>
              <w:jc w:val="right"/>
              <w:ind w:right="13"/>
              <w:spacing w:after="0" w:line="155" w:lineRule="exact"/>
              <w:rPr>
                <w:sz w:val="20"/>
                <w:szCs w:val="20"/>
                <w:color w:val="auto"/>
              </w:rPr>
            </w:pPr>
            <w:r>
              <w:rPr>
                <w:rFonts w:ascii="Arial" w:cs="Arial" w:eastAsia="Arial" w:hAnsi="Arial"/>
                <w:sz w:val="14"/>
                <w:szCs w:val="14"/>
                <w:color w:val="auto"/>
              </w:rPr>
              <w:t>6,702</w:t>
            </w:r>
          </w:p>
        </w:tc>
        <w:tc>
          <w:tcPr>
            <w:tcW w:w="26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ind w:right="32"/>
              <w:spacing w:after="0" w:line="155" w:lineRule="exact"/>
              <w:rPr>
                <w:sz w:val="20"/>
                <w:szCs w:val="20"/>
                <w:color w:val="auto"/>
              </w:rPr>
            </w:pPr>
            <w:r>
              <w:rPr>
                <w:rFonts w:ascii="Arial" w:cs="Arial" w:eastAsia="Arial" w:hAnsi="Arial"/>
                <w:sz w:val="14"/>
                <w:szCs w:val="14"/>
                <w:color w:val="auto"/>
              </w:rPr>
              <w:t>30,825</w:t>
            </w:r>
          </w:p>
        </w:tc>
      </w:tr>
    </w:tbl>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6720" w:type="dxa"/>
            <w:vAlign w:val="bottom"/>
            <w:shd w:val="clear" w:color="auto" w:fill="333333"/>
          </w:tcPr>
          <w:p>
            <w:pPr>
              <w:ind w:left="80"/>
              <w:spacing w:after="0"/>
              <w:rPr>
                <w:sz w:val="20"/>
                <w:szCs w:val="20"/>
                <w:color w:val="auto"/>
              </w:rPr>
            </w:pPr>
            <w:r>
              <w:rPr>
                <w:rFonts w:ascii="Arial" w:cs="Arial" w:eastAsia="Arial" w:hAnsi="Arial"/>
                <w:sz w:val="15"/>
                <w:szCs w:val="15"/>
                <w:b w:val="1"/>
                <w:bCs w:val="1"/>
                <w:color w:val="FFFFFF"/>
              </w:rPr>
              <w:t>2013</w:t>
            </w:r>
          </w:p>
        </w:tc>
        <w:tc>
          <w:tcPr>
            <w:tcW w:w="1260" w:type="dxa"/>
            <w:vAlign w:val="bottom"/>
            <w:shd w:val="clear" w:color="auto" w:fill="333333"/>
          </w:tcPr>
          <w:p>
            <w:pPr>
              <w:spacing w:after="0"/>
              <w:rPr>
                <w:sz w:val="14"/>
                <w:szCs w:val="14"/>
                <w:color w:val="auto"/>
              </w:rPr>
            </w:pPr>
          </w:p>
        </w:tc>
        <w:tc>
          <w:tcPr>
            <w:tcW w:w="740" w:type="dxa"/>
            <w:vAlign w:val="bottom"/>
            <w:shd w:val="clear" w:color="auto" w:fill="333333"/>
          </w:tcPr>
          <w:p>
            <w:pPr>
              <w:spacing w:after="0"/>
              <w:rPr>
                <w:sz w:val="14"/>
                <w:szCs w:val="14"/>
                <w:color w:val="auto"/>
              </w:rPr>
            </w:pPr>
          </w:p>
        </w:tc>
        <w:tc>
          <w:tcPr>
            <w:tcW w:w="1260" w:type="dxa"/>
            <w:vAlign w:val="bottom"/>
            <w:shd w:val="clear" w:color="auto" w:fill="333333"/>
          </w:tcPr>
          <w:p>
            <w:pPr>
              <w:spacing w:after="0"/>
              <w:rPr>
                <w:sz w:val="14"/>
                <w:szCs w:val="14"/>
                <w:color w:val="auto"/>
              </w:rPr>
            </w:pPr>
          </w:p>
        </w:tc>
        <w:tc>
          <w:tcPr>
            <w:tcW w:w="260" w:type="dxa"/>
            <w:vAlign w:val="bottom"/>
            <w:shd w:val="clear" w:color="auto" w:fill="333333"/>
          </w:tcPr>
          <w:p>
            <w:pPr>
              <w:spacing w:after="0"/>
              <w:rPr>
                <w:sz w:val="14"/>
                <w:szCs w:val="14"/>
                <w:color w:val="auto"/>
              </w:rPr>
            </w:pPr>
          </w:p>
        </w:tc>
        <w:tc>
          <w:tcPr>
            <w:tcW w:w="1180" w:type="dxa"/>
            <w:vAlign w:val="bottom"/>
            <w:shd w:val="clear" w:color="auto" w:fill="333333"/>
          </w:tcPr>
          <w:p>
            <w:pPr>
              <w:jc w:val="right"/>
              <w:ind w:right="32"/>
              <w:spacing w:after="0"/>
              <w:rPr>
                <w:sz w:val="20"/>
                <w:szCs w:val="20"/>
                <w:color w:val="auto"/>
              </w:rPr>
            </w:pPr>
            <w:r>
              <w:rPr>
                <w:rFonts w:ascii="Arial" w:cs="Arial" w:eastAsia="Arial" w:hAnsi="Arial"/>
                <w:sz w:val="15"/>
                <w:szCs w:val="15"/>
                <w:color w:val="FFFFFF"/>
              </w:rPr>
              <w:t>$ MILLION</w:t>
            </w:r>
          </w:p>
        </w:tc>
      </w:tr>
      <w:tr>
        <w:trPr>
          <w:trHeight w:val="135"/>
        </w:trPr>
        <w:tc>
          <w:tcPr>
            <w:tcW w:w="67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520" w:type="dxa"/>
            <w:vAlign w:val="bottom"/>
            <w:gridSpan w:val="2"/>
          </w:tcPr>
          <w:p>
            <w:pPr>
              <w:jc w:val="right"/>
              <w:ind w:right="340"/>
              <w:spacing w:after="0" w:line="135" w:lineRule="exact"/>
              <w:rPr>
                <w:sz w:val="20"/>
                <w:szCs w:val="20"/>
                <w:color w:val="auto"/>
              </w:rPr>
            </w:pPr>
            <w:r>
              <w:rPr>
                <w:rFonts w:ascii="Arial" w:cs="Arial" w:eastAsia="Arial" w:hAnsi="Arial"/>
                <w:sz w:val="13"/>
                <w:szCs w:val="13"/>
                <w:color w:val="auto"/>
              </w:rPr>
              <w:t>Finance leases</w:t>
            </w:r>
          </w:p>
        </w:tc>
        <w:tc>
          <w:tcPr>
            <w:tcW w:w="1180" w:type="dxa"/>
            <w:vAlign w:val="bottom"/>
          </w:tcPr>
          <w:p>
            <w:pPr>
              <w:jc w:val="right"/>
              <w:ind w:right="32"/>
              <w:spacing w:after="0" w:line="135" w:lineRule="exact"/>
              <w:rPr>
                <w:sz w:val="20"/>
                <w:szCs w:val="20"/>
                <w:color w:val="auto"/>
              </w:rPr>
            </w:pPr>
            <w:r>
              <w:rPr>
                <w:rFonts w:ascii="Arial" w:cs="Arial" w:eastAsia="Arial" w:hAnsi="Arial"/>
                <w:sz w:val="13"/>
                <w:szCs w:val="13"/>
                <w:color w:val="auto"/>
              </w:rPr>
              <w:t>Operating leases</w:t>
            </w:r>
          </w:p>
        </w:tc>
      </w:tr>
      <w:tr>
        <w:trPr>
          <w:trHeight w:val="123"/>
        </w:trPr>
        <w:tc>
          <w:tcPr>
            <w:tcW w:w="6720" w:type="dxa"/>
            <w:vAlign w:val="bottom"/>
          </w:tcPr>
          <w:p>
            <w:pPr>
              <w:spacing w:after="0"/>
              <w:rPr>
                <w:sz w:val="10"/>
                <w:szCs w:val="10"/>
                <w:color w:val="auto"/>
              </w:rPr>
            </w:pPr>
          </w:p>
        </w:tc>
        <w:tc>
          <w:tcPr>
            <w:tcW w:w="1260" w:type="dxa"/>
            <w:vAlign w:val="bottom"/>
            <w:tcBorders>
              <w:top w:val="single" w:sz="8" w:color="auto"/>
            </w:tcBorders>
          </w:tcPr>
          <w:p>
            <w:pPr>
              <w:jc w:val="right"/>
              <w:ind w:right="52"/>
              <w:spacing w:after="0" w:line="123" w:lineRule="exact"/>
              <w:rPr>
                <w:sz w:val="20"/>
                <w:szCs w:val="20"/>
                <w:color w:val="auto"/>
              </w:rPr>
            </w:pPr>
            <w:r>
              <w:rPr>
                <w:rFonts w:ascii="Arial" w:cs="Arial" w:eastAsia="Arial" w:hAnsi="Arial"/>
                <w:sz w:val="13"/>
                <w:szCs w:val="13"/>
                <w:color w:val="auto"/>
              </w:rPr>
              <w:t>Future</w:t>
            </w:r>
          </w:p>
        </w:tc>
        <w:tc>
          <w:tcPr>
            <w:tcW w:w="740" w:type="dxa"/>
            <w:vAlign w:val="bottom"/>
            <w:tcBorders>
              <w:top w:val="single" w:sz="8" w:color="auto"/>
            </w:tcBorders>
          </w:tcPr>
          <w:p>
            <w:pPr>
              <w:spacing w:after="0"/>
              <w:rPr>
                <w:sz w:val="10"/>
                <w:szCs w:val="10"/>
                <w:color w:val="auto"/>
              </w:rPr>
            </w:pPr>
          </w:p>
        </w:tc>
        <w:tc>
          <w:tcPr>
            <w:tcW w:w="1260" w:type="dxa"/>
            <w:vAlign w:val="bottom"/>
            <w:tcBorders>
              <w:top w:val="single" w:sz="8" w:color="auto"/>
            </w:tcBorders>
          </w:tcPr>
          <w:p>
            <w:pPr>
              <w:jc w:val="right"/>
              <w:ind w:right="13"/>
              <w:spacing w:after="0" w:line="123" w:lineRule="exact"/>
              <w:rPr>
                <w:sz w:val="20"/>
                <w:szCs w:val="20"/>
                <w:color w:val="auto"/>
              </w:rPr>
            </w:pPr>
            <w:r>
              <w:rPr>
                <w:rFonts w:ascii="Arial" w:cs="Arial" w:eastAsia="Arial" w:hAnsi="Arial"/>
                <w:sz w:val="13"/>
                <w:szCs w:val="13"/>
                <w:color w:val="auto"/>
              </w:rPr>
              <w:t>Present value</w:t>
            </w:r>
          </w:p>
        </w:tc>
        <w:tc>
          <w:tcPr>
            <w:tcW w:w="260" w:type="dxa"/>
            <w:vAlign w:val="bottom"/>
          </w:tcPr>
          <w:p>
            <w:pPr>
              <w:spacing w:after="0"/>
              <w:rPr>
                <w:sz w:val="10"/>
                <w:szCs w:val="10"/>
                <w:color w:val="auto"/>
              </w:rPr>
            </w:pPr>
          </w:p>
        </w:tc>
        <w:tc>
          <w:tcPr>
            <w:tcW w:w="1180" w:type="dxa"/>
            <w:vAlign w:val="bottom"/>
            <w:tcBorders>
              <w:top w:val="single" w:sz="8" w:color="auto"/>
            </w:tcBorders>
          </w:tcPr>
          <w:p>
            <w:pPr>
              <w:jc w:val="right"/>
              <w:ind w:right="32"/>
              <w:spacing w:after="0" w:line="123" w:lineRule="exact"/>
              <w:rPr>
                <w:sz w:val="20"/>
                <w:szCs w:val="20"/>
                <w:color w:val="auto"/>
              </w:rPr>
            </w:pPr>
            <w:r>
              <w:rPr>
                <w:rFonts w:ascii="Arial" w:cs="Arial" w:eastAsia="Arial" w:hAnsi="Arial"/>
                <w:sz w:val="13"/>
                <w:szCs w:val="13"/>
                <w:color w:val="auto"/>
              </w:rPr>
              <w:t>Future</w:t>
            </w:r>
          </w:p>
        </w:tc>
      </w:tr>
      <w:tr>
        <w:trPr>
          <w:trHeight w:val="135"/>
        </w:trPr>
        <w:tc>
          <w:tcPr>
            <w:tcW w:w="6720" w:type="dxa"/>
            <w:vAlign w:val="bottom"/>
          </w:tcPr>
          <w:p>
            <w:pPr>
              <w:spacing w:after="0"/>
              <w:rPr>
                <w:sz w:val="11"/>
                <w:szCs w:val="11"/>
                <w:color w:val="auto"/>
              </w:rPr>
            </w:pPr>
          </w:p>
        </w:tc>
        <w:tc>
          <w:tcPr>
            <w:tcW w:w="1260" w:type="dxa"/>
            <w:vAlign w:val="bottom"/>
          </w:tcPr>
          <w:p>
            <w:pPr>
              <w:jc w:val="right"/>
              <w:ind w:right="52"/>
              <w:spacing w:after="0" w:line="135" w:lineRule="exact"/>
              <w:rPr>
                <w:sz w:val="20"/>
                <w:szCs w:val="20"/>
                <w:color w:val="auto"/>
              </w:rPr>
            </w:pPr>
            <w:r>
              <w:rPr>
                <w:rFonts w:ascii="Arial" w:cs="Arial" w:eastAsia="Arial" w:hAnsi="Arial"/>
                <w:sz w:val="13"/>
                <w:szCs w:val="13"/>
                <w:color w:val="auto"/>
              </w:rPr>
              <w:t>minimum</w:t>
            </w:r>
          </w:p>
        </w:tc>
        <w:tc>
          <w:tcPr>
            <w:tcW w:w="740" w:type="dxa"/>
            <w:vAlign w:val="bottom"/>
          </w:tcPr>
          <w:p>
            <w:pPr>
              <w:spacing w:after="0"/>
              <w:rPr>
                <w:sz w:val="11"/>
                <w:szCs w:val="11"/>
                <w:color w:val="auto"/>
              </w:rPr>
            </w:pPr>
          </w:p>
        </w:tc>
        <w:tc>
          <w:tcPr>
            <w:tcW w:w="1520" w:type="dxa"/>
            <w:vAlign w:val="bottom"/>
            <w:gridSpan w:val="2"/>
          </w:tcPr>
          <w:p>
            <w:pPr>
              <w:jc w:val="right"/>
              <w:ind w:right="340"/>
              <w:spacing w:after="0" w:line="135" w:lineRule="exact"/>
              <w:rPr>
                <w:sz w:val="20"/>
                <w:szCs w:val="20"/>
                <w:color w:val="auto"/>
              </w:rPr>
            </w:pPr>
            <w:r>
              <w:rPr>
                <w:rFonts w:ascii="Arial" w:cs="Arial" w:eastAsia="Arial" w:hAnsi="Arial"/>
                <w:sz w:val="13"/>
                <w:szCs w:val="13"/>
                <w:color w:val="auto"/>
              </w:rPr>
              <w:t>of future minimum</w:t>
            </w:r>
          </w:p>
        </w:tc>
        <w:tc>
          <w:tcPr>
            <w:tcW w:w="1180" w:type="dxa"/>
            <w:vAlign w:val="bottom"/>
          </w:tcPr>
          <w:p>
            <w:pPr>
              <w:jc w:val="right"/>
              <w:ind w:right="32"/>
              <w:spacing w:after="0" w:line="135" w:lineRule="exact"/>
              <w:rPr>
                <w:sz w:val="20"/>
                <w:szCs w:val="20"/>
                <w:color w:val="auto"/>
              </w:rPr>
            </w:pPr>
            <w:r>
              <w:rPr>
                <w:rFonts w:ascii="Arial" w:cs="Arial" w:eastAsia="Arial" w:hAnsi="Arial"/>
                <w:sz w:val="13"/>
                <w:szCs w:val="13"/>
                <w:color w:val="auto"/>
              </w:rPr>
              <w:t>minimum</w:t>
            </w:r>
          </w:p>
        </w:tc>
      </w:tr>
      <w:tr>
        <w:trPr>
          <w:trHeight w:val="141"/>
        </w:trPr>
        <w:tc>
          <w:tcPr>
            <w:tcW w:w="6720" w:type="dxa"/>
            <w:vAlign w:val="bottom"/>
            <w:tcBorders>
              <w:bottom w:val="single" w:sz="8" w:color="auto"/>
            </w:tcBorders>
          </w:tcPr>
          <w:p>
            <w:pPr>
              <w:spacing w:after="0"/>
              <w:rPr>
                <w:sz w:val="12"/>
                <w:szCs w:val="12"/>
                <w:color w:val="auto"/>
              </w:rPr>
            </w:pPr>
          </w:p>
        </w:tc>
        <w:tc>
          <w:tcPr>
            <w:tcW w:w="1260" w:type="dxa"/>
            <w:vAlign w:val="bottom"/>
            <w:tcBorders>
              <w:bottom w:val="single" w:sz="8" w:color="auto"/>
            </w:tcBorders>
          </w:tcPr>
          <w:p>
            <w:pPr>
              <w:jc w:val="right"/>
              <w:ind w:right="52"/>
              <w:spacing w:after="0" w:line="141" w:lineRule="exact"/>
              <w:rPr>
                <w:sz w:val="20"/>
                <w:szCs w:val="20"/>
                <w:color w:val="auto"/>
              </w:rPr>
            </w:pPr>
            <w:r>
              <w:rPr>
                <w:rFonts w:ascii="Arial" w:cs="Arial" w:eastAsia="Arial" w:hAnsi="Arial"/>
                <w:sz w:val="13"/>
                <w:szCs w:val="13"/>
                <w:color w:val="auto"/>
              </w:rPr>
              <w:t>lease payments</w:t>
            </w:r>
          </w:p>
        </w:tc>
        <w:tc>
          <w:tcPr>
            <w:tcW w:w="740" w:type="dxa"/>
            <w:vAlign w:val="bottom"/>
            <w:tcBorders>
              <w:bottom w:val="single" w:sz="8" w:color="auto"/>
            </w:tcBorders>
          </w:tcPr>
          <w:p>
            <w:pPr>
              <w:jc w:val="right"/>
              <w:ind w:right="110"/>
              <w:spacing w:after="0" w:line="141" w:lineRule="exact"/>
              <w:rPr>
                <w:sz w:val="20"/>
                <w:szCs w:val="20"/>
                <w:color w:val="auto"/>
              </w:rPr>
            </w:pPr>
            <w:r>
              <w:rPr>
                <w:rFonts w:ascii="Arial" w:cs="Arial" w:eastAsia="Arial" w:hAnsi="Arial"/>
                <w:sz w:val="13"/>
                <w:szCs w:val="13"/>
                <w:color w:val="auto"/>
              </w:rPr>
              <w:t>Interest</w:t>
            </w:r>
          </w:p>
        </w:tc>
        <w:tc>
          <w:tcPr>
            <w:tcW w:w="1520" w:type="dxa"/>
            <w:vAlign w:val="bottom"/>
            <w:tcBorders>
              <w:bottom w:val="single" w:sz="8" w:color="auto"/>
            </w:tcBorders>
            <w:gridSpan w:val="2"/>
          </w:tcPr>
          <w:p>
            <w:pPr>
              <w:jc w:val="right"/>
              <w:ind w:right="340"/>
              <w:spacing w:after="0" w:line="141" w:lineRule="exact"/>
              <w:rPr>
                <w:sz w:val="20"/>
                <w:szCs w:val="20"/>
                <w:color w:val="auto"/>
              </w:rPr>
            </w:pPr>
            <w:r>
              <w:rPr>
                <w:rFonts w:ascii="Arial" w:cs="Arial" w:eastAsia="Arial" w:hAnsi="Arial"/>
                <w:sz w:val="13"/>
                <w:szCs w:val="13"/>
                <w:color w:val="auto"/>
              </w:rPr>
              <w:t>lease payments</w:t>
            </w:r>
          </w:p>
        </w:tc>
        <w:tc>
          <w:tcPr>
            <w:tcW w:w="1180" w:type="dxa"/>
            <w:vAlign w:val="bottom"/>
            <w:tcBorders>
              <w:bottom w:val="single" w:sz="8" w:color="auto"/>
            </w:tcBorders>
          </w:tcPr>
          <w:p>
            <w:pPr>
              <w:jc w:val="right"/>
              <w:ind w:right="32"/>
              <w:spacing w:after="0" w:line="141" w:lineRule="exact"/>
              <w:rPr>
                <w:sz w:val="20"/>
                <w:szCs w:val="20"/>
                <w:color w:val="auto"/>
              </w:rPr>
            </w:pPr>
            <w:r>
              <w:rPr>
                <w:rFonts w:ascii="Arial" w:cs="Arial" w:eastAsia="Arial" w:hAnsi="Arial"/>
                <w:sz w:val="13"/>
                <w:szCs w:val="13"/>
                <w:color w:val="auto"/>
              </w:rPr>
              <w:t>lease payments</w:t>
            </w:r>
          </w:p>
        </w:tc>
      </w:tr>
      <w:tr>
        <w:trPr>
          <w:trHeight w:val="160"/>
        </w:trPr>
        <w:tc>
          <w:tcPr>
            <w:tcW w:w="6720" w:type="dxa"/>
            <w:vAlign w:val="bottom"/>
          </w:tcPr>
          <w:p>
            <w:pPr>
              <w:spacing w:after="0"/>
              <w:rPr>
                <w:sz w:val="20"/>
                <w:szCs w:val="20"/>
                <w:color w:val="auto"/>
              </w:rPr>
            </w:pPr>
            <w:r>
              <w:rPr>
                <w:rFonts w:ascii="Arial" w:cs="Arial" w:eastAsia="Arial" w:hAnsi="Arial"/>
                <w:sz w:val="14"/>
                <w:szCs w:val="14"/>
                <w:color w:val="auto"/>
              </w:rPr>
              <w:t>Less than 1 year</w:t>
            </w:r>
          </w:p>
        </w:tc>
        <w:tc>
          <w:tcPr>
            <w:tcW w:w="1260" w:type="dxa"/>
            <w:vAlign w:val="bottom"/>
          </w:tcPr>
          <w:p>
            <w:pPr>
              <w:jc w:val="right"/>
              <w:ind w:right="52"/>
              <w:spacing w:after="0"/>
              <w:rPr>
                <w:sz w:val="20"/>
                <w:szCs w:val="20"/>
                <w:color w:val="auto"/>
              </w:rPr>
            </w:pPr>
            <w:r>
              <w:rPr>
                <w:rFonts w:ascii="Arial" w:cs="Arial" w:eastAsia="Arial" w:hAnsi="Arial"/>
                <w:sz w:val="14"/>
                <w:szCs w:val="14"/>
                <w:color w:val="auto"/>
              </w:rPr>
              <w:t>850</w:t>
            </w:r>
          </w:p>
        </w:tc>
        <w:tc>
          <w:tcPr>
            <w:tcW w:w="740" w:type="dxa"/>
            <w:vAlign w:val="bottom"/>
          </w:tcPr>
          <w:p>
            <w:pPr>
              <w:jc w:val="right"/>
              <w:ind w:right="110"/>
              <w:spacing w:after="0"/>
              <w:rPr>
                <w:sz w:val="20"/>
                <w:szCs w:val="20"/>
                <w:color w:val="auto"/>
              </w:rPr>
            </w:pPr>
            <w:r>
              <w:rPr>
                <w:rFonts w:ascii="Arial" w:cs="Arial" w:eastAsia="Arial" w:hAnsi="Arial"/>
                <w:sz w:val="14"/>
                <w:szCs w:val="14"/>
                <w:color w:val="auto"/>
              </w:rPr>
              <w:t>443</w:t>
            </w:r>
          </w:p>
        </w:tc>
        <w:tc>
          <w:tcPr>
            <w:tcW w:w="1260" w:type="dxa"/>
            <w:vAlign w:val="bottom"/>
          </w:tcPr>
          <w:p>
            <w:pPr>
              <w:jc w:val="right"/>
              <w:ind w:right="13"/>
              <w:spacing w:after="0"/>
              <w:rPr>
                <w:sz w:val="20"/>
                <w:szCs w:val="20"/>
                <w:color w:val="auto"/>
              </w:rPr>
            </w:pPr>
            <w:r>
              <w:rPr>
                <w:rFonts w:ascii="Arial" w:cs="Arial" w:eastAsia="Arial" w:hAnsi="Arial"/>
                <w:sz w:val="14"/>
                <w:szCs w:val="14"/>
                <w:color w:val="auto"/>
              </w:rPr>
              <w:t>407</w:t>
            </w:r>
          </w:p>
        </w:tc>
        <w:tc>
          <w:tcPr>
            <w:tcW w:w="260" w:type="dxa"/>
            <w:vAlign w:val="bottom"/>
          </w:tcPr>
          <w:p>
            <w:pPr>
              <w:spacing w:after="0"/>
              <w:rPr>
                <w:sz w:val="13"/>
                <w:szCs w:val="13"/>
                <w:color w:val="auto"/>
              </w:rPr>
            </w:pPr>
          </w:p>
        </w:tc>
        <w:tc>
          <w:tcPr>
            <w:tcW w:w="1180" w:type="dxa"/>
            <w:vAlign w:val="bottom"/>
          </w:tcPr>
          <w:p>
            <w:pPr>
              <w:jc w:val="right"/>
              <w:ind w:right="32"/>
              <w:spacing w:after="0"/>
              <w:rPr>
                <w:sz w:val="20"/>
                <w:szCs w:val="20"/>
                <w:color w:val="auto"/>
              </w:rPr>
            </w:pPr>
            <w:r>
              <w:rPr>
                <w:rFonts w:ascii="Arial" w:cs="Arial" w:eastAsia="Arial" w:hAnsi="Arial"/>
                <w:sz w:val="14"/>
                <w:szCs w:val="14"/>
                <w:color w:val="auto"/>
              </w:rPr>
              <w:t>5,814</w:t>
            </w:r>
          </w:p>
        </w:tc>
      </w:tr>
      <w:tr>
        <w:trPr>
          <w:trHeight w:val="162"/>
        </w:trPr>
        <w:tc>
          <w:tcPr>
            <w:tcW w:w="6720" w:type="dxa"/>
            <w:vAlign w:val="bottom"/>
          </w:tcPr>
          <w:p>
            <w:pPr>
              <w:spacing w:after="0"/>
              <w:rPr>
                <w:sz w:val="20"/>
                <w:szCs w:val="20"/>
                <w:color w:val="auto"/>
              </w:rPr>
            </w:pPr>
            <w:r>
              <w:rPr>
                <w:rFonts w:ascii="Arial" w:cs="Arial" w:eastAsia="Arial" w:hAnsi="Arial"/>
                <w:sz w:val="14"/>
                <w:szCs w:val="14"/>
                <w:color w:val="auto"/>
              </w:rPr>
              <w:t>Between 1 and 5 years</w:t>
            </w:r>
          </w:p>
        </w:tc>
        <w:tc>
          <w:tcPr>
            <w:tcW w:w="1260" w:type="dxa"/>
            <w:vAlign w:val="bottom"/>
          </w:tcPr>
          <w:p>
            <w:pPr>
              <w:jc w:val="right"/>
              <w:ind w:right="52"/>
              <w:spacing w:after="0"/>
              <w:rPr>
                <w:sz w:val="20"/>
                <w:szCs w:val="20"/>
                <w:color w:val="auto"/>
              </w:rPr>
            </w:pPr>
            <w:r>
              <w:rPr>
                <w:rFonts w:ascii="Arial" w:cs="Arial" w:eastAsia="Arial" w:hAnsi="Arial"/>
                <w:sz w:val="14"/>
                <w:szCs w:val="14"/>
                <w:color w:val="auto"/>
              </w:rPr>
              <w:t>3,010</w:t>
            </w:r>
          </w:p>
        </w:tc>
        <w:tc>
          <w:tcPr>
            <w:tcW w:w="740" w:type="dxa"/>
            <w:vAlign w:val="bottom"/>
          </w:tcPr>
          <w:p>
            <w:pPr>
              <w:jc w:val="right"/>
              <w:ind w:right="110"/>
              <w:spacing w:after="0"/>
              <w:rPr>
                <w:sz w:val="20"/>
                <w:szCs w:val="20"/>
                <w:color w:val="auto"/>
              </w:rPr>
            </w:pPr>
            <w:r>
              <w:rPr>
                <w:rFonts w:ascii="Arial" w:cs="Arial" w:eastAsia="Arial" w:hAnsi="Arial"/>
                <w:sz w:val="14"/>
                <w:szCs w:val="14"/>
                <w:color w:val="auto"/>
              </w:rPr>
              <w:t>1,426</w:t>
            </w:r>
          </w:p>
        </w:tc>
        <w:tc>
          <w:tcPr>
            <w:tcW w:w="1260" w:type="dxa"/>
            <w:vAlign w:val="bottom"/>
          </w:tcPr>
          <w:p>
            <w:pPr>
              <w:jc w:val="right"/>
              <w:ind w:right="13"/>
              <w:spacing w:after="0"/>
              <w:rPr>
                <w:sz w:val="20"/>
                <w:szCs w:val="20"/>
                <w:color w:val="auto"/>
              </w:rPr>
            </w:pPr>
            <w:r>
              <w:rPr>
                <w:rFonts w:ascii="Arial" w:cs="Arial" w:eastAsia="Arial" w:hAnsi="Arial"/>
                <w:sz w:val="14"/>
                <w:szCs w:val="14"/>
                <w:color w:val="auto"/>
              </w:rPr>
              <w:t>1,584</w:t>
            </w:r>
          </w:p>
        </w:tc>
        <w:tc>
          <w:tcPr>
            <w:tcW w:w="260" w:type="dxa"/>
            <w:vAlign w:val="bottom"/>
          </w:tcPr>
          <w:p>
            <w:pPr>
              <w:spacing w:after="0"/>
              <w:rPr>
                <w:sz w:val="14"/>
                <w:szCs w:val="14"/>
                <w:color w:val="auto"/>
              </w:rPr>
            </w:pPr>
          </w:p>
        </w:tc>
        <w:tc>
          <w:tcPr>
            <w:tcW w:w="1180" w:type="dxa"/>
            <w:vAlign w:val="bottom"/>
          </w:tcPr>
          <w:p>
            <w:pPr>
              <w:jc w:val="right"/>
              <w:ind w:right="32"/>
              <w:spacing w:after="0"/>
              <w:rPr>
                <w:sz w:val="20"/>
                <w:szCs w:val="20"/>
                <w:color w:val="auto"/>
              </w:rPr>
            </w:pPr>
            <w:r>
              <w:rPr>
                <w:rFonts w:ascii="Arial" w:cs="Arial" w:eastAsia="Arial" w:hAnsi="Arial"/>
                <w:sz w:val="14"/>
                <w:szCs w:val="14"/>
                <w:color w:val="auto"/>
              </w:rPr>
              <w:t>15,039</w:t>
            </w:r>
          </w:p>
        </w:tc>
      </w:tr>
      <w:tr>
        <w:trPr>
          <w:trHeight w:val="157"/>
        </w:trPr>
        <w:tc>
          <w:tcPr>
            <w:tcW w:w="6720" w:type="dxa"/>
            <w:vAlign w:val="bottom"/>
            <w:tcBorders>
              <w:bottom w:val="single" w:sz="8" w:color="auto"/>
            </w:tcBorders>
          </w:tcPr>
          <w:p>
            <w:pPr>
              <w:spacing w:after="0" w:line="157" w:lineRule="exact"/>
              <w:rPr>
                <w:sz w:val="20"/>
                <w:szCs w:val="20"/>
                <w:color w:val="auto"/>
              </w:rPr>
            </w:pPr>
            <w:r>
              <w:rPr>
                <w:rFonts w:ascii="Arial" w:cs="Arial" w:eastAsia="Arial" w:hAnsi="Arial"/>
                <w:sz w:val="14"/>
                <w:szCs w:val="14"/>
                <w:color w:val="auto"/>
              </w:rPr>
              <w:t>5 years and later</w:t>
            </w:r>
          </w:p>
        </w:tc>
        <w:tc>
          <w:tcPr>
            <w:tcW w:w="1260" w:type="dxa"/>
            <w:vAlign w:val="bottom"/>
            <w:tcBorders>
              <w:bottom w:val="single" w:sz="8" w:color="auto"/>
            </w:tcBorders>
          </w:tcPr>
          <w:p>
            <w:pPr>
              <w:jc w:val="right"/>
              <w:ind w:right="52"/>
              <w:spacing w:after="0" w:line="157" w:lineRule="exact"/>
              <w:rPr>
                <w:sz w:val="20"/>
                <w:szCs w:val="20"/>
                <w:color w:val="auto"/>
              </w:rPr>
            </w:pPr>
            <w:r>
              <w:rPr>
                <w:rFonts w:ascii="Arial" w:cs="Arial" w:eastAsia="Arial" w:hAnsi="Arial"/>
                <w:sz w:val="14"/>
                <w:szCs w:val="14"/>
                <w:color w:val="auto"/>
              </w:rPr>
              <w:t>5,079</w:t>
            </w:r>
          </w:p>
        </w:tc>
        <w:tc>
          <w:tcPr>
            <w:tcW w:w="740" w:type="dxa"/>
            <w:vAlign w:val="bottom"/>
            <w:tcBorders>
              <w:bottom w:val="single" w:sz="8" w:color="auto"/>
            </w:tcBorders>
          </w:tcPr>
          <w:p>
            <w:pPr>
              <w:jc w:val="right"/>
              <w:ind w:right="110"/>
              <w:spacing w:after="0" w:line="157" w:lineRule="exact"/>
              <w:rPr>
                <w:sz w:val="20"/>
                <w:szCs w:val="20"/>
                <w:color w:val="auto"/>
              </w:rPr>
            </w:pPr>
            <w:r>
              <w:rPr>
                <w:rFonts w:ascii="Arial" w:cs="Arial" w:eastAsia="Arial" w:hAnsi="Arial"/>
                <w:sz w:val="14"/>
                <w:szCs w:val="14"/>
                <w:color w:val="auto"/>
              </w:rPr>
              <w:t>1,925</w:t>
            </w:r>
          </w:p>
        </w:tc>
        <w:tc>
          <w:tcPr>
            <w:tcW w:w="1260" w:type="dxa"/>
            <w:vAlign w:val="bottom"/>
            <w:tcBorders>
              <w:bottom w:val="single" w:sz="8" w:color="auto"/>
            </w:tcBorders>
          </w:tcPr>
          <w:p>
            <w:pPr>
              <w:jc w:val="right"/>
              <w:ind w:right="13"/>
              <w:spacing w:after="0" w:line="157" w:lineRule="exact"/>
              <w:rPr>
                <w:sz w:val="20"/>
                <w:szCs w:val="20"/>
                <w:color w:val="auto"/>
              </w:rPr>
            </w:pPr>
            <w:r>
              <w:rPr>
                <w:rFonts w:ascii="Arial" w:cs="Arial" w:eastAsia="Arial" w:hAnsi="Arial"/>
                <w:sz w:val="14"/>
                <w:szCs w:val="14"/>
                <w:color w:val="auto"/>
              </w:rPr>
              <w:t>3,154</w:t>
            </w:r>
          </w:p>
        </w:tc>
        <w:tc>
          <w:tcPr>
            <w:tcW w:w="26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ind w:right="32"/>
              <w:spacing w:after="0" w:line="157" w:lineRule="exact"/>
              <w:rPr>
                <w:sz w:val="20"/>
                <w:szCs w:val="20"/>
                <w:color w:val="auto"/>
              </w:rPr>
            </w:pPr>
            <w:r>
              <w:rPr>
                <w:rFonts w:ascii="Arial" w:cs="Arial" w:eastAsia="Arial" w:hAnsi="Arial"/>
                <w:sz w:val="14"/>
                <w:szCs w:val="14"/>
                <w:color w:val="auto"/>
              </w:rPr>
              <w:t>11,688</w:t>
            </w:r>
          </w:p>
        </w:tc>
      </w:tr>
      <w:tr>
        <w:trPr>
          <w:trHeight w:val="156"/>
        </w:trPr>
        <w:tc>
          <w:tcPr>
            <w:tcW w:w="6720" w:type="dxa"/>
            <w:vAlign w:val="bottom"/>
            <w:tcBorders>
              <w:bottom w:val="single" w:sz="8" w:color="auto"/>
            </w:tcBorders>
          </w:tcPr>
          <w:p>
            <w:pPr>
              <w:spacing w:after="0" w:line="155" w:lineRule="exact"/>
              <w:rPr>
                <w:sz w:val="20"/>
                <w:szCs w:val="20"/>
                <w:color w:val="auto"/>
              </w:rPr>
            </w:pPr>
            <w:r>
              <w:rPr>
                <w:rFonts w:ascii="Arial" w:cs="Arial" w:eastAsia="Arial" w:hAnsi="Arial"/>
                <w:sz w:val="14"/>
                <w:szCs w:val="14"/>
                <w:color w:val="auto"/>
              </w:rPr>
              <w:t>Total</w:t>
            </w:r>
          </w:p>
        </w:tc>
        <w:tc>
          <w:tcPr>
            <w:tcW w:w="1260" w:type="dxa"/>
            <w:vAlign w:val="bottom"/>
            <w:tcBorders>
              <w:bottom w:val="single" w:sz="8" w:color="auto"/>
            </w:tcBorders>
          </w:tcPr>
          <w:p>
            <w:pPr>
              <w:jc w:val="right"/>
              <w:ind w:right="52"/>
              <w:spacing w:after="0" w:line="155" w:lineRule="exact"/>
              <w:rPr>
                <w:sz w:val="20"/>
                <w:szCs w:val="20"/>
                <w:color w:val="auto"/>
              </w:rPr>
            </w:pPr>
            <w:r>
              <w:rPr>
                <w:rFonts w:ascii="Arial" w:cs="Arial" w:eastAsia="Arial" w:hAnsi="Arial"/>
                <w:sz w:val="14"/>
                <w:szCs w:val="14"/>
                <w:color w:val="auto"/>
              </w:rPr>
              <w:t>8,939</w:t>
            </w:r>
          </w:p>
        </w:tc>
        <w:tc>
          <w:tcPr>
            <w:tcW w:w="740" w:type="dxa"/>
            <w:vAlign w:val="bottom"/>
            <w:tcBorders>
              <w:bottom w:val="single" w:sz="8" w:color="auto"/>
            </w:tcBorders>
          </w:tcPr>
          <w:p>
            <w:pPr>
              <w:jc w:val="right"/>
              <w:ind w:right="110"/>
              <w:spacing w:after="0" w:line="155" w:lineRule="exact"/>
              <w:rPr>
                <w:sz w:val="20"/>
                <w:szCs w:val="20"/>
                <w:color w:val="auto"/>
              </w:rPr>
            </w:pPr>
            <w:r>
              <w:rPr>
                <w:rFonts w:ascii="Arial" w:cs="Arial" w:eastAsia="Arial" w:hAnsi="Arial"/>
                <w:sz w:val="14"/>
                <w:szCs w:val="14"/>
                <w:color w:val="auto"/>
              </w:rPr>
              <w:t>3,794</w:t>
            </w:r>
          </w:p>
        </w:tc>
        <w:tc>
          <w:tcPr>
            <w:tcW w:w="1260" w:type="dxa"/>
            <w:vAlign w:val="bottom"/>
            <w:tcBorders>
              <w:bottom w:val="single" w:sz="8" w:color="auto"/>
            </w:tcBorders>
          </w:tcPr>
          <w:p>
            <w:pPr>
              <w:jc w:val="right"/>
              <w:ind w:right="13"/>
              <w:spacing w:after="0" w:line="155" w:lineRule="exact"/>
              <w:rPr>
                <w:sz w:val="20"/>
                <w:szCs w:val="20"/>
                <w:color w:val="auto"/>
              </w:rPr>
            </w:pPr>
            <w:r>
              <w:rPr>
                <w:rFonts w:ascii="Arial" w:cs="Arial" w:eastAsia="Arial" w:hAnsi="Arial"/>
                <w:sz w:val="14"/>
                <w:szCs w:val="14"/>
                <w:color w:val="auto"/>
              </w:rPr>
              <w:t>5,145</w:t>
            </w:r>
          </w:p>
        </w:tc>
        <w:tc>
          <w:tcPr>
            <w:tcW w:w="26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ind w:right="32"/>
              <w:spacing w:after="0" w:line="155" w:lineRule="exact"/>
              <w:rPr>
                <w:sz w:val="20"/>
                <w:szCs w:val="20"/>
                <w:color w:val="auto"/>
              </w:rPr>
            </w:pPr>
            <w:r>
              <w:rPr>
                <w:rFonts w:ascii="Arial" w:cs="Arial" w:eastAsia="Arial" w:hAnsi="Arial"/>
                <w:sz w:val="14"/>
                <w:szCs w:val="14"/>
                <w:color w:val="auto"/>
              </w:rPr>
              <w:t>32,541</w:t>
            </w:r>
          </w:p>
        </w:tc>
      </w:tr>
    </w:tbl>
    <w:p>
      <w:pPr>
        <w:spacing w:after="0" w:line="194" w:lineRule="exact"/>
        <w:rPr>
          <w:sz w:val="20"/>
          <w:szCs w:val="20"/>
          <w:color w:val="auto"/>
        </w:rPr>
      </w:pPr>
    </w:p>
    <w:p>
      <w:pPr>
        <w:jc w:val="both"/>
        <w:ind w:right="100"/>
        <w:spacing w:after="0" w:line="250" w:lineRule="auto"/>
        <w:rPr>
          <w:sz w:val="20"/>
          <w:szCs w:val="20"/>
          <w:color w:val="auto"/>
        </w:rPr>
      </w:pPr>
      <w:r>
        <w:rPr>
          <w:rFonts w:ascii="Arial" w:cs="Arial" w:eastAsia="Arial" w:hAnsi="Arial"/>
          <w:sz w:val="14"/>
          <w:szCs w:val="14"/>
          <w:color w:val="auto"/>
        </w:rPr>
        <w:t>Finance lease liabilities are secured on the leased assets and include obligations under tolling agreements. The present value of the future minimum lease payments under these agreements was $1,778 million at December 31, 2014 (2013: $1,952 million). The agreements mature between 2021 and 2024 and the average interest rate is 8%. Finance lease liabilities of $1,601 million relating to LNG vessels were assumed in 2014 as a result of the acquisition of Repsol LNG businesses (see Note 29).</w:t>
      </w:r>
    </w:p>
    <w:p>
      <w:pPr>
        <w:spacing w:after="0" w:line="159" w:lineRule="exact"/>
        <w:rPr>
          <w:sz w:val="20"/>
          <w:szCs w:val="20"/>
          <w:color w:val="auto"/>
        </w:rPr>
      </w:pPr>
    </w:p>
    <w:p>
      <w:pPr>
        <w:spacing w:after="0"/>
        <w:rPr>
          <w:sz w:val="20"/>
          <w:szCs w:val="20"/>
          <w:color w:val="auto"/>
        </w:rPr>
      </w:pPr>
      <w:r>
        <w:rPr>
          <w:rFonts w:ascii="Arial" w:cs="Arial" w:eastAsia="Arial" w:hAnsi="Arial"/>
          <w:sz w:val="14"/>
          <w:szCs w:val="14"/>
          <w:color w:val="auto"/>
        </w:rPr>
        <w:t>The net present value of future minimum lease payments for operating leases at December 31, 2014 was $28,456 million (2013: $29,871 million), discounting the payments at</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2.0% (2013: 2.0%).</w:t>
      </w:r>
    </w:p>
    <w:p>
      <w:pPr>
        <w:spacing w:after="0" w:line="177" w:lineRule="exact"/>
        <w:rPr>
          <w:sz w:val="20"/>
          <w:szCs w:val="20"/>
          <w:color w:val="auto"/>
        </w:rPr>
      </w:pPr>
    </w:p>
    <w:p>
      <w:pPr>
        <w:spacing w:after="0"/>
        <w:rPr>
          <w:sz w:val="20"/>
          <w:szCs w:val="20"/>
          <w:color w:val="auto"/>
        </w:rPr>
      </w:pPr>
      <w:r>
        <w:rPr>
          <w:rFonts w:ascii="Arial" w:cs="Arial" w:eastAsia="Arial" w:hAnsi="Arial"/>
          <w:sz w:val="14"/>
          <w:szCs w:val="14"/>
          <w:color w:val="auto"/>
        </w:rPr>
        <w:t>Future minimum lease payments at December 31, 2014, are stated before deduction of expected rental income from non-cancellable sub-leases of $551 million (2013: $586</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million) in respect of finance leases and $172 million (2013: $236 million) in respect of operating leases.</w:t>
      </w:r>
    </w:p>
    <w:p>
      <w:pPr>
        <w:spacing w:after="0" w:line="190" w:lineRule="exact"/>
        <w:rPr>
          <w:sz w:val="20"/>
          <w:szCs w:val="20"/>
          <w:color w:val="auto"/>
        </w:rPr>
      </w:pPr>
    </w:p>
    <w:p>
      <w:pPr>
        <w:spacing w:after="0"/>
        <w:rPr>
          <w:sz w:val="20"/>
          <w:szCs w:val="20"/>
          <w:color w:val="auto"/>
        </w:rPr>
      </w:pPr>
      <w:r>
        <w:rPr>
          <w:rFonts w:ascii="Arial" w:cs="Arial" w:eastAsia="Arial" w:hAnsi="Arial"/>
          <w:sz w:val="14"/>
          <w:szCs w:val="14"/>
          <w:color w:val="auto"/>
        </w:rPr>
        <w:t>Operating lease expense in 2014 was $4,572 million (2013: $4,056 million; 2012: $3,631 million).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15 TRADE AND OTHER PAYABLES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6960" w:type="dxa"/>
            <w:vAlign w:val="bottom"/>
            <w:shd w:val="clear" w:color="auto" w:fill="333333"/>
          </w:tcPr>
          <w:p>
            <w:pPr>
              <w:spacing w:after="0"/>
              <w:rPr>
                <w:sz w:val="15"/>
                <w:szCs w:val="15"/>
                <w:color w:val="auto"/>
              </w:rPr>
            </w:pPr>
          </w:p>
        </w:tc>
        <w:tc>
          <w:tcPr>
            <w:tcW w:w="940" w:type="dxa"/>
            <w:vAlign w:val="bottom"/>
            <w:shd w:val="clear" w:color="auto" w:fill="333333"/>
          </w:tcPr>
          <w:p>
            <w:pPr>
              <w:spacing w:after="0"/>
              <w:rPr>
                <w:sz w:val="15"/>
                <w:szCs w:val="15"/>
                <w:color w:val="auto"/>
              </w:rPr>
            </w:pPr>
          </w:p>
        </w:tc>
        <w:tc>
          <w:tcPr>
            <w:tcW w:w="1080" w:type="dxa"/>
            <w:vAlign w:val="bottom"/>
            <w:shd w:val="clear" w:color="auto" w:fill="333333"/>
          </w:tcPr>
          <w:p>
            <w:pPr>
              <w:spacing w:after="0"/>
              <w:rPr>
                <w:sz w:val="15"/>
                <w:szCs w:val="15"/>
                <w:color w:val="auto"/>
              </w:rPr>
            </w:pPr>
          </w:p>
        </w:tc>
        <w:tc>
          <w:tcPr>
            <w:tcW w:w="380" w:type="dxa"/>
            <w:vAlign w:val="bottom"/>
            <w:shd w:val="clear" w:color="auto" w:fill="333333"/>
          </w:tcPr>
          <w:p>
            <w:pPr>
              <w:spacing w:after="0"/>
              <w:rPr>
                <w:sz w:val="15"/>
                <w:szCs w:val="15"/>
                <w:color w:val="auto"/>
              </w:rPr>
            </w:pPr>
          </w:p>
        </w:tc>
        <w:tc>
          <w:tcPr>
            <w:tcW w:w="980" w:type="dxa"/>
            <w:vAlign w:val="bottom"/>
            <w:shd w:val="clear" w:color="auto" w:fill="333333"/>
          </w:tcPr>
          <w:p>
            <w:pPr>
              <w:spacing w:after="0"/>
              <w:rPr>
                <w:sz w:val="15"/>
                <w:szCs w:val="15"/>
                <w:color w:val="auto"/>
              </w:rPr>
            </w:pPr>
          </w:p>
        </w:tc>
        <w:tc>
          <w:tcPr>
            <w:tcW w:w="1080" w:type="dxa"/>
            <w:vAlign w:val="bottom"/>
            <w:shd w:val="clear" w:color="auto" w:fill="333333"/>
          </w:tcPr>
          <w:p>
            <w:pPr>
              <w:jc w:val="right"/>
              <w:ind w:right="30"/>
              <w:spacing w:after="0"/>
              <w:rPr>
                <w:sz w:val="20"/>
                <w:szCs w:val="20"/>
                <w:color w:val="auto"/>
              </w:rPr>
            </w:pPr>
            <w:r>
              <w:rPr>
                <w:rFonts w:ascii="Arial" w:cs="Arial" w:eastAsia="Arial" w:hAnsi="Arial"/>
                <w:sz w:val="15"/>
                <w:szCs w:val="15"/>
                <w:color w:val="FFFFFF"/>
              </w:rPr>
              <w:t>$ MILLION</w:t>
            </w:r>
          </w:p>
        </w:tc>
      </w:tr>
      <w:tr>
        <w:trPr>
          <w:trHeight w:val="135"/>
        </w:trPr>
        <w:tc>
          <w:tcPr>
            <w:tcW w:w="6960" w:type="dxa"/>
            <w:vAlign w:val="bottom"/>
          </w:tcPr>
          <w:p>
            <w:pPr>
              <w:spacing w:after="0"/>
              <w:rPr>
                <w:sz w:val="11"/>
                <w:szCs w:val="11"/>
                <w:color w:val="auto"/>
              </w:rPr>
            </w:pPr>
          </w:p>
        </w:tc>
        <w:tc>
          <w:tcPr>
            <w:tcW w:w="940" w:type="dxa"/>
            <w:vAlign w:val="bottom"/>
            <w:tcBorders>
              <w:bottom w:val="single" w:sz="8" w:color="auto"/>
            </w:tcBorders>
            <w:shd w:val="clear" w:color="auto" w:fill="D8D8D8"/>
          </w:tcPr>
          <w:p>
            <w:pPr>
              <w:spacing w:after="0"/>
              <w:rPr>
                <w:sz w:val="11"/>
                <w:szCs w:val="11"/>
                <w:color w:val="auto"/>
              </w:rPr>
            </w:pPr>
          </w:p>
        </w:tc>
        <w:tc>
          <w:tcPr>
            <w:tcW w:w="1080" w:type="dxa"/>
            <w:vAlign w:val="bottom"/>
            <w:tcBorders>
              <w:bottom w:val="single" w:sz="8" w:color="auto"/>
            </w:tcBorders>
            <w:shd w:val="clear" w:color="auto" w:fill="D8D8D8"/>
          </w:tcPr>
          <w:p>
            <w:pPr>
              <w:jc w:val="right"/>
              <w:ind w:right="130"/>
              <w:spacing w:after="0" w:line="135" w:lineRule="exact"/>
              <w:rPr>
                <w:sz w:val="20"/>
                <w:szCs w:val="20"/>
                <w:color w:val="auto"/>
              </w:rPr>
            </w:pPr>
            <w:r>
              <w:rPr>
                <w:rFonts w:ascii="Arial" w:cs="Arial" w:eastAsia="Arial" w:hAnsi="Arial"/>
                <w:sz w:val="13"/>
                <w:szCs w:val="13"/>
                <w:color w:val="auto"/>
              </w:rPr>
              <w:t>Dec 31, 2014</w:t>
            </w:r>
          </w:p>
        </w:tc>
        <w:tc>
          <w:tcPr>
            <w:tcW w:w="380" w:type="dxa"/>
            <w:vAlign w:val="bottom"/>
          </w:tcPr>
          <w:p>
            <w:pPr>
              <w:spacing w:after="0"/>
              <w:rPr>
                <w:sz w:val="11"/>
                <w:szCs w:val="11"/>
                <w:color w:val="auto"/>
              </w:rPr>
            </w:pPr>
          </w:p>
        </w:tc>
        <w:tc>
          <w:tcPr>
            <w:tcW w:w="980" w:type="dxa"/>
            <w:vAlign w:val="bottom"/>
            <w:tcBorders>
              <w:bottom w:val="single" w:sz="8" w:color="auto"/>
            </w:tcBorders>
          </w:tcPr>
          <w:p>
            <w:pPr>
              <w:spacing w:after="0"/>
              <w:rPr>
                <w:sz w:val="11"/>
                <w:szCs w:val="11"/>
                <w:color w:val="auto"/>
              </w:rPr>
            </w:pPr>
          </w:p>
        </w:tc>
        <w:tc>
          <w:tcPr>
            <w:tcW w:w="1080" w:type="dxa"/>
            <w:vAlign w:val="bottom"/>
            <w:tcBorders>
              <w:bottom w:val="single" w:sz="8" w:color="auto"/>
            </w:tcBorders>
          </w:tcPr>
          <w:p>
            <w:pPr>
              <w:jc w:val="right"/>
              <w:ind w:right="150"/>
              <w:spacing w:after="0" w:line="135" w:lineRule="exact"/>
              <w:rPr>
                <w:sz w:val="20"/>
                <w:szCs w:val="20"/>
                <w:color w:val="auto"/>
              </w:rPr>
            </w:pPr>
            <w:r>
              <w:rPr>
                <w:rFonts w:ascii="Arial" w:cs="Arial" w:eastAsia="Arial" w:hAnsi="Arial"/>
                <w:sz w:val="13"/>
                <w:szCs w:val="13"/>
                <w:color w:val="auto"/>
              </w:rPr>
              <w:t>Dec 31, 2013</w:t>
            </w:r>
          </w:p>
        </w:tc>
      </w:tr>
      <w:tr>
        <w:trPr>
          <w:trHeight w:val="129"/>
        </w:trPr>
        <w:tc>
          <w:tcPr>
            <w:tcW w:w="696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shd w:val="clear" w:color="auto" w:fill="D8D8D8"/>
          </w:tcPr>
          <w:p>
            <w:pPr>
              <w:jc w:val="right"/>
              <w:ind w:right="9"/>
              <w:spacing w:after="0" w:line="129" w:lineRule="exact"/>
              <w:rPr>
                <w:sz w:val="20"/>
                <w:szCs w:val="20"/>
                <w:color w:val="auto"/>
              </w:rPr>
            </w:pPr>
            <w:r>
              <w:rPr>
                <w:rFonts w:ascii="Arial" w:cs="Arial" w:eastAsia="Arial" w:hAnsi="Arial"/>
                <w:sz w:val="13"/>
                <w:szCs w:val="13"/>
                <w:color w:val="auto"/>
              </w:rPr>
              <w:t>Current</w:t>
            </w:r>
          </w:p>
        </w:tc>
        <w:tc>
          <w:tcPr>
            <w:tcW w:w="1080" w:type="dxa"/>
            <w:vAlign w:val="bottom"/>
            <w:tcBorders>
              <w:bottom w:val="single" w:sz="8" w:color="auto"/>
            </w:tcBorders>
            <w:shd w:val="clear" w:color="auto" w:fill="D8D8D8"/>
          </w:tcPr>
          <w:p>
            <w:pPr>
              <w:jc w:val="right"/>
              <w:ind w:right="130"/>
              <w:spacing w:after="0" w:line="129" w:lineRule="exact"/>
              <w:rPr>
                <w:sz w:val="20"/>
                <w:szCs w:val="20"/>
                <w:color w:val="auto"/>
              </w:rPr>
            </w:pPr>
            <w:r>
              <w:rPr>
                <w:rFonts w:ascii="Arial" w:cs="Arial" w:eastAsia="Arial" w:hAnsi="Arial"/>
                <w:sz w:val="13"/>
                <w:szCs w:val="13"/>
                <w:color w:val="auto"/>
              </w:rPr>
              <w:t>Non-current</w:t>
            </w:r>
          </w:p>
        </w:tc>
        <w:tc>
          <w:tcPr>
            <w:tcW w:w="380" w:type="dxa"/>
            <w:vAlign w:val="bottom"/>
            <w:tcBorders>
              <w:bottom w:val="single" w:sz="8" w:color="auto"/>
            </w:tcBorders>
          </w:tcPr>
          <w:p>
            <w:pPr>
              <w:spacing w:after="0"/>
              <w:rPr>
                <w:sz w:val="11"/>
                <w:szCs w:val="11"/>
                <w:color w:val="auto"/>
              </w:rPr>
            </w:pPr>
          </w:p>
        </w:tc>
        <w:tc>
          <w:tcPr>
            <w:tcW w:w="980" w:type="dxa"/>
            <w:vAlign w:val="bottom"/>
            <w:tcBorders>
              <w:bottom w:val="single" w:sz="8" w:color="auto"/>
            </w:tcBorders>
          </w:tcPr>
          <w:p>
            <w:pPr>
              <w:jc w:val="right"/>
              <w:ind w:right="57"/>
              <w:spacing w:after="0" w:line="129" w:lineRule="exact"/>
              <w:rPr>
                <w:sz w:val="20"/>
                <w:szCs w:val="20"/>
                <w:color w:val="auto"/>
              </w:rPr>
            </w:pPr>
            <w:r>
              <w:rPr>
                <w:rFonts w:ascii="Arial" w:cs="Arial" w:eastAsia="Arial" w:hAnsi="Arial"/>
                <w:sz w:val="13"/>
                <w:szCs w:val="13"/>
                <w:color w:val="auto"/>
              </w:rPr>
              <w:t>Current</w:t>
            </w:r>
          </w:p>
        </w:tc>
        <w:tc>
          <w:tcPr>
            <w:tcW w:w="1080" w:type="dxa"/>
            <w:vAlign w:val="bottom"/>
            <w:tcBorders>
              <w:bottom w:val="single" w:sz="8" w:color="auto"/>
            </w:tcBorders>
          </w:tcPr>
          <w:p>
            <w:pPr>
              <w:jc w:val="right"/>
              <w:ind w:right="150"/>
              <w:spacing w:after="0" w:line="129" w:lineRule="exact"/>
              <w:rPr>
                <w:sz w:val="20"/>
                <w:szCs w:val="20"/>
                <w:color w:val="auto"/>
              </w:rPr>
            </w:pPr>
            <w:r>
              <w:rPr>
                <w:rFonts w:ascii="Arial" w:cs="Arial" w:eastAsia="Arial" w:hAnsi="Arial"/>
                <w:sz w:val="13"/>
                <w:szCs w:val="13"/>
                <w:color w:val="auto"/>
              </w:rPr>
              <w:t>Non-current</w:t>
            </w:r>
          </w:p>
        </w:tc>
      </w:tr>
      <w:tr>
        <w:trPr>
          <w:trHeight w:val="156"/>
        </w:trPr>
        <w:tc>
          <w:tcPr>
            <w:tcW w:w="6960" w:type="dxa"/>
            <w:vAlign w:val="bottom"/>
          </w:tcPr>
          <w:p>
            <w:pPr>
              <w:spacing w:after="0" w:line="155" w:lineRule="exact"/>
              <w:rPr>
                <w:sz w:val="20"/>
                <w:szCs w:val="20"/>
                <w:color w:val="auto"/>
              </w:rPr>
            </w:pPr>
            <w:r>
              <w:rPr>
                <w:rFonts w:ascii="Arial" w:cs="Arial" w:eastAsia="Arial" w:hAnsi="Arial"/>
                <w:sz w:val="14"/>
                <w:szCs w:val="14"/>
                <w:color w:val="auto"/>
              </w:rPr>
              <w:t>Trade payables</w:t>
            </w:r>
          </w:p>
        </w:tc>
        <w:tc>
          <w:tcPr>
            <w:tcW w:w="940" w:type="dxa"/>
            <w:vAlign w:val="bottom"/>
            <w:shd w:val="clear" w:color="auto" w:fill="D8D8D8"/>
          </w:tcPr>
          <w:p>
            <w:pPr>
              <w:jc w:val="right"/>
              <w:ind w:right="9"/>
              <w:spacing w:after="0" w:line="155" w:lineRule="exact"/>
              <w:rPr>
                <w:sz w:val="20"/>
                <w:szCs w:val="20"/>
                <w:color w:val="auto"/>
              </w:rPr>
            </w:pPr>
            <w:r>
              <w:rPr>
                <w:rFonts w:ascii="Arial" w:cs="Arial" w:eastAsia="Arial" w:hAnsi="Arial"/>
                <w:sz w:val="14"/>
                <w:szCs w:val="14"/>
                <w:color w:val="auto"/>
              </w:rPr>
              <w:t>32,131</w:t>
            </w:r>
          </w:p>
        </w:tc>
        <w:tc>
          <w:tcPr>
            <w:tcW w:w="1080" w:type="dxa"/>
            <w:vAlign w:val="bottom"/>
            <w:shd w:val="clear" w:color="auto" w:fill="D8D8D8"/>
          </w:tcPr>
          <w:p>
            <w:pPr>
              <w:jc w:val="right"/>
              <w:ind w:right="130"/>
              <w:spacing w:after="0" w:line="155" w:lineRule="exact"/>
              <w:rPr>
                <w:sz w:val="20"/>
                <w:szCs w:val="20"/>
                <w:color w:val="auto"/>
              </w:rPr>
            </w:pPr>
            <w:r>
              <w:rPr>
                <w:rFonts w:ascii="Arial" w:cs="Arial" w:eastAsia="Arial" w:hAnsi="Arial"/>
                <w:sz w:val="14"/>
                <w:szCs w:val="14"/>
                <w:color w:val="auto"/>
              </w:rPr>
              <w:t>–</w:t>
            </w:r>
          </w:p>
        </w:tc>
        <w:tc>
          <w:tcPr>
            <w:tcW w:w="1360" w:type="dxa"/>
            <w:vAlign w:val="bottom"/>
            <w:gridSpan w:val="2"/>
          </w:tcPr>
          <w:p>
            <w:pPr>
              <w:jc w:val="right"/>
              <w:ind w:right="57"/>
              <w:spacing w:after="0" w:line="155" w:lineRule="exact"/>
              <w:rPr>
                <w:sz w:val="20"/>
                <w:szCs w:val="20"/>
                <w:color w:val="auto"/>
              </w:rPr>
            </w:pPr>
            <w:r>
              <w:rPr>
                <w:rFonts w:ascii="Arial" w:cs="Arial" w:eastAsia="Arial" w:hAnsi="Arial"/>
                <w:sz w:val="14"/>
                <w:szCs w:val="14"/>
                <w:color w:val="auto"/>
              </w:rPr>
              <w:t>41,927</w:t>
            </w:r>
          </w:p>
        </w:tc>
        <w:tc>
          <w:tcPr>
            <w:tcW w:w="1080" w:type="dxa"/>
            <w:vAlign w:val="bottom"/>
          </w:tcPr>
          <w:p>
            <w:pPr>
              <w:jc w:val="right"/>
              <w:ind w:right="150"/>
              <w:spacing w:after="0" w:line="155" w:lineRule="exact"/>
              <w:rPr>
                <w:sz w:val="20"/>
                <w:szCs w:val="20"/>
                <w:color w:val="auto"/>
              </w:rPr>
            </w:pPr>
            <w:r>
              <w:rPr>
                <w:rFonts w:ascii="Arial" w:cs="Arial" w:eastAsia="Arial" w:hAnsi="Arial"/>
                <w:sz w:val="14"/>
                <w:szCs w:val="14"/>
                <w:color w:val="auto"/>
              </w:rPr>
              <w:t>–</w:t>
            </w:r>
          </w:p>
        </w:tc>
      </w:tr>
      <w:tr>
        <w:trPr>
          <w:trHeight w:val="162"/>
        </w:trPr>
        <w:tc>
          <w:tcPr>
            <w:tcW w:w="6960" w:type="dxa"/>
            <w:vAlign w:val="bottom"/>
          </w:tcPr>
          <w:p>
            <w:pPr>
              <w:spacing w:after="0"/>
              <w:rPr>
                <w:sz w:val="20"/>
                <w:szCs w:val="20"/>
                <w:color w:val="auto"/>
              </w:rPr>
            </w:pPr>
            <w:r>
              <w:rPr>
                <w:rFonts w:ascii="Arial" w:cs="Arial" w:eastAsia="Arial" w:hAnsi="Arial"/>
                <w:sz w:val="14"/>
                <w:szCs w:val="14"/>
                <w:color w:val="auto"/>
              </w:rPr>
              <w:t>Other payables</w:t>
            </w:r>
          </w:p>
        </w:tc>
        <w:tc>
          <w:tcPr>
            <w:tcW w:w="940" w:type="dxa"/>
            <w:vAlign w:val="bottom"/>
            <w:shd w:val="clear" w:color="auto" w:fill="D8D8D8"/>
          </w:tcPr>
          <w:p>
            <w:pPr>
              <w:jc w:val="right"/>
              <w:ind w:right="9"/>
              <w:spacing w:after="0"/>
              <w:rPr>
                <w:sz w:val="20"/>
                <w:szCs w:val="20"/>
                <w:color w:val="auto"/>
              </w:rPr>
            </w:pPr>
            <w:r>
              <w:rPr>
                <w:rFonts w:ascii="Arial" w:cs="Arial" w:eastAsia="Arial" w:hAnsi="Arial"/>
                <w:sz w:val="14"/>
                <w:szCs w:val="14"/>
                <w:color w:val="auto"/>
              </w:rPr>
              <w:t>5,832</w:t>
            </w:r>
          </w:p>
        </w:tc>
        <w:tc>
          <w:tcPr>
            <w:tcW w:w="1080" w:type="dxa"/>
            <w:vAlign w:val="bottom"/>
            <w:shd w:val="clear" w:color="auto" w:fill="D8D8D8"/>
          </w:tcPr>
          <w:p>
            <w:pPr>
              <w:jc w:val="right"/>
              <w:ind w:right="130"/>
              <w:spacing w:after="0"/>
              <w:rPr>
                <w:sz w:val="20"/>
                <w:szCs w:val="20"/>
                <w:color w:val="auto"/>
              </w:rPr>
            </w:pPr>
            <w:r>
              <w:rPr>
                <w:rFonts w:ascii="Arial" w:cs="Arial" w:eastAsia="Arial" w:hAnsi="Arial"/>
                <w:sz w:val="14"/>
                <w:szCs w:val="14"/>
                <w:color w:val="auto"/>
              </w:rPr>
              <w:t>2,046</w:t>
            </w:r>
          </w:p>
        </w:tc>
        <w:tc>
          <w:tcPr>
            <w:tcW w:w="1360" w:type="dxa"/>
            <w:vAlign w:val="bottom"/>
            <w:gridSpan w:val="2"/>
          </w:tcPr>
          <w:p>
            <w:pPr>
              <w:jc w:val="right"/>
              <w:ind w:right="57"/>
              <w:spacing w:after="0"/>
              <w:rPr>
                <w:sz w:val="20"/>
                <w:szCs w:val="20"/>
                <w:color w:val="auto"/>
              </w:rPr>
            </w:pPr>
            <w:r>
              <w:rPr>
                <w:rFonts w:ascii="Arial" w:cs="Arial" w:eastAsia="Arial" w:hAnsi="Arial"/>
                <w:sz w:val="14"/>
                <w:szCs w:val="14"/>
                <w:color w:val="auto"/>
              </w:rPr>
              <w:t>5,997</w:t>
            </w:r>
          </w:p>
        </w:tc>
        <w:tc>
          <w:tcPr>
            <w:tcW w:w="1080" w:type="dxa"/>
            <w:vAlign w:val="bottom"/>
          </w:tcPr>
          <w:p>
            <w:pPr>
              <w:jc w:val="right"/>
              <w:ind w:right="150"/>
              <w:spacing w:after="0"/>
              <w:rPr>
                <w:sz w:val="20"/>
                <w:szCs w:val="20"/>
                <w:color w:val="auto"/>
              </w:rPr>
            </w:pPr>
            <w:r>
              <w:rPr>
                <w:rFonts w:ascii="Arial" w:cs="Arial" w:eastAsia="Arial" w:hAnsi="Arial"/>
                <w:sz w:val="14"/>
                <w:szCs w:val="14"/>
                <w:color w:val="auto"/>
              </w:rPr>
              <w:t>2,303</w:t>
            </w:r>
          </w:p>
        </w:tc>
      </w:tr>
      <w:tr>
        <w:trPr>
          <w:trHeight w:val="162"/>
        </w:trPr>
        <w:tc>
          <w:tcPr>
            <w:tcW w:w="6960" w:type="dxa"/>
            <w:vAlign w:val="bottom"/>
          </w:tcPr>
          <w:p>
            <w:pPr>
              <w:spacing w:after="0"/>
              <w:rPr>
                <w:sz w:val="20"/>
                <w:szCs w:val="20"/>
                <w:color w:val="auto"/>
              </w:rPr>
            </w:pPr>
            <w:r>
              <w:rPr>
                <w:rFonts w:ascii="Arial" w:cs="Arial" w:eastAsia="Arial" w:hAnsi="Arial"/>
                <w:sz w:val="14"/>
                <w:szCs w:val="14"/>
                <w:color w:val="auto"/>
              </w:rPr>
              <w:t>Amounts due to joint ventures and associates</w:t>
            </w:r>
          </w:p>
        </w:tc>
        <w:tc>
          <w:tcPr>
            <w:tcW w:w="940" w:type="dxa"/>
            <w:vAlign w:val="bottom"/>
            <w:shd w:val="clear" w:color="auto" w:fill="D8D8D8"/>
          </w:tcPr>
          <w:p>
            <w:pPr>
              <w:jc w:val="right"/>
              <w:ind w:right="9"/>
              <w:spacing w:after="0"/>
              <w:rPr>
                <w:sz w:val="20"/>
                <w:szCs w:val="20"/>
                <w:color w:val="auto"/>
              </w:rPr>
            </w:pPr>
            <w:r>
              <w:rPr>
                <w:rFonts w:ascii="Arial" w:cs="Arial" w:eastAsia="Arial" w:hAnsi="Arial"/>
                <w:sz w:val="14"/>
                <w:szCs w:val="14"/>
                <w:color w:val="auto"/>
              </w:rPr>
              <w:t>2,702</w:t>
            </w:r>
          </w:p>
        </w:tc>
        <w:tc>
          <w:tcPr>
            <w:tcW w:w="1080" w:type="dxa"/>
            <w:vAlign w:val="bottom"/>
            <w:shd w:val="clear" w:color="auto" w:fill="D8D8D8"/>
          </w:tcPr>
          <w:p>
            <w:pPr>
              <w:jc w:val="right"/>
              <w:ind w:right="130"/>
              <w:spacing w:after="0"/>
              <w:rPr>
                <w:sz w:val="20"/>
                <w:szCs w:val="20"/>
                <w:color w:val="auto"/>
              </w:rPr>
            </w:pPr>
            <w:r>
              <w:rPr>
                <w:rFonts w:ascii="Arial" w:cs="Arial" w:eastAsia="Arial" w:hAnsi="Arial"/>
                <w:sz w:val="14"/>
                <w:szCs w:val="14"/>
                <w:color w:val="auto"/>
              </w:rPr>
              <w:t>21</w:t>
            </w:r>
          </w:p>
        </w:tc>
        <w:tc>
          <w:tcPr>
            <w:tcW w:w="1360" w:type="dxa"/>
            <w:vAlign w:val="bottom"/>
            <w:gridSpan w:val="2"/>
          </w:tcPr>
          <w:p>
            <w:pPr>
              <w:jc w:val="right"/>
              <w:ind w:right="57"/>
              <w:spacing w:after="0"/>
              <w:rPr>
                <w:sz w:val="20"/>
                <w:szCs w:val="20"/>
                <w:color w:val="auto"/>
              </w:rPr>
            </w:pPr>
            <w:r>
              <w:rPr>
                <w:rFonts w:ascii="Arial" w:cs="Arial" w:eastAsia="Arial" w:hAnsi="Arial"/>
                <w:sz w:val="14"/>
                <w:szCs w:val="14"/>
                <w:color w:val="auto"/>
              </w:rPr>
              <w:t>3,894</w:t>
            </w:r>
          </w:p>
        </w:tc>
        <w:tc>
          <w:tcPr>
            <w:tcW w:w="1080" w:type="dxa"/>
            <w:vAlign w:val="bottom"/>
          </w:tcPr>
          <w:p>
            <w:pPr>
              <w:jc w:val="right"/>
              <w:ind w:right="150"/>
              <w:spacing w:after="0"/>
              <w:rPr>
                <w:sz w:val="20"/>
                <w:szCs w:val="20"/>
                <w:color w:val="auto"/>
              </w:rPr>
            </w:pPr>
            <w:r>
              <w:rPr>
                <w:rFonts w:ascii="Arial" w:cs="Arial" w:eastAsia="Arial" w:hAnsi="Arial"/>
                <w:sz w:val="14"/>
                <w:szCs w:val="14"/>
                <w:color w:val="auto"/>
              </w:rPr>
              <w:t>22</w:t>
            </w:r>
          </w:p>
        </w:tc>
      </w:tr>
      <w:tr>
        <w:trPr>
          <w:trHeight w:val="162"/>
        </w:trPr>
        <w:tc>
          <w:tcPr>
            <w:tcW w:w="6960" w:type="dxa"/>
            <w:vAlign w:val="bottom"/>
          </w:tcPr>
          <w:p>
            <w:pPr>
              <w:spacing w:after="0"/>
              <w:rPr>
                <w:sz w:val="20"/>
                <w:szCs w:val="20"/>
                <w:color w:val="auto"/>
              </w:rPr>
            </w:pPr>
            <w:r>
              <w:rPr>
                <w:rFonts w:ascii="Arial" w:cs="Arial" w:eastAsia="Arial" w:hAnsi="Arial"/>
                <w:sz w:val="14"/>
                <w:szCs w:val="14"/>
                <w:color w:val="auto"/>
              </w:rPr>
              <w:t>Derivative contracts (see Note 19)</w:t>
            </w:r>
          </w:p>
        </w:tc>
        <w:tc>
          <w:tcPr>
            <w:tcW w:w="940" w:type="dxa"/>
            <w:vAlign w:val="bottom"/>
            <w:shd w:val="clear" w:color="auto" w:fill="D8D8D8"/>
          </w:tcPr>
          <w:p>
            <w:pPr>
              <w:jc w:val="right"/>
              <w:ind w:right="9"/>
              <w:spacing w:after="0"/>
              <w:rPr>
                <w:sz w:val="20"/>
                <w:szCs w:val="20"/>
                <w:color w:val="auto"/>
              </w:rPr>
            </w:pPr>
            <w:r>
              <w:rPr>
                <w:rFonts w:ascii="Arial" w:cs="Arial" w:eastAsia="Arial" w:hAnsi="Arial"/>
                <w:sz w:val="14"/>
                <w:szCs w:val="14"/>
                <w:color w:val="auto"/>
              </w:rPr>
              <w:t>11,554</w:t>
            </w:r>
          </w:p>
        </w:tc>
        <w:tc>
          <w:tcPr>
            <w:tcW w:w="1080" w:type="dxa"/>
            <w:vAlign w:val="bottom"/>
            <w:shd w:val="clear" w:color="auto" w:fill="D8D8D8"/>
          </w:tcPr>
          <w:p>
            <w:pPr>
              <w:jc w:val="right"/>
              <w:ind w:right="130"/>
              <w:spacing w:after="0"/>
              <w:rPr>
                <w:sz w:val="20"/>
                <w:szCs w:val="20"/>
                <w:color w:val="auto"/>
              </w:rPr>
            </w:pPr>
            <w:r>
              <w:rPr>
                <w:rFonts w:ascii="Arial" w:cs="Arial" w:eastAsia="Arial" w:hAnsi="Arial"/>
                <w:sz w:val="14"/>
                <w:szCs w:val="14"/>
                <w:color w:val="auto"/>
              </w:rPr>
              <w:t>520</w:t>
            </w:r>
          </w:p>
        </w:tc>
        <w:tc>
          <w:tcPr>
            <w:tcW w:w="1360" w:type="dxa"/>
            <w:vAlign w:val="bottom"/>
            <w:gridSpan w:val="2"/>
          </w:tcPr>
          <w:p>
            <w:pPr>
              <w:jc w:val="right"/>
              <w:ind w:right="57"/>
              <w:spacing w:after="0"/>
              <w:rPr>
                <w:sz w:val="20"/>
                <w:szCs w:val="20"/>
                <w:color w:val="auto"/>
              </w:rPr>
            </w:pPr>
            <w:r>
              <w:rPr>
                <w:rFonts w:ascii="Arial" w:cs="Arial" w:eastAsia="Arial" w:hAnsi="Arial"/>
                <w:sz w:val="14"/>
                <w:szCs w:val="14"/>
                <w:color w:val="auto"/>
              </w:rPr>
              <w:t>6,474</w:t>
            </w:r>
          </w:p>
        </w:tc>
        <w:tc>
          <w:tcPr>
            <w:tcW w:w="1080" w:type="dxa"/>
            <w:vAlign w:val="bottom"/>
          </w:tcPr>
          <w:p>
            <w:pPr>
              <w:jc w:val="right"/>
              <w:ind w:right="150"/>
              <w:spacing w:after="0"/>
              <w:rPr>
                <w:sz w:val="20"/>
                <w:szCs w:val="20"/>
                <w:color w:val="auto"/>
              </w:rPr>
            </w:pPr>
            <w:r>
              <w:rPr>
                <w:rFonts w:ascii="Arial" w:cs="Arial" w:eastAsia="Arial" w:hAnsi="Arial"/>
                <w:sz w:val="14"/>
                <w:szCs w:val="14"/>
                <w:color w:val="auto"/>
              </w:rPr>
              <w:t>587</w:t>
            </w:r>
          </w:p>
        </w:tc>
      </w:tr>
      <w:tr>
        <w:trPr>
          <w:trHeight w:val="162"/>
        </w:trPr>
        <w:tc>
          <w:tcPr>
            <w:tcW w:w="696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Accruals and deferred income</w:t>
            </w:r>
          </w:p>
        </w:tc>
        <w:tc>
          <w:tcPr>
            <w:tcW w:w="940" w:type="dxa"/>
            <w:vAlign w:val="bottom"/>
            <w:tcBorders>
              <w:bottom w:val="single" w:sz="8" w:color="auto"/>
            </w:tcBorders>
            <w:shd w:val="clear" w:color="auto" w:fill="D8D8D8"/>
          </w:tcPr>
          <w:p>
            <w:pPr>
              <w:jc w:val="right"/>
              <w:ind w:right="9"/>
              <w:spacing w:after="0"/>
              <w:rPr>
                <w:sz w:val="20"/>
                <w:szCs w:val="20"/>
                <w:color w:val="auto"/>
              </w:rPr>
            </w:pPr>
            <w:r>
              <w:rPr>
                <w:rFonts w:ascii="Arial" w:cs="Arial" w:eastAsia="Arial" w:hAnsi="Arial"/>
                <w:sz w:val="14"/>
                <w:szCs w:val="14"/>
                <w:color w:val="auto"/>
              </w:rPr>
              <w:t>12,645</w:t>
            </w:r>
          </w:p>
        </w:tc>
        <w:tc>
          <w:tcPr>
            <w:tcW w:w="1080" w:type="dxa"/>
            <w:vAlign w:val="bottom"/>
            <w:tcBorders>
              <w:bottom w:val="single" w:sz="8" w:color="auto"/>
            </w:tcBorders>
            <w:shd w:val="clear" w:color="auto" w:fill="D8D8D8"/>
          </w:tcPr>
          <w:p>
            <w:pPr>
              <w:jc w:val="right"/>
              <w:ind w:right="130"/>
              <w:spacing w:after="0"/>
              <w:rPr>
                <w:sz w:val="20"/>
                <w:szCs w:val="20"/>
                <w:color w:val="auto"/>
              </w:rPr>
            </w:pPr>
            <w:r>
              <w:rPr>
                <w:rFonts w:ascii="Arial" w:cs="Arial" w:eastAsia="Arial" w:hAnsi="Arial"/>
                <w:sz w:val="14"/>
                <w:szCs w:val="14"/>
                <w:color w:val="auto"/>
              </w:rPr>
              <w:t>995</w:t>
            </w:r>
          </w:p>
        </w:tc>
        <w:tc>
          <w:tcPr>
            <w:tcW w:w="1360" w:type="dxa"/>
            <w:vAlign w:val="bottom"/>
            <w:tcBorders>
              <w:bottom w:val="single" w:sz="8" w:color="auto"/>
            </w:tcBorders>
            <w:gridSpan w:val="2"/>
          </w:tcPr>
          <w:p>
            <w:pPr>
              <w:jc w:val="right"/>
              <w:ind w:right="57"/>
              <w:spacing w:after="0"/>
              <w:rPr>
                <w:sz w:val="20"/>
                <w:szCs w:val="20"/>
                <w:color w:val="auto"/>
              </w:rPr>
            </w:pPr>
            <w:r>
              <w:rPr>
                <w:rFonts w:ascii="Arial" w:cs="Arial" w:eastAsia="Arial" w:hAnsi="Arial"/>
                <w:sz w:val="14"/>
                <w:szCs w:val="14"/>
                <w:color w:val="auto"/>
              </w:rPr>
              <w:t>11,820</w:t>
            </w:r>
          </w:p>
        </w:tc>
        <w:tc>
          <w:tcPr>
            <w:tcW w:w="1080" w:type="dxa"/>
            <w:vAlign w:val="bottom"/>
            <w:tcBorders>
              <w:bottom w:val="single" w:sz="8" w:color="auto"/>
            </w:tcBorders>
          </w:tcPr>
          <w:p>
            <w:pPr>
              <w:jc w:val="right"/>
              <w:ind w:right="150"/>
              <w:spacing w:after="0"/>
              <w:rPr>
                <w:sz w:val="20"/>
                <w:szCs w:val="20"/>
                <w:color w:val="auto"/>
              </w:rPr>
            </w:pPr>
            <w:r>
              <w:rPr>
                <w:rFonts w:ascii="Arial" w:cs="Arial" w:eastAsia="Arial" w:hAnsi="Arial"/>
                <w:sz w:val="14"/>
                <w:szCs w:val="14"/>
                <w:color w:val="auto"/>
              </w:rPr>
              <w:t>1,153</w:t>
            </w:r>
          </w:p>
        </w:tc>
      </w:tr>
      <w:tr>
        <w:trPr>
          <w:trHeight w:val="156"/>
        </w:trPr>
        <w:tc>
          <w:tcPr>
            <w:tcW w:w="6960" w:type="dxa"/>
            <w:vAlign w:val="bottom"/>
            <w:tcBorders>
              <w:bottom w:val="single" w:sz="8" w:color="auto"/>
            </w:tcBorders>
          </w:tcPr>
          <w:p>
            <w:pPr>
              <w:spacing w:after="0" w:line="155" w:lineRule="exact"/>
              <w:rPr>
                <w:sz w:val="20"/>
                <w:szCs w:val="20"/>
                <w:color w:val="auto"/>
              </w:rPr>
            </w:pPr>
            <w:r>
              <w:rPr>
                <w:rFonts w:ascii="Arial" w:cs="Arial" w:eastAsia="Arial" w:hAnsi="Arial"/>
                <w:sz w:val="14"/>
                <w:szCs w:val="14"/>
                <w:color w:val="auto"/>
              </w:rPr>
              <w:t>Total</w:t>
            </w:r>
          </w:p>
        </w:tc>
        <w:tc>
          <w:tcPr>
            <w:tcW w:w="940" w:type="dxa"/>
            <w:vAlign w:val="bottom"/>
            <w:tcBorders>
              <w:bottom w:val="single" w:sz="8" w:color="auto"/>
            </w:tcBorders>
            <w:shd w:val="clear" w:color="auto" w:fill="D8D8D8"/>
          </w:tcPr>
          <w:p>
            <w:pPr>
              <w:jc w:val="right"/>
              <w:ind w:right="9"/>
              <w:spacing w:after="0" w:line="155" w:lineRule="exact"/>
              <w:rPr>
                <w:sz w:val="20"/>
                <w:szCs w:val="20"/>
                <w:color w:val="auto"/>
              </w:rPr>
            </w:pPr>
            <w:r>
              <w:rPr>
                <w:rFonts w:ascii="Arial" w:cs="Arial" w:eastAsia="Arial" w:hAnsi="Arial"/>
                <w:sz w:val="14"/>
                <w:szCs w:val="14"/>
                <w:color w:val="auto"/>
              </w:rPr>
              <w:t>64,864</w:t>
            </w:r>
          </w:p>
        </w:tc>
        <w:tc>
          <w:tcPr>
            <w:tcW w:w="1080" w:type="dxa"/>
            <w:vAlign w:val="bottom"/>
            <w:tcBorders>
              <w:bottom w:val="single" w:sz="8" w:color="auto"/>
            </w:tcBorders>
            <w:shd w:val="clear" w:color="auto" w:fill="D8D8D8"/>
          </w:tcPr>
          <w:p>
            <w:pPr>
              <w:jc w:val="right"/>
              <w:ind w:right="130"/>
              <w:spacing w:after="0" w:line="155" w:lineRule="exact"/>
              <w:rPr>
                <w:sz w:val="20"/>
                <w:szCs w:val="20"/>
                <w:color w:val="auto"/>
              </w:rPr>
            </w:pPr>
            <w:r>
              <w:rPr>
                <w:rFonts w:ascii="Arial" w:cs="Arial" w:eastAsia="Arial" w:hAnsi="Arial"/>
                <w:sz w:val="14"/>
                <w:szCs w:val="14"/>
                <w:color w:val="auto"/>
              </w:rPr>
              <w:t>3,582</w:t>
            </w:r>
          </w:p>
        </w:tc>
        <w:tc>
          <w:tcPr>
            <w:tcW w:w="1360" w:type="dxa"/>
            <w:vAlign w:val="bottom"/>
            <w:tcBorders>
              <w:bottom w:val="single" w:sz="8" w:color="auto"/>
            </w:tcBorders>
            <w:gridSpan w:val="2"/>
          </w:tcPr>
          <w:p>
            <w:pPr>
              <w:jc w:val="right"/>
              <w:ind w:right="57"/>
              <w:spacing w:after="0" w:line="155" w:lineRule="exact"/>
              <w:rPr>
                <w:sz w:val="20"/>
                <w:szCs w:val="20"/>
                <w:color w:val="auto"/>
              </w:rPr>
            </w:pPr>
            <w:r>
              <w:rPr>
                <w:rFonts w:ascii="Arial" w:cs="Arial" w:eastAsia="Arial" w:hAnsi="Arial"/>
                <w:sz w:val="14"/>
                <w:szCs w:val="14"/>
                <w:color w:val="auto"/>
              </w:rPr>
              <w:t>70,112</w:t>
            </w:r>
          </w:p>
        </w:tc>
        <w:tc>
          <w:tcPr>
            <w:tcW w:w="1080" w:type="dxa"/>
            <w:vAlign w:val="bottom"/>
            <w:tcBorders>
              <w:bottom w:val="single" w:sz="8" w:color="auto"/>
            </w:tcBorders>
          </w:tcPr>
          <w:p>
            <w:pPr>
              <w:jc w:val="right"/>
              <w:ind w:right="150"/>
              <w:spacing w:after="0" w:line="155" w:lineRule="exact"/>
              <w:rPr>
                <w:sz w:val="20"/>
                <w:szCs w:val="20"/>
                <w:color w:val="auto"/>
              </w:rPr>
            </w:pPr>
            <w:r>
              <w:rPr>
                <w:rFonts w:ascii="Arial" w:cs="Arial" w:eastAsia="Arial" w:hAnsi="Arial"/>
                <w:sz w:val="14"/>
                <w:szCs w:val="14"/>
                <w:color w:val="auto"/>
              </w:rPr>
              <w:t>4,065</w:t>
            </w:r>
          </w:p>
        </w:tc>
      </w:tr>
    </w:tbl>
    <w:p>
      <w:pPr>
        <w:spacing w:after="0" w:line="180" w:lineRule="exact"/>
        <w:rPr>
          <w:sz w:val="20"/>
          <w:szCs w:val="20"/>
          <w:color w:val="auto"/>
        </w:rPr>
      </w:pPr>
    </w:p>
    <w:p>
      <w:pPr>
        <w:ind w:right="860"/>
        <w:spacing w:after="0" w:line="258" w:lineRule="auto"/>
        <w:rPr>
          <w:sz w:val="20"/>
          <w:szCs w:val="20"/>
          <w:color w:val="auto"/>
        </w:rPr>
      </w:pPr>
      <w:r>
        <w:rPr>
          <w:rFonts w:ascii="Arial" w:cs="Arial" w:eastAsia="Arial" w:hAnsi="Arial"/>
          <w:sz w:val="14"/>
          <w:szCs w:val="14"/>
          <w:color w:val="auto"/>
        </w:rPr>
        <w:t>The fair value of financial liabilities included above approximates the carrying amount and, other than of certain derivative contracts, is determined from predominantly unobservable inputs.</w:t>
      </w:r>
    </w:p>
    <w:p>
      <w:pPr>
        <w:spacing w:after="0" w:line="167" w:lineRule="exact"/>
        <w:rPr>
          <w:sz w:val="20"/>
          <w:szCs w:val="20"/>
          <w:color w:val="auto"/>
        </w:rPr>
      </w:pPr>
    </w:p>
    <w:p>
      <w:pPr>
        <w:ind w:right="640"/>
        <w:spacing w:after="0" w:line="258" w:lineRule="auto"/>
        <w:rPr>
          <w:sz w:val="20"/>
          <w:szCs w:val="20"/>
          <w:color w:val="auto"/>
        </w:rPr>
      </w:pPr>
      <w:r>
        <w:rPr>
          <w:rFonts w:ascii="Arial" w:cs="Arial" w:eastAsia="Arial" w:hAnsi="Arial"/>
          <w:sz w:val="14"/>
          <w:szCs w:val="14"/>
          <w:color w:val="auto"/>
        </w:rPr>
        <w:t>Other payables include balances due to joint arrangement partners and commitments for share repurchases undertaken on the Company’s behalf under irrevocable, non-discretionary arrangements.</w:t>
      </w:r>
    </w:p>
    <w:p>
      <w:pPr>
        <w:spacing w:after="0" w:line="154" w:lineRule="exact"/>
        <w:rPr>
          <w:sz w:val="20"/>
          <w:szCs w:val="20"/>
          <w:color w:val="auto"/>
        </w:rPr>
      </w:pPr>
    </w:p>
    <w:p>
      <w:pPr>
        <w:spacing w:after="0"/>
        <w:rPr>
          <w:sz w:val="20"/>
          <w:szCs w:val="20"/>
          <w:color w:val="auto"/>
        </w:rPr>
      </w:pPr>
      <w:r>
        <w:rPr>
          <w:rFonts w:ascii="Arial" w:cs="Arial" w:eastAsia="Arial" w:hAnsi="Arial"/>
          <w:sz w:val="14"/>
          <w:szCs w:val="14"/>
          <w:color w:val="auto"/>
        </w:rPr>
        <w:t>Information about offsetting, collateral and liquidity risk is presented in Note 19.</w:t>
      </w:r>
    </w:p>
    <w:p>
      <w:pPr>
        <w:sectPr>
          <w:pgSz w:w="11900" w:h="16838" w:orient="portrait"/>
          <w:cols w:equalWidth="0" w:num="1">
            <w:col w:w="11420"/>
          </w:cols>
          <w:pgMar w:left="240" w:top="459" w:right="239" w:bottom="1440" w:gutter="0" w:footer="0" w:header="0"/>
        </w:sectPr>
      </w:pPr>
    </w:p>
    <w:bookmarkStart w:id="128" w:name="page129"/>
    <w:bookmarkEnd w:id="1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6428105</wp:posOffset>
            </wp:positionH>
            <wp:positionV relativeFrom="paragraph">
              <wp:posOffset>300355</wp:posOffset>
            </wp:positionV>
            <wp:extent cx="8890" cy="46291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8890" cy="462915"/>
                    </a:xfrm>
                    <a:prstGeom prst="rect">
                      <a:avLst/>
                    </a:prstGeom>
                    <a:noFill/>
                  </pic:spPr>
                </pic:pic>
              </a:graphicData>
            </a:graphic>
          </wp:anchor>
        </w:drawing>
      </w:r>
    </w:p>
    <w:p>
      <w:pPr>
        <w:spacing w:after="0" w:line="200" w:lineRule="exact"/>
        <w:rPr>
          <w:sz w:val="20"/>
          <w:szCs w:val="20"/>
          <w:color w:val="auto"/>
        </w:rPr>
      </w:pP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565"/>
        </w:trPr>
        <w:tc>
          <w:tcPr>
            <w:tcW w:w="5600" w:type="dxa"/>
            <w:vAlign w:val="bottom"/>
          </w:tcPr>
          <w:p>
            <w:pPr>
              <w:spacing w:after="0"/>
              <w:rPr>
                <w:sz w:val="24"/>
                <w:szCs w:val="24"/>
                <w:color w:val="auto"/>
              </w:rPr>
            </w:pPr>
          </w:p>
        </w:tc>
        <w:tc>
          <w:tcPr>
            <w:tcW w:w="200" w:type="dxa"/>
            <w:vAlign w:val="bottom"/>
            <w:shd w:val="clear" w:color="auto" w:fill="FF8B00"/>
          </w:tcPr>
          <w:p>
            <w:pPr>
              <w:spacing w:after="0"/>
              <w:rPr>
                <w:sz w:val="24"/>
                <w:szCs w:val="24"/>
                <w:color w:val="auto"/>
              </w:rPr>
            </w:pPr>
          </w:p>
        </w:tc>
        <w:tc>
          <w:tcPr>
            <w:tcW w:w="3720" w:type="dxa"/>
            <w:vAlign w:val="bottom"/>
            <w:gridSpan w:val="3"/>
            <w:shd w:val="clear" w:color="auto" w:fill="FF8B00"/>
          </w:tcPr>
          <w:p>
            <w:pPr>
              <w:ind w:left="680"/>
              <w:spacing w:after="0"/>
              <w:rPr>
                <w:sz w:val="20"/>
                <w:szCs w:val="20"/>
                <w:color w:val="auto"/>
              </w:rPr>
            </w:pPr>
            <w:r>
              <w:rPr>
                <w:rFonts w:ascii="Arial" w:cs="Arial" w:eastAsia="Arial" w:hAnsi="Arial"/>
                <w:sz w:val="13"/>
                <w:szCs w:val="13"/>
                <w:color w:val="333333"/>
              </w:rPr>
              <w:t>FINANCIAL STATEMENTS AND SUPPLEMENTS</w:t>
            </w:r>
          </w:p>
        </w:tc>
        <w:tc>
          <w:tcPr>
            <w:tcW w:w="900" w:type="dxa"/>
            <w:vAlign w:val="bottom"/>
            <w:shd w:val="clear" w:color="auto" w:fill="FF8B00"/>
          </w:tcPr>
          <w:p>
            <w:pPr>
              <w:spacing w:after="0"/>
              <w:rPr>
                <w:sz w:val="24"/>
                <w:szCs w:val="24"/>
                <w:color w:val="auto"/>
              </w:rPr>
            </w:pPr>
          </w:p>
        </w:tc>
        <w:tc>
          <w:tcPr>
            <w:tcW w:w="1000" w:type="dxa"/>
            <w:vAlign w:val="bottom"/>
            <w:shd w:val="clear" w:color="auto" w:fill="FF8B00"/>
          </w:tcPr>
          <w:p>
            <w:pPr>
              <w:jc w:val="right"/>
              <w:ind w:right="349"/>
              <w:spacing w:after="0"/>
              <w:rPr>
                <w:sz w:val="20"/>
                <w:szCs w:val="20"/>
                <w:color w:val="auto"/>
              </w:rPr>
            </w:pPr>
            <w:r>
              <w:rPr>
                <w:rFonts w:ascii="Arial" w:cs="Arial" w:eastAsia="Arial" w:hAnsi="Arial"/>
                <w:sz w:val="11"/>
                <w:szCs w:val="11"/>
                <w:b w:val="1"/>
                <w:bCs w:val="1"/>
                <w:color w:val="333333"/>
              </w:rPr>
              <w:t>127</w:t>
            </w:r>
          </w:p>
        </w:tc>
        <w:tc>
          <w:tcPr>
            <w:tcW w:w="0" w:type="dxa"/>
            <w:vAlign w:val="bottom"/>
          </w:tcPr>
          <w:p>
            <w:pPr>
              <w:spacing w:after="0"/>
              <w:rPr>
                <w:sz w:val="1"/>
                <w:szCs w:val="1"/>
                <w:color w:val="auto"/>
              </w:rPr>
            </w:pPr>
          </w:p>
        </w:tc>
      </w:tr>
      <w:tr>
        <w:trPr>
          <w:trHeight w:val="165"/>
        </w:trPr>
        <w:tc>
          <w:tcPr>
            <w:tcW w:w="5600" w:type="dxa"/>
            <w:vAlign w:val="bottom"/>
            <w:vMerge w:val="restart"/>
          </w:tcPr>
          <w:p>
            <w:pPr>
              <w:spacing w:after="0"/>
              <w:rPr>
                <w:sz w:val="20"/>
                <w:szCs w:val="20"/>
                <w:color w:val="auto"/>
              </w:rPr>
            </w:pPr>
            <w:r>
              <w:rPr>
                <w:rFonts w:ascii="Arial" w:cs="Arial" w:eastAsia="Arial" w:hAnsi="Arial"/>
                <w:sz w:val="11"/>
                <w:szCs w:val="11"/>
                <w:color w:val="auto"/>
              </w:rPr>
              <w:t>SHELL ANNUAL REPORT AND FORM 20-F 2014</w:t>
            </w:r>
          </w:p>
        </w:tc>
        <w:tc>
          <w:tcPr>
            <w:tcW w:w="200" w:type="dxa"/>
            <w:vAlign w:val="bottom"/>
            <w:shd w:val="clear" w:color="auto" w:fill="FF8B00"/>
          </w:tcPr>
          <w:p>
            <w:pPr>
              <w:spacing w:after="0"/>
              <w:rPr>
                <w:sz w:val="14"/>
                <w:szCs w:val="14"/>
                <w:color w:val="auto"/>
              </w:rPr>
            </w:pPr>
          </w:p>
        </w:tc>
        <w:tc>
          <w:tcPr>
            <w:tcW w:w="2180" w:type="dxa"/>
            <w:vAlign w:val="bottom"/>
            <w:shd w:val="clear" w:color="auto" w:fill="FF8B00"/>
          </w:tcPr>
          <w:p>
            <w:pPr>
              <w:spacing w:after="0"/>
              <w:rPr>
                <w:sz w:val="14"/>
                <w:szCs w:val="14"/>
                <w:color w:val="auto"/>
              </w:rPr>
            </w:pPr>
          </w:p>
        </w:tc>
        <w:tc>
          <w:tcPr>
            <w:tcW w:w="1100" w:type="dxa"/>
            <w:vAlign w:val="bottom"/>
            <w:shd w:val="clear" w:color="auto" w:fill="FF8B00"/>
          </w:tcPr>
          <w:p>
            <w:pPr>
              <w:spacing w:after="0"/>
              <w:rPr>
                <w:sz w:val="14"/>
                <w:szCs w:val="14"/>
                <w:color w:val="auto"/>
              </w:rPr>
            </w:pPr>
          </w:p>
        </w:tc>
        <w:tc>
          <w:tcPr>
            <w:tcW w:w="440" w:type="dxa"/>
            <w:vAlign w:val="bottom"/>
            <w:shd w:val="clear" w:color="auto" w:fill="FF8B00"/>
          </w:tcPr>
          <w:p>
            <w:pPr>
              <w:spacing w:after="0"/>
              <w:rPr>
                <w:sz w:val="14"/>
                <w:szCs w:val="14"/>
                <w:color w:val="auto"/>
              </w:rPr>
            </w:pPr>
          </w:p>
        </w:tc>
        <w:tc>
          <w:tcPr>
            <w:tcW w:w="900" w:type="dxa"/>
            <w:vAlign w:val="bottom"/>
            <w:shd w:val="clear" w:color="auto" w:fill="FF8B00"/>
          </w:tcPr>
          <w:p>
            <w:pPr>
              <w:spacing w:after="0"/>
              <w:rPr>
                <w:sz w:val="14"/>
                <w:szCs w:val="14"/>
                <w:color w:val="auto"/>
              </w:rPr>
            </w:pPr>
          </w:p>
        </w:tc>
        <w:tc>
          <w:tcPr>
            <w:tcW w:w="1000" w:type="dxa"/>
            <w:vAlign w:val="bottom"/>
            <w:shd w:val="clear" w:color="auto" w:fill="FF8B00"/>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5600" w:type="dxa"/>
            <w:vAlign w:val="bottom"/>
            <w:vMerge w:val="continue"/>
          </w:tcPr>
          <w:p>
            <w:pPr>
              <w:spacing w:after="0"/>
              <w:rPr>
                <w:sz w:val="10"/>
                <w:szCs w:val="10"/>
                <w:color w:val="auto"/>
              </w:rPr>
            </w:pPr>
          </w:p>
        </w:tc>
        <w:tc>
          <w:tcPr>
            <w:tcW w:w="200" w:type="dxa"/>
            <w:vAlign w:val="bottom"/>
          </w:tcPr>
          <w:p>
            <w:pPr>
              <w:spacing w:after="0"/>
              <w:rPr>
                <w:sz w:val="10"/>
                <w:szCs w:val="10"/>
                <w:color w:val="auto"/>
              </w:rPr>
            </w:pPr>
          </w:p>
        </w:tc>
        <w:tc>
          <w:tcPr>
            <w:tcW w:w="3720" w:type="dxa"/>
            <w:vAlign w:val="bottom"/>
            <w:gridSpan w:val="3"/>
          </w:tcPr>
          <w:p>
            <w:pPr>
              <w:ind w:left="680"/>
              <w:spacing w:after="0" w:line="121" w:lineRule="exact"/>
              <w:rPr>
                <w:sz w:val="20"/>
                <w:szCs w:val="20"/>
                <w:color w:val="auto"/>
              </w:rPr>
            </w:pPr>
            <w:r>
              <w:rPr>
                <w:rFonts w:ascii="Arial" w:cs="Arial" w:eastAsia="Arial" w:hAnsi="Arial"/>
                <w:sz w:val="11"/>
                <w:szCs w:val="11"/>
                <w:color w:val="auto"/>
              </w:rPr>
              <w:t>CONSOLIDATED FINANCIAL STATEMENTS</w:t>
            </w:r>
          </w:p>
        </w:tc>
        <w:tc>
          <w:tcPr>
            <w:tcW w:w="9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7"/>
        </w:trPr>
        <w:tc>
          <w:tcPr>
            <w:tcW w:w="5800" w:type="dxa"/>
            <w:vAlign w:val="bottom"/>
            <w:gridSpan w:val="2"/>
          </w:tcPr>
          <w:p>
            <w:pPr>
              <w:spacing w:after="0"/>
              <w:rPr>
                <w:sz w:val="20"/>
                <w:szCs w:val="20"/>
                <w:color w:val="auto"/>
              </w:rPr>
            </w:pPr>
            <w:r>
              <w:rPr>
                <w:rFonts w:ascii="Arial" w:cs="Arial" w:eastAsia="Arial" w:hAnsi="Arial"/>
                <w:sz w:val="18"/>
                <w:szCs w:val="18"/>
                <w:color w:val="auto"/>
              </w:rPr>
              <w:t>16 TAXATION</w:t>
            </w:r>
          </w:p>
        </w:tc>
        <w:tc>
          <w:tcPr>
            <w:tcW w:w="2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5800" w:type="dxa"/>
            <w:vAlign w:val="bottom"/>
            <w:gridSpan w:val="2"/>
          </w:tcPr>
          <w:p>
            <w:pPr>
              <w:spacing w:after="0"/>
              <w:rPr>
                <w:sz w:val="17"/>
                <w:szCs w:val="17"/>
                <w:color w:val="auto"/>
              </w:rPr>
            </w:pPr>
          </w:p>
        </w:tc>
        <w:tc>
          <w:tcPr>
            <w:tcW w:w="21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5800" w:type="dxa"/>
            <w:vAlign w:val="bottom"/>
            <w:gridSpan w:val="2"/>
            <w:shd w:val="clear" w:color="auto" w:fill="333333"/>
          </w:tcPr>
          <w:p>
            <w:pPr>
              <w:ind w:left="80"/>
              <w:spacing w:after="0" w:line="162" w:lineRule="exact"/>
              <w:rPr>
                <w:sz w:val="20"/>
                <w:szCs w:val="20"/>
                <w:color w:val="auto"/>
              </w:rPr>
            </w:pPr>
            <w:r>
              <w:rPr>
                <w:rFonts w:ascii="Arial" w:cs="Arial" w:eastAsia="Arial" w:hAnsi="Arial"/>
                <w:sz w:val="15"/>
                <w:szCs w:val="15"/>
                <w:b w:val="1"/>
                <w:bCs w:val="1"/>
                <w:color w:val="FFFFFF"/>
              </w:rPr>
              <w:t>TAXATION CHARGE</w:t>
            </w:r>
          </w:p>
        </w:tc>
        <w:tc>
          <w:tcPr>
            <w:tcW w:w="2180" w:type="dxa"/>
            <w:vAlign w:val="bottom"/>
            <w:shd w:val="clear" w:color="auto" w:fill="333333"/>
          </w:tcPr>
          <w:p>
            <w:pPr>
              <w:spacing w:after="0"/>
              <w:rPr>
                <w:sz w:val="14"/>
                <w:szCs w:val="14"/>
                <w:color w:val="auto"/>
              </w:rPr>
            </w:pPr>
          </w:p>
        </w:tc>
        <w:tc>
          <w:tcPr>
            <w:tcW w:w="1100" w:type="dxa"/>
            <w:vAlign w:val="bottom"/>
            <w:shd w:val="clear" w:color="auto" w:fill="333333"/>
          </w:tcPr>
          <w:p>
            <w:pPr>
              <w:spacing w:after="0"/>
              <w:rPr>
                <w:sz w:val="14"/>
                <w:szCs w:val="14"/>
                <w:color w:val="auto"/>
              </w:rPr>
            </w:pPr>
          </w:p>
        </w:tc>
        <w:tc>
          <w:tcPr>
            <w:tcW w:w="440" w:type="dxa"/>
            <w:vAlign w:val="bottom"/>
            <w:shd w:val="clear" w:color="auto" w:fill="333333"/>
          </w:tcPr>
          <w:p>
            <w:pPr>
              <w:spacing w:after="0"/>
              <w:rPr>
                <w:sz w:val="14"/>
                <w:szCs w:val="14"/>
                <w:color w:val="auto"/>
              </w:rPr>
            </w:pPr>
          </w:p>
        </w:tc>
        <w:tc>
          <w:tcPr>
            <w:tcW w:w="900" w:type="dxa"/>
            <w:vAlign w:val="bottom"/>
            <w:shd w:val="clear" w:color="auto" w:fill="333333"/>
          </w:tcPr>
          <w:p>
            <w:pPr>
              <w:spacing w:after="0"/>
              <w:rPr>
                <w:sz w:val="14"/>
                <w:szCs w:val="14"/>
                <w:color w:val="auto"/>
              </w:rPr>
            </w:pPr>
          </w:p>
        </w:tc>
        <w:tc>
          <w:tcPr>
            <w:tcW w:w="1000" w:type="dxa"/>
            <w:vAlign w:val="bottom"/>
            <w:shd w:val="clear" w:color="auto" w:fill="333333"/>
          </w:tcPr>
          <w:p>
            <w:pPr>
              <w:jc w:val="right"/>
              <w:ind w:right="29"/>
              <w:spacing w:after="0" w:line="162" w:lineRule="exact"/>
              <w:rPr>
                <w:sz w:val="20"/>
                <w:szCs w:val="20"/>
                <w:color w:val="auto"/>
              </w:rPr>
            </w:pPr>
            <w:r>
              <w:rPr>
                <w:rFonts w:ascii="Arial" w:cs="Arial" w:eastAsia="Arial" w:hAnsi="Arial"/>
                <w:sz w:val="15"/>
                <w:szCs w:val="15"/>
                <w:color w:val="FFFFFF"/>
              </w:rPr>
              <w:t>$ MILLION</w:t>
            </w:r>
          </w:p>
        </w:tc>
        <w:tc>
          <w:tcPr>
            <w:tcW w:w="0" w:type="dxa"/>
            <w:vAlign w:val="bottom"/>
          </w:tcPr>
          <w:p>
            <w:pPr>
              <w:spacing w:after="0"/>
              <w:rPr>
                <w:sz w:val="1"/>
                <w:szCs w:val="1"/>
                <w:color w:val="auto"/>
              </w:rPr>
            </w:pPr>
          </w:p>
        </w:tc>
      </w:tr>
      <w:tr>
        <w:trPr>
          <w:trHeight w:val="149"/>
        </w:trPr>
        <w:tc>
          <w:tcPr>
            <w:tcW w:w="560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218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shd w:val="clear" w:color="auto" w:fill="D8D8D8"/>
          </w:tcPr>
          <w:p>
            <w:pPr>
              <w:jc w:val="right"/>
              <w:ind w:right="149"/>
              <w:spacing w:after="0"/>
              <w:rPr>
                <w:sz w:val="20"/>
                <w:szCs w:val="20"/>
                <w:color w:val="auto"/>
              </w:rPr>
            </w:pPr>
            <w:r>
              <w:rPr>
                <w:rFonts w:ascii="Arial" w:cs="Arial" w:eastAsia="Arial" w:hAnsi="Arial"/>
                <w:sz w:val="13"/>
                <w:szCs w:val="13"/>
                <w:color w:val="auto"/>
              </w:rPr>
              <w:t>2014</w:t>
            </w:r>
          </w:p>
        </w:tc>
        <w:tc>
          <w:tcPr>
            <w:tcW w:w="44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149"/>
              <w:spacing w:after="0"/>
              <w:rPr>
                <w:sz w:val="20"/>
                <w:szCs w:val="20"/>
                <w:color w:val="auto"/>
              </w:rPr>
            </w:pPr>
            <w:r>
              <w:rPr>
                <w:rFonts w:ascii="Arial" w:cs="Arial" w:eastAsia="Arial" w:hAnsi="Arial"/>
                <w:sz w:val="13"/>
                <w:szCs w:val="13"/>
                <w:color w:val="auto"/>
              </w:rPr>
              <w:t>2013</w:t>
            </w:r>
          </w:p>
        </w:tc>
        <w:tc>
          <w:tcPr>
            <w:tcW w:w="1000" w:type="dxa"/>
            <w:vAlign w:val="bottom"/>
            <w:tcBorders>
              <w:bottom w:val="single" w:sz="8" w:color="auto"/>
            </w:tcBorders>
          </w:tcPr>
          <w:p>
            <w:pPr>
              <w:jc w:val="right"/>
              <w:ind w:right="149"/>
              <w:spacing w:after="0"/>
              <w:rPr>
                <w:sz w:val="20"/>
                <w:szCs w:val="20"/>
                <w:color w:val="auto"/>
              </w:rPr>
            </w:pPr>
            <w:r>
              <w:rPr>
                <w:rFonts w:ascii="Arial" w:cs="Arial" w:eastAsia="Arial" w:hAnsi="Arial"/>
                <w:sz w:val="13"/>
                <w:szCs w:val="13"/>
                <w:color w:val="auto"/>
              </w:rPr>
              <w:t>2012</w:t>
            </w:r>
          </w:p>
        </w:tc>
        <w:tc>
          <w:tcPr>
            <w:tcW w:w="0" w:type="dxa"/>
            <w:vAlign w:val="bottom"/>
          </w:tcPr>
          <w:p>
            <w:pPr>
              <w:spacing w:after="0"/>
              <w:rPr>
                <w:sz w:val="1"/>
                <w:szCs w:val="1"/>
                <w:color w:val="auto"/>
              </w:rPr>
            </w:pPr>
          </w:p>
        </w:tc>
      </w:tr>
      <w:tr>
        <w:trPr>
          <w:trHeight w:val="156"/>
        </w:trPr>
        <w:tc>
          <w:tcPr>
            <w:tcW w:w="5800" w:type="dxa"/>
            <w:vAlign w:val="bottom"/>
            <w:gridSpan w:val="2"/>
          </w:tcPr>
          <w:p>
            <w:pPr>
              <w:spacing w:after="0" w:line="155" w:lineRule="exact"/>
              <w:rPr>
                <w:sz w:val="20"/>
                <w:szCs w:val="20"/>
                <w:color w:val="auto"/>
              </w:rPr>
            </w:pPr>
            <w:r>
              <w:rPr>
                <w:rFonts w:ascii="Arial" w:cs="Arial" w:eastAsia="Arial" w:hAnsi="Arial"/>
                <w:sz w:val="14"/>
                <w:szCs w:val="14"/>
                <w:color w:val="auto"/>
              </w:rPr>
              <w:t>Current taxation</w:t>
            </w:r>
          </w:p>
        </w:tc>
        <w:tc>
          <w:tcPr>
            <w:tcW w:w="2180" w:type="dxa"/>
            <w:vAlign w:val="bottom"/>
          </w:tcPr>
          <w:p>
            <w:pPr>
              <w:spacing w:after="0"/>
              <w:rPr>
                <w:sz w:val="13"/>
                <w:szCs w:val="13"/>
                <w:color w:val="auto"/>
              </w:rPr>
            </w:pPr>
          </w:p>
        </w:tc>
        <w:tc>
          <w:tcPr>
            <w:tcW w:w="1100" w:type="dxa"/>
            <w:vAlign w:val="bottom"/>
            <w:shd w:val="clear" w:color="auto" w:fill="D8D8D8"/>
          </w:tcPr>
          <w:p>
            <w:pPr>
              <w:spacing w:after="0"/>
              <w:rPr>
                <w:sz w:val="13"/>
                <w:szCs w:val="13"/>
                <w:color w:val="auto"/>
              </w:rPr>
            </w:pPr>
          </w:p>
        </w:tc>
        <w:tc>
          <w:tcPr>
            <w:tcW w:w="4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5800" w:type="dxa"/>
            <w:vAlign w:val="bottom"/>
            <w:gridSpan w:val="2"/>
          </w:tcPr>
          <w:p>
            <w:pPr>
              <w:ind w:left="140"/>
              <w:spacing w:after="0"/>
              <w:rPr>
                <w:sz w:val="20"/>
                <w:szCs w:val="20"/>
                <w:color w:val="auto"/>
              </w:rPr>
            </w:pPr>
            <w:r>
              <w:rPr>
                <w:rFonts w:ascii="Arial" w:cs="Arial" w:eastAsia="Arial" w:hAnsi="Arial"/>
                <w:sz w:val="14"/>
                <w:szCs w:val="14"/>
                <w:color w:val="auto"/>
              </w:rPr>
              <w:t>Charge in respect of current period</w:t>
            </w:r>
          </w:p>
        </w:tc>
        <w:tc>
          <w:tcPr>
            <w:tcW w:w="2180" w:type="dxa"/>
            <w:vAlign w:val="bottom"/>
          </w:tcPr>
          <w:p>
            <w:pPr>
              <w:spacing w:after="0"/>
              <w:rPr>
                <w:sz w:val="14"/>
                <w:szCs w:val="14"/>
                <w:color w:val="auto"/>
              </w:rPr>
            </w:pPr>
          </w:p>
        </w:tc>
        <w:tc>
          <w:tcPr>
            <w:tcW w:w="1100" w:type="dxa"/>
            <w:vAlign w:val="bottom"/>
            <w:shd w:val="clear" w:color="auto" w:fill="D8D8D8"/>
          </w:tcPr>
          <w:p>
            <w:pPr>
              <w:jc w:val="right"/>
              <w:ind w:right="149"/>
              <w:spacing w:after="0"/>
              <w:rPr>
                <w:sz w:val="20"/>
                <w:szCs w:val="20"/>
                <w:color w:val="auto"/>
              </w:rPr>
            </w:pPr>
            <w:r>
              <w:rPr>
                <w:rFonts w:ascii="Arial" w:cs="Arial" w:eastAsia="Arial" w:hAnsi="Arial"/>
                <w:sz w:val="14"/>
                <w:szCs w:val="14"/>
                <w:color w:val="auto"/>
              </w:rPr>
              <w:t>14,044</w:t>
            </w:r>
          </w:p>
        </w:tc>
        <w:tc>
          <w:tcPr>
            <w:tcW w:w="440" w:type="dxa"/>
            <w:vAlign w:val="bottom"/>
          </w:tcPr>
          <w:p>
            <w:pPr>
              <w:spacing w:after="0"/>
              <w:rPr>
                <w:sz w:val="14"/>
                <w:szCs w:val="14"/>
                <w:color w:val="auto"/>
              </w:rPr>
            </w:pPr>
          </w:p>
        </w:tc>
        <w:tc>
          <w:tcPr>
            <w:tcW w:w="900" w:type="dxa"/>
            <w:vAlign w:val="bottom"/>
          </w:tcPr>
          <w:p>
            <w:pPr>
              <w:jc w:val="right"/>
              <w:ind w:right="149"/>
              <w:spacing w:after="0"/>
              <w:rPr>
                <w:sz w:val="20"/>
                <w:szCs w:val="20"/>
                <w:color w:val="auto"/>
              </w:rPr>
            </w:pPr>
            <w:r>
              <w:rPr>
                <w:rFonts w:ascii="Arial" w:cs="Arial" w:eastAsia="Arial" w:hAnsi="Arial"/>
                <w:sz w:val="14"/>
                <w:szCs w:val="14"/>
                <w:color w:val="auto"/>
              </w:rPr>
              <w:t>18,316</w:t>
            </w:r>
          </w:p>
        </w:tc>
        <w:tc>
          <w:tcPr>
            <w:tcW w:w="1000" w:type="dxa"/>
            <w:vAlign w:val="bottom"/>
          </w:tcPr>
          <w:p>
            <w:pPr>
              <w:jc w:val="right"/>
              <w:ind w:right="149"/>
              <w:spacing w:after="0"/>
              <w:rPr>
                <w:sz w:val="20"/>
                <w:szCs w:val="20"/>
                <w:color w:val="auto"/>
              </w:rPr>
            </w:pPr>
            <w:r>
              <w:rPr>
                <w:rFonts w:ascii="Arial" w:cs="Arial" w:eastAsia="Arial" w:hAnsi="Arial"/>
                <w:sz w:val="14"/>
                <w:szCs w:val="14"/>
                <w:color w:val="auto"/>
              </w:rPr>
              <w:t>22,551</w:t>
            </w:r>
          </w:p>
        </w:tc>
        <w:tc>
          <w:tcPr>
            <w:tcW w:w="0" w:type="dxa"/>
            <w:vAlign w:val="bottom"/>
          </w:tcPr>
          <w:p>
            <w:pPr>
              <w:spacing w:after="0"/>
              <w:rPr>
                <w:sz w:val="1"/>
                <w:szCs w:val="1"/>
                <w:color w:val="auto"/>
              </w:rPr>
            </w:pPr>
          </w:p>
        </w:tc>
      </w:tr>
      <w:tr>
        <w:trPr>
          <w:trHeight w:val="162"/>
        </w:trPr>
        <w:tc>
          <w:tcPr>
            <w:tcW w:w="5800" w:type="dxa"/>
            <w:vAlign w:val="bottom"/>
            <w:tcBorders>
              <w:bottom w:val="single" w:sz="8" w:color="auto"/>
            </w:tcBorders>
            <w:gridSpan w:val="2"/>
          </w:tcPr>
          <w:p>
            <w:pPr>
              <w:ind w:left="140"/>
              <w:spacing w:after="0"/>
              <w:rPr>
                <w:sz w:val="20"/>
                <w:szCs w:val="20"/>
                <w:color w:val="auto"/>
              </w:rPr>
            </w:pPr>
            <w:r>
              <w:rPr>
                <w:rFonts w:ascii="Arial" w:cs="Arial" w:eastAsia="Arial" w:hAnsi="Arial"/>
                <w:sz w:val="14"/>
                <w:szCs w:val="14"/>
                <w:color w:val="auto"/>
              </w:rPr>
              <w:t>Adjustment in respect of prior periods</w:t>
            </w:r>
          </w:p>
        </w:tc>
        <w:tc>
          <w:tcPr>
            <w:tcW w:w="218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shd w:val="clear" w:color="auto" w:fill="D8D8D8"/>
          </w:tcPr>
          <w:p>
            <w:pPr>
              <w:jc w:val="right"/>
              <w:ind w:right="149"/>
              <w:spacing w:after="0"/>
              <w:rPr>
                <w:sz w:val="20"/>
                <w:szCs w:val="20"/>
                <w:color w:val="auto"/>
              </w:rPr>
            </w:pPr>
            <w:r>
              <w:rPr>
                <w:rFonts w:ascii="Arial" w:cs="Arial" w:eastAsia="Arial" w:hAnsi="Arial"/>
                <w:sz w:val="14"/>
                <w:szCs w:val="14"/>
                <w:color w:val="auto"/>
              </w:rPr>
              <w:t>(287)</w:t>
            </w:r>
          </w:p>
        </w:tc>
        <w:tc>
          <w:tcPr>
            <w:tcW w:w="4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149"/>
              <w:spacing w:after="0"/>
              <w:rPr>
                <w:sz w:val="20"/>
                <w:szCs w:val="20"/>
                <w:color w:val="auto"/>
              </w:rPr>
            </w:pPr>
            <w:r>
              <w:rPr>
                <w:rFonts w:ascii="Arial" w:cs="Arial" w:eastAsia="Arial" w:hAnsi="Arial"/>
                <w:sz w:val="14"/>
                <w:szCs w:val="14"/>
                <w:color w:val="auto"/>
              </w:rPr>
              <w:t>266</w:t>
            </w:r>
          </w:p>
        </w:tc>
        <w:tc>
          <w:tcPr>
            <w:tcW w:w="1000" w:type="dxa"/>
            <w:vAlign w:val="bottom"/>
            <w:tcBorders>
              <w:bottom w:val="single" w:sz="8" w:color="auto"/>
            </w:tcBorders>
          </w:tcPr>
          <w:p>
            <w:pPr>
              <w:jc w:val="right"/>
              <w:ind w:right="149"/>
              <w:spacing w:after="0"/>
              <w:rPr>
                <w:sz w:val="20"/>
                <w:szCs w:val="20"/>
                <w:color w:val="auto"/>
              </w:rPr>
            </w:pPr>
            <w:r>
              <w:rPr>
                <w:rFonts w:ascii="Arial" w:cs="Arial" w:eastAsia="Arial" w:hAnsi="Arial"/>
                <w:sz w:val="14"/>
                <w:szCs w:val="14"/>
                <w:color w:val="auto"/>
              </w:rPr>
              <w:t>171</w:t>
            </w:r>
          </w:p>
        </w:tc>
        <w:tc>
          <w:tcPr>
            <w:tcW w:w="0" w:type="dxa"/>
            <w:vAlign w:val="bottom"/>
          </w:tcPr>
          <w:p>
            <w:pPr>
              <w:spacing w:after="0"/>
              <w:rPr>
                <w:sz w:val="1"/>
                <w:szCs w:val="1"/>
                <w:color w:val="auto"/>
              </w:rPr>
            </w:pPr>
          </w:p>
        </w:tc>
      </w:tr>
      <w:tr>
        <w:trPr>
          <w:trHeight w:val="156"/>
        </w:trPr>
        <w:tc>
          <w:tcPr>
            <w:tcW w:w="5800" w:type="dxa"/>
            <w:vAlign w:val="bottom"/>
            <w:tcBorders>
              <w:bottom w:val="single" w:sz="8" w:color="auto"/>
            </w:tcBorders>
            <w:gridSpan w:val="2"/>
          </w:tcPr>
          <w:p>
            <w:pPr>
              <w:spacing w:after="0" w:line="155" w:lineRule="exact"/>
              <w:rPr>
                <w:sz w:val="20"/>
                <w:szCs w:val="20"/>
                <w:color w:val="auto"/>
              </w:rPr>
            </w:pPr>
            <w:r>
              <w:rPr>
                <w:rFonts w:ascii="Arial" w:cs="Arial" w:eastAsia="Arial" w:hAnsi="Arial"/>
                <w:sz w:val="14"/>
                <w:szCs w:val="14"/>
                <w:color w:val="auto"/>
              </w:rPr>
              <w:t>Total</w:t>
            </w:r>
          </w:p>
        </w:tc>
        <w:tc>
          <w:tcPr>
            <w:tcW w:w="218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shd w:val="clear" w:color="auto" w:fill="D8D8D8"/>
          </w:tcPr>
          <w:p>
            <w:pPr>
              <w:jc w:val="right"/>
              <w:ind w:right="149"/>
              <w:spacing w:after="0" w:line="155" w:lineRule="exact"/>
              <w:rPr>
                <w:sz w:val="20"/>
                <w:szCs w:val="20"/>
                <w:color w:val="auto"/>
              </w:rPr>
            </w:pPr>
            <w:r>
              <w:rPr>
                <w:rFonts w:ascii="Arial" w:cs="Arial" w:eastAsia="Arial" w:hAnsi="Arial"/>
                <w:sz w:val="14"/>
                <w:szCs w:val="14"/>
                <w:color w:val="auto"/>
              </w:rPr>
              <w:t>13,757</w:t>
            </w:r>
          </w:p>
        </w:tc>
        <w:tc>
          <w:tcPr>
            <w:tcW w:w="44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149"/>
              <w:spacing w:after="0" w:line="155" w:lineRule="exact"/>
              <w:rPr>
                <w:sz w:val="20"/>
                <w:szCs w:val="20"/>
                <w:color w:val="auto"/>
              </w:rPr>
            </w:pPr>
            <w:r>
              <w:rPr>
                <w:rFonts w:ascii="Arial" w:cs="Arial" w:eastAsia="Arial" w:hAnsi="Arial"/>
                <w:sz w:val="14"/>
                <w:szCs w:val="14"/>
                <w:color w:val="auto"/>
              </w:rPr>
              <w:t>18,582</w:t>
            </w:r>
          </w:p>
        </w:tc>
        <w:tc>
          <w:tcPr>
            <w:tcW w:w="1000" w:type="dxa"/>
            <w:vAlign w:val="bottom"/>
            <w:tcBorders>
              <w:bottom w:val="single" w:sz="8" w:color="auto"/>
            </w:tcBorders>
          </w:tcPr>
          <w:p>
            <w:pPr>
              <w:jc w:val="right"/>
              <w:ind w:right="149"/>
              <w:spacing w:after="0" w:line="155" w:lineRule="exact"/>
              <w:rPr>
                <w:sz w:val="20"/>
                <w:szCs w:val="20"/>
                <w:color w:val="auto"/>
              </w:rPr>
            </w:pPr>
            <w:r>
              <w:rPr>
                <w:rFonts w:ascii="Arial" w:cs="Arial" w:eastAsia="Arial" w:hAnsi="Arial"/>
                <w:sz w:val="14"/>
                <w:szCs w:val="14"/>
                <w:color w:val="auto"/>
              </w:rPr>
              <w:t>22,722</w:t>
            </w:r>
          </w:p>
        </w:tc>
        <w:tc>
          <w:tcPr>
            <w:tcW w:w="0" w:type="dxa"/>
            <w:vAlign w:val="bottom"/>
          </w:tcPr>
          <w:p>
            <w:pPr>
              <w:spacing w:after="0"/>
              <w:rPr>
                <w:sz w:val="1"/>
                <w:szCs w:val="1"/>
                <w:color w:val="auto"/>
              </w:rPr>
            </w:pPr>
          </w:p>
        </w:tc>
      </w:tr>
      <w:tr>
        <w:trPr>
          <w:trHeight w:val="160"/>
        </w:trPr>
        <w:tc>
          <w:tcPr>
            <w:tcW w:w="5800" w:type="dxa"/>
            <w:vAlign w:val="bottom"/>
            <w:gridSpan w:val="2"/>
          </w:tcPr>
          <w:p>
            <w:pPr>
              <w:spacing w:after="0"/>
              <w:rPr>
                <w:sz w:val="20"/>
                <w:szCs w:val="20"/>
                <w:color w:val="auto"/>
              </w:rPr>
            </w:pPr>
            <w:r>
              <w:rPr>
                <w:rFonts w:ascii="Arial" w:cs="Arial" w:eastAsia="Arial" w:hAnsi="Arial"/>
                <w:sz w:val="14"/>
                <w:szCs w:val="14"/>
                <w:color w:val="auto"/>
              </w:rPr>
              <w:t>Deferred taxation</w:t>
            </w:r>
          </w:p>
        </w:tc>
        <w:tc>
          <w:tcPr>
            <w:tcW w:w="2180" w:type="dxa"/>
            <w:vAlign w:val="bottom"/>
          </w:tcPr>
          <w:p>
            <w:pPr>
              <w:spacing w:after="0"/>
              <w:rPr>
                <w:sz w:val="13"/>
                <w:szCs w:val="13"/>
                <w:color w:val="auto"/>
              </w:rPr>
            </w:pPr>
          </w:p>
        </w:tc>
        <w:tc>
          <w:tcPr>
            <w:tcW w:w="1100" w:type="dxa"/>
            <w:vAlign w:val="bottom"/>
            <w:shd w:val="clear" w:color="auto" w:fill="D8D8D8"/>
          </w:tcPr>
          <w:p>
            <w:pPr>
              <w:spacing w:after="0"/>
              <w:rPr>
                <w:sz w:val="13"/>
                <w:szCs w:val="13"/>
                <w:color w:val="auto"/>
              </w:rPr>
            </w:pPr>
          </w:p>
        </w:tc>
        <w:tc>
          <w:tcPr>
            <w:tcW w:w="4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5800" w:type="dxa"/>
            <w:vAlign w:val="bottom"/>
            <w:gridSpan w:val="2"/>
          </w:tcPr>
          <w:p>
            <w:pPr>
              <w:ind w:left="140"/>
              <w:spacing w:after="0"/>
              <w:rPr>
                <w:sz w:val="20"/>
                <w:szCs w:val="20"/>
                <w:color w:val="auto"/>
              </w:rPr>
            </w:pPr>
            <w:r>
              <w:rPr>
                <w:rFonts w:ascii="Arial" w:cs="Arial" w:eastAsia="Arial" w:hAnsi="Arial"/>
                <w:sz w:val="14"/>
                <w:szCs w:val="14"/>
                <w:color w:val="auto"/>
              </w:rPr>
              <w:t>Relating to the origination and reversal of temporary differences, tax losses and credits</w:t>
            </w:r>
          </w:p>
        </w:tc>
        <w:tc>
          <w:tcPr>
            <w:tcW w:w="2180" w:type="dxa"/>
            <w:vAlign w:val="bottom"/>
          </w:tcPr>
          <w:p>
            <w:pPr>
              <w:spacing w:after="0"/>
              <w:rPr>
                <w:sz w:val="14"/>
                <w:szCs w:val="14"/>
                <w:color w:val="auto"/>
              </w:rPr>
            </w:pPr>
          </w:p>
        </w:tc>
        <w:tc>
          <w:tcPr>
            <w:tcW w:w="1100" w:type="dxa"/>
            <w:vAlign w:val="bottom"/>
            <w:shd w:val="clear" w:color="auto" w:fill="D8D8D8"/>
          </w:tcPr>
          <w:p>
            <w:pPr>
              <w:jc w:val="right"/>
              <w:ind w:right="149"/>
              <w:spacing w:after="0"/>
              <w:rPr>
                <w:sz w:val="20"/>
                <w:szCs w:val="20"/>
                <w:color w:val="auto"/>
              </w:rPr>
            </w:pPr>
            <w:r>
              <w:rPr>
                <w:rFonts w:ascii="Arial" w:cs="Arial" w:eastAsia="Arial" w:hAnsi="Arial"/>
                <w:sz w:val="14"/>
                <w:szCs w:val="14"/>
                <w:color w:val="auto"/>
              </w:rPr>
              <w:t>(318)</w:t>
            </w:r>
          </w:p>
        </w:tc>
        <w:tc>
          <w:tcPr>
            <w:tcW w:w="440" w:type="dxa"/>
            <w:vAlign w:val="bottom"/>
          </w:tcPr>
          <w:p>
            <w:pPr>
              <w:spacing w:after="0"/>
              <w:rPr>
                <w:sz w:val="14"/>
                <w:szCs w:val="14"/>
                <w:color w:val="auto"/>
              </w:rPr>
            </w:pPr>
          </w:p>
        </w:tc>
        <w:tc>
          <w:tcPr>
            <w:tcW w:w="900" w:type="dxa"/>
            <w:vAlign w:val="bottom"/>
          </w:tcPr>
          <w:p>
            <w:pPr>
              <w:jc w:val="right"/>
              <w:ind w:right="109"/>
              <w:spacing w:after="0"/>
              <w:rPr>
                <w:sz w:val="20"/>
                <w:szCs w:val="20"/>
                <w:color w:val="auto"/>
              </w:rPr>
            </w:pPr>
            <w:r>
              <w:rPr>
                <w:rFonts w:ascii="Arial" w:cs="Arial" w:eastAsia="Arial" w:hAnsi="Arial"/>
                <w:sz w:val="14"/>
                <w:szCs w:val="14"/>
                <w:color w:val="auto"/>
              </w:rPr>
              <w:t>(1,064)</w:t>
            </w:r>
          </w:p>
        </w:tc>
        <w:tc>
          <w:tcPr>
            <w:tcW w:w="1000" w:type="dxa"/>
            <w:vAlign w:val="bottom"/>
          </w:tcPr>
          <w:p>
            <w:pPr>
              <w:jc w:val="right"/>
              <w:ind w:right="149"/>
              <w:spacing w:after="0"/>
              <w:rPr>
                <w:sz w:val="20"/>
                <w:szCs w:val="20"/>
                <w:color w:val="auto"/>
              </w:rPr>
            </w:pPr>
            <w:r>
              <w:rPr>
                <w:rFonts w:ascii="Arial" w:cs="Arial" w:eastAsia="Arial" w:hAnsi="Arial"/>
                <w:sz w:val="14"/>
                <w:szCs w:val="14"/>
                <w:color w:val="auto"/>
              </w:rPr>
              <w:t>801</w:t>
            </w:r>
          </w:p>
        </w:tc>
        <w:tc>
          <w:tcPr>
            <w:tcW w:w="0" w:type="dxa"/>
            <w:vAlign w:val="bottom"/>
          </w:tcPr>
          <w:p>
            <w:pPr>
              <w:spacing w:after="0"/>
              <w:rPr>
                <w:sz w:val="1"/>
                <w:szCs w:val="1"/>
                <w:color w:val="auto"/>
              </w:rPr>
            </w:pPr>
          </w:p>
        </w:tc>
      </w:tr>
      <w:tr>
        <w:trPr>
          <w:trHeight w:val="162"/>
        </w:trPr>
        <w:tc>
          <w:tcPr>
            <w:tcW w:w="5800" w:type="dxa"/>
            <w:vAlign w:val="bottom"/>
            <w:gridSpan w:val="2"/>
          </w:tcPr>
          <w:p>
            <w:pPr>
              <w:ind w:left="140"/>
              <w:spacing w:after="0"/>
              <w:rPr>
                <w:sz w:val="20"/>
                <w:szCs w:val="20"/>
                <w:color w:val="auto"/>
              </w:rPr>
            </w:pPr>
            <w:r>
              <w:rPr>
                <w:rFonts w:ascii="Arial" w:cs="Arial" w:eastAsia="Arial" w:hAnsi="Arial"/>
                <w:sz w:val="14"/>
                <w:szCs w:val="14"/>
                <w:color w:val="auto"/>
              </w:rPr>
              <w:t>Relating to changes in tax rates</w:t>
            </w:r>
          </w:p>
        </w:tc>
        <w:tc>
          <w:tcPr>
            <w:tcW w:w="2180" w:type="dxa"/>
            <w:vAlign w:val="bottom"/>
          </w:tcPr>
          <w:p>
            <w:pPr>
              <w:spacing w:after="0"/>
              <w:rPr>
                <w:sz w:val="14"/>
                <w:szCs w:val="14"/>
                <w:color w:val="auto"/>
              </w:rPr>
            </w:pPr>
          </w:p>
        </w:tc>
        <w:tc>
          <w:tcPr>
            <w:tcW w:w="1100" w:type="dxa"/>
            <w:vAlign w:val="bottom"/>
            <w:shd w:val="clear" w:color="auto" w:fill="D8D8D8"/>
          </w:tcPr>
          <w:p>
            <w:pPr>
              <w:jc w:val="right"/>
              <w:ind w:right="149"/>
              <w:spacing w:after="0"/>
              <w:rPr>
                <w:sz w:val="20"/>
                <w:szCs w:val="20"/>
                <w:color w:val="auto"/>
              </w:rPr>
            </w:pPr>
            <w:r>
              <w:rPr>
                <w:rFonts w:ascii="Arial" w:cs="Arial" w:eastAsia="Arial" w:hAnsi="Arial"/>
                <w:sz w:val="14"/>
                <w:szCs w:val="14"/>
                <w:color w:val="auto"/>
              </w:rPr>
              <w:t>19</w:t>
            </w:r>
          </w:p>
        </w:tc>
        <w:tc>
          <w:tcPr>
            <w:tcW w:w="440" w:type="dxa"/>
            <w:vAlign w:val="bottom"/>
          </w:tcPr>
          <w:p>
            <w:pPr>
              <w:spacing w:after="0"/>
              <w:rPr>
                <w:sz w:val="14"/>
                <w:szCs w:val="14"/>
                <w:color w:val="auto"/>
              </w:rPr>
            </w:pPr>
          </w:p>
        </w:tc>
        <w:tc>
          <w:tcPr>
            <w:tcW w:w="900" w:type="dxa"/>
            <w:vAlign w:val="bottom"/>
          </w:tcPr>
          <w:p>
            <w:pPr>
              <w:jc w:val="right"/>
              <w:ind w:right="109"/>
              <w:spacing w:after="0"/>
              <w:rPr>
                <w:sz w:val="20"/>
                <w:szCs w:val="20"/>
                <w:color w:val="auto"/>
              </w:rPr>
            </w:pPr>
            <w:r>
              <w:rPr>
                <w:rFonts w:ascii="Arial" w:cs="Arial" w:eastAsia="Arial" w:hAnsi="Arial"/>
                <w:sz w:val="14"/>
                <w:szCs w:val="14"/>
                <w:color w:val="auto"/>
              </w:rPr>
              <w:t>(108)</w:t>
            </w:r>
          </w:p>
        </w:tc>
        <w:tc>
          <w:tcPr>
            <w:tcW w:w="1000" w:type="dxa"/>
            <w:vAlign w:val="bottom"/>
          </w:tcPr>
          <w:p>
            <w:pPr>
              <w:jc w:val="right"/>
              <w:ind w:right="149"/>
              <w:spacing w:after="0"/>
              <w:rPr>
                <w:sz w:val="20"/>
                <w:szCs w:val="20"/>
                <w:color w:val="auto"/>
              </w:rPr>
            </w:pPr>
            <w:r>
              <w:rPr>
                <w:rFonts w:ascii="Arial" w:cs="Arial" w:eastAsia="Arial" w:hAnsi="Arial"/>
                <w:sz w:val="14"/>
                <w:szCs w:val="14"/>
                <w:color w:val="auto"/>
              </w:rPr>
              <w:t>247</w:t>
            </w:r>
          </w:p>
        </w:tc>
        <w:tc>
          <w:tcPr>
            <w:tcW w:w="0" w:type="dxa"/>
            <w:vAlign w:val="bottom"/>
          </w:tcPr>
          <w:p>
            <w:pPr>
              <w:spacing w:after="0"/>
              <w:rPr>
                <w:sz w:val="1"/>
                <w:szCs w:val="1"/>
                <w:color w:val="auto"/>
              </w:rPr>
            </w:pPr>
          </w:p>
        </w:tc>
      </w:tr>
      <w:tr>
        <w:trPr>
          <w:trHeight w:val="157"/>
        </w:trPr>
        <w:tc>
          <w:tcPr>
            <w:tcW w:w="5800" w:type="dxa"/>
            <w:vAlign w:val="bottom"/>
            <w:tcBorders>
              <w:bottom w:val="single" w:sz="8" w:color="auto"/>
            </w:tcBorders>
            <w:gridSpan w:val="2"/>
          </w:tcPr>
          <w:p>
            <w:pPr>
              <w:ind w:left="140"/>
              <w:spacing w:after="0" w:line="157" w:lineRule="exact"/>
              <w:rPr>
                <w:sz w:val="20"/>
                <w:szCs w:val="20"/>
                <w:color w:val="auto"/>
              </w:rPr>
            </w:pPr>
            <w:r>
              <w:rPr>
                <w:rFonts w:ascii="Arial" w:cs="Arial" w:eastAsia="Arial" w:hAnsi="Arial"/>
                <w:sz w:val="14"/>
                <w:szCs w:val="14"/>
                <w:color w:val="auto"/>
              </w:rPr>
              <w:t>Adjustment in respect of prior periods</w:t>
            </w:r>
          </w:p>
        </w:tc>
        <w:tc>
          <w:tcPr>
            <w:tcW w:w="218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shd w:val="clear" w:color="auto" w:fill="D8D8D8"/>
          </w:tcPr>
          <w:p>
            <w:pPr>
              <w:jc w:val="right"/>
              <w:ind w:right="149"/>
              <w:spacing w:after="0" w:line="157" w:lineRule="exact"/>
              <w:rPr>
                <w:sz w:val="20"/>
                <w:szCs w:val="20"/>
                <w:color w:val="auto"/>
              </w:rPr>
            </w:pPr>
            <w:r>
              <w:rPr>
                <w:rFonts w:ascii="Arial" w:cs="Arial" w:eastAsia="Arial" w:hAnsi="Arial"/>
                <w:sz w:val="14"/>
                <w:szCs w:val="14"/>
                <w:color w:val="auto"/>
              </w:rPr>
              <w:t>126</w:t>
            </w:r>
          </w:p>
        </w:tc>
        <w:tc>
          <w:tcPr>
            <w:tcW w:w="44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109"/>
              <w:spacing w:after="0" w:line="157" w:lineRule="exact"/>
              <w:rPr>
                <w:sz w:val="20"/>
                <w:szCs w:val="20"/>
                <w:color w:val="auto"/>
              </w:rPr>
            </w:pPr>
            <w:r>
              <w:rPr>
                <w:rFonts w:ascii="Arial" w:cs="Arial" w:eastAsia="Arial" w:hAnsi="Arial"/>
                <w:sz w:val="14"/>
                <w:szCs w:val="14"/>
                <w:color w:val="auto"/>
              </w:rPr>
              <w:t>(344)</w:t>
            </w:r>
          </w:p>
        </w:tc>
        <w:tc>
          <w:tcPr>
            <w:tcW w:w="1000" w:type="dxa"/>
            <w:vAlign w:val="bottom"/>
            <w:tcBorders>
              <w:bottom w:val="single" w:sz="8" w:color="auto"/>
            </w:tcBorders>
          </w:tcPr>
          <w:p>
            <w:pPr>
              <w:jc w:val="right"/>
              <w:ind w:right="89"/>
              <w:spacing w:after="0" w:line="157" w:lineRule="exact"/>
              <w:rPr>
                <w:sz w:val="20"/>
                <w:szCs w:val="20"/>
                <w:color w:val="auto"/>
              </w:rPr>
            </w:pPr>
            <w:r>
              <w:rPr>
                <w:rFonts w:ascii="Arial" w:cs="Arial" w:eastAsia="Arial" w:hAnsi="Arial"/>
                <w:sz w:val="14"/>
                <w:szCs w:val="14"/>
                <w:color w:val="auto"/>
              </w:rPr>
              <w:t>(218)</w:t>
            </w:r>
          </w:p>
        </w:tc>
        <w:tc>
          <w:tcPr>
            <w:tcW w:w="0" w:type="dxa"/>
            <w:vAlign w:val="bottom"/>
          </w:tcPr>
          <w:p>
            <w:pPr>
              <w:spacing w:after="0"/>
              <w:rPr>
                <w:sz w:val="1"/>
                <w:szCs w:val="1"/>
                <w:color w:val="auto"/>
              </w:rPr>
            </w:pPr>
          </w:p>
        </w:tc>
      </w:tr>
      <w:tr>
        <w:trPr>
          <w:trHeight w:val="156"/>
        </w:trPr>
        <w:tc>
          <w:tcPr>
            <w:tcW w:w="5800" w:type="dxa"/>
            <w:vAlign w:val="bottom"/>
            <w:tcBorders>
              <w:bottom w:val="single" w:sz="8" w:color="auto"/>
            </w:tcBorders>
            <w:gridSpan w:val="2"/>
          </w:tcPr>
          <w:p>
            <w:pPr>
              <w:spacing w:after="0" w:line="155" w:lineRule="exact"/>
              <w:rPr>
                <w:sz w:val="20"/>
                <w:szCs w:val="20"/>
                <w:color w:val="auto"/>
              </w:rPr>
            </w:pPr>
            <w:r>
              <w:rPr>
                <w:rFonts w:ascii="Arial" w:cs="Arial" w:eastAsia="Arial" w:hAnsi="Arial"/>
                <w:sz w:val="14"/>
                <w:szCs w:val="14"/>
                <w:color w:val="auto"/>
              </w:rPr>
              <w:t>Total</w:t>
            </w:r>
          </w:p>
        </w:tc>
        <w:tc>
          <w:tcPr>
            <w:tcW w:w="218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shd w:val="clear" w:color="auto" w:fill="D8D8D8"/>
          </w:tcPr>
          <w:p>
            <w:pPr>
              <w:jc w:val="right"/>
              <w:ind w:right="149"/>
              <w:spacing w:after="0" w:line="155" w:lineRule="exact"/>
              <w:rPr>
                <w:sz w:val="20"/>
                <w:szCs w:val="20"/>
                <w:color w:val="auto"/>
              </w:rPr>
            </w:pPr>
            <w:r>
              <w:rPr>
                <w:rFonts w:ascii="Arial" w:cs="Arial" w:eastAsia="Arial" w:hAnsi="Arial"/>
                <w:sz w:val="14"/>
                <w:szCs w:val="14"/>
                <w:color w:val="auto"/>
              </w:rPr>
              <w:t>(173)</w:t>
            </w:r>
          </w:p>
        </w:tc>
        <w:tc>
          <w:tcPr>
            <w:tcW w:w="44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109"/>
              <w:spacing w:after="0" w:line="155" w:lineRule="exact"/>
              <w:rPr>
                <w:sz w:val="20"/>
                <w:szCs w:val="20"/>
                <w:color w:val="auto"/>
              </w:rPr>
            </w:pPr>
            <w:r>
              <w:rPr>
                <w:rFonts w:ascii="Arial" w:cs="Arial" w:eastAsia="Arial" w:hAnsi="Arial"/>
                <w:sz w:val="14"/>
                <w:szCs w:val="14"/>
                <w:color w:val="auto"/>
              </w:rPr>
              <w:t>(1,516)</w:t>
            </w:r>
          </w:p>
        </w:tc>
        <w:tc>
          <w:tcPr>
            <w:tcW w:w="1000" w:type="dxa"/>
            <w:vAlign w:val="bottom"/>
            <w:tcBorders>
              <w:bottom w:val="single" w:sz="8" w:color="auto"/>
            </w:tcBorders>
          </w:tcPr>
          <w:p>
            <w:pPr>
              <w:jc w:val="right"/>
              <w:ind w:right="149"/>
              <w:spacing w:after="0" w:line="155" w:lineRule="exact"/>
              <w:rPr>
                <w:sz w:val="20"/>
                <w:szCs w:val="20"/>
                <w:color w:val="auto"/>
              </w:rPr>
            </w:pPr>
            <w:r>
              <w:rPr>
                <w:rFonts w:ascii="Arial" w:cs="Arial" w:eastAsia="Arial" w:hAnsi="Arial"/>
                <w:sz w:val="14"/>
                <w:szCs w:val="14"/>
                <w:color w:val="auto"/>
              </w:rPr>
              <w:t>830</w:t>
            </w:r>
          </w:p>
        </w:tc>
        <w:tc>
          <w:tcPr>
            <w:tcW w:w="0" w:type="dxa"/>
            <w:vAlign w:val="bottom"/>
          </w:tcPr>
          <w:p>
            <w:pPr>
              <w:spacing w:after="0"/>
              <w:rPr>
                <w:sz w:val="1"/>
                <w:szCs w:val="1"/>
                <w:color w:val="auto"/>
              </w:rPr>
            </w:pPr>
          </w:p>
        </w:tc>
      </w:tr>
      <w:tr>
        <w:trPr>
          <w:trHeight w:val="156"/>
        </w:trPr>
        <w:tc>
          <w:tcPr>
            <w:tcW w:w="5800" w:type="dxa"/>
            <w:vAlign w:val="bottom"/>
            <w:tcBorders>
              <w:bottom w:val="single" w:sz="8" w:color="auto"/>
            </w:tcBorders>
            <w:gridSpan w:val="2"/>
          </w:tcPr>
          <w:p>
            <w:pPr>
              <w:spacing w:after="0" w:line="155" w:lineRule="exact"/>
              <w:rPr>
                <w:sz w:val="20"/>
                <w:szCs w:val="20"/>
                <w:color w:val="auto"/>
              </w:rPr>
            </w:pPr>
            <w:r>
              <w:rPr>
                <w:rFonts w:ascii="Arial" w:cs="Arial" w:eastAsia="Arial" w:hAnsi="Arial"/>
                <w:sz w:val="14"/>
                <w:szCs w:val="14"/>
                <w:color w:val="auto"/>
              </w:rPr>
              <w:t>Total taxation charge</w:t>
            </w:r>
          </w:p>
        </w:tc>
        <w:tc>
          <w:tcPr>
            <w:tcW w:w="218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shd w:val="clear" w:color="auto" w:fill="D8D8D8"/>
          </w:tcPr>
          <w:p>
            <w:pPr>
              <w:jc w:val="right"/>
              <w:ind w:right="149"/>
              <w:spacing w:after="0" w:line="155" w:lineRule="exact"/>
              <w:rPr>
                <w:sz w:val="20"/>
                <w:szCs w:val="20"/>
                <w:color w:val="auto"/>
              </w:rPr>
            </w:pPr>
            <w:r>
              <w:rPr>
                <w:rFonts w:ascii="Arial" w:cs="Arial" w:eastAsia="Arial" w:hAnsi="Arial"/>
                <w:sz w:val="14"/>
                <w:szCs w:val="14"/>
                <w:color w:val="auto"/>
              </w:rPr>
              <w:t>13,584</w:t>
            </w:r>
          </w:p>
        </w:tc>
        <w:tc>
          <w:tcPr>
            <w:tcW w:w="44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149"/>
              <w:spacing w:after="0" w:line="155" w:lineRule="exact"/>
              <w:rPr>
                <w:sz w:val="20"/>
                <w:szCs w:val="20"/>
                <w:color w:val="auto"/>
              </w:rPr>
            </w:pPr>
            <w:r>
              <w:rPr>
                <w:rFonts w:ascii="Arial" w:cs="Arial" w:eastAsia="Arial" w:hAnsi="Arial"/>
                <w:sz w:val="14"/>
                <w:szCs w:val="14"/>
                <w:color w:val="auto"/>
              </w:rPr>
              <w:t>17,066</w:t>
            </w:r>
          </w:p>
        </w:tc>
        <w:tc>
          <w:tcPr>
            <w:tcW w:w="1000" w:type="dxa"/>
            <w:vAlign w:val="bottom"/>
            <w:tcBorders>
              <w:bottom w:val="single" w:sz="8" w:color="auto"/>
            </w:tcBorders>
          </w:tcPr>
          <w:p>
            <w:pPr>
              <w:jc w:val="right"/>
              <w:ind w:right="149"/>
              <w:spacing w:after="0" w:line="155" w:lineRule="exact"/>
              <w:rPr>
                <w:sz w:val="20"/>
                <w:szCs w:val="20"/>
                <w:color w:val="auto"/>
              </w:rPr>
            </w:pPr>
            <w:r>
              <w:rPr>
                <w:rFonts w:ascii="Arial" w:cs="Arial" w:eastAsia="Arial" w:hAnsi="Arial"/>
                <w:sz w:val="14"/>
                <w:szCs w:val="14"/>
                <w:color w:val="auto"/>
              </w:rPr>
              <w:t>23,552</w:t>
            </w:r>
          </w:p>
        </w:tc>
        <w:tc>
          <w:tcPr>
            <w:tcW w:w="0" w:type="dxa"/>
            <w:vAlign w:val="bottom"/>
          </w:tcPr>
          <w:p>
            <w:pPr>
              <w:spacing w:after="0"/>
              <w:rPr>
                <w:sz w:val="1"/>
                <w:szCs w:val="1"/>
                <w:color w:val="auto"/>
              </w:rPr>
            </w:pPr>
          </w:p>
        </w:tc>
      </w:tr>
      <w:tr>
        <w:trPr>
          <w:trHeight w:val="210"/>
        </w:trPr>
        <w:tc>
          <w:tcPr>
            <w:tcW w:w="9520" w:type="dxa"/>
            <w:vAlign w:val="bottom"/>
            <w:gridSpan w:val="5"/>
          </w:tcPr>
          <w:p>
            <w:pPr>
              <w:spacing w:after="0"/>
              <w:rPr>
                <w:sz w:val="18"/>
                <w:szCs w:val="18"/>
                <w:color w:val="auto"/>
              </w:rPr>
            </w:pPr>
          </w:p>
        </w:tc>
        <w:tc>
          <w:tcPr>
            <w:tcW w:w="9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9520" w:type="dxa"/>
            <w:vAlign w:val="bottom"/>
            <w:gridSpan w:val="5"/>
            <w:shd w:val="clear" w:color="auto" w:fill="333333"/>
          </w:tcPr>
          <w:p>
            <w:pPr>
              <w:ind w:left="80"/>
              <w:spacing w:after="0" w:line="162" w:lineRule="exact"/>
              <w:rPr>
                <w:sz w:val="20"/>
                <w:szCs w:val="20"/>
                <w:color w:val="auto"/>
              </w:rPr>
            </w:pPr>
            <w:r>
              <w:rPr>
                <w:rFonts w:ascii="Arial" w:cs="Arial" w:eastAsia="Arial" w:hAnsi="Arial"/>
                <w:sz w:val="15"/>
                <w:szCs w:val="15"/>
                <w:b w:val="1"/>
                <w:bCs w:val="1"/>
                <w:color w:val="FFFFFF"/>
              </w:rPr>
              <w:t>RECONCILIATION OF APPLICABLE TAX CHARGE AT STATUTORY TAX RATES TO TAXATION CHARGE</w:t>
            </w:r>
          </w:p>
        </w:tc>
        <w:tc>
          <w:tcPr>
            <w:tcW w:w="900" w:type="dxa"/>
            <w:vAlign w:val="bottom"/>
            <w:shd w:val="clear" w:color="auto" w:fill="333333"/>
          </w:tcPr>
          <w:p>
            <w:pPr>
              <w:spacing w:after="0"/>
              <w:rPr>
                <w:sz w:val="14"/>
                <w:szCs w:val="14"/>
                <w:color w:val="auto"/>
              </w:rPr>
            </w:pPr>
          </w:p>
        </w:tc>
        <w:tc>
          <w:tcPr>
            <w:tcW w:w="1000" w:type="dxa"/>
            <w:vAlign w:val="bottom"/>
            <w:shd w:val="clear" w:color="auto" w:fill="333333"/>
          </w:tcPr>
          <w:p>
            <w:pPr>
              <w:jc w:val="right"/>
              <w:ind w:right="29"/>
              <w:spacing w:after="0" w:line="162" w:lineRule="exact"/>
              <w:rPr>
                <w:sz w:val="20"/>
                <w:szCs w:val="20"/>
                <w:color w:val="auto"/>
              </w:rPr>
            </w:pPr>
            <w:r>
              <w:rPr>
                <w:rFonts w:ascii="Arial" w:cs="Arial" w:eastAsia="Arial" w:hAnsi="Arial"/>
                <w:sz w:val="15"/>
                <w:szCs w:val="15"/>
                <w:color w:val="FFFFFF"/>
              </w:rPr>
              <w:t>$ MILLION</w:t>
            </w:r>
          </w:p>
        </w:tc>
        <w:tc>
          <w:tcPr>
            <w:tcW w:w="0" w:type="dxa"/>
            <w:vAlign w:val="bottom"/>
          </w:tcPr>
          <w:p>
            <w:pPr>
              <w:spacing w:after="0"/>
              <w:rPr>
                <w:sz w:val="1"/>
                <w:szCs w:val="1"/>
                <w:color w:val="auto"/>
              </w:rPr>
            </w:pPr>
          </w:p>
        </w:tc>
      </w:tr>
      <w:tr>
        <w:trPr>
          <w:trHeight w:val="149"/>
        </w:trPr>
        <w:tc>
          <w:tcPr>
            <w:tcW w:w="560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218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shd w:val="clear" w:color="auto" w:fill="D8D8D8"/>
          </w:tcPr>
          <w:p>
            <w:pPr>
              <w:jc w:val="right"/>
              <w:ind w:right="149"/>
              <w:spacing w:after="0"/>
              <w:rPr>
                <w:sz w:val="20"/>
                <w:szCs w:val="20"/>
                <w:color w:val="auto"/>
              </w:rPr>
            </w:pPr>
            <w:r>
              <w:rPr>
                <w:rFonts w:ascii="Arial" w:cs="Arial" w:eastAsia="Arial" w:hAnsi="Arial"/>
                <w:sz w:val="13"/>
                <w:szCs w:val="13"/>
                <w:color w:val="auto"/>
              </w:rPr>
              <w:t>2014</w:t>
            </w:r>
          </w:p>
        </w:tc>
        <w:tc>
          <w:tcPr>
            <w:tcW w:w="44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149"/>
              <w:spacing w:after="0"/>
              <w:rPr>
                <w:sz w:val="20"/>
                <w:szCs w:val="20"/>
                <w:color w:val="auto"/>
              </w:rPr>
            </w:pPr>
            <w:r>
              <w:rPr>
                <w:rFonts w:ascii="Arial" w:cs="Arial" w:eastAsia="Arial" w:hAnsi="Arial"/>
                <w:sz w:val="13"/>
                <w:szCs w:val="13"/>
                <w:color w:val="auto"/>
              </w:rPr>
              <w:t>2013</w:t>
            </w:r>
          </w:p>
        </w:tc>
        <w:tc>
          <w:tcPr>
            <w:tcW w:w="1000" w:type="dxa"/>
            <w:vAlign w:val="bottom"/>
            <w:tcBorders>
              <w:bottom w:val="single" w:sz="8" w:color="auto"/>
            </w:tcBorders>
          </w:tcPr>
          <w:p>
            <w:pPr>
              <w:jc w:val="right"/>
              <w:ind w:right="149"/>
              <w:spacing w:after="0"/>
              <w:rPr>
                <w:sz w:val="20"/>
                <w:szCs w:val="20"/>
                <w:color w:val="auto"/>
              </w:rPr>
            </w:pPr>
            <w:r>
              <w:rPr>
                <w:rFonts w:ascii="Arial" w:cs="Arial" w:eastAsia="Arial" w:hAnsi="Arial"/>
                <w:sz w:val="13"/>
                <w:szCs w:val="13"/>
                <w:color w:val="auto"/>
              </w:rPr>
              <w:t>2012</w:t>
            </w:r>
          </w:p>
        </w:tc>
        <w:tc>
          <w:tcPr>
            <w:tcW w:w="0" w:type="dxa"/>
            <w:vAlign w:val="bottom"/>
          </w:tcPr>
          <w:p>
            <w:pPr>
              <w:spacing w:after="0"/>
              <w:rPr>
                <w:sz w:val="1"/>
                <w:szCs w:val="1"/>
                <w:color w:val="auto"/>
              </w:rPr>
            </w:pPr>
          </w:p>
        </w:tc>
      </w:tr>
      <w:tr>
        <w:trPr>
          <w:trHeight w:val="156"/>
        </w:trPr>
        <w:tc>
          <w:tcPr>
            <w:tcW w:w="5800" w:type="dxa"/>
            <w:vAlign w:val="bottom"/>
            <w:gridSpan w:val="2"/>
          </w:tcPr>
          <w:p>
            <w:pPr>
              <w:spacing w:after="0" w:line="155" w:lineRule="exact"/>
              <w:rPr>
                <w:sz w:val="20"/>
                <w:szCs w:val="20"/>
                <w:color w:val="auto"/>
              </w:rPr>
            </w:pPr>
            <w:r>
              <w:rPr>
                <w:rFonts w:ascii="Arial" w:cs="Arial" w:eastAsia="Arial" w:hAnsi="Arial"/>
                <w:sz w:val="14"/>
                <w:szCs w:val="14"/>
                <w:color w:val="auto"/>
              </w:rPr>
              <w:t>Income before taxation</w:t>
            </w:r>
          </w:p>
        </w:tc>
        <w:tc>
          <w:tcPr>
            <w:tcW w:w="2180" w:type="dxa"/>
            <w:vAlign w:val="bottom"/>
          </w:tcPr>
          <w:p>
            <w:pPr>
              <w:spacing w:after="0"/>
              <w:rPr>
                <w:sz w:val="13"/>
                <w:szCs w:val="13"/>
                <w:color w:val="auto"/>
              </w:rPr>
            </w:pPr>
          </w:p>
        </w:tc>
        <w:tc>
          <w:tcPr>
            <w:tcW w:w="1100" w:type="dxa"/>
            <w:vAlign w:val="bottom"/>
            <w:shd w:val="clear" w:color="auto" w:fill="D8D8D8"/>
          </w:tcPr>
          <w:p>
            <w:pPr>
              <w:jc w:val="right"/>
              <w:ind w:right="149"/>
              <w:spacing w:after="0" w:line="155" w:lineRule="exact"/>
              <w:rPr>
                <w:sz w:val="20"/>
                <w:szCs w:val="20"/>
                <w:color w:val="auto"/>
              </w:rPr>
            </w:pPr>
            <w:r>
              <w:rPr>
                <w:rFonts w:ascii="Arial" w:cs="Arial" w:eastAsia="Arial" w:hAnsi="Arial"/>
                <w:sz w:val="14"/>
                <w:szCs w:val="14"/>
                <w:color w:val="auto"/>
              </w:rPr>
              <w:t>28,314</w:t>
            </w:r>
          </w:p>
        </w:tc>
        <w:tc>
          <w:tcPr>
            <w:tcW w:w="440" w:type="dxa"/>
            <w:vAlign w:val="bottom"/>
          </w:tcPr>
          <w:p>
            <w:pPr>
              <w:spacing w:after="0"/>
              <w:rPr>
                <w:sz w:val="13"/>
                <w:szCs w:val="13"/>
                <w:color w:val="auto"/>
              </w:rPr>
            </w:pPr>
          </w:p>
        </w:tc>
        <w:tc>
          <w:tcPr>
            <w:tcW w:w="900" w:type="dxa"/>
            <w:vAlign w:val="bottom"/>
          </w:tcPr>
          <w:p>
            <w:pPr>
              <w:jc w:val="right"/>
              <w:ind w:right="149"/>
              <w:spacing w:after="0" w:line="155" w:lineRule="exact"/>
              <w:rPr>
                <w:sz w:val="20"/>
                <w:szCs w:val="20"/>
                <w:color w:val="auto"/>
              </w:rPr>
            </w:pPr>
            <w:r>
              <w:rPr>
                <w:rFonts w:ascii="Arial" w:cs="Arial" w:eastAsia="Arial" w:hAnsi="Arial"/>
                <w:sz w:val="14"/>
                <w:szCs w:val="14"/>
                <w:color w:val="auto"/>
              </w:rPr>
              <w:t>33,592</w:t>
            </w:r>
          </w:p>
        </w:tc>
        <w:tc>
          <w:tcPr>
            <w:tcW w:w="1000" w:type="dxa"/>
            <w:vAlign w:val="bottom"/>
          </w:tcPr>
          <w:p>
            <w:pPr>
              <w:jc w:val="right"/>
              <w:ind w:right="149"/>
              <w:spacing w:after="0" w:line="155" w:lineRule="exact"/>
              <w:rPr>
                <w:sz w:val="20"/>
                <w:szCs w:val="20"/>
                <w:color w:val="auto"/>
              </w:rPr>
            </w:pPr>
            <w:r>
              <w:rPr>
                <w:rFonts w:ascii="Arial" w:cs="Arial" w:eastAsia="Arial" w:hAnsi="Arial"/>
                <w:sz w:val="14"/>
                <w:szCs w:val="14"/>
                <w:color w:val="auto"/>
              </w:rPr>
              <w:t>50,512</w:t>
            </w:r>
          </w:p>
        </w:tc>
        <w:tc>
          <w:tcPr>
            <w:tcW w:w="0" w:type="dxa"/>
            <w:vAlign w:val="bottom"/>
          </w:tcPr>
          <w:p>
            <w:pPr>
              <w:spacing w:after="0"/>
              <w:rPr>
                <w:sz w:val="1"/>
                <w:szCs w:val="1"/>
                <w:color w:val="auto"/>
              </w:rPr>
            </w:pPr>
          </w:p>
        </w:tc>
      </w:tr>
      <w:tr>
        <w:trPr>
          <w:trHeight w:val="162"/>
        </w:trPr>
        <w:tc>
          <w:tcPr>
            <w:tcW w:w="5800" w:type="dxa"/>
            <w:vAlign w:val="bottom"/>
            <w:tcBorders>
              <w:bottom w:val="single" w:sz="8" w:color="auto"/>
            </w:tcBorders>
            <w:gridSpan w:val="2"/>
          </w:tcPr>
          <w:p>
            <w:pPr>
              <w:spacing w:after="0"/>
              <w:rPr>
                <w:sz w:val="20"/>
                <w:szCs w:val="20"/>
                <w:color w:val="auto"/>
              </w:rPr>
            </w:pPr>
            <w:r>
              <w:rPr>
                <w:rFonts w:ascii="Arial" w:cs="Arial" w:eastAsia="Arial" w:hAnsi="Arial"/>
                <w:sz w:val="14"/>
                <w:szCs w:val="14"/>
                <w:color w:val="auto"/>
              </w:rPr>
              <w:t>Less: share of profit of joint ventures and associates</w:t>
            </w:r>
          </w:p>
        </w:tc>
        <w:tc>
          <w:tcPr>
            <w:tcW w:w="218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shd w:val="clear" w:color="auto" w:fill="D8D8D8"/>
          </w:tcPr>
          <w:p>
            <w:pPr>
              <w:jc w:val="right"/>
              <w:ind w:right="149"/>
              <w:spacing w:after="0"/>
              <w:rPr>
                <w:sz w:val="20"/>
                <w:szCs w:val="20"/>
                <w:color w:val="auto"/>
              </w:rPr>
            </w:pPr>
            <w:r>
              <w:rPr>
                <w:rFonts w:ascii="Arial" w:cs="Arial" w:eastAsia="Arial" w:hAnsi="Arial"/>
                <w:sz w:val="14"/>
                <w:szCs w:val="14"/>
                <w:color w:val="auto"/>
              </w:rPr>
              <w:t>(6,116)</w:t>
            </w:r>
          </w:p>
        </w:tc>
        <w:tc>
          <w:tcPr>
            <w:tcW w:w="4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color w:val="auto"/>
              </w:rPr>
              <w:t>(7,275)</w:t>
            </w:r>
          </w:p>
        </w:tc>
        <w:tc>
          <w:tcPr>
            <w:tcW w:w="1000" w:type="dxa"/>
            <w:vAlign w:val="bottom"/>
            <w:tcBorders>
              <w:bottom w:val="single" w:sz="8" w:color="auto"/>
            </w:tcBorders>
          </w:tcPr>
          <w:p>
            <w:pPr>
              <w:jc w:val="right"/>
              <w:ind w:right="89"/>
              <w:spacing w:after="0"/>
              <w:rPr>
                <w:sz w:val="20"/>
                <w:szCs w:val="20"/>
                <w:color w:val="auto"/>
              </w:rPr>
            </w:pPr>
            <w:r>
              <w:rPr>
                <w:rFonts w:ascii="Arial" w:cs="Arial" w:eastAsia="Arial" w:hAnsi="Arial"/>
                <w:sz w:val="14"/>
                <w:szCs w:val="14"/>
                <w:color w:val="auto"/>
              </w:rPr>
              <w:t>(8,948)</w:t>
            </w:r>
          </w:p>
        </w:tc>
        <w:tc>
          <w:tcPr>
            <w:tcW w:w="0" w:type="dxa"/>
            <w:vAlign w:val="bottom"/>
          </w:tcPr>
          <w:p>
            <w:pPr>
              <w:spacing w:after="0"/>
              <w:rPr>
                <w:sz w:val="1"/>
                <w:szCs w:val="1"/>
                <w:color w:val="auto"/>
              </w:rPr>
            </w:pPr>
          </w:p>
        </w:tc>
      </w:tr>
      <w:tr>
        <w:trPr>
          <w:trHeight w:val="156"/>
        </w:trPr>
        <w:tc>
          <w:tcPr>
            <w:tcW w:w="5800" w:type="dxa"/>
            <w:vAlign w:val="bottom"/>
            <w:tcBorders>
              <w:bottom w:val="single" w:sz="8" w:color="auto"/>
            </w:tcBorders>
            <w:gridSpan w:val="2"/>
          </w:tcPr>
          <w:p>
            <w:pPr>
              <w:spacing w:after="0" w:line="155" w:lineRule="exact"/>
              <w:rPr>
                <w:sz w:val="20"/>
                <w:szCs w:val="20"/>
                <w:color w:val="auto"/>
              </w:rPr>
            </w:pPr>
            <w:r>
              <w:rPr>
                <w:rFonts w:ascii="Arial" w:cs="Arial" w:eastAsia="Arial" w:hAnsi="Arial"/>
                <w:sz w:val="14"/>
                <w:szCs w:val="14"/>
                <w:color w:val="auto"/>
              </w:rPr>
              <w:t>Income before taxation and share of profit of joint ventures and associates</w:t>
            </w:r>
          </w:p>
        </w:tc>
        <w:tc>
          <w:tcPr>
            <w:tcW w:w="218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shd w:val="clear" w:color="auto" w:fill="D8D8D8"/>
          </w:tcPr>
          <w:p>
            <w:pPr>
              <w:jc w:val="right"/>
              <w:ind w:right="149"/>
              <w:spacing w:after="0" w:line="155" w:lineRule="exact"/>
              <w:rPr>
                <w:sz w:val="20"/>
                <w:szCs w:val="20"/>
                <w:color w:val="auto"/>
              </w:rPr>
            </w:pPr>
            <w:r>
              <w:rPr>
                <w:rFonts w:ascii="Arial" w:cs="Arial" w:eastAsia="Arial" w:hAnsi="Arial"/>
                <w:sz w:val="14"/>
                <w:szCs w:val="14"/>
                <w:color w:val="auto"/>
              </w:rPr>
              <w:t>22,198</w:t>
            </w:r>
          </w:p>
        </w:tc>
        <w:tc>
          <w:tcPr>
            <w:tcW w:w="44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149"/>
              <w:spacing w:after="0" w:line="155" w:lineRule="exact"/>
              <w:rPr>
                <w:sz w:val="20"/>
                <w:szCs w:val="20"/>
                <w:color w:val="auto"/>
              </w:rPr>
            </w:pPr>
            <w:r>
              <w:rPr>
                <w:rFonts w:ascii="Arial" w:cs="Arial" w:eastAsia="Arial" w:hAnsi="Arial"/>
                <w:sz w:val="14"/>
                <w:szCs w:val="14"/>
                <w:color w:val="auto"/>
              </w:rPr>
              <w:t>26,317</w:t>
            </w:r>
          </w:p>
        </w:tc>
        <w:tc>
          <w:tcPr>
            <w:tcW w:w="1000" w:type="dxa"/>
            <w:vAlign w:val="bottom"/>
            <w:tcBorders>
              <w:bottom w:val="single" w:sz="8" w:color="auto"/>
            </w:tcBorders>
          </w:tcPr>
          <w:p>
            <w:pPr>
              <w:jc w:val="right"/>
              <w:ind w:right="149"/>
              <w:spacing w:after="0" w:line="155" w:lineRule="exact"/>
              <w:rPr>
                <w:sz w:val="20"/>
                <w:szCs w:val="20"/>
                <w:color w:val="auto"/>
              </w:rPr>
            </w:pPr>
            <w:r>
              <w:rPr>
                <w:rFonts w:ascii="Arial" w:cs="Arial" w:eastAsia="Arial" w:hAnsi="Arial"/>
                <w:sz w:val="14"/>
                <w:szCs w:val="14"/>
                <w:color w:val="auto"/>
              </w:rPr>
              <w:t>41,564</w:t>
            </w:r>
          </w:p>
        </w:tc>
        <w:tc>
          <w:tcPr>
            <w:tcW w:w="0" w:type="dxa"/>
            <w:vAlign w:val="bottom"/>
          </w:tcPr>
          <w:p>
            <w:pPr>
              <w:spacing w:after="0"/>
              <w:rPr>
                <w:sz w:val="1"/>
                <w:szCs w:val="1"/>
                <w:color w:val="auto"/>
              </w:rPr>
            </w:pPr>
          </w:p>
        </w:tc>
      </w:tr>
      <w:tr>
        <w:trPr>
          <w:trHeight w:val="160"/>
        </w:trPr>
        <w:tc>
          <w:tcPr>
            <w:tcW w:w="5800" w:type="dxa"/>
            <w:vAlign w:val="bottom"/>
            <w:gridSpan w:val="2"/>
          </w:tcPr>
          <w:p>
            <w:pPr>
              <w:spacing w:after="0"/>
              <w:rPr>
                <w:sz w:val="20"/>
                <w:szCs w:val="20"/>
                <w:color w:val="auto"/>
              </w:rPr>
            </w:pPr>
            <w:r>
              <w:rPr>
                <w:rFonts w:ascii="Arial" w:cs="Arial" w:eastAsia="Arial" w:hAnsi="Arial"/>
                <w:sz w:val="14"/>
                <w:szCs w:val="14"/>
                <w:color w:val="auto"/>
              </w:rPr>
              <w:t>Applicable tax charge at statutory tax rates</w:t>
            </w:r>
          </w:p>
        </w:tc>
        <w:tc>
          <w:tcPr>
            <w:tcW w:w="2180" w:type="dxa"/>
            <w:vAlign w:val="bottom"/>
          </w:tcPr>
          <w:p>
            <w:pPr>
              <w:spacing w:after="0"/>
              <w:rPr>
                <w:sz w:val="13"/>
                <w:szCs w:val="13"/>
                <w:color w:val="auto"/>
              </w:rPr>
            </w:pPr>
          </w:p>
        </w:tc>
        <w:tc>
          <w:tcPr>
            <w:tcW w:w="1100" w:type="dxa"/>
            <w:vAlign w:val="bottom"/>
            <w:shd w:val="clear" w:color="auto" w:fill="D8D8D8"/>
          </w:tcPr>
          <w:p>
            <w:pPr>
              <w:jc w:val="right"/>
              <w:ind w:right="149"/>
              <w:spacing w:after="0"/>
              <w:rPr>
                <w:sz w:val="20"/>
                <w:szCs w:val="20"/>
                <w:color w:val="auto"/>
              </w:rPr>
            </w:pPr>
            <w:r>
              <w:rPr>
                <w:rFonts w:ascii="Arial" w:cs="Arial" w:eastAsia="Arial" w:hAnsi="Arial"/>
                <w:sz w:val="14"/>
                <w:szCs w:val="14"/>
                <w:color w:val="auto"/>
              </w:rPr>
              <w:t>11,206</w:t>
            </w:r>
          </w:p>
        </w:tc>
        <w:tc>
          <w:tcPr>
            <w:tcW w:w="440" w:type="dxa"/>
            <w:vAlign w:val="bottom"/>
          </w:tcPr>
          <w:p>
            <w:pPr>
              <w:spacing w:after="0"/>
              <w:rPr>
                <w:sz w:val="13"/>
                <w:szCs w:val="13"/>
                <w:color w:val="auto"/>
              </w:rPr>
            </w:pPr>
          </w:p>
        </w:tc>
        <w:tc>
          <w:tcPr>
            <w:tcW w:w="900" w:type="dxa"/>
            <w:vAlign w:val="bottom"/>
          </w:tcPr>
          <w:p>
            <w:pPr>
              <w:jc w:val="right"/>
              <w:ind w:right="149"/>
              <w:spacing w:after="0"/>
              <w:rPr>
                <w:sz w:val="20"/>
                <w:szCs w:val="20"/>
                <w:color w:val="auto"/>
              </w:rPr>
            </w:pPr>
            <w:r>
              <w:rPr>
                <w:rFonts w:ascii="Arial" w:cs="Arial" w:eastAsia="Arial" w:hAnsi="Arial"/>
                <w:sz w:val="14"/>
                <w:szCs w:val="14"/>
                <w:color w:val="auto"/>
              </w:rPr>
              <w:t>16,463</w:t>
            </w:r>
          </w:p>
        </w:tc>
        <w:tc>
          <w:tcPr>
            <w:tcW w:w="1000" w:type="dxa"/>
            <w:vAlign w:val="bottom"/>
          </w:tcPr>
          <w:p>
            <w:pPr>
              <w:jc w:val="right"/>
              <w:ind w:right="149"/>
              <w:spacing w:after="0"/>
              <w:rPr>
                <w:sz w:val="20"/>
                <w:szCs w:val="20"/>
                <w:color w:val="auto"/>
              </w:rPr>
            </w:pPr>
            <w:r>
              <w:rPr>
                <w:rFonts w:ascii="Arial" w:cs="Arial" w:eastAsia="Arial" w:hAnsi="Arial"/>
                <w:sz w:val="14"/>
                <w:szCs w:val="14"/>
                <w:color w:val="auto"/>
              </w:rPr>
              <w:t>23,790</w:t>
            </w:r>
          </w:p>
        </w:tc>
        <w:tc>
          <w:tcPr>
            <w:tcW w:w="0" w:type="dxa"/>
            <w:vAlign w:val="bottom"/>
          </w:tcPr>
          <w:p>
            <w:pPr>
              <w:spacing w:after="0"/>
              <w:rPr>
                <w:sz w:val="1"/>
                <w:szCs w:val="1"/>
                <w:color w:val="auto"/>
              </w:rPr>
            </w:pPr>
          </w:p>
        </w:tc>
      </w:tr>
      <w:tr>
        <w:trPr>
          <w:trHeight w:val="162"/>
        </w:trPr>
        <w:tc>
          <w:tcPr>
            <w:tcW w:w="5800" w:type="dxa"/>
            <w:vAlign w:val="bottom"/>
            <w:gridSpan w:val="2"/>
          </w:tcPr>
          <w:p>
            <w:pPr>
              <w:spacing w:after="0"/>
              <w:rPr>
                <w:sz w:val="20"/>
                <w:szCs w:val="20"/>
                <w:color w:val="auto"/>
              </w:rPr>
            </w:pPr>
            <w:r>
              <w:rPr>
                <w:rFonts w:ascii="Arial" w:cs="Arial" w:eastAsia="Arial" w:hAnsi="Arial"/>
                <w:sz w:val="14"/>
                <w:szCs w:val="14"/>
                <w:color w:val="auto"/>
              </w:rPr>
              <w:t>Adjustment in respect of prior periods</w:t>
            </w:r>
          </w:p>
        </w:tc>
        <w:tc>
          <w:tcPr>
            <w:tcW w:w="2180" w:type="dxa"/>
            <w:vAlign w:val="bottom"/>
          </w:tcPr>
          <w:p>
            <w:pPr>
              <w:spacing w:after="0"/>
              <w:rPr>
                <w:sz w:val="14"/>
                <w:szCs w:val="14"/>
                <w:color w:val="auto"/>
              </w:rPr>
            </w:pPr>
          </w:p>
        </w:tc>
        <w:tc>
          <w:tcPr>
            <w:tcW w:w="1100" w:type="dxa"/>
            <w:vAlign w:val="bottom"/>
            <w:shd w:val="clear" w:color="auto" w:fill="D8D8D8"/>
          </w:tcPr>
          <w:p>
            <w:pPr>
              <w:jc w:val="right"/>
              <w:ind w:right="149"/>
              <w:spacing w:after="0"/>
              <w:rPr>
                <w:sz w:val="20"/>
                <w:szCs w:val="20"/>
                <w:color w:val="auto"/>
              </w:rPr>
            </w:pPr>
            <w:r>
              <w:rPr>
                <w:rFonts w:ascii="Arial" w:cs="Arial" w:eastAsia="Arial" w:hAnsi="Arial"/>
                <w:sz w:val="14"/>
                <w:szCs w:val="14"/>
                <w:color w:val="auto"/>
              </w:rPr>
              <w:t>(161)</w:t>
            </w:r>
          </w:p>
        </w:tc>
        <w:tc>
          <w:tcPr>
            <w:tcW w:w="440" w:type="dxa"/>
            <w:vAlign w:val="bottom"/>
          </w:tcPr>
          <w:p>
            <w:pPr>
              <w:spacing w:after="0"/>
              <w:rPr>
                <w:sz w:val="14"/>
                <w:szCs w:val="14"/>
                <w:color w:val="auto"/>
              </w:rPr>
            </w:pPr>
          </w:p>
        </w:tc>
        <w:tc>
          <w:tcPr>
            <w:tcW w:w="900" w:type="dxa"/>
            <w:vAlign w:val="bottom"/>
          </w:tcPr>
          <w:p>
            <w:pPr>
              <w:jc w:val="right"/>
              <w:ind w:right="109"/>
              <w:spacing w:after="0"/>
              <w:rPr>
                <w:sz w:val="20"/>
                <w:szCs w:val="20"/>
                <w:color w:val="auto"/>
              </w:rPr>
            </w:pPr>
            <w:r>
              <w:rPr>
                <w:rFonts w:ascii="Arial" w:cs="Arial" w:eastAsia="Arial" w:hAnsi="Arial"/>
                <w:sz w:val="14"/>
                <w:szCs w:val="14"/>
                <w:color w:val="auto"/>
              </w:rPr>
              <w:t>(78)</w:t>
            </w:r>
          </w:p>
        </w:tc>
        <w:tc>
          <w:tcPr>
            <w:tcW w:w="1000" w:type="dxa"/>
            <w:vAlign w:val="bottom"/>
          </w:tcPr>
          <w:p>
            <w:pPr>
              <w:jc w:val="right"/>
              <w:ind w:right="89"/>
              <w:spacing w:after="0"/>
              <w:rPr>
                <w:sz w:val="20"/>
                <w:szCs w:val="20"/>
                <w:color w:val="auto"/>
              </w:rPr>
            </w:pPr>
            <w:r>
              <w:rPr>
                <w:rFonts w:ascii="Arial" w:cs="Arial" w:eastAsia="Arial" w:hAnsi="Arial"/>
                <w:sz w:val="14"/>
                <w:szCs w:val="14"/>
                <w:color w:val="auto"/>
              </w:rPr>
              <w:t>(47)</w:t>
            </w:r>
          </w:p>
        </w:tc>
        <w:tc>
          <w:tcPr>
            <w:tcW w:w="0" w:type="dxa"/>
            <w:vAlign w:val="bottom"/>
          </w:tcPr>
          <w:p>
            <w:pPr>
              <w:spacing w:after="0"/>
              <w:rPr>
                <w:sz w:val="1"/>
                <w:szCs w:val="1"/>
                <w:color w:val="auto"/>
              </w:rPr>
            </w:pPr>
          </w:p>
        </w:tc>
      </w:tr>
      <w:tr>
        <w:trPr>
          <w:trHeight w:val="162"/>
        </w:trPr>
        <w:tc>
          <w:tcPr>
            <w:tcW w:w="5800" w:type="dxa"/>
            <w:vAlign w:val="bottom"/>
            <w:gridSpan w:val="2"/>
          </w:tcPr>
          <w:p>
            <w:pPr>
              <w:spacing w:after="0"/>
              <w:rPr>
                <w:sz w:val="20"/>
                <w:szCs w:val="20"/>
                <w:color w:val="auto"/>
              </w:rPr>
            </w:pPr>
            <w:r>
              <w:rPr>
                <w:rFonts w:ascii="Arial" w:cs="Arial" w:eastAsia="Arial" w:hAnsi="Arial"/>
                <w:sz w:val="14"/>
                <w:szCs w:val="14"/>
                <w:color w:val="auto"/>
              </w:rPr>
              <w:t>Tax effects of:</w:t>
            </w:r>
          </w:p>
        </w:tc>
        <w:tc>
          <w:tcPr>
            <w:tcW w:w="2180" w:type="dxa"/>
            <w:vAlign w:val="bottom"/>
          </w:tcPr>
          <w:p>
            <w:pPr>
              <w:spacing w:after="0"/>
              <w:rPr>
                <w:sz w:val="14"/>
                <w:szCs w:val="14"/>
                <w:color w:val="auto"/>
              </w:rPr>
            </w:pPr>
          </w:p>
        </w:tc>
        <w:tc>
          <w:tcPr>
            <w:tcW w:w="1100" w:type="dxa"/>
            <w:vAlign w:val="bottom"/>
            <w:shd w:val="clear" w:color="auto" w:fill="D8D8D8"/>
          </w:tcPr>
          <w:p>
            <w:pPr>
              <w:spacing w:after="0"/>
              <w:rPr>
                <w:sz w:val="14"/>
                <w:szCs w:val="14"/>
                <w:color w:val="auto"/>
              </w:rPr>
            </w:pPr>
          </w:p>
        </w:tc>
        <w:tc>
          <w:tcPr>
            <w:tcW w:w="4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800" w:type="dxa"/>
            <w:vAlign w:val="bottom"/>
            <w:gridSpan w:val="2"/>
          </w:tcPr>
          <w:p>
            <w:pPr>
              <w:ind w:left="140"/>
              <w:spacing w:after="0"/>
              <w:rPr>
                <w:sz w:val="20"/>
                <w:szCs w:val="20"/>
                <w:color w:val="auto"/>
              </w:rPr>
            </w:pPr>
            <w:r>
              <w:rPr>
                <w:rFonts w:ascii="Arial" w:cs="Arial" w:eastAsia="Arial" w:hAnsi="Arial"/>
                <w:sz w:val="14"/>
                <w:szCs w:val="14"/>
                <w:color w:val="auto"/>
              </w:rPr>
              <w:t>Derecognition/(recognition) of deferred tax assets</w:t>
            </w:r>
          </w:p>
        </w:tc>
        <w:tc>
          <w:tcPr>
            <w:tcW w:w="2180" w:type="dxa"/>
            <w:vAlign w:val="bottom"/>
          </w:tcPr>
          <w:p>
            <w:pPr>
              <w:spacing w:after="0"/>
              <w:rPr>
                <w:sz w:val="14"/>
                <w:szCs w:val="14"/>
                <w:color w:val="auto"/>
              </w:rPr>
            </w:pPr>
          </w:p>
        </w:tc>
        <w:tc>
          <w:tcPr>
            <w:tcW w:w="1100" w:type="dxa"/>
            <w:vAlign w:val="bottom"/>
            <w:shd w:val="clear" w:color="auto" w:fill="D8D8D8"/>
          </w:tcPr>
          <w:p>
            <w:pPr>
              <w:jc w:val="right"/>
              <w:ind w:right="149"/>
              <w:spacing w:after="0"/>
              <w:rPr>
                <w:sz w:val="20"/>
                <w:szCs w:val="20"/>
                <w:color w:val="auto"/>
              </w:rPr>
            </w:pPr>
            <w:r>
              <w:rPr>
                <w:rFonts w:ascii="Arial" w:cs="Arial" w:eastAsia="Arial" w:hAnsi="Arial"/>
                <w:sz w:val="14"/>
                <w:szCs w:val="14"/>
                <w:color w:val="auto"/>
              </w:rPr>
              <w:t>1,015</w:t>
            </w:r>
          </w:p>
        </w:tc>
        <w:tc>
          <w:tcPr>
            <w:tcW w:w="440" w:type="dxa"/>
            <w:vAlign w:val="bottom"/>
          </w:tcPr>
          <w:p>
            <w:pPr>
              <w:spacing w:after="0"/>
              <w:rPr>
                <w:sz w:val="14"/>
                <w:szCs w:val="14"/>
                <w:color w:val="auto"/>
              </w:rPr>
            </w:pPr>
          </w:p>
        </w:tc>
        <w:tc>
          <w:tcPr>
            <w:tcW w:w="900" w:type="dxa"/>
            <w:vAlign w:val="bottom"/>
          </w:tcPr>
          <w:p>
            <w:pPr>
              <w:jc w:val="right"/>
              <w:ind w:right="149"/>
              <w:spacing w:after="0"/>
              <w:rPr>
                <w:sz w:val="20"/>
                <w:szCs w:val="20"/>
                <w:color w:val="auto"/>
              </w:rPr>
            </w:pPr>
            <w:r>
              <w:rPr>
                <w:rFonts w:ascii="Arial" w:cs="Arial" w:eastAsia="Arial" w:hAnsi="Arial"/>
                <w:sz w:val="14"/>
                <w:szCs w:val="14"/>
                <w:color w:val="auto"/>
              </w:rPr>
              <w:t>321</w:t>
            </w:r>
          </w:p>
        </w:tc>
        <w:tc>
          <w:tcPr>
            <w:tcW w:w="1000" w:type="dxa"/>
            <w:vAlign w:val="bottom"/>
          </w:tcPr>
          <w:p>
            <w:pPr>
              <w:jc w:val="right"/>
              <w:ind w:right="149"/>
              <w:spacing w:after="0"/>
              <w:rPr>
                <w:sz w:val="20"/>
                <w:szCs w:val="20"/>
                <w:color w:val="auto"/>
              </w:rPr>
            </w:pPr>
            <w:r>
              <w:rPr>
                <w:rFonts w:ascii="Arial" w:cs="Arial" w:eastAsia="Arial" w:hAnsi="Arial"/>
                <w:sz w:val="14"/>
                <w:szCs w:val="14"/>
                <w:color w:val="auto"/>
              </w:rPr>
              <w:t>206</w:t>
            </w:r>
          </w:p>
        </w:tc>
        <w:tc>
          <w:tcPr>
            <w:tcW w:w="0" w:type="dxa"/>
            <w:vAlign w:val="bottom"/>
          </w:tcPr>
          <w:p>
            <w:pPr>
              <w:spacing w:after="0"/>
              <w:rPr>
                <w:sz w:val="1"/>
                <w:szCs w:val="1"/>
                <w:color w:val="auto"/>
              </w:rPr>
            </w:pPr>
          </w:p>
        </w:tc>
      </w:tr>
      <w:tr>
        <w:trPr>
          <w:trHeight w:val="162"/>
        </w:trPr>
        <w:tc>
          <w:tcPr>
            <w:tcW w:w="5800" w:type="dxa"/>
            <w:vAlign w:val="bottom"/>
            <w:gridSpan w:val="2"/>
          </w:tcPr>
          <w:p>
            <w:pPr>
              <w:ind w:left="140"/>
              <w:spacing w:after="0"/>
              <w:rPr>
                <w:sz w:val="20"/>
                <w:szCs w:val="20"/>
                <w:color w:val="auto"/>
              </w:rPr>
            </w:pPr>
            <w:r>
              <w:rPr>
                <w:rFonts w:ascii="Arial" w:cs="Arial" w:eastAsia="Arial" w:hAnsi="Arial"/>
                <w:sz w:val="14"/>
                <w:szCs w:val="14"/>
                <w:color w:val="auto"/>
              </w:rPr>
              <w:t>Income not subject to tax at statutory rates</w:t>
            </w:r>
          </w:p>
        </w:tc>
        <w:tc>
          <w:tcPr>
            <w:tcW w:w="2180" w:type="dxa"/>
            <w:vAlign w:val="bottom"/>
          </w:tcPr>
          <w:p>
            <w:pPr>
              <w:spacing w:after="0"/>
              <w:rPr>
                <w:sz w:val="14"/>
                <w:szCs w:val="14"/>
                <w:color w:val="auto"/>
              </w:rPr>
            </w:pPr>
          </w:p>
        </w:tc>
        <w:tc>
          <w:tcPr>
            <w:tcW w:w="1100" w:type="dxa"/>
            <w:vAlign w:val="bottom"/>
            <w:shd w:val="clear" w:color="auto" w:fill="D8D8D8"/>
          </w:tcPr>
          <w:p>
            <w:pPr>
              <w:jc w:val="right"/>
              <w:ind w:right="149"/>
              <w:spacing w:after="0"/>
              <w:rPr>
                <w:sz w:val="20"/>
                <w:szCs w:val="20"/>
                <w:color w:val="auto"/>
              </w:rPr>
            </w:pPr>
            <w:r>
              <w:rPr>
                <w:rFonts w:ascii="Arial" w:cs="Arial" w:eastAsia="Arial" w:hAnsi="Arial"/>
                <w:sz w:val="14"/>
                <w:szCs w:val="14"/>
                <w:color w:val="auto"/>
              </w:rPr>
              <w:t>(1,864)</w:t>
            </w:r>
          </w:p>
        </w:tc>
        <w:tc>
          <w:tcPr>
            <w:tcW w:w="440" w:type="dxa"/>
            <w:vAlign w:val="bottom"/>
          </w:tcPr>
          <w:p>
            <w:pPr>
              <w:spacing w:after="0"/>
              <w:rPr>
                <w:sz w:val="14"/>
                <w:szCs w:val="14"/>
                <w:color w:val="auto"/>
              </w:rPr>
            </w:pPr>
          </w:p>
        </w:tc>
        <w:tc>
          <w:tcPr>
            <w:tcW w:w="900" w:type="dxa"/>
            <w:vAlign w:val="bottom"/>
          </w:tcPr>
          <w:p>
            <w:pPr>
              <w:jc w:val="right"/>
              <w:ind w:right="109"/>
              <w:spacing w:after="0"/>
              <w:rPr>
                <w:sz w:val="20"/>
                <w:szCs w:val="20"/>
                <w:color w:val="auto"/>
              </w:rPr>
            </w:pPr>
            <w:r>
              <w:rPr>
                <w:rFonts w:ascii="Arial" w:cs="Arial" w:eastAsia="Arial" w:hAnsi="Arial"/>
                <w:sz w:val="14"/>
                <w:szCs w:val="14"/>
                <w:color w:val="auto"/>
              </w:rPr>
              <w:t>(1,077)</w:t>
            </w:r>
          </w:p>
        </w:tc>
        <w:tc>
          <w:tcPr>
            <w:tcW w:w="1000" w:type="dxa"/>
            <w:vAlign w:val="bottom"/>
          </w:tcPr>
          <w:p>
            <w:pPr>
              <w:jc w:val="right"/>
              <w:ind w:right="89"/>
              <w:spacing w:after="0"/>
              <w:rPr>
                <w:sz w:val="20"/>
                <w:szCs w:val="20"/>
                <w:color w:val="auto"/>
              </w:rPr>
            </w:pPr>
            <w:r>
              <w:rPr>
                <w:rFonts w:ascii="Arial" w:cs="Arial" w:eastAsia="Arial" w:hAnsi="Arial"/>
                <w:sz w:val="14"/>
                <w:szCs w:val="14"/>
                <w:color w:val="auto"/>
              </w:rPr>
              <w:t>(1,369)</w:t>
            </w:r>
          </w:p>
        </w:tc>
        <w:tc>
          <w:tcPr>
            <w:tcW w:w="0" w:type="dxa"/>
            <w:vAlign w:val="bottom"/>
          </w:tcPr>
          <w:p>
            <w:pPr>
              <w:spacing w:after="0"/>
              <w:rPr>
                <w:sz w:val="1"/>
                <w:szCs w:val="1"/>
                <w:color w:val="auto"/>
              </w:rPr>
            </w:pPr>
          </w:p>
        </w:tc>
      </w:tr>
      <w:tr>
        <w:trPr>
          <w:trHeight w:val="162"/>
        </w:trPr>
        <w:tc>
          <w:tcPr>
            <w:tcW w:w="5800" w:type="dxa"/>
            <w:vAlign w:val="bottom"/>
            <w:gridSpan w:val="2"/>
          </w:tcPr>
          <w:p>
            <w:pPr>
              <w:ind w:left="140"/>
              <w:spacing w:after="0"/>
              <w:rPr>
                <w:sz w:val="20"/>
                <w:szCs w:val="20"/>
                <w:color w:val="auto"/>
              </w:rPr>
            </w:pPr>
            <w:r>
              <w:rPr>
                <w:rFonts w:ascii="Arial" w:cs="Arial" w:eastAsia="Arial" w:hAnsi="Arial"/>
                <w:sz w:val="14"/>
                <w:szCs w:val="14"/>
                <w:color w:val="auto"/>
              </w:rPr>
              <w:t>Expenses not deductible for tax purposes</w:t>
            </w:r>
          </w:p>
        </w:tc>
        <w:tc>
          <w:tcPr>
            <w:tcW w:w="2180" w:type="dxa"/>
            <w:vAlign w:val="bottom"/>
          </w:tcPr>
          <w:p>
            <w:pPr>
              <w:spacing w:after="0"/>
              <w:rPr>
                <w:sz w:val="14"/>
                <w:szCs w:val="14"/>
                <w:color w:val="auto"/>
              </w:rPr>
            </w:pPr>
          </w:p>
        </w:tc>
        <w:tc>
          <w:tcPr>
            <w:tcW w:w="1100" w:type="dxa"/>
            <w:vAlign w:val="bottom"/>
            <w:shd w:val="clear" w:color="auto" w:fill="D8D8D8"/>
          </w:tcPr>
          <w:p>
            <w:pPr>
              <w:jc w:val="right"/>
              <w:ind w:right="149"/>
              <w:spacing w:after="0"/>
              <w:rPr>
                <w:sz w:val="20"/>
                <w:szCs w:val="20"/>
                <w:color w:val="auto"/>
              </w:rPr>
            </w:pPr>
            <w:r>
              <w:rPr>
                <w:rFonts w:ascii="Arial" w:cs="Arial" w:eastAsia="Arial" w:hAnsi="Arial"/>
                <w:sz w:val="14"/>
                <w:szCs w:val="14"/>
                <w:color w:val="auto"/>
              </w:rPr>
              <w:t>2,271</w:t>
            </w:r>
          </w:p>
        </w:tc>
        <w:tc>
          <w:tcPr>
            <w:tcW w:w="440" w:type="dxa"/>
            <w:vAlign w:val="bottom"/>
          </w:tcPr>
          <w:p>
            <w:pPr>
              <w:spacing w:after="0"/>
              <w:rPr>
                <w:sz w:val="14"/>
                <w:szCs w:val="14"/>
                <w:color w:val="auto"/>
              </w:rPr>
            </w:pPr>
          </w:p>
        </w:tc>
        <w:tc>
          <w:tcPr>
            <w:tcW w:w="900" w:type="dxa"/>
            <w:vAlign w:val="bottom"/>
          </w:tcPr>
          <w:p>
            <w:pPr>
              <w:jc w:val="right"/>
              <w:ind w:right="149"/>
              <w:spacing w:after="0"/>
              <w:rPr>
                <w:sz w:val="20"/>
                <w:szCs w:val="20"/>
                <w:color w:val="auto"/>
              </w:rPr>
            </w:pPr>
            <w:r>
              <w:rPr>
                <w:rFonts w:ascii="Arial" w:cs="Arial" w:eastAsia="Arial" w:hAnsi="Arial"/>
                <w:sz w:val="14"/>
                <w:szCs w:val="14"/>
                <w:color w:val="auto"/>
              </w:rPr>
              <w:t>1,134</w:t>
            </w:r>
          </w:p>
        </w:tc>
        <w:tc>
          <w:tcPr>
            <w:tcW w:w="1000" w:type="dxa"/>
            <w:vAlign w:val="bottom"/>
          </w:tcPr>
          <w:p>
            <w:pPr>
              <w:jc w:val="right"/>
              <w:ind w:right="149"/>
              <w:spacing w:after="0"/>
              <w:rPr>
                <w:sz w:val="20"/>
                <w:szCs w:val="20"/>
                <w:color w:val="auto"/>
              </w:rPr>
            </w:pPr>
            <w:r>
              <w:rPr>
                <w:rFonts w:ascii="Arial" w:cs="Arial" w:eastAsia="Arial" w:hAnsi="Arial"/>
                <w:sz w:val="14"/>
                <w:szCs w:val="14"/>
                <w:color w:val="auto"/>
              </w:rPr>
              <w:t>965</w:t>
            </w:r>
          </w:p>
        </w:tc>
        <w:tc>
          <w:tcPr>
            <w:tcW w:w="0" w:type="dxa"/>
            <w:vAlign w:val="bottom"/>
          </w:tcPr>
          <w:p>
            <w:pPr>
              <w:spacing w:after="0"/>
              <w:rPr>
                <w:sz w:val="1"/>
                <w:szCs w:val="1"/>
                <w:color w:val="auto"/>
              </w:rPr>
            </w:pPr>
          </w:p>
        </w:tc>
      </w:tr>
      <w:tr>
        <w:trPr>
          <w:trHeight w:val="162"/>
        </w:trPr>
        <w:tc>
          <w:tcPr>
            <w:tcW w:w="5800" w:type="dxa"/>
            <w:vAlign w:val="bottom"/>
            <w:gridSpan w:val="2"/>
          </w:tcPr>
          <w:p>
            <w:pPr>
              <w:ind w:left="140"/>
              <w:spacing w:after="0"/>
              <w:rPr>
                <w:sz w:val="20"/>
                <w:szCs w:val="20"/>
                <w:color w:val="auto"/>
              </w:rPr>
            </w:pPr>
            <w:r>
              <w:rPr>
                <w:rFonts w:ascii="Arial" w:cs="Arial" w:eastAsia="Arial" w:hAnsi="Arial"/>
                <w:sz w:val="14"/>
                <w:szCs w:val="14"/>
                <w:color w:val="auto"/>
              </w:rPr>
              <w:t>Deductible items not expensed</w:t>
            </w:r>
          </w:p>
        </w:tc>
        <w:tc>
          <w:tcPr>
            <w:tcW w:w="2180" w:type="dxa"/>
            <w:vAlign w:val="bottom"/>
          </w:tcPr>
          <w:p>
            <w:pPr>
              <w:spacing w:after="0"/>
              <w:rPr>
                <w:sz w:val="14"/>
                <w:szCs w:val="14"/>
                <w:color w:val="auto"/>
              </w:rPr>
            </w:pPr>
          </w:p>
        </w:tc>
        <w:tc>
          <w:tcPr>
            <w:tcW w:w="1100" w:type="dxa"/>
            <w:vAlign w:val="bottom"/>
            <w:shd w:val="clear" w:color="auto" w:fill="D8D8D8"/>
          </w:tcPr>
          <w:p>
            <w:pPr>
              <w:jc w:val="right"/>
              <w:ind w:right="149"/>
              <w:spacing w:after="0"/>
              <w:rPr>
                <w:sz w:val="20"/>
                <w:szCs w:val="20"/>
                <w:color w:val="auto"/>
              </w:rPr>
            </w:pPr>
            <w:r>
              <w:rPr>
                <w:rFonts w:ascii="Arial" w:cs="Arial" w:eastAsia="Arial" w:hAnsi="Arial"/>
                <w:sz w:val="14"/>
                <w:szCs w:val="14"/>
                <w:color w:val="auto"/>
              </w:rPr>
              <w:t>(401)</w:t>
            </w:r>
          </w:p>
        </w:tc>
        <w:tc>
          <w:tcPr>
            <w:tcW w:w="440" w:type="dxa"/>
            <w:vAlign w:val="bottom"/>
          </w:tcPr>
          <w:p>
            <w:pPr>
              <w:spacing w:after="0"/>
              <w:rPr>
                <w:sz w:val="14"/>
                <w:szCs w:val="14"/>
                <w:color w:val="auto"/>
              </w:rPr>
            </w:pPr>
          </w:p>
        </w:tc>
        <w:tc>
          <w:tcPr>
            <w:tcW w:w="900" w:type="dxa"/>
            <w:vAlign w:val="bottom"/>
          </w:tcPr>
          <w:p>
            <w:pPr>
              <w:jc w:val="right"/>
              <w:ind w:right="109"/>
              <w:spacing w:after="0"/>
              <w:rPr>
                <w:sz w:val="20"/>
                <w:szCs w:val="20"/>
                <w:color w:val="auto"/>
              </w:rPr>
            </w:pPr>
            <w:r>
              <w:rPr>
                <w:rFonts w:ascii="Arial" w:cs="Arial" w:eastAsia="Arial" w:hAnsi="Arial"/>
                <w:sz w:val="14"/>
                <w:szCs w:val="14"/>
                <w:color w:val="auto"/>
              </w:rPr>
              <w:t>(545)</w:t>
            </w:r>
          </w:p>
        </w:tc>
        <w:tc>
          <w:tcPr>
            <w:tcW w:w="1000" w:type="dxa"/>
            <w:vAlign w:val="bottom"/>
          </w:tcPr>
          <w:p>
            <w:pPr>
              <w:jc w:val="right"/>
              <w:ind w:right="89"/>
              <w:spacing w:after="0"/>
              <w:rPr>
                <w:sz w:val="20"/>
                <w:szCs w:val="20"/>
                <w:color w:val="auto"/>
              </w:rPr>
            </w:pPr>
            <w:r>
              <w:rPr>
                <w:rFonts w:ascii="Arial" w:cs="Arial" w:eastAsia="Arial" w:hAnsi="Arial"/>
                <w:sz w:val="14"/>
                <w:szCs w:val="14"/>
                <w:color w:val="auto"/>
              </w:rPr>
              <w:t>(562)</w:t>
            </w:r>
          </w:p>
        </w:tc>
        <w:tc>
          <w:tcPr>
            <w:tcW w:w="0" w:type="dxa"/>
            <w:vAlign w:val="bottom"/>
          </w:tcPr>
          <w:p>
            <w:pPr>
              <w:spacing w:after="0"/>
              <w:rPr>
                <w:sz w:val="1"/>
                <w:szCs w:val="1"/>
                <w:color w:val="auto"/>
              </w:rPr>
            </w:pPr>
          </w:p>
        </w:tc>
      </w:tr>
      <w:tr>
        <w:trPr>
          <w:trHeight w:val="162"/>
        </w:trPr>
        <w:tc>
          <w:tcPr>
            <w:tcW w:w="5800" w:type="dxa"/>
            <w:vAlign w:val="bottom"/>
            <w:gridSpan w:val="2"/>
          </w:tcPr>
          <w:p>
            <w:pPr>
              <w:ind w:left="140"/>
              <w:spacing w:after="0"/>
              <w:rPr>
                <w:sz w:val="20"/>
                <w:szCs w:val="20"/>
                <w:color w:val="auto"/>
              </w:rPr>
            </w:pPr>
            <w:r>
              <w:rPr>
                <w:rFonts w:ascii="Arial" w:cs="Arial" w:eastAsia="Arial" w:hAnsi="Arial"/>
                <w:sz w:val="14"/>
                <w:szCs w:val="14"/>
                <w:color w:val="auto"/>
              </w:rPr>
              <w:t>Taxable income not recognised</w:t>
            </w:r>
          </w:p>
        </w:tc>
        <w:tc>
          <w:tcPr>
            <w:tcW w:w="2180" w:type="dxa"/>
            <w:vAlign w:val="bottom"/>
          </w:tcPr>
          <w:p>
            <w:pPr>
              <w:spacing w:after="0"/>
              <w:rPr>
                <w:sz w:val="14"/>
                <w:szCs w:val="14"/>
                <w:color w:val="auto"/>
              </w:rPr>
            </w:pPr>
          </w:p>
        </w:tc>
        <w:tc>
          <w:tcPr>
            <w:tcW w:w="1100" w:type="dxa"/>
            <w:vAlign w:val="bottom"/>
            <w:shd w:val="clear" w:color="auto" w:fill="D8D8D8"/>
          </w:tcPr>
          <w:p>
            <w:pPr>
              <w:jc w:val="right"/>
              <w:ind w:right="149"/>
              <w:spacing w:after="0"/>
              <w:rPr>
                <w:sz w:val="20"/>
                <w:szCs w:val="20"/>
                <w:color w:val="auto"/>
              </w:rPr>
            </w:pPr>
            <w:r>
              <w:rPr>
                <w:rFonts w:ascii="Arial" w:cs="Arial" w:eastAsia="Arial" w:hAnsi="Arial"/>
                <w:sz w:val="14"/>
                <w:szCs w:val="14"/>
                <w:color w:val="auto"/>
              </w:rPr>
              <w:t>526</w:t>
            </w:r>
          </w:p>
        </w:tc>
        <w:tc>
          <w:tcPr>
            <w:tcW w:w="440" w:type="dxa"/>
            <w:vAlign w:val="bottom"/>
          </w:tcPr>
          <w:p>
            <w:pPr>
              <w:spacing w:after="0"/>
              <w:rPr>
                <w:sz w:val="14"/>
                <w:szCs w:val="14"/>
                <w:color w:val="auto"/>
              </w:rPr>
            </w:pPr>
          </w:p>
        </w:tc>
        <w:tc>
          <w:tcPr>
            <w:tcW w:w="900" w:type="dxa"/>
            <w:vAlign w:val="bottom"/>
          </w:tcPr>
          <w:p>
            <w:pPr>
              <w:jc w:val="right"/>
              <w:ind w:right="149"/>
              <w:spacing w:after="0"/>
              <w:rPr>
                <w:sz w:val="20"/>
                <w:szCs w:val="20"/>
                <w:color w:val="auto"/>
              </w:rPr>
            </w:pPr>
            <w:r>
              <w:rPr>
                <w:rFonts w:ascii="Arial" w:cs="Arial" w:eastAsia="Arial" w:hAnsi="Arial"/>
                <w:sz w:val="14"/>
                <w:szCs w:val="14"/>
                <w:color w:val="auto"/>
              </w:rPr>
              <w:t>263</w:t>
            </w:r>
          </w:p>
        </w:tc>
        <w:tc>
          <w:tcPr>
            <w:tcW w:w="1000" w:type="dxa"/>
            <w:vAlign w:val="bottom"/>
          </w:tcPr>
          <w:p>
            <w:pPr>
              <w:jc w:val="right"/>
              <w:ind w:right="149"/>
              <w:spacing w:after="0"/>
              <w:rPr>
                <w:sz w:val="20"/>
                <w:szCs w:val="20"/>
                <w:color w:val="auto"/>
              </w:rPr>
            </w:pPr>
            <w:r>
              <w:rPr>
                <w:rFonts w:ascii="Arial" w:cs="Arial" w:eastAsia="Arial" w:hAnsi="Arial"/>
                <w:sz w:val="14"/>
                <w:szCs w:val="14"/>
                <w:color w:val="auto"/>
              </w:rPr>
              <w:t>259</w:t>
            </w:r>
          </w:p>
        </w:tc>
        <w:tc>
          <w:tcPr>
            <w:tcW w:w="0" w:type="dxa"/>
            <w:vAlign w:val="bottom"/>
          </w:tcPr>
          <w:p>
            <w:pPr>
              <w:spacing w:after="0"/>
              <w:rPr>
                <w:sz w:val="1"/>
                <w:szCs w:val="1"/>
                <w:color w:val="auto"/>
              </w:rPr>
            </w:pPr>
          </w:p>
        </w:tc>
      </w:tr>
      <w:tr>
        <w:trPr>
          <w:trHeight w:val="157"/>
        </w:trPr>
        <w:tc>
          <w:tcPr>
            <w:tcW w:w="5800" w:type="dxa"/>
            <w:vAlign w:val="bottom"/>
            <w:tcBorders>
              <w:bottom w:val="single" w:sz="8" w:color="auto"/>
            </w:tcBorders>
            <w:gridSpan w:val="2"/>
          </w:tcPr>
          <w:p>
            <w:pPr>
              <w:spacing w:after="0" w:line="157" w:lineRule="exact"/>
              <w:rPr>
                <w:sz w:val="20"/>
                <w:szCs w:val="20"/>
                <w:color w:val="auto"/>
              </w:rPr>
            </w:pPr>
            <w:r>
              <w:rPr>
                <w:rFonts w:ascii="Arial" w:cs="Arial" w:eastAsia="Arial" w:hAnsi="Arial"/>
                <w:sz w:val="14"/>
                <w:szCs w:val="14"/>
                <w:color w:val="auto"/>
              </w:rPr>
              <w:t>Other reconciling items, including amounts relating to changes in tax rate</w:t>
            </w:r>
          </w:p>
        </w:tc>
        <w:tc>
          <w:tcPr>
            <w:tcW w:w="218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shd w:val="clear" w:color="auto" w:fill="D8D8D8"/>
          </w:tcPr>
          <w:p>
            <w:pPr>
              <w:jc w:val="right"/>
              <w:ind w:right="149"/>
              <w:spacing w:after="0" w:line="157" w:lineRule="exact"/>
              <w:rPr>
                <w:sz w:val="20"/>
                <w:szCs w:val="20"/>
                <w:color w:val="auto"/>
              </w:rPr>
            </w:pPr>
            <w:r>
              <w:rPr>
                <w:rFonts w:ascii="Arial" w:cs="Arial" w:eastAsia="Arial" w:hAnsi="Arial"/>
                <w:sz w:val="14"/>
                <w:szCs w:val="14"/>
                <w:color w:val="auto"/>
              </w:rPr>
              <w:t>992</w:t>
            </w:r>
          </w:p>
        </w:tc>
        <w:tc>
          <w:tcPr>
            <w:tcW w:w="44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149"/>
              <w:spacing w:after="0" w:line="157" w:lineRule="exact"/>
              <w:rPr>
                <w:sz w:val="20"/>
                <w:szCs w:val="20"/>
                <w:color w:val="auto"/>
              </w:rPr>
            </w:pPr>
            <w:r>
              <w:rPr>
                <w:rFonts w:ascii="Arial" w:cs="Arial" w:eastAsia="Arial" w:hAnsi="Arial"/>
                <w:sz w:val="14"/>
                <w:szCs w:val="14"/>
                <w:color w:val="auto"/>
              </w:rPr>
              <w:t>585</w:t>
            </w:r>
          </w:p>
        </w:tc>
        <w:tc>
          <w:tcPr>
            <w:tcW w:w="1000" w:type="dxa"/>
            <w:vAlign w:val="bottom"/>
            <w:tcBorders>
              <w:bottom w:val="single" w:sz="8" w:color="auto"/>
            </w:tcBorders>
          </w:tcPr>
          <w:p>
            <w:pPr>
              <w:jc w:val="right"/>
              <w:ind w:right="149"/>
              <w:spacing w:after="0" w:line="157" w:lineRule="exact"/>
              <w:rPr>
                <w:sz w:val="20"/>
                <w:szCs w:val="20"/>
                <w:color w:val="auto"/>
              </w:rPr>
            </w:pPr>
            <w:r>
              <w:rPr>
                <w:rFonts w:ascii="Arial" w:cs="Arial" w:eastAsia="Arial" w:hAnsi="Arial"/>
                <w:sz w:val="14"/>
                <w:szCs w:val="14"/>
                <w:color w:val="auto"/>
              </w:rPr>
              <w:t>310</w:t>
            </w:r>
          </w:p>
        </w:tc>
        <w:tc>
          <w:tcPr>
            <w:tcW w:w="0" w:type="dxa"/>
            <w:vAlign w:val="bottom"/>
          </w:tcPr>
          <w:p>
            <w:pPr>
              <w:spacing w:after="0"/>
              <w:rPr>
                <w:sz w:val="1"/>
                <w:szCs w:val="1"/>
                <w:color w:val="auto"/>
              </w:rPr>
            </w:pPr>
          </w:p>
        </w:tc>
      </w:tr>
      <w:tr>
        <w:trPr>
          <w:trHeight w:val="156"/>
        </w:trPr>
        <w:tc>
          <w:tcPr>
            <w:tcW w:w="5800" w:type="dxa"/>
            <w:vAlign w:val="bottom"/>
            <w:tcBorders>
              <w:bottom w:val="single" w:sz="8" w:color="auto"/>
            </w:tcBorders>
            <w:gridSpan w:val="2"/>
          </w:tcPr>
          <w:p>
            <w:pPr>
              <w:spacing w:after="0" w:line="155" w:lineRule="exact"/>
              <w:rPr>
                <w:sz w:val="20"/>
                <w:szCs w:val="20"/>
                <w:color w:val="auto"/>
              </w:rPr>
            </w:pPr>
            <w:r>
              <w:rPr>
                <w:rFonts w:ascii="Arial" w:cs="Arial" w:eastAsia="Arial" w:hAnsi="Arial"/>
                <w:sz w:val="14"/>
                <w:szCs w:val="14"/>
                <w:color w:val="auto"/>
              </w:rPr>
              <w:t>Taxation charge</w:t>
            </w:r>
          </w:p>
        </w:tc>
        <w:tc>
          <w:tcPr>
            <w:tcW w:w="218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shd w:val="clear" w:color="auto" w:fill="D8D8D8"/>
          </w:tcPr>
          <w:p>
            <w:pPr>
              <w:jc w:val="right"/>
              <w:ind w:right="149"/>
              <w:spacing w:after="0" w:line="155" w:lineRule="exact"/>
              <w:rPr>
                <w:sz w:val="20"/>
                <w:szCs w:val="20"/>
                <w:color w:val="auto"/>
              </w:rPr>
            </w:pPr>
            <w:r>
              <w:rPr>
                <w:rFonts w:ascii="Arial" w:cs="Arial" w:eastAsia="Arial" w:hAnsi="Arial"/>
                <w:sz w:val="14"/>
                <w:szCs w:val="14"/>
                <w:color w:val="auto"/>
              </w:rPr>
              <w:t>13,584</w:t>
            </w:r>
          </w:p>
        </w:tc>
        <w:tc>
          <w:tcPr>
            <w:tcW w:w="44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149"/>
              <w:spacing w:after="0" w:line="155" w:lineRule="exact"/>
              <w:rPr>
                <w:sz w:val="20"/>
                <w:szCs w:val="20"/>
                <w:color w:val="auto"/>
              </w:rPr>
            </w:pPr>
            <w:r>
              <w:rPr>
                <w:rFonts w:ascii="Arial" w:cs="Arial" w:eastAsia="Arial" w:hAnsi="Arial"/>
                <w:sz w:val="14"/>
                <w:szCs w:val="14"/>
                <w:color w:val="auto"/>
              </w:rPr>
              <w:t>17,066</w:t>
            </w:r>
          </w:p>
        </w:tc>
        <w:tc>
          <w:tcPr>
            <w:tcW w:w="1000" w:type="dxa"/>
            <w:vAlign w:val="bottom"/>
            <w:tcBorders>
              <w:bottom w:val="single" w:sz="8" w:color="auto"/>
            </w:tcBorders>
          </w:tcPr>
          <w:p>
            <w:pPr>
              <w:jc w:val="right"/>
              <w:ind w:right="149"/>
              <w:spacing w:after="0" w:line="155" w:lineRule="exact"/>
              <w:rPr>
                <w:sz w:val="20"/>
                <w:szCs w:val="20"/>
                <w:color w:val="auto"/>
              </w:rPr>
            </w:pPr>
            <w:r>
              <w:rPr>
                <w:rFonts w:ascii="Arial" w:cs="Arial" w:eastAsia="Arial" w:hAnsi="Arial"/>
                <w:sz w:val="14"/>
                <w:szCs w:val="14"/>
                <w:color w:val="auto"/>
              </w:rPr>
              <w:t>23,552</w:t>
            </w:r>
          </w:p>
        </w:tc>
        <w:tc>
          <w:tcPr>
            <w:tcW w:w="0" w:type="dxa"/>
            <w:vAlign w:val="bottom"/>
          </w:tcPr>
          <w:p>
            <w:pPr>
              <w:spacing w:after="0"/>
              <w:rPr>
                <w:sz w:val="1"/>
                <w:szCs w:val="1"/>
                <w:color w:val="auto"/>
              </w:rPr>
            </w:pPr>
          </w:p>
        </w:tc>
      </w:tr>
    </w:tbl>
    <w:p>
      <w:pPr>
        <w:spacing w:after="0" w:line="194" w:lineRule="exact"/>
        <w:rPr>
          <w:sz w:val="20"/>
          <w:szCs w:val="20"/>
          <w:color w:val="auto"/>
        </w:rPr>
      </w:pPr>
    </w:p>
    <w:p>
      <w:pPr>
        <w:ind w:right="160"/>
        <w:spacing w:after="0" w:line="245" w:lineRule="auto"/>
        <w:rPr>
          <w:sz w:val="20"/>
          <w:szCs w:val="20"/>
          <w:color w:val="auto"/>
        </w:rPr>
      </w:pPr>
      <w:r>
        <w:rPr>
          <w:rFonts w:ascii="Arial" w:cs="Arial" w:eastAsia="Arial" w:hAnsi="Arial"/>
          <w:sz w:val="14"/>
          <w:szCs w:val="14"/>
          <w:color w:val="auto"/>
        </w:rPr>
        <w:t>The weighted average of statutory tax rates was 50.5% in 2014 (2013: 62.6%; 2012: 57.2%). The decrease from 2013 to 2014 was due to a change in the geographical mix of income in the Upstream segment, with a higher proportion of income in 2014 arising in jurisdictions subject to relatively lower tax rates, partly offset by a change in the mix of Upstream and Downstream income, with a higher proportion arising in Upstream where tax rates are typically higher than in Downstream. The increase from 2012 to 2013 was principally due to a change in the geographical mix of income in Upstream, with a higher proportion of Upstream income in 2013 arising in jurisdictions subject to relatively higher tax rates.</w:t>
      </w:r>
    </w:p>
    <w:p>
      <w:pPr>
        <w:spacing w:after="0" w:line="164" w:lineRule="exact"/>
        <w:rPr>
          <w:sz w:val="20"/>
          <w:szCs w:val="20"/>
          <w:color w:val="auto"/>
        </w:rPr>
      </w:pPr>
    </w:p>
    <w:p>
      <w:pPr>
        <w:ind w:right="60"/>
        <w:spacing w:after="0" w:line="258" w:lineRule="auto"/>
        <w:rPr>
          <w:sz w:val="20"/>
          <w:szCs w:val="20"/>
          <w:color w:val="auto"/>
        </w:rPr>
      </w:pPr>
      <w:r>
        <w:rPr>
          <w:rFonts w:ascii="Arial" w:cs="Arial" w:eastAsia="Arial" w:hAnsi="Arial"/>
          <w:sz w:val="14"/>
          <w:szCs w:val="14"/>
          <w:color w:val="auto"/>
        </w:rPr>
        <w:t>The taxation charge includes not only those of general application but also taxes at higher rates levied on income from certain Upstream activities and various other taxes to which these activities are subjected.</w:t>
      </w:r>
    </w:p>
    <w:p>
      <w:pPr>
        <w:spacing w:after="0" w:line="154" w:lineRule="exact"/>
        <w:rPr>
          <w:sz w:val="20"/>
          <w:szCs w:val="20"/>
          <w:color w:val="auto"/>
        </w:rPr>
      </w:pPr>
    </w:p>
    <w:p>
      <w:pPr>
        <w:ind w:right="420"/>
        <w:spacing w:after="0" w:line="258" w:lineRule="auto"/>
        <w:rPr>
          <w:sz w:val="20"/>
          <w:szCs w:val="20"/>
          <w:color w:val="auto"/>
        </w:rPr>
      </w:pPr>
      <w:r>
        <w:rPr>
          <w:rFonts w:ascii="Arial" w:cs="Arial" w:eastAsia="Arial" w:hAnsi="Arial"/>
          <w:sz w:val="14"/>
          <w:szCs w:val="14"/>
          <w:color w:val="auto"/>
        </w:rPr>
        <w:t>The adjustments in respect of prior periods relate to events in the current period and reflect the effects of changes in rules, facts or other factors compared with those used in establishing the current tax position or deferred tax balance in prior periods.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9140" w:type="dxa"/>
            <w:vAlign w:val="bottom"/>
            <w:shd w:val="clear" w:color="auto" w:fill="333333"/>
          </w:tcPr>
          <w:p>
            <w:pPr>
              <w:ind w:left="80"/>
              <w:spacing w:after="0"/>
              <w:rPr>
                <w:sz w:val="20"/>
                <w:szCs w:val="20"/>
                <w:color w:val="auto"/>
              </w:rPr>
            </w:pPr>
            <w:r>
              <w:rPr>
                <w:rFonts w:ascii="Arial" w:cs="Arial" w:eastAsia="Arial" w:hAnsi="Arial"/>
                <w:sz w:val="15"/>
                <w:szCs w:val="15"/>
                <w:b w:val="1"/>
                <w:bCs w:val="1"/>
                <w:color w:val="FFFFFF"/>
              </w:rPr>
              <w:t>TAXES PAYABLE</w:t>
            </w:r>
          </w:p>
        </w:tc>
        <w:tc>
          <w:tcPr>
            <w:tcW w:w="1120" w:type="dxa"/>
            <w:vAlign w:val="bottom"/>
            <w:shd w:val="clear" w:color="auto" w:fill="333333"/>
          </w:tcPr>
          <w:p>
            <w:pPr>
              <w:spacing w:after="0"/>
              <w:rPr>
                <w:sz w:val="15"/>
                <w:szCs w:val="15"/>
                <w:color w:val="auto"/>
              </w:rPr>
            </w:pPr>
          </w:p>
        </w:tc>
        <w:tc>
          <w:tcPr>
            <w:tcW w:w="1160" w:type="dxa"/>
            <w:vAlign w:val="bottom"/>
            <w:shd w:val="clear" w:color="auto" w:fill="333333"/>
          </w:tcPr>
          <w:p>
            <w:pPr>
              <w:jc w:val="right"/>
              <w:ind w:right="29"/>
              <w:spacing w:after="0"/>
              <w:rPr>
                <w:sz w:val="20"/>
                <w:szCs w:val="20"/>
                <w:color w:val="auto"/>
              </w:rPr>
            </w:pPr>
            <w:r>
              <w:rPr>
                <w:rFonts w:ascii="Arial" w:cs="Arial" w:eastAsia="Arial" w:hAnsi="Arial"/>
                <w:sz w:val="15"/>
                <w:szCs w:val="15"/>
                <w:color w:val="FFFFFF"/>
              </w:rPr>
              <w:t>$ MILLION</w:t>
            </w:r>
          </w:p>
        </w:tc>
      </w:tr>
      <w:tr>
        <w:trPr>
          <w:trHeight w:val="149"/>
        </w:trPr>
        <w:tc>
          <w:tcPr>
            <w:tcW w:w="914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shd w:val="clear" w:color="auto" w:fill="D8D8D8"/>
          </w:tcPr>
          <w:p>
            <w:pPr>
              <w:jc w:val="right"/>
              <w:ind w:right="30"/>
              <w:spacing w:after="0"/>
              <w:rPr>
                <w:sz w:val="20"/>
                <w:szCs w:val="20"/>
                <w:color w:val="auto"/>
              </w:rPr>
            </w:pPr>
            <w:r>
              <w:rPr>
                <w:rFonts w:ascii="Arial" w:cs="Arial" w:eastAsia="Arial" w:hAnsi="Arial"/>
                <w:sz w:val="13"/>
                <w:szCs w:val="13"/>
                <w:color w:val="auto"/>
              </w:rPr>
              <w:t>Dec 31, 2014</w:t>
            </w:r>
          </w:p>
        </w:tc>
        <w:tc>
          <w:tcPr>
            <w:tcW w:w="1160" w:type="dxa"/>
            <w:vAlign w:val="bottom"/>
            <w:tcBorders>
              <w:bottom w:val="single" w:sz="8" w:color="auto"/>
            </w:tcBorders>
          </w:tcPr>
          <w:p>
            <w:pPr>
              <w:jc w:val="right"/>
              <w:ind w:right="29"/>
              <w:spacing w:after="0"/>
              <w:rPr>
                <w:sz w:val="20"/>
                <w:szCs w:val="20"/>
                <w:color w:val="auto"/>
              </w:rPr>
            </w:pPr>
            <w:r>
              <w:rPr>
                <w:rFonts w:ascii="Arial" w:cs="Arial" w:eastAsia="Arial" w:hAnsi="Arial"/>
                <w:sz w:val="13"/>
                <w:szCs w:val="13"/>
                <w:color w:val="auto"/>
              </w:rPr>
              <w:t>Dec 31, 2013</w:t>
            </w:r>
          </w:p>
        </w:tc>
      </w:tr>
      <w:tr>
        <w:trPr>
          <w:trHeight w:val="156"/>
        </w:trPr>
        <w:tc>
          <w:tcPr>
            <w:tcW w:w="9140" w:type="dxa"/>
            <w:vAlign w:val="bottom"/>
          </w:tcPr>
          <w:p>
            <w:pPr>
              <w:spacing w:after="0" w:line="155" w:lineRule="exact"/>
              <w:rPr>
                <w:sz w:val="20"/>
                <w:szCs w:val="20"/>
                <w:color w:val="auto"/>
              </w:rPr>
            </w:pPr>
            <w:r>
              <w:rPr>
                <w:rFonts w:ascii="Arial" w:cs="Arial" w:eastAsia="Arial" w:hAnsi="Arial"/>
                <w:sz w:val="14"/>
                <w:szCs w:val="14"/>
                <w:color w:val="auto"/>
              </w:rPr>
              <w:t>Income taxes</w:t>
            </w:r>
          </w:p>
        </w:tc>
        <w:tc>
          <w:tcPr>
            <w:tcW w:w="1120" w:type="dxa"/>
            <w:vAlign w:val="bottom"/>
            <w:shd w:val="clear" w:color="auto" w:fill="D8D8D8"/>
          </w:tcPr>
          <w:p>
            <w:pPr>
              <w:jc w:val="right"/>
              <w:ind w:right="30"/>
              <w:spacing w:after="0" w:line="155" w:lineRule="exact"/>
              <w:rPr>
                <w:sz w:val="20"/>
                <w:szCs w:val="20"/>
                <w:color w:val="auto"/>
              </w:rPr>
            </w:pPr>
            <w:r>
              <w:rPr>
                <w:rFonts w:ascii="Arial" w:cs="Arial" w:eastAsia="Arial" w:hAnsi="Arial"/>
                <w:sz w:val="14"/>
                <w:szCs w:val="14"/>
                <w:color w:val="auto"/>
              </w:rPr>
              <w:t>6,396</w:t>
            </w:r>
          </w:p>
        </w:tc>
        <w:tc>
          <w:tcPr>
            <w:tcW w:w="1160" w:type="dxa"/>
            <w:vAlign w:val="bottom"/>
          </w:tcPr>
          <w:p>
            <w:pPr>
              <w:jc w:val="right"/>
              <w:ind w:right="29"/>
              <w:spacing w:after="0" w:line="155" w:lineRule="exact"/>
              <w:rPr>
                <w:sz w:val="20"/>
                <w:szCs w:val="20"/>
                <w:color w:val="auto"/>
              </w:rPr>
            </w:pPr>
            <w:r>
              <w:rPr>
                <w:rFonts w:ascii="Arial" w:cs="Arial" w:eastAsia="Arial" w:hAnsi="Arial"/>
                <w:sz w:val="14"/>
                <w:szCs w:val="14"/>
                <w:color w:val="auto"/>
              </w:rPr>
              <w:t>7,085</w:t>
            </w:r>
          </w:p>
        </w:tc>
      </w:tr>
      <w:tr>
        <w:trPr>
          <w:trHeight w:val="162"/>
        </w:trPr>
        <w:tc>
          <w:tcPr>
            <w:tcW w:w="914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Sales taxes, excise duties and similar levies and social security contributions</w:t>
            </w:r>
          </w:p>
        </w:tc>
        <w:tc>
          <w:tcPr>
            <w:tcW w:w="1120" w:type="dxa"/>
            <w:vAlign w:val="bottom"/>
            <w:tcBorders>
              <w:bottom w:val="single" w:sz="8" w:color="auto"/>
            </w:tcBorders>
            <w:shd w:val="clear" w:color="auto" w:fill="D8D8D8"/>
          </w:tcPr>
          <w:p>
            <w:pPr>
              <w:jc w:val="right"/>
              <w:ind w:right="30"/>
              <w:spacing w:after="0"/>
              <w:rPr>
                <w:sz w:val="20"/>
                <w:szCs w:val="20"/>
                <w:color w:val="auto"/>
              </w:rPr>
            </w:pPr>
            <w:r>
              <w:rPr>
                <w:rFonts w:ascii="Arial" w:cs="Arial" w:eastAsia="Arial" w:hAnsi="Arial"/>
                <w:sz w:val="14"/>
                <w:szCs w:val="14"/>
                <w:color w:val="auto"/>
              </w:rPr>
              <w:t>3,401</w:t>
            </w:r>
          </w:p>
        </w:tc>
        <w:tc>
          <w:tcPr>
            <w:tcW w:w="116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4,088</w:t>
            </w:r>
          </w:p>
        </w:tc>
      </w:tr>
      <w:tr>
        <w:trPr>
          <w:trHeight w:val="156"/>
        </w:trPr>
        <w:tc>
          <w:tcPr>
            <w:tcW w:w="9140" w:type="dxa"/>
            <w:vAlign w:val="bottom"/>
            <w:tcBorders>
              <w:bottom w:val="single" w:sz="8" w:color="auto"/>
            </w:tcBorders>
          </w:tcPr>
          <w:p>
            <w:pPr>
              <w:spacing w:after="0" w:line="155" w:lineRule="exact"/>
              <w:rPr>
                <w:sz w:val="20"/>
                <w:szCs w:val="20"/>
                <w:color w:val="auto"/>
              </w:rPr>
            </w:pPr>
            <w:r>
              <w:rPr>
                <w:rFonts w:ascii="Arial" w:cs="Arial" w:eastAsia="Arial" w:hAnsi="Arial"/>
                <w:sz w:val="14"/>
                <w:szCs w:val="14"/>
                <w:color w:val="auto"/>
              </w:rPr>
              <w:t>Total</w:t>
            </w:r>
          </w:p>
        </w:tc>
        <w:tc>
          <w:tcPr>
            <w:tcW w:w="1120" w:type="dxa"/>
            <w:vAlign w:val="bottom"/>
            <w:tcBorders>
              <w:bottom w:val="single" w:sz="8" w:color="auto"/>
            </w:tcBorders>
            <w:shd w:val="clear" w:color="auto" w:fill="D8D8D8"/>
          </w:tcPr>
          <w:p>
            <w:pPr>
              <w:jc w:val="right"/>
              <w:ind w:right="30"/>
              <w:spacing w:after="0" w:line="155" w:lineRule="exact"/>
              <w:rPr>
                <w:sz w:val="20"/>
                <w:szCs w:val="20"/>
                <w:color w:val="auto"/>
              </w:rPr>
            </w:pPr>
            <w:r>
              <w:rPr>
                <w:rFonts w:ascii="Arial" w:cs="Arial" w:eastAsia="Arial" w:hAnsi="Arial"/>
                <w:sz w:val="14"/>
                <w:szCs w:val="14"/>
                <w:color w:val="auto"/>
              </w:rPr>
              <w:t>9,797</w:t>
            </w:r>
          </w:p>
        </w:tc>
        <w:tc>
          <w:tcPr>
            <w:tcW w:w="1160" w:type="dxa"/>
            <w:vAlign w:val="bottom"/>
            <w:tcBorders>
              <w:bottom w:val="single" w:sz="8" w:color="auto"/>
            </w:tcBorders>
          </w:tcPr>
          <w:p>
            <w:pPr>
              <w:jc w:val="right"/>
              <w:ind w:right="29"/>
              <w:spacing w:after="0" w:line="155" w:lineRule="exact"/>
              <w:rPr>
                <w:sz w:val="20"/>
                <w:szCs w:val="20"/>
                <w:color w:val="auto"/>
              </w:rPr>
            </w:pPr>
            <w:r>
              <w:rPr>
                <w:rFonts w:ascii="Arial" w:cs="Arial" w:eastAsia="Arial" w:hAnsi="Arial"/>
                <w:sz w:val="14"/>
                <w:szCs w:val="14"/>
                <w:color w:val="auto"/>
              </w:rPr>
              <w:t>11,173</w:t>
            </w:r>
          </w:p>
        </w:tc>
      </w:tr>
    </w:tbl>
    <w:p>
      <w:pPr>
        <w:spacing w:after="0" w:line="194" w:lineRule="exact"/>
        <w:rPr>
          <w:sz w:val="20"/>
          <w:szCs w:val="20"/>
          <w:color w:val="auto"/>
        </w:rPr>
      </w:pPr>
    </w:p>
    <w:p>
      <w:pPr>
        <w:spacing w:after="0"/>
        <w:rPr>
          <w:sz w:val="20"/>
          <w:szCs w:val="20"/>
          <w:color w:val="auto"/>
        </w:rPr>
      </w:pPr>
      <w:r>
        <w:rPr>
          <w:rFonts w:ascii="Arial" w:cs="Arial" w:eastAsia="Arial" w:hAnsi="Arial"/>
          <w:sz w:val="14"/>
          <w:szCs w:val="14"/>
          <w:color w:val="auto"/>
        </w:rPr>
        <w:t>Included in other receivables at December 31, 2014 (see Note 11), is income tax receivable of $1,091 million (2013: $1,008 million).</w:t>
      </w:r>
    </w:p>
    <w:p>
      <w:pPr>
        <w:sectPr>
          <w:pgSz w:w="11900" w:h="16838" w:orient="portrait"/>
          <w:cols w:equalWidth="0" w:num="1">
            <w:col w:w="11420"/>
          </w:cols>
          <w:pgMar w:left="240" w:top="459" w:right="239" w:bottom="1440" w:gutter="0" w:footer="0" w:header="0"/>
        </w:sectPr>
      </w:pPr>
    </w:p>
    <w:bookmarkStart w:id="129" w:name="page130"/>
    <w:bookmarkEnd w:id="1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300355</wp:posOffset>
            </wp:positionV>
            <wp:extent cx="8890" cy="46291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8890" cy="462915"/>
                    </a:xfrm>
                    <a:prstGeom prst="rect">
                      <a:avLst/>
                    </a:prstGeom>
                    <a:noFill/>
                  </pic:spPr>
                </pic:pic>
              </a:graphicData>
            </a:graphic>
          </wp:anchor>
        </w:drawing>
      </w:r>
    </w:p>
    <w:p>
      <w:pPr>
        <w:spacing w:after="0" w:line="200" w:lineRule="exact"/>
        <w:rPr>
          <w:sz w:val="20"/>
          <w:szCs w:val="20"/>
          <w:color w:val="auto"/>
        </w:rPr>
      </w:pP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565"/>
        </w:trPr>
        <w:tc>
          <w:tcPr>
            <w:tcW w:w="1460" w:type="dxa"/>
            <w:vAlign w:val="bottom"/>
            <w:shd w:val="clear" w:color="auto" w:fill="FF8B00"/>
          </w:tcPr>
          <w:p>
            <w:pPr>
              <w:jc w:val="right"/>
              <w:ind w:right="966"/>
              <w:spacing w:after="0"/>
              <w:rPr>
                <w:sz w:val="20"/>
                <w:szCs w:val="20"/>
                <w:color w:val="auto"/>
              </w:rPr>
            </w:pPr>
            <w:r>
              <w:rPr>
                <w:rFonts w:ascii="Arial" w:cs="Arial" w:eastAsia="Arial" w:hAnsi="Arial"/>
                <w:sz w:val="11"/>
                <w:szCs w:val="11"/>
                <w:b w:val="1"/>
                <w:bCs w:val="1"/>
                <w:color w:val="333333"/>
              </w:rPr>
              <w:t>128</w:t>
            </w:r>
          </w:p>
        </w:tc>
        <w:tc>
          <w:tcPr>
            <w:tcW w:w="4120" w:type="dxa"/>
            <w:vAlign w:val="bottom"/>
            <w:shd w:val="clear" w:color="auto" w:fill="FF8B00"/>
          </w:tcPr>
          <w:p>
            <w:pPr>
              <w:jc w:val="right"/>
              <w:ind w:right="741"/>
              <w:spacing w:after="0"/>
              <w:rPr>
                <w:sz w:val="20"/>
                <w:szCs w:val="20"/>
                <w:color w:val="auto"/>
              </w:rPr>
            </w:pPr>
            <w:r>
              <w:rPr>
                <w:rFonts w:ascii="Arial" w:cs="Arial" w:eastAsia="Arial" w:hAnsi="Arial"/>
                <w:sz w:val="13"/>
                <w:szCs w:val="13"/>
                <w:color w:val="333333"/>
              </w:rPr>
              <w:t>FINANCIAL STATEMENTS AND SUPPLEMENTS</w:t>
            </w:r>
          </w:p>
        </w:tc>
        <w:tc>
          <w:tcPr>
            <w:tcW w:w="5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5"/>
        </w:trPr>
        <w:tc>
          <w:tcPr>
            <w:tcW w:w="1460" w:type="dxa"/>
            <w:vAlign w:val="bottom"/>
            <w:shd w:val="clear" w:color="auto" w:fill="FF8B00"/>
          </w:tcPr>
          <w:p>
            <w:pPr>
              <w:spacing w:after="0"/>
              <w:rPr>
                <w:sz w:val="14"/>
                <w:szCs w:val="14"/>
                <w:color w:val="auto"/>
              </w:rPr>
            </w:pPr>
          </w:p>
        </w:tc>
        <w:tc>
          <w:tcPr>
            <w:tcW w:w="4120" w:type="dxa"/>
            <w:vAlign w:val="bottom"/>
            <w:shd w:val="clear" w:color="auto" w:fill="FF8B00"/>
          </w:tcPr>
          <w:p>
            <w:pPr>
              <w:spacing w:after="0"/>
              <w:rPr>
                <w:sz w:val="14"/>
                <w:szCs w:val="14"/>
                <w:color w:val="auto"/>
              </w:rPr>
            </w:pPr>
          </w:p>
        </w:tc>
        <w:tc>
          <w:tcPr>
            <w:tcW w:w="5840" w:type="dxa"/>
            <w:vAlign w:val="bottom"/>
            <w:vMerge w:val="restart"/>
          </w:tcPr>
          <w:p>
            <w:pPr>
              <w:ind w:left="3440"/>
              <w:spacing w:after="0"/>
              <w:rPr>
                <w:sz w:val="20"/>
                <w:szCs w:val="20"/>
                <w:color w:val="auto"/>
              </w:rPr>
            </w:pPr>
            <w:r>
              <w:rPr>
                <w:rFonts w:ascii="Arial" w:cs="Arial" w:eastAsia="Arial" w:hAnsi="Arial"/>
                <w:sz w:val="11"/>
                <w:szCs w:val="11"/>
                <w:color w:val="auto"/>
                <w:w w:val="96"/>
              </w:rPr>
              <w:t>SHELL ANNUAL REPORT AND FORM 20-F 2014</w:t>
            </w:r>
          </w:p>
        </w:tc>
        <w:tc>
          <w:tcPr>
            <w:tcW w:w="0" w:type="dxa"/>
            <w:vAlign w:val="bottom"/>
          </w:tcPr>
          <w:p>
            <w:pPr>
              <w:spacing w:after="0"/>
              <w:rPr>
                <w:sz w:val="1"/>
                <w:szCs w:val="1"/>
                <w:color w:val="auto"/>
              </w:rPr>
            </w:pPr>
          </w:p>
        </w:tc>
      </w:tr>
      <w:tr>
        <w:trPr>
          <w:trHeight w:val="130"/>
        </w:trPr>
        <w:tc>
          <w:tcPr>
            <w:tcW w:w="1460" w:type="dxa"/>
            <w:vAlign w:val="bottom"/>
            <w:vMerge w:val="restart"/>
          </w:tcPr>
          <w:p>
            <w:pPr>
              <w:jc w:val="right"/>
              <w:ind w:right="466"/>
              <w:spacing w:after="0"/>
              <w:rPr>
                <w:sz w:val="20"/>
                <w:szCs w:val="20"/>
                <w:color w:val="auto"/>
              </w:rPr>
            </w:pPr>
            <w:r>
              <w:rPr>
                <w:rFonts w:ascii="Arial" w:cs="Arial" w:eastAsia="Arial" w:hAnsi="Arial"/>
                <w:sz w:val="11"/>
                <w:szCs w:val="11"/>
                <w:color w:val="auto"/>
                <w:w w:val="96"/>
              </w:rPr>
              <w:t>[Note 16 continued]</w:t>
            </w:r>
          </w:p>
        </w:tc>
        <w:tc>
          <w:tcPr>
            <w:tcW w:w="4120" w:type="dxa"/>
            <w:vAlign w:val="bottom"/>
          </w:tcPr>
          <w:p>
            <w:pPr>
              <w:jc w:val="right"/>
              <w:ind w:right="741"/>
              <w:spacing w:after="0"/>
              <w:rPr>
                <w:sz w:val="20"/>
                <w:szCs w:val="20"/>
                <w:color w:val="auto"/>
              </w:rPr>
            </w:pPr>
            <w:r>
              <w:rPr>
                <w:rFonts w:ascii="Arial" w:cs="Arial" w:eastAsia="Arial" w:hAnsi="Arial"/>
                <w:sz w:val="11"/>
                <w:szCs w:val="11"/>
                <w:color w:val="auto"/>
              </w:rPr>
              <w:t>CONSOLIDATED FINANCIAL STATEMENTS</w:t>
            </w:r>
          </w:p>
        </w:tc>
        <w:tc>
          <w:tcPr>
            <w:tcW w:w="58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18"/>
        </w:trPr>
        <w:tc>
          <w:tcPr>
            <w:tcW w:w="1460" w:type="dxa"/>
            <w:vAlign w:val="bottom"/>
            <w:vMerge w:val="continue"/>
          </w:tcPr>
          <w:p>
            <w:pPr>
              <w:spacing w:after="0"/>
              <w:rPr>
                <w:sz w:val="10"/>
                <w:szCs w:val="10"/>
                <w:color w:val="auto"/>
              </w:rPr>
            </w:pPr>
          </w:p>
        </w:tc>
        <w:tc>
          <w:tcPr>
            <w:tcW w:w="4120" w:type="dxa"/>
            <w:vAlign w:val="bottom"/>
          </w:tcPr>
          <w:p>
            <w:pPr>
              <w:spacing w:after="0"/>
              <w:rPr>
                <w:sz w:val="10"/>
                <w:szCs w:val="10"/>
                <w:color w:val="auto"/>
              </w:rPr>
            </w:pPr>
          </w:p>
        </w:tc>
        <w:tc>
          <w:tcPr>
            <w:tcW w:w="584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3820" w:type="dxa"/>
            <w:vAlign w:val="bottom"/>
            <w:shd w:val="clear" w:color="auto" w:fill="333333"/>
          </w:tcPr>
          <w:p>
            <w:pPr>
              <w:ind w:left="80"/>
              <w:spacing w:after="0"/>
              <w:rPr>
                <w:sz w:val="20"/>
                <w:szCs w:val="20"/>
                <w:color w:val="auto"/>
              </w:rPr>
            </w:pPr>
            <w:r>
              <w:rPr>
                <w:rFonts w:ascii="Arial" w:cs="Arial" w:eastAsia="Arial" w:hAnsi="Arial"/>
                <w:sz w:val="15"/>
                <w:szCs w:val="15"/>
                <w:b w:val="1"/>
                <w:bCs w:val="1"/>
                <w:color w:val="FFFFFF"/>
              </w:rPr>
              <w:t>DEFERRED TAXATION</w:t>
            </w:r>
          </w:p>
        </w:tc>
        <w:tc>
          <w:tcPr>
            <w:tcW w:w="2920" w:type="dxa"/>
            <w:vAlign w:val="bottom"/>
            <w:shd w:val="clear" w:color="auto" w:fill="333333"/>
          </w:tcPr>
          <w:p>
            <w:pPr>
              <w:spacing w:after="0"/>
              <w:rPr>
                <w:sz w:val="14"/>
                <w:szCs w:val="14"/>
                <w:color w:val="auto"/>
              </w:rPr>
            </w:pPr>
          </w:p>
        </w:tc>
        <w:tc>
          <w:tcPr>
            <w:tcW w:w="900" w:type="dxa"/>
            <w:vAlign w:val="bottom"/>
            <w:shd w:val="clear" w:color="auto" w:fill="333333"/>
          </w:tcPr>
          <w:p>
            <w:pPr>
              <w:spacing w:after="0"/>
              <w:rPr>
                <w:sz w:val="14"/>
                <w:szCs w:val="14"/>
                <w:color w:val="auto"/>
              </w:rPr>
            </w:pPr>
          </w:p>
        </w:tc>
        <w:tc>
          <w:tcPr>
            <w:tcW w:w="1080" w:type="dxa"/>
            <w:vAlign w:val="bottom"/>
            <w:shd w:val="clear" w:color="auto" w:fill="333333"/>
          </w:tcPr>
          <w:p>
            <w:pPr>
              <w:spacing w:after="0"/>
              <w:rPr>
                <w:sz w:val="14"/>
                <w:szCs w:val="14"/>
                <w:color w:val="auto"/>
              </w:rPr>
            </w:pPr>
          </w:p>
        </w:tc>
        <w:tc>
          <w:tcPr>
            <w:tcW w:w="1100" w:type="dxa"/>
            <w:vAlign w:val="bottom"/>
            <w:shd w:val="clear" w:color="auto" w:fill="333333"/>
          </w:tcPr>
          <w:p>
            <w:pPr>
              <w:spacing w:after="0"/>
              <w:rPr>
                <w:sz w:val="14"/>
                <w:szCs w:val="14"/>
                <w:color w:val="auto"/>
              </w:rPr>
            </w:pPr>
          </w:p>
        </w:tc>
        <w:tc>
          <w:tcPr>
            <w:tcW w:w="700" w:type="dxa"/>
            <w:vAlign w:val="bottom"/>
            <w:shd w:val="clear" w:color="auto" w:fill="333333"/>
          </w:tcPr>
          <w:p>
            <w:pPr>
              <w:spacing w:after="0"/>
              <w:rPr>
                <w:sz w:val="14"/>
                <w:szCs w:val="14"/>
                <w:color w:val="auto"/>
              </w:rPr>
            </w:pPr>
          </w:p>
        </w:tc>
        <w:tc>
          <w:tcPr>
            <w:tcW w:w="900" w:type="dxa"/>
            <w:vAlign w:val="bottom"/>
            <w:shd w:val="clear" w:color="auto" w:fill="333333"/>
          </w:tcPr>
          <w:p>
            <w:pPr>
              <w:jc w:val="right"/>
              <w:ind w:right="28"/>
              <w:spacing w:after="0"/>
              <w:rPr>
                <w:sz w:val="20"/>
                <w:szCs w:val="20"/>
                <w:color w:val="auto"/>
              </w:rPr>
            </w:pPr>
            <w:r>
              <w:rPr>
                <w:rFonts w:ascii="Arial" w:cs="Arial" w:eastAsia="Arial" w:hAnsi="Arial"/>
                <w:sz w:val="15"/>
                <w:szCs w:val="15"/>
                <w:color w:val="FFFFFF"/>
              </w:rPr>
              <w:t>$ MILLION</w:t>
            </w:r>
          </w:p>
        </w:tc>
        <w:tc>
          <w:tcPr>
            <w:tcW w:w="0" w:type="dxa"/>
            <w:vAlign w:val="bottom"/>
          </w:tcPr>
          <w:p>
            <w:pPr>
              <w:spacing w:after="0"/>
              <w:rPr>
                <w:sz w:val="1"/>
                <w:szCs w:val="1"/>
                <w:color w:val="auto"/>
              </w:rPr>
            </w:pPr>
          </w:p>
        </w:tc>
      </w:tr>
      <w:tr>
        <w:trPr>
          <w:trHeight w:val="129"/>
        </w:trPr>
        <w:tc>
          <w:tcPr>
            <w:tcW w:w="3820" w:type="dxa"/>
            <w:vAlign w:val="bottom"/>
          </w:tcPr>
          <w:p>
            <w:pPr>
              <w:spacing w:after="0"/>
              <w:rPr>
                <w:sz w:val="11"/>
                <w:szCs w:val="11"/>
                <w:color w:val="auto"/>
              </w:rPr>
            </w:pPr>
          </w:p>
        </w:tc>
        <w:tc>
          <w:tcPr>
            <w:tcW w:w="2920" w:type="dxa"/>
            <w:vAlign w:val="bottom"/>
          </w:tcPr>
          <w:p>
            <w:pPr>
              <w:jc w:val="right"/>
              <w:ind w:right="189"/>
              <w:spacing w:after="0" w:line="129" w:lineRule="exact"/>
              <w:rPr>
                <w:sz w:val="20"/>
                <w:szCs w:val="20"/>
                <w:color w:val="auto"/>
              </w:rPr>
            </w:pPr>
            <w:r>
              <w:rPr>
                <w:rFonts w:ascii="Arial" w:cs="Arial" w:eastAsia="Arial" w:hAnsi="Arial"/>
                <w:sz w:val="13"/>
                <w:szCs w:val="13"/>
                <w:color w:val="auto"/>
              </w:rPr>
              <w:t>Decommissioning</w:t>
            </w:r>
          </w:p>
        </w:tc>
        <w:tc>
          <w:tcPr>
            <w:tcW w:w="900" w:type="dxa"/>
            <w:vAlign w:val="bottom"/>
          </w:tcPr>
          <w:p>
            <w:pPr>
              <w:jc w:val="right"/>
              <w:ind w:right="209"/>
              <w:spacing w:after="0" w:line="129" w:lineRule="exact"/>
              <w:rPr>
                <w:sz w:val="20"/>
                <w:szCs w:val="20"/>
                <w:color w:val="auto"/>
              </w:rPr>
            </w:pPr>
            <w:r>
              <w:rPr>
                <w:rFonts w:ascii="Arial" w:cs="Arial" w:eastAsia="Arial" w:hAnsi="Arial"/>
                <w:sz w:val="13"/>
                <w:szCs w:val="13"/>
                <w:color w:val="auto"/>
              </w:rPr>
              <w:t>Losses</w:t>
            </w:r>
          </w:p>
        </w:tc>
        <w:tc>
          <w:tcPr>
            <w:tcW w:w="1080" w:type="dxa"/>
            <w:vAlign w:val="bottom"/>
          </w:tcPr>
          <w:p>
            <w:pPr>
              <w:jc w:val="right"/>
              <w:ind w:right="209"/>
              <w:spacing w:after="0" w:line="129" w:lineRule="exact"/>
              <w:rPr>
                <w:sz w:val="20"/>
                <w:szCs w:val="20"/>
                <w:color w:val="auto"/>
              </w:rPr>
            </w:pPr>
            <w:r>
              <w:rPr>
                <w:rFonts w:ascii="Arial" w:cs="Arial" w:eastAsia="Arial" w:hAnsi="Arial"/>
                <w:sz w:val="13"/>
                <w:szCs w:val="13"/>
                <w:color w:val="auto"/>
              </w:rPr>
              <w:t>Property,</w:t>
            </w:r>
          </w:p>
        </w:tc>
        <w:tc>
          <w:tcPr>
            <w:tcW w:w="1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820" w:type="dxa"/>
            <w:vAlign w:val="bottom"/>
          </w:tcPr>
          <w:p>
            <w:pPr>
              <w:spacing w:after="0"/>
              <w:rPr>
                <w:sz w:val="11"/>
                <w:szCs w:val="11"/>
                <w:color w:val="auto"/>
              </w:rPr>
            </w:pPr>
          </w:p>
        </w:tc>
        <w:tc>
          <w:tcPr>
            <w:tcW w:w="2920" w:type="dxa"/>
            <w:vAlign w:val="bottom"/>
          </w:tcPr>
          <w:p>
            <w:pPr>
              <w:jc w:val="right"/>
              <w:ind w:right="189"/>
              <w:spacing w:after="0" w:line="135" w:lineRule="exact"/>
              <w:rPr>
                <w:sz w:val="20"/>
                <w:szCs w:val="20"/>
                <w:color w:val="auto"/>
              </w:rPr>
            </w:pPr>
            <w:r>
              <w:rPr>
                <w:rFonts w:ascii="Arial" w:cs="Arial" w:eastAsia="Arial" w:hAnsi="Arial"/>
                <w:sz w:val="13"/>
                <w:szCs w:val="13"/>
                <w:color w:val="auto"/>
              </w:rPr>
              <w:t>and other</w:t>
            </w:r>
          </w:p>
        </w:tc>
        <w:tc>
          <w:tcPr>
            <w:tcW w:w="900" w:type="dxa"/>
            <w:vAlign w:val="bottom"/>
          </w:tcPr>
          <w:p>
            <w:pPr>
              <w:jc w:val="right"/>
              <w:ind w:right="209"/>
              <w:spacing w:after="0" w:line="135" w:lineRule="exact"/>
              <w:rPr>
                <w:sz w:val="20"/>
                <w:szCs w:val="20"/>
                <w:color w:val="auto"/>
              </w:rPr>
            </w:pPr>
            <w:r>
              <w:rPr>
                <w:rFonts w:ascii="Arial" w:cs="Arial" w:eastAsia="Arial" w:hAnsi="Arial"/>
                <w:sz w:val="13"/>
                <w:szCs w:val="13"/>
                <w:color w:val="auto"/>
              </w:rPr>
              <w:t>carried</w:t>
            </w:r>
          </w:p>
        </w:tc>
        <w:tc>
          <w:tcPr>
            <w:tcW w:w="1080" w:type="dxa"/>
            <w:vAlign w:val="bottom"/>
          </w:tcPr>
          <w:p>
            <w:pPr>
              <w:jc w:val="right"/>
              <w:ind w:right="209"/>
              <w:spacing w:after="0" w:line="135" w:lineRule="exact"/>
              <w:rPr>
                <w:sz w:val="20"/>
                <w:szCs w:val="20"/>
                <w:color w:val="auto"/>
              </w:rPr>
            </w:pPr>
            <w:r>
              <w:rPr>
                <w:rFonts w:ascii="Arial" w:cs="Arial" w:eastAsia="Arial" w:hAnsi="Arial"/>
                <w:sz w:val="13"/>
                <w:szCs w:val="13"/>
                <w:color w:val="auto"/>
              </w:rPr>
              <w:t>plant and</w:t>
            </w:r>
          </w:p>
        </w:tc>
        <w:tc>
          <w:tcPr>
            <w:tcW w:w="1100" w:type="dxa"/>
            <w:vAlign w:val="bottom"/>
          </w:tcPr>
          <w:p>
            <w:pPr>
              <w:jc w:val="right"/>
              <w:ind w:right="169"/>
              <w:spacing w:after="0" w:line="135" w:lineRule="exact"/>
              <w:rPr>
                <w:sz w:val="20"/>
                <w:szCs w:val="20"/>
                <w:color w:val="auto"/>
              </w:rPr>
            </w:pPr>
            <w:r>
              <w:rPr>
                <w:rFonts w:ascii="Arial" w:cs="Arial" w:eastAsia="Arial" w:hAnsi="Arial"/>
                <w:sz w:val="13"/>
                <w:szCs w:val="13"/>
                <w:color w:val="auto"/>
              </w:rPr>
              <w:t>Retirement</w:t>
            </w:r>
          </w:p>
        </w:tc>
        <w:tc>
          <w:tcPr>
            <w:tcW w:w="7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1"/>
        </w:trPr>
        <w:tc>
          <w:tcPr>
            <w:tcW w:w="3820" w:type="dxa"/>
            <w:vAlign w:val="bottom"/>
            <w:tcBorders>
              <w:bottom w:val="single" w:sz="8" w:color="auto"/>
            </w:tcBorders>
          </w:tcPr>
          <w:p>
            <w:pPr>
              <w:spacing w:after="0"/>
              <w:rPr>
                <w:sz w:val="12"/>
                <w:szCs w:val="12"/>
                <w:color w:val="auto"/>
              </w:rPr>
            </w:pPr>
          </w:p>
        </w:tc>
        <w:tc>
          <w:tcPr>
            <w:tcW w:w="2920" w:type="dxa"/>
            <w:vAlign w:val="bottom"/>
            <w:tcBorders>
              <w:bottom w:val="single" w:sz="8" w:color="auto"/>
            </w:tcBorders>
          </w:tcPr>
          <w:p>
            <w:pPr>
              <w:jc w:val="right"/>
              <w:ind w:right="189"/>
              <w:spacing w:after="0" w:line="141" w:lineRule="exact"/>
              <w:rPr>
                <w:sz w:val="20"/>
                <w:szCs w:val="20"/>
                <w:color w:val="auto"/>
              </w:rPr>
            </w:pPr>
            <w:r>
              <w:rPr>
                <w:rFonts w:ascii="Arial" w:cs="Arial" w:eastAsia="Arial" w:hAnsi="Arial"/>
                <w:sz w:val="13"/>
                <w:szCs w:val="13"/>
                <w:color w:val="auto"/>
              </w:rPr>
              <w:t>provisions</w:t>
            </w:r>
          </w:p>
        </w:tc>
        <w:tc>
          <w:tcPr>
            <w:tcW w:w="900" w:type="dxa"/>
            <w:vAlign w:val="bottom"/>
            <w:tcBorders>
              <w:bottom w:val="single" w:sz="8" w:color="auto"/>
            </w:tcBorders>
          </w:tcPr>
          <w:p>
            <w:pPr>
              <w:jc w:val="right"/>
              <w:ind w:right="209"/>
              <w:spacing w:after="0" w:line="141" w:lineRule="exact"/>
              <w:rPr>
                <w:sz w:val="20"/>
                <w:szCs w:val="20"/>
                <w:color w:val="auto"/>
              </w:rPr>
            </w:pPr>
            <w:r>
              <w:rPr>
                <w:rFonts w:ascii="Arial" w:cs="Arial" w:eastAsia="Arial" w:hAnsi="Arial"/>
                <w:sz w:val="13"/>
                <w:szCs w:val="13"/>
                <w:color w:val="auto"/>
              </w:rPr>
              <w:t>forward</w:t>
            </w:r>
          </w:p>
        </w:tc>
        <w:tc>
          <w:tcPr>
            <w:tcW w:w="1080" w:type="dxa"/>
            <w:vAlign w:val="bottom"/>
            <w:tcBorders>
              <w:bottom w:val="single" w:sz="8" w:color="auto"/>
            </w:tcBorders>
          </w:tcPr>
          <w:p>
            <w:pPr>
              <w:jc w:val="right"/>
              <w:ind w:right="209"/>
              <w:spacing w:after="0" w:line="141" w:lineRule="exact"/>
              <w:rPr>
                <w:sz w:val="20"/>
                <w:szCs w:val="20"/>
                <w:color w:val="auto"/>
              </w:rPr>
            </w:pPr>
            <w:r>
              <w:rPr>
                <w:rFonts w:ascii="Arial" w:cs="Arial" w:eastAsia="Arial" w:hAnsi="Arial"/>
                <w:sz w:val="13"/>
                <w:szCs w:val="13"/>
                <w:color w:val="auto"/>
              </w:rPr>
              <w:t>equipment</w:t>
            </w:r>
          </w:p>
        </w:tc>
        <w:tc>
          <w:tcPr>
            <w:tcW w:w="1100" w:type="dxa"/>
            <w:vAlign w:val="bottom"/>
            <w:tcBorders>
              <w:bottom w:val="single" w:sz="8" w:color="auto"/>
            </w:tcBorders>
          </w:tcPr>
          <w:p>
            <w:pPr>
              <w:jc w:val="right"/>
              <w:ind w:right="169"/>
              <w:spacing w:after="0" w:line="141" w:lineRule="exact"/>
              <w:rPr>
                <w:sz w:val="20"/>
                <w:szCs w:val="20"/>
                <w:color w:val="auto"/>
              </w:rPr>
            </w:pPr>
            <w:r>
              <w:rPr>
                <w:rFonts w:ascii="Arial" w:cs="Arial" w:eastAsia="Arial" w:hAnsi="Arial"/>
                <w:sz w:val="13"/>
                <w:szCs w:val="13"/>
                <w:color w:val="auto"/>
              </w:rPr>
              <w:t>benefits</w:t>
            </w:r>
          </w:p>
        </w:tc>
        <w:tc>
          <w:tcPr>
            <w:tcW w:w="700" w:type="dxa"/>
            <w:vAlign w:val="bottom"/>
            <w:tcBorders>
              <w:bottom w:val="single" w:sz="8" w:color="auto"/>
            </w:tcBorders>
          </w:tcPr>
          <w:p>
            <w:pPr>
              <w:jc w:val="right"/>
              <w:ind w:right="48"/>
              <w:spacing w:after="0" w:line="141" w:lineRule="exact"/>
              <w:rPr>
                <w:sz w:val="20"/>
                <w:szCs w:val="20"/>
                <w:color w:val="auto"/>
              </w:rPr>
            </w:pPr>
            <w:r>
              <w:rPr>
                <w:rFonts w:ascii="Arial" w:cs="Arial" w:eastAsia="Arial" w:hAnsi="Arial"/>
                <w:sz w:val="13"/>
                <w:szCs w:val="13"/>
                <w:color w:val="auto"/>
              </w:rPr>
              <w:t>Other</w:t>
            </w:r>
          </w:p>
        </w:tc>
        <w:tc>
          <w:tcPr>
            <w:tcW w:w="900" w:type="dxa"/>
            <w:vAlign w:val="bottom"/>
            <w:tcBorders>
              <w:bottom w:val="single" w:sz="8" w:color="auto"/>
            </w:tcBorders>
          </w:tcPr>
          <w:p>
            <w:pPr>
              <w:jc w:val="right"/>
              <w:ind w:right="28"/>
              <w:spacing w:after="0" w:line="141" w:lineRule="exact"/>
              <w:rPr>
                <w:sz w:val="20"/>
                <w:szCs w:val="20"/>
                <w:color w:val="auto"/>
              </w:rPr>
            </w:pPr>
            <w:r>
              <w:rPr>
                <w:rFonts w:ascii="Arial" w:cs="Arial" w:eastAsia="Arial" w:hAnsi="Arial"/>
                <w:sz w:val="13"/>
                <w:szCs w:val="13"/>
                <w:color w:val="auto"/>
              </w:rPr>
              <w:t>Total</w:t>
            </w:r>
          </w:p>
        </w:tc>
        <w:tc>
          <w:tcPr>
            <w:tcW w:w="0" w:type="dxa"/>
            <w:vAlign w:val="bottom"/>
          </w:tcPr>
          <w:p>
            <w:pPr>
              <w:spacing w:after="0"/>
              <w:rPr>
                <w:sz w:val="1"/>
                <w:szCs w:val="1"/>
                <w:color w:val="auto"/>
              </w:rPr>
            </w:pPr>
          </w:p>
        </w:tc>
      </w:tr>
      <w:tr>
        <w:trPr>
          <w:trHeight w:val="160"/>
        </w:trPr>
        <w:tc>
          <w:tcPr>
            <w:tcW w:w="3820" w:type="dxa"/>
            <w:vAlign w:val="bottom"/>
          </w:tcPr>
          <w:p>
            <w:pPr>
              <w:spacing w:after="0"/>
              <w:rPr>
                <w:sz w:val="20"/>
                <w:szCs w:val="20"/>
                <w:color w:val="auto"/>
              </w:rPr>
            </w:pPr>
            <w:r>
              <w:rPr>
                <w:rFonts w:ascii="Arial" w:cs="Arial" w:eastAsia="Arial" w:hAnsi="Arial"/>
                <w:sz w:val="14"/>
                <w:szCs w:val="14"/>
                <w:color w:val="auto"/>
              </w:rPr>
              <w:t>At January 1, 2014</w:t>
            </w:r>
          </w:p>
        </w:tc>
        <w:tc>
          <w:tcPr>
            <w:tcW w:w="29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820" w:type="dxa"/>
            <w:vAlign w:val="bottom"/>
          </w:tcPr>
          <w:p>
            <w:pPr>
              <w:ind w:left="140"/>
              <w:spacing w:after="0"/>
              <w:rPr>
                <w:sz w:val="20"/>
                <w:szCs w:val="20"/>
                <w:color w:val="auto"/>
              </w:rPr>
            </w:pPr>
            <w:r>
              <w:rPr>
                <w:rFonts w:ascii="Arial" w:cs="Arial" w:eastAsia="Arial" w:hAnsi="Arial"/>
                <w:sz w:val="14"/>
                <w:szCs w:val="14"/>
                <w:color w:val="auto"/>
              </w:rPr>
              <w:t>Deferred tax assets</w:t>
            </w:r>
          </w:p>
        </w:tc>
        <w:tc>
          <w:tcPr>
            <w:tcW w:w="2920" w:type="dxa"/>
            <w:vAlign w:val="bottom"/>
          </w:tcPr>
          <w:p>
            <w:pPr>
              <w:jc w:val="right"/>
              <w:ind w:right="189"/>
              <w:spacing w:after="0"/>
              <w:rPr>
                <w:sz w:val="20"/>
                <w:szCs w:val="20"/>
                <w:color w:val="auto"/>
              </w:rPr>
            </w:pPr>
            <w:r>
              <w:rPr>
                <w:rFonts w:ascii="Arial" w:cs="Arial" w:eastAsia="Arial" w:hAnsi="Arial"/>
                <w:sz w:val="14"/>
                <w:szCs w:val="14"/>
                <w:color w:val="auto"/>
              </w:rPr>
              <w:t>2,007</w:t>
            </w:r>
          </w:p>
        </w:tc>
        <w:tc>
          <w:tcPr>
            <w:tcW w:w="900" w:type="dxa"/>
            <w:vAlign w:val="bottom"/>
          </w:tcPr>
          <w:p>
            <w:pPr>
              <w:jc w:val="right"/>
              <w:ind w:right="209"/>
              <w:spacing w:after="0"/>
              <w:rPr>
                <w:sz w:val="20"/>
                <w:szCs w:val="20"/>
                <w:color w:val="auto"/>
              </w:rPr>
            </w:pPr>
            <w:r>
              <w:rPr>
                <w:rFonts w:ascii="Arial" w:cs="Arial" w:eastAsia="Arial" w:hAnsi="Arial"/>
                <w:sz w:val="14"/>
                <w:szCs w:val="14"/>
                <w:color w:val="auto"/>
              </w:rPr>
              <w:t>3,087</w:t>
            </w:r>
          </w:p>
        </w:tc>
        <w:tc>
          <w:tcPr>
            <w:tcW w:w="1080" w:type="dxa"/>
            <w:vAlign w:val="bottom"/>
          </w:tcPr>
          <w:p>
            <w:pPr>
              <w:jc w:val="right"/>
              <w:ind w:right="149"/>
              <w:spacing w:after="0"/>
              <w:rPr>
                <w:sz w:val="20"/>
                <w:szCs w:val="20"/>
                <w:color w:val="auto"/>
              </w:rPr>
            </w:pPr>
            <w:r>
              <w:rPr>
                <w:rFonts w:ascii="Arial" w:cs="Arial" w:eastAsia="Arial" w:hAnsi="Arial"/>
                <w:sz w:val="14"/>
                <w:szCs w:val="14"/>
                <w:color w:val="auto"/>
              </w:rPr>
              <w:t>(1,551)</w:t>
            </w:r>
          </w:p>
        </w:tc>
        <w:tc>
          <w:tcPr>
            <w:tcW w:w="1100" w:type="dxa"/>
            <w:vAlign w:val="bottom"/>
          </w:tcPr>
          <w:p>
            <w:pPr>
              <w:jc w:val="right"/>
              <w:ind w:right="189"/>
              <w:spacing w:after="0"/>
              <w:rPr>
                <w:sz w:val="20"/>
                <w:szCs w:val="20"/>
                <w:color w:val="auto"/>
              </w:rPr>
            </w:pPr>
            <w:r>
              <w:rPr>
                <w:rFonts w:ascii="Arial" w:cs="Arial" w:eastAsia="Arial" w:hAnsi="Arial"/>
                <w:sz w:val="14"/>
                <w:szCs w:val="14"/>
                <w:color w:val="auto"/>
              </w:rPr>
              <w:t>1,338</w:t>
            </w:r>
          </w:p>
        </w:tc>
        <w:tc>
          <w:tcPr>
            <w:tcW w:w="700" w:type="dxa"/>
            <w:vAlign w:val="bottom"/>
          </w:tcPr>
          <w:p>
            <w:pPr>
              <w:jc w:val="right"/>
              <w:ind w:right="48"/>
              <w:spacing w:after="0"/>
              <w:rPr>
                <w:sz w:val="20"/>
                <w:szCs w:val="20"/>
                <w:color w:val="auto"/>
              </w:rPr>
            </w:pPr>
            <w:r>
              <w:rPr>
                <w:rFonts w:ascii="Arial" w:cs="Arial" w:eastAsia="Arial" w:hAnsi="Arial"/>
                <w:sz w:val="14"/>
                <w:szCs w:val="14"/>
                <w:color w:val="auto"/>
              </w:rPr>
              <w:t>904</w:t>
            </w: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5,785</w:t>
            </w:r>
          </w:p>
        </w:tc>
        <w:tc>
          <w:tcPr>
            <w:tcW w:w="0" w:type="dxa"/>
            <w:vAlign w:val="bottom"/>
          </w:tcPr>
          <w:p>
            <w:pPr>
              <w:spacing w:after="0"/>
              <w:rPr>
                <w:sz w:val="1"/>
                <w:szCs w:val="1"/>
                <w:color w:val="auto"/>
              </w:rPr>
            </w:pPr>
          </w:p>
        </w:tc>
      </w:tr>
      <w:tr>
        <w:trPr>
          <w:trHeight w:val="157"/>
        </w:trPr>
        <w:tc>
          <w:tcPr>
            <w:tcW w:w="3820" w:type="dxa"/>
            <w:vAlign w:val="bottom"/>
            <w:tcBorders>
              <w:bottom w:val="single" w:sz="8" w:color="auto"/>
            </w:tcBorders>
          </w:tcPr>
          <w:p>
            <w:pPr>
              <w:ind w:left="140"/>
              <w:spacing w:after="0" w:line="157" w:lineRule="exact"/>
              <w:rPr>
                <w:sz w:val="20"/>
                <w:szCs w:val="20"/>
                <w:color w:val="auto"/>
              </w:rPr>
            </w:pPr>
            <w:r>
              <w:rPr>
                <w:rFonts w:ascii="Arial" w:cs="Arial" w:eastAsia="Arial" w:hAnsi="Arial"/>
                <w:sz w:val="14"/>
                <w:szCs w:val="14"/>
                <w:color w:val="auto"/>
              </w:rPr>
              <w:t>Deferred tax liabilities</w:t>
            </w:r>
          </w:p>
        </w:tc>
        <w:tc>
          <w:tcPr>
            <w:tcW w:w="2920" w:type="dxa"/>
            <w:vAlign w:val="bottom"/>
            <w:tcBorders>
              <w:bottom w:val="single" w:sz="8" w:color="auto"/>
            </w:tcBorders>
          </w:tcPr>
          <w:p>
            <w:pPr>
              <w:jc w:val="right"/>
              <w:ind w:right="189"/>
              <w:spacing w:after="0" w:line="157" w:lineRule="exact"/>
              <w:rPr>
                <w:sz w:val="20"/>
                <w:szCs w:val="20"/>
                <w:color w:val="auto"/>
              </w:rPr>
            </w:pPr>
            <w:r>
              <w:rPr>
                <w:rFonts w:ascii="Arial" w:cs="Arial" w:eastAsia="Arial" w:hAnsi="Arial"/>
                <w:sz w:val="14"/>
                <w:szCs w:val="14"/>
                <w:color w:val="auto"/>
              </w:rPr>
              <w:t>6,221</w:t>
            </w:r>
          </w:p>
        </w:tc>
        <w:tc>
          <w:tcPr>
            <w:tcW w:w="900" w:type="dxa"/>
            <w:vAlign w:val="bottom"/>
            <w:tcBorders>
              <w:bottom w:val="single" w:sz="8" w:color="auto"/>
            </w:tcBorders>
          </w:tcPr>
          <w:p>
            <w:pPr>
              <w:jc w:val="right"/>
              <w:ind w:right="209"/>
              <w:spacing w:after="0" w:line="157" w:lineRule="exact"/>
              <w:rPr>
                <w:sz w:val="20"/>
                <w:szCs w:val="20"/>
                <w:color w:val="auto"/>
              </w:rPr>
            </w:pPr>
            <w:r>
              <w:rPr>
                <w:rFonts w:ascii="Arial" w:cs="Arial" w:eastAsia="Arial" w:hAnsi="Arial"/>
                <w:sz w:val="14"/>
                <w:szCs w:val="14"/>
                <w:color w:val="auto"/>
              </w:rPr>
              <w:t>5,358</w:t>
            </w:r>
          </w:p>
        </w:tc>
        <w:tc>
          <w:tcPr>
            <w:tcW w:w="1080" w:type="dxa"/>
            <w:vAlign w:val="bottom"/>
            <w:tcBorders>
              <w:bottom w:val="single" w:sz="8" w:color="auto"/>
            </w:tcBorders>
          </w:tcPr>
          <w:p>
            <w:pPr>
              <w:jc w:val="right"/>
              <w:ind w:right="149"/>
              <w:spacing w:after="0" w:line="157" w:lineRule="exact"/>
              <w:rPr>
                <w:sz w:val="20"/>
                <w:szCs w:val="20"/>
                <w:color w:val="auto"/>
              </w:rPr>
            </w:pPr>
            <w:r>
              <w:rPr>
                <w:rFonts w:ascii="Arial" w:cs="Arial" w:eastAsia="Arial" w:hAnsi="Arial"/>
                <w:sz w:val="14"/>
                <w:szCs w:val="14"/>
                <w:color w:val="auto"/>
              </w:rPr>
              <w:t>(25,582)</w:t>
            </w:r>
          </w:p>
        </w:tc>
        <w:tc>
          <w:tcPr>
            <w:tcW w:w="1100" w:type="dxa"/>
            <w:vAlign w:val="bottom"/>
            <w:tcBorders>
              <w:bottom w:val="single" w:sz="8" w:color="auto"/>
            </w:tcBorders>
          </w:tcPr>
          <w:p>
            <w:pPr>
              <w:jc w:val="right"/>
              <w:ind w:right="189"/>
              <w:spacing w:after="0" w:line="157" w:lineRule="exact"/>
              <w:rPr>
                <w:sz w:val="20"/>
                <w:szCs w:val="20"/>
                <w:color w:val="auto"/>
              </w:rPr>
            </w:pPr>
            <w:r>
              <w:rPr>
                <w:rFonts w:ascii="Arial" w:cs="Arial" w:eastAsia="Arial" w:hAnsi="Arial"/>
                <w:sz w:val="14"/>
                <w:szCs w:val="14"/>
                <w:color w:val="auto"/>
              </w:rPr>
              <w:t>1,725</w:t>
            </w:r>
          </w:p>
        </w:tc>
        <w:tc>
          <w:tcPr>
            <w:tcW w:w="700" w:type="dxa"/>
            <w:vAlign w:val="bottom"/>
            <w:tcBorders>
              <w:bottom w:val="single" w:sz="8" w:color="auto"/>
            </w:tcBorders>
          </w:tcPr>
          <w:p>
            <w:pPr>
              <w:jc w:val="right"/>
              <w:ind w:right="48"/>
              <w:spacing w:after="0" w:line="157" w:lineRule="exact"/>
              <w:rPr>
                <w:sz w:val="20"/>
                <w:szCs w:val="20"/>
                <w:color w:val="auto"/>
              </w:rPr>
            </w:pPr>
            <w:r>
              <w:rPr>
                <w:rFonts w:ascii="Arial" w:cs="Arial" w:eastAsia="Arial" w:hAnsi="Arial"/>
                <w:sz w:val="14"/>
                <w:szCs w:val="14"/>
                <w:color w:val="auto"/>
              </w:rPr>
              <w:t>335</w:t>
            </w:r>
          </w:p>
        </w:tc>
        <w:tc>
          <w:tcPr>
            <w:tcW w:w="900" w:type="dxa"/>
            <w:vAlign w:val="bottom"/>
            <w:tcBorders>
              <w:bottom w:val="single" w:sz="8" w:color="auto"/>
            </w:tcBorders>
          </w:tcPr>
          <w:p>
            <w:pPr>
              <w:jc w:val="right"/>
              <w:spacing w:after="0" w:line="157" w:lineRule="exact"/>
              <w:rPr>
                <w:sz w:val="20"/>
                <w:szCs w:val="20"/>
                <w:color w:val="auto"/>
              </w:rPr>
            </w:pPr>
            <w:r>
              <w:rPr>
                <w:rFonts w:ascii="Arial" w:cs="Arial" w:eastAsia="Arial" w:hAnsi="Arial"/>
                <w:sz w:val="14"/>
                <w:szCs w:val="14"/>
                <w:color w:val="auto"/>
              </w:rPr>
              <w:t>(11,943)</w:t>
            </w:r>
          </w:p>
        </w:tc>
        <w:tc>
          <w:tcPr>
            <w:tcW w:w="0" w:type="dxa"/>
            <w:vAlign w:val="bottom"/>
          </w:tcPr>
          <w:p>
            <w:pPr>
              <w:spacing w:after="0"/>
              <w:rPr>
                <w:sz w:val="1"/>
                <w:szCs w:val="1"/>
                <w:color w:val="auto"/>
              </w:rPr>
            </w:pPr>
          </w:p>
        </w:tc>
      </w:tr>
      <w:tr>
        <w:trPr>
          <w:trHeight w:val="171"/>
        </w:trPr>
        <w:tc>
          <w:tcPr>
            <w:tcW w:w="3820" w:type="dxa"/>
            <w:vAlign w:val="bottom"/>
            <w:vMerge w:val="restart"/>
          </w:tcPr>
          <w:p>
            <w:pPr>
              <w:spacing w:after="0"/>
              <w:rPr>
                <w:sz w:val="20"/>
                <w:szCs w:val="20"/>
                <w:color w:val="auto"/>
              </w:rPr>
            </w:pPr>
            <w:r>
              <w:rPr>
                <w:rFonts w:ascii="Arial" w:cs="Arial" w:eastAsia="Arial" w:hAnsi="Arial"/>
                <w:sz w:val="14"/>
                <w:szCs w:val="14"/>
                <w:color w:val="auto"/>
              </w:rPr>
              <w:t>Recognised in the period</w:t>
            </w:r>
          </w:p>
        </w:tc>
        <w:tc>
          <w:tcPr>
            <w:tcW w:w="2920" w:type="dxa"/>
            <w:vAlign w:val="bottom"/>
          </w:tcPr>
          <w:p>
            <w:pPr>
              <w:jc w:val="right"/>
              <w:ind w:right="189"/>
              <w:spacing w:after="0"/>
              <w:rPr>
                <w:sz w:val="20"/>
                <w:szCs w:val="20"/>
                <w:color w:val="auto"/>
              </w:rPr>
            </w:pPr>
            <w:r>
              <w:rPr>
                <w:rFonts w:ascii="Arial" w:cs="Arial" w:eastAsia="Arial" w:hAnsi="Arial"/>
                <w:sz w:val="14"/>
                <w:szCs w:val="14"/>
                <w:color w:val="auto"/>
              </w:rPr>
              <w:t>8,228</w:t>
            </w:r>
          </w:p>
        </w:tc>
        <w:tc>
          <w:tcPr>
            <w:tcW w:w="900" w:type="dxa"/>
            <w:vAlign w:val="bottom"/>
          </w:tcPr>
          <w:p>
            <w:pPr>
              <w:jc w:val="right"/>
              <w:ind w:right="209"/>
              <w:spacing w:after="0"/>
              <w:rPr>
                <w:sz w:val="20"/>
                <w:szCs w:val="20"/>
                <w:color w:val="auto"/>
              </w:rPr>
            </w:pPr>
            <w:r>
              <w:rPr>
                <w:rFonts w:ascii="Arial" w:cs="Arial" w:eastAsia="Arial" w:hAnsi="Arial"/>
                <w:sz w:val="14"/>
                <w:szCs w:val="14"/>
                <w:color w:val="auto"/>
              </w:rPr>
              <w:t>8,445</w:t>
            </w:r>
          </w:p>
        </w:tc>
        <w:tc>
          <w:tcPr>
            <w:tcW w:w="1080" w:type="dxa"/>
            <w:vAlign w:val="bottom"/>
          </w:tcPr>
          <w:p>
            <w:pPr>
              <w:jc w:val="right"/>
              <w:ind w:right="149"/>
              <w:spacing w:after="0"/>
              <w:rPr>
                <w:sz w:val="20"/>
                <w:szCs w:val="20"/>
                <w:color w:val="auto"/>
              </w:rPr>
            </w:pPr>
            <w:r>
              <w:rPr>
                <w:rFonts w:ascii="Arial" w:cs="Arial" w:eastAsia="Arial" w:hAnsi="Arial"/>
                <w:sz w:val="14"/>
                <w:szCs w:val="14"/>
                <w:color w:val="auto"/>
              </w:rPr>
              <w:t>(27,133)</w:t>
            </w:r>
          </w:p>
        </w:tc>
        <w:tc>
          <w:tcPr>
            <w:tcW w:w="1100" w:type="dxa"/>
            <w:vAlign w:val="bottom"/>
          </w:tcPr>
          <w:p>
            <w:pPr>
              <w:jc w:val="right"/>
              <w:ind w:right="189"/>
              <w:spacing w:after="0"/>
              <w:rPr>
                <w:sz w:val="20"/>
                <w:szCs w:val="20"/>
                <w:color w:val="auto"/>
              </w:rPr>
            </w:pPr>
            <w:r>
              <w:rPr>
                <w:rFonts w:ascii="Arial" w:cs="Arial" w:eastAsia="Arial" w:hAnsi="Arial"/>
                <w:sz w:val="14"/>
                <w:szCs w:val="14"/>
                <w:color w:val="auto"/>
              </w:rPr>
              <w:t>3,063</w:t>
            </w:r>
          </w:p>
        </w:tc>
        <w:tc>
          <w:tcPr>
            <w:tcW w:w="700" w:type="dxa"/>
            <w:vAlign w:val="bottom"/>
          </w:tcPr>
          <w:p>
            <w:pPr>
              <w:jc w:val="right"/>
              <w:ind w:right="48"/>
              <w:spacing w:after="0"/>
              <w:rPr>
                <w:sz w:val="20"/>
                <w:szCs w:val="20"/>
                <w:color w:val="auto"/>
              </w:rPr>
            </w:pPr>
            <w:r>
              <w:rPr>
                <w:rFonts w:ascii="Arial" w:cs="Arial" w:eastAsia="Arial" w:hAnsi="Arial"/>
                <w:sz w:val="14"/>
                <w:szCs w:val="14"/>
                <w:color w:val="auto"/>
              </w:rPr>
              <w:t>1,239</w:t>
            </w:r>
          </w:p>
        </w:tc>
        <w:tc>
          <w:tcPr>
            <w:tcW w:w="900" w:type="dxa"/>
            <w:vAlign w:val="bottom"/>
          </w:tcPr>
          <w:p>
            <w:pPr>
              <w:jc w:val="right"/>
              <w:spacing w:after="0"/>
              <w:rPr>
                <w:sz w:val="20"/>
                <w:szCs w:val="20"/>
                <w:color w:val="auto"/>
              </w:rPr>
            </w:pPr>
            <w:r>
              <w:rPr>
                <w:rFonts w:ascii="Arial" w:cs="Arial" w:eastAsia="Arial" w:hAnsi="Arial"/>
                <w:sz w:val="14"/>
                <w:szCs w:val="14"/>
                <w:color w:val="auto"/>
              </w:rPr>
              <w:t>(6,158)</w:t>
            </w:r>
          </w:p>
        </w:tc>
        <w:tc>
          <w:tcPr>
            <w:tcW w:w="0" w:type="dxa"/>
            <w:vAlign w:val="bottom"/>
          </w:tcPr>
          <w:p>
            <w:pPr>
              <w:spacing w:after="0"/>
              <w:rPr>
                <w:sz w:val="1"/>
                <w:szCs w:val="1"/>
                <w:color w:val="auto"/>
              </w:rPr>
            </w:pPr>
          </w:p>
        </w:tc>
      </w:tr>
      <w:tr>
        <w:trPr>
          <w:trHeight w:val="152"/>
        </w:trPr>
        <w:tc>
          <w:tcPr>
            <w:tcW w:w="3820" w:type="dxa"/>
            <w:vAlign w:val="bottom"/>
            <w:vMerge w:val="continue"/>
          </w:tcPr>
          <w:p>
            <w:pPr>
              <w:spacing w:after="0"/>
              <w:rPr>
                <w:sz w:val="13"/>
                <w:szCs w:val="13"/>
                <w:color w:val="auto"/>
              </w:rPr>
            </w:pPr>
          </w:p>
        </w:tc>
        <w:tc>
          <w:tcPr>
            <w:tcW w:w="29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820" w:type="dxa"/>
            <w:vAlign w:val="bottom"/>
          </w:tcPr>
          <w:p>
            <w:pPr>
              <w:ind w:left="140"/>
              <w:spacing w:after="0"/>
              <w:rPr>
                <w:sz w:val="20"/>
                <w:szCs w:val="20"/>
                <w:color w:val="auto"/>
              </w:rPr>
            </w:pPr>
            <w:r>
              <w:rPr>
                <w:rFonts w:ascii="Arial" w:cs="Arial" w:eastAsia="Arial" w:hAnsi="Arial"/>
                <w:sz w:val="14"/>
                <w:szCs w:val="14"/>
                <w:color w:val="auto"/>
              </w:rPr>
              <w:t>Credited/(charged) to income</w:t>
            </w:r>
          </w:p>
        </w:tc>
        <w:tc>
          <w:tcPr>
            <w:tcW w:w="2920" w:type="dxa"/>
            <w:vAlign w:val="bottom"/>
          </w:tcPr>
          <w:p>
            <w:pPr>
              <w:jc w:val="right"/>
              <w:ind w:right="189"/>
              <w:spacing w:after="0"/>
              <w:rPr>
                <w:sz w:val="20"/>
                <w:szCs w:val="20"/>
                <w:color w:val="auto"/>
              </w:rPr>
            </w:pPr>
            <w:r>
              <w:rPr>
                <w:rFonts w:ascii="Arial" w:cs="Arial" w:eastAsia="Arial" w:hAnsi="Arial"/>
                <w:sz w:val="14"/>
                <w:szCs w:val="14"/>
                <w:color w:val="auto"/>
              </w:rPr>
              <w:t>952</w:t>
            </w:r>
          </w:p>
        </w:tc>
        <w:tc>
          <w:tcPr>
            <w:tcW w:w="900" w:type="dxa"/>
            <w:vAlign w:val="bottom"/>
          </w:tcPr>
          <w:p>
            <w:pPr>
              <w:jc w:val="right"/>
              <w:ind w:right="209"/>
              <w:spacing w:after="0"/>
              <w:rPr>
                <w:sz w:val="20"/>
                <w:szCs w:val="20"/>
                <w:color w:val="auto"/>
              </w:rPr>
            </w:pPr>
            <w:r>
              <w:rPr>
                <w:rFonts w:ascii="Arial" w:cs="Arial" w:eastAsia="Arial" w:hAnsi="Arial"/>
                <w:sz w:val="14"/>
                <w:szCs w:val="14"/>
                <w:color w:val="auto"/>
              </w:rPr>
              <w:t>1,726</w:t>
            </w:r>
          </w:p>
        </w:tc>
        <w:tc>
          <w:tcPr>
            <w:tcW w:w="1080" w:type="dxa"/>
            <w:vAlign w:val="bottom"/>
          </w:tcPr>
          <w:p>
            <w:pPr>
              <w:jc w:val="right"/>
              <w:ind w:right="149"/>
              <w:spacing w:after="0"/>
              <w:rPr>
                <w:sz w:val="20"/>
                <w:szCs w:val="20"/>
                <w:color w:val="auto"/>
              </w:rPr>
            </w:pPr>
            <w:r>
              <w:rPr>
                <w:rFonts w:ascii="Arial" w:cs="Arial" w:eastAsia="Arial" w:hAnsi="Arial"/>
                <w:sz w:val="14"/>
                <w:szCs w:val="14"/>
                <w:color w:val="auto"/>
              </w:rPr>
              <w:t>(2,759)</w:t>
            </w:r>
          </w:p>
        </w:tc>
        <w:tc>
          <w:tcPr>
            <w:tcW w:w="1100" w:type="dxa"/>
            <w:vAlign w:val="bottom"/>
          </w:tcPr>
          <w:p>
            <w:pPr>
              <w:jc w:val="right"/>
              <w:ind w:right="129"/>
              <w:spacing w:after="0"/>
              <w:rPr>
                <w:sz w:val="20"/>
                <w:szCs w:val="20"/>
                <w:color w:val="auto"/>
              </w:rPr>
            </w:pPr>
            <w:r>
              <w:rPr>
                <w:rFonts w:ascii="Arial" w:cs="Arial" w:eastAsia="Arial" w:hAnsi="Arial"/>
                <w:sz w:val="14"/>
                <w:szCs w:val="14"/>
                <w:color w:val="auto"/>
              </w:rPr>
              <w:t>(224)</w:t>
            </w:r>
          </w:p>
        </w:tc>
        <w:tc>
          <w:tcPr>
            <w:tcW w:w="700" w:type="dxa"/>
            <w:vAlign w:val="bottom"/>
          </w:tcPr>
          <w:p>
            <w:pPr>
              <w:jc w:val="right"/>
              <w:ind w:right="48"/>
              <w:spacing w:after="0"/>
              <w:rPr>
                <w:sz w:val="20"/>
                <w:szCs w:val="20"/>
                <w:color w:val="auto"/>
              </w:rPr>
            </w:pPr>
            <w:r>
              <w:rPr>
                <w:rFonts w:ascii="Arial" w:cs="Arial" w:eastAsia="Arial" w:hAnsi="Arial"/>
                <w:sz w:val="14"/>
                <w:szCs w:val="14"/>
                <w:color w:val="auto"/>
              </w:rPr>
              <w:t>478</w:t>
            </w: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173</w:t>
            </w:r>
          </w:p>
        </w:tc>
        <w:tc>
          <w:tcPr>
            <w:tcW w:w="0" w:type="dxa"/>
            <w:vAlign w:val="bottom"/>
          </w:tcPr>
          <w:p>
            <w:pPr>
              <w:spacing w:after="0"/>
              <w:rPr>
                <w:sz w:val="1"/>
                <w:szCs w:val="1"/>
                <w:color w:val="auto"/>
              </w:rPr>
            </w:pPr>
          </w:p>
        </w:tc>
      </w:tr>
      <w:tr>
        <w:trPr>
          <w:trHeight w:val="162"/>
        </w:trPr>
        <w:tc>
          <w:tcPr>
            <w:tcW w:w="3820" w:type="dxa"/>
            <w:vAlign w:val="bottom"/>
          </w:tcPr>
          <w:p>
            <w:pPr>
              <w:ind w:left="140"/>
              <w:spacing w:after="0"/>
              <w:rPr>
                <w:sz w:val="20"/>
                <w:szCs w:val="20"/>
                <w:color w:val="auto"/>
              </w:rPr>
            </w:pPr>
            <w:r>
              <w:rPr>
                <w:rFonts w:ascii="Arial" w:cs="Arial" w:eastAsia="Arial" w:hAnsi="Arial"/>
                <w:sz w:val="14"/>
                <w:szCs w:val="14"/>
                <w:color w:val="auto"/>
              </w:rPr>
              <w:t>Other movements</w:t>
            </w:r>
          </w:p>
        </w:tc>
        <w:tc>
          <w:tcPr>
            <w:tcW w:w="2920" w:type="dxa"/>
            <w:vAlign w:val="bottom"/>
          </w:tcPr>
          <w:p>
            <w:pPr>
              <w:jc w:val="right"/>
              <w:ind w:right="189"/>
              <w:spacing w:after="0"/>
              <w:rPr>
                <w:sz w:val="20"/>
                <w:szCs w:val="20"/>
                <w:color w:val="auto"/>
              </w:rPr>
            </w:pPr>
            <w:r>
              <w:rPr>
                <w:rFonts w:ascii="Arial" w:cs="Arial" w:eastAsia="Arial" w:hAnsi="Arial"/>
                <w:sz w:val="14"/>
                <w:szCs w:val="14"/>
                <w:color w:val="auto"/>
              </w:rPr>
              <w:t>30</w:t>
            </w:r>
          </w:p>
        </w:tc>
        <w:tc>
          <w:tcPr>
            <w:tcW w:w="900" w:type="dxa"/>
            <w:vAlign w:val="bottom"/>
          </w:tcPr>
          <w:p>
            <w:pPr>
              <w:jc w:val="right"/>
              <w:ind w:right="169"/>
              <w:spacing w:after="0"/>
              <w:rPr>
                <w:sz w:val="20"/>
                <w:szCs w:val="20"/>
                <w:color w:val="auto"/>
              </w:rPr>
            </w:pPr>
            <w:r>
              <w:rPr>
                <w:rFonts w:ascii="Arial" w:cs="Arial" w:eastAsia="Arial" w:hAnsi="Arial"/>
                <w:sz w:val="14"/>
                <w:szCs w:val="14"/>
                <w:color w:val="auto"/>
              </w:rPr>
              <w:t>(536)</w:t>
            </w:r>
          </w:p>
        </w:tc>
        <w:tc>
          <w:tcPr>
            <w:tcW w:w="1080" w:type="dxa"/>
            <w:vAlign w:val="bottom"/>
          </w:tcPr>
          <w:p>
            <w:pPr>
              <w:jc w:val="right"/>
              <w:ind w:right="209"/>
              <w:spacing w:after="0"/>
              <w:rPr>
                <w:sz w:val="20"/>
                <w:szCs w:val="20"/>
                <w:color w:val="auto"/>
              </w:rPr>
            </w:pPr>
            <w:r>
              <w:rPr>
                <w:rFonts w:ascii="Arial" w:cs="Arial" w:eastAsia="Arial" w:hAnsi="Arial"/>
                <w:sz w:val="14"/>
                <w:szCs w:val="14"/>
                <w:color w:val="auto"/>
              </w:rPr>
              <w:t>499</w:t>
            </w:r>
          </w:p>
        </w:tc>
        <w:tc>
          <w:tcPr>
            <w:tcW w:w="1100" w:type="dxa"/>
            <w:vAlign w:val="bottom"/>
          </w:tcPr>
          <w:p>
            <w:pPr>
              <w:jc w:val="right"/>
              <w:ind w:right="189"/>
              <w:spacing w:after="0"/>
              <w:rPr>
                <w:sz w:val="20"/>
                <w:szCs w:val="20"/>
                <w:color w:val="auto"/>
              </w:rPr>
            </w:pPr>
            <w:r>
              <w:rPr>
                <w:rFonts w:ascii="Arial" w:cs="Arial" w:eastAsia="Arial" w:hAnsi="Arial"/>
                <w:sz w:val="14"/>
                <w:szCs w:val="14"/>
                <w:color w:val="auto"/>
              </w:rPr>
              <w:t>2,203</w:t>
            </w:r>
          </w:p>
        </w:tc>
        <w:tc>
          <w:tcPr>
            <w:tcW w:w="700" w:type="dxa"/>
            <w:vAlign w:val="bottom"/>
          </w:tcPr>
          <w:p>
            <w:pPr>
              <w:jc w:val="right"/>
              <w:ind w:right="8"/>
              <w:spacing w:after="0"/>
              <w:rPr>
                <w:sz w:val="20"/>
                <w:szCs w:val="20"/>
                <w:color w:val="auto"/>
              </w:rPr>
            </w:pPr>
            <w:r>
              <w:rPr>
                <w:rFonts w:ascii="Arial" w:cs="Arial" w:eastAsia="Arial" w:hAnsi="Arial"/>
                <w:sz w:val="14"/>
                <w:szCs w:val="14"/>
                <w:color w:val="auto"/>
              </w:rPr>
              <w:t>(386)</w:t>
            </w: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1,810</w:t>
            </w:r>
          </w:p>
        </w:tc>
        <w:tc>
          <w:tcPr>
            <w:tcW w:w="0" w:type="dxa"/>
            <w:vAlign w:val="bottom"/>
          </w:tcPr>
          <w:p>
            <w:pPr>
              <w:spacing w:after="0"/>
              <w:rPr>
                <w:sz w:val="1"/>
                <w:szCs w:val="1"/>
                <w:color w:val="auto"/>
              </w:rPr>
            </w:pPr>
          </w:p>
        </w:tc>
      </w:tr>
      <w:tr>
        <w:trPr>
          <w:trHeight w:val="157"/>
        </w:trPr>
        <w:tc>
          <w:tcPr>
            <w:tcW w:w="3820" w:type="dxa"/>
            <w:vAlign w:val="bottom"/>
            <w:tcBorders>
              <w:bottom w:val="single" w:sz="8" w:color="auto"/>
            </w:tcBorders>
          </w:tcPr>
          <w:p>
            <w:pPr>
              <w:ind w:left="140"/>
              <w:spacing w:after="0" w:line="157" w:lineRule="exact"/>
              <w:rPr>
                <w:sz w:val="20"/>
                <w:szCs w:val="20"/>
                <w:color w:val="auto"/>
              </w:rPr>
            </w:pPr>
            <w:r>
              <w:rPr>
                <w:rFonts w:ascii="Arial" w:cs="Arial" w:eastAsia="Arial" w:hAnsi="Arial"/>
                <w:sz w:val="14"/>
                <w:szCs w:val="14"/>
                <w:color w:val="auto"/>
              </w:rPr>
              <w:t>Currency translation differences</w:t>
            </w:r>
          </w:p>
        </w:tc>
        <w:tc>
          <w:tcPr>
            <w:tcW w:w="2920" w:type="dxa"/>
            <w:vAlign w:val="bottom"/>
            <w:tcBorders>
              <w:bottom w:val="single" w:sz="8" w:color="auto"/>
            </w:tcBorders>
          </w:tcPr>
          <w:p>
            <w:pPr>
              <w:jc w:val="right"/>
              <w:ind w:right="149"/>
              <w:spacing w:after="0" w:line="157" w:lineRule="exact"/>
              <w:rPr>
                <w:sz w:val="20"/>
                <w:szCs w:val="20"/>
                <w:color w:val="auto"/>
              </w:rPr>
            </w:pPr>
            <w:r>
              <w:rPr>
                <w:rFonts w:ascii="Arial" w:cs="Arial" w:eastAsia="Arial" w:hAnsi="Arial"/>
                <w:sz w:val="14"/>
                <w:szCs w:val="14"/>
                <w:color w:val="auto"/>
              </w:rPr>
              <w:t>(322)</w:t>
            </w:r>
          </w:p>
        </w:tc>
        <w:tc>
          <w:tcPr>
            <w:tcW w:w="900" w:type="dxa"/>
            <w:vAlign w:val="bottom"/>
            <w:tcBorders>
              <w:bottom w:val="single" w:sz="8" w:color="auto"/>
            </w:tcBorders>
          </w:tcPr>
          <w:p>
            <w:pPr>
              <w:jc w:val="right"/>
              <w:ind w:right="169"/>
              <w:spacing w:after="0" w:line="157" w:lineRule="exact"/>
              <w:rPr>
                <w:sz w:val="20"/>
                <w:szCs w:val="20"/>
                <w:color w:val="auto"/>
              </w:rPr>
            </w:pPr>
            <w:r>
              <w:rPr>
                <w:rFonts w:ascii="Arial" w:cs="Arial" w:eastAsia="Arial" w:hAnsi="Arial"/>
                <w:sz w:val="14"/>
                <w:szCs w:val="14"/>
                <w:color w:val="auto"/>
              </w:rPr>
              <w:t>(319)</w:t>
            </w:r>
          </w:p>
        </w:tc>
        <w:tc>
          <w:tcPr>
            <w:tcW w:w="1080" w:type="dxa"/>
            <w:vAlign w:val="bottom"/>
            <w:tcBorders>
              <w:bottom w:val="single" w:sz="8" w:color="auto"/>
            </w:tcBorders>
          </w:tcPr>
          <w:p>
            <w:pPr>
              <w:jc w:val="right"/>
              <w:ind w:right="209"/>
              <w:spacing w:after="0" w:line="157" w:lineRule="exact"/>
              <w:rPr>
                <w:sz w:val="20"/>
                <w:szCs w:val="20"/>
                <w:color w:val="auto"/>
              </w:rPr>
            </w:pPr>
            <w:r>
              <w:rPr>
                <w:rFonts w:ascii="Arial" w:cs="Arial" w:eastAsia="Arial" w:hAnsi="Arial"/>
                <w:sz w:val="14"/>
                <w:szCs w:val="14"/>
                <w:color w:val="auto"/>
              </w:rPr>
              <w:t>1,158</w:t>
            </w:r>
          </w:p>
        </w:tc>
        <w:tc>
          <w:tcPr>
            <w:tcW w:w="1100" w:type="dxa"/>
            <w:vAlign w:val="bottom"/>
            <w:tcBorders>
              <w:bottom w:val="single" w:sz="8" w:color="auto"/>
            </w:tcBorders>
          </w:tcPr>
          <w:p>
            <w:pPr>
              <w:jc w:val="right"/>
              <w:ind w:right="129"/>
              <w:spacing w:after="0" w:line="157" w:lineRule="exact"/>
              <w:rPr>
                <w:sz w:val="20"/>
                <w:szCs w:val="20"/>
                <w:color w:val="auto"/>
              </w:rPr>
            </w:pPr>
            <w:r>
              <w:rPr>
                <w:rFonts w:ascii="Arial" w:cs="Arial" w:eastAsia="Arial" w:hAnsi="Arial"/>
                <w:sz w:val="14"/>
                <w:szCs w:val="14"/>
                <w:color w:val="auto"/>
              </w:rPr>
              <w:t>(282)</w:t>
            </w:r>
          </w:p>
        </w:tc>
        <w:tc>
          <w:tcPr>
            <w:tcW w:w="700" w:type="dxa"/>
            <w:vAlign w:val="bottom"/>
            <w:tcBorders>
              <w:bottom w:val="single" w:sz="8" w:color="auto"/>
            </w:tcBorders>
          </w:tcPr>
          <w:p>
            <w:pPr>
              <w:jc w:val="right"/>
              <w:ind w:right="48"/>
              <w:spacing w:after="0" w:line="157" w:lineRule="exact"/>
              <w:rPr>
                <w:sz w:val="20"/>
                <w:szCs w:val="20"/>
                <w:color w:val="auto"/>
              </w:rPr>
            </w:pPr>
            <w:r>
              <w:rPr>
                <w:rFonts w:ascii="Arial" w:cs="Arial" w:eastAsia="Arial" w:hAnsi="Arial"/>
                <w:sz w:val="14"/>
                <w:szCs w:val="14"/>
                <w:color w:val="auto"/>
              </w:rPr>
              <w:t>19</w:t>
            </w:r>
          </w:p>
        </w:tc>
        <w:tc>
          <w:tcPr>
            <w:tcW w:w="900" w:type="dxa"/>
            <w:vAlign w:val="bottom"/>
            <w:tcBorders>
              <w:bottom w:val="single" w:sz="8" w:color="auto"/>
            </w:tcBorders>
          </w:tcPr>
          <w:p>
            <w:pPr>
              <w:jc w:val="right"/>
              <w:ind w:right="28"/>
              <w:spacing w:after="0" w:line="157" w:lineRule="exact"/>
              <w:rPr>
                <w:sz w:val="20"/>
                <w:szCs w:val="20"/>
                <w:color w:val="auto"/>
              </w:rPr>
            </w:pPr>
            <w:r>
              <w:rPr>
                <w:rFonts w:ascii="Arial" w:cs="Arial" w:eastAsia="Arial" w:hAnsi="Arial"/>
                <w:sz w:val="14"/>
                <w:szCs w:val="14"/>
                <w:color w:val="auto"/>
              </w:rPr>
              <w:t>254</w:t>
            </w:r>
          </w:p>
        </w:tc>
        <w:tc>
          <w:tcPr>
            <w:tcW w:w="0" w:type="dxa"/>
            <w:vAlign w:val="bottom"/>
          </w:tcPr>
          <w:p>
            <w:pPr>
              <w:spacing w:after="0"/>
              <w:rPr>
                <w:sz w:val="1"/>
                <w:szCs w:val="1"/>
                <w:color w:val="auto"/>
              </w:rPr>
            </w:pPr>
          </w:p>
        </w:tc>
      </w:tr>
      <w:tr>
        <w:trPr>
          <w:trHeight w:val="171"/>
        </w:trPr>
        <w:tc>
          <w:tcPr>
            <w:tcW w:w="3820" w:type="dxa"/>
            <w:vAlign w:val="bottom"/>
            <w:vMerge w:val="restart"/>
          </w:tcPr>
          <w:p>
            <w:pPr>
              <w:spacing w:after="0"/>
              <w:rPr>
                <w:sz w:val="20"/>
                <w:szCs w:val="20"/>
                <w:color w:val="auto"/>
              </w:rPr>
            </w:pPr>
            <w:r>
              <w:rPr>
                <w:rFonts w:ascii="Arial" w:cs="Arial" w:eastAsia="Arial" w:hAnsi="Arial"/>
                <w:sz w:val="14"/>
                <w:szCs w:val="14"/>
                <w:color w:val="auto"/>
              </w:rPr>
              <w:t>At December 31, 2014</w:t>
            </w:r>
          </w:p>
        </w:tc>
        <w:tc>
          <w:tcPr>
            <w:tcW w:w="2920" w:type="dxa"/>
            <w:vAlign w:val="bottom"/>
          </w:tcPr>
          <w:p>
            <w:pPr>
              <w:jc w:val="right"/>
              <w:ind w:right="189"/>
              <w:spacing w:after="0"/>
              <w:rPr>
                <w:sz w:val="20"/>
                <w:szCs w:val="20"/>
                <w:color w:val="auto"/>
              </w:rPr>
            </w:pPr>
            <w:r>
              <w:rPr>
                <w:rFonts w:ascii="Arial" w:cs="Arial" w:eastAsia="Arial" w:hAnsi="Arial"/>
                <w:sz w:val="14"/>
                <w:szCs w:val="14"/>
                <w:color w:val="auto"/>
              </w:rPr>
              <w:t>660</w:t>
            </w:r>
          </w:p>
        </w:tc>
        <w:tc>
          <w:tcPr>
            <w:tcW w:w="900" w:type="dxa"/>
            <w:vAlign w:val="bottom"/>
          </w:tcPr>
          <w:p>
            <w:pPr>
              <w:jc w:val="right"/>
              <w:ind w:right="209"/>
              <w:spacing w:after="0"/>
              <w:rPr>
                <w:sz w:val="20"/>
                <w:szCs w:val="20"/>
                <w:color w:val="auto"/>
              </w:rPr>
            </w:pPr>
            <w:r>
              <w:rPr>
                <w:rFonts w:ascii="Arial" w:cs="Arial" w:eastAsia="Arial" w:hAnsi="Arial"/>
                <w:sz w:val="14"/>
                <w:szCs w:val="14"/>
                <w:color w:val="auto"/>
              </w:rPr>
              <w:t>871</w:t>
            </w:r>
          </w:p>
        </w:tc>
        <w:tc>
          <w:tcPr>
            <w:tcW w:w="1080" w:type="dxa"/>
            <w:vAlign w:val="bottom"/>
          </w:tcPr>
          <w:p>
            <w:pPr>
              <w:jc w:val="right"/>
              <w:ind w:right="149"/>
              <w:spacing w:after="0"/>
              <w:rPr>
                <w:sz w:val="20"/>
                <w:szCs w:val="20"/>
                <w:color w:val="auto"/>
              </w:rPr>
            </w:pPr>
            <w:r>
              <w:rPr>
                <w:rFonts w:ascii="Arial" w:cs="Arial" w:eastAsia="Arial" w:hAnsi="Arial"/>
                <w:sz w:val="14"/>
                <w:szCs w:val="14"/>
                <w:color w:val="auto"/>
              </w:rPr>
              <w:t>(1,102)</w:t>
            </w:r>
          </w:p>
        </w:tc>
        <w:tc>
          <w:tcPr>
            <w:tcW w:w="1100" w:type="dxa"/>
            <w:vAlign w:val="bottom"/>
          </w:tcPr>
          <w:p>
            <w:pPr>
              <w:jc w:val="right"/>
              <w:ind w:right="189"/>
              <w:spacing w:after="0"/>
              <w:rPr>
                <w:sz w:val="20"/>
                <w:szCs w:val="20"/>
                <w:color w:val="auto"/>
              </w:rPr>
            </w:pPr>
            <w:r>
              <w:rPr>
                <w:rFonts w:ascii="Arial" w:cs="Arial" w:eastAsia="Arial" w:hAnsi="Arial"/>
                <w:sz w:val="14"/>
                <w:szCs w:val="14"/>
                <w:color w:val="auto"/>
              </w:rPr>
              <w:t>1,697</w:t>
            </w:r>
          </w:p>
        </w:tc>
        <w:tc>
          <w:tcPr>
            <w:tcW w:w="700" w:type="dxa"/>
            <w:vAlign w:val="bottom"/>
          </w:tcPr>
          <w:p>
            <w:pPr>
              <w:jc w:val="right"/>
              <w:ind w:right="48"/>
              <w:spacing w:after="0"/>
              <w:rPr>
                <w:sz w:val="20"/>
                <w:szCs w:val="20"/>
                <w:color w:val="auto"/>
              </w:rPr>
            </w:pPr>
            <w:r>
              <w:rPr>
                <w:rFonts w:ascii="Arial" w:cs="Arial" w:eastAsia="Arial" w:hAnsi="Arial"/>
                <w:sz w:val="14"/>
                <w:szCs w:val="14"/>
                <w:color w:val="auto"/>
              </w:rPr>
              <w:t>111</w:t>
            </w: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2,237</w:t>
            </w:r>
          </w:p>
        </w:tc>
        <w:tc>
          <w:tcPr>
            <w:tcW w:w="0" w:type="dxa"/>
            <w:vAlign w:val="bottom"/>
          </w:tcPr>
          <w:p>
            <w:pPr>
              <w:spacing w:after="0"/>
              <w:rPr>
                <w:sz w:val="1"/>
                <w:szCs w:val="1"/>
                <w:color w:val="auto"/>
              </w:rPr>
            </w:pPr>
          </w:p>
        </w:tc>
      </w:tr>
      <w:tr>
        <w:trPr>
          <w:trHeight w:val="152"/>
        </w:trPr>
        <w:tc>
          <w:tcPr>
            <w:tcW w:w="3820" w:type="dxa"/>
            <w:vAlign w:val="bottom"/>
            <w:vMerge w:val="continue"/>
          </w:tcPr>
          <w:p>
            <w:pPr>
              <w:spacing w:after="0"/>
              <w:rPr>
                <w:sz w:val="13"/>
                <w:szCs w:val="13"/>
                <w:color w:val="auto"/>
              </w:rPr>
            </w:pPr>
          </w:p>
        </w:tc>
        <w:tc>
          <w:tcPr>
            <w:tcW w:w="29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820" w:type="dxa"/>
            <w:vAlign w:val="bottom"/>
          </w:tcPr>
          <w:p>
            <w:pPr>
              <w:ind w:left="140"/>
              <w:spacing w:after="0"/>
              <w:rPr>
                <w:sz w:val="20"/>
                <w:szCs w:val="20"/>
                <w:color w:val="auto"/>
              </w:rPr>
            </w:pPr>
            <w:r>
              <w:rPr>
                <w:rFonts w:ascii="Arial" w:cs="Arial" w:eastAsia="Arial" w:hAnsi="Arial"/>
                <w:sz w:val="14"/>
                <w:szCs w:val="14"/>
                <w:color w:val="auto"/>
              </w:rPr>
              <w:t>Deferred tax assets</w:t>
            </w:r>
          </w:p>
        </w:tc>
        <w:tc>
          <w:tcPr>
            <w:tcW w:w="2920" w:type="dxa"/>
            <w:vAlign w:val="bottom"/>
          </w:tcPr>
          <w:p>
            <w:pPr>
              <w:jc w:val="right"/>
              <w:ind w:right="189"/>
              <w:spacing w:after="0"/>
              <w:rPr>
                <w:sz w:val="20"/>
                <w:szCs w:val="20"/>
                <w:color w:val="auto"/>
              </w:rPr>
            </w:pPr>
            <w:r>
              <w:rPr>
                <w:rFonts w:ascii="Arial" w:cs="Arial" w:eastAsia="Arial" w:hAnsi="Arial"/>
                <w:sz w:val="14"/>
                <w:szCs w:val="14"/>
                <w:color w:val="auto"/>
              </w:rPr>
              <w:t>3,721</w:t>
            </w:r>
          </w:p>
        </w:tc>
        <w:tc>
          <w:tcPr>
            <w:tcW w:w="900" w:type="dxa"/>
            <w:vAlign w:val="bottom"/>
          </w:tcPr>
          <w:p>
            <w:pPr>
              <w:jc w:val="right"/>
              <w:ind w:right="209"/>
              <w:spacing w:after="0"/>
              <w:rPr>
                <w:sz w:val="20"/>
                <w:szCs w:val="20"/>
                <w:color w:val="auto"/>
              </w:rPr>
            </w:pPr>
            <w:r>
              <w:rPr>
                <w:rFonts w:ascii="Arial" w:cs="Arial" w:eastAsia="Arial" w:hAnsi="Arial"/>
                <w:sz w:val="14"/>
                <w:szCs w:val="14"/>
                <w:color w:val="auto"/>
              </w:rPr>
              <w:t>6,006</w:t>
            </w:r>
          </w:p>
        </w:tc>
        <w:tc>
          <w:tcPr>
            <w:tcW w:w="1080" w:type="dxa"/>
            <w:vAlign w:val="bottom"/>
          </w:tcPr>
          <w:p>
            <w:pPr>
              <w:jc w:val="right"/>
              <w:ind w:right="149"/>
              <w:spacing w:after="0"/>
              <w:rPr>
                <w:sz w:val="20"/>
                <w:szCs w:val="20"/>
                <w:color w:val="auto"/>
              </w:rPr>
            </w:pPr>
            <w:r>
              <w:rPr>
                <w:rFonts w:ascii="Arial" w:cs="Arial" w:eastAsia="Arial" w:hAnsi="Arial"/>
                <w:sz w:val="14"/>
                <w:szCs w:val="14"/>
                <w:color w:val="auto"/>
              </w:rPr>
              <w:t>(7,194)</w:t>
            </w:r>
          </w:p>
        </w:tc>
        <w:tc>
          <w:tcPr>
            <w:tcW w:w="1100" w:type="dxa"/>
            <w:vAlign w:val="bottom"/>
          </w:tcPr>
          <w:p>
            <w:pPr>
              <w:jc w:val="right"/>
              <w:ind w:right="189"/>
              <w:spacing w:after="0"/>
              <w:rPr>
                <w:sz w:val="20"/>
                <w:szCs w:val="20"/>
                <w:color w:val="auto"/>
              </w:rPr>
            </w:pPr>
            <w:r>
              <w:rPr>
                <w:rFonts w:ascii="Arial" w:cs="Arial" w:eastAsia="Arial" w:hAnsi="Arial"/>
                <w:sz w:val="14"/>
                <w:szCs w:val="14"/>
                <w:color w:val="auto"/>
              </w:rPr>
              <w:t>3,787</w:t>
            </w:r>
          </w:p>
        </w:tc>
        <w:tc>
          <w:tcPr>
            <w:tcW w:w="700" w:type="dxa"/>
            <w:vAlign w:val="bottom"/>
          </w:tcPr>
          <w:p>
            <w:pPr>
              <w:jc w:val="right"/>
              <w:ind w:right="48"/>
              <w:spacing w:after="0"/>
              <w:rPr>
                <w:sz w:val="20"/>
                <w:szCs w:val="20"/>
                <w:color w:val="auto"/>
              </w:rPr>
            </w:pPr>
            <w:r>
              <w:rPr>
                <w:rFonts w:ascii="Arial" w:cs="Arial" w:eastAsia="Arial" w:hAnsi="Arial"/>
                <w:sz w:val="14"/>
                <w:szCs w:val="14"/>
                <w:color w:val="auto"/>
              </w:rPr>
              <w:t>1,811</w:t>
            </w: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8,131</w:t>
            </w:r>
          </w:p>
        </w:tc>
        <w:tc>
          <w:tcPr>
            <w:tcW w:w="0" w:type="dxa"/>
            <w:vAlign w:val="bottom"/>
          </w:tcPr>
          <w:p>
            <w:pPr>
              <w:spacing w:after="0"/>
              <w:rPr>
                <w:sz w:val="1"/>
                <w:szCs w:val="1"/>
                <w:color w:val="auto"/>
              </w:rPr>
            </w:pPr>
          </w:p>
        </w:tc>
      </w:tr>
      <w:tr>
        <w:trPr>
          <w:trHeight w:val="157"/>
        </w:trPr>
        <w:tc>
          <w:tcPr>
            <w:tcW w:w="3820" w:type="dxa"/>
            <w:vAlign w:val="bottom"/>
            <w:tcBorders>
              <w:bottom w:val="single" w:sz="8" w:color="auto"/>
            </w:tcBorders>
          </w:tcPr>
          <w:p>
            <w:pPr>
              <w:ind w:left="140"/>
              <w:spacing w:after="0" w:line="157" w:lineRule="exact"/>
              <w:rPr>
                <w:sz w:val="20"/>
                <w:szCs w:val="20"/>
                <w:color w:val="auto"/>
              </w:rPr>
            </w:pPr>
            <w:r>
              <w:rPr>
                <w:rFonts w:ascii="Arial" w:cs="Arial" w:eastAsia="Arial" w:hAnsi="Arial"/>
                <w:sz w:val="14"/>
                <w:szCs w:val="14"/>
                <w:color w:val="auto"/>
              </w:rPr>
              <w:t>Deferred tax liabilities</w:t>
            </w:r>
          </w:p>
        </w:tc>
        <w:tc>
          <w:tcPr>
            <w:tcW w:w="2920" w:type="dxa"/>
            <w:vAlign w:val="bottom"/>
            <w:tcBorders>
              <w:bottom w:val="single" w:sz="8" w:color="auto"/>
            </w:tcBorders>
          </w:tcPr>
          <w:p>
            <w:pPr>
              <w:jc w:val="right"/>
              <w:ind w:right="189"/>
              <w:spacing w:after="0" w:line="157" w:lineRule="exact"/>
              <w:rPr>
                <w:sz w:val="20"/>
                <w:szCs w:val="20"/>
                <w:color w:val="auto"/>
              </w:rPr>
            </w:pPr>
            <w:r>
              <w:rPr>
                <w:rFonts w:ascii="Arial" w:cs="Arial" w:eastAsia="Arial" w:hAnsi="Arial"/>
                <w:sz w:val="14"/>
                <w:szCs w:val="14"/>
                <w:color w:val="auto"/>
              </w:rPr>
              <w:t>5,167</w:t>
            </w:r>
          </w:p>
        </w:tc>
        <w:tc>
          <w:tcPr>
            <w:tcW w:w="900" w:type="dxa"/>
            <w:vAlign w:val="bottom"/>
            <w:tcBorders>
              <w:bottom w:val="single" w:sz="8" w:color="auto"/>
            </w:tcBorders>
          </w:tcPr>
          <w:p>
            <w:pPr>
              <w:jc w:val="right"/>
              <w:ind w:right="209"/>
              <w:spacing w:after="0" w:line="157" w:lineRule="exact"/>
              <w:rPr>
                <w:sz w:val="20"/>
                <w:szCs w:val="20"/>
                <w:color w:val="auto"/>
              </w:rPr>
            </w:pPr>
            <w:r>
              <w:rPr>
                <w:rFonts w:ascii="Arial" w:cs="Arial" w:eastAsia="Arial" w:hAnsi="Arial"/>
                <w:sz w:val="14"/>
                <w:szCs w:val="14"/>
                <w:color w:val="auto"/>
              </w:rPr>
              <w:t>3,310</w:t>
            </w:r>
          </w:p>
        </w:tc>
        <w:tc>
          <w:tcPr>
            <w:tcW w:w="1080" w:type="dxa"/>
            <w:vAlign w:val="bottom"/>
            <w:tcBorders>
              <w:bottom w:val="single" w:sz="8" w:color="auto"/>
            </w:tcBorders>
          </w:tcPr>
          <w:p>
            <w:pPr>
              <w:jc w:val="right"/>
              <w:ind w:right="149"/>
              <w:spacing w:after="0" w:line="157" w:lineRule="exact"/>
              <w:rPr>
                <w:sz w:val="20"/>
                <w:szCs w:val="20"/>
                <w:color w:val="auto"/>
              </w:rPr>
            </w:pPr>
            <w:r>
              <w:rPr>
                <w:rFonts w:ascii="Arial" w:cs="Arial" w:eastAsia="Arial" w:hAnsi="Arial"/>
                <w:sz w:val="14"/>
                <w:szCs w:val="14"/>
                <w:color w:val="auto"/>
              </w:rPr>
              <w:t>(21,041)</w:t>
            </w:r>
          </w:p>
        </w:tc>
        <w:tc>
          <w:tcPr>
            <w:tcW w:w="1100" w:type="dxa"/>
            <w:vAlign w:val="bottom"/>
            <w:tcBorders>
              <w:bottom w:val="single" w:sz="8" w:color="auto"/>
            </w:tcBorders>
          </w:tcPr>
          <w:p>
            <w:pPr>
              <w:jc w:val="right"/>
              <w:ind w:right="169"/>
              <w:spacing w:after="0" w:line="157" w:lineRule="exact"/>
              <w:rPr>
                <w:sz w:val="20"/>
                <w:szCs w:val="20"/>
                <w:color w:val="auto"/>
              </w:rPr>
            </w:pPr>
            <w:r>
              <w:rPr>
                <w:rFonts w:ascii="Arial" w:cs="Arial" w:eastAsia="Arial" w:hAnsi="Arial"/>
                <w:sz w:val="14"/>
                <w:szCs w:val="14"/>
                <w:color w:val="auto"/>
              </w:rPr>
              <w:t>973</w:t>
            </w:r>
          </w:p>
        </w:tc>
        <w:tc>
          <w:tcPr>
            <w:tcW w:w="700" w:type="dxa"/>
            <w:vAlign w:val="bottom"/>
            <w:tcBorders>
              <w:bottom w:val="single" w:sz="8" w:color="auto"/>
            </w:tcBorders>
          </w:tcPr>
          <w:p>
            <w:pPr>
              <w:jc w:val="right"/>
              <w:ind w:right="8"/>
              <w:spacing w:after="0" w:line="157" w:lineRule="exact"/>
              <w:rPr>
                <w:sz w:val="20"/>
                <w:szCs w:val="20"/>
                <w:color w:val="auto"/>
              </w:rPr>
            </w:pPr>
            <w:r>
              <w:rPr>
                <w:rFonts w:ascii="Arial" w:cs="Arial" w:eastAsia="Arial" w:hAnsi="Arial"/>
                <w:sz w:val="14"/>
                <w:szCs w:val="14"/>
                <w:color w:val="auto"/>
              </w:rPr>
              <w:t>(461)</w:t>
            </w:r>
          </w:p>
        </w:tc>
        <w:tc>
          <w:tcPr>
            <w:tcW w:w="900" w:type="dxa"/>
            <w:vAlign w:val="bottom"/>
            <w:tcBorders>
              <w:bottom w:val="single" w:sz="8" w:color="auto"/>
            </w:tcBorders>
          </w:tcPr>
          <w:p>
            <w:pPr>
              <w:jc w:val="right"/>
              <w:spacing w:after="0" w:line="157" w:lineRule="exact"/>
              <w:rPr>
                <w:sz w:val="20"/>
                <w:szCs w:val="20"/>
                <w:color w:val="auto"/>
              </w:rPr>
            </w:pPr>
            <w:r>
              <w:rPr>
                <w:rFonts w:ascii="Arial" w:cs="Arial" w:eastAsia="Arial" w:hAnsi="Arial"/>
                <w:sz w:val="14"/>
                <w:szCs w:val="14"/>
                <w:color w:val="auto"/>
              </w:rPr>
              <w:t>(12,052)</w:t>
            </w:r>
          </w:p>
        </w:tc>
        <w:tc>
          <w:tcPr>
            <w:tcW w:w="0" w:type="dxa"/>
            <w:vAlign w:val="bottom"/>
          </w:tcPr>
          <w:p>
            <w:pPr>
              <w:spacing w:after="0"/>
              <w:rPr>
                <w:sz w:val="1"/>
                <w:szCs w:val="1"/>
                <w:color w:val="auto"/>
              </w:rPr>
            </w:pPr>
          </w:p>
        </w:tc>
      </w:tr>
      <w:tr>
        <w:trPr>
          <w:trHeight w:val="156"/>
        </w:trPr>
        <w:tc>
          <w:tcPr>
            <w:tcW w:w="3820" w:type="dxa"/>
            <w:vAlign w:val="bottom"/>
            <w:tcBorders>
              <w:bottom w:val="single" w:sz="8" w:color="auto"/>
            </w:tcBorders>
          </w:tcPr>
          <w:p>
            <w:pPr>
              <w:spacing w:after="0"/>
              <w:rPr>
                <w:sz w:val="13"/>
                <w:szCs w:val="13"/>
                <w:color w:val="auto"/>
              </w:rPr>
            </w:pPr>
          </w:p>
        </w:tc>
        <w:tc>
          <w:tcPr>
            <w:tcW w:w="2920" w:type="dxa"/>
            <w:vAlign w:val="bottom"/>
            <w:tcBorders>
              <w:bottom w:val="single" w:sz="8" w:color="auto"/>
            </w:tcBorders>
          </w:tcPr>
          <w:p>
            <w:pPr>
              <w:jc w:val="right"/>
              <w:ind w:right="189"/>
              <w:spacing w:after="0" w:line="155" w:lineRule="exact"/>
              <w:rPr>
                <w:sz w:val="20"/>
                <w:szCs w:val="20"/>
                <w:color w:val="auto"/>
              </w:rPr>
            </w:pPr>
            <w:r>
              <w:rPr>
                <w:rFonts w:ascii="Arial" w:cs="Arial" w:eastAsia="Arial" w:hAnsi="Arial"/>
                <w:sz w:val="14"/>
                <w:szCs w:val="14"/>
                <w:color w:val="auto"/>
              </w:rPr>
              <w:t>8,888</w:t>
            </w:r>
          </w:p>
        </w:tc>
        <w:tc>
          <w:tcPr>
            <w:tcW w:w="900" w:type="dxa"/>
            <w:vAlign w:val="bottom"/>
            <w:tcBorders>
              <w:bottom w:val="single" w:sz="8" w:color="auto"/>
            </w:tcBorders>
          </w:tcPr>
          <w:p>
            <w:pPr>
              <w:jc w:val="right"/>
              <w:ind w:right="209"/>
              <w:spacing w:after="0" w:line="155" w:lineRule="exact"/>
              <w:rPr>
                <w:sz w:val="20"/>
                <w:szCs w:val="20"/>
                <w:color w:val="auto"/>
              </w:rPr>
            </w:pPr>
            <w:r>
              <w:rPr>
                <w:rFonts w:ascii="Arial" w:cs="Arial" w:eastAsia="Arial" w:hAnsi="Arial"/>
                <w:sz w:val="14"/>
                <w:szCs w:val="14"/>
                <w:color w:val="auto"/>
              </w:rPr>
              <w:t>9,316</w:t>
            </w:r>
          </w:p>
        </w:tc>
        <w:tc>
          <w:tcPr>
            <w:tcW w:w="1080" w:type="dxa"/>
            <w:vAlign w:val="bottom"/>
            <w:tcBorders>
              <w:bottom w:val="single" w:sz="8" w:color="auto"/>
            </w:tcBorders>
          </w:tcPr>
          <w:p>
            <w:pPr>
              <w:jc w:val="right"/>
              <w:ind w:right="149"/>
              <w:spacing w:after="0" w:line="155" w:lineRule="exact"/>
              <w:rPr>
                <w:sz w:val="20"/>
                <w:szCs w:val="20"/>
                <w:color w:val="auto"/>
              </w:rPr>
            </w:pPr>
            <w:r>
              <w:rPr>
                <w:rFonts w:ascii="Arial" w:cs="Arial" w:eastAsia="Arial" w:hAnsi="Arial"/>
                <w:sz w:val="14"/>
                <w:szCs w:val="14"/>
                <w:color w:val="auto"/>
              </w:rPr>
              <w:t>(28,235)</w:t>
            </w:r>
          </w:p>
        </w:tc>
        <w:tc>
          <w:tcPr>
            <w:tcW w:w="1100" w:type="dxa"/>
            <w:vAlign w:val="bottom"/>
            <w:tcBorders>
              <w:bottom w:val="single" w:sz="8" w:color="auto"/>
            </w:tcBorders>
          </w:tcPr>
          <w:p>
            <w:pPr>
              <w:jc w:val="right"/>
              <w:ind w:right="189"/>
              <w:spacing w:after="0" w:line="155" w:lineRule="exact"/>
              <w:rPr>
                <w:sz w:val="20"/>
                <w:szCs w:val="20"/>
                <w:color w:val="auto"/>
              </w:rPr>
            </w:pPr>
            <w:r>
              <w:rPr>
                <w:rFonts w:ascii="Arial" w:cs="Arial" w:eastAsia="Arial" w:hAnsi="Arial"/>
                <w:sz w:val="14"/>
                <w:szCs w:val="14"/>
                <w:color w:val="auto"/>
              </w:rPr>
              <w:t>4,760</w:t>
            </w:r>
          </w:p>
        </w:tc>
        <w:tc>
          <w:tcPr>
            <w:tcW w:w="700" w:type="dxa"/>
            <w:vAlign w:val="bottom"/>
            <w:tcBorders>
              <w:bottom w:val="single" w:sz="8" w:color="auto"/>
            </w:tcBorders>
          </w:tcPr>
          <w:p>
            <w:pPr>
              <w:jc w:val="right"/>
              <w:ind w:right="48"/>
              <w:spacing w:after="0" w:line="155" w:lineRule="exact"/>
              <w:rPr>
                <w:sz w:val="20"/>
                <w:szCs w:val="20"/>
                <w:color w:val="auto"/>
              </w:rPr>
            </w:pPr>
            <w:r>
              <w:rPr>
                <w:rFonts w:ascii="Arial" w:cs="Arial" w:eastAsia="Arial" w:hAnsi="Arial"/>
                <w:sz w:val="14"/>
                <w:szCs w:val="14"/>
                <w:color w:val="auto"/>
              </w:rPr>
              <w:t>1,350</w:t>
            </w:r>
          </w:p>
        </w:tc>
        <w:tc>
          <w:tcPr>
            <w:tcW w:w="9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(3,921)</w:t>
            </w:r>
          </w:p>
        </w:tc>
        <w:tc>
          <w:tcPr>
            <w:tcW w:w="0" w:type="dxa"/>
            <w:vAlign w:val="bottom"/>
          </w:tcPr>
          <w:p>
            <w:pPr>
              <w:spacing w:after="0"/>
              <w:rPr>
                <w:sz w:val="1"/>
                <w:szCs w:val="1"/>
                <w:color w:val="auto"/>
              </w:rPr>
            </w:pPr>
          </w:p>
        </w:tc>
      </w:tr>
      <w:tr>
        <w:trPr>
          <w:trHeight w:val="160"/>
        </w:trPr>
        <w:tc>
          <w:tcPr>
            <w:tcW w:w="3820" w:type="dxa"/>
            <w:vAlign w:val="bottom"/>
          </w:tcPr>
          <w:p>
            <w:pPr>
              <w:spacing w:after="0"/>
              <w:rPr>
                <w:sz w:val="20"/>
                <w:szCs w:val="20"/>
                <w:color w:val="auto"/>
              </w:rPr>
            </w:pPr>
            <w:r>
              <w:rPr>
                <w:rFonts w:ascii="Arial" w:cs="Arial" w:eastAsia="Arial" w:hAnsi="Arial"/>
                <w:sz w:val="14"/>
                <w:szCs w:val="14"/>
                <w:color w:val="auto"/>
              </w:rPr>
              <w:t>At January 1, 2013</w:t>
            </w:r>
          </w:p>
        </w:tc>
        <w:tc>
          <w:tcPr>
            <w:tcW w:w="29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820" w:type="dxa"/>
            <w:vAlign w:val="bottom"/>
          </w:tcPr>
          <w:p>
            <w:pPr>
              <w:ind w:left="140"/>
              <w:spacing w:after="0"/>
              <w:rPr>
                <w:sz w:val="20"/>
                <w:szCs w:val="20"/>
                <w:color w:val="auto"/>
              </w:rPr>
            </w:pPr>
            <w:r>
              <w:rPr>
                <w:rFonts w:ascii="Arial" w:cs="Arial" w:eastAsia="Arial" w:hAnsi="Arial"/>
                <w:sz w:val="14"/>
                <w:szCs w:val="14"/>
                <w:color w:val="auto"/>
              </w:rPr>
              <w:t>Deferred tax assets</w:t>
            </w:r>
          </w:p>
        </w:tc>
        <w:tc>
          <w:tcPr>
            <w:tcW w:w="2920" w:type="dxa"/>
            <w:vAlign w:val="bottom"/>
          </w:tcPr>
          <w:p>
            <w:pPr>
              <w:jc w:val="right"/>
              <w:ind w:right="189"/>
              <w:spacing w:after="0"/>
              <w:rPr>
                <w:sz w:val="20"/>
                <w:szCs w:val="20"/>
                <w:color w:val="auto"/>
              </w:rPr>
            </w:pPr>
            <w:r>
              <w:rPr>
                <w:rFonts w:ascii="Arial" w:cs="Arial" w:eastAsia="Arial" w:hAnsi="Arial"/>
                <w:sz w:val="14"/>
                <w:szCs w:val="14"/>
                <w:color w:val="auto"/>
              </w:rPr>
              <w:t>1,881</w:t>
            </w:r>
          </w:p>
        </w:tc>
        <w:tc>
          <w:tcPr>
            <w:tcW w:w="900" w:type="dxa"/>
            <w:vAlign w:val="bottom"/>
          </w:tcPr>
          <w:p>
            <w:pPr>
              <w:jc w:val="right"/>
              <w:ind w:right="209"/>
              <w:spacing w:after="0"/>
              <w:rPr>
                <w:sz w:val="20"/>
                <w:szCs w:val="20"/>
                <w:color w:val="auto"/>
              </w:rPr>
            </w:pPr>
            <w:r>
              <w:rPr>
                <w:rFonts w:ascii="Arial" w:cs="Arial" w:eastAsia="Arial" w:hAnsi="Arial"/>
                <w:sz w:val="14"/>
                <w:szCs w:val="14"/>
                <w:color w:val="auto"/>
              </w:rPr>
              <w:t>1,088</w:t>
            </w:r>
          </w:p>
        </w:tc>
        <w:tc>
          <w:tcPr>
            <w:tcW w:w="1080" w:type="dxa"/>
            <w:vAlign w:val="bottom"/>
          </w:tcPr>
          <w:p>
            <w:pPr>
              <w:jc w:val="right"/>
              <w:ind w:right="149"/>
              <w:spacing w:after="0"/>
              <w:rPr>
                <w:sz w:val="20"/>
                <w:szCs w:val="20"/>
                <w:color w:val="auto"/>
              </w:rPr>
            </w:pPr>
            <w:r>
              <w:rPr>
                <w:rFonts w:ascii="Arial" w:cs="Arial" w:eastAsia="Arial" w:hAnsi="Arial"/>
                <w:sz w:val="14"/>
                <w:szCs w:val="14"/>
                <w:color w:val="auto"/>
              </w:rPr>
              <w:t>(273)</w:t>
            </w:r>
          </w:p>
        </w:tc>
        <w:tc>
          <w:tcPr>
            <w:tcW w:w="1100" w:type="dxa"/>
            <w:vAlign w:val="bottom"/>
          </w:tcPr>
          <w:p>
            <w:pPr>
              <w:jc w:val="right"/>
              <w:ind w:right="169"/>
              <w:spacing w:after="0"/>
              <w:rPr>
                <w:sz w:val="20"/>
                <w:szCs w:val="20"/>
                <w:color w:val="auto"/>
              </w:rPr>
            </w:pPr>
            <w:r>
              <w:rPr>
                <w:rFonts w:ascii="Arial" w:cs="Arial" w:eastAsia="Arial" w:hAnsi="Arial"/>
                <w:sz w:val="14"/>
                <w:szCs w:val="14"/>
                <w:color w:val="auto"/>
              </w:rPr>
              <w:t>609</w:t>
            </w:r>
          </w:p>
        </w:tc>
        <w:tc>
          <w:tcPr>
            <w:tcW w:w="700" w:type="dxa"/>
            <w:vAlign w:val="bottom"/>
          </w:tcPr>
          <w:p>
            <w:pPr>
              <w:jc w:val="right"/>
              <w:ind w:right="48"/>
              <w:spacing w:after="0"/>
              <w:rPr>
                <w:sz w:val="20"/>
                <w:szCs w:val="20"/>
                <w:color w:val="auto"/>
              </w:rPr>
            </w:pPr>
            <w:r>
              <w:rPr>
                <w:rFonts w:ascii="Arial" w:cs="Arial" w:eastAsia="Arial" w:hAnsi="Arial"/>
                <w:sz w:val="14"/>
                <w:szCs w:val="14"/>
                <w:color w:val="auto"/>
              </w:rPr>
              <w:t>983</w:t>
            </w: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4,288</w:t>
            </w:r>
          </w:p>
        </w:tc>
        <w:tc>
          <w:tcPr>
            <w:tcW w:w="0" w:type="dxa"/>
            <w:vAlign w:val="bottom"/>
          </w:tcPr>
          <w:p>
            <w:pPr>
              <w:spacing w:after="0"/>
              <w:rPr>
                <w:sz w:val="1"/>
                <w:szCs w:val="1"/>
                <w:color w:val="auto"/>
              </w:rPr>
            </w:pPr>
          </w:p>
        </w:tc>
      </w:tr>
      <w:tr>
        <w:trPr>
          <w:trHeight w:val="157"/>
        </w:trPr>
        <w:tc>
          <w:tcPr>
            <w:tcW w:w="3820" w:type="dxa"/>
            <w:vAlign w:val="bottom"/>
            <w:tcBorders>
              <w:bottom w:val="single" w:sz="8" w:color="auto"/>
            </w:tcBorders>
          </w:tcPr>
          <w:p>
            <w:pPr>
              <w:ind w:left="140"/>
              <w:spacing w:after="0" w:line="157" w:lineRule="exact"/>
              <w:rPr>
                <w:sz w:val="20"/>
                <w:szCs w:val="20"/>
                <w:color w:val="auto"/>
              </w:rPr>
            </w:pPr>
            <w:r>
              <w:rPr>
                <w:rFonts w:ascii="Arial" w:cs="Arial" w:eastAsia="Arial" w:hAnsi="Arial"/>
                <w:sz w:val="14"/>
                <w:szCs w:val="14"/>
                <w:color w:val="auto"/>
              </w:rPr>
              <w:t>Deferred tax liabilities</w:t>
            </w:r>
          </w:p>
        </w:tc>
        <w:tc>
          <w:tcPr>
            <w:tcW w:w="2920" w:type="dxa"/>
            <w:vAlign w:val="bottom"/>
            <w:tcBorders>
              <w:bottom w:val="single" w:sz="8" w:color="auto"/>
            </w:tcBorders>
          </w:tcPr>
          <w:p>
            <w:pPr>
              <w:jc w:val="right"/>
              <w:ind w:right="189"/>
              <w:spacing w:after="0" w:line="157" w:lineRule="exact"/>
              <w:rPr>
                <w:sz w:val="20"/>
                <w:szCs w:val="20"/>
                <w:color w:val="auto"/>
              </w:rPr>
            </w:pPr>
            <w:r>
              <w:rPr>
                <w:rFonts w:ascii="Arial" w:cs="Arial" w:eastAsia="Arial" w:hAnsi="Arial"/>
                <w:sz w:val="14"/>
                <w:szCs w:val="14"/>
                <w:color w:val="auto"/>
              </w:rPr>
              <w:t>5,590</w:t>
            </w:r>
          </w:p>
        </w:tc>
        <w:tc>
          <w:tcPr>
            <w:tcW w:w="900" w:type="dxa"/>
            <w:vAlign w:val="bottom"/>
            <w:tcBorders>
              <w:bottom w:val="single" w:sz="8" w:color="auto"/>
            </w:tcBorders>
          </w:tcPr>
          <w:p>
            <w:pPr>
              <w:jc w:val="right"/>
              <w:ind w:right="209"/>
              <w:spacing w:after="0" w:line="157" w:lineRule="exact"/>
              <w:rPr>
                <w:sz w:val="20"/>
                <w:szCs w:val="20"/>
                <w:color w:val="auto"/>
              </w:rPr>
            </w:pPr>
            <w:r>
              <w:rPr>
                <w:rFonts w:ascii="Arial" w:cs="Arial" w:eastAsia="Arial" w:hAnsi="Arial"/>
                <w:sz w:val="14"/>
                <w:szCs w:val="14"/>
                <w:color w:val="auto"/>
              </w:rPr>
              <w:t>3,712</w:t>
            </w:r>
          </w:p>
        </w:tc>
        <w:tc>
          <w:tcPr>
            <w:tcW w:w="1080" w:type="dxa"/>
            <w:vAlign w:val="bottom"/>
            <w:tcBorders>
              <w:bottom w:val="single" w:sz="8" w:color="auto"/>
            </w:tcBorders>
          </w:tcPr>
          <w:p>
            <w:pPr>
              <w:jc w:val="right"/>
              <w:ind w:right="149"/>
              <w:spacing w:after="0" w:line="157" w:lineRule="exact"/>
              <w:rPr>
                <w:sz w:val="20"/>
                <w:szCs w:val="20"/>
                <w:color w:val="auto"/>
              </w:rPr>
            </w:pPr>
            <w:r>
              <w:rPr>
                <w:rFonts w:ascii="Arial" w:cs="Arial" w:eastAsia="Arial" w:hAnsi="Arial"/>
                <w:sz w:val="14"/>
                <w:szCs w:val="14"/>
                <w:color w:val="auto"/>
              </w:rPr>
              <w:t>(23,639)</w:t>
            </w:r>
          </w:p>
        </w:tc>
        <w:tc>
          <w:tcPr>
            <w:tcW w:w="1100" w:type="dxa"/>
            <w:vAlign w:val="bottom"/>
            <w:tcBorders>
              <w:bottom w:val="single" w:sz="8" w:color="auto"/>
            </w:tcBorders>
          </w:tcPr>
          <w:p>
            <w:pPr>
              <w:jc w:val="right"/>
              <w:ind w:right="189"/>
              <w:spacing w:after="0" w:line="157" w:lineRule="exact"/>
              <w:rPr>
                <w:sz w:val="20"/>
                <w:szCs w:val="20"/>
                <w:color w:val="auto"/>
              </w:rPr>
            </w:pPr>
            <w:r>
              <w:rPr>
                <w:rFonts w:ascii="Arial" w:cs="Arial" w:eastAsia="Arial" w:hAnsi="Arial"/>
                <w:sz w:val="14"/>
                <w:szCs w:val="14"/>
                <w:color w:val="auto"/>
              </w:rPr>
              <w:t>3,958</w:t>
            </w:r>
          </w:p>
        </w:tc>
        <w:tc>
          <w:tcPr>
            <w:tcW w:w="700" w:type="dxa"/>
            <w:vAlign w:val="bottom"/>
            <w:tcBorders>
              <w:bottom w:val="single" w:sz="8" w:color="auto"/>
            </w:tcBorders>
          </w:tcPr>
          <w:p>
            <w:pPr>
              <w:jc w:val="right"/>
              <w:ind w:right="48"/>
              <w:spacing w:after="0" w:line="157" w:lineRule="exact"/>
              <w:rPr>
                <w:sz w:val="20"/>
                <w:szCs w:val="20"/>
                <w:color w:val="auto"/>
              </w:rPr>
            </w:pPr>
            <w:r>
              <w:rPr>
                <w:rFonts w:ascii="Arial" w:cs="Arial" w:eastAsia="Arial" w:hAnsi="Arial"/>
                <w:sz w:val="14"/>
                <w:szCs w:val="14"/>
                <w:color w:val="auto"/>
              </w:rPr>
              <w:t>67</w:t>
            </w:r>
          </w:p>
        </w:tc>
        <w:tc>
          <w:tcPr>
            <w:tcW w:w="900" w:type="dxa"/>
            <w:vAlign w:val="bottom"/>
            <w:tcBorders>
              <w:bottom w:val="single" w:sz="8" w:color="auto"/>
            </w:tcBorders>
          </w:tcPr>
          <w:p>
            <w:pPr>
              <w:jc w:val="right"/>
              <w:spacing w:after="0" w:line="157" w:lineRule="exact"/>
              <w:rPr>
                <w:sz w:val="20"/>
                <w:szCs w:val="20"/>
                <w:color w:val="auto"/>
              </w:rPr>
            </w:pPr>
            <w:r>
              <w:rPr>
                <w:rFonts w:ascii="Arial" w:cs="Arial" w:eastAsia="Arial" w:hAnsi="Arial"/>
                <w:sz w:val="14"/>
                <w:szCs w:val="14"/>
                <w:color w:val="auto"/>
              </w:rPr>
              <w:t>(10,312)</w:t>
            </w:r>
          </w:p>
        </w:tc>
        <w:tc>
          <w:tcPr>
            <w:tcW w:w="0" w:type="dxa"/>
            <w:vAlign w:val="bottom"/>
          </w:tcPr>
          <w:p>
            <w:pPr>
              <w:spacing w:after="0"/>
              <w:rPr>
                <w:sz w:val="1"/>
                <w:szCs w:val="1"/>
                <w:color w:val="auto"/>
              </w:rPr>
            </w:pPr>
          </w:p>
        </w:tc>
      </w:tr>
      <w:tr>
        <w:trPr>
          <w:trHeight w:val="171"/>
        </w:trPr>
        <w:tc>
          <w:tcPr>
            <w:tcW w:w="3820" w:type="dxa"/>
            <w:vAlign w:val="bottom"/>
            <w:vMerge w:val="restart"/>
          </w:tcPr>
          <w:p>
            <w:pPr>
              <w:spacing w:after="0"/>
              <w:rPr>
                <w:sz w:val="20"/>
                <w:szCs w:val="20"/>
                <w:color w:val="auto"/>
              </w:rPr>
            </w:pPr>
            <w:r>
              <w:rPr>
                <w:rFonts w:ascii="Arial" w:cs="Arial" w:eastAsia="Arial" w:hAnsi="Arial"/>
                <w:sz w:val="14"/>
                <w:szCs w:val="14"/>
                <w:color w:val="auto"/>
              </w:rPr>
              <w:t>Recognised in the period</w:t>
            </w:r>
          </w:p>
        </w:tc>
        <w:tc>
          <w:tcPr>
            <w:tcW w:w="2920" w:type="dxa"/>
            <w:vAlign w:val="bottom"/>
          </w:tcPr>
          <w:p>
            <w:pPr>
              <w:jc w:val="right"/>
              <w:ind w:right="189"/>
              <w:spacing w:after="0"/>
              <w:rPr>
                <w:sz w:val="20"/>
                <w:szCs w:val="20"/>
                <w:color w:val="auto"/>
              </w:rPr>
            </w:pPr>
            <w:r>
              <w:rPr>
                <w:rFonts w:ascii="Arial" w:cs="Arial" w:eastAsia="Arial" w:hAnsi="Arial"/>
                <w:sz w:val="14"/>
                <w:szCs w:val="14"/>
                <w:color w:val="auto"/>
              </w:rPr>
              <w:t>7,471</w:t>
            </w:r>
          </w:p>
        </w:tc>
        <w:tc>
          <w:tcPr>
            <w:tcW w:w="900" w:type="dxa"/>
            <w:vAlign w:val="bottom"/>
          </w:tcPr>
          <w:p>
            <w:pPr>
              <w:jc w:val="right"/>
              <w:ind w:right="209"/>
              <w:spacing w:after="0"/>
              <w:rPr>
                <w:sz w:val="20"/>
                <w:szCs w:val="20"/>
                <w:color w:val="auto"/>
              </w:rPr>
            </w:pPr>
            <w:r>
              <w:rPr>
                <w:rFonts w:ascii="Arial" w:cs="Arial" w:eastAsia="Arial" w:hAnsi="Arial"/>
                <w:sz w:val="14"/>
                <w:szCs w:val="14"/>
                <w:color w:val="auto"/>
              </w:rPr>
              <w:t>4,800</w:t>
            </w:r>
          </w:p>
        </w:tc>
        <w:tc>
          <w:tcPr>
            <w:tcW w:w="1080" w:type="dxa"/>
            <w:vAlign w:val="bottom"/>
          </w:tcPr>
          <w:p>
            <w:pPr>
              <w:jc w:val="right"/>
              <w:ind w:right="149"/>
              <w:spacing w:after="0"/>
              <w:rPr>
                <w:sz w:val="20"/>
                <w:szCs w:val="20"/>
                <w:color w:val="auto"/>
              </w:rPr>
            </w:pPr>
            <w:r>
              <w:rPr>
                <w:rFonts w:ascii="Arial" w:cs="Arial" w:eastAsia="Arial" w:hAnsi="Arial"/>
                <w:sz w:val="14"/>
                <w:szCs w:val="14"/>
                <w:color w:val="auto"/>
              </w:rPr>
              <w:t>(23,912)</w:t>
            </w:r>
          </w:p>
        </w:tc>
        <w:tc>
          <w:tcPr>
            <w:tcW w:w="1100" w:type="dxa"/>
            <w:vAlign w:val="bottom"/>
          </w:tcPr>
          <w:p>
            <w:pPr>
              <w:jc w:val="right"/>
              <w:ind w:right="189"/>
              <w:spacing w:after="0"/>
              <w:rPr>
                <w:sz w:val="20"/>
                <w:szCs w:val="20"/>
                <w:color w:val="auto"/>
              </w:rPr>
            </w:pPr>
            <w:r>
              <w:rPr>
                <w:rFonts w:ascii="Arial" w:cs="Arial" w:eastAsia="Arial" w:hAnsi="Arial"/>
                <w:sz w:val="14"/>
                <w:szCs w:val="14"/>
                <w:color w:val="auto"/>
              </w:rPr>
              <w:t>4,567</w:t>
            </w:r>
          </w:p>
        </w:tc>
        <w:tc>
          <w:tcPr>
            <w:tcW w:w="700" w:type="dxa"/>
            <w:vAlign w:val="bottom"/>
          </w:tcPr>
          <w:p>
            <w:pPr>
              <w:jc w:val="right"/>
              <w:ind w:right="48"/>
              <w:spacing w:after="0"/>
              <w:rPr>
                <w:sz w:val="20"/>
                <w:szCs w:val="20"/>
                <w:color w:val="auto"/>
              </w:rPr>
            </w:pPr>
            <w:r>
              <w:rPr>
                <w:rFonts w:ascii="Arial" w:cs="Arial" w:eastAsia="Arial" w:hAnsi="Arial"/>
                <w:sz w:val="14"/>
                <w:szCs w:val="14"/>
                <w:color w:val="auto"/>
              </w:rPr>
              <w:t>1,050</w:t>
            </w:r>
          </w:p>
        </w:tc>
        <w:tc>
          <w:tcPr>
            <w:tcW w:w="900" w:type="dxa"/>
            <w:vAlign w:val="bottom"/>
          </w:tcPr>
          <w:p>
            <w:pPr>
              <w:jc w:val="right"/>
              <w:spacing w:after="0"/>
              <w:rPr>
                <w:sz w:val="20"/>
                <w:szCs w:val="20"/>
                <w:color w:val="auto"/>
              </w:rPr>
            </w:pPr>
            <w:r>
              <w:rPr>
                <w:rFonts w:ascii="Arial" w:cs="Arial" w:eastAsia="Arial" w:hAnsi="Arial"/>
                <w:sz w:val="14"/>
                <w:szCs w:val="14"/>
                <w:color w:val="auto"/>
              </w:rPr>
              <w:t>(6,024)</w:t>
            </w:r>
          </w:p>
        </w:tc>
        <w:tc>
          <w:tcPr>
            <w:tcW w:w="0" w:type="dxa"/>
            <w:vAlign w:val="bottom"/>
          </w:tcPr>
          <w:p>
            <w:pPr>
              <w:spacing w:after="0"/>
              <w:rPr>
                <w:sz w:val="1"/>
                <w:szCs w:val="1"/>
                <w:color w:val="auto"/>
              </w:rPr>
            </w:pPr>
          </w:p>
        </w:tc>
      </w:tr>
      <w:tr>
        <w:trPr>
          <w:trHeight w:val="152"/>
        </w:trPr>
        <w:tc>
          <w:tcPr>
            <w:tcW w:w="3820" w:type="dxa"/>
            <w:vAlign w:val="bottom"/>
            <w:vMerge w:val="continue"/>
          </w:tcPr>
          <w:p>
            <w:pPr>
              <w:spacing w:after="0"/>
              <w:rPr>
                <w:sz w:val="13"/>
                <w:szCs w:val="13"/>
                <w:color w:val="auto"/>
              </w:rPr>
            </w:pPr>
          </w:p>
        </w:tc>
        <w:tc>
          <w:tcPr>
            <w:tcW w:w="29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820" w:type="dxa"/>
            <w:vAlign w:val="bottom"/>
          </w:tcPr>
          <w:p>
            <w:pPr>
              <w:ind w:left="140"/>
              <w:spacing w:after="0"/>
              <w:rPr>
                <w:sz w:val="20"/>
                <w:szCs w:val="20"/>
                <w:color w:val="auto"/>
              </w:rPr>
            </w:pPr>
            <w:r>
              <w:rPr>
                <w:rFonts w:ascii="Arial" w:cs="Arial" w:eastAsia="Arial" w:hAnsi="Arial"/>
                <w:sz w:val="14"/>
                <w:szCs w:val="14"/>
                <w:color w:val="auto"/>
              </w:rPr>
              <w:t>Credited/(charged) to income</w:t>
            </w:r>
          </w:p>
        </w:tc>
        <w:tc>
          <w:tcPr>
            <w:tcW w:w="2920" w:type="dxa"/>
            <w:vAlign w:val="bottom"/>
          </w:tcPr>
          <w:p>
            <w:pPr>
              <w:jc w:val="right"/>
              <w:ind w:right="189"/>
              <w:spacing w:after="0"/>
              <w:rPr>
                <w:sz w:val="20"/>
                <w:szCs w:val="20"/>
                <w:color w:val="auto"/>
              </w:rPr>
            </w:pPr>
            <w:r>
              <w:rPr>
                <w:rFonts w:ascii="Arial" w:cs="Arial" w:eastAsia="Arial" w:hAnsi="Arial"/>
                <w:sz w:val="14"/>
                <w:szCs w:val="14"/>
                <w:color w:val="auto"/>
              </w:rPr>
              <w:t>729</w:t>
            </w:r>
          </w:p>
        </w:tc>
        <w:tc>
          <w:tcPr>
            <w:tcW w:w="900" w:type="dxa"/>
            <w:vAlign w:val="bottom"/>
          </w:tcPr>
          <w:p>
            <w:pPr>
              <w:jc w:val="right"/>
              <w:ind w:right="209"/>
              <w:spacing w:after="0"/>
              <w:rPr>
                <w:sz w:val="20"/>
                <w:szCs w:val="20"/>
                <w:color w:val="auto"/>
              </w:rPr>
            </w:pPr>
            <w:r>
              <w:rPr>
                <w:rFonts w:ascii="Arial" w:cs="Arial" w:eastAsia="Arial" w:hAnsi="Arial"/>
                <w:sz w:val="14"/>
                <w:szCs w:val="14"/>
                <w:color w:val="auto"/>
              </w:rPr>
              <w:t>3,609</w:t>
            </w:r>
          </w:p>
        </w:tc>
        <w:tc>
          <w:tcPr>
            <w:tcW w:w="1080" w:type="dxa"/>
            <w:vAlign w:val="bottom"/>
          </w:tcPr>
          <w:p>
            <w:pPr>
              <w:jc w:val="right"/>
              <w:ind w:right="149"/>
              <w:spacing w:after="0"/>
              <w:rPr>
                <w:sz w:val="20"/>
                <w:szCs w:val="20"/>
                <w:color w:val="auto"/>
              </w:rPr>
            </w:pPr>
            <w:r>
              <w:rPr>
                <w:rFonts w:ascii="Arial" w:cs="Arial" w:eastAsia="Arial" w:hAnsi="Arial"/>
                <w:sz w:val="14"/>
                <w:szCs w:val="14"/>
                <w:color w:val="auto"/>
              </w:rPr>
              <w:t>(3,010)</w:t>
            </w:r>
          </w:p>
        </w:tc>
        <w:tc>
          <w:tcPr>
            <w:tcW w:w="1100" w:type="dxa"/>
            <w:vAlign w:val="bottom"/>
          </w:tcPr>
          <w:p>
            <w:pPr>
              <w:jc w:val="right"/>
              <w:ind w:right="189"/>
              <w:spacing w:after="0"/>
              <w:rPr>
                <w:sz w:val="20"/>
                <w:szCs w:val="20"/>
                <w:color w:val="auto"/>
              </w:rPr>
            </w:pPr>
            <w:r>
              <w:rPr>
                <w:rFonts w:ascii="Arial" w:cs="Arial" w:eastAsia="Arial" w:hAnsi="Arial"/>
                <w:sz w:val="14"/>
                <w:szCs w:val="14"/>
                <w:color w:val="auto"/>
              </w:rPr>
              <w:t>89</w:t>
            </w:r>
          </w:p>
        </w:tc>
        <w:tc>
          <w:tcPr>
            <w:tcW w:w="700" w:type="dxa"/>
            <w:vAlign w:val="bottom"/>
          </w:tcPr>
          <w:p>
            <w:pPr>
              <w:jc w:val="right"/>
              <w:ind w:right="48"/>
              <w:spacing w:after="0"/>
              <w:rPr>
                <w:sz w:val="20"/>
                <w:szCs w:val="20"/>
                <w:color w:val="auto"/>
              </w:rPr>
            </w:pPr>
            <w:r>
              <w:rPr>
                <w:rFonts w:ascii="Arial" w:cs="Arial" w:eastAsia="Arial" w:hAnsi="Arial"/>
                <w:sz w:val="14"/>
                <w:szCs w:val="14"/>
                <w:color w:val="auto"/>
              </w:rPr>
              <w:t>99</w:t>
            </w: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1,516</w:t>
            </w:r>
          </w:p>
        </w:tc>
        <w:tc>
          <w:tcPr>
            <w:tcW w:w="0" w:type="dxa"/>
            <w:vAlign w:val="bottom"/>
          </w:tcPr>
          <w:p>
            <w:pPr>
              <w:spacing w:after="0"/>
              <w:rPr>
                <w:sz w:val="1"/>
                <w:szCs w:val="1"/>
                <w:color w:val="auto"/>
              </w:rPr>
            </w:pPr>
          </w:p>
        </w:tc>
      </w:tr>
      <w:tr>
        <w:trPr>
          <w:trHeight w:val="162"/>
        </w:trPr>
        <w:tc>
          <w:tcPr>
            <w:tcW w:w="3820" w:type="dxa"/>
            <w:vAlign w:val="bottom"/>
          </w:tcPr>
          <w:p>
            <w:pPr>
              <w:ind w:left="140"/>
              <w:spacing w:after="0"/>
              <w:rPr>
                <w:sz w:val="20"/>
                <w:szCs w:val="20"/>
                <w:color w:val="auto"/>
              </w:rPr>
            </w:pPr>
            <w:r>
              <w:rPr>
                <w:rFonts w:ascii="Arial" w:cs="Arial" w:eastAsia="Arial" w:hAnsi="Arial"/>
                <w:sz w:val="14"/>
                <w:szCs w:val="14"/>
                <w:color w:val="auto"/>
              </w:rPr>
              <w:t>Other movements</w:t>
            </w:r>
          </w:p>
        </w:tc>
        <w:tc>
          <w:tcPr>
            <w:tcW w:w="2920" w:type="dxa"/>
            <w:vAlign w:val="bottom"/>
          </w:tcPr>
          <w:p>
            <w:pPr>
              <w:jc w:val="right"/>
              <w:ind w:right="189"/>
              <w:spacing w:after="0"/>
              <w:rPr>
                <w:sz w:val="20"/>
                <w:szCs w:val="20"/>
                <w:color w:val="auto"/>
              </w:rPr>
            </w:pPr>
            <w:r>
              <w:rPr>
                <w:rFonts w:ascii="Arial" w:cs="Arial" w:eastAsia="Arial" w:hAnsi="Arial"/>
                <w:sz w:val="14"/>
                <w:szCs w:val="14"/>
                <w:color w:val="auto"/>
              </w:rPr>
              <w:t>36</w:t>
            </w:r>
          </w:p>
        </w:tc>
        <w:tc>
          <w:tcPr>
            <w:tcW w:w="900" w:type="dxa"/>
            <w:vAlign w:val="bottom"/>
          </w:tcPr>
          <w:p>
            <w:pPr>
              <w:jc w:val="right"/>
              <w:ind w:right="209"/>
              <w:spacing w:after="0"/>
              <w:rPr>
                <w:sz w:val="20"/>
                <w:szCs w:val="20"/>
                <w:color w:val="auto"/>
              </w:rPr>
            </w:pPr>
            <w:r>
              <w:rPr>
                <w:rFonts w:ascii="Arial" w:cs="Arial" w:eastAsia="Arial" w:hAnsi="Arial"/>
                <w:sz w:val="14"/>
                <w:szCs w:val="14"/>
                <w:color w:val="auto"/>
              </w:rPr>
              <w:t>73</w:t>
            </w:r>
          </w:p>
        </w:tc>
        <w:tc>
          <w:tcPr>
            <w:tcW w:w="1080" w:type="dxa"/>
            <w:vAlign w:val="bottom"/>
          </w:tcPr>
          <w:p>
            <w:pPr>
              <w:jc w:val="right"/>
              <w:ind w:right="149"/>
              <w:spacing w:after="0"/>
              <w:rPr>
                <w:sz w:val="20"/>
                <w:szCs w:val="20"/>
                <w:color w:val="auto"/>
              </w:rPr>
            </w:pPr>
            <w:r>
              <w:rPr>
                <w:rFonts w:ascii="Arial" w:cs="Arial" w:eastAsia="Arial" w:hAnsi="Arial"/>
                <w:sz w:val="14"/>
                <w:szCs w:val="14"/>
                <w:color w:val="auto"/>
              </w:rPr>
              <w:t>(477)</w:t>
            </w:r>
          </w:p>
        </w:tc>
        <w:tc>
          <w:tcPr>
            <w:tcW w:w="1100" w:type="dxa"/>
            <w:vAlign w:val="bottom"/>
          </w:tcPr>
          <w:p>
            <w:pPr>
              <w:jc w:val="right"/>
              <w:ind w:right="129"/>
              <w:spacing w:after="0"/>
              <w:rPr>
                <w:sz w:val="20"/>
                <w:szCs w:val="20"/>
                <w:color w:val="auto"/>
              </w:rPr>
            </w:pPr>
            <w:r>
              <w:rPr>
                <w:rFonts w:ascii="Arial" w:cs="Arial" w:eastAsia="Arial" w:hAnsi="Arial"/>
                <w:sz w:val="14"/>
                <w:szCs w:val="14"/>
                <w:color w:val="auto"/>
              </w:rPr>
              <w:t>(1,573)</w:t>
            </w:r>
          </w:p>
        </w:tc>
        <w:tc>
          <w:tcPr>
            <w:tcW w:w="700" w:type="dxa"/>
            <w:vAlign w:val="bottom"/>
          </w:tcPr>
          <w:p>
            <w:pPr>
              <w:jc w:val="right"/>
              <w:ind w:right="48"/>
              <w:spacing w:after="0"/>
              <w:rPr>
                <w:sz w:val="20"/>
                <w:szCs w:val="20"/>
                <w:color w:val="auto"/>
              </w:rPr>
            </w:pPr>
            <w:r>
              <w:rPr>
                <w:rFonts w:ascii="Arial" w:cs="Arial" w:eastAsia="Arial" w:hAnsi="Arial"/>
                <w:sz w:val="14"/>
                <w:szCs w:val="14"/>
                <w:color w:val="auto"/>
              </w:rPr>
              <w:t>139</w:t>
            </w:r>
          </w:p>
        </w:tc>
        <w:tc>
          <w:tcPr>
            <w:tcW w:w="900" w:type="dxa"/>
            <w:vAlign w:val="bottom"/>
          </w:tcPr>
          <w:p>
            <w:pPr>
              <w:jc w:val="right"/>
              <w:spacing w:after="0"/>
              <w:rPr>
                <w:sz w:val="20"/>
                <w:szCs w:val="20"/>
                <w:color w:val="auto"/>
              </w:rPr>
            </w:pPr>
            <w:r>
              <w:rPr>
                <w:rFonts w:ascii="Arial" w:cs="Arial" w:eastAsia="Arial" w:hAnsi="Arial"/>
                <w:sz w:val="14"/>
                <w:szCs w:val="14"/>
                <w:color w:val="auto"/>
              </w:rPr>
              <w:t>(1,802)</w:t>
            </w:r>
          </w:p>
        </w:tc>
        <w:tc>
          <w:tcPr>
            <w:tcW w:w="0" w:type="dxa"/>
            <w:vAlign w:val="bottom"/>
          </w:tcPr>
          <w:p>
            <w:pPr>
              <w:spacing w:after="0"/>
              <w:rPr>
                <w:sz w:val="1"/>
                <w:szCs w:val="1"/>
                <w:color w:val="auto"/>
              </w:rPr>
            </w:pPr>
          </w:p>
        </w:tc>
      </w:tr>
      <w:tr>
        <w:trPr>
          <w:trHeight w:val="157"/>
        </w:trPr>
        <w:tc>
          <w:tcPr>
            <w:tcW w:w="3820" w:type="dxa"/>
            <w:vAlign w:val="bottom"/>
            <w:tcBorders>
              <w:bottom w:val="single" w:sz="8" w:color="auto"/>
            </w:tcBorders>
          </w:tcPr>
          <w:p>
            <w:pPr>
              <w:ind w:left="140"/>
              <w:spacing w:after="0" w:line="157" w:lineRule="exact"/>
              <w:rPr>
                <w:sz w:val="20"/>
                <w:szCs w:val="20"/>
                <w:color w:val="auto"/>
              </w:rPr>
            </w:pPr>
            <w:r>
              <w:rPr>
                <w:rFonts w:ascii="Arial" w:cs="Arial" w:eastAsia="Arial" w:hAnsi="Arial"/>
                <w:sz w:val="14"/>
                <w:szCs w:val="14"/>
                <w:color w:val="auto"/>
              </w:rPr>
              <w:t>Currency translation differences</w:t>
            </w:r>
          </w:p>
        </w:tc>
        <w:tc>
          <w:tcPr>
            <w:tcW w:w="2920" w:type="dxa"/>
            <w:vAlign w:val="bottom"/>
            <w:tcBorders>
              <w:bottom w:val="single" w:sz="8" w:color="auto"/>
            </w:tcBorders>
          </w:tcPr>
          <w:p>
            <w:pPr>
              <w:jc w:val="right"/>
              <w:ind w:right="149"/>
              <w:spacing w:after="0" w:line="157" w:lineRule="exact"/>
              <w:rPr>
                <w:sz w:val="20"/>
                <w:szCs w:val="20"/>
                <w:color w:val="auto"/>
              </w:rPr>
            </w:pPr>
            <w:r>
              <w:rPr>
                <w:rFonts w:ascii="Arial" w:cs="Arial" w:eastAsia="Arial" w:hAnsi="Arial"/>
                <w:sz w:val="14"/>
                <w:szCs w:val="14"/>
                <w:color w:val="auto"/>
              </w:rPr>
              <w:t>(8)</w:t>
            </w:r>
          </w:p>
        </w:tc>
        <w:tc>
          <w:tcPr>
            <w:tcW w:w="900" w:type="dxa"/>
            <w:vAlign w:val="bottom"/>
            <w:tcBorders>
              <w:bottom w:val="single" w:sz="8" w:color="auto"/>
            </w:tcBorders>
          </w:tcPr>
          <w:p>
            <w:pPr>
              <w:jc w:val="right"/>
              <w:ind w:right="169"/>
              <w:spacing w:after="0" w:line="157" w:lineRule="exact"/>
              <w:rPr>
                <w:sz w:val="20"/>
                <w:szCs w:val="20"/>
                <w:color w:val="auto"/>
              </w:rPr>
            </w:pPr>
            <w:r>
              <w:rPr>
                <w:rFonts w:ascii="Arial" w:cs="Arial" w:eastAsia="Arial" w:hAnsi="Arial"/>
                <w:sz w:val="14"/>
                <w:szCs w:val="14"/>
                <w:color w:val="auto"/>
              </w:rPr>
              <w:t>(37)</w:t>
            </w:r>
          </w:p>
        </w:tc>
        <w:tc>
          <w:tcPr>
            <w:tcW w:w="1080" w:type="dxa"/>
            <w:vAlign w:val="bottom"/>
            <w:tcBorders>
              <w:bottom w:val="single" w:sz="8" w:color="auto"/>
            </w:tcBorders>
          </w:tcPr>
          <w:p>
            <w:pPr>
              <w:jc w:val="right"/>
              <w:ind w:right="209"/>
              <w:spacing w:after="0" w:line="157" w:lineRule="exact"/>
              <w:rPr>
                <w:sz w:val="20"/>
                <w:szCs w:val="20"/>
                <w:color w:val="auto"/>
              </w:rPr>
            </w:pPr>
            <w:r>
              <w:rPr>
                <w:rFonts w:ascii="Arial" w:cs="Arial" w:eastAsia="Arial" w:hAnsi="Arial"/>
                <w:sz w:val="14"/>
                <w:szCs w:val="14"/>
                <w:color w:val="auto"/>
              </w:rPr>
              <w:t>266</w:t>
            </w:r>
          </w:p>
        </w:tc>
        <w:tc>
          <w:tcPr>
            <w:tcW w:w="1100" w:type="dxa"/>
            <w:vAlign w:val="bottom"/>
            <w:tcBorders>
              <w:bottom w:val="single" w:sz="8" w:color="auto"/>
            </w:tcBorders>
          </w:tcPr>
          <w:p>
            <w:pPr>
              <w:jc w:val="right"/>
              <w:ind w:right="129"/>
              <w:spacing w:after="0" w:line="157" w:lineRule="exact"/>
              <w:rPr>
                <w:sz w:val="20"/>
                <w:szCs w:val="20"/>
                <w:color w:val="auto"/>
              </w:rPr>
            </w:pPr>
            <w:r>
              <w:rPr>
                <w:rFonts w:ascii="Arial" w:cs="Arial" w:eastAsia="Arial" w:hAnsi="Arial"/>
                <w:sz w:val="14"/>
                <w:szCs w:val="14"/>
                <w:color w:val="auto"/>
              </w:rPr>
              <w:t>(20)</w:t>
            </w:r>
          </w:p>
        </w:tc>
        <w:tc>
          <w:tcPr>
            <w:tcW w:w="700" w:type="dxa"/>
            <w:vAlign w:val="bottom"/>
            <w:tcBorders>
              <w:bottom w:val="single" w:sz="8" w:color="auto"/>
            </w:tcBorders>
          </w:tcPr>
          <w:p>
            <w:pPr>
              <w:jc w:val="right"/>
              <w:ind w:right="8"/>
              <w:spacing w:after="0" w:line="157" w:lineRule="exact"/>
              <w:rPr>
                <w:sz w:val="20"/>
                <w:szCs w:val="20"/>
                <w:color w:val="auto"/>
              </w:rPr>
            </w:pPr>
            <w:r>
              <w:rPr>
                <w:rFonts w:ascii="Arial" w:cs="Arial" w:eastAsia="Arial" w:hAnsi="Arial"/>
                <w:sz w:val="14"/>
                <w:szCs w:val="14"/>
                <w:color w:val="auto"/>
              </w:rPr>
              <w:t>(49)</w:t>
            </w:r>
          </w:p>
        </w:tc>
        <w:tc>
          <w:tcPr>
            <w:tcW w:w="900" w:type="dxa"/>
            <w:vAlign w:val="bottom"/>
            <w:tcBorders>
              <w:bottom w:val="single" w:sz="8" w:color="auto"/>
            </w:tcBorders>
          </w:tcPr>
          <w:p>
            <w:pPr>
              <w:jc w:val="right"/>
              <w:ind w:right="28"/>
              <w:spacing w:after="0" w:line="157" w:lineRule="exact"/>
              <w:rPr>
                <w:sz w:val="20"/>
                <w:szCs w:val="20"/>
                <w:color w:val="auto"/>
              </w:rPr>
            </w:pPr>
            <w:r>
              <w:rPr>
                <w:rFonts w:ascii="Arial" w:cs="Arial" w:eastAsia="Arial" w:hAnsi="Arial"/>
                <w:sz w:val="14"/>
                <w:szCs w:val="14"/>
                <w:color w:val="auto"/>
              </w:rPr>
              <w:t>152</w:t>
            </w:r>
          </w:p>
        </w:tc>
        <w:tc>
          <w:tcPr>
            <w:tcW w:w="0" w:type="dxa"/>
            <w:vAlign w:val="bottom"/>
          </w:tcPr>
          <w:p>
            <w:pPr>
              <w:spacing w:after="0"/>
              <w:rPr>
                <w:sz w:val="1"/>
                <w:szCs w:val="1"/>
                <w:color w:val="auto"/>
              </w:rPr>
            </w:pPr>
          </w:p>
        </w:tc>
      </w:tr>
      <w:tr>
        <w:trPr>
          <w:trHeight w:val="171"/>
        </w:trPr>
        <w:tc>
          <w:tcPr>
            <w:tcW w:w="3820" w:type="dxa"/>
            <w:vAlign w:val="bottom"/>
            <w:vMerge w:val="restart"/>
          </w:tcPr>
          <w:p>
            <w:pPr>
              <w:spacing w:after="0"/>
              <w:rPr>
                <w:sz w:val="20"/>
                <w:szCs w:val="20"/>
                <w:color w:val="auto"/>
              </w:rPr>
            </w:pPr>
            <w:r>
              <w:rPr>
                <w:rFonts w:ascii="Arial" w:cs="Arial" w:eastAsia="Arial" w:hAnsi="Arial"/>
                <w:sz w:val="14"/>
                <w:szCs w:val="14"/>
                <w:color w:val="auto"/>
              </w:rPr>
              <w:t>At December 31, 2013</w:t>
            </w:r>
          </w:p>
        </w:tc>
        <w:tc>
          <w:tcPr>
            <w:tcW w:w="2920" w:type="dxa"/>
            <w:vAlign w:val="bottom"/>
          </w:tcPr>
          <w:p>
            <w:pPr>
              <w:jc w:val="right"/>
              <w:ind w:right="189"/>
              <w:spacing w:after="0"/>
              <w:rPr>
                <w:sz w:val="20"/>
                <w:szCs w:val="20"/>
                <w:color w:val="auto"/>
              </w:rPr>
            </w:pPr>
            <w:r>
              <w:rPr>
                <w:rFonts w:ascii="Arial" w:cs="Arial" w:eastAsia="Arial" w:hAnsi="Arial"/>
                <w:sz w:val="14"/>
                <w:szCs w:val="14"/>
                <w:color w:val="auto"/>
              </w:rPr>
              <w:t>757</w:t>
            </w:r>
          </w:p>
        </w:tc>
        <w:tc>
          <w:tcPr>
            <w:tcW w:w="900" w:type="dxa"/>
            <w:vAlign w:val="bottom"/>
          </w:tcPr>
          <w:p>
            <w:pPr>
              <w:jc w:val="right"/>
              <w:ind w:right="209"/>
              <w:spacing w:after="0"/>
              <w:rPr>
                <w:sz w:val="20"/>
                <w:szCs w:val="20"/>
                <w:color w:val="auto"/>
              </w:rPr>
            </w:pPr>
            <w:r>
              <w:rPr>
                <w:rFonts w:ascii="Arial" w:cs="Arial" w:eastAsia="Arial" w:hAnsi="Arial"/>
                <w:sz w:val="14"/>
                <w:szCs w:val="14"/>
                <w:color w:val="auto"/>
              </w:rPr>
              <w:t>3,645</w:t>
            </w:r>
          </w:p>
        </w:tc>
        <w:tc>
          <w:tcPr>
            <w:tcW w:w="1080" w:type="dxa"/>
            <w:vAlign w:val="bottom"/>
          </w:tcPr>
          <w:p>
            <w:pPr>
              <w:jc w:val="right"/>
              <w:ind w:right="149"/>
              <w:spacing w:after="0"/>
              <w:rPr>
                <w:sz w:val="20"/>
                <w:szCs w:val="20"/>
                <w:color w:val="auto"/>
              </w:rPr>
            </w:pPr>
            <w:r>
              <w:rPr>
                <w:rFonts w:ascii="Arial" w:cs="Arial" w:eastAsia="Arial" w:hAnsi="Arial"/>
                <w:sz w:val="14"/>
                <w:szCs w:val="14"/>
                <w:color w:val="auto"/>
              </w:rPr>
              <w:t>(3,221)</w:t>
            </w:r>
          </w:p>
        </w:tc>
        <w:tc>
          <w:tcPr>
            <w:tcW w:w="1100" w:type="dxa"/>
            <w:vAlign w:val="bottom"/>
          </w:tcPr>
          <w:p>
            <w:pPr>
              <w:jc w:val="right"/>
              <w:ind w:right="129"/>
              <w:spacing w:after="0"/>
              <w:rPr>
                <w:sz w:val="20"/>
                <w:szCs w:val="20"/>
                <w:color w:val="auto"/>
              </w:rPr>
            </w:pPr>
            <w:r>
              <w:rPr>
                <w:rFonts w:ascii="Arial" w:cs="Arial" w:eastAsia="Arial" w:hAnsi="Arial"/>
                <w:sz w:val="14"/>
                <w:szCs w:val="14"/>
                <w:color w:val="auto"/>
              </w:rPr>
              <w:t>(1,504)</w:t>
            </w:r>
          </w:p>
        </w:tc>
        <w:tc>
          <w:tcPr>
            <w:tcW w:w="700" w:type="dxa"/>
            <w:vAlign w:val="bottom"/>
          </w:tcPr>
          <w:p>
            <w:pPr>
              <w:jc w:val="right"/>
              <w:ind w:right="48"/>
              <w:spacing w:after="0"/>
              <w:rPr>
                <w:sz w:val="20"/>
                <w:szCs w:val="20"/>
                <w:color w:val="auto"/>
              </w:rPr>
            </w:pPr>
            <w:r>
              <w:rPr>
                <w:rFonts w:ascii="Arial" w:cs="Arial" w:eastAsia="Arial" w:hAnsi="Arial"/>
                <w:sz w:val="14"/>
                <w:szCs w:val="14"/>
                <w:color w:val="auto"/>
              </w:rPr>
              <w:t>189</w:t>
            </w:r>
          </w:p>
        </w:tc>
        <w:tc>
          <w:tcPr>
            <w:tcW w:w="900" w:type="dxa"/>
            <w:vAlign w:val="bottom"/>
          </w:tcPr>
          <w:p>
            <w:pPr>
              <w:jc w:val="right"/>
              <w:spacing w:after="0"/>
              <w:rPr>
                <w:sz w:val="20"/>
                <w:szCs w:val="20"/>
                <w:color w:val="auto"/>
              </w:rPr>
            </w:pPr>
            <w:r>
              <w:rPr>
                <w:rFonts w:ascii="Arial" w:cs="Arial" w:eastAsia="Arial" w:hAnsi="Arial"/>
                <w:sz w:val="14"/>
                <w:szCs w:val="14"/>
                <w:color w:val="auto"/>
              </w:rPr>
              <w:t>(134)</w:t>
            </w:r>
          </w:p>
        </w:tc>
        <w:tc>
          <w:tcPr>
            <w:tcW w:w="0" w:type="dxa"/>
            <w:vAlign w:val="bottom"/>
          </w:tcPr>
          <w:p>
            <w:pPr>
              <w:spacing w:after="0"/>
              <w:rPr>
                <w:sz w:val="1"/>
                <w:szCs w:val="1"/>
                <w:color w:val="auto"/>
              </w:rPr>
            </w:pPr>
          </w:p>
        </w:tc>
      </w:tr>
      <w:tr>
        <w:trPr>
          <w:trHeight w:val="152"/>
        </w:trPr>
        <w:tc>
          <w:tcPr>
            <w:tcW w:w="3820" w:type="dxa"/>
            <w:vAlign w:val="bottom"/>
            <w:vMerge w:val="continue"/>
          </w:tcPr>
          <w:p>
            <w:pPr>
              <w:spacing w:after="0"/>
              <w:rPr>
                <w:sz w:val="13"/>
                <w:szCs w:val="13"/>
                <w:color w:val="auto"/>
              </w:rPr>
            </w:pPr>
          </w:p>
        </w:tc>
        <w:tc>
          <w:tcPr>
            <w:tcW w:w="29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820" w:type="dxa"/>
            <w:vAlign w:val="bottom"/>
          </w:tcPr>
          <w:p>
            <w:pPr>
              <w:ind w:left="140"/>
              <w:spacing w:after="0"/>
              <w:rPr>
                <w:sz w:val="20"/>
                <w:szCs w:val="20"/>
                <w:color w:val="auto"/>
              </w:rPr>
            </w:pPr>
            <w:r>
              <w:rPr>
                <w:rFonts w:ascii="Arial" w:cs="Arial" w:eastAsia="Arial" w:hAnsi="Arial"/>
                <w:sz w:val="14"/>
                <w:szCs w:val="14"/>
                <w:color w:val="auto"/>
              </w:rPr>
              <w:t>Deferred tax assets</w:t>
            </w:r>
          </w:p>
        </w:tc>
        <w:tc>
          <w:tcPr>
            <w:tcW w:w="2920" w:type="dxa"/>
            <w:vAlign w:val="bottom"/>
          </w:tcPr>
          <w:p>
            <w:pPr>
              <w:jc w:val="right"/>
              <w:ind w:right="189"/>
              <w:spacing w:after="0"/>
              <w:rPr>
                <w:sz w:val="20"/>
                <w:szCs w:val="20"/>
                <w:color w:val="auto"/>
              </w:rPr>
            </w:pPr>
            <w:r>
              <w:rPr>
                <w:rFonts w:ascii="Arial" w:cs="Arial" w:eastAsia="Arial" w:hAnsi="Arial"/>
                <w:sz w:val="14"/>
                <w:szCs w:val="14"/>
                <w:color w:val="auto"/>
              </w:rPr>
              <w:t>2,007</w:t>
            </w:r>
          </w:p>
        </w:tc>
        <w:tc>
          <w:tcPr>
            <w:tcW w:w="900" w:type="dxa"/>
            <w:vAlign w:val="bottom"/>
          </w:tcPr>
          <w:p>
            <w:pPr>
              <w:jc w:val="right"/>
              <w:ind w:right="209"/>
              <w:spacing w:after="0"/>
              <w:rPr>
                <w:sz w:val="20"/>
                <w:szCs w:val="20"/>
                <w:color w:val="auto"/>
              </w:rPr>
            </w:pPr>
            <w:r>
              <w:rPr>
                <w:rFonts w:ascii="Arial" w:cs="Arial" w:eastAsia="Arial" w:hAnsi="Arial"/>
                <w:sz w:val="14"/>
                <w:szCs w:val="14"/>
                <w:color w:val="auto"/>
              </w:rPr>
              <w:t>3,087</w:t>
            </w:r>
          </w:p>
        </w:tc>
        <w:tc>
          <w:tcPr>
            <w:tcW w:w="1080" w:type="dxa"/>
            <w:vAlign w:val="bottom"/>
          </w:tcPr>
          <w:p>
            <w:pPr>
              <w:jc w:val="right"/>
              <w:ind w:right="149"/>
              <w:spacing w:after="0"/>
              <w:rPr>
                <w:sz w:val="20"/>
                <w:szCs w:val="20"/>
                <w:color w:val="auto"/>
              </w:rPr>
            </w:pPr>
            <w:r>
              <w:rPr>
                <w:rFonts w:ascii="Arial" w:cs="Arial" w:eastAsia="Arial" w:hAnsi="Arial"/>
                <w:sz w:val="14"/>
                <w:szCs w:val="14"/>
                <w:color w:val="auto"/>
              </w:rPr>
              <w:t>(1,551)</w:t>
            </w:r>
          </w:p>
        </w:tc>
        <w:tc>
          <w:tcPr>
            <w:tcW w:w="1100" w:type="dxa"/>
            <w:vAlign w:val="bottom"/>
          </w:tcPr>
          <w:p>
            <w:pPr>
              <w:jc w:val="right"/>
              <w:ind w:right="189"/>
              <w:spacing w:after="0"/>
              <w:rPr>
                <w:sz w:val="20"/>
                <w:szCs w:val="20"/>
                <w:color w:val="auto"/>
              </w:rPr>
            </w:pPr>
            <w:r>
              <w:rPr>
                <w:rFonts w:ascii="Arial" w:cs="Arial" w:eastAsia="Arial" w:hAnsi="Arial"/>
                <w:sz w:val="14"/>
                <w:szCs w:val="14"/>
                <w:color w:val="auto"/>
              </w:rPr>
              <w:t>1,338</w:t>
            </w:r>
          </w:p>
        </w:tc>
        <w:tc>
          <w:tcPr>
            <w:tcW w:w="700" w:type="dxa"/>
            <w:vAlign w:val="bottom"/>
          </w:tcPr>
          <w:p>
            <w:pPr>
              <w:jc w:val="right"/>
              <w:ind w:right="48"/>
              <w:spacing w:after="0"/>
              <w:rPr>
                <w:sz w:val="20"/>
                <w:szCs w:val="20"/>
                <w:color w:val="auto"/>
              </w:rPr>
            </w:pPr>
            <w:r>
              <w:rPr>
                <w:rFonts w:ascii="Arial" w:cs="Arial" w:eastAsia="Arial" w:hAnsi="Arial"/>
                <w:sz w:val="14"/>
                <w:szCs w:val="14"/>
                <w:color w:val="auto"/>
              </w:rPr>
              <w:t>904</w:t>
            </w: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5,785</w:t>
            </w:r>
          </w:p>
        </w:tc>
        <w:tc>
          <w:tcPr>
            <w:tcW w:w="0" w:type="dxa"/>
            <w:vAlign w:val="bottom"/>
          </w:tcPr>
          <w:p>
            <w:pPr>
              <w:spacing w:after="0"/>
              <w:rPr>
                <w:sz w:val="1"/>
                <w:szCs w:val="1"/>
                <w:color w:val="auto"/>
              </w:rPr>
            </w:pPr>
          </w:p>
        </w:tc>
      </w:tr>
      <w:tr>
        <w:trPr>
          <w:trHeight w:val="157"/>
        </w:trPr>
        <w:tc>
          <w:tcPr>
            <w:tcW w:w="3820" w:type="dxa"/>
            <w:vAlign w:val="bottom"/>
            <w:tcBorders>
              <w:bottom w:val="single" w:sz="8" w:color="auto"/>
            </w:tcBorders>
          </w:tcPr>
          <w:p>
            <w:pPr>
              <w:ind w:left="140"/>
              <w:spacing w:after="0" w:line="157" w:lineRule="exact"/>
              <w:rPr>
                <w:sz w:val="20"/>
                <w:szCs w:val="20"/>
                <w:color w:val="auto"/>
              </w:rPr>
            </w:pPr>
            <w:r>
              <w:rPr>
                <w:rFonts w:ascii="Arial" w:cs="Arial" w:eastAsia="Arial" w:hAnsi="Arial"/>
                <w:sz w:val="14"/>
                <w:szCs w:val="14"/>
                <w:color w:val="auto"/>
              </w:rPr>
              <w:t>Deferred tax liabilities</w:t>
            </w:r>
          </w:p>
        </w:tc>
        <w:tc>
          <w:tcPr>
            <w:tcW w:w="2920" w:type="dxa"/>
            <w:vAlign w:val="bottom"/>
            <w:tcBorders>
              <w:bottom w:val="single" w:sz="8" w:color="auto"/>
            </w:tcBorders>
          </w:tcPr>
          <w:p>
            <w:pPr>
              <w:jc w:val="right"/>
              <w:ind w:right="189"/>
              <w:spacing w:after="0" w:line="157" w:lineRule="exact"/>
              <w:rPr>
                <w:sz w:val="20"/>
                <w:szCs w:val="20"/>
                <w:color w:val="auto"/>
              </w:rPr>
            </w:pPr>
            <w:r>
              <w:rPr>
                <w:rFonts w:ascii="Arial" w:cs="Arial" w:eastAsia="Arial" w:hAnsi="Arial"/>
                <w:sz w:val="14"/>
                <w:szCs w:val="14"/>
                <w:color w:val="auto"/>
              </w:rPr>
              <w:t>6,221</w:t>
            </w:r>
          </w:p>
        </w:tc>
        <w:tc>
          <w:tcPr>
            <w:tcW w:w="900" w:type="dxa"/>
            <w:vAlign w:val="bottom"/>
            <w:tcBorders>
              <w:bottom w:val="single" w:sz="8" w:color="auto"/>
            </w:tcBorders>
          </w:tcPr>
          <w:p>
            <w:pPr>
              <w:jc w:val="right"/>
              <w:ind w:right="209"/>
              <w:spacing w:after="0" w:line="157" w:lineRule="exact"/>
              <w:rPr>
                <w:sz w:val="20"/>
                <w:szCs w:val="20"/>
                <w:color w:val="auto"/>
              </w:rPr>
            </w:pPr>
            <w:r>
              <w:rPr>
                <w:rFonts w:ascii="Arial" w:cs="Arial" w:eastAsia="Arial" w:hAnsi="Arial"/>
                <w:sz w:val="14"/>
                <w:szCs w:val="14"/>
                <w:color w:val="auto"/>
              </w:rPr>
              <w:t>5,358</w:t>
            </w:r>
          </w:p>
        </w:tc>
        <w:tc>
          <w:tcPr>
            <w:tcW w:w="1080" w:type="dxa"/>
            <w:vAlign w:val="bottom"/>
            <w:tcBorders>
              <w:bottom w:val="single" w:sz="8" w:color="auto"/>
            </w:tcBorders>
          </w:tcPr>
          <w:p>
            <w:pPr>
              <w:jc w:val="right"/>
              <w:ind w:right="149"/>
              <w:spacing w:after="0" w:line="157" w:lineRule="exact"/>
              <w:rPr>
                <w:sz w:val="20"/>
                <w:szCs w:val="20"/>
                <w:color w:val="auto"/>
              </w:rPr>
            </w:pPr>
            <w:r>
              <w:rPr>
                <w:rFonts w:ascii="Arial" w:cs="Arial" w:eastAsia="Arial" w:hAnsi="Arial"/>
                <w:sz w:val="14"/>
                <w:szCs w:val="14"/>
                <w:color w:val="auto"/>
              </w:rPr>
              <w:t>(25,582)</w:t>
            </w:r>
          </w:p>
        </w:tc>
        <w:tc>
          <w:tcPr>
            <w:tcW w:w="1100" w:type="dxa"/>
            <w:vAlign w:val="bottom"/>
            <w:tcBorders>
              <w:bottom w:val="single" w:sz="8" w:color="auto"/>
            </w:tcBorders>
          </w:tcPr>
          <w:p>
            <w:pPr>
              <w:jc w:val="right"/>
              <w:ind w:right="189"/>
              <w:spacing w:after="0" w:line="157" w:lineRule="exact"/>
              <w:rPr>
                <w:sz w:val="20"/>
                <w:szCs w:val="20"/>
                <w:color w:val="auto"/>
              </w:rPr>
            </w:pPr>
            <w:r>
              <w:rPr>
                <w:rFonts w:ascii="Arial" w:cs="Arial" w:eastAsia="Arial" w:hAnsi="Arial"/>
                <w:sz w:val="14"/>
                <w:szCs w:val="14"/>
                <w:color w:val="auto"/>
              </w:rPr>
              <w:t>1,725</w:t>
            </w:r>
          </w:p>
        </w:tc>
        <w:tc>
          <w:tcPr>
            <w:tcW w:w="700" w:type="dxa"/>
            <w:vAlign w:val="bottom"/>
            <w:tcBorders>
              <w:bottom w:val="single" w:sz="8" w:color="auto"/>
            </w:tcBorders>
          </w:tcPr>
          <w:p>
            <w:pPr>
              <w:jc w:val="right"/>
              <w:ind w:right="48"/>
              <w:spacing w:after="0" w:line="157" w:lineRule="exact"/>
              <w:rPr>
                <w:sz w:val="20"/>
                <w:szCs w:val="20"/>
                <w:color w:val="auto"/>
              </w:rPr>
            </w:pPr>
            <w:r>
              <w:rPr>
                <w:rFonts w:ascii="Arial" w:cs="Arial" w:eastAsia="Arial" w:hAnsi="Arial"/>
                <w:sz w:val="14"/>
                <w:szCs w:val="14"/>
                <w:color w:val="auto"/>
              </w:rPr>
              <w:t>335</w:t>
            </w:r>
          </w:p>
        </w:tc>
        <w:tc>
          <w:tcPr>
            <w:tcW w:w="900" w:type="dxa"/>
            <w:vAlign w:val="bottom"/>
            <w:tcBorders>
              <w:bottom w:val="single" w:sz="8" w:color="auto"/>
            </w:tcBorders>
          </w:tcPr>
          <w:p>
            <w:pPr>
              <w:jc w:val="right"/>
              <w:spacing w:after="0" w:line="157" w:lineRule="exact"/>
              <w:rPr>
                <w:sz w:val="20"/>
                <w:szCs w:val="20"/>
                <w:color w:val="auto"/>
              </w:rPr>
            </w:pPr>
            <w:r>
              <w:rPr>
                <w:rFonts w:ascii="Arial" w:cs="Arial" w:eastAsia="Arial" w:hAnsi="Arial"/>
                <w:sz w:val="14"/>
                <w:szCs w:val="14"/>
                <w:color w:val="auto"/>
              </w:rPr>
              <w:t>(11,943)</w:t>
            </w:r>
          </w:p>
        </w:tc>
        <w:tc>
          <w:tcPr>
            <w:tcW w:w="0" w:type="dxa"/>
            <w:vAlign w:val="bottom"/>
          </w:tcPr>
          <w:p>
            <w:pPr>
              <w:spacing w:after="0"/>
              <w:rPr>
                <w:sz w:val="1"/>
                <w:szCs w:val="1"/>
                <w:color w:val="auto"/>
              </w:rPr>
            </w:pPr>
          </w:p>
        </w:tc>
      </w:tr>
      <w:tr>
        <w:trPr>
          <w:trHeight w:val="156"/>
        </w:trPr>
        <w:tc>
          <w:tcPr>
            <w:tcW w:w="3820" w:type="dxa"/>
            <w:vAlign w:val="bottom"/>
            <w:tcBorders>
              <w:bottom w:val="single" w:sz="8" w:color="auto"/>
            </w:tcBorders>
          </w:tcPr>
          <w:p>
            <w:pPr>
              <w:spacing w:after="0"/>
              <w:rPr>
                <w:sz w:val="13"/>
                <w:szCs w:val="13"/>
                <w:color w:val="auto"/>
              </w:rPr>
            </w:pPr>
          </w:p>
        </w:tc>
        <w:tc>
          <w:tcPr>
            <w:tcW w:w="2920" w:type="dxa"/>
            <w:vAlign w:val="bottom"/>
            <w:tcBorders>
              <w:bottom w:val="single" w:sz="8" w:color="auto"/>
            </w:tcBorders>
          </w:tcPr>
          <w:p>
            <w:pPr>
              <w:jc w:val="right"/>
              <w:ind w:right="189"/>
              <w:spacing w:after="0" w:line="155" w:lineRule="exact"/>
              <w:rPr>
                <w:sz w:val="20"/>
                <w:szCs w:val="20"/>
                <w:color w:val="auto"/>
              </w:rPr>
            </w:pPr>
            <w:r>
              <w:rPr>
                <w:rFonts w:ascii="Arial" w:cs="Arial" w:eastAsia="Arial" w:hAnsi="Arial"/>
                <w:sz w:val="14"/>
                <w:szCs w:val="14"/>
                <w:color w:val="auto"/>
              </w:rPr>
              <w:t>8,228</w:t>
            </w:r>
          </w:p>
        </w:tc>
        <w:tc>
          <w:tcPr>
            <w:tcW w:w="900" w:type="dxa"/>
            <w:vAlign w:val="bottom"/>
            <w:tcBorders>
              <w:bottom w:val="single" w:sz="8" w:color="auto"/>
            </w:tcBorders>
          </w:tcPr>
          <w:p>
            <w:pPr>
              <w:jc w:val="right"/>
              <w:ind w:right="209"/>
              <w:spacing w:after="0" w:line="155" w:lineRule="exact"/>
              <w:rPr>
                <w:sz w:val="20"/>
                <w:szCs w:val="20"/>
                <w:color w:val="auto"/>
              </w:rPr>
            </w:pPr>
            <w:r>
              <w:rPr>
                <w:rFonts w:ascii="Arial" w:cs="Arial" w:eastAsia="Arial" w:hAnsi="Arial"/>
                <w:sz w:val="14"/>
                <w:szCs w:val="14"/>
                <w:color w:val="auto"/>
              </w:rPr>
              <w:t>8,445</w:t>
            </w:r>
          </w:p>
        </w:tc>
        <w:tc>
          <w:tcPr>
            <w:tcW w:w="1080" w:type="dxa"/>
            <w:vAlign w:val="bottom"/>
            <w:tcBorders>
              <w:bottom w:val="single" w:sz="8" w:color="auto"/>
            </w:tcBorders>
          </w:tcPr>
          <w:p>
            <w:pPr>
              <w:jc w:val="right"/>
              <w:ind w:right="149"/>
              <w:spacing w:after="0" w:line="155" w:lineRule="exact"/>
              <w:rPr>
                <w:sz w:val="20"/>
                <w:szCs w:val="20"/>
                <w:color w:val="auto"/>
              </w:rPr>
            </w:pPr>
            <w:r>
              <w:rPr>
                <w:rFonts w:ascii="Arial" w:cs="Arial" w:eastAsia="Arial" w:hAnsi="Arial"/>
                <w:sz w:val="14"/>
                <w:szCs w:val="14"/>
                <w:color w:val="auto"/>
              </w:rPr>
              <w:t>(27,133)</w:t>
            </w:r>
          </w:p>
        </w:tc>
        <w:tc>
          <w:tcPr>
            <w:tcW w:w="1100" w:type="dxa"/>
            <w:vAlign w:val="bottom"/>
            <w:tcBorders>
              <w:bottom w:val="single" w:sz="8" w:color="auto"/>
            </w:tcBorders>
          </w:tcPr>
          <w:p>
            <w:pPr>
              <w:jc w:val="right"/>
              <w:ind w:right="189"/>
              <w:spacing w:after="0" w:line="155" w:lineRule="exact"/>
              <w:rPr>
                <w:sz w:val="20"/>
                <w:szCs w:val="20"/>
                <w:color w:val="auto"/>
              </w:rPr>
            </w:pPr>
            <w:r>
              <w:rPr>
                <w:rFonts w:ascii="Arial" w:cs="Arial" w:eastAsia="Arial" w:hAnsi="Arial"/>
                <w:sz w:val="14"/>
                <w:szCs w:val="14"/>
                <w:color w:val="auto"/>
              </w:rPr>
              <w:t>3,063</w:t>
            </w:r>
          </w:p>
        </w:tc>
        <w:tc>
          <w:tcPr>
            <w:tcW w:w="700" w:type="dxa"/>
            <w:vAlign w:val="bottom"/>
            <w:tcBorders>
              <w:bottom w:val="single" w:sz="8" w:color="auto"/>
            </w:tcBorders>
          </w:tcPr>
          <w:p>
            <w:pPr>
              <w:jc w:val="right"/>
              <w:ind w:right="48"/>
              <w:spacing w:after="0" w:line="155" w:lineRule="exact"/>
              <w:rPr>
                <w:sz w:val="20"/>
                <w:szCs w:val="20"/>
                <w:color w:val="auto"/>
              </w:rPr>
            </w:pPr>
            <w:r>
              <w:rPr>
                <w:rFonts w:ascii="Arial" w:cs="Arial" w:eastAsia="Arial" w:hAnsi="Arial"/>
                <w:sz w:val="14"/>
                <w:szCs w:val="14"/>
                <w:color w:val="auto"/>
              </w:rPr>
              <w:t>1,239</w:t>
            </w:r>
          </w:p>
        </w:tc>
        <w:tc>
          <w:tcPr>
            <w:tcW w:w="9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(6,158)</w:t>
            </w:r>
          </w:p>
        </w:tc>
        <w:tc>
          <w:tcPr>
            <w:tcW w:w="0" w:type="dxa"/>
            <w:vAlign w:val="bottom"/>
          </w:tcPr>
          <w:p>
            <w:pPr>
              <w:spacing w:after="0"/>
              <w:rPr>
                <w:sz w:val="1"/>
                <w:szCs w:val="1"/>
                <w:color w:val="auto"/>
              </w:rPr>
            </w:pPr>
          </w:p>
        </w:tc>
      </w:tr>
    </w:tbl>
    <w:p>
      <w:pPr>
        <w:spacing w:after="0" w:line="153" w:lineRule="exact"/>
        <w:rPr>
          <w:sz w:val="20"/>
          <w:szCs w:val="20"/>
          <w:color w:val="auto"/>
        </w:rPr>
      </w:pPr>
    </w:p>
    <w:p>
      <w:pPr>
        <w:spacing w:after="0"/>
        <w:rPr>
          <w:sz w:val="20"/>
          <w:szCs w:val="20"/>
          <w:color w:val="auto"/>
        </w:rPr>
      </w:pPr>
      <w:r>
        <w:rPr>
          <w:rFonts w:ascii="Arial" w:cs="Arial" w:eastAsia="Arial" w:hAnsi="Arial"/>
          <w:sz w:val="14"/>
          <w:szCs w:val="14"/>
          <w:color w:val="auto"/>
        </w:rPr>
        <w:t>The above deferred tax information takes into consideration offsetting balances within the same tax jurisdiction.</w:t>
      </w:r>
    </w:p>
    <w:p>
      <w:pPr>
        <w:spacing w:after="0" w:line="177" w:lineRule="exact"/>
        <w:rPr>
          <w:sz w:val="20"/>
          <w:szCs w:val="20"/>
          <w:color w:val="auto"/>
        </w:rPr>
      </w:pPr>
    </w:p>
    <w:p>
      <w:pPr>
        <w:ind w:right="100"/>
        <w:spacing w:after="0" w:line="258" w:lineRule="auto"/>
        <w:rPr>
          <w:sz w:val="20"/>
          <w:szCs w:val="20"/>
          <w:color w:val="auto"/>
        </w:rPr>
      </w:pPr>
      <w:r>
        <w:rPr>
          <w:rFonts w:ascii="Arial" w:cs="Arial" w:eastAsia="Arial" w:hAnsi="Arial"/>
          <w:sz w:val="14"/>
          <w:szCs w:val="14"/>
          <w:color w:val="auto"/>
        </w:rPr>
        <w:t>Other movements in deferred tax assets and liabilities principally relate to acquisitions, divestments and amounts recognised in other comprehensive income and directly in equity (see Note 22).</w:t>
      </w:r>
    </w:p>
    <w:p>
      <w:pPr>
        <w:spacing w:after="0" w:line="167" w:lineRule="exact"/>
        <w:rPr>
          <w:sz w:val="20"/>
          <w:szCs w:val="20"/>
          <w:color w:val="auto"/>
        </w:rPr>
      </w:pPr>
    </w:p>
    <w:p>
      <w:pPr>
        <w:ind w:right="280"/>
        <w:spacing w:after="0" w:line="250" w:lineRule="auto"/>
        <w:rPr>
          <w:sz w:val="20"/>
          <w:szCs w:val="20"/>
          <w:color w:val="auto"/>
        </w:rPr>
      </w:pPr>
      <w:r>
        <w:rPr>
          <w:rFonts w:ascii="Arial" w:cs="Arial" w:eastAsia="Arial" w:hAnsi="Arial"/>
          <w:sz w:val="14"/>
          <w:szCs w:val="14"/>
          <w:color w:val="auto"/>
        </w:rPr>
        <w:t>Deferred tax assets that are dependent on future taxable profits, not arising from the reversal of deferred tax liabilities, are only recognised to the extent that it is considered probable based on business forecasts that such profits will be available. Recognised losses carried forward amounted to $37,388 million at December 31, 2014 (2013: $38,448 million).</w:t>
      </w:r>
    </w:p>
    <w:p>
      <w:pPr>
        <w:spacing w:after="0" w:line="159" w:lineRule="exact"/>
        <w:rPr>
          <w:sz w:val="20"/>
          <w:szCs w:val="20"/>
          <w:color w:val="auto"/>
        </w:rPr>
      </w:pPr>
    </w:p>
    <w:p>
      <w:pPr>
        <w:spacing w:after="0"/>
        <w:rPr>
          <w:sz w:val="20"/>
          <w:szCs w:val="20"/>
          <w:color w:val="auto"/>
        </w:rPr>
      </w:pPr>
      <w:r>
        <w:rPr>
          <w:rFonts w:ascii="Arial" w:cs="Arial" w:eastAsia="Arial" w:hAnsi="Arial"/>
          <w:sz w:val="14"/>
          <w:szCs w:val="14"/>
          <w:color w:val="auto"/>
        </w:rPr>
        <w:t>Unrecognised deductible temporary differences, unused tax losses and credits carried forward amounted to $25,145 million at December 31, 2014 (2013: $17,036 million)</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including amounts of $21,344 million (2013: $16,576 million) that are subject to time limits for utilisation of five years or later or are not time limited.</w:t>
      </w:r>
    </w:p>
    <w:p>
      <w:pPr>
        <w:spacing w:after="0" w:line="177" w:lineRule="exact"/>
        <w:rPr>
          <w:sz w:val="20"/>
          <w:szCs w:val="20"/>
          <w:color w:val="auto"/>
        </w:rPr>
      </w:pPr>
    </w:p>
    <w:p>
      <w:pPr>
        <w:ind w:right="80"/>
        <w:spacing w:after="0" w:line="250" w:lineRule="auto"/>
        <w:rPr>
          <w:sz w:val="20"/>
          <w:szCs w:val="20"/>
          <w:color w:val="auto"/>
        </w:rPr>
      </w:pPr>
      <w:r>
        <w:rPr>
          <w:rFonts w:ascii="Arial" w:cs="Arial" w:eastAsia="Arial" w:hAnsi="Arial"/>
          <w:sz w:val="14"/>
          <w:szCs w:val="14"/>
          <w:color w:val="auto"/>
        </w:rPr>
        <w:t>Retained earnings of subsidiaries, joint ventures and associates amounted to $201,960 million at December 31, 2014 (2013: $184,625 million). Provision has been made for withholding and other taxes that would become payable on the distribution of these earnings only to the extent that either Shell does not control the relevant entity or it is expected that these earnings will be remitted in the foreseeable future.</w:t>
      </w:r>
    </w:p>
    <w:p>
      <w:pPr>
        <w:sectPr>
          <w:pgSz w:w="11900" w:h="16838" w:orient="portrait"/>
          <w:cols w:equalWidth="0" w:num="1">
            <w:col w:w="11420"/>
          </w:cols>
          <w:pgMar w:left="240" w:top="459" w:right="239" w:bottom="1440" w:gutter="0" w:footer="0" w:header="0"/>
        </w:sectPr>
      </w:pPr>
    </w:p>
    <w:bookmarkStart w:id="130" w:name="page131"/>
    <w:bookmarkEnd w:id="1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3555365</wp:posOffset>
            </wp:positionH>
            <wp:positionV relativeFrom="paragraph">
              <wp:posOffset>300355</wp:posOffset>
            </wp:positionV>
            <wp:extent cx="3696335" cy="46291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3696335" cy="462915"/>
                    </a:xfrm>
                    <a:prstGeom prst="rect">
                      <a:avLst/>
                    </a:prstGeom>
                    <a:noFill/>
                  </pic:spPr>
                </pic:pic>
              </a:graphicData>
            </a:graphic>
          </wp:anchor>
        </w:drawing>
      </w:r>
    </w:p>
    <w:p>
      <w:pPr>
        <w:spacing w:after="0" w:line="200" w:lineRule="exact"/>
        <w:rPr>
          <w:sz w:val="20"/>
          <w:szCs w:val="20"/>
          <w:color w:val="auto"/>
        </w:rPr>
      </w:pPr>
    </w:p>
    <w:p>
      <w:pPr>
        <w:spacing w:after="0" w:line="253" w:lineRule="exact"/>
        <w:rPr>
          <w:sz w:val="20"/>
          <w:szCs w:val="20"/>
          <w:color w:val="auto"/>
        </w:rPr>
      </w:pPr>
    </w:p>
    <w:tbl>
      <w:tblPr>
        <w:tblLayout w:type="fixed"/>
        <w:tblInd w:w="5600" w:type="dxa"/>
        <w:tblCellMar>
          <w:top w:w="0" w:type="dxa"/>
          <w:left w:w="0" w:type="dxa"/>
          <w:bottom w:w="0" w:type="dxa"/>
          <w:right w:w="0" w:type="dxa"/>
        </w:tblCellMar>
      </w:tblPr>
      <w:tr>
        <w:trPr>
          <w:trHeight w:val="419"/>
        </w:trPr>
        <w:tc>
          <w:tcPr>
            <w:tcW w:w="4440" w:type="dxa"/>
            <w:vAlign w:val="bottom"/>
            <w:shd w:val="clear" w:color="auto" w:fill="FF8B00"/>
          </w:tcPr>
          <w:p>
            <w:pPr>
              <w:spacing w:after="0"/>
              <w:rPr>
                <w:sz w:val="24"/>
                <w:szCs w:val="24"/>
                <w:color w:val="auto"/>
              </w:rPr>
            </w:pPr>
          </w:p>
        </w:tc>
        <w:tc>
          <w:tcPr>
            <w:tcW w:w="1380" w:type="dxa"/>
            <w:vAlign w:val="bottom"/>
            <w:shd w:val="clear" w:color="auto" w:fill="FF8B00"/>
          </w:tcPr>
          <w:p>
            <w:pPr>
              <w:spacing w:after="0"/>
              <w:rPr>
                <w:sz w:val="24"/>
                <w:szCs w:val="24"/>
                <w:color w:val="auto"/>
              </w:rPr>
            </w:pPr>
          </w:p>
        </w:tc>
      </w:tr>
      <w:tr>
        <w:trPr>
          <w:trHeight w:val="152"/>
        </w:trPr>
        <w:tc>
          <w:tcPr>
            <w:tcW w:w="4440" w:type="dxa"/>
            <w:vAlign w:val="bottom"/>
          </w:tcPr>
          <w:p>
            <w:pPr>
              <w:ind w:left="880"/>
              <w:spacing w:after="0"/>
              <w:rPr>
                <w:sz w:val="20"/>
                <w:szCs w:val="20"/>
                <w:color w:val="auto"/>
              </w:rPr>
            </w:pPr>
            <w:r>
              <w:rPr>
                <w:rFonts w:ascii="Arial" w:cs="Arial" w:eastAsia="Arial" w:hAnsi="Arial"/>
                <w:sz w:val="13"/>
                <w:szCs w:val="13"/>
                <w:color w:val="333333"/>
              </w:rPr>
              <w:t>FINANCIAL STATEMENTS AND SUPPLEMENTS</w:t>
            </w:r>
          </w:p>
        </w:tc>
        <w:tc>
          <w:tcPr>
            <w:tcW w:w="1380" w:type="dxa"/>
            <w:vAlign w:val="bottom"/>
          </w:tcPr>
          <w:p>
            <w:pPr>
              <w:jc w:val="right"/>
              <w:ind w:right="366"/>
              <w:spacing w:after="0"/>
              <w:rPr>
                <w:sz w:val="20"/>
                <w:szCs w:val="20"/>
                <w:color w:val="auto"/>
              </w:rPr>
            </w:pPr>
            <w:r>
              <w:rPr>
                <w:rFonts w:ascii="Arial" w:cs="Arial" w:eastAsia="Arial" w:hAnsi="Arial"/>
                <w:sz w:val="11"/>
                <w:szCs w:val="11"/>
                <w:b w:val="1"/>
                <w:bCs w:val="1"/>
                <w:color w:val="333333"/>
              </w:rPr>
              <w:t>129</w:t>
            </w:r>
          </w:p>
        </w:tc>
      </w:tr>
    </w:tbl>
    <w:p>
      <w:pPr>
        <w:spacing w:after="0" w:line="153" w:lineRule="exact"/>
        <w:rPr>
          <w:sz w:val="20"/>
          <w:szCs w:val="20"/>
          <w:color w:val="auto"/>
        </w:rPr>
      </w:pPr>
    </w:p>
    <w:p>
      <w:pPr>
        <w:spacing w:after="0"/>
        <w:tabs>
          <w:tab w:leader="none" w:pos="6460" w:val="left"/>
        </w:tabs>
        <w:rPr>
          <w:sz w:val="20"/>
          <w:szCs w:val="20"/>
          <w:color w:val="auto"/>
        </w:rPr>
      </w:pPr>
      <w:r>
        <w:rPr>
          <w:rFonts w:ascii="Arial" w:cs="Arial" w:eastAsia="Arial" w:hAnsi="Arial"/>
          <w:sz w:val="11"/>
          <w:szCs w:val="11"/>
          <w:color w:val="auto"/>
        </w:rPr>
        <w:t>SHELL ANNUAL REPORT AND FORM 20-F 2014</w:t>
      </w:r>
      <w:r>
        <w:rPr>
          <w:sz w:val="20"/>
          <w:szCs w:val="20"/>
          <w:color w:val="auto"/>
        </w:rPr>
        <w:tab/>
      </w:r>
      <w:r>
        <w:rPr>
          <w:rFonts w:ascii="Arial" w:cs="Arial" w:eastAsia="Arial" w:hAnsi="Arial"/>
          <w:sz w:val="10"/>
          <w:szCs w:val="10"/>
          <w:color w:val="auto"/>
        </w:rPr>
        <w:t>CONSOLIDATED FINANCIAL STATEMENTS</w:t>
      </w:r>
    </w:p>
    <w:p>
      <w:pPr>
        <w:spacing w:after="0"/>
        <w:rPr>
          <w:sz w:val="20"/>
          <w:szCs w:val="20"/>
          <w:color w:val="auto"/>
        </w:rPr>
      </w:pPr>
      <w:r>
        <w:rPr>
          <w:rFonts w:ascii="Arial" w:cs="Arial" w:eastAsia="Arial" w:hAnsi="Arial"/>
          <w:sz w:val="18"/>
          <w:szCs w:val="18"/>
          <w:color w:val="auto"/>
        </w:rPr>
        <w:t>17 RETIREMENT BENEFITS</w:t>
      </w:r>
    </w:p>
    <w:p>
      <w:pPr>
        <w:spacing w:after="0" w:line="1" w:lineRule="exact"/>
        <w:rPr>
          <w:sz w:val="20"/>
          <w:szCs w:val="20"/>
          <w:color w:val="auto"/>
        </w:rPr>
      </w:pPr>
    </w:p>
    <w:p>
      <w:pPr>
        <w:ind w:right="740"/>
        <w:spacing w:after="0" w:line="258" w:lineRule="auto"/>
        <w:rPr>
          <w:sz w:val="20"/>
          <w:szCs w:val="20"/>
          <w:color w:val="auto"/>
        </w:rPr>
      </w:pPr>
      <w:r>
        <w:rPr>
          <w:rFonts w:ascii="Arial" w:cs="Arial" w:eastAsia="Arial" w:hAnsi="Arial"/>
          <w:sz w:val="14"/>
          <w:szCs w:val="14"/>
          <w:color w:val="auto"/>
        </w:rPr>
        <w:t>Retirement benefits are provided through a number of funded and unfunded defined benefit plans and defined contribution plans, the most significant of which are in the Netherlands, UK and USA. Benefits comprise principally pensions; retirement healthcare and life insurance are also provided in some countries.</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8320" w:type="dxa"/>
            <w:vAlign w:val="bottom"/>
            <w:shd w:val="clear" w:color="auto" w:fill="333333"/>
          </w:tcPr>
          <w:p>
            <w:pPr>
              <w:ind w:left="80"/>
              <w:spacing w:after="0"/>
              <w:rPr>
                <w:sz w:val="20"/>
                <w:szCs w:val="20"/>
                <w:color w:val="auto"/>
              </w:rPr>
            </w:pPr>
            <w:r>
              <w:rPr>
                <w:rFonts w:ascii="Arial" w:cs="Arial" w:eastAsia="Arial" w:hAnsi="Arial"/>
                <w:sz w:val="15"/>
                <w:szCs w:val="15"/>
                <w:b w:val="1"/>
                <w:bCs w:val="1"/>
                <w:color w:val="FFFFFF"/>
              </w:rPr>
              <w:t>RETIREMENT BENEFIT EXPENSE</w:t>
            </w:r>
          </w:p>
        </w:tc>
        <w:tc>
          <w:tcPr>
            <w:tcW w:w="980" w:type="dxa"/>
            <w:vAlign w:val="bottom"/>
            <w:shd w:val="clear" w:color="auto" w:fill="333333"/>
          </w:tcPr>
          <w:p>
            <w:pPr>
              <w:spacing w:after="0"/>
              <w:rPr>
                <w:sz w:val="14"/>
                <w:szCs w:val="14"/>
                <w:color w:val="auto"/>
              </w:rPr>
            </w:pPr>
          </w:p>
        </w:tc>
        <w:tc>
          <w:tcPr>
            <w:tcW w:w="2120" w:type="dxa"/>
            <w:vAlign w:val="bottom"/>
            <w:gridSpan w:val="2"/>
            <w:shd w:val="clear" w:color="auto" w:fill="333333"/>
          </w:tcPr>
          <w:p>
            <w:pPr>
              <w:jc w:val="right"/>
              <w:ind w:right="369"/>
              <w:spacing w:after="0"/>
              <w:rPr>
                <w:sz w:val="20"/>
                <w:szCs w:val="20"/>
                <w:color w:val="auto"/>
              </w:rPr>
            </w:pPr>
            <w:r>
              <w:rPr>
                <w:rFonts w:ascii="Arial" w:cs="Arial" w:eastAsia="Arial" w:hAnsi="Arial"/>
                <w:sz w:val="15"/>
                <w:szCs w:val="15"/>
                <w:color w:val="FFFFFF"/>
              </w:rPr>
              <w:t>$ MILLION</w:t>
            </w:r>
          </w:p>
        </w:tc>
      </w:tr>
      <w:tr>
        <w:trPr>
          <w:trHeight w:val="149"/>
        </w:trPr>
        <w:tc>
          <w:tcPr>
            <w:tcW w:w="832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shd w:val="clear" w:color="auto" w:fill="D8D8D8"/>
          </w:tcPr>
          <w:p>
            <w:pPr>
              <w:jc w:val="right"/>
              <w:ind w:right="149"/>
              <w:spacing w:after="0"/>
              <w:rPr>
                <w:sz w:val="20"/>
                <w:szCs w:val="20"/>
                <w:color w:val="auto"/>
              </w:rPr>
            </w:pPr>
            <w:r>
              <w:rPr>
                <w:rFonts w:ascii="Arial" w:cs="Arial" w:eastAsia="Arial" w:hAnsi="Arial"/>
                <w:sz w:val="13"/>
                <w:szCs w:val="13"/>
                <w:color w:val="auto"/>
              </w:rPr>
              <w:t>2014</w:t>
            </w:r>
          </w:p>
        </w:tc>
        <w:tc>
          <w:tcPr>
            <w:tcW w:w="1280" w:type="dxa"/>
            <w:vAlign w:val="bottom"/>
            <w:tcBorders>
              <w:bottom w:val="single" w:sz="8" w:color="auto"/>
            </w:tcBorders>
          </w:tcPr>
          <w:p>
            <w:pPr>
              <w:jc w:val="right"/>
              <w:ind w:right="209"/>
              <w:spacing w:after="0"/>
              <w:rPr>
                <w:sz w:val="20"/>
                <w:szCs w:val="20"/>
                <w:color w:val="auto"/>
              </w:rPr>
            </w:pPr>
            <w:r>
              <w:rPr>
                <w:rFonts w:ascii="Arial" w:cs="Arial" w:eastAsia="Arial" w:hAnsi="Arial"/>
                <w:sz w:val="13"/>
                <w:szCs w:val="13"/>
                <w:color w:val="auto"/>
              </w:rPr>
              <w:t>2013</w:t>
            </w:r>
          </w:p>
        </w:tc>
        <w:tc>
          <w:tcPr>
            <w:tcW w:w="840" w:type="dxa"/>
            <w:vAlign w:val="bottom"/>
            <w:tcBorders>
              <w:bottom w:val="single" w:sz="8" w:color="auto"/>
            </w:tcBorders>
          </w:tcPr>
          <w:p>
            <w:pPr>
              <w:jc w:val="right"/>
              <w:ind w:right="149"/>
              <w:spacing w:after="0"/>
              <w:rPr>
                <w:sz w:val="20"/>
                <w:szCs w:val="20"/>
                <w:color w:val="auto"/>
              </w:rPr>
            </w:pPr>
            <w:r>
              <w:rPr>
                <w:rFonts w:ascii="Arial" w:cs="Arial" w:eastAsia="Arial" w:hAnsi="Arial"/>
                <w:sz w:val="13"/>
                <w:szCs w:val="13"/>
                <w:color w:val="auto"/>
              </w:rPr>
              <w:t>2012</w:t>
            </w:r>
          </w:p>
        </w:tc>
      </w:tr>
      <w:tr>
        <w:trPr>
          <w:trHeight w:val="156"/>
        </w:trPr>
        <w:tc>
          <w:tcPr>
            <w:tcW w:w="8320" w:type="dxa"/>
            <w:vAlign w:val="bottom"/>
          </w:tcPr>
          <w:p>
            <w:pPr>
              <w:spacing w:after="0" w:line="155" w:lineRule="exact"/>
              <w:rPr>
                <w:sz w:val="20"/>
                <w:szCs w:val="20"/>
                <w:color w:val="auto"/>
              </w:rPr>
            </w:pPr>
            <w:r>
              <w:rPr>
                <w:rFonts w:ascii="Arial" w:cs="Arial" w:eastAsia="Arial" w:hAnsi="Arial"/>
                <w:sz w:val="14"/>
                <w:szCs w:val="14"/>
                <w:color w:val="auto"/>
              </w:rPr>
              <w:t>Defined benefit plans:</w:t>
            </w:r>
          </w:p>
        </w:tc>
        <w:tc>
          <w:tcPr>
            <w:tcW w:w="980" w:type="dxa"/>
            <w:vAlign w:val="bottom"/>
            <w:shd w:val="clear" w:color="auto" w:fill="D8D8D8"/>
          </w:tcPr>
          <w:p>
            <w:pPr>
              <w:spacing w:after="0"/>
              <w:rPr>
                <w:sz w:val="13"/>
                <w:szCs w:val="13"/>
                <w:color w:val="auto"/>
              </w:rPr>
            </w:pPr>
          </w:p>
        </w:tc>
        <w:tc>
          <w:tcPr>
            <w:tcW w:w="1280" w:type="dxa"/>
            <w:vAlign w:val="bottom"/>
          </w:tcPr>
          <w:p>
            <w:pPr>
              <w:spacing w:after="0"/>
              <w:rPr>
                <w:sz w:val="13"/>
                <w:szCs w:val="13"/>
                <w:color w:val="auto"/>
              </w:rPr>
            </w:pPr>
          </w:p>
        </w:tc>
        <w:tc>
          <w:tcPr>
            <w:tcW w:w="840" w:type="dxa"/>
            <w:vAlign w:val="bottom"/>
          </w:tcPr>
          <w:p>
            <w:pPr>
              <w:spacing w:after="0"/>
              <w:rPr>
                <w:sz w:val="13"/>
                <w:szCs w:val="13"/>
                <w:color w:val="auto"/>
              </w:rPr>
            </w:pPr>
          </w:p>
        </w:tc>
      </w:tr>
      <w:tr>
        <w:trPr>
          <w:trHeight w:val="162"/>
        </w:trPr>
        <w:tc>
          <w:tcPr>
            <w:tcW w:w="8320" w:type="dxa"/>
            <w:vAlign w:val="bottom"/>
          </w:tcPr>
          <w:p>
            <w:pPr>
              <w:ind w:left="140"/>
              <w:spacing w:after="0"/>
              <w:rPr>
                <w:sz w:val="20"/>
                <w:szCs w:val="20"/>
                <w:color w:val="auto"/>
              </w:rPr>
            </w:pPr>
            <w:r>
              <w:rPr>
                <w:rFonts w:ascii="Arial" w:cs="Arial" w:eastAsia="Arial" w:hAnsi="Arial"/>
                <w:sz w:val="14"/>
                <w:szCs w:val="14"/>
                <w:color w:val="auto"/>
              </w:rPr>
              <w:t>Current service cost, net of plan participants’ contributions</w:t>
            </w:r>
          </w:p>
        </w:tc>
        <w:tc>
          <w:tcPr>
            <w:tcW w:w="980" w:type="dxa"/>
            <w:vAlign w:val="bottom"/>
            <w:shd w:val="clear" w:color="auto" w:fill="D8D8D8"/>
          </w:tcPr>
          <w:p>
            <w:pPr>
              <w:jc w:val="right"/>
              <w:ind w:right="149"/>
              <w:spacing w:after="0"/>
              <w:rPr>
                <w:sz w:val="20"/>
                <w:szCs w:val="20"/>
                <w:color w:val="auto"/>
              </w:rPr>
            </w:pPr>
            <w:r>
              <w:rPr>
                <w:rFonts w:ascii="Arial" w:cs="Arial" w:eastAsia="Arial" w:hAnsi="Arial"/>
                <w:sz w:val="14"/>
                <w:szCs w:val="14"/>
                <w:color w:val="auto"/>
              </w:rPr>
              <w:t>1,844</w:t>
            </w:r>
          </w:p>
        </w:tc>
        <w:tc>
          <w:tcPr>
            <w:tcW w:w="1280" w:type="dxa"/>
            <w:vAlign w:val="bottom"/>
          </w:tcPr>
          <w:p>
            <w:pPr>
              <w:jc w:val="right"/>
              <w:ind w:right="209"/>
              <w:spacing w:after="0"/>
              <w:rPr>
                <w:sz w:val="20"/>
                <w:szCs w:val="20"/>
                <w:color w:val="auto"/>
              </w:rPr>
            </w:pPr>
            <w:r>
              <w:rPr>
                <w:rFonts w:ascii="Arial" w:cs="Arial" w:eastAsia="Arial" w:hAnsi="Arial"/>
                <w:sz w:val="14"/>
                <w:szCs w:val="14"/>
                <w:color w:val="auto"/>
              </w:rPr>
              <w:t>1,895</w:t>
            </w:r>
          </w:p>
        </w:tc>
        <w:tc>
          <w:tcPr>
            <w:tcW w:w="840" w:type="dxa"/>
            <w:vAlign w:val="bottom"/>
          </w:tcPr>
          <w:p>
            <w:pPr>
              <w:jc w:val="right"/>
              <w:ind w:right="149"/>
              <w:spacing w:after="0"/>
              <w:rPr>
                <w:sz w:val="20"/>
                <w:szCs w:val="20"/>
                <w:color w:val="auto"/>
              </w:rPr>
            </w:pPr>
            <w:r>
              <w:rPr>
                <w:rFonts w:ascii="Arial" w:cs="Arial" w:eastAsia="Arial" w:hAnsi="Arial"/>
                <w:sz w:val="14"/>
                <w:szCs w:val="14"/>
                <w:color w:val="auto"/>
              </w:rPr>
              <w:t>1,558</w:t>
            </w:r>
          </w:p>
        </w:tc>
      </w:tr>
      <w:tr>
        <w:trPr>
          <w:trHeight w:val="167"/>
        </w:trPr>
        <w:tc>
          <w:tcPr>
            <w:tcW w:w="8320" w:type="dxa"/>
            <w:vAlign w:val="bottom"/>
          </w:tcPr>
          <w:p>
            <w:pPr>
              <w:ind w:left="140"/>
              <w:spacing w:after="0"/>
              <w:rPr>
                <w:sz w:val="20"/>
                <w:szCs w:val="20"/>
                <w:color w:val="auto"/>
              </w:rPr>
            </w:pPr>
            <w:r>
              <w:rPr>
                <w:rFonts w:ascii="Arial" w:cs="Arial" w:eastAsia="Arial" w:hAnsi="Arial"/>
                <w:sz w:val="14"/>
                <w:szCs w:val="14"/>
                <w:color w:val="auto"/>
              </w:rPr>
              <w:t>Interest expense on defined benefit obligations</w:t>
            </w:r>
          </w:p>
        </w:tc>
        <w:tc>
          <w:tcPr>
            <w:tcW w:w="980" w:type="dxa"/>
            <w:vAlign w:val="bottom"/>
            <w:shd w:val="clear" w:color="auto" w:fill="D8D8D8"/>
          </w:tcPr>
          <w:p>
            <w:pPr>
              <w:jc w:val="right"/>
              <w:ind w:right="149"/>
              <w:spacing w:after="0"/>
              <w:rPr>
                <w:sz w:val="20"/>
                <w:szCs w:val="20"/>
                <w:color w:val="auto"/>
              </w:rPr>
            </w:pPr>
            <w:r>
              <w:rPr>
                <w:rFonts w:ascii="Arial" w:cs="Arial" w:eastAsia="Arial" w:hAnsi="Arial"/>
                <w:sz w:val="14"/>
                <w:szCs w:val="14"/>
                <w:color w:val="auto"/>
              </w:rPr>
              <w:t>3,821</w:t>
            </w:r>
          </w:p>
        </w:tc>
        <w:tc>
          <w:tcPr>
            <w:tcW w:w="1280" w:type="dxa"/>
            <w:vAlign w:val="bottom"/>
          </w:tcPr>
          <w:p>
            <w:pPr>
              <w:jc w:val="right"/>
              <w:ind w:right="209"/>
              <w:spacing w:after="0"/>
              <w:rPr>
                <w:sz w:val="20"/>
                <w:szCs w:val="20"/>
                <w:color w:val="auto"/>
              </w:rPr>
            </w:pPr>
            <w:r>
              <w:rPr>
                <w:rFonts w:ascii="Arial" w:cs="Arial" w:eastAsia="Arial" w:hAnsi="Arial"/>
                <w:sz w:val="14"/>
                <w:szCs w:val="14"/>
                <w:color w:val="auto"/>
              </w:rPr>
              <w:t>3,574</w:t>
            </w:r>
          </w:p>
        </w:tc>
        <w:tc>
          <w:tcPr>
            <w:tcW w:w="840" w:type="dxa"/>
            <w:vAlign w:val="bottom"/>
          </w:tcPr>
          <w:p>
            <w:pPr>
              <w:jc w:val="right"/>
              <w:ind w:right="149"/>
              <w:spacing w:after="0"/>
              <w:rPr>
                <w:sz w:val="20"/>
                <w:szCs w:val="20"/>
                <w:color w:val="auto"/>
              </w:rPr>
            </w:pPr>
            <w:r>
              <w:rPr>
                <w:rFonts w:ascii="Arial" w:cs="Arial" w:eastAsia="Arial" w:hAnsi="Arial"/>
                <w:sz w:val="14"/>
                <w:szCs w:val="14"/>
                <w:color w:val="auto"/>
              </w:rPr>
              <w:t>3,303</w:t>
            </w:r>
          </w:p>
        </w:tc>
      </w:tr>
      <w:tr>
        <w:trPr>
          <w:trHeight w:val="162"/>
        </w:trPr>
        <w:tc>
          <w:tcPr>
            <w:tcW w:w="8320" w:type="dxa"/>
            <w:vAlign w:val="bottom"/>
          </w:tcPr>
          <w:p>
            <w:pPr>
              <w:ind w:left="140"/>
              <w:spacing w:after="0"/>
              <w:rPr>
                <w:sz w:val="20"/>
                <w:szCs w:val="20"/>
                <w:color w:val="auto"/>
              </w:rPr>
            </w:pPr>
            <w:r>
              <w:rPr>
                <w:rFonts w:ascii="Arial" w:cs="Arial" w:eastAsia="Arial" w:hAnsi="Arial"/>
                <w:sz w:val="14"/>
                <w:szCs w:val="14"/>
                <w:color w:val="auto"/>
              </w:rPr>
              <w:t>Interest income on plan assets</w:t>
            </w:r>
          </w:p>
        </w:tc>
        <w:tc>
          <w:tcPr>
            <w:tcW w:w="980" w:type="dxa"/>
            <w:vAlign w:val="bottom"/>
            <w:shd w:val="clear" w:color="auto" w:fill="D8D8D8"/>
          </w:tcPr>
          <w:p>
            <w:pPr>
              <w:jc w:val="right"/>
              <w:ind w:right="149"/>
              <w:spacing w:after="0"/>
              <w:rPr>
                <w:sz w:val="20"/>
                <w:szCs w:val="20"/>
                <w:color w:val="auto"/>
              </w:rPr>
            </w:pPr>
            <w:r>
              <w:rPr>
                <w:rFonts w:ascii="Arial" w:cs="Arial" w:eastAsia="Arial" w:hAnsi="Arial"/>
                <w:sz w:val="14"/>
                <w:szCs w:val="14"/>
                <w:color w:val="auto"/>
              </w:rPr>
              <w:t>(3,524)</w:t>
            </w:r>
          </w:p>
        </w:tc>
        <w:tc>
          <w:tcPr>
            <w:tcW w:w="1280" w:type="dxa"/>
            <w:vAlign w:val="bottom"/>
          </w:tcPr>
          <w:p>
            <w:pPr>
              <w:jc w:val="right"/>
              <w:ind w:right="169"/>
              <w:spacing w:after="0"/>
              <w:rPr>
                <w:sz w:val="20"/>
                <w:szCs w:val="20"/>
                <w:color w:val="auto"/>
              </w:rPr>
            </w:pPr>
            <w:r>
              <w:rPr>
                <w:rFonts w:ascii="Arial" w:cs="Arial" w:eastAsia="Arial" w:hAnsi="Arial"/>
                <w:sz w:val="14"/>
                <w:szCs w:val="14"/>
                <w:color w:val="auto"/>
              </w:rPr>
              <w:t>(3,030)</w:t>
            </w:r>
          </w:p>
        </w:tc>
        <w:tc>
          <w:tcPr>
            <w:tcW w:w="840" w:type="dxa"/>
            <w:vAlign w:val="bottom"/>
          </w:tcPr>
          <w:p>
            <w:pPr>
              <w:jc w:val="right"/>
              <w:ind w:right="89"/>
              <w:spacing w:after="0"/>
              <w:rPr>
                <w:sz w:val="20"/>
                <w:szCs w:val="20"/>
                <w:color w:val="auto"/>
              </w:rPr>
            </w:pPr>
            <w:r>
              <w:rPr>
                <w:rFonts w:ascii="Arial" w:cs="Arial" w:eastAsia="Arial" w:hAnsi="Arial"/>
                <w:sz w:val="14"/>
                <w:szCs w:val="14"/>
                <w:color w:val="auto"/>
              </w:rPr>
              <w:t>(2,893)</w:t>
            </w:r>
          </w:p>
        </w:tc>
      </w:tr>
      <w:tr>
        <w:trPr>
          <w:trHeight w:val="157"/>
        </w:trPr>
        <w:tc>
          <w:tcPr>
            <w:tcW w:w="8320" w:type="dxa"/>
            <w:vAlign w:val="bottom"/>
            <w:tcBorders>
              <w:bottom w:val="single" w:sz="8" w:color="auto"/>
            </w:tcBorders>
          </w:tcPr>
          <w:p>
            <w:pPr>
              <w:ind w:left="140"/>
              <w:spacing w:after="0" w:line="157" w:lineRule="exact"/>
              <w:rPr>
                <w:sz w:val="20"/>
                <w:szCs w:val="20"/>
                <w:color w:val="auto"/>
              </w:rPr>
            </w:pPr>
            <w:r>
              <w:rPr>
                <w:rFonts w:ascii="Arial" w:cs="Arial" w:eastAsia="Arial" w:hAnsi="Arial"/>
                <w:sz w:val="14"/>
                <w:szCs w:val="14"/>
                <w:color w:val="auto"/>
              </w:rPr>
              <w:t>Other</w:t>
            </w:r>
          </w:p>
        </w:tc>
        <w:tc>
          <w:tcPr>
            <w:tcW w:w="980" w:type="dxa"/>
            <w:vAlign w:val="bottom"/>
            <w:tcBorders>
              <w:bottom w:val="single" w:sz="8" w:color="auto"/>
            </w:tcBorders>
            <w:shd w:val="clear" w:color="auto" w:fill="D8D8D8"/>
          </w:tcPr>
          <w:p>
            <w:pPr>
              <w:jc w:val="right"/>
              <w:ind w:right="149"/>
              <w:spacing w:after="0" w:line="157" w:lineRule="exact"/>
              <w:rPr>
                <w:sz w:val="20"/>
                <w:szCs w:val="20"/>
                <w:color w:val="auto"/>
              </w:rPr>
            </w:pPr>
            <w:r>
              <w:rPr>
                <w:rFonts w:ascii="Arial" w:cs="Arial" w:eastAsia="Arial" w:hAnsi="Arial"/>
                <w:sz w:val="14"/>
                <w:szCs w:val="14"/>
                <w:color w:val="auto"/>
              </w:rPr>
              <w:t>(1,073)</w:t>
            </w:r>
          </w:p>
        </w:tc>
        <w:tc>
          <w:tcPr>
            <w:tcW w:w="1280" w:type="dxa"/>
            <w:vAlign w:val="bottom"/>
            <w:tcBorders>
              <w:bottom w:val="single" w:sz="8" w:color="auto"/>
            </w:tcBorders>
          </w:tcPr>
          <w:p>
            <w:pPr>
              <w:jc w:val="right"/>
              <w:ind w:right="169"/>
              <w:spacing w:after="0" w:line="157" w:lineRule="exact"/>
              <w:rPr>
                <w:sz w:val="20"/>
                <w:szCs w:val="20"/>
                <w:color w:val="auto"/>
              </w:rPr>
            </w:pPr>
            <w:r>
              <w:rPr>
                <w:rFonts w:ascii="Arial" w:cs="Arial" w:eastAsia="Arial" w:hAnsi="Arial"/>
                <w:sz w:val="14"/>
                <w:szCs w:val="14"/>
                <w:color w:val="auto"/>
              </w:rPr>
              <w:t>(6)</w:t>
            </w:r>
          </w:p>
        </w:tc>
        <w:tc>
          <w:tcPr>
            <w:tcW w:w="840" w:type="dxa"/>
            <w:vAlign w:val="bottom"/>
            <w:tcBorders>
              <w:bottom w:val="single" w:sz="8" w:color="auto"/>
            </w:tcBorders>
          </w:tcPr>
          <w:p>
            <w:pPr>
              <w:jc w:val="right"/>
              <w:ind w:right="89"/>
              <w:spacing w:after="0" w:line="157" w:lineRule="exact"/>
              <w:rPr>
                <w:sz w:val="20"/>
                <w:szCs w:val="20"/>
                <w:color w:val="auto"/>
              </w:rPr>
            </w:pPr>
            <w:r>
              <w:rPr>
                <w:rFonts w:ascii="Arial" w:cs="Arial" w:eastAsia="Arial" w:hAnsi="Arial"/>
                <w:sz w:val="14"/>
                <w:szCs w:val="14"/>
                <w:color w:val="auto"/>
              </w:rPr>
              <w:t>(73)</w:t>
            </w:r>
          </w:p>
        </w:tc>
      </w:tr>
      <w:tr>
        <w:trPr>
          <w:trHeight w:val="160"/>
        </w:trPr>
        <w:tc>
          <w:tcPr>
            <w:tcW w:w="8320" w:type="dxa"/>
            <w:vAlign w:val="bottom"/>
          </w:tcPr>
          <w:p>
            <w:pPr>
              <w:spacing w:after="0"/>
              <w:rPr>
                <w:sz w:val="20"/>
                <w:szCs w:val="20"/>
                <w:color w:val="auto"/>
              </w:rPr>
            </w:pPr>
            <w:r>
              <w:rPr>
                <w:rFonts w:ascii="Arial" w:cs="Arial" w:eastAsia="Arial" w:hAnsi="Arial"/>
                <w:sz w:val="14"/>
                <w:szCs w:val="14"/>
                <w:color w:val="auto"/>
              </w:rPr>
              <w:t>Total</w:t>
            </w:r>
          </w:p>
        </w:tc>
        <w:tc>
          <w:tcPr>
            <w:tcW w:w="980" w:type="dxa"/>
            <w:vAlign w:val="bottom"/>
            <w:shd w:val="clear" w:color="auto" w:fill="D8D8D8"/>
          </w:tcPr>
          <w:p>
            <w:pPr>
              <w:jc w:val="right"/>
              <w:ind w:right="149"/>
              <w:spacing w:after="0"/>
              <w:rPr>
                <w:sz w:val="20"/>
                <w:szCs w:val="20"/>
                <w:color w:val="auto"/>
              </w:rPr>
            </w:pPr>
            <w:r>
              <w:rPr>
                <w:rFonts w:ascii="Arial" w:cs="Arial" w:eastAsia="Arial" w:hAnsi="Arial"/>
                <w:sz w:val="14"/>
                <w:szCs w:val="14"/>
                <w:color w:val="auto"/>
              </w:rPr>
              <w:t>1,068</w:t>
            </w:r>
          </w:p>
        </w:tc>
        <w:tc>
          <w:tcPr>
            <w:tcW w:w="1280" w:type="dxa"/>
            <w:vAlign w:val="bottom"/>
          </w:tcPr>
          <w:p>
            <w:pPr>
              <w:jc w:val="right"/>
              <w:ind w:right="209"/>
              <w:spacing w:after="0"/>
              <w:rPr>
                <w:sz w:val="20"/>
                <w:szCs w:val="20"/>
                <w:color w:val="auto"/>
              </w:rPr>
            </w:pPr>
            <w:r>
              <w:rPr>
                <w:rFonts w:ascii="Arial" w:cs="Arial" w:eastAsia="Arial" w:hAnsi="Arial"/>
                <w:sz w:val="14"/>
                <w:szCs w:val="14"/>
                <w:color w:val="auto"/>
              </w:rPr>
              <w:t>2,433</w:t>
            </w:r>
          </w:p>
        </w:tc>
        <w:tc>
          <w:tcPr>
            <w:tcW w:w="840" w:type="dxa"/>
            <w:vAlign w:val="bottom"/>
          </w:tcPr>
          <w:p>
            <w:pPr>
              <w:jc w:val="right"/>
              <w:ind w:right="149"/>
              <w:spacing w:after="0"/>
              <w:rPr>
                <w:sz w:val="20"/>
                <w:szCs w:val="20"/>
                <w:color w:val="auto"/>
              </w:rPr>
            </w:pPr>
            <w:r>
              <w:rPr>
                <w:rFonts w:ascii="Arial" w:cs="Arial" w:eastAsia="Arial" w:hAnsi="Arial"/>
                <w:sz w:val="14"/>
                <w:szCs w:val="14"/>
                <w:color w:val="auto"/>
              </w:rPr>
              <w:t>1,895</w:t>
            </w:r>
          </w:p>
        </w:tc>
      </w:tr>
      <w:tr>
        <w:trPr>
          <w:trHeight w:val="157"/>
        </w:trPr>
        <w:tc>
          <w:tcPr>
            <w:tcW w:w="8320" w:type="dxa"/>
            <w:vAlign w:val="bottom"/>
            <w:tcBorders>
              <w:bottom w:val="single" w:sz="8" w:color="auto"/>
            </w:tcBorders>
          </w:tcPr>
          <w:p>
            <w:pPr>
              <w:spacing w:after="0" w:line="157" w:lineRule="exact"/>
              <w:rPr>
                <w:sz w:val="20"/>
                <w:szCs w:val="20"/>
                <w:color w:val="auto"/>
              </w:rPr>
            </w:pPr>
            <w:r>
              <w:rPr>
                <w:rFonts w:ascii="Arial" w:cs="Arial" w:eastAsia="Arial" w:hAnsi="Arial"/>
                <w:sz w:val="14"/>
                <w:szCs w:val="14"/>
                <w:color w:val="auto"/>
              </w:rPr>
              <w:t>Defined contribution plans</w:t>
            </w:r>
          </w:p>
        </w:tc>
        <w:tc>
          <w:tcPr>
            <w:tcW w:w="980" w:type="dxa"/>
            <w:vAlign w:val="bottom"/>
            <w:tcBorders>
              <w:bottom w:val="single" w:sz="8" w:color="auto"/>
            </w:tcBorders>
            <w:shd w:val="clear" w:color="auto" w:fill="D8D8D8"/>
          </w:tcPr>
          <w:p>
            <w:pPr>
              <w:jc w:val="right"/>
              <w:ind w:right="149"/>
              <w:spacing w:after="0" w:line="157" w:lineRule="exact"/>
              <w:rPr>
                <w:sz w:val="20"/>
                <w:szCs w:val="20"/>
                <w:color w:val="auto"/>
              </w:rPr>
            </w:pPr>
            <w:r>
              <w:rPr>
                <w:rFonts w:ascii="Arial" w:cs="Arial" w:eastAsia="Arial" w:hAnsi="Arial"/>
                <w:sz w:val="14"/>
                <w:szCs w:val="14"/>
                <w:color w:val="auto"/>
              </w:rPr>
              <w:t>448</w:t>
            </w:r>
          </w:p>
        </w:tc>
        <w:tc>
          <w:tcPr>
            <w:tcW w:w="1280" w:type="dxa"/>
            <w:vAlign w:val="bottom"/>
            <w:tcBorders>
              <w:bottom w:val="single" w:sz="8" w:color="auto"/>
            </w:tcBorders>
          </w:tcPr>
          <w:p>
            <w:pPr>
              <w:jc w:val="right"/>
              <w:ind w:right="209"/>
              <w:spacing w:after="0" w:line="157" w:lineRule="exact"/>
              <w:rPr>
                <w:sz w:val="20"/>
                <w:szCs w:val="20"/>
                <w:color w:val="auto"/>
              </w:rPr>
            </w:pPr>
            <w:r>
              <w:rPr>
                <w:rFonts w:ascii="Arial" w:cs="Arial" w:eastAsia="Arial" w:hAnsi="Arial"/>
                <w:sz w:val="14"/>
                <w:szCs w:val="14"/>
                <w:color w:val="auto"/>
              </w:rPr>
              <w:t>416</w:t>
            </w:r>
          </w:p>
        </w:tc>
        <w:tc>
          <w:tcPr>
            <w:tcW w:w="840" w:type="dxa"/>
            <w:vAlign w:val="bottom"/>
            <w:tcBorders>
              <w:bottom w:val="single" w:sz="8" w:color="auto"/>
            </w:tcBorders>
          </w:tcPr>
          <w:p>
            <w:pPr>
              <w:jc w:val="right"/>
              <w:ind w:right="149"/>
              <w:spacing w:after="0" w:line="157" w:lineRule="exact"/>
              <w:rPr>
                <w:sz w:val="20"/>
                <w:szCs w:val="20"/>
                <w:color w:val="auto"/>
              </w:rPr>
            </w:pPr>
            <w:r>
              <w:rPr>
                <w:rFonts w:ascii="Arial" w:cs="Arial" w:eastAsia="Arial" w:hAnsi="Arial"/>
                <w:sz w:val="14"/>
                <w:szCs w:val="14"/>
                <w:color w:val="auto"/>
              </w:rPr>
              <w:t>384</w:t>
            </w:r>
          </w:p>
        </w:tc>
      </w:tr>
      <w:tr>
        <w:trPr>
          <w:trHeight w:val="156"/>
        </w:trPr>
        <w:tc>
          <w:tcPr>
            <w:tcW w:w="8320" w:type="dxa"/>
            <w:vAlign w:val="bottom"/>
            <w:tcBorders>
              <w:bottom w:val="single" w:sz="8" w:color="auto"/>
            </w:tcBorders>
          </w:tcPr>
          <w:p>
            <w:pPr>
              <w:spacing w:after="0" w:line="155" w:lineRule="exact"/>
              <w:rPr>
                <w:sz w:val="20"/>
                <w:szCs w:val="20"/>
                <w:color w:val="auto"/>
              </w:rPr>
            </w:pPr>
            <w:r>
              <w:rPr>
                <w:rFonts w:ascii="Arial" w:cs="Arial" w:eastAsia="Arial" w:hAnsi="Arial"/>
                <w:sz w:val="14"/>
                <w:szCs w:val="14"/>
                <w:color w:val="auto"/>
              </w:rPr>
              <w:t>Total retirement benefit expense</w:t>
            </w:r>
          </w:p>
        </w:tc>
        <w:tc>
          <w:tcPr>
            <w:tcW w:w="980" w:type="dxa"/>
            <w:vAlign w:val="bottom"/>
            <w:tcBorders>
              <w:bottom w:val="single" w:sz="8" w:color="auto"/>
            </w:tcBorders>
            <w:shd w:val="clear" w:color="auto" w:fill="D8D8D8"/>
          </w:tcPr>
          <w:p>
            <w:pPr>
              <w:jc w:val="right"/>
              <w:ind w:right="149"/>
              <w:spacing w:after="0" w:line="155" w:lineRule="exact"/>
              <w:rPr>
                <w:sz w:val="20"/>
                <w:szCs w:val="20"/>
                <w:color w:val="auto"/>
              </w:rPr>
            </w:pPr>
            <w:r>
              <w:rPr>
                <w:rFonts w:ascii="Arial" w:cs="Arial" w:eastAsia="Arial" w:hAnsi="Arial"/>
                <w:sz w:val="14"/>
                <w:szCs w:val="14"/>
                <w:color w:val="auto"/>
              </w:rPr>
              <w:t>1,516</w:t>
            </w:r>
          </w:p>
        </w:tc>
        <w:tc>
          <w:tcPr>
            <w:tcW w:w="1280" w:type="dxa"/>
            <w:vAlign w:val="bottom"/>
            <w:tcBorders>
              <w:bottom w:val="single" w:sz="8" w:color="auto"/>
            </w:tcBorders>
          </w:tcPr>
          <w:p>
            <w:pPr>
              <w:jc w:val="right"/>
              <w:ind w:right="209"/>
              <w:spacing w:after="0" w:line="155" w:lineRule="exact"/>
              <w:rPr>
                <w:sz w:val="20"/>
                <w:szCs w:val="20"/>
                <w:color w:val="auto"/>
              </w:rPr>
            </w:pPr>
            <w:r>
              <w:rPr>
                <w:rFonts w:ascii="Arial" w:cs="Arial" w:eastAsia="Arial" w:hAnsi="Arial"/>
                <w:sz w:val="14"/>
                <w:szCs w:val="14"/>
                <w:color w:val="auto"/>
              </w:rPr>
              <w:t>2,849</w:t>
            </w:r>
          </w:p>
        </w:tc>
        <w:tc>
          <w:tcPr>
            <w:tcW w:w="840" w:type="dxa"/>
            <w:vAlign w:val="bottom"/>
            <w:tcBorders>
              <w:bottom w:val="single" w:sz="8" w:color="auto"/>
            </w:tcBorders>
          </w:tcPr>
          <w:p>
            <w:pPr>
              <w:jc w:val="right"/>
              <w:ind w:right="149"/>
              <w:spacing w:after="0" w:line="155" w:lineRule="exact"/>
              <w:rPr>
                <w:sz w:val="20"/>
                <w:szCs w:val="20"/>
                <w:color w:val="auto"/>
              </w:rPr>
            </w:pPr>
            <w:r>
              <w:rPr>
                <w:rFonts w:ascii="Arial" w:cs="Arial" w:eastAsia="Arial" w:hAnsi="Arial"/>
                <w:sz w:val="14"/>
                <w:szCs w:val="14"/>
                <w:color w:val="auto"/>
              </w:rPr>
              <w:t>2,279</w:t>
            </w:r>
          </w:p>
        </w:tc>
      </w:tr>
    </w:tbl>
    <w:p>
      <w:pPr>
        <w:spacing w:after="0" w:line="153" w:lineRule="exact"/>
        <w:rPr>
          <w:sz w:val="20"/>
          <w:szCs w:val="20"/>
          <w:color w:val="auto"/>
        </w:rPr>
      </w:pPr>
    </w:p>
    <w:p>
      <w:pPr>
        <w:ind w:right="260"/>
        <w:spacing w:after="0" w:line="258" w:lineRule="auto"/>
        <w:rPr>
          <w:sz w:val="20"/>
          <w:szCs w:val="20"/>
          <w:color w:val="auto"/>
        </w:rPr>
      </w:pPr>
      <w:r>
        <w:rPr>
          <w:rFonts w:ascii="Arial" w:cs="Arial" w:eastAsia="Arial" w:hAnsi="Arial"/>
          <w:sz w:val="14"/>
          <w:szCs w:val="14"/>
          <w:color w:val="auto"/>
        </w:rPr>
        <w:t>Other in 2014 mainly comprises the impact of amendments to the Dutch pension plan following regulatory changes in the Netherlands, which is reflected in other movements in defined benefit obligations.</w:t>
      </w:r>
    </w:p>
    <w:p>
      <w:pPr>
        <w:spacing w:after="0" w:line="127" w:lineRule="exact"/>
        <w:rPr>
          <w:sz w:val="20"/>
          <w:szCs w:val="20"/>
          <w:color w:val="auto"/>
        </w:rPr>
      </w:pPr>
    </w:p>
    <w:p>
      <w:pPr>
        <w:ind w:right="500"/>
        <w:spacing w:after="0" w:line="258" w:lineRule="auto"/>
        <w:rPr>
          <w:sz w:val="20"/>
          <w:szCs w:val="20"/>
          <w:color w:val="auto"/>
        </w:rPr>
      </w:pPr>
      <w:r>
        <w:rPr>
          <w:rFonts w:ascii="Arial" w:cs="Arial" w:eastAsia="Arial" w:hAnsi="Arial"/>
          <w:sz w:val="14"/>
          <w:szCs w:val="14"/>
          <w:color w:val="auto"/>
        </w:rPr>
        <w:t>Retirement benefit expense is presented principally within production and manufacturing expenses and selling, distribution and administrative expenses in the Consolidated Statement of Income. Interest income on plan assets is calculated using the rate applied to the related defined benefit obligations for each plan.</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7140" w:type="dxa"/>
            <w:vAlign w:val="bottom"/>
            <w:shd w:val="clear" w:color="auto" w:fill="333333"/>
          </w:tcPr>
          <w:p>
            <w:pPr>
              <w:ind w:left="80"/>
              <w:spacing w:after="0"/>
              <w:rPr>
                <w:sz w:val="20"/>
                <w:szCs w:val="20"/>
                <w:color w:val="auto"/>
              </w:rPr>
            </w:pPr>
            <w:r>
              <w:rPr>
                <w:rFonts w:ascii="Arial" w:cs="Arial" w:eastAsia="Arial" w:hAnsi="Arial"/>
                <w:sz w:val="15"/>
                <w:szCs w:val="15"/>
                <w:b w:val="1"/>
                <w:bCs w:val="1"/>
                <w:color w:val="FFFFFF"/>
              </w:rPr>
              <w:t>REMEASUREMENTS</w:t>
            </w:r>
          </w:p>
        </w:tc>
        <w:tc>
          <w:tcPr>
            <w:tcW w:w="1080" w:type="dxa"/>
            <w:vAlign w:val="bottom"/>
            <w:shd w:val="clear" w:color="auto" w:fill="333333"/>
          </w:tcPr>
          <w:p>
            <w:pPr>
              <w:spacing w:after="0"/>
              <w:rPr>
                <w:sz w:val="14"/>
                <w:szCs w:val="14"/>
                <w:color w:val="auto"/>
              </w:rPr>
            </w:pPr>
          </w:p>
        </w:tc>
        <w:tc>
          <w:tcPr>
            <w:tcW w:w="1020" w:type="dxa"/>
            <w:vAlign w:val="bottom"/>
            <w:shd w:val="clear" w:color="auto" w:fill="333333"/>
          </w:tcPr>
          <w:p>
            <w:pPr>
              <w:spacing w:after="0"/>
              <w:rPr>
                <w:sz w:val="14"/>
                <w:szCs w:val="14"/>
                <w:color w:val="auto"/>
              </w:rPr>
            </w:pPr>
          </w:p>
        </w:tc>
        <w:tc>
          <w:tcPr>
            <w:tcW w:w="80" w:type="dxa"/>
            <w:vAlign w:val="bottom"/>
            <w:shd w:val="clear" w:color="auto" w:fill="333333"/>
          </w:tcPr>
          <w:p>
            <w:pPr>
              <w:spacing w:after="0"/>
              <w:rPr>
                <w:sz w:val="14"/>
                <w:szCs w:val="14"/>
                <w:color w:val="auto"/>
              </w:rPr>
            </w:pPr>
          </w:p>
        </w:tc>
        <w:tc>
          <w:tcPr>
            <w:tcW w:w="40" w:type="dxa"/>
            <w:vAlign w:val="bottom"/>
            <w:shd w:val="clear" w:color="auto" w:fill="333333"/>
          </w:tcPr>
          <w:p>
            <w:pPr>
              <w:spacing w:after="0"/>
              <w:rPr>
                <w:sz w:val="14"/>
                <w:szCs w:val="14"/>
                <w:color w:val="auto"/>
              </w:rPr>
            </w:pPr>
          </w:p>
        </w:tc>
        <w:tc>
          <w:tcPr>
            <w:tcW w:w="2060" w:type="dxa"/>
            <w:vAlign w:val="bottom"/>
            <w:gridSpan w:val="2"/>
            <w:shd w:val="clear" w:color="auto" w:fill="333333"/>
          </w:tcPr>
          <w:p>
            <w:pPr>
              <w:jc w:val="right"/>
              <w:ind w:right="369"/>
              <w:spacing w:after="0"/>
              <w:rPr>
                <w:sz w:val="20"/>
                <w:szCs w:val="20"/>
                <w:color w:val="auto"/>
              </w:rPr>
            </w:pPr>
            <w:r>
              <w:rPr>
                <w:rFonts w:ascii="Arial" w:cs="Arial" w:eastAsia="Arial" w:hAnsi="Arial"/>
                <w:sz w:val="15"/>
                <w:szCs w:val="15"/>
                <w:color w:val="FFFFFF"/>
              </w:rPr>
              <w:t>$ MILLION</w:t>
            </w:r>
          </w:p>
        </w:tc>
      </w:tr>
      <w:tr>
        <w:trPr>
          <w:trHeight w:val="149"/>
        </w:trPr>
        <w:tc>
          <w:tcPr>
            <w:tcW w:w="714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shd w:val="clear" w:color="auto" w:fill="D8D8D8"/>
          </w:tcPr>
          <w:p>
            <w:pPr>
              <w:jc w:val="right"/>
              <w:ind w:right="69"/>
              <w:spacing w:after="0"/>
              <w:rPr>
                <w:sz w:val="20"/>
                <w:szCs w:val="20"/>
                <w:color w:val="auto"/>
              </w:rPr>
            </w:pPr>
            <w:r>
              <w:rPr>
                <w:rFonts w:ascii="Arial" w:cs="Arial" w:eastAsia="Arial" w:hAnsi="Arial"/>
                <w:sz w:val="13"/>
                <w:szCs w:val="13"/>
                <w:color w:val="auto"/>
              </w:rPr>
              <w:t>2014</w:t>
            </w:r>
          </w:p>
        </w:tc>
        <w:tc>
          <w:tcPr>
            <w:tcW w:w="80" w:type="dxa"/>
            <w:vAlign w:val="bottom"/>
            <w:tcBorders>
              <w:bottom w:val="single" w:sz="8" w:color="auto"/>
            </w:tcBorders>
            <w:shd w:val="clear" w:color="auto" w:fill="D8D8D8"/>
          </w:tcPr>
          <w:p>
            <w:pPr>
              <w:spacing w:after="0"/>
              <w:rPr>
                <w:sz w:val="12"/>
                <w:szCs w:val="12"/>
                <w:color w:val="auto"/>
              </w:rPr>
            </w:pPr>
          </w:p>
        </w:tc>
        <w:tc>
          <w:tcPr>
            <w:tcW w:w="1060" w:type="dxa"/>
            <w:vAlign w:val="bottom"/>
            <w:tcBorders>
              <w:bottom w:val="single" w:sz="8" w:color="auto"/>
            </w:tcBorders>
            <w:gridSpan w:val="2"/>
          </w:tcPr>
          <w:p>
            <w:pPr>
              <w:jc w:val="right"/>
              <w:ind w:right="48"/>
              <w:spacing w:after="0"/>
              <w:rPr>
                <w:sz w:val="20"/>
                <w:szCs w:val="20"/>
                <w:color w:val="auto"/>
              </w:rPr>
            </w:pPr>
            <w:r>
              <w:rPr>
                <w:rFonts w:ascii="Arial" w:cs="Arial" w:eastAsia="Arial" w:hAnsi="Arial"/>
                <w:sz w:val="13"/>
                <w:szCs w:val="13"/>
                <w:color w:val="auto"/>
              </w:rPr>
              <w:t>2013</w:t>
            </w:r>
          </w:p>
        </w:tc>
        <w:tc>
          <w:tcPr>
            <w:tcW w:w="1040" w:type="dxa"/>
            <w:vAlign w:val="bottom"/>
            <w:tcBorders>
              <w:bottom w:val="single" w:sz="8" w:color="auto"/>
            </w:tcBorders>
          </w:tcPr>
          <w:p>
            <w:pPr>
              <w:jc w:val="right"/>
              <w:ind w:right="149"/>
              <w:spacing w:after="0"/>
              <w:rPr>
                <w:sz w:val="20"/>
                <w:szCs w:val="20"/>
                <w:color w:val="auto"/>
              </w:rPr>
            </w:pPr>
            <w:r>
              <w:rPr>
                <w:rFonts w:ascii="Arial" w:cs="Arial" w:eastAsia="Arial" w:hAnsi="Arial"/>
                <w:sz w:val="13"/>
                <w:szCs w:val="13"/>
                <w:color w:val="auto"/>
              </w:rPr>
              <w:t>2012</w:t>
            </w:r>
          </w:p>
        </w:tc>
      </w:tr>
      <w:tr>
        <w:trPr>
          <w:trHeight w:val="156"/>
        </w:trPr>
        <w:tc>
          <w:tcPr>
            <w:tcW w:w="7140" w:type="dxa"/>
            <w:vAlign w:val="bottom"/>
          </w:tcPr>
          <w:p>
            <w:pPr>
              <w:spacing w:after="0" w:line="155" w:lineRule="exact"/>
              <w:rPr>
                <w:sz w:val="20"/>
                <w:szCs w:val="20"/>
                <w:color w:val="auto"/>
              </w:rPr>
            </w:pPr>
            <w:r>
              <w:rPr>
                <w:rFonts w:ascii="Arial" w:cs="Arial" w:eastAsia="Arial" w:hAnsi="Arial"/>
                <w:sz w:val="14"/>
                <w:szCs w:val="14"/>
                <w:color w:val="auto"/>
              </w:rPr>
              <w:t>Actuarial gains/(losses) on defined benefit obligations:</w:t>
            </w:r>
          </w:p>
        </w:tc>
        <w:tc>
          <w:tcPr>
            <w:tcW w:w="1080" w:type="dxa"/>
            <w:vAlign w:val="bottom"/>
          </w:tcPr>
          <w:p>
            <w:pPr>
              <w:spacing w:after="0"/>
              <w:rPr>
                <w:sz w:val="13"/>
                <w:szCs w:val="13"/>
                <w:color w:val="auto"/>
              </w:rPr>
            </w:pPr>
          </w:p>
        </w:tc>
        <w:tc>
          <w:tcPr>
            <w:tcW w:w="1020" w:type="dxa"/>
            <w:vAlign w:val="bottom"/>
            <w:shd w:val="clear" w:color="auto" w:fill="D8D8D8"/>
          </w:tcPr>
          <w:p>
            <w:pPr>
              <w:spacing w:after="0"/>
              <w:rPr>
                <w:sz w:val="13"/>
                <w:szCs w:val="13"/>
                <w:color w:val="auto"/>
              </w:rPr>
            </w:pPr>
          </w:p>
        </w:tc>
        <w:tc>
          <w:tcPr>
            <w:tcW w:w="80" w:type="dxa"/>
            <w:vAlign w:val="bottom"/>
            <w:shd w:val="clear" w:color="auto" w:fill="D8D8D8"/>
          </w:tcPr>
          <w:p>
            <w:pPr>
              <w:spacing w:after="0"/>
              <w:rPr>
                <w:sz w:val="13"/>
                <w:szCs w:val="13"/>
                <w:color w:val="auto"/>
              </w:rPr>
            </w:pPr>
          </w:p>
        </w:tc>
        <w:tc>
          <w:tcPr>
            <w:tcW w:w="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40" w:type="dxa"/>
            <w:vAlign w:val="bottom"/>
          </w:tcPr>
          <w:p>
            <w:pPr>
              <w:spacing w:after="0"/>
              <w:rPr>
                <w:sz w:val="13"/>
                <w:szCs w:val="13"/>
                <w:color w:val="auto"/>
              </w:rPr>
            </w:pPr>
          </w:p>
        </w:tc>
      </w:tr>
      <w:tr>
        <w:trPr>
          <w:trHeight w:val="162"/>
        </w:trPr>
        <w:tc>
          <w:tcPr>
            <w:tcW w:w="7140" w:type="dxa"/>
            <w:vAlign w:val="bottom"/>
          </w:tcPr>
          <w:p>
            <w:pPr>
              <w:ind w:left="140"/>
              <w:spacing w:after="0"/>
              <w:rPr>
                <w:sz w:val="20"/>
                <w:szCs w:val="20"/>
                <w:color w:val="auto"/>
              </w:rPr>
            </w:pPr>
            <w:r>
              <w:rPr>
                <w:rFonts w:ascii="Arial" w:cs="Arial" w:eastAsia="Arial" w:hAnsi="Arial"/>
                <w:sz w:val="14"/>
                <w:szCs w:val="14"/>
                <w:color w:val="auto"/>
              </w:rPr>
              <w:t>Due to changes in demographic assumptions</w:t>
            </w:r>
          </w:p>
        </w:tc>
        <w:tc>
          <w:tcPr>
            <w:tcW w:w="1080" w:type="dxa"/>
            <w:vAlign w:val="bottom"/>
          </w:tcPr>
          <w:p>
            <w:pPr>
              <w:spacing w:after="0"/>
              <w:rPr>
                <w:sz w:val="14"/>
                <w:szCs w:val="14"/>
                <w:color w:val="auto"/>
              </w:rPr>
            </w:pPr>
          </w:p>
        </w:tc>
        <w:tc>
          <w:tcPr>
            <w:tcW w:w="1020" w:type="dxa"/>
            <w:vAlign w:val="bottom"/>
            <w:shd w:val="clear" w:color="auto" w:fill="D8D8D8"/>
          </w:tcPr>
          <w:p>
            <w:pPr>
              <w:jc w:val="right"/>
              <w:ind w:right="69"/>
              <w:spacing w:after="0"/>
              <w:rPr>
                <w:sz w:val="20"/>
                <w:szCs w:val="20"/>
                <w:color w:val="auto"/>
              </w:rPr>
            </w:pPr>
            <w:r>
              <w:rPr>
                <w:rFonts w:ascii="Arial" w:cs="Arial" w:eastAsia="Arial" w:hAnsi="Arial"/>
                <w:sz w:val="14"/>
                <w:szCs w:val="14"/>
                <w:color w:val="auto"/>
              </w:rPr>
              <w:t>(663)</w:t>
            </w:r>
          </w:p>
        </w:tc>
        <w:tc>
          <w:tcPr>
            <w:tcW w:w="80" w:type="dxa"/>
            <w:vAlign w:val="bottom"/>
            <w:shd w:val="clear" w:color="auto" w:fill="D8D8D8"/>
          </w:tcPr>
          <w:p>
            <w:pPr>
              <w:spacing w:after="0"/>
              <w:rPr>
                <w:sz w:val="14"/>
                <w:szCs w:val="14"/>
                <w:color w:val="auto"/>
              </w:rPr>
            </w:pPr>
          </w:p>
        </w:tc>
        <w:tc>
          <w:tcPr>
            <w:tcW w:w="1060" w:type="dxa"/>
            <w:vAlign w:val="bottom"/>
            <w:gridSpan w:val="2"/>
          </w:tcPr>
          <w:p>
            <w:pPr>
              <w:jc w:val="right"/>
              <w:ind w:right="8"/>
              <w:spacing w:after="0"/>
              <w:rPr>
                <w:sz w:val="20"/>
                <w:szCs w:val="20"/>
                <w:color w:val="auto"/>
              </w:rPr>
            </w:pPr>
            <w:r>
              <w:rPr>
                <w:rFonts w:ascii="Arial" w:cs="Arial" w:eastAsia="Arial" w:hAnsi="Arial"/>
                <w:sz w:val="14"/>
                <w:szCs w:val="14"/>
                <w:color w:val="auto"/>
              </w:rPr>
              <w:t>(261)</w:t>
            </w:r>
          </w:p>
        </w:tc>
        <w:tc>
          <w:tcPr>
            <w:tcW w:w="1040" w:type="dxa"/>
            <w:vAlign w:val="bottom"/>
          </w:tcPr>
          <w:p>
            <w:pPr>
              <w:jc w:val="right"/>
              <w:ind w:right="89"/>
              <w:spacing w:after="0"/>
              <w:rPr>
                <w:sz w:val="20"/>
                <w:szCs w:val="20"/>
                <w:color w:val="auto"/>
              </w:rPr>
            </w:pPr>
            <w:r>
              <w:rPr>
                <w:rFonts w:ascii="Arial" w:cs="Arial" w:eastAsia="Arial" w:hAnsi="Arial"/>
                <w:sz w:val="14"/>
                <w:szCs w:val="14"/>
                <w:color w:val="auto"/>
              </w:rPr>
              <w:t>(167)</w:t>
            </w:r>
          </w:p>
        </w:tc>
      </w:tr>
      <w:tr>
        <w:trPr>
          <w:trHeight w:val="167"/>
        </w:trPr>
        <w:tc>
          <w:tcPr>
            <w:tcW w:w="7140" w:type="dxa"/>
            <w:vAlign w:val="bottom"/>
          </w:tcPr>
          <w:p>
            <w:pPr>
              <w:ind w:left="140"/>
              <w:spacing w:after="0"/>
              <w:rPr>
                <w:sz w:val="20"/>
                <w:szCs w:val="20"/>
                <w:color w:val="auto"/>
              </w:rPr>
            </w:pPr>
            <w:r>
              <w:rPr>
                <w:rFonts w:ascii="Arial" w:cs="Arial" w:eastAsia="Arial" w:hAnsi="Arial"/>
                <w:sz w:val="14"/>
                <w:szCs w:val="14"/>
                <w:color w:val="auto"/>
              </w:rPr>
              <w:t>Due to changes in financial assumptions</w:t>
            </w:r>
          </w:p>
        </w:tc>
        <w:tc>
          <w:tcPr>
            <w:tcW w:w="1080" w:type="dxa"/>
            <w:vAlign w:val="bottom"/>
          </w:tcPr>
          <w:p>
            <w:pPr>
              <w:spacing w:after="0"/>
              <w:rPr>
                <w:sz w:val="14"/>
                <w:szCs w:val="14"/>
                <w:color w:val="auto"/>
              </w:rPr>
            </w:pPr>
          </w:p>
        </w:tc>
        <w:tc>
          <w:tcPr>
            <w:tcW w:w="1020" w:type="dxa"/>
            <w:vAlign w:val="bottom"/>
            <w:shd w:val="clear" w:color="auto" w:fill="D8D8D8"/>
          </w:tcPr>
          <w:p>
            <w:pPr>
              <w:jc w:val="right"/>
              <w:ind w:right="69"/>
              <w:spacing w:after="0"/>
              <w:rPr>
                <w:sz w:val="20"/>
                <w:szCs w:val="20"/>
                <w:color w:val="auto"/>
              </w:rPr>
            </w:pPr>
            <w:r>
              <w:rPr>
                <w:rFonts w:ascii="Arial" w:cs="Arial" w:eastAsia="Arial" w:hAnsi="Arial"/>
                <w:sz w:val="14"/>
                <w:szCs w:val="14"/>
                <w:color w:val="auto"/>
              </w:rPr>
              <w:t>(14,313)</w:t>
            </w:r>
          </w:p>
        </w:tc>
        <w:tc>
          <w:tcPr>
            <w:tcW w:w="80" w:type="dxa"/>
            <w:vAlign w:val="bottom"/>
            <w:shd w:val="clear" w:color="auto" w:fill="D8D8D8"/>
          </w:tcPr>
          <w:p>
            <w:pPr>
              <w:spacing w:after="0"/>
              <w:rPr>
                <w:sz w:val="14"/>
                <w:szCs w:val="14"/>
                <w:color w:val="auto"/>
              </w:rPr>
            </w:pPr>
          </w:p>
        </w:tc>
        <w:tc>
          <w:tcPr>
            <w:tcW w:w="1060" w:type="dxa"/>
            <w:vAlign w:val="bottom"/>
            <w:gridSpan w:val="2"/>
          </w:tcPr>
          <w:p>
            <w:pPr>
              <w:jc w:val="right"/>
              <w:ind w:right="48"/>
              <w:spacing w:after="0"/>
              <w:rPr>
                <w:sz w:val="20"/>
                <w:szCs w:val="20"/>
                <w:color w:val="auto"/>
              </w:rPr>
            </w:pPr>
            <w:r>
              <w:rPr>
                <w:rFonts w:ascii="Arial" w:cs="Arial" w:eastAsia="Arial" w:hAnsi="Arial"/>
                <w:sz w:val="14"/>
                <w:szCs w:val="14"/>
                <w:color w:val="auto"/>
              </w:rPr>
              <w:t>1,446</w:t>
            </w:r>
          </w:p>
        </w:tc>
        <w:tc>
          <w:tcPr>
            <w:tcW w:w="1040" w:type="dxa"/>
            <w:vAlign w:val="bottom"/>
          </w:tcPr>
          <w:p>
            <w:pPr>
              <w:jc w:val="right"/>
              <w:ind w:right="89"/>
              <w:spacing w:after="0"/>
              <w:rPr>
                <w:sz w:val="20"/>
                <w:szCs w:val="20"/>
                <w:color w:val="auto"/>
              </w:rPr>
            </w:pPr>
            <w:r>
              <w:rPr>
                <w:rFonts w:ascii="Arial" w:cs="Arial" w:eastAsia="Arial" w:hAnsi="Arial"/>
                <w:sz w:val="14"/>
                <w:szCs w:val="14"/>
                <w:color w:val="auto"/>
              </w:rPr>
              <w:t>(8,362)</w:t>
            </w:r>
          </w:p>
        </w:tc>
      </w:tr>
      <w:tr>
        <w:trPr>
          <w:trHeight w:val="157"/>
        </w:trPr>
        <w:tc>
          <w:tcPr>
            <w:tcW w:w="7140" w:type="dxa"/>
            <w:vAlign w:val="bottom"/>
            <w:tcBorders>
              <w:bottom w:val="single" w:sz="8" w:color="auto"/>
            </w:tcBorders>
          </w:tcPr>
          <w:p>
            <w:pPr>
              <w:ind w:left="140"/>
              <w:spacing w:after="0" w:line="157" w:lineRule="exact"/>
              <w:rPr>
                <w:sz w:val="20"/>
                <w:szCs w:val="20"/>
                <w:color w:val="auto"/>
              </w:rPr>
            </w:pPr>
            <w:r>
              <w:rPr>
                <w:rFonts w:ascii="Arial" w:cs="Arial" w:eastAsia="Arial" w:hAnsi="Arial"/>
                <w:sz w:val="14"/>
                <w:szCs w:val="14"/>
                <w:color w:val="auto"/>
              </w:rPr>
              <w:t>Due to experience adjustments</w:t>
            </w:r>
          </w:p>
        </w:tc>
        <w:tc>
          <w:tcPr>
            <w:tcW w:w="108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shd w:val="clear" w:color="auto" w:fill="D8D8D8"/>
          </w:tcPr>
          <w:p>
            <w:pPr>
              <w:jc w:val="right"/>
              <w:ind w:right="69"/>
              <w:spacing w:after="0" w:line="157" w:lineRule="exact"/>
              <w:rPr>
                <w:sz w:val="20"/>
                <w:szCs w:val="20"/>
                <w:color w:val="auto"/>
              </w:rPr>
            </w:pPr>
            <w:r>
              <w:rPr>
                <w:rFonts w:ascii="Arial" w:cs="Arial" w:eastAsia="Arial" w:hAnsi="Arial"/>
                <w:sz w:val="14"/>
                <w:szCs w:val="14"/>
                <w:color w:val="auto"/>
              </w:rPr>
              <w:t>135</w:t>
            </w:r>
          </w:p>
        </w:tc>
        <w:tc>
          <w:tcPr>
            <w:tcW w:w="80" w:type="dxa"/>
            <w:vAlign w:val="bottom"/>
            <w:tcBorders>
              <w:bottom w:val="single" w:sz="8" w:color="auto"/>
            </w:tcBorders>
            <w:shd w:val="clear" w:color="auto" w:fill="D8D8D8"/>
          </w:tcPr>
          <w:p>
            <w:pPr>
              <w:spacing w:after="0"/>
              <w:rPr>
                <w:sz w:val="13"/>
                <w:szCs w:val="13"/>
                <w:color w:val="auto"/>
              </w:rPr>
            </w:pPr>
          </w:p>
        </w:tc>
        <w:tc>
          <w:tcPr>
            <w:tcW w:w="1060" w:type="dxa"/>
            <w:vAlign w:val="bottom"/>
            <w:tcBorders>
              <w:bottom w:val="single" w:sz="8" w:color="auto"/>
            </w:tcBorders>
            <w:gridSpan w:val="2"/>
          </w:tcPr>
          <w:p>
            <w:pPr>
              <w:jc w:val="right"/>
              <w:ind w:right="8"/>
              <w:spacing w:after="0" w:line="157" w:lineRule="exact"/>
              <w:rPr>
                <w:sz w:val="20"/>
                <w:szCs w:val="20"/>
                <w:color w:val="auto"/>
              </w:rPr>
            </w:pPr>
            <w:r>
              <w:rPr>
                <w:rFonts w:ascii="Arial" w:cs="Arial" w:eastAsia="Arial" w:hAnsi="Arial"/>
                <w:sz w:val="14"/>
                <w:szCs w:val="14"/>
                <w:color w:val="auto"/>
              </w:rPr>
              <w:t>(111)</w:t>
            </w:r>
          </w:p>
        </w:tc>
        <w:tc>
          <w:tcPr>
            <w:tcW w:w="1040" w:type="dxa"/>
            <w:vAlign w:val="bottom"/>
            <w:tcBorders>
              <w:bottom w:val="single" w:sz="8" w:color="auto"/>
            </w:tcBorders>
          </w:tcPr>
          <w:p>
            <w:pPr>
              <w:jc w:val="right"/>
              <w:ind w:right="89"/>
              <w:spacing w:after="0" w:line="157" w:lineRule="exact"/>
              <w:rPr>
                <w:sz w:val="20"/>
                <w:szCs w:val="20"/>
                <w:color w:val="auto"/>
              </w:rPr>
            </w:pPr>
            <w:r>
              <w:rPr>
                <w:rFonts w:ascii="Arial" w:cs="Arial" w:eastAsia="Arial" w:hAnsi="Arial"/>
                <w:sz w:val="14"/>
                <w:szCs w:val="14"/>
                <w:color w:val="auto"/>
              </w:rPr>
              <w:t>(250)</w:t>
            </w:r>
          </w:p>
        </w:tc>
      </w:tr>
      <w:tr>
        <w:trPr>
          <w:trHeight w:val="160"/>
        </w:trPr>
        <w:tc>
          <w:tcPr>
            <w:tcW w:w="7140" w:type="dxa"/>
            <w:vAlign w:val="bottom"/>
          </w:tcPr>
          <w:p>
            <w:pPr>
              <w:spacing w:after="0"/>
              <w:rPr>
                <w:sz w:val="20"/>
                <w:szCs w:val="20"/>
                <w:color w:val="auto"/>
              </w:rPr>
            </w:pPr>
            <w:r>
              <w:rPr>
                <w:rFonts w:ascii="Arial" w:cs="Arial" w:eastAsia="Arial" w:hAnsi="Arial"/>
                <w:sz w:val="14"/>
                <w:szCs w:val="14"/>
                <w:color w:val="auto"/>
              </w:rPr>
              <w:t>Total</w:t>
            </w:r>
          </w:p>
        </w:tc>
        <w:tc>
          <w:tcPr>
            <w:tcW w:w="1080" w:type="dxa"/>
            <w:vAlign w:val="bottom"/>
          </w:tcPr>
          <w:p>
            <w:pPr>
              <w:spacing w:after="0"/>
              <w:rPr>
                <w:sz w:val="13"/>
                <w:szCs w:val="13"/>
                <w:color w:val="auto"/>
              </w:rPr>
            </w:pPr>
          </w:p>
        </w:tc>
        <w:tc>
          <w:tcPr>
            <w:tcW w:w="1020" w:type="dxa"/>
            <w:vAlign w:val="bottom"/>
            <w:shd w:val="clear" w:color="auto" w:fill="D8D8D8"/>
          </w:tcPr>
          <w:p>
            <w:pPr>
              <w:jc w:val="right"/>
              <w:ind w:right="69"/>
              <w:spacing w:after="0"/>
              <w:rPr>
                <w:sz w:val="20"/>
                <w:szCs w:val="20"/>
                <w:color w:val="auto"/>
              </w:rPr>
            </w:pPr>
            <w:r>
              <w:rPr>
                <w:rFonts w:ascii="Arial" w:cs="Arial" w:eastAsia="Arial" w:hAnsi="Arial"/>
                <w:sz w:val="14"/>
                <w:szCs w:val="14"/>
                <w:color w:val="auto"/>
              </w:rPr>
              <w:t>(14,841)</w:t>
            </w:r>
          </w:p>
        </w:tc>
        <w:tc>
          <w:tcPr>
            <w:tcW w:w="80" w:type="dxa"/>
            <w:vAlign w:val="bottom"/>
            <w:shd w:val="clear" w:color="auto" w:fill="D8D8D8"/>
          </w:tcPr>
          <w:p>
            <w:pPr>
              <w:spacing w:after="0"/>
              <w:rPr>
                <w:sz w:val="13"/>
                <w:szCs w:val="13"/>
                <w:color w:val="auto"/>
              </w:rPr>
            </w:pPr>
          </w:p>
        </w:tc>
        <w:tc>
          <w:tcPr>
            <w:tcW w:w="1060" w:type="dxa"/>
            <w:vAlign w:val="bottom"/>
            <w:gridSpan w:val="2"/>
          </w:tcPr>
          <w:p>
            <w:pPr>
              <w:jc w:val="right"/>
              <w:ind w:right="48"/>
              <w:spacing w:after="0"/>
              <w:rPr>
                <w:sz w:val="20"/>
                <w:szCs w:val="20"/>
                <w:color w:val="auto"/>
              </w:rPr>
            </w:pPr>
            <w:r>
              <w:rPr>
                <w:rFonts w:ascii="Arial" w:cs="Arial" w:eastAsia="Arial" w:hAnsi="Arial"/>
                <w:sz w:val="14"/>
                <w:szCs w:val="14"/>
                <w:color w:val="auto"/>
              </w:rPr>
              <w:t>1,074</w:t>
            </w:r>
          </w:p>
        </w:tc>
        <w:tc>
          <w:tcPr>
            <w:tcW w:w="1040" w:type="dxa"/>
            <w:vAlign w:val="bottom"/>
          </w:tcPr>
          <w:p>
            <w:pPr>
              <w:jc w:val="right"/>
              <w:ind w:right="89"/>
              <w:spacing w:after="0"/>
              <w:rPr>
                <w:sz w:val="20"/>
                <w:szCs w:val="20"/>
                <w:color w:val="auto"/>
              </w:rPr>
            </w:pPr>
            <w:r>
              <w:rPr>
                <w:rFonts w:ascii="Arial" w:cs="Arial" w:eastAsia="Arial" w:hAnsi="Arial"/>
                <w:sz w:val="14"/>
                <w:szCs w:val="14"/>
                <w:color w:val="auto"/>
              </w:rPr>
              <w:t>(8,779)</w:t>
            </w:r>
          </w:p>
        </w:tc>
      </w:tr>
      <w:tr>
        <w:trPr>
          <w:trHeight w:val="162"/>
        </w:trPr>
        <w:tc>
          <w:tcPr>
            <w:tcW w:w="7140" w:type="dxa"/>
            <w:vAlign w:val="bottom"/>
          </w:tcPr>
          <w:p>
            <w:pPr>
              <w:spacing w:after="0"/>
              <w:rPr>
                <w:sz w:val="20"/>
                <w:szCs w:val="20"/>
                <w:color w:val="auto"/>
              </w:rPr>
            </w:pPr>
            <w:r>
              <w:rPr>
                <w:rFonts w:ascii="Arial" w:cs="Arial" w:eastAsia="Arial" w:hAnsi="Arial"/>
                <w:sz w:val="14"/>
                <w:szCs w:val="14"/>
                <w:color w:val="auto"/>
              </w:rPr>
              <w:t>Return on plan assets in excess of interest income</w:t>
            </w:r>
          </w:p>
        </w:tc>
        <w:tc>
          <w:tcPr>
            <w:tcW w:w="1080" w:type="dxa"/>
            <w:vAlign w:val="bottom"/>
          </w:tcPr>
          <w:p>
            <w:pPr>
              <w:spacing w:after="0"/>
              <w:rPr>
                <w:sz w:val="14"/>
                <w:szCs w:val="14"/>
                <w:color w:val="auto"/>
              </w:rPr>
            </w:pPr>
          </w:p>
        </w:tc>
        <w:tc>
          <w:tcPr>
            <w:tcW w:w="1020" w:type="dxa"/>
            <w:vAlign w:val="bottom"/>
            <w:shd w:val="clear" w:color="auto" w:fill="D8D8D8"/>
          </w:tcPr>
          <w:p>
            <w:pPr>
              <w:jc w:val="right"/>
              <w:ind w:right="69"/>
              <w:spacing w:after="0"/>
              <w:rPr>
                <w:sz w:val="20"/>
                <w:szCs w:val="20"/>
                <w:color w:val="auto"/>
              </w:rPr>
            </w:pPr>
            <w:r>
              <w:rPr>
                <w:rFonts w:ascii="Arial" w:cs="Arial" w:eastAsia="Arial" w:hAnsi="Arial"/>
                <w:sz w:val="14"/>
                <w:szCs w:val="14"/>
                <w:color w:val="auto"/>
              </w:rPr>
              <w:t>6,139</w:t>
            </w:r>
          </w:p>
        </w:tc>
        <w:tc>
          <w:tcPr>
            <w:tcW w:w="80" w:type="dxa"/>
            <w:vAlign w:val="bottom"/>
            <w:shd w:val="clear" w:color="auto" w:fill="D8D8D8"/>
          </w:tcPr>
          <w:p>
            <w:pPr>
              <w:spacing w:after="0"/>
              <w:rPr>
                <w:sz w:val="14"/>
                <w:szCs w:val="14"/>
                <w:color w:val="auto"/>
              </w:rPr>
            </w:pPr>
          </w:p>
        </w:tc>
        <w:tc>
          <w:tcPr>
            <w:tcW w:w="1060" w:type="dxa"/>
            <w:vAlign w:val="bottom"/>
            <w:gridSpan w:val="2"/>
          </w:tcPr>
          <w:p>
            <w:pPr>
              <w:jc w:val="right"/>
              <w:ind w:right="48"/>
              <w:spacing w:after="0"/>
              <w:rPr>
                <w:sz w:val="20"/>
                <w:szCs w:val="20"/>
                <w:color w:val="auto"/>
              </w:rPr>
            </w:pPr>
            <w:r>
              <w:rPr>
                <w:rFonts w:ascii="Arial" w:cs="Arial" w:eastAsia="Arial" w:hAnsi="Arial"/>
                <w:sz w:val="14"/>
                <w:szCs w:val="14"/>
                <w:color w:val="auto"/>
              </w:rPr>
              <w:t>4,567</w:t>
            </w:r>
          </w:p>
        </w:tc>
        <w:tc>
          <w:tcPr>
            <w:tcW w:w="1040" w:type="dxa"/>
            <w:vAlign w:val="bottom"/>
          </w:tcPr>
          <w:p>
            <w:pPr>
              <w:jc w:val="right"/>
              <w:ind w:right="149"/>
              <w:spacing w:after="0"/>
              <w:rPr>
                <w:sz w:val="20"/>
                <w:szCs w:val="20"/>
                <w:color w:val="auto"/>
              </w:rPr>
            </w:pPr>
            <w:r>
              <w:rPr>
                <w:rFonts w:ascii="Arial" w:cs="Arial" w:eastAsia="Arial" w:hAnsi="Arial"/>
                <w:sz w:val="14"/>
                <w:szCs w:val="14"/>
                <w:color w:val="auto"/>
              </w:rPr>
              <w:t>5,445</w:t>
            </w:r>
          </w:p>
        </w:tc>
      </w:tr>
      <w:tr>
        <w:trPr>
          <w:trHeight w:val="157"/>
        </w:trPr>
        <w:tc>
          <w:tcPr>
            <w:tcW w:w="7140" w:type="dxa"/>
            <w:vAlign w:val="bottom"/>
            <w:tcBorders>
              <w:bottom w:val="single" w:sz="8" w:color="auto"/>
            </w:tcBorders>
          </w:tcPr>
          <w:p>
            <w:pPr>
              <w:spacing w:after="0" w:line="157" w:lineRule="exact"/>
              <w:rPr>
                <w:sz w:val="20"/>
                <w:szCs w:val="20"/>
                <w:color w:val="auto"/>
              </w:rPr>
            </w:pPr>
            <w:r>
              <w:rPr>
                <w:rFonts w:ascii="Arial" w:cs="Arial" w:eastAsia="Arial" w:hAnsi="Arial"/>
                <w:sz w:val="14"/>
                <w:szCs w:val="14"/>
                <w:color w:val="auto"/>
              </w:rPr>
              <w:t>Other movements</w:t>
            </w:r>
          </w:p>
        </w:tc>
        <w:tc>
          <w:tcPr>
            <w:tcW w:w="108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shd w:val="clear" w:color="auto" w:fill="D8D8D8"/>
          </w:tcPr>
          <w:p>
            <w:pPr>
              <w:jc w:val="right"/>
              <w:ind w:right="69"/>
              <w:spacing w:after="0" w:line="157" w:lineRule="exact"/>
              <w:rPr>
                <w:sz w:val="20"/>
                <w:szCs w:val="20"/>
                <w:color w:val="auto"/>
              </w:rPr>
            </w:pPr>
            <w:r>
              <w:rPr>
                <w:rFonts w:ascii="Arial" w:cs="Arial" w:eastAsia="Arial" w:hAnsi="Arial"/>
                <w:sz w:val="14"/>
                <w:szCs w:val="14"/>
                <w:color w:val="auto"/>
              </w:rPr>
              <w:t>(18)</w:t>
            </w:r>
          </w:p>
        </w:tc>
        <w:tc>
          <w:tcPr>
            <w:tcW w:w="80" w:type="dxa"/>
            <w:vAlign w:val="bottom"/>
            <w:tcBorders>
              <w:bottom w:val="single" w:sz="8" w:color="auto"/>
            </w:tcBorders>
            <w:shd w:val="clear" w:color="auto" w:fill="D8D8D8"/>
          </w:tcPr>
          <w:p>
            <w:pPr>
              <w:spacing w:after="0"/>
              <w:rPr>
                <w:sz w:val="13"/>
                <w:szCs w:val="13"/>
                <w:color w:val="auto"/>
              </w:rPr>
            </w:pPr>
          </w:p>
        </w:tc>
        <w:tc>
          <w:tcPr>
            <w:tcW w:w="1060" w:type="dxa"/>
            <w:vAlign w:val="bottom"/>
            <w:tcBorders>
              <w:bottom w:val="single" w:sz="8" w:color="auto"/>
            </w:tcBorders>
            <w:gridSpan w:val="2"/>
          </w:tcPr>
          <w:p>
            <w:pPr>
              <w:jc w:val="right"/>
              <w:ind w:right="8"/>
              <w:spacing w:after="0" w:line="157" w:lineRule="exact"/>
              <w:rPr>
                <w:sz w:val="20"/>
                <w:szCs w:val="20"/>
                <w:color w:val="auto"/>
              </w:rPr>
            </w:pPr>
            <w:r>
              <w:rPr>
                <w:rFonts w:ascii="Arial" w:cs="Arial" w:eastAsia="Arial" w:hAnsi="Arial"/>
                <w:sz w:val="14"/>
                <w:szCs w:val="14"/>
                <w:color w:val="auto"/>
              </w:rPr>
              <w:t>(284)</w:t>
            </w:r>
          </w:p>
        </w:tc>
        <w:tc>
          <w:tcPr>
            <w:tcW w:w="1040" w:type="dxa"/>
            <w:vAlign w:val="bottom"/>
            <w:tcBorders>
              <w:bottom w:val="single" w:sz="8" w:color="auto"/>
            </w:tcBorders>
          </w:tcPr>
          <w:p>
            <w:pPr>
              <w:jc w:val="right"/>
              <w:ind w:right="149"/>
              <w:spacing w:after="0" w:line="157" w:lineRule="exact"/>
              <w:rPr>
                <w:sz w:val="20"/>
                <w:szCs w:val="20"/>
                <w:color w:val="auto"/>
              </w:rPr>
            </w:pPr>
            <w:r>
              <w:rPr>
                <w:rFonts w:ascii="Arial" w:cs="Arial" w:eastAsia="Arial" w:hAnsi="Arial"/>
                <w:sz w:val="14"/>
                <w:szCs w:val="14"/>
                <w:color w:val="auto"/>
              </w:rPr>
              <w:t>–</w:t>
            </w:r>
          </w:p>
        </w:tc>
      </w:tr>
      <w:tr>
        <w:trPr>
          <w:trHeight w:val="156"/>
        </w:trPr>
        <w:tc>
          <w:tcPr>
            <w:tcW w:w="7140" w:type="dxa"/>
            <w:vAlign w:val="bottom"/>
            <w:tcBorders>
              <w:bottom w:val="single" w:sz="8" w:color="auto"/>
            </w:tcBorders>
          </w:tcPr>
          <w:p>
            <w:pPr>
              <w:spacing w:after="0" w:line="155" w:lineRule="exact"/>
              <w:rPr>
                <w:sz w:val="20"/>
                <w:szCs w:val="20"/>
                <w:color w:val="auto"/>
              </w:rPr>
            </w:pPr>
            <w:r>
              <w:rPr>
                <w:rFonts w:ascii="Arial" w:cs="Arial" w:eastAsia="Arial" w:hAnsi="Arial"/>
                <w:sz w:val="14"/>
                <w:szCs w:val="14"/>
                <w:color w:val="auto"/>
              </w:rPr>
              <w:t>Total remeasurements</w:t>
            </w:r>
          </w:p>
        </w:tc>
        <w:tc>
          <w:tcPr>
            <w:tcW w:w="108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shd w:val="clear" w:color="auto" w:fill="D8D8D8"/>
          </w:tcPr>
          <w:p>
            <w:pPr>
              <w:jc w:val="right"/>
              <w:ind w:right="69"/>
              <w:spacing w:after="0" w:line="155" w:lineRule="exact"/>
              <w:rPr>
                <w:sz w:val="20"/>
                <w:szCs w:val="20"/>
                <w:color w:val="auto"/>
              </w:rPr>
            </w:pPr>
            <w:r>
              <w:rPr>
                <w:rFonts w:ascii="Arial" w:cs="Arial" w:eastAsia="Arial" w:hAnsi="Arial"/>
                <w:sz w:val="14"/>
                <w:szCs w:val="14"/>
                <w:color w:val="auto"/>
              </w:rPr>
              <w:t>(8,720)</w:t>
            </w:r>
          </w:p>
        </w:tc>
        <w:tc>
          <w:tcPr>
            <w:tcW w:w="80" w:type="dxa"/>
            <w:vAlign w:val="bottom"/>
            <w:tcBorders>
              <w:bottom w:val="single" w:sz="8" w:color="auto"/>
            </w:tcBorders>
            <w:shd w:val="clear" w:color="auto" w:fill="D8D8D8"/>
          </w:tcPr>
          <w:p>
            <w:pPr>
              <w:spacing w:after="0"/>
              <w:rPr>
                <w:sz w:val="13"/>
                <w:szCs w:val="13"/>
                <w:color w:val="auto"/>
              </w:rPr>
            </w:pPr>
          </w:p>
        </w:tc>
        <w:tc>
          <w:tcPr>
            <w:tcW w:w="1060" w:type="dxa"/>
            <w:vAlign w:val="bottom"/>
            <w:tcBorders>
              <w:bottom w:val="single" w:sz="8" w:color="auto"/>
            </w:tcBorders>
            <w:gridSpan w:val="2"/>
          </w:tcPr>
          <w:p>
            <w:pPr>
              <w:jc w:val="right"/>
              <w:ind w:right="48"/>
              <w:spacing w:after="0" w:line="155" w:lineRule="exact"/>
              <w:rPr>
                <w:sz w:val="20"/>
                <w:szCs w:val="20"/>
                <w:color w:val="auto"/>
              </w:rPr>
            </w:pPr>
            <w:r>
              <w:rPr>
                <w:rFonts w:ascii="Arial" w:cs="Arial" w:eastAsia="Arial" w:hAnsi="Arial"/>
                <w:sz w:val="14"/>
                <w:szCs w:val="14"/>
                <w:color w:val="auto"/>
              </w:rPr>
              <w:t>5,357</w:t>
            </w:r>
          </w:p>
        </w:tc>
        <w:tc>
          <w:tcPr>
            <w:tcW w:w="1040" w:type="dxa"/>
            <w:vAlign w:val="bottom"/>
            <w:tcBorders>
              <w:bottom w:val="single" w:sz="8" w:color="auto"/>
            </w:tcBorders>
          </w:tcPr>
          <w:p>
            <w:pPr>
              <w:jc w:val="right"/>
              <w:ind w:right="89"/>
              <w:spacing w:after="0" w:line="155" w:lineRule="exact"/>
              <w:rPr>
                <w:sz w:val="20"/>
                <w:szCs w:val="20"/>
                <w:color w:val="auto"/>
              </w:rPr>
            </w:pPr>
            <w:r>
              <w:rPr>
                <w:rFonts w:ascii="Arial" w:cs="Arial" w:eastAsia="Arial" w:hAnsi="Arial"/>
                <w:sz w:val="14"/>
                <w:szCs w:val="14"/>
                <w:color w:val="auto"/>
              </w:rPr>
              <w:t>(3,334)</w:t>
            </w:r>
          </w:p>
        </w:tc>
      </w:tr>
      <w:tr>
        <w:trPr>
          <w:trHeight w:val="306"/>
        </w:trPr>
        <w:tc>
          <w:tcPr>
            <w:tcW w:w="9320" w:type="dxa"/>
            <w:vAlign w:val="bottom"/>
            <w:gridSpan w:val="4"/>
          </w:tcPr>
          <w:p>
            <w:pPr>
              <w:spacing w:after="0"/>
              <w:rPr>
                <w:sz w:val="20"/>
                <w:szCs w:val="20"/>
                <w:color w:val="auto"/>
              </w:rPr>
            </w:pPr>
            <w:r>
              <w:rPr>
                <w:rFonts w:ascii="Arial" w:cs="Arial" w:eastAsia="Arial" w:hAnsi="Arial"/>
                <w:sz w:val="14"/>
                <w:szCs w:val="14"/>
                <w:color w:val="auto"/>
              </w:rPr>
              <w:t>Experience adjustments arise from differences between the actuarial assumptions made in respect of the year and actual outcomes.</w:t>
            </w:r>
          </w:p>
        </w:tc>
        <w:tc>
          <w:tcPr>
            <w:tcW w:w="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134"/>
        </w:trPr>
        <w:tc>
          <w:tcPr>
            <w:tcW w:w="7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40" w:type="dxa"/>
            <w:vAlign w:val="bottom"/>
          </w:tcPr>
          <w:p>
            <w:pPr>
              <w:spacing w:after="0"/>
              <w:rPr>
                <w:sz w:val="11"/>
                <w:szCs w:val="11"/>
                <w:color w:val="auto"/>
              </w:rPr>
            </w:pPr>
          </w:p>
        </w:tc>
      </w:tr>
      <w:tr>
        <w:trPr>
          <w:trHeight w:val="162"/>
        </w:trPr>
        <w:tc>
          <w:tcPr>
            <w:tcW w:w="7140" w:type="dxa"/>
            <w:vAlign w:val="bottom"/>
            <w:shd w:val="clear" w:color="auto" w:fill="333333"/>
          </w:tcPr>
          <w:p>
            <w:pPr>
              <w:ind w:left="80"/>
              <w:spacing w:after="0" w:line="162" w:lineRule="exact"/>
              <w:rPr>
                <w:sz w:val="20"/>
                <w:szCs w:val="20"/>
                <w:color w:val="auto"/>
              </w:rPr>
            </w:pPr>
            <w:r>
              <w:rPr>
                <w:rFonts w:ascii="Arial" w:cs="Arial" w:eastAsia="Arial" w:hAnsi="Arial"/>
                <w:sz w:val="15"/>
                <w:szCs w:val="15"/>
                <w:b w:val="1"/>
                <w:bCs w:val="1"/>
                <w:color w:val="FFFFFF"/>
              </w:rPr>
              <w:t>DEFINED BENEFIT PLANS</w:t>
            </w:r>
          </w:p>
        </w:tc>
        <w:tc>
          <w:tcPr>
            <w:tcW w:w="1080" w:type="dxa"/>
            <w:vAlign w:val="bottom"/>
            <w:shd w:val="clear" w:color="auto" w:fill="333333"/>
          </w:tcPr>
          <w:p>
            <w:pPr>
              <w:spacing w:after="0"/>
              <w:rPr>
                <w:sz w:val="14"/>
                <w:szCs w:val="14"/>
                <w:color w:val="auto"/>
              </w:rPr>
            </w:pPr>
          </w:p>
        </w:tc>
        <w:tc>
          <w:tcPr>
            <w:tcW w:w="1020" w:type="dxa"/>
            <w:vAlign w:val="bottom"/>
            <w:shd w:val="clear" w:color="auto" w:fill="333333"/>
          </w:tcPr>
          <w:p>
            <w:pPr>
              <w:spacing w:after="0"/>
              <w:rPr>
                <w:sz w:val="14"/>
                <w:szCs w:val="14"/>
                <w:color w:val="auto"/>
              </w:rPr>
            </w:pPr>
          </w:p>
        </w:tc>
        <w:tc>
          <w:tcPr>
            <w:tcW w:w="80" w:type="dxa"/>
            <w:vAlign w:val="bottom"/>
            <w:shd w:val="clear" w:color="auto" w:fill="333333"/>
          </w:tcPr>
          <w:p>
            <w:pPr>
              <w:spacing w:after="0"/>
              <w:rPr>
                <w:sz w:val="14"/>
                <w:szCs w:val="14"/>
                <w:color w:val="auto"/>
              </w:rPr>
            </w:pPr>
          </w:p>
        </w:tc>
        <w:tc>
          <w:tcPr>
            <w:tcW w:w="40" w:type="dxa"/>
            <w:vAlign w:val="bottom"/>
            <w:shd w:val="clear" w:color="auto" w:fill="333333"/>
          </w:tcPr>
          <w:p>
            <w:pPr>
              <w:spacing w:after="0"/>
              <w:rPr>
                <w:sz w:val="14"/>
                <w:szCs w:val="14"/>
                <w:color w:val="auto"/>
              </w:rPr>
            </w:pPr>
          </w:p>
        </w:tc>
        <w:tc>
          <w:tcPr>
            <w:tcW w:w="2060" w:type="dxa"/>
            <w:vAlign w:val="bottom"/>
            <w:gridSpan w:val="2"/>
            <w:shd w:val="clear" w:color="auto" w:fill="333333"/>
          </w:tcPr>
          <w:p>
            <w:pPr>
              <w:jc w:val="right"/>
              <w:ind w:right="369"/>
              <w:spacing w:after="0" w:line="162" w:lineRule="exact"/>
              <w:rPr>
                <w:sz w:val="20"/>
                <w:szCs w:val="20"/>
                <w:color w:val="auto"/>
              </w:rPr>
            </w:pPr>
            <w:r>
              <w:rPr>
                <w:rFonts w:ascii="Arial" w:cs="Arial" w:eastAsia="Arial" w:hAnsi="Arial"/>
                <w:sz w:val="15"/>
                <w:szCs w:val="15"/>
                <w:color w:val="FFFFFF"/>
              </w:rPr>
              <w:t>$ MILLION</w:t>
            </w:r>
          </w:p>
        </w:tc>
      </w:tr>
      <w:tr>
        <w:trPr>
          <w:trHeight w:val="149"/>
        </w:trPr>
        <w:tc>
          <w:tcPr>
            <w:tcW w:w="714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shd w:val="clear" w:color="auto" w:fill="D8D8D8"/>
          </w:tcPr>
          <w:p>
            <w:pPr>
              <w:jc w:val="right"/>
              <w:ind w:right="28"/>
              <w:spacing w:after="0"/>
              <w:rPr>
                <w:sz w:val="20"/>
                <w:szCs w:val="20"/>
                <w:color w:val="auto"/>
              </w:rPr>
            </w:pPr>
            <w:r>
              <w:rPr>
                <w:rFonts w:ascii="Arial" w:cs="Arial" w:eastAsia="Arial" w:hAnsi="Arial"/>
                <w:sz w:val="13"/>
                <w:szCs w:val="13"/>
                <w:color w:val="auto"/>
              </w:rPr>
              <w:t>Dec 31, 2014</w:t>
            </w:r>
          </w:p>
        </w:tc>
        <w:tc>
          <w:tcPr>
            <w:tcW w:w="1040" w:type="dxa"/>
            <w:vAlign w:val="bottom"/>
            <w:tcBorders>
              <w:bottom w:val="single" w:sz="8" w:color="auto"/>
            </w:tcBorders>
          </w:tcPr>
          <w:p>
            <w:pPr>
              <w:jc w:val="right"/>
              <w:ind w:right="29"/>
              <w:spacing w:after="0"/>
              <w:rPr>
                <w:sz w:val="20"/>
                <w:szCs w:val="20"/>
                <w:color w:val="auto"/>
              </w:rPr>
            </w:pPr>
            <w:r>
              <w:rPr>
                <w:rFonts w:ascii="Arial" w:cs="Arial" w:eastAsia="Arial" w:hAnsi="Arial"/>
                <w:sz w:val="13"/>
                <w:szCs w:val="13"/>
                <w:color w:val="auto"/>
              </w:rPr>
              <w:t>Dec 31, 2013</w:t>
            </w:r>
          </w:p>
        </w:tc>
      </w:tr>
      <w:tr>
        <w:trPr>
          <w:trHeight w:val="156"/>
        </w:trPr>
        <w:tc>
          <w:tcPr>
            <w:tcW w:w="7140" w:type="dxa"/>
            <w:vAlign w:val="bottom"/>
          </w:tcPr>
          <w:p>
            <w:pPr>
              <w:spacing w:after="0" w:line="155" w:lineRule="exact"/>
              <w:rPr>
                <w:sz w:val="20"/>
                <w:szCs w:val="20"/>
                <w:color w:val="auto"/>
              </w:rPr>
            </w:pPr>
            <w:r>
              <w:rPr>
                <w:rFonts w:ascii="Arial" w:cs="Arial" w:eastAsia="Arial" w:hAnsi="Arial"/>
                <w:sz w:val="14"/>
                <w:szCs w:val="14"/>
                <w:color w:val="auto"/>
              </w:rPr>
              <w:t>Obligations</w:t>
            </w:r>
          </w:p>
        </w:tc>
        <w:tc>
          <w:tcPr>
            <w:tcW w:w="10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20" w:type="dxa"/>
            <w:vAlign w:val="bottom"/>
            <w:shd w:val="clear" w:color="auto" w:fill="D8D8D8"/>
          </w:tcPr>
          <w:p>
            <w:pPr>
              <w:jc w:val="right"/>
              <w:spacing w:after="0" w:line="155" w:lineRule="exact"/>
              <w:rPr>
                <w:sz w:val="20"/>
                <w:szCs w:val="20"/>
                <w:color w:val="auto"/>
              </w:rPr>
            </w:pPr>
            <w:r>
              <w:rPr>
                <w:rFonts w:ascii="Arial" w:cs="Arial" w:eastAsia="Arial" w:hAnsi="Arial"/>
                <w:sz w:val="14"/>
                <w:szCs w:val="14"/>
                <w:color w:val="auto"/>
              </w:rPr>
              <w:t>(101,331)</w:t>
            </w:r>
          </w:p>
        </w:tc>
        <w:tc>
          <w:tcPr>
            <w:tcW w:w="1040" w:type="dxa"/>
            <w:vAlign w:val="bottom"/>
          </w:tcPr>
          <w:p>
            <w:pPr>
              <w:jc w:val="right"/>
              <w:spacing w:after="0" w:line="155" w:lineRule="exact"/>
              <w:rPr>
                <w:sz w:val="20"/>
                <w:szCs w:val="20"/>
                <w:color w:val="auto"/>
              </w:rPr>
            </w:pPr>
            <w:r>
              <w:rPr>
                <w:rFonts w:ascii="Arial" w:cs="Arial" w:eastAsia="Arial" w:hAnsi="Arial"/>
                <w:sz w:val="14"/>
                <w:szCs w:val="14"/>
                <w:color w:val="auto"/>
              </w:rPr>
              <w:t>(93,533)</w:t>
            </w:r>
          </w:p>
        </w:tc>
      </w:tr>
      <w:tr>
        <w:trPr>
          <w:trHeight w:val="162"/>
        </w:trPr>
        <w:tc>
          <w:tcPr>
            <w:tcW w:w="714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Plan assets</w:t>
            </w:r>
          </w:p>
        </w:tc>
        <w:tc>
          <w:tcPr>
            <w:tcW w:w="108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shd w:val="clear" w:color="auto" w:fill="D8D8D8"/>
          </w:tcPr>
          <w:p>
            <w:pPr>
              <w:jc w:val="right"/>
              <w:ind w:right="28"/>
              <w:spacing w:after="0"/>
              <w:rPr>
                <w:sz w:val="20"/>
                <w:szCs w:val="20"/>
                <w:color w:val="auto"/>
              </w:rPr>
            </w:pPr>
            <w:r>
              <w:rPr>
                <w:rFonts w:ascii="Arial" w:cs="Arial" w:eastAsia="Arial" w:hAnsi="Arial"/>
                <w:sz w:val="14"/>
                <w:szCs w:val="14"/>
                <w:color w:val="auto"/>
              </w:rPr>
              <w:t>86,318</w:t>
            </w:r>
          </w:p>
        </w:tc>
        <w:tc>
          <w:tcPr>
            <w:tcW w:w="104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85,543</w:t>
            </w:r>
          </w:p>
        </w:tc>
      </w:tr>
      <w:tr>
        <w:trPr>
          <w:trHeight w:val="156"/>
        </w:trPr>
        <w:tc>
          <w:tcPr>
            <w:tcW w:w="7140" w:type="dxa"/>
            <w:vAlign w:val="bottom"/>
            <w:tcBorders>
              <w:bottom w:val="single" w:sz="8" w:color="auto"/>
            </w:tcBorders>
          </w:tcPr>
          <w:p>
            <w:pPr>
              <w:spacing w:after="0" w:line="155" w:lineRule="exact"/>
              <w:rPr>
                <w:sz w:val="20"/>
                <w:szCs w:val="20"/>
                <w:color w:val="auto"/>
              </w:rPr>
            </w:pPr>
            <w:r>
              <w:rPr>
                <w:rFonts w:ascii="Arial" w:cs="Arial" w:eastAsia="Arial" w:hAnsi="Arial"/>
                <w:sz w:val="14"/>
                <w:szCs w:val="14"/>
                <w:color w:val="auto"/>
              </w:rPr>
              <w:t>Net liability</w:t>
            </w:r>
          </w:p>
        </w:tc>
        <w:tc>
          <w:tcPr>
            <w:tcW w:w="108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shd w:val="clear" w:color="auto" w:fill="D8D8D8"/>
          </w:tcPr>
          <w:p>
            <w:pPr>
              <w:jc w:val="right"/>
              <w:ind w:right="28"/>
              <w:spacing w:after="0" w:line="155" w:lineRule="exact"/>
              <w:rPr>
                <w:sz w:val="20"/>
                <w:szCs w:val="20"/>
                <w:color w:val="auto"/>
              </w:rPr>
            </w:pPr>
            <w:r>
              <w:rPr>
                <w:rFonts w:ascii="Arial" w:cs="Arial" w:eastAsia="Arial" w:hAnsi="Arial"/>
                <w:sz w:val="14"/>
                <w:szCs w:val="14"/>
                <w:color w:val="auto"/>
              </w:rPr>
              <w:t>(15,013)</w:t>
            </w:r>
          </w:p>
        </w:tc>
        <w:tc>
          <w:tcPr>
            <w:tcW w:w="10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(7,990)</w:t>
            </w:r>
          </w:p>
        </w:tc>
      </w:tr>
      <w:tr>
        <w:trPr>
          <w:trHeight w:val="160"/>
        </w:trPr>
        <w:tc>
          <w:tcPr>
            <w:tcW w:w="7140" w:type="dxa"/>
            <w:vAlign w:val="bottom"/>
          </w:tcPr>
          <w:p>
            <w:pPr>
              <w:spacing w:after="0"/>
              <w:rPr>
                <w:sz w:val="20"/>
                <w:szCs w:val="20"/>
                <w:color w:val="auto"/>
              </w:rPr>
            </w:pPr>
            <w:r>
              <w:rPr>
                <w:rFonts w:ascii="Arial" w:cs="Arial" w:eastAsia="Arial" w:hAnsi="Arial"/>
                <w:sz w:val="14"/>
                <w:szCs w:val="14"/>
                <w:color w:val="auto"/>
              </w:rPr>
              <w:t>Retirement benefits in the Consolidated Balance Sheet:</w:t>
            </w:r>
          </w:p>
        </w:tc>
        <w:tc>
          <w:tcPr>
            <w:tcW w:w="10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20" w:type="dxa"/>
            <w:vAlign w:val="bottom"/>
            <w:shd w:val="clear" w:color="auto" w:fill="D8D8D8"/>
          </w:tcPr>
          <w:p>
            <w:pPr>
              <w:spacing w:after="0"/>
              <w:rPr>
                <w:sz w:val="13"/>
                <w:szCs w:val="13"/>
                <w:color w:val="auto"/>
              </w:rPr>
            </w:pPr>
          </w:p>
        </w:tc>
        <w:tc>
          <w:tcPr>
            <w:tcW w:w="1040" w:type="dxa"/>
            <w:vAlign w:val="bottom"/>
          </w:tcPr>
          <w:p>
            <w:pPr>
              <w:spacing w:after="0"/>
              <w:rPr>
                <w:sz w:val="13"/>
                <w:szCs w:val="13"/>
                <w:color w:val="auto"/>
              </w:rPr>
            </w:pPr>
          </w:p>
        </w:tc>
      </w:tr>
      <w:tr>
        <w:trPr>
          <w:trHeight w:val="162"/>
        </w:trPr>
        <w:tc>
          <w:tcPr>
            <w:tcW w:w="7140" w:type="dxa"/>
            <w:vAlign w:val="bottom"/>
          </w:tcPr>
          <w:p>
            <w:pPr>
              <w:ind w:left="140"/>
              <w:spacing w:after="0"/>
              <w:rPr>
                <w:sz w:val="20"/>
                <w:szCs w:val="20"/>
                <w:color w:val="auto"/>
              </w:rPr>
            </w:pPr>
            <w:r>
              <w:rPr>
                <w:rFonts w:ascii="Arial" w:cs="Arial" w:eastAsia="Arial" w:hAnsi="Arial"/>
                <w:sz w:val="14"/>
                <w:szCs w:val="14"/>
                <w:color w:val="auto"/>
              </w:rPr>
              <w:t>Non-current assets</w:t>
            </w:r>
          </w:p>
        </w:tc>
        <w:tc>
          <w:tcPr>
            <w:tcW w:w="10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20" w:type="dxa"/>
            <w:vAlign w:val="bottom"/>
            <w:shd w:val="clear" w:color="auto" w:fill="D8D8D8"/>
          </w:tcPr>
          <w:p>
            <w:pPr>
              <w:jc w:val="right"/>
              <w:ind w:right="28"/>
              <w:spacing w:after="0"/>
              <w:rPr>
                <w:sz w:val="20"/>
                <w:szCs w:val="20"/>
                <w:color w:val="auto"/>
              </w:rPr>
            </w:pPr>
            <w:r>
              <w:rPr>
                <w:rFonts w:ascii="Arial" w:cs="Arial" w:eastAsia="Arial" w:hAnsi="Arial"/>
                <w:sz w:val="14"/>
                <w:szCs w:val="14"/>
                <w:color w:val="auto"/>
              </w:rPr>
              <w:t>1,682</w:t>
            </w:r>
          </w:p>
        </w:tc>
        <w:tc>
          <w:tcPr>
            <w:tcW w:w="1040" w:type="dxa"/>
            <w:vAlign w:val="bottom"/>
          </w:tcPr>
          <w:p>
            <w:pPr>
              <w:jc w:val="right"/>
              <w:ind w:right="29"/>
              <w:spacing w:after="0"/>
              <w:rPr>
                <w:sz w:val="20"/>
                <w:szCs w:val="20"/>
                <w:color w:val="auto"/>
              </w:rPr>
            </w:pPr>
            <w:r>
              <w:rPr>
                <w:rFonts w:ascii="Arial" w:cs="Arial" w:eastAsia="Arial" w:hAnsi="Arial"/>
                <w:sz w:val="14"/>
                <w:szCs w:val="14"/>
                <w:color w:val="auto"/>
              </w:rPr>
              <w:t>3,574</w:t>
            </w:r>
          </w:p>
        </w:tc>
      </w:tr>
      <w:tr>
        <w:trPr>
          <w:trHeight w:val="162"/>
        </w:trPr>
        <w:tc>
          <w:tcPr>
            <w:tcW w:w="7140" w:type="dxa"/>
            <w:vAlign w:val="bottom"/>
          </w:tcPr>
          <w:p>
            <w:pPr>
              <w:ind w:left="140"/>
              <w:spacing w:after="0"/>
              <w:rPr>
                <w:sz w:val="20"/>
                <w:szCs w:val="20"/>
                <w:color w:val="auto"/>
              </w:rPr>
            </w:pPr>
            <w:r>
              <w:rPr>
                <w:rFonts w:ascii="Arial" w:cs="Arial" w:eastAsia="Arial" w:hAnsi="Arial"/>
                <w:sz w:val="14"/>
                <w:szCs w:val="14"/>
                <w:color w:val="auto"/>
              </w:rPr>
              <w:t>Non-current liabilities</w:t>
            </w:r>
          </w:p>
        </w:tc>
        <w:tc>
          <w:tcPr>
            <w:tcW w:w="10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20" w:type="dxa"/>
            <w:vAlign w:val="bottom"/>
            <w:shd w:val="clear" w:color="auto" w:fill="D8D8D8"/>
          </w:tcPr>
          <w:p>
            <w:pPr>
              <w:jc w:val="right"/>
              <w:ind w:right="28"/>
              <w:spacing w:after="0"/>
              <w:rPr>
                <w:sz w:val="20"/>
                <w:szCs w:val="20"/>
                <w:color w:val="auto"/>
              </w:rPr>
            </w:pPr>
            <w:r>
              <w:rPr>
                <w:rFonts w:ascii="Arial" w:cs="Arial" w:eastAsia="Arial" w:hAnsi="Arial"/>
                <w:sz w:val="14"/>
                <w:szCs w:val="14"/>
                <w:color w:val="auto"/>
              </w:rPr>
              <w:t>(16,318)</w:t>
            </w:r>
          </w:p>
        </w:tc>
        <w:tc>
          <w:tcPr>
            <w:tcW w:w="1040" w:type="dxa"/>
            <w:vAlign w:val="bottom"/>
          </w:tcPr>
          <w:p>
            <w:pPr>
              <w:jc w:val="right"/>
              <w:spacing w:after="0"/>
              <w:rPr>
                <w:sz w:val="20"/>
                <w:szCs w:val="20"/>
                <w:color w:val="auto"/>
              </w:rPr>
            </w:pPr>
            <w:r>
              <w:rPr>
                <w:rFonts w:ascii="Arial" w:cs="Arial" w:eastAsia="Arial" w:hAnsi="Arial"/>
                <w:sz w:val="14"/>
                <w:szCs w:val="14"/>
                <w:color w:val="auto"/>
              </w:rPr>
              <w:t>(11,182)</w:t>
            </w:r>
          </w:p>
        </w:tc>
      </w:tr>
      <w:tr>
        <w:trPr>
          <w:trHeight w:val="157"/>
        </w:trPr>
        <w:tc>
          <w:tcPr>
            <w:tcW w:w="7140" w:type="dxa"/>
            <w:vAlign w:val="bottom"/>
            <w:tcBorders>
              <w:bottom w:val="single" w:sz="8" w:color="auto"/>
            </w:tcBorders>
          </w:tcPr>
          <w:p>
            <w:pPr>
              <w:ind w:left="140"/>
              <w:spacing w:after="0" w:line="157" w:lineRule="exact"/>
              <w:rPr>
                <w:sz w:val="20"/>
                <w:szCs w:val="20"/>
                <w:color w:val="auto"/>
              </w:rPr>
            </w:pPr>
            <w:r>
              <w:rPr>
                <w:rFonts w:ascii="Arial" w:cs="Arial" w:eastAsia="Arial" w:hAnsi="Arial"/>
                <w:sz w:val="14"/>
                <w:szCs w:val="14"/>
                <w:color w:val="auto"/>
              </w:rPr>
              <w:t>Current liabilities</w:t>
            </w:r>
          </w:p>
        </w:tc>
        <w:tc>
          <w:tcPr>
            <w:tcW w:w="108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shd w:val="clear" w:color="auto" w:fill="D8D8D8"/>
          </w:tcPr>
          <w:p>
            <w:pPr>
              <w:jc w:val="right"/>
              <w:ind w:right="28"/>
              <w:spacing w:after="0" w:line="157" w:lineRule="exact"/>
              <w:rPr>
                <w:sz w:val="20"/>
                <w:szCs w:val="20"/>
                <w:color w:val="auto"/>
              </w:rPr>
            </w:pPr>
            <w:r>
              <w:rPr>
                <w:rFonts w:ascii="Arial" w:cs="Arial" w:eastAsia="Arial" w:hAnsi="Arial"/>
                <w:sz w:val="14"/>
                <w:szCs w:val="14"/>
                <w:color w:val="auto"/>
              </w:rPr>
              <w:t>(377)</w:t>
            </w:r>
          </w:p>
        </w:tc>
        <w:tc>
          <w:tcPr>
            <w:tcW w:w="1040" w:type="dxa"/>
            <w:vAlign w:val="bottom"/>
            <w:tcBorders>
              <w:bottom w:val="single" w:sz="8" w:color="auto"/>
            </w:tcBorders>
          </w:tcPr>
          <w:p>
            <w:pPr>
              <w:jc w:val="right"/>
              <w:spacing w:after="0" w:line="157" w:lineRule="exact"/>
              <w:rPr>
                <w:sz w:val="20"/>
                <w:szCs w:val="20"/>
                <w:color w:val="auto"/>
              </w:rPr>
            </w:pPr>
            <w:r>
              <w:rPr>
                <w:rFonts w:ascii="Arial" w:cs="Arial" w:eastAsia="Arial" w:hAnsi="Arial"/>
                <w:sz w:val="14"/>
                <w:szCs w:val="14"/>
                <w:color w:val="auto"/>
              </w:rPr>
              <w:t>(382)</w:t>
            </w:r>
          </w:p>
        </w:tc>
      </w:tr>
      <w:tr>
        <w:trPr>
          <w:trHeight w:val="156"/>
        </w:trPr>
        <w:tc>
          <w:tcPr>
            <w:tcW w:w="7140" w:type="dxa"/>
            <w:vAlign w:val="bottom"/>
            <w:tcBorders>
              <w:bottom w:val="single" w:sz="8" w:color="auto"/>
            </w:tcBorders>
          </w:tcPr>
          <w:p>
            <w:pPr>
              <w:spacing w:after="0" w:line="155" w:lineRule="exact"/>
              <w:rPr>
                <w:sz w:val="20"/>
                <w:szCs w:val="20"/>
                <w:color w:val="auto"/>
              </w:rPr>
            </w:pPr>
            <w:r>
              <w:rPr>
                <w:rFonts w:ascii="Arial" w:cs="Arial" w:eastAsia="Arial" w:hAnsi="Arial"/>
                <w:sz w:val="14"/>
                <w:szCs w:val="14"/>
                <w:color w:val="auto"/>
              </w:rPr>
              <w:t>Total</w:t>
            </w:r>
          </w:p>
        </w:tc>
        <w:tc>
          <w:tcPr>
            <w:tcW w:w="108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shd w:val="clear" w:color="auto" w:fill="D8D8D8"/>
          </w:tcPr>
          <w:p>
            <w:pPr>
              <w:jc w:val="right"/>
              <w:ind w:right="28"/>
              <w:spacing w:after="0" w:line="155" w:lineRule="exact"/>
              <w:rPr>
                <w:sz w:val="20"/>
                <w:szCs w:val="20"/>
                <w:color w:val="auto"/>
              </w:rPr>
            </w:pPr>
            <w:r>
              <w:rPr>
                <w:rFonts w:ascii="Arial" w:cs="Arial" w:eastAsia="Arial" w:hAnsi="Arial"/>
                <w:sz w:val="14"/>
                <w:szCs w:val="14"/>
                <w:color w:val="auto"/>
              </w:rPr>
              <w:t>(15,013)</w:t>
            </w:r>
          </w:p>
        </w:tc>
        <w:tc>
          <w:tcPr>
            <w:tcW w:w="10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(7,990)</w:t>
            </w:r>
          </w:p>
        </w:tc>
      </w:tr>
      <w:tr>
        <w:trPr>
          <w:trHeight w:val="142"/>
        </w:trPr>
        <w:tc>
          <w:tcPr>
            <w:tcW w:w="7140" w:type="dxa"/>
            <w:vAlign w:val="bottom"/>
          </w:tcPr>
          <w:p>
            <w:pPr>
              <w:spacing w:after="0"/>
              <w:rPr>
                <w:sz w:val="12"/>
                <w:szCs w:val="12"/>
                <w:color w:val="auto"/>
              </w:rPr>
            </w:pPr>
          </w:p>
        </w:tc>
        <w:tc>
          <w:tcPr>
            <w:tcW w:w="2100" w:type="dxa"/>
            <w:vAlign w:val="bottom"/>
            <w:gridSpan w:val="2"/>
          </w:tcPr>
          <w:p>
            <w:pPr>
              <w:spacing w:after="0"/>
              <w:rPr>
                <w:sz w:val="12"/>
                <w:szCs w:val="12"/>
                <w:color w:val="auto"/>
              </w:rPr>
            </w:pPr>
          </w:p>
        </w:tc>
        <w:tc>
          <w:tcPr>
            <w:tcW w:w="2180" w:type="dxa"/>
            <w:vAlign w:val="bottom"/>
            <w:gridSpan w:val="4"/>
          </w:tcPr>
          <w:p>
            <w:pPr>
              <w:spacing w:after="0"/>
              <w:rPr>
                <w:sz w:val="12"/>
                <w:szCs w:val="12"/>
                <w:color w:val="auto"/>
              </w:rPr>
            </w:pPr>
          </w:p>
        </w:tc>
      </w:tr>
      <w:tr>
        <w:trPr>
          <w:trHeight w:val="162"/>
        </w:trPr>
        <w:tc>
          <w:tcPr>
            <w:tcW w:w="7140" w:type="dxa"/>
            <w:vAlign w:val="bottom"/>
            <w:shd w:val="clear" w:color="auto" w:fill="333333"/>
          </w:tcPr>
          <w:p>
            <w:pPr>
              <w:ind w:left="80"/>
              <w:spacing w:after="0" w:line="162" w:lineRule="exact"/>
              <w:rPr>
                <w:sz w:val="20"/>
                <w:szCs w:val="20"/>
                <w:color w:val="auto"/>
              </w:rPr>
            </w:pPr>
            <w:r>
              <w:rPr>
                <w:rFonts w:ascii="Arial" w:cs="Arial" w:eastAsia="Arial" w:hAnsi="Arial"/>
                <w:sz w:val="15"/>
                <w:szCs w:val="15"/>
                <w:b w:val="1"/>
                <w:bCs w:val="1"/>
                <w:color w:val="FFFFFF"/>
              </w:rPr>
              <w:t>DEFINED BENEFIT OBLIGATIONS</w:t>
            </w:r>
          </w:p>
        </w:tc>
        <w:tc>
          <w:tcPr>
            <w:tcW w:w="4280" w:type="dxa"/>
            <w:vAlign w:val="bottom"/>
            <w:gridSpan w:val="6"/>
            <w:shd w:val="clear" w:color="auto" w:fill="333333"/>
          </w:tcPr>
          <w:p>
            <w:pPr>
              <w:jc w:val="right"/>
              <w:ind w:right="29"/>
              <w:spacing w:after="0" w:line="162" w:lineRule="exact"/>
              <w:rPr>
                <w:sz w:val="20"/>
                <w:szCs w:val="20"/>
                <w:color w:val="auto"/>
              </w:rPr>
            </w:pPr>
            <w:r>
              <w:rPr>
                <w:rFonts w:ascii="Arial" w:cs="Arial" w:eastAsia="Arial" w:hAnsi="Arial"/>
                <w:sz w:val="15"/>
                <w:szCs w:val="15"/>
                <w:color w:val="FFFFFF"/>
              </w:rPr>
              <w:t>$ MILLION, EXCEPT WHERE OTHERWISE INDICATED</w:t>
            </w:r>
          </w:p>
        </w:tc>
      </w:tr>
      <w:tr>
        <w:trPr>
          <w:trHeight w:val="149"/>
        </w:trPr>
        <w:tc>
          <w:tcPr>
            <w:tcW w:w="7140" w:type="dxa"/>
            <w:vAlign w:val="bottom"/>
            <w:tcBorders>
              <w:bottom w:val="single" w:sz="8" w:color="auto"/>
            </w:tcBorders>
          </w:tcPr>
          <w:p>
            <w:pPr>
              <w:spacing w:after="0"/>
              <w:rPr>
                <w:sz w:val="12"/>
                <w:szCs w:val="12"/>
                <w:color w:val="auto"/>
              </w:rPr>
            </w:pPr>
          </w:p>
        </w:tc>
        <w:tc>
          <w:tcPr>
            <w:tcW w:w="2100" w:type="dxa"/>
            <w:vAlign w:val="bottom"/>
            <w:tcBorders>
              <w:bottom w:val="single" w:sz="8" w:color="auto"/>
            </w:tcBorders>
            <w:gridSpan w:val="2"/>
            <w:shd w:val="clear" w:color="auto" w:fill="D8D8D8"/>
          </w:tcPr>
          <w:p>
            <w:pPr>
              <w:jc w:val="right"/>
              <w:ind w:right="229"/>
              <w:spacing w:after="0"/>
              <w:rPr>
                <w:sz w:val="20"/>
                <w:szCs w:val="20"/>
                <w:color w:val="auto"/>
              </w:rPr>
            </w:pPr>
            <w:r>
              <w:rPr>
                <w:rFonts w:ascii="Arial" w:cs="Arial" w:eastAsia="Arial" w:hAnsi="Arial"/>
                <w:sz w:val="13"/>
                <w:szCs w:val="13"/>
                <w:color w:val="auto"/>
              </w:rPr>
              <w:t>2014</w:t>
            </w:r>
          </w:p>
        </w:tc>
        <w:tc>
          <w:tcPr>
            <w:tcW w:w="8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29"/>
              <w:spacing w:after="0"/>
              <w:rPr>
                <w:sz w:val="20"/>
                <w:szCs w:val="20"/>
                <w:color w:val="auto"/>
              </w:rPr>
            </w:pPr>
            <w:r>
              <w:rPr>
                <w:rFonts w:ascii="Arial" w:cs="Arial" w:eastAsia="Arial" w:hAnsi="Arial"/>
                <w:sz w:val="13"/>
                <w:szCs w:val="13"/>
                <w:color w:val="auto"/>
              </w:rPr>
              <w:t>2013</w:t>
            </w:r>
          </w:p>
        </w:tc>
      </w:tr>
      <w:tr>
        <w:trPr>
          <w:trHeight w:val="156"/>
        </w:trPr>
        <w:tc>
          <w:tcPr>
            <w:tcW w:w="7140" w:type="dxa"/>
            <w:vAlign w:val="bottom"/>
          </w:tcPr>
          <w:p>
            <w:pPr>
              <w:spacing w:after="0" w:line="155" w:lineRule="exact"/>
              <w:rPr>
                <w:sz w:val="20"/>
                <w:szCs w:val="20"/>
                <w:color w:val="auto"/>
              </w:rPr>
            </w:pPr>
            <w:r>
              <w:rPr>
                <w:rFonts w:ascii="Arial" w:cs="Arial" w:eastAsia="Arial" w:hAnsi="Arial"/>
                <w:sz w:val="14"/>
                <w:szCs w:val="14"/>
                <w:color w:val="auto"/>
              </w:rPr>
              <w:t>At January 1</w:t>
            </w:r>
          </w:p>
        </w:tc>
        <w:tc>
          <w:tcPr>
            <w:tcW w:w="2100" w:type="dxa"/>
            <w:vAlign w:val="bottom"/>
            <w:gridSpan w:val="2"/>
            <w:shd w:val="clear" w:color="auto" w:fill="D8D8D8"/>
          </w:tcPr>
          <w:p>
            <w:pPr>
              <w:jc w:val="right"/>
              <w:ind w:right="229"/>
              <w:spacing w:after="0" w:line="155" w:lineRule="exact"/>
              <w:rPr>
                <w:sz w:val="20"/>
                <w:szCs w:val="20"/>
                <w:color w:val="auto"/>
              </w:rPr>
            </w:pPr>
            <w:r>
              <w:rPr>
                <w:rFonts w:ascii="Arial" w:cs="Arial" w:eastAsia="Arial" w:hAnsi="Arial"/>
                <w:sz w:val="14"/>
                <w:szCs w:val="14"/>
                <w:color w:val="auto"/>
              </w:rPr>
              <w:t>93,533</w:t>
            </w: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40" w:type="dxa"/>
            <w:vAlign w:val="bottom"/>
          </w:tcPr>
          <w:p>
            <w:pPr>
              <w:jc w:val="right"/>
              <w:ind w:right="29"/>
              <w:spacing w:after="0" w:line="155" w:lineRule="exact"/>
              <w:rPr>
                <w:sz w:val="20"/>
                <w:szCs w:val="20"/>
                <w:color w:val="auto"/>
              </w:rPr>
            </w:pPr>
            <w:r>
              <w:rPr>
                <w:rFonts w:ascii="Arial" w:cs="Arial" w:eastAsia="Arial" w:hAnsi="Arial"/>
                <w:sz w:val="14"/>
                <w:szCs w:val="14"/>
                <w:color w:val="auto"/>
              </w:rPr>
              <w:t>86,326</w:t>
            </w:r>
          </w:p>
        </w:tc>
      </w:tr>
      <w:tr>
        <w:trPr>
          <w:trHeight w:val="162"/>
        </w:trPr>
        <w:tc>
          <w:tcPr>
            <w:tcW w:w="7140" w:type="dxa"/>
            <w:vAlign w:val="bottom"/>
          </w:tcPr>
          <w:p>
            <w:pPr>
              <w:spacing w:after="0"/>
              <w:rPr>
                <w:sz w:val="20"/>
                <w:szCs w:val="20"/>
                <w:color w:val="auto"/>
              </w:rPr>
            </w:pPr>
            <w:r>
              <w:rPr>
                <w:rFonts w:ascii="Arial" w:cs="Arial" w:eastAsia="Arial" w:hAnsi="Arial"/>
                <w:sz w:val="14"/>
                <w:szCs w:val="14"/>
                <w:color w:val="auto"/>
              </w:rPr>
              <w:t>Current service cost</w:t>
            </w:r>
          </w:p>
        </w:tc>
        <w:tc>
          <w:tcPr>
            <w:tcW w:w="2100" w:type="dxa"/>
            <w:vAlign w:val="bottom"/>
            <w:gridSpan w:val="2"/>
            <w:shd w:val="clear" w:color="auto" w:fill="D8D8D8"/>
          </w:tcPr>
          <w:p>
            <w:pPr>
              <w:jc w:val="right"/>
              <w:ind w:right="229"/>
              <w:spacing w:after="0"/>
              <w:rPr>
                <w:sz w:val="20"/>
                <w:szCs w:val="20"/>
                <w:color w:val="auto"/>
              </w:rPr>
            </w:pPr>
            <w:r>
              <w:rPr>
                <w:rFonts w:ascii="Arial" w:cs="Arial" w:eastAsia="Arial" w:hAnsi="Arial"/>
                <w:sz w:val="14"/>
                <w:szCs w:val="14"/>
                <w:color w:val="auto"/>
              </w:rPr>
              <w:t>1,844</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40" w:type="dxa"/>
            <w:vAlign w:val="bottom"/>
          </w:tcPr>
          <w:p>
            <w:pPr>
              <w:jc w:val="right"/>
              <w:ind w:right="29"/>
              <w:spacing w:after="0"/>
              <w:rPr>
                <w:sz w:val="20"/>
                <w:szCs w:val="20"/>
                <w:color w:val="auto"/>
              </w:rPr>
            </w:pPr>
            <w:r>
              <w:rPr>
                <w:rFonts w:ascii="Arial" w:cs="Arial" w:eastAsia="Arial" w:hAnsi="Arial"/>
                <w:sz w:val="14"/>
                <w:szCs w:val="14"/>
                <w:color w:val="auto"/>
              </w:rPr>
              <w:t>1,895</w:t>
            </w:r>
          </w:p>
        </w:tc>
      </w:tr>
      <w:tr>
        <w:trPr>
          <w:trHeight w:val="167"/>
        </w:trPr>
        <w:tc>
          <w:tcPr>
            <w:tcW w:w="7140" w:type="dxa"/>
            <w:vAlign w:val="bottom"/>
          </w:tcPr>
          <w:p>
            <w:pPr>
              <w:spacing w:after="0"/>
              <w:rPr>
                <w:sz w:val="20"/>
                <w:szCs w:val="20"/>
                <w:color w:val="auto"/>
              </w:rPr>
            </w:pPr>
            <w:r>
              <w:rPr>
                <w:rFonts w:ascii="Arial" w:cs="Arial" w:eastAsia="Arial" w:hAnsi="Arial"/>
                <w:sz w:val="14"/>
                <w:szCs w:val="14"/>
                <w:color w:val="auto"/>
              </w:rPr>
              <w:t>Interest expense</w:t>
            </w:r>
          </w:p>
        </w:tc>
        <w:tc>
          <w:tcPr>
            <w:tcW w:w="2100" w:type="dxa"/>
            <w:vAlign w:val="bottom"/>
            <w:gridSpan w:val="2"/>
            <w:shd w:val="clear" w:color="auto" w:fill="D8D8D8"/>
          </w:tcPr>
          <w:p>
            <w:pPr>
              <w:jc w:val="right"/>
              <w:ind w:right="229"/>
              <w:spacing w:after="0"/>
              <w:rPr>
                <w:sz w:val="20"/>
                <w:szCs w:val="20"/>
                <w:color w:val="auto"/>
              </w:rPr>
            </w:pPr>
            <w:r>
              <w:rPr>
                <w:rFonts w:ascii="Arial" w:cs="Arial" w:eastAsia="Arial" w:hAnsi="Arial"/>
                <w:sz w:val="14"/>
                <w:szCs w:val="14"/>
                <w:color w:val="auto"/>
              </w:rPr>
              <w:t>3,821</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40" w:type="dxa"/>
            <w:vAlign w:val="bottom"/>
          </w:tcPr>
          <w:p>
            <w:pPr>
              <w:jc w:val="right"/>
              <w:ind w:right="29"/>
              <w:spacing w:after="0"/>
              <w:rPr>
                <w:sz w:val="20"/>
                <w:szCs w:val="20"/>
                <w:color w:val="auto"/>
              </w:rPr>
            </w:pPr>
            <w:r>
              <w:rPr>
                <w:rFonts w:ascii="Arial" w:cs="Arial" w:eastAsia="Arial" w:hAnsi="Arial"/>
                <w:sz w:val="14"/>
                <w:szCs w:val="14"/>
                <w:color w:val="auto"/>
              </w:rPr>
              <w:t>3,574</w:t>
            </w:r>
          </w:p>
        </w:tc>
      </w:tr>
      <w:tr>
        <w:trPr>
          <w:trHeight w:val="162"/>
        </w:trPr>
        <w:tc>
          <w:tcPr>
            <w:tcW w:w="7140" w:type="dxa"/>
            <w:vAlign w:val="bottom"/>
          </w:tcPr>
          <w:p>
            <w:pPr>
              <w:spacing w:after="0"/>
              <w:rPr>
                <w:sz w:val="20"/>
                <w:szCs w:val="20"/>
                <w:color w:val="auto"/>
              </w:rPr>
            </w:pPr>
            <w:r>
              <w:rPr>
                <w:rFonts w:ascii="Arial" w:cs="Arial" w:eastAsia="Arial" w:hAnsi="Arial"/>
                <w:sz w:val="14"/>
                <w:szCs w:val="14"/>
                <w:color w:val="auto"/>
              </w:rPr>
              <w:t>Actuarial losses/(gains)</w:t>
            </w:r>
          </w:p>
        </w:tc>
        <w:tc>
          <w:tcPr>
            <w:tcW w:w="2100" w:type="dxa"/>
            <w:vAlign w:val="bottom"/>
            <w:gridSpan w:val="2"/>
            <w:shd w:val="clear" w:color="auto" w:fill="D8D8D8"/>
          </w:tcPr>
          <w:p>
            <w:pPr>
              <w:jc w:val="right"/>
              <w:ind w:right="229"/>
              <w:spacing w:after="0"/>
              <w:rPr>
                <w:sz w:val="20"/>
                <w:szCs w:val="20"/>
                <w:color w:val="auto"/>
              </w:rPr>
            </w:pPr>
            <w:r>
              <w:rPr>
                <w:rFonts w:ascii="Arial" w:cs="Arial" w:eastAsia="Arial" w:hAnsi="Arial"/>
                <w:sz w:val="14"/>
                <w:szCs w:val="14"/>
                <w:color w:val="auto"/>
              </w:rPr>
              <w:t>14,841</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(1,074)</w:t>
            </w:r>
          </w:p>
        </w:tc>
      </w:tr>
      <w:tr>
        <w:trPr>
          <w:trHeight w:val="162"/>
        </w:trPr>
        <w:tc>
          <w:tcPr>
            <w:tcW w:w="7140" w:type="dxa"/>
            <w:vAlign w:val="bottom"/>
          </w:tcPr>
          <w:p>
            <w:pPr>
              <w:spacing w:after="0"/>
              <w:rPr>
                <w:sz w:val="20"/>
                <w:szCs w:val="20"/>
                <w:color w:val="auto"/>
              </w:rPr>
            </w:pPr>
            <w:r>
              <w:rPr>
                <w:rFonts w:ascii="Arial" w:cs="Arial" w:eastAsia="Arial" w:hAnsi="Arial"/>
                <w:sz w:val="14"/>
                <w:szCs w:val="14"/>
                <w:color w:val="auto"/>
              </w:rPr>
              <w:t>Benefit payments</w:t>
            </w:r>
          </w:p>
        </w:tc>
        <w:tc>
          <w:tcPr>
            <w:tcW w:w="2100" w:type="dxa"/>
            <w:vAlign w:val="bottom"/>
            <w:gridSpan w:val="2"/>
            <w:shd w:val="clear" w:color="auto" w:fill="D8D8D8"/>
          </w:tcPr>
          <w:p>
            <w:pPr>
              <w:jc w:val="right"/>
              <w:ind w:right="229"/>
              <w:spacing w:after="0"/>
              <w:rPr>
                <w:sz w:val="20"/>
                <w:szCs w:val="20"/>
                <w:color w:val="auto"/>
              </w:rPr>
            </w:pPr>
            <w:r>
              <w:rPr>
                <w:rFonts w:ascii="Arial" w:cs="Arial" w:eastAsia="Arial" w:hAnsi="Arial"/>
                <w:sz w:val="14"/>
                <w:szCs w:val="14"/>
                <w:color w:val="auto"/>
              </w:rPr>
              <w:t>(3,730)</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(3,610)</w:t>
            </w:r>
          </w:p>
        </w:tc>
      </w:tr>
      <w:tr>
        <w:trPr>
          <w:trHeight w:val="162"/>
        </w:trPr>
        <w:tc>
          <w:tcPr>
            <w:tcW w:w="7140" w:type="dxa"/>
            <w:vAlign w:val="bottom"/>
          </w:tcPr>
          <w:p>
            <w:pPr>
              <w:spacing w:after="0"/>
              <w:rPr>
                <w:sz w:val="20"/>
                <w:szCs w:val="20"/>
                <w:color w:val="auto"/>
              </w:rPr>
            </w:pPr>
            <w:r>
              <w:rPr>
                <w:rFonts w:ascii="Arial" w:cs="Arial" w:eastAsia="Arial" w:hAnsi="Arial"/>
                <w:sz w:val="14"/>
                <w:szCs w:val="14"/>
                <w:color w:val="auto"/>
              </w:rPr>
              <w:t>Other movements</w:t>
            </w:r>
          </w:p>
        </w:tc>
        <w:tc>
          <w:tcPr>
            <w:tcW w:w="2100" w:type="dxa"/>
            <w:vAlign w:val="bottom"/>
            <w:gridSpan w:val="2"/>
            <w:shd w:val="clear" w:color="auto" w:fill="D8D8D8"/>
          </w:tcPr>
          <w:p>
            <w:pPr>
              <w:jc w:val="right"/>
              <w:ind w:right="229"/>
              <w:spacing w:after="0"/>
              <w:rPr>
                <w:sz w:val="20"/>
                <w:szCs w:val="20"/>
                <w:color w:val="auto"/>
              </w:rPr>
            </w:pPr>
            <w:r>
              <w:rPr>
                <w:rFonts w:ascii="Arial" w:cs="Arial" w:eastAsia="Arial" w:hAnsi="Arial"/>
                <w:sz w:val="14"/>
                <w:szCs w:val="14"/>
                <w:color w:val="auto"/>
              </w:rPr>
              <w:t>(1,315)</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40" w:type="dxa"/>
            <w:vAlign w:val="bottom"/>
          </w:tcPr>
          <w:p>
            <w:pPr>
              <w:jc w:val="right"/>
              <w:ind w:right="29"/>
              <w:spacing w:after="0"/>
              <w:rPr>
                <w:sz w:val="20"/>
                <w:szCs w:val="20"/>
                <w:color w:val="auto"/>
              </w:rPr>
            </w:pPr>
            <w:r>
              <w:rPr>
                <w:rFonts w:ascii="Arial" w:cs="Arial" w:eastAsia="Arial" w:hAnsi="Arial"/>
                <w:sz w:val="14"/>
                <w:szCs w:val="14"/>
                <w:color w:val="auto"/>
              </w:rPr>
              <w:t>4,614</w:t>
            </w:r>
          </w:p>
        </w:tc>
      </w:tr>
      <w:tr>
        <w:trPr>
          <w:trHeight w:val="157"/>
        </w:trPr>
        <w:tc>
          <w:tcPr>
            <w:tcW w:w="7140" w:type="dxa"/>
            <w:vAlign w:val="bottom"/>
            <w:tcBorders>
              <w:bottom w:val="single" w:sz="8" w:color="auto"/>
            </w:tcBorders>
          </w:tcPr>
          <w:p>
            <w:pPr>
              <w:spacing w:after="0" w:line="157" w:lineRule="exact"/>
              <w:rPr>
                <w:sz w:val="20"/>
                <w:szCs w:val="20"/>
                <w:color w:val="auto"/>
              </w:rPr>
            </w:pPr>
            <w:r>
              <w:rPr>
                <w:rFonts w:ascii="Arial" w:cs="Arial" w:eastAsia="Arial" w:hAnsi="Arial"/>
                <w:sz w:val="14"/>
                <w:szCs w:val="14"/>
                <w:color w:val="auto"/>
              </w:rPr>
              <w:t>Currency translation differences</w:t>
            </w:r>
          </w:p>
        </w:tc>
        <w:tc>
          <w:tcPr>
            <w:tcW w:w="2100" w:type="dxa"/>
            <w:vAlign w:val="bottom"/>
            <w:tcBorders>
              <w:bottom w:val="single" w:sz="8" w:color="auto"/>
            </w:tcBorders>
            <w:gridSpan w:val="2"/>
            <w:shd w:val="clear" w:color="auto" w:fill="D8D8D8"/>
          </w:tcPr>
          <w:p>
            <w:pPr>
              <w:jc w:val="right"/>
              <w:ind w:right="229"/>
              <w:spacing w:after="0" w:line="157" w:lineRule="exact"/>
              <w:rPr>
                <w:sz w:val="20"/>
                <w:szCs w:val="20"/>
                <w:color w:val="auto"/>
              </w:rPr>
            </w:pPr>
            <w:r>
              <w:rPr>
                <w:rFonts w:ascii="Arial" w:cs="Arial" w:eastAsia="Arial" w:hAnsi="Arial"/>
                <w:sz w:val="14"/>
                <w:szCs w:val="14"/>
                <w:color w:val="auto"/>
              </w:rPr>
              <w:t>(7,663)</w:t>
            </w:r>
          </w:p>
        </w:tc>
        <w:tc>
          <w:tcPr>
            <w:tcW w:w="8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29"/>
              <w:spacing w:after="0" w:line="157" w:lineRule="exact"/>
              <w:rPr>
                <w:sz w:val="20"/>
                <w:szCs w:val="20"/>
                <w:color w:val="auto"/>
              </w:rPr>
            </w:pPr>
            <w:r>
              <w:rPr>
                <w:rFonts w:ascii="Arial" w:cs="Arial" w:eastAsia="Arial" w:hAnsi="Arial"/>
                <w:sz w:val="14"/>
                <w:szCs w:val="14"/>
                <w:color w:val="auto"/>
              </w:rPr>
              <w:t>1,808</w:t>
            </w:r>
          </w:p>
        </w:tc>
      </w:tr>
      <w:tr>
        <w:trPr>
          <w:trHeight w:val="156"/>
        </w:trPr>
        <w:tc>
          <w:tcPr>
            <w:tcW w:w="7140" w:type="dxa"/>
            <w:vAlign w:val="bottom"/>
            <w:tcBorders>
              <w:bottom w:val="single" w:sz="8" w:color="auto"/>
            </w:tcBorders>
          </w:tcPr>
          <w:p>
            <w:pPr>
              <w:spacing w:after="0" w:line="155" w:lineRule="exact"/>
              <w:rPr>
                <w:sz w:val="20"/>
                <w:szCs w:val="20"/>
                <w:color w:val="auto"/>
              </w:rPr>
            </w:pPr>
            <w:r>
              <w:rPr>
                <w:rFonts w:ascii="Arial" w:cs="Arial" w:eastAsia="Arial" w:hAnsi="Arial"/>
                <w:sz w:val="14"/>
                <w:szCs w:val="14"/>
                <w:color w:val="auto"/>
              </w:rPr>
              <w:t>At December 31</w:t>
            </w:r>
          </w:p>
        </w:tc>
        <w:tc>
          <w:tcPr>
            <w:tcW w:w="2100" w:type="dxa"/>
            <w:vAlign w:val="bottom"/>
            <w:tcBorders>
              <w:bottom w:val="single" w:sz="8" w:color="auto"/>
            </w:tcBorders>
            <w:gridSpan w:val="2"/>
            <w:shd w:val="clear" w:color="auto" w:fill="D8D8D8"/>
          </w:tcPr>
          <w:p>
            <w:pPr>
              <w:jc w:val="right"/>
              <w:ind w:right="229"/>
              <w:spacing w:after="0" w:line="155" w:lineRule="exact"/>
              <w:rPr>
                <w:sz w:val="20"/>
                <w:szCs w:val="20"/>
                <w:color w:val="auto"/>
              </w:rPr>
            </w:pPr>
            <w:r>
              <w:rPr>
                <w:rFonts w:ascii="Arial" w:cs="Arial" w:eastAsia="Arial" w:hAnsi="Arial"/>
                <w:sz w:val="14"/>
                <w:szCs w:val="14"/>
                <w:color w:val="auto"/>
              </w:rPr>
              <w:t>101,331</w:t>
            </w:r>
          </w:p>
        </w:tc>
        <w:tc>
          <w:tcPr>
            <w:tcW w:w="8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29"/>
              <w:spacing w:after="0" w:line="155" w:lineRule="exact"/>
              <w:rPr>
                <w:sz w:val="20"/>
                <w:szCs w:val="20"/>
                <w:color w:val="auto"/>
              </w:rPr>
            </w:pPr>
            <w:r>
              <w:rPr>
                <w:rFonts w:ascii="Arial" w:cs="Arial" w:eastAsia="Arial" w:hAnsi="Arial"/>
                <w:sz w:val="14"/>
                <w:szCs w:val="14"/>
                <w:color w:val="auto"/>
              </w:rPr>
              <w:t>93,533</w:t>
            </w:r>
          </w:p>
        </w:tc>
      </w:tr>
      <w:tr>
        <w:trPr>
          <w:trHeight w:val="160"/>
        </w:trPr>
        <w:tc>
          <w:tcPr>
            <w:tcW w:w="7140" w:type="dxa"/>
            <w:vAlign w:val="bottom"/>
          </w:tcPr>
          <w:p>
            <w:pPr>
              <w:spacing w:after="0"/>
              <w:rPr>
                <w:sz w:val="20"/>
                <w:szCs w:val="20"/>
                <w:color w:val="auto"/>
              </w:rPr>
            </w:pPr>
            <w:r>
              <w:rPr>
                <w:rFonts w:ascii="Arial" w:cs="Arial" w:eastAsia="Arial" w:hAnsi="Arial"/>
                <w:sz w:val="14"/>
                <w:szCs w:val="14"/>
                <w:color w:val="auto"/>
              </w:rPr>
              <w:t>Comprising:</w:t>
            </w:r>
          </w:p>
        </w:tc>
        <w:tc>
          <w:tcPr>
            <w:tcW w:w="1080" w:type="dxa"/>
            <w:vAlign w:val="bottom"/>
            <w:shd w:val="clear" w:color="auto" w:fill="D8D8D8"/>
          </w:tcPr>
          <w:p>
            <w:pPr>
              <w:spacing w:after="0"/>
              <w:rPr>
                <w:sz w:val="13"/>
                <w:szCs w:val="13"/>
                <w:color w:val="auto"/>
              </w:rPr>
            </w:pPr>
          </w:p>
        </w:tc>
        <w:tc>
          <w:tcPr>
            <w:tcW w:w="1020" w:type="dxa"/>
            <w:vAlign w:val="bottom"/>
            <w:shd w:val="clear" w:color="auto" w:fill="D8D8D8"/>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40" w:type="dxa"/>
            <w:vAlign w:val="bottom"/>
          </w:tcPr>
          <w:p>
            <w:pPr>
              <w:spacing w:after="0"/>
              <w:rPr>
                <w:sz w:val="13"/>
                <w:szCs w:val="13"/>
                <w:color w:val="auto"/>
              </w:rPr>
            </w:pPr>
          </w:p>
        </w:tc>
      </w:tr>
      <w:tr>
        <w:trPr>
          <w:trHeight w:val="162"/>
        </w:trPr>
        <w:tc>
          <w:tcPr>
            <w:tcW w:w="7140" w:type="dxa"/>
            <w:vAlign w:val="bottom"/>
          </w:tcPr>
          <w:p>
            <w:pPr>
              <w:ind w:left="140"/>
              <w:spacing w:after="0"/>
              <w:rPr>
                <w:sz w:val="20"/>
                <w:szCs w:val="20"/>
                <w:color w:val="auto"/>
              </w:rPr>
            </w:pPr>
            <w:r>
              <w:rPr>
                <w:rFonts w:ascii="Arial" w:cs="Arial" w:eastAsia="Arial" w:hAnsi="Arial"/>
                <w:sz w:val="14"/>
                <w:szCs w:val="14"/>
                <w:color w:val="auto"/>
              </w:rPr>
              <w:t>Funded pension plans</w:t>
            </w:r>
          </w:p>
        </w:tc>
        <w:tc>
          <w:tcPr>
            <w:tcW w:w="2100" w:type="dxa"/>
            <w:vAlign w:val="bottom"/>
            <w:gridSpan w:val="2"/>
            <w:shd w:val="clear" w:color="auto" w:fill="D8D8D8"/>
          </w:tcPr>
          <w:p>
            <w:pPr>
              <w:jc w:val="right"/>
              <w:ind w:right="229"/>
              <w:spacing w:after="0"/>
              <w:rPr>
                <w:sz w:val="20"/>
                <w:szCs w:val="20"/>
                <w:color w:val="auto"/>
              </w:rPr>
            </w:pPr>
            <w:r>
              <w:rPr>
                <w:rFonts w:ascii="Arial" w:cs="Arial" w:eastAsia="Arial" w:hAnsi="Arial"/>
                <w:sz w:val="14"/>
                <w:szCs w:val="14"/>
                <w:color w:val="auto"/>
              </w:rPr>
              <w:t>91,800</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40" w:type="dxa"/>
            <w:vAlign w:val="bottom"/>
          </w:tcPr>
          <w:p>
            <w:pPr>
              <w:jc w:val="right"/>
              <w:ind w:right="29"/>
              <w:spacing w:after="0"/>
              <w:rPr>
                <w:sz w:val="20"/>
                <w:szCs w:val="20"/>
                <w:color w:val="auto"/>
              </w:rPr>
            </w:pPr>
            <w:r>
              <w:rPr>
                <w:rFonts w:ascii="Arial" w:cs="Arial" w:eastAsia="Arial" w:hAnsi="Arial"/>
                <w:sz w:val="14"/>
                <w:szCs w:val="14"/>
                <w:color w:val="auto"/>
              </w:rPr>
              <w:t>84,795</w:t>
            </w:r>
          </w:p>
        </w:tc>
      </w:tr>
      <w:tr>
        <w:trPr>
          <w:trHeight w:val="162"/>
        </w:trPr>
        <w:tc>
          <w:tcPr>
            <w:tcW w:w="7140" w:type="dxa"/>
            <w:vAlign w:val="bottom"/>
          </w:tcPr>
          <w:p>
            <w:pPr>
              <w:ind w:left="260"/>
              <w:spacing w:after="0"/>
              <w:rPr>
                <w:sz w:val="20"/>
                <w:szCs w:val="20"/>
                <w:color w:val="auto"/>
              </w:rPr>
            </w:pPr>
            <w:r>
              <w:rPr>
                <w:rFonts w:ascii="Arial" w:cs="Arial" w:eastAsia="Arial" w:hAnsi="Arial"/>
                <w:sz w:val="14"/>
                <w:szCs w:val="14"/>
                <w:color w:val="auto"/>
              </w:rPr>
              <w:t>Weighted average duration</w:t>
            </w:r>
          </w:p>
        </w:tc>
        <w:tc>
          <w:tcPr>
            <w:tcW w:w="1080" w:type="dxa"/>
            <w:vAlign w:val="bottom"/>
            <w:shd w:val="clear" w:color="auto" w:fill="D8D8D8"/>
          </w:tcPr>
          <w:p>
            <w:pPr>
              <w:spacing w:after="0"/>
              <w:rPr>
                <w:sz w:val="14"/>
                <w:szCs w:val="14"/>
                <w:color w:val="auto"/>
              </w:rPr>
            </w:pPr>
          </w:p>
        </w:tc>
        <w:tc>
          <w:tcPr>
            <w:tcW w:w="1020" w:type="dxa"/>
            <w:vAlign w:val="bottom"/>
            <w:shd w:val="clear" w:color="auto" w:fill="D8D8D8"/>
          </w:tcPr>
          <w:p>
            <w:pPr>
              <w:jc w:val="right"/>
              <w:ind w:right="229"/>
              <w:spacing w:after="0"/>
              <w:rPr>
                <w:sz w:val="20"/>
                <w:szCs w:val="20"/>
                <w:color w:val="auto"/>
              </w:rPr>
            </w:pPr>
            <w:r>
              <w:rPr>
                <w:rFonts w:ascii="Arial" w:cs="Arial" w:eastAsia="Arial" w:hAnsi="Arial"/>
                <w:sz w:val="14"/>
                <w:szCs w:val="14"/>
                <w:color w:val="auto"/>
              </w:rPr>
              <w:t>18 years</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40" w:type="dxa"/>
            <w:vAlign w:val="bottom"/>
          </w:tcPr>
          <w:p>
            <w:pPr>
              <w:jc w:val="right"/>
              <w:ind w:right="29"/>
              <w:spacing w:after="0"/>
              <w:rPr>
                <w:sz w:val="20"/>
                <w:szCs w:val="20"/>
                <w:color w:val="auto"/>
              </w:rPr>
            </w:pPr>
            <w:r>
              <w:rPr>
                <w:rFonts w:ascii="Arial" w:cs="Arial" w:eastAsia="Arial" w:hAnsi="Arial"/>
                <w:sz w:val="14"/>
                <w:szCs w:val="14"/>
                <w:color w:val="auto"/>
              </w:rPr>
              <w:t>17 years</w:t>
            </w:r>
          </w:p>
        </w:tc>
      </w:tr>
      <w:tr>
        <w:trPr>
          <w:trHeight w:val="162"/>
        </w:trPr>
        <w:tc>
          <w:tcPr>
            <w:tcW w:w="7140" w:type="dxa"/>
            <w:vAlign w:val="bottom"/>
          </w:tcPr>
          <w:p>
            <w:pPr>
              <w:ind w:left="140"/>
              <w:spacing w:after="0"/>
              <w:rPr>
                <w:sz w:val="20"/>
                <w:szCs w:val="20"/>
                <w:color w:val="auto"/>
              </w:rPr>
            </w:pPr>
            <w:r>
              <w:rPr>
                <w:rFonts w:ascii="Arial" w:cs="Arial" w:eastAsia="Arial" w:hAnsi="Arial"/>
                <w:sz w:val="14"/>
                <w:szCs w:val="14"/>
                <w:color w:val="auto"/>
              </w:rPr>
              <w:t>Unfunded pension plans</w:t>
            </w:r>
          </w:p>
        </w:tc>
        <w:tc>
          <w:tcPr>
            <w:tcW w:w="2100" w:type="dxa"/>
            <w:vAlign w:val="bottom"/>
            <w:gridSpan w:val="2"/>
            <w:shd w:val="clear" w:color="auto" w:fill="D8D8D8"/>
          </w:tcPr>
          <w:p>
            <w:pPr>
              <w:jc w:val="right"/>
              <w:ind w:right="229"/>
              <w:spacing w:after="0"/>
              <w:rPr>
                <w:sz w:val="20"/>
                <w:szCs w:val="20"/>
                <w:color w:val="auto"/>
              </w:rPr>
            </w:pPr>
            <w:r>
              <w:rPr>
                <w:rFonts w:ascii="Arial" w:cs="Arial" w:eastAsia="Arial" w:hAnsi="Arial"/>
                <w:sz w:val="14"/>
                <w:szCs w:val="14"/>
                <w:color w:val="auto"/>
              </w:rPr>
              <w:t>5,016</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40" w:type="dxa"/>
            <w:vAlign w:val="bottom"/>
          </w:tcPr>
          <w:p>
            <w:pPr>
              <w:jc w:val="right"/>
              <w:ind w:right="29"/>
              <w:spacing w:after="0"/>
              <w:rPr>
                <w:sz w:val="20"/>
                <w:szCs w:val="20"/>
                <w:color w:val="auto"/>
              </w:rPr>
            </w:pPr>
            <w:r>
              <w:rPr>
                <w:rFonts w:ascii="Arial" w:cs="Arial" w:eastAsia="Arial" w:hAnsi="Arial"/>
                <w:sz w:val="14"/>
                <w:szCs w:val="14"/>
                <w:color w:val="auto"/>
              </w:rPr>
              <w:t>4,357</w:t>
            </w:r>
          </w:p>
        </w:tc>
      </w:tr>
      <w:tr>
        <w:trPr>
          <w:trHeight w:val="162"/>
        </w:trPr>
        <w:tc>
          <w:tcPr>
            <w:tcW w:w="7140" w:type="dxa"/>
            <w:vAlign w:val="bottom"/>
          </w:tcPr>
          <w:p>
            <w:pPr>
              <w:ind w:left="260"/>
              <w:spacing w:after="0"/>
              <w:rPr>
                <w:sz w:val="20"/>
                <w:szCs w:val="20"/>
                <w:color w:val="auto"/>
              </w:rPr>
            </w:pPr>
            <w:r>
              <w:rPr>
                <w:rFonts w:ascii="Arial" w:cs="Arial" w:eastAsia="Arial" w:hAnsi="Arial"/>
                <w:sz w:val="14"/>
                <w:szCs w:val="14"/>
                <w:color w:val="auto"/>
              </w:rPr>
              <w:t>Weighted average duration</w:t>
            </w:r>
          </w:p>
        </w:tc>
        <w:tc>
          <w:tcPr>
            <w:tcW w:w="1080" w:type="dxa"/>
            <w:vAlign w:val="bottom"/>
            <w:shd w:val="clear" w:color="auto" w:fill="D8D8D8"/>
          </w:tcPr>
          <w:p>
            <w:pPr>
              <w:spacing w:after="0"/>
              <w:rPr>
                <w:sz w:val="14"/>
                <w:szCs w:val="14"/>
                <w:color w:val="auto"/>
              </w:rPr>
            </w:pPr>
          </w:p>
        </w:tc>
        <w:tc>
          <w:tcPr>
            <w:tcW w:w="1020" w:type="dxa"/>
            <w:vAlign w:val="bottom"/>
            <w:shd w:val="clear" w:color="auto" w:fill="D8D8D8"/>
          </w:tcPr>
          <w:p>
            <w:pPr>
              <w:jc w:val="right"/>
              <w:ind w:right="229"/>
              <w:spacing w:after="0"/>
              <w:rPr>
                <w:sz w:val="20"/>
                <w:szCs w:val="20"/>
                <w:color w:val="auto"/>
              </w:rPr>
            </w:pPr>
            <w:r>
              <w:rPr>
                <w:rFonts w:ascii="Arial" w:cs="Arial" w:eastAsia="Arial" w:hAnsi="Arial"/>
                <w:sz w:val="14"/>
                <w:szCs w:val="14"/>
                <w:color w:val="auto"/>
              </w:rPr>
              <w:t>12 years</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40" w:type="dxa"/>
            <w:vAlign w:val="bottom"/>
          </w:tcPr>
          <w:p>
            <w:pPr>
              <w:jc w:val="right"/>
              <w:ind w:right="29"/>
              <w:spacing w:after="0"/>
              <w:rPr>
                <w:sz w:val="20"/>
                <w:szCs w:val="20"/>
                <w:color w:val="auto"/>
              </w:rPr>
            </w:pPr>
            <w:r>
              <w:rPr>
                <w:rFonts w:ascii="Arial" w:cs="Arial" w:eastAsia="Arial" w:hAnsi="Arial"/>
                <w:sz w:val="14"/>
                <w:szCs w:val="14"/>
                <w:color w:val="auto"/>
              </w:rPr>
              <w:t>11 years</w:t>
            </w:r>
          </w:p>
        </w:tc>
      </w:tr>
      <w:tr>
        <w:trPr>
          <w:trHeight w:val="162"/>
        </w:trPr>
        <w:tc>
          <w:tcPr>
            <w:tcW w:w="7140" w:type="dxa"/>
            <w:vAlign w:val="bottom"/>
          </w:tcPr>
          <w:p>
            <w:pPr>
              <w:ind w:left="140"/>
              <w:spacing w:after="0"/>
              <w:rPr>
                <w:sz w:val="20"/>
                <w:szCs w:val="20"/>
                <w:color w:val="auto"/>
              </w:rPr>
            </w:pPr>
            <w:r>
              <w:rPr>
                <w:rFonts w:ascii="Arial" w:cs="Arial" w:eastAsia="Arial" w:hAnsi="Arial"/>
                <w:sz w:val="14"/>
                <w:szCs w:val="14"/>
                <w:color w:val="auto"/>
              </w:rPr>
              <w:t>Other unfunded plans</w:t>
            </w:r>
          </w:p>
        </w:tc>
        <w:tc>
          <w:tcPr>
            <w:tcW w:w="2100" w:type="dxa"/>
            <w:vAlign w:val="bottom"/>
            <w:gridSpan w:val="2"/>
            <w:shd w:val="clear" w:color="auto" w:fill="D8D8D8"/>
          </w:tcPr>
          <w:p>
            <w:pPr>
              <w:jc w:val="right"/>
              <w:ind w:right="229"/>
              <w:spacing w:after="0"/>
              <w:rPr>
                <w:sz w:val="20"/>
                <w:szCs w:val="20"/>
                <w:color w:val="auto"/>
              </w:rPr>
            </w:pPr>
            <w:r>
              <w:rPr>
                <w:rFonts w:ascii="Arial" w:cs="Arial" w:eastAsia="Arial" w:hAnsi="Arial"/>
                <w:sz w:val="14"/>
                <w:szCs w:val="14"/>
                <w:color w:val="auto"/>
              </w:rPr>
              <w:t>4,515</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40" w:type="dxa"/>
            <w:vAlign w:val="bottom"/>
          </w:tcPr>
          <w:p>
            <w:pPr>
              <w:jc w:val="right"/>
              <w:ind w:right="29"/>
              <w:spacing w:after="0"/>
              <w:rPr>
                <w:sz w:val="20"/>
                <w:szCs w:val="20"/>
                <w:color w:val="auto"/>
              </w:rPr>
            </w:pPr>
            <w:r>
              <w:rPr>
                <w:rFonts w:ascii="Arial" w:cs="Arial" w:eastAsia="Arial" w:hAnsi="Arial"/>
                <w:sz w:val="14"/>
                <w:szCs w:val="14"/>
                <w:color w:val="auto"/>
              </w:rPr>
              <w:t>4,381</w:t>
            </w:r>
          </w:p>
        </w:tc>
      </w:tr>
      <w:tr>
        <w:trPr>
          <w:trHeight w:val="157"/>
        </w:trPr>
        <w:tc>
          <w:tcPr>
            <w:tcW w:w="7140" w:type="dxa"/>
            <w:vAlign w:val="bottom"/>
            <w:tcBorders>
              <w:bottom w:val="single" w:sz="8" w:color="auto"/>
            </w:tcBorders>
          </w:tcPr>
          <w:p>
            <w:pPr>
              <w:ind w:left="260"/>
              <w:spacing w:after="0" w:line="157" w:lineRule="exact"/>
              <w:rPr>
                <w:sz w:val="20"/>
                <w:szCs w:val="20"/>
                <w:color w:val="auto"/>
              </w:rPr>
            </w:pPr>
            <w:r>
              <w:rPr>
                <w:rFonts w:ascii="Arial" w:cs="Arial" w:eastAsia="Arial" w:hAnsi="Arial"/>
                <w:sz w:val="14"/>
                <w:szCs w:val="14"/>
                <w:color w:val="auto"/>
              </w:rPr>
              <w:t>Weighted average duration</w:t>
            </w:r>
          </w:p>
        </w:tc>
        <w:tc>
          <w:tcPr>
            <w:tcW w:w="1080" w:type="dxa"/>
            <w:vAlign w:val="bottom"/>
            <w:tcBorders>
              <w:bottom w:val="single" w:sz="8" w:color="auto"/>
            </w:tcBorders>
            <w:shd w:val="clear" w:color="auto" w:fill="D8D8D8"/>
          </w:tcPr>
          <w:p>
            <w:pPr>
              <w:spacing w:after="0"/>
              <w:rPr>
                <w:sz w:val="13"/>
                <w:szCs w:val="13"/>
                <w:color w:val="auto"/>
              </w:rPr>
            </w:pPr>
          </w:p>
        </w:tc>
        <w:tc>
          <w:tcPr>
            <w:tcW w:w="1020" w:type="dxa"/>
            <w:vAlign w:val="bottom"/>
            <w:tcBorders>
              <w:bottom w:val="single" w:sz="8" w:color="auto"/>
            </w:tcBorders>
            <w:shd w:val="clear" w:color="auto" w:fill="D8D8D8"/>
          </w:tcPr>
          <w:p>
            <w:pPr>
              <w:jc w:val="right"/>
              <w:ind w:right="229"/>
              <w:spacing w:after="0" w:line="157" w:lineRule="exact"/>
              <w:rPr>
                <w:sz w:val="20"/>
                <w:szCs w:val="20"/>
                <w:color w:val="auto"/>
              </w:rPr>
            </w:pPr>
            <w:r>
              <w:rPr>
                <w:rFonts w:ascii="Arial" w:cs="Arial" w:eastAsia="Arial" w:hAnsi="Arial"/>
                <w:sz w:val="14"/>
                <w:szCs w:val="14"/>
                <w:color w:val="auto"/>
              </w:rPr>
              <w:t>15 years</w:t>
            </w:r>
          </w:p>
        </w:tc>
        <w:tc>
          <w:tcPr>
            <w:tcW w:w="8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29"/>
              <w:spacing w:after="0" w:line="157" w:lineRule="exact"/>
              <w:rPr>
                <w:sz w:val="20"/>
                <w:szCs w:val="20"/>
                <w:color w:val="auto"/>
              </w:rPr>
            </w:pPr>
            <w:r>
              <w:rPr>
                <w:rFonts w:ascii="Arial" w:cs="Arial" w:eastAsia="Arial" w:hAnsi="Arial"/>
                <w:sz w:val="14"/>
                <w:szCs w:val="14"/>
                <w:color w:val="auto"/>
              </w:rPr>
              <w:t>13 years</w:t>
            </w:r>
          </w:p>
        </w:tc>
      </w:tr>
    </w:tbl>
    <w:p>
      <w:pPr>
        <w:sectPr>
          <w:pgSz w:w="11900" w:h="16838" w:orient="portrait"/>
          <w:cols w:equalWidth="0" w:num="1">
            <w:col w:w="11420"/>
          </w:cols>
          <w:pgMar w:left="240" w:top="459" w:right="239" w:bottom="1440" w:gutter="0" w:footer="0" w:header="0"/>
        </w:sectPr>
      </w:pPr>
    </w:p>
    <w:bookmarkStart w:id="131" w:name="page132"/>
    <w:bookmarkEnd w:id="1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300355</wp:posOffset>
            </wp:positionV>
            <wp:extent cx="8890" cy="46291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8890" cy="462915"/>
                    </a:xfrm>
                    <a:prstGeom prst="rect">
                      <a:avLst/>
                    </a:prstGeom>
                    <a:noFill/>
                  </pic:spPr>
                </pic:pic>
              </a:graphicData>
            </a:graphic>
          </wp:anchor>
        </w:drawing>
      </w:r>
    </w:p>
    <w:p>
      <w:pPr>
        <w:spacing w:after="0" w:line="200" w:lineRule="exact"/>
        <w:rPr>
          <w:sz w:val="20"/>
          <w:szCs w:val="20"/>
          <w:color w:val="auto"/>
        </w:rPr>
      </w:pP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565"/>
        </w:trPr>
        <w:tc>
          <w:tcPr>
            <w:tcW w:w="1980" w:type="dxa"/>
            <w:vAlign w:val="bottom"/>
            <w:shd w:val="clear" w:color="auto" w:fill="FF8B00"/>
          </w:tcPr>
          <w:p>
            <w:pPr>
              <w:ind w:left="260"/>
              <w:spacing w:after="0"/>
              <w:rPr>
                <w:sz w:val="20"/>
                <w:szCs w:val="20"/>
                <w:color w:val="auto"/>
              </w:rPr>
            </w:pPr>
            <w:r>
              <w:rPr>
                <w:rFonts w:ascii="Arial" w:cs="Arial" w:eastAsia="Arial" w:hAnsi="Arial"/>
                <w:sz w:val="11"/>
                <w:szCs w:val="11"/>
                <w:b w:val="1"/>
                <w:bCs w:val="1"/>
                <w:color w:val="333333"/>
              </w:rPr>
              <w:t>130</w:t>
            </w:r>
          </w:p>
        </w:tc>
        <w:tc>
          <w:tcPr>
            <w:tcW w:w="3600" w:type="dxa"/>
            <w:vAlign w:val="bottom"/>
            <w:shd w:val="clear" w:color="auto" w:fill="FF8B00"/>
          </w:tcPr>
          <w:p>
            <w:pPr>
              <w:jc w:val="right"/>
              <w:ind w:right="741"/>
              <w:spacing w:after="0"/>
              <w:rPr>
                <w:sz w:val="20"/>
                <w:szCs w:val="20"/>
                <w:color w:val="auto"/>
              </w:rPr>
            </w:pPr>
            <w:r>
              <w:rPr>
                <w:rFonts w:ascii="Arial" w:cs="Arial" w:eastAsia="Arial" w:hAnsi="Arial"/>
                <w:sz w:val="13"/>
                <w:szCs w:val="13"/>
                <w:color w:val="333333"/>
                <w:w w:val="95"/>
              </w:rPr>
              <w:t>FINANCIAL STATEMENTS AND SUPPLEMENTS</w:t>
            </w:r>
          </w:p>
        </w:tc>
        <w:tc>
          <w:tcPr>
            <w:tcW w:w="37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5"/>
        </w:trPr>
        <w:tc>
          <w:tcPr>
            <w:tcW w:w="1980" w:type="dxa"/>
            <w:vAlign w:val="bottom"/>
            <w:shd w:val="clear" w:color="auto" w:fill="FF8B00"/>
          </w:tcPr>
          <w:p>
            <w:pPr>
              <w:spacing w:after="0"/>
              <w:rPr>
                <w:sz w:val="14"/>
                <w:szCs w:val="14"/>
                <w:color w:val="auto"/>
              </w:rPr>
            </w:pPr>
          </w:p>
        </w:tc>
        <w:tc>
          <w:tcPr>
            <w:tcW w:w="3600" w:type="dxa"/>
            <w:vAlign w:val="bottom"/>
            <w:shd w:val="clear" w:color="auto" w:fill="FF8B00"/>
          </w:tcPr>
          <w:p>
            <w:pPr>
              <w:spacing w:after="0"/>
              <w:rPr>
                <w:sz w:val="14"/>
                <w:szCs w:val="14"/>
                <w:color w:val="auto"/>
              </w:rPr>
            </w:pPr>
          </w:p>
        </w:tc>
        <w:tc>
          <w:tcPr>
            <w:tcW w:w="5840" w:type="dxa"/>
            <w:vAlign w:val="bottom"/>
            <w:gridSpan w:val="3"/>
            <w:vMerge w:val="restart"/>
          </w:tcPr>
          <w:p>
            <w:pPr>
              <w:jc w:val="right"/>
              <w:spacing w:after="0"/>
              <w:rPr>
                <w:sz w:val="20"/>
                <w:szCs w:val="20"/>
                <w:color w:val="auto"/>
              </w:rPr>
            </w:pPr>
            <w:r>
              <w:rPr>
                <w:rFonts w:ascii="Arial" w:cs="Arial" w:eastAsia="Arial" w:hAnsi="Arial"/>
                <w:sz w:val="11"/>
                <w:szCs w:val="11"/>
                <w:color w:val="auto"/>
              </w:rPr>
              <w:t>SHELL ANNUAL REPORT AND FORM 20-F 2014</w:t>
            </w:r>
          </w:p>
        </w:tc>
        <w:tc>
          <w:tcPr>
            <w:tcW w:w="0" w:type="dxa"/>
            <w:vAlign w:val="bottom"/>
          </w:tcPr>
          <w:p>
            <w:pPr>
              <w:spacing w:after="0"/>
              <w:rPr>
                <w:sz w:val="1"/>
                <w:szCs w:val="1"/>
                <w:color w:val="auto"/>
              </w:rPr>
            </w:pPr>
          </w:p>
        </w:tc>
      </w:tr>
      <w:tr>
        <w:trPr>
          <w:trHeight w:val="130"/>
        </w:trPr>
        <w:tc>
          <w:tcPr>
            <w:tcW w:w="1980" w:type="dxa"/>
            <w:vAlign w:val="bottom"/>
            <w:vMerge w:val="restart"/>
          </w:tcPr>
          <w:p>
            <w:pPr>
              <w:spacing w:after="0"/>
              <w:rPr>
                <w:sz w:val="20"/>
                <w:szCs w:val="20"/>
                <w:color w:val="auto"/>
              </w:rPr>
            </w:pPr>
            <w:r>
              <w:rPr>
                <w:rFonts w:ascii="Arial" w:cs="Arial" w:eastAsia="Arial" w:hAnsi="Arial"/>
                <w:sz w:val="11"/>
                <w:szCs w:val="11"/>
                <w:color w:val="auto"/>
              </w:rPr>
              <w:t>[Note 17 continued]</w:t>
            </w:r>
          </w:p>
        </w:tc>
        <w:tc>
          <w:tcPr>
            <w:tcW w:w="3600" w:type="dxa"/>
            <w:vAlign w:val="bottom"/>
          </w:tcPr>
          <w:p>
            <w:pPr>
              <w:jc w:val="right"/>
              <w:ind w:right="741"/>
              <w:spacing w:after="0"/>
              <w:rPr>
                <w:sz w:val="20"/>
                <w:szCs w:val="20"/>
                <w:color w:val="auto"/>
              </w:rPr>
            </w:pPr>
            <w:r>
              <w:rPr>
                <w:rFonts w:ascii="Arial" w:cs="Arial" w:eastAsia="Arial" w:hAnsi="Arial"/>
                <w:sz w:val="11"/>
                <w:szCs w:val="11"/>
                <w:color w:val="auto"/>
              </w:rPr>
              <w:t>CONSOLIDATED FINANCIAL STATEMENTS</w:t>
            </w:r>
          </w:p>
        </w:tc>
        <w:tc>
          <w:tcPr>
            <w:tcW w:w="5840" w:type="dxa"/>
            <w:vAlign w:val="bottom"/>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13"/>
        </w:trPr>
        <w:tc>
          <w:tcPr>
            <w:tcW w:w="1980" w:type="dxa"/>
            <w:vAlign w:val="bottom"/>
            <w:vMerge w:val="continue"/>
          </w:tcPr>
          <w:p>
            <w:pPr>
              <w:spacing w:after="0"/>
              <w:rPr>
                <w:sz w:val="9"/>
                <w:szCs w:val="9"/>
                <w:color w:val="auto"/>
              </w:rPr>
            </w:pPr>
          </w:p>
        </w:tc>
        <w:tc>
          <w:tcPr>
            <w:tcW w:w="3600" w:type="dxa"/>
            <w:vAlign w:val="bottom"/>
          </w:tcPr>
          <w:p>
            <w:pPr>
              <w:spacing w:after="0"/>
              <w:rPr>
                <w:sz w:val="9"/>
                <w:szCs w:val="9"/>
                <w:color w:val="auto"/>
              </w:rPr>
            </w:pPr>
          </w:p>
        </w:tc>
        <w:tc>
          <w:tcPr>
            <w:tcW w:w="37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0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2"/>
        </w:trPr>
        <w:tc>
          <w:tcPr>
            <w:tcW w:w="5580" w:type="dxa"/>
            <w:vAlign w:val="bottom"/>
            <w:gridSpan w:val="2"/>
            <w:shd w:val="clear" w:color="auto" w:fill="333333"/>
          </w:tcPr>
          <w:p>
            <w:pPr>
              <w:ind w:left="80"/>
              <w:spacing w:after="0" w:line="162" w:lineRule="exact"/>
              <w:rPr>
                <w:sz w:val="20"/>
                <w:szCs w:val="20"/>
                <w:color w:val="auto"/>
              </w:rPr>
            </w:pPr>
            <w:r>
              <w:rPr>
                <w:rFonts w:ascii="Arial" w:cs="Arial" w:eastAsia="Arial" w:hAnsi="Arial"/>
                <w:sz w:val="15"/>
                <w:szCs w:val="15"/>
                <w:b w:val="1"/>
                <w:bCs w:val="1"/>
                <w:color w:val="FFFFFF"/>
              </w:rPr>
              <w:t>DEFINED BENEFIT PLAN ASSETS</w:t>
            </w:r>
          </w:p>
        </w:tc>
        <w:tc>
          <w:tcPr>
            <w:tcW w:w="5840" w:type="dxa"/>
            <w:vAlign w:val="bottom"/>
            <w:gridSpan w:val="3"/>
            <w:shd w:val="clear" w:color="auto" w:fill="333333"/>
          </w:tcPr>
          <w:p>
            <w:pPr>
              <w:jc w:val="right"/>
              <w:ind w:right="28"/>
              <w:spacing w:after="0" w:line="162" w:lineRule="exact"/>
              <w:rPr>
                <w:sz w:val="20"/>
                <w:szCs w:val="20"/>
                <w:color w:val="auto"/>
              </w:rPr>
            </w:pPr>
            <w:r>
              <w:rPr>
                <w:rFonts w:ascii="Arial" w:cs="Arial" w:eastAsia="Arial" w:hAnsi="Arial"/>
                <w:sz w:val="15"/>
                <w:szCs w:val="15"/>
                <w:color w:val="FFFFFF"/>
              </w:rPr>
              <w:t>$ MILLION, EXCEPT WHERE OTHERWISE INDICATED</w:t>
            </w:r>
          </w:p>
        </w:tc>
        <w:tc>
          <w:tcPr>
            <w:tcW w:w="0" w:type="dxa"/>
            <w:vAlign w:val="bottom"/>
          </w:tcPr>
          <w:p>
            <w:pPr>
              <w:spacing w:after="0"/>
              <w:rPr>
                <w:sz w:val="1"/>
                <w:szCs w:val="1"/>
                <w:color w:val="auto"/>
              </w:rPr>
            </w:pPr>
          </w:p>
        </w:tc>
      </w:tr>
      <w:tr>
        <w:trPr>
          <w:trHeight w:val="149"/>
        </w:trPr>
        <w:tc>
          <w:tcPr>
            <w:tcW w:w="1980" w:type="dxa"/>
            <w:vAlign w:val="bottom"/>
            <w:tcBorders>
              <w:bottom w:val="single" w:sz="8" w:color="auto"/>
            </w:tcBorders>
          </w:tcPr>
          <w:p>
            <w:pPr>
              <w:spacing w:after="0"/>
              <w:rPr>
                <w:sz w:val="12"/>
                <w:szCs w:val="12"/>
                <w:color w:val="auto"/>
              </w:rPr>
            </w:pPr>
          </w:p>
        </w:tc>
        <w:tc>
          <w:tcPr>
            <w:tcW w:w="3600" w:type="dxa"/>
            <w:vAlign w:val="bottom"/>
            <w:tcBorders>
              <w:bottom w:val="single" w:sz="8" w:color="auto"/>
            </w:tcBorders>
          </w:tcPr>
          <w:p>
            <w:pPr>
              <w:spacing w:after="0"/>
              <w:rPr>
                <w:sz w:val="12"/>
                <w:szCs w:val="12"/>
                <w:color w:val="auto"/>
              </w:rPr>
            </w:pPr>
          </w:p>
        </w:tc>
        <w:tc>
          <w:tcPr>
            <w:tcW w:w="378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shd w:val="clear" w:color="auto" w:fill="D8D8D8"/>
          </w:tcPr>
          <w:p>
            <w:pPr>
              <w:jc w:val="right"/>
              <w:ind w:right="148"/>
              <w:spacing w:after="0"/>
              <w:rPr>
                <w:sz w:val="20"/>
                <w:szCs w:val="20"/>
                <w:color w:val="auto"/>
              </w:rPr>
            </w:pPr>
            <w:r>
              <w:rPr>
                <w:rFonts w:ascii="Arial" w:cs="Arial" w:eastAsia="Arial" w:hAnsi="Arial"/>
                <w:sz w:val="13"/>
                <w:szCs w:val="13"/>
                <w:color w:val="auto"/>
              </w:rPr>
              <w:t>2014</w:t>
            </w:r>
          </w:p>
        </w:tc>
        <w:tc>
          <w:tcPr>
            <w:tcW w:w="1040" w:type="dxa"/>
            <w:vAlign w:val="bottom"/>
            <w:tcBorders>
              <w:bottom w:val="single" w:sz="8" w:color="auto"/>
            </w:tcBorders>
          </w:tcPr>
          <w:p>
            <w:pPr>
              <w:jc w:val="right"/>
              <w:ind w:right="148"/>
              <w:spacing w:after="0"/>
              <w:rPr>
                <w:sz w:val="20"/>
                <w:szCs w:val="20"/>
                <w:color w:val="auto"/>
              </w:rPr>
            </w:pPr>
            <w:r>
              <w:rPr>
                <w:rFonts w:ascii="Arial" w:cs="Arial" w:eastAsia="Arial" w:hAnsi="Arial"/>
                <w:sz w:val="13"/>
                <w:szCs w:val="13"/>
                <w:color w:val="auto"/>
              </w:rPr>
              <w:t>2013</w:t>
            </w:r>
          </w:p>
        </w:tc>
        <w:tc>
          <w:tcPr>
            <w:tcW w:w="0" w:type="dxa"/>
            <w:vAlign w:val="bottom"/>
          </w:tcPr>
          <w:p>
            <w:pPr>
              <w:spacing w:after="0"/>
              <w:rPr>
                <w:sz w:val="1"/>
                <w:szCs w:val="1"/>
                <w:color w:val="auto"/>
              </w:rPr>
            </w:pPr>
          </w:p>
        </w:tc>
      </w:tr>
      <w:tr>
        <w:trPr>
          <w:trHeight w:val="156"/>
        </w:trPr>
        <w:tc>
          <w:tcPr>
            <w:tcW w:w="1980" w:type="dxa"/>
            <w:vAlign w:val="bottom"/>
          </w:tcPr>
          <w:p>
            <w:pPr>
              <w:spacing w:after="0" w:line="155" w:lineRule="exact"/>
              <w:rPr>
                <w:sz w:val="20"/>
                <w:szCs w:val="20"/>
                <w:color w:val="auto"/>
              </w:rPr>
            </w:pPr>
            <w:r>
              <w:rPr>
                <w:rFonts w:ascii="Arial" w:cs="Arial" w:eastAsia="Arial" w:hAnsi="Arial"/>
                <w:sz w:val="14"/>
                <w:szCs w:val="14"/>
                <w:color w:val="auto"/>
              </w:rPr>
              <w:t>At January 1</w:t>
            </w:r>
          </w:p>
        </w:tc>
        <w:tc>
          <w:tcPr>
            <w:tcW w:w="3600" w:type="dxa"/>
            <w:vAlign w:val="bottom"/>
          </w:tcPr>
          <w:p>
            <w:pPr>
              <w:spacing w:after="0"/>
              <w:rPr>
                <w:sz w:val="13"/>
                <w:szCs w:val="13"/>
                <w:color w:val="auto"/>
              </w:rPr>
            </w:pPr>
          </w:p>
        </w:tc>
        <w:tc>
          <w:tcPr>
            <w:tcW w:w="3780" w:type="dxa"/>
            <w:vAlign w:val="bottom"/>
          </w:tcPr>
          <w:p>
            <w:pPr>
              <w:spacing w:after="0"/>
              <w:rPr>
                <w:sz w:val="13"/>
                <w:szCs w:val="13"/>
                <w:color w:val="auto"/>
              </w:rPr>
            </w:pPr>
          </w:p>
        </w:tc>
        <w:tc>
          <w:tcPr>
            <w:tcW w:w="1020" w:type="dxa"/>
            <w:vAlign w:val="bottom"/>
            <w:shd w:val="clear" w:color="auto" w:fill="D8D8D8"/>
          </w:tcPr>
          <w:p>
            <w:pPr>
              <w:jc w:val="right"/>
              <w:ind w:right="148"/>
              <w:spacing w:after="0" w:line="155" w:lineRule="exact"/>
              <w:rPr>
                <w:sz w:val="20"/>
                <w:szCs w:val="20"/>
                <w:color w:val="auto"/>
              </w:rPr>
            </w:pPr>
            <w:r>
              <w:rPr>
                <w:rFonts w:ascii="Arial" w:cs="Arial" w:eastAsia="Arial" w:hAnsi="Arial"/>
                <w:sz w:val="14"/>
                <w:szCs w:val="14"/>
                <w:color w:val="auto"/>
              </w:rPr>
              <w:t>85,543</w:t>
            </w:r>
          </w:p>
        </w:tc>
        <w:tc>
          <w:tcPr>
            <w:tcW w:w="1040" w:type="dxa"/>
            <w:vAlign w:val="bottom"/>
          </w:tcPr>
          <w:p>
            <w:pPr>
              <w:jc w:val="right"/>
              <w:ind w:right="148"/>
              <w:spacing w:after="0" w:line="155" w:lineRule="exact"/>
              <w:rPr>
                <w:sz w:val="20"/>
                <w:szCs w:val="20"/>
                <w:color w:val="auto"/>
              </w:rPr>
            </w:pPr>
            <w:r>
              <w:rPr>
                <w:rFonts w:ascii="Arial" w:cs="Arial" w:eastAsia="Arial" w:hAnsi="Arial"/>
                <w:sz w:val="14"/>
                <w:szCs w:val="14"/>
                <w:color w:val="auto"/>
              </w:rPr>
              <w:t>72,935</w:t>
            </w:r>
          </w:p>
        </w:tc>
        <w:tc>
          <w:tcPr>
            <w:tcW w:w="0" w:type="dxa"/>
            <w:vAlign w:val="bottom"/>
          </w:tcPr>
          <w:p>
            <w:pPr>
              <w:spacing w:after="0"/>
              <w:rPr>
                <w:sz w:val="1"/>
                <w:szCs w:val="1"/>
                <w:color w:val="auto"/>
              </w:rPr>
            </w:pPr>
          </w:p>
        </w:tc>
      </w:tr>
      <w:tr>
        <w:trPr>
          <w:trHeight w:val="162"/>
        </w:trPr>
        <w:tc>
          <w:tcPr>
            <w:tcW w:w="5580" w:type="dxa"/>
            <w:vAlign w:val="bottom"/>
            <w:gridSpan w:val="2"/>
          </w:tcPr>
          <w:p>
            <w:pPr>
              <w:spacing w:after="0"/>
              <w:rPr>
                <w:sz w:val="20"/>
                <w:szCs w:val="20"/>
                <w:color w:val="auto"/>
              </w:rPr>
            </w:pPr>
            <w:r>
              <w:rPr>
                <w:rFonts w:ascii="Arial" w:cs="Arial" w:eastAsia="Arial" w:hAnsi="Arial"/>
                <w:sz w:val="14"/>
                <w:szCs w:val="14"/>
                <w:color w:val="auto"/>
              </w:rPr>
              <w:t>Return on plan assets (in excess of interest income)</w:t>
            </w:r>
          </w:p>
        </w:tc>
        <w:tc>
          <w:tcPr>
            <w:tcW w:w="3780" w:type="dxa"/>
            <w:vAlign w:val="bottom"/>
          </w:tcPr>
          <w:p>
            <w:pPr>
              <w:spacing w:after="0"/>
              <w:rPr>
                <w:sz w:val="14"/>
                <w:szCs w:val="14"/>
                <w:color w:val="auto"/>
              </w:rPr>
            </w:pPr>
          </w:p>
        </w:tc>
        <w:tc>
          <w:tcPr>
            <w:tcW w:w="1020" w:type="dxa"/>
            <w:vAlign w:val="bottom"/>
            <w:shd w:val="clear" w:color="auto" w:fill="D8D8D8"/>
          </w:tcPr>
          <w:p>
            <w:pPr>
              <w:jc w:val="right"/>
              <w:ind w:right="148"/>
              <w:spacing w:after="0"/>
              <w:rPr>
                <w:sz w:val="20"/>
                <w:szCs w:val="20"/>
                <w:color w:val="auto"/>
              </w:rPr>
            </w:pPr>
            <w:r>
              <w:rPr>
                <w:rFonts w:ascii="Arial" w:cs="Arial" w:eastAsia="Arial" w:hAnsi="Arial"/>
                <w:sz w:val="14"/>
                <w:szCs w:val="14"/>
                <w:color w:val="auto"/>
              </w:rPr>
              <w:t>6,139</w:t>
            </w:r>
          </w:p>
        </w:tc>
        <w:tc>
          <w:tcPr>
            <w:tcW w:w="1040" w:type="dxa"/>
            <w:vAlign w:val="bottom"/>
          </w:tcPr>
          <w:p>
            <w:pPr>
              <w:jc w:val="right"/>
              <w:ind w:right="148"/>
              <w:spacing w:after="0"/>
              <w:rPr>
                <w:sz w:val="20"/>
                <w:szCs w:val="20"/>
                <w:color w:val="auto"/>
              </w:rPr>
            </w:pPr>
            <w:r>
              <w:rPr>
                <w:rFonts w:ascii="Arial" w:cs="Arial" w:eastAsia="Arial" w:hAnsi="Arial"/>
                <w:sz w:val="14"/>
                <w:szCs w:val="14"/>
                <w:color w:val="auto"/>
              </w:rPr>
              <w:t>4,567</w:t>
            </w:r>
          </w:p>
        </w:tc>
        <w:tc>
          <w:tcPr>
            <w:tcW w:w="0" w:type="dxa"/>
            <w:vAlign w:val="bottom"/>
          </w:tcPr>
          <w:p>
            <w:pPr>
              <w:spacing w:after="0"/>
              <w:rPr>
                <w:sz w:val="1"/>
                <w:szCs w:val="1"/>
                <w:color w:val="auto"/>
              </w:rPr>
            </w:pPr>
          </w:p>
        </w:tc>
      </w:tr>
      <w:tr>
        <w:trPr>
          <w:trHeight w:val="167"/>
        </w:trPr>
        <w:tc>
          <w:tcPr>
            <w:tcW w:w="1980" w:type="dxa"/>
            <w:vAlign w:val="bottom"/>
          </w:tcPr>
          <w:p>
            <w:pPr>
              <w:spacing w:after="0"/>
              <w:rPr>
                <w:sz w:val="20"/>
                <w:szCs w:val="20"/>
                <w:color w:val="auto"/>
              </w:rPr>
            </w:pPr>
            <w:r>
              <w:rPr>
                <w:rFonts w:ascii="Arial" w:cs="Arial" w:eastAsia="Arial" w:hAnsi="Arial"/>
                <w:sz w:val="14"/>
                <w:szCs w:val="14"/>
                <w:color w:val="auto"/>
              </w:rPr>
              <w:t>Interest income</w:t>
            </w:r>
          </w:p>
        </w:tc>
        <w:tc>
          <w:tcPr>
            <w:tcW w:w="3600" w:type="dxa"/>
            <w:vAlign w:val="bottom"/>
          </w:tcPr>
          <w:p>
            <w:pPr>
              <w:spacing w:after="0"/>
              <w:rPr>
                <w:sz w:val="14"/>
                <w:szCs w:val="14"/>
                <w:color w:val="auto"/>
              </w:rPr>
            </w:pPr>
          </w:p>
        </w:tc>
        <w:tc>
          <w:tcPr>
            <w:tcW w:w="3780" w:type="dxa"/>
            <w:vAlign w:val="bottom"/>
          </w:tcPr>
          <w:p>
            <w:pPr>
              <w:spacing w:after="0"/>
              <w:rPr>
                <w:sz w:val="14"/>
                <w:szCs w:val="14"/>
                <w:color w:val="auto"/>
              </w:rPr>
            </w:pPr>
          </w:p>
        </w:tc>
        <w:tc>
          <w:tcPr>
            <w:tcW w:w="1020" w:type="dxa"/>
            <w:vAlign w:val="bottom"/>
            <w:shd w:val="clear" w:color="auto" w:fill="D8D8D8"/>
          </w:tcPr>
          <w:p>
            <w:pPr>
              <w:jc w:val="right"/>
              <w:ind w:right="148"/>
              <w:spacing w:after="0"/>
              <w:rPr>
                <w:sz w:val="20"/>
                <w:szCs w:val="20"/>
                <w:color w:val="auto"/>
              </w:rPr>
            </w:pPr>
            <w:r>
              <w:rPr>
                <w:rFonts w:ascii="Arial" w:cs="Arial" w:eastAsia="Arial" w:hAnsi="Arial"/>
                <w:sz w:val="14"/>
                <w:szCs w:val="14"/>
                <w:color w:val="auto"/>
              </w:rPr>
              <w:t>3,524</w:t>
            </w:r>
          </w:p>
        </w:tc>
        <w:tc>
          <w:tcPr>
            <w:tcW w:w="1040" w:type="dxa"/>
            <w:vAlign w:val="bottom"/>
          </w:tcPr>
          <w:p>
            <w:pPr>
              <w:jc w:val="right"/>
              <w:ind w:right="148"/>
              <w:spacing w:after="0"/>
              <w:rPr>
                <w:sz w:val="20"/>
                <w:szCs w:val="20"/>
                <w:color w:val="auto"/>
              </w:rPr>
            </w:pPr>
            <w:r>
              <w:rPr>
                <w:rFonts w:ascii="Arial" w:cs="Arial" w:eastAsia="Arial" w:hAnsi="Arial"/>
                <w:sz w:val="14"/>
                <w:szCs w:val="14"/>
                <w:color w:val="auto"/>
              </w:rPr>
              <w:t>3,030</w:t>
            </w:r>
          </w:p>
        </w:tc>
        <w:tc>
          <w:tcPr>
            <w:tcW w:w="0" w:type="dxa"/>
            <w:vAlign w:val="bottom"/>
          </w:tcPr>
          <w:p>
            <w:pPr>
              <w:spacing w:after="0"/>
              <w:rPr>
                <w:sz w:val="1"/>
                <w:szCs w:val="1"/>
                <w:color w:val="auto"/>
              </w:rPr>
            </w:pPr>
          </w:p>
        </w:tc>
      </w:tr>
      <w:tr>
        <w:trPr>
          <w:trHeight w:val="162"/>
        </w:trPr>
        <w:tc>
          <w:tcPr>
            <w:tcW w:w="1980" w:type="dxa"/>
            <w:vAlign w:val="bottom"/>
          </w:tcPr>
          <w:p>
            <w:pPr>
              <w:spacing w:after="0"/>
              <w:rPr>
                <w:sz w:val="20"/>
                <w:szCs w:val="20"/>
                <w:color w:val="auto"/>
              </w:rPr>
            </w:pPr>
            <w:r>
              <w:rPr>
                <w:rFonts w:ascii="Arial" w:cs="Arial" w:eastAsia="Arial" w:hAnsi="Arial"/>
                <w:sz w:val="14"/>
                <w:szCs w:val="14"/>
                <w:color w:val="auto"/>
              </w:rPr>
              <w:t>Employer contributions</w:t>
            </w:r>
          </w:p>
        </w:tc>
        <w:tc>
          <w:tcPr>
            <w:tcW w:w="3600" w:type="dxa"/>
            <w:vAlign w:val="bottom"/>
          </w:tcPr>
          <w:p>
            <w:pPr>
              <w:spacing w:after="0"/>
              <w:rPr>
                <w:sz w:val="14"/>
                <w:szCs w:val="14"/>
                <w:color w:val="auto"/>
              </w:rPr>
            </w:pPr>
          </w:p>
        </w:tc>
        <w:tc>
          <w:tcPr>
            <w:tcW w:w="3780" w:type="dxa"/>
            <w:vAlign w:val="bottom"/>
          </w:tcPr>
          <w:p>
            <w:pPr>
              <w:spacing w:after="0"/>
              <w:rPr>
                <w:sz w:val="14"/>
                <w:szCs w:val="14"/>
                <w:color w:val="auto"/>
              </w:rPr>
            </w:pPr>
          </w:p>
        </w:tc>
        <w:tc>
          <w:tcPr>
            <w:tcW w:w="1020" w:type="dxa"/>
            <w:vAlign w:val="bottom"/>
            <w:shd w:val="clear" w:color="auto" w:fill="D8D8D8"/>
          </w:tcPr>
          <w:p>
            <w:pPr>
              <w:jc w:val="right"/>
              <w:ind w:right="148"/>
              <w:spacing w:after="0"/>
              <w:rPr>
                <w:sz w:val="20"/>
                <w:szCs w:val="20"/>
                <w:color w:val="auto"/>
              </w:rPr>
            </w:pPr>
            <w:r>
              <w:rPr>
                <w:rFonts w:ascii="Arial" w:cs="Arial" w:eastAsia="Arial" w:hAnsi="Arial"/>
                <w:sz w:val="14"/>
                <w:szCs w:val="14"/>
                <w:color w:val="auto"/>
              </w:rPr>
              <w:t>1,833</w:t>
            </w:r>
          </w:p>
        </w:tc>
        <w:tc>
          <w:tcPr>
            <w:tcW w:w="1040" w:type="dxa"/>
            <w:vAlign w:val="bottom"/>
          </w:tcPr>
          <w:p>
            <w:pPr>
              <w:jc w:val="right"/>
              <w:ind w:right="148"/>
              <w:spacing w:after="0"/>
              <w:rPr>
                <w:sz w:val="20"/>
                <w:szCs w:val="20"/>
                <w:color w:val="auto"/>
              </w:rPr>
            </w:pPr>
            <w:r>
              <w:rPr>
                <w:rFonts w:ascii="Arial" w:cs="Arial" w:eastAsia="Arial" w:hAnsi="Arial"/>
                <w:sz w:val="14"/>
                <w:szCs w:val="14"/>
                <w:color w:val="auto"/>
              </w:rPr>
              <w:t>2,578</w:t>
            </w:r>
          </w:p>
        </w:tc>
        <w:tc>
          <w:tcPr>
            <w:tcW w:w="0" w:type="dxa"/>
            <w:vAlign w:val="bottom"/>
          </w:tcPr>
          <w:p>
            <w:pPr>
              <w:spacing w:after="0"/>
              <w:rPr>
                <w:sz w:val="1"/>
                <w:szCs w:val="1"/>
                <w:color w:val="auto"/>
              </w:rPr>
            </w:pPr>
          </w:p>
        </w:tc>
      </w:tr>
      <w:tr>
        <w:trPr>
          <w:trHeight w:val="162"/>
        </w:trPr>
        <w:tc>
          <w:tcPr>
            <w:tcW w:w="1980" w:type="dxa"/>
            <w:vAlign w:val="bottom"/>
          </w:tcPr>
          <w:p>
            <w:pPr>
              <w:spacing w:after="0"/>
              <w:rPr>
                <w:sz w:val="20"/>
                <w:szCs w:val="20"/>
                <w:color w:val="auto"/>
              </w:rPr>
            </w:pPr>
            <w:r>
              <w:rPr>
                <w:rFonts w:ascii="Arial" w:cs="Arial" w:eastAsia="Arial" w:hAnsi="Arial"/>
                <w:sz w:val="14"/>
                <w:szCs w:val="14"/>
                <w:color w:val="auto"/>
              </w:rPr>
              <w:t>Plan participants’ contributions</w:t>
            </w:r>
          </w:p>
        </w:tc>
        <w:tc>
          <w:tcPr>
            <w:tcW w:w="3600" w:type="dxa"/>
            <w:vAlign w:val="bottom"/>
          </w:tcPr>
          <w:p>
            <w:pPr>
              <w:spacing w:after="0"/>
              <w:rPr>
                <w:sz w:val="14"/>
                <w:szCs w:val="14"/>
                <w:color w:val="auto"/>
              </w:rPr>
            </w:pPr>
          </w:p>
        </w:tc>
        <w:tc>
          <w:tcPr>
            <w:tcW w:w="3780" w:type="dxa"/>
            <w:vAlign w:val="bottom"/>
          </w:tcPr>
          <w:p>
            <w:pPr>
              <w:spacing w:after="0"/>
              <w:rPr>
                <w:sz w:val="14"/>
                <w:szCs w:val="14"/>
                <w:color w:val="auto"/>
              </w:rPr>
            </w:pPr>
          </w:p>
        </w:tc>
        <w:tc>
          <w:tcPr>
            <w:tcW w:w="1020" w:type="dxa"/>
            <w:vAlign w:val="bottom"/>
            <w:shd w:val="clear" w:color="auto" w:fill="D8D8D8"/>
          </w:tcPr>
          <w:p>
            <w:pPr>
              <w:jc w:val="right"/>
              <w:ind w:right="148"/>
              <w:spacing w:after="0"/>
              <w:rPr>
                <w:sz w:val="20"/>
                <w:szCs w:val="20"/>
                <w:color w:val="auto"/>
              </w:rPr>
            </w:pPr>
            <w:r>
              <w:rPr>
                <w:rFonts w:ascii="Arial" w:cs="Arial" w:eastAsia="Arial" w:hAnsi="Arial"/>
                <w:sz w:val="14"/>
                <w:szCs w:val="14"/>
                <w:color w:val="auto"/>
              </w:rPr>
              <w:t>95</w:t>
            </w:r>
          </w:p>
        </w:tc>
        <w:tc>
          <w:tcPr>
            <w:tcW w:w="1040" w:type="dxa"/>
            <w:vAlign w:val="bottom"/>
          </w:tcPr>
          <w:p>
            <w:pPr>
              <w:jc w:val="right"/>
              <w:ind w:right="148"/>
              <w:spacing w:after="0"/>
              <w:rPr>
                <w:sz w:val="20"/>
                <w:szCs w:val="20"/>
                <w:color w:val="auto"/>
              </w:rPr>
            </w:pPr>
            <w:r>
              <w:rPr>
                <w:rFonts w:ascii="Arial" w:cs="Arial" w:eastAsia="Arial" w:hAnsi="Arial"/>
                <w:sz w:val="14"/>
                <w:szCs w:val="14"/>
                <w:color w:val="auto"/>
              </w:rPr>
              <w:t>91</w:t>
            </w:r>
          </w:p>
        </w:tc>
        <w:tc>
          <w:tcPr>
            <w:tcW w:w="0" w:type="dxa"/>
            <w:vAlign w:val="bottom"/>
          </w:tcPr>
          <w:p>
            <w:pPr>
              <w:spacing w:after="0"/>
              <w:rPr>
                <w:sz w:val="1"/>
                <w:szCs w:val="1"/>
                <w:color w:val="auto"/>
              </w:rPr>
            </w:pPr>
          </w:p>
        </w:tc>
      </w:tr>
      <w:tr>
        <w:trPr>
          <w:trHeight w:val="162"/>
        </w:trPr>
        <w:tc>
          <w:tcPr>
            <w:tcW w:w="1980" w:type="dxa"/>
            <w:vAlign w:val="bottom"/>
          </w:tcPr>
          <w:p>
            <w:pPr>
              <w:spacing w:after="0"/>
              <w:rPr>
                <w:sz w:val="20"/>
                <w:szCs w:val="20"/>
                <w:color w:val="auto"/>
              </w:rPr>
            </w:pPr>
            <w:r>
              <w:rPr>
                <w:rFonts w:ascii="Arial" w:cs="Arial" w:eastAsia="Arial" w:hAnsi="Arial"/>
                <w:sz w:val="14"/>
                <w:szCs w:val="14"/>
                <w:color w:val="auto"/>
              </w:rPr>
              <w:t>Benefit payments</w:t>
            </w:r>
          </w:p>
        </w:tc>
        <w:tc>
          <w:tcPr>
            <w:tcW w:w="3600" w:type="dxa"/>
            <w:vAlign w:val="bottom"/>
          </w:tcPr>
          <w:p>
            <w:pPr>
              <w:spacing w:after="0"/>
              <w:rPr>
                <w:sz w:val="14"/>
                <w:szCs w:val="14"/>
                <w:color w:val="auto"/>
              </w:rPr>
            </w:pPr>
          </w:p>
        </w:tc>
        <w:tc>
          <w:tcPr>
            <w:tcW w:w="3780" w:type="dxa"/>
            <w:vAlign w:val="bottom"/>
          </w:tcPr>
          <w:p>
            <w:pPr>
              <w:spacing w:after="0"/>
              <w:rPr>
                <w:sz w:val="14"/>
                <w:szCs w:val="14"/>
                <w:color w:val="auto"/>
              </w:rPr>
            </w:pPr>
          </w:p>
        </w:tc>
        <w:tc>
          <w:tcPr>
            <w:tcW w:w="1020" w:type="dxa"/>
            <w:vAlign w:val="bottom"/>
            <w:shd w:val="clear" w:color="auto" w:fill="D8D8D8"/>
          </w:tcPr>
          <w:p>
            <w:pPr>
              <w:jc w:val="right"/>
              <w:ind w:right="148"/>
              <w:spacing w:after="0"/>
              <w:rPr>
                <w:sz w:val="20"/>
                <w:szCs w:val="20"/>
                <w:color w:val="auto"/>
              </w:rPr>
            </w:pPr>
            <w:r>
              <w:rPr>
                <w:rFonts w:ascii="Arial" w:cs="Arial" w:eastAsia="Arial" w:hAnsi="Arial"/>
                <w:sz w:val="14"/>
                <w:szCs w:val="14"/>
                <w:color w:val="auto"/>
              </w:rPr>
              <w:t>(3,487)</w:t>
            </w:r>
          </w:p>
        </w:tc>
        <w:tc>
          <w:tcPr>
            <w:tcW w:w="1040" w:type="dxa"/>
            <w:vAlign w:val="bottom"/>
          </w:tcPr>
          <w:p>
            <w:pPr>
              <w:jc w:val="right"/>
              <w:ind w:right="88"/>
              <w:spacing w:after="0"/>
              <w:rPr>
                <w:sz w:val="20"/>
                <w:szCs w:val="20"/>
                <w:color w:val="auto"/>
              </w:rPr>
            </w:pPr>
            <w:r>
              <w:rPr>
                <w:rFonts w:ascii="Arial" w:cs="Arial" w:eastAsia="Arial" w:hAnsi="Arial"/>
                <w:sz w:val="14"/>
                <w:szCs w:val="14"/>
                <w:color w:val="auto"/>
              </w:rPr>
              <w:t>(3,403)</w:t>
            </w:r>
          </w:p>
        </w:tc>
        <w:tc>
          <w:tcPr>
            <w:tcW w:w="0" w:type="dxa"/>
            <w:vAlign w:val="bottom"/>
          </w:tcPr>
          <w:p>
            <w:pPr>
              <w:spacing w:after="0"/>
              <w:rPr>
                <w:sz w:val="1"/>
                <w:szCs w:val="1"/>
                <w:color w:val="auto"/>
              </w:rPr>
            </w:pPr>
          </w:p>
        </w:tc>
      </w:tr>
      <w:tr>
        <w:trPr>
          <w:trHeight w:val="162"/>
        </w:trPr>
        <w:tc>
          <w:tcPr>
            <w:tcW w:w="1980" w:type="dxa"/>
            <w:vAlign w:val="bottom"/>
          </w:tcPr>
          <w:p>
            <w:pPr>
              <w:spacing w:after="0"/>
              <w:rPr>
                <w:sz w:val="20"/>
                <w:szCs w:val="20"/>
                <w:color w:val="auto"/>
              </w:rPr>
            </w:pPr>
            <w:r>
              <w:rPr>
                <w:rFonts w:ascii="Arial" w:cs="Arial" w:eastAsia="Arial" w:hAnsi="Arial"/>
                <w:sz w:val="14"/>
                <w:szCs w:val="14"/>
                <w:color w:val="auto"/>
              </w:rPr>
              <w:t>Other movements</w:t>
            </w:r>
          </w:p>
        </w:tc>
        <w:tc>
          <w:tcPr>
            <w:tcW w:w="3600" w:type="dxa"/>
            <w:vAlign w:val="bottom"/>
          </w:tcPr>
          <w:p>
            <w:pPr>
              <w:spacing w:after="0"/>
              <w:rPr>
                <w:sz w:val="14"/>
                <w:szCs w:val="14"/>
                <w:color w:val="auto"/>
              </w:rPr>
            </w:pPr>
          </w:p>
        </w:tc>
        <w:tc>
          <w:tcPr>
            <w:tcW w:w="3780" w:type="dxa"/>
            <w:vAlign w:val="bottom"/>
          </w:tcPr>
          <w:p>
            <w:pPr>
              <w:spacing w:after="0"/>
              <w:rPr>
                <w:sz w:val="14"/>
                <w:szCs w:val="14"/>
                <w:color w:val="auto"/>
              </w:rPr>
            </w:pPr>
          </w:p>
        </w:tc>
        <w:tc>
          <w:tcPr>
            <w:tcW w:w="1020" w:type="dxa"/>
            <w:vAlign w:val="bottom"/>
            <w:shd w:val="clear" w:color="auto" w:fill="D8D8D8"/>
          </w:tcPr>
          <w:p>
            <w:pPr>
              <w:jc w:val="right"/>
              <w:ind w:right="148"/>
              <w:spacing w:after="0"/>
              <w:rPr>
                <w:sz w:val="20"/>
                <w:szCs w:val="20"/>
                <w:color w:val="auto"/>
              </w:rPr>
            </w:pPr>
            <w:r>
              <w:rPr>
                <w:rFonts w:ascii="Arial" w:cs="Arial" w:eastAsia="Arial" w:hAnsi="Arial"/>
                <w:sz w:val="14"/>
                <w:szCs w:val="14"/>
                <w:color w:val="auto"/>
              </w:rPr>
              <w:t>(344)</w:t>
            </w:r>
          </w:p>
        </w:tc>
        <w:tc>
          <w:tcPr>
            <w:tcW w:w="1040" w:type="dxa"/>
            <w:vAlign w:val="bottom"/>
          </w:tcPr>
          <w:p>
            <w:pPr>
              <w:jc w:val="right"/>
              <w:ind w:right="148"/>
              <w:spacing w:after="0"/>
              <w:rPr>
                <w:sz w:val="20"/>
                <w:szCs w:val="20"/>
                <w:color w:val="auto"/>
              </w:rPr>
            </w:pPr>
            <w:r>
              <w:rPr>
                <w:rFonts w:ascii="Arial" w:cs="Arial" w:eastAsia="Arial" w:hAnsi="Arial"/>
                <w:sz w:val="14"/>
                <w:szCs w:val="14"/>
                <w:color w:val="auto"/>
              </w:rPr>
              <w:t>3,917</w:t>
            </w:r>
          </w:p>
        </w:tc>
        <w:tc>
          <w:tcPr>
            <w:tcW w:w="0" w:type="dxa"/>
            <w:vAlign w:val="bottom"/>
          </w:tcPr>
          <w:p>
            <w:pPr>
              <w:spacing w:after="0"/>
              <w:rPr>
                <w:sz w:val="1"/>
                <w:szCs w:val="1"/>
                <w:color w:val="auto"/>
              </w:rPr>
            </w:pPr>
          </w:p>
        </w:tc>
      </w:tr>
      <w:tr>
        <w:trPr>
          <w:trHeight w:val="157"/>
        </w:trPr>
        <w:tc>
          <w:tcPr>
            <w:tcW w:w="5580" w:type="dxa"/>
            <w:vAlign w:val="bottom"/>
            <w:tcBorders>
              <w:bottom w:val="single" w:sz="8" w:color="auto"/>
            </w:tcBorders>
            <w:gridSpan w:val="2"/>
          </w:tcPr>
          <w:p>
            <w:pPr>
              <w:spacing w:after="0" w:line="157" w:lineRule="exact"/>
              <w:rPr>
                <w:sz w:val="20"/>
                <w:szCs w:val="20"/>
                <w:color w:val="auto"/>
              </w:rPr>
            </w:pPr>
            <w:r>
              <w:rPr>
                <w:rFonts w:ascii="Arial" w:cs="Arial" w:eastAsia="Arial" w:hAnsi="Arial"/>
                <w:sz w:val="14"/>
                <w:szCs w:val="14"/>
                <w:color w:val="auto"/>
              </w:rPr>
              <w:t>Currency translation differences</w:t>
            </w:r>
          </w:p>
        </w:tc>
        <w:tc>
          <w:tcPr>
            <w:tcW w:w="378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shd w:val="clear" w:color="auto" w:fill="D8D8D8"/>
          </w:tcPr>
          <w:p>
            <w:pPr>
              <w:jc w:val="right"/>
              <w:ind w:right="148"/>
              <w:spacing w:after="0" w:line="157" w:lineRule="exact"/>
              <w:rPr>
                <w:sz w:val="20"/>
                <w:szCs w:val="20"/>
                <w:color w:val="auto"/>
              </w:rPr>
            </w:pPr>
            <w:r>
              <w:rPr>
                <w:rFonts w:ascii="Arial" w:cs="Arial" w:eastAsia="Arial" w:hAnsi="Arial"/>
                <w:sz w:val="14"/>
                <w:szCs w:val="14"/>
                <w:color w:val="auto"/>
              </w:rPr>
              <w:t>(6,985)</w:t>
            </w:r>
          </w:p>
        </w:tc>
        <w:tc>
          <w:tcPr>
            <w:tcW w:w="1040" w:type="dxa"/>
            <w:vAlign w:val="bottom"/>
            <w:tcBorders>
              <w:bottom w:val="single" w:sz="8" w:color="auto"/>
            </w:tcBorders>
          </w:tcPr>
          <w:p>
            <w:pPr>
              <w:jc w:val="right"/>
              <w:ind w:right="148"/>
              <w:spacing w:after="0" w:line="157" w:lineRule="exact"/>
              <w:rPr>
                <w:sz w:val="20"/>
                <w:szCs w:val="20"/>
                <w:color w:val="auto"/>
              </w:rPr>
            </w:pPr>
            <w:r>
              <w:rPr>
                <w:rFonts w:ascii="Arial" w:cs="Arial" w:eastAsia="Arial" w:hAnsi="Arial"/>
                <w:sz w:val="14"/>
                <w:szCs w:val="14"/>
                <w:color w:val="auto"/>
              </w:rPr>
              <w:t>1,828</w:t>
            </w:r>
          </w:p>
        </w:tc>
        <w:tc>
          <w:tcPr>
            <w:tcW w:w="0" w:type="dxa"/>
            <w:vAlign w:val="bottom"/>
          </w:tcPr>
          <w:p>
            <w:pPr>
              <w:spacing w:after="0"/>
              <w:rPr>
                <w:sz w:val="1"/>
                <w:szCs w:val="1"/>
                <w:color w:val="auto"/>
              </w:rPr>
            </w:pPr>
          </w:p>
        </w:tc>
      </w:tr>
      <w:tr>
        <w:trPr>
          <w:trHeight w:val="156"/>
        </w:trPr>
        <w:tc>
          <w:tcPr>
            <w:tcW w:w="1980" w:type="dxa"/>
            <w:vAlign w:val="bottom"/>
            <w:tcBorders>
              <w:bottom w:val="single" w:sz="8" w:color="auto"/>
            </w:tcBorders>
          </w:tcPr>
          <w:p>
            <w:pPr>
              <w:spacing w:after="0" w:line="155" w:lineRule="exact"/>
              <w:rPr>
                <w:sz w:val="20"/>
                <w:szCs w:val="20"/>
                <w:color w:val="auto"/>
              </w:rPr>
            </w:pPr>
            <w:r>
              <w:rPr>
                <w:rFonts w:ascii="Arial" w:cs="Arial" w:eastAsia="Arial" w:hAnsi="Arial"/>
                <w:sz w:val="14"/>
                <w:szCs w:val="14"/>
                <w:color w:val="auto"/>
              </w:rPr>
              <w:t>At December 31</w:t>
            </w:r>
          </w:p>
        </w:tc>
        <w:tc>
          <w:tcPr>
            <w:tcW w:w="3600" w:type="dxa"/>
            <w:vAlign w:val="bottom"/>
            <w:tcBorders>
              <w:bottom w:val="single" w:sz="8" w:color="auto"/>
            </w:tcBorders>
          </w:tcPr>
          <w:p>
            <w:pPr>
              <w:spacing w:after="0"/>
              <w:rPr>
                <w:sz w:val="13"/>
                <w:szCs w:val="13"/>
                <w:color w:val="auto"/>
              </w:rPr>
            </w:pPr>
          </w:p>
        </w:tc>
        <w:tc>
          <w:tcPr>
            <w:tcW w:w="378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shd w:val="clear" w:color="auto" w:fill="D8D8D8"/>
          </w:tcPr>
          <w:p>
            <w:pPr>
              <w:jc w:val="right"/>
              <w:ind w:right="148"/>
              <w:spacing w:after="0" w:line="155" w:lineRule="exact"/>
              <w:rPr>
                <w:sz w:val="20"/>
                <w:szCs w:val="20"/>
                <w:color w:val="auto"/>
              </w:rPr>
            </w:pPr>
            <w:r>
              <w:rPr>
                <w:rFonts w:ascii="Arial" w:cs="Arial" w:eastAsia="Arial" w:hAnsi="Arial"/>
                <w:sz w:val="14"/>
                <w:szCs w:val="14"/>
                <w:color w:val="auto"/>
              </w:rPr>
              <w:t>86,318</w:t>
            </w:r>
          </w:p>
        </w:tc>
        <w:tc>
          <w:tcPr>
            <w:tcW w:w="1040" w:type="dxa"/>
            <w:vAlign w:val="bottom"/>
            <w:tcBorders>
              <w:bottom w:val="single" w:sz="8" w:color="auto"/>
            </w:tcBorders>
          </w:tcPr>
          <w:p>
            <w:pPr>
              <w:jc w:val="right"/>
              <w:ind w:right="148"/>
              <w:spacing w:after="0" w:line="155" w:lineRule="exact"/>
              <w:rPr>
                <w:sz w:val="20"/>
                <w:szCs w:val="20"/>
                <w:color w:val="auto"/>
              </w:rPr>
            </w:pPr>
            <w:r>
              <w:rPr>
                <w:rFonts w:ascii="Arial" w:cs="Arial" w:eastAsia="Arial" w:hAnsi="Arial"/>
                <w:sz w:val="14"/>
                <w:szCs w:val="14"/>
                <w:color w:val="auto"/>
              </w:rPr>
              <w:t>85,543</w:t>
            </w:r>
          </w:p>
        </w:tc>
        <w:tc>
          <w:tcPr>
            <w:tcW w:w="0" w:type="dxa"/>
            <w:vAlign w:val="bottom"/>
          </w:tcPr>
          <w:p>
            <w:pPr>
              <w:spacing w:after="0"/>
              <w:rPr>
                <w:sz w:val="1"/>
                <w:szCs w:val="1"/>
                <w:color w:val="auto"/>
              </w:rPr>
            </w:pPr>
          </w:p>
        </w:tc>
      </w:tr>
      <w:tr>
        <w:trPr>
          <w:trHeight w:val="160"/>
        </w:trPr>
        <w:tc>
          <w:tcPr>
            <w:tcW w:w="1980" w:type="dxa"/>
            <w:vAlign w:val="bottom"/>
          </w:tcPr>
          <w:p>
            <w:pPr>
              <w:spacing w:after="0"/>
              <w:rPr>
                <w:sz w:val="20"/>
                <w:szCs w:val="20"/>
                <w:color w:val="auto"/>
              </w:rPr>
            </w:pPr>
            <w:r>
              <w:rPr>
                <w:rFonts w:ascii="Arial" w:cs="Arial" w:eastAsia="Arial" w:hAnsi="Arial"/>
                <w:sz w:val="14"/>
                <w:szCs w:val="14"/>
                <w:color w:val="auto"/>
              </w:rPr>
              <w:t>Comprising:</w:t>
            </w:r>
          </w:p>
        </w:tc>
        <w:tc>
          <w:tcPr>
            <w:tcW w:w="3600" w:type="dxa"/>
            <w:vAlign w:val="bottom"/>
          </w:tcPr>
          <w:p>
            <w:pPr>
              <w:spacing w:after="0"/>
              <w:rPr>
                <w:sz w:val="13"/>
                <w:szCs w:val="13"/>
                <w:color w:val="auto"/>
              </w:rPr>
            </w:pPr>
          </w:p>
        </w:tc>
        <w:tc>
          <w:tcPr>
            <w:tcW w:w="3780" w:type="dxa"/>
            <w:vAlign w:val="bottom"/>
          </w:tcPr>
          <w:p>
            <w:pPr>
              <w:spacing w:after="0"/>
              <w:rPr>
                <w:sz w:val="13"/>
                <w:szCs w:val="13"/>
                <w:color w:val="auto"/>
              </w:rPr>
            </w:pPr>
          </w:p>
        </w:tc>
        <w:tc>
          <w:tcPr>
            <w:tcW w:w="1020" w:type="dxa"/>
            <w:vAlign w:val="bottom"/>
            <w:shd w:val="clear" w:color="auto" w:fill="D8D8D8"/>
          </w:tcPr>
          <w:p>
            <w:pPr>
              <w:spacing w:after="0"/>
              <w:rPr>
                <w:sz w:val="13"/>
                <w:szCs w:val="13"/>
                <w:color w:val="auto"/>
              </w:rPr>
            </w:pPr>
          </w:p>
        </w:tc>
        <w:tc>
          <w:tcPr>
            <w:tcW w:w="10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1980" w:type="dxa"/>
            <w:vAlign w:val="bottom"/>
          </w:tcPr>
          <w:p>
            <w:pPr>
              <w:ind w:left="140"/>
              <w:spacing w:after="0"/>
              <w:rPr>
                <w:sz w:val="20"/>
                <w:szCs w:val="20"/>
                <w:color w:val="auto"/>
              </w:rPr>
            </w:pPr>
            <w:r>
              <w:rPr>
                <w:rFonts w:ascii="Arial" w:cs="Arial" w:eastAsia="Arial" w:hAnsi="Arial"/>
                <w:sz w:val="14"/>
                <w:szCs w:val="14"/>
                <w:color w:val="auto"/>
              </w:rPr>
              <w:t>Quoted in active markets:</w:t>
            </w:r>
          </w:p>
        </w:tc>
        <w:tc>
          <w:tcPr>
            <w:tcW w:w="3600" w:type="dxa"/>
            <w:vAlign w:val="bottom"/>
          </w:tcPr>
          <w:p>
            <w:pPr>
              <w:spacing w:after="0"/>
              <w:rPr>
                <w:sz w:val="14"/>
                <w:szCs w:val="14"/>
                <w:color w:val="auto"/>
              </w:rPr>
            </w:pPr>
          </w:p>
        </w:tc>
        <w:tc>
          <w:tcPr>
            <w:tcW w:w="3780" w:type="dxa"/>
            <w:vAlign w:val="bottom"/>
          </w:tcPr>
          <w:p>
            <w:pPr>
              <w:spacing w:after="0"/>
              <w:rPr>
                <w:sz w:val="14"/>
                <w:szCs w:val="14"/>
                <w:color w:val="auto"/>
              </w:rPr>
            </w:pPr>
          </w:p>
        </w:tc>
        <w:tc>
          <w:tcPr>
            <w:tcW w:w="1020" w:type="dxa"/>
            <w:vAlign w:val="bottom"/>
            <w:shd w:val="clear" w:color="auto" w:fill="D8D8D8"/>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980" w:type="dxa"/>
            <w:vAlign w:val="bottom"/>
          </w:tcPr>
          <w:p>
            <w:pPr>
              <w:ind w:left="260"/>
              <w:spacing w:after="0"/>
              <w:rPr>
                <w:sz w:val="20"/>
                <w:szCs w:val="20"/>
                <w:color w:val="auto"/>
              </w:rPr>
            </w:pPr>
            <w:r>
              <w:rPr>
                <w:rFonts w:ascii="Arial" w:cs="Arial" w:eastAsia="Arial" w:hAnsi="Arial"/>
                <w:sz w:val="14"/>
                <w:szCs w:val="14"/>
                <w:color w:val="auto"/>
              </w:rPr>
              <w:t>Equities</w:t>
            </w:r>
          </w:p>
        </w:tc>
        <w:tc>
          <w:tcPr>
            <w:tcW w:w="3600" w:type="dxa"/>
            <w:vAlign w:val="bottom"/>
          </w:tcPr>
          <w:p>
            <w:pPr>
              <w:spacing w:after="0"/>
              <w:rPr>
                <w:sz w:val="14"/>
                <w:szCs w:val="14"/>
                <w:color w:val="auto"/>
              </w:rPr>
            </w:pPr>
          </w:p>
        </w:tc>
        <w:tc>
          <w:tcPr>
            <w:tcW w:w="3780" w:type="dxa"/>
            <w:vAlign w:val="bottom"/>
          </w:tcPr>
          <w:p>
            <w:pPr>
              <w:spacing w:after="0"/>
              <w:rPr>
                <w:sz w:val="14"/>
                <w:szCs w:val="14"/>
                <w:color w:val="auto"/>
              </w:rPr>
            </w:pPr>
          </w:p>
        </w:tc>
        <w:tc>
          <w:tcPr>
            <w:tcW w:w="1020" w:type="dxa"/>
            <w:vAlign w:val="bottom"/>
            <w:shd w:val="clear" w:color="auto" w:fill="D8D8D8"/>
          </w:tcPr>
          <w:p>
            <w:pPr>
              <w:jc w:val="right"/>
              <w:ind w:right="148"/>
              <w:spacing w:after="0"/>
              <w:rPr>
                <w:sz w:val="20"/>
                <w:szCs w:val="20"/>
                <w:color w:val="auto"/>
              </w:rPr>
            </w:pPr>
            <w:r>
              <w:rPr>
                <w:rFonts w:ascii="Arial" w:cs="Arial" w:eastAsia="Arial" w:hAnsi="Arial"/>
                <w:sz w:val="14"/>
                <w:szCs w:val="14"/>
                <w:color w:val="auto"/>
              </w:rPr>
              <w:t>42%</w:t>
            </w:r>
          </w:p>
        </w:tc>
        <w:tc>
          <w:tcPr>
            <w:tcW w:w="1040" w:type="dxa"/>
            <w:vAlign w:val="bottom"/>
          </w:tcPr>
          <w:p>
            <w:pPr>
              <w:jc w:val="right"/>
              <w:ind w:right="148"/>
              <w:spacing w:after="0"/>
              <w:rPr>
                <w:sz w:val="20"/>
                <w:szCs w:val="20"/>
                <w:color w:val="auto"/>
              </w:rPr>
            </w:pPr>
            <w:r>
              <w:rPr>
                <w:rFonts w:ascii="Arial" w:cs="Arial" w:eastAsia="Arial" w:hAnsi="Arial"/>
                <w:sz w:val="14"/>
                <w:szCs w:val="14"/>
                <w:color w:val="auto"/>
              </w:rPr>
              <w:t>39%</w:t>
            </w:r>
          </w:p>
        </w:tc>
        <w:tc>
          <w:tcPr>
            <w:tcW w:w="0" w:type="dxa"/>
            <w:vAlign w:val="bottom"/>
          </w:tcPr>
          <w:p>
            <w:pPr>
              <w:spacing w:after="0"/>
              <w:rPr>
                <w:sz w:val="1"/>
                <w:szCs w:val="1"/>
                <w:color w:val="auto"/>
              </w:rPr>
            </w:pPr>
          </w:p>
        </w:tc>
      </w:tr>
      <w:tr>
        <w:trPr>
          <w:trHeight w:val="162"/>
        </w:trPr>
        <w:tc>
          <w:tcPr>
            <w:tcW w:w="1980" w:type="dxa"/>
            <w:vAlign w:val="bottom"/>
          </w:tcPr>
          <w:p>
            <w:pPr>
              <w:ind w:left="260"/>
              <w:spacing w:after="0"/>
              <w:rPr>
                <w:sz w:val="20"/>
                <w:szCs w:val="20"/>
                <w:color w:val="auto"/>
              </w:rPr>
            </w:pPr>
            <w:r>
              <w:rPr>
                <w:rFonts w:ascii="Arial" w:cs="Arial" w:eastAsia="Arial" w:hAnsi="Arial"/>
                <w:sz w:val="14"/>
                <w:szCs w:val="14"/>
                <w:color w:val="auto"/>
              </w:rPr>
              <w:t>Debt securities</w:t>
            </w:r>
          </w:p>
        </w:tc>
        <w:tc>
          <w:tcPr>
            <w:tcW w:w="3600" w:type="dxa"/>
            <w:vAlign w:val="bottom"/>
          </w:tcPr>
          <w:p>
            <w:pPr>
              <w:spacing w:after="0"/>
              <w:rPr>
                <w:sz w:val="14"/>
                <w:szCs w:val="14"/>
                <w:color w:val="auto"/>
              </w:rPr>
            </w:pPr>
          </w:p>
        </w:tc>
        <w:tc>
          <w:tcPr>
            <w:tcW w:w="3780" w:type="dxa"/>
            <w:vAlign w:val="bottom"/>
          </w:tcPr>
          <w:p>
            <w:pPr>
              <w:spacing w:after="0"/>
              <w:rPr>
                <w:sz w:val="14"/>
                <w:szCs w:val="14"/>
                <w:color w:val="auto"/>
              </w:rPr>
            </w:pPr>
          </w:p>
        </w:tc>
        <w:tc>
          <w:tcPr>
            <w:tcW w:w="1020" w:type="dxa"/>
            <w:vAlign w:val="bottom"/>
            <w:shd w:val="clear" w:color="auto" w:fill="D8D8D8"/>
          </w:tcPr>
          <w:p>
            <w:pPr>
              <w:jc w:val="right"/>
              <w:ind w:right="148"/>
              <w:spacing w:after="0"/>
              <w:rPr>
                <w:sz w:val="20"/>
                <w:szCs w:val="20"/>
                <w:color w:val="auto"/>
              </w:rPr>
            </w:pPr>
            <w:r>
              <w:rPr>
                <w:rFonts w:ascii="Arial" w:cs="Arial" w:eastAsia="Arial" w:hAnsi="Arial"/>
                <w:sz w:val="14"/>
                <w:szCs w:val="14"/>
                <w:color w:val="auto"/>
              </w:rPr>
              <w:t>40%</w:t>
            </w:r>
          </w:p>
        </w:tc>
        <w:tc>
          <w:tcPr>
            <w:tcW w:w="1040" w:type="dxa"/>
            <w:vAlign w:val="bottom"/>
          </w:tcPr>
          <w:p>
            <w:pPr>
              <w:jc w:val="right"/>
              <w:ind w:right="148"/>
              <w:spacing w:after="0"/>
              <w:rPr>
                <w:sz w:val="20"/>
                <w:szCs w:val="20"/>
                <w:color w:val="auto"/>
              </w:rPr>
            </w:pPr>
            <w:r>
              <w:rPr>
                <w:rFonts w:ascii="Arial" w:cs="Arial" w:eastAsia="Arial" w:hAnsi="Arial"/>
                <w:sz w:val="14"/>
                <w:szCs w:val="14"/>
                <w:color w:val="auto"/>
              </w:rPr>
              <w:t>36%</w:t>
            </w:r>
          </w:p>
        </w:tc>
        <w:tc>
          <w:tcPr>
            <w:tcW w:w="0" w:type="dxa"/>
            <w:vAlign w:val="bottom"/>
          </w:tcPr>
          <w:p>
            <w:pPr>
              <w:spacing w:after="0"/>
              <w:rPr>
                <w:sz w:val="1"/>
                <w:szCs w:val="1"/>
                <w:color w:val="auto"/>
              </w:rPr>
            </w:pPr>
          </w:p>
        </w:tc>
      </w:tr>
      <w:tr>
        <w:trPr>
          <w:trHeight w:val="162"/>
        </w:trPr>
        <w:tc>
          <w:tcPr>
            <w:tcW w:w="1980" w:type="dxa"/>
            <w:vAlign w:val="bottom"/>
          </w:tcPr>
          <w:p>
            <w:pPr>
              <w:ind w:left="260"/>
              <w:spacing w:after="0"/>
              <w:rPr>
                <w:sz w:val="20"/>
                <w:szCs w:val="20"/>
                <w:color w:val="auto"/>
              </w:rPr>
            </w:pPr>
            <w:r>
              <w:rPr>
                <w:rFonts w:ascii="Arial" w:cs="Arial" w:eastAsia="Arial" w:hAnsi="Arial"/>
                <w:sz w:val="14"/>
                <w:szCs w:val="14"/>
                <w:color w:val="auto"/>
              </w:rPr>
              <w:t>Other</w:t>
            </w:r>
          </w:p>
        </w:tc>
        <w:tc>
          <w:tcPr>
            <w:tcW w:w="3600" w:type="dxa"/>
            <w:vAlign w:val="bottom"/>
          </w:tcPr>
          <w:p>
            <w:pPr>
              <w:spacing w:after="0"/>
              <w:rPr>
                <w:sz w:val="14"/>
                <w:szCs w:val="14"/>
                <w:color w:val="auto"/>
              </w:rPr>
            </w:pPr>
          </w:p>
        </w:tc>
        <w:tc>
          <w:tcPr>
            <w:tcW w:w="3780" w:type="dxa"/>
            <w:vAlign w:val="bottom"/>
          </w:tcPr>
          <w:p>
            <w:pPr>
              <w:spacing w:after="0"/>
              <w:rPr>
                <w:sz w:val="14"/>
                <w:szCs w:val="14"/>
                <w:color w:val="auto"/>
              </w:rPr>
            </w:pPr>
          </w:p>
        </w:tc>
        <w:tc>
          <w:tcPr>
            <w:tcW w:w="1020" w:type="dxa"/>
            <w:vAlign w:val="bottom"/>
            <w:shd w:val="clear" w:color="auto" w:fill="D8D8D8"/>
          </w:tcPr>
          <w:p>
            <w:pPr>
              <w:jc w:val="right"/>
              <w:ind w:right="148"/>
              <w:spacing w:after="0"/>
              <w:rPr>
                <w:sz w:val="20"/>
                <w:szCs w:val="20"/>
                <w:color w:val="auto"/>
              </w:rPr>
            </w:pPr>
            <w:r>
              <w:rPr>
                <w:rFonts w:ascii="Arial" w:cs="Arial" w:eastAsia="Arial" w:hAnsi="Arial"/>
                <w:sz w:val="14"/>
                <w:szCs w:val="14"/>
                <w:color w:val="auto"/>
              </w:rPr>
              <w:t>1%</w:t>
            </w:r>
          </w:p>
        </w:tc>
        <w:tc>
          <w:tcPr>
            <w:tcW w:w="1040" w:type="dxa"/>
            <w:vAlign w:val="bottom"/>
          </w:tcPr>
          <w:p>
            <w:pPr>
              <w:jc w:val="right"/>
              <w:ind w:right="148"/>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62"/>
        </w:trPr>
        <w:tc>
          <w:tcPr>
            <w:tcW w:w="1980" w:type="dxa"/>
            <w:vAlign w:val="bottom"/>
          </w:tcPr>
          <w:p>
            <w:pPr>
              <w:ind w:left="140"/>
              <w:spacing w:after="0"/>
              <w:rPr>
                <w:sz w:val="20"/>
                <w:szCs w:val="20"/>
                <w:color w:val="auto"/>
              </w:rPr>
            </w:pPr>
            <w:r>
              <w:rPr>
                <w:rFonts w:ascii="Arial" w:cs="Arial" w:eastAsia="Arial" w:hAnsi="Arial"/>
                <w:sz w:val="14"/>
                <w:szCs w:val="14"/>
                <w:color w:val="auto"/>
              </w:rPr>
              <w:t>Other:</w:t>
            </w:r>
          </w:p>
        </w:tc>
        <w:tc>
          <w:tcPr>
            <w:tcW w:w="3600" w:type="dxa"/>
            <w:vAlign w:val="bottom"/>
          </w:tcPr>
          <w:p>
            <w:pPr>
              <w:spacing w:after="0"/>
              <w:rPr>
                <w:sz w:val="14"/>
                <w:szCs w:val="14"/>
                <w:color w:val="auto"/>
              </w:rPr>
            </w:pPr>
          </w:p>
        </w:tc>
        <w:tc>
          <w:tcPr>
            <w:tcW w:w="3780" w:type="dxa"/>
            <w:vAlign w:val="bottom"/>
          </w:tcPr>
          <w:p>
            <w:pPr>
              <w:spacing w:after="0"/>
              <w:rPr>
                <w:sz w:val="14"/>
                <w:szCs w:val="14"/>
                <w:color w:val="auto"/>
              </w:rPr>
            </w:pPr>
          </w:p>
        </w:tc>
        <w:tc>
          <w:tcPr>
            <w:tcW w:w="1020" w:type="dxa"/>
            <w:vAlign w:val="bottom"/>
            <w:shd w:val="clear" w:color="auto" w:fill="D8D8D8"/>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980" w:type="dxa"/>
            <w:vAlign w:val="bottom"/>
          </w:tcPr>
          <w:p>
            <w:pPr>
              <w:ind w:left="260"/>
              <w:spacing w:after="0"/>
              <w:rPr>
                <w:sz w:val="20"/>
                <w:szCs w:val="20"/>
                <w:color w:val="auto"/>
              </w:rPr>
            </w:pPr>
            <w:r>
              <w:rPr>
                <w:rFonts w:ascii="Arial" w:cs="Arial" w:eastAsia="Arial" w:hAnsi="Arial"/>
                <w:sz w:val="14"/>
                <w:szCs w:val="14"/>
                <w:color w:val="auto"/>
              </w:rPr>
              <w:t>Equities</w:t>
            </w:r>
          </w:p>
        </w:tc>
        <w:tc>
          <w:tcPr>
            <w:tcW w:w="3600" w:type="dxa"/>
            <w:vAlign w:val="bottom"/>
          </w:tcPr>
          <w:p>
            <w:pPr>
              <w:spacing w:after="0"/>
              <w:rPr>
                <w:sz w:val="14"/>
                <w:szCs w:val="14"/>
                <w:color w:val="auto"/>
              </w:rPr>
            </w:pPr>
          </w:p>
        </w:tc>
        <w:tc>
          <w:tcPr>
            <w:tcW w:w="3780" w:type="dxa"/>
            <w:vAlign w:val="bottom"/>
          </w:tcPr>
          <w:p>
            <w:pPr>
              <w:spacing w:after="0"/>
              <w:rPr>
                <w:sz w:val="14"/>
                <w:szCs w:val="14"/>
                <w:color w:val="auto"/>
              </w:rPr>
            </w:pPr>
          </w:p>
        </w:tc>
        <w:tc>
          <w:tcPr>
            <w:tcW w:w="1020" w:type="dxa"/>
            <w:vAlign w:val="bottom"/>
            <w:shd w:val="clear" w:color="auto" w:fill="D8D8D8"/>
          </w:tcPr>
          <w:p>
            <w:pPr>
              <w:jc w:val="right"/>
              <w:ind w:right="148"/>
              <w:spacing w:after="0"/>
              <w:rPr>
                <w:sz w:val="20"/>
                <w:szCs w:val="20"/>
                <w:color w:val="auto"/>
              </w:rPr>
            </w:pPr>
            <w:r>
              <w:rPr>
                <w:rFonts w:ascii="Arial" w:cs="Arial" w:eastAsia="Arial" w:hAnsi="Arial"/>
                <w:sz w:val="14"/>
                <w:szCs w:val="14"/>
                <w:color w:val="auto"/>
              </w:rPr>
              <w:t>6%</w:t>
            </w:r>
          </w:p>
        </w:tc>
        <w:tc>
          <w:tcPr>
            <w:tcW w:w="1040" w:type="dxa"/>
            <w:vAlign w:val="bottom"/>
          </w:tcPr>
          <w:p>
            <w:pPr>
              <w:jc w:val="right"/>
              <w:ind w:right="148"/>
              <w:spacing w:after="0"/>
              <w:rPr>
                <w:sz w:val="20"/>
                <w:szCs w:val="20"/>
                <w:color w:val="auto"/>
              </w:rPr>
            </w:pPr>
            <w:r>
              <w:rPr>
                <w:rFonts w:ascii="Arial" w:cs="Arial" w:eastAsia="Arial" w:hAnsi="Arial"/>
                <w:sz w:val="14"/>
                <w:szCs w:val="14"/>
                <w:color w:val="auto"/>
              </w:rPr>
              <w:t>6%</w:t>
            </w:r>
          </w:p>
        </w:tc>
        <w:tc>
          <w:tcPr>
            <w:tcW w:w="0" w:type="dxa"/>
            <w:vAlign w:val="bottom"/>
          </w:tcPr>
          <w:p>
            <w:pPr>
              <w:spacing w:after="0"/>
              <w:rPr>
                <w:sz w:val="1"/>
                <w:szCs w:val="1"/>
                <w:color w:val="auto"/>
              </w:rPr>
            </w:pPr>
          </w:p>
        </w:tc>
      </w:tr>
      <w:tr>
        <w:trPr>
          <w:trHeight w:val="162"/>
        </w:trPr>
        <w:tc>
          <w:tcPr>
            <w:tcW w:w="1980" w:type="dxa"/>
            <w:vAlign w:val="bottom"/>
          </w:tcPr>
          <w:p>
            <w:pPr>
              <w:ind w:left="260"/>
              <w:spacing w:after="0"/>
              <w:rPr>
                <w:sz w:val="20"/>
                <w:szCs w:val="20"/>
                <w:color w:val="auto"/>
              </w:rPr>
            </w:pPr>
            <w:r>
              <w:rPr>
                <w:rFonts w:ascii="Arial" w:cs="Arial" w:eastAsia="Arial" w:hAnsi="Arial"/>
                <w:sz w:val="14"/>
                <w:szCs w:val="14"/>
                <w:color w:val="auto"/>
              </w:rPr>
              <w:t>Debt securities</w:t>
            </w:r>
          </w:p>
        </w:tc>
        <w:tc>
          <w:tcPr>
            <w:tcW w:w="3600" w:type="dxa"/>
            <w:vAlign w:val="bottom"/>
          </w:tcPr>
          <w:p>
            <w:pPr>
              <w:spacing w:after="0"/>
              <w:rPr>
                <w:sz w:val="14"/>
                <w:szCs w:val="14"/>
                <w:color w:val="auto"/>
              </w:rPr>
            </w:pPr>
          </w:p>
        </w:tc>
        <w:tc>
          <w:tcPr>
            <w:tcW w:w="3780" w:type="dxa"/>
            <w:vAlign w:val="bottom"/>
          </w:tcPr>
          <w:p>
            <w:pPr>
              <w:spacing w:after="0"/>
              <w:rPr>
                <w:sz w:val="14"/>
                <w:szCs w:val="14"/>
                <w:color w:val="auto"/>
              </w:rPr>
            </w:pPr>
          </w:p>
        </w:tc>
        <w:tc>
          <w:tcPr>
            <w:tcW w:w="1020" w:type="dxa"/>
            <w:vAlign w:val="bottom"/>
            <w:shd w:val="clear" w:color="auto" w:fill="D8D8D8"/>
          </w:tcPr>
          <w:p>
            <w:pPr>
              <w:jc w:val="right"/>
              <w:ind w:right="148"/>
              <w:spacing w:after="0"/>
              <w:rPr>
                <w:sz w:val="20"/>
                <w:szCs w:val="20"/>
                <w:color w:val="auto"/>
              </w:rPr>
            </w:pPr>
            <w:r>
              <w:rPr>
                <w:rFonts w:ascii="Arial" w:cs="Arial" w:eastAsia="Arial" w:hAnsi="Arial"/>
                <w:sz w:val="14"/>
                <w:szCs w:val="14"/>
                <w:color w:val="auto"/>
              </w:rPr>
              <w:t>2%</w:t>
            </w:r>
          </w:p>
        </w:tc>
        <w:tc>
          <w:tcPr>
            <w:tcW w:w="1040" w:type="dxa"/>
            <w:vAlign w:val="bottom"/>
          </w:tcPr>
          <w:p>
            <w:pPr>
              <w:jc w:val="right"/>
              <w:ind w:right="148"/>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162"/>
        </w:trPr>
        <w:tc>
          <w:tcPr>
            <w:tcW w:w="1980" w:type="dxa"/>
            <w:vAlign w:val="bottom"/>
          </w:tcPr>
          <w:p>
            <w:pPr>
              <w:ind w:left="260"/>
              <w:spacing w:after="0"/>
              <w:rPr>
                <w:sz w:val="20"/>
                <w:szCs w:val="20"/>
                <w:color w:val="auto"/>
              </w:rPr>
            </w:pPr>
            <w:r>
              <w:rPr>
                <w:rFonts w:ascii="Arial" w:cs="Arial" w:eastAsia="Arial" w:hAnsi="Arial"/>
                <w:sz w:val="14"/>
                <w:szCs w:val="14"/>
                <w:color w:val="auto"/>
              </w:rPr>
              <w:t>Real estate</w:t>
            </w:r>
          </w:p>
        </w:tc>
        <w:tc>
          <w:tcPr>
            <w:tcW w:w="3600" w:type="dxa"/>
            <w:vAlign w:val="bottom"/>
          </w:tcPr>
          <w:p>
            <w:pPr>
              <w:spacing w:after="0"/>
              <w:rPr>
                <w:sz w:val="14"/>
                <w:szCs w:val="14"/>
                <w:color w:val="auto"/>
              </w:rPr>
            </w:pPr>
          </w:p>
        </w:tc>
        <w:tc>
          <w:tcPr>
            <w:tcW w:w="3780" w:type="dxa"/>
            <w:vAlign w:val="bottom"/>
          </w:tcPr>
          <w:p>
            <w:pPr>
              <w:spacing w:after="0"/>
              <w:rPr>
                <w:sz w:val="14"/>
                <w:szCs w:val="14"/>
                <w:color w:val="auto"/>
              </w:rPr>
            </w:pPr>
          </w:p>
        </w:tc>
        <w:tc>
          <w:tcPr>
            <w:tcW w:w="1020" w:type="dxa"/>
            <w:vAlign w:val="bottom"/>
            <w:shd w:val="clear" w:color="auto" w:fill="D8D8D8"/>
          </w:tcPr>
          <w:p>
            <w:pPr>
              <w:jc w:val="right"/>
              <w:ind w:right="148"/>
              <w:spacing w:after="0"/>
              <w:rPr>
                <w:sz w:val="20"/>
                <w:szCs w:val="20"/>
                <w:color w:val="auto"/>
              </w:rPr>
            </w:pPr>
            <w:r>
              <w:rPr>
                <w:rFonts w:ascii="Arial" w:cs="Arial" w:eastAsia="Arial" w:hAnsi="Arial"/>
                <w:sz w:val="14"/>
                <w:szCs w:val="14"/>
                <w:color w:val="auto"/>
              </w:rPr>
              <w:t>4%</w:t>
            </w:r>
          </w:p>
        </w:tc>
        <w:tc>
          <w:tcPr>
            <w:tcW w:w="1040" w:type="dxa"/>
            <w:vAlign w:val="bottom"/>
          </w:tcPr>
          <w:p>
            <w:pPr>
              <w:jc w:val="right"/>
              <w:ind w:right="148"/>
              <w:spacing w:after="0"/>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162"/>
        </w:trPr>
        <w:tc>
          <w:tcPr>
            <w:tcW w:w="1980" w:type="dxa"/>
            <w:vAlign w:val="bottom"/>
          </w:tcPr>
          <w:p>
            <w:pPr>
              <w:ind w:left="260"/>
              <w:spacing w:after="0"/>
              <w:rPr>
                <w:sz w:val="20"/>
                <w:szCs w:val="20"/>
                <w:color w:val="auto"/>
              </w:rPr>
            </w:pPr>
            <w:r>
              <w:rPr>
                <w:rFonts w:ascii="Arial" w:cs="Arial" w:eastAsia="Arial" w:hAnsi="Arial"/>
                <w:sz w:val="14"/>
                <w:szCs w:val="14"/>
                <w:color w:val="auto"/>
              </w:rPr>
              <w:t>Investment funds</w:t>
            </w:r>
          </w:p>
        </w:tc>
        <w:tc>
          <w:tcPr>
            <w:tcW w:w="3600" w:type="dxa"/>
            <w:vAlign w:val="bottom"/>
          </w:tcPr>
          <w:p>
            <w:pPr>
              <w:spacing w:after="0"/>
              <w:rPr>
                <w:sz w:val="14"/>
                <w:szCs w:val="14"/>
                <w:color w:val="auto"/>
              </w:rPr>
            </w:pPr>
          </w:p>
        </w:tc>
        <w:tc>
          <w:tcPr>
            <w:tcW w:w="3780" w:type="dxa"/>
            <w:vAlign w:val="bottom"/>
          </w:tcPr>
          <w:p>
            <w:pPr>
              <w:spacing w:after="0"/>
              <w:rPr>
                <w:sz w:val="14"/>
                <w:szCs w:val="14"/>
                <w:color w:val="auto"/>
              </w:rPr>
            </w:pPr>
          </w:p>
        </w:tc>
        <w:tc>
          <w:tcPr>
            <w:tcW w:w="1020" w:type="dxa"/>
            <w:vAlign w:val="bottom"/>
            <w:shd w:val="clear" w:color="auto" w:fill="D8D8D8"/>
          </w:tcPr>
          <w:p>
            <w:pPr>
              <w:jc w:val="right"/>
              <w:ind w:right="148"/>
              <w:spacing w:after="0"/>
              <w:rPr>
                <w:sz w:val="20"/>
                <w:szCs w:val="20"/>
                <w:color w:val="auto"/>
              </w:rPr>
            </w:pPr>
            <w:r>
              <w:rPr>
                <w:rFonts w:ascii="Arial" w:cs="Arial" w:eastAsia="Arial" w:hAnsi="Arial"/>
                <w:sz w:val="14"/>
                <w:szCs w:val="14"/>
                <w:color w:val="auto"/>
              </w:rPr>
              <w:t>3%</w:t>
            </w:r>
          </w:p>
        </w:tc>
        <w:tc>
          <w:tcPr>
            <w:tcW w:w="1040" w:type="dxa"/>
            <w:vAlign w:val="bottom"/>
          </w:tcPr>
          <w:p>
            <w:pPr>
              <w:jc w:val="right"/>
              <w:ind w:right="148"/>
              <w:spacing w:after="0"/>
              <w:rPr>
                <w:sz w:val="20"/>
                <w:szCs w:val="20"/>
                <w:color w:val="auto"/>
              </w:rPr>
            </w:pPr>
            <w:r>
              <w:rPr>
                <w:rFonts w:ascii="Arial" w:cs="Arial" w:eastAsia="Arial" w:hAnsi="Arial"/>
                <w:sz w:val="14"/>
                <w:szCs w:val="14"/>
                <w:color w:val="auto"/>
              </w:rPr>
              <w:t>9%</w:t>
            </w:r>
          </w:p>
        </w:tc>
        <w:tc>
          <w:tcPr>
            <w:tcW w:w="0" w:type="dxa"/>
            <w:vAlign w:val="bottom"/>
          </w:tcPr>
          <w:p>
            <w:pPr>
              <w:spacing w:after="0"/>
              <w:rPr>
                <w:sz w:val="1"/>
                <w:szCs w:val="1"/>
                <w:color w:val="auto"/>
              </w:rPr>
            </w:pPr>
          </w:p>
        </w:tc>
      </w:tr>
      <w:tr>
        <w:trPr>
          <w:trHeight w:val="162"/>
        </w:trPr>
        <w:tc>
          <w:tcPr>
            <w:tcW w:w="1980" w:type="dxa"/>
            <w:vAlign w:val="bottom"/>
          </w:tcPr>
          <w:p>
            <w:pPr>
              <w:ind w:left="260"/>
              <w:spacing w:after="0"/>
              <w:rPr>
                <w:sz w:val="20"/>
                <w:szCs w:val="20"/>
                <w:color w:val="auto"/>
              </w:rPr>
            </w:pPr>
            <w:r>
              <w:rPr>
                <w:rFonts w:ascii="Arial" w:cs="Arial" w:eastAsia="Arial" w:hAnsi="Arial"/>
                <w:sz w:val="14"/>
                <w:szCs w:val="14"/>
                <w:color w:val="auto"/>
              </w:rPr>
              <w:t>Other</w:t>
            </w:r>
          </w:p>
        </w:tc>
        <w:tc>
          <w:tcPr>
            <w:tcW w:w="3600" w:type="dxa"/>
            <w:vAlign w:val="bottom"/>
          </w:tcPr>
          <w:p>
            <w:pPr>
              <w:spacing w:after="0"/>
              <w:rPr>
                <w:sz w:val="14"/>
                <w:szCs w:val="14"/>
                <w:color w:val="auto"/>
              </w:rPr>
            </w:pPr>
          </w:p>
        </w:tc>
        <w:tc>
          <w:tcPr>
            <w:tcW w:w="3780" w:type="dxa"/>
            <w:vAlign w:val="bottom"/>
          </w:tcPr>
          <w:p>
            <w:pPr>
              <w:spacing w:after="0"/>
              <w:rPr>
                <w:sz w:val="14"/>
                <w:szCs w:val="14"/>
                <w:color w:val="auto"/>
              </w:rPr>
            </w:pPr>
          </w:p>
        </w:tc>
        <w:tc>
          <w:tcPr>
            <w:tcW w:w="1020" w:type="dxa"/>
            <w:vAlign w:val="bottom"/>
            <w:shd w:val="clear" w:color="auto" w:fill="D8D8D8"/>
          </w:tcPr>
          <w:p>
            <w:pPr>
              <w:jc w:val="right"/>
              <w:ind w:right="148"/>
              <w:spacing w:after="0"/>
              <w:rPr>
                <w:sz w:val="20"/>
                <w:szCs w:val="20"/>
                <w:color w:val="auto"/>
              </w:rPr>
            </w:pPr>
            <w:r>
              <w:rPr>
                <w:rFonts w:ascii="Arial" w:cs="Arial" w:eastAsia="Arial" w:hAnsi="Arial"/>
                <w:sz w:val="14"/>
                <w:szCs w:val="14"/>
                <w:color w:val="auto"/>
              </w:rPr>
              <w:t>1%</w:t>
            </w:r>
          </w:p>
        </w:tc>
        <w:tc>
          <w:tcPr>
            <w:tcW w:w="1040" w:type="dxa"/>
            <w:vAlign w:val="bottom"/>
          </w:tcPr>
          <w:p>
            <w:pPr>
              <w:jc w:val="right"/>
              <w:ind w:right="148"/>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157"/>
        </w:trPr>
        <w:tc>
          <w:tcPr>
            <w:tcW w:w="1980" w:type="dxa"/>
            <w:vAlign w:val="bottom"/>
            <w:tcBorders>
              <w:bottom w:val="single" w:sz="8" w:color="auto"/>
            </w:tcBorders>
          </w:tcPr>
          <w:p>
            <w:pPr>
              <w:ind w:left="140"/>
              <w:spacing w:after="0" w:line="157" w:lineRule="exact"/>
              <w:rPr>
                <w:sz w:val="20"/>
                <w:szCs w:val="20"/>
                <w:color w:val="auto"/>
              </w:rPr>
            </w:pPr>
            <w:r>
              <w:rPr>
                <w:rFonts w:ascii="Arial" w:cs="Arial" w:eastAsia="Arial" w:hAnsi="Arial"/>
                <w:sz w:val="14"/>
                <w:szCs w:val="14"/>
                <w:color w:val="auto"/>
              </w:rPr>
              <w:t>Cash</w:t>
            </w:r>
          </w:p>
        </w:tc>
        <w:tc>
          <w:tcPr>
            <w:tcW w:w="3600" w:type="dxa"/>
            <w:vAlign w:val="bottom"/>
            <w:tcBorders>
              <w:bottom w:val="single" w:sz="8" w:color="auto"/>
            </w:tcBorders>
          </w:tcPr>
          <w:p>
            <w:pPr>
              <w:spacing w:after="0"/>
              <w:rPr>
                <w:sz w:val="13"/>
                <w:szCs w:val="13"/>
                <w:color w:val="auto"/>
              </w:rPr>
            </w:pPr>
          </w:p>
        </w:tc>
        <w:tc>
          <w:tcPr>
            <w:tcW w:w="378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shd w:val="clear" w:color="auto" w:fill="D8D8D8"/>
          </w:tcPr>
          <w:p>
            <w:pPr>
              <w:jc w:val="right"/>
              <w:ind w:right="148"/>
              <w:spacing w:after="0" w:line="157" w:lineRule="exact"/>
              <w:rPr>
                <w:sz w:val="20"/>
                <w:szCs w:val="20"/>
                <w:color w:val="auto"/>
              </w:rPr>
            </w:pPr>
            <w:r>
              <w:rPr>
                <w:rFonts w:ascii="Arial" w:cs="Arial" w:eastAsia="Arial" w:hAnsi="Arial"/>
                <w:sz w:val="14"/>
                <w:szCs w:val="14"/>
                <w:color w:val="auto"/>
              </w:rPr>
              <w:t>1%</w:t>
            </w:r>
          </w:p>
        </w:tc>
        <w:tc>
          <w:tcPr>
            <w:tcW w:w="1040" w:type="dxa"/>
            <w:vAlign w:val="bottom"/>
            <w:tcBorders>
              <w:bottom w:val="single" w:sz="8" w:color="auto"/>
            </w:tcBorders>
          </w:tcPr>
          <w:p>
            <w:pPr>
              <w:jc w:val="right"/>
              <w:ind w:right="148"/>
              <w:spacing w:after="0" w:line="157" w:lineRule="exact"/>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bl>
    <w:p>
      <w:pPr>
        <w:spacing w:after="0" w:line="194" w:lineRule="exact"/>
        <w:rPr>
          <w:sz w:val="20"/>
          <w:szCs w:val="20"/>
          <w:color w:val="auto"/>
        </w:rPr>
      </w:pPr>
    </w:p>
    <w:p>
      <w:pPr>
        <w:ind w:right="60"/>
        <w:spacing w:after="0" w:line="258" w:lineRule="auto"/>
        <w:rPr>
          <w:sz w:val="20"/>
          <w:szCs w:val="20"/>
          <w:color w:val="auto"/>
        </w:rPr>
      </w:pPr>
      <w:r>
        <w:rPr>
          <w:rFonts w:ascii="Arial" w:cs="Arial" w:eastAsia="Arial" w:hAnsi="Arial"/>
          <w:sz w:val="14"/>
          <w:szCs w:val="14"/>
          <w:color w:val="auto"/>
        </w:rPr>
        <w:t xml:space="preserve">Other movements in the defined benefit obligations and defined benefit plan assets during 2013 principally reflected the impact of the first-time inclusion of a number of individually immaterial plans, which were excluded prior to the adoption on January 1, 2013, of revised IAS 19 </w:t>
      </w:r>
      <w:r>
        <w:rPr>
          <w:rFonts w:ascii="Arial" w:cs="Arial" w:eastAsia="Arial" w:hAnsi="Arial"/>
          <w:sz w:val="14"/>
          <w:szCs w:val="14"/>
          <w:i w:val="1"/>
          <w:iCs w:val="1"/>
          <w:color w:val="auto"/>
        </w:rPr>
        <w:t>Employee Benefits</w:t>
      </w:r>
      <w:r>
        <w:rPr>
          <w:rFonts w:ascii="Arial" w:cs="Arial" w:eastAsia="Arial" w:hAnsi="Arial"/>
          <w:sz w:val="14"/>
          <w:szCs w:val="14"/>
          <w:color w:val="auto"/>
        </w:rPr>
        <w:t>.</w:t>
      </w:r>
    </w:p>
    <w:p>
      <w:pPr>
        <w:spacing w:after="0" w:line="154" w:lineRule="exact"/>
        <w:rPr>
          <w:sz w:val="20"/>
          <w:szCs w:val="20"/>
          <w:color w:val="auto"/>
        </w:rPr>
      </w:pPr>
    </w:p>
    <w:p>
      <w:pPr>
        <w:ind w:right="240"/>
        <w:spacing w:after="0" w:line="258" w:lineRule="auto"/>
        <w:rPr>
          <w:sz w:val="20"/>
          <w:szCs w:val="20"/>
          <w:color w:val="auto"/>
        </w:rPr>
      </w:pPr>
      <w:r>
        <w:rPr>
          <w:rFonts w:ascii="Arial" w:cs="Arial" w:eastAsia="Arial" w:hAnsi="Arial"/>
          <w:sz w:val="14"/>
          <w:szCs w:val="14"/>
          <w:color w:val="auto"/>
        </w:rPr>
        <w:t>Long-term investment strategies of plans are generally determined by the relevant pension plan trustees using a structured asset liability modelling approach to define the asset mix that best meets the objectives of optimising returns within agreed risk levels while maintaining adequate funding levels.</w:t>
      </w:r>
    </w:p>
    <w:p>
      <w:pPr>
        <w:spacing w:after="0" w:line="154" w:lineRule="exact"/>
        <w:rPr>
          <w:sz w:val="20"/>
          <w:szCs w:val="20"/>
          <w:color w:val="auto"/>
        </w:rPr>
      </w:pPr>
    </w:p>
    <w:p>
      <w:pPr>
        <w:ind w:right="340"/>
        <w:spacing w:after="0" w:line="258" w:lineRule="auto"/>
        <w:rPr>
          <w:sz w:val="20"/>
          <w:szCs w:val="20"/>
          <w:color w:val="auto"/>
        </w:rPr>
      </w:pPr>
      <w:r>
        <w:rPr>
          <w:rFonts w:ascii="Arial" w:cs="Arial" w:eastAsia="Arial" w:hAnsi="Arial"/>
          <w:sz w:val="14"/>
          <w:szCs w:val="14"/>
          <w:color w:val="auto"/>
        </w:rPr>
        <w:t>Employer contributions to defined benefit pension plans are set by local trustees based on actuarial valuations in accordance with local regulations and are estimated to be $2 billion in 2015.</w:t>
      </w:r>
    </w:p>
    <w:p>
      <w:pPr>
        <w:spacing w:after="0" w:line="167" w:lineRule="exact"/>
        <w:rPr>
          <w:sz w:val="20"/>
          <w:szCs w:val="20"/>
          <w:color w:val="auto"/>
        </w:rPr>
      </w:pPr>
    </w:p>
    <w:p>
      <w:pPr>
        <w:spacing w:after="0"/>
        <w:rPr>
          <w:sz w:val="20"/>
          <w:szCs w:val="20"/>
          <w:color w:val="auto"/>
        </w:rPr>
      </w:pPr>
      <w:r>
        <w:rPr>
          <w:rFonts w:ascii="Arial" w:cs="Arial" w:eastAsia="Arial" w:hAnsi="Arial"/>
          <w:sz w:val="14"/>
          <w:szCs w:val="14"/>
          <w:color w:val="auto"/>
        </w:rPr>
        <w:t>The principal assumptions applied in determining the present value of defined benefit obligations and their bases were as follows:</w:t>
      </w:r>
    </w:p>
    <w:p>
      <w:pPr>
        <w:spacing w:after="0" w:line="103" w:lineRule="exact"/>
        <w:rPr>
          <w:sz w:val="20"/>
          <w:szCs w:val="20"/>
          <w:color w:val="auto"/>
        </w:rPr>
      </w:pPr>
    </w:p>
    <w:p>
      <w:pPr>
        <w:ind w:left="220" w:hanging="212"/>
        <w:spacing w:after="0"/>
        <w:tabs>
          <w:tab w:leader="none" w:pos="220" w:val="left"/>
        </w:tabs>
        <w:numPr>
          <w:ilvl w:val="0"/>
          <w:numId w:val="149"/>
        </w:numPr>
        <w:rPr>
          <w:rFonts w:ascii="Arial" w:cs="Arial" w:eastAsia="Arial" w:hAnsi="Arial"/>
          <w:sz w:val="24"/>
          <w:szCs w:val="24"/>
          <w:color w:val="auto"/>
          <w:vertAlign w:val="superscript"/>
        </w:rPr>
      </w:pPr>
      <w:r>
        <w:rPr>
          <w:rFonts w:ascii="Arial" w:cs="Arial" w:eastAsia="Arial" w:hAnsi="Arial"/>
          <w:sz w:val="14"/>
          <w:szCs w:val="14"/>
          <w:color w:val="auto"/>
        </w:rPr>
        <w:t>rates of increase in pensionable remuneration, pensions in payment and healthcare costs: historical experience and management’s long-term expectation;</w:t>
      </w:r>
    </w:p>
    <w:p>
      <w:pPr>
        <w:ind w:left="220" w:hanging="212"/>
        <w:spacing w:after="0" w:line="187" w:lineRule="auto"/>
        <w:tabs>
          <w:tab w:leader="none" w:pos="220" w:val="left"/>
        </w:tabs>
        <w:numPr>
          <w:ilvl w:val="0"/>
          <w:numId w:val="149"/>
        </w:numPr>
        <w:rPr>
          <w:rFonts w:ascii="Arial" w:cs="Arial" w:eastAsia="Arial" w:hAnsi="Arial"/>
          <w:sz w:val="18"/>
          <w:szCs w:val="18"/>
          <w:color w:val="auto"/>
          <w:vertAlign w:val="superscript"/>
        </w:rPr>
      </w:pPr>
      <w:r>
        <w:rPr>
          <w:rFonts w:ascii="Arial" w:cs="Arial" w:eastAsia="Arial" w:hAnsi="Arial"/>
          <w:sz w:val="11"/>
          <w:szCs w:val="11"/>
          <w:color w:val="auto"/>
        </w:rPr>
        <w:t>discount rates: prevailing long-term AA corporate bond yields, chosen to match the currency and duration of the relevant obligation; and</w:t>
      </w:r>
    </w:p>
    <w:p>
      <w:pPr>
        <w:ind w:left="220" w:hanging="212"/>
        <w:spacing w:after="0" w:line="189" w:lineRule="auto"/>
        <w:tabs>
          <w:tab w:leader="none" w:pos="220" w:val="left"/>
        </w:tabs>
        <w:numPr>
          <w:ilvl w:val="0"/>
          <w:numId w:val="149"/>
        </w:numPr>
        <w:rPr>
          <w:rFonts w:ascii="Arial" w:cs="Arial" w:eastAsia="Arial" w:hAnsi="Arial"/>
          <w:sz w:val="19"/>
          <w:szCs w:val="19"/>
          <w:color w:val="auto"/>
          <w:vertAlign w:val="superscript"/>
        </w:rPr>
      </w:pPr>
      <w:r>
        <w:rPr>
          <w:rFonts w:ascii="Arial" w:cs="Arial" w:eastAsia="Arial" w:hAnsi="Arial"/>
          <w:sz w:val="12"/>
          <w:szCs w:val="12"/>
          <w:color w:val="auto"/>
        </w:rPr>
        <w:t>mortality rates: published standard mortality tables for the individual countries concerned adjusted for Shell experience where statistically significant.</w:t>
      </w:r>
    </w:p>
    <w:p>
      <w:pPr>
        <w:spacing w:after="0" w:line="166" w:lineRule="exact"/>
        <w:rPr>
          <w:sz w:val="20"/>
          <w:szCs w:val="20"/>
          <w:color w:val="auto"/>
        </w:rPr>
      </w:pPr>
    </w:p>
    <w:p>
      <w:pPr>
        <w:ind w:right="160"/>
        <w:spacing w:after="0" w:line="258" w:lineRule="auto"/>
        <w:rPr>
          <w:sz w:val="20"/>
          <w:szCs w:val="20"/>
          <w:color w:val="auto"/>
        </w:rPr>
      </w:pPr>
      <w:r>
        <w:rPr>
          <w:rFonts w:ascii="Arial" w:cs="Arial" w:eastAsia="Arial" w:hAnsi="Arial"/>
          <w:sz w:val="14"/>
          <w:szCs w:val="14"/>
          <w:color w:val="auto"/>
        </w:rPr>
        <w:t>The weighted averages for those assumptions and related sensitivity information at December 31 are presented below. Sensitivity information indicates by how much the defined benefit obligations would increase or decrease if a given assumption were to increase or decrease with no change in other assumptions.</w:t>
      </w:r>
    </w:p>
    <w:p>
      <w:pPr>
        <w:spacing w:after="0" w:line="173" w:lineRule="exact"/>
        <w:rPr>
          <w:sz w:val="20"/>
          <w:szCs w:val="20"/>
          <w:color w:val="auto"/>
        </w:rPr>
      </w:pPr>
    </w:p>
    <w:p>
      <w:pPr>
        <w:ind w:left="7440"/>
        <w:spacing w:after="0"/>
        <w:rPr>
          <w:sz w:val="20"/>
          <w:szCs w:val="20"/>
          <w:color w:val="auto"/>
        </w:rPr>
      </w:pPr>
      <w:r>
        <w:rPr>
          <w:rFonts w:ascii="Arial" w:cs="Arial" w:eastAsia="Arial" w:hAnsi="Arial"/>
          <w:sz w:val="15"/>
          <w:szCs w:val="15"/>
          <w:color w:val="FFFFFF"/>
        </w:rPr>
        <w:t>$ MILLION, EXCEPT WHERE OTHERWISE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-98425</wp:posOffset>
            </wp:positionV>
            <wp:extent cx="7246620" cy="102870"/>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7246620" cy="10287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41"/>
        </w:trPr>
        <w:tc>
          <w:tcPr>
            <w:tcW w:w="4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80" w:type="dxa"/>
            <w:vAlign w:val="bottom"/>
            <w:gridSpan w:val="2"/>
            <w:vMerge w:val="restart"/>
          </w:tcPr>
          <w:p>
            <w:pPr>
              <w:jc w:val="right"/>
              <w:ind w:right="9"/>
              <w:spacing w:after="0"/>
              <w:rPr>
                <w:sz w:val="20"/>
                <w:szCs w:val="20"/>
                <w:color w:val="auto"/>
              </w:rPr>
            </w:pPr>
            <w:r>
              <w:rPr>
                <w:rFonts w:ascii="Arial" w:cs="Arial" w:eastAsia="Arial" w:hAnsi="Arial"/>
                <w:sz w:val="13"/>
                <w:szCs w:val="13"/>
                <w:color w:val="auto"/>
              </w:rPr>
              <w:t>Assumptions used</w:t>
            </w:r>
          </w:p>
        </w:tc>
        <w:tc>
          <w:tcPr>
            <w:tcW w:w="1680" w:type="dxa"/>
            <w:vAlign w:val="bottom"/>
          </w:tcPr>
          <w:p>
            <w:pPr>
              <w:spacing w:after="0"/>
              <w:rPr>
                <w:sz w:val="12"/>
                <w:szCs w:val="12"/>
                <w:color w:val="auto"/>
              </w:rPr>
            </w:pPr>
          </w:p>
        </w:tc>
        <w:tc>
          <w:tcPr>
            <w:tcW w:w="3260" w:type="dxa"/>
            <w:vAlign w:val="bottom"/>
            <w:tcBorders>
              <w:bottom w:val="single" w:sz="8" w:color="auto"/>
            </w:tcBorders>
            <w:gridSpan w:val="3"/>
          </w:tcPr>
          <w:p>
            <w:pPr>
              <w:jc w:val="right"/>
              <w:ind w:right="20"/>
              <w:spacing w:after="0" w:line="141" w:lineRule="exact"/>
              <w:rPr>
                <w:sz w:val="20"/>
                <w:szCs w:val="20"/>
                <w:color w:val="auto"/>
              </w:rPr>
            </w:pPr>
            <w:r>
              <w:rPr>
                <w:rFonts w:ascii="Arial" w:cs="Arial" w:eastAsia="Arial" w:hAnsi="Arial"/>
                <w:sz w:val="13"/>
                <w:szCs w:val="13"/>
                <w:color w:val="auto"/>
              </w:rPr>
              <w:t>Effect of using alternative assumptions</w:t>
            </w:r>
          </w:p>
        </w:tc>
        <w:tc>
          <w:tcPr>
            <w:tcW w:w="0" w:type="dxa"/>
            <w:vAlign w:val="bottom"/>
          </w:tcPr>
          <w:p>
            <w:pPr>
              <w:spacing w:after="0"/>
              <w:rPr>
                <w:sz w:val="1"/>
                <w:szCs w:val="1"/>
                <w:color w:val="auto"/>
              </w:rPr>
            </w:pPr>
          </w:p>
        </w:tc>
      </w:tr>
      <w:tr>
        <w:trPr>
          <w:trHeight w:val="129"/>
        </w:trPr>
        <w:tc>
          <w:tcPr>
            <w:tcW w:w="4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80" w:type="dxa"/>
            <w:vAlign w:val="bottom"/>
            <w:gridSpan w:val="2"/>
            <w:vMerge w:val="continue"/>
          </w:tcPr>
          <w:p>
            <w:pPr>
              <w:spacing w:after="0"/>
              <w:rPr>
                <w:sz w:val="11"/>
                <w:szCs w:val="11"/>
                <w:color w:val="auto"/>
              </w:rPr>
            </w:pPr>
          </w:p>
        </w:tc>
        <w:tc>
          <w:tcPr>
            <w:tcW w:w="1680" w:type="dxa"/>
            <w:vAlign w:val="bottom"/>
            <w:vMerge w:val="restart"/>
          </w:tcPr>
          <w:p>
            <w:pPr>
              <w:jc w:val="right"/>
              <w:ind w:right="29"/>
              <w:spacing w:after="0"/>
              <w:rPr>
                <w:sz w:val="20"/>
                <w:szCs w:val="20"/>
                <w:color w:val="auto"/>
              </w:rPr>
            </w:pPr>
            <w:r>
              <w:rPr>
                <w:rFonts w:ascii="Arial" w:cs="Arial" w:eastAsia="Arial" w:hAnsi="Arial"/>
                <w:sz w:val="13"/>
                <w:szCs w:val="13"/>
                <w:color w:val="auto"/>
              </w:rPr>
              <w:t>Range of assumptions</w:t>
            </w:r>
          </w:p>
        </w:tc>
        <w:tc>
          <w:tcPr>
            <w:tcW w:w="3260" w:type="dxa"/>
            <w:vAlign w:val="bottom"/>
            <w:gridSpan w:val="3"/>
          </w:tcPr>
          <w:p>
            <w:pPr>
              <w:jc w:val="right"/>
              <w:ind w:right="20"/>
              <w:spacing w:after="0" w:line="129" w:lineRule="exact"/>
              <w:rPr>
                <w:sz w:val="20"/>
                <w:szCs w:val="20"/>
                <w:color w:val="auto"/>
              </w:rPr>
            </w:pPr>
            <w:r>
              <w:rPr>
                <w:rFonts w:ascii="Arial" w:cs="Arial" w:eastAsia="Arial" w:hAnsi="Arial"/>
                <w:sz w:val="13"/>
                <w:szCs w:val="13"/>
                <w:color w:val="auto"/>
              </w:rPr>
              <w:t>Increase/(decrease) in defined benefit obligations</w:t>
            </w:r>
          </w:p>
        </w:tc>
        <w:tc>
          <w:tcPr>
            <w:tcW w:w="0" w:type="dxa"/>
            <w:vAlign w:val="bottom"/>
          </w:tcPr>
          <w:p>
            <w:pPr>
              <w:spacing w:after="0"/>
              <w:rPr>
                <w:sz w:val="1"/>
                <w:szCs w:val="1"/>
                <w:color w:val="auto"/>
              </w:rPr>
            </w:pPr>
          </w:p>
        </w:tc>
      </w:tr>
      <w:tr>
        <w:trPr>
          <w:trHeight w:val="129"/>
        </w:trPr>
        <w:tc>
          <w:tcPr>
            <w:tcW w:w="4680" w:type="dxa"/>
            <w:vAlign w:val="bottom"/>
            <w:tcBorders>
              <w:bottom w:val="single" w:sz="8" w:color="auto"/>
            </w:tcBorders>
          </w:tcPr>
          <w:p>
            <w:pPr>
              <w:spacing w:after="0"/>
              <w:rPr>
                <w:sz w:val="11"/>
                <w:szCs w:val="11"/>
                <w:color w:val="auto"/>
              </w:rPr>
            </w:pPr>
          </w:p>
        </w:tc>
        <w:tc>
          <w:tcPr>
            <w:tcW w:w="860" w:type="dxa"/>
            <w:vAlign w:val="bottom"/>
            <w:tcBorders>
              <w:top w:val="single" w:sz="8" w:color="auto"/>
              <w:bottom w:val="single" w:sz="8" w:color="auto"/>
            </w:tcBorders>
            <w:gridSpan w:val="2"/>
            <w:shd w:val="clear" w:color="auto" w:fill="D8D8D8"/>
          </w:tcPr>
          <w:p>
            <w:pPr>
              <w:jc w:val="right"/>
              <w:ind w:right="29"/>
              <w:spacing w:after="0" w:line="129" w:lineRule="exact"/>
              <w:rPr>
                <w:sz w:val="20"/>
                <w:szCs w:val="20"/>
                <w:color w:val="auto"/>
              </w:rPr>
            </w:pPr>
            <w:r>
              <w:rPr>
                <w:rFonts w:ascii="Arial" w:cs="Arial" w:eastAsia="Arial" w:hAnsi="Arial"/>
                <w:sz w:val="13"/>
                <w:szCs w:val="13"/>
                <w:color w:val="auto"/>
              </w:rPr>
              <w:t>2014</w:t>
            </w:r>
          </w:p>
        </w:tc>
        <w:tc>
          <w:tcPr>
            <w:tcW w:w="960" w:type="dxa"/>
            <w:vAlign w:val="bottom"/>
            <w:tcBorders>
              <w:top w:val="single" w:sz="8" w:color="auto"/>
              <w:bottom w:val="single" w:sz="8" w:color="auto"/>
            </w:tcBorders>
          </w:tcPr>
          <w:p>
            <w:pPr>
              <w:jc w:val="right"/>
              <w:ind w:right="9"/>
              <w:spacing w:after="0" w:line="129" w:lineRule="exact"/>
              <w:rPr>
                <w:sz w:val="20"/>
                <w:szCs w:val="20"/>
                <w:color w:val="auto"/>
              </w:rPr>
            </w:pPr>
            <w:r>
              <w:rPr>
                <w:rFonts w:ascii="Arial" w:cs="Arial" w:eastAsia="Arial" w:hAnsi="Arial"/>
                <w:sz w:val="13"/>
                <w:szCs w:val="13"/>
                <w:color w:val="auto"/>
              </w:rPr>
              <w:t>2013</w:t>
            </w:r>
          </w:p>
        </w:tc>
        <w:tc>
          <w:tcPr>
            <w:tcW w:w="1680" w:type="dxa"/>
            <w:vAlign w:val="bottom"/>
            <w:tcBorders>
              <w:bottom w:val="single" w:sz="8" w:color="auto"/>
            </w:tcBorders>
            <w:vMerge w:val="continue"/>
          </w:tcPr>
          <w:p>
            <w:pPr>
              <w:spacing w:after="0"/>
              <w:rPr>
                <w:sz w:val="11"/>
                <w:szCs w:val="11"/>
                <w:color w:val="auto"/>
              </w:rPr>
            </w:pPr>
          </w:p>
        </w:tc>
        <w:tc>
          <w:tcPr>
            <w:tcW w:w="1660" w:type="dxa"/>
            <w:vAlign w:val="bottom"/>
            <w:tcBorders>
              <w:top w:val="single" w:sz="8" w:color="auto"/>
              <w:bottom w:val="single" w:sz="8" w:color="auto"/>
            </w:tcBorders>
            <w:shd w:val="clear" w:color="auto" w:fill="D8D8D8"/>
          </w:tcPr>
          <w:p>
            <w:pPr>
              <w:jc w:val="right"/>
              <w:ind w:right="31"/>
              <w:spacing w:after="0" w:line="129" w:lineRule="exact"/>
              <w:rPr>
                <w:sz w:val="20"/>
                <w:szCs w:val="20"/>
                <w:color w:val="auto"/>
              </w:rPr>
            </w:pPr>
            <w:r>
              <w:rPr>
                <w:rFonts w:ascii="Arial" w:cs="Arial" w:eastAsia="Arial" w:hAnsi="Arial"/>
                <w:sz w:val="13"/>
                <w:szCs w:val="13"/>
                <w:color w:val="auto"/>
              </w:rPr>
              <w:t>2014</w:t>
            </w:r>
          </w:p>
        </w:tc>
        <w:tc>
          <w:tcPr>
            <w:tcW w:w="158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2013</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4680" w:type="dxa"/>
            <w:vAlign w:val="bottom"/>
          </w:tcPr>
          <w:p>
            <w:pPr>
              <w:spacing w:after="0" w:line="155" w:lineRule="exact"/>
              <w:rPr>
                <w:sz w:val="20"/>
                <w:szCs w:val="20"/>
                <w:color w:val="auto"/>
              </w:rPr>
            </w:pPr>
            <w:r>
              <w:rPr>
                <w:rFonts w:ascii="Arial" w:cs="Arial" w:eastAsia="Arial" w:hAnsi="Arial"/>
                <w:sz w:val="14"/>
                <w:szCs w:val="14"/>
                <w:color w:val="auto"/>
              </w:rPr>
              <w:t>Rate of increase in pensionable remuneration</w:t>
            </w:r>
          </w:p>
        </w:tc>
        <w:tc>
          <w:tcPr>
            <w:tcW w:w="140" w:type="dxa"/>
            <w:vAlign w:val="bottom"/>
            <w:shd w:val="clear" w:color="auto" w:fill="D8D8D8"/>
          </w:tcPr>
          <w:p>
            <w:pPr>
              <w:spacing w:after="0"/>
              <w:rPr>
                <w:sz w:val="13"/>
                <w:szCs w:val="13"/>
                <w:color w:val="auto"/>
              </w:rPr>
            </w:pPr>
          </w:p>
        </w:tc>
        <w:tc>
          <w:tcPr>
            <w:tcW w:w="720" w:type="dxa"/>
            <w:vAlign w:val="bottom"/>
            <w:shd w:val="clear" w:color="auto" w:fill="D8D8D8"/>
          </w:tcPr>
          <w:p>
            <w:pPr>
              <w:jc w:val="right"/>
              <w:ind w:right="29"/>
              <w:spacing w:after="0" w:line="155" w:lineRule="exact"/>
              <w:rPr>
                <w:sz w:val="20"/>
                <w:szCs w:val="20"/>
                <w:color w:val="auto"/>
              </w:rPr>
            </w:pPr>
            <w:r>
              <w:rPr>
                <w:rFonts w:ascii="Arial" w:cs="Arial" w:eastAsia="Arial" w:hAnsi="Arial"/>
                <w:sz w:val="14"/>
                <w:szCs w:val="14"/>
                <w:color w:val="auto"/>
              </w:rPr>
              <w:t>5%</w:t>
            </w:r>
          </w:p>
        </w:tc>
        <w:tc>
          <w:tcPr>
            <w:tcW w:w="960" w:type="dxa"/>
            <w:vAlign w:val="bottom"/>
          </w:tcPr>
          <w:p>
            <w:pPr>
              <w:jc w:val="right"/>
              <w:ind w:right="9"/>
              <w:spacing w:after="0" w:line="155" w:lineRule="exact"/>
              <w:rPr>
                <w:sz w:val="20"/>
                <w:szCs w:val="20"/>
                <w:color w:val="auto"/>
              </w:rPr>
            </w:pPr>
            <w:r>
              <w:rPr>
                <w:rFonts w:ascii="Arial" w:cs="Arial" w:eastAsia="Arial" w:hAnsi="Arial"/>
                <w:sz w:val="14"/>
                <w:szCs w:val="14"/>
                <w:color w:val="auto"/>
              </w:rPr>
              <w:t>5%</w:t>
            </w:r>
          </w:p>
        </w:tc>
        <w:tc>
          <w:tcPr>
            <w:tcW w:w="1680" w:type="dxa"/>
            <w:vAlign w:val="bottom"/>
          </w:tcPr>
          <w:p>
            <w:pPr>
              <w:jc w:val="right"/>
              <w:ind w:right="29"/>
              <w:spacing w:after="0" w:line="155" w:lineRule="exact"/>
              <w:rPr>
                <w:sz w:val="20"/>
                <w:szCs w:val="20"/>
                <w:color w:val="auto"/>
              </w:rPr>
            </w:pPr>
            <w:r>
              <w:rPr>
                <w:rFonts w:ascii="Arial" w:cs="Arial" w:eastAsia="Arial" w:hAnsi="Arial"/>
                <w:sz w:val="14"/>
                <w:szCs w:val="14"/>
                <w:color w:val="auto"/>
              </w:rPr>
              <w:t>-1% to +1%</w:t>
            </w:r>
          </w:p>
        </w:tc>
        <w:tc>
          <w:tcPr>
            <w:tcW w:w="1660" w:type="dxa"/>
            <w:vAlign w:val="bottom"/>
            <w:shd w:val="clear" w:color="auto" w:fill="D8D8D8"/>
          </w:tcPr>
          <w:p>
            <w:pPr>
              <w:jc w:val="right"/>
              <w:ind w:right="31"/>
              <w:spacing w:after="0" w:line="155" w:lineRule="exact"/>
              <w:rPr>
                <w:sz w:val="20"/>
                <w:szCs w:val="20"/>
                <w:color w:val="auto"/>
              </w:rPr>
            </w:pPr>
            <w:r>
              <w:rPr>
                <w:rFonts w:ascii="Arial" w:cs="Arial" w:eastAsia="Arial" w:hAnsi="Arial"/>
                <w:sz w:val="14"/>
                <w:szCs w:val="14"/>
                <w:color w:val="auto"/>
              </w:rPr>
              <w:t>(2,633) to 3,250</w:t>
            </w:r>
          </w:p>
        </w:tc>
        <w:tc>
          <w:tcPr>
            <w:tcW w:w="1600" w:type="dxa"/>
            <w:vAlign w:val="bottom"/>
            <w:gridSpan w:val="2"/>
          </w:tcPr>
          <w:p>
            <w:pPr>
              <w:jc w:val="right"/>
              <w:ind w:right="20"/>
              <w:spacing w:after="0" w:line="155" w:lineRule="exact"/>
              <w:rPr>
                <w:sz w:val="20"/>
                <w:szCs w:val="20"/>
                <w:color w:val="auto"/>
              </w:rPr>
            </w:pPr>
            <w:r>
              <w:rPr>
                <w:rFonts w:ascii="Arial" w:cs="Arial" w:eastAsia="Arial" w:hAnsi="Arial"/>
                <w:sz w:val="14"/>
                <w:szCs w:val="14"/>
                <w:color w:val="auto"/>
              </w:rPr>
              <w:t>(2,470) to 2,847</w:t>
            </w:r>
          </w:p>
        </w:tc>
        <w:tc>
          <w:tcPr>
            <w:tcW w:w="0" w:type="dxa"/>
            <w:vAlign w:val="bottom"/>
          </w:tcPr>
          <w:p>
            <w:pPr>
              <w:spacing w:after="0"/>
              <w:rPr>
                <w:sz w:val="1"/>
                <w:szCs w:val="1"/>
                <w:color w:val="auto"/>
              </w:rPr>
            </w:pPr>
          </w:p>
        </w:tc>
      </w:tr>
      <w:tr>
        <w:trPr>
          <w:trHeight w:val="162"/>
        </w:trPr>
        <w:tc>
          <w:tcPr>
            <w:tcW w:w="4680" w:type="dxa"/>
            <w:vAlign w:val="bottom"/>
          </w:tcPr>
          <w:p>
            <w:pPr>
              <w:spacing w:after="0"/>
              <w:rPr>
                <w:sz w:val="20"/>
                <w:szCs w:val="20"/>
                <w:color w:val="auto"/>
              </w:rPr>
            </w:pPr>
            <w:r>
              <w:rPr>
                <w:rFonts w:ascii="Arial" w:cs="Arial" w:eastAsia="Arial" w:hAnsi="Arial"/>
                <w:sz w:val="14"/>
                <w:szCs w:val="14"/>
                <w:color w:val="auto"/>
              </w:rPr>
              <w:t>Rate of increase in pensions in payment</w:t>
            </w:r>
          </w:p>
        </w:tc>
        <w:tc>
          <w:tcPr>
            <w:tcW w:w="140" w:type="dxa"/>
            <w:vAlign w:val="bottom"/>
            <w:shd w:val="clear" w:color="auto" w:fill="D8D8D8"/>
          </w:tcPr>
          <w:p>
            <w:pPr>
              <w:spacing w:after="0"/>
              <w:rPr>
                <w:sz w:val="14"/>
                <w:szCs w:val="14"/>
                <w:color w:val="auto"/>
              </w:rPr>
            </w:pPr>
          </w:p>
        </w:tc>
        <w:tc>
          <w:tcPr>
            <w:tcW w:w="720" w:type="dxa"/>
            <w:vAlign w:val="bottom"/>
            <w:shd w:val="clear" w:color="auto" w:fill="D8D8D8"/>
          </w:tcPr>
          <w:p>
            <w:pPr>
              <w:jc w:val="right"/>
              <w:ind w:right="29"/>
              <w:spacing w:after="0"/>
              <w:rPr>
                <w:sz w:val="20"/>
                <w:szCs w:val="20"/>
                <w:color w:val="auto"/>
              </w:rPr>
            </w:pPr>
            <w:r>
              <w:rPr>
                <w:rFonts w:ascii="Arial" w:cs="Arial" w:eastAsia="Arial" w:hAnsi="Arial"/>
                <w:sz w:val="14"/>
                <w:szCs w:val="14"/>
                <w:color w:val="auto"/>
              </w:rPr>
              <w:t>2%</w:t>
            </w:r>
          </w:p>
        </w:tc>
        <w:tc>
          <w:tcPr>
            <w:tcW w:w="960" w:type="dxa"/>
            <w:vAlign w:val="bottom"/>
          </w:tcPr>
          <w:p>
            <w:pPr>
              <w:jc w:val="right"/>
              <w:ind w:right="9"/>
              <w:spacing w:after="0"/>
              <w:rPr>
                <w:sz w:val="20"/>
                <w:szCs w:val="20"/>
                <w:color w:val="auto"/>
              </w:rPr>
            </w:pPr>
            <w:r>
              <w:rPr>
                <w:rFonts w:ascii="Arial" w:cs="Arial" w:eastAsia="Arial" w:hAnsi="Arial"/>
                <w:sz w:val="14"/>
                <w:szCs w:val="14"/>
                <w:color w:val="auto"/>
              </w:rPr>
              <w:t>2%</w:t>
            </w:r>
          </w:p>
        </w:tc>
        <w:tc>
          <w:tcPr>
            <w:tcW w:w="1680" w:type="dxa"/>
            <w:vAlign w:val="bottom"/>
          </w:tcPr>
          <w:p>
            <w:pPr>
              <w:jc w:val="right"/>
              <w:ind w:right="29"/>
              <w:spacing w:after="0"/>
              <w:rPr>
                <w:sz w:val="20"/>
                <w:szCs w:val="20"/>
                <w:color w:val="auto"/>
              </w:rPr>
            </w:pPr>
            <w:r>
              <w:rPr>
                <w:rFonts w:ascii="Arial" w:cs="Arial" w:eastAsia="Arial" w:hAnsi="Arial"/>
                <w:sz w:val="14"/>
                <w:szCs w:val="14"/>
                <w:color w:val="auto"/>
              </w:rPr>
              <w:t>-1% to +1%</w:t>
            </w:r>
          </w:p>
        </w:tc>
        <w:tc>
          <w:tcPr>
            <w:tcW w:w="1660" w:type="dxa"/>
            <w:vAlign w:val="bottom"/>
            <w:shd w:val="clear" w:color="auto" w:fill="D8D8D8"/>
          </w:tcPr>
          <w:p>
            <w:pPr>
              <w:jc w:val="right"/>
              <w:ind w:right="31"/>
              <w:spacing w:after="0"/>
              <w:rPr>
                <w:sz w:val="20"/>
                <w:szCs w:val="20"/>
                <w:color w:val="auto"/>
              </w:rPr>
            </w:pPr>
            <w:r>
              <w:rPr>
                <w:rFonts w:ascii="Arial" w:cs="Arial" w:eastAsia="Arial" w:hAnsi="Arial"/>
                <w:sz w:val="14"/>
                <w:szCs w:val="14"/>
                <w:color w:val="auto"/>
              </w:rPr>
              <w:t>(9,173) to 11,495</w:t>
            </w:r>
          </w:p>
        </w:tc>
        <w:tc>
          <w:tcPr>
            <w:tcW w:w="1600" w:type="dxa"/>
            <w:vAlign w:val="bottom"/>
            <w:gridSpan w:val="2"/>
          </w:tcPr>
          <w:p>
            <w:pPr>
              <w:jc w:val="right"/>
              <w:ind w:right="20"/>
              <w:spacing w:after="0"/>
              <w:rPr>
                <w:sz w:val="20"/>
                <w:szCs w:val="20"/>
                <w:color w:val="auto"/>
              </w:rPr>
            </w:pPr>
            <w:r>
              <w:rPr>
                <w:rFonts w:ascii="Arial" w:cs="Arial" w:eastAsia="Arial" w:hAnsi="Arial"/>
                <w:sz w:val="14"/>
                <w:szCs w:val="14"/>
                <w:color w:val="auto"/>
              </w:rPr>
              <w:t>(7,703) to 9,312</w:t>
            </w:r>
          </w:p>
        </w:tc>
        <w:tc>
          <w:tcPr>
            <w:tcW w:w="0" w:type="dxa"/>
            <w:vAlign w:val="bottom"/>
          </w:tcPr>
          <w:p>
            <w:pPr>
              <w:spacing w:after="0"/>
              <w:rPr>
                <w:sz w:val="1"/>
                <w:szCs w:val="1"/>
                <w:color w:val="auto"/>
              </w:rPr>
            </w:pPr>
          </w:p>
        </w:tc>
      </w:tr>
      <w:tr>
        <w:trPr>
          <w:trHeight w:val="167"/>
        </w:trPr>
        <w:tc>
          <w:tcPr>
            <w:tcW w:w="4680" w:type="dxa"/>
            <w:vAlign w:val="bottom"/>
          </w:tcPr>
          <w:p>
            <w:pPr>
              <w:spacing w:after="0"/>
              <w:rPr>
                <w:sz w:val="20"/>
                <w:szCs w:val="20"/>
                <w:color w:val="auto"/>
              </w:rPr>
            </w:pPr>
            <w:r>
              <w:rPr>
                <w:rFonts w:ascii="Arial" w:cs="Arial" w:eastAsia="Arial" w:hAnsi="Arial"/>
                <w:sz w:val="14"/>
                <w:szCs w:val="14"/>
                <w:color w:val="auto"/>
              </w:rPr>
              <w:t>Rate of increase in healthcare costs</w:t>
            </w:r>
          </w:p>
        </w:tc>
        <w:tc>
          <w:tcPr>
            <w:tcW w:w="140" w:type="dxa"/>
            <w:vAlign w:val="bottom"/>
            <w:shd w:val="clear" w:color="auto" w:fill="D8D8D8"/>
          </w:tcPr>
          <w:p>
            <w:pPr>
              <w:spacing w:after="0"/>
              <w:rPr>
                <w:sz w:val="14"/>
                <w:szCs w:val="14"/>
                <w:color w:val="auto"/>
              </w:rPr>
            </w:pPr>
          </w:p>
        </w:tc>
        <w:tc>
          <w:tcPr>
            <w:tcW w:w="720" w:type="dxa"/>
            <w:vAlign w:val="bottom"/>
            <w:shd w:val="clear" w:color="auto" w:fill="D8D8D8"/>
          </w:tcPr>
          <w:p>
            <w:pPr>
              <w:jc w:val="right"/>
              <w:ind w:right="29"/>
              <w:spacing w:after="0"/>
              <w:rPr>
                <w:sz w:val="20"/>
                <w:szCs w:val="20"/>
                <w:color w:val="auto"/>
              </w:rPr>
            </w:pPr>
            <w:r>
              <w:rPr>
                <w:rFonts w:ascii="Arial" w:cs="Arial" w:eastAsia="Arial" w:hAnsi="Arial"/>
                <w:sz w:val="14"/>
                <w:szCs w:val="14"/>
                <w:color w:val="auto"/>
              </w:rPr>
              <w:t>7%</w:t>
            </w:r>
          </w:p>
        </w:tc>
        <w:tc>
          <w:tcPr>
            <w:tcW w:w="960" w:type="dxa"/>
            <w:vAlign w:val="bottom"/>
          </w:tcPr>
          <w:p>
            <w:pPr>
              <w:jc w:val="right"/>
              <w:ind w:right="9"/>
              <w:spacing w:after="0"/>
              <w:rPr>
                <w:sz w:val="20"/>
                <w:szCs w:val="20"/>
                <w:color w:val="auto"/>
              </w:rPr>
            </w:pPr>
            <w:r>
              <w:rPr>
                <w:rFonts w:ascii="Arial" w:cs="Arial" w:eastAsia="Arial" w:hAnsi="Arial"/>
                <w:sz w:val="14"/>
                <w:szCs w:val="14"/>
                <w:color w:val="auto"/>
              </w:rPr>
              <w:t>7%</w:t>
            </w:r>
          </w:p>
        </w:tc>
        <w:tc>
          <w:tcPr>
            <w:tcW w:w="1680" w:type="dxa"/>
            <w:vAlign w:val="bottom"/>
          </w:tcPr>
          <w:p>
            <w:pPr>
              <w:jc w:val="right"/>
              <w:ind w:right="29"/>
              <w:spacing w:after="0"/>
              <w:rPr>
                <w:sz w:val="20"/>
                <w:szCs w:val="20"/>
                <w:color w:val="auto"/>
              </w:rPr>
            </w:pPr>
            <w:r>
              <w:rPr>
                <w:rFonts w:ascii="Arial" w:cs="Arial" w:eastAsia="Arial" w:hAnsi="Arial"/>
                <w:sz w:val="14"/>
                <w:szCs w:val="14"/>
                <w:color w:val="auto"/>
              </w:rPr>
              <w:t>-1% to +1%</w:t>
            </w:r>
          </w:p>
        </w:tc>
        <w:tc>
          <w:tcPr>
            <w:tcW w:w="1660" w:type="dxa"/>
            <w:vAlign w:val="bottom"/>
            <w:shd w:val="clear" w:color="auto" w:fill="D8D8D8"/>
          </w:tcPr>
          <w:p>
            <w:pPr>
              <w:jc w:val="right"/>
              <w:ind w:right="31"/>
              <w:spacing w:after="0"/>
              <w:rPr>
                <w:sz w:val="20"/>
                <w:szCs w:val="20"/>
                <w:color w:val="auto"/>
              </w:rPr>
            </w:pPr>
            <w:r>
              <w:rPr>
                <w:rFonts w:ascii="Arial" w:cs="Arial" w:eastAsia="Arial" w:hAnsi="Arial"/>
                <w:sz w:val="14"/>
                <w:szCs w:val="14"/>
                <w:color w:val="auto"/>
              </w:rPr>
              <w:t>(480) to 591</w:t>
            </w:r>
          </w:p>
        </w:tc>
        <w:tc>
          <w:tcPr>
            <w:tcW w:w="1600" w:type="dxa"/>
            <w:vAlign w:val="bottom"/>
            <w:gridSpan w:val="2"/>
          </w:tcPr>
          <w:p>
            <w:pPr>
              <w:jc w:val="right"/>
              <w:ind w:right="20"/>
              <w:spacing w:after="0"/>
              <w:rPr>
                <w:sz w:val="20"/>
                <w:szCs w:val="20"/>
                <w:color w:val="auto"/>
              </w:rPr>
            </w:pPr>
            <w:r>
              <w:rPr>
                <w:rFonts w:ascii="Arial" w:cs="Arial" w:eastAsia="Arial" w:hAnsi="Arial"/>
                <w:sz w:val="14"/>
                <w:szCs w:val="14"/>
                <w:color w:val="auto"/>
              </w:rPr>
              <w:t>(435) to 550</w:t>
            </w:r>
          </w:p>
        </w:tc>
        <w:tc>
          <w:tcPr>
            <w:tcW w:w="0" w:type="dxa"/>
            <w:vAlign w:val="bottom"/>
          </w:tcPr>
          <w:p>
            <w:pPr>
              <w:spacing w:after="0"/>
              <w:rPr>
                <w:sz w:val="1"/>
                <w:szCs w:val="1"/>
                <w:color w:val="auto"/>
              </w:rPr>
            </w:pPr>
          </w:p>
        </w:tc>
      </w:tr>
      <w:tr>
        <w:trPr>
          <w:trHeight w:val="162"/>
        </w:trPr>
        <w:tc>
          <w:tcPr>
            <w:tcW w:w="4680" w:type="dxa"/>
            <w:vAlign w:val="bottom"/>
          </w:tcPr>
          <w:p>
            <w:pPr>
              <w:spacing w:after="0"/>
              <w:rPr>
                <w:sz w:val="20"/>
                <w:szCs w:val="20"/>
                <w:color w:val="auto"/>
              </w:rPr>
            </w:pPr>
            <w:r>
              <w:rPr>
                <w:rFonts w:ascii="Arial" w:cs="Arial" w:eastAsia="Arial" w:hAnsi="Arial"/>
                <w:sz w:val="14"/>
                <w:szCs w:val="14"/>
                <w:color w:val="auto"/>
              </w:rPr>
              <w:t>Discount rate for pension plans</w:t>
            </w:r>
          </w:p>
        </w:tc>
        <w:tc>
          <w:tcPr>
            <w:tcW w:w="140" w:type="dxa"/>
            <w:vAlign w:val="bottom"/>
            <w:shd w:val="clear" w:color="auto" w:fill="D8D8D8"/>
          </w:tcPr>
          <w:p>
            <w:pPr>
              <w:spacing w:after="0"/>
              <w:rPr>
                <w:sz w:val="14"/>
                <w:szCs w:val="14"/>
                <w:color w:val="auto"/>
              </w:rPr>
            </w:pPr>
          </w:p>
        </w:tc>
        <w:tc>
          <w:tcPr>
            <w:tcW w:w="720" w:type="dxa"/>
            <w:vAlign w:val="bottom"/>
            <w:shd w:val="clear" w:color="auto" w:fill="D8D8D8"/>
          </w:tcPr>
          <w:p>
            <w:pPr>
              <w:jc w:val="right"/>
              <w:ind w:right="29"/>
              <w:spacing w:after="0"/>
              <w:rPr>
                <w:sz w:val="20"/>
                <w:szCs w:val="20"/>
                <w:color w:val="auto"/>
              </w:rPr>
            </w:pPr>
            <w:r>
              <w:rPr>
                <w:rFonts w:ascii="Arial" w:cs="Arial" w:eastAsia="Arial" w:hAnsi="Arial"/>
                <w:sz w:val="14"/>
                <w:szCs w:val="14"/>
                <w:color w:val="auto"/>
              </w:rPr>
              <w:t>3%</w:t>
            </w:r>
          </w:p>
        </w:tc>
        <w:tc>
          <w:tcPr>
            <w:tcW w:w="960" w:type="dxa"/>
            <w:vAlign w:val="bottom"/>
          </w:tcPr>
          <w:p>
            <w:pPr>
              <w:jc w:val="right"/>
              <w:ind w:right="9"/>
              <w:spacing w:after="0"/>
              <w:rPr>
                <w:sz w:val="20"/>
                <w:szCs w:val="20"/>
                <w:color w:val="auto"/>
              </w:rPr>
            </w:pPr>
            <w:r>
              <w:rPr>
                <w:rFonts w:ascii="Arial" w:cs="Arial" w:eastAsia="Arial" w:hAnsi="Arial"/>
                <w:sz w:val="14"/>
                <w:szCs w:val="14"/>
                <w:color w:val="auto"/>
              </w:rPr>
              <w:t>4%</w:t>
            </w:r>
          </w:p>
        </w:tc>
        <w:tc>
          <w:tcPr>
            <w:tcW w:w="1680" w:type="dxa"/>
            <w:vAlign w:val="bottom"/>
          </w:tcPr>
          <w:p>
            <w:pPr>
              <w:jc w:val="right"/>
              <w:ind w:right="29"/>
              <w:spacing w:after="0"/>
              <w:rPr>
                <w:sz w:val="20"/>
                <w:szCs w:val="20"/>
                <w:color w:val="auto"/>
              </w:rPr>
            </w:pPr>
            <w:r>
              <w:rPr>
                <w:rFonts w:ascii="Arial" w:cs="Arial" w:eastAsia="Arial" w:hAnsi="Arial"/>
                <w:sz w:val="14"/>
                <w:szCs w:val="14"/>
                <w:color w:val="auto"/>
              </w:rPr>
              <w:t>-1% to +1%</w:t>
            </w:r>
          </w:p>
        </w:tc>
        <w:tc>
          <w:tcPr>
            <w:tcW w:w="1660" w:type="dxa"/>
            <w:vAlign w:val="bottom"/>
            <w:shd w:val="clear" w:color="auto" w:fill="D8D8D8"/>
          </w:tcPr>
          <w:p>
            <w:pPr>
              <w:jc w:val="right"/>
              <w:ind w:right="31"/>
              <w:spacing w:after="0"/>
              <w:rPr>
                <w:sz w:val="20"/>
                <w:szCs w:val="20"/>
                <w:color w:val="auto"/>
              </w:rPr>
            </w:pPr>
            <w:r>
              <w:rPr>
                <w:rFonts w:ascii="Arial" w:cs="Arial" w:eastAsia="Arial" w:hAnsi="Arial"/>
                <w:sz w:val="14"/>
                <w:szCs w:val="14"/>
                <w:color w:val="auto"/>
              </w:rPr>
              <w:t>17,816 to (13,674)</w:t>
            </w:r>
          </w:p>
        </w:tc>
        <w:tc>
          <w:tcPr>
            <w:tcW w:w="1600" w:type="dxa"/>
            <w:vAlign w:val="bottom"/>
            <w:gridSpan w:val="2"/>
          </w:tcPr>
          <w:p>
            <w:pPr>
              <w:jc w:val="right"/>
              <w:ind w:right="20"/>
              <w:spacing w:after="0"/>
              <w:rPr>
                <w:sz w:val="20"/>
                <w:szCs w:val="20"/>
                <w:color w:val="auto"/>
              </w:rPr>
            </w:pPr>
            <w:r>
              <w:rPr>
                <w:rFonts w:ascii="Arial" w:cs="Arial" w:eastAsia="Arial" w:hAnsi="Arial"/>
                <w:sz w:val="14"/>
                <w:szCs w:val="14"/>
                <w:color w:val="auto"/>
              </w:rPr>
              <w:t>14,729 to (11,517)</w:t>
            </w:r>
          </w:p>
        </w:tc>
        <w:tc>
          <w:tcPr>
            <w:tcW w:w="0" w:type="dxa"/>
            <w:vAlign w:val="bottom"/>
          </w:tcPr>
          <w:p>
            <w:pPr>
              <w:spacing w:after="0"/>
              <w:rPr>
                <w:sz w:val="1"/>
                <w:szCs w:val="1"/>
                <w:color w:val="auto"/>
              </w:rPr>
            </w:pPr>
          </w:p>
        </w:tc>
      </w:tr>
      <w:tr>
        <w:trPr>
          <w:trHeight w:val="162"/>
        </w:trPr>
        <w:tc>
          <w:tcPr>
            <w:tcW w:w="4680" w:type="dxa"/>
            <w:vAlign w:val="bottom"/>
          </w:tcPr>
          <w:p>
            <w:pPr>
              <w:spacing w:after="0"/>
              <w:rPr>
                <w:sz w:val="20"/>
                <w:szCs w:val="20"/>
                <w:color w:val="auto"/>
              </w:rPr>
            </w:pPr>
            <w:r>
              <w:rPr>
                <w:rFonts w:ascii="Arial" w:cs="Arial" w:eastAsia="Arial" w:hAnsi="Arial"/>
                <w:sz w:val="14"/>
                <w:szCs w:val="14"/>
                <w:color w:val="auto"/>
              </w:rPr>
              <w:t>Discount rate for healthcare plans</w:t>
            </w:r>
          </w:p>
        </w:tc>
        <w:tc>
          <w:tcPr>
            <w:tcW w:w="140" w:type="dxa"/>
            <w:vAlign w:val="bottom"/>
            <w:shd w:val="clear" w:color="auto" w:fill="D8D8D8"/>
          </w:tcPr>
          <w:p>
            <w:pPr>
              <w:spacing w:after="0"/>
              <w:rPr>
                <w:sz w:val="14"/>
                <w:szCs w:val="14"/>
                <w:color w:val="auto"/>
              </w:rPr>
            </w:pPr>
          </w:p>
        </w:tc>
        <w:tc>
          <w:tcPr>
            <w:tcW w:w="720" w:type="dxa"/>
            <w:vAlign w:val="bottom"/>
            <w:shd w:val="clear" w:color="auto" w:fill="D8D8D8"/>
          </w:tcPr>
          <w:p>
            <w:pPr>
              <w:jc w:val="right"/>
              <w:ind w:right="29"/>
              <w:spacing w:after="0"/>
              <w:rPr>
                <w:sz w:val="20"/>
                <w:szCs w:val="20"/>
                <w:color w:val="auto"/>
              </w:rPr>
            </w:pPr>
            <w:r>
              <w:rPr>
                <w:rFonts w:ascii="Arial" w:cs="Arial" w:eastAsia="Arial" w:hAnsi="Arial"/>
                <w:sz w:val="14"/>
                <w:szCs w:val="14"/>
                <w:color w:val="auto"/>
              </w:rPr>
              <w:t>4%</w:t>
            </w:r>
          </w:p>
        </w:tc>
        <w:tc>
          <w:tcPr>
            <w:tcW w:w="960" w:type="dxa"/>
            <w:vAlign w:val="bottom"/>
          </w:tcPr>
          <w:p>
            <w:pPr>
              <w:jc w:val="right"/>
              <w:ind w:right="9"/>
              <w:spacing w:after="0"/>
              <w:rPr>
                <w:sz w:val="20"/>
                <w:szCs w:val="20"/>
                <w:color w:val="auto"/>
              </w:rPr>
            </w:pPr>
            <w:r>
              <w:rPr>
                <w:rFonts w:ascii="Arial" w:cs="Arial" w:eastAsia="Arial" w:hAnsi="Arial"/>
                <w:sz w:val="14"/>
                <w:szCs w:val="14"/>
                <w:color w:val="auto"/>
              </w:rPr>
              <w:t>5%</w:t>
            </w:r>
          </w:p>
        </w:tc>
        <w:tc>
          <w:tcPr>
            <w:tcW w:w="1680" w:type="dxa"/>
            <w:vAlign w:val="bottom"/>
          </w:tcPr>
          <w:p>
            <w:pPr>
              <w:jc w:val="right"/>
              <w:ind w:right="29"/>
              <w:spacing w:after="0"/>
              <w:rPr>
                <w:sz w:val="20"/>
                <w:szCs w:val="20"/>
                <w:color w:val="auto"/>
              </w:rPr>
            </w:pPr>
            <w:r>
              <w:rPr>
                <w:rFonts w:ascii="Arial" w:cs="Arial" w:eastAsia="Arial" w:hAnsi="Arial"/>
                <w:sz w:val="14"/>
                <w:szCs w:val="14"/>
                <w:color w:val="auto"/>
              </w:rPr>
              <w:t>-1% to +1%</w:t>
            </w:r>
          </w:p>
        </w:tc>
        <w:tc>
          <w:tcPr>
            <w:tcW w:w="1660" w:type="dxa"/>
            <w:vAlign w:val="bottom"/>
            <w:shd w:val="clear" w:color="auto" w:fill="D8D8D8"/>
          </w:tcPr>
          <w:p>
            <w:pPr>
              <w:jc w:val="right"/>
              <w:ind w:right="31"/>
              <w:spacing w:after="0"/>
              <w:rPr>
                <w:sz w:val="20"/>
                <w:szCs w:val="20"/>
                <w:color w:val="auto"/>
              </w:rPr>
            </w:pPr>
            <w:r>
              <w:rPr>
                <w:rFonts w:ascii="Arial" w:cs="Arial" w:eastAsia="Arial" w:hAnsi="Arial"/>
                <w:sz w:val="14"/>
                <w:szCs w:val="14"/>
                <w:color w:val="auto"/>
              </w:rPr>
              <w:t>723 to (571)</w:t>
            </w:r>
          </w:p>
        </w:tc>
        <w:tc>
          <w:tcPr>
            <w:tcW w:w="1600" w:type="dxa"/>
            <w:vAlign w:val="bottom"/>
            <w:gridSpan w:val="2"/>
          </w:tcPr>
          <w:p>
            <w:pPr>
              <w:jc w:val="right"/>
              <w:ind w:right="20"/>
              <w:spacing w:after="0"/>
              <w:rPr>
                <w:sz w:val="20"/>
                <w:szCs w:val="20"/>
                <w:color w:val="auto"/>
              </w:rPr>
            </w:pPr>
            <w:r>
              <w:rPr>
                <w:rFonts w:ascii="Arial" w:cs="Arial" w:eastAsia="Arial" w:hAnsi="Arial"/>
                <w:sz w:val="14"/>
                <w:szCs w:val="14"/>
                <w:color w:val="auto"/>
              </w:rPr>
              <w:t>650 to (520)</w:t>
            </w:r>
          </w:p>
        </w:tc>
        <w:tc>
          <w:tcPr>
            <w:tcW w:w="0" w:type="dxa"/>
            <w:vAlign w:val="bottom"/>
          </w:tcPr>
          <w:p>
            <w:pPr>
              <w:spacing w:after="0"/>
              <w:rPr>
                <w:sz w:val="1"/>
                <w:szCs w:val="1"/>
                <w:color w:val="auto"/>
              </w:rPr>
            </w:pPr>
          </w:p>
        </w:tc>
      </w:tr>
      <w:tr>
        <w:trPr>
          <w:trHeight w:val="162"/>
        </w:trPr>
        <w:tc>
          <w:tcPr>
            <w:tcW w:w="4680" w:type="dxa"/>
            <w:vAlign w:val="bottom"/>
          </w:tcPr>
          <w:p>
            <w:pPr>
              <w:spacing w:after="0"/>
              <w:rPr>
                <w:sz w:val="20"/>
                <w:szCs w:val="20"/>
                <w:color w:val="auto"/>
              </w:rPr>
            </w:pPr>
            <w:r>
              <w:rPr>
                <w:rFonts w:ascii="Arial" w:cs="Arial" w:eastAsia="Arial" w:hAnsi="Arial"/>
                <w:sz w:val="14"/>
                <w:szCs w:val="14"/>
                <w:color w:val="auto"/>
              </w:rPr>
              <w:t>Expected age at death for persons aged 60:</w:t>
            </w:r>
          </w:p>
        </w:tc>
        <w:tc>
          <w:tcPr>
            <w:tcW w:w="140" w:type="dxa"/>
            <w:vAlign w:val="bottom"/>
            <w:shd w:val="clear" w:color="auto" w:fill="D8D8D8"/>
          </w:tcPr>
          <w:p>
            <w:pPr>
              <w:spacing w:after="0"/>
              <w:rPr>
                <w:sz w:val="14"/>
                <w:szCs w:val="14"/>
                <w:color w:val="auto"/>
              </w:rPr>
            </w:pPr>
          </w:p>
        </w:tc>
        <w:tc>
          <w:tcPr>
            <w:tcW w:w="720" w:type="dxa"/>
            <w:vAlign w:val="bottom"/>
            <w:shd w:val="clear" w:color="auto" w:fill="D8D8D8"/>
          </w:tcPr>
          <w:p>
            <w:pPr>
              <w:spacing w:after="0"/>
              <w:rPr>
                <w:sz w:val="14"/>
                <w:szCs w:val="14"/>
                <w:color w:val="auto"/>
              </w:rPr>
            </w:pPr>
          </w:p>
        </w:tc>
        <w:tc>
          <w:tcPr>
            <w:tcW w:w="96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660" w:type="dxa"/>
            <w:vAlign w:val="bottom"/>
            <w:shd w:val="clear" w:color="auto" w:fill="D8D8D8"/>
          </w:tcPr>
          <w:p>
            <w:pPr>
              <w:spacing w:after="0"/>
              <w:rPr>
                <w:sz w:val="14"/>
                <w:szCs w:val="14"/>
                <w:color w:val="auto"/>
              </w:rPr>
            </w:pPr>
          </w:p>
        </w:tc>
        <w:tc>
          <w:tcPr>
            <w:tcW w:w="1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680" w:type="dxa"/>
            <w:vAlign w:val="bottom"/>
          </w:tcPr>
          <w:p>
            <w:pPr>
              <w:ind w:left="140"/>
              <w:spacing w:after="0"/>
              <w:rPr>
                <w:sz w:val="20"/>
                <w:szCs w:val="20"/>
                <w:color w:val="auto"/>
              </w:rPr>
            </w:pPr>
            <w:r>
              <w:rPr>
                <w:rFonts w:ascii="Arial" w:cs="Arial" w:eastAsia="Arial" w:hAnsi="Arial"/>
                <w:sz w:val="14"/>
                <w:szCs w:val="14"/>
                <w:color w:val="auto"/>
              </w:rPr>
              <w:t>Men</w:t>
            </w:r>
          </w:p>
        </w:tc>
        <w:tc>
          <w:tcPr>
            <w:tcW w:w="140" w:type="dxa"/>
            <w:vAlign w:val="bottom"/>
            <w:shd w:val="clear" w:color="auto" w:fill="D8D8D8"/>
          </w:tcPr>
          <w:p>
            <w:pPr>
              <w:spacing w:after="0"/>
              <w:rPr>
                <w:sz w:val="14"/>
                <w:szCs w:val="14"/>
                <w:color w:val="auto"/>
              </w:rPr>
            </w:pPr>
          </w:p>
        </w:tc>
        <w:tc>
          <w:tcPr>
            <w:tcW w:w="720" w:type="dxa"/>
            <w:vAlign w:val="bottom"/>
            <w:shd w:val="clear" w:color="auto" w:fill="D8D8D8"/>
          </w:tcPr>
          <w:p>
            <w:pPr>
              <w:jc w:val="right"/>
              <w:ind w:right="29"/>
              <w:spacing w:after="0"/>
              <w:rPr>
                <w:sz w:val="20"/>
                <w:szCs w:val="20"/>
                <w:color w:val="auto"/>
              </w:rPr>
            </w:pPr>
            <w:r>
              <w:rPr>
                <w:rFonts w:ascii="Arial" w:cs="Arial" w:eastAsia="Arial" w:hAnsi="Arial"/>
                <w:sz w:val="14"/>
                <w:szCs w:val="14"/>
                <w:color w:val="auto"/>
              </w:rPr>
              <w:t>87 years</w:t>
            </w:r>
          </w:p>
        </w:tc>
        <w:tc>
          <w:tcPr>
            <w:tcW w:w="960" w:type="dxa"/>
            <w:vAlign w:val="bottom"/>
          </w:tcPr>
          <w:p>
            <w:pPr>
              <w:jc w:val="right"/>
              <w:ind w:right="9"/>
              <w:spacing w:after="0"/>
              <w:rPr>
                <w:sz w:val="20"/>
                <w:szCs w:val="20"/>
                <w:color w:val="auto"/>
              </w:rPr>
            </w:pPr>
            <w:r>
              <w:rPr>
                <w:rFonts w:ascii="Arial" w:cs="Arial" w:eastAsia="Arial" w:hAnsi="Arial"/>
                <w:sz w:val="14"/>
                <w:szCs w:val="14"/>
                <w:color w:val="auto"/>
              </w:rPr>
              <w:t>87 years</w:t>
            </w:r>
          </w:p>
        </w:tc>
        <w:tc>
          <w:tcPr>
            <w:tcW w:w="1680" w:type="dxa"/>
            <w:vAlign w:val="bottom"/>
          </w:tcPr>
          <w:p>
            <w:pPr>
              <w:jc w:val="right"/>
              <w:ind w:right="29"/>
              <w:spacing w:after="0"/>
              <w:rPr>
                <w:sz w:val="20"/>
                <w:szCs w:val="20"/>
                <w:color w:val="auto"/>
              </w:rPr>
            </w:pPr>
            <w:r>
              <w:rPr>
                <w:rFonts w:ascii="Arial" w:cs="Arial" w:eastAsia="Arial" w:hAnsi="Arial"/>
                <w:sz w:val="14"/>
                <w:szCs w:val="14"/>
                <w:color w:val="auto"/>
              </w:rPr>
              <w:t>-1 year to +1 year</w:t>
            </w:r>
          </w:p>
        </w:tc>
        <w:tc>
          <w:tcPr>
            <w:tcW w:w="1660" w:type="dxa"/>
            <w:vAlign w:val="bottom"/>
            <w:shd w:val="clear" w:color="auto" w:fill="D8D8D8"/>
          </w:tcPr>
          <w:p>
            <w:pPr>
              <w:jc w:val="right"/>
              <w:ind w:right="31"/>
              <w:spacing w:after="0"/>
              <w:rPr>
                <w:sz w:val="20"/>
                <w:szCs w:val="20"/>
                <w:color w:val="auto"/>
              </w:rPr>
            </w:pPr>
            <w:r>
              <w:rPr>
                <w:rFonts w:ascii="Arial" w:cs="Arial" w:eastAsia="Arial" w:hAnsi="Arial"/>
                <w:sz w:val="14"/>
                <w:szCs w:val="14"/>
                <w:color w:val="auto"/>
              </w:rPr>
              <w:t>(2,018) to 2,048</w:t>
            </w:r>
          </w:p>
        </w:tc>
        <w:tc>
          <w:tcPr>
            <w:tcW w:w="1600" w:type="dxa"/>
            <w:vAlign w:val="bottom"/>
            <w:gridSpan w:val="2"/>
          </w:tcPr>
          <w:p>
            <w:pPr>
              <w:jc w:val="right"/>
              <w:ind w:right="20"/>
              <w:spacing w:after="0"/>
              <w:rPr>
                <w:sz w:val="20"/>
                <w:szCs w:val="20"/>
                <w:color w:val="auto"/>
              </w:rPr>
            </w:pPr>
            <w:r>
              <w:rPr>
                <w:rFonts w:ascii="Arial" w:cs="Arial" w:eastAsia="Arial" w:hAnsi="Arial"/>
                <w:sz w:val="14"/>
                <w:szCs w:val="14"/>
                <w:color w:val="auto"/>
              </w:rPr>
              <w:t>(1,764) to 1,773</w:t>
            </w:r>
          </w:p>
        </w:tc>
        <w:tc>
          <w:tcPr>
            <w:tcW w:w="0" w:type="dxa"/>
            <w:vAlign w:val="bottom"/>
          </w:tcPr>
          <w:p>
            <w:pPr>
              <w:spacing w:after="0"/>
              <w:rPr>
                <w:sz w:val="1"/>
                <w:szCs w:val="1"/>
                <w:color w:val="auto"/>
              </w:rPr>
            </w:pPr>
          </w:p>
        </w:tc>
      </w:tr>
      <w:tr>
        <w:trPr>
          <w:trHeight w:val="157"/>
        </w:trPr>
        <w:tc>
          <w:tcPr>
            <w:tcW w:w="4680" w:type="dxa"/>
            <w:vAlign w:val="bottom"/>
            <w:tcBorders>
              <w:bottom w:val="single" w:sz="8" w:color="auto"/>
            </w:tcBorders>
          </w:tcPr>
          <w:p>
            <w:pPr>
              <w:ind w:left="140"/>
              <w:spacing w:after="0" w:line="157" w:lineRule="exact"/>
              <w:rPr>
                <w:sz w:val="20"/>
                <w:szCs w:val="20"/>
                <w:color w:val="auto"/>
              </w:rPr>
            </w:pPr>
            <w:r>
              <w:rPr>
                <w:rFonts w:ascii="Arial" w:cs="Arial" w:eastAsia="Arial" w:hAnsi="Arial"/>
                <w:sz w:val="14"/>
                <w:szCs w:val="14"/>
                <w:color w:val="auto"/>
              </w:rPr>
              <w:t>Women</w:t>
            </w:r>
          </w:p>
        </w:tc>
        <w:tc>
          <w:tcPr>
            <w:tcW w:w="140" w:type="dxa"/>
            <w:vAlign w:val="bottom"/>
            <w:tcBorders>
              <w:bottom w:val="single" w:sz="8" w:color="auto"/>
            </w:tcBorders>
            <w:shd w:val="clear" w:color="auto" w:fill="D8D8D8"/>
          </w:tcPr>
          <w:p>
            <w:pPr>
              <w:spacing w:after="0"/>
              <w:rPr>
                <w:sz w:val="13"/>
                <w:szCs w:val="13"/>
                <w:color w:val="auto"/>
              </w:rPr>
            </w:pPr>
          </w:p>
        </w:tc>
        <w:tc>
          <w:tcPr>
            <w:tcW w:w="720" w:type="dxa"/>
            <w:vAlign w:val="bottom"/>
            <w:tcBorders>
              <w:bottom w:val="single" w:sz="8" w:color="auto"/>
            </w:tcBorders>
            <w:shd w:val="clear" w:color="auto" w:fill="D8D8D8"/>
          </w:tcPr>
          <w:p>
            <w:pPr>
              <w:jc w:val="right"/>
              <w:ind w:right="29"/>
              <w:spacing w:after="0" w:line="157" w:lineRule="exact"/>
              <w:rPr>
                <w:sz w:val="20"/>
                <w:szCs w:val="20"/>
                <w:color w:val="auto"/>
              </w:rPr>
            </w:pPr>
            <w:r>
              <w:rPr>
                <w:rFonts w:ascii="Arial" w:cs="Arial" w:eastAsia="Arial" w:hAnsi="Arial"/>
                <w:sz w:val="14"/>
                <w:szCs w:val="14"/>
                <w:color w:val="auto"/>
              </w:rPr>
              <w:t>89 years</w:t>
            </w:r>
          </w:p>
        </w:tc>
        <w:tc>
          <w:tcPr>
            <w:tcW w:w="960" w:type="dxa"/>
            <w:vAlign w:val="bottom"/>
            <w:tcBorders>
              <w:bottom w:val="single" w:sz="8" w:color="auto"/>
            </w:tcBorders>
          </w:tcPr>
          <w:p>
            <w:pPr>
              <w:jc w:val="right"/>
              <w:ind w:right="9"/>
              <w:spacing w:after="0" w:line="157" w:lineRule="exact"/>
              <w:rPr>
                <w:sz w:val="20"/>
                <w:szCs w:val="20"/>
                <w:color w:val="auto"/>
              </w:rPr>
            </w:pPr>
            <w:r>
              <w:rPr>
                <w:rFonts w:ascii="Arial" w:cs="Arial" w:eastAsia="Arial" w:hAnsi="Arial"/>
                <w:sz w:val="14"/>
                <w:szCs w:val="14"/>
                <w:color w:val="auto"/>
              </w:rPr>
              <w:t>89 years</w:t>
            </w:r>
          </w:p>
        </w:tc>
        <w:tc>
          <w:tcPr>
            <w:tcW w:w="1680" w:type="dxa"/>
            <w:vAlign w:val="bottom"/>
            <w:tcBorders>
              <w:bottom w:val="single" w:sz="8" w:color="auto"/>
            </w:tcBorders>
          </w:tcPr>
          <w:p>
            <w:pPr>
              <w:jc w:val="right"/>
              <w:ind w:right="29"/>
              <w:spacing w:after="0" w:line="157" w:lineRule="exact"/>
              <w:rPr>
                <w:sz w:val="20"/>
                <w:szCs w:val="20"/>
                <w:color w:val="auto"/>
              </w:rPr>
            </w:pPr>
            <w:r>
              <w:rPr>
                <w:rFonts w:ascii="Arial" w:cs="Arial" w:eastAsia="Arial" w:hAnsi="Arial"/>
                <w:sz w:val="14"/>
                <w:szCs w:val="14"/>
                <w:color w:val="auto"/>
              </w:rPr>
              <w:t>-1 year to +1 year</w:t>
            </w:r>
          </w:p>
        </w:tc>
        <w:tc>
          <w:tcPr>
            <w:tcW w:w="1660" w:type="dxa"/>
            <w:vAlign w:val="bottom"/>
            <w:tcBorders>
              <w:bottom w:val="single" w:sz="8" w:color="auto"/>
            </w:tcBorders>
            <w:shd w:val="clear" w:color="auto" w:fill="D8D8D8"/>
          </w:tcPr>
          <w:p>
            <w:pPr>
              <w:jc w:val="right"/>
              <w:ind w:right="31"/>
              <w:spacing w:after="0" w:line="157" w:lineRule="exact"/>
              <w:rPr>
                <w:sz w:val="20"/>
                <w:szCs w:val="20"/>
                <w:color w:val="auto"/>
              </w:rPr>
            </w:pPr>
            <w:r>
              <w:rPr>
                <w:rFonts w:ascii="Arial" w:cs="Arial" w:eastAsia="Arial" w:hAnsi="Arial"/>
                <w:sz w:val="14"/>
                <w:szCs w:val="14"/>
                <w:color w:val="auto"/>
              </w:rPr>
              <w:t>(1,258) to 1,297</w:t>
            </w:r>
          </w:p>
        </w:tc>
        <w:tc>
          <w:tcPr>
            <w:tcW w:w="1580" w:type="dxa"/>
            <w:vAlign w:val="bottom"/>
            <w:tcBorders>
              <w:bottom w:val="single" w:sz="8" w:color="auto"/>
            </w:tcBorders>
          </w:tcPr>
          <w:p>
            <w:pPr>
              <w:jc w:val="right"/>
              <w:spacing w:after="0" w:line="157" w:lineRule="exact"/>
              <w:rPr>
                <w:sz w:val="20"/>
                <w:szCs w:val="20"/>
                <w:color w:val="auto"/>
              </w:rPr>
            </w:pPr>
            <w:r>
              <w:rPr>
                <w:rFonts w:ascii="Arial" w:cs="Arial" w:eastAsia="Arial" w:hAnsi="Arial"/>
                <w:sz w:val="14"/>
                <w:szCs w:val="14"/>
                <w:color w:val="auto"/>
              </w:rPr>
              <w:t>(1,076) to 1,095</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32" w:name="page133"/>
    <w:bookmarkEnd w:id="1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6428105</wp:posOffset>
            </wp:positionH>
            <wp:positionV relativeFrom="paragraph">
              <wp:posOffset>300355</wp:posOffset>
            </wp:positionV>
            <wp:extent cx="8890" cy="46291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8890" cy="462915"/>
                    </a:xfrm>
                    <a:prstGeom prst="rect">
                      <a:avLst/>
                    </a:prstGeom>
                    <a:noFill/>
                  </pic:spPr>
                </pic:pic>
              </a:graphicData>
            </a:graphic>
          </wp:anchor>
        </w:drawing>
      </w:r>
    </w:p>
    <w:p>
      <w:pPr>
        <w:spacing w:after="0" w:line="200" w:lineRule="exact"/>
        <w:rPr>
          <w:sz w:val="20"/>
          <w:szCs w:val="20"/>
          <w:color w:val="auto"/>
        </w:rPr>
      </w:pP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565"/>
        </w:trPr>
        <w:tc>
          <w:tcPr>
            <w:tcW w:w="5600" w:type="dxa"/>
            <w:vAlign w:val="bottom"/>
          </w:tcPr>
          <w:p>
            <w:pPr>
              <w:spacing w:after="0"/>
              <w:rPr>
                <w:sz w:val="24"/>
                <w:szCs w:val="24"/>
                <w:color w:val="auto"/>
              </w:rPr>
            </w:pPr>
          </w:p>
        </w:tc>
        <w:tc>
          <w:tcPr>
            <w:tcW w:w="4240" w:type="dxa"/>
            <w:vAlign w:val="bottom"/>
            <w:gridSpan w:val="3"/>
            <w:shd w:val="clear" w:color="auto" w:fill="FF8B00"/>
          </w:tcPr>
          <w:p>
            <w:pPr>
              <w:ind w:left="880"/>
              <w:spacing w:after="0"/>
              <w:rPr>
                <w:sz w:val="20"/>
                <w:szCs w:val="20"/>
                <w:color w:val="auto"/>
              </w:rPr>
            </w:pPr>
            <w:r>
              <w:rPr>
                <w:rFonts w:ascii="Arial" w:cs="Arial" w:eastAsia="Arial" w:hAnsi="Arial"/>
                <w:sz w:val="13"/>
                <w:szCs w:val="13"/>
                <w:color w:val="333333"/>
              </w:rPr>
              <w:t>FINANCIAL STATEMENTS AND SUPPLEMENTS</w:t>
            </w:r>
          </w:p>
        </w:tc>
        <w:tc>
          <w:tcPr>
            <w:tcW w:w="700" w:type="dxa"/>
            <w:vAlign w:val="bottom"/>
            <w:shd w:val="clear" w:color="auto" w:fill="FF8B00"/>
          </w:tcPr>
          <w:p>
            <w:pPr>
              <w:spacing w:after="0"/>
              <w:rPr>
                <w:sz w:val="24"/>
                <w:szCs w:val="24"/>
                <w:color w:val="auto"/>
              </w:rPr>
            </w:pPr>
          </w:p>
        </w:tc>
        <w:tc>
          <w:tcPr>
            <w:tcW w:w="880" w:type="dxa"/>
            <w:vAlign w:val="bottom"/>
            <w:shd w:val="clear" w:color="auto" w:fill="FF8B00"/>
          </w:tcPr>
          <w:p>
            <w:pPr>
              <w:jc w:val="right"/>
              <w:ind w:right="349"/>
              <w:spacing w:after="0"/>
              <w:rPr>
                <w:sz w:val="20"/>
                <w:szCs w:val="20"/>
                <w:color w:val="auto"/>
              </w:rPr>
            </w:pPr>
            <w:r>
              <w:rPr>
                <w:rFonts w:ascii="Arial" w:cs="Arial" w:eastAsia="Arial" w:hAnsi="Arial"/>
                <w:sz w:val="11"/>
                <w:szCs w:val="11"/>
                <w:b w:val="1"/>
                <w:bCs w:val="1"/>
                <w:color w:val="333333"/>
              </w:rPr>
              <w:t>131</w:t>
            </w:r>
          </w:p>
        </w:tc>
        <w:tc>
          <w:tcPr>
            <w:tcW w:w="0" w:type="dxa"/>
            <w:vAlign w:val="bottom"/>
          </w:tcPr>
          <w:p>
            <w:pPr>
              <w:spacing w:after="0"/>
              <w:rPr>
                <w:sz w:val="1"/>
                <w:szCs w:val="1"/>
                <w:color w:val="auto"/>
              </w:rPr>
            </w:pPr>
          </w:p>
        </w:tc>
      </w:tr>
      <w:tr>
        <w:trPr>
          <w:trHeight w:val="165"/>
        </w:trPr>
        <w:tc>
          <w:tcPr>
            <w:tcW w:w="5600" w:type="dxa"/>
            <w:vAlign w:val="bottom"/>
            <w:vMerge w:val="restart"/>
          </w:tcPr>
          <w:p>
            <w:pPr>
              <w:spacing w:after="0"/>
              <w:rPr>
                <w:sz w:val="20"/>
                <w:szCs w:val="20"/>
                <w:color w:val="auto"/>
              </w:rPr>
            </w:pPr>
            <w:r>
              <w:rPr>
                <w:rFonts w:ascii="Arial" w:cs="Arial" w:eastAsia="Arial" w:hAnsi="Arial"/>
                <w:sz w:val="11"/>
                <w:szCs w:val="11"/>
                <w:color w:val="auto"/>
              </w:rPr>
              <w:t>SHELL ANNUAL REPORT AND FORM 20-F 2014</w:t>
            </w:r>
          </w:p>
        </w:tc>
        <w:tc>
          <w:tcPr>
            <w:tcW w:w="3260" w:type="dxa"/>
            <w:vAlign w:val="bottom"/>
            <w:gridSpan w:val="2"/>
            <w:shd w:val="clear" w:color="auto" w:fill="FF8B00"/>
          </w:tcPr>
          <w:p>
            <w:pPr>
              <w:spacing w:after="0"/>
              <w:rPr>
                <w:sz w:val="14"/>
                <w:szCs w:val="14"/>
                <w:color w:val="auto"/>
              </w:rPr>
            </w:pPr>
          </w:p>
        </w:tc>
        <w:tc>
          <w:tcPr>
            <w:tcW w:w="980" w:type="dxa"/>
            <w:vAlign w:val="bottom"/>
            <w:shd w:val="clear" w:color="auto" w:fill="FF8B00"/>
          </w:tcPr>
          <w:p>
            <w:pPr>
              <w:spacing w:after="0"/>
              <w:rPr>
                <w:sz w:val="14"/>
                <w:szCs w:val="14"/>
                <w:color w:val="auto"/>
              </w:rPr>
            </w:pPr>
          </w:p>
        </w:tc>
        <w:tc>
          <w:tcPr>
            <w:tcW w:w="700" w:type="dxa"/>
            <w:vAlign w:val="bottom"/>
            <w:shd w:val="clear" w:color="auto" w:fill="FF8B00"/>
          </w:tcPr>
          <w:p>
            <w:pPr>
              <w:spacing w:after="0"/>
              <w:rPr>
                <w:sz w:val="14"/>
                <w:szCs w:val="14"/>
                <w:color w:val="auto"/>
              </w:rPr>
            </w:pPr>
          </w:p>
        </w:tc>
        <w:tc>
          <w:tcPr>
            <w:tcW w:w="880" w:type="dxa"/>
            <w:vAlign w:val="bottom"/>
            <w:shd w:val="clear" w:color="auto" w:fill="FF8B00"/>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5600" w:type="dxa"/>
            <w:vAlign w:val="bottom"/>
            <w:vMerge w:val="continue"/>
          </w:tcPr>
          <w:p>
            <w:pPr>
              <w:spacing w:after="0"/>
              <w:rPr>
                <w:sz w:val="10"/>
                <w:szCs w:val="10"/>
                <w:color w:val="auto"/>
              </w:rPr>
            </w:pPr>
          </w:p>
        </w:tc>
        <w:tc>
          <w:tcPr>
            <w:tcW w:w="3260" w:type="dxa"/>
            <w:vAlign w:val="bottom"/>
            <w:gridSpan w:val="2"/>
          </w:tcPr>
          <w:p>
            <w:pPr>
              <w:ind w:left="880"/>
              <w:spacing w:after="0" w:line="121" w:lineRule="exact"/>
              <w:rPr>
                <w:sz w:val="20"/>
                <w:szCs w:val="20"/>
                <w:color w:val="auto"/>
              </w:rPr>
            </w:pPr>
            <w:r>
              <w:rPr>
                <w:rFonts w:ascii="Arial" w:cs="Arial" w:eastAsia="Arial" w:hAnsi="Arial"/>
                <w:sz w:val="11"/>
                <w:szCs w:val="11"/>
                <w:color w:val="auto"/>
              </w:rPr>
              <w:t>CONSOLIDATED FINANCIAL STATEMENTS</w:t>
            </w:r>
          </w:p>
        </w:tc>
        <w:tc>
          <w:tcPr>
            <w:tcW w:w="9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7"/>
        </w:trPr>
        <w:tc>
          <w:tcPr>
            <w:tcW w:w="5600" w:type="dxa"/>
            <w:vAlign w:val="bottom"/>
          </w:tcPr>
          <w:p>
            <w:pPr>
              <w:spacing w:after="0"/>
              <w:rPr>
                <w:sz w:val="20"/>
                <w:szCs w:val="20"/>
                <w:color w:val="auto"/>
              </w:rPr>
            </w:pPr>
            <w:r>
              <w:rPr>
                <w:rFonts w:ascii="Arial" w:cs="Arial" w:eastAsia="Arial" w:hAnsi="Arial"/>
                <w:sz w:val="18"/>
                <w:szCs w:val="18"/>
                <w:color w:val="auto"/>
              </w:rPr>
              <w:t>18 DECOMMISSIONING AND OTHER PROVISIONS</w:t>
            </w:r>
          </w:p>
        </w:tc>
        <w:tc>
          <w:tcPr>
            <w:tcW w:w="18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560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5600" w:type="dxa"/>
            <w:vAlign w:val="bottom"/>
            <w:shd w:val="clear" w:color="auto" w:fill="333333"/>
          </w:tcPr>
          <w:p>
            <w:pPr>
              <w:spacing w:after="0"/>
              <w:rPr>
                <w:sz w:val="14"/>
                <w:szCs w:val="14"/>
                <w:color w:val="auto"/>
              </w:rPr>
            </w:pPr>
          </w:p>
        </w:tc>
        <w:tc>
          <w:tcPr>
            <w:tcW w:w="1800" w:type="dxa"/>
            <w:vAlign w:val="bottom"/>
            <w:shd w:val="clear" w:color="auto" w:fill="333333"/>
          </w:tcPr>
          <w:p>
            <w:pPr>
              <w:spacing w:after="0"/>
              <w:rPr>
                <w:sz w:val="14"/>
                <w:szCs w:val="14"/>
                <w:color w:val="auto"/>
              </w:rPr>
            </w:pPr>
          </w:p>
        </w:tc>
        <w:tc>
          <w:tcPr>
            <w:tcW w:w="1460" w:type="dxa"/>
            <w:vAlign w:val="bottom"/>
            <w:shd w:val="clear" w:color="auto" w:fill="333333"/>
          </w:tcPr>
          <w:p>
            <w:pPr>
              <w:spacing w:after="0"/>
              <w:rPr>
                <w:sz w:val="14"/>
                <w:szCs w:val="14"/>
                <w:color w:val="auto"/>
              </w:rPr>
            </w:pPr>
          </w:p>
        </w:tc>
        <w:tc>
          <w:tcPr>
            <w:tcW w:w="980" w:type="dxa"/>
            <w:vAlign w:val="bottom"/>
            <w:shd w:val="clear" w:color="auto" w:fill="333333"/>
          </w:tcPr>
          <w:p>
            <w:pPr>
              <w:spacing w:after="0"/>
              <w:rPr>
                <w:sz w:val="14"/>
                <w:szCs w:val="14"/>
                <w:color w:val="auto"/>
              </w:rPr>
            </w:pPr>
          </w:p>
        </w:tc>
        <w:tc>
          <w:tcPr>
            <w:tcW w:w="700" w:type="dxa"/>
            <w:vAlign w:val="bottom"/>
            <w:shd w:val="clear" w:color="auto" w:fill="333333"/>
          </w:tcPr>
          <w:p>
            <w:pPr>
              <w:spacing w:after="0"/>
              <w:rPr>
                <w:sz w:val="14"/>
                <w:szCs w:val="14"/>
                <w:color w:val="auto"/>
              </w:rPr>
            </w:pPr>
          </w:p>
        </w:tc>
        <w:tc>
          <w:tcPr>
            <w:tcW w:w="880" w:type="dxa"/>
            <w:vAlign w:val="bottom"/>
            <w:shd w:val="clear" w:color="auto" w:fill="333333"/>
          </w:tcPr>
          <w:p>
            <w:pPr>
              <w:jc w:val="right"/>
              <w:ind w:right="29"/>
              <w:spacing w:after="0" w:line="162" w:lineRule="exact"/>
              <w:rPr>
                <w:sz w:val="20"/>
                <w:szCs w:val="20"/>
                <w:color w:val="auto"/>
              </w:rPr>
            </w:pPr>
            <w:r>
              <w:rPr>
                <w:rFonts w:ascii="Arial" w:cs="Arial" w:eastAsia="Arial" w:hAnsi="Arial"/>
                <w:sz w:val="15"/>
                <w:szCs w:val="15"/>
                <w:color w:val="FFFFFF"/>
              </w:rPr>
              <w:t>$ MILLION</w:t>
            </w:r>
          </w:p>
        </w:tc>
        <w:tc>
          <w:tcPr>
            <w:tcW w:w="0" w:type="dxa"/>
            <w:vAlign w:val="bottom"/>
          </w:tcPr>
          <w:p>
            <w:pPr>
              <w:spacing w:after="0"/>
              <w:rPr>
                <w:sz w:val="1"/>
                <w:szCs w:val="1"/>
                <w:color w:val="auto"/>
              </w:rPr>
            </w:pPr>
          </w:p>
        </w:tc>
      </w:tr>
      <w:tr>
        <w:trPr>
          <w:trHeight w:val="129"/>
        </w:trPr>
        <w:tc>
          <w:tcPr>
            <w:tcW w:w="5600" w:type="dxa"/>
            <w:vAlign w:val="bottom"/>
          </w:tcPr>
          <w:p>
            <w:pPr>
              <w:spacing w:after="0"/>
              <w:rPr>
                <w:sz w:val="11"/>
                <w:szCs w:val="11"/>
                <w:color w:val="auto"/>
              </w:rPr>
            </w:pPr>
          </w:p>
        </w:tc>
        <w:tc>
          <w:tcPr>
            <w:tcW w:w="1800" w:type="dxa"/>
            <w:vAlign w:val="bottom"/>
          </w:tcPr>
          <w:p>
            <w:pPr>
              <w:jc w:val="right"/>
              <w:ind w:right="290"/>
              <w:spacing w:after="0" w:line="129" w:lineRule="exact"/>
              <w:rPr>
                <w:sz w:val="20"/>
                <w:szCs w:val="20"/>
                <w:color w:val="auto"/>
              </w:rPr>
            </w:pPr>
            <w:r>
              <w:rPr>
                <w:rFonts w:ascii="Arial" w:cs="Arial" w:eastAsia="Arial" w:hAnsi="Arial"/>
                <w:sz w:val="13"/>
                <w:szCs w:val="13"/>
                <w:color w:val="auto"/>
              </w:rPr>
              <w:t>Decommissioning</w:t>
            </w:r>
          </w:p>
        </w:tc>
        <w:tc>
          <w:tcPr>
            <w:tcW w:w="14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1"/>
        </w:trPr>
        <w:tc>
          <w:tcPr>
            <w:tcW w:w="5600" w:type="dxa"/>
            <w:vAlign w:val="bottom"/>
            <w:tcBorders>
              <w:bottom w:val="single" w:sz="8" w:color="auto"/>
            </w:tcBorders>
          </w:tcPr>
          <w:p>
            <w:pPr>
              <w:spacing w:after="0"/>
              <w:rPr>
                <w:sz w:val="12"/>
                <w:szCs w:val="12"/>
                <w:color w:val="auto"/>
              </w:rPr>
            </w:pPr>
          </w:p>
        </w:tc>
        <w:tc>
          <w:tcPr>
            <w:tcW w:w="1800" w:type="dxa"/>
            <w:vAlign w:val="bottom"/>
            <w:tcBorders>
              <w:bottom w:val="single" w:sz="8" w:color="auto"/>
            </w:tcBorders>
          </w:tcPr>
          <w:p>
            <w:pPr>
              <w:jc w:val="right"/>
              <w:ind w:right="290"/>
              <w:spacing w:after="0" w:line="141" w:lineRule="exact"/>
              <w:rPr>
                <w:sz w:val="20"/>
                <w:szCs w:val="20"/>
                <w:color w:val="auto"/>
              </w:rPr>
            </w:pPr>
            <w:r>
              <w:rPr>
                <w:rFonts w:ascii="Arial" w:cs="Arial" w:eastAsia="Arial" w:hAnsi="Arial"/>
                <w:sz w:val="13"/>
                <w:szCs w:val="13"/>
                <w:color w:val="auto"/>
              </w:rPr>
              <w:t>and restoration</w:t>
            </w:r>
          </w:p>
        </w:tc>
        <w:tc>
          <w:tcPr>
            <w:tcW w:w="1460" w:type="dxa"/>
            <w:vAlign w:val="bottom"/>
            <w:tcBorders>
              <w:bottom w:val="single" w:sz="8" w:color="auto"/>
            </w:tcBorders>
          </w:tcPr>
          <w:p>
            <w:pPr>
              <w:jc w:val="right"/>
              <w:ind w:right="268"/>
              <w:spacing w:after="0" w:line="141" w:lineRule="exact"/>
              <w:rPr>
                <w:sz w:val="20"/>
                <w:szCs w:val="20"/>
                <w:color w:val="auto"/>
              </w:rPr>
            </w:pPr>
            <w:r>
              <w:rPr>
                <w:rFonts w:ascii="Arial" w:cs="Arial" w:eastAsia="Arial" w:hAnsi="Arial"/>
                <w:sz w:val="13"/>
                <w:szCs w:val="13"/>
                <w:color w:val="auto"/>
              </w:rPr>
              <w:t>Environmental</w:t>
            </w:r>
          </w:p>
        </w:tc>
        <w:tc>
          <w:tcPr>
            <w:tcW w:w="980" w:type="dxa"/>
            <w:vAlign w:val="bottom"/>
            <w:tcBorders>
              <w:bottom w:val="single" w:sz="8" w:color="auto"/>
            </w:tcBorders>
          </w:tcPr>
          <w:p>
            <w:pPr>
              <w:jc w:val="right"/>
              <w:ind w:right="208"/>
              <w:spacing w:after="0" w:line="141" w:lineRule="exact"/>
              <w:rPr>
                <w:sz w:val="20"/>
                <w:szCs w:val="20"/>
                <w:color w:val="auto"/>
              </w:rPr>
            </w:pPr>
            <w:r>
              <w:rPr>
                <w:rFonts w:ascii="Arial" w:cs="Arial" w:eastAsia="Arial" w:hAnsi="Arial"/>
                <w:sz w:val="13"/>
                <w:szCs w:val="13"/>
                <w:color w:val="auto"/>
              </w:rPr>
              <w:t>Litigation</w:t>
            </w:r>
          </w:p>
        </w:tc>
        <w:tc>
          <w:tcPr>
            <w:tcW w:w="700" w:type="dxa"/>
            <w:vAlign w:val="bottom"/>
            <w:tcBorders>
              <w:bottom w:val="single" w:sz="8" w:color="auto"/>
            </w:tcBorders>
          </w:tcPr>
          <w:p>
            <w:pPr>
              <w:jc w:val="right"/>
              <w:ind w:right="28"/>
              <w:spacing w:after="0" w:line="141" w:lineRule="exact"/>
              <w:rPr>
                <w:sz w:val="20"/>
                <w:szCs w:val="20"/>
                <w:color w:val="auto"/>
              </w:rPr>
            </w:pPr>
            <w:r>
              <w:rPr>
                <w:rFonts w:ascii="Arial" w:cs="Arial" w:eastAsia="Arial" w:hAnsi="Arial"/>
                <w:sz w:val="13"/>
                <w:szCs w:val="13"/>
                <w:color w:val="auto"/>
              </w:rPr>
              <w:t>Other</w:t>
            </w:r>
          </w:p>
        </w:tc>
        <w:tc>
          <w:tcPr>
            <w:tcW w:w="880" w:type="dxa"/>
            <w:vAlign w:val="bottom"/>
            <w:tcBorders>
              <w:bottom w:val="single" w:sz="8" w:color="auto"/>
            </w:tcBorders>
          </w:tcPr>
          <w:p>
            <w:pPr>
              <w:jc w:val="right"/>
              <w:ind w:right="149"/>
              <w:spacing w:after="0" w:line="141" w:lineRule="exact"/>
              <w:rPr>
                <w:sz w:val="20"/>
                <w:szCs w:val="20"/>
                <w:color w:val="auto"/>
              </w:rPr>
            </w:pPr>
            <w:r>
              <w:rPr>
                <w:rFonts w:ascii="Arial" w:cs="Arial" w:eastAsia="Arial" w:hAnsi="Arial"/>
                <w:sz w:val="13"/>
                <w:szCs w:val="13"/>
                <w:color w:val="auto"/>
              </w:rPr>
              <w:t>Total</w:t>
            </w:r>
          </w:p>
        </w:tc>
        <w:tc>
          <w:tcPr>
            <w:tcW w:w="0" w:type="dxa"/>
            <w:vAlign w:val="bottom"/>
          </w:tcPr>
          <w:p>
            <w:pPr>
              <w:spacing w:after="0"/>
              <w:rPr>
                <w:sz w:val="1"/>
                <w:szCs w:val="1"/>
                <w:color w:val="auto"/>
              </w:rPr>
            </w:pPr>
          </w:p>
        </w:tc>
      </w:tr>
      <w:tr>
        <w:trPr>
          <w:trHeight w:val="160"/>
        </w:trPr>
        <w:tc>
          <w:tcPr>
            <w:tcW w:w="5600" w:type="dxa"/>
            <w:vAlign w:val="bottom"/>
          </w:tcPr>
          <w:p>
            <w:pPr>
              <w:spacing w:after="0"/>
              <w:rPr>
                <w:sz w:val="20"/>
                <w:szCs w:val="20"/>
                <w:color w:val="auto"/>
              </w:rPr>
            </w:pPr>
            <w:r>
              <w:rPr>
                <w:rFonts w:ascii="Arial" w:cs="Arial" w:eastAsia="Arial" w:hAnsi="Arial"/>
                <w:sz w:val="14"/>
                <w:szCs w:val="14"/>
                <w:color w:val="auto"/>
              </w:rPr>
              <w:t>At January 1, 2014</w:t>
            </w:r>
          </w:p>
        </w:tc>
        <w:tc>
          <w:tcPr>
            <w:tcW w:w="180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5600" w:type="dxa"/>
            <w:vAlign w:val="bottom"/>
          </w:tcPr>
          <w:p>
            <w:pPr>
              <w:ind w:left="140"/>
              <w:spacing w:after="0"/>
              <w:rPr>
                <w:sz w:val="20"/>
                <w:szCs w:val="20"/>
                <w:color w:val="auto"/>
              </w:rPr>
            </w:pPr>
            <w:r>
              <w:rPr>
                <w:rFonts w:ascii="Arial" w:cs="Arial" w:eastAsia="Arial" w:hAnsi="Arial"/>
                <w:sz w:val="14"/>
                <w:szCs w:val="14"/>
                <w:color w:val="auto"/>
              </w:rPr>
              <w:t>Current</w:t>
            </w:r>
          </w:p>
        </w:tc>
        <w:tc>
          <w:tcPr>
            <w:tcW w:w="1800" w:type="dxa"/>
            <w:vAlign w:val="bottom"/>
          </w:tcPr>
          <w:p>
            <w:pPr>
              <w:jc w:val="right"/>
              <w:ind w:right="290"/>
              <w:spacing w:after="0"/>
              <w:rPr>
                <w:sz w:val="20"/>
                <w:szCs w:val="20"/>
                <w:color w:val="auto"/>
              </w:rPr>
            </w:pPr>
            <w:r>
              <w:rPr>
                <w:rFonts w:ascii="Arial" w:cs="Arial" w:eastAsia="Arial" w:hAnsi="Arial"/>
                <w:sz w:val="14"/>
                <w:szCs w:val="14"/>
                <w:color w:val="auto"/>
              </w:rPr>
              <w:t>1,340</w:t>
            </w:r>
          </w:p>
        </w:tc>
        <w:tc>
          <w:tcPr>
            <w:tcW w:w="1460" w:type="dxa"/>
            <w:vAlign w:val="bottom"/>
          </w:tcPr>
          <w:p>
            <w:pPr>
              <w:jc w:val="right"/>
              <w:ind w:right="268"/>
              <w:spacing w:after="0"/>
              <w:rPr>
                <w:sz w:val="20"/>
                <w:szCs w:val="20"/>
                <w:color w:val="auto"/>
              </w:rPr>
            </w:pPr>
            <w:r>
              <w:rPr>
                <w:rFonts w:ascii="Arial" w:cs="Arial" w:eastAsia="Arial" w:hAnsi="Arial"/>
                <w:sz w:val="14"/>
                <w:szCs w:val="14"/>
                <w:color w:val="auto"/>
              </w:rPr>
              <w:t>362</w:t>
            </w:r>
          </w:p>
        </w:tc>
        <w:tc>
          <w:tcPr>
            <w:tcW w:w="980" w:type="dxa"/>
            <w:vAlign w:val="bottom"/>
          </w:tcPr>
          <w:p>
            <w:pPr>
              <w:jc w:val="right"/>
              <w:ind w:right="208"/>
              <w:spacing w:after="0"/>
              <w:rPr>
                <w:sz w:val="20"/>
                <w:szCs w:val="20"/>
                <w:color w:val="auto"/>
              </w:rPr>
            </w:pPr>
            <w:r>
              <w:rPr>
                <w:rFonts w:ascii="Arial" w:cs="Arial" w:eastAsia="Arial" w:hAnsi="Arial"/>
                <w:sz w:val="14"/>
                <w:szCs w:val="14"/>
                <w:color w:val="auto"/>
              </w:rPr>
              <w:t>126</w:t>
            </w: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1,419</w:t>
            </w:r>
          </w:p>
        </w:tc>
        <w:tc>
          <w:tcPr>
            <w:tcW w:w="880" w:type="dxa"/>
            <w:vAlign w:val="bottom"/>
          </w:tcPr>
          <w:p>
            <w:pPr>
              <w:jc w:val="right"/>
              <w:ind w:right="149"/>
              <w:spacing w:after="0"/>
              <w:rPr>
                <w:sz w:val="20"/>
                <w:szCs w:val="20"/>
                <w:color w:val="auto"/>
              </w:rPr>
            </w:pPr>
            <w:r>
              <w:rPr>
                <w:rFonts w:ascii="Arial" w:cs="Arial" w:eastAsia="Arial" w:hAnsi="Arial"/>
                <w:sz w:val="14"/>
                <w:szCs w:val="14"/>
                <w:color w:val="auto"/>
              </w:rPr>
              <w:t>3,247</w:t>
            </w:r>
          </w:p>
        </w:tc>
        <w:tc>
          <w:tcPr>
            <w:tcW w:w="0" w:type="dxa"/>
            <w:vAlign w:val="bottom"/>
          </w:tcPr>
          <w:p>
            <w:pPr>
              <w:spacing w:after="0"/>
              <w:rPr>
                <w:sz w:val="1"/>
                <w:szCs w:val="1"/>
                <w:color w:val="auto"/>
              </w:rPr>
            </w:pPr>
          </w:p>
        </w:tc>
      </w:tr>
      <w:tr>
        <w:trPr>
          <w:trHeight w:val="157"/>
        </w:trPr>
        <w:tc>
          <w:tcPr>
            <w:tcW w:w="5600" w:type="dxa"/>
            <w:vAlign w:val="bottom"/>
            <w:tcBorders>
              <w:bottom w:val="single" w:sz="8" w:color="auto"/>
            </w:tcBorders>
          </w:tcPr>
          <w:p>
            <w:pPr>
              <w:ind w:left="140"/>
              <w:spacing w:after="0" w:line="157" w:lineRule="exact"/>
              <w:rPr>
                <w:sz w:val="20"/>
                <w:szCs w:val="20"/>
                <w:color w:val="auto"/>
              </w:rPr>
            </w:pPr>
            <w:r>
              <w:rPr>
                <w:rFonts w:ascii="Arial" w:cs="Arial" w:eastAsia="Arial" w:hAnsi="Arial"/>
                <w:sz w:val="14"/>
                <w:szCs w:val="14"/>
                <w:color w:val="auto"/>
              </w:rPr>
              <w:t>Non-current</w:t>
            </w:r>
          </w:p>
        </w:tc>
        <w:tc>
          <w:tcPr>
            <w:tcW w:w="1800" w:type="dxa"/>
            <w:vAlign w:val="bottom"/>
            <w:tcBorders>
              <w:bottom w:val="single" w:sz="8" w:color="auto"/>
            </w:tcBorders>
          </w:tcPr>
          <w:p>
            <w:pPr>
              <w:jc w:val="right"/>
              <w:ind w:right="290"/>
              <w:spacing w:after="0" w:line="157" w:lineRule="exact"/>
              <w:rPr>
                <w:sz w:val="20"/>
                <w:szCs w:val="20"/>
                <w:color w:val="auto"/>
              </w:rPr>
            </w:pPr>
            <w:r>
              <w:rPr>
                <w:rFonts w:ascii="Arial" w:cs="Arial" w:eastAsia="Arial" w:hAnsi="Arial"/>
                <w:sz w:val="14"/>
                <w:szCs w:val="14"/>
                <w:color w:val="auto"/>
              </w:rPr>
              <w:t>17,085</w:t>
            </w:r>
          </w:p>
        </w:tc>
        <w:tc>
          <w:tcPr>
            <w:tcW w:w="1460" w:type="dxa"/>
            <w:vAlign w:val="bottom"/>
            <w:tcBorders>
              <w:bottom w:val="single" w:sz="8" w:color="auto"/>
            </w:tcBorders>
          </w:tcPr>
          <w:p>
            <w:pPr>
              <w:jc w:val="right"/>
              <w:ind w:right="268"/>
              <w:spacing w:after="0" w:line="157" w:lineRule="exact"/>
              <w:rPr>
                <w:sz w:val="20"/>
                <w:szCs w:val="20"/>
                <w:color w:val="auto"/>
              </w:rPr>
            </w:pPr>
            <w:r>
              <w:rPr>
                <w:rFonts w:ascii="Arial" w:cs="Arial" w:eastAsia="Arial" w:hAnsi="Arial"/>
                <w:sz w:val="14"/>
                <w:szCs w:val="14"/>
                <w:color w:val="auto"/>
              </w:rPr>
              <w:t>979</w:t>
            </w:r>
          </w:p>
        </w:tc>
        <w:tc>
          <w:tcPr>
            <w:tcW w:w="980" w:type="dxa"/>
            <w:vAlign w:val="bottom"/>
            <w:tcBorders>
              <w:bottom w:val="single" w:sz="8" w:color="auto"/>
            </w:tcBorders>
          </w:tcPr>
          <w:p>
            <w:pPr>
              <w:jc w:val="right"/>
              <w:ind w:right="208"/>
              <w:spacing w:after="0" w:line="157" w:lineRule="exact"/>
              <w:rPr>
                <w:sz w:val="20"/>
                <w:szCs w:val="20"/>
                <w:color w:val="auto"/>
              </w:rPr>
            </w:pPr>
            <w:r>
              <w:rPr>
                <w:rFonts w:ascii="Arial" w:cs="Arial" w:eastAsia="Arial" w:hAnsi="Arial"/>
                <w:sz w:val="14"/>
                <w:szCs w:val="14"/>
                <w:color w:val="auto"/>
              </w:rPr>
              <w:t>417</w:t>
            </w:r>
          </w:p>
        </w:tc>
        <w:tc>
          <w:tcPr>
            <w:tcW w:w="700" w:type="dxa"/>
            <w:vAlign w:val="bottom"/>
            <w:tcBorders>
              <w:bottom w:val="single" w:sz="8" w:color="auto"/>
            </w:tcBorders>
          </w:tcPr>
          <w:p>
            <w:pPr>
              <w:jc w:val="right"/>
              <w:ind w:right="28"/>
              <w:spacing w:after="0" w:line="157" w:lineRule="exact"/>
              <w:rPr>
                <w:sz w:val="20"/>
                <w:szCs w:val="20"/>
                <w:color w:val="auto"/>
              </w:rPr>
            </w:pPr>
            <w:r>
              <w:rPr>
                <w:rFonts w:ascii="Arial" w:cs="Arial" w:eastAsia="Arial" w:hAnsi="Arial"/>
                <w:sz w:val="14"/>
                <w:szCs w:val="14"/>
                <w:color w:val="auto"/>
              </w:rPr>
              <w:t>1,217</w:t>
            </w:r>
          </w:p>
        </w:tc>
        <w:tc>
          <w:tcPr>
            <w:tcW w:w="880" w:type="dxa"/>
            <w:vAlign w:val="bottom"/>
            <w:tcBorders>
              <w:bottom w:val="single" w:sz="8" w:color="auto"/>
            </w:tcBorders>
          </w:tcPr>
          <w:p>
            <w:pPr>
              <w:jc w:val="right"/>
              <w:ind w:right="149"/>
              <w:spacing w:after="0" w:line="157" w:lineRule="exact"/>
              <w:rPr>
                <w:sz w:val="20"/>
                <w:szCs w:val="20"/>
                <w:color w:val="auto"/>
              </w:rPr>
            </w:pPr>
            <w:r>
              <w:rPr>
                <w:rFonts w:ascii="Arial" w:cs="Arial" w:eastAsia="Arial" w:hAnsi="Arial"/>
                <w:sz w:val="14"/>
                <w:szCs w:val="14"/>
                <w:color w:val="auto"/>
              </w:rPr>
              <w:t>19,698</w:t>
            </w:r>
          </w:p>
        </w:tc>
        <w:tc>
          <w:tcPr>
            <w:tcW w:w="0" w:type="dxa"/>
            <w:vAlign w:val="bottom"/>
          </w:tcPr>
          <w:p>
            <w:pPr>
              <w:spacing w:after="0"/>
              <w:rPr>
                <w:sz w:val="1"/>
                <w:szCs w:val="1"/>
                <w:color w:val="auto"/>
              </w:rPr>
            </w:pPr>
          </w:p>
        </w:tc>
      </w:tr>
      <w:tr>
        <w:trPr>
          <w:trHeight w:val="171"/>
        </w:trPr>
        <w:tc>
          <w:tcPr>
            <w:tcW w:w="5600" w:type="dxa"/>
            <w:vAlign w:val="bottom"/>
          </w:tcPr>
          <w:p>
            <w:pPr>
              <w:spacing w:after="0"/>
              <w:rPr>
                <w:sz w:val="14"/>
                <w:szCs w:val="14"/>
                <w:color w:val="auto"/>
              </w:rPr>
            </w:pPr>
          </w:p>
        </w:tc>
        <w:tc>
          <w:tcPr>
            <w:tcW w:w="1800" w:type="dxa"/>
            <w:vAlign w:val="bottom"/>
          </w:tcPr>
          <w:p>
            <w:pPr>
              <w:jc w:val="right"/>
              <w:ind w:right="290"/>
              <w:spacing w:after="0"/>
              <w:rPr>
                <w:sz w:val="20"/>
                <w:szCs w:val="20"/>
                <w:color w:val="auto"/>
              </w:rPr>
            </w:pPr>
            <w:r>
              <w:rPr>
                <w:rFonts w:ascii="Arial" w:cs="Arial" w:eastAsia="Arial" w:hAnsi="Arial"/>
                <w:sz w:val="14"/>
                <w:szCs w:val="14"/>
                <w:color w:val="auto"/>
              </w:rPr>
              <w:t>18,425</w:t>
            </w:r>
          </w:p>
        </w:tc>
        <w:tc>
          <w:tcPr>
            <w:tcW w:w="1460" w:type="dxa"/>
            <w:vAlign w:val="bottom"/>
          </w:tcPr>
          <w:p>
            <w:pPr>
              <w:jc w:val="right"/>
              <w:ind w:right="268"/>
              <w:spacing w:after="0"/>
              <w:rPr>
                <w:sz w:val="20"/>
                <w:szCs w:val="20"/>
                <w:color w:val="auto"/>
              </w:rPr>
            </w:pPr>
            <w:r>
              <w:rPr>
                <w:rFonts w:ascii="Arial" w:cs="Arial" w:eastAsia="Arial" w:hAnsi="Arial"/>
                <w:sz w:val="14"/>
                <w:szCs w:val="14"/>
                <w:color w:val="auto"/>
              </w:rPr>
              <w:t>1,341</w:t>
            </w:r>
          </w:p>
        </w:tc>
        <w:tc>
          <w:tcPr>
            <w:tcW w:w="980" w:type="dxa"/>
            <w:vAlign w:val="bottom"/>
          </w:tcPr>
          <w:p>
            <w:pPr>
              <w:jc w:val="right"/>
              <w:ind w:right="208"/>
              <w:spacing w:after="0"/>
              <w:rPr>
                <w:sz w:val="20"/>
                <w:szCs w:val="20"/>
                <w:color w:val="auto"/>
              </w:rPr>
            </w:pPr>
            <w:r>
              <w:rPr>
                <w:rFonts w:ascii="Arial" w:cs="Arial" w:eastAsia="Arial" w:hAnsi="Arial"/>
                <w:sz w:val="14"/>
                <w:szCs w:val="14"/>
                <w:color w:val="auto"/>
              </w:rPr>
              <w:t>543</w:t>
            </w: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2,636</w:t>
            </w:r>
          </w:p>
        </w:tc>
        <w:tc>
          <w:tcPr>
            <w:tcW w:w="880" w:type="dxa"/>
            <w:vAlign w:val="bottom"/>
          </w:tcPr>
          <w:p>
            <w:pPr>
              <w:jc w:val="right"/>
              <w:ind w:right="149"/>
              <w:spacing w:after="0"/>
              <w:rPr>
                <w:sz w:val="20"/>
                <w:szCs w:val="20"/>
                <w:color w:val="auto"/>
              </w:rPr>
            </w:pPr>
            <w:r>
              <w:rPr>
                <w:rFonts w:ascii="Arial" w:cs="Arial" w:eastAsia="Arial" w:hAnsi="Arial"/>
                <w:sz w:val="14"/>
                <w:szCs w:val="14"/>
                <w:color w:val="auto"/>
              </w:rPr>
              <w:t>22,945</w:t>
            </w:r>
          </w:p>
        </w:tc>
        <w:tc>
          <w:tcPr>
            <w:tcW w:w="0" w:type="dxa"/>
            <w:vAlign w:val="bottom"/>
          </w:tcPr>
          <w:p>
            <w:pPr>
              <w:spacing w:after="0"/>
              <w:rPr>
                <w:sz w:val="1"/>
                <w:szCs w:val="1"/>
                <w:color w:val="auto"/>
              </w:rPr>
            </w:pPr>
          </w:p>
        </w:tc>
      </w:tr>
      <w:tr>
        <w:trPr>
          <w:trHeight w:val="341"/>
        </w:trPr>
        <w:tc>
          <w:tcPr>
            <w:tcW w:w="5600" w:type="dxa"/>
            <w:vAlign w:val="bottom"/>
          </w:tcPr>
          <w:p>
            <w:pPr>
              <w:spacing w:after="0"/>
              <w:rPr>
                <w:sz w:val="20"/>
                <w:szCs w:val="20"/>
                <w:color w:val="auto"/>
              </w:rPr>
            </w:pPr>
            <w:r>
              <w:rPr>
                <w:rFonts w:ascii="Arial" w:cs="Arial" w:eastAsia="Arial" w:hAnsi="Arial"/>
                <w:sz w:val="14"/>
                <w:szCs w:val="14"/>
                <w:color w:val="auto"/>
              </w:rPr>
              <w:t>Additional provisions</w:t>
            </w:r>
          </w:p>
        </w:tc>
        <w:tc>
          <w:tcPr>
            <w:tcW w:w="1800" w:type="dxa"/>
            <w:vAlign w:val="bottom"/>
          </w:tcPr>
          <w:p>
            <w:pPr>
              <w:jc w:val="right"/>
              <w:ind w:right="290"/>
              <w:spacing w:after="0"/>
              <w:rPr>
                <w:sz w:val="20"/>
                <w:szCs w:val="20"/>
                <w:color w:val="auto"/>
              </w:rPr>
            </w:pPr>
            <w:r>
              <w:rPr>
                <w:rFonts w:ascii="Arial" w:cs="Arial" w:eastAsia="Arial" w:hAnsi="Arial"/>
                <w:sz w:val="14"/>
                <w:szCs w:val="14"/>
                <w:color w:val="auto"/>
              </w:rPr>
              <w:t>312</w:t>
            </w:r>
          </w:p>
        </w:tc>
        <w:tc>
          <w:tcPr>
            <w:tcW w:w="1460" w:type="dxa"/>
            <w:vAlign w:val="bottom"/>
          </w:tcPr>
          <w:p>
            <w:pPr>
              <w:jc w:val="right"/>
              <w:ind w:right="268"/>
              <w:spacing w:after="0"/>
              <w:rPr>
                <w:sz w:val="20"/>
                <w:szCs w:val="20"/>
                <w:color w:val="auto"/>
              </w:rPr>
            </w:pPr>
            <w:r>
              <w:rPr>
                <w:rFonts w:ascii="Arial" w:cs="Arial" w:eastAsia="Arial" w:hAnsi="Arial"/>
                <w:sz w:val="14"/>
                <w:szCs w:val="14"/>
                <w:color w:val="auto"/>
              </w:rPr>
              <w:t>285</w:t>
            </w:r>
          </w:p>
        </w:tc>
        <w:tc>
          <w:tcPr>
            <w:tcW w:w="980" w:type="dxa"/>
            <w:vAlign w:val="bottom"/>
          </w:tcPr>
          <w:p>
            <w:pPr>
              <w:jc w:val="right"/>
              <w:ind w:right="208"/>
              <w:spacing w:after="0"/>
              <w:rPr>
                <w:sz w:val="20"/>
                <w:szCs w:val="20"/>
                <w:color w:val="auto"/>
              </w:rPr>
            </w:pPr>
            <w:r>
              <w:rPr>
                <w:rFonts w:ascii="Arial" w:cs="Arial" w:eastAsia="Arial" w:hAnsi="Arial"/>
                <w:sz w:val="14"/>
                <w:szCs w:val="14"/>
                <w:color w:val="auto"/>
              </w:rPr>
              <w:t>303</w:t>
            </w: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2,358</w:t>
            </w:r>
          </w:p>
        </w:tc>
        <w:tc>
          <w:tcPr>
            <w:tcW w:w="880" w:type="dxa"/>
            <w:vAlign w:val="bottom"/>
          </w:tcPr>
          <w:p>
            <w:pPr>
              <w:jc w:val="right"/>
              <w:ind w:right="149"/>
              <w:spacing w:after="0"/>
              <w:rPr>
                <w:sz w:val="20"/>
                <w:szCs w:val="20"/>
                <w:color w:val="auto"/>
              </w:rPr>
            </w:pPr>
            <w:r>
              <w:rPr>
                <w:rFonts w:ascii="Arial" w:cs="Arial" w:eastAsia="Arial" w:hAnsi="Arial"/>
                <w:sz w:val="14"/>
                <w:szCs w:val="14"/>
                <w:color w:val="auto"/>
              </w:rPr>
              <w:t>3,258</w:t>
            </w:r>
          </w:p>
        </w:tc>
        <w:tc>
          <w:tcPr>
            <w:tcW w:w="0" w:type="dxa"/>
            <w:vAlign w:val="bottom"/>
          </w:tcPr>
          <w:p>
            <w:pPr>
              <w:spacing w:after="0"/>
              <w:rPr>
                <w:sz w:val="1"/>
                <w:szCs w:val="1"/>
                <w:color w:val="auto"/>
              </w:rPr>
            </w:pPr>
          </w:p>
        </w:tc>
      </w:tr>
      <w:tr>
        <w:trPr>
          <w:trHeight w:val="162"/>
        </w:trPr>
        <w:tc>
          <w:tcPr>
            <w:tcW w:w="5600" w:type="dxa"/>
            <w:vAlign w:val="bottom"/>
          </w:tcPr>
          <w:p>
            <w:pPr>
              <w:spacing w:after="0"/>
              <w:rPr>
                <w:sz w:val="20"/>
                <w:szCs w:val="20"/>
                <w:color w:val="auto"/>
              </w:rPr>
            </w:pPr>
            <w:r>
              <w:rPr>
                <w:rFonts w:ascii="Arial" w:cs="Arial" w:eastAsia="Arial" w:hAnsi="Arial"/>
                <w:sz w:val="14"/>
                <w:szCs w:val="14"/>
                <w:color w:val="auto"/>
              </w:rPr>
              <w:t>Amounts charged against provisions</w:t>
            </w:r>
          </w:p>
        </w:tc>
        <w:tc>
          <w:tcPr>
            <w:tcW w:w="1800" w:type="dxa"/>
            <w:vAlign w:val="bottom"/>
          </w:tcPr>
          <w:p>
            <w:pPr>
              <w:jc w:val="right"/>
              <w:ind w:right="230"/>
              <w:spacing w:after="0"/>
              <w:rPr>
                <w:sz w:val="20"/>
                <w:szCs w:val="20"/>
                <w:color w:val="auto"/>
              </w:rPr>
            </w:pPr>
            <w:r>
              <w:rPr>
                <w:rFonts w:ascii="Arial" w:cs="Arial" w:eastAsia="Arial" w:hAnsi="Arial"/>
                <w:sz w:val="14"/>
                <w:szCs w:val="14"/>
                <w:color w:val="auto"/>
              </w:rPr>
              <w:t>(1,175)</w:t>
            </w:r>
          </w:p>
        </w:tc>
        <w:tc>
          <w:tcPr>
            <w:tcW w:w="1460" w:type="dxa"/>
            <w:vAlign w:val="bottom"/>
          </w:tcPr>
          <w:p>
            <w:pPr>
              <w:jc w:val="right"/>
              <w:ind w:right="228"/>
              <w:spacing w:after="0"/>
              <w:rPr>
                <w:sz w:val="20"/>
                <w:szCs w:val="20"/>
                <w:color w:val="auto"/>
              </w:rPr>
            </w:pPr>
            <w:r>
              <w:rPr>
                <w:rFonts w:ascii="Arial" w:cs="Arial" w:eastAsia="Arial" w:hAnsi="Arial"/>
                <w:sz w:val="14"/>
                <w:szCs w:val="14"/>
                <w:color w:val="auto"/>
              </w:rPr>
              <w:t>(209)</w:t>
            </w:r>
          </w:p>
        </w:tc>
        <w:tc>
          <w:tcPr>
            <w:tcW w:w="980" w:type="dxa"/>
            <w:vAlign w:val="bottom"/>
          </w:tcPr>
          <w:p>
            <w:pPr>
              <w:jc w:val="right"/>
              <w:ind w:right="168"/>
              <w:spacing w:after="0"/>
              <w:rPr>
                <w:sz w:val="20"/>
                <w:szCs w:val="20"/>
                <w:color w:val="auto"/>
              </w:rPr>
            </w:pPr>
            <w:r>
              <w:rPr>
                <w:rFonts w:ascii="Arial" w:cs="Arial" w:eastAsia="Arial" w:hAnsi="Arial"/>
                <w:sz w:val="14"/>
                <w:szCs w:val="14"/>
                <w:color w:val="auto"/>
              </w:rPr>
              <w:t>(139)</w:t>
            </w:r>
          </w:p>
        </w:tc>
        <w:tc>
          <w:tcPr>
            <w:tcW w:w="700" w:type="dxa"/>
            <w:vAlign w:val="bottom"/>
          </w:tcPr>
          <w:p>
            <w:pPr>
              <w:jc w:val="right"/>
              <w:spacing w:after="0"/>
              <w:rPr>
                <w:sz w:val="20"/>
                <w:szCs w:val="20"/>
                <w:color w:val="auto"/>
              </w:rPr>
            </w:pPr>
            <w:r>
              <w:rPr>
                <w:rFonts w:ascii="Arial" w:cs="Arial" w:eastAsia="Arial" w:hAnsi="Arial"/>
                <w:sz w:val="14"/>
                <w:szCs w:val="14"/>
                <w:color w:val="auto"/>
              </w:rPr>
              <w:t>(829)</w:t>
            </w:r>
          </w:p>
        </w:tc>
        <w:tc>
          <w:tcPr>
            <w:tcW w:w="880" w:type="dxa"/>
            <w:vAlign w:val="bottom"/>
          </w:tcPr>
          <w:p>
            <w:pPr>
              <w:jc w:val="right"/>
              <w:ind w:right="89"/>
              <w:spacing w:after="0"/>
              <w:rPr>
                <w:sz w:val="20"/>
                <w:szCs w:val="20"/>
                <w:color w:val="auto"/>
              </w:rPr>
            </w:pPr>
            <w:r>
              <w:rPr>
                <w:rFonts w:ascii="Arial" w:cs="Arial" w:eastAsia="Arial" w:hAnsi="Arial"/>
                <w:sz w:val="14"/>
                <w:szCs w:val="14"/>
                <w:color w:val="auto"/>
              </w:rPr>
              <w:t>(2,352)</w:t>
            </w:r>
          </w:p>
        </w:tc>
        <w:tc>
          <w:tcPr>
            <w:tcW w:w="0" w:type="dxa"/>
            <w:vAlign w:val="bottom"/>
          </w:tcPr>
          <w:p>
            <w:pPr>
              <w:spacing w:after="0"/>
              <w:rPr>
                <w:sz w:val="1"/>
                <w:szCs w:val="1"/>
                <w:color w:val="auto"/>
              </w:rPr>
            </w:pPr>
          </w:p>
        </w:tc>
      </w:tr>
      <w:tr>
        <w:trPr>
          <w:trHeight w:val="162"/>
        </w:trPr>
        <w:tc>
          <w:tcPr>
            <w:tcW w:w="5600" w:type="dxa"/>
            <w:vAlign w:val="bottom"/>
          </w:tcPr>
          <w:p>
            <w:pPr>
              <w:spacing w:after="0"/>
              <w:rPr>
                <w:sz w:val="20"/>
                <w:szCs w:val="20"/>
                <w:color w:val="auto"/>
              </w:rPr>
            </w:pPr>
            <w:r>
              <w:rPr>
                <w:rFonts w:ascii="Arial" w:cs="Arial" w:eastAsia="Arial" w:hAnsi="Arial"/>
                <w:sz w:val="14"/>
                <w:szCs w:val="14"/>
                <w:color w:val="auto"/>
              </w:rPr>
              <w:t>Accretion expense</w:t>
            </w:r>
          </w:p>
        </w:tc>
        <w:tc>
          <w:tcPr>
            <w:tcW w:w="1800" w:type="dxa"/>
            <w:vAlign w:val="bottom"/>
          </w:tcPr>
          <w:p>
            <w:pPr>
              <w:jc w:val="right"/>
              <w:ind w:right="290"/>
              <w:spacing w:after="0"/>
              <w:rPr>
                <w:sz w:val="20"/>
                <w:szCs w:val="20"/>
                <w:color w:val="auto"/>
              </w:rPr>
            </w:pPr>
            <w:r>
              <w:rPr>
                <w:rFonts w:ascii="Arial" w:cs="Arial" w:eastAsia="Arial" w:hAnsi="Arial"/>
                <w:sz w:val="14"/>
                <w:szCs w:val="14"/>
                <w:color w:val="auto"/>
              </w:rPr>
              <w:t>971</w:t>
            </w:r>
          </w:p>
        </w:tc>
        <w:tc>
          <w:tcPr>
            <w:tcW w:w="1460" w:type="dxa"/>
            <w:vAlign w:val="bottom"/>
          </w:tcPr>
          <w:p>
            <w:pPr>
              <w:jc w:val="right"/>
              <w:ind w:right="268"/>
              <w:spacing w:after="0"/>
              <w:rPr>
                <w:sz w:val="20"/>
                <w:szCs w:val="20"/>
                <w:color w:val="auto"/>
              </w:rPr>
            </w:pPr>
            <w:r>
              <w:rPr>
                <w:rFonts w:ascii="Arial" w:cs="Arial" w:eastAsia="Arial" w:hAnsi="Arial"/>
                <w:sz w:val="14"/>
                <w:szCs w:val="14"/>
                <w:color w:val="auto"/>
              </w:rPr>
              <w:t>26</w:t>
            </w:r>
          </w:p>
        </w:tc>
        <w:tc>
          <w:tcPr>
            <w:tcW w:w="980" w:type="dxa"/>
            <w:vAlign w:val="bottom"/>
          </w:tcPr>
          <w:p>
            <w:pPr>
              <w:jc w:val="right"/>
              <w:ind w:right="208"/>
              <w:spacing w:after="0"/>
              <w:rPr>
                <w:sz w:val="20"/>
                <w:szCs w:val="20"/>
                <w:color w:val="auto"/>
              </w:rPr>
            </w:pPr>
            <w:r>
              <w:rPr>
                <w:rFonts w:ascii="Arial" w:cs="Arial" w:eastAsia="Arial" w:hAnsi="Arial"/>
                <w:sz w:val="14"/>
                <w:szCs w:val="14"/>
                <w:color w:val="auto"/>
              </w:rPr>
              <w:t>16</w:t>
            </w: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26</w:t>
            </w:r>
          </w:p>
        </w:tc>
        <w:tc>
          <w:tcPr>
            <w:tcW w:w="880" w:type="dxa"/>
            <w:vAlign w:val="bottom"/>
          </w:tcPr>
          <w:p>
            <w:pPr>
              <w:jc w:val="right"/>
              <w:ind w:right="149"/>
              <w:spacing w:after="0"/>
              <w:rPr>
                <w:sz w:val="20"/>
                <w:szCs w:val="20"/>
                <w:color w:val="auto"/>
              </w:rPr>
            </w:pPr>
            <w:r>
              <w:rPr>
                <w:rFonts w:ascii="Arial" w:cs="Arial" w:eastAsia="Arial" w:hAnsi="Arial"/>
                <w:sz w:val="14"/>
                <w:szCs w:val="14"/>
                <w:color w:val="auto"/>
              </w:rPr>
              <w:t>1,039</w:t>
            </w:r>
          </w:p>
        </w:tc>
        <w:tc>
          <w:tcPr>
            <w:tcW w:w="0" w:type="dxa"/>
            <w:vAlign w:val="bottom"/>
          </w:tcPr>
          <w:p>
            <w:pPr>
              <w:spacing w:after="0"/>
              <w:rPr>
                <w:sz w:val="1"/>
                <w:szCs w:val="1"/>
                <w:color w:val="auto"/>
              </w:rPr>
            </w:pPr>
          </w:p>
        </w:tc>
      </w:tr>
      <w:tr>
        <w:trPr>
          <w:trHeight w:val="162"/>
        </w:trPr>
        <w:tc>
          <w:tcPr>
            <w:tcW w:w="5600" w:type="dxa"/>
            <w:vAlign w:val="bottom"/>
          </w:tcPr>
          <w:p>
            <w:pPr>
              <w:spacing w:after="0"/>
              <w:rPr>
                <w:sz w:val="20"/>
                <w:szCs w:val="20"/>
                <w:color w:val="auto"/>
              </w:rPr>
            </w:pPr>
            <w:r>
              <w:rPr>
                <w:rFonts w:ascii="Arial" w:cs="Arial" w:eastAsia="Arial" w:hAnsi="Arial"/>
                <w:sz w:val="14"/>
                <w:szCs w:val="14"/>
                <w:color w:val="auto"/>
              </w:rPr>
              <w:t>Remeasurements and other movements</w:t>
            </w:r>
          </w:p>
        </w:tc>
        <w:tc>
          <w:tcPr>
            <w:tcW w:w="1800" w:type="dxa"/>
            <w:vAlign w:val="bottom"/>
          </w:tcPr>
          <w:p>
            <w:pPr>
              <w:jc w:val="right"/>
              <w:ind w:right="290"/>
              <w:spacing w:after="0"/>
              <w:rPr>
                <w:sz w:val="20"/>
                <w:szCs w:val="20"/>
                <w:color w:val="auto"/>
              </w:rPr>
            </w:pPr>
            <w:r>
              <w:rPr>
                <w:rFonts w:ascii="Arial" w:cs="Arial" w:eastAsia="Arial" w:hAnsi="Arial"/>
                <w:sz w:val="14"/>
                <w:szCs w:val="14"/>
                <w:color w:val="auto"/>
              </w:rPr>
              <w:t>4,093</w:t>
            </w:r>
          </w:p>
        </w:tc>
        <w:tc>
          <w:tcPr>
            <w:tcW w:w="1460" w:type="dxa"/>
            <w:vAlign w:val="bottom"/>
          </w:tcPr>
          <w:p>
            <w:pPr>
              <w:jc w:val="right"/>
              <w:ind w:right="228"/>
              <w:spacing w:after="0"/>
              <w:rPr>
                <w:sz w:val="20"/>
                <w:szCs w:val="20"/>
                <w:color w:val="auto"/>
              </w:rPr>
            </w:pPr>
            <w:r>
              <w:rPr>
                <w:rFonts w:ascii="Arial" w:cs="Arial" w:eastAsia="Arial" w:hAnsi="Arial"/>
                <w:sz w:val="14"/>
                <w:szCs w:val="14"/>
                <w:color w:val="auto"/>
              </w:rPr>
              <w:t>(27)</w:t>
            </w:r>
          </w:p>
        </w:tc>
        <w:tc>
          <w:tcPr>
            <w:tcW w:w="980" w:type="dxa"/>
            <w:vAlign w:val="bottom"/>
          </w:tcPr>
          <w:p>
            <w:pPr>
              <w:jc w:val="right"/>
              <w:ind w:right="168"/>
              <w:spacing w:after="0"/>
              <w:rPr>
                <w:sz w:val="20"/>
                <w:szCs w:val="20"/>
                <w:color w:val="auto"/>
              </w:rPr>
            </w:pPr>
            <w:r>
              <w:rPr>
                <w:rFonts w:ascii="Arial" w:cs="Arial" w:eastAsia="Arial" w:hAnsi="Arial"/>
                <w:sz w:val="14"/>
                <w:szCs w:val="14"/>
                <w:color w:val="auto"/>
              </w:rPr>
              <w:t>(49)</w:t>
            </w:r>
          </w:p>
        </w:tc>
        <w:tc>
          <w:tcPr>
            <w:tcW w:w="700" w:type="dxa"/>
            <w:vAlign w:val="bottom"/>
          </w:tcPr>
          <w:p>
            <w:pPr>
              <w:jc w:val="right"/>
              <w:spacing w:after="0"/>
              <w:rPr>
                <w:sz w:val="20"/>
                <w:szCs w:val="20"/>
                <w:color w:val="auto"/>
              </w:rPr>
            </w:pPr>
            <w:r>
              <w:rPr>
                <w:rFonts w:ascii="Arial" w:cs="Arial" w:eastAsia="Arial" w:hAnsi="Arial"/>
                <w:sz w:val="14"/>
                <w:szCs w:val="14"/>
                <w:color w:val="auto"/>
              </w:rPr>
              <w:t>(132)</w:t>
            </w:r>
          </w:p>
        </w:tc>
        <w:tc>
          <w:tcPr>
            <w:tcW w:w="880" w:type="dxa"/>
            <w:vAlign w:val="bottom"/>
          </w:tcPr>
          <w:p>
            <w:pPr>
              <w:jc w:val="right"/>
              <w:ind w:right="149"/>
              <w:spacing w:after="0"/>
              <w:rPr>
                <w:sz w:val="20"/>
                <w:szCs w:val="20"/>
                <w:color w:val="auto"/>
              </w:rPr>
            </w:pPr>
            <w:r>
              <w:rPr>
                <w:rFonts w:ascii="Arial" w:cs="Arial" w:eastAsia="Arial" w:hAnsi="Arial"/>
                <w:sz w:val="14"/>
                <w:szCs w:val="14"/>
                <w:color w:val="auto"/>
              </w:rPr>
              <w:t>3,885</w:t>
            </w:r>
          </w:p>
        </w:tc>
        <w:tc>
          <w:tcPr>
            <w:tcW w:w="0" w:type="dxa"/>
            <w:vAlign w:val="bottom"/>
          </w:tcPr>
          <w:p>
            <w:pPr>
              <w:spacing w:after="0"/>
              <w:rPr>
                <w:sz w:val="1"/>
                <w:szCs w:val="1"/>
                <w:color w:val="auto"/>
              </w:rPr>
            </w:pPr>
          </w:p>
        </w:tc>
      </w:tr>
      <w:tr>
        <w:trPr>
          <w:trHeight w:val="157"/>
        </w:trPr>
        <w:tc>
          <w:tcPr>
            <w:tcW w:w="5600" w:type="dxa"/>
            <w:vAlign w:val="bottom"/>
            <w:tcBorders>
              <w:bottom w:val="single" w:sz="8" w:color="auto"/>
            </w:tcBorders>
          </w:tcPr>
          <w:p>
            <w:pPr>
              <w:spacing w:after="0" w:line="157" w:lineRule="exact"/>
              <w:rPr>
                <w:sz w:val="20"/>
                <w:szCs w:val="20"/>
                <w:color w:val="auto"/>
              </w:rPr>
            </w:pPr>
            <w:r>
              <w:rPr>
                <w:rFonts w:ascii="Arial" w:cs="Arial" w:eastAsia="Arial" w:hAnsi="Arial"/>
                <w:sz w:val="14"/>
                <w:szCs w:val="14"/>
                <w:color w:val="auto"/>
              </w:rPr>
              <w:t>Currency translation differences</w:t>
            </w:r>
          </w:p>
        </w:tc>
        <w:tc>
          <w:tcPr>
            <w:tcW w:w="1800" w:type="dxa"/>
            <w:vAlign w:val="bottom"/>
            <w:tcBorders>
              <w:bottom w:val="single" w:sz="8" w:color="auto"/>
            </w:tcBorders>
          </w:tcPr>
          <w:p>
            <w:pPr>
              <w:jc w:val="right"/>
              <w:ind w:right="230"/>
              <w:spacing w:after="0" w:line="157" w:lineRule="exact"/>
              <w:rPr>
                <w:sz w:val="20"/>
                <w:szCs w:val="20"/>
                <w:color w:val="auto"/>
              </w:rPr>
            </w:pPr>
            <w:r>
              <w:rPr>
                <w:rFonts w:ascii="Arial" w:cs="Arial" w:eastAsia="Arial" w:hAnsi="Arial"/>
                <w:sz w:val="14"/>
                <w:szCs w:val="14"/>
                <w:color w:val="auto"/>
              </w:rPr>
              <w:t>(739)</w:t>
            </w:r>
          </w:p>
        </w:tc>
        <w:tc>
          <w:tcPr>
            <w:tcW w:w="1460" w:type="dxa"/>
            <w:vAlign w:val="bottom"/>
            <w:tcBorders>
              <w:bottom w:val="single" w:sz="8" w:color="auto"/>
            </w:tcBorders>
          </w:tcPr>
          <w:p>
            <w:pPr>
              <w:jc w:val="right"/>
              <w:ind w:right="228"/>
              <w:spacing w:after="0" w:line="157" w:lineRule="exact"/>
              <w:rPr>
                <w:sz w:val="20"/>
                <w:szCs w:val="20"/>
                <w:color w:val="auto"/>
              </w:rPr>
            </w:pPr>
            <w:r>
              <w:rPr>
                <w:rFonts w:ascii="Arial" w:cs="Arial" w:eastAsia="Arial" w:hAnsi="Arial"/>
                <w:sz w:val="14"/>
                <w:szCs w:val="14"/>
                <w:color w:val="auto"/>
              </w:rPr>
              <w:t>(52)</w:t>
            </w:r>
          </w:p>
        </w:tc>
        <w:tc>
          <w:tcPr>
            <w:tcW w:w="980" w:type="dxa"/>
            <w:vAlign w:val="bottom"/>
            <w:tcBorders>
              <w:bottom w:val="single" w:sz="8" w:color="auto"/>
            </w:tcBorders>
          </w:tcPr>
          <w:p>
            <w:pPr>
              <w:jc w:val="right"/>
              <w:ind w:right="168"/>
              <w:spacing w:after="0" w:line="157" w:lineRule="exact"/>
              <w:rPr>
                <w:sz w:val="20"/>
                <w:szCs w:val="20"/>
                <w:color w:val="auto"/>
              </w:rPr>
            </w:pPr>
            <w:r>
              <w:rPr>
                <w:rFonts w:ascii="Arial" w:cs="Arial" w:eastAsia="Arial" w:hAnsi="Arial"/>
                <w:sz w:val="14"/>
                <w:szCs w:val="14"/>
                <w:color w:val="auto"/>
              </w:rPr>
              <w:t>(27)</w:t>
            </w:r>
          </w:p>
        </w:tc>
        <w:tc>
          <w:tcPr>
            <w:tcW w:w="700" w:type="dxa"/>
            <w:vAlign w:val="bottom"/>
            <w:tcBorders>
              <w:bottom w:val="single" w:sz="8" w:color="auto"/>
            </w:tcBorders>
          </w:tcPr>
          <w:p>
            <w:pPr>
              <w:jc w:val="right"/>
              <w:spacing w:after="0" w:line="157" w:lineRule="exact"/>
              <w:rPr>
                <w:sz w:val="20"/>
                <w:szCs w:val="20"/>
                <w:color w:val="auto"/>
              </w:rPr>
            </w:pPr>
            <w:r>
              <w:rPr>
                <w:rFonts w:ascii="Arial" w:cs="Arial" w:eastAsia="Arial" w:hAnsi="Arial"/>
                <w:sz w:val="14"/>
                <w:szCs w:val="14"/>
                <w:color w:val="auto"/>
              </w:rPr>
              <w:t>(157)</w:t>
            </w:r>
          </w:p>
        </w:tc>
        <w:tc>
          <w:tcPr>
            <w:tcW w:w="880" w:type="dxa"/>
            <w:vAlign w:val="bottom"/>
            <w:tcBorders>
              <w:bottom w:val="single" w:sz="8" w:color="auto"/>
            </w:tcBorders>
          </w:tcPr>
          <w:p>
            <w:pPr>
              <w:jc w:val="right"/>
              <w:ind w:right="89"/>
              <w:spacing w:after="0" w:line="157" w:lineRule="exact"/>
              <w:rPr>
                <w:sz w:val="20"/>
                <w:szCs w:val="20"/>
                <w:color w:val="auto"/>
              </w:rPr>
            </w:pPr>
            <w:r>
              <w:rPr>
                <w:rFonts w:ascii="Arial" w:cs="Arial" w:eastAsia="Arial" w:hAnsi="Arial"/>
                <w:sz w:val="14"/>
                <w:szCs w:val="14"/>
                <w:color w:val="auto"/>
              </w:rPr>
              <w:t>(975)</w:t>
            </w:r>
          </w:p>
        </w:tc>
        <w:tc>
          <w:tcPr>
            <w:tcW w:w="0" w:type="dxa"/>
            <w:vAlign w:val="bottom"/>
          </w:tcPr>
          <w:p>
            <w:pPr>
              <w:spacing w:after="0"/>
              <w:rPr>
                <w:sz w:val="1"/>
                <w:szCs w:val="1"/>
                <w:color w:val="auto"/>
              </w:rPr>
            </w:pPr>
          </w:p>
        </w:tc>
      </w:tr>
      <w:tr>
        <w:trPr>
          <w:trHeight w:val="171"/>
        </w:trPr>
        <w:tc>
          <w:tcPr>
            <w:tcW w:w="5600" w:type="dxa"/>
            <w:vAlign w:val="bottom"/>
            <w:vMerge w:val="restart"/>
          </w:tcPr>
          <w:p>
            <w:pPr>
              <w:spacing w:after="0"/>
              <w:rPr>
                <w:sz w:val="20"/>
                <w:szCs w:val="20"/>
                <w:color w:val="auto"/>
              </w:rPr>
            </w:pPr>
            <w:r>
              <w:rPr>
                <w:rFonts w:ascii="Arial" w:cs="Arial" w:eastAsia="Arial" w:hAnsi="Arial"/>
                <w:sz w:val="14"/>
                <w:szCs w:val="14"/>
                <w:color w:val="auto"/>
              </w:rPr>
              <w:t>At December 31, 2014</w:t>
            </w:r>
          </w:p>
        </w:tc>
        <w:tc>
          <w:tcPr>
            <w:tcW w:w="1800" w:type="dxa"/>
            <w:vAlign w:val="bottom"/>
          </w:tcPr>
          <w:p>
            <w:pPr>
              <w:jc w:val="right"/>
              <w:ind w:right="290"/>
              <w:spacing w:after="0"/>
              <w:rPr>
                <w:sz w:val="20"/>
                <w:szCs w:val="20"/>
                <w:color w:val="auto"/>
              </w:rPr>
            </w:pPr>
            <w:r>
              <w:rPr>
                <w:rFonts w:ascii="Arial" w:cs="Arial" w:eastAsia="Arial" w:hAnsi="Arial"/>
                <w:sz w:val="14"/>
                <w:szCs w:val="14"/>
                <w:color w:val="auto"/>
              </w:rPr>
              <w:t>3,462</w:t>
            </w:r>
          </w:p>
        </w:tc>
        <w:tc>
          <w:tcPr>
            <w:tcW w:w="1460" w:type="dxa"/>
            <w:vAlign w:val="bottom"/>
          </w:tcPr>
          <w:p>
            <w:pPr>
              <w:jc w:val="right"/>
              <w:ind w:right="268"/>
              <w:spacing w:after="0"/>
              <w:rPr>
                <w:sz w:val="20"/>
                <w:szCs w:val="20"/>
                <w:color w:val="auto"/>
              </w:rPr>
            </w:pPr>
            <w:r>
              <w:rPr>
                <w:rFonts w:ascii="Arial" w:cs="Arial" w:eastAsia="Arial" w:hAnsi="Arial"/>
                <w:sz w:val="14"/>
                <w:szCs w:val="14"/>
                <w:color w:val="auto"/>
              </w:rPr>
              <w:t>23</w:t>
            </w:r>
          </w:p>
        </w:tc>
        <w:tc>
          <w:tcPr>
            <w:tcW w:w="980" w:type="dxa"/>
            <w:vAlign w:val="bottom"/>
          </w:tcPr>
          <w:p>
            <w:pPr>
              <w:jc w:val="right"/>
              <w:ind w:right="208"/>
              <w:spacing w:after="0"/>
              <w:rPr>
                <w:sz w:val="20"/>
                <w:szCs w:val="20"/>
                <w:color w:val="auto"/>
              </w:rPr>
            </w:pPr>
            <w:r>
              <w:rPr>
                <w:rFonts w:ascii="Arial" w:cs="Arial" w:eastAsia="Arial" w:hAnsi="Arial"/>
                <w:sz w:val="14"/>
                <w:szCs w:val="14"/>
                <w:color w:val="auto"/>
              </w:rPr>
              <w:t>104</w:t>
            </w: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1,266</w:t>
            </w:r>
          </w:p>
        </w:tc>
        <w:tc>
          <w:tcPr>
            <w:tcW w:w="880" w:type="dxa"/>
            <w:vAlign w:val="bottom"/>
          </w:tcPr>
          <w:p>
            <w:pPr>
              <w:jc w:val="right"/>
              <w:ind w:right="149"/>
              <w:spacing w:after="0"/>
              <w:rPr>
                <w:sz w:val="20"/>
                <w:szCs w:val="20"/>
                <w:color w:val="auto"/>
              </w:rPr>
            </w:pPr>
            <w:r>
              <w:rPr>
                <w:rFonts w:ascii="Arial" w:cs="Arial" w:eastAsia="Arial" w:hAnsi="Arial"/>
                <w:sz w:val="14"/>
                <w:szCs w:val="14"/>
                <w:color w:val="auto"/>
              </w:rPr>
              <w:t>4,855</w:t>
            </w:r>
          </w:p>
        </w:tc>
        <w:tc>
          <w:tcPr>
            <w:tcW w:w="0" w:type="dxa"/>
            <w:vAlign w:val="bottom"/>
          </w:tcPr>
          <w:p>
            <w:pPr>
              <w:spacing w:after="0"/>
              <w:rPr>
                <w:sz w:val="1"/>
                <w:szCs w:val="1"/>
                <w:color w:val="auto"/>
              </w:rPr>
            </w:pPr>
          </w:p>
        </w:tc>
      </w:tr>
      <w:tr>
        <w:trPr>
          <w:trHeight w:val="152"/>
        </w:trPr>
        <w:tc>
          <w:tcPr>
            <w:tcW w:w="5600" w:type="dxa"/>
            <w:vAlign w:val="bottom"/>
            <w:vMerge w:val="continue"/>
          </w:tcPr>
          <w:p>
            <w:pPr>
              <w:spacing w:after="0"/>
              <w:rPr>
                <w:sz w:val="13"/>
                <w:szCs w:val="13"/>
                <w:color w:val="auto"/>
              </w:rPr>
            </w:pPr>
          </w:p>
        </w:tc>
        <w:tc>
          <w:tcPr>
            <w:tcW w:w="180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5600" w:type="dxa"/>
            <w:vAlign w:val="bottom"/>
          </w:tcPr>
          <w:p>
            <w:pPr>
              <w:ind w:left="140"/>
              <w:spacing w:after="0"/>
              <w:rPr>
                <w:sz w:val="20"/>
                <w:szCs w:val="20"/>
                <w:color w:val="auto"/>
              </w:rPr>
            </w:pPr>
            <w:r>
              <w:rPr>
                <w:rFonts w:ascii="Arial" w:cs="Arial" w:eastAsia="Arial" w:hAnsi="Arial"/>
                <w:sz w:val="14"/>
                <w:szCs w:val="14"/>
                <w:color w:val="auto"/>
              </w:rPr>
              <w:t>Current</w:t>
            </w:r>
          </w:p>
        </w:tc>
        <w:tc>
          <w:tcPr>
            <w:tcW w:w="1800" w:type="dxa"/>
            <w:vAlign w:val="bottom"/>
          </w:tcPr>
          <w:p>
            <w:pPr>
              <w:jc w:val="right"/>
              <w:ind w:right="290"/>
              <w:spacing w:after="0"/>
              <w:rPr>
                <w:sz w:val="20"/>
                <w:szCs w:val="20"/>
                <w:color w:val="auto"/>
              </w:rPr>
            </w:pPr>
            <w:r>
              <w:rPr>
                <w:rFonts w:ascii="Arial" w:cs="Arial" w:eastAsia="Arial" w:hAnsi="Arial"/>
                <w:sz w:val="14"/>
                <w:szCs w:val="14"/>
                <w:color w:val="auto"/>
              </w:rPr>
              <w:t>1,275</w:t>
            </w:r>
          </w:p>
        </w:tc>
        <w:tc>
          <w:tcPr>
            <w:tcW w:w="1460" w:type="dxa"/>
            <w:vAlign w:val="bottom"/>
          </w:tcPr>
          <w:p>
            <w:pPr>
              <w:jc w:val="right"/>
              <w:ind w:right="268"/>
              <w:spacing w:after="0"/>
              <w:rPr>
                <w:sz w:val="20"/>
                <w:szCs w:val="20"/>
                <w:color w:val="auto"/>
              </w:rPr>
            </w:pPr>
            <w:r>
              <w:rPr>
                <w:rFonts w:ascii="Arial" w:cs="Arial" w:eastAsia="Arial" w:hAnsi="Arial"/>
                <w:sz w:val="14"/>
                <w:szCs w:val="14"/>
                <w:color w:val="auto"/>
              </w:rPr>
              <w:t>348</w:t>
            </w:r>
          </w:p>
        </w:tc>
        <w:tc>
          <w:tcPr>
            <w:tcW w:w="980" w:type="dxa"/>
            <w:vAlign w:val="bottom"/>
          </w:tcPr>
          <w:p>
            <w:pPr>
              <w:jc w:val="right"/>
              <w:ind w:right="208"/>
              <w:spacing w:after="0"/>
              <w:rPr>
                <w:sz w:val="20"/>
                <w:szCs w:val="20"/>
                <w:color w:val="auto"/>
              </w:rPr>
            </w:pPr>
            <w:r>
              <w:rPr>
                <w:rFonts w:ascii="Arial" w:cs="Arial" w:eastAsia="Arial" w:hAnsi="Arial"/>
                <w:sz w:val="14"/>
                <w:szCs w:val="14"/>
                <w:color w:val="auto"/>
              </w:rPr>
              <w:t>309</w:t>
            </w: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2,034</w:t>
            </w:r>
          </w:p>
        </w:tc>
        <w:tc>
          <w:tcPr>
            <w:tcW w:w="880" w:type="dxa"/>
            <w:vAlign w:val="bottom"/>
          </w:tcPr>
          <w:p>
            <w:pPr>
              <w:jc w:val="right"/>
              <w:ind w:right="149"/>
              <w:spacing w:after="0"/>
              <w:rPr>
                <w:sz w:val="20"/>
                <w:szCs w:val="20"/>
                <w:color w:val="auto"/>
              </w:rPr>
            </w:pPr>
            <w:r>
              <w:rPr>
                <w:rFonts w:ascii="Arial" w:cs="Arial" w:eastAsia="Arial" w:hAnsi="Arial"/>
                <w:sz w:val="14"/>
                <w:szCs w:val="14"/>
                <w:color w:val="auto"/>
              </w:rPr>
              <w:t>3,966</w:t>
            </w:r>
          </w:p>
        </w:tc>
        <w:tc>
          <w:tcPr>
            <w:tcW w:w="0" w:type="dxa"/>
            <w:vAlign w:val="bottom"/>
          </w:tcPr>
          <w:p>
            <w:pPr>
              <w:spacing w:after="0"/>
              <w:rPr>
                <w:sz w:val="1"/>
                <w:szCs w:val="1"/>
                <w:color w:val="auto"/>
              </w:rPr>
            </w:pPr>
          </w:p>
        </w:tc>
      </w:tr>
      <w:tr>
        <w:trPr>
          <w:trHeight w:val="157"/>
        </w:trPr>
        <w:tc>
          <w:tcPr>
            <w:tcW w:w="5600" w:type="dxa"/>
            <w:vAlign w:val="bottom"/>
            <w:tcBorders>
              <w:bottom w:val="single" w:sz="8" w:color="auto"/>
            </w:tcBorders>
          </w:tcPr>
          <w:p>
            <w:pPr>
              <w:ind w:left="140"/>
              <w:spacing w:after="0" w:line="157" w:lineRule="exact"/>
              <w:rPr>
                <w:sz w:val="20"/>
                <w:szCs w:val="20"/>
                <w:color w:val="auto"/>
              </w:rPr>
            </w:pPr>
            <w:r>
              <w:rPr>
                <w:rFonts w:ascii="Arial" w:cs="Arial" w:eastAsia="Arial" w:hAnsi="Arial"/>
                <w:sz w:val="14"/>
                <w:szCs w:val="14"/>
                <w:color w:val="auto"/>
              </w:rPr>
              <w:t>Non-current</w:t>
            </w:r>
          </w:p>
        </w:tc>
        <w:tc>
          <w:tcPr>
            <w:tcW w:w="1800" w:type="dxa"/>
            <w:vAlign w:val="bottom"/>
            <w:tcBorders>
              <w:bottom w:val="single" w:sz="8" w:color="auto"/>
            </w:tcBorders>
          </w:tcPr>
          <w:p>
            <w:pPr>
              <w:jc w:val="right"/>
              <w:ind w:right="290"/>
              <w:spacing w:after="0" w:line="157" w:lineRule="exact"/>
              <w:rPr>
                <w:sz w:val="20"/>
                <w:szCs w:val="20"/>
                <w:color w:val="auto"/>
              </w:rPr>
            </w:pPr>
            <w:r>
              <w:rPr>
                <w:rFonts w:ascii="Arial" w:cs="Arial" w:eastAsia="Arial" w:hAnsi="Arial"/>
                <w:sz w:val="14"/>
                <w:szCs w:val="14"/>
                <w:color w:val="auto"/>
              </w:rPr>
              <w:t>20,612</w:t>
            </w:r>
          </w:p>
        </w:tc>
        <w:tc>
          <w:tcPr>
            <w:tcW w:w="1460" w:type="dxa"/>
            <w:vAlign w:val="bottom"/>
            <w:tcBorders>
              <w:bottom w:val="single" w:sz="8" w:color="auto"/>
            </w:tcBorders>
          </w:tcPr>
          <w:p>
            <w:pPr>
              <w:jc w:val="right"/>
              <w:ind w:right="268"/>
              <w:spacing w:after="0" w:line="157" w:lineRule="exact"/>
              <w:rPr>
                <w:sz w:val="20"/>
                <w:szCs w:val="20"/>
                <w:color w:val="auto"/>
              </w:rPr>
            </w:pPr>
            <w:r>
              <w:rPr>
                <w:rFonts w:ascii="Arial" w:cs="Arial" w:eastAsia="Arial" w:hAnsi="Arial"/>
                <w:sz w:val="14"/>
                <w:szCs w:val="14"/>
                <w:color w:val="auto"/>
              </w:rPr>
              <w:t>1,016</w:t>
            </w:r>
          </w:p>
        </w:tc>
        <w:tc>
          <w:tcPr>
            <w:tcW w:w="980" w:type="dxa"/>
            <w:vAlign w:val="bottom"/>
            <w:tcBorders>
              <w:bottom w:val="single" w:sz="8" w:color="auto"/>
            </w:tcBorders>
          </w:tcPr>
          <w:p>
            <w:pPr>
              <w:jc w:val="right"/>
              <w:ind w:right="208"/>
              <w:spacing w:after="0" w:line="157" w:lineRule="exact"/>
              <w:rPr>
                <w:sz w:val="20"/>
                <w:szCs w:val="20"/>
                <w:color w:val="auto"/>
              </w:rPr>
            </w:pPr>
            <w:r>
              <w:rPr>
                <w:rFonts w:ascii="Arial" w:cs="Arial" w:eastAsia="Arial" w:hAnsi="Arial"/>
                <w:sz w:val="14"/>
                <w:szCs w:val="14"/>
                <w:color w:val="auto"/>
              </w:rPr>
              <w:t>338</w:t>
            </w:r>
          </w:p>
        </w:tc>
        <w:tc>
          <w:tcPr>
            <w:tcW w:w="700" w:type="dxa"/>
            <w:vAlign w:val="bottom"/>
            <w:tcBorders>
              <w:bottom w:val="single" w:sz="8" w:color="auto"/>
            </w:tcBorders>
          </w:tcPr>
          <w:p>
            <w:pPr>
              <w:jc w:val="right"/>
              <w:ind w:right="28"/>
              <w:spacing w:after="0" w:line="157" w:lineRule="exact"/>
              <w:rPr>
                <w:sz w:val="20"/>
                <w:szCs w:val="20"/>
                <w:color w:val="auto"/>
              </w:rPr>
            </w:pPr>
            <w:r>
              <w:rPr>
                <w:rFonts w:ascii="Arial" w:cs="Arial" w:eastAsia="Arial" w:hAnsi="Arial"/>
                <w:sz w:val="14"/>
                <w:szCs w:val="14"/>
                <w:color w:val="auto"/>
              </w:rPr>
              <w:t>1,868</w:t>
            </w:r>
          </w:p>
        </w:tc>
        <w:tc>
          <w:tcPr>
            <w:tcW w:w="880" w:type="dxa"/>
            <w:vAlign w:val="bottom"/>
            <w:tcBorders>
              <w:bottom w:val="single" w:sz="8" w:color="auto"/>
            </w:tcBorders>
          </w:tcPr>
          <w:p>
            <w:pPr>
              <w:jc w:val="right"/>
              <w:ind w:right="149"/>
              <w:spacing w:after="0" w:line="157" w:lineRule="exact"/>
              <w:rPr>
                <w:sz w:val="20"/>
                <w:szCs w:val="20"/>
                <w:color w:val="auto"/>
              </w:rPr>
            </w:pPr>
            <w:r>
              <w:rPr>
                <w:rFonts w:ascii="Arial" w:cs="Arial" w:eastAsia="Arial" w:hAnsi="Arial"/>
                <w:sz w:val="14"/>
                <w:szCs w:val="14"/>
                <w:color w:val="auto"/>
              </w:rPr>
              <w:t>23,834</w:t>
            </w:r>
          </w:p>
        </w:tc>
        <w:tc>
          <w:tcPr>
            <w:tcW w:w="0" w:type="dxa"/>
            <w:vAlign w:val="bottom"/>
          </w:tcPr>
          <w:p>
            <w:pPr>
              <w:spacing w:after="0"/>
              <w:rPr>
                <w:sz w:val="1"/>
                <w:szCs w:val="1"/>
                <w:color w:val="auto"/>
              </w:rPr>
            </w:pPr>
          </w:p>
        </w:tc>
      </w:tr>
      <w:tr>
        <w:trPr>
          <w:trHeight w:val="156"/>
        </w:trPr>
        <w:tc>
          <w:tcPr>
            <w:tcW w:w="5600" w:type="dxa"/>
            <w:vAlign w:val="bottom"/>
            <w:tcBorders>
              <w:bottom w:val="single" w:sz="8" w:color="auto"/>
            </w:tcBorders>
          </w:tcPr>
          <w:p>
            <w:pPr>
              <w:spacing w:after="0"/>
              <w:rPr>
                <w:sz w:val="13"/>
                <w:szCs w:val="13"/>
                <w:color w:val="auto"/>
              </w:rPr>
            </w:pPr>
          </w:p>
        </w:tc>
        <w:tc>
          <w:tcPr>
            <w:tcW w:w="1800" w:type="dxa"/>
            <w:vAlign w:val="bottom"/>
            <w:tcBorders>
              <w:bottom w:val="single" w:sz="8" w:color="auto"/>
            </w:tcBorders>
          </w:tcPr>
          <w:p>
            <w:pPr>
              <w:jc w:val="right"/>
              <w:ind w:right="290"/>
              <w:spacing w:after="0" w:line="155" w:lineRule="exact"/>
              <w:rPr>
                <w:sz w:val="20"/>
                <w:szCs w:val="20"/>
                <w:color w:val="auto"/>
              </w:rPr>
            </w:pPr>
            <w:r>
              <w:rPr>
                <w:rFonts w:ascii="Arial" w:cs="Arial" w:eastAsia="Arial" w:hAnsi="Arial"/>
                <w:sz w:val="14"/>
                <w:szCs w:val="14"/>
                <w:color w:val="auto"/>
              </w:rPr>
              <w:t>21,887</w:t>
            </w:r>
          </w:p>
        </w:tc>
        <w:tc>
          <w:tcPr>
            <w:tcW w:w="1460" w:type="dxa"/>
            <w:vAlign w:val="bottom"/>
            <w:tcBorders>
              <w:bottom w:val="single" w:sz="8" w:color="auto"/>
            </w:tcBorders>
          </w:tcPr>
          <w:p>
            <w:pPr>
              <w:jc w:val="right"/>
              <w:ind w:right="268"/>
              <w:spacing w:after="0" w:line="155" w:lineRule="exact"/>
              <w:rPr>
                <w:sz w:val="20"/>
                <w:szCs w:val="20"/>
                <w:color w:val="auto"/>
              </w:rPr>
            </w:pPr>
            <w:r>
              <w:rPr>
                <w:rFonts w:ascii="Arial" w:cs="Arial" w:eastAsia="Arial" w:hAnsi="Arial"/>
                <w:sz w:val="14"/>
                <w:szCs w:val="14"/>
                <w:color w:val="auto"/>
              </w:rPr>
              <w:t>1,364</w:t>
            </w:r>
          </w:p>
        </w:tc>
        <w:tc>
          <w:tcPr>
            <w:tcW w:w="980" w:type="dxa"/>
            <w:vAlign w:val="bottom"/>
            <w:tcBorders>
              <w:bottom w:val="single" w:sz="8" w:color="auto"/>
            </w:tcBorders>
          </w:tcPr>
          <w:p>
            <w:pPr>
              <w:jc w:val="right"/>
              <w:ind w:right="208"/>
              <w:spacing w:after="0" w:line="155" w:lineRule="exact"/>
              <w:rPr>
                <w:sz w:val="20"/>
                <w:szCs w:val="20"/>
                <w:color w:val="auto"/>
              </w:rPr>
            </w:pPr>
            <w:r>
              <w:rPr>
                <w:rFonts w:ascii="Arial" w:cs="Arial" w:eastAsia="Arial" w:hAnsi="Arial"/>
                <w:sz w:val="14"/>
                <w:szCs w:val="14"/>
                <w:color w:val="auto"/>
              </w:rPr>
              <w:t>647</w:t>
            </w:r>
          </w:p>
        </w:tc>
        <w:tc>
          <w:tcPr>
            <w:tcW w:w="700" w:type="dxa"/>
            <w:vAlign w:val="bottom"/>
            <w:tcBorders>
              <w:bottom w:val="single" w:sz="8" w:color="auto"/>
            </w:tcBorders>
          </w:tcPr>
          <w:p>
            <w:pPr>
              <w:jc w:val="right"/>
              <w:ind w:right="28"/>
              <w:spacing w:after="0" w:line="155" w:lineRule="exact"/>
              <w:rPr>
                <w:sz w:val="20"/>
                <w:szCs w:val="20"/>
                <w:color w:val="auto"/>
              </w:rPr>
            </w:pPr>
            <w:r>
              <w:rPr>
                <w:rFonts w:ascii="Arial" w:cs="Arial" w:eastAsia="Arial" w:hAnsi="Arial"/>
                <w:sz w:val="14"/>
                <w:szCs w:val="14"/>
                <w:color w:val="auto"/>
              </w:rPr>
              <w:t>3,902</w:t>
            </w:r>
          </w:p>
        </w:tc>
        <w:tc>
          <w:tcPr>
            <w:tcW w:w="880" w:type="dxa"/>
            <w:vAlign w:val="bottom"/>
            <w:tcBorders>
              <w:bottom w:val="single" w:sz="8" w:color="auto"/>
            </w:tcBorders>
          </w:tcPr>
          <w:p>
            <w:pPr>
              <w:jc w:val="right"/>
              <w:ind w:right="149"/>
              <w:spacing w:after="0" w:line="155" w:lineRule="exact"/>
              <w:rPr>
                <w:sz w:val="20"/>
                <w:szCs w:val="20"/>
                <w:color w:val="auto"/>
              </w:rPr>
            </w:pPr>
            <w:r>
              <w:rPr>
                <w:rFonts w:ascii="Arial" w:cs="Arial" w:eastAsia="Arial" w:hAnsi="Arial"/>
                <w:sz w:val="14"/>
                <w:szCs w:val="14"/>
                <w:color w:val="auto"/>
              </w:rPr>
              <w:t>27,800</w:t>
            </w:r>
          </w:p>
        </w:tc>
        <w:tc>
          <w:tcPr>
            <w:tcW w:w="0" w:type="dxa"/>
            <w:vAlign w:val="bottom"/>
          </w:tcPr>
          <w:p>
            <w:pPr>
              <w:spacing w:after="0"/>
              <w:rPr>
                <w:sz w:val="1"/>
                <w:szCs w:val="1"/>
                <w:color w:val="auto"/>
              </w:rPr>
            </w:pPr>
          </w:p>
        </w:tc>
      </w:tr>
      <w:tr>
        <w:trPr>
          <w:trHeight w:val="160"/>
        </w:trPr>
        <w:tc>
          <w:tcPr>
            <w:tcW w:w="5600" w:type="dxa"/>
            <w:vAlign w:val="bottom"/>
          </w:tcPr>
          <w:p>
            <w:pPr>
              <w:spacing w:after="0"/>
              <w:rPr>
                <w:sz w:val="20"/>
                <w:szCs w:val="20"/>
                <w:color w:val="auto"/>
              </w:rPr>
            </w:pPr>
            <w:r>
              <w:rPr>
                <w:rFonts w:ascii="Arial" w:cs="Arial" w:eastAsia="Arial" w:hAnsi="Arial"/>
                <w:sz w:val="14"/>
                <w:szCs w:val="14"/>
                <w:color w:val="auto"/>
              </w:rPr>
              <w:t>At January 1, 2013</w:t>
            </w:r>
          </w:p>
        </w:tc>
        <w:tc>
          <w:tcPr>
            <w:tcW w:w="180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5600" w:type="dxa"/>
            <w:vAlign w:val="bottom"/>
          </w:tcPr>
          <w:p>
            <w:pPr>
              <w:ind w:left="140"/>
              <w:spacing w:after="0"/>
              <w:rPr>
                <w:sz w:val="20"/>
                <w:szCs w:val="20"/>
                <w:color w:val="auto"/>
              </w:rPr>
            </w:pPr>
            <w:r>
              <w:rPr>
                <w:rFonts w:ascii="Arial" w:cs="Arial" w:eastAsia="Arial" w:hAnsi="Arial"/>
                <w:sz w:val="14"/>
                <w:szCs w:val="14"/>
                <w:color w:val="auto"/>
              </w:rPr>
              <w:t>Current</w:t>
            </w:r>
          </w:p>
        </w:tc>
        <w:tc>
          <w:tcPr>
            <w:tcW w:w="1800" w:type="dxa"/>
            <w:vAlign w:val="bottom"/>
          </w:tcPr>
          <w:p>
            <w:pPr>
              <w:jc w:val="right"/>
              <w:ind w:right="290"/>
              <w:spacing w:after="0"/>
              <w:rPr>
                <w:sz w:val="20"/>
                <w:szCs w:val="20"/>
                <w:color w:val="auto"/>
              </w:rPr>
            </w:pPr>
            <w:r>
              <w:rPr>
                <w:rFonts w:ascii="Arial" w:cs="Arial" w:eastAsia="Arial" w:hAnsi="Arial"/>
                <w:sz w:val="14"/>
                <w:szCs w:val="14"/>
                <w:color w:val="auto"/>
              </w:rPr>
              <w:t>1,356</w:t>
            </w:r>
          </w:p>
        </w:tc>
        <w:tc>
          <w:tcPr>
            <w:tcW w:w="1460" w:type="dxa"/>
            <w:vAlign w:val="bottom"/>
          </w:tcPr>
          <w:p>
            <w:pPr>
              <w:jc w:val="right"/>
              <w:ind w:right="268"/>
              <w:spacing w:after="0"/>
              <w:rPr>
                <w:sz w:val="20"/>
                <w:szCs w:val="20"/>
                <w:color w:val="auto"/>
              </w:rPr>
            </w:pPr>
            <w:r>
              <w:rPr>
                <w:rFonts w:ascii="Arial" w:cs="Arial" w:eastAsia="Arial" w:hAnsi="Arial"/>
                <w:sz w:val="14"/>
                <w:szCs w:val="14"/>
                <w:color w:val="auto"/>
              </w:rPr>
              <w:t>366</w:t>
            </w:r>
          </w:p>
        </w:tc>
        <w:tc>
          <w:tcPr>
            <w:tcW w:w="980" w:type="dxa"/>
            <w:vAlign w:val="bottom"/>
          </w:tcPr>
          <w:p>
            <w:pPr>
              <w:jc w:val="right"/>
              <w:ind w:right="208"/>
              <w:spacing w:after="0"/>
              <w:rPr>
                <w:sz w:val="20"/>
                <w:szCs w:val="20"/>
                <w:color w:val="auto"/>
              </w:rPr>
            </w:pPr>
            <w:r>
              <w:rPr>
                <w:rFonts w:ascii="Arial" w:cs="Arial" w:eastAsia="Arial" w:hAnsi="Arial"/>
                <w:sz w:val="14"/>
                <w:szCs w:val="14"/>
                <w:color w:val="auto"/>
              </w:rPr>
              <w:t>390</w:t>
            </w: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1,109</w:t>
            </w:r>
          </w:p>
        </w:tc>
        <w:tc>
          <w:tcPr>
            <w:tcW w:w="880" w:type="dxa"/>
            <w:vAlign w:val="bottom"/>
          </w:tcPr>
          <w:p>
            <w:pPr>
              <w:jc w:val="right"/>
              <w:ind w:right="149"/>
              <w:spacing w:after="0"/>
              <w:rPr>
                <w:sz w:val="20"/>
                <w:szCs w:val="20"/>
                <w:color w:val="auto"/>
              </w:rPr>
            </w:pPr>
            <w:r>
              <w:rPr>
                <w:rFonts w:ascii="Arial" w:cs="Arial" w:eastAsia="Arial" w:hAnsi="Arial"/>
                <w:sz w:val="14"/>
                <w:szCs w:val="14"/>
                <w:color w:val="auto"/>
              </w:rPr>
              <w:t>3,221</w:t>
            </w:r>
          </w:p>
        </w:tc>
        <w:tc>
          <w:tcPr>
            <w:tcW w:w="0" w:type="dxa"/>
            <w:vAlign w:val="bottom"/>
          </w:tcPr>
          <w:p>
            <w:pPr>
              <w:spacing w:after="0"/>
              <w:rPr>
                <w:sz w:val="1"/>
                <w:szCs w:val="1"/>
                <w:color w:val="auto"/>
              </w:rPr>
            </w:pPr>
          </w:p>
        </w:tc>
      </w:tr>
      <w:tr>
        <w:trPr>
          <w:trHeight w:val="157"/>
        </w:trPr>
        <w:tc>
          <w:tcPr>
            <w:tcW w:w="5600" w:type="dxa"/>
            <w:vAlign w:val="bottom"/>
            <w:tcBorders>
              <w:bottom w:val="single" w:sz="8" w:color="auto"/>
            </w:tcBorders>
          </w:tcPr>
          <w:p>
            <w:pPr>
              <w:ind w:left="140"/>
              <w:spacing w:after="0" w:line="157" w:lineRule="exact"/>
              <w:rPr>
                <w:sz w:val="20"/>
                <w:szCs w:val="20"/>
                <w:color w:val="auto"/>
              </w:rPr>
            </w:pPr>
            <w:r>
              <w:rPr>
                <w:rFonts w:ascii="Arial" w:cs="Arial" w:eastAsia="Arial" w:hAnsi="Arial"/>
                <w:sz w:val="14"/>
                <w:szCs w:val="14"/>
                <w:color w:val="auto"/>
              </w:rPr>
              <w:t>Non-current</w:t>
            </w:r>
          </w:p>
        </w:tc>
        <w:tc>
          <w:tcPr>
            <w:tcW w:w="1800" w:type="dxa"/>
            <w:vAlign w:val="bottom"/>
            <w:tcBorders>
              <w:bottom w:val="single" w:sz="8" w:color="auto"/>
            </w:tcBorders>
          </w:tcPr>
          <w:p>
            <w:pPr>
              <w:jc w:val="right"/>
              <w:ind w:right="290"/>
              <w:spacing w:after="0" w:line="157" w:lineRule="exact"/>
              <w:rPr>
                <w:sz w:val="20"/>
                <w:szCs w:val="20"/>
                <w:color w:val="auto"/>
              </w:rPr>
            </w:pPr>
            <w:r>
              <w:rPr>
                <w:rFonts w:ascii="Arial" w:cs="Arial" w:eastAsia="Arial" w:hAnsi="Arial"/>
                <w:sz w:val="14"/>
                <w:szCs w:val="14"/>
                <w:color w:val="auto"/>
              </w:rPr>
              <w:t>14,715</w:t>
            </w:r>
          </w:p>
        </w:tc>
        <w:tc>
          <w:tcPr>
            <w:tcW w:w="1460" w:type="dxa"/>
            <w:vAlign w:val="bottom"/>
            <w:tcBorders>
              <w:bottom w:val="single" w:sz="8" w:color="auto"/>
            </w:tcBorders>
          </w:tcPr>
          <w:p>
            <w:pPr>
              <w:jc w:val="right"/>
              <w:ind w:right="268"/>
              <w:spacing w:after="0" w:line="157" w:lineRule="exact"/>
              <w:rPr>
                <w:sz w:val="20"/>
                <w:szCs w:val="20"/>
                <w:color w:val="auto"/>
              </w:rPr>
            </w:pPr>
            <w:r>
              <w:rPr>
                <w:rFonts w:ascii="Arial" w:cs="Arial" w:eastAsia="Arial" w:hAnsi="Arial"/>
                <w:sz w:val="14"/>
                <w:szCs w:val="14"/>
                <w:color w:val="auto"/>
              </w:rPr>
              <w:t>1,032</w:t>
            </w:r>
          </w:p>
        </w:tc>
        <w:tc>
          <w:tcPr>
            <w:tcW w:w="980" w:type="dxa"/>
            <w:vAlign w:val="bottom"/>
            <w:tcBorders>
              <w:bottom w:val="single" w:sz="8" w:color="auto"/>
            </w:tcBorders>
          </w:tcPr>
          <w:p>
            <w:pPr>
              <w:jc w:val="right"/>
              <w:ind w:right="208"/>
              <w:spacing w:after="0" w:line="157" w:lineRule="exact"/>
              <w:rPr>
                <w:sz w:val="20"/>
                <w:szCs w:val="20"/>
                <w:color w:val="auto"/>
              </w:rPr>
            </w:pPr>
            <w:r>
              <w:rPr>
                <w:rFonts w:ascii="Arial" w:cs="Arial" w:eastAsia="Arial" w:hAnsi="Arial"/>
                <w:sz w:val="14"/>
                <w:szCs w:val="14"/>
                <w:color w:val="auto"/>
              </w:rPr>
              <w:t>307</w:t>
            </w:r>
          </w:p>
        </w:tc>
        <w:tc>
          <w:tcPr>
            <w:tcW w:w="700" w:type="dxa"/>
            <w:vAlign w:val="bottom"/>
            <w:tcBorders>
              <w:bottom w:val="single" w:sz="8" w:color="auto"/>
            </w:tcBorders>
          </w:tcPr>
          <w:p>
            <w:pPr>
              <w:jc w:val="right"/>
              <w:ind w:right="28"/>
              <w:spacing w:after="0" w:line="157" w:lineRule="exact"/>
              <w:rPr>
                <w:sz w:val="20"/>
                <w:szCs w:val="20"/>
                <w:color w:val="auto"/>
              </w:rPr>
            </w:pPr>
            <w:r>
              <w:rPr>
                <w:rFonts w:ascii="Arial" w:cs="Arial" w:eastAsia="Arial" w:hAnsi="Arial"/>
                <w:sz w:val="14"/>
                <w:szCs w:val="14"/>
                <w:color w:val="auto"/>
              </w:rPr>
              <w:t>1,381</w:t>
            </w:r>
          </w:p>
        </w:tc>
        <w:tc>
          <w:tcPr>
            <w:tcW w:w="880" w:type="dxa"/>
            <w:vAlign w:val="bottom"/>
            <w:tcBorders>
              <w:bottom w:val="single" w:sz="8" w:color="auto"/>
            </w:tcBorders>
          </w:tcPr>
          <w:p>
            <w:pPr>
              <w:jc w:val="right"/>
              <w:ind w:right="149"/>
              <w:spacing w:after="0" w:line="157" w:lineRule="exact"/>
              <w:rPr>
                <w:sz w:val="20"/>
                <w:szCs w:val="20"/>
                <w:color w:val="auto"/>
              </w:rPr>
            </w:pPr>
            <w:r>
              <w:rPr>
                <w:rFonts w:ascii="Arial" w:cs="Arial" w:eastAsia="Arial" w:hAnsi="Arial"/>
                <w:sz w:val="14"/>
                <w:szCs w:val="14"/>
                <w:color w:val="auto"/>
              </w:rPr>
              <w:t>17,435</w:t>
            </w:r>
          </w:p>
        </w:tc>
        <w:tc>
          <w:tcPr>
            <w:tcW w:w="0" w:type="dxa"/>
            <w:vAlign w:val="bottom"/>
          </w:tcPr>
          <w:p>
            <w:pPr>
              <w:spacing w:after="0"/>
              <w:rPr>
                <w:sz w:val="1"/>
                <w:szCs w:val="1"/>
                <w:color w:val="auto"/>
              </w:rPr>
            </w:pPr>
          </w:p>
        </w:tc>
      </w:tr>
      <w:tr>
        <w:trPr>
          <w:trHeight w:val="171"/>
        </w:trPr>
        <w:tc>
          <w:tcPr>
            <w:tcW w:w="5600" w:type="dxa"/>
            <w:vAlign w:val="bottom"/>
          </w:tcPr>
          <w:p>
            <w:pPr>
              <w:spacing w:after="0"/>
              <w:rPr>
                <w:sz w:val="14"/>
                <w:szCs w:val="14"/>
                <w:color w:val="auto"/>
              </w:rPr>
            </w:pPr>
          </w:p>
        </w:tc>
        <w:tc>
          <w:tcPr>
            <w:tcW w:w="1800" w:type="dxa"/>
            <w:vAlign w:val="bottom"/>
          </w:tcPr>
          <w:p>
            <w:pPr>
              <w:jc w:val="right"/>
              <w:ind w:right="290"/>
              <w:spacing w:after="0"/>
              <w:rPr>
                <w:sz w:val="20"/>
                <w:szCs w:val="20"/>
                <w:color w:val="auto"/>
              </w:rPr>
            </w:pPr>
            <w:r>
              <w:rPr>
                <w:rFonts w:ascii="Arial" w:cs="Arial" w:eastAsia="Arial" w:hAnsi="Arial"/>
                <w:sz w:val="14"/>
                <w:szCs w:val="14"/>
                <w:color w:val="auto"/>
              </w:rPr>
              <w:t>16,071</w:t>
            </w:r>
          </w:p>
        </w:tc>
        <w:tc>
          <w:tcPr>
            <w:tcW w:w="1460" w:type="dxa"/>
            <w:vAlign w:val="bottom"/>
          </w:tcPr>
          <w:p>
            <w:pPr>
              <w:jc w:val="right"/>
              <w:ind w:right="268"/>
              <w:spacing w:after="0"/>
              <w:rPr>
                <w:sz w:val="20"/>
                <w:szCs w:val="20"/>
                <w:color w:val="auto"/>
              </w:rPr>
            </w:pPr>
            <w:r>
              <w:rPr>
                <w:rFonts w:ascii="Arial" w:cs="Arial" w:eastAsia="Arial" w:hAnsi="Arial"/>
                <w:sz w:val="14"/>
                <w:szCs w:val="14"/>
                <w:color w:val="auto"/>
              </w:rPr>
              <w:t>1,398</w:t>
            </w:r>
          </w:p>
        </w:tc>
        <w:tc>
          <w:tcPr>
            <w:tcW w:w="980" w:type="dxa"/>
            <w:vAlign w:val="bottom"/>
          </w:tcPr>
          <w:p>
            <w:pPr>
              <w:jc w:val="right"/>
              <w:ind w:right="208"/>
              <w:spacing w:after="0"/>
              <w:rPr>
                <w:sz w:val="20"/>
                <w:szCs w:val="20"/>
                <w:color w:val="auto"/>
              </w:rPr>
            </w:pPr>
            <w:r>
              <w:rPr>
                <w:rFonts w:ascii="Arial" w:cs="Arial" w:eastAsia="Arial" w:hAnsi="Arial"/>
                <w:sz w:val="14"/>
                <w:szCs w:val="14"/>
                <w:color w:val="auto"/>
              </w:rPr>
              <w:t>697</w:t>
            </w: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2,490</w:t>
            </w:r>
          </w:p>
        </w:tc>
        <w:tc>
          <w:tcPr>
            <w:tcW w:w="880" w:type="dxa"/>
            <w:vAlign w:val="bottom"/>
          </w:tcPr>
          <w:p>
            <w:pPr>
              <w:jc w:val="right"/>
              <w:ind w:right="149"/>
              <w:spacing w:after="0"/>
              <w:rPr>
                <w:sz w:val="20"/>
                <w:szCs w:val="20"/>
                <w:color w:val="auto"/>
              </w:rPr>
            </w:pPr>
            <w:r>
              <w:rPr>
                <w:rFonts w:ascii="Arial" w:cs="Arial" w:eastAsia="Arial" w:hAnsi="Arial"/>
                <w:sz w:val="14"/>
                <w:szCs w:val="14"/>
                <w:color w:val="auto"/>
              </w:rPr>
              <w:t>20,656</w:t>
            </w:r>
          </w:p>
        </w:tc>
        <w:tc>
          <w:tcPr>
            <w:tcW w:w="0" w:type="dxa"/>
            <w:vAlign w:val="bottom"/>
          </w:tcPr>
          <w:p>
            <w:pPr>
              <w:spacing w:after="0"/>
              <w:rPr>
                <w:sz w:val="1"/>
                <w:szCs w:val="1"/>
                <w:color w:val="auto"/>
              </w:rPr>
            </w:pPr>
          </w:p>
        </w:tc>
      </w:tr>
      <w:tr>
        <w:trPr>
          <w:trHeight w:val="341"/>
        </w:trPr>
        <w:tc>
          <w:tcPr>
            <w:tcW w:w="5600" w:type="dxa"/>
            <w:vAlign w:val="bottom"/>
          </w:tcPr>
          <w:p>
            <w:pPr>
              <w:spacing w:after="0"/>
              <w:rPr>
                <w:sz w:val="20"/>
                <w:szCs w:val="20"/>
                <w:color w:val="auto"/>
              </w:rPr>
            </w:pPr>
            <w:r>
              <w:rPr>
                <w:rFonts w:ascii="Arial" w:cs="Arial" w:eastAsia="Arial" w:hAnsi="Arial"/>
                <w:sz w:val="14"/>
                <w:szCs w:val="14"/>
                <w:color w:val="auto"/>
              </w:rPr>
              <w:t>Additional provisions</w:t>
            </w:r>
          </w:p>
        </w:tc>
        <w:tc>
          <w:tcPr>
            <w:tcW w:w="1800" w:type="dxa"/>
            <w:vAlign w:val="bottom"/>
          </w:tcPr>
          <w:p>
            <w:pPr>
              <w:jc w:val="right"/>
              <w:ind w:right="290"/>
              <w:spacing w:after="0"/>
              <w:rPr>
                <w:sz w:val="20"/>
                <w:szCs w:val="20"/>
                <w:color w:val="auto"/>
              </w:rPr>
            </w:pPr>
            <w:r>
              <w:rPr>
                <w:rFonts w:ascii="Arial" w:cs="Arial" w:eastAsia="Arial" w:hAnsi="Arial"/>
                <w:sz w:val="14"/>
                <w:szCs w:val="14"/>
                <w:color w:val="auto"/>
              </w:rPr>
              <w:t>446</w:t>
            </w:r>
          </w:p>
        </w:tc>
        <w:tc>
          <w:tcPr>
            <w:tcW w:w="1460" w:type="dxa"/>
            <w:vAlign w:val="bottom"/>
          </w:tcPr>
          <w:p>
            <w:pPr>
              <w:jc w:val="right"/>
              <w:ind w:right="268"/>
              <w:spacing w:after="0"/>
              <w:rPr>
                <w:sz w:val="20"/>
                <w:szCs w:val="20"/>
                <w:color w:val="auto"/>
              </w:rPr>
            </w:pPr>
            <w:r>
              <w:rPr>
                <w:rFonts w:ascii="Arial" w:cs="Arial" w:eastAsia="Arial" w:hAnsi="Arial"/>
                <w:sz w:val="14"/>
                <w:szCs w:val="14"/>
                <w:color w:val="auto"/>
              </w:rPr>
              <w:t>191</w:t>
            </w:r>
          </w:p>
        </w:tc>
        <w:tc>
          <w:tcPr>
            <w:tcW w:w="980" w:type="dxa"/>
            <w:vAlign w:val="bottom"/>
          </w:tcPr>
          <w:p>
            <w:pPr>
              <w:jc w:val="right"/>
              <w:ind w:right="208"/>
              <w:spacing w:after="0"/>
              <w:rPr>
                <w:sz w:val="20"/>
                <w:szCs w:val="20"/>
                <w:color w:val="auto"/>
              </w:rPr>
            </w:pPr>
            <w:r>
              <w:rPr>
                <w:rFonts w:ascii="Arial" w:cs="Arial" w:eastAsia="Arial" w:hAnsi="Arial"/>
                <w:sz w:val="14"/>
                <w:szCs w:val="14"/>
                <w:color w:val="auto"/>
              </w:rPr>
              <w:t>148</w:t>
            </w: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617</w:t>
            </w:r>
          </w:p>
        </w:tc>
        <w:tc>
          <w:tcPr>
            <w:tcW w:w="880" w:type="dxa"/>
            <w:vAlign w:val="bottom"/>
          </w:tcPr>
          <w:p>
            <w:pPr>
              <w:jc w:val="right"/>
              <w:ind w:right="149"/>
              <w:spacing w:after="0"/>
              <w:rPr>
                <w:sz w:val="20"/>
                <w:szCs w:val="20"/>
                <w:color w:val="auto"/>
              </w:rPr>
            </w:pPr>
            <w:r>
              <w:rPr>
                <w:rFonts w:ascii="Arial" w:cs="Arial" w:eastAsia="Arial" w:hAnsi="Arial"/>
                <w:sz w:val="14"/>
                <w:szCs w:val="14"/>
                <w:color w:val="auto"/>
              </w:rPr>
              <w:t>1,402</w:t>
            </w:r>
          </w:p>
        </w:tc>
        <w:tc>
          <w:tcPr>
            <w:tcW w:w="0" w:type="dxa"/>
            <w:vAlign w:val="bottom"/>
          </w:tcPr>
          <w:p>
            <w:pPr>
              <w:spacing w:after="0"/>
              <w:rPr>
                <w:sz w:val="1"/>
                <w:szCs w:val="1"/>
                <w:color w:val="auto"/>
              </w:rPr>
            </w:pPr>
          </w:p>
        </w:tc>
      </w:tr>
      <w:tr>
        <w:trPr>
          <w:trHeight w:val="162"/>
        </w:trPr>
        <w:tc>
          <w:tcPr>
            <w:tcW w:w="5600" w:type="dxa"/>
            <w:vAlign w:val="bottom"/>
          </w:tcPr>
          <w:p>
            <w:pPr>
              <w:spacing w:after="0"/>
              <w:rPr>
                <w:sz w:val="20"/>
                <w:szCs w:val="20"/>
                <w:color w:val="auto"/>
              </w:rPr>
            </w:pPr>
            <w:r>
              <w:rPr>
                <w:rFonts w:ascii="Arial" w:cs="Arial" w:eastAsia="Arial" w:hAnsi="Arial"/>
                <w:sz w:val="14"/>
                <w:szCs w:val="14"/>
                <w:color w:val="auto"/>
              </w:rPr>
              <w:t>Amounts charged against provisions</w:t>
            </w:r>
          </w:p>
        </w:tc>
        <w:tc>
          <w:tcPr>
            <w:tcW w:w="1800" w:type="dxa"/>
            <w:vAlign w:val="bottom"/>
          </w:tcPr>
          <w:p>
            <w:pPr>
              <w:jc w:val="right"/>
              <w:ind w:right="230"/>
              <w:spacing w:after="0"/>
              <w:rPr>
                <w:sz w:val="20"/>
                <w:szCs w:val="20"/>
                <w:color w:val="auto"/>
              </w:rPr>
            </w:pPr>
            <w:r>
              <w:rPr>
                <w:rFonts w:ascii="Arial" w:cs="Arial" w:eastAsia="Arial" w:hAnsi="Arial"/>
                <w:sz w:val="14"/>
                <w:szCs w:val="14"/>
                <w:color w:val="auto"/>
              </w:rPr>
              <w:t>(1,115)</w:t>
            </w:r>
          </w:p>
        </w:tc>
        <w:tc>
          <w:tcPr>
            <w:tcW w:w="1460" w:type="dxa"/>
            <w:vAlign w:val="bottom"/>
          </w:tcPr>
          <w:p>
            <w:pPr>
              <w:jc w:val="right"/>
              <w:ind w:right="228"/>
              <w:spacing w:after="0"/>
              <w:rPr>
                <w:sz w:val="20"/>
                <w:szCs w:val="20"/>
                <w:color w:val="auto"/>
              </w:rPr>
            </w:pPr>
            <w:r>
              <w:rPr>
                <w:rFonts w:ascii="Arial" w:cs="Arial" w:eastAsia="Arial" w:hAnsi="Arial"/>
                <w:sz w:val="14"/>
                <w:szCs w:val="14"/>
                <w:color w:val="auto"/>
              </w:rPr>
              <w:t>(272)</w:t>
            </w:r>
          </w:p>
        </w:tc>
        <w:tc>
          <w:tcPr>
            <w:tcW w:w="980" w:type="dxa"/>
            <w:vAlign w:val="bottom"/>
          </w:tcPr>
          <w:p>
            <w:pPr>
              <w:jc w:val="right"/>
              <w:ind w:right="168"/>
              <w:spacing w:after="0"/>
              <w:rPr>
                <w:sz w:val="20"/>
                <w:szCs w:val="20"/>
                <w:color w:val="auto"/>
              </w:rPr>
            </w:pPr>
            <w:r>
              <w:rPr>
                <w:rFonts w:ascii="Arial" w:cs="Arial" w:eastAsia="Arial" w:hAnsi="Arial"/>
                <w:sz w:val="14"/>
                <w:szCs w:val="14"/>
                <w:color w:val="auto"/>
              </w:rPr>
              <w:t>(279)</w:t>
            </w:r>
          </w:p>
        </w:tc>
        <w:tc>
          <w:tcPr>
            <w:tcW w:w="700" w:type="dxa"/>
            <w:vAlign w:val="bottom"/>
          </w:tcPr>
          <w:p>
            <w:pPr>
              <w:jc w:val="right"/>
              <w:spacing w:after="0"/>
              <w:rPr>
                <w:sz w:val="20"/>
                <w:szCs w:val="20"/>
                <w:color w:val="auto"/>
              </w:rPr>
            </w:pPr>
            <w:r>
              <w:rPr>
                <w:rFonts w:ascii="Arial" w:cs="Arial" w:eastAsia="Arial" w:hAnsi="Arial"/>
                <w:sz w:val="14"/>
                <w:szCs w:val="14"/>
                <w:color w:val="auto"/>
              </w:rPr>
              <w:t>(575)</w:t>
            </w:r>
          </w:p>
        </w:tc>
        <w:tc>
          <w:tcPr>
            <w:tcW w:w="880" w:type="dxa"/>
            <w:vAlign w:val="bottom"/>
          </w:tcPr>
          <w:p>
            <w:pPr>
              <w:jc w:val="right"/>
              <w:ind w:right="89"/>
              <w:spacing w:after="0"/>
              <w:rPr>
                <w:sz w:val="20"/>
                <w:szCs w:val="20"/>
                <w:color w:val="auto"/>
              </w:rPr>
            </w:pPr>
            <w:r>
              <w:rPr>
                <w:rFonts w:ascii="Arial" w:cs="Arial" w:eastAsia="Arial" w:hAnsi="Arial"/>
                <w:sz w:val="14"/>
                <w:szCs w:val="14"/>
                <w:color w:val="auto"/>
              </w:rPr>
              <w:t>(2,241)</w:t>
            </w:r>
          </w:p>
        </w:tc>
        <w:tc>
          <w:tcPr>
            <w:tcW w:w="0" w:type="dxa"/>
            <w:vAlign w:val="bottom"/>
          </w:tcPr>
          <w:p>
            <w:pPr>
              <w:spacing w:after="0"/>
              <w:rPr>
                <w:sz w:val="1"/>
                <w:szCs w:val="1"/>
                <w:color w:val="auto"/>
              </w:rPr>
            </w:pPr>
          </w:p>
        </w:tc>
      </w:tr>
      <w:tr>
        <w:trPr>
          <w:trHeight w:val="162"/>
        </w:trPr>
        <w:tc>
          <w:tcPr>
            <w:tcW w:w="5600" w:type="dxa"/>
            <w:vAlign w:val="bottom"/>
          </w:tcPr>
          <w:p>
            <w:pPr>
              <w:spacing w:after="0"/>
              <w:rPr>
                <w:sz w:val="20"/>
                <w:szCs w:val="20"/>
                <w:color w:val="auto"/>
              </w:rPr>
            </w:pPr>
            <w:r>
              <w:rPr>
                <w:rFonts w:ascii="Arial" w:cs="Arial" w:eastAsia="Arial" w:hAnsi="Arial"/>
                <w:sz w:val="14"/>
                <w:szCs w:val="14"/>
                <w:color w:val="auto"/>
              </w:rPr>
              <w:t>Accretion expense</w:t>
            </w:r>
          </w:p>
        </w:tc>
        <w:tc>
          <w:tcPr>
            <w:tcW w:w="1800" w:type="dxa"/>
            <w:vAlign w:val="bottom"/>
          </w:tcPr>
          <w:p>
            <w:pPr>
              <w:jc w:val="right"/>
              <w:ind w:right="290"/>
              <w:spacing w:after="0"/>
              <w:rPr>
                <w:sz w:val="20"/>
                <w:szCs w:val="20"/>
                <w:color w:val="auto"/>
              </w:rPr>
            </w:pPr>
            <w:r>
              <w:rPr>
                <w:rFonts w:ascii="Arial" w:cs="Arial" w:eastAsia="Arial" w:hAnsi="Arial"/>
                <w:sz w:val="14"/>
                <w:szCs w:val="14"/>
                <w:color w:val="auto"/>
              </w:rPr>
              <w:t>929</w:t>
            </w:r>
          </w:p>
        </w:tc>
        <w:tc>
          <w:tcPr>
            <w:tcW w:w="1460" w:type="dxa"/>
            <w:vAlign w:val="bottom"/>
          </w:tcPr>
          <w:p>
            <w:pPr>
              <w:jc w:val="right"/>
              <w:ind w:right="268"/>
              <w:spacing w:after="0"/>
              <w:rPr>
                <w:sz w:val="20"/>
                <w:szCs w:val="20"/>
                <w:color w:val="auto"/>
              </w:rPr>
            </w:pPr>
            <w:r>
              <w:rPr>
                <w:rFonts w:ascii="Arial" w:cs="Arial" w:eastAsia="Arial" w:hAnsi="Arial"/>
                <w:sz w:val="14"/>
                <w:szCs w:val="14"/>
                <w:color w:val="auto"/>
              </w:rPr>
              <w:t>20</w:t>
            </w:r>
          </w:p>
        </w:tc>
        <w:tc>
          <w:tcPr>
            <w:tcW w:w="980" w:type="dxa"/>
            <w:vAlign w:val="bottom"/>
          </w:tcPr>
          <w:p>
            <w:pPr>
              <w:jc w:val="right"/>
              <w:ind w:right="208"/>
              <w:spacing w:after="0"/>
              <w:rPr>
                <w:sz w:val="20"/>
                <w:szCs w:val="20"/>
                <w:color w:val="auto"/>
              </w:rPr>
            </w:pPr>
            <w:r>
              <w:rPr>
                <w:rFonts w:ascii="Arial" w:cs="Arial" w:eastAsia="Arial" w:hAnsi="Arial"/>
                <w:sz w:val="14"/>
                <w:szCs w:val="14"/>
                <w:color w:val="auto"/>
              </w:rPr>
              <w:t>10</w:t>
            </w: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33</w:t>
            </w:r>
          </w:p>
        </w:tc>
        <w:tc>
          <w:tcPr>
            <w:tcW w:w="880" w:type="dxa"/>
            <w:vAlign w:val="bottom"/>
          </w:tcPr>
          <w:p>
            <w:pPr>
              <w:jc w:val="right"/>
              <w:ind w:right="149"/>
              <w:spacing w:after="0"/>
              <w:rPr>
                <w:sz w:val="20"/>
                <w:szCs w:val="20"/>
                <w:color w:val="auto"/>
              </w:rPr>
            </w:pPr>
            <w:r>
              <w:rPr>
                <w:rFonts w:ascii="Arial" w:cs="Arial" w:eastAsia="Arial" w:hAnsi="Arial"/>
                <w:sz w:val="14"/>
                <w:szCs w:val="14"/>
                <w:color w:val="auto"/>
              </w:rPr>
              <w:t>992</w:t>
            </w:r>
          </w:p>
        </w:tc>
        <w:tc>
          <w:tcPr>
            <w:tcW w:w="0" w:type="dxa"/>
            <w:vAlign w:val="bottom"/>
          </w:tcPr>
          <w:p>
            <w:pPr>
              <w:spacing w:after="0"/>
              <w:rPr>
                <w:sz w:val="1"/>
                <w:szCs w:val="1"/>
                <w:color w:val="auto"/>
              </w:rPr>
            </w:pPr>
          </w:p>
        </w:tc>
      </w:tr>
      <w:tr>
        <w:trPr>
          <w:trHeight w:val="162"/>
        </w:trPr>
        <w:tc>
          <w:tcPr>
            <w:tcW w:w="5600" w:type="dxa"/>
            <w:vAlign w:val="bottom"/>
          </w:tcPr>
          <w:p>
            <w:pPr>
              <w:spacing w:after="0"/>
              <w:rPr>
                <w:sz w:val="20"/>
                <w:szCs w:val="20"/>
                <w:color w:val="auto"/>
              </w:rPr>
            </w:pPr>
            <w:r>
              <w:rPr>
                <w:rFonts w:ascii="Arial" w:cs="Arial" w:eastAsia="Arial" w:hAnsi="Arial"/>
                <w:sz w:val="14"/>
                <w:szCs w:val="14"/>
                <w:color w:val="auto"/>
              </w:rPr>
              <w:t>Remeasurements and other movements</w:t>
            </w:r>
          </w:p>
        </w:tc>
        <w:tc>
          <w:tcPr>
            <w:tcW w:w="1800" w:type="dxa"/>
            <w:vAlign w:val="bottom"/>
          </w:tcPr>
          <w:p>
            <w:pPr>
              <w:jc w:val="right"/>
              <w:ind w:right="290"/>
              <w:spacing w:after="0"/>
              <w:rPr>
                <w:sz w:val="20"/>
                <w:szCs w:val="20"/>
                <w:color w:val="auto"/>
              </w:rPr>
            </w:pPr>
            <w:r>
              <w:rPr>
                <w:rFonts w:ascii="Arial" w:cs="Arial" w:eastAsia="Arial" w:hAnsi="Arial"/>
                <w:sz w:val="14"/>
                <w:szCs w:val="14"/>
                <w:color w:val="auto"/>
              </w:rPr>
              <w:t>2,118</w:t>
            </w:r>
          </w:p>
        </w:tc>
        <w:tc>
          <w:tcPr>
            <w:tcW w:w="1460" w:type="dxa"/>
            <w:vAlign w:val="bottom"/>
          </w:tcPr>
          <w:p>
            <w:pPr>
              <w:jc w:val="right"/>
              <w:ind w:right="268"/>
              <w:spacing w:after="0"/>
              <w:rPr>
                <w:sz w:val="20"/>
                <w:szCs w:val="20"/>
                <w:color w:val="auto"/>
              </w:rPr>
            </w:pPr>
            <w:r>
              <w:rPr>
                <w:rFonts w:ascii="Arial" w:cs="Arial" w:eastAsia="Arial" w:hAnsi="Arial"/>
                <w:sz w:val="14"/>
                <w:szCs w:val="14"/>
                <w:color w:val="auto"/>
              </w:rPr>
              <w:t>27</w:t>
            </w:r>
          </w:p>
        </w:tc>
        <w:tc>
          <w:tcPr>
            <w:tcW w:w="980" w:type="dxa"/>
            <w:vAlign w:val="bottom"/>
          </w:tcPr>
          <w:p>
            <w:pPr>
              <w:jc w:val="right"/>
              <w:ind w:right="168"/>
              <w:spacing w:after="0"/>
              <w:rPr>
                <w:sz w:val="20"/>
                <w:szCs w:val="20"/>
                <w:color w:val="auto"/>
              </w:rPr>
            </w:pPr>
            <w:r>
              <w:rPr>
                <w:rFonts w:ascii="Arial" w:cs="Arial" w:eastAsia="Arial" w:hAnsi="Arial"/>
                <w:sz w:val="14"/>
                <w:szCs w:val="14"/>
                <w:color w:val="auto"/>
              </w:rPr>
              <w:t>(17)</w:t>
            </w: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70</w:t>
            </w:r>
          </w:p>
        </w:tc>
        <w:tc>
          <w:tcPr>
            <w:tcW w:w="880" w:type="dxa"/>
            <w:vAlign w:val="bottom"/>
          </w:tcPr>
          <w:p>
            <w:pPr>
              <w:jc w:val="right"/>
              <w:ind w:right="149"/>
              <w:spacing w:after="0"/>
              <w:rPr>
                <w:sz w:val="20"/>
                <w:szCs w:val="20"/>
                <w:color w:val="auto"/>
              </w:rPr>
            </w:pPr>
            <w:r>
              <w:rPr>
                <w:rFonts w:ascii="Arial" w:cs="Arial" w:eastAsia="Arial" w:hAnsi="Arial"/>
                <w:sz w:val="14"/>
                <w:szCs w:val="14"/>
                <w:color w:val="auto"/>
              </w:rPr>
              <w:t>2,198</w:t>
            </w:r>
          </w:p>
        </w:tc>
        <w:tc>
          <w:tcPr>
            <w:tcW w:w="0" w:type="dxa"/>
            <w:vAlign w:val="bottom"/>
          </w:tcPr>
          <w:p>
            <w:pPr>
              <w:spacing w:after="0"/>
              <w:rPr>
                <w:sz w:val="1"/>
                <w:szCs w:val="1"/>
                <w:color w:val="auto"/>
              </w:rPr>
            </w:pPr>
          </w:p>
        </w:tc>
      </w:tr>
      <w:tr>
        <w:trPr>
          <w:trHeight w:val="157"/>
        </w:trPr>
        <w:tc>
          <w:tcPr>
            <w:tcW w:w="5600" w:type="dxa"/>
            <w:vAlign w:val="bottom"/>
            <w:tcBorders>
              <w:bottom w:val="single" w:sz="8" w:color="auto"/>
            </w:tcBorders>
          </w:tcPr>
          <w:p>
            <w:pPr>
              <w:spacing w:after="0" w:line="157" w:lineRule="exact"/>
              <w:rPr>
                <w:sz w:val="20"/>
                <w:szCs w:val="20"/>
                <w:color w:val="auto"/>
              </w:rPr>
            </w:pPr>
            <w:r>
              <w:rPr>
                <w:rFonts w:ascii="Arial" w:cs="Arial" w:eastAsia="Arial" w:hAnsi="Arial"/>
                <w:sz w:val="14"/>
                <w:szCs w:val="14"/>
                <w:color w:val="auto"/>
              </w:rPr>
              <w:t>Currency translation differences</w:t>
            </w:r>
          </w:p>
        </w:tc>
        <w:tc>
          <w:tcPr>
            <w:tcW w:w="1800" w:type="dxa"/>
            <w:vAlign w:val="bottom"/>
            <w:tcBorders>
              <w:bottom w:val="single" w:sz="8" w:color="auto"/>
            </w:tcBorders>
          </w:tcPr>
          <w:p>
            <w:pPr>
              <w:jc w:val="right"/>
              <w:ind w:right="230"/>
              <w:spacing w:after="0" w:line="157" w:lineRule="exact"/>
              <w:rPr>
                <w:sz w:val="20"/>
                <w:szCs w:val="20"/>
                <w:color w:val="auto"/>
              </w:rPr>
            </w:pPr>
            <w:r>
              <w:rPr>
                <w:rFonts w:ascii="Arial" w:cs="Arial" w:eastAsia="Arial" w:hAnsi="Arial"/>
                <w:sz w:val="14"/>
                <w:szCs w:val="14"/>
                <w:color w:val="auto"/>
              </w:rPr>
              <w:t>(24)</w:t>
            </w:r>
          </w:p>
        </w:tc>
        <w:tc>
          <w:tcPr>
            <w:tcW w:w="1460" w:type="dxa"/>
            <w:vAlign w:val="bottom"/>
            <w:tcBorders>
              <w:bottom w:val="single" w:sz="8" w:color="auto"/>
            </w:tcBorders>
          </w:tcPr>
          <w:p>
            <w:pPr>
              <w:jc w:val="right"/>
              <w:ind w:right="228"/>
              <w:spacing w:after="0" w:line="157" w:lineRule="exact"/>
              <w:rPr>
                <w:sz w:val="20"/>
                <w:szCs w:val="20"/>
                <w:color w:val="auto"/>
              </w:rPr>
            </w:pPr>
            <w:r>
              <w:rPr>
                <w:rFonts w:ascii="Arial" w:cs="Arial" w:eastAsia="Arial" w:hAnsi="Arial"/>
                <w:sz w:val="14"/>
                <w:szCs w:val="14"/>
                <w:color w:val="auto"/>
              </w:rPr>
              <w:t>(23)</w:t>
            </w:r>
          </w:p>
        </w:tc>
        <w:tc>
          <w:tcPr>
            <w:tcW w:w="980" w:type="dxa"/>
            <w:vAlign w:val="bottom"/>
            <w:tcBorders>
              <w:bottom w:val="single" w:sz="8" w:color="auto"/>
            </w:tcBorders>
          </w:tcPr>
          <w:p>
            <w:pPr>
              <w:jc w:val="right"/>
              <w:ind w:right="168"/>
              <w:spacing w:after="0" w:line="157" w:lineRule="exact"/>
              <w:rPr>
                <w:sz w:val="20"/>
                <w:szCs w:val="20"/>
                <w:color w:val="auto"/>
              </w:rPr>
            </w:pPr>
            <w:r>
              <w:rPr>
                <w:rFonts w:ascii="Arial" w:cs="Arial" w:eastAsia="Arial" w:hAnsi="Arial"/>
                <w:sz w:val="14"/>
                <w:szCs w:val="14"/>
                <w:color w:val="auto"/>
              </w:rPr>
              <w:t>(16)</w:t>
            </w:r>
          </w:p>
        </w:tc>
        <w:tc>
          <w:tcPr>
            <w:tcW w:w="700" w:type="dxa"/>
            <w:vAlign w:val="bottom"/>
            <w:tcBorders>
              <w:bottom w:val="single" w:sz="8" w:color="auto"/>
            </w:tcBorders>
          </w:tcPr>
          <w:p>
            <w:pPr>
              <w:jc w:val="right"/>
              <w:ind w:right="28"/>
              <w:spacing w:after="0" w:line="157" w:lineRule="exact"/>
              <w:rPr>
                <w:sz w:val="20"/>
                <w:szCs w:val="20"/>
                <w:color w:val="auto"/>
              </w:rPr>
            </w:pPr>
            <w:r>
              <w:rPr>
                <w:rFonts w:ascii="Arial" w:cs="Arial" w:eastAsia="Arial" w:hAnsi="Arial"/>
                <w:sz w:val="14"/>
                <w:szCs w:val="14"/>
                <w:color w:val="auto"/>
              </w:rPr>
              <w:t>1</w:t>
            </w:r>
          </w:p>
        </w:tc>
        <w:tc>
          <w:tcPr>
            <w:tcW w:w="880" w:type="dxa"/>
            <w:vAlign w:val="bottom"/>
            <w:tcBorders>
              <w:bottom w:val="single" w:sz="8" w:color="auto"/>
            </w:tcBorders>
          </w:tcPr>
          <w:p>
            <w:pPr>
              <w:jc w:val="right"/>
              <w:ind w:right="89"/>
              <w:spacing w:after="0" w:line="157" w:lineRule="exact"/>
              <w:rPr>
                <w:sz w:val="20"/>
                <w:szCs w:val="20"/>
                <w:color w:val="auto"/>
              </w:rPr>
            </w:pPr>
            <w:r>
              <w:rPr>
                <w:rFonts w:ascii="Arial" w:cs="Arial" w:eastAsia="Arial" w:hAnsi="Arial"/>
                <w:sz w:val="14"/>
                <w:szCs w:val="14"/>
                <w:color w:val="auto"/>
              </w:rPr>
              <w:t>(62)</w:t>
            </w:r>
          </w:p>
        </w:tc>
        <w:tc>
          <w:tcPr>
            <w:tcW w:w="0" w:type="dxa"/>
            <w:vAlign w:val="bottom"/>
          </w:tcPr>
          <w:p>
            <w:pPr>
              <w:spacing w:after="0"/>
              <w:rPr>
                <w:sz w:val="1"/>
                <w:szCs w:val="1"/>
                <w:color w:val="auto"/>
              </w:rPr>
            </w:pPr>
          </w:p>
        </w:tc>
      </w:tr>
      <w:tr>
        <w:trPr>
          <w:trHeight w:val="171"/>
        </w:trPr>
        <w:tc>
          <w:tcPr>
            <w:tcW w:w="5600" w:type="dxa"/>
            <w:vAlign w:val="bottom"/>
            <w:vMerge w:val="restart"/>
          </w:tcPr>
          <w:p>
            <w:pPr>
              <w:spacing w:after="0"/>
              <w:rPr>
                <w:sz w:val="20"/>
                <w:szCs w:val="20"/>
                <w:color w:val="auto"/>
              </w:rPr>
            </w:pPr>
            <w:r>
              <w:rPr>
                <w:rFonts w:ascii="Arial" w:cs="Arial" w:eastAsia="Arial" w:hAnsi="Arial"/>
                <w:sz w:val="14"/>
                <w:szCs w:val="14"/>
                <w:color w:val="auto"/>
              </w:rPr>
              <w:t>At December 31, 2013</w:t>
            </w:r>
          </w:p>
        </w:tc>
        <w:tc>
          <w:tcPr>
            <w:tcW w:w="1800" w:type="dxa"/>
            <w:vAlign w:val="bottom"/>
          </w:tcPr>
          <w:p>
            <w:pPr>
              <w:jc w:val="right"/>
              <w:ind w:right="290"/>
              <w:spacing w:after="0"/>
              <w:rPr>
                <w:sz w:val="20"/>
                <w:szCs w:val="20"/>
                <w:color w:val="auto"/>
              </w:rPr>
            </w:pPr>
            <w:r>
              <w:rPr>
                <w:rFonts w:ascii="Arial" w:cs="Arial" w:eastAsia="Arial" w:hAnsi="Arial"/>
                <w:sz w:val="14"/>
                <w:szCs w:val="14"/>
                <w:color w:val="auto"/>
              </w:rPr>
              <w:t>2,354</w:t>
            </w:r>
          </w:p>
        </w:tc>
        <w:tc>
          <w:tcPr>
            <w:tcW w:w="1460" w:type="dxa"/>
            <w:vAlign w:val="bottom"/>
          </w:tcPr>
          <w:p>
            <w:pPr>
              <w:jc w:val="right"/>
              <w:ind w:right="228"/>
              <w:spacing w:after="0"/>
              <w:rPr>
                <w:sz w:val="20"/>
                <w:szCs w:val="20"/>
                <w:color w:val="auto"/>
              </w:rPr>
            </w:pPr>
            <w:r>
              <w:rPr>
                <w:rFonts w:ascii="Arial" w:cs="Arial" w:eastAsia="Arial" w:hAnsi="Arial"/>
                <w:sz w:val="14"/>
                <w:szCs w:val="14"/>
                <w:color w:val="auto"/>
              </w:rPr>
              <w:t>(57)</w:t>
            </w:r>
          </w:p>
        </w:tc>
        <w:tc>
          <w:tcPr>
            <w:tcW w:w="980" w:type="dxa"/>
            <w:vAlign w:val="bottom"/>
          </w:tcPr>
          <w:p>
            <w:pPr>
              <w:jc w:val="right"/>
              <w:ind w:right="168"/>
              <w:spacing w:after="0"/>
              <w:rPr>
                <w:sz w:val="20"/>
                <w:szCs w:val="20"/>
                <w:color w:val="auto"/>
              </w:rPr>
            </w:pPr>
            <w:r>
              <w:rPr>
                <w:rFonts w:ascii="Arial" w:cs="Arial" w:eastAsia="Arial" w:hAnsi="Arial"/>
                <w:sz w:val="14"/>
                <w:szCs w:val="14"/>
                <w:color w:val="auto"/>
              </w:rPr>
              <w:t>(154)</w:t>
            </w: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146</w:t>
            </w:r>
          </w:p>
        </w:tc>
        <w:tc>
          <w:tcPr>
            <w:tcW w:w="880" w:type="dxa"/>
            <w:vAlign w:val="bottom"/>
          </w:tcPr>
          <w:p>
            <w:pPr>
              <w:jc w:val="right"/>
              <w:ind w:right="149"/>
              <w:spacing w:after="0"/>
              <w:rPr>
                <w:sz w:val="20"/>
                <w:szCs w:val="20"/>
                <w:color w:val="auto"/>
              </w:rPr>
            </w:pPr>
            <w:r>
              <w:rPr>
                <w:rFonts w:ascii="Arial" w:cs="Arial" w:eastAsia="Arial" w:hAnsi="Arial"/>
                <w:sz w:val="14"/>
                <w:szCs w:val="14"/>
                <w:color w:val="auto"/>
              </w:rPr>
              <w:t>2,289</w:t>
            </w:r>
          </w:p>
        </w:tc>
        <w:tc>
          <w:tcPr>
            <w:tcW w:w="0" w:type="dxa"/>
            <w:vAlign w:val="bottom"/>
          </w:tcPr>
          <w:p>
            <w:pPr>
              <w:spacing w:after="0"/>
              <w:rPr>
                <w:sz w:val="1"/>
                <w:szCs w:val="1"/>
                <w:color w:val="auto"/>
              </w:rPr>
            </w:pPr>
          </w:p>
        </w:tc>
      </w:tr>
      <w:tr>
        <w:trPr>
          <w:trHeight w:val="152"/>
        </w:trPr>
        <w:tc>
          <w:tcPr>
            <w:tcW w:w="5600" w:type="dxa"/>
            <w:vAlign w:val="bottom"/>
            <w:vMerge w:val="continue"/>
          </w:tcPr>
          <w:p>
            <w:pPr>
              <w:spacing w:after="0"/>
              <w:rPr>
                <w:sz w:val="13"/>
                <w:szCs w:val="13"/>
                <w:color w:val="auto"/>
              </w:rPr>
            </w:pPr>
          </w:p>
        </w:tc>
        <w:tc>
          <w:tcPr>
            <w:tcW w:w="180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5600" w:type="dxa"/>
            <w:vAlign w:val="bottom"/>
          </w:tcPr>
          <w:p>
            <w:pPr>
              <w:ind w:left="140"/>
              <w:spacing w:after="0"/>
              <w:rPr>
                <w:sz w:val="20"/>
                <w:szCs w:val="20"/>
                <w:color w:val="auto"/>
              </w:rPr>
            </w:pPr>
            <w:r>
              <w:rPr>
                <w:rFonts w:ascii="Arial" w:cs="Arial" w:eastAsia="Arial" w:hAnsi="Arial"/>
                <w:sz w:val="14"/>
                <w:szCs w:val="14"/>
                <w:color w:val="auto"/>
              </w:rPr>
              <w:t>Current</w:t>
            </w:r>
          </w:p>
        </w:tc>
        <w:tc>
          <w:tcPr>
            <w:tcW w:w="1800" w:type="dxa"/>
            <w:vAlign w:val="bottom"/>
          </w:tcPr>
          <w:p>
            <w:pPr>
              <w:jc w:val="right"/>
              <w:ind w:right="290"/>
              <w:spacing w:after="0"/>
              <w:rPr>
                <w:sz w:val="20"/>
                <w:szCs w:val="20"/>
                <w:color w:val="auto"/>
              </w:rPr>
            </w:pPr>
            <w:r>
              <w:rPr>
                <w:rFonts w:ascii="Arial" w:cs="Arial" w:eastAsia="Arial" w:hAnsi="Arial"/>
                <w:sz w:val="14"/>
                <w:szCs w:val="14"/>
                <w:color w:val="auto"/>
              </w:rPr>
              <w:t>1,340</w:t>
            </w:r>
          </w:p>
        </w:tc>
        <w:tc>
          <w:tcPr>
            <w:tcW w:w="1460" w:type="dxa"/>
            <w:vAlign w:val="bottom"/>
          </w:tcPr>
          <w:p>
            <w:pPr>
              <w:jc w:val="right"/>
              <w:ind w:right="268"/>
              <w:spacing w:after="0"/>
              <w:rPr>
                <w:sz w:val="20"/>
                <w:szCs w:val="20"/>
                <w:color w:val="auto"/>
              </w:rPr>
            </w:pPr>
            <w:r>
              <w:rPr>
                <w:rFonts w:ascii="Arial" w:cs="Arial" w:eastAsia="Arial" w:hAnsi="Arial"/>
                <w:sz w:val="14"/>
                <w:szCs w:val="14"/>
                <w:color w:val="auto"/>
              </w:rPr>
              <w:t>362</w:t>
            </w:r>
          </w:p>
        </w:tc>
        <w:tc>
          <w:tcPr>
            <w:tcW w:w="980" w:type="dxa"/>
            <w:vAlign w:val="bottom"/>
          </w:tcPr>
          <w:p>
            <w:pPr>
              <w:jc w:val="right"/>
              <w:ind w:right="208"/>
              <w:spacing w:after="0"/>
              <w:rPr>
                <w:sz w:val="20"/>
                <w:szCs w:val="20"/>
                <w:color w:val="auto"/>
              </w:rPr>
            </w:pPr>
            <w:r>
              <w:rPr>
                <w:rFonts w:ascii="Arial" w:cs="Arial" w:eastAsia="Arial" w:hAnsi="Arial"/>
                <w:sz w:val="14"/>
                <w:szCs w:val="14"/>
                <w:color w:val="auto"/>
              </w:rPr>
              <w:t>126</w:t>
            </w: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1,419</w:t>
            </w:r>
          </w:p>
        </w:tc>
        <w:tc>
          <w:tcPr>
            <w:tcW w:w="880" w:type="dxa"/>
            <w:vAlign w:val="bottom"/>
          </w:tcPr>
          <w:p>
            <w:pPr>
              <w:jc w:val="right"/>
              <w:ind w:right="149"/>
              <w:spacing w:after="0"/>
              <w:rPr>
                <w:sz w:val="20"/>
                <w:szCs w:val="20"/>
                <w:color w:val="auto"/>
              </w:rPr>
            </w:pPr>
            <w:r>
              <w:rPr>
                <w:rFonts w:ascii="Arial" w:cs="Arial" w:eastAsia="Arial" w:hAnsi="Arial"/>
                <w:sz w:val="14"/>
                <w:szCs w:val="14"/>
                <w:color w:val="auto"/>
              </w:rPr>
              <w:t>3,247</w:t>
            </w:r>
          </w:p>
        </w:tc>
        <w:tc>
          <w:tcPr>
            <w:tcW w:w="0" w:type="dxa"/>
            <w:vAlign w:val="bottom"/>
          </w:tcPr>
          <w:p>
            <w:pPr>
              <w:spacing w:after="0"/>
              <w:rPr>
                <w:sz w:val="1"/>
                <w:szCs w:val="1"/>
                <w:color w:val="auto"/>
              </w:rPr>
            </w:pPr>
          </w:p>
        </w:tc>
      </w:tr>
      <w:tr>
        <w:trPr>
          <w:trHeight w:val="157"/>
        </w:trPr>
        <w:tc>
          <w:tcPr>
            <w:tcW w:w="5600" w:type="dxa"/>
            <w:vAlign w:val="bottom"/>
            <w:tcBorders>
              <w:bottom w:val="single" w:sz="8" w:color="auto"/>
            </w:tcBorders>
          </w:tcPr>
          <w:p>
            <w:pPr>
              <w:ind w:left="140"/>
              <w:spacing w:after="0" w:line="157" w:lineRule="exact"/>
              <w:rPr>
                <w:sz w:val="20"/>
                <w:szCs w:val="20"/>
                <w:color w:val="auto"/>
              </w:rPr>
            </w:pPr>
            <w:r>
              <w:rPr>
                <w:rFonts w:ascii="Arial" w:cs="Arial" w:eastAsia="Arial" w:hAnsi="Arial"/>
                <w:sz w:val="14"/>
                <w:szCs w:val="14"/>
                <w:color w:val="auto"/>
              </w:rPr>
              <w:t>Non-current</w:t>
            </w:r>
          </w:p>
        </w:tc>
        <w:tc>
          <w:tcPr>
            <w:tcW w:w="1800" w:type="dxa"/>
            <w:vAlign w:val="bottom"/>
            <w:tcBorders>
              <w:bottom w:val="single" w:sz="8" w:color="auto"/>
            </w:tcBorders>
          </w:tcPr>
          <w:p>
            <w:pPr>
              <w:jc w:val="right"/>
              <w:ind w:right="290"/>
              <w:spacing w:after="0" w:line="157" w:lineRule="exact"/>
              <w:rPr>
                <w:sz w:val="20"/>
                <w:szCs w:val="20"/>
                <w:color w:val="auto"/>
              </w:rPr>
            </w:pPr>
            <w:r>
              <w:rPr>
                <w:rFonts w:ascii="Arial" w:cs="Arial" w:eastAsia="Arial" w:hAnsi="Arial"/>
                <w:sz w:val="14"/>
                <w:szCs w:val="14"/>
                <w:color w:val="auto"/>
              </w:rPr>
              <w:t>17,085</w:t>
            </w:r>
          </w:p>
        </w:tc>
        <w:tc>
          <w:tcPr>
            <w:tcW w:w="1460" w:type="dxa"/>
            <w:vAlign w:val="bottom"/>
            <w:tcBorders>
              <w:bottom w:val="single" w:sz="8" w:color="auto"/>
            </w:tcBorders>
          </w:tcPr>
          <w:p>
            <w:pPr>
              <w:jc w:val="right"/>
              <w:ind w:right="268"/>
              <w:spacing w:after="0" w:line="157" w:lineRule="exact"/>
              <w:rPr>
                <w:sz w:val="20"/>
                <w:szCs w:val="20"/>
                <w:color w:val="auto"/>
              </w:rPr>
            </w:pPr>
            <w:r>
              <w:rPr>
                <w:rFonts w:ascii="Arial" w:cs="Arial" w:eastAsia="Arial" w:hAnsi="Arial"/>
                <w:sz w:val="14"/>
                <w:szCs w:val="14"/>
                <w:color w:val="auto"/>
              </w:rPr>
              <w:t>979</w:t>
            </w:r>
          </w:p>
        </w:tc>
        <w:tc>
          <w:tcPr>
            <w:tcW w:w="980" w:type="dxa"/>
            <w:vAlign w:val="bottom"/>
            <w:tcBorders>
              <w:bottom w:val="single" w:sz="8" w:color="auto"/>
            </w:tcBorders>
          </w:tcPr>
          <w:p>
            <w:pPr>
              <w:jc w:val="right"/>
              <w:ind w:right="208"/>
              <w:spacing w:after="0" w:line="157" w:lineRule="exact"/>
              <w:rPr>
                <w:sz w:val="20"/>
                <w:szCs w:val="20"/>
                <w:color w:val="auto"/>
              </w:rPr>
            </w:pPr>
            <w:r>
              <w:rPr>
                <w:rFonts w:ascii="Arial" w:cs="Arial" w:eastAsia="Arial" w:hAnsi="Arial"/>
                <w:sz w:val="14"/>
                <w:szCs w:val="14"/>
                <w:color w:val="auto"/>
              </w:rPr>
              <w:t>417</w:t>
            </w:r>
          </w:p>
        </w:tc>
        <w:tc>
          <w:tcPr>
            <w:tcW w:w="700" w:type="dxa"/>
            <w:vAlign w:val="bottom"/>
            <w:tcBorders>
              <w:bottom w:val="single" w:sz="8" w:color="auto"/>
            </w:tcBorders>
          </w:tcPr>
          <w:p>
            <w:pPr>
              <w:jc w:val="right"/>
              <w:ind w:right="28"/>
              <w:spacing w:after="0" w:line="157" w:lineRule="exact"/>
              <w:rPr>
                <w:sz w:val="20"/>
                <w:szCs w:val="20"/>
                <w:color w:val="auto"/>
              </w:rPr>
            </w:pPr>
            <w:r>
              <w:rPr>
                <w:rFonts w:ascii="Arial" w:cs="Arial" w:eastAsia="Arial" w:hAnsi="Arial"/>
                <w:sz w:val="14"/>
                <w:szCs w:val="14"/>
                <w:color w:val="auto"/>
              </w:rPr>
              <w:t>1,217</w:t>
            </w:r>
          </w:p>
        </w:tc>
        <w:tc>
          <w:tcPr>
            <w:tcW w:w="880" w:type="dxa"/>
            <w:vAlign w:val="bottom"/>
            <w:tcBorders>
              <w:bottom w:val="single" w:sz="8" w:color="auto"/>
            </w:tcBorders>
          </w:tcPr>
          <w:p>
            <w:pPr>
              <w:jc w:val="right"/>
              <w:ind w:right="149"/>
              <w:spacing w:after="0" w:line="157" w:lineRule="exact"/>
              <w:rPr>
                <w:sz w:val="20"/>
                <w:szCs w:val="20"/>
                <w:color w:val="auto"/>
              </w:rPr>
            </w:pPr>
            <w:r>
              <w:rPr>
                <w:rFonts w:ascii="Arial" w:cs="Arial" w:eastAsia="Arial" w:hAnsi="Arial"/>
                <w:sz w:val="14"/>
                <w:szCs w:val="14"/>
                <w:color w:val="auto"/>
              </w:rPr>
              <w:t>19,698</w:t>
            </w:r>
          </w:p>
        </w:tc>
        <w:tc>
          <w:tcPr>
            <w:tcW w:w="0" w:type="dxa"/>
            <w:vAlign w:val="bottom"/>
          </w:tcPr>
          <w:p>
            <w:pPr>
              <w:spacing w:after="0"/>
              <w:rPr>
                <w:sz w:val="1"/>
                <w:szCs w:val="1"/>
                <w:color w:val="auto"/>
              </w:rPr>
            </w:pPr>
          </w:p>
        </w:tc>
      </w:tr>
      <w:tr>
        <w:trPr>
          <w:trHeight w:val="156"/>
        </w:trPr>
        <w:tc>
          <w:tcPr>
            <w:tcW w:w="5600" w:type="dxa"/>
            <w:vAlign w:val="bottom"/>
            <w:tcBorders>
              <w:bottom w:val="single" w:sz="8" w:color="auto"/>
            </w:tcBorders>
          </w:tcPr>
          <w:p>
            <w:pPr>
              <w:spacing w:after="0"/>
              <w:rPr>
                <w:sz w:val="13"/>
                <w:szCs w:val="13"/>
                <w:color w:val="auto"/>
              </w:rPr>
            </w:pPr>
          </w:p>
        </w:tc>
        <w:tc>
          <w:tcPr>
            <w:tcW w:w="1800" w:type="dxa"/>
            <w:vAlign w:val="bottom"/>
            <w:tcBorders>
              <w:bottom w:val="single" w:sz="8" w:color="auto"/>
            </w:tcBorders>
          </w:tcPr>
          <w:p>
            <w:pPr>
              <w:jc w:val="right"/>
              <w:ind w:right="290"/>
              <w:spacing w:after="0" w:line="155" w:lineRule="exact"/>
              <w:rPr>
                <w:sz w:val="20"/>
                <w:szCs w:val="20"/>
                <w:color w:val="auto"/>
              </w:rPr>
            </w:pPr>
            <w:r>
              <w:rPr>
                <w:rFonts w:ascii="Arial" w:cs="Arial" w:eastAsia="Arial" w:hAnsi="Arial"/>
                <w:sz w:val="14"/>
                <w:szCs w:val="14"/>
                <w:color w:val="auto"/>
              </w:rPr>
              <w:t>18,425</w:t>
            </w:r>
          </w:p>
        </w:tc>
        <w:tc>
          <w:tcPr>
            <w:tcW w:w="1460" w:type="dxa"/>
            <w:vAlign w:val="bottom"/>
            <w:tcBorders>
              <w:bottom w:val="single" w:sz="8" w:color="auto"/>
            </w:tcBorders>
          </w:tcPr>
          <w:p>
            <w:pPr>
              <w:jc w:val="right"/>
              <w:ind w:right="268"/>
              <w:spacing w:after="0" w:line="155" w:lineRule="exact"/>
              <w:rPr>
                <w:sz w:val="20"/>
                <w:szCs w:val="20"/>
                <w:color w:val="auto"/>
              </w:rPr>
            </w:pPr>
            <w:r>
              <w:rPr>
                <w:rFonts w:ascii="Arial" w:cs="Arial" w:eastAsia="Arial" w:hAnsi="Arial"/>
                <w:sz w:val="14"/>
                <w:szCs w:val="14"/>
                <w:color w:val="auto"/>
              </w:rPr>
              <w:t>1,341</w:t>
            </w:r>
          </w:p>
        </w:tc>
        <w:tc>
          <w:tcPr>
            <w:tcW w:w="980" w:type="dxa"/>
            <w:vAlign w:val="bottom"/>
            <w:tcBorders>
              <w:bottom w:val="single" w:sz="8" w:color="auto"/>
            </w:tcBorders>
          </w:tcPr>
          <w:p>
            <w:pPr>
              <w:jc w:val="right"/>
              <w:ind w:right="208"/>
              <w:spacing w:after="0" w:line="155" w:lineRule="exact"/>
              <w:rPr>
                <w:sz w:val="20"/>
                <w:szCs w:val="20"/>
                <w:color w:val="auto"/>
              </w:rPr>
            </w:pPr>
            <w:r>
              <w:rPr>
                <w:rFonts w:ascii="Arial" w:cs="Arial" w:eastAsia="Arial" w:hAnsi="Arial"/>
                <w:sz w:val="14"/>
                <w:szCs w:val="14"/>
                <w:color w:val="auto"/>
              </w:rPr>
              <w:t>543</w:t>
            </w:r>
          </w:p>
        </w:tc>
        <w:tc>
          <w:tcPr>
            <w:tcW w:w="700" w:type="dxa"/>
            <w:vAlign w:val="bottom"/>
            <w:tcBorders>
              <w:bottom w:val="single" w:sz="8" w:color="auto"/>
            </w:tcBorders>
          </w:tcPr>
          <w:p>
            <w:pPr>
              <w:jc w:val="right"/>
              <w:ind w:right="28"/>
              <w:spacing w:after="0" w:line="155" w:lineRule="exact"/>
              <w:rPr>
                <w:sz w:val="20"/>
                <w:szCs w:val="20"/>
                <w:color w:val="auto"/>
              </w:rPr>
            </w:pPr>
            <w:r>
              <w:rPr>
                <w:rFonts w:ascii="Arial" w:cs="Arial" w:eastAsia="Arial" w:hAnsi="Arial"/>
                <w:sz w:val="14"/>
                <w:szCs w:val="14"/>
                <w:color w:val="auto"/>
              </w:rPr>
              <w:t>2,636</w:t>
            </w:r>
          </w:p>
        </w:tc>
        <w:tc>
          <w:tcPr>
            <w:tcW w:w="880" w:type="dxa"/>
            <w:vAlign w:val="bottom"/>
            <w:tcBorders>
              <w:bottom w:val="single" w:sz="8" w:color="auto"/>
            </w:tcBorders>
          </w:tcPr>
          <w:p>
            <w:pPr>
              <w:jc w:val="right"/>
              <w:ind w:right="149"/>
              <w:spacing w:after="0" w:line="155" w:lineRule="exact"/>
              <w:rPr>
                <w:sz w:val="20"/>
                <w:szCs w:val="20"/>
                <w:color w:val="auto"/>
              </w:rPr>
            </w:pPr>
            <w:r>
              <w:rPr>
                <w:rFonts w:ascii="Arial" w:cs="Arial" w:eastAsia="Arial" w:hAnsi="Arial"/>
                <w:sz w:val="14"/>
                <w:szCs w:val="14"/>
                <w:color w:val="auto"/>
              </w:rPr>
              <w:t>22,945</w:t>
            </w:r>
          </w:p>
        </w:tc>
        <w:tc>
          <w:tcPr>
            <w:tcW w:w="0" w:type="dxa"/>
            <w:vAlign w:val="bottom"/>
          </w:tcPr>
          <w:p>
            <w:pPr>
              <w:spacing w:after="0"/>
              <w:rPr>
                <w:sz w:val="1"/>
                <w:szCs w:val="1"/>
                <w:color w:val="auto"/>
              </w:rPr>
            </w:pPr>
          </w:p>
        </w:tc>
      </w:tr>
    </w:tbl>
    <w:p>
      <w:pPr>
        <w:spacing w:after="0" w:line="194" w:lineRule="exact"/>
        <w:rPr>
          <w:sz w:val="20"/>
          <w:szCs w:val="20"/>
          <w:color w:val="auto"/>
        </w:rPr>
      </w:pPr>
    </w:p>
    <w:p>
      <w:pPr>
        <w:ind w:right="300"/>
        <w:spacing w:after="0" w:line="258" w:lineRule="auto"/>
        <w:rPr>
          <w:sz w:val="20"/>
          <w:szCs w:val="20"/>
          <w:color w:val="auto"/>
        </w:rPr>
      </w:pPr>
      <w:r>
        <w:rPr>
          <w:rFonts w:ascii="Arial" w:cs="Arial" w:eastAsia="Arial" w:hAnsi="Arial"/>
          <w:sz w:val="14"/>
          <w:szCs w:val="14"/>
          <w:color w:val="auto"/>
        </w:rPr>
        <w:t>The amount and timing of settlement in respect of these provisions are uncertain and dependent on various factors that are not always within management’s control. Additional provisions are stated net of reversals of provisions recognised in previous periods.</w:t>
      </w:r>
    </w:p>
    <w:p>
      <w:pPr>
        <w:spacing w:after="0" w:line="154" w:lineRule="exact"/>
        <w:rPr>
          <w:sz w:val="20"/>
          <w:szCs w:val="20"/>
          <w:color w:val="auto"/>
        </w:rPr>
      </w:pPr>
    </w:p>
    <w:p>
      <w:pPr>
        <w:ind w:right="80"/>
        <w:spacing w:after="0" w:line="258" w:lineRule="auto"/>
        <w:rPr>
          <w:sz w:val="20"/>
          <w:szCs w:val="20"/>
          <w:color w:val="auto"/>
        </w:rPr>
      </w:pPr>
      <w:r>
        <w:rPr>
          <w:rFonts w:ascii="Arial" w:cs="Arial" w:eastAsia="Arial" w:hAnsi="Arial"/>
          <w:sz w:val="14"/>
          <w:szCs w:val="14"/>
          <w:color w:val="auto"/>
        </w:rPr>
        <w:t>Of the decommissioning and restoration provision at December 31, 2014, an estimated $5,304 million is expected to be utilised within one to five years, $6,147 million within six to 10 years, and the remainder in later periods.</w:t>
      </w:r>
    </w:p>
    <w:p>
      <w:pPr>
        <w:spacing w:after="0" w:line="154" w:lineRule="exact"/>
        <w:rPr>
          <w:sz w:val="20"/>
          <w:szCs w:val="20"/>
          <w:color w:val="auto"/>
        </w:rPr>
      </w:pPr>
    </w:p>
    <w:p>
      <w:pPr>
        <w:ind w:right="120"/>
        <w:spacing w:after="0" w:line="250" w:lineRule="auto"/>
        <w:rPr>
          <w:sz w:val="20"/>
          <w:szCs w:val="20"/>
          <w:color w:val="auto"/>
        </w:rPr>
      </w:pPr>
      <w:r>
        <w:rPr>
          <w:rFonts w:ascii="Arial" w:cs="Arial" w:eastAsia="Arial" w:hAnsi="Arial"/>
          <w:sz w:val="14"/>
          <w:szCs w:val="14"/>
          <w:color w:val="auto"/>
        </w:rPr>
        <w:t>Reviews of estimated decommissioning and restoration costs and the discount rate applied are carried out annually, which in 2014 resulted in an increase of $4,827 million (2013: $1,426 million) in both the provision, reported within remeasurements and other movements, and the corresponding property, plant and equipment assets reported within sales, retirements and other movements in Note 8.</w:t>
      </w:r>
    </w:p>
    <w:p>
      <w:pPr>
        <w:spacing w:after="0" w:line="172" w:lineRule="exact"/>
        <w:rPr>
          <w:sz w:val="20"/>
          <w:szCs w:val="20"/>
          <w:color w:val="auto"/>
        </w:rPr>
      </w:pPr>
    </w:p>
    <w:p>
      <w:pPr>
        <w:spacing w:after="0"/>
        <w:rPr>
          <w:sz w:val="20"/>
          <w:szCs w:val="20"/>
          <w:color w:val="auto"/>
        </w:rPr>
      </w:pPr>
      <w:r>
        <w:rPr>
          <w:rFonts w:ascii="Arial" w:cs="Arial" w:eastAsia="Arial" w:hAnsi="Arial"/>
          <w:sz w:val="14"/>
          <w:szCs w:val="14"/>
          <w:color w:val="auto"/>
        </w:rPr>
        <w:t>Provisions for environmental costs relate to a number of events in different locations, none of which is individually significant.</w:t>
      </w:r>
    </w:p>
    <w:p>
      <w:pPr>
        <w:spacing w:after="0" w:line="177" w:lineRule="exact"/>
        <w:rPr>
          <w:sz w:val="20"/>
          <w:szCs w:val="20"/>
          <w:color w:val="auto"/>
        </w:rPr>
      </w:pPr>
    </w:p>
    <w:p>
      <w:pPr>
        <w:spacing w:after="0"/>
        <w:rPr>
          <w:sz w:val="20"/>
          <w:szCs w:val="20"/>
          <w:color w:val="auto"/>
        </w:rPr>
      </w:pPr>
      <w:r>
        <w:rPr>
          <w:rFonts w:ascii="Arial" w:cs="Arial" w:eastAsia="Arial" w:hAnsi="Arial"/>
          <w:sz w:val="14"/>
          <w:szCs w:val="14"/>
          <w:color w:val="auto"/>
        </w:rPr>
        <w:t>Provisions for litigation costs at December 31, 2014, relate to a number of cases, none of which is individually significant. Further information is presented in Note 25.</w:t>
      </w:r>
    </w:p>
    <w:p>
      <w:pPr>
        <w:spacing w:after="0" w:line="177" w:lineRule="exact"/>
        <w:rPr>
          <w:sz w:val="20"/>
          <w:szCs w:val="20"/>
          <w:color w:val="auto"/>
        </w:rPr>
      </w:pPr>
    </w:p>
    <w:p>
      <w:pPr>
        <w:spacing w:after="0"/>
        <w:rPr>
          <w:sz w:val="20"/>
          <w:szCs w:val="20"/>
          <w:color w:val="auto"/>
        </w:rPr>
      </w:pPr>
      <w:r>
        <w:rPr>
          <w:rFonts w:ascii="Arial" w:cs="Arial" w:eastAsia="Arial" w:hAnsi="Arial"/>
          <w:sz w:val="14"/>
          <w:szCs w:val="14"/>
          <w:color w:val="auto"/>
        </w:rPr>
        <w:t>Other provisions principally comprise amounts recognised in respect of employee in- and end-of-service benefits, onerous contracts related to divestments and redundancy costs.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19 FINANCIAL INSTRUMENTS AND OTHER DERIVATIVE CONTRACTS</w:t>
      </w:r>
    </w:p>
    <w:p>
      <w:pPr>
        <w:spacing w:after="0" w:line="1" w:lineRule="exact"/>
        <w:rPr>
          <w:sz w:val="20"/>
          <w:szCs w:val="20"/>
          <w:color w:val="auto"/>
        </w:rPr>
      </w:pPr>
    </w:p>
    <w:p>
      <w:pPr>
        <w:spacing w:after="0" w:line="258" w:lineRule="auto"/>
        <w:rPr>
          <w:sz w:val="20"/>
          <w:szCs w:val="20"/>
          <w:color w:val="auto"/>
        </w:rPr>
      </w:pPr>
      <w:r>
        <w:rPr>
          <w:rFonts w:ascii="Arial" w:cs="Arial" w:eastAsia="Arial" w:hAnsi="Arial"/>
          <w:sz w:val="14"/>
          <w:szCs w:val="14"/>
          <w:color w:val="auto"/>
        </w:rPr>
        <w:t>Financial instruments and other derivative contracts in the Consolidated Balance Sheet comprise investments in securities (see Note 10), cash and cash equivalents (see Note 13), debt (see Note 14) and certain amounts (including derivative contracts) reported within trade and other receivables (see Note 11) and trade and other payables (see Note 15).</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Risks</w:t>
      </w:r>
    </w:p>
    <w:p>
      <w:pPr>
        <w:spacing w:after="0" w:line="1" w:lineRule="exact"/>
        <w:rPr>
          <w:sz w:val="20"/>
          <w:szCs w:val="20"/>
          <w:color w:val="auto"/>
        </w:rPr>
      </w:pPr>
    </w:p>
    <w:p>
      <w:pPr>
        <w:ind w:right="800"/>
        <w:spacing w:after="0" w:line="258" w:lineRule="auto"/>
        <w:rPr>
          <w:sz w:val="20"/>
          <w:szCs w:val="20"/>
          <w:color w:val="auto"/>
        </w:rPr>
      </w:pPr>
      <w:r>
        <w:rPr>
          <w:rFonts w:ascii="Arial" w:cs="Arial" w:eastAsia="Arial" w:hAnsi="Arial"/>
          <w:sz w:val="14"/>
          <w:szCs w:val="14"/>
          <w:color w:val="auto"/>
        </w:rPr>
        <w:t>In the normal course of business, financial instruments of various kinds are used for the purposes of managing exposure to interest rate, currency and commodity price movements.</w:t>
      </w:r>
    </w:p>
    <w:p>
      <w:pPr>
        <w:sectPr>
          <w:pgSz w:w="11900" w:h="16838" w:orient="portrait"/>
          <w:cols w:equalWidth="0" w:num="1">
            <w:col w:w="11420"/>
          </w:cols>
          <w:pgMar w:left="240" w:top="459" w:right="239" w:bottom="1440" w:gutter="0" w:footer="0" w:header="0"/>
        </w:sectPr>
      </w:pPr>
    </w:p>
    <w:bookmarkStart w:id="133" w:name="page134"/>
    <w:bookmarkEnd w:id="1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300355</wp:posOffset>
            </wp:positionV>
            <wp:extent cx="3533140" cy="46291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3533140" cy="462915"/>
                    </a:xfrm>
                    <a:prstGeom prst="rect">
                      <a:avLst/>
                    </a:prstGeom>
                    <a:noFill/>
                  </pic:spPr>
                </pic:pic>
              </a:graphicData>
            </a:graphic>
          </wp:anchor>
        </w:drawing>
      </w:r>
    </w:p>
    <w:p>
      <w:pPr>
        <w:spacing w:after="0" w:line="200" w:lineRule="exact"/>
        <w:rPr>
          <w:sz w:val="20"/>
          <w:szCs w:val="20"/>
          <w:color w:val="auto"/>
        </w:rPr>
      </w:pP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419"/>
        </w:trPr>
        <w:tc>
          <w:tcPr>
            <w:tcW w:w="1220" w:type="dxa"/>
            <w:vAlign w:val="bottom"/>
            <w:shd w:val="clear" w:color="auto" w:fill="FF8B00"/>
          </w:tcPr>
          <w:p>
            <w:pPr>
              <w:spacing w:after="0"/>
              <w:rPr>
                <w:sz w:val="24"/>
                <w:szCs w:val="24"/>
                <w:color w:val="auto"/>
              </w:rPr>
            </w:pPr>
          </w:p>
        </w:tc>
        <w:tc>
          <w:tcPr>
            <w:tcW w:w="4360" w:type="dxa"/>
            <w:vAlign w:val="bottom"/>
            <w:shd w:val="clear" w:color="auto" w:fill="FF8B00"/>
          </w:tcPr>
          <w:p>
            <w:pPr>
              <w:spacing w:after="0"/>
              <w:rPr>
                <w:sz w:val="24"/>
                <w:szCs w:val="24"/>
                <w:color w:val="auto"/>
              </w:rPr>
            </w:pPr>
          </w:p>
        </w:tc>
      </w:tr>
      <w:tr>
        <w:trPr>
          <w:trHeight w:val="152"/>
        </w:trPr>
        <w:tc>
          <w:tcPr>
            <w:tcW w:w="1220" w:type="dxa"/>
            <w:vAlign w:val="bottom"/>
          </w:tcPr>
          <w:p>
            <w:pPr>
              <w:jc w:val="right"/>
              <w:ind w:right="726"/>
              <w:spacing w:after="0"/>
              <w:rPr>
                <w:sz w:val="20"/>
                <w:szCs w:val="20"/>
                <w:color w:val="auto"/>
              </w:rPr>
            </w:pPr>
            <w:r>
              <w:rPr>
                <w:rFonts w:ascii="Arial" w:cs="Arial" w:eastAsia="Arial" w:hAnsi="Arial"/>
                <w:sz w:val="11"/>
                <w:szCs w:val="11"/>
                <w:b w:val="1"/>
                <w:bCs w:val="1"/>
                <w:color w:val="333333"/>
              </w:rPr>
              <w:t>132</w:t>
            </w:r>
          </w:p>
        </w:tc>
        <w:tc>
          <w:tcPr>
            <w:tcW w:w="4360" w:type="dxa"/>
            <w:vAlign w:val="bottom"/>
          </w:tcPr>
          <w:p>
            <w:pPr>
              <w:ind w:left="780"/>
              <w:spacing w:after="0"/>
              <w:rPr>
                <w:sz w:val="20"/>
                <w:szCs w:val="20"/>
                <w:color w:val="auto"/>
              </w:rPr>
            </w:pPr>
            <w:r>
              <w:rPr>
                <w:rFonts w:ascii="Arial" w:cs="Arial" w:eastAsia="Arial" w:hAnsi="Arial"/>
                <w:sz w:val="13"/>
                <w:szCs w:val="13"/>
                <w:color w:val="333333"/>
              </w:rPr>
              <w:t>FINANCIAL STATEMENTS AND SUPPLEMENTS</w:t>
            </w:r>
          </w:p>
        </w:tc>
      </w:tr>
    </w:tbl>
    <w:p>
      <w:pPr>
        <w:spacing w:after="0" w:line="150" w:lineRule="exact"/>
        <w:rPr>
          <w:sz w:val="20"/>
          <w:szCs w:val="20"/>
          <w:color w:val="auto"/>
        </w:rPr>
      </w:pPr>
    </w:p>
    <w:p>
      <w:pPr>
        <w:jc w:val="right"/>
        <w:spacing w:after="0"/>
        <w:tabs>
          <w:tab w:leader="none" w:pos="2380" w:val="left"/>
        </w:tabs>
        <w:rPr>
          <w:sz w:val="20"/>
          <w:szCs w:val="20"/>
          <w:color w:val="auto"/>
        </w:rPr>
      </w:pPr>
      <w:r>
        <w:rPr>
          <w:rFonts w:ascii="Arial" w:cs="Arial" w:eastAsia="Arial" w:hAnsi="Arial"/>
          <w:sz w:val="11"/>
          <w:szCs w:val="11"/>
          <w:color w:val="auto"/>
        </w:rPr>
        <w:t>CONSOLIDATED FINANCIAL STATEMENTS</w:t>
      </w:r>
      <w:r>
        <w:rPr>
          <w:sz w:val="20"/>
          <w:szCs w:val="20"/>
          <w:color w:val="auto"/>
        </w:rPr>
        <w:tab/>
      </w:r>
      <w:r>
        <w:rPr>
          <w:rFonts w:ascii="Arial" w:cs="Arial" w:eastAsia="Arial" w:hAnsi="Arial"/>
          <w:sz w:val="10"/>
          <w:szCs w:val="10"/>
          <w:color w:val="auto"/>
        </w:rPr>
        <w:t>SHELL ANNUAL REPORT AND FORM 20-F 2014</w:t>
      </w:r>
    </w:p>
    <w:p>
      <w:pPr>
        <w:spacing w:after="0"/>
        <w:rPr>
          <w:sz w:val="20"/>
          <w:szCs w:val="20"/>
          <w:color w:val="auto"/>
        </w:rPr>
      </w:pPr>
      <w:r>
        <w:rPr>
          <w:rFonts w:ascii="Arial" w:cs="Arial" w:eastAsia="Arial" w:hAnsi="Arial"/>
          <w:sz w:val="11"/>
          <w:szCs w:val="11"/>
          <w:color w:val="auto"/>
        </w:rPr>
        <w:t>[Note 19 continued]</w:t>
      </w:r>
    </w:p>
    <w:p>
      <w:pPr>
        <w:spacing w:after="0" w:line="3" w:lineRule="exact"/>
        <w:rPr>
          <w:sz w:val="20"/>
          <w:szCs w:val="20"/>
          <w:color w:val="auto"/>
        </w:rPr>
      </w:pPr>
    </w:p>
    <w:p>
      <w:pPr>
        <w:ind w:right="320"/>
        <w:spacing w:after="0" w:line="247" w:lineRule="auto"/>
        <w:rPr>
          <w:sz w:val="20"/>
          <w:szCs w:val="20"/>
          <w:color w:val="auto"/>
        </w:rPr>
      </w:pPr>
      <w:r>
        <w:rPr>
          <w:rFonts w:ascii="Arial" w:cs="Arial" w:eastAsia="Arial" w:hAnsi="Arial"/>
          <w:sz w:val="14"/>
          <w:szCs w:val="14"/>
          <w:color w:val="auto"/>
        </w:rPr>
        <w:t>Treasury standards are applicable to all subsidiaries and each subsidiary is required to adopt a treasury policy consistent with these standards. These policies cover: financing structure; interest rate and foreign exchange risk management; insurance; counterparty risk management; and use of derivative instruments. Wherever possible, treasury operations are carried out through specialist regional organisations without removing from each subsidiary the responsibility to formulate and implement appropriate treasury policies.</w:t>
      </w:r>
    </w:p>
    <w:p>
      <w:pPr>
        <w:spacing w:after="0" w:line="175" w:lineRule="exact"/>
        <w:rPr>
          <w:sz w:val="20"/>
          <w:szCs w:val="20"/>
          <w:color w:val="auto"/>
        </w:rPr>
      </w:pPr>
    </w:p>
    <w:p>
      <w:pPr>
        <w:ind w:right="420"/>
        <w:spacing w:after="0" w:line="258" w:lineRule="auto"/>
        <w:rPr>
          <w:sz w:val="20"/>
          <w:szCs w:val="20"/>
          <w:color w:val="auto"/>
        </w:rPr>
      </w:pPr>
      <w:r>
        <w:rPr>
          <w:rFonts w:ascii="Arial" w:cs="Arial" w:eastAsia="Arial" w:hAnsi="Arial"/>
          <w:sz w:val="14"/>
          <w:szCs w:val="14"/>
          <w:color w:val="auto"/>
        </w:rPr>
        <w:t>Apart from forward foreign exchange contracts to meet known commitments, the use of derivative financial instruments by most subsidiaries is not permitted by their treasury policy.</w:t>
      </w:r>
    </w:p>
    <w:p>
      <w:pPr>
        <w:spacing w:after="0" w:line="154" w:lineRule="exact"/>
        <w:rPr>
          <w:sz w:val="20"/>
          <w:szCs w:val="20"/>
          <w:color w:val="auto"/>
        </w:rPr>
      </w:pPr>
    </w:p>
    <w:p>
      <w:pPr>
        <w:ind w:right="700"/>
        <w:spacing w:after="0" w:line="258" w:lineRule="auto"/>
        <w:rPr>
          <w:sz w:val="20"/>
          <w:szCs w:val="20"/>
          <w:color w:val="auto"/>
        </w:rPr>
      </w:pPr>
      <w:r>
        <w:rPr>
          <w:rFonts w:ascii="Arial" w:cs="Arial" w:eastAsia="Arial" w:hAnsi="Arial"/>
          <w:sz w:val="14"/>
          <w:szCs w:val="14"/>
          <w:color w:val="auto"/>
        </w:rPr>
        <w:t>Other than in exceptional cases, the use of external derivative instruments is confined to specialist trading and central treasury organisations that have appropriate skills, experience, supervision, control and reporting systems.</w:t>
      </w:r>
    </w:p>
    <w:p>
      <w:pPr>
        <w:spacing w:after="0" w:line="154" w:lineRule="exact"/>
        <w:rPr>
          <w:sz w:val="20"/>
          <w:szCs w:val="20"/>
          <w:color w:val="auto"/>
        </w:rPr>
      </w:pPr>
    </w:p>
    <w:p>
      <w:pPr>
        <w:spacing w:after="0"/>
        <w:rPr>
          <w:sz w:val="20"/>
          <w:szCs w:val="20"/>
          <w:color w:val="auto"/>
        </w:rPr>
      </w:pPr>
      <w:r>
        <w:rPr>
          <w:rFonts w:ascii="Arial" w:cs="Arial" w:eastAsia="Arial" w:hAnsi="Arial"/>
          <w:sz w:val="14"/>
          <w:szCs w:val="14"/>
          <w:color w:val="auto"/>
        </w:rPr>
        <w:t>Shell’s operations expose it to market, credit and liquidity risk, as described below.</w:t>
      </w:r>
    </w:p>
    <w:p>
      <w:pPr>
        <w:spacing w:after="0" w:line="176" w:lineRule="exact"/>
        <w:rPr>
          <w:sz w:val="20"/>
          <w:szCs w:val="20"/>
          <w:color w:val="auto"/>
        </w:rPr>
      </w:pPr>
    </w:p>
    <w:p>
      <w:pPr>
        <w:spacing w:after="0"/>
        <w:rPr>
          <w:sz w:val="20"/>
          <w:szCs w:val="20"/>
          <w:color w:val="auto"/>
        </w:rPr>
      </w:pPr>
      <w:r>
        <w:rPr>
          <w:rFonts w:ascii="Arial" w:cs="Arial" w:eastAsia="Arial" w:hAnsi="Arial"/>
          <w:sz w:val="13"/>
          <w:szCs w:val="13"/>
          <w:color w:val="auto"/>
        </w:rPr>
        <w:t>MARKET RISK</w:t>
      </w:r>
    </w:p>
    <w:p>
      <w:pPr>
        <w:ind w:right="140"/>
        <w:spacing w:after="0" w:line="258" w:lineRule="auto"/>
        <w:rPr>
          <w:sz w:val="20"/>
          <w:szCs w:val="20"/>
          <w:color w:val="auto"/>
        </w:rPr>
      </w:pPr>
      <w:r>
        <w:rPr>
          <w:rFonts w:ascii="Arial" w:cs="Arial" w:eastAsia="Arial" w:hAnsi="Arial"/>
          <w:sz w:val="14"/>
          <w:szCs w:val="14"/>
          <w:color w:val="auto"/>
        </w:rPr>
        <w:t>Market risk is the possibility that changes in interest rates, currency exchange rates or the prices of crude oil, natural gas, LNG, refined products, chemical feedstocks, power and environmental products will adversely affect the value of assets, liabilities or expected future cash flows.</w:t>
      </w:r>
    </w:p>
    <w:p>
      <w:pPr>
        <w:spacing w:after="0" w:line="13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Interest rate risk</w:t>
      </w:r>
    </w:p>
    <w:p>
      <w:pPr>
        <w:spacing w:after="0" w:line="19" w:lineRule="exact"/>
        <w:rPr>
          <w:sz w:val="20"/>
          <w:szCs w:val="20"/>
          <w:color w:val="auto"/>
        </w:rPr>
      </w:pPr>
    </w:p>
    <w:p>
      <w:pPr>
        <w:ind w:right="20"/>
        <w:spacing w:after="0" w:line="247" w:lineRule="auto"/>
        <w:rPr>
          <w:sz w:val="20"/>
          <w:szCs w:val="20"/>
          <w:color w:val="auto"/>
        </w:rPr>
      </w:pPr>
      <w:r>
        <w:rPr>
          <w:rFonts w:ascii="Arial" w:cs="Arial" w:eastAsia="Arial" w:hAnsi="Arial"/>
          <w:sz w:val="14"/>
          <w:szCs w:val="14"/>
          <w:color w:val="auto"/>
        </w:rPr>
        <w:t>Most debt is raised from central borrowing programmes. Shell’s policy continues to be to have debt principally denominated in dollars and to maintain a largely floating interest rate exposure profile, however, the majority of the debt issued in recent years has been at fixed rates, taking advantage of historically low interest rates available in the US debt markets. As a result the majority of the debt portfolio at December 31, 2014, is at fixed rates and this reduces Shell’s exposure to the dollar LIBOR interest rate, although it remains the most significant interest rate exposure.</w:t>
      </w:r>
    </w:p>
    <w:p>
      <w:pPr>
        <w:spacing w:after="0" w:line="161" w:lineRule="exact"/>
        <w:rPr>
          <w:sz w:val="20"/>
          <w:szCs w:val="20"/>
          <w:color w:val="auto"/>
        </w:rPr>
      </w:pPr>
    </w:p>
    <w:p>
      <w:pPr>
        <w:spacing w:after="0"/>
        <w:rPr>
          <w:sz w:val="20"/>
          <w:szCs w:val="20"/>
          <w:color w:val="auto"/>
        </w:rPr>
      </w:pPr>
      <w:r>
        <w:rPr>
          <w:rFonts w:ascii="Arial" w:cs="Arial" w:eastAsia="Arial" w:hAnsi="Arial"/>
          <w:sz w:val="14"/>
          <w:szCs w:val="14"/>
          <w:color w:val="auto"/>
        </w:rPr>
        <w:t>The financing of most subsidiaries is structured on a floating-rate basis and, except in special cases, further interest rate risk management is discouraged.</w:t>
      </w:r>
    </w:p>
    <w:p>
      <w:pPr>
        <w:spacing w:after="0" w:line="190" w:lineRule="exact"/>
        <w:rPr>
          <w:sz w:val="20"/>
          <w:szCs w:val="20"/>
          <w:color w:val="auto"/>
        </w:rPr>
      </w:pPr>
    </w:p>
    <w:p>
      <w:pPr>
        <w:jc w:val="both"/>
        <w:ind w:right="120"/>
        <w:spacing w:after="0" w:line="250" w:lineRule="auto"/>
        <w:rPr>
          <w:sz w:val="20"/>
          <w:szCs w:val="20"/>
          <w:color w:val="auto"/>
        </w:rPr>
      </w:pPr>
      <w:r>
        <w:rPr>
          <w:rFonts w:ascii="Arial" w:cs="Arial" w:eastAsia="Arial" w:hAnsi="Arial"/>
          <w:sz w:val="14"/>
          <w:szCs w:val="14"/>
          <w:color w:val="auto"/>
        </w:rPr>
        <w:t>On the basis of the floating rate net debt position at December 31, 2014 (both issued and hedged), and assuming other factors (principally foreign exchange rates and commodity prices) remained constant and that no further interest rate management action was taken, an increase in interest rates of 1% would increase pre-tax income by $17 million (2013: $87 million decrease).</w:t>
      </w:r>
    </w:p>
    <w:p>
      <w:pPr>
        <w:spacing w:after="0" w:line="159" w:lineRule="exact"/>
        <w:rPr>
          <w:sz w:val="20"/>
          <w:szCs w:val="20"/>
          <w:color w:val="auto"/>
        </w:rPr>
      </w:pPr>
    </w:p>
    <w:p>
      <w:pPr>
        <w:spacing w:after="0"/>
        <w:rPr>
          <w:sz w:val="20"/>
          <w:szCs w:val="20"/>
          <w:color w:val="auto"/>
        </w:rPr>
      </w:pPr>
      <w:r>
        <w:rPr>
          <w:rFonts w:ascii="Arial" w:cs="Arial" w:eastAsia="Arial" w:hAnsi="Arial"/>
          <w:sz w:val="14"/>
          <w:szCs w:val="14"/>
          <w:color w:val="auto"/>
        </w:rPr>
        <w:t>The carrying amounts and maturities of debt and borrowing facilities are presented in Note 14. Interest expense is presented in Note 6.</w:t>
      </w:r>
    </w:p>
    <w:p>
      <w:pPr>
        <w:spacing w:after="0" w:line="15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Foreign exchange risk</w:t>
      </w:r>
    </w:p>
    <w:p>
      <w:pPr>
        <w:spacing w:after="0" w:line="19" w:lineRule="exact"/>
        <w:rPr>
          <w:sz w:val="20"/>
          <w:szCs w:val="20"/>
          <w:color w:val="auto"/>
        </w:rPr>
      </w:pPr>
    </w:p>
    <w:p>
      <w:pPr>
        <w:ind w:right="40"/>
        <w:spacing w:after="0" w:line="245" w:lineRule="auto"/>
        <w:rPr>
          <w:sz w:val="20"/>
          <w:szCs w:val="20"/>
          <w:color w:val="auto"/>
        </w:rPr>
      </w:pPr>
      <w:r>
        <w:rPr>
          <w:rFonts w:ascii="Arial" w:cs="Arial" w:eastAsia="Arial" w:hAnsi="Arial"/>
          <w:sz w:val="14"/>
          <w:szCs w:val="14"/>
          <w:color w:val="auto"/>
        </w:rPr>
        <w:t>Many of the markets in which Shell operates are priced, directly or indirectly, in dollars. As a result, the functional currency of most Upstream entities and those with significant cross-border business is the dollar. For Downstream entities, the local currency is typically the functional currency. Consequently, Shell is exposed to varying levels of foreign exchange risk when an entity enters into transactions that are not denominated in its functional currency, when foreign currency monetary assets and liabilities are translated at the balance sheet date and as a result of holding net investments in operations that are not dollar-functional. The main currencies to which Shell is exposed are the Canadian dollar, euro, sterling and Malaysian ringgit. Each entity has treasury policies in place that are designed to measure and manage its foreign exchange exposures by reference to its functional currency.</w:t>
      </w:r>
    </w:p>
    <w:p>
      <w:pPr>
        <w:spacing w:after="0" w:line="340" w:lineRule="exact"/>
        <w:rPr>
          <w:sz w:val="20"/>
          <w:szCs w:val="20"/>
          <w:color w:val="auto"/>
        </w:rPr>
      </w:pPr>
    </w:p>
    <w:p>
      <w:pPr>
        <w:ind w:right="360"/>
        <w:spacing w:after="0" w:line="250" w:lineRule="auto"/>
        <w:rPr>
          <w:sz w:val="20"/>
          <w:szCs w:val="20"/>
          <w:color w:val="auto"/>
        </w:rPr>
      </w:pPr>
      <w:r>
        <w:rPr>
          <w:rFonts w:ascii="Arial" w:cs="Arial" w:eastAsia="Arial" w:hAnsi="Arial"/>
          <w:sz w:val="14"/>
          <w:szCs w:val="14"/>
          <w:color w:val="auto"/>
        </w:rPr>
        <w:t>Exchange rate gains and losses arise in the normal course of business from the recognition of receivables and payables and other monetary items in currencies other than an entity’s functional currency. Currency exchange risk may also arise in connection with capital expenditure. For major projects, an assessment is made at the final investment decision stage whether to hedge any resulting exposure.</w:t>
      </w:r>
    </w:p>
    <w:p>
      <w:pPr>
        <w:spacing w:after="0" w:line="159" w:lineRule="exact"/>
        <w:rPr>
          <w:sz w:val="20"/>
          <w:szCs w:val="20"/>
          <w:color w:val="auto"/>
        </w:rPr>
      </w:pPr>
    </w:p>
    <w:p>
      <w:pPr>
        <w:spacing w:after="0"/>
        <w:rPr>
          <w:sz w:val="20"/>
          <w:szCs w:val="20"/>
          <w:color w:val="auto"/>
        </w:rPr>
      </w:pPr>
      <w:r>
        <w:rPr>
          <w:rFonts w:ascii="Arial" w:cs="Arial" w:eastAsia="Arial" w:hAnsi="Arial"/>
          <w:sz w:val="14"/>
          <w:szCs w:val="14"/>
          <w:color w:val="auto"/>
        </w:rPr>
        <w:t>Hedging of net investments in foreign operations or of income that arises in foreign operations that are non-dollar functional is not undertaken.</w:t>
      </w:r>
    </w:p>
    <w:p>
      <w:pPr>
        <w:spacing w:after="0" w:line="177" w:lineRule="exact"/>
        <w:rPr>
          <w:sz w:val="20"/>
          <w:szCs w:val="20"/>
          <w:color w:val="auto"/>
        </w:rPr>
      </w:pPr>
    </w:p>
    <w:p>
      <w:pPr>
        <w:ind w:right="460"/>
        <w:spacing w:after="0" w:line="258" w:lineRule="auto"/>
        <w:rPr>
          <w:sz w:val="20"/>
          <w:szCs w:val="20"/>
          <w:color w:val="auto"/>
        </w:rPr>
      </w:pPr>
      <w:r>
        <w:rPr>
          <w:rFonts w:ascii="Arial" w:cs="Arial" w:eastAsia="Arial" w:hAnsi="Arial"/>
          <w:sz w:val="14"/>
          <w:szCs w:val="14"/>
          <w:color w:val="auto"/>
        </w:rPr>
        <w:t>Assuming other factors (principally interest rates and commodity prices) remained constant and that no further foreign exchange risk management action were taken, a 10% appreciation against the dollar at December 31 of the main currencies to which Shell is exposed would have the following pre-tax effects: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6200" w:type="dxa"/>
            <w:vAlign w:val="bottom"/>
            <w:shd w:val="clear" w:color="auto" w:fill="333333"/>
          </w:tcPr>
          <w:p>
            <w:pPr>
              <w:spacing w:after="0"/>
              <w:rPr>
                <w:sz w:val="15"/>
                <w:szCs w:val="15"/>
                <w:color w:val="auto"/>
              </w:rPr>
            </w:pPr>
          </w:p>
        </w:tc>
        <w:tc>
          <w:tcPr>
            <w:tcW w:w="1240" w:type="dxa"/>
            <w:vAlign w:val="bottom"/>
            <w:shd w:val="clear" w:color="auto" w:fill="333333"/>
          </w:tcPr>
          <w:p>
            <w:pPr>
              <w:spacing w:after="0"/>
              <w:rPr>
                <w:sz w:val="15"/>
                <w:szCs w:val="15"/>
                <w:color w:val="auto"/>
              </w:rPr>
            </w:pPr>
          </w:p>
        </w:tc>
        <w:tc>
          <w:tcPr>
            <w:tcW w:w="1340" w:type="dxa"/>
            <w:vAlign w:val="bottom"/>
            <w:shd w:val="clear" w:color="auto" w:fill="333333"/>
          </w:tcPr>
          <w:p>
            <w:pPr>
              <w:spacing w:after="0"/>
              <w:rPr>
                <w:sz w:val="15"/>
                <w:szCs w:val="15"/>
                <w:color w:val="auto"/>
              </w:rPr>
            </w:pPr>
          </w:p>
        </w:tc>
        <w:tc>
          <w:tcPr>
            <w:tcW w:w="540" w:type="dxa"/>
            <w:vAlign w:val="bottom"/>
            <w:shd w:val="clear" w:color="auto" w:fill="333333"/>
          </w:tcPr>
          <w:p>
            <w:pPr>
              <w:spacing w:after="0"/>
              <w:rPr>
                <w:sz w:val="15"/>
                <w:szCs w:val="15"/>
                <w:color w:val="auto"/>
              </w:rPr>
            </w:pPr>
          </w:p>
        </w:tc>
        <w:tc>
          <w:tcPr>
            <w:tcW w:w="1040" w:type="dxa"/>
            <w:vAlign w:val="bottom"/>
            <w:shd w:val="clear" w:color="auto" w:fill="333333"/>
          </w:tcPr>
          <w:p>
            <w:pPr>
              <w:spacing w:after="0"/>
              <w:rPr>
                <w:sz w:val="15"/>
                <w:szCs w:val="15"/>
                <w:color w:val="auto"/>
              </w:rPr>
            </w:pPr>
          </w:p>
        </w:tc>
        <w:tc>
          <w:tcPr>
            <w:tcW w:w="1060" w:type="dxa"/>
            <w:vAlign w:val="bottom"/>
            <w:shd w:val="clear" w:color="auto" w:fill="333333"/>
          </w:tcPr>
          <w:p>
            <w:pPr>
              <w:jc w:val="right"/>
              <w:ind w:right="29"/>
              <w:spacing w:after="0"/>
              <w:rPr>
                <w:sz w:val="20"/>
                <w:szCs w:val="20"/>
                <w:color w:val="auto"/>
              </w:rPr>
            </w:pPr>
            <w:r>
              <w:rPr>
                <w:rFonts w:ascii="Arial" w:cs="Arial" w:eastAsia="Arial" w:hAnsi="Arial"/>
                <w:sz w:val="15"/>
                <w:szCs w:val="15"/>
                <w:color w:val="FFFFFF"/>
              </w:rPr>
              <w:t>$ MILLION</w:t>
            </w:r>
          </w:p>
        </w:tc>
      </w:tr>
      <w:tr>
        <w:trPr>
          <w:trHeight w:val="135"/>
        </w:trPr>
        <w:tc>
          <w:tcPr>
            <w:tcW w:w="6200" w:type="dxa"/>
            <w:vAlign w:val="bottom"/>
          </w:tcPr>
          <w:p>
            <w:pPr>
              <w:spacing w:after="0"/>
              <w:rPr>
                <w:sz w:val="11"/>
                <w:szCs w:val="11"/>
                <w:color w:val="auto"/>
              </w:rPr>
            </w:pPr>
          </w:p>
        </w:tc>
        <w:tc>
          <w:tcPr>
            <w:tcW w:w="3120" w:type="dxa"/>
            <w:vAlign w:val="bottom"/>
            <w:gridSpan w:val="3"/>
          </w:tcPr>
          <w:p>
            <w:pPr>
              <w:ind w:left="780"/>
              <w:spacing w:after="0" w:line="135" w:lineRule="exact"/>
              <w:rPr>
                <w:sz w:val="20"/>
                <w:szCs w:val="20"/>
                <w:color w:val="auto"/>
              </w:rPr>
            </w:pPr>
            <w:r>
              <w:rPr>
                <w:rFonts w:ascii="Arial" w:cs="Arial" w:eastAsia="Arial" w:hAnsi="Arial"/>
                <w:sz w:val="13"/>
                <w:szCs w:val="13"/>
                <w:color w:val="auto"/>
              </w:rPr>
              <w:t>Increase/(decrease) in income</w:t>
            </w:r>
          </w:p>
        </w:tc>
        <w:tc>
          <w:tcPr>
            <w:tcW w:w="2100" w:type="dxa"/>
            <w:vAlign w:val="bottom"/>
            <w:gridSpan w:val="2"/>
          </w:tcPr>
          <w:p>
            <w:pPr>
              <w:jc w:val="right"/>
              <w:ind w:right="249"/>
              <w:spacing w:after="0" w:line="135" w:lineRule="exact"/>
              <w:rPr>
                <w:sz w:val="20"/>
                <w:szCs w:val="20"/>
                <w:color w:val="auto"/>
              </w:rPr>
            </w:pPr>
            <w:r>
              <w:rPr>
                <w:rFonts w:ascii="Arial" w:cs="Arial" w:eastAsia="Arial" w:hAnsi="Arial"/>
                <w:sz w:val="13"/>
                <w:szCs w:val="13"/>
                <w:color w:val="auto"/>
              </w:rPr>
              <w:t>Increase in net assets</w:t>
            </w:r>
          </w:p>
        </w:tc>
      </w:tr>
      <w:tr>
        <w:trPr>
          <w:trHeight w:val="129"/>
        </w:trPr>
        <w:tc>
          <w:tcPr>
            <w:tcW w:w="6200" w:type="dxa"/>
            <w:vAlign w:val="bottom"/>
            <w:tcBorders>
              <w:bottom w:val="single" w:sz="8" w:color="auto"/>
            </w:tcBorders>
          </w:tcPr>
          <w:p>
            <w:pPr>
              <w:spacing w:after="0"/>
              <w:rPr>
                <w:sz w:val="11"/>
                <w:szCs w:val="11"/>
                <w:color w:val="auto"/>
              </w:rPr>
            </w:pPr>
          </w:p>
        </w:tc>
        <w:tc>
          <w:tcPr>
            <w:tcW w:w="1240" w:type="dxa"/>
            <w:vAlign w:val="bottom"/>
            <w:tcBorders>
              <w:top w:val="single" w:sz="8" w:color="auto"/>
              <w:bottom w:val="single" w:sz="8" w:color="auto"/>
            </w:tcBorders>
            <w:shd w:val="clear" w:color="auto" w:fill="D8D8D8"/>
          </w:tcPr>
          <w:p>
            <w:pPr>
              <w:jc w:val="right"/>
              <w:ind w:right="251"/>
              <w:spacing w:after="0" w:line="129" w:lineRule="exact"/>
              <w:rPr>
                <w:sz w:val="20"/>
                <w:szCs w:val="20"/>
                <w:color w:val="auto"/>
              </w:rPr>
            </w:pPr>
            <w:r>
              <w:rPr>
                <w:rFonts w:ascii="Arial" w:cs="Arial" w:eastAsia="Arial" w:hAnsi="Arial"/>
                <w:sz w:val="13"/>
                <w:szCs w:val="13"/>
                <w:color w:val="auto"/>
              </w:rPr>
              <w:t>2014</w:t>
            </w:r>
          </w:p>
        </w:tc>
        <w:tc>
          <w:tcPr>
            <w:tcW w:w="1340" w:type="dxa"/>
            <w:vAlign w:val="bottom"/>
            <w:tcBorders>
              <w:top w:val="single" w:sz="8" w:color="auto"/>
              <w:bottom w:val="single" w:sz="8" w:color="auto"/>
            </w:tcBorders>
          </w:tcPr>
          <w:p>
            <w:pPr>
              <w:jc w:val="right"/>
              <w:ind w:right="30"/>
              <w:spacing w:after="0" w:line="129" w:lineRule="exact"/>
              <w:rPr>
                <w:sz w:val="20"/>
                <w:szCs w:val="20"/>
                <w:color w:val="auto"/>
              </w:rPr>
            </w:pPr>
            <w:r>
              <w:rPr>
                <w:rFonts w:ascii="Arial" w:cs="Arial" w:eastAsia="Arial" w:hAnsi="Arial"/>
                <w:sz w:val="13"/>
                <w:szCs w:val="13"/>
                <w:color w:val="auto"/>
              </w:rPr>
              <w:t>2013</w:t>
            </w:r>
          </w:p>
        </w:tc>
        <w:tc>
          <w:tcPr>
            <w:tcW w:w="540" w:type="dxa"/>
            <w:vAlign w:val="bottom"/>
            <w:tcBorders>
              <w:bottom w:val="single" w:sz="8" w:color="auto"/>
            </w:tcBorders>
          </w:tcPr>
          <w:p>
            <w:pPr>
              <w:spacing w:after="0"/>
              <w:rPr>
                <w:sz w:val="11"/>
                <w:szCs w:val="11"/>
                <w:color w:val="auto"/>
              </w:rPr>
            </w:pPr>
          </w:p>
        </w:tc>
        <w:tc>
          <w:tcPr>
            <w:tcW w:w="1040" w:type="dxa"/>
            <w:vAlign w:val="bottom"/>
            <w:tcBorders>
              <w:top w:val="single" w:sz="8" w:color="auto"/>
              <w:bottom w:val="single" w:sz="8" w:color="auto"/>
            </w:tcBorders>
            <w:shd w:val="clear" w:color="auto" w:fill="D8D8D8"/>
          </w:tcPr>
          <w:p>
            <w:pPr>
              <w:jc w:val="right"/>
              <w:ind w:right="231"/>
              <w:spacing w:after="0" w:line="129" w:lineRule="exact"/>
              <w:rPr>
                <w:sz w:val="20"/>
                <w:szCs w:val="20"/>
                <w:color w:val="auto"/>
              </w:rPr>
            </w:pPr>
            <w:r>
              <w:rPr>
                <w:rFonts w:ascii="Arial" w:cs="Arial" w:eastAsia="Arial" w:hAnsi="Arial"/>
                <w:sz w:val="13"/>
                <w:szCs w:val="13"/>
                <w:color w:val="auto"/>
              </w:rPr>
              <w:t>2014</w:t>
            </w:r>
          </w:p>
        </w:tc>
        <w:tc>
          <w:tcPr>
            <w:tcW w:w="1060" w:type="dxa"/>
            <w:vAlign w:val="bottom"/>
            <w:tcBorders>
              <w:top w:val="single" w:sz="8" w:color="auto"/>
              <w:bottom w:val="single" w:sz="8" w:color="auto"/>
            </w:tcBorders>
          </w:tcPr>
          <w:p>
            <w:pPr>
              <w:jc w:val="right"/>
              <w:ind w:right="249"/>
              <w:spacing w:after="0" w:line="129" w:lineRule="exact"/>
              <w:rPr>
                <w:sz w:val="20"/>
                <w:szCs w:val="20"/>
                <w:color w:val="auto"/>
              </w:rPr>
            </w:pPr>
            <w:r>
              <w:rPr>
                <w:rFonts w:ascii="Arial" w:cs="Arial" w:eastAsia="Arial" w:hAnsi="Arial"/>
                <w:sz w:val="13"/>
                <w:szCs w:val="13"/>
                <w:color w:val="auto"/>
              </w:rPr>
              <w:t>2013</w:t>
            </w:r>
          </w:p>
        </w:tc>
      </w:tr>
      <w:tr>
        <w:trPr>
          <w:trHeight w:val="156"/>
        </w:trPr>
        <w:tc>
          <w:tcPr>
            <w:tcW w:w="6200" w:type="dxa"/>
            <w:vAlign w:val="bottom"/>
          </w:tcPr>
          <w:p>
            <w:pPr>
              <w:spacing w:after="0" w:line="155" w:lineRule="exact"/>
              <w:rPr>
                <w:sz w:val="20"/>
                <w:szCs w:val="20"/>
                <w:color w:val="auto"/>
              </w:rPr>
            </w:pPr>
            <w:r>
              <w:rPr>
                <w:rFonts w:ascii="Arial" w:cs="Arial" w:eastAsia="Arial" w:hAnsi="Arial"/>
                <w:sz w:val="14"/>
                <w:szCs w:val="14"/>
                <w:color w:val="auto"/>
              </w:rPr>
              <w:t>10% appreciation against the dollar of:</w:t>
            </w:r>
          </w:p>
        </w:tc>
        <w:tc>
          <w:tcPr>
            <w:tcW w:w="1240" w:type="dxa"/>
            <w:vAlign w:val="bottom"/>
            <w:shd w:val="clear" w:color="auto" w:fill="D8D8D8"/>
          </w:tcPr>
          <w:p>
            <w:pPr>
              <w:spacing w:after="0"/>
              <w:rPr>
                <w:sz w:val="13"/>
                <w:szCs w:val="13"/>
                <w:color w:val="auto"/>
              </w:rPr>
            </w:pPr>
          </w:p>
        </w:tc>
        <w:tc>
          <w:tcPr>
            <w:tcW w:w="13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40" w:type="dxa"/>
            <w:vAlign w:val="bottom"/>
            <w:shd w:val="clear" w:color="auto" w:fill="D8D8D8"/>
          </w:tcPr>
          <w:p>
            <w:pPr>
              <w:spacing w:after="0"/>
              <w:rPr>
                <w:sz w:val="13"/>
                <w:szCs w:val="13"/>
                <w:color w:val="auto"/>
              </w:rPr>
            </w:pPr>
          </w:p>
        </w:tc>
        <w:tc>
          <w:tcPr>
            <w:tcW w:w="1060" w:type="dxa"/>
            <w:vAlign w:val="bottom"/>
          </w:tcPr>
          <w:p>
            <w:pPr>
              <w:spacing w:after="0"/>
              <w:rPr>
                <w:sz w:val="13"/>
                <w:szCs w:val="13"/>
                <w:color w:val="auto"/>
              </w:rPr>
            </w:pPr>
          </w:p>
        </w:tc>
      </w:tr>
      <w:tr>
        <w:trPr>
          <w:trHeight w:val="162"/>
        </w:trPr>
        <w:tc>
          <w:tcPr>
            <w:tcW w:w="6200" w:type="dxa"/>
            <w:vAlign w:val="bottom"/>
          </w:tcPr>
          <w:p>
            <w:pPr>
              <w:ind w:left="140"/>
              <w:spacing w:after="0"/>
              <w:rPr>
                <w:sz w:val="20"/>
                <w:szCs w:val="20"/>
                <w:color w:val="auto"/>
              </w:rPr>
            </w:pPr>
            <w:r>
              <w:rPr>
                <w:rFonts w:ascii="Arial" w:cs="Arial" w:eastAsia="Arial" w:hAnsi="Arial"/>
                <w:sz w:val="14"/>
                <w:szCs w:val="14"/>
                <w:color w:val="auto"/>
              </w:rPr>
              <w:t>Canadian dollar</w:t>
            </w:r>
          </w:p>
        </w:tc>
        <w:tc>
          <w:tcPr>
            <w:tcW w:w="1240" w:type="dxa"/>
            <w:vAlign w:val="bottom"/>
            <w:shd w:val="clear" w:color="auto" w:fill="D8D8D8"/>
          </w:tcPr>
          <w:p>
            <w:pPr>
              <w:jc w:val="right"/>
              <w:ind w:right="251"/>
              <w:spacing w:after="0"/>
              <w:rPr>
                <w:sz w:val="20"/>
                <w:szCs w:val="20"/>
                <w:color w:val="auto"/>
              </w:rPr>
            </w:pPr>
            <w:r>
              <w:rPr>
                <w:rFonts w:ascii="Arial" w:cs="Arial" w:eastAsia="Arial" w:hAnsi="Arial"/>
                <w:sz w:val="14"/>
                <w:szCs w:val="14"/>
                <w:color w:val="auto"/>
              </w:rPr>
              <w:t>(111)</w:t>
            </w:r>
          </w:p>
        </w:tc>
        <w:tc>
          <w:tcPr>
            <w:tcW w:w="1340" w:type="dxa"/>
            <w:vAlign w:val="bottom"/>
          </w:tcPr>
          <w:p>
            <w:pPr>
              <w:jc w:val="right"/>
              <w:spacing w:after="0"/>
              <w:rPr>
                <w:sz w:val="20"/>
                <w:szCs w:val="20"/>
                <w:color w:val="auto"/>
              </w:rPr>
            </w:pPr>
            <w:r>
              <w:rPr>
                <w:rFonts w:ascii="Arial" w:cs="Arial" w:eastAsia="Arial" w:hAnsi="Arial"/>
                <w:sz w:val="14"/>
                <w:szCs w:val="14"/>
                <w:color w:val="auto"/>
              </w:rPr>
              <w:t>(55)</w:t>
            </w:r>
          </w:p>
        </w:tc>
        <w:tc>
          <w:tcPr>
            <w:tcW w:w="540" w:type="dxa"/>
            <w:vAlign w:val="bottom"/>
          </w:tcPr>
          <w:p>
            <w:pPr>
              <w:spacing w:after="0"/>
              <w:rPr>
                <w:sz w:val="14"/>
                <w:szCs w:val="14"/>
                <w:color w:val="auto"/>
              </w:rPr>
            </w:pPr>
          </w:p>
        </w:tc>
        <w:tc>
          <w:tcPr>
            <w:tcW w:w="1040" w:type="dxa"/>
            <w:vAlign w:val="bottom"/>
            <w:shd w:val="clear" w:color="auto" w:fill="D8D8D8"/>
          </w:tcPr>
          <w:p>
            <w:pPr>
              <w:jc w:val="right"/>
              <w:ind w:right="231"/>
              <w:spacing w:after="0"/>
              <w:rPr>
                <w:sz w:val="20"/>
                <w:szCs w:val="20"/>
                <w:color w:val="auto"/>
              </w:rPr>
            </w:pPr>
            <w:r>
              <w:rPr>
                <w:rFonts w:ascii="Arial" w:cs="Arial" w:eastAsia="Arial" w:hAnsi="Arial"/>
                <w:sz w:val="14"/>
                <w:szCs w:val="14"/>
                <w:color w:val="auto"/>
              </w:rPr>
              <w:t>1,709</w:t>
            </w:r>
          </w:p>
        </w:tc>
        <w:tc>
          <w:tcPr>
            <w:tcW w:w="1060" w:type="dxa"/>
            <w:vAlign w:val="bottom"/>
          </w:tcPr>
          <w:p>
            <w:pPr>
              <w:jc w:val="right"/>
              <w:ind w:right="249"/>
              <w:spacing w:after="0"/>
              <w:rPr>
                <w:sz w:val="20"/>
                <w:szCs w:val="20"/>
                <w:color w:val="auto"/>
              </w:rPr>
            </w:pPr>
            <w:r>
              <w:rPr>
                <w:rFonts w:ascii="Arial" w:cs="Arial" w:eastAsia="Arial" w:hAnsi="Arial"/>
                <w:sz w:val="14"/>
                <w:szCs w:val="14"/>
                <w:color w:val="auto"/>
              </w:rPr>
              <w:t>1,853</w:t>
            </w:r>
          </w:p>
        </w:tc>
      </w:tr>
      <w:tr>
        <w:trPr>
          <w:trHeight w:val="167"/>
        </w:trPr>
        <w:tc>
          <w:tcPr>
            <w:tcW w:w="6200" w:type="dxa"/>
            <w:vAlign w:val="bottom"/>
          </w:tcPr>
          <w:p>
            <w:pPr>
              <w:ind w:left="140"/>
              <w:spacing w:after="0"/>
              <w:rPr>
                <w:sz w:val="20"/>
                <w:szCs w:val="20"/>
                <w:color w:val="auto"/>
              </w:rPr>
            </w:pPr>
            <w:r>
              <w:rPr>
                <w:rFonts w:ascii="Arial" w:cs="Arial" w:eastAsia="Arial" w:hAnsi="Arial"/>
                <w:sz w:val="14"/>
                <w:szCs w:val="14"/>
                <w:color w:val="auto"/>
              </w:rPr>
              <w:t>Euro</w:t>
            </w:r>
          </w:p>
        </w:tc>
        <w:tc>
          <w:tcPr>
            <w:tcW w:w="1240" w:type="dxa"/>
            <w:vAlign w:val="bottom"/>
            <w:shd w:val="clear" w:color="auto" w:fill="D8D8D8"/>
          </w:tcPr>
          <w:p>
            <w:pPr>
              <w:jc w:val="right"/>
              <w:ind w:right="251"/>
              <w:spacing w:after="0"/>
              <w:rPr>
                <w:sz w:val="20"/>
                <w:szCs w:val="20"/>
                <w:color w:val="auto"/>
              </w:rPr>
            </w:pPr>
            <w:r>
              <w:rPr>
                <w:rFonts w:ascii="Arial" w:cs="Arial" w:eastAsia="Arial" w:hAnsi="Arial"/>
                <w:sz w:val="14"/>
                <w:szCs w:val="14"/>
                <w:color w:val="auto"/>
              </w:rPr>
              <w:t>103</w:t>
            </w:r>
          </w:p>
        </w:tc>
        <w:tc>
          <w:tcPr>
            <w:tcW w:w="1340" w:type="dxa"/>
            <w:vAlign w:val="bottom"/>
          </w:tcPr>
          <w:p>
            <w:pPr>
              <w:jc w:val="right"/>
              <w:ind w:right="30"/>
              <w:spacing w:after="0"/>
              <w:rPr>
                <w:sz w:val="20"/>
                <w:szCs w:val="20"/>
                <w:color w:val="auto"/>
              </w:rPr>
            </w:pPr>
            <w:r>
              <w:rPr>
                <w:rFonts w:ascii="Arial" w:cs="Arial" w:eastAsia="Arial" w:hAnsi="Arial"/>
                <w:sz w:val="14"/>
                <w:szCs w:val="14"/>
                <w:color w:val="auto"/>
              </w:rPr>
              <w:t>241</w:t>
            </w:r>
          </w:p>
        </w:tc>
        <w:tc>
          <w:tcPr>
            <w:tcW w:w="540" w:type="dxa"/>
            <w:vAlign w:val="bottom"/>
          </w:tcPr>
          <w:p>
            <w:pPr>
              <w:spacing w:after="0"/>
              <w:rPr>
                <w:sz w:val="14"/>
                <w:szCs w:val="14"/>
                <w:color w:val="auto"/>
              </w:rPr>
            </w:pPr>
          </w:p>
        </w:tc>
        <w:tc>
          <w:tcPr>
            <w:tcW w:w="1040" w:type="dxa"/>
            <w:vAlign w:val="bottom"/>
            <w:shd w:val="clear" w:color="auto" w:fill="D8D8D8"/>
          </w:tcPr>
          <w:p>
            <w:pPr>
              <w:jc w:val="right"/>
              <w:ind w:right="231"/>
              <w:spacing w:after="0"/>
              <w:rPr>
                <w:sz w:val="20"/>
                <w:szCs w:val="20"/>
                <w:color w:val="auto"/>
              </w:rPr>
            </w:pPr>
            <w:r>
              <w:rPr>
                <w:rFonts w:ascii="Arial" w:cs="Arial" w:eastAsia="Arial" w:hAnsi="Arial"/>
                <w:sz w:val="14"/>
                <w:szCs w:val="14"/>
                <w:color w:val="auto"/>
              </w:rPr>
              <w:t>917</w:t>
            </w:r>
          </w:p>
        </w:tc>
        <w:tc>
          <w:tcPr>
            <w:tcW w:w="1060" w:type="dxa"/>
            <w:vAlign w:val="bottom"/>
          </w:tcPr>
          <w:p>
            <w:pPr>
              <w:jc w:val="right"/>
              <w:ind w:right="249"/>
              <w:spacing w:after="0"/>
              <w:rPr>
                <w:sz w:val="20"/>
                <w:szCs w:val="20"/>
                <w:color w:val="auto"/>
              </w:rPr>
            </w:pPr>
            <w:r>
              <w:rPr>
                <w:rFonts w:ascii="Arial" w:cs="Arial" w:eastAsia="Arial" w:hAnsi="Arial"/>
                <w:sz w:val="14"/>
                <w:szCs w:val="14"/>
                <w:color w:val="auto"/>
              </w:rPr>
              <w:t>1,464</w:t>
            </w:r>
          </w:p>
        </w:tc>
      </w:tr>
      <w:tr>
        <w:trPr>
          <w:trHeight w:val="162"/>
        </w:trPr>
        <w:tc>
          <w:tcPr>
            <w:tcW w:w="6200" w:type="dxa"/>
            <w:vAlign w:val="bottom"/>
          </w:tcPr>
          <w:p>
            <w:pPr>
              <w:ind w:left="140"/>
              <w:spacing w:after="0"/>
              <w:rPr>
                <w:sz w:val="20"/>
                <w:szCs w:val="20"/>
                <w:color w:val="auto"/>
              </w:rPr>
            </w:pPr>
            <w:r>
              <w:rPr>
                <w:rFonts w:ascii="Arial" w:cs="Arial" w:eastAsia="Arial" w:hAnsi="Arial"/>
                <w:sz w:val="14"/>
                <w:szCs w:val="14"/>
                <w:color w:val="auto"/>
              </w:rPr>
              <w:t>Sterling</w:t>
            </w:r>
          </w:p>
        </w:tc>
        <w:tc>
          <w:tcPr>
            <w:tcW w:w="1240" w:type="dxa"/>
            <w:vAlign w:val="bottom"/>
            <w:shd w:val="clear" w:color="auto" w:fill="D8D8D8"/>
          </w:tcPr>
          <w:p>
            <w:pPr>
              <w:jc w:val="right"/>
              <w:ind w:right="251"/>
              <w:spacing w:after="0"/>
              <w:rPr>
                <w:sz w:val="20"/>
                <w:szCs w:val="20"/>
                <w:color w:val="auto"/>
              </w:rPr>
            </w:pPr>
            <w:r>
              <w:rPr>
                <w:rFonts w:ascii="Arial" w:cs="Arial" w:eastAsia="Arial" w:hAnsi="Arial"/>
                <w:sz w:val="14"/>
                <w:szCs w:val="14"/>
                <w:color w:val="auto"/>
              </w:rPr>
              <w:t>(103)</w:t>
            </w:r>
          </w:p>
        </w:tc>
        <w:tc>
          <w:tcPr>
            <w:tcW w:w="1340" w:type="dxa"/>
            <w:vAlign w:val="bottom"/>
          </w:tcPr>
          <w:p>
            <w:pPr>
              <w:jc w:val="right"/>
              <w:spacing w:after="0"/>
              <w:rPr>
                <w:sz w:val="20"/>
                <w:szCs w:val="20"/>
                <w:color w:val="auto"/>
              </w:rPr>
            </w:pPr>
            <w:r>
              <w:rPr>
                <w:rFonts w:ascii="Arial" w:cs="Arial" w:eastAsia="Arial" w:hAnsi="Arial"/>
                <w:sz w:val="14"/>
                <w:szCs w:val="14"/>
                <w:color w:val="auto"/>
              </w:rPr>
              <w:t>(176)</w:t>
            </w:r>
          </w:p>
        </w:tc>
        <w:tc>
          <w:tcPr>
            <w:tcW w:w="540" w:type="dxa"/>
            <w:vAlign w:val="bottom"/>
          </w:tcPr>
          <w:p>
            <w:pPr>
              <w:spacing w:after="0"/>
              <w:rPr>
                <w:sz w:val="14"/>
                <w:szCs w:val="14"/>
                <w:color w:val="auto"/>
              </w:rPr>
            </w:pPr>
          </w:p>
        </w:tc>
        <w:tc>
          <w:tcPr>
            <w:tcW w:w="1040" w:type="dxa"/>
            <w:vAlign w:val="bottom"/>
            <w:shd w:val="clear" w:color="auto" w:fill="D8D8D8"/>
          </w:tcPr>
          <w:p>
            <w:pPr>
              <w:jc w:val="right"/>
              <w:ind w:right="231"/>
              <w:spacing w:after="0"/>
              <w:rPr>
                <w:sz w:val="20"/>
                <w:szCs w:val="20"/>
                <w:color w:val="auto"/>
              </w:rPr>
            </w:pPr>
            <w:r>
              <w:rPr>
                <w:rFonts w:ascii="Arial" w:cs="Arial" w:eastAsia="Arial" w:hAnsi="Arial"/>
                <w:sz w:val="14"/>
                <w:szCs w:val="14"/>
                <w:color w:val="auto"/>
              </w:rPr>
              <w:t>887</w:t>
            </w:r>
          </w:p>
        </w:tc>
        <w:tc>
          <w:tcPr>
            <w:tcW w:w="1060" w:type="dxa"/>
            <w:vAlign w:val="bottom"/>
          </w:tcPr>
          <w:p>
            <w:pPr>
              <w:jc w:val="right"/>
              <w:ind w:right="249"/>
              <w:spacing w:after="0"/>
              <w:rPr>
                <w:sz w:val="20"/>
                <w:szCs w:val="20"/>
                <w:color w:val="auto"/>
              </w:rPr>
            </w:pPr>
            <w:r>
              <w:rPr>
                <w:rFonts w:ascii="Arial" w:cs="Arial" w:eastAsia="Arial" w:hAnsi="Arial"/>
                <w:sz w:val="14"/>
                <w:szCs w:val="14"/>
                <w:color w:val="auto"/>
              </w:rPr>
              <w:t>1,023</w:t>
            </w:r>
          </w:p>
        </w:tc>
      </w:tr>
      <w:tr>
        <w:trPr>
          <w:trHeight w:val="157"/>
        </w:trPr>
        <w:tc>
          <w:tcPr>
            <w:tcW w:w="6200" w:type="dxa"/>
            <w:vAlign w:val="bottom"/>
            <w:tcBorders>
              <w:bottom w:val="single" w:sz="8" w:color="auto"/>
            </w:tcBorders>
          </w:tcPr>
          <w:p>
            <w:pPr>
              <w:ind w:left="140"/>
              <w:spacing w:after="0" w:line="157" w:lineRule="exact"/>
              <w:rPr>
                <w:sz w:val="20"/>
                <w:szCs w:val="20"/>
                <w:color w:val="auto"/>
              </w:rPr>
            </w:pPr>
            <w:r>
              <w:rPr>
                <w:rFonts w:ascii="Arial" w:cs="Arial" w:eastAsia="Arial" w:hAnsi="Arial"/>
                <w:sz w:val="14"/>
                <w:szCs w:val="14"/>
                <w:color w:val="auto"/>
              </w:rPr>
              <w:t>Malaysian ringgit</w:t>
            </w:r>
          </w:p>
        </w:tc>
        <w:tc>
          <w:tcPr>
            <w:tcW w:w="1240" w:type="dxa"/>
            <w:vAlign w:val="bottom"/>
            <w:tcBorders>
              <w:bottom w:val="single" w:sz="8" w:color="auto"/>
            </w:tcBorders>
            <w:shd w:val="clear" w:color="auto" w:fill="D8D8D8"/>
          </w:tcPr>
          <w:p>
            <w:pPr>
              <w:jc w:val="right"/>
              <w:ind w:right="251"/>
              <w:spacing w:after="0" w:line="157" w:lineRule="exact"/>
              <w:rPr>
                <w:sz w:val="20"/>
                <w:szCs w:val="20"/>
                <w:color w:val="auto"/>
              </w:rPr>
            </w:pPr>
            <w:r>
              <w:rPr>
                <w:rFonts w:ascii="Arial" w:cs="Arial" w:eastAsia="Arial" w:hAnsi="Arial"/>
                <w:sz w:val="14"/>
                <w:szCs w:val="14"/>
                <w:color w:val="auto"/>
              </w:rPr>
              <w:t>288</w:t>
            </w:r>
          </w:p>
        </w:tc>
        <w:tc>
          <w:tcPr>
            <w:tcW w:w="1340" w:type="dxa"/>
            <w:vAlign w:val="bottom"/>
            <w:tcBorders>
              <w:bottom w:val="single" w:sz="8" w:color="auto"/>
            </w:tcBorders>
          </w:tcPr>
          <w:p>
            <w:pPr>
              <w:jc w:val="right"/>
              <w:ind w:right="30"/>
              <w:spacing w:after="0" w:line="157" w:lineRule="exact"/>
              <w:rPr>
                <w:sz w:val="20"/>
                <w:szCs w:val="20"/>
                <w:color w:val="auto"/>
              </w:rPr>
            </w:pPr>
            <w:r>
              <w:rPr>
                <w:rFonts w:ascii="Arial" w:cs="Arial" w:eastAsia="Arial" w:hAnsi="Arial"/>
                <w:sz w:val="14"/>
                <w:szCs w:val="14"/>
                <w:color w:val="auto"/>
              </w:rPr>
              <w:t>225</w:t>
            </w:r>
          </w:p>
        </w:tc>
        <w:tc>
          <w:tcPr>
            <w:tcW w:w="54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shd w:val="clear" w:color="auto" w:fill="D8D8D8"/>
          </w:tcPr>
          <w:p>
            <w:pPr>
              <w:jc w:val="right"/>
              <w:ind w:right="231"/>
              <w:spacing w:after="0" w:line="157" w:lineRule="exact"/>
              <w:rPr>
                <w:sz w:val="20"/>
                <w:szCs w:val="20"/>
                <w:color w:val="auto"/>
              </w:rPr>
            </w:pPr>
            <w:r>
              <w:rPr>
                <w:rFonts w:ascii="Arial" w:cs="Arial" w:eastAsia="Arial" w:hAnsi="Arial"/>
                <w:sz w:val="14"/>
                <w:szCs w:val="14"/>
                <w:color w:val="auto"/>
              </w:rPr>
              <w:t>263</w:t>
            </w:r>
          </w:p>
        </w:tc>
        <w:tc>
          <w:tcPr>
            <w:tcW w:w="1060" w:type="dxa"/>
            <w:vAlign w:val="bottom"/>
            <w:tcBorders>
              <w:bottom w:val="single" w:sz="8" w:color="auto"/>
            </w:tcBorders>
          </w:tcPr>
          <w:p>
            <w:pPr>
              <w:jc w:val="right"/>
              <w:ind w:right="249"/>
              <w:spacing w:after="0" w:line="157" w:lineRule="exact"/>
              <w:rPr>
                <w:sz w:val="20"/>
                <w:szCs w:val="20"/>
                <w:color w:val="auto"/>
              </w:rPr>
            </w:pPr>
            <w:r>
              <w:rPr>
                <w:rFonts w:ascii="Arial" w:cs="Arial" w:eastAsia="Arial" w:hAnsi="Arial"/>
                <w:sz w:val="14"/>
                <w:szCs w:val="14"/>
                <w:color w:val="auto"/>
              </w:rPr>
              <w:t>263</w:t>
            </w:r>
          </w:p>
        </w:tc>
      </w:tr>
    </w:tbl>
    <w:p>
      <w:pPr>
        <w:spacing w:after="0" w:line="194" w:lineRule="exact"/>
        <w:rPr>
          <w:sz w:val="20"/>
          <w:szCs w:val="20"/>
          <w:color w:val="auto"/>
        </w:rPr>
      </w:pPr>
    </w:p>
    <w:p>
      <w:pPr>
        <w:jc w:val="both"/>
        <w:ind w:right="220"/>
        <w:spacing w:after="0" w:line="250" w:lineRule="auto"/>
        <w:rPr>
          <w:sz w:val="20"/>
          <w:szCs w:val="20"/>
          <w:color w:val="auto"/>
        </w:rPr>
      </w:pPr>
      <w:r>
        <w:rPr>
          <w:rFonts w:ascii="Arial" w:cs="Arial" w:eastAsia="Arial" w:hAnsi="Arial"/>
          <w:sz w:val="14"/>
          <w:szCs w:val="14"/>
          <w:color w:val="auto"/>
        </w:rPr>
        <w:t>The above sensitivity information is calculated by reference to carrying amounts of assets and liabilities at December 31 only. The pre-tax effect on income arises in connection with monetary balances denominated in currencies other than an entity’s functional currency; the pre-tax effect on net assets arises principally from the translation of assets and liabilities of entities that are not dollar-functional.</w:t>
      </w:r>
    </w:p>
    <w:p>
      <w:pPr>
        <w:spacing w:after="0" w:line="159" w:lineRule="exact"/>
        <w:rPr>
          <w:sz w:val="20"/>
          <w:szCs w:val="20"/>
          <w:color w:val="auto"/>
        </w:rPr>
      </w:pPr>
    </w:p>
    <w:p>
      <w:pPr>
        <w:spacing w:after="0"/>
        <w:rPr>
          <w:sz w:val="20"/>
          <w:szCs w:val="20"/>
          <w:color w:val="auto"/>
        </w:rPr>
      </w:pPr>
      <w:r>
        <w:rPr>
          <w:rFonts w:ascii="Arial" w:cs="Arial" w:eastAsia="Arial" w:hAnsi="Arial"/>
          <w:sz w:val="14"/>
          <w:szCs w:val="14"/>
          <w:color w:val="auto"/>
        </w:rPr>
        <w:t>Foreign exchange gains and losses arising from foreign currency transactions included in income are presented in Note 5.</w:t>
      </w:r>
    </w:p>
    <w:p>
      <w:pPr>
        <w:sectPr>
          <w:pgSz w:w="11900" w:h="16838" w:orient="portrait"/>
          <w:cols w:equalWidth="0" w:num="1">
            <w:col w:w="11420"/>
          </w:cols>
          <w:pgMar w:left="240" w:top="459" w:right="239" w:bottom="1440" w:gutter="0" w:footer="0" w:header="0"/>
        </w:sectPr>
      </w:pPr>
    </w:p>
    <w:bookmarkStart w:id="134" w:name="page135"/>
    <w:bookmarkEnd w:id="1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3555365</wp:posOffset>
            </wp:positionH>
            <wp:positionV relativeFrom="paragraph">
              <wp:posOffset>300355</wp:posOffset>
            </wp:positionV>
            <wp:extent cx="3696335" cy="46291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3696335" cy="462915"/>
                    </a:xfrm>
                    <a:prstGeom prst="rect">
                      <a:avLst/>
                    </a:prstGeom>
                    <a:noFill/>
                  </pic:spPr>
                </pic:pic>
              </a:graphicData>
            </a:graphic>
          </wp:anchor>
        </w:drawing>
      </w:r>
    </w:p>
    <w:p>
      <w:pPr>
        <w:spacing w:after="0" w:line="200" w:lineRule="exact"/>
        <w:rPr>
          <w:sz w:val="20"/>
          <w:szCs w:val="20"/>
          <w:color w:val="auto"/>
        </w:rPr>
      </w:pPr>
    </w:p>
    <w:p>
      <w:pPr>
        <w:spacing w:after="0" w:line="253" w:lineRule="exact"/>
        <w:rPr>
          <w:sz w:val="20"/>
          <w:szCs w:val="20"/>
          <w:color w:val="auto"/>
        </w:rPr>
      </w:pPr>
    </w:p>
    <w:tbl>
      <w:tblPr>
        <w:tblLayout w:type="fixed"/>
        <w:tblInd w:w="5600" w:type="dxa"/>
        <w:tblCellMar>
          <w:top w:w="0" w:type="dxa"/>
          <w:left w:w="0" w:type="dxa"/>
          <w:bottom w:w="0" w:type="dxa"/>
          <w:right w:w="0" w:type="dxa"/>
        </w:tblCellMar>
      </w:tblPr>
      <w:tr>
        <w:trPr>
          <w:trHeight w:val="419"/>
        </w:trPr>
        <w:tc>
          <w:tcPr>
            <w:tcW w:w="4440" w:type="dxa"/>
            <w:vAlign w:val="bottom"/>
            <w:shd w:val="clear" w:color="auto" w:fill="FF8B00"/>
          </w:tcPr>
          <w:p>
            <w:pPr>
              <w:spacing w:after="0"/>
              <w:rPr>
                <w:sz w:val="24"/>
                <w:szCs w:val="24"/>
                <w:color w:val="auto"/>
              </w:rPr>
            </w:pPr>
          </w:p>
        </w:tc>
        <w:tc>
          <w:tcPr>
            <w:tcW w:w="1380" w:type="dxa"/>
            <w:vAlign w:val="bottom"/>
            <w:shd w:val="clear" w:color="auto" w:fill="FF8B00"/>
          </w:tcPr>
          <w:p>
            <w:pPr>
              <w:spacing w:after="0"/>
              <w:rPr>
                <w:sz w:val="24"/>
                <w:szCs w:val="24"/>
                <w:color w:val="auto"/>
              </w:rPr>
            </w:pPr>
          </w:p>
        </w:tc>
      </w:tr>
      <w:tr>
        <w:trPr>
          <w:trHeight w:val="152"/>
        </w:trPr>
        <w:tc>
          <w:tcPr>
            <w:tcW w:w="4440" w:type="dxa"/>
            <w:vAlign w:val="bottom"/>
          </w:tcPr>
          <w:p>
            <w:pPr>
              <w:ind w:left="880"/>
              <w:spacing w:after="0"/>
              <w:rPr>
                <w:sz w:val="20"/>
                <w:szCs w:val="20"/>
                <w:color w:val="auto"/>
              </w:rPr>
            </w:pPr>
            <w:r>
              <w:rPr>
                <w:rFonts w:ascii="Arial" w:cs="Arial" w:eastAsia="Arial" w:hAnsi="Arial"/>
                <w:sz w:val="13"/>
                <w:szCs w:val="13"/>
                <w:color w:val="333333"/>
              </w:rPr>
              <w:t>FINANCIAL STATEMENTS AND SUPPLEMENTS</w:t>
            </w:r>
          </w:p>
        </w:tc>
        <w:tc>
          <w:tcPr>
            <w:tcW w:w="1380" w:type="dxa"/>
            <w:vAlign w:val="bottom"/>
          </w:tcPr>
          <w:p>
            <w:pPr>
              <w:jc w:val="right"/>
              <w:ind w:right="366"/>
              <w:spacing w:after="0"/>
              <w:rPr>
                <w:sz w:val="20"/>
                <w:szCs w:val="20"/>
                <w:color w:val="auto"/>
              </w:rPr>
            </w:pPr>
            <w:r>
              <w:rPr>
                <w:rFonts w:ascii="Arial" w:cs="Arial" w:eastAsia="Arial" w:hAnsi="Arial"/>
                <w:sz w:val="11"/>
                <w:szCs w:val="11"/>
                <w:b w:val="1"/>
                <w:bCs w:val="1"/>
                <w:color w:val="333333"/>
              </w:rPr>
              <w:t>133</w:t>
            </w:r>
          </w:p>
        </w:tc>
      </w:tr>
    </w:tbl>
    <w:p>
      <w:pPr>
        <w:spacing w:after="0" w:line="155" w:lineRule="exact"/>
        <w:rPr>
          <w:sz w:val="20"/>
          <w:szCs w:val="20"/>
          <w:color w:val="auto"/>
        </w:rPr>
      </w:pPr>
    </w:p>
    <w:p>
      <w:pPr>
        <w:spacing w:after="0"/>
        <w:tabs>
          <w:tab w:leader="none" w:pos="6460" w:val="left"/>
        </w:tabs>
        <w:rPr>
          <w:sz w:val="20"/>
          <w:szCs w:val="20"/>
          <w:color w:val="auto"/>
        </w:rPr>
      </w:pPr>
      <w:r>
        <w:rPr>
          <w:rFonts w:ascii="Arial" w:cs="Arial" w:eastAsia="Arial" w:hAnsi="Arial"/>
          <w:sz w:val="11"/>
          <w:szCs w:val="11"/>
          <w:color w:val="auto"/>
        </w:rPr>
        <w:t>SHELL ANNUAL REPORT AND FORM 20-F 2014</w:t>
      </w:r>
      <w:r>
        <w:rPr>
          <w:sz w:val="20"/>
          <w:szCs w:val="20"/>
          <w:color w:val="auto"/>
        </w:rPr>
        <w:tab/>
      </w:r>
      <w:r>
        <w:rPr>
          <w:rFonts w:ascii="Arial" w:cs="Arial" w:eastAsia="Arial" w:hAnsi="Arial"/>
          <w:sz w:val="10"/>
          <w:szCs w:val="10"/>
          <w:color w:val="auto"/>
        </w:rPr>
        <w:t>CONSOLIDATED FINANCIAL STATEMENTS</w:t>
      </w:r>
    </w:p>
    <w:p>
      <w:pPr>
        <w:spacing w:after="0" w:line="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Price risk</w:t>
      </w:r>
    </w:p>
    <w:p>
      <w:pPr>
        <w:spacing w:after="0" w:line="1" w:lineRule="exact"/>
        <w:rPr>
          <w:sz w:val="20"/>
          <w:szCs w:val="20"/>
          <w:color w:val="auto"/>
        </w:rPr>
      </w:pPr>
    </w:p>
    <w:p>
      <w:pPr>
        <w:ind w:right="220"/>
        <w:spacing w:after="0" w:line="250" w:lineRule="auto"/>
        <w:rPr>
          <w:sz w:val="20"/>
          <w:szCs w:val="20"/>
          <w:color w:val="auto"/>
        </w:rPr>
      </w:pPr>
      <w:r>
        <w:rPr>
          <w:rFonts w:ascii="Arial" w:cs="Arial" w:eastAsia="Arial" w:hAnsi="Arial"/>
          <w:sz w:val="14"/>
          <w:szCs w:val="14"/>
          <w:color w:val="auto"/>
        </w:rPr>
        <w:t>Certain subsidiaries have a mandate to trade crude oil, natural gas, LNG, refined products, chemical feedstocks, power and environmental products, and to use commodity derivatives (forwards, futures, swaps and options) as a means of managing price and timing risks arising from this trading. In effecting these transactions, the entities concerned operate within procedures and policies designed to ensure that risks, including those relating to the default of counterparties, are managed within authorised limits.</w:t>
      </w:r>
    </w:p>
    <w:p>
      <w:pPr>
        <w:spacing w:after="0" w:line="172" w:lineRule="exact"/>
        <w:rPr>
          <w:sz w:val="20"/>
          <w:szCs w:val="20"/>
          <w:color w:val="auto"/>
        </w:rPr>
      </w:pPr>
    </w:p>
    <w:p>
      <w:pPr>
        <w:ind w:right="240"/>
        <w:spacing w:after="0" w:line="247" w:lineRule="auto"/>
        <w:rPr>
          <w:sz w:val="20"/>
          <w:szCs w:val="20"/>
          <w:color w:val="auto"/>
        </w:rPr>
      </w:pPr>
      <w:r>
        <w:rPr>
          <w:rFonts w:ascii="Arial" w:cs="Arial" w:eastAsia="Arial" w:hAnsi="Arial"/>
          <w:sz w:val="14"/>
          <w:szCs w:val="14"/>
          <w:color w:val="auto"/>
        </w:rPr>
        <w:t>Risk management systems are used for recording and valuing instruments. Price risk exposure is monitored, and the acceptable level of exposure determined, by a market risk committee. There is regular reviewing of mandated trading limits by senior management, daily monitoring of market risk exposure using value-at-risk (VAR) techniques, daily monitoring of trading positions against limits, marking-to-fair value of trading exposures with a department independent of traders reviewing the market values applied. Although trading losses can and do occur, the nature of the trading portfolio and its management are considered adequate mitigants against the risk of significant losses.</w:t>
      </w:r>
    </w:p>
    <w:p>
      <w:pPr>
        <w:spacing w:after="0" w:line="161" w:lineRule="exact"/>
        <w:rPr>
          <w:sz w:val="20"/>
          <w:szCs w:val="20"/>
          <w:color w:val="auto"/>
        </w:rPr>
      </w:pPr>
    </w:p>
    <w:p>
      <w:pPr>
        <w:spacing w:after="0" w:line="244" w:lineRule="auto"/>
        <w:rPr>
          <w:sz w:val="20"/>
          <w:szCs w:val="20"/>
          <w:color w:val="auto"/>
        </w:rPr>
      </w:pPr>
      <w:r>
        <w:rPr>
          <w:rFonts w:ascii="Arial" w:cs="Arial" w:eastAsia="Arial" w:hAnsi="Arial"/>
          <w:sz w:val="14"/>
          <w:szCs w:val="14"/>
          <w:color w:val="auto"/>
        </w:rPr>
        <w:t>VAR techniques based on variance/covariance or Monte Carlo simulation models are used to make a statistical assessment of the market risk arising from possible future changes in market values over a 24-hour period and within a 95% confidence level. The calculation of the range of potential changes in fair value takes into account positions, the history of price movements and the correlation of these price movements. Each of the models is regularly back-tested against actual fair value movements to ensure model integrity is maintained. With effect from 2014, the VAR calculation for North America gas and power has been updated to better reflect the exposure to market risks; 2013 data is presented on a comparable basis. All VAR ranges and year-end positions in respect of commodities traded in active markets, which are presented in the table below, are calculated on a diversified basis in order to reflect the effect of offsetting risk within combined portfolios.</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4220" w:type="dxa"/>
            <w:vAlign w:val="bottom"/>
            <w:shd w:val="clear" w:color="auto" w:fill="333333"/>
          </w:tcPr>
          <w:p>
            <w:pPr>
              <w:ind w:left="80"/>
              <w:spacing w:after="0"/>
              <w:rPr>
                <w:sz w:val="20"/>
                <w:szCs w:val="20"/>
                <w:color w:val="auto"/>
              </w:rPr>
            </w:pPr>
            <w:r>
              <w:rPr>
                <w:rFonts w:ascii="Arial" w:cs="Arial" w:eastAsia="Arial" w:hAnsi="Arial"/>
                <w:sz w:val="15"/>
                <w:szCs w:val="15"/>
                <w:b w:val="1"/>
                <w:bCs w:val="1"/>
                <w:color w:val="FFFFFF"/>
              </w:rPr>
              <w:t>VALUE-AT-RISK (PRE-TAX)</w:t>
            </w:r>
          </w:p>
        </w:tc>
        <w:tc>
          <w:tcPr>
            <w:tcW w:w="740" w:type="dxa"/>
            <w:vAlign w:val="bottom"/>
            <w:shd w:val="clear" w:color="auto" w:fill="333333"/>
          </w:tcPr>
          <w:p>
            <w:pPr>
              <w:spacing w:after="0"/>
              <w:rPr>
                <w:sz w:val="14"/>
                <w:szCs w:val="14"/>
                <w:color w:val="auto"/>
              </w:rPr>
            </w:pPr>
          </w:p>
        </w:tc>
        <w:tc>
          <w:tcPr>
            <w:tcW w:w="900" w:type="dxa"/>
            <w:vAlign w:val="bottom"/>
            <w:shd w:val="clear" w:color="auto" w:fill="333333"/>
          </w:tcPr>
          <w:p>
            <w:pPr>
              <w:spacing w:after="0"/>
              <w:rPr>
                <w:sz w:val="14"/>
                <w:szCs w:val="14"/>
                <w:color w:val="auto"/>
              </w:rPr>
            </w:pPr>
          </w:p>
        </w:tc>
        <w:tc>
          <w:tcPr>
            <w:tcW w:w="860" w:type="dxa"/>
            <w:vAlign w:val="bottom"/>
            <w:shd w:val="clear" w:color="auto" w:fill="333333"/>
          </w:tcPr>
          <w:p>
            <w:pPr>
              <w:spacing w:after="0"/>
              <w:rPr>
                <w:sz w:val="14"/>
                <w:szCs w:val="14"/>
                <w:color w:val="auto"/>
              </w:rPr>
            </w:pPr>
          </w:p>
        </w:tc>
        <w:tc>
          <w:tcPr>
            <w:tcW w:w="860" w:type="dxa"/>
            <w:vAlign w:val="bottom"/>
            <w:shd w:val="clear" w:color="auto" w:fill="333333"/>
          </w:tcPr>
          <w:p>
            <w:pPr>
              <w:spacing w:after="0"/>
              <w:rPr>
                <w:sz w:val="14"/>
                <w:szCs w:val="14"/>
                <w:color w:val="auto"/>
              </w:rPr>
            </w:pPr>
          </w:p>
        </w:tc>
        <w:tc>
          <w:tcPr>
            <w:tcW w:w="380" w:type="dxa"/>
            <w:vAlign w:val="bottom"/>
            <w:shd w:val="clear" w:color="auto" w:fill="333333"/>
          </w:tcPr>
          <w:p>
            <w:pPr>
              <w:spacing w:after="0"/>
              <w:rPr>
                <w:sz w:val="14"/>
                <w:szCs w:val="14"/>
                <w:color w:val="auto"/>
              </w:rPr>
            </w:pPr>
          </w:p>
        </w:tc>
        <w:tc>
          <w:tcPr>
            <w:tcW w:w="920" w:type="dxa"/>
            <w:vAlign w:val="bottom"/>
            <w:shd w:val="clear" w:color="auto" w:fill="333333"/>
          </w:tcPr>
          <w:p>
            <w:pPr>
              <w:spacing w:after="0"/>
              <w:rPr>
                <w:sz w:val="14"/>
                <w:szCs w:val="14"/>
                <w:color w:val="auto"/>
              </w:rPr>
            </w:pPr>
          </w:p>
        </w:tc>
        <w:tc>
          <w:tcPr>
            <w:tcW w:w="760" w:type="dxa"/>
            <w:vAlign w:val="bottom"/>
            <w:shd w:val="clear" w:color="auto" w:fill="333333"/>
          </w:tcPr>
          <w:p>
            <w:pPr>
              <w:spacing w:after="0"/>
              <w:rPr>
                <w:sz w:val="14"/>
                <w:szCs w:val="14"/>
                <w:color w:val="auto"/>
              </w:rPr>
            </w:pPr>
          </w:p>
        </w:tc>
        <w:tc>
          <w:tcPr>
            <w:tcW w:w="840" w:type="dxa"/>
            <w:vAlign w:val="bottom"/>
            <w:shd w:val="clear" w:color="auto" w:fill="333333"/>
          </w:tcPr>
          <w:p>
            <w:pPr>
              <w:spacing w:after="0"/>
              <w:rPr>
                <w:sz w:val="14"/>
                <w:szCs w:val="14"/>
                <w:color w:val="auto"/>
              </w:rPr>
            </w:pPr>
          </w:p>
        </w:tc>
        <w:tc>
          <w:tcPr>
            <w:tcW w:w="940" w:type="dxa"/>
            <w:vAlign w:val="bottom"/>
            <w:shd w:val="clear" w:color="auto" w:fill="333333"/>
          </w:tcPr>
          <w:p>
            <w:pPr>
              <w:jc w:val="right"/>
              <w:ind w:right="30"/>
              <w:spacing w:after="0"/>
              <w:rPr>
                <w:sz w:val="20"/>
                <w:szCs w:val="20"/>
                <w:color w:val="auto"/>
              </w:rPr>
            </w:pPr>
            <w:r>
              <w:rPr>
                <w:rFonts w:ascii="Arial" w:cs="Arial" w:eastAsia="Arial" w:hAnsi="Arial"/>
                <w:sz w:val="15"/>
                <w:szCs w:val="15"/>
                <w:color w:val="FFFFFF"/>
              </w:rPr>
              <w:t>$ MILLION</w:t>
            </w:r>
          </w:p>
        </w:tc>
      </w:tr>
      <w:tr>
        <w:trPr>
          <w:trHeight w:val="135"/>
        </w:trPr>
        <w:tc>
          <w:tcPr>
            <w:tcW w:w="4220" w:type="dxa"/>
            <w:vAlign w:val="bottom"/>
          </w:tcPr>
          <w:p>
            <w:pPr>
              <w:spacing w:after="0"/>
              <w:rPr>
                <w:sz w:val="11"/>
                <w:szCs w:val="11"/>
                <w:color w:val="auto"/>
              </w:rPr>
            </w:pPr>
          </w:p>
        </w:tc>
        <w:tc>
          <w:tcPr>
            <w:tcW w:w="740" w:type="dxa"/>
            <w:vAlign w:val="bottom"/>
            <w:tcBorders>
              <w:bottom w:val="single" w:sz="8" w:color="auto"/>
            </w:tcBorders>
            <w:shd w:val="clear" w:color="auto" w:fill="D8D8D8"/>
          </w:tcPr>
          <w:p>
            <w:pPr>
              <w:spacing w:after="0"/>
              <w:rPr>
                <w:sz w:val="11"/>
                <w:szCs w:val="11"/>
                <w:color w:val="auto"/>
              </w:rPr>
            </w:pPr>
          </w:p>
        </w:tc>
        <w:tc>
          <w:tcPr>
            <w:tcW w:w="900" w:type="dxa"/>
            <w:vAlign w:val="bottom"/>
            <w:tcBorders>
              <w:bottom w:val="single" w:sz="8" w:color="auto"/>
            </w:tcBorders>
            <w:shd w:val="clear" w:color="auto" w:fill="D8D8D8"/>
          </w:tcPr>
          <w:p>
            <w:pPr>
              <w:spacing w:after="0"/>
              <w:rPr>
                <w:sz w:val="11"/>
                <w:szCs w:val="11"/>
                <w:color w:val="auto"/>
              </w:rPr>
            </w:pPr>
          </w:p>
        </w:tc>
        <w:tc>
          <w:tcPr>
            <w:tcW w:w="860" w:type="dxa"/>
            <w:vAlign w:val="bottom"/>
            <w:tcBorders>
              <w:bottom w:val="single" w:sz="8" w:color="auto"/>
            </w:tcBorders>
            <w:shd w:val="clear" w:color="auto" w:fill="D8D8D8"/>
          </w:tcPr>
          <w:p>
            <w:pPr>
              <w:spacing w:after="0"/>
              <w:rPr>
                <w:sz w:val="11"/>
                <w:szCs w:val="11"/>
                <w:color w:val="auto"/>
              </w:rPr>
            </w:pPr>
          </w:p>
        </w:tc>
        <w:tc>
          <w:tcPr>
            <w:tcW w:w="860" w:type="dxa"/>
            <w:vAlign w:val="bottom"/>
            <w:tcBorders>
              <w:bottom w:val="single" w:sz="8" w:color="auto"/>
            </w:tcBorders>
            <w:shd w:val="clear" w:color="auto" w:fill="D8D8D8"/>
          </w:tcPr>
          <w:p>
            <w:pPr>
              <w:jc w:val="right"/>
              <w:ind w:right="152"/>
              <w:spacing w:after="0" w:line="135" w:lineRule="exact"/>
              <w:rPr>
                <w:sz w:val="20"/>
                <w:szCs w:val="20"/>
                <w:color w:val="auto"/>
              </w:rPr>
            </w:pPr>
            <w:r>
              <w:rPr>
                <w:rFonts w:ascii="Arial" w:cs="Arial" w:eastAsia="Arial" w:hAnsi="Arial"/>
                <w:sz w:val="13"/>
                <w:szCs w:val="13"/>
                <w:color w:val="auto"/>
              </w:rPr>
              <w:t>2014</w:t>
            </w:r>
          </w:p>
        </w:tc>
        <w:tc>
          <w:tcPr>
            <w:tcW w:w="380" w:type="dxa"/>
            <w:vAlign w:val="bottom"/>
          </w:tcPr>
          <w:p>
            <w:pPr>
              <w:spacing w:after="0"/>
              <w:rPr>
                <w:sz w:val="11"/>
                <w:szCs w:val="11"/>
                <w:color w:val="auto"/>
              </w:rPr>
            </w:pPr>
          </w:p>
        </w:tc>
        <w:tc>
          <w:tcPr>
            <w:tcW w:w="92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tcPr>
          <w:p>
            <w:pPr>
              <w:jc w:val="right"/>
              <w:ind w:right="150"/>
              <w:spacing w:after="0" w:line="135" w:lineRule="exact"/>
              <w:rPr>
                <w:sz w:val="20"/>
                <w:szCs w:val="20"/>
                <w:color w:val="auto"/>
              </w:rPr>
            </w:pPr>
            <w:r>
              <w:rPr>
                <w:rFonts w:ascii="Arial" w:cs="Arial" w:eastAsia="Arial" w:hAnsi="Arial"/>
                <w:sz w:val="13"/>
                <w:szCs w:val="13"/>
                <w:color w:val="auto"/>
              </w:rPr>
              <w:t>2013</w:t>
            </w:r>
          </w:p>
        </w:tc>
      </w:tr>
      <w:tr>
        <w:trPr>
          <w:trHeight w:val="129"/>
        </w:trPr>
        <w:tc>
          <w:tcPr>
            <w:tcW w:w="422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shd w:val="clear" w:color="auto" w:fill="D8D8D8"/>
          </w:tcPr>
          <w:p>
            <w:pPr>
              <w:jc w:val="right"/>
              <w:ind w:right="10"/>
              <w:spacing w:after="0" w:line="129" w:lineRule="exact"/>
              <w:rPr>
                <w:sz w:val="20"/>
                <w:szCs w:val="20"/>
                <w:color w:val="auto"/>
              </w:rPr>
            </w:pPr>
            <w:r>
              <w:rPr>
                <w:rFonts w:ascii="Arial" w:cs="Arial" w:eastAsia="Arial" w:hAnsi="Arial"/>
                <w:sz w:val="13"/>
                <w:szCs w:val="13"/>
                <w:color w:val="auto"/>
              </w:rPr>
              <w:t>High</w:t>
            </w:r>
          </w:p>
        </w:tc>
        <w:tc>
          <w:tcPr>
            <w:tcW w:w="900" w:type="dxa"/>
            <w:vAlign w:val="bottom"/>
            <w:tcBorders>
              <w:bottom w:val="single" w:sz="8" w:color="auto"/>
            </w:tcBorders>
            <w:shd w:val="clear" w:color="auto" w:fill="D8D8D8"/>
          </w:tcPr>
          <w:p>
            <w:pPr>
              <w:jc w:val="right"/>
              <w:ind w:right="190"/>
              <w:spacing w:after="0" w:line="129" w:lineRule="exact"/>
              <w:rPr>
                <w:sz w:val="20"/>
                <w:szCs w:val="20"/>
                <w:color w:val="auto"/>
              </w:rPr>
            </w:pPr>
            <w:r>
              <w:rPr>
                <w:rFonts w:ascii="Arial" w:cs="Arial" w:eastAsia="Arial" w:hAnsi="Arial"/>
                <w:sz w:val="13"/>
                <w:szCs w:val="13"/>
                <w:color w:val="auto"/>
              </w:rPr>
              <w:t>Low</w:t>
            </w:r>
          </w:p>
        </w:tc>
        <w:tc>
          <w:tcPr>
            <w:tcW w:w="860" w:type="dxa"/>
            <w:vAlign w:val="bottom"/>
            <w:tcBorders>
              <w:bottom w:val="single" w:sz="8" w:color="auto"/>
            </w:tcBorders>
            <w:shd w:val="clear" w:color="auto" w:fill="D8D8D8"/>
          </w:tcPr>
          <w:p>
            <w:pPr>
              <w:jc w:val="right"/>
              <w:ind w:right="70"/>
              <w:spacing w:after="0" w:line="129" w:lineRule="exact"/>
              <w:rPr>
                <w:sz w:val="20"/>
                <w:szCs w:val="20"/>
                <w:color w:val="auto"/>
              </w:rPr>
            </w:pPr>
            <w:r>
              <w:rPr>
                <w:rFonts w:ascii="Arial" w:cs="Arial" w:eastAsia="Arial" w:hAnsi="Arial"/>
                <w:sz w:val="13"/>
                <w:szCs w:val="13"/>
                <w:color w:val="auto"/>
              </w:rPr>
              <w:t>Average</w:t>
            </w:r>
          </w:p>
        </w:tc>
        <w:tc>
          <w:tcPr>
            <w:tcW w:w="860" w:type="dxa"/>
            <w:vAlign w:val="bottom"/>
            <w:tcBorders>
              <w:bottom w:val="single" w:sz="8" w:color="auto"/>
            </w:tcBorders>
            <w:shd w:val="clear" w:color="auto" w:fill="D8D8D8"/>
          </w:tcPr>
          <w:p>
            <w:pPr>
              <w:jc w:val="right"/>
              <w:ind w:right="152"/>
              <w:spacing w:after="0" w:line="129" w:lineRule="exact"/>
              <w:rPr>
                <w:sz w:val="20"/>
                <w:szCs w:val="20"/>
                <w:color w:val="auto"/>
              </w:rPr>
            </w:pPr>
            <w:r>
              <w:rPr>
                <w:rFonts w:ascii="Arial" w:cs="Arial" w:eastAsia="Arial" w:hAnsi="Arial"/>
                <w:sz w:val="13"/>
                <w:szCs w:val="13"/>
                <w:color w:val="auto"/>
              </w:rPr>
              <w:t>Year-end</w:t>
            </w:r>
          </w:p>
        </w:tc>
        <w:tc>
          <w:tcPr>
            <w:tcW w:w="38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jc w:val="right"/>
              <w:ind w:right="177"/>
              <w:spacing w:after="0" w:line="129" w:lineRule="exact"/>
              <w:rPr>
                <w:sz w:val="20"/>
                <w:szCs w:val="20"/>
                <w:color w:val="auto"/>
              </w:rPr>
            </w:pPr>
            <w:r>
              <w:rPr>
                <w:rFonts w:ascii="Arial" w:cs="Arial" w:eastAsia="Arial" w:hAnsi="Arial"/>
                <w:sz w:val="13"/>
                <w:szCs w:val="13"/>
                <w:color w:val="auto"/>
              </w:rPr>
              <w:t>High</w:t>
            </w:r>
          </w:p>
        </w:tc>
        <w:tc>
          <w:tcPr>
            <w:tcW w:w="760" w:type="dxa"/>
            <w:vAlign w:val="bottom"/>
            <w:tcBorders>
              <w:bottom w:val="single" w:sz="8" w:color="auto"/>
            </w:tcBorders>
          </w:tcPr>
          <w:p>
            <w:pPr>
              <w:jc w:val="right"/>
              <w:ind w:right="210"/>
              <w:spacing w:after="0" w:line="129" w:lineRule="exact"/>
              <w:rPr>
                <w:sz w:val="20"/>
                <w:szCs w:val="20"/>
                <w:color w:val="auto"/>
              </w:rPr>
            </w:pPr>
            <w:r>
              <w:rPr>
                <w:rFonts w:ascii="Arial" w:cs="Arial" w:eastAsia="Arial" w:hAnsi="Arial"/>
                <w:sz w:val="13"/>
                <w:szCs w:val="13"/>
                <w:color w:val="auto"/>
              </w:rPr>
              <w:t>Low</w:t>
            </w:r>
          </w:p>
        </w:tc>
        <w:tc>
          <w:tcPr>
            <w:tcW w:w="840" w:type="dxa"/>
            <w:vAlign w:val="bottom"/>
            <w:tcBorders>
              <w:bottom w:val="single" w:sz="8" w:color="auto"/>
            </w:tcBorders>
          </w:tcPr>
          <w:p>
            <w:pPr>
              <w:jc w:val="right"/>
              <w:ind w:right="50"/>
              <w:spacing w:after="0" w:line="129" w:lineRule="exact"/>
              <w:rPr>
                <w:sz w:val="20"/>
                <w:szCs w:val="20"/>
                <w:color w:val="auto"/>
              </w:rPr>
            </w:pPr>
            <w:r>
              <w:rPr>
                <w:rFonts w:ascii="Arial" w:cs="Arial" w:eastAsia="Arial" w:hAnsi="Arial"/>
                <w:sz w:val="13"/>
                <w:szCs w:val="13"/>
                <w:color w:val="auto"/>
              </w:rPr>
              <w:t>Average</w:t>
            </w:r>
          </w:p>
        </w:tc>
        <w:tc>
          <w:tcPr>
            <w:tcW w:w="940" w:type="dxa"/>
            <w:vAlign w:val="bottom"/>
            <w:tcBorders>
              <w:bottom w:val="single" w:sz="8" w:color="auto"/>
            </w:tcBorders>
          </w:tcPr>
          <w:p>
            <w:pPr>
              <w:jc w:val="right"/>
              <w:ind w:right="150"/>
              <w:spacing w:after="0" w:line="129" w:lineRule="exact"/>
              <w:rPr>
                <w:sz w:val="20"/>
                <w:szCs w:val="20"/>
                <w:color w:val="auto"/>
              </w:rPr>
            </w:pPr>
            <w:r>
              <w:rPr>
                <w:rFonts w:ascii="Arial" w:cs="Arial" w:eastAsia="Arial" w:hAnsi="Arial"/>
                <w:sz w:val="13"/>
                <w:szCs w:val="13"/>
                <w:color w:val="auto"/>
              </w:rPr>
              <w:t>Year-end</w:t>
            </w:r>
          </w:p>
        </w:tc>
      </w:tr>
      <w:tr>
        <w:trPr>
          <w:trHeight w:val="156"/>
        </w:trPr>
        <w:tc>
          <w:tcPr>
            <w:tcW w:w="4220" w:type="dxa"/>
            <w:vAlign w:val="bottom"/>
          </w:tcPr>
          <w:p>
            <w:pPr>
              <w:spacing w:after="0" w:line="155" w:lineRule="exact"/>
              <w:rPr>
                <w:sz w:val="20"/>
                <w:szCs w:val="20"/>
                <w:color w:val="auto"/>
              </w:rPr>
            </w:pPr>
            <w:r>
              <w:rPr>
                <w:rFonts w:ascii="Arial" w:cs="Arial" w:eastAsia="Arial" w:hAnsi="Arial"/>
                <w:sz w:val="14"/>
                <w:szCs w:val="14"/>
                <w:color w:val="auto"/>
              </w:rPr>
              <w:t>Global oil</w:t>
            </w:r>
          </w:p>
        </w:tc>
        <w:tc>
          <w:tcPr>
            <w:tcW w:w="740" w:type="dxa"/>
            <w:vAlign w:val="bottom"/>
            <w:shd w:val="clear" w:color="auto" w:fill="D8D8D8"/>
          </w:tcPr>
          <w:p>
            <w:pPr>
              <w:jc w:val="right"/>
              <w:ind w:right="10"/>
              <w:spacing w:after="0" w:line="155" w:lineRule="exact"/>
              <w:rPr>
                <w:sz w:val="20"/>
                <w:szCs w:val="20"/>
                <w:color w:val="auto"/>
              </w:rPr>
            </w:pPr>
            <w:r>
              <w:rPr>
                <w:rFonts w:ascii="Arial" w:cs="Arial" w:eastAsia="Arial" w:hAnsi="Arial"/>
                <w:sz w:val="14"/>
                <w:szCs w:val="14"/>
                <w:color w:val="auto"/>
              </w:rPr>
              <w:t>23</w:t>
            </w:r>
          </w:p>
        </w:tc>
        <w:tc>
          <w:tcPr>
            <w:tcW w:w="900" w:type="dxa"/>
            <w:vAlign w:val="bottom"/>
            <w:shd w:val="clear" w:color="auto" w:fill="D8D8D8"/>
          </w:tcPr>
          <w:p>
            <w:pPr>
              <w:jc w:val="right"/>
              <w:ind w:right="190"/>
              <w:spacing w:after="0" w:line="155" w:lineRule="exact"/>
              <w:rPr>
                <w:sz w:val="20"/>
                <w:szCs w:val="20"/>
                <w:color w:val="auto"/>
              </w:rPr>
            </w:pPr>
            <w:r>
              <w:rPr>
                <w:rFonts w:ascii="Arial" w:cs="Arial" w:eastAsia="Arial" w:hAnsi="Arial"/>
                <w:sz w:val="14"/>
                <w:szCs w:val="14"/>
                <w:color w:val="auto"/>
              </w:rPr>
              <w:t>9</w:t>
            </w:r>
          </w:p>
        </w:tc>
        <w:tc>
          <w:tcPr>
            <w:tcW w:w="860" w:type="dxa"/>
            <w:vAlign w:val="bottom"/>
            <w:shd w:val="clear" w:color="auto" w:fill="D8D8D8"/>
          </w:tcPr>
          <w:p>
            <w:pPr>
              <w:jc w:val="right"/>
              <w:ind w:right="70"/>
              <w:spacing w:after="0" w:line="155" w:lineRule="exact"/>
              <w:rPr>
                <w:sz w:val="20"/>
                <w:szCs w:val="20"/>
                <w:color w:val="auto"/>
              </w:rPr>
            </w:pPr>
            <w:r>
              <w:rPr>
                <w:rFonts w:ascii="Arial" w:cs="Arial" w:eastAsia="Arial" w:hAnsi="Arial"/>
                <w:sz w:val="14"/>
                <w:szCs w:val="14"/>
                <w:color w:val="auto"/>
              </w:rPr>
              <w:t>15</w:t>
            </w:r>
          </w:p>
        </w:tc>
        <w:tc>
          <w:tcPr>
            <w:tcW w:w="860" w:type="dxa"/>
            <w:vAlign w:val="bottom"/>
            <w:shd w:val="clear" w:color="auto" w:fill="D8D8D8"/>
          </w:tcPr>
          <w:p>
            <w:pPr>
              <w:jc w:val="right"/>
              <w:ind w:right="152"/>
              <w:spacing w:after="0" w:line="155" w:lineRule="exact"/>
              <w:rPr>
                <w:sz w:val="20"/>
                <w:szCs w:val="20"/>
                <w:color w:val="auto"/>
              </w:rPr>
            </w:pPr>
            <w:r>
              <w:rPr>
                <w:rFonts w:ascii="Arial" w:cs="Arial" w:eastAsia="Arial" w:hAnsi="Arial"/>
                <w:sz w:val="14"/>
                <w:szCs w:val="14"/>
                <w:color w:val="auto"/>
              </w:rPr>
              <w:t>14</w:t>
            </w:r>
          </w:p>
        </w:tc>
        <w:tc>
          <w:tcPr>
            <w:tcW w:w="1300" w:type="dxa"/>
            <w:vAlign w:val="bottom"/>
            <w:gridSpan w:val="2"/>
          </w:tcPr>
          <w:p>
            <w:pPr>
              <w:jc w:val="right"/>
              <w:ind w:right="177"/>
              <w:spacing w:after="0" w:line="155" w:lineRule="exact"/>
              <w:rPr>
                <w:sz w:val="20"/>
                <w:szCs w:val="20"/>
                <w:color w:val="auto"/>
              </w:rPr>
            </w:pPr>
            <w:r>
              <w:rPr>
                <w:rFonts w:ascii="Arial" w:cs="Arial" w:eastAsia="Arial" w:hAnsi="Arial"/>
                <w:sz w:val="14"/>
                <w:szCs w:val="14"/>
                <w:color w:val="auto"/>
              </w:rPr>
              <w:t>29</w:t>
            </w:r>
          </w:p>
        </w:tc>
        <w:tc>
          <w:tcPr>
            <w:tcW w:w="760" w:type="dxa"/>
            <w:vAlign w:val="bottom"/>
          </w:tcPr>
          <w:p>
            <w:pPr>
              <w:jc w:val="right"/>
              <w:ind w:right="210"/>
              <w:spacing w:after="0" w:line="155" w:lineRule="exact"/>
              <w:rPr>
                <w:sz w:val="20"/>
                <w:szCs w:val="20"/>
                <w:color w:val="auto"/>
              </w:rPr>
            </w:pPr>
            <w:r>
              <w:rPr>
                <w:rFonts w:ascii="Arial" w:cs="Arial" w:eastAsia="Arial" w:hAnsi="Arial"/>
                <w:sz w:val="14"/>
                <w:szCs w:val="14"/>
                <w:color w:val="auto"/>
              </w:rPr>
              <w:t>10</w:t>
            </w:r>
          </w:p>
        </w:tc>
        <w:tc>
          <w:tcPr>
            <w:tcW w:w="840" w:type="dxa"/>
            <w:vAlign w:val="bottom"/>
          </w:tcPr>
          <w:p>
            <w:pPr>
              <w:jc w:val="right"/>
              <w:ind w:right="50"/>
              <w:spacing w:after="0" w:line="155" w:lineRule="exact"/>
              <w:rPr>
                <w:sz w:val="20"/>
                <w:szCs w:val="20"/>
                <w:color w:val="auto"/>
              </w:rPr>
            </w:pPr>
            <w:r>
              <w:rPr>
                <w:rFonts w:ascii="Arial" w:cs="Arial" w:eastAsia="Arial" w:hAnsi="Arial"/>
                <w:sz w:val="14"/>
                <w:szCs w:val="14"/>
                <w:color w:val="auto"/>
              </w:rPr>
              <w:t>16</w:t>
            </w:r>
          </w:p>
        </w:tc>
        <w:tc>
          <w:tcPr>
            <w:tcW w:w="940" w:type="dxa"/>
            <w:vAlign w:val="bottom"/>
          </w:tcPr>
          <w:p>
            <w:pPr>
              <w:jc w:val="right"/>
              <w:ind w:right="150"/>
              <w:spacing w:after="0" w:line="155" w:lineRule="exact"/>
              <w:rPr>
                <w:sz w:val="20"/>
                <w:szCs w:val="20"/>
                <w:color w:val="auto"/>
              </w:rPr>
            </w:pPr>
            <w:r>
              <w:rPr>
                <w:rFonts w:ascii="Arial" w:cs="Arial" w:eastAsia="Arial" w:hAnsi="Arial"/>
                <w:sz w:val="14"/>
                <w:szCs w:val="14"/>
                <w:color w:val="auto"/>
              </w:rPr>
              <w:t>16</w:t>
            </w:r>
          </w:p>
        </w:tc>
      </w:tr>
      <w:tr>
        <w:trPr>
          <w:trHeight w:val="162"/>
        </w:trPr>
        <w:tc>
          <w:tcPr>
            <w:tcW w:w="4220" w:type="dxa"/>
            <w:vAlign w:val="bottom"/>
          </w:tcPr>
          <w:p>
            <w:pPr>
              <w:spacing w:after="0"/>
              <w:rPr>
                <w:sz w:val="20"/>
                <w:szCs w:val="20"/>
                <w:color w:val="auto"/>
              </w:rPr>
            </w:pPr>
            <w:r>
              <w:rPr>
                <w:rFonts w:ascii="Arial" w:cs="Arial" w:eastAsia="Arial" w:hAnsi="Arial"/>
                <w:sz w:val="14"/>
                <w:szCs w:val="14"/>
                <w:color w:val="auto"/>
              </w:rPr>
              <w:t>North America gas and power</w:t>
            </w:r>
          </w:p>
        </w:tc>
        <w:tc>
          <w:tcPr>
            <w:tcW w:w="740" w:type="dxa"/>
            <w:vAlign w:val="bottom"/>
            <w:shd w:val="clear" w:color="auto" w:fill="D8D8D8"/>
          </w:tcPr>
          <w:p>
            <w:pPr>
              <w:jc w:val="right"/>
              <w:ind w:right="10"/>
              <w:spacing w:after="0"/>
              <w:rPr>
                <w:sz w:val="20"/>
                <w:szCs w:val="20"/>
                <w:color w:val="auto"/>
              </w:rPr>
            </w:pPr>
            <w:r>
              <w:rPr>
                <w:rFonts w:ascii="Arial" w:cs="Arial" w:eastAsia="Arial" w:hAnsi="Arial"/>
                <w:sz w:val="14"/>
                <w:szCs w:val="14"/>
                <w:color w:val="auto"/>
              </w:rPr>
              <w:t>16</w:t>
            </w:r>
          </w:p>
        </w:tc>
        <w:tc>
          <w:tcPr>
            <w:tcW w:w="900" w:type="dxa"/>
            <w:vAlign w:val="bottom"/>
            <w:shd w:val="clear" w:color="auto" w:fill="D8D8D8"/>
          </w:tcPr>
          <w:p>
            <w:pPr>
              <w:jc w:val="right"/>
              <w:ind w:right="190"/>
              <w:spacing w:after="0"/>
              <w:rPr>
                <w:sz w:val="20"/>
                <w:szCs w:val="20"/>
                <w:color w:val="auto"/>
              </w:rPr>
            </w:pPr>
            <w:r>
              <w:rPr>
                <w:rFonts w:ascii="Arial" w:cs="Arial" w:eastAsia="Arial" w:hAnsi="Arial"/>
                <w:sz w:val="14"/>
                <w:szCs w:val="14"/>
                <w:color w:val="auto"/>
              </w:rPr>
              <w:t>2</w:t>
            </w:r>
          </w:p>
        </w:tc>
        <w:tc>
          <w:tcPr>
            <w:tcW w:w="860" w:type="dxa"/>
            <w:vAlign w:val="bottom"/>
            <w:shd w:val="clear" w:color="auto" w:fill="D8D8D8"/>
          </w:tcPr>
          <w:p>
            <w:pPr>
              <w:jc w:val="right"/>
              <w:ind w:right="70"/>
              <w:spacing w:after="0"/>
              <w:rPr>
                <w:sz w:val="20"/>
                <w:szCs w:val="20"/>
                <w:color w:val="auto"/>
              </w:rPr>
            </w:pPr>
            <w:r>
              <w:rPr>
                <w:rFonts w:ascii="Arial" w:cs="Arial" w:eastAsia="Arial" w:hAnsi="Arial"/>
                <w:sz w:val="14"/>
                <w:szCs w:val="14"/>
                <w:color w:val="auto"/>
              </w:rPr>
              <w:t>7</w:t>
            </w:r>
          </w:p>
        </w:tc>
        <w:tc>
          <w:tcPr>
            <w:tcW w:w="860" w:type="dxa"/>
            <w:vAlign w:val="bottom"/>
            <w:shd w:val="clear" w:color="auto" w:fill="D8D8D8"/>
          </w:tcPr>
          <w:p>
            <w:pPr>
              <w:jc w:val="right"/>
              <w:ind w:right="152"/>
              <w:spacing w:after="0"/>
              <w:rPr>
                <w:sz w:val="20"/>
                <w:szCs w:val="20"/>
                <w:color w:val="auto"/>
              </w:rPr>
            </w:pPr>
            <w:r>
              <w:rPr>
                <w:rFonts w:ascii="Arial" w:cs="Arial" w:eastAsia="Arial" w:hAnsi="Arial"/>
                <w:sz w:val="14"/>
                <w:szCs w:val="14"/>
                <w:color w:val="auto"/>
              </w:rPr>
              <w:t>13</w:t>
            </w:r>
          </w:p>
        </w:tc>
        <w:tc>
          <w:tcPr>
            <w:tcW w:w="1300" w:type="dxa"/>
            <w:vAlign w:val="bottom"/>
            <w:gridSpan w:val="2"/>
          </w:tcPr>
          <w:p>
            <w:pPr>
              <w:jc w:val="right"/>
              <w:ind w:right="177"/>
              <w:spacing w:after="0"/>
              <w:rPr>
                <w:sz w:val="20"/>
                <w:szCs w:val="20"/>
                <w:color w:val="auto"/>
              </w:rPr>
            </w:pPr>
            <w:r>
              <w:rPr>
                <w:rFonts w:ascii="Arial" w:cs="Arial" w:eastAsia="Arial" w:hAnsi="Arial"/>
                <w:sz w:val="14"/>
                <w:szCs w:val="14"/>
                <w:color w:val="auto"/>
              </w:rPr>
              <w:t>12</w:t>
            </w:r>
          </w:p>
        </w:tc>
        <w:tc>
          <w:tcPr>
            <w:tcW w:w="760" w:type="dxa"/>
            <w:vAlign w:val="bottom"/>
          </w:tcPr>
          <w:p>
            <w:pPr>
              <w:jc w:val="right"/>
              <w:ind w:right="210"/>
              <w:spacing w:after="0"/>
              <w:rPr>
                <w:sz w:val="20"/>
                <w:szCs w:val="20"/>
                <w:color w:val="auto"/>
              </w:rPr>
            </w:pPr>
            <w:r>
              <w:rPr>
                <w:rFonts w:ascii="Arial" w:cs="Arial" w:eastAsia="Arial" w:hAnsi="Arial"/>
                <w:sz w:val="14"/>
                <w:szCs w:val="14"/>
                <w:color w:val="auto"/>
              </w:rPr>
              <w:t>2</w:t>
            </w:r>
          </w:p>
        </w:tc>
        <w:tc>
          <w:tcPr>
            <w:tcW w:w="840" w:type="dxa"/>
            <w:vAlign w:val="bottom"/>
          </w:tcPr>
          <w:p>
            <w:pPr>
              <w:jc w:val="right"/>
              <w:ind w:right="50"/>
              <w:spacing w:after="0"/>
              <w:rPr>
                <w:sz w:val="20"/>
                <w:szCs w:val="20"/>
                <w:color w:val="auto"/>
              </w:rPr>
            </w:pPr>
            <w:r>
              <w:rPr>
                <w:rFonts w:ascii="Arial" w:cs="Arial" w:eastAsia="Arial" w:hAnsi="Arial"/>
                <w:sz w:val="14"/>
                <w:szCs w:val="14"/>
                <w:color w:val="auto"/>
              </w:rPr>
              <w:t>5</w:t>
            </w:r>
          </w:p>
        </w:tc>
        <w:tc>
          <w:tcPr>
            <w:tcW w:w="940" w:type="dxa"/>
            <w:vAlign w:val="bottom"/>
          </w:tcPr>
          <w:p>
            <w:pPr>
              <w:jc w:val="right"/>
              <w:ind w:right="150"/>
              <w:spacing w:after="0"/>
              <w:rPr>
                <w:sz w:val="20"/>
                <w:szCs w:val="20"/>
                <w:color w:val="auto"/>
              </w:rPr>
            </w:pPr>
            <w:r>
              <w:rPr>
                <w:rFonts w:ascii="Arial" w:cs="Arial" w:eastAsia="Arial" w:hAnsi="Arial"/>
                <w:sz w:val="14"/>
                <w:szCs w:val="14"/>
                <w:color w:val="auto"/>
              </w:rPr>
              <w:t>2</w:t>
            </w:r>
          </w:p>
        </w:tc>
      </w:tr>
      <w:tr>
        <w:trPr>
          <w:trHeight w:val="162"/>
        </w:trPr>
        <w:tc>
          <w:tcPr>
            <w:tcW w:w="422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Europe gas and power</w:t>
            </w:r>
          </w:p>
        </w:tc>
        <w:tc>
          <w:tcPr>
            <w:tcW w:w="740" w:type="dxa"/>
            <w:vAlign w:val="bottom"/>
            <w:tcBorders>
              <w:bottom w:val="single" w:sz="8" w:color="auto"/>
            </w:tcBorders>
            <w:shd w:val="clear" w:color="auto" w:fill="D8D8D8"/>
          </w:tcPr>
          <w:p>
            <w:pPr>
              <w:jc w:val="right"/>
              <w:ind w:right="10"/>
              <w:spacing w:after="0"/>
              <w:rPr>
                <w:sz w:val="20"/>
                <w:szCs w:val="20"/>
                <w:color w:val="auto"/>
              </w:rPr>
            </w:pPr>
            <w:r>
              <w:rPr>
                <w:rFonts w:ascii="Arial" w:cs="Arial" w:eastAsia="Arial" w:hAnsi="Arial"/>
                <w:sz w:val="14"/>
                <w:szCs w:val="14"/>
                <w:color w:val="auto"/>
              </w:rPr>
              <w:t>7</w:t>
            </w:r>
          </w:p>
        </w:tc>
        <w:tc>
          <w:tcPr>
            <w:tcW w:w="900" w:type="dxa"/>
            <w:vAlign w:val="bottom"/>
            <w:tcBorders>
              <w:bottom w:val="single" w:sz="8" w:color="auto"/>
            </w:tcBorders>
            <w:shd w:val="clear" w:color="auto" w:fill="D8D8D8"/>
          </w:tcPr>
          <w:p>
            <w:pPr>
              <w:jc w:val="right"/>
              <w:ind w:right="190"/>
              <w:spacing w:after="0"/>
              <w:rPr>
                <w:sz w:val="20"/>
                <w:szCs w:val="20"/>
                <w:color w:val="auto"/>
              </w:rPr>
            </w:pPr>
            <w:r>
              <w:rPr>
                <w:rFonts w:ascii="Arial" w:cs="Arial" w:eastAsia="Arial" w:hAnsi="Arial"/>
                <w:sz w:val="14"/>
                <w:szCs w:val="14"/>
                <w:color w:val="auto"/>
              </w:rPr>
              <w:t>1</w:t>
            </w:r>
          </w:p>
        </w:tc>
        <w:tc>
          <w:tcPr>
            <w:tcW w:w="860" w:type="dxa"/>
            <w:vAlign w:val="bottom"/>
            <w:tcBorders>
              <w:bottom w:val="single" w:sz="8" w:color="auto"/>
            </w:tcBorders>
            <w:shd w:val="clear" w:color="auto" w:fill="D8D8D8"/>
          </w:tcPr>
          <w:p>
            <w:pPr>
              <w:jc w:val="right"/>
              <w:ind w:right="70"/>
              <w:spacing w:after="0"/>
              <w:rPr>
                <w:sz w:val="20"/>
                <w:szCs w:val="20"/>
                <w:color w:val="auto"/>
              </w:rPr>
            </w:pPr>
            <w:r>
              <w:rPr>
                <w:rFonts w:ascii="Arial" w:cs="Arial" w:eastAsia="Arial" w:hAnsi="Arial"/>
                <w:sz w:val="14"/>
                <w:szCs w:val="14"/>
                <w:color w:val="auto"/>
              </w:rPr>
              <w:t>2</w:t>
            </w:r>
          </w:p>
        </w:tc>
        <w:tc>
          <w:tcPr>
            <w:tcW w:w="860" w:type="dxa"/>
            <w:vAlign w:val="bottom"/>
            <w:tcBorders>
              <w:bottom w:val="single" w:sz="8" w:color="auto"/>
            </w:tcBorders>
            <w:shd w:val="clear" w:color="auto" w:fill="D8D8D8"/>
          </w:tcPr>
          <w:p>
            <w:pPr>
              <w:jc w:val="right"/>
              <w:ind w:right="152"/>
              <w:spacing w:after="0"/>
              <w:rPr>
                <w:sz w:val="20"/>
                <w:szCs w:val="20"/>
                <w:color w:val="auto"/>
              </w:rPr>
            </w:pPr>
            <w:r>
              <w:rPr>
                <w:rFonts w:ascii="Arial" w:cs="Arial" w:eastAsia="Arial" w:hAnsi="Arial"/>
                <w:sz w:val="14"/>
                <w:szCs w:val="14"/>
                <w:color w:val="auto"/>
              </w:rPr>
              <w:t>3</w:t>
            </w:r>
          </w:p>
        </w:tc>
        <w:tc>
          <w:tcPr>
            <w:tcW w:w="1300" w:type="dxa"/>
            <w:vAlign w:val="bottom"/>
            <w:tcBorders>
              <w:bottom w:val="single" w:sz="8" w:color="auto"/>
            </w:tcBorders>
            <w:gridSpan w:val="2"/>
          </w:tcPr>
          <w:p>
            <w:pPr>
              <w:jc w:val="right"/>
              <w:ind w:right="177"/>
              <w:spacing w:after="0"/>
              <w:rPr>
                <w:sz w:val="20"/>
                <w:szCs w:val="20"/>
                <w:color w:val="auto"/>
              </w:rPr>
            </w:pPr>
            <w:r>
              <w:rPr>
                <w:rFonts w:ascii="Arial" w:cs="Arial" w:eastAsia="Arial" w:hAnsi="Arial"/>
                <w:sz w:val="14"/>
                <w:szCs w:val="14"/>
                <w:color w:val="auto"/>
              </w:rPr>
              <w:t>4</w:t>
            </w:r>
          </w:p>
        </w:tc>
        <w:tc>
          <w:tcPr>
            <w:tcW w:w="760" w:type="dxa"/>
            <w:vAlign w:val="bottom"/>
            <w:tcBorders>
              <w:bottom w:val="single" w:sz="8" w:color="auto"/>
            </w:tcBorders>
          </w:tcPr>
          <w:p>
            <w:pPr>
              <w:jc w:val="right"/>
              <w:ind w:right="210"/>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color w:val="auto"/>
              </w:rPr>
              <w:t>2</w:t>
            </w:r>
          </w:p>
        </w:tc>
        <w:tc>
          <w:tcPr>
            <w:tcW w:w="940" w:type="dxa"/>
            <w:vAlign w:val="bottom"/>
            <w:tcBorders>
              <w:bottom w:val="single" w:sz="8" w:color="auto"/>
            </w:tcBorders>
          </w:tcPr>
          <w:p>
            <w:pPr>
              <w:jc w:val="right"/>
              <w:ind w:right="150"/>
              <w:spacing w:after="0"/>
              <w:rPr>
                <w:sz w:val="20"/>
                <w:szCs w:val="20"/>
                <w:color w:val="auto"/>
              </w:rPr>
            </w:pPr>
            <w:r>
              <w:rPr>
                <w:rFonts w:ascii="Arial" w:cs="Arial" w:eastAsia="Arial" w:hAnsi="Arial"/>
                <w:sz w:val="14"/>
                <w:szCs w:val="14"/>
                <w:color w:val="auto"/>
              </w:rPr>
              <w:t>1</w:t>
            </w:r>
          </w:p>
        </w:tc>
      </w:tr>
    </w:tbl>
    <w:p>
      <w:pPr>
        <w:spacing w:after="0" w:line="166" w:lineRule="exact"/>
        <w:rPr>
          <w:sz w:val="20"/>
          <w:szCs w:val="20"/>
          <w:color w:val="auto"/>
        </w:rPr>
      </w:pPr>
    </w:p>
    <w:p>
      <w:pPr>
        <w:spacing w:after="0"/>
        <w:rPr>
          <w:sz w:val="20"/>
          <w:szCs w:val="20"/>
          <w:color w:val="auto"/>
        </w:rPr>
      </w:pPr>
      <w:r>
        <w:rPr>
          <w:rFonts w:ascii="Arial" w:cs="Arial" w:eastAsia="Arial" w:hAnsi="Arial"/>
          <w:sz w:val="13"/>
          <w:szCs w:val="13"/>
          <w:color w:val="auto"/>
        </w:rPr>
        <w:t>CREDIT RISK</w:t>
      </w:r>
    </w:p>
    <w:p>
      <w:pPr>
        <w:spacing w:after="0" w:line="244" w:lineRule="auto"/>
        <w:rPr>
          <w:sz w:val="20"/>
          <w:szCs w:val="20"/>
          <w:color w:val="auto"/>
        </w:rPr>
      </w:pPr>
      <w:r>
        <w:rPr>
          <w:rFonts w:ascii="Arial" w:cs="Arial" w:eastAsia="Arial" w:hAnsi="Arial"/>
          <w:sz w:val="14"/>
          <w:szCs w:val="14"/>
          <w:color w:val="auto"/>
        </w:rPr>
        <w:t>Policies are in place to ensure that wholesale sales of products are made to customers with appropriate creditworthiness. These policies include detailed credit analysis and monitoring of trading partners and restricting large-volume trading activities to the highest-rated counterparties. Credit information is regularly shared between business and finance functions, with dedicated teams in place to quickly identify and respond to cases of credit deterioration. Mitigation measures are defined and implemented for high-risk business partners and customers, and include shortened payment terms, collateral or other security posting and vigorous collections. In addition, policies limit the amount of credit exposure to any individual financial institution. There are no material concentrations of credit risk, with individual customers or geographically, and there has been no significant level of counterparty default in recent years.</w:t>
      </w:r>
    </w:p>
    <w:p>
      <w:pPr>
        <w:spacing w:after="0" w:line="179" w:lineRule="exact"/>
        <w:rPr>
          <w:sz w:val="20"/>
          <w:szCs w:val="20"/>
          <w:color w:val="auto"/>
        </w:rPr>
      </w:pPr>
    </w:p>
    <w:p>
      <w:pPr>
        <w:ind w:right="160"/>
        <w:spacing w:after="0" w:line="250" w:lineRule="auto"/>
        <w:rPr>
          <w:sz w:val="20"/>
          <w:szCs w:val="20"/>
          <w:color w:val="auto"/>
        </w:rPr>
      </w:pPr>
      <w:r>
        <w:rPr>
          <w:rFonts w:ascii="Arial" w:cs="Arial" w:eastAsia="Arial" w:hAnsi="Arial"/>
          <w:sz w:val="14"/>
          <w:szCs w:val="14"/>
          <w:color w:val="auto"/>
        </w:rPr>
        <w:t>Surplus cash is invested in a range of short-dated, secure and liquid instruments including short-term bank deposits, money market funds, reverse repos and similar instruments. The portfolio of these investments is diversified to avoid concentrating risk in any one instrument, country or counterparty. Management monitors the investments regularly and adjusts the investment portfolio in light of new market information where necessary to ensure credit risk is effectively diversified.</w:t>
      </w:r>
    </w:p>
    <w:p>
      <w:pPr>
        <w:spacing w:after="0" w:line="159" w:lineRule="exact"/>
        <w:rPr>
          <w:sz w:val="20"/>
          <w:szCs w:val="20"/>
          <w:color w:val="auto"/>
        </w:rPr>
      </w:pPr>
    </w:p>
    <w:p>
      <w:pPr>
        <w:ind w:right="220"/>
        <w:spacing w:after="0" w:line="250" w:lineRule="auto"/>
        <w:rPr>
          <w:sz w:val="20"/>
          <w:szCs w:val="20"/>
          <w:color w:val="auto"/>
        </w:rPr>
      </w:pPr>
      <w:r>
        <w:rPr>
          <w:rFonts w:ascii="Arial" w:cs="Arial" w:eastAsia="Arial" w:hAnsi="Arial"/>
          <w:sz w:val="14"/>
          <w:szCs w:val="14"/>
          <w:color w:val="auto"/>
        </w:rPr>
        <w:t>In commodity trading, counterparty credit risk is managed within a framework of credit limits with utilisation being regularly reviewed. Credit risk exposure is monitored and the acceptable level is determined by a credit committee. Credit checks are performed by a department independent of traders, and are undertaken before contractual commitment. Where appropriate, netting arrangements, credit insurance, prepayments and collateral are used to manage specific risks.</w:t>
      </w:r>
    </w:p>
    <w:p>
      <w:pPr>
        <w:spacing w:after="0" w:line="159" w:lineRule="exact"/>
        <w:rPr>
          <w:sz w:val="20"/>
          <w:szCs w:val="20"/>
          <w:color w:val="auto"/>
        </w:rPr>
      </w:pPr>
    </w:p>
    <w:p>
      <w:pPr>
        <w:ind w:right="520"/>
        <w:spacing w:after="0" w:line="247" w:lineRule="auto"/>
        <w:rPr>
          <w:sz w:val="20"/>
          <w:szCs w:val="20"/>
          <w:color w:val="auto"/>
        </w:rPr>
      </w:pPr>
      <w:r>
        <w:rPr>
          <w:rFonts w:ascii="Arial" w:cs="Arial" w:eastAsia="Arial" w:hAnsi="Arial"/>
          <w:sz w:val="14"/>
          <w:szCs w:val="14"/>
          <w:color w:val="auto"/>
        </w:rPr>
        <w:t>Shell routinely enters into offsetting, master netting and similar arrangements with trading and other counterparties to manage credit risk. Where unconditional offsetting of outstanding balances is allowed under such arrangements and net settlement is regularly applied, the net asset or liability is recognised in the Consolidated Balance Sheet, otherwise assets and liabilities are presented gross. These amounts, as presented net and gross within trade and other receivables and trade and other payables in the Consolidated Balance Sheet at December 31, were as follows: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4460" w:type="dxa"/>
            <w:vAlign w:val="bottom"/>
            <w:shd w:val="clear" w:color="auto" w:fill="333333"/>
          </w:tcPr>
          <w:p>
            <w:pPr>
              <w:ind w:left="80"/>
              <w:spacing w:after="0"/>
              <w:rPr>
                <w:sz w:val="20"/>
                <w:szCs w:val="20"/>
                <w:color w:val="auto"/>
              </w:rPr>
            </w:pPr>
            <w:r>
              <w:rPr>
                <w:rFonts w:ascii="Arial" w:cs="Arial" w:eastAsia="Arial" w:hAnsi="Arial"/>
                <w:sz w:val="15"/>
                <w:szCs w:val="15"/>
                <w:b w:val="1"/>
                <w:bCs w:val="1"/>
                <w:color w:val="FFFFFF"/>
              </w:rPr>
              <w:t>2014</w:t>
            </w:r>
          </w:p>
        </w:tc>
        <w:tc>
          <w:tcPr>
            <w:tcW w:w="1280" w:type="dxa"/>
            <w:vAlign w:val="bottom"/>
            <w:shd w:val="clear" w:color="auto" w:fill="333333"/>
          </w:tcPr>
          <w:p>
            <w:pPr>
              <w:spacing w:after="0"/>
              <w:rPr>
                <w:sz w:val="15"/>
                <w:szCs w:val="15"/>
                <w:color w:val="auto"/>
              </w:rPr>
            </w:pPr>
          </w:p>
        </w:tc>
        <w:tc>
          <w:tcPr>
            <w:tcW w:w="800" w:type="dxa"/>
            <w:vAlign w:val="bottom"/>
            <w:shd w:val="clear" w:color="auto" w:fill="333333"/>
          </w:tcPr>
          <w:p>
            <w:pPr>
              <w:spacing w:after="0"/>
              <w:rPr>
                <w:sz w:val="15"/>
                <w:szCs w:val="15"/>
                <w:color w:val="auto"/>
              </w:rPr>
            </w:pPr>
          </w:p>
        </w:tc>
        <w:tc>
          <w:tcPr>
            <w:tcW w:w="1080" w:type="dxa"/>
            <w:vAlign w:val="bottom"/>
            <w:shd w:val="clear" w:color="auto" w:fill="333333"/>
          </w:tcPr>
          <w:p>
            <w:pPr>
              <w:spacing w:after="0"/>
              <w:rPr>
                <w:sz w:val="15"/>
                <w:szCs w:val="15"/>
                <w:color w:val="auto"/>
              </w:rPr>
            </w:pPr>
          </w:p>
        </w:tc>
        <w:tc>
          <w:tcPr>
            <w:tcW w:w="240" w:type="dxa"/>
            <w:vAlign w:val="bottom"/>
            <w:shd w:val="clear" w:color="auto" w:fill="333333"/>
          </w:tcPr>
          <w:p>
            <w:pPr>
              <w:spacing w:after="0"/>
              <w:rPr>
                <w:sz w:val="15"/>
                <w:szCs w:val="15"/>
                <w:color w:val="auto"/>
              </w:rPr>
            </w:pPr>
          </w:p>
        </w:tc>
        <w:tc>
          <w:tcPr>
            <w:tcW w:w="1360" w:type="dxa"/>
            <w:vAlign w:val="bottom"/>
            <w:shd w:val="clear" w:color="auto" w:fill="333333"/>
          </w:tcPr>
          <w:p>
            <w:pPr>
              <w:spacing w:after="0"/>
              <w:rPr>
                <w:sz w:val="15"/>
                <w:szCs w:val="15"/>
                <w:color w:val="auto"/>
              </w:rPr>
            </w:pPr>
          </w:p>
        </w:tc>
        <w:tc>
          <w:tcPr>
            <w:tcW w:w="1260" w:type="dxa"/>
            <w:vAlign w:val="bottom"/>
            <w:shd w:val="clear" w:color="auto" w:fill="333333"/>
          </w:tcPr>
          <w:p>
            <w:pPr>
              <w:spacing w:after="0"/>
              <w:rPr>
                <w:sz w:val="15"/>
                <w:szCs w:val="15"/>
                <w:color w:val="auto"/>
              </w:rPr>
            </w:pPr>
          </w:p>
        </w:tc>
        <w:tc>
          <w:tcPr>
            <w:tcW w:w="940" w:type="dxa"/>
            <w:vAlign w:val="bottom"/>
            <w:gridSpan w:val="2"/>
            <w:shd w:val="clear" w:color="auto" w:fill="333333"/>
          </w:tcPr>
          <w:p>
            <w:pPr>
              <w:ind w:left="100"/>
              <w:spacing w:after="0"/>
              <w:rPr>
                <w:sz w:val="20"/>
                <w:szCs w:val="20"/>
                <w:color w:val="auto"/>
              </w:rPr>
            </w:pPr>
            <w:r>
              <w:rPr>
                <w:rFonts w:ascii="Arial" w:cs="Arial" w:eastAsia="Arial" w:hAnsi="Arial"/>
                <w:sz w:val="15"/>
                <w:szCs w:val="15"/>
                <w:color w:val="FFFFFF"/>
              </w:rPr>
              <w:t>$ MILLION</w:t>
            </w:r>
          </w:p>
        </w:tc>
      </w:tr>
      <w:tr>
        <w:trPr>
          <w:trHeight w:val="135"/>
        </w:trPr>
        <w:tc>
          <w:tcPr>
            <w:tcW w:w="446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320" w:type="dxa"/>
            <w:vAlign w:val="bottom"/>
            <w:gridSpan w:val="2"/>
          </w:tcPr>
          <w:p>
            <w:pPr>
              <w:jc w:val="right"/>
              <w:ind w:right="320"/>
              <w:spacing w:after="0" w:line="135" w:lineRule="exact"/>
              <w:rPr>
                <w:sz w:val="20"/>
                <w:szCs w:val="20"/>
                <w:color w:val="auto"/>
              </w:rPr>
            </w:pPr>
            <w:r>
              <w:rPr>
                <w:rFonts w:ascii="Arial" w:cs="Arial" w:eastAsia="Arial" w:hAnsi="Arial"/>
                <w:sz w:val="13"/>
                <w:szCs w:val="13"/>
                <w:color w:val="auto"/>
              </w:rPr>
              <w:t>Amounts offset</w:t>
            </w:r>
          </w:p>
        </w:tc>
        <w:tc>
          <w:tcPr>
            <w:tcW w:w="1360" w:type="dxa"/>
            <w:vAlign w:val="bottom"/>
          </w:tcPr>
          <w:p>
            <w:pPr>
              <w:spacing w:after="0"/>
              <w:rPr>
                <w:sz w:val="11"/>
                <w:szCs w:val="11"/>
                <w:color w:val="auto"/>
              </w:rPr>
            </w:pPr>
          </w:p>
        </w:tc>
        <w:tc>
          <w:tcPr>
            <w:tcW w:w="1260" w:type="dxa"/>
            <w:vAlign w:val="bottom"/>
          </w:tcPr>
          <w:p>
            <w:pPr>
              <w:jc w:val="right"/>
              <w:ind w:right="12"/>
              <w:spacing w:after="0" w:line="135" w:lineRule="exact"/>
              <w:rPr>
                <w:sz w:val="20"/>
                <w:szCs w:val="20"/>
                <w:color w:val="auto"/>
              </w:rPr>
            </w:pPr>
            <w:r>
              <w:rPr>
                <w:rFonts w:ascii="Arial" w:cs="Arial" w:eastAsia="Arial" w:hAnsi="Arial"/>
                <w:sz w:val="13"/>
                <w:szCs w:val="13"/>
                <w:color w:val="auto"/>
              </w:rPr>
              <w:t>Amounts not offset</w:t>
            </w: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23"/>
        </w:trPr>
        <w:tc>
          <w:tcPr>
            <w:tcW w:w="4460" w:type="dxa"/>
            <w:vAlign w:val="bottom"/>
          </w:tcPr>
          <w:p>
            <w:pPr>
              <w:spacing w:after="0"/>
              <w:rPr>
                <w:sz w:val="10"/>
                <w:szCs w:val="10"/>
                <w:color w:val="auto"/>
              </w:rPr>
            </w:pPr>
          </w:p>
        </w:tc>
        <w:tc>
          <w:tcPr>
            <w:tcW w:w="1280" w:type="dxa"/>
            <w:vAlign w:val="bottom"/>
            <w:tcBorders>
              <w:top w:val="single" w:sz="8" w:color="auto"/>
            </w:tcBorders>
          </w:tcPr>
          <w:p>
            <w:pPr>
              <w:jc w:val="right"/>
              <w:ind w:right="91"/>
              <w:spacing w:after="0" w:line="123" w:lineRule="exact"/>
              <w:rPr>
                <w:sz w:val="20"/>
                <w:szCs w:val="20"/>
                <w:color w:val="auto"/>
              </w:rPr>
            </w:pPr>
            <w:r>
              <w:rPr>
                <w:rFonts w:ascii="Arial" w:cs="Arial" w:eastAsia="Arial" w:hAnsi="Arial"/>
                <w:sz w:val="13"/>
                <w:szCs w:val="13"/>
                <w:color w:val="auto"/>
              </w:rPr>
              <w:t>Gross amounts</w:t>
            </w:r>
          </w:p>
        </w:tc>
        <w:tc>
          <w:tcPr>
            <w:tcW w:w="800" w:type="dxa"/>
            <w:vAlign w:val="bottom"/>
            <w:tcBorders>
              <w:top w:val="single" w:sz="8" w:color="auto"/>
            </w:tcBorders>
          </w:tcPr>
          <w:p>
            <w:pPr>
              <w:jc w:val="right"/>
              <w:ind w:right="71"/>
              <w:spacing w:after="0" w:line="123" w:lineRule="exact"/>
              <w:rPr>
                <w:sz w:val="20"/>
                <w:szCs w:val="20"/>
                <w:color w:val="auto"/>
              </w:rPr>
            </w:pPr>
            <w:r>
              <w:rPr>
                <w:rFonts w:ascii="Arial" w:cs="Arial" w:eastAsia="Arial" w:hAnsi="Arial"/>
                <w:sz w:val="13"/>
                <w:szCs w:val="13"/>
                <w:color w:val="auto"/>
              </w:rPr>
              <w:t>Amounts</w:t>
            </w:r>
          </w:p>
        </w:tc>
        <w:tc>
          <w:tcPr>
            <w:tcW w:w="1080" w:type="dxa"/>
            <w:vAlign w:val="bottom"/>
            <w:tcBorders>
              <w:top w:val="single" w:sz="8" w:color="auto"/>
            </w:tcBorders>
          </w:tcPr>
          <w:p>
            <w:pPr>
              <w:jc w:val="right"/>
              <w:ind w:right="12"/>
              <w:spacing w:after="0" w:line="123" w:lineRule="exact"/>
              <w:rPr>
                <w:sz w:val="20"/>
                <w:szCs w:val="20"/>
                <w:color w:val="auto"/>
              </w:rPr>
            </w:pPr>
            <w:r>
              <w:rPr>
                <w:rFonts w:ascii="Arial" w:cs="Arial" w:eastAsia="Arial" w:hAnsi="Arial"/>
                <w:sz w:val="13"/>
                <w:szCs w:val="13"/>
                <w:color w:val="auto"/>
              </w:rPr>
              <w:t>Net amounts</w:t>
            </w:r>
          </w:p>
        </w:tc>
        <w:tc>
          <w:tcPr>
            <w:tcW w:w="240" w:type="dxa"/>
            <w:vAlign w:val="bottom"/>
          </w:tcPr>
          <w:p>
            <w:pPr>
              <w:spacing w:after="0"/>
              <w:rPr>
                <w:sz w:val="10"/>
                <w:szCs w:val="10"/>
                <w:color w:val="auto"/>
              </w:rPr>
            </w:pPr>
          </w:p>
        </w:tc>
        <w:tc>
          <w:tcPr>
            <w:tcW w:w="1360" w:type="dxa"/>
            <w:vAlign w:val="bottom"/>
            <w:tcBorders>
              <w:top w:val="single" w:sz="8" w:color="auto"/>
            </w:tcBorders>
          </w:tcPr>
          <w:p>
            <w:pPr>
              <w:jc w:val="right"/>
              <w:ind w:right="71"/>
              <w:spacing w:after="0" w:line="123" w:lineRule="exact"/>
              <w:rPr>
                <w:sz w:val="20"/>
                <w:szCs w:val="20"/>
                <w:color w:val="auto"/>
              </w:rPr>
            </w:pPr>
            <w:r>
              <w:rPr>
                <w:rFonts w:ascii="Arial" w:cs="Arial" w:eastAsia="Arial" w:hAnsi="Arial"/>
                <w:sz w:val="13"/>
                <w:szCs w:val="13"/>
                <w:color w:val="auto"/>
              </w:rPr>
              <w:t>Cash collateral</w:t>
            </w:r>
          </w:p>
        </w:tc>
        <w:tc>
          <w:tcPr>
            <w:tcW w:w="1260" w:type="dxa"/>
            <w:vAlign w:val="bottom"/>
            <w:tcBorders>
              <w:top w:val="single" w:sz="8" w:color="auto"/>
            </w:tcBorders>
          </w:tcPr>
          <w:p>
            <w:pPr>
              <w:jc w:val="right"/>
              <w:ind w:right="12"/>
              <w:spacing w:after="0" w:line="123" w:lineRule="exact"/>
              <w:rPr>
                <w:sz w:val="20"/>
                <w:szCs w:val="20"/>
                <w:color w:val="auto"/>
              </w:rPr>
            </w:pPr>
            <w:r>
              <w:rPr>
                <w:rFonts w:ascii="Arial" w:cs="Arial" w:eastAsia="Arial" w:hAnsi="Arial"/>
                <w:sz w:val="13"/>
                <w:szCs w:val="13"/>
                <w:color w:val="auto"/>
              </w:rPr>
              <w:t>Other offsetting</w:t>
            </w: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55"/>
        </w:trPr>
        <w:tc>
          <w:tcPr>
            <w:tcW w:w="4460" w:type="dxa"/>
            <w:vAlign w:val="bottom"/>
          </w:tcPr>
          <w:p>
            <w:pPr>
              <w:spacing w:after="0"/>
              <w:rPr>
                <w:sz w:val="13"/>
                <w:szCs w:val="13"/>
                <w:color w:val="auto"/>
              </w:rPr>
            </w:pPr>
          </w:p>
        </w:tc>
        <w:tc>
          <w:tcPr>
            <w:tcW w:w="1280" w:type="dxa"/>
            <w:vAlign w:val="bottom"/>
          </w:tcPr>
          <w:p>
            <w:pPr>
              <w:jc w:val="right"/>
              <w:ind w:right="91"/>
              <w:spacing w:after="0"/>
              <w:rPr>
                <w:sz w:val="20"/>
                <w:szCs w:val="20"/>
                <w:color w:val="auto"/>
              </w:rPr>
            </w:pPr>
            <w:r>
              <w:rPr>
                <w:rFonts w:ascii="Arial" w:cs="Arial" w:eastAsia="Arial" w:hAnsi="Arial"/>
                <w:sz w:val="13"/>
                <w:szCs w:val="13"/>
                <w:color w:val="auto"/>
              </w:rPr>
              <w:t>before offset</w:t>
            </w:r>
          </w:p>
        </w:tc>
        <w:tc>
          <w:tcPr>
            <w:tcW w:w="800" w:type="dxa"/>
            <w:vAlign w:val="bottom"/>
          </w:tcPr>
          <w:p>
            <w:pPr>
              <w:jc w:val="right"/>
              <w:ind w:right="71"/>
              <w:spacing w:after="0"/>
              <w:rPr>
                <w:sz w:val="20"/>
                <w:szCs w:val="20"/>
                <w:color w:val="auto"/>
              </w:rPr>
            </w:pPr>
            <w:r>
              <w:rPr>
                <w:rFonts w:ascii="Arial" w:cs="Arial" w:eastAsia="Arial" w:hAnsi="Arial"/>
                <w:sz w:val="13"/>
                <w:szCs w:val="13"/>
                <w:color w:val="auto"/>
              </w:rPr>
              <w:t>offset</w:t>
            </w:r>
          </w:p>
        </w:tc>
        <w:tc>
          <w:tcPr>
            <w:tcW w:w="1320" w:type="dxa"/>
            <w:vAlign w:val="bottom"/>
            <w:gridSpan w:val="2"/>
          </w:tcPr>
          <w:p>
            <w:pPr>
              <w:jc w:val="right"/>
              <w:ind w:right="320"/>
              <w:spacing w:after="0"/>
              <w:rPr>
                <w:sz w:val="20"/>
                <w:szCs w:val="20"/>
                <w:color w:val="auto"/>
              </w:rPr>
            </w:pPr>
            <w:r>
              <w:rPr>
                <w:rFonts w:ascii="Arial" w:cs="Arial" w:eastAsia="Arial" w:hAnsi="Arial"/>
                <w:sz w:val="13"/>
                <w:szCs w:val="13"/>
                <w:color w:val="auto"/>
              </w:rPr>
              <w:t>as presented</w:t>
            </w:r>
          </w:p>
        </w:tc>
        <w:tc>
          <w:tcPr>
            <w:tcW w:w="1360" w:type="dxa"/>
            <w:vAlign w:val="bottom"/>
          </w:tcPr>
          <w:p>
            <w:pPr>
              <w:jc w:val="right"/>
              <w:ind w:right="71"/>
              <w:spacing w:after="0"/>
              <w:rPr>
                <w:sz w:val="20"/>
                <w:szCs w:val="20"/>
                <w:color w:val="auto"/>
              </w:rPr>
            </w:pPr>
            <w:r>
              <w:rPr>
                <w:rFonts w:ascii="Arial" w:cs="Arial" w:eastAsia="Arial" w:hAnsi="Arial"/>
                <w:sz w:val="13"/>
                <w:szCs w:val="13"/>
                <w:color w:val="auto"/>
              </w:rPr>
              <w:t>received/pledged</w:t>
            </w:r>
          </w:p>
        </w:tc>
        <w:tc>
          <w:tcPr>
            <w:tcW w:w="1260" w:type="dxa"/>
            <w:vAlign w:val="bottom"/>
          </w:tcPr>
          <w:p>
            <w:pPr>
              <w:jc w:val="right"/>
              <w:ind w:right="12"/>
              <w:spacing w:after="0"/>
              <w:rPr>
                <w:sz w:val="20"/>
                <w:szCs w:val="20"/>
                <w:color w:val="auto"/>
              </w:rPr>
            </w:pPr>
            <w:r>
              <w:rPr>
                <w:rFonts w:ascii="Arial" w:cs="Arial" w:eastAsia="Arial" w:hAnsi="Arial"/>
                <w:sz w:val="13"/>
                <w:szCs w:val="13"/>
                <w:color w:val="auto"/>
              </w:rPr>
              <w:t>instruments</w:t>
            </w:r>
          </w:p>
        </w:tc>
        <w:tc>
          <w:tcPr>
            <w:tcW w:w="940" w:type="dxa"/>
            <w:vAlign w:val="bottom"/>
            <w:gridSpan w:val="2"/>
          </w:tcPr>
          <w:p>
            <w:pPr>
              <w:jc w:val="right"/>
              <w:ind w:right="100"/>
              <w:spacing w:after="0"/>
              <w:rPr>
                <w:sz w:val="20"/>
                <w:szCs w:val="20"/>
                <w:color w:val="auto"/>
              </w:rPr>
            </w:pPr>
            <w:r>
              <w:rPr>
                <w:rFonts w:ascii="Arial" w:cs="Arial" w:eastAsia="Arial" w:hAnsi="Arial"/>
                <w:sz w:val="13"/>
                <w:szCs w:val="13"/>
                <w:color w:val="auto"/>
              </w:rPr>
              <w:t>Net amounts</w:t>
            </w:r>
          </w:p>
        </w:tc>
      </w:tr>
      <w:tr>
        <w:trPr>
          <w:trHeight w:val="160"/>
        </w:trPr>
        <w:tc>
          <w:tcPr>
            <w:tcW w:w="4460" w:type="dxa"/>
            <w:vAlign w:val="bottom"/>
            <w:tcBorders>
              <w:top w:val="single" w:sz="8" w:color="auto"/>
            </w:tcBorders>
          </w:tcPr>
          <w:p>
            <w:pPr>
              <w:spacing w:after="0"/>
              <w:rPr>
                <w:sz w:val="20"/>
                <w:szCs w:val="20"/>
                <w:color w:val="auto"/>
              </w:rPr>
            </w:pPr>
            <w:r>
              <w:rPr>
                <w:rFonts w:ascii="Arial" w:cs="Arial" w:eastAsia="Arial" w:hAnsi="Arial"/>
                <w:sz w:val="14"/>
                <w:szCs w:val="14"/>
                <w:color w:val="auto"/>
              </w:rPr>
              <w:t>Assets:</w:t>
            </w:r>
          </w:p>
        </w:tc>
        <w:tc>
          <w:tcPr>
            <w:tcW w:w="128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108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1360" w:type="dxa"/>
            <w:vAlign w:val="bottom"/>
            <w:tcBorders>
              <w:top w:val="single" w:sz="8" w:color="auto"/>
            </w:tcBorders>
          </w:tcPr>
          <w:p>
            <w:pPr>
              <w:spacing w:after="0"/>
              <w:rPr>
                <w:sz w:val="13"/>
                <w:szCs w:val="13"/>
                <w:color w:val="auto"/>
              </w:rPr>
            </w:pPr>
          </w:p>
        </w:tc>
        <w:tc>
          <w:tcPr>
            <w:tcW w:w="126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r>
      <w:tr>
        <w:trPr>
          <w:trHeight w:val="162"/>
        </w:trPr>
        <w:tc>
          <w:tcPr>
            <w:tcW w:w="4460" w:type="dxa"/>
            <w:vAlign w:val="bottom"/>
          </w:tcPr>
          <w:p>
            <w:pPr>
              <w:ind w:left="140"/>
              <w:spacing w:after="0"/>
              <w:rPr>
                <w:sz w:val="20"/>
                <w:szCs w:val="20"/>
                <w:color w:val="auto"/>
              </w:rPr>
            </w:pPr>
            <w:r>
              <w:rPr>
                <w:rFonts w:ascii="Arial" w:cs="Arial" w:eastAsia="Arial" w:hAnsi="Arial"/>
                <w:sz w:val="14"/>
                <w:szCs w:val="14"/>
                <w:color w:val="auto"/>
              </w:rPr>
              <w:t>Within trade receivables</w:t>
            </w:r>
          </w:p>
        </w:tc>
        <w:tc>
          <w:tcPr>
            <w:tcW w:w="1280" w:type="dxa"/>
            <w:vAlign w:val="bottom"/>
          </w:tcPr>
          <w:p>
            <w:pPr>
              <w:jc w:val="right"/>
              <w:ind w:right="91"/>
              <w:spacing w:after="0"/>
              <w:rPr>
                <w:sz w:val="20"/>
                <w:szCs w:val="20"/>
                <w:color w:val="auto"/>
              </w:rPr>
            </w:pPr>
            <w:r>
              <w:rPr>
                <w:rFonts w:ascii="Arial" w:cs="Arial" w:eastAsia="Arial" w:hAnsi="Arial"/>
                <w:sz w:val="14"/>
                <w:szCs w:val="14"/>
                <w:color w:val="auto"/>
              </w:rPr>
              <w:t>13,964</w:t>
            </w:r>
          </w:p>
        </w:tc>
        <w:tc>
          <w:tcPr>
            <w:tcW w:w="800" w:type="dxa"/>
            <w:vAlign w:val="bottom"/>
          </w:tcPr>
          <w:p>
            <w:pPr>
              <w:jc w:val="right"/>
              <w:ind w:right="71"/>
              <w:spacing w:after="0"/>
              <w:rPr>
                <w:sz w:val="20"/>
                <w:szCs w:val="20"/>
                <w:color w:val="auto"/>
              </w:rPr>
            </w:pPr>
            <w:r>
              <w:rPr>
                <w:rFonts w:ascii="Arial" w:cs="Arial" w:eastAsia="Arial" w:hAnsi="Arial"/>
                <w:sz w:val="14"/>
                <w:szCs w:val="14"/>
                <w:color w:val="auto"/>
              </w:rPr>
              <w:t>8,982</w:t>
            </w:r>
          </w:p>
        </w:tc>
        <w:tc>
          <w:tcPr>
            <w:tcW w:w="1080" w:type="dxa"/>
            <w:vAlign w:val="bottom"/>
          </w:tcPr>
          <w:p>
            <w:pPr>
              <w:jc w:val="right"/>
              <w:ind w:right="12"/>
              <w:spacing w:after="0"/>
              <w:rPr>
                <w:sz w:val="20"/>
                <w:szCs w:val="20"/>
                <w:color w:val="auto"/>
              </w:rPr>
            </w:pPr>
            <w:r>
              <w:rPr>
                <w:rFonts w:ascii="Arial" w:cs="Arial" w:eastAsia="Arial" w:hAnsi="Arial"/>
                <w:sz w:val="14"/>
                <w:szCs w:val="14"/>
                <w:color w:val="auto"/>
              </w:rPr>
              <w:t>4,982</w:t>
            </w:r>
          </w:p>
        </w:tc>
        <w:tc>
          <w:tcPr>
            <w:tcW w:w="240" w:type="dxa"/>
            <w:vAlign w:val="bottom"/>
          </w:tcPr>
          <w:p>
            <w:pPr>
              <w:spacing w:after="0"/>
              <w:rPr>
                <w:sz w:val="14"/>
                <w:szCs w:val="14"/>
                <w:color w:val="auto"/>
              </w:rPr>
            </w:pPr>
          </w:p>
        </w:tc>
        <w:tc>
          <w:tcPr>
            <w:tcW w:w="1360" w:type="dxa"/>
            <w:vAlign w:val="bottom"/>
          </w:tcPr>
          <w:p>
            <w:pPr>
              <w:jc w:val="right"/>
              <w:ind w:right="71"/>
              <w:spacing w:after="0"/>
              <w:rPr>
                <w:sz w:val="20"/>
                <w:szCs w:val="20"/>
                <w:color w:val="auto"/>
              </w:rPr>
            </w:pPr>
            <w:r>
              <w:rPr>
                <w:rFonts w:ascii="Arial" w:cs="Arial" w:eastAsia="Arial" w:hAnsi="Arial"/>
                <w:sz w:val="14"/>
                <w:szCs w:val="14"/>
                <w:color w:val="auto"/>
              </w:rPr>
              <w:t>6</w:t>
            </w:r>
          </w:p>
        </w:tc>
        <w:tc>
          <w:tcPr>
            <w:tcW w:w="1260" w:type="dxa"/>
            <w:vAlign w:val="bottom"/>
          </w:tcPr>
          <w:p>
            <w:pPr>
              <w:jc w:val="right"/>
              <w:ind w:right="12"/>
              <w:spacing w:after="0"/>
              <w:rPr>
                <w:sz w:val="20"/>
                <w:szCs w:val="20"/>
                <w:color w:val="auto"/>
              </w:rPr>
            </w:pPr>
            <w:r>
              <w:rPr>
                <w:rFonts w:ascii="Arial" w:cs="Arial" w:eastAsia="Arial" w:hAnsi="Arial"/>
                <w:sz w:val="14"/>
                <w:szCs w:val="14"/>
                <w:color w:val="auto"/>
              </w:rPr>
              <w:t>119</w:t>
            </w:r>
          </w:p>
        </w:tc>
        <w:tc>
          <w:tcPr>
            <w:tcW w:w="940" w:type="dxa"/>
            <w:vAlign w:val="bottom"/>
            <w:gridSpan w:val="2"/>
          </w:tcPr>
          <w:p>
            <w:pPr>
              <w:jc w:val="right"/>
              <w:ind w:right="100"/>
              <w:spacing w:after="0"/>
              <w:rPr>
                <w:sz w:val="20"/>
                <w:szCs w:val="20"/>
                <w:color w:val="auto"/>
              </w:rPr>
            </w:pPr>
            <w:r>
              <w:rPr>
                <w:rFonts w:ascii="Arial" w:cs="Arial" w:eastAsia="Arial" w:hAnsi="Arial"/>
                <w:sz w:val="14"/>
                <w:szCs w:val="14"/>
                <w:color w:val="auto"/>
              </w:rPr>
              <w:t>4,857</w:t>
            </w:r>
          </w:p>
        </w:tc>
      </w:tr>
      <w:tr>
        <w:trPr>
          <w:trHeight w:val="162"/>
        </w:trPr>
        <w:tc>
          <w:tcPr>
            <w:tcW w:w="4460" w:type="dxa"/>
            <w:vAlign w:val="bottom"/>
          </w:tcPr>
          <w:p>
            <w:pPr>
              <w:ind w:left="140"/>
              <w:spacing w:after="0"/>
              <w:rPr>
                <w:sz w:val="20"/>
                <w:szCs w:val="20"/>
                <w:color w:val="auto"/>
              </w:rPr>
            </w:pPr>
            <w:r>
              <w:rPr>
                <w:rFonts w:ascii="Arial" w:cs="Arial" w:eastAsia="Arial" w:hAnsi="Arial"/>
                <w:sz w:val="14"/>
                <w:szCs w:val="14"/>
                <w:color w:val="auto"/>
              </w:rPr>
              <w:t>Within derivative contracts</w:t>
            </w:r>
          </w:p>
        </w:tc>
        <w:tc>
          <w:tcPr>
            <w:tcW w:w="1280" w:type="dxa"/>
            <w:vAlign w:val="bottom"/>
          </w:tcPr>
          <w:p>
            <w:pPr>
              <w:jc w:val="right"/>
              <w:ind w:right="91"/>
              <w:spacing w:after="0"/>
              <w:rPr>
                <w:sz w:val="20"/>
                <w:szCs w:val="20"/>
                <w:color w:val="auto"/>
              </w:rPr>
            </w:pPr>
            <w:r>
              <w:rPr>
                <w:rFonts w:ascii="Arial" w:cs="Arial" w:eastAsia="Arial" w:hAnsi="Arial"/>
                <w:sz w:val="14"/>
                <w:szCs w:val="14"/>
                <w:color w:val="auto"/>
              </w:rPr>
              <w:t>38,151</w:t>
            </w:r>
          </w:p>
        </w:tc>
        <w:tc>
          <w:tcPr>
            <w:tcW w:w="800" w:type="dxa"/>
            <w:vAlign w:val="bottom"/>
          </w:tcPr>
          <w:p>
            <w:pPr>
              <w:jc w:val="right"/>
              <w:ind w:right="71"/>
              <w:spacing w:after="0"/>
              <w:rPr>
                <w:sz w:val="20"/>
                <w:szCs w:val="20"/>
                <w:color w:val="auto"/>
              </w:rPr>
            </w:pPr>
            <w:r>
              <w:rPr>
                <w:rFonts w:ascii="Arial" w:cs="Arial" w:eastAsia="Arial" w:hAnsi="Arial"/>
                <w:sz w:val="14"/>
                <w:szCs w:val="14"/>
                <w:color w:val="auto"/>
              </w:rPr>
              <w:t>27,437</w:t>
            </w:r>
          </w:p>
        </w:tc>
        <w:tc>
          <w:tcPr>
            <w:tcW w:w="1080" w:type="dxa"/>
            <w:vAlign w:val="bottom"/>
          </w:tcPr>
          <w:p>
            <w:pPr>
              <w:jc w:val="right"/>
              <w:ind w:right="12"/>
              <w:spacing w:after="0"/>
              <w:rPr>
                <w:sz w:val="20"/>
                <w:szCs w:val="20"/>
                <w:color w:val="auto"/>
              </w:rPr>
            </w:pPr>
            <w:r>
              <w:rPr>
                <w:rFonts w:ascii="Arial" w:cs="Arial" w:eastAsia="Arial" w:hAnsi="Arial"/>
                <w:sz w:val="14"/>
                <w:szCs w:val="14"/>
                <w:color w:val="auto"/>
              </w:rPr>
              <w:t>10,714</w:t>
            </w:r>
          </w:p>
        </w:tc>
        <w:tc>
          <w:tcPr>
            <w:tcW w:w="240" w:type="dxa"/>
            <w:vAlign w:val="bottom"/>
          </w:tcPr>
          <w:p>
            <w:pPr>
              <w:spacing w:after="0"/>
              <w:rPr>
                <w:sz w:val="14"/>
                <w:szCs w:val="14"/>
                <w:color w:val="auto"/>
              </w:rPr>
            </w:pPr>
          </w:p>
        </w:tc>
        <w:tc>
          <w:tcPr>
            <w:tcW w:w="1360" w:type="dxa"/>
            <w:vAlign w:val="bottom"/>
          </w:tcPr>
          <w:p>
            <w:pPr>
              <w:jc w:val="right"/>
              <w:ind w:right="71"/>
              <w:spacing w:after="0"/>
              <w:rPr>
                <w:sz w:val="20"/>
                <w:szCs w:val="20"/>
                <w:color w:val="auto"/>
              </w:rPr>
            </w:pPr>
            <w:r>
              <w:rPr>
                <w:rFonts w:ascii="Arial" w:cs="Arial" w:eastAsia="Arial" w:hAnsi="Arial"/>
                <w:sz w:val="14"/>
                <w:szCs w:val="14"/>
                <w:color w:val="auto"/>
              </w:rPr>
              <w:t>209</w:t>
            </w:r>
          </w:p>
        </w:tc>
        <w:tc>
          <w:tcPr>
            <w:tcW w:w="1260" w:type="dxa"/>
            <w:vAlign w:val="bottom"/>
          </w:tcPr>
          <w:p>
            <w:pPr>
              <w:jc w:val="right"/>
              <w:ind w:right="12"/>
              <w:spacing w:after="0"/>
              <w:rPr>
                <w:sz w:val="20"/>
                <w:szCs w:val="20"/>
                <w:color w:val="auto"/>
              </w:rPr>
            </w:pPr>
            <w:r>
              <w:rPr>
                <w:rFonts w:ascii="Arial" w:cs="Arial" w:eastAsia="Arial" w:hAnsi="Arial"/>
                <w:sz w:val="14"/>
                <w:szCs w:val="14"/>
                <w:color w:val="auto"/>
              </w:rPr>
              <w:t>7,065</w:t>
            </w:r>
          </w:p>
        </w:tc>
        <w:tc>
          <w:tcPr>
            <w:tcW w:w="940" w:type="dxa"/>
            <w:vAlign w:val="bottom"/>
            <w:gridSpan w:val="2"/>
          </w:tcPr>
          <w:p>
            <w:pPr>
              <w:jc w:val="right"/>
              <w:ind w:right="100"/>
              <w:spacing w:after="0"/>
              <w:rPr>
                <w:sz w:val="20"/>
                <w:szCs w:val="20"/>
                <w:color w:val="auto"/>
              </w:rPr>
            </w:pPr>
            <w:r>
              <w:rPr>
                <w:rFonts w:ascii="Arial" w:cs="Arial" w:eastAsia="Arial" w:hAnsi="Arial"/>
                <w:sz w:val="14"/>
                <w:szCs w:val="14"/>
                <w:color w:val="auto"/>
              </w:rPr>
              <w:t>3,440</w:t>
            </w:r>
          </w:p>
        </w:tc>
      </w:tr>
      <w:tr>
        <w:trPr>
          <w:trHeight w:val="162"/>
        </w:trPr>
        <w:tc>
          <w:tcPr>
            <w:tcW w:w="4460" w:type="dxa"/>
            <w:vAlign w:val="bottom"/>
          </w:tcPr>
          <w:p>
            <w:pPr>
              <w:spacing w:after="0"/>
              <w:rPr>
                <w:sz w:val="20"/>
                <w:szCs w:val="20"/>
                <w:color w:val="auto"/>
              </w:rPr>
            </w:pPr>
            <w:r>
              <w:rPr>
                <w:rFonts w:ascii="Arial" w:cs="Arial" w:eastAsia="Arial" w:hAnsi="Arial"/>
                <w:sz w:val="14"/>
                <w:szCs w:val="14"/>
                <w:color w:val="auto"/>
              </w:rPr>
              <w:t>Liabilities:</w:t>
            </w:r>
          </w:p>
        </w:tc>
        <w:tc>
          <w:tcPr>
            <w:tcW w:w="12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2"/>
        </w:trPr>
        <w:tc>
          <w:tcPr>
            <w:tcW w:w="4460" w:type="dxa"/>
            <w:vAlign w:val="bottom"/>
          </w:tcPr>
          <w:p>
            <w:pPr>
              <w:ind w:left="140"/>
              <w:spacing w:after="0"/>
              <w:rPr>
                <w:sz w:val="20"/>
                <w:szCs w:val="20"/>
                <w:color w:val="auto"/>
              </w:rPr>
            </w:pPr>
            <w:r>
              <w:rPr>
                <w:rFonts w:ascii="Arial" w:cs="Arial" w:eastAsia="Arial" w:hAnsi="Arial"/>
                <w:sz w:val="14"/>
                <w:szCs w:val="14"/>
                <w:color w:val="auto"/>
              </w:rPr>
              <w:t>Within trade payables</w:t>
            </w:r>
          </w:p>
        </w:tc>
        <w:tc>
          <w:tcPr>
            <w:tcW w:w="1280" w:type="dxa"/>
            <w:vAlign w:val="bottom"/>
          </w:tcPr>
          <w:p>
            <w:pPr>
              <w:jc w:val="right"/>
              <w:ind w:right="91"/>
              <w:spacing w:after="0"/>
              <w:rPr>
                <w:sz w:val="20"/>
                <w:szCs w:val="20"/>
                <w:color w:val="auto"/>
              </w:rPr>
            </w:pPr>
            <w:r>
              <w:rPr>
                <w:rFonts w:ascii="Arial" w:cs="Arial" w:eastAsia="Arial" w:hAnsi="Arial"/>
                <w:sz w:val="14"/>
                <w:szCs w:val="14"/>
                <w:color w:val="auto"/>
              </w:rPr>
              <w:t>12,290</w:t>
            </w:r>
          </w:p>
        </w:tc>
        <w:tc>
          <w:tcPr>
            <w:tcW w:w="800" w:type="dxa"/>
            <w:vAlign w:val="bottom"/>
          </w:tcPr>
          <w:p>
            <w:pPr>
              <w:jc w:val="right"/>
              <w:ind w:right="71"/>
              <w:spacing w:after="0"/>
              <w:rPr>
                <w:sz w:val="20"/>
                <w:szCs w:val="20"/>
                <w:color w:val="auto"/>
              </w:rPr>
            </w:pPr>
            <w:r>
              <w:rPr>
                <w:rFonts w:ascii="Arial" w:cs="Arial" w:eastAsia="Arial" w:hAnsi="Arial"/>
                <w:sz w:val="14"/>
                <w:szCs w:val="14"/>
                <w:color w:val="auto"/>
              </w:rPr>
              <w:t>8,941</w:t>
            </w:r>
          </w:p>
        </w:tc>
        <w:tc>
          <w:tcPr>
            <w:tcW w:w="1080" w:type="dxa"/>
            <w:vAlign w:val="bottom"/>
          </w:tcPr>
          <w:p>
            <w:pPr>
              <w:jc w:val="right"/>
              <w:ind w:right="12"/>
              <w:spacing w:after="0"/>
              <w:rPr>
                <w:sz w:val="20"/>
                <w:szCs w:val="20"/>
                <w:color w:val="auto"/>
              </w:rPr>
            </w:pPr>
            <w:r>
              <w:rPr>
                <w:rFonts w:ascii="Arial" w:cs="Arial" w:eastAsia="Arial" w:hAnsi="Arial"/>
                <w:sz w:val="14"/>
                <w:szCs w:val="14"/>
                <w:color w:val="auto"/>
              </w:rPr>
              <w:t>3,349</w:t>
            </w:r>
          </w:p>
        </w:tc>
        <w:tc>
          <w:tcPr>
            <w:tcW w:w="240" w:type="dxa"/>
            <w:vAlign w:val="bottom"/>
          </w:tcPr>
          <w:p>
            <w:pPr>
              <w:spacing w:after="0"/>
              <w:rPr>
                <w:sz w:val="14"/>
                <w:szCs w:val="14"/>
                <w:color w:val="auto"/>
              </w:rPr>
            </w:pPr>
          </w:p>
        </w:tc>
        <w:tc>
          <w:tcPr>
            <w:tcW w:w="1360" w:type="dxa"/>
            <w:vAlign w:val="bottom"/>
          </w:tcPr>
          <w:p>
            <w:pPr>
              <w:jc w:val="right"/>
              <w:ind w:right="71"/>
              <w:spacing w:after="0"/>
              <w:rPr>
                <w:sz w:val="20"/>
                <w:szCs w:val="20"/>
                <w:color w:val="auto"/>
              </w:rPr>
            </w:pPr>
            <w:r>
              <w:rPr>
                <w:rFonts w:ascii="Arial" w:cs="Arial" w:eastAsia="Arial" w:hAnsi="Arial"/>
                <w:sz w:val="14"/>
                <w:szCs w:val="14"/>
                <w:color w:val="auto"/>
              </w:rPr>
              <w:t>–</w:t>
            </w:r>
          </w:p>
        </w:tc>
        <w:tc>
          <w:tcPr>
            <w:tcW w:w="1260" w:type="dxa"/>
            <w:vAlign w:val="bottom"/>
          </w:tcPr>
          <w:p>
            <w:pPr>
              <w:jc w:val="right"/>
              <w:ind w:right="12"/>
              <w:spacing w:after="0"/>
              <w:rPr>
                <w:sz w:val="20"/>
                <w:szCs w:val="20"/>
                <w:color w:val="auto"/>
              </w:rPr>
            </w:pPr>
            <w:r>
              <w:rPr>
                <w:rFonts w:ascii="Arial" w:cs="Arial" w:eastAsia="Arial" w:hAnsi="Arial"/>
                <w:sz w:val="14"/>
                <w:szCs w:val="14"/>
                <w:color w:val="auto"/>
              </w:rPr>
              <w:t>124</w:t>
            </w:r>
          </w:p>
        </w:tc>
        <w:tc>
          <w:tcPr>
            <w:tcW w:w="940" w:type="dxa"/>
            <w:vAlign w:val="bottom"/>
            <w:gridSpan w:val="2"/>
          </w:tcPr>
          <w:p>
            <w:pPr>
              <w:jc w:val="right"/>
              <w:ind w:right="100"/>
              <w:spacing w:after="0"/>
              <w:rPr>
                <w:sz w:val="20"/>
                <w:szCs w:val="20"/>
                <w:color w:val="auto"/>
              </w:rPr>
            </w:pPr>
            <w:r>
              <w:rPr>
                <w:rFonts w:ascii="Arial" w:cs="Arial" w:eastAsia="Arial" w:hAnsi="Arial"/>
                <w:sz w:val="14"/>
                <w:szCs w:val="14"/>
                <w:color w:val="auto"/>
              </w:rPr>
              <w:t>3,225</w:t>
            </w:r>
          </w:p>
        </w:tc>
      </w:tr>
      <w:tr>
        <w:trPr>
          <w:trHeight w:val="157"/>
        </w:trPr>
        <w:tc>
          <w:tcPr>
            <w:tcW w:w="4460" w:type="dxa"/>
            <w:vAlign w:val="bottom"/>
            <w:tcBorders>
              <w:bottom w:val="single" w:sz="8" w:color="auto"/>
            </w:tcBorders>
          </w:tcPr>
          <w:p>
            <w:pPr>
              <w:ind w:left="140"/>
              <w:spacing w:after="0" w:line="157" w:lineRule="exact"/>
              <w:rPr>
                <w:sz w:val="20"/>
                <w:szCs w:val="20"/>
                <w:color w:val="auto"/>
              </w:rPr>
            </w:pPr>
            <w:r>
              <w:rPr>
                <w:rFonts w:ascii="Arial" w:cs="Arial" w:eastAsia="Arial" w:hAnsi="Arial"/>
                <w:sz w:val="14"/>
                <w:szCs w:val="14"/>
                <w:color w:val="auto"/>
              </w:rPr>
              <w:t>Within derivative contracts</w:t>
            </w:r>
          </w:p>
        </w:tc>
        <w:tc>
          <w:tcPr>
            <w:tcW w:w="1280" w:type="dxa"/>
            <w:vAlign w:val="bottom"/>
            <w:tcBorders>
              <w:bottom w:val="single" w:sz="8" w:color="auto"/>
            </w:tcBorders>
          </w:tcPr>
          <w:p>
            <w:pPr>
              <w:jc w:val="right"/>
              <w:ind w:right="91"/>
              <w:spacing w:after="0" w:line="157" w:lineRule="exact"/>
              <w:rPr>
                <w:sz w:val="20"/>
                <w:szCs w:val="20"/>
                <w:color w:val="auto"/>
              </w:rPr>
            </w:pPr>
            <w:r>
              <w:rPr>
                <w:rFonts w:ascii="Arial" w:cs="Arial" w:eastAsia="Arial" w:hAnsi="Arial"/>
                <w:sz w:val="14"/>
                <w:szCs w:val="14"/>
                <w:color w:val="auto"/>
              </w:rPr>
              <w:t>35,623</w:t>
            </w:r>
          </w:p>
        </w:tc>
        <w:tc>
          <w:tcPr>
            <w:tcW w:w="800" w:type="dxa"/>
            <w:vAlign w:val="bottom"/>
            <w:tcBorders>
              <w:bottom w:val="single" w:sz="8" w:color="auto"/>
            </w:tcBorders>
          </w:tcPr>
          <w:p>
            <w:pPr>
              <w:jc w:val="right"/>
              <w:ind w:right="71"/>
              <w:spacing w:after="0" w:line="157" w:lineRule="exact"/>
              <w:rPr>
                <w:sz w:val="20"/>
                <w:szCs w:val="20"/>
                <w:color w:val="auto"/>
              </w:rPr>
            </w:pPr>
            <w:r>
              <w:rPr>
                <w:rFonts w:ascii="Arial" w:cs="Arial" w:eastAsia="Arial" w:hAnsi="Arial"/>
                <w:sz w:val="14"/>
                <w:szCs w:val="14"/>
                <w:color w:val="auto"/>
              </w:rPr>
              <w:t>26,577</w:t>
            </w:r>
          </w:p>
        </w:tc>
        <w:tc>
          <w:tcPr>
            <w:tcW w:w="1080" w:type="dxa"/>
            <w:vAlign w:val="bottom"/>
            <w:tcBorders>
              <w:bottom w:val="single" w:sz="8" w:color="auto"/>
            </w:tcBorders>
          </w:tcPr>
          <w:p>
            <w:pPr>
              <w:jc w:val="right"/>
              <w:ind w:right="12"/>
              <w:spacing w:after="0" w:line="157" w:lineRule="exact"/>
              <w:rPr>
                <w:sz w:val="20"/>
                <w:szCs w:val="20"/>
                <w:color w:val="auto"/>
              </w:rPr>
            </w:pPr>
            <w:r>
              <w:rPr>
                <w:rFonts w:ascii="Arial" w:cs="Arial" w:eastAsia="Arial" w:hAnsi="Arial"/>
                <w:sz w:val="14"/>
                <w:szCs w:val="14"/>
                <w:color w:val="auto"/>
              </w:rPr>
              <w:t>9,046</w:t>
            </w:r>
          </w:p>
        </w:tc>
        <w:tc>
          <w:tcPr>
            <w:tcW w:w="24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tcPr>
          <w:p>
            <w:pPr>
              <w:jc w:val="right"/>
              <w:ind w:right="71"/>
              <w:spacing w:after="0" w:line="157" w:lineRule="exact"/>
              <w:rPr>
                <w:sz w:val="20"/>
                <w:szCs w:val="20"/>
                <w:color w:val="auto"/>
              </w:rPr>
            </w:pPr>
            <w:r>
              <w:rPr>
                <w:rFonts w:ascii="Arial" w:cs="Arial" w:eastAsia="Arial" w:hAnsi="Arial"/>
                <w:sz w:val="14"/>
                <w:szCs w:val="14"/>
                <w:color w:val="auto"/>
              </w:rPr>
              <w:t>158</w:t>
            </w:r>
          </w:p>
        </w:tc>
        <w:tc>
          <w:tcPr>
            <w:tcW w:w="1260" w:type="dxa"/>
            <w:vAlign w:val="bottom"/>
            <w:tcBorders>
              <w:bottom w:val="single" w:sz="8" w:color="auto"/>
            </w:tcBorders>
          </w:tcPr>
          <w:p>
            <w:pPr>
              <w:jc w:val="right"/>
              <w:ind w:right="12"/>
              <w:spacing w:after="0" w:line="157" w:lineRule="exact"/>
              <w:rPr>
                <w:sz w:val="20"/>
                <w:szCs w:val="20"/>
                <w:color w:val="auto"/>
              </w:rPr>
            </w:pPr>
            <w:r>
              <w:rPr>
                <w:rFonts w:ascii="Arial" w:cs="Arial" w:eastAsia="Arial" w:hAnsi="Arial"/>
                <w:sz w:val="14"/>
                <w:szCs w:val="14"/>
                <w:color w:val="auto"/>
              </w:rPr>
              <w:t>7,036</w:t>
            </w:r>
          </w:p>
        </w:tc>
        <w:tc>
          <w:tcPr>
            <w:tcW w:w="940" w:type="dxa"/>
            <w:vAlign w:val="bottom"/>
            <w:tcBorders>
              <w:bottom w:val="single" w:sz="8" w:color="auto"/>
            </w:tcBorders>
            <w:gridSpan w:val="2"/>
          </w:tcPr>
          <w:p>
            <w:pPr>
              <w:jc w:val="right"/>
              <w:ind w:right="100"/>
              <w:spacing w:after="0" w:line="157" w:lineRule="exact"/>
              <w:rPr>
                <w:sz w:val="20"/>
                <w:szCs w:val="20"/>
                <w:color w:val="auto"/>
              </w:rPr>
            </w:pPr>
            <w:r>
              <w:rPr>
                <w:rFonts w:ascii="Arial" w:cs="Arial" w:eastAsia="Arial" w:hAnsi="Arial"/>
                <w:sz w:val="14"/>
                <w:szCs w:val="14"/>
                <w:color w:val="auto"/>
              </w:rPr>
              <w:t>1,852</w:t>
            </w:r>
          </w:p>
        </w:tc>
      </w:tr>
    </w:tbl>
    <w:p>
      <w:pPr>
        <w:sectPr>
          <w:pgSz w:w="11900" w:h="16838" w:orient="portrait"/>
          <w:cols w:equalWidth="0" w:num="1">
            <w:col w:w="11420"/>
          </w:cols>
          <w:pgMar w:left="240" w:top="459" w:right="239" w:bottom="1440" w:gutter="0" w:footer="0" w:header="0"/>
        </w:sectPr>
      </w:pPr>
    </w:p>
    <w:bookmarkStart w:id="135" w:name="page136"/>
    <w:bookmarkEnd w:id="1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300355</wp:posOffset>
            </wp:positionV>
            <wp:extent cx="8890" cy="46291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8890" cy="462915"/>
                    </a:xfrm>
                    <a:prstGeom prst="rect">
                      <a:avLst/>
                    </a:prstGeom>
                    <a:noFill/>
                  </pic:spPr>
                </pic:pic>
              </a:graphicData>
            </a:graphic>
          </wp:anchor>
        </w:drawing>
      </w:r>
    </w:p>
    <w:p>
      <w:pPr>
        <w:spacing w:after="0" w:line="200" w:lineRule="exact"/>
        <w:rPr>
          <w:sz w:val="20"/>
          <w:szCs w:val="20"/>
          <w:color w:val="auto"/>
        </w:rPr>
      </w:pP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565"/>
        </w:trPr>
        <w:tc>
          <w:tcPr>
            <w:tcW w:w="1900" w:type="dxa"/>
            <w:vAlign w:val="bottom"/>
            <w:shd w:val="clear" w:color="auto" w:fill="FF8B00"/>
          </w:tcPr>
          <w:p>
            <w:pPr>
              <w:ind w:left="260"/>
              <w:spacing w:after="0"/>
              <w:rPr>
                <w:sz w:val="20"/>
                <w:szCs w:val="20"/>
                <w:color w:val="auto"/>
              </w:rPr>
            </w:pPr>
            <w:r>
              <w:rPr>
                <w:rFonts w:ascii="Arial" w:cs="Arial" w:eastAsia="Arial" w:hAnsi="Arial"/>
                <w:sz w:val="11"/>
                <w:szCs w:val="11"/>
                <w:b w:val="1"/>
                <w:bCs w:val="1"/>
                <w:color w:val="333333"/>
              </w:rPr>
              <w:t>134</w:t>
            </w:r>
          </w:p>
        </w:tc>
        <w:tc>
          <w:tcPr>
            <w:tcW w:w="3680" w:type="dxa"/>
            <w:vAlign w:val="bottom"/>
            <w:gridSpan w:val="2"/>
            <w:shd w:val="clear" w:color="auto" w:fill="FF8B00"/>
          </w:tcPr>
          <w:p>
            <w:pPr>
              <w:jc w:val="right"/>
              <w:ind w:right="737"/>
              <w:spacing w:after="0"/>
              <w:rPr>
                <w:sz w:val="20"/>
                <w:szCs w:val="20"/>
                <w:color w:val="auto"/>
              </w:rPr>
            </w:pPr>
            <w:r>
              <w:rPr>
                <w:rFonts w:ascii="Arial" w:cs="Arial" w:eastAsia="Arial" w:hAnsi="Arial"/>
                <w:sz w:val="13"/>
                <w:szCs w:val="13"/>
                <w:color w:val="333333"/>
                <w:w w:val="98"/>
              </w:rPr>
              <w:t>FINANCIAL STATEMENTS AND SUPPLEMENTS</w:t>
            </w:r>
          </w:p>
        </w:tc>
        <w:tc>
          <w:tcPr>
            <w:tcW w:w="6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5"/>
        </w:trPr>
        <w:tc>
          <w:tcPr>
            <w:tcW w:w="1900" w:type="dxa"/>
            <w:vAlign w:val="bottom"/>
            <w:shd w:val="clear" w:color="auto" w:fill="FF8B00"/>
          </w:tcPr>
          <w:p>
            <w:pPr>
              <w:spacing w:after="0"/>
              <w:rPr>
                <w:sz w:val="14"/>
                <w:szCs w:val="14"/>
                <w:color w:val="auto"/>
              </w:rPr>
            </w:pPr>
          </w:p>
        </w:tc>
        <w:tc>
          <w:tcPr>
            <w:tcW w:w="2240" w:type="dxa"/>
            <w:vAlign w:val="bottom"/>
            <w:shd w:val="clear" w:color="auto" w:fill="FF8B00"/>
          </w:tcPr>
          <w:p>
            <w:pPr>
              <w:spacing w:after="0"/>
              <w:rPr>
                <w:sz w:val="14"/>
                <w:szCs w:val="14"/>
                <w:color w:val="auto"/>
              </w:rPr>
            </w:pPr>
          </w:p>
        </w:tc>
        <w:tc>
          <w:tcPr>
            <w:tcW w:w="1440" w:type="dxa"/>
            <w:vAlign w:val="bottom"/>
            <w:shd w:val="clear" w:color="auto" w:fill="FF8B00"/>
          </w:tcPr>
          <w:p>
            <w:pPr>
              <w:spacing w:after="0"/>
              <w:rPr>
                <w:sz w:val="14"/>
                <w:szCs w:val="14"/>
                <w:color w:val="auto"/>
              </w:rPr>
            </w:pPr>
          </w:p>
        </w:tc>
        <w:tc>
          <w:tcPr>
            <w:tcW w:w="6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460" w:type="dxa"/>
            <w:vAlign w:val="bottom"/>
            <w:gridSpan w:val="3"/>
            <w:vMerge w:val="restart"/>
          </w:tcPr>
          <w:p>
            <w:pPr>
              <w:ind w:left="60"/>
              <w:spacing w:after="0"/>
              <w:rPr>
                <w:sz w:val="20"/>
                <w:szCs w:val="20"/>
                <w:color w:val="auto"/>
              </w:rPr>
            </w:pPr>
            <w:r>
              <w:rPr>
                <w:rFonts w:ascii="Arial" w:cs="Arial" w:eastAsia="Arial" w:hAnsi="Arial"/>
                <w:sz w:val="11"/>
                <w:szCs w:val="11"/>
                <w:color w:val="auto"/>
                <w:w w:val="96"/>
              </w:rPr>
              <w:t>SHELL ANNUAL REPORT AND FORM 20-F 2014</w:t>
            </w:r>
          </w:p>
        </w:tc>
        <w:tc>
          <w:tcPr>
            <w:tcW w:w="0" w:type="dxa"/>
            <w:vAlign w:val="bottom"/>
          </w:tcPr>
          <w:p>
            <w:pPr>
              <w:spacing w:after="0"/>
              <w:rPr>
                <w:sz w:val="1"/>
                <w:szCs w:val="1"/>
                <w:color w:val="auto"/>
              </w:rPr>
            </w:pPr>
          </w:p>
        </w:tc>
      </w:tr>
      <w:tr>
        <w:trPr>
          <w:trHeight w:val="130"/>
        </w:trPr>
        <w:tc>
          <w:tcPr>
            <w:tcW w:w="1900" w:type="dxa"/>
            <w:vAlign w:val="bottom"/>
            <w:vMerge w:val="restart"/>
          </w:tcPr>
          <w:p>
            <w:pPr>
              <w:spacing w:after="0"/>
              <w:rPr>
                <w:sz w:val="20"/>
                <w:szCs w:val="20"/>
                <w:color w:val="auto"/>
              </w:rPr>
            </w:pPr>
            <w:r>
              <w:rPr>
                <w:rFonts w:ascii="Arial" w:cs="Arial" w:eastAsia="Arial" w:hAnsi="Arial"/>
                <w:sz w:val="11"/>
                <w:szCs w:val="11"/>
                <w:color w:val="auto"/>
              </w:rPr>
              <w:t>[Note 19 continued]</w:t>
            </w:r>
          </w:p>
        </w:tc>
        <w:tc>
          <w:tcPr>
            <w:tcW w:w="3680" w:type="dxa"/>
            <w:vAlign w:val="bottom"/>
            <w:gridSpan w:val="2"/>
          </w:tcPr>
          <w:p>
            <w:pPr>
              <w:jc w:val="right"/>
              <w:ind w:right="737"/>
              <w:spacing w:after="0"/>
              <w:rPr>
                <w:sz w:val="20"/>
                <w:szCs w:val="20"/>
                <w:color w:val="auto"/>
              </w:rPr>
            </w:pPr>
            <w:r>
              <w:rPr>
                <w:rFonts w:ascii="Arial" w:cs="Arial" w:eastAsia="Arial" w:hAnsi="Arial"/>
                <w:sz w:val="11"/>
                <w:szCs w:val="11"/>
                <w:color w:val="auto"/>
              </w:rPr>
              <w:t>CONSOLIDATED FINANCIAL STATEMENTS</w:t>
            </w:r>
          </w:p>
        </w:tc>
        <w:tc>
          <w:tcPr>
            <w:tcW w:w="6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2460" w:type="dxa"/>
            <w:vAlign w:val="bottom"/>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13"/>
        </w:trPr>
        <w:tc>
          <w:tcPr>
            <w:tcW w:w="1900" w:type="dxa"/>
            <w:vAlign w:val="bottom"/>
            <w:vMerge w:val="continue"/>
          </w:tcPr>
          <w:p>
            <w:pPr>
              <w:spacing w:after="0"/>
              <w:rPr>
                <w:sz w:val="9"/>
                <w:szCs w:val="9"/>
                <w:color w:val="auto"/>
              </w:rPr>
            </w:pPr>
          </w:p>
        </w:tc>
        <w:tc>
          <w:tcPr>
            <w:tcW w:w="2240" w:type="dxa"/>
            <w:vAlign w:val="bottom"/>
          </w:tcPr>
          <w:p>
            <w:pPr>
              <w:spacing w:after="0"/>
              <w:rPr>
                <w:sz w:val="9"/>
                <w:szCs w:val="9"/>
                <w:color w:val="auto"/>
              </w:rPr>
            </w:pPr>
          </w:p>
        </w:tc>
        <w:tc>
          <w:tcPr>
            <w:tcW w:w="14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1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300" w:type="dxa"/>
            <w:vAlign w:val="bottom"/>
          </w:tcPr>
          <w:p>
            <w:pPr>
              <w:spacing w:after="0"/>
              <w:rPr>
                <w:sz w:val="9"/>
                <w:szCs w:val="9"/>
                <w:color w:val="auto"/>
              </w:rPr>
            </w:pPr>
          </w:p>
        </w:tc>
        <w:tc>
          <w:tcPr>
            <w:tcW w:w="136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2"/>
        </w:trPr>
        <w:tc>
          <w:tcPr>
            <w:tcW w:w="1900" w:type="dxa"/>
            <w:vAlign w:val="bottom"/>
            <w:shd w:val="clear" w:color="auto" w:fill="333333"/>
          </w:tcPr>
          <w:p>
            <w:pPr>
              <w:ind w:left="80"/>
              <w:spacing w:after="0" w:line="162" w:lineRule="exact"/>
              <w:rPr>
                <w:sz w:val="20"/>
                <w:szCs w:val="20"/>
                <w:color w:val="auto"/>
              </w:rPr>
            </w:pPr>
            <w:r>
              <w:rPr>
                <w:rFonts w:ascii="Arial" w:cs="Arial" w:eastAsia="Arial" w:hAnsi="Arial"/>
                <w:sz w:val="15"/>
                <w:szCs w:val="15"/>
                <w:b w:val="1"/>
                <w:bCs w:val="1"/>
                <w:color w:val="FFFFFF"/>
              </w:rPr>
              <w:t>2013</w:t>
            </w:r>
          </w:p>
        </w:tc>
        <w:tc>
          <w:tcPr>
            <w:tcW w:w="2240" w:type="dxa"/>
            <w:vAlign w:val="bottom"/>
            <w:shd w:val="clear" w:color="auto" w:fill="333333"/>
          </w:tcPr>
          <w:p>
            <w:pPr>
              <w:spacing w:after="0"/>
              <w:rPr>
                <w:sz w:val="14"/>
                <w:szCs w:val="14"/>
                <w:color w:val="auto"/>
              </w:rPr>
            </w:pPr>
          </w:p>
        </w:tc>
        <w:tc>
          <w:tcPr>
            <w:tcW w:w="1440" w:type="dxa"/>
            <w:vAlign w:val="bottom"/>
            <w:shd w:val="clear" w:color="auto" w:fill="333333"/>
          </w:tcPr>
          <w:p>
            <w:pPr>
              <w:spacing w:after="0"/>
              <w:rPr>
                <w:sz w:val="14"/>
                <w:szCs w:val="14"/>
                <w:color w:val="auto"/>
              </w:rPr>
            </w:pPr>
          </w:p>
        </w:tc>
        <w:tc>
          <w:tcPr>
            <w:tcW w:w="660" w:type="dxa"/>
            <w:vAlign w:val="bottom"/>
            <w:shd w:val="clear" w:color="auto" w:fill="333333"/>
          </w:tcPr>
          <w:p>
            <w:pPr>
              <w:spacing w:after="0"/>
              <w:rPr>
                <w:sz w:val="14"/>
                <w:szCs w:val="14"/>
                <w:color w:val="auto"/>
              </w:rPr>
            </w:pPr>
          </w:p>
        </w:tc>
        <w:tc>
          <w:tcPr>
            <w:tcW w:w="1180" w:type="dxa"/>
            <w:vAlign w:val="bottom"/>
            <w:shd w:val="clear" w:color="auto" w:fill="333333"/>
          </w:tcPr>
          <w:p>
            <w:pPr>
              <w:spacing w:after="0"/>
              <w:rPr>
                <w:sz w:val="14"/>
                <w:szCs w:val="14"/>
                <w:color w:val="auto"/>
              </w:rPr>
            </w:pPr>
          </w:p>
        </w:tc>
        <w:tc>
          <w:tcPr>
            <w:tcW w:w="240" w:type="dxa"/>
            <w:vAlign w:val="bottom"/>
            <w:shd w:val="clear" w:color="auto" w:fill="333333"/>
          </w:tcPr>
          <w:p>
            <w:pPr>
              <w:spacing w:after="0"/>
              <w:rPr>
                <w:sz w:val="14"/>
                <w:szCs w:val="14"/>
                <w:color w:val="auto"/>
              </w:rPr>
            </w:pPr>
          </w:p>
        </w:tc>
        <w:tc>
          <w:tcPr>
            <w:tcW w:w="1300" w:type="dxa"/>
            <w:vAlign w:val="bottom"/>
            <w:shd w:val="clear" w:color="auto" w:fill="333333"/>
          </w:tcPr>
          <w:p>
            <w:pPr>
              <w:spacing w:after="0"/>
              <w:rPr>
                <w:sz w:val="14"/>
                <w:szCs w:val="14"/>
                <w:color w:val="auto"/>
              </w:rPr>
            </w:pPr>
          </w:p>
        </w:tc>
        <w:tc>
          <w:tcPr>
            <w:tcW w:w="1360" w:type="dxa"/>
            <w:vAlign w:val="bottom"/>
            <w:shd w:val="clear" w:color="auto" w:fill="333333"/>
          </w:tcPr>
          <w:p>
            <w:pPr>
              <w:spacing w:after="0"/>
              <w:rPr>
                <w:sz w:val="14"/>
                <w:szCs w:val="14"/>
                <w:color w:val="auto"/>
              </w:rPr>
            </w:pPr>
          </w:p>
        </w:tc>
        <w:tc>
          <w:tcPr>
            <w:tcW w:w="1100" w:type="dxa"/>
            <w:vAlign w:val="bottom"/>
            <w:gridSpan w:val="2"/>
            <w:shd w:val="clear" w:color="auto" w:fill="333333"/>
          </w:tcPr>
          <w:p>
            <w:pPr>
              <w:ind w:left="260"/>
              <w:spacing w:after="0" w:line="162" w:lineRule="exact"/>
              <w:rPr>
                <w:sz w:val="20"/>
                <w:szCs w:val="20"/>
                <w:color w:val="auto"/>
              </w:rPr>
            </w:pPr>
            <w:r>
              <w:rPr>
                <w:rFonts w:ascii="Arial" w:cs="Arial" w:eastAsia="Arial" w:hAnsi="Arial"/>
                <w:sz w:val="15"/>
                <w:szCs w:val="15"/>
                <w:color w:val="FFFFFF"/>
              </w:rPr>
              <w:t>$ MILLION</w:t>
            </w:r>
          </w:p>
        </w:tc>
        <w:tc>
          <w:tcPr>
            <w:tcW w:w="0" w:type="dxa"/>
            <w:vAlign w:val="bottom"/>
          </w:tcPr>
          <w:p>
            <w:pPr>
              <w:spacing w:after="0"/>
              <w:rPr>
                <w:sz w:val="1"/>
                <w:szCs w:val="1"/>
                <w:color w:val="auto"/>
              </w:rPr>
            </w:pPr>
          </w:p>
        </w:tc>
      </w:tr>
      <w:tr>
        <w:trPr>
          <w:trHeight w:val="135"/>
        </w:trPr>
        <w:tc>
          <w:tcPr>
            <w:tcW w:w="1900" w:type="dxa"/>
            <w:vAlign w:val="bottom"/>
          </w:tcPr>
          <w:p>
            <w:pPr>
              <w:spacing w:after="0"/>
              <w:rPr>
                <w:sz w:val="11"/>
                <w:szCs w:val="11"/>
                <w:color w:val="auto"/>
              </w:rPr>
            </w:pPr>
          </w:p>
        </w:tc>
        <w:tc>
          <w:tcPr>
            <w:tcW w:w="224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20" w:type="dxa"/>
            <w:vAlign w:val="bottom"/>
            <w:gridSpan w:val="2"/>
          </w:tcPr>
          <w:p>
            <w:pPr>
              <w:jc w:val="right"/>
              <w:ind w:right="420"/>
              <w:spacing w:after="0" w:line="135" w:lineRule="exact"/>
              <w:rPr>
                <w:sz w:val="20"/>
                <w:szCs w:val="20"/>
                <w:color w:val="auto"/>
              </w:rPr>
            </w:pPr>
            <w:r>
              <w:rPr>
                <w:rFonts w:ascii="Arial" w:cs="Arial" w:eastAsia="Arial" w:hAnsi="Arial"/>
                <w:sz w:val="13"/>
                <w:szCs w:val="13"/>
                <w:color w:val="auto"/>
              </w:rPr>
              <w:t>Amounts offset</w:t>
            </w:r>
          </w:p>
        </w:tc>
        <w:tc>
          <w:tcPr>
            <w:tcW w:w="1300" w:type="dxa"/>
            <w:vAlign w:val="bottom"/>
          </w:tcPr>
          <w:p>
            <w:pPr>
              <w:spacing w:after="0"/>
              <w:rPr>
                <w:sz w:val="11"/>
                <w:szCs w:val="11"/>
                <w:color w:val="auto"/>
              </w:rPr>
            </w:pPr>
          </w:p>
        </w:tc>
        <w:tc>
          <w:tcPr>
            <w:tcW w:w="1360" w:type="dxa"/>
            <w:vAlign w:val="bottom"/>
          </w:tcPr>
          <w:p>
            <w:pPr>
              <w:jc w:val="right"/>
              <w:ind w:right="14"/>
              <w:spacing w:after="0" w:line="135" w:lineRule="exact"/>
              <w:rPr>
                <w:sz w:val="20"/>
                <w:szCs w:val="20"/>
                <w:color w:val="auto"/>
              </w:rPr>
            </w:pPr>
            <w:r>
              <w:rPr>
                <w:rFonts w:ascii="Arial" w:cs="Arial" w:eastAsia="Arial" w:hAnsi="Arial"/>
                <w:sz w:val="13"/>
                <w:szCs w:val="13"/>
                <w:color w:val="auto"/>
              </w:rPr>
              <w:t>Amounts not offset</w:t>
            </w: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3"/>
        </w:trPr>
        <w:tc>
          <w:tcPr>
            <w:tcW w:w="1900" w:type="dxa"/>
            <w:vAlign w:val="bottom"/>
          </w:tcPr>
          <w:p>
            <w:pPr>
              <w:spacing w:after="0"/>
              <w:rPr>
                <w:sz w:val="10"/>
                <w:szCs w:val="10"/>
                <w:color w:val="auto"/>
              </w:rPr>
            </w:pPr>
          </w:p>
        </w:tc>
        <w:tc>
          <w:tcPr>
            <w:tcW w:w="2240" w:type="dxa"/>
            <w:vAlign w:val="bottom"/>
          </w:tcPr>
          <w:p>
            <w:pPr>
              <w:spacing w:after="0"/>
              <w:rPr>
                <w:sz w:val="10"/>
                <w:szCs w:val="10"/>
                <w:color w:val="auto"/>
              </w:rPr>
            </w:pPr>
          </w:p>
        </w:tc>
        <w:tc>
          <w:tcPr>
            <w:tcW w:w="1440" w:type="dxa"/>
            <w:vAlign w:val="bottom"/>
            <w:tcBorders>
              <w:top w:val="single" w:sz="8" w:color="auto"/>
            </w:tcBorders>
          </w:tcPr>
          <w:p>
            <w:pPr>
              <w:jc w:val="right"/>
              <w:ind w:right="357"/>
              <w:spacing w:after="0" w:line="123" w:lineRule="exact"/>
              <w:rPr>
                <w:sz w:val="20"/>
                <w:szCs w:val="20"/>
                <w:color w:val="auto"/>
              </w:rPr>
            </w:pPr>
            <w:r>
              <w:rPr>
                <w:rFonts w:ascii="Arial" w:cs="Arial" w:eastAsia="Arial" w:hAnsi="Arial"/>
                <w:sz w:val="13"/>
                <w:szCs w:val="13"/>
                <w:color w:val="auto"/>
              </w:rPr>
              <w:t>Gross amounts</w:t>
            </w:r>
          </w:p>
        </w:tc>
        <w:tc>
          <w:tcPr>
            <w:tcW w:w="660" w:type="dxa"/>
            <w:vAlign w:val="bottom"/>
            <w:tcBorders>
              <w:top w:val="single" w:sz="8" w:color="auto"/>
            </w:tcBorders>
          </w:tcPr>
          <w:p>
            <w:pPr>
              <w:jc w:val="right"/>
              <w:ind w:right="91"/>
              <w:spacing w:after="0" w:line="123" w:lineRule="exact"/>
              <w:rPr>
                <w:sz w:val="20"/>
                <w:szCs w:val="20"/>
                <w:color w:val="auto"/>
              </w:rPr>
            </w:pPr>
            <w:r>
              <w:rPr>
                <w:rFonts w:ascii="Arial" w:cs="Arial" w:eastAsia="Arial" w:hAnsi="Arial"/>
                <w:sz w:val="13"/>
                <w:szCs w:val="13"/>
                <w:color w:val="auto"/>
                <w:w w:val="93"/>
              </w:rPr>
              <w:t>Amounts</w:t>
            </w:r>
          </w:p>
        </w:tc>
        <w:tc>
          <w:tcPr>
            <w:tcW w:w="1180" w:type="dxa"/>
            <w:vAlign w:val="bottom"/>
            <w:tcBorders>
              <w:top w:val="single" w:sz="8" w:color="auto"/>
            </w:tcBorders>
          </w:tcPr>
          <w:p>
            <w:pPr>
              <w:jc w:val="right"/>
              <w:ind w:right="112"/>
              <w:spacing w:after="0" w:line="123" w:lineRule="exact"/>
              <w:rPr>
                <w:sz w:val="20"/>
                <w:szCs w:val="20"/>
                <w:color w:val="auto"/>
              </w:rPr>
            </w:pPr>
            <w:r>
              <w:rPr>
                <w:rFonts w:ascii="Arial" w:cs="Arial" w:eastAsia="Arial" w:hAnsi="Arial"/>
                <w:sz w:val="13"/>
                <w:szCs w:val="13"/>
                <w:color w:val="auto"/>
              </w:rPr>
              <w:t>Net amounts</w:t>
            </w:r>
          </w:p>
        </w:tc>
        <w:tc>
          <w:tcPr>
            <w:tcW w:w="240" w:type="dxa"/>
            <w:vAlign w:val="bottom"/>
          </w:tcPr>
          <w:p>
            <w:pPr>
              <w:spacing w:after="0"/>
              <w:rPr>
                <w:sz w:val="10"/>
                <w:szCs w:val="10"/>
                <w:color w:val="auto"/>
              </w:rPr>
            </w:pPr>
          </w:p>
        </w:tc>
        <w:tc>
          <w:tcPr>
            <w:tcW w:w="1300" w:type="dxa"/>
            <w:vAlign w:val="bottom"/>
            <w:tcBorders>
              <w:top w:val="single" w:sz="8" w:color="auto"/>
            </w:tcBorders>
          </w:tcPr>
          <w:p>
            <w:pPr>
              <w:jc w:val="right"/>
              <w:spacing w:after="0" w:line="123" w:lineRule="exact"/>
              <w:rPr>
                <w:sz w:val="20"/>
                <w:szCs w:val="20"/>
                <w:color w:val="auto"/>
              </w:rPr>
            </w:pPr>
            <w:r>
              <w:rPr>
                <w:rFonts w:ascii="Arial" w:cs="Arial" w:eastAsia="Arial" w:hAnsi="Arial"/>
                <w:sz w:val="13"/>
                <w:szCs w:val="13"/>
                <w:color w:val="auto"/>
              </w:rPr>
              <w:t>Cash collateral</w:t>
            </w:r>
          </w:p>
        </w:tc>
        <w:tc>
          <w:tcPr>
            <w:tcW w:w="1360" w:type="dxa"/>
            <w:vAlign w:val="bottom"/>
            <w:tcBorders>
              <w:top w:val="single" w:sz="8" w:color="auto"/>
            </w:tcBorders>
          </w:tcPr>
          <w:p>
            <w:pPr>
              <w:jc w:val="right"/>
              <w:ind w:right="14"/>
              <w:spacing w:after="0" w:line="123" w:lineRule="exact"/>
              <w:rPr>
                <w:sz w:val="20"/>
                <w:szCs w:val="20"/>
                <w:color w:val="auto"/>
              </w:rPr>
            </w:pPr>
            <w:r>
              <w:rPr>
                <w:rFonts w:ascii="Arial" w:cs="Arial" w:eastAsia="Arial" w:hAnsi="Arial"/>
                <w:sz w:val="13"/>
                <w:szCs w:val="13"/>
                <w:color w:val="auto"/>
              </w:rPr>
              <w:t>Other offsetting</w:t>
            </w:r>
          </w:p>
        </w:tc>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5"/>
        </w:trPr>
        <w:tc>
          <w:tcPr>
            <w:tcW w:w="1900" w:type="dxa"/>
            <w:vAlign w:val="bottom"/>
          </w:tcPr>
          <w:p>
            <w:pPr>
              <w:spacing w:after="0"/>
              <w:rPr>
                <w:sz w:val="13"/>
                <w:szCs w:val="13"/>
                <w:color w:val="auto"/>
              </w:rPr>
            </w:pPr>
          </w:p>
        </w:tc>
        <w:tc>
          <w:tcPr>
            <w:tcW w:w="2240" w:type="dxa"/>
            <w:vAlign w:val="bottom"/>
          </w:tcPr>
          <w:p>
            <w:pPr>
              <w:spacing w:after="0"/>
              <w:rPr>
                <w:sz w:val="13"/>
                <w:szCs w:val="13"/>
                <w:color w:val="auto"/>
              </w:rPr>
            </w:pPr>
          </w:p>
        </w:tc>
        <w:tc>
          <w:tcPr>
            <w:tcW w:w="1440" w:type="dxa"/>
            <w:vAlign w:val="bottom"/>
          </w:tcPr>
          <w:p>
            <w:pPr>
              <w:jc w:val="right"/>
              <w:ind w:right="217"/>
              <w:spacing w:after="0"/>
              <w:rPr>
                <w:sz w:val="20"/>
                <w:szCs w:val="20"/>
                <w:color w:val="auto"/>
              </w:rPr>
            </w:pPr>
            <w:r>
              <w:rPr>
                <w:rFonts w:ascii="Arial" w:cs="Arial" w:eastAsia="Arial" w:hAnsi="Arial"/>
                <w:sz w:val="13"/>
                <w:szCs w:val="13"/>
                <w:color w:val="auto"/>
              </w:rPr>
              <w:t>before offset[A]</w:t>
            </w:r>
          </w:p>
        </w:tc>
        <w:tc>
          <w:tcPr>
            <w:tcW w:w="660" w:type="dxa"/>
            <w:vAlign w:val="bottom"/>
          </w:tcPr>
          <w:p>
            <w:pPr>
              <w:jc w:val="right"/>
              <w:ind w:right="91"/>
              <w:spacing w:after="0"/>
              <w:rPr>
                <w:sz w:val="20"/>
                <w:szCs w:val="20"/>
                <w:color w:val="auto"/>
              </w:rPr>
            </w:pPr>
            <w:r>
              <w:rPr>
                <w:rFonts w:ascii="Arial" w:cs="Arial" w:eastAsia="Arial" w:hAnsi="Arial"/>
                <w:sz w:val="13"/>
                <w:szCs w:val="13"/>
                <w:color w:val="auto"/>
              </w:rPr>
              <w:t>offset</w:t>
            </w:r>
          </w:p>
        </w:tc>
        <w:tc>
          <w:tcPr>
            <w:tcW w:w="1420" w:type="dxa"/>
            <w:vAlign w:val="bottom"/>
            <w:gridSpan w:val="2"/>
          </w:tcPr>
          <w:p>
            <w:pPr>
              <w:ind w:left="260"/>
              <w:spacing w:after="0"/>
              <w:rPr>
                <w:sz w:val="20"/>
                <w:szCs w:val="20"/>
                <w:color w:val="auto"/>
              </w:rPr>
            </w:pPr>
            <w:r>
              <w:rPr>
                <w:rFonts w:ascii="Arial" w:cs="Arial" w:eastAsia="Arial" w:hAnsi="Arial"/>
                <w:sz w:val="13"/>
                <w:szCs w:val="13"/>
                <w:color w:val="auto"/>
              </w:rPr>
              <w:t>as presented[A]</w:t>
            </w:r>
          </w:p>
        </w:tc>
        <w:tc>
          <w:tcPr>
            <w:tcW w:w="1300" w:type="dxa"/>
            <w:vAlign w:val="bottom"/>
          </w:tcPr>
          <w:p>
            <w:pPr>
              <w:jc w:val="right"/>
              <w:spacing w:after="0"/>
              <w:rPr>
                <w:sz w:val="20"/>
                <w:szCs w:val="20"/>
                <w:color w:val="auto"/>
              </w:rPr>
            </w:pPr>
            <w:r>
              <w:rPr>
                <w:rFonts w:ascii="Arial" w:cs="Arial" w:eastAsia="Arial" w:hAnsi="Arial"/>
                <w:sz w:val="13"/>
                <w:szCs w:val="13"/>
                <w:color w:val="auto"/>
              </w:rPr>
              <w:t>received/pledged</w:t>
            </w:r>
          </w:p>
        </w:tc>
        <w:tc>
          <w:tcPr>
            <w:tcW w:w="1360" w:type="dxa"/>
            <w:vAlign w:val="bottom"/>
          </w:tcPr>
          <w:p>
            <w:pPr>
              <w:jc w:val="right"/>
              <w:ind w:right="14"/>
              <w:spacing w:after="0"/>
              <w:rPr>
                <w:sz w:val="20"/>
                <w:szCs w:val="20"/>
                <w:color w:val="auto"/>
              </w:rPr>
            </w:pPr>
            <w:r>
              <w:rPr>
                <w:rFonts w:ascii="Arial" w:cs="Arial" w:eastAsia="Arial" w:hAnsi="Arial"/>
                <w:sz w:val="13"/>
                <w:szCs w:val="13"/>
                <w:color w:val="auto"/>
              </w:rPr>
              <w:t>instruments</w:t>
            </w:r>
          </w:p>
        </w:tc>
        <w:tc>
          <w:tcPr>
            <w:tcW w:w="1100" w:type="dxa"/>
            <w:vAlign w:val="bottom"/>
            <w:gridSpan w:val="2"/>
          </w:tcPr>
          <w:p>
            <w:pPr>
              <w:jc w:val="right"/>
              <w:ind w:right="100"/>
              <w:spacing w:after="0"/>
              <w:rPr>
                <w:sz w:val="20"/>
                <w:szCs w:val="20"/>
                <w:color w:val="auto"/>
              </w:rPr>
            </w:pPr>
            <w:r>
              <w:rPr>
                <w:rFonts w:ascii="Arial" w:cs="Arial" w:eastAsia="Arial" w:hAnsi="Arial"/>
                <w:sz w:val="13"/>
                <w:szCs w:val="13"/>
                <w:color w:val="auto"/>
              </w:rPr>
              <w:t>Net amounts[A]</w:t>
            </w:r>
          </w:p>
        </w:tc>
        <w:tc>
          <w:tcPr>
            <w:tcW w:w="0" w:type="dxa"/>
            <w:vAlign w:val="bottom"/>
          </w:tcPr>
          <w:p>
            <w:pPr>
              <w:spacing w:after="0"/>
              <w:rPr>
                <w:sz w:val="1"/>
                <w:szCs w:val="1"/>
                <w:color w:val="auto"/>
              </w:rPr>
            </w:pPr>
          </w:p>
        </w:tc>
      </w:tr>
      <w:tr>
        <w:trPr>
          <w:trHeight w:val="160"/>
        </w:trPr>
        <w:tc>
          <w:tcPr>
            <w:tcW w:w="1900" w:type="dxa"/>
            <w:vAlign w:val="bottom"/>
            <w:tcBorders>
              <w:top w:val="single" w:sz="8" w:color="auto"/>
            </w:tcBorders>
          </w:tcPr>
          <w:p>
            <w:pPr>
              <w:spacing w:after="0"/>
              <w:rPr>
                <w:sz w:val="20"/>
                <w:szCs w:val="20"/>
                <w:color w:val="auto"/>
              </w:rPr>
            </w:pPr>
            <w:r>
              <w:rPr>
                <w:rFonts w:ascii="Arial" w:cs="Arial" w:eastAsia="Arial" w:hAnsi="Arial"/>
                <w:sz w:val="14"/>
                <w:szCs w:val="14"/>
                <w:color w:val="auto"/>
              </w:rPr>
              <w:t>Assets:</w:t>
            </w:r>
          </w:p>
        </w:tc>
        <w:tc>
          <w:tcPr>
            <w:tcW w:w="2240" w:type="dxa"/>
            <w:vAlign w:val="bottom"/>
            <w:tcBorders>
              <w:top w:val="single" w:sz="8" w:color="auto"/>
            </w:tcBorders>
          </w:tcPr>
          <w:p>
            <w:pPr>
              <w:spacing w:after="0"/>
              <w:rPr>
                <w:sz w:val="13"/>
                <w:szCs w:val="13"/>
                <w:color w:val="auto"/>
              </w:rPr>
            </w:pPr>
          </w:p>
        </w:tc>
        <w:tc>
          <w:tcPr>
            <w:tcW w:w="144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spacing w:after="0"/>
              <w:rPr>
                <w:sz w:val="13"/>
                <w:szCs w:val="13"/>
                <w:color w:val="auto"/>
              </w:rPr>
            </w:pPr>
          </w:p>
        </w:tc>
        <w:tc>
          <w:tcPr>
            <w:tcW w:w="118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1300" w:type="dxa"/>
            <w:vAlign w:val="bottom"/>
            <w:tcBorders>
              <w:top w:val="single" w:sz="8" w:color="auto"/>
            </w:tcBorders>
          </w:tcPr>
          <w:p>
            <w:pPr>
              <w:spacing w:after="0"/>
              <w:rPr>
                <w:sz w:val="13"/>
                <w:szCs w:val="13"/>
                <w:color w:val="auto"/>
              </w:rPr>
            </w:pPr>
          </w:p>
        </w:tc>
        <w:tc>
          <w:tcPr>
            <w:tcW w:w="136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1900" w:type="dxa"/>
            <w:vAlign w:val="bottom"/>
          </w:tcPr>
          <w:p>
            <w:pPr>
              <w:ind w:left="140"/>
              <w:spacing w:after="0"/>
              <w:rPr>
                <w:sz w:val="20"/>
                <w:szCs w:val="20"/>
                <w:color w:val="auto"/>
              </w:rPr>
            </w:pPr>
            <w:r>
              <w:rPr>
                <w:rFonts w:ascii="Arial" w:cs="Arial" w:eastAsia="Arial" w:hAnsi="Arial"/>
                <w:sz w:val="14"/>
                <w:szCs w:val="14"/>
                <w:color w:val="auto"/>
              </w:rPr>
              <w:t>Within trade receivables</w:t>
            </w:r>
          </w:p>
        </w:tc>
        <w:tc>
          <w:tcPr>
            <w:tcW w:w="3680" w:type="dxa"/>
            <w:vAlign w:val="bottom"/>
            <w:gridSpan w:val="2"/>
          </w:tcPr>
          <w:p>
            <w:pPr>
              <w:jc w:val="right"/>
              <w:ind w:right="357"/>
              <w:spacing w:after="0"/>
              <w:rPr>
                <w:sz w:val="20"/>
                <w:szCs w:val="20"/>
                <w:color w:val="auto"/>
              </w:rPr>
            </w:pPr>
            <w:r>
              <w:rPr>
                <w:rFonts w:ascii="Arial" w:cs="Arial" w:eastAsia="Arial" w:hAnsi="Arial"/>
                <w:sz w:val="14"/>
                <w:szCs w:val="14"/>
                <w:color w:val="auto"/>
              </w:rPr>
              <w:t>15,109</w:t>
            </w:r>
          </w:p>
        </w:tc>
        <w:tc>
          <w:tcPr>
            <w:tcW w:w="660" w:type="dxa"/>
            <w:vAlign w:val="bottom"/>
          </w:tcPr>
          <w:p>
            <w:pPr>
              <w:jc w:val="right"/>
              <w:ind w:right="91"/>
              <w:spacing w:after="0"/>
              <w:rPr>
                <w:sz w:val="20"/>
                <w:szCs w:val="20"/>
                <w:color w:val="auto"/>
              </w:rPr>
            </w:pPr>
            <w:r>
              <w:rPr>
                <w:rFonts w:ascii="Arial" w:cs="Arial" w:eastAsia="Arial" w:hAnsi="Arial"/>
                <w:sz w:val="14"/>
                <w:szCs w:val="14"/>
                <w:color w:val="auto"/>
              </w:rPr>
              <w:t>10,557</w:t>
            </w:r>
          </w:p>
        </w:tc>
        <w:tc>
          <w:tcPr>
            <w:tcW w:w="1180" w:type="dxa"/>
            <w:vAlign w:val="bottom"/>
          </w:tcPr>
          <w:p>
            <w:pPr>
              <w:jc w:val="right"/>
              <w:ind w:right="112"/>
              <w:spacing w:after="0"/>
              <w:rPr>
                <w:sz w:val="20"/>
                <w:szCs w:val="20"/>
                <w:color w:val="auto"/>
              </w:rPr>
            </w:pPr>
            <w:r>
              <w:rPr>
                <w:rFonts w:ascii="Arial" w:cs="Arial" w:eastAsia="Arial" w:hAnsi="Arial"/>
                <w:sz w:val="14"/>
                <w:szCs w:val="14"/>
                <w:color w:val="auto"/>
              </w:rPr>
              <w:t>4,552</w:t>
            </w:r>
          </w:p>
        </w:tc>
        <w:tc>
          <w:tcPr>
            <w:tcW w:w="24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w:t>
            </w:r>
          </w:p>
        </w:tc>
        <w:tc>
          <w:tcPr>
            <w:tcW w:w="1360" w:type="dxa"/>
            <w:vAlign w:val="bottom"/>
          </w:tcPr>
          <w:p>
            <w:pPr>
              <w:jc w:val="right"/>
              <w:ind w:right="14"/>
              <w:spacing w:after="0"/>
              <w:rPr>
                <w:sz w:val="20"/>
                <w:szCs w:val="20"/>
                <w:color w:val="auto"/>
              </w:rPr>
            </w:pPr>
            <w:r>
              <w:rPr>
                <w:rFonts w:ascii="Arial" w:cs="Arial" w:eastAsia="Arial" w:hAnsi="Arial"/>
                <w:sz w:val="14"/>
                <w:szCs w:val="14"/>
                <w:color w:val="auto"/>
              </w:rPr>
              <w:t>344</w:t>
            </w:r>
          </w:p>
        </w:tc>
        <w:tc>
          <w:tcPr>
            <w:tcW w:w="1100" w:type="dxa"/>
            <w:vAlign w:val="bottom"/>
            <w:gridSpan w:val="2"/>
          </w:tcPr>
          <w:p>
            <w:pPr>
              <w:jc w:val="right"/>
              <w:ind w:right="100"/>
              <w:spacing w:after="0"/>
              <w:rPr>
                <w:sz w:val="20"/>
                <w:szCs w:val="20"/>
                <w:color w:val="auto"/>
              </w:rPr>
            </w:pPr>
            <w:r>
              <w:rPr>
                <w:rFonts w:ascii="Arial" w:cs="Arial" w:eastAsia="Arial" w:hAnsi="Arial"/>
                <w:sz w:val="14"/>
                <w:szCs w:val="14"/>
                <w:color w:val="auto"/>
              </w:rPr>
              <w:t>4,208</w:t>
            </w:r>
          </w:p>
        </w:tc>
        <w:tc>
          <w:tcPr>
            <w:tcW w:w="0" w:type="dxa"/>
            <w:vAlign w:val="bottom"/>
          </w:tcPr>
          <w:p>
            <w:pPr>
              <w:spacing w:after="0"/>
              <w:rPr>
                <w:sz w:val="1"/>
                <w:szCs w:val="1"/>
                <w:color w:val="auto"/>
              </w:rPr>
            </w:pPr>
          </w:p>
        </w:tc>
      </w:tr>
      <w:tr>
        <w:trPr>
          <w:trHeight w:val="162"/>
        </w:trPr>
        <w:tc>
          <w:tcPr>
            <w:tcW w:w="1900" w:type="dxa"/>
            <w:vAlign w:val="bottom"/>
          </w:tcPr>
          <w:p>
            <w:pPr>
              <w:ind w:left="140"/>
              <w:spacing w:after="0"/>
              <w:rPr>
                <w:sz w:val="20"/>
                <w:szCs w:val="20"/>
                <w:color w:val="auto"/>
              </w:rPr>
            </w:pPr>
            <w:r>
              <w:rPr>
                <w:rFonts w:ascii="Arial" w:cs="Arial" w:eastAsia="Arial" w:hAnsi="Arial"/>
                <w:sz w:val="14"/>
                <w:szCs w:val="14"/>
                <w:color w:val="auto"/>
              </w:rPr>
              <w:t>Within derivative contracts</w:t>
            </w:r>
          </w:p>
        </w:tc>
        <w:tc>
          <w:tcPr>
            <w:tcW w:w="3680" w:type="dxa"/>
            <w:vAlign w:val="bottom"/>
            <w:gridSpan w:val="2"/>
          </w:tcPr>
          <w:p>
            <w:pPr>
              <w:jc w:val="right"/>
              <w:ind w:right="357"/>
              <w:spacing w:after="0"/>
              <w:rPr>
                <w:sz w:val="20"/>
                <w:szCs w:val="20"/>
                <w:color w:val="auto"/>
              </w:rPr>
            </w:pPr>
            <w:r>
              <w:rPr>
                <w:rFonts w:ascii="Arial" w:cs="Arial" w:eastAsia="Arial" w:hAnsi="Arial"/>
                <w:sz w:val="14"/>
                <w:szCs w:val="14"/>
                <w:color w:val="auto"/>
              </w:rPr>
              <w:t>21,166</w:t>
            </w:r>
          </w:p>
        </w:tc>
        <w:tc>
          <w:tcPr>
            <w:tcW w:w="660" w:type="dxa"/>
            <w:vAlign w:val="bottom"/>
          </w:tcPr>
          <w:p>
            <w:pPr>
              <w:jc w:val="right"/>
              <w:ind w:right="91"/>
              <w:spacing w:after="0"/>
              <w:rPr>
                <w:sz w:val="20"/>
                <w:szCs w:val="20"/>
                <w:color w:val="auto"/>
              </w:rPr>
            </w:pPr>
            <w:r>
              <w:rPr>
                <w:rFonts w:ascii="Arial" w:cs="Arial" w:eastAsia="Arial" w:hAnsi="Arial"/>
                <w:sz w:val="14"/>
                <w:szCs w:val="14"/>
                <w:color w:val="auto"/>
              </w:rPr>
              <w:t>14,866</w:t>
            </w:r>
          </w:p>
        </w:tc>
        <w:tc>
          <w:tcPr>
            <w:tcW w:w="1180" w:type="dxa"/>
            <w:vAlign w:val="bottom"/>
          </w:tcPr>
          <w:p>
            <w:pPr>
              <w:jc w:val="right"/>
              <w:ind w:right="112"/>
              <w:spacing w:after="0"/>
              <w:rPr>
                <w:sz w:val="20"/>
                <w:szCs w:val="20"/>
                <w:color w:val="auto"/>
              </w:rPr>
            </w:pPr>
            <w:r>
              <w:rPr>
                <w:rFonts w:ascii="Arial" w:cs="Arial" w:eastAsia="Arial" w:hAnsi="Arial"/>
                <w:sz w:val="14"/>
                <w:szCs w:val="14"/>
                <w:color w:val="auto"/>
              </w:rPr>
              <w:t>6,300</w:t>
            </w:r>
          </w:p>
        </w:tc>
        <w:tc>
          <w:tcPr>
            <w:tcW w:w="24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239</w:t>
            </w:r>
          </w:p>
        </w:tc>
        <w:tc>
          <w:tcPr>
            <w:tcW w:w="1360" w:type="dxa"/>
            <w:vAlign w:val="bottom"/>
          </w:tcPr>
          <w:p>
            <w:pPr>
              <w:jc w:val="right"/>
              <w:ind w:right="14"/>
              <w:spacing w:after="0"/>
              <w:rPr>
                <w:sz w:val="20"/>
                <w:szCs w:val="20"/>
                <w:color w:val="auto"/>
              </w:rPr>
            </w:pPr>
            <w:r>
              <w:rPr>
                <w:rFonts w:ascii="Arial" w:cs="Arial" w:eastAsia="Arial" w:hAnsi="Arial"/>
                <w:sz w:val="14"/>
                <w:szCs w:val="14"/>
                <w:color w:val="auto"/>
              </w:rPr>
              <w:t>3,360</w:t>
            </w:r>
          </w:p>
        </w:tc>
        <w:tc>
          <w:tcPr>
            <w:tcW w:w="1100" w:type="dxa"/>
            <w:vAlign w:val="bottom"/>
            <w:gridSpan w:val="2"/>
          </w:tcPr>
          <w:p>
            <w:pPr>
              <w:jc w:val="right"/>
              <w:ind w:right="100"/>
              <w:spacing w:after="0"/>
              <w:rPr>
                <w:sz w:val="20"/>
                <w:szCs w:val="20"/>
                <w:color w:val="auto"/>
              </w:rPr>
            </w:pPr>
            <w:r>
              <w:rPr>
                <w:rFonts w:ascii="Arial" w:cs="Arial" w:eastAsia="Arial" w:hAnsi="Arial"/>
                <w:sz w:val="14"/>
                <w:szCs w:val="14"/>
                <w:color w:val="auto"/>
              </w:rPr>
              <w:t>2,701</w:t>
            </w:r>
          </w:p>
        </w:tc>
        <w:tc>
          <w:tcPr>
            <w:tcW w:w="0" w:type="dxa"/>
            <w:vAlign w:val="bottom"/>
          </w:tcPr>
          <w:p>
            <w:pPr>
              <w:spacing w:after="0"/>
              <w:rPr>
                <w:sz w:val="1"/>
                <w:szCs w:val="1"/>
                <w:color w:val="auto"/>
              </w:rPr>
            </w:pPr>
          </w:p>
        </w:tc>
      </w:tr>
      <w:tr>
        <w:trPr>
          <w:trHeight w:val="162"/>
        </w:trPr>
        <w:tc>
          <w:tcPr>
            <w:tcW w:w="1900" w:type="dxa"/>
            <w:vAlign w:val="bottom"/>
          </w:tcPr>
          <w:p>
            <w:pPr>
              <w:spacing w:after="0"/>
              <w:rPr>
                <w:sz w:val="20"/>
                <w:szCs w:val="20"/>
                <w:color w:val="auto"/>
              </w:rPr>
            </w:pPr>
            <w:r>
              <w:rPr>
                <w:rFonts w:ascii="Arial" w:cs="Arial" w:eastAsia="Arial" w:hAnsi="Arial"/>
                <w:sz w:val="14"/>
                <w:szCs w:val="14"/>
                <w:color w:val="auto"/>
              </w:rPr>
              <w:t>Liabilities:</w:t>
            </w:r>
          </w:p>
        </w:tc>
        <w:tc>
          <w:tcPr>
            <w:tcW w:w="22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900" w:type="dxa"/>
            <w:vAlign w:val="bottom"/>
          </w:tcPr>
          <w:p>
            <w:pPr>
              <w:ind w:left="140"/>
              <w:spacing w:after="0"/>
              <w:rPr>
                <w:sz w:val="20"/>
                <w:szCs w:val="20"/>
                <w:color w:val="auto"/>
              </w:rPr>
            </w:pPr>
            <w:r>
              <w:rPr>
                <w:rFonts w:ascii="Arial" w:cs="Arial" w:eastAsia="Arial" w:hAnsi="Arial"/>
                <w:sz w:val="14"/>
                <w:szCs w:val="14"/>
                <w:color w:val="auto"/>
              </w:rPr>
              <w:t>Within trade payables</w:t>
            </w:r>
          </w:p>
        </w:tc>
        <w:tc>
          <w:tcPr>
            <w:tcW w:w="3680" w:type="dxa"/>
            <w:vAlign w:val="bottom"/>
            <w:gridSpan w:val="2"/>
          </w:tcPr>
          <w:p>
            <w:pPr>
              <w:jc w:val="right"/>
              <w:ind w:right="357"/>
              <w:spacing w:after="0"/>
              <w:rPr>
                <w:sz w:val="20"/>
                <w:szCs w:val="20"/>
                <w:color w:val="auto"/>
              </w:rPr>
            </w:pPr>
            <w:r>
              <w:rPr>
                <w:rFonts w:ascii="Arial" w:cs="Arial" w:eastAsia="Arial" w:hAnsi="Arial"/>
                <w:sz w:val="14"/>
                <w:szCs w:val="14"/>
                <w:color w:val="auto"/>
              </w:rPr>
              <w:t>14,541</w:t>
            </w:r>
          </w:p>
        </w:tc>
        <w:tc>
          <w:tcPr>
            <w:tcW w:w="660" w:type="dxa"/>
            <w:vAlign w:val="bottom"/>
          </w:tcPr>
          <w:p>
            <w:pPr>
              <w:jc w:val="right"/>
              <w:ind w:right="91"/>
              <w:spacing w:after="0"/>
              <w:rPr>
                <w:sz w:val="20"/>
                <w:szCs w:val="20"/>
                <w:color w:val="auto"/>
              </w:rPr>
            </w:pPr>
            <w:r>
              <w:rPr>
                <w:rFonts w:ascii="Arial" w:cs="Arial" w:eastAsia="Arial" w:hAnsi="Arial"/>
                <w:sz w:val="14"/>
                <w:szCs w:val="14"/>
                <w:color w:val="auto"/>
              </w:rPr>
              <w:t>10,526</w:t>
            </w:r>
          </w:p>
        </w:tc>
        <w:tc>
          <w:tcPr>
            <w:tcW w:w="1180" w:type="dxa"/>
            <w:vAlign w:val="bottom"/>
          </w:tcPr>
          <w:p>
            <w:pPr>
              <w:jc w:val="right"/>
              <w:ind w:right="112"/>
              <w:spacing w:after="0"/>
              <w:rPr>
                <w:sz w:val="20"/>
                <w:szCs w:val="20"/>
                <w:color w:val="auto"/>
              </w:rPr>
            </w:pPr>
            <w:r>
              <w:rPr>
                <w:rFonts w:ascii="Arial" w:cs="Arial" w:eastAsia="Arial" w:hAnsi="Arial"/>
                <w:sz w:val="14"/>
                <w:szCs w:val="14"/>
                <w:color w:val="auto"/>
              </w:rPr>
              <w:t>4,015</w:t>
            </w:r>
          </w:p>
        </w:tc>
        <w:tc>
          <w:tcPr>
            <w:tcW w:w="24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w:t>
            </w:r>
          </w:p>
        </w:tc>
        <w:tc>
          <w:tcPr>
            <w:tcW w:w="1360" w:type="dxa"/>
            <w:vAlign w:val="bottom"/>
          </w:tcPr>
          <w:p>
            <w:pPr>
              <w:jc w:val="right"/>
              <w:ind w:right="14"/>
              <w:spacing w:after="0"/>
              <w:rPr>
                <w:sz w:val="20"/>
                <w:szCs w:val="20"/>
                <w:color w:val="auto"/>
              </w:rPr>
            </w:pPr>
            <w:r>
              <w:rPr>
                <w:rFonts w:ascii="Arial" w:cs="Arial" w:eastAsia="Arial" w:hAnsi="Arial"/>
                <w:sz w:val="14"/>
                <w:szCs w:val="14"/>
                <w:color w:val="auto"/>
              </w:rPr>
              <w:t>349</w:t>
            </w:r>
          </w:p>
        </w:tc>
        <w:tc>
          <w:tcPr>
            <w:tcW w:w="1100" w:type="dxa"/>
            <w:vAlign w:val="bottom"/>
            <w:gridSpan w:val="2"/>
          </w:tcPr>
          <w:p>
            <w:pPr>
              <w:jc w:val="right"/>
              <w:ind w:right="100"/>
              <w:spacing w:after="0"/>
              <w:rPr>
                <w:sz w:val="20"/>
                <w:szCs w:val="20"/>
                <w:color w:val="auto"/>
              </w:rPr>
            </w:pPr>
            <w:r>
              <w:rPr>
                <w:rFonts w:ascii="Arial" w:cs="Arial" w:eastAsia="Arial" w:hAnsi="Arial"/>
                <w:sz w:val="14"/>
                <w:szCs w:val="14"/>
                <w:color w:val="auto"/>
              </w:rPr>
              <w:t>3,666</w:t>
            </w:r>
          </w:p>
        </w:tc>
        <w:tc>
          <w:tcPr>
            <w:tcW w:w="0" w:type="dxa"/>
            <w:vAlign w:val="bottom"/>
          </w:tcPr>
          <w:p>
            <w:pPr>
              <w:spacing w:after="0"/>
              <w:rPr>
                <w:sz w:val="1"/>
                <w:szCs w:val="1"/>
                <w:color w:val="auto"/>
              </w:rPr>
            </w:pPr>
          </w:p>
        </w:tc>
      </w:tr>
      <w:tr>
        <w:trPr>
          <w:trHeight w:val="157"/>
        </w:trPr>
        <w:tc>
          <w:tcPr>
            <w:tcW w:w="1900" w:type="dxa"/>
            <w:vAlign w:val="bottom"/>
            <w:tcBorders>
              <w:bottom w:val="single" w:sz="8" w:color="auto"/>
            </w:tcBorders>
          </w:tcPr>
          <w:p>
            <w:pPr>
              <w:ind w:left="140"/>
              <w:spacing w:after="0" w:line="157" w:lineRule="exact"/>
              <w:rPr>
                <w:sz w:val="20"/>
                <w:szCs w:val="20"/>
                <w:color w:val="auto"/>
              </w:rPr>
            </w:pPr>
            <w:r>
              <w:rPr>
                <w:rFonts w:ascii="Arial" w:cs="Arial" w:eastAsia="Arial" w:hAnsi="Arial"/>
                <w:sz w:val="14"/>
                <w:szCs w:val="14"/>
                <w:color w:val="auto"/>
              </w:rPr>
              <w:t>Within derivative contracts</w:t>
            </w:r>
          </w:p>
        </w:tc>
        <w:tc>
          <w:tcPr>
            <w:tcW w:w="3680" w:type="dxa"/>
            <w:vAlign w:val="bottom"/>
            <w:tcBorders>
              <w:bottom w:val="single" w:sz="8" w:color="auto"/>
            </w:tcBorders>
            <w:gridSpan w:val="2"/>
          </w:tcPr>
          <w:p>
            <w:pPr>
              <w:jc w:val="right"/>
              <w:ind w:right="357"/>
              <w:spacing w:after="0" w:line="157" w:lineRule="exact"/>
              <w:rPr>
                <w:sz w:val="20"/>
                <w:szCs w:val="20"/>
                <w:color w:val="auto"/>
              </w:rPr>
            </w:pPr>
            <w:r>
              <w:rPr>
                <w:rFonts w:ascii="Arial" w:cs="Arial" w:eastAsia="Arial" w:hAnsi="Arial"/>
                <w:sz w:val="14"/>
                <w:szCs w:val="14"/>
                <w:color w:val="auto"/>
              </w:rPr>
              <w:t>20,341</w:t>
            </w:r>
          </w:p>
        </w:tc>
        <w:tc>
          <w:tcPr>
            <w:tcW w:w="660" w:type="dxa"/>
            <w:vAlign w:val="bottom"/>
            <w:tcBorders>
              <w:bottom w:val="single" w:sz="8" w:color="auto"/>
            </w:tcBorders>
          </w:tcPr>
          <w:p>
            <w:pPr>
              <w:jc w:val="right"/>
              <w:ind w:right="91"/>
              <w:spacing w:after="0" w:line="157" w:lineRule="exact"/>
              <w:rPr>
                <w:sz w:val="20"/>
                <w:szCs w:val="20"/>
                <w:color w:val="auto"/>
              </w:rPr>
            </w:pPr>
            <w:r>
              <w:rPr>
                <w:rFonts w:ascii="Arial" w:cs="Arial" w:eastAsia="Arial" w:hAnsi="Arial"/>
                <w:sz w:val="14"/>
                <w:szCs w:val="14"/>
                <w:color w:val="auto"/>
              </w:rPr>
              <w:t>15,082</w:t>
            </w:r>
          </w:p>
        </w:tc>
        <w:tc>
          <w:tcPr>
            <w:tcW w:w="1180" w:type="dxa"/>
            <w:vAlign w:val="bottom"/>
            <w:tcBorders>
              <w:bottom w:val="single" w:sz="8" w:color="auto"/>
            </w:tcBorders>
          </w:tcPr>
          <w:p>
            <w:pPr>
              <w:jc w:val="right"/>
              <w:ind w:right="112"/>
              <w:spacing w:after="0" w:line="157" w:lineRule="exact"/>
              <w:rPr>
                <w:sz w:val="20"/>
                <w:szCs w:val="20"/>
                <w:color w:val="auto"/>
              </w:rPr>
            </w:pPr>
            <w:r>
              <w:rPr>
                <w:rFonts w:ascii="Arial" w:cs="Arial" w:eastAsia="Arial" w:hAnsi="Arial"/>
                <w:sz w:val="14"/>
                <w:szCs w:val="14"/>
                <w:color w:val="auto"/>
              </w:rPr>
              <w:t>5,259</w:t>
            </w:r>
          </w:p>
        </w:tc>
        <w:tc>
          <w:tcPr>
            <w:tcW w:w="24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tcPr>
          <w:p>
            <w:pPr>
              <w:jc w:val="right"/>
              <w:spacing w:after="0" w:line="157" w:lineRule="exact"/>
              <w:rPr>
                <w:sz w:val="20"/>
                <w:szCs w:val="20"/>
                <w:color w:val="auto"/>
              </w:rPr>
            </w:pPr>
            <w:r>
              <w:rPr>
                <w:rFonts w:ascii="Arial" w:cs="Arial" w:eastAsia="Arial" w:hAnsi="Arial"/>
                <w:sz w:val="14"/>
                <w:szCs w:val="14"/>
                <w:color w:val="auto"/>
              </w:rPr>
              <w:t>327</w:t>
            </w:r>
          </w:p>
        </w:tc>
        <w:tc>
          <w:tcPr>
            <w:tcW w:w="1360" w:type="dxa"/>
            <w:vAlign w:val="bottom"/>
            <w:tcBorders>
              <w:bottom w:val="single" w:sz="8" w:color="auto"/>
            </w:tcBorders>
          </w:tcPr>
          <w:p>
            <w:pPr>
              <w:jc w:val="right"/>
              <w:ind w:right="14"/>
              <w:spacing w:after="0" w:line="157" w:lineRule="exact"/>
              <w:rPr>
                <w:sz w:val="20"/>
                <w:szCs w:val="20"/>
                <w:color w:val="auto"/>
              </w:rPr>
            </w:pPr>
            <w:r>
              <w:rPr>
                <w:rFonts w:ascii="Arial" w:cs="Arial" w:eastAsia="Arial" w:hAnsi="Arial"/>
                <w:sz w:val="14"/>
                <w:szCs w:val="14"/>
                <w:color w:val="auto"/>
              </w:rPr>
              <w:t>3,360</w:t>
            </w:r>
          </w:p>
        </w:tc>
        <w:tc>
          <w:tcPr>
            <w:tcW w:w="1100" w:type="dxa"/>
            <w:vAlign w:val="bottom"/>
            <w:tcBorders>
              <w:bottom w:val="single" w:sz="8" w:color="auto"/>
            </w:tcBorders>
            <w:gridSpan w:val="2"/>
          </w:tcPr>
          <w:p>
            <w:pPr>
              <w:jc w:val="right"/>
              <w:ind w:right="100"/>
              <w:spacing w:after="0" w:line="157" w:lineRule="exact"/>
              <w:rPr>
                <w:sz w:val="20"/>
                <w:szCs w:val="20"/>
                <w:color w:val="auto"/>
              </w:rPr>
            </w:pPr>
            <w:r>
              <w:rPr>
                <w:rFonts w:ascii="Arial" w:cs="Arial" w:eastAsia="Arial" w:hAnsi="Arial"/>
                <w:sz w:val="14"/>
                <w:szCs w:val="14"/>
                <w:color w:val="auto"/>
              </w:rPr>
              <w:t>1,572</w:t>
            </w:r>
          </w:p>
        </w:tc>
        <w:tc>
          <w:tcPr>
            <w:tcW w:w="0" w:type="dxa"/>
            <w:vAlign w:val="bottom"/>
          </w:tcPr>
          <w:p>
            <w:pPr>
              <w:spacing w:after="0"/>
              <w:rPr>
                <w:sz w:val="1"/>
                <w:szCs w:val="1"/>
                <w:color w:val="auto"/>
              </w:rPr>
            </w:pPr>
          </w:p>
        </w:tc>
      </w:tr>
    </w:tbl>
    <w:p>
      <w:pPr>
        <w:spacing w:after="0" w:line="37" w:lineRule="exact"/>
        <w:rPr>
          <w:sz w:val="20"/>
          <w:szCs w:val="20"/>
          <w:color w:val="auto"/>
        </w:rPr>
      </w:pPr>
    </w:p>
    <w:p>
      <w:pPr>
        <w:spacing w:after="0"/>
        <w:rPr>
          <w:sz w:val="20"/>
          <w:szCs w:val="20"/>
          <w:color w:val="auto"/>
        </w:rPr>
      </w:pPr>
      <w:r>
        <w:rPr>
          <w:rFonts w:ascii="Arial" w:cs="Arial" w:eastAsia="Arial" w:hAnsi="Arial"/>
          <w:sz w:val="11"/>
          <w:szCs w:val="11"/>
          <w:color w:val="auto"/>
        </w:rPr>
        <w:t>[A] Revised following a reassessment of contracts.</w:t>
      </w:r>
    </w:p>
    <w:p>
      <w:pPr>
        <w:spacing w:after="0" w:line="179" w:lineRule="exact"/>
        <w:rPr>
          <w:sz w:val="20"/>
          <w:szCs w:val="20"/>
          <w:color w:val="auto"/>
        </w:rPr>
      </w:pPr>
    </w:p>
    <w:p>
      <w:pPr>
        <w:spacing w:after="0"/>
        <w:rPr>
          <w:sz w:val="20"/>
          <w:szCs w:val="20"/>
          <w:color w:val="auto"/>
        </w:rPr>
      </w:pPr>
      <w:r>
        <w:rPr>
          <w:rFonts w:ascii="Arial" w:cs="Arial" w:eastAsia="Arial" w:hAnsi="Arial"/>
          <w:sz w:val="14"/>
          <w:szCs w:val="14"/>
          <w:color w:val="auto"/>
        </w:rPr>
        <w:t>Amounts not offset principally relate to contracts where the intention to settle on a net basis was not clearly established at the balance sheet date.</w:t>
      </w:r>
    </w:p>
    <w:p>
      <w:pPr>
        <w:spacing w:after="0" w:line="190" w:lineRule="exact"/>
        <w:rPr>
          <w:sz w:val="20"/>
          <w:szCs w:val="20"/>
          <w:color w:val="auto"/>
        </w:rPr>
      </w:pPr>
    </w:p>
    <w:p>
      <w:pPr>
        <w:jc w:val="both"/>
        <w:ind w:right="280"/>
        <w:spacing w:after="0" w:line="250" w:lineRule="auto"/>
        <w:rPr>
          <w:sz w:val="20"/>
          <w:szCs w:val="20"/>
          <w:color w:val="auto"/>
        </w:rPr>
      </w:pPr>
      <w:r>
        <w:rPr>
          <w:rFonts w:ascii="Arial" w:cs="Arial" w:eastAsia="Arial" w:hAnsi="Arial"/>
          <w:sz w:val="14"/>
          <w:szCs w:val="14"/>
          <w:color w:val="auto"/>
        </w:rPr>
        <w:t>The carrying amount of financial assets pledged as collateral for liabilities or contingent liabilities at December 31, 2014, and presented within trade and other receivables, was $1,726 million (2013: $717 million). The carrying amount of collateral held at December 31, 2014, and presented within trade and other payables, was $771 million (2013: $173 million). Collateral mainly relates to initial margins held with commodity exchanges and over-the-counter counterparty variation margins.</w:t>
      </w:r>
    </w:p>
    <w:p>
      <w:pPr>
        <w:spacing w:after="0" w:line="144" w:lineRule="exact"/>
        <w:rPr>
          <w:sz w:val="20"/>
          <w:szCs w:val="20"/>
          <w:color w:val="auto"/>
        </w:rPr>
      </w:pPr>
    </w:p>
    <w:p>
      <w:pPr>
        <w:spacing w:after="0"/>
        <w:rPr>
          <w:sz w:val="20"/>
          <w:szCs w:val="20"/>
          <w:color w:val="auto"/>
        </w:rPr>
      </w:pPr>
      <w:r>
        <w:rPr>
          <w:rFonts w:ascii="Arial" w:cs="Arial" w:eastAsia="Arial" w:hAnsi="Arial"/>
          <w:sz w:val="13"/>
          <w:szCs w:val="13"/>
          <w:color w:val="auto"/>
        </w:rPr>
        <w:t>LIQUIDITY RISK</w:t>
      </w:r>
    </w:p>
    <w:p>
      <w:pPr>
        <w:ind w:right="480"/>
        <w:spacing w:after="0" w:line="258" w:lineRule="auto"/>
        <w:rPr>
          <w:sz w:val="20"/>
          <w:szCs w:val="20"/>
          <w:color w:val="auto"/>
        </w:rPr>
      </w:pPr>
      <w:r>
        <w:rPr>
          <w:rFonts w:ascii="Arial" w:cs="Arial" w:eastAsia="Arial" w:hAnsi="Arial"/>
          <w:sz w:val="14"/>
          <w:szCs w:val="14"/>
          <w:color w:val="auto"/>
        </w:rPr>
        <w:t>Liquidity risk is the risk that suitable sources of funding for Shell’s business activities may not be available. Management believes that it has access to sufficient debt funding sources (capital markets), and to undrawn committed borrowing facilities to meet foreseeable requirements. Information about borrowing facilities is presented in Note 14.</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Derivative contracts</w:t>
      </w:r>
    </w:p>
    <w:p>
      <w:pPr>
        <w:spacing w:after="0" w:line="1" w:lineRule="exact"/>
        <w:rPr>
          <w:sz w:val="20"/>
          <w:szCs w:val="20"/>
          <w:color w:val="auto"/>
        </w:rPr>
      </w:pPr>
    </w:p>
    <w:p>
      <w:pPr>
        <w:ind w:right="380"/>
        <w:spacing w:after="0" w:line="258" w:lineRule="auto"/>
        <w:rPr>
          <w:sz w:val="20"/>
          <w:szCs w:val="20"/>
          <w:color w:val="auto"/>
        </w:rPr>
      </w:pPr>
      <w:r>
        <w:rPr>
          <w:rFonts w:ascii="Arial" w:cs="Arial" w:eastAsia="Arial" w:hAnsi="Arial"/>
          <w:sz w:val="14"/>
          <w:szCs w:val="14"/>
          <w:color w:val="auto"/>
        </w:rPr>
        <w:t>Derivative contracts are used principally as hedging instruments, however, because hedge accounting is not always applied, movements in the carrying amounts of derivative contracts that are recognised in income are not always matched in the same period by the recognition of the income effects of the related hedged items.</w:t>
      </w:r>
    </w:p>
    <w:p>
      <w:pPr>
        <w:spacing w:after="0" w:line="153" w:lineRule="exact"/>
        <w:rPr>
          <w:sz w:val="20"/>
          <w:szCs w:val="20"/>
          <w:color w:val="auto"/>
        </w:rPr>
      </w:pPr>
    </w:p>
    <w:p>
      <w:pPr>
        <w:spacing w:after="0"/>
        <w:rPr>
          <w:sz w:val="20"/>
          <w:szCs w:val="20"/>
          <w:color w:val="auto"/>
        </w:rPr>
      </w:pPr>
      <w:r>
        <w:rPr>
          <w:rFonts w:ascii="Arial" w:cs="Arial" w:eastAsia="Arial" w:hAnsi="Arial"/>
          <w:sz w:val="13"/>
          <w:szCs w:val="13"/>
          <w:color w:val="auto"/>
        </w:rPr>
        <w:t>CARRYING AMOUNTS, MATURITIES AND HEDGING</w:t>
      </w:r>
    </w:p>
    <w:p>
      <w:pPr>
        <w:ind w:right="60"/>
        <w:spacing w:after="0" w:line="258" w:lineRule="auto"/>
        <w:rPr>
          <w:sz w:val="20"/>
          <w:szCs w:val="20"/>
          <w:color w:val="auto"/>
        </w:rPr>
      </w:pPr>
      <w:r>
        <w:rPr>
          <w:rFonts w:ascii="Arial" w:cs="Arial" w:eastAsia="Arial" w:hAnsi="Arial"/>
          <w:sz w:val="14"/>
          <w:szCs w:val="14"/>
          <w:color w:val="auto"/>
        </w:rPr>
        <w:t>The carrying amounts of derivative contracts at December 31 (see Notes 11 and 15), designated and not designated as hedging instruments for hedge accounting purposes, were as follows: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5040" w:type="dxa"/>
            <w:vAlign w:val="bottom"/>
            <w:shd w:val="clear" w:color="auto" w:fill="333333"/>
          </w:tcPr>
          <w:p>
            <w:pPr>
              <w:ind w:left="80"/>
              <w:spacing w:after="0"/>
              <w:rPr>
                <w:sz w:val="20"/>
                <w:szCs w:val="20"/>
                <w:color w:val="auto"/>
              </w:rPr>
            </w:pPr>
            <w:r>
              <w:rPr>
                <w:rFonts w:ascii="Arial" w:cs="Arial" w:eastAsia="Arial" w:hAnsi="Arial"/>
                <w:sz w:val="15"/>
                <w:szCs w:val="15"/>
                <w:b w:val="1"/>
                <w:bCs w:val="1"/>
                <w:color w:val="FFFFFF"/>
              </w:rPr>
              <w:t>2014</w:t>
            </w:r>
          </w:p>
        </w:tc>
        <w:tc>
          <w:tcPr>
            <w:tcW w:w="1080" w:type="dxa"/>
            <w:vAlign w:val="bottom"/>
            <w:shd w:val="clear" w:color="auto" w:fill="333333"/>
          </w:tcPr>
          <w:p>
            <w:pPr>
              <w:spacing w:after="0"/>
              <w:rPr>
                <w:sz w:val="15"/>
                <w:szCs w:val="15"/>
                <w:color w:val="auto"/>
              </w:rPr>
            </w:pPr>
          </w:p>
        </w:tc>
        <w:tc>
          <w:tcPr>
            <w:tcW w:w="960" w:type="dxa"/>
            <w:vAlign w:val="bottom"/>
            <w:shd w:val="clear" w:color="auto" w:fill="333333"/>
          </w:tcPr>
          <w:p>
            <w:pPr>
              <w:spacing w:after="0"/>
              <w:rPr>
                <w:sz w:val="15"/>
                <w:szCs w:val="15"/>
                <w:color w:val="auto"/>
              </w:rPr>
            </w:pPr>
          </w:p>
        </w:tc>
        <w:tc>
          <w:tcPr>
            <w:tcW w:w="700" w:type="dxa"/>
            <w:vAlign w:val="bottom"/>
            <w:shd w:val="clear" w:color="auto" w:fill="333333"/>
          </w:tcPr>
          <w:p>
            <w:pPr>
              <w:spacing w:after="0"/>
              <w:rPr>
                <w:sz w:val="15"/>
                <w:szCs w:val="15"/>
                <w:color w:val="auto"/>
              </w:rPr>
            </w:pPr>
          </w:p>
        </w:tc>
        <w:tc>
          <w:tcPr>
            <w:tcW w:w="260" w:type="dxa"/>
            <w:vAlign w:val="bottom"/>
            <w:shd w:val="clear" w:color="auto" w:fill="333333"/>
          </w:tcPr>
          <w:p>
            <w:pPr>
              <w:spacing w:after="0"/>
              <w:rPr>
                <w:sz w:val="15"/>
                <w:szCs w:val="15"/>
                <w:color w:val="auto"/>
              </w:rPr>
            </w:pPr>
          </w:p>
        </w:tc>
        <w:tc>
          <w:tcPr>
            <w:tcW w:w="1060" w:type="dxa"/>
            <w:vAlign w:val="bottom"/>
            <w:shd w:val="clear" w:color="auto" w:fill="333333"/>
          </w:tcPr>
          <w:p>
            <w:pPr>
              <w:spacing w:after="0"/>
              <w:rPr>
                <w:sz w:val="15"/>
                <w:szCs w:val="15"/>
                <w:color w:val="auto"/>
              </w:rPr>
            </w:pPr>
          </w:p>
        </w:tc>
        <w:tc>
          <w:tcPr>
            <w:tcW w:w="940" w:type="dxa"/>
            <w:vAlign w:val="bottom"/>
            <w:shd w:val="clear" w:color="auto" w:fill="333333"/>
          </w:tcPr>
          <w:p>
            <w:pPr>
              <w:spacing w:after="0"/>
              <w:rPr>
                <w:sz w:val="15"/>
                <w:szCs w:val="15"/>
                <w:color w:val="auto"/>
              </w:rPr>
            </w:pPr>
          </w:p>
        </w:tc>
        <w:tc>
          <w:tcPr>
            <w:tcW w:w="1380" w:type="dxa"/>
            <w:vAlign w:val="bottom"/>
            <w:gridSpan w:val="2"/>
            <w:shd w:val="clear" w:color="auto" w:fill="333333"/>
          </w:tcPr>
          <w:p>
            <w:pPr>
              <w:jc w:val="right"/>
              <w:ind w:right="109"/>
              <w:spacing w:after="0"/>
              <w:rPr>
                <w:sz w:val="20"/>
                <w:szCs w:val="20"/>
                <w:color w:val="auto"/>
              </w:rPr>
            </w:pPr>
            <w:r>
              <w:rPr>
                <w:rFonts w:ascii="Arial" w:cs="Arial" w:eastAsia="Arial" w:hAnsi="Arial"/>
                <w:sz w:val="15"/>
                <w:szCs w:val="15"/>
                <w:color w:val="FFFFFF"/>
              </w:rPr>
              <w:t>$ MILLION</w:t>
            </w:r>
          </w:p>
        </w:tc>
      </w:tr>
      <w:tr>
        <w:trPr>
          <w:trHeight w:val="162"/>
        </w:trPr>
        <w:tc>
          <w:tcPr>
            <w:tcW w:w="50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60" w:type="dxa"/>
            <w:vAlign w:val="bottom"/>
            <w:gridSpan w:val="2"/>
          </w:tcPr>
          <w:p>
            <w:pPr>
              <w:jc w:val="right"/>
              <w:ind w:right="340"/>
              <w:spacing w:after="0"/>
              <w:rPr>
                <w:sz w:val="20"/>
                <w:szCs w:val="20"/>
                <w:color w:val="auto"/>
              </w:rPr>
            </w:pPr>
            <w:r>
              <w:rPr>
                <w:rFonts w:ascii="Arial" w:cs="Arial" w:eastAsia="Arial" w:hAnsi="Arial"/>
                <w:sz w:val="13"/>
                <w:szCs w:val="13"/>
                <w:color w:val="auto"/>
              </w:rPr>
              <w:t>Assets</w:t>
            </w:r>
          </w:p>
        </w:tc>
        <w:tc>
          <w:tcPr>
            <w:tcW w:w="10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60" w:type="dxa"/>
            <w:vAlign w:val="bottom"/>
          </w:tcPr>
          <w:p>
            <w:pPr>
              <w:jc w:val="right"/>
              <w:ind w:right="10"/>
              <w:spacing w:after="0"/>
              <w:rPr>
                <w:sz w:val="20"/>
                <w:szCs w:val="20"/>
                <w:color w:val="auto"/>
              </w:rPr>
            </w:pPr>
            <w:r>
              <w:rPr>
                <w:rFonts w:ascii="Arial" w:cs="Arial" w:eastAsia="Arial" w:hAnsi="Arial"/>
                <w:sz w:val="13"/>
                <w:szCs w:val="13"/>
                <w:color w:val="auto"/>
              </w:rPr>
              <w:t>Liabilities</w:t>
            </w:r>
          </w:p>
        </w:tc>
        <w:tc>
          <w:tcPr>
            <w:tcW w:w="620" w:type="dxa"/>
            <w:vAlign w:val="bottom"/>
          </w:tcPr>
          <w:p>
            <w:pPr>
              <w:spacing w:after="0"/>
              <w:rPr>
                <w:sz w:val="14"/>
                <w:szCs w:val="14"/>
                <w:color w:val="auto"/>
              </w:rPr>
            </w:pPr>
          </w:p>
        </w:tc>
      </w:tr>
      <w:tr>
        <w:trPr>
          <w:trHeight w:val="123"/>
        </w:trPr>
        <w:tc>
          <w:tcPr>
            <w:tcW w:w="5040" w:type="dxa"/>
            <w:vAlign w:val="bottom"/>
          </w:tcPr>
          <w:p>
            <w:pPr>
              <w:spacing w:after="0"/>
              <w:rPr>
                <w:sz w:val="10"/>
                <w:szCs w:val="10"/>
                <w:color w:val="auto"/>
              </w:rPr>
            </w:pPr>
          </w:p>
        </w:tc>
        <w:tc>
          <w:tcPr>
            <w:tcW w:w="1080" w:type="dxa"/>
            <w:vAlign w:val="bottom"/>
            <w:tcBorders>
              <w:top w:val="single" w:sz="8" w:color="auto"/>
            </w:tcBorders>
          </w:tcPr>
          <w:p>
            <w:pPr>
              <w:spacing w:after="0"/>
              <w:rPr>
                <w:sz w:val="10"/>
                <w:szCs w:val="10"/>
                <w:color w:val="auto"/>
              </w:rPr>
            </w:pPr>
          </w:p>
        </w:tc>
        <w:tc>
          <w:tcPr>
            <w:tcW w:w="960" w:type="dxa"/>
            <w:vAlign w:val="bottom"/>
            <w:tcBorders>
              <w:top w:val="single" w:sz="8" w:color="auto"/>
            </w:tcBorders>
          </w:tcPr>
          <w:p>
            <w:pPr>
              <w:jc w:val="right"/>
              <w:ind w:right="110"/>
              <w:spacing w:after="0" w:line="123" w:lineRule="exact"/>
              <w:rPr>
                <w:sz w:val="20"/>
                <w:szCs w:val="20"/>
                <w:color w:val="auto"/>
              </w:rPr>
            </w:pPr>
            <w:r>
              <w:rPr>
                <w:rFonts w:ascii="Arial" w:cs="Arial" w:eastAsia="Arial" w:hAnsi="Arial"/>
                <w:sz w:val="13"/>
                <w:szCs w:val="13"/>
                <w:color w:val="auto"/>
              </w:rPr>
              <w:t>Not</w:t>
            </w:r>
          </w:p>
        </w:tc>
        <w:tc>
          <w:tcPr>
            <w:tcW w:w="700" w:type="dxa"/>
            <w:vAlign w:val="bottom"/>
            <w:tcBorders>
              <w:top w:val="single" w:sz="8" w:color="auto"/>
            </w:tcBorders>
          </w:tcPr>
          <w:p>
            <w:pPr>
              <w:spacing w:after="0"/>
              <w:rPr>
                <w:sz w:val="10"/>
                <w:szCs w:val="10"/>
                <w:color w:val="auto"/>
              </w:rPr>
            </w:pPr>
          </w:p>
        </w:tc>
        <w:tc>
          <w:tcPr>
            <w:tcW w:w="260" w:type="dxa"/>
            <w:vAlign w:val="bottom"/>
          </w:tcPr>
          <w:p>
            <w:pPr>
              <w:spacing w:after="0"/>
              <w:rPr>
                <w:sz w:val="10"/>
                <w:szCs w:val="10"/>
                <w:color w:val="auto"/>
              </w:rPr>
            </w:pPr>
          </w:p>
        </w:tc>
        <w:tc>
          <w:tcPr>
            <w:tcW w:w="1060" w:type="dxa"/>
            <w:vAlign w:val="bottom"/>
            <w:tcBorders>
              <w:top w:val="single" w:sz="8" w:color="auto"/>
            </w:tcBorders>
          </w:tcPr>
          <w:p>
            <w:pPr>
              <w:spacing w:after="0"/>
              <w:rPr>
                <w:sz w:val="10"/>
                <w:szCs w:val="10"/>
                <w:color w:val="auto"/>
              </w:rPr>
            </w:pPr>
          </w:p>
        </w:tc>
        <w:tc>
          <w:tcPr>
            <w:tcW w:w="940" w:type="dxa"/>
            <w:vAlign w:val="bottom"/>
            <w:tcBorders>
              <w:top w:val="single" w:sz="8" w:color="auto"/>
            </w:tcBorders>
          </w:tcPr>
          <w:p>
            <w:pPr>
              <w:jc w:val="right"/>
              <w:ind w:right="70"/>
              <w:spacing w:after="0" w:line="123" w:lineRule="exact"/>
              <w:rPr>
                <w:sz w:val="20"/>
                <w:szCs w:val="20"/>
                <w:color w:val="auto"/>
              </w:rPr>
            </w:pPr>
            <w:r>
              <w:rPr>
                <w:rFonts w:ascii="Arial" w:cs="Arial" w:eastAsia="Arial" w:hAnsi="Arial"/>
                <w:sz w:val="13"/>
                <w:szCs w:val="13"/>
                <w:color w:val="auto"/>
              </w:rPr>
              <w:t>Not</w:t>
            </w:r>
          </w:p>
        </w:tc>
        <w:tc>
          <w:tcPr>
            <w:tcW w:w="760" w:type="dxa"/>
            <w:vAlign w:val="bottom"/>
            <w:tcBorders>
              <w:top w:val="single" w:sz="8" w:color="auto"/>
            </w:tcBorders>
          </w:tcPr>
          <w:p>
            <w:pPr>
              <w:spacing w:after="0"/>
              <w:rPr>
                <w:sz w:val="10"/>
                <w:szCs w:val="10"/>
                <w:color w:val="auto"/>
              </w:rPr>
            </w:pPr>
          </w:p>
        </w:tc>
        <w:tc>
          <w:tcPr>
            <w:tcW w:w="620" w:type="dxa"/>
            <w:vAlign w:val="bottom"/>
          </w:tcPr>
          <w:p>
            <w:pPr>
              <w:spacing w:after="0"/>
              <w:rPr>
                <w:sz w:val="10"/>
                <w:szCs w:val="10"/>
                <w:color w:val="auto"/>
              </w:rPr>
            </w:pPr>
          </w:p>
        </w:tc>
      </w:tr>
      <w:tr>
        <w:trPr>
          <w:trHeight w:val="141"/>
        </w:trPr>
        <w:tc>
          <w:tcPr>
            <w:tcW w:w="504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ind w:right="89"/>
              <w:spacing w:after="0" w:line="141" w:lineRule="exact"/>
              <w:rPr>
                <w:sz w:val="20"/>
                <w:szCs w:val="20"/>
                <w:color w:val="auto"/>
              </w:rPr>
            </w:pPr>
            <w:r>
              <w:rPr>
                <w:rFonts w:ascii="Arial" w:cs="Arial" w:eastAsia="Arial" w:hAnsi="Arial"/>
                <w:sz w:val="13"/>
                <w:szCs w:val="13"/>
                <w:color w:val="auto"/>
              </w:rPr>
              <w:t>Designated</w:t>
            </w:r>
          </w:p>
        </w:tc>
        <w:tc>
          <w:tcPr>
            <w:tcW w:w="960" w:type="dxa"/>
            <w:vAlign w:val="bottom"/>
            <w:tcBorders>
              <w:bottom w:val="single" w:sz="8" w:color="auto"/>
            </w:tcBorders>
          </w:tcPr>
          <w:p>
            <w:pPr>
              <w:jc w:val="right"/>
              <w:ind w:right="110"/>
              <w:spacing w:after="0" w:line="141" w:lineRule="exact"/>
              <w:rPr>
                <w:sz w:val="20"/>
                <w:szCs w:val="20"/>
                <w:color w:val="auto"/>
              </w:rPr>
            </w:pPr>
            <w:r>
              <w:rPr>
                <w:rFonts w:ascii="Arial" w:cs="Arial" w:eastAsia="Arial" w:hAnsi="Arial"/>
                <w:sz w:val="13"/>
                <w:szCs w:val="13"/>
                <w:color w:val="auto"/>
              </w:rPr>
              <w:t>designated</w:t>
            </w:r>
          </w:p>
        </w:tc>
        <w:tc>
          <w:tcPr>
            <w:tcW w:w="960" w:type="dxa"/>
            <w:vAlign w:val="bottom"/>
            <w:tcBorders>
              <w:bottom w:val="single" w:sz="8" w:color="auto"/>
            </w:tcBorders>
            <w:gridSpan w:val="2"/>
          </w:tcPr>
          <w:p>
            <w:pPr>
              <w:jc w:val="right"/>
              <w:ind w:right="340"/>
              <w:spacing w:after="0" w:line="141" w:lineRule="exact"/>
              <w:rPr>
                <w:sz w:val="20"/>
                <w:szCs w:val="20"/>
                <w:color w:val="auto"/>
              </w:rPr>
            </w:pPr>
            <w:r>
              <w:rPr>
                <w:rFonts w:ascii="Arial" w:cs="Arial" w:eastAsia="Arial" w:hAnsi="Arial"/>
                <w:sz w:val="13"/>
                <w:szCs w:val="13"/>
                <w:color w:val="auto"/>
              </w:rPr>
              <w:t>Total</w:t>
            </w:r>
          </w:p>
        </w:tc>
        <w:tc>
          <w:tcPr>
            <w:tcW w:w="1060" w:type="dxa"/>
            <w:vAlign w:val="bottom"/>
            <w:tcBorders>
              <w:bottom w:val="single" w:sz="8" w:color="auto"/>
            </w:tcBorders>
          </w:tcPr>
          <w:p>
            <w:pPr>
              <w:jc w:val="right"/>
              <w:ind w:right="89"/>
              <w:spacing w:after="0" w:line="141" w:lineRule="exact"/>
              <w:rPr>
                <w:sz w:val="20"/>
                <w:szCs w:val="20"/>
                <w:color w:val="auto"/>
              </w:rPr>
            </w:pPr>
            <w:r>
              <w:rPr>
                <w:rFonts w:ascii="Arial" w:cs="Arial" w:eastAsia="Arial" w:hAnsi="Arial"/>
                <w:sz w:val="13"/>
                <w:szCs w:val="13"/>
                <w:color w:val="auto"/>
              </w:rPr>
              <w:t>Designated</w:t>
            </w:r>
          </w:p>
        </w:tc>
        <w:tc>
          <w:tcPr>
            <w:tcW w:w="940" w:type="dxa"/>
            <w:vAlign w:val="bottom"/>
            <w:tcBorders>
              <w:bottom w:val="single" w:sz="8" w:color="auto"/>
            </w:tcBorders>
          </w:tcPr>
          <w:p>
            <w:pPr>
              <w:jc w:val="right"/>
              <w:ind w:right="70"/>
              <w:spacing w:after="0" w:line="141" w:lineRule="exact"/>
              <w:rPr>
                <w:sz w:val="20"/>
                <w:szCs w:val="20"/>
                <w:color w:val="auto"/>
              </w:rPr>
            </w:pPr>
            <w:r>
              <w:rPr>
                <w:rFonts w:ascii="Arial" w:cs="Arial" w:eastAsia="Arial" w:hAnsi="Arial"/>
                <w:sz w:val="13"/>
                <w:szCs w:val="13"/>
                <w:color w:val="auto"/>
              </w:rPr>
              <w:t>designated</w:t>
            </w:r>
          </w:p>
        </w:tc>
        <w:tc>
          <w:tcPr>
            <w:tcW w:w="760" w:type="dxa"/>
            <w:vAlign w:val="bottom"/>
            <w:tcBorders>
              <w:bottom w:val="single" w:sz="8" w:color="auto"/>
            </w:tcBorders>
          </w:tcPr>
          <w:p>
            <w:pPr>
              <w:jc w:val="right"/>
              <w:ind w:right="10"/>
              <w:spacing w:after="0" w:line="141" w:lineRule="exact"/>
              <w:rPr>
                <w:sz w:val="20"/>
                <w:szCs w:val="20"/>
                <w:color w:val="auto"/>
              </w:rPr>
            </w:pPr>
            <w:r>
              <w:rPr>
                <w:rFonts w:ascii="Arial" w:cs="Arial" w:eastAsia="Arial" w:hAnsi="Arial"/>
                <w:sz w:val="13"/>
                <w:szCs w:val="13"/>
                <w:color w:val="auto"/>
              </w:rPr>
              <w:t>Total</w:t>
            </w:r>
          </w:p>
        </w:tc>
        <w:tc>
          <w:tcPr>
            <w:tcW w:w="620" w:type="dxa"/>
            <w:vAlign w:val="bottom"/>
            <w:tcBorders>
              <w:bottom w:val="single" w:sz="8" w:color="auto"/>
            </w:tcBorders>
          </w:tcPr>
          <w:p>
            <w:pPr>
              <w:jc w:val="right"/>
              <w:ind w:right="29"/>
              <w:spacing w:after="0" w:line="141" w:lineRule="exact"/>
              <w:rPr>
                <w:sz w:val="20"/>
                <w:szCs w:val="20"/>
                <w:color w:val="auto"/>
              </w:rPr>
            </w:pPr>
            <w:r>
              <w:rPr>
                <w:rFonts w:ascii="Arial" w:cs="Arial" w:eastAsia="Arial" w:hAnsi="Arial"/>
                <w:sz w:val="13"/>
                <w:szCs w:val="13"/>
                <w:color w:val="auto"/>
              </w:rPr>
              <w:t>Net</w:t>
            </w:r>
          </w:p>
        </w:tc>
      </w:tr>
      <w:tr>
        <w:trPr>
          <w:trHeight w:val="160"/>
        </w:trPr>
        <w:tc>
          <w:tcPr>
            <w:tcW w:w="5040" w:type="dxa"/>
            <w:vAlign w:val="bottom"/>
          </w:tcPr>
          <w:p>
            <w:pPr>
              <w:spacing w:after="0"/>
              <w:rPr>
                <w:sz w:val="20"/>
                <w:szCs w:val="20"/>
                <w:color w:val="auto"/>
              </w:rPr>
            </w:pPr>
            <w:r>
              <w:rPr>
                <w:rFonts w:ascii="Arial" w:cs="Arial" w:eastAsia="Arial" w:hAnsi="Arial"/>
                <w:sz w:val="14"/>
                <w:szCs w:val="14"/>
                <w:color w:val="auto"/>
              </w:rPr>
              <w:t>Interest rate swaps</w:t>
            </w:r>
          </w:p>
        </w:tc>
        <w:tc>
          <w:tcPr>
            <w:tcW w:w="1080" w:type="dxa"/>
            <w:vAlign w:val="bottom"/>
          </w:tcPr>
          <w:p>
            <w:pPr>
              <w:jc w:val="right"/>
              <w:ind w:right="89"/>
              <w:spacing w:after="0"/>
              <w:rPr>
                <w:sz w:val="20"/>
                <w:szCs w:val="20"/>
                <w:color w:val="auto"/>
              </w:rPr>
            </w:pPr>
            <w:r>
              <w:rPr>
                <w:rFonts w:ascii="Arial" w:cs="Arial" w:eastAsia="Arial" w:hAnsi="Arial"/>
                <w:sz w:val="14"/>
                <w:szCs w:val="14"/>
                <w:color w:val="auto"/>
              </w:rPr>
              <w:t>113</w:t>
            </w:r>
          </w:p>
        </w:tc>
        <w:tc>
          <w:tcPr>
            <w:tcW w:w="960" w:type="dxa"/>
            <w:vAlign w:val="bottom"/>
          </w:tcPr>
          <w:p>
            <w:pPr>
              <w:jc w:val="right"/>
              <w:ind w:right="110"/>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10"/>
              <w:spacing w:after="0"/>
              <w:rPr>
                <w:sz w:val="20"/>
                <w:szCs w:val="20"/>
                <w:color w:val="auto"/>
              </w:rPr>
            </w:pPr>
            <w:r>
              <w:rPr>
                <w:rFonts w:ascii="Arial" w:cs="Arial" w:eastAsia="Arial" w:hAnsi="Arial"/>
                <w:sz w:val="14"/>
                <w:szCs w:val="14"/>
                <w:color w:val="auto"/>
              </w:rPr>
              <w:t>113</w:t>
            </w:r>
          </w:p>
        </w:tc>
        <w:tc>
          <w:tcPr>
            <w:tcW w:w="260" w:type="dxa"/>
            <w:vAlign w:val="bottom"/>
          </w:tcPr>
          <w:p>
            <w:pPr>
              <w:spacing w:after="0"/>
              <w:rPr>
                <w:sz w:val="13"/>
                <w:szCs w:val="13"/>
                <w:color w:val="auto"/>
              </w:rPr>
            </w:pPr>
          </w:p>
        </w:tc>
        <w:tc>
          <w:tcPr>
            <w:tcW w:w="1060" w:type="dxa"/>
            <w:vAlign w:val="bottom"/>
          </w:tcPr>
          <w:p>
            <w:pPr>
              <w:jc w:val="right"/>
              <w:ind w:right="89"/>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70"/>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10"/>
              <w:spacing w:after="0"/>
              <w:rPr>
                <w:sz w:val="20"/>
                <w:szCs w:val="20"/>
                <w:color w:val="auto"/>
              </w:rPr>
            </w:pPr>
            <w:r>
              <w:rPr>
                <w:rFonts w:ascii="Arial" w:cs="Arial" w:eastAsia="Arial" w:hAnsi="Arial"/>
                <w:sz w:val="14"/>
                <w:szCs w:val="14"/>
                <w:color w:val="auto"/>
              </w:rPr>
              <w:t>–</w:t>
            </w:r>
          </w:p>
        </w:tc>
        <w:tc>
          <w:tcPr>
            <w:tcW w:w="620" w:type="dxa"/>
            <w:vAlign w:val="bottom"/>
          </w:tcPr>
          <w:p>
            <w:pPr>
              <w:jc w:val="right"/>
              <w:ind w:right="29"/>
              <w:spacing w:after="0"/>
              <w:rPr>
                <w:sz w:val="20"/>
                <w:szCs w:val="20"/>
                <w:color w:val="auto"/>
              </w:rPr>
            </w:pPr>
            <w:r>
              <w:rPr>
                <w:rFonts w:ascii="Arial" w:cs="Arial" w:eastAsia="Arial" w:hAnsi="Arial"/>
                <w:sz w:val="14"/>
                <w:szCs w:val="14"/>
                <w:color w:val="auto"/>
              </w:rPr>
              <w:t>113</w:t>
            </w:r>
          </w:p>
        </w:tc>
      </w:tr>
      <w:tr>
        <w:trPr>
          <w:trHeight w:val="162"/>
        </w:trPr>
        <w:tc>
          <w:tcPr>
            <w:tcW w:w="5040" w:type="dxa"/>
            <w:vAlign w:val="bottom"/>
          </w:tcPr>
          <w:p>
            <w:pPr>
              <w:spacing w:after="0"/>
              <w:rPr>
                <w:sz w:val="20"/>
                <w:szCs w:val="20"/>
                <w:color w:val="auto"/>
              </w:rPr>
            </w:pPr>
            <w:r>
              <w:rPr>
                <w:rFonts w:ascii="Arial" w:cs="Arial" w:eastAsia="Arial" w:hAnsi="Arial"/>
                <w:sz w:val="14"/>
                <w:szCs w:val="14"/>
                <w:color w:val="auto"/>
              </w:rPr>
              <w:t>Forward foreign exchange contracts</w:t>
            </w:r>
          </w:p>
        </w:tc>
        <w:tc>
          <w:tcPr>
            <w:tcW w:w="1080" w:type="dxa"/>
            <w:vAlign w:val="bottom"/>
          </w:tcPr>
          <w:p>
            <w:pPr>
              <w:jc w:val="right"/>
              <w:ind w:right="89"/>
              <w:spacing w:after="0"/>
              <w:rPr>
                <w:sz w:val="20"/>
                <w:szCs w:val="20"/>
                <w:color w:val="auto"/>
              </w:rPr>
            </w:pPr>
            <w:r>
              <w:rPr>
                <w:rFonts w:ascii="Arial" w:cs="Arial" w:eastAsia="Arial" w:hAnsi="Arial"/>
                <w:sz w:val="14"/>
                <w:szCs w:val="14"/>
                <w:color w:val="auto"/>
              </w:rPr>
              <w:t>3</w:t>
            </w:r>
          </w:p>
        </w:tc>
        <w:tc>
          <w:tcPr>
            <w:tcW w:w="960" w:type="dxa"/>
            <w:vAlign w:val="bottom"/>
          </w:tcPr>
          <w:p>
            <w:pPr>
              <w:jc w:val="right"/>
              <w:ind w:right="110"/>
              <w:spacing w:after="0"/>
              <w:rPr>
                <w:sz w:val="20"/>
                <w:szCs w:val="20"/>
                <w:color w:val="auto"/>
              </w:rPr>
            </w:pPr>
            <w:r>
              <w:rPr>
                <w:rFonts w:ascii="Arial" w:cs="Arial" w:eastAsia="Arial" w:hAnsi="Arial"/>
                <w:sz w:val="14"/>
                <w:szCs w:val="14"/>
                <w:color w:val="auto"/>
              </w:rPr>
              <w:t>523</w:t>
            </w:r>
          </w:p>
        </w:tc>
        <w:tc>
          <w:tcPr>
            <w:tcW w:w="700" w:type="dxa"/>
            <w:vAlign w:val="bottom"/>
          </w:tcPr>
          <w:p>
            <w:pPr>
              <w:jc w:val="right"/>
              <w:ind w:right="10"/>
              <w:spacing w:after="0"/>
              <w:rPr>
                <w:sz w:val="20"/>
                <w:szCs w:val="20"/>
                <w:color w:val="auto"/>
              </w:rPr>
            </w:pPr>
            <w:r>
              <w:rPr>
                <w:rFonts w:ascii="Arial" w:cs="Arial" w:eastAsia="Arial" w:hAnsi="Arial"/>
                <w:sz w:val="14"/>
                <w:szCs w:val="14"/>
                <w:color w:val="auto"/>
              </w:rPr>
              <w:t>526</w:t>
            </w:r>
          </w:p>
        </w:tc>
        <w:tc>
          <w:tcPr>
            <w:tcW w:w="260" w:type="dxa"/>
            <w:vAlign w:val="bottom"/>
          </w:tcPr>
          <w:p>
            <w:pPr>
              <w:spacing w:after="0"/>
              <w:rPr>
                <w:sz w:val="14"/>
                <w:szCs w:val="14"/>
                <w:color w:val="auto"/>
              </w:rPr>
            </w:pPr>
          </w:p>
        </w:tc>
        <w:tc>
          <w:tcPr>
            <w:tcW w:w="1060" w:type="dxa"/>
            <w:vAlign w:val="bottom"/>
          </w:tcPr>
          <w:p>
            <w:pPr>
              <w:jc w:val="right"/>
              <w:ind w:right="89"/>
              <w:spacing w:after="0"/>
              <w:rPr>
                <w:sz w:val="20"/>
                <w:szCs w:val="20"/>
                <w:color w:val="auto"/>
              </w:rPr>
            </w:pPr>
            <w:r>
              <w:rPr>
                <w:rFonts w:ascii="Arial" w:cs="Arial" w:eastAsia="Arial" w:hAnsi="Arial"/>
                <w:sz w:val="14"/>
                <w:szCs w:val="14"/>
                <w:color w:val="auto"/>
              </w:rPr>
              <w:t>152</w:t>
            </w:r>
          </w:p>
        </w:tc>
        <w:tc>
          <w:tcPr>
            <w:tcW w:w="940" w:type="dxa"/>
            <w:vAlign w:val="bottom"/>
          </w:tcPr>
          <w:p>
            <w:pPr>
              <w:jc w:val="right"/>
              <w:ind w:right="70"/>
              <w:spacing w:after="0"/>
              <w:rPr>
                <w:sz w:val="20"/>
                <w:szCs w:val="20"/>
                <w:color w:val="auto"/>
              </w:rPr>
            </w:pPr>
            <w:r>
              <w:rPr>
                <w:rFonts w:ascii="Arial" w:cs="Arial" w:eastAsia="Arial" w:hAnsi="Arial"/>
                <w:sz w:val="14"/>
                <w:szCs w:val="14"/>
                <w:color w:val="auto"/>
              </w:rPr>
              <w:t>229</w:t>
            </w:r>
          </w:p>
        </w:tc>
        <w:tc>
          <w:tcPr>
            <w:tcW w:w="760" w:type="dxa"/>
            <w:vAlign w:val="bottom"/>
          </w:tcPr>
          <w:p>
            <w:pPr>
              <w:jc w:val="right"/>
              <w:ind w:right="10"/>
              <w:spacing w:after="0"/>
              <w:rPr>
                <w:sz w:val="20"/>
                <w:szCs w:val="20"/>
                <w:color w:val="auto"/>
              </w:rPr>
            </w:pPr>
            <w:r>
              <w:rPr>
                <w:rFonts w:ascii="Arial" w:cs="Arial" w:eastAsia="Arial" w:hAnsi="Arial"/>
                <w:sz w:val="14"/>
                <w:szCs w:val="14"/>
                <w:color w:val="auto"/>
              </w:rPr>
              <w:t>381</w:t>
            </w:r>
          </w:p>
        </w:tc>
        <w:tc>
          <w:tcPr>
            <w:tcW w:w="620" w:type="dxa"/>
            <w:vAlign w:val="bottom"/>
          </w:tcPr>
          <w:p>
            <w:pPr>
              <w:jc w:val="right"/>
              <w:ind w:right="29"/>
              <w:spacing w:after="0"/>
              <w:rPr>
                <w:sz w:val="20"/>
                <w:szCs w:val="20"/>
                <w:color w:val="auto"/>
              </w:rPr>
            </w:pPr>
            <w:r>
              <w:rPr>
                <w:rFonts w:ascii="Arial" w:cs="Arial" w:eastAsia="Arial" w:hAnsi="Arial"/>
                <w:sz w:val="14"/>
                <w:szCs w:val="14"/>
                <w:color w:val="auto"/>
              </w:rPr>
              <w:t>145</w:t>
            </w:r>
          </w:p>
        </w:tc>
      </w:tr>
      <w:tr>
        <w:trPr>
          <w:trHeight w:val="162"/>
        </w:trPr>
        <w:tc>
          <w:tcPr>
            <w:tcW w:w="5040" w:type="dxa"/>
            <w:vAlign w:val="bottom"/>
          </w:tcPr>
          <w:p>
            <w:pPr>
              <w:spacing w:after="0"/>
              <w:rPr>
                <w:sz w:val="20"/>
                <w:szCs w:val="20"/>
                <w:color w:val="auto"/>
              </w:rPr>
            </w:pPr>
            <w:r>
              <w:rPr>
                <w:rFonts w:ascii="Arial" w:cs="Arial" w:eastAsia="Arial" w:hAnsi="Arial"/>
                <w:sz w:val="14"/>
                <w:szCs w:val="14"/>
                <w:color w:val="auto"/>
              </w:rPr>
              <w:t>Currency swaps</w:t>
            </w:r>
          </w:p>
        </w:tc>
        <w:tc>
          <w:tcPr>
            <w:tcW w:w="1080" w:type="dxa"/>
            <w:vAlign w:val="bottom"/>
          </w:tcPr>
          <w:p>
            <w:pPr>
              <w:jc w:val="right"/>
              <w:ind w:right="89"/>
              <w:spacing w:after="0"/>
              <w:rPr>
                <w:sz w:val="20"/>
                <w:szCs w:val="20"/>
                <w:color w:val="auto"/>
              </w:rPr>
            </w:pPr>
            <w:r>
              <w:rPr>
                <w:rFonts w:ascii="Arial" w:cs="Arial" w:eastAsia="Arial" w:hAnsi="Arial"/>
                <w:sz w:val="14"/>
                <w:szCs w:val="14"/>
                <w:color w:val="auto"/>
              </w:rPr>
              <w:t>116</w:t>
            </w:r>
          </w:p>
        </w:tc>
        <w:tc>
          <w:tcPr>
            <w:tcW w:w="960" w:type="dxa"/>
            <w:vAlign w:val="bottom"/>
          </w:tcPr>
          <w:p>
            <w:pPr>
              <w:jc w:val="right"/>
              <w:ind w:right="110"/>
              <w:spacing w:after="0"/>
              <w:rPr>
                <w:sz w:val="20"/>
                <w:szCs w:val="20"/>
                <w:color w:val="auto"/>
              </w:rPr>
            </w:pPr>
            <w:r>
              <w:rPr>
                <w:rFonts w:ascii="Arial" w:cs="Arial" w:eastAsia="Arial" w:hAnsi="Arial"/>
                <w:sz w:val="14"/>
                <w:szCs w:val="14"/>
                <w:color w:val="auto"/>
              </w:rPr>
              <w:t>186</w:t>
            </w:r>
          </w:p>
        </w:tc>
        <w:tc>
          <w:tcPr>
            <w:tcW w:w="700" w:type="dxa"/>
            <w:vAlign w:val="bottom"/>
          </w:tcPr>
          <w:p>
            <w:pPr>
              <w:jc w:val="right"/>
              <w:ind w:right="10"/>
              <w:spacing w:after="0"/>
              <w:rPr>
                <w:sz w:val="20"/>
                <w:szCs w:val="20"/>
                <w:color w:val="auto"/>
              </w:rPr>
            </w:pPr>
            <w:r>
              <w:rPr>
                <w:rFonts w:ascii="Arial" w:cs="Arial" w:eastAsia="Arial" w:hAnsi="Arial"/>
                <w:sz w:val="14"/>
                <w:szCs w:val="14"/>
                <w:color w:val="auto"/>
              </w:rPr>
              <w:t>302</w:t>
            </w:r>
          </w:p>
        </w:tc>
        <w:tc>
          <w:tcPr>
            <w:tcW w:w="260" w:type="dxa"/>
            <w:vAlign w:val="bottom"/>
          </w:tcPr>
          <w:p>
            <w:pPr>
              <w:spacing w:after="0"/>
              <w:rPr>
                <w:sz w:val="14"/>
                <w:szCs w:val="14"/>
                <w:color w:val="auto"/>
              </w:rPr>
            </w:pPr>
          </w:p>
        </w:tc>
        <w:tc>
          <w:tcPr>
            <w:tcW w:w="1060" w:type="dxa"/>
            <w:vAlign w:val="bottom"/>
          </w:tcPr>
          <w:p>
            <w:pPr>
              <w:jc w:val="right"/>
              <w:ind w:right="89"/>
              <w:spacing w:after="0"/>
              <w:rPr>
                <w:sz w:val="20"/>
                <w:szCs w:val="20"/>
                <w:color w:val="auto"/>
              </w:rPr>
            </w:pPr>
            <w:r>
              <w:rPr>
                <w:rFonts w:ascii="Arial" w:cs="Arial" w:eastAsia="Arial" w:hAnsi="Arial"/>
                <w:sz w:val="14"/>
                <w:szCs w:val="14"/>
                <w:color w:val="auto"/>
              </w:rPr>
              <w:t>199</w:t>
            </w:r>
          </w:p>
        </w:tc>
        <w:tc>
          <w:tcPr>
            <w:tcW w:w="940" w:type="dxa"/>
            <w:vAlign w:val="bottom"/>
          </w:tcPr>
          <w:p>
            <w:pPr>
              <w:jc w:val="right"/>
              <w:ind w:right="70"/>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10"/>
              <w:spacing w:after="0"/>
              <w:rPr>
                <w:sz w:val="20"/>
                <w:szCs w:val="20"/>
                <w:color w:val="auto"/>
              </w:rPr>
            </w:pPr>
            <w:r>
              <w:rPr>
                <w:rFonts w:ascii="Arial" w:cs="Arial" w:eastAsia="Arial" w:hAnsi="Arial"/>
                <w:sz w:val="14"/>
                <w:szCs w:val="14"/>
                <w:color w:val="auto"/>
              </w:rPr>
              <w:t>199</w:t>
            </w:r>
          </w:p>
        </w:tc>
        <w:tc>
          <w:tcPr>
            <w:tcW w:w="620" w:type="dxa"/>
            <w:vAlign w:val="bottom"/>
          </w:tcPr>
          <w:p>
            <w:pPr>
              <w:jc w:val="right"/>
              <w:ind w:right="29"/>
              <w:spacing w:after="0"/>
              <w:rPr>
                <w:sz w:val="20"/>
                <w:szCs w:val="20"/>
                <w:color w:val="auto"/>
              </w:rPr>
            </w:pPr>
            <w:r>
              <w:rPr>
                <w:rFonts w:ascii="Arial" w:cs="Arial" w:eastAsia="Arial" w:hAnsi="Arial"/>
                <w:sz w:val="14"/>
                <w:szCs w:val="14"/>
                <w:color w:val="auto"/>
              </w:rPr>
              <w:t>103</w:t>
            </w:r>
          </w:p>
        </w:tc>
      </w:tr>
      <w:tr>
        <w:trPr>
          <w:trHeight w:val="162"/>
        </w:trPr>
        <w:tc>
          <w:tcPr>
            <w:tcW w:w="5040" w:type="dxa"/>
            <w:vAlign w:val="bottom"/>
          </w:tcPr>
          <w:p>
            <w:pPr>
              <w:spacing w:after="0"/>
              <w:rPr>
                <w:sz w:val="20"/>
                <w:szCs w:val="20"/>
                <w:color w:val="auto"/>
              </w:rPr>
            </w:pPr>
            <w:r>
              <w:rPr>
                <w:rFonts w:ascii="Arial" w:cs="Arial" w:eastAsia="Arial" w:hAnsi="Arial"/>
                <w:sz w:val="14"/>
                <w:szCs w:val="14"/>
                <w:color w:val="auto"/>
              </w:rPr>
              <w:t>Commodity derivatives</w:t>
            </w:r>
          </w:p>
        </w:tc>
        <w:tc>
          <w:tcPr>
            <w:tcW w:w="1080" w:type="dxa"/>
            <w:vAlign w:val="bottom"/>
          </w:tcPr>
          <w:p>
            <w:pPr>
              <w:jc w:val="right"/>
              <w:ind w:right="89"/>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110"/>
              <w:spacing w:after="0"/>
              <w:rPr>
                <w:sz w:val="20"/>
                <w:szCs w:val="20"/>
                <w:color w:val="auto"/>
              </w:rPr>
            </w:pPr>
            <w:r>
              <w:rPr>
                <w:rFonts w:ascii="Arial" w:cs="Arial" w:eastAsia="Arial" w:hAnsi="Arial"/>
                <w:sz w:val="14"/>
                <w:szCs w:val="14"/>
                <w:color w:val="auto"/>
              </w:rPr>
              <w:t>13,463</w:t>
            </w:r>
          </w:p>
        </w:tc>
        <w:tc>
          <w:tcPr>
            <w:tcW w:w="700" w:type="dxa"/>
            <w:vAlign w:val="bottom"/>
          </w:tcPr>
          <w:p>
            <w:pPr>
              <w:jc w:val="right"/>
              <w:ind w:right="10"/>
              <w:spacing w:after="0"/>
              <w:rPr>
                <w:sz w:val="20"/>
                <w:szCs w:val="20"/>
                <w:color w:val="auto"/>
              </w:rPr>
            </w:pPr>
            <w:r>
              <w:rPr>
                <w:rFonts w:ascii="Arial" w:cs="Arial" w:eastAsia="Arial" w:hAnsi="Arial"/>
                <w:sz w:val="14"/>
                <w:szCs w:val="14"/>
                <w:color w:val="auto"/>
              </w:rPr>
              <w:t>13,463</w:t>
            </w:r>
          </w:p>
        </w:tc>
        <w:tc>
          <w:tcPr>
            <w:tcW w:w="260" w:type="dxa"/>
            <w:vAlign w:val="bottom"/>
          </w:tcPr>
          <w:p>
            <w:pPr>
              <w:spacing w:after="0"/>
              <w:rPr>
                <w:sz w:val="14"/>
                <w:szCs w:val="14"/>
                <w:color w:val="auto"/>
              </w:rPr>
            </w:pPr>
          </w:p>
        </w:tc>
        <w:tc>
          <w:tcPr>
            <w:tcW w:w="1060" w:type="dxa"/>
            <w:vAlign w:val="bottom"/>
          </w:tcPr>
          <w:p>
            <w:pPr>
              <w:jc w:val="right"/>
              <w:ind w:right="89"/>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70"/>
              <w:spacing w:after="0"/>
              <w:rPr>
                <w:sz w:val="20"/>
                <w:szCs w:val="20"/>
                <w:color w:val="auto"/>
              </w:rPr>
            </w:pPr>
            <w:r>
              <w:rPr>
                <w:rFonts w:ascii="Arial" w:cs="Arial" w:eastAsia="Arial" w:hAnsi="Arial"/>
                <w:sz w:val="14"/>
                <w:szCs w:val="14"/>
                <w:color w:val="auto"/>
              </w:rPr>
              <w:t>11,110</w:t>
            </w:r>
          </w:p>
        </w:tc>
        <w:tc>
          <w:tcPr>
            <w:tcW w:w="760" w:type="dxa"/>
            <w:vAlign w:val="bottom"/>
          </w:tcPr>
          <w:p>
            <w:pPr>
              <w:jc w:val="right"/>
              <w:ind w:right="10"/>
              <w:spacing w:after="0"/>
              <w:rPr>
                <w:sz w:val="20"/>
                <w:szCs w:val="20"/>
                <w:color w:val="auto"/>
              </w:rPr>
            </w:pPr>
            <w:r>
              <w:rPr>
                <w:rFonts w:ascii="Arial" w:cs="Arial" w:eastAsia="Arial" w:hAnsi="Arial"/>
                <w:sz w:val="14"/>
                <w:szCs w:val="14"/>
                <w:color w:val="auto"/>
              </w:rPr>
              <w:t>11,110</w:t>
            </w:r>
          </w:p>
        </w:tc>
        <w:tc>
          <w:tcPr>
            <w:tcW w:w="620" w:type="dxa"/>
            <w:vAlign w:val="bottom"/>
          </w:tcPr>
          <w:p>
            <w:pPr>
              <w:jc w:val="right"/>
              <w:ind w:right="29"/>
              <w:spacing w:after="0"/>
              <w:rPr>
                <w:sz w:val="20"/>
                <w:szCs w:val="20"/>
                <w:color w:val="auto"/>
              </w:rPr>
            </w:pPr>
            <w:r>
              <w:rPr>
                <w:rFonts w:ascii="Arial" w:cs="Arial" w:eastAsia="Arial" w:hAnsi="Arial"/>
                <w:sz w:val="14"/>
                <w:szCs w:val="14"/>
                <w:color w:val="auto"/>
              </w:rPr>
              <w:t>2,353</w:t>
            </w:r>
          </w:p>
        </w:tc>
      </w:tr>
      <w:tr>
        <w:trPr>
          <w:trHeight w:val="157"/>
        </w:trPr>
        <w:tc>
          <w:tcPr>
            <w:tcW w:w="5040" w:type="dxa"/>
            <w:vAlign w:val="bottom"/>
            <w:tcBorders>
              <w:bottom w:val="single" w:sz="8" w:color="auto"/>
            </w:tcBorders>
          </w:tcPr>
          <w:p>
            <w:pPr>
              <w:spacing w:after="0" w:line="157" w:lineRule="exact"/>
              <w:rPr>
                <w:sz w:val="20"/>
                <w:szCs w:val="20"/>
                <w:color w:val="auto"/>
              </w:rPr>
            </w:pPr>
            <w:r>
              <w:rPr>
                <w:rFonts w:ascii="Arial" w:cs="Arial" w:eastAsia="Arial" w:hAnsi="Arial"/>
                <w:sz w:val="14"/>
                <w:szCs w:val="14"/>
                <w:color w:val="auto"/>
              </w:rPr>
              <w:t>Other contracts</w:t>
            </w:r>
          </w:p>
        </w:tc>
        <w:tc>
          <w:tcPr>
            <w:tcW w:w="1080" w:type="dxa"/>
            <w:vAlign w:val="bottom"/>
            <w:tcBorders>
              <w:bottom w:val="single" w:sz="8" w:color="auto"/>
            </w:tcBorders>
          </w:tcPr>
          <w:p>
            <w:pPr>
              <w:jc w:val="right"/>
              <w:ind w:right="89"/>
              <w:spacing w:after="0" w:line="157" w:lineRule="exact"/>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tcPr>
          <w:p>
            <w:pPr>
              <w:jc w:val="right"/>
              <w:ind w:right="110"/>
              <w:spacing w:after="0" w:line="157" w:lineRule="exact"/>
              <w:rPr>
                <w:sz w:val="20"/>
                <w:szCs w:val="20"/>
                <w:color w:val="auto"/>
              </w:rPr>
            </w:pPr>
            <w:r>
              <w:rPr>
                <w:rFonts w:ascii="Arial" w:cs="Arial" w:eastAsia="Arial" w:hAnsi="Arial"/>
                <w:sz w:val="14"/>
                <w:szCs w:val="14"/>
                <w:color w:val="auto"/>
              </w:rPr>
              <w:t>336</w:t>
            </w:r>
          </w:p>
        </w:tc>
        <w:tc>
          <w:tcPr>
            <w:tcW w:w="700" w:type="dxa"/>
            <w:vAlign w:val="bottom"/>
            <w:tcBorders>
              <w:bottom w:val="single" w:sz="8" w:color="auto"/>
            </w:tcBorders>
          </w:tcPr>
          <w:p>
            <w:pPr>
              <w:jc w:val="right"/>
              <w:ind w:right="10"/>
              <w:spacing w:after="0" w:line="157" w:lineRule="exact"/>
              <w:rPr>
                <w:sz w:val="20"/>
                <w:szCs w:val="20"/>
                <w:color w:val="auto"/>
              </w:rPr>
            </w:pPr>
            <w:r>
              <w:rPr>
                <w:rFonts w:ascii="Arial" w:cs="Arial" w:eastAsia="Arial" w:hAnsi="Arial"/>
                <w:sz w:val="14"/>
                <w:szCs w:val="14"/>
                <w:color w:val="auto"/>
              </w:rPr>
              <w:t>336</w:t>
            </w:r>
          </w:p>
        </w:tc>
        <w:tc>
          <w:tcPr>
            <w:tcW w:w="26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ind w:right="89"/>
              <w:spacing w:after="0" w:line="157" w:lineRule="exact"/>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tcPr>
          <w:p>
            <w:pPr>
              <w:jc w:val="right"/>
              <w:ind w:right="70"/>
              <w:spacing w:after="0" w:line="157" w:lineRule="exact"/>
              <w:rPr>
                <w:sz w:val="20"/>
                <w:szCs w:val="20"/>
                <w:color w:val="auto"/>
              </w:rPr>
            </w:pPr>
            <w:r>
              <w:rPr>
                <w:rFonts w:ascii="Arial" w:cs="Arial" w:eastAsia="Arial" w:hAnsi="Arial"/>
                <w:sz w:val="14"/>
                <w:szCs w:val="14"/>
                <w:color w:val="auto"/>
              </w:rPr>
              <w:t>384</w:t>
            </w:r>
          </w:p>
        </w:tc>
        <w:tc>
          <w:tcPr>
            <w:tcW w:w="760" w:type="dxa"/>
            <w:vAlign w:val="bottom"/>
            <w:tcBorders>
              <w:bottom w:val="single" w:sz="8" w:color="auto"/>
            </w:tcBorders>
          </w:tcPr>
          <w:p>
            <w:pPr>
              <w:jc w:val="right"/>
              <w:ind w:right="10"/>
              <w:spacing w:after="0" w:line="157" w:lineRule="exact"/>
              <w:rPr>
                <w:sz w:val="20"/>
                <w:szCs w:val="20"/>
                <w:color w:val="auto"/>
              </w:rPr>
            </w:pPr>
            <w:r>
              <w:rPr>
                <w:rFonts w:ascii="Arial" w:cs="Arial" w:eastAsia="Arial" w:hAnsi="Arial"/>
                <w:sz w:val="14"/>
                <w:szCs w:val="14"/>
                <w:color w:val="auto"/>
              </w:rPr>
              <w:t>384</w:t>
            </w:r>
          </w:p>
        </w:tc>
        <w:tc>
          <w:tcPr>
            <w:tcW w:w="620" w:type="dxa"/>
            <w:vAlign w:val="bottom"/>
            <w:tcBorders>
              <w:bottom w:val="single" w:sz="8" w:color="auto"/>
            </w:tcBorders>
          </w:tcPr>
          <w:p>
            <w:pPr>
              <w:jc w:val="right"/>
              <w:spacing w:after="0" w:line="157" w:lineRule="exact"/>
              <w:rPr>
                <w:sz w:val="20"/>
                <w:szCs w:val="20"/>
                <w:color w:val="auto"/>
              </w:rPr>
            </w:pPr>
            <w:r>
              <w:rPr>
                <w:rFonts w:ascii="Arial" w:cs="Arial" w:eastAsia="Arial" w:hAnsi="Arial"/>
                <w:sz w:val="14"/>
                <w:szCs w:val="14"/>
                <w:color w:val="auto"/>
              </w:rPr>
              <w:t>(48)</w:t>
            </w:r>
          </w:p>
        </w:tc>
      </w:tr>
      <w:tr>
        <w:trPr>
          <w:trHeight w:val="156"/>
        </w:trPr>
        <w:tc>
          <w:tcPr>
            <w:tcW w:w="5040" w:type="dxa"/>
            <w:vAlign w:val="bottom"/>
            <w:tcBorders>
              <w:bottom w:val="single" w:sz="8" w:color="auto"/>
            </w:tcBorders>
          </w:tcPr>
          <w:p>
            <w:pPr>
              <w:spacing w:after="0" w:line="155" w:lineRule="exact"/>
              <w:rPr>
                <w:sz w:val="20"/>
                <w:szCs w:val="20"/>
                <w:color w:val="auto"/>
              </w:rPr>
            </w:pPr>
            <w:r>
              <w:rPr>
                <w:rFonts w:ascii="Arial" w:cs="Arial" w:eastAsia="Arial" w:hAnsi="Arial"/>
                <w:sz w:val="14"/>
                <w:szCs w:val="14"/>
                <w:color w:val="auto"/>
              </w:rPr>
              <w:t>Total</w:t>
            </w:r>
          </w:p>
        </w:tc>
        <w:tc>
          <w:tcPr>
            <w:tcW w:w="1080" w:type="dxa"/>
            <w:vAlign w:val="bottom"/>
            <w:tcBorders>
              <w:bottom w:val="single" w:sz="8" w:color="auto"/>
            </w:tcBorders>
          </w:tcPr>
          <w:p>
            <w:pPr>
              <w:jc w:val="right"/>
              <w:ind w:right="89"/>
              <w:spacing w:after="0" w:line="155" w:lineRule="exact"/>
              <w:rPr>
                <w:sz w:val="20"/>
                <w:szCs w:val="20"/>
                <w:color w:val="auto"/>
              </w:rPr>
            </w:pPr>
            <w:r>
              <w:rPr>
                <w:rFonts w:ascii="Arial" w:cs="Arial" w:eastAsia="Arial" w:hAnsi="Arial"/>
                <w:sz w:val="14"/>
                <w:szCs w:val="14"/>
                <w:color w:val="auto"/>
              </w:rPr>
              <w:t>232</w:t>
            </w:r>
          </w:p>
        </w:tc>
        <w:tc>
          <w:tcPr>
            <w:tcW w:w="960" w:type="dxa"/>
            <w:vAlign w:val="bottom"/>
            <w:tcBorders>
              <w:bottom w:val="single" w:sz="8" w:color="auto"/>
            </w:tcBorders>
          </w:tcPr>
          <w:p>
            <w:pPr>
              <w:jc w:val="right"/>
              <w:ind w:right="110"/>
              <w:spacing w:after="0" w:line="155" w:lineRule="exact"/>
              <w:rPr>
                <w:sz w:val="20"/>
                <w:szCs w:val="20"/>
                <w:color w:val="auto"/>
              </w:rPr>
            </w:pPr>
            <w:r>
              <w:rPr>
                <w:rFonts w:ascii="Arial" w:cs="Arial" w:eastAsia="Arial" w:hAnsi="Arial"/>
                <w:sz w:val="14"/>
                <w:szCs w:val="14"/>
                <w:color w:val="auto"/>
              </w:rPr>
              <w:t>14,508</w:t>
            </w:r>
          </w:p>
        </w:tc>
        <w:tc>
          <w:tcPr>
            <w:tcW w:w="700" w:type="dxa"/>
            <w:vAlign w:val="bottom"/>
            <w:tcBorders>
              <w:bottom w:val="single" w:sz="8" w:color="auto"/>
            </w:tcBorders>
          </w:tcPr>
          <w:p>
            <w:pPr>
              <w:jc w:val="right"/>
              <w:ind w:right="10"/>
              <w:spacing w:after="0" w:line="155" w:lineRule="exact"/>
              <w:rPr>
                <w:sz w:val="20"/>
                <w:szCs w:val="20"/>
                <w:color w:val="auto"/>
              </w:rPr>
            </w:pPr>
            <w:r>
              <w:rPr>
                <w:rFonts w:ascii="Arial" w:cs="Arial" w:eastAsia="Arial" w:hAnsi="Arial"/>
                <w:sz w:val="14"/>
                <w:szCs w:val="14"/>
                <w:color w:val="auto"/>
              </w:rPr>
              <w:t>14,740</w:t>
            </w:r>
          </w:p>
        </w:tc>
        <w:tc>
          <w:tcPr>
            <w:tcW w:w="26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ind w:right="89"/>
              <w:spacing w:after="0" w:line="155" w:lineRule="exact"/>
              <w:rPr>
                <w:sz w:val="20"/>
                <w:szCs w:val="20"/>
                <w:color w:val="auto"/>
              </w:rPr>
            </w:pPr>
            <w:r>
              <w:rPr>
                <w:rFonts w:ascii="Arial" w:cs="Arial" w:eastAsia="Arial" w:hAnsi="Arial"/>
                <w:sz w:val="14"/>
                <w:szCs w:val="14"/>
                <w:color w:val="auto"/>
              </w:rPr>
              <w:t>351</w:t>
            </w:r>
          </w:p>
        </w:tc>
        <w:tc>
          <w:tcPr>
            <w:tcW w:w="940" w:type="dxa"/>
            <w:vAlign w:val="bottom"/>
            <w:tcBorders>
              <w:bottom w:val="single" w:sz="8" w:color="auto"/>
            </w:tcBorders>
          </w:tcPr>
          <w:p>
            <w:pPr>
              <w:jc w:val="right"/>
              <w:ind w:right="70"/>
              <w:spacing w:after="0" w:line="155" w:lineRule="exact"/>
              <w:rPr>
                <w:sz w:val="20"/>
                <w:szCs w:val="20"/>
                <w:color w:val="auto"/>
              </w:rPr>
            </w:pPr>
            <w:r>
              <w:rPr>
                <w:rFonts w:ascii="Arial" w:cs="Arial" w:eastAsia="Arial" w:hAnsi="Arial"/>
                <w:sz w:val="14"/>
                <w:szCs w:val="14"/>
                <w:color w:val="auto"/>
              </w:rPr>
              <w:t>11,723</w:t>
            </w:r>
          </w:p>
        </w:tc>
        <w:tc>
          <w:tcPr>
            <w:tcW w:w="760" w:type="dxa"/>
            <w:vAlign w:val="bottom"/>
            <w:tcBorders>
              <w:bottom w:val="single" w:sz="8" w:color="auto"/>
            </w:tcBorders>
          </w:tcPr>
          <w:p>
            <w:pPr>
              <w:jc w:val="right"/>
              <w:ind w:right="10"/>
              <w:spacing w:after="0" w:line="155" w:lineRule="exact"/>
              <w:rPr>
                <w:sz w:val="20"/>
                <w:szCs w:val="20"/>
                <w:color w:val="auto"/>
              </w:rPr>
            </w:pPr>
            <w:r>
              <w:rPr>
                <w:rFonts w:ascii="Arial" w:cs="Arial" w:eastAsia="Arial" w:hAnsi="Arial"/>
                <w:sz w:val="14"/>
                <w:szCs w:val="14"/>
                <w:color w:val="auto"/>
              </w:rPr>
              <w:t>12,074</w:t>
            </w:r>
          </w:p>
        </w:tc>
        <w:tc>
          <w:tcPr>
            <w:tcW w:w="620" w:type="dxa"/>
            <w:vAlign w:val="bottom"/>
            <w:tcBorders>
              <w:bottom w:val="single" w:sz="8" w:color="auto"/>
            </w:tcBorders>
          </w:tcPr>
          <w:p>
            <w:pPr>
              <w:jc w:val="right"/>
              <w:ind w:right="29"/>
              <w:spacing w:after="0" w:line="155" w:lineRule="exact"/>
              <w:rPr>
                <w:sz w:val="20"/>
                <w:szCs w:val="20"/>
                <w:color w:val="auto"/>
              </w:rPr>
            </w:pPr>
            <w:r>
              <w:rPr>
                <w:rFonts w:ascii="Arial" w:cs="Arial" w:eastAsia="Arial" w:hAnsi="Arial"/>
                <w:sz w:val="14"/>
                <w:szCs w:val="14"/>
                <w:color w:val="auto"/>
              </w:rPr>
              <w:t>2,666</w:t>
            </w:r>
          </w:p>
        </w:tc>
      </w:tr>
    </w:tbl>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5240" w:type="dxa"/>
            <w:vAlign w:val="bottom"/>
            <w:shd w:val="clear" w:color="auto" w:fill="333333"/>
          </w:tcPr>
          <w:p>
            <w:pPr>
              <w:ind w:left="80"/>
              <w:spacing w:after="0"/>
              <w:rPr>
                <w:sz w:val="20"/>
                <w:szCs w:val="20"/>
                <w:color w:val="auto"/>
              </w:rPr>
            </w:pPr>
            <w:r>
              <w:rPr>
                <w:rFonts w:ascii="Arial" w:cs="Arial" w:eastAsia="Arial" w:hAnsi="Arial"/>
                <w:sz w:val="15"/>
                <w:szCs w:val="15"/>
                <w:b w:val="1"/>
                <w:bCs w:val="1"/>
                <w:color w:val="FFFFFF"/>
              </w:rPr>
              <w:t>2013</w:t>
            </w:r>
          </w:p>
        </w:tc>
        <w:tc>
          <w:tcPr>
            <w:tcW w:w="1080" w:type="dxa"/>
            <w:vAlign w:val="bottom"/>
            <w:shd w:val="clear" w:color="auto" w:fill="333333"/>
          </w:tcPr>
          <w:p>
            <w:pPr>
              <w:spacing w:after="0"/>
              <w:rPr>
                <w:sz w:val="15"/>
                <w:szCs w:val="15"/>
                <w:color w:val="auto"/>
              </w:rPr>
            </w:pPr>
          </w:p>
        </w:tc>
        <w:tc>
          <w:tcPr>
            <w:tcW w:w="960" w:type="dxa"/>
            <w:vAlign w:val="bottom"/>
            <w:shd w:val="clear" w:color="auto" w:fill="333333"/>
          </w:tcPr>
          <w:p>
            <w:pPr>
              <w:spacing w:after="0"/>
              <w:rPr>
                <w:sz w:val="15"/>
                <w:szCs w:val="15"/>
                <w:color w:val="auto"/>
              </w:rPr>
            </w:pPr>
          </w:p>
        </w:tc>
        <w:tc>
          <w:tcPr>
            <w:tcW w:w="620" w:type="dxa"/>
            <w:vAlign w:val="bottom"/>
            <w:shd w:val="clear" w:color="auto" w:fill="333333"/>
          </w:tcPr>
          <w:p>
            <w:pPr>
              <w:spacing w:after="0"/>
              <w:rPr>
                <w:sz w:val="15"/>
                <w:szCs w:val="15"/>
                <w:color w:val="auto"/>
              </w:rPr>
            </w:pPr>
          </w:p>
        </w:tc>
        <w:tc>
          <w:tcPr>
            <w:tcW w:w="260" w:type="dxa"/>
            <w:vAlign w:val="bottom"/>
            <w:shd w:val="clear" w:color="auto" w:fill="333333"/>
          </w:tcPr>
          <w:p>
            <w:pPr>
              <w:spacing w:after="0"/>
              <w:rPr>
                <w:sz w:val="15"/>
                <w:szCs w:val="15"/>
                <w:color w:val="auto"/>
              </w:rPr>
            </w:pPr>
          </w:p>
        </w:tc>
        <w:tc>
          <w:tcPr>
            <w:tcW w:w="1060" w:type="dxa"/>
            <w:vAlign w:val="bottom"/>
            <w:shd w:val="clear" w:color="auto" w:fill="333333"/>
          </w:tcPr>
          <w:p>
            <w:pPr>
              <w:spacing w:after="0"/>
              <w:rPr>
                <w:sz w:val="15"/>
                <w:szCs w:val="15"/>
                <w:color w:val="auto"/>
              </w:rPr>
            </w:pPr>
          </w:p>
        </w:tc>
        <w:tc>
          <w:tcPr>
            <w:tcW w:w="880" w:type="dxa"/>
            <w:vAlign w:val="bottom"/>
            <w:shd w:val="clear" w:color="auto" w:fill="333333"/>
          </w:tcPr>
          <w:p>
            <w:pPr>
              <w:spacing w:after="0"/>
              <w:rPr>
                <w:sz w:val="15"/>
                <w:szCs w:val="15"/>
                <w:color w:val="auto"/>
              </w:rPr>
            </w:pPr>
          </w:p>
        </w:tc>
        <w:tc>
          <w:tcPr>
            <w:tcW w:w="1320" w:type="dxa"/>
            <w:vAlign w:val="bottom"/>
            <w:gridSpan w:val="2"/>
            <w:shd w:val="clear" w:color="auto" w:fill="333333"/>
          </w:tcPr>
          <w:p>
            <w:pPr>
              <w:jc w:val="right"/>
              <w:ind w:right="109"/>
              <w:spacing w:after="0"/>
              <w:rPr>
                <w:sz w:val="20"/>
                <w:szCs w:val="20"/>
                <w:color w:val="auto"/>
              </w:rPr>
            </w:pPr>
            <w:r>
              <w:rPr>
                <w:rFonts w:ascii="Arial" w:cs="Arial" w:eastAsia="Arial" w:hAnsi="Arial"/>
                <w:sz w:val="15"/>
                <w:szCs w:val="15"/>
                <w:color w:val="FFFFFF"/>
              </w:rPr>
              <w:t>$ MILLION</w:t>
            </w:r>
          </w:p>
        </w:tc>
      </w:tr>
      <w:tr>
        <w:trPr>
          <w:trHeight w:val="162"/>
        </w:trPr>
        <w:tc>
          <w:tcPr>
            <w:tcW w:w="52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80" w:type="dxa"/>
            <w:vAlign w:val="bottom"/>
            <w:gridSpan w:val="2"/>
          </w:tcPr>
          <w:p>
            <w:pPr>
              <w:jc w:val="right"/>
              <w:ind w:right="340"/>
              <w:spacing w:after="0"/>
              <w:rPr>
                <w:sz w:val="20"/>
                <w:szCs w:val="20"/>
                <w:color w:val="auto"/>
              </w:rPr>
            </w:pPr>
            <w:r>
              <w:rPr>
                <w:rFonts w:ascii="Arial" w:cs="Arial" w:eastAsia="Arial" w:hAnsi="Arial"/>
                <w:sz w:val="13"/>
                <w:szCs w:val="13"/>
                <w:color w:val="auto"/>
              </w:rPr>
              <w:t>Assets</w:t>
            </w:r>
          </w:p>
        </w:tc>
        <w:tc>
          <w:tcPr>
            <w:tcW w:w="10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00" w:type="dxa"/>
            <w:vAlign w:val="bottom"/>
          </w:tcPr>
          <w:p>
            <w:pPr>
              <w:jc w:val="right"/>
              <w:ind w:right="10"/>
              <w:spacing w:after="0"/>
              <w:rPr>
                <w:sz w:val="20"/>
                <w:szCs w:val="20"/>
                <w:color w:val="auto"/>
              </w:rPr>
            </w:pPr>
            <w:r>
              <w:rPr>
                <w:rFonts w:ascii="Arial" w:cs="Arial" w:eastAsia="Arial" w:hAnsi="Arial"/>
                <w:sz w:val="13"/>
                <w:szCs w:val="13"/>
                <w:color w:val="auto"/>
              </w:rPr>
              <w:t>Liabilities</w:t>
            </w:r>
          </w:p>
        </w:tc>
        <w:tc>
          <w:tcPr>
            <w:tcW w:w="620" w:type="dxa"/>
            <w:vAlign w:val="bottom"/>
          </w:tcPr>
          <w:p>
            <w:pPr>
              <w:spacing w:after="0"/>
              <w:rPr>
                <w:sz w:val="14"/>
                <w:szCs w:val="14"/>
                <w:color w:val="auto"/>
              </w:rPr>
            </w:pPr>
          </w:p>
        </w:tc>
      </w:tr>
      <w:tr>
        <w:trPr>
          <w:trHeight w:val="123"/>
        </w:trPr>
        <w:tc>
          <w:tcPr>
            <w:tcW w:w="5240" w:type="dxa"/>
            <w:vAlign w:val="bottom"/>
          </w:tcPr>
          <w:p>
            <w:pPr>
              <w:spacing w:after="0"/>
              <w:rPr>
                <w:sz w:val="10"/>
                <w:szCs w:val="10"/>
                <w:color w:val="auto"/>
              </w:rPr>
            </w:pPr>
          </w:p>
        </w:tc>
        <w:tc>
          <w:tcPr>
            <w:tcW w:w="1080" w:type="dxa"/>
            <w:vAlign w:val="bottom"/>
            <w:tcBorders>
              <w:top w:val="single" w:sz="8" w:color="auto"/>
            </w:tcBorders>
          </w:tcPr>
          <w:p>
            <w:pPr>
              <w:spacing w:after="0"/>
              <w:rPr>
                <w:sz w:val="10"/>
                <w:szCs w:val="10"/>
                <w:color w:val="auto"/>
              </w:rPr>
            </w:pPr>
          </w:p>
        </w:tc>
        <w:tc>
          <w:tcPr>
            <w:tcW w:w="960" w:type="dxa"/>
            <w:vAlign w:val="bottom"/>
            <w:tcBorders>
              <w:top w:val="single" w:sz="8" w:color="auto"/>
            </w:tcBorders>
          </w:tcPr>
          <w:p>
            <w:pPr>
              <w:jc w:val="right"/>
              <w:ind w:right="90"/>
              <w:spacing w:after="0" w:line="123" w:lineRule="exact"/>
              <w:rPr>
                <w:sz w:val="20"/>
                <w:szCs w:val="20"/>
                <w:color w:val="auto"/>
              </w:rPr>
            </w:pPr>
            <w:r>
              <w:rPr>
                <w:rFonts w:ascii="Arial" w:cs="Arial" w:eastAsia="Arial" w:hAnsi="Arial"/>
                <w:sz w:val="13"/>
                <w:szCs w:val="13"/>
                <w:color w:val="auto"/>
              </w:rPr>
              <w:t>Not</w:t>
            </w:r>
          </w:p>
        </w:tc>
        <w:tc>
          <w:tcPr>
            <w:tcW w:w="620" w:type="dxa"/>
            <w:vAlign w:val="bottom"/>
            <w:tcBorders>
              <w:top w:val="single" w:sz="8" w:color="auto"/>
            </w:tcBorders>
          </w:tcPr>
          <w:p>
            <w:pPr>
              <w:spacing w:after="0"/>
              <w:rPr>
                <w:sz w:val="10"/>
                <w:szCs w:val="10"/>
                <w:color w:val="auto"/>
              </w:rPr>
            </w:pPr>
          </w:p>
        </w:tc>
        <w:tc>
          <w:tcPr>
            <w:tcW w:w="260" w:type="dxa"/>
            <w:vAlign w:val="bottom"/>
          </w:tcPr>
          <w:p>
            <w:pPr>
              <w:spacing w:after="0"/>
              <w:rPr>
                <w:sz w:val="10"/>
                <w:szCs w:val="10"/>
                <w:color w:val="auto"/>
              </w:rPr>
            </w:pPr>
          </w:p>
        </w:tc>
        <w:tc>
          <w:tcPr>
            <w:tcW w:w="1060" w:type="dxa"/>
            <w:vAlign w:val="bottom"/>
            <w:tcBorders>
              <w:top w:val="single" w:sz="8" w:color="auto"/>
            </w:tcBorders>
          </w:tcPr>
          <w:p>
            <w:pPr>
              <w:spacing w:after="0"/>
              <w:rPr>
                <w:sz w:val="10"/>
                <w:szCs w:val="10"/>
                <w:color w:val="auto"/>
              </w:rPr>
            </w:pPr>
          </w:p>
        </w:tc>
        <w:tc>
          <w:tcPr>
            <w:tcW w:w="880" w:type="dxa"/>
            <w:vAlign w:val="bottom"/>
            <w:tcBorders>
              <w:top w:val="single" w:sz="8" w:color="auto"/>
            </w:tcBorders>
          </w:tcPr>
          <w:p>
            <w:pPr>
              <w:jc w:val="right"/>
              <w:ind w:right="10"/>
              <w:spacing w:after="0" w:line="123" w:lineRule="exact"/>
              <w:rPr>
                <w:sz w:val="20"/>
                <w:szCs w:val="20"/>
                <w:color w:val="auto"/>
              </w:rPr>
            </w:pPr>
            <w:r>
              <w:rPr>
                <w:rFonts w:ascii="Arial" w:cs="Arial" w:eastAsia="Arial" w:hAnsi="Arial"/>
                <w:sz w:val="13"/>
                <w:szCs w:val="13"/>
                <w:color w:val="auto"/>
              </w:rPr>
              <w:t>Not</w:t>
            </w:r>
          </w:p>
        </w:tc>
        <w:tc>
          <w:tcPr>
            <w:tcW w:w="700" w:type="dxa"/>
            <w:vAlign w:val="bottom"/>
            <w:tcBorders>
              <w:top w:val="single" w:sz="8" w:color="auto"/>
            </w:tcBorders>
          </w:tcPr>
          <w:p>
            <w:pPr>
              <w:spacing w:after="0"/>
              <w:rPr>
                <w:sz w:val="10"/>
                <w:szCs w:val="10"/>
                <w:color w:val="auto"/>
              </w:rPr>
            </w:pPr>
          </w:p>
        </w:tc>
        <w:tc>
          <w:tcPr>
            <w:tcW w:w="620" w:type="dxa"/>
            <w:vAlign w:val="bottom"/>
          </w:tcPr>
          <w:p>
            <w:pPr>
              <w:spacing w:after="0"/>
              <w:rPr>
                <w:sz w:val="10"/>
                <w:szCs w:val="10"/>
                <w:color w:val="auto"/>
              </w:rPr>
            </w:pPr>
          </w:p>
        </w:tc>
      </w:tr>
      <w:tr>
        <w:trPr>
          <w:trHeight w:val="141"/>
        </w:trPr>
        <w:tc>
          <w:tcPr>
            <w:tcW w:w="524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ind w:right="89"/>
              <w:spacing w:after="0" w:line="141" w:lineRule="exact"/>
              <w:rPr>
                <w:sz w:val="20"/>
                <w:szCs w:val="20"/>
                <w:color w:val="auto"/>
              </w:rPr>
            </w:pPr>
            <w:r>
              <w:rPr>
                <w:rFonts w:ascii="Arial" w:cs="Arial" w:eastAsia="Arial" w:hAnsi="Arial"/>
                <w:sz w:val="13"/>
                <w:szCs w:val="13"/>
                <w:color w:val="auto"/>
              </w:rPr>
              <w:t>Designated</w:t>
            </w:r>
          </w:p>
        </w:tc>
        <w:tc>
          <w:tcPr>
            <w:tcW w:w="960" w:type="dxa"/>
            <w:vAlign w:val="bottom"/>
            <w:tcBorders>
              <w:bottom w:val="single" w:sz="8" w:color="auto"/>
            </w:tcBorders>
          </w:tcPr>
          <w:p>
            <w:pPr>
              <w:jc w:val="right"/>
              <w:ind w:right="90"/>
              <w:spacing w:after="0" w:line="141" w:lineRule="exact"/>
              <w:rPr>
                <w:sz w:val="20"/>
                <w:szCs w:val="20"/>
                <w:color w:val="auto"/>
              </w:rPr>
            </w:pPr>
            <w:r>
              <w:rPr>
                <w:rFonts w:ascii="Arial" w:cs="Arial" w:eastAsia="Arial" w:hAnsi="Arial"/>
                <w:sz w:val="13"/>
                <w:szCs w:val="13"/>
                <w:color w:val="auto"/>
              </w:rPr>
              <w:t>designated</w:t>
            </w:r>
          </w:p>
        </w:tc>
        <w:tc>
          <w:tcPr>
            <w:tcW w:w="880" w:type="dxa"/>
            <w:vAlign w:val="bottom"/>
            <w:tcBorders>
              <w:bottom w:val="single" w:sz="8" w:color="auto"/>
            </w:tcBorders>
            <w:gridSpan w:val="2"/>
          </w:tcPr>
          <w:p>
            <w:pPr>
              <w:jc w:val="right"/>
              <w:ind w:right="340"/>
              <w:spacing w:after="0" w:line="141" w:lineRule="exact"/>
              <w:rPr>
                <w:sz w:val="20"/>
                <w:szCs w:val="20"/>
                <w:color w:val="auto"/>
              </w:rPr>
            </w:pPr>
            <w:r>
              <w:rPr>
                <w:rFonts w:ascii="Arial" w:cs="Arial" w:eastAsia="Arial" w:hAnsi="Arial"/>
                <w:sz w:val="13"/>
                <w:szCs w:val="13"/>
                <w:color w:val="auto"/>
              </w:rPr>
              <w:t>Total</w:t>
            </w:r>
          </w:p>
        </w:tc>
        <w:tc>
          <w:tcPr>
            <w:tcW w:w="1060" w:type="dxa"/>
            <w:vAlign w:val="bottom"/>
            <w:tcBorders>
              <w:bottom w:val="single" w:sz="8" w:color="auto"/>
            </w:tcBorders>
          </w:tcPr>
          <w:p>
            <w:pPr>
              <w:jc w:val="right"/>
              <w:ind w:right="89"/>
              <w:spacing w:after="0" w:line="141" w:lineRule="exact"/>
              <w:rPr>
                <w:sz w:val="20"/>
                <w:szCs w:val="20"/>
                <w:color w:val="auto"/>
              </w:rPr>
            </w:pPr>
            <w:r>
              <w:rPr>
                <w:rFonts w:ascii="Arial" w:cs="Arial" w:eastAsia="Arial" w:hAnsi="Arial"/>
                <w:sz w:val="13"/>
                <w:szCs w:val="13"/>
                <w:color w:val="auto"/>
              </w:rPr>
              <w:t>Designated</w:t>
            </w:r>
          </w:p>
        </w:tc>
        <w:tc>
          <w:tcPr>
            <w:tcW w:w="880" w:type="dxa"/>
            <w:vAlign w:val="bottom"/>
            <w:tcBorders>
              <w:bottom w:val="single" w:sz="8" w:color="auto"/>
            </w:tcBorders>
          </w:tcPr>
          <w:p>
            <w:pPr>
              <w:jc w:val="right"/>
              <w:ind w:right="10"/>
              <w:spacing w:after="0" w:line="141" w:lineRule="exact"/>
              <w:rPr>
                <w:sz w:val="20"/>
                <w:szCs w:val="20"/>
                <w:color w:val="auto"/>
              </w:rPr>
            </w:pPr>
            <w:r>
              <w:rPr>
                <w:rFonts w:ascii="Arial" w:cs="Arial" w:eastAsia="Arial" w:hAnsi="Arial"/>
                <w:sz w:val="13"/>
                <w:szCs w:val="13"/>
                <w:color w:val="auto"/>
              </w:rPr>
              <w:t>designated</w:t>
            </w:r>
          </w:p>
        </w:tc>
        <w:tc>
          <w:tcPr>
            <w:tcW w:w="700" w:type="dxa"/>
            <w:vAlign w:val="bottom"/>
            <w:tcBorders>
              <w:bottom w:val="single" w:sz="8" w:color="auto"/>
            </w:tcBorders>
          </w:tcPr>
          <w:p>
            <w:pPr>
              <w:jc w:val="right"/>
              <w:ind w:right="10"/>
              <w:spacing w:after="0" w:line="141" w:lineRule="exact"/>
              <w:rPr>
                <w:sz w:val="20"/>
                <w:szCs w:val="20"/>
                <w:color w:val="auto"/>
              </w:rPr>
            </w:pPr>
            <w:r>
              <w:rPr>
                <w:rFonts w:ascii="Arial" w:cs="Arial" w:eastAsia="Arial" w:hAnsi="Arial"/>
                <w:sz w:val="13"/>
                <w:szCs w:val="13"/>
                <w:color w:val="auto"/>
              </w:rPr>
              <w:t>Total</w:t>
            </w:r>
          </w:p>
        </w:tc>
        <w:tc>
          <w:tcPr>
            <w:tcW w:w="620" w:type="dxa"/>
            <w:vAlign w:val="bottom"/>
            <w:tcBorders>
              <w:bottom w:val="single" w:sz="8" w:color="auto"/>
            </w:tcBorders>
          </w:tcPr>
          <w:p>
            <w:pPr>
              <w:jc w:val="right"/>
              <w:ind w:right="29"/>
              <w:spacing w:after="0" w:line="141" w:lineRule="exact"/>
              <w:rPr>
                <w:sz w:val="20"/>
                <w:szCs w:val="20"/>
                <w:color w:val="auto"/>
              </w:rPr>
            </w:pPr>
            <w:r>
              <w:rPr>
                <w:rFonts w:ascii="Arial" w:cs="Arial" w:eastAsia="Arial" w:hAnsi="Arial"/>
                <w:sz w:val="13"/>
                <w:szCs w:val="13"/>
                <w:color w:val="auto"/>
              </w:rPr>
              <w:t>Net</w:t>
            </w:r>
          </w:p>
        </w:tc>
      </w:tr>
      <w:tr>
        <w:trPr>
          <w:trHeight w:val="160"/>
        </w:trPr>
        <w:tc>
          <w:tcPr>
            <w:tcW w:w="5240" w:type="dxa"/>
            <w:vAlign w:val="bottom"/>
          </w:tcPr>
          <w:p>
            <w:pPr>
              <w:spacing w:after="0"/>
              <w:rPr>
                <w:sz w:val="20"/>
                <w:szCs w:val="20"/>
                <w:color w:val="auto"/>
              </w:rPr>
            </w:pPr>
            <w:r>
              <w:rPr>
                <w:rFonts w:ascii="Arial" w:cs="Arial" w:eastAsia="Arial" w:hAnsi="Arial"/>
                <w:sz w:val="14"/>
                <w:szCs w:val="14"/>
                <w:color w:val="auto"/>
              </w:rPr>
              <w:t>Interest rate swaps</w:t>
            </w:r>
          </w:p>
        </w:tc>
        <w:tc>
          <w:tcPr>
            <w:tcW w:w="1080" w:type="dxa"/>
            <w:vAlign w:val="bottom"/>
          </w:tcPr>
          <w:p>
            <w:pPr>
              <w:jc w:val="right"/>
              <w:ind w:right="89"/>
              <w:spacing w:after="0"/>
              <w:rPr>
                <w:sz w:val="20"/>
                <w:szCs w:val="20"/>
                <w:color w:val="auto"/>
              </w:rPr>
            </w:pPr>
            <w:r>
              <w:rPr>
                <w:rFonts w:ascii="Arial" w:cs="Arial" w:eastAsia="Arial" w:hAnsi="Arial"/>
                <w:sz w:val="14"/>
                <w:szCs w:val="14"/>
                <w:color w:val="auto"/>
              </w:rPr>
              <w:t>222</w:t>
            </w:r>
          </w:p>
        </w:tc>
        <w:tc>
          <w:tcPr>
            <w:tcW w:w="960" w:type="dxa"/>
            <w:vAlign w:val="bottom"/>
          </w:tcPr>
          <w:p>
            <w:pPr>
              <w:jc w:val="right"/>
              <w:ind w:right="90"/>
              <w:spacing w:after="0"/>
              <w:rPr>
                <w:sz w:val="20"/>
                <w:szCs w:val="20"/>
                <w:color w:val="auto"/>
              </w:rPr>
            </w:pPr>
            <w:r>
              <w:rPr>
                <w:rFonts w:ascii="Arial" w:cs="Arial" w:eastAsia="Arial" w:hAnsi="Arial"/>
                <w:sz w:val="14"/>
                <w:szCs w:val="14"/>
                <w:color w:val="auto"/>
              </w:rPr>
              <w:t>–</w:t>
            </w:r>
          </w:p>
        </w:tc>
        <w:tc>
          <w:tcPr>
            <w:tcW w:w="620" w:type="dxa"/>
            <w:vAlign w:val="bottom"/>
          </w:tcPr>
          <w:p>
            <w:pPr>
              <w:jc w:val="right"/>
              <w:ind w:right="10"/>
              <w:spacing w:after="0"/>
              <w:rPr>
                <w:sz w:val="20"/>
                <w:szCs w:val="20"/>
                <w:color w:val="auto"/>
              </w:rPr>
            </w:pPr>
            <w:r>
              <w:rPr>
                <w:rFonts w:ascii="Arial" w:cs="Arial" w:eastAsia="Arial" w:hAnsi="Arial"/>
                <w:sz w:val="14"/>
                <w:szCs w:val="14"/>
                <w:color w:val="auto"/>
              </w:rPr>
              <w:t>222</w:t>
            </w:r>
          </w:p>
        </w:tc>
        <w:tc>
          <w:tcPr>
            <w:tcW w:w="260" w:type="dxa"/>
            <w:vAlign w:val="bottom"/>
          </w:tcPr>
          <w:p>
            <w:pPr>
              <w:spacing w:after="0"/>
              <w:rPr>
                <w:sz w:val="13"/>
                <w:szCs w:val="13"/>
                <w:color w:val="auto"/>
              </w:rPr>
            </w:pPr>
          </w:p>
        </w:tc>
        <w:tc>
          <w:tcPr>
            <w:tcW w:w="1060" w:type="dxa"/>
            <w:vAlign w:val="bottom"/>
          </w:tcPr>
          <w:p>
            <w:pPr>
              <w:jc w:val="right"/>
              <w:ind w:right="89"/>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10"/>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10"/>
              <w:spacing w:after="0"/>
              <w:rPr>
                <w:sz w:val="20"/>
                <w:szCs w:val="20"/>
                <w:color w:val="auto"/>
              </w:rPr>
            </w:pPr>
            <w:r>
              <w:rPr>
                <w:rFonts w:ascii="Arial" w:cs="Arial" w:eastAsia="Arial" w:hAnsi="Arial"/>
                <w:sz w:val="14"/>
                <w:szCs w:val="14"/>
                <w:color w:val="auto"/>
              </w:rPr>
              <w:t>–</w:t>
            </w:r>
          </w:p>
        </w:tc>
        <w:tc>
          <w:tcPr>
            <w:tcW w:w="620" w:type="dxa"/>
            <w:vAlign w:val="bottom"/>
          </w:tcPr>
          <w:p>
            <w:pPr>
              <w:jc w:val="right"/>
              <w:ind w:right="29"/>
              <w:spacing w:after="0"/>
              <w:rPr>
                <w:sz w:val="20"/>
                <w:szCs w:val="20"/>
                <w:color w:val="auto"/>
              </w:rPr>
            </w:pPr>
            <w:r>
              <w:rPr>
                <w:rFonts w:ascii="Arial" w:cs="Arial" w:eastAsia="Arial" w:hAnsi="Arial"/>
                <w:sz w:val="14"/>
                <w:szCs w:val="14"/>
                <w:color w:val="auto"/>
              </w:rPr>
              <w:t>222</w:t>
            </w:r>
          </w:p>
        </w:tc>
      </w:tr>
      <w:tr>
        <w:trPr>
          <w:trHeight w:val="162"/>
        </w:trPr>
        <w:tc>
          <w:tcPr>
            <w:tcW w:w="5240" w:type="dxa"/>
            <w:vAlign w:val="bottom"/>
          </w:tcPr>
          <w:p>
            <w:pPr>
              <w:spacing w:after="0"/>
              <w:rPr>
                <w:sz w:val="20"/>
                <w:szCs w:val="20"/>
                <w:color w:val="auto"/>
              </w:rPr>
            </w:pPr>
            <w:r>
              <w:rPr>
                <w:rFonts w:ascii="Arial" w:cs="Arial" w:eastAsia="Arial" w:hAnsi="Arial"/>
                <w:sz w:val="14"/>
                <w:szCs w:val="14"/>
                <w:color w:val="auto"/>
              </w:rPr>
              <w:t>Forward foreign exchange contracts</w:t>
            </w:r>
          </w:p>
        </w:tc>
        <w:tc>
          <w:tcPr>
            <w:tcW w:w="1080" w:type="dxa"/>
            <w:vAlign w:val="bottom"/>
          </w:tcPr>
          <w:p>
            <w:pPr>
              <w:jc w:val="right"/>
              <w:ind w:right="89"/>
              <w:spacing w:after="0"/>
              <w:rPr>
                <w:sz w:val="20"/>
                <w:szCs w:val="20"/>
                <w:color w:val="auto"/>
              </w:rPr>
            </w:pPr>
            <w:r>
              <w:rPr>
                <w:rFonts w:ascii="Arial" w:cs="Arial" w:eastAsia="Arial" w:hAnsi="Arial"/>
                <w:sz w:val="14"/>
                <w:szCs w:val="14"/>
                <w:color w:val="auto"/>
              </w:rPr>
              <w:t>47</w:t>
            </w:r>
          </w:p>
        </w:tc>
        <w:tc>
          <w:tcPr>
            <w:tcW w:w="960" w:type="dxa"/>
            <w:vAlign w:val="bottom"/>
          </w:tcPr>
          <w:p>
            <w:pPr>
              <w:jc w:val="right"/>
              <w:ind w:right="90"/>
              <w:spacing w:after="0"/>
              <w:rPr>
                <w:sz w:val="20"/>
                <w:szCs w:val="20"/>
                <w:color w:val="auto"/>
              </w:rPr>
            </w:pPr>
            <w:r>
              <w:rPr>
                <w:rFonts w:ascii="Arial" w:cs="Arial" w:eastAsia="Arial" w:hAnsi="Arial"/>
                <w:sz w:val="14"/>
                <w:szCs w:val="14"/>
                <w:color w:val="auto"/>
              </w:rPr>
              <w:t>283</w:t>
            </w:r>
          </w:p>
        </w:tc>
        <w:tc>
          <w:tcPr>
            <w:tcW w:w="620" w:type="dxa"/>
            <w:vAlign w:val="bottom"/>
          </w:tcPr>
          <w:p>
            <w:pPr>
              <w:jc w:val="right"/>
              <w:ind w:right="10"/>
              <w:spacing w:after="0"/>
              <w:rPr>
                <w:sz w:val="20"/>
                <w:szCs w:val="20"/>
                <w:color w:val="auto"/>
              </w:rPr>
            </w:pPr>
            <w:r>
              <w:rPr>
                <w:rFonts w:ascii="Arial" w:cs="Arial" w:eastAsia="Arial" w:hAnsi="Arial"/>
                <w:sz w:val="14"/>
                <w:szCs w:val="14"/>
                <w:color w:val="auto"/>
              </w:rPr>
              <w:t>330</w:t>
            </w:r>
          </w:p>
        </w:tc>
        <w:tc>
          <w:tcPr>
            <w:tcW w:w="260" w:type="dxa"/>
            <w:vAlign w:val="bottom"/>
          </w:tcPr>
          <w:p>
            <w:pPr>
              <w:spacing w:after="0"/>
              <w:rPr>
                <w:sz w:val="14"/>
                <w:szCs w:val="14"/>
                <w:color w:val="auto"/>
              </w:rPr>
            </w:pPr>
          </w:p>
        </w:tc>
        <w:tc>
          <w:tcPr>
            <w:tcW w:w="1060" w:type="dxa"/>
            <w:vAlign w:val="bottom"/>
          </w:tcPr>
          <w:p>
            <w:pPr>
              <w:jc w:val="right"/>
              <w:ind w:right="89"/>
              <w:spacing w:after="0"/>
              <w:rPr>
                <w:sz w:val="20"/>
                <w:szCs w:val="20"/>
                <w:color w:val="auto"/>
              </w:rPr>
            </w:pPr>
            <w:r>
              <w:rPr>
                <w:rFonts w:ascii="Arial" w:cs="Arial" w:eastAsia="Arial" w:hAnsi="Arial"/>
                <w:sz w:val="14"/>
                <w:szCs w:val="14"/>
                <w:color w:val="auto"/>
              </w:rPr>
              <w:t>12</w:t>
            </w:r>
          </w:p>
        </w:tc>
        <w:tc>
          <w:tcPr>
            <w:tcW w:w="880" w:type="dxa"/>
            <w:vAlign w:val="bottom"/>
          </w:tcPr>
          <w:p>
            <w:pPr>
              <w:jc w:val="right"/>
              <w:ind w:right="10"/>
              <w:spacing w:after="0"/>
              <w:rPr>
                <w:sz w:val="20"/>
                <w:szCs w:val="20"/>
                <w:color w:val="auto"/>
              </w:rPr>
            </w:pPr>
            <w:r>
              <w:rPr>
                <w:rFonts w:ascii="Arial" w:cs="Arial" w:eastAsia="Arial" w:hAnsi="Arial"/>
                <w:sz w:val="14"/>
                <w:szCs w:val="14"/>
                <w:color w:val="auto"/>
              </w:rPr>
              <w:t>127</w:t>
            </w:r>
          </w:p>
        </w:tc>
        <w:tc>
          <w:tcPr>
            <w:tcW w:w="700" w:type="dxa"/>
            <w:vAlign w:val="bottom"/>
          </w:tcPr>
          <w:p>
            <w:pPr>
              <w:jc w:val="right"/>
              <w:ind w:right="10"/>
              <w:spacing w:after="0"/>
              <w:rPr>
                <w:sz w:val="20"/>
                <w:szCs w:val="20"/>
                <w:color w:val="auto"/>
              </w:rPr>
            </w:pPr>
            <w:r>
              <w:rPr>
                <w:rFonts w:ascii="Arial" w:cs="Arial" w:eastAsia="Arial" w:hAnsi="Arial"/>
                <w:sz w:val="14"/>
                <w:szCs w:val="14"/>
                <w:color w:val="auto"/>
              </w:rPr>
              <w:t>139</w:t>
            </w:r>
          </w:p>
        </w:tc>
        <w:tc>
          <w:tcPr>
            <w:tcW w:w="620" w:type="dxa"/>
            <w:vAlign w:val="bottom"/>
          </w:tcPr>
          <w:p>
            <w:pPr>
              <w:jc w:val="right"/>
              <w:ind w:right="29"/>
              <w:spacing w:after="0"/>
              <w:rPr>
                <w:sz w:val="20"/>
                <w:szCs w:val="20"/>
                <w:color w:val="auto"/>
              </w:rPr>
            </w:pPr>
            <w:r>
              <w:rPr>
                <w:rFonts w:ascii="Arial" w:cs="Arial" w:eastAsia="Arial" w:hAnsi="Arial"/>
                <w:sz w:val="14"/>
                <w:szCs w:val="14"/>
                <w:color w:val="auto"/>
              </w:rPr>
              <w:t>191</w:t>
            </w:r>
          </w:p>
        </w:tc>
      </w:tr>
      <w:tr>
        <w:trPr>
          <w:trHeight w:val="162"/>
        </w:trPr>
        <w:tc>
          <w:tcPr>
            <w:tcW w:w="5240" w:type="dxa"/>
            <w:vAlign w:val="bottom"/>
          </w:tcPr>
          <w:p>
            <w:pPr>
              <w:spacing w:after="0"/>
              <w:rPr>
                <w:sz w:val="20"/>
                <w:szCs w:val="20"/>
                <w:color w:val="auto"/>
              </w:rPr>
            </w:pPr>
            <w:r>
              <w:rPr>
                <w:rFonts w:ascii="Arial" w:cs="Arial" w:eastAsia="Arial" w:hAnsi="Arial"/>
                <w:sz w:val="14"/>
                <w:szCs w:val="14"/>
                <w:color w:val="auto"/>
              </w:rPr>
              <w:t>Currency swaps</w:t>
            </w:r>
          </w:p>
        </w:tc>
        <w:tc>
          <w:tcPr>
            <w:tcW w:w="1080" w:type="dxa"/>
            <w:vAlign w:val="bottom"/>
          </w:tcPr>
          <w:p>
            <w:pPr>
              <w:jc w:val="right"/>
              <w:ind w:right="89"/>
              <w:spacing w:after="0"/>
              <w:rPr>
                <w:sz w:val="20"/>
                <w:szCs w:val="20"/>
                <w:color w:val="auto"/>
              </w:rPr>
            </w:pPr>
            <w:r>
              <w:rPr>
                <w:rFonts w:ascii="Arial" w:cs="Arial" w:eastAsia="Arial" w:hAnsi="Arial"/>
                <w:sz w:val="14"/>
                <w:szCs w:val="14"/>
                <w:color w:val="auto"/>
              </w:rPr>
              <w:t>1,112</w:t>
            </w:r>
          </w:p>
        </w:tc>
        <w:tc>
          <w:tcPr>
            <w:tcW w:w="960" w:type="dxa"/>
            <w:vAlign w:val="bottom"/>
          </w:tcPr>
          <w:p>
            <w:pPr>
              <w:jc w:val="right"/>
              <w:ind w:right="90"/>
              <w:spacing w:after="0"/>
              <w:rPr>
                <w:sz w:val="20"/>
                <w:szCs w:val="20"/>
                <w:color w:val="auto"/>
              </w:rPr>
            </w:pPr>
            <w:r>
              <w:rPr>
                <w:rFonts w:ascii="Arial" w:cs="Arial" w:eastAsia="Arial" w:hAnsi="Arial"/>
                <w:sz w:val="14"/>
                <w:szCs w:val="14"/>
                <w:color w:val="auto"/>
              </w:rPr>
              <w:t>141</w:t>
            </w:r>
          </w:p>
        </w:tc>
        <w:tc>
          <w:tcPr>
            <w:tcW w:w="620" w:type="dxa"/>
            <w:vAlign w:val="bottom"/>
          </w:tcPr>
          <w:p>
            <w:pPr>
              <w:jc w:val="right"/>
              <w:ind w:right="10"/>
              <w:spacing w:after="0"/>
              <w:rPr>
                <w:sz w:val="20"/>
                <w:szCs w:val="20"/>
                <w:color w:val="auto"/>
              </w:rPr>
            </w:pPr>
            <w:r>
              <w:rPr>
                <w:rFonts w:ascii="Arial" w:cs="Arial" w:eastAsia="Arial" w:hAnsi="Arial"/>
                <w:sz w:val="14"/>
                <w:szCs w:val="14"/>
                <w:color w:val="auto"/>
              </w:rPr>
              <w:t>1,253</w:t>
            </w:r>
          </w:p>
        </w:tc>
        <w:tc>
          <w:tcPr>
            <w:tcW w:w="260" w:type="dxa"/>
            <w:vAlign w:val="bottom"/>
          </w:tcPr>
          <w:p>
            <w:pPr>
              <w:spacing w:after="0"/>
              <w:rPr>
                <w:sz w:val="14"/>
                <w:szCs w:val="14"/>
                <w:color w:val="auto"/>
              </w:rPr>
            </w:pPr>
          </w:p>
        </w:tc>
        <w:tc>
          <w:tcPr>
            <w:tcW w:w="1060" w:type="dxa"/>
            <w:vAlign w:val="bottom"/>
          </w:tcPr>
          <w:p>
            <w:pPr>
              <w:jc w:val="right"/>
              <w:ind w:right="89"/>
              <w:spacing w:after="0"/>
              <w:rPr>
                <w:sz w:val="20"/>
                <w:szCs w:val="20"/>
                <w:color w:val="auto"/>
              </w:rPr>
            </w:pPr>
            <w:r>
              <w:rPr>
                <w:rFonts w:ascii="Arial" w:cs="Arial" w:eastAsia="Arial" w:hAnsi="Arial"/>
                <w:sz w:val="14"/>
                <w:szCs w:val="14"/>
                <w:color w:val="auto"/>
              </w:rPr>
              <w:t>14</w:t>
            </w:r>
          </w:p>
        </w:tc>
        <w:tc>
          <w:tcPr>
            <w:tcW w:w="880" w:type="dxa"/>
            <w:vAlign w:val="bottom"/>
          </w:tcPr>
          <w:p>
            <w:pPr>
              <w:jc w:val="right"/>
              <w:ind w:right="10"/>
              <w:spacing w:after="0"/>
              <w:rPr>
                <w:sz w:val="20"/>
                <w:szCs w:val="20"/>
                <w:color w:val="auto"/>
              </w:rPr>
            </w:pPr>
            <w:r>
              <w:rPr>
                <w:rFonts w:ascii="Arial" w:cs="Arial" w:eastAsia="Arial" w:hAnsi="Arial"/>
                <w:sz w:val="14"/>
                <w:szCs w:val="14"/>
                <w:color w:val="auto"/>
              </w:rPr>
              <w:t>2</w:t>
            </w:r>
          </w:p>
        </w:tc>
        <w:tc>
          <w:tcPr>
            <w:tcW w:w="700" w:type="dxa"/>
            <w:vAlign w:val="bottom"/>
          </w:tcPr>
          <w:p>
            <w:pPr>
              <w:jc w:val="right"/>
              <w:ind w:right="10"/>
              <w:spacing w:after="0"/>
              <w:rPr>
                <w:sz w:val="20"/>
                <w:szCs w:val="20"/>
                <w:color w:val="auto"/>
              </w:rPr>
            </w:pPr>
            <w:r>
              <w:rPr>
                <w:rFonts w:ascii="Arial" w:cs="Arial" w:eastAsia="Arial" w:hAnsi="Arial"/>
                <w:sz w:val="14"/>
                <w:szCs w:val="14"/>
                <w:color w:val="auto"/>
              </w:rPr>
              <w:t>16</w:t>
            </w:r>
          </w:p>
        </w:tc>
        <w:tc>
          <w:tcPr>
            <w:tcW w:w="620" w:type="dxa"/>
            <w:vAlign w:val="bottom"/>
          </w:tcPr>
          <w:p>
            <w:pPr>
              <w:jc w:val="right"/>
              <w:ind w:right="29"/>
              <w:spacing w:after="0"/>
              <w:rPr>
                <w:sz w:val="20"/>
                <w:szCs w:val="20"/>
                <w:color w:val="auto"/>
              </w:rPr>
            </w:pPr>
            <w:r>
              <w:rPr>
                <w:rFonts w:ascii="Arial" w:cs="Arial" w:eastAsia="Arial" w:hAnsi="Arial"/>
                <w:sz w:val="14"/>
                <w:szCs w:val="14"/>
                <w:color w:val="auto"/>
              </w:rPr>
              <w:t>1,237</w:t>
            </w:r>
          </w:p>
        </w:tc>
      </w:tr>
      <w:tr>
        <w:trPr>
          <w:trHeight w:val="162"/>
        </w:trPr>
        <w:tc>
          <w:tcPr>
            <w:tcW w:w="5240" w:type="dxa"/>
            <w:vAlign w:val="bottom"/>
          </w:tcPr>
          <w:p>
            <w:pPr>
              <w:spacing w:after="0"/>
              <w:rPr>
                <w:sz w:val="20"/>
                <w:szCs w:val="20"/>
                <w:color w:val="auto"/>
              </w:rPr>
            </w:pPr>
            <w:r>
              <w:rPr>
                <w:rFonts w:ascii="Arial" w:cs="Arial" w:eastAsia="Arial" w:hAnsi="Arial"/>
                <w:sz w:val="14"/>
                <w:szCs w:val="14"/>
                <w:color w:val="auto"/>
              </w:rPr>
              <w:t>Commodity derivatives</w:t>
            </w:r>
          </w:p>
        </w:tc>
        <w:tc>
          <w:tcPr>
            <w:tcW w:w="1080" w:type="dxa"/>
            <w:vAlign w:val="bottom"/>
          </w:tcPr>
          <w:p>
            <w:pPr>
              <w:jc w:val="right"/>
              <w:ind w:right="89"/>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90"/>
              <w:spacing w:after="0"/>
              <w:rPr>
                <w:sz w:val="20"/>
                <w:szCs w:val="20"/>
                <w:color w:val="auto"/>
              </w:rPr>
            </w:pPr>
            <w:r>
              <w:rPr>
                <w:rFonts w:ascii="Arial" w:cs="Arial" w:eastAsia="Arial" w:hAnsi="Arial"/>
                <w:sz w:val="14"/>
                <w:szCs w:val="14"/>
                <w:color w:val="auto"/>
              </w:rPr>
              <w:t>6,014</w:t>
            </w:r>
          </w:p>
        </w:tc>
        <w:tc>
          <w:tcPr>
            <w:tcW w:w="620" w:type="dxa"/>
            <w:vAlign w:val="bottom"/>
          </w:tcPr>
          <w:p>
            <w:pPr>
              <w:jc w:val="right"/>
              <w:ind w:right="10"/>
              <w:spacing w:after="0"/>
              <w:rPr>
                <w:sz w:val="20"/>
                <w:szCs w:val="20"/>
                <w:color w:val="auto"/>
              </w:rPr>
            </w:pPr>
            <w:r>
              <w:rPr>
                <w:rFonts w:ascii="Arial" w:cs="Arial" w:eastAsia="Arial" w:hAnsi="Arial"/>
                <w:sz w:val="14"/>
                <w:szCs w:val="14"/>
                <w:color w:val="auto"/>
              </w:rPr>
              <w:t>6,014</w:t>
            </w:r>
          </w:p>
        </w:tc>
        <w:tc>
          <w:tcPr>
            <w:tcW w:w="260" w:type="dxa"/>
            <w:vAlign w:val="bottom"/>
          </w:tcPr>
          <w:p>
            <w:pPr>
              <w:spacing w:after="0"/>
              <w:rPr>
                <w:sz w:val="14"/>
                <w:szCs w:val="14"/>
                <w:color w:val="auto"/>
              </w:rPr>
            </w:pPr>
          </w:p>
        </w:tc>
        <w:tc>
          <w:tcPr>
            <w:tcW w:w="1060" w:type="dxa"/>
            <w:vAlign w:val="bottom"/>
          </w:tcPr>
          <w:p>
            <w:pPr>
              <w:jc w:val="right"/>
              <w:ind w:right="89"/>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10"/>
              <w:spacing w:after="0"/>
              <w:rPr>
                <w:sz w:val="20"/>
                <w:szCs w:val="20"/>
                <w:color w:val="auto"/>
              </w:rPr>
            </w:pPr>
            <w:r>
              <w:rPr>
                <w:rFonts w:ascii="Arial" w:cs="Arial" w:eastAsia="Arial" w:hAnsi="Arial"/>
                <w:sz w:val="14"/>
                <w:szCs w:val="14"/>
                <w:color w:val="auto"/>
              </w:rPr>
              <w:t>6,206</w:t>
            </w:r>
          </w:p>
        </w:tc>
        <w:tc>
          <w:tcPr>
            <w:tcW w:w="700" w:type="dxa"/>
            <w:vAlign w:val="bottom"/>
          </w:tcPr>
          <w:p>
            <w:pPr>
              <w:jc w:val="right"/>
              <w:ind w:right="10"/>
              <w:spacing w:after="0"/>
              <w:rPr>
                <w:sz w:val="20"/>
                <w:szCs w:val="20"/>
                <w:color w:val="auto"/>
              </w:rPr>
            </w:pPr>
            <w:r>
              <w:rPr>
                <w:rFonts w:ascii="Arial" w:cs="Arial" w:eastAsia="Arial" w:hAnsi="Arial"/>
                <w:sz w:val="14"/>
                <w:szCs w:val="14"/>
                <w:color w:val="auto"/>
              </w:rPr>
              <w:t>6,206</w:t>
            </w:r>
          </w:p>
        </w:tc>
        <w:tc>
          <w:tcPr>
            <w:tcW w:w="620" w:type="dxa"/>
            <w:vAlign w:val="bottom"/>
          </w:tcPr>
          <w:p>
            <w:pPr>
              <w:jc w:val="right"/>
              <w:spacing w:after="0"/>
              <w:rPr>
                <w:sz w:val="20"/>
                <w:szCs w:val="20"/>
                <w:color w:val="auto"/>
              </w:rPr>
            </w:pPr>
            <w:r>
              <w:rPr>
                <w:rFonts w:ascii="Arial" w:cs="Arial" w:eastAsia="Arial" w:hAnsi="Arial"/>
                <w:sz w:val="14"/>
                <w:szCs w:val="14"/>
                <w:color w:val="auto"/>
              </w:rPr>
              <w:t>(192)</w:t>
            </w:r>
          </w:p>
        </w:tc>
      </w:tr>
      <w:tr>
        <w:trPr>
          <w:trHeight w:val="157"/>
        </w:trPr>
        <w:tc>
          <w:tcPr>
            <w:tcW w:w="5240" w:type="dxa"/>
            <w:vAlign w:val="bottom"/>
            <w:tcBorders>
              <w:bottom w:val="single" w:sz="8" w:color="auto"/>
            </w:tcBorders>
          </w:tcPr>
          <w:p>
            <w:pPr>
              <w:spacing w:after="0" w:line="157" w:lineRule="exact"/>
              <w:rPr>
                <w:sz w:val="20"/>
                <w:szCs w:val="20"/>
                <w:color w:val="auto"/>
              </w:rPr>
            </w:pPr>
            <w:r>
              <w:rPr>
                <w:rFonts w:ascii="Arial" w:cs="Arial" w:eastAsia="Arial" w:hAnsi="Arial"/>
                <w:sz w:val="14"/>
                <w:szCs w:val="14"/>
                <w:color w:val="auto"/>
              </w:rPr>
              <w:t>Other contracts</w:t>
            </w:r>
          </w:p>
        </w:tc>
        <w:tc>
          <w:tcPr>
            <w:tcW w:w="1080" w:type="dxa"/>
            <w:vAlign w:val="bottom"/>
            <w:tcBorders>
              <w:bottom w:val="single" w:sz="8" w:color="auto"/>
            </w:tcBorders>
          </w:tcPr>
          <w:p>
            <w:pPr>
              <w:jc w:val="right"/>
              <w:ind w:right="89"/>
              <w:spacing w:after="0" w:line="157" w:lineRule="exact"/>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tcPr>
          <w:p>
            <w:pPr>
              <w:jc w:val="right"/>
              <w:ind w:right="90"/>
              <w:spacing w:after="0" w:line="157" w:lineRule="exact"/>
              <w:rPr>
                <w:sz w:val="20"/>
                <w:szCs w:val="20"/>
                <w:color w:val="auto"/>
              </w:rPr>
            </w:pPr>
            <w:r>
              <w:rPr>
                <w:rFonts w:ascii="Arial" w:cs="Arial" w:eastAsia="Arial" w:hAnsi="Arial"/>
                <w:sz w:val="14"/>
                <w:szCs w:val="14"/>
                <w:color w:val="auto"/>
              </w:rPr>
              <w:t>398</w:t>
            </w:r>
          </w:p>
        </w:tc>
        <w:tc>
          <w:tcPr>
            <w:tcW w:w="620" w:type="dxa"/>
            <w:vAlign w:val="bottom"/>
            <w:tcBorders>
              <w:bottom w:val="single" w:sz="8" w:color="auto"/>
            </w:tcBorders>
          </w:tcPr>
          <w:p>
            <w:pPr>
              <w:jc w:val="right"/>
              <w:ind w:right="10"/>
              <w:spacing w:after="0" w:line="157" w:lineRule="exact"/>
              <w:rPr>
                <w:sz w:val="20"/>
                <w:szCs w:val="20"/>
                <w:color w:val="auto"/>
              </w:rPr>
            </w:pPr>
            <w:r>
              <w:rPr>
                <w:rFonts w:ascii="Arial" w:cs="Arial" w:eastAsia="Arial" w:hAnsi="Arial"/>
                <w:sz w:val="14"/>
                <w:szCs w:val="14"/>
                <w:color w:val="auto"/>
              </w:rPr>
              <w:t>398</w:t>
            </w:r>
          </w:p>
        </w:tc>
        <w:tc>
          <w:tcPr>
            <w:tcW w:w="26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ind w:right="89"/>
              <w:spacing w:after="0" w:line="157" w:lineRule="exact"/>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ind w:right="10"/>
              <w:spacing w:after="0" w:line="157" w:lineRule="exact"/>
              <w:rPr>
                <w:sz w:val="20"/>
                <w:szCs w:val="20"/>
                <w:color w:val="auto"/>
              </w:rPr>
            </w:pPr>
            <w:r>
              <w:rPr>
                <w:rFonts w:ascii="Arial" w:cs="Arial" w:eastAsia="Arial" w:hAnsi="Arial"/>
                <w:sz w:val="14"/>
                <w:szCs w:val="14"/>
                <w:color w:val="auto"/>
              </w:rPr>
              <w:t>700</w:t>
            </w:r>
          </w:p>
        </w:tc>
        <w:tc>
          <w:tcPr>
            <w:tcW w:w="700" w:type="dxa"/>
            <w:vAlign w:val="bottom"/>
            <w:tcBorders>
              <w:bottom w:val="single" w:sz="8" w:color="auto"/>
            </w:tcBorders>
          </w:tcPr>
          <w:p>
            <w:pPr>
              <w:jc w:val="right"/>
              <w:ind w:right="10"/>
              <w:spacing w:after="0" w:line="157" w:lineRule="exact"/>
              <w:rPr>
                <w:sz w:val="20"/>
                <w:szCs w:val="20"/>
                <w:color w:val="auto"/>
              </w:rPr>
            </w:pPr>
            <w:r>
              <w:rPr>
                <w:rFonts w:ascii="Arial" w:cs="Arial" w:eastAsia="Arial" w:hAnsi="Arial"/>
                <w:sz w:val="14"/>
                <w:szCs w:val="14"/>
                <w:color w:val="auto"/>
              </w:rPr>
              <w:t>700</w:t>
            </w:r>
          </w:p>
        </w:tc>
        <w:tc>
          <w:tcPr>
            <w:tcW w:w="620" w:type="dxa"/>
            <w:vAlign w:val="bottom"/>
            <w:tcBorders>
              <w:bottom w:val="single" w:sz="8" w:color="auto"/>
            </w:tcBorders>
          </w:tcPr>
          <w:p>
            <w:pPr>
              <w:jc w:val="right"/>
              <w:spacing w:after="0" w:line="157" w:lineRule="exact"/>
              <w:rPr>
                <w:sz w:val="20"/>
                <w:szCs w:val="20"/>
                <w:color w:val="auto"/>
              </w:rPr>
            </w:pPr>
            <w:r>
              <w:rPr>
                <w:rFonts w:ascii="Arial" w:cs="Arial" w:eastAsia="Arial" w:hAnsi="Arial"/>
                <w:sz w:val="14"/>
                <w:szCs w:val="14"/>
                <w:color w:val="auto"/>
              </w:rPr>
              <w:t>(302)</w:t>
            </w:r>
          </w:p>
        </w:tc>
      </w:tr>
      <w:tr>
        <w:trPr>
          <w:trHeight w:val="156"/>
        </w:trPr>
        <w:tc>
          <w:tcPr>
            <w:tcW w:w="5240" w:type="dxa"/>
            <w:vAlign w:val="bottom"/>
            <w:tcBorders>
              <w:bottom w:val="single" w:sz="8" w:color="auto"/>
            </w:tcBorders>
          </w:tcPr>
          <w:p>
            <w:pPr>
              <w:spacing w:after="0" w:line="155" w:lineRule="exact"/>
              <w:rPr>
                <w:sz w:val="20"/>
                <w:szCs w:val="20"/>
                <w:color w:val="auto"/>
              </w:rPr>
            </w:pPr>
            <w:r>
              <w:rPr>
                <w:rFonts w:ascii="Arial" w:cs="Arial" w:eastAsia="Arial" w:hAnsi="Arial"/>
                <w:sz w:val="14"/>
                <w:szCs w:val="14"/>
                <w:color w:val="auto"/>
              </w:rPr>
              <w:t>Total</w:t>
            </w:r>
          </w:p>
        </w:tc>
        <w:tc>
          <w:tcPr>
            <w:tcW w:w="1080" w:type="dxa"/>
            <w:vAlign w:val="bottom"/>
            <w:tcBorders>
              <w:bottom w:val="single" w:sz="8" w:color="auto"/>
            </w:tcBorders>
          </w:tcPr>
          <w:p>
            <w:pPr>
              <w:jc w:val="right"/>
              <w:ind w:right="89"/>
              <w:spacing w:after="0" w:line="155" w:lineRule="exact"/>
              <w:rPr>
                <w:sz w:val="20"/>
                <w:szCs w:val="20"/>
                <w:color w:val="auto"/>
              </w:rPr>
            </w:pPr>
            <w:r>
              <w:rPr>
                <w:rFonts w:ascii="Arial" w:cs="Arial" w:eastAsia="Arial" w:hAnsi="Arial"/>
                <w:sz w:val="14"/>
                <w:szCs w:val="14"/>
                <w:color w:val="auto"/>
              </w:rPr>
              <w:t>1,381</w:t>
            </w:r>
          </w:p>
        </w:tc>
        <w:tc>
          <w:tcPr>
            <w:tcW w:w="960" w:type="dxa"/>
            <w:vAlign w:val="bottom"/>
            <w:tcBorders>
              <w:bottom w:val="single" w:sz="8" w:color="auto"/>
            </w:tcBorders>
          </w:tcPr>
          <w:p>
            <w:pPr>
              <w:jc w:val="right"/>
              <w:ind w:right="90"/>
              <w:spacing w:after="0" w:line="155" w:lineRule="exact"/>
              <w:rPr>
                <w:sz w:val="20"/>
                <w:szCs w:val="20"/>
                <w:color w:val="auto"/>
              </w:rPr>
            </w:pPr>
            <w:r>
              <w:rPr>
                <w:rFonts w:ascii="Arial" w:cs="Arial" w:eastAsia="Arial" w:hAnsi="Arial"/>
                <w:sz w:val="14"/>
                <w:szCs w:val="14"/>
                <w:color w:val="auto"/>
              </w:rPr>
              <w:t>6,836</w:t>
            </w:r>
          </w:p>
        </w:tc>
        <w:tc>
          <w:tcPr>
            <w:tcW w:w="620" w:type="dxa"/>
            <w:vAlign w:val="bottom"/>
            <w:tcBorders>
              <w:bottom w:val="single" w:sz="8" w:color="auto"/>
            </w:tcBorders>
          </w:tcPr>
          <w:p>
            <w:pPr>
              <w:jc w:val="right"/>
              <w:ind w:right="10"/>
              <w:spacing w:after="0" w:line="155" w:lineRule="exact"/>
              <w:rPr>
                <w:sz w:val="20"/>
                <w:szCs w:val="20"/>
                <w:color w:val="auto"/>
              </w:rPr>
            </w:pPr>
            <w:r>
              <w:rPr>
                <w:rFonts w:ascii="Arial" w:cs="Arial" w:eastAsia="Arial" w:hAnsi="Arial"/>
                <w:sz w:val="14"/>
                <w:szCs w:val="14"/>
                <w:color w:val="auto"/>
              </w:rPr>
              <w:t>8,217</w:t>
            </w:r>
          </w:p>
        </w:tc>
        <w:tc>
          <w:tcPr>
            <w:tcW w:w="26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ind w:right="89"/>
              <w:spacing w:after="0" w:line="155" w:lineRule="exact"/>
              <w:rPr>
                <w:sz w:val="20"/>
                <w:szCs w:val="20"/>
                <w:color w:val="auto"/>
              </w:rPr>
            </w:pPr>
            <w:r>
              <w:rPr>
                <w:rFonts w:ascii="Arial" w:cs="Arial" w:eastAsia="Arial" w:hAnsi="Arial"/>
                <w:sz w:val="14"/>
                <w:szCs w:val="14"/>
                <w:color w:val="auto"/>
              </w:rPr>
              <w:t>26</w:t>
            </w:r>
          </w:p>
        </w:tc>
        <w:tc>
          <w:tcPr>
            <w:tcW w:w="880" w:type="dxa"/>
            <w:vAlign w:val="bottom"/>
            <w:tcBorders>
              <w:bottom w:val="single" w:sz="8" w:color="auto"/>
            </w:tcBorders>
          </w:tcPr>
          <w:p>
            <w:pPr>
              <w:jc w:val="right"/>
              <w:ind w:right="10"/>
              <w:spacing w:after="0" w:line="155" w:lineRule="exact"/>
              <w:rPr>
                <w:sz w:val="20"/>
                <w:szCs w:val="20"/>
                <w:color w:val="auto"/>
              </w:rPr>
            </w:pPr>
            <w:r>
              <w:rPr>
                <w:rFonts w:ascii="Arial" w:cs="Arial" w:eastAsia="Arial" w:hAnsi="Arial"/>
                <w:sz w:val="14"/>
                <w:szCs w:val="14"/>
                <w:color w:val="auto"/>
              </w:rPr>
              <w:t>7,035</w:t>
            </w:r>
          </w:p>
        </w:tc>
        <w:tc>
          <w:tcPr>
            <w:tcW w:w="700" w:type="dxa"/>
            <w:vAlign w:val="bottom"/>
            <w:tcBorders>
              <w:bottom w:val="single" w:sz="8" w:color="auto"/>
            </w:tcBorders>
          </w:tcPr>
          <w:p>
            <w:pPr>
              <w:jc w:val="right"/>
              <w:ind w:right="10"/>
              <w:spacing w:after="0" w:line="155" w:lineRule="exact"/>
              <w:rPr>
                <w:sz w:val="20"/>
                <w:szCs w:val="20"/>
                <w:color w:val="auto"/>
              </w:rPr>
            </w:pPr>
            <w:r>
              <w:rPr>
                <w:rFonts w:ascii="Arial" w:cs="Arial" w:eastAsia="Arial" w:hAnsi="Arial"/>
                <w:sz w:val="14"/>
                <w:szCs w:val="14"/>
                <w:color w:val="auto"/>
              </w:rPr>
              <w:t>7,061</w:t>
            </w:r>
          </w:p>
        </w:tc>
        <w:tc>
          <w:tcPr>
            <w:tcW w:w="620" w:type="dxa"/>
            <w:vAlign w:val="bottom"/>
            <w:tcBorders>
              <w:bottom w:val="single" w:sz="8" w:color="auto"/>
            </w:tcBorders>
          </w:tcPr>
          <w:p>
            <w:pPr>
              <w:jc w:val="right"/>
              <w:ind w:right="29"/>
              <w:spacing w:after="0" w:line="155" w:lineRule="exact"/>
              <w:rPr>
                <w:sz w:val="20"/>
                <w:szCs w:val="20"/>
                <w:color w:val="auto"/>
              </w:rPr>
            </w:pPr>
            <w:r>
              <w:rPr>
                <w:rFonts w:ascii="Arial" w:cs="Arial" w:eastAsia="Arial" w:hAnsi="Arial"/>
                <w:sz w:val="14"/>
                <w:szCs w:val="14"/>
                <w:color w:val="auto"/>
              </w:rPr>
              <w:t>1,156</w:t>
            </w:r>
          </w:p>
        </w:tc>
      </w:tr>
    </w:tbl>
    <w:p>
      <w:pPr>
        <w:spacing w:after="0" w:line="180" w:lineRule="exact"/>
        <w:rPr>
          <w:sz w:val="20"/>
          <w:szCs w:val="20"/>
          <w:color w:val="auto"/>
        </w:rPr>
      </w:pPr>
    </w:p>
    <w:p>
      <w:pPr>
        <w:spacing w:after="0"/>
        <w:rPr>
          <w:sz w:val="20"/>
          <w:szCs w:val="20"/>
          <w:color w:val="auto"/>
        </w:rPr>
      </w:pPr>
      <w:r>
        <w:rPr>
          <w:rFonts w:ascii="Arial" w:cs="Arial" w:eastAsia="Arial" w:hAnsi="Arial"/>
          <w:sz w:val="14"/>
          <w:szCs w:val="14"/>
          <w:color w:val="auto"/>
        </w:rPr>
        <w:t>Net gains before tax on derivative contracts, excluding realised commodity contracts and those accounted for as hedges, were $6,053 million in 2014 (2013: $1,083 million as</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revised; 2012: $904 million net losses).</w:t>
      </w:r>
    </w:p>
    <w:p>
      <w:pPr>
        <w:spacing w:after="0" w:line="177" w:lineRule="exact"/>
        <w:rPr>
          <w:sz w:val="20"/>
          <w:szCs w:val="20"/>
          <w:color w:val="auto"/>
        </w:rPr>
      </w:pPr>
    </w:p>
    <w:p>
      <w:pPr>
        <w:ind w:right="120"/>
        <w:spacing w:after="0" w:line="250" w:lineRule="auto"/>
        <w:rPr>
          <w:sz w:val="20"/>
          <w:szCs w:val="20"/>
          <w:color w:val="auto"/>
        </w:rPr>
      </w:pPr>
      <w:r>
        <w:rPr>
          <w:rFonts w:ascii="Arial" w:cs="Arial" w:eastAsia="Arial" w:hAnsi="Arial"/>
          <w:sz w:val="14"/>
          <w:szCs w:val="14"/>
          <w:color w:val="auto"/>
        </w:rPr>
        <w:t>Certain contracts entered into to hedge price risk relating to forecast commodity transactions and foreign exchange risk relating to forecast capital expenditure were designated in cash flow hedging relationships. The net asset carrying amount of commodity derivative contracts designated as cash flow hedging instruments of $618 million at December 31, 2014 (2013: $66 million net liability), is presented after the offset of related</w:t>
      </w:r>
    </w:p>
    <w:p>
      <w:pPr>
        <w:sectPr>
          <w:pgSz w:w="11900" w:h="16838" w:orient="portrait"/>
          <w:cols w:equalWidth="0" w:num="1">
            <w:col w:w="11420"/>
          </w:cols>
          <w:pgMar w:left="240" w:top="459" w:right="239" w:bottom="1440" w:gutter="0" w:footer="0" w:header="0"/>
        </w:sectPr>
      </w:pPr>
    </w:p>
    <w:bookmarkStart w:id="136" w:name="page137"/>
    <w:bookmarkEnd w:id="1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3555365</wp:posOffset>
            </wp:positionH>
            <wp:positionV relativeFrom="paragraph">
              <wp:posOffset>300355</wp:posOffset>
            </wp:positionV>
            <wp:extent cx="3696335" cy="46291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3696335" cy="462915"/>
                    </a:xfrm>
                    <a:prstGeom prst="rect">
                      <a:avLst/>
                    </a:prstGeom>
                    <a:noFill/>
                  </pic:spPr>
                </pic:pic>
              </a:graphicData>
            </a:graphic>
          </wp:anchor>
        </w:drawing>
      </w:r>
    </w:p>
    <w:p>
      <w:pPr>
        <w:spacing w:after="0" w:line="200" w:lineRule="exact"/>
        <w:rPr>
          <w:sz w:val="20"/>
          <w:szCs w:val="20"/>
          <w:color w:val="auto"/>
        </w:rPr>
      </w:pPr>
    </w:p>
    <w:p>
      <w:pPr>
        <w:spacing w:after="0" w:line="253" w:lineRule="exact"/>
        <w:rPr>
          <w:sz w:val="20"/>
          <w:szCs w:val="20"/>
          <w:color w:val="auto"/>
        </w:rPr>
      </w:pPr>
    </w:p>
    <w:tbl>
      <w:tblPr>
        <w:tblLayout w:type="fixed"/>
        <w:tblInd w:w="5600" w:type="dxa"/>
        <w:tblCellMar>
          <w:top w:w="0" w:type="dxa"/>
          <w:left w:w="0" w:type="dxa"/>
          <w:bottom w:w="0" w:type="dxa"/>
          <w:right w:w="0" w:type="dxa"/>
        </w:tblCellMar>
      </w:tblPr>
      <w:tr>
        <w:trPr>
          <w:trHeight w:val="419"/>
        </w:trPr>
        <w:tc>
          <w:tcPr>
            <w:tcW w:w="4440" w:type="dxa"/>
            <w:vAlign w:val="bottom"/>
            <w:shd w:val="clear" w:color="auto" w:fill="FF8B00"/>
          </w:tcPr>
          <w:p>
            <w:pPr>
              <w:spacing w:after="0"/>
              <w:rPr>
                <w:sz w:val="24"/>
                <w:szCs w:val="24"/>
                <w:color w:val="auto"/>
              </w:rPr>
            </w:pPr>
          </w:p>
        </w:tc>
        <w:tc>
          <w:tcPr>
            <w:tcW w:w="1380" w:type="dxa"/>
            <w:vAlign w:val="bottom"/>
            <w:shd w:val="clear" w:color="auto" w:fill="FF8B00"/>
          </w:tcPr>
          <w:p>
            <w:pPr>
              <w:spacing w:after="0"/>
              <w:rPr>
                <w:sz w:val="24"/>
                <w:szCs w:val="24"/>
                <w:color w:val="auto"/>
              </w:rPr>
            </w:pPr>
          </w:p>
        </w:tc>
      </w:tr>
      <w:tr>
        <w:trPr>
          <w:trHeight w:val="152"/>
        </w:trPr>
        <w:tc>
          <w:tcPr>
            <w:tcW w:w="4440" w:type="dxa"/>
            <w:vAlign w:val="bottom"/>
          </w:tcPr>
          <w:p>
            <w:pPr>
              <w:ind w:left="880"/>
              <w:spacing w:after="0"/>
              <w:rPr>
                <w:sz w:val="20"/>
                <w:szCs w:val="20"/>
                <w:color w:val="auto"/>
              </w:rPr>
            </w:pPr>
            <w:r>
              <w:rPr>
                <w:rFonts w:ascii="Arial" w:cs="Arial" w:eastAsia="Arial" w:hAnsi="Arial"/>
                <w:sz w:val="13"/>
                <w:szCs w:val="13"/>
                <w:color w:val="333333"/>
              </w:rPr>
              <w:t>FINANCIAL STATEMENTS AND SUPPLEMENTS</w:t>
            </w:r>
          </w:p>
        </w:tc>
        <w:tc>
          <w:tcPr>
            <w:tcW w:w="1380" w:type="dxa"/>
            <w:vAlign w:val="bottom"/>
          </w:tcPr>
          <w:p>
            <w:pPr>
              <w:jc w:val="right"/>
              <w:ind w:right="366"/>
              <w:spacing w:after="0"/>
              <w:rPr>
                <w:sz w:val="20"/>
                <w:szCs w:val="20"/>
                <w:color w:val="auto"/>
              </w:rPr>
            </w:pPr>
            <w:r>
              <w:rPr>
                <w:rFonts w:ascii="Arial" w:cs="Arial" w:eastAsia="Arial" w:hAnsi="Arial"/>
                <w:sz w:val="11"/>
                <w:szCs w:val="11"/>
                <w:b w:val="1"/>
                <w:bCs w:val="1"/>
                <w:color w:val="333333"/>
              </w:rPr>
              <w:t>135</w:t>
            </w:r>
          </w:p>
        </w:tc>
      </w:tr>
    </w:tbl>
    <w:p>
      <w:pPr>
        <w:spacing w:after="0" w:line="155" w:lineRule="exact"/>
        <w:rPr>
          <w:sz w:val="20"/>
          <w:szCs w:val="20"/>
          <w:color w:val="auto"/>
        </w:rPr>
      </w:pPr>
    </w:p>
    <w:p>
      <w:pPr>
        <w:spacing w:after="0"/>
        <w:tabs>
          <w:tab w:leader="none" w:pos="6460" w:val="left"/>
        </w:tabs>
        <w:rPr>
          <w:sz w:val="20"/>
          <w:szCs w:val="20"/>
          <w:color w:val="auto"/>
        </w:rPr>
      </w:pPr>
      <w:r>
        <w:rPr>
          <w:rFonts w:ascii="Arial" w:cs="Arial" w:eastAsia="Arial" w:hAnsi="Arial"/>
          <w:sz w:val="11"/>
          <w:szCs w:val="11"/>
          <w:color w:val="auto"/>
        </w:rPr>
        <w:t>SHELL ANNUAL REPORT AND FORM 20-F 2014</w:t>
      </w:r>
      <w:r>
        <w:rPr>
          <w:sz w:val="20"/>
          <w:szCs w:val="20"/>
          <w:color w:val="auto"/>
        </w:rPr>
        <w:tab/>
      </w:r>
      <w:r>
        <w:rPr>
          <w:rFonts w:ascii="Arial" w:cs="Arial" w:eastAsia="Arial" w:hAnsi="Arial"/>
          <w:sz w:val="10"/>
          <w:szCs w:val="10"/>
          <w:color w:val="auto"/>
        </w:rPr>
        <w:t>CONSOLIDATED FINANCIAL STATEMENTS</w:t>
      </w:r>
    </w:p>
    <w:p>
      <w:pPr>
        <w:spacing w:after="0" w:line="3" w:lineRule="exact"/>
        <w:rPr>
          <w:sz w:val="20"/>
          <w:szCs w:val="20"/>
          <w:color w:val="auto"/>
        </w:rPr>
      </w:pPr>
    </w:p>
    <w:p>
      <w:pPr>
        <w:spacing w:after="0"/>
        <w:rPr>
          <w:sz w:val="20"/>
          <w:szCs w:val="20"/>
          <w:color w:val="auto"/>
        </w:rPr>
      </w:pPr>
      <w:r>
        <w:rPr>
          <w:rFonts w:ascii="Arial" w:cs="Arial" w:eastAsia="Arial" w:hAnsi="Arial"/>
          <w:sz w:val="14"/>
          <w:szCs w:val="14"/>
          <w:color w:val="auto"/>
        </w:rPr>
        <w:t>margin balances maintained with exchanges. Net gains of $576 million (2013: $36 million net losses) arising on these contracts, the majority of which mature within three years,</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were recognised in other comprehensive income in 2014; a further $13 million net gains (2013: $6 million net losses) were recognised in income.</w:t>
      </w:r>
    </w:p>
    <w:p>
      <w:pPr>
        <w:spacing w:after="0" w:line="190" w:lineRule="exact"/>
        <w:rPr>
          <w:sz w:val="20"/>
          <w:szCs w:val="20"/>
          <w:color w:val="auto"/>
        </w:rPr>
      </w:pPr>
    </w:p>
    <w:p>
      <w:pPr>
        <w:ind w:right="60"/>
        <w:spacing w:after="0" w:line="258" w:lineRule="auto"/>
        <w:rPr>
          <w:sz w:val="20"/>
          <w:szCs w:val="20"/>
          <w:color w:val="auto"/>
        </w:rPr>
      </w:pPr>
      <w:r>
        <w:rPr>
          <w:rFonts w:ascii="Arial" w:cs="Arial" w:eastAsia="Arial" w:hAnsi="Arial"/>
          <w:sz w:val="14"/>
          <w:szCs w:val="14"/>
          <w:color w:val="auto"/>
        </w:rPr>
        <w:t>Certain interest rate and currency swaps were designated in fair value hedges, principally in respect of debt for which the carrying amount of the related derivatives, net of accrued interest, at December 31, 2014, was a net liability of $203 million (2013: net asset of $1,074 million).</w:t>
      </w:r>
    </w:p>
    <w:p>
      <w:pPr>
        <w:spacing w:after="0" w:line="154" w:lineRule="exact"/>
        <w:rPr>
          <w:sz w:val="20"/>
          <w:szCs w:val="20"/>
          <w:color w:val="auto"/>
        </w:rPr>
      </w:pPr>
    </w:p>
    <w:p>
      <w:pPr>
        <w:ind w:right="80"/>
        <w:spacing w:after="0" w:line="250" w:lineRule="auto"/>
        <w:rPr>
          <w:sz w:val="20"/>
          <w:szCs w:val="20"/>
          <w:color w:val="auto"/>
        </w:rPr>
      </w:pPr>
      <w:r>
        <w:rPr>
          <w:rFonts w:ascii="Arial" w:cs="Arial" w:eastAsia="Arial" w:hAnsi="Arial"/>
          <w:sz w:val="14"/>
          <w:szCs w:val="14"/>
          <w:color w:val="auto"/>
        </w:rPr>
        <w:t>In the course of trading operations, certain contracts are entered into for delivery of commodities that are accounted for as derivatives. The resulting price exposures are managed by entering into related derivative contracts. These contracts are managed on a fair value basis and the maximum exposure to liquidity risk is the undiscounted fair value of derivative liabilities.</w:t>
      </w:r>
    </w:p>
    <w:p>
      <w:pPr>
        <w:spacing w:after="0" w:line="159" w:lineRule="exact"/>
        <w:rPr>
          <w:sz w:val="20"/>
          <w:szCs w:val="20"/>
          <w:color w:val="auto"/>
        </w:rPr>
      </w:pPr>
    </w:p>
    <w:p>
      <w:pPr>
        <w:ind w:right="280"/>
        <w:spacing w:after="0" w:line="250" w:lineRule="auto"/>
        <w:rPr>
          <w:sz w:val="20"/>
          <w:szCs w:val="20"/>
          <w:color w:val="auto"/>
        </w:rPr>
      </w:pPr>
      <w:r>
        <w:rPr>
          <w:rFonts w:ascii="Arial" w:cs="Arial" w:eastAsia="Arial" w:hAnsi="Arial"/>
          <w:sz w:val="14"/>
          <w:szCs w:val="14"/>
          <w:color w:val="auto"/>
        </w:rPr>
        <w:t>For a minority of commodity derivatives, carrying amounts cannot be derived from quoted market prices or other observable inputs, in which case fair value is estimated using valuation techniques such as Black-Scholes, option spread models and extrapolation using quoted spreads with assumptions developed internally based on observable market activity.</w:t>
      </w:r>
    </w:p>
    <w:p>
      <w:pPr>
        <w:spacing w:after="0" w:line="172" w:lineRule="exact"/>
        <w:rPr>
          <w:sz w:val="20"/>
          <w:szCs w:val="20"/>
          <w:color w:val="auto"/>
        </w:rPr>
      </w:pPr>
    </w:p>
    <w:p>
      <w:pPr>
        <w:ind w:right="140"/>
        <w:spacing w:after="0" w:line="245" w:lineRule="auto"/>
        <w:rPr>
          <w:sz w:val="20"/>
          <w:szCs w:val="20"/>
          <w:color w:val="auto"/>
        </w:rPr>
      </w:pPr>
      <w:r>
        <w:rPr>
          <w:rFonts w:ascii="Arial" w:cs="Arial" w:eastAsia="Arial" w:hAnsi="Arial"/>
          <w:sz w:val="14"/>
          <w:szCs w:val="14"/>
          <w:color w:val="auto"/>
        </w:rPr>
        <w:t>Other contracts include certain contracts that are held to sell or purchase commodities and others containing embedded derivatives, which are required to be recognised at fair value because of pricing or delivery conditions, even though they are only entered into to meet operational requirements. These contracts are expected to mature between 2015 and 2025, with certain contracts having early termination rights (for either party). Valuations are derived from quoted market prices for the next six years; thereafter, from forward gas price formulae used in similar contracts. Future gas price assumptions are the most significant input to this model, such that a decrease at December 31, 2014, of 10% in the projected gas price would, assuming other inputs remained unchanged, increase pre-tax income by $83 million (2013: $181 million).</w:t>
      </w:r>
    </w:p>
    <w:p>
      <w:pPr>
        <w:spacing w:after="0" w:line="164" w:lineRule="exact"/>
        <w:rPr>
          <w:sz w:val="20"/>
          <w:szCs w:val="20"/>
          <w:color w:val="auto"/>
        </w:rPr>
      </w:pPr>
    </w:p>
    <w:p>
      <w:pPr>
        <w:spacing w:after="0"/>
        <w:rPr>
          <w:sz w:val="20"/>
          <w:szCs w:val="20"/>
          <w:color w:val="auto"/>
        </w:rPr>
      </w:pPr>
      <w:r>
        <w:rPr>
          <w:rFonts w:ascii="Arial" w:cs="Arial" w:eastAsia="Arial" w:hAnsi="Arial"/>
          <w:sz w:val="14"/>
          <w:szCs w:val="14"/>
          <w:color w:val="auto"/>
        </w:rPr>
        <w:t>The contractual maturities of derivative liabilities at December 31 compare with their carrying amounts in the Consolidated Balance Sheet as follows: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3420" w:type="dxa"/>
            <w:vAlign w:val="bottom"/>
            <w:shd w:val="clear" w:color="auto" w:fill="333333"/>
          </w:tcPr>
          <w:p>
            <w:pPr>
              <w:ind w:left="80"/>
              <w:spacing w:after="0"/>
              <w:rPr>
                <w:sz w:val="20"/>
                <w:szCs w:val="20"/>
                <w:color w:val="auto"/>
              </w:rPr>
            </w:pPr>
            <w:r>
              <w:rPr>
                <w:rFonts w:ascii="Arial" w:cs="Arial" w:eastAsia="Arial" w:hAnsi="Arial"/>
                <w:sz w:val="15"/>
                <w:szCs w:val="15"/>
                <w:b w:val="1"/>
                <w:bCs w:val="1"/>
                <w:color w:val="FFFFFF"/>
              </w:rPr>
              <w:t>2014</w:t>
            </w:r>
          </w:p>
        </w:tc>
        <w:tc>
          <w:tcPr>
            <w:tcW w:w="880" w:type="dxa"/>
            <w:vAlign w:val="bottom"/>
            <w:shd w:val="clear" w:color="auto" w:fill="333333"/>
          </w:tcPr>
          <w:p>
            <w:pPr>
              <w:spacing w:after="0"/>
              <w:rPr>
                <w:sz w:val="14"/>
                <w:szCs w:val="14"/>
                <w:color w:val="auto"/>
              </w:rPr>
            </w:pPr>
          </w:p>
        </w:tc>
        <w:tc>
          <w:tcPr>
            <w:tcW w:w="860" w:type="dxa"/>
            <w:vAlign w:val="bottom"/>
            <w:shd w:val="clear" w:color="auto" w:fill="333333"/>
          </w:tcPr>
          <w:p>
            <w:pPr>
              <w:spacing w:after="0"/>
              <w:rPr>
                <w:sz w:val="14"/>
                <w:szCs w:val="14"/>
                <w:color w:val="auto"/>
              </w:rPr>
            </w:pPr>
          </w:p>
        </w:tc>
        <w:tc>
          <w:tcPr>
            <w:tcW w:w="900" w:type="dxa"/>
            <w:vAlign w:val="bottom"/>
            <w:shd w:val="clear" w:color="auto" w:fill="333333"/>
          </w:tcPr>
          <w:p>
            <w:pPr>
              <w:spacing w:after="0"/>
              <w:rPr>
                <w:sz w:val="14"/>
                <w:szCs w:val="14"/>
                <w:color w:val="auto"/>
              </w:rPr>
            </w:pPr>
          </w:p>
        </w:tc>
        <w:tc>
          <w:tcPr>
            <w:tcW w:w="880" w:type="dxa"/>
            <w:vAlign w:val="bottom"/>
            <w:shd w:val="clear" w:color="auto" w:fill="333333"/>
          </w:tcPr>
          <w:p>
            <w:pPr>
              <w:spacing w:after="0"/>
              <w:rPr>
                <w:sz w:val="14"/>
                <w:szCs w:val="14"/>
                <w:color w:val="auto"/>
              </w:rPr>
            </w:pPr>
          </w:p>
        </w:tc>
        <w:tc>
          <w:tcPr>
            <w:tcW w:w="900" w:type="dxa"/>
            <w:vAlign w:val="bottom"/>
            <w:shd w:val="clear" w:color="auto" w:fill="333333"/>
          </w:tcPr>
          <w:p>
            <w:pPr>
              <w:spacing w:after="0"/>
              <w:rPr>
                <w:sz w:val="14"/>
                <w:szCs w:val="14"/>
                <w:color w:val="auto"/>
              </w:rPr>
            </w:pPr>
          </w:p>
        </w:tc>
        <w:tc>
          <w:tcPr>
            <w:tcW w:w="880" w:type="dxa"/>
            <w:vAlign w:val="bottom"/>
            <w:shd w:val="clear" w:color="auto" w:fill="333333"/>
          </w:tcPr>
          <w:p>
            <w:pPr>
              <w:spacing w:after="0"/>
              <w:rPr>
                <w:sz w:val="14"/>
                <w:szCs w:val="14"/>
                <w:color w:val="auto"/>
              </w:rPr>
            </w:pPr>
          </w:p>
        </w:tc>
        <w:tc>
          <w:tcPr>
            <w:tcW w:w="720" w:type="dxa"/>
            <w:vAlign w:val="bottom"/>
            <w:shd w:val="clear" w:color="auto" w:fill="333333"/>
          </w:tcPr>
          <w:p>
            <w:pPr>
              <w:spacing w:after="0"/>
              <w:rPr>
                <w:sz w:val="14"/>
                <w:szCs w:val="14"/>
                <w:color w:val="auto"/>
              </w:rPr>
            </w:pPr>
          </w:p>
        </w:tc>
        <w:tc>
          <w:tcPr>
            <w:tcW w:w="1980" w:type="dxa"/>
            <w:vAlign w:val="bottom"/>
            <w:gridSpan w:val="2"/>
            <w:shd w:val="clear" w:color="auto" w:fill="333333"/>
          </w:tcPr>
          <w:p>
            <w:pPr>
              <w:jc w:val="right"/>
              <w:ind w:right="151"/>
              <w:spacing w:after="0"/>
              <w:rPr>
                <w:sz w:val="20"/>
                <w:szCs w:val="20"/>
                <w:color w:val="auto"/>
              </w:rPr>
            </w:pPr>
            <w:r>
              <w:rPr>
                <w:rFonts w:ascii="Arial" w:cs="Arial" w:eastAsia="Arial" w:hAnsi="Arial"/>
                <w:sz w:val="15"/>
                <w:szCs w:val="15"/>
                <w:color w:val="FFFFFF"/>
              </w:rPr>
              <w:t>$ MILLION</w:t>
            </w:r>
          </w:p>
        </w:tc>
      </w:tr>
      <w:tr>
        <w:trPr>
          <w:trHeight w:val="162"/>
        </w:trPr>
        <w:tc>
          <w:tcPr>
            <w:tcW w:w="3420" w:type="dxa"/>
            <w:vAlign w:val="bottom"/>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3"/>
                <w:szCs w:val="13"/>
                <w:color w:val="auto"/>
              </w:rPr>
              <w:t>Contractual maturities</w:t>
            </w:r>
          </w:p>
        </w:tc>
        <w:tc>
          <w:tcPr>
            <w:tcW w:w="124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23"/>
        </w:trPr>
        <w:tc>
          <w:tcPr>
            <w:tcW w:w="3420" w:type="dxa"/>
            <w:vAlign w:val="bottom"/>
          </w:tcPr>
          <w:p>
            <w:pPr>
              <w:spacing w:after="0"/>
              <w:rPr>
                <w:sz w:val="10"/>
                <w:szCs w:val="10"/>
                <w:color w:val="auto"/>
              </w:rPr>
            </w:pPr>
          </w:p>
        </w:tc>
        <w:tc>
          <w:tcPr>
            <w:tcW w:w="880" w:type="dxa"/>
            <w:vAlign w:val="bottom"/>
          </w:tcPr>
          <w:p>
            <w:pPr>
              <w:jc w:val="right"/>
              <w:ind w:right="151"/>
              <w:spacing w:after="0" w:line="123" w:lineRule="exact"/>
              <w:rPr>
                <w:sz w:val="20"/>
                <w:szCs w:val="20"/>
                <w:color w:val="auto"/>
              </w:rPr>
            </w:pPr>
            <w:r>
              <w:rPr>
                <w:rFonts w:ascii="Arial" w:cs="Arial" w:eastAsia="Arial" w:hAnsi="Arial"/>
                <w:sz w:val="13"/>
                <w:szCs w:val="13"/>
                <w:color w:val="auto"/>
              </w:rPr>
              <w:t>Less</w:t>
            </w:r>
          </w:p>
        </w:tc>
        <w:tc>
          <w:tcPr>
            <w:tcW w:w="860" w:type="dxa"/>
            <w:vAlign w:val="bottom"/>
          </w:tcPr>
          <w:p>
            <w:pPr>
              <w:jc w:val="right"/>
              <w:ind w:right="131"/>
              <w:spacing w:after="0" w:line="123" w:lineRule="exact"/>
              <w:rPr>
                <w:sz w:val="20"/>
                <w:szCs w:val="20"/>
                <w:color w:val="auto"/>
              </w:rPr>
            </w:pPr>
            <w:r>
              <w:rPr>
                <w:rFonts w:ascii="Arial" w:cs="Arial" w:eastAsia="Arial" w:hAnsi="Arial"/>
                <w:sz w:val="13"/>
                <w:szCs w:val="13"/>
                <w:color w:val="auto"/>
              </w:rPr>
              <w:t>Between</w:t>
            </w:r>
          </w:p>
        </w:tc>
        <w:tc>
          <w:tcPr>
            <w:tcW w:w="900" w:type="dxa"/>
            <w:vAlign w:val="bottom"/>
          </w:tcPr>
          <w:p>
            <w:pPr>
              <w:jc w:val="right"/>
              <w:ind w:right="131"/>
              <w:spacing w:after="0" w:line="123" w:lineRule="exact"/>
              <w:rPr>
                <w:sz w:val="20"/>
                <w:szCs w:val="20"/>
                <w:color w:val="auto"/>
              </w:rPr>
            </w:pPr>
            <w:r>
              <w:rPr>
                <w:rFonts w:ascii="Arial" w:cs="Arial" w:eastAsia="Arial" w:hAnsi="Arial"/>
                <w:sz w:val="13"/>
                <w:szCs w:val="13"/>
                <w:color w:val="auto"/>
              </w:rPr>
              <w:t>Between</w:t>
            </w:r>
          </w:p>
        </w:tc>
        <w:tc>
          <w:tcPr>
            <w:tcW w:w="880" w:type="dxa"/>
            <w:vAlign w:val="bottom"/>
          </w:tcPr>
          <w:p>
            <w:pPr>
              <w:jc w:val="right"/>
              <w:ind w:right="131"/>
              <w:spacing w:after="0" w:line="123" w:lineRule="exact"/>
              <w:rPr>
                <w:sz w:val="20"/>
                <w:szCs w:val="20"/>
                <w:color w:val="auto"/>
              </w:rPr>
            </w:pPr>
            <w:r>
              <w:rPr>
                <w:rFonts w:ascii="Arial" w:cs="Arial" w:eastAsia="Arial" w:hAnsi="Arial"/>
                <w:sz w:val="13"/>
                <w:szCs w:val="13"/>
                <w:color w:val="auto"/>
              </w:rPr>
              <w:t>Between</w:t>
            </w:r>
          </w:p>
        </w:tc>
        <w:tc>
          <w:tcPr>
            <w:tcW w:w="900" w:type="dxa"/>
            <w:vAlign w:val="bottom"/>
          </w:tcPr>
          <w:p>
            <w:pPr>
              <w:jc w:val="right"/>
              <w:ind w:right="131"/>
              <w:spacing w:after="0" w:line="123" w:lineRule="exact"/>
              <w:rPr>
                <w:sz w:val="20"/>
                <w:szCs w:val="20"/>
                <w:color w:val="auto"/>
              </w:rPr>
            </w:pPr>
            <w:r>
              <w:rPr>
                <w:rFonts w:ascii="Arial" w:cs="Arial" w:eastAsia="Arial" w:hAnsi="Arial"/>
                <w:sz w:val="13"/>
                <w:szCs w:val="13"/>
                <w:color w:val="auto"/>
              </w:rPr>
              <w:t>Between</w:t>
            </w:r>
          </w:p>
        </w:tc>
        <w:tc>
          <w:tcPr>
            <w:tcW w:w="8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740" w:type="dxa"/>
            <w:vAlign w:val="bottom"/>
          </w:tcPr>
          <w:p>
            <w:pPr>
              <w:spacing w:after="0"/>
              <w:rPr>
                <w:sz w:val="10"/>
                <w:szCs w:val="10"/>
                <w:color w:val="auto"/>
              </w:rPr>
            </w:pPr>
          </w:p>
        </w:tc>
      </w:tr>
      <w:tr>
        <w:trPr>
          <w:trHeight w:val="135"/>
        </w:trPr>
        <w:tc>
          <w:tcPr>
            <w:tcW w:w="3420" w:type="dxa"/>
            <w:vAlign w:val="bottom"/>
          </w:tcPr>
          <w:p>
            <w:pPr>
              <w:spacing w:after="0"/>
              <w:rPr>
                <w:sz w:val="11"/>
                <w:szCs w:val="11"/>
                <w:color w:val="auto"/>
              </w:rPr>
            </w:pPr>
          </w:p>
        </w:tc>
        <w:tc>
          <w:tcPr>
            <w:tcW w:w="880" w:type="dxa"/>
            <w:vAlign w:val="bottom"/>
          </w:tcPr>
          <w:p>
            <w:pPr>
              <w:jc w:val="right"/>
              <w:ind w:right="151"/>
              <w:spacing w:after="0" w:line="135" w:lineRule="exact"/>
              <w:rPr>
                <w:sz w:val="20"/>
                <w:szCs w:val="20"/>
                <w:color w:val="auto"/>
              </w:rPr>
            </w:pPr>
            <w:r>
              <w:rPr>
                <w:rFonts w:ascii="Arial" w:cs="Arial" w:eastAsia="Arial" w:hAnsi="Arial"/>
                <w:sz w:val="13"/>
                <w:szCs w:val="13"/>
                <w:color w:val="auto"/>
              </w:rPr>
              <w:t>than</w:t>
            </w:r>
          </w:p>
        </w:tc>
        <w:tc>
          <w:tcPr>
            <w:tcW w:w="860" w:type="dxa"/>
            <w:vAlign w:val="bottom"/>
          </w:tcPr>
          <w:p>
            <w:pPr>
              <w:jc w:val="right"/>
              <w:ind w:right="131"/>
              <w:spacing w:after="0" w:line="135" w:lineRule="exact"/>
              <w:rPr>
                <w:sz w:val="20"/>
                <w:szCs w:val="20"/>
                <w:color w:val="auto"/>
              </w:rPr>
            </w:pPr>
            <w:r>
              <w:rPr>
                <w:rFonts w:ascii="Arial" w:cs="Arial" w:eastAsia="Arial" w:hAnsi="Arial"/>
                <w:sz w:val="13"/>
                <w:szCs w:val="13"/>
                <w:color w:val="auto"/>
              </w:rPr>
              <w:t>1 and 2</w:t>
            </w:r>
          </w:p>
        </w:tc>
        <w:tc>
          <w:tcPr>
            <w:tcW w:w="900" w:type="dxa"/>
            <w:vAlign w:val="bottom"/>
          </w:tcPr>
          <w:p>
            <w:pPr>
              <w:jc w:val="right"/>
              <w:ind w:right="131"/>
              <w:spacing w:after="0" w:line="135" w:lineRule="exact"/>
              <w:rPr>
                <w:sz w:val="20"/>
                <w:szCs w:val="20"/>
                <w:color w:val="auto"/>
              </w:rPr>
            </w:pPr>
            <w:r>
              <w:rPr>
                <w:rFonts w:ascii="Arial" w:cs="Arial" w:eastAsia="Arial" w:hAnsi="Arial"/>
                <w:sz w:val="13"/>
                <w:szCs w:val="13"/>
                <w:color w:val="auto"/>
              </w:rPr>
              <w:t>2 and 3</w:t>
            </w:r>
          </w:p>
        </w:tc>
        <w:tc>
          <w:tcPr>
            <w:tcW w:w="880" w:type="dxa"/>
            <w:vAlign w:val="bottom"/>
          </w:tcPr>
          <w:p>
            <w:pPr>
              <w:jc w:val="right"/>
              <w:ind w:right="131"/>
              <w:spacing w:after="0" w:line="135" w:lineRule="exact"/>
              <w:rPr>
                <w:sz w:val="20"/>
                <w:szCs w:val="20"/>
                <w:color w:val="auto"/>
              </w:rPr>
            </w:pPr>
            <w:r>
              <w:rPr>
                <w:rFonts w:ascii="Arial" w:cs="Arial" w:eastAsia="Arial" w:hAnsi="Arial"/>
                <w:sz w:val="13"/>
                <w:szCs w:val="13"/>
                <w:color w:val="auto"/>
              </w:rPr>
              <w:t>3 and 4</w:t>
            </w:r>
          </w:p>
        </w:tc>
        <w:tc>
          <w:tcPr>
            <w:tcW w:w="900" w:type="dxa"/>
            <w:vAlign w:val="bottom"/>
          </w:tcPr>
          <w:p>
            <w:pPr>
              <w:jc w:val="right"/>
              <w:ind w:right="131"/>
              <w:spacing w:after="0" w:line="135" w:lineRule="exact"/>
              <w:rPr>
                <w:sz w:val="20"/>
                <w:szCs w:val="20"/>
                <w:color w:val="auto"/>
              </w:rPr>
            </w:pPr>
            <w:r>
              <w:rPr>
                <w:rFonts w:ascii="Arial" w:cs="Arial" w:eastAsia="Arial" w:hAnsi="Arial"/>
                <w:sz w:val="13"/>
                <w:szCs w:val="13"/>
                <w:color w:val="auto"/>
              </w:rPr>
              <w:t>4 and 5</w:t>
            </w:r>
          </w:p>
        </w:tc>
        <w:tc>
          <w:tcPr>
            <w:tcW w:w="880" w:type="dxa"/>
            <w:vAlign w:val="bottom"/>
          </w:tcPr>
          <w:p>
            <w:pPr>
              <w:jc w:val="right"/>
              <w:ind w:right="111"/>
              <w:spacing w:after="0" w:line="135" w:lineRule="exact"/>
              <w:rPr>
                <w:sz w:val="20"/>
                <w:szCs w:val="20"/>
                <w:color w:val="auto"/>
              </w:rPr>
            </w:pPr>
            <w:r>
              <w:rPr>
                <w:rFonts w:ascii="Arial" w:cs="Arial" w:eastAsia="Arial" w:hAnsi="Arial"/>
                <w:sz w:val="13"/>
                <w:szCs w:val="13"/>
                <w:color w:val="auto"/>
              </w:rPr>
              <w:t>5 years</w:t>
            </w:r>
          </w:p>
        </w:tc>
        <w:tc>
          <w:tcPr>
            <w:tcW w:w="72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740" w:type="dxa"/>
            <w:vAlign w:val="bottom"/>
          </w:tcPr>
          <w:p>
            <w:pPr>
              <w:jc w:val="right"/>
              <w:ind w:right="31"/>
              <w:spacing w:after="0" w:line="135" w:lineRule="exact"/>
              <w:rPr>
                <w:sz w:val="20"/>
                <w:szCs w:val="20"/>
                <w:color w:val="auto"/>
              </w:rPr>
            </w:pPr>
            <w:r>
              <w:rPr>
                <w:rFonts w:ascii="Arial" w:cs="Arial" w:eastAsia="Arial" w:hAnsi="Arial"/>
                <w:sz w:val="13"/>
                <w:szCs w:val="13"/>
                <w:color w:val="auto"/>
              </w:rPr>
              <w:t>Carrying</w:t>
            </w:r>
          </w:p>
        </w:tc>
      </w:tr>
      <w:tr>
        <w:trPr>
          <w:trHeight w:val="141"/>
        </w:trPr>
        <w:tc>
          <w:tcPr>
            <w:tcW w:w="342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151"/>
              <w:spacing w:after="0" w:line="141" w:lineRule="exact"/>
              <w:rPr>
                <w:sz w:val="20"/>
                <w:szCs w:val="20"/>
                <w:color w:val="auto"/>
              </w:rPr>
            </w:pPr>
            <w:r>
              <w:rPr>
                <w:rFonts w:ascii="Arial" w:cs="Arial" w:eastAsia="Arial" w:hAnsi="Arial"/>
                <w:sz w:val="13"/>
                <w:szCs w:val="13"/>
                <w:color w:val="auto"/>
              </w:rPr>
              <w:t>1 year</w:t>
            </w:r>
          </w:p>
        </w:tc>
        <w:tc>
          <w:tcPr>
            <w:tcW w:w="860" w:type="dxa"/>
            <w:vAlign w:val="bottom"/>
            <w:tcBorders>
              <w:bottom w:val="single" w:sz="8" w:color="auto"/>
            </w:tcBorders>
          </w:tcPr>
          <w:p>
            <w:pPr>
              <w:jc w:val="right"/>
              <w:ind w:right="131"/>
              <w:spacing w:after="0" w:line="141" w:lineRule="exact"/>
              <w:rPr>
                <w:sz w:val="20"/>
                <w:szCs w:val="20"/>
                <w:color w:val="auto"/>
              </w:rPr>
            </w:pPr>
            <w:r>
              <w:rPr>
                <w:rFonts w:ascii="Arial" w:cs="Arial" w:eastAsia="Arial" w:hAnsi="Arial"/>
                <w:sz w:val="13"/>
                <w:szCs w:val="13"/>
                <w:color w:val="auto"/>
              </w:rPr>
              <w:t>years</w:t>
            </w:r>
          </w:p>
        </w:tc>
        <w:tc>
          <w:tcPr>
            <w:tcW w:w="900" w:type="dxa"/>
            <w:vAlign w:val="bottom"/>
            <w:tcBorders>
              <w:bottom w:val="single" w:sz="8" w:color="auto"/>
            </w:tcBorders>
          </w:tcPr>
          <w:p>
            <w:pPr>
              <w:jc w:val="right"/>
              <w:ind w:right="131"/>
              <w:spacing w:after="0" w:line="141" w:lineRule="exact"/>
              <w:rPr>
                <w:sz w:val="20"/>
                <w:szCs w:val="20"/>
                <w:color w:val="auto"/>
              </w:rPr>
            </w:pPr>
            <w:r>
              <w:rPr>
                <w:rFonts w:ascii="Arial" w:cs="Arial" w:eastAsia="Arial" w:hAnsi="Arial"/>
                <w:sz w:val="13"/>
                <w:szCs w:val="13"/>
                <w:color w:val="auto"/>
              </w:rPr>
              <w:t>years</w:t>
            </w:r>
          </w:p>
        </w:tc>
        <w:tc>
          <w:tcPr>
            <w:tcW w:w="880" w:type="dxa"/>
            <w:vAlign w:val="bottom"/>
            <w:tcBorders>
              <w:bottom w:val="single" w:sz="8" w:color="auto"/>
            </w:tcBorders>
          </w:tcPr>
          <w:p>
            <w:pPr>
              <w:jc w:val="right"/>
              <w:ind w:right="131"/>
              <w:spacing w:after="0" w:line="141" w:lineRule="exact"/>
              <w:rPr>
                <w:sz w:val="20"/>
                <w:szCs w:val="20"/>
                <w:color w:val="auto"/>
              </w:rPr>
            </w:pPr>
            <w:r>
              <w:rPr>
                <w:rFonts w:ascii="Arial" w:cs="Arial" w:eastAsia="Arial" w:hAnsi="Arial"/>
                <w:sz w:val="13"/>
                <w:szCs w:val="13"/>
                <w:color w:val="auto"/>
              </w:rPr>
              <w:t>years</w:t>
            </w:r>
          </w:p>
        </w:tc>
        <w:tc>
          <w:tcPr>
            <w:tcW w:w="900" w:type="dxa"/>
            <w:vAlign w:val="bottom"/>
            <w:tcBorders>
              <w:bottom w:val="single" w:sz="8" w:color="auto"/>
            </w:tcBorders>
          </w:tcPr>
          <w:p>
            <w:pPr>
              <w:jc w:val="right"/>
              <w:ind w:right="131"/>
              <w:spacing w:after="0" w:line="141" w:lineRule="exact"/>
              <w:rPr>
                <w:sz w:val="20"/>
                <w:szCs w:val="20"/>
                <w:color w:val="auto"/>
              </w:rPr>
            </w:pPr>
            <w:r>
              <w:rPr>
                <w:rFonts w:ascii="Arial" w:cs="Arial" w:eastAsia="Arial" w:hAnsi="Arial"/>
                <w:sz w:val="13"/>
                <w:szCs w:val="13"/>
                <w:color w:val="auto"/>
              </w:rPr>
              <w:t>years</w:t>
            </w:r>
          </w:p>
        </w:tc>
        <w:tc>
          <w:tcPr>
            <w:tcW w:w="880" w:type="dxa"/>
            <w:vAlign w:val="bottom"/>
            <w:tcBorders>
              <w:bottom w:val="single" w:sz="8" w:color="auto"/>
            </w:tcBorders>
          </w:tcPr>
          <w:p>
            <w:pPr>
              <w:jc w:val="right"/>
              <w:ind w:right="111"/>
              <w:spacing w:after="0" w:line="141" w:lineRule="exact"/>
              <w:rPr>
                <w:sz w:val="20"/>
                <w:szCs w:val="20"/>
                <w:color w:val="auto"/>
              </w:rPr>
            </w:pPr>
            <w:r>
              <w:rPr>
                <w:rFonts w:ascii="Arial" w:cs="Arial" w:eastAsia="Arial" w:hAnsi="Arial"/>
                <w:sz w:val="13"/>
                <w:szCs w:val="13"/>
                <w:color w:val="auto"/>
              </w:rPr>
              <w:t>and later</w:t>
            </w:r>
          </w:p>
        </w:tc>
        <w:tc>
          <w:tcPr>
            <w:tcW w:w="720" w:type="dxa"/>
            <w:vAlign w:val="bottom"/>
            <w:tcBorders>
              <w:bottom w:val="single" w:sz="8" w:color="auto"/>
            </w:tcBorders>
          </w:tcPr>
          <w:p>
            <w:pPr>
              <w:jc w:val="right"/>
              <w:ind w:right="10"/>
              <w:spacing w:after="0" w:line="141" w:lineRule="exact"/>
              <w:rPr>
                <w:sz w:val="20"/>
                <w:szCs w:val="20"/>
                <w:color w:val="auto"/>
              </w:rPr>
            </w:pPr>
            <w:r>
              <w:rPr>
                <w:rFonts w:ascii="Arial" w:cs="Arial" w:eastAsia="Arial" w:hAnsi="Arial"/>
                <w:sz w:val="13"/>
                <w:szCs w:val="13"/>
                <w:color w:val="auto"/>
              </w:rPr>
              <w:t>Total</w:t>
            </w:r>
          </w:p>
        </w:tc>
        <w:tc>
          <w:tcPr>
            <w:tcW w:w="1240" w:type="dxa"/>
            <w:vAlign w:val="bottom"/>
            <w:tcBorders>
              <w:bottom w:val="single" w:sz="8" w:color="auto"/>
            </w:tcBorders>
          </w:tcPr>
          <w:p>
            <w:pPr>
              <w:jc w:val="right"/>
              <w:ind w:right="129"/>
              <w:spacing w:after="0" w:line="141" w:lineRule="exact"/>
              <w:rPr>
                <w:sz w:val="20"/>
                <w:szCs w:val="20"/>
                <w:color w:val="auto"/>
              </w:rPr>
            </w:pPr>
            <w:r>
              <w:rPr>
                <w:rFonts w:ascii="Arial" w:cs="Arial" w:eastAsia="Arial" w:hAnsi="Arial"/>
                <w:sz w:val="13"/>
                <w:szCs w:val="13"/>
                <w:color w:val="auto"/>
              </w:rPr>
              <w:t>Discounting</w:t>
            </w:r>
          </w:p>
        </w:tc>
        <w:tc>
          <w:tcPr>
            <w:tcW w:w="740" w:type="dxa"/>
            <w:vAlign w:val="bottom"/>
            <w:tcBorders>
              <w:bottom w:val="single" w:sz="8" w:color="auto"/>
            </w:tcBorders>
          </w:tcPr>
          <w:p>
            <w:pPr>
              <w:jc w:val="right"/>
              <w:ind w:right="31"/>
              <w:spacing w:after="0" w:line="141" w:lineRule="exact"/>
              <w:rPr>
                <w:sz w:val="20"/>
                <w:szCs w:val="20"/>
                <w:color w:val="auto"/>
              </w:rPr>
            </w:pPr>
            <w:r>
              <w:rPr>
                <w:rFonts w:ascii="Arial" w:cs="Arial" w:eastAsia="Arial" w:hAnsi="Arial"/>
                <w:sz w:val="13"/>
                <w:szCs w:val="13"/>
                <w:color w:val="auto"/>
              </w:rPr>
              <w:t>amount</w:t>
            </w:r>
          </w:p>
        </w:tc>
      </w:tr>
      <w:tr>
        <w:trPr>
          <w:trHeight w:val="160"/>
        </w:trPr>
        <w:tc>
          <w:tcPr>
            <w:tcW w:w="3420" w:type="dxa"/>
            <w:vAlign w:val="bottom"/>
          </w:tcPr>
          <w:p>
            <w:pPr>
              <w:spacing w:after="0"/>
              <w:rPr>
                <w:sz w:val="20"/>
                <w:szCs w:val="20"/>
                <w:color w:val="auto"/>
              </w:rPr>
            </w:pPr>
            <w:r>
              <w:rPr>
                <w:rFonts w:ascii="Arial" w:cs="Arial" w:eastAsia="Arial" w:hAnsi="Arial"/>
                <w:sz w:val="14"/>
                <w:szCs w:val="14"/>
                <w:color w:val="auto"/>
              </w:rPr>
              <w:t>Forward foreign exchange contracts</w:t>
            </w:r>
          </w:p>
        </w:tc>
        <w:tc>
          <w:tcPr>
            <w:tcW w:w="880" w:type="dxa"/>
            <w:vAlign w:val="bottom"/>
          </w:tcPr>
          <w:p>
            <w:pPr>
              <w:jc w:val="right"/>
              <w:ind w:right="151"/>
              <w:spacing w:after="0"/>
              <w:rPr>
                <w:sz w:val="20"/>
                <w:szCs w:val="20"/>
                <w:color w:val="auto"/>
              </w:rPr>
            </w:pPr>
            <w:r>
              <w:rPr>
                <w:rFonts w:ascii="Arial" w:cs="Arial" w:eastAsia="Arial" w:hAnsi="Arial"/>
                <w:sz w:val="14"/>
                <w:szCs w:val="14"/>
                <w:color w:val="auto"/>
              </w:rPr>
              <w:t>362</w:t>
            </w:r>
          </w:p>
        </w:tc>
        <w:tc>
          <w:tcPr>
            <w:tcW w:w="860" w:type="dxa"/>
            <w:vAlign w:val="bottom"/>
          </w:tcPr>
          <w:p>
            <w:pPr>
              <w:jc w:val="right"/>
              <w:ind w:right="131"/>
              <w:spacing w:after="0"/>
              <w:rPr>
                <w:sz w:val="20"/>
                <w:szCs w:val="20"/>
                <w:color w:val="auto"/>
              </w:rPr>
            </w:pPr>
            <w:r>
              <w:rPr>
                <w:rFonts w:ascii="Arial" w:cs="Arial" w:eastAsia="Arial" w:hAnsi="Arial"/>
                <w:sz w:val="14"/>
                <w:szCs w:val="14"/>
                <w:color w:val="auto"/>
              </w:rPr>
              <w:t>34</w:t>
            </w:r>
          </w:p>
        </w:tc>
        <w:tc>
          <w:tcPr>
            <w:tcW w:w="900" w:type="dxa"/>
            <w:vAlign w:val="bottom"/>
          </w:tcPr>
          <w:p>
            <w:pPr>
              <w:jc w:val="right"/>
              <w:ind w:right="131"/>
              <w:spacing w:after="0"/>
              <w:rPr>
                <w:sz w:val="20"/>
                <w:szCs w:val="20"/>
                <w:color w:val="auto"/>
              </w:rPr>
            </w:pPr>
            <w:r>
              <w:rPr>
                <w:rFonts w:ascii="Arial" w:cs="Arial" w:eastAsia="Arial" w:hAnsi="Arial"/>
                <w:sz w:val="14"/>
                <w:szCs w:val="14"/>
                <w:color w:val="auto"/>
              </w:rPr>
              <w:t>4</w:t>
            </w:r>
          </w:p>
        </w:tc>
        <w:tc>
          <w:tcPr>
            <w:tcW w:w="880" w:type="dxa"/>
            <w:vAlign w:val="bottom"/>
          </w:tcPr>
          <w:p>
            <w:pPr>
              <w:jc w:val="right"/>
              <w:ind w:right="131"/>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131"/>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111"/>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10"/>
              <w:spacing w:after="0"/>
              <w:rPr>
                <w:sz w:val="20"/>
                <w:szCs w:val="20"/>
                <w:color w:val="auto"/>
              </w:rPr>
            </w:pPr>
            <w:r>
              <w:rPr>
                <w:rFonts w:ascii="Arial" w:cs="Arial" w:eastAsia="Arial" w:hAnsi="Arial"/>
                <w:sz w:val="14"/>
                <w:szCs w:val="14"/>
                <w:color w:val="auto"/>
              </w:rPr>
              <w:t>400</w:t>
            </w:r>
          </w:p>
        </w:tc>
        <w:tc>
          <w:tcPr>
            <w:tcW w:w="1240" w:type="dxa"/>
            <w:vAlign w:val="bottom"/>
          </w:tcPr>
          <w:p>
            <w:pPr>
              <w:jc w:val="right"/>
              <w:ind w:right="89"/>
              <w:spacing w:after="0"/>
              <w:rPr>
                <w:sz w:val="20"/>
                <w:szCs w:val="20"/>
                <w:color w:val="auto"/>
              </w:rPr>
            </w:pPr>
            <w:r>
              <w:rPr>
                <w:rFonts w:ascii="Arial" w:cs="Arial" w:eastAsia="Arial" w:hAnsi="Arial"/>
                <w:sz w:val="14"/>
                <w:szCs w:val="14"/>
                <w:color w:val="auto"/>
              </w:rPr>
              <w:t>(19)</w:t>
            </w:r>
          </w:p>
        </w:tc>
        <w:tc>
          <w:tcPr>
            <w:tcW w:w="740" w:type="dxa"/>
            <w:vAlign w:val="bottom"/>
          </w:tcPr>
          <w:p>
            <w:pPr>
              <w:jc w:val="right"/>
              <w:ind w:right="31"/>
              <w:spacing w:after="0"/>
              <w:rPr>
                <w:sz w:val="20"/>
                <w:szCs w:val="20"/>
                <w:color w:val="auto"/>
              </w:rPr>
            </w:pPr>
            <w:r>
              <w:rPr>
                <w:rFonts w:ascii="Arial" w:cs="Arial" w:eastAsia="Arial" w:hAnsi="Arial"/>
                <w:sz w:val="14"/>
                <w:szCs w:val="14"/>
                <w:color w:val="auto"/>
              </w:rPr>
              <w:t>381</w:t>
            </w:r>
          </w:p>
        </w:tc>
      </w:tr>
      <w:tr>
        <w:trPr>
          <w:trHeight w:val="162"/>
        </w:trPr>
        <w:tc>
          <w:tcPr>
            <w:tcW w:w="3420" w:type="dxa"/>
            <w:vAlign w:val="bottom"/>
          </w:tcPr>
          <w:p>
            <w:pPr>
              <w:spacing w:after="0"/>
              <w:rPr>
                <w:sz w:val="20"/>
                <w:szCs w:val="20"/>
                <w:color w:val="auto"/>
              </w:rPr>
            </w:pPr>
            <w:r>
              <w:rPr>
                <w:rFonts w:ascii="Arial" w:cs="Arial" w:eastAsia="Arial" w:hAnsi="Arial"/>
                <w:sz w:val="14"/>
                <w:szCs w:val="14"/>
                <w:color w:val="auto"/>
              </w:rPr>
              <w:t>Currency swaps</w:t>
            </w:r>
          </w:p>
        </w:tc>
        <w:tc>
          <w:tcPr>
            <w:tcW w:w="880" w:type="dxa"/>
            <w:vAlign w:val="bottom"/>
          </w:tcPr>
          <w:p>
            <w:pPr>
              <w:jc w:val="right"/>
              <w:ind w:right="111"/>
              <w:spacing w:after="0"/>
              <w:rPr>
                <w:sz w:val="20"/>
                <w:szCs w:val="20"/>
                <w:color w:val="auto"/>
              </w:rPr>
            </w:pPr>
            <w:r>
              <w:rPr>
                <w:rFonts w:ascii="Arial" w:cs="Arial" w:eastAsia="Arial" w:hAnsi="Arial"/>
                <w:sz w:val="14"/>
                <w:szCs w:val="14"/>
                <w:color w:val="auto"/>
              </w:rPr>
              <w:t>(6)</w:t>
            </w:r>
          </w:p>
        </w:tc>
        <w:tc>
          <w:tcPr>
            <w:tcW w:w="860" w:type="dxa"/>
            <w:vAlign w:val="bottom"/>
          </w:tcPr>
          <w:p>
            <w:pPr>
              <w:jc w:val="right"/>
              <w:ind w:right="131"/>
              <w:spacing w:after="0"/>
              <w:rPr>
                <w:sz w:val="20"/>
                <w:szCs w:val="20"/>
                <w:color w:val="auto"/>
              </w:rPr>
            </w:pPr>
            <w:r>
              <w:rPr>
                <w:rFonts w:ascii="Arial" w:cs="Arial" w:eastAsia="Arial" w:hAnsi="Arial"/>
                <w:sz w:val="14"/>
                <w:szCs w:val="14"/>
                <w:color w:val="auto"/>
              </w:rPr>
              <w:t>20</w:t>
            </w:r>
          </w:p>
        </w:tc>
        <w:tc>
          <w:tcPr>
            <w:tcW w:w="900" w:type="dxa"/>
            <w:vAlign w:val="bottom"/>
          </w:tcPr>
          <w:p>
            <w:pPr>
              <w:jc w:val="right"/>
              <w:ind w:right="131"/>
              <w:spacing w:after="0"/>
              <w:rPr>
                <w:sz w:val="20"/>
                <w:szCs w:val="20"/>
                <w:color w:val="auto"/>
              </w:rPr>
            </w:pPr>
            <w:r>
              <w:rPr>
                <w:rFonts w:ascii="Arial" w:cs="Arial" w:eastAsia="Arial" w:hAnsi="Arial"/>
                <w:sz w:val="14"/>
                <w:szCs w:val="14"/>
                <w:color w:val="auto"/>
              </w:rPr>
              <w:t>71</w:t>
            </w:r>
          </w:p>
        </w:tc>
        <w:tc>
          <w:tcPr>
            <w:tcW w:w="880" w:type="dxa"/>
            <w:vAlign w:val="bottom"/>
          </w:tcPr>
          <w:p>
            <w:pPr>
              <w:jc w:val="right"/>
              <w:ind w:right="131"/>
              <w:spacing w:after="0"/>
              <w:rPr>
                <w:sz w:val="20"/>
                <w:szCs w:val="20"/>
                <w:color w:val="auto"/>
              </w:rPr>
            </w:pPr>
            <w:r>
              <w:rPr>
                <w:rFonts w:ascii="Arial" w:cs="Arial" w:eastAsia="Arial" w:hAnsi="Arial"/>
                <w:sz w:val="14"/>
                <w:szCs w:val="14"/>
                <w:color w:val="auto"/>
              </w:rPr>
              <w:t>97</w:t>
            </w:r>
          </w:p>
        </w:tc>
        <w:tc>
          <w:tcPr>
            <w:tcW w:w="900" w:type="dxa"/>
            <w:vAlign w:val="bottom"/>
          </w:tcPr>
          <w:p>
            <w:pPr>
              <w:jc w:val="right"/>
              <w:ind w:right="131"/>
              <w:spacing w:after="0"/>
              <w:rPr>
                <w:sz w:val="20"/>
                <w:szCs w:val="20"/>
                <w:color w:val="auto"/>
              </w:rPr>
            </w:pPr>
            <w:r>
              <w:rPr>
                <w:rFonts w:ascii="Arial" w:cs="Arial" w:eastAsia="Arial" w:hAnsi="Arial"/>
                <w:sz w:val="14"/>
                <w:szCs w:val="14"/>
                <w:color w:val="auto"/>
              </w:rPr>
              <w:t>129</w:t>
            </w:r>
          </w:p>
        </w:tc>
        <w:tc>
          <w:tcPr>
            <w:tcW w:w="880" w:type="dxa"/>
            <w:vAlign w:val="bottom"/>
          </w:tcPr>
          <w:p>
            <w:pPr>
              <w:jc w:val="right"/>
              <w:ind w:right="111"/>
              <w:spacing w:after="0"/>
              <w:rPr>
                <w:sz w:val="20"/>
                <w:szCs w:val="20"/>
                <w:color w:val="auto"/>
              </w:rPr>
            </w:pPr>
            <w:r>
              <w:rPr>
                <w:rFonts w:ascii="Arial" w:cs="Arial" w:eastAsia="Arial" w:hAnsi="Arial"/>
                <w:sz w:val="14"/>
                <w:szCs w:val="14"/>
                <w:color w:val="auto"/>
              </w:rPr>
              <w:t>877</w:t>
            </w:r>
          </w:p>
        </w:tc>
        <w:tc>
          <w:tcPr>
            <w:tcW w:w="720" w:type="dxa"/>
            <w:vAlign w:val="bottom"/>
          </w:tcPr>
          <w:p>
            <w:pPr>
              <w:jc w:val="right"/>
              <w:ind w:right="10"/>
              <w:spacing w:after="0"/>
              <w:rPr>
                <w:sz w:val="20"/>
                <w:szCs w:val="20"/>
                <w:color w:val="auto"/>
              </w:rPr>
            </w:pPr>
            <w:r>
              <w:rPr>
                <w:rFonts w:ascii="Arial" w:cs="Arial" w:eastAsia="Arial" w:hAnsi="Arial"/>
                <w:sz w:val="14"/>
                <w:szCs w:val="14"/>
                <w:color w:val="auto"/>
              </w:rPr>
              <w:t>1,188</w:t>
            </w:r>
          </w:p>
        </w:tc>
        <w:tc>
          <w:tcPr>
            <w:tcW w:w="1240" w:type="dxa"/>
            <w:vAlign w:val="bottom"/>
          </w:tcPr>
          <w:p>
            <w:pPr>
              <w:jc w:val="right"/>
              <w:ind w:right="89"/>
              <w:spacing w:after="0"/>
              <w:rPr>
                <w:sz w:val="20"/>
                <w:szCs w:val="20"/>
                <w:color w:val="auto"/>
              </w:rPr>
            </w:pPr>
            <w:r>
              <w:rPr>
                <w:rFonts w:ascii="Arial" w:cs="Arial" w:eastAsia="Arial" w:hAnsi="Arial"/>
                <w:sz w:val="14"/>
                <w:szCs w:val="14"/>
                <w:color w:val="auto"/>
              </w:rPr>
              <w:t>(989)</w:t>
            </w:r>
          </w:p>
        </w:tc>
        <w:tc>
          <w:tcPr>
            <w:tcW w:w="740" w:type="dxa"/>
            <w:vAlign w:val="bottom"/>
          </w:tcPr>
          <w:p>
            <w:pPr>
              <w:jc w:val="right"/>
              <w:ind w:right="31"/>
              <w:spacing w:after="0"/>
              <w:rPr>
                <w:sz w:val="20"/>
                <w:szCs w:val="20"/>
                <w:color w:val="auto"/>
              </w:rPr>
            </w:pPr>
            <w:r>
              <w:rPr>
                <w:rFonts w:ascii="Arial" w:cs="Arial" w:eastAsia="Arial" w:hAnsi="Arial"/>
                <w:sz w:val="14"/>
                <w:szCs w:val="14"/>
                <w:color w:val="auto"/>
              </w:rPr>
              <w:t>199</w:t>
            </w:r>
          </w:p>
        </w:tc>
      </w:tr>
      <w:tr>
        <w:trPr>
          <w:trHeight w:val="162"/>
        </w:trPr>
        <w:tc>
          <w:tcPr>
            <w:tcW w:w="3420" w:type="dxa"/>
            <w:vAlign w:val="bottom"/>
          </w:tcPr>
          <w:p>
            <w:pPr>
              <w:spacing w:after="0"/>
              <w:rPr>
                <w:sz w:val="20"/>
                <w:szCs w:val="20"/>
                <w:color w:val="auto"/>
              </w:rPr>
            </w:pPr>
            <w:r>
              <w:rPr>
                <w:rFonts w:ascii="Arial" w:cs="Arial" w:eastAsia="Arial" w:hAnsi="Arial"/>
                <w:sz w:val="14"/>
                <w:szCs w:val="14"/>
                <w:color w:val="auto"/>
              </w:rPr>
              <w:t>Commodity derivatives</w:t>
            </w:r>
          </w:p>
        </w:tc>
        <w:tc>
          <w:tcPr>
            <w:tcW w:w="880" w:type="dxa"/>
            <w:vAlign w:val="bottom"/>
          </w:tcPr>
          <w:p>
            <w:pPr>
              <w:jc w:val="right"/>
              <w:ind w:right="151"/>
              <w:spacing w:after="0"/>
              <w:rPr>
                <w:sz w:val="20"/>
                <w:szCs w:val="20"/>
                <w:color w:val="auto"/>
              </w:rPr>
            </w:pPr>
            <w:r>
              <w:rPr>
                <w:rFonts w:ascii="Arial" w:cs="Arial" w:eastAsia="Arial" w:hAnsi="Arial"/>
                <w:sz w:val="14"/>
                <w:szCs w:val="14"/>
                <w:color w:val="auto"/>
              </w:rPr>
              <w:t>9,332</w:t>
            </w:r>
          </w:p>
        </w:tc>
        <w:tc>
          <w:tcPr>
            <w:tcW w:w="860" w:type="dxa"/>
            <w:vAlign w:val="bottom"/>
          </w:tcPr>
          <w:p>
            <w:pPr>
              <w:jc w:val="right"/>
              <w:ind w:right="131"/>
              <w:spacing w:after="0"/>
              <w:rPr>
                <w:sz w:val="20"/>
                <w:szCs w:val="20"/>
                <w:color w:val="auto"/>
              </w:rPr>
            </w:pPr>
            <w:r>
              <w:rPr>
                <w:rFonts w:ascii="Arial" w:cs="Arial" w:eastAsia="Arial" w:hAnsi="Arial"/>
                <w:sz w:val="14"/>
                <w:szCs w:val="14"/>
                <w:color w:val="auto"/>
              </w:rPr>
              <w:t>1,215</w:t>
            </w:r>
          </w:p>
        </w:tc>
        <w:tc>
          <w:tcPr>
            <w:tcW w:w="900" w:type="dxa"/>
            <w:vAlign w:val="bottom"/>
          </w:tcPr>
          <w:p>
            <w:pPr>
              <w:jc w:val="right"/>
              <w:ind w:right="131"/>
              <w:spacing w:after="0"/>
              <w:rPr>
                <w:sz w:val="20"/>
                <w:szCs w:val="20"/>
                <w:color w:val="auto"/>
              </w:rPr>
            </w:pPr>
            <w:r>
              <w:rPr>
                <w:rFonts w:ascii="Arial" w:cs="Arial" w:eastAsia="Arial" w:hAnsi="Arial"/>
                <w:sz w:val="14"/>
                <w:szCs w:val="14"/>
                <w:color w:val="auto"/>
              </w:rPr>
              <w:t>321</w:t>
            </w:r>
          </w:p>
        </w:tc>
        <w:tc>
          <w:tcPr>
            <w:tcW w:w="880" w:type="dxa"/>
            <w:vAlign w:val="bottom"/>
          </w:tcPr>
          <w:p>
            <w:pPr>
              <w:jc w:val="right"/>
              <w:ind w:right="131"/>
              <w:spacing w:after="0"/>
              <w:rPr>
                <w:sz w:val="20"/>
                <w:szCs w:val="20"/>
                <w:color w:val="auto"/>
              </w:rPr>
            </w:pPr>
            <w:r>
              <w:rPr>
                <w:rFonts w:ascii="Arial" w:cs="Arial" w:eastAsia="Arial" w:hAnsi="Arial"/>
                <w:sz w:val="14"/>
                <w:szCs w:val="14"/>
                <w:color w:val="auto"/>
              </w:rPr>
              <w:t>106</w:t>
            </w:r>
          </w:p>
        </w:tc>
        <w:tc>
          <w:tcPr>
            <w:tcW w:w="900" w:type="dxa"/>
            <w:vAlign w:val="bottom"/>
          </w:tcPr>
          <w:p>
            <w:pPr>
              <w:jc w:val="right"/>
              <w:ind w:right="131"/>
              <w:spacing w:after="0"/>
              <w:rPr>
                <w:sz w:val="20"/>
                <w:szCs w:val="20"/>
                <w:color w:val="auto"/>
              </w:rPr>
            </w:pPr>
            <w:r>
              <w:rPr>
                <w:rFonts w:ascii="Arial" w:cs="Arial" w:eastAsia="Arial" w:hAnsi="Arial"/>
                <w:sz w:val="14"/>
                <w:szCs w:val="14"/>
                <w:color w:val="auto"/>
              </w:rPr>
              <w:t>58</w:t>
            </w:r>
          </w:p>
        </w:tc>
        <w:tc>
          <w:tcPr>
            <w:tcW w:w="880" w:type="dxa"/>
            <w:vAlign w:val="bottom"/>
          </w:tcPr>
          <w:p>
            <w:pPr>
              <w:jc w:val="right"/>
              <w:ind w:right="111"/>
              <w:spacing w:after="0"/>
              <w:rPr>
                <w:sz w:val="20"/>
                <w:szCs w:val="20"/>
                <w:color w:val="auto"/>
              </w:rPr>
            </w:pPr>
            <w:r>
              <w:rPr>
                <w:rFonts w:ascii="Arial" w:cs="Arial" w:eastAsia="Arial" w:hAnsi="Arial"/>
                <w:sz w:val="14"/>
                <w:szCs w:val="14"/>
                <w:color w:val="auto"/>
              </w:rPr>
              <w:t>126</w:t>
            </w:r>
          </w:p>
        </w:tc>
        <w:tc>
          <w:tcPr>
            <w:tcW w:w="720" w:type="dxa"/>
            <w:vAlign w:val="bottom"/>
          </w:tcPr>
          <w:p>
            <w:pPr>
              <w:jc w:val="right"/>
              <w:ind w:right="10"/>
              <w:spacing w:after="0"/>
              <w:rPr>
                <w:sz w:val="20"/>
                <w:szCs w:val="20"/>
                <w:color w:val="auto"/>
              </w:rPr>
            </w:pPr>
            <w:r>
              <w:rPr>
                <w:rFonts w:ascii="Arial" w:cs="Arial" w:eastAsia="Arial" w:hAnsi="Arial"/>
                <w:sz w:val="14"/>
                <w:szCs w:val="14"/>
                <w:color w:val="auto"/>
              </w:rPr>
              <w:t>11,158</w:t>
            </w:r>
          </w:p>
        </w:tc>
        <w:tc>
          <w:tcPr>
            <w:tcW w:w="1240" w:type="dxa"/>
            <w:vAlign w:val="bottom"/>
          </w:tcPr>
          <w:p>
            <w:pPr>
              <w:jc w:val="right"/>
              <w:ind w:right="89"/>
              <w:spacing w:after="0"/>
              <w:rPr>
                <w:sz w:val="20"/>
                <w:szCs w:val="20"/>
                <w:color w:val="auto"/>
              </w:rPr>
            </w:pPr>
            <w:r>
              <w:rPr>
                <w:rFonts w:ascii="Arial" w:cs="Arial" w:eastAsia="Arial" w:hAnsi="Arial"/>
                <w:sz w:val="14"/>
                <w:szCs w:val="14"/>
                <w:color w:val="auto"/>
              </w:rPr>
              <w:t>(48)</w:t>
            </w:r>
          </w:p>
        </w:tc>
        <w:tc>
          <w:tcPr>
            <w:tcW w:w="740" w:type="dxa"/>
            <w:vAlign w:val="bottom"/>
          </w:tcPr>
          <w:p>
            <w:pPr>
              <w:jc w:val="right"/>
              <w:ind w:right="31"/>
              <w:spacing w:after="0"/>
              <w:rPr>
                <w:sz w:val="20"/>
                <w:szCs w:val="20"/>
                <w:color w:val="auto"/>
              </w:rPr>
            </w:pPr>
            <w:r>
              <w:rPr>
                <w:rFonts w:ascii="Arial" w:cs="Arial" w:eastAsia="Arial" w:hAnsi="Arial"/>
                <w:sz w:val="14"/>
                <w:szCs w:val="14"/>
                <w:color w:val="auto"/>
              </w:rPr>
              <w:t>11,110</w:t>
            </w:r>
          </w:p>
        </w:tc>
      </w:tr>
      <w:tr>
        <w:trPr>
          <w:trHeight w:val="157"/>
        </w:trPr>
        <w:tc>
          <w:tcPr>
            <w:tcW w:w="3420" w:type="dxa"/>
            <w:vAlign w:val="bottom"/>
            <w:tcBorders>
              <w:bottom w:val="single" w:sz="8" w:color="auto"/>
            </w:tcBorders>
          </w:tcPr>
          <w:p>
            <w:pPr>
              <w:spacing w:after="0" w:line="157" w:lineRule="exact"/>
              <w:rPr>
                <w:sz w:val="20"/>
                <w:szCs w:val="20"/>
                <w:color w:val="auto"/>
              </w:rPr>
            </w:pPr>
            <w:r>
              <w:rPr>
                <w:rFonts w:ascii="Arial" w:cs="Arial" w:eastAsia="Arial" w:hAnsi="Arial"/>
                <w:sz w:val="14"/>
                <w:szCs w:val="14"/>
                <w:color w:val="auto"/>
              </w:rPr>
              <w:t>Other contracts</w:t>
            </w:r>
          </w:p>
        </w:tc>
        <w:tc>
          <w:tcPr>
            <w:tcW w:w="880" w:type="dxa"/>
            <w:vAlign w:val="bottom"/>
            <w:tcBorders>
              <w:bottom w:val="single" w:sz="8" w:color="auto"/>
            </w:tcBorders>
          </w:tcPr>
          <w:p>
            <w:pPr>
              <w:jc w:val="right"/>
              <w:ind w:right="151"/>
              <w:spacing w:after="0" w:line="157" w:lineRule="exact"/>
              <w:rPr>
                <w:sz w:val="20"/>
                <w:szCs w:val="20"/>
                <w:color w:val="auto"/>
              </w:rPr>
            </w:pPr>
            <w:r>
              <w:rPr>
                <w:rFonts w:ascii="Arial" w:cs="Arial" w:eastAsia="Arial" w:hAnsi="Arial"/>
                <w:sz w:val="14"/>
                <w:szCs w:val="14"/>
                <w:color w:val="auto"/>
              </w:rPr>
              <w:t>99</w:t>
            </w:r>
          </w:p>
        </w:tc>
        <w:tc>
          <w:tcPr>
            <w:tcW w:w="860" w:type="dxa"/>
            <w:vAlign w:val="bottom"/>
            <w:tcBorders>
              <w:bottom w:val="single" w:sz="8" w:color="auto"/>
            </w:tcBorders>
          </w:tcPr>
          <w:p>
            <w:pPr>
              <w:jc w:val="right"/>
              <w:ind w:right="131"/>
              <w:spacing w:after="0" w:line="157" w:lineRule="exact"/>
              <w:rPr>
                <w:sz w:val="20"/>
                <w:szCs w:val="20"/>
                <w:color w:val="auto"/>
              </w:rPr>
            </w:pPr>
            <w:r>
              <w:rPr>
                <w:rFonts w:ascii="Arial" w:cs="Arial" w:eastAsia="Arial" w:hAnsi="Arial"/>
                <w:sz w:val="14"/>
                <w:szCs w:val="14"/>
                <w:color w:val="auto"/>
              </w:rPr>
              <w:t>105</w:t>
            </w:r>
          </w:p>
        </w:tc>
        <w:tc>
          <w:tcPr>
            <w:tcW w:w="900" w:type="dxa"/>
            <w:vAlign w:val="bottom"/>
            <w:tcBorders>
              <w:bottom w:val="single" w:sz="8" w:color="auto"/>
            </w:tcBorders>
          </w:tcPr>
          <w:p>
            <w:pPr>
              <w:jc w:val="right"/>
              <w:ind w:right="131"/>
              <w:spacing w:after="0" w:line="157" w:lineRule="exact"/>
              <w:rPr>
                <w:sz w:val="20"/>
                <w:szCs w:val="20"/>
                <w:color w:val="auto"/>
              </w:rPr>
            </w:pPr>
            <w:r>
              <w:rPr>
                <w:rFonts w:ascii="Arial" w:cs="Arial" w:eastAsia="Arial" w:hAnsi="Arial"/>
                <w:sz w:val="14"/>
                <w:szCs w:val="14"/>
                <w:color w:val="auto"/>
              </w:rPr>
              <w:t>105</w:t>
            </w:r>
          </w:p>
        </w:tc>
        <w:tc>
          <w:tcPr>
            <w:tcW w:w="880" w:type="dxa"/>
            <w:vAlign w:val="bottom"/>
            <w:tcBorders>
              <w:bottom w:val="single" w:sz="8" w:color="auto"/>
            </w:tcBorders>
          </w:tcPr>
          <w:p>
            <w:pPr>
              <w:jc w:val="right"/>
              <w:ind w:right="131"/>
              <w:spacing w:after="0" w:line="157" w:lineRule="exact"/>
              <w:rPr>
                <w:sz w:val="20"/>
                <w:szCs w:val="20"/>
                <w:color w:val="auto"/>
              </w:rPr>
            </w:pPr>
            <w:r>
              <w:rPr>
                <w:rFonts w:ascii="Arial" w:cs="Arial" w:eastAsia="Arial" w:hAnsi="Arial"/>
                <w:sz w:val="14"/>
                <w:szCs w:val="14"/>
                <w:color w:val="auto"/>
              </w:rPr>
              <w:t>104</w:t>
            </w:r>
          </w:p>
        </w:tc>
        <w:tc>
          <w:tcPr>
            <w:tcW w:w="900" w:type="dxa"/>
            <w:vAlign w:val="bottom"/>
            <w:tcBorders>
              <w:bottom w:val="single" w:sz="8" w:color="auto"/>
            </w:tcBorders>
          </w:tcPr>
          <w:p>
            <w:pPr>
              <w:jc w:val="right"/>
              <w:ind w:right="131"/>
              <w:spacing w:after="0" w:line="157" w:lineRule="exact"/>
              <w:rPr>
                <w:sz w:val="20"/>
                <w:szCs w:val="20"/>
                <w:color w:val="auto"/>
              </w:rPr>
            </w:pPr>
            <w:r>
              <w:rPr>
                <w:rFonts w:ascii="Arial" w:cs="Arial" w:eastAsia="Arial" w:hAnsi="Arial"/>
                <w:sz w:val="14"/>
                <w:szCs w:val="14"/>
                <w:color w:val="auto"/>
              </w:rPr>
              <w:t>59</w:t>
            </w:r>
          </w:p>
        </w:tc>
        <w:tc>
          <w:tcPr>
            <w:tcW w:w="880" w:type="dxa"/>
            <w:vAlign w:val="bottom"/>
            <w:tcBorders>
              <w:bottom w:val="single" w:sz="8" w:color="auto"/>
            </w:tcBorders>
          </w:tcPr>
          <w:p>
            <w:pPr>
              <w:jc w:val="right"/>
              <w:ind w:right="111"/>
              <w:spacing w:after="0" w:line="157" w:lineRule="exact"/>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tcPr>
          <w:p>
            <w:pPr>
              <w:jc w:val="right"/>
              <w:ind w:right="10"/>
              <w:spacing w:after="0" w:line="157" w:lineRule="exact"/>
              <w:rPr>
                <w:sz w:val="20"/>
                <w:szCs w:val="20"/>
                <w:color w:val="auto"/>
              </w:rPr>
            </w:pPr>
            <w:r>
              <w:rPr>
                <w:rFonts w:ascii="Arial" w:cs="Arial" w:eastAsia="Arial" w:hAnsi="Arial"/>
                <w:sz w:val="14"/>
                <w:szCs w:val="14"/>
                <w:color w:val="auto"/>
              </w:rPr>
              <w:t>472</w:t>
            </w:r>
          </w:p>
        </w:tc>
        <w:tc>
          <w:tcPr>
            <w:tcW w:w="1240" w:type="dxa"/>
            <w:vAlign w:val="bottom"/>
            <w:tcBorders>
              <w:bottom w:val="single" w:sz="8" w:color="auto"/>
            </w:tcBorders>
          </w:tcPr>
          <w:p>
            <w:pPr>
              <w:jc w:val="right"/>
              <w:ind w:right="89"/>
              <w:spacing w:after="0" w:line="157" w:lineRule="exact"/>
              <w:rPr>
                <w:sz w:val="20"/>
                <w:szCs w:val="20"/>
                <w:color w:val="auto"/>
              </w:rPr>
            </w:pPr>
            <w:r>
              <w:rPr>
                <w:rFonts w:ascii="Arial" w:cs="Arial" w:eastAsia="Arial" w:hAnsi="Arial"/>
                <w:sz w:val="14"/>
                <w:szCs w:val="14"/>
                <w:color w:val="auto"/>
              </w:rPr>
              <w:t>(88)</w:t>
            </w:r>
          </w:p>
        </w:tc>
        <w:tc>
          <w:tcPr>
            <w:tcW w:w="740" w:type="dxa"/>
            <w:vAlign w:val="bottom"/>
            <w:tcBorders>
              <w:bottom w:val="single" w:sz="8" w:color="auto"/>
            </w:tcBorders>
          </w:tcPr>
          <w:p>
            <w:pPr>
              <w:jc w:val="right"/>
              <w:ind w:right="31"/>
              <w:spacing w:after="0" w:line="157" w:lineRule="exact"/>
              <w:rPr>
                <w:sz w:val="20"/>
                <w:szCs w:val="20"/>
                <w:color w:val="auto"/>
              </w:rPr>
            </w:pPr>
            <w:r>
              <w:rPr>
                <w:rFonts w:ascii="Arial" w:cs="Arial" w:eastAsia="Arial" w:hAnsi="Arial"/>
                <w:sz w:val="14"/>
                <w:szCs w:val="14"/>
                <w:color w:val="auto"/>
              </w:rPr>
              <w:t>384</w:t>
            </w:r>
          </w:p>
        </w:tc>
      </w:tr>
      <w:tr>
        <w:trPr>
          <w:trHeight w:val="156"/>
        </w:trPr>
        <w:tc>
          <w:tcPr>
            <w:tcW w:w="3420" w:type="dxa"/>
            <w:vAlign w:val="bottom"/>
            <w:tcBorders>
              <w:bottom w:val="single" w:sz="8" w:color="auto"/>
            </w:tcBorders>
          </w:tcPr>
          <w:p>
            <w:pPr>
              <w:spacing w:after="0" w:line="155" w:lineRule="exact"/>
              <w:rPr>
                <w:sz w:val="20"/>
                <w:szCs w:val="20"/>
                <w:color w:val="auto"/>
              </w:rPr>
            </w:pPr>
            <w:r>
              <w:rPr>
                <w:rFonts w:ascii="Arial" w:cs="Arial" w:eastAsia="Arial" w:hAnsi="Arial"/>
                <w:sz w:val="14"/>
                <w:szCs w:val="14"/>
                <w:color w:val="auto"/>
              </w:rPr>
              <w:t>Total</w:t>
            </w:r>
          </w:p>
        </w:tc>
        <w:tc>
          <w:tcPr>
            <w:tcW w:w="880" w:type="dxa"/>
            <w:vAlign w:val="bottom"/>
            <w:tcBorders>
              <w:bottom w:val="single" w:sz="8" w:color="auto"/>
            </w:tcBorders>
          </w:tcPr>
          <w:p>
            <w:pPr>
              <w:jc w:val="right"/>
              <w:ind w:right="151"/>
              <w:spacing w:after="0" w:line="155" w:lineRule="exact"/>
              <w:rPr>
                <w:sz w:val="20"/>
                <w:szCs w:val="20"/>
                <w:color w:val="auto"/>
              </w:rPr>
            </w:pPr>
            <w:r>
              <w:rPr>
                <w:rFonts w:ascii="Arial" w:cs="Arial" w:eastAsia="Arial" w:hAnsi="Arial"/>
                <w:sz w:val="14"/>
                <w:szCs w:val="14"/>
                <w:color w:val="auto"/>
              </w:rPr>
              <w:t>9,787</w:t>
            </w:r>
          </w:p>
        </w:tc>
        <w:tc>
          <w:tcPr>
            <w:tcW w:w="860" w:type="dxa"/>
            <w:vAlign w:val="bottom"/>
            <w:tcBorders>
              <w:bottom w:val="single" w:sz="8" w:color="auto"/>
            </w:tcBorders>
          </w:tcPr>
          <w:p>
            <w:pPr>
              <w:jc w:val="right"/>
              <w:ind w:right="131"/>
              <w:spacing w:after="0" w:line="155" w:lineRule="exact"/>
              <w:rPr>
                <w:sz w:val="20"/>
                <w:szCs w:val="20"/>
                <w:color w:val="auto"/>
              </w:rPr>
            </w:pPr>
            <w:r>
              <w:rPr>
                <w:rFonts w:ascii="Arial" w:cs="Arial" w:eastAsia="Arial" w:hAnsi="Arial"/>
                <w:sz w:val="14"/>
                <w:szCs w:val="14"/>
                <w:color w:val="auto"/>
              </w:rPr>
              <w:t>1,374</w:t>
            </w:r>
          </w:p>
        </w:tc>
        <w:tc>
          <w:tcPr>
            <w:tcW w:w="900" w:type="dxa"/>
            <w:vAlign w:val="bottom"/>
            <w:tcBorders>
              <w:bottom w:val="single" w:sz="8" w:color="auto"/>
            </w:tcBorders>
          </w:tcPr>
          <w:p>
            <w:pPr>
              <w:jc w:val="right"/>
              <w:ind w:right="131"/>
              <w:spacing w:after="0" w:line="155" w:lineRule="exact"/>
              <w:rPr>
                <w:sz w:val="20"/>
                <w:szCs w:val="20"/>
                <w:color w:val="auto"/>
              </w:rPr>
            </w:pPr>
            <w:r>
              <w:rPr>
                <w:rFonts w:ascii="Arial" w:cs="Arial" w:eastAsia="Arial" w:hAnsi="Arial"/>
                <w:sz w:val="14"/>
                <w:szCs w:val="14"/>
                <w:color w:val="auto"/>
              </w:rPr>
              <w:t>501</w:t>
            </w:r>
          </w:p>
        </w:tc>
        <w:tc>
          <w:tcPr>
            <w:tcW w:w="880" w:type="dxa"/>
            <w:vAlign w:val="bottom"/>
            <w:tcBorders>
              <w:bottom w:val="single" w:sz="8" w:color="auto"/>
            </w:tcBorders>
          </w:tcPr>
          <w:p>
            <w:pPr>
              <w:jc w:val="right"/>
              <w:ind w:right="131"/>
              <w:spacing w:after="0" w:line="155" w:lineRule="exact"/>
              <w:rPr>
                <w:sz w:val="20"/>
                <w:szCs w:val="20"/>
                <w:color w:val="auto"/>
              </w:rPr>
            </w:pPr>
            <w:r>
              <w:rPr>
                <w:rFonts w:ascii="Arial" w:cs="Arial" w:eastAsia="Arial" w:hAnsi="Arial"/>
                <w:sz w:val="14"/>
                <w:szCs w:val="14"/>
                <w:color w:val="auto"/>
              </w:rPr>
              <w:t>307</w:t>
            </w:r>
          </w:p>
        </w:tc>
        <w:tc>
          <w:tcPr>
            <w:tcW w:w="900" w:type="dxa"/>
            <w:vAlign w:val="bottom"/>
            <w:tcBorders>
              <w:bottom w:val="single" w:sz="8" w:color="auto"/>
            </w:tcBorders>
          </w:tcPr>
          <w:p>
            <w:pPr>
              <w:jc w:val="right"/>
              <w:ind w:right="131"/>
              <w:spacing w:after="0" w:line="155" w:lineRule="exact"/>
              <w:rPr>
                <w:sz w:val="20"/>
                <w:szCs w:val="20"/>
                <w:color w:val="auto"/>
              </w:rPr>
            </w:pPr>
            <w:r>
              <w:rPr>
                <w:rFonts w:ascii="Arial" w:cs="Arial" w:eastAsia="Arial" w:hAnsi="Arial"/>
                <w:sz w:val="14"/>
                <w:szCs w:val="14"/>
                <w:color w:val="auto"/>
              </w:rPr>
              <w:t>246</w:t>
            </w:r>
          </w:p>
        </w:tc>
        <w:tc>
          <w:tcPr>
            <w:tcW w:w="880" w:type="dxa"/>
            <w:vAlign w:val="bottom"/>
            <w:tcBorders>
              <w:bottom w:val="single" w:sz="8" w:color="auto"/>
            </w:tcBorders>
          </w:tcPr>
          <w:p>
            <w:pPr>
              <w:jc w:val="right"/>
              <w:ind w:right="111"/>
              <w:spacing w:after="0" w:line="155" w:lineRule="exact"/>
              <w:rPr>
                <w:sz w:val="20"/>
                <w:szCs w:val="20"/>
                <w:color w:val="auto"/>
              </w:rPr>
            </w:pPr>
            <w:r>
              <w:rPr>
                <w:rFonts w:ascii="Arial" w:cs="Arial" w:eastAsia="Arial" w:hAnsi="Arial"/>
                <w:sz w:val="14"/>
                <w:szCs w:val="14"/>
                <w:color w:val="auto"/>
              </w:rPr>
              <w:t>1,003</w:t>
            </w:r>
          </w:p>
        </w:tc>
        <w:tc>
          <w:tcPr>
            <w:tcW w:w="720" w:type="dxa"/>
            <w:vAlign w:val="bottom"/>
            <w:tcBorders>
              <w:bottom w:val="single" w:sz="8" w:color="auto"/>
            </w:tcBorders>
          </w:tcPr>
          <w:p>
            <w:pPr>
              <w:jc w:val="right"/>
              <w:ind w:right="10"/>
              <w:spacing w:after="0" w:line="155" w:lineRule="exact"/>
              <w:rPr>
                <w:sz w:val="20"/>
                <w:szCs w:val="20"/>
                <w:color w:val="auto"/>
              </w:rPr>
            </w:pPr>
            <w:r>
              <w:rPr>
                <w:rFonts w:ascii="Arial" w:cs="Arial" w:eastAsia="Arial" w:hAnsi="Arial"/>
                <w:sz w:val="14"/>
                <w:szCs w:val="14"/>
                <w:color w:val="auto"/>
              </w:rPr>
              <w:t>13,218</w:t>
            </w:r>
          </w:p>
        </w:tc>
        <w:tc>
          <w:tcPr>
            <w:tcW w:w="1240" w:type="dxa"/>
            <w:vAlign w:val="bottom"/>
            <w:tcBorders>
              <w:bottom w:val="single" w:sz="8" w:color="auto"/>
            </w:tcBorders>
          </w:tcPr>
          <w:p>
            <w:pPr>
              <w:jc w:val="right"/>
              <w:ind w:right="89"/>
              <w:spacing w:after="0" w:line="155" w:lineRule="exact"/>
              <w:rPr>
                <w:sz w:val="20"/>
                <w:szCs w:val="20"/>
                <w:color w:val="auto"/>
              </w:rPr>
            </w:pPr>
            <w:r>
              <w:rPr>
                <w:rFonts w:ascii="Arial" w:cs="Arial" w:eastAsia="Arial" w:hAnsi="Arial"/>
                <w:sz w:val="14"/>
                <w:szCs w:val="14"/>
                <w:color w:val="auto"/>
              </w:rPr>
              <w:t>(1,144)</w:t>
            </w:r>
          </w:p>
        </w:tc>
        <w:tc>
          <w:tcPr>
            <w:tcW w:w="740" w:type="dxa"/>
            <w:vAlign w:val="bottom"/>
            <w:tcBorders>
              <w:bottom w:val="single" w:sz="8" w:color="auto"/>
            </w:tcBorders>
          </w:tcPr>
          <w:p>
            <w:pPr>
              <w:jc w:val="right"/>
              <w:ind w:right="31"/>
              <w:spacing w:after="0" w:line="155" w:lineRule="exact"/>
              <w:rPr>
                <w:sz w:val="20"/>
                <w:szCs w:val="20"/>
                <w:color w:val="auto"/>
              </w:rPr>
            </w:pPr>
            <w:r>
              <w:rPr>
                <w:rFonts w:ascii="Arial" w:cs="Arial" w:eastAsia="Arial" w:hAnsi="Arial"/>
                <w:sz w:val="14"/>
                <w:szCs w:val="14"/>
                <w:color w:val="auto"/>
              </w:rPr>
              <w:t>12,074</w:t>
            </w:r>
          </w:p>
        </w:tc>
      </w:tr>
    </w:tbl>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3660" w:type="dxa"/>
            <w:vAlign w:val="bottom"/>
            <w:shd w:val="clear" w:color="auto" w:fill="333333"/>
          </w:tcPr>
          <w:p>
            <w:pPr>
              <w:ind w:left="80"/>
              <w:spacing w:after="0"/>
              <w:rPr>
                <w:sz w:val="20"/>
                <w:szCs w:val="20"/>
                <w:color w:val="auto"/>
              </w:rPr>
            </w:pPr>
            <w:r>
              <w:rPr>
                <w:rFonts w:ascii="Arial" w:cs="Arial" w:eastAsia="Arial" w:hAnsi="Arial"/>
                <w:sz w:val="15"/>
                <w:szCs w:val="15"/>
                <w:b w:val="1"/>
                <w:bCs w:val="1"/>
                <w:color w:val="FFFFFF"/>
              </w:rPr>
              <w:t>2013</w:t>
            </w:r>
          </w:p>
        </w:tc>
        <w:tc>
          <w:tcPr>
            <w:tcW w:w="820" w:type="dxa"/>
            <w:vAlign w:val="bottom"/>
            <w:shd w:val="clear" w:color="auto" w:fill="333333"/>
          </w:tcPr>
          <w:p>
            <w:pPr>
              <w:spacing w:after="0"/>
              <w:rPr>
                <w:sz w:val="15"/>
                <w:szCs w:val="15"/>
                <w:color w:val="auto"/>
              </w:rPr>
            </w:pPr>
          </w:p>
        </w:tc>
        <w:tc>
          <w:tcPr>
            <w:tcW w:w="860" w:type="dxa"/>
            <w:vAlign w:val="bottom"/>
            <w:shd w:val="clear" w:color="auto" w:fill="333333"/>
          </w:tcPr>
          <w:p>
            <w:pPr>
              <w:spacing w:after="0"/>
              <w:rPr>
                <w:sz w:val="15"/>
                <w:szCs w:val="15"/>
                <w:color w:val="auto"/>
              </w:rPr>
            </w:pPr>
          </w:p>
        </w:tc>
        <w:tc>
          <w:tcPr>
            <w:tcW w:w="860" w:type="dxa"/>
            <w:vAlign w:val="bottom"/>
            <w:shd w:val="clear" w:color="auto" w:fill="333333"/>
          </w:tcPr>
          <w:p>
            <w:pPr>
              <w:spacing w:after="0"/>
              <w:rPr>
                <w:sz w:val="15"/>
                <w:szCs w:val="15"/>
                <w:color w:val="auto"/>
              </w:rPr>
            </w:pPr>
          </w:p>
        </w:tc>
        <w:tc>
          <w:tcPr>
            <w:tcW w:w="860" w:type="dxa"/>
            <w:vAlign w:val="bottom"/>
            <w:shd w:val="clear" w:color="auto" w:fill="333333"/>
          </w:tcPr>
          <w:p>
            <w:pPr>
              <w:spacing w:after="0"/>
              <w:rPr>
                <w:sz w:val="15"/>
                <w:szCs w:val="15"/>
                <w:color w:val="auto"/>
              </w:rPr>
            </w:pPr>
          </w:p>
        </w:tc>
        <w:tc>
          <w:tcPr>
            <w:tcW w:w="880" w:type="dxa"/>
            <w:vAlign w:val="bottom"/>
            <w:shd w:val="clear" w:color="auto" w:fill="333333"/>
          </w:tcPr>
          <w:p>
            <w:pPr>
              <w:spacing w:after="0"/>
              <w:rPr>
                <w:sz w:val="15"/>
                <w:szCs w:val="15"/>
                <w:color w:val="auto"/>
              </w:rPr>
            </w:pPr>
          </w:p>
        </w:tc>
        <w:tc>
          <w:tcPr>
            <w:tcW w:w="860" w:type="dxa"/>
            <w:vAlign w:val="bottom"/>
            <w:shd w:val="clear" w:color="auto" w:fill="333333"/>
          </w:tcPr>
          <w:p>
            <w:pPr>
              <w:spacing w:after="0"/>
              <w:rPr>
                <w:sz w:val="15"/>
                <w:szCs w:val="15"/>
                <w:color w:val="auto"/>
              </w:rPr>
            </w:pPr>
          </w:p>
        </w:tc>
        <w:tc>
          <w:tcPr>
            <w:tcW w:w="640" w:type="dxa"/>
            <w:vAlign w:val="bottom"/>
            <w:shd w:val="clear" w:color="auto" w:fill="333333"/>
          </w:tcPr>
          <w:p>
            <w:pPr>
              <w:spacing w:after="0"/>
              <w:rPr>
                <w:sz w:val="15"/>
                <w:szCs w:val="15"/>
                <w:color w:val="auto"/>
              </w:rPr>
            </w:pPr>
          </w:p>
        </w:tc>
        <w:tc>
          <w:tcPr>
            <w:tcW w:w="1040" w:type="dxa"/>
            <w:vAlign w:val="bottom"/>
            <w:shd w:val="clear" w:color="auto" w:fill="333333"/>
          </w:tcPr>
          <w:p>
            <w:pPr>
              <w:spacing w:after="0"/>
              <w:rPr>
                <w:sz w:val="15"/>
                <w:szCs w:val="15"/>
                <w:color w:val="auto"/>
              </w:rPr>
            </w:pPr>
          </w:p>
        </w:tc>
        <w:tc>
          <w:tcPr>
            <w:tcW w:w="940" w:type="dxa"/>
            <w:vAlign w:val="bottom"/>
            <w:shd w:val="clear" w:color="auto" w:fill="333333"/>
          </w:tcPr>
          <w:p>
            <w:pPr>
              <w:jc w:val="right"/>
              <w:ind w:right="130"/>
              <w:spacing w:after="0"/>
              <w:rPr>
                <w:sz w:val="20"/>
                <w:szCs w:val="20"/>
                <w:color w:val="auto"/>
              </w:rPr>
            </w:pPr>
            <w:r>
              <w:rPr>
                <w:rFonts w:ascii="Arial" w:cs="Arial" w:eastAsia="Arial" w:hAnsi="Arial"/>
                <w:sz w:val="15"/>
                <w:szCs w:val="15"/>
                <w:color w:val="FFFFFF"/>
                <w:w w:val="99"/>
              </w:rPr>
              <w:t>$ MILLION</w:t>
            </w:r>
          </w:p>
        </w:tc>
      </w:tr>
      <w:tr>
        <w:trPr>
          <w:trHeight w:val="135"/>
        </w:trPr>
        <w:tc>
          <w:tcPr>
            <w:tcW w:w="3660" w:type="dxa"/>
            <w:vAlign w:val="bottom"/>
          </w:tcPr>
          <w:p>
            <w:pPr>
              <w:spacing w:after="0"/>
              <w:rPr>
                <w:sz w:val="11"/>
                <w:szCs w:val="11"/>
                <w:color w:val="auto"/>
              </w:rPr>
            </w:pPr>
          </w:p>
        </w:tc>
        <w:tc>
          <w:tcPr>
            <w:tcW w:w="82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spacing w:after="0"/>
              <w:rPr>
                <w:sz w:val="11"/>
                <w:szCs w:val="11"/>
                <w:color w:val="auto"/>
              </w:rPr>
            </w:pPr>
          </w:p>
        </w:tc>
        <w:tc>
          <w:tcPr>
            <w:tcW w:w="1500" w:type="dxa"/>
            <w:vAlign w:val="bottom"/>
            <w:tcBorders>
              <w:bottom w:val="single" w:sz="8" w:color="auto"/>
            </w:tcBorders>
            <w:gridSpan w:val="2"/>
          </w:tcPr>
          <w:p>
            <w:pPr>
              <w:jc w:val="right"/>
              <w:ind w:right="10"/>
              <w:spacing w:after="0" w:line="135" w:lineRule="exact"/>
              <w:rPr>
                <w:sz w:val="20"/>
                <w:szCs w:val="20"/>
                <w:color w:val="auto"/>
              </w:rPr>
            </w:pPr>
            <w:r>
              <w:rPr>
                <w:rFonts w:ascii="Arial" w:cs="Arial" w:eastAsia="Arial" w:hAnsi="Arial"/>
                <w:sz w:val="13"/>
                <w:szCs w:val="13"/>
                <w:color w:val="auto"/>
              </w:rPr>
              <w:t>Contractual maturities</w:t>
            </w:r>
          </w:p>
        </w:tc>
        <w:tc>
          <w:tcPr>
            <w:tcW w:w="1040" w:type="dxa"/>
            <w:vAlign w:val="bottom"/>
          </w:tcPr>
          <w:p>
            <w:pPr>
              <w:spacing w:after="0"/>
              <w:rPr>
                <w:sz w:val="11"/>
                <w:szCs w:val="11"/>
                <w:color w:val="auto"/>
              </w:rPr>
            </w:pPr>
          </w:p>
        </w:tc>
        <w:tc>
          <w:tcPr>
            <w:tcW w:w="940" w:type="dxa"/>
            <w:vAlign w:val="bottom"/>
          </w:tcPr>
          <w:p>
            <w:pPr>
              <w:spacing w:after="0"/>
              <w:rPr>
                <w:sz w:val="11"/>
                <w:szCs w:val="11"/>
                <w:color w:val="auto"/>
              </w:rPr>
            </w:pPr>
          </w:p>
        </w:tc>
      </w:tr>
      <w:tr>
        <w:trPr>
          <w:trHeight w:val="123"/>
        </w:trPr>
        <w:tc>
          <w:tcPr>
            <w:tcW w:w="3660" w:type="dxa"/>
            <w:vAlign w:val="bottom"/>
          </w:tcPr>
          <w:p>
            <w:pPr>
              <w:spacing w:after="0"/>
              <w:rPr>
                <w:sz w:val="10"/>
                <w:szCs w:val="10"/>
                <w:color w:val="auto"/>
              </w:rPr>
            </w:pPr>
          </w:p>
        </w:tc>
        <w:tc>
          <w:tcPr>
            <w:tcW w:w="820" w:type="dxa"/>
            <w:vAlign w:val="bottom"/>
          </w:tcPr>
          <w:p>
            <w:pPr>
              <w:jc w:val="right"/>
              <w:ind w:right="131"/>
              <w:spacing w:after="0" w:line="123" w:lineRule="exact"/>
              <w:rPr>
                <w:sz w:val="20"/>
                <w:szCs w:val="20"/>
                <w:color w:val="auto"/>
              </w:rPr>
            </w:pPr>
            <w:r>
              <w:rPr>
                <w:rFonts w:ascii="Arial" w:cs="Arial" w:eastAsia="Arial" w:hAnsi="Arial"/>
                <w:sz w:val="13"/>
                <w:szCs w:val="13"/>
                <w:color w:val="auto"/>
              </w:rPr>
              <w:t>Less</w:t>
            </w:r>
          </w:p>
        </w:tc>
        <w:tc>
          <w:tcPr>
            <w:tcW w:w="860" w:type="dxa"/>
            <w:vAlign w:val="bottom"/>
          </w:tcPr>
          <w:p>
            <w:pPr>
              <w:jc w:val="right"/>
              <w:ind w:right="111"/>
              <w:spacing w:after="0" w:line="123" w:lineRule="exact"/>
              <w:rPr>
                <w:sz w:val="20"/>
                <w:szCs w:val="20"/>
                <w:color w:val="auto"/>
              </w:rPr>
            </w:pPr>
            <w:r>
              <w:rPr>
                <w:rFonts w:ascii="Arial" w:cs="Arial" w:eastAsia="Arial" w:hAnsi="Arial"/>
                <w:sz w:val="13"/>
                <w:szCs w:val="13"/>
                <w:color w:val="auto"/>
              </w:rPr>
              <w:t>Between</w:t>
            </w:r>
          </w:p>
        </w:tc>
        <w:tc>
          <w:tcPr>
            <w:tcW w:w="860" w:type="dxa"/>
            <w:vAlign w:val="bottom"/>
          </w:tcPr>
          <w:p>
            <w:pPr>
              <w:jc w:val="right"/>
              <w:ind w:right="111"/>
              <w:spacing w:after="0" w:line="123" w:lineRule="exact"/>
              <w:rPr>
                <w:sz w:val="20"/>
                <w:szCs w:val="20"/>
                <w:color w:val="auto"/>
              </w:rPr>
            </w:pPr>
            <w:r>
              <w:rPr>
                <w:rFonts w:ascii="Arial" w:cs="Arial" w:eastAsia="Arial" w:hAnsi="Arial"/>
                <w:sz w:val="13"/>
                <w:szCs w:val="13"/>
                <w:color w:val="auto"/>
              </w:rPr>
              <w:t>Between</w:t>
            </w:r>
          </w:p>
        </w:tc>
        <w:tc>
          <w:tcPr>
            <w:tcW w:w="860" w:type="dxa"/>
            <w:vAlign w:val="bottom"/>
          </w:tcPr>
          <w:p>
            <w:pPr>
              <w:jc w:val="right"/>
              <w:ind w:right="111"/>
              <w:spacing w:after="0" w:line="123" w:lineRule="exact"/>
              <w:rPr>
                <w:sz w:val="20"/>
                <w:szCs w:val="20"/>
                <w:color w:val="auto"/>
              </w:rPr>
            </w:pPr>
            <w:r>
              <w:rPr>
                <w:rFonts w:ascii="Arial" w:cs="Arial" w:eastAsia="Arial" w:hAnsi="Arial"/>
                <w:sz w:val="13"/>
                <w:szCs w:val="13"/>
                <w:color w:val="auto"/>
              </w:rPr>
              <w:t>Between</w:t>
            </w:r>
          </w:p>
        </w:tc>
        <w:tc>
          <w:tcPr>
            <w:tcW w:w="880" w:type="dxa"/>
            <w:vAlign w:val="bottom"/>
          </w:tcPr>
          <w:p>
            <w:pPr>
              <w:jc w:val="right"/>
              <w:ind w:right="131"/>
              <w:spacing w:after="0" w:line="123" w:lineRule="exact"/>
              <w:rPr>
                <w:sz w:val="20"/>
                <w:szCs w:val="20"/>
                <w:color w:val="auto"/>
              </w:rPr>
            </w:pPr>
            <w:r>
              <w:rPr>
                <w:rFonts w:ascii="Arial" w:cs="Arial" w:eastAsia="Arial" w:hAnsi="Arial"/>
                <w:sz w:val="13"/>
                <w:szCs w:val="13"/>
                <w:color w:val="auto"/>
              </w:rPr>
              <w:t>Between</w:t>
            </w:r>
          </w:p>
        </w:tc>
        <w:tc>
          <w:tcPr>
            <w:tcW w:w="8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940" w:type="dxa"/>
            <w:vAlign w:val="bottom"/>
          </w:tcPr>
          <w:p>
            <w:pPr>
              <w:spacing w:after="0"/>
              <w:rPr>
                <w:sz w:val="10"/>
                <w:szCs w:val="10"/>
                <w:color w:val="auto"/>
              </w:rPr>
            </w:pPr>
          </w:p>
        </w:tc>
      </w:tr>
      <w:tr>
        <w:trPr>
          <w:trHeight w:val="135"/>
        </w:trPr>
        <w:tc>
          <w:tcPr>
            <w:tcW w:w="3660" w:type="dxa"/>
            <w:vAlign w:val="bottom"/>
          </w:tcPr>
          <w:p>
            <w:pPr>
              <w:spacing w:after="0"/>
              <w:rPr>
                <w:sz w:val="11"/>
                <w:szCs w:val="11"/>
                <w:color w:val="auto"/>
              </w:rPr>
            </w:pPr>
          </w:p>
        </w:tc>
        <w:tc>
          <w:tcPr>
            <w:tcW w:w="820" w:type="dxa"/>
            <w:vAlign w:val="bottom"/>
          </w:tcPr>
          <w:p>
            <w:pPr>
              <w:jc w:val="right"/>
              <w:ind w:right="131"/>
              <w:spacing w:after="0" w:line="135" w:lineRule="exact"/>
              <w:rPr>
                <w:sz w:val="20"/>
                <w:szCs w:val="20"/>
                <w:color w:val="auto"/>
              </w:rPr>
            </w:pPr>
            <w:r>
              <w:rPr>
                <w:rFonts w:ascii="Arial" w:cs="Arial" w:eastAsia="Arial" w:hAnsi="Arial"/>
                <w:sz w:val="13"/>
                <w:szCs w:val="13"/>
                <w:color w:val="auto"/>
              </w:rPr>
              <w:t>than</w:t>
            </w:r>
          </w:p>
        </w:tc>
        <w:tc>
          <w:tcPr>
            <w:tcW w:w="860" w:type="dxa"/>
            <w:vAlign w:val="bottom"/>
          </w:tcPr>
          <w:p>
            <w:pPr>
              <w:jc w:val="right"/>
              <w:ind w:right="111"/>
              <w:spacing w:after="0" w:line="135" w:lineRule="exact"/>
              <w:rPr>
                <w:sz w:val="20"/>
                <w:szCs w:val="20"/>
                <w:color w:val="auto"/>
              </w:rPr>
            </w:pPr>
            <w:r>
              <w:rPr>
                <w:rFonts w:ascii="Arial" w:cs="Arial" w:eastAsia="Arial" w:hAnsi="Arial"/>
                <w:sz w:val="13"/>
                <w:szCs w:val="13"/>
                <w:color w:val="auto"/>
              </w:rPr>
              <w:t>1 and 2</w:t>
            </w:r>
          </w:p>
        </w:tc>
        <w:tc>
          <w:tcPr>
            <w:tcW w:w="860" w:type="dxa"/>
            <w:vAlign w:val="bottom"/>
          </w:tcPr>
          <w:p>
            <w:pPr>
              <w:jc w:val="right"/>
              <w:ind w:right="111"/>
              <w:spacing w:after="0" w:line="135" w:lineRule="exact"/>
              <w:rPr>
                <w:sz w:val="20"/>
                <w:szCs w:val="20"/>
                <w:color w:val="auto"/>
              </w:rPr>
            </w:pPr>
            <w:r>
              <w:rPr>
                <w:rFonts w:ascii="Arial" w:cs="Arial" w:eastAsia="Arial" w:hAnsi="Arial"/>
                <w:sz w:val="13"/>
                <w:szCs w:val="13"/>
                <w:color w:val="auto"/>
              </w:rPr>
              <w:t>2 and 3</w:t>
            </w:r>
          </w:p>
        </w:tc>
        <w:tc>
          <w:tcPr>
            <w:tcW w:w="860" w:type="dxa"/>
            <w:vAlign w:val="bottom"/>
          </w:tcPr>
          <w:p>
            <w:pPr>
              <w:jc w:val="right"/>
              <w:ind w:right="111"/>
              <w:spacing w:after="0" w:line="135" w:lineRule="exact"/>
              <w:rPr>
                <w:sz w:val="20"/>
                <w:szCs w:val="20"/>
                <w:color w:val="auto"/>
              </w:rPr>
            </w:pPr>
            <w:r>
              <w:rPr>
                <w:rFonts w:ascii="Arial" w:cs="Arial" w:eastAsia="Arial" w:hAnsi="Arial"/>
                <w:sz w:val="13"/>
                <w:szCs w:val="13"/>
                <w:color w:val="auto"/>
              </w:rPr>
              <w:t>3 and 4</w:t>
            </w:r>
          </w:p>
        </w:tc>
        <w:tc>
          <w:tcPr>
            <w:tcW w:w="880" w:type="dxa"/>
            <w:vAlign w:val="bottom"/>
          </w:tcPr>
          <w:p>
            <w:pPr>
              <w:jc w:val="right"/>
              <w:ind w:right="131"/>
              <w:spacing w:after="0" w:line="135" w:lineRule="exact"/>
              <w:rPr>
                <w:sz w:val="20"/>
                <w:szCs w:val="20"/>
                <w:color w:val="auto"/>
              </w:rPr>
            </w:pPr>
            <w:r>
              <w:rPr>
                <w:rFonts w:ascii="Arial" w:cs="Arial" w:eastAsia="Arial" w:hAnsi="Arial"/>
                <w:sz w:val="13"/>
                <w:szCs w:val="13"/>
                <w:color w:val="auto"/>
              </w:rPr>
              <w:t>4 and 5</w:t>
            </w:r>
          </w:p>
        </w:tc>
        <w:tc>
          <w:tcPr>
            <w:tcW w:w="860" w:type="dxa"/>
            <w:vAlign w:val="bottom"/>
          </w:tcPr>
          <w:p>
            <w:pPr>
              <w:jc w:val="right"/>
              <w:ind w:right="111"/>
              <w:spacing w:after="0" w:line="135" w:lineRule="exact"/>
              <w:rPr>
                <w:sz w:val="20"/>
                <w:szCs w:val="20"/>
                <w:color w:val="auto"/>
              </w:rPr>
            </w:pPr>
            <w:r>
              <w:rPr>
                <w:rFonts w:ascii="Arial" w:cs="Arial" w:eastAsia="Arial" w:hAnsi="Arial"/>
                <w:sz w:val="13"/>
                <w:szCs w:val="13"/>
                <w:color w:val="auto"/>
              </w:rPr>
              <w:t>5 years</w:t>
            </w:r>
          </w:p>
        </w:tc>
        <w:tc>
          <w:tcPr>
            <w:tcW w:w="6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940" w:type="dxa"/>
            <w:vAlign w:val="bottom"/>
          </w:tcPr>
          <w:p>
            <w:pPr>
              <w:jc w:val="right"/>
              <w:ind w:right="30"/>
              <w:spacing w:after="0" w:line="135" w:lineRule="exact"/>
              <w:rPr>
                <w:sz w:val="20"/>
                <w:szCs w:val="20"/>
                <w:color w:val="auto"/>
              </w:rPr>
            </w:pPr>
            <w:r>
              <w:rPr>
                <w:rFonts w:ascii="Arial" w:cs="Arial" w:eastAsia="Arial" w:hAnsi="Arial"/>
                <w:sz w:val="13"/>
                <w:szCs w:val="13"/>
                <w:color w:val="auto"/>
              </w:rPr>
              <w:t>Carrying</w:t>
            </w:r>
          </w:p>
        </w:tc>
      </w:tr>
      <w:tr>
        <w:trPr>
          <w:trHeight w:val="141"/>
        </w:trPr>
        <w:tc>
          <w:tcPr>
            <w:tcW w:w="366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131"/>
              <w:spacing w:after="0" w:line="141" w:lineRule="exact"/>
              <w:rPr>
                <w:sz w:val="20"/>
                <w:szCs w:val="20"/>
                <w:color w:val="auto"/>
              </w:rPr>
            </w:pPr>
            <w:r>
              <w:rPr>
                <w:rFonts w:ascii="Arial" w:cs="Arial" w:eastAsia="Arial" w:hAnsi="Arial"/>
                <w:sz w:val="13"/>
                <w:szCs w:val="13"/>
                <w:color w:val="auto"/>
              </w:rPr>
              <w:t>1 year</w:t>
            </w:r>
          </w:p>
        </w:tc>
        <w:tc>
          <w:tcPr>
            <w:tcW w:w="860" w:type="dxa"/>
            <w:vAlign w:val="bottom"/>
            <w:tcBorders>
              <w:bottom w:val="single" w:sz="8" w:color="auto"/>
            </w:tcBorders>
          </w:tcPr>
          <w:p>
            <w:pPr>
              <w:jc w:val="right"/>
              <w:ind w:right="111"/>
              <w:spacing w:after="0" w:line="141" w:lineRule="exact"/>
              <w:rPr>
                <w:sz w:val="20"/>
                <w:szCs w:val="20"/>
                <w:color w:val="auto"/>
              </w:rPr>
            </w:pPr>
            <w:r>
              <w:rPr>
                <w:rFonts w:ascii="Arial" w:cs="Arial" w:eastAsia="Arial" w:hAnsi="Arial"/>
                <w:sz w:val="13"/>
                <w:szCs w:val="13"/>
                <w:color w:val="auto"/>
              </w:rPr>
              <w:t>years</w:t>
            </w:r>
          </w:p>
        </w:tc>
        <w:tc>
          <w:tcPr>
            <w:tcW w:w="860" w:type="dxa"/>
            <w:vAlign w:val="bottom"/>
            <w:tcBorders>
              <w:bottom w:val="single" w:sz="8" w:color="auto"/>
            </w:tcBorders>
          </w:tcPr>
          <w:p>
            <w:pPr>
              <w:jc w:val="right"/>
              <w:ind w:right="111"/>
              <w:spacing w:after="0" w:line="141" w:lineRule="exact"/>
              <w:rPr>
                <w:sz w:val="20"/>
                <w:szCs w:val="20"/>
                <w:color w:val="auto"/>
              </w:rPr>
            </w:pPr>
            <w:r>
              <w:rPr>
                <w:rFonts w:ascii="Arial" w:cs="Arial" w:eastAsia="Arial" w:hAnsi="Arial"/>
                <w:sz w:val="13"/>
                <w:szCs w:val="13"/>
                <w:color w:val="auto"/>
              </w:rPr>
              <w:t>years</w:t>
            </w:r>
          </w:p>
        </w:tc>
        <w:tc>
          <w:tcPr>
            <w:tcW w:w="860" w:type="dxa"/>
            <w:vAlign w:val="bottom"/>
            <w:tcBorders>
              <w:bottom w:val="single" w:sz="8" w:color="auto"/>
            </w:tcBorders>
          </w:tcPr>
          <w:p>
            <w:pPr>
              <w:jc w:val="right"/>
              <w:ind w:right="111"/>
              <w:spacing w:after="0" w:line="141" w:lineRule="exact"/>
              <w:rPr>
                <w:sz w:val="20"/>
                <w:szCs w:val="20"/>
                <w:color w:val="auto"/>
              </w:rPr>
            </w:pPr>
            <w:r>
              <w:rPr>
                <w:rFonts w:ascii="Arial" w:cs="Arial" w:eastAsia="Arial" w:hAnsi="Arial"/>
                <w:sz w:val="13"/>
                <w:szCs w:val="13"/>
                <w:color w:val="auto"/>
              </w:rPr>
              <w:t>years</w:t>
            </w:r>
          </w:p>
        </w:tc>
        <w:tc>
          <w:tcPr>
            <w:tcW w:w="880" w:type="dxa"/>
            <w:vAlign w:val="bottom"/>
            <w:tcBorders>
              <w:bottom w:val="single" w:sz="8" w:color="auto"/>
            </w:tcBorders>
          </w:tcPr>
          <w:p>
            <w:pPr>
              <w:jc w:val="right"/>
              <w:ind w:right="131"/>
              <w:spacing w:after="0" w:line="141" w:lineRule="exact"/>
              <w:rPr>
                <w:sz w:val="20"/>
                <w:szCs w:val="20"/>
                <w:color w:val="auto"/>
              </w:rPr>
            </w:pPr>
            <w:r>
              <w:rPr>
                <w:rFonts w:ascii="Arial" w:cs="Arial" w:eastAsia="Arial" w:hAnsi="Arial"/>
                <w:sz w:val="13"/>
                <w:szCs w:val="13"/>
                <w:color w:val="auto"/>
              </w:rPr>
              <w:t>years</w:t>
            </w:r>
          </w:p>
        </w:tc>
        <w:tc>
          <w:tcPr>
            <w:tcW w:w="860" w:type="dxa"/>
            <w:vAlign w:val="bottom"/>
            <w:tcBorders>
              <w:bottom w:val="single" w:sz="8" w:color="auto"/>
            </w:tcBorders>
          </w:tcPr>
          <w:p>
            <w:pPr>
              <w:jc w:val="right"/>
              <w:ind w:right="111"/>
              <w:spacing w:after="0" w:line="141" w:lineRule="exact"/>
              <w:rPr>
                <w:sz w:val="20"/>
                <w:szCs w:val="20"/>
                <w:color w:val="auto"/>
              </w:rPr>
            </w:pPr>
            <w:r>
              <w:rPr>
                <w:rFonts w:ascii="Arial" w:cs="Arial" w:eastAsia="Arial" w:hAnsi="Arial"/>
                <w:sz w:val="13"/>
                <w:szCs w:val="13"/>
                <w:color w:val="auto"/>
              </w:rPr>
              <w:t>and later</w:t>
            </w:r>
          </w:p>
        </w:tc>
        <w:tc>
          <w:tcPr>
            <w:tcW w:w="640" w:type="dxa"/>
            <w:vAlign w:val="bottom"/>
            <w:tcBorders>
              <w:bottom w:val="single" w:sz="8" w:color="auto"/>
            </w:tcBorders>
          </w:tcPr>
          <w:p>
            <w:pPr>
              <w:jc w:val="right"/>
              <w:ind w:right="10"/>
              <w:spacing w:after="0" w:line="141" w:lineRule="exact"/>
              <w:rPr>
                <w:sz w:val="20"/>
                <w:szCs w:val="20"/>
                <w:color w:val="auto"/>
              </w:rPr>
            </w:pPr>
            <w:r>
              <w:rPr>
                <w:rFonts w:ascii="Arial" w:cs="Arial" w:eastAsia="Arial" w:hAnsi="Arial"/>
                <w:sz w:val="13"/>
                <w:szCs w:val="13"/>
                <w:color w:val="auto"/>
              </w:rPr>
              <w:t>Total</w:t>
            </w:r>
          </w:p>
        </w:tc>
        <w:tc>
          <w:tcPr>
            <w:tcW w:w="1040" w:type="dxa"/>
            <w:vAlign w:val="bottom"/>
            <w:tcBorders>
              <w:bottom w:val="single" w:sz="8" w:color="auto"/>
            </w:tcBorders>
          </w:tcPr>
          <w:p>
            <w:pPr>
              <w:jc w:val="right"/>
              <w:spacing w:after="0" w:line="141" w:lineRule="exact"/>
              <w:rPr>
                <w:sz w:val="20"/>
                <w:szCs w:val="20"/>
                <w:color w:val="auto"/>
              </w:rPr>
            </w:pPr>
            <w:r>
              <w:rPr>
                <w:rFonts w:ascii="Arial" w:cs="Arial" w:eastAsia="Arial" w:hAnsi="Arial"/>
                <w:sz w:val="13"/>
                <w:szCs w:val="13"/>
                <w:color w:val="auto"/>
              </w:rPr>
              <w:t>Discounting</w:t>
            </w:r>
          </w:p>
        </w:tc>
        <w:tc>
          <w:tcPr>
            <w:tcW w:w="940" w:type="dxa"/>
            <w:vAlign w:val="bottom"/>
            <w:tcBorders>
              <w:bottom w:val="single" w:sz="8" w:color="auto"/>
            </w:tcBorders>
          </w:tcPr>
          <w:p>
            <w:pPr>
              <w:jc w:val="right"/>
              <w:ind w:right="30"/>
              <w:spacing w:after="0" w:line="141" w:lineRule="exact"/>
              <w:rPr>
                <w:sz w:val="20"/>
                <w:szCs w:val="20"/>
                <w:color w:val="auto"/>
              </w:rPr>
            </w:pPr>
            <w:r>
              <w:rPr>
                <w:rFonts w:ascii="Arial" w:cs="Arial" w:eastAsia="Arial" w:hAnsi="Arial"/>
                <w:sz w:val="13"/>
                <w:szCs w:val="13"/>
                <w:color w:val="auto"/>
              </w:rPr>
              <w:t>amount</w:t>
            </w:r>
          </w:p>
        </w:tc>
      </w:tr>
      <w:tr>
        <w:trPr>
          <w:trHeight w:val="160"/>
        </w:trPr>
        <w:tc>
          <w:tcPr>
            <w:tcW w:w="3660" w:type="dxa"/>
            <w:vAlign w:val="bottom"/>
          </w:tcPr>
          <w:p>
            <w:pPr>
              <w:spacing w:after="0"/>
              <w:rPr>
                <w:sz w:val="20"/>
                <w:szCs w:val="20"/>
                <w:color w:val="auto"/>
              </w:rPr>
            </w:pPr>
            <w:r>
              <w:rPr>
                <w:rFonts w:ascii="Arial" w:cs="Arial" w:eastAsia="Arial" w:hAnsi="Arial"/>
                <w:sz w:val="14"/>
                <w:szCs w:val="14"/>
                <w:color w:val="auto"/>
              </w:rPr>
              <w:t>Forward foreign exchange contracts</w:t>
            </w:r>
          </w:p>
        </w:tc>
        <w:tc>
          <w:tcPr>
            <w:tcW w:w="820" w:type="dxa"/>
            <w:vAlign w:val="bottom"/>
          </w:tcPr>
          <w:p>
            <w:pPr>
              <w:jc w:val="right"/>
              <w:ind w:right="131"/>
              <w:spacing w:after="0"/>
              <w:rPr>
                <w:sz w:val="20"/>
                <w:szCs w:val="20"/>
                <w:color w:val="auto"/>
              </w:rPr>
            </w:pPr>
            <w:r>
              <w:rPr>
                <w:rFonts w:ascii="Arial" w:cs="Arial" w:eastAsia="Arial" w:hAnsi="Arial"/>
                <w:sz w:val="14"/>
                <w:szCs w:val="14"/>
                <w:color w:val="auto"/>
              </w:rPr>
              <w:t>105</w:t>
            </w:r>
          </w:p>
        </w:tc>
        <w:tc>
          <w:tcPr>
            <w:tcW w:w="860" w:type="dxa"/>
            <w:vAlign w:val="bottom"/>
          </w:tcPr>
          <w:p>
            <w:pPr>
              <w:jc w:val="right"/>
              <w:ind w:right="111"/>
              <w:spacing w:after="0"/>
              <w:rPr>
                <w:sz w:val="20"/>
                <w:szCs w:val="20"/>
                <w:color w:val="auto"/>
              </w:rPr>
            </w:pPr>
            <w:r>
              <w:rPr>
                <w:rFonts w:ascii="Arial" w:cs="Arial" w:eastAsia="Arial" w:hAnsi="Arial"/>
                <w:sz w:val="14"/>
                <w:szCs w:val="14"/>
                <w:color w:val="auto"/>
              </w:rPr>
              <w:t>33</w:t>
            </w:r>
          </w:p>
        </w:tc>
        <w:tc>
          <w:tcPr>
            <w:tcW w:w="860" w:type="dxa"/>
            <w:vAlign w:val="bottom"/>
          </w:tcPr>
          <w:p>
            <w:pPr>
              <w:jc w:val="right"/>
              <w:ind w:right="111"/>
              <w:spacing w:after="0"/>
              <w:rPr>
                <w:sz w:val="20"/>
                <w:szCs w:val="20"/>
                <w:color w:val="auto"/>
              </w:rPr>
            </w:pPr>
            <w:r>
              <w:rPr>
                <w:rFonts w:ascii="Arial" w:cs="Arial" w:eastAsia="Arial" w:hAnsi="Arial"/>
                <w:sz w:val="14"/>
                <w:szCs w:val="14"/>
                <w:color w:val="auto"/>
              </w:rPr>
              <w:t>2</w:t>
            </w:r>
          </w:p>
        </w:tc>
        <w:tc>
          <w:tcPr>
            <w:tcW w:w="860" w:type="dxa"/>
            <w:vAlign w:val="bottom"/>
          </w:tcPr>
          <w:p>
            <w:pPr>
              <w:jc w:val="right"/>
              <w:ind w:right="111"/>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131"/>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111"/>
              <w:spacing w:after="0"/>
              <w:rPr>
                <w:sz w:val="20"/>
                <w:szCs w:val="20"/>
                <w:color w:val="auto"/>
              </w:rPr>
            </w:pPr>
            <w:r>
              <w:rPr>
                <w:rFonts w:ascii="Arial" w:cs="Arial" w:eastAsia="Arial" w:hAnsi="Arial"/>
                <w:sz w:val="14"/>
                <w:szCs w:val="14"/>
                <w:color w:val="auto"/>
              </w:rPr>
              <w:t>–</w:t>
            </w:r>
          </w:p>
        </w:tc>
        <w:tc>
          <w:tcPr>
            <w:tcW w:w="640" w:type="dxa"/>
            <w:vAlign w:val="bottom"/>
          </w:tcPr>
          <w:p>
            <w:pPr>
              <w:jc w:val="right"/>
              <w:ind w:right="10"/>
              <w:spacing w:after="0"/>
              <w:rPr>
                <w:sz w:val="20"/>
                <w:szCs w:val="20"/>
                <w:color w:val="auto"/>
              </w:rPr>
            </w:pPr>
            <w:r>
              <w:rPr>
                <w:rFonts w:ascii="Arial" w:cs="Arial" w:eastAsia="Arial" w:hAnsi="Arial"/>
                <w:sz w:val="14"/>
                <w:szCs w:val="14"/>
                <w:color w:val="auto"/>
              </w:rPr>
              <w:t>140</w:t>
            </w:r>
          </w:p>
        </w:tc>
        <w:tc>
          <w:tcPr>
            <w:tcW w:w="1040" w:type="dxa"/>
            <w:vAlign w:val="bottom"/>
          </w:tcPr>
          <w:p>
            <w:pPr>
              <w:jc w:val="right"/>
              <w:spacing w:after="0"/>
              <w:rPr>
                <w:sz w:val="20"/>
                <w:szCs w:val="20"/>
                <w:color w:val="auto"/>
              </w:rPr>
            </w:pPr>
            <w:r>
              <w:rPr>
                <w:rFonts w:ascii="Arial" w:cs="Arial" w:eastAsia="Arial" w:hAnsi="Arial"/>
                <w:sz w:val="14"/>
                <w:szCs w:val="14"/>
                <w:color w:val="auto"/>
              </w:rPr>
              <w:t>(1)</w:t>
            </w:r>
          </w:p>
        </w:tc>
        <w:tc>
          <w:tcPr>
            <w:tcW w:w="940" w:type="dxa"/>
            <w:vAlign w:val="bottom"/>
          </w:tcPr>
          <w:p>
            <w:pPr>
              <w:jc w:val="right"/>
              <w:ind w:right="30"/>
              <w:spacing w:after="0"/>
              <w:rPr>
                <w:sz w:val="20"/>
                <w:szCs w:val="20"/>
                <w:color w:val="auto"/>
              </w:rPr>
            </w:pPr>
            <w:r>
              <w:rPr>
                <w:rFonts w:ascii="Arial" w:cs="Arial" w:eastAsia="Arial" w:hAnsi="Arial"/>
                <w:sz w:val="14"/>
                <w:szCs w:val="14"/>
                <w:color w:val="auto"/>
              </w:rPr>
              <w:t>139</w:t>
            </w:r>
          </w:p>
        </w:tc>
      </w:tr>
      <w:tr>
        <w:trPr>
          <w:trHeight w:val="162"/>
        </w:trPr>
        <w:tc>
          <w:tcPr>
            <w:tcW w:w="3660" w:type="dxa"/>
            <w:vAlign w:val="bottom"/>
          </w:tcPr>
          <w:p>
            <w:pPr>
              <w:spacing w:after="0"/>
              <w:rPr>
                <w:sz w:val="20"/>
                <w:szCs w:val="20"/>
                <w:color w:val="auto"/>
              </w:rPr>
            </w:pPr>
            <w:r>
              <w:rPr>
                <w:rFonts w:ascii="Arial" w:cs="Arial" w:eastAsia="Arial" w:hAnsi="Arial"/>
                <w:sz w:val="14"/>
                <w:szCs w:val="14"/>
                <w:color w:val="auto"/>
              </w:rPr>
              <w:t>Currency swaps</w:t>
            </w:r>
          </w:p>
        </w:tc>
        <w:tc>
          <w:tcPr>
            <w:tcW w:w="820" w:type="dxa"/>
            <w:vAlign w:val="bottom"/>
          </w:tcPr>
          <w:p>
            <w:pPr>
              <w:jc w:val="right"/>
              <w:ind w:right="131"/>
              <w:spacing w:after="0"/>
              <w:rPr>
                <w:sz w:val="20"/>
                <w:szCs w:val="20"/>
                <w:color w:val="auto"/>
              </w:rPr>
            </w:pPr>
            <w:r>
              <w:rPr>
                <w:rFonts w:ascii="Arial" w:cs="Arial" w:eastAsia="Arial" w:hAnsi="Arial"/>
                <w:sz w:val="14"/>
                <w:szCs w:val="14"/>
                <w:color w:val="auto"/>
              </w:rPr>
              <w:t>1</w:t>
            </w:r>
          </w:p>
        </w:tc>
        <w:tc>
          <w:tcPr>
            <w:tcW w:w="860" w:type="dxa"/>
            <w:vAlign w:val="bottom"/>
          </w:tcPr>
          <w:p>
            <w:pPr>
              <w:jc w:val="right"/>
              <w:ind w:right="111"/>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111"/>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111"/>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131"/>
              <w:spacing w:after="0"/>
              <w:rPr>
                <w:sz w:val="20"/>
                <w:szCs w:val="20"/>
                <w:color w:val="auto"/>
              </w:rPr>
            </w:pPr>
            <w:r>
              <w:rPr>
                <w:rFonts w:ascii="Arial" w:cs="Arial" w:eastAsia="Arial" w:hAnsi="Arial"/>
                <w:sz w:val="14"/>
                <w:szCs w:val="14"/>
                <w:color w:val="auto"/>
              </w:rPr>
              <w:t>6</w:t>
            </w:r>
          </w:p>
        </w:tc>
        <w:tc>
          <w:tcPr>
            <w:tcW w:w="860" w:type="dxa"/>
            <w:vAlign w:val="bottom"/>
          </w:tcPr>
          <w:p>
            <w:pPr>
              <w:jc w:val="right"/>
              <w:ind w:right="111"/>
              <w:spacing w:after="0"/>
              <w:rPr>
                <w:sz w:val="20"/>
                <w:szCs w:val="20"/>
                <w:color w:val="auto"/>
              </w:rPr>
            </w:pPr>
            <w:r>
              <w:rPr>
                <w:rFonts w:ascii="Arial" w:cs="Arial" w:eastAsia="Arial" w:hAnsi="Arial"/>
                <w:sz w:val="14"/>
                <w:szCs w:val="14"/>
                <w:color w:val="auto"/>
              </w:rPr>
              <w:t>28</w:t>
            </w:r>
          </w:p>
        </w:tc>
        <w:tc>
          <w:tcPr>
            <w:tcW w:w="640" w:type="dxa"/>
            <w:vAlign w:val="bottom"/>
          </w:tcPr>
          <w:p>
            <w:pPr>
              <w:jc w:val="right"/>
              <w:ind w:right="10"/>
              <w:spacing w:after="0"/>
              <w:rPr>
                <w:sz w:val="20"/>
                <w:szCs w:val="20"/>
                <w:color w:val="auto"/>
              </w:rPr>
            </w:pPr>
            <w:r>
              <w:rPr>
                <w:rFonts w:ascii="Arial" w:cs="Arial" w:eastAsia="Arial" w:hAnsi="Arial"/>
                <w:sz w:val="14"/>
                <w:szCs w:val="14"/>
                <w:color w:val="auto"/>
              </w:rPr>
              <w:t>35</w:t>
            </w:r>
          </w:p>
        </w:tc>
        <w:tc>
          <w:tcPr>
            <w:tcW w:w="1040" w:type="dxa"/>
            <w:vAlign w:val="bottom"/>
          </w:tcPr>
          <w:p>
            <w:pPr>
              <w:jc w:val="right"/>
              <w:spacing w:after="0"/>
              <w:rPr>
                <w:sz w:val="20"/>
                <w:szCs w:val="20"/>
                <w:color w:val="auto"/>
              </w:rPr>
            </w:pPr>
            <w:r>
              <w:rPr>
                <w:rFonts w:ascii="Arial" w:cs="Arial" w:eastAsia="Arial" w:hAnsi="Arial"/>
                <w:sz w:val="14"/>
                <w:szCs w:val="14"/>
                <w:color w:val="auto"/>
              </w:rPr>
              <w:t>(19)</w:t>
            </w:r>
          </w:p>
        </w:tc>
        <w:tc>
          <w:tcPr>
            <w:tcW w:w="940" w:type="dxa"/>
            <w:vAlign w:val="bottom"/>
          </w:tcPr>
          <w:p>
            <w:pPr>
              <w:jc w:val="right"/>
              <w:ind w:right="30"/>
              <w:spacing w:after="0"/>
              <w:rPr>
                <w:sz w:val="20"/>
                <w:szCs w:val="20"/>
                <w:color w:val="auto"/>
              </w:rPr>
            </w:pPr>
            <w:r>
              <w:rPr>
                <w:rFonts w:ascii="Arial" w:cs="Arial" w:eastAsia="Arial" w:hAnsi="Arial"/>
                <w:sz w:val="14"/>
                <w:szCs w:val="14"/>
                <w:color w:val="auto"/>
              </w:rPr>
              <w:t>16</w:t>
            </w:r>
          </w:p>
        </w:tc>
      </w:tr>
      <w:tr>
        <w:trPr>
          <w:trHeight w:val="162"/>
        </w:trPr>
        <w:tc>
          <w:tcPr>
            <w:tcW w:w="3660" w:type="dxa"/>
            <w:vAlign w:val="bottom"/>
          </w:tcPr>
          <w:p>
            <w:pPr>
              <w:spacing w:after="0"/>
              <w:rPr>
                <w:sz w:val="20"/>
                <w:szCs w:val="20"/>
                <w:color w:val="auto"/>
              </w:rPr>
            </w:pPr>
            <w:r>
              <w:rPr>
                <w:rFonts w:ascii="Arial" w:cs="Arial" w:eastAsia="Arial" w:hAnsi="Arial"/>
                <w:sz w:val="14"/>
                <w:szCs w:val="14"/>
                <w:color w:val="auto"/>
              </w:rPr>
              <w:t>Commodity derivatives</w:t>
            </w:r>
          </w:p>
        </w:tc>
        <w:tc>
          <w:tcPr>
            <w:tcW w:w="820" w:type="dxa"/>
            <w:vAlign w:val="bottom"/>
          </w:tcPr>
          <w:p>
            <w:pPr>
              <w:jc w:val="right"/>
              <w:ind w:right="131"/>
              <w:spacing w:after="0"/>
              <w:rPr>
                <w:sz w:val="20"/>
                <w:szCs w:val="20"/>
                <w:color w:val="auto"/>
              </w:rPr>
            </w:pPr>
            <w:r>
              <w:rPr>
                <w:rFonts w:ascii="Arial" w:cs="Arial" w:eastAsia="Arial" w:hAnsi="Arial"/>
                <w:sz w:val="14"/>
                <w:szCs w:val="14"/>
                <w:color w:val="auto"/>
              </w:rPr>
              <w:t>4,378</w:t>
            </w:r>
          </w:p>
        </w:tc>
        <w:tc>
          <w:tcPr>
            <w:tcW w:w="860" w:type="dxa"/>
            <w:vAlign w:val="bottom"/>
          </w:tcPr>
          <w:p>
            <w:pPr>
              <w:jc w:val="right"/>
              <w:ind w:right="111"/>
              <w:spacing w:after="0"/>
              <w:rPr>
                <w:sz w:val="20"/>
                <w:szCs w:val="20"/>
                <w:color w:val="auto"/>
              </w:rPr>
            </w:pPr>
            <w:r>
              <w:rPr>
                <w:rFonts w:ascii="Arial" w:cs="Arial" w:eastAsia="Arial" w:hAnsi="Arial"/>
                <w:sz w:val="14"/>
                <w:szCs w:val="14"/>
                <w:color w:val="auto"/>
              </w:rPr>
              <w:t>1,294</w:t>
            </w:r>
          </w:p>
        </w:tc>
        <w:tc>
          <w:tcPr>
            <w:tcW w:w="860" w:type="dxa"/>
            <w:vAlign w:val="bottom"/>
          </w:tcPr>
          <w:p>
            <w:pPr>
              <w:jc w:val="right"/>
              <w:ind w:right="111"/>
              <w:spacing w:after="0"/>
              <w:rPr>
                <w:sz w:val="20"/>
                <w:szCs w:val="20"/>
                <w:color w:val="auto"/>
              </w:rPr>
            </w:pPr>
            <w:r>
              <w:rPr>
                <w:rFonts w:ascii="Arial" w:cs="Arial" w:eastAsia="Arial" w:hAnsi="Arial"/>
                <w:sz w:val="14"/>
                <w:szCs w:val="14"/>
                <w:color w:val="auto"/>
              </w:rPr>
              <w:t>326</w:t>
            </w:r>
          </w:p>
        </w:tc>
        <w:tc>
          <w:tcPr>
            <w:tcW w:w="860" w:type="dxa"/>
            <w:vAlign w:val="bottom"/>
          </w:tcPr>
          <w:p>
            <w:pPr>
              <w:jc w:val="right"/>
              <w:ind w:right="111"/>
              <w:spacing w:after="0"/>
              <w:rPr>
                <w:sz w:val="20"/>
                <w:szCs w:val="20"/>
                <w:color w:val="auto"/>
              </w:rPr>
            </w:pPr>
            <w:r>
              <w:rPr>
                <w:rFonts w:ascii="Arial" w:cs="Arial" w:eastAsia="Arial" w:hAnsi="Arial"/>
                <w:sz w:val="14"/>
                <w:szCs w:val="14"/>
                <w:color w:val="auto"/>
              </w:rPr>
              <w:t>119</w:t>
            </w:r>
          </w:p>
        </w:tc>
        <w:tc>
          <w:tcPr>
            <w:tcW w:w="880" w:type="dxa"/>
            <w:vAlign w:val="bottom"/>
          </w:tcPr>
          <w:p>
            <w:pPr>
              <w:jc w:val="right"/>
              <w:ind w:right="131"/>
              <w:spacing w:after="0"/>
              <w:rPr>
                <w:sz w:val="20"/>
                <w:szCs w:val="20"/>
                <w:color w:val="auto"/>
              </w:rPr>
            </w:pPr>
            <w:r>
              <w:rPr>
                <w:rFonts w:ascii="Arial" w:cs="Arial" w:eastAsia="Arial" w:hAnsi="Arial"/>
                <w:sz w:val="14"/>
                <w:szCs w:val="14"/>
                <w:color w:val="auto"/>
              </w:rPr>
              <w:t>49</w:t>
            </w:r>
          </w:p>
        </w:tc>
        <w:tc>
          <w:tcPr>
            <w:tcW w:w="860" w:type="dxa"/>
            <w:vAlign w:val="bottom"/>
          </w:tcPr>
          <w:p>
            <w:pPr>
              <w:jc w:val="right"/>
              <w:ind w:right="111"/>
              <w:spacing w:after="0"/>
              <w:rPr>
                <w:sz w:val="20"/>
                <w:szCs w:val="20"/>
                <w:color w:val="auto"/>
              </w:rPr>
            </w:pPr>
            <w:r>
              <w:rPr>
                <w:rFonts w:ascii="Arial" w:cs="Arial" w:eastAsia="Arial" w:hAnsi="Arial"/>
                <w:sz w:val="14"/>
                <w:szCs w:val="14"/>
                <w:color w:val="auto"/>
              </w:rPr>
              <w:t>79</w:t>
            </w:r>
          </w:p>
        </w:tc>
        <w:tc>
          <w:tcPr>
            <w:tcW w:w="640" w:type="dxa"/>
            <w:vAlign w:val="bottom"/>
          </w:tcPr>
          <w:p>
            <w:pPr>
              <w:jc w:val="right"/>
              <w:ind w:right="10"/>
              <w:spacing w:after="0"/>
              <w:rPr>
                <w:sz w:val="20"/>
                <w:szCs w:val="20"/>
                <w:color w:val="auto"/>
              </w:rPr>
            </w:pPr>
            <w:r>
              <w:rPr>
                <w:rFonts w:ascii="Arial" w:cs="Arial" w:eastAsia="Arial" w:hAnsi="Arial"/>
                <w:sz w:val="14"/>
                <w:szCs w:val="14"/>
                <w:color w:val="auto"/>
              </w:rPr>
              <w:t>6,245</w:t>
            </w:r>
          </w:p>
        </w:tc>
        <w:tc>
          <w:tcPr>
            <w:tcW w:w="1040" w:type="dxa"/>
            <w:vAlign w:val="bottom"/>
          </w:tcPr>
          <w:p>
            <w:pPr>
              <w:jc w:val="right"/>
              <w:spacing w:after="0"/>
              <w:rPr>
                <w:sz w:val="20"/>
                <w:szCs w:val="20"/>
                <w:color w:val="auto"/>
              </w:rPr>
            </w:pPr>
            <w:r>
              <w:rPr>
                <w:rFonts w:ascii="Arial" w:cs="Arial" w:eastAsia="Arial" w:hAnsi="Arial"/>
                <w:sz w:val="14"/>
                <w:szCs w:val="14"/>
                <w:color w:val="auto"/>
              </w:rPr>
              <w:t>(39)</w:t>
            </w:r>
          </w:p>
        </w:tc>
        <w:tc>
          <w:tcPr>
            <w:tcW w:w="940" w:type="dxa"/>
            <w:vAlign w:val="bottom"/>
          </w:tcPr>
          <w:p>
            <w:pPr>
              <w:jc w:val="right"/>
              <w:ind w:right="30"/>
              <w:spacing w:after="0"/>
              <w:rPr>
                <w:sz w:val="20"/>
                <w:szCs w:val="20"/>
                <w:color w:val="auto"/>
              </w:rPr>
            </w:pPr>
            <w:r>
              <w:rPr>
                <w:rFonts w:ascii="Arial" w:cs="Arial" w:eastAsia="Arial" w:hAnsi="Arial"/>
                <w:sz w:val="14"/>
                <w:szCs w:val="14"/>
                <w:color w:val="auto"/>
              </w:rPr>
              <w:t>6,206</w:t>
            </w:r>
          </w:p>
        </w:tc>
      </w:tr>
      <w:tr>
        <w:trPr>
          <w:trHeight w:val="157"/>
        </w:trPr>
        <w:tc>
          <w:tcPr>
            <w:tcW w:w="3660" w:type="dxa"/>
            <w:vAlign w:val="bottom"/>
            <w:tcBorders>
              <w:bottom w:val="single" w:sz="8" w:color="auto"/>
            </w:tcBorders>
          </w:tcPr>
          <w:p>
            <w:pPr>
              <w:spacing w:after="0" w:line="157" w:lineRule="exact"/>
              <w:rPr>
                <w:sz w:val="20"/>
                <w:szCs w:val="20"/>
                <w:color w:val="auto"/>
              </w:rPr>
            </w:pPr>
            <w:r>
              <w:rPr>
                <w:rFonts w:ascii="Arial" w:cs="Arial" w:eastAsia="Arial" w:hAnsi="Arial"/>
                <w:sz w:val="14"/>
                <w:szCs w:val="14"/>
                <w:color w:val="auto"/>
              </w:rPr>
              <w:t>Other contracts</w:t>
            </w:r>
          </w:p>
        </w:tc>
        <w:tc>
          <w:tcPr>
            <w:tcW w:w="820" w:type="dxa"/>
            <w:vAlign w:val="bottom"/>
            <w:tcBorders>
              <w:bottom w:val="single" w:sz="8" w:color="auto"/>
            </w:tcBorders>
          </w:tcPr>
          <w:p>
            <w:pPr>
              <w:jc w:val="right"/>
              <w:ind w:right="131"/>
              <w:spacing w:after="0" w:line="157" w:lineRule="exact"/>
              <w:rPr>
                <w:sz w:val="20"/>
                <w:szCs w:val="20"/>
                <w:color w:val="auto"/>
              </w:rPr>
            </w:pPr>
            <w:r>
              <w:rPr>
                <w:rFonts w:ascii="Arial" w:cs="Arial" w:eastAsia="Arial" w:hAnsi="Arial"/>
                <w:sz w:val="14"/>
                <w:szCs w:val="14"/>
                <w:color w:val="auto"/>
              </w:rPr>
              <w:t>173</w:t>
            </w:r>
          </w:p>
        </w:tc>
        <w:tc>
          <w:tcPr>
            <w:tcW w:w="860" w:type="dxa"/>
            <w:vAlign w:val="bottom"/>
            <w:tcBorders>
              <w:bottom w:val="single" w:sz="8" w:color="auto"/>
            </w:tcBorders>
          </w:tcPr>
          <w:p>
            <w:pPr>
              <w:jc w:val="right"/>
              <w:ind w:right="111"/>
              <w:spacing w:after="0" w:line="157" w:lineRule="exact"/>
              <w:rPr>
                <w:sz w:val="20"/>
                <w:szCs w:val="20"/>
                <w:color w:val="auto"/>
              </w:rPr>
            </w:pPr>
            <w:r>
              <w:rPr>
                <w:rFonts w:ascii="Arial" w:cs="Arial" w:eastAsia="Arial" w:hAnsi="Arial"/>
                <w:sz w:val="14"/>
                <w:szCs w:val="14"/>
                <w:color w:val="auto"/>
              </w:rPr>
              <w:t>168</w:t>
            </w:r>
          </w:p>
        </w:tc>
        <w:tc>
          <w:tcPr>
            <w:tcW w:w="860" w:type="dxa"/>
            <w:vAlign w:val="bottom"/>
            <w:tcBorders>
              <w:bottom w:val="single" w:sz="8" w:color="auto"/>
            </w:tcBorders>
          </w:tcPr>
          <w:p>
            <w:pPr>
              <w:jc w:val="right"/>
              <w:ind w:right="111"/>
              <w:spacing w:after="0" w:line="157" w:lineRule="exact"/>
              <w:rPr>
                <w:sz w:val="20"/>
                <w:szCs w:val="20"/>
                <w:color w:val="auto"/>
              </w:rPr>
            </w:pPr>
            <w:r>
              <w:rPr>
                <w:rFonts w:ascii="Arial" w:cs="Arial" w:eastAsia="Arial" w:hAnsi="Arial"/>
                <w:sz w:val="14"/>
                <w:szCs w:val="14"/>
                <w:color w:val="auto"/>
              </w:rPr>
              <w:t>160</w:t>
            </w:r>
          </w:p>
        </w:tc>
        <w:tc>
          <w:tcPr>
            <w:tcW w:w="860" w:type="dxa"/>
            <w:vAlign w:val="bottom"/>
            <w:tcBorders>
              <w:bottom w:val="single" w:sz="8" w:color="auto"/>
            </w:tcBorders>
          </w:tcPr>
          <w:p>
            <w:pPr>
              <w:jc w:val="right"/>
              <w:ind w:right="111"/>
              <w:spacing w:after="0" w:line="157" w:lineRule="exact"/>
              <w:rPr>
                <w:sz w:val="20"/>
                <w:szCs w:val="20"/>
                <w:color w:val="auto"/>
              </w:rPr>
            </w:pPr>
            <w:r>
              <w:rPr>
                <w:rFonts w:ascii="Arial" w:cs="Arial" w:eastAsia="Arial" w:hAnsi="Arial"/>
                <w:sz w:val="14"/>
                <w:szCs w:val="14"/>
                <w:color w:val="auto"/>
              </w:rPr>
              <w:t>154</w:t>
            </w:r>
          </w:p>
        </w:tc>
        <w:tc>
          <w:tcPr>
            <w:tcW w:w="880" w:type="dxa"/>
            <w:vAlign w:val="bottom"/>
            <w:tcBorders>
              <w:bottom w:val="single" w:sz="8" w:color="auto"/>
            </w:tcBorders>
          </w:tcPr>
          <w:p>
            <w:pPr>
              <w:jc w:val="right"/>
              <w:ind w:right="131"/>
              <w:spacing w:after="0" w:line="157" w:lineRule="exact"/>
              <w:rPr>
                <w:sz w:val="20"/>
                <w:szCs w:val="20"/>
                <w:color w:val="auto"/>
              </w:rPr>
            </w:pPr>
            <w:r>
              <w:rPr>
                <w:rFonts w:ascii="Arial" w:cs="Arial" w:eastAsia="Arial" w:hAnsi="Arial"/>
                <w:sz w:val="14"/>
                <w:szCs w:val="14"/>
                <w:color w:val="auto"/>
              </w:rPr>
              <w:t>148</w:t>
            </w:r>
          </w:p>
        </w:tc>
        <w:tc>
          <w:tcPr>
            <w:tcW w:w="860" w:type="dxa"/>
            <w:vAlign w:val="bottom"/>
            <w:tcBorders>
              <w:bottom w:val="single" w:sz="8" w:color="auto"/>
            </w:tcBorders>
          </w:tcPr>
          <w:p>
            <w:pPr>
              <w:jc w:val="right"/>
              <w:ind w:right="111"/>
              <w:spacing w:after="0" w:line="157" w:lineRule="exact"/>
              <w:rPr>
                <w:sz w:val="20"/>
                <w:szCs w:val="20"/>
                <w:color w:val="auto"/>
              </w:rPr>
            </w:pPr>
            <w:r>
              <w:rPr>
                <w:rFonts w:ascii="Arial" w:cs="Arial" w:eastAsia="Arial" w:hAnsi="Arial"/>
                <w:sz w:val="14"/>
                <w:szCs w:val="14"/>
                <w:color w:val="auto"/>
              </w:rPr>
              <w:t>83</w:t>
            </w:r>
          </w:p>
        </w:tc>
        <w:tc>
          <w:tcPr>
            <w:tcW w:w="640" w:type="dxa"/>
            <w:vAlign w:val="bottom"/>
            <w:tcBorders>
              <w:bottom w:val="single" w:sz="8" w:color="auto"/>
            </w:tcBorders>
          </w:tcPr>
          <w:p>
            <w:pPr>
              <w:jc w:val="right"/>
              <w:ind w:right="10"/>
              <w:spacing w:after="0" w:line="157" w:lineRule="exact"/>
              <w:rPr>
                <w:sz w:val="20"/>
                <w:szCs w:val="20"/>
                <w:color w:val="auto"/>
              </w:rPr>
            </w:pPr>
            <w:r>
              <w:rPr>
                <w:rFonts w:ascii="Arial" w:cs="Arial" w:eastAsia="Arial" w:hAnsi="Arial"/>
                <w:sz w:val="14"/>
                <w:szCs w:val="14"/>
                <w:color w:val="auto"/>
              </w:rPr>
              <w:t>886</w:t>
            </w:r>
          </w:p>
        </w:tc>
        <w:tc>
          <w:tcPr>
            <w:tcW w:w="1040" w:type="dxa"/>
            <w:vAlign w:val="bottom"/>
            <w:tcBorders>
              <w:bottom w:val="single" w:sz="8" w:color="auto"/>
            </w:tcBorders>
          </w:tcPr>
          <w:p>
            <w:pPr>
              <w:jc w:val="right"/>
              <w:spacing w:after="0" w:line="157" w:lineRule="exact"/>
              <w:rPr>
                <w:sz w:val="20"/>
                <w:szCs w:val="20"/>
                <w:color w:val="auto"/>
              </w:rPr>
            </w:pPr>
            <w:r>
              <w:rPr>
                <w:rFonts w:ascii="Arial" w:cs="Arial" w:eastAsia="Arial" w:hAnsi="Arial"/>
                <w:sz w:val="14"/>
                <w:szCs w:val="14"/>
                <w:color w:val="auto"/>
              </w:rPr>
              <w:t>(186)</w:t>
            </w:r>
          </w:p>
        </w:tc>
        <w:tc>
          <w:tcPr>
            <w:tcW w:w="940" w:type="dxa"/>
            <w:vAlign w:val="bottom"/>
            <w:tcBorders>
              <w:bottom w:val="single" w:sz="8" w:color="auto"/>
            </w:tcBorders>
          </w:tcPr>
          <w:p>
            <w:pPr>
              <w:jc w:val="right"/>
              <w:ind w:right="30"/>
              <w:spacing w:after="0" w:line="157" w:lineRule="exact"/>
              <w:rPr>
                <w:sz w:val="20"/>
                <w:szCs w:val="20"/>
                <w:color w:val="auto"/>
              </w:rPr>
            </w:pPr>
            <w:r>
              <w:rPr>
                <w:rFonts w:ascii="Arial" w:cs="Arial" w:eastAsia="Arial" w:hAnsi="Arial"/>
                <w:sz w:val="14"/>
                <w:szCs w:val="14"/>
                <w:color w:val="auto"/>
              </w:rPr>
              <w:t>700</w:t>
            </w:r>
          </w:p>
        </w:tc>
      </w:tr>
      <w:tr>
        <w:trPr>
          <w:trHeight w:val="156"/>
        </w:trPr>
        <w:tc>
          <w:tcPr>
            <w:tcW w:w="3660" w:type="dxa"/>
            <w:vAlign w:val="bottom"/>
            <w:tcBorders>
              <w:bottom w:val="single" w:sz="8" w:color="auto"/>
            </w:tcBorders>
          </w:tcPr>
          <w:p>
            <w:pPr>
              <w:spacing w:after="0" w:line="155" w:lineRule="exact"/>
              <w:rPr>
                <w:sz w:val="20"/>
                <w:szCs w:val="20"/>
                <w:color w:val="auto"/>
              </w:rPr>
            </w:pPr>
            <w:r>
              <w:rPr>
                <w:rFonts w:ascii="Arial" w:cs="Arial" w:eastAsia="Arial" w:hAnsi="Arial"/>
                <w:sz w:val="14"/>
                <w:szCs w:val="14"/>
                <w:color w:val="auto"/>
              </w:rPr>
              <w:t>Total</w:t>
            </w:r>
          </w:p>
        </w:tc>
        <w:tc>
          <w:tcPr>
            <w:tcW w:w="820" w:type="dxa"/>
            <w:vAlign w:val="bottom"/>
            <w:tcBorders>
              <w:bottom w:val="single" w:sz="8" w:color="auto"/>
            </w:tcBorders>
          </w:tcPr>
          <w:p>
            <w:pPr>
              <w:jc w:val="right"/>
              <w:ind w:right="131"/>
              <w:spacing w:after="0" w:line="155" w:lineRule="exact"/>
              <w:rPr>
                <w:sz w:val="20"/>
                <w:szCs w:val="20"/>
                <w:color w:val="auto"/>
              </w:rPr>
            </w:pPr>
            <w:r>
              <w:rPr>
                <w:rFonts w:ascii="Arial" w:cs="Arial" w:eastAsia="Arial" w:hAnsi="Arial"/>
                <w:sz w:val="14"/>
                <w:szCs w:val="14"/>
                <w:color w:val="auto"/>
              </w:rPr>
              <w:t>4,657</w:t>
            </w:r>
          </w:p>
        </w:tc>
        <w:tc>
          <w:tcPr>
            <w:tcW w:w="860" w:type="dxa"/>
            <w:vAlign w:val="bottom"/>
            <w:tcBorders>
              <w:bottom w:val="single" w:sz="8" w:color="auto"/>
            </w:tcBorders>
          </w:tcPr>
          <w:p>
            <w:pPr>
              <w:jc w:val="right"/>
              <w:ind w:right="111"/>
              <w:spacing w:after="0" w:line="155" w:lineRule="exact"/>
              <w:rPr>
                <w:sz w:val="20"/>
                <w:szCs w:val="20"/>
                <w:color w:val="auto"/>
              </w:rPr>
            </w:pPr>
            <w:r>
              <w:rPr>
                <w:rFonts w:ascii="Arial" w:cs="Arial" w:eastAsia="Arial" w:hAnsi="Arial"/>
                <w:sz w:val="14"/>
                <w:szCs w:val="14"/>
                <w:color w:val="auto"/>
              </w:rPr>
              <w:t>1,495</w:t>
            </w:r>
          </w:p>
        </w:tc>
        <w:tc>
          <w:tcPr>
            <w:tcW w:w="860" w:type="dxa"/>
            <w:vAlign w:val="bottom"/>
            <w:tcBorders>
              <w:bottom w:val="single" w:sz="8" w:color="auto"/>
            </w:tcBorders>
          </w:tcPr>
          <w:p>
            <w:pPr>
              <w:jc w:val="right"/>
              <w:ind w:right="111"/>
              <w:spacing w:after="0" w:line="155" w:lineRule="exact"/>
              <w:rPr>
                <w:sz w:val="20"/>
                <w:szCs w:val="20"/>
                <w:color w:val="auto"/>
              </w:rPr>
            </w:pPr>
            <w:r>
              <w:rPr>
                <w:rFonts w:ascii="Arial" w:cs="Arial" w:eastAsia="Arial" w:hAnsi="Arial"/>
                <w:sz w:val="14"/>
                <w:szCs w:val="14"/>
                <w:color w:val="auto"/>
              </w:rPr>
              <w:t>488</w:t>
            </w:r>
          </w:p>
        </w:tc>
        <w:tc>
          <w:tcPr>
            <w:tcW w:w="860" w:type="dxa"/>
            <w:vAlign w:val="bottom"/>
            <w:tcBorders>
              <w:bottom w:val="single" w:sz="8" w:color="auto"/>
            </w:tcBorders>
          </w:tcPr>
          <w:p>
            <w:pPr>
              <w:jc w:val="right"/>
              <w:ind w:right="111"/>
              <w:spacing w:after="0" w:line="155" w:lineRule="exact"/>
              <w:rPr>
                <w:sz w:val="20"/>
                <w:szCs w:val="20"/>
                <w:color w:val="auto"/>
              </w:rPr>
            </w:pPr>
            <w:r>
              <w:rPr>
                <w:rFonts w:ascii="Arial" w:cs="Arial" w:eastAsia="Arial" w:hAnsi="Arial"/>
                <w:sz w:val="14"/>
                <w:szCs w:val="14"/>
                <w:color w:val="auto"/>
              </w:rPr>
              <w:t>273</w:t>
            </w:r>
          </w:p>
        </w:tc>
        <w:tc>
          <w:tcPr>
            <w:tcW w:w="880" w:type="dxa"/>
            <w:vAlign w:val="bottom"/>
            <w:tcBorders>
              <w:bottom w:val="single" w:sz="8" w:color="auto"/>
            </w:tcBorders>
          </w:tcPr>
          <w:p>
            <w:pPr>
              <w:jc w:val="right"/>
              <w:ind w:right="131"/>
              <w:spacing w:after="0" w:line="155" w:lineRule="exact"/>
              <w:rPr>
                <w:sz w:val="20"/>
                <w:szCs w:val="20"/>
                <w:color w:val="auto"/>
              </w:rPr>
            </w:pPr>
            <w:r>
              <w:rPr>
                <w:rFonts w:ascii="Arial" w:cs="Arial" w:eastAsia="Arial" w:hAnsi="Arial"/>
                <w:sz w:val="14"/>
                <w:szCs w:val="14"/>
                <w:color w:val="auto"/>
              </w:rPr>
              <w:t>203</w:t>
            </w:r>
          </w:p>
        </w:tc>
        <w:tc>
          <w:tcPr>
            <w:tcW w:w="860" w:type="dxa"/>
            <w:vAlign w:val="bottom"/>
            <w:tcBorders>
              <w:bottom w:val="single" w:sz="8" w:color="auto"/>
            </w:tcBorders>
          </w:tcPr>
          <w:p>
            <w:pPr>
              <w:jc w:val="right"/>
              <w:ind w:right="111"/>
              <w:spacing w:after="0" w:line="155" w:lineRule="exact"/>
              <w:rPr>
                <w:sz w:val="20"/>
                <w:szCs w:val="20"/>
                <w:color w:val="auto"/>
              </w:rPr>
            </w:pPr>
            <w:r>
              <w:rPr>
                <w:rFonts w:ascii="Arial" w:cs="Arial" w:eastAsia="Arial" w:hAnsi="Arial"/>
                <w:sz w:val="14"/>
                <w:szCs w:val="14"/>
                <w:color w:val="auto"/>
              </w:rPr>
              <w:t>190</w:t>
            </w:r>
          </w:p>
        </w:tc>
        <w:tc>
          <w:tcPr>
            <w:tcW w:w="640" w:type="dxa"/>
            <w:vAlign w:val="bottom"/>
            <w:tcBorders>
              <w:bottom w:val="single" w:sz="8" w:color="auto"/>
            </w:tcBorders>
          </w:tcPr>
          <w:p>
            <w:pPr>
              <w:jc w:val="right"/>
              <w:ind w:right="10"/>
              <w:spacing w:after="0" w:line="155" w:lineRule="exact"/>
              <w:rPr>
                <w:sz w:val="20"/>
                <w:szCs w:val="20"/>
                <w:color w:val="auto"/>
              </w:rPr>
            </w:pPr>
            <w:r>
              <w:rPr>
                <w:rFonts w:ascii="Arial" w:cs="Arial" w:eastAsia="Arial" w:hAnsi="Arial"/>
                <w:sz w:val="14"/>
                <w:szCs w:val="14"/>
                <w:color w:val="auto"/>
              </w:rPr>
              <w:t>7,306</w:t>
            </w:r>
          </w:p>
        </w:tc>
        <w:tc>
          <w:tcPr>
            <w:tcW w:w="10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(245)</w:t>
            </w:r>
          </w:p>
        </w:tc>
        <w:tc>
          <w:tcPr>
            <w:tcW w:w="940" w:type="dxa"/>
            <w:vAlign w:val="bottom"/>
            <w:tcBorders>
              <w:bottom w:val="single" w:sz="8" w:color="auto"/>
            </w:tcBorders>
          </w:tcPr>
          <w:p>
            <w:pPr>
              <w:jc w:val="right"/>
              <w:ind w:right="30"/>
              <w:spacing w:after="0" w:line="155" w:lineRule="exact"/>
              <w:rPr>
                <w:sz w:val="20"/>
                <w:szCs w:val="20"/>
                <w:color w:val="auto"/>
              </w:rPr>
            </w:pPr>
            <w:r>
              <w:rPr>
                <w:rFonts w:ascii="Arial" w:cs="Arial" w:eastAsia="Arial" w:hAnsi="Arial"/>
                <w:sz w:val="14"/>
                <w:szCs w:val="14"/>
                <w:color w:val="auto"/>
              </w:rPr>
              <w:t>7,061</w:t>
            </w:r>
          </w:p>
        </w:tc>
      </w:tr>
    </w:tbl>
    <w:p>
      <w:pPr>
        <w:spacing w:after="0" w:line="154"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FAIR VALUE MEASUREMENTS</w:t>
      </w:r>
    </w:p>
    <w:p>
      <w:pPr>
        <w:spacing w:after="0" w:line="12" w:lineRule="exact"/>
        <w:rPr>
          <w:sz w:val="20"/>
          <w:szCs w:val="20"/>
          <w:color w:val="auto"/>
        </w:rPr>
      </w:pPr>
    </w:p>
    <w:p>
      <w:pPr>
        <w:ind w:right="140"/>
        <w:spacing w:after="0" w:line="258" w:lineRule="auto"/>
        <w:rPr>
          <w:sz w:val="20"/>
          <w:szCs w:val="20"/>
          <w:color w:val="auto"/>
        </w:rPr>
      </w:pPr>
      <w:r>
        <w:rPr>
          <w:rFonts w:ascii="Arial" w:cs="Arial" w:eastAsia="Arial" w:hAnsi="Arial"/>
          <w:sz w:val="14"/>
          <w:szCs w:val="14"/>
          <w:color w:val="auto"/>
        </w:rPr>
        <w:t>The net carrying amounts of derivative contracts held at December 31, categorised according to the predominant source and nature of inputs used in determining the fair value of each contract, were as follows: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4200" w:type="dxa"/>
            <w:vAlign w:val="bottom"/>
            <w:shd w:val="clear" w:color="auto" w:fill="333333"/>
          </w:tcPr>
          <w:p>
            <w:pPr>
              <w:ind w:left="80"/>
              <w:spacing w:after="0"/>
              <w:rPr>
                <w:sz w:val="20"/>
                <w:szCs w:val="20"/>
                <w:color w:val="auto"/>
              </w:rPr>
            </w:pPr>
            <w:r>
              <w:rPr>
                <w:rFonts w:ascii="Arial" w:cs="Arial" w:eastAsia="Arial" w:hAnsi="Arial"/>
                <w:sz w:val="15"/>
                <w:szCs w:val="15"/>
                <w:b w:val="1"/>
                <w:bCs w:val="1"/>
                <w:color w:val="FFFFFF"/>
              </w:rPr>
              <w:t>2014</w:t>
            </w:r>
          </w:p>
        </w:tc>
        <w:tc>
          <w:tcPr>
            <w:tcW w:w="3600" w:type="dxa"/>
            <w:vAlign w:val="bottom"/>
            <w:shd w:val="clear" w:color="auto" w:fill="333333"/>
          </w:tcPr>
          <w:p>
            <w:pPr>
              <w:spacing w:after="0"/>
              <w:rPr>
                <w:sz w:val="15"/>
                <w:szCs w:val="15"/>
                <w:color w:val="auto"/>
              </w:rPr>
            </w:pPr>
          </w:p>
        </w:tc>
        <w:tc>
          <w:tcPr>
            <w:tcW w:w="1340" w:type="dxa"/>
            <w:vAlign w:val="bottom"/>
            <w:shd w:val="clear" w:color="auto" w:fill="333333"/>
          </w:tcPr>
          <w:p>
            <w:pPr>
              <w:spacing w:after="0"/>
              <w:rPr>
                <w:sz w:val="15"/>
                <w:szCs w:val="15"/>
                <w:color w:val="auto"/>
              </w:rPr>
            </w:pPr>
          </w:p>
        </w:tc>
        <w:tc>
          <w:tcPr>
            <w:tcW w:w="1300" w:type="dxa"/>
            <w:vAlign w:val="bottom"/>
            <w:shd w:val="clear" w:color="auto" w:fill="333333"/>
          </w:tcPr>
          <w:p>
            <w:pPr>
              <w:spacing w:after="0"/>
              <w:rPr>
                <w:sz w:val="15"/>
                <w:szCs w:val="15"/>
                <w:color w:val="auto"/>
              </w:rPr>
            </w:pPr>
          </w:p>
        </w:tc>
        <w:tc>
          <w:tcPr>
            <w:tcW w:w="980" w:type="dxa"/>
            <w:vAlign w:val="bottom"/>
            <w:shd w:val="clear" w:color="auto" w:fill="333333"/>
          </w:tcPr>
          <w:p>
            <w:pPr>
              <w:jc w:val="right"/>
              <w:ind w:right="29"/>
              <w:spacing w:after="0"/>
              <w:rPr>
                <w:sz w:val="20"/>
                <w:szCs w:val="20"/>
                <w:color w:val="auto"/>
              </w:rPr>
            </w:pPr>
            <w:r>
              <w:rPr>
                <w:rFonts w:ascii="Arial" w:cs="Arial" w:eastAsia="Arial" w:hAnsi="Arial"/>
                <w:sz w:val="15"/>
                <w:szCs w:val="15"/>
                <w:color w:val="FFFFFF"/>
              </w:rPr>
              <w:t>$ MILLION</w:t>
            </w:r>
          </w:p>
        </w:tc>
      </w:tr>
      <w:tr>
        <w:trPr>
          <w:trHeight w:val="129"/>
        </w:trPr>
        <w:tc>
          <w:tcPr>
            <w:tcW w:w="4200" w:type="dxa"/>
            <w:vAlign w:val="bottom"/>
          </w:tcPr>
          <w:p>
            <w:pPr>
              <w:spacing w:after="0"/>
              <w:rPr>
                <w:sz w:val="11"/>
                <w:szCs w:val="11"/>
                <w:color w:val="auto"/>
              </w:rPr>
            </w:pPr>
          </w:p>
        </w:tc>
        <w:tc>
          <w:tcPr>
            <w:tcW w:w="3600" w:type="dxa"/>
            <w:vAlign w:val="bottom"/>
          </w:tcPr>
          <w:p>
            <w:pPr>
              <w:jc w:val="right"/>
              <w:ind w:right="311"/>
              <w:spacing w:after="0" w:line="129" w:lineRule="exact"/>
              <w:rPr>
                <w:sz w:val="20"/>
                <w:szCs w:val="20"/>
                <w:color w:val="auto"/>
              </w:rPr>
            </w:pPr>
            <w:r>
              <w:rPr>
                <w:rFonts w:ascii="Arial" w:cs="Arial" w:eastAsia="Arial" w:hAnsi="Arial"/>
                <w:sz w:val="13"/>
                <w:szCs w:val="13"/>
                <w:color w:val="auto"/>
              </w:rPr>
              <w:t>Prices in active markets</w:t>
            </w:r>
          </w:p>
        </w:tc>
        <w:tc>
          <w:tcPr>
            <w:tcW w:w="1340" w:type="dxa"/>
            <w:vAlign w:val="bottom"/>
          </w:tcPr>
          <w:p>
            <w:pPr>
              <w:jc w:val="right"/>
              <w:ind w:right="331"/>
              <w:spacing w:after="0" w:line="129" w:lineRule="exact"/>
              <w:rPr>
                <w:sz w:val="20"/>
                <w:szCs w:val="20"/>
                <w:color w:val="auto"/>
              </w:rPr>
            </w:pPr>
            <w:r>
              <w:rPr>
                <w:rFonts w:ascii="Arial" w:cs="Arial" w:eastAsia="Arial" w:hAnsi="Arial"/>
                <w:sz w:val="13"/>
                <w:szCs w:val="13"/>
                <w:color w:val="auto"/>
              </w:rPr>
              <w:t>Other</w:t>
            </w:r>
          </w:p>
        </w:tc>
        <w:tc>
          <w:tcPr>
            <w:tcW w:w="1300" w:type="dxa"/>
            <w:vAlign w:val="bottom"/>
          </w:tcPr>
          <w:p>
            <w:pPr>
              <w:spacing w:after="0"/>
              <w:rPr>
                <w:sz w:val="11"/>
                <w:szCs w:val="11"/>
                <w:color w:val="auto"/>
              </w:rPr>
            </w:pPr>
          </w:p>
        </w:tc>
        <w:tc>
          <w:tcPr>
            <w:tcW w:w="980" w:type="dxa"/>
            <w:vAlign w:val="bottom"/>
          </w:tcPr>
          <w:p>
            <w:pPr>
              <w:spacing w:after="0"/>
              <w:rPr>
                <w:sz w:val="11"/>
                <w:szCs w:val="11"/>
                <w:color w:val="auto"/>
              </w:rPr>
            </w:pPr>
          </w:p>
        </w:tc>
      </w:tr>
      <w:tr>
        <w:trPr>
          <w:trHeight w:val="135"/>
        </w:trPr>
        <w:tc>
          <w:tcPr>
            <w:tcW w:w="4200" w:type="dxa"/>
            <w:vAlign w:val="bottom"/>
          </w:tcPr>
          <w:p>
            <w:pPr>
              <w:spacing w:after="0"/>
              <w:rPr>
                <w:sz w:val="11"/>
                <w:szCs w:val="11"/>
                <w:color w:val="auto"/>
              </w:rPr>
            </w:pPr>
          </w:p>
        </w:tc>
        <w:tc>
          <w:tcPr>
            <w:tcW w:w="3600" w:type="dxa"/>
            <w:vAlign w:val="bottom"/>
          </w:tcPr>
          <w:p>
            <w:pPr>
              <w:jc w:val="right"/>
              <w:ind w:right="311"/>
              <w:spacing w:after="0" w:line="135" w:lineRule="exact"/>
              <w:rPr>
                <w:sz w:val="20"/>
                <w:szCs w:val="20"/>
                <w:color w:val="auto"/>
              </w:rPr>
            </w:pPr>
            <w:r>
              <w:rPr>
                <w:rFonts w:ascii="Arial" w:cs="Arial" w:eastAsia="Arial" w:hAnsi="Arial"/>
                <w:sz w:val="13"/>
                <w:szCs w:val="13"/>
                <w:color w:val="auto"/>
              </w:rPr>
              <w:t>for identical</w:t>
            </w:r>
          </w:p>
        </w:tc>
        <w:tc>
          <w:tcPr>
            <w:tcW w:w="1340" w:type="dxa"/>
            <w:vAlign w:val="bottom"/>
          </w:tcPr>
          <w:p>
            <w:pPr>
              <w:jc w:val="right"/>
              <w:ind w:right="331"/>
              <w:spacing w:after="0" w:line="135" w:lineRule="exact"/>
              <w:rPr>
                <w:sz w:val="20"/>
                <w:szCs w:val="20"/>
                <w:color w:val="auto"/>
              </w:rPr>
            </w:pPr>
            <w:r>
              <w:rPr>
                <w:rFonts w:ascii="Arial" w:cs="Arial" w:eastAsia="Arial" w:hAnsi="Arial"/>
                <w:sz w:val="13"/>
                <w:szCs w:val="13"/>
                <w:color w:val="auto"/>
              </w:rPr>
              <w:t>observable</w:t>
            </w:r>
          </w:p>
        </w:tc>
        <w:tc>
          <w:tcPr>
            <w:tcW w:w="1300" w:type="dxa"/>
            <w:vAlign w:val="bottom"/>
          </w:tcPr>
          <w:p>
            <w:pPr>
              <w:jc w:val="right"/>
              <w:ind w:right="130"/>
              <w:spacing w:after="0" w:line="135" w:lineRule="exact"/>
              <w:rPr>
                <w:sz w:val="20"/>
                <w:szCs w:val="20"/>
                <w:color w:val="auto"/>
              </w:rPr>
            </w:pPr>
            <w:r>
              <w:rPr>
                <w:rFonts w:ascii="Arial" w:cs="Arial" w:eastAsia="Arial" w:hAnsi="Arial"/>
                <w:sz w:val="13"/>
                <w:szCs w:val="13"/>
                <w:color w:val="auto"/>
              </w:rPr>
              <w:t>Unobservable</w:t>
            </w:r>
          </w:p>
        </w:tc>
        <w:tc>
          <w:tcPr>
            <w:tcW w:w="980" w:type="dxa"/>
            <w:vAlign w:val="bottom"/>
          </w:tcPr>
          <w:p>
            <w:pPr>
              <w:spacing w:after="0"/>
              <w:rPr>
                <w:sz w:val="11"/>
                <w:szCs w:val="11"/>
                <w:color w:val="auto"/>
              </w:rPr>
            </w:pPr>
          </w:p>
        </w:tc>
      </w:tr>
      <w:tr>
        <w:trPr>
          <w:trHeight w:val="141"/>
        </w:trPr>
        <w:tc>
          <w:tcPr>
            <w:tcW w:w="4200" w:type="dxa"/>
            <w:vAlign w:val="bottom"/>
            <w:tcBorders>
              <w:bottom w:val="single" w:sz="8" w:color="auto"/>
            </w:tcBorders>
          </w:tcPr>
          <w:p>
            <w:pPr>
              <w:spacing w:after="0"/>
              <w:rPr>
                <w:sz w:val="12"/>
                <w:szCs w:val="12"/>
                <w:color w:val="auto"/>
              </w:rPr>
            </w:pPr>
          </w:p>
        </w:tc>
        <w:tc>
          <w:tcPr>
            <w:tcW w:w="3600" w:type="dxa"/>
            <w:vAlign w:val="bottom"/>
            <w:tcBorders>
              <w:bottom w:val="single" w:sz="8" w:color="auto"/>
            </w:tcBorders>
          </w:tcPr>
          <w:p>
            <w:pPr>
              <w:jc w:val="right"/>
              <w:ind w:right="311"/>
              <w:spacing w:after="0" w:line="141" w:lineRule="exact"/>
              <w:rPr>
                <w:sz w:val="20"/>
                <w:szCs w:val="20"/>
                <w:color w:val="auto"/>
              </w:rPr>
            </w:pPr>
            <w:r>
              <w:rPr>
                <w:rFonts w:ascii="Arial" w:cs="Arial" w:eastAsia="Arial" w:hAnsi="Arial"/>
                <w:sz w:val="13"/>
                <w:szCs w:val="13"/>
                <w:color w:val="auto"/>
              </w:rPr>
              <w:t>assets/liabilities</w:t>
            </w:r>
          </w:p>
        </w:tc>
        <w:tc>
          <w:tcPr>
            <w:tcW w:w="1340" w:type="dxa"/>
            <w:vAlign w:val="bottom"/>
            <w:tcBorders>
              <w:bottom w:val="single" w:sz="8" w:color="auto"/>
            </w:tcBorders>
          </w:tcPr>
          <w:p>
            <w:pPr>
              <w:jc w:val="right"/>
              <w:ind w:right="331"/>
              <w:spacing w:after="0" w:line="141" w:lineRule="exact"/>
              <w:rPr>
                <w:sz w:val="20"/>
                <w:szCs w:val="20"/>
                <w:color w:val="auto"/>
              </w:rPr>
            </w:pPr>
            <w:r>
              <w:rPr>
                <w:rFonts w:ascii="Arial" w:cs="Arial" w:eastAsia="Arial" w:hAnsi="Arial"/>
                <w:sz w:val="13"/>
                <w:szCs w:val="13"/>
                <w:color w:val="auto"/>
              </w:rPr>
              <w:t>inputs</w:t>
            </w:r>
          </w:p>
        </w:tc>
        <w:tc>
          <w:tcPr>
            <w:tcW w:w="1300" w:type="dxa"/>
            <w:vAlign w:val="bottom"/>
            <w:tcBorders>
              <w:bottom w:val="single" w:sz="8" w:color="auto"/>
            </w:tcBorders>
          </w:tcPr>
          <w:p>
            <w:pPr>
              <w:jc w:val="right"/>
              <w:ind w:right="130"/>
              <w:spacing w:after="0" w:line="141" w:lineRule="exact"/>
              <w:rPr>
                <w:sz w:val="20"/>
                <w:szCs w:val="20"/>
                <w:color w:val="auto"/>
              </w:rPr>
            </w:pPr>
            <w:r>
              <w:rPr>
                <w:rFonts w:ascii="Arial" w:cs="Arial" w:eastAsia="Arial" w:hAnsi="Arial"/>
                <w:sz w:val="13"/>
                <w:szCs w:val="13"/>
                <w:color w:val="auto"/>
              </w:rPr>
              <w:t>inputs</w:t>
            </w:r>
          </w:p>
        </w:tc>
        <w:tc>
          <w:tcPr>
            <w:tcW w:w="980" w:type="dxa"/>
            <w:vAlign w:val="bottom"/>
            <w:tcBorders>
              <w:bottom w:val="single" w:sz="8" w:color="auto"/>
            </w:tcBorders>
          </w:tcPr>
          <w:p>
            <w:pPr>
              <w:jc w:val="right"/>
              <w:ind w:right="29"/>
              <w:spacing w:after="0" w:line="141" w:lineRule="exact"/>
              <w:rPr>
                <w:sz w:val="20"/>
                <w:szCs w:val="20"/>
                <w:color w:val="auto"/>
              </w:rPr>
            </w:pPr>
            <w:r>
              <w:rPr>
                <w:rFonts w:ascii="Arial" w:cs="Arial" w:eastAsia="Arial" w:hAnsi="Arial"/>
                <w:sz w:val="13"/>
                <w:szCs w:val="13"/>
                <w:color w:val="auto"/>
              </w:rPr>
              <w:t>Total</w:t>
            </w:r>
          </w:p>
        </w:tc>
      </w:tr>
      <w:tr>
        <w:trPr>
          <w:trHeight w:val="160"/>
        </w:trPr>
        <w:tc>
          <w:tcPr>
            <w:tcW w:w="4200" w:type="dxa"/>
            <w:vAlign w:val="bottom"/>
          </w:tcPr>
          <w:p>
            <w:pPr>
              <w:spacing w:after="0"/>
              <w:rPr>
                <w:sz w:val="20"/>
                <w:szCs w:val="20"/>
                <w:color w:val="auto"/>
              </w:rPr>
            </w:pPr>
            <w:r>
              <w:rPr>
                <w:rFonts w:ascii="Arial" w:cs="Arial" w:eastAsia="Arial" w:hAnsi="Arial"/>
                <w:sz w:val="14"/>
                <w:szCs w:val="14"/>
                <w:color w:val="auto"/>
              </w:rPr>
              <w:t>Interest rate swaps</w:t>
            </w:r>
          </w:p>
        </w:tc>
        <w:tc>
          <w:tcPr>
            <w:tcW w:w="3600" w:type="dxa"/>
            <w:vAlign w:val="bottom"/>
          </w:tcPr>
          <w:p>
            <w:pPr>
              <w:jc w:val="right"/>
              <w:ind w:right="311"/>
              <w:spacing w:after="0"/>
              <w:rPr>
                <w:sz w:val="20"/>
                <w:szCs w:val="20"/>
                <w:color w:val="auto"/>
              </w:rPr>
            </w:pPr>
            <w:r>
              <w:rPr>
                <w:rFonts w:ascii="Arial" w:cs="Arial" w:eastAsia="Arial" w:hAnsi="Arial"/>
                <w:sz w:val="14"/>
                <w:szCs w:val="14"/>
                <w:color w:val="auto"/>
              </w:rPr>
              <w:t>–</w:t>
            </w:r>
          </w:p>
        </w:tc>
        <w:tc>
          <w:tcPr>
            <w:tcW w:w="1340" w:type="dxa"/>
            <w:vAlign w:val="bottom"/>
          </w:tcPr>
          <w:p>
            <w:pPr>
              <w:jc w:val="right"/>
              <w:ind w:right="331"/>
              <w:spacing w:after="0"/>
              <w:rPr>
                <w:sz w:val="20"/>
                <w:szCs w:val="20"/>
                <w:color w:val="auto"/>
              </w:rPr>
            </w:pPr>
            <w:r>
              <w:rPr>
                <w:rFonts w:ascii="Arial" w:cs="Arial" w:eastAsia="Arial" w:hAnsi="Arial"/>
                <w:sz w:val="14"/>
                <w:szCs w:val="14"/>
                <w:color w:val="auto"/>
              </w:rPr>
              <w:t>113</w:t>
            </w:r>
          </w:p>
        </w:tc>
        <w:tc>
          <w:tcPr>
            <w:tcW w:w="1300" w:type="dxa"/>
            <w:vAlign w:val="bottom"/>
          </w:tcPr>
          <w:p>
            <w:pPr>
              <w:jc w:val="right"/>
              <w:ind w:right="130"/>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29"/>
              <w:spacing w:after="0"/>
              <w:rPr>
                <w:sz w:val="20"/>
                <w:szCs w:val="20"/>
                <w:color w:val="auto"/>
              </w:rPr>
            </w:pPr>
            <w:r>
              <w:rPr>
                <w:rFonts w:ascii="Arial" w:cs="Arial" w:eastAsia="Arial" w:hAnsi="Arial"/>
                <w:sz w:val="14"/>
                <w:szCs w:val="14"/>
                <w:color w:val="auto"/>
              </w:rPr>
              <w:t>113</w:t>
            </w:r>
          </w:p>
        </w:tc>
      </w:tr>
      <w:tr>
        <w:trPr>
          <w:trHeight w:val="162"/>
        </w:trPr>
        <w:tc>
          <w:tcPr>
            <w:tcW w:w="4200" w:type="dxa"/>
            <w:vAlign w:val="bottom"/>
          </w:tcPr>
          <w:p>
            <w:pPr>
              <w:spacing w:after="0"/>
              <w:rPr>
                <w:sz w:val="20"/>
                <w:szCs w:val="20"/>
                <w:color w:val="auto"/>
              </w:rPr>
            </w:pPr>
            <w:r>
              <w:rPr>
                <w:rFonts w:ascii="Arial" w:cs="Arial" w:eastAsia="Arial" w:hAnsi="Arial"/>
                <w:sz w:val="14"/>
                <w:szCs w:val="14"/>
                <w:color w:val="auto"/>
              </w:rPr>
              <w:t>Forward foreign exchange contracts</w:t>
            </w:r>
          </w:p>
        </w:tc>
        <w:tc>
          <w:tcPr>
            <w:tcW w:w="3600" w:type="dxa"/>
            <w:vAlign w:val="bottom"/>
          </w:tcPr>
          <w:p>
            <w:pPr>
              <w:jc w:val="right"/>
              <w:ind w:right="311"/>
              <w:spacing w:after="0"/>
              <w:rPr>
                <w:sz w:val="20"/>
                <w:szCs w:val="20"/>
                <w:color w:val="auto"/>
              </w:rPr>
            </w:pPr>
            <w:r>
              <w:rPr>
                <w:rFonts w:ascii="Arial" w:cs="Arial" w:eastAsia="Arial" w:hAnsi="Arial"/>
                <w:sz w:val="14"/>
                <w:szCs w:val="14"/>
                <w:color w:val="auto"/>
              </w:rPr>
              <w:t>–</w:t>
            </w:r>
          </w:p>
        </w:tc>
        <w:tc>
          <w:tcPr>
            <w:tcW w:w="1340" w:type="dxa"/>
            <w:vAlign w:val="bottom"/>
          </w:tcPr>
          <w:p>
            <w:pPr>
              <w:jc w:val="right"/>
              <w:ind w:right="331"/>
              <w:spacing w:after="0"/>
              <w:rPr>
                <w:sz w:val="20"/>
                <w:szCs w:val="20"/>
                <w:color w:val="auto"/>
              </w:rPr>
            </w:pPr>
            <w:r>
              <w:rPr>
                <w:rFonts w:ascii="Arial" w:cs="Arial" w:eastAsia="Arial" w:hAnsi="Arial"/>
                <w:sz w:val="14"/>
                <w:szCs w:val="14"/>
                <w:color w:val="auto"/>
              </w:rPr>
              <w:t>145</w:t>
            </w:r>
          </w:p>
        </w:tc>
        <w:tc>
          <w:tcPr>
            <w:tcW w:w="1300" w:type="dxa"/>
            <w:vAlign w:val="bottom"/>
          </w:tcPr>
          <w:p>
            <w:pPr>
              <w:jc w:val="right"/>
              <w:ind w:right="130"/>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29"/>
              <w:spacing w:after="0"/>
              <w:rPr>
                <w:sz w:val="20"/>
                <w:szCs w:val="20"/>
                <w:color w:val="auto"/>
              </w:rPr>
            </w:pPr>
            <w:r>
              <w:rPr>
                <w:rFonts w:ascii="Arial" w:cs="Arial" w:eastAsia="Arial" w:hAnsi="Arial"/>
                <w:sz w:val="14"/>
                <w:szCs w:val="14"/>
                <w:color w:val="auto"/>
              </w:rPr>
              <w:t>145</w:t>
            </w:r>
          </w:p>
        </w:tc>
      </w:tr>
      <w:tr>
        <w:trPr>
          <w:trHeight w:val="162"/>
        </w:trPr>
        <w:tc>
          <w:tcPr>
            <w:tcW w:w="4200" w:type="dxa"/>
            <w:vAlign w:val="bottom"/>
          </w:tcPr>
          <w:p>
            <w:pPr>
              <w:spacing w:after="0"/>
              <w:rPr>
                <w:sz w:val="20"/>
                <w:szCs w:val="20"/>
                <w:color w:val="auto"/>
              </w:rPr>
            </w:pPr>
            <w:r>
              <w:rPr>
                <w:rFonts w:ascii="Arial" w:cs="Arial" w:eastAsia="Arial" w:hAnsi="Arial"/>
                <w:sz w:val="14"/>
                <w:szCs w:val="14"/>
                <w:color w:val="auto"/>
              </w:rPr>
              <w:t>Currency swaps</w:t>
            </w:r>
          </w:p>
        </w:tc>
        <w:tc>
          <w:tcPr>
            <w:tcW w:w="3600" w:type="dxa"/>
            <w:vAlign w:val="bottom"/>
          </w:tcPr>
          <w:p>
            <w:pPr>
              <w:jc w:val="right"/>
              <w:ind w:right="311"/>
              <w:spacing w:after="0"/>
              <w:rPr>
                <w:sz w:val="20"/>
                <w:szCs w:val="20"/>
                <w:color w:val="auto"/>
              </w:rPr>
            </w:pPr>
            <w:r>
              <w:rPr>
                <w:rFonts w:ascii="Arial" w:cs="Arial" w:eastAsia="Arial" w:hAnsi="Arial"/>
                <w:sz w:val="14"/>
                <w:szCs w:val="14"/>
                <w:color w:val="auto"/>
              </w:rPr>
              <w:t>–</w:t>
            </w:r>
          </w:p>
        </w:tc>
        <w:tc>
          <w:tcPr>
            <w:tcW w:w="1340" w:type="dxa"/>
            <w:vAlign w:val="bottom"/>
          </w:tcPr>
          <w:p>
            <w:pPr>
              <w:jc w:val="right"/>
              <w:ind w:right="331"/>
              <w:spacing w:after="0"/>
              <w:rPr>
                <w:sz w:val="20"/>
                <w:szCs w:val="20"/>
                <w:color w:val="auto"/>
              </w:rPr>
            </w:pPr>
            <w:r>
              <w:rPr>
                <w:rFonts w:ascii="Arial" w:cs="Arial" w:eastAsia="Arial" w:hAnsi="Arial"/>
                <w:sz w:val="14"/>
                <w:szCs w:val="14"/>
                <w:color w:val="auto"/>
              </w:rPr>
              <w:t>103</w:t>
            </w:r>
          </w:p>
        </w:tc>
        <w:tc>
          <w:tcPr>
            <w:tcW w:w="1300" w:type="dxa"/>
            <w:vAlign w:val="bottom"/>
          </w:tcPr>
          <w:p>
            <w:pPr>
              <w:jc w:val="right"/>
              <w:ind w:right="130"/>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29"/>
              <w:spacing w:after="0"/>
              <w:rPr>
                <w:sz w:val="20"/>
                <w:szCs w:val="20"/>
                <w:color w:val="auto"/>
              </w:rPr>
            </w:pPr>
            <w:r>
              <w:rPr>
                <w:rFonts w:ascii="Arial" w:cs="Arial" w:eastAsia="Arial" w:hAnsi="Arial"/>
                <w:sz w:val="14"/>
                <w:szCs w:val="14"/>
                <w:color w:val="auto"/>
              </w:rPr>
              <w:t>103</w:t>
            </w:r>
          </w:p>
        </w:tc>
      </w:tr>
      <w:tr>
        <w:trPr>
          <w:trHeight w:val="162"/>
        </w:trPr>
        <w:tc>
          <w:tcPr>
            <w:tcW w:w="4200" w:type="dxa"/>
            <w:vAlign w:val="bottom"/>
          </w:tcPr>
          <w:p>
            <w:pPr>
              <w:spacing w:after="0"/>
              <w:rPr>
                <w:sz w:val="20"/>
                <w:szCs w:val="20"/>
                <w:color w:val="auto"/>
              </w:rPr>
            </w:pPr>
            <w:r>
              <w:rPr>
                <w:rFonts w:ascii="Arial" w:cs="Arial" w:eastAsia="Arial" w:hAnsi="Arial"/>
                <w:sz w:val="14"/>
                <w:szCs w:val="14"/>
                <w:color w:val="auto"/>
              </w:rPr>
              <w:t>Commodity derivatives</w:t>
            </w:r>
          </w:p>
        </w:tc>
        <w:tc>
          <w:tcPr>
            <w:tcW w:w="3600" w:type="dxa"/>
            <w:vAlign w:val="bottom"/>
          </w:tcPr>
          <w:p>
            <w:pPr>
              <w:jc w:val="right"/>
              <w:ind w:right="251"/>
              <w:spacing w:after="0"/>
              <w:rPr>
                <w:sz w:val="20"/>
                <w:szCs w:val="20"/>
                <w:color w:val="auto"/>
              </w:rPr>
            </w:pPr>
            <w:r>
              <w:rPr>
                <w:rFonts w:ascii="Arial" w:cs="Arial" w:eastAsia="Arial" w:hAnsi="Arial"/>
                <w:sz w:val="14"/>
                <w:szCs w:val="14"/>
                <w:color w:val="auto"/>
              </w:rPr>
              <w:t>(6)</w:t>
            </w:r>
          </w:p>
        </w:tc>
        <w:tc>
          <w:tcPr>
            <w:tcW w:w="1340" w:type="dxa"/>
            <w:vAlign w:val="bottom"/>
          </w:tcPr>
          <w:p>
            <w:pPr>
              <w:jc w:val="right"/>
              <w:ind w:right="331"/>
              <w:spacing w:after="0"/>
              <w:rPr>
                <w:sz w:val="20"/>
                <w:szCs w:val="20"/>
                <w:color w:val="auto"/>
              </w:rPr>
            </w:pPr>
            <w:r>
              <w:rPr>
                <w:rFonts w:ascii="Arial" w:cs="Arial" w:eastAsia="Arial" w:hAnsi="Arial"/>
                <w:sz w:val="14"/>
                <w:szCs w:val="14"/>
                <w:color w:val="auto"/>
              </w:rPr>
              <w:t>2,410</w:t>
            </w:r>
          </w:p>
        </w:tc>
        <w:tc>
          <w:tcPr>
            <w:tcW w:w="1300" w:type="dxa"/>
            <w:vAlign w:val="bottom"/>
          </w:tcPr>
          <w:p>
            <w:pPr>
              <w:jc w:val="right"/>
              <w:ind w:right="70"/>
              <w:spacing w:after="0"/>
              <w:rPr>
                <w:sz w:val="20"/>
                <w:szCs w:val="20"/>
                <w:color w:val="auto"/>
              </w:rPr>
            </w:pPr>
            <w:r>
              <w:rPr>
                <w:rFonts w:ascii="Arial" w:cs="Arial" w:eastAsia="Arial" w:hAnsi="Arial"/>
                <w:sz w:val="14"/>
                <w:szCs w:val="14"/>
                <w:color w:val="auto"/>
              </w:rPr>
              <w:t>(51)</w:t>
            </w:r>
          </w:p>
        </w:tc>
        <w:tc>
          <w:tcPr>
            <w:tcW w:w="980" w:type="dxa"/>
            <w:vAlign w:val="bottom"/>
          </w:tcPr>
          <w:p>
            <w:pPr>
              <w:jc w:val="right"/>
              <w:ind w:right="29"/>
              <w:spacing w:after="0"/>
              <w:rPr>
                <w:sz w:val="20"/>
                <w:szCs w:val="20"/>
                <w:color w:val="auto"/>
              </w:rPr>
            </w:pPr>
            <w:r>
              <w:rPr>
                <w:rFonts w:ascii="Arial" w:cs="Arial" w:eastAsia="Arial" w:hAnsi="Arial"/>
                <w:sz w:val="14"/>
                <w:szCs w:val="14"/>
                <w:color w:val="auto"/>
              </w:rPr>
              <w:t>2,353</w:t>
            </w:r>
          </w:p>
        </w:tc>
      </w:tr>
      <w:tr>
        <w:trPr>
          <w:trHeight w:val="157"/>
        </w:trPr>
        <w:tc>
          <w:tcPr>
            <w:tcW w:w="4200" w:type="dxa"/>
            <w:vAlign w:val="bottom"/>
            <w:tcBorders>
              <w:bottom w:val="single" w:sz="8" w:color="auto"/>
            </w:tcBorders>
          </w:tcPr>
          <w:p>
            <w:pPr>
              <w:spacing w:after="0" w:line="157" w:lineRule="exact"/>
              <w:rPr>
                <w:sz w:val="20"/>
                <w:szCs w:val="20"/>
                <w:color w:val="auto"/>
              </w:rPr>
            </w:pPr>
            <w:r>
              <w:rPr>
                <w:rFonts w:ascii="Arial" w:cs="Arial" w:eastAsia="Arial" w:hAnsi="Arial"/>
                <w:sz w:val="14"/>
                <w:szCs w:val="14"/>
                <w:color w:val="auto"/>
              </w:rPr>
              <w:t>Other contracts</w:t>
            </w:r>
          </w:p>
        </w:tc>
        <w:tc>
          <w:tcPr>
            <w:tcW w:w="3600" w:type="dxa"/>
            <w:vAlign w:val="bottom"/>
            <w:tcBorders>
              <w:bottom w:val="single" w:sz="8" w:color="auto"/>
            </w:tcBorders>
          </w:tcPr>
          <w:p>
            <w:pPr>
              <w:jc w:val="right"/>
              <w:ind w:right="311"/>
              <w:spacing w:after="0" w:line="157" w:lineRule="exact"/>
              <w:rPr>
                <w:sz w:val="20"/>
                <w:szCs w:val="20"/>
                <w:color w:val="auto"/>
              </w:rPr>
            </w:pPr>
            <w:r>
              <w:rPr>
                <w:rFonts w:ascii="Arial" w:cs="Arial" w:eastAsia="Arial" w:hAnsi="Arial"/>
                <w:sz w:val="14"/>
                <w:szCs w:val="14"/>
                <w:color w:val="auto"/>
              </w:rPr>
              <w:t>6</w:t>
            </w:r>
          </w:p>
        </w:tc>
        <w:tc>
          <w:tcPr>
            <w:tcW w:w="1340" w:type="dxa"/>
            <w:vAlign w:val="bottom"/>
            <w:tcBorders>
              <w:bottom w:val="single" w:sz="8" w:color="auto"/>
            </w:tcBorders>
          </w:tcPr>
          <w:p>
            <w:pPr>
              <w:jc w:val="right"/>
              <w:ind w:right="271"/>
              <w:spacing w:after="0" w:line="157" w:lineRule="exact"/>
              <w:rPr>
                <w:sz w:val="20"/>
                <w:szCs w:val="20"/>
                <w:color w:val="auto"/>
              </w:rPr>
            </w:pPr>
            <w:r>
              <w:rPr>
                <w:rFonts w:ascii="Arial" w:cs="Arial" w:eastAsia="Arial" w:hAnsi="Arial"/>
                <w:sz w:val="14"/>
                <w:szCs w:val="14"/>
                <w:color w:val="auto"/>
              </w:rPr>
              <w:t>(359)</w:t>
            </w:r>
          </w:p>
        </w:tc>
        <w:tc>
          <w:tcPr>
            <w:tcW w:w="1300" w:type="dxa"/>
            <w:vAlign w:val="bottom"/>
            <w:tcBorders>
              <w:bottom w:val="single" w:sz="8" w:color="auto"/>
            </w:tcBorders>
          </w:tcPr>
          <w:p>
            <w:pPr>
              <w:jc w:val="right"/>
              <w:ind w:right="130"/>
              <w:spacing w:after="0" w:line="157" w:lineRule="exact"/>
              <w:rPr>
                <w:sz w:val="20"/>
                <w:szCs w:val="20"/>
                <w:color w:val="auto"/>
              </w:rPr>
            </w:pPr>
            <w:r>
              <w:rPr>
                <w:rFonts w:ascii="Arial" w:cs="Arial" w:eastAsia="Arial" w:hAnsi="Arial"/>
                <w:sz w:val="14"/>
                <w:szCs w:val="14"/>
                <w:color w:val="auto"/>
              </w:rPr>
              <w:t>305</w:t>
            </w:r>
          </w:p>
        </w:tc>
        <w:tc>
          <w:tcPr>
            <w:tcW w:w="980" w:type="dxa"/>
            <w:vAlign w:val="bottom"/>
            <w:tcBorders>
              <w:bottom w:val="single" w:sz="8" w:color="auto"/>
            </w:tcBorders>
          </w:tcPr>
          <w:p>
            <w:pPr>
              <w:jc w:val="right"/>
              <w:spacing w:after="0" w:line="157" w:lineRule="exact"/>
              <w:rPr>
                <w:sz w:val="20"/>
                <w:szCs w:val="20"/>
                <w:color w:val="auto"/>
              </w:rPr>
            </w:pPr>
            <w:r>
              <w:rPr>
                <w:rFonts w:ascii="Arial" w:cs="Arial" w:eastAsia="Arial" w:hAnsi="Arial"/>
                <w:sz w:val="14"/>
                <w:szCs w:val="14"/>
                <w:color w:val="auto"/>
              </w:rPr>
              <w:t>(48)</w:t>
            </w:r>
          </w:p>
        </w:tc>
      </w:tr>
      <w:tr>
        <w:trPr>
          <w:trHeight w:val="156"/>
        </w:trPr>
        <w:tc>
          <w:tcPr>
            <w:tcW w:w="4200" w:type="dxa"/>
            <w:vAlign w:val="bottom"/>
            <w:tcBorders>
              <w:bottom w:val="single" w:sz="8" w:color="auto"/>
            </w:tcBorders>
          </w:tcPr>
          <w:p>
            <w:pPr>
              <w:spacing w:after="0" w:line="155" w:lineRule="exact"/>
              <w:rPr>
                <w:sz w:val="20"/>
                <w:szCs w:val="20"/>
                <w:color w:val="auto"/>
              </w:rPr>
            </w:pPr>
            <w:r>
              <w:rPr>
                <w:rFonts w:ascii="Arial" w:cs="Arial" w:eastAsia="Arial" w:hAnsi="Arial"/>
                <w:sz w:val="14"/>
                <w:szCs w:val="14"/>
                <w:color w:val="auto"/>
              </w:rPr>
              <w:t>Total</w:t>
            </w:r>
          </w:p>
        </w:tc>
        <w:tc>
          <w:tcPr>
            <w:tcW w:w="3600" w:type="dxa"/>
            <w:vAlign w:val="bottom"/>
            <w:tcBorders>
              <w:bottom w:val="single" w:sz="8" w:color="auto"/>
            </w:tcBorders>
          </w:tcPr>
          <w:p>
            <w:pPr>
              <w:jc w:val="right"/>
              <w:ind w:right="311"/>
              <w:spacing w:after="0" w:line="155" w:lineRule="exact"/>
              <w:rPr>
                <w:sz w:val="20"/>
                <w:szCs w:val="20"/>
                <w:color w:val="auto"/>
              </w:rPr>
            </w:pPr>
            <w:r>
              <w:rPr>
                <w:rFonts w:ascii="Arial" w:cs="Arial" w:eastAsia="Arial" w:hAnsi="Arial"/>
                <w:sz w:val="14"/>
                <w:szCs w:val="14"/>
                <w:color w:val="auto"/>
              </w:rPr>
              <w:t>–</w:t>
            </w:r>
          </w:p>
        </w:tc>
        <w:tc>
          <w:tcPr>
            <w:tcW w:w="1340" w:type="dxa"/>
            <w:vAlign w:val="bottom"/>
            <w:tcBorders>
              <w:bottom w:val="single" w:sz="8" w:color="auto"/>
            </w:tcBorders>
          </w:tcPr>
          <w:p>
            <w:pPr>
              <w:jc w:val="right"/>
              <w:ind w:right="331"/>
              <w:spacing w:after="0" w:line="155" w:lineRule="exact"/>
              <w:rPr>
                <w:sz w:val="20"/>
                <w:szCs w:val="20"/>
                <w:color w:val="auto"/>
              </w:rPr>
            </w:pPr>
            <w:r>
              <w:rPr>
                <w:rFonts w:ascii="Arial" w:cs="Arial" w:eastAsia="Arial" w:hAnsi="Arial"/>
                <w:sz w:val="14"/>
                <w:szCs w:val="14"/>
                <w:color w:val="auto"/>
              </w:rPr>
              <w:t>2,412</w:t>
            </w:r>
          </w:p>
        </w:tc>
        <w:tc>
          <w:tcPr>
            <w:tcW w:w="1300" w:type="dxa"/>
            <w:vAlign w:val="bottom"/>
            <w:tcBorders>
              <w:bottom w:val="single" w:sz="8" w:color="auto"/>
            </w:tcBorders>
          </w:tcPr>
          <w:p>
            <w:pPr>
              <w:jc w:val="right"/>
              <w:ind w:right="130"/>
              <w:spacing w:after="0" w:line="155" w:lineRule="exact"/>
              <w:rPr>
                <w:sz w:val="20"/>
                <w:szCs w:val="20"/>
                <w:color w:val="auto"/>
              </w:rPr>
            </w:pPr>
            <w:r>
              <w:rPr>
                <w:rFonts w:ascii="Arial" w:cs="Arial" w:eastAsia="Arial" w:hAnsi="Arial"/>
                <w:sz w:val="14"/>
                <w:szCs w:val="14"/>
                <w:color w:val="auto"/>
              </w:rPr>
              <w:t>254</w:t>
            </w:r>
          </w:p>
        </w:tc>
        <w:tc>
          <w:tcPr>
            <w:tcW w:w="980" w:type="dxa"/>
            <w:vAlign w:val="bottom"/>
            <w:tcBorders>
              <w:bottom w:val="single" w:sz="8" w:color="auto"/>
            </w:tcBorders>
          </w:tcPr>
          <w:p>
            <w:pPr>
              <w:jc w:val="right"/>
              <w:ind w:right="29"/>
              <w:spacing w:after="0" w:line="155" w:lineRule="exact"/>
              <w:rPr>
                <w:sz w:val="20"/>
                <w:szCs w:val="20"/>
                <w:color w:val="auto"/>
              </w:rPr>
            </w:pPr>
            <w:r>
              <w:rPr>
                <w:rFonts w:ascii="Arial" w:cs="Arial" w:eastAsia="Arial" w:hAnsi="Arial"/>
                <w:sz w:val="14"/>
                <w:szCs w:val="14"/>
                <w:color w:val="auto"/>
              </w:rPr>
              <w:t>2,666</w:t>
            </w:r>
          </w:p>
        </w:tc>
      </w:tr>
    </w:tbl>
    <w:p>
      <w:pPr>
        <w:sectPr>
          <w:pgSz w:w="11900" w:h="16838" w:orient="portrait"/>
          <w:cols w:equalWidth="0" w:num="1">
            <w:col w:w="11420"/>
          </w:cols>
          <w:pgMar w:left="240" w:top="459" w:right="239" w:bottom="1440" w:gutter="0" w:footer="0" w:header="0"/>
        </w:sectPr>
      </w:pPr>
    </w:p>
    <w:bookmarkStart w:id="137" w:name="page138"/>
    <w:bookmarkEnd w:id="1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300355</wp:posOffset>
            </wp:positionV>
            <wp:extent cx="8890" cy="46291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8890" cy="462915"/>
                    </a:xfrm>
                    <a:prstGeom prst="rect">
                      <a:avLst/>
                    </a:prstGeom>
                    <a:noFill/>
                  </pic:spPr>
                </pic:pic>
              </a:graphicData>
            </a:graphic>
          </wp:anchor>
        </w:drawing>
      </w:r>
    </w:p>
    <w:p>
      <w:pPr>
        <w:spacing w:after="0" w:line="200" w:lineRule="exact"/>
        <w:rPr>
          <w:sz w:val="20"/>
          <w:szCs w:val="20"/>
          <w:color w:val="auto"/>
        </w:rPr>
      </w:pP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565"/>
        </w:trPr>
        <w:tc>
          <w:tcPr>
            <w:tcW w:w="1720" w:type="dxa"/>
            <w:vAlign w:val="bottom"/>
            <w:shd w:val="clear" w:color="auto" w:fill="FF8B00"/>
          </w:tcPr>
          <w:p>
            <w:pPr>
              <w:ind w:left="260"/>
              <w:spacing w:after="0"/>
              <w:rPr>
                <w:sz w:val="20"/>
                <w:szCs w:val="20"/>
                <w:color w:val="auto"/>
              </w:rPr>
            </w:pPr>
            <w:r>
              <w:rPr>
                <w:rFonts w:ascii="Arial" w:cs="Arial" w:eastAsia="Arial" w:hAnsi="Arial"/>
                <w:sz w:val="11"/>
                <w:szCs w:val="11"/>
                <w:b w:val="1"/>
                <w:bCs w:val="1"/>
                <w:color w:val="333333"/>
              </w:rPr>
              <w:t>136</w:t>
            </w:r>
          </w:p>
        </w:tc>
        <w:tc>
          <w:tcPr>
            <w:tcW w:w="3860" w:type="dxa"/>
            <w:vAlign w:val="bottom"/>
            <w:shd w:val="clear" w:color="auto" w:fill="FF8B00"/>
          </w:tcPr>
          <w:p>
            <w:pPr>
              <w:jc w:val="right"/>
              <w:ind w:right="741"/>
              <w:spacing w:after="0"/>
              <w:rPr>
                <w:sz w:val="20"/>
                <w:szCs w:val="20"/>
                <w:color w:val="auto"/>
              </w:rPr>
            </w:pPr>
            <w:r>
              <w:rPr>
                <w:rFonts w:ascii="Arial" w:cs="Arial" w:eastAsia="Arial" w:hAnsi="Arial"/>
                <w:sz w:val="13"/>
                <w:szCs w:val="13"/>
                <w:color w:val="333333"/>
              </w:rPr>
              <w:t>FINANCIAL STATEMENTS AND SUPPLEMENTS</w:t>
            </w:r>
          </w:p>
        </w:tc>
        <w:tc>
          <w:tcPr>
            <w:tcW w:w="27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5"/>
        </w:trPr>
        <w:tc>
          <w:tcPr>
            <w:tcW w:w="1720" w:type="dxa"/>
            <w:vAlign w:val="bottom"/>
            <w:shd w:val="clear" w:color="auto" w:fill="FF8B00"/>
          </w:tcPr>
          <w:p>
            <w:pPr>
              <w:spacing w:after="0"/>
              <w:rPr>
                <w:sz w:val="14"/>
                <w:szCs w:val="14"/>
                <w:color w:val="auto"/>
              </w:rPr>
            </w:pPr>
          </w:p>
        </w:tc>
        <w:tc>
          <w:tcPr>
            <w:tcW w:w="3860" w:type="dxa"/>
            <w:vAlign w:val="bottom"/>
            <w:shd w:val="clear" w:color="auto" w:fill="FF8B00"/>
          </w:tcPr>
          <w:p>
            <w:pPr>
              <w:spacing w:after="0"/>
              <w:rPr>
                <w:sz w:val="14"/>
                <w:szCs w:val="14"/>
                <w:color w:val="auto"/>
              </w:rPr>
            </w:pPr>
          </w:p>
        </w:tc>
        <w:tc>
          <w:tcPr>
            <w:tcW w:w="2720" w:type="dxa"/>
            <w:vAlign w:val="bottom"/>
          </w:tcPr>
          <w:p>
            <w:pPr>
              <w:spacing w:after="0"/>
              <w:rPr>
                <w:sz w:val="14"/>
                <w:szCs w:val="14"/>
                <w:color w:val="auto"/>
              </w:rPr>
            </w:pPr>
          </w:p>
        </w:tc>
        <w:tc>
          <w:tcPr>
            <w:tcW w:w="3120" w:type="dxa"/>
            <w:vAlign w:val="bottom"/>
            <w:gridSpan w:val="3"/>
            <w:vMerge w:val="restart"/>
          </w:tcPr>
          <w:p>
            <w:pPr>
              <w:jc w:val="right"/>
              <w:spacing w:after="0"/>
              <w:rPr>
                <w:sz w:val="20"/>
                <w:szCs w:val="20"/>
                <w:color w:val="auto"/>
              </w:rPr>
            </w:pPr>
            <w:r>
              <w:rPr>
                <w:rFonts w:ascii="Arial" w:cs="Arial" w:eastAsia="Arial" w:hAnsi="Arial"/>
                <w:sz w:val="11"/>
                <w:szCs w:val="11"/>
                <w:color w:val="auto"/>
              </w:rPr>
              <w:t>SHELL ANNUAL REPORT AND FORM 20-F 2014</w:t>
            </w:r>
          </w:p>
        </w:tc>
        <w:tc>
          <w:tcPr>
            <w:tcW w:w="0" w:type="dxa"/>
            <w:vAlign w:val="bottom"/>
          </w:tcPr>
          <w:p>
            <w:pPr>
              <w:spacing w:after="0"/>
              <w:rPr>
                <w:sz w:val="1"/>
                <w:szCs w:val="1"/>
                <w:color w:val="auto"/>
              </w:rPr>
            </w:pPr>
          </w:p>
        </w:tc>
      </w:tr>
      <w:tr>
        <w:trPr>
          <w:trHeight w:val="130"/>
        </w:trPr>
        <w:tc>
          <w:tcPr>
            <w:tcW w:w="1720" w:type="dxa"/>
            <w:vAlign w:val="bottom"/>
            <w:vMerge w:val="restart"/>
          </w:tcPr>
          <w:p>
            <w:pPr>
              <w:spacing w:after="0"/>
              <w:rPr>
                <w:sz w:val="20"/>
                <w:szCs w:val="20"/>
                <w:color w:val="auto"/>
              </w:rPr>
            </w:pPr>
            <w:r>
              <w:rPr>
                <w:rFonts w:ascii="Arial" w:cs="Arial" w:eastAsia="Arial" w:hAnsi="Arial"/>
                <w:sz w:val="11"/>
                <w:szCs w:val="11"/>
                <w:color w:val="auto"/>
              </w:rPr>
              <w:t>[Note 19 continued]</w:t>
            </w:r>
          </w:p>
        </w:tc>
        <w:tc>
          <w:tcPr>
            <w:tcW w:w="3860" w:type="dxa"/>
            <w:vAlign w:val="bottom"/>
          </w:tcPr>
          <w:p>
            <w:pPr>
              <w:jc w:val="right"/>
              <w:ind w:right="741"/>
              <w:spacing w:after="0"/>
              <w:rPr>
                <w:sz w:val="20"/>
                <w:szCs w:val="20"/>
                <w:color w:val="auto"/>
              </w:rPr>
            </w:pPr>
            <w:r>
              <w:rPr>
                <w:rFonts w:ascii="Arial" w:cs="Arial" w:eastAsia="Arial" w:hAnsi="Arial"/>
                <w:sz w:val="11"/>
                <w:szCs w:val="11"/>
                <w:color w:val="auto"/>
              </w:rPr>
              <w:t>CONSOLIDATED FINANCIAL STATEMENTS</w:t>
            </w:r>
          </w:p>
        </w:tc>
        <w:tc>
          <w:tcPr>
            <w:tcW w:w="2720" w:type="dxa"/>
            <w:vAlign w:val="bottom"/>
          </w:tcPr>
          <w:p>
            <w:pPr>
              <w:spacing w:after="0"/>
              <w:rPr>
                <w:sz w:val="11"/>
                <w:szCs w:val="11"/>
                <w:color w:val="auto"/>
              </w:rPr>
            </w:pPr>
          </w:p>
        </w:tc>
        <w:tc>
          <w:tcPr>
            <w:tcW w:w="3120" w:type="dxa"/>
            <w:vAlign w:val="bottom"/>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13"/>
        </w:trPr>
        <w:tc>
          <w:tcPr>
            <w:tcW w:w="1720" w:type="dxa"/>
            <w:vAlign w:val="bottom"/>
            <w:vMerge w:val="continue"/>
          </w:tcPr>
          <w:p>
            <w:pPr>
              <w:spacing w:after="0"/>
              <w:rPr>
                <w:sz w:val="9"/>
                <w:szCs w:val="9"/>
                <w:color w:val="auto"/>
              </w:rPr>
            </w:pPr>
          </w:p>
        </w:tc>
        <w:tc>
          <w:tcPr>
            <w:tcW w:w="3860" w:type="dxa"/>
            <w:vAlign w:val="bottom"/>
          </w:tcPr>
          <w:p>
            <w:pPr>
              <w:spacing w:after="0"/>
              <w:rPr>
                <w:sz w:val="9"/>
                <w:szCs w:val="9"/>
                <w:color w:val="auto"/>
              </w:rPr>
            </w:pPr>
          </w:p>
        </w:tc>
        <w:tc>
          <w:tcPr>
            <w:tcW w:w="2720" w:type="dxa"/>
            <w:vAlign w:val="bottom"/>
          </w:tcPr>
          <w:p>
            <w:pPr>
              <w:spacing w:after="0"/>
              <w:rPr>
                <w:sz w:val="9"/>
                <w:szCs w:val="9"/>
                <w:color w:val="auto"/>
              </w:rPr>
            </w:pPr>
          </w:p>
        </w:tc>
        <w:tc>
          <w:tcPr>
            <w:tcW w:w="98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0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2"/>
        </w:trPr>
        <w:tc>
          <w:tcPr>
            <w:tcW w:w="1720" w:type="dxa"/>
            <w:vAlign w:val="bottom"/>
            <w:shd w:val="clear" w:color="auto" w:fill="333333"/>
          </w:tcPr>
          <w:p>
            <w:pPr>
              <w:ind w:left="80"/>
              <w:spacing w:after="0" w:line="162" w:lineRule="exact"/>
              <w:rPr>
                <w:sz w:val="20"/>
                <w:szCs w:val="20"/>
                <w:color w:val="auto"/>
              </w:rPr>
            </w:pPr>
            <w:r>
              <w:rPr>
                <w:rFonts w:ascii="Arial" w:cs="Arial" w:eastAsia="Arial" w:hAnsi="Arial"/>
                <w:sz w:val="15"/>
                <w:szCs w:val="15"/>
                <w:b w:val="1"/>
                <w:bCs w:val="1"/>
                <w:color w:val="FFFFFF"/>
              </w:rPr>
              <w:t>2013</w:t>
            </w:r>
          </w:p>
        </w:tc>
        <w:tc>
          <w:tcPr>
            <w:tcW w:w="3860" w:type="dxa"/>
            <w:vAlign w:val="bottom"/>
            <w:shd w:val="clear" w:color="auto" w:fill="333333"/>
          </w:tcPr>
          <w:p>
            <w:pPr>
              <w:spacing w:after="0"/>
              <w:rPr>
                <w:sz w:val="14"/>
                <w:szCs w:val="14"/>
                <w:color w:val="auto"/>
              </w:rPr>
            </w:pPr>
          </w:p>
        </w:tc>
        <w:tc>
          <w:tcPr>
            <w:tcW w:w="2720" w:type="dxa"/>
            <w:vAlign w:val="bottom"/>
            <w:shd w:val="clear" w:color="auto" w:fill="333333"/>
          </w:tcPr>
          <w:p>
            <w:pPr>
              <w:spacing w:after="0"/>
              <w:rPr>
                <w:sz w:val="14"/>
                <w:szCs w:val="14"/>
                <w:color w:val="auto"/>
              </w:rPr>
            </w:pPr>
          </w:p>
        </w:tc>
        <w:tc>
          <w:tcPr>
            <w:tcW w:w="980" w:type="dxa"/>
            <w:vAlign w:val="bottom"/>
            <w:shd w:val="clear" w:color="auto" w:fill="333333"/>
          </w:tcPr>
          <w:p>
            <w:pPr>
              <w:spacing w:after="0"/>
              <w:rPr>
                <w:sz w:val="14"/>
                <w:szCs w:val="14"/>
                <w:color w:val="auto"/>
              </w:rPr>
            </w:pPr>
          </w:p>
        </w:tc>
        <w:tc>
          <w:tcPr>
            <w:tcW w:w="1140" w:type="dxa"/>
            <w:vAlign w:val="bottom"/>
            <w:shd w:val="clear" w:color="auto" w:fill="333333"/>
          </w:tcPr>
          <w:p>
            <w:pPr>
              <w:spacing w:after="0"/>
              <w:rPr>
                <w:sz w:val="14"/>
                <w:szCs w:val="14"/>
                <w:color w:val="auto"/>
              </w:rPr>
            </w:pPr>
          </w:p>
        </w:tc>
        <w:tc>
          <w:tcPr>
            <w:tcW w:w="1000" w:type="dxa"/>
            <w:vAlign w:val="bottom"/>
            <w:shd w:val="clear" w:color="auto" w:fill="333333"/>
          </w:tcPr>
          <w:p>
            <w:pPr>
              <w:jc w:val="right"/>
              <w:ind w:right="29"/>
              <w:spacing w:after="0" w:line="162" w:lineRule="exact"/>
              <w:rPr>
                <w:sz w:val="20"/>
                <w:szCs w:val="20"/>
                <w:color w:val="auto"/>
              </w:rPr>
            </w:pPr>
            <w:r>
              <w:rPr>
                <w:rFonts w:ascii="Arial" w:cs="Arial" w:eastAsia="Arial" w:hAnsi="Arial"/>
                <w:sz w:val="15"/>
                <w:szCs w:val="15"/>
                <w:color w:val="FFFFFF"/>
              </w:rPr>
              <w:t>$ MILLION</w:t>
            </w:r>
          </w:p>
        </w:tc>
        <w:tc>
          <w:tcPr>
            <w:tcW w:w="0" w:type="dxa"/>
            <w:vAlign w:val="bottom"/>
          </w:tcPr>
          <w:p>
            <w:pPr>
              <w:spacing w:after="0"/>
              <w:rPr>
                <w:sz w:val="1"/>
                <w:szCs w:val="1"/>
                <w:color w:val="auto"/>
              </w:rPr>
            </w:pPr>
          </w:p>
        </w:tc>
      </w:tr>
      <w:tr>
        <w:trPr>
          <w:trHeight w:val="129"/>
        </w:trPr>
        <w:tc>
          <w:tcPr>
            <w:tcW w:w="1720" w:type="dxa"/>
            <w:vAlign w:val="bottom"/>
          </w:tcPr>
          <w:p>
            <w:pPr>
              <w:spacing w:after="0"/>
              <w:rPr>
                <w:sz w:val="11"/>
                <w:szCs w:val="11"/>
                <w:color w:val="auto"/>
              </w:rPr>
            </w:pPr>
          </w:p>
        </w:tc>
        <w:tc>
          <w:tcPr>
            <w:tcW w:w="3860" w:type="dxa"/>
            <w:vAlign w:val="bottom"/>
          </w:tcPr>
          <w:p>
            <w:pPr>
              <w:spacing w:after="0"/>
              <w:rPr>
                <w:sz w:val="11"/>
                <w:szCs w:val="11"/>
                <w:color w:val="auto"/>
              </w:rPr>
            </w:pPr>
          </w:p>
        </w:tc>
        <w:tc>
          <w:tcPr>
            <w:tcW w:w="2720" w:type="dxa"/>
            <w:vAlign w:val="bottom"/>
          </w:tcPr>
          <w:p>
            <w:pPr>
              <w:jc w:val="right"/>
              <w:ind w:right="131"/>
              <w:spacing w:after="0" w:line="129" w:lineRule="exact"/>
              <w:rPr>
                <w:sz w:val="20"/>
                <w:szCs w:val="20"/>
                <w:color w:val="auto"/>
              </w:rPr>
            </w:pPr>
            <w:r>
              <w:rPr>
                <w:rFonts w:ascii="Arial" w:cs="Arial" w:eastAsia="Arial" w:hAnsi="Arial"/>
                <w:sz w:val="13"/>
                <w:szCs w:val="13"/>
                <w:color w:val="auto"/>
              </w:rPr>
              <w:t>Prices in active markets</w:t>
            </w:r>
          </w:p>
        </w:tc>
        <w:tc>
          <w:tcPr>
            <w:tcW w:w="980" w:type="dxa"/>
            <w:vAlign w:val="bottom"/>
          </w:tcPr>
          <w:p>
            <w:pPr>
              <w:jc w:val="right"/>
              <w:ind w:right="133"/>
              <w:spacing w:after="0" w:line="129" w:lineRule="exact"/>
              <w:rPr>
                <w:sz w:val="20"/>
                <w:szCs w:val="20"/>
                <w:color w:val="auto"/>
              </w:rPr>
            </w:pPr>
            <w:r>
              <w:rPr>
                <w:rFonts w:ascii="Arial" w:cs="Arial" w:eastAsia="Arial" w:hAnsi="Arial"/>
                <w:sz w:val="13"/>
                <w:szCs w:val="13"/>
                <w:color w:val="auto"/>
              </w:rPr>
              <w:t>Other</w:t>
            </w:r>
          </w:p>
        </w:tc>
        <w:tc>
          <w:tcPr>
            <w:tcW w:w="11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720" w:type="dxa"/>
            <w:vAlign w:val="bottom"/>
          </w:tcPr>
          <w:p>
            <w:pPr>
              <w:spacing w:after="0"/>
              <w:rPr>
                <w:sz w:val="11"/>
                <w:szCs w:val="11"/>
                <w:color w:val="auto"/>
              </w:rPr>
            </w:pPr>
          </w:p>
        </w:tc>
        <w:tc>
          <w:tcPr>
            <w:tcW w:w="3860" w:type="dxa"/>
            <w:vAlign w:val="bottom"/>
          </w:tcPr>
          <w:p>
            <w:pPr>
              <w:spacing w:after="0"/>
              <w:rPr>
                <w:sz w:val="11"/>
                <w:szCs w:val="11"/>
                <w:color w:val="auto"/>
              </w:rPr>
            </w:pPr>
          </w:p>
        </w:tc>
        <w:tc>
          <w:tcPr>
            <w:tcW w:w="2720" w:type="dxa"/>
            <w:vAlign w:val="bottom"/>
          </w:tcPr>
          <w:p>
            <w:pPr>
              <w:jc w:val="right"/>
              <w:ind w:right="131"/>
              <w:spacing w:after="0" w:line="135" w:lineRule="exact"/>
              <w:rPr>
                <w:sz w:val="20"/>
                <w:szCs w:val="20"/>
                <w:color w:val="auto"/>
              </w:rPr>
            </w:pPr>
            <w:r>
              <w:rPr>
                <w:rFonts w:ascii="Arial" w:cs="Arial" w:eastAsia="Arial" w:hAnsi="Arial"/>
                <w:sz w:val="13"/>
                <w:szCs w:val="13"/>
                <w:color w:val="auto"/>
              </w:rPr>
              <w:t>for identical</w:t>
            </w:r>
          </w:p>
        </w:tc>
        <w:tc>
          <w:tcPr>
            <w:tcW w:w="980" w:type="dxa"/>
            <w:vAlign w:val="bottom"/>
          </w:tcPr>
          <w:p>
            <w:pPr>
              <w:jc w:val="right"/>
              <w:ind w:right="133"/>
              <w:spacing w:after="0" w:line="135" w:lineRule="exact"/>
              <w:rPr>
                <w:sz w:val="20"/>
                <w:szCs w:val="20"/>
                <w:color w:val="auto"/>
              </w:rPr>
            </w:pPr>
            <w:r>
              <w:rPr>
                <w:rFonts w:ascii="Arial" w:cs="Arial" w:eastAsia="Arial" w:hAnsi="Arial"/>
                <w:sz w:val="13"/>
                <w:szCs w:val="13"/>
                <w:color w:val="auto"/>
              </w:rPr>
              <w:t>observable</w:t>
            </w:r>
          </w:p>
        </w:tc>
        <w:tc>
          <w:tcPr>
            <w:tcW w:w="1140" w:type="dxa"/>
            <w:vAlign w:val="bottom"/>
          </w:tcPr>
          <w:p>
            <w:pPr>
              <w:jc w:val="right"/>
              <w:ind w:right="150"/>
              <w:spacing w:after="0" w:line="135" w:lineRule="exact"/>
              <w:rPr>
                <w:sz w:val="20"/>
                <w:szCs w:val="20"/>
                <w:color w:val="auto"/>
              </w:rPr>
            </w:pPr>
            <w:r>
              <w:rPr>
                <w:rFonts w:ascii="Arial" w:cs="Arial" w:eastAsia="Arial" w:hAnsi="Arial"/>
                <w:sz w:val="13"/>
                <w:szCs w:val="13"/>
                <w:color w:val="auto"/>
              </w:rPr>
              <w:t>Unobservable</w:t>
            </w:r>
          </w:p>
        </w:tc>
        <w:tc>
          <w:tcPr>
            <w:tcW w:w="10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1"/>
        </w:trPr>
        <w:tc>
          <w:tcPr>
            <w:tcW w:w="1720" w:type="dxa"/>
            <w:vAlign w:val="bottom"/>
            <w:tcBorders>
              <w:bottom w:val="single" w:sz="8" w:color="auto"/>
            </w:tcBorders>
          </w:tcPr>
          <w:p>
            <w:pPr>
              <w:spacing w:after="0"/>
              <w:rPr>
                <w:sz w:val="12"/>
                <w:szCs w:val="12"/>
                <w:color w:val="auto"/>
              </w:rPr>
            </w:pPr>
          </w:p>
        </w:tc>
        <w:tc>
          <w:tcPr>
            <w:tcW w:w="3860" w:type="dxa"/>
            <w:vAlign w:val="bottom"/>
            <w:tcBorders>
              <w:bottom w:val="single" w:sz="8" w:color="auto"/>
            </w:tcBorders>
          </w:tcPr>
          <w:p>
            <w:pPr>
              <w:spacing w:after="0"/>
              <w:rPr>
                <w:sz w:val="12"/>
                <w:szCs w:val="12"/>
                <w:color w:val="auto"/>
              </w:rPr>
            </w:pPr>
          </w:p>
        </w:tc>
        <w:tc>
          <w:tcPr>
            <w:tcW w:w="2720" w:type="dxa"/>
            <w:vAlign w:val="bottom"/>
            <w:tcBorders>
              <w:bottom w:val="single" w:sz="8" w:color="auto"/>
            </w:tcBorders>
          </w:tcPr>
          <w:p>
            <w:pPr>
              <w:jc w:val="right"/>
              <w:ind w:right="131"/>
              <w:spacing w:after="0" w:line="141" w:lineRule="exact"/>
              <w:rPr>
                <w:sz w:val="20"/>
                <w:szCs w:val="20"/>
                <w:color w:val="auto"/>
              </w:rPr>
            </w:pPr>
            <w:r>
              <w:rPr>
                <w:rFonts w:ascii="Arial" w:cs="Arial" w:eastAsia="Arial" w:hAnsi="Arial"/>
                <w:sz w:val="13"/>
                <w:szCs w:val="13"/>
                <w:color w:val="auto"/>
              </w:rPr>
              <w:t>assets/liabilities</w:t>
            </w:r>
          </w:p>
        </w:tc>
        <w:tc>
          <w:tcPr>
            <w:tcW w:w="980" w:type="dxa"/>
            <w:vAlign w:val="bottom"/>
            <w:tcBorders>
              <w:bottom w:val="single" w:sz="8" w:color="auto"/>
            </w:tcBorders>
          </w:tcPr>
          <w:p>
            <w:pPr>
              <w:jc w:val="right"/>
              <w:ind w:right="133"/>
              <w:spacing w:after="0" w:line="141" w:lineRule="exact"/>
              <w:rPr>
                <w:sz w:val="20"/>
                <w:szCs w:val="20"/>
                <w:color w:val="auto"/>
              </w:rPr>
            </w:pPr>
            <w:r>
              <w:rPr>
                <w:rFonts w:ascii="Arial" w:cs="Arial" w:eastAsia="Arial" w:hAnsi="Arial"/>
                <w:sz w:val="13"/>
                <w:szCs w:val="13"/>
                <w:color w:val="auto"/>
              </w:rPr>
              <w:t>inputs</w:t>
            </w:r>
          </w:p>
        </w:tc>
        <w:tc>
          <w:tcPr>
            <w:tcW w:w="1140" w:type="dxa"/>
            <w:vAlign w:val="bottom"/>
            <w:tcBorders>
              <w:bottom w:val="single" w:sz="8" w:color="auto"/>
            </w:tcBorders>
          </w:tcPr>
          <w:p>
            <w:pPr>
              <w:jc w:val="right"/>
              <w:ind w:right="150"/>
              <w:spacing w:after="0" w:line="141" w:lineRule="exact"/>
              <w:rPr>
                <w:sz w:val="20"/>
                <w:szCs w:val="20"/>
                <w:color w:val="auto"/>
              </w:rPr>
            </w:pPr>
            <w:r>
              <w:rPr>
                <w:rFonts w:ascii="Arial" w:cs="Arial" w:eastAsia="Arial" w:hAnsi="Arial"/>
                <w:sz w:val="13"/>
                <w:szCs w:val="13"/>
                <w:color w:val="auto"/>
              </w:rPr>
              <w:t>inputs</w:t>
            </w:r>
          </w:p>
        </w:tc>
        <w:tc>
          <w:tcPr>
            <w:tcW w:w="1000" w:type="dxa"/>
            <w:vAlign w:val="bottom"/>
            <w:tcBorders>
              <w:bottom w:val="single" w:sz="8" w:color="auto"/>
            </w:tcBorders>
          </w:tcPr>
          <w:p>
            <w:pPr>
              <w:jc w:val="right"/>
              <w:ind w:right="29"/>
              <w:spacing w:after="0" w:line="141" w:lineRule="exact"/>
              <w:rPr>
                <w:sz w:val="20"/>
                <w:szCs w:val="20"/>
                <w:color w:val="auto"/>
              </w:rPr>
            </w:pPr>
            <w:r>
              <w:rPr>
                <w:rFonts w:ascii="Arial" w:cs="Arial" w:eastAsia="Arial" w:hAnsi="Arial"/>
                <w:sz w:val="13"/>
                <w:szCs w:val="13"/>
                <w:color w:val="auto"/>
              </w:rPr>
              <w:t>Total</w:t>
            </w:r>
          </w:p>
        </w:tc>
        <w:tc>
          <w:tcPr>
            <w:tcW w:w="0" w:type="dxa"/>
            <w:vAlign w:val="bottom"/>
          </w:tcPr>
          <w:p>
            <w:pPr>
              <w:spacing w:after="0"/>
              <w:rPr>
                <w:sz w:val="1"/>
                <w:szCs w:val="1"/>
                <w:color w:val="auto"/>
              </w:rPr>
            </w:pPr>
          </w:p>
        </w:tc>
      </w:tr>
      <w:tr>
        <w:trPr>
          <w:trHeight w:val="160"/>
        </w:trPr>
        <w:tc>
          <w:tcPr>
            <w:tcW w:w="1720" w:type="dxa"/>
            <w:vAlign w:val="bottom"/>
          </w:tcPr>
          <w:p>
            <w:pPr>
              <w:spacing w:after="0"/>
              <w:rPr>
                <w:sz w:val="20"/>
                <w:szCs w:val="20"/>
                <w:color w:val="auto"/>
              </w:rPr>
            </w:pPr>
            <w:r>
              <w:rPr>
                <w:rFonts w:ascii="Arial" w:cs="Arial" w:eastAsia="Arial" w:hAnsi="Arial"/>
                <w:sz w:val="14"/>
                <w:szCs w:val="14"/>
                <w:color w:val="auto"/>
              </w:rPr>
              <w:t>Interest rate swaps</w:t>
            </w:r>
          </w:p>
        </w:tc>
        <w:tc>
          <w:tcPr>
            <w:tcW w:w="3860" w:type="dxa"/>
            <w:vAlign w:val="bottom"/>
          </w:tcPr>
          <w:p>
            <w:pPr>
              <w:spacing w:after="0"/>
              <w:rPr>
                <w:sz w:val="13"/>
                <w:szCs w:val="13"/>
                <w:color w:val="auto"/>
              </w:rPr>
            </w:pPr>
          </w:p>
        </w:tc>
        <w:tc>
          <w:tcPr>
            <w:tcW w:w="2720" w:type="dxa"/>
            <w:vAlign w:val="bottom"/>
          </w:tcPr>
          <w:p>
            <w:pPr>
              <w:jc w:val="right"/>
              <w:ind w:right="131"/>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133"/>
              <w:spacing w:after="0"/>
              <w:rPr>
                <w:sz w:val="20"/>
                <w:szCs w:val="20"/>
                <w:color w:val="auto"/>
              </w:rPr>
            </w:pPr>
            <w:r>
              <w:rPr>
                <w:rFonts w:ascii="Arial" w:cs="Arial" w:eastAsia="Arial" w:hAnsi="Arial"/>
                <w:sz w:val="14"/>
                <w:szCs w:val="14"/>
                <w:color w:val="auto"/>
              </w:rPr>
              <w:t>222</w:t>
            </w:r>
          </w:p>
        </w:tc>
        <w:tc>
          <w:tcPr>
            <w:tcW w:w="1140" w:type="dxa"/>
            <w:vAlign w:val="bottom"/>
          </w:tcPr>
          <w:p>
            <w:pPr>
              <w:jc w:val="right"/>
              <w:ind w:right="150"/>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29"/>
              <w:spacing w:after="0"/>
              <w:rPr>
                <w:sz w:val="20"/>
                <w:szCs w:val="20"/>
                <w:color w:val="auto"/>
              </w:rPr>
            </w:pPr>
            <w:r>
              <w:rPr>
                <w:rFonts w:ascii="Arial" w:cs="Arial" w:eastAsia="Arial" w:hAnsi="Arial"/>
                <w:sz w:val="14"/>
                <w:szCs w:val="14"/>
                <w:color w:val="auto"/>
              </w:rPr>
              <w:t>222</w:t>
            </w:r>
          </w:p>
        </w:tc>
        <w:tc>
          <w:tcPr>
            <w:tcW w:w="0" w:type="dxa"/>
            <w:vAlign w:val="bottom"/>
          </w:tcPr>
          <w:p>
            <w:pPr>
              <w:spacing w:after="0"/>
              <w:rPr>
                <w:sz w:val="1"/>
                <w:szCs w:val="1"/>
                <w:color w:val="auto"/>
              </w:rPr>
            </w:pPr>
          </w:p>
        </w:tc>
      </w:tr>
      <w:tr>
        <w:trPr>
          <w:trHeight w:val="162"/>
        </w:trPr>
        <w:tc>
          <w:tcPr>
            <w:tcW w:w="5580" w:type="dxa"/>
            <w:vAlign w:val="bottom"/>
            <w:gridSpan w:val="2"/>
          </w:tcPr>
          <w:p>
            <w:pPr>
              <w:spacing w:after="0"/>
              <w:rPr>
                <w:sz w:val="20"/>
                <w:szCs w:val="20"/>
                <w:color w:val="auto"/>
              </w:rPr>
            </w:pPr>
            <w:r>
              <w:rPr>
                <w:rFonts w:ascii="Arial" w:cs="Arial" w:eastAsia="Arial" w:hAnsi="Arial"/>
                <w:sz w:val="14"/>
                <w:szCs w:val="14"/>
                <w:color w:val="auto"/>
              </w:rPr>
              <w:t>Forward foreign exchange contracts</w:t>
            </w:r>
          </w:p>
        </w:tc>
        <w:tc>
          <w:tcPr>
            <w:tcW w:w="2720" w:type="dxa"/>
            <w:vAlign w:val="bottom"/>
          </w:tcPr>
          <w:p>
            <w:pPr>
              <w:jc w:val="right"/>
              <w:ind w:right="131"/>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133"/>
              <w:spacing w:after="0"/>
              <w:rPr>
                <w:sz w:val="20"/>
                <w:szCs w:val="20"/>
                <w:color w:val="auto"/>
              </w:rPr>
            </w:pPr>
            <w:r>
              <w:rPr>
                <w:rFonts w:ascii="Arial" w:cs="Arial" w:eastAsia="Arial" w:hAnsi="Arial"/>
                <w:sz w:val="14"/>
                <w:szCs w:val="14"/>
                <w:color w:val="auto"/>
              </w:rPr>
              <w:t>191</w:t>
            </w:r>
          </w:p>
        </w:tc>
        <w:tc>
          <w:tcPr>
            <w:tcW w:w="1140" w:type="dxa"/>
            <w:vAlign w:val="bottom"/>
          </w:tcPr>
          <w:p>
            <w:pPr>
              <w:jc w:val="right"/>
              <w:ind w:right="150"/>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29"/>
              <w:spacing w:after="0"/>
              <w:rPr>
                <w:sz w:val="20"/>
                <w:szCs w:val="20"/>
                <w:color w:val="auto"/>
              </w:rPr>
            </w:pPr>
            <w:r>
              <w:rPr>
                <w:rFonts w:ascii="Arial" w:cs="Arial" w:eastAsia="Arial" w:hAnsi="Arial"/>
                <w:sz w:val="14"/>
                <w:szCs w:val="14"/>
                <w:color w:val="auto"/>
              </w:rPr>
              <w:t>191</w:t>
            </w:r>
          </w:p>
        </w:tc>
        <w:tc>
          <w:tcPr>
            <w:tcW w:w="0" w:type="dxa"/>
            <w:vAlign w:val="bottom"/>
          </w:tcPr>
          <w:p>
            <w:pPr>
              <w:spacing w:after="0"/>
              <w:rPr>
                <w:sz w:val="1"/>
                <w:szCs w:val="1"/>
                <w:color w:val="auto"/>
              </w:rPr>
            </w:pPr>
          </w:p>
        </w:tc>
      </w:tr>
      <w:tr>
        <w:trPr>
          <w:trHeight w:val="162"/>
        </w:trPr>
        <w:tc>
          <w:tcPr>
            <w:tcW w:w="1720" w:type="dxa"/>
            <w:vAlign w:val="bottom"/>
          </w:tcPr>
          <w:p>
            <w:pPr>
              <w:spacing w:after="0"/>
              <w:rPr>
                <w:sz w:val="20"/>
                <w:szCs w:val="20"/>
                <w:color w:val="auto"/>
              </w:rPr>
            </w:pPr>
            <w:r>
              <w:rPr>
                <w:rFonts w:ascii="Arial" w:cs="Arial" w:eastAsia="Arial" w:hAnsi="Arial"/>
                <w:sz w:val="14"/>
                <w:szCs w:val="14"/>
                <w:color w:val="auto"/>
              </w:rPr>
              <w:t>Currency swaps</w:t>
            </w:r>
          </w:p>
        </w:tc>
        <w:tc>
          <w:tcPr>
            <w:tcW w:w="3860" w:type="dxa"/>
            <w:vAlign w:val="bottom"/>
          </w:tcPr>
          <w:p>
            <w:pPr>
              <w:spacing w:after="0"/>
              <w:rPr>
                <w:sz w:val="14"/>
                <w:szCs w:val="14"/>
                <w:color w:val="auto"/>
              </w:rPr>
            </w:pPr>
          </w:p>
        </w:tc>
        <w:tc>
          <w:tcPr>
            <w:tcW w:w="2720" w:type="dxa"/>
            <w:vAlign w:val="bottom"/>
          </w:tcPr>
          <w:p>
            <w:pPr>
              <w:jc w:val="right"/>
              <w:ind w:right="131"/>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133"/>
              <w:spacing w:after="0"/>
              <w:rPr>
                <w:sz w:val="20"/>
                <w:szCs w:val="20"/>
                <w:color w:val="auto"/>
              </w:rPr>
            </w:pPr>
            <w:r>
              <w:rPr>
                <w:rFonts w:ascii="Arial" w:cs="Arial" w:eastAsia="Arial" w:hAnsi="Arial"/>
                <w:sz w:val="14"/>
                <w:szCs w:val="14"/>
                <w:color w:val="auto"/>
              </w:rPr>
              <w:t>1,237</w:t>
            </w:r>
          </w:p>
        </w:tc>
        <w:tc>
          <w:tcPr>
            <w:tcW w:w="1140" w:type="dxa"/>
            <w:vAlign w:val="bottom"/>
          </w:tcPr>
          <w:p>
            <w:pPr>
              <w:jc w:val="right"/>
              <w:ind w:right="150"/>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29"/>
              <w:spacing w:after="0"/>
              <w:rPr>
                <w:sz w:val="20"/>
                <w:szCs w:val="20"/>
                <w:color w:val="auto"/>
              </w:rPr>
            </w:pPr>
            <w:r>
              <w:rPr>
                <w:rFonts w:ascii="Arial" w:cs="Arial" w:eastAsia="Arial" w:hAnsi="Arial"/>
                <w:sz w:val="14"/>
                <w:szCs w:val="14"/>
                <w:color w:val="auto"/>
              </w:rPr>
              <w:t>1,237</w:t>
            </w:r>
          </w:p>
        </w:tc>
        <w:tc>
          <w:tcPr>
            <w:tcW w:w="0" w:type="dxa"/>
            <w:vAlign w:val="bottom"/>
          </w:tcPr>
          <w:p>
            <w:pPr>
              <w:spacing w:after="0"/>
              <w:rPr>
                <w:sz w:val="1"/>
                <w:szCs w:val="1"/>
                <w:color w:val="auto"/>
              </w:rPr>
            </w:pPr>
          </w:p>
        </w:tc>
      </w:tr>
      <w:tr>
        <w:trPr>
          <w:trHeight w:val="162"/>
        </w:trPr>
        <w:tc>
          <w:tcPr>
            <w:tcW w:w="1720" w:type="dxa"/>
            <w:vAlign w:val="bottom"/>
          </w:tcPr>
          <w:p>
            <w:pPr>
              <w:spacing w:after="0"/>
              <w:rPr>
                <w:sz w:val="20"/>
                <w:szCs w:val="20"/>
                <w:color w:val="auto"/>
              </w:rPr>
            </w:pPr>
            <w:r>
              <w:rPr>
                <w:rFonts w:ascii="Arial" w:cs="Arial" w:eastAsia="Arial" w:hAnsi="Arial"/>
                <w:sz w:val="14"/>
                <w:szCs w:val="14"/>
                <w:color w:val="auto"/>
              </w:rPr>
              <w:t>Commodity derivatives</w:t>
            </w:r>
          </w:p>
        </w:tc>
        <w:tc>
          <w:tcPr>
            <w:tcW w:w="3860" w:type="dxa"/>
            <w:vAlign w:val="bottom"/>
          </w:tcPr>
          <w:p>
            <w:pPr>
              <w:spacing w:after="0"/>
              <w:rPr>
                <w:sz w:val="14"/>
                <w:szCs w:val="14"/>
                <w:color w:val="auto"/>
              </w:rPr>
            </w:pPr>
          </w:p>
        </w:tc>
        <w:tc>
          <w:tcPr>
            <w:tcW w:w="2720" w:type="dxa"/>
            <w:vAlign w:val="bottom"/>
          </w:tcPr>
          <w:p>
            <w:pPr>
              <w:jc w:val="right"/>
              <w:ind w:right="91"/>
              <w:spacing w:after="0"/>
              <w:rPr>
                <w:sz w:val="20"/>
                <w:szCs w:val="20"/>
                <w:color w:val="auto"/>
              </w:rPr>
            </w:pPr>
            <w:r>
              <w:rPr>
                <w:rFonts w:ascii="Arial" w:cs="Arial" w:eastAsia="Arial" w:hAnsi="Arial"/>
                <w:sz w:val="14"/>
                <w:szCs w:val="14"/>
                <w:color w:val="auto"/>
              </w:rPr>
              <w:t>(9)</w:t>
            </w:r>
          </w:p>
        </w:tc>
        <w:tc>
          <w:tcPr>
            <w:tcW w:w="980" w:type="dxa"/>
            <w:vAlign w:val="bottom"/>
          </w:tcPr>
          <w:p>
            <w:pPr>
              <w:jc w:val="right"/>
              <w:ind w:right="93"/>
              <w:spacing w:after="0"/>
              <w:rPr>
                <w:sz w:val="20"/>
                <w:szCs w:val="20"/>
                <w:color w:val="auto"/>
              </w:rPr>
            </w:pPr>
            <w:r>
              <w:rPr>
                <w:rFonts w:ascii="Arial" w:cs="Arial" w:eastAsia="Arial" w:hAnsi="Arial"/>
                <w:sz w:val="14"/>
                <w:szCs w:val="14"/>
                <w:color w:val="auto"/>
              </w:rPr>
              <w:t>(280)</w:t>
            </w:r>
          </w:p>
        </w:tc>
        <w:tc>
          <w:tcPr>
            <w:tcW w:w="1140" w:type="dxa"/>
            <w:vAlign w:val="bottom"/>
          </w:tcPr>
          <w:p>
            <w:pPr>
              <w:jc w:val="right"/>
              <w:ind w:right="150"/>
              <w:spacing w:after="0"/>
              <w:rPr>
                <w:sz w:val="20"/>
                <w:szCs w:val="20"/>
                <w:color w:val="auto"/>
              </w:rPr>
            </w:pPr>
            <w:r>
              <w:rPr>
                <w:rFonts w:ascii="Arial" w:cs="Arial" w:eastAsia="Arial" w:hAnsi="Arial"/>
                <w:sz w:val="14"/>
                <w:szCs w:val="14"/>
                <w:color w:val="auto"/>
              </w:rPr>
              <w:t>97</w:t>
            </w:r>
          </w:p>
        </w:tc>
        <w:tc>
          <w:tcPr>
            <w:tcW w:w="1000" w:type="dxa"/>
            <w:vAlign w:val="bottom"/>
          </w:tcPr>
          <w:p>
            <w:pPr>
              <w:jc w:val="right"/>
              <w:spacing w:after="0"/>
              <w:rPr>
                <w:sz w:val="20"/>
                <w:szCs w:val="20"/>
                <w:color w:val="auto"/>
              </w:rPr>
            </w:pPr>
            <w:r>
              <w:rPr>
                <w:rFonts w:ascii="Arial" w:cs="Arial" w:eastAsia="Arial" w:hAnsi="Arial"/>
                <w:sz w:val="14"/>
                <w:szCs w:val="14"/>
                <w:color w:val="auto"/>
              </w:rPr>
              <w:t>(192)</w:t>
            </w:r>
          </w:p>
        </w:tc>
        <w:tc>
          <w:tcPr>
            <w:tcW w:w="0" w:type="dxa"/>
            <w:vAlign w:val="bottom"/>
          </w:tcPr>
          <w:p>
            <w:pPr>
              <w:spacing w:after="0"/>
              <w:rPr>
                <w:sz w:val="1"/>
                <w:szCs w:val="1"/>
                <w:color w:val="auto"/>
              </w:rPr>
            </w:pPr>
          </w:p>
        </w:tc>
      </w:tr>
      <w:tr>
        <w:trPr>
          <w:trHeight w:val="157"/>
        </w:trPr>
        <w:tc>
          <w:tcPr>
            <w:tcW w:w="1720" w:type="dxa"/>
            <w:vAlign w:val="bottom"/>
            <w:tcBorders>
              <w:bottom w:val="single" w:sz="8" w:color="auto"/>
            </w:tcBorders>
          </w:tcPr>
          <w:p>
            <w:pPr>
              <w:spacing w:after="0" w:line="157" w:lineRule="exact"/>
              <w:rPr>
                <w:sz w:val="20"/>
                <w:szCs w:val="20"/>
                <w:color w:val="auto"/>
              </w:rPr>
            </w:pPr>
            <w:r>
              <w:rPr>
                <w:rFonts w:ascii="Arial" w:cs="Arial" w:eastAsia="Arial" w:hAnsi="Arial"/>
                <w:sz w:val="14"/>
                <w:szCs w:val="14"/>
                <w:color w:val="auto"/>
              </w:rPr>
              <w:t>Other contracts</w:t>
            </w:r>
          </w:p>
        </w:tc>
        <w:tc>
          <w:tcPr>
            <w:tcW w:w="3860" w:type="dxa"/>
            <w:vAlign w:val="bottom"/>
            <w:tcBorders>
              <w:bottom w:val="single" w:sz="8" w:color="auto"/>
            </w:tcBorders>
          </w:tcPr>
          <w:p>
            <w:pPr>
              <w:spacing w:after="0"/>
              <w:rPr>
                <w:sz w:val="13"/>
                <w:szCs w:val="13"/>
                <w:color w:val="auto"/>
              </w:rPr>
            </w:pPr>
          </w:p>
        </w:tc>
        <w:tc>
          <w:tcPr>
            <w:tcW w:w="2720" w:type="dxa"/>
            <w:vAlign w:val="bottom"/>
            <w:tcBorders>
              <w:bottom w:val="single" w:sz="8" w:color="auto"/>
            </w:tcBorders>
          </w:tcPr>
          <w:p>
            <w:pPr>
              <w:jc w:val="right"/>
              <w:ind w:right="131"/>
              <w:spacing w:after="0" w:line="157" w:lineRule="exact"/>
              <w:rPr>
                <w:sz w:val="20"/>
                <w:szCs w:val="20"/>
                <w:color w:val="auto"/>
              </w:rPr>
            </w:pPr>
            <w:r>
              <w:rPr>
                <w:rFonts w:ascii="Arial" w:cs="Arial" w:eastAsia="Arial" w:hAnsi="Arial"/>
                <w:sz w:val="14"/>
                <w:szCs w:val="14"/>
                <w:color w:val="auto"/>
              </w:rPr>
              <w:t>35</w:t>
            </w:r>
          </w:p>
        </w:tc>
        <w:tc>
          <w:tcPr>
            <w:tcW w:w="980" w:type="dxa"/>
            <w:vAlign w:val="bottom"/>
            <w:tcBorders>
              <w:bottom w:val="single" w:sz="8" w:color="auto"/>
            </w:tcBorders>
          </w:tcPr>
          <w:p>
            <w:pPr>
              <w:jc w:val="right"/>
              <w:ind w:right="133"/>
              <w:spacing w:after="0" w:line="157" w:lineRule="exact"/>
              <w:rPr>
                <w:sz w:val="20"/>
                <w:szCs w:val="20"/>
                <w:color w:val="auto"/>
              </w:rPr>
            </w:pPr>
            <w:r>
              <w:rPr>
                <w:rFonts w:ascii="Arial" w:cs="Arial" w:eastAsia="Arial" w:hAnsi="Arial"/>
                <w:sz w:val="14"/>
                <w:szCs w:val="14"/>
                <w:color w:val="auto"/>
              </w:rPr>
              <w:t>36</w:t>
            </w:r>
          </w:p>
        </w:tc>
        <w:tc>
          <w:tcPr>
            <w:tcW w:w="1140" w:type="dxa"/>
            <w:vAlign w:val="bottom"/>
            <w:tcBorders>
              <w:bottom w:val="single" w:sz="8" w:color="auto"/>
            </w:tcBorders>
          </w:tcPr>
          <w:p>
            <w:pPr>
              <w:jc w:val="right"/>
              <w:ind w:right="90"/>
              <w:spacing w:after="0" w:line="157" w:lineRule="exact"/>
              <w:rPr>
                <w:sz w:val="20"/>
                <w:szCs w:val="20"/>
                <w:color w:val="auto"/>
              </w:rPr>
            </w:pPr>
            <w:r>
              <w:rPr>
                <w:rFonts w:ascii="Arial" w:cs="Arial" w:eastAsia="Arial" w:hAnsi="Arial"/>
                <w:sz w:val="14"/>
                <w:szCs w:val="14"/>
                <w:color w:val="auto"/>
              </w:rPr>
              <w:t>(373)</w:t>
            </w:r>
          </w:p>
        </w:tc>
        <w:tc>
          <w:tcPr>
            <w:tcW w:w="1000" w:type="dxa"/>
            <w:vAlign w:val="bottom"/>
            <w:tcBorders>
              <w:bottom w:val="single" w:sz="8" w:color="auto"/>
            </w:tcBorders>
          </w:tcPr>
          <w:p>
            <w:pPr>
              <w:jc w:val="right"/>
              <w:spacing w:after="0" w:line="157" w:lineRule="exact"/>
              <w:rPr>
                <w:sz w:val="20"/>
                <w:szCs w:val="20"/>
                <w:color w:val="auto"/>
              </w:rPr>
            </w:pPr>
            <w:r>
              <w:rPr>
                <w:rFonts w:ascii="Arial" w:cs="Arial" w:eastAsia="Arial" w:hAnsi="Arial"/>
                <w:sz w:val="14"/>
                <w:szCs w:val="14"/>
                <w:color w:val="auto"/>
              </w:rPr>
              <w:t>(302)</w:t>
            </w:r>
          </w:p>
        </w:tc>
        <w:tc>
          <w:tcPr>
            <w:tcW w:w="0" w:type="dxa"/>
            <w:vAlign w:val="bottom"/>
          </w:tcPr>
          <w:p>
            <w:pPr>
              <w:spacing w:after="0"/>
              <w:rPr>
                <w:sz w:val="1"/>
                <w:szCs w:val="1"/>
                <w:color w:val="auto"/>
              </w:rPr>
            </w:pPr>
          </w:p>
        </w:tc>
      </w:tr>
      <w:tr>
        <w:trPr>
          <w:trHeight w:val="156"/>
        </w:trPr>
        <w:tc>
          <w:tcPr>
            <w:tcW w:w="1720" w:type="dxa"/>
            <w:vAlign w:val="bottom"/>
            <w:tcBorders>
              <w:bottom w:val="single" w:sz="8" w:color="auto"/>
            </w:tcBorders>
          </w:tcPr>
          <w:p>
            <w:pPr>
              <w:spacing w:after="0" w:line="155" w:lineRule="exact"/>
              <w:rPr>
                <w:sz w:val="20"/>
                <w:szCs w:val="20"/>
                <w:color w:val="auto"/>
              </w:rPr>
            </w:pPr>
            <w:r>
              <w:rPr>
                <w:rFonts w:ascii="Arial" w:cs="Arial" w:eastAsia="Arial" w:hAnsi="Arial"/>
                <w:sz w:val="14"/>
                <w:szCs w:val="14"/>
                <w:color w:val="auto"/>
              </w:rPr>
              <w:t>Total</w:t>
            </w:r>
          </w:p>
        </w:tc>
        <w:tc>
          <w:tcPr>
            <w:tcW w:w="3860" w:type="dxa"/>
            <w:vAlign w:val="bottom"/>
            <w:tcBorders>
              <w:bottom w:val="single" w:sz="8" w:color="auto"/>
            </w:tcBorders>
          </w:tcPr>
          <w:p>
            <w:pPr>
              <w:spacing w:after="0"/>
              <w:rPr>
                <w:sz w:val="13"/>
                <w:szCs w:val="13"/>
                <w:color w:val="auto"/>
              </w:rPr>
            </w:pPr>
          </w:p>
        </w:tc>
        <w:tc>
          <w:tcPr>
            <w:tcW w:w="2720" w:type="dxa"/>
            <w:vAlign w:val="bottom"/>
            <w:tcBorders>
              <w:bottom w:val="single" w:sz="8" w:color="auto"/>
            </w:tcBorders>
          </w:tcPr>
          <w:p>
            <w:pPr>
              <w:jc w:val="right"/>
              <w:ind w:right="131"/>
              <w:spacing w:after="0" w:line="155" w:lineRule="exact"/>
              <w:rPr>
                <w:sz w:val="20"/>
                <w:szCs w:val="20"/>
                <w:color w:val="auto"/>
              </w:rPr>
            </w:pPr>
            <w:r>
              <w:rPr>
                <w:rFonts w:ascii="Arial" w:cs="Arial" w:eastAsia="Arial" w:hAnsi="Arial"/>
                <w:sz w:val="14"/>
                <w:szCs w:val="14"/>
                <w:color w:val="auto"/>
              </w:rPr>
              <w:t>26</w:t>
            </w:r>
          </w:p>
        </w:tc>
        <w:tc>
          <w:tcPr>
            <w:tcW w:w="980" w:type="dxa"/>
            <w:vAlign w:val="bottom"/>
            <w:tcBorders>
              <w:bottom w:val="single" w:sz="8" w:color="auto"/>
            </w:tcBorders>
          </w:tcPr>
          <w:p>
            <w:pPr>
              <w:jc w:val="right"/>
              <w:ind w:right="133"/>
              <w:spacing w:after="0" w:line="155" w:lineRule="exact"/>
              <w:rPr>
                <w:sz w:val="20"/>
                <w:szCs w:val="20"/>
                <w:color w:val="auto"/>
              </w:rPr>
            </w:pPr>
            <w:r>
              <w:rPr>
                <w:rFonts w:ascii="Arial" w:cs="Arial" w:eastAsia="Arial" w:hAnsi="Arial"/>
                <w:sz w:val="14"/>
                <w:szCs w:val="14"/>
                <w:color w:val="auto"/>
              </w:rPr>
              <w:t>1,406</w:t>
            </w:r>
          </w:p>
        </w:tc>
        <w:tc>
          <w:tcPr>
            <w:tcW w:w="1140" w:type="dxa"/>
            <w:vAlign w:val="bottom"/>
            <w:tcBorders>
              <w:bottom w:val="single" w:sz="8" w:color="auto"/>
            </w:tcBorders>
          </w:tcPr>
          <w:p>
            <w:pPr>
              <w:jc w:val="right"/>
              <w:ind w:right="90"/>
              <w:spacing w:after="0" w:line="155" w:lineRule="exact"/>
              <w:rPr>
                <w:sz w:val="20"/>
                <w:szCs w:val="20"/>
                <w:color w:val="auto"/>
              </w:rPr>
            </w:pPr>
            <w:r>
              <w:rPr>
                <w:rFonts w:ascii="Arial" w:cs="Arial" w:eastAsia="Arial" w:hAnsi="Arial"/>
                <w:sz w:val="14"/>
                <w:szCs w:val="14"/>
                <w:color w:val="auto"/>
              </w:rPr>
              <w:t>(276)</w:t>
            </w:r>
          </w:p>
        </w:tc>
        <w:tc>
          <w:tcPr>
            <w:tcW w:w="1000" w:type="dxa"/>
            <w:vAlign w:val="bottom"/>
            <w:tcBorders>
              <w:bottom w:val="single" w:sz="8" w:color="auto"/>
            </w:tcBorders>
          </w:tcPr>
          <w:p>
            <w:pPr>
              <w:jc w:val="right"/>
              <w:ind w:right="29"/>
              <w:spacing w:after="0" w:line="155" w:lineRule="exact"/>
              <w:rPr>
                <w:sz w:val="20"/>
                <w:szCs w:val="20"/>
                <w:color w:val="auto"/>
              </w:rPr>
            </w:pPr>
            <w:r>
              <w:rPr>
                <w:rFonts w:ascii="Arial" w:cs="Arial" w:eastAsia="Arial" w:hAnsi="Arial"/>
                <w:sz w:val="14"/>
                <w:szCs w:val="14"/>
                <w:color w:val="auto"/>
              </w:rPr>
              <w:t>1,156</w:t>
            </w:r>
          </w:p>
        </w:tc>
        <w:tc>
          <w:tcPr>
            <w:tcW w:w="0" w:type="dxa"/>
            <w:vAlign w:val="bottom"/>
          </w:tcPr>
          <w:p>
            <w:pPr>
              <w:spacing w:after="0"/>
              <w:rPr>
                <w:sz w:val="1"/>
                <w:szCs w:val="1"/>
                <w:color w:val="auto"/>
              </w:rPr>
            </w:pPr>
          </w:p>
        </w:tc>
      </w:tr>
    </w:tbl>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9080" w:type="dxa"/>
            <w:vAlign w:val="bottom"/>
            <w:gridSpan w:val="2"/>
            <w:shd w:val="clear" w:color="auto" w:fill="333333"/>
          </w:tcPr>
          <w:p>
            <w:pPr>
              <w:ind w:left="80"/>
              <w:spacing w:after="0"/>
              <w:rPr>
                <w:sz w:val="20"/>
                <w:szCs w:val="20"/>
                <w:color w:val="auto"/>
              </w:rPr>
            </w:pPr>
            <w:r>
              <w:rPr>
                <w:rFonts w:ascii="Arial" w:cs="Arial" w:eastAsia="Arial" w:hAnsi="Arial"/>
                <w:sz w:val="15"/>
                <w:szCs w:val="15"/>
                <w:b w:val="1"/>
                <w:bCs w:val="1"/>
                <w:color w:val="FFFFFF"/>
              </w:rPr>
              <w:t>NET CARRYING AMOUNTS OF DERIVATIVE CONTRACTS MEASURED USING PREDOMINANTLY UNOBSERVABLE INPUTS</w:t>
            </w:r>
          </w:p>
        </w:tc>
        <w:tc>
          <w:tcPr>
            <w:tcW w:w="780" w:type="dxa"/>
            <w:vAlign w:val="bottom"/>
            <w:shd w:val="clear" w:color="auto" w:fill="333333"/>
          </w:tcPr>
          <w:p>
            <w:pPr>
              <w:spacing w:after="0"/>
              <w:rPr>
                <w:sz w:val="15"/>
                <w:szCs w:val="15"/>
                <w:color w:val="auto"/>
              </w:rPr>
            </w:pPr>
          </w:p>
        </w:tc>
        <w:tc>
          <w:tcPr>
            <w:tcW w:w="1560" w:type="dxa"/>
            <w:vAlign w:val="bottom"/>
            <w:shd w:val="clear" w:color="auto" w:fill="333333"/>
          </w:tcPr>
          <w:p>
            <w:pPr>
              <w:jc w:val="right"/>
              <w:ind w:right="29"/>
              <w:spacing w:after="0"/>
              <w:rPr>
                <w:sz w:val="20"/>
                <w:szCs w:val="20"/>
                <w:color w:val="auto"/>
              </w:rPr>
            </w:pPr>
            <w:r>
              <w:rPr>
                <w:rFonts w:ascii="Arial" w:cs="Arial" w:eastAsia="Arial" w:hAnsi="Arial"/>
                <w:sz w:val="15"/>
                <w:szCs w:val="15"/>
                <w:color w:val="FFFFFF"/>
              </w:rPr>
              <w:t>$ MILLION</w:t>
            </w:r>
          </w:p>
        </w:tc>
      </w:tr>
      <w:tr>
        <w:trPr>
          <w:trHeight w:val="149"/>
        </w:trPr>
        <w:tc>
          <w:tcPr>
            <w:tcW w:w="840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shd w:val="clear" w:color="auto" w:fill="D8D8D8"/>
          </w:tcPr>
          <w:p>
            <w:pPr>
              <w:spacing w:after="0"/>
              <w:rPr>
                <w:sz w:val="12"/>
                <w:szCs w:val="12"/>
                <w:color w:val="auto"/>
              </w:rPr>
            </w:pPr>
          </w:p>
        </w:tc>
        <w:tc>
          <w:tcPr>
            <w:tcW w:w="780" w:type="dxa"/>
            <w:vAlign w:val="bottom"/>
            <w:tcBorders>
              <w:bottom w:val="single" w:sz="8" w:color="auto"/>
            </w:tcBorders>
            <w:shd w:val="clear" w:color="auto" w:fill="D8D8D8"/>
          </w:tcPr>
          <w:p>
            <w:pPr>
              <w:jc w:val="right"/>
              <w:ind w:right="389"/>
              <w:spacing w:after="0"/>
              <w:rPr>
                <w:sz w:val="20"/>
                <w:szCs w:val="20"/>
                <w:color w:val="auto"/>
              </w:rPr>
            </w:pPr>
            <w:r>
              <w:rPr>
                <w:rFonts w:ascii="Arial" w:cs="Arial" w:eastAsia="Arial" w:hAnsi="Arial"/>
                <w:sz w:val="13"/>
                <w:szCs w:val="13"/>
                <w:color w:val="auto"/>
              </w:rPr>
              <w:t>2014</w:t>
            </w:r>
          </w:p>
        </w:tc>
        <w:tc>
          <w:tcPr>
            <w:tcW w:w="1560" w:type="dxa"/>
            <w:vAlign w:val="bottom"/>
            <w:tcBorders>
              <w:bottom w:val="single" w:sz="8" w:color="auto"/>
            </w:tcBorders>
          </w:tcPr>
          <w:p>
            <w:pPr>
              <w:jc w:val="right"/>
              <w:ind w:right="29"/>
              <w:spacing w:after="0"/>
              <w:rPr>
                <w:sz w:val="20"/>
                <w:szCs w:val="20"/>
                <w:color w:val="auto"/>
              </w:rPr>
            </w:pPr>
            <w:r>
              <w:rPr>
                <w:rFonts w:ascii="Arial" w:cs="Arial" w:eastAsia="Arial" w:hAnsi="Arial"/>
                <w:sz w:val="13"/>
                <w:szCs w:val="13"/>
                <w:color w:val="auto"/>
              </w:rPr>
              <w:t>2013</w:t>
            </w:r>
          </w:p>
        </w:tc>
      </w:tr>
      <w:tr>
        <w:trPr>
          <w:trHeight w:val="156"/>
        </w:trPr>
        <w:tc>
          <w:tcPr>
            <w:tcW w:w="8400" w:type="dxa"/>
            <w:vAlign w:val="bottom"/>
          </w:tcPr>
          <w:p>
            <w:pPr>
              <w:spacing w:after="0" w:line="155" w:lineRule="exact"/>
              <w:rPr>
                <w:sz w:val="20"/>
                <w:szCs w:val="20"/>
                <w:color w:val="auto"/>
              </w:rPr>
            </w:pPr>
            <w:r>
              <w:rPr>
                <w:rFonts w:ascii="Arial" w:cs="Arial" w:eastAsia="Arial" w:hAnsi="Arial"/>
                <w:sz w:val="14"/>
                <w:szCs w:val="14"/>
                <w:color w:val="auto"/>
              </w:rPr>
              <w:t>At January 1</w:t>
            </w:r>
          </w:p>
        </w:tc>
        <w:tc>
          <w:tcPr>
            <w:tcW w:w="680" w:type="dxa"/>
            <w:vAlign w:val="bottom"/>
            <w:shd w:val="clear" w:color="auto" w:fill="D8D8D8"/>
          </w:tcPr>
          <w:p>
            <w:pPr>
              <w:spacing w:after="0"/>
              <w:rPr>
                <w:sz w:val="13"/>
                <w:szCs w:val="13"/>
                <w:color w:val="auto"/>
              </w:rPr>
            </w:pPr>
          </w:p>
        </w:tc>
        <w:tc>
          <w:tcPr>
            <w:tcW w:w="780" w:type="dxa"/>
            <w:vAlign w:val="bottom"/>
            <w:shd w:val="clear" w:color="auto" w:fill="D8D8D8"/>
          </w:tcPr>
          <w:p>
            <w:pPr>
              <w:jc w:val="right"/>
              <w:ind w:right="329"/>
              <w:spacing w:after="0" w:line="155" w:lineRule="exact"/>
              <w:rPr>
                <w:sz w:val="20"/>
                <w:szCs w:val="20"/>
                <w:color w:val="auto"/>
              </w:rPr>
            </w:pPr>
            <w:r>
              <w:rPr>
                <w:rFonts w:ascii="Arial" w:cs="Arial" w:eastAsia="Arial" w:hAnsi="Arial"/>
                <w:sz w:val="14"/>
                <w:szCs w:val="14"/>
                <w:color w:val="auto"/>
              </w:rPr>
              <w:t>(276)</w:t>
            </w:r>
          </w:p>
        </w:tc>
        <w:tc>
          <w:tcPr>
            <w:tcW w:w="1560" w:type="dxa"/>
            <w:vAlign w:val="bottom"/>
          </w:tcPr>
          <w:p>
            <w:pPr>
              <w:jc w:val="right"/>
              <w:spacing w:after="0" w:line="155" w:lineRule="exact"/>
              <w:rPr>
                <w:sz w:val="20"/>
                <w:szCs w:val="20"/>
                <w:color w:val="auto"/>
              </w:rPr>
            </w:pPr>
            <w:r>
              <w:rPr>
                <w:rFonts w:ascii="Arial" w:cs="Arial" w:eastAsia="Arial" w:hAnsi="Arial"/>
                <w:sz w:val="14"/>
                <w:szCs w:val="14"/>
                <w:color w:val="auto"/>
              </w:rPr>
              <w:t>(219)</w:t>
            </w:r>
          </w:p>
        </w:tc>
      </w:tr>
      <w:tr>
        <w:trPr>
          <w:trHeight w:val="162"/>
        </w:trPr>
        <w:tc>
          <w:tcPr>
            <w:tcW w:w="8400" w:type="dxa"/>
            <w:vAlign w:val="bottom"/>
          </w:tcPr>
          <w:p>
            <w:pPr>
              <w:spacing w:after="0"/>
              <w:rPr>
                <w:sz w:val="20"/>
                <w:szCs w:val="20"/>
                <w:color w:val="auto"/>
              </w:rPr>
            </w:pPr>
            <w:r>
              <w:rPr>
                <w:rFonts w:ascii="Arial" w:cs="Arial" w:eastAsia="Arial" w:hAnsi="Arial"/>
                <w:sz w:val="14"/>
                <w:szCs w:val="14"/>
                <w:color w:val="auto"/>
              </w:rPr>
              <w:t>Net losses recognised in revenue</w:t>
            </w:r>
          </w:p>
        </w:tc>
        <w:tc>
          <w:tcPr>
            <w:tcW w:w="680" w:type="dxa"/>
            <w:vAlign w:val="bottom"/>
            <w:shd w:val="clear" w:color="auto" w:fill="D8D8D8"/>
          </w:tcPr>
          <w:p>
            <w:pPr>
              <w:spacing w:after="0"/>
              <w:rPr>
                <w:sz w:val="14"/>
                <w:szCs w:val="14"/>
                <w:color w:val="auto"/>
              </w:rPr>
            </w:pPr>
          </w:p>
        </w:tc>
        <w:tc>
          <w:tcPr>
            <w:tcW w:w="780" w:type="dxa"/>
            <w:vAlign w:val="bottom"/>
            <w:shd w:val="clear" w:color="auto" w:fill="D8D8D8"/>
          </w:tcPr>
          <w:p>
            <w:pPr>
              <w:jc w:val="right"/>
              <w:ind w:right="389"/>
              <w:spacing w:after="0"/>
              <w:rPr>
                <w:sz w:val="20"/>
                <w:szCs w:val="20"/>
                <w:color w:val="auto"/>
              </w:rPr>
            </w:pPr>
            <w:r>
              <w:rPr>
                <w:rFonts w:ascii="Arial" w:cs="Arial" w:eastAsia="Arial" w:hAnsi="Arial"/>
                <w:sz w:val="14"/>
                <w:szCs w:val="14"/>
                <w:color w:val="auto"/>
              </w:rPr>
              <w:t>(76)</w:t>
            </w:r>
          </w:p>
        </w:tc>
        <w:tc>
          <w:tcPr>
            <w:tcW w:w="1560" w:type="dxa"/>
            <w:vAlign w:val="bottom"/>
          </w:tcPr>
          <w:p>
            <w:pPr>
              <w:jc w:val="right"/>
              <w:spacing w:after="0"/>
              <w:rPr>
                <w:sz w:val="20"/>
                <w:szCs w:val="20"/>
                <w:color w:val="auto"/>
              </w:rPr>
            </w:pPr>
            <w:r>
              <w:rPr>
                <w:rFonts w:ascii="Arial" w:cs="Arial" w:eastAsia="Arial" w:hAnsi="Arial"/>
                <w:sz w:val="14"/>
                <w:szCs w:val="14"/>
                <w:color w:val="auto"/>
              </w:rPr>
              <w:t>(142)</w:t>
            </w:r>
          </w:p>
        </w:tc>
      </w:tr>
      <w:tr>
        <w:trPr>
          <w:trHeight w:val="167"/>
        </w:trPr>
        <w:tc>
          <w:tcPr>
            <w:tcW w:w="8400" w:type="dxa"/>
            <w:vAlign w:val="bottom"/>
          </w:tcPr>
          <w:p>
            <w:pPr>
              <w:spacing w:after="0"/>
              <w:rPr>
                <w:sz w:val="20"/>
                <w:szCs w:val="20"/>
                <w:color w:val="auto"/>
              </w:rPr>
            </w:pPr>
            <w:r>
              <w:rPr>
                <w:rFonts w:ascii="Arial" w:cs="Arial" w:eastAsia="Arial" w:hAnsi="Arial"/>
                <w:sz w:val="14"/>
                <w:szCs w:val="14"/>
                <w:color w:val="auto"/>
              </w:rPr>
              <w:t>Purchases</w:t>
            </w:r>
          </w:p>
        </w:tc>
        <w:tc>
          <w:tcPr>
            <w:tcW w:w="680" w:type="dxa"/>
            <w:vAlign w:val="bottom"/>
            <w:shd w:val="clear" w:color="auto" w:fill="D8D8D8"/>
          </w:tcPr>
          <w:p>
            <w:pPr>
              <w:spacing w:after="0"/>
              <w:rPr>
                <w:sz w:val="14"/>
                <w:szCs w:val="14"/>
                <w:color w:val="auto"/>
              </w:rPr>
            </w:pPr>
          </w:p>
        </w:tc>
        <w:tc>
          <w:tcPr>
            <w:tcW w:w="780" w:type="dxa"/>
            <w:vAlign w:val="bottom"/>
            <w:shd w:val="clear" w:color="auto" w:fill="D8D8D8"/>
          </w:tcPr>
          <w:p>
            <w:pPr>
              <w:jc w:val="right"/>
              <w:ind w:right="389"/>
              <w:spacing w:after="0"/>
              <w:rPr>
                <w:sz w:val="20"/>
                <w:szCs w:val="20"/>
                <w:color w:val="auto"/>
              </w:rPr>
            </w:pPr>
            <w:r>
              <w:rPr>
                <w:rFonts w:ascii="Arial" w:cs="Arial" w:eastAsia="Arial" w:hAnsi="Arial"/>
                <w:sz w:val="14"/>
                <w:szCs w:val="14"/>
                <w:color w:val="auto"/>
                <w:w w:val="91"/>
              </w:rPr>
              <w:t>(313)</w:t>
            </w:r>
          </w:p>
        </w:tc>
        <w:tc>
          <w:tcPr>
            <w:tcW w:w="1560" w:type="dxa"/>
            <w:vAlign w:val="bottom"/>
          </w:tcPr>
          <w:p>
            <w:pPr>
              <w:jc w:val="right"/>
              <w:spacing w:after="0"/>
              <w:rPr>
                <w:sz w:val="20"/>
                <w:szCs w:val="20"/>
                <w:color w:val="auto"/>
              </w:rPr>
            </w:pPr>
            <w:r>
              <w:rPr>
                <w:rFonts w:ascii="Arial" w:cs="Arial" w:eastAsia="Arial" w:hAnsi="Arial"/>
                <w:sz w:val="14"/>
                <w:szCs w:val="14"/>
                <w:color w:val="auto"/>
              </w:rPr>
              <w:t>(34)</w:t>
            </w:r>
          </w:p>
        </w:tc>
      </w:tr>
      <w:tr>
        <w:trPr>
          <w:trHeight w:val="162"/>
        </w:trPr>
        <w:tc>
          <w:tcPr>
            <w:tcW w:w="8400" w:type="dxa"/>
            <w:vAlign w:val="bottom"/>
          </w:tcPr>
          <w:p>
            <w:pPr>
              <w:spacing w:after="0"/>
              <w:rPr>
                <w:sz w:val="20"/>
                <w:szCs w:val="20"/>
                <w:color w:val="auto"/>
              </w:rPr>
            </w:pPr>
            <w:r>
              <w:rPr>
                <w:rFonts w:ascii="Arial" w:cs="Arial" w:eastAsia="Arial" w:hAnsi="Arial"/>
                <w:sz w:val="14"/>
                <w:szCs w:val="14"/>
                <w:color w:val="auto"/>
              </w:rPr>
              <w:t>Sales</w:t>
            </w:r>
          </w:p>
        </w:tc>
        <w:tc>
          <w:tcPr>
            <w:tcW w:w="680" w:type="dxa"/>
            <w:vAlign w:val="bottom"/>
            <w:shd w:val="clear" w:color="auto" w:fill="D8D8D8"/>
          </w:tcPr>
          <w:p>
            <w:pPr>
              <w:spacing w:after="0"/>
              <w:rPr>
                <w:sz w:val="14"/>
                <w:szCs w:val="14"/>
                <w:color w:val="auto"/>
              </w:rPr>
            </w:pPr>
          </w:p>
        </w:tc>
        <w:tc>
          <w:tcPr>
            <w:tcW w:w="780" w:type="dxa"/>
            <w:vAlign w:val="bottom"/>
            <w:shd w:val="clear" w:color="auto" w:fill="D8D8D8"/>
          </w:tcPr>
          <w:p>
            <w:pPr>
              <w:jc w:val="right"/>
              <w:ind w:right="389"/>
              <w:spacing w:after="0"/>
              <w:rPr>
                <w:sz w:val="20"/>
                <w:szCs w:val="20"/>
                <w:color w:val="auto"/>
              </w:rPr>
            </w:pPr>
            <w:r>
              <w:rPr>
                <w:rFonts w:ascii="Arial" w:cs="Arial" w:eastAsia="Arial" w:hAnsi="Arial"/>
                <w:sz w:val="14"/>
                <w:szCs w:val="14"/>
                <w:color w:val="auto"/>
              </w:rPr>
              <w:t>264</w:t>
            </w:r>
          </w:p>
        </w:tc>
        <w:tc>
          <w:tcPr>
            <w:tcW w:w="1560" w:type="dxa"/>
            <w:vAlign w:val="bottom"/>
          </w:tcPr>
          <w:p>
            <w:pPr>
              <w:jc w:val="right"/>
              <w:spacing w:after="0"/>
              <w:rPr>
                <w:sz w:val="20"/>
                <w:szCs w:val="20"/>
                <w:color w:val="auto"/>
              </w:rPr>
            </w:pPr>
            <w:r>
              <w:rPr>
                <w:rFonts w:ascii="Arial" w:cs="Arial" w:eastAsia="Arial" w:hAnsi="Arial"/>
                <w:sz w:val="14"/>
                <w:szCs w:val="14"/>
                <w:color w:val="auto"/>
              </w:rPr>
              <w:t>(14)</w:t>
            </w:r>
          </w:p>
        </w:tc>
      </w:tr>
      <w:tr>
        <w:trPr>
          <w:trHeight w:val="162"/>
        </w:trPr>
        <w:tc>
          <w:tcPr>
            <w:tcW w:w="8400" w:type="dxa"/>
            <w:vAlign w:val="bottom"/>
          </w:tcPr>
          <w:p>
            <w:pPr>
              <w:spacing w:after="0"/>
              <w:rPr>
                <w:sz w:val="20"/>
                <w:szCs w:val="20"/>
                <w:color w:val="auto"/>
              </w:rPr>
            </w:pPr>
            <w:r>
              <w:rPr>
                <w:rFonts w:ascii="Arial" w:cs="Arial" w:eastAsia="Arial" w:hAnsi="Arial"/>
                <w:sz w:val="14"/>
                <w:szCs w:val="14"/>
                <w:color w:val="auto"/>
              </w:rPr>
              <w:t>Recategorisations (net)</w:t>
            </w:r>
          </w:p>
        </w:tc>
        <w:tc>
          <w:tcPr>
            <w:tcW w:w="680" w:type="dxa"/>
            <w:vAlign w:val="bottom"/>
            <w:shd w:val="clear" w:color="auto" w:fill="D8D8D8"/>
          </w:tcPr>
          <w:p>
            <w:pPr>
              <w:spacing w:after="0"/>
              <w:rPr>
                <w:sz w:val="14"/>
                <w:szCs w:val="14"/>
                <w:color w:val="auto"/>
              </w:rPr>
            </w:pPr>
          </w:p>
        </w:tc>
        <w:tc>
          <w:tcPr>
            <w:tcW w:w="780" w:type="dxa"/>
            <w:vAlign w:val="bottom"/>
            <w:shd w:val="clear" w:color="auto" w:fill="D8D8D8"/>
          </w:tcPr>
          <w:p>
            <w:pPr>
              <w:jc w:val="right"/>
              <w:ind w:right="389"/>
              <w:spacing w:after="0"/>
              <w:rPr>
                <w:sz w:val="20"/>
                <w:szCs w:val="20"/>
                <w:color w:val="auto"/>
              </w:rPr>
            </w:pPr>
            <w:r>
              <w:rPr>
                <w:rFonts w:ascii="Arial" w:cs="Arial" w:eastAsia="Arial" w:hAnsi="Arial"/>
                <w:sz w:val="14"/>
                <w:szCs w:val="14"/>
                <w:color w:val="auto"/>
              </w:rPr>
              <w:t>687</w:t>
            </w:r>
          </w:p>
        </w:tc>
        <w:tc>
          <w:tcPr>
            <w:tcW w:w="1560" w:type="dxa"/>
            <w:vAlign w:val="bottom"/>
          </w:tcPr>
          <w:p>
            <w:pPr>
              <w:jc w:val="right"/>
              <w:ind w:right="29"/>
              <w:spacing w:after="0"/>
              <w:rPr>
                <w:sz w:val="20"/>
                <w:szCs w:val="20"/>
                <w:color w:val="auto"/>
              </w:rPr>
            </w:pPr>
            <w:r>
              <w:rPr>
                <w:rFonts w:ascii="Arial" w:cs="Arial" w:eastAsia="Arial" w:hAnsi="Arial"/>
                <w:sz w:val="14"/>
                <w:szCs w:val="14"/>
                <w:color w:val="auto"/>
              </w:rPr>
              <w:t>133</w:t>
            </w:r>
          </w:p>
        </w:tc>
      </w:tr>
      <w:tr>
        <w:trPr>
          <w:trHeight w:val="157"/>
        </w:trPr>
        <w:tc>
          <w:tcPr>
            <w:tcW w:w="8400" w:type="dxa"/>
            <w:vAlign w:val="bottom"/>
            <w:tcBorders>
              <w:bottom w:val="single" w:sz="8" w:color="auto"/>
            </w:tcBorders>
          </w:tcPr>
          <w:p>
            <w:pPr>
              <w:spacing w:after="0" w:line="157" w:lineRule="exact"/>
              <w:rPr>
                <w:sz w:val="20"/>
                <w:szCs w:val="20"/>
                <w:color w:val="auto"/>
              </w:rPr>
            </w:pPr>
            <w:r>
              <w:rPr>
                <w:rFonts w:ascii="Arial" w:cs="Arial" w:eastAsia="Arial" w:hAnsi="Arial"/>
                <w:sz w:val="14"/>
                <w:szCs w:val="14"/>
                <w:color w:val="auto"/>
              </w:rPr>
              <w:t>Currency translation differences</w:t>
            </w:r>
          </w:p>
        </w:tc>
        <w:tc>
          <w:tcPr>
            <w:tcW w:w="680" w:type="dxa"/>
            <w:vAlign w:val="bottom"/>
            <w:tcBorders>
              <w:bottom w:val="single" w:sz="8" w:color="auto"/>
            </w:tcBorders>
            <w:shd w:val="clear" w:color="auto" w:fill="D8D8D8"/>
          </w:tcPr>
          <w:p>
            <w:pPr>
              <w:spacing w:after="0"/>
              <w:rPr>
                <w:sz w:val="13"/>
                <w:szCs w:val="13"/>
                <w:color w:val="auto"/>
              </w:rPr>
            </w:pPr>
          </w:p>
        </w:tc>
        <w:tc>
          <w:tcPr>
            <w:tcW w:w="780" w:type="dxa"/>
            <w:vAlign w:val="bottom"/>
            <w:tcBorders>
              <w:bottom w:val="single" w:sz="8" w:color="auto"/>
            </w:tcBorders>
            <w:shd w:val="clear" w:color="auto" w:fill="D8D8D8"/>
          </w:tcPr>
          <w:p>
            <w:pPr>
              <w:jc w:val="right"/>
              <w:ind w:right="389"/>
              <w:spacing w:after="0" w:line="157" w:lineRule="exact"/>
              <w:rPr>
                <w:sz w:val="20"/>
                <w:szCs w:val="20"/>
                <w:color w:val="auto"/>
              </w:rPr>
            </w:pPr>
            <w:r>
              <w:rPr>
                <w:rFonts w:ascii="Arial" w:cs="Arial" w:eastAsia="Arial" w:hAnsi="Arial"/>
                <w:sz w:val="14"/>
                <w:szCs w:val="14"/>
                <w:color w:val="auto"/>
              </w:rPr>
              <w:t>(32)</w:t>
            </w:r>
          </w:p>
        </w:tc>
        <w:tc>
          <w:tcPr>
            <w:tcW w:w="1560" w:type="dxa"/>
            <w:vAlign w:val="bottom"/>
            <w:tcBorders>
              <w:bottom w:val="single" w:sz="8" w:color="auto"/>
            </w:tcBorders>
          </w:tcPr>
          <w:p>
            <w:pPr>
              <w:jc w:val="right"/>
              <w:ind w:right="29"/>
              <w:spacing w:after="0" w:line="157" w:lineRule="exact"/>
              <w:rPr>
                <w:sz w:val="20"/>
                <w:szCs w:val="20"/>
                <w:color w:val="auto"/>
              </w:rPr>
            </w:pPr>
            <w:r>
              <w:rPr>
                <w:rFonts w:ascii="Arial" w:cs="Arial" w:eastAsia="Arial" w:hAnsi="Arial"/>
                <w:sz w:val="14"/>
                <w:szCs w:val="14"/>
                <w:color w:val="auto"/>
              </w:rPr>
              <w:t>–</w:t>
            </w:r>
          </w:p>
        </w:tc>
      </w:tr>
      <w:tr>
        <w:trPr>
          <w:trHeight w:val="156"/>
        </w:trPr>
        <w:tc>
          <w:tcPr>
            <w:tcW w:w="8400" w:type="dxa"/>
            <w:vAlign w:val="bottom"/>
            <w:tcBorders>
              <w:bottom w:val="single" w:sz="8" w:color="auto"/>
            </w:tcBorders>
          </w:tcPr>
          <w:p>
            <w:pPr>
              <w:spacing w:after="0" w:line="155" w:lineRule="exact"/>
              <w:rPr>
                <w:sz w:val="20"/>
                <w:szCs w:val="20"/>
                <w:color w:val="auto"/>
              </w:rPr>
            </w:pPr>
            <w:r>
              <w:rPr>
                <w:rFonts w:ascii="Arial" w:cs="Arial" w:eastAsia="Arial" w:hAnsi="Arial"/>
                <w:sz w:val="14"/>
                <w:szCs w:val="14"/>
                <w:color w:val="auto"/>
              </w:rPr>
              <w:t>At December 31</w:t>
            </w:r>
          </w:p>
        </w:tc>
        <w:tc>
          <w:tcPr>
            <w:tcW w:w="680" w:type="dxa"/>
            <w:vAlign w:val="bottom"/>
            <w:tcBorders>
              <w:bottom w:val="single" w:sz="8" w:color="auto"/>
            </w:tcBorders>
            <w:shd w:val="clear" w:color="auto" w:fill="D8D8D8"/>
          </w:tcPr>
          <w:p>
            <w:pPr>
              <w:spacing w:after="0"/>
              <w:rPr>
                <w:sz w:val="13"/>
                <w:szCs w:val="13"/>
                <w:color w:val="auto"/>
              </w:rPr>
            </w:pPr>
          </w:p>
        </w:tc>
        <w:tc>
          <w:tcPr>
            <w:tcW w:w="780" w:type="dxa"/>
            <w:vAlign w:val="bottom"/>
            <w:tcBorders>
              <w:bottom w:val="single" w:sz="8" w:color="auto"/>
            </w:tcBorders>
            <w:shd w:val="clear" w:color="auto" w:fill="D8D8D8"/>
          </w:tcPr>
          <w:p>
            <w:pPr>
              <w:jc w:val="right"/>
              <w:ind w:right="389"/>
              <w:spacing w:after="0" w:line="155" w:lineRule="exact"/>
              <w:rPr>
                <w:sz w:val="20"/>
                <w:szCs w:val="20"/>
                <w:color w:val="auto"/>
              </w:rPr>
            </w:pPr>
            <w:r>
              <w:rPr>
                <w:rFonts w:ascii="Arial" w:cs="Arial" w:eastAsia="Arial" w:hAnsi="Arial"/>
                <w:sz w:val="14"/>
                <w:szCs w:val="14"/>
                <w:color w:val="auto"/>
              </w:rPr>
              <w:t>254</w:t>
            </w:r>
          </w:p>
        </w:tc>
        <w:tc>
          <w:tcPr>
            <w:tcW w:w="15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(276)</w:t>
            </w:r>
          </w:p>
        </w:tc>
      </w:tr>
    </w:tbl>
    <w:p>
      <w:pPr>
        <w:spacing w:after="0" w:line="194" w:lineRule="exact"/>
        <w:rPr>
          <w:sz w:val="20"/>
          <w:szCs w:val="20"/>
          <w:color w:val="auto"/>
        </w:rPr>
      </w:pPr>
    </w:p>
    <w:p>
      <w:pPr>
        <w:ind w:right="80"/>
        <w:spacing w:after="0" w:line="258" w:lineRule="auto"/>
        <w:rPr>
          <w:sz w:val="20"/>
          <w:szCs w:val="20"/>
          <w:color w:val="auto"/>
        </w:rPr>
      </w:pPr>
      <w:r>
        <w:rPr>
          <w:rFonts w:ascii="Arial" w:cs="Arial" w:eastAsia="Arial" w:hAnsi="Arial"/>
          <w:sz w:val="14"/>
          <w:szCs w:val="14"/>
          <w:color w:val="auto"/>
        </w:rPr>
        <w:t>Included in net losses recognised in revenue for 2014 are unrealised net losses totalling $158 million relating to assets and liabilities held at December 31, 2014 (2013: $40 million net gains).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20 SHARE CAPITAL</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6580" w:type="dxa"/>
            <w:vAlign w:val="bottom"/>
            <w:shd w:val="clear" w:color="auto" w:fill="333333"/>
          </w:tcPr>
          <w:p>
            <w:pPr>
              <w:ind w:left="80"/>
              <w:spacing w:after="0"/>
              <w:rPr>
                <w:sz w:val="20"/>
                <w:szCs w:val="20"/>
                <w:color w:val="auto"/>
              </w:rPr>
            </w:pPr>
            <w:r>
              <w:rPr>
                <w:rFonts w:ascii="Arial" w:cs="Arial" w:eastAsia="Arial" w:hAnsi="Arial"/>
                <w:sz w:val="15"/>
                <w:szCs w:val="15"/>
                <w:b w:val="1"/>
                <w:bCs w:val="1"/>
                <w:color w:val="FFFFFF"/>
              </w:rPr>
              <w:t>ISSUED AND FULLY PAID</w:t>
            </w:r>
          </w:p>
        </w:tc>
        <w:tc>
          <w:tcPr>
            <w:tcW w:w="1920" w:type="dxa"/>
            <w:vAlign w:val="bottom"/>
            <w:shd w:val="clear" w:color="auto" w:fill="333333"/>
          </w:tcPr>
          <w:p>
            <w:pPr>
              <w:spacing w:after="0"/>
              <w:rPr>
                <w:sz w:val="14"/>
                <w:szCs w:val="14"/>
                <w:color w:val="auto"/>
              </w:rPr>
            </w:pPr>
          </w:p>
        </w:tc>
        <w:tc>
          <w:tcPr>
            <w:tcW w:w="2920" w:type="dxa"/>
            <w:vAlign w:val="bottom"/>
            <w:gridSpan w:val="3"/>
            <w:shd w:val="clear" w:color="auto" w:fill="333333"/>
          </w:tcPr>
          <w:p>
            <w:pPr>
              <w:jc w:val="right"/>
              <w:ind w:right="100"/>
              <w:spacing w:after="0"/>
              <w:rPr>
                <w:sz w:val="20"/>
                <w:szCs w:val="20"/>
                <w:color w:val="auto"/>
              </w:rPr>
            </w:pPr>
            <w:r>
              <w:rPr>
                <w:rFonts w:ascii="Arial" w:cs="Arial" w:eastAsia="Arial" w:hAnsi="Arial"/>
                <w:sz w:val="15"/>
                <w:szCs w:val="15"/>
                <w:color w:val="FFFFFF"/>
              </w:rPr>
              <w:t>NUMBER OF SHARES</w:t>
            </w:r>
          </w:p>
        </w:tc>
      </w:tr>
      <w:tr>
        <w:trPr>
          <w:trHeight w:val="143"/>
        </w:trPr>
        <w:tc>
          <w:tcPr>
            <w:tcW w:w="6580" w:type="dxa"/>
            <w:vAlign w:val="bottom"/>
          </w:tcPr>
          <w:p>
            <w:pPr>
              <w:spacing w:after="0"/>
              <w:rPr>
                <w:sz w:val="12"/>
                <w:szCs w:val="12"/>
                <w:color w:val="auto"/>
              </w:rPr>
            </w:pPr>
          </w:p>
        </w:tc>
        <w:tc>
          <w:tcPr>
            <w:tcW w:w="3280" w:type="dxa"/>
            <w:vAlign w:val="bottom"/>
            <w:tcBorders>
              <w:bottom w:val="single" w:sz="8" w:color="auto"/>
            </w:tcBorders>
            <w:gridSpan w:val="2"/>
          </w:tcPr>
          <w:p>
            <w:pPr>
              <w:jc w:val="right"/>
              <w:ind w:right="28"/>
              <w:spacing w:after="0" w:line="143" w:lineRule="exact"/>
              <w:rPr>
                <w:sz w:val="20"/>
                <w:szCs w:val="20"/>
                <w:color w:val="auto"/>
              </w:rPr>
            </w:pPr>
            <w:r>
              <w:rPr>
                <w:rFonts w:ascii="Arial" w:cs="Arial" w:eastAsia="Arial" w:hAnsi="Arial"/>
                <w:sz w:val="13"/>
                <w:szCs w:val="13"/>
                <w:color w:val="auto"/>
              </w:rPr>
              <w:t xml:space="preserve">Ordinary shares of </w:t>
            </w:r>
            <w:r>
              <w:rPr>
                <w:rFonts w:ascii="Arial" w:cs="Arial" w:eastAsia="Arial" w:hAnsi="Arial"/>
                <w:sz w:val="14"/>
                <w:szCs w:val="14"/>
                <w:color w:val="auto"/>
              </w:rPr>
              <w:t>€</w:t>
            </w:r>
            <w:r>
              <w:rPr>
                <w:rFonts w:ascii="Arial" w:cs="Arial" w:eastAsia="Arial" w:hAnsi="Arial"/>
                <w:sz w:val="13"/>
                <w:szCs w:val="13"/>
                <w:color w:val="auto"/>
              </w:rPr>
              <w:t>0.07 each</w:t>
            </w:r>
          </w:p>
        </w:tc>
        <w:tc>
          <w:tcPr>
            <w:tcW w:w="1560" w:type="dxa"/>
            <w:vAlign w:val="bottom"/>
            <w:gridSpan w:val="2"/>
          </w:tcPr>
          <w:p>
            <w:pPr>
              <w:jc w:val="right"/>
              <w:ind w:right="340"/>
              <w:spacing w:after="0" w:line="143" w:lineRule="exact"/>
              <w:rPr>
                <w:sz w:val="20"/>
                <w:szCs w:val="20"/>
                <w:color w:val="auto"/>
              </w:rPr>
            </w:pPr>
            <w:r>
              <w:rPr>
                <w:rFonts w:ascii="Arial" w:cs="Arial" w:eastAsia="Arial" w:hAnsi="Arial"/>
                <w:sz w:val="13"/>
                <w:szCs w:val="13"/>
                <w:color w:val="auto"/>
              </w:rPr>
              <w:t>Sterling deferred</w:t>
            </w:r>
          </w:p>
        </w:tc>
      </w:tr>
      <w:tr>
        <w:trPr>
          <w:trHeight w:val="135"/>
        </w:trPr>
        <w:tc>
          <w:tcPr>
            <w:tcW w:w="6580" w:type="dxa"/>
            <w:vAlign w:val="bottom"/>
          </w:tcPr>
          <w:p>
            <w:pPr>
              <w:spacing w:after="0"/>
              <w:rPr>
                <w:sz w:val="11"/>
                <w:szCs w:val="11"/>
                <w:color w:val="auto"/>
              </w:rPr>
            </w:pPr>
          </w:p>
        </w:tc>
        <w:tc>
          <w:tcPr>
            <w:tcW w:w="1920" w:type="dxa"/>
            <w:vAlign w:val="bottom"/>
          </w:tcPr>
          <w:p>
            <w:pPr>
              <w:jc w:val="right"/>
              <w:ind w:right="310"/>
              <w:spacing w:after="0" w:line="135" w:lineRule="exact"/>
              <w:rPr>
                <w:sz w:val="20"/>
                <w:szCs w:val="20"/>
                <w:color w:val="auto"/>
              </w:rPr>
            </w:pPr>
            <w:r>
              <w:rPr>
                <w:rFonts w:ascii="Arial" w:cs="Arial" w:eastAsia="Arial" w:hAnsi="Arial"/>
                <w:sz w:val="13"/>
                <w:szCs w:val="13"/>
                <w:color w:val="auto"/>
              </w:rPr>
              <w:t>A</w:t>
            </w:r>
          </w:p>
        </w:tc>
        <w:tc>
          <w:tcPr>
            <w:tcW w:w="1360" w:type="dxa"/>
            <w:vAlign w:val="bottom"/>
          </w:tcPr>
          <w:p>
            <w:pPr>
              <w:jc w:val="right"/>
              <w:ind w:right="28"/>
              <w:spacing w:after="0" w:line="135" w:lineRule="exact"/>
              <w:rPr>
                <w:sz w:val="20"/>
                <w:szCs w:val="20"/>
                <w:color w:val="auto"/>
              </w:rPr>
            </w:pPr>
            <w:r>
              <w:rPr>
                <w:rFonts w:ascii="Arial" w:cs="Arial" w:eastAsia="Arial" w:hAnsi="Arial"/>
                <w:sz w:val="13"/>
                <w:szCs w:val="13"/>
                <w:color w:val="auto"/>
              </w:rPr>
              <w:t>B</w:t>
            </w:r>
          </w:p>
        </w:tc>
        <w:tc>
          <w:tcPr>
            <w:tcW w:w="1560" w:type="dxa"/>
            <w:vAlign w:val="bottom"/>
            <w:gridSpan w:val="2"/>
          </w:tcPr>
          <w:p>
            <w:pPr>
              <w:jc w:val="right"/>
              <w:ind w:right="340"/>
              <w:spacing w:after="0" w:line="132" w:lineRule="exact"/>
              <w:rPr>
                <w:sz w:val="20"/>
                <w:szCs w:val="20"/>
                <w:color w:val="auto"/>
              </w:rPr>
            </w:pPr>
            <w:r>
              <w:rPr>
                <w:rFonts w:ascii="Arial" w:cs="Arial" w:eastAsia="Arial" w:hAnsi="Arial"/>
                <w:sz w:val="13"/>
                <w:szCs w:val="13"/>
                <w:color w:val="auto"/>
              </w:rPr>
              <w:t>shares of £1 each</w:t>
            </w:r>
          </w:p>
        </w:tc>
      </w:tr>
      <w:tr>
        <w:trPr>
          <w:trHeight w:val="160"/>
        </w:trPr>
        <w:tc>
          <w:tcPr>
            <w:tcW w:w="6580" w:type="dxa"/>
            <w:vAlign w:val="bottom"/>
            <w:tcBorders>
              <w:top w:val="single" w:sz="8" w:color="auto"/>
            </w:tcBorders>
          </w:tcPr>
          <w:p>
            <w:pPr>
              <w:spacing w:after="0"/>
              <w:rPr>
                <w:sz w:val="20"/>
                <w:szCs w:val="20"/>
                <w:color w:val="auto"/>
              </w:rPr>
            </w:pPr>
            <w:r>
              <w:rPr>
                <w:rFonts w:ascii="Arial" w:cs="Arial" w:eastAsia="Arial" w:hAnsi="Arial"/>
                <w:sz w:val="14"/>
                <w:szCs w:val="14"/>
                <w:color w:val="auto"/>
              </w:rPr>
              <w:t>At January 1, 2014</w:t>
            </w:r>
          </w:p>
        </w:tc>
        <w:tc>
          <w:tcPr>
            <w:tcW w:w="1920" w:type="dxa"/>
            <w:vAlign w:val="bottom"/>
            <w:tcBorders>
              <w:top w:val="single" w:sz="8" w:color="auto"/>
            </w:tcBorders>
          </w:tcPr>
          <w:p>
            <w:pPr>
              <w:jc w:val="right"/>
              <w:ind w:right="310"/>
              <w:spacing w:after="0"/>
              <w:rPr>
                <w:sz w:val="20"/>
                <w:szCs w:val="20"/>
                <w:color w:val="auto"/>
              </w:rPr>
            </w:pPr>
            <w:r>
              <w:rPr>
                <w:rFonts w:ascii="Arial" w:cs="Arial" w:eastAsia="Arial" w:hAnsi="Arial"/>
                <w:sz w:val="14"/>
                <w:szCs w:val="14"/>
                <w:color w:val="auto"/>
              </w:rPr>
              <w:t>3,898,011,213</w:t>
            </w:r>
          </w:p>
        </w:tc>
        <w:tc>
          <w:tcPr>
            <w:tcW w:w="136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2,472,839,187</w:t>
            </w: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50,000</w:t>
            </w:r>
          </w:p>
        </w:tc>
        <w:tc>
          <w:tcPr>
            <w:tcW w:w="340" w:type="dxa"/>
            <w:vAlign w:val="bottom"/>
          </w:tcPr>
          <w:p>
            <w:pPr>
              <w:spacing w:after="0"/>
              <w:rPr>
                <w:sz w:val="13"/>
                <w:szCs w:val="13"/>
                <w:color w:val="auto"/>
              </w:rPr>
            </w:pPr>
          </w:p>
        </w:tc>
      </w:tr>
      <w:tr>
        <w:trPr>
          <w:trHeight w:val="162"/>
        </w:trPr>
        <w:tc>
          <w:tcPr>
            <w:tcW w:w="6580" w:type="dxa"/>
            <w:vAlign w:val="bottom"/>
          </w:tcPr>
          <w:p>
            <w:pPr>
              <w:spacing w:after="0"/>
              <w:rPr>
                <w:sz w:val="20"/>
                <w:szCs w:val="20"/>
                <w:color w:val="auto"/>
              </w:rPr>
            </w:pPr>
            <w:r>
              <w:rPr>
                <w:rFonts w:ascii="Arial" w:cs="Arial" w:eastAsia="Arial" w:hAnsi="Arial"/>
                <w:sz w:val="14"/>
                <w:szCs w:val="14"/>
                <w:color w:val="auto"/>
              </w:rPr>
              <w:t>Scrip dividends</w:t>
            </w:r>
          </w:p>
        </w:tc>
        <w:tc>
          <w:tcPr>
            <w:tcW w:w="1920" w:type="dxa"/>
            <w:vAlign w:val="bottom"/>
          </w:tcPr>
          <w:p>
            <w:pPr>
              <w:jc w:val="right"/>
              <w:ind w:right="310"/>
              <w:spacing w:after="0"/>
              <w:rPr>
                <w:sz w:val="20"/>
                <w:szCs w:val="20"/>
                <w:color w:val="auto"/>
              </w:rPr>
            </w:pPr>
            <w:r>
              <w:rPr>
                <w:rFonts w:ascii="Arial" w:cs="Arial" w:eastAsia="Arial" w:hAnsi="Arial"/>
                <w:sz w:val="14"/>
                <w:szCs w:val="14"/>
                <w:color w:val="auto"/>
              </w:rPr>
              <w:t>64,568,758</w:t>
            </w:r>
          </w:p>
        </w:tc>
        <w:tc>
          <w:tcPr>
            <w:tcW w:w="13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560" w:type="dxa"/>
            <w:vAlign w:val="bottom"/>
            <w:gridSpan w:val="2"/>
          </w:tcPr>
          <w:p>
            <w:pPr>
              <w:jc w:val="right"/>
              <w:ind w:right="340"/>
              <w:spacing w:after="0"/>
              <w:rPr>
                <w:sz w:val="20"/>
                <w:szCs w:val="20"/>
                <w:color w:val="auto"/>
              </w:rPr>
            </w:pPr>
            <w:r>
              <w:rPr>
                <w:rFonts w:ascii="Arial" w:cs="Arial" w:eastAsia="Arial" w:hAnsi="Arial"/>
                <w:sz w:val="14"/>
                <w:szCs w:val="14"/>
                <w:color w:val="auto"/>
              </w:rPr>
              <w:t>–</w:t>
            </w:r>
          </w:p>
        </w:tc>
      </w:tr>
      <w:tr>
        <w:trPr>
          <w:trHeight w:val="157"/>
        </w:trPr>
        <w:tc>
          <w:tcPr>
            <w:tcW w:w="6580" w:type="dxa"/>
            <w:vAlign w:val="bottom"/>
            <w:tcBorders>
              <w:bottom w:val="single" w:sz="8" w:color="auto"/>
            </w:tcBorders>
          </w:tcPr>
          <w:p>
            <w:pPr>
              <w:spacing w:after="0" w:line="157" w:lineRule="exact"/>
              <w:rPr>
                <w:sz w:val="20"/>
                <w:szCs w:val="20"/>
                <w:color w:val="auto"/>
              </w:rPr>
            </w:pPr>
            <w:r>
              <w:rPr>
                <w:rFonts w:ascii="Arial" w:cs="Arial" w:eastAsia="Arial" w:hAnsi="Arial"/>
                <w:sz w:val="14"/>
                <w:szCs w:val="14"/>
                <w:color w:val="auto"/>
              </w:rPr>
              <w:t>Repurchases of shares</w:t>
            </w:r>
          </w:p>
        </w:tc>
        <w:tc>
          <w:tcPr>
            <w:tcW w:w="1920" w:type="dxa"/>
            <w:vAlign w:val="bottom"/>
            <w:tcBorders>
              <w:bottom w:val="single" w:sz="8" w:color="auto"/>
            </w:tcBorders>
          </w:tcPr>
          <w:p>
            <w:pPr>
              <w:jc w:val="right"/>
              <w:ind w:right="250"/>
              <w:spacing w:after="0" w:line="157" w:lineRule="exact"/>
              <w:rPr>
                <w:sz w:val="20"/>
                <w:szCs w:val="20"/>
                <w:color w:val="auto"/>
              </w:rPr>
            </w:pPr>
            <w:r>
              <w:rPr>
                <w:rFonts w:ascii="Arial" w:cs="Arial" w:eastAsia="Arial" w:hAnsi="Arial"/>
                <w:sz w:val="14"/>
                <w:szCs w:val="14"/>
                <w:color w:val="auto"/>
              </w:rPr>
              <w:t>(55,277,578)</w:t>
            </w:r>
          </w:p>
        </w:tc>
        <w:tc>
          <w:tcPr>
            <w:tcW w:w="1360" w:type="dxa"/>
            <w:vAlign w:val="bottom"/>
            <w:tcBorders>
              <w:bottom w:val="single" w:sz="8" w:color="auto"/>
            </w:tcBorders>
          </w:tcPr>
          <w:p>
            <w:pPr>
              <w:jc w:val="right"/>
              <w:spacing w:after="0" w:line="157" w:lineRule="exact"/>
              <w:rPr>
                <w:sz w:val="20"/>
                <w:szCs w:val="20"/>
                <w:color w:val="auto"/>
              </w:rPr>
            </w:pPr>
            <w:r>
              <w:rPr>
                <w:rFonts w:ascii="Arial" w:cs="Arial" w:eastAsia="Arial" w:hAnsi="Arial"/>
                <w:sz w:val="14"/>
                <w:szCs w:val="14"/>
                <w:color w:val="auto"/>
              </w:rPr>
              <w:t>(32,428,573)</w:t>
            </w:r>
          </w:p>
        </w:tc>
        <w:tc>
          <w:tcPr>
            <w:tcW w:w="1560" w:type="dxa"/>
            <w:vAlign w:val="bottom"/>
            <w:tcBorders>
              <w:bottom w:val="single" w:sz="8" w:color="auto"/>
            </w:tcBorders>
            <w:gridSpan w:val="2"/>
          </w:tcPr>
          <w:p>
            <w:pPr>
              <w:jc w:val="right"/>
              <w:ind w:right="340"/>
              <w:spacing w:after="0" w:line="157" w:lineRule="exact"/>
              <w:rPr>
                <w:sz w:val="20"/>
                <w:szCs w:val="20"/>
                <w:color w:val="auto"/>
              </w:rPr>
            </w:pPr>
            <w:r>
              <w:rPr>
                <w:rFonts w:ascii="Arial" w:cs="Arial" w:eastAsia="Arial" w:hAnsi="Arial"/>
                <w:sz w:val="14"/>
                <w:szCs w:val="14"/>
                <w:color w:val="auto"/>
              </w:rPr>
              <w:t>–</w:t>
            </w:r>
          </w:p>
        </w:tc>
      </w:tr>
      <w:tr>
        <w:trPr>
          <w:trHeight w:val="156"/>
        </w:trPr>
        <w:tc>
          <w:tcPr>
            <w:tcW w:w="6580" w:type="dxa"/>
            <w:vAlign w:val="bottom"/>
            <w:tcBorders>
              <w:bottom w:val="single" w:sz="8" w:color="auto"/>
            </w:tcBorders>
          </w:tcPr>
          <w:p>
            <w:pPr>
              <w:spacing w:after="0" w:line="155" w:lineRule="exact"/>
              <w:rPr>
                <w:sz w:val="20"/>
                <w:szCs w:val="20"/>
                <w:color w:val="auto"/>
              </w:rPr>
            </w:pPr>
            <w:r>
              <w:rPr>
                <w:rFonts w:ascii="Arial" w:cs="Arial" w:eastAsia="Arial" w:hAnsi="Arial"/>
                <w:sz w:val="14"/>
                <w:szCs w:val="14"/>
                <w:color w:val="auto"/>
              </w:rPr>
              <w:t>At December 31, 2014</w:t>
            </w:r>
          </w:p>
        </w:tc>
        <w:tc>
          <w:tcPr>
            <w:tcW w:w="1920" w:type="dxa"/>
            <w:vAlign w:val="bottom"/>
            <w:tcBorders>
              <w:bottom w:val="single" w:sz="8" w:color="auto"/>
            </w:tcBorders>
          </w:tcPr>
          <w:p>
            <w:pPr>
              <w:jc w:val="right"/>
              <w:ind w:right="310"/>
              <w:spacing w:after="0" w:line="155" w:lineRule="exact"/>
              <w:rPr>
                <w:sz w:val="20"/>
                <w:szCs w:val="20"/>
                <w:color w:val="auto"/>
              </w:rPr>
            </w:pPr>
            <w:r>
              <w:rPr>
                <w:rFonts w:ascii="Arial" w:cs="Arial" w:eastAsia="Arial" w:hAnsi="Arial"/>
                <w:sz w:val="14"/>
                <w:szCs w:val="14"/>
                <w:color w:val="auto"/>
              </w:rPr>
              <w:t>3,907,302,393</w:t>
            </w:r>
          </w:p>
        </w:tc>
        <w:tc>
          <w:tcPr>
            <w:tcW w:w="1360" w:type="dxa"/>
            <w:vAlign w:val="bottom"/>
            <w:tcBorders>
              <w:bottom w:val="single" w:sz="8" w:color="auto"/>
            </w:tcBorders>
          </w:tcPr>
          <w:p>
            <w:pPr>
              <w:jc w:val="right"/>
              <w:ind w:right="28"/>
              <w:spacing w:after="0" w:line="155" w:lineRule="exact"/>
              <w:rPr>
                <w:sz w:val="20"/>
                <w:szCs w:val="20"/>
                <w:color w:val="auto"/>
              </w:rPr>
            </w:pPr>
            <w:r>
              <w:rPr>
                <w:rFonts w:ascii="Arial" w:cs="Arial" w:eastAsia="Arial" w:hAnsi="Arial"/>
                <w:sz w:val="14"/>
                <w:szCs w:val="14"/>
                <w:color w:val="auto"/>
              </w:rPr>
              <w:t>2,440,410,614</w:t>
            </w:r>
          </w:p>
        </w:tc>
        <w:tc>
          <w:tcPr>
            <w:tcW w:w="12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50,000</w:t>
            </w:r>
          </w:p>
        </w:tc>
        <w:tc>
          <w:tcPr>
            <w:tcW w:w="340" w:type="dxa"/>
            <w:vAlign w:val="bottom"/>
            <w:tcBorders>
              <w:bottom w:val="single" w:sz="8" w:color="auto"/>
            </w:tcBorders>
          </w:tcPr>
          <w:p>
            <w:pPr>
              <w:spacing w:after="0"/>
              <w:rPr>
                <w:sz w:val="13"/>
                <w:szCs w:val="13"/>
                <w:color w:val="auto"/>
              </w:rPr>
            </w:pPr>
          </w:p>
        </w:tc>
      </w:tr>
      <w:tr>
        <w:trPr>
          <w:trHeight w:val="160"/>
        </w:trPr>
        <w:tc>
          <w:tcPr>
            <w:tcW w:w="6580" w:type="dxa"/>
            <w:vAlign w:val="bottom"/>
          </w:tcPr>
          <w:p>
            <w:pPr>
              <w:spacing w:after="0"/>
              <w:rPr>
                <w:sz w:val="20"/>
                <w:szCs w:val="20"/>
                <w:color w:val="auto"/>
              </w:rPr>
            </w:pPr>
            <w:r>
              <w:rPr>
                <w:rFonts w:ascii="Arial" w:cs="Arial" w:eastAsia="Arial" w:hAnsi="Arial"/>
                <w:sz w:val="14"/>
                <w:szCs w:val="14"/>
                <w:color w:val="auto"/>
              </w:rPr>
              <w:t>At January 1, 2013</w:t>
            </w:r>
          </w:p>
        </w:tc>
        <w:tc>
          <w:tcPr>
            <w:tcW w:w="1920" w:type="dxa"/>
            <w:vAlign w:val="bottom"/>
          </w:tcPr>
          <w:p>
            <w:pPr>
              <w:jc w:val="right"/>
              <w:ind w:right="310"/>
              <w:spacing w:after="0"/>
              <w:rPr>
                <w:sz w:val="20"/>
                <w:szCs w:val="20"/>
                <w:color w:val="auto"/>
              </w:rPr>
            </w:pPr>
            <w:r>
              <w:rPr>
                <w:rFonts w:ascii="Arial" w:cs="Arial" w:eastAsia="Arial" w:hAnsi="Arial"/>
                <w:sz w:val="14"/>
                <w:szCs w:val="14"/>
                <w:color w:val="auto"/>
              </w:rPr>
              <w:t>3,772,388,687</w:t>
            </w:r>
          </w:p>
        </w:tc>
        <w:tc>
          <w:tcPr>
            <w:tcW w:w="1360" w:type="dxa"/>
            <w:vAlign w:val="bottom"/>
          </w:tcPr>
          <w:p>
            <w:pPr>
              <w:jc w:val="right"/>
              <w:ind w:right="28"/>
              <w:spacing w:after="0"/>
              <w:rPr>
                <w:sz w:val="20"/>
                <w:szCs w:val="20"/>
                <w:color w:val="auto"/>
              </w:rPr>
            </w:pPr>
            <w:r>
              <w:rPr>
                <w:rFonts w:ascii="Arial" w:cs="Arial" w:eastAsia="Arial" w:hAnsi="Arial"/>
                <w:sz w:val="14"/>
                <w:szCs w:val="14"/>
                <w:color w:val="auto"/>
              </w:rPr>
              <w:t>2,617,715,189</w:t>
            </w:r>
          </w:p>
        </w:tc>
        <w:tc>
          <w:tcPr>
            <w:tcW w:w="1220" w:type="dxa"/>
            <w:vAlign w:val="bottom"/>
          </w:tcPr>
          <w:p>
            <w:pPr>
              <w:jc w:val="right"/>
              <w:spacing w:after="0"/>
              <w:rPr>
                <w:sz w:val="20"/>
                <w:szCs w:val="20"/>
                <w:color w:val="auto"/>
              </w:rPr>
            </w:pPr>
            <w:r>
              <w:rPr>
                <w:rFonts w:ascii="Arial" w:cs="Arial" w:eastAsia="Arial" w:hAnsi="Arial"/>
                <w:sz w:val="14"/>
                <w:szCs w:val="14"/>
                <w:color w:val="auto"/>
              </w:rPr>
              <w:t>50,000</w:t>
            </w:r>
          </w:p>
        </w:tc>
        <w:tc>
          <w:tcPr>
            <w:tcW w:w="340" w:type="dxa"/>
            <w:vAlign w:val="bottom"/>
          </w:tcPr>
          <w:p>
            <w:pPr>
              <w:spacing w:after="0"/>
              <w:rPr>
                <w:sz w:val="13"/>
                <w:szCs w:val="13"/>
                <w:color w:val="auto"/>
              </w:rPr>
            </w:pPr>
          </w:p>
        </w:tc>
      </w:tr>
      <w:tr>
        <w:trPr>
          <w:trHeight w:val="162"/>
        </w:trPr>
        <w:tc>
          <w:tcPr>
            <w:tcW w:w="6580" w:type="dxa"/>
            <w:vAlign w:val="bottom"/>
          </w:tcPr>
          <w:p>
            <w:pPr>
              <w:spacing w:after="0"/>
              <w:rPr>
                <w:sz w:val="20"/>
                <w:szCs w:val="20"/>
                <w:color w:val="auto"/>
              </w:rPr>
            </w:pPr>
            <w:r>
              <w:rPr>
                <w:rFonts w:ascii="Arial" w:cs="Arial" w:eastAsia="Arial" w:hAnsi="Arial"/>
                <w:sz w:val="14"/>
                <w:szCs w:val="14"/>
                <w:color w:val="auto"/>
              </w:rPr>
              <w:t>Scrip dividends</w:t>
            </w:r>
          </w:p>
        </w:tc>
        <w:tc>
          <w:tcPr>
            <w:tcW w:w="1920" w:type="dxa"/>
            <w:vAlign w:val="bottom"/>
          </w:tcPr>
          <w:p>
            <w:pPr>
              <w:jc w:val="right"/>
              <w:ind w:right="310"/>
              <w:spacing w:after="0"/>
              <w:rPr>
                <w:sz w:val="20"/>
                <w:szCs w:val="20"/>
                <w:color w:val="auto"/>
              </w:rPr>
            </w:pPr>
            <w:r>
              <w:rPr>
                <w:rFonts w:ascii="Arial" w:cs="Arial" w:eastAsia="Arial" w:hAnsi="Arial"/>
                <w:sz w:val="14"/>
                <w:szCs w:val="14"/>
                <w:color w:val="auto"/>
              </w:rPr>
              <w:t>125,622,526</w:t>
            </w:r>
          </w:p>
        </w:tc>
        <w:tc>
          <w:tcPr>
            <w:tcW w:w="13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560" w:type="dxa"/>
            <w:vAlign w:val="bottom"/>
            <w:gridSpan w:val="2"/>
          </w:tcPr>
          <w:p>
            <w:pPr>
              <w:jc w:val="right"/>
              <w:ind w:right="340"/>
              <w:spacing w:after="0"/>
              <w:rPr>
                <w:sz w:val="20"/>
                <w:szCs w:val="20"/>
                <w:color w:val="auto"/>
              </w:rPr>
            </w:pPr>
            <w:r>
              <w:rPr>
                <w:rFonts w:ascii="Arial" w:cs="Arial" w:eastAsia="Arial" w:hAnsi="Arial"/>
                <w:sz w:val="14"/>
                <w:szCs w:val="14"/>
                <w:color w:val="auto"/>
              </w:rPr>
              <w:t>–</w:t>
            </w:r>
          </w:p>
        </w:tc>
      </w:tr>
      <w:tr>
        <w:trPr>
          <w:trHeight w:val="157"/>
        </w:trPr>
        <w:tc>
          <w:tcPr>
            <w:tcW w:w="6580" w:type="dxa"/>
            <w:vAlign w:val="bottom"/>
            <w:tcBorders>
              <w:bottom w:val="single" w:sz="8" w:color="auto"/>
            </w:tcBorders>
          </w:tcPr>
          <w:p>
            <w:pPr>
              <w:spacing w:after="0" w:line="157" w:lineRule="exact"/>
              <w:rPr>
                <w:sz w:val="20"/>
                <w:szCs w:val="20"/>
                <w:color w:val="auto"/>
              </w:rPr>
            </w:pPr>
            <w:r>
              <w:rPr>
                <w:rFonts w:ascii="Arial" w:cs="Arial" w:eastAsia="Arial" w:hAnsi="Arial"/>
                <w:sz w:val="14"/>
                <w:szCs w:val="14"/>
                <w:color w:val="auto"/>
              </w:rPr>
              <w:t>Repurchases of shares</w:t>
            </w:r>
          </w:p>
        </w:tc>
        <w:tc>
          <w:tcPr>
            <w:tcW w:w="1920" w:type="dxa"/>
            <w:vAlign w:val="bottom"/>
            <w:tcBorders>
              <w:bottom w:val="single" w:sz="8" w:color="auto"/>
            </w:tcBorders>
          </w:tcPr>
          <w:p>
            <w:pPr>
              <w:jc w:val="right"/>
              <w:ind w:right="310"/>
              <w:spacing w:after="0" w:line="157" w:lineRule="exact"/>
              <w:rPr>
                <w:sz w:val="20"/>
                <w:szCs w:val="20"/>
                <w:color w:val="auto"/>
              </w:rPr>
            </w:pPr>
            <w:r>
              <w:rPr>
                <w:rFonts w:ascii="Arial" w:cs="Arial" w:eastAsia="Arial" w:hAnsi="Arial"/>
                <w:sz w:val="14"/>
                <w:szCs w:val="14"/>
                <w:color w:val="auto"/>
              </w:rPr>
              <w:t>–</w:t>
            </w:r>
          </w:p>
        </w:tc>
        <w:tc>
          <w:tcPr>
            <w:tcW w:w="1360" w:type="dxa"/>
            <w:vAlign w:val="bottom"/>
            <w:tcBorders>
              <w:bottom w:val="single" w:sz="8" w:color="auto"/>
            </w:tcBorders>
          </w:tcPr>
          <w:p>
            <w:pPr>
              <w:jc w:val="right"/>
              <w:spacing w:after="0" w:line="157" w:lineRule="exact"/>
              <w:rPr>
                <w:sz w:val="20"/>
                <w:szCs w:val="20"/>
                <w:color w:val="auto"/>
              </w:rPr>
            </w:pPr>
            <w:r>
              <w:rPr>
                <w:rFonts w:ascii="Arial" w:cs="Arial" w:eastAsia="Arial" w:hAnsi="Arial"/>
                <w:sz w:val="14"/>
                <w:szCs w:val="14"/>
                <w:color w:val="auto"/>
              </w:rPr>
              <w:t>(144,876,002)</w:t>
            </w:r>
          </w:p>
        </w:tc>
        <w:tc>
          <w:tcPr>
            <w:tcW w:w="1560" w:type="dxa"/>
            <w:vAlign w:val="bottom"/>
            <w:tcBorders>
              <w:bottom w:val="single" w:sz="8" w:color="auto"/>
            </w:tcBorders>
            <w:gridSpan w:val="2"/>
          </w:tcPr>
          <w:p>
            <w:pPr>
              <w:jc w:val="right"/>
              <w:ind w:right="340"/>
              <w:spacing w:after="0" w:line="157" w:lineRule="exact"/>
              <w:rPr>
                <w:sz w:val="20"/>
                <w:szCs w:val="20"/>
                <w:color w:val="auto"/>
              </w:rPr>
            </w:pPr>
            <w:r>
              <w:rPr>
                <w:rFonts w:ascii="Arial" w:cs="Arial" w:eastAsia="Arial" w:hAnsi="Arial"/>
                <w:sz w:val="14"/>
                <w:szCs w:val="14"/>
                <w:color w:val="auto"/>
              </w:rPr>
              <w:t>–</w:t>
            </w:r>
          </w:p>
        </w:tc>
      </w:tr>
      <w:tr>
        <w:trPr>
          <w:trHeight w:val="156"/>
        </w:trPr>
        <w:tc>
          <w:tcPr>
            <w:tcW w:w="6580" w:type="dxa"/>
            <w:vAlign w:val="bottom"/>
            <w:tcBorders>
              <w:bottom w:val="single" w:sz="8" w:color="auto"/>
            </w:tcBorders>
          </w:tcPr>
          <w:p>
            <w:pPr>
              <w:spacing w:after="0" w:line="155" w:lineRule="exact"/>
              <w:rPr>
                <w:sz w:val="20"/>
                <w:szCs w:val="20"/>
                <w:color w:val="auto"/>
              </w:rPr>
            </w:pPr>
            <w:r>
              <w:rPr>
                <w:rFonts w:ascii="Arial" w:cs="Arial" w:eastAsia="Arial" w:hAnsi="Arial"/>
                <w:sz w:val="14"/>
                <w:szCs w:val="14"/>
                <w:color w:val="auto"/>
              </w:rPr>
              <w:t>At December 31, 2013</w:t>
            </w:r>
          </w:p>
        </w:tc>
        <w:tc>
          <w:tcPr>
            <w:tcW w:w="1920" w:type="dxa"/>
            <w:vAlign w:val="bottom"/>
            <w:tcBorders>
              <w:bottom w:val="single" w:sz="8" w:color="auto"/>
            </w:tcBorders>
          </w:tcPr>
          <w:p>
            <w:pPr>
              <w:jc w:val="right"/>
              <w:ind w:right="310"/>
              <w:spacing w:after="0" w:line="155" w:lineRule="exact"/>
              <w:rPr>
                <w:sz w:val="20"/>
                <w:szCs w:val="20"/>
                <w:color w:val="auto"/>
              </w:rPr>
            </w:pPr>
            <w:r>
              <w:rPr>
                <w:rFonts w:ascii="Arial" w:cs="Arial" w:eastAsia="Arial" w:hAnsi="Arial"/>
                <w:sz w:val="14"/>
                <w:szCs w:val="14"/>
                <w:color w:val="auto"/>
              </w:rPr>
              <w:t>3,898,011,213</w:t>
            </w:r>
          </w:p>
        </w:tc>
        <w:tc>
          <w:tcPr>
            <w:tcW w:w="1360" w:type="dxa"/>
            <w:vAlign w:val="bottom"/>
            <w:tcBorders>
              <w:bottom w:val="single" w:sz="8" w:color="auto"/>
            </w:tcBorders>
          </w:tcPr>
          <w:p>
            <w:pPr>
              <w:jc w:val="right"/>
              <w:ind w:right="28"/>
              <w:spacing w:after="0" w:line="155" w:lineRule="exact"/>
              <w:rPr>
                <w:sz w:val="20"/>
                <w:szCs w:val="20"/>
                <w:color w:val="auto"/>
              </w:rPr>
            </w:pPr>
            <w:r>
              <w:rPr>
                <w:rFonts w:ascii="Arial" w:cs="Arial" w:eastAsia="Arial" w:hAnsi="Arial"/>
                <w:sz w:val="14"/>
                <w:szCs w:val="14"/>
                <w:color w:val="auto"/>
              </w:rPr>
              <w:t>2,472,839,187</w:t>
            </w:r>
          </w:p>
        </w:tc>
        <w:tc>
          <w:tcPr>
            <w:tcW w:w="12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50,000</w:t>
            </w:r>
          </w:p>
        </w:tc>
        <w:tc>
          <w:tcPr>
            <w:tcW w:w="340" w:type="dxa"/>
            <w:vAlign w:val="bottom"/>
            <w:tcBorders>
              <w:bottom w:val="single" w:sz="8" w:color="auto"/>
            </w:tcBorders>
          </w:tcPr>
          <w:p>
            <w:pPr>
              <w:spacing w:after="0"/>
              <w:rPr>
                <w:sz w:val="13"/>
                <w:szCs w:val="13"/>
                <w:color w:val="auto"/>
              </w:rPr>
            </w:pPr>
          </w:p>
        </w:tc>
      </w:tr>
    </w:tbl>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5980" w:type="dxa"/>
            <w:vAlign w:val="bottom"/>
            <w:shd w:val="clear" w:color="auto" w:fill="333333"/>
          </w:tcPr>
          <w:p>
            <w:pPr>
              <w:ind w:left="80"/>
              <w:spacing w:after="0"/>
              <w:rPr>
                <w:sz w:val="20"/>
                <w:szCs w:val="20"/>
                <w:color w:val="auto"/>
              </w:rPr>
            </w:pPr>
            <w:r>
              <w:rPr>
                <w:rFonts w:ascii="Arial" w:cs="Arial" w:eastAsia="Arial" w:hAnsi="Arial"/>
                <w:sz w:val="15"/>
                <w:szCs w:val="15"/>
                <w:b w:val="1"/>
                <w:bCs w:val="1"/>
                <w:color w:val="FFFFFF"/>
              </w:rPr>
              <w:t>NOMINAL VALUE</w:t>
            </w:r>
          </w:p>
        </w:tc>
        <w:tc>
          <w:tcPr>
            <w:tcW w:w="2000" w:type="dxa"/>
            <w:vAlign w:val="bottom"/>
            <w:shd w:val="clear" w:color="auto" w:fill="333333"/>
          </w:tcPr>
          <w:p>
            <w:pPr>
              <w:spacing w:after="0"/>
              <w:rPr>
                <w:sz w:val="15"/>
                <w:szCs w:val="15"/>
                <w:color w:val="auto"/>
              </w:rPr>
            </w:pPr>
          </w:p>
        </w:tc>
        <w:tc>
          <w:tcPr>
            <w:tcW w:w="1940" w:type="dxa"/>
            <w:vAlign w:val="bottom"/>
            <w:shd w:val="clear" w:color="auto" w:fill="333333"/>
          </w:tcPr>
          <w:p>
            <w:pPr>
              <w:spacing w:after="0"/>
              <w:rPr>
                <w:sz w:val="15"/>
                <w:szCs w:val="15"/>
                <w:color w:val="auto"/>
              </w:rPr>
            </w:pPr>
          </w:p>
        </w:tc>
        <w:tc>
          <w:tcPr>
            <w:tcW w:w="1500" w:type="dxa"/>
            <w:vAlign w:val="bottom"/>
            <w:gridSpan w:val="2"/>
            <w:shd w:val="clear" w:color="auto" w:fill="333333"/>
          </w:tcPr>
          <w:p>
            <w:pPr>
              <w:jc w:val="right"/>
              <w:ind w:right="100"/>
              <w:spacing w:after="0"/>
              <w:rPr>
                <w:sz w:val="20"/>
                <w:szCs w:val="20"/>
                <w:color w:val="auto"/>
              </w:rPr>
            </w:pPr>
            <w:r>
              <w:rPr>
                <w:rFonts w:ascii="Arial" w:cs="Arial" w:eastAsia="Arial" w:hAnsi="Arial"/>
                <w:sz w:val="15"/>
                <w:szCs w:val="15"/>
                <w:color w:val="FFFFFF"/>
              </w:rPr>
              <w:t>$ MILLION</w:t>
            </w:r>
          </w:p>
        </w:tc>
        <w:tc>
          <w:tcPr>
            <w:tcW w:w="0" w:type="dxa"/>
            <w:vAlign w:val="bottom"/>
          </w:tcPr>
          <w:p>
            <w:pPr>
              <w:spacing w:after="0"/>
              <w:rPr>
                <w:sz w:val="1"/>
                <w:szCs w:val="1"/>
                <w:color w:val="auto"/>
              </w:rPr>
            </w:pPr>
          </w:p>
        </w:tc>
      </w:tr>
      <w:tr>
        <w:trPr>
          <w:trHeight w:val="149"/>
        </w:trPr>
        <w:tc>
          <w:tcPr>
            <w:tcW w:w="5980" w:type="dxa"/>
            <w:vAlign w:val="bottom"/>
          </w:tcPr>
          <w:p>
            <w:pPr>
              <w:spacing w:after="0"/>
              <w:rPr>
                <w:sz w:val="12"/>
                <w:szCs w:val="12"/>
                <w:color w:val="auto"/>
              </w:rPr>
            </w:pPr>
          </w:p>
        </w:tc>
        <w:tc>
          <w:tcPr>
            <w:tcW w:w="2000" w:type="dxa"/>
            <w:vAlign w:val="bottom"/>
            <w:tcBorders>
              <w:bottom w:val="single" w:sz="8" w:color="auto"/>
            </w:tcBorders>
          </w:tcPr>
          <w:p>
            <w:pPr>
              <w:spacing w:after="0"/>
              <w:rPr>
                <w:sz w:val="12"/>
                <w:szCs w:val="12"/>
                <w:color w:val="auto"/>
              </w:rPr>
            </w:pPr>
          </w:p>
        </w:tc>
        <w:tc>
          <w:tcPr>
            <w:tcW w:w="1940" w:type="dxa"/>
            <w:vAlign w:val="bottom"/>
            <w:tcBorders>
              <w:bottom w:val="single" w:sz="8" w:color="auto"/>
            </w:tcBorders>
          </w:tcPr>
          <w:p>
            <w:pPr>
              <w:jc w:val="right"/>
              <w:ind w:right="30"/>
              <w:spacing w:after="0" w:line="149" w:lineRule="exact"/>
              <w:rPr>
                <w:sz w:val="20"/>
                <w:szCs w:val="20"/>
                <w:color w:val="auto"/>
              </w:rPr>
            </w:pPr>
            <w:r>
              <w:rPr>
                <w:rFonts w:ascii="Arial" w:cs="Arial" w:eastAsia="Arial" w:hAnsi="Arial"/>
                <w:sz w:val="13"/>
                <w:szCs w:val="13"/>
                <w:color w:val="auto"/>
              </w:rPr>
              <w:t xml:space="preserve">Ordinary shares of </w:t>
            </w:r>
            <w:r>
              <w:rPr>
                <w:rFonts w:ascii="Arial" w:cs="Arial" w:eastAsia="Arial" w:hAnsi="Arial"/>
                <w:sz w:val="14"/>
                <w:szCs w:val="14"/>
                <w:color w:val="auto"/>
              </w:rPr>
              <w:t>€</w:t>
            </w:r>
            <w:r>
              <w:rPr>
                <w:rFonts w:ascii="Arial" w:cs="Arial" w:eastAsia="Arial" w:hAnsi="Arial"/>
                <w:sz w:val="13"/>
                <w:szCs w:val="13"/>
                <w:color w:val="auto"/>
              </w:rPr>
              <w:t>0.07 each</w:t>
            </w:r>
          </w:p>
        </w:tc>
        <w:tc>
          <w:tcPr>
            <w:tcW w:w="1500" w:type="dxa"/>
            <w:vAlign w:val="bottom"/>
            <w:gridSpan w:val="2"/>
            <w:vMerge w:val="restart"/>
          </w:tcPr>
          <w:p>
            <w:pPr>
              <w:jc w:val="right"/>
              <w:ind w:right="100"/>
              <w:spacing w:after="0"/>
              <w:rPr>
                <w:sz w:val="20"/>
                <w:szCs w:val="20"/>
                <w:color w:val="auto"/>
              </w:rPr>
            </w:pPr>
            <w:r>
              <w:rPr>
                <w:rFonts w:ascii="Arial" w:cs="Arial" w:eastAsia="Arial" w:hAnsi="Arial"/>
                <w:sz w:val="13"/>
                <w:szCs w:val="13"/>
                <w:color w:val="auto"/>
              </w:rPr>
              <w:t>Total</w:t>
            </w:r>
          </w:p>
        </w:tc>
        <w:tc>
          <w:tcPr>
            <w:tcW w:w="0" w:type="dxa"/>
            <w:vAlign w:val="bottom"/>
          </w:tcPr>
          <w:p>
            <w:pPr>
              <w:spacing w:after="0"/>
              <w:rPr>
                <w:sz w:val="1"/>
                <w:szCs w:val="1"/>
                <w:color w:val="auto"/>
              </w:rPr>
            </w:pPr>
          </w:p>
        </w:tc>
      </w:tr>
      <w:tr>
        <w:trPr>
          <w:trHeight w:val="129"/>
        </w:trPr>
        <w:tc>
          <w:tcPr>
            <w:tcW w:w="5980" w:type="dxa"/>
            <w:vAlign w:val="bottom"/>
          </w:tcPr>
          <w:p>
            <w:pPr>
              <w:spacing w:after="0"/>
              <w:rPr>
                <w:sz w:val="11"/>
                <w:szCs w:val="11"/>
                <w:color w:val="auto"/>
              </w:rPr>
            </w:pPr>
          </w:p>
        </w:tc>
        <w:tc>
          <w:tcPr>
            <w:tcW w:w="2000" w:type="dxa"/>
            <w:vAlign w:val="bottom"/>
          </w:tcPr>
          <w:p>
            <w:pPr>
              <w:jc w:val="right"/>
              <w:ind w:right="129"/>
              <w:spacing w:after="0" w:line="129" w:lineRule="exact"/>
              <w:rPr>
                <w:sz w:val="20"/>
                <w:szCs w:val="20"/>
                <w:color w:val="auto"/>
              </w:rPr>
            </w:pPr>
            <w:r>
              <w:rPr>
                <w:rFonts w:ascii="Arial" w:cs="Arial" w:eastAsia="Arial" w:hAnsi="Arial"/>
                <w:sz w:val="13"/>
                <w:szCs w:val="13"/>
                <w:color w:val="auto"/>
              </w:rPr>
              <w:t>A</w:t>
            </w:r>
          </w:p>
        </w:tc>
        <w:tc>
          <w:tcPr>
            <w:tcW w:w="1940" w:type="dxa"/>
            <w:vAlign w:val="bottom"/>
          </w:tcPr>
          <w:p>
            <w:pPr>
              <w:jc w:val="right"/>
              <w:ind w:right="30"/>
              <w:spacing w:after="0" w:line="129" w:lineRule="exact"/>
              <w:rPr>
                <w:sz w:val="20"/>
                <w:szCs w:val="20"/>
                <w:color w:val="auto"/>
              </w:rPr>
            </w:pPr>
            <w:r>
              <w:rPr>
                <w:rFonts w:ascii="Arial" w:cs="Arial" w:eastAsia="Arial" w:hAnsi="Arial"/>
                <w:sz w:val="13"/>
                <w:szCs w:val="13"/>
                <w:color w:val="auto"/>
              </w:rPr>
              <w:t>B</w:t>
            </w:r>
          </w:p>
        </w:tc>
        <w:tc>
          <w:tcPr>
            <w:tcW w:w="150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5980" w:type="dxa"/>
            <w:vAlign w:val="bottom"/>
            <w:shd w:val="clear" w:color="auto" w:fill="000000"/>
          </w:tcPr>
          <w:p>
            <w:pPr>
              <w:spacing w:after="0" w:line="20" w:lineRule="exact"/>
              <w:rPr>
                <w:sz w:val="1"/>
                <w:szCs w:val="1"/>
                <w:color w:val="auto"/>
              </w:rPr>
            </w:pPr>
          </w:p>
        </w:tc>
        <w:tc>
          <w:tcPr>
            <w:tcW w:w="2000" w:type="dxa"/>
            <w:vAlign w:val="bottom"/>
            <w:shd w:val="clear" w:color="auto" w:fill="000000"/>
          </w:tcPr>
          <w:p>
            <w:pPr>
              <w:spacing w:after="0" w:line="20" w:lineRule="exact"/>
              <w:rPr>
                <w:sz w:val="1"/>
                <w:szCs w:val="1"/>
                <w:color w:val="auto"/>
              </w:rPr>
            </w:pPr>
          </w:p>
        </w:tc>
        <w:tc>
          <w:tcPr>
            <w:tcW w:w="194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5980" w:type="dxa"/>
            <w:vAlign w:val="bottom"/>
          </w:tcPr>
          <w:p>
            <w:pPr>
              <w:spacing w:after="0"/>
              <w:rPr>
                <w:sz w:val="20"/>
                <w:szCs w:val="20"/>
                <w:color w:val="auto"/>
              </w:rPr>
            </w:pPr>
            <w:r>
              <w:rPr>
                <w:rFonts w:ascii="Arial" w:cs="Arial" w:eastAsia="Arial" w:hAnsi="Arial"/>
                <w:sz w:val="14"/>
                <w:szCs w:val="14"/>
                <w:color w:val="auto"/>
              </w:rPr>
              <w:t>At January 1, 2014</w:t>
            </w:r>
          </w:p>
        </w:tc>
        <w:tc>
          <w:tcPr>
            <w:tcW w:w="2000" w:type="dxa"/>
            <w:vAlign w:val="bottom"/>
          </w:tcPr>
          <w:p>
            <w:pPr>
              <w:jc w:val="right"/>
              <w:ind w:right="129"/>
              <w:spacing w:after="0"/>
              <w:rPr>
                <w:sz w:val="20"/>
                <w:szCs w:val="20"/>
                <w:color w:val="auto"/>
              </w:rPr>
            </w:pPr>
            <w:r>
              <w:rPr>
                <w:rFonts w:ascii="Arial" w:cs="Arial" w:eastAsia="Arial" w:hAnsi="Arial"/>
                <w:sz w:val="14"/>
                <w:szCs w:val="14"/>
                <w:color w:val="auto"/>
              </w:rPr>
              <w:t>333</w:t>
            </w:r>
          </w:p>
        </w:tc>
        <w:tc>
          <w:tcPr>
            <w:tcW w:w="1940" w:type="dxa"/>
            <w:vAlign w:val="bottom"/>
          </w:tcPr>
          <w:p>
            <w:pPr>
              <w:jc w:val="right"/>
              <w:ind w:right="30"/>
              <w:spacing w:after="0"/>
              <w:rPr>
                <w:sz w:val="20"/>
                <w:szCs w:val="20"/>
                <w:color w:val="auto"/>
              </w:rPr>
            </w:pPr>
            <w:r>
              <w:rPr>
                <w:rFonts w:ascii="Arial" w:cs="Arial" w:eastAsia="Arial" w:hAnsi="Arial"/>
                <w:sz w:val="14"/>
                <w:szCs w:val="14"/>
                <w:color w:val="auto"/>
              </w:rPr>
              <w:t>209</w:t>
            </w:r>
          </w:p>
        </w:tc>
        <w:tc>
          <w:tcPr>
            <w:tcW w:w="1500" w:type="dxa"/>
            <w:vAlign w:val="bottom"/>
            <w:gridSpan w:val="2"/>
          </w:tcPr>
          <w:p>
            <w:pPr>
              <w:jc w:val="right"/>
              <w:ind w:right="100"/>
              <w:spacing w:after="0"/>
              <w:rPr>
                <w:sz w:val="20"/>
                <w:szCs w:val="20"/>
                <w:color w:val="auto"/>
              </w:rPr>
            </w:pPr>
            <w:r>
              <w:rPr>
                <w:rFonts w:ascii="Arial" w:cs="Arial" w:eastAsia="Arial" w:hAnsi="Arial"/>
                <w:sz w:val="14"/>
                <w:szCs w:val="14"/>
                <w:color w:val="auto"/>
              </w:rPr>
              <w:t>542</w:t>
            </w:r>
          </w:p>
        </w:tc>
        <w:tc>
          <w:tcPr>
            <w:tcW w:w="0" w:type="dxa"/>
            <w:vAlign w:val="bottom"/>
          </w:tcPr>
          <w:p>
            <w:pPr>
              <w:spacing w:after="0"/>
              <w:rPr>
                <w:sz w:val="1"/>
                <w:szCs w:val="1"/>
                <w:color w:val="auto"/>
              </w:rPr>
            </w:pPr>
          </w:p>
        </w:tc>
      </w:tr>
      <w:tr>
        <w:trPr>
          <w:trHeight w:val="162"/>
        </w:trPr>
        <w:tc>
          <w:tcPr>
            <w:tcW w:w="5980" w:type="dxa"/>
            <w:vAlign w:val="bottom"/>
          </w:tcPr>
          <w:p>
            <w:pPr>
              <w:spacing w:after="0"/>
              <w:rPr>
                <w:sz w:val="20"/>
                <w:szCs w:val="20"/>
                <w:color w:val="auto"/>
              </w:rPr>
            </w:pPr>
            <w:r>
              <w:rPr>
                <w:rFonts w:ascii="Arial" w:cs="Arial" w:eastAsia="Arial" w:hAnsi="Arial"/>
                <w:sz w:val="14"/>
                <w:szCs w:val="14"/>
                <w:color w:val="auto"/>
              </w:rPr>
              <w:t>Scrip dividends</w:t>
            </w:r>
          </w:p>
        </w:tc>
        <w:tc>
          <w:tcPr>
            <w:tcW w:w="2000" w:type="dxa"/>
            <w:vAlign w:val="bottom"/>
          </w:tcPr>
          <w:p>
            <w:pPr>
              <w:jc w:val="right"/>
              <w:ind w:right="129"/>
              <w:spacing w:after="0"/>
              <w:rPr>
                <w:sz w:val="20"/>
                <w:szCs w:val="20"/>
                <w:color w:val="auto"/>
              </w:rPr>
            </w:pPr>
            <w:r>
              <w:rPr>
                <w:rFonts w:ascii="Arial" w:cs="Arial" w:eastAsia="Arial" w:hAnsi="Arial"/>
                <w:sz w:val="14"/>
                <w:szCs w:val="14"/>
                <w:color w:val="auto"/>
              </w:rPr>
              <w:t>6</w:t>
            </w:r>
          </w:p>
        </w:tc>
        <w:tc>
          <w:tcPr>
            <w:tcW w:w="1940" w:type="dxa"/>
            <w:vAlign w:val="bottom"/>
          </w:tcPr>
          <w:p>
            <w:pPr>
              <w:jc w:val="right"/>
              <w:ind w:right="30"/>
              <w:spacing w:after="0"/>
              <w:rPr>
                <w:sz w:val="20"/>
                <w:szCs w:val="20"/>
                <w:color w:val="auto"/>
              </w:rPr>
            </w:pPr>
            <w:r>
              <w:rPr>
                <w:rFonts w:ascii="Arial" w:cs="Arial" w:eastAsia="Arial" w:hAnsi="Arial"/>
                <w:sz w:val="14"/>
                <w:szCs w:val="14"/>
                <w:color w:val="auto"/>
              </w:rPr>
              <w:t>–</w:t>
            </w:r>
          </w:p>
        </w:tc>
        <w:tc>
          <w:tcPr>
            <w:tcW w:w="1400" w:type="dxa"/>
            <w:vAlign w:val="bottom"/>
          </w:tcPr>
          <w:p>
            <w:pPr>
              <w:jc w:val="right"/>
              <w:spacing w:after="0"/>
              <w:rPr>
                <w:sz w:val="20"/>
                <w:szCs w:val="20"/>
                <w:color w:val="auto"/>
              </w:rPr>
            </w:pPr>
            <w:r>
              <w:rPr>
                <w:rFonts w:ascii="Arial" w:cs="Arial" w:eastAsia="Arial" w:hAnsi="Arial"/>
                <w:sz w:val="14"/>
                <w:szCs w:val="14"/>
                <w:color w:val="auto"/>
              </w:rPr>
              <w:t>6</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5980" w:type="dxa"/>
            <w:vAlign w:val="bottom"/>
            <w:tcBorders>
              <w:bottom w:val="single" w:sz="8" w:color="auto"/>
            </w:tcBorders>
          </w:tcPr>
          <w:p>
            <w:pPr>
              <w:spacing w:after="0" w:line="157" w:lineRule="exact"/>
              <w:rPr>
                <w:sz w:val="20"/>
                <w:szCs w:val="20"/>
                <w:color w:val="auto"/>
              </w:rPr>
            </w:pPr>
            <w:r>
              <w:rPr>
                <w:rFonts w:ascii="Arial" w:cs="Arial" w:eastAsia="Arial" w:hAnsi="Arial"/>
                <w:sz w:val="14"/>
                <w:szCs w:val="14"/>
                <w:color w:val="auto"/>
              </w:rPr>
              <w:t>Repurchases of shares</w:t>
            </w:r>
          </w:p>
        </w:tc>
        <w:tc>
          <w:tcPr>
            <w:tcW w:w="2000" w:type="dxa"/>
            <w:vAlign w:val="bottom"/>
            <w:tcBorders>
              <w:bottom w:val="single" w:sz="8" w:color="auto"/>
            </w:tcBorders>
          </w:tcPr>
          <w:p>
            <w:pPr>
              <w:jc w:val="right"/>
              <w:ind w:right="89"/>
              <w:spacing w:after="0" w:line="157" w:lineRule="exact"/>
              <w:rPr>
                <w:sz w:val="20"/>
                <w:szCs w:val="20"/>
                <w:color w:val="auto"/>
              </w:rPr>
            </w:pPr>
            <w:r>
              <w:rPr>
                <w:rFonts w:ascii="Arial" w:cs="Arial" w:eastAsia="Arial" w:hAnsi="Arial"/>
                <w:sz w:val="14"/>
                <w:szCs w:val="14"/>
                <w:color w:val="auto"/>
              </w:rPr>
              <w:t>(5)</w:t>
            </w:r>
          </w:p>
        </w:tc>
        <w:tc>
          <w:tcPr>
            <w:tcW w:w="1940" w:type="dxa"/>
            <w:vAlign w:val="bottom"/>
            <w:tcBorders>
              <w:bottom w:val="single" w:sz="8" w:color="auto"/>
            </w:tcBorders>
          </w:tcPr>
          <w:p>
            <w:pPr>
              <w:jc w:val="right"/>
              <w:spacing w:after="0" w:line="157" w:lineRule="exact"/>
              <w:rPr>
                <w:sz w:val="20"/>
                <w:szCs w:val="20"/>
                <w:color w:val="auto"/>
              </w:rPr>
            </w:pPr>
            <w:r>
              <w:rPr>
                <w:rFonts w:ascii="Arial" w:cs="Arial" w:eastAsia="Arial" w:hAnsi="Arial"/>
                <w:sz w:val="14"/>
                <w:szCs w:val="14"/>
                <w:color w:val="auto"/>
              </w:rPr>
              <w:t>(3)</w:t>
            </w:r>
          </w:p>
        </w:tc>
        <w:tc>
          <w:tcPr>
            <w:tcW w:w="1500" w:type="dxa"/>
            <w:vAlign w:val="bottom"/>
            <w:tcBorders>
              <w:bottom w:val="single" w:sz="8" w:color="auto"/>
            </w:tcBorders>
            <w:gridSpan w:val="2"/>
          </w:tcPr>
          <w:p>
            <w:pPr>
              <w:jc w:val="right"/>
              <w:ind w:right="40"/>
              <w:spacing w:after="0" w:line="157" w:lineRule="exact"/>
              <w:rPr>
                <w:sz w:val="20"/>
                <w:szCs w:val="20"/>
                <w:color w:val="auto"/>
              </w:rPr>
            </w:pPr>
            <w:r>
              <w:rPr>
                <w:rFonts w:ascii="Arial" w:cs="Arial" w:eastAsia="Arial" w:hAnsi="Arial"/>
                <w:sz w:val="14"/>
                <w:szCs w:val="14"/>
                <w:color w:val="auto"/>
              </w:rPr>
              <w:t>(8)</w:t>
            </w:r>
          </w:p>
        </w:tc>
        <w:tc>
          <w:tcPr>
            <w:tcW w:w="0" w:type="dxa"/>
            <w:vAlign w:val="bottom"/>
          </w:tcPr>
          <w:p>
            <w:pPr>
              <w:spacing w:after="0"/>
              <w:rPr>
                <w:sz w:val="1"/>
                <w:szCs w:val="1"/>
                <w:color w:val="auto"/>
              </w:rPr>
            </w:pPr>
          </w:p>
        </w:tc>
      </w:tr>
      <w:tr>
        <w:trPr>
          <w:trHeight w:val="156"/>
        </w:trPr>
        <w:tc>
          <w:tcPr>
            <w:tcW w:w="5980" w:type="dxa"/>
            <w:vAlign w:val="bottom"/>
            <w:tcBorders>
              <w:bottom w:val="single" w:sz="8" w:color="auto"/>
            </w:tcBorders>
          </w:tcPr>
          <w:p>
            <w:pPr>
              <w:spacing w:after="0" w:line="155" w:lineRule="exact"/>
              <w:rPr>
                <w:sz w:val="20"/>
                <w:szCs w:val="20"/>
                <w:color w:val="auto"/>
              </w:rPr>
            </w:pPr>
            <w:r>
              <w:rPr>
                <w:rFonts w:ascii="Arial" w:cs="Arial" w:eastAsia="Arial" w:hAnsi="Arial"/>
                <w:sz w:val="14"/>
                <w:szCs w:val="14"/>
                <w:color w:val="auto"/>
              </w:rPr>
              <w:t>At December 31, 2014</w:t>
            </w:r>
          </w:p>
        </w:tc>
        <w:tc>
          <w:tcPr>
            <w:tcW w:w="2000" w:type="dxa"/>
            <w:vAlign w:val="bottom"/>
            <w:tcBorders>
              <w:bottom w:val="single" w:sz="8" w:color="auto"/>
            </w:tcBorders>
          </w:tcPr>
          <w:p>
            <w:pPr>
              <w:jc w:val="right"/>
              <w:ind w:right="129"/>
              <w:spacing w:after="0" w:line="155" w:lineRule="exact"/>
              <w:rPr>
                <w:sz w:val="20"/>
                <w:szCs w:val="20"/>
                <w:color w:val="auto"/>
              </w:rPr>
            </w:pPr>
            <w:r>
              <w:rPr>
                <w:rFonts w:ascii="Arial" w:cs="Arial" w:eastAsia="Arial" w:hAnsi="Arial"/>
                <w:sz w:val="14"/>
                <w:szCs w:val="14"/>
                <w:color w:val="auto"/>
              </w:rPr>
              <w:t>334</w:t>
            </w:r>
          </w:p>
        </w:tc>
        <w:tc>
          <w:tcPr>
            <w:tcW w:w="1940" w:type="dxa"/>
            <w:vAlign w:val="bottom"/>
            <w:tcBorders>
              <w:bottom w:val="single" w:sz="8" w:color="auto"/>
            </w:tcBorders>
          </w:tcPr>
          <w:p>
            <w:pPr>
              <w:jc w:val="right"/>
              <w:ind w:right="30"/>
              <w:spacing w:after="0" w:line="155" w:lineRule="exact"/>
              <w:rPr>
                <w:sz w:val="20"/>
                <w:szCs w:val="20"/>
                <w:color w:val="auto"/>
              </w:rPr>
            </w:pPr>
            <w:r>
              <w:rPr>
                <w:rFonts w:ascii="Arial" w:cs="Arial" w:eastAsia="Arial" w:hAnsi="Arial"/>
                <w:sz w:val="14"/>
                <w:szCs w:val="14"/>
                <w:color w:val="auto"/>
              </w:rPr>
              <w:t>206</w:t>
            </w:r>
          </w:p>
        </w:tc>
        <w:tc>
          <w:tcPr>
            <w:tcW w:w="1500" w:type="dxa"/>
            <w:vAlign w:val="bottom"/>
            <w:tcBorders>
              <w:bottom w:val="single" w:sz="8" w:color="auto"/>
            </w:tcBorders>
            <w:gridSpan w:val="2"/>
          </w:tcPr>
          <w:p>
            <w:pPr>
              <w:jc w:val="right"/>
              <w:ind w:right="100"/>
              <w:spacing w:after="0" w:line="155" w:lineRule="exact"/>
              <w:rPr>
                <w:sz w:val="20"/>
                <w:szCs w:val="20"/>
                <w:color w:val="auto"/>
              </w:rPr>
            </w:pPr>
            <w:r>
              <w:rPr>
                <w:rFonts w:ascii="Arial" w:cs="Arial" w:eastAsia="Arial" w:hAnsi="Arial"/>
                <w:sz w:val="14"/>
                <w:szCs w:val="14"/>
                <w:color w:val="auto"/>
              </w:rPr>
              <w:t>540</w:t>
            </w:r>
          </w:p>
        </w:tc>
        <w:tc>
          <w:tcPr>
            <w:tcW w:w="0" w:type="dxa"/>
            <w:vAlign w:val="bottom"/>
          </w:tcPr>
          <w:p>
            <w:pPr>
              <w:spacing w:after="0"/>
              <w:rPr>
                <w:sz w:val="1"/>
                <w:szCs w:val="1"/>
                <w:color w:val="auto"/>
              </w:rPr>
            </w:pPr>
          </w:p>
        </w:tc>
      </w:tr>
      <w:tr>
        <w:trPr>
          <w:trHeight w:val="160"/>
        </w:trPr>
        <w:tc>
          <w:tcPr>
            <w:tcW w:w="5980" w:type="dxa"/>
            <w:vAlign w:val="bottom"/>
          </w:tcPr>
          <w:p>
            <w:pPr>
              <w:spacing w:after="0"/>
              <w:rPr>
                <w:sz w:val="20"/>
                <w:szCs w:val="20"/>
                <w:color w:val="auto"/>
              </w:rPr>
            </w:pPr>
            <w:r>
              <w:rPr>
                <w:rFonts w:ascii="Arial" w:cs="Arial" w:eastAsia="Arial" w:hAnsi="Arial"/>
                <w:sz w:val="14"/>
                <w:szCs w:val="14"/>
                <w:color w:val="auto"/>
              </w:rPr>
              <w:t>At January 1, 2013</w:t>
            </w:r>
          </w:p>
        </w:tc>
        <w:tc>
          <w:tcPr>
            <w:tcW w:w="2000" w:type="dxa"/>
            <w:vAlign w:val="bottom"/>
          </w:tcPr>
          <w:p>
            <w:pPr>
              <w:jc w:val="right"/>
              <w:ind w:right="129"/>
              <w:spacing w:after="0"/>
              <w:rPr>
                <w:sz w:val="20"/>
                <w:szCs w:val="20"/>
                <w:color w:val="auto"/>
              </w:rPr>
            </w:pPr>
            <w:r>
              <w:rPr>
                <w:rFonts w:ascii="Arial" w:cs="Arial" w:eastAsia="Arial" w:hAnsi="Arial"/>
                <w:sz w:val="14"/>
                <w:szCs w:val="14"/>
                <w:color w:val="auto"/>
              </w:rPr>
              <w:t>321</w:t>
            </w:r>
          </w:p>
        </w:tc>
        <w:tc>
          <w:tcPr>
            <w:tcW w:w="1940" w:type="dxa"/>
            <w:vAlign w:val="bottom"/>
          </w:tcPr>
          <w:p>
            <w:pPr>
              <w:jc w:val="right"/>
              <w:ind w:right="30"/>
              <w:spacing w:after="0"/>
              <w:rPr>
                <w:sz w:val="20"/>
                <w:szCs w:val="20"/>
                <w:color w:val="auto"/>
              </w:rPr>
            </w:pPr>
            <w:r>
              <w:rPr>
                <w:rFonts w:ascii="Arial" w:cs="Arial" w:eastAsia="Arial" w:hAnsi="Arial"/>
                <w:sz w:val="14"/>
                <w:szCs w:val="14"/>
                <w:color w:val="auto"/>
              </w:rPr>
              <w:t>221</w:t>
            </w:r>
          </w:p>
        </w:tc>
        <w:tc>
          <w:tcPr>
            <w:tcW w:w="1500" w:type="dxa"/>
            <w:vAlign w:val="bottom"/>
            <w:gridSpan w:val="2"/>
          </w:tcPr>
          <w:p>
            <w:pPr>
              <w:jc w:val="right"/>
              <w:ind w:right="100"/>
              <w:spacing w:after="0"/>
              <w:rPr>
                <w:sz w:val="20"/>
                <w:szCs w:val="20"/>
                <w:color w:val="auto"/>
              </w:rPr>
            </w:pPr>
            <w:r>
              <w:rPr>
                <w:rFonts w:ascii="Arial" w:cs="Arial" w:eastAsia="Arial" w:hAnsi="Arial"/>
                <w:sz w:val="14"/>
                <w:szCs w:val="14"/>
                <w:color w:val="auto"/>
              </w:rPr>
              <w:t>542</w:t>
            </w:r>
          </w:p>
        </w:tc>
        <w:tc>
          <w:tcPr>
            <w:tcW w:w="0" w:type="dxa"/>
            <w:vAlign w:val="bottom"/>
          </w:tcPr>
          <w:p>
            <w:pPr>
              <w:spacing w:after="0"/>
              <w:rPr>
                <w:sz w:val="1"/>
                <w:szCs w:val="1"/>
                <w:color w:val="auto"/>
              </w:rPr>
            </w:pPr>
          </w:p>
        </w:tc>
      </w:tr>
      <w:tr>
        <w:trPr>
          <w:trHeight w:val="162"/>
        </w:trPr>
        <w:tc>
          <w:tcPr>
            <w:tcW w:w="5980" w:type="dxa"/>
            <w:vAlign w:val="bottom"/>
          </w:tcPr>
          <w:p>
            <w:pPr>
              <w:spacing w:after="0"/>
              <w:rPr>
                <w:sz w:val="20"/>
                <w:szCs w:val="20"/>
                <w:color w:val="auto"/>
              </w:rPr>
            </w:pPr>
            <w:r>
              <w:rPr>
                <w:rFonts w:ascii="Arial" w:cs="Arial" w:eastAsia="Arial" w:hAnsi="Arial"/>
                <w:sz w:val="14"/>
                <w:szCs w:val="14"/>
                <w:color w:val="auto"/>
              </w:rPr>
              <w:t>Scrip dividends</w:t>
            </w:r>
          </w:p>
        </w:tc>
        <w:tc>
          <w:tcPr>
            <w:tcW w:w="2000" w:type="dxa"/>
            <w:vAlign w:val="bottom"/>
          </w:tcPr>
          <w:p>
            <w:pPr>
              <w:jc w:val="right"/>
              <w:ind w:right="129"/>
              <w:spacing w:after="0"/>
              <w:rPr>
                <w:sz w:val="20"/>
                <w:szCs w:val="20"/>
                <w:color w:val="auto"/>
              </w:rPr>
            </w:pPr>
            <w:r>
              <w:rPr>
                <w:rFonts w:ascii="Arial" w:cs="Arial" w:eastAsia="Arial" w:hAnsi="Arial"/>
                <w:sz w:val="14"/>
                <w:szCs w:val="14"/>
                <w:color w:val="auto"/>
              </w:rPr>
              <w:t>12</w:t>
            </w:r>
          </w:p>
        </w:tc>
        <w:tc>
          <w:tcPr>
            <w:tcW w:w="1940" w:type="dxa"/>
            <w:vAlign w:val="bottom"/>
          </w:tcPr>
          <w:p>
            <w:pPr>
              <w:jc w:val="right"/>
              <w:ind w:right="30"/>
              <w:spacing w:after="0"/>
              <w:rPr>
                <w:sz w:val="20"/>
                <w:szCs w:val="20"/>
                <w:color w:val="auto"/>
              </w:rPr>
            </w:pPr>
            <w:r>
              <w:rPr>
                <w:rFonts w:ascii="Arial" w:cs="Arial" w:eastAsia="Arial" w:hAnsi="Arial"/>
                <w:sz w:val="14"/>
                <w:szCs w:val="14"/>
                <w:color w:val="auto"/>
              </w:rPr>
              <w:t>–</w:t>
            </w:r>
          </w:p>
        </w:tc>
        <w:tc>
          <w:tcPr>
            <w:tcW w:w="1500" w:type="dxa"/>
            <w:vAlign w:val="bottom"/>
            <w:gridSpan w:val="2"/>
          </w:tcPr>
          <w:p>
            <w:pPr>
              <w:jc w:val="right"/>
              <w:ind w:right="100"/>
              <w:spacing w:after="0"/>
              <w:rPr>
                <w:sz w:val="20"/>
                <w:szCs w:val="20"/>
                <w:color w:val="auto"/>
              </w:rPr>
            </w:pPr>
            <w:r>
              <w:rPr>
                <w:rFonts w:ascii="Arial" w:cs="Arial" w:eastAsia="Arial" w:hAnsi="Arial"/>
                <w:sz w:val="14"/>
                <w:szCs w:val="14"/>
                <w:color w:val="auto"/>
              </w:rPr>
              <w:t>12</w:t>
            </w:r>
          </w:p>
        </w:tc>
        <w:tc>
          <w:tcPr>
            <w:tcW w:w="0" w:type="dxa"/>
            <w:vAlign w:val="bottom"/>
          </w:tcPr>
          <w:p>
            <w:pPr>
              <w:spacing w:after="0"/>
              <w:rPr>
                <w:sz w:val="1"/>
                <w:szCs w:val="1"/>
                <w:color w:val="auto"/>
              </w:rPr>
            </w:pPr>
          </w:p>
        </w:tc>
      </w:tr>
      <w:tr>
        <w:trPr>
          <w:trHeight w:val="157"/>
        </w:trPr>
        <w:tc>
          <w:tcPr>
            <w:tcW w:w="5980" w:type="dxa"/>
            <w:vAlign w:val="bottom"/>
            <w:tcBorders>
              <w:bottom w:val="single" w:sz="8" w:color="auto"/>
            </w:tcBorders>
          </w:tcPr>
          <w:p>
            <w:pPr>
              <w:spacing w:after="0" w:line="157" w:lineRule="exact"/>
              <w:rPr>
                <w:sz w:val="20"/>
                <w:szCs w:val="20"/>
                <w:color w:val="auto"/>
              </w:rPr>
            </w:pPr>
            <w:r>
              <w:rPr>
                <w:rFonts w:ascii="Arial" w:cs="Arial" w:eastAsia="Arial" w:hAnsi="Arial"/>
                <w:sz w:val="14"/>
                <w:szCs w:val="14"/>
                <w:color w:val="auto"/>
              </w:rPr>
              <w:t>Repurchases of shares</w:t>
            </w:r>
          </w:p>
        </w:tc>
        <w:tc>
          <w:tcPr>
            <w:tcW w:w="2000" w:type="dxa"/>
            <w:vAlign w:val="bottom"/>
            <w:tcBorders>
              <w:bottom w:val="single" w:sz="8" w:color="auto"/>
            </w:tcBorders>
          </w:tcPr>
          <w:p>
            <w:pPr>
              <w:jc w:val="right"/>
              <w:ind w:right="129"/>
              <w:spacing w:after="0" w:line="157" w:lineRule="exact"/>
              <w:rPr>
                <w:sz w:val="20"/>
                <w:szCs w:val="20"/>
                <w:color w:val="auto"/>
              </w:rPr>
            </w:pPr>
            <w:r>
              <w:rPr>
                <w:rFonts w:ascii="Arial" w:cs="Arial" w:eastAsia="Arial" w:hAnsi="Arial"/>
                <w:sz w:val="14"/>
                <w:szCs w:val="14"/>
                <w:color w:val="auto"/>
              </w:rPr>
              <w:t>–</w:t>
            </w:r>
          </w:p>
        </w:tc>
        <w:tc>
          <w:tcPr>
            <w:tcW w:w="1940" w:type="dxa"/>
            <w:vAlign w:val="bottom"/>
            <w:tcBorders>
              <w:bottom w:val="single" w:sz="8" w:color="auto"/>
            </w:tcBorders>
          </w:tcPr>
          <w:p>
            <w:pPr>
              <w:jc w:val="right"/>
              <w:spacing w:after="0" w:line="157" w:lineRule="exact"/>
              <w:rPr>
                <w:sz w:val="20"/>
                <w:szCs w:val="20"/>
                <w:color w:val="auto"/>
              </w:rPr>
            </w:pPr>
            <w:r>
              <w:rPr>
                <w:rFonts w:ascii="Arial" w:cs="Arial" w:eastAsia="Arial" w:hAnsi="Arial"/>
                <w:sz w:val="14"/>
                <w:szCs w:val="14"/>
                <w:color w:val="auto"/>
              </w:rPr>
              <w:t>(12)</w:t>
            </w:r>
          </w:p>
        </w:tc>
        <w:tc>
          <w:tcPr>
            <w:tcW w:w="1500" w:type="dxa"/>
            <w:vAlign w:val="bottom"/>
            <w:tcBorders>
              <w:bottom w:val="single" w:sz="8" w:color="auto"/>
            </w:tcBorders>
            <w:gridSpan w:val="2"/>
          </w:tcPr>
          <w:p>
            <w:pPr>
              <w:jc w:val="right"/>
              <w:ind w:right="40"/>
              <w:spacing w:after="0" w:line="157" w:lineRule="exact"/>
              <w:rPr>
                <w:sz w:val="20"/>
                <w:szCs w:val="20"/>
                <w:color w:val="auto"/>
              </w:rPr>
            </w:pPr>
            <w:r>
              <w:rPr>
                <w:rFonts w:ascii="Arial" w:cs="Arial" w:eastAsia="Arial" w:hAnsi="Arial"/>
                <w:sz w:val="14"/>
                <w:szCs w:val="14"/>
                <w:color w:val="auto"/>
              </w:rPr>
              <w:t>(12)</w:t>
            </w:r>
          </w:p>
        </w:tc>
        <w:tc>
          <w:tcPr>
            <w:tcW w:w="0" w:type="dxa"/>
            <w:vAlign w:val="bottom"/>
          </w:tcPr>
          <w:p>
            <w:pPr>
              <w:spacing w:after="0"/>
              <w:rPr>
                <w:sz w:val="1"/>
                <w:szCs w:val="1"/>
                <w:color w:val="auto"/>
              </w:rPr>
            </w:pPr>
          </w:p>
        </w:tc>
      </w:tr>
      <w:tr>
        <w:trPr>
          <w:trHeight w:val="156"/>
        </w:trPr>
        <w:tc>
          <w:tcPr>
            <w:tcW w:w="5980" w:type="dxa"/>
            <w:vAlign w:val="bottom"/>
            <w:tcBorders>
              <w:bottom w:val="single" w:sz="8" w:color="auto"/>
            </w:tcBorders>
          </w:tcPr>
          <w:p>
            <w:pPr>
              <w:spacing w:after="0" w:line="155" w:lineRule="exact"/>
              <w:rPr>
                <w:sz w:val="20"/>
                <w:szCs w:val="20"/>
                <w:color w:val="auto"/>
              </w:rPr>
            </w:pPr>
            <w:r>
              <w:rPr>
                <w:rFonts w:ascii="Arial" w:cs="Arial" w:eastAsia="Arial" w:hAnsi="Arial"/>
                <w:sz w:val="14"/>
                <w:szCs w:val="14"/>
                <w:color w:val="auto"/>
              </w:rPr>
              <w:t>At December 31, 2013</w:t>
            </w:r>
          </w:p>
        </w:tc>
        <w:tc>
          <w:tcPr>
            <w:tcW w:w="2000" w:type="dxa"/>
            <w:vAlign w:val="bottom"/>
            <w:tcBorders>
              <w:bottom w:val="single" w:sz="8" w:color="auto"/>
            </w:tcBorders>
          </w:tcPr>
          <w:p>
            <w:pPr>
              <w:jc w:val="right"/>
              <w:ind w:right="129"/>
              <w:spacing w:after="0" w:line="155" w:lineRule="exact"/>
              <w:rPr>
                <w:sz w:val="20"/>
                <w:szCs w:val="20"/>
                <w:color w:val="auto"/>
              </w:rPr>
            </w:pPr>
            <w:r>
              <w:rPr>
                <w:rFonts w:ascii="Arial" w:cs="Arial" w:eastAsia="Arial" w:hAnsi="Arial"/>
                <w:sz w:val="14"/>
                <w:szCs w:val="14"/>
                <w:color w:val="auto"/>
              </w:rPr>
              <w:t>333</w:t>
            </w:r>
          </w:p>
        </w:tc>
        <w:tc>
          <w:tcPr>
            <w:tcW w:w="1940" w:type="dxa"/>
            <w:vAlign w:val="bottom"/>
            <w:tcBorders>
              <w:bottom w:val="single" w:sz="8" w:color="auto"/>
            </w:tcBorders>
          </w:tcPr>
          <w:p>
            <w:pPr>
              <w:jc w:val="right"/>
              <w:ind w:right="30"/>
              <w:spacing w:after="0" w:line="155" w:lineRule="exact"/>
              <w:rPr>
                <w:sz w:val="20"/>
                <w:szCs w:val="20"/>
                <w:color w:val="auto"/>
              </w:rPr>
            </w:pPr>
            <w:r>
              <w:rPr>
                <w:rFonts w:ascii="Arial" w:cs="Arial" w:eastAsia="Arial" w:hAnsi="Arial"/>
                <w:sz w:val="14"/>
                <w:szCs w:val="14"/>
                <w:color w:val="auto"/>
              </w:rPr>
              <w:t>209</w:t>
            </w:r>
          </w:p>
        </w:tc>
        <w:tc>
          <w:tcPr>
            <w:tcW w:w="1500" w:type="dxa"/>
            <w:vAlign w:val="bottom"/>
            <w:tcBorders>
              <w:bottom w:val="single" w:sz="8" w:color="auto"/>
            </w:tcBorders>
            <w:gridSpan w:val="2"/>
          </w:tcPr>
          <w:p>
            <w:pPr>
              <w:jc w:val="right"/>
              <w:ind w:right="100"/>
              <w:spacing w:after="0" w:line="155" w:lineRule="exact"/>
              <w:rPr>
                <w:sz w:val="20"/>
                <w:szCs w:val="20"/>
                <w:color w:val="auto"/>
              </w:rPr>
            </w:pPr>
            <w:r>
              <w:rPr>
                <w:rFonts w:ascii="Arial" w:cs="Arial" w:eastAsia="Arial" w:hAnsi="Arial"/>
                <w:sz w:val="14"/>
                <w:szCs w:val="14"/>
                <w:color w:val="auto"/>
              </w:rPr>
              <w:t>542</w:t>
            </w:r>
          </w:p>
        </w:tc>
        <w:tc>
          <w:tcPr>
            <w:tcW w:w="0" w:type="dxa"/>
            <w:vAlign w:val="bottom"/>
          </w:tcPr>
          <w:p>
            <w:pPr>
              <w:spacing w:after="0"/>
              <w:rPr>
                <w:sz w:val="1"/>
                <w:szCs w:val="1"/>
                <w:color w:val="auto"/>
              </w:rPr>
            </w:pPr>
          </w:p>
        </w:tc>
      </w:tr>
    </w:tbl>
    <w:p>
      <w:pPr>
        <w:spacing w:after="0" w:line="180" w:lineRule="exact"/>
        <w:rPr>
          <w:sz w:val="20"/>
          <w:szCs w:val="20"/>
          <w:color w:val="auto"/>
        </w:rPr>
      </w:pPr>
    </w:p>
    <w:p>
      <w:pPr>
        <w:spacing w:after="0"/>
        <w:rPr>
          <w:sz w:val="20"/>
          <w:szCs w:val="20"/>
          <w:color w:val="auto"/>
        </w:rPr>
      </w:pPr>
      <w:r>
        <w:rPr>
          <w:rFonts w:ascii="Arial" w:cs="Arial" w:eastAsia="Arial" w:hAnsi="Arial"/>
          <w:sz w:val="14"/>
          <w:szCs w:val="14"/>
          <w:color w:val="auto"/>
        </w:rPr>
        <w:t>The total nominal value of sterling deferred shares is less than $1 million.</w:t>
      </w:r>
    </w:p>
    <w:p>
      <w:pPr>
        <w:spacing w:after="0" w:line="190" w:lineRule="exact"/>
        <w:rPr>
          <w:sz w:val="20"/>
          <w:szCs w:val="20"/>
          <w:color w:val="auto"/>
        </w:rPr>
      </w:pPr>
    </w:p>
    <w:p>
      <w:pPr>
        <w:ind w:right="40"/>
        <w:spacing w:after="0" w:line="247" w:lineRule="auto"/>
        <w:rPr>
          <w:sz w:val="20"/>
          <w:szCs w:val="20"/>
          <w:color w:val="auto"/>
        </w:rPr>
      </w:pPr>
      <w:r>
        <w:rPr>
          <w:rFonts w:ascii="Arial" w:cs="Arial" w:eastAsia="Arial" w:hAnsi="Arial"/>
          <w:sz w:val="14"/>
          <w:szCs w:val="14"/>
          <w:color w:val="auto"/>
        </w:rPr>
        <w:t>At the Company’s Annual General Meeting (AGM) on May 20, 2014, the Board was authorised to allot ordinary shares in the Company, and to grant rights to subscribe for or to convert any security into ordinary shares in the Company, up to an aggregate nominal amount of €147 million (representing 2,100 million ordinary shares of €0.07 each), and to list such shares or rights on any stock exchange. This authority expires at the earlier of the close of business on August 20, 2015, and the end of the AGM to be held in 2015, unless previously renewed, revoked or varied by the Company in a general meeting.</w:t>
      </w:r>
    </w:p>
    <w:p>
      <w:pPr>
        <w:sectPr>
          <w:pgSz w:w="11900" w:h="16838" w:orient="portrait"/>
          <w:cols w:equalWidth="0" w:num="1">
            <w:col w:w="11420"/>
          </w:cols>
          <w:pgMar w:left="240" w:top="459" w:right="239" w:bottom="1440" w:gutter="0" w:footer="0" w:header="0"/>
        </w:sectPr>
      </w:pPr>
    </w:p>
    <w:bookmarkStart w:id="138" w:name="page139"/>
    <w:bookmarkEnd w:id="1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6428105</wp:posOffset>
            </wp:positionH>
            <wp:positionV relativeFrom="paragraph">
              <wp:posOffset>300355</wp:posOffset>
            </wp:positionV>
            <wp:extent cx="8890" cy="46291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8890" cy="462915"/>
                    </a:xfrm>
                    <a:prstGeom prst="rect">
                      <a:avLst/>
                    </a:prstGeom>
                    <a:noFill/>
                  </pic:spPr>
                </pic:pic>
              </a:graphicData>
            </a:graphic>
          </wp:anchor>
        </w:drawing>
      </w:r>
    </w:p>
    <w:p>
      <w:pPr>
        <w:spacing w:after="0" w:line="200" w:lineRule="exact"/>
        <w:rPr>
          <w:sz w:val="20"/>
          <w:szCs w:val="20"/>
          <w:color w:val="auto"/>
        </w:rPr>
      </w:pP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565"/>
        </w:trPr>
        <w:tc>
          <w:tcPr>
            <w:tcW w:w="5600" w:type="dxa"/>
            <w:vAlign w:val="bottom"/>
          </w:tcPr>
          <w:p>
            <w:pPr>
              <w:spacing w:after="0"/>
              <w:rPr>
                <w:sz w:val="24"/>
                <w:szCs w:val="24"/>
                <w:color w:val="auto"/>
              </w:rPr>
            </w:pPr>
          </w:p>
        </w:tc>
        <w:tc>
          <w:tcPr>
            <w:tcW w:w="780" w:type="dxa"/>
            <w:vAlign w:val="bottom"/>
            <w:shd w:val="clear" w:color="auto" w:fill="FF8B00"/>
          </w:tcPr>
          <w:p>
            <w:pPr>
              <w:spacing w:after="0"/>
              <w:rPr>
                <w:sz w:val="24"/>
                <w:szCs w:val="24"/>
                <w:color w:val="auto"/>
              </w:rPr>
            </w:pPr>
          </w:p>
        </w:tc>
        <w:tc>
          <w:tcPr>
            <w:tcW w:w="3120" w:type="dxa"/>
            <w:vAlign w:val="bottom"/>
            <w:gridSpan w:val="3"/>
            <w:shd w:val="clear" w:color="auto" w:fill="FF8B00"/>
          </w:tcPr>
          <w:p>
            <w:pPr>
              <w:ind w:left="100"/>
              <w:spacing w:after="0"/>
              <w:rPr>
                <w:sz w:val="20"/>
                <w:szCs w:val="20"/>
                <w:color w:val="auto"/>
              </w:rPr>
            </w:pPr>
            <w:r>
              <w:rPr>
                <w:rFonts w:ascii="Arial" w:cs="Arial" w:eastAsia="Arial" w:hAnsi="Arial"/>
                <w:sz w:val="13"/>
                <w:szCs w:val="13"/>
                <w:color w:val="333333"/>
              </w:rPr>
              <w:t>FINANCIAL STATEMENTS AND SUPPLEMENTS</w:t>
            </w:r>
          </w:p>
        </w:tc>
        <w:tc>
          <w:tcPr>
            <w:tcW w:w="780" w:type="dxa"/>
            <w:vAlign w:val="bottom"/>
            <w:shd w:val="clear" w:color="auto" w:fill="FF8B00"/>
          </w:tcPr>
          <w:p>
            <w:pPr>
              <w:spacing w:after="0"/>
              <w:rPr>
                <w:sz w:val="24"/>
                <w:szCs w:val="24"/>
                <w:color w:val="auto"/>
              </w:rPr>
            </w:pPr>
          </w:p>
        </w:tc>
        <w:tc>
          <w:tcPr>
            <w:tcW w:w="1140" w:type="dxa"/>
            <w:vAlign w:val="bottom"/>
            <w:shd w:val="clear" w:color="auto" w:fill="FF8B00"/>
          </w:tcPr>
          <w:p>
            <w:pPr>
              <w:jc w:val="right"/>
              <w:ind w:right="352"/>
              <w:spacing w:after="0"/>
              <w:rPr>
                <w:sz w:val="20"/>
                <w:szCs w:val="20"/>
                <w:color w:val="auto"/>
              </w:rPr>
            </w:pPr>
            <w:r>
              <w:rPr>
                <w:rFonts w:ascii="Arial" w:cs="Arial" w:eastAsia="Arial" w:hAnsi="Arial"/>
                <w:sz w:val="11"/>
                <w:szCs w:val="11"/>
                <w:b w:val="1"/>
                <w:bCs w:val="1"/>
                <w:color w:val="333333"/>
              </w:rPr>
              <w:t>137</w:t>
            </w:r>
          </w:p>
        </w:tc>
        <w:tc>
          <w:tcPr>
            <w:tcW w:w="0" w:type="dxa"/>
            <w:vAlign w:val="bottom"/>
          </w:tcPr>
          <w:p>
            <w:pPr>
              <w:spacing w:after="0"/>
              <w:rPr>
                <w:sz w:val="1"/>
                <w:szCs w:val="1"/>
                <w:color w:val="auto"/>
              </w:rPr>
            </w:pPr>
          </w:p>
        </w:tc>
      </w:tr>
      <w:tr>
        <w:trPr>
          <w:trHeight w:val="165"/>
        </w:trPr>
        <w:tc>
          <w:tcPr>
            <w:tcW w:w="5600" w:type="dxa"/>
            <w:vAlign w:val="bottom"/>
            <w:vMerge w:val="restart"/>
          </w:tcPr>
          <w:p>
            <w:pPr>
              <w:spacing w:after="0"/>
              <w:rPr>
                <w:sz w:val="20"/>
                <w:szCs w:val="20"/>
                <w:color w:val="auto"/>
              </w:rPr>
            </w:pPr>
            <w:r>
              <w:rPr>
                <w:rFonts w:ascii="Arial" w:cs="Arial" w:eastAsia="Arial" w:hAnsi="Arial"/>
                <w:sz w:val="11"/>
                <w:szCs w:val="11"/>
                <w:color w:val="auto"/>
              </w:rPr>
              <w:t>SHELL ANNUAL REPORT AND FORM 20-F 2014</w:t>
            </w:r>
          </w:p>
        </w:tc>
        <w:tc>
          <w:tcPr>
            <w:tcW w:w="780" w:type="dxa"/>
            <w:vAlign w:val="bottom"/>
            <w:shd w:val="clear" w:color="auto" w:fill="FF8B00"/>
          </w:tcPr>
          <w:p>
            <w:pPr>
              <w:spacing w:after="0"/>
              <w:rPr>
                <w:sz w:val="14"/>
                <w:szCs w:val="14"/>
                <w:color w:val="auto"/>
              </w:rPr>
            </w:pPr>
          </w:p>
        </w:tc>
        <w:tc>
          <w:tcPr>
            <w:tcW w:w="920" w:type="dxa"/>
            <w:vAlign w:val="bottom"/>
            <w:shd w:val="clear" w:color="auto" w:fill="FF8B00"/>
          </w:tcPr>
          <w:p>
            <w:pPr>
              <w:spacing w:after="0"/>
              <w:rPr>
                <w:sz w:val="14"/>
                <w:szCs w:val="14"/>
                <w:color w:val="auto"/>
              </w:rPr>
            </w:pPr>
          </w:p>
        </w:tc>
        <w:tc>
          <w:tcPr>
            <w:tcW w:w="1340" w:type="dxa"/>
            <w:vAlign w:val="bottom"/>
            <w:shd w:val="clear" w:color="auto" w:fill="FF8B00"/>
          </w:tcPr>
          <w:p>
            <w:pPr>
              <w:spacing w:after="0"/>
              <w:rPr>
                <w:sz w:val="14"/>
                <w:szCs w:val="14"/>
                <w:color w:val="auto"/>
              </w:rPr>
            </w:pPr>
          </w:p>
        </w:tc>
        <w:tc>
          <w:tcPr>
            <w:tcW w:w="860" w:type="dxa"/>
            <w:vAlign w:val="bottom"/>
            <w:shd w:val="clear" w:color="auto" w:fill="FF8B00"/>
          </w:tcPr>
          <w:p>
            <w:pPr>
              <w:spacing w:after="0"/>
              <w:rPr>
                <w:sz w:val="14"/>
                <w:szCs w:val="14"/>
                <w:color w:val="auto"/>
              </w:rPr>
            </w:pPr>
          </w:p>
        </w:tc>
        <w:tc>
          <w:tcPr>
            <w:tcW w:w="780" w:type="dxa"/>
            <w:vAlign w:val="bottom"/>
            <w:shd w:val="clear" w:color="auto" w:fill="FF8B00"/>
          </w:tcPr>
          <w:p>
            <w:pPr>
              <w:spacing w:after="0"/>
              <w:rPr>
                <w:sz w:val="14"/>
                <w:szCs w:val="14"/>
                <w:color w:val="auto"/>
              </w:rPr>
            </w:pPr>
          </w:p>
        </w:tc>
        <w:tc>
          <w:tcPr>
            <w:tcW w:w="1140" w:type="dxa"/>
            <w:vAlign w:val="bottom"/>
            <w:shd w:val="clear" w:color="auto" w:fill="FF8B00"/>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5600" w:type="dxa"/>
            <w:vAlign w:val="bottom"/>
            <w:vMerge w:val="continue"/>
          </w:tcPr>
          <w:p>
            <w:pPr>
              <w:spacing w:after="0"/>
              <w:rPr>
                <w:sz w:val="10"/>
                <w:szCs w:val="10"/>
                <w:color w:val="auto"/>
              </w:rPr>
            </w:pPr>
          </w:p>
        </w:tc>
        <w:tc>
          <w:tcPr>
            <w:tcW w:w="780" w:type="dxa"/>
            <w:vAlign w:val="bottom"/>
          </w:tcPr>
          <w:p>
            <w:pPr>
              <w:spacing w:after="0"/>
              <w:rPr>
                <w:sz w:val="10"/>
                <w:szCs w:val="10"/>
                <w:color w:val="auto"/>
              </w:rPr>
            </w:pPr>
          </w:p>
        </w:tc>
        <w:tc>
          <w:tcPr>
            <w:tcW w:w="3120" w:type="dxa"/>
            <w:vAlign w:val="bottom"/>
            <w:gridSpan w:val="3"/>
          </w:tcPr>
          <w:p>
            <w:pPr>
              <w:ind w:left="100"/>
              <w:spacing w:after="0" w:line="121" w:lineRule="exact"/>
              <w:rPr>
                <w:sz w:val="20"/>
                <w:szCs w:val="20"/>
                <w:color w:val="auto"/>
              </w:rPr>
            </w:pPr>
            <w:r>
              <w:rPr>
                <w:rFonts w:ascii="Arial" w:cs="Arial" w:eastAsia="Arial" w:hAnsi="Arial"/>
                <w:sz w:val="11"/>
                <w:szCs w:val="11"/>
                <w:color w:val="auto"/>
              </w:rPr>
              <w:t>CONSOLIDATED FINANCIAL STATEMENTS</w:t>
            </w:r>
          </w:p>
        </w:tc>
        <w:tc>
          <w:tcPr>
            <w:tcW w:w="78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7"/>
        </w:trPr>
        <w:tc>
          <w:tcPr>
            <w:tcW w:w="6380" w:type="dxa"/>
            <w:vAlign w:val="bottom"/>
            <w:gridSpan w:val="2"/>
          </w:tcPr>
          <w:p>
            <w:pPr>
              <w:spacing w:after="0"/>
              <w:rPr>
                <w:sz w:val="20"/>
                <w:szCs w:val="20"/>
                <w:color w:val="auto"/>
              </w:rPr>
            </w:pPr>
            <w:r>
              <w:rPr>
                <w:rFonts w:ascii="Arial" w:cs="Arial" w:eastAsia="Arial" w:hAnsi="Arial"/>
                <w:sz w:val="18"/>
                <w:szCs w:val="18"/>
                <w:color w:val="auto"/>
              </w:rPr>
              <w:t>21 SHARE-BASED COMPENSATION PLANS AND SHARES HELD IN TRUST</w:t>
            </w:r>
          </w:p>
        </w:tc>
        <w:tc>
          <w:tcPr>
            <w:tcW w:w="9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6380" w:type="dxa"/>
            <w:vAlign w:val="bottom"/>
            <w:gridSpan w:val="2"/>
          </w:tcPr>
          <w:p>
            <w:pPr>
              <w:spacing w:after="0"/>
              <w:rPr>
                <w:sz w:val="17"/>
                <w:szCs w:val="17"/>
                <w:color w:val="auto"/>
              </w:rPr>
            </w:pPr>
          </w:p>
        </w:tc>
        <w:tc>
          <w:tcPr>
            <w:tcW w:w="9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6380" w:type="dxa"/>
            <w:vAlign w:val="bottom"/>
            <w:gridSpan w:val="2"/>
            <w:shd w:val="clear" w:color="auto" w:fill="333333"/>
          </w:tcPr>
          <w:p>
            <w:pPr>
              <w:ind w:left="80"/>
              <w:spacing w:after="0" w:line="162" w:lineRule="exact"/>
              <w:rPr>
                <w:sz w:val="20"/>
                <w:szCs w:val="20"/>
                <w:color w:val="auto"/>
              </w:rPr>
            </w:pPr>
            <w:r>
              <w:rPr>
                <w:rFonts w:ascii="Arial" w:cs="Arial" w:eastAsia="Arial" w:hAnsi="Arial"/>
                <w:sz w:val="15"/>
                <w:szCs w:val="15"/>
                <w:b w:val="1"/>
                <w:bCs w:val="1"/>
                <w:color w:val="FFFFFF"/>
              </w:rPr>
              <w:t>SHARE-BASED COMPENSATION EXPENSE</w:t>
            </w:r>
          </w:p>
        </w:tc>
        <w:tc>
          <w:tcPr>
            <w:tcW w:w="920" w:type="dxa"/>
            <w:vAlign w:val="bottom"/>
            <w:shd w:val="clear" w:color="auto" w:fill="333333"/>
          </w:tcPr>
          <w:p>
            <w:pPr>
              <w:spacing w:after="0"/>
              <w:rPr>
                <w:sz w:val="14"/>
                <w:szCs w:val="14"/>
                <w:color w:val="auto"/>
              </w:rPr>
            </w:pPr>
          </w:p>
        </w:tc>
        <w:tc>
          <w:tcPr>
            <w:tcW w:w="1340" w:type="dxa"/>
            <w:vAlign w:val="bottom"/>
            <w:shd w:val="clear" w:color="auto" w:fill="333333"/>
          </w:tcPr>
          <w:p>
            <w:pPr>
              <w:spacing w:after="0"/>
              <w:rPr>
                <w:sz w:val="14"/>
                <w:szCs w:val="14"/>
                <w:color w:val="auto"/>
              </w:rPr>
            </w:pPr>
          </w:p>
        </w:tc>
        <w:tc>
          <w:tcPr>
            <w:tcW w:w="860" w:type="dxa"/>
            <w:vAlign w:val="bottom"/>
            <w:shd w:val="clear" w:color="auto" w:fill="333333"/>
          </w:tcPr>
          <w:p>
            <w:pPr>
              <w:spacing w:after="0"/>
              <w:rPr>
                <w:sz w:val="14"/>
                <w:szCs w:val="14"/>
                <w:color w:val="auto"/>
              </w:rPr>
            </w:pPr>
          </w:p>
        </w:tc>
        <w:tc>
          <w:tcPr>
            <w:tcW w:w="780" w:type="dxa"/>
            <w:vAlign w:val="bottom"/>
            <w:shd w:val="clear" w:color="auto" w:fill="333333"/>
          </w:tcPr>
          <w:p>
            <w:pPr>
              <w:spacing w:after="0"/>
              <w:rPr>
                <w:sz w:val="14"/>
                <w:szCs w:val="14"/>
                <w:color w:val="auto"/>
              </w:rPr>
            </w:pPr>
          </w:p>
        </w:tc>
        <w:tc>
          <w:tcPr>
            <w:tcW w:w="1140" w:type="dxa"/>
            <w:vAlign w:val="bottom"/>
            <w:shd w:val="clear" w:color="auto" w:fill="333333"/>
          </w:tcPr>
          <w:p>
            <w:pPr>
              <w:jc w:val="right"/>
              <w:ind w:right="32"/>
              <w:spacing w:after="0" w:line="162" w:lineRule="exact"/>
              <w:rPr>
                <w:sz w:val="20"/>
                <w:szCs w:val="20"/>
                <w:color w:val="auto"/>
              </w:rPr>
            </w:pPr>
            <w:r>
              <w:rPr>
                <w:rFonts w:ascii="Arial" w:cs="Arial" w:eastAsia="Arial" w:hAnsi="Arial"/>
                <w:sz w:val="15"/>
                <w:szCs w:val="15"/>
                <w:color w:val="FFFFFF"/>
              </w:rPr>
              <w:t>$ MILLION</w:t>
            </w:r>
          </w:p>
        </w:tc>
        <w:tc>
          <w:tcPr>
            <w:tcW w:w="0" w:type="dxa"/>
            <w:vAlign w:val="bottom"/>
          </w:tcPr>
          <w:p>
            <w:pPr>
              <w:spacing w:after="0"/>
              <w:rPr>
                <w:sz w:val="1"/>
                <w:szCs w:val="1"/>
                <w:color w:val="auto"/>
              </w:rPr>
            </w:pPr>
          </w:p>
        </w:tc>
      </w:tr>
      <w:tr>
        <w:trPr>
          <w:trHeight w:val="149"/>
        </w:trPr>
        <w:tc>
          <w:tcPr>
            <w:tcW w:w="560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spacing w:after="0"/>
              <w:rPr>
                <w:sz w:val="12"/>
                <w:szCs w:val="12"/>
                <w:color w:val="auto"/>
              </w:rPr>
            </w:pPr>
          </w:p>
        </w:tc>
        <w:tc>
          <w:tcPr>
            <w:tcW w:w="1340" w:type="dxa"/>
            <w:vAlign w:val="bottom"/>
            <w:tcBorders>
              <w:bottom w:val="single" w:sz="8" w:color="auto"/>
            </w:tcBorders>
            <w:shd w:val="clear" w:color="auto" w:fill="D8D8D8"/>
          </w:tcPr>
          <w:p>
            <w:pPr>
              <w:jc w:val="right"/>
              <w:ind w:right="370"/>
              <w:spacing w:after="0"/>
              <w:rPr>
                <w:sz w:val="20"/>
                <w:szCs w:val="20"/>
                <w:color w:val="auto"/>
              </w:rPr>
            </w:pPr>
            <w:r>
              <w:rPr>
                <w:rFonts w:ascii="Arial" w:cs="Arial" w:eastAsia="Arial" w:hAnsi="Arial"/>
                <w:sz w:val="13"/>
                <w:szCs w:val="13"/>
                <w:color w:val="auto"/>
              </w:rPr>
              <w:t>2014</w:t>
            </w:r>
          </w:p>
        </w:tc>
        <w:tc>
          <w:tcPr>
            <w:tcW w:w="86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230"/>
              <w:spacing w:after="0"/>
              <w:rPr>
                <w:sz w:val="20"/>
                <w:szCs w:val="20"/>
                <w:color w:val="auto"/>
              </w:rPr>
            </w:pPr>
            <w:r>
              <w:rPr>
                <w:rFonts w:ascii="Arial" w:cs="Arial" w:eastAsia="Arial" w:hAnsi="Arial"/>
                <w:sz w:val="13"/>
                <w:szCs w:val="13"/>
                <w:color w:val="auto"/>
              </w:rPr>
              <w:t>2013</w:t>
            </w:r>
          </w:p>
        </w:tc>
        <w:tc>
          <w:tcPr>
            <w:tcW w:w="1140" w:type="dxa"/>
            <w:vAlign w:val="bottom"/>
            <w:tcBorders>
              <w:bottom w:val="single" w:sz="8" w:color="auto"/>
            </w:tcBorders>
          </w:tcPr>
          <w:p>
            <w:pPr>
              <w:jc w:val="right"/>
              <w:ind w:right="372"/>
              <w:spacing w:after="0"/>
              <w:rPr>
                <w:sz w:val="20"/>
                <w:szCs w:val="20"/>
                <w:color w:val="auto"/>
              </w:rPr>
            </w:pPr>
            <w:r>
              <w:rPr>
                <w:rFonts w:ascii="Arial" w:cs="Arial" w:eastAsia="Arial" w:hAnsi="Arial"/>
                <w:sz w:val="13"/>
                <w:szCs w:val="13"/>
                <w:color w:val="auto"/>
              </w:rPr>
              <w:t>2012</w:t>
            </w:r>
          </w:p>
        </w:tc>
        <w:tc>
          <w:tcPr>
            <w:tcW w:w="0" w:type="dxa"/>
            <w:vAlign w:val="bottom"/>
          </w:tcPr>
          <w:p>
            <w:pPr>
              <w:spacing w:after="0"/>
              <w:rPr>
                <w:sz w:val="1"/>
                <w:szCs w:val="1"/>
                <w:color w:val="auto"/>
              </w:rPr>
            </w:pPr>
          </w:p>
        </w:tc>
      </w:tr>
      <w:tr>
        <w:trPr>
          <w:trHeight w:val="156"/>
        </w:trPr>
        <w:tc>
          <w:tcPr>
            <w:tcW w:w="6380" w:type="dxa"/>
            <w:vAlign w:val="bottom"/>
            <w:gridSpan w:val="2"/>
          </w:tcPr>
          <w:p>
            <w:pPr>
              <w:spacing w:after="0" w:line="155" w:lineRule="exact"/>
              <w:rPr>
                <w:sz w:val="20"/>
                <w:szCs w:val="20"/>
                <w:color w:val="auto"/>
              </w:rPr>
            </w:pPr>
            <w:r>
              <w:rPr>
                <w:rFonts w:ascii="Arial" w:cs="Arial" w:eastAsia="Arial" w:hAnsi="Arial"/>
                <w:sz w:val="14"/>
                <w:szCs w:val="14"/>
                <w:color w:val="auto"/>
              </w:rPr>
              <w:t>Equity-settled plans</w:t>
            </w:r>
          </w:p>
        </w:tc>
        <w:tc>
          <w:tcPr>
            <w:tcW w:w="920" w:type="dxa"/>
            <w:vAlign w:val="bottom"/>
          </w:tcPr>
          <w:p>
            <w:pPr>
              <w:spacing w:after="0"/>
              <w:rPr>
                <w:sz w:val="13"/>
                <w:szCs w:val="13"/>
                <w:color w:val="auto"/>
              </w:rPr>
            </w:pPr>
          </w:p>
        </w:tc>
        <w:tc>
          <w:tcPr>
            <w:tcW w:w="1340" w:type="dxa"/>
            <w:vAlign w:val="bottom"/>
            <w:shd w:val="clear" w:color="auto" w:fill="D8D8D8"/>
          </w:tcPr>
          <w:p>
            <w:pPr>
              <w:jc w:val="right"/>
              <w:ind w:right="370"/>
              <w:spacing w:after="0" w:line="155" w:lineRule="exact"/>
              <w:rPr>
                <w:sz w:val="20"/>
                <w:szCs w:val="20"/>
                <w:color w:val="auto"/>
              </w:rPr>
            </w:pPr>
            <w:r>
              <w:rPr>
                <w:rFonts w:ascii="Arial" w:cs="Arial" w:eastAsia="Arial" w:hAnsi="Arial"/>
                <w:sz w:val="14"/>
                <w:szCs w:val="14"/>
                <w:color w:val="auto"/>
              </w:rPr>
              <w:t>517</w:t>
            </w:r>
          </w:p>
        </w:tc>
        <w:tc>
          <w:tcPr>
            <w:tcW w:w="860" w:type="dxa"/>
            <w:vAlign w:val="bottom"/>
          </w:tcPr>
          <w:p>
            <w:pPr>
              <w:spacing w:after="0"/>
              <w:rPr>
                <w:sz w:val="13"/>
                <w:szCs w:val="13"/>
                <w:color w:val="auto"/>
              </w:rPr>
            </w:pPr>
          </w:p>
        </w:tc>
        <w:tc>
          <w:tcPr>
            <w:tcW w:w="780" w:type="dxa"/>
            <w:vAlign w:val="bottom"/>
          </w:tcPr>
          <w:p>
            <w:pPr>
              <w:jc w:val="right"/>
              <w:ind w:right="230"/>
              <w:spacing w:after="0" w:line="155" w:lineRule="exact"/>
              <w:rPr>
                <w:sz w:val="20"/>
                <w:szCs w:val="20"/>
                <w:color w:val="auto"/>
              </w:rPr>
            </w:pPr>
            <w:r>
              <w:rPr>
                <w:rFonts w:ascii="Arial" w:cs="Arial" w:eastAsia="Arial" w:hAnsi="Arial"/>
                <w:sz w:val="14"/>
                <w:szCs w:val="14"/>
                <w:color w:val="auto"/>
              </w:rPr>
              <w:t>549</w:t>
            </w:r>
          </w:p>
        </w:tc>
        <w:tc>
          <w:tcPr>
            <w:tcW w:w="1140" w:type="dxa"/>
            <w:vAlign w:val="bottom"/>
          </w:tcPr>
          <w:p>
            <w:pPr>
              <w:jc w:val="right"/>
              <w:ind w:right="372"/>
              <w:spacing w:after="0" w:line="155" w:lineRule="exact"/>
              <w:rPr>
                <w:sz w:val="20"/>
                <w:szCs w:val="20"/>
                <w:color w:val="auto"/>
              </w:rPr>
            </w:pPr>
            <w:r>
              <w:rPr>
                <w:rFonts w:ascii="Arial" w:cs="Arial" w:eastAsia="Arial" w:hAnsi="Arial"/>
                <w:sz w:val="14"/>
                <w:szCs w:val="14"/>
                <w:color w:val="auto"/>
              </w:rPr>
              <w:t>798</w:t>
            </w:r>
          </w:p>
        </w:tc>
        <w:tc>
          <w:tcPr>
            <w:tcW w:w="0" w:type="dxa"/>
            <w:vAlign w:val="bottom"/>
          </w:tcPr>
          <w:p>
            <w:pPr>
              <w:spacing w:after="0"/>
              <w:rPr>
                <w:sz w:val="1"/>
                <w:szCs w:val="1"/>
                <w:color w:val="auto"/>
              </w:rPr>
            </w:pPr>
          </w:p>
        </w:tc>
      </w:tr>
      <w:tr>
        <w:trPr>
          <w:trHeight w:val="162"/>
        </w:trPr>
        <w:tc>
          <w:tcPr>
            <w:tcW w:w="6380" w:type="dxa"/>
            <w:vAlign w:val="bottom"/>
            <w:tcBorders>
              <w:bottom w:val="single" w:sz="8" w:color="auto"/>
            </w:tcBorders>
            <w:gridSpan w:val="2"/>
          </w:tcPr>
          <w:p>
            <w:pPr>
              <w:spacing w:after="0"/>
              <w:rPr>
                <w:sz w:val="20"/>
                <w:szCs w:val="20"/>
                <w:color w:val="auto"/>
              </w:rPr>
            </w:pPr>
            <w:r>
              <w:rPr>
                <w:rFonts w:ascii="Arial" w:cs="Arial" w:eastAsia="Arial" w:hAnsi="Arial"/>
                <w:sz w:val="14"/>
                <w:szCs w:val="14"/>
                <w:color w:val="auto"/>
              </w:rPr>
              <w:t>Cash-settled plans</w:t>
            </w:r>
          </w:p>
        </w:tc>
        <w:tc>
          <w:tcPr>
            <w:tcW w:w="92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shd w:val="clear" w:color="auto" w:fill="D8D8D8"/>
          </w:tcPr>
          <w:p>
            <w:pPr>
              <w:jc w:val="right"/>
              <w:ind w:right="370"/>
              <w:spacing w:after="0"/>
              <w:rPr>
                <w:sz w:val="20"/>
                <w:szCs w:val="20"/>
                <w:color w:val="auto"/>
              </w:rPr>
            </w:pPr>
            <w:r>
              <w:rPr>
                <w:rFonts w:ascii="Arial" w:cs="Arial" w:eastAsia="Arial" w:hAnsi="Arial"/>
                <w:sz w:val="14"/>
                <w:szCs w:val="14"/>
                <w:color w:val="auto"/>
              </w:rPr>
              <w:t>287</w:t>
            </w:r>
          </w:p>
        </w:tc>
        <w:tc>
          <w:tcPr>
            <w:tcW w:w="86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30"/>
              <w:spacing w:after="0"/>
              <w:rPr>
                <w:sz w:val="20"/>
                <w:szCs w:val="20"/>
                <w:color w:val="auto"/>
              </w:rPr>
            </w:pPr>
            <w:r>
              <w:rPr>
                <w:rFonts w:ascii="Arial" w:cs="Arial" w:eastAsia="Arial" w:hAnsi="Arial"/>
                <w:sz w:val="14"/>
                <w:szCs w:val="14"/>
                <w:color w:val="auto"/>
              </w:rPr>
              <w:t>23</w:t>
            </w:r>
          </w:p>
        </w:tc>
        <w:tc>
          <w:tcPr>
            <w:tcW w:w="1140" w:type="dxa"/>
            <w:vAlign w:val="bottom"/>
            <w:tcBorders>
              <w:bottom w:val="single" w:sz="8" w:color="auto"/>
            </w:tcBorders>
          </w:tcPr>
          <w:p>
            <w:pPr>
              <w:jc w:val="right"/>
              <w:ind w:right="372"/>
              <w:spacing w:after="0"/>
              <w:rPr>
                <w:sz w:val="20"/>
                <w:szCs w:val="20"/>
                <w:color w:val="auto"/>
              </w:rPr>
            </w:pPr>
            <w:r>
              <w:rPr>
                <w:rFonts w:ascii="Arial" w:cs="Arial" w:eastAsia="Arial" w:hAnsi="Arial"/>
                <w:sz w:val="14"/>
                <w:szCs w:val="14"/>
                <w:color w:val="auto"/>
              </w:rPr>
              <w:t>111</w:t>
            </w:r>
          </w:p>
        </w:tc>
        <w:tc>
          <w:tcPr>
            <w:tcW w:w="0" w:type="dxa"/>
            <w:vAlign w:val="bottom"/>
          </w:tcPr>
          <w:p>
            <w:pPr>
              <w:spacing w:after="0"/>
              <w:rPr>
                <w:sz w:val="1"/>
                <w:szCs w:val="1"/>
                <w:color w:val="auto"/>
              </w:rPr>
            </w:pPr>
          </w:p>
        </w:tc>
      </w:tr>
      <w:tr>
        <w:trPr>
          <w:trHeight w:val="156"/>
        </w:trPr>
        <w:tc>
          <w:tcPr>
            <w:tcW w:w="6380" w:type="dxa"/>
            <w:vAlign w:val="bottom"/>
            <w:tcBorders>
              <w:bottom w:val="single" w:sz="8" w:color="auto"/>
            </w:tcBorders>
            <w:gridSpan w:val="2"/>
          </w:tcPr>
          <w:p>
            <w:pPr>
              <w:spacing w:after="0" w:line="155" w:lineRule="exact"/>
              <w:rPr>
                <w:sz w:val="20"/>
                <w:szCs w:val="20"/>
                <w:color w:val="auto"/>
              </w:rPr>
            </w:pPr>
            <w:r>
              <w:rPr>
                <w:rFonts w:ascii="Arial" w:cs="Arial" w:eastAsia="Arial" w:hAnsi="Arial"/>
                <w:sz w:val="14"/>
                <w:szCs w:val="14"/>
                <w:color w:val="auto"/>
              </w:rPr>
              <w:t>Total</w:t>
            </w:r>
          </w:p>
        </w:tc>
        <w:tc>
          <w:tcPr>
            <w:tcW w:w="92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shd w:val="clear" w:color="auto" w:fill="D8D8D8"/>
          </w:tcPr>
          <w:p>
            <w:pPr>
              <w:jc w:val="right"/>
              <w:ind w:right="370"/>
              <w:spacing w:after="0" w:line="155" w:lineRule="exact"/>
              <w:rPr>
                <w:sz w:val="20"/>
                <w:szCs w:val="20"/>
                <w:color w:val="auto"/>
              </w:rPr>
            </w:pPr>
            <w:r>
              <w:rPr>
                <w:rFonts w:ascii="Arial" w:cs="Arial" w:eastAsia="Arial" w:hAnsi="Arial"/>
                <w:sz w:val="14"/>
                <w:szCs w:val="14"/>
                <w:color w:val="auto"/>
              </w:rPr>
              <w:t>804</w:t>
            </w:r>
          </w:p>
        </w:tc>
        <w:tc>
          <w:tcPr>
            <w:tcW w:w="86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230"/>
              <w:spacing w:after="0" w:line="155" w:lineRule="exact"/>
              <w:rPr>
                <w:sz w:val="20"/>
                <w:szCs w:val="20"/>
                <w:color w:val="auto"/>
              </w:rPr>
            </w:pPr>
            <w:r>
              <w:rPr>
                <w:rFonts w:ascii="Arial" w:cs="Arial" w:eastAsia="Arial" w:hAnsi="Arial"/>
                <w:sz w:val="14"/>
                <w:szCs w:val="14"/>
                <w:color w:val="auto"/>
              </w:rPr>
              <w:t>572</w:t>
            </w:r>
          </w:p>
        </w:tc>
        <w:tc>
          <w:tcPr>
            <w:tcW w:w="1140" w:type="dxa"/>
            <w:vAlign w:val="bottom"/>
            <w:tcBorders>
              <w:bottom w:val="single" w:sz="8" w:color="auto"/>
            </w:tcBorders>
          </w:tcPr>
          <w:p>
            <w:pPr>
              <w:jc w:val="right"/>
              <w:ind w:right="372"/>
              <w:spacing w:after="0" w:line="155" w:lineRule="exact"/>
              <w:rPr>
                <w:sz w:val="20"/>
                <w:szCs w:val="20"/>
                <w:color w:val="auto"/>
              </w:rPr>
            </w:pPr>
            <w:r>
              <w:rPr>
                <w:rFonts w:ascii="Arial" w:cs="Arial" w:eastAsia="Arial" w:hAnsi="Arial"/>
                <w:sz w:val="14"/>
                <w:szCs w:val="14"/>
                <w:color w:val="auto"/>
              </w:rPr>
              <w:t>909</w:t>
            </w:r>
          </w:p>
        </w:tc>
        <w:tc>
          <w:tcPr>
            <w:tcW w:w="0" w:type="dxa"/>
            <w:vAlign w:val="bottom"/>
          </w:tcPr>
          <w:p>
            <w:pPr>
              <w:spacing w:after="0"/>
              <w:rPr>
                <w:sz w:val="1"/>
                <w:szCs w:val="1"/>
                <w:color w:val="auto"/>
              </w:rPr>
            </w:pPr>
          </w:p>
        </w:tc>
      </w:tr>
    </w:tbl>
    <w:p>
      <w:pPr>
        <w:spacing w:after="0" w:line="194" w:lineRule="exact"/>
        <w:rPr>
          <w:sz w:val="20"/>
          <w:szCs w:val="20"/>
          <w:color w:val="auto"/>
        </w:rPr>
      </w:pPr>
    </w:p>
    <w:p>
      <w:pPr>
        <w:ind w:right="120"/>
        <w:spacing w:after="0" w:line="250" w:lineRule="auto"/>
        <w:rPr>
          <w:sz w:val="20"/>
          <w:szCs w:val="20"/>
          <w:color w:val="auto"/>
        </w:rPr>
      </w:pPr>
      <w:r>
        <w:rPr>
          <w:rFonts w:ascii="Arial" w:cs="Arial" w:eastAsia="Arial" w:hAnsi="Arial"/>
          <w:sz w:val="14"/>
          <w:szCs w:val="14"/>
          <w:color w:val="auto"/>
        </w:rPr>
        <w:t>The principal share-based employee compensation plan is the PSP. Awards of shares and American Depository Shares (ADSs) of the Company under the PSP are granted upon certain conditions to eligible employees who are not members of the Executive Committee. The actual amount of shares that may vest ranges from 0% to 200% of the awards, depending on the outcomes of prescribed performance conditions over a three-year period beginning on January 1 of the award year. Shares and ADSs vest for nil consideration.</w:t>
      </w:r>
    </w:p>
    <w:p>
      <w:pPr>
        <w:spacing w:after="0" w:line="173" w:lineRule="exact"/>
        <w:rPr>
          <w:sz w:val="20"/>
          <w:szCs w:val="20"/>
          <w:color w:val="auto"/>
        </w:rPr>
      </w:pPr>
    </w:p>
    <w:p>
      <w:pPr>
        <w:ind w:left="80"/>
        <w:spacing w:after="0"/>
        <w:rPr>
          <w:sz w:val="20"/>
          <w:szCs w:val="20"/>
          <w:color w:val="auto"/>
        </w:rPr>
      </w:pPr>
      <w:r>
        <w:rPr>
          <w:rFonts w:ascii="Arial" w:cs="Arial" w:eastAsia="Arial" w:hAnsi="Arial"/>
          <w:sz w:val="15"/>
          <w:szCs w:val="15"/>
          <w:b w:val="1"/>
          <w:bCs w:val="1"/>
          <w:color w:val="FFFFFF"/>
        </w:rPr>
        <w:t>SHARE AWARDS UNDER THE PSP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-95250</wp:posOffset>
            </wp:positionV>
            <wp:extent cx="7246620" cy="102870"/>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7246620" cy="10287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40"/>
        </w:trPr>
        <w:tc>
          <w:tcPr>
            <w:tcW w:w="3640" w:type="dxa"/>
            <w:vAlign w:val="bottom"/>
          </w:tcPr>
          <w:p>
            <w:pPr>
              <w:spacing w:after="0"/>
              <w:rPr>
                <w:sz w:val="12"/>
                <w:szCs w:val="12"/>
                <w:color w:val="auto"/>
              </w:rPr>
            </w:pPr>
          </w:p>
        </w:tc>
        <w:tc>
          <w:tcPr>
            <w:tcW w:w="348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480" w:type="dxa"/>
            <w:vAlign w:val="bottom"/>
          </w:tcPr>
          <w:p>
            <w:pPr>
              <w:jc w:val="right"/>
              <w:ind w:right="72"/>
              <w:spacing w:after="0" w:line="140" w:lineRule="exact"/>
              <w:rPr>
                <w:sz w:val="20"/>
                <w:szCs w:val="20"/>
                <w:color w:val="auto"/>
              </w:rPr>
            </w:pPr>
            <w:r>
              <w:rPr>
                <w:rFonts w:ascii="Arial" w:cs="Arial" w:eastAsia="Arial" w:hAnsi="Arial"/>
                <w:sz w:val="13"/>
                <w:szCs w:val="13"/>
                <w:color w:val="auto"/>
              </w:rPr>
              <w:t>Weighted average</w:t>
            </w:r>
          </w:p>
        </w:tc>
      </w:tr>
      <w:tr>
        <w:trPr>
          <w:trHeight w:val="135"/>
        </w:trPr>
        <w:tc>
          <w:tcPr>
            <w:tcW w:w="3640" w:type="dxa"/>
            <w:vAlign w:val="bottom"/>
          </w:tcPr>
          <w:p>
            <w:pPr>
              <w:spacing w:after="0"/>
              <w:rPr>
                <w:sz w:val="11"/>
                <w:szCs w:val="11"/>
                <w:color w:val="auto"/>
              </w:rPr>
            </w:pPr>
          </w:p>
        </w:tc>
        <w:tc>
          <w:tcPr>
            <w:tcW w:w="3480" w:type="dxa"/>
            <w:vAlign w:val="bottom"/>
          </w:tcPr>
          <w:p>
            <w:pPr>
              <w:jc w:val="right"/>
              <w:ind w:right="110"/>
              <w:spacing w:after="0" w:line="135" w:lineRule="exact"/>
              <w:rPr>
                <w:sz w:val="20"/>
                <w:szCs w:val="20"/>
                <w:color w:val="auto"/>
              </w:rPr>
            </w:pPr>
            <w:r>
              <w:rPr>
                <w:rFonts w:ascii="Arial" w:cs="Arial" w:eastAsia="Arial" w:hAnsi="Arial"/>
                <w:sz w:val="13"/>
                <w:szCs w:val="13"/>
                <w:color w:val="auto"/>
              </w:rPr>
              <w:t>Number of A shares</w:t>
            </w:r>
          </w:p>
        </w:tc>
        <w:tc>
          <w:tcPr>
            <w:tcW w:w="1460" w:type="dxa"/>
            <w:vAlign w:val="bottom"/>
          </w:tcPr>
          <w:p>
            <w:pPr>
              <w:jc w:val="right"/>
              <w:ind w:right="130"/>
              <w:spacing w:after="0" w:line="135" w:lineRule="exact"/>
              <w:rPr>
                <w:sz w:val="20"/>
                <w:szCs w:val="20"/>
                <w:color w:val="auto"/>
              </w:rPr>
            </w:pPr>
            <w:r>
              <w:rPr>
                <w:rFonts w:ascii="Arial" w:cs="Arial" w:eastAsia="Arial" w:hAnsi="Arial"/>
                <w:sz w:val="13"/>
                <w:szCs w:val="13"/>
                <w:color w:val="auto"/>
              </w:rPr>
              <w:t>Number of B shares</w:t>
            </w:r>
          </w:p>
        </w:tc>
        <w:tc>
          <w:tcPr>
            <w:tcW w:w="1360" w:type="dxa"/>
            <w:vAlign w:val="bottom"/>
          </w:tcPr>
          <w:p>
            <w:pPr>
              <w:jc w:val="right"/>
              <w:ind w:right="110"/>
              <w:spacing w:after="0" w:line="135" w:lineRule="exact"/>
              <w:rPr>
                <w:sz w:val="20"/>
                <w:szCs w:val="20"/>
                <w:color w:val="auto"/>
              </w:rPr>
            </w:pPr>
            <w:r>
              <w:rPr>
                <w:rFonts w:ascii="Arial" w:cs="Arial" w:eastAsia="Arial" w:hAnsi="Arial"/>
                <w:sz w:val="13"/>
                <w:szCs w:val="13"/>
                <w:color w:val="auto"/>
              </w:rPr>
              <w:t>Number of A ADSs</w:t>
            </w:r>
          </w:p>
        </w:tc>
        <w:tc>
          <w:tcPr>
            <w:tcW w:w="1480" w:type="dxa"/>
            <w:vAlign w:val="bottom"/>
          </w:tcPr>
          <w:p>
            <w:pPr>
              <w:jc w:val="right"/>
              <w:ind w:right="72"/>
              <w:spacing w:after="0" w:line="135" w:lineRule="exact"/>
              <w:rPr>
                <w:sz w:val="20"/>
                <w:szCs w:val="20"/>
                <w:color w:val="auto"/>
              </w:rPr>
            </w:pPr>
            <w:r>
              <w:rPr>
                <w:rFonts w:ascii="Arial" w:cs="Arial" w:eastAsia="Arial" w:hAnsi="Arial"/>
                <w:sz w:val="13"/>
                <w:szCs w:val="13"/>
                <w:color w:val="auto"/>
              </w:rPr>
              <w:t>remaining contractual</w:t>
            </w:r>
          </w:p>
        </w:tc>
      </w:tr>
      <w:tr>
        <w:trPr>
          <w:trHeight w:val="141"/>
        </w:trPr>
        <w:tc>
          <w:tcPr>
            <w:tcW w:w="3640" w:type="dxa"/>
            <w:vAlign w:val="bottom"/>
            <w:tcBorders>
              <w:bottom w:val="single" w:sz="8" w:color="auto"/>
            </w:tcBorders>
          </w:tcPr>
          <w:p>
            <w:pPr>
              <w:spacing w:after="0"/>
              <w:rPr>
                <w:sz w:val="12"/>
                <w:szCs w:val="12"/>
                <w:color w:val="auto"/>
              </w:rPr>
            </w:pPr>
          </w:p>
        </w:tc>
        <w:tc>
          <w:tcPr>
            <w:tcW w:w="3480" w:type="dxa"/>
            <w:vAlign w:val="bottom"/>
            <w:tcBorders>
              <w:bottom w:val="single" w:sz="8" w:color="auto"/>
            </w:tcBorders>
          </w:tcPr>
          <w:p>
            <w:pPr>
              <w:jc w:val="right"/>
              <w:ind w:right="110"/>
              <w:spacing w:after="0" w:line="141" w:lineRule="exact"/>
              <w:rPr>
                <w:sz w:val="20"/>
                <w:szCs w:val="20"/>
                <w:color w:val="auto"/>
              </w:rPr>
            </w:pPr>
            <w:r>
              <w:rPr>
                <w:rFonts w:ascii="Arial" w:cs="Arial" w:eastAsia="Arial" w:hAnsi="Arial"/>
                <w:sz w:val="13"/>
                <w:szCs w:val="13"/>
                <w:color w:val="auto"/>
              </w:rPr>
              <w:t>(million)</w:t>
            </w:r>
          </w:p>
        </w:tc>
        <w:tc>
          <w:tcPr>
            <w:tcW w:w="1460" w:type="dxa"/>
            <w:vAlign w:val="bottom"/>
            <w:tcBorders>
              <w:bottom w:val="single" w:sz="8" w:color="auto"/>
            </w:tcBorders>
          </w:tcPr>
          <w:p>
            <w:pPr>
              <w:jc w:val="right"/>
              <w:ind w:right="130"/>
              <w:spacing w:after="0" w:line="141" w:lineRule="exact"/>
              <w:rPr>
                <w:sz w:val="20"/>
                <w:szCs w:val="20"/>
                <w:color w:val="auto"/>
              </w:rPr>
            </w:pPr>
            <w:r>
              <w:rPr>
                <w:rFonts w:ascii="Arial" w:cs="Arial" w:eastAsia="Arial" w:hAnsi="Arial"/>
                <w:sz w:val="13"/>
                <w:szCs w:val="13"/>
                <w:color w:val="auto"/>
              </w:rPr>
              <w:t>(million)</w:t>
            </w:r>
          </w:p>
        </w:tc>
        <w:tc>
          <w:tcPr>
            <w:tcW w:w="1360" w:type="dxa"/>
            <w:vAlign w:val="bottom"/>
            <w:tcBorders>
              <w:bottom w:val="single" w:sz="8" w:color="auto"/>
            </w:tcBorders>
          </w:tcPr>
          <w:p>
            <w:pPr>
              <w:jc w:val="right"/>
              <w:ind w:right="110"/>
              <w:spacing w:after="0" w:line="141" w:lineRule="exact"/>
              <w:rPr>
                <w:sz w:val="20"/>
                <w:szCs w:val="20"/>
                <w:color w:val="auto"/>
              </w:rPr>
            </w:pPr>
            <w:r>
              <w:rPr>
                <w:rFonts w:ascii="Arial" w:cs="Arial" w:eastAsia="Arial" w:hAnsi="Arial"/>
                <w:sz w:val="13"/>
                <w:szCs w:val="13"/>
                <w:color w:val="auto"/>
              </w:rPr>
              <w:t>(million)</w:t>
            </w:r>
          </w:p>
        </w:tc>
        <w:tc>
          <w:tcPr>
            <w:tcW w:w="1480" w:type="dxa"/>
            <w:vAlign w:val="bottom"/>
            <w:tcBorders>
              <w:bottom w:val="single" w:sz="8" w:color="auto"/>
            </w:tcBorders>
          </w:tcPr>
          <w:p>
            <w:pPr>
              <w:jc w:val="right"/>
              <w:ind w:right="72"/>
              <w:spacing w:after="0" w:line="141" w:lineRule="exact"/>
              <w:rPr>
                <w:sz w:val="20"/>
                <w:szCs w:val="20"/>
                <w:color w:val="auto"/>
              </w:rPr>
            </w:pPr>
            <w:r>
              <w:rPr>
                <w:rFonts w:ascii="Arial" w:cs="Arial" w:eastAsia="Arial" w:hAnsi="Arial"/>
                <w:sz w:val="13"/>
                <w:szCs w:val="13"/>
                <w:color w:val="auto"/>
              </w:rPr>
              <w:t>life (years)</w:t>
            </w:r>
          </w:p>
        </w:tc>
      </w:tr>
      <w:tr>
        <w:trPr>
          <w:trHeight w:val="160"/>
        </w:trPr>
        <w:tc>
          <w:tcPr>
            <w:tcW w:w="3640" w:type="dxa"/>
            <w:vAlign w:val="bottom"/>
          </w:tcPr>
          <w:p>
            <w:pPr>
              <w:spacing w:after="0"/>
              <w:rPr>
                <w:sz w:val="20"/>
                <w:szCs w:val="20"/>
                <w:color w:val="auto"/>
              </w:rPr>
            </w:pPr>
            <w:r>
              <w:rPr>
                <w:rFonts w:ascii="Arial" w:cs="Arial" w:eastAsia="Arial" w:hAnsi="Arial"/>
                <w:sz w:val="14"/>
                <w:szCs w:val="14"/>
                <w:color w:val="auto"/>
              </w:rPr>
              <w:t>At January 1, 2014</w:t>
            </w:r>
          </w:p>
        </w:tc>
        <w:tc>
          <w:tcPr>
            <w:tcW w:w="3480" w:type="dxa"/>
            <w:vAlign w:val="bottom"/>
          </w:tcPr>
          <w:p>
            <w:pPr>
              <w:jc w:val="right"/>
              <w:ind w:right="110"/>
              <w:spacing w:after="0"/>
              <w:rPr>
                <w:sz w:val="20"/>
                <w:szCs w:val="20"/>
                <w:color w:val="auto"/>
              </w:rPr>
            </w:pPr>
            <w:r>
              <w:rPr>
                <w:rFonts w:ascii="Arial" w:cs="Arial" w:eastAsia="Arial" w:hAnsi="Arial"/>
                <w:sz w:val="14"/>
                <w:szCs w:val="14"/>
                <w:color w:val="auto"/>
              </w:rPr>
              <w:t>30</w:t>
            </w:r>
          </w:p>
        </w:tc>
        <w:tc>
          <w:tcPr>
            <w:tcW w:w="1460" w:type="dxa"/>
            <w:vAlign w:val="bottom"/>
          </w:tcPr>
          <w:p>
            <w:pPr>
              <w:jc w:val="right"/>
              <w:ind w:right="130"/>
              <w:spacing w:after="0"/>
              <w:rPr>
                <w:sz w:val="20"/>
                <w:szCs w:val="20"/>
                <w:color w:val="auto"/>
              </w:rPr>
            </w:pPr>
            <w:r>
              <w:rPr>
                <w:rFonts w:ascii="Arial" w:cs="Arial" w:eastAsia="Arial" w:hAnsi="Arial"/>
                <w:sz w:val="14"/>
                <w:szCs w:val="14"/>
                <w:color w:val="auto"/>
              </w:rPr>
              <w:t>11</w:t>
            </w:r>
          </w:p>
        </w:tc>
        <w:tc>
          <w:tcPr>
            <w:tcW w:w="1360" w:type="dxa"/>
            <w:vAlign w:val="bottom"/>
          </w:tcPr>
          <w:p>
            <w:pPr>
              <w:jc w:val="right"/>
              <w:ind w:right="110"/>
              <w:spacing w:after="0"/>
              <w:rPr>
                <w:sz w:val="20"/>
                <w:szCs w:val="20"/>
                <w:color w:val="auto"/>
              </w:rPr>
            </w:pPr>
            <w:r>
              <w:rPr>
                <w:rFonts w:ascii="Arial" w:cs="Arial" w:eastAsia="Arial" w:hAnsi="Arial"/>
                <w:sz w:val="14"/>
                <w:szCs w:val="14"/>
                <w:color w:val="auto"/>
              </w:rPr>
              <w:t>9</w:t>
            </w:r>
          </w:p>
        </w:tc>
        <w:tc>
          <w:tcPr>
            <w:tcW w:w="1480" w:type="dxa"/>
            <w:vAlign w:val="bottom"/>
          </w:tcPr>
          <w:p>
            <w:pPr>
              <w:jc w:val="right"/>
              <w:ind w:right="72"/>
              <w:spacing w:after="0"/>
              <w:rPr>
                <w:sz w:val="20"/>
                <w:szCs w:val="20"/>
                <w:color w:val="auto"/>
              </w:rPr>
            </w:pPr>
            <w:r>
              <w:rPr>
                <w:rFonts w:ascii="Arial" w:cs="Arial" w:eastAsia="Arial" w:hAnsi="Arial"/>
                <w:sz w:val="14"/>
                <w:szCs w:val="14"/>
                <w:color w:val="auto"/>
              </w:rPr>
              <w:t>1.0</w:t>
            </w:r>
          </w:p>
        </w:tc>
      </w:tr>
      <w:tr>
        <w:trPr>
          <w:trHeight w:val="162"/>
        </w:trPr>
        <w:tc>
          <w:tcPr>
            <w:tcW w:w="3640" w:type="dxa"/>
            <w:vAlign w:val="bottom"/>
          </w:tcPr>
          <w:p>
            <w:pPr>
              <w:spacing w:after="0"/>
              <w:rPr>
                <w:sz w:val="20"/>
                <w:szCs w:val="20"/>
                <w:color w:val="auto"/>
              </w:rPr>
            </w:pPr>
            <w:r>
              <w:rPr>
                <w:rFonts w:ascii="Arial" w:cs="Arial" w:eastAsia="Arial" w:hAnsi="Arial"/>
                <w:sz w:val="14"/>
                <w:szCs w:val="14"/>
                <w:color w:val="auto"/>
              </w:rPr>
              <w:t>Granted</w:t>
            </w:r>
          </w:p>
        </w:tc>
        <w:tc>
          <w:tcPr>
            <w:tcW w:w="3480" w:type="dxa"/>
            <w:vAlign w:val="bottom"/>
          </w:tcPr>
          <w:p>
            <w:pPr>
              <w:jc w:val="right"/>
              <w:ind w:right="110"/>
              <w:spacing w:after="0"/>
              <w:rPr>
                <w:sz w:val="20"/>
                <w:szCs w:val="20"/>
                <w:color w:val="auto"/>
              </w:rPr>
            </w:pPr>
            <w:r>
              <w:rPr>
                <w:rFonts w:ascii="Arial" w:cs="Arial" w:eastAsia="Arial" w:hAnsi="Arial"/>
                <w:sz w:val="14"/>
                <w:szCs w:val="14"/>
                <w:color w:val="auto"/>
              </w:rPr>
              <w:t>12</w:t>
            </w:r>
          </w:p>
        </w:tc>
        <w:tc>
          <w:tcPr>
            <w:tcW w:w="1460" w:type="dxa"/>
            <w:vAlign w:val="bottom"/>
          </w:tcPr>
          <w:p>
            <w:pPr>
              <w:jc w:val="right"/>
              <w:ind w:right="130"/>
              <w:spacing w:after="0"/>
              <w:rPr>
                <w:sz w:val="20"/>
                <w:szCs w:val="20"/>
                <w:color w:val="auto"/>
              </w:rPr>
            </w:pPr>
            <w:r>
              <w:rPr>
                <w:rFonts w:ascii="Arial" w:cs="Arial" w:eastAsia="Arial" w:hAnsi="Arial"/>
                <w:sz w:val="14"/>
                <w:szCs w:val="14"/>
                <w:color w:val="auto"/>
              </w:rPr>
              <w:t>4</w:t>
            </w:r>
          </w:p>
        </w:tc>
        <w:tc>
          <w:tcPr>
            <w:tcW w:w="1360" w:type="dxa"/>
            <w:vAlign w:val="bottom"/>
          </w:tcPr>
          <w:p>
            <w:pPr>
              <w:jc w:val="right"/>
              <w:ind w:right="110"/>
              <w:spacing w:after="0"/>
              <w:rPr>
                <w:sz w:val="20"/>
                <w:szCs w:val="20"/>
                <w:color w:val="auto"/>
              </w:rPr>
            </w:pPr>
            <w:r>
              <w:rPr>
                <w:rFonts w:ascii="Arial" w:cs="Arial" w:eastAsia="Arial" w:hAnsi="Arial"/>
                <w:sz w:val="14"/>
                <w:szCs w:val="14"/>
                <w:color w:val="auto"/>
              </w:rPr>
              <w:t>3</w:t>
            </w:r>
          </w:p>
        </w:tc>
        <w:tc>
          <w:tcPr>
            <w:tcW w:w="1480" w:type="dxa"/>
            <w:vAlign w:val="bottom"/>
          </w:tcPr>
          <w:p>
            <w:pPr>
              <w:spacing w:after="0"/>
              <w:rPr>
                <w:sz w:val="14"/>
                <w:szCs w:val="14"/>
                <w:color w:val="auto"/>
              </w:rPr>
            </w:pPr>
          </w:p>
        </w:tc>
      </w:tr>
      <w:tr>
        <w:trPr>
          <w:trHeight w:val="157"/>
        </w:trPr>
        <w:tc>
          <w:tcPr>
            <w:tcW w:w="3640" w:type="dxa"/>
            <w:vAlign w:val="bottom"/>
            <w:tcBorders>
              <w:bottom w:val="single" w:sz="8" w:color="auto"/>
            </w:tcBorders>
          </w:tcPr>
          <w:p>
            <w:pPr>
              <w:spacing w:after="0" w:line="157" w:lineRule="exact"/>
              <w:rPr>
                <w:sz w:val="20"/>
                <w:szCs w:val="20"/>
                <w:color w:val="auto"/>
              </w:rPr>
            </w:pPr>
            <w:r>
              <w:rPr>
                <w:rFonts w:ascii="Arial" w:cs="Arial" w:eastAsia="Arial" w:hAnsi="Arial"/>
                <w:sz w:val="14"/>
                <w:szCs w:val="14"/>
                <w:color w:val="auto"/>
              </w:rPr>
              <w:t>Vested</w:t>
            </w:r>
          </w:p>
        </w:tc>
        <w:tc>
          <w:tcPr>
            <w:tcW w:w="3480" w:type="dxa"/>
            <w:vAlign w:val="bottom"/>
            <w:tcBorders>
              <w:bottom w:val="single" w:sz="8" w:color="auto"/>
            </w:tcBorders>
          </w:tcPr>
          <w:p>
            <w:pPr>
              <w:jc w:val="right"/>
              <w:ind w:right="70"/>
              <w:spacing w:after="0" w:line="157" w:lineRule="exact"/>
              <w:rPr>
                <w:sz w:val="20"/>
                <w:szCs w:val="20"/>
                <w:color w:val="auto"/>
              </w:rPr>
            </w:pPr>
            <w:r>
              <w:rPr>
                <w:rFonts w:ascii="Arial" w:cs="Arial" w:eastAsia="Arial" w:hAnsi="Arial"/>
                <w:sz w:val="14"/>
                <w:szCs w:val="14"/>
                <w:color w:val="auto"/>
              </w:rPr>
              <w:t>(9)</w:t>
            </w:r>
          </w:p>
        </w:tc>
        <w:tc>
          <w:tcPr>
            <w:tcW w:w="1460" w:type="dxa"/>
            <w:vAlign w:val="bottom"/>
            <w:tcBorders>
              <w:bottom w:val="single" w:sz="8" w:color="auto"/>
            </w:tcBorders>
          </w:tcPr>
          <w:p>
            <w:pPr>
              <w:jc w:val="right"/>
              <w:ind w:right="90"/>
              <w:spacing w:after="0" w:line="157" w:lineRule="exact"/>
              <w:rPr>
                <w:sz w:val="20"/>
                <w:szCs w:val="20"/>
                <w:color w:val="auto"/>
              </w:rPr>
            </w:pPr>
            <w:r>
              <w:rPr>
                <w:rFonts w:ascii="Arial" w:cs="Arial" w:eastAsia="Arial" w:hAnsi="Arial"/>
                <w:sz w:val="14"/>
                <w:szCs w:val="14"/>
                <w:color w:val="auto"/>
              </w:rPr>
              <w:t>(4)</w:t>
            </w:r>
          </w:p>
        </w:tc>
        <w:tc>
          <w:tcPr>
            <w:tcW w:w="1360" w:type="dxa"/>
            <w:vAlign w:val="bottom"/>
            <w:tcBorders>
              <w:bottom w:val="single" w:sz="8" w:color="auto"/>
            </w:tcBorders>
          </w:tcPr>
          <w:p>
            <w:pPr>
              <w:jc w:val="right"/>
              <w:ind w:right="70"/>
              <w:spacing w:after="0" w:line="157" w:lineRule="exact"/>
              <w:rPr>
                <w:sz w:val="20"/>
                <w:szCs w:val="20"/>
                <w:color w:val="auto"/>
              </w:rPr>
            </w:pPr>
            <w:r>
              <w:rPr>
                <w:rFonts w:ascii="Arial" w:cs="Arial" w:eastAsia="Arial" w:hAnsi="Arial"/>
                <w:sz w:val="14"/>
                <w:szCs w:val="14"/>
                <w:color w:val="auto"/>
              </w:rPr>
              <w:t>(3)</w:t>
            </w:r>
          </w:p>
        </w:tc>
        <w:tc>
          <w:tcPr>
            <w:tcW w:w="1480" w:type="dxa"/>
            <w:vAlign w:val="bottom"/>
            <w:tcBorders>
              <w:bottom w:val="single" w:sz="8" w:color="auto"/>
            </w:tcBorders>
          </w:tcPr>
          <w:p>
            <w:pPr>
              <w:spacing w:after="0"/>
              <w:rPr>
                <w:sz w:val="13"/>
                <w:szCs w:val="13"/>
                <w:color w:val="auto"/>
              </w:rPr>
            </w:pPr>
          </w:p>
        </w:tc>
      </w:tr>
      <w:tr>
        <w:trPr>
          <w:trHeight w:val="156"/>
        </w:trPr>
        <w:tc>
          <w:tcPr>
            <w:tcW w:w="3640" w:type="dxa"/>
            <w:vAlign w:val="bottom"/>
            <w:tcBorders>
              <w:bottom w:val="single" w:sz="8" w:color="auto"/>
            </w:tcBorders>
          </w:tcPr>
          <w:p>
            <w:pPr>
              <w:spacing w:after="0" w:line="155" w:lineRule="exact"/>
              <w:rPr>
                <w:sz w:val="20"/>
                <w:szCs w:val="20"/>
                <w:color w:val="auto"/>
              </w:rPr>
            </w:pPr>
            <w:r>
              <w:rPr>
                <w:rFonts w:ascii="Arial" w:cs="Arial" w:eastAsia="Arial" w:hAnsi="Arial"/>
                <w:sz w:val="14"/>
                <w:szCs w:val="14"/>
                <w:color w:val="auto"/>
              </w:rPr>
              <w:t>At December 31, 2014</w:t>
            </w:r>
          </w:p>
        </w:tc>
        <w:tc>
          <w:tcPr>
            <w:tcW w:w="3480" w:type="dxa"/>
            <w:vAlign w:val="bottom"/>
            <w:tcBorders>
              <w:bottom w:val="single" w:sz="8" w:color="auto"/>
            </w:tcBorders>
          </w:tcPr>
          <w:p>
            <w:pPr>
              <w:jc w:val="right"/>
              <w:ind w:right="110"/>
              <w:spacing w:after="0" w:line="155" w:lineRule="exact"/>
              <w:rPr>
                <w:sz w:val="20"/>
                <w:szCs w:val="20"/>
                <w:color w:val="auto"/>
              </w:rPr>
            </w:pPr>
            <w:r>
              <w:rPr>
                <w:rFonts w:ascii="Arial" w:cs="Arial" w:eastAsia="Arial" w:hAnsi="Arial"/>
                <w:sz w:val="14"/>
                <w:szCs w:val="14"/>
                <w:color w:val="auto"/>
              </w:rPr>
              <w:t>33</w:t>
            </w:r>
          </w:p>
        </w:tc>
        <w:tc>
          <w:tcPr>
            <w:tcW w:w="1460" w:type="dxa"/>
            <w:vAlign w:val="bottom"/>
            <w:tcBorders>
              <w:bottom w:val="single" w:sz="8" w:color="auto"/>
            </w:tcBorders>
          </w:tcPr>
          <w:p>
            <w:pPr>
              <w:jc w:val="right"/>
              <w:ind w:right="130"/>
              <w:spacing w:after="0" w:line="155" w:lineRule="exact"/>
              <w:rPr>
                <w:sz w:val="20"/>
                <w:szCs w:val="20"/>
                <w:color w:val="auto"/>
              </w:rPr>
            </w:pPr>
            <w:r>
              <w:rPr>
                <w:rFonts w:ascii="Arial" w:cs="Arial" w:eastAsia="Arial" w:hAnsi="Arial"/>
                <w:sz w:val="14"/>
                <w:szCs w:val="14"/>
                <w:color w:val="auto"/>
              </w:rPr>
              <w:t>11</w:t>
            </w:r>
          </w:p>
        </w:tc>
        <w:tc>
          <w:tcPr>
            <w:tcW w:w="1360" w:type="dxa"/>
            <w:vAlign w:val="bottom"/>
            <w:tcBorders>
              <w:bottom w:val="single" w:sz="8" w:color="auto"/>
            </w:tcBorders>
          </w:tcPr>
          <w:p>
            <w:pPr>
              <w:jc w:val="right"/>
              <w:ind w:right="110"/>
              <w:spacing w:after="0" w:line="155" w:lineRule="exact"/>
              <w:rPr>
                <w:sz w:val="20"/>
                <w:szCs w:val="20"/>
                <w:color w:val="auto"/>
              </w:rPr>
            </w:pPr>
            <w:r>
              <w:rPr>
                <w:rFonts w:ascii="Arial" w:cs="Arial" w:eastAsia="Arial" w:hAnsi="Arial"/>
                <w:sz w:val="14"/>
                <w:szCs w:val="14"/>
                <w:color w:val="auto"/>
              </w:rPr>
              <w:t>9</w:t>
            </w:r>
          </w:p>
        </w:tc>
        <w:tc>
          <w:tcPr>
            <w:tcW w:w="1480" w:type="dxa"/>
            <w:vAlign w:val="bottom"/>
            <w:tcBorders>
              <w:bottom w:val="single" w:sz="8" w:color="auto"/>
            </w:tcBorders>
          </w:tcPr>
          <w:p>
            <w:pPr>
              <w:jc w:val="right"/>
              <w:ind w:right="72"/>
              <w:spacing w:after="0" w:line="155" w:lineRule="exact"/>
              <w:rPr>
                <w:sz w:val="20"/>
                <w:szCs w:val="20"/>
                <w:color w:val="auto"/>
              </w:rPr>
            </w:pPr>
            <w:r>
              <w:rPr>
                <w:rFonts w:ascii="Arial" w:cs="Arial" w:eastAsia="Arial" w:hAnsi="Arial"/>
                <w:sz w:val="14"/>
                <w:szCs w:val="14"/>
                <w:color w:val="auto"/>
              </w:rPr>
              <w:t>1.0</w:t>
            </w:r>
          </w:p>
        </w:tc>
      </w:tr>
      <w:tr>
        <w:trPr>
          <w:trHeight w:val="160"/>
        </w:trPr>
        <w:tc>
          <w:tcPr>
            <w:tcW w:w="3640" w:type="dxa"/>
            <w:vAlign w:val="bottom"/>
          </w:tcPr>
          <w:p>
            <w:pPr>
              <w:spacing w:after="0"/>
              <w:rPr>
                <w:sz w:val="20"/>
                <w:szCs w:val="20"/>
                <w:color w:val="auto"/>
              </w:rPr>
            </w:pPr>
            <w:r>
              <w:rPr>
                <w:rFonts w:ascii="Arial" w:cs="Arial" w:eastAsia="Arial" w:hAnsi="Arial"/>
                <w:sz w:val="14"/>
                <w:szCs w:val="14"/>
                <w:color w:val="auto"/>
              </w:rPr>
              <w:t>At January 1, 2013</w:t>
            </w:r>
          </w:p>
        </w:tc>
        <w:tc>
          <w:tcPr>
            <w:tcW w:w="3480" w:type="dxa"/>
            <w:vAlign w:val="bottom"/>
          </w:tcPr>
          <w:p>
            <w:pPr>
              <w:jc w:val="right"/>
              <w:ind w:right="110"/>
              <w:spacing w:after="0"/>
              <w:rPr>
                <w:sz w:val="20"/>
                <w:szCs w:val="20"/>
                <w:color w:val="auto"/>
              </w:rPr>
            </w:pPr>
            <w:r>
              <w:rPr>
                <w:rFonts w:ascii="Arial" w:cs="Arial" w:eastAsia="Arial" w:hAnsi="Arial"/>
                <w:sz w:val="14"/>
                <w:szCs w:val="14"/>
                <w:color w:val="auto"/>
              </w:rPr>
              <w:t>27</w:t>
            </w:r>
          </w:p>
        </w:tc>
        <w:tc>
          <w:tcPr>
            <w:tcW w:w="1460" w:type="dxa"/>
            <w:vAlign w:val="bottom"/>
          </w:tcPr>
          <w:p>
            <w:pPr>
              <w:jc w:val="right"/>
              <w:ind w:right="130"/>
              <w:spacing w:after="0"/>
              <w:rPr>
                <w:sz w:val="20"/>
                <w:szCs w:val="20"/>
                <w:color w:val="auto"/>
              </w:rPr>
            </w:pPr>
            <w:r>
              <w:rPr>
                <w:rFonts w:ascii="Arial" w:cs="Arial" w:eastAsia="Arial" w:hAnsi="Arial"/>
                <w:sz w:val="14"/>
                <w:szCs w:val="14"/>
                <w:color w:val="auto"/>
              </w:rPr>
              <w:t>10</w:t>
            </w:r>
          </w:p>
        </w:tc>
        <w:tc>
          <w:tcPr>
            <w:tcW w:w="1360" w:type="dxa"/>
            <w:vAlign w:val="bottom"/>
          </w:tcPr>
          <w:p>
            <w:pPr>
              <w:jc w:val="right"/>
              <w:ind w:right="110"/>
              <w:spacing w:after="0"/>
              <w:rPr>
                <w:sz w:val="20"/>
                <w:szCs w:val="20"/>
                <w:color w:val="auto"/>
              </w:rPr>
            </w:pPr>
            <w:r>
              <w:rPr>
                <w:rFonts w:ascii="Arial" w:cs="Arial" w:eastAsia="Arial" w:hAnsi="Arial"/>
                <w:sz w:val="14"/>
                <w:szCs w:val="14"/>
                <w:color w:val="auto"/>
              </w:rPr>
              <w:t>9</w:t>
            </w:r>
          </w:p>
        </w:tc>
        <w:tc>
          <w:tcPr>
            <w:tcW w:w="1480" w:type="dxa"/>
            <w:vAlign w:val="bottom"/>
          </w:tcPr>
          <w:p>
            <w:pPr>
              <w:jc w:val="right"/>
              <w:ind w:right="72"/>
              <w:spacing w:after="0"/>
              <w:rPr>
                <w:sz w:val="20"/>
                <w:szCs w:val="20"/>
                <w:color w:val="auto"/>
              </w:rPr>
            </w:pPr>
            <w:r>
              <w:rPr>
                <w:rFonts w:ascii="Arial" w:cs="Arial" w:eastAsia="Arial" w:hAnsi="Arial"/>
                <w:sz w:val="14"/>
                <w:szCs w:val="14"/>
                <w:color w:val="auto"/>
              </w:rPr>
              <w:t>1.1</w:t>
            </w:r>
          </w:p>
        </w:tc>
      </w:tr>
      <w:tr>
        <w:trPr>
          <w:trHeight w:val="162"/>
        </w:trPr>
        <w:tc>
          <w:tcPr>
            <w:tcW w:w="3640" w:type="dxa"/>
            <w:vAlign w:val="bottom"/>
          </w:tcPr>
          <w:p>
            <w:pPr>
              <w:spacing w:after="0"/>
              <w:rPr>
                <w:sz w:val="20"/>
                <w:szCs w:val="20"/>
                <w:color w:val="auto"/>
              </w:rPr>
            </w:pPr>
            <w:r>
              <w:rPr>
                <w:rFonts w:ascii="Arial" w:cs="Arial" w:eastAsia="Arial" w:hAnsi="Arial"/>
                <w:sz w:val="14"/>
                <w:szCs w:val="14"/>
                <w:color w:val="auto"/>
              </w:rPr>
              <w:t>Granted</w:t>
            </w:r>
          </w:p>
        </w:tc>
        <w:tc>
          <w:tcPr>
            <w:tcW w:w="3480" w:type="dxa"/>
            <w:vAlign w:val="bottom"/>
          </w:tcPr>
          <w:p>
            <w:pPr>
              <w:jc w:val="right"/>
              <w:ind w:right="110"/>
              <w:spacing w:after="0"/>
              <w:rPr>
                <w:sz w:val="20"/>
                <w:szCs w:val="20"/>
                <w:color w:val="auto"/>
              </w:rPr>
            </w:pPr>
            <w:r>
              <w:rPr>
                <w:rFonts w:ascii="Arial" w:cs="Arial" w:eastAsia="Arial" w:hAnsi="Arial"/>
                <w:sz w:val="14"/>
                <w:szCs w:val="14"/>
                <w:color w:val="auto"/>
              </w:rPr>
              <w:t>11</w:t>
            </w:r>
          </w:p>
        </w:tc>
        <w:tc>
          <w:tcPr>
            <w:tcW w:w="1460" w:type="dxa"/>
            <w:vAlign w:val="bottom"/>
          </w:tcPr>
          <w:p>
            <w:pPr>
              <w:jc w:val="right"/>
              <w:ind w:right="130"/>
              <w:spacing w:after="0"/>
              <w:rPr>
                <w:sz w:val="20"/>
                <w:szCs w:val="20"/>
                <w:color w:val="auto"/>
              </w:rPr>
            </w:pPr>
            <w:r>
              <w:rPr>
                <w:rFonts w:ascii="Arial" w:cs="Arial" w:eastAsia="Arial" w:hAnsi="Arial"/>
                <w:sz w:val="14"/>
                <w:szCs w:val="14"/>
                <w:color w:val="auto"/>
              </w:rPr>
              <w:t>4</w:t>
            </w:r>
          </w:p>
        </w:tc>
        <w:tc>
          <w:tcPr>
            <w:tcW w:w="1360" w:type="dxa"/>
            <w:vAlign w:val="bottom"/>
          </w:tcPr>
          <w:p>
            <w:pPr>
              <w:jc w:val="right"/>
              <w:ind w:right="110"/>
              <w:spacing w:after="0"/>
              <w:rPr>
                <w:sz w:val="20"/>
                <w:szCs w:val="20"/>
                <w:color w:val="auto"/>
              </w:rPr>
            </w:pPr>
            <w:r>
              <w:rPr>
                <w:rFonts w:ascii="Arial" w:cs="Arial" w:eastAsia="Arial" w:hAnsi="Arial"/>
                <w:sz w:val="14"/>
                <w:szCs w:val="14"/>
                <w:color w:val="auto"/>
              </w:rPr>
              <w:t>3</w:t>
            </w:r>
          </w:p>
        </w:tc>
        <w:tc>
          <w:tcPr>
            <w:tcW w:w="1480" w:type="dxa"/>
            <w:vAlign w:val="bottom"/>
          </w:tcPr>
          <w:p>
            <w:pPr>
              <w:spacing w:after="0"/>
              <w:rPr>
                <w:sz w:val="14"/>
                <w:szCs w:val="14"/>
                <w:color w:val="auto"/>
              </w:rPr>
            </w:pPr>
          </w:p>
        </w:tc>
      </w:tr>
      <w:tr>
        <w:trPr>
          <w:trHeight w:val="157"/>
        </w:trPr>
        <w:tc>
          <w:tcPr>
            <w:tcW w:w="3640" w:type="dxa"/>
            <w:vAlign w:val="bottom"/>
            <w:tcBorders>
              <w:bottom w:val="single" w:sz="8" w:color="auto"/>
            </w:tcBorders>
          </w:tcPr>
          <w:p>
            <w:pPr>
              <w:spacing w:after="0" w:line="157" w:lineRule="exact"/>
              <w:rPr>
                <w:sz w:val="20"/>
                <w:szCs w:val="20"/>
                <w:color w:val="auto"/>
              </w:rPr>
            </w:pPr>
            <w:r>
              <w:rPr>
                <w:rFonts w:ascii="Arial" w:cs="Arial" w:eastAsia="Arial" w:hAnsi="Arial"/>
                <w:sz w:val="14"/>
                <w:szCs w:val="14"/>
                <w:color w:val="auto"/>
              </w:rPr>
              <w:t>Vested</w:t>
            </w:r>
          </w:p>
        </w:tc>
        <w:tc>
          <w:tcPr>
            <w:tcW w:w="3480" w:type="dxa"/>
            <w:vAlign w:val="bottom"/>
            <w:tcBorders>
              <w:bottom w:val="single" w:sz="8" w:color="auto"/>
            </w:tcBorders>
          </w:tcPr>
          <w:p>
            <w:pPr>
              <w:jc w:val="right"/>
              <w:ind w:right="70"/>
              <w:spacing w:after="0" w:line="157" w:lineRule="exact"/>
              <w:rPr>
                <w:sz w:val="20"/>
                <w:szCs w:val="20"/>
                <w:color w:val="auto"/>
              </w:rPr>
            </w:pPr>
            <w:r>
              <w:rPr>
                <w:rFonts w:ascii="Arial" w:cs="Arial" w:eastAsia="Arial" w:hAnsi="Arial"/>
                <w:sz w:val="14"/>
                <w:szCs w:val="14"/>
                <w:color w:val="auto"/>
              </w:rPr>
              <w:t>(8)</w:t>
            </w:r>
          </w:p>
        </w:tc>
        <w:tc>
          <w:tcPr>
            <w:tcW w:w="1460" w:type="dxa"/>
            <w:vAlign w:val="bottom"/>
            <w:tcBorders>
              <w:bottom w:val="single" w:sz="8" w:color="auto"/>
            </w:tcBorders>
          </w:tcPr>
          <w:p>
            <w:pPr>
              <w:jc w:val="right"/>
              <w:ind w:right="90"/>
              <w:spacing w:after="0" w:line="157" w:lineRule="exact"/>
              <w:rPr>
                <w:sz w:val="20"/>
                <w:szCs w:val="20"/>
                <w:color w:val="auto"/>
              </w:rPr>
            </w:pPr>
            <w:r>
              <w:rPr>
                <w:rFonts w:ascii="Arial" w:cs="Arial" w:eastAsia="Arial" w:hAnsi="Arial"/>
                <w:sz w:val="14"/>
                <w:szCs w:val="14"/>
                <w:color w:val="auto"/>
              </w:rPr>
              <w:t>(3)</w:t>
            </w:r>
          </w:p>
        </w:tc>
        <w:tc>
          <w:tcPr>
            <w:tcW w:w="1360" w:type="dxa"/>
            <w:vAlign w:val="bottom"/>
            <w:tcBorders>
              <w:bottom w:val="single" w:sz="8" w:color="auto"/>
            </w:tcBorders>
          </w:tcPr>
          <w:p>
            <w:pPr>
              <w:jc w:val="right"/>
              <w:ind w:right="70"/>
              <w:spacing w:after="0" w:line="157" w:lineRule="exact"/>
              <w:rPr>
                <w:sz w:val="20"/>
                <w:szCs w:val="20"/>
                <w:color w:val="auto"/>
              </w:rPr>
            </w:pPr>
            <w:r>
              <w:rPr>
                <w:rFonts w:ascii="Arial" w:cs="Arial" w:eastAsia="Arial" w:hAnsi="Arial"/>
                <w:sz w:val="14"/>
                <w:szCs w:val="14"/>
                <w:color w:val="auto"/>
              </w:rPr>
              <w:t>(3)</w:t>
            </w:r>
          </w:p>
        </w:tc>
        <w:tc>
          <w:tcPr>
            <w:tcW w:w="1480" w:type="dxa"/>
            <w:vAlign w:val="bottom"/>
            <w:tcBorders>
              <w:bottom w:val="single" w:sz="8" w:color="auto"/>
            </w:tcBorders>
          </w:tcPr>
          <w:p>
            <w:pPr>
              <w:spacing w:after="0"/>
              <w:rPr>
                <w:sz w:val="13"/>
                <w:szCs w:val="13"/>
                <w:color w:val="auto"/>
              </w:rPr>
            </w:pPr>
          </w:p>
        </w:tc>
      </w:tr>
      <w:tr>
        <w:trPr>
          <w:trHeight w:val="156"/>
        </w:trPr>
        <w:tc>
          <w:tcPr>
            <w:tcW w:w="3640" w:type="dxa"/>
            <w:vAlign w:val="bottom"/>
            <w:tcBorders>
              <w:bottom w:val="single" w:sz="8" w:color="auto"/>
            </w:tcBorders>
          </w:tcPr>
          <w:p>
            <w:pPr>
              <w:spacing w:after="0" w:line="155" w:lineRule="exact"/>
              <w:rPr>
                <w:sz w:val="20"/>
                <w:szCs w:val="20"/>
                <w:color w:val="auto"/>
              </w:rPr>
            </w:pPr>
            <w:r>
              <w:rPr>
                <w:rFonts w:ascii="Arial" w:cs="Arial" w:eastAsia="Arial" w:hAnsi="Arial"/>
                <w:sz w:val="14"/>
                <w:szCs w:val="14"/>
                <w:color w:val="auto"/>
              </w:rPr>
              <w:t>At December 31, 2013</w:t>
            </w:r>
          </w:p>
        </w:tc>
        <w:tc>
          <w:tcPr>
            <w:tcW w:w="3480" w:type="dxa"/>
            <w:vAlign w:val="bottom"/>
            <w:tcBorders>
              <w:bottom w:val="single" w:sz="8" w:color="auto"/>
            </w:tcBorders>
          </w:tcPr>
          <w:p>
            <w:pPr>
              <w:jc w:val="right"/>
              <w:ind w:right="110"/>
              <w:spacing w:after="0" w:line="155" w:lineRule="exact"/>
              <w:rPr>
                <w:sz w:val="20"/>
                <w:szCs w:val="20"/>
                <w:color w:val="auto"/>
              </w:rPr>
            </w:pPr>
            <w:r>
              <w:rPr>
                <w:rFonts w:ascii="Arial" w:cs="Arial" w:eastAsia="Arial" w:hAnsi="Arial"/>
                <w:sz w:val="14"/>
                <w:szCs w:val="14"/>
                <w:color w:val="auto"/>
              </w:rPr>
              <w:t>30</w:t>
            </w:r>
          </w:p>
        </w:tc>
        <w:tc>
          <w:tcPr>
            <w:tcW w:w="1460" w:type="dxa"/>
            <w:vAlign w:val="bottom"/>
            <w:tcBorders>
              <w:bottom w:val="single" w:sz="8" w:color="auto"/>
            </w:tcBorders>
          </w:tcPr>
          <w:p>
            <w:pPr>
              <w:jc w:val="right"/>
              <w:ind w:right="130"/>
              <w:spacing w:after="0" w:line="155" w:lineRule="exact"/>
              <w:rPr>
                <w:sz w:val="20"/>
                <w:szCs w:val="20"/>
                <w:color w:val="auto"/>
              </w:rPr>
            </w:pPr>
            <w:r>
              <w:rPr>
                <w:rFonts w:ascii="Arial" w:cs="Arial" w:eastAsia="Arial" w:hAnsi="Arial"/>
                <w:sz w:val="14"/>
                <w:szCs w:val="14"/>
                <w:color w:val="auto"/>
              </w:rPr>
              <w:t>11</w:t>
            </w:r>
          </w:p>
        </w:tc>
        <w:tc>
          <w:tcPr>
            <w:tcW w:w="1360" w:type="dxa"/>
            <w:vAlign w:val="bottom"/>
            <w:tcBorders>
              <w:bottom w:val="single" w:sz="8" w:color="auto"/>
            </w:tcBorders>
          </w:tcPr>
          <w:p>
            <w:pPr>
              <w:jc w:val="right"/>
              <w:ind w:right="110"/>
              <w:spacing w:after="0" w:line="155" w:lineRule="exact"/>
              <w:rPr>
                <w:sz w:val="20"/>
                <w:szCs w:val="20"/>
                <w:color w:val="auto"/>
              </w:rPr>
            </w:pPr>
            <w:r>
              <w:rPr>
                <w:rFonts w:ascii="Arial" w:cs="Arial" w:eastAsia="Arial" w:hAnsi="Arial"/>
                <w:sz w:val="14"/>
                <w:szCs w:val="14"/>
                <w:color w:val="auto"/>
              </w:rPr>
              <w:t>9</w:t>
            </w:r>
          </w:p>
        </w:tc>
        <w:tc>
          <w:tcPr>
            <w:tcW w:w="1480" w:type="dxa"/>
            <w:vAlign w:val="bottom"/>
            <w:tcBorders>
              <w:bottom w:val="single" w:sz="8" w:color="auto"/>
            </w:tcBorders>
          </w:tcPr>
          <w:p>
            <w:pPr>
              <w:jc w:val="right"/>
              <w:ind w:right="72"/>
              <w:spacing w:after="0" w:line="155" w:lineRule="exact"/>
              <w:rPr>
                <w:sz w:val="20"/>
                <w:szCs w:val="20"/>
                <w:color w:val="auto"/>
              </w:rPr>
            </w:pPr>
            <w:r>
              <w:rPr>
                <w:rFonts w:ascii="Arial" w:cs="Arial" w:eastAsia="Arial" w:hAnsi="Arial"/>
                <w:sz w:val="14"/>
                <w:szCs w:val="14"/>
                <w:color w:val="auto"/>
              </w:rPr>
              <w:t>1.0</w:t>
            </w:r>
          </w:p>
        </w:tc>
      </w:tr>
    </w:tbl>
    <w:p>
      <w:pPr>
        <w:spacing w:after="0" w:line="180" w:lineRule="exact"/>
        <w:rPr>
          <w:sz w:val="20"/>
          <w:szCs w:val="20"/>
          <w:color w:val="auto"/>
        </w:rPr>
      </w:pPr>
    </w:p>
    <w:p>
      <w:pPr>
        <w:jc w:val="both"/>
        <w:spacing w:after="0" w:line="250" w:lineRule="auto"/>
        <w:rPr>
          <w:sz w:val="20"/>
          <w:szCs w:val="20"/>
          <w:color w:val="auto"/>
        </w:rPr>
      </w:pPr>
      <w:r>
        <w:rPr>
          <w:rFonts w:ascii="Arial" w:cs="Arial" w:eastAsia="Arial" w:hAnsi="Arial"/>
          <w:sz w:val="14"/>
          <w:szCs w:val="14"/>
          <w:color w:val="auto"/>
        </w:rPr>
        <w:t>Other plans offer employees opportunities to acquire shares and ADSs of the Company or receive cash benefits measured by reference to the Company’s share price. Prior to the introduction in 2005 of the PSP, plans were operated under which options over shares and ADSs of the Company were awarded to eligible employees. The options have a range of expiry dates until 2016 and no additional expense to Shell arises in connection with them.</w:t>
      </w:r>
    </w:p>
    <w:p>
      <w:pPr>
        <w:spacing w:after="0" w:line="159" w:lineRule="exact"/>
        <w:rPr>
          <w:sz w:val="20"/>
          <w:szCs w:val="20"/>
          <w:color w:val="auto"/>
        </w:rPr>
      </w:pPr>
    </w:p>
    <w:p>
      <w:pPr>
        <w:ind w:right="220"/>
        <w:spacing w:after="0" w:line="258" w:lineRule="auto"/>
        <w:rPr>
          <w:sz w:val="20"/>
          <w:szCs w:val="20"/>
          <w:color w:val="auto"/>
        </w:rPr>
      </w:pPr>
      <w:r>
        <w:rPr>
          <w:rFonts w:ascii="Arial" w:cs="Arial" w:eastAsia="Arial" w:hAnsi="Arial"/>
          <w:sz w:val="14"/>
          <w:szCs w:val="14"/>
          <w:color w:val="auto"/>
        </w:rPr>
        <w:t>Shell employee share ownership trusts and trust-like entities purchase the Company’s shares in the open market to meet delivery commitments under employee share plans. At December 31, 2014, they held 23.4 million A shares (2013: 37.2 million), 12.7 million B shares (2013: 15.8 million) and 8.3 million A ADSs (2013: 11.2 million).</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auto"/>
        </w:rPr>
        <w:t>22 OTHER RESERVES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5280" w:type="dxa"/>
            <w:vAlign w:val="bottom"/>
            <w:shd w:val="clear" w:color="auto" w:fill="333333"/>
          </w:tcPr>
          <w:p>
            <w:pPr>
              <w:spacing w:after="0"/>
              <w:rPr>
                <w:sz w:val="15"/>
                <w:szCs w:val="15"/>
                <w:color w:val="auto"/>
              </w:rPr>
            </w:pPr>
          </w:p>
        </w:tc>
        <w:tc>
          <w:tcPr>
            <w:tcW w:w="860" w:type="dxa"/>
            <w:vAlign w:val="bottom"/>
            <w:shd w:val="clear" w:color="auto" w:fill="333333"/>
          </w:tcPr>
          <w:p>
            <w:pPr>
              <w:spacing w:after="0"/>
              <w:rPr>
                <w:sz w:val="15"/>
                <w:szCs w:val="15"/>
                <w:color w:val="auto"/>
              </w:rPr>
            </w:pPr>
          </w:p>
        </w:tc>
        <w:tc>
          <w:tcPr>
            <w:tcW w:w="900" w:type="dxa"/>
            <w:vAlign w:val="bottom"/>
            <w:shd w:val="clear" w:color="auto" w:fill="333333"/>
          </w:tcPr>
          <w:p>
            <w:pPr>
              <w:spacing w:after="0"/>
              <w:rPr>
                <w:sz w:val="15"/>
                <w:szCs w:val="15"/>
                <w:color w:val="auto"/>
              </w:rPr>
            </w:pPr>
          </w:p>
        </w:tc>
        <w:tc>
          <w:tcPr>
            <w:tcW w:w="1080" w:type="dxa"/>
            <w:vAlign w:val="bottom"/>
            <w:shd w:val="clear" w:color="auto" w:fill="333333"/>
          </w:tcPr>
          <w:p>
            <w:pPr>
              <w:spacing w:after="0"/>
              <w:rPr>
                <w:sz w:val="15"/>
                <w:szCs w:val="15"/>
                <w:color w:val="auto"/>
              </w:rPr>
            </w:pPr>
          </w:p>
        </w:tc>
        <w:tc>
          <w:tcPr>
            <w:tcW w:w="1120" w:type="dxa"/>
            <w:vAlign w:val="bottom"/>
            <w:shd w:val="clear" w:color="auto" w:fill="333333"/>
          </w:tcPr>
          <w:p>
            <w:pPr>
              <w:spacing w:after="0"/>
              <w:rPr>
                <w:sz w:val="15"/>
                <w:szCs w:val="15"/>
                <w:color w:val="auto"/>
              </w:rPr>
            </w:pPr>
          </w:p>
        </w:tc>
        <w:tc>
          <w:tcPr>
            <w:tcW w:w="1220" w:type="dxa"/>
            <w:vAlign w:val="bottom"/>
            <w:shd w:val="clear" w:color="auto" w:fill="333333"/>
          </w:tcPr>
          <w:p>
            <w:pPr>
              <w:spacing w:after="0"/>
              <w:rPr>
                <w:sz w:val="15"/>
                <w:szCs w:val="15"/>
                <w:color w:val="auto"/>
              </w:rPr>
            </w:pPr>
          </w:p>
        </w:tc>
        <w:tc>
          <w:tcPr>
            <w:tcW w:w="960" w:type="dxa"/>
            <w:vAlign w:val="bottom"/>
            <w:shd w:val="clear" w:color="auto" w:fill="333333"/>
          </w:tcPr>
          <w:p>
            <w:pPr>
              <w:jc w:val="right"/>
              <w:ind w:right="48"/>
              <w:spacing w:after="0"/>
              <w:rPr>
                <w:sz w:val="20"/>
                <w:szCs w:val="20"/>
                <w:color w:val="auto"/>
              </w:rPr>
            </w:pPr>
            <w:r>
              <w:rPr>
                <w:rFonts w:ascii="Arial" w:cs="Arial" w:eastAsia="Arial" w:hAnsi="Arial"/>
                <w:sz w:val="15"/>
                <w:szCs w:val="15"/>
                <w:color w:val="FFFFFF"/>
              </w:rPr>
              <w:t>$ MILLION</w:t>
            </w:r>
          </w:p>
        </w:tc>
      </w:tr>
      <w:tr>
        <w:trPr>
          <w:trHeight w:val="129"/>
        </w:trPr>
        <w:tc>
          <w:tcPr>
            <w:tcW w:w="52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220" w:type="dxa"/>
            <w:vAlign w:val="bottom"/>
          </w:tcPr>
          <w:p>
            <w:pPr>
              <w:jc w:val="right"/>
              <w:ind w:right="70"/>
              <w:spacing w:after="0" w:line="129" w:lineRule="exact"/>
              <w:rPr>
                <w:sz w:val="20"/>
                <w:szCs w:val="20"/>
                <w:color w:val="auto"/>
              </w:rPr>
            </w:pPr>
            <w:r>
              <w:rPr>
                <w:rFonts w:ascii="Arial" w:cs="Arial" w:eastAsia="Arial" w:hAnsi="Arial"/>
                <w:sz w:val="13"/>
                <w:szCs w:val="13"/>
                <w:color w:val="auto"/>
              </w:rPr>
              <w:t>Accumulated</w:t>
            </w:r>
          </w:p>
        </w:tc>
        <w:tc>
          <w:tcPr>
            <w:tcW w:w="960" w:type="dxa"/>
            <w:vAlign w:val="bottom"/>
          </w:tcPr>
          <w:p>
            <w:pPr>
              <w:spacing w:after="0"/>
              <w:rPr>
                <w:sz w:val="11"/>
                <w:szCs w:val="11"/>
                <w:color w:val="auto"/>
              </w:rPr>
            </w:pPr>
          </w:p>
        </w:tc>
      </w:tr>
      <w:tr>
        <w:trPr>
          <w:trHeight w:val="135"/>
        </w:trPr>
        <w:tc>
          <w:tcPr>
            <w:tcW w:w="52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900" w:type="dxa"/>
            <w:vAlign w:val="bottom"/>
          </w:tcPr>
          <w:p>
            <w:pPr>
              <w:jc w:val="right"/>
              <w:ind w:right="149"/>
              <w:spacing w:after="0" w:line="135" w:lineRule="exact"/>
              <w:rPr>
                <w:sz w:val="20"/>
                <w:szCs w:val="20"/>
                <w:color w:val="auto"/>
              </w:rPr>
            </w:pPr>
            <w:r>
              <w:rPr>
                <w:rFonts w:ascii="Arial" w:cs="Arial" w:eastAsia="Arial" w:hAnsi="Arial"/>
                <w:sz w:val="13"/>
                <w:szCs w:val="13"/>
                <w:color w:val="auto"/>
              </w:rPr>
              <w:t>Share</w:t>
            </w:r>
          </w:p>
        </w:tc>
        <w:tc>
          <w:tcPr>
            <w:tcW w:w="1080" w:type="dxa"/>
            <w:vAlign w:val="bottom"/>
          </w:tcPr>
          <w:p>
            <w:pPr>
              <w:jc w:val="right"/>
              <w:ind w:right="149"/>
              <w:spacing w:after="0" w:line="135" w:lineRule="exact"/>
              <w:rPr>
                <w:sz w:val="20"/>
                <w:szCs w:val="20"/>
                <w:color w:val="auto"/>
              </w:rPr>
            </w:pPr>
            <w:r>
              <w:rPr>
                <w:rFonts w:ascii="Arial" w:cs="Arial" w:eastAsia="Arial" w:hAnsi="Arial"/>
                <w:sz w:val="13"/>
                <w:szCs w:val="13"/>
                <w:color w:val="auto"/>
              </w:rPr>
              <w:t>Capital</w:t>
            </w:r>
          </w:p>
        </w:tc>
        <w:tc>
          <w:tcPr>
            <w:tcW w:w="1120" w:type="dxa"/>
            <w:vAlign w:val="bottom"/>
          </w:tcPr>
          <w:p>
            <w:pPr>
              <w:spacing w:after="0"/>
              <w:rPr>
                <w:sz w:val="11"/>
                <w:szCs w:val="11"/>
                <w:color w:val="auto"/>
              </w:rPr>
            </w:pPr>
          </w:p>
        </w:tc>
        <w:tc>
          <w:tcPr>
            <w:tcW w:w="1220" w:type="dxa"/>
            <w:vAlign w:val="bottom"/>
          </w:tcPr>
          <w:p>
            <w:pPr>
              <w:jc w:val="right"/>
              <w:ind w:right="70"/>
              <w:spacing w:after="0" w:line="135" w:lineRule="exact"/>
              <w:rPr>
                <w:sz w:val="20"/>
                <w:szCs w:val="20"/>
                <w:color w:val="auto"/>
              </w:rPr>
            </w:pPr>
            <w:r>
              <w:rPr>
                <w:rFonts w:ascii="Arial" w:cs="Arial" w:eastAsia="Arial" w:hAnsi="Arial"/>
                <w:sz w:val="13"/>
                <w:szCs w:val="13"/>
                <w:color w:val="auto"/>
              </w:rPr>
              <w:t>other</w:t>
            </w:r>
          </w:p>
        </w:tc>
        <w:tc>
          <w:tcPr>
            <w:tcW w:w="960" w:type="dxa"/>
            <w:vAlign w:val="bottom"/>
          </w:tcPr>
          <w:p>
            <w:pPr>
              <w:spacing w:after="0"/>
              <w:rPr>
                <w:sz w:val="11"/>
                <w:szCs w:val="11"/>
                <w:color w:val="auto"/>
              </w:rPr>
            </w:pPr>
          </w:p>
        </w:tc>
      </w:tr>
      <w:tr>
        <w:trPr>
          <w:trHeight w:val="135"/>
        </w:trPr>
        <w:tc>
          <w:tcPr>
            <w:tcW w:w="5280" w:type="dxa"/>
            <w:vAlign w:val="bottom"/>
          </w:tcPr>
          <w:p>
            <w:pPr>
              <w:spacing w:after="0"/>
              <w:rPr>
                <w:sz w:val="11"/>
                <w:szCs w:val="11"/>
                <w:color w:val="auto"/>
              </w:rPr>
            </w:pPr>
          </w:p>
        </w:tc>
        <w:tc>
          <w:tcPr>
            <w:tcW w:w="860" w:type="dxa"/>
            <w:vAlign w:val="bottom"/>
          </w:tcPr>
          <w:p>
            <w:pPr>
              <w:jc w:val="right"/>
              <w:ind w:right="169"/>
              <w:spacing w:after="0" w:line="135" w:lineRule="exact"/>
              <w:rPr>
                <w:sz w:val="20"/>
                <w:szCs w:val="20"/>
                <w:color w:val="auto"/>
              </w:rPr>
            </w:pPr>
            <w:r>
              <w:rPr>
                <w:rFonts w:ascii="Arial" w:cs="Arial" w:eastAsia="Arial" w:hAnsi="Arial"/>
                <w:sz w:val="13"/>
                <w:szCs w:val="13"/>
                <w:color w:val="auto"/>
              </w:rPr>
              <w:t>Merger</w:t>
            </w:r>
          </w:p>
        </w:tc>
        <w:tc>
          <w:tcPr>
            <w:tcW w:w="900" w:type="dxa"/>
            <w:vAlign w:val="bottom"/>
          </w:tcPr>
          <w:p>
            <w:pPr>
              <w:jc w:val="right"/>
              <w:ind w:right="149"/>
              <w:spacing w:after="0" w:line="135" w:lineRule="exact"/>
              <w:rPr>
                <w:sz w:val="20"/>
                <w:szCs w:val="20"/>
                <w:color w:val="auto"/>
              </w:rPr>
            </w:pPr>
            <w:r>
              <w:rPr>
                <w:rFonts w:ascii="Arial" w:cs="Arial" w:eastAsia="Arial" w:hAnsi="Arial"/>
                <w:sz w:val="13"/>
                <w:szCs w:val="13"/>
                <w:color w:val="auto"/>
              </w:rPr>
              <w:t>premium</w:t>
            </w:r>
          </w:p>
        </w:tc>
        <w:tc>
          <w:tcPr>
            <w:tcW w:w="1080" w:type="dxa"/>
            <w:vAlign w:val="bottom"/>
          </w:tcPr>
          <w:p>
            <w:pPr>
              <w:jc w:val="right"/>
              <w:ind w:right="149"/>
              <w:spacing w:after="0" w:line="135" w:lineRule="exact"/>
              <w:rPr>
                <w:sz w:val="20"/>
                <w:szCs w:val="20"/>
                <w:color w:val="auto"/>
              </w:rPr>
            </w:pPr>
            <w:r>
              <w:rPr>
                <w:rFonts w:ascii="Arial" w:cs="Arial" w:eastAsia="Arial" w:hAnsi="Arial"/>
                <w:sz w:val="13"/>
                <w:szCs w:val="13"/>
                <w:color w:val="auto"/>
              </w:rPr>
              <w:t>redemption</w:t>
            </w:r>
          </w:p>
        </w:tc>
        <w:tc>
          <w:tcPr>
            <w:tcW w:w="1120" w:type="dxa"/>
            <w:vAlign w:val="bottom"/>
          </w:tcPr>
          <w:p>
            <w:pPr>
              <w:jc w:val="right"/>
              <w:ind w:right="229"/>
              <w:spacing w:after="0" w:line="135" w:lineRule="exact"/>
              <w:rPr>
                <w:sz w:val="20"/>
                <w:szCs w:val="20"/>
                <w:color w:val="auto"/>
              </w:rPr>
            </w:pPr>
            <w:r>
              <w:rPr>
                <w:rFonts w:ascii="Arial" w:cs="Arial" w:eastAsia="Arial" w:hAnsi="Arial"/>
                <w:sz w:val="13"/>
                <w:szCs w:val="13"/>
                <w:color w:val="auto"/>
              </w:rPr>
              <w:t>Share plan</w:t>
            </w:r>
          </w:p>
        </w:tc>
        <w:tc>
          <w:tcPr>
            <w:tcW w:w="1220" w:type="dxa"/>
            <w:vAlign w:val="bottom"/>
          </w:tcPr>
          <w:p>
            <w:pPr>
              <w:jc w:val="right"/>
              <w:ind w:right="70"/>
              <w:spacing w:after="0" w:line="135" w:lineRule="exact"/>
              <w:rPr>
                <w:sz w:val="20"/>
                <w:szCs w:val="20"/>
                <w:color w:val="auto"/>
              </w:rPr>
            </w:pPr>
            <w:r>
              <w:rPr>
                <w:rFonts w:ascii="Arial" w:cs="Arial" w:eastAsia="Arial" w:hAnsi="Arial"/>
                <w:sz w:val="13"/>
                <w:szCs w:val="13"/>
                <w:color w:val="auto"/>
              </w:rPr>
              <w:t>comprehensive</w:t>
            </w:r>
          </w:p>
        </w:tc>
        <w:tc>
          <w:tcPr>
            <w:tcW w:w="960" w:type="dxa"/>
            <w:vAlign w:val="bottom"/>
          </w:tcPr>
          <w:p>
            <w:pPr>
              <w:spacing w:after="0"/>
              <w:rPr>
                <w:sz w:val="11"/>
                <w:szCs w:val="11"/>
                <w:color w:val="auto"/>
              </w:rPr>
            </w:pPr>
          </w:p>
        </w:tc>
      </w:tr>
      <w:tr>
        <w:trPr>
          <w:trHeight w:val="141"/>
        </w:trPr>
        <w:tc>
          <w:tcPr>
            <w:tcW w:w="528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169"/>
              <w:spacing w:after="0" w:line="141" w:lineRule="exact"/>
              <w:rPr>
                <w:sz w:val="20"/>
                <w:szCs w:val="20"/>
                <w:color w:val="auto"/>
              </w:rPr>
            </w:pPr>
            <w:r>
              <w:rPr>
                <w:rFonts w:ascii="Arial" w:cs="Arial" w:eastAsia="Arial" w:hAnsi="Arial"/>
                <w:sz w:val="13"/>
                <w:szCs w:val="13"/>
                <w:color w:val="auto"/>
              </w:rPr>
              <w:t>reserve</w:t>
            </w:r>
          </w:p>
        </w:tc>
        <w:tc>
          <w:tcPr>
            <w:tcW w:w="900" w:type="dxa"/>
            <w:vAlign w:val="bottom"/>
            <w:tcBorders>
              <w:bottom w:val="single" w:sz="8" w:color="auto"/>
            </w:tcBorders>
          </w:tcPr>
          <w:p>
            <w:pPr>
              <w:jc w:val="right"/>
              <w:ind w:right="149"/>
              <w:spacing w:after="0" w:line="141" w:lineRule="exact"/>
              <w:rPr>
                <w:sz w:val="20"/>
                <w:szCs w:val="20"/>
                <w:color w:val="auto"/>
              </w:rPr>
            </w:pPr>
            <w:r>
              <w:rPr>
                <w:rFonts w:ascii="Arial" w:cs="Arial" w:eastAsia="Arial" w:hAnsi="Arial"/>
                <w:sz w:val="13"/>
                <w:szCs w:val="13"/>
                <w:color w:val="auto"/>
              </w:rPr>
              <w:t>reserve</w:t>
            </w:r>
          </w:p>
        </w:tc>
        <w:tc>
          <w:tcPr>
            <w:tcW w:w="1080" w:type="dxa"/>
            <w:vAlign w:val="bottom"/>
            <w:tcBorders>
              <w:bottom w:val="single" w:sz="8" w:color="auto"/>
            </w:tcBorders>
          </w:tcPr>
          <w:p>
            <w:pPr>
              <w:jc w:val="right"/>
              <w:ind w:right="149"/>
              <w:spacing w:after="0" w:line="141" w:lineRule="exact"/>
              <w:rPr>
                <w:sz w:val="20"/>
                <w:szCs w:val="20"/>
                <w:color w:val="auto"/>
              </w:rPr>
            </w:pPr>
            <w:r>
              <w:rPr>
                <w:rFonts w:ascii="Arial" w:cs="Arial" w:eastAsia="Arial" w:hAnsi="Arial"/>
                <w:sz w:val="13"/>
                <w:szCs w:val="13"/>
                <w:color w:val="auto"/>
              </w:rPr>
              <w:t>reserve</w:t>
            </w:r>
          </w:p>
        </w:tc>
        <w:tc>
          <w:tcPr>
            <w:tcW w:w="1120" w:type="dxa"/>
            <w:vAlign w:val="bottom"/>
            <w:tcBorders>
              <w:bottom w:val="single" w:sz="8" w:color="auto"/>
            </w:tcBorders>
          </w:tcPr>
          <w:p>
            <w:pPr>
              <w:jc w:val="right"/>
              <w:ind w:right="229"/>
              <w:spacing w:after="0" w:line="141" w:lineRule="exact"/>
              <w:rPr>
                <w:sz w:val="20"/>
                <w:szCs w:val="20"/>
                <w:color w:val="auto"/>
              </w:rPr>
            </w:pPr>
            <w:r>
              <w:rPr>
                <w:rFonts w:ascii="Arial" w:cs="Arial" w:eastAsia="Arial" w:hAnsi="Arial"/>
                <w:sz w:val="13"/>
                <w:szCs w:val="13"/>
                <w:color w:val="auto"/>
              </w:rPr>
              <w:t>reserve</w:t>
            </w:r>
          </w:p>
        </w:tc>
        <w:tc>
          <w:tcPr>
            <w:tcW w:w="1220" w:type="dxa"/>
            <w:vAlign w:val="bottom"/>
            <w:tcBorders>
              <w:bottom w:val="single" w:sz="8" w:color="auto"/>
            </w:tcBorders>
          </w:tcPr>
          <w:p>
            <w:pPr>
              <w:jc w:val="right"/>
              <w:ind w:right="70"/>
              <w:spacing w:after="0" w:line="141" w:lineRule="exact"/>
              <w:rPr>
                <w:sz w:val="20"/>
                <w:szCs w:val="20"/>
                <w:color w:val="auto"/>
              </w:rPr>
            </w:pPr>
            <w:r>
              <w:rPr>
                <w:rFonts w:ascii="Arial" w:cs="Arial" w:eastAsia="Arial" w:hAnsi="Arial"/>
                <w:sz w:val="13"/>
                <w:szCs w:val="13"/>
                <w:color w:val="auto"/>
              </w:rPr>
              <w:t>income</w:t>
            </w:r>
          </w:p>
        </w:tc>
        <w:tc>
          <w:tcPr>
            <w:tcW w:w="960" w:type="dxa"/>
            <w:vAlign w:val="bottom"/>
            <w:tcBorders>
              <w:bottom w:val="single" w:sz="8" w:color="auto"/>
            </w:tcBorders>
          </w:tcPr>
          <w:p>
            <w:pPr>
              <w:jc w:val="right"/>
              <w:ind w:right="48"/>
              <w:spacing w:after="0" w:line="141" w:lineRule="exact"/>
              <w:rPr>
                <w:sz w:val="20"/>
                <w:szCs w:val="20"/>
                <w:color w:val="auto"/>
              </w:rPr>
            </w:pPr>
            <w:r>
              <w:rPr>
                <w:rFonts w:ascii="Arial" w:cs="Arial" w:eastAsia="Arial" w:hAnsi="Arial"/>
                <w:sz w:val="13"/>
                <w:szCs w:val="13"/>
                <w:color w:val="auto"/>
              </w:rPr>
              <w:t>Total</w:t>
            </w:r>
          </w:p>
        </w:tc>
      </w:tr>
      <w:tr>
        <w:trPr>
          <w:trHeight w:val="160"/>
        </w:trPr>
        <w:tc>
          <w:tcPr>
            <w:tcW w:w="5280" w:type="dxa"/>
            <w:vAlign w:val="bottom"/>
          </w:tcPr>
          <w:p>
            <w:pPr>
              <w:spacing w:after="0"/>
              <w:rPr>
                <w:sz w:val="20"/>
                <w:szCs w:val="20"/>
                <w:color w:val="auto"/>
              </w:rPr>
            </w:pPr>
            <w:r>
              <w:rPr>
                <w:rFonts w:ascii="Arial" w:cs="Arial" w:eastAsia="Arial" w:hAnsi="Arial"/>
                <w:sz w:val="14"/>
                <w:szCs w:val="14"/>
                <w:color w:val="auto"/>
              </w:rPr>
              <w:t>At January 1, 2014</w:t>
            </w:r>
          </w:p>
        </w:tc>
        <w:tc>
          <w:tcPr>
            <w:tcW w:w="860" w:type="dxa"/>
            <w:vAlign w:val="bottom"/>
          </w:tcPr>
          <w:p>
            <w:pPr>
              <w:jc w:val="right"/>
              <w:ind w:right="169"/>
              <w:spacing w:after="0"/>
              <w:rPr>
                <w:sz w:val="20"/>
                <w:szCs w:val="20"/>
                <w:color w:val="auto"/>
              </w:rPr>
            </w:pPr>
            <w:r>
              <w:rPr>
                <w:rFonts w:ascii="Arial" w:cs="Arial" w:eastAsia="Arial" w:hAnsi="Arial"/>
                <w:sz w:val="14"/>
                <w:szCs w:val="14"/>
                <w:color w:val="auto"/>
              </w:rPr>
              <w:t>3,411</w:t>
            </w:r>
          </w:p>
        </w:tc>
        <w:tc>
          <w:tcPr>
            <w:tcW w:w="900" w:type="dxa"/>
            <w:vAlign w:val="bottom"/>
          </w:tcPr>
          <w:p>
            <w:pPr>
              <w:jc w:val="right"/>
              <w:ind w:right="149"/>
              <w:spacing w:after="0"/>
              <w:rPr>
                <w:sz w:val="20"/>
                <w:szCs w:val="20"/>
                <w:color w:val="auto"/>
              </w:rPr>
            </w:pPr>
            <w:r>
              <w:rPr>
                <w:rFonts w:ascii="Arial" w:cs="Arial" w:eastAsia="Arial" w:hAnsi="Arial"/>
                <w:sz w:val="14"/>
                <w:szCs w:val="14"/>
                <w:color w:val="auto"/>
              </w:rPr>
              <w:t>154</w:t>
            </w:r>
          </w:p>
        </w:tc>
        <w:tc>
          <w:tcPr>
            <w:tcW w:w="1080" w:type="dxa"/>
            <w:vAlign w:val="bottom"/>
          </w:tcPr>
          <w:p>
            <w:pPr>
              <w:jc w:val="right"/>
              <w:ind w:right="149"/>
              <w:spacing w:after="0"/>
              <w:rPr>
                <w:sz w:val="20"/>
                <w:szCs w:val="20"/>
                <w:color w:val="auto"/>
              </w:rPr>
            </w:pPr>
            <w:r>
              <w:rPr>
                <w:rFonts w:ascii="Arial" w:cs="Arial" w:eastAsia="Arial" w:hAnsi="Arial"/>
                <w:sz w:val="14"/>
                <w:szCs w:val="14"/>
                <w:color w:val="auto"/>
              </w:rPr>
              <w:t>75</w:t>
            </w:r>
          </w:p>
        </w:tc>
        <w:tc>
          <w:tcPr>
            <w:tcW w:w="1120" w:type="dxa"/>
            <w:vAlign w:val="bottom"/>
          </w:tcPr>
          <w:p>
            <w:pPr>
              <w:jc w:val="right"/>
              <w:ind w:right="229"/>
              <w:spacing w:after="0"/>
              <w:rPr>
                <w:sz w:val="20"/>
                <w:szCs w:val="20"/>
                <w:color w:val="auto"/>
              </w:rPr>
            </w:pPr>
            <w:r>
              <w:rPr>
                <w:rFonts w:ascii="Arial" w:cs="Arial" w:eastAsia="Arial" w:hAnsi="Arial"/>
                <w:sz w:val="14"/>
                <w:szCs w:val="14"/>
                <w:color w:val="auto"/>
              </w:rPr>
              <w:t>1,871</w:t>
            </w:r>
          </w:p>
        </w:tc>
        <w:tc>
          <w:tcPr>
            <w:tcW w:w="1220" w:type="dxa"/>
            <w:vAlign w:val="bottom"/>
          </w:tcPr>
          <w:p>
            <w:pPr>
              <w:jc w:val="right"/>
              <w:ind w:right="10"/>
              <w:spacing w:after="0"/>
              <w:rPr>
                <w:sz w:val="20"/>
                <w:szCs w:val="20"/>
                <w:color w:val="auto"/>
              </w:rPr>
            </w:pPr>
            <w:r>
              <w:rPr>
                <w:rFonts w:ascii="Arial" w:cs="Arial" w:eastAsia="Arial" w:hAnsi="Arial"/>
                <w:sz w:val="14"/>
                <w:szCs w:val="14"/>
                <w:color w:val="auto"/>
              </w:rPr>
              <w:t>(7,548)</w:t>
            </w:r>
          </w:p>
        </w:tc>
        <w:tc>
          <w:tcPr>
            <w:tcW w:w="960" w:type="dxa"/>
            <w:vAlign w:val="bottom"/>
          </w:tcPr>
          <w:p>
            <w:pPr>
              <w:jc w:val="right"/>
              <w:ind w:right="8"/>
              <w:spacing w:after="0"/>
              <w:rPr>
                <w:sz w:val="20"/>
                <w:szCs w:val="20"/>
                <w:color w:val="auto"/>
              </w:rPr>
            </w:pPr>
            <w:r>
              <w:rPr>
                <w:rFonts w:ascii="Arial" w:cs="Arial" w:eastAsia="Arial" w:hAnsi="Arial"/>
                <w:sz w:val="14"/>
                <w:szCs w:val="14"/>
                <w:color w:val="auto"/>
              </w:rPr>
              <w:t>(2,037)</w:t>
            </w:r>
          </w:p>
        </w:tc>
      </w:tr>
      <w:tr>
        <w:trPr>
          <w:trHeight w:val="162"/>
        </w:trPr>
        <w:tc>
          <w:tcPr>
            <w:tcW w:w="5280" w:type="dxa"/>
            <w:vAlign w:val="bottom"/>
          </w:tcPr>
          <w:p>
            <w:pPr>
              <w:spacing w:after="0"/>
              <w:rPr>
                <w:sz w:val="20"/>
                <w:szCs w:val="20"/>
                <w:color w:val="auto"/>
              </w:rPr>
            </w:pPr>
            <w:r>
              <w:rPr>
                <w:rFonts w:ascii="Arial" w:cs="Arial" w:eastAsia="Arial" w:hAnsi="Arial"/>
                <w:sz w:val="14"/>
                <w:szCs w:val="14"/>
                <w:color w:val="auto"/>
              </w:rPr>
              <w:t>Other comprehensive loss attributable to Royal Dutch Shell plc shareholders</w:t>
            </w:r>
          </w:p>
        </w:tc>
        <w:tc>
          <w:tcPr>
            <w:tcW w:w="860" w:type="dxa"/>
            <w:vAlign w:val="bottom"/>
          </w:tcPr>
          <w:p>
            <w:pPr>
              <w:jc w:val="right"/>
              <w:ind w:right="169"/>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149"/>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149"/>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229"/>
              <w:spacing w:after="0"/>
              <w:rPr>
                <w:sz w:val="20"/>
                <w:szCs w:val="20"/>
                <w:color w:val="auto"/>
              </w:rPr>
            </w:pPr>
            <w:r>
              <w:rPr>
                <w:rFonts w:ascii="Arial" w:cs="Arial" w:eastAsia="Arial" w:hAnsi="Arial"/>
                <w:sz w:val="14"/>
                <w:szCs w:val="14"/>
                <w:color w:val="auto"/>
              </w:rPr>
              <w:t>–</w:t>
            </w:r>
          </w:p>
        </w:tc>
        <w:tc>
          <w:tcPr>
            <w:tcW w:w="1220" w:type="dxa"/>
            <w:vAlign w:val="bottom"/>
          </w:tcPr>
          <w:p>
            <w:pPr>
              <w:jc w:val="right"/>
              <w:ind w:right="10"/>
              <w:spacing w:after="0"/>
              <w:rPr>
                <w:sz w:val="20"/>
                <w:szCs w:val="20"/>
                <w:color w:val="auto"/>
              </w:rPr>
            </w:pPr>
            <w:r>
              <w:rPr>
                <w:rFonts w:ascii="Arial" w:cs="Arial" w:eastAsia="Arial" w:hAnsi="Arial"/>
                <w:sz w:val="14"/>
                <w:szCs w:val="14"/>
                <w:color w:val="auto"/>
              </w:rPr>
              <w:t>(12,182)</w:t>
            </w:r>
          </w:p>
        </w:tc>
        <w:tc>
          <w:tcPr>
            <w:tcW w:w="960" w:type="dxa"/>
            <w:vAlign w:val="bottom"/>
          </w:tcPr>
          <w:p>
            <w:pPr>
              <w:jc w:val="right"/>
              <w:ind w:right="8"/>
              <w:spacing w:after="0"/>
              <w:rPr>
                <w:sz w:val="20"/>
                <w:szCs w:val="20"/>
                <w:color w:val="auto"/>
              </w:rPr>
            </w:pPr>
            <w:r>
              <w:rPr>
                <w:rFonts w:ascii="Arial" w:cs="Arial" w:eastAsia="Arial" w:hAnsi="Arial"/>
                <w:sz w:val="14"/>
                <w:szCs w:val="14"/>
                <w:color w:val="auto"/>
              </w:rPr>
              <w:t>(12,182)</w:t>
            </w:r>
          </w:p>
        </w:tc>
      </w:tr>
      <w:tr>
        <w:trPr>
          <w:trHeight w:val="162"/>
        </w:trPr>
        <w:tc>
          <w:tcPr>
            <w:tcW w:w="5280" w:type="dxa"/>
            <w:vAlign w:val="bottom"/>
          </w:tcPr>
          <w:p>
            <w:pPr>
              <w:spacing w:after="0"/>
              <w:rPr>
                <w:sz w:val="20"/>
                <w:szCs w:val="20"/>
                <w:color w:val="auto"/>
              </w:rPr>
            </w:pPr>
            <w:r>
              <w:rPr>
                <w:rFonts w:ascii="Arial" w:cs="Arial" w:eastAsia="Arial" w:hAnsi="Arial"/>
                <w:sz w:val="14"/>
                <w:szCs w:val="14"/>
                <w:color w:val="auto"/>
              </w:rPr>
              <w:t>Scrip dividends</w:t>
            </w:r>
          </w:p>
        </w:tc>
        <w:tc>
          <w:tcPr>
            <w:tcW w:w="860" w:type="dxa"/>
            <w:vAlign w:val="bottom"/>
          </w:tcPr>
          <w:p>
            <w:pPr>
              <w:jc w:val="right"/>
              <w:ind w:right="129"/>
              <w:spacing w:after="0"/>
              <w:rPr>
                <w:sz w:val="20"/>
                <w:szCs w:val="20"/>
                <w:color w:val="auto"/>
              </w:rPr>
            </w:pPr>
            <w:r>
              <w:rPr>
                <w:rFonts w:ascii="Arial" w:cs="Arial" w:eastAsia="Arial" w:hAnsi="Arial"/>
                <w:sz w:val="14"/>
                <w:szCs w:val="14"/>
                <w:color w:val="auto"/>
              </w:rPr>
              <w:t>(6)</w:t>
            </w:r>
          </w:p>
        </w:tc>
        <w:tc>
          <w:tcPr>
            <w:tcW w:w="900" w:type="dxa"/>
            <w:vAlign w:val="bottom"/>
          </w:tcPr>
          <w:p>
            <w:pPr>
              <w:jc w:val="right"/>
              <w:ind w:right="149"/>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149"/>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229"/>
              <w:spacing w:after="0"/>
              <w:rPr>
                <w:sz w:val="20"/>
                <w:szCs w:val="20"/>
                <w:color w:val="auto"/>
              </w:rPr>
            </w:pPr>
            <w:r>
              <w:rPr>
                <w:rFonts w:ascii="Arial" w:cs="Arial" w:eastAsia="Arial" w:hAnsi="Arial"/>
                <w:sz w:val="14"/>
                <w:szCs w:val="14"/>
                <w:color w:val="auto"/>
              </w:rPr>
              <w:t>–</w:t>
            </w:r>
          </w:p>
        </w:tc>
        <w:tc>
          <w:tcPr>
            <w:tcW w:w="1220" w:type="dxa"/>
            <w:vAlign w:val="bottom"/>
          </w:tcPr>
          <w:p>
            <w:pPr>
              <w:jc w:val="right"/>
              <w:ind w:right="70"/>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8"/>
              <w:spacing w:after="0"/>
              <w:rPr>
                <w:sz w:val="20"/>
                <w:szCs w:val="20"/>
                <w:color w:val="auto"/>
              </w:rPr>
            </w:pPr>
            <w:r>
              <w:rPr>
                <w:rFonts w:ascii="Arial" w:cs="Arial" w:eastAsia="Arial" w:hAnsi="Arial"/>
                <w:sz w:val="14"/>
                <w:szCs w:val="14"/>
                <w:color w:val="auto"/>
              </w:rPr>
              <w:t>(6)</w:t>
            </w:r>
          </w:p>
        </w:tc>
      </w:tr>
      <w:tr>
        <w:trPr>
          <w:trHeight w:val="162"/>
        </w:trPr>
        <w:tc>
          <w:tcPr>
            <w:tcW w:w="5280" w:type="dxa"/>
            <w:vAlign w:val="bottom"/>
          </w:tcPr>
          <w:p>
            <w:pPr>
              <w:spacing w:after="0"/>
              <w:rPr>
                <w:sz w:val="20"/>
                <w:szCs w:val="20"/>
                <w:color w:val="auto"/>
              </w:rPr>
            </w:pPr>
            <w:r>
              <w:rPr>
                <w:rFonts w:ascii="Arial" w:cs="Arial" w:eastAsia="Arial" w:hAnsi="Arial"/>
                <w:sz w:val="14"/>
                <w:szCs w:val="14"/>
                <w:color w:val="auto"/>
              </w:rPr>
              <w:t>Repurchases of shares</w:t>
            </w:r>
          </w:p>
        </w:tc>
        <w:tc>
          <w:tcPr>
            <w:tcW w:w="860" w:type="dxa"/>
            <w:vAlign w:val="bottom"/>
          </w:tcPr>
          <w:p>
            <w:pPr>
              <w:jc w:val="right"/>
              <w:ind w:right="169"/>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149"/>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149"/>
              <w:spacing w:after="0"/>
              <w:rPr>
                <w:sz w:val="20"/>
                <w:szCs w:val="20"/>
                <w:color w:val="auto"/>
              </w:rPr>
            </w:pPr>
            <w:r>
              <w:rPr>
                <w:rFonts w:ascii="Arial" w:cs="Arial" w:eastAsia="Arial" w:hAnsi="Arial"/>
                <w:sz w:val="14"/>
                <w:szCs w:val="14"/>
                <w:color w:val="auto"/>
              </w:rPr>
              <w:t>8</w:t>
            </w:r>
          </w:p>
        </w:tc>
        <w:tc>
          <w:tcPr>
            <w:tcW w:w="1120" w:type="dxa"/>
            <w:vAlign w:val="bottom"/>
          </w:tcPr>
          <w:p>
            <w:pPr>
              <w:jc w:val="right"/>
              <w:ind w:right="229"/>
              <w:spacing w:after="0"/>
              <w:rPr>
                <w:sz w:val="20"/>
                <w:szCs w:val="20"/>
                <w:color w:val="auto"/>
              </w:rPr>
            </w:pPr>
            <w:r>
              <w:rPr>
                <w:rFonts w:ascii="Arial" w:cs="Arial" w:eastAsia="Arial" w:hAnsi="Arial"/>
                <w:sz w:val="14"/>
                <w:szCs w:val="14"/>
                <w:color w:val="auto"/>
              </w:rPr>
              <w:t>–</w:t>
            </w:r>
          </w:p>
        </w:tc>
        <w:tc>
          <w:tcPr>
            <w:tcW w:w="1220" w:type="dxa"/>
            <w:vAlign w:val="bottom"/>
          </w:tcPr>
          <w:p>
            <w:pPr>
              <w:jc w:val="right"/>
              <w:ind w:right="70"/>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48"/>
              <w:spacing w:after="0"/>
              <w:rPr>
                <w:sz w:val="20"/>
                <w:szCs w:val="20"/>
                <w:color w:val="auto"/>
              </w:rPr>
            </w:pPr>
            <w:r>
              <w:rPr>
                <w:rFonts w:ascii="Arial" w:cs="Arial" w:eastAsia="Arial" w:hAnsi="Arial"/>
                <w:sz w:val="14"/>
                <w:szCs w:val="14"/>
                <w:color w:val="auto"/>
              </w:rPr>
              <w:t>8</w:t>
            </w:r>
          </w:p>
        </w:tc>
      </w:tr>
      <w:tr>
        <w:trPr>
          <w:trHeight w:val="157"/>
        </w:trPr>
        <w:tc>
          <w:tcPr>
            <w:tcW w:w="5280" w:type="dxa"/>
            <w:vAlign w:val="bottom"/>
            <w:tcBorders>
              <w:bottom w:val="single" w:sz="8" w:color="auto"/>
            </w:tcBorders>
          </w:tcPr>
          <w:p>
            <w:pPr>
              <w:spacing w:after="0" w:line="157" w:lineRule="exact"/>
              <w:rPr>
                <w:sz w:val="20"/>
                <w:szCs w:val="20"/>
                <w:color w:val="auto"/>
              </w:rPr>
            </w:pPr>
            <w:r>
              <w:rPr>
                <w:rFonts w:ascii="Arial" w:cs="Arial" w:eastAsia="Arial" w:hAnsi="Arial"/>
                <w:sz w:val="14"/>
                <w:szCs w:val="14"/>
                <w:color w:val="auto"/>
              </w:rPr>
              <w:t>Share-based compensation</w:t>
            </w:r>
          </w:p>
        </w:tc>
        <w:tc>
          <w:tcPr>
            <w:tcW w:w="860" w:type="dxa"/>
            <w:vAlign w:val="bottom"/>
            <w:tcBorders>
              <w:bottom w:val="single" w:sz="8" w:color="auto"/>
            </w:tcBorders>
          </w:tcPr>
          <w:p>
            <w:pPr>
              <w:jc w:val="right"/>
              <w:ind w:right="169"/>
              <w:spacing w:after="0" w:line="157" w:lineRule="exact"/>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right"/>
              <w:ind w:right="149"/>
              <w:spacing w:after="0" w:line="157" w:lineRule="exact"/>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ind w:right="149"/>
              <w:spacing w:after="0" w:line="157" w:lineRule="exact"/>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tcPr>
          <w:p>
            <w:pPr>
              <w:jc w:val="right"/>
              <w:ind w:right="169"/>
              <w:spacing w:after="0" w:line="157" w:lineRule="exact"/>
              <w:rPr>
                <w:sz w:val="20"/>
                <w:szCs w:val="20"/>
                <w:color w:val="auto"/>
              </w:rPr>
            </w:pPr>
            <w:r>
              <w:rPr>
                <w:rFonts w:ascii="Arial" w:cs="Arial" w:eastAsia="Arial" w:hAnsi="Arial"/>
                <w:sz w:val="14"/>
                <w:szCs w:val="14"/>
                <w:color w:val="auto"/>
              </w:rPr>
              <w:t>(148)</w:t>
            </w:r>
          </w:p>
        </w:tc>
        <w:tc>
          <w:tcPr>
            <w:tcW w:w="1220" w:type="dxa"/>
            <w:vAlign w:val="bottom"/>
            <w:tcBorders>
              <w:bottom w:val="single" w:sz="8" w:color="auto"/>
            </w:tcBorders>
          </w:tcPr>
          <w:p>
            <w:pPr>
              <w:jc w:val="right"/>
              <w:ind w:right="70"/>
              <w:spacing w:after="0" w:line="157" w:lineRule="exact"/>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tcPr>
          <w:p>
            <w:pPr>
              <w:jc w:val="right"/>
              <w:ind w:right="8"/>
              <w:spacing w:after="0" w:line="157" w:lineRule="exact"/>
              <w:rPr>
                <w:sz w:val="20"/>
                <w:szCs w:val="20"/>
                <w:color w:val="auto"/>
              </w:rPr>
            </w:pPr>
            <w:r>
              <w:rPr>
                <w:rFonts w:ascii="Arial" w:cs="Arial" w:eastAsia="Arial" w:hAnsi="Arial"/>
                <w:sz w:val="14"/>
                <w:szCs w:val="14"/>
                <w:color w:val="auto"/>
              </w:rPr>
              <w:t>(148)</w:t>
            </w:r>
          </w:p>
        </w:tc>
      </w:tr>
      <w:tr>
        <w:trPr>
          <w:trHeight w:val="156"/>
        </w:trPr>
        <w:tc>
          <w:tcPr>
            <w:tcW w:w="5280" w:type="dxa"/>
            <w:vAlign w:val="bottom"/>
            <w:tcBorders>
              <w:bottom w:val="single" w:sz="8" w:color="auto"/>
            </w:tcBorders>
          </w:tcPr>
          <w:p>
            <w:pPr>
              <w:spacing w:after="0" w:line="155" w:lineRule="exact"/>
              <w:rPr>
                <w:sz w:val="20"/>
                <w:szCs w:val="20"/>
                <w:color w:val="auto"/>
              </w:rPr>
            </w:pPr>
            <w:r>
              <w:rPr>
                <w:rFonts w:ascii="Arial" w:cs="Arial" w:eastAsia="Arial" w:hAnsi="Arial"/>
                <w:sz w:val="14"/>
                <w:szCs w:val="14"/>
                <w:color w:val="auto"/>
              </w:rPr>
              <w:t>At December 31, 2014</w:t>
            </w:r>
          </w:p>
        </w:tc>
        <w:tc>
          <w:tcPr>
            <w:tcW w:w="860" w:type="dxa"/>
            <w:vAlign w:val="bottom"/>
            <w:tcBorders>
              <w:bottom w:val="single" w:sz="8" w:color="auto"/>
            </w:tcBorders>
          </w:tcPr>
          <w:p>
            <w:pPr>
              <w:jc w:val="right"/>
              <w:ind w:right="169"/>
              <w:spacing w:after="0" w:line="155" w:lineRule="exact"/>
              <w:rPr>
                <w:sz w:val="20"/>
                <w:szCs w:val="20"/>
                <w:color w:val="auto"/>
              </w:rPr>
            </w:pPr>
            <w:r>
              <w:rPr>
                <w:rFonts w:ascii="Arial" w:cs="Arial" w:eastAsia="Arial" w:hAnsi="Arial"/>
                <w:sz w:val="14"/>
                <w:szCs w:val="14"/>
                <w:color w:val="auto"/>
              </w:rPr>
              <w:t>3,405</w:t>
            </w:r>
          </w:p>
        </w:tc>
        <w:tc>
          <w:tcPr>
            <w:tcW w:w="900" w:type="dxa"/>
            <w:vAlign w:val="bottom"/>
            <w:tcBorders>
              <w:bottom w:val="single" w:sz="8" w:color="auto"/>
            </w:tcBorders>
          </w:tcPr>
          <w:p>
            <w:pPr>
              <w:jc w:val="right"/>
              <w:ind w:right="149"/>
              <w:spacing w:after="0" w:line="155" w:lineRule="exact"/>
              <w:rPr>
                <w:sz w:val="20"/>
                <w:szCs w:val="20"/>
                <w:color w:val="auto"/>
              </w:rPr>
            </w:pPr>
            <w:r>
              <w:rPr>
                <w:rFonts w:ascii="Arial" w:cs="Arial" w:eastAsia="Arial" w:hAnsi="Arial"/>
                <w:sz w:val="14"/>
                <w:szCs w:val="14"/>
                <w:color w:val="auto"/>
              </w:rPr>
              <w:t>154</w:t>
            </w:r>
          </w:p>
        </w:tc>
        <w:tc>
          <w:tcPr>
            <w:tcW w:w="1080" w:type="dxa"/>
            <w:vAlign w:val="bottom"/>
            <w:tcBorders>
              <w:bottom w:val="single" w:sz="8" w:color="auto"/>
            </w:tcBorders>
          </w:tcPr>
          <w:p>
            <w:pPr>
              <w:jc w:val="right"/>
              <w:ind w:right="149"/>
              <w:spacing w:after="0" w:line="155" w:lineRule="exact"/>
              <w:rPr>
                <w:sz w:val="20"/>
                <w:szCs w:val="20"/>
                <w:color w:val="auto"/>
              </w:rPr>
            </w:pPr>
            <w:r>
              <w:rPr>
                <w:rFonts w:ascii="Arial" w:cs="Arial" w:eastAsia="Arial" w:hAnsi="Arial"/>
                <w:sz w:val="14"/>
                <w:szCs w:val="14"/>
                <w:color w:val="auto"/>
              </w:rPr>
              <w:t>83</w:t>
            </w:r>
          </w:p>
        </w:tc>
        <w:tc>
          <w:tcPr>
            <w:tcW w:w="1120" w:type="dxa"/>
            <w:vAlign w:val="bottom"/>
            <w:tcBorders>
              <w:bottom w:val="single" w:sz="8" w:color="auto"/>
            </w:tcBorders>
          </w:tcPr>
          <w:p>
            <w:pPr>
              <w:jc w:val="right"/>
              <w:ind w:right="229"/>
              <w:spacing w:after="0" w:line="155" w:lineRule="exact"/>
              <w:rPr>
                <w:sz w:val="20"/>
                <w:szCs w:val="20"/>
                <w:color w:val="auto"/>
              </w:rPr>
            </w:pPr>
            <w:r>
              <w:rPr>
                <w:rFonts w:ascii="Arial" w:cs="Arial" w:eastAsia="Arial" w:hAnsi="Arial"/>
                <w:sz w:val="14"/>
                <w:szCs w:val="14"/>
                <w:color w:val="auto"/>
              </w:rPr>
              <w:t>1,723</w:t>
            </w:r>
          </w:p>
        </w:tc>
        <w:tc>
          <w:tcPr>
            <w:tcW w:w="1220" w:type="dxa"/>
            <w:vAlign w:val="bottom"/>
            <w:tcBorders>
              <w:bottom w:val="single" w:sz="8" w:color="auto"/>
            </w:tcBorders>
          </w:tcPr>
          <w:p>
            <w:pPr>
              <w:jc w:val="right"/>
              <w:ind w:right="10"/>
              <w:spacing w:after="0" w:line="155" w:lineRule="exact"/>
              <w:rPr>
                <w:sz w:val="20"/>
                <w:szCs w:val="20"/>
                <w:color w:val="auto"/>
              </w:rPr>
            </w:pPr>
            <w:r>
              <w:rPr>
                <w:rFonts w:ascii="Arial" w:cs="Arial" w:eastAsia="Arial" w:hAnsi="Arial"/>
                <w:sz w:val="14"/>
                <w:szCs w:val="14"/>
                <w:color w:val="auto"/>
              </w:rPr>
              <w:t>(19,730)</w:t>
            </w:r>
          </w:p>
        </w:tc>
        <w:tc>
          <w:tcPr>
            <w:tcW w:w="960" w:type="dxa"/>
            <w:vAlign w:val="bottom"/>
            <w:tcBorders>
              <w:bottom w:val="single" w:sz="8" w:color="auto"/>
            </w:tcBorders>
          </w:tcPr>
          <w:p>
            <w:pPr>
              <w:jc w:val="right"/>
              <w:ind w:right="8"/>
              <w:spacing w:after="0" w:line="155" w:lineRule="exact"/>
              <w:rPr>
                <w:sz w:val="20"/>
                <w:szCs w:val="20"/>
                <w:color w:val="auto"/>
              </w:rPr>
            </w:pPr>
            <w:r>
              <w:rPr>
                <w:rFonts w:ascii="Arial" w:cs="Arial" w:eastAsia="Arial" w:hAnsi="Arial"/>
                <w:sz w:val="14"/>
                <w:szCs w:val="14"/>
                <w:color w:val="auto"/>
              </w:rPr>
              <w:t>(14,365)</w:t>
            </w:r>
          </w:p>
        </w:tc>
      </w:tr>
      <w:tr>
        <w:trPr>
          <w:trHeight w:val="160"/>
        </w:trPr>
        <w:tc>
          <w:tcPr>
            <w:tcW w:w="5280" w:type="dxa"/>
            <w:vAlign w:val="bottom"/>
          </w:tcPr>
          <w:p>
            <w:pPr>
              <w:spacing w:after="0"/>
              <w:rPr>
                <w:sz w:val="20"/>
                <w:szCs w:val="20"/>
                <w:color w:val="auto"/>
              </w:rPr>
            </w:pPr>
            <w:r>
              <w:rPr>
                <w:rFonts w:ascii="Arial" w:cs="Arial" w:eastAsia="Arial" w:hAnsi="Arial"/>
                <w:sz w:val="14"/>
                <w:szCs w:val="14"/>
                <w:color w:val="auto"/>
              </w:rPr>
              <w:t>At January 1, 2013</w:t>
            </w:r>
          </w:p>
        </w:tc>
        <w:tc>
          <w:tcPr>
            <w:tcW w:w="860" w:type="dxa"/>
            <w:vAlign w:val="bottom"/>
          </w:tcPr>
          <w:p>
            <w:pPr>
              <w:jc w:val="right"/>
              <w:ind w:right="169"/>
              <w:spacing w:after="0"/>
              <w:rPr>
                <w:sz w:val="20"/>
                <w:szCs w:val="20"/>
                <w:color w:val="auto"/>
              </w:rPr>
            </w:pPr>
            <w:r>
              <w:rPr>
                <w:rFonts w:ascii="Arial" w:cs="Arial" w:eastAsia="Arial" w:hAnsi="Arial"/>
                <w:sz w:val="14"/>
                <w:szCs w:val="14"/>
                <w:color w:val="auto"/>
              </w:rPr>
              <w:t>3,423</w:t>
            </w:r>
          </w:p>
        </w:tc>
        <w:tc>
          <w:tcPr>
            <w:tcW w:w="900" w:type="dxa"/>
            <w:vAlign w:val="bottom"/>
          </w:tcPr>
          <w:p>
            <w:pPr>
              <w:jc w:val="right"/>
              <w:ind w:right="149"/>
              <w:spacing w:after="0"/>
              <w:rPr>
                <w:sz w:val="20"/>
                <w:szCs w:val="20"/>
                <w:color w:val="auto"/>
              </w:rPr>
            </w:pPr>
            <w:r>
              <w:rPr>
                <w:rFonts w:ascii="Arial" w:cs="Arial" w:eastAsia="Arial" w:hAnsi="Arial"/>
                <w:sz w:val="14"/>
                <w:szCs w:val="14"/>
                <w:color w:val="auto"/>
              </w:rPr>
              <w:t>154</w:t>
            </w:r>
          </w:p>
        </w:tc>
        <w:tc>
          <w:tcPr>
            <w:tcW w:w="1080" w:type="dxa"/>
            <w:vAlign w:val="bottom"/>
          </w:tcPr>
          <w:p>
            <w:pPr>
              <w:jc w:val="right"/>
              <w:ind w:right="149"/>
              <w:spacing w:after="0"/>
              <w:rPr>
                <w:sz w:val="20"/>
                <w:szCs w:val="20"/>
                <w:color w:val="auto"/>
              </w:rPr>
            </w:pPr>
            <w:r>
              <w:rPr>
                <w:rFonts w:ascii="Arial" w:cs="Arial" w:eastAsia="Arial" w:hAnsi="Arial"/>
                <w:sz w:val="14"/>
                <w:szCs w:val="14"/>
                <w:color w:val="auto"/>
              </w:rPr>
              <w:t>63</w:t>
            </w:r>
          </w:p>
        </w:tc>
        <w:tc>
          <w:tcPr>
            <w:tcW w:w="1120" w:type="dxa"/>
            <w:vAlign w:val="bottom"/>
          </w:tcPr>
          <w:p>
            <w:pPr>
              <w:jc w:val="right"/>
              <w:ind w:right="229"/>
              <w:spacing w:after="0"/>
              <w:rPr>
                <w:sz w:val="20"/>
                <w:szCs w:val="20"/>
                <w:color w:val="auto"/>
              </w:rPr>
            </w:pPr>
            <w:r>
              <w:rPr>
                <w:rFonts w:ascii="Arial" w:cs="Arial" w:eastAsia="Arial" w:hAnsi="Arial"/>
                <w:sz w:val="14"/>
                <w:szCs w:val="14"/>
                <w:color w:val="auto"/>
              </w:rPr>
              <w:t>2,028</w:t>
            </w:r>
          </w:p>
        </w:tc>
        <w:tc>
          <w:tcPr>
            <w:tcW w:w="1220" w:type="dxa"/>
            <w:vAlign w:val="bottom"/>
          </w:tcPr>
          <w:p>
            <w:pPr>
              <w:jc w:val="right"/>
              <w:ind w:right="10"/>
              <w:spacing w:after="0"/>
              <w:rPr>
                <w:sz w:val="20"/>
                <w:szCs w:val="20"/>
                <w:color w:val="auto"/>
              </w:rPr>
            </w:pPr>
            <w:r>
              <w:rPr>
                <w:rFonts w:ascii="Arial" w:cs="Arial" w:eastAsia="Arial" w:hAnsi="Arial"/>
                <w:sz w:val="14"/>
                <w:szCs w:val="14"/>
                <w:color w:val="auto"/>
              </w:rPr>
              <w:t>(9,420)</w:t>
            </w:r>
          </w:p>
        </w:tc>
        <w:tc>
          <w:tcPr>
            <w:tcW w:w="960" w:type="dxa"/>
            <w:vAlign w:val="bottom"/>
          </w:tcPr>
          <w:p>
            <w:pPr>
              <w:jc w:val="right"/>
              <w:ind w:right="8"/>
              <w:spacing w:after="0"/>
              <w:rPr>
                <w:sz w:val="20"/>
                <w:szCs w:val="20"/>
                <w:color w:val="auto"/>
              </w:rPr>
            </w:pPr>
            <w:r>
              <w:rPr>
                <w:rFonts w:ascii="Arial" w:cs="Arial" w:eastAsia="Arial" w:hAnsi="Arial"/>
                <w:sz w:val="14"/>
                <w:szCs w:val="14"/>
                <w:color w:val="auto"/>
              </w:rPr>
              <w:t>(3,752)</w:t>
            </w:r>
          </w:p>
        </w:tc>
      </w:tr>
      <w:tr>
        <w:trPr>
          <w:trHeight w:val="162"/>
        </w:trPr>
        <w:tc>
          <w:tcPr>
            <w:tcW w:w="5280" w:type="dxa"/>
            <w:vAlign w:val="bottom"/>
          </w:tcPr>
          <w:p>
            <w:pPr>
              <w:spacing w:after="0"/>
              <w:rPr>
                <w:sz w:val="20"/>
                <w:szCs w:val="20"/>
                <w:color w:val="auto"/>
              </w:rPr>
            </w:pPr>
            <w:r>
              <w:rPr>
                <w:rFonts w:ascii="Arial" w:cs="Arial" w:eastAsia="Arial" w:hAnsi="Arial"/>
                <w:sz w:val="14"/>
                <w:szCs w:val="14"/>
                <w:color w:val="auto"/>
              </w:rPr>
              <w:t>Other comprehensive income attributable to Royal Dutch Shell plc shareholders</w:t>
            </w:r>
          </w:p>
        </w:tc>
        <w:tc>
          <w:tcPr>
            <w:tcW w:w="860" w:type="dxa"/>
            <w:vAlign w:val="bottom"/>
          </w:tcPr>
          <w:p>
            <w:pPr>
              <w:jc w:val="right"/>
              <w:ind w:right="169"/>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149"/>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149"/>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229"/>
              <w:spacing w:after="0"/>
              <w:rPr>
                <w:sz w:val="20"/>
                <w:szCs w:val="20"/>
                <w:color w:val="auto"/>
              </w:rPr>
            </w:pPr>
            <w:r>
              <w:rPr>
                <w:rFonts w:ascii="Arial" w:cs="Arial" w:eastAsia="Arial" w:hAnsi="Arial"/>
                <w:sz w:val="14"/>
                <w:szCs w:val="14"/>
                <w:color w:val="auto"/>
              </w:rPr>
              <w:t>–</w:t>
            </w:r>
          </w:p>
        </w:tc>
        <w:tc>
          <w:tcPr>
            <w:tcW w:w="1220" w:type="dxa"/>
            <w:vAlign w:val="bottom"/>
          </w:tcPr>
          <w:p>
            <w:pPr>
              <w:jc w:val="right"/>
              <w:ind w:right="70"/>
              <w:spacing w:after="0"/>
              <w:rPr>
                <w:sz w:val="20"/>
                <w:szCs w:val="20"/>
                <w:color w:val="auto"/>
              </w:rPr>
            </w:pPr>
            <w:r>
              <w:rPr>
                <w:rFonts w:ascii="Arial" w:cs="Arial" w:eastAsia="Arial" w:hAnsi="Arial"/>
                <w:sz w:val="14"/>
                <w:szCs w:val="14"/>
                <w:color w:val="auto"/>
              </w:rPr>
              <w:t>1,872</w:t>
            </w:r>
          </w:p>
        </w:tc>
        <w:tc>
          <w:tcPr>
            <w:tcW w:w="960" w:type="dxa"/>
            <w:vAlign w:val="bottom"/>
          </w:tcPr>
          <w:p>
            <w:pPr>
              <w:jc w:val="right"/>
              <w:ind w:right="48"/>
              <w:spacing w:after="0"/>
              <w:rPr>
                <w:sz w:val="20"/>
                <w:szCs w:val="20"/>
                <w:color w:val="auto"/>
              </w:rPr>
            </w:pPr>
            <w:r>
              <w:rPr>
                <w:rFonts w:ascii="Arial" w:cs="Arial" w:eastAsia="Arial" w:hAnsi="Arial"/>
                <w:sz w:val="14"/>
                <w:szCs w:val="14"/>
                <w:color w:val="auto"/>
              </w:rPr>
              <w:t>1,872</w:t>
            </w:r>
          </w:p>
        </w:tc>
      </w:tr>
      <w:tr>
        <w:trPr>
          <w:trHeight w:val="162"/>
        </w:trPr>
        <w:tc>
          <w:tcPr>
            <w:tcW w:w="5280" w:type="dxa"/>
            <w:vAlign w:val="bottom"/>
          </w:tcPr>
          <w:p>
            <w:pPr>
              <w:spacing w:after="0"/>
              <w:rPr>
                <w:sz w:val="20"/>
                <w:szCs w:val="20"/>
                <w:color w:val="auto"/>
              </w:rPr>
            </w:pPr>
            <w:r>
              <w:rPr>
                <w:rFonts w:ascii="Arial" w:cs="Arial" w:eastAsia="Arial" w:hAnsi="Arial"/>
                <w:sz w:val="14"/>
                <w:szCs w:val="14"/>
                <w:color w:val="auto"/>
              </w:rPr>
              <w:t>Scrip dividends</w:t>
            </w:r>
          </w:p>
        </w:tc>
        <w:tc>
          <w:tcPr>
            <w:tcW w:w="860" w:type="dxa"/>
            <w:vAlign w:val="bottom"/>
          </w:tcPr>
          <w:p>
            <w:pPr>
              <w:jc w:val="right"/>
              <w:ind w:right="129"/>
              <w:spacing w:after="0"/>
              <w:rPr>
                <w:sz w:val="20"/>
                <w:szCs w:val="20"/>
                <w:color w:val="auto"/>
              </w:rPr>
            </w:pPr>
            <w:r>
              <w:rPr>
                <w:rFonts w:ascii="Arial" w:cs="Arial" w:eastAsia="Arial" w:hAnsi="Arial"/>
                <w:sz w:val="14"/>
                <w:szCs w:val="14"/>
                <w:color w:val="auto"/>
              </w:rPr>
              <w:t>(12)</w:t>
            </w:r>
          </w:p>
        </w:tc>
        <w:tc>
          <w:tcPr>
            <w:tcW w:w="900" w:type="dxa"/>
            <w:vAlign w:val="bottom"/>
          </w:tcPr>
          <w:p>
            <w:pPr>
              <w:jc w:val="right"/>
              <w:ind w:right="149"/>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149"/>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229"/>
              <w:spacing w:after="0"/>
              <w:rPr>
                <w:sz w:val="20"/>
                <w:szCs w:val="20"/>
                <w:color w:val="auto"/>
              </w:rPr>
            </w:pPr>
            <w:r>
              <w:rPr>
                <w:rFonts w:ascii="Arial" w:cs="Arial" w:eastAsia="Arial" w:hAnsi="Arial"/>
                <w:sz w:val="14"/>
                <w:szCs w:val="14"/>
                <w:color w:val="auto"/>
              </w:rPr>
              <w:t>–</w:t>
            </w:r>
          </w:p>
        </w:tc>
        <w:tc>
          <w:tcPr>
            <w:tcW w:w="1220" w:type="dxa"/>
            <w:vAlign w:val="bottom"/>
          </w:tcPr>
          <w:p>
            <w:pPr>
              <w:jc w:val="right"/>
              <w:ind w:right="70"/>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8"/>
              <w:spacing w:after="0"/>
              <w:rPr>
                <w:sz w:val="20"/>
                <w:szCs w:val="20"/>
                <w:color w:val="auto"/>
              </w:rPr>
            </w:pPr>
            <w:r>
              <w:rPr>
                <w:rFonts w:ascii="Arial" w:cs="Arial" w:eastAsia="Arial" w:hAnsi="Arial"/>
                <w:sz w:val="14"/>
                <w:szCs w:val="14"/>
                <w:color w:val="auto"/>
              </w:rPr>
              <w:t>(12)</w:t>
            </w:r>
          </w:p>
        </w:tc>
      </w:tr>
      <w:tr>
        <w:trPr>
          <w:trHeight w:val="162"/>
        </w:trPr>
        <w:tc>
          <w:tcPr>
            <w:tcW w:w="5280" w:type="dxa"/>
            <w:vAlign w:val="bottom"/>
          </w:tcPr>
          <w:p>
            <w:pPr>
              <w:spacing w:after="0"/>
              <w:rPr>
                <w:sz w:val="20"/>
                <w:szCs w:val="20"/>
                <w:color w:val="auto"/>
              </w:rPr>
            </w:pPr>
            <w:r>
              <w:rPr>
                <w:rFonts w:ascii="Arial" w:cs="Arial" w:eastAsia="Arial" w:hAnsi="Arial"/>
                <w:sz w:val="14"/>
                <w:szCs w:val="14"/>
                <w:color w:val="auto"/>
              </w:rPr>
              <w:t>Repurchases of shares</w:t>
            </w:r>
          </w:p>
        </w:tc>
        <w:tc>
          <w:tcPr>
            <w:tcW w:w="860" w:type="dxa"/>
            <w:vAlign w:val="bottom"/>
          </w:tcPr>
          <w:p>
            <w:pPr>
              <w:jc w:val="right"/>
              <w:ind w:right="169"/>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149"/>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149"/>
              <w:spacing w:after="0"/>
              <w:rPr>
                <w:sz w:val="20"/>
                <w:szCs w:val="20"/>
                <w:color w:val="auto"/>
              </w:rPr>
            </w:pPr>
            <w:r>
              <w:rPr>
                <w:rFonts w:ascii="Arial" w:cs="Arial" w:eastAsia="Arial" w:hAnsi="Arial"/>
                <w:sz w:val="14"/>
                <w:szCs w:val="14"/>
                <w:color w:val="auto"/>
              </w:rPr>
              <w:t>12</w:t>
            </w:r>
          </w:p>
        </w:tc>
        <w:tc>
          <w:tcPr>
            <w:tcW w:w="1120" w:type="dxa"/>
            <w:vAlign w:val="bottom"/>
          </w:tcPr>
          <w:p>
            <w:pPr>
              <w:jc w:val="right"/>
              <w:ind w:right="229"/>
              <w:spacing w:after="0"/>
              <w:rPr>
                <w:sz w:val="20"/>
                <w:szCs w:val="20"/>
                <w:color w:val="auto"/>
              </w:rPr>
            </w:pPr>
            <w:r>
              <w:rPr>
                <w:rFonts w:ascii="Arial" w:cs="Arial" w:eastAsia="Arial" w:hAnsi="Arial"/>
                <w:sz w:val="14"/>
                <w:szCs w:val="14"/>
                <w:color w:val="auto"/>
              </w:rPr>
              <w:t>–</w:t>
            </w:r>
          </w:p>
        </w:tc>
        <w:tc>
          <w:tcPr>
            <w:tcW w:w="1220" w:type="dxa"/>
            <w:vAlign w:val="bottom"/>
          </w:tcPr>
          <w:p>
            <w:pPr>
              <w:jc w:val="right"/>
              <w:ind w:right="70"/>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48"/>
              <w:spacing w:after="0"/>
              <w:rPr>
                <w:sz w:val="20"/>
                <w:szCs w:val="20"/>
                <w:color w:val="auto"/>
              </w:rPr>
            </w:pPr>
            <w:r>
              <w:rPr>
                <w:rFonts w:ascii="Arial" w:cs="Arial" w:eastAsia="Arial" w:hAnsi="Arial"/>
                <w:sz w:val="14"/>
                <w:szCs w:val="14"/>
                <w:color w:val="auto"/>
              </w:rPr>
              <w:t>12</w:t>
            </w:r>
          </w:p>
        </w:tc>
      </w:tr>
      <w:tr>
        <w:trPr>
          <w:trHeight w:val="157"/>
        </w:trPr>
        <w:tc>
          <w:tcPr>
            <w:tcW w:w="5280" w:type="dxa"/>
            <w:vAlign w:val="bottom"/>
            <w:tcBorders>
              <w:bottom w:val="single" w:sz="8" w:color="auto"/>
            </w:tcBorders>
          </w:tcPr>
          <w:p>
            <w:pPr>
              <w:spacing w:after="0" w:line="157" w:lineRule="exact"/>
              <w:rPr>
                <w:sz w:val="20"/>
                <w:szCs w:val="20"/>
                <w:color w:val="auto"/>
              </w:rPr>
            </w:pPr>
            <w:r>
              <w:rPr>
                <w:rFonts w:ascii="Arial" w:cs="Arial" w:eastAsia="Arial" w:hAnsi="Arial"/>
                <w:sz w:val="14"/>
                <w:szCs w:val="14"/>
                <w:color w:val="auto"/>
              </w:rPr>
              <w:t>Share-based compensation</w:t>
            </w:r>
          </w:p>
        </w:tc>
        <w:tc>
          <w:tcPr>
            <w:tcW w:w="860" w:type="dxa"/>
            <w:vAlign w:val="bottom"/>
            <w:tcBorders>
              <w:bottom w:val="single" w:sz="8" w:color="auto"/>
            </w:tcBorders>
          </w:tcPr>
          <w:p>
            <w:pPr>
              <w:jc w:val="right"/>
              <w:ind w:right="169"/>
              <w:spacing w:after="0" w:line="157" w:lineRule="exact"/>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right"/>
              <w:ind w:right="149"/>
              <w:spacing w:after="0" w:line="157" w:lineRule="exact"/>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ind w:right="149"/>
              <w:spacing w:after="0" w:line="157" w:lineRule="exact"/>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tcPr>
          <w:p>
            <w:pPr>
              <w:jc w:val="right"/>
              <w:ind w:right="169"/>
              <w:spacing w:after="0" w:line="157" w:lineRule="exact"/>
              <w:rPr>
                <w:sz w:val="20"/>
                <w:szCs w:val="20"/>
                <w:color w:val="auto"/>
              </w:rPr>
            </w:pPr>
            <w:r>
              <w:rPr>
                <w:rFonts w:ascii="Arial" w:cs="Arial" w:eastAsia="Arial" w:hAnsi="Arial"/>
                <w:sz w:val="14"/>
                <w:szCs w:val="14"/>
                <w:color w:val="auto"/>
              </w:rPr>
              <w:t>(157)</w:t>
            </w:r>
          </w:p>
        </w:tc>
        <w:tc>
          <w:tcPr>
            <w:tcW w:w="1220" w:type="dxa"/>
            <w:vAlign w:val="bottom"/>
            <w:tcBorders>
              <w:bottom w:val="single" w:sz="8" w:color="auto"/>
            </w:tcBorders>
          </w:tcPr>
          <w:p>
            <w:pPr>
              <w:jc w:val="right"/>
              <w:ind w:right="70"/>
              <w:spacing w:after="0" w:line="157" w:lineRule="exact"/>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tcPr>
          <w:p>
            <w:pPr>
              <w:jc w:val="right"/>
              <w:ind w:right="8"/>
              <w:spacing w:after="0" w:line="157" w:lineRule="exact"/>
              <w:rPr>
                <w:sz w:val="20"/>
                <w:szCs w:val="20"/>
                <w:color w:val="auto"/>
              </w:rPr>
            </w:pPr>
            <w:r>
              <w:rPr>
                <w:rFonts w:ascii="Arial" w:cs="Arial" w:eastAsia="Arial" w:hAnsi="Arial"/>
                <w:sz w:val="14"/>
                <w:szCs w:val="14"/>
                <w:color w:val="auto"/>
              </w:rPr>
              <w:t>(157)</w:t>
            </w:r>
          </w:p>
        </w:tc>
      </w:tr>
      <w:tr>
        <w:trPr>
          <w:trHeight w:val="156"/>
        </w:trPr>
        <w:tc>
          <w:tcPr>
            <w:tcW w:w="5280" w:type="dxa"/>
            <w:vAlign w:val="bottom"/>
            <w:tcBorders>
              <w:bottom w:val="single" w:sz="8" w:color="auto"/>
            </w:tcBorders>
          </w:tcPr>
          <w:p>
            <w:pPr>
              <w:spacing w:after="0" w:line="155" w:lineRule="exact"/>
              <w:rPr>
                <w:sz w:val="20"/>
                <w:szCs w:val="20"/>
                <w:color w:val="auto"/>
              </w:rPr>
            </w:pPr>
            <w:r>
              <w:rPr>
                <w:rFonts w:ascii="Arial" w:cs="Arial" w:eastAsia="Arial" w:hAnsi="Arial"/>
                <w:sz w:val="14"/>
                <w:szCs w:val="14"/>
                <w:color w:val="auto"/>
              </w:rPr>
              <w:t>At December 31, 2013</w:t>
            </w:r>
          </w:p>
        </w:tc>
        <w:tc>
          <w:tcPr>
            <w:tcW w:w="860" w:type="dxa"/>
            <w:vAlign w:val="bottom"/>
            <w:tcBorders>
              <w:bottom w:val="single" w:sz="8" w:color="auto"/>
            </w:tcBorders>
          </w:tcPr>
          <w:p>
            <w:pPr>
              <w:jc w:val="right"/>
              <w:ind w:right="169"/>
              <w:spacing w:after="0" w:line="155" w:lineRule="exact"/>
              <w:rPr>
                <w:sz w:val="20"/>
                <w:szCs w:val="20"/>
                <w:color w:val="auto"/>
              </w:rPr>
            </w:pPr>
            <w:r>
              <w:rPr>
                <w:rFonts w:ascii="Arial" w:cs="Arial" w:eastAsia="Arial" w:hAnsi="Arial"/>
                <w:sz w:val="14"/>
                <w:szCs w:val="14"/>
                <w:color w:val="auto"/>
              </w:rPr>
              <w:t>3,411</w:t>
            </w:r>
          </w:p>
        </w:tc>
        <w:tc>
          <w:tcPr>
            <w:tcW w:w="900" w:type="dxa"/>
            <w:vAlign w:val="bottom"/>
            <w:tcBorders>
              <w:bottom w:val="single" w:sz="8" w:color="auto"/>
            </w:tcBorders>
          </w:tcPr>
          <w:p>
            <w:pPr>
              <w:jc w:val="right"/>
              <w:ind w:right="149"/>
              <w:spacing w:after="0" w:line="155" w:lineRule="exact"/>
              <w:rPr>
                <w:sz w:val="20"/>
                <w:szCs w:val="20"/>
                <w:color w:val="auto"/>
              </w:rPr>
            </w:pPr>
            <w:r>
              <w:rPr>
                <w:rFonts w:ascii="Arial" w:cs="Arial" w:eastAsia="Arial" w:hAnsi="Arial"/>
                <w:sz w:val="14"/>
                <w:szCs w:val="14"/>
                <w:color w:val="auto"/>
              </w:rPr>
              <w:t>154</w:t>
            </w:r>
          </w:p>
        </w:tc>
        <w:tc>
          <w:tcPr>
            <w:tcW w:w="1080" w:type="dxa"/>
            <w:vAlign w:val="bottom"/>
            <w:tcBorders>
              <w:bottom w:val="single" w:sz="8" w:color="auto"/>
            </w:tcBorders>
          </w:tcPr>
          <w:p>
            <w:pPr>
              <w:jc w:val="right"/>
              <w:ind w:right="149"/>
              <w:spacing w:after="0" w:line="155" w:lineRule="exact"/>
              <w:rPr>
                <w:sz w:val="20"/>
                <w:szCs w:val="20"/>
                <w:color w:val="auto"/>
              </w:rPr>
            </w:pPr>
            <w:r>
              <w:rPr>
                <w:rFonts w:ascii="Arial" w:cs="Arial" w:eastAsia="Arial" w:hAnsi="Arial"/>
                <w:sz w:val="14"/>
                <w:szCs w:val="14"/>
                <w:color w:val="auto"/>
              </w:rPr>
              <w:t>75</w:t>
            </w:r>
          </w:p>
        </w:tc>
        <w:tc>
          <w:tcPr>
            <w:tcW w:w="1120" w:type="dxa"/>
            <w:vAlign w:val="bottom"/>
            <w:tcBorders>
              <w:bottom w:val="single" w:sz="8" w:color="auto"/>
            </w:tcBorders>
          </w:tcPr>
          <w:p>
            <w:pPr>
              <w:jc w:val="right"/>
              <w:ind w:right="229"/>
              <w:spacing w:after="0" w:line="155" w:lineRule="exact"/>
              <w:rPr>
                <w:sz w:val="20"/>
                <w:szCs w:val="20"/>
                <w:color w:val="auto"/>
              </w:rPr>
            </w:pPr>
            <w:r>
              <w:rPr>
                <w:rFonts w:ascii="Arial" w:cs="Arial" w:eastAsia="Arial" w:hAnsi="Arial"/>
                <w:sz w:val="14"/>
                <w:szCs w:val="14"/>
                <w:color w:val="auto"/>
              </w:rPr>
              <w:t>1,871</w:t>
            </w:r>
          </w:p>
        </w:tc>
        <w:tc>
          <w:tcPr>
            <w:tcW w:w="1220" w:type="dxa"/>
            <w:vAlign w:val="bottom"/>
            <w:tcBorders>
              <w:bottom w:val="single" w:sz="8" w:color="auto"/>
            </w:tcBorders>
          </w:tcPr>
          <w:p>
            <w:pPr>
              <w:jc w:val="right"/>
              <w:ind w:right="10"/>
              <w:spacing w:after="0" w:line="155" w:lineRule="exact"/>
              <w:rPr>
                <w:sz w:val="20"/>
                <w:szCs w:val="20"/>
                <w:color w:val="auto"/>
              </w:rPr>
            </w:pPr>
            <w:r>
              <w:rPr>
                <w:rFonts w:ascii="Arial" w:cs="Arial" w:eastAsia="Arial" w:hAnsi="Arial"/>
                <w:sz w:val="14"/>
                <w:szCs w:val="14"/>
                <w:color w:val="auto"/>
              </w:rPr>
              <w:t>(7,548)</w:t>
            </w:r>
          </w:p>
        </w:tc>
        <w:tc>
          <w:tcPr>
            <w:tcW w:w="960" w:type="dxa"/>
            <w:vAlign w:val="bottom"/>
            <w:tcBorders>
              <w:bottom w:val="single" w:sz="8" w:color="auto"/>
            </w:tcBorders>
          </w:tcPr>
          <w:p>
            <w:pPr>
              <w:jc w:val="right"/>
              <w:ind w:right="8"/>
              <w:spacing w:after="0" w:line="155" w:lineRule="exact"/>
              <w:rPr>
                <w:sz w:val="20"/>
                <w:szCs w:val="20"/>
                <w:color w:val="auto"/>
              </w:rPr>
            </w:pPr>
            <w:r>
              <w:rPr>
                <w:rFonts w:ascii="Arial" w:cs="Arial" w:eastAsia="Arial" w:hAnsi="Arial"/>
                <w:sz w:val="14"/>
                <w:szCs w:val="14"/>
                <w:color w:val="auto"/>
              </w:rPr>
              <w:t>(2,037)</w:t>
            </w:r>
          </w:p>
        </w:tc>
      </w:tr>
      <w:tr>
        <w:trPr>
          <w:trHeight w:val="160"/>
        </w:trPr>
        <w:tc>
          <w:tcPr>
            <w:tcW w:w="5280" w:type="dxa"/>
            <w:vAlign w:val="bottom"/>
          </w:tcPr>
          <w:p>
            <w:pPr>
              <w:spacing w:after="0"/>
              <w:rPr>
                <w:sz w:val="20"/>
                <w:szCs w:val="20"/>
                <w:color w:val="auto"/>
              </w:rPr>
            </w:pPr>
            <w:r>
              <w:rPr>
                <w:rFonts w:ascii="Arial" w:cs="Arial" w:eastAsia="Arial" w:hAnsi="Arial"/>
                <w:sz w:val="14"/>
                <w:szCs w:val="14"/>
                <w:color w:val="auto"/>
              </w:rPr>
              <w:t>At January 1, 2012</w:t>
            </w:r>
          </w:p>
        </w:tc>
        <w:tc>
          <w:tcPr>
            <w:tcW w:w="860" w:type="dxa"/>
            <w:vAlign w:val="bottom"/>
          </w:tcPr>
          <w:p>
            <w:pPr>
              <w:jc w:val="right"/>
              <w:ind w:right="169"/>
              <w:spacing w:after="0"/>
              <w:rPr>
                <w:sz w:val="20"/>
                <w:szCs w:val="20"/>
                <w:color w:val="auto"/>
              </w:rPr>
            </w:pPr>
            <w:r>
              <w:rPr>
                <w:rFonts w:ascii="Arial" w:cs="Arial" w:eastAsia="Arial" w:hAnsi="Arial"/>
                <w:sz w:val="14"/>
                <w:szCs w:val="14"/>
                <w:color w:val="auto"/>
              </w:rPr>
              <w:t>3,432</w:t>
            </w:r>
          </w:p>
        </w:tc>
        <w:tc>
          <w:tcPr>
            <w:tcW w:w="900" w:type="dxa"/>
            <w:vAlign w:val="bottom"/>
          </w:tcPr>
          <w:p>
            <w:pPr>
              <w:jc w:val="right"/>
              <w:ind w:right="149"/>
              <w:spacing w:after="0"/>
              <w:rPr>
                <w:sz w:val="20"/>
                <w:szCs w:val="20"/>
                <w:color w:val="auto"/>
              </w:rPr>
            </w:pPr>
            <w:r>
              <w:rPr>
                <w:rFonts w:ascii="Arial" w:cs="Arial" w:eastAsia="Arial" w:hAnsi="Arial"/>
                <w:sz w:val="14"/>
                <w:szCs w:val="14"/>
                <w:color w:val="auto"/>
              </w:rPr>
              <w:t>154</w:t>
            </w:r>
          </w:p>
        </w:tc>
        <w:tc>
          <w:tcPr>
            <w:tcW w:w="1080" w:type="dxa"/>
            <w:vAlign w:val="bottom"/>
          </w:tcPr>
          <w:p>
            <w:pPr>
              <w:jc w:val="right"/>
              <w:ind w:right="149"/>
              <w:spacing w:after="0"/>
              <w:rPr>
                <w:sz w:val="20"/>
                <w:szCs w:val="20"/>
                <w:color w:val="auto"/>
              </w:rPr>
            </w:pPr>
            <w:r>
              <w:rPr>
                <w:rFonts w:ascii="Arial" w:cs="Arial" w:eastAsia="Arial" w:hAnsi="Arial"/>
                <w:sz w:val="14"/>
                <w:szCs w:val="14"/>
                <w:color w:val="auto"/>
              </w:rPr>
              <w:t>60</w:t>
            </w:r>
          </w:p>
        </w:tc>
        <w:tc>
          <w:tcPr>
            <w:tcW w:w="1120" w:type="dxa"/>
            <w:vAlign w:val="bottom"/>
          </w:tcPr>
          <w:p>
            <w:pPr>
              <w:jc w:val="right"/>
              <w:ind w:right="229"/>
              <w:spacing w:after="0"/>
              <w:rPr>
                <w:sz w:val="20"/>
                <w:szCs w:val="20"/>
                <w:color w:val="auto"/>
              </w:rPr>
            </w:pPr>
            <w:r>
              <w:rPr>
                <w:rFonts w:ascii="Arial" w:cs="Arial" w:eastAsia="Arial" w:hAnsi="Arial"/>
                <w:sz w:val="14"/>
                <w:szCs w:val="14"/>
                <w:color w:val="auto"/>
              </w:rPr>
              <w:t>1,571</w:t>
            </w:r>
          </w:p>
        </w:tc>
        <w:tc>
          <w:tcPr>
            <w:tcW w:w="1220" w:type="dxa"/>
            <w:vAlign w:val="bottom"/>
          </w:tcPr>
          <w:p>
            <w:pPr>
              <w:jc w:val="right"/>
              <w:ind w:right="10"/>
              <w:spacing w:after="0"/>
              <w:rPr>
                <w:sz w:val="20"/>
                <w:szCs w:val="20"/>
                <w:color w:val="auto"/>
              </w:rPr>
            </w:pPr>
            <w:r>
              <w:rPr>
                <w:rFonts w:ascii="Arial" w:cs="Arial" w:eastAsia="Arial" w:hAnsi="Arial"/>
                <w:sz w:val="14"/>
                <w:szCs w:val="14"/>
                <w:color w:val="auto"/>
              </w:rPr>
              <w:t>(7,178)</w:t>
            </w:r>
          </w:p>
        </w:tc>
        <w:tc>
          <w:tcPr>
            <w:tcW w:w="960" w:type="dxa"/>
            <w:vAlign w:val="bottom"/>
          </w:tcPr>
          <w:p>
            <w:pPr>
              <w:jc w:val="right"/>
              <w:ind w:right="8"/>
              <w:spacing w:after="0"/>
              <w:rPr>
                <w:sz w:val="20"/>
                <w:szCs w:val="20"/>
                <w:color w:val="auto"/>
              </w:rPr>
            </w:pPr>
            <w:r>
              <w:rPr>
                <w:rFonts w:ascii="Arial" w:cs="Arial" w:eastAsia="Arial" w:hAnsi="Arial"/>
                <w:sz w:val="14"/>
                <w:szCs w:val="14"/>
                <w:color w:val="auto"/>
              </w:rPr>
              <w:t>(1,961)</w:t>
            </w:r>
          </w:p>
        </w:tc>
      </w:tr>
      <w:tr>
        <w:trPr>
          <w:trHeight w:val="162"/>
        </w:trPr>
        <w:tc>
          <w:tcPr>
            <w:tcW w:w="5280" w:type="dxa"/>
            <w:vAlign w:val="bottom"/>
          </w:tcPr>
          <w:p>
            <w:pPr>
              <w:spacing w:after="0"/>
              <w:rPr>
                <w:sz w:val="20"/>
                <w:szCs w:val="20"/>
                <w:color w:val="auto"/>
              </w:rPr>
            </w:pPr>
            <w:r>
              <w:rPr>
                <w:rFonts w:ascii="Arial" w:cs="Arial" w:eastAsia="Arial" w:hAnsi="Arial"/>
                <w:sz w:val="14"/>
                <w:szCs w:val="14"/>
                <w:color w:val="auto"/>
              </w:rPr>
              <w:t>Other comprehensive loss attributable to Royal Dutch Shell plc shareholders</w:t>
            </w:r>
          </w:p>
        </w:tc>
        <w:tc>
          <w:tcPr>
            <w:tcW w:w="860" w:type="dxa"/>
            <w:vAlign w:val="bottom"/>
          </w:tcPr>
          <w:p>
            <w:pPr>
              <w:jc w:val="right"/>
              <w:ind w:right="169"/>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149"/>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149"/>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229"/>
              <w:spacing w:after="0"/>
              <w:rPr>
                <w:sz w:val="20"/>
                <w:szCs w:val="20"/>
                <w:color w:val="auto"/>
              </w:rPr>
            </w:pPr>
            <w:r>
              <w:rPr>
                <w:rFonts w:ascii="Arial" w:cs="Arial" w:eastAsia="Arial" w:hAnsi="Arial"/>
                <w:sz w:val="14"/>
                <w:szCs w:val="14"/>
                <w:color w:val="auto"/>
              </w:rPr>
              <w:t>–</w:t>
            </w:r>
          </w:p>
        </w:tc>
        <w:tc>
          <w:tcPr>
            <w:tcW w:w="1220" w:type="dxa"/>
            <w:vAlign w:val="bottom"/>
          </w:tcPr>
          <w:p>
            <w:pPr>
              <w:jc w:val="right"/>
              <w:ind w:right="10"/>
              <w:spacing w:after="0"/>
              <w:rPr>
                <w:sz w:val="20"/>
                <w:szCs w:val="20"/>
                <w:color w:val="auto"/>
              </w:rPr>
            </w:pPr>
            <w:r>
              <w:rPr>
                <w:rFonts w:ascii="Arial" w:cs="Arial" w:eastAsia="Arial" w:hAnsi="Arial"/>
                <w:sz w:val="14"/>
                <w:szCs w:val="14"/>
                <w:color w:val="auto"/>
              </w:rPr>
              <w:t>(2,242)</w:t>
            </w:r>
          </w:p>
        </w:tc>
        <w:tc>
          <w:tcPr>
            <w:tcW w:w="960" w:type="dxa"/>
            <w:vAlign w:val="bottom"/>
          </w:tcPr>
          <w:p>
            <w:pPr>
              <w:jc w:val="right"/>
              <w:ind w:right="8"/>
              <w:spacing w:after="0"/>
              <w:rPr>
                <w:sz w:val="20"/>
                <w:szCs w:val="20"/>
                <w:color w:val="auto"/>
              </w:rPr>
            </w:pPr>
            <w:r>
              <w:rPr>
                <w:rFonts w:ascii="Arial" w:cs="Arial" w:eastAsia="Arial" w:hAnsi="Arial"/>
                <w:sz w:val="14"/>
                <w:szCs w:val="14"/>
                <w:color w:val="auto"/>
              </w:rPr>
              <w:t>(2,242)</w:t>
            </w:r>
          </w:p>
        </w:tc>
      </w:tr>
      <w:tr>
        <w:trPr>
          <w:trHeight w:val="162"/>
        </w:trPr>
        <w:tc>
          <w:tcPr>
            <w:tcW w:w="5280" w:type="dxa"/>
            <w:vAlign w:val="bottom"/>
          </w:tcPr>
          <w:p>
            <w:pPr>
              <w:spacing w:after="0"/>
              <w:rPr>
                <w:sz w:val="20"/>
                <w:szCs w:val="20"/>
                <w:color w:val="auto"/>
              </w:rPr>
            </w:pPr>
            <w:r>
              <w:rPr>
                <w:rFonts w:ascii="Arial" w:cs="Arial" w:eastAsia="Arial" w:hAnsi="Arial"/>
                <w:sz w:val="14"/>
                <w:szCs w:val="14"/>
                <w:color w:val="auto"/>
              </w:rPr>
              <w:t>Scrip dividends</w:t>
            </w:r>
          </w:p>
        </w:tc>
        <w:tc>
          <w:tcPr>
            <w:tcW w:w="860" w:type="dxa"/>
            <w:vAlign w:val="bottom"/>
          </w:tcPr>
          <w:p>
            <w:pPr>
              <w:jc w:val="right"/>
              <w:ind w:right="129"/>
              <w:spacing w:after="0"/>
              <w:rPr>
                <w:sz w:val="20"/>
                <w:szCs w:val="20"/>
                <w:color w:val="auto"/>
              </w:rPr>
            </w:pPr>
            <w:r>
              <w:rPr>
                <w:rFonts w:ascii="Arial" w:cs="Arial" w:eastAsia="Arial" w:hAnsi="Arial"/>
                <w:sz w:val="14"/>
                <w:szCs w:val="14"/>
                <w:color w:val="auto"/>
              </w:rPr>
              <w:t>(9)</w:t>
            </w:r>
          </w:p>
        </w:tc>
        <w:tc>
          <w:tcPr>
            <w:tcW w:w="900" w:type="dxa"/>
            <w:vAlign w:val="bottom"/>
          </w:tcPr>
          <w:p>
            <w:pPr>
              <w:jc w:val="right"/>
              <w:ind w:right="149"/>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149"/>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229"/>
              <w:spacing w:after="0"/>
              <w:rPr>
                <w:sz w:val="20"/>
                <w:szCs w:val="20"/>
                <w:color w:val="auto"/>
              </w:rPr>
            </w:pPr>
            <w:r>
              <w:rPr>
                <w:rFonts w:ascii="Arial" w:cs="Arial" w:eastAsia="Arial" w:hAnsi="Arial"/>
                <w:sz w:val="14"/>
                <w:szCs w:val="14"/>
                <w:color w:val="auto"/>
              </w:rPr>
              <w:t>–</w:t>
            </w:r>
          </w:p>
        </w:tc>
        <w:tc>
          <w:tcPr>
            <w:tcW w:w="1220" w:type="dxa"/>
            <w:vAlign w:val="bottom"/>
          </w:tcPr>
          <w:p>
            <w:pPr>
              <w:jc w:val="right"/>
              <w:ind w:right="70"/>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8"/>
              <w:spacing w:after="0"/>
              <w:rPr>
                <w:sz w:val="20"/>
                <w:szCs w:val="20"/>
                <w:color w:val="auto"/>
              </w:rPr>
            </w:pPr>
            <w:r>
              <w:rPr>
                <w:rFonts w:ascii="Arial" w:cs="Arial" w:eastAsia="Arial" w:hAnsi="Arial"/>
                <w:sz w:val="14"/>
                <w:szCs w:val="14"/>
                <w:color w:val="auto"/>
              </w:rPr>
              <w:t>(9)</w:t>
            </w:r>
          </w:p>
        </w:tc>
      </w:tr>
      <w:tr>
        <w:trPr>
          <w:trHeight w:val="162"/>
        </w:trPr>
        <w:tc>
          <w:tcPr>
            <w:tcW w:w="5280" w:type="dxa"/>
            <w:vAlign w:val="bottom"/>
          </w:tcPr>
          <w:p>
            <w:pPr>
              <w:spacing w:after="0"/>
              <w:rPr>
                <w:sz w:val="20"/>
                <w:szCs w:val="20"/>
                <w:color w:val="auto"/>
              </w:rPr>
            </w:pPr>
            <w:r>
              <w:rPr>
                <w:rFonts w:ascii="Arial" w:cs="Arial" w:eastAsia="Arial" w:hAnsi="Arial"/>
                <w:sz w:val="14"/>
                <w:szCs w:val="14"/>
                <w:color w:val="auto"/>
              </w:rPr>
              <w:t>Repurchases of shares</w:t>
            </w:r>
          </w:p>
        </w:tc>
        <w:tc>
          <w:tcPr>
            <w:tcW w:w="860" w:type="dxa"/>
            <w:vAlign w:val="bottom"/>
          </w:tcPr>
          <w:p>
            <w:pPr>
              <w:jc w:val="right"/>
              <w:ind w:right="169"/>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149"/>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149"/>
              <w:spacing w:after="0"/>
              <w:rPr>
                <w:sz w:val="20"/>
                <w:szCs w:val="20"/>
                <w:color w:val="auto"/>
              </w:rPr>
            </w:pPr>
            <w:r>
              <w:rPr>
                <w:rFonts w:ascii="Arial" w:cs="Arial" w:eastAsia="Arial" w:hAnsi="Arial"/>
                <w:sz w:val="14"/>
                <w:szCs w:val="14"/>
                <w:color w:val="auto"/>
              </w:rPr>
              <w:t>3</w:t>
            </w:r>
          </w:p>
        </w:tc>
        <w:tc>
          <w:tcPr>
            <w:tcW w:w="1120" w:type="dxa"/>
            <w:vAlign w:val="bottom"/>
          </w:tcPr>
          <w:p>
            <w:pPr>
              <w:jc w:val="right"/>
              <w:ind w:right="229"/>
              <w:spacing w:after="0"/>
              <w:rPr>
                <w:sz w:val="20"/>
                <w:szCs w:val="20"/>
                <w:color w:val="auto"/>
              </w:rPr>
            </w:pPr>
            <w:r>
              <w:rPr>
                <w:rFonts w:ascii="Arial" w:cs="Arial" w:eastAsia="Arial" w:hAnsi="Arial"/>
                <w:sz w:val="14"/>
                <w:szCs w:val="14"/>
                <w:color w:val="auto"/>
              </w:rPr>
              <w:t>–</w:t>
            </w:r>
          </w:p>
        </w:tc>
        <w:tc>
          <w:tcPr>
            <w:tcW w:w="1220" w:type="dxa"/>
            <w:vAlign w:val="bottom"/>
          </w:tcPr>
          <w:p>
            <w:pPr>
              <w:jc w:val="right"/>
              <w:ind w:right="70"/>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48"/>
              <w:spacing w:after="0"/>
              <w:rPr>
                <w:sz w:val="20"/>
                <w:szCs w:val="20"/>
                <w:color w:val="auto"/>
              </w:rPr>
            </w:pPr>
            <w:r>
              <w:rPr>
                <w:rFonts w:ascii="Arial" w:cs="Arial" w:eastAsia="Arial" w:hAnsi="Arial"/>
                <w:sz w:val="14"/>
                <w:szCs w:val="14"/>
                <w:color w:val="auto"/>
              </w:rPr>
              <w:t>3</w:t>
            </w:r>
          </w:p>
        </w:tc>
      </w:tr>
      <w:tr>
        <w:trPr>
          <w:trHeight w:val="157"/>
        </w:trPr>
        <w:tc>
          <w:tcPr>
            <w:tcW w:w="5280" w:type="dxa"/>
            <w:vAlign w:val="bottom"/>
            <w:tcBorders>
              <w:bottom w:val="single" w:sz="8" w:color="auto"/>
            </w:tcBorders>
          </w:tcPr>
          <w:p>
            <w:pPr>
              <w:spacing w:after="0" w:line="157" w:lineRule="exact"/>
              <w:rPr>
                <w:sz w:val="20"/>
                <w:szCs w:val="20"/>
                <w:color w:val="auto"/>
              </w:rPr>
            </w:pPr>
            <w:r>
              <w:rPr>
                <w:rFonts w:ascii="Arial" w:cs="Arial" w:eastAsia="Arial" w:hAnsi="Arial"/>
                <w:sz w:val="14"/>
                <w:szCs w:val="14"/>
                <w:color w:val="auto"/>
              </w:rPr>
              <w:t>Share-based compensation</w:t>
            </w:r>
          </w:p>
        </w:tc>
        <w:tc>
          <w:tcPr>
            <w:tcW w:w="860" w:type="dxa"/>
            <w:vAlign w:val="bottom"/>
            <w:tcBorders>
              <w:bottom w:val="single" w:sz="8" w:color="auto"/>
            </w:tcBorders>
          </w:tcPr>
          <w:p>
            <w:pPr>
              <w:jc w:val="right"/>
              <w:ind w:right="169"/>
              <w:spacing w:after="0" w:line="157" w:lineRule="exact"/>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right"/>
              <w:ind w:right="149"/>
              <w:spacing w:after="0" w:line="157" w:lineRule="exact"/>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ind w:right="149"/>
              <w:spacing w:after="0" w:line="157" w:lineRule="exact"/>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tcPr>
          <w:p>
            <w:pPr>
              <w:jc w:val="right"/>
              <w:ind w:right="229"/>
              <w:spacing w:after="0" w:line="157" w:lineRule="exact"/>
              <w:rPr>
                <w:sz w:val="20"/>
                <w:szCs w:val="20"/>
                <w:color w:val="auto"/>
              </w:rPr>
            </w:pPr>
            <w:r>
              <w:rPr>
                <w:rFonts w:ascii="Arial" w:cs="Arial" w:eastAsia="Arial" w:hAnsi="Arial"/>
                <w:sz w:val="14"/>
                <w:szCs w:val="14"/>
                <w:color w:val="auto"/>
              </w:rPr>
              <w:t>457</w:t>
            </w:r>
          </w:p>
        </w:tc>
        <w:tc>
          <w:tcPr>
            <w:tcW w:w="1220" w:type="dxa"/>
            <w:vAlign w:val="bottom"/>
            <w:tcBorders>
              <w:bottom w:val="single" w:sz="8" w:color="auto"/>
            </w:tcBorders>
          </w:tcPr>
          <w:p>
            <w:pPr>
              <w:jc w:val="right"/>
              <w:ind w:right="70"/>
              <w:spacing w:after="0" w:line="157" w:lineRule="exact"/>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tcPr>
          <w:p>
            <w:pPr>
              <w:jc w:val="right"/>
              <w:ind w:right="48"/>
              <w:spacing w:after="0" w:line="157" w:lineRule="exact"/>
              <w:rPr>
                <w:sz w:val="20"/>
                <w:szCs w:val="20"/>
                <w:color w:val="auto"/>
              </w:rPr>
            </w:pPr>
            <w:r>
              <w:rPr>
                <w:rFonts w:ascii="Arial" w:cs="Arial" w:eastAsia="Arial" w:hAnsi="Arial"/>
                <w:sz w:val="14"/>
                <w:szCs w:val="14"/>
                <w:color w:val="auto"/>
              </w:rPr>
              <w:t>457</w:t>
            </w:r>
          </w:p>
        </w:tc>
      </w:tr>
      <w:tr>
        <w:trPr>
          <w:trHeight w:val="156"/>
        </w:trPr>
        <w:tc>
          <w:tcPr>
            <w:tcW w:w="5280" w:type="dxa"/>
            <w:vAlign w:val="bottom"/>
            <w:tcBorders>
              <w:bottom w:val="single" w:sz="8" w:color="auto"/>
            </w:tcBorders>
          </w:tcPr>
          <w:p>
            <w:pPr>
              <w:spacing w:after="0" w:line="155" w:lineRule="exact"/>
              <w:rPr>
                <w:sz w:val="20"/>
                <w:szCs w:val="20"/>
                <w:color w:val="auto"/>
              </w:rPr>
            </w:pPr>
            <w:r>
              <w:rPr>
                <w:rFonts w:ascii="Arial" w:cs="Arial" w:eastAsia="Arial" w:hAnsi="Arial"/>
                <w:sz w:val="14"/>
                <w:szCs w:val="14"/>
                <w:color w:val="auto"/>
              </w:rPr>
              <w:t>At December 31, 2012</w:t>
            </w:r>
          </w:p>
        </w:tc>
        <w:tc>
          <w:tcPr>
            <w:tcW w:w="860" w:type="dxa"/>
            <w:vAlign w:val="bottom"/>
            <w:tcBorders>
              <w:bottom w:val="single" w:sz="8" w:color="auto"/>
            </w:tcBorders>
          </w:tcPr>
          <w:p>
            <w:pPr>
              <w:jc w:val="right"/>
              <w:ind w:right="169"/>
              <w:spacing w:after="0" w:line="155" w:lineRule="exact"/>
              <w:rPr>
                <w:sz w:val="20"/>
                <w:szCs w:val="20"/>
                <w:color w:val="auto"/>
              </w:rPr>
            </w:pPr>
            <w:r>
              <w:rPr>
                <w:rFonts w:ascii="Arial" w:cs="Arial" w:eastAsia="Arial" w:hAnsi="Arial"/>
                <w:sz w:val="14"/>
                <w:szCs w:val="14"/>
                <w:color w:val="auto"/>
              </w:rPr>
              <w:t>3,423</w:t>
            </w:r>
          </w:p>
        </w:tc>
        <w:tc>
          <w:tcPr>
            <w:tcW w:w="900" w:type="dxa"/>
            <w:vAlign w:val="bottom"/>
            <w:tcBorders>
              <w:bottom w:val="single" w:sz="8" w:color="auto"/>
            </w:tcBorders>
          </w:tcPr>
          <w:p>
            <w:pPr>
              <w:jc w:val="right"/>
              <w:ind w:right="149"/>
              <w:spacing w:after="0" w:line="155" w:lineRule="exact"/>
              <w:rPr>
                <w:sz w:val="20"/>
                <w:szCs w:val="20"/>
                <w:color w:val="auto"/>
              </w:rPr>
            </w:pPr>
            <w:r>
              <w:rPr>
                <w:rFonts w:ascii="Arial" w:cs="Arial" w:eastAsia="Arial" w:hAnsi="Arial"/>
                <w:sz w:val="14"/>
                <w:szCs w:val="14"/>
                <w:color w:val="auto"/>
              </w:rPr>
              <w:t>154</w:t>
            </w:r>
          </w:p>
        </w:tc>
        <w:tc>
          <w:tcPr>
            <w:tcW w:w="1080" w:type="dxa"/>
            <w:vAlign w:val="bottom"/>
            <w:tcBorders>
              <w:bottom w:val="single" w:sz="8" w:color="auto"/>
            </w:tcBorders>
          </w:tcPr>
          <w:p>
            <w:pPr>
              <w:jc w:val="right"/>
              <w:ind w:right="149"/>
              <w:spacing w:after="0" w:line="155" w:lineRule="exact"/>
              <w:rPr>
                <w:sz w:val="20"/>
                <w:szCs w:val="20"/>
                <w:color w:val="auto"/>
              </w:rPr>
            </w:pPr>
            <w:r>
              <w:rPr>
                <w:rFonts w:ascii="Arial" w:cs="Arial" w:eastAsia="Arial" w:hAnsi="Arial"/>
                <w:sz w:val="14"/>
                <w:szCs w:val="14"/>
                <w:color w:val="auto"/>
              </w:rPr>
              <w:t>63</w:t>
            </w:r>
          </w:p>
        </w:tc>
        <w:tc>
          <w:tcPr>
            <w:tcW w:w="1120" w:type="dxa"/>
            <w:vAlign w:val="bottom"/>
            <w:tcBorders>
              <w:bottom w:val="single" w:sz="8" w:color="auto"/>
            </w:tcBorders>
          </w:tcPr>
          <w:p>
            <w:pPr>
              <w:jc w:val="right"/>
              <w:ind w:right="229"/>
              <w:spacing w:after="0" w:line="155" w:lineRule="exact"/>
              <w:rPr>
                <w:sz w:val="20"/>
                <w:szCs w:val="20"/>
                <w:color w:val="auto"/>
              </w:rPr>
            </w:pPr>
            <w:r>
              <w:rPr>
                <w:rFonts w:ascii="Arial" w:cs="Arial" w:eastAsia="Arial" w:hAnsi="Arial"/>
                <w:sz w:val="14"/>
                <w:szCs w:val="14"/>
                <w:color w:val="auto"/>
              </w:rPr>
              <w:t>2,028</w:t>
            </w:r>
          </w:p>
        </w:tc>
        <w:tc>
          <w:tcPr>
            <w:tcW w:w="1220" w:type="dxa"/>
            <w:vAlign w:val="bottom"/>
            <w:tcBorders>
              <w:bottom w:val="single" w:sz="8" w:color="auto"/>
            </w:tcBorders>
          </w:tcPr>
          <w:p>
            <w:pPr>
              <w:jc w:val="right"/>
              <w:ind w:right="10"/>
              <w:spacing w:after="0" w:line="155" w:lineRule="exact"/>
              <w:rPr>
                <w:sz w:val="20"/>
                <w:szCs w:val="20"/>
                <w:color w:val="auto"/>
              </w:rPr>
            </w:pPr>
            <w:r>
              <w:rPr>
                <w:rFonts w:ascii="Arial" w:cs="Arial" w:eastAsia="Arial" w:hAnsi="Arial"/>
                <w:sz w:val="14"/>
                <w:szCs w:val="14"/>
                <w:color w:val="auto"/>
              </w:rPr>
              <w:t>(9,420)</w:t>
            </w:r>
          </w:p>
        </w:tc>
        <w:tc>
          <w:tcPr>
            <w:tcW w:w="960" w:type="dxa"/>
            <w:vAlign w:val="bottom"/>
            <w:tcBorders>
              <w:bottom w:val="single" w:sz="8" w:color="auto"/>
            </w:tcBorders>
          </w:tcPr>
          <w:p>
            <w:pPr>
              <w:jc w:val="right"/>
              <w:ind w:right="8"/>
              <w:spacing w:after="0" w:line="155" w:lineRule="exact"/>
              <w:rPr>
                <w:sz w:val="20"/>
                <w:szCs w:val="20"/>
                <w:color w:val="auto"/>
              </w:rPr>
            </w:pPr>
            <w:r>
              <w:rPr>
                <w:rFonts w:ascii="Arial" w:cs="Arial" w:eastAsia="Arial" w:hAnsi="Arial"/>
                <w:sz w:val="14"/>
                <w:szCs w:val="14"/>
                <w:color w:val="auto"/>
              </w:rPr>
              <w:t>(3,752)</w:t>
            </w:r>
          </w:p>
        </w:tc>
      </w:tr>
    </w:tbl>
    <w:p>
      <w:pPr>
        <w:sectPr>
          <w:pgSz w:w="11900" w:h="16838" w:orient="portrait"/>
          <w:cols w:equalWidth="0" w:num="1">
            <w:col w:w="11420"/>
          </w:cols>
          <w:pgMar w:left="240" w:top="459" w:right="239" w:bottom="1440" w:gutter="0" w:footer="0" w:header="0"/>
        </w:sectPr>
      </w:pPr>
    </w:p>
    <w:bookmarkStart w:id="139" w:name="page140"/>
    <w:bookmarkEnd w:id="1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300355</wp:posOffset>
            </wp:positionV>
            <wp:extent cx="3533140" cy="462915"/>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3533140" cy="462915"/>
                    </a:xfrm>
                    <a:prstGeom prst="rect">
                      <a:avLst/>
                    </a:prstGeom>
                    <a:noFill/>
                  </pic:spPr>
                </pic:pic>
              </a:graphicData>
            </a:graphic>
          </wp:anchor>
        </w:drawing>
      </w:r>
    </w:p>
    <w:p>
      <w:pPr>
        <w:spacing w:after="0" w:line="200" w:lineRule="exact"/>
        <w:rPr>
          <w:sz w:val="20"/>
          <w:szCs w:val="20"/>
          <w:color w:val="auto"/>
        </w:rPr>
      </w:pP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419"/>
        </w:trPr>
        <w:tc>
          <w:tcPr>
            <w:tcW w:w="1220" w:type="dxa"/>
            <w:vAlign w:val="bottom"/>
            <w:shd w:val="clear" w:color="auto" w:fill="FF8B00"/>
          </w:tcPr>
          <w:p>
            <w:pPr>
              <w:spacing w:after="0"/>
              <w:rPr>
                <w:sz w:val="24"/>
                <w:szCs w:val="24"/>
                <w:color w:val="auto"/>
              </w:rPr>
            </w:pPr>
          </w:p>
        </w:tc>
        <w:tc>
          <w:tcPr>
            <w:tcW w:w="4360" w:type="dxa"/>
            <w:vAlign w:val="bottom"/>
            <w:shd w:val="clear" w:color="auto" w:fill="FF8B00"/>
          </w:tcPr>
          <w:p>
            <w:pPr>
              <w:spacing w:after="0"/>
              <w:rPr>
                <w:sz w:val="24"/>
                <w:szCs w:val="24"/>
                <w:color w:val="auto"/>
              </w:rPr>
            </w:pPr>
          </w:p>
        </w:tc>
      </w:tr>
      <w:tr>
        <w:trPr>
          <w:trHeight w:val="152"/>
        </w:trPr>
        <w:tc>
          <w:tcPr>
            <w:tcW w:w="1220" w:type="dxa"/>
            <w:vAlign w:val="bottom"/>
          </w:tcPr>
          <w:p>
            <w:pPr>
              <w:jc w:val="right"/>
              <w:ind w:right="726"/>
              <w:spacing w:after="0"/>
              <w:rPr>
                <w:sz w:val="20"/>
                <w:szCs w:val="20"/>
                <w:color w:val="auto"/>
              </w:rPr>
            </w:pPr>
            <w:r>
              <w:rPr>
                <w:rFonts w:ascii="Arial" w:cs="Arial" w:eastAsia="Arial" w:hAnsi="Arial"/>
                <w:sz w:val="11"/>
                <w:szCs w:val="11"/>
                <w:b w:val="1"/>
                <w:bCs w:val="1"/>
                <w:color w:val="333333"/>
              </w:rPr>
              <w:t>138</w:t>
            </w:r>
          </w:p>
        </w:tc>
        <w:tc>
          <w:tcPr>
            <w:tcW w:w="4360" w:type="dxa"/>
            <w:vAlign w:val="bottom"/>
          </w:tcPr>
          <w:p>
            <w:pPr>
              <w:ind w:left="780"/>
              <w:spacing w:after="0"/>
              <w:rPr>
                <w:sz w:val="20"/>
                <w:szCs w:val="20"/>
                <w:color w:val="auto"/>
              </w:rPr>
            </w:pPr>
            <w:r>
              <w:rPr>
                <w:rFonts w:ascii="Arial" w:cs="Arial" w:eastAsia="Arial" w:hAnsi="Arial"/>
                <w:sz w:val="13"/>
                <w:szCs w:val="13"/>
                <w:color w:val="333333"/>
              </w:rPr>
              <w:t>FINANCIAL STATEMENTS AND SUPPLEMENTS</w:t>
            </w:r>
          </w:p>
        </w:tc>
      </w:tr>
    </w:tbl>
    <w:p>
      <w:pPr>
        <w:spacing w:after="0" w:line="150" w:lineRule="exact"/>
        <w:rPr>
          <w:sz w:val="20"/>
          <w:szCs w:val="20"/>
          <w:color w:val="auto"/>
        </w:rPr>
      </w:pPr>
    </w:p>
    <w:p>
      <w:pPr>
        <w:jc w:val="right"/>
        <w:spacing w:after="0"/>
        <w:tabs>
          <w:tab w:leader="none" w:pos="2380" w:val="left"/>
        </w:tabs>
        <w:rPr>
          <w:sz w:val="20"/>
          <w:szCs w:val="20"/>
          <w:color w:val="auto"/>
        </w:rPr>
      </w:pPr>
      <w:r>
        <w:rPr>
          <w:rFonts w:ascii="Arial" w:cs="Arial" w:eastAsia="Arial" w:hAnsi="Arial"/>
          <w:sz w:val="11"/>
          <w:szCs w:val="11"/>
          <w:color w:val="auto"/>
        </w:rPr>
        <w:t>CONSOLIDATED FINANCIAL STATEMENTS</w:t>
      </w:r>
      <w:r>
        <w:rPr>
          <w:sz w:val="20"/>
          <w:szCs w:val="20"/>
          <w:color w:val="auto"/>
        </w:rPr>
        <w:tab/>
      </w:r>
      <w:r>
        <w:rPr>
          <w:rFonts w:ascii="Arial" w:cs="Arial" w:eastAsia="Arial" w:hAnsi="Arial"/>
          <w:sz w:val="10"/>
          <w:szCs w:val="10"/>
          <w:color w:val="auto"/>
        </w:rPr>
        <w:t>SHELL ANNUAL REPORT AND FORM 20-F 2014</w:t>
      </w:r>
    </w:p>
    <w:p>
      <w:pPr>
        <w:spacing w:after="0"/>
        <w:rPr>
          <w:sz w:val="20"/>
          <w:szCs w:val="20"/>
          <w:color w:val="auto"/>
        </w:rPr>
      </w:pPr>
      <w:r>
        <w:rPr>
          <w:rFonts w:ascii="Arial" w:cs="Arial" w:eastAsia="Arial" w:hAnsi="Arial"/>
          <w:sz w:val="11"/>
          <w:szCs w:val="11"/>
          <w:color w:val="auto"/>
        </w:rPr>
        <w:t>[Note 22 continued]</w:t>
      </w:r>
    </w:p>
    <w:p>
      <w:pPr>
        <w:spacing w:after="0" w:line="3" w:lineRule="exact"/>
        <w:rPr>
          <w:sz w:val="20"/>
          <w:szCs w:val="20"/>
          <w:color w:val="auto"/>
        </w:rPr>
      </w:pPr>
    </w:p>
    <w:p>
      <w:pPr>
        <w:ind w:right="160"/>
        <w:spacing w:after="0" w:line="247" w:lineRule="auto"/>
        <w:rPr>
          <w:sz w:val="20"/>
          <w:szCs w:val="20"/>
          <w:color w:val="auto"/>
        </w:rPr>
      </w:pPr>
      <w:r>
        <w:rPr>
          <w:rFonts w:ascii="Arial" w:cs="Arial" w:eastAsia="Arial" w:hAnsi="Arial"/>
          <w:sz w:val="14"/>
          <w:szCs w:val="14"/>
          <w:color w:val="auto"/>
        </w:rPr>
        <w:t>The merger reserve and share premium reserve were established as a consequence of the Company becoming the single parent company of Royal Dutch Petroleum Company and The “Shell” Transport and Trading Company, p.l.c., now The Shell Transport and Trading Company Limited, in 2005. The capital redemption reserve was established in connection with repurchases of shares of the Company. The share plan reserve is maintained in respect of equity-settled share-based compensation plans (see Note 21); related current and deferred taxation reflected directly within equity increased by $5 million in 2014 (2013: $5 million decrease; 2012: $7 million decrease).</w:t>
      </w:r>
    </w:p>
    <w:p>
      <w:pPr>
        <w:spacing w:after="0" w:line="175" w:lineRule="exact"/>
        <w:rPr>
          <w:sz w:val="20"/>
          <w:szCs w:val="20"/>
          <w:color w:val="auto"/>
        </w:rPr>
      </w:pPr>
    </w:p>
    <w:p>
      <w:pPr>
        <w:spacing w:after="0"/>
        <w:rPr>
          <w:sz w:val="20"/>
          <w:szCs w:val="20"/>
          <w:color w:val="auto"/>
        </w:rPr>
      </w:pPr>
      <w:r>
        <w:rPr>
          <w:rFonts w:ascii="Arial" w:cs="Arial" w:eastAsia="Arial" w:hAnsi="Arial"/>
          <w:sz w:val="14"/>
          <w:szCs w:val="14"/>
          <w:color w:val="auto"/>
        </w:rPr>
        <w:t>Accumulated other comprehensive income comprises the following:</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3800" w:type="dxa"/>
            <w:vAlign w:val="bottom"/>
            <w:shd w:val="clear" w:color="auto" w:fill="333333"/>
          </w:tcPr>
          <w:p>
            <w:pPr>
              <w:ind w:left="80"/>
              <w:spacing w:after="0"/>
              <w:rPr>
                <w:sz w:val="20"/>
                <w:szCs w:val="20"/>
                <w:color w:val="auto"/>
              </w:rPr>
            </w:pPr>
            <w:r>
              <w:rPr>
                <w:rFonts w:ascii="Arial" w:cs="Arial" w:eastAsia="Arial" w:hAnsi="Arial"/>
                <w:sz w:val="15"/>
                <w:szCs w:val="15"/>
                <w:b w:val="1"/>
                <w:bCs w:val="1"/>
                <w:color w:val="FFFFFF"/>
              </w:rPr>
              <w:t>2014</w:t>
            </w:r>
          </w:p>
        </w:tc>
        <w:tc>
          <w:tcPr>
            <w:tcW w:w="1620" w:type="dxa"/>
            <w:vAlign w:val="bottom"/>
            <w:shd w:val="clear" w:color="auto" w:fill="333333"/>
          </w:tcPr>
          <w:p>
            <w:pPr>
              <w:spacing w:after="0"/>
              <w:rPr>
                <w:sz w:val="14"/>
                <w:szCs w:val="14"/>
                <w:color w:val="auto"/>
              </w:rPr>
            </w:pPr>
          </w:p>
        </w:tc>
        <w:tc>
          <w:tcPr>
            <w:tcW w:w="840" w:type="dxa"/>
            <w:vAlign w:val="bottom"/>
            <w:shd w:val="clear" w:color="auto" w:fill="333333"/>
          </w:tcPr>
          <w:p>
            <w:pPr>
              <w:spacing w:after="0"/>
              <w:rPr>
                <w:sz w:val="14"/>
                <w:szCs w:val="14"/>
                <w:color w:val="auto"/>
              </w:rPr>
            </w:pPr>
          </w:p>
        </w:tc>
        <w:tc>
          <w:tcPr>
            <w:tcW w:w="620" w:type="dxa"/>
            <w:vAlign w:val="bottom"/>
            <w:shd w:val="clear" w:color="auto" w:fill="333333"/>
          </w:tcPr>
          <w:p>
            <w:pPr>
              <w:spacing w:after="0"/>
              <w:rPr>
                <w:sz w:val="14"/>
                <w:szCs w:val="14"/>
                <w:color w:val="auto"/>
              </w:rPr>
            </w:pPr>
          </w:p>
        </w:tc>
        <w:tc>
          <w:tcPr>
            <w:tcW w:w="780" w:type="dxa"/>
            <w:vAlign w:val="bottom"/>
            <w:shd w:val="clear" w:color="auto" w:fill="333333"/>
          </w:tcPr>
          <w:p>
            <w:pPr>
              <w:spacing w:after="0"/>
              <w:rPr>
                <w:sz w:val="14"/>
                <w:szCs w:val="14"/>
                <w:color w:val="auto"/>
              </w:rPr>
            </w:pPr>
          </w:p>
        </w:tc>
        <w:tc>
          <w:tcPr>
            <w:tcW w:w="980" w:type="dxa"/>
            <w:vAlign w:val="bottom"/>
            <w:shd w:val="clear" w:color="auto" w:fill="333333"/>
          </w:tcPr>
          <w:p>
            <w:pPr>
              <w:spacing w:after="0"/>
              <w:rPr>
                <w:sz w:val="14"/>
                <w:szCs w:val="14"/>
                <w:color w:val="auto"/>
              </w:rPr>
            </w:pPr>
          </w:p>
        </w:tc>
        <w:tc>
          <w:tcPr>
            <w:tcW w:w="960" w:type="dxa"/>
            <w:vAlign w:val="bottom"/>
            <w:shd w:val="clear" w:color="auto" w:fill="333333"/>
          </w:tcPr>
          <w:p>
            <w:pPr>
              <w:spacing w:after="0"/>
              <w:rPr>
                <w:sz w:val="14"/>
                <w:szCs w:val="14"/>
                <w:color w:val="auto"/>
              </w:rPr>
            </w:pPr>
          </w:p>
        </w:tc>
        <w:tc>
          <w:tcPr>
            <w:tcW w:w="960" w:type="dxa"/>
            <w:vAlign w:val="bottom"/>
            <w:shd w:val="clear" w:color="auto" w:fill="333333"/>
          </w:tcPr>
          <w:p>
            <w:pPr>
              <w:spacing w:after="0"/>
              <w:rPr>
                <w:sz w:val="14"/>
                <w:szCs w:val="14"/>
                <w:color w:val="auto"/>
              </w:rPr>
            </w:pPr>
          </w:p>
        </w:tc>
        <w:tc>
          <w:tcPr>
            <w:tcW w:w="860" w:type="dxa"/>
            <w:vAlign w:val="bottom"/>
            <w:shd w:val="clear" w:color="auto" w:fill="333333"/>
          </w:tcPr>
          <w:p>
            <w:pPr>
              <w:jc w:val="right"/>
              <w:ind w:right="29"/>
              <w:spacing w:after="0"/>
              <w:rPr>
                <w:sz w:val="20"/>
                <w:szCs w:val="20"/>
                <w:color w:val="auto"/>
              </w:rPr>
            </w:pPr>
            <w:r>
              <w:rPr>
                <w:rFonts w:ascii="Arial" w:cs="Arial" w:eastAsia="Arial" w:hAnsi="Arial"/>
                <w:sz w:val="15"/>
                <w:szCs w:val="15"/>
                <w:color w:val="FFFFFF"/>
              </w:rPr>
              <w:t>$ MILLION</w:t>
            </w:r>
          </w:p>
        </w:tc>
        <w:tc>
          <w:tcPr>
            <w:tcW w:w="0" w:type="dxa"/>
            <w:vAlign w:val="bottom"/>
          </w:tcPr>
          <w:p>
            <w:pPr>
              <w:spacing w:after="0"/>
              <w:rPr>
                <w:sz w:val="1"/>
                <w:szCs w:val="1"/>
                <w:color w:val="auto"/>
              </w:rPr>
            </w:pPr>
          </w:p>
        </w:tc>
      </w:tr>
      <w:tr>
        <w:trPr>
          <w:trHeight w:val="135"/>
        </w:trPr>
        <w:tc>
          <w:tcPr>
            <w:tcW w:w="3800" w:type="dxa"/>
            <w:vAlign w:val="bottom"/>
          </w:tcPr>
          <w:p>
            <w:pPr>
              <w:spacing w:after="0"/>
              <w:rPr>
                <w:sz w:val="11"/>
                <w:szCs w:val="11"/>
                <w:color w:val="auto"/>
              </w:rPr>
            </w:pPr>
          </w:p>
        </w:tc>
        <w:tc>
          <w:tcPr>
            <w:tcW w:w="1620" w:type="dxa"/>
            <w:vAlign w:val="bottom"/>
          </w:tcPr>
          <w:p>
            <w:pPr>
              <w:spacing w:after="0"/>
              <w:rPr>
                <w:sz w:val="11"/>
                <w:szCs w:val="11"/>
                <w:color w:val="auto"/>
              </w:rPr>
            </w:pPr>
          </w:p>
        </w:tc>
        <w:tc>
          <w:tcPr>
            <w:tcW w:w="84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1760" w:type="dxa"/>
            <w:vAlign w:val="bottom"/>
            <w:tcBorders>
              <w:bottom w:val="single" w:sz="8" w:color="auto"/>
            </w:tcBorders>
            <w:gridSpan w:val="2"/>
          </w:tcPr>
          <w:p>
            <w:pPr>
              <w:jc w:val="right"/>
              <w:ind w:right="32"/>
              <w:spacing w:after="0" w:line="135" w:lineRule="exact"/>
              <w:rPr>
                <w:sz w:val="20"/>
                <w:szCs w:val="20"/>
                <w:color w:val="auto"/>
              </w:rPr>
            </w:pPr>
            <w:r>
              <w:rPr>
                <w:rFonts w:ascii="Arial" w:cs="Arial" w:eastAsia="Arial" w:hAnsi="Arial"/>
                <w:sz w:val="13"/>
                <w:szCs w:val="13"/>
                <w:color w:val="auto"/>
              </w:rPr>
              <w:t>Recognised in 2014</w:t>
            </w:r>
          </w:p>
        </w:tc>
        <w:tc>
          <w:tcPr>
            <w:tcW w:w="960" w:type="dxa"/>
            <w:vAlign w:val="bottom"/>
          </w:tcPr>
          <w:p>
            <w:pPr>
              <w:spacing w:after="0"/>
              <w:rPr>
                <w:sz w:val="11"/>
                <w:szCs w:val="11"/>
                <w:color w:val="auto"/>
              </w:rPr>
            </w:pPr>
          </w:p>
        </w:tc>
        <w:tc>
          <w:tcPr>
            <w:tcW w:w="960" w:type="dxa"/>
            <w:vAlign w:val="bottom"/>
            <w:vMerge w:val="restart"/>
          </w:tcPr>
          <w:p>
            <w:pPr>
              <w:jc w:val="right"/>
              <w:spacing w:after="0"/>
              <w:rPr>
                <w:sz w:val="20"/>
                <w:szCs w:val="20"/>
                <w:color w:val="auto"/>
              </w:rPr>
            </w:pPr>
            <w:r>
              <w:rPr>
                <w:rFonts w:ascii="Arial" w:cs="Arial" w:eastAsia="Arial" w:hAnsi="Arial"/>
                <w:sz w:val="13"/>
                <w:szCs w:val="13"/>
                <w:color w:val="auto"/>
              </w:rPr>
              <w:t>Attributable to</w:t>
            </w:r>
          </w:p>
        </w:tc>
        <w:tc>
          <w:tcPr>
            <w:tcW w:w="8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3"/>
        </w:trPr>
        <w:tc>
          <w:tcPr>
            <w:tcW w:w="3800" w:type="dxa"/>
            <w:vAlign w:val="bottom"/>
          </w:tcPr>
          <w:p>
            <w:pPr>
              <w:spacing w:after="0"/>
              <w:rPr>
                <w:sz w:val="10"/>
                <w:szCs w:val="10"/>
                <w:color w:val="auto"/>
              </w:rPr>
            </w:pPr>
          </w:p>
        </w:tc>
        <w:tc>
          <w:tcPr>
            <w:tcW w:w="16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980" w:type="dxa"/>
            <w:vAlign w:val="bottom"/>
          </w:tcPr>
          <w:p>
            <w:pPr>
              <w:jc w:val="right"/>
              <w:ind w:right="32"/>
              <w:spacing w:after="0" w:line="123" w:lineRule="exact"/>
              <w:rPr>
                <w:sz w:val="20"/>
                <w:szCs w:val="20"/>
                <w:color w:val="auto"/>
              </w:rPr>
            </w:pPr>
            <w:r>
              <w:rPr>
                <w:rFonts w:ascii="Arial" w:cs="Arial" w:eastAsia="Arial" w:hAnsi="Arial"/>
                <w:sz w:val="13"/>
                <w:szCs w:val="13"/>
                <w:color w:val="auto"/>
              </w:rPr>
              <w:t>Share of</w:t>
            </w:r>
          </w:p>
        </w:tc>
        <w:tc>
          <w:tcPr>
            <w:tcW w:w="960" w:type="dxa"/>
            <w:vAlign w:val="bottom"/>
          </w:tcPr>
          <w:p>
            <w:pPr>
              <w:spacing w:after="0"/>
              <w:rPr>
                <w:sz w:val="10"/>
                <w:szCs w:val="10"/>
                <w:color w:val="auto"/>
              </w:rPr>
            </w:pPr>
          </w:p>
        </w:tc>
        <w:tc>
          <w:tcPr>
            <w:tcW w:w="960" w:type="dxa"/>
            <w:vAlign w:val="bottom"/>
            <w:vMerge w:val="continue"/>
          </w:tcPr>
          <w:p>
            <w:pPr>
              <w:spacing w:after="0"/>
              <w:rPr>
                <w:sz w:val="10"/>
                <w:szCs w:val="10"/>
                <w:color w:val="auto"/>
              </w:rPr>
            </w:pPr>
          </w:p>
        </w:tc>
        <w:tc>
          <w:tcPr>
            <w:tcW w:w="8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3800" w:type="dxa"/>
            <w:vAlign w:val="bottom"/>
          </w:tcPr>
          <w:p>
            <w:pPr>
              <w:spacing w:after="0"/>
              <w:rPr>
                <w:sz w:val="11"/>
                <w:szCs w:val="11"/>
                <w:color w:val="auto"/>
              </w:rPr>
            </w:pPr>
          </w:p>
        </w:tc>
        <w:tc>
          <w:tcPr>
            <w:tcW w:w="1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80" w:type="dxa"/>
            <w:vAlign w:val="bottom"/>
          </w:tcPr>
          <w:p>
            <w:pPr>
              <w:jc w:val="right"/>
              <w:ind w:right="32"/>
              <w:spacing w:after="0" w:line="135" w:lineRule="exact"/>
              <w:rPr>
                <w:sz w:val="20"/>
                <w:szCs w:val="20"/>
                <w:color w:val="auto"/>
              </w:rPr>
            </w:pPr>
            <w:r>
              <w:rPr>
                <w:rFonts w:ascii="Arial" w:cs="Arial" w:eastAsia="Arial" w:hAnsi="Arial"/>
                <w:sz w:val="13"/>
                <w:szCs w:val="13"/>
                <w:color w:val="auto"/>
              </w:rPr>
              <w:t>joint ventures</w:t>
            </w:r>
          </w:p>
        </w:tc>
        <w:tc>
          <w:tcPr>
            <w:tcW w:w="960" w:type="dxa"/>
            <w:vAlign w:val="bottom"/>
          </w:tcPr>
          <w:p>
            <w:pPr>
              <w:jc w:val="right"/>
              <w:ind w:right="131"/>
              <w:spacing w:after="0" w:line="135" w:lineRule="exact"/>
              <w:rPr>
                <w:sz w:val="20"/>
                <w:szCs w:val="20"/>
                <w:color w:val="auto"/>
              </w:rPr>
            </w:pPr>
            <w:r>
              <w:rPr>
                <w:rFonts w:ascii="Arial" w:cs="Arial" w:eastAsia="Arial" w:hAnsi="Arial"/>
                <w:sz w:val="13"/>
                <w:szCs w:val="13"/>
                <w:color w:val="auto"/>
              </w:rPr>
              <w:t>Non-</w:t>
            </w:r>
          </w:p>
        </w:tc>
        <w:tc>
          <w:tcPr>
            <w:tcW w:w="960" w:type="dxa"/>
            <w:vAlign w:val="bottom"/>
          </w:tcPr>
          <w:p>
            <w:pPr>
              <w:jc w:val="right"/>
              <w:spacing w:after="0" w:line="135" w:lineRule="exact"/>
              <w:rPr>
                <w:sz w:val="20"/>
                <w:szCs w:val="20"/>
                <w:color w:val="auto"/>
              </w:rPr>
            </w:pPr>
            <w:r>
              <w:rPr>
                <w:rFonts w:ascii="Arial" w:cs="Arial" w:eastAsia="Arial" w:hAnsi="Arial"/>
                <w:sz w:val="13"/>
                <w:szCs w:val="13"/>
                <w:color w:val="auto"/>
              </w:rPr>
              <w:t>Royal Dutch</w:t>
            </w:r>
          </w:p>
        </w:tc>
        <w:tc>
          <w:tcPr>
            <w:tcW w:w="8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800" w:type="dxa"/>
            <w:vAlign w:val="bottom"/>
          </w:tcPr>
          <w:p>
            <w:pPr>
              <w:spacing w:after="0"/>
              <w:rPr>
                <w:sz w:val="11"/>
                <w:szCs w:val="11"/>
                <w:color w:val="auto"/>
              </w:rPr>
            </w:pPr>
          </w:p>
        </w:tc>
        <w:tc>
          <w:tcPr>
            <w:tcW w:w="1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80" w:type="dxa"/>
            <w:vAlign w:val="bottom"/>
          </w:tcPr>
          <w:p>
            <w:pPr>
              <w:jc w:val="right"/>
              <w:ind w:right="32"/>
              <w:spacing w:after="0" w:line="135" w:lineRule="exact"/>
              <w:rPr>
                <w:sz w:val="20"/>
                <w:szCs w:val="20"/>
                <w:color w:val="auto"/>
              </w:rPr>
            </w:pPr>
            <w:r>
              <w:rPr>
                <w:rFonts w:ascii="Arial" w:cs="Arial" w:eastAsia="Arial" w:hAnsi="Arial"/>
                <w:sz w:val="13"/>
                <w:szCs w:val="13"/>
                <w:color w:val="auto"/>
              </w:rPr>
              <w:t>and</w:t>
            </w:r>
          </w:p>
        </w:tc>
        <w:tc>
          <w:tcPr>
            <w:tcW w:w="960" w:type="dxa"/>
            <w:vAlign w:val="bottom"/>
          </w:tcPr>
          <w:p>
            <w:pPr>
              <w:jc w:val="right"/>
              <w:ind w:right="131"/>
              <w:spacing w:after="0" w:line="135" w:lineRule="exact"/>
              <w:rPr>
                <w:sz w:val="20"/>
                <w:szCs w:val="20"/>
                <w:color w:val="auto"/>
              </w:rPr>
            </w:pPr>
            <w:r>
              <w:rPr>
                <w:rFonts w:ascii="Arial" w:cs="Arial" w:eastAsia="Arial" w:hAnsi="Arial"/>
                <w:sz w:val="13"/>
                <w:szCs w:val="13"/>
                <w:color w:val="auto"/>
              </w:rPr>
              <w:t>controlling</w:t>
            </w:r>
          </w:p>
        </w:tc>
        <w:tc>
          <w:tcPr>
            <w:tcW w:w="960" w:type="dxa"/>
            <w:vAlign w:val="bottom"/>
          </w:tcPr>
          <w:p>
            <w:pPr>
              <w:jc w:val="right"/>
              <w:spacing w:after="0" w:line="135" w:lineRule="exact"/>
              <w:rPr>
                <w:sz w:val="20"/>
                <w:szCs w:val="20"/>
                <w:color w:val="auto"/>
              </w:rPr>
            </w:pPr>
            <w:r>
              <w:rPr>
                <w:rFonts w:ascii="Arial" w:cs="Arial" w:eastAsia="Arial" w:hAnsi="Arial"/>
                <w:sz w:val="13"/>
                <w:szCs w:val="13"/>
                <w:color w:val="auto"/>
              </w:rPr>
              <w:t>Shell plc</w:t>
            </w:r>
          </w:p>
        </w:tc>
        <w:tc>
          <w:tcPr>
            <w:tcW w:w="8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1"/>
        </w:trPr>
        <w:tc>
          <w:tcPr>
            <w:tcW w:w="3800" w:type="dxa"/>
            <w:vAlign w:val="bottom"/>
            <w:tcBorders>
              <w:bottom w:val="single" w:sz="8" w:color="auto"/>
            </w:tcBorders>
          </w:tcPr>
          <w:p>
            <w:pPr>
              <w:spacing w:after="0"/>
              <w:rPr>
                <w:sz w:val="12"/>
                <w:szCs w:val="12"/>
                <w:color w:val="auto"/>
              </w:rPr>
            </w:pPr>
          </w:p>
        </w:tc>
        <w:tc>
          <w:tcPr>
            <w:tcW w:w="1620" w:type="dxa"/>
            <w:vAlign w:val="bottom"/>
            <w:tcBorders>
              <w:bottom w:val="single" w:sz="8" w:color="auto"/>
            </w:tcBorders>
          </w:tcPr>
          <w:p>
            <w:pPr>
              <w:jc w:val="right"/>
              <w:ind w:right="30"/>
              <w:spacing w:after="0" w:line="141" w:lineRule="exact"/>
              <w:rPr>
                <w:sz w:val="20"/>
                <w:szCs w:val="20"/>
                <w:color w:val="auto"/>
              </w:rPr>
            </w:pPr>
            <w:r>
              <w:rPr>
                <w:rFonts w:ascii="Arial" w:cs="Arial" w:eastAsia="Arial" w:hAnsi="Arial"/>
                <w:sz w:val="13"/>
                <w:szCs w:val="13"/>
                <w:color w:val="auto"/>
              </w:rPr>
              <w:t>Jan 1</w:t>
            </w:r>
          </w:p>
        </w:tc>
        <w:tc>
          <w:tcPr>
            <w:tcW w:w="840" w:type="dxa"/>
            <w:vAlign w:val="bottom"/>
            <w:tcBorders>
              <w:bottom w:val="single" w:sz="8" w:color="auto"/>
            </w:tcBorders>
          </w:tcPr>
          <w:p>
            <w:pPr>
              <w:jc w:val="right"/>
              <w:ind w:right="89"/>
              <w:spacing w:after="0" w:line="141" w:lineRule="exact"/>
              <w:rPr>
                <w:sz w:val="20"/>
                <w:szCs w:val="20"/>
                <w:color w:val="auto"/>
              </w:rPr>
            </w:pPr>
            <w:r>
              <w:rPr>
                <w:rFonts w:ascii="Arial" w:cs="Arial" w:eastAsia="Arial" w:hAnsi="Arial"/>
                <w:sz w:val="13"/>
                <w:szCs w:val="13"/>
                <w:color w:val="auto"/>
              </w:rPr>
              <w:t>Pre-tax</w:t>
            </w:r>
          </w:p>
        </w:tc>
        <w:tc>
          <w:tcPr>
            <w:tcW w:w="620" w:type="dxa"/>
            <w:vAlign w:val="bottom"/>
            <w:tcBorders>
              <w:bottom w:val="single" w:sz="8" w:color="auto"/>
            </w:tcBorders>
          </w:tcPr>
          <w:p>
            <w:pPr>
              <w:jc w:val="right"/>
              <w:ind w:right="89"/>
              <w:spacing w:after="0" w:line="141" w:lineRule="exact"/>
              <w:rPr>
                <w:sz w:val="20"/>
                <w:szCs w:val="20"/>
                <w:color w:val="auto"/>
              </w:rPr>
            </w:pPr>
            <w:r>
              <w:rPr>
                <w:rFonts w:ascii="Arial" w:cs="Arial" w:eastAsia="Arial" w:hAnsi="Arial"/>
                <w:sz w:val="13"/>
                <w:szCs w:val="13"/>
                <w:color w:val="auto"/>
              </w:rPr>
              <w:t>Tax</w:t>
            </w:r>
          </w:p>
        </w:tc>
        <w:tc>
          <w:tcPr>
            <w:tcW w:w="780" w:type="dxa"/>
            <w:vAlign w:val="bottom"/>
            <w:tcBorders>
              <w:bottom w:val="single" w:sz="8" w:color="auto"/>
            </w:tcBorders>
          </w:tcPr>
          <w:p>
            <w:pPr>
              <w:jc w:val="right"/>
              <w:ind w:right="89"/>
              <w:spacing w:after="0" w:line="141" w:lineRule="exact"/>
              <w:rPr>
                <w:sz w:val="20"/>
                <w:szCs w:val="20"/>
                <w:color w:val="auto"/>
              </w:rPr>
            </w:pPr>
            <w:r>
              <w:rPr>
                <w:rFonts w:ascii="Arial" w:cs="Arial" w:eastAsia="Arial" w:hAnsi="Arial"/>
                <w:sz w:val="13"/>
                <w:szCs w:val="13"/>
                <w:color w:val="auto"/>
              </w:rPr>
              <w:t>After tax</w:t>
            </w:r>
          </w:p>
        </w:tc>
        <w:tc>
          <w:tcPr>
            <w:tcW w:w="980" w:type="dxa"/>
            <w:vAlign w:val="bottom"/>
            <w:tcBorders>
              <w:bottom w:val="single" w:sz="8" w:color="auto"/>
            </w:tcBorders>
          </w:tcPr>
          <w:p>
            <w:pPr>
              <w:jc w:val="right"/>
              <w:ind w:right="32"/>
              <w:spacing w:after="0" w:line="141" w:lineRule="exact"/>
              <w:rPr>
                <w:sz w:val="20"/>
                <w:szCs w:val="20"/>
                <w:color w:val="auto"/>
              </w:rPr>
            </w:pPr>
            <w:r>
              <w:rPr>
                <w:rFonts w:ascii="Arial" w:cs="Arial" w:eastAsia="Arial" w:hAnsi="Arial"/>
                <w:sz w:val="13"/>
                <w:szCs w:val="13"/>
                <w:color w:val="auto"/>
              </w:rPr>
              <w:t>associates</w:t>
            </w:r>
          </w:p>
        </w:tc>
        <w:tc>
          <w:tcPr>
            <w:tcW w:w="960" w:type="dxa"/>
            <w:vAlign w:val="bottom"/>
            <w:tcBorders>
              <w:bottom w:val="single" w:sz="8" w:color="auto"/>
            </w:tcBorders>
          </w:tcPr>
          <w:p>
            <w:pPr>
              <w:jc w:val="right"/>
              <w:ind w:right="131"/>
              <w:spacing w:after="0" w:line="141" w:lineRule="exact"/>
              <w:rPr>
                <w:sz w:val="20"/>
                <w:szCs w:val="20"/>
                <w:color w:val="auto"/>
              </w:rPr>
            </w:pPr>
            <w:r>
              <w:rPr>
                <w:rFonts w:ascii="Arial" w:cs="Arial" w:eastAsia="Arial" w:hAnsi="Arial"/>
                <w:sz w:val="13"/>
                <w:szCs w:val="13"/>
                <w:color w:val="auto"/>
              </w:rPr>
              <w:t>interest</w:t>
            </w:r>
          </w:p>
        </w:tc>
        <w:tc>
          <w:tcPr>
            <w:tcW w:w="960" w:type="dxa"/>
            <w:vAlign w:val="bottom"/>
            <w:tcBorders>
              <w:bottom w:val="single" w:sz="8" w:color="auto"/>
            </w:tcBorders>
          </w:tcPr>
          <w:p>
            <w:pPr>
              <w:jc w:val="right"/>
              <w:spacing w:after="0" w:line="141" w:lineRule="exact"/>
              <w:rPr>
                <w:sz w:val="20"/>
                <w:szCs w:val="20"/>
                <w:color w:val="auto"/>
              </w:rPr>
            </w:pPr>
            <w:r>
              <w:rPr>
                <w:rFonts w:ascii="Arial" w:cs="Arial" w:eastAsia="Arial" w:hAnsi="Arial"/>
                <w:sz w:val="13"/>
                <w:szCs w:val="13"/>
                <w:color w:val="auto"/>
              </w:rPr>
              <w:t>shareholders</w:t>
            </w:r>
          </w:p>
        </w:tc>
        <w:tc>
          <w:tcPr>
            <w:tcW w:w="860" w:type="dxa"/>
            <w:vAlign w:val="bottom"/>
            <w:tcBorders>
              <w:bottom w:val="single" w:sz="8" w:color="auto"/>
            </w:tcBorders>
          </w:tcPr>
          <w:p>
            <w:pPr>
              <w:jc w:val="right"/>
              <w:ind w:right="29"/>
              <w:spacing w:after="0" w:line="141" w:lineRule="exact"/>
              <w:rPr>
                <w:sz w:val="20"/>
                <w:szCs w:val="20"/>
                <w:color w:val="auto"/>
              </w:rPr>
            </w:pPr>
            <w:r>
              <w:rPr>
                <w:rFonts w:ascii="Arial" w:cs="Arial" w:eastAsia="Arial" w:hAnsi="Arial"/>
                <w:sz w:val="13"/>
                <w:szCs w:val="13"/>
                <w:color w:val="auto"/>
              </w:rPr>
              <w:t>Dec 31</w:t>
            </w:r>
          </w:p>
        </w:tc>
        <w:tc>
          <w:tcPr>
            <w:tcW w:w="0" w:type="dxa"/>
            <w:vAlign w:val="bottom"/>
          </w:tcPr>
          <w:p>
            <w:pPr>
              <w:spacing w:after="0"/>
              <w:rPr>
                <w:sz w:val="1"/>
                <w:szCs w:val="1"/>
                <w:color w:val="auto"/>
              </w:rPr>
            </w:pPr>
          </w:p>
        </w:tc>
      </w:tr>
      <w:tr>
        <w:trPr>
          <w:trHeight w:val="160"/>
        </w:trPr>
        <w:tc>
          <w:tcPr>
            <w:tcW w:w="3800" w:type="dxa"/>
            <w:vAlign w:val="bottom"/>
          </w:tcPr>
          <w:p>
            <w:pPr>
              <w:spacing w:after="0"/>
              <w:rPr>
                <w:sz w:val="20"/>
                <w:szCs w:val="20"/>
                <w:color w:val="auto"/>
              </w:rPr>
            </w:pPr>
            <w:r>
              <w:rPr>
                <w:rFonts w:ascii="Arial" w:cs="Arial" w:eastAsia="Arial" w:hAnsi="Arial"/>
                <w:sz w:val="14"/>
                <w:szCs w:val="14"/>
                <w:color w:val="auto"/>
              </w:rPr>
              <w:t>Currency translation differences</w:t>
            </w:r>
          </w:p>
        </w:tc>
        <w:tc>
          <w:tcPr>
            <w:tcW w:w="16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800" w:type="dxa"/>
            <w:vAlign w:val="bottom"/>
          </w:tcPr>
          <w:p>
            <w:pPr>
              <w:ind w:left="140"/>
              <w:spacing w:after="0"/>
              <w:rPr>
                <w:sz w:val="20"/>
                <w:szCs w:val="20"/>
                <w:color w:val="auto"/>
              </w:rPr>
            </w:pPr>
            <w:r>
              <w:rPr>
                <w:rFonts w:ascii="Arial" w:cs="Arial" w:eastAsia="Arial" w:hAnsi="Arial"/>
                <w:sz w:val="14"/>
                <w:szCs w:val="14"/>
                <w:color w:val="auto"/>
              </w:rPr>
              <w:t>Recognised in the year</w:t>
            </w:r>
          </w:p>
        </w:tc>
        <w:tc>
          <w:tcPr>
            <w:tcW w:w="1620" w:type="dxa"/>
            <w:vAlign w:val="bottom"/>
          </w:tcPr>
          <w:p>
            <w:pPr>
              <w:spacing w:after="0"/>
              <w:rPr>
                <w:sz w:val="14"/>
                <w:szCs w:val="14"/>
                <w:color w:val="auto"/>
              </w:rPr>
            </w:pPr>
          </w:p>
        </w:tc>
        <w:tc>
          <w:tcPr>
            <w:tcW w:w="840" w:type="dxa"/>
            <w:vAlign w:val="bottom"/>
          </w:tcPr>
          <w:p>
            <w:pPr>
              <w:jc w:val="right"/>
              <w:ind w:right="49"/>
              <w:spacing w:after="0"/>
              <w:rPr>
                <w:sz w:val="20"/>
                <w:szCs w:val="20"/>
                <w:color w:val="auto"/>
              </w:rPr>
            </w:pPr>
            <w:r>
              <w:rPr>
                <w:rFonts w:ascii="Arial" w:cs="Arial" w:eastAsia="Arial" w:hAnsi="Arial"/>
                <w:sz w:val="14"/>
                <w:szCs w:val="14"/>
                <w:color w:val="auto"/>
              </w:rPr>
              <w:t>(4,832)</w:t>
            </w:r>
          </w:p>
        </w:tc>
        <w:tc>
          <w:tcPr>
            <w:tcW w:w="620" w:type="dxa"/>
            <w:vAlign w:val="bottom"/>
          </w:tcPr>
          <w:p>
            <w:pPr>
              <w:jc w:val="right"/>
              <w:ind w:right="49"/>
              <w:spacing w:after="0"/>
              <w:rPr>
                <w:sz w:val="20"/>
                <w:szCs w:val="20"/>
                <w:color w:val="auto"/>
              </w:rPr>
            </w:pPr>
            <w:r>
              <w:rPr>
                <w:rFonts w:ascii="Arial" w:cs="Arial" w:eastAsia="Arial" w:hAnsi="Arial"/>
                <w:sz w:val="14"/>
                <w:szCs w:val="14"/>
                <w:color w:val="auto"/>
              </w:rPr>
              <w:t>(5)</w:t>
            </w:r>
          </w:p>
        </w:tc>
        <w:tc>
          <w:tcPr>
            <w:tcW w:w="780" w:type="dxa"/>
            <w:vAlign w:val="bottom"/>
          </w:tcPr>
          <w:p>
            <w:pPr>
              <w:jc w:val="right"/>
              <w:ind w:right="49"/>
              <w:spacing w:after="0"/>
              <w:rPr>
                <w:sz w:val="20"/>
                <w:szCs w:val="20"/>
                <w:color w:val="auto"/>
              </w:rPr>
            </w:pPr>
            <w:r>
              <w:rPr>
                <w:rFonts w:ascii="Arial" w:cs="Arial" w:eastAsia="Arial" w:hAnsi="Arial"/>
                <w:sz w:val="14"/>
                <w:szCs w:val="14"/>
                <w:color w:val="auto"/>
              </w:rPr>
              <w:t>(4,837)</w:t>
            </w:r>
          </w:p>
        </w:tc>
        <w:tc>
          <w:tcPr>
            <w:tcW w:w="9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3800" w:type="dxa"/>
            <w:vAlign w:val="bottom"/>
            <w:tcBorders>
              <w:bottom w:val="single" w:sz="8" w:color="auto"/>
            </w:tcBorders>
          </w:tcPr>
          <w:p>
            <w:pPr>
              <w:ind w:left="140"/>
              <w:spacing w:after="0" w:line="157" w:lineRule="exact"/>
              <w:rPr>
                <w:sz w:val="20"/>
                <w:szCs w:val="20"/>
                <w:color w:val="auto"/>
              </w:rPr>
            </w:pPr>
            <w:r>
              <w:rPr>
                <w:rFonts w:ascii="Arial" w:cs="Arial" w:eastAsia="Arial" w:hAnsi="Arial"/>
                <w:sz w:val="14"/>
                <w:szCs w:val="14"/>
                <w:color w:val="auto"/>
              </w:rPr>
              <w:t>Reclassified to income</w:t>
            </w:r>
          </w:p>
        </w:tc>
        <w:tc>
          <w:tcPr>
            <w:tcW w:w="162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49"/>
              <w:spacing w:after="0" w:line="157" w:lineRule="exact"/>
              <w:rPr>
                <w:sz w:val="20"/>
                <w:szCs w:val="20"/>
                <w:color w:val="auto"/>
              </w:rPr>
            </w:pPr>
            <w:r>
              <w:rPr>
                <w:rFonts w:ascii="Arial" w:cs="Arial" w:eastAsia="Arial" w:hAnsi="Arial"/>
                <w:sz w:val="14"/>
                <w:szCs w:val="14"/>
                <w:color w:val="auto"/>
              </w:rPr>
              <w:t>(484)</w:t>
            </w:r>
          </w:p>
        </w:tc>
        <w:tc>
          <w:tcPr>
            <w:tcW w:w="620" w:type="dxa"/>
            <w:vAlign w:val="bottom"/>
            <w:tcBorders>
              <w:bottom w:val="single" w:sz="8" w:color="auto"/>
            </w:tcBorders>
          </w:tcPr>
          <w:p>
            <w:pPr>
              <w:jc w:val="right"/>
              <w:ind w:right="89"/>
              <w:spacing w:after="0" w:line="157" w:lineRule="exact"/>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jc w:val="right"/>
              <w:ind w:right="49"/>
              <w:spacing w:after="0" w:line="157" w:lineRule="exact"/>
              <w:rPr>
                <w:sz w:val="20"/>
                <w:szCs w:val="20"/>
                <w:color w:val="auto"/>
              </w:rPr>
            </w:pPr>
            <w:r>
              <w:rPr>
                <w:rFonts w:ascii="Arial" w:cs="Arial" w:eastAsia="Arial" w:hAnsi="Arial"/>
                <w:sz w:val="14"/>
                <w:szCs w:val="14"/>
                <w:color w:val="auto"/>
              </w:rPr>
              <w:t>(484)</w:t>
            </w:r>
          </w:p>
        </w:tc>
        <w:tc>
          <w:tcPr>
            <w:tcW w:w="98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3800" w:type="dxa"/>
            <w:vAlign w:val="bottom"/>
            <w:tcBorders>
              <w:bottom w:val="single" w:sz="8" w:color="auto"/>
            </w:tcBorders>
          </w:tcPr>
          <w:p>
            <w:pPr>
              <w:spacing w:after="0" w:line="155" w:lineRule="exact"/>
              <w:rPr>
                <w:sz w:val="20"/>
                <w:szCs w:val="20"/>
                <w:color w:val="auto"/>
              </w:rPr>
            </w:pPr>
            <w:r>
              <w:rPr>
                <w:rFonts w:ascii="Arial" w:cs="Arial" w:eastAsia="Arial" w:hAnsi="Arial"/>
                <w:sz w:val="14"/>
                <w:szCs w:val="14"/>
                <w:color w:val="auto"/>
              </w:rPr>
              <w:t>Net currency translation differences</w:t>
            </w:r>
          </w:p>
        </w:tc>
        <w:tc>
          <w:tcPr>
            <w:tcW w:w="16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(551)</w:t>
            </w:r>
          </w:p>
        </w:tc>
        <w:tc>
          <w:tcPr>
            <w:tcW w:w="840" w:type="dxa"/>
            <w:vAlign w:val="bottom"/>
            <w:tcBorders>
              <w:bottom w:val="single" w:sz="8" w:color="auto"/>
            </w:tcBorders>
          </w:tcPr>
          <w:p>
            <w:pPr>
              <w:jc w:val="right"/>
              <w:ind w:right="49"/>
              <w:spacing w:after="0" w:line="155" w:lineRule="exact"/>
              <w:rPr>
                <w:sz w:val="20"/>
                <w:szCs w:val="20"/>
                <w:color w:val="auto"/>
              </w:rPr>
            </w:pPr>
            <w:r>
              <w:rPr>
                <w:rFonts w:ascii="Arial" w:cs="Arial" w:eastAsia="Arial" w:hAnsi="Arial"/>
                <w:sz w:val="14"/>
                <w:szCs w:val="14"/>
                <w:color w:val="auto"/>
              </w:rPr>
              <w:t>(5,316)</w:t>
            </w:r>
          </w:p>
        </w:tc>
        <w:tc>
          <w:tcPr>
            <w:tcW w:w="620" w:type="dxa"/>
            <w:vAlign w:val="bottom"/>
            <w:tcBorders>
              <w:bottom w:val="single" w:sz="8" w:color="auto"/>
            </w:tcBorders>
          </w:tcPr>
          <w:p>
            <w:pPr>
              <w:jc w:val="right"/>
              <w:ind w:right="49"/>
              <w:spacing w:after="0" w:line="155" w:lineRule="exact"/>
              <w:rPr>
                <w:sz w:val="20"/>
                <w:szCs w:val="20"/>
                <w:color w:val="auto"/>
              </w:rPr>
            </w:pPr>
            <w:r>
              <w:rPr>
                <w:rFonts w:ascii="Arial" w:cs="Arial" w:eastAsia="Arial" w:hAnsi="Arial"/>
                <w:sz w:val="14"/>
                <w:szCs w:val="14"/>
                <w:color w:val="auto"/>
              </w:rPr>
              <w:t>(5)</w:t>
            </w:r>
          </w:p>
        </w:tc>
        <w:tc>
          <w:tcPr>
            <w:tcW w:w="780" w:type="dxa"/>
            <w:vAlign w:val="bottom"/>
            <w:tcBorders>
              <w:bottom w:val="single" w:sz="8" w:color="auto"/>
            </w:tcBorders>
          </w:tcPr>
          <w:p>
            <w:pPr>
              <w:jc w:val="right"/>
              <w:ind w:right="49"/>
              <w:spacing w:after="0" w:line="155" w:lineRule="exact"/>
              <w:rPr>
                <w:sz w:val="20"/>
                <w:szCs w:val="20"/>
                <w:color w:val="auto"/>
              </w:rPr>
            </w:pPr>
            <w:r>
              <w:rPr>
                <w:rFonts w:ascii="Arial" w:cs="Arial" w:eastAsia="Arial" w:hAnsi="Arial"/>
                <w:sz w:val="14"/>
                <w:szCs w:val="14"/>
                <w:color w:val="auto"/>
              </w:rPr>
              <w:t>(5,321)</w:t>
            </w:r>
          </w:p>
        </w:tc>
        <w:tc>
          <w:tcPr>
            <w:tcW w:w="9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(112)</w:t>
            </w:r>
          </w:p>
        </w:tc>
        <w:tc>
          <w:tcPr>
            <w:tcW w:w="960" w:type="dxa"/>
            <w:vAlign w:val="bottom"/>
            <w:tcBorders>
              <w:bottom w:val="single" w:sz="8" w:color="auto"/>
            </w:tcBorders>
          </w:tcPr>
          <w:p>
            <w:pPr>
              <w:jc w:val="right"/>
              <w:ind w:right="131"/>
              <w:spacing w:after="0" w:line="155" w:lineRule="exact"/>
              <w:rPr>
                <w:sz w:val="20"/>
                <w:szCs w:val="20"/>
                <w:color w:val="auto"/>
              </w:rPr>
            </w:pPr>
            <w:r>
              <w:rPr>
                <w:rFonts w:ascii="Arial" w:cs="Arial" w:eastAsia="Arial" w:hAnsi="Arial"/>
                <w:sz w:val="14"/>
                <w:szCs w:val="14"/>
                <w:color w:val="auto"/>
              </w:rPr>
              <w:t>53</w:t>
            </w:r>
          </w:p>
        </w:tc>
        <w:tc>
          <w:tcPr>
            <w:tcW w:w="9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(5,380)</w:t>
            </w:r>
          </w:p>
        </w:tc>
        <w:tc>
          <w:tcPr>
            <w:tcW w:w="8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(5,931)</w:t>
            </w:r>
          </w:p>
        </w:tc>
        <w:tc>
          <w:tcPr>
            <w:tcW w:w="0" w:type="dxa"/>
            <w:vAlign w:val="bottom"/>
          </w:tcPr>
          <w:p>
            <w:pPr>
              <w:spacing w:after="0"/>
              <w:rPr>
                <w:sz w:val="1"/>
                <w:szCs w:val="1"/>
                <w:color w:val="auto"/>
              </w:rPr>
            </w:pPr>
          </w:p>
        </w:tc>
      </w:tr>
      <w:tr>
        <w:trPr>
          <w:trHeight w:val="160"/>
        </w:trPr>
        <w:tc>
          <w:tcPr>
            <w:tcW w:w="3800" w:type="dxa"/>
            <w:vAlign w:val="bottom"/>
          </w:tcPr>
          <w:p>
            <w:pPr>
              <w:spacing w:after="0"/>
              <w:rPr>
                <w:sz w:val="20"/>
                <w:szCs w:val="20"/>
                <w:color w:val="auto"/>
              </w:rPr>
            </w:pPr>
            <w:r>
              <w:rPr>
                <w:rFonts w:ascii="Arial" w:cs="Arial" w:eastAsia="Arial" w:hAnsi="Arial"/>
                <w:sz w:val="14"/>
                <w:szCs w:val="14"/>
                <w:color w:val="auto"/>
              </w:rPr>
              <w:t>Unrealised gains/(losses) on securities</w:t>
            </w:r>
          </w:p>
        </w:tc>
        <w:tc>
          <w:tcPr>
            <w:tcW w:w="16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800" w:type="dxa"/>
            <w:vAlign w:val="bottom"/>
          </w:tcPr>
          <w:p>
            <w:pPr>
              <w:ind w:left="140"/>
              <w:spacing w:after="0"/>
              <w:rPr>
                <w:sz w:val="20"/>
                <w:szCs w:val="20"/>
                <w:color w:val="auto"/>
              </w:rPr>
            </w:pPr>
            <w:r>
              <w:rPr>
                <w:rFonts w:ascii="Arial" w:cs="Arial" w:eastAsia="Arial" w:hAnsi="Arial"/>
                <w:sz w:val="14"/>
                <w:szCs w:val="14"/>
                <w:color w:val="auto"/>
              </w:rPr>
              <w:t>Recognised in the year</w:t>
            </w:r>
          </w:p>
        </w:tc>
        <w:tc>
          <w:tcPr>
            <w:tcW w:w="1620" w:type="dxa"/>
            <w:vAlign w:val="bottom"/>
          </w:tcPr>
          <w:p>
            <w:pPr>
              <w:spacing w:after="0"/>
              <w:rPr>
                <w:sz w:val="14"/>
                <w:szCs w:val="14"/>
                <w:color w:val="auto"/>
              </w:rPr>
            </w:pPr>
          </w:p>
        </w:tc>
        <w:tc>
          <w:tcPr>
            <w:tcW w:w="840" w:type="dxa"/>
            <w:vAlign w:val="bottom"/>
          </w:tcPr>
          <w:p>
            <w:pPr>
              <w:jc w:val="right"/>
              <w:ind w:right="49"/>
              <w:spacing w:after="0"/>
              <w:rPr>
                <w:sz w:val="20"/>
                <w:szCs w:val="20"/>
                <w:color w:val="auto"/>
              </w:rPr>
            </w:pPr>
            <w:r>
              <w:rPr>
                <w:rFonts w:ascii="Arial" w:cs="Arial" w:eastAsia="Arial" w:hAnsi="Arial"/>
                <w:sz w:val="14"/>
                <w:szCs w:val="14"/>
                <w:color w:val="auto"/>
              </w:rPr>
              <w:t>(741)</w:t>
            </w:r>
          </w:p>
        </w:tc>
        <w:tc>
          <w:tcPr>
            <w:tcW w:w="620" w:type="dxa"/>
            <w:vAlign w:val="bottom"/>
          </w:tcPr>
          <w:p>
            <w:pPr>
              <w:jc w:val="right"/>
              <w:ind w:right="49"/>
              <w:spacing w:after="0"/>
              <w:rPr>
                <w:sz w:val="20"/>
                <w:szCs w:val="20"/>
                <w:color w:val="auto"/>
              </w:rPr>
            </w:pPr>
            <w:r>
              <w:rPr>
                <w:rFonts w:ascii="Arial" w:cs="Arial" w:eastAsia="Arial" w:hAnsi="Arial"/>
                <w:sz w:val="14"/>
                <w:szCs w:val="14"/>
                <w:color w:val="auto"/>
              </w:rPr>
              <w:t>(12)</w:t>
            </w:r>
          </w:p>
        </w:tc>
        <w:tc>
          <w:tcPr>
            <w:tcW w:w="780" w:type="dxa"/>
            <w:vAlign w:val="bottom"/>
          </w:tcPr>
          <w:p>
            <w:pPr>
              <w:jc w:val="right"/>
              <w:ind w:right="49"/>
              <w:spacing w:after="0"/>
              <w:rPr>
                <w:sz w:val="20"/>
                <w:szCs w:val="20"/>
                <w:color w:val="auto"/>
              </w:rPr>
            </w:pPr>
            <w:r>
              <w:rPr>
                <w:rFonts w:ascii="Arial" w:cs="Arial" w:eastAsia="Arial" w:hAnsi="Arial"/>
                <w:sz w:val="14"/>
                <w:szCs w:val="14"/>
                <w:color w:val="auto"/>
              </w:rPr>
              <w:t>(753)</w:t>
            </w:r>
          </w:p>
        </w:tc>
        <w:tc>
          <w:tcPr>
            <w:tcW w:w="9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3800" w:type="dxa"/>
            <w:vAlign w:val="bottom"/>
            <w:tcBorders>
              <w:bottom w:val="single" w:sz="8" w:color="auto"/>
            </w:tcBorders>
          </w:tcPr>
          <w:p>
            <w:pPr>
              <w:ind w:left="140"/>
              <w:spacing w:after="0" w:line="157" w:lineRule="exact"/>
              <w:rPr>
                <w:sz w:val="20"/>
                <w:szCs w:val="20"/>
                <w:color w:val="auto"/>
              </w:rPr>
            </w:pPr>
            <w:r>
              <w:rPr>
                <w:rFonts w:ascii="Arial" w:cs="Arial" w:eastAsia="Arial" w:hAnsi="Arial"/>
                <w:sz w:val="14"/>
                <w:szCs w:val="14"/>
                <w:color w:val="auto"/>
              </w:rPr>
              <w:t>Reclassified to income</w:t>
            </w:r>
          </w:p>
        </w:tc>
        <w:tc>
          <w:tcPr>
            <w:tcW w:w="162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49"/>
              <w:spacing w:after="0" w:line="157" w:lineRule="exact"/>
              <w:rPr>
                <w:sz w:val="20"/>
                <w:szCs w:val="20"/>
                <w:color w:val="auto"/>
              </w:rPr>
            </w:pPr>
            <w:r>
              <w:rPr>
                <w:rFonts w:ascii="Arial" w:cs="Arial" w:eastAsia="Arial" w:hAnsi="Arial"/>
                <w:sz w:val="14"/>
                <w:szCs w:val="14"/>
                <w:color w:val="auto"/>
              </w:rPr>
              <w:t>(44)</w:t>
            </w:r>
          </w:p>
        </w:tc>
        <w:tc>
          <w:tcPr>
            <w:tcW w:w="620" w:type="dxa"/>
            <w:vAlign w:val="bottom"/>
            <w:tcBorders>
              <w:bottom w:val="single" w:sz="8" w:color="auto"/>
            </w:tcBorders>
          </w:tcPr>
          <w:p>
            <w:pPr>
              <w:jc w:val="right"/>
              <w:ind w:right="89"/>
              <w:spacing w:after="0" w:line="157" w:lineRule="exact"/>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jc w:val="right"/>
              <w:ind w:right="49"/>
              <w:spacing w:after="0" w:line="157" w:lineRule="exact"/>
              <w:rPr>
                <w:sz w:val="20"/>
                <w:szCs w:val="20"/>
                <w:color w:val="auto"/>
              </w:rPr>
            </w:pPr>
            <w:r>
              <w:rPr>
                <w:rFonts w:ascii="Arial" w:cs="Arial" w:eastAsia="Arial" w:hAnsi="Arial"/>
                <w:sz w:val="14"/>
                <w:szCs w:val="14"/>
                <w:color w:val="auto"/>
              </w:rPr>
              <w:t>(44)</w:t>
            </w:r>
          </w:p>
        </w:tc>
        <w:tc>
          <w:tcPr>
            <w:tcW w:w="98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3800" w:type="dxa"/>
            <w:vAlign w:val="bottom"/>
            <w:tcBorders>
              <w:bottom w:val="single" w:sz="8" w:color="auto"/>
            </w:tcBorders>
          </w:tcPr>
          <w:p>
            <w:pPr>
              <w:spacing w:after="0" w:line="155" w:lineRule="exact"/>
              <w:rPr>
                <w:sz w:val="20"/>
                <w:szCs w:val="20"/>
                <w:color w:val="auto"/>
              </w:rPr>
            </w:pPr>
            <w:r>
              <w:rPr>
                <w:rFonts w:ascii="Arial" w:cs="Arial" w:eastAsia="Arial" w:hAnsi="Arial"/>
                <w:sz w:val="14"/>
                <w:szCs w:val="14"/>
                <w:color w:val="auto"/>
              </w:rPr>
              <w:t>Net unrealised gains/(losses) on securities</w:t>
            </w:r>
          </w:p>
        </w:tc>
        <w:tc>
          <w:tcPr>
            <w:tcW w:w="1620" w:type="dxa"/>
            <w:vAlign w:val="bottom"/>
            <w:tcBorders>
              <w:bottom w:val="single" w:sz="8" w:color="auto"/>
            </w:tcBorders>
          </w:tcPr>
          <w:p>
            <w:pPr>
              <w:jc w:val="right"/>
              <w:ind w:right="30"/>
              <w:spacing w:after="0" w:line="155" w:lineRule="exact"/>
              <w:rPr>
                <w:sz w:val="20"/>
                <w:szCs w:val="20"/>
                <w:color w:val="auto"/>
              </w:rPr>
            </w:pPr>
            <w:r>
              <w:rPr>
                <w:rFonts w:ascii="Arial" w:cs="Arial" w:eastAsia="Arial" w:hAnsi="Arial"/>
                <w:sz w:val="14"/>
                <w:szCs w:val="14"/>
                <w:color w:val="auto"/>
              </w:rPr>
              <w:t>2,929</w:t>
            </w:r>
          </w:p>
        </w:tc>
        <w:tc>
          <w:tcPr>
            <w:tcW w:w="840" w:type="dxa"/>
            <w:vAlign w:val="bottom"/>
            <w:tcBorders>
              <w:bottom w:val="single" w:sz="8" w:color="auto"/>
            </w:tcBorders>
          </w:tcPr>
          <w:p>
            <w:pPr>
              <w:jc w:val="right"/>
              <w:ind w:right="49"/>
              <w:spacing w:after="0" w:line="155" w:lineRule="exact"/>
              <w:rPr>
                <w:sz w:val="20"/>
                <w:szCs w:val="20"/>
                <w:color w:val="auto"/>
              </w:rPr>
            </w:pPr>
            <w:r>
              <w:rPr>
                <w:rFonts w:ascii="Arial" w:cs="Arial" w:eastAsia="Arial" w:hAnsi="Arial"/>
                <w:sz w:val="14"/>
                <w:szCs w:val="14"/>
                <w:color w:val="auto"/>
              </w:rPr>
              <w:t>(785)</w:t>
            </w:r>
          </w:p>
        </w:tc>
        <w:tc>
          <w:tcPr>
            <w:tcW w:w="620" w:type="dxa"/>
            <w:vAlign w:val="bottom"/>
            <w:tcBorders>
              <w:bottom w:val="single" w:sz="8" w:color="auto"/>
            </w:tcBorders>
          </w:tcPr>
          <w:p>
            <w:pPr>
              <w:jc w:val="right"/>
              <w:ind w:right="49"/>
              <w:spacing w:after="0" w:line="155" w:lineRule="exact"/>
              <w:rPr>
                <w:sz w:val="20"/>
                <w:szCs w:val="20"/>
                <w:color w:val="auto"/>
              </w:rPr>
            </w:pPr>
            <w:r>
              <w:rPr>
                <w:rFonts w:ascii="Arial" w:cs="Arial" w:eastAsia="Arial" w:hAnsi="Arial"/>
                <w:sz w:val="14"/>
                <w:szCs w:val="14"/>
                <w:color w:val="auto"/>
              </w:rPr>
              <w:t>(12)</w:t>
            </w:r>
          </w:p>
        </w:tc>
        <w:tc>
          <w:tcPr>
            <w:tcW w:w="780" w:type="dxa"/>
            <w:vAlign w:val="bottom"/>
            <w:tcBorders>
              <w:bottom w:val="single" w:sz="8" w:color="auto"/>
            </w:tcBorders>
          </w:tcPr>
          <w:p>
            <w:pPr>
              <w:jc w:val="right"/>
              <w:ind w:right="49"/>
              <w:spacing w:after="0" w:line="155" w:lineRule="exact"/>
              <w:rPr>
                <w:sz w:val="20"/>
                <w:szCs w:val="20"/>
                <w:color w:val="auto"/>
              </w:rPr>
            </w:pPr>
            <w:r>
              <w:rPr>
                <w:rFonts w:ascii="Arial" w:cs="Arial" w:eastAsia="Arial" w:hAnsi="Arial"/>
                <w:sz w:val="14"/>
                <w:szCs w:val="14"/>
                <w:color w:val="auto"/>
              </w:rPr>
              <w:t>(797)</w:t>
            </w:r>
          </w:p>
        </w:tc>
        <w:tc>
          <w:tcPr>
            <w:tcW w:w="9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(20)</w:t>
            </w:r>
          </w:p>
        </w:tc>
        <w:tc>
          <w:tcPr>
            <w:tcW w:w="960" w:type="dxa"/>
            <w:vAlign w:val="bottom"/>
            <w:tcBorders>
              <w:bottom w:val="single" w:sz="8" w:color="auto"/>
            </w:tcBorders>
          </w:tcPr>
          <w:p>
            <w:pPr>
              <w:jc w:val="right"/>
              <w:ind w:right="131"/>
              <w:spacing w:after="0" w:line="155" w:lineRule="exact"/>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(817)</w:t>
            </w:r>
          </w:p>
        </w:tc>
        <w:tc>
          <w:tcPr>
            <w:tcW w:w="860" w:type="dxa"/>
            <w:vAlign w:val="bottom"/>
            <w:tcBorders>
              <w:bottom w:val="single" w:sz="8" w:color="auto"/>
            </w:tcBorders>
          </w:tcPr>
          <w:p>
            <w:pPr>
              <w:jc w:val="right"/>
              <w:ind w:right="29"/>
              <w:spacing w:after="0" w:line="155" w:lineRule="exact"/>
              <w:rPr>
                <w:sz w:val="20"/>
                <w:szCs w:val="20"/>
                <w:color w:val="auto"/>
              </w:rPr>
            </w:pPr>
            <w:r>
              <w:rPr>
                <w:rFonts w:ascii="Arial" w:cs="Arial" w:eastAsia="Arial" w:hAnsi="Arial"/>
                <w:sz w:val="14"/>
                <w:szCs w:val="14"/>
                <w:color w:val="auto"/>
              </w:rPr>
              <w:t>2,112</w:t>
            </w:r>
          </w:p>
        </w:tc>
        <w:tc>
          <w:tcPr>
            <w:tcW w:w="0" w:type="dxa"/>
            <w:vAlign w:val="bottom"/>
          </w:tcPr>
          <w:p>
            <w:pPr>
              <w:spacing w:after="0"/>
              <w:rPr>
                <w:sz w:val="1"/>
                <w:szCs w:val="1"/>
                <w:color w:val="auto"/>
              </w:rPr>
            </w:pPr>
          </w:p>
        </w:tc>
      </w:tr>
      <w:tr>
        <w:trPr>
          <w:trHeight w:val="160"/>
        </w:trPr>
        <w:tc>
          <w:tcPr>
            <w:tcW w:w="3800" w:type="dxa"/>
            <w:vAlign w:val="bottom"/>
          </w:tcPr>
          <w:p>
            <w:pPr>
              <w:spacing w:after="0"/>
              <w:rPr>
                <w:sz w:val="20"/>
                <w:szCs w:val="20"/>
                <w:color w:val="auto"/>
              </w:rPr>
            </w:pPr>
            <w:r>
              <w:rPr>
                <w:rFonts w:ascii="Arial" w:cs="Arial" w:eastAsia="Arial" w:hAnsi="Arial"/>
                <w:sz w:val="14"/>
                <w:szCs w:val="14"/>
                <w:color w:val="auto"/>
              </w:rPr>
              <w:t>Cash flow hedging gains/(losses)</w:t>
            </w:r>
          </w:p>
        </w:tc>
        <w:tc>
          <w:tcPr>
            <w:tcW w:w="16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800" w:type="dxa"/>
            <w:vAlign w:val="bottom"/>
          </w:tcPr>
          <w:p>
            <w:pPr>
              <w:ind w:left="140"/>
              <w:spacing w:after="0"/>
              <w:rPr>
                <w:sz w:val="20"/>
                <w:szCs w:val="20"/>
                <w:color w:val="auto"/>
              </w:rPr>
            </w:pPr>
            <w:r>
              <w:rPr>
                <w:rFonts w:ascii="Arial" w:cs="Arial" w:eastAsia="Arial" w:hAnsi="Arial"/>
                <w:sz w:val="14"/>
                <w:szCs w:val="14"/>
                <w:color w:val="auto"/>
              </w:rPr>
              <w:t>Recognised in the year</w:t>
            </w:r>
          </w:p>
        </w:tc>
        <w:tc>
          <w:tcPr>
            <w:tcW w:w="1620" w:type="dxa"/>
            <w:vAlign w:val="bottom"/>
          </w:tcPr>
          <w:p>
            <w:pPr>
              <w:spacing w:after="0"/>
              <w:rPr>
                <w:sz w:val="14"/>
                <w:szCs w:val="14"/>
                <w:color w:val="auto"/>
              </w:rPr>
            </w:pPr>
          </w:p>
        </w:tc>
        <w:tc>
          <w:tcPr>
            <w:tcW w:w="840" w:type="dxa"/>
            <w:vAlign w:val="bottom"/>
          </w:tcPr>
          <w:p>
            <w:pPr>
              <w:jc w:val="right"/>
              <w:ind w:right="89"/>
              <w:spacing w:after="0"/>
              <w:rPr>
                <w:sz w:val="20"/>
                <w:szCs w:val="20"/>
                <w:color w:val="auto"/>
              </w:rPr>
            </w:pPr>
            <w:r>
              <w:rPr>
                <w:rFonts w:ascii="Arial" w:cs="Arial" w:eastAsia="Arial" w:hAnsi="Arial"/>
                <w:sz w:val="14"/>
                <w:szCs w:val="14"/>
                <w:color w:val="auto"/>
              </w:rPr>
              <w:t>606</w:t>
            </w:r>
          </w:p>
        </w:tc>
        <w:tc>
          <w:tcPr>
            <w:tcW w:w="620" w:type="dxa"/>
            <w:vAlign w:val="bottom"/>
          </w:tcPr>
          <w:p>
            <w:pPr>
              <w:jc w:val="right"/>
              <w:ind w:right="49"/>
              <w:spacing w:after="0"/>
              <w:rPr>
                <w:sz w:val="20"/>
                <w:szCs w:val="20"/>
                <w:color w:val="auto"/>
              </w:rPr>
            </w:pPr>
            <w:r>
              <w:rPr>
                <w:rFonts w:ascii="Arial" w:cs="Arial" w:eastAsia="Arial" w:hAnsi="Arial"/>
                <w:sz w:val="14"/>
                <w:szCs w:val="14"/>
                <w:color w:val="auto"/>
              </w:rPr>
              <w:t>(23)</w:t>
            </w:r>
          </w:p>
        </w:tc>
        <w:tc>
          <w:tcPr>
            <w:tcW w:w="780" w:type="dxa"/>
            <w:vAlign w:val="bottom"/>
          </w:tcPr>
          <w:p>
            <w:pPr>
              <w:jc w:val="right"/>
              <w:ind w:right="89"/>
              <w:spacing w:after="0"/>
              <w:rPr>
                <w:sz w:val="20"/>
                <w:szCs w:val="20"/>
                <w:color w:val="auto"/>
              </w:rPr>
            </w:pPr>
            <w:r>
              <w:rPr>
                <w:rFonts w:ascii="Arial" w:cs="Arial" w:eastAsia="Arial" w:hAnsi="Arial"/>
                <w:sz w:val="14"/>
                <w:szCs w:val="14"/>
                <w:color w:val="auto"/>
              </w:rPr>
              <w:t>583</w:t>
            </w:r>
          </w:p>
        </w:tc>
        <w:tc>
          <w:tcPr>
            <w:tcW w:w="9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3800" w:type="dxa"/>
            <w:vAlign w:val="bottom"/>
            <w:tcBorders>
              <w:bottom w:val="single" w:sz="8" w:color="auto"/>
            </w:tcBorders>
          </w:tcPr>
          <w:p>
            <w:pPr>
              <w:ind w:left="140"/>
              <w:spacing w:after="0" w:line="157" w:lineRule="exact"/>
              <w:rPr>
                <w:sz w:val="20"/>
                <w:szCs w:val="20"/>
                <w:color w:val="auto"/>
              </w:rPr>
            </w:pPr>
            <w:r>
              <w:rPr>
                <w:rFonts w:ascii="Arial" w:cs="Arial" w:eastAsia="Arial" w:hAnsi="Arial"/>
                <w:sz w:val="14"/>
                <w:szCs w:val="14"/>
                <w:color w:val="auto"/>
              </w:rPr>
              <w:t>Reclassified to income</w:t>
            </w:r>
          </w:p>
        </w:tc>
        <w:tc>
          <w:tcPr>
            <w:tcW w:w="162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49"/>
              <w:spacing w:after="0" w:line="157" w:lineRule="exact"/>
              <w:rPr>
                <w:sz w:val="20"/>
                <w:szCs w:val="20"/>
                <w:color w:val="auto"/>
              </w:rPr>
            </w:pPr>
            <w:r>
              <w:rPr>
                <w:rFonts w:ascii="Arial" w:cs="Arial" w:eastAsia="Arial" w:hAnsi="Arial"/>
                <w:sz w:val="14"/>
                <w:szCs w:val="14"/>
                <w:color w:val="auto"/>
              </w:rPr>
              <w:t>(56)</w:t>
            </w:r>
          </w:p>
        </w:tc>
        <w:tc>
          <w:tcPr>
            <w:tcW w:w="620" w:type="dxa"/>
            <w:vAlign w:val="bottom"/>
            <w:tcBorders>
              <w:bottom w:val="single" w:sz="8" w:color="auto"/>
            </w:tcBorders>
          </w:tcPr>
          <w:p>
            <w:pPr>
              <w:jc w:val="right"/>
              <w:ind w:right="89"/>
              <w:spacing w:after="0" w:line="157" w:lineRule="exact"/>
              <w:rPr>
                <w:sz w:val="20"/>
                <w:szCs w:val="20"/>
                <w:color w:val="auto"/>
              </w:rPr>
            </w:pPr>
            <w:r>
              <w:rPr>
                <w:rFonts w:ascii="Arial" w:cs="Arial" w:eastAsia="Arial" w:hAnsi="Arial"/>
                <w:sz w:val="14"/>
                <w:szCs w:val="14"/>
                <w:color w:val="auto"/>
              </w:rPr>
              <w:t>1</w:t>
            </w:r>
          </w:p>
        </w:tc>
        <w:tc>
          <w:tcPr>
            <w:tcW w:w="780" w:type="dxa"/>
            <w:vAlign w:val="bottom"/>
            <w:tcBorders>
              <w:bottom w:val="single" w:sz="8" w:color="auto"/>
            </w:tcBorders>
          </w:tcPr>
          <w:p>
            <w:pPr>
              <w:jc w:val="right"/>
              <w:ind w:right="49"/>
              <w:spacing w:after="0" w:line="157" w:lineRule="exact"/>
              <w:rPr>
                <w:sz w:val="20"/>
                <w:szCs w:val="20"/>
                <w:color w:val="auto"/>
              </w:rPr>
            </w:pPr>
            <w:r>
              <w:rPr>
                <w:rFonts w:ascii="Arial" w:cs="Arial" w:eastAsia="Arial" w:hAnsi="Arial"/>
                <w:sz w:val="14"/>
                <w:szCs w:val="14"/>
                <w:color w:val="auto"/>
              </w:rPr>
              <w:t>(55)</w:t>
            </w:r>
          </w:p>
        </w:tc>
        <w:tc>
          <w:tcPr>
            <w:tcW w:w="98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3800" w:type="dxa"/>
            <w:vAlign w:val="bottom"/>
            <w:tcBorders>
              <w:bottom w:val="single" w:sz="8" w:color="auto"/>
            </w:tcBorders>
          </w:tcPr>
          <w:p>
            <w:pPr>
              <w:spacing w:after="0" w:line="155" w:lineRule="exact"/>
              <w:rPr>
                <w:sz w:val="20"/>
                <w:szCs w:val="20"/>
                <w:color w:val="auto"/>
              </w:rPr>
            </w:pPr>
            <w:r>
              <w:rPr>
                <w:rFonts w:ascii="Arial" w:cs="Arial" w:eastAsia="Arial" w:hAnsi="Arial"/>
                <w:sz w:val="14"/>
                <w:szCs w:val="14"/>
                <w:color w:val="auto"/>
              </w:rPr>
              <w:t>Net cash flow hedging gains/(losses)</w:t>
            </w:r>
          </w:p>
        </w:tc>
        <w:tc>
          <w:tcPr>
            <w:tcW w:w="16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(46)</w:t>
            </w:r>
          </w:p>
        </w:tc>
        <w:tc>
          <w:tcPr>
            <w:tcW w:w="840" w:type="dxa"/>
            <w:vAlign w:val="bottom"/>
            <w:tcBorders>
              <w:bottom w:val="single" w:sz="8" w:color="auto"/>
            </w:tcBorders>
          </w:tcPr>
          <w:p>
            <w:pPr>
              <w:jc w:val="right"/>
              <w:ind w:right="89"/>
              <w:spacing w:after="0" w:line="155" w:lineRule="exact"/>
              <w:rPr>
                <w:sz w:val="20"/>
                <w:szCs w:val="20"/>
                <w:color w:val="auto"/>
              </w:rPr>
            </w:pPr>
            <w:r>
              <w:rPr>
                <w:rFonts w:ascii="Arial" w:cs="Arial" w:eastAsia="Arial" w:hAnsi="Arial"/>
                <w:sz w:val="14"/>
                <w:szCs w:val="14"/>
                <w:color w:val="auto"/>
              </w:rPr>
              <w:t>550</w:t>
            </w:r>
          </w:p>
        </w:tc>
        <w:tc>
          <w:tcPr>
            <w:tcW w:w="620" w:type="dxa"/>
            <w:vAlign w:val="bottom"/>
            <w:tcBorders>
              <w:bottom w:val="single" w:sz="8" w:color="auto"/>
            </w:tcBorders>
          </w:tcPr>
          <w:p>
            <w:pPr>
              <w:jc w:val="right"/>
              <w:ind w:right="49"/>
              <w:spacing w:after="0" w:line="155" w:lineRule="exact"/>
              <w:rPr>
                <w:sz w:val="20"/>
                <w:szCs w:val="20"/>
                <w:color w:val="auto"/>
              </w:rPr>
            </w:pPr>
            <w:r>
              <w:rPr>
                <w:rFonts w:ascii="Arial" w:cs="Arial" w:eastAsia="Arial" w:hAnsi="Arial"/>
                <w:sz w:val="14"/>
                <w:szCs w:val="14"/>
                <w:color w:val="auto"/>
              </w:rPr>
              <w:t>(22)</w:t>
            </w:r>
          </w:p>
        </w:tc>
        <w:tc>
          <w:tcPr>
            <w:tcW w:w="780" w:type="dxa"/>
            <w:vAlign w:val="bottom"/>
            <w:tcBorders>
              <w:bottom w:val="single" w:sz="8" w:color="auto"/>
            </w:tcBorders>
          </w:tcPr>
          <w:p>
            <w:pPr>
              <w:jc w:val="right"/>
              <w:ind w:right="89"/>
              <w:spacing w:after="0" w:line="155" w:lineRule="exact"/>
              <w:rPr>
                <w:sz w:val="20"/>
                <w:szCs w:val="20"/>
                <w:color w:val="auto"/>
              </w:rPr>
            </w:pPr>
            <w:r>
              <w:rPr>
                <w:rFonts w:ascii="Arial" w:cs="Arial" w:eastAsia="Arial" w:hAnsi="Arial"/>
                <w:sz w:val="14"/>
                <w:szCs w:val="14"/>
                <w:color w:val="auto"/>
              </w:rPr>
              <w:t>528</w:t>
            </w:r>
          </w:p>
        </w:tc>
        <w:tc>
          <w:tcPr>
            <w:tcW w:w="9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(24)</w:t>
            </w:r>
          </w:p>
        </w:tc>
        <w:tc>
          <w:tcPr>
            <w:tcW w:w="960" w:type="dxa"/>
            <w:vAlign w:val="bottom"/>
            <w:tcBorders>
              <w:bottom w:val="single" w:sz="8" w:color="auto"/>
            </w:tcBorders>
          </w:tcPr>
          <w:p>
            <w:pPr>
              <w:jc w:val="right"/>
              <w:ind w:right="131"/>
              <w:spacing w:after="0" w:line="155" w:lineRule="exact"/>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504</w:t>
            </w:r>
          </w:p>
        </w:tc>
        <w:tc>
          <w:tcPr>
            <w:tcW w:w="860" w:type="dxa"/>
            <w:vAlign w:val="bottom"/>
            <w:tcBorders>
              <w:bottom w:val="single" w:sz="8" w:color="auto"/>
            </w:tcBorders>
          </w:tcPr>
          <w:p>
            <w:pPr>
              <w:jc w:val="right"/>
              <w:ind w:right="29"/>
              <w:spacing w:after="0" w:line="155" w:lineRule="exact"/>
              <w:rPr>
                <w:sz w:val="20"/>
                <w:szCs w:val="20"/>
                <w:color w:val="auto"/>
              </w:rPr>
            </w:pPr>
            <w:r>
              <w:rPr>
                <w:rFonts w:ascii="Arial" w:cs="Arial" w:eastAsia="Arial" w:hAnsi="Arial"/>
                <w:sz w:val="14"/>
                <w:szCs w:val="14"/>
                <w:color w:val="auto"/>
              </w:rPr>
              <w:t>458</w:t>
            </w:r>
          </w:p>
        </w:tc>
        <w:tc>
          <w:tcPr>
            <w:tcW w:w="0" w:type="dxa"/>
            <w:vAlign w:val="bottom"/>
          </w:tcPr>
          <w:p>
            <w:pPr>
              <w:spacing w:after="0"/>
              <w:rPr>
                <w:sz w:val="1"/>
                <w:szCs w:val="1"/>
                <w:color w:val="auto"/>
              </w:rPr>
            </w:pPr>
          </w:p>
        </w:tc>
      </w:tr>
      <w:tr>
        <w:trPr>
          <w:trHeight w:val="156"/>
        </w:trPr>
        <w:tc>
          <w:tcPr>
            <w:tcW w:w="3800" w:type="dxa"/>
            <w:vAlign w:val="bottom"/>
            <w:tcBorders>
              <w:bottom w:val="single" w:sz="8" w:color="auto"/>
            </w:tcBorders>
          </w:tcPr>
          <w:p>
            <w:pPr>
              <w:spacing w:after="0" w:line="155" w:lineRule="exact"/>
              <w:rPr>
                <w:sz w:val="20"/>
                <w:szCs w:val="20"/>
                <w:color w:val="auto"/>
              </w:rPr>
            </w:pPr>
            <w:r>
              <w:rPr>
                <w:rFonts w:ascii="Arial" w:cs="Arial" w:eastAsia="Arial" w:hAnsi="Arial"/>
                <w:sz w:val="14"/>
                <w:szCs w:val="14"/>
                <w:color w:val="auto"/>
              </w:rPr>
              <w:t>Retirement benefits remeasurements</w:t>
            </w:r>
          </w:p>
        </w:tc>
        <w:tc>
          <w:tcPr>
            <w:tcW w:w="16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(9,880)</w:t>
            </w:r>
          </w:p>
        </w:tc>
        <w:tc>
          <w:tcPr>
            <w:tcW w:w="840" w:type="dxa"/>
            <w:vAlign w:val="bottom"/>
            <w:tcBorders>
              <w:bottom w:val="single" w:sz="8" w:color="auto"/>
            </w:tcBorders>
          </w:tcPr>
          <w:p>
            <w:pPr>
              <w:jc w:val="right"/>
              <w:ind w:right="49"/>
              <w:spacing w:after="0" w:line="155" w:lineRule="exact"/>
              <w:rPr>
                <w:sz w:val="20"/>
                <w:szCs w:val="20"/>
                <w:color w:val="auto"/>
              </w:rPr>
            </w:pPr>
            <w:r>
              <w:rPr>
                <w:rFonts w:ascii="Arial" w:cs="Arial" w:eastAsia="Arial" w:hAnsi="Arial"/>
                <w:sz w:val="14"/>
                <w:szCs w:val="14"/>
                <w:color w:val="auto"/>
              </w:rPr>
              <w:t>(8,720)</w:t>
            </w:r>
          </w:p>
        </w:tc>
        <w:tc>
          <w:tcPr>
            <w:tcW w:w="620" w:type="dxa"/>
            <w:vAlign w:val="bottom"/>
            <w:tcBorders>
              <w:bottom w:val="single" w:sz="8" w:color="auto"/>
            </w:tcBorders>
          </w:tcPr>
          <w:p>
            <w:pPr>
              <w:jc w:val="right"/>
              <w:ind w:right="89"/>
              <w:spacing w:after="0" w:line="155" w:lineRule="exact"/>
              <w:rPr>
                <w:sz w:val="20"/>
                <w:szCs w:val="20"/>
                <w:color w:val="auto"/>
              </w:rPr>
            </w:pPr>
            <w:r>
              <w:rPr>
                <w:rFonts w:ascii="Arial" w:cs="Arial" w:eastAsia="Arial" w:hAnsi="Arial"/>
                <w:sz w:val="14"/>
                <w:szCs w:val="14"/>
                <w:color w:val="auto"/>
              </w:rPr>
              <w:t>2,238</w:t>
            </w:r>
          </w:p>
        </w:tc>
        <w:tc>
          <w:tcPr>
            <w:tcW w:w="780" w:type="dxa"/>
            <w:vAlign w:val="bottom"/>
            <w:tcBorders>
              <w:bottom w:val="single" w:sz="8" w:color="auto"/>
            </w:tcBorders>
          </w:tcPr>
          <w:p>
            <w:pPr>
              <w:jc w:val="right"/>
              <w:ind w:right="49"/>
              <w:spacing w:after="0" w:line="155" w:lineRule="exact"/>
              <w:rPr>
                <w:sz w:val="20"/>
                <w:szCs w:val="20"/>
                <w:color w:val="auto"/>
              </w:rPr>
            </w:pPr>
            <w:r>
              <w:rPr>
                <w:rFonts w:ascii="Arial" w:cs="Arial" w:eastAsia="Arial" w:hAnsi="Arial"/>
                <w:sz w:val="14"/>
                <w:szCs w:val="14"/>
                <w:color w:val="auto"/>
              </w:rPr>
              <w:t>(6,482)</w:t>
            </w:r>
          </w:p>
        </w:tc>
        <w:tc>
          <w:tcPr>
            <w:tcW w:w="980" w:type="dxa"/>
            <w:vAlign w:val="bottom"/>
            <w:tcBorders>
              <w:bottom w:val="single" w:sz="8" w:color="auto"/>
            </w:tcBorders>
          </w:tcPr>
          <w:p>
            <w:pPr>
              <w:jc w:val="right"/>
              <w:ind w:right="32"/>
              <w:spacing w:after="0" w:line="155" w:lineRule="exact"/>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tcPr>
          <w:p>
            <w:pPr>
              <w:jc w:val="right"/>
              <w:ind w:right="71"/>
              <w:spacing w:after="0" w:line="155" w:lineRule="exact"/>
              <w:rPr>
                <w:sz w:val="20"/>
                <w:szCs w:val="20"/>
                <w:color w:val="auto"/>
              </w:rPr>
            </w:pPr>
            <w:r>
              <w:rPr>
                <w:rFonts w:ascii="Arial" w:cs="Arial" w:eastAsia="Arial" w:hAnsi="Arial"/>
                <w:sz w:val="14"/>
                <w:szCs w:val="14"/>
                <w:color w:val="auto"/>
              </w:rPr>
              <w:t>(7)</w:t>
            </w:r>
          </w:p>
        </w:tc>
        <w:tc>
          <w:tcPr>
            <w:tcW w:w="9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(6,489)</w:t>
            </w:r>
          </w:p>
        </w:tc>
        <w:tc>
          <w:tcPr>
            <w:tcW w:w="8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(16,369)</w:t>
            </w:r>
          </w:p>
        </w:tc>
        <w:tc>
          <w:tcPr>
            <w:tcW w:w="0" w:type="dxa"/>
            <w:vAlign w:val="bottom"/>
          </w:tcPr>
          <w:p>
            <w:pPr>
              <w:spacing w:after="0"/>
              <w:rPr>
                <w:sz w:val="1"/>
                <w:szCs w:val="1"/>
                <w:color w:val="auto"/>
              </w:rPr>
            </w:pPr>
          </w:p>
        </w:tc>
      </w:tr>
      <w:tr>
        <w:trPr>
          <w:trHeight w:val="156"/>
        </w:trPr>
        <w:tc>
          <w:tcPr>
            <w:tcW w:w="3800" w:type="dxa"/>
            <w:vAlign w:val="bottom"/>
            <w:tcBorders>
              <w:bottom w:val="single" w:sz="8" w:color="auto"/>
            </w:tcBorders>
          </w:tcPr>
          <w:p>
            <w:pPr>
              <w:spacing w:after="0" w:line="155" w:lineRule="exact"/>
              <w:rPr>
                <w:sz w:val="20"/>
                <w:szCs w:val="20"/>
                <w:color w:val="auto"/>
              </w:rPr>
            </w:pPr>
            <w:r>
              <w:rPr>
                <w:rFonts w:ascii="Arial" w:cs="Arial" w:eastAsia="Arial" w:hAnsi="Arial"/>
                <w:sz w:val="14"/>
                <w:szCs w:val="14"/>
                <w:color w:val="auto"/>
              </w:rPr>
              <w:t>Total</w:t>
            </w:r>
          </w:p>
        </w:tc>
        <w:tc>
          <w:tcPr>
            <w:tcW w:w="16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(7,548)</w:t>
            </w:r>
          </w:p>
        </w:tc>
        <w:tc>
          <w:tcPr>
            <w:tcW w:w="840" w:type="dxa"/>
            <w:vAlign w:val="bottom"/>
            <w:tcBorders>
              <w:bottom w:val="single" w:sz="8" w:color="auto"/>
            </w:tcBorders>
          </w:tcPr>
          <w:p>
            <w:pPr>
              <w:jc w:val="right"/>
              <w:ind w:right="49"/>
              <w:spacing w:after="0" w:line="155" w:lineRule="exact"/>
              <w:rPr>
                <w:sz w:val="20"/>
                <w:szCs w:val="20"/>
                <w:color w:val="auto"/>
              </w:rPr>
            </w:pPr>
            <w:r>
              <w:rPr>
                <w:rFonts w:ascii="Arial" w:cs="Arial" w:eastAsia="Arial" w:hAnsi="Arial"/>
                <w:sz w:val="14"/>
                <w:szCs w:val="14"/>
                <w:color w:val="auto"/>
              </w:rPr>
              <w:t>(14,271)</w:t>
            </w:r>
          </w:p>
        </w:tc>
        <w:tc>
          <w:tcPr>
            <w:tcW w:w="620" w:type="dxa"/>
            <w:vAlign w:val="bottom"/>
            <w:tcBorders>
              <w:bottom w:val="single" w:sz="8" w:color="auto"/>
            </w:tcBorders>
          </w:tcPr>
          <w:p>
            <w:pPr>
              <w:jc w:val="right"/>
              <w:ind w:right="89"/>
              <w:spacing w:after="0" w:line="155" w:lineRule="exact"/>
              <w:rPr>
                <w:sz w:val="20"/>
                <w:szCs w:val="20"/>
                <w:color w:val="auto"/>
              </w:rPr>
            </w:pPr>
            <w:r>
              <w:rPr>
                <w:rFonts w:ascii="Arial" w:cs="Arial" w:eastAsia="Arial" w:hAnsi="Arial"/>
                <w:sz w:val="14"/>
                <w:szCs w:val="14"/>
                <w:color w:val="auto"/>
              </w:rPr>
              <w:t>2,199</w:t>
            </w:r>
          </w:p>
        </w:tc>
        <w:tc>
          <w:tcPr>
            <w:tcW w:w="780" w:type="dxa"/>
            <w:vAlign w:val="bottom"/>
            <w:tcBorders>
              <w:bottom w:val="single" w:sz="8" w:color="auto"/>
            </w:tcBorders>
          </w:tcPr>
          <w:p>
            <w:pPr>
              <w:jc w:val="right"/>
              <w:ind w:right="49"/>
              <w:spacing w:after="0" w:line="155" w:lineRule="exact"/>
              <w:rPr>
                <w:sz w:val="20"/>
                <w:szCs w:val="20"/>
                <w:color w:val="auto"/>
              </w:rPr>
            </w:pPr>
            <w:r>
              <w:rPr>
                <w:rFonts w:ascii="Arial" w:cs="Arial" w:eastAsia="Arial" w:hAnsi="Arial"/>
                <w:sz w:val="14"/>
                <w:szCs w:val="14"/>
                <w:color w:val="auto"/>
              </w:rPr>
              <w:t>(12,072)</w:t>
            </w:r>
          </w:p>
        </w:tc>
        <w:tc>
          <w:tcPr>
            <w:tcW w:w="9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(156)</w:t>
            </w:r>
          </w:p>
        </w:tc>
        <w:tc>
          <w:tcPr>
            <w:tcW w:w="960" w:type="dxa"/>
            <w:vAlign w:val="bottom"/>
            <w:tcBorders>
              <w:bottom w:val="single" w:sz="8" w:color="auto"/>
            </w:tcBorders>
          </w:tcPr>
          <w:p>
            <w:pPr>
              <w:jc w:val="right"/>
              <w:ind w:right="131"/>
              <w:spacing w:after="0" w:line="155" w:lineRule="exact"/>
              <w:rPr>
                <w:sz w:val="20"/>
                <w:szCs w:val="20"/>
                <w:color w:val="auto"/>
              </w:rPr>
            </w:pPr>
            <w:r>
              <w:rPr>
                <w:rFonts w:ascii="Arial" w:cs="Arial" w:eastAsia="Arial" w:hAnsi="Arial"/>
                <w:sz w:val="14"/>
                <w:szCs w:val="14"/>
                <w:color w:val="auto"/>
              </w:rPr>
              <w:t>46</w:t>
            </w:r>
          </w:p>
        </w:tc>
        <w:tc>
          <w:tcPr>
            <w:tcW w:w="9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(12,182)</w:t>
            </w:r>
          </w:p>
        </w:tc>
        <w:tc>
          <w:tcPr>
            <w:tcW w:w="8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(19,730)</w:t>
            </w:r>
          </w:p>
        </w:tc>
        <w:tc>
          <w:tcPr>
            <w:tcW w:w="0" w:type="dxa"/>
            <w:vAlign w:val="bottom"/>
          </w:tcPr>
          <w:p>
            <w:pPr>
              <w:spacing w:after="0"/>
              <w:rPr>
                <w:sz w:val="1"/>
                <w:szCs w:val="1"/>
                <w:color w:val="auto"/>
              </w:rPr>
            </w:pPr>
          </w:p>
        </w:tc>
      </w:tr>
    </w:tbl>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3500" w:type="dxa"/>
            <w:vAlign w:val="bottom"/>
            <w:shd w:val="clear" w:color="auto" w:fill="333333"/>
          </w:tcPr>
          <w:p>
            <w:pPr>
              <w:ind w:left="80"/>
              <w:spacing w:after="0"/>
              <w:rPr>
                <w:sz w:val="20"/>
                <w:szCs w:val="20"/>
                <w:color w:val="auto"/>
              </w:rPr>
            </w:pPr>
            <w:r>
              <w:rPr>
                <w:rFonts w:ascii="Arial" w:cs="Arial" w:eastAsia="Arial" w:hAnsi="Arial"/>
                <w:sz w:val="15"/>
                <w:szCs w:val="15"/>
                <w:b w:val="1"/>
                <w:bCs w:val="1"/>
                <w:color w:val="FFFFFF"/>
              </w:rPr>
              <w:t>2013</w:t>
            </w:r>
          </w:p>
        </w:tc>
        <w:tc>
          <w:tcPr>
            <w:tcW w:w="1400" w:type="dxa"/>
            <w:vAlign w:val="bottom"/>
            <w:shd w:val="clear" w:color="auto" w:fill="333333"/>
          </w:tcPr>
          <w:p>
            <w:pPr>
              <w:spacing w:after="0"/>
              <w:rPr>
                <w:sz w:val="15"/>
                <w:szCs w:val="15"/>
                <w:color w:val="auto"/>
              </w:rPr>
            </w:pPr>
          </w:p>
        </w:tc>
        <w:tc>
          <w:tcPr>
            <w:tcW w:w="900" w:type="dxa"/>
            <w:vAlign w:val="bottom"/>
            <w:shd w:val="clear" w:color="auto" w:fill="333333"/>
          </w:tcPr>
          <w:p>
            <w:pPr>
              <w:spacing w:after="0"/>
              <w:rPr>
                <w:sz w:val="15"/>
                <w:szCs w:val="15"/>
                <w:color w:val="auto"/>
              </w:rPr>
            </w:pPr>
          </w:p>
        </w:tc>
        <w:tc>
          <w:tcPr>
            <w:tcW w:w="780" w:type="dxa"/>
            <w:vAlign w:val="bottom"/>
            <w:shd w:val="clear" w:color="auto" w:fill="333333"/>
          </w:tcPr>
          <w:p>
            <w:pPr>
              <w:spacing w:after="0"/>
              <w:rPr>
                <w:sz w:val="15"/>
                <w:szCs w:val="15"/>
                <w:color w:val="auto"/>
              </w:rPr>
            </w:pPr>
          </w:p>
        </w:tc>
        <w:tc>
          <w:tcPr>
            <w:tcW w:w="800" w:type="dxa"/>
            <w:vAlign w:val="bottom"/>
            <w:shd w:val="clear" w:color="auto" w:fill="333333"/>
          </w:tcPr>
          <w:p>
            <w:pPr>
              <w:spacing w:after="0"/>
              <w:rPr>
                <w:sz w:val="15"/>
                <w:szCs w:val="15"/>
                <w:color w:val="auto"/>
              </w:rPr>
            </w:pPr>
          </w:p>
        </w:tc>
        <w:tc>
          <w:tcPr>
            <w:tcW w:w="1020" w:type="dxa"/>
            <w:vAlign w:val="bottom"/>
            <w:shd w:val="clear" w:color="auto" w:fill="333333"/>
          </w:tcPr>
          <w:p>
            <w:pPr>
              <w:spacing w:after="0"/>
              <w:rPr>
                <w:sz w:val="15"/>
                <w:szCs w:val="15"/>
                <w:color w:val="auto"/>
              </w:rPr>
            </w:pPr>
          </w:p>
        </w:tc>
        <w:tc>
          <w:tcPr>
            <w:tcW w:w="1100" w:type="dxa"/>
            <w:vAlign w:val="bottom"/>
            <w:shd w:val="clear" w:color="auto" w:fill="333333"/>
          </w:tcPr>
          <w:p>
            <w:pPr>
              <w:spacing w:after="0"/>
              <w:rPr>
                <w:sz w:val="15"/>
                <w:szCs w:val="15"/>
                <w:color w:val="auto"/>
              </w:rPr>
            </w:pPr>
          </w:p>
        </w:tc>
        <w:tc>
          <w:tcPr>
            <w:tcW w:w="1060" w:type="dxa"/>
            <w:vAlign w:val="bottom"/>
            <w:shd w:val="clear" w:color="auto" w:fill="333333"/>
          </w:tcPr>
          <w:p>
            <w:pPr>
              <w:spacing w:after="0"/>
              <w:rPr>
                <w:sz w:val="15"/>
                <w:szCs w:val="15"/>
                <w:color w:val="auto"/>
              </w:rPr>
            </w:pPr>
          </w:p>
        </w:tc>
        <w:tc>
          <w:tcPr>
            <w:tcW w:w="860" w:type="dxa"/>
            <w:vAlign w:val="bottom"/>
            <w:shd w:val="clear" w:color="auto" w:fill="333333"/>
          </w:tcPr>
          <w:p>
            <w:pPr>
              <w:jc w:val="right"/>
              <w:ind w:right="29"/>
              <w:spacing w:after="0"/>
              <w:rPr>
                <w:sz w:val="20"/>
                <w:szCs w:val="20"/>
                <w:color w:val="auto"/>
              </w:rPr>
            </w:pPr>
            <w:r>
              <w:rPr>
                <w:rFonts w:ascii="Arial" w:cs="Arial" w:eastAsia="Arial" w:hAnsi="Arial"/>
                <w:sz w:val="15"/>
                <w:szCs w:val="15"/>
                <w:color w:val="FFFFFF"/>
              </w:rPr>
              <w:t>$ MILLION</w:t>
            </w:r>
          </w:p>
        </w:tc>
        <w:tc>
          <w:tcPr>
            <w:tcW w:w="0" w:type="dxa"/>
            <w:vAlign w:val="bottom"/>
          </w:tcPr>
          <w:p>
            <w:pPr>
              <w:spacing w:after="0"/>
              <w:rPr>
                <w:sz w:val="1"/>
                <w:szCs w:val="1"/>
                <w:color w:val="auto"/>
              </w:rPr>
            </w:pPr>
          </w:p>
        </w:tc>
      </w:tr>
      <w:tr>
        <w:trPr>
          <w:trHeight w:val="135"/>
        </w:trPr>
        <w:tc>
          <w:tcPr>
            <w:tcW w:w="350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90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1820" w:type="dxa"/>
            <w:vAlign w:val="bottom"/>
            <w:tcBorders>
              <w:bottom w:val="single" w:sz="8" w:color="auto"/>
            </w:tcBorders>
            <w:gridSpan w:val="2"/>
          </w:tcPr>
          <w:p>
            <w:pPr>
              <w:jc w:val="right"/>
              <w:ind w:right="12"/>
              <w:spacing w:after="0" w:line="135" w:lineRule="exact"/>
              <w:rPr>
                <w:sz w:val="20"/>
                <w:szCs w:val="20"/>
                <w:color w:val="auto"/>
              </w:rPr>
            </w:pPr>
            <w:r>
              <w:rPr>
                <w:rFonts w:ascii="Arial" w:cs="Arial" w:eastAsia="Arial" w:hAnsi="Arial"/>
                <w:sz w:val="13"/>
                <w:szCs w:val="13"/>
                <w:color w:val="auto"/>
              </w:rPr>
              <w:t>Recognised in 2013</w:t>
            </w:r>
          </w:p>
        </w:tc>
        <w:tc>
          <w:tcPr>
            <w:tcW w:w="1100" w:type="dxa"/>
            <w:vAlign w:val="bottom"/>
          </w:tcPr>
          <w:p>
            <w:pPr>
              <w:spacing w:after="0"/>
              <w:rPr>
                <w:sz w:val="11"/>
                <w:szCs w:val="11"/>
                <w:color w:val="auto"/>
              </w:rPr>
            </w:pPr>
          </w:p>
        </w:tc>
        <w:tc>
          <w:tcPr>
            <w:tcW w:w="1060" w:type="dxa"/>
            <w:vAlign w:val="bottom"/>
            <w:vMerge w:val="restart"/>
          </w:tcPr>
          <w:p>
            <w:pPr>
              <w:jc w:val="right"/>
              <w:ind w:right="12"/>
              <w:spacing w:after="0"/>
              <w:rPr>
                <w:sz w:val="20"/>
                <w:szCs w:val="20"/>
                <w:color w:val="auto"/>
              </w:rPr>
            </w:pPr>
            <w:r>
              <w:rPr>
                <w:rFonts w:ascii="Arial" w:cs="Arial" w:eastAsia="Arial" w:hAnsi="Arial"/>
                <w:sz w:val="13"/>
                <w:szCs w:val="13"/>
                <w:color w:val="auto"/>
              </w:rPr>
              <w:t>Attributable to</w:t>
            </w:r>
          </w:p>
        </w:tc>
        <w:tc>
          <w:tcPr>
            <w:tcW w:w="8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3"/>
        </w:trPr>
        <w:tc>
          <w:tcPr>
            <w:tcW w:w="350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20" w:type="dxa"/>
            <w:vAlign w:val="bottom"/>
          </w:tcPr>
          <w:p>
            <w:pPr>
              <w:jc w:val="right"/>
              <w:ind w:right="12"/>
              <w:spacing w:after="0" w:line="123" w:lineRule="exact"/>
              <w:rPr>
                <w:sz w:val="20"/>
                <w:szCs w:val="20"/>
                <w:color w:val="auto"/>
              </w:rPr>
            </w:pPr>
            <w:r>
              <w:rPr>
                <w:rFonts w:ascii="Arial" w:cs="Arial" w:eastAsia="Arial" w:hAnsi="Arial"/>
                <w:sz w:val="13"/>
                <w:szCs w:val="13"/>
                <w:color w:val="auto"/>
              </w:rPr>
              <w:t>Share of</w:t>
            </w:r>
          </w:p>
        </w:tc>
        <w:tc>
          <w:tcPr>
            <w:tcW w:w="1100" w:type="dxa"/>
            <w:vAlign w:val="bottom"/>
          </w:tcPr>
          <w:p>
            <w:pPr>
              <w:spacing w:after="0"/>
              <w:rPr>
                <w:sz w:val="10"/>
                <w:szCs w:val="10"/>
                <w:color w:val="auto"/>
              </w:rPr>
            </w:pPr>
          </w:p>
        </w:tc>
        <w:tc>
          <w:tcPr>
            <w:tcW w:w="1060" w:type="dxa"/>
            <w:vAlign w:val="bottom"/>
            <w:vMerge w:val="continue"/>
          </w:tcPr>
          <w:p>
            <w:pPr>
              <w:spacing w:after="0"/>
              <w:rPr>
                <w:sz w:val="10"/>
                <w:szCs w:val="10"/>
                <w:color w:val="auto"/>
              </w:rPr>
            </w:pPr>
          </w:p>
        </w:tc>
        <w:tc>
          <w:tcPr>
            <w:tcW w:w="8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350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20" w:type="dxa"/>
            <w:vAlign w:val="bottom"/>
          </w:tcPr>
          <w:p>
            <w:pPr>
              <w:jc w:val="right"/>
              <w:ind w:right="12"/>
              <w:spacing w:after="0" w:line="135" w:lineRule="exact"/>
              <w:rPr>
                <w:sz w:val="20"/>
                <w:szCs w:val="20"/>
                <w:color w:val="auto"/>
              </w:rPr>
            </w:pPr>
            <w:r>
              <w:rPr>
                <w:rFonts w:ascii="Arial" w:cs="Arial" w:eastAsia="Arial" w:hAnsi="Arial"/>
                <w:sz w:val="13"/>
                <w:szCs w:val="13"/>
                <w:color w:val="auto"/>
              </w:rPr>
              <w:t>joint ventures</w:t>
            </w:r>
          </w:p>
        </w:tc>
        <w:tc>
          <w:tcPr>
            <w:tcW w:w="1100" w:type="dxa"/>
            <w:vAlign w:val="bottom"/>
          </w:tcPr>
          <w:p>
            <w:pPr>
              <w:jc w:val="right"/>
              <w:ind w:right="151"/>
              <w:spacing w:after="0" w:line="135" w:lineRule="exact"/>
              <w:rPr>
                <w:sz w:val="20"/>
                <w:szCs w:val="20"/>
                <w:color w:val="auto"/>
              </w:rPr>
            </w:pPr>
            <w:r>
              <w:rPr>
                <w:rFonts w:ascii="Arial" w:cs="Arial" w:eastAsia="Arial" w:hAnsi="Arial"/>
                <w:sz w:val="13"/>
                <w:szCs w:val="13"/>
                <w:color w:val="auto"/>
              </w:rPr>
              <w:t>Non-</w:t>
            </w:r>
          </w:p>
        </w:tc>
        <w:tc>
          <w:tcPr>
            <w:tcW w:w="1060" w:type="dxa"/>
            <w:vAlign w:val="bottom"/>
          </w:tcPr>
          <w:p>
            <w:pPr>
              <w:jc w:val="right"/>
              <w:ind w:right="12"/>
              <w:spacing w:after="0" w:line="135" w:lineRule="exact"/>
              <w:rPr>
                <w:sz w:val="20"/>
                <w:szCs w:val="20"/>
                <w:color w:val="auto"/>
              </w:rPr>
            </w:pPr>
            <w:r>
              <w:rPr>
                <w:rFonts w:ascii="Arial" w:cs="Arial" w:eastAsia="Arial" w:hAnsi="Arial"/>
                <w:sz w:val="13"/>
                <w:szCs w:val="13"/>
                <w:color w:val="auto"/>
              </w:rPr>
              <w:t>Royal Dutch</w:t>
            </w:r>
          </w:p>
        </w:tc>
        <w:tc>
          <w:tcPr>
            <w:tcW w:w="8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50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tcPr>
          <w:p>
            <w:pPr>
              <w:jc w:val="right"/>
              <w:ind w:right="150"/>
              <w:spacing w:after="0" w:line="135" w:lineRule="exact"/>
              <w:rPr>
                <w:sz w:val="20"/>
                <w:szCs w:val="20"/>
                <w:color w:val="auto"/>
              </w:rPr>
            </w:pPr>
            <w:r>
              <w:rPr>
                <w:rFonts w:ascii="Arial" w:cs="Arial" w:eastAsia="Arial" w:hAnsi="Arial"/>
                <w:sz w:val="13"/>
                <w:szCs w:val="13"/>
                <w:color w:val="auto"/>
              </w:rPr>
              <w:t>After</w:t>
            </w:r>
          </w:p>
        </w:tc>
        <w:tc>
          <w:tcPr>
            <w:tcW w:w="1020" w:type="dxa"/>
            <w:vAlign w:val="bottom"/>
          </w:tcPr>
          <w:p>
            <w:pPr>
              <w:jc w:val="right"/>
              <w:ind w:right="12"/>
              <w:spacing w:after="0" w:line="135" w:lineRule="exact"/>
              <w:rPr>
                <w:sz w:val="20"/>
                <w:szCs w:val="20"/>
                <w:color w:val="auto"/>
              </w:rPr>
            </w:pPr>
            <w:r>
              <w:rPr>
                <w:rFonts w:ascii="Arial" w:cs="Arial" w:eastAsia="Arial" w:hAnsi="Arial"/>
                <w:sz w:val="13"/>
                <w:szCs w:val="13"/>
                <w:color w:val="auto"/>
              </w:rPr>
              <w:t>and</w:t>
            </w:r>
          </w:p>
        </w:tc>
        <w:tc>
          <w:tcPr>
            <w:tcW w:w="1100" w:type="dxa"/>
            <w:vAlign w:val="bottom"/>
          </w:tcPr>
          <w:p>
            <w:pPr>
              <w:jc w:val="right"/>
              <w:ind w:right="151"/>
              <w:spacing w:after="0" w:line="135" w:lineRule="exact"/>
              <w:rPr>
                <w:sz w:val="20"/>
                <w:szCs w:val="20"/>
                <w:color w:val="auto"/>
              </w:rPr>
            </w:pPr>
            <w:r>
              <w:rPr>
                <w:rFonts w:ascii="Arial" w:cs="Arial" w:eastAsia="Arial" w:hAnsi="Arial"/>
                <w:sz w:val="13"/>
                <w:szCs w:val="13"/>
                <w:color w:val="auto"/>
              </w:rPr>
              <w:t>controlling</w:t>
            </w:r>
          </w:p>
        </w:tc>
        <w:tc>
          <w:tcPr>
            <w:tcW w:w="1060" w:type="dxa"/>
            <w:vAlign w:val="bottom"/>
          </w:tcPr>
          <w:p>
            <w:pPr>
              <w:jc w:val="right"/>
              <w:ind w:right="12"/>
              <w:spacing w:after="0" w:line="135" w:lineRule="exact"/>
              <w:rPr>
                <w:sz w:val="20"/>
                <w:szCs w:val="20"/>
                <w:color w:val="auto"/>
              </w:rPr>
            </w:pPr>
            <w:r>
              <w:rPr>
                <w:rFonts w:ascii="Arial" w:cs="Arial" w:eastAsia="Arial" w:hAnsi="Arial"/>
                <w:sz w:val="13"/>
                <w:szCs w:val="13"/>
                <w:color w:val="auto"/>
              </w:rPr>
              <w:t>Shell plc</w:t>
            </w:r>
          </w:p>
        </w:tc>
        <w:tc>
          <w:tcPr>
            <w:tcW w:w="8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1"/>
        </w:trPr>
        <w:tc>
          <w:tcPr>
            <w:tcW w:w="3500" w:type="dxa"/>
            <w:vAlign w:val="bottom"/>
            <w:tcBorders>
              <w:bottom w:val="single" w:sz="8" w:color="auto"/>
            </w:tcBorders>
          </w:tcPr>
          <w:p>
            <w:pPr>
              <w:spacing w:after="0"/>
              <w:rPr>
                <w:sz w:val="12"/>
                <w:szCs w:val="12"/>
                <w:color w:val="auto"/>
              </w:rPr>
            </w:pPr>
          </w:p>
        </w:tc>
        <w:tc>
          <w:tcPr>
            <w:tcW w:w="1400" w:type="dxa"/>
            <w:vAlign w:val="bottom"/>
            <w:tcBorders>
              <w:bottom w:val="single" w:sz="8" w:color="auto"/>
            </w:tcBorders>
          </w:tcPr>
          <w:p>
            <w:pPr>
              <w:jc w:val="right"/>
              <w:ind w:right="50"/>
              <w:spacing w:after="0" w:line="141" w:lineRule="exact"/>
              <w:rPr>
                <w:sz w:val="20"/>
                <w:szCs w:val="20"/>
                <w:color w:val="auto"/>
              </w:rPr>
            </w:pPr>
            <w:r>
              <w:rPr>
                <w:rFonts w:ascii="Arial" w:cs="Arial" w:eastAsia="Arial" w:hAnsi="Arial"/>
                <w:sz w:val="13"/>
                <w:szCs w:val="13"/>
                <w:color w:val="auto"/>
              </w:rPr>
              <w:t>Jan 1</w:t>
            </w:r>
          </w:p>
        </w:tc>
        <w:tc>
          <w:tcPr>
            <w:tcW w:w="900" w:type="dxa"/>
            <w:vAlign w:val="bottom"/>
            <w:tcBorders>
              <w:bottom w:val="single" w:sz="8" w:color="auto"/>
            </w:tcBorders>
          </w:tcPr>
          <w:p>
            <w:pPr>
              <w:jc w:val="right"/>
              <w:ind w:right="149"/>
              <w:spacing w:after="0" w:line="141" w:lineRule="exact"/>
              <w:rPr>
                <w:sz w:val="20"/>
                <w:szCs w:val="20"/>
                <w:color w:val="auto"/>
              </w:rPr>
            </w:pPr>
            <w:r>
              <w:rPr>
                <w:rFonts w:ascii="Arial" w:cs="Arial" w:eastAsia="Arial" w:hAnsi="Arial"/>
                <w:sz w:val="13"/>
                <w:szCs w:val="13"/>
                <w:color w:val="auto"/>
              </w:rPr>
              <w:t>Pre-tax</w:t>
            </w:r>
          </w:p>
        </w:tc>
        <w:tc>
          <w:tcPr>
            <w:tcW w:w="780" w:type="dxa"/>
            <w:vAlign w:val="bottom"/>
            <w:tcBorders>
              <w:bottom w:val="single" w:sz="8" w:color="auto"/>
            </w:tcBorders>
          </w:tcPr>
          <w:p>
            <w:pPr>
              <w:jc w:val="right"/>
              <w:ind w:right="149"/>
              <w:spacing w:after="0" w:line="141" w:lineRule="exact"/>
              <w:rPr>
                <w:sz w:val="20"/>
                <w:szCs w:val="20"/>
                <w:color w:val="auto"/>
              </w:rPr>
            </w:pPr>
            <w:r>
              <w:rPr>
                <w:rFonts w:ascii="Arial" w:cs="Arial" w:eastAsia="Arial" w:hAnsi="Arial"/>
                <w:sz w:val="13"/>
                <w:szCs w:val="13"/>
                <w:color w:val="auto"/>
              </w:rPr>
              <w:t>Tax</w:t>
            </w:r>
          </w:p>
        </w:tc>
        <w:tc>
          <w:tcPr>
            <w:tcW w:w="800" w:type="dxa"/>
            <w:vAlign w:val="bottom"/>
            <w:tcBorders>
              <w:bottom w:val="single" w:sz="8" w:color="auto"/>
            </w:tcBorders>
          </w:tcPr>
          <w:p>
            <w:pPr>
              <w:jc w:val="right"/>
              <w:ind w:right="150"/>
              <w:spacing w:after="0" w:line="141" w:lineRule="exact"/>
              <w:rPr>
                <w:sz w:val="20"/>
                <w:szCs w:val="20"/>
                <w:color w:val="auto"/>
              </w:rPr>
            </w:pPr>
            <w:r>
              <w:rPr>
                <w:rFonts w:ascii="Arial" w:cs="Arial" w:eastAsia="Arial" w:hAnsi="Arial"/>
                <w:sz w:val="13"/>
                <w:szCs w:val="13"/>
                <w:color w:val="auto"/>
              </w:rPr>
              <w:t>tax</w:t>
            </w:r>
          </w:p>
        </w:tc>
        <w:tc>
          <w:tcPr>
            <w:tcW w:w="1020" w:type="dxa"/>
            <w:vAlign w:val="bottom"/>
            <w:tcBorders>
              <w:bottom w:val="single" w:sz="8" w:color="auto"/>
            </w:tcBorders>
          </w:tcPr>
          <w:p>
            <w:pPr>
              <w:jc w:val="right"/>
              <w:ind w:right="12"/>
              <w:spacing w:after="0" w:line="141" w:lineRule="exact"/>
              <w:rPr>
                <w:sz w:val="20"/>
                <w:szCs w:val="20"/>
                <w:color w:val="auto"/>
              </w:rPr>
            </w:pPr>
            <w:r>
              <w:rPr>
                <w:rFonts w:ascii="Arial" w:cs="Arial" w:eastAsia="Arial" w:hAnsi="Arial"/>
                <w:sz w:val="13"/>
                <w:szCs w:val="13"/>
                <w:color w:val="auto"/>
              </w:rPr>
              <w:t>associates</w:t>
            </w:r>
          </w:p>
        </w:tc>
        <w:tc>
          <w:tcPr>
            <w:tcW w:w="1100" w:type="dxa"/>
            <w:vAlign w:val="bottom"/>
            <w:tcBorders>
              <w:bottom w:val="single" w:sz="8" w:color="auto"/>
            </w:tcBorders>
          </w:tcPr>
          <w:p>
            <w:pPr>
              <w:jc w:val="right"/>
              <w:ind w:right="151"/>
              <w:spacing w:after="0" w:line="141" w:lineRule="exact"/>
              <w:rPr>
                <w:sz w:val="20"/>
                <w:szCs w:val="20"/>
                <w:color w:val="auto"/>
              </w:rPr>
            </w:pPr>
            <w:r>
              <w:rPr>
                <w:rFonts w:ascii="Arial" w:cs="Arial" w:eastAsia="Arial" w:hAnsi="Arial"/>
                <w:sz w:val="13"/>
                <w:szCs w:val="13"/>
                <w:color w:val="auto"/>
              </w:rPr>
              <w:t>interest</w:t>
            </w:r>
          </w:p>
        </w:tc>
        <w:tc>
          <w:tcPr>
            <w:tcW w:w="1060" w:type="dxa"/>
            <w:vAlign w:val="bottom"/>
            <w:tcBorders>
              <w:bottom w:val="single" w:sz="8" w:color="auto"/>
            </w:tcBorders>
          </w:tcPr>
          <w:p>
            <w:pPr>
              <w:jc w:val="right"/>
              <w:ind w:right="12"/>
              <w:spacing w:after="0" w:line="141" w:lineRule="exact"/>
              <w:rPr>
                <w:sz w:val="20"/>
                <w:szCs w:val="20"/>
                <w:color w:val="auto"/>
              </w:rPr>
            </w:pPr>
            <w:r>
              <w:rPr>
                <w:rFonts w:ascii="Arial" w:cs="Arial" w:eastAsia="Arial" w:hAnsi="Arial"/>
                <w:sz w:val="13"/>
                <w:szCs w:val="13"/>
                <w:color w:val="auto"/>
              </w:rPr>
              <w:t>shareholders</w:t>
            </w:r>
          </w:p>
        </w:tc>
        <w:tc>
          <w:tcPr>
            <w:tcW w:w="860" w:type="dxa"/>
            <w:vAlign w:val="bottom"/>
            <w:tcBorders>
              <w:bottom w:val="single" w:sz="8" w:color="auto"/>
            </w:tcBorders>
          </w:tcPr>
          <w:p>
            <w:pPr>
              <w:jc w:val="right"/>
              <w:ind w:right="29"/>
              <w:spacing w:after="0" w:line="141" w:lineRule="exact"/>
              <w:rPr>
                <w:sz w:val="20"/>
                <w:szCs w:val="20"/>
                <w:color w:val="auto"/>
              </w:rPr>
            </w:pPr>
            <w:r>
              <w:rPr>
                <w:rFonts w:ascii="Arial" w:cs="Arial" w:eastAsia="Arial" w:hAnsi="Arial"/>
                <w:sz w:val="13"/>
                <w:szCs w:val="13"/>
                <w:color w:val="auto"/>
              </w:rPr>
              <w:t>Dec 31</w:t>
            </w:r>
          </w:p>
        </w:tc>
        <w:tc>
          <w:tcPr>
            <w:tcW w:w="0" w:type="dxa"/>
            <w:vAlign w:val="bottom"/>
          </w:tcPr>
          <w:p>
            <w:pPr>
              <w:spacing w:after="0"/>
              <w:rPr>
                <w:sz w:val="1"/>
                <w:szCs w:val="1"/>
                <w:color w:val="auto"/>
              </w:rPr>
            </w:pPr>
          </w:p>
        </w:tc>
      </w:tr>
      <w:tr>
        <w:trPr>
          <w:trHeight w:val="160"/>
        </w:trPr>
        <w:tc>
          <w:tcPr>
            <w:tcW w:w="3500" w:type="dxa"/>
            <w:vAlign w:val="bottom"/>
          </w:tcPr>
          <w:p>
            <w:pPr>
              <w:spacing w:after="0"/>
              <w:rPr>
                <w:sz w:val="20"/>
                <w:szCs w:val="20"/>
                <w:color w:val="auto"/>
              </w:rPr>
            </w:pPr>
            <w:r>
              <w:rPr>
                <w:rFonts w:ascii="Arial" w:cs="Arial" w:eastAsia="Arial" w:hAnsi="Arial"/>
                <w:sz w:val="14"/>
                <w:szCs w:val="14"/>
                <w:color w:val="auto"/>
              </w:rPr>
              <w:t>Currency translation differences</w:t>
            </w:r>
          </w:p>
        </w:tc>
        <w:tc>
          <w:tcPr>
            <w:tcW w:w="14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500" w:type="dxa"/>
            <w:vAlign w:val="bottom"/>
          </w:tcPr>
          <w:p>
            <w:pPr>
              <w:ind w:left="140"/>
              <w:spacing w:after="0"/>
              <w:rPr>
                <w:sz w:val="20"/>
                <w:szCs w:val="20"/>
                <w:color w:val="auto"/>
              </w:rPr>
            </w:pPr>
            <w:r>
              <w:rPr>
                <w:rFonts w:ascii="Arial" w:cs="Arial" w:eastAsia="Arial" w:hAnsi="Arial"/>
                <w:sz w:val="14"/>
                <w:szCs w:val="14"/>
                <w:color w:val="auto"/>
              </w:rPr>
              <w:t>Recognised in the year</w:t>
            </w:r>
          </w:p>
        </w:tc>
        <w:tc>
          <w:tcPr>
            <w:tcW w:w="1400" w:type="dxa"/>
            <w:vAlign w:val="bottom"/>
          </w:tcPr>
          <w:p>
            <w:pPr>
              <w:spacing w:after="0"/>
              <w:rPr>
                <w:sz w:val="14"/>
                <w:szCs w:val="14"/>
                <w:color w:val="auto"/>
              </w:rPr>
            </w:pPr>
          </w:p>
        </w:tc>
        <w:tc>
          <w:tcPr>
            <w:tcW w:w="900" w:type="dxa"/>
            <w:vAlign w:val="bottom"/>
          </w:tcPr>
          <w:p>
            <w:pPr>
              <w:jc w:val="right"/>
              <w:ind w:right="89"/>
              <w:spacing w:after="0"/>
              <w:rPr>
                <w:sz w:val="20"/>
                <w:szCs w:val="20"/>
                <w:color w:val="auto"/>
              </w:rPr>
            </w:pPr>
            <w:r>
              <w:rPr>
                <w:rFonts w:ascii="Arial" w:cs="Arial" w:eastAsia="Arial" w:hAnsi="Arial"/>
                <w:sz w:val="14"/>
                <w:szCs w:val="14"/>
                <w:color w:val="auto"/>
              </w:rPr>
              <w:t>(2,031)</w:t>
            </w:r>
          </w:p>
        </w:tc>
        <w:tc>
          <w:tcPr>
            <w:tcW w:w="780" w:type="dxa"/>
            <w:vAlign w:val="bottom"/>
          </w:tcPr>
          <w:p>
            <w:pPr>
              <w:jc w:val="right"/>
              <w:ind w:right="149"/>
              <w:spacing w:after="0"/>
              <w:rPr>
                <w:sz w:val="20"/>
                <w:szCs w:val="20"/>
                <w:color w:val="auto"/>
              </w:rPr>
            </w:pPr>
            <w:r>
              <w:rPr>
                <w:rFonts w:ascii="Arial" w:cs="Arial" w:eastAsia="Arial" w:hAnsi="Arial"/>
                <w:sz w:val="14"/>
                <w:szCs w:val="14"/>
                <w:color w:val="auto"/>
              </w:rPr>
              <w:t>123</w:t>
            </w:r>
          </w:p>
        </w:tc>
        <w:tc>
          <w:tcPr>
            <w:tcW w:w="800" w:type="dxa"/>
            <w:vAlign w:val="bottom"/>
          </w:tcPr>
          <w:p>
            <w:pPr>
              <w:jc w:val="right"/>
              <w:ind w:right="90"/>
              <w:spacing w:after="0"/>
              <w:rPr>
                <w:sz w:val="20"/>
                <w:szCs w:val="20"/>
                <w:color w:val="auto"/>
              </w:rPr>
            </w:pPr>
            <w:r>
              <w:rPr>
                <w:rFonts w:ascii="Arial" w:cs="Arial" w:eastAsia="Arial" w:hAnsi="Arial"/>
                <w:sz w:val="14"/>
                <w:szCs w:val="14"/>
                <w:color w:val="auto"/>
              </w:rPr>
              <w:t>(1,908)</w:t>
            </w:r>
          </w:p>
        </w:tc>
        <w:tc>
          <w:tcPr>
            <w:tcW w:w="10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3500" w:type="dxa"/>
            <w:vAlign w:val="bottom"/>
            <w:tcBorders>
              <w:bottom w:val="single" w:sz="8" w:color="auto"/>
            </w:tcBorders>
          </w:tcPr>
          <w:p>
            <w:pPr>
              <w:ind w:left="140"/>
              <w:spacing w:after="0" w:line="157" w:lineRule="exact"/>
              <w:rPr>
                <w:sz w:val="20"/>
                <w:szCs w:val="20"/>
                <w:color w:val="auto"/>
              </w:rPr>
            </w:pPr>
            <w:r>
              <w:rPr>
                <w:rFonts w:ascii="Arial" w:cs="Arial" w:eastAsia="Arial" w:hAnsi="Arial"/>
                <w:sz w:val="14"/>
                <w:szCs w:val="14"/>
                <w:color w:val="auto"/>
              </w:rPr>
              <w:t>Reclassified to income</w:t>
            </w:r>
          </w:p>
        </w:tc>
        <w:tc>
          <w:tcPr>
            <w:tcW w:w="140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89"/>
              <w:spacing w:after="0" w:line="157" w:lineRule="exact"/>
              <w:rPr>
                <w:sz w:val="20"/>
                <w:szCs w:val="20"/>
                <w:color w:val="auto"/>
              </w:rPr>
            </w:pPr>
            <w:r>
              <w:rPr>
                <w:rFonts w:ascii="Arial" w:cs="Arial" w:eastAsia="Arial" w:hAnsi="Arial"/>
                <w:sz w:val="14"/>
                <w:szCs w:val="14"/>
                <w:color w:val="auto"/>
              </w:rPr>
              <w:t>(30)</w:t>
            </w:r>
          </w:p>
        </w:tc>
        <w:tc>
          <w:tcPr>
            <w:tcW w:w="780" w:type="dxa"/>
            <w:vAlign w:val="bottom"/>
            <w:tcBorders>
              <w:bottom w:val="single" w:sz="8" w:color="auto"/>
            </w:tcBorders>
          </w:tcPr>
          <w:p>
            <w:pPr>
              <w:jc w:val="right"/>
              <w:ind w:right="149"/>
              <w:spacing w:after="0" w:line="157" w:lineRule="exact"/>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tcPr>
          <w:p>
            <w:pPr>
              <w:jc w:val="right"/>
              <w:ind w:right="90"/>
              <w:spacing w:after="0" w:line="157" w:lineRule="exact"/>
              <w:rPr>
                <w:sz w:val="20"/>
                <w:szCs w:val="20"/>
                <w:color w:val="auto"/>
              </w:rPr>
            </w:pPr>
            <w:r>
              <w:rPr>
                <w:rFonts w:ascii="Arial" w:cs="Arial" w:eastAsia="Arial" w:hAnsi="Arial"/>
                <w:sz w:val="14"/>
                <w:szCs w:val="14"/>
                <w:color w:val="auto"/>
              </w:rPr>
              <w:t>(30)</w:t>
            </w:r>
          </w:p>
        </w:tc>
        <w:tc>
          <w:tcPr>
            <w:tcW w:w="102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3500" w:type="dxa"/>
            <w:vAlign w:val="bottom"/>
            <w:tcBorders>
              <w:bottom w:val="single" w:sz="8" w:color="auto"/>
            </w:tcBorders>
          </w:tcPr>
          <w:p>
            <w:pPr>
              <w:spacing w:after="0" w:line="155" w:lineRule="exact"/>
              <w:rPr>
                <w:sz w:val="20"/>
                <w:szCs w:val="20"/>
                <w:color w:val="auto"/>
              </w:rPr>
            </w:pPr>
            <w:r>
              <w:rPr>
                <w:rFonts w:ascii="Arial" w:cs="Arial" w:eastAsia="Arial" w:hAnsi="Arial"/>
                <w:sz w:val="14"/>
                <w:szCs w:val="14"/>
                <w:color w:val="auto"/>
              </w:rPr>
              <w:t>Net currency translation differences</w:t>
            </w:r>
          </w:p>
        </w:tc>
        <w:tc>
          <w:tcPr>
            <w:tcW w:w="1400" w:type="dxa"/>
            <w:vAlign w:val="bottom"/>
            <w:tcBorders>
              <w:bottom w:val="single" w:sz="8" w:color="auto"/>
            </w:tcBorders>
          </w:tcPr>
          <w:p>
            <w:pPr>
              <w:jc w:val="right"/>
              <w:ind w:right="50"/>
              <w:spacing w:after="0" w:line="155" w:lineRule="exact"/>
              <w:rPr>
                <w:sz w:val="20"/>
                <w:szCs w:val="20"/>
                <w:color w:val="auto"/>
              </w:rPr>
            </w:pPr>
            <w:r>
              <w:rPr>
                <w:rFonts w:ascii="Arial" w:cs="Arial" w:eastAsia="Arial" w:hAnsi="Arial"/>
                <w:sz w:val="14"/>
                <w:szCs w:val="14"/>
                <w:color w:val="auto"/>
              </w:rPr>
              <w:t>1,466</w:t>
            </w:r>
          </w:p>
        </w:tc>
        <w:tc>
          <w:tcPr>
            <w:tcW w:w="900" w:type="dxa"/>
            <w:vAlign w:val="bottom"/>
            <w:tcBorders>
              <w:bottom w:val="single" w:sz="8" w:color="auto"/>
            </w:tcBorders>
          </w:tcPr>
          <w:p>
            <w:pPr>
              <w:jc w:val="right"/>
              <w:ind w:right="89"/>
              <w:spacing w:after="0" w:line="155" w:lineRule="exact"/>
              <w:rPr>
                <w:sz w:val="20"/>
                <w:szCs w:val="20"/>
                <w:color w:val="auto"/>
              </w:rPr>
            </w:pPr>
            <w:r>
              <w:rPr>
                <w:rFonts w:ascii="Arial" w:cs="Arial" w:eastAsia="Arial" w:hAnsi="Arial"/>
                <w:sz w:val="14"/>
                <w:szCs w:val="14"/>
                <w:color w:val="auto"/>
              </w:rPr>
              <w:t>(2,061)</w:t>
            </w:r>
          </w:p>
        </w:tc>
        <w:tc>
          <w:tcPr>
            <w:tcW w:w="780" w:type="dxa"/>
            <w:vAlign w:val="bottom"/>
            <w:tcBorders>
              <w:bottom w:val="single" w:sz="8" w:color="auto"/>
            </w:tcBorders>
          </w:tcPr>
          <w:p>
            <w:pPr>
              <w:jc w:val="right"/>
              <w:ind w:right="149"/>
              <w:spacing w:after="0" w:line="155" w:lineRule="exact"/>
              <w:rPr>
                <w:sz w:val="20"/>
                <w:szCs w:val="20"/>
                <w:color w:val="auto"/>
              </w:rPr>
            </w:pPr>
            <w:r>
              <w:rPr>
                <w:rFonts w:ascii="Arial" w:cs="Arial" w:eastAsia="Arial" w:hAnsi="Arial"/>
                <w:sz w:val="14"/>
                <w:szCs w:val="14"/>
                <w:color w:val="auto"/>
              </w:rPr>
              <w:t>123</w:t>
            </w:r>
          </w:p>
        </w:tc>
        <w:tc>
          <w:tcPr>
            <w:tcW w:w="800" w:type="dxa"/>
            <w:vAlign w:val="bottom"/>
            <w:tcBorders>
              <w:bottom w:val="single" w:sz="8" w:color="auto"/>
            </w:tcBorders>
          </w:tcPr>
          <w:p>
            <w:pPr>
              <w:jc w:val="right"/>
              <w:ind w:right="90"/>
              <w:spacing w:after="0" w:line="155" w:lineRule="exact"/>
              <w:rPr>
                <w:sz w:val="20"/>
                <w:szCs w:val="20"/>
                <w:color w:val="auto"/>
              </w:rPr>
            </w:pPr>
            <w:r>
              <w:rPr>
                <w:rFonts w:ascii="Arial" w:cs="Arial" w:eastAsia="Arial" w:hAnsi="Arial"/>
                <w:sz w:val="14"/>
                <w:szCs w:val="14"/>
                <w:color w:val="auto"/>
              </w:rPr>
              <w:t>(1,938)</w:t>
            </w:r>
          </w:p>
        </w:tc>
        <w:tc>
          <w:tcPr>
            <w:tcW w:w="10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(210)</w:t>
            </w:r>
          </w:p>
        </w:tc>
        <w:tc>
          <w:tcPr>
            <w:tcW w:w="1100" w:type="dxa"/>
            <w:vAlign w:val="bottom"/>
            <w:tcBorders>
              <w:bottom w:val="single" w:sz="8" w:color="auto"/>
            </w:tcBorders>
          </w:tcPr>
          <w:p>
            <w:pPr>
              <w:jc w:val="right"/>
              <w:ind w:right="151"/>
              <w:spacing w:after="0" w:line="155" w:lineRule="exact"/>
              <w:rPr>
                <w:sz w:val="20"/>
                <w:szCs w:val="20"/>
                <w:color w:val="auto"/>
              </w:rPr>
            </w:pPr>
            <w:r>
              <w:rPr>
                <w:rFonts w:ascii="Arial" w:cs="Arial" w:eastAsia="Arial" w:hAnsi="Arial"/>
                <w:sz w:val="14"/>
                <w:szCs w:val="14"/>
                <w:color w:val="auto"/>
              </w:rPr>
              <w:t>131</w:t>
            </w:r>
          </w:p>
        </w:tc>
        <w:tc>
          <w:tcPr>
            <w:tcW w:w="10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(2,017)</w:t>
            </w:r>
          </w:p>
        </w:tc>
        <w:tc>
          <w:tcPr>
            <w:tcW w:w="8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(551)</w:t>
            </w:r>
          </w:p>
        </w:tc>
        <w:tc>
          <w:tcPr>
            <w:tcW w:w="0" w:type="dxa"/>
            <w:vAlign w:val="bottom"/>
          </w:tcPr>
          <w:p>
            <w:pPr>
              <w:spacing w:after="0"/>
              <w:rPr>
                <w:sz w:val="1"/>
                <w:szCs w:val="1"/>
                <w:color w:val="auto"/>
              </w:rPr>
            </w:pPr>
          </w:p>
        </w:tc>
      </w:tr>
      <w:tr>
        <w:trPr>
          <w:trHeight w:val="160"/>
        </w:trPr>
        <w:tc>
          <w:tcPr>
            <w:tcW w:w="3500" w:type="dxa"/>
            <w:vAlign w:val="bottom"/>
          </w:tcPr>
          <w:p>
            <w:pPr>
              <w:spacing w:after="0"/>
              <w:rPr>
                <w:sz w:val="20"/>
                <w:szCs w:val="20"/>
                <w:color w:val="auto"/>
              </w:rPr>
            </w:pPr>
            <w:r>
              <w:rPr>
                <w:rFonts w:ascii="Arial" w:cs="Arial" w:eastAsia="Arial" w:hAnsi="Arial"/>
                <w:sz w:val="14"/>
                <w:szCs w:val="14"/>
                <w:color w:val="auto"/>
              </w:rPr>
              <w:t>Unrealised gains/(losses) on securities</w:t>
            </w:r>
          </w:p>
        </w:tc>
        <w:tc>
          <w:tcPr>
            <w:tcW w:w="14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500" w:type="dxa"/>
            <w:vAlign w:val="bottom"/>
          </w:tcPr>
          <w:p>
            <w:pPr>
              <w:ind w:left="140"/>
              <w:spacing w:after="0"/>
              <w:rPr>
                <w:sz w:val="20"/>
                <w:szCs w:val="20"/>
                <w:color w:val="auto"/>
              </w:rPr>
            </w:pPr>
            <w:r>
              <w:rPr>
                <w:rFonts w:ascii="Arial" w:cs="Arial" w:eastAsia="Arial" w:hAnsi="Arial"/>
                <w:sz w:val="14"/>
                <w:szCs w:val="14"/>
                <w:color w:val="auto"/>
              </w:rPr>
              <w:t>Recognised in the year</w:t>
            </w:r>
          </w:p>
        </w:tc>
        <w:tc>
          <w:tcPr>
            <w:tcW w:w="1400" w:type="dxa"/>
            <w:vAlign w:val="bottom"/>
          </w:tcPr>
          <w:p>
            <w:pPr>
              <w:spacing w:after="0"/>
              <w:rPr>
                <w:sz w:val="14"/>
                <w:szCs w:val="14"/>
                <w:color w:val="auto"/>
              </w:rPr>
            </w:pPr>
          </w:p>
        </w:tc>
        <w:tc>
          <w:tcPr>
            <w:tcW w:w="900" w:type="dxa"/>
            <w:vAlign w:val="bottom"/>
          </w:tcPr>
          <w:p>
            <w:pPr>
              <w:jc w:val="right"/>
              <w:ind w:right="89"/>
              <w:spacing w:after="0"/>
              <w:rPr>
                <w:sz w:val="20"/>
                <w:szCs w:val="20"/>
                <w:color w:val="auto"/>
              </w:rPr>
            </w:pPr>
            <w:r>
              <w:rPr>
                <w:rFonts w:ascii="Arial" w:cs="Arial" w:eastAsia="Arial" w:hAnsi="Arial"/>
                <w:sz w:val="14"/>
                <w:szCs w:val="14"/>
                <w:color w:val="auto"/>
              </w:rPr>
              <w:t>(123)</w:t>
            </w:r>
          </w:p>
        </w:tc>
        <w:tc>
          <w:tcPr>
            <w:tcW w:w="780" w:type="dxa"/>
            <w:vAlign w:val="bottom"/>
          </w:tcPr>
          <w:p>
            <w:pPr>
              <w:jc w:val="right"/>
              <w:ind w:right="149"/>
              <w:spacing w:after="0"/>
              <w:rPr>
                <w:sz w:val="20"/>
                <w:szCs w:val="20"/>
                <w:color w:val="auto"/>
              </w:rPr>
            </w:pPr>
            <w:r>
              <w:rPr>
                <w:rFonts w:ascii="Arial" w:cs="Arial" w:eastAsia="Arial" w:hAnsi="Arial"/>
                <w:sz w:val="14"/>
                <w:szCs w:val="14"/>
                <w:color w:val="auto"/>
              </w:rPr>
              <w:t>3</w:t>
            </w:r>
          </w:p>
        </w:tc>
        <w:tc>
          <w:tcPr>
            <w:tcW w:w="800" w:type="dxa"/>
            <w:vAlign w:val="bottom"/>
          </w:tcPr>
          <w:p>
            <w:pPr>
              <w:jc w:val="right"/>
              <w:ind w:right="90"/>
              <w:spacing w:after="0"/>
              <w:rPr>
                <w:sz w:val="20"/>
                <w:szCs w:val="20"/>
                <w:color w:val="auto"/>
              </w:rPr>
            </w:pPr>
            <w:r>
              <w:rPr>
                <w:rFonts w:ascii="Arial" w:cs="Arial" w:eastAsia="Arial" w:hAnsi="Arial"/>
                <w:sz w:val="14"/>
                <w:szCs w:val="14"/>
                <w:color w:val="auto"/>
              </w:rPr>
              <w:t>(120)</w:t>
            </w:r>
          </w:p>
        </w:tc>
        <w:tc>
          <w:tcPr>
            <w:tcW w:w="10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3500" w:type="dxa"/>
            <w:vAlign w:val="bottom"/>
            <w:tcBorders>
              <w:bottom w:val="single" w:sz="8" w:color="auto"/>
            </w:tcBorders>
          </w:tcPr>
          <w:p>
            <w:pPr>
              <w:ind w:left="140"/>
              <w:spacing w:after="0" w:line="157" w:lineRule="exact"/>
              <w:rPr>
                <w:sz w:val="20"/>
                <w:szCs w:val="20"/>
                <w:color w:val="auto"/>
              </w:rPr>
            </w:pPr>
            <w:r>
              <w:rPr>
                <w:rFonts w:ascii="Arial" w:cs="Arial" w:eastAsia="Arial" w:hAnsi="Arial"/>
                <w:sz w:val="14"/>
                <w:szCs w:val="14"/>
                <w:color w:val="auto"/>
              </w:rPr>
              <w:t>Reclassified to income</w:t>
            </w:r>
          </w:p>
        </w:tc>
        <w:tc>
          <w:tcPr>
            <w:tcW w:w="140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89"/>
              <w:spacing w:after="0" w:line="157" w:lineRule="exact"/>
              <w:rPr>
                <w:sz w:val="20"/>
                <w:szCs w:val="20"/>
                <w:color w:val="auto"/>
              </w:rPr>
            </w:pPr>
            <w:r>
              <w:rPr>
                <w:rFonts w:ascii="Arial" w:cs="Arial" w:eastAsia="Arial" w:hAnsi="Arial"/>
                <w:sz w:val="14"/>
                <w:szCs w:val="14"/>
                <w:color w:val="auto"/>
              </w:rPr>
              <w:t>(46)</w:t>
            </w:r>
          </w:p>
        </w:tc>
        <w:tc>
          <w:tcPr>
            <w:tcW w:w="780" w:type="dxa"/>
            <w:vAlign w:val="bottom"/>
            <w:tcBorders>
              <w:bottom w:val="single" w:sz="8" w:color="auto"/>
            </w:tcBorders>
          </w:tcPr>
          <w:p>
            <w:pPr>
              <w:jc w:val="right"/>
              <w:ind w:right="149"/>
              <w:spacing w:after="0" w:line="157" w:lineRule="exact"/>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tcPr>
          <w:p>
            <w:pPr>
              <w:jc w:val="right"/>
              <w:ind w:right="90"/>
              <w:spacing w:after="0" w:line="157" w:lineRule="exact"/>
              <w:rPr>
                <w:sz w:val="20"/>
                <w:szCs w:val="20"/>
                <w:color w:val="auto"/>
              </w:rPr>
            </w:pPr>
            <w:r>
              <w:rPr>
                <w:rFonts w:ascii="Arial" w:cs="Arial" w:eastAsia="Arial" w:hAnsi="Arial"/>
                <w:sz w:val="14"/>
                <w:szCs w:val="14"/>
                <w:color w:val="auto"/>
              </w:rPr>
              <w:t>(46)</w:t>
            </w:r>
          </w:p>
        </w:tc>
        <w:tc>
          <w:tcPr>
            <w:tcW w:w="102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3500" w:type="dxa"/>
            <w:vAlign w:val="bottom"/>
            <w:tcBorders>
              <w:bottom w:val="single" w:sz="8" w:color="auto"/>
            </w:tcBorders>
          </w:tcPr>
          <w:p>
            <w:pPr>
              <w:spacing w:after="0" w:line="155" w:lineRule="exact"/>
              <w:rPr>
                <w:sz w:val="20"/>
                <w:szCs w:val="20"/>
                <w:color w:val="auto"/>
              </w:rPr>
            </w:pPr>
            <w:r>
              <w:rPr>
                <w:rFonts w:ascii="Arial" w:cs="Arial" w:eastAsia="Arial" w:hAnsi="Arial"/>
                <w:sz w:val="14"/>
                <w:szCs w:val="14"/>
                <w:color w:val="auto"/>
              </w:rPr>
              <w:t>Net unrealised gains/(losses) on securities</w:t>
            </w:r>
          </w:p>
        </w:tc>
        <w:tc>
          <w:tcPr>
            <w:tcW w:w="1400" w:type="dxa"/>
            <w:vAlign w:val="bottom"/>
            <w:tcBorders>
              <w:bottom w:val="single" w:sz="8" w:color="auto"/>
            </w:tcBorders>
          </w:tcPr>
          <w:p>
            <w:pPr>
              <w:jc w:val="right"/>
              <w:ind w:right="50"/>
              <w:spacing w:after="0" w:line="155" w:lineRule="exact"/>
              <w:rPr>
                <w:sz w:val="20"/>
                <w:szCs w:val="20"/>
                <w:color w:val="auto"/>
              </w:rPr>
            </w:pPr>
            <w:r>
              <w:rPr>
                <w:rFonts w:ascii="Arial" w:cs="Arial" w:eastAsia="Arial" w:hAnsi="Arial"/>
                <w:sz w:val="14"/>
                <w:szCs w:val="14"/>
                <w:color w:val="auto"/>
              </w:rPr>
              <w:t>3,075</w:t>
            </w:r>
          </w:p>
        </w:tc>
        <w:tc>
          <w:tcPr>
            <w:tcW w:w="900" w:type="dxa"/>
            <w:vAlign w:val="bottom"/>
            <w:tcBorders>
              <w:bottom w:val="single" w:sz="8" w:color="auto"/>
            </w:tcBorders>
          </w:tcPr>
          <w:p>
            <w:pPr>
              <w:jc w:val="right"/>
              <w:ind w:right="89"/>
              <w:spacing w:after="0" w:line="155" w:lineRule="exact"/>
              <w:rPr>
                <w:sz w:val="20"/>
                <w:szCs w:val="20"/>
                <w:color w:val="auto"/>
              </w:rPr>
            </w:pPr>
            <w:r>
              <w:rPr>
                <w:rFonts w:ascii="Arial" w:cs="Arial" w:eastAsia="Arial" w:hAnsi="Arial"/>
                <w:sz w:val="14"/>
                <w:szCs w:val="14"/>
                <w:color w:val="auto"/>
              </w:rPr>
              <w:t>(169)</w:t>
            </w:r>
          </w:p>
        </w:tc>
        <w:tc>
          <w:tcPr>
            <w:tcW w:w="780" w:type="dxa"/>
            <w:vAlign w:val="bottom"/>
            <w:tcBorders>
              <w:bottom w:val="single" w:sz="8" w:color="auto"/>
            </w:tcBorders>
          </w:tcPr>
          <w:p>
            <w:pPr>
              <w:jc w:val="right"/>
              <w:ind w:right="149"/>
              <w:spacing w:after="0" w:line="155" w:lineRule="exact"/>
              <w:rPr>
                <w:sz w:val="20"/>
                <w:szCs w:val="20"/>
                <w:color w:val="auto"/>
              </w:rPr>
            </w:pPr>
            <w:r>
              <w:rPr>
                <w:rFonts w:ascii="Arial" w:cs="Arial" w:eastAsia="Arial" w:hAnsi="Arial"/>
                <w:sz w:val="14"/>
                <w:szCs w:val="14"/>
                <w:color w:val="auto"/>
              </w:rPr>
              <w:t>3</w:t>
            </w:r>
          </w:p>
        </w:tc>
        <w:tc>
          <w:tcPr>
            <w:tcW w:w="800" w:type="dxa"/>
            <w:vAlign w:val="bottom"/>
            <w:tcBorders>
              <w:bottom w:val="single" w:sz="8" w:color="auto"/>
            </w:tcBorders>
          </w:tcPr>
          <w:p>
            <w:pPr>
              <w:jc w:val="right"/>
              <w:ind w:right="90"/>
              <w:spacing w:after="0" w:line="155" w:lineRule="exact"/>
              <w:rPr>
                <w:sz w:val="20"/>
                <w:szCs w:val="20"/>
                <w:color w:val="auto"/>
              </w:rPr>
            </w:pPr>
            <w:r>
              <w:rPr>
                <w:rFonts w:ascii="Arial" w:cs="Arial" w:eastAsia="Arial" w:hAnsi="Arial"/>
                <w:sz w:val="14"/>
                <w:szCs w:val="14"/>
                <w:color w:val="auto"/>
              </w:rPr>
              <w:t>(166)</w:t>
            </w:r>
          </w:p>
        </w:tc>
        <w:tc>
          <w:tcPr>
            <w:tcW w:w="1020" w:type="dxa"/>
            <w:vAlign w:val="bottom"/>
            <w:tcBorders>
              <w:bottom w:val="single" w:sz="8" w:color="auto"/>
            </w:tcBorders>
          </w:tcPr>
          <w:p>
            <w:pPr>
              <w:jc w:val="right"/>
              <w:ind w:right="12"/>
              <w:spacing w:after="0" w:line="155" w:lineRule="exact"/>
              <w:rPr>
                <w:sz w:val="20"/>
                <w:szCs w:val="20"/>
                <w:color w:val="auto"/>
              </w:rPr>
            </w:pPr>
            <w:r>
              <w:rPr>
                <w:rFonts w:ascii="Arial" w:cs="Arial" w:eastAsia="Arial" w:hAnsi="Arial"/>
                <w:sz w:val="14"/>
                <w:szCs w:val="14"/>
                <w:color w:val="auto"/>
              </w:rPr>
              <w:t>19</w:t>
            </w:r>
          </w:p>
        </w:tc>
        <w:tc>
          <w:tcPr>
            <w:tcW w:w="1100" w:type="dxa"/>
            <w:vAlign w:val="bottom"/>
            <w:tcBorders>
              <w:bottom w:val="single" w:sz="8" w:color="auto"/>
            </w:tcBorders>
          </w:tcPr>
          <w:p>
            <w:pPr>
              <w:jc w:val="right"/>
              <w:ind w:right="151"/>
              <w:spacing w:after="0" w:line="155" w:lineRule="exact"/>
              <w:rPr>
                <w:sz w:val="20"/>
                <w:szCs w:val="20"/>
                <w:color w:val="auto"/>
              </w:rPr>
            </w:pPr>
            <w:r>
              <w:rPr>
                <w:rFonts w:ascii="Arial" w:cs="Arial" w:eastAsia="Arial" w:hAnsi="Arial"/>
                <w:sz w:val="14"/>
                <w:szCs w:val="14"/>
                <w:color w:val="auto"/>
              </w:rPr>
              <w:t>1</w:t>
            </w:r>
          </w:p>
        </w:tc>
        <w:tc>
          <w:tcPr>
            <w:tcW w:w="10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(146)</w:t>
            </w:r>
          </w:p>
        </w:tc>
        <w:tc>
          <w:tcPr>
            <w:tcW w:w="860" w:type="dxa"/>
            <w:vAlign w:val="bottom"/>
            <w:tcBorders>
              <w:bottom w:val="single" w:sz="8" w:color="auto"/>
            </w:tcBorders>
          </w:tcPr>
          <w:p>
            <w:pPr>
              <w:jc w:val="right"/>
              <w:ind w:right="29"/>
              <w:spacing w:after="0" w:line="155" w:lineRule="exact"/>
              <w:rPr>
                <w:sz w:val="20"/>
                <w:szCs w:val="20"/>
                <w:color w:val="auto"/>
              </w:rPr>
            </w:pPr>
            <w:r>
              <w:rPr>
                <w:rFonts w:ascii="Arial" w:cs="Arial" w:eastAsia="Arial" w:hAnsi="Arial"/>
                <w:sz w:val="14"/>
                <w:szCs w:val="14"/>
                <w:color w:val="auto"/>
              </w:rPr>
              <w:t>2,929</w:t>
            </w:r>
          </w:p>
        </w:tc>
        <w:tc>
          <w:tcPr>
            <w:tcW w:w="0" w:type="dxa"/>
            <w:vAlign w:val="bottom"/>
          </w:tcPr>
          <w:p>
            <w:pPr>
              <w:spacing w:after="0"/>
              <w:rPr>
                <w:sz w:val="1"/>
                <w:szCs w:val="1"/>
                <w:color w:val="auto"/>
              </w:rPr>
            </w:pPr>
          </w:p>
        </w:tc>
      </w:tr>
      <w:tr>
        <w:trPr>
          <w:trHeight w:val="160"/>
        </w:trPr>
        <w:tc>
          <w:tcPr>
            <w:tcW w:w="3500" w:type="dxa"/>
            <w:vAlign w:val="bottom"/>
          </w:tcPr>
          <w:p>
            <w:pPr>
              <w:spacing w:after="0"/>
              <w:rPr>
                <w:sz w:val="20"/>
                <w:szCs w:val="20"/>
                <w:color w:val="auto"/>
              </w:rPr>
            </w:pPr>
            <w:r>
              <w:rPr>
                <w:rFonts w:ascii="Arial" w:cs="Arial" w:eastAsia="Arial" w:hAnsi="Arial"/>
                <w:sz w:val="14"/>
                <w:szCs w:val="14"/>
                <w:color w:val="auto"/>
              </w:rPr>
              <w:t>Cash flow hedging gains/(losses)</w:t>
            </w:r>
          </w:p>
        </w:tc>
        <w:tc>
          <w:tcPr>
            <w:tcW w:w="14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500" w:type="dxa"/>
            <w:vAlign w:val="bottom"/>
          </w:tcPr>
          <w:p>
            <w:pPr>
              <w:ind w:left="140"/>
              <w:spacing w:after="0"/>
              <w:rPr>
                <w:sz w:val="20"/>
                <w:szCs w:val="20"/>
                <w:color w:val="auto"/>
              </w:rPr>
            </w:pPr>
            <w:r>
              <w:rPr>
                <w:rFonts w:ascii="Arial" w:cs="Arial" w:eastAsia="Arial" w:hAnsi="Arial"/>
                <w:sz w:val="14"/>
                <w:szCs w:val="14"/>
                <w:color w:val="auto"/>
              </w:rPr>
              <w:t>Recognised in the year</w:t>
            </w:r>
          </w:p>
        </w:tc>
        <w:tc>
          <w:tcPr>
            <w:tcW w:w="1400" w:type="dxa"/>
            <w:vAlign w:val="bottom"/>
          </w:tcPr>
          <w:p>
            <w:pPr>
              <w:spacing w:after="0"/>
              <w:rPr>
                <w:sz w:val="14"/>
                <w:szCs w:val="14"/>
                <w:color w:val="auto"/>
              </w:rPr>
            </w:pPr>
          </w:p>
        </w:tc>
        <w:tc>
          <w:tcPr>
            <w:tcW w:w="900" w:type="dxa"/>
            <w:vAlign w:val="bottom"/>
          </w:tcPr>
          <w:p>
            <w:pPr>
              <w:jc w:val="right"/>
              <w:ind w:right="89"/>
              <w:spacing w:after="0"/>
              <w:rPr>
                <w:sz w:val="20"/>
                <w:szCs w:val="20"/>
                <w:color w:val="auto"/>
              </w:rPr>
            </w:pPr>
            <w:r>
              <w:rPr>
                <w:rFonts w:ascii="Arial" w:cs="Arial" w:eastAsia="Arial" w:hAnsi="Arial"/>
                <w:sz w:val="14"/>
                <w:szCs w:val="14"/>
                <w:color w:val="auto"/>
              </w:rPr>
              <w:t>(47)</w:t>
            </w:r>
          </w:p>
        </w:tc>
        <w:tc>
          <w:tcPr>
            <w:tcW w:w="780" w:type="dxa"/>
            <w:vAlign w:val="bottom"/>
          </w:tcPr>
          <w:p>
            <w:pPr>
              <w:jc w:val="right"/>
              <w:ind w:right="149"/>
              <w:spacing w:after="0"/>
              <w:rPr>
                <w:sz w:val="20"/>
                <w:szCs w:val="20"/>
                <w:color w:val="auto"/>
              </w:rPr>
            </w:pPr>
            <w:r>
              <w:rPr>
                <w:rFonts w:ascii="Arial" w:cs="Arial" w:eastAsia="Arial" w:hAnsi="Arial"/>
                <w:sz w:val="14"/>
                <w:szCs w:val="14"/>
                <w:color w:val="auto"/>
              </w:rPr>
              <w:t>5</w:t>
            </w:r>
          </w:p>
        </w:tc>
        <w:tc>
          <w:tcPr>
            <w:tcW w:w="800" w:type="dxa"/>
            <w:vAlign w:val="bottom"/>
          </w:tcPr>
          <w:p>
            <w:pPr>
              <w:jc w:val="right"/>
              <w:ind w:right="90"/>
              <w:spacing w:after="0"/>
              <w:rPr>
                <w:sz w:val="20"/>
                <w:szCs w:val="20"/>
                <w:color w:val="auto"/>
              </w:rPr>
            </w:pPr>
            <w:r>
              <w:rPr>
                <w:rFonts w:ascii="Arial" w:cs="Arial" w:eastAsia="Arial" w:hAnsi="Arial"/>
                <w:sz w:val="14"/>
                <w:szCs w:val="14"/>
                <w:color w:val="auto"/>
              </w:rPr>
              <w:t>(42)</w:t>
            </w:r>
          </w:p>
        </w:tc>
        <w:tc>
          <w:tcPr>
            <w:tcW w:w="10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3500" w:type="dxa"/>
            <w:vAlign w:val="bottom"/>
            <w:tcBorders>
              <w:bottom w:val="single" w:sz="8" w:color="auto"/>
            </w:tcBorders>
          </w:tcPr>
          <w:p>
            <w:pPr>
              <w:ind w:left="140"/>
              <w:spacing w:after="0" w:line="157" w:lineRule="exact"/>
              <w:rPr>
                <w:sz w:val="20"/>
                <w:szCs w:val="20"/>
                <w:color w:val="auto"/>
              </w:rPr>
            </w:pPr>
            <w:r>
              <w:rPr>
                <w:rFonts w:ascii="Arial" w:cs="Arial" w:eastAsia="Arial" w:hAnsi="Arial"/>
                <w:sz w:val="14"/>
                <w:szCs w:val="14"/>
                <w:color w:val="auto"/>
              </w:rPr>
              <w:t>Reclassified to income</w:t>
            </w:r>
          </w:p>
        </w:tc>
        <w:tc>
          <w:tcPr>
            <w:tcW w:w="140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149"/>
              <w:spacing w:after="0" w:line="157" w:lineRule="exact"/>
              <w:rPr>
                <w:sz w:val="20"/>
                <w:szCs w:val="20"/>
                <w:color w:val="auto"/>
              </w:rPr>
            </w:pPr>
            <w:r>
              <w:rPr>
                <w:rFonts w:ascii="Arial" w:cs="Arial" w:eastAsia="Arial" w:hAnsi="Arial"/>
                <w:sz w:val="14"/>
                <w:szCs w:val="14"/>
                <w:color w:val="auto"/>
              </w:rPr>
              <w:t>227</w:t>
            </w:r>
          </w:p>
        </w:tc>
        <w:tc>
          <w:tcPr>
            <w:tcW w:w="780" w:type="dxa"/>
            <w:vAlign w:val="bottom"/>
            <w:tcBorders>
              <w:bottom w:val="single" w:sz="8" w:color="auto"/>
            </w:tcBorders>
          </w:tcPr>
          <w:p>
            <w:pPr>
              <w:jc w:val="right"/>
              <w:ind w:right="89"/>
              <w:spacing w:after="0" w:line="157" w:lineRule="exact"/>
              <w:rPr>
                <w:sz w:val="20"/>
                <w:szCs w:val="20"/>
                <w:color w:val="auto"/>
              </w:rPr>
            </w:pPr>
            <w:r>
              <w:rPr>
                <w:rFonts w:ascii="Arial" w:cs="Arial" w:eastAsia="Arial" w:hAnsi="Arial"/>
                <w:sz w:val="14"/>
                <w:szCs w:val="14"/>
                <w:color w:val="auto"/>
              </w:rPr>
              <w:t>(7)</w:t>
            </w:r>
          </w:p>
        </w:tc>
        <w:tc>
          <w:tcPr>
            <w:tcW w:w="800" w:type="dxa"/>
            <w:vAlign w:val="bottom"/>
            <w:tcBorders>
              <w:bottom w:val="single" w:sz="8" w:color="auto"/>
            </w:tcBorders>
          </w:tcPr>
          <w:p>
            <w:pPr>
              <w:jc w:val="right"/>
              <w:ind w:right="150"/>
              <w:spacing w:after="0" w:line="157" w:lineRule="exact"/>
              <w:rPr>
                <w:sz w:val="20"/>
                <w:szCs w:val="20"/>
                <w:color w:val="auto"/>
              </w:rPr>
            </w:pPr>
            <w:r>
              <w:rPr>
                <w:rFonts w:ascii="Arial" w:cs="Arial" w:eastAsia="Arial" w:hAnsi="Arial"/>
                <w:sz w:val="14"/>
                <w:szCs w:val="14"/>
                <w:color w:val="auto"/>
              </w:rPr>
              <w:t>220</w:t>
            </w:r>
          </w:p>
        </w:tc>
        <w:tc>
          <w:tcPr>
            <w:tcW w:w="102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3500" w:type="dxa"/>
            <w:vAlign w:val="bottom"/>
            <w:tcBorders>
              <w:bottom w:val="single" w:sz="8" w:color="auto"/>
            </w:tcBorders>
          </w:tcPr>
          <w:p>
            <w:pPr>
              <w:spacing w:after="0" w:line="155" w:lineRule="exact"/>
              <w:rPr>
                <w:sz w:val="20"/>
                <w:szCs w:val="20"/>
                <w:color w:val="auto"/>
              </w:rPr>
            </w:pPr>
            <w:r>
              <w:rPr>
                <w:rFonts w:ascii="Arial" w:cs="Arial" w:eastAsia="Arial" w:hAnsi="Arial"/>
                <w:sz w:val="14"/>
                <w:szCs w:val="14"/>
                <w:color w:val="auto"/>
              </w:rPr>
              <w:t>Net cash flow hedging gains/(losses)</w:t>
            </w:r>
          </w:p>
        </w:tc>
        <w:tc>
          <w:tcPr>
            <w:tcW w:w="14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(248)</w:t>
            </w:r>
          </w:p>
        </w:tc>
        <w:tc>
          <w:tcPr>
            <w:tcW w:w="900" w:type="dxa"/>
            <w:vAlign w:val="bottom"/>
            <w:tcBorders>
              <w:bottom w:val="single" w:sz="8" w:color="auto"/>
            </w:tcBorders>
          </w:tcPr>
          <w:p>
            <w:pPr>
              <w:jc w:val="right"/>
              <w:ind w:right="149"/>
              <w:spacing w:after="0" w:line="155" w:lineRule="exact"/>
              <w:rPr>
                <w:sz w:val="20"/>
                <w:szCs w:val="20"/>
                <w:color w:val="auto"/>
              </w:rPr>
            </w:pPr>
            <w:r>
              <w:rPr>
                <w:rFonts w:ascii="Arial" w:cs="Arial" w:eastAsia="Arial" w:hAnsi="Arial"/>
                <w:sz w:val="14"/>
                <w:szCs w:val="14"/>
                <w:color w:val="auto"/>
              </w:rPr>
              <w:t>180</w:t>
            </w:r>
          </w:p>
        </w:tc>
        <w:tc>
          <w:tcPr>
            <w:tcW w:w="780" w:type="dxa"/>
            <w:vAlign w:val="bottom"/>
            <w:tcBorders>
              <w:bottom w:val="single" w:sz="8" w:color="auto"/>
            </w:tcBorders>
          </w:tcPr>
          <w:p>
            <w:pPr>
              <w:jc w:val="right"/>
              <w:ind w:right="89"/>
              <w:spacing w:after="0" w:line="155" w:lineRule="exact"/>
              <w:rPr>
                <w:sz w:val="20"/>
                <w:szCs w:val="20"/>
                <w:color w:val="auto"/>
              </w:rPr>
            </w:pPr>
            <w:r>
              <w:rPr>
                <w:rFonts w:ascii="Arial" w:cs="Arial" w:eastAsia="Arial" w:hAnsi="Arial"/>
                <w:sz w:val="14"/>
                <w:szCs w:val="14"/>
                <w:color w:val="auto"/>
              </w:rPr>
              <w:t>(2)</w:t>
            </w:r>
          </w:p>
        </w:tc>
        <w:tc>
          <w:tcPr>
            <w:tcW w:w="800" w:type="dxa"/>
            <w:vAlign w:val="bottom"/>
            <w:tcBorders>
              <w:bottom w:val="single" w:sz="8" w:color="auto"/>
            </w:tcBorders>
          </w:tcPr>
          <w:p>
            <w:pPr>
              <w:jc w:val="right"/>
              <w:ind w:right="150"/>
              <w:spacing w:after="0" w:line="155" w:lineRule="exact"/>
              <w:rPr>
                <w:sz w:val="20"/>
                <w:szCs w:val="20"/>
                <w:color w:val="auto"/>
              </w:rPr>
            </w:pPr>
            <w:r>
              <w:rPr>
                <w:rFonts w:ascii="Arial" w:cs="Arial" w:eastAsia="Arial" w:hAnsi="Arial"/>
                <w:sz w:val="14"/>
                <w:szCs w:val="14"/>
                <w:color w:val="auto"/>
              </w:rPr>
              <w:t>178</w:t>
            </w:r>
          </w:p>
        </w:tc>
        <w:tc>
          <w:tcPr>
            <w:tcW w:w="1020" w:type="dxa"/>
            <w:vAlign w:val="bottom"/>
            <w:tcBorders>
              <w:bottom w:val="single" w:sz="8" w:color="auto"/>
            </w:tcBorders>
          </w:tcPr>
          <w:p>
            <w:pPr>
              <w:jc w:val="right"/>
              <w:ind w:right="12"/>
              <w:spacing w:after="0" w:line="155" w:lineRule="exact"/>
              <w:rPr>
                <w:sz w:val="20"/>
                <w:szCs w:val="20"/>
                <w:color w:val="auto"/>
              </w:rPr>
            </w:pPr>
            <w:r>
              <w:rPr>
                <w:rFonts w:ascii="Arial" w:cs="Arial" w:eastAsia="Arial" w:hAnsi="Arial"/>
                <w:sz w:val="14"/>
                <w:szCs w:val="14"/>
                <w:color w:val="auto"/>
              </w:rPr>
              <w:t>24</w:t>
            </w:r>
          </w:p>
        </w:tc>
        <w:tc>
          <w:tcPr>
            <w:tcW w:w="1100" w:type="dxa"/>
            <w:vAlign w:val="bottom"/>
            <w:tcBorders>
              <w:bottom w:val="single" w:sz="8" w:color="auto"/>
            </w:tcBorders>
          </w:tcPr>
          <w:p>
            <w:pPr>
              <w:jc w:val="right"/>
              <w:ind w:right="151"/>
              <w:spacing w:after="0" w:line="155" w:lineRule="exact"/>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tcPr>
          <w:p>
            <w:pPr>
              <w:jc w:val="right"/>
              <w:ind w:right="12"/>
              <w:spacing w:after="0" w:line="155" w:lineRule="exact"/>
              <w:rPr>
                <w:sz w:val="20"/>
                <w:szCs w:val="20"/>
                <w:color w:val="auto"/>
              </w:rPr>
            </w:pPr>
            <w:r>
              <w:rPr>
                <w:rFonts w:ascii="Arial" w:cs="Arial" w:eastAsia="Arial" w:hAnsi="Arial"/>
                <w:sz w:val="14"/>
                <w:szCs w:val="14"/>
                <w:color w:val="auto"/>
              </w:rPr>
              <w:t>202</w:t>
            </w:r>
          </w:p>
        </w:tc>
        <w:tc>
          <w:tcPr>
            <w:tcW w:w="8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(46)</w:t>
            </w:r>
          </w:p>
        </w:tc>
        <w:tc>
          <w:tcPr>
            <w:tcW w:w="0" w:type="dxa"/>
            <w:vAlign w:val="bottom"/>
          </w:tcPr>
          <w:p>
            <w:pPr>
              <w:spacing w:after="0"/>
              <w:rPr>
                <w:sz w:val="1"/>
                <w:szCs w:val="1"/>
                <w:color w:val="auto"/>
              </w:rPr>
            </w:pPr>
          </w:p>
        </w:tc>
      </w:tr>
      <w:tr>
        <w:trPr>
          <w:trHeight w:val="156"/>
        </w:trPr>
        <w:tc>
          <w:tcPr>
            <w:tcW w:w="3500" w:type="dxa"/>
            <w:vAlign w:val="bottom"/>
            <w:tcBorders>
              <w:bottom w:val="single" w:sz="8" w:color="auto"/>
            </w:tcBorders>
          </w:tcPr>
          <w:p>
            <w:pPr>
              <w:spacing w:after="0" w:line="155" w:lineRule="exact"/>
              <w:rPr>
                <w:sz w:val="20"/>
                <w:szCs w:val="20"/>
                <w:color w:val="auto"/>
              </w:rPr>
            </w:pPr>
            <w:r>
              <w:rPr>
                <w:rFonts w:ascii="Arial" w:cs="Arial" w:eastAsia="Arial" w:hAnsi="Arial"/>
                <w:sz w:val="14"/>
                <w:szCs w:val="14"/>
                <w:color w:val="auto"/>
              </w:rPr>
              <w:t>Retirement benefits remeasurements</w:t>
            </w:r>
          </w:p>
        </w:tc>
        <w:tc>
          <w:tcPr>
            <w:tcW w:w="14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(13,713)</w:t>
            </w:r>
          </w:p>
        </w:tc>
        <w:tc>
          <w:tcPr>
            <w:tcW w:w="900" w:type="dxa"/>
            <w:vAlign w:val="bottom"/>
            <w:tcBorders>
              <w:bottom w:val="single" w:sz="8" w:color="auto"/>
            </w:tcBorders>
          </w:tcPr>
          <w:p>
            <w:pPr>
              <w:jc w:val="right"/>
              <w:ind w:right="149"/>
              <w:spacing w:after="0" w:line="155" w:lineRule="exact"/>
              <w:rPr>
                <w:sz w:val="20"/>
                <w:szCs w:val="20"/>
                <w:color w:val="auto"/>
              </w:rPr>
            </w:pPr>
            <w:r>
              <w:rPr>
                <w:rFonts w:ascii="Arial" w:cs="Arial" w:eastAsia="Arial" w:hAnsi="Arial"/>
                <w:sz w:val="14"/>
                <w:szCs w:val="14"/>
                <w:color w:val="auto"/>
              </w:rPr>
              <w:t>5,357</w:t>
            </w:r>
          </w:p>
        </w:tc>
        <w:tc>
          <w:tcPr>
            <w:tcW w:w="780" w:type="dxa"/>
            <w:vAlign w:val="bottom"/>
            <w:tcBorders>
              <w:bottom w:val="single" w:sz="8" w:color="auto"/>
            </w:tcBorders>
          </w:tcPr>
          <w:p>
            <w:pPr>
              <w:jc w:val="right"/>
              <w:ind w:right="89"/>
              <w:spacing w:after="0" w:line="155" w:lineRule="exact"/>
              <w:rPr>
                <w:sz w:val="20"/>
                <w:szCs w:val="20"/>
                <w:color w:val="auto"/>
              </w:rPr>
            </w:pPr>
            <w:r>
              <w:rPr>
                <w:rFonts w:ascii="Arial" w:cs="Arial" w:eastAsia="Arial" w:hAnsi="Arial"/>
                <w:sz w:val="14"/>
                <w:szCs w:val="14"/>
                <w:color w:val="auto"/>
              </w:rPr>
              <w:t>(1,524)</w:t>
            </w:r>
          </w:p>
        </w:tc>
        <w:tc>
          <w:tcPr>
            <w:tcW w:w="800" w:type="dxa"/>
            <w:vAlign w:val="bottom"/>
            <w:tcBorders>
              <w:bottom w:val="single" w:sz="8" w:color="auto"/>
            </w:tcBorders>
          </w:tcPr>
          <w:p>
            <w:pPr>
              <w:jc w:val="right"/>
              <w:ind w:right="150"/>
              <w:spacing w:after="0" w:line="155" w:lineRule="exact"/>
              <w:rPr>
                <w:sz w:val="20"/>
                <w:szCs w:val="20"/>
                <w:color w:val="auto"/>
              </w:rPr>
            </w:pPr>
            <w:r>
              <w:rPr>
                <w:rFonts w:ascii="Arial" w:cs="Arial" w:eastAsia="Arial" w:hAnsi="Arial"/>
                <w:sz w:val="14"/>
                <w:szCs w:val="14"/>
                <w:color w:val="auto"/>
              </w:rPr>
              <w:t>3,833</w:t>
            </w:r>
          </w:p>
        </w:tc>
        <w:tc>
          <w:tcPr>
            <w:tcW w:w="1020" w:type="dxa"/>
            <w:vAlign w:val="bottom"/>
            <w:tcBorders>
              <w:bottom w:val="single" w:sz="8" w:color="auto"/>
            </w:tcBorders>
          </w:tcPr>
          <w:p>
            <w:pPr>
              <w:jc w:val="right"/>
              <w:ind w:right="12"/>
              <w:spacing w:after="0" w:line="155" w:lineRule="exact"/>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tcPr>
          <w:p>
            <w:pPr>
              <w:jc w:val="right"/>
              <w:ind w:right="151"/>
              <w:spacing w:after="0" w:line="155" w:lineRule="exact"/>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tcPr>
          <w:p>
            <w:pPr>
              <w:jc w:val="right"/>
              <w:ind w:right="12"/>
              <w:spacing w:after="0" w:line="155" w:lineRule="exact"/>
              <w:rPr>
                <w:sz w:val="20"/>
                <w:szCs w:val="20"/>
                <w:color w:val="auto"/>
              </w:rPr>
            </w:pPr>
            <w:r>
              <w:rPr>
                <w:rFonts w:ascii="Arial" w:cs="Arial" w:eastAsia="Arial" w:hAnsi="Arial"/>
                <w:sz w:val="14"/>
                <w:szCs w:val="14"/>
                <w:color w:val="auto"/>
              </w:rPr>
              <w:t>3,833</w:t>
            </w:r>
          </w:p>
        </w:tc>
        <w:tc>
          <w:tcPr>
            <w:tcW w:w="8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(9,880)</w:t>
            </w:r>
          </w:p>
        </w:tc>
        <w:tc>
          <w:tcPr>
            <w:tcW w:w="0" w:type="dxa"/>
            <w:vAlign w:val="bottom"/>
          </w:tcPr>
          <w:p>
            <w:pPr>
              <w:spacing w:after="0"/>
              <w:rPr>
                <w:sz w:val="1"/>
                <w:szCs w:val="1"/>
                <w:color w:val="auto"/>
              </w:rPr>
            </w:pPr>
          </w:p>
        </w:tc>
      </w:tr>
      <w:tr>
        <w:trPr>
          <w:trHeight w:val="156"/>
        </w:trPr>
        <w:tc>
          <w:tcPr>
            <w:tcW w:w="3500" w:type="dxa"/>
            <w:vAlign w:val="bottom"/>
            <w:tcBorders>
              <w:bottom w:val="single" w:sz="8" w:color="auto"/>
            </w:tcBorders>
          </w:tcPr>
          <w:p>
            <w:pPr>
              <w:spacing w:after="0" w:line="155" w:lineRule="exact"/>
              <w:rPr>
                <w:sz w:val="20"/>
                <w:szCs w:val="20"/>
                <w:color w:val="auto"/>
              </w:rPr>
            </w:pPr>
            <w:r>
              <w:rPr>
                <w:rFonts w:ascii="Arial" w:cs="Arial" w:eastAsia="Arial" w:hAnsi="Arial"/>
                <w:sz w:val="14"/>
                <w:szCs w:val="14"/>
                <w:color w:val="auto"/>
              </w:rPr>
              <w:t>Total</w:t>
            </w:r>
          </w:p>
        </w:tc>
        <w:tc>
          <w:tcPr>
            <w:tcW w:w="14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(9,420)</w:t>
            </w:r>
          </w:p>
        </w:tc>
        <w:tc>
          <w:tcPr>
            <w:tcW w:w="900" w:type="dxa"/>
            <w:vAlign w:val="bottom"/>
            <w:tcBorders>
              <w:bottom w:val="single" w:sz="8" w:color="auto"/>
            </w:tcBorders>
          </w:tcPr>
          <w:p>
            <w:pPr>
              <w:jc w:val="right"/>
              <w:ind w:right="149"/>
              <w:spacing w:after="0" w:line="155" w:lineRule="exact"/>
              <w:rPr>
                <w:sz w:val="20"/>
                <w:szCs w:val="20"/>
                <w:color w:val="auto"/>
              </w:rPr>
            </w:pPr>
            <w:r>
              <w:rPr>
                <w:rFonts w:ascii="Arial" w:cs="Arial" w:eastAsia="Arial" w:hAnsi="Arial"/>
                <w:sz w:val="14"/>
                <w:szCs w:val="14"/>
                <w:color w:val="auto"/>
              </w:rPr>
              <w:t>3,307</w:t>
            </w:r>
          </w:p>
        </w:tc>
        <w:tc>
          <w:tcPr>
            <w:tcW w:w="780" w:type="dxa"/>
            <w:vAlign w:val="bottom"/>
            <w:tcBorders>
              <w:bottom w:val="single" w:sz="8" w:color="auto"/>
            </w:tcBorders>
          </w:tcPr>
          <w:p>
            <w:pPr>
              <w:jc w:val="right"/>
              <w:ind w:right="89"/>
              <w:spacing w:after="0" w:line="155" w:lineRule="exact"/>
              <w:rPr>
                <w:sz w:val="20"/>
                <w:szCs w:val="20"/>
                <w:color w:val="auto"/>
              </w:rPr>
            </w:pPr>
            <w:r>
              <w:rPr>
                <w:rFonts w:ascii="Arial" w:cs="Arial" w:eastAsia="Arial" w:hAnsi="Arial"/>
                <w:sz w:val="14"/>
                <w:szCs w:val="14"/>
                <w:color w:val="auto"/>
              </w:rPr>
              <w:t>(1,400)</w:t>
            </w:r>
          </w:p>
        </w:tc>
        <w:tc>
          <w:tcPr>
            <w:tcW w:w="800" w:type="dxa"/>
            <w:vAlign w:val="bottom"/>
            <w:tcBorders>
              <w:bottom w:val="single" w:sz="8" w:color="auto"/>
            </w:tcBorders>
          </w:tcPr>
          <w:p>
            <w:pPr>
              <w:jc w:val="right"/>
              <w:ind w:right="150"/>
              <w:spacing w:after="0" w:line="155" w:lineRule="exact"/>
              <w:rPr>
                <w:sz w:val="20"/>
                <w:szCs w:val="20"/>
                <w:color w:val="auto"/>
              </w:rPr>
            </w:pPr>
            <w:r>
              <w:rPr>
                <w:rFonts w:ascii="Arial" w:cs="Arial" w:eastAsia="Arial" w:hAnsi="Arial"/>
                <w:sz w:val="14"/>
                <w:szCs w:val="14"/>
                <w:color w:val="auto"/>
              </w:rPr>
              <w:t>1,907</w:t>
            </w:r>
          </w:p>
        </w:tc>
        <w:tc>
          <w:tcPr>
            <w:tcW w:w="10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(167)</w:t>
            </w:r>
          </w:p>
        </w:tc>
        <w:tc>
          <w:tcPr>
            <w:tcW w:w="1100" w:type="dxa"/>
            <w:vAlign w:val="bottom"/>
            <w:tcBorders>
              <w:bottom w:val="single" w:sz="8" w:color="auto"/>
            </w:tcBorders>
          </w:tcPr>
          <w:p>
            <w:pPr>
              <w:jc w:val="right"/>
              <w:ind w:right="151"/>
              <w:spacing w:after="0" w:line="155" w:lineRule="exact"/>
              <w:rPr>
                <w:sz w:val="20"/>
                <w:szCs w:val="20"/>
                <w:color w:val="auto"/>
              </w:rPr>
            </w:pPr>
            <w:r>
              <w:rPr>
                <w:rFonts w:ascii="Arial" w:cs="Arial" w:eastAsia="Arial" w:hAnsi="Arial"/>
                <w:sz w:val="14"/>
                <w:szCs w:val="14"/>
                <w:color w:val="auto"/>
              </w:rPr>
              <w:t>132</w:t>
            </w:r>
          </w:p>
        </w:tc>
        <w:tc>
          <w:tcPr>
            <w:tcW w:w="1060" w:type="dxa"/>
            <w:vAlign w:val="bottom"/>
            <w:tcBorders>
              <w:bottom w:val="single" w:sz="8" w:color="auto"/>
            </w:tcBorders>
          </w:tcPr>
          <w:p>
            <w:pPr>
              <w:jc w:val="right"/>
              <w:ind w:right="12"/>
              <w:spacing w:after="0" w:line="155" w:lineRule="exact"/>
              <w:rPr>
                <w:sz w:val="20"/>
                <w:szCs w:val="20"/>
                <w:color w:val="auto"/>
              </w:rPr>
            </w:pPr>
            <w:r>
              <w:rPr>
                <w:rFonts w:ascii="Arial" w:cs="Arial" w:eastAsia="Arial" w:hAnsi="Arial"/>
                <w:sz w:val="14"/>
                <w:szCs w:val="14"/>
                <w:color w:val="auto"/>
              </w:rPr>
              <w:t>1,872</w:t>
            </w:r>
          </w:p>
        </w:tc>
        <w:tc>
          <w:tcPr>
            <w:tcW w:w="8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(7,548)</w:t>
            </w: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40" w:name="page141"/>
    <w:bookmarkEnd w:id="1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6428105</wp:posOffset>
            </wp:positionH>
            <wp:positionV relativeFrom="paragraph">
              <wp:posOffset>300355</wp:posOffset>
            </wp:positionV>
            <wp:extent cx="8890" cy="462915"/>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8890" cy="462915"/>
                    </a:xfrm>
                    <a:prstGeom prst="rect">
                      <a:avLst/>
                    </a:prstGeom>
                    <a:noFill/>
                  </pic:spPr>
                </pic:pic>
              </a:graphicData>
            </a:graphic>
          </wp:anchor>
        </w:drawing>
      </w:r>
    </w:p>
    <w:p>
      <w:pPr>
        <w:spacing w:after="0" w:line="200" w:lineRule="exact"/>
        <w:rPr>
          <w:sz w:val="20"/>
          <w:szCs w:val="20"/>
          <w:color w:val="auto"/>
        </w:rPr>
      </w:pP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565"/>
        </w:trPr>
        <w:tc>
          <w:tcPr>
            <w:tcW w:w="4160" w:type="dxa"/>
            <w:vAlign w:val="bottom"/>
          </w:tcPr>
          <w:p>
            <w:pPr>
              <w:spacing w:after="0"/>
              <w:rPr>
                <w:sz w:val="24"/>
                <w:szCs w:val="24"/>
                <w:color w:val="auto"/>
              </w:rPr>
            </w:pPr>
          </w:p>
        </w:tc>
        <w:tc>
          <w:tcPr>
            <w:tcW w:w="1460" w:type="dxa"/>
            <w:vAlign w:val="bottom"/>
            <w:tcBorders>
              <w:right w:val="single" w:sz="8" w:color="FF8B00"/>
            </w:tcBorders>
          </w:tcPr>
          <w:p>
            <w:pPr>
              <w:spacing w:after="0"/>
              <w:rPr>
                <w:sz w:val="24"/>
                <w:szCs w:val="24"/>
                <w:color w:val="auto"/>
              </w:rPr>
            </w:pPr>
          </w:p>
        </w:tc>
        <w:tc>
          <w:tcPr>
            <w:tcW w:w="720" w:type="dxa"/>
            <w:vAlign w:val="bottom"/>
            <w:shd w:val="clear" w:color="auto" w:fill="FF8B00"/>
          </w:tcPr>
          <w:p>
            <w:pPr>
              <w:spacing w:after="0"/>
              <w:rPr>
                <w:sz w:val="24"/>
                <w:szCs w:val="24"/>
                <w:color w:val="auto"/>
              </w:rPr>
            </w:pPr>
          </w:p>
        </w:tc>
        <w:tc>
          <w:tcPr>
            <w:tcW w:w="3000" w:type="dxa"/>
            <w:vAlign w:val="bottom"/>
            <w:gridSpan w:val="7"/>
            <w:shd w:val="clear" w:color="auto" w:fill="FF8B00"/>
          </w:tcPr>
          <w:p>
            <w:pPr>
              <w:ind w:left="140"/>
              <w:spacing w:after="0"/>
              <w:rPr>
                <w:sz w:val="20"/>
                <w:szCs w:val="20"/>
                <w:color w:val="auto"/>
              </w:rPr>
            </w:pPr>
            <w:r>
              <w:rPr>
                <w:rFonts w:ascii="Arial" w:cs="Arial" w:eastAsia="Arial" w:hAnsi="Arial"/>
                <w:sz w:val="13"/>
                <w:szCs w:val="13"/>
                <w:color w:val="333333"/>
                <w:w w:val="97"/>
              </w:rPr>
              <w:t>FINANCIAL STATEMENTS AND SUPPLEMENTS</w:t>
            </w:r>
          </w:p>
        </w:tc>
        <w:tc>
          <w:tcPr>
            <w:tcW w:w="1080" w:type="dxa"/>
            <w:vAlign w:val="bottom"/>
            <w:shd w:val="clear" w:color="auto" w:fill="FF8B00"/>
          </w:tcPr>
          <w:p>
            <w:pPr>
              <w:spacing w:after="0"/>
              <w:rPr>
                <w:sz w:val="24"/>
                <w:szCs w:val="24"/>
                <w:color w:val="auto"/>
              </w:rPr>
            </w:pPr>
          </w:p>
        </w:tc>
        <w:tc>
          <w:tcPr>
            <w:tcW w:w="1000" w:type="dxa"/>
            <w:vAlign w:val="bottom"/>
            <w:shd w:val="clear" w:color="auto" w:fill="FF8B00"/>
          </w:tcPr>
          <w:p>
            <w:pPr>
              <w:jc w:val="right"/>
              <w:ind w:right="350"/>
              <w:spacing w:after="0"/>
              <w:rPr>
                <w:sz w:val="20"/>
                <w:szCs w:val="20"/>
                <w:color w:val="auto"/>
              </w:rPr>
            </w:pPr>
            <w:r>
              <w:rPr>
                <w:rFonts w:ascii="Arial" w:cs="Arial" w:eastAsia="Arial" w:hAnsi="Arial"/>
                <w:sz w:val="11"/>
                <w:szCs w:val="11"/>
                <w:b w:val="1"/>
                <w:bCs w:val="1"/>
                <w:color w:val="333333"/>
              </w:rPr>
              <w:t>139</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5"/>
        </w:trPr>
        <w:tc>
          <w:tcPr>
            <w:tcW w:w="4160" w:type="dxa"/>
            <w:vAlign w:val="bottom"/>
            <w:vMerge w:val="restart"/>
          </w:tcPr>
          <w:p>
            <w:pPr>
              <w:spacing w:after="0"/>
              <w:rPr>
                <w:sz w:val="20"/>
                <w:szCs w:val="20"/>
                <w:color w:val="auto"/>
              </w:rPr>
            </w:pPr>
            <w:r>
              <w:rPr>
                <w:rFonts w:ascii="Arial" w:cs="Arial" w:eastAsia="Arial" w:hAnsi="Arial"/>
                <w:sz w:val="11"/>
                <w:szCs w:val="11"/>
                <w:color w:val="auto"/>
              </w:rPr>
              <w:t>SHELL ANNUAL REPORT AND FORM 20-F 2014</w:t>
            </w:r>
          </w:p>
        </w:tc>
        <w:tc>
          <w:tcPr>
            <w:tcW w:w="1460" w:type="dxa"/>
            <w:vAlign w:val="bottom"/>
            <w:tcBorders>
              <w:right w:val="single" w:sz="8" w:color="FF8B00"/>
            </w:tcBorders>
          </w:tcPr>
          <w:p>
            <w:pPr>
              <w:spacing w:after="0"/>
              <w:rPr>
                <w:sz w:val="14"/>
                <w:szCs w:val="14"/>
                <w:color w:val="auto"/>
              </w:rPr>
            </w:pPr>
          </w:p>
        </w:tc>
        <w:tc>
          <w:tcPr>
            <w:tcW w:w="720" w:type="dxa"/>
            <w:vAlign w:val="bottom"/>
            <w:shd w:val="clear" w:color="auto" w:fill="FF8B00"/>
          </w:tcPr>
          <w:p>
            <w:pPr>
              <w:spacing w:after="0"/>
              <w:rPr>
                <w:sz w:val="14"/>
                <w:szCs w:val="14"/>
                <w:color w:val="auto"/>
              </w:rPr>
            </w:pPr>
          </w:p>
        </w:tc>
        <w:tc>
          <w:tcPr>
            <w:tcW w:w="620" w:type="dxa"/>
            <w:vAlign w:val="bottom"/>
            <w:gridSpan w:val="2"/>
            <w:shd w:val="clear" w:color="auto" w:fill="FF8B00"/>
          </w:tcPr>
          <w:p>
            <w:pPr>
              <w:spacing w:after="0"/>
              <w:rPr>
                <w:sz w:val="14"/>
                <w:szCs w:val="14"/>
                <w:color w:val="auto"/>
              </w:rPr>
            </w:pPr>
          </w:p>
        </w:tc>
        <w:tc>
          <w:tcPr>
            <w:tcW w:w="580" w:type="dxa"/>
            <w:vAlign w:val="bottom"/>
            <w:shd w:val="clear" w:color="auto" w:fill="FF8B00"/>
          </w:tcPr>
          <w:p>
            <w:pPr>
              <w:spacing w:after="0"/>
              <w:rPr>
                <w:sz w:val="14"/>
                <w:szCs w:val="14"/>
                <w:color w:val="auto"/>
              </w:rPr>
            </w:pPr>
          </w:p>
        </w:tc>
        <w:tc>
          <w:tcPr>
            <w:tcW w:w="540" w:type="dxa"/>
            <w:vAlign w:val="bottom"/>
            <w:shd w:val="clear" w:color="auto" w:fill="FF8B00"/>
          </w:tcPr>
          <w:p>
            <w:pPr>
              <w:spacing w:after="0"/>
              <w:rPr>
                <w:sz w:val="14"/>
                <w:szCs w:val="14"/>
                <w:color w:val="auto"/>
              </w:rPr>
            </w:pPr>
          </w:p>
        </w:tc>
        <w:tc>
          <w:tcPr>
            <w:tcW w:w="320" w:type="dxa"/>
            <w:vAlign w:val="bottom"/>
            <w:shd w:val="clear" w:color="auto" w:fill="FF8B00"/>
          </w:tcPr>
          <w:p>
            <w:pPr>
              <w:spacing w:after="0"/>
              <w:rPr>
                <w:sz w:val="14"/>
                <w:szCs w:val="14"/>
                <w:color w:val="auto"/>
              </w:rPr>
            </w:pPr>
          </w:p>
        </w:tc>
        <w:tc>
          <w:tcPr>
            <w:tcW w:w="940" w:type="dxa"/>
            <w:vAlign w:val="bottom"/>
            <w:gridSpan w:val="2"/>
            <w:shd w:val="clear" w:color="auto" w:fill="FF8B00"/>
          </w:tcPr>
          <w:p>
            <w:pPr>
              <w:spacing w:after="0"/>
              <w:rPr>
                <w:sz w:val="14"/>
                <w:szCs w:val="14"/>
                <w:color w:val="auto"/>
              </w:rPr>
            </w:pPr>
          </w:p>
        </w:tc>
        <w:tc>
          <w:tcPr>
            <w:tcW w:w="1080" w:type="dxa"/>
            <w:vAlign w:val="bottom"/>
            <w:shd w:val="clear" w:color="auto" w:fill="FF8B00"/>
          </w:tcPr>
          <w:p>
            <w:pPr>
              <w:spacing w:after="0"/>
              <w:rPr>
                <w:sz w:val="14"/>
                <w:szCs w:val="14"/>
                <w:color w:val="auto"/>
              </w:rPr>
            </w:pPr>
          </w:p>
        </w:tc>
        <w:tc>
          <w:tcPr>
            <w:tcW w:w="1000" w:type="dxa"/>
            <w:vAlign w:val="bottom"/>
            <w:shd w:val="clear" w:color="auto" w:fill="FF8B00"/>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4160" w:type="dxa"/>
            <w:vAlign w:val="bottom"/>
            <w:vMerge w:val="continue"/>
          </w:tcPr>
          <w:p>
            <w:pPr>
              <w:spacing w:after="0"/>
              <w:rPr>
                <w:sz w:val="10"/>
                <w:szCs w:val="10"/>
                <w:color w:val="auto"/>
              </w:rPr>
            </w:pPr>
          </w:p>
        </w:tc>
        <w:tc>
          <w:tcPr>
            <w:tcW w:w="14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3000" w:type="dxa"/>
            <w:vAlign w:val="bottom"/>
            <w:gridSpan w:val="7"/>
          </w:tcPr>
          <w:p>
            <w:pPr>
              <w:ind w:left="140"/>
              <w:spacing w:after="0" w:line="122" w:lineRule="exact"/>
              <w:rPr>
                <w:sz w:val="20"/>
                <w:szCs w:val="20"/>
                <w:color w:val="auto"/>
              </w:rPr>
            </w:pPr>
            <w:r>
              <w:rPr>
                <w:rFonts w:ascii="Arial" w:cs="Arial" w:eastAsia="Arial" w:hAnsi="Arial"/>
                <w:sz w:val="11"/>
                <w:szCs w:val="11"/>
                <w:color w:val="auto"/>
              </w:rPr>
              <w:t>CONSOLIDATED FINANCIAL STATEMENTS</w:t>
            </w:r>
          </w:p>
        </w:tc>
        <w:tc>
          <w:tcPr>
            <w:tcW w:w="10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4160" w:type="dxa"/>
            <w:vAlign w:val="bottom"/>
            <w:shd w:val="clear" w:color="auto" w:fill="333333"/>
          </w:tcPr>
          <w:p>
            <w:pPr>
              <w:ind w:left="80"/>
              <w:spacing w:after="0" w:line="162" w:lineRule="exact"/>
              <w:rPr>
                <w:sz w:val="20"/>
                <w:szCs w:val="20"/>
                <w:color w:val="auto"/>
              </w:rPr>
            </w:pPr>
            <w:r>
              <w:rPr>
                <w:rFonts w:ascii="Arial" w:cs="Arial" w:eastAsia="Arial" w:hAnsi="Arial"/>
                <w:sz w:val="15"/>
                <w:szCs w:val="15"/>
                <w:b w:val="1"/>
                <w:bCs w:val="1"/>
                <w:color w:val="FFFFFF"/>
              </w:rPr>
              <w:t>2012</w:t>
            </w:r>
          </w:p>
        </w:tc>
        <w:tc>
          <w:tcPr>
            <w:tcW w:w="1460" w:type="dxa"/>
            <w:vAlign w:val="bottom"/>
            <w:tcBorders>
              <w:right w:val="single" w:sz="8" w:color="333333"/>
            </w:tcBorders>
            <w:shd w:val="clear" w:color="auto" w:fill="333333"/>
          </w:tcPr>
          <w:p>
            <w:pPr>
              <w:spacing w:after="0"/>
              <w:rPr>
                <w:sz w:val="14"/>
                <w:szCs w:val="14"/>
                <w:color w:val="auto"/>
              </w:rPr>
            </w:pPr>
          </w:p>
        </w:tc>
        <w:tc>
          <w:tcPr>
            <w:tcW w:w="720" w:type="dxa"/>
            <w:vAlign w:val="bottom"/>
            <w:shd w:val="clear" w:color="auto" w:fill="333333"/>
          </w:tcPr>
          <w:p>
            <w:pPr>
              <w:spacing w:after="0"/>
              <w:rPr>
                <w:sz w:val="14"/>
                <w:szCs w:val="14"/>
                <w:color w:val="auto"/>
              </w:rPr>
            </w:pPr>
          </w:p>
        </w:tc>
        <w:tc>
          <w:tcPr>
            <w:tcW w:w="500" w:type="dxa"/>
            <w:vAlign w:val="bottom"/>
            <w:shd w:val="clear" w:color="auto" w:fill="333333"/>
          </w:tcPr>
          <w:p>
            <w:pPr>
              <w:spacing w:after="0"/>
              <w:rPr>
                <w:sz w:val="14"/>
                <w:szCs w:val="14"/>
                <w:color w:val="auto"/>
              </w:rPr>
            </w:pPr>
          </w:p>
        </w:tc>
        <w:tc>
          <w:tcPr>
            <w:tcW w:w="120" w:type="dxa"/>
            <w:vAlign w:val="bottom"/>
            <w:shd w:val="clear" w:color="auto" w:fill="333333"/>
          </w:tcPr>
          <w:p>
            <w:pPr>
              <w:spacing w:after="0"/>
              <w:rPr>
                <w:sz w:val="14"/>
                <w:szCs w:val="14"/>
                <w:color w:val="auto"/>
              </w:rPr>
            </w:pPr>
          </w:p>
        </w:tc>
        <w:tc>
          <w:tcPr>
            <w:tcW w:w="580" w:type="dxa"/>
            <w:vAlign w:val="bottom"/>
            <w:shd w:val="clear" w:color="auto" w:fill="333333"/>
          </w:tcPr>
          <w:p>
            <w:pPr>
              <w:spacing w:after="0"/>
              <w:rPr>
                <w:sz w:val="14"/>
                <w:szCs w:val="14"/>
                <w:color w:val="auto"/>
              </w:rPr>
            </w:pPr>
          </w:p>
        </w:tc>
        <w:tc>
          <w:tcPr>
            <w:tcW w:w="540" w:type="dxa"/>
            <w:vAlign w:val="bottom"/>
            <w:shd w:val="clear" w:color="auto" w:fill="333333"/>
          </w:tcPr>
          <w:p>
            <w:pPr>
              <w:spacing w:after="0"/>
              <w:rPr>
                <w:sz w:val="14"/>
                <w:szCs w:val="14"/>
                <w:color w:val="auto"/>
              </w:rPr>
            </w:pPr>
          </w:p>
        </w:tc>
        <w:tc>
          <w:tcPr>
            <w:tcW w:w="320" w:type="dxa"/>
            <w:vAlign w:val="bottom"/>
            <w:shd w:val="clear" w:color="auto" w:fill="333333"/>
          </w:tcPr>
          <w:p>
            <w:pPr>
              <w:spacing w:after="0"/>
              <w:rPr>
                <w:sz w:val="14"/>
                <w:szCs w:val="14"/>
                <w:color w:val="auto"/>
              </w:rPr>
            </w:pPr>
          </w:p>
        </w:tc>
        <w:tc>
          <w:tcPr>
            <w:tcW w:w="80" w:type="dxa"/>
            <w:vAlign w:val="bottom"/>
            <w:shd w:val="clear" w:color="auto" w:fill="333333"/>
          </w:tcPr>
          <w:p>
            <w:pPr>
              <w:spacing w:after="0"/>
              <w:rPr>
                <w:sz w:val="14"/>
                <w:szCs w:val="14"/>
                <w:color w:val="auto"/>
              </w:rPr>
            </w:pPr>
          </w:p>
        </w:tc>
        <w:tc>
          <w:tcPr>
            <w:tcW w:w="860" w:type="dxa"/>
            <w:vAlign w:val="bottom"/>
            <w:shd w:val="clear" w:color="auto" w:fill="333333"/>
          </w:tcPr>
          <w:p>
            <w:pPr>
              <w:spacing w:after="0"/>
              <w:rPr>
                <w:sz w:val="14"/>
                <w:szCs w:val="14"/>
                <w:color w:val="auto"/>
              </w:rPr>
            </w:pPr>
          </w:p>
        </w:tc>
        <w:tc>
          <w:tcPr>
            <w:tcW w:w="1080" w:type="dxa"/>
            <w:vAlign w:val="bottom"/>
            <w:shd w:val="clear" w:color="auto" w:fill="333333"/>
          </w:tcPr>
          <w:p>
            <w:pPr>
              <w:spacing w:after="0"/>
              <w:rPr>
                <w:sz w:val="14"/>
                <w:szCs w:val="14"/>
                <w:color w:val="auto"/>
              </w:rPr>
            </w:pPr>
          </w:p>
        </w:tc>
        <w:tc>
          <w:tcPr>
            <w:tcW w:w="1000" w:type="dxa"/>
            <w:vAlign w:val="bottom"/>
            <w:shd w:val="clear" w:color="auto" w:fill="333333"/>
          </w:tcPr>
          <w:p>
            <w:pPr>
              <w:jc w:val="right"/>
              <w:ind w:right="30"/>
              <w:spacing w:after="0" w:line="162" w:lineRule="exact"/>
              <w:rPr>
                <w:sz w:val="20"/>
                <w:szCs w:val="20"/>
                <w:color w:val="auto"/>
              </w:rPr>
            </w:pPr>
            <w:r>
              <w:rPr>
                <w:rFonts w:ascii="Arial" w:cs="Arial" w:eastAsia="Arial" w:hAnsi="Arial"/>
                <w:sz w:val="15"/>
                <w:szCs w:val="15"/>
                <w:color w:val="FFFFFF"/>
              </w:rPr>
              <w:t>$ MILLION</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416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520" w:type="dxa"/>
            <w:vAlign w:val="bottom"/>
            <w:tcBorders>
              <w:bottom w:val="single" w:sz="8" w:color="auto"/>
            </w:tcBorders>
            <w:gridSpan w:val="4"/>
          </w:tcPr>
          <w:p>
            <w:pPr>
              <w:jc w:val="right"/>
              <w:ind w:right="100"/>
              <w:spacing w:after="0" w:line="135" w:lineRule="exact"/>
              <w:rPr>
                <w:sz w:val="20"/>
                <w:szCs w:val="20"/>
                <w:color w:val="auto"/>
              </w:rPr>
            </w:pPr>
            <w:r>
              <w:rPr>
                <w:rFonts w:ascii="Arial" w:cs="Arial" w:eastAsia="Arial" w:hAnsi="Arial"/>
                <w:sz w:val="13"/>
                <w:szCs w:val="13"/>
                <w:color w:val="auto"/>
              </w:rPr>
              <w:t>Recognised in 2012</w:t>
            </w:r>
          </w:p>
        </w:tc>
        <w:tc>
          <w:tcPr>
            <w:tcW w:w="860" w:type="dxa"/>
            <w:vAlign w:val="bottom"/>
          </w:tcPr>
          <w:p>
            <w:pPr>
              <w:spacing w:after="0"/>
              <w:rPr>
                <w:sz w:val="11"/>
                <w:szCs w:val="11"/>
                <w:color w:val="auto"/>
              </w:rPr>
            </w:pPr>
          </w:p>
        </w:tc>
        <w:tc>
          <w:tcPr>
            <w:tcW w:w="1080" w:type="dxa"/>
            <w:vAlign w:val="bottom"/>
            <w:vMerge w:val="restart"/>
          </w:tcPr>
          <w:p>
            <w:pPr>
              <w:jc w:val="right"/>
              <w:ind w:right="71"/>
              <w:spacing w:after="0"/>
              <w:rPr>
                <w:sz w:val="20"/>
                <w:szCs w:val="20"/>
                <w:color w:val="auto"/>
              </w:rPr>
            </w:pPr>
            <w:r>
              <w:rPr>
                <w:rFonts w:ascii="Arial" w:cs="Arial" w:eastAsia="Arial" w:hAnsi="Arial"/>
                <w:sz w:val="13"/>
                <w:szCs w:val="13"/>
                <w:color w:val="auto"/>
              </w:rPr>
              <w:t>Attributable to</w:t>
            </w:r>
          </w:p>
        </w:tc>
        <w:tc>
          <w:tcPr>
            <w:tcW w:w="10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3"/>
        </w:trPr>
        <w:tc>
          <w:tcPr>
            <w:tcW w:w="416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940" w:type="dxa"/>
            <w:vAlign w:val="bottom"/>
            <w:gridSpan w:val="3"/>
          </w:tcPr>
          <w:p>
            <w:pPr>
              <w:jc w:val="right"/>
              <w:ind w:right="100"/>
              <w:spacing w:after="0" w:line="123" w:lineRule="exact"/>
              <w:rPr>
                <w:sz w:val="20"/>
                <w:szCs w:val="20"/>
                <w:color w:val="auto"/>
              </w:rPr>
            </w:pPr>
            <w:r>
              <w:rPr>
                <w:rFonts w:ascii="Arial" w:cs="Arial" w:eastAsia="Arial" w:hAnsi="Arial"/>
                <w:sz w:val="13"/>
                <w:szCs w:val="13"/>
                <w:color w:val="auto"/>
              </w:rPr>
              <w:t>Share of</w:t>
            </w:r>
          </w:p>
        </w:tc>
        <w:tc>
          <w:tcPr>
            <w:tcW w:w="860" w:type="dxa"/>
            <w:vAlign w:val="bottom"/>
          </w:tcPr>
          <w:p>
            <w:pPr>
              <w:spacing w:after="0"/>
              <w:rPr>
                <w:sz w:val="10"/>
                <w:szCs w:val="10"/>
                <w:color w:val="auto"/>
              </w:rPr>
            </w:pPr>
          </w:p>
        </w:tc>
        <w:tc>
          <w:tcPr>
            <w:tcW w:w="1080" w:type="dxa"/>
            <w:vAlign w:val="bottom"/>
            <w:vMerge w:val="continue"/>
          </w:tcPr>
          <w:p>
            <w:pPr>
              <w:spacing w:after="0"/>
              <w:rPr>
                <w:sz w:val="10"/>
                <w:szCs w:val="10"/>
                <w:color w:val="auto"/>
              </w:rPr>
            </w:pPr>
          </w:p>
        </w:tc>
        <w:tc>
          <w:tcPr>
            <w:tcW w:w="10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416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940" w:type="dxa"/>
            <w:vAlign w:val="bottom"/>
            <w:gridSpan w:val="3"/>
          </w:tcPr>
          <w:p>
            <w:pPr>
              <w:jc w:val="right"/>
              <w:ind w:right="100"/>
              <w:spacing w:after="0" w:line="135" w:lineRule="exact"/>
              <w:rPr>
                <w:sz w:val="20"/>
                <w:szCs w:val="20"/>
                <w:color w:val="auto"/>
              </w:rPr>
            </w:pPr>
            <w:r>
              <w:rPr>
                <w:rFonts w:ascii="Arial" w:cs="Arial" w:eastAsia="Arial" w:hAnsi="Arial"/>
                <w:sz w:val="13"/>
                <w:szCs w:val="13"/>
                <w:color w:val="auto"/>
              </w:rPr>
              <w:t>joint ventures</w:t>
            </w:r>
          </w:p>
        </w:tc>
        <w:tc>
          <w:tcPr>
            <w:tcW w:w="860" w:type="dxa"/>
            <w:vAlign w:val="bottom"/>
          </w:tcPr>
          <w:p>
            <w:pPr>
              <w:jc w:val="right"/>
              <w:ind w:right="51"/>
              <w:spacing w:after="0" w:line="135" w:lineRule="exact"/>
              <w:rPr>
                <w:sz w:val="20"/>
                <w:szCs w:val="20"/>
                <w:color w:val="auto"/>
              </w:rPr>
            </w:pPr>
            <w:r>
              <w:rPr>
                <w:rFonts w:ascii="Arial" w:cs="Arial" w:eastAsia="Arial" w:hAnsi="Arial"/>
                <w:sz w:val="13"/>
                <w:szCs w:val="13"/>
                <w:color w:val="auto"/>
              </w:rPr>
              <w:t>Non-</w:t>
            </w:r>
          </w:p>
        </w:tc>
        <w:tc>
          <w:tcPr>
            <w:tcW w:w="1080" w:type="dxa"/>
            <w:vAlign w:val="bottom"/>
          </w:tcPr>
          <w:p>
            <w:pPr>
              <w:jc w:val="right"/>
              <w:ind w:right="71"/>
              <w:spacing w:after="0" w:line="135" w:lineRule="exact"/>
              <w:rPr>
                <w:sz w:val="20"/>
                <w:szCs w:val="20"/>
                <w:color w:val="auto"/>
              </w:rPr>
            </w:pPr>
            <w:r>
              <w:rPr>
                <w:rFonts w:ascii="Arial" w:cs="Arial" w:eastAsia="Arial" w:hAnsi="Arial"/>
                <w:sz w:val="13"/>
                <w:szCs w:val="13"/>
                <w:color w:val="auto"/>
              </w:rPr>
              <w:t>Royal Dutch</w:t>
            </w:r>
          </w:p>
        </w:tc>
        <w:tc>
          <w:tcPr>
            <w:tcW w:w="10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16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jc w:val="right"/>
              <w:ind w:right="117"/>
              <w:spacing w:after="0" w:line="135" w:lineRule="exact"/>
              <w:rPr>
                <w:sz w:val="20"/>
                <w:szCs w:val="20"/>
                <w:color w:val="auto"/>
              </w:rPr>
            </w:pPr>
            <w:r>
              <w:rPr>
                <w:rFonts w:ascii="Arial" w:cs="Arial" w:eastAsia="Arial" w:hAnsi="Arial"/>
                <w:sz w:val="13"/>
                <w:szCs w:val="13"/>
                <w:color w:val="auto"/>
              </w:rPr>
              <w:t>After</w:t>
            </w:r>
          </w:p>
        </w:tc>
        <w:tc>
          <w:tcPr>
            <w:tcW w:w="540" w:type="dxa"/>
            <w:vAlign w:val="bottom"/>
          </w:tcPr>
          <w:p>
            <w:pPr>
              <w:spacing w:after="0"/>
              <w:rPr>
                <w:sz w:val="11"/>
                <w:szCs w:val="11"/>
                <w:color w:val="auto"/>
              </w:rPr>
            </w:pPr>
          </w:p>
        </w:tc>
        <w:tc>
          <w:tcPr>
            <w:tcW w:w="40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and</w:t>
            </w:r>
          </w:p>
        </w:tc>
        <w:tc>
          <w:tcPr>
            <w:tcW w:w="860" w:type="dxa"/>
            <w:vAlign w:val="bottom"/>
          </w:tcPr>
          <w:p>
            <w:pPr>
              <w:jc w:val="right"/>
              <w:ind w:right="51"/>
              <w:spacing w:after="0" w:line="135" w:lineRule="exact"/>
              <w:rPr>
                <w:sz w:val="20"/>
                <w:szCs w:val="20"/>
                <w:color w:val="auto"/>
              </w:rPr>
            </w:pPr>
            <w:r>
              <w:rPr>
                <w:rFonts w:ascii="Arial" w:cs="Arial" w:eastAsia="Arial" w:hAnsi="Arial"/>
                <w:sz w:val="13"/>
                <w:szCs w:val="13"/>
                <w:color w:val="auto"/>
              </w:rPr>
              <w:t>controlling</w:t>
            </w:r>
          </w:p>
        </w:tc>
        <w:tc>
          <w:tcPr>
            <w:tcW w:w="1080" w:type="dxa"/>
            <w:vAlign w:val="bottom"/>
          </w:tcPr>
          <w:p>
            <w:pPr>
              <w:jc w:val="right"/>
              <w:ind w:right="71"/>
              <w:spacing w:after="0" w:line="135" w:lineRule="exact"/>
              <w:rPr>
                <w:sz w:val="20"/>
                <w:szCs w:val="20"/>
                <w:color w:val="auto"/>
              </w:rPr>
            </w:pPr>
            <w:r>
              <w:rPr>
                <w:rFonts w:ascii="Arial" w:cs="Arial" w:eastAsia="Arial" w:hAnsi="Arial"/>
                <w:sz w:val="13"/>
                <w:szCs w:val="13"/>
                <w:color w:val="auto"/>
              </w:rPr>
              <w:t>Shell plc</w:t>
            </w:r>
          </w:p>
        </w:tc>
        <w:tc>
          <w:tcPr>
            <w:tcW w:w="10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1"/>
        </w:trPr>
        <w:tc>
          <w:tcPr>
            <w:tcW w:w="4160" w:type="dxa"/>
            <w:vAlign w:val="bottom"/>
          </w:tcPr>
          <w:p>
            <w:pPr>
              <w:spacing w:after="0"/>
              <w:rPr>
                <w:sz w:val="12"/>
                <w:szCs w:val="12"/>
                <w:color w:val="auto"/>
              </w:rPr>
            </w:pPr>
          </w:p>
        </w:tc>
        <w:tc>
          <w:tcPr>
            <w:tcW w:w="1460" w:type="dxa"/>
            <w:vAlign w:val="bottom"/>
          </w:tcPr>
          <w:p>
            <w:pPr>
              <w:jc w:val="right"/>
              <w:ind w:right="30"/>
              <w:spacing w:after="0" w:line="141" w:lineRule="exact"/>
              <w:rPr>
                <w:sz w:val="20"/>
                <w:szCs w:val="20"/>
                <w:color w:val="auto"/>
              </w:rPr>
            </w:pPr>
            <w:r>
              <w:rPr>
                <w:rFonts w:ascii="Arial" w:cs="Arial" w:eastAsia="Arial" w:hAnsi="Arial"/>
                <w:sz w:val="13"/>
                <w:szCs w:val="13"/>
                <w:color w:val="auto"/>
              </w:rPr>
              <w:t>Jan 1</w:t>
            </w:r>
          </w:p>
        </w:tc>
        <w:tc>
          <w:tcPr>
            <w:tcW w:w="720" w:type="dxa"/>
            <w:vAlign w:val="bottom"/>
          </w:tcPr>
          <w:p>
            <w:pPr>
              <w:jc w:val="right"/>
              <w:ind w:right="69"/>
              <w:spacing w:after="0" w:line="141" w:lineRule="exact"/>
              <w:rPr>
                <w:sz w:val="20"/>
                <w:szCs w:val="20"/>
                <w:color w:val="auto"/>
              </w:rPr>
            </w:pPr>
            <w:r>
              <w:rPr>
                <w:rFonts w:ascii="Arial" w:cs="Arial" w:eastAsia="Arial" w:hAnsi="Arial"/>
                <w:sz w:val="13"/>
                <w:szCs w:val="13"/>
                <w:color w:val="auto"/>
              </w:rPr>
              <w:t>Pre-tax</w:t>
            </w:r>
          </w:p>
        </w:tc>
        <w:tc>
          <w:tcPr>
            <w:tcW w:w="500" w:type="dxa"/>
            <w:vAlign w:val="bottom"/>
          </w:tcPr>
          <w:p>
            <w:pPr>
              <w:ind w:left="140"/>
              <w:spacing w:after="0" w:line="141" w:lineRule="exact"/>
              <w:rPr>
                <w:sz w:val="20"/>
                <w:szCs w:val="20"/>
                <w:color w:val="auto"/>
              </w:rPr>
            </w:pPr>
            <w:r>
              <w:rPr>
                <w:rFonts w:ascii="Arial" w:cs="Arial" w:eastAsia="Arial" w:hAnsi="Arial"/>
                <w:sz w:val="13"/>
                <w:szCs w:val="13"/>
                <w:color w:val="auto"/>
              </w:rPr>
              <w:t>Tax</w:t>
            </w:r>
          </w:p>
        </w:tc>
        <w:tc>
          <w:tcPr>
            <w:tcW w:w="120" w:type="dxa"/>
            <w:vAlign w:val="bottom"/>
          </w:tcPr>
          <w:p>
            <w:pPr>
              <w:spacing w:after="0"/>
              <w:rPr>
                <w:sz w:val="12"/>
                <w:szCs w:val="12"/>
                <w:color w:val="auto"/>
              </w:rPr>
            </w:pPr>
          </w:p>
        </w:tc>
        <w:tc>
          <w:tcPr>
            <w:tcW w:w="580" w:type="dxa"/>
            <w:vAlign w:val="bottom"/>
          </w:tcPr>
          <w:p>
            <w:pPr>
              <w:jc w:val="right"/>
              <w:ind w:right="117"/>
              <w:spacing w:after="0" w:line="141" w:lineRule="exact"/>
              <w:rPr>
                <w:sz w:val="20"/>
                <w:szCs w:val="20"/>
                <w:color w:val="auto"/>
              </w:rPr>
            </w:pPr>
            <w:r>
              <w:rPr>
                <w:rFonts w:ascii="Arial" w:cs="Arial" w:eastAsia="Arial" w:hAnsi="Arial"/>
                <w:sz w:val="13"/>
                <w:szCs w:val="13"/>
                <w:color w:val="auto"/>
              </w:rPr>
              <w:t>tax</w:t>
            </w:r>
          </w:p>
        </w:tc>
        <w:tc>
          <w:tcPr>
            <w:tcW w:w="940" w:type="dxa"/>
            <w:vAlign w:val="bottom"/>
            <w:gridSpan w:val="3"/>
          </w:tcPr>
          <w:p>
            <w:pPr>
              <w:jc w:val="right"/>
              <w:ind w:right="100"/>
              <w:spacing w:after="0" w:line="141" w:lineRule="exact"/>
              <w:rPr>
                <w:sz w:val="20"/>
                <w:szCs w:val="20"/>
                <w:color w:val="auto"/>
              </w:rPr>
            </w:pPr>
            <w:r>
              <w:rPr>
                <w:rFonts w:ascii="Arial" w:cs="Arial" w:eastAsia="Arial" w:hAnsi="Arial"/>
                <w:sz w:val="13"/>
                <w:szCs w:val="13"/>
                <w:color w:val="auto"/>
              </w:rPr>
              <w:t>associates</w:t>
            </w:r>
          </w:p>
        </w:tc>
        <w:tc>
          <w:tcPr>
            <w:tcW w:w="860" w:type="dxa"/>
            <w:vAlign w:val="bottom"/>
          </w:tcPr>
          <w:p>
            <w:pPr>
              <w:jc w:val="right"/>
              <w:ind w:right="51"/>
              <w:spacing w:after="0" w:line="141" w:lineRule="exact"/>
              <w:rPr>
                <w:sz w:val="20"/>
                <w:szCs w:val="20"/>
                <w:color w:val="auto"/>
              </w:rPr>
            </w:pPr>
            <w:r>
              <w:rPr>
                <w:rFonts w:ascii="Arial" w:cs="Arial" w:eastAsia="Arial" w:hAnsi="Arial"/>
                <w:sz w:val="13"/>
                <w:szCs w:val="13"/>
                <w:color w:val="auto"/>
              </w:rPr>
              <w:t>interest</w:t>
            </w:r>
          </w:p>
        </w:tc>
        <w:tc>
          <w:tcPr>
            <w:tcW w:w="1080" w:type="dxa"/>
            <w:vAlign w:val="bottom"/>
          </w:tcPr>
          <w:p>
            <w:pPr>
              <w:jc w:val="right"/>
              <w:ind w:right="71"/>
              <w:spacing w:after="0" w:line="141" w:lineRule="exact"/>
              <w:rPr>
                <w:sz w:val="20"/>
                <w:szCs w:val="20"/>
                <w:color w:val="auto"/>
              </w:rPr>
            </w:pPr>
            <w:r>
              <w:rPr>
                <w:rFonts w:ascii="Arial" w:cs="Arial" w:eastAsia="Arial" w:hAnsi="Arial"/>
                <w:sz w:val="13"/>
                <w:szCs w:val="13"/>
                <w:color w:val="auto"/>
              </w:rPr>
              <w:t>shareholders</w:t>
            </w:r>
          </w:p>
        </w:tc>
        <w:tc>
          <w:tcPr>
            <w:tcW w:w="1020" w:type="dxa"/>
            <w:vAlign w:val="bottom"/>
            <w:gridSpan w:val="2"/>
          </w:tcPr>
          <w:p>
            <w:pPr>
              <w:jc w:val="right"/>
              <w:ind w:right="120"/>
              <w:spacing w:after="0" w:line="141" w:lineRule="exact"/>
              <w:rPr>
                <w:sz w:val="20"/>
                <w:szCs w:val="20"/>
                <w:color w:val="auto"/>
              </w:rPr>
            </w:pPr>
            <w:r>
              <w:rPr>
                <w:rFonts w:ascii="Arial" w:cs="Arial" w:eastAsia="Arial" w:hAnsi="Arial"/>
                <w:sz w:val="13"/>
                <w:szCs w:val="13"/>
                <w:color w:val="auto"/>
              </w:rPr>
              <w:t>Dec 31</w:t>
            </w:r>
          </w:p>
        </w:tc>
        <w:tc>
          <w:tcPr>
            <w:tcW w:w="0" w:type="dxa"/>
            <w:vAlign w:val="bottom"/>
          </w:tcPr>
          <w:p>
            <w:pPr>
              <w:spacing w:after="0"/>
              <w:rPr>
                <w:sz w:val="1"/>
                <w:szCs w:val="1"/>
                <w:color w:val="auto"/>
              </w:rPr>
            </w:pPr>
          </w:p>
        </w:tc>
      </w:tr>
      <w:tr>
        <w:trPr>
          <w:trHeight w:val="160"/>
        </w:trPr>
        <w:tc>
          <w:tcPr>
            <w:tcW w:w="4160" w:type="dxa"/>
            <w:vAlign w:val="bottom"/>
            <w:tcBorders>
              <w:top w:val="single" w:sz="8" w:color="auto"/>
            </w:tcBorders>
          </w:tcPr>
          <w:p>
            <w:pPr>
              <w:spacing w:after="0"/>
              <w:rPr>
                <w:sz w:val="20"/>
                <w:szCs w:val="20"/>
                <w:color w:val="auto"/>
              </w:rPr>
            </w:pPr>
            <w:r>
              <w:rPr>
                <w:rFonts w:ascii="Arial" w:cs="Arial" w:eastAsia="Arial" w:hAnsi="Arial"/>
                <w:sz w:val="14"/>
                <w:szCs w:val="14"/>
                <w:color w:val="auto"/>
              </w:rPr>
              <w:t>Currency translation differences</w:t>
            </w:r>
          </w:p>
        </w:tc>
        <w:tc>
          <w:tcPr>
            <w:tcW w:w="146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spacing w:after="0"/>
              <w:rPr>
                <w:sz w:val="13"/>
                <w:szCs w:val="13"/>
                <w:color w:val="auto"/>
              </w:rPr>
            </w:pPr>
          </w:p>
        </w:tc>
        <w:tc>
          <w:tcPr>
            <w:tcW w:w="50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580" w:type="dxa"/>
            <w:vAlign w:val="bottom"/>
            <w:tcBorders>
              <w:top w:val="single" w:sz="8" w:color="auto"/>
            </w:tcBorders>
          </w:tcPr>
          <w:p>
            <w:pPr>
              <w:spacing w:after="0"/>
              <w:rPr>
                <w:sz w:val="13"/>
                <w:szCs w:val="13"/>
                <w:color w:val="auto"/>
              </w:rPr>
            </w:pPr>
          </w:p>
        </w:tc>
        <w:tc>
          <w:tcPr>
            <w:tcW w:w="540" w:type="dxa"/>
            <w:vAlign w:val="bottom"/>
            <w:tcBorders>
              <w:top w:val="single" w:sz="8" w:color="auto"/>
            </w:tcBorders>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tcPr>
          <w:p>
            <w:pPr>
              <w:spacing w:after="0"/>
              <w:rPr>
                <w:sz w:val="13"/>
                <w:szCs w:val="13"/>
                <w:color w:val="auto"/>
              </w:rPr>
            </w:pPr>
          </w:p>
        </w:tc>
        <w:tc>
          <w:tcPr>
            <w:tcW w:w="108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4160" w:type="dxa"/>
            <w:vAlign w:val="bottom"/>
          </w:tcPr>
          <w:p>
            <w:pPr>
              <w:ind w:left="140"/>
              <w:spacing w:after="0"/>
              <w:rPr>
                <w:sz w:val="20"/>
                <w:szCs w:val="20"/>
                <w:color w:val="auto"/>
              </w:rPr>
            </w:pPr>
            <w:r>
              <w:rPr>
                <w:rFonts w:ascii="Arial" w:cs="Arial" w:eastAsia="Arial" w:hAnsi="Arial"/>
                <w:sz w:val="14"/>
                <w:szCs w:val="14"/>
                <w:color w:val="auto"/>
              </w:rPr>
              <w:t>Recognised in the year</w:t>
            </w:r>
          </w:p>
        </w:tc>
        <w:tc>
          <w:tcPr>
            <w:tcW w:w="1460" w:type="dxa"/>
            <w:vAlign w:val="bottom"/>
          </w:tcPr>
          <w:p>
            <w:pPr>
              <w:spacing w:after="0"/>
              <w:rPr>
                <w:sz w:val="14"/>
                <w:szCs w:val="14"/>
                <w:color w:val="auto"/>
              </w:rPr>
            </w:pPr>
          </w:p>
        </w:tc>
        <w:tc>
          <w:tcPr>
            <w:tcW w:w="720" w:type="dxa"/>
            <w:vAlign w:val="bottom"/>
          </w:tcPr>
          <w:p>
            <w:pPr>
              <w:jc w:val="right"/>
              <w:ind w:right="69"/>
              <w:spacing w:after="0"/>
              <w:rPr>
                <w:sz w:val="20"/>
                <w:szCs w:val="20"/>
                <w:color w:val="auto"/>
              </w:rPr>
            </w:pPr>
            <w:r>
              <w:rPr>
                <w:rFonts w:ascii="Arial" w:cs="Arial" w:eastAsia="Arial" w:hAnsi="Arial"/>
                <w:sz w:val="14"/>
                <w:szCs w:val="14"/>
                <w:color w:val="auto"/>
              </w:rPr>
              <w:t>1,372</w:t>
            </w:r>
          </w:p>
        </w:tc>
        <w:tc>
          <w:tcPr>
            <w:tcW w:w="500" w:type="dxa"/>
            <w:vAlign w:val="bottom"/>
          </w:tcPr>
          <w:p>
            <w:pPr>
              <w:jc w:val="right"/>
              <w:ind w:right="51"/>
              <w:spacing w:after="0"/>
              <w:rPr>
                <w:sz w:val="20"/>
                <w:szCs w:val="20"/>
                <w:color w:val="auto"/>
              </w:rPr>
            </w:pPr>
            <w:r>
              <w:rPr>
                <w:rFonts w:ascii="Arial" w:cs="Arial" w:eastAsia="Arial" w:hAnsi="Arial"/>
                <w:sz w:val="14"/>
                <w:szCs w:val="14"/>
                <w:color w:val="auto"/>
              </w:rPr>
              <w:t>(10)</w:t>
            </w:r>
          </w:p>
        </w:tc>
        <w:tc>
          <w:tcPr>
            <w:tcW w:w="700" w:type="dxa"/>
            <w:vAlign w:val="bottom"/>
            <w:gridSpan w:val="2"/>
          </w:tcPr>
          <w:p>
            <w:pPr>
              <w:jc w:val="right"/>
              <w:ind w:right="117"/>
              <w:spacing w:after="0"/>
              <w:rPr>
                <w:sz w:val="20"/>
                <w:szCs w:val="20"/>
                <w:color w:val="auto"/>
              </w:rPr>
            </w:pPr>
            <w:r>
              <w:rPr>
                <w:rFonts w:ascii="Arial" w:cs="Arial" w:eastAsia="Arial" w:hAnsi="Arial"/>
                <w:sz w:val="14"/>
                <w:szCs w:val="14"/>
                <w:color w:val="auto"/>
              </w:rPr>
              <w:t>1,362</w:t>
            </w:r>
          </w:p>
        </w:tc>
        <w:tc>
          <w:tcPr>
            <w:tcW w:w="5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4160" w:type="dxa"/>
            <w:vAlign w:val="bottom"/>
            <w:tcBorders>
              <w:bottom w:val="single" w:sz="8" w:color="auto"/>
            </w:tcBorders>
          </w:tcPr>
          <w:p>
            <w:pPr>
              <w:ind w:left="140"/>
              <w:spacing w:after="0" w:line="157" w:lineRule="exact"/>
              <w:rPr>
                <w:sz w:val="20"/>
                <w:szCs w:val="20"/>
                <w:color w:val="auto"/>
              </w:rPr>
            </w:pPr>
            <w:r>
              <w:rPr>
                <w:rFonts w:ascii="Arial" w:cs="Arial" w:eastAsia="Arial" w:hAnsi="Arial"/>
                <w:sz w:val="14"/>
                <w:szCs w:val="14"/>
                <w:color w:val="auto"/>
              </w:rPr>
              <w:t>Reclassified to income</w:t>
            </w:r>
          </w:p>
        </w:tc>
        <w:tc>
          <w:tcPr>
            <w:tcW w:w="146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69"/>
              <w:spacing w:after="0" w:line="157" w:lineRule="exact"/>
              <w:rPr>
                <w:sz w:val="20"/>
                <w:szCs w:val="20"/>
                <w:color w:val="auto"/>
              </w:rPr>
            </w:pPr>
            <w:r>
              <w:rPr>
                <w:rFonts w:ascii="Arial" w:cs="Arial" w:eastAsia="Arial" w:hAnsi="Arial"/>
                <w:sz w:val="14"/>
                <w:szCs w:val="14"/>
                <w:color w:val="auto"/>
              </w:rPr>
              <w:t>32</w:t>
            </w:r>
          </w:p>
        </w:tc>
        <w:tc>
          <w:tcPr>
            <w:tcW w:w="500" w:type="dxa"/>
            <w:vAlign w:val="bottom"/>
            <w:tcBorders>
              <w:bottom w:val="single" w:sz="8" w:color="auto"/>
            </w:tcBorders>
          </w:tcPr>
          <w:p>
            <w:pPr>
              <w:jc w:val="right"/>
              <w:ind w:right="91"/>
              <w:spacing w:after="0" w:line="157" w:lineRule="exact"/>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gridSpan w:val="2"/>
          </w:tcPr>
          <w:p>
            <w:pPr>
              <w:jc w:val="right"/>
              <w:ind w:right="117"/>
              <w:spacing w:after="0" w:line="157" w:lineRule="exact"/>
              <w:rPr>
                <w:sz w:val="20"/>
                <w:szCs w:val="20"/>
                <w:color w:val="auto"/>
              </w:rPr>
            </w:pPr>
            <w:r>
              <w:rPr>
                <w:rFonts w:ascii="Arial" w:cs="Arial" w:eastAsia="Arial" w:hAnsi="Arial"/>
                <w:sz w:val="14"/>
                <w:szCs w:val="14"/>
                <w:color w:val="auto"/>
              </w:rPr>
              <w:t>32</w:t>
            </w:r>
          </w:p>
        </w:tc>
        <w:tc>
          <w:tcPr>
            <w:tcW w:w="54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4160" w:type="dxa"/>
            <w:vAlign w:val="bottom"/>
            <w:tcBorders>
              <w:bottom w:val="single" w:sz="8" w:color="auto"/>
            </w:tcBorders>
          </w:tcPr>
          <w:p>
            <w:pPr>
              <w:spacing w:after="0" w:line="155" w:lineRule="exact"/>
              <w:rPr>
                <w:sz w:val="20"/>
                <w:szCs w:val="20"/>
                <w:color w:val="auto"/>
              </w:rPr>
            </w:pPr>
            <w:r>
              <w:rPr>
                <w:rFonts w:ascii="Arial" w:cs="Arial" w:eastAsia="Arial" w:hAnsi="Arial"/>
                <w:sz w:val="14"/>
                <w:szCs w:val="14"/>
                <w:color w:val="auto"/>
              </w:rPr>
              <w:t>Net currency translation differences</w:t>
            </w:r>
          </w:p>
        </w:tc>
        <w:tc>
          <w:tcPr>
            <w:tcW w:w="1460" w:type="dxa"/>
            <w:vAlign w:val="bottom"/>
            <w:tcBorders>
              <w:bottom w:val="single" w:sz="8" w:color="auto"/>
            </w:tcBorders>
          </w:tcPr>
          <w:p>
            <w:pPr>
              <w:jc w:val="right"/>
              <w:ind w:right="30"/>
              <w:spacing w:after="0" w:line="155" w:lineRule="exact"/>
              <w:rPr>
                <w:sz w:val="20"/>
                <w:szCs w:val="20"/>
                <w:color w:val="auto"/>
              </w:rPr>
            </w:pPr>
            <w:r>
              <w:rPr>
                <w:rFonts w:ascii="Arial" w:cs="Arial" w:eastAsia="Arial" w:hAnsi="Arial"/>
                <w:sz w:val="14"/>
                <w:szCs w:val="14"/>
                <w:color w:val="auto"/>
              </w:rPr>
              <w:t>260</w:t>
            </w:r>
          </w:p>
        </w:tc>
        <w:tc>
          <w:tcPr>
            <w:tcW w:w="720" w:type="dxa"/>
            <w:vAlign w:val="bottom"/>
            <w:tcBorders>
              <w:bottom w:val="single" w:sz="8" w:color="auto"/>
            </w:tcBorders>
          </w:tcPr>
          <w:p>
            <w:pPr>
              <w:jc w:val="right"/>
              <w:ind w:right="69"/>
              <w:spacing w:after="0" w:line="155" w:lineRule="exact"/>
              <w:rPr>
                <w:sz w:val="20"/>
                <w:szCs w:val="20"/>
                <w:color w:val="auto"/>
              </w:rPr>
            </w:pPr>
            <w:r>
              <w:rPr>
                <w:rFonts w:ascii="Arial" w:cs="Arial" w:eastAsia="Arial" w:hAnsi="Arial"/>
                <w:sz w:val="14"/>
                <w:szCs w:val="14"/>
                <w:color w:val="auto"/>
              </w:rPr>
              <w:t>1,404</w:t>
            </w:r>
          </w:p>
        </w:tc>
        <w:tc>
          <w:tcPr>
            <w:tcW w:w="500" w:type="dxa"/>
            <w:vAlign w:val="bottom"/>
            <w:tcBorders>
              <w:bottom w:val="single" w:sz="8" w:color="auto"/>
            </w:tcBorders>
          </w:tcPr>
          <w:p>
            <w:pPr>
              <w:jc w:val="right"/>
              <w:ind w:right="51"/>
              <w:spacing w:after="0" w:line="155" w:lineRule="exact"/>
              <w:rPr>
                <w:sz w:val="20"/>
                <w:szCs w:val="20"/>
                <w:color w:val="auto"/>
              </w:rPr>
            </w:pPr>
            <w:r>
              <w:rPr>
                <w:rFonts w:ascii="Arial" w:cs="Arial" w:eastAsia="Arial" w:hAnsi="Arial"/>
                <w:sz w:val="14"/>
                <w:szCs w:val="14"/>
                <w:color w:val="auto"/>
              </w:rPr>
              <w:t>(10)</w:t>
            </w:r>
          </w:p>
        </w:tc>
        <w:tc>
          <w:tcPr>
            <w:tcW w:w="700" w:type="dxa"/>
            <w:vAlign w:val="bottom"/>
            <w:tcBorders>
              <w:bottom w:val="single" w:sz="8" w:color="auto"/>
            </w:tcBorders>
            <w:gridSpan w:val="2"/>
          </w:tcPr>
          <w:p>
            <w:pPr>
              <w:jc w:val="right"/>
              <w:ind w:right="117"/>
              <w:spacing w:after="0" w:line="155" w:lineRule="exact"/>
              <w:rPr>
                <w:sz w:val="20"/>
                <w:szCs w:val="20"/>
                <w:color w:val="auto"/>
              </w:rPr>
            </w:pPr>
            <w:r>
              <w:rPr>
                <w:rFonts w:ascii="Arial" w:cs="Arial" w:eastAsia="Arial" w:hAnsi="Arial"/>
                <w:sz w:val="14"/>
                <w:szCs w:val="14"/>
                <w:color w:val="auto"/>
              </w:rPr>
              <w:t>1,394</w:t>
            </w:r>
          </w:p>
        </w:tc>
        <w:tc>
          <w:tcPr>
            <w:tcW w:w="940" w:type="dxa"/>
            <w:vAlign w:val="bottom"/>
            <w:tcBorders>
              <w:bottom w:val="single" w:sz="8" w:color="auto"/>
            </w:tcBorders>
            <w:gridSpan w:val="3"/>
          </w:tcPr>
          <w:p>
            <w:pPr>
              <w:jc w:val="right"/>
              <w:ind w:right="60"/>
              <w:spacing w:after="0" w:line="155" w:lineRule="exact"/>
              <w:rPr>
                <w:sz w:val="20"/>
                <w:szCs w:val="20"/>
                <w:color w:val="auto"/>
              </w:rPr>
            </w:pPr>
            <w:r>
              <w:rPr>
                <w:rFonts w:ascii="Arial" w:cs="Arial" w:eastAsia="Arial" w:hAnsi="Arial"/>
                <w:sz w:val="14"/>
                <w:szCs w:val="14"/>
                <w:color w:val="auto"/>
              </w:rPr>
              <w:t>(136)</w:t>
            </w:r>
          </w:p>
        </w:tc>
        <w:tc>
          <w:tcPr>
            <w:tcW w:w="860" w:type="dxa"/>
            <w:vAlign w:val="bottom"/>
            <w:tcBorders>
              <w:bottom w:val="single" w:sz="8" w:color="auto"/>
            </w:tcBorders>
          </w:tcPr>
          <w:p>
            <w:pPr>
              <w:jc w:val="right"/>
              <w:ind w:right="11"/>
              <w:spacing w:after="0" w:line="155" w:lineRule="exact"/>
              <w:rPr>
                <w:sz w:val="20"/>
                <w:szCs w:val="20"/>
                <w:color w:val="auto"/>
              </w:rPr>
            </w:pPr>
            <w:r>
              <w:rPr>
                <w:rFonts w:ascii="Arial" w:cs="Arial" w:eastAsia="Arial" w:hAnsi="Arial"/>
                <w:sz w:val="14"/>
                <w:szCs w:val="14"/>
                <w:color w:val="auto"/>
              </w:rPr>
              <w:t>(52)</w:t>
            </w:r>
          </w:p>
        </w:tc>
        <w:tc>
          <w:tcPr>
            <w:tcW w:w="1080" w:type="dxa"/>
            <w:vAlign w:val="bottom"/>
            <w:tcBorders>
              <w:bottom w:val="single" w:sz="8" w:color="auto"/>
            </w:tcBorders>
          </w:tcPr>
          <w:p>
            <w:pPr>
              <w:jc w:val="right"/>
              <w:ind w:right="71"/>
              <w:spacing w:after="0" w:line="155" w:lineRule="exact"/>
              <w:rPr>
                <w:sz w:val="20"/>
                <w:szCs w:val="20"/>
                <w:color w:val="auto"/>
              </w:rPr>
            </w:pPr>
            <w:r>
              <w:rPr>
                <w:rFonts w:ascii="Arial" w:cs="Arial" w:eastAsia="Arial" w:hAnsi="Arial"/>
                <w:sz w:val="14"/>
                <w:szCs w:val="14"/>
                <w:color w:val="auto"/>
              </w:rPr>
              <w:t>1,206</w:t>
            </w:r>
          </w:p>
        </w:tc>
        <w:tc>
          <w:tcPr>
            <w:tcW w:w="1000" w:type="dxa"/>
            <w:vAlign w:val="bottom"/>
            <w:tcBorders>
              <w:bottom w:val="single" w:sz="8" w:color="auto"/>
            </w:tcBorders>
          </w:tcPr>
          <w:p>
            <w:pPr>
              <w:jc w:val="right"/>
              <w:ind w:right="30"/>
              <w:spacing w:after="0" w:line="155" w:lineRule="exact"/>
              <w:rPr>
                <w:sz w:val="20"/>
                <w:szCs w:val="20"/>
                <w:color w:val="auto"/>
              </w:rPr>
            </w:pPr>
            <w:r>
              <w:rPr>
                <w:rFonts w:ascii="Arial" w:cs="Arial" w:eastAsia="Arial" w:hAnsi="Arial"/>
                <w:sz w:val="14"/>
                <w:szCs w:val="14"/>
                <w:color w:val="auto"/>
              </w:rPr>
              <w:t>1,466</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4160" w:type="dxa"/>
            <w:vAlign w:val="bottom"/>
          </w:tcPr>
          <w:p>
            <w:pPr>
              <w:spacing w:after="0"/>
              <w:rPr>
                <w:sz w:val="20"/>
                <w:szCs w:val="20"/>
                <w:color w:val="auto"/>
              </w:rPr>
            </w:pPr>
            <w:r>
              <w:rPr>
                <w:rFonts w:ascii="Arial" w:cs="Arial" w:eastAsia="Arial" w:hAnsi="Arial"/>
                <w:sz w:val="14"/>
                <w:szCs w:val="14"/>
                <w:color w:val="auto"/>
              </w:rPr>
              <w:t>Unrealised gains/(losses) on securities</w:t>
            </w:r>
          </w:p>
        </w:tc>
        <w:tc>
          <w:tcPr>
            <w:tcW w:w="14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4160" w:type="dxa"/>
            <w:vAlign w:val="bottom"/>
          </w:tcPr>
          <w:p>
            <w:pPr>
              <w:ind w:left="140"/>
              <w:spacing w:after="0"/>
              <w:rPr>
                <w:sz w:val="20"/>
                <w:szCs w:val="20"/>
                <w:color w:val="auto"/>
              </w:rPr>
            </w:pPr>
            <w:r>
              <w:rPr>
                <w:rFonts w:ascii="Arial" w:cs="Arial" w:eastAsia="Arial" w:hAnsi="Arial"/>
                <w:sz w:val="14"/>
                <w:szCs w:val="14"/>
                <w:color w:val="auto"/>
              </w:rPr>
              <w:t>Recognised in the year</w:t>
            </w:r>
          </w:p>
        </w:tc>
        <w:tc>
          <w:tcPr>
            <w:tcW w:w="1460" w:type="dxa"/>
            <w:vAlign w:val="bottom"/>
          </w:tcPr>
          <w:p>
            <w:pPr>
              <w:spacing w:after="0"/>
              <w:rPr>
                <w:sz w:val="14"/>
                <w:szCs w:val="14"/>
                <w:color w:val="auto"/>
              </w:rPr>
            </w:pPr>
          </w:p>
        </w:tc>
        <w:tc>
          <w:tcPr>
            <w:tcW w:w="720" w:type="dxa"/>
            <w:vAlign w:val="bottom"/>
          </w:tcPr>
          <w:p>
            <w:pPr>
              <w:jc w:val="right"/>
              <w:ind w:right="29"/>
              <w:spacing w:after="0"/>
              <w:rPr>
                <w:sz w:val="20"/>
                <w:szCs w:val="20"/>
                <w:color w:val="auto"/>
              </w:rPr>
            </w:pPr>
            <w:r>
              <w:rPr>
                <w:rFonts w:ascii="Arial" w:cs="Arial" w:eastAsia="Arial" w:hAnsi="Arial"/>
                <w:sz w:val="14"/>
                <w:szCs w:val="14"/>
                <w:color w:val="auto"/>
              </w:rPr>
              <w:t>(711)</w:t>
            </w:r>
          </w:p>
        </w:tc>
        <w:tc>
          <w:tcPr>
            <w:tcW w:w="500" w:type="dxa"/>
            <w:vAlign w:val="bottom"/>
          </w:tcPr>
          <w:p>
            <w:pPr>
              <w:jc w:val="right"/>
              <w:ind w:right="51"/>
              <w:spacing w:after="0"/>
              <w:rPr>
                <w:sz w:val="20"/>
                <w:szCs w:val="20"/>
                <w:color w:val="auto"/>
              </w:rPr>
            </w:pPr>
            <w:r>
              <w:rPr>
                <w:rFonts w:ascii="Arial" w:cs="Arial" w:eastAsia="Arial" w:hAnsi="Arial"/>
                <w:sz w:val="14"/>
                <w:szCs w:val="14"/>
                <w:color w:val="auto"/>
              </w:rPr>
              <w:t>(9)</w:t>
            </w:r>
          </w:p>
        </w:tc>
        <w:tc>
          <w:tcPr>
            <w:tcW w:w="700" w:type="dxa"/>
            <w:vAlign w:val="bottom"/>
            <w:gridSpan w:val="2"/>
          </w:tcPr>
          <w:p>
            <w:pPr>
              <w:jc w:val="right"/>
              <w:ind w:right="77"/>
              <w:spacing w:after="0"/>
              <w:rPr>
                <w:sz w:val="20"/>
                <w:szCs w:val="20"/>
                <w:color w:val="auto"/>
              </w:rPr>
            </w:pPr>
            <w:r>
              <w:rPr>
                <w:rFonts w:ascii="Arial" w:cs="Arial" w:eastAsia="Arial" w:hAnsi="Arial"/>
                <w:sz w:val="14"/>
                <w:szCs w:val="14"/>
                <w:color w:val="auto"/>
              </w:rPr>
              <w:t>(720)</w:t>
            </w:r>
          </w:p>
        </w:tc>
        <w:tc>
          <w:tcPr>
            <w:tcW w:w="5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4160" w:type="dxa"/>
            <w:vAlign w:val="bottom"/>
            <w:tcBorders>
              <w:bottom w:val="single" w:sz="8" w:color="auto"/>
            </w:tcBorders>
          </w:tcPr>
          <w:p>
            <w:pPr>
              <w:ind w:left="140"/>
              <w:spacing w:after="0" w:line="157" w:lineRule="exact"/>
              <w:rPr>
                <w:sz w:val="20"/>
                <w:szCs w:val="20"/>
                <w:color w:val="auto"/>
              </w:rPr>
            </w:pPr>
            <w:r>
              <w:rPr>
                <w:rFonts w:ascii="Arial" w:cs="Arial" w:eastAsia="Arial" w:hAnsi="Arial"/>
                <w:sz w:val="14"/>
                <w:szCs w:val="14"/>
                <w:color w:val="auto"/>
              </w:rPr>
              <w:t>Reclassified to income</w:t>
            </w:r>
          </w:p>
        </w:tc>
        <w:tc>
          <w:tcPr>
            <w:tcW w:w="146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29"/>
              <w:spacing w:after="0" w:line="157" w:lineRule="exact"/>
              <w:rPr>
                <w:sz w:val="20"/>
                <w:szCs w:val="20"/>
                <w:color w:val="auto"/>
              </w:rPr>
            </w:pPr>
            <w:r>
              <w:rPr>
                <w:rFonts w:ascii="Arial" w:cs="Arial" w:eastAsia="Arial" w:hAnsi="Arial"/>
                <w:sz w:val="14"/>
                <w:szCs w:val="14"/>
                <w:color w:val="auto"/>
              </w:rPr>
              <w:t>(96)</w:t>
            </w:r>
          </w:p>
        </w:tc>
        <w:tc>
          <w:tcPr>
            <w:tcW w:w="500" w:type="dxa"/>
            <w:vAlign w:val="bottom"/>
            <w:tcBorders>
              <w:bottom w:val="single" w:sz="8" w:color="auto"/>
            </w:tcBorders>
          </w:tcPr>
          <w:p>
            <w:pPr>
              <w:jc w:val="right"/>
              <w:ind w:right="91"/>
              <w:spacing w:after="0" w:line="157" w:lineRule="exact"/>
              <w:rPr>
                <w:sz w:val="20"/>
                <w:szCs w:val="20"/>
                <w:color w:val="auto"/>
              </w:rPr>
            </w:pPr>
            <w:r>
              <w:rPr>
                <w:rFonts w:ascii="Arial" w:cs="Arial" w:eastAsia="Arial" w:hAnsi="Arial"/>
                <w:sz w:val="14"/>
                <w:szCs w:val="14"/>
                <w:color w:val="auto"/>
              </w:rPr>
              <w:t>1</w:t>
            </w:r>
          </w:p>
        </w:tc>
        <w:tc>
          <w:tcPr>
            <w:tcW w:w="700" w:type="dxa"/>
            <w:vAlign w:val="bottom"/>
            <w:tcBorders>
              <w:bottom w:val="single" w:sz="8" w:color="auto"/>
            </w:tcBorders>
            <w:gridSpan w:val="2"/>
          </w:tcPr>
          <w:p>
            <w:pPr>
              <w:jc w:val="right"/>
              <w:ind w:right="77"/>
              <w:spacing w:after="0" w:line="157" w:lineRule="exact"/>
              <w:rPr>
                <w:sz w:val="20"/>
                <w:szCs w:val="20"/>
                <w:color w:val="auto"/>
              </w:rPr>
            </w:pPr>
            <w:r>
              <w:rPr>
                <w:rFonts w:ascii="Arial" w:cs="Arial" w:eastAsia="Arial" w:hAnsi="Arial"/>
                <w:sz w:val="14"/>
                <w:szCs w:val="14"/>
                <w:color w:val="auto"/>
              </w:rPr>
              <w:t>(95)</w:t>
            </w:r>
          </w:p>
        </w:tc>
        <w:tc>
          <w:tcPr>
            <w:tcW w:w="54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4160" w:type="dxa"/>
            <w:vAlign w:val="bottom"/>
            <w:tcBorders>
              <w:bottom w:val="single" w:sz="8" w:color="auto"/>
            </w:tcBorders>
          </w:tcPr>
          <w:p>
            <w:pPr>
              <w:spacing w:after="0" w:line="155" w:lineRule="exact"/>
              <w:rPr>
                <w:sz w:val="20"/>
                <w:szCs w:val="20"/>
                <w:color w:val="auto"/>
              </w:rPr>
            </w:pPr>
            <w:r>
              <w:rPr>
                <w:rFonts w:ascii="Arial" w:cs="Arial" w:eastAsia="Arial" w:hAnsi="Arial"/>
                <w:sz w:val="14"/>
                <w:szCs w:val="14"/>
                <w:color w:val="auto"/>
              </w:rPr>
              <w:t>Net unrealised gains/(losses) on securities</w:t>
            </w:r>
          </w:p>
        </w:tc>
        <w:tc>
          <w:tcPr>
            <w:tcW w:w="1460" w:type="dxa"/>
            <w:vAlign w:val="bottom"/>
            <w:tcBorders>
              <w:bottom w:val="single" w:sz="8" w:color="auto"/>
            </w:tcBorders>
          </w:tcPr>
          <w:p>
            <w:pPr>
              <w:jc w:val="right"/>
              <w:ind w:right="30"/>
              <w:spacing w:after="0" w:line="155" w:lineRule="exact"/>
              <w:rPr>
                <w:sz w:val="20"/>
                <w:szCs w:val="20"/>
                <w:color w:val="auto"/>
              </w:rPr>
            </w:pPr>
            <w:r>
              <w:rPr>
                <w:rFonts w:ascii="Arial" w:cs="Arial" w:eastAsia="Arial" w:hAnsi="Arial"/>
                <w:sz w:val="14"/>
                <w:szCs w:val="14"/>
                <w:color w:val="auto"/>
              </w:rPr>
              <w:t>3,946</w:t>
            </w:r>
          </w:p>
        </w:tc>
        <w:tc>
          <w:tcPr>
            <w:tcW w:w="720" w:type="dxa"/>
            <w:vAlign w:val="bottom"/>
            <w:tcBorders>
              <w:bottom w:val="single" w:sz="8" w:color="auto"/>
            </w:tcBorders>
          </w:tcPr>
          <w:p>
            <w:pPr>
              <w:jc w:val="right"/>
              <w:ind w:right="29"/>
              <w:spacing w:after="0" w:line="155" w:lineRule="exact"/>
              <w:rPr>
                <w:sz w:val="20"/>
                <w:szCs w:val="20"/>
                <w:color w:val="auto"/>
              </w:rPr>
            </w:pPr>
            <w:r>
              <w:rPr>
                <w:rFonts w:ascii="Arial" w:cs="Arial" w:eastAsia="Arial" w:hAnsi="Arial"/>
                <w:sz w:val="14"/>
                <w:szCs w:val="14"/>
                <w:color w:val="auto"/>
              </w:rPr>
              <w:t>(807)</w:t>
            </w:r>
          </w:p>
        </w:tc>
        <w:tc>
          <w:tcPr>
            <w:tcW w:w="500" w:type="dxa"/>
            <w:vAlign w:val="bottom"/>
            <w:tcBorders>
              <w:bottom w:val="single" w:sz="8" w:color="auto"/>
            </w:tcBorders>
          </w:tcPr>
          <w:p>
            <w:pPr>
              <w:jc w:val="right"/>
              <w:ind w:right="51"/>
              <w:spacing w:after="0" w:line="155" w:lineRule="exact"/>
              <w:rPr>
                <w:sz w:val="20"/>
                <w:szCs w:val="20"/>
                <w:color w:val="auto"/>
              </w:rPr>
            </w:pPr>
            <w:r>
              <w:rPr>
                <w:rFonts w:ascii="Arial" w:cs="Arial" w:eastAsia="Arial" w:hAnsi="Arial"/>
                <w:sz w:val="14"/>
                <w:szCs w:val="14"/>
                <w:color w:val="auto"/>
              </w:rPr>
              <w:t>(8)</w:t>
            </w:r>
          </w:p>
        </w:tc>
        <w:tc>
          <w:tcPr>
            <w:tcW w:w="700" w:type="dxa"/>
            <w:vAlign w:val="bottom"/>
            <w:tcBorders>
              <w:bottom w:val="single" w:sz="8" w:color="auto"/>
            </w:tcBorders>
            <w:gridSpan w:val="2"/>
          </w:tcPr>
          <w:p>
            <w:pPr>
              <w:jc w:val="right"/>
              <w:ind w:right="77"/>
              <w:spacing w:after="0" w:line="155" w:lineRule="exact"/>
              <w:rPr>
                <w:sz w:val="20"/>
                <w:szCs w:val="20"/>
                <w:color w:val="auto"/>
              </w:rPr>
            </w:pPr>
            <w:r>
              <w:rPr>
                <w:rFonts w:ascii="Arial" w:cs="Arial" w:eastAsia="Arial" w:hAnsi="Arial"/>
                <w:sz w:val="14"/>
                <w:szCs w:val="14"/>
                <w:color w:val="auto"/>
              </w:rPr>
              <w:t>(815)</w:t>
            </w:r>
          </w:p>
        </w:tc>
        <w:tc>
          <w:tcPr>
            <w:tcW w:w="940" w:type="dxa"/>
            <w:vAlign w:val="bottom"/>
            <w:tcBorders>
              <w:bottom w:val="single" w:sz="8" w:color="auto"/>
            </w:tcBorders>
            <w:gridSpan w:val="3"/>
          </w:tcPr>
          <w:p>
            <w:pPr>
              <w:jc w:val="right"/>
              <w:ind w:right="60"/>
              <w:spacing w:after="0" w:line="155" w:lineRule="exact"/>
              <w:rPr>
                <w:sz w:val="20"/>
                <w:szCs w:val="20"/>
                <w:color w:val="auto"/>
              </w:rPr>
            </w:pPr>
            <w:r>
              <w:rPr>
                <w:rFonts w:ascii="Arial" w:cs="Arial" w:eastAsia="Arial" w:hAnsi="Arial"/>
                <w:sz w:val="14"/>
                <w:szCs w:val="14"/>
                <w:color w:val="auto"/>
              </w:rPr>
              <w:t>(56)</w:t>
            </w:r>
          </w:p>
        </w:tc>
        <w:tc>
          <w:tcPr>
            <w:tcW w:w="860" w:type="dxa"/>
            <w:vAlign w:val="bottom"/>
            <w:tcBorders>
              <w:bottom w:val="single" w:sz="8" w:color="auto"/>
            </w:tcBorders>
          </w:tcPr>
          <w:p>
            <w:pPr>
              <w:jc w:val="right"/>
              <w:ind w:right="51"/>
              <w:spacing w:after="0" w:line="155" w:lineRule="exact"/>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ind w:right="31"/>
              <w:spacing w:after="0" w:line="155" w:lineRule="exact"/>
              <w:rPr>
                <w:sz w:val="20"/>
                <w:szCs w:val="20"/>
                <w:color w:val="auto"/>
              </w:rPr>
            </w:pPr>
            <w:r>
              <w:rPr>
                <w:rFonts w:ascii="Arial" w:cs="Arial" w:eastAsia="Arial" w:hAnsi="Arial"/>
                <w:sz w:val="14"/>
                <w:szCs w:val="14"/>
                <w:color w:val="auto"/>
              </w:rPr>
              <w:t>(871)</w:t>
            </w:r>
          </w:p>
        </w:tc>
        <w:tc>
          <w:tcPr>
            <w:tcW w:w="1000" w:type="dxa"/>
            <w:vAlign w:val="bottom"/>
            <w:tcBorders>
              <w:bottom w:val="single" w:sz="8" w:color="auto"/>
            </w:tcBorders>
          </w:tcPr>
          <w:p>
            <w:pPr>
              <w:jc w:val="right"/>
              <w:ind w:right="30"/>
              <w:spacing w:after="0" w:line="155" w:lineRule="exact"/>
              <w:rPr>
                <w:sz w:val="20"/>
                <w:szCs w:val="20"/>
                <w:color w:val="auto"/>
              </w:rPr>
            </w:pPr>
            <w:r>
              <w:rPr>
                <w:rFonts w:ascii="Arial" w:cs="Arial" w:eastAsia="Arial" w:hAnsi="Arial"/>
                <w:sz w:val="14"/>
                <w:szCs w:val="14"/>
                <w:color w:val="auto"/>
              </w:rPr>
              <w:t>3,075</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4160" w:type="dxa"/>
            <w:vAlign w:val="bottom"/>
          </w:tcPr>
          <w:p>
            <w:pPr>
              <w:spacing w:after="0"/>
              <w:rPr>
                <w:sz w:val="20"/>
                <w:szCs w:val="20"/>
                <w:color w:val="auto"/>
              </w:rPr>
            </w:pPr>
            <w:r>
              <w:rPr>
                <w:rFonts w:ascii="Arial" w:cs="Arial" w:eastAsia="Arial" w:hAnsi="Arial"/>
                <w:sz w:val="14"/>
                <w:szCs w:val="14"/>
                <w:color w:val="auto"/>
              </w:rPr>
              <w:t>Cash flow hedging gains/(losses)</w:t>
            </w:r>
          </w:p>
        </w:tc>
        <w:tc>
          <w:tcPr>
            <w:tcW w:w="14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4160" w:type="dxa"/>
            <w:vAlign w:val="bottom"/>
          </w:tcPr>
          <w:p>
            <w:pPr>
              <w:ind w:left="140"/>
              <w:spacing w:after="0"/>
              <w:rPr>
                <w:sz w:val="20"/>
                <w:szCs w:val="20"/>
                <w:color w:val="auto"/>
              </w:rPr>
            </w:pPr>
            <w:r>
              <w:rPr>
                <w:rFonts w:ascii="Arial" w:cs="Arial" w:eastAsia="Arial" w:hAnsi="Arial"/>
                <w:sz w:val="14"/>
                <w:szCs w:val="14"/>
                <w:color w:val="auto"/>
              </w:rPr>
              <w:t>Recognised in the year</w:t>
            </w:r>
          </w:p>
        </w:tc>
        <w:tc>
          <w:tcPr>
            <w:tcW w:w="1460" w:type="dxa"/>
            <w:vAlign w:val="bottom"/>
          </w:tcPr>
          <w:p>
            <w:pPr>
              <w:spacing w:after="0"/>
              <w:rPr>
                <w:sz w:val="14"/>
                <w:szCs w:val="14"/>
                <w:color w:val="auto"/>
              </w:rPr>
            </w:pPr>
          </w:p>
        </w:tc>
        <w:tc>
          <w:tcPr>
            <w:tcW w:w="720" w:type="dxa"/>
            <w:vAlign w:val="bottom"/>
          </w:tcPr>
          <w:p>
            <w:pPr>
              <w:jc w:val="right"/>
              <w:ind w:right="29"/>
              <w:spacing w:after="0"/>
              <w:rPr>
                <w:sz w:val="20"/>
                <w:szCs w:val="20"/>
                <w:color w:val="auto"/>
              </w:rPr>
            </w:pPr>
            <w:r>
              <w:rPr>
                <w:rFonts w:ascii="Arial" w:cs="Arial" w:eastAsia="Arial" w:hAnsi="Arial"/>
                <w:sz w:val="14"/>
                <w:szCs w:val="14"/>
                <w:color w:val="auto"/>
              </w:rPr>
              <w:t>(251)</w:t>
            </w:r>
          </w:p>
        </w:tc>
        <w:tc>
          <w:tcPr>
            <w:tcW w:w="500" w:type="dxa"/>
            <w:vAlign w:val="bottom"/>
          </w:tcPr>
          <w:p>
            <w:pPr>
              <w:jc w:val="right"/>
              <w:ind w:right="91"/>
              <w:spacing w:after="0"/>
              <w:rPr>
                <w:sz w:val="20"/>
                <w:szCs w:val="20"/>
                <w:color w:val="auto"/>
              </w:rPr>
            </w:pPr>
            <w:r>
              <w:rPr>
                <w:rFonts w:ascii="Arial" w:cs="Arial" w:eastAsia="Arial" w:hAnsi="Arial"/>
                <w:sz w:val="14"/>
                <w:szCs w:val="14"/>
                <w:color w:val="auto"/>
              </w:rPr>
              <w:t>9</w:t>
            </w:r>
          </w:p>
        </w:tc>
        <w:tc>
          <w:tcPr>
            <w:tcW w:w="700" w:type="dxa"/>
            <w:vAlign w:val="bottom"/>
            <w:gridSpan w:val="2"/>
          </w:tcPr>
          <w:p>
            <w:pPr>
              <w:jc w:val="right"/>
              <w:ind w:right="77"/>
              <w:spacing w:after="0"/>
              <w:rPr>
                <w:sz w:val="20"/>
                <w:szCs w:val="20"/>
                <w:color w:val="auto"/>
              </w:rPr>
            </w:pPr>
            <w:r>
              <w:rPr>
                <w:rFonts w:ascii="Arial" w:cs="Arial" w:eastAsia="Arial" w:hAnsi="Arial"/>
                <w:sz w:val="14"/>
                <w:szCs w:val="14"/>
                <w:color w:val="auto"/>
              </w:rPr>
              <w:t>(242)</w:t>
            </w:r>
          </w:p>
        </w:tc>
        <w:tc>
          <w:tcPr>
            <w:tcW w:w="5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4160" w:type="dxa"/>
            <w:vAlign w:val="bottom"/>
            <w:tcBorders>
              <w:bottom w:val="single" w:sz="8" w:color="auto"/>
            </w:tcBorders>
          </w:tcPr>
          <w:p>
            <w:pPr>
              <w:ind w:left="140"/>
              <w:spacing w:after="0" w:line="157" w:lineRule="exact"/>
              <w:rPr>
                <w:sz w:val="20"/>
                <w:szCs w:val="20"/>
                <w:color w:val="auto"/>
              </w:rPr>
            </w:pPr>
            <w:r>
              <w:rPr>
                <w:rFonts w:ascii="Arial" w:cs="Arial" w:eastAsia="Arial" w:hAnsi="Arial"/>
                <w:sz w:val="14"/>
                <w:szCs w:val="14"/>
                <w:color w:val="auto"/>
              </w:rPr>
              <w:t>Reclassified to income</w:t>
            </w:r>
          </w:p>
        </w:tc>
        <w:tc>
          <w:tcPr>
            <w:tcW w:w="146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69"/>
              <w:spacing w:after="0" w:line="157" w:lineRule="exact"/>
              <w:rPr>
                <w:sz w:val="20"/>
                <w:szCs w:val="20"/>
                <w:color w:val="auto"/>
              </w:rPr>
            </w:pPr>
            <w:r>
              <w:rPr>
                <w:rFonts w:ascii="Arial" w:cs="Arial" w:eastAsia="Arial" w:hAnsi="Arial"/>
                <w:sz w:val="14"/>
                <w:szCs w:val="14"/>
                <w:color w:val="auto"/>
              </w:rPr>
              <w:t>282</w:t>
            </w:r>
          </w:p>
        </w:tc>
        <w:tc>
          <w:tcPr>
            <w:tcW w:w="500" w:type="dxa"/>
            <w:vAlign w:val="bottom"/>
            <w:tcBorders>
              <w:bottom w:val="single" w:sz="8" w:color="auto"/>
            </w:tcBorders>
          </w:tcPr>
          <w:p>
            <w:pPr>
              <w:jc w:val="right"/>
              <w:ind w:right="51"/>
              <w:spacing w:after="0" w:line="157" w:lineRule="exact"/>
              <w:rPr>
                <w:sz w:val="20"/>
                <w:szCs w:val="20"/>
                <w:color w:val="auto"/>
              </w:rPr>
            </w:pPr>
            <w:r>
              <w:rPr>
                <w:rFonts w:ascii="Arial" w:cs="Arial" w:eastAsia="Arial" w:hAnsi="Arial"/>
                <w:sz w:val="14"/>
                <w:szCs w:val="14"/>
                <w:color w:val="auto"/>
              </w:rPr>
              <w:t>(9)</w:t>
            </w:r>
          </w:p>
        </w:tc>
        <w:tc>
          <w:tcPr>
            <w:tcW w:w="700" w:type="dxa"/>
            <w:vAlign w:val="bottom"/>
            <w:tcBorders>
              <w:bottom w:val="single" w:sz="8" w:color="auto"/>
            </w:tcBorders>
            <w:gridSpan w:val="2"/>
          </w:tcPr>
          <w:p>
            <w:pPr>
              <w:jc w:val="right"/>
              <w:ind w:right="117"/>
              <w:spacing w:after="0" w:line="157" w:lineRule="exact"/>
              <w:rPr>
                <w:sz w:val="20"/>
                <w:szCs w:val="20"/>
                <w:color w:val="auto"/>
              </w:rPr>
            </w:pPr>
            <w:r>
              <w:rPr>
                <w:rFonts w:ascii="Arial" w:cs="Arial" w:eastAsia="Arial" w:hAnsi="Arial"/>
                <w:sz w:val="14"/>
                <w:szCs w:val="14"/>
                <w:color w:val="auto"/>
              </w:rPr>
              <w:t>273</w:t>
            </w:r>
          </w:p>
        </w:tc>
        <w:tc>
          <w:tcPr>
            <w:tcW w:w="54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4160" w:type="dxa"/>
            <w:vAlign w:val="bottom"/>
            <w:tcBorders>
              <w:bottom w:val="single" w:sz="8" w:color="auto"/>
            </w:tcBorders>
          </w:tcPr>
          <w:p>
            <w:pPr>
              <w:spacing w:after="0" w:line="155" w:lineRule="exact"/>
              <w:rPr>
                <w:sz w:val="20"/>
                <w:szCs w:val="20"/>
                <w:color w:val="auto"/>
              </w:rPr>
            </w:pPr>
            <w:r>
              <w:rPr>
                <w:rFonts w:ascii="Arial" w:cs="Arial" w:eastAsia="Arial" w:hAnsi="Arial"/>
                <w:sz w:val="14"/>
                <w:szCs w:val="14"/>
                <w:color w:val="auto"/>
              </w:rPr>
              <w:t>Net cash flow hedging gains/(losses)</w:t>
            </w:r>
          </w:p>
        </w:tc>
        <w:tc>
          <w:tcPr>
            <w:tcW w:w="14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(249)</w:t>
            </w:r>
          </w:p>
        </w:tc>
        <w:tc>
          <w:tcPr>
            <w:tcW w:w="720" w:type="dxa"/>
            <w:vAlign w:val="bottom"/>
            <w:tcBorders>
              <w:bottom w:val="single" w:sz="8" w:color="auto"/>
            </w:tcBorders>
          </w:tcPr>
          <w:p>
            <w:pPr>
              <w:jc w:val="right"/>
              <w:ind w:right="69"/>
              <w:spacing w:after="0" w:line="155" w:lineRule="exact"/>
              <w:rPr>
                <w:sz w:val="20"/>
                <w:szCs w:val="20"/>
                <w:color w:val="auto"/>
              </w:rPr>
            </w:pPr>
            <w:r>
              <w:rPr>
                <w:rFonts w:ascii="Arial" w:cs="Arial" w:eastAsia="Arial" w:hAnsi="Arial"/>
                <w:sz w:val="14"/>
                <w:szCs w:val="14"/>
                <w:color w:val="auto"/>
              </w:rPr>
              <w:t>31</w:t>
            </w:r>
          </w:p>
        </w:tc>
        <w:tc>
          <w:tcPr>
            <w:tcW w:w="500" w:type="dxa"/>
            <w:vAlign w:val="bottom"/>
            <w:tcBorders>
              <w:bottom w:val="single" w:sz="8" w:color="auto"/>
            </w:tcBorders>
          </w:tcPr>
          <w:p>
            <w:pPr>
              <w:jc w:val="right"/>
              <w:ind w:right="91"/>
              <w:spacing w:after="0" w:line="155" w:lineRule="exact"/>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gridSpan w:val="2"/>
          </w:tcPr>
          <w:p>
            <w:pPr>
              <w:jc w:val="right"/>
              <w:ind w:right="117"/>
              <w:spacing w:after="0" w:line="155" w:lineRule="exact"/>
              <w:rPr>
                <w:sz w:val="20"/>
                <w:szCs w:val="20"/>
                <w:color w:val="auto"/>
              </w:rPr>
            </w:pPr>
            <w:r>
              <w:rPr>
                <w:rFonts w:ascii="Arial" w:cs="Arial" w:eastAsia="Arial" w:hAnsi="Arial"/>
                <w:sz w:val="14"/>
                <w:szCs w:val="14"/>
                <w:color w:val="auto"/>
              </w:rPr>
              <w:t>31</w:t>
            </w:r>
          </w:p>
        </w:tc>
        <w:tc>
          <w:tcPr>
            <w:tcW w:w="940" w:type="dxa"/>
            <w:vAlign w:val="bottom"/>
            <w:tcBorders>
              <w:bottom w:val="single" w:sz="8" w:color="auto"/>
            </w:tcBorders>
            <w:gridSpan w:val="3"/>
          </w:tcPr>
          <w:p>
            <w:pPr>
              <w:jc w:val="right"/>
              <w:ind w:right="60"/>
              <w:spacing w:after="0" w:line="155" w:lineRule="exact"/>
              <w:rPr>
                <w:sz w:val="20"/>
                <w:szCs w:val="20"/>
                <w:color w:val="auto"/>
              </w:rPr>
            </w:pPr>
            <w:r>
              <w:rPr>
                <w:rFonts w:ascii="Arial" w:cs="Arial" w:eastAsia="Arial" w:hAnsi="Arial"/>
                <w:sz w:val="14"/>
                <w:szCs w:val="14"/>
                <w:color w:val="auto"/>
              </w:rPr>
              <w:t>(30)</w:t>
            </w:r>
          </w:p>
        </w:tc>
        <w:tc>
          <w:tcPr>
            <w:tcW w:w="860" w:type="dxa"/>
            <w:vAlign w:val="bottom"/>
            <w:tcBorders>
              <w:bottom w:val="single" w:sz="8" w:color="auto"/>
            </w:tcBorders>
          </w:tcPr>
          <w:p>
            <w:pPr>
              <w:jc w:val="right"/>
              <w:ind w:right="51"/>
              <w:spacing w:after="0" w:line="155" w:lineRule="exact"/>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ind w:right="71"/>
              <w:spacing w:after="0" w:line="155" w:lineRule="exact"/>
              <w:rPr>
                <w:sz w:val="20"/>
                <w:szCs w:val="20"/>
                <w:color w:val="auto"/>
              </w:rPr>
            </w:pPr>
            <w:r>
              <w:rPr>
                <w:rFonts w:ascii="Arial" w:cs="Arial" w:eastAsia="Arial" w:hAnsi="Arial"/>
                <w:sz w:val="14"/>
                <w:szCs w:val="14"/>
                <w:color w:val="auto"/>
              </w:rPr>
              <w:t>1</w:t>
            </w:r>
          </w:p>
        </w:tc>
        <w:tc>
          <w:tcPr>
            <w:tcW w:w="10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(248)</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4160" w:type="dxa"/>
            <w:vAlign w:val="bottom"/>
            <w:tcBorders>
              <w:bottom w:val="single" w:sz="8" w:color="auto"/>
            </w:tcBorders>
          </w:tcPr>
          <w:p>
            <w:pPr>
              <w:spacing w:after="0" w:line="155" w:lineRule="exact"/>
              <w:rPr>
                <w:sz w:val="20"/>
                <w:szCs w:val="20"/>
                <w:color w:val="auto"/>
              </w:rPr>
            </w:pPr>
            <w:r>
              <w:rPr>
                <w:rFonts w:ascii="Arial" w:cs="Arial" w:eastAsia="Arial" w:hAnsi="Arial"/>
                <w:sz w:val="14"/>
                <w:szCs w:val="14"/>
                <w:color w:val="auto"/>
              </w:rPr>
              <w:t>Retirement benefits remeasurements</w:t>
            </w:r>
          </w:p>
        </w:tc>
        <w:tc>
          <w:tcPr>
            <w:tcW w:w="14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(11,135)</w:t>
            </w:r>
          </w:p>
        </w:tc>
        <w:tc>
          <w:tcPr>
            <w:tcW w:w="720" w:type="dxa"/>
            <w:vAlign w:val="bottom"/>
            <w:tcBorders>
              <w:bottom w:val="single" w:sz="8" w:color="auto"/>
            </w:tcBorders>
          </w:tcPr>
          <w:p>
            <w:pPr>
              <w:jc w:val="right"/>
              <w:ind w:right="29"/>
              <w:spacing w:after="0" w:line="155" w:lineRule="exact"/>
              <w:rPr>
                <w:sz w:val="20"/>
                <w:szCs w:val="20"/>
                <w:color w:val="auto"/>
              </w:rPr>
            </w:pPr>
            <w:r>
              <w:rPr>
                <w:rFonts w:ascii="Arial" w:cs="Arial" w:eastAsia="Arial" w:hAnsi="Arial"/>
                <w:sz w:val="14"/>
                <w:szCs w:val="14"/>
                <w:color w:val="auto"/>
              </w:rPr>
              <w:t>(3,334)</w:t>
            </w:r>
          </w:p>
        </w:tc>
        <w:tc>
          <w:tcPr>
            <w:tcW w:w="500" w:type="dxa"/>
            <w:vAlign w:val="bottom"/>
            <w:tcBorders>
              <w:bottom w:val="single" w:sz="8" w:color="auto"/>
            </w:tcBorders>
          </w:tcPr>
          <w:p>
            <w:pPr>
              <w:jc w:val="right"/>
              <w:ind w:right="91"/>
              <w:spacing w:after="0" w:line="155" w:lineRule="exact"/>
              <w:rPr>
                <w:sz w:val="20"/>
                <w:szCs w:val="20"/>
                <w:color w:val="auto"/>
              </w:rPr>
            </w:pPr>
            <w:r>
              <w:rPr>
                <w:rFonts w:ascii="Arial" w:cs="Arial" w:eastAsia="Arial" w:hAnsi="Arial"/>
                <w:sz w:val="14"/>
                <w:szCs w:val="14"/>
                <w:color w:val="auto"/>
              </w:rPr>
              <w:t>756</w:t>
            </w:r>
          </w:p>
        </w:tc>
        <w:tc>
          <w:tcPr>
            <w:tcW w:w="700" w:type="dxa"/>
            <w:vAlign w:val="bottom"/>
            <w:tcBorders>
              <w:bottom w:val="single" w:sz="8" w:color="auto"/>
            </w:tcBorders>
            <w:gridSpan w:val="2"/>
          </w:tcPr>
          <w:p>
            <w:pPr>
              <w:jc w:val="right"/>
              <w:ind w:right="77"/>
              <w:spacing w:after="0" w:line="155" w:lineRule="exact"/>
              <w:rPr>
                <w:sz w:val="20"/>
                <w:szCs w:val="20"/>
                <w:color w:val="auto"/>
              </w:rPr>
            </w:pPr>
            <w:r>
              <w:rPr>
                <w:rFonts w:ascii="Arial" w:cs="Arial" w:eastAsia="Arial" w:hAnsi="Arial"/>
                <w:sz w:val="14"/>
                <w:szCs w:val="14"/>
                <w:color w:val="auto"/>
              </w:rPr>
              <w:t>(2,578)</w:t>
            </w:r>
          </w:p>
        </w:tc>
        <w:tc>
          <w:tcPr>
            <w:tcW w:w="54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gridSpan w:val="2"/>
          </w:tcPr>
          <w:p>
            <w:pPr>
              <w:jc w:val="right"/>
              <w:ind w:right="100"/>
              <w:spacing w:after="0" w:line="155" w:lineRule="exact"/>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tcPr>
          <w:p>
            <w:pPr>
              <w:jc w:val="right"/>
              <w:ind w:right="51"/>
              <w:spacing w:after="0" w:line="155" w:lineRule="exact"/>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ind w:right="31"/>
              <w:spacing w:after="0" w:line="155" w:lineRule="exact"/>
              <w:rPr>
                <w:sz w:val="20"/>
                <w:szCs w:val="20"/>
                <w:color w:val="auto"/>
              </w:rPr>
            </w:pPr>
            <w:r>
              <w:rPr>
                <w:rFonts w:ascii="Arial" w:cs="Arial" w:eastAsia="Arial" w:hAnsi="Arial"/>
                <w:sz w:val="14"/>
                <w:szCs w:val="14"/>
                <w:color w:val="auto"/>
              </w:rPr>
              <w:t>(2,578)</w:t>
            </w:r>
          </w:p>
        </w:tc>
        <w:tc>
          <w:tcPr>
            <w:tcW w:w="10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(13,713)</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4160" w:type="dxa"/>
            <w:vAlign w:val="bottom"/>
            <w:tcBorders>
              <w:bottom w:val="single" w:sz="8" w:color="auto"/>
            </w:tcBorders>
          </w:tcPr>
          <w:p>
            <w:pPr>
              <w:spacing w:after="0" w:line="155" w:lineRule="exact"/>
              <w:rPr>
                <w:sz w:val="20"/>
                <w:szCs w:val="20"/>
                <w:color w:val="auto"/>
              </w:rPr>
            </w:pPr>
            <w:r>
              <w:rPr>
                <w:rFonts w:ascii="Arial" w:cs="Arial" w:eastAsia="Arial" w:hAnsi="Arial"/>
                <w:sz w:val="14"/>
                <w:szCs w:val="14"/>
                <w:color w:val="auto"/>
              </w:rPr>
              <w:t>Total</w:t>
            </w:r>
          </w:p>
        </w:tc>
        <w:tc>
          <w:tcPr>
            <w:tcW w:w="14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(7,178)</w:t>
            </w:r>
          </w:p>
        </w:tc>
        <w:tc>
          <w:tcPr>
            <w:tcW w:w="720" w:type="dxa"/>
            <w:vAlign w:val="bottom"/>
            <w:tcBorders>
              <w:bottom w:val="single" w:sz="8" w:color="auto"/>
            </w:tcBorders>
          </w:tcPr>
          <w:p>
            <w:pPr>
              <w:jc w:val="right"/>
              <w:ind w:right="29"/>
              <w:spacing w:after="0" w:line="155" w:lineRule="exact"/>
              <w:rPr>
                <w:sz w:val="20"/>
                <w:szCs w:val="20"/>
                <w:color w:val="auto"/>
              </w:rPr>
            </w:pPr>
            <w:r>
              <w:rPr>
                <w:rFonts w:ascii="Arial" w:cs="Arial" w:eastAsia="Arial" w:hAnsi="Arial"/>
                <w:sz w:val="14"/>
                <w:szCs w:val="14"/>
                <w:color w:val="auto"/>
              </w:rPr>
              <w:t>(2,706)</w:t>
            </w:r>
          </w:p>
        </w:tc>
        <w:tc>
          <w:tcPr>
            <w:tcW w:w="500" w:type="dxa"/>
            <w:vAlign w:val="bottom"/>
            <w:tcBorders>
              <w:bottom w:val="single" w:sz="8" w:color="auto"/>
            </w:tcBorders>
          </w:tcPr>
          <w:p>
            <w:pPr>
              <w:jc w:val="right"/>
              <w:ind w:right="91"/>
              <w:spacing w:after="0" w:line="155" w:lineRule="exact"/>
              <w:rPr>
                <w:sz w:val="20"/>
                <w:szCs w:val="20"/>
                <w:color w:val="auto"/>
              </w:rPr>
            </w:pPr>
            <w:r>
              <w:rPr>
                <w:rFonts w:ascii="Arial" w:cs="Arial" w:eastAsia="Arial" w:hAnsi="Arial"/>
                <w:sz w:val="14"/>
                <w:szCs w:val="14"/>
                <w:color w:val="auto"/>
              </w:rPr>
              <w:t>738</w:t>
            </w:r>
          </w:p>
        </w:tc>
        <w:tc>
          <w:tcPr>
            <w:tcW w:w="700" w:type="dxa"/>
            <w:vAlign w:val="bottom"/>
            <w:tcBorders>
              <w:bottom w:val="single" w:sz="8" w:color="auto"/>
            </w:tcBorders>
            <w:gridSpan w:val="2"/>
          </w:tcPr>
          <w:p>
            <w:pPr>
              <w:jc w:val="right"/>
              <w:ind w:right="77"/>
              <w:spacing w:after="0" w:line="155" w:lineRule="exact"/>
              <w:rPr>
                <w:sz w:val="20"/>
                <w:szCs w:val="20"/>
                <w:color w:val="auto"/>
              </w:rPr>
            </w:pPr>
            <w:r>
              <w:rPr>
                <w:rFonts w:ascii="Arial" w:cs="Arial" w:eastAsia="Arial" w:hAnsi="Arial"/>
                <w:sz w:val="14"/>
                <w:szCs w:val="14"/>
                <w:color w:val="auto"/>
              </w:rPr>
              <w:t>(1,968)</w:t>
            </w:r>
          </w:p>
        </w:tc>
        <w:tc>
          <w:tcPr>
            <w:tcW w:w="940" w:type="dxa"/>
            <w:vAlign w:val="bottom"/>
            <w:tcBorders>
              <w:bottom w:val="single" w:sz="8" w:color="auto"/>
            </w:tcBorders>
            <w:gridSpan w:val="3"/>
          </w:tcPr>
          <w:p>
            <w:pPr>
              <w:jc w:val="right"/>
              <w:ind w:right="60"/>
              <w:spacing w:after="0" w:line="155" w:lineRule="exact"/>
              <w:rPr>
                <w:sz w:val="20"/>
                <w:szCs w:val="20"/>
                <w:color w:val="auto"/>
              </w:rPr>
            </w:pPr>
            <w:r>
              <w:rPr>
                <w:rFonts w:ascii="Arial" w:cs="Arial" w:eastAsia="Arial" w:hAnsi="Arial"/>
                <w:sz w:val="14"/>
                <w:szCs w:val="14"/>
                <w:color w:val="auto"/>
              </w:rPr>
              <w:t>(222)</w:t>
            </w:r>
          </w:p>
        </w:tc>
        <w:tc>
          <w:tcPr>
            <w:tcW w:w="860" w:type="dxa"/>
            <w:vAlign w:val="bottom"/>
            <w:tcBorders>
              <w:bottom w:val="single" w:sz="8" w:color="auto"/>
            </w:tcBorders>
          </w:tcPr>
          <w:p>
            <w:pPr>
              <w:jc w:val="right"/>
              <w:ind w:right="11"/>
              <w:spacing w:after="0" w:line="155" w:lineRule="exact"/>
              <w:rPr>
                <w:sz w:val="20"/>
                <w:szCs w:val="20"/>
                <w:color w:val="auto"/>
              </w:rPr>
            </w:pPr>
            <w:r>
              <w:rPr>
                <w:rFonts w:ascii="Arial" w:cs="Arial" w:eastAsia="Arial" w:hAnsi="Arial"/>
                <w:sz w:val="14"/>
                <w:szCs w:val="14"/>
                <w:color w:val="auto"/>
              </w:rPr>
              <w:t>(52)</w:t>
            </w:r>
          </w:p>
        </w:tc>
        <w:tc>
          <w:tcPr>
            <w:tcW w:w="1080" w:type="dxa"/>
            <w:vAlign w:val="bottom"/>
            <w:tcBorders>
              <w:bottom w:val="single" w:sz="8" w:color="auto"/>
            </w:tcBorders>
          </w:tcPr>
          <w:p>
            <w:pPr>
              <w:jc w:val="right"/>
              <w:ind w:right="31"/>
              <w:spacing w:after="0" w:line="155" w:lineRule="exact"/>
              <w:rPr>
                <w:sz w:val="20"/>
                <w:szCs w:val="20"/>
                <w:color w:val="auto"/>
              </w:rPr>
            </w:pPr>
            <w:r>
              <w:rPr>
                <w:rFonts w:ascii="Arial" w:cs="Arial" w:eastAsia="Arial" w:hAnsi="Arial"/>
                <w:sz w:val="14"/>
                <w:szCs w:val="14"/>
                <w:color w:val="auto"/>
              </w:rPr>
              <w:t>(2,242)</w:t>
            </w:r>
          </w:p>
        </w:tc>
        <w:tc>
          <w:tcPr>
            <w:tcW w:w="10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(9,420)</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99"/>
        </w:trPr>
        <w:tc>
          <w:tcPr>
            <w:tcW w:w="4160" w:type="dxa"/>
            <w:vAlign w:val="bottom"/>
          </w:tcPr>
          <w:p>
            <w:pPr>
              <w:spacing w:after="0"/>
              <w:rPr>
                <w:sz w:val="20"/>
                <w:szCs w:val="20"/>
                <w:color w:val="auto"/>
              </w:rPr>
            </w:pPr>
            <w:r>
              <w:rPr>
                <w:rFonts w:ascii="Arial" w:cs="Arial" w:eastAsia="Arial" w:hAnsi="Arial"/>
                <w:sz w:val="18"/>
                <w:szCs w:val="18"/>
                <w:color w:val="auto"/>
              </w:rPr>
              <w:t>23 DIVIDENDS</w:t>
            </w:r>
          </w:p>
        </w:tc>
        <w:tc>
          <w:tcPr>
            <w:tcW w:w="14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416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4160" w:type="dxa"/>
            <w:vAlign w:val="bottom"/>
            <w:shd w:val="clear" w:color="auto" w:fill="333333"/>
          </w:tcPr>
          <w:p>
            <w:pPr>
              <w:ind w:left="80"/>
              <w:spacing w:after="0" w:line="162" w:lineRule="exact"/>
              <w:rPr>
                <w:sz w:val="20"/>
                <w:szCs w:val="20"/>
                <w:color w:val="auto"/>
              </w:rPr>
            </w:pPr>
            <w:r>
              <w:rPr>
                <w:rFonts w:ascii="Arial" w:cs="Arial" w:eastAsia="Arial" w:hAnsi="Arial"/>
                <w:sz w:val="15"/>
                <w:szCs w:val="15"/>
                <w:b w:val="1"/>
                <w:bCs w:val="1"/>
                <w:color w:val="FFFFFF"/>
              </w:rPr>
              <w:t>INTERIM DIVIDENDS</w:t>
            </w:r>
          </w:p>
        </w:tc>
        <w:tc>
          <w:tcPr>
            <w:tcW w:w="1460" w:type="dxa"/>
            <w:vAlign w:val="bottom"/>
            <w:tcBorders>
              <w:right w:val="single" w:sz="8" w:color="333333"/>
            </w:tcBorders>
            <w:shd w:val="clear" w:color="auto" w:fill="333333"/>
          </w:tcPr>
          <w:p>
            <w:pPr>
              <w:spacing w:after="0"/>
              <w:rPr>
                <w:sz w:val="14"/>
                <w:szCs w:val="14"/>
                <w:color w:val="auto"/>
              </w:rPr>
            </w:pPr>
          </w:p>
        </w:tc>
        <w:tc>
          <w:tcPr>
            <w:tcW w:w="720" w:type="dxa"/>
            <w:vAlign w:val="bottom"/>
            <w:shd w:val="clear" w:color="auto" w:fill="333333"/>
          </w:tcPr>
          <w:p>
            <w:pPr>
              <w:spacing w:after="0"/>
              <w:rPr>
                <w:sz w:val="14"/>
                <w:szCs w:val="14"/>
                <w:color w:val="auto"/>
              </w:rPr>
            </w:pPr>
          </w:p>
        </w:tc>
        <w:tc>
          <w:tcPr>
            <w:tcW w:w="500" w:type="dxa"/>
            <w:vAlign w:val="bottom"/>
            <w:shd w:val="clear" w:color="auto" w:fill="333333"/>
          </w:tcPr>
          <w:p>
            <w:pPr>
              <w:spacing w:after="0"/>
              <w:rPr>
                <w:sz w:val="14"/>
                <w:szCs w:val="14"/>
                <w:color w:val="auto"/>
              </w:rPr>
            </w:pPr>
          </w:p>
        </w:tc>
        <w:tc>
          <w:tcPr>
            <w:tcW w:w="120" w:type="dxa"/>
            <w:vAlign w:val="bottom"/>
            <w:shd w:val="clear" w:color="auto" w:fill="333333"/>
          </w:tcPr>
          <w:p>
            <w:pPr>
              <w:spacing w:after="0"/>
              <w:rPr>
                <w:sz w:val="14"/>
                <w:szCs w:val="14"/>
                <w:color w:val="auto"/>
              </w:rPr>
            </w:pPr>
          </w:p>
        </w:tc>
        <w:tc>
          <w:tcPr>
            <w:tcW w:w="580" w:type="dxa"/>
            <w:vAlign w:val="bottom"/>
            <w:shd w:val="clear" w:color="auto" w:fill="333333"/>
          </w:tcPr>
          <w:p>
            <w:pPr>
              <w:spacing w:after="0"/>
              <w:rPr>
                <w:sz w:val="14"/>
                <w:szCs w:val="14"/>
                <w:color w:val="auto"/>
              </w:rPr>
            </w:pPr>
          </w:p>
        </w:tc>
        <w:tc>
          <w:tcPr>
            <w:tcW w:w="540" w:type="dxa"/>
            <w:vAlign w:val="bottom"/>
            <w:shd w:val="clear" w:color="auto" w:fill="333333"/>
          </w:tcPr>
          <w:p>
            <w:pPr>
              <w:spacing w:after="0"/>
              <w:rPr>
                <w:sz w:val="14"/>
                <w:szCs w:val="14"/>
                <w:color w:val="auto"/>
              </w:rPr>
            </w:pPr>
          </w:p>
        </w:tc>
        <w:tc>
          <w:tcPr>
            <w:tcW w:w="320" w:type="dxa"/>
            <w:vAlign w:val="bottom"/>
            <w:shd w:val="clear" w:color="auto" w:fill="333333"/>
          </w:tcPr>
          <w:p>
            <w:pPr>
              <w:spacing w:after="0"/>
              <w:rPr>
                <w:sz w:val="14"/>
                <w:szCs w:val="14"/>
                <w:color w:val="auto"/>
              </w:rPr>
            </w:pPr>
          </w:p>
        </w:tc>
        <w:tc>
          <w:tcPr>
            <w:tcW w:w="80" w:type="dxa"/>
            <w:vAlign w:val="bottom"/>
            <w:shd w:val="clear" w:color="auto" w:fill="333333"/>
          </w:tcPr>
          <w:p>
            <w:pPr>
              <w:spacing w:after="0"/>
              <w:rPr>
                <w:sz w:val="14"/>
                <w:szCs w:val="14"/>
                <w:color w:val="auto"/>
              </w:rPr>
            </w:pPr>
          </w:p>
        </w:tc>
        <w:tc>
          <w:tcPr>
            <w:tcW w:w="860" w:type="dxa"/>
            <w:vAlign w:val="bottom"/>
            <w:shd w:val="clear" w:color="auto" w:fill="333333"/>
          </w:tcPr>
          <w:p>
            <w:pPr>
              <w:spacing w:after="0"/>
              <w:rPr>
                <w:sz w:val="14"/>
                <w:szCs w:val="14"/>
                <w:color w:val="auto"/>
              </w:rPr>
            </w:pPr>
          </w:p>
        </w:tc>
        <w:tc>
          <w:tcPr>
            <w:tcW w:w="1080" w:type="dxa"/>
            <w:vAlign w:val="bottom"/>
            <w:shd w:val="clear" w:color="auto" w:fill="333333"/>
          </w:tcPr>
          <w:p>
            <w:pPr>
              <w:spacing w:after="0"/>
              <w:rPr>
                <w:sz w:val="14"/>
                <w:szCs w:val="14"/>
                <w:color w:val="auto"/>
              </w:rPr>
            </w:pPr>
          </w:p>
        </w:tc>
        <w:tc>
          <w:tcPr>
            <w:tcW w:w="1000" w:type="dxa"/>
            <w:vAlign w:val="bottom"/>
            <w:shd w:val="clear" w:color="auto" w:fill="333333"/>
          </w:tcPr>
          <w:p>
            <w:pPr>
              <w:jc w:val="right"/>
              <w:spacing w:after="0" w:line="162" w:lineRule="exact"/>
              <w:rPr>
                <w:sz w:val="20"/>
                <w:szCs w:val="20"/>
                <w:color w:val="auto"/>
              </w:rPr>
            </w:pPr>
            <w:r>
              <w:rPr>
                <w:rFonts w:ascii="Arial" w:cs="Arial" w:eastAsia="Arial" w:hAnsi="Arial"/>
                <w:sz w:val="15"/>
                <w:szCs w:val="15"/>
                <w:color w:val="FFFFFF"/>
              </w:rPr>
              <w:t>$ MILLION</w:t>
            </w: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160" w:type="dxa"/>
            <w:vAlign w:val="bottom"/>
            <w:tcBorders>
              <w:bottom w:val="single" w:sz="8" w:color="auto"/>
            </w:tcBorders>
          </w:tcPr>
          <w:p>
            <w:pPr>
              <w:spacing w:after="0"/>
              <w:rPr>
                <w:sz w:val="12"/>
                <w:szCs w:val="12"/>
                <w:color w:val="auto"/>
              </w:rPr>
            </w:pPr>
          </w:p>
        </w:tc>
        <w:tc>
          <w:tcPr>
            <w:tcW w:w="146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shd w:val="clear" w:color="auto" w:fill="D8D8D8"/>
          </w:tcPr>
          <w:p>
            <w:pPr>
              <w:spacing w:after="0"/>
              <w:rPr>
                <w:sz w:val="12"/>
                <w:szCs w:val="12"/>
                <w:color w:val="auto"/>
              </w:rPr>
            </w:pPr>
          </w:p>
        </w:tc>
        <w:tc>
          <w:tcPr>
            <w:tcW w:w="540" w:type="dxa"/>
            <w:vAlign w:val="bottom"/>
            <w:tcBorders>
              <w:bottom w:val="single" w:sz="8" w:color="auto"/>
            </w:tcBorders>
            <w:shd w:val="clear" w:color="auto" w:fill="D8D8D8"/>
          </w:tcPr>
          <w:p>
            <w:pPr>
              <w:jc w:val="right"/>
              <w:spacing w:after="0"/>
              <w:rPr>
                <w:sz w:val="20"/>
                <w:szCs w:val="20"/>
                <w:color w:val="auto"/>
              </w:rPr>
            </w:pPr>
            <w:r>
              <w:rPr>
                <w:rFonts w:ascii="Arial" w:cs="Arial" w:eastAsia="Arial" w:hAnsi="Arial"/>
                <w:sz w:val="13"/>
                <w:szCs w:val="13"/>
                <w:color w:val="auto"/>
              </w:rPr>
              <w:t>2014</w:t>
            </w:r>
          </w:p>
        </w:tc>
        <w:tc>
          <w:tcPr>
            <w:tcW w:w="320" w:type="dxa"/>
            <w:vAlign w:val="bottom"/>
            <w:tcBorders>
              <w:bottom w:val="single" w:sz="8" w:color="auto"/>
            </w:tcBorders>
            <w:shd w:val="clear" w:color="auto" w:fill="D8D8D8"/>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ind w:right="491"/>
              <w:spacing w:after="0"/>
              <w:rPr>
                <w:sz w:val="20"/>
                <w:szCs w:val="20"/>
                <w:color w:val="auto"/>
              </w:rPr>
            </w:pPr>
            <w:r>
              <w:rPr>
                <w:rFonts w:ascii="Arial" w:cs="Arial" w:eastAsia="Arial" w:hAnsi="Arial"/>
                <w:sz w:val="13"/>
                <w:szCs w:val="13"/>
                <w:color w:val="auto"/>
              </w:rPr>
              <w:t>2013</w:t>
            </w:r>
          </w:p>
        </w:tc>
        <w:tc>
          <w:tcPr>
            <w:tcW w:w="1000" w:type="dxa"/>
            <w:vAlign w:val="bottom"/>
            <w:tcBorders>
              <w:bottom w:val="single" w:sz="8" w:color="auto"/>
            </w:tcBorders>
          </w:tcPr>
          <w:p>
            <w:pPr>
              <w:jc w:val="right"/>
              <w:ind w:right="370"/>
              <w:spacing w:after="0"/>
              <w:rPr>
                <w:sz w:val="20"/>
                <w:szCs w:val="20"/>
                <w:color w:val="auto"/>
              </w:rPr>
            </w:pPr>
            <w:r>
              <w:rPr>
                <w:rFonts w:ascii="Arial" w:cs="Arial" w:eastAsia="Arial" w:hAnsi="Arial"/>
                <w:sz w:val="13"/>
                <w:szCs w:val="13"/>
                <w:color w:val="auto"/>
              </w:rPr>
              <w:t>2012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4160" w:type="dxa"/>
            <w:vAlign w:val="bottom"/>
          </w:tcPr>
          <w:p>
            <w:pPr>
              <w:spacing w:after="0" w:line="155" w:lineRule="exact"/>
              <w:rPr>
                <w:sz w:val="20"/>
                <w:szCs w:val="20"/>
                <w:color w:val="auto"/>
              </w:rPr>
            </w:pPr>
            <w:r>
              <w:rPr>
                <w:rFonts w:ascii="Arial" w:cs="Arial" w:eastAsia="Arial" w:hAnsi="Arial"/>
                <w:sz w:val="14"/>
                <w:szCs w:val="14"/>
                <w:color w:val="auto"/>
              </w:rPr>
              <w:t>A shares</w:t>
            </w:r>
          </w:p>
        </w:tc>
        <w:tc>
          <w:tcPr>
            <w:tcW w:w="14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shd w:val="clear" w:color="auto" w:fill="D8D8D8"/>
          </w:tcPr>
          <w:p>
            <w:pPr>
              <w:spacing w:after="0"/>
              <w:rPr>
                <w:sz w:val="13"/>
                <w:szCs w:val="13"/>
                <w:color w:val="auto"/>
              </w:rPr>
            </w:pPr>
          </w:p>
        </w:tc>
        <w:tc>
          <w:tcPr>
            <w:tcW w:w="540" w:type="dxa"/>
            <w:vAlign w:val="bottom"/>
            <w:shd w:val="clear" w:color="auto" w:fill="D8D8D8"/>
          </w:tcPr>
          <w:p>
            <w:pPr>
              <w:spacing w:after="0"/>
              <w:rPr>
                <w:sz w:val="13"/>
                <w:szCs w:val="13"/>
                <w:color w:val="auto"/>
              </w:rPr>
            </w:pPr>
          </w:p>
        </w:tc>
        <w:tc>
          <w:tcPr>
            <w:tcW w:w="320" w:type="dxa"/>
            <w:vAlign w:val="bottom"/>
            <w:shd w:val="clear" w:color="auto" w:fill="D8D8D8"/>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4160" w:type="dxa"/>
            <w:vAlign w:val="bottom"/>
          </w:tcPr>
          <w:p>
            <w:pPr>
              <w:ind w:left="140"/>
              <w:spacing w:after="0"/>
              <w:rPr>
                <w:sz w:val="20"/>
                <w:szCs w:val="20"/>
                <w:color w:val="auto"/>
              </w:rPr>
            </w:pPr>
            <w:r>
              <w:rPr>
                <w:rFonts w:ascii="Arial" w:cs="Arial" w:eastAsia="Arial" w:hAnsi="Arial"/>
                <w:sz w:val="14"/>
                <w:szCs w:val="14"/>
                <w:color w:val="auto"/>
              </w:rPr>
              <w:t>Cash: $1.86 per share (2013: $1.78; 2012: $1.71)</w:t>
            </w:r>
          </w:p>
        </w:tc>
        <w:tc>
          <w:tcPr>
            <w:tcW w:w="14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shd w:val="clear" w:color="auto" w:fill="D8D8D8"/>
          </w:tcPr>
          <w:p>
            <w:pPr>
              <w:spacing w:after="0"/>
              <w:rPr>
                <w:sz w:val="14"/>
                <w:szCs w:val="14"/>
                <w:color w:val="auto"/>
              </w:rPr>
            </w:pPr>
          </w:p>
        </w:tc>
        <w:tc>
          <w:tcPr>
            <w:tcW w:w="540" w:type="dxa"/>
            <w:vAlign w:val="bottom"/>
            <w:shd w:val="clear" w:color="auto" w:fill="D8D8D8"/>
          </w:tcPr>
          <w:p>
            <w:pPr>
              <w:jc w:val="right"/>
              <w:spacing w:after="0"/>
              <w:rPr>
                <w:sz w:val="20"/>
                <w:szCs w:val="20"/>
                <w:color w:val="auto"/>
              </w:rPr>
            </w:pPr>
            <w:r>
              <w:rPr>
                <w:rFonts w:ascii="Arial" w:cs="Arial" w:eastAsia="Arial" w:hAnsi="Arial"/>
                <w:sz w:val="14"/>
                <w:szCs w:val="14"/>
                <w:color w:val="auto"/>
              </w:rPr>
              <w:t>5,413</w:t>
            </w:r>
          </w:p>
        </w:tc>
        <w:tc>
          <w:tcPr>
            <w:tcW w:w="320" w:type="dxa"/>
            <w:vAlign w:val="bottom"/>
            <w:shd w:val="clear" w:color="auto" w:fill="D8D8D8"/>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80" w:type="dxa"/>
            <w:vAlign w:val="bottom"/>
          </w:tcPr>
          <w:p>
            <w:pPr>
              <w:jc w:val="right"/>
              <w:ind w:right="491"/>
              <w:spacing w:after="0"/>
              <w:rPr>
                <w:sz w:val="20"/>
                <w:szCs w:val="20"/>
                <w:color w:val="auto"/>
              </w:rPr>
            </w:pPr>
            <w:r>
              <w:rPr>
                <w:rFonts w:ascii="Arial" w:cs="Arial" w:eastAsia="Arial" w:hAnsi="Arial"/>
                <w:sz w:val="14"/>
                <w:szCs w:val="14"/>
                <w:color w:val="auto"/>
              </w:rPr>
              <w:t>3,505</w:t>
            </w:r>
          </w:p>
        </w:tc>
        <w:tc>
          <w:tcPr>
            <w:tcW w:w="1000" w:type="dxa"/>
            <w:vAlign w:val="bottom"/>
          </w:tcPr>
          <w:p>
            <w:pPr>
              <w:jc w:val="right"/>
              <w:ind w:right="370"/>
              <w:spacing w:after="0"/>
              <w:rPr>
                <w:sz w:val="20"/>
                <w:szCs w:val="20"/>
                <w:color w:val="auto"/>
              </w:rPr>
            </w:pPr>
            <w:r>
              <w:rPr>
                <w:rFonts w:ascii="Arial" w:cs="Arial" w:eastAsia="Arial" w:hAnsi="Arial"/>
                <w:sz w:val="14"/>
                <w:szCs w:val="14"/>
                <w:color w:val="auto"/>
              </w:rPr>
              <w:t>3,583</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160" w:type="dxa"/>
            <w:vAlign w:val="bottom"/>
            <w:tcBorders>
              <w:bottom w:val="single" w:sz="8" w:color="auto"/>
            </w:tcBorders>
          </w:tcPr>
          <w:p>
            <w:pPr>
              <w:ind w:left="140"/>
              <w:spacing w:after="0"/>
              <w:rPr>
                <w:sz w:val="20"/>
                <w:szCs w:val="20"/>
                <w:color w:val="auto"/>
              </w:rPr>
            </w:pPr>
            <w:r>
              <w:rPr>
                <w:rFonts w:ascii="Arial" w:cs="Arial" w:eastAsia="Arial" w:hAnsi="Arial"/>
                <w:sz w:val="14"/>
                <w:szCs w:val="14"/>
                <w:color w:val="auto"/>
              </w:rPr>
              <w:t>Scrip: $1.86 per share (2013: $1.78; 2012: $1.71)</w:t>
            </w:r>
          </w:p>
        </w:tc>
        <w:tc>
          <w:tcPr>
            <w:tcW w:w="14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shd w:val="clear" w:color="auto" w:fill="D8D8D8"/>
          </w:tcPr>
          <w:p>
            <w:pPr>
              <w:spacing w:after="0"/>
              <w:rPr>
                <w:sz w:val="14"/>
                <w:szCs w:val="14"/>
                <w:color w:val="auto"/>
              </w:rPr>
            </w:pPr>
          </w:p>
        </w:tc>
        <w:tc>
          <w:tcPr>
            <w:tcW w:w="540" w:type="dxa"/>
            <w:vAlign w:val="bottom"/>
            <w:tcBorders>
              <w:bottom w:val="single" w:sz="8" w:color="auto"/>
            </w:tcBorders>
            <w:shd w:val="clear" w:color="auto" w:fill="D8D8D8"/>
          </w:tcPr>
          <w:p>
            <w:pPr>
              <w:jc w:val="right"/>
              <w:spacing w:after="0"/>
              <w:rPr>
                <w:sz w:val="20"/>
                <w:szCs w:val="20"/>
                <w:color w:val="auto"/>
              </w:rPr>
            </w:pPr>
            <w:r>
              <w:rPr>
                <w:rFonts w:ascii="Arial" w:cs="Arial" w:eastAsia="Arial" w:hAnsi="Arial"/>
                <w:sz w:val="14"/>
                <w:szCs w:val="14"/>
                <w:color w:val="auto"/>
              </w:rPr>
              <w:t>1,866</w:t>
            </w:r>
          </w:p>
        </w:tc>
        <w:tc>
          <w:tcPr>
            <w:tcW w:w="320" w:type="dxa"/>
            <w:vAlign w:val="bottom"/>
            <w:tcBorders>
              <w:bottom w:val="single" w:sz="8" w:color="auto"/>
            </w:tcBorders>
            <w:shd w:val="clear" w:color="auto" w:fill="D8D8D8"/>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color w:val="auto"/>
              </w:rPr>
              <w:t>3,282</w:t>
            </w:r>
          </w:p>
        </w:tc>
        <w:tc>
          <w:tcPr>
            <w:tcW w:w="1000" w:type="dxa"/>
            <w:vAlign w:val="bottom"/>
            <w:tcBorders>
              <w:bottom w:val="single" w:sz="8" w:color="auto"/>
            </w:tcBorders>
          </w:tcPr>
          <w:p>
            <w:pPr>
              <w:jc w:val="right"/>
              <w:ind w:right="370"/>
              <w:spacing w:after="0"/>
              <w:rPr>
                <w:sz w:val="20"/>
                <w:szCs w:val="20"/>
                <w:color w:val="auto"/>
              </w:rPr>
            </w:pPr>
            <w:r>
              <w:rPr>
                <w:rFonts w:ascii="Arial" w:cs="Arial" w:eastAsia="Arial" w:hAnsi="Arial"/>
                <w:sz w:val="14"/>
                <w:szCs w:val="14"/>
                <w:color w:val="auto"/>
              </w:rPr>
              <w:t>2,803</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4160" w:type="dxa"/>
            <w:vAlign w:val="bottom"/>
            <w:tcBorders>
              <w:bottom w:val="single" w:sz="8" w:color="auto"/>
            </w:tcBorders>
          </w:tcPr>
          <w:p>
            <w:pPr>
              <w:spacing w:after="0" w:line="155" w:lineRule="exact"/>
              <w:rPr>
                <w:sz w:val="20"/>
                <w:szCs w:val="20"/>
                <w:color w:val="auto"/>
              </w:rPr>
            </w:pPr>
            <w:r>
              <w:rPr>
                <w:rFonts w:ascii="Arial" w:cs="Arial" w:eastAsia="Arial" w:hAnsi="Arial"/>
                <w:sz w:val="14"/>
                <w:szCs w:val="14"/>
                <w:color w:val="auto"/>
              </w:rPr>
              <w:t>Total – A shares</w:t>
            </w:r>
          </w:p>
        </w:tc>
        <w:tc>
          <w:tcPr>
            <w:tcW w:w="146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shd w:val="clear" w:color="auto" w:fill="D8D8D8"/>
          </w:tcPr>
          <w:p>
            <w:pPr>
              <w:spacing w:after="0"/>
              <w:rPr>
                <w:sz w:val="13"/>
                <w:szCs w:val="13"/>
                <w:color w:val="auto"/>
              </w:rPr>
            </w:pPr>
          </w:p>
        </w:tc>
        <w:tc>
          <w:tcPr>
            <w:tcW w:w="540" w:type="dxa"/>
            <w:vAlign w:val="bottom"/>
            <w:tcBorders>
              <w:bottom w:val="single" w:sz="8" w:color="auto"/>
            </w:tcBorders>
            <w:shd w:val="clear" w:color="auto" w:fill="D8D8D8"/>
          </w:tcPr>
          <w:p>
            <w:pPr>
              <w:jc w:val="right"/>
              <w:spacing w:after="0" w:line="155" w:lineRule="exact"/>
              <w:rPr>
                <w:sz w:val="20"/>
                <w:szCs w:val="20"/>
                <w:color w:val="auto"/>
              </w:rPr>
            </w:pPr>
            <w:r>
              <w:rPr>
                <w:rFonts w:ascii="Arial" w:cs="Arial" w:eastAsia="Arial" w:hAnsi="Arial"/>
                <w:sz w:val="14"/>
                <w:szCs w:val="14"/>
                <w:color w:val="auto"/>
              </w:rPr>
              <w:t>7,279</w:t>
            </w:r>
          </w:p>
        </w:tc>
        <w:tc>
          <w:tcPr>
            <w:tcW w:w="320" w:type="dxa"/>
            <w:vAlign w:val="bottom"/>
            <w:tcBorders>
              <w:bottom w:val="single" w:sz="8" w:color="auto"/>
            </w:tcBorders>
            <w:shd w:val="clear" w:color="auto" w:fill="D8D8D8"/>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491"/>
              <w:spacing w:after="0" w:line="155" w:lineRule="exact"/>
              <w:rPr>
                <w:sz w:val="20"/>
                <w:szCs w:val="20"/>
                <w:color w:val="auto"/>
              </w:rPr>
            </w:pPr>
            <w:r>
              <w:rPr>
                <w:rFonts w:ascii="Arial" w:cs="Arial" w:eastAsia="Arial" w:hAnsi="Arial"/>
                <w:sz w:val="14"/>
                <w:szCs w:val="14"/>
                <w:color w:val="auto"/>
              </w:rPr>
              <w:t>6,787</w:t>
            </w:r>
          </w:p>
        </w:tc>
        <w:tc>
          <w:tcPr>
            <w:tcW w:w="1000" w:type="dxa"/>
            <w:vAlign w:val="bottom"/>
            <w:tcBorders>
              <w:bottom w:val="single" w:sz="8" w:color="auto"/>
            </w:tcBorders>
          </w:tcPr>
          <w:p>
            <w:pPr>
              <w:jc w:val="right"/>
              <w:ind w:right="370"/>
              <w:spacing w:after="0" w:line="155" w:lineRule="exact"/>
              <w:rPr>
                <w:sz w:val="20"/>
                <w:szCs w:val="20"/>
                <w:color w:val="auto"/>
              </w:rPr>
            </w:pPr>
            <w:r>
              <w:rPr>
                <w:rFonts w:ascii="Arial" w:cs="Arial" w:eastAsia="Arial" w:hAnsi="Arial"/>
                <w:sz w:val="14"/>
                <w:szCs w:val="14"/>
                <w:color w:val="auto"/>
              </w:rPr>
              <w:t>6,386</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4160" w:type="dxa"/>
            <w:vAlign w:val="bottom"/>
          </w:tcPr>
          <w:p>
            <w:pPr>
              <w:spacing w:after="0"/>
              <w:rPr>
                <w:sz w:val="20"/>
                <w:szCs w:val="20"/>
                <w:color w:val="auto"/>
              </w:rPr>
            </w:pPr>
            <w:r>
              <w:rPr>
                <w:rFonts w:ascii="Arial" w:cs="Arial" w:eastAsia="Arial" w:hAnsi="Arial"/>
                <w:sz w:val="14"/>
                <w:szCs w:val="14"/>
                <w:color w:val="auto"/>
              </w:rPr>
              <w:t>B shares</w:t>
            </w:r>
          </w:p>
        </w:tc>
        <w:tc>
          <w:tcPr>
            <w:tcW w:w="14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shd w:val="clear" w:color="auto" w:fill="D8D8D8"/>
          </w:tcPr>
          <w:p>
            <w:pPr>
              <w:spacing w:after="0"/>
              <w:rPr>
                <w:sz w:val="13"/>
                <w:szCs w:val="13"/>
                <w:color w:val="auto"/>
              </w:rPr>
            </w:pPr>
          </w:p>
        </w:tc>
        <w:tc>
          <w:tcPr>
            <w:tcW w:w="540" w:type="dxa"/>
            <w:vAlign w:val="bottom"/>
            <w:shd w:val="clear" w:color="auto" w:fill="D8D8D8"/>
          </w:tcPr>
          <w:p>
            <w:pPr>
              <w:spacing w:after="0"/>
              <w:rPr>
                <w:sz w:val="13"/>
                <w:szCs w:val="13"/>
                <w:color w:val="auto"/>
              </w:rPr>
            </w:pPr>
          </w:p>
        </w:tc>
        <w:tc>
          <w:tcPr>
            <w:tcW w:w="320" w:type="dxa"/>
            <w:vAlign w:val="bottom"/>
            <w:shd w:val="clear" w:color="auto" w:fill="D8D8D8"/>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4160" w:type="dxa"/>
            <w:vAlign w:val="bottom"/>
          </w:tcPr>
          <w:p>
            <w:pPr>
              <w:ind w:left="140"/>
              <w:spacing w:after="0"/>
              <w:rPr>
                <w:sz w:val="20"/>
                <w:szCs w:val="20"/>
                <w:color w:val="auto"/>
              </w:rPr>
            </w:pPr>
            <w:r>
              <w:rPr>
                <w:rFonts w:ascii="Arial" w:cs="Arial" w:eastAsia="Arial" w:hAnsi="Arial"/>
                <w:sz w:val="14"/>
                <w:szCs w:val="14"/>
                <w:color w:val="auto"/>
              </w:rPr>
              <w:t>Cash: $1.86 per share (2013: $1.78; 2012: $1.71)</w:t>
            </w:r>
          </w:p>
        </w:tc>
        <w:tc>
          <w:tcPr>
            <w:tcW w:w="14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shd w:val="clear" w:color="auto" w:fill="D8D8D8"/>
          </w:tcPr>
          <w:p>
            <w:pPr>
              <w:spacing w:after="0"/>
              <w:rPr>
                <w:sz w:val="14"/>
                <w:szCs w:val="14"/>
                <w:color w:val="auto"/>
              </w:rPr>
            </w:pPr>
          </w:p>
        </w:tc>
        <w:tc>
          <w:tcPr>
            <w:tcW w:w="540" w:type="dxa"/>
            <w:vAlign w:val="bottom"/>
            <w:shd w:val="clear" w:color="auto" w:fill="D8D8D8"/>
          </w:tcPr>
          <w:p>
            <w:pPr>
              <w:jc w:val="right"/>
              <w:spacing w:after="0"/>
              <w:rPr>
                <w:sz w:val="20"/>
                <w:szCs w:val="20"/>
                <w:color w:val="auto"/>
              </w:rPr>
            </w:pPr>
            <w:r>
              <w:rPr>
                <w:rFonts w:ascii="Arial" w:cs="Arial" w:eastAsia="Arial" w:hAnsi="Arial"/>
                <w:sz w:val="14"/>
                <w:szCs w:val="14"/>
                <w:color w:val="auto"/>
              </w:rPr>
              <w:t>4,031</w:t>
            </w:r>
          </w:p>
        </w:tc>
        <w:tc>
          <w:tcPr>
            <w:tcW w:w="320" w:type="dxa"/>
            <w:vAlign w:val="bottom"/>
            <w:shd w:val="clear" w:color="auto" w:fill="D8D8D8"/>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80" w:type="dxa"/>
            <w:vAlign w:val="bottom"/>
          </w:tcPr>
          <w:p>
            <w:pPr>
              <w:jc w:val="right"/>
              <w:ind w:right="491"/>
              <w:spacing w:after="0"/>
              <w:rPr>
                <w:sz w:val="20"/>
                <w:szCs w:val="20"/>
                <w:color w:val="auto"/>
              </w:rPr>
            </w:pPr>
            <w:r>
              <w:rPr>
                <w:rFonts w:ascii="Arial" w:cs="Arial" w:eastAsia="Arial" w:hAnsi="Arial"/>
                <w:sz w:val="14"/>
                <w:szCs w:val="14"/>
                <w:color w:val="auto"/>
              </w:rPr>
              <w:t>3,693</w:t>
            </w:r>
          </w:p>
        </w:tc>
        <w:tc>
          <w:tcPr>
            <w:tcW w:w="1000" w:type="dxa"/>
            <w:vAlign w:val="bottom"/>
          </w:tcPr>
          <w:p>
            <w:pPr>
              <w:jc w:val="right"/>
              <w:ind w:right="370"/>
              <w:spacing w:after="0"/>
              <w:rPr>
                <w:sz w:val="20"/>
                <w:szCs w:val="20"/>
                <w:color w:val="auto"/>
              </w:rPr>
            </w:pPr>
            <w:r>
              <w:rPr>
                <w:rFonts w:ascii="Arial" w:cs="Arial" w:eastAsia="Arial" w:hAnsi="Arial"/>
                <w:sz w:val="14"/>
                <w:szCs w:val="14"/>
                <w:color w:val="auto"/>
              </w:rPr>
              <w:t>3,807</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4160" w:type="dxa"/>
            <w:vAlign w:val="bottom"/>
            <w:tcBorders>
              <w:bottom w:val="single" w:sz="8" w:color="auto"/>
            </w:tcBorders>
          </w:tcPr>
          <w:p>
            <w:pPr>
              <w:ind w:left="140"/>
              <w:spacing w:after="0" w:line="157" w:lineRule="exact"/>
              <w:rPr>
                <w:sz w:val="20"/>
                <w:szCs w:val="20"/>
                <w:color w:val="auto"/>
              </w:rPr>
            </w:pPr>
            <w:r>
              <w:rPr>
                <w:rFonts w:ascii="Arial" w:cs="Arial" w:eastAsia="Arial" w:hAnsi="Arial"/>
                <w:sz w:val="14"/>
                <w:szCs w:val="14"/>
                <w:color w:val="auto"/>
              </w:rPr>
              <w:t>Scrip: $1.86 per share (2013: $1.78; 2012: $1.71)</w:t>
            </w:r>
          </w:p>
        </w:tc>
        <w:tc>
          <w:tcPr>
            <w:tcW w:w="146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shd w:val="clear" w:color="auto" w:fill="D8D8D8"/>
          </w:tcPr>
          <w:p>
            <w:pPr>
              <w:spacing w:after="0"/>
              <w:rPr>
                <w:sz w:val="13"/>
                <w:szCs w:val="13"/>
                <w:color w:val="auto"/>
              </w:rPr>
            </w:pPr>
          </w:p>
        </w:tc>
        <w:tc>
          <w:tcPr>
            <w:tcW w:w="540" w:type="dxa"/>
            <w:vAlign w:val="bottom"/>
            <w:tcBorders>
              <w:bottom w:val="single" w:sz="8" w:color="auto"/>
            </w:tcBorders>
            <w:shd w:val="clear" w:color="auto" w:fill="D8D8D8"/>
          </w:tcPr>
          <w:p>
            <w:pPr>
              <w:jc w:val="right"/>
              <w:spacing w:after="0" w:line="157" w:lineRule="exact"/>
              <w:rPr>
                <w:sz w:val="20"/>
                <w:szCs w:val="20"/>
                <w:color w:val="auto"/>
              </w:rPr>
            </w:pPr>
            <w:r>
              <w:rPr>
                <w:rFonts w:ascii="Arial" w:cs="Arial" w:eastAsia="Arial" w:hAnsi="Arial"/>
                <w:sz w:val="14"/>
                <w:szCs w:val="14"/>
                <w:color w:val="auto"/>
              </w:rPr>
              <w:t>533</w:t>
            </w:r>
          </w:p>
        </w:tc>
        <w:tc>
          <w:tcPr>
            <w:tcW w:w="320" w:type="dxa"/>
            <w:vAlign w:val="bottom"/>
            <w:tcBorders>
              <w:bottom w:val="single" w:sz="8" w:color="auto"/>
            </w:tcBorders>
            <w:shd w:val="clear" w:color="auto" w:fill="D8D8D8"/>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491"/>
              <w:spacing w:after="0" w:line="157" w:lineRule="exact"/>
              <w:rPr>
                <w:sz w:val="20"/>
                <w:szCs w:val="20"/>
                <w:color w:val="auto"/>
              </w:rPr>
            </w:pPr>
            <w:r>
              <w:rPr>
                <w:rFonts w:ascii="Arial" w:cs="Arial" w:eastAsia="Arial" w:hAnsi="Arial"/>
                <w:sz w:val="14"/>
                <w:szCs w:val="14"/>
                <w:color w:val="auto"/>
              </w:rPr>
              <w:t>858</w:t>
            </w:r>
          </w:p>
        </w:tc>
        <w:tc>
          <w:tcPr>
            <w:tcW w:w="1000" w:type="dxa"/>
            <w:vAlign w:val="bottom"/>
            <w:tcBorders>
              <w:bottom w:val="single" w:sz="8" w:color="auto"/>
            </w:tcBorders>
          </w:tcPr>
          <w:p>
            <w:pPr>
              <w:jc w:val="right"/>
              <w:ind w:right="370"/>
              <w:spacing w:after="0" w:line="157" w:lineRule="exact"/>
              <w:rPr>
                <w:sz w:val="20"/>
                <w:szCs w:val="20"/>
                <w:color w:val="auto"/>
              </w:rPr>
            </w:pPr>
            <w:r>
              <w:rPr>
                <w:rFonts w:ascii="Arial" w:cs="Arial" w:eastAsia="Arial" w:hAnsi="Arial"/>
                <w:sz w:val="14"/>
                <w:szCs w:val="14"/>
                <w:color w:val="auto"/>
              </w:rPr>
              <w:t>762</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4160" w:type="dxa"/>
            <w:vAlign w:val="bottom"/>
            <w:tcBorders>
              <w:bottom w:val="single" w:sz="8" w:color="auto"/>
            </w:tcBorders>
          </w:tcPr>
          <w:p>
            <w:pPr>
              <w:spacing w:after="0" w:line="155" w:lineRule="exact"/>
              <w:rPr>
                <w:sz w:val="20"/>
                <w:szCs w:val="20"/>
                <w:color w:val="auto"/>
              </w:rPr>
            </w:pPr>
            <w:r>
              <w:rPr>
                <w:rFonts w:ascii="Arial" w:cs="Arial" w:eastAsia="Arial" w:hAnsi="Arial"/>
                <w:sz w:val="14"/>
                <w:szCs w:val="14"/>
                <w:color w:val="auto"/>
              </w:rPr>
              <w:t>Total – B shares</w:t>
            </w:r>
          </w:p>
        </w:tc>
        <w:tc>
          <w:tcPr>
            <w:tcW w:w="146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shd w:val="clear" w:color="auto" w:fill="D8D8D8"/>
          </w:tcPr>
          <w:p>
            <w:pPr>
              <w:spacing w:after="0"/>
              <w:rPr>
                <w:sz w:val="13"/>
                <w:szCs w:val="13"/>
                <w:color w:val="auto"/>
              </w:rPr>
            </w:pPr>
          </w:p>
        </w:tc>
        <w:tc>
          <w:tcPr>
            <w:tcW w:w="540" w:type="dxa"/>
            <w:vAlign w:val="bottom"/>
            <w:tcBorders>
              <w:bottom w:val="single" w:sz="8" w:color="auto"/>
            </w:tcBorders>
            <w:shd w:val="clear" w:color="auto" w:fill="D8D8D8"/>
          </w:tcPr>
          <w:p>
            <w:pPr>
              <w:jc w:val="right"/>
              <w:spacing w:after="0" w:line="155" w:lineRule="exact"/>
              <w:rPr>
                <w:sz w:val="20"/>
                <w:szCs w:val="20"/>
                <w:color w:val="auto"/>
              </w:rPr>
            </w:pPr>
            <w:r>
              <w:rPr>
                <w:rFonts w:ascii="Arial" w:cs="Arial" w:eastAsia="Arial" w:hAnsi="Arial"/>
                <w:sz w:val="14"/>
                <w:szCs w:val="14"/>
                <w:color w:val="auto"/>
              </w:rPr>
              <w:t>4,564</w:t>
            </w:r>
          </w:p>
        </w:tc>
        <w:tc>
          <w:tcPr>
            <w:tcW w:w="320" w:type="dxa"/>
            <w:vAlign w:val="bottom"/>
            <w:tcBorders>
              <w:bottom w:val="single" w:sz="8" w:color="auto"/>
            </w:tcBorders>
            <w:shd w:val="clear" w:color="auto" w:fill="D8D8D8"/>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491"/>
              <w:spacing w:after="0" w:line="155" w:lineRule="exact"/>
              <w:rPr>
                <w:sz w:val="20"/>
                <w:szCs w:val="20"/>
                <w:color w:val="auto"/>
              </w:rPr>
            </w:pPr>
            <w:r>
              <w:rPr>
                <w:rFonts w:ascii="Arial" w:cs="Arial" w:eastAsia="Arial" w:hAnsi="Arial"/>
                <w:sz w:val="14"/>
                <w:szCs w:val="14"/>
                <w:color w:val="auto"/>
              </w:rPr>
              <w:t>4,551</w:t>
            </w:r>
          </w:p>
        </w:tc>
        <w:tc>
          <w:tcPr>
            <w:tcW w:w="1000" w:type="dxa"/>
            <w:vAlign w:val="bottom"/>
            <w:tcBorders>
              <w:bottom w:val="single" w:sz="8" w:color="auto"/>
            </w:tcBorders>
          </w:tcPr>
          <w:p>
            <w:pPr>
              <w:jc w:val="right"/>
              <w:ind w:right="370"/>
              <w:spacing w:after="0" w:line="155" w:lineRule="exact"/>
              <w:rPr>
                <w:sz w:val="20"/>
                <w:szCs w:val="20"/>
                <w:color w:val="auto"/>
              </w:rPr>
            </w:pPr>
            <w:r>
              <w:rPr>
                <w:rFonts w:ascii="Arial" w:cs="Arial" w:eastAsia="Arial" w:hAnsi="Arial"/>
                <w:sz w:val="14"/>
                <w:szCs w:val="14"/>
                <w:color w:val="auto"/>
              </w:rPr>
              <w:t>4,569</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4160" w:type="dxa"/>
            <w:vAlign w:val="bottom"/>
            <w:tcBorders>
              <w:bottom w:val="single" w:sz="8" w:color="auto"/>
            </w:tcBorders>
          </w:tcPr>
          <w:p>
            <w:pPr>
              <w:spacing w:after="0" w:line="155" w:lineRule="exact"/>
              <w:rPr>
                <w:sz w:val="20"/>
                <w:szCs w:val="20"/>
                <w:color w:val="auto"/>
              </w:rPr>
            </w:pPr>
            <w:r>
              <w:rPr>
                <w:rFonts w:ascii="Arial" w:cs="Arial" w:eastAsia="Arial" w:hAnsi="Arial"/>
                <w:sz w:val="14"/>
                <w:szCs w:val="14"/>
                <w:color w:val="auto"/>
              </w:rPr>
              <w:t>Total</w:t>
            </w:r>
          </w:p>
        </w:tc>
        <w:tc>
          <w:tcPr>
            <w:tcW w:w="146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shd w:val="clear" w:color="auto" w:fill="D8D8D8"/>
          </w:tcPr>
          <w:p>
            <w:pPr>
              <w:spacing w:after="0"/>
              <w:rPr>
                <w:sz w:val="13"/>
                <w:szCs w:val="13"/>
                <w:color w:val="auto"/>
              </w:rPr>
            </w:pPr>
          </w:p>
        </w:tc>
        <w:tc>
          <w:tcPr>
            <w:tcW w:w="540" w:type="dxa"/>
            <w:vAlign w:val="bottom"/>
            <w:tcBorders>
              <w:bottom w:val="single" w:sz="8" w:color="auto"/>
            </w:tcBorders>
            <w:shd w:val="clear" w:color="auto" w:fill="D8D8D8"/>
          </w:tcPr>
          <w:p>
            <w:pPr>
              <w:jc w:val="right"/>
              <w:spacing w:after="0" w:line="155" w:lineRule="exact"/>
              <w:rPr>
                <w:sz w:val="20"/>
                <w:szCs w:val="20"/>
                <w:color w:val="auto"/>
              </w:rPr>
            </w:pPr>
            <w:r>
              <w:rPr>
                <w:rFonts w:ascii="Arial" w:cs="Arial" w:eastAsia="Arial" w:hAnsi="Arial"/>
                <w:sz w:val="14"/>
                <w:szCs w:val="14"/>
                <w:color w:val="auto"/>
              </w:rPr>
              <w:t>11,843</w:t>
            </w:r>
          </w:p>
        </w:tc>
        <w:tc>
          <w:tcPr>
            <w:tcW w:w="320" w:type="dxa"/>
            <w:vAlign w:val="bottom"/>
            <w:tcBorders>
              <w:bottom w:val="single" w:sz="8" w:color="auto"/>
            </w:tcBorders>
            <w:shd w:val="clear" w:color="auto" w:fill="D8D8D8"/>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491"/>
              <w:spacing w:after="0" w:line="155" w:lineRule="exact"/>
              <w:rPr>
                <w:sz w:val="20"/>
                <w:szCs w:val="20"/>
                <w:color w:val="auto"/>
              </w:rPr>
            </w:pPr>
            <w:r>
              <w:rPr>
                <w:rFonts w:ascii="Arial" w:cs="Arial" w:eastAsia="Arial" w:hAnsi="Arial"/>
                <w:sz w:val="14"/>
                <w:szCs w:val="14"/>
                <w:color w:val="auto"/>
              </w:rPr>
              <w:t>11,338</w:t>
            </w:r>
          </w:p>
        </w:tc>
        <w:tc>
          <w:tcPr>
            <w:tcW w:w="1000" w:type="dxa"/>
            <w:vAlign w:val="bottom"/>
            <w:tcBorders>
              <w:bottom w:val="single" w:sz="8" w:color="auto"/>
            </w:tcBorders>
          </w:tcPr>
          <w:p>
            <w:pPr>
              <w:jc w:val="right"/>
              <w:ind w:right="370"/>
              <w:spacing w:after="0" w:line="155" w:lineRule="exact"/>
              <w:rPr>
                <w:sz w:val="20"/>
                <w:szCs w:val="20"/>
                <w:color w:val="auto"/>
              </w:rPr>
            </w:pPr>
            <w:r>
              <w:rPr>
                <w:rFonts w:ascii="Arial" w:cs="Arial" w:eastAsia="Arial" w:hAnsi="Arial"/>
                <w:sz w:val="14"/>
                <w:szCs w:val="14"/>
                <w:color w:val="auto"/>
              </w:rPr>
              <w:t>10,955</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180" w:lineRule="exact"/>
        <w:rPr>
          <w:sz w:val="20"/>
          <w:szCs w:val="20"/>
          <w:color w:val="auto"/>
        </w:rPr>
      </w:pPr>
    </w:p>
    <w:p>
      <w:pPr>
        <w:ind w:right="60"/>
        <w:spacing w:after="0" w:line="250" w:lineRule="auto"/>
        <w:rPr>
          <w:sz w:val="20"/>
          <w:szCs w:val="20"/>
          <w:color w:val="auto"/>
        </w:rPr>
      </w:pPr>
      <w:r>
        <w:rPr>
          <w:rFonts w:ascii="Arial" w:cs="Arial" w:eastAsia="Arial" w:hAnsi="Arial"/>
          <w:sz w:val="14"/>
          <w:szCs w:val="14"/>
          <w:color w:val="auto"/>
        </w:rPr>
        <w:t>In addition, on January 29, 2015, the Directors announced a further interim dividend in respect of 2014 of $0.47 per A share and $0.47 per B share. The total dividend is estimated to be $2,977 million and is payable on March 20, 2015. Under the Scrip Dividend Programme, which was cancelled with effect from the second quarter 2014 interim dividend onwards and reintroduced with effect from the first quarter 2015 interim dividend onwards, shareholders can elect to receive dividends in the form of A shares.</w:t>
      </w:r>
    </w:p>
    <w:p>
      <w:pPr>
        <w:spacing w:after="0" w:line="159" w:lineRule="exact"/>
        <w:rPr>
          <w:sz w:val="20"/>
          <w:szCs w:val="20"/>
          <w:color w:val="auto"/>
        </w:rPr>
      </w:pPr>
    </w:p>
    <w:p>
      <w:pPr>
        <w:ind w:right="400"/>
        <w:spacing w:after="0" w:line="258" w:lineRule="auto"/>
        <w:rPr>
          <w:sz w:val="20"/>
          <w:szCs w:val="20"/>
          <w:color w:val="auto"/>
        </w:rPr>
      </w:pPr>
      <w:r>
        <w:rPr>
          <w:rFonts w:ascii="Arial" w:cs="Arial" w:eastAsia="Arial" w:hAnsi="Arial"/>
          <w:sz w:val="14"/>
          <w:szCs w:val="14"/>
          <w:color w:val="auto"/>
        </w:rPr>
        <w:t>Dividends on A shares are by default paid in euros, although holders may elect to receive dividends in sterling. Dividends on B shares are by default paid in sterling, although holders may elect to receive dividends in euros. Dividends on ADSs are paid in dollars.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24 EARNINGS PER SHARE</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960" w:type="dxa"/>
            <w:vAlign w:val="bottom"/>
            <w:shd w:val="clear" w:color="auto" w:fill="333333"/>
          </w:tcPr>
          <w:p>
            <w:pPr>
              <w:spacing w:after="0"/>
              <w:rPr>
                <w:sz w:val="14"/>
                <w:szCs w:val="14"/>
                <w:color w:val="auto"/>
              </w:rPr>
            </w:pPr>
          </w:p>
        </w:tc>
        <w:tc>
          <w:tcPr>
            <w:tcW w:w="1440" w:type="dxa"/>
            <w:vAlign w:val="bottom"/>
            <w:shd w:val="clear" w:color="auto" w:fill="333333"/>
          </w:tcPr>
          <w:p>
            <w:pPr>
              <w:spacing w:after="0"/>
              <w:rPr>
                <w:sz w:val="14"/>
                <w:szCs w:val="14"/>
                <w:color w:val="auto"/>
              </w:rPr>
            </w:pPr>
          </w:p>
        </w:tc>
        <w:tc>
          <w:tcPr>
            <w:tcW w:w="1720" w:type="dxa"/>
            <w:vAlign w:val="bottom"/>
            <w:shd w:val="clear" w:color="auto" w:fill="333333"/>
          </w:tcPr>
          <w:p>
            <w:pPr>
              <w:spacing w:after="0"/>
              <w:rPr>
                <w:sz w:val="14"/>
                <w:szCs w:val="14"/>
                <w:color w:val="auto"/>
              </w:rPr>
            </w:pPr>
          </w:p>
        </w:tc>
        <w:tc>
          <w:tcPr>
            <w:tcW w:w="1300" w:type="dxa"/>
            <w:vAlign w:val="bottom"/>
            <w:shd w:val="clear" w:color="auto" w:fill="333333"/>
          </w:tcPr>
          <w:p>
            <w:pPr>
              <w:spacing w:after="0"/>
              <w:rPr>
                <w:sz w:val="14"/>
                <w:szCs w:val="14"/>
                <w:color w:val="auto"/>
              </w:rPr>
            </w:pPr>
          </w:p>
        </w:tc>
      </w:tr>
      <w:tr>
        <w:trPr>
          <w:trHeight w:val="149"/>
        </w:trPr>
        <w:tc>
          <w:tcPr>
            <w:tcW w:w="6960" w:type="dxa"/>
            <w:vAlign w:val="bottom"/>
            <w:tcBorders>
              <w:bottom w:val="single" w:sz="8" w:color="auto"/>
            </w:tcBorders>
          </w:tcPr>
          <w:p>
            <w:pPr>
              <w:spacing w:after="0"/>
              <w:rPr>
                <w:sz w:val="12"/>
                <w:szCs w:val="12"/>
                <w:color w:val="auto"/>
              </w:rPr>
            </w:pPr>
          </w:p>
        </w:tc>
        <w:tc>
          <w:tcPr>
            <w:tcW w:w="1440" w:type="dxa"/>
            <w:vAlign w:val="bottom"/>
            <w:tcBorders>
              <w:bottom w:val="single" w:sz="8" w:color="auto"/>
            </w:tcBorders>
            <w:shd w:val="clear" w:color="auto" w:fill="D8D8D8"/>
          </w:tcPr>
          <w:p>
            <w:pPr>
              <w:jc w:val="right"/>
              <w:ind w:right="50"/>
              <w:spacing w:after="0"/>
              <w:rPr>
                <w:sz w:val="20"/>
                <w:szCs w:val="20"/>
                <w:color w:val="auto"/>
              </w:rPr>
            </w:pPr>
            <w:r>
              <w:rPr>
                <w:rFonts w:ascii="Arial" w:cs="Arial" w:eastAsia="Arial" w:hAnsi="Arial"/>
                <w:sz w:val="13"/>
                <w:szCs w:val="13"/>
                <w:color w:val="auto"/>
              </w:rPr>
              <w:t>2014</w:t>
            </w:r>
          </w:p>
        </w:tc>
        <w:tc>
          <w:tcPr>
            <w:tcW w:w="1720" w:type="dxa"/>
            <w:vAlign w:val="bottom"/>
            <w:tcBorders>
              <w:bottom w:val="single" w:sz="8" w:color="auto"/>
            </w:tcBorders>
          </w:tcPr>
          <w:p>
            <w:pPr>
              <w:jc w:val="right"/>
              <w:ind w:right="210"/>
              <w:spacing w:after="0"/>
              <w:rPr>
                <w:sz w:val="20"/>
                <w:szCs w:val="20"/>
                <w:color w:val="auto"/>
              </w:rPr>
            </w:pPr>
            <w:r>
              <w:rPr>
                <w:rFonts w:ascii="Arial" w:cs="Arial" w:eastAsia="Arial" w:hAnsi="Arial"/>
                <w:sz w:val="13"/>
                <w:szCs w:val="13"/>
                <w:color w:val="auto"/>
              </w:rPr>
              <w:t>2013</w:t>
            </w:r>
          </w:p>
        </w:tc>
        <w:tc>
          <w:tcPr>
            <w:tcW w:w="1300" w:type="dxa"/>
            <w:vAlign w:val="bottom"/>
            <w:tcBorders>
              <w:bottom w:val="single" w:sz="8" w:color="auto"/>
            </w:tcBorders>
          </w:tcPr>
          <w:p>
            <w:pPr>
              <w:jc w:val="right"/>
              <w:ind w:right="30"/>
              <w:spacing w:after="0"/>
              <w:rPr>
                <w:sz w:val="20"/>
                <w:szCs w:val="20"/>
                <w:color w:val="auto"/>
              </w:rPr>
            </w:pPr>
            <w:r>
              <w:rPr>
                <w:rFonts w:ascii="Arial" w:cs="Arial" w:eastAsia="Arial" w:hAnsi="Arial"/>
                <w:sz w:val="13"/>
                <w:szCs w:val="13"/>
                <w:color w:val="auto"/>
              </w:rPr>
              <w:t>2012</w:t>
            </w:r>
          </w:p>
        </w:tc>
      </w:tr>
      <w:tr>
        <w:trPr>
          <w:trHeight w:val="156"/>
        </w:trPr>
        <w:tc>
          <w:tcPr>
            <w:tcW w:w="6960" w:type="dxa"/>
            <w:vAlign w:val="bottom"/>
          </w:tcPr>
          <w:p>
            <w:pPr>
              <w:spacing w:after="0" w:line="155" w:lineRule="exact"/>
              <w:rPr>
                <w:sz w:val="20"/>
                <w:szCs w:val="20"/>
                <w:color w:val="auto"/>
              </w:rPr>
            </w:pPr>
            <w:r>
              <w:rPr>
                <w:rFonts w:ascii="Arial" w:cs="Arial" w:eastAsia="Arial" w:hAnsi="Arial"/>
                <w:sz w:val="14"/>
                <w:szCs w:val="14"/>
                <w:color w:val="auto"/>
              </w:rPr>
              <w:t>Income attributable to Royal Dutch Shell plc shareholders ($ million)</w:t>
            </w:r>
          </w:p>
        </w:tc>
        <w:tc>
          <w:tcPr>
            <w:tcW w:w="1440" w:type="dxa"/>
            <w:vAlign w:val="bottom"/>
            <w:shd w:val="clear" w:color="auto" w:fill="D8D8D8"/>
          </w:tcPr>
          <w:p>
            <w:pPr>
              <w:jc w:val="right"/>
              <w:ind w:right="50"/>
              <w:spacing w:after="0" w:line="155" w:lineRule="exact"/>
              <w:rPr>
                <w:sz w:val="20"/>
                <w:szCs w:val="20"/>
                <w:color w:val="auto"/>
              </w:rPr>
            </w:pPr>
            <w:r>
              <w:rPr>
                <w:rFonts w:ascii="Arial" w:cs="Arial" w:eastAsia="Arial" w:hAnsi="Arial"/>
                <w:sz w:val="14"/>
                <w:szCs w:val="14"/>
                <w:color w:val="auto"/>
              </w:rPr>
              <w:t>14,874</w:t>
            </w:r>
          </w:p>
        </w:tc>
        <w:tc>
          <w:tcPr>
            <w:tcW w:w="1720" w:type="dxa"/>
            <w:vAlign w:val="bottom"/>
          </w:tcPr>
          <w:p>
            <w:pPr>
              <w:jc w:val="right"/>
              <w:ind w:right="210"/>
              <w:spacing w:after="0" w:line="155" w:lineRule="exact"/>
              <w:rPr>
                <w:sz w:val="20"/>
                <w:szCs w:val="20"/>
                <w:color w:val="auto"/>
              </w:rPr>
            </w:pPr>
            <w:r>
              <w:rPr>
                <w:rFonts w:ascii="Arial" w:cs="Arial" w:eastAsia="Arial" w:hAnsi="Arial"/>
                <w:sz w:val="14"/>
                <w:szCs w:val="14"/>
                <w:color w:val="auto"/>
              </w:rPr>
              <w:t>16,371</w:t>
            </w:r>
          </w:p>
        </w:tc>
        <w:tc>
          <w:tcPr>
            <w:tcW w:w="1300" w:type="dxa"/>
            <w:vAlign w:val="bottom"/>
          </w:tcPr>
          <w:p>
            <w:pPr>
              <w:jc w:val="right"/>
              <w:ind w:right="30"/>
              <w:spacing w:after="0" w:line="155" w:lineRule="exact"/>
              <w:rPr>
                <w:sz w:val="20"/>
                <w:szCs w:val="20"/>
                <w:color w:val="auto"/>
              </w:rPr>
            </w:pPr>
            <w:r>
              <w:rPr>
                <w:rFonts w:ascii="Arial" w:cs="Arial" w:eastAsia="Arial" w:hAnsi="Arial"/>
                <w:sz w:val="14"/>
                <w:szCs w:val="14"/>
                <w:color w:val="auto"/>
              </w:rPr>
              <w:t>26,712</w:t>
            </w:r>
          </w:p>
        </w:tc>
      </w:tr>
      <w:tr>
        <w:trPr>
          <w:trHeight w:val="162"/>
        </w:trPr>
        <w:tc>
          <w:tcPr>
            <w:tcW w:w="6960" w:type="dxa"/>
            <w:vAlign w:val="bottom"/>
          </w:tcPr>
          <w:p>
            <w:pPr>
              <w:spacing w:after="0"/>
              <w:rPr>
                <w:sz w:val="20"/>
                <w:szCs w:val="20"/>
                <w:color w:val="auto"/>
              </w:rPr>
            </w:pPr>
            <w:r>
              <w:rPr>
                <w:rFonts w:ascii="Arial" w:cs="Arial" w:eastAsia="Arial" w:hAnsi="Arial"/>
                <w:sz w:val="14"/>
                <w:szCs w:val="14"/>
                <w:color w:val="auto"/>
              </w:rPr>
              <w:t>Weighted average number of A and B shares used as the basis for determining:</w:t>
            </w:r>
          </w:p>
        </w:tc>
        <w:tc>
          <w:tcPr>
            <w:tcW w:w="1440" w:type="dxa"/>
            <w:vAlign w:val="bottom"/>
            <w:shd w:val="clear" w:color="auto" w:fill="D8D8D8"/>
          </w:tcPr>
          <w:p>
            <w:pPr>
              <w:spacing w:after="0"/>
              <w:rPr>
                <w:sz w:val="14"/>
                <w:szCs w:val="14"/>
                <w:color w:val="auto"/>
              </w:rPr>
            </w:pPr>
          </w:p>
        </w:tc>
        <w:tc>
          <w:tcPr>
            <w:tcW w:w="172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67"/>
        </w:trPr>
        <w:tc>
          <w:tcPr>
            <w:tcW w:w="6960" w:type="dxa"/>
            <w:vAlign w:val="bottom"/>
          </w:tcPr>
          <w:p>
            <w:pPr>
              <w:ind w:left="140"/>
              <w:spacing w:after="0"/>
              <w:rPr>
                <w:sz w:val="20"/>
                <w:szCs w:val="20"/>
                <w:color w:val="auto"/>
              </w:rPr>
            </w:pPr>
            <w:r>
              <w:rPr>
                <w:rFonts w:ascii="Arial" w:cs="Arial" w:eastAsia="Arial" w:hAnsi="Arial"/>
                <w:sz w:val="14"/>
                <w:szCs w:val="14"/>
                <w:color w:val="auto"/>
              </w:rPr>
              <w:t>Basic earnings per share</w:t>
            </w:r>
          </w:p>
        </w:tc>
        <w:tc>
          <w:tcPr>
            <w:tcW w:w="1440" w:type="dxa"/>
            <w:vAlign w:val="bottom"/>
            <w:shd w:val="clear" w:color="auto" w:fill="D8D8D8"/>
          </w:tcPr>
          <w:p>
            <w:pPr>
              <w:jc w:val="right"/>
              <w:ind w:right="50"/>
              <w:spacing w:after="0"/>
              <w:rPr>
                <w:sz w:val="20"/>
                <w:szCs w:val="20"/>
                <w:color w:val="auto"/>
              </w:rPr>
            </w:pPr>
            <w:r>
              <w:rPr>
                <w:rFonts w:ascii="Arial" w:cs="Arial" w:eastAsia="Arial" w:hAnsi="Arial"/>
                <w:sz w:val="14"/>
                <w:szCs w:val="14"/>
                <w:color w:val="auto"/>
              </w:rPr>
              <w:t>6,311,490,678</w:t>
            </w:r>
          </w:p>
        </w:tc>
        <w:tc>
          <w:tcPr>
            <w:tcW w:w="1720" w:type="dxa"/>
            <w:vAlign w:val="bottom"/>
          </w:tcPr>
          <w:p>
            <w:pPr>
              <w:jc w:val="right"/>
              <w:ind w:right="210"/>
              <w:spacing w:after="0"/>
              <w:rPr>
                <w:sz w:val="20"/>
                <w:szCs w:val="20"/>
                <w:color w:val="auto"/>
              </w:rPr>
            </w:pPr>
            <w:r>
              <w:rPr>
                <w:rFonts w:ascii="Arial" w:cs="Arial" w:eastAsia="Arial" w:hAnsi="Arial"/>
                <w:sz w:val="14"/>
                <w:szCs w:val="14"/>
                <w:color w:val="auto"/>
              </w:rPr>
              <w:t>6,291,126,326</w:t>
            </w:r>
          </w:p>
        </w:tc>
        <w:tc>
          <w:tcPr>
            <w:tcW w:w="1300" w:type="dxa"/>
            <w:vAlign w:val="bottom"/>
          </w:tcPr>
          <w:p>
            <w:pPr>
              <w:jc w:val="right"/>
              <w:ind w:right="30"/>
              <w:spacing w:after="0"/>
              <w:rPr>
                <w:sz w:val="20"/>
                <w:szCs w:val="20"/>
                <w:color w:val="auto"/>
              </w:rPr>
            </w:pPr>
            <w:r>
              <w:rPr>
                <w:rFonts w:ascii="Arial" w:cs="Arial" w:eastAsia="Arial" w:hAnsi="Arial"/>
                <w:sz w:val="14"/>
                <w:szCs w:val="14"/>
                <w:color w:val="auto"/>
              </w:rPr>
              <w:t>6,261,184,755</w:t>
            </w:r>
          </w:p>
        </w:tc>
      </w:tr>
      <w:tr>
        <w:trPr>
          <w:trHeight w:val="157"/>
        </w:trPr>
        <w:tc>
          <w:tcPr>
            <w:tcW w:w="6960" w:type="dxa"/>
            <w:vAlign w:val="bottom"/>
            <w:tcBorders>
              <w:bottom w:val="single" w:sz="8" w:color="auto"/>
            </w:tcBorders>
          </w:tcPr>
          <w:p>
            <w:pPr>
              <w:ind w:left="140"/>
              <w:spacing w:after="0" w:line="157" w:lineRule="exact"/>
              <w:rPr>
                <w:sz w:val="20"/>
                <w:szCs w:val="20"/>
                <w:color w:val="auto"/>
              </w:rPr>
            </w:pPr>
            <w:r>
              <w:rPr>
                <w:rFonts w:ascii="Arial" w:cs="Arial" w:eastAsia="Arial" w:hAnsi="Arial"/>
                <w:sz w:val="14"/>
                <w:szCs w:val="14"/>
                <w:color w:val="auto"/>
              </w:rPr>
              <w:t>Diluted earnings per share</w:t>
            </w:r>
          </w:p>
        </w:tc>
        <w:tc>
          <w:tcPr>
            <w:tcW w:w="1440" w:type="dxa"/>
            <w:vAlign w:val="bottom"/>
            <w:tcBorders>
              <w:bottom w:val="single" w:sz="8" w:color="auto"/>
            </w:tcBorders>
            <w:shd w:val="clear" w:color="auto" w:fill="D8D8D8"/>
          </w:tcPr>
          <w:p>
            <w:pPr>
              <w:jc w:val="right"/>
              <w:ind w:right="50"/>
              <w:spacing w:after="0" w:line="157" w:lineRule="exact"/>
              <w:rPr>
                <w:sz w:val="20"/>
                <w:szCs w:val="20"/>
                <w:color w:val="auto"/>
              </w:rPr>
            </w:pPr>
            <w:r>
              <w:rPr>
                <w:rFonts w:ascii="Arial" w:cs="Arial" w:eastAsia="Arial" w:hAnsi="Arial"/>
                <w:sz w:val="14"/>
                <w:szCs w:val="14"/>
                <w:color w:val="auto"/>
              </w:rPr>
              <w:t>6,311,605,118</w:t>
            </w:r>
          </w:p>
        </w:tc>
        <w:tc>
          <w:tcPr>
            <w:tcW w:w="1720" w:type="dxa"/>
            <w:vAlign w:val="bottom"/>
            <w:tcBorders>
              <w:bottom w:val="single" w:sz="8" w:color="auto"/>
            </w:tcBorders>
          </w:tcPr>
          <w:p>
            <w:pPr>
              <w:jc w:val="right"/>
              <w:ind w:right="210"/>
              <w:spacing w:after="0" w:line="157" w:lineRule="exact"/>
              <w:rPr>
                <w:sz w:val="20"/>
                <w:szCs w:val="20"/>
                <w:color w:val="auto"/>
              </w:rPr>
            </w:pPr>
            <w:r>
              <w:rPr>
                <w:rFonts w:ascii="Arial" w:cs="Arial" w:eastAsia="Arial" w:hAnsi="Arial"/>
                <w:sz w:val="14"/>
                <w:szCs w:val="14"/>
                <w:color w:val="auto"/>
              </w:rPr>
              <w:t>6,293,381,407</w:t>
            </w:r>
          </w:p>
        </w:tc>
        <w:tc>
          <w:tcPr>
            <w:tcW w:w="1300" w:type="dxa"/>
            <w:vAlign w:val="bottom"/>
            <w:tcBorders>
              <w:bottom w:val="single" w:sz="8" w:color="auto"/>
            </w:tcBorders>
          </w:tcPr>
          <w:p>
            <w:pPr>
              <w:jc w:val="right"/>
              <w:ind w:right="30"/>
              <w:spacing w:after="0" w:line="157" w:lineRule="exact"/>
              <w:rPr>
                <w:sz w:val="20"/>
                <w:szCs w:val="20"/>
                <w:color w:val="auto"/>
              </w:rPr>
            </w:pPr>
            <w:r>
              <w:rPr>
                <w:rFonts w:ascii="Arial" w:cs="Arial" w:eastAsia="Arial" w:hAnsi="Arial"/>
                <w:sz w:val="14"/>
                <w:szCs w:val="14"/>
                <w:color w:val="auto"/>
              </w:rPr>
              <w:t>6,267,839,545</w:t>
            </w:r>
          </w:p>
        </w:tc>
      </w:tr>
    </w:tbl>
    <w:p>
      <w:pPr>
        <w:spacing w:after="0" w:line="180" w:lineRule="exact"/>
        <w:rPr>
          <w:sz w:val="20"/>
          <w:szCs w:val="20"/>
          <w:color w:val="auto"/>
        </w:rPr>
      </w:pPr>
    </w:p>
    <w:p>
      <w:pPr>
        <w:ind w:right="140"/>
        <w:spacing w:after="0" w:line="258" w:lineRule="auto"/>
        <w:rPr>
          <w:sz w:val="20"/>
          <w:szCs w:val="20"/>
          <w:color w:val="auto"/>
        </w:rPr>
      </w:pPr>
      <w:r>
        <w:rPr>
          <w:rFonts w:ascii="Arial" w:cs="Arial" w:eastAsia="Arial" w:hAnsi="Arial"/>
          <w:sz w:val="14"/>
          <w:szCs w:val="14"/>
          <w:color w:val="auto"/>
        </w:rPr>
        <w:t>Basic earnings per share are calculated by dividing the income attributable to Royal Dutch Shell plc shareholders for the year by the weighted average number of A and B shares outstanding during the year.</w:t>
      </w:r>
    </w:p>
    <w:p>
      <w:pPr>
        <w:spacing w:after="0" w:line="167" w:lineRule="exact"/>
        <w:rPr>
          <w:sz w:val="20"/>
          <w:szCs w:val="20"/>
          <w:color w:val="auto"/>
        </w:rPr>
      </w:pPr>
    </w:p>
    <w:p>
      <w:pPr>
        <w:ind w:right="460"/>
        <w:spacing w:after="0" w:line="258" w:lineRule="auto"/>
        <w:rPr>
          <w:sz w:val="20"/>
          <w:szCs w:val="20"/>
          <w:color w:val="auto"/>
        </w:rPr>
      </w:pPr>
      <w:r>
        <w:rPr>
          <w:rFonts w:ascii="Arial" w:cs="Arial" w:eastAsia="Arial" w:hAnsi="Arial"/>
          <w:sz w:val="14"/>
          <w:szCs w:val="14"/>
          <w:color w:val="auto"/>
        </w:rPr>
        <w:t>Diluted earnings per share are based on the same income figures. The weighted average number of shares outstanding during the year is adjusted for the number of shares related to share option plans.</w:t>
      </w:r>
    </w:p>
    <w:p>
      <w:pPr>
        <w:spacing w:after="0" w:line="154" w:lineRule="exact"/>
        <w:rPr>
          <w:sz w:val="20"/>
          <w:szCs w:val="20"/>
          <w:color w:val="auto"/>
        </w:rPr>
      </w:pPr>
    </w:p>
    <w:p>
      <w:pPr>
        <w:spacing w:after="0"/>
        <w:rPr>
          <w:sz w:val="20"/>
          <w:szCs w:val="20"/>
          <w:color w:val="auto"/>
        </w:rPr>
      </w:pPr>
      <w:r>
        <w:rPr>
          <w:rFonts w:ascii="Arial" w:cs="Arial" w:eastAsia="Arial" w:hAnsi="Arial"/>
          <w:sz w:val="14"/>
          <w:szCs w:val="14"/>
          <w:color w:val="auto"/>
        </w:rPr>
        <w:t>Earnings per share are identical for A and B shares.</w:t>
      </w:r>
    </w:p>
    <w:p>
      <w:pPr>
        <w:sectPr>
          <w:pgSz w:w="11900" w:h="16838" w:orient="portrait"/>
          <w:cols w:equalWidth="0" w:num="1">
            <w:col w:w="11420"/>
          </w:cols>
          <w:pgMar w:left="240" w:top="459" w:right="239" w:bottom="1440" w:gutter="0" w:footer="0" w:header="0"/>
        </w:sectPr>
      </w:pPr>
    </w:p>
    <w:bookmarkStart w:id="141" w:name="page142"/>
    <w:bookmarkEnd w:id="1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300355</wp:posOffset>
            </wp:positionV>
            <wp:extent cx="3533140" cy="462915"/>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3533140" cy="462915"/>
                    </a:xfrm>
                    <a:prstGeom prst="rect">
                      <a:avLst/>
                    </a:prstGeom>
                    <a:noFill/>
                  </pic:spPr>
                </pic:pic>
              </a:graphicData>
            </a:graphic>
          </wp:anchor>
        </w:drawing>
      </w:r>
    </w:p>
    <w:p>
      <w:pPr>
        <w:spacing w:after="0" w:line="200" w:lineRule="exact"/>
        <w:rPr>
          <w:sz w:val="20"/>
          <w:szCs w:val="20"/>
          <w:color w:val="auto"/>
        </w:rPr>
      </w:pP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419"/>
        </w:trPr>
        <w:tc>
          <w:tcPr>
            <w:tcW w:w="1220" w:type="dxa"/>
            <w:vAlign w:val="bottom"/>
            <w:shd w:val="clear" w:color="auto" w:fill="FF8B00"/>
          </w:tcPr>
          <w:p>
            <w:pPr>
              <w:spacing w:after="0"/>
              <w:rPr>
                <w:sz w:val="24"/>
                <w:szCs w:val="24"/>
                <w:color w:val="auto"/>
              </w:rPr>
            </w:pPr>
          </w:p>
        </w:tc>
        <w:tc>
          <w:tcPr>
            <w:tcW w:w="4360" w:type="dxa"/>
            <w:vAlign w:val="bottom"/>
            <w:shd w:val="clear" w:color="auto" w:fill="FF8B00"/>
          </w:tcPr>
          <w:p>
            <w:pPr>
              <w:spacing w:after="0"/>
              <w:rPr>
                <w:sz w:val="24"/>
                <w:szCs w:val="24"/>
                <w:color w:val="auto"/>
              </w:rPr>
            </w:pPr>
          </w:p>
        </w:tc>
      </w:tr>
      <w:tr>
        <w:trPr>
          <w:trHeight w:val="152"/>
        </w:trPr>
        <w:tc>
          <w:tcPr>
            <w:tcW w:w="1220" w:type="dxa"/>
            <w:vAlign w:val="bottom"/>
          </w:tcPr>
          <w:p>
            <w:pPr>
              <w:jc w:val="right"/>
              <w:ind w:right="726"/>
              <w:spacing w:after="0"/>
              <w:rPr>
                <w:sz w:val="20"/>
                <w:szCs w:val="20"/>
                <w:color w:val="auto"/>
              </w:rPr>
            </w:pPr>
            <w:r>
              <w:rPr>
                <w:rFonts w:ascii="Arial" w:cs="Arial" w:eastAsia="Arial" w:hAnsi="Arial"/>
                <w:sz w:val="11"/>
                <w:szCs w:val="11"/>
                <w:b w:val="1"/>
                <w:bCs w:val="1"/>
                <w:color w:val="333333"/>
              </w:rPr>
              <w:t>140</w:t>
            </w:r>
          </w:p>
        </w:tc>
        <w:tc>
          <w:tcPr>
            <w:tcW w:w="4360" w:type="dxa"/>
            <w:vAlign w:val="bottom"/>
          </w:tcPr>
          <w:p>
            <w:pPr>
              <w:ind w:left="780"/>
              <w:spacing w:after="0"/>
              <w:rPr>
                <w:sz w:val="20"/>
                <w:szCs w:val="20"/>
                <w:color w:val="auto"/>
              </w:rPr>
            </w:pPr>
            <w:r>
              <w:rPr>
                <w:rFonts w:ascii="Arial" w:cs="Arial" w:eastAsia="Arial" w:hAnsi="Arial"/>
                <w:sz w:val="13"/>
                <w:szCs w:val="13"/>
                <w:color w:val="333333"/>
              </w:rPr>
              <w:t>FINANCIAL STATEMENTS AND SUPPLEMENTS</w:t>
            </w:r>
          </w:p>
        </w:tc>
      </w:tr>
    </w:tbl>
    <w:p>
      <w:pPr>
        <w:spacing w:after="0" w:line="153" w:lineRule="exact"/>
        <w:rPr>
          <w:sz w:val="20"/>
          <w:szCs w:val="20"/>
          <w:color w:val="auto"/>
        </w:rPr>
      </w:pPr>
    </w:p>
    <w:p>
      <w:pPr>
        <w:jc w:val="right"/>
        <w:spacing w:after="0"/>
        <w:tabs>
          <w:tab w:leader="none" w:pos="2380" w:val="left"/>
        </w:tabs>
        <w:rPr>
          <w:sz w:val="20"/>
          <w:szCs w:val="20"/>
          <w:color w:val="auto"/>
        </w:rPr>
      </w:pPr>
      <w:r>
        <w:rPr>
          <w:rFonts w:ascii="Arial" w:cs="Arial" w:eastAsia="Arial" w:hAnsi="Arial"/>
          <w:sz w:val="11"/>
          <w:szCs w:val="11"/>
          <w:color w:val="auto"/>
        </w:rPr>
        <w:t>CONSOLIDATED FINANCIAL STATEMENTS</w:t>
      </w:r>
      <w:r>
        <w:rPr>
          <w:sz w:val="20"/>
          <w:szCs w:val="20"/>
          <w:color w:val="auto"/>
        </w:rPr>
        <w:tab/>
      </w:r>
      <w:r>
        <w:rPr>
          <w:rFonts w:ascii="Arial" w:cs="Arial" w:eastAsia="Arial" w:hAnsi="Arial"/>
          <w:sz w:val="10"/>
          <w:szCs w:val="10"/>
          <w:color w:val="auto"/>
        </w:rPr>
        <w:t>SHELL ANNUAL REPORT AND FORM 20-F 2014</w:t>
      </w:r>
    </w:p>
    <w:p>
      <w:pPr>
        <w:spacing w:after="0"/>
        <w:rPr>
          <w:sz w:val="20"/>
          <w:szCs w:val="20"/>
          <w:color w:val="auto"/>
        </w:rPr>
      </w:pPr>
      <w:r>
        <w:rPr>
          <w:rFonts w:ascii="Arial" w:cs="Arial" w:eastAsia="Arial" w:hAnsi="Arial"/>
          <w:sz w:val="18"/>
          <w:szCs w:val="18"/>
          <w:color w:val="auto"/>
        </w:rPr>
        <w:t>25 LEGAL PROCEEDINGS AND OTHER CONTINGENCIES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Pesticide litigation</w:t>
      </w:r>
    </w:p>
    <w:p>
      <w:pPr>
        <w:spacing w:after="0" w:line="1" w:lineRule="exact"/>
        <w:rPr>
          <w:sz w:val="20"/>
          <w:szCs w:val="20"/>
          <w:color w:val="auto"/>
        </w:rPr>
      </w:pPr>
    </w:p>
    <w:p>
      <w:pPr>
        <w:ind w:right="100"/>
        <w:spacing w:after="0" w:line="245" w:lineRule="auto"/>
        <w:rPr>
          <w:sz w:val="20"/>
          <w:szCs w:val="20"/>
          <w:color w:val="auto"/>
        </w:rPr>
      </w:pPr>
      <w:r>
        <w:rPr>
          <w:rFonts w:ascii="Arial" w:cs="Arial" w:eastAsia="Arial" w:hAnsi="Arial"/>
          <w:sz w:val="14"/>
          <w:szCs w:val="14"/>
          <w:color w:val="auto"/>
        </w:rPr>
        <w:t>Shell Oil Company (SOC), along with other agricultural chemical pesticide manufacturers and distributors, has been sued by public and quasi-public water purveyors alleging responsibility for groundwater contamination caused by applications of chemical pesticides. Most of these law suits assert various theories of strict liability and seek to recover actual damages, including water well treatment and remediation costs. All of the suits assert claims for punitive damages. There are approximately 30 such cases pending. Based on the claims asserted and SOC’s track record with regard to amounts paid to resolve varying claims, management does not believe the outcome of these matters will have a material impact on Shell, however, no assurance can be provided.</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color w:val="auto"/>
        </w:rPr>
        <w:t>Nigerian litigation</w:t>
      </w:r>
    </w:p>
    <w:p>
      <w:pPr>
        <w:spacing w:after="0" w:line="1" w:lineRule="exact"/>
        <w:rPr>
          <w:sz w:val="20"/>
          <w:szCs w:val="20"/>
          <w:color w:val="auto"/>
        </w:rPr>
      </w:pPr>
    </w:p>
    <w:p>
      <w:pPr>
        <w:ind w:right="60"/>
        <w:spacing w:after="0" w:line="247" w:lineRule="auto"/>
        <w:rPr>
          <w:sz w:val="20"/>
          <w:szCs w:val="20"/>
          <w:color w:val="auto"/>
        </w:rPr>
      </w:pPr>
      <w:r>
        <w:rPr>
          <w:rFonts w:ascii="Arial" w:cs="Arial" w:eastAsia="Arial" w:hAnsi="Arial"/>
          <w:sz w:val="14"/>
          <w:szCs w:val="14"/>
          <w:color w:val="auto"/>
        </w:rPr>
        <w:t>Shell subsidiaries and associates operating in Nigeria are parties to various environmental and contractual disputes. These disputes are at different stages in litigation, including at the appellate stage, where judgements have been rendered against Shell. If taken at face value, the aggregate amount of these judgements would be material however, the management of Shell believes that the outcomes of these matters will ultimately be resolved in a manner favourable to Shell. While these matters are not expected to have a material impact on Shell, no assurance can be provided.</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color w:val="auto"/>
        </w:rPr>
        <w:t>Other</w:t>
      </w:r>
    </w:p>
    <w:p>
      <w:pPr>
        <w:spacing w:after="0" w:line="1" w:lineRule="exact"/>
        <w:rPr>
          <w:sz w:val="20"/>
          <w:szCs w:val="20"/>
          <w:color w:val="auto"/>
        </w:rPr>
      </w:pPr>
    </w:p>
    <w:p>
      <w:pPr>
        <w:ind w:right="80"/>
        <w:spacing w:after="0" w:line="245" w:lineRule="auto"/>
        <w:rPr>
          <w:sz w:val="20"/>
          <w:szCs w:val="20"/>
          <w:color w:val="auto"/>
        </w:rPr>
      </w:pPr>
      <w:r>
        <w:rPr>
          <w:rFonts w:ascii="Arial" w:cs="Arial" w:eastAsia="Arial" w:hAnsi="Arial"/>
          <w:sz w:val="14"/>
          <w:szCs w:val="14"/>
          <w:color w:val="auto"/>
        </w:rPr>
        <w:t>In the ordinary course of business, Shell subsidiaries are subject to a number of other loss contingencies arising from litigation and claims brought by governmental and private parties. The operations and earnings of Shell subsidiaries continue, from time to time, to be affected to varying degrees by political, legislative, fiscal and regulatory developments, including those relating to the protection of the environment and indigenous groups in the countries in which they operate. The industries in which Shell subsidiaries are engaged are also subject to physical risks of various types. The nature and frequency of these developments and events, as well as their effect on future operations and earnings, are unpredictable. While these matters are not expected to have a material impact on Shell, no assurance can be provided.</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color w:val="auto"/>
        </w:rPr>
        <w:t>26 EMPLOYEES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6960" w:type="dxa"/>
            <w:vAlign w:val="bottom"/>
            <w:shd w:val="clear" w:color="auto" w:fill="333333"/>
          </w:tcPr>
          <w:p>
            <w:pPr>
              <w:ind w:left="80"/>
              <w:spacing w:after="0"/>
              <w:rPr>
                <w:sz w:val="20"/>
                <w:szCs w:val="20"/>
                <w:color w:val="auto"/>
              </w:rPr>
            </w:pPr>
            <w:r>
              <w:rPr>
                <w:rFonts w:ascii="Arial" w:cs="Arial" w:eastAsia="Arial" w:hAnsi="Arial"/>
                <w:sz w:val="15"/>
                <w:szCs w:val="15"/>
                <w:b w:val="1"/>
                <w:bCs w:val="1"/>
                <w:color w:val="FFFFFF"/>
              </w:rPr>
              <w:t>EMPLOYEE EXPENSE</w:t>
            </w:r>
          </w:p>
        </w:tc>
        <w:tc>
          <w:tcPr>
            <w:tcW w:w="1440" w:type="dxa"/>
            <w:vAlign w:val="bottom"/>
            <w:shd w:val="clear" w:color="auto" w:fill="333333"/>
          </w:tcPr>
          <w:p>
            <w:pPr>
              <w:spacing w:after="0"/>
              <w:rPr>
                <w:sz w:val="14"/>
                <w:szCs w:val="14"/>
                <w:color w:val="auto"/>
              </w:rPr>
            </w:pPr>
          </w:p>
        </w:tc>
        <w:tc>
          <w:tcPr>
            <w:tcW w:w="1800" w:type="dxa"/>
            <w:vAlign w:val="bottom"/>
            <w:shd w:val="clear" w:color="auto" w:fill="333333"/>
          </w:tcPr>
          <w:p>
            <w:pPr>
              <w:spacing w:after="0"/>
              <w:rPr>
                <w:sz w:val="14"/>
                <w:szCs w:val="14"/>
                <w:color w:val="auto"/>
              </w:rPr>
            </w:pPr>
          </w:p>
        </w:tc>
        <w:tc>
          <w:tcPr>
            <w:tcW w:w="1220" w:type="dxa"/>
            <w:vAlign w:val="bottom"/>
            <w:shd w:val="clear" w:color="auto" w:fill="333333"/>
          </w:tcPr>
          <w:p>
            <w:pPr>
              <w:jc w:val="right"/>
              <w:ind w:right="29"/>
              <w:spacing w:after="0"/>
              <w:rPr>
                <w:sz w:val="20"/>
                <w:szCs w:val="20"/>
                <w:color w:val="auto"/>
              </w:rPr>
            </w:pPr>
            <w:r>
              <w:rPr>
                <w:rFonts w:ascii="Arial" w:cs="Arial" w:eastAsia="Arial" w:hAnsi="Arial"/>
                <w:sz w:val="15"/>
                <w:szCs w:val="15"/>
                <w:color w:val="FFFFFF"/>
              </w:rPr>
              <w:t>$ MILLION</w:t>
            </w:r>
          </w:p>
        </w:tc>
      </w:tr>
      <w:tr>
        <w:trPr>
          <w:trHeight w:val="149"/>
        </w:trPr>
        <w:tc>
          <w:tcPr>
            <w:tcW w:w="6960" w:type="dxa"/>
            <w:vAlign w:val="bottom"/>
            <w:tcBorders>
              <w:bottom w:val="single" w:sz="8" w:color="auto"/>
            </w:tcBorders>
          </w:tcPr>
          <w:p>
            <w:pPr>
              <w:spacing w:after="0"/>
              <w:rPr>
                <w:sz w:val="12"/>
                <w:szCs w:val="12"/>
                <w:color w:val="auto"/>
              </w:rPr>
            </w:pPr>
          </w:p>
        </w:tc>
        <w:tc>
          <w:tcPr>
            <w:tcW w:w="1440" w:type="dxa"/>
            <w:vAlign w:val="bottom"/>
            <w:tcBorders>
              <w:bottom w:val="single" w:sz="8" w:color="auto"/>
            </w:tcBorders>
            <w:shd w:val="clear" w:color="auto" w:fill="D8D8D8"/>
          </w:tcPr>
          <w:p>
            <w:pPr>
              <w:jc w:val="right"/>
              <w:ind w:right="250"/>
              <w:spacing w:after="0"/>
              <w:rPr>
                <w:sz w:val="20"/>
                <w:szCs w:val="20"/>
                <w:color w:val="auto"/>
              </w:rPr>
            </w:pPr>
            <w:r>
              <w:rPr>
                <w:rFonts w:ascii="Arial" w:cs="Arial" w:eastAsia="Arial" w:hAnsi="Arial"/>
                <w:sz w:val="13"/>
                <w:szCs w:val="13"/>
                <w:color w:val="auto"/>
              </w:rPr>
              <w:t>2014</w:t>
            </w:r>
          </w:p>
        </w:tc>
        <w:tc>
          <w:tcPr>
            <w:tcW w:w="1800" w:type="dxa"/>
            <w:vAlign w:val="bottom"/>
            <w:tcBorders>
              <w:bottom w:val="single" w:sz="8" w:color="auto"/>
            </w:tcBorders>
          </w:tcPr>
          <w:p>
            <w:pPr>
              <w:jc w:val="right"/>
              <w:ind w:right="270"/>
              <w:spacing w:after="0"/>
              <w:rPr>
                <w:sz w:val="20"/>
                <w:szCs w:val="20"/>
                <w:color w:val="auto"/>
              </w:rPr>
            </w:pPr>
            <w:r>
              <w:rPr>
                <w:rFonts w:ascii="Arial" w:cs="Arial" w:eastAsia="Arial" w:hAnsi="Arial"/>
                <w:sz w:val="13"/>
                <w:szCs w:val="13"/>
                <w:color w:val="auto"/>
              </w:rPr>
              <w:t>2013</w:t>
            </w:r>
          </w:p>
        </w:tc>
        <w:tc>
          <w:tcPr>
            <w:tcW w:w="1220" w:type="dxa"/>
            <w:vAlign w:val="bottom"/>
            <w:tcBorders>
              <w:bottom w:val="single" w:sz="8" w:color="auto"/>
            </w:tcBorders>
          </w:tcPr>
          <w:p>
            <w:pPr>
              <w:jc w:val="right"/>
              <w:ind w:right="369"/>
              <w:spacing w:after="0"/>
              <w:rPr>
                <w:sz w:val="20"/>
                <w:szCs w:val="20"/>
                <w:color w:val="auto"/>
              </w:rPr>
            </w:pPr>
            <w:r>
              <w:rPr>
                <w:rFonts w:ascii="Arial" w:cs="Arial" w:eastAsia="Arial" w:hAnsi="Arial"/>
                <w:sz w:val="13"/>
                <w:szCs w:val="13"/>
                <w:color w:val="auto"/>
              </w:rPr>
              <w:t>2012</w:t>
            </w:r>
          </w:p>
        </w:tc>
      </w:tr>
      <w:tr>
        <w:trPr>
          <w:trHeight w:val="156"/>
        </w:trPr>
        <w:tc>
          <w:tcPr>
            <w:tcW w:w="6960" w:type="dxa"/>
            <w:vAlign w:val="bottom"/>
          </w:tcPr>
          <w:p>
            <w:pPr>
              <w:spacing w:after="0" w:line="155" w:lineRule="exact"/>
              <w:rPr>
                <w:sz w:val="20"/>
                <w:szCs w:val="20"/>
                <w:color w:val="auto"/>
              </w:rPr>
            </w:pPr>
            <w:r>
              <w:rPr>
                <w:rFonts w:ascii="Arial" w:cs="Arial" w:eastAsia="Arial" w:hAnsi="Arial"/>
                <w:sz w:val="14"/>
                <w:szCs w:val="14"/>
                <w:color w:val="auto"/>
              </w:rPr>
              <w:t>Remuneration</w:t>
            </w:r>
          </w:p>
        </w:tc>
        <w:tc>
          <w:tcPr>
            <w:tcW w:w="1440" w:type="dxa"/>
            <w:vAlign w:val="bottom"/>
            <w:shd w:val="clear" w:color="auto" w:fill="D8D8D8"/>
          </w:tcPr>
          <w:p>
            <w:pPr>
              <w:jc w:val="right"/>
              <w:ind w:right="250"/>
              <w:spacing w:after="0" w:line="155" w:lineRule="exact"/>
              <w:rPr>
                <w:sz w:val="20"/>
                <w:szCs w:val="20"/>
                <w:color w:val="auto"/>
              </w:rPr>
            </w:pPr>
            <w:r>
              <w:rPr>
                <w:rFonts w:ascii="Arial" w:cs="Arial" w:eastAsia="Arial" w:hAnsi="Arial"/>
                <w:sz w:val="14"/>
                <w:szCs w:val="14"/>
                <w:color w:val="auto"/>
              </w:rPr>
              <w:t>13,092</w:t>
            </w:r>
          </w:p>
        </w:tc>
        <w:tc>
          <w:tcPr>
            <w:tcW w:w="1800" w:type="dxa"/>
            <w:vAlign w:val="bottom"/>
          </w:tcPr>
          <w:p>
            <w:pPr>
              <w:jc w:val="right"/>
              <w:ind w:right="270"/>
              <w:spacing w:after="0" w:line="155" w:lineRule="exact"/>
              <w:rPr>
                <w:sz w:val="20"/>
                <w:szCs w:val="20"/>
                <w:color w:val="auto"/>
              </w:rPr>
            </w:pPr>
            <w:r>
              <w:rPr>
                <w:rFonts w:ascii="Arial" w:cs="Arial" w:eastAsia="Arial" w:hAnsi="Arial"/>
                <w:sz w:val="14"/>
                <w:szCs w:val="14"/>
                <w:color w:val="auto"/>
              </w:rPr>
              <w:t>12,047</w:t>
            </w:r>
          </w:p>
        </w:tc>
        <w:tc>
          <w:tcPr>
            <w:tcW w:w="1220" w:type="dxa"/>
            <w:vAlign w:val="bottom"/>
          </w:tcPr>
          <w:p>
            <w:pPr>
              <w:jc w:val="right"/>
              <w:ind w:right="369"/>
              <w:spacing w:after="0" w:line="155" w:lineRule="exact"/>
              <w:rPr>
                <w:sz w:val="20"/>
                <w:szCs w:val="20"/>
                <w:color w:val="auto"/>
              </w:rPr>
            </w:pPr>
            <w:r>
              <w:rPr>
                <w:rFonts w:ascii="Arial" w:cs="Arial" w:eastAsia="Arial" w:hAnsi="Arial"/>
                <w:sz w:val="14"/>
                <w:szCs w:val="14"/>
                <w:color w:val="auto"/>
              </w:rPr>
              <w:t>11,133</w:t>
            </w:r>
          </w:p>
        </w:tc>
      </w:tr>
      <w:tr>
        <w:trPr>
          <w:trHeight w:val="162"/>
        </w:trPr>
        <w:tc>
          <w:tcPr>
            <w:tcW w:w="6960" w:type="dxa"/>
            <w:vAlign w:val="bottom"/>
          </w:tcPr>
          <w:p>
            <w:pPr>
              <w:spacing w:after="0"/>
              <w:rPr>
                <w:sz w:val="20"/>
                <w:szCs w:val="20"/>
                <w:color w:val="auto"/>
              </w:rPr>
            </w:pPr>
            <w:r>
              <w:rPr>
                <w:rFonts w:ascii="Arial" w:cs="Arial" w:eastAsia="Arial" w:hAnsi="Arial"/>
                <w:sz w:val="14"/>
                <w:szCs w:val="14"/>
                <w:color w:val="auto"/>
              </w:rPr>
              <w:t>Social security contributions</w:t>
            </w:r>
          </w:p>
        </w:tc>
        <w:tc>
          <w:tcPr>
            <w:tcW w:w="1440" w:type="dxa"/>
            <w:vAlign w:val="bottom"/>
            <w:shd w:val="clear" w:color="auto" w:fill="D8D8D8"/>
          </w:tcPr>
          <w:p>
            <w:pPr>
              <w:jc w:val="right"/>
              <w:ind w:right="250"/>
              <w:spacing w:after="0"/>
              <w:rPr>
                <w:sz w:val="20"/>
                <w:szCs w:val="20"/>
                <w:color w:val="auto"/>
              </w:rPr>
            </w:pPr>
            <w:r>
              <w:rPr>
                <w:rFonts w:ascii="Arial" w:cs="Arial" w:eastAsia="Arial" w:hAnsi="Arial"/>
                <w:sz w:val="14"/>
                <w:szCs w:val="14"/>
                <w:color w:val="auto"/>
              </w:rPr>
              <w:t>944</w:t>
            </w:r>
          </w:p>
        </w:tc>
        <w:tc>
          <w:tcPr>
            <w:tcW w:w="1800" w:type="dxa"/>
            <w:vAlign w:val="bottom"/>
          </w:tcPr>
          <w:p>
            <w:pPr>
              <w:jc w:val="right"/>
              <w:ind w:right="270"/>
              <w:spacing w:after="0"/>
              <w:rPr>
                <w:sz w:val="20"/>
                <w:szCs w:val="20"/>
                <w:color w:val="auto"/>
              </w:rPr>
            </w:pPr>
            <w:r>
              <w:rPr>
                <w:rFonts w:ascii="Arial" w:cs="Arial" w:eastAsia="Arial" w:hAnsi="Arial"/>
                <w:sz w:val="14"/>
                <w:szCs w:val="14"/>
                <w:color w:val="auto"/>
              </w:rPr>
              <w:t>907</w:t>
            </w:r>
          </w:p>
        </w:tc>
        <w:tc>
          <w:tcPr>
            <w:tcW w:w="1220" w:type="dxa"/>
            <w:vAlign w:val="bottom"/>
          </w:tcPr>
          <w:p>
            <w:pPr>
              <w:jc w:val="right"/>
              <w:ind w:right="369"/>
              <w:spacing w:after="0"/>
              <w:rPr>
                <w:sz w:val="20"/>
                <w:szCs w:val="20"/>
                <w:color w:val="auto"/>
              </w:rPr>
            </w:pPr>
            <w:r>
              <w:rPr>
                <w:rFonts w:ascii="Arial" w:cs="Arial" w:eastAsia="Arial" w:hAnsi="Arial"/>
                <w:sz w:val="14"/>
                <w:szCs w:val="14"/>
                <w:color w:val="auto"/>
              </w:rPr>
              <w:t>789</w:t>
            </w:r>
          </w:p>
        </w:tc>
      </w:tr>
      <w:tr>
        <w:trPr>
          <w:trHeight w:val="167"/>
        </w:trPr>
        <w:tc>
          <w:tcPr>
            <w:tcW w:w="6960" w:type="dxa"/>
            <w:vAlign w:val="bottom"/>
          </w:tcPr>
          <w:p>
            <w:pPr>
              <w:spacing w:after="0"/>
              <w:rPr>
                <w:sz w:val="20"/>
                <w:szCs w:val="20"/>
                <w:color w:val="auto"/>
              </w:rPr>
            </w:pPr>
            <w:r>
              <w:rPr>
                <w:rFonts w:ascii="Arial" w:cs="Arial" w:eastAsia="Arial" w:hAnsi="Arial"/>
                <w:sz w:val="14"/>
                <w:szCs w:val="14"/>
                <w:color w:val="auto"/>
              </w:rPr>
              <w:t>Retirement benefits (see Note 17)</w:t>
            </w:r>
          </w:p>
        </w:tc>
        <w:tc>
          <w:tcPr>
            <w:tcW w:w="1440" w:type="dxa"/>
            <w:vAlign w:val="bottom"/>
            <w:shd w:val="clear" w:color="auto" w:fill="D8D8D8"/>
          </w:tcPr>
          <w:p>
            <w:pPr>
              <w:jc w:val="right"/>
              <w:ind w:right="250"/>
              <w:spacing w:after="0"/>
              <w:rPr>
                <w:sz w:val="20"/>
                <w:szCs w:val="20"/>
                <w:color w:val="auto"/>
              </w:rPr>
            </w:pPr>
            <w:r>
              <w:rPr>
                <w:rFonts w:ascii="Arial" w:cs="Arial" w:eastAsia="Arial" w:hAnsi="Arial"/>
                <w:sz w:val="14"/>
                <w:szCs w:val="14"/>
                <w:color w:val="auto"/>
              </w:rPr>
              <w:t>1,516</w:t>
            </w:r>
          </w:p>
        </w:tc>
        <w:tc>
          <w:tcPr>
            <w:tcW w:w="1800" w:type="dxa"/>
            <w:vAlign w:val="bottom"/>
          </w:tcPr>
          <w:p>
            <w:pPr>
              <w:jc w:val="right"/>
              <w:ind w:right="270"/>
              <w:spacing w:after="0"/>
              <w:rPr>
                <w:sz w:val="20"/>
                <w:szCs w:val="20"/>
                <w:color w:val="auto"/>
              </w:rPr>
            </w:pPr>
            <w:r>
              <w:rPr>
                <w:rFonts w:ascii="Arial" w:cs="Arial" w:eastAsia="Arial" w:hAnsi="Arial"/>
                <w:sz w:val="14"/>
                <w:szCs w:val="14"/>
                <w:color w:val="auto"/>
              </w:rPr>
              <w:t>2,849</w:t>
            </w:r>
          </w:p>
        </w:tc>
        <w:tc>
          <w:tcPr>
            <w:tcW w:w="1220" w:type="dxa"/>
            <w:vAlign w:val="bottom"/>
          </w:tcPr>
          <w:p>
            <w:pPr>
              <w:jc w:val="right"/>
              <w:ind w:right="369"/>
              <w:spacing w:after="0"/>
              <w:rPr>
                <w:sz w:val="20"/>
                <w:szCs w:val="20"/>
                <w:color w:val="auto"/>
              </w:rPr>
            </w:pPr>
            <w:r>
              <w:rPr>
                <w:rFonts w:ascii="Arial" w:cs="Arial" w:eastAsia="Arial" w:hAnsi="Arial"/>
                <w:sz w:val="14"/>
                <w:szCs w:val="14"/>
                <w:color w:val="auto"/>
              </w:rPr>
              <w:t>2,279</w:t>
            </w:r>
          </w:p>
        </w:tc>
      </w:tr>
      <w:tr>
        <w:trPr>
          <w:trHeight w:val="157"/>
        </w:trPr>
        <w:tc>
          <w:tcPr>
            <w:tcW w:w="6960" w:type="dxa"/>
            <w:vAlign w:val="bottom"/>
            <w:tcBorders>
              <w:bottom w:val="single" w:sz="8" w:color="auto"/>
            </w:tcBorders>
          </w:tcPr>
          <w:p>
            <w:pPr>
              <w:spacing w:after="0" w:line="157" w:lineRule="exact"/>
              <w:rPr>
                <w:sz w:val="20"/>
                <w:szCs w:val="20"/>
                <w:color w:val="auto"/>
              </w:rPr>
            </w:pPr>
            <w:r>
              <w:rPr>
                <w:rFonts w:ascii="Arial" w:cs="Arial" w:eastAsia="Arial" w:hAnsi="Arial"/>
                <w:sz w:val="14"/>
                <w:szCs w:val="14"/>
                <w:color w:val="auto"/>
              </w:rPr>
              <w:t>Share-based compensation (see Note 21)</w:t>
            </w:r>
          </w:p>
        </w:tc>
        <w:tc>
          <w:tcPr>
            <w:tcW w:w="1440" w:type="dxa"/>
            <w:vAlign w:val="bottom"/>
            <w:tcBorders>
              <w:bottom w:val="single" w:sz="8" w:color="auto"/>
            </w:tcBorders>
            <w:shd w:val="clear" w:color="auto" w:fill="D8D8D8"/>
          </w:tcPr>
          <w:p>
            <w:pPr>
              <w:jc w:val="right"/>
              <w:ind w:right="250"/>
              <w:spacing w:after="0" w:line="157" w:lineRule="exact"/>
              <w:rPr>
                <w:sz w:val="20"/>
                <w:szCs w:val="20"/>
                <w:color w:val="auto"/>
              </w:rPr>
            </w:pPr>
            <w:r>
              <w:rPr>
                <w:rFonts w:ascii="Arial" w:cs="Arial" w:eastAsia="Arial" w:hAnsi="Arial"/>
                <w:sz w:val="14"/>
                <w:szCs w:val="14"/>
                <w:color w:val="auto"/>
              </w:rPr>
              <w:t>804</w:t>
            </w:r>
          </w:p>
        </w:tc>
        <w:tc>
          <w:tcPr>
            <w:tcW w:w="1800" w:type="dxa"/>
            <w:vAlign w:val="bottom"/>
            <w:tcBorders>
              <w:bottom w:val="single" w:sz="8" w:color="auto"/>
            </w:tcBorders>
          </w:tcPr>
          <w:p>
            <w:pPr>
              <w:jc w:val="right"/>
              <w:ind w:right="270"/>
              <w:spacing w:after="0" w:line="157" w:lineRule="exact"/>
              <w:rPr>
                <w:sz w:val="20"/>
                <w:szCs w:val="20"/>
                <w:color w:val="auto"/>
              </w:rPr>
            </w:pPr>
            <w:r>
              <w:rPr>
                <w:rFonts w:ascii="Arial" w:cs="Arial" w:eastAsia="Arial" w:hAnsi="Arial"/>
                <w:sz w:val="14"/>
                <w:szCs w:val="14"/>
                <w:color w:val="auto"/>
              </w:rPr>
              <w:t>572</w:t>
            </w:r>
          </w:p>
        </w:tc>
        <w:tc>
          <w:tcPr>
            <w:tcW w:w="1220" w:type="dxa"/>
            <w:vAlign w:val="bottom"/>
            <w:tcBorders>
              <w:bottom w:val="single" w:sz="8" w:color="auto"/>
            </w:tcBorders>
          </w:tcPr>
          <w:p>
            <w:pPr>
              <w:jc w:val="right"/>
              <w:ind w:right="369"/>
              <w:spacing w:after="0" w:line="157" w:lineRule="exact"/>
              <w:rPr>
                <w:sz w:val="20"/>
                <w:szCs w:val="20"/>
                <w:color w:val="auto"/>
              </w:rPr>
            </w:pPr>
            <w:r>
              <w:rPr>
                <w:rFonts w:ascii="Arial" w:cs="Arial" w:eastAsia="Arial" w:hAnsi="Arial"/>
                <w:sz w:val="14"/>
                <w:szCs w:val="14"/>
                <w:color w:val="auto"/>
              </w:rPr>
              <w:t>909</w:t>
            </w:r>
          </w:p>
        </w:tc>
      </w:tr>
      <w:tr>
        <w:trPr>
          <w:trHeight w:val="156"/>
        </w:trPr>
        <w:tc>
          <w:tcPr>
            <w:tcW w:w="6960" w:type="dxa"/>
            <w:vAlign w:val="bottom"/>
            <w:tcBorders>
              <w:bottom w:val="single" w:sz="8" w:color="auto"/>
            </w:tcBorders>
          </w:tcPr>
          <w:p>
            <w:pPr>
              <w:spacing w:after="0" w:line="155" w:lineRule="exact"/>
              <w:rPr>
                <w:sz w:val="20"/>
                <w:szCs w:val="20"/>
                <w:color w:val="auto"/>
              </w:rPr>
            </w:pPr>
            <w:r>
              <w:rPr>
                <w:rFonts w:ascii="Arial" w:cs="Arial" w:eastAsia="Arial" w:hAnsi="Arial"/>
                <w:sz w:val="14"/>
                <w:szCs w:val="14"/>
                <w:color w:val="auto"/>
              </w:rPr>
              <w:t>Total</w:t>
            </w:r>
          </w:p>
        </w:tc>
        <w:tc>
          <w:tcPr>
            <w:tcW w:w="1440" w:type="dxa"/>
            <w:vAlign w:val="bottom"/>
            <w:tcBorders>
              <w:bottom w:val="single" w:sz="8" w:color="auto"/>
            </w:tcBorders>
            <w:shd w:val="clear" w:color="auto" w:fill="D8D8D8"/>
          </w:tcPr>
          <w:p>
            <w:pPr>
              <w:jc w:val="right"/>
              <w:ind w:right="250"/>
              <w:spacing w:after="0" w:line="155" w:lineRule="exact"/>
              <w:rPr>
                <w:sz w:val="20"/>
                <w:szCs w:val="20"/>
                <w:color w:val="auto"/>
              </w:rPr>
            </w:pPr>
            <w:r>
              <w:rPr>
                <w:rFonts w:ascii="Arial" w:cs="Arial" w:eastAsia="Arial" w:hAnsi="Arial"/>
                <w:sz w:val="14"/>
                <w:szCs w:val="14"/>
                <w:color w:val="auto"/>
              </w:rPr>
              <w:t>16,356</w:t>
            </w:r>
          </w:p>
        </w:tc>
        <w:tc>
          <w:tcPr>
            <w:tcW w:w="1800" w:type="dxa"/>
            <w:vAlign w:val="bottom"/>
            <w:tcBorders>
              <w:bottom w:val="single" w:sz="8" w:color="auto"/>
            </w:tcBorders>
          </w:tcPr>
          <w:p>
            <w:pPr>
              <w:jc w:val="right"/>
              <w:ind w:right="270"/>
              <w:spacing w:after="0" w:line="155" w:lineRule="exact"/>
              <w:rPr>
                <w:sz w:val="20"/>
                <w:szCs w:val="20"/>
                <w:color w:val="auto"/>
              </w:rPr>
            </w:pPr>
            <w:r>
              <w:rPr>
                <w:rFonts w:ascii="Arial" w:cs="Arial" w:eastAsia="Arial" w:hAnsi="Arial"/>
                <w:sz w:val="14"/>
                <w:szCs w:val="14"/>
                <w:color w:val="auto"/>
              </w:rPr>
              <w:t>16,375</w:t>
            </w:r>
          </w:p>
        </w:tc>
        <w:tc>
          <w:tcPr>
            <w:tcW w:w="1220" w:type="dxa"/>
            <w:vAlign w:val="bottom"/>
            <w:tcBorders>
              <w:bottom w:val="single" w:sz="8" w:color="auto"/>
            </w:tcBorders>
          </w:tcPr>
          <w:p>
            <w:pPr>
              <w:jc w:val="right"/>
              <w:ind w:right="369"/>
              <w:spacing w:after="0" w:line="155" w:lineRule="exact"/>
              <w:rPr>
                <w:sz w:val="20"/>
                <w:szCs w:val="20"/>
                <w:color w:val="auto"/>
              </w:rPr>
            </w:pPr>
            <w:r>
              <w:rPr>
                <w:rFonts w:ascii="Arial" w:cs="Arial" w:eastAsia="Arial" w:hAnsi="Arial"/>
                <w:sz w:val="14"/>
                <w:szCs w:val="14"/>
                <w:color w:val="auto"/>
              </w:rPr>
              <w:t>15,110</w:t>
            </w:r>
          </w:p>
        </w:tc>
      </w:tr>
    </w:tbl>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6960" w:type="dxa"/>
            <w:vAlign w:val="bottom"/>
            <w:shd w:val="clear" w:color="auto" w:fill="333333"/>
          </w:tcPr>
          <w:p>
            <w:pPr>
              <w:ind w:left="80"/>
              <w:spacing w:after="0"/>
              <w:rPr>
                <w:sz w:val="20"/>
                <w:szCs w:val="20"/>
                <w:color w:val="auto"/>
              </w:rPr>
            </w:pPr>
            <w:r>
              <w:rPr>
                <w:rFonts w:ascii="Arial" w:cs="Arial" w:eastAsia="Arial" w:hAnsi="Arial"/>
                <w:sz w:val="15"/>
                <w:szCs w:val="15"/>
                <w:b w:val="1"/>
                <w:bCs w:val="1"/>
                <w:color w:val="FFFFFF"/>
              </w:rPr>
              <w:t>AVERAGE EMPLOYEE NUMBERS</w:t>
            </w:r>
          </w:p>
        </w:tc>
        <w:tc>
          <w:tcPr>
            <w:tcW w:w="1440" w:type="dxa"/>
            <w:vAlign w:val="bottom"/>
            <w:shd w:val="clear" w:color="auto" w:fill="333333"/>
          </w:tcPr>
          <w:p>
            <w:pPr>
              <w:spacing w:after="0"/>
              <w:rPr>
                <w:sz w:val="15"/>
                <w:szCs w:val="15"/>
                <w:color w:val="auto"/>
              </w:rPr>
            </w:pPr>
          </w:p>
        </w:tc>
        <w:tc>
          <w:tcPr>
            <w:tcW w:w="1760" w:type="dxa"/>
            <w:vAlign w:val="bottom"/>
            <w:shd w:val="clear" w:color="auto" w:fill="333333"/>
          </w:tcPr>
          <w:p>
            <w:pPr>
              <w:spacing w:after="0"/>
              <w:rPr>
                <w:sz w:val="15"/>
                <w:szCs w:val="15"/>
                <w:color w:val="auto"/>
              </w:rPr>
            </w:pPr>
          </w:p>
        </w:tc>
        <w:tc>
          <w:tcPr>
            <w:tcW w:w="1260" w:type="dxa"/>
            <w:vAlign w:val="bottom"/>
            <w:shd w:val="clear" w:color="auto" w:fill="333333"/>
          </w:tcPr>
          <w:p>
            <w:pPr>
              <w:jc w:val="right"/>
              <w:ind w:right="29"/>
              <w:spacing w:after="0"/>
              <w:rPr>
                <w:sz w:val="20"/>
                <w:szCs w:val="20"/>
                <w:color w:val="auto"/>
              </w:rPr>
            </w:pPr>
            <w:r>
              <w:rPr>
                <w:rFonts w:ascii="Arial" w:cs="Arial" w:eastAsia="Arial" w:hAnsi="Arial"/>
                <w:sz w:val="15"/>
                <w:szCs w:val="15"/>
                <w:color w:val="FFFFFF"/>
              </w:rPr>
              <w:t>THOUSAND</w:t>
            </w:r>
          </w:p>
        </w:tc>
      </w:tr>
      <w:tr>
        <w:trPr>
          <w:trHeight w:val="149"/>
        </w:trPr>
        <w:tc>
          <w:tcPr>
            <w:tcW w:w="6960" w:type="dxa"/>
            <w:vAlign w:val="bottom"/>
            <w:tcBorders>
              <w:bottom w:val="single" w:sz="8" w:color="auto"/>
            </w:tcBorders>
          </w:tcPr>
          <w:p>
            <w:pPr>
              <w:spacing w:after="0"/>
              <w:rPr>
                <w:sz w:val="12"/>
                <w:szCs w:val="12"/>
                <w:color w:val="auto"/>
              </w:rPr>
            </w:pPr>
          </w:p>
        </w:tc>
        <w:tc>
          <w:tcPr>
            <w:tcW w:w="1440" w:type="dxa"/>
            <w:vAlign w:val="bottom"/>
            <w:tcBorders>
              <w:bottom w:val="single" w:sz="8" w:color="auto"/>
            </w:tcBorders>
            <w:shd w:val="clear" w:color="auto" w:fill="D8D8D8"/>
          </w:tcPr>
          <w:p>
            <w:pPr>
              <w:jc w:val="right"/>
              <w:ind w:right="370"/>
              <w:spacing w:after="0"/>
              <w:rPr>
                <w:sz w:val="20"/>
                <w:szCs w:val="20"/>
                <w:color w:val="auto"/>
              </w:rPr>
            </w:pPr>
            <w:r>
              <w:rPr>
                <w:rFonts w:ascii="Arial" w:cs="Arial" w:eastAsia="Arial" w:hAnsi="Arial"/>
                <w:sz w:val="13"/>
                <w:szCs w:val="13"/>
                <w:color w:val="auto"/>
              </w:rPr>
              <w:t>2014</w:t>
            </w:r>
          </w:p>
        </w:tc>
        <w:tc>
          <w:tcPr>
            <w:tcW w:w="1760" w:type="dxa"/>
            <w:vAlign w:val="bottom"/>
            <w:tcBorders>
              <w:bottom w:val="single" w:sz="8" w:color="auto"/>
            </w:tcBorders>
          </w:tcPr>
          <w:p>
            <w:pPr>
              <w:jc w:val="right"/>
              <w:ind w:right="230"/>
              <w:spacing w:after="0"/>
              <w:rPr>
                <w:sz w:val="20"/>
                <w:szCs w:val="20"/>
                <w:color w:val="auto"/>
              </w:rPr>
            </w:pPr>
            <w:r>
              <w:rPr>
                <w:rFonts w:ascii="Arial" w:cs="Arial" w:eastAsia="Arial" w:hAnsi="Arial"/>
                <w:sz w:val="13"/>
                <w:szCs w:val="13"/>
                <w:color w:val="auto"/>
              </w:rPr>
              <w:t>2013</w:t>
            </w:r>
          </w:p>
        </w:tc>
        <w:tc>
          <w:tcPr>
            <w:tcW w:w="1260" w:type="dxa"/>
            <w:vAlign w:val="bottom"/>
            <w:tcBorders>
              <w:bottom w:val="single" w:sz="8" w:color="auto"/>
            </w:tcBorders>
          </w:tcPr>
          <w:p>
            <w:pPr>
              <w:jc w:val="right"/>
              <w:ind w:right="489"/>
              <w:spacing w:after="0"/>
              <w:rPr>
                <w:sz w:val="20"/>
                <w:szCs w:val="20"/>
                <w:color w:val="auto"/>
              </w:rPr>
            </w:pPr>
            <w:r>
              <w:rPr>
                <w:rFonts w:ascii="Arial" w:cs="Arial" w:eastAsia="Arial" w:hAnsi="Arial"/>
                <w:sz w:val="13"/>
                <w:szCs w:val="13"/>
                <w:color w:val="auto"/>
              </w:rPr>
              <w:t>2012</w:t>
            </w:r>
          </w:p>
        </w:tc>
      </w:tr>
      <w:tr>
        <w:trPr>
          <w:trHeight w:val="156"/>
        </w:trPr>
        <w:tc>
          <w:tcPr>
            <w:tcW w:w="6960" w:type="dxa"/>
            <w:vAlign w:val="bottom"/>
          </w:tcPr>
          <w:p>
            <w:pPr>
              <w:spacing w:after="0" w:line="155" w:lineRule="exact"/>
              <w:rPr>
                <w:sz w:val="20"/>
                <w:szCs w:val="20"/>
                <w:color w:val="auto"/>
              </w:rPr>
            </w:pPr>
            <w:r>
              <w:rPr>
                <w:rFonts w:ascii="Arial" w:cs="Arial" w:eastAsia="Arial" w:hAnsi="Arial"/>
                <w:sz w:val="14"/>
                <w:szCs w:val="14"/>
                <w:color w:val="auto"/>
              </w:rPr>
              <w:t>Upstream</w:t>
            </w:r>
          </w:p>
        </w:tc>
        <w:tc>
          <w:tcPr>
            <w:tcW w:w="1440" w:type="dxa"/>
            <w:vAlign w:val="bottom"/>
            <w:shd w:val="clear" w:color="auto" w:fill="D8D8D8"/>
          </w:tcPr>
          <w:p>
            <w:pPr>
              <w:jc w:val="right"/>
              <w:ind w:right="370"/>
              <w:spacing w:after="0" w:line="155" w:lineRule="exact"/>
              <w:rPr>
                <w:sz w:val="20"/>
                <w:szCs w:val="20"/>
                <w:color w:val="auto"/>
              </w:rPr>
            </w:pPr>
            <w:r>
              <w:rPr>
                <w:rFonts w:ascii="Arial" w:cs="Arial" w:eastAsia="Arial" w:hAnsi="Arial"/>
                <w:sz w:val="14"/>
                <w:szCs w:val="14"/>
                <w:color w:val="auto"/>
              </w:rPr>
              <w:t>33</w:t>
            </w:r>
          </w:p>
        </w:tc>
        <w:tc>
          <w:tcPr>
            <w:tcW w:w="1760" w:type="dxa"/>
            <w:vAlign w:val="bottom"/>
          </w:tcPr>
          <w:p>
            <w:pPr>
              <w:jc w:val="right"/>
              <w:ind w:right="230"/>
              <w:spacing w:after="0" w:line="155" w:lineRule="exact"/>
              <w:rPr>
                <w:sz w:val="20"/>
                <w:szCs w:val="20"/>
                <w:color w:val="auto"/>
              </w:rPr>
            </w:pPr>
            <w:r>
              <w:rPr>
                <w:rFonts w:ascii="Arial" w:cs="Arial" w:eastAsia="Arial" w:hAnsi="Arial"/>
                <w:sz w:val="14"/>
                <w:szCs w:val="14"/>
                <w:color w:val="auto"/>
              </w:rPr>
              <w:t>31</w:t>
            </w:r>
          </w:p>
        </w:tc>
        <w:tc>
          <w:tcPr>
            <w:tcW w:w="1260" w:type="dxa"/>
            <w:vAlign w:val="bottom"/>
          </w:tcPr>
          <w:p>
            <w:pPr>
              <w:jc w:val="right"/>
              <w:ind w:right="489"/>
              <w:spacing w:after="0" w:line="155" w:lineRule="exact"/>
              <w:rPr>
                <w:sz w:val="20"/>
                <w:szCs w:val="20"/>
                <w:color w:val="auto"/>
              </w:rPr>
            </w:pPr>
            <w:r>
              <w:rPr>
                <w:rFonts w:ascii="Arial" w:cs="Arial" w:eastAsia="Arial" w:hAnsi="Arial"/>
                <w:sz w:val="14"/>
                <w:szCs w:val="14"/>
                <w:color w:val="auto"/>
              </w:rPr>
              <w:t>26</w:t>
            </w:r>
          </w:p>
        </w:tc>
      </w:tr>
      <w:tr>
        <w:trPr>
          <w:trHeight w:val="162"/>
        </w:trPr>
        <w:tc>
          <w:tcPr>
            <w:tcW w:w="6960" w:type="dxa"/>
            <w:vAlign w:val="bottom"/>
          </w:tcPr>
          <w:p>
            <w:pPr>
              <w:spacing w:after="0"/>
              <w:rPr>
                <w:sz w:val="20"/>
                <w:szCs w:val="20"/>
                <w:color w:val="auto"/>
              </w:rPr>
            </w:pPr>
            <w:r>
              <w:rPr>
                <w:rFonts w:ascii="Arial" w:cs="Arial" w:eastAsia="Arial" w:hAnsi="Arial"/>
                <w:sz w:val="14"/>
                <w:szCs w:val="14"/>
                <w:color w:val="auto"/>
              </w:rPr>
              <w:t>Downstream</w:t>
            </w:r>
          </w:p>
        </w:tc>
        <w:tc>
          <w:tcPr>
            <w:tcW w:w="1440" w:type="dxa"/>
            <w:vAlign w:val="bottom"/>
            <w:shd w:val="clear" w:color="auto" w:fill="D8D8D8"/>
          </w:tcPr>
          <w:p>
            <w:pPr>
              <w:jc w:val="right"/>
              <w:ind w:right="370"/>
              <w:spacing w:after="0"/>
              <w:rPr>
                <w:sz w:val="20"/>
                <w:szCs w:val="20"/>
                <w:color w:val="auto"/>
              </w:rPr>
            </w:pPr>
            <w:r>
              <w:rPr>
                <w:rFonts w:ascii="Arial" w:cs="Arial" w:eastAsia="Arial" w:hAnsi="Arial"/>
                <w:sz w:val="14"/>
                <w:szCs w:val="14"/>
                <w:color w:val="auto"/>
              </w:rPr>
              <w:t>47</w:t>
            </w:r>
          </w:p>
        </w:tc>
        <w:tc>
          <w:tcPr>
            <w:tcW w:w="1760" w:type="dxa"/>
            <w:vAlign w:val="bottom"/>
          </w:tcPr>
          <w:p>
            <w:pPr>
              <w:jc w:val="right"/>
              <w:ind w:right="230"/>
              <w:spacing w:after="0"/>
              <w:rPr>
                <w:sz w:val="20"/>
                <w:szCs w:val="20"/>
                <w:color w:val="auto"/>
              </w:rPr>
            </w:pPr>
            <w:r>
              <w:rPr>
                <w:rFonts w:ascii="Arial" w:cs="Arial" w:eastAsia="Arial" w:hAnsi="Arial"/>
                <w:sz w:val="14"/>
                <w:szCs w:val="14"/>
                <w:color w:val="auto"/>
              </w:rPr>
              <w:t>48</w:t>
            </w:r>
          </w:p>
        </w:tc>
        <w:tc>
          <w:tcPr>
            <w:tcW w:w="1260" w:type="dxa"/>
            <w:vAlign w:val="bottom"/>
          </w:tcPr>
          <w:p>
            <w:pPr>
              <w:jc w:val="right"/>
              <w:ind w:right="489"/>
              <w:spacing w:after="0"/>
              <w:rPr>
                <w:sz w:val="20"/>
                <w:szCs w:val="20"/>
                <w:color w:val="auto"/>
              </w:rPr>
            </w:pPr>
            <w:r>
              <w:rPr>
                <w:rFonts w:ascii="Arial" w:cs="Arial" w:eastAsia="Arial" w:hAnsi="Arial"/>
                <w:sz w:val="14"/>
                <w:szCs w:val="14"/>
                <w:color w:val="auto"/>
              </w:rPr>
              <w:t>48</w:t>
            </w:r>
          </w:p>
        </w:tc>
      </w:tr>
      <w:tr>
        <w:trPr>
          <w:trHeight w:val="162"/>
        </w:trPr>
        <w:tc>
          <w:tcPr>
            <w:tcW w:w="696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Corporate</w:t>
            </w:r>
          </w:p>
        </w:tc>
        <w:tc>
          <w:tcPr>
            <w:tcW w:w="1440" w:type="dxa"/>
            <w:vAlign w:val="bottom"/>
            <w:tcBorders>
              <w:bottom w:val="single" w:sz="8" w:color="auto"/>
            </w:tcBorders>
            <w:shd w:val="clear" w:color="auto" w:fill="D8D8D8"/>
          </w:tcPr>
          <w:p>
            <w:pPr>
              <w:jc w:val="right"/>
              <w:ind w:right="370"/>
              <w:spacing w:after="0"/>
              <w:rPr>
                <w:sz w:val="20"/>
                <w:szCs w:val="20"/>
                <w:color w:val="auto"/>
              </w:rPr>
            </w:pPr>
            <w:r>
              <w:rPr>
                <w:rFonts w:ascii="Arial" w:cs="Arial" w:eastAsia="Arial" w:hAnsi="Arial"/>
                <w:sz w:val="14"/>
                <w:szCs w:val="14"/>
                <w:color w:val="auto"/>
              </w:rPr>
              <w:t>14</w:t>
            </w:r>
          </w:p>
        </w:tc>
        <w:tc>
          <w:tcPr>
            <w:tcW w:w="1760" w:type="dxa"/>
            <w:vAlign w:val="bottom"/>
            <w:tcBorders>
              <w:bottom w:val="single" w:sz="8" w:color="auto"/>
            </w:tcBorders>
          </w:tcPr>
          <w:p>
            <w:pPr>
              <w:jc w:val="right"/>
              <w:ind w:right="230"/>
              <w:spacing w:after="0"/>
              <w:rPr>
                <w:sz w:val="20"/>
                <w:szCs w:val="20"/>
                <w:color w:val="auto"/>
              </w:rPr>
            </w:pPr>
            <w:r>
              <w:rPr>
                <w:rFonts w:ascii="Arial" w:cs="Arial" w:eastAsia="Arial" w:hAnsi="Arial"/>
                <w:sz w:val="14"/>
                <w:szCs w:val="14"/>
                <w:color w:val="auto"/>
              </w:rPr>
              <w:t>13</w:t>
            </w:r>
          </w:p>
        </w:tc>
        <w:tc>
          <w:tcPr>
            <w:tcW w:w="1260" w:type="dxa"/>
            <w:vAlign w:val="bottom"/>
            <w:tcBorders>
              <w:bottom w:val="single" w:sz="8" w:color="auto"/>
            </w:tcBorders>
          </w:tcPr>
          <w:p>
            <w:pPr>
              <w:jc w:val="right"/>
              <w:ind w:right="489"/>
              <w:spacing w:after="0"/>
              <w:rPr>
                <w:sz w:val="20"/>
                <w:szCs w:val="20"/>
                <w:color w:val="auto"/>
              </w:rPr>
            </w:pPr>
            <w:r>
              <w:rPr>
                <w:rFonts w:ascii="Arial" w:cs="Arial" w:eastAsia="Arial" w:hAnsi="Arial"/>
                <w:sz w:val="14"/>
                <w:szCs w:val="14"/>
                <w:color w:val="auto"/>
              </w:rPr>
              <w:t>13</w:t>
            </w:r>
          </w:p>
        </w:tc>
      </w:tr>
      <w:tr>
        <w:trPr>
          <w:trHeight w:val="156"/>
        </w:trPr>
        <w:tc>
          <w:tcPr>
            <w:tcW w:w="6960" w:type="dxa"/>
            <w:vAlign w:val="bottom"/>
            <w:tcBorders>
              <w:bottom w:val="single" w:sz="8" w:color="auto"/>
            </w:tcBorders>
          </w:tcPr>
          <w:p>
            <w:pPr>
              <w:spacing w:after="0" w:line="155" w:lineRule="exact"/>
              <w:rPr>
                <w:sz w:val="20"/>
                <w:szCs w:val="20"/>
                <w:color w:val="auto"/>
              </w:rPr>
            </w:pPr>
            <w:r>
              <w:rPr>
                <w:rFonts w:ascii="Arial" w:cs="Arial" w:eastAsia="Arial" w:hAnsi="Arial"/>
                <w:sz w:val="14"/>
                <w:szCs w:val="14"/>
                <w:color w:val="auto"/>
              </w:rPr>
              <w:t>Total</w:t>
            </w:r>
          </w:p>
        </w:tc>
        <w:tc>
          <w:tcPr>
            <w:tcW w:w="1440" w:type="dxa"/>
            <w:vAlign w:val="bottom"/>
            <w:tcBorders>
              <w:bottom w:val="single" w:sz="8" w:color="auto"/>
            </w:tcBorders>
            <w:shd w:val="clear" w:color="auto" w:fill="D8D8D8"/>
          </w:tcPr>
          <w:p>
            <w:pPr>
              <w:jc w:val="right"/>
              <w:ind w:right="370"/>
              <w:spacing w:after="0" w:line="155" w:lineRule="exact"/>
              <w:rPr>
                <w:sz w:val="20"/>
                <w:szCs w:val="20"/>
                <w:color w:val="auto"/>
              </w:rPr>
            </w:pPr>
            <w:r>
              <w:rPr>
                <w:rFonts w:ascii="Arial" w:cs="Arial" w:eastAsia="Arial" w:hAnsi="Arial"/>
                <w:sz w:val="14"/>
                <w:szCs w:val="14"/>
                <w:color w:val="auto"/>
              </w:rPr>
              <w:t>94</w:t>
            </w:r>
          </w:p>
        </w:tc>
        <w:tc>
          <w:tcPr>
            <w:tcW w:w="1760" w:type="dxa"/>
            <w:vAlign w:val="bottom"/>
            <w:tcBorders>
              <w:bottom w:val="single" w:sz="8" w:color="auto"/>
            </w:tcBorders>
          </w:tcPr>
          <w:p>
            <w:pPr>
              <w:jc w:val="right"/>
              <w:ind w:right="230"/>
              <w:spacing w:after="0" w:line="155" w:lineRule="exact"/>
              <w:rPr>
                <w:sz w:val="20"/>
                <w:szCs w:val="20"/>
                <w:color w:val="auto"/>
              </w:rPr>
            </w:pPr>
            <w:r>
              <w:rPr>
                <w:rFonts w:ascii="Arial" w:cs="Arial" w:eastAsia="Arial" w:hAnsi="Arial"/>
                <w:sz w:val="14"/>
                <w:szCs w:val="14"/>
                <w:color w:val="auto"/>
              </w:rPr>
              <w:t>92</w:t>
            </w:r>
          </w:p>
        </w:tc>
        <w:tc>
          <w:tcPr>
            <w:tcW w:w="1260" w:type="dxa"/>
            <w:vAlign w:val="bottom"/>
            <w:tcBorders>
              <w:bottom w:val="single" w:sz="8" w:color="auto"/>
            </w:tcBorders>
          </w:tcPr>
          <w:p>
            <w:pPr>
              <w:jc w:val="right"/>
              <w:ind w:right="489"/>
              <w:spacing w:after="0" w:line="155" w:lineRule="exact"/>
              <w:rPr>
                <w:sz w:val="20"/>
                <w:szCs w:val="20"/>
                <w:color w:val="auto"/>
              </w:rPr>
            </w:pPr>
            <w:r>
              <w:rPr>
                <w:rFonts w:ascii="Arial" w:cs="Arial" w:eastAsia="Arial" w:hAnsi="Arial"/>
                <w:sz w:val="14"/>
                <w:szCs w:val="14"/>
                <w:color w:val="auto"/>
              </w:rPr>
              <w:t>87</w:t>
            </w:r>
          </w:p>
        </w:tc>
      </w:tr>
      <w:tr>
        <w:trPr>
          <w:trHeight w:val="346"/>
        </w:trPr>
        <w:tc>
          <w:tcPr>
            <w:tcW w:w="6960" w:type="dxa"/>
            <w:vAlign w:val="bottom"/>
          </w:tcPr>
          <w:p>
            <w:pPr>
              <w:spacing w:after="0"/>
              <w:rPr>
                <w:sz w:val="20"/>
                <w:szCs w:val="20"/>
                <w:color w:val="auto"/>
              </w:rPr>
            </w:pPr>
            <w:r>
              <w:rPr>
                <w:rFonts w:ascii="Arial" w:cs="Arial" w:eastAsia="Arial" w:hAnsi="Arial"/>
                <w:sz w:val="14"/>
                <w:szCs w:val="14"/>
                <w:color w:val="auto"/>
              </w:rPr>
              <w:t>Employees working in business service centres are included in the Corporate segment.</w:t>
            </w:r>
          </w:p>
        </w:tc>
        <w:tc>
          <w:tcPr>
            <w:tcW w:w="144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377"/>
        </w:trPr>
        <w:tc>
          <w:tcPr>
            <w:tcW w:w="6960" w:type="dxa"/>
            <w:vAlign w:val="bottom"/>
          </w:tcPr>
          <w:p>
            <w:pPr>
              <w:spacing w:after="0"/>
              <w:rPr>
                <w:sz w:val="20"/>
                <w:szCs w:val="20"/>
                <w:color w:val="auto"/>
              </w:rPr>
            </w:pPr>
            <w:r>
              <w:rPr>
                <w:rFonts w:ascii="Arial" w:cs="Arial" w:eastAsia="Arial" w:hAnsi="Arial"/>
                <w:sz w:val="18"/>
                <w:szCs w:val="18"/>
                <w:color w:val="auto"/>
              </w:rPr>
              <w:t>27 DIRECTORS AND SENIOR MANAGEMENT</w:t>
            </w:r>
          </w:p>
        </w:tc>
        <w:tc>
          <w:tcPr>
            <w:tcW w:w="144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260" w:type="dxa"/>
            <w:vAlign w:val="bottom"/>
          </w:tcPr>
          <w:p>
            <w:pPr>
              <w:spacing w:after="0"/>
              <w:rPr>
                <w:sz w:val="24"/>
                <w:szCs w:val="24"/>
                <w:color w:val="auto"/>
              </w:rPr>
            </w:pPr>
          </w:p>
        </w:tc>
      </w:tr>
    </w:tbl>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6960" w:type="dxa"/>
            <w:vAlign w:val="bottom"/>
            <w:shd w:val="clear" w:color="auto" w:fill="333333"/>
          </w:tcPr>
          <w:p>
            <w:pPr>
              <w:ind w:left="80"/>
              <w:spacing w:after="0"/>
              <w:rPr>
                <w:sz w:val="20"/>
                <w:szCs w:val="20"/>
                <w:color w:val="auto"/>
              </w:rPr>
            </w:pPr>
            <w:r>
              <w:rPr>
                <w:rFonts w:ascii="Arial" w:cs="Arial" w:eastAsia="Arial" w:hAnsi="Arial"/>
                <w:sz w:val="15"/>
                <w:szCs w:val="15"/>
                <w:b w:val="1"/>
                <w:bCs w:val="1"/>
                <w:color w:val="FFFFFF"/>
              </w:rPr>
              <w:t>REMUNERATION OF DIRECTORS OF THE COMPANY</w:t>
            </w:r>
          </w:p>
        </w:tc>
        <w:tc>
          <w:tcPr>
            <w:tcW w:w="1440" w:type="dxa"/>
            <w:vAlign w:val="bottom"/>
            <w:shd w:val="clear" w:color="auto" w:fill="333333"/>
          </w:tcPr>
          <w:p>
            <w:pPr>
              <w:spacing w:after="0"/>
              <w:rPr>
                <w:sz w:val="15"/>
                <w:szCs w:val="15"/>
                <w:color w:val="auto"/>
              </w:rPr>
            </w:pPr>
          </w:p>
        </w:tc>
        <w:tc>
          <w:tcPr>
            <w:tcW w:w="1820" w:type="dxa"/>
            <w:vAlign w:val="bottom"/>
            <w:shd w:val="clear" w:color="auto" w:fill="333333"/>
          </w:tcPr>
          <w:p>
            <w:pPr>
              <w:spacing w:after="0"/>
              <w:rPr>
                <w:sz w:val="15"/>
                <w:szCs w:val="15"/>
                <w:color w:val="auto"/>
              </w:rPr>
            </w:pPr>
          </w:p>
        </w:tc>
        <w:tc>
          <w:tcPr>
            <w:tcW w:w="1200" w:type="dxa"/>
            <w:vAlign w:val="bottom"/>
            <w:shd w:val="clear" w:color="auto" w:fill="333333"/>
          </w:tcPr>
          <w:p>
            <w:pPr>
              <w:jc w:val="right"/>
              <w:ind w:right="29"/>
              <w:spacing w:after="0"/>
              <w:rPr>
                <w:sz w:val="20"/>
                <w:szCs w:val="20"/>
                <w:color w:val="auto"/>
              </w:rPr>
            </w:pPr>
            <w:r>
              <w:rPr>
                <w:rFonts w:ascii="Arial" w:cs="Arial" w:eastAsia="Arial" w:hAnsi="Arial"/>
                <w:sz w:val="15"/>
                <w:szCs w:val="15"/>
                <w:color w:val="FFFFFF"/>
              </w:rPr>
              <w:t>$ MILLION</w:t>
            </w:r>
          </w:p>
        </w:tc>
      </w:tr>
      <w:tr>
        <w:trPr>
          <w:trHeight w:val="149"/>
        </w:trPr>
        <w:tc>
          <w:tcPr>
            <w:tcW w:w="6960" w:type="dxa"/>
            <w:vAlign w:val="bottom"/>
            <w:tcBorders>
              <w:bottom w:val="single" w:sz="8" w:color="auto"/>
            </w:tcBorders>
          </w:tcPr>
          <w:p>
            <w:pPr>
              <w:spacing w:after="0"/>
              <w:rPr>
                <w:sz w:val="12"/>
                <w:szCs w:val="12"/>
                <w:color w:val="auto"/>
              </w:rPr>
            </w:pPr>
          </w:p>
        </w:tc>
        <w:tc>
          <w:tcPr>
            <w:tcW w:w="1440" w:type="dxa"/>
            <w:vAlign w:val="bottom"/>
            <w:tcBorders>
              <w:bottom w:val="single" w:sz="8" w:color="auto"/>
            </w:tcBorders>
            <w:shd w:val="clear" w:color="auto" w:fill="D8D8D8"/>
          </w:tcPr>
          <w:p>
            <w:pPr>
              <w:jc w:val="right"/>
              <w:ind w:right="370"/>
              <w:spacing w:after="0"/>
              <w:rPr>
                <w:sz w:val="20"/>
                <w:szCs w:val="20"/>
                <w:color w:val="auto"/>
              </w:rPr>
            </w:pPr>
            <w:r>
              <w:rPr>
                <w:rFonts w:ascii="Arial" w:cs="Arial" w:eastAsia="Arial" w:hAnsi="Arial"/>
                <w:sz w:val="13"/>
                <w:szCs w:val="13"/>
                <w:color w:val="auto"/>
              </w:rPr>
              <w:t>2014</w:t>
            </w:r>
          </w:p>
        </w:tc>
        <w:tc>
          <w:tcPr>
            <w:tcW w:w="1820" w:type="dxa"/>
            <w:vAlign w:val="bottom"/>
            <w:tcBorders>
              <w:bottom w:val="single" w:sz="8" w:color="auto"/>
            </w:tcBorders>
          </w:tcPr>
          <w:p>
            <w:pPr>
              <w:jc w:val="right"/>
              <w:ind w:right="290"/>
              <w:spacing w:after="0"/>
              <w:rPr>
                <w:sz w:val="20"/>
                <w:szCs w:val="20"/>
                <w:color w:val="auto"/>
              </w:rPr>
            </w:pPr>
            <w:r>
              <w:rPr>
                <w:rFonts w:ascii="Arial" w:cs="Arial" w:eastAsia="Arial" w:hAnsi="Arial"/>
                <w:sz w:val="13"/>
                <w:szCs w:val="13"/>
                <w:color w:val="auto"/>
              </w:rPr>
              <w:t>2013</w:t>
            </w:r>
          </w:p>
        </w:tc>
        <w:tc>
          <w:tcPr>
            <w:tcW w:w="1200" w:type="dxa"/>
            <w:vAlign w:val="bottom"/>
            <w:tcBorders>
              <w:bottom w:val="single" w:sz="8" w:color="auto"/>
            </w:tcBorders>
          </w:tcPr>
          <w:p>
            <w:pPr>
              <w:jc w:val="right"/>
              <w:ind w:right="489"/>
              <w:spacing w:after="0"/>
              <w:rPr>
                <w:sz w:val="20"/>
                <w:szCs w:val="20"/>
                <w:color w:val="auto"/>
              </w:rPr>
            </w:pPr>
            <w:r>
              <w:rPr>
                <w:rFonts w:ascii="Arial" w:cs="Arial" w:eastAsia="Arial" w:hAnsi="Arial"/>
                <w:sz w:val="13"/>
                <w:szCs w:val="13"/>
                <w:color w:val="auto"/>
              </w:rPr>
              <w:t>2012</w:t>
            </w:r>
          </w:p>
        </w:tc>
      </w:tr>
      <w:tr>
        <w:trPr>
          <w:trHeight w:val="156"/>
        </w:trPr>
        <w:tc>
          <w:tcPr>
            <w:tcW w:w="6960" w:type="dxa"/>
            <w:vAlign w:val="bottom"/>
          </w:tcPr>
          <w:p>
            <w:pPr>
              <w:spacing w:after="0" w:line="155" w:lineRule="exact"/>
              <w:rPr>
                <w:sz w:val="20"/>
                <w:szCs w:val="20"/>
                <w:color w:val="auto"/>
              </w:rPr>
            </w:pPr>
            <w:r>
              <w:rPr>
                <w:rFonts w:ascii="Arial" w:cs="Arial" w:eastAsia="Arial" w:hAnsi="Arial"/>
                <w:sz w:val="14"/>
                <w:szCs w:val="14"/>
                <w:color w:val="auto"/>
              </w:rPr>
              <w:t>Emoluments</w:t>
            </w:r>
          </w:p>
        </w:tc>
        <w:tc>
          <w:tcPr>
            <w:tcW w:w="1440" w:type="dxa"/>
            <w:vAlign w:val="bottom"/>
            <w:shd w:val="clear" w:color="auto" w:fill="D8D8D8"/>
          </w:tcPr>
          <w:p>
            <w:pPr>
              <w:jc w:val="right"/>
              <w:ind w:right="370"/>
              <w:spacing w:after="0" w:line="155" w:lineRule="exact"/>
              <w:rPr>
                <w:sz w:val="20"/>
                <w:szCs w:val="20"/>
                <w:color w:val="auto"/>
              </w:rPr>
            </w:pPr>
            <w:r>
              <w:rPr>
                <w:rFonts w:ascii="Arial" w:cs="Arial" w:eastAsia="Arial" w:hAnsi="Arial"/>
                <w:sz w:val="14"/>
                <w:szCs w:val="14"/>
                <w:color w:val="auto"/>
              </w:rPr>
              <w:t>24</w:t>
            </w:r>
          </w:p>
        </w:tc>
        <w:tc>
          <w:tcPr>
            <w:tcW w:w="1820" w:type="dxa"/>
            <w:vAlign w:val="bottom"/>
          </w:tcPr>
          <w:p>
            <w:pPr>
              <w:jc w:val="right"/>
              <w:ind w:right="290"/>
              <w:spacing w:after="0" w:line="155" w:lineRule="exact"/>
              <w:rPr>
                <w:sz w:val="20"/>
                <w:szCs w:val="20"/>
                <w:color w:val="auto"/>
              </w:rPr>
            </w:pPr>
            <w:r>
              <w:rPr>
                <w:rFonts w:ascii="Arial" w:cs="Arial" w:eastAsia="Arial" w:hAnsi="Arial"/>
                <w:sz w:val="14"/>
                <w:szCs w:val="14"/>
                <w:color w:val="auto"/>
              </w:rPr>
              <w:t>11</w:t>
            </w:r>
          </w:p>
        </w:tc>
        <w:tc>
          <w:tcPr>
            <w:tcW w:w="1200" w:type="dxa"/>
            <w:vAlign w:val="bottom"/>
          </w:tcPr>
          <w:p>
            <w:pPr>
              <w:jc w:val="right"/>
              <w:ind w:right="489"/>
              <w:spacing w:after="0" w:line="155" w:lineRule="exact"/>
              <w:rPr>
                <w:sz w:val="20"/>
                <w:szCs w:val="20"/>
                <w:color w:val="auto"/>
              </w:rPr>
            </w:pPr>
            <w:r>
              <w:rPr>
                <w:rFonts w:ascii="Arial" w:cs="Arial" w:eastAsia="Arial" w:hAnsi="Arial"/>
                <w:sz w:val="14"/>
                <w:szCs w:val="14"/>
                <w:color w:val="auto"/>
              </w:rPr>
              <w:t>14</w:t>
            </w:r>
          </w:p>
        </w:tc>
      </w:tr>
      <w:tr>
        <w:trPr>
          <w:trHeight w:val="162"/>
        </w:trPr>
        <w:tc>
          <w:tcPr>
            <w:tcW w:w="6960" w:type="dxa"/>
            <w:vAlign w:val="bottom"/>
          </w:tcPr>
          <w:p>
            <w:pPr>
              <w:spacing w:after="0"/>
              <w:rPr>
                <w:sz w:val="20"/>
                <w:szCs w:val="20"/>
                <w:color w:val="auto"/>
              </w:rPr>
            </w:pPr>
            <w:r>
              <w:rPr>
                <w:rFonts w:ascii="Arial" w:cs="Arial" w:eastAsia="Arial" w:hAnsi="Arial"/>
                <w:sz w:val="14"/>
                <w:szCs w:val="14"/>
                <w:color w:val="auto"/>
              </w:rPr>
              <w:t>Gains on exercise of share options</w:t>
            </w:r>
          </w:p>
        </w:tc>
        <w:tc>
          <w:tcPr>
            <w:tcW w:w="1440" w:type="dxa"/>
            <w:vAlign w:val="bottom"/>
            <w:shd w:val="clear" w:color="auto" w:fill="D8D8D8"/>
          </w:tcPr>
          <w:p>
            <w:pPr>
              <w:jc w:val="right"/>
              <w:ind w:right="370"/>
              <w:spacing w:after="0"/>
              <w:rPr>
                <w:sz w:val="20"/>
                <w:szCs w:val="20"/>
                <w:color w:val="auto"/>
              </w:rPr>
            </w:pPr>
            <w:r>
              <w:rPr>
                <w:rFonts w:ascii="Arial" w:cs="Arial" w:eastAsia="Arial" w:hAnsi="Arial"/>
                <w:sz w:val="14"/>
                <w:szCs w:val="14"/>
                <w:color w:val="auto"/>
              </w:rPr>
              <w:t>–</w:t>
            </w:r>
          </w:p>
        </w:tc>
        <w:tc>
          <w:tcPr>
            <w:tcW w:w="1820" w:type="dxa"/>
            <w:vAlign w:val="bottom"/>
          </w:tcPr>
          <w:p>
            <w:pPr>
              <w:jc w:val="right"/>
              <w:ind w:right="290"/>
              <w:spacing w:after="0"/>
              <w:rPr>
                <w:sz w:val="20"/>
                <w:szCs w:val="20"/>
                <w:color w:val="auto"/>
              </w:rPr>
            </w:pPr>
            <w:r>
              <w:rPr>
                <w:rFonts w:ascii="Arial" w:cs="Arial" w:eastAsia="Arial" w:hAnsi="Arial"/>
                <w:sz w:val="14"/>
                <w:szCs w:val="14"/>
                <w:color w:val="auto"/>
              </w:rPr>
              <w:t>–</w:t>
            </w:r>
          </w:p>
        </w:tc>
        <w:tc>
          <w:tcPr>
            <w:tcW w:w="1200" w:type="dxa"/>
            <w:vAlign w:val="bottom"/>
          </w:tcPr>
          <w:p>
            <w:pPr>
              <w:jc w:val="right"/>
              <w:ind w:right="489"/>
              <w:spacing w:after="0"/>
              <w:rPr>
                <w:sz w:val="20"/>
                <w:szCs w:val="20"/>
                <w:color w:val="auto"/>
              </w:rPr>
            </w:pPr>
            <w:r>
              <w:rPr>
                <w:rFonts w:ascii="Arial" w:cs="Arial" w:eastAsia="Arial" w:hAnsi="Arial"/>
                <w:sz w:val="14"/>
                <w:szCs w:val="14"/>
                <w:color w:val="auto"/>
              </w:rPr>
              <w:t>4</w:t>
            </w:r>
          </w:p>
        </w:tc>
      </w:tr>
      <w:tr>
        <w:trPr>
          <w:trHeight w:val="167"/>
        </w:trPr>
        <w:tc>
          <w:tcPr>
            <w:tcW w:w="6960" w:type="dxa"/>
            <w:vAlign w:val="bottom"/>
          </w:tcPr>
          <w:p>
            <w:pPr>
              <w:spacing w:after="0"/>
              <w:rPr>
                <w:sz w:val="20"/>
                <w:szCs w:val="20"/>
                <w:color w:val="auto"/>
              </w:rPr>
            </w:pPr>
            <w:r>
              <w:rPr>
                <w:rFonts w:ascii="Arial" w:cs="Arial" w:eastAsia="Arial" w:hAnsi="Arial"/>
                <w:sz w:val="14"/>
                <w:szCs w:val="14"/>
                <w:color w:val="auto"/>
              </w:rPr>
              <w:t>Value of released awards under long-term incentive plans</w:t>
            </w:r>
          </w:p>
        </w:tc>
        <w:tc>
          <w:tcPr>
            <w:tcW w:w="1440" w:type="dxa"/>
            <w:vAlign w:val="bottom"/>
            <w:shd w:val="clear" w:color="auto" w:fill="D8D8D8"/>
          </w:tcPr>
          <w:p>
            <w:pPr>
              <w:jc w:val="right"/>
              <w:ind w:right="370"/>
              <w:spacing w:after="0"/>
              <w:rPr>
                <w:sz w:val="20"/>
                <w:szCs w:val="20"/>
                <w:color w:val="auto"/>
              </w:rPr>
            </w:pPr>
            <w:r>
              <w:rPr>
                <w:rFonts w:ascii="Arial" w:cs="Arial" w:eastAsia="Arial" w:hAnsi="Arial"/>
                <w:sz w:val="14"/>
                <w:szCs w:val="14"/>
                <w:color w:val="auto"/>
              </w:rPr>
              <w:t>5</w:t>
            </w:r>
          </w:p>
        </w:tc>
        <w:tc>
          <w:tcPr>
            <w:tcW w:w="1820" w:type="dxa"/>
            <w:vAlign w:val="bottom"/>
          </w:tcPr>
          <w:p>
            <w:pPr>
              <w:jc w:val="right"/>
              <w:ind w:right="290"/>
              <w:spacing w:after="0"/>
              <w:rPr>
                <w:sz w:val="20"/>
                <w:szCs w:val="20"/>
                <w:color w:val="auto"/>
              </w:rPr>
            </w:pPr>
            <w:r>
              <w:rPr>
                <w:rFonts w:ascii="Arial" w:cs="Arial" w:eastAsia="Arial" w:hAnsi="Arial"/>
                <w:sz w:val="14"/>
                <w:szCs w:val="14"/>
                <w:color w:val="auto"/>
              </w:rPr>
              <w:t>8</w:t>
            </w:r>
          </w:p>
        </w:tc>
        <w:tc>
          <w:tcPr>
            <w:tcW w:w="1200" w:type="dxa"/>
            <w:vAlign w:val="bottom"/>
          </w:tcPr>
          <w:p>
            <w:pPr>
              <w:jc w:val="right"/>
              <w:ind w:right="489"/>
              <w:spacing w:after="0"/>
              <w:rPr>
                <w:sz w:val="20"/>
                <w:szCs w:val="20"/>
                <w:color w:val="auto"/>
              </w:rPr>
            </w:pPr>
            <w:r>
              <w:rPr>
                <w:rFonts w:ascii="Arial" w:cs="Arial" w:eastAsia="Arial" w:hAnsi="Arial"/>
                <w:sz w:val="14"/>
                <w:szCs w:val="14"/>
                <w:color w:val="auto"/>
              </w:rPr>
              <w:t>37</w:t>
            </w:r>
          </w:p>
        </w:tc>
      </w:tr>
      <w:tr>
        <w:trPr>
          <w:trHeight w:val="157"/>
        </w:trPr>
        <w:tc>
          <w:tcPr>
            <w:tcW w:w="6960" w:type="dxa"/>
            <w:vAlign w:val="bottom"/>
            <w:tcBorders>
              <w:bottom w:val="single" w:sz="8" w:color="auto"/>
            </w:tcBorders>
          </w:tcPr>
          <w:p>
            <w:pPr>
              <w:spacing w:after="0" w:line="157" w:lineRule="exact"/>
              <w:rPr>
                <w:sz w:val="20"/>
                <w:szCs w:val="20"/>
                <w:color w:val="auto"/>
              </w:rPr>
            </w:pPr>
            <w:r>
              <w:rPr>
                <w:rFonts w:ascii="Arial" w:cs="Arial" w:eastAsia="Arial" w:hAnsi="Arial"/>
                <w:sz w:val="14"/>
                <w:szCs w:val="14"/>
                <w:color w:val="auto"/>
              </w:rPr>
              <w:t>Employer contributions to pension plans</w:t>
            </w:r>
          </w:p>
        </w:tc>
        <w:tc>
          <w:tcPr>
            <w:tcW w:w="1440" w:type="dxa"/>
            <w:vAlign w:val="bottom"/>
            <w:tcBorders>
              <w:bottom w:val="single" w:sz="8" w:color="auto"/>
            </w:tcBorders>
            <w:shd w:val="clear" w:color="auto" w:fill="D8D8D8"/>
          </w:tcPr>
          <w:p>
            <w:pPr>
              <w:jc w:val="right"/>
              <w:ind w:right="370"/>
              <w:spacing w:after="0" w:line="157" w:lineRule="exact"/>
              <w:rPr>
                <w:sz w:val="20"/>
                <w:szCs w:val="20"/>
                <w:color w:val="auto"/>
              </w:rPr>
            </w:pPr>
            <w:r>
              <w:rPr>
                <w:rFonts w:ascii="Arial" w:cs="Arial" w:eastAsia="Arial" w:hAnsi="Arial"/>
                <w:sz w:val="14"/>
                <w:szCs w:val="14"/>
                <w:color w:val="auto"/>
              </w:rPr>
              <w:t>1</w:t>
            </w:r>
          </w:p>
        </w:tc>
        <w:tc>
          <w:tcPr>
            <w:tcW w:w="1820" w:type="dxa"/>
            <w:vAlign w:val="bottom"/>
            <w:tcBorders>
              <w:bottom w:val="single" w:sz="8" w:color="auto"/>
            </w:tcBorders>
          </w:tcPr>
          <w:p>
            <w:pPr>
              <w:jc w:val="right"/>
              <w:ind w:right="290"/>
              <w:spacing w:after="0" w:line="157" w:lineRule="exact"/>
              <w:rPr>
                <w:sz w:val="20"/>
                <w:szCs w:val="20"/>
                <w:color w:val="auto"/>
              </w:rPr>
            </w:pPr>
            <w:r>
              <w:rPr>
                <w:rFonts w:ascii="Arial" w:cs="Arial" w:eastAsia="Arial" w:hAnsi="Arial"/>
                <w:sz w:val="14"/>
                <w:szCs w:val="14"/>
                <w:color w:val="auto"/>
              </w:rPr>
              <w:t>1</w:t>
            </w:r>
          </w:p>
        </w:tc>
        <w:tc>
          <w:tcPr>
            <w:tcW w:w="1200" w:type="dxa"/>
            <w:vAlign w:val="bottom"/>
            <w:tcBorders>
              <w:bottom w:val="single" w:sz="8" w:color="auto"/>
            </w:tcBorders>
          </w:tcPr>
          <w:p>
            <w:pPr>
              <w:jc w:val="right"/>
              <w:ind w:right="489"/>
              <w:spacing w:after="0" w:line="157" w:lineRule="exact"/>
              <w:rPr>
                <w:sz w:val="20"/>
                <w:szCs w:val="20"/>
                <w:color w:val="auto"/>
              </w:rPr>
            </w:pPr>
            <w:r>
              <w:rPr>
                <w:rFonts w:ascii="Arial" w:cs="Arial" w:eastAsia="Arial" w:hAnsi="Arial"/>
                <w:sz w:val="14"/>
                <w:szCs w:val="14"/>
                <w:color w:val="auto"/>
              </w:rPr>
              <w:t>1</w:t>
            </w:r>
          </w:p>
        </w:tc>
      </w:tr>
    </w:tbl>
    <w:p>
      <w:pPr>
        <w:spacing w:after="0" w:line="194" w:lineRule="exact"/>
        <w:rPr>
          <w:sz w:val="20"/>
          <w:szCs w:val="20"/>
          <w:color w:val="auto"/>
        </w:rPr>
      </w:pPr>
    </w:p>
    <w:p>
      <w:pPr>
        <w:ind w:right="200"/>
        <w:spacing w:after="0" w:line="250" w:lineRule="auto"/>
        <w:rPr>
          <w:sz w:val="20"/>
          <w:szCs w:val="20"/>
          <w:color w:val="auto"/>
        </w:rPr>
      </w:pPr>
      <w:r>
        <w:rPr>
          <w:rFonts w:ascii="Arial" w:cs="Arial" w:eastAsia="Arial" w:hAnsi="Arial"/>
          <w:sz w:val="14"/>
          <w:szCs w:val="14"/>
          <w:color w:val="auto"/>
        </w:rPr>
        <w:t>Emoluments comprise salaries and fees, annual bonuses (for the period for which performance is assessed) and other benefits. Emoluments in 2014 included $11 million for tax equalisation which arose mainly as a result of the promotion of the CEO. The value of released awards under long-term incentive plans for the period is in respect of the performance period ending in that year. In 2014, retirement benefits were accrued in respect of qualifying services under defined benefit plans by two Directors.</w:t>
      </w:r>
    </w:p>
    <w:p>
      <w:pPr>
        <w:spacing w:after="0" w:line="159" w:lineRule="exact"/>
        <w:rPr>
          <w:sz w:val="20"/>
          <w:szCs w:val="20"/>
          <w:color w:val="auto"/>
        </w:rPr>
      </w:pPr>
    </w:p>
    <w:p>
      <w:pPr>
        <w:ind w:right="100"/>
        <w:spacing w:after="0" w:line="258" w:lineRule="auto"/>
        <w:rPr>
          <w:sz w:val="20"/>
          <w:szCs w:val="20"/>
          <w:color w:val="auto"/>
        </w:rPr>
      </w:pPr>
      <w:r>
        <w:rPr>
          <w:rFonts w:ascii="Arial" w:cs="Arial" w:eastAsia="Arial" w:hAnsi="Arial"/>
          <w:sz w:val="14"/>
          <w:szCs w:val="14"/>
          <w:color w:val="auto"/>
        </w:rPr>
        <w:t>In addition to the amounts presented for 2012 were termination and related amounts of $6 million in respect of an Executive Director who stood down during the year and gains of $3 million which arose on the exercise of share options after standing down.</w:t>
      </w:r>
    </w:p>
    <w:p>
      <w:pPr>
        <w:sectPr>
          <w:pgSz w:w="11900" w:h="16838" w:orient="portrait"/>
          <w:cols w:equalWidth="0" w:num="1">
            <w:col w:w="11420"/>
          </w:cols>
          <w:pgMar w:left="240" w:top="459" w:right="239" w:bottom="1440" w:gutter="0" w:footer="0" w:header="0"/>
        </w:sectPr>
      </w:pPr>
    </w:p>
    <w:bookmarkStart w:id="142" w:name="page143"/>
    <w:bookmarkEnd w:id="1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6428105</wp:posOffset>
            </wp:positionH>
            <wp:positionV relativeFrom="paragraph">
              <wp:posOffset>300355</wp:posOffset>
            </wp:positionV>
            <wp:extent cx="8890" cy="462915"/>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8890" cy="462915"/>
                    </a:xfrm>
                    <a:prstGeom prst="rect">
                      <a:avLst/>
                    </a:prstGeom>
                    <a:noFill/>
                  </pic:spPr>
                </pic:pic>
              </a:graphicData>
            </a:graphic>
          </wp:anchor>
        </w:drawing>
      </w:r>
    </w:p>
    <w:p>
      <w:pPr>
        <w:spacing w:after="0" w:line="200" w:lineRule="exact"/>
        <w:rPr>
          <w:sz w:val="20"/>
          <w:szCs w:val="20"/>
          <w:color w:val="auto"/>
        </w:rPr>
      </w:pP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565"/>
        </w:trPr>
        <w:tc>
          <w:tcPr>
            <w:tcW w:w="5600" w:type="dxa"/>
            <w:vAlign w:val="bottom"/>
          </w:tcPr>
          <w:p>
            <w:pPr>
              <w:spacing w:after="0"/>
              <w:rPr>
                <w:sz w:val="24"/>
                <w:szCs w:val="24"/>
                <w:color w:val="auto"/>
              </w:rPr>
            </w:pPr>
          </w:p>
        </w:tc>
        <w:tc>
          <w:tcPr>
            <w:tcW w:w="3820" w:type="dxa"/>
            <w:vAlign w:val="bottom"/>
            <w:gridSpan w:val="3"/>
            <w:shd w:val="clear" w:color="auto" w:fill="FF8B00"/>
          </w:tcPr>
          <w:p>
            <w:pPr>
              <w:ind w:left="880"/>
              <w:spacing w:after="0"/>
              <w:rPr>
                <w:sz w:val="20"/>
                <w:szCs w:val="20"/>
                <w:color w:val="auto"/>
              </w:rPr>
            </w:pPr>
            <w:r>
              <w:rPr>
                <w:rFonts w:ascii="Arial" w:cs="Arial" w:eastAsia="Arial" w:hAnsi="Arial"/>
                <w:sz w:val="13"/>
                <w:szCs w:val="13"/>
                <w:color w:val="333333"/>
              </w:rPr>
              <w:t>FINANCIAL STATEMENTS AND SUPPLEMENTS</w:t>
            </w:r>
          </w:p>
        </w:tc>
        <w:tc>
          <w:tcPr>
            <w:tcW w:w="780" w:type="dxa"/>
            <w:vAlign w:val="bottom"/>
            <w:shd w:val="clear" w:color="auto" w:fill="FF8B00"/>
          </w:tcPr>
          <w:p>
            <w:pPr>
              <w:spacing w:after="0"/>
              <w:rPr>
                <w:sz w:val="24"/>
                <w:szCs w:val="24"/>
                <w:color w:val="auto"/>
              </w:rPr>
            </w:pPr>
          </w:p>
        </w:tc>
        <w:tc>
          <w:tcPr>
            <w:tcW w:w="1220" w:type="dxa"/>
            <w:vAlign w:val="bottom"/>
            <w:shd w:val="clear" w:color="auto" w:fill="FF8B00"/>
          </w:tcPr>
          <w:p>
            <w:pPr>
              <w:jc w:val="right"/>
              <w:ind w:right="351"/>
              <w:spacing w:after="0"/>
              <w:rPr>
                <w:sz w:val="20"/>
                <w:szCs w:val="20"/>
                <w:color w:val="auto"/>
              </w:rPr>
            </w:pPr>
            <w:r>
              <w:rPr>
                <w:rFonts w:ascii="Arial" w:cs="Arial" w:eastAsia="Arial" w:hAnsi="Arial"/>
                <w:sz w:val="11"/>
                <w:szCs w:val="11"/>
                <w:b w:val="1"/>
                <w:bCs w:val="1"/>
                <w:color w:val="333333"/>
              </w:rPr>
              <w:t>141</w:t>
            </w:r>
          </w:p>
        </w:tc>
        <w:tc>
          <w:tcPr>
            <w:tcW w:w="0" w:type="dxa"/>
            <w:vAlign w:val="bottom"/>
          </w:tcPr>
          <w:p>
            <w:pPr>
              <w:spacing w:after="0"/>
              <w:rPr>
                <w:sz w:val="1"/>
                <w:szCs w:val="1"/>
                <w:color w:val="auto"/>
              </w:rPr>
            </w:pPr>
          </w:p>
        </w:tc>
      </w:tr>
      <w:tr>
        <w:trPr>
          <w:trHeight w:val="165"/>
        </w:trPr>
        <w:tc>
          <w:tcPr>
            <w:tcW w:w="5600" w:type="dxa"/>
            <w:vAlign w:val="bottom"/>
            <w:vMerge w:val="restart"/>
          </w:tcPr>
          <w:p>
            <w:pPr>
              <w:spacing w:after="0"/>
              <w:rPr>
                <w:sz w:val="20"/>
                <w:szCs w:val="20"/>
                <w:color w:val="auto"/>
              </w:rPr>
            </w:pPr>
            <w:r>
              <w:rPr>
                <w:rFonts w:ascii="Arial" w:cs="Arial" w:eastAsia="Arial" w:hAnsi="Arial"/>
                <w:sz w:val="11"/>
                <w:szCs w:val="11"/>
                <w:color w:val="auto"/>
              </w:rPr>
              <w:t>SHELL ANNUAL REPORT AND FORM 20-F 2014</w:t>
            </w:r>
          </w:p>
        </w:tc>
        <w:tc>
          <w:tcPr>
            <w:tcW w:w="1360" w:type="dxa"/>
            <w:vAlign w:val="bottom"/>
            <w:shd w:val="clear" w:color="auto" w:fill="FF8B00"/>
          </w:tcPr>
          <w:p>
            <w:pPr>
              <w:spacing w:after="0"/>
              <w:rPr>
                <w:sz w:val="14"/>
                <w:szCs w:val="14"/>
                <w:color w:val="auto"/>
              </w:rPr>
            </w:pPr>
          </w:p>
        </w:tc>
        <w:tc>
          <w:tcPr>
            <w:tcW w:w="1440" w:type="dxa"/>
            <w:vAlign w:val="bottom"/>
            <w:shd w:val="clear" w:color="auto" w:fill="FF8B00"/>
          </w:tcPr>
          <w:p>
            <w:pPr>
              <w:spacing w:after="0"/>
              <w:rPr>
                <w:sz w:val="14"/>
                <w:szCs w:val="14"/>
                <w:color w:val="auto"/>
              </w:rPr>
            </w:pPr>
          </w:p>
        </w:tc>
        <w:tc>
          <w:tcPr>
            <w:tcW w:w="1020" w:type="dxa"/>
            <w:vAlign w:val="bottom"/>
            <w:shd w:val="clear" w:color="auto" w:fill="FF8B00"/>
          </w:tcPr>
          <w:p>
            <w:pPr>
              <w:spacing w:after="0"/>
              <w:rPr>
                <w:sz w:val="14"/>
                <w:szCs w:val="14"/>
                <w:color w:val="auto"/>
              </w:rPr>
            </w:pPr>
          </w:p>
        </w:tc>
        <w:tc>
          <w:tcPr>
            <w:tcW w:w="780" w:type="dxa"/>
            <w:vAlign w:val="bottom"/>
            <w:shd w:val="clear" w:color="auto" w:fill="FF8B00"/>
          </w:tcPr>
          <w:p>
            <w:pPr>
              <w:spacing w:after="0"/>
              <w:rPr>
                <w:sz w:val="14"/>
                <w:szCs w:val="14"/>
                <w:color w:val="auto"/>
              </w:rPr>
            </w:pPr>
          </w:p>
        </w:tc>
        <w:tc>
          <w:tcPr>
            <w:tcW w:w="1220" w:type="dxa"/>
            <w:vAlign w:val="bottom"/>
            <w:shd w:val="clear" w:color="auto" w:fill="FF8B00"/>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5600" w:type="dxa"/>
            <w:vAlign w:val="bottom"/>
            <w:vMerge w:val="continue"/>
          </w:tcPr>
          <w:p>
            <w:pPr>
              <w:spacing w:after="0"/>
              <w:rPr>
                <w:sz w:val="10"/>
                <w:szCs w:val="10"/>
                <w:color w:val="auto"/>
              </w:rPr>
            </w:pPr>
          </w:p>
        </w:tc>
        <w:tc>
          <w:tcPr>
            <w:tcW w:w="3820" w:type="dxa"/>
            <w:vAlign w:val="bottom"/>
            <w:gridSpan w:val="3"/>
          </w:tcPr>
          <w:p>
            <w:pPr>
              <w:ind w:left="880"/>
              <w:spacing w:after="0" w:line="122" w:lineRule="exact"/>
              <w:rPr>
                <w:sz w:val="20"/>
                <w:szCs w:val="20"/>
                <w:color w:val="auto"/>
              </w:rPr>
            </w:pPr>
            <w:r>
              <w:rPr>
                <w:rFonts w:ascii="Arial" w:cs="Arial" w:eastAsia="Arial" w:hAnsi="Arial"/>
                <w:sz w:val="11"/>
                <w:szCs w:val="11"/>
                <w:color w:val="auto"/>
              </w:rPr>
              <w:t>CONSOLIDATED FINANCIAL STATEMENTS</w:t>
            </w:r>
          </w:p>
        </w:tc>
        <w:tc>
          <w:tcPr>
            <w:tcW w:w="78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5600" w:type="dxa"/>
            <w:vAlign w:val="bottom"/>
            <w:shd w:val="clear" w:color="auto" w:fill="333333"/>
          </w:tcPr>
          <w:p>
            <w:pPr>
              <w:ind w:left="80"/>
              <w:spacing w:after="0" w:line="162" w:lineRule="exact"/>
              <w:rPr>
                <w:sz w:val="20"/>
                <w:szCs w:val="20"/>
                <w:color w:val="auto"/>
              </w:rPr>
            </w:pPr>
            <w:r>
              <w:rPr>
                <w:rFonts w:ascii="Arial" w:cs="Arial" w:eastAsia="Arial" w:hAnsi="Arial"/>
                <w:sz w:val="15"/>
                <w:szCs w:val="15"/>
                <w:b w:val="1"/>
                <w:bCs w:val="1"/>
                <w:color w:val="FFFFFF"/>
              </w:rPr>
              <w:t>DIRECTORS AND SENIOR MANAGEMENT EXPENSE</w:t>
            </w:r>
          </w:p>
        </w:tc>
        <w:tc>
          <w:tcPr>
            <w:tcW w:w="1360" w:type="dxa"/>
            <w:vAlign w:val="bottom"/>
            <w:shd w:val="clear" w:color="auto" w:fill="333333"/>
          </w:tcPr>
          <w:p>
            <w:pPr>
              <w:spacing w:after="0"/>
              <w:rPr>
                <w:sz w:val="14"/>
                <w:szCs w:val="14"/>
                <w:color w:val="auto"/>
              </w:rPr>
            </w:pPr>
          </w:p>
        </w:tc>
        <w:tc>
          <w:tcPr>
            <w:tcW w:w="1440" w:type="dxa"/>
            <w:vAlign w:val="bottom"/>
            <w:shd w:val="clear" w:color="auto" w:fill="333333"/>
          </w:tcPr>
          <w:p>
            <w:pPr>
              <w:spacing w:after="0"/>
              <w:rPr>
                <w:sz w:val="14"/>
                <w:szCs w:val="14"/>
                <w:color w:val="auto"/>
              </w:rPr>
            </w:pPr>
          </w:p>
        </w:tc>
        <w:tc>
          <w:tcPr>
            <w:tcW w:w="1020" w:type="dxa"/>
            <w:vAlign w:val="bottom"/>
            <w:shd w:val="clear" w:color="auto" w:fill="333333"/>
          </w:tcPr>
          <w:p>
            <w:pPr>
              <w:spacing w:after="0"/>
              <w:rPr>
                <w:sz w:val="14"/>
                <w:szCs w:val="14"/>
                <w:color w:val="auto"/>
              </w:rPr>
            </w:pPr>
          </w:p>
        </w:tc>
        <w:tc>
          <w:tcPr>
            <w:tcW w:w="780" w:type="dxa"/>
            <w:vAlign w:val="bottom"/>
            <w:shd w:val="clear" w:color="auto" w:fill="333333"/>
          </w:tcPr>
          <w:p>
            <w:pPr>
              <w:spacing w:after="0"/>
              <w:rPr>
                <w:sz w:val="14"/>
                <w:szCs w:val="14"/>
                <w:color w:val="auto"/>
              </w:rPr>
            </w:pPr>
          </w:p>
        </w:tc>
        <w:tc>
          <w:tcPr>
            <w:tcW w:w="1220" w:type="dxa"/>
            <w:vAlign w:val="bottom"/>
            <w:shd w:val="clear" w:color="auto" w:fill="333333"/>
          </w:tcPr>
          <w:p>
            <w:pPr>
              <w:jc w:val="right"/>
              <w:ind w:right="71"/>
              <w:spacing w:after="0" w:line="162" w:lineRule="exact"/>
              <w:rPr>
                <w:sz w:val="20"/>
                <w:szCs w:val="20"/>
                <w:color w:val="auto"/>
              </w:rPr>
            </w:pPr>
            <w:r>
              <w:rPr>
                <w:rFonts w:ascii="Arial" w:cs="Arial" w:eastAsia="Arial" w:hAnsi="Arial"/>
                <w:sz w:val="15"/>
                <w:szCs w:val="15"/>
                <w:color w:val="FFFFFF"/>
              </w:rPr>
              <w:t>$ MILLION</w:t>
            </w:r>
          </w:p>
        </w:tc>
        <w:tc>
          <w:tcPr>
            <w:tcW w:w="0" w:type="dxa"/>
            <w:vAlign w:val="bottom"/>
          </w:tcPr>
          <w:p>
            <w:pPr>
              <w:spacing w:after="0"/>
              <w:rPr>
                <w:sz w:val="1"/>
                <w:szCs w:val="1"/>
                <w:color w:val="auto"/>
              </w:rPr>
            </w:pPr>
          </w:p>
        </w:tc>
      </w:tr>
      <w:tr>
        <w:trPr>
          <w:trHeight w:val="149"/>
        </w:trPr>
        <w:tc>
          <w:tcPr>
            <w:tcW w:w="5600" w:type="dxa"/>
            <w:vAlign w:val="bottom"/>
            <w:tcBorders>
              <w:bottom w:val="single" w:sz="8" w:color="auto"/>
            </w:tcBorders>
          </w:tcPr>
          <w:p>
            <w:pPr>
              <w:spacing w:after="0"/>
              <w:rPr>
                <w:sz w:val="12"/>
                <w:szCs w:val="12"/>
                <w:color w:val="auto"/>
              </w:rPr>
            </w:pPr>
          </w:p>
        </w:tc>
        <w:tc>
          <w:tcPr>
            <w:tcW w:w="1360" w:type="dxa"/>
            <w:vAlign w:val="bottom"/>
            <w:tcBorders>
              <w:bottom w:val="single" w:sz="8" w:color="auto"/>
            </w:tcBorders>
          </w:tcPr>
          <w:p>
            <w:pPr>
              <w:spacing w:after="0"/>
              <w:rPr>
                <w:sz w:val="12"/>
                <w:szCs w:val="12"/>
                <w:color w:val="auto"/>
              </w:rPr>
            </w:pPr>
          </w:p>
        </w:tc>
        <w:tc>
          <w:tcPr>
            <w:tcW w:w="1440" w:type="dxa"/>
            <w:vAlign w:val="bottom"/>
            <w:tcBorders>
              <w:bottom w:val="single" w:sz="8" w:color="auto"/>
            </w:tcBorders>
            <w:shd w:val="clear" w:color="auto" w:fill="D8D8D8"/>
          </w:tcPr>
          <w:p>
            <w:pPr>
              <w:jc w:val="right"/>
              <w:ind w:right="370"/>
              <w:spacing w:after="0"/>
              <w:rPr>
                <w:sz w:val="20"/>
                <w:szCs w:val="20"/>
                <w:color w:val="auto"/>
              </w:rPr>
            </w:pPr>
            <w:r>
              <w:rPr>
                <w:rFonts w:ascii="Arial" w:cs="Arial" w:eastAsia="Arial" w:hAnsi="Arial"/>
                <w:sz w:val="13"/>
                <w:szCs w:val="13"/>
                <w:color w:val="auto"/>
              </w:rPr>
              <w:t>2014</w:t>
            </w:r>
          </w:p>
        </w:tc>
        <w:tc>
          <w:tcPr>
            <w:tcW w:w="102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270"/>
              <w:spacing w:after="0"/>
              <w:rPr>
                <w:sz w:val="20"/>
                <w:szCs w:val="20"/>
                <w:color w:val="auto"/>
              </w:rPr>
            </w:pPr>
            <w:r>
              <w:rPr>
                <w:rFonts w:ascii="Arial" w:cs="Arial" w:eastAsia="Arial" w:hAnsi="Arial"/>
                <w:sz w:val="13"/>
                <w:szCs w:val="13"/>
                <w:color w:val="auto"/>
              </w:rPr>
              <w:t>2013</w:t>
            </w:r>
          </w:p>
        </w:tc>
        <w:tc>
          <w:tcPr>
            <w:tcW w:w="1220" w:type="dxa"/>
            <w:vAlign w:val="bottom"/>
            <w:tcBorders>
              <w:bottom w:val="single" w:sz="8" w:color="auto"/>
            </w:tcBorders>
          </w:tcPr>
          <w:p>
            <w:pPr>
              <w:jc w:val="right"/>
              <w:ind w:right="491"/>
              <w:spacing w:after="0"/>
              <w:rPr>
                <w:sz w:val="20"/>
                <w:szCs w:val="20"/>
                <w:color w:val="auto"/>
              </w:rPr>
            </w:pPr>
            <w:r>
              <w:rPr>
                <w:rFonts w:ascii="Arial" w:cs="Arial" w:eastAsia="Arial" w:hAnsi="Arial"/>
                <w:sz w:val="13"/>
                <w:szCs w:val="13"/>
                <w:color w:val="auto"/>
              </w:rPr>
              <w:t>2012</w:t>
            </w:r>
          </w:p>
        </w:tc>
        <w:tc>
          <w:tcPr>
            <w:tcW w:w="0" w:type="dxa"/>
            <w:vAlign w:val="bottom"/>
          </w:tcPr>
          <w:p>
            <w:pPr>
              <w:spacing w:after="0"/>
              <w:rPr>
                <w:sz w:val="1"/>
                <w:szCs w:val="1"/>
                <w:color w:val="auto"/>
              </w:rPr>
            </w:pPr>
          </w:p>
        </w:tc>
      </w:tr>
      <w:tr>
        <w:trPr>
          <w:trHeight w:val="156"/>
        </w:trPr>
        <w:tc>
          <w:tcPr>
            <w:tcW w:w="5600" w:type="dxa"/>
            <w:vAlign w:val="bottom"/>
          </w:tcPr>
          <w:p>
            <w:pPr>
              <w:spacing w:after="0" w:line="155" w:lineRule="exact"/>
              <w:rPr>
                <w:sz w:val="20"/>
                <w:szCs w:val="20"/>
                <w:color w:val="auto"/>
              </w:rPr>
            </w:pPr>
            <w:r>
              <w:rPr>
                <w:rFonts w:ascii="Arial" w:cs="Arial" w:eastAsia="Arial" w:hAnsi="Arial"/>
                <w:sz w:val="14"/>
                <w:szCs w:val="14"/>
                <w:color w:val="auto"/>
              </w:rPr>
              <w:t>Short-term benefits</w:t>
            </w:r>
          </w:p>
        </w:tc>
        <w:tc>
          <w:tcPr>
            <w:tcW w:w="1360" w:type="dxa"/>
            <w:vAlign w:val="bottom"/>
          </w:tcPr>
          <w:p>
            <w:pPr>
              <w:spacing w:after="0"/>
              <w:rPr>
                <w:sz w:val="13"/>
                <w:szCs w:val="13"/>
                <w:color w:val="auto"/>
              </w:rPr>
            </w:pPr>
          </w:p>
        </w:tc>
        <w:tc>
          <w:tcPr>
            <w:tcW w:w="1440" w:type="dxa"/>
            <w:vAlign w:val="bottom"/>
            <w:shd w:val="clear" w:color="auto" w:fill="D8D8D8"/>
          </w:tcPr>
          <w:p>
            <w:pPr>
              <w:jc w:val="right"/>
              <w:ind w:right="370"/>
              <w:spacing w:after="0" w:line="155" w:lineRule="exact"/>
              <w:rPr>
                <w:sz w:val="20"/>
                <w:szCs w:val="20"/>
                <w:color w:val="auto"/>
              </w:rPr>
            </w:pPr>
            <w:r>
              <w:rPr>
                <w:rFonts w:ascii="Arial" w:cs="Arial" w:eastAsia="Arial" w:hAnsi="Arial"/>
                <w:sz w:val="14"/>
                <w:szCs w:val="14"/>
                <w:color w:val="auto"/>
              </w:rPr>
              <w:t>43</w:t>
            </w:r>
          </w:p>
        </w:tc>
        <w:tc>
          <w:tcPr>
            <w:tcW w:w="1020" w:type="dxa"/>
            <w:vAlign w:val="bottom"/>
          </w:tcPr>
          <w:p>
            <w:pPr>
              <w:spacing w:after="0"/>
              <w:rPr>
                <w:sz w:val="13"/>
                <w:szCs w:val="13"/>
                <w:color w:val="auto"/>
              </w:rPr>
            </w:pPr>
          </w:p>
        </w:tc>
        <w:tc>
          <w:tcPr>
            <w:tcW w:w="780" w:type="dxa"/>
            <w:vAlign w:val="bottom"/>
          </w:tcPr>
          <w:p>
            <w:pPr>
              <w:jc w:val="right"/>
              <w:ind w:right="270"/>
              <w:spacing w:after="0" w:line="155" w:lineRule="exact"/>
              <w:rPr>
                <w:sz w:val="20"/>
                <w:szCs w:val="20"/>
                <w:color w:val="auto"/>
              </w:rPr>
            </w:pPr>
            <w:r>
              <w:rPr>
                <w:rFonts w:ascii="Arial" w:cs="Arial" w:eastAsia="Arial" w:hAnsi="Arial"/>
                <w:sz w:val="14"/>
                <w:szCs w:val="14"/>
                <w:color w:val="auto"/>
              </w:rPr>
              <w:t>24</w:t>
            </w:r>
          </w:p>
        </w:tc>
        <w:tc>
          <w:tcPr>
            <w:tcW w:w="1220" w:type="dxa"/>
            <w:vAlign w:val="bottom"/>
          </w:tcPr>
          <w:p>
            <w:pPr>
              <w:jc w:val="right"/>
              <w:ind w:right="491"/>
              <w:spacing w:after="0" w:line="155" w:lineRule="exact"/>
              <w:rPr>
                <w:sz w:val="20"/>
                <w:szCs w:val="20"/>
                <w:color w:val="auto"/>
              </w:rPr>
            </w:pPr>
            <w:r>
              <w:rPr>
                <w:rFonts w:ascii="Arial" w:cs="Arial" w:eastAsia="Arial" w:hAnsi="Arial"/>
                <w:sz w:val="14"/>
                <w:szCs w:val="14"/>
                <w:color w:val="auto"/>
              </w:rPr>
              <w:t>25</w:t>
            </w:r>
          </w:p>
        </w:tc>
        <w:tc>
          <w:tcPr>
            <w:tcW w:w="0" w:type="dxa"/>
            <w:vAlign w:val="bottom"/>
          </w:tcPr>
          <w:p>
            <w:pPr>
              <w:spacing w:after="0"/>
              <w:rPr>
                <w:sz w:val="1"/>
                <w:szCs w:val="1"/>
                <w:color w:val="auto"/>
              </w:rPr>
            </w:pPr>
          </w:p>
        </w:tc>
      </w:tr>
      <w:tr>
        <w:trPr>
          <w:trHeight w:val="162"/>
        </w:trPr>
        <w:tc>
          <w:tcPr>
            <w:tcW w:w="5600" w:type="dxa"/>
            <w:vAlign w:val="bottom"/>
          </w:tcPr>
          <w:p>
            <w:pPr>
              <w:spacing w:after="0"/>
              <w:rPr>
                <w:sz w:val="20"/>
                <w:szCs w:val="20"/>
                <w:color w:val="auto"/>
              </w:rPr>
            </w:pPr>
            <w:r>
              <w:rPr>
                <w:rFonts w:ascii="Arial" w:cs="Arial" w:eastAsia="Arial" w:hAnsi="Arial"/>
                <w:sz w:val="14"/>
                <w:szCs w:val="14"/>
                <w:color w:val="auto"/>
              </w:rPr>
              <w:t>Retirement benefits</w:t>
            </w:r>
          </w:p>
        </w:tc>
        <w:tc>
          <w:tcPr>
            <w:tcW w:w="1360" w:type="dxa"/>
            <w:vAlign w:val="bottom"/>
          </w:tcPr>
          <w:p>
            <w:pPr>
              <w:spacing w:after="0"/>
              <w:rPr>
                <w:sz w:val="14"/>
                <w:szCs w:val="14"/>
                <w:color w:val="auto"/>
              </w:rPr>
            </w:pPr>
          </w:p>
        </w:tc>
        <w:tc>
          <w:tcPr>
            <w:tcW w:w="1440" w:type="dxa"/>
            <w:vAlign w:val="bottom"/>
            <w:shd w:val="clear" w:color="auto" w:fill="D8D8D8"/>
          </w:tcPr>
          <w:p>
            <w:pPr>
              <w:jc w:val="right"/>
              <w:ind w:right="370"/>
              <w:spacing w:after="0"/>
              <w:rPr>
                <w:sz w:val="20"/>
                <w:szCs w:val="20"/>
                <w:color w:val="auto"/>
              </w:rPr>
            </w:pPr>
            <w:r>
              <w:rPr>
                <w:rFonts w:ascii="Arial" w:cs="Arial" w:eastAsia="Arial" w:hAnsi="Arial"/>
                <w:sz w:val="14"/>
                <w:szCs w:val="14"/>
                <w:color w:val="auto"/>
              </w:rPr>
              <w:t>4</w:t>
            </w:r>
          </w:p>
        </w:tc>
        <w:tc>
          <w:tcPr>
            <w:tcW w:w="1020" w:type="dxa"/>
            <w:vAlign w:val="bottom"/>
          </w:tcPr>
          <w:p>
            <w:pPr>
              <w:spacing w:after="0"/>
              <w:rPr>
                <w:sz w:val="14"/>
                <w:szCs w:val="14"/>
                <w:color w:val="auto"/>
              </w:rPr>
            </w:pPr>
          </w:p>
        </w:tc>
        <w:tc>
          <w:tcPr>
            <w:tcW w:w="780" w:type="dxa"/>
            <w:vAlign w:val="bottom"/>
          </w:tcPr>
          <w:p>
            <w:pPr>
              <w:jc w:val="right"/>
              <w:ind w:right="270"/>
              <w:spacing w:after="0"/>
              <w:rPr>
                <w:sz w:val="20"/>
                <w:szCs w:val="20"/>
                <w:color w:val="auto"/>
              </w:rPr>
            </w:pPr>
            <w:r>
              <w:rPr>
                <w:rFonts w:ascii="Arial" w:cs="Arial" w:eastAsia="Arial" w:hAnsi="Arial"/>
                <w:sz w:val="14"/>
                <w:szCs w:val="14"/>
                <w:color w:val="auto"/>
              </w:rPr>
              <w:t>5</w:t>
            </w:r>
          </w:p>
        </w:tc>
        <w:tc>
          <w:tcPr>
            <w:tcW w:w="1220" w:type="dxa"/>
            <w:vAlign w:val="bottom"/>
          </w:tcPr>
          <w:p>
            <w:pPr>
              <w:jc w:val="right"/>
              <w:ind w:right="491"/>
              <w:spacing w:after="0"/>
              <w:rPr>
                <w:sz w:val="20"/>
                <w:szCs w:val="20"/>
                <w:color w:val="auto"/>
              </w:rPr>
            </w:pPr>
            <w:r>
              <w:rPr>
                <w:rFonts w:ascii="Arial" w:cs="Arial" w:eastAsia="Arial" w:hAnsi="Arial"/>
                <w:sz w:val="14"/>
                <w:szCs w:val="14"/>
                <w:color w:val="auto"/>
              </w:rPr>
              <w:t>5</w:t>
            </w:r>
          </w:p>
        </w:tc>
        <w:tc>
          <w:tcPr>
            <w:tcW w:w="0" w:type="dxa"/>
            <w:vAlign w:val="bottom"/>
          </w:tcPr>
          <w:p>
            <w:pPr>
              <w:spacing w:after="0"/>
              <w:rPr>
                <w:sz w:val="1"/>
                <w:szCs w:val="1"/>
                <w:color w:val="auto"/>
              </w:rPr>
            </w:pPr>
          </w:p>
        </w:tc>
      </w:tr>
      <w:tr>
        <w:trPr>
          <w:trHeight w:val="162"/>
        </w:trPr>
        <w:tc>
          <w:tcPr>
            <w:tcW w:w="560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Share-based compensation</w:t>
            </w:r>
          </w:p>
        </w:tc>
        <w:tc>
          <w:tcPr>
            <w:tcW w:w="136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shd w:val="clear" w:color="auto" w:fill="D8D8D8"/>
          </w:tcPr>
          <w:p>
            <w:pPr>
              <w:jc w:val="right"/>
              <w:ind w:right="370"/>
              <w:spacing w:after="0"/>
              <w:rPr>
                <w:sz w:val="20"/>
                <w:szCs w:val="20"/>
                <w:color w:val="auto"/>
              </w:rPr>
            </w:pPr>
            <w:r>
              <w:rPr>
                <w:rFonts w:ascii="Arial" w:cs="Arial" w:eastAsia="Arial" w:hAnsi="Arial"/>
                <w:sz w:val="14"/>
                <w:szCs w:val="14"/>
                <w:color w:val="auto"/>
              </w:rPr>
              <w:t>18</w:t>
            </w:r>
          </w:p>
        </w:tc>
        <w:tc>
          <w:tcPr>
            <w:tcW w:w="10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70"/>
              <w:spacing w:after="0"/>
              <w:rPr>
                <w:sz w:val="20"/>
                <w:szCs w:val="20"/>
                <w:color w:val="auto"/>
              </w:rPr>
            </w:pPr>
            <w:r>
              <w:rPr>
                <w:rFonts w:ascii="Arial" w:cs="Arial" w:eastAsia="Arial" w:hAnsi="Arial"/>
                <w:sz w:val="14"/>
                <w:szCs w:val="14"/>
                <w:color w:val="auto"/>
              </w:rPr>
              <w:t>23</w:t>
            </w:r>
          </w:p>
        </w:tc>
        <w:tc>
          <w:tcPr>
            <w:tcW w:w="122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color w:val="auto"/>
              </w:rPr>
              <w:t>47</w:t>
            </w:r>
          </w:p>
        </w:tc>
        <w:tc>
          <w:tcPr>
            <w:tcW w:w="0" w:type="dxa"/>
            <w:vAlign w:val="bottom"/>
          </w:tcPr>
          <w:p>
            <w:pPr>
              <w:spacing w:after="0"/>
              <w:rPr>
                <w:sz w:val="1"/>
                <w:szCs w:val="1"/>
                <w:color w:val="auto"/>
              </w:rPr>
            </w:pPr>
          </w:p>
        </w:tc>
      </w:tr>
      <w:tr>
        <w:trPr>
          <w:trHeight w:val="156"/>
        </w:trPr>
        <w:tc>
          <w:tcPr>
            <w:tcW w:w="5600" w:type="dxa"/>
            <w:vAlign w:val="bottom"/>
            <w:tcBorders>
              <w:bottom w:val="single" w:sz="8" w:color="auto"/>
            </w:tcBorders>
          </w:tcPr>
          <w:p>
            <w:pPr>
              <w:spacing w:after="0" w:line="155" w:lineRule="exact"/>
              <w:rPr>
                <w:sz w:val="20"/>
                <w:szCs w:val="20"/>
                <w:color w:val="auto"/>
              </w:rPr>
            </w:pPr>
            <w:r>
              <w:rPr>
                <w:rFonts w:ascii="Arial" w:cs="Arial" w:eastAsia="Arial" w:hAnsi="Arial"/>
                <w:sz w:val="14"/>
                <w:szCs w:val="14"/>
                <w:color w:val="auto"/>
              </w:rPr>
              <w:t>Total</w:t>
            </w:r>
          </w:p>
        </w:tc>
        <w:tc>
          <w:tcPr>
            <w:tcW w:w="1360" w:type="dxa"/>
            <w:vAlign w:val="bottom"/>
            <w:tcBorders>
              <w:bottom w:val="single" w:sz="8" w:color="auto"/>
            </w:tcBorders>
          </w:tcPr>
          <w:p>
            <w:pPr>
              <w:spacing w:after="0"/>
              <w:rPr>
                <w:sz w:val="13"/>
                <w:szCs w:val="13"/>
                <w:color w:val="auto"/>
              </w:rPr>
            </w:pPr>
          </w:p>
        </w:tc>
        <w:tc>
          <w:tcPr>
            <w:tcW w:w="1440" w:type="dxa"/>
            <w:vAlign w:val="bottom"/>
            <w:tcBorders>
              <w:bottom w:val="single" w:sz="8" w:color="auto"/>
            </w:tcBorders>
            <w:shd w:val="clear" w:color="auto" w:fill="D8D8D8"/>
          </w:tcPr>
          <w:p>
            <w:pPr>
              <w:jc w:val="right"/>
              <w:ind w:right="370"/>
              <w:spacing w:after="0" w:line="155" w:lineRule="exact"/>
              <w:rPr>
                <w:sz w:val="20"/>
                <w:szCs w:val="20"/>
                <w:color w:val="auto"/>
              </w:rPr>
            </w:pPr>
            <w:r>
              <w:rPr>
                <w:rFonts w:ascii="Arial" w:cs="Arial" w:eastAsia="Arial" w:hAnsi="Arial"/>
                <w:sz w:val="14"/>
                <w:szCs w:val="14"/>
                <w:color w:val="auto"/>
              </w:rPr>
              <w:t>65</w:t>
            </w:r>
          </w:p>
        </w:tc>
        <w:tc>
          <w:tcPr>
            <w:tcW w:w="102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270"/>
              <w:spacing w:after="0" w:line="155" w:lineRule="exact"/>
              <w:rPr>
                <w:sz w:val="20"/>
                <w:szCs w:val="20"/>
                <w:color w:val="auto"/>
              </w:rPr>
            </w:pPr>
            <w:r>
              <w:rPr>
                <w:rFonts w:ascii="Arial" w:cs="Arial" w:eastAsia="Arial" w:hAnsi="Arial"/>
                <w:sz w:val="14"/>
                <w:szCs w:val="14"/>
                <w:color w:val="auto"/>
              </w:rPr>
              <w:t>52</w:t>
            </w:r>
          </w:p>
        </w:tc>
        <w:tc>
          <w:tcPr>
            <w:tcW w:w="1220" w:type="dxa"/>
            <w:vAlign w:val="bottom"/>
            <w:tcBorders>
              <w:bottom w:val="single" w:sz="8" w:color="auto"/>
            </w:tcBorders>
          </w:tcPr>
          <w:p>
            <w:pPr>
              <w:jc w:val="right"/>
              <w:ind w:right="491"/>
              <w:spacing w:after="0" w:line="155" w:lineRule="exact"/>
              <w:rPr>
                <w:sz w:val="20"/>
                <w:szCs w:val="20"/>
                <w:color w:val="auto"/>
              </w:rPr>
            </w:pPr>
            <w:r>
              <w:rPr>
                <w:rFonts w:ascii="Arial" w:cs="Arial" w:eastAsia="Arial" w:hAnsi="Arial"/>
                <w:sz w:val="14"/>
                <w:szCs w:val="14"/>
                <w:color w:val="auto"/>
              </w:rPr>
              <w:t>77</w:t>
            </w:r>
          </w:p>
        </w:tc>
        <w:tc>
          <w:tcPr>
            <w:tcW w:w="0" w:type="dxa"/>
            <w:vAlign w:val="bottom"/>
          </w:tcPr>
          <w:p>
            <w:pPr>
              <w:spacing w:after="0"/>
              <w:rPr>
                <w:sz w:val="1"/>
                <w:szCs w:val="1"/>
                <w:color w:val="auto"/>
              </w:rPr>
            </w:pPr>
          </w:p>
        </w:tc>
      </w:tr>
    </w:tbl>
    <w:p>
      <w:pPr>
        <w:spacing w:after="0" w:line="194" w:lineRule="exact"/>
        <w:rPr>
          <w:sz w:val="20"/>
          <w:szCs w:val="20"/>
          <w:color w:val="auto"/>
        </w:rPr>
      </w:pPr>
    </w:p>
    <w:p>
      <w:pPr>
        <w:spacing w:after="0"/>
        <w:rPr>
          <w:sz w:val="20"/>
          <w:szCs w:val="20"/>
          <w:color w:val="auto"/>
        </w:rPr>
      </w:pPr>
      <w:r>
        <w:rPr>
          <w:rFonts w:ascii="Arial" w:cs="Arial" w:eastAsia="Arial" w:hAnsi="Arial"/>
          <w:sz w:val="14"/>
          <w:szCs w:val="14"/>
          <w:color w:val="auto"/>
        </w:rPr>
        <w:t>Directors and Senior Management comprise members of the Executive Committee and the Non-executive Directors of the Company.</w:t>
      </w:r>
    </w:p>
    <w:p>
      <w:pPr>
        <w:spacing w:after="0" w:line="177" w:lineRule="exact"/>
        <w:rPr>
          <w:sz w:val="20"/>
          <w:szCs w:val="20"/>
          <w:color w:val="auto"/>
        </w:rPr>
      </w:pPr>
    </w:p>
    <w:p>
      <w:pPr>
        <w:ind w:right="100"/>
        <w:spacing w:after="0" w:line="247" w:lineRule="auto"/>
        <w:rPr>
          <w:sz w:val="20"/>
          <w:szCs w:val="20"/>
          <w:color w:val="auto"/>
        </w:rPr>
      </w:pPr>
      <w:r>
        <w:rPr>
          <w:rFonts w:ascii="Arial" w:cs="Arial" w:eastAsia="Arial" w:hAnsi="Arial"/>
          <w:sz w:val="14"/>
          <w:szCs w:val="14"/>
          <w:color w:val="auto"/>
        </w:rPr>
        <w:t>Short-term benefits comprise salaries and fees, annual bonuses delivered in cash (for the period for which performance is assessed), other benefits and employer social security contributions. Short-term benefits in 2014 included tax equalisation as described on the previous page. In addition, costs of $1 million were incurred in 2014 (2013: $6 million; 2012: $8 million) in respect of additional employee levies in the Netherlands. Share-based compensation in 2012 included exceptional costs recognised in respect of an Executive Director who stood down during the year.</w:t>
      </w:r>
    </w:p>
    <w:p>
      <w:pPr>
        <w:spacing w:after="0" w:line="161" w:lineRule="exact"/>
        <w:rPr>
          <w:sz w:val="20"/>
          <w:szCs w:val="20"/>
          <w:color w:val="auto"/>
        </w:rPr>
      </w:pPr>
    </w:p>
    <w:p>
      <w:pPr>
        <w:ind w:right="40"/>
        <w:spacing w:after="0" w:line="258" w:lineRule="auto"/>
        <w:rPr>
          <w:sz w:val="20"/>
          <w:szCs w:val="20"/>
          <w:color w:val="auto"/>
        </w:rPr>
      </w:pPr>
      <w:r>
        <w:rPr>
          <w:rFonts w:ascii="Arial" w:cs="Arial" w:eastAsia="Arial" w:hAnsi="Arial"/>
          <w:sz w:val="14"/>
          <w:szCs w:val="14"/>
          <w:color w:val="auto"/>
        </w:rPr>
        <w:t>In addition to the amounts presented for 2014 were termination and related amounts of $5 million (2013: $nil; 2012: $6 million) in respect of Directors and Senior Management who stood down during the year.</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auto"/>
        </w:rPr>
        <w:t>28 AUDITOR’S REMUNERATION</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6960" w:type="dxa"/>
            <w:vAlign w:val="bottom"/>
            <w:shd w:val="clear" w:color="auto" w:fill="333333"/>
          </w:tcPr>
          <w:p>
            <w:pPr>
              <w:spacing w:after="0"/>
              <w:rPr>
                <w:sz w:val="14"/>
                <w:szCs w:val="14"/>
                <w:color w:val="auto"/>
              </w:rPr>
            </w:pPr>
          </w:p>
        </w:tc>
        <w:tc>
          <w:tcPr>
            <w:tcW w:w="1440" w:type="dxa"/>
            <w:vAlign w:val="bottom"/>
            <w:shd w:val="clear" w:color="auto" w:fill="333333"/>
          </w:tcPr>
          <w:p>
            <w:pPr>
              <w:spacing w:after="0"/>
              <w:rPr>
                <w:sz w:val="14"/>
                <w:szCs w:val="14"/>
                <w:color w:val="auto"/>
              </w:rPr>
            </w:pPr>
          </w:p>
        </w:tc>
        <w:tc>
          <w:tcPr>
            <w:tcW w:w="1800" w:type="dxa"/>
            <w:vAlign w:val="bottom"/>
            <w:shd w:val="clear" w:color="auto" w:fill="333333"/>
          </w:tcPr>
          <w:p>
            <w:pPr>
              <w:spacing w:after="0"/>
              <w:rPr>
                <w:sz w:val="14"/>
                <w:szCs w:val="14"/>
                <w:color w:val="auto"/>
              </w:rPr>
            </w:pPr>
          </w:p>
        </w:tc>
        <w:tc>
          <w:tcPr>
            <w:tcW w:w="1220" w:type="dxa"/>
            <w:vAlign w:val="bottom"/>
            <w:shd w:val="clear" w:color="auto" w:fill="333333"/>
          </w:tcPr>
          <w:p>
            <w:pPr>
              <w:jc w:val="right"/>
              <w:ind w:right="69"/>
              <w:spacing w:after="0"/>
              <w:rPr>
                <w:sz w:val="20"/>
                <w:szCs w:val="20"/>
                <w:color w:val="auto"/>
              </w:rPr>
            </w:pPr>
            <w:r>
              <w:rPr>
                <w:rFonts w:ascii="Arial" w:cs="Arial" w:eastAsia="Arial" w:hAnsi="Arial"/>
                <w:sz w:val="15"/>
                <w:szCs w:val="15"/>
                <w:color w:val="FFFFFF"/>
              </w:rPr>
              <w:t>$ MILLION</w:t>
            </w:r>
          </w:p>
        </w:tc>
      </w:tr>
      <w:tr>
        <w:trPr>
          <w:trHeight w:val="149"/>
        </w:trPr>
        <w:tc>
          <w:tcPr>
            <w:tcW w:w="6960" w:type="dxa"/>
            <w:vAlign w:val="bottom"/>
            <w:tcBorders>
              <w:bottom w:val="single" w:sz="8" w:color="auto"/>
            </w:tcBorders>
          </w:tcPr>
          <w:p>
            <w:pPr>
              <w:spacing w:after="0"/>
              <w:rPr>
                <w:sz w:val="12"/>
                <w:szCs w:val="12"/>
                <w:color w:val="auto"/>
              </w:rPr>
            </w:pPr>
          </w:p>
        </w:tc>
        <w:tc>
          <w:tcPr>
            <w:tcW w:w="1440" w:type="dxa"/>
            <w:vAlign w:val="bottom"/>
            <w:tcBorders>
              <w:bottom w:val="single" w:sz="8" w:color="auto"/>
            </w:tcBorders>
            <w:shd w:val="clear" w:color="auto" w:fill="D8D8D8"/>
          </w:tcPr>
          <w:p>
            <w:pPr>
              <w:jc w:val="right"/>
              <w:ind w:right="369"/>
              <w:spacing w:after="0"/>
              <w:rPr>
                <w:sz w:val="20"/>
                <w:szCs w:val="20"/>
                <w:color w:val="auto"/>
              </w:rPr>
            </w:pPr>
            <w:r>
              <w:rPr>
                <w:rFonts w:ascii="Arial" w:cs="Arial" w:eastAsia="Arial" w:hAnsi="Arial"/>
                <w:sz w:val="13"/>
                <w:szCs w:val="13"/>
                <w:color w:val="auto"/>
              </w:rPr>
              <w:t>2014</w:t>
            </w:r>
          </w:p>
        </w:tc>
        <w:tc>
          <w:tcPr>
            <w:tcW w:w="1800" w:type="dxa"/>
            <w:vAlign w:val="bottom"/>
            <w:tcBorders>
              <w:bottom w:val="single" w:sz="8" w:color="auto"/>
            </w:tcBorders>
          </w:tcPr>
          <w:p>
            <w:pPr>
              <w:jc w:val="right"/>
              <w:ind w:right="269"/>
              <w:spacing w:after="0"/>
              <w:rPr>
                <w:sz w:val="20"/>
                <w:szCs w:val="20"/>
                <w:color w:val="auto"/>
              </w:rPr>
            </w:pPr>
            <w:r>
              <w:rPr>
                <w:rFonts w:ascii="Arial" w:cs="Arial" w:eastAsia="Arial" w:hAnsi="Arial"/>
                <w:sz w:val="13"/>
                <w:szCs w:val="13"/>
                <w:color w:val="auto"/>
              </w:rPr>
              <w:t>2013</w:t>
            </w:r>
          </w:p>
        </w:tc>
        <w:tc>
          <w:tcPr>
            <w:tcW w:w="1220" w:type="dxa"/>
            <w:vAlign w:val="bottom"/>
            <w:tcBorders>
              <w:bottom w:val="single" w:sz="8" w:color="auto"/>
            </w:tcBorders>
          </w:tcPr>
          <w:p>
            <w:pPr>
              <w:jc w:val="right"/>
              <w:ind w:right="489"/>
              <w:spacing w:after="0"/>
              <w:rPr>
                <w:sz w:val="20"/>
                <w:szCs w:val="20"/>
                <w:color w:val="auto"/>
              </w:rPr>
            </w:pPr>
            <w:r>
              <w:rPr>
                <w:rFonts w:ascii="Arial" w:cs="Arial" w:eastAsia="Arial" w:hAnsi="Arial"/>
                <w:sz w:val="13"/>
                <w:szCs w:val="13"/>
                <w:color w:val="auto"/>
              </w:rPr>
              <w:t>2012</w:t>
            </w:r>
          </w:p>
        </w:tc>
      </w:tr>
      <w:tr>
        <w:trPr>
          <w:trHeight w:val="160"/>
        </w:trPr>
        <w:tc>
          <w:tcPr>
            <w:tcW w:w="6960" w:type="dxa"/>
            <w:vAlign w:val="bottom"/>
          </w:tcPr>
          <w:p>
            <w:pPr>
              <w:spacing w:after="0"/>
              <w:rPr>
                <w:sz w:val="20"/>
                <w:szCs w:val="20"/>
                <w:color w:val="auto"/>
              </w:rPr>
            </w:pPr>
            <w:r>
              <w:rPr>
                <w:rFonts w:ascii="Arial" w:cs="Arial" w:eastAsia="Arial" w:hAnsi="Arial"/>
                <w:sz w:val="14"/>
                <w:szCs w:val="14"/>
                <w:color w:val="auto"/>
              </w:rPr>
              <w:t>Fees in respect of the audit of the Consolidated and Parent Company Financial Statements, including audit</w:t>
            </w:r>
          </w:p>
        </w:tc>
        <w:tc>
          <w:tcPr>
            <w:tcW w:w="1440" w:type="dxa"/>
            <w:vAlign w:val="bottom"/>
            <w:shd w:val="clear" w:color="auto" w:fill="D8D8D8"/>
          </w:tcPr>
          <w:p>
            <w:pPr>
              <w:spacing w:after="0"/>
              <w:rPr>
                <w:sz w:val="13"/>
                <w:szCs w:val="13"/>
                <w:color w:val="auto"/>
              </w:rPr>
            </w:pPr>
          </w:p>
        </w:tc>
        <w:tc>
          <w:tcPr>
            <w:tcW w:w="1800" w:type="dxa"/>
            <w:vAlign w:val="bottom"/>
          </w:tcPr>
          <w:p>
            <w:pPr>
              <w:spacing w:after="0"/>
              <w:rPr>
                <w:sz w:val="13"/>
                <w:szCs w:val="13"/>
                <w:color w:val="auto"/>
              </w:rPr>
            </w:pPr>
          </w:p>
        </w:tc>
        <w:tc>
          <w:tcPr>
            <w:tcW w:w="1220" w:type="dxa"/>
            <w:vAlign w:val="bottom"/>
          </w:tcPr>
          <w:p>
            <w:pPr>
              <w:spacing w:after="0"/>
              <w:rPr>
                <w:sz w:val="13"/>
                <w:szCs w:val="13"/>
                <w:color w:val="auto"/>
              </w:rPr>
            </w:pPr>
          </w:p>
        </w:tc>
      </w:tr>
      <w:tr>
        <w:trPr>
          <w:trHeight w:val="157"/>
        </w:trPr>
        <w:tc>
          <w:tcPr>
            <w:tcW w:w="6960" w:type="dxa"/>
            <w:vAlign w:val="bottom"/>
          </w:tcPr>
          <w:p>
            <w:pPr>
              <w:ind w:left="160"/>
              <w:spacing w:after="0" w:line="157" w:lineRule="exact"/>
              <w:rPr>
                <w:sz w:val="20"/>
                <w:szCs w:val="20"/>
                <w:color w:val="auto"/>
              </w:rPr>
            </w:pPr>
            <w:r>
              <w:rPr>
                <w:rFonts w:ascii="Arial" w:cs="Arial" w:eastAsia="Arial" w:hAnsi="Arial"/>
                <w:sz w:val="14"/>
                <w:szCs w:val="14"/>
                <w:color w:val="auto"/>
              </w:rPr>
              <w:t>of consolidation returns</w:t>
            </w:r>
          </w:p>
        </w:tc>
        <w:tc>
          <w:tcPr>
            <w:tcW w:w="1440" w:type="dxa"/>
            <w:vAlign w:val="bottom"/>
            <w:shd w:val="clear" w:color="auto" w:fill="D8D8D8"/>
          </w:tcPr>
          <w:p>
            <w:pPr>
              <w:jc w:val="right"/>
              <w:ind w:right="369"/>
              <w:spacing w:after="0" w:line="157" w:lineRule="exact"/>
              <w:rPr>
                <w:sz w:val="20"/>
                <w:szCs w:val="20"/>
                <w:color w:val="auto"/>
              </w:rPr>
            </w:pPr>
            <w:r>
              <w:rPr>
                <w:rFonts w:ascii="Arial" w:cs="Arial" w:eastAsia="Arial" w:hAnsi="Arial"/>
                <w:sz w:val="14"/>
                <w:szCs w:val="14"/>
                <w:color w:val="auto"/>
              </w:rPr>
              <w:t>5</w:t>
            </w:r>
          </w:p>
        </w:tc>
        <w:tc>
          <w:tcPr>
            <w:tcW w:w="1800" w:type="dxa"/>
            <w:vAlign w:val="bottom"/>
          </w:tcPr>
          <w:p>
            <w:pPr>
              <w:jc w:val="right"/>
              <w:ind w:right="269"/>
              <w:spacing w:after="0" w:line="157" w:lineRule="exact"/>
              <w:rPr>
                <w:sz w:val="20"/>
                <w:szCs w:val="20"/>
                <w:color w:val="auto"/>
              </w:rPr>
            </w:pPr>
            <w:r>
              <w:rPr>
                <w:rFonts w:ascii="Arial" w:cs="Arial" w:eastAsia="Arial" w:hAnsi="Arial"/>
                <w:sz w:val="14"/>
                <w:szCs w:val="14"/>
                <w:color w:val="auto"/>
              </w:rPr>
              <w:t>5</w:t>
            </w:r>
          </w:p>
        </w:tc>
        <w:tc>
          <w:tcPr>
            <w:tcW w:w="1220" w:type="dxa"/>
            <w:vAlign w:val="bottom"/>
          </w:tcPr>
          <w:p>
            <w:pPr>
              <w:jc w:val="right"/>
              <w:ind w:right="489"/>
              <w:spacing w:after="0" w:line="157" w:lineRule="exact"/>
              <w:rPr>
                <w:sz w:val="20"/>
                <w:szCs w:val="20"/>
                <w:color w:val="auto"/>
              </w:rPr>
            </w:pPr>
            <w:r>
              <w:rPr>
                <w:rFonts w:ascii="Arial" w:cs="Arial" w:eastAsia="Arial" w:hAnsi="Arial"/>
                <w:sz w:val="14"/>
                <w:szCs w:val="14"/>
                <w:color w:val="auto"/>
              </w:rPr>
              <w:t>5</w:t>
            </w:r>
          </w:p>
        </w:tc>
      </w:tr>
      <w:tr>
        <w:trPr>
          <w:trHeight w:val="162"/>
        </w:trPr>
        <w:tc>
          <w:tcPr>
            <w:tcW w:w="696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Other audit fees, principally in respect of audits of accounts of subsidiaries</w:t>
            </w:r>
          </w:p>
        </w:tc>
        <w:tc>
          <w:tcPr>
            <w:tcW w:w="1440" w:type="dxa"/>
            <w:vAlign w:val="bottom"/>
            <w:tcBorders>
              <w:bottom w:val="single" w:sz="8" w:color="auto"/>
            </w:tcBorders>
            <w:shd w:val="clear" w:color="auto" w:fill="D8D8D8"/>
          </w:tcPr>
          <w:p>
            <w:pPr>
              <w:jc w:val="right"/>
              <w:ind w:right="369"/>
              <w:spacing w:after="0"/>
              <w:rPr>
                <w:sz w:val="20"/>
                <w:szCs w:val="20"/>
                <w:color w:val="auto"/>
              </w:rPr>
            </w:pPr>
            <w:r>
              <w:rPr>
                <w:rFonts w:ascii="Arial" w:cs="Arial" w:eastAsia="Arial" w:hAnsi="Arial"/>
                <w:sz w:val="14"/>
                <w:szCs w:val="14"/>
                <w:color w:val="auto"/>
              </w:rPr>
              <w:t>45</w:t>
            </w:r>
          </w:p>
        </w:tc>
        <w:tc>
          <w:tcPr>
            <w:tcW w:w="1800" w:type="dxa"/>
            <w:vAlign w:val="bottom"/>
            <w:tcBorders>
              <w:bottom w:val="single" w:sz="8" w:color="auto"/>
            </w:tcBorders>
          </w:tcPr>
          <w:p>
            <w:pPr>
              <w:jc w:val="right"/>
              <w:ind w:right="269"/>
              <w:spacing w:after="0"/>
              <w:rPr>
                <w:sz w:val="20"/>
                <w:szCs w:val="20"/>
                <w:color w:val="auto"/>
              </w:rPr>
            </w:pPr>
            <w:r>
              <w:rPr>
                <w:rFonts w:ascii="Arial" w:cs="Arial" w:eastAsia="Arial" w:hAnsi="Arial"/>
                <w:sz w:val="14"/>
                <w:szCs w:val="14"/>
                <w:color w:val="auto"/>
              </w:rPr>
              <w:t>41</w:t>
            </w:r>
          </w:p>
        </w:tc>
        <w:tc>
          <w:tcPr>
            <w:tcW w:w="1220" w:type="dxa"/>
            <w:vAlign w:val="bottom"/>
            <w:tcBorders>
              <w:bottom w:val="single" w:sz="8" w:color="auto"/>
            </w:tcBorders>
          </w:tcPr>
          <w:p>
            <w:pPr>
              <w:jc w:val="right"/>
              <w:ind w:right="489"/>
              <w:spacing w:after="0"/>
              <w:rPr>
                <w:sz w:val="20"/>
                <w:szCs w:val="20"/>
                <w:color w:val="auto"/>
              </w:rPr>
            </w:pPr>
            <w:r>
              <w:rPr>
                <w:rFonts w:ascii="Arial" w:cs="Arial" w:eastAsia="Arial" w:hAnsi="Arial"/>
                <w:sz w:val="14"/>
                <w:szCs w:val="14"/>
                <w:color w:val="auto"/>
              </w:rPr>
              <w:t>41</w:t>
            </w:r>
          </w:p>
        </w:tc>
      </w:tr>
      <w:tr>
        <w:trPr>
          <w:trHeight w:val="156"/>
        </w:trPr>
        <w:tc>
          <w:tcPr>
            <w:tcW w:w="6960" w:type="dxa"/>
            <w:vAlign w:val="bottom"/>
            <w:tcBorders>
              <w:bottom w:val="single" w:sz="8" w:color="auto"/>
            </w:tcBorders>
          </w:tcPr>
          <w:p>
            <w:pPr>
              <w:spacing w:after="0" w:line="155" w:lineRule="exact"/>
              <w:rPr>
                <w:sz w:val="20"/>
                <w:szCs w:val="20"/>
                <w:color w:val="auto"/>
              </w:rPr>
            </w:pPr>
            <w:r>
              <w:rPr>
                <w:rFonts w:ascii="Arial" w:cs="Arial" w:eastAsia="Arial" w:hAnsi="Arial"/>
                <w:sz w:val="14"/>
                <w:szCs w:val="14"/>
                <w:color w:val="auto"/>
              </w:rPr>
              <w:t>Total audit fees</w:t>
            </w:r>
          </w:p>
        </w:tc>
        <w:tc>
          <w:tcPr>
            <w:tcW w:w="1440" w:type="dxa"/>
            <w:vAlign w:val="bottom"/>
            <w:tcBorders>
              <w:bottom w:val="single" w:sz="8" w:color="auto"/>
            </w:tcBorders>
            <w:shd w:val="clear" w:color="auto" w:fill="D8D8D8"/>
          </w:tcPr>
          <w:p>
            <w:pPr>
              <w:jc w:val="right"/>
              <w:ind w:right="369"/>
              <w:spacing w:after="0" w:line="155" w:lineRule="exact"/>
              <w:rPr>
                <w:sz w:val="20"/>
                <w:szCs w:val="20"/>
                <w:color w:val="auto"/>
              </w:rPr>
            </w:pPr>
            <w:r>
              <w:rPr>
                <w:rFonts w:ascii="Arial" w:cs="Arial" w:eastAsia="Arial" w:hAnsi="Arial"/>
                <w:sz w:val="14"/>
                <w:szCs w:val="14"/>
                <w:color w:val="auto"/>
              </w:rPr>
              <w:t>50</w:t>
            </w:r>
          </w:p>
        </w:tc>
        <w:tc>
          <w:tcPr>
            <w:tcW w:w="1800" w:type="dxa"/>
            <w:vAlign w:val="bottom"/>
            <w:tcBorders>
              <w:bottom w:val="single" w:sz="8" w:color="auto"/>
            </w:tcBorders>
          </w:tcPr>
          <w:p>
            <w:pPr>
              <w:jc w:val="right"/>
              <w:ind w:right="269"/>
              <w:spacing w:after="0" w:line="155" w:lineRule="exact"/>
              <w:rPr>
                <w:sz w:val="20"/>
                <w:szCs w:val="20"/>
                <w:color w:val="auto"/>
              </w:rPr>
            </w:pPr>
            <w:r>
              <w:rPr>
                <w:rFonts w:ascii="Arial" w:cs="Arial" w:eastAsia="Arial" w:hAnsi="Arial"/>
                <w:sz w:val="14"/>
                <w:szCs w:val="14"/>
                <w:color w:val="auto"/>
              </w:rPr>
              <w:t>46</w:t>
            </w:r>
          </w:p>
        </w:tc>
        <w:tc>
          <w:tcPr>
            <w:tcW w:w="1220" w:type="dxa"/>
            <w:vAlign w:val="bottom"/>
            <w:tcBorders>
              <w:bottom w:val="single" w:sz="8" w:color="auto"/>
            </w:tcBorders>
          </w:tcPr>
          <w:p>
            <w:pPr>
              <w:jc w:val="right"/>
              <w:ind w:right="489"/>
              <w:spacing w:after="0" w:line="155" w:lineRule="exact"/>
              <w:rPr>
                <w:sz w:val="20"/>
                <w:szCs w:val="20"/>
                <w:color w:val="auto"/>
              </w:rPr>
            </w:pPr>
            <w:r>
              <w:rPr>
                <w:rFonts w:ascii="Arial" w:cs="Arial" w:eastAsia="Arial" w:hAnsi="Arial"/>
                <w:sz w:val="14"/>
                <w:szCs w:val="14"/>
                <w:color w:val="auto"/>
              </w:rPr>
              <w:t>46</w:t>
            </w:r>
          </w:p>
        </w:tc>
      </w:tr>
      <w:tr>
        <w:trPr>
          <w:trHeight w:val="160"/>
        </w:trPr>
        <w:tc>
          <w:tcPr>
            <w:tcW w:w="6960" w:type="dxa"/>
            <w:vAlign w:val="bottom"/>
          </w:tcPr>
          <w:p>
            <w:pPr>
              <w:spacing w:after="0"/>
              <w:rPr>
                <w:sz w:val="20"/>
                <w:szCs w:val="20"/>
                <w:color w:val="auto"/>
              </w:rPr>
            </w:pPr>
            <w:r>
              <w:rPr>
                <w:rFonts w:ascii="Arial" w:cs="Arial" w:eastAsia="Arial" w:hAnsi="Arial"/>
                <w:sz w:val="14"/>
                <w:szCs w:val="14"/>
                <w:color w:val="auto"/>
              </w:rPr>
              <w:t>Audit-related fees (for other services provided pursuant to legislation)</w:t>
            </w:r>
          </w:p>
        </w:tc>
        <w:tc>
          <w:tcPr>
            <w:tcW w:w="1440" w:type="dxa"/>
            <w:vAlign w:val="bottom"/>
            <w:shd w:val="clear" w:color="auto" w:fill="D8D8D8"/>
          </w:tcPr>
          <w:p>
            <w:pPr>
              <w:jc w:val="right"/>
              <w:ind w:right="369"/>
              <w:spacing w:after="0"/>
              <w:rPr>
                <w:sz w:val="20"/>
                <w:szCs w:val="20"/>
                <w:color w:val="auto"/>
              </w:rPr>
            </w:pPr>
            <w:r>
              <w:rPr>
                <w:rFonts w:ascii="Arial" w:cs="Arial" w:eastAsia="Arial" w:hAnsi="Arial"/>
                <w:sz w:val="14"/>
                <w:szCs w:val="14"/>
                <w:color w:val="auto"/>
              </w:rPr>
              <w:t>2</w:t>
            </w:r>
          </w:p>
        </w:tc>
        <w:tc>
          <w:tcPr>
            <w:tcW w:w="1800" w:type="dxa"/>
            <w:vAlign w:val="bottom"/>
          </w:tcPr>
          <w:p>
            <w:pPr>
              <w:jc w:val="right"/>
              <w:ind w:right="269"/>
              <w:spacing w:after="0"/>
              <w:rPr>
                <w:sz w:val="20"/>
                <w:szCs w:val="20"/>
                <w:color w:val="auto"/>
              </w:rPr>
            </w:pPr>
            <w:r>
              <w:rPr>
                <w:rFonts w:ascii="Arial" w:cs="Arial" w:eastAsia="Arial" w:hAnsi="Arial"/>
                <w:sz w:val="14"/>
                <w:szCs w:val="14"/>
                <w:color w:val="auto"/>
              </w:rPr>
              <w:t>1</w:t>
            </w:r>
          </w:p>
        </w:tc>
        <w:tc>
          <w:tcPr>
            <w:tcW w:w="1220" w:type="dxa"/>
            <w:vAlign w:val="bottom"/>
          </w:tcPr>
          <w:p>
            <w:pPr>
              <w:jc w:val="right"/>
              <w:ind w:right="489"/>
              <w:spacing w:after="0"/>
              <w:rPr>
                <w:sz w:val="20"/>
                <w:szCs w:val="20"/>
                <w:color w:val="auto"/>
              </w:rPr>
            </w:pPr>
            <w:r>
              <w:rPr>
                <w:rFonts w:ascii="Arial" w:cs="Arial" w:eastAsia="Arial" w:hAnsi="Arial"/>
                <w:sz w:val="14"/>
                <w:szCs w:val="14"/>
                <w:color w:val="auto"/>
              </w:rPr>
              <w:t>1</w:t>
            </w:r>
          </w:p>
        </w:tc>
      </w:tr>
      <w:tr>
        <w:trPr>
          <w:trHeight w:val="157"/>
        </w:trPr>
        <w:tc>
          <w:tcPr>
            <w:tcW w:w="6960" w:type="dxa"/>
            <w:vAlign w:val="bottom"/>
            <w:tcBorders>
              <w:bottom w:val="single" w:sz="8" w:color="auto"/>
            </w:tcBorders>
          </w:tcPr>
          <w:p>
            <w:pPr>
              <w:spacing w:after="0" w:line="157" w:lineRule="exact"/>
              <w:rPr>
                <w:sz w:val="20"/>
                <w:szCs w:val="20"/>
                <w:color w:val="auto"/>
              </w:rPr>
            </w:pPr>
            <w:r>
              <w:rPr>
                <w:rFonts w:ascii="Arial" w:cs="Arial" w:eastAsia="Arial" w:hAnsi="Arial"/>
                <w:sz w:val="14"/>
                <w:szCs w:val="14"/>
                <w:color w:val="auto"/>
              </w:rPr>
              <w:t>Fees in respect of non-audit services (principally for tax compliance)</w:t>
            </w:r>
          </w:p>
        </w:tc>
        <w:tc>
          <w:tcPr>
            <w:tcW w:w="1440" w:type="dxa"/>
            <w:vAlign w:val="bottom"/>
            <w:tcBorders>
              <w:bottom w:val="single" w:sz="8" w:color="auto"/>
            </w:tcBorders>
            <w:shd w:val="clear" w:color="auto" w:fill="D8D8D8"/>
          </w:tcPr>
          <w:p>
            <w:pPr>
              <w:jc w:val="right"/>
              <w:ind w:right="369"/>
              <w:spacing w:after="0" w:line="157" w:lineRule="exact"/>
              <w:rPr>
                <w:sz w:val="20"/>
                <w:szCs w:val="20"/>
                <w:color w:val="auto"/>
              </w:rPr>
            </w:pPr>
            <w:r>
              <w:rPr>
                <w:rFonts w:ascii="Arial" w:cs="Arial" w:eastAsia="Arial" w:hAnsi="Arial"/>
                <w:sz w:val="14"/>
                <w:szCs w:val="14"/>
                <w:color w:val="auto"/>
              </w:rPr>
              <w:t>1</w:t>
            </w:r>
          </w:p>
        </w:tc>
        <w:tc>
          <w:tcPr>
            <w:tcW w:w="1800" w:type="dxa"/>
            <w:vAlign w:val="bottom"/>
            <w:tcBorders>
              <w:bottom w:val="single" w:sz="8" w:color="auto"/>
            </w:tcBorders>
          </w:tcPr>
          <w:p>
            <w:pPr>
              <w:jc w:val="right"/>
              <w:ind w:right="269"/>
              <w:spacing w:after="0" w:line="157" w:lineRule="exact"/>
              <w:rPr>
                <w:sz w:val="20"/>
                <w:szCs w:val="20"/>
                <w:color w:val="auto"/>
              </w:rPr>
            </w:pPr>
            <w:r>
              <w:rPr>
                <w:rFonts w:ascii="Arial" w:cs="Arial" w:eastAsia="Arial" w:hAnsi="Arial"/>
                <w:sz w:val="14"/>
                <w:szCs w:val="14"/>
                <w:color w:val="auto"/>
              </w:rPr>
              <w:t>1</w:t>
            </w:r>
          </w:p>
        </w:tc>
        <w:tc>
          <w:tcPr>
            <w:tcW w:w="1220" w:type="dxa"/>
            <w:vAlign w:val="bottom"/>
            <w:tcBorders>
              <w:bottom w:val="single" w:sz="8" w:color="auto"/>
            </w:tcBorders>
          </w:tcPr>
          <w:p>
            <w:pPr>
              <w:jc w:val="right"/>
              <w:ind w:right="489"/>
              <w:spacing w:after="0" w:line="157" w:lineRule="exact"/>
              <w:rPr>
                <w:sz w:val="20"/>
                <w:szCs w:val="20"/>
                <w:color w:val="auto"/>
              </w:rPr>
            </w:pPr>
            <w:r>
              <w:rPr>
                <w:rFonts w:ascii="Arial" w:cs="Arial" w:eastAsia="Arial" w:hAnsi="Arial"/>
                <w:sz w:val="14"/>
                <w:szCs w:val="14"/>
                <w:color w:val="auto"/>
              </w:rPr>
              <w:t>1</w:t>
            </w:r>
          </w:p>
        </w:tc>
      </w:tr>
      <w:tr>
        <w:trPr>
          <w:trHeight w:val="156"/>
        </w:trPr>
        <w:tc>
          <w:tcPr>
            <w:tcW w:w="6960" w:type="dxa"/>
            <w:vAlign w:val="bottom"/>
            <w:tcBorders>
              <w:bottom w:val="single" w:sz="8" w:color="auto"/>
            </w:tcBorders>
          </w:tcPr>
          <w:p>
            <w:pPr>
              <w:spacing w:after="0" w:line="155" w:lineRule="exact"/>
              <w:rPr>
                <w:sz w:val="20"/>
                <w:szCs w:val="20"/>
                <w:color w:val="auto"/>
              </w:rPr>
            </w:pPr>
            <w:r>
              <w:rPr>
                <w:rFonts w:ascii="Arial" w:cs="Arial" w:eastAsia="Arial" w:hAnsi="Arial"/>
                <w:sz w:val="14"/>
                <w:szCs w:val="14"/>
                <w:color w:val="auto"/>
              </w:rPr>
              <w:t>Total</w:t>
            </w:r>
          </w:p>
        </w:tc>
        <w:tc>
          <w:tcPr>
            <w:tcW w:w="1440" w:type="dxa"/>
            <w:vAlign w:val="bottom"/>
            <w:tcBorders>
              <w:bottom w:val="single" w:sz="8" w:color="auto"/>
            </w:tcBorders>
            <w:shd w:val="clear" w:color="auto" w:fill="D8D8D8"/>
          </w:tcPr>
          <w:p>
            <w:pPr>
              <w:jc w:val="right"/>
              <w:ind w:right="369"/>
              <w:spacing w:after="0" w:line="155" w:lineRule="exact"/>
              <w:rPr>
                <w:sz w:val="20"/>
                <w:szCs w:val="20"/>
                <w:color w:val="auto"/>
              </w:rPr>
            </w:pPr>
            <w:r>
              <w:rPr>
                <w:rFonts w:ascii="Arial" w:cs="Arial" w:eastAsia="Arial" w:hAnsi="Arial"/>
                <w:sz w:val="14"/>
                <w:szCs w:val="14"/>
                <w:color w:val="auto"/>
              </w:rPr>
              <w:t>53</w:t>
            </w:r>
          </w:p>
        </w:tc>
        <w:tc>
          <w:tcPr>
            <w:tcW w:w="1800" w:type="dxa"/>
            <w:vAlign w:val="bottom"/>
            <w:tcBorders>
              <w:bottom w:val="single" w:sz="8" w:color="auto"/>
            </w:tcBorders>
          </w:tcPr>
          <w:p>
            <w:pPr>
              <w:jc w:val="right"/>
              <w:ind w:right="269"/>
              <w:spacing w:after="0" w:line="155" w:lineRule="exact"/>
              <w:rPr>
                <w:sz w:val="20"/>
                <w:szCs w:val="20"/>
                <w:color w:val="auto"/>
              </w:rPr>
            </w:pPr>
            <w:r>
              <w:rPr>
                <w:rFonts w:ascii="Arial" w:cs="Arial" w:eastAsia="Arial" w:hAnsi="Arial"/>
                <w:sz w:val="14"/>
                <w:szCs w:val="14"/>
                <w:color w:val="auto"/>
              </w:rPr>
              <w:t>48</w:t>
            </w:r>
          </w:p>
        </w:tc>
        <w:tc>
          <w:tcPr>
            <w:tcW w:w="1220" w:type="dxa"/>
            <w:vAlign w:val="bottom"/>
            <w:tcBorders>
              <w:bottom w:val="single" w:sz="8" w:color="auto"/>
            </w:tcBorders>
          </w:tcPr>
          <w:p>
            <w:pPr>
              <w:jc w:val="right"/>
              <w:ind w:right="489"/>
              <w:spacing w:after="0" w:line="155" w:lineRule="exact"/>
              <w:rPr>
                <w:sz w:val="20"/>
                <w:szCs w:val="20"/>
                <w:color w:val="auto"/>
              </w:rPr>
            </w:pPr>
            <w:r>
              <w:rPr>
                <w:rFonts w:ascii="Arial" w:cs="Arial" w:eastAsia="Arial" w:hAnsi="Arial"/>
                <w:sz w:val="14"/>
                <w:szCs w:val="14"/>
                <w:color w:val="auto"/>
              </w:rPr>
              <w:t>48</w:t>
            </w:r>
          </w:p>
        </w:tc>
      </w:tr>
    </w:tbl>
    <w:p>
      <w:pPr>
        <w:spacing w:after="0" w:line="180" w:lineRule="exact"/>
        <w:rPr>
          <w:sz w:val="20"/>
          <w:szCs w:val="20"/>
          <w:color w:val="auto"/>
        </w:rPr>
      </w:pPr>
    </w:p>
    <w:p>
      <w:pPr>
        <w:spacing w:after="0"/>
        <w:rPr>
          <w:sz w:val="20"/>
          <w:szCs w:val="20"/>
          <w:color w:val="auto"/>
        </w:rPr>
      </w:pPr>
      <w:r>
        <w:rPr>
          <w:rFonts w:ascii="Arial" w:cs="Arial" w:eastAsia="Arial" w:hAnsi="Arial"/>
          <w:sz w:val="14"/>
          <w:szCs w:val="14"/>
          <w:color w:val="auto"/>
        </w:rPr>
        <w:t>In addition, PricewaterhouseCoopers provides audit services to retirement benefit plans for employees of subsidiaries. Remuneration amounted to $1 million in 2014 (2013: $1</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million; 2012: $2 million).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29 ACQUISITION OF REPSOL LNG BUSINESSES OUTSIDE NORTH AMERICA</w:t>
      </w:r>
    </w:p>
    <w:p>
      <w:pPr>
        <w:spacing w:after="0" w:line="1" w:lineRule="exact"/>
        <w:rPr>
          <w:sz w:val="20"/>
          <w:szCs w:val="20"/>
          <w:color w:val="auto"/>
        </w:rPr>
      </w:pPr>
    </w:p>
    <w:p>
      <w:pPr>
        <w:ind w:right="40"/>
        <w:spacing w:after="0" w:line="247" w:lineRule="auto"/>
        <w:rPr>
          <w:sz w:val="20"/>
          <w:szCs w:val="20"/>
          <w:color w:val="auto"/>
        </w:rPr>
      </w:pPr>
      <w:r>
        <w:rPr>
          <w:rFonts w:ascii="Arial" w:cs="Arial" w:eastAsia="Arial" w:hAnsi="Arial"/>
          <w:sz w:val="14"/>
          <w:szCs w:val="14"/>
          <w:color w:val="auto"/>
        </w:rPr>
        <w:t>On January 1, 2014, Shell acquired from Repsol S.A. all the voting rights in Repsol LNG Port Spain B.V., Repsol Comercializadora de Gas, S.A., Repsol LNG T&amp;T Ltd, LNG Shipping Operation Services Netherlands B.V., Netherlands ALNG Holding Company B.V. and Repsol GNL Peru S.A.C., the activities of which comprise LNG operations located in Trinidad and Tobago and Peru, and related shipping and marketing. The acquisition adds directly-managed LNG volumes to Shell’s existing portfolio. Cash consideration was $4,115 million, of which $3,385 million was paid on December 31, 2013 (see Note 11), and $730 million in 2014.</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6760" w:type="dxa"/>
            <w:vAlign w:val="bottom"/>
            <w:shd w:val="clear" w:color="auto" w:fill="333333"/>
          </w:tcPr>
          <w:p>
            <w:pPr>
              <w:ind w:left="80"/>
              <w:spacing w:after="0"/>
              <w:rPr>
                <w:sz w:val="20"/>
                <w:szCs w:val="20"/>
                <w:color w:val="auto"/>
              </w:rPr>
            </w:pPr>
            <w:r>
              <w:rPr>
                <w:rFonts w:ascii="Arial" w:cs="Arial" w:eastAsia="Arial" w:hAnsi="Arial"/>
                <w:sz w:val="15"/>
                <w:szCs w:val="15"/>
                <w:b w:val="1"/>
                <w:bCs w:val="1"/>
                <w:color w:val="FFFFFF"/>
              </w:rPr>
              <w:t>FAIR VALUE OF NET ASSETS ACQUIRED</w:t>
            </w:r>
          </w:p>
        </w:tc>
        <w:tc>
          <w:tcPr>
            <w:tcW w:w="4660" w:type="dxa"/>
            <w:vAlign w:val="bottom"/>
            <w:shd w:val="clear" w:color="auto" w:fill="333333"/>
          </w:tcPr>
          <w:p>
            <w:pPr>
              <w:jc w:val="right"/>
              <w:ind w:right="28"/>
              <w:spacing w:after="0"/>
              <w:rPr>
                <w:sz w:val="20"/>
                <w:szCs w:val="20"/>
                <w:color w:val="auto"/>
              </w:rPr>
            </w:pPr>
            <w:r>
              <w:rPr>
                <w:rFonts w:ascii="Arial" w:cs="Arial" w:eastAsia="Arial" w:hAnsi="Arial"/>
                <w:sz w:val="15"/>
                <w:szCs w:val="15"/>
                <w:color w:val="FFFFFF"/>
              </w:rPr>
              <w:t>$ MILLION</w:t>
            </w:r>
          </w:p>
        </w:tc>
      </w:tr>
      <w:tr>
        <w:trPr>
          <w:trHeight w:val="167"/>
        </w:trPr>
        <w:tc>
          <w:tcPr>
            <w:tcW w:w="6760" w:type="dxa"/>
            <w:vAlign w:val="bottom"/>
          </w:tcPr>
          <w:p>
            <w:pPr>
              <w:spacing w:after="0"/>
              <w:rPr>
                <w:sz w:val="20"/>
                <w:szCs w:val="20"/>
                <w:color w:val="auto"/>
              </w:rPr>
            </w:pPr>
            <w:r>
              <w:rPr>
                <w:rFonts w:ascii="Arial" w:cs="Arial" w:eastAsia="Arial" w:hAnsi="Arial"/>
                <w:sz w:val="14"/>
                <w:szCs w:val="14"/>
                <w:color w:val="auto"/>
              </w:rPr>
              <w:t>Intangible assets</w:t>
            </w:r>
          </w:p>
        </w:tc>
        <w:tc>
          <w:tcPr>
            <w:tcW w:w="4660" w:type="dxa"/>
            <w:vAlign w:val="bottom"/>
          </w:tcPr>
          <w:p>
            <w:pPr>
              <w:jc w:val="right"/>
              <w:ind w:right="488"/>
              <w:spacing w:after="0"/>
              <w:rPr>
                <w:sz w:val="20"/>
                <w:szCs w:val="20"/>
                <w:color w:val="auto"/>
              </w:rPr>
            </w:pPr>
            <w:r>
              <w:rPr>
                <w:rFonts w:ascii="Arial" w:cs="Arial" w:eastAsia="Arial" w:hAnsi="Arial"/>
                <w:sz w:val="14"/>
                <w:szCs w:val="14"/>
                <w:color w:val="auto"/>
              </w:rPr>
              <w:t>3,271</w:t>
            </w:r>
          </w:p>
        </w:tc>
      </w:tr>
      <w:tr>
        <w:trPr>
          <w:trHeight w:val="162"/>
        </w:trPr>
        <w:tc>
          <w:tcPr>
            <w:tcW w:w="6760" w:type="dxa"/>
            <w:vAlign w:val="bottom"/>
          </w:tcPr>
          <w:p>
            <w:pPr>
              <w:spacing w:after="0"/>
              <w:rPr>
                <w:sz w:val="20"/>
                <w:szCs w:val="20"/>
                <w:color w:val="auto"/>
              </w:rPr>
            </w:pPr>
            <w:r>
              <w:rPr>
                <w:rFonts w:ascii="Arial" w:cs="Arial" w:eastAsia="Arial" w:hAnsi="Arial"/>
                <w:sz w:val="14"/>
                <w:szCs w:val="14"/>
                <w:color w:val="auto"/>
              </w:rPr>
              <w:t>Property, plant and equipment</w:t>
            </w:r>
          </w:p>
        </w:tc>
        <w:tc>
          <w:tcPr>
            <w:tcW w:w="4660" w:type="dxa"/>
            <w:vAlign w:val="bottom"/>
          </w:tcPr>
          <w:p>
            <w:pPr>
              <w:jc w:val="right"/>
              <w:ind w:right="488"/>
              <w:spacing w:after="0"/>
              <w:rPr>
                <w:sz w:val="20"/>
                <w:szCs w:val="20"/>
                <w:color w:val="auto"/>
              </w:rPr>
            </w:pPr>
            <w:r>
              <w:rPr>
                <w:rFonts w:ascii="Arial" w:cs="Arial" w:eastAsia="Arial" w:hAnsi="Arial"/>
                <w:sz w:val="14"/>
                <w:szCs w:val="14"/>
                <w:color w:val="auto"/>
              </w:rPr>
              <w:t>1,198</w:t>
            </w:r>
          </w:p>
        </w:tc>
      </w:tr>
      <w:tr>
        <w:trPr>
          <w:trHeight w:val="162"/>
        </w:trPr>
        <w:tc>
          <w:tcPr>
            <w:tcW w:w="6760" w:type="dxa"/>
            <w:vAlign w:val="bottom"/>
          </w:tcPr>
          <w:p>
            <w:pPr>
              <w:spacing w:after="0"/>
              <w:rPr>
                <w:sz w:val="20"/>
                <w:szCs w:val="20"/>
                <w:color w:val="auto"/>
              </w:rPr>
            </w:pPr>
            <w:r>
              <w:rPr>
                <w:rFonts w:ascii="Arial" w:cs="Arial" w:eastAsia="Arial" w:hAnsi="Arial"/>
                <w:sz w:val="14"/>
                <w:szCs w:val="14"/>
                <w:color w:val="auto"/>
              </w:rPr>
              <w:t>Joint ventures and associates</w:t>
            </w:r>
          </w:p>
        </w:tc>
        <w:tc>
          <w:tcPr>
            <w:tcW w:w="4660" w:type="dxa"/>
            <w:vAlign w:val="bottom"/>
          </w:tcPr>
          <w:p>
            <w:pPr>
              <w:jc w:val="right"/>
              <w:ind w:right="488"/>
              <w:spacing w:after="0"/>
              <w:rPr>
                <w:sz w:val="20"/>
                <w:szCs w:val="20"/>
                <w:color w:val="auto"/>
              </w:rPr>
            </w:pPr>
            <w:r>
              <w:rPr>
                <w:rFonts w:ascii="Arial" w:cs="Arial" w:eastAsia="Arial" w:hAnsi="Arial"/>
                <w:sz w:val="14"/>
                <w:szCs w:val="14"/>
                <w:color w:val="auto"/>
              </w:rPr>
              <w:t>531</w:t>
            </w:r>
          </w:p>
        </w:tc>
      </w:tr>
      <w:tr>
        <w:trPr>
          <w:trHeight w:val="162"/>
        </w:trPr>
        <w:tc>
          <w:tcPr>
            <w:tcW w:w="6760" w:type="dxa"/>
            <w:vAlign w:val="bottom"/>
          </w:tcPr>
          <w:p>
            <w:pPr>
              <w:spacing w:after="0"/>
              <w:rPr>
                <w:sz w:val="20"/>
                <w:szCs w:val="20"/>
                <w:color w:val="auto"/>
              </w:rPr>
            </w:pPr>
            <w:r>
              <w:rPr>
                <w:rFonts w:ascii="Arial" w:cs="Arial" w:eastAsia="Arial" w:hAnsi="Arial"/>
                <w:sz w:val="14"/>
                <w:szCs w:val="14"/>
                <w:color w:val="auto"/>
              </w:rPr>
              <w:t>Cash and cash equivalents</w:t>
            </w:r>
          </w:p>
        </w:tc>
        <w:tc>
          <w:tcPr>
            <w:tcW w:w="4660" w:type="dxa"/>
            <w:vAlign w:val="bottom"/>
          </w:tcPr>
          <w:p>
            <w:pPr>
              <w:jc w:val="right"/>
              <w:ind w:right="488"/>
              <w:spacing w:after="0"/>
              <w:rPr>
                <w:sz w:val="20"/>
                <w:szCs w:val="20"/>
                <w:color w:val="auto"/>
              </w:rPr>
            </w:pPr>
            <w:r>
              <w:rPr>
                <w:rFonts w:ascii="Arial" w:cs="Arial" w:eastAsia="Arial" w:hAnsi="Arial"/>
                <w:sz w:val="14"/>
                <w:szCs w:val="14"/>
                <w:color w:val="auto"/>
              </w:rPr>
              <w:t>329</w:t>
            </w:r>
          </w:p>
        </w:tc>
      </w:tr>
      <w:tr>
        <w:trPr>
          <w:trHeight w:val="162"/>
        </w:trPr>
        <w:tc>
          <w:tcPr>
            <w:tcW w:w="6760" w:type="dxa"/>
            <w:vAlign w:val="bottom"/>
          </w:tcPr>
          <w:p>
            <w:pPr>
              <w:spacing w:after="0"/>
              <w:rPr>
                <w:sz w:val="20"/>
                <w:szCs w:val="20"/>
                <w:color w:val="auto"/>
              </w:rPr>
            </w:pPr>
            <w:r>
              <w:rPr>
                <w:rFonts w:ascii="Arial" w:cs="Arial" w:eastAsia="Arial" w:hAnsi="Arial"/>
                <w:sz w:val="14"/>
                <w:szCs w:val="14"/>
                <w:color w:val="auto"/>
              </w:rPr>
              <w:t>Other assets</w:t>
            </w:r>
          </w:p>
        </w:tc>
        <w:tc>
          <w:tcPr>
            <w:tcW w:w="4660" w:type="dxa"/>
            <w:vAlign w:val="bottom"/>
          </w:tcPr>
          <w:p>
            <w:pPr>
              <w:jc w:val="right"/>
              <w:ind w:right="488"/>
              <w:spacing w:after="0"/>
              <w:rPr>
                <w:sz w:val="20"/>
                <w:szCs w:val="20"/>
                <w:color w:val="auto"/>
              </w:rPr>
            </w:pPr>
            <w:r>
              <w:rPr>
                <w:rFonts w:ascii="Arial" w:cs="Arial" w:eastAsia="Arial" w:hAnsi="Arial"/>
                <w:sz w:val="14"/>
                <w:szCs w:val="14"/>
                <w:color w:val="auto"/>
              </w:rPr>
              <w:t>424</w:t>
            </w:r>
          </w:p>
        </w:tc>
      </w:tr>
      <w:tr>
        <w:trPr>
          <w:trHeight w:val="162"/>
        </w:trPr>
        <w:tc>
          <w:tcPr>
            <w:tcW w:w="6760" w:type="dxa"/>
            <w:vAlign w:val="bottom"/>
          </w:tcPr>
          <w:p>
            <w:pPr>
              <w:spacing w:after="0"/>
              <w:rPr>
                <w:sz w:val="20"/>
                <w:szCs w:val="20"/>
                <w:color w:val="auto"/>
              </w:rPr>
            </w:pPr>
            <w:r>
              <w:rPr>
                <w:rFonts w:ascii="Arial" w:cs="Arial" w:eastAsia="Arial" w:hAnsi="Arial"/>
                <w:sz w:val="14"/>
                <w:szCs w:val="14"/>
                <w:color w:val="auto"/>
              </w:rPr>
              <w:t>Debt</w:t>
            </w:r>
          </w:p>
        </w:tc>
        <w:tc>
          <w:tcPr>
            <w:tcW w:w="4660" w:type="dxa"/>
            <w:vAlign w:val="bottom"/>
          </w:tcPr>
          <w:p>
            <w:pPr>
              <w:jc w:val="right"/>
              <w:ind w:right="448"/>
              <w:spacing w:after="0"/>
              <w:rPr>
                <w:sz w:val="20"/>
                <w:szCs w:val="20"/>
                <w:color w:val="auto"/>
              </w:rPr>
            </w:pPr>
            <w:r>
              <w:rPr>
                <w:rFonts w:ascii="Arial" w:cs="Arial" w:eastAsia="Arial" w:hAnsi="Arial"/>
                <w:sz w:val="14"/>
                <w:szCs w:val="14"/>
                <w:color w:val="auto"/>
              </w:rPr>
              <w:t>(1,601)</w:t>
            </w:r>
          </w:p>
        </w:tc>
      </w:tr>
      <w:tr>
        <w:trPr>
          <w:trHeight w:val="157"/>
        </w:trPr>
        <w:tc>
          <w:tcPr>
            <w:tcW w:w="6760" w:type="dxa"/>
            <w:vAlign w:val="bottom"/>
            <w:tcBorders>
              <w:bottom w:val="single" w:sz="8" w:color="auto"/>
            </w:tcBorders>
          </w:tcPr>
          <w:p>
            <w:pPr>
              <w:spacing w:after="0" w:line="157" w:lineRule="exact"/>
              <w:rPr>
                <w:sz w:val="20"/>
                <w:szCs w:val="20"/>
                <w:color w:val="auto"/>
              </w:rPr>
            </w:pPr>
            <w:r>
              <w:rPr>
                <w:rFonts w:ascii="Arial" w:cs="Arial" w:eastAsia="Arial" w:hAnsi="Arial"/>
                <w:sz w:val="14"/>
                <w:szCs w:val="14"/>
                <w:color w:val="auto"/>
              </w:rPr>
              <w:t>Other liabilities</w:t>
            </w:r>
          </w:p>
        </w:tc>
        <w:tc>
          <w:tcPr>
            <w:tcW w:w="4660" w:type="dxa"/>
            <w:vAlign w:val="bottom"/>
            <w:tcBorders>
              <w:bottom w:val="single" w:sz="8" w:color="auto"/>
            </w:tcBorders>
          </w:tcPr>
          <w:p>
            <w:pPr>
              <w:jc w:val="right"/>
              <w:ind w:right="448"/>
              <w:spacing w:after="0" w:line="157" w:lineRule="exact"/>
              <w:rPr>
                <w:sz w:val="20"/>
                <w:szCs w:val="20"/>
                <w:color w:val="auto"/>
              </w:rPr>
            </w:pPr>
            <w:r>
              <w:rPr>
                <w:rFonts w:ascii="Arial" w:cs="Arial" w:eastAsia="Arial" w:hAnsi="Arial"/>
                <w:sz w:val="14"/>
                <w:szCs w:val="14"/>
                <w:color w:val="auto"/>
              </w:rPr>
              <w:t>(37)</w:t>
            </w:r>
          </w:p>
        </w:tc>
      </w:tr>
      <w:tr>
        <w:trPr>
          <w:trHeight w:val="156"/>
        </w:trPr>
        <w:tc>
          <w:tcPr>
            <w:tcW w:w="6760" w:type="dxa"/>
            <w:vAlign w:val="bottom"/>
            <w:tcBorders>
              <w:bottom w:val="single" w:sz="8" w:color="auto"/>
            </w:tcBorders>
          </w:tcPr>
          <w:p>
            <w:pPr>
              <w:spacing w:after="0" w:line="155" w:lineRule="exact"/>
              <w:rPr>
                <w:sz w:val="20"/>
                <w:szCs w:val="20"/>
                <w:color w:val="auto"/>
              </w:rPr>
            </w:pPr>
            <w:r>
              <w:rPr>
                <w:rFonts w:ascii="Arial" w:cs="Arial" w:eastAsia="Arial" w:hAnsi="Arial"/>
                <w:sz w:val="14"/>
                <w:szCs w:val="14"/>
                <w:color w:val="auto"/>
              </w:rPr>
              <w:t>Consideration paid</w:t>
            </w:r>
          </w:p>
        </w:tc>
        <w:tc>
          <w:tcPr>
            <w:tcW w:w="4660" w:type="dxa"/>
            <w:vAlign w:val="bottom"/>
            <w:tcBorders>
              <w:bottom w:val="single" w:sz="8" w:color="auto"/>
            </w:tcBorders>
          </w:tcPr>
          <w:p>
            <w:pPr>
              <w:jc w:val="right"/>
              <w:ind w:right="488"/>
              <w:spacing w:after="0" w:line="155" w:lineRule="exact"/>
              <w:rPr>
                <w:sz w:val="20"/>
                <w:szCs w:val="20"/>
                <w:color w:val="auto"/>
              </w:rPr>
            </w:pPr>
            <w:r>
              <w:rPr>
                <w:rFonts w:ascii="Arial" w:cs="Arial" w:eastAsia="Arial" w:hAnsi="Arial"/>
                <w:sz w:val="14"/>
                <w:szCs w:val="14"/>
                <w:color w:val="auto"/>
              </w:rPr>
              <w:t>4,115</w:t>
            </w:r>
          </w:p>
        </w:tc>
      </w:tr>
    </w:tbl>
    <w:p>
      <w:pPr>
        <w:sectPr>
          <w:pgSz w:w="11900" w:h="16838" w:orient="portrait"/>
          <w:cols w:equalWidth="0" w:num="1">
            <w:col w:w="11420"/>
          </w:cols>
          <w:pgMar w:left="240" w:top="459" w:right="239" w:bottom="1440" w:gutter="0" w:footer="0" w:header="0"/>
        </w:sectPr>
      </w:pPr>
    </w:p>
    <w:bookmarkStart w:id="143" w:name="page144"/>
    <w:bookmarkEnd w:id="1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536575</wp:posOffset>
            </wp:positionH>
            <wp:positionV relativeFrom="paragraph">
              <wp:posOffset>300355</wp:posOffset>
            </wp:positionV>
            <wp:extent cx="8890" cy="462915"/>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8890" cy="462915"/>
                    </a:xfrm>
                    <a:prstGeom prst="rect">
                      <a:avLst/>
                    </a:prstGeom>
                    <a:noFill/>
                  </pic:spPr>
                </pic:pic>
              </a:graphicData>
            </a:graphic>
          </wp:anchor>
        </w:drawing>
      </w:r>
    </w:p>
    <w:p>
      <w:pPr>
        <w:spacing w:after="0" w:line="200" w:lineRule="exact"/>
        <w:rPr>
          <w:sz w:val="20"/>
          <w:szCs w:val="20"/>
          <w:color w:val="auto"/>
        </w:rPr>
      </w:pP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565"/>
        </w:trPr>
        <w:tc>
          <w:tcPr>
            <w:tcW w:w="840" w:type="dxa"/>
            <w:vAlign w:val="bottom"/>
            <w:shd w:val="clear" w:color="auto" w:fill="FF8B00"/>
          </w:tcPr>
          <w:p>
            <w:pPr>
              <w:jc w:val="right"/>
              <w:ind w:right="266"/>
              <w:spacing w:after="0"/>
              <w:rPr>
                <w:sz w:val="20"/>
                <w:szCs w:val="20"/>
                <w:color w:val="auto"/>
              </w:rPr>
            </w:pPr>
            <w:r>
              <w:rPr>
                <w:rFonts w:ascii="Arial" w:cs="Arial" w:eastAsia="Arial" w:hAnsi="Arial"/>
                <w:sz w:val="11"/>
                <w:szCs w:val="11"/>
                <w:b w:val="1"/>
                <w:bCs w:val="1"/>
                <w:color w:val="333333"/>
              </w:rPr>
              <w:t>142</w:t>
            </w:r>
          </w:p>
        </w:tc>
        <w:tc>
          <w:tcPr>
            <w:tcW w:w="4880" w:type="dxa"/>
            <w:vAlign w:val="bottom"/>
            <w:shd w:val="clear" w:color="auto" w:fill="FF8B00"/>
          </w:tcPr>
          <w:p>
            <w:pPr>
              <w:jc w:val="right"/>
              <w:ind w:right="721"/>
              <w:spacing w:after="0"/>
              <w:rPr>
                <w:sz w:val="20"/>
                <w:szCs w:val="20"/>
                <w:color w:val="auto"/>
              </w:rPr>
            </w:pPr>
            <w:r>
              <w:rPr>
                <w:rFonts w:ascii="Arial" w:cs="Arial" w:eastAsia="Arial" w:hAnsi="Arial"/>
                <w:sz w:val="13"/>
                <w:szCs w:val="13"/>
                <w:color w:val="333333"/>
              </w:rPr>
              <w:t>FINANCIAL STATEMENTS AND SUPPLEMENTS</w:t>
            </w:r>
          </w:p>
        </w:tc>
        <w:tc>
          <w:tcPr>
            <w:tcW w:w="5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5"/>
        </w:trPr>
        <w:tc>
          <w:tcPr>
            <w:tcW w:w="840" w:type="dxa"/>
            <w:vAlign w:val="bottom"/>
            <w:shd w:val="clear" w:color="auto" w:fill="FF8B00"/>
          </w:tcPr>
          <w:p>
            <w:pPr>
              <w:spacing w:after="0"/>
              <w:rPr>
                <w:sz w:val="14"/>
                <w:szCs w:val="14"/>
                <w:color w:val="auto"/>
              </w:rPr>
            </w:pPr>
          </w:p>
        </w:tc>
        <w:tc>
          <w:tcPr>
            <w:tcW w:w="4880" w:type="dxa"/>
            <w:vAlign w:val="bottom"/>
            <w:shd w:val="clear" w:color="auto" w:fill="FF8B00"/>
          </w:tcPr>
          <w:p>
            <w:pPr>
              <w:spacing w:after="0"/>
              <w:rPr>
                <w:sz w:val="14"/>
                <w:szCs w:val="14"/>
                <w:color w:val="auto"/>
              </w:rPr>
            </w:pPr>
          </w:p>
        </w:tc>
        <w:tc>
          <w:tcPr>
            <w:tcW w:w="5700" w:type="dxa"/>
            <w:vAlign w:val="bottom"/>
            <w:vMerge w:val="restart"/>
          </w:tcPr>
          <w:p>
            <w:pPr>
              <w:ind w:left="3300"/>
              <w:spacing w:after="0"/>
              <w:rPr>
                <w:sz w:val="20"/>
                <w:szCs w:val="20"/>
                <w:color w:val="auto"/>
              </w:rPr>
            </w:pPr>
            <w:r>
              <w:rPr>
                <w:rFonts w:ascii="Arial" w:cs="Arial" w:eastAsia="Arial" w:hAnsi="Arial"/>
                <w:sz w:val="11"/>
                <w:szCs w:val="11"/>
                <w:color w:val="auto"/>
                <w:w w:val="96"/>
              </w:rPr>
              <w:t>SHELL ANNUAL REPORT AND FORM 20-F 2014</w:t>
            </w:r>
          </w:p>
        </w:tc>
        <w:tc>
          <w:tcPr>
            <w:tcW w:w="0" w:type="dxa"/>
            <w:vAlign w:val="bottom"/>
          </w:tcPr>
          <w:p>
            <w:pPr>
              <w:spacing w:after="0"/>
              <w:rPr>
                <w:sz w:val="1"/>
                <w:szCs w:val="1"/>
                <w:color w:val="auto"/>
              </w:rPr>
            </w:pPr>
          </w:p>
        </w:tc>
      </w:tr>
      <w:tr>
        <w:trPr>
          <w:trHeight w:val="128"/>
        </w:trPr>
        <w:tc>
          <w:tcPr>
            <w:tcW w:w="840" w:type="dxa"/>
            <w:vAlign w:val="bottom"/>
          </w:tcPr>
          <w:p>
            <w:pPr>
              <w:spacing w:after="0"/>
              <w:rPr>
                <w:sz w:val="11"/>
                <w:szCs w:val="11"/>
                <w:color w:val="auto"/>
              </w:rPr>
            </w:pPr>
          </w:p>
        </w:tc>
        <w:tc>
          <w:tcPr>
            <w:tcW w:w="4880" w:type="dxa"/>
            <w:vAlign w:val="bottom"/>
          </w:tcPr>
          <w:p>
            <w:pPr>
              <w:jc w:val="right"/>
              <w:ind w:right="721"/>
              <w:spacing w:after="0"/>
              <w:rPr>
                <w:sz w:val="20"/>
                <w:szCs w:val="20"/>
                <w:color w:val="auto"/>
              </w:rPr>
            </w:pPr>
            <w:r>
              <w:rPr>
                <w:rFonts w:ascii="Arial" w:cs="Arial" w:eastAsia="Arial" w:hAnsi="Arial"/>
                <w:sz w:val="11"/>
                <w:szCs w:val="11"/>
                <w:color w:val="auto"/>
              </w:rPr>
              <w:t>SUPPLEMENTARY INFORMATION – OIL AND GAS (UNAUDITED)</w:t>
            </w:r>
          </w:p>
        </w:tc>
        <w:tc>
          <w:tcPr>
            <w:tcW w:w="57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bl>
    <w:p>
      <w:pPr>
        <w:spacing w:after="0"/>
        <w:rPr>
          <w:sz w:val="20"/>
          <w:szCs w:val="20"/>
          <w:color w:val="auto"/>
        </w:rPr>
      </w:pPr>
      <w:r>
        <w:rPr>
          <w:rFonts w:ascii="Arial" w:cs="Arial" w:eastAsia="Arial" w:hAnsi="Arial"/>
          <w:sz w:val="31"/>
          <w:szCs w:val="31"/>
          <w:color w:val="auto"/>
        </w:rPr>
        <w:t>SUPPLEMENTARY INFORMATION – OIL AND GAS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wp:posOffset>
            </wp:positionV>
            <wp:extent cx="7246620" cy="8890"/>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89" w:lineRule="exact"/>
        <w:rPr>
          <w:sz w:val="20"/>
          <w:szCs w:val="20"/>
          <w:color w:val="auto"/>
        </w:rPr>
      </w:pPr>
    </w:p>
    <w:p>
      <w:pPr>
        <w:ind w:right="440"/>
        <w:spacing w:after="0" w:line="258" w:lineRule="auto"/>
        <w:rPr>
          <w:sz w:val="20"/>
          <w:szCs w:val="20"/>
          <w:color w:val="auto"/>
        </w:rPr>
      </w:pPr>
      <w:r>
        <w:rPr>
          <w:rFonts w:ascii="Arial" w:cs="Arial" w:eastAsia="Arial" w:hAnsi="Arial"/>
          <w:sz w:val="14"/>
          <w:szCs w:val="14"/>
          <w:color w:val="auto"/>
        </w:rPr>
        <w:t>The information set out on pages 142-159 is referred to as “unaudited” as a means of clarifying that it is not covered by the audit opinion of the independent registered public accounting firm that has audited and reported on the “Consolidated Financial Statements”.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PROVED OIL AND GAS RESERVES</w:t>
      </w:r>
    </w:p>
    <w:p>
      <w:pPr>
        <w:spacing w:after="0" w:line="1" w:lineRule="exact"/>
        <w:rPr>
          <w:sz w:val="20"/>
          <w:szCs w:val="20"/>
          <w:color w:val="auto"/>
        </w:rPr>
      </w:pPr>
    </w:p>
    <w:p>
      <w:pPr>
        <w:ind w:right="180"/>
        <w:spacing w:after="0" w:line="258" w:lineRule="auto"/>
        <w:rPr>
          <w:sz w:val="20"/>
          <w:szCs w:val="20"/>
          <w:color w:val="auto"/>
        </w:rPr>
      </w:pPr>
      <w:r>
        <w:rPr>
          <w:rFonts w:ascii="Arial" w:cs="Arial" w:eastAsia="Arial" w:hAnsi="Arial"/>
          <w:sz w:val="14"/>
          <w:szCs w:val="14"/>
          <w:color w:val="auto"/>
        </w:rPr>
        <w:t>Proved reserves’ estimates are calculated pursuant to the US Securities and Exchange Commission (SEC) Rules and the Financial Accounting Standard Board’s Topic 932. The definitions used are in accordance with the SEC Rule 4-10 (a) of Regulation S-X.</w:t>
      </w:r>
    </w:p>
    <w:p>
      <w:pPr>
        <w:spacing w:after="0" w:line="154" w:lineRule="exact"/>
        <w:rPr>
          <w:sz w:val="20"/>
          <w:szCs w:val="20"/>
          <w:color w:val="auto"/>
        </w:rPr>
      </w:pPr>
    </w:p>
    <w:p>
      <w:pPr>
        <w:spacing w:after="0"/>
        <w:rPr>
          <w:sz w:val="20"/>
          <w:szCs w:val="20"/>
          <w:color w:val="auto"/>
        </w:rPr>
      </w:pPr>
      <w:r>
        <w:rPr>
          <w:rFonts w:ascii="Arial" w:cs="Arial" w:eastAsia="Arial" w:hAnsi="Arial"/>
          <w:sz w:val="14"/>
          <w:szCs w:val="14"/>
          <w:color w:val="auto"/>
        </w:rPr>
        <w:t>We include proved reserves associated with future production that will be consumed in operations.</w:t>
      </w:r>
    </w:p>
    <w:p>
      <w:pPr>
        <w:spacing w:after="0" w:line="190" w:lineRule="exact"/>
        <w:rPr>
          <w:sz w:val="20"/>
          <w:szCs w:val="20"/>
          <w:color w:val="auto"/>
        </w:rPr>
      </w:pPr>
    </w:p>
    <w:p>
      <w:pPr>
        <w:ind w:right="100"/>
        <w:spacing w:after="0" w:line="250" w:lineRule="auto"/>
        <w:rPr>
          <w:sz w:val="20"/>
          <w:szCs w:val="20"/>
          <w:color w:val="auto"/>
        </w:rPr>
      </w:pPr>
      <w:r>
        <w:rPr>
          <w:rFonts w:ascii="Arial" w:cs="Arial" w:eastAsia="Arial" w:hAnsi="Arial"/>
          <w:sz w:val="14"/>
          <w:szCs w:val="14"/>
          <w:color w:val="auto"/>
        </w:rPr>
        <w:t>Proved reserves shown are net of any quantities of crude oil or natural gas that are expected to be (or could be) taken as royalties in kind. Proved reserves outside North America include quantities that will be settled in cash. Proved reserves include certain quantities of crude oil or natural gas that will be produced under arrangements that involve Shell subsidiaries, joint ventures and associates in risks and rewards but do not transfer title of the product to those entities.</w:t>
      </w:r>
    </w:p>
    <w:p>
      <w:pPr>
        <w:spacing w:after="0" w:line="159" w:lineRule="exact"/>
        <w:rPr>
          <w:sz w:val="20"/>
          <w:szCs w:val="20"/>
          <w:color w:val="auto"/>
        </w:rPr>
      </w:pPr>
    </w:p>
    <w:p>
      <w:pPr>
        <w:jc w:val="both"/>
        <w:ind w:right="160"/>
        <w:spacing w:after="0" w:line="258" w:lineRule="auto"/>
        <w:rPr>
          <w:sz w:val="20"/>
          <w:szCs w:val="20"/>
          <w:color w:val="auto"/>
        </w:rPr>
      </w:pPr>
      <w:r>
        <w:rPr>
          <w:rFonts w:ascii="Arial" w:cs="Arial" w:eastAsia="Arial" w:hAnsi="Arial"/>
          <w:sz w:val="14"/>
          <w:szCs w:val="14"/>
          <w:color w:val="auto"/>
        </w:rPr>
        <w:t>Proved reserves cannot be measured exactly since estimation of reserves involves subjective judgement (see “Risk factors”). These estimates remain subject to revision and are unaudited supplementary information.</w:t>
      </w:r>
    </w:p>
    <w:p>
      <w:pPr>
        <w:spacing w:after="0" w:line="140" w:lineRule="exact"/>
        <w:rPr>
          <w:sz w:val="20"/>
          <w:szCs w:val="20"/>
          <w:color w:val="auto"/>
        </w:rPr>
      </w:pPr>
    </w:p>
    <w:p>
      <w:pPr>
        <w:jc w:val="both"/>
        <w:ind w:right="160"/>
        <w:spacing w:after="0" w:line="260" w:lineRule="auto"/>
        <w:rPr>
          <w:sz w:val="20"/>
          <w:szCs w:val="20"/>
          <w:color w:val="auto"/>
        </w:rPr>
      </w:pPr>
      <w:r>
        <w:rPr>
          <w:rFonts w:ascii="Arial" w:cs="Arial" w:eastAsia="Arial" w:hAnsi="Arial"/>
          <w:sz w:val="14"/>
          <w:szCs w:val="14"/>
          <w:color w:val="auto"/>
        </w:rPr>
        <w:t xml:space="preserve">The impact of the reclassification of certain entities, consistent with the change in their accounting treatment as a result of the adoption of IFRS 11 </w:t>
      </w:r>
      <w:r>
        <w:rPr>
          <w:rFonts w:ascii="Arial" w:cs="Arial" w:eastAsia="Arial" w:hAnsi="Arial"/>
          <w:sz w:val="14"/>
          <w:szCs w:val="14"/>
          <w:i w:val="1"/>
          <w:iCs w:val="1"/>
          <w:color w:val="auto"/>
        </w:rPr>
        <w:t>Joint Arrangements</w:t>
      </w:r>
      <w:r>
        <w:rPr>
          <w:rFonts w:ascii="Arial" w:cs="Arial" w:eastAsia="Arial" w:hAnsi="Arial"/>
          <w:sz w:val="14"/>
          <w:szCs w:val="14"/>
          <w:color w:val="auto"/>
        </w:rPr>
        <w:t xml:space="preserve"> with effect from January 1, 2013, resulted in a decrease in the Shell share of joint ventures and associates’ proved reserves during 2013 and a corresponding increase in Shell subsidiaries’ proved reserves. These effects are referred to as “IFRS 11 reclassification” on pages 145,149 and 153.</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color w:val="auto"/>
        </w:rPr>
        <w:t>PROVED RESERVES ASSURANCE PROCESS</w:t>
      </w:r>
    </w:p>
    <w:p>
      <w:pPr>
        <w:spacing w:after="0" w:line="1" w:lineRule="exact"/>
        <w:rPr>
          <w:sz w:val="20"/>
          <w:szCs w:val="20"/>
          <w:color w:val="auto"/>
        </w:rPr>
      </w:pPr>
    </w:p>
    <w:p>
      <w:pPr>
        <w:ind w:right="80"/>
        <w:spacing w:after="0" w:line="244" w:lineRule="auto"/>
        <w:rPr>
          <w:sz w:val="20"/>
          <w:szCs w:val="20"/>
          <w:color w:val="auto"/>
        </w:rPr>
      </w:pPr>
      <w:r>
        <w:rPr>
          <w:rFonts w:ascii="Arial" w:cs="Arial" w:eastAsia="Arial" w:hAnsi="Arial"/>
          <w:sz w:val="14"/>
          <w:szCs w:val="14"/>
          <w:color w:val="auto"/>
        </w:rPr>
        <w:t>A central group of reserves experts, who on average have around 26 years’ experience in the oil and gas industry, undertake the primary assurance of the proved reserves bookings. This group of experts is part of the Resources Assurance and Reporting (RAR) organisation within Shell. A Vice President with 33 years’ experience in the oil and gas industry currently heads the RAR organisation. He is a member of the Society of Petroleum Engineers and holds a diploma of Ingénieur Civil des Ponts et Chaussées de France. The RAR organisation reports directly to an Executive Vice President of Finance, who is a member of the Upstream Reserves Committee (URC). The URC is a multidisciplinary committee consisting of senior representatives from the Finance, Legal, Projects &amp; Technology and Upstream organisations. The URC reviews and endorses all major (larger than 20 million barrels of oil equivalent) proved reserves bookings and endorses the total aggregated proved reserves. Final approval of all proved reserves bookings remains with Shell’s Executive Committee. The Internal Audit function also provides secondary assurance through audits of the control framework.</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color w:val="auto"/>
        </w:rPr>
        <w:t>ADDITIONAL INFORMATION CONCERNING PROVED RESERVES</w:t>
      </w:r>
    </w:p>
    <w:p>
      <w:pPr>
        <w:spacing w:after="0" w:line="1" w:lineRule="exact"/>
        <w:rPr>
          <w:sz w:val="20"/>
          <w:szCs w:val="20"/>
          <w:color w:val="auto"/>
        </w:rPr>
      </w:pPr>
    </w:p>
    <w:p>
      <w:pPr>
        <w:ind w:right="340"/>
        <w:spacing w:after="0" w:line="250" w:lineRule="auto"/>
        <w:rPr>
          <w:sz w:val="20"/>
          <w:szCs w:val="20"/>
          <w:color w:val="auto"/>
        </w:rPr>
      </w:pPr>
      <w:r>
        <w:rPr>
          <w:rFonts w:ascii="Arial" w:cs="Arial" w:eastAsia="Arial" w:hAnsi="Arial"/>
          <w:sz w:val="14"/>
          <w:szCs w:val="14"/>
          <w:color w:val="auto"/>
        </w:rPr>
        <w:t>Proved reserves can be either developed or undeveloped. Subsidiaries’ proved reserves at December 31, 2014, were divided into 67% developed and 33% undeveloped on a barrel of oil equivalent basis. For the Shell share of joint ventures and associates, the proved reserves at December 31, 2014, were divided into 76% developed and 24% undeveloped on a barrel of oil equivalent basis.</w:t>
      </w:r>
    </w:p>
    <w:p>
      <w:pPr>
        <w:spacing w:after="0" w:line="159" w:lineRule="exact"/>
        <w:rPr>
          <w:sz w:val="20"/>
          <w:szCs w:val="20"/>
          <w:color w:val="auto"/>
        </w:rPr>
      </w:pPr>
    </w:p>
    <w:p>
      <w:pPr>
        <w:ind w:right="340"/>
        <w:spacing w:after="0" w:line="250" w:lineRule="auto"/>
        <w:rPr>
          <w:sz w:val="20"/>
          <w:szCs w:val="20"/>
          <w:color w:val="auto"/>
        </w:rPr>
      </w:pPr>
      <w:r>
        <w:rPr>
          <w:rFonts w:ascii="Arial" w:cs="Arial" w:eastAsia="Arial" w:hAnsi="Arial"/>
          <w:sz w:val="14"/>
          <w:szCs w:val="14"/>
          <w:color w:val="auto"/>
        </w:rPr>
        <w:t>Proved reserves are recognised under various forms of contractual agreements. Shell’s proved reserves volumes at December 31, 2014, present in agreements such as production-sharing contracts or other forms of economic entitlement contracts, where the Shell share of reserves can vary with commodity prices, were 1,191 million barrels of crude oil and natural gas liquids, and 11,984 thousand million scf of natural gas.</w:t>
      </w:r>
    </w:p>
    <w:p>
      <w:pPr>
        <w:sectPr>
          <w:pgSz w:w="11900" w:h="16838" w:orient="portrait"/>
          <w:cols w:equalWidth="0" w:num="1">
            <w:col w:w="11420"/>
          </w:cols>
          <w:pgMar w:left="240" w:top="460" w:right="239" w:bottom="1440" w:gutter="0" w:footer="0" w:header="0"/>
        </w:sectPr>
      </w:pPr>
    </w:p>
    <w:bookmarkStart w:id="144" w:name="page145"/>
    <w:bookmarkEnd w:id="1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6402705</wp:posOffset>
            </wp:positionH>
            <wp:positionV relativeFrom="paragraph">
              <wp:posOffset>300355</wp:posOffset>
            </wp:positionV>
            <wp:extent cx="8890" cy="462915"/>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8890" cy="462915"/>
                    </a:xfrm>
                    <a:prstGeom prst="rect">
                      <a:avLst/>
                    </a:prstGeom>
                    <a:noFill/>
                  </pic:spPr>
                </pic:pic>
              </a:graphicData>
            </a:graphic>
          </wp:anchor>
        </w:drawing>
      </w:r>
    </w:p>
    <w:p>
      <w:pPr>
        <w:spacing w:after="0" w:line="200" w:lineRule="exact"/>
        <w:rPr>
          <w:sz w:val="20"/>
          <w:szCs w:val="20"/>
          <w:color w:val="auto"/>
        </w:rPr>
      </w:pP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565"/>
        </w:trPr>
        <w:tc>
          <w:tcPr>
            <w:tcW w:w="5600" w:type="dxa"/>
            <w:vAlign w:val="bottom"/>
          </w:tcPr>
          <w:p>
            <w:pPr>
              <w:spacing w:after="0"/>
              <w:rPr>
                <w:sz w:val="24"/>
                <w:szCs w:val="24"/>
                <w:color w:val="auto"/>
              </w:rPr>
            </w:pPr>
          </w:p>
        </w:tc>
        <w:tc>
          <w:tcPr>
            <w:tcW w:w="4600" w:type="dxa"/>
            <w:vAlign w:val="bottom"/>
            <w:shd w:val="clear" w:color="auto" w:fill="FF8B00"/>
          </w:tcPr>
          <w:p>
            <w:pPr>
              <w:ind w:left="840"/>
              <w:spacing w:after="0"/>
              <w:rPr>
                <w:sz w:val="20"/>
                <w:szCs w:val="20"/>
                <w:color w:val="auto"/>
              </w:rPr>
            </w:pPr>
            <w:r>
              <w:rPr>
                <w:rFonts w:ascii="Arial" w:cs="Arial" w:eastAsia="Arial" w:hAnsi="Arial"/>
                <w:sz w:val="13"/>
                <w:szCs w:val="13"/>
                <w:color w:val="333333"/>
              </w:rPr>
              <w:t>FINANCIAL STATEMENTS AND SUPPLEMENTS</w:t>
            </w:r>
          </w:p>
        </w:tc>
        <w:tc>
          <w:tcPr>
            <w:tcW w:w="1220" w:type="dxa"/>
            <w:vAlign w:val="bottom"/>
            <w:shd w:val="clear" w:color="auto" w:fill="FF8B00"/>
          </w:tcPr>
          <w:p>
            <w:pPr>
              <w:jc w:val="right"/>
              <w:ind w:right="486"/>
              <w:spacing w:after="0"/>
              <w:rPr>
                <w:sz w:val="20"/>
                <w:szCs w:val="20"/>
                <w:color w:val="auto"/>
              </w:rPr>
            </w:pPr>
            <w:r>
              <w:rPr>
                <w:rFonts w:ascii="Arial" w:cs="Arial" w:eastAsia="Arial" w:hAnsi="Arial"/>
                <w:sz w:val="11"/>
                <w:szCs w:val="11"/>
                <w:b w:val="1"/>
                <w:bCs w:val="1"/>
                <w:color w:val="333333"/>
              </w:rPr>
              <w:t>143</w:t>
            </w:r>
          </w:p>
        </w:tc>
        <w:tc>
          <w:tcPr>
            <w:tcW w:w="0" w:type="dxa"/>
            <w:vAlign w:val="bottom"/>
          </w:tcPr>
          <w:p>
            <w:pPr>
              <w:spacing w:after="0"/>
              <w:rPr>
                <w:sz w:val="1"/>
                <w:szCs w:val="1"/>
                <w:color w:val="auto"/>
              </w:rPr>
            </w:pPr>
          </w:p>
        </w:tc>
      </w:tr>
      <w:tr>
        <w:trPr>
          <w:trHeight w:val="165"/>
        </w:trPr>
        <w:tc>
          <w:tcPr>
            <w:tcW w:w="5600" w:type="dxa"/>
            <w:vAlign w:val="bottom"/>
            <w:vMerge w:val="restart"/>
          </w:tcPr>
          <w:p>
            <w:pPr>
              <w:spacing w:after="0"/>
              <w:rPr>
                <w:sz w:val="20"/>
                <w:szCs w:val="20"/>
                <w:color w:val="auto"/>
              </w:rPr>
            </w:pPr>
            <w:r>
              <w:rPr>
                <w:rFonts w:ascii="Arial" w:cs="Arial" w:eastAsia="Arial" w:hAnsi="Arial"/>
                <w:sz w:val="11"/>
                <w:szCs w:val="11"/>
                <w:color w:val="auto"/>
              </w:rPr>
              <w:t>SHELL ANNUAL REPORT AND FORM 20-F 2014</w:t>
            </w:r>
          </w:p>
        </w:tc>
        <w:tc>
          <w:tcPr>
            <w:tcW w:w="4600" w:type="dxa"/>
            <w:vAlign w:val="bottom"/>
            <w:shd w:val="clear" w:color="auto" w:fill="FF8B00"/>
          </w:tcPr>
          <w:p>
            <w:pPr>
              <w:spacing w:after="0"/>
              <w:rPr>
                <w:sz w:val="14"/>
                <w:szCs w:val="14"/>
                <w:color w:val="auto"/>
              </w:rPr>
            </w:pPr>
          </w:p>
        </w:tc>
        <w:tc>
          <w:tcPr>
            <w:tcW w:w="1220" w:type="dxa"/>
            <w:vAlign w:val="bottom"/>
            <w:shd w:val="clear" w:color="auto" w:fill="FF8B00"/>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5600" w:type="dxa"/>
            <w:vAlign w:val="bottom"/>
            <w:vMerge w:val="continue"/>
          </w:tcPr>
          <w:p>
            <w:pPr>
              <w:spacing w:after="0"/>
              <w:rPr>
                <w:sz w:val="10"/>
                <w:szCs w:val="10"/>
                <w:color w:val="auto"/>
              </w:rPr>
            </w:pPr>
          </w:p>
        </w:tc>
        <w:tc>
          <w:tcPr>
            <w:tcW w:w="4600" w:type="dxa"/>
            <w:vAlign w:val="bottom"/>
          </w:tcPr>
          <w:p>
            <w:pPr>
              <w:ind w:left="840"/>
              <w:spacing w:after="0" w:line="121" w:lineRule="exact"/>
              <w:rPr>
                <w:sz w:val="20"/>
                <w:szCs w:val="20"/>
                <w:color w:val="auto"/>
              </w:rPr>
            </w:pPr>
            <w:r>
              <w:rPr>
                <w:rFonts w:ascii="Arial" w:cs="Arial" w:eastAsia="Arial" w:hAnsi="Arial"/>
                <w:sz w:val="11"/>
                <w:szCs w:val="11"/>
                <w:color w:val="auto"/>
              </w:rPr>
              <w:t>SUPPLEMENTARY INFORMATION – OIL AND GAS (UNAUDITED)</w:t>
            </w:r>
          </w:p>
        </w:tc>
        <w:tc>
          <w:tcPr>
            <w:tcW w:w="12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rPr>
          <w:sz w:val="20"/>
          <w:szCs w:val="20"/>
          <w:color w:val="auto"/>
        </w:rPr>
      </w:pPr>
      <w:r>
        <w:rPr>
          <w:rFonts w:ascii="Arial" w:cs="Arial" w:eastAsia="Arial" w:hAnsi="Arial"/>
          <w:sz w:val="18"/>
          <w:szCs w:val="18"/>
          <w:color w:val="auto"/>
        </w:rPr>
        <w:t>CRUDE OIL, NATURAL GAS LIQUIDS, SYNTHETIC CRUDE OIL AND BITUMEN</w:t>
      </w:r>
    </w:p>
    <w:p>
      <w:pPr>
        <w:spacing w:after="0" w:line="1" w:lineRule="exact"/>
        <w:rPr>
          <w:sz w:val="20"/>
          <w:szCs w:val="20"/>
          <w:color w:val="auto"/>
        </w:rPr>
      </w:pPr>
    </w:p>
    <w:p>
      <w:pPr>
        <w:ind w:right="200"/>
        <w:spacing w:after="0" w:line="258" w:lineRule="auto"/>
        <w:rPr>
          <w:sz w:val="20"/>
          <w:szCs w:val="20"/>
          <w:color w:val="auto"/>
        </w:rPr>
      </w:pPr>
      <w:r>
        <w:rPr>
          <w:rFonts w:ascii="Arial" w:cs="Arial" w:eastAsia="Arial" w:hAnsi="Arial"/>
          <w:sz w:val="14"/>
          <w:szCs w:val="14"/>
          <w:color w:val="auto"/>
        </w:rPr>
        <w:t>Shell subsidiaries’ estimated net proved reserves of crude oil, natural gas liquids, synthetic crude oil and bitumen at the end of the year; their share of the net proved reserves of joint ventures and associates at the end of the year; and the changes in such reserves during the year are set out on pages 144-146.</w:t>
      </w:r>
    </w:p>
    <w:p>
      <w:pPr>
        <w:spacing w:after="0" w:line="167" w:lineRule="exact"/>
        <w:rPr>
          <w:sz w:val="20"/>
          <w:szCs w:val="20"/>
          <w:color w:val="auto"/>
        </w:rPr>
      </w:pPr>
    </w:p>
    <w:p>
      <w:pPr>
        <w:spacing w:after="0"/>
        <w:rPr>
          <w:sz w:val="20"/>
          <w:szCs w:val="20"/>
          <w:color w:val="auto"/>
        </w:rPr>
      </w:pPr>
      <w:r>
        <w:rPr>
          <w:rFonts w:ascii="Arial" w:cs="Arial" w:eastAsia="Arial" w:hAnsi="Arial"/>
          <w:sz w:val="14"/>
          <w:szCs w:val="14"/>
          <w:color w:val="auto"/>
        </w:rPr>
        <w:t>Significant changes in proved developed and undeveloped reserves of crude oil, natural gas liquids, synthetic crude oil and bitumen are discussed below.</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Proved reserves 2014-2013</w:t>
      </w:r>
    </w:p>
    <w:p>
      <w:pPr>
        <w:spacing w:after="0" w:line="166" w:lineRule="exact"/>
        <w:rPr>
          <w:sz w:val="20"/>
          <w:szCs w:val="20"/>
          <w:color w:val="auto"/>
        </w:rPr>
      </w:pPr>
    </w:p>
    <w:p>
      <w:pPr>
        <w:spacing w:after="0"/>
        <w:rPr>
          <w:sz w:val="20"/>
          <w:szCs w:val="20"/>
          <w:color w:val="auto"/>
        </w:rPr>
      </w:pPr>
      <w:r>
        <w:rPr>
          <w:rFonts w:ascii="Arial" w:cs="Arial" w:eastAsia="Arial" w:hAnsi="Arial"/>
          <w:sz w:val="13"/>
          <w:szCs w:val="13"/>
          <w:color w:val="auto"/>
        </w:rPr>
        <w:t>SHELL SUBSIDIARIES</w:t>
      </w:r>
    </w:p>
    <w:p>
      <w:pPr>
        <w:spacing w:after="0" w:line="185" w:lineRule="exact"/>
        <w:rPr>
          <w:sz w:val="20"/>
          <w:szCs w:val="20"/>
          <w:color w:val="auto"/>
        </w:rPr>
      </w:pPr>
    </w:p>
    <w:p>
      <w:pPr>
        <w:spacing w:after="0"/>
        <w:rPr>
          <w:sz w:val="20"/>
          <w:szCs w:val="20"/>
          <w:color w:val="auto"/>
        </w:rPr>
      </w:pPr>
      <w:r>
        <w:rPr>
          <w:rFonts w:ascii="Arial" w:cs="Arial" w:eastAsia="Arial" w:hAnsi="Arial"/>
          <w:sz w:val="14"/>
          <w:szCs w:val="14"/>
          <w:color w:val="auto"/>
        </w:rPr>
        <w:t>Europe</w:t>
      </w:r>
    </w:p>
    <w:p>
      <w:pPr>
        <w:spacing w:after="0" w:line="1" w:lineRule="exact"/>
        <w:rPr>
          <w:sz w:val="20"/>
          <w:szCs w:val="20"/>
          <w:color w:val="auto"/>
        </w:rPr>
      </w:pPr>
    </w:p>
    <w:p>
      <w:pPr>
        <w:ind w:right="180"/>
        <w:spacing w:after="0" w:line="258" w:lineRule="auto"/>
        <w:rPr>
          <w:sz w:val="20"/>
          <w:szCs w:val="20"/>
          <w:color w:val="auto"/>
        </w:rPr>
      </w:pPr>
      <w:r>
        <w:rPr>
          <w:rFonts w:ascii="Arial" w:cs="Arial" w:eastAsia="Arial" w:hAnsi="Arial"/>
          <w:sz w:val="14"/>
          <w:szCs w:val="14"/>
          <w:color w:val="auto"/>
        </w:rPr>
        <w:t>The net decrease of 129 million barrels in revisions and reclassifications resulted from field performance studies and development activities. The reservoir performance analyses and updates in fields resulted in a worse performance than previously estimated in the UK and a better performance than historically predicted in Norway.</w:t>
      </w:r>
    </w:p>
    <w:p>
      <w:pPr>
        <w:spacing w:after="0" w:line="154" w:lineRule="exact"/>
        <w:rPr>
          <w:sz w:val="20"/>
          <w:szCs w:val="20"/>
          <w:color w:val="auto"/>
        </w:rPr>
      </w:pPr>
    </w:p>
    <w:p>
      <w:pPr>
        <w:spacing w:after="0"/>
        <w:rPr>
          <w:sz w:val="20"/>
          <w:szCs w:val="20"/>
          <w:color w:val="auto"/>
        </w:rPr>
      </w:pPr>
      <w:r>
        <w:rPr>
          <w:rFonts w:ascii="Arial" w:cs="Arial" w:eastAsia="Arial" w:hAnsi="Arial"/>
          <w:sz w:val="14"/>
          <w:szCs w:val="14"/>
          <w:color w:val="auto"/>
        </w:rPr>
        <w:t>Asia</w:t>
      </w:r>
    </w:p>
    <w:p>
      <w:pPr>
        <w:spacing w:after="0" w:line="1" w:lineRule="exact"/>
        <w:rPr>
          <w:sz w:val="20"/>
          <w:szCs w:val="20"/>
          <w:color w:val="auto"/>
        </w:rPr>
      </w:pPr>
    </w:p>
    <w:p>
      <w:pPr>
        <w:ind w:right="220"/>
        <w:spacing w:after="0" w:line="258" w:lineRule="auto"/>
        <w:rPr>
          <w:sz w:val="20"/>
          <w:szCs w:val="20"/>
          <w:color w:val="auto"/>
        </w:rPr>
      </w:pPr>
      <w:r>
        <w:rPr>
          <w:rFonts w:ascii="Arial" w:cs="Arial" w:eastAsia="Arial" w:hAnsi="Arial"/>
          <w:sz w:val="14"/>
          <w:szCs w:val="14"/>
          <w:color w:val="auto"/>
        </w:rPr>
        <w:t>The net increase of 120 million barrels in revisions and reclassifications resulted from field performance studies and development activities. The reservoir performance analyses and updates in fields resulted in many relatively small contributions from fields in Iraq, Malaysia, Oman and Russia.</w:t>
      </w:r>
    </w:p>
    <w:p>
      <w:pPr>
        <w:spacing w:after="0" w:line="154" w:lineRule="exact"/>
        <w:rPr>
          <w:sz w:val="20"/>
          <w:szCs w:val="20"/>
          <w:color w:val="auto"/>
        </w:rPr>
      </w:pPr>
    </w:p>
    <w:p>
      <w:pPr>
        <w:spacing w:after="0"/>
        <w:rPr>
          <w:sz w:val="20"/>
          <w:szCs w:val="20"/>
          <w:color w:val="auto"/>
        </w:rPr>
      </w:pPr>
      <w:r>
        <w:rPr>
          <w:rFonts w:ascii="Arial" w:cs="Arial" w:eastAsia="Arial" w:hAnsi="Arial"/>
          <w:sz w:val="14"/>
          <w:szCs w:val="14"/>
          <w:color w:val="auto"/>
        </w:rPr>
        <w:t>Africa</w:t>
      </w:r>
    </w:p>
    <w:p>
      <w:pPr>
        <w:spacing w:after="0" w:line="1" w:lineRule="exact"/>
        <w:rPr>
          <w:sz w:val="20"/>
          <w:szCs w:val="20"/>
          <w:color w:val="auto"/>
        </w:rPr>
      </w:pPr>
    </w:p>
    <w:p>
      <w:pPr>
        <w:ind w:right="220"/>
        <w:spacing w:after="0" w:line="258" w:lineRule="auto"/>
        <w:rPr>
          <w:sz w:val="20"/>
          <w:szCs w:val="20"/>
          <w:color w:val="auto"/>
        </w:rPr>
      </w:pPr>
      <w:r>
        <w:rPr>
          <w:rFonts w:ascii="Arial" w:cs="Arial" w:eastAsia="Arial" w:hAnsi="Arial"/>
          <w:sz w:val="14"/>
          <w:szCs w:val="14"/>
          <w:color w:val="auto"/>
        </w:rPr>
        <w:t>The net increase of 126 million barrels in revisions and reclassifications resulted from field performance studies and development activities. The reservoir performance analyses and updates in fields resulted in reserves volumes increases in our operations in Egypt, Gabon and Nigeria.</w:t>
      </w:r>
    </w:p>
    <w:p>
      <w:pPr>
        <w:spacing w:after="0" w:line="167" w:lineRule="exact"/>
        <w:rPr>
          <w:sz w:val="20"/>
          <w:szCs w:val="20"/>
          <w:color w:val="auto"/>
        </w:rPr>
      </w:pPr>
    </w:p>
    <w:p>
      <w:pPr>
        <w:spacing w:after="0"/>
        <w:rPr>
          <w:sz w:val="20"/>
          <w:szCs w:val="20"/>
          <w:color w:val="auto"/>
        </w:rPr>
      </w:pPr>
      <w:r>
        <w:rPr>
          <w:rFonts w:ascii="Arial" w:cs="Arial" w:eastAsia="Arial" w:hAnsi="Arial"/>
          <w:sz w:val="14"/>
          <w:szCs w:val="14"/>
          <w:color w:val="auto"/>
        </w:rPr>
        <w:t>USA</w:t>
      </w:r>
    </w:p>
    <w:p>
      <w:pPr>
        <w:spacing w:after="0" w:line="1" w:lineRule="exact"/>
        <w:rPr>
          <w:sz w:val="20"/>
          <w:szCs w:val="20"/>
          <w:color w:val="auto"/>
        </w:rPr>
      </w:pPr>
    </w:p>
    <w:p>
      <w:pPr>
        <w:jc w:val="both"/>
        <w:ind w:right="140"/>
        <w:spacing w:after="0" w:line="250" w:lineRule="auto"/>
        <w:rPr>
          <w:sz w:val="20"/>
          <w:szCs w:val="20"/>
          <w:color w:val="auto"/>
        </w:rPr>
      </w:pPr>
      <w:r>
        <w:rPr>
          <w:rFonts w:ascii="Arial" w:cs="Arial" w:eastAsia="Arial" w:hAnsi="Arial"/>
          <w:sz w:val="14"/>
          <w:szCs w:val="14"/>
          <w:color w:val="auto"/>
        </w:rPr>
        <w:t>The net decrease of 169 million barrels in revisions and reclassifications resulted from field performance studies and development activities. Reservoir performance analyses and updates in fields resulted in reserves volume decreases for the Mars, Stones and Ursa deep-water fields in the Gulf of Mexico and for the Permian project. The Na Kika Coulomb deep-water field in the Gulf of Mexico benefited from a better than predicted reservoir performance.</w:t>
      </w:r>
    </w:p>
    <w:p>
      <w:pPr>
        <w:spacing w:after="0" w:line="159" w:lineRule="exact"/>
        <w:rPr>
          <w:sz w:val="20"/>
          <w:szCs w:val="20"/>
          <w:color w:val="auto"/>
        </w:rPr>
      </w:pPr>
    </w:p>
    <w:p>
      <w:pPr>
        <w:spacing w:after="0"/>
        <w:rPr>
          <w:sz w:val="20"/>
          <w:szCs w:val="20"/>
          <w:color w:val="auto"/>
        </w:rPr>
      </w:pPr>
      <w:r>
        <w:rPr>
          <w:rFonts w:ascii="Arial" w:cs="Arial" w:eastAsia="Arial" w:hAnsi="Arial"/>
          <w:sz w:val="14"/>
          <w:szCs w:val="14"/>
          <w:color w:val="auto"/>
        </w:rPr>
        <w:t>Canada</w:t>
      </w:r>
    </w:p>
    <w:p>
      <w:pPr>
        <w:spacing w:after="0" w:line="1" w:lineRule="exact"/>
        <w:rPr>
          <w:sz w:val="20"/>
          <w:szCs w:val="20"/>
          <w:color w:val="auto"/>
        </w:rPr>
      </w:pPr>
    </w:p>
    <w:p>
      <w:pPr>
        <w:ind w:right="180"/>
        <w:spacing w:after="0" w:line="258" w:lineRule="auto"/>
        <w:rPr>
          <w:sz w:val="20"/>
          <w:szCs w:val="20"/>
          <w:color w:val="auto"/>
        </w:rPr>
      </w:pPr>
      <w:r>
        <w:rPr>
          <w:rFonts w:ascii="Arial" w:cs="Arial" w:eastAsia="Arial" w:hAnsi="Arial"/>
          <w:sz w:val="14"/>
          <w:szCs w:val="14"/>
          <w:color w:val="auto"/>
        </w:rPr>
        <w:t>The net increase of 81 million barrels in synthetic crude oil revisions and reclassifications resulted from field performance studies and development activities at the Athabasca Oil Sands Project’s Muskeg River and Jackpine mines.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Proved reserves 2013-2012</w:t>
      </w:r>
    </w:p>
    <w:p>
      <w:pPr>
        <w:spacing w:after="0" w:line="180" w:lineRule="exact"/>
        <w:rPr>
          <w:sz w:val="20"/>
          <w:szCs w:val="20"/>
          <w:color w:val="auto"/>
        </w:rPr>
      </w:pPr>
    </w:p>
    <w:p>
      <w:pPr>
        <w:spacing w:after="0"/>
        <w:rPr>
          <w:sz w:val="20"/>
          <w:szCs w:val="20"/>
          <w:color w:val="auto"/>
        </w:rPr>
      </w:pPr>
      <w:r>
        <w:rPr>
          <w:rFonts w:ascii="Arial" w:cs="Arial" w:eastAsia="Arial" w:hAnsi="Arial"/>
          <w:sz w:val="13"/>
          <w:szCs w:val="13"/>
          <w:color w:val="auto"/>
        </w:rPr>
        <w:t>SHELL SUBSIDIARIES</w:t>
      </w:r>
    </w:p>
    <w:p>
      <w:pPr>
        <w:spacing w:after="0" w:line="172" w:lineRule="exact"/>
        <w:rPr>
          <w:sz w:val="20"/>
          <w:szCs w:val="20"/>
          <w:color w:val="auto"/>
        </w:rPr>
      </w:pPr>
    </w:p>
    <w:p>
      <w:pPr>
        <w:spacing w:after="0"/>
        <w:rPr>
          <w:sz w:val="20"/>
          <w:szCs w:val="20"/>
          <w:color w:val="auto"/>
        </w:rPr>
      </w:pPr>
      <w:r>
        <w:rPr>
          <w:rFonts w:ascii="Arial" w:cs="Arial" w:eastAsia="Arial" w:hAnsi="Arial"/>
          <w:sz w:val="14"/>
          <w:szCs w:val="14"/>
          <w:color w:val="auto"/>
        </w:rPr>
        <w:t>Asia</w:t>
      </w:r>
    </w:p>
    <w:p>
      <w:pPr>
        <w:spacing w:after="0" w:line="1" w:lineRule="exact"/>
        <w:rPr>
          <w:sz w:val="20"/>
          <w:szCs w:val="20"/>
          <w:color w:val="auto"/>
        </w:rPr>
      </w:pPr>
    </w:p>
    <w:p>
      <w:pPr>
        <w:ind w:right="220"/>
        <w:spacing w:after="0" w:line="258" w:lineRule="auto"/>
        <w:rPr>
          <w:sz w:val="20"/>
          <w:szCs w:val="20"/>
          <w:color w:val="auto"/>
        </w:rPr>
      </w:pPr>
      <w:r>
        <w:rPr>
          <w:rFonts w:ascii="Arial" w:cs="Arial" w:eastAsia="Arial" w:hAnsi="Arial"/>
          <w:sz w:val="14"/>
          <w:szCs w:val="14"/>
          <w:color w:val="auto"/>
        </w:rPr>
        <w:t>The net increase of 205 million barrels in revisions and reclassifications resulted from field performance studies and development activities. The reservoir performance analyses and updates in multiple fields supported continuing better performance than historically predicted in Brunei, Malaysia, Oman and Russia.</w:t>
      </w:r>
    </w:p>
    <w:p>
      <w:pPr>
        <w:spacing w:after="0" w:line="154" w:lineRule="exact"/>
        <w:rPr>
          <w:sz w:val="20"/>
          <w:szCs w:val="20"/>
          <w:color w:val="auto"/>
        </w:rPr>
      </w:pPr>
    </w:p>
    <w:p>
      <w:pPr>
        <w:spacing w:after="0"/>
        <w:rPr>
          <w:sz w:val="20"/>
          <w:szCs w:val="20"/>
          <w:color w:val="auto"/>
        </w:rPr>
      </w:pPr>
      <w:r>
        <w:rPr>
          <w:rFonts w:ascii="Arial" w:cs="Arial" w:eastAsia="Arial" w:hAnsi="Arial"/>
          <w:sz w:val="14"/>
          <w:szCs w:val="14"/>
          <w:color w:val="auto"/>
        </w:rPr>
        <w:t>USA</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The increase of 158 million barrels in extensions and discoveries resulted from extensions in existing deep-water and light-tight-oil operations.</w:t>
      </w:r>
    </w:p>
    <w:p>
      <w:pPr>
        <w:spacing w:after="0" w:line="190" w:lineRule="exact"/>
        <w:rPr>
          <w:sz w:val="20"/>
          <w:szCs w:val="20"/>
          <w:color w:val="auto"/>
        </w:rPr>
      </w:pPr>
    </w:p>
    <w:p>
      <w:pPr>
        <w:spacing w:after="0"/>
        <w:rPr>
          <w:sz w:val="20"/>
          <w:szCs w:val="20"/>
          <w:color w:val="auto"/>
        </w:rPr>
      </w:pPr>
      <w:r>
        <w:rPr>
          <w:rFonts w:ascii="Arial" w:cs="Arial" w:eastAsia="Arial" w:hAnsi="Arial"/>
          <w:sz w:val="14"/>
          <w:szCs w:val="14"/>
          <w:color w:val="auto"/>
        </w:rPr>
        <w:t>Canada</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The increase of 410 million barrels in improved recovery resulted from the application of improved recovery techniques in Carmon Creek as part of the Peace River thermal project.</w:t>
      </w:r>
    </w:p>
    <w:p>
      <w:pPr>
        <w:sectPr>
          <w:pgSz w:w="11900" w:h="16838" w:orient="portrait"/>
          <w:cols w:equalWidth="0" w:num="1">
            <w:col w:w="11420"/>
          </w:cols>
          <w:pgMar w:left="240" w:top="459" w:right="239" w:bottom="1440" w:gutter="0" w:footer="0" w:header="0"/>
        </w:sectPr>
      </w:pPr>
    </w:p>
    <w:bookmarkStart w:id="145" w:name="page146"/>
    <w:bookmarkEnd w:id="1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300355</wp:posOffset>
            </wp:positionV>
            <wp:extent cx="8890" cy="462915"/>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8890" cy="462915"/>
                    </a:xfrm>
                    <a:prstGeom prst="rect">
                      <a:avLst/>
                    </a:prstGeom>
                    <a:noFill/>
                  </pic:spPr>
                </pic:pic>
              </a:graphicData>
            </a:graphic>
          </wp:anchor>
        </w:drawing>
      </w:r>
    </w:p>
    <w:p>
      <w:pPr>
        <w:spacing w:after="0" w:line="200" w:lineRule="exact"/>
        <w:rPr>
          <w:sz w:val="20"/>
          <w:szCs w:val="20"/>
          <w:color w:val="auto"/>
        </w:rPr>
      </w:pP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565"/>
        </w:trPr>
        <w:tc>
          <w:tcPr>
            <w:tcW w:w="700" w:type="dxa"/>
            <w:vAlign w:val="bottom"/>
            <w:shd w:val="clear" w:color="auto" w:fill="FF8B00"/>
          </w:tcPr>
          <w:p>
            <w:pPr>
              <w:ind w:left="260"/>
              <w:spacing w:after="0"/>
              <w:rPr>
                <w:sz w:val="20"/>
                <w:szCs w:val="20"/>
                <w:color w:val="auto"/>
              </w:rPr>
            </w:pPr>
            <w:r>
              <w:rPr>
                <w:rFonts w:ascii="Arial" w:cs="Arial" w:eastAsia="Arial" w:hAnsi="Arial"/>
                <w:sz w:val="11"/>
                <w:szCs w:val="11"/>
                <w:b w:val="1"/>
                <w:bCs w:val="1"/>
                <w:color w:val="333333"/>
              </w:rPr>
              <w:t>144</w:t>
            </w:r>
          </w:p>
        </w:tc>
        <w:tc>
          <w:tcPr>
            <w:tcW w:w="1200" w:type="dxa"/>
            <w:vAlign w:val="bottom"/>
            <w:shd w:val="clear" w:color="auto" w:fill="FF8B00"/>
          </w:tcPr>
          <w:p>
            <w:pPr>
              <w:spacing w:after="0"/>
              <w:rPr>
                <w:sz w:val="24"/>
                <w:szCs w:val="24"/>
                <w:color w:val="auto"/>
              </w:rPr>
            </w:pPr>
          </w:p>
        </w:tc>
        <w:tc>
          <w:tcPr>
            <w:tcW w:w="3000" w:type="dxa"/>
            <w:vAlign w:val="bottom"/>
            <w:gridSpan w:val="8"/>
            <w:shd w:val="clear" w:color="auto" w:fill="FF8B00"/>
          </w:tcPr>
          <w:p>
            <w:pPr>
              <w:jc w:val="right"/>
              <w:ind w:right="120"/>
              <w:spacing w:after="0"/>
              <w:rPr>
                <w:sz w:val="20"/>
                <w:szCs w:val="20"/>
                <w:color w:val="auto"/>
              </w:rPr>
            </w:pPr>
            <w:r>
              <w:rPr>
                <w:rFonts w:ascii="Arial" w:cs="Arial" w:eastAsia="Arial" w:hAnsi="Arial"/>
                <w:sz w:val="13"/>
                <w:szCs w:val="13"/>
                <w:color w:val="333333"/>
                <w:w w:val="98"/>
              </w:rPr>
              <w:t>FINANCIAL STATEMENTS AND SUPPLEMENTS</w:t>
            </w:r>
          </w:p>
        </w:tc>
        <w:tc>
          <w:tcPr>
            <w:tcW w:w="600" w:type="dxa"/>
            <w:vAlign w:val="bottom"/>
            <w:shd w:val="clear" w:color="auto" w:fill="FF8B00"/>
          </w:tcPr>
          <w:p>
            <w:pPr>
              <w:spacing w:after="0"/>
              <w:rPr>
                <w:sz w:val="24"/>
                <w:szCs w:val="24"/>
                <w:color w:val="auto"/>
              </w:rPr>
            </w:pPr>
          </w:p>
        </w:tc>
        <w:tc>
          <w:tcPr>
            <w:tcW w:w="80" w:type="dxa"/>
            <w:vAlign w:val="bottom"/>
            <w:shd w:val="clear" w:color="auto" w:fill="FF8B00"/>
          </w:tcPr>
          <w:p>
            <w:pPr>
              <w:spacing w:after="0"/>
              <w:rPr>
                <w:sz w:val="24"/>
                <w:szCs w:val="24"/>
                <w:color w:val="auto"/>
              </w:rPr>
            </w:pPr>
          </w:p>
        </w:tc>
        <w:tc>
          <w:tcPr>
            <w:tcW w:w="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5"/>
        </w:trPr>
        <w:tc>
          <w:tcPr>
            <w:tcW w:w="700" w:type="dxa"/>
            <w:vAlign w:val="bottom"/>
            <w:shd w:val="clear" w:color="auto" w:fill="FF8B00"/>
          </w:tcPr>
          <w:p>
            <w:pPr>
              <w:spacing w:after="0"/>
              <w:rPr>
                <w:sz w:val="14"/>
                <w:szCs w:val="14"/>
                <w:color w:val="auto"/>
              </w:rPr>
            </w:pPr>
          </w:p>
        </w:tc>
        <w:tc>
          <w:tcPr>
            <w:tcW w:w="1720" w:type="dxa"/>
            <w:vAlign w:val="bottom"/>
            <w:gridSpan w:val="2"/>
            <w:shd w:val="clear" w:color="auto" w:fill="FF8B00"/>
          </w:tcPr>
          <w:p>
            <w:pPr>
              <w:spacing w:after="0"/>
              <w:rPr>
                <w:sz w:val="14"/>
                <w:szCs w:val="14"/>
                <w:color w:val="auto"/>
              </w:rPr>
            </w:pPr>
          </w:p>
        </w:tc>
        <w:tc>
          <w:tcPr>
            <w:tcW w:w="740" w:type="dxa"/>
            <w:vAlign w:val="bottom"/>
            <w:gridSpan w:val="2"/>
            <w:shd w:val="clear" w:color="auto" w:fill="FF8B00"/>
          </w:tcPr>
          <w:p>
            <w:pPr>
              <w:spacing w:after="0"/>
              <w:rPr>
                <w:sz w:val="14"/>
                <w:szCs w:val="14"/>
                <w:color w:val="auto"/>
              </w:rPr>
            </w:pPr>
          </w:p>
        </w:tc>
        <w:tc>
          <w:tcPr>
            <w:tcW w:w="780" w:type="dxa"/>
            <w:vAlign w:val="bottom"/>
            <w:gridSpan w:val="2"/>
            <w:shd w:val="clear" w:color="auto" w:fill="FF8B00"/>
          </w:tcPr>
          <w:p>
            <w:pPr>
              <w:spacing w:after="0"/>
              <w:rPr>
                <w:sz w:val="14"/>
                <w:szCs w:val="14"/>
                <w:color w:val="auto"/>
              </w:rPr>
            </w:pPr>
          </w:p>
        </w:tc>
        <w:tc>
          <w:tcPr>
            <w:tcW w:w="740" w:type="dxa"/>
            <w:vAlign w:val="bottom"/>
            <w:gridSpan w:val="2"/>
            <w:shd w:val="clear" w:color="auto" w:fill="FF8B00"/>
          </w:tcPr>
          <w:p>
            <w:pPr>
              <w:spacing w:after="0"/>
              <w:rPr>
                <w:sz w:val="14"/>
                <w:szCs w:val="14"/>
                <w:color w:val="auto"/>
              </w:rPr>
            </w:pPr>
          </w:p>
        </w:tc>
        <w:tc>
          <w:tcPr>
            <w:tcW w:w="220" w:type="dxa"/>
            <w:vAlign w:val="bottom"/>
            <w:shd w:val="clear" w:color="auto" w:fill="FF8B00"/>
          </w:tcPr>
          <w:p>
            <w:pPr>
              <w:spacing w:after="0"/>
              <w:rPr>
                <w:sz w:val="14"/>
                <w:szCs w:val="14"/>
                <w:color w:val="auto"/>
              </w:rPr>
            </w:pPr>
          </w:p>
        </w:tc>
        <w:tc>
          <w:tcPr>
            <w:tcW w:w="600" w:type="dxa"/>
            <w:vAlign w:val="bottom"/>
            <w:shd w:val="clear" w:color="auto" w:fill="FF8B00"/>
          </w:tcPr>
          <w:p>
            <w:pPr>
              <w:spacing w:after="0"/>
              <w:rPr>
                <w:sz w:val="14"/>
                <w:szCs w:val="14"/>
                <w:color w:val="auto"/>
              </w:rPr>
            </w:pPr>
          </w:p>
        </w:tc>
        <w:tc>
          <w:tcPr>
            <w:tcW w:w="80" w:type="dxa"/>
            <w:vAlign w:val="bottom"/>
            <w:shd w:val="clear" w:color="auto" w:fill="FF8B00"/>
          </w:tcPr>
          <w:p>
            <w:pPr>
              <w:spacing w:after="0"/>
              <w:rPr>
                <w:sz w:val="14"/>
                <w:szCs w:val="14"/>
                <w:color w:val="auto"/>
              </w:rPr>
            </w:pPr>
          </w:p>
        </w:tc>
        <w:tc>
          <w:tcPr>
            <w:tcW w:w="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780" w:type="dxa"/>
            <w:vAlign w:val="bottom"/>
            <w:gridSpan w:val="5"/>
            <w:vMerge w:val="restart"/>
          </w:tcPr>
          <w:p>
            <w:pPr>
              <w:ind w:left="360"/>
              <w:spacing w:after="0"/>
              <w:rPr>
                <w:sz w:val="20"/>
                <w:szCs w:val="20"/>
                <w:color w:val="auto"/>
              </w:rPr>
            </w:pPr>
            <w:r>
              <w:rPr>
                <w:rFonts w:ascii="Arial" w:cs="Arial" w:eastAsia="Arial" w:hAnsi="Arial"/>
                <w:sz w:val="11"/>
                <w:szCs w:val="11"/>
                <w:color w:val="auto"/>
                <w:w w:val="97"/>
              </w:rPr>
              <w:t>SHELL ANNUAL REPORT AND FORM 20-F 2014</w:t>
            </w:r>
          </w:p>
        </w:tc>
        <w:tc>
          <w:tcPr>
            <w:tcW w:w="0" w:type="dxa"/>
            <w:vAlign w:val="bottom"/>
          </w:tcPr>
          <w:p>
            <w:pPr>
              <w:spacing w:after="0"/>
              <w:rPr>
                <w:sz w:val="1"/>
                <w:szCs w:val="1"/>
                <w:color w:val="auto"/>
              </w:rPr>
            </w:pPr>
          </w:p>
        </w:tc>
      </w:tr>
      <w:tr>
        <w:trPr>
          <w:trHeight w:val="118"/>
        </w:trPr>
        <w:tc>
          <w:tcPr>
            <w:tcW w:w="700" w:type="dxa"/>
            <w:vAlign w:val="bottom"/>
          </w:tcPr>
          <w:p>
            <w:pPr>
              <w:spacing w:after="0"/>
              <w:rPr>
                <w:sz w:val="10"/>
                <w:szCs w:val="10"/>
                <w:color w:val="auto"/>
              </w:rPr>
            </w:pPr>
          </w:p>
        </w:tc>
        <w:tc>
          <w:tcPr>
            <w:tcW w:w="4200" w:type="dxa"/>
            <w:vAlign w:val="bottom"/>
            <w:gridSpan w:val="9"/>
          </w:tcPr>
          <w:p>
            <w:pPr>
              <w:jc w:val="right"/>
              <w:ind w:right="120"/>
              <w:spacing w:after="0" w:line="119" w:lineRule="exact"/>
              <w:rPr>
                <w:sz w:val="20"/>
                <w:szCs w:val="20"/>
                <w:color w:val="auto"/>
              </w:rPr>
            </w:pPr>
            <w:r>
              <w:rPr>
                <w:rFonts w:ascii="Arial" w:cs="Arial" w:eastAsia="Arial" w:hAnsi="Arial"/>
                <w:sz w:val="11"/>
                <w:szCs w:val="11"/>
                <w:color w:val="auto"/>
              </w:rPr>
              <w:t>SUPPLEMENTARY INFORMATION – OIL AND GAS (UNAUDITED)</w:t>
            </w: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780" w:type="dxa"/>
            <w:vAlign w:val="bottom"/>
            <w:gridSpan w:val="5"/>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4160" w:type="dxa"/>
            <w:vAlign w:val="bottom"/>
            <w:gridSpan w:val="8"/>
          </w:tcPr>
          <w:p>
            <w:pPr>
              <w:spacing w:after="0" w:line="125" w:lineRule="exact"/>
              <w:rPr>
                <w:sz w:val="20"/>
                <w:szCs w:val="20"/>
                <w:color w:val="auto"/>
              </w:rPr>
            </w:pPr>
            <w:r>
              <w:rPr>
                <w:rFonts w:ascii="Arial" w:cs="Arial" w:eastAsia="Arial" w:hAnsi="Arial"/>
                <w:sz w:val="11"/>
                <w:szCs w:val="11"/>
                <w:color w:val="auto"/>
              </w:rPr>
              <w:t>[Crude oil, natural gas liquids, synthetic crude oil and bitumen continued]</w:t>
            </w:r>
          </w:p>
        </w:tc>
        <w:tc>
          <w:tcPr>
            <w:tcW w:w="5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4900" w:type="dxa"/>
            <w:vAlign w:val="bottom"/>
            <w:gridSpan w:val="10"/>
            <w:shd w:val="clear" w:color="auto" w:fill="333333"/>
          </w:tcPr>
          <w:p>
            <w:pPr>
              <w:ind w:left="80"/>
              <w:spacing w:after="0" w:line="162" w:lineRule="exact"/>
              <w:rPr>
                <w:sz w:val="20"/>
                <w:szCs w:val="20"/>
                <w:color w:val="auto"/>
              </w:rPr>
            </w:pPr>
            <w:r>
              <w:rPr>
                <w:rFonts w:ascii="Arial" w:cs="Arial" w:eastAsia="Arial" w:hAnsi="Arial"/>
                <w:sz w:val="15"/>
                <w:szCs w:val="15"/>
                <w:b w:val="1"/>
                <w:bCs w:val="1"/>
                <w:color w:val="FFFFFF"/>
              </w:rPr>
              <w:t>PROVED DEVELOPED AND UNDEVELOPED RESERVES 2014</w:t>
            </w:r>
          </w:p>
        </w:tc>
        <w:tc>
          <w:tcPr>
            <w:tcW w:w="600" w:type="dxa"/>
            <w:vAlign w:val="bottom"/>
            <w:shd w:val="clear" w:color="auto" w:fill="333333"/>
          </w:tcPr>
          <w:p>
            <w:pPr>
              <w:spacing w:after="0"/>
              <w:rPr>
                <w:sz w:val="14"/>
                <w:szCs w:val="14"/>
                <w:color w:val="auto"/>
              </w:rPr>
            </w:pPr>
          </w:p>
        </w:tc>
        <w:tc>
          <w:tcPr>
            <w:tcW w:w="80" w:type="dxa"/>
            <w:vAlign w:val="bottom"/>
            <w:shd w:val="clear" w:color="auto" w:fill="333333"/>
          </w:tcPr>
          <w:p>
            <w:pPr>
              <w:spacing w:after="0"/>
              <w:rPr>
                <w:sz w:val="14"/>
                <w:szCs w:val="14"/>
                <w:color w:val="auto"/>
              </w:rPr>
            </w:pPr>
          </w:p>
        </w:tc>
        <w:tc>
          <w:tcPr>
            <w:tcW w:w="40" w:type="dxa"/>
            <w:vAlign w:val="bottom"/>
            <w:shd w:val="clear" w:color="auto" w:fill="333333"/>
          </w:tcPr>
          <w:p>
            <w:pPr>
              <w:spacing w:after="0"/>
              <w:rPr>
                <w:sz w:val="14"/>
                <w:szCs w:val="14"/>
                <w:color w:val="auto"/>
              </w:rPr>
            </w:pPr>
          </w:p>
        </w:tc>
        <w:tc>
          <w:tcPr>
            <w:tcW w:w="680" w:type="dxa"/>
            <w:vAlign w:val="bottom"/>
            <w:shd w:val="clear" w:color="auto" w:fill="333333"/>
          </w:tcPr>
          <w:p>
            <w:pPr>
              <w:spacing w:after="0"/>
              <w:rPr>
                <w:sz w:val="14"/>
                <w:szCs w:val="14"/>
                <w:color w:val="auto"/>
              </w:rPr>
            </w:pPr>
          </w:p>
        </w:tc>
        <w:tc>
          <w:tcPr>
            <w:tcW w:w="760" w:type="dxa"/>
            <w:vAlign w:val="bottom"/>
            <w:shd w:val="clear" w:color="auto" w:fill="333333"/>
          </w:tcPr>
          <w:p>
            <w:pPr>
              <w:spacing w:after="0"/>
              <w:rPr>
                <w:sz w:val="14"/>
                <w:szCs w:val="14"/>
                <w:color w:val="auto"/>
              </w:rPr>
            </w:pPr>
          </w:p>
        </w:tc>
        <w:tc>
          <w:tcPr>
            <w:tcW w:w="660" w:type="dxa"/>
            <w:vAlign w:val="bottom"/>
            <w:shd w:val="clear" w:color="auto" w:fill="333333"/>
          </w:tcPr>
          <w:p>
            <w:pPr>
              <w:spacing w:after="0"/>
              <w:rPr>
                <w:sz w:val="14"/>
                <w:szCs w:val="14"/>
                <w:color w:val="auto"/>
              </w:rPr>
            </w:pPr>
          </w:p>
        </w:tc>
        <w:tc>
          <w:tcPr>
            <w:tcW w:w="140" w:type="dxa"/>
            <w:vAlign w:val="bottom"/>
            <w:shd w:val="clear" w:color="auto" w:fill="333333"/>
          </w:tcPr>
          <w:p>
            <w:pPr>
              <w:spacing w:after="0"/>
              <w:rPr>
                <w:sz w:val="14"/>
                <w:szCs w:val="14"/>
                <w:color w:val="auto"/>
              </w:rPr>
            </w:pPr>
          </w:p>
        </w:tc>
        <w:tc>
          <w:tcPr>
            <w:tcW w:w="560" w:type="dxa"/>
            <w:vAlign w:val="bottom"/>
            <w:shd w:val="clear" w:color="auto" w:fill="333333"/>
          </w:tcPr>
          <w:p>
            <w:pPr>
              <w:spacing w:after="0"/>
              <w:rPr>
                <w:sz w:val="14"/>
                <w:szCs w:val="14"/>
                <w:color w:val="auto"/>
              </w:rPr>
            </w:pPr>
          </w:p>
        </w:tc>
        <w:tc>
          <w:tcPr>
            <w:tcW w:w="240" w:type="dxa"/>
            <w:vAlign w:val="bottom"/>
            <w:shd w:val="clear" w:color="auto" w:fill="333333"/>
          </w:tcPr>
          <w:p>
            <w:pPr>
              <w:spacing w:after="0"/>
              <w:rPr>
                <w:sz w:val="14"/>
                <w:szCs w:val="14"/>
                <w:color w:val="auto"/>
              </w:rPr>
            </w:pPr>
          </w:p>
        </w:tc>
        <w:tc>
          <w:tcPr>
            <w:tcW w:w="680" w:type="dxa"/>
            <w:vAlign w:val="bottom"/>
            <w:shd w:val="clear" w:color="auto" w:fill="333333"/>
          </w:tcPr>
          <w:p>
            <w:pPr>
              <w:spacing w:after="0"/>
              <w:rPr>
                <w:sz w:val="14"/>
                <w:szCs w:val="14"/>
                <w:color w:val="auto"/>
              </w:rPr>
            </w:pPr>
          </w:p>
        </w:tc>
        <w:tc>
          <w:tcPr>
            <w:tcW w:w="2080" w:type="dxa"/>
            <w:vAlign w:val="bottom"/>
            <w:gridSpan w:val="3"/>
            <w:shd w:val="clear" w:color="auto" w:fill="333333"/>
          </w:tcPr>
          <w:p>
            <w:pPr>
              <w:jc w:val="right"/>
              <w:ind w:right="29"/>
              <w:spacing w:after="0" w:line="162" w:lineRule="exact"/>
              <w:rPr>
                <w:sz w:val="20"/>
                <w:szCs w:val="20"/>
                <w:color w:val="auto"/>
              </w:rPr>
            </w:pPr>
            <w:r>
              <w:rPr>
                <w:rFonts w:ascii="Arial" w:cs="Arial" w:eastAsia="Arial" w:hAnsi="Arial"/>
                <w:sz w:val="15"/>
                <w:szCs w:val="15"/>
                <w:color w:val="FFFFFF"/>
              </w:rPr>
              <w:t>MILLION BARRELS</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7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1420" w:type="dxa"/>
            <w:vAlign w:val="bottom"/>
            <w:tcBorders>
              <w:bottom w:val="single" w:sz="8" w:color="auto"/>
            </w:tcBorders>
            <w:gridSpan w:val="2"/>
          </w:tcPr>
          <w:p>
            <w:pPr>
              <w:jc w:val="right"/>
              <w:ind w:right="29"/>
              <w:spacing w:after="0" w:line="115" w:lineRule="exact"/>
              <w:rPr>
                <w:sz w:val="20"/>
                <w:szCs w:val="20"/>
                <w:color w:val="auto"/>
              </w:rPr>
            </w:pPr>
            <w:r>
              <w:rPr>
                <w:rFonts w:ascii="Arial" w:cs="Arial" w:eastAsia="Arial" w:hAnsi="Arial"/>
                <w:sz w:val="13"/>
                <w:szCs w:val="13"/>
                <w:color w:val="auto"/>
              </w:rPr>
              <w:t>North America</w:t>
            </w:r>
          </w:p>
        </w:tc>
        <w:tc>
          <w:tcPr>
            <w:tcW w:w="140" w:type="dxa"/>
            <w:vAlign w:val="bottom"/>
          </w:tcPr>
          <w:p>
            <w:pPr>
              <w:spacing w:after="0"/>
              <w:rPr>
                <w:sz w:val="11"/>
                <w:szCs w:val="11"/>
                <w:color w:val="auto"/>
              </w:rPr>
            </w:pPr>
          </w:p>
        </w:tc>
        <w:tc>
          <w:tcPr>
            <w:tcW w:w="800" w:type="dxa"/>
            <w:vAlign w:val="bottom"/>
            <w:gridSpan w:val="2"/>
          </w:tcPr>
          <w:p>
            <w:pPr>
              <w:jc w:val="right"/>
              <w:ind w:right="240"/>
              <w:spacing w:after="0" w:line="129" w:lineRule="exact"/>
              <w:rPr>
                <w:sz w:val="20"/>
                <w:szCs w:val="20"/>
                <w:color w:val="auto"/>
              </w:rPr>
            </w:pPr>
            <w:r>
              <w:rPr>
                <w:rFonts w:ascii="Arial" w:cs="Arial" w:eastAsia="Arial" w:hAnsi="Arial"/>
                <w:sz w:val="13"/>
                <w:szCs w:val="13"/>
                <w:color w:val="auto"/>
              </w:rPr>
              <w:t>South</w:t>
            </w: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7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3"/>
                <w:szCs w:val="13"/>
                <w:color w:val="auto"/>
              </w:rPr>
              <w:t>Europe</w:t>
            </w:r>
          </w:p>
        </w:tc>
        <w:tc>
          <w:tcPr>
            <w:tcW w:w="740" w:type="dxa"/>
            <w:vAlign w:val="bottom"/>
            <w:gridSpan w:val="2"/>
          </w:tcPr>
          <w:p>
            <w:pPr>
              <w:jc w:val="right"/>
              <w:ind w:right="220"/>
              <w:spacing w:after="0"/>
              <w:rPr>
                <w:sz w:val="20"/>
                <w:szCs w:val="20"/>
                <w:color w:val="auto"/>
              </w:rPr>
            </w:pPr>
            <w:r>
              <w:rPr>
                <w:rFonts w:ascii="Arial" w:cs="Arial" w:eastAsia="Arial" w:hAnsi="Arial"/>
                <w:sz w:val="13"/>
                <w:szCs w:val="13"/>
                <w:color w:val="auto"/>
              </w:rPr>
              <w:t>Asia</w:t>
            </w:r>
          </w:p>
        </w:tc>
        <w:tc>
          <w:tcPr>
            <w:tcW w:w="780" w:type="dxa"/>
            <w:vAlign w:val="bottom"/>
            <w:gridSpan w:val="2"/>
          </w:tcPr>
          <w:p>
            <w:pPr>
              <w:jc w:val="right"/>
              <w:ind w:right="220"/>
              <w:spacing w:after="0"/>
              <w:rPr>
                <w:sz w:val="20"/>
                <w:szCs w:val="20"/>
                <w:color w:val="auto"/>
              </w:rPr>
            </w:pPr>
            <w:r>
              <w:rPr>
                <w:rFonts w:ascii="Arial" w:cs="Arial" w:eastAsia="Arial" w:hAnsi="Arial"/>
                <w:sz w:val="13"/>
                <w:szCs w:val="13"/>
                <w:color w:val="auto"/>
              </w:rPr>
              <w:t>Oceania</w:t>
            </w:r>
          </w:p>
        </w:tc>
        <w:tc>
          <w:tcPr>
            <w:tcW w:w="740" w:type="dxa"/>
            <w:vAlign w:val="bottom"/>
            <w:gridSpan w:val="2"/>
          </w:tcPr>
          <w:p>
            <w:pPr>
              <w:jc w:val="right"/>
              <w:ind w:right="220"/>
              <w:spacing w:after="0"/>
              <w:rPr>
                <w:sz w:val="20"/>
                <w:szCs w:val="20"/>
                <w:color w:val="auto"/>
              </w:rPr>
            </w:pPr>
            <w:r>
              <w:rPr>
                <w:rFonts w:ascii="Arial" w:cs="Arial" w:eastAsia="Arial" w:hAnsi="Arial"/>
                <w:sz w:val="13"/>
                <w:szCs w:val="13"/>
                <w:color w:val="auto"/>
              </w:rPr>
              <w:t>Africa</w:t>
            </w:r>
          </w:p>
        </w:tc>
        <w:tc>
          <w:tcPr>
            <w:tcW w:w="680" w:type="dxa"/>
            <w:vAlign w:val="bottom"/>
            <w:gridSpan w:val="2"/>
          </w:tcPr>
          <w:p>
            <w:pPr>
              <w:jc w:val="right"/>
              <w:ind w:right="200"/>
              <w:spacing w:after="0"/>
              <w:rPr>
                <w:sz w:val="20"/>
                <w:szCs w:val="20"/>
                <w:color w:val="auto"/>
              </w:rPr>
            </w:pPr>
            <w:r>
              <w:rPr>
                <w:rFonts w:ascii="Arial" w:cs="Arial" w:eastAsia="Arial" w:hAnsi="Arial"/>
                <w:sz w:val="13"/>
                <w:szCs w:val="13"/>
                <w:color w:val="auto"/>
              </w:rPr>
              <w:t>USA</w:t>
            </w:r>
          </w:p>
        </w:tc>
        <w:tc>
          <w:tcPr>
            <w:tcW w:w="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60" w:type="dxa"/>
            <w:vAlign w:val="bottom"/>
          </w:tcPr>
          <w:p>
            <w:pPr>
              <w:jc w:val="right"/>
              <w:ind w:right="29"/>
              <w:spacing w:after="0"/>
              <w:rPr>
                <w:sz w:val="20"/>
                <w:szCs w:val="20"/>
                <w:color w:val="auto"/>
              </w:rPr>
            </w:pPr>
            <w:r>
              <w:rPr>
                <w:rFonts w:ascii="Arial" w:cs="Arial" w:eastAsia="Arial" w:hAnsi="Arial"/>
                <w:sz w:val="13"/>
                <w:szCs w:val="13"/>
                <w:color w:val="auto"/>
              </w:rPr>
              <w:t>Canada</w:t>
            </w:r>
          </w:p>
        </w:tc>
        <w:tc>
          <w:tcPr>
            <w:tcW w:w="140" w:type="dxa"/>
            <w:vAlign w:val="bottom"/>
          </w:tcPr>
          <w:p>
            <w:pPr>
              <w:spacing w:after="0"/>
              <w:rPr>
                <w:sz w:val="13"/>
                <w:szCs w:val="13"/>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3"/>
                <w:szCs w:val="13"/>
                <w:color w:val="auto"/>
              </w:rPr>
              <w:t>America</w:t>
            </w:r>
          </w:p>
        </w:tc>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3"/>
                <w:szCs w:val="13"/>
                <w:color w:val="auto"/>
              </w:rPr>
              <w:t>Total</w:t>
            </w: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3"/>
        </w:trPr>
        <w:tc>
          <w:tcPr>
            <w:tcW w:w="70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520" w:type="dxa"/>
            <w:vAlign w:val="bottom"/>
          </w:tcPr>
          <w:p>
            <w:pPr>
              <w:jc w:val="right"/>
              <w:spacing w:after="0" w:line="123" w:lineRule="exact"/>
              <w:rPr>
                <w:sz w:val="20"/>
                <w:szCs w:val="20"/>
                <w:color w:val="auto"/>
              </w:rPr>
            </w:pPr>
            <w:r>
              <w:rPr>
                <w:rFonts w:ascii="Arial" w:cs="Arial" w:eastAsia="Arial" w:hAnsi="Arial"/>
                <w:sz w:val="13"/>
                <w:szCs w:val="13"/>
                <w:color w:val="auto"/>
              </w:rPr>
              <w:t>Oil and</w:t>
            </w:r>
          </w:p>
        </w:tc>
        <w:tc>
          <w:tcPr>
            <w:tcW w:w="220" w:type="dxa"/>
            <w:vAlign w:val="bottom"/>
            <w:vMerge w:val="continue"/>
          </w:tcPr>
          <w:p>
            <w:pPr>
              <w:spacing w:after="0"/>
              <w:rPr>
                <w:sz w:val="10"/>
                <w:szCs w:val="10"/>
                <w:color w:val="auto"/>
              </w:rPr>
            </w:pPr>
          </w:p>
        </w:tc>
        <w:tc>
          <w:tcPr>
            <w:tcW w:w="740" w:type="dxa"/>
            <w:vAlign w:val="bottom"/>
            <w:gridSpan w:val="2"/>
          </w:tcPr>
          <w:p>
            <w:pPr>
              <w:jc w:val="right"/>
              <w:ind w:right="220"/>
              <w:spacing w:after="0" w:line="123" w:lineRule="exact"/>
              <w:rPr>
                <w:sz w:val="20"/>
                <w:szCs w:val="20"/>
                <w:color w:val="auto"/>
              </w:rPr>
            </w:pPr>
            <w:r>
              <w:rPr>
                <w:rFonts w:ascii="Arial" w:cs="Arial" w:eastAsia="Arial" w:hAnsi="Arial"/>
                <w:sz w:val="13"/>
                <w:szCs w:val="13"/>
                <w:color w:val="auto"/>
              </w:rPr>
              <w:t>Oil and</w:t>
            </w:r>
          </w:p>
        </w:tc>
        <w:tc>
          <w:tcPr>
            <w:tcW w:w="780" w:type="dxa"/>
            <w:vAlign w:val="bottom"/>
            <w:gridSpan w:val="2"/>
          </w:tcPr>
          <w:p>
            <w:pPr>
              <w:jc w:val="right"/>
              <w:ind w:right="220"/>
              <w:spacing w:after="0" w:line="123" w:lineRule="exact"/>
              <w:rPr>
                <w:sz w:val="20"/>
                <w:szCs w:val="20"/>
                <w:color w:val="auto"/>
              </w:rPr>
            </w:pPr>
            <w:r>
              <w:rPr>
                <w:rFonts w:ascii="Arial" w:cs="Arial" w:eastAsia="Arial" w:hAnsi="Arial"/>
                <w:sz w:val="13"/>
                <w:szCs w:val="13"/>
                <w:color w:val="auto"/>
              </w:rPr>
              <w:t>Oil and</w:t>
            </w:r>
          </w:p>
        </w:tc>
        <w:tc>
          <w:tcPr>
            <w:tcW w:w="520" w:type="dxa"/>
            <w:vAlign w:val="bottom"/>
          </w:tcPr>
          <w:p>
            <w:pPr>
              <w:jc w:val="right"/>
              <w:spacing w:after="0" w:line="123" w:lineRule="exact"/>
              <w:rPr>
                <w:sz w:val="20"/>
                <w:szCs w:val="20"/>
                <w:color w:val="auto"/>
              </w:rPr>
            </w:pPr>
            <w:r>
              <w:rPr>
                <w:rFonts w:ascii="Arial" w:cs="Arial" w:eastAsia="Arial" w:hAnsi="Arial"/>
                <w:sz w:val="13"/>
                <w:szCs w:val="13"/>
                <w:color w:val="auto"/>
              </w:rPr>
              <w:t>Oil and</w:t>
            </w:r>
          </w:p>
        </w:tc>
        <w:tc>
          <w:tcPr>
            <w:tcW w:w="220" w:type="dxa"/>
            <w:vAlign w:val="bottom"/>
            <w:vMerge w:val="continue"/>
          </w:tcPr>
          <w:p>
            <w:pPr>
              <w:spacing w:after="0"/>
              <w:rPr>
                <w:sz w:val="10"/>
                <w:szCs w:val="10"/>
                <w:color w:val="auto"/>
              </w:rPr>
            </w:pPr>
          </w:p>
        </w:tc>
        <w:tc>
          <w:tcPr>
            <w:tcW w:w="680" w:type="dxa"/>
            <w:vAlign w:val="bottom"/>
            <w:gridSpan w:val="2"/>
          </w:tcPr>
          <w:p>
            <w:pPr>
              <w:jc w:val="right"/>
              <w:ind w:right="200"/>
              <w:spacing w:after="0" w:line="123" w:lineRule="exact"/>
              <w:rPr>
                <w:sz w:val="20"/>
                <w:szCs w:val="20"/>
                <w:color w:val="auto"/>
              </w:rPr>
            </w:pPr>
            <w:r>
              <w:rPr>
                <w:rFonts w:ascii="Arial" w:cs="Arial" w:eastAsia="Arial" w:hAnsi="Arial"/>
                <w:sz w:val="13"/>
                <w:szCs w:val="13"/>
                <w:color w:val="auto"/>
              </w:rPr>
              <w:t>Oil and</w:t>
            </w:r>
          </w:p>
        </w:tc>
        <w:tc>
          <w:tcPr>
            <w:tcW w:w="40" w:type="dxa"/>
            <w:vAlign w:val="bottom"/>
            <w:vMerge w:val="continue"/>
          </w:tcPr>
          <w:p>
            <w:pPr>
              <w:spacing w:after="0"/>
              <w:rPr>
                <w:sz w:val="10"/>
                <w:szCs w:val="10"/>
                <w:color w:val="auto"/>
              </w:rPr>
            </w:pPr>
          </w:p>
        </w:tc>
        <w:tc>
          <w:tcPr>
            <w:tcW w:w="680" w:type="dxa"/>
            <w:vAlign w:val="bottom"/>
          </w:tcPr>
          <w:p>
            <w:pPr>
              <w:jc w:val="right"/>
              <w:ind w:right="69"/>
              <w:spacing w:after="0" w:line="123" w:lineRule="exact"/>
              <w:rPr>
                <w:sz w:val="20"/>
                <w:szCs w:val="20"/>
                <w:color w:val="auto"/>
              </w:rPr>
            </w:pPr>
            <w:r>
              <w:rPr>
                <w:rFonts w:ascii="Arial" w:cs="Arial" w:eastAsia="Arial" w:hAnsi="Arial"/>
                <w:sz w:val="13"/>
                <w:szCs w:val="13"/>
                <w:color w:val="auto"/>
              </w:rPr>
              <w:t>Oil and</w:t>
            </w:r>
          </w:p>
        </w:tc>
        <w:tc>
          <w:tcPr>
            <w:tcW w:w="760" w:type="dxa"/>
            <w:vAlign w:val="bottom"/>
          </w:tcPr>
          <w:p>
            <w:pPr>
              <w:jc w:val="right"/>
              <w:ind w:right="69"/>
              <w:spacing w:after="0" w:line="123" w:lineRule="exact"/>
              <w:rPr>
                <w:sz w:val="20"/>
                <w:szCs w:val="20"/>
                <w:color w:val="auto"/>
              </w:rPr>
            </w:pPr>
            <w:r>
              <w:rPr>
                <w:rFonts w:ascii="Arial" w:cs="Arial" w:eastAsia="Arial" w:hAnsi="Arial"/>
                <w:sz w:val="13"/>
                <w:szCs w:val="13"/>
                <w:color w:val="auto"/>
              </w:rPr>
              <w:t>Synthetic</w:t>
            </w:r>
          </w:p>
        </w:tc>
        <w:tc>
          <w:tcPr>
            <w:tcW w:w="6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0" w:type="dxa"/>
            <w:vAlign w:val="bottom"/>
            <w:gridSpan w:val="2"/>
          </w:tcPr>
          <w:p>
            <w:pPr>
              <w:jc w:val="right"/>
              <w:ind w:right="240"/>
              <w:spacing w:after="0" w:line="123" w:lineRule="exact"/>
              <w:rPr>
                <w:sz w:val="20"/>
                <w:szCs w:val="20"/>
                <w:color w:val="auto"/>
              </w:rPr>
            </w:pPr>
            <w:r>
              <w:rPr>
                <w:rFonts w:ascii="Arial" w:cs="Arial" w:eastAsia="Arial" w:hAnsi="Arial"/>
                <w:sz w:val="13"/>
                <w:szCs w:val="13"/>
                <w:color w:val="auto"/>
              </w:rPr>
              <w:t>Oil and</w:t>
            </w:r>
          </w:p>
        </w:tc>
        <w:tc>
          <w:tcPr>
            <w:tcW w:w="680" w:type="dxa"/>
            <w:vAlign w:val="bottom"/>
          </w:tcPr>
          <w:p>
            <w:pPr>
              <w:jc w:val="right"/>
              <w:ind w:right="70"/>
              <w:spacing w:after="0" w:line="123" w:lineRule="exact"/>
              <w:rPr>
                <w:sz w:val="20"/>
                <w:szCs w:val="20"/>
                <w:color w:val="auto"/>
              </w:rPr>
            </w:pPr>
            <w:r>
              <w:rPr>
                <w:rFonts w:ascii="Arial" w:cs="Arial" w:eastAsia="Arial" w:hAnsi="Arial"/>
                <w:sz w:val="13"/>
                <w:szCs w:val="13"/>
                <w:color w:val="auto"/>
              </w:rPr>
              <w:t>Oil and</w:t>
            </w:r>
          </w:p>
        </w:tc>
        <w:tc>
          <w:tcPr>
            <w:tcW w:w="760" w:type="dxa"/>
            <w:vAlign w:val="bottom"/>
          </w:tcPr>
          <w:p>
            <w:pPr>
              <w:jc w:val="right"/>
              <w:ind w:right="89"/>
              <w:spacing w:after="0" w:line="123" w:lineRule="exact"/>
              <w:rPr>
                <w:sz w:val="20"/>
                <w:szCs w:val="20"/>
                <w:color w:val="auto"/>
              </w:rPr>
            </w:pPr>
            <w:r>
              <w:rPr>
                <w:rFonts w:ascii="Arial" w:cs="Arial" w:eastAsia="Arial" w:hAnsi="Arial"/>
                <w:sz w:val="13"/>
                <w:szCs w:val="13"/>
                <w:color w:val="auto"/>
              </w:rPr>
              <w:t>Synthetic</w:t>
            </w:r>
          </w:p>
        </w:tc>
        <w:tc>
          <w:tcPr>
            <w:tcW w:w="660" w:type="dxa"/>
            <w:vAlign w:val="bottom"/>
          </w:tcPr>
          <w:p>
            <w:pPr>
              <w:spacing w:after="0"/>
              <w:rPr>
                <w:sz w:val="10"/>
                <w:szCs w:val="10"/>
                <w:color w:val="auto"/>
              </w:rPr>
            </w:pPr>
          </w:p>
        </w:tc>
        <w:tc>
          <w:tcPr>
            <w:tcW w:w="660" w:type="dxa"/>
            <w:vAlign w:val="bottom"/>
          </w:tcPr>
          <w:p>
            <w:pPr>
              <w:jc w:val="right"/>
              <w:ind w:right="29"/>
              <w:spacing w:after="0" w:line="123" w:lineRule="exact"/>
              <w:rPr>
                <w:sz w:val="20"/>
                <w:szCs w:val="20"/>
                <w:color w:val="auto"/>
              </w:rPr>
            </w:pPr>
            <w:r>
              <w:rPr>
                <w:rFonts w:ascii="Arial" w:cs="Arial" w:eastAsia="Arial" w:hAnsi="Arial"/>
                <w:sz w:val="13"/>
                <w:szCs w:val="13"/>
                <w:color w:val="auto"/>
              </w:rPr>
              <w:t>All</w:t>
            </w:r>
          </w:p>
        </w:tc>
        <w:tc>
          <w:tcPr>
            <w:tcW w:w="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5"/>
        </w:trPr>
        <w:tc>
          <w:tcPr>
            <w:tcW w:w="7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3"/>
                <w:szCs w:val="13"/>
                <w:color w:val="auto"/>
              </w:rPr>
              <w:t>NGL</w:t>
            </w:r>
          </w:p>
        </w:tc>
        <w:tc>
          <w:tcPr>
            <w:tcW w:w="740" w:type="dxa"/>
            <w:vAlign w:val="bottom"/>
            <w:gridSpan w:val="2"/>
          </w:tcPr>
          <w:p>
            <w:pPr>
              <w:jc w:val="right"/>
              <w:ind w:right="220"/>
              <w:spacing w:after="0"/>
              <w:rPr>
                <w:sz w:val="20"/>
                <w:szCs w:val="20"/>
                <w:color w:val="auto"/>
              </w:rPr>
            </w:pPr>
            <w:r>
              <w:rPr>
                <w:rFonts w:ascii="Arial" w:cs="Arial" w:eastAsia="Arial" w:hAnsi="Arial"/>
                <w:sz w:val="13"/>
                <w:szCs w:val="13"/>
                <w:color w:val="auto"/>
              </w:rPr>
              <w:t>NGL</w:t>
            </w:r>
          </w:p>
        </w:tc>
        <w:tc>
          <w:tcPr>
            <w:tcW w:w="780" w:type="dxa"/>
            <w:vAlign w:val="bottom"/>
            <w:gridSpan w:val="2"/>
          </w:tcPr>
          <w:p>
            <w:pPr>
              <w:jc w:val="right"/>
              <w:ind w:right="220"/>
              <w:spacing w:after="0"/>
              <w:rPr>
                <w:sz w:val="20"/>
                <w:szCs w:val="20"/>
                <w:color w:val="auto"/>
              </w:rPr>
            </w:pPr>
            <w:r>
              <w:rPr>
                <w:rFonts w:ascii="Arial" w:cs="Arial" w:eastAsia="Arial" w:hAnsi="Arial"/>
                <w:sz w:val="13"/>
                <w:szCs w:val="13"/>
                <w:color w:val="auto"/>
              </w:rPr>
              <w:t>NGL</w:t>
            </w:r>
          </w:p>
        </w:tc>
        <w:tc>
          <w:tcPr>
            <w:tcW w:w="740" w:type="dxa"/>
            <w:vAlign w:val="bottom"/>
            <w:gridSpan w:val="2"/>
          </w:tcPr>
          <w:p>
            <w:pPr>
              <w:jc w:val="right"/>
              <w:ind w:right="220"/>
              <w:spacing w:after="0"/>
              <w:rPr>
                <w:sz w:val="20"/>
                <w:szCs w:val="20"/>
                <w:color w:val="auto"/>
              </w:rPr>
            </w:pPr>
            <w:r>
              <w:rPr>
                <w:rFonts w:ascii="Arial" w:cs="Arial" w:eastAsia="Arial" w:hAnsi="Arial"/>
                <w:sz w:val="13"/>
                <w:szCs w:val="13"/>
                <w:color w:val="auto"/>
              </w:rPr>
              <w:t>NGL</w:t>
            </w:r>
          </w:p>
        </w:tc>
        <w:tc>
          <w:tcPr>
            <w:tcW w:w="680" w:type="dxa"/>
            <w:vAlign w:val="bottom"/>
            <w:gridSpan w:val="2"/>
          </w:tcPr>
          <w:p>
            <w:pPr>
              <w:jc w:val="right"/>
              <w:ind w:right="200"/>
              <w:spacing w:after="0"/>
              <w:rPr>
                <w:sz w:val="20"/>
                <w:szCs w:val="20"/>
                <w:color w:val="auto"/>
              </w:rPr>
            </w:pPr>
            <w:r>
              <w:rPr>
                <w:rFonts w:ascii="Arial" w:cs="Arial" w:eastAsia="Arial" w:hAnsi="Arial"/>
                <w:sz w:val="13"/>
                <w:szCs w:val="13"/>
                <w:color w:val="auto"/>
              </w:rPr>
              <w:t>NGL</w:t>
            </w:r>
          </w:p>
        </w:tc>
        <w:tc>
          <w:tcPr>
            <w:tcW w:w="40" w:type="dxa"/>
            <w:vAlign w:val="bottom"/>
          </w:tcPr>
          <w:p>
            <w:pPr>
              <w:spacing w:after="0"/>
              <w:rPr>
                <w:sz w:val="13"/>
                <w:szCs w:val="13"/>
                <w:color w:val="auto"/>
              </w:rPr>
            </w:pPr>
          </w:p>
        </w:tc>
        <w:tc>
          <w:tcPr>
            <w:tcW w:w="680" w:type="dxa"/>
            <w:vAlign w:val="bottom"/>
          </w:tcPr>
          <w:p>
            <w:pPr>
              <w:jc w:val="right"/>
              <w:ind w:right="69"/>
              <w:spacing w:after="0"/>
              <w:rPr>
                <w:sz w:val="20"/>
                <w:szCs w:val="20"/>
                <w:color w:val="auto"/>
              </w:rPr>
            </w:pPr>
            <w:r>
              <w:rPr>
                <w:rFonts w:ascii="Arial" w:cs="Arial" w:eastAsia="Arial" w:hAnsi="Arial"/>
                <w:sz w:val="13"/>
                <w:szCs w:val="13"/>
                <w:color w:val="auto"/>
              </w:rPr>
              <w:t>NGL</w:t>
            </w:r>
          </w:p>
        </w:tc>
        <w:tc>
          <w:tcPr>
            <w:tcW w:w="760" w:type="dxa"/>
            <w:vAlign w:val="bottom"/>
          </w:tcPr>
          <w:p>
            <w:pPr>
              <w:jc w:val="right"/>
              <w:ind w:right="69"/>
              <w:spacing w:after="0"/>
              <w:rPr>
                <w:sz w:val="20"/>
                <w:szCs w:val="20"/>
                <w:color w:val="auto"/>
              </w:rPr>
            </w:pPr>
            <w:r>
              <w:rPr>
                <w:rFonts w:ascii="Arial" w:cs="Arial" w:eastAsia="Arial" w:hAnsi="Arial"/>
                <w:sz w:val="13"/>
                <w:szCs w:val="13"/>
                <w:color w:val="auto"/>
              </w:rPr>
              <w:t>crude oil</w:t>
            </w:r>
          </w:p>
        </w:tc>
        <w:tc>
          <w:tcPr>
            <w:tcW w:w="660" w:type="dxa"/>
            <w:vAlign w:val="bottom"/>
          </w:tcPr>
          <w:p>
            <w:pPr>
              <w:jc w:val="right"/>
              <w:ind w:right="29"/>
              <w:spacing w:after="0"/>
              <w:rPr>
                <w:sz w:val="20"/>
                <w:szCs w:val="20"/>
                <w:color w:val="auto"/>
              </w:rPr>
            </w:pPr>
            <w:r>
              <w:rPr>
                <w:rFonts w:ascii="Arial" w:cs="Arial" w:eastAsia="Arial" w:hAnsi="Arial"/>
                <w:sz w:val="13"/>
                <w:szCs w:val="13"/>
                <w:color w:val="auto"/>
              </w:rPr>
              <w:t>Bitumen</w:t>
            </w:r>
          </w:p>
        </w:tc>
        <w:tc>
          <w:tcPr>
            <w:tcW w:w="140" w:type="dxa"/>
            <w:vAlign w:val="bottom"/>
          </w:tcPr>
          <w:p>
            <w:pPr>
              <w:spacing w:after="0"/>
              <w:rPr>
                <w:sz w:val="13"/>
                <w:szCs w:val="13"/>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3"/>
                <w:szCs w:val="13"/>
                <w:color w:val="auto"/>
              </w:rPr>
              <w:t>NGL</w:t>
            </w:r>
          </w:p>
        </w:tc>
        <w:tc>
          <w:tcPr>
            <w:tcW w:w="680" w:type="dxa"/>
            <w:vAlign w:val="bottom"/>
          </w:tcPr>
          <w:p>
            <w:pPr>
              <w:jc w:val="right"/>
              <w:ind w:right="70"/>
              <w:spacing w:after="0"/>
              <w:rPr>
                <w:sz w:val="20"/>
                <w:szCs w:val="20"/>
                <w:color w:val="auto"/>
              </w:rPr>
            </w:pPr>
            <w:r>
              <w:rPr>
                <w:rFonts w:ascii="Arial" w:cs="Arial" w:eastAsia="Arial" w:hAnsi="Arial"/>
                <w:sz w:val="13"/>
                <w:szCs w:val="13"/>
                <w:color w:val="auto"/>
              </w:rPr>
              <w:t>NGL</w:t>
            </w:r>
          </w:p>
        </w:tc>
        <w:tc>
          <w:tcPr>
            <w:tcW w:w="760" w:type="dxa"/>
            <w:vAlign w:val="bottom"/>
          </w:tcPr>
          <w:p>
            <w:pPr>
              <w:jc w:val="right"/>
              <w:ind w:right="89"/>
              <w:spacing w:after="0"/>
              <w:rPr>
                <w:sz w:val="20"/>
                <w:szCs w:val="20"/>
                <w:color w:val="auto"/>
              </w:rPr>
            </w:pPr>
            <w:r>
              <w:rPr>
                <w:rFonts w:ascii="Arial" w:cs="Arial" w:eastAsia="Arial" w:hAnsi="Arial"/>
                <w:sz w:val="13"/>
                <w:szCs w:val="13"/>
                <w:color w:val="auto"/>
              </w:rPr>
              <w:t>crude oil</w:t>
            </w:r>
          </w:p>
        </w:tc>
        <w:tc>
          <w:tcPr>
            <w:tcW w:w="660" w:type="dxa"/>
            <w:vAlign w:val="bottom"/>
          </w:tcPr>
          <w:p>
            <w:pPr>
              <w:jc w:val="right"/>
              <w:ind w:right="28"/>
              <w:spacing w:after="0"/>
              <w:rPr>
                <w:sz w:val="20"/>
                <w:szCs w:val="20"/>
                <w:color w:val="auto"/>
              </w:rPr>
            </w:pPr>
            <w:r>
              <w:rPr>
                <w:rFonts w:ascii="Arial" w:cs="Arial" w:eastAsia="Arial" w:hAnsi="Arial"/>
                <w:sz w:val="13"/>
                <w:szCs w:val="13"/>
                <w:color w:val="auto"/>
              </w:rPr>
              <w:t>Bitumen</w:t>
            </w:r>
          </w:p>
        </w:tc>
        <w:tc>
          <w:tcPr>
            <w:tcW w:w="680" w:type="dxa"/>
            <w:vAlign w:val="bottom"/>
            <w:gridSpan w:val="2"/>
          </w:tcPr>
          <w:p>
            <w:pPr>
              <w:jc w:val="right"/>
              <w:ind w:right="120"/>
              <w:spacing w:after="0"/>
              <w:rPr>
                <w:sz w:val="20"/>
                <w:szCs w:val="20"/>
                <w:color w:val="auto"/>
              </w:rPr>
            </w:pPr>
            <w:r>
              <w:rPr>
                <w:rFonts w:ascii="Arial" w:cs="Arial" w:eastAsia="Arial" w:hAnsi="Arial"/>
                <w:sz w:val="13"/>
                <w:szCs w:val="13"/>
                <w:color w:val="auto"/>
              </w:rPr>
              <w:t>products</w:t>
            </w:r>
          </w:p>
        </w:tc>
        <w:tc>
          <w:tcPr>
            <w:tcW w:w="0" w:type="dxa"/>
            <w:vAlign w:val="bottom"/>
          </w:tcPr>
          <w:p>
            <w:pPr>
              <w:spacing w:after="0"/>
              <w:rPr>
                <w:sz w:val="1"/>
                <w:szCs w:val="1"/>
                <w:color w:val="auto"/>
              </w:rPr>
            </w:pPr>
          </w:p>
        </w:tc>
      </w:tr>
      <w:tr>
        <w:trPr>
          <w:trHeight w:val="160"/>
        </w:trPr>
        <w:tc>
          <w:tcPr>
            <w:tcW w:w="1900" w:type="dxa"/>
            <w:vAlign w:val="bottom"/>
            <w:tcBorders>
              <w:top w:val="single" w:sz="8" w:color="auto"/>
            </w:tcBorders>
            <w:gridSpan w:val="2"/>
          </w:tcPr>
          <w:p>
            <w:pPr>
              <w:spacing w:after="0"/>
              <w:rPr>
                <w:sz w:val="20"/>
                <w:szCs w:val="20"/>
                <w:color w:val="auto"/>
              </w:rPr>
            </w:pPr>
            <w:r>
              <w:rPr>
                <w:rFonts w:ascii="Arial" w:cs="Arial" w:eastAsia="Arial" w:hAnsi="Arial"/>
                <w:sz w:val="14"/>
                <w:szCs w:val="14"/>
                <w:color w:val="auto"/>
              </w:rPr>
              <w:t>Shell subsidiaries</w:t>
            </w:r>
          </w:p>
        </w:tc>
        <w:tc>
          <w:tcPr>
            <w:tcW w:w="52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52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56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52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60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4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56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1900" w:type="dxa"/>
            <w:vAlign w:val="bottom"/>
            <w:gridSpan w:val="2"/>
          </w:tcPr>
          <w:p>
            <w:pPr>
              <w:ind w:left="140"/>
              <w:spacing w:after="0"/>
              <w:rPr>
                <w:sz w:val="20"/>
                <w:szCs w:val="20"/>
                <w:color w:val="auto"/>
              </w:rPr>
            </w:pPr>
            <w:r>
              <w:rPr>
                <w:rFonts w:ascii="Arial" w:cs="Arial" w:eastAsia="Arial" w:hAnsi="Arial"/>
                <w:sz w:val="14"/>
                <w:szCs w:val="14"/>
                <w:color w:val="auto"/>
              </w:rPr>
              <w:t>At January 1</w:t>
            </w:r>
          </w:p>
        </w:tc>
        <w:tc>
          <w:tcPr>
            <w:tcW w:w="740" w:type="dxa"/>
            <w:vAlign w:val="bottom"/>
            <w:gridSpan w:val="2"/>
          </w:tcPr>
          <w:p>
            <w:pPr>
              <w:jc w:val="right"/>
              <w:ind w:right="220"/>
              <w:spacing w:after="0"/>
              <w:rPr>
                <w:sz w:val="20"/>
                <w:szCs w:val="20"/>
                <w:color w:val="auto"/>
              </w:rPr>
            </w:pPr>
            <w:r>
              <w:rPr>
                <w:rFonts w:ascii="Arial" w:cs="Arial" w:eastAsia="Arial" w:hAnsi="Arial"/>
                <w:sz w:val="14"/>
                <w:szCs w:val="14"/>
                <w:color w:val="auto"/>
              </w:rPr>
              <w:t>769</w:t>
            </w:r>
          </w:p>
        </w:tc>
        <w:tc>
          <w:tcPr>
            <w:tcW w:w="740" w:type="dxa"/>
            <w:vAlign w:val="bottom"/>
            <w:gridSpan w:val="2"/>
          </w:tcPr>
          <w:p>
            <w:pPr>
              <w:jc w:val="right"/>
              <w:ind w:right="220"/>
              <w:spacing w:after="0"/>
              <w:rPr>
                <w:sz w:val="20"/>
                <w:szCs w:val="20"/>
                <w:color w:val="auto"/>
              </w:rPr>
            </w:pPr>
            <w:r>
              <w:rPr>
                <w:rFonts w:ascii="Arial" w:cs="Arial" w:eastAsia="Arial" w:hAnsi="Arial"/>
                <w:sz w:val="14"/>
                <w:szCs w:val="14"/>
                <w:color w:val="auto"/>
              </w:rPr>
              <w:t>1,343</w:t>
            </w:r>
          </w:p>
        </w:tc>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139</w:t>
            </w:r>
          </w:p>
        </w:tc>
        <w:tc>
          <w:tcPr>
            <w:tcW w:w="740" w:type="dxa"/>
            <w:vAlign w:val="bottom"/>
            <w:gridSpan w:val="2"/>
          </w:tcPr>
          <w:p>
            <w:pPr>
              <w:jc w:val="right"/>
              <w:ind w:right="220"/>
              <w:spacing w:after="0"/>
              <w:rPr>
                <w:sz w:val="20"/>
                <w:szCs w:val="20"/>
                <w:color w:val="auto"/>
              </w:rPr>
            </w:pPr>
            <w:r>
              <w:rPr>
                <w:rFonts w:ascii="Arial" w:cs="Arial" w:eastAsia="Arial" w:hAnsi="Arial"/>
                <w:sz w:val="14"/>
                <w:szCs w:val="14"/>
                <w:color w:val="auto"/>
              </w:rPr>
              <w:t>651</w:t>
            </w:r>
          </w:p>
        </w:tc>
        <w:tc>
          <w:tcPr>
            <w:tcW w:w="600" w:type="dxa"/>
            <w:vAlign w:val="bottom"/>
          </w:tcPr>
          <w:p>
            <w:pPr>
              <w:jc w:val="right"/>
              <w:ind w:right="49"/>
              <w:spacing w:after="0"/>
              <w:rPr>
                <w:sz w:val="20"/>
                <w:szCs w:val="20"/>
                <w:color w:val="auto"/>
              </w:rPr>
            </w:pPr>
            <w:r>
              <w:rPr>
                <w:rFonts w:ascii="Arial" w:cs="Arial" w:eastAsia="Arial" w:hAnsi="Arial"/>
                <w:sz w:val="14"/>
                <w:szCs w:val="14"/>
                <w:color w:val="auto"/>
              </w:rPr>
              <w:t>991</w:t>
            </w:r>
          </w:p>
        </w:tc>
        <w:tc>
          <w:tcPr>
            <w:tcW w:w="80" w:type="dxa"/>
            <w:vAlign w:val="bottom"/>
          </w:tcPr>
          <w:p>
            <w:pPr>
              <w:spacing w:after="0"/>
              <w:rPr>
                <w:sz w:val="14"/>
                <w:szCs w:val="14"/>
                <w:color w:val="auto"/>
              </w:rPr>
            </w:pPr>
          </w:p>
        </w:tc>
        <w:tc>
          <w:tcPr>
            <w:tcW w:w="720" w:type="dxa"/>
            <w:vAlign w:val="bottom"/>
            <w:gridSpan w:val="2"/>
          </w:tcPr>
          <w:p>
            <w:pPr>
              <w:jc w:val="right"/>
              <w:ind w:right="69"/>
              <w:spacing w:after="0"/>
              <w:rPr>
                <w:sz w:val="20"/>
                <w:szCs w:val="20"/>
                <w:color w:val="auto"/>
              </w:rPr>
            </w:pPr>
            <w:r>
              <w:rPr>
                <w:rFonts w:ascii="Arial" w:cs="Arial" w:eastAsia="Arial" w:hAnsi="Arial"/>
                <w:sz w:val="14"/>
                <w:szCs w:val="14"/>
                <w:color w:val="auto"/>
              </w:rPr>
              <w:t>29</w:t>
            </w:r>
          </w:p>
        </w:tc>
        <w:tc>
          <w:tcPr>
            <w:tcW w:w="760" w:type="dxa"/>
            <w:vAlign w:val="bottom"/>
          </w:tcPr>
          <w:p>
            <w:pPr>
              <w:jc w:val="right"/>
              <w:ind w:right="69"/>
              <w:spacing w:after="0"/>
              <w:rPr>
                <w:sz w:val="20"/>
                <w:szCs w:val="20"/>
                <w:color w:val="auto"/>
              </w:rPr>
            </w:pPr>
            <w:r>
              <w:rPr>
                <w:rFonts w:ascii="Arial" w:cs="Arial" w:eastAsia="Arial" w:hAnsi="Arial"/>
                <w:sz w:val="14"/>
                <w:szCs w:val="14"/>
                <w:color w:val="auto"/>
              </w:rPr>
              <w:t>1,731</w:t>
            </w:r>
          </w:p>
        </w:tc>
        <w:tc>
          <w:tcPr>
            <w:tcW w:w="660" w:type="dxa"/>
            <w:vAlign w:val="bottom"/>
          </w:tcPr>
          <w:p>
            <w:pPr>
              <w:jc w:val="right"/>
              <w:ind w:right="29"/>
              <w:spacing w:after="0"/>
              <w:rPr>
                <w:sz w:val="20"/>
                <w:szCs w:val="20"/>
                <w:color w:val="auto"/>
              </w:rPr>
            </w:pPr>
            <w:r>
              <w:rPr>
                <w:rFonts w:ascii="Arial" w:cs="Arial" w:eastAsia="Arial" w:hAnsi="Arial"/>
                <w:sz w:val="14"/>
                <w:szCs w:val="14"/>
                <w:color w:val="auto"/>
              </w:rPr>
              <w:t>422</w:t>
            </w:r>
          </w:p>
        </w:tc>
        <w:tc>
          <w:tcPr>
            <w:tcW w:w="940" w:type="dxa"/>
            <w:vAlign w:val="bottom"/>
            <w:gridSpan w:val="3"/>
          </w:tcPr>
          <w:p>
            <w:pPr>
              <w:jc w:val="right"/>
              <w:ind w:right="240"/>
              <w:spacing w:after="0"/>
              <w:rPr>
                <w:sz w:val="20"/>
                <w:szCs w:val="20"/>
                <w:color w:val="auto"/>
              </w:rPr>
            </w:pPr>
            <w:r>
              <w:rPr>
                <w:rFonts w:ascii="Arial" w:cs="Arial" w:eastAsia="Arial" w:hAnsi="Arial"/>
                <w:sz w:val="14"/>
                <w:szCs w:val="14"/>
                <w:color w:val="auto"/>
              </w:rPr>
              <w:t>95</w:t>
            </w:r>
          </w:p>
        </w:tc>
        <w:tc>
          <w:tcPr>
            <w:tcW w:w="680" w:type="dxa"/>
            <w:vAlign w:val="bottom"/>
          </w:tcPr>
          <w:p>
            <w:pPr>
              <w:jc w:val="right"/>
              <w:ind w:right="70"/>
              <w:spacing w:after="0"/>
              <w:rPr>
                <w:sz w:val="20"/>
                <w:szCs w:val="20"/>
                <w:color w:val="auto"/>
              </w:rPr>
            </w:pPr>
            <w:r>
              <w:rPr>
                <w:rFonts w:ascii="Arial" w:cs="Arial" w:eastAsia="Arial" w:hAnsi="Arial"/>
                <w:sz w:val="14"/>
                <w:szCs w:val="14"/>
                <w:color w:val="auto"/>
              </w:rPr>
              <w:t>4,017</w:t>
            </w:r>
          </w:p>
        </w:tc>
        <w:tc>
          <w:tcPr>
            <w:tcW w:w="760" w:type="dxa"/>
            <w:vAlign w:val="bottom"/>
          </w:tcPr>
          <w:p>
            <w:pPr>
              <w:jc w:val="right"/>
              <w:ind w:right="89"/>
              <w:spacing w:after="0"/>
              <w:rPr>
                <w:sz w:val="20"/>
                <w:szCs w:val="20"/>
                <w:color w:val="auto"/>
              </w:rPr>
            </w:pPr>
            <w:r>
              <w:rPr>
                <w:rFonts w:ascii="Arial" w:cs="Arial" w:eastAsia="Arial" w:hAnsi="Arial"/>
                <w:sz w:val="14"/>
                <w:szCs w:val="14"/>
                <w:color w:val="auto"/>
              </w:rPr>
              <w:t>1,731</w:t>
            </w:r>
          </w:p>
        </w:tc>
        <w:tc>
          <w:tcPr>
            <w:tcW w:w="660" w:type="dxa"/>
            <w:vAlign w:val="bottom"/>
          </w:tcPr>
          <w:p>
            <w:pPr>
              <w:jc w:val="right"/>
              <w:ind w:right="28"/>
              <w:spacing w:after="0"/>
              <w:rPr>
                <w:sz w:val="20"/>
                <w:szCs w:val="20"/>
                <w:color w:val="auto"/>
              </w:rPr>
            </w:pPr>
            <w:r>
              <w:rPr>
                <w:rFonts w:ascii="Arial" w:cs="Arial" w:eastAsia="Arial" w:hAnsi="Arial"/>
                <w:sz w:val="14"/>
                <w:szCs w:val="14"/>
                <w:color w:val="auto"/>
              </w:rPr>
              <w:t>422</w:t>
            </w:r>
          </w:p>
        </w:tc>
        <w:tc>
          <w:tcPr>
            <w:tcW w:w="660" w:type="dxa"/>
            <w:vAlign w:val="bottom"/>
          </w:tcPr>
          <w:p>
            <w:pPr>
              <w:jc w:val="right"/>
              <w:ind w:right="29"/>
              <w:spacing w:after="0"/>
              <w:rPr>
                <w:sz w:val="20"/>
                <w:szCs w:val="20"/>
                <w:color w:val="auto"/>
              </w:rPr>
            </w:pPr>
            <w:r>
              <w:rPr>
                <w:rFonts w:ascii="Arial" w:cs="Arial" w:eastAsia="Arial" w:hAnsi="Arial"/>
                <w:sz w:val="14"/>
                <w:szCs w:val="14"/>
                <w:color w:val="auto"/>
              </w:rPr>
              <w:t>6,170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900" w:type="dxa"/>
            <w:vAlign w:val="bottom"/>
            <w:gridSpan w:val="2"/>
          </w:tcPr>
          <w:p>
            <w:pPr>
              <w:ind w:left="140"/>
              <w:spacing w:after="0"/>
              <w:rPr>
                <w:sz w:val="20"/>
                <w:szCs w:val="20"/>
                <w:color w:val="auto"/>
              </w:rPr>
            </w:pPr>
            <w:r>
              <w:rPr>
                <w:rFonts w:ascii="Arial" w:cs="Arial" w:eastAsia="Arial" w:hAnsi="Arial"/>
                <w:sz w:val="14"/>
                <w:szCs w:val="14"/>
                <w:color w:val="auto"/>
              </w:rPr>
              <w:t>Revisions and</w:t>
            </w:r>
          </w:p>
        </w:tc>
        <w:tc>
          <w:tcPr>
            <w:tcW w:w="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900" w:type="dxa"/>
            <w:vAlign w:val="bottom"/>
            <w:gridSpan w:val="2"/>
          </w:tcPr>
          <w:p>
            <w:pPr>
              <w:ind w:left="140"/>
              <w:spacing w:after="0"/>
              <w:rPr>
                <w:sz w:val="20"/>
                <w:szCs w:val="20"/>
                <w:color w:val="auto"/>
              </w:rPr>
            </w:pPr>
            <w:r>
              <w:rPr>
                <w:rFonts w:ascii="Arial" w:cs="Arial" w:eastAsia="Arial" w:hAnsi="Arial"/>
                <w:sz w:val="14"/>
                <w:szCs w:val="14"/>
                <w:color w:val="auto"/>
              </w:rPr>
              <w:t>reclassifications</w:t>
            </w:r>
          </w:p>
        </w:tc>
        <w:tc>
          <w:tcPr>
            <w:tcW w:w="740" w:type="dxa"/>
            <w:vAlign w:val="bottom"/>
            <w:gridSpan w:val="2"/>
          </w:tcPr>
          <w:p>
            <w:pPr>
              <w:jc w:val="right"/>
              <w:ind w:right="160"/>
              <w:spacing w:after="0"/>
              <w:rPr>
                <w:sz w:val="20"/>
                <w:szCs w:val="20"/>
                <w:color w:val="auto"/>
              </w:rPr>
            </w:pPr>
            <w:r>
              <w:rPr>
                <w:rFonts w:ascii="Arial" w:cs="Arial" w:eastAsia="Arial" w:hAnsi="Arial"/>
                <w:sz w:val="14"/>
                <w:szCs w:val="14"/>
                <w:color w:val="auto"/>
              </w:rPr>
              <w:t>(129)</w:t>
            </w:r>
          </w:p>
        </w:tc>
        <w:tc>
          <w:tcPr>
            <w:tcW w:w="740" w:type="dxa"/>
            <w:vAlign w:val="bottom"/>
            <w:gridSpan w:val="2"/>
          </w:tcPr>
          <w:p>
            <w:pPr>
              <w:jc w:val="right"/>
              <w:ind w:right="220"/>
              <w:spacing w:after="0"/>
              <w:rPr>
                <w:sz w:val="20"/>
                <w:szCs w:val="20"/>
                <w:color w:val="auto"/>
              </w:rPr>
            </w:pPr>
            <w:r>
              <w:rPr>
                <w:rFonts w:ascii="Arial" w:cs="Arial" w:eastAsia="Arial" w:hAnsi="Arial"/>
                <w:sz w:val="14"/>
                <w:szCs w:val="14"/>
                <w:color w:val="auto"/>
              </w:rPr>
              <w:t>120</w:t>
            </w:r>
          </w:p>
        </w:tc>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2</w:t>
            </w:r>
          </w:p>
        </w:tc>
        <w:tc>
          <w:tcPr>
            <w:tcW w:w="740" w:type="dxa"/>
            <w:vAlign w:val="bottom"/>
            <w:gridSpan w:val="2"/>
          </w:tcPr>
          <w:p>
            <w:pPr>
              <w:jc w:val="right"/>
              <w:ind w:right="220"/>
              <w:spacing w:after="0"/>
              <w:rPr>
                <w:sz w:val="20"/>
                <w:szCs w:val="20"/>
                <w:color w:val="auto"/>
              </w:rPr>
            </w:pPr>
            <w:r>
              <w:rPr>
                <w:rFonts w:ascii="Arial" w:cs="Arial" w:eastAsia="Arial" w:hAnsi="Arial"/>
                <w:sz w:val="14"/>
                <w:szCs w:val="14"/>
                <w:color w:val="auto"/>
              </w:rPr>
              <w:t>126</w:t>
            </w:r>
          </w:p>
        </w:tc>
        <w:tc>
          <w:tcPr>
            <w:tcW w:w="600" w:type="dxa"/>
            <w:vAlign w:val="bottom"/>
          </w:tcPr>
          <w:p>
            <w:pPr>
              <w:jc w:val="right"/>
              <w:spacing w:after="0"/>
              <w:rPr>
                <w:sz w:val="20"/>
                <w:szCs w:val="20"/>
                <w:color w:val="auto"/>
              </w:rPr>
            </w:pPr>
            <w:r>
              <w:rPr>
                <w:rFonts w:ascii="Arial" w:cs="Arial" w:eastAsia="Arial" w:hAnsi="Arial"/>
                <w:sz w:val="14"/>
                <w:szCs w:val="14"/>
                <w:color w:val="auto"/>
              </w:rPr>
              <w:t>(169)</w:t>
            </w:r>
          </w:p>
        </w:tc>
        <w:tc>
          <w:tcPr>
            <w:tcW w:w="80" w:type="dxa"/>
            <w:vAlign w:val="bottom"/>
          </w:tcPr>
          <w:p>
            <w:pPr>
              <w:spacing w:after="0"/>
              <w:rPr>
                <w:sz w:val="14"/>
                <w:szCs w:val="14"/>
                <w:color w:val="auto"/>
              </w:rPr>
            </w:pPr>
          </w:p>
        </w:tc>
        <w:tc>
          <w:tcPr>
            <w:tcW w:w="720" w:type="dxa"/>
            <w:vAlign w:val="bottom"/>
            <w:gridSpan w:val="2"/>
          </w:tcPr>
          <w:p>
            <w:pPr>
              <w:jc w:val="right"/>
              <w:ind w:right="69"/>
              <w:spacing w:after="0"/>
              <w:rPr>
                <w:sz w:val="20"/>
                <w:szCs w:val="20"/>
                <w:color w:val="auto"/>
              </w:rPr>
            </w:pPr>
            <w:r>
              <w:rPr>
                <w:rFonts w:ascii="Arial" w:cs="Arial" w:eastAsia="Arial" w:hAnsi="Arial"/>
                <w:sz w:val="14"/>
                <w:szCs w:val="14"/>
                <w:color w:val="auto"/>
              </w:rPr>
              <w:t>3</w:t>
            </w:r>
          </w:p>
        </w:tc>
        <w:tc>
          <w:tcPr>
            <w:tcW w:w="760" w:type="dxa"/>
            <w:vAlign w:val="bottom"/>
          </w:tcPr>
          <w:p>
            <w:pPr>
              <w:jc w:val="right"/>
              <w:ind w:right="69"/>
              <w:spacing w:after="0"/>
              <w:rPr>
                <w:sz w:val="20"/>
                <w:szCs w:val="20"/>
                <w:color w:val="auto"/>
              </w:rPr>
            </w:pPr>
            <w:r>
              <w:rPr>
                <w:rFonts w:ascii="Arial" w:cs="Arial" w:eastAsia="Arial" w:hAnsi="Arial"/>
                <w:sz w:val="14"/>
                <w:szCs w:val="14"/>
                <w:color w:val="auto"/>
              </w:rPr>
              <w:t>81</w:t>
            </w:r>
          </w:p>
        </w:tc>
        <w:tc>
          <w:tcPr>
            <w:tcW w:w="660" w:type="dxa"/>
            <w:vAlign w:val="bottom"/>
          </w:tcPr>
          <w:p>
            <w:pPr>
              <w:jc w:val="right"/>
              <w:ind w:right="29"/>
              <w:spacing w:after="0"/>
              <w:rPr>
                <w:sz w:val="20"/>
                <w:szCs w:val="20"/>
                <w:color w:val="auto"/>
              </w:rPr>
            </w:pPr>
            <w:r>
              <w:rPr>
                <w:rFonts w:ascii="Arial" w:cs="Arial" w:eastAsia="Arial" w:hAnsi="Arial"/>
                <w:sz w:val="14"/>
                <w:szCs w:val="14"/>
                <w:color w:val="auto"/>
              </w:rPr>
              <w:t>17</w:t>
            </w:r>
          </w:p>
        </w:tc>
        <w:tc>
          <w:tcPr>
            <w:tcW w:w="940" w:type="dxa"/>
            <w:vAlign w:val="bottom"/>
            <w:gridSpan w:val="3"/>
          </w:tcPr>
          <w:p>
            <w:pPr>
              <w:jc w:val="right"/>
              <w:ind w:right="200"/>
              <w:spacing w:after="0"/>
              <w:rPr>
                <w:sz w:val="20"/>
                <w:szCs w:val="20"/>
                <w:color w:val="auto"/>
              </w:rPr>
            </w:pPr>
            <w:r>
              <w:rPr>
                <w:rFonts w:ascii="Arial" w:cs="Arial" w:eastAsia="Arial" w:hAnsi="Arial"/>
                <w:sz w:val="14"/>
                <w:szCs w:val="14"/>
                <w:color w:val="auto"/>
              </w:rPr>
              <w:t>(7)</w:t>
            </w:r>
          </w:p>
        </w:tc>
        <w:tc>
          <w:tcPr>
            <w:tcW w:w="680" w:type="dxa"/>
            <w:vAlign w:val="bottom"/>
          </w:tcPr>
          <w:p>
            <w:pPr>
              <w:jc w:val="right"/>
              <w:ind w:right="30"/>
              <w:spacing w:after="0"/>
              <w:rPr>
                <w:sz w:val="20"/>
                <w:szCs w:val="20"/>
                <w:color w:val="auto"/>
              </w:rPr>
            </w:pPr>
            <w:r>
              <w:rPr>
                <w:rFonts w:ascii="Arial" w:cs="Arial" w:eastAsia="Arial" w:hAnsi="Arial"/>
                <w:sz w:val="14"/>
                <w:szCs w:val="14"/>
                <w:color w:val="auto"/>
              </w:rPr>
              <w:t>(54)</w:t>
            </w:r>
          </w:p>
        </w:tc>
        <w:tc>
          <w:tcPr>
            <w:tcW w:w="760" w:type="dxa"/>
            <w:vAlign w:val="bottom"/>
          </w:tcPr>
          <w:p>
            <w:pPr>
              <w:jc w:val="right"/>
              <w:ind w:right="89"/>
              <w:spacing w:after="0"/>
              <w:rPr>
                <w:sz w:val="20"/>
                <w:szCs w:val="20"/>
                <w:color w:val="auto"/>
              </w:rPr>
            </w:pPr>
            <w:r>
              <w:rPr>
                <w:rFonts w:ascii="Arial" w:cs="Arial" w:eastAsia="Arial" w:hAnsi="Arial"/>
                <w:sz w:val="14"/>
                <w:szCs w:val="14"/>
                <w:color w:val="auto"/>
              </w:rPr>
              <w:t>81</w:t>
            </w:r>
          </w:p>
        </w:tc>
        <w:tc>
          <w:tcPr>
            <w:tcW w:w="660" w:type="dxa"/>
            <w:vAlign w:val="bottom"/>
          </w:tcPr>
          <w:p>
            <w:pPr>
              <w:jc w:val="right"/>
              <w:ind w:right="28"/>
              <w:spacing w:after="0"/>
              <w:rPr>
                <w:sz w:val="20"/>
                <w:szCs w:val="20"/>
                <w:color w:val="auto"/>
              </w:rPr>
            </w:pPr>
            <w:r>
              <w:rPr>
                <w:rFonts w:ascii="Arial" w:cs="Arial" w:eastAsia="Arial" w:hAnsi="Arial"/>
                <w:sz w:val="14"/>
                <w:szCs w:val="14"/>
                <w:color w:val="auto"/>
              </w:rPr>
              <w:t>17</w:t>
            </w:r>
          </w:p>
        </w:tc>
        <w:tc>
          <w:tcPr>
            <w:tcW w:w="660" w:type="dxa"/>
            <w:vAlign w:val="bottom"/>
          </w:tcPr>
          <w:p>
            <w:pPr>
              <w:jc w:val="right"/>
              <w:ind w:right="29"/>
              <w:spacing w:after="0"/>
              <w:rPr>
                <w:sz w:val="20"/>
                <w:szCs w:val="20"/>
                <w:color w:val="auto"/>
              </w:rPr>
            </w:pPr>
            <w:r>
              <w:rPr>
                <w:rFonts w:ascii="Arial" w:cs="Arial" w:eastAsia="Arial" w:hAnsi="Arial"/>
                <w:sz w:val="14"/>
                <w:szCs w:val="14"/>
                <w:color w:val="auto"/>
              </w:rPr>
              <w:t>44</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900" w:type="dxa"/>
            <w:vAlign w:val="bottom"/>
            <w:gridSpan w:val="2"/>
          </w:tcPr>
          <w:p>
            <w:pPr>
              <w:ind w:left="140"/>
              <w:spacing w:after="0"/>
              <w:rPr>
                <w:sz w:val="20"/>
                <w:szCs w:val="20"/>
                <w:color w:val="auto"/>
              </w:rPr>
            </w:pPr>
            <w:r>
              <w:rPr>
                <w:rFonts w:ascii="Arial" w:cs="Arial" w:eastAsia="Arial" w:hAnsi="Arial"/>
                <w:sz w:val="14"/>
                <w:szCs w:val="14"/>
                <w:color w:val="auto"/>
              </w:rPr>
              <w:t>Improved recovery</w:t>
            </w:r>
          </w:p>
        </w:tc>
        <w:tc>
          <w:tcPr>
            <w:tcW w:w="7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220"/>
              <w:spacing w:after="0"/>
              <w:rPr>
                <w:sz w:val="20"/>
                <w:szCs w:val="20"/>
                <w:color w:val="auto"/>
              </w:rPr>
            </w:pPr>
            <w:r>
              <w:rPr>
                <w:rFonts w:ascii="Arial" w:cs="Arial" w:eastAsia="Arial" w:hAnsi="Arial"/>
                <w:sz w:val="14"/>
                <w:szCs w:val="14"/>
                <w:color w:val="auto"/>
              </w:rPr>
              <w:t>9</w:t>
            </w:r>
          </w:p>
        </w:tc>
        <w:tc>
          <w:tcPr>
            <w:tcW w:w="6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680" w:type="dxa"/>
            <w:vAlign w:val="bottom"/>
          </w:tcPr>
          <w:p>
            <w:pPr>
              <w:jc w:val="right"/>
              <w:ind w:right="69"/>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69"/>
              <w:spacing w:after="0"/>
              <w:rPr>
                <w:sz w:val="20"/>
                <w:szCs w:val="20"/>
                <w:color w:val="auto"/>
              </w:rPr>
            </w:pPr>
            <w:r>
              <w:rPr>
                <w:rFonts w:ascii="Arial" w:cs="Arial" w:eastAsia="Arial" w:hAnsi="Arial"/>
                <w:sz w:val="14"/>
                <w:szCs w:val="14"/>
                <w:color w:val="auto"/>
              </w:rPr>
              <w:t>–</w:t>
            </w:r>
          </w:p>
        </w:tc>
        <w:tc>
          <w:tcPr>
            <w:tcW w:w="66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70"/>
              <w:spacing w:after="0"/>
              <w:rPr>
                <w:sz w:val="20"/>
                <w:szCs w:val="20"/>
                <w:color w:val="auto"/>
              </w:rPr>
            </w:pPr>
            <w:r>
              <w:rPr>
                <w:rFonts w:ascii="Arial" w:cs="Arial" w:eastAsia="Arial" w:hAnsi="Arial"/>
                <w:sz w:val="14"/>
                <w:szCs w:val="14"/>
                <w:color w:val="auto"/>
              </w:rPr>
              <w:t>9</w:t>
            </w:r>
          </w:p>
        </w:tc>
        <w:tc>
          <w:tcPr>
            <w:tcW w:w="760" w:type="dxa"/>
            <w:vAlign w:val="bottom"/>
          </w:tcPr>
          <w:p>
            <w:pPr>
              <w:jc w:val="right"/>
              <w:ind w:right="89"/>
              <w:spacing w:after="0"/>
              <w:rPr>
                <w:sz w:val="20"/>
                <w:szCs w:val="20"/>
                <w:color w:val="auto"/>
              </w:rPr>
            </w:pPr>
            <w:r>
              <w:rPr>
                <w:rFonts w:ascii="Arial" w:cs="Arial" w:eastAsia="Arial" w:hAnsi="Arial"/>
                <w:sz w:val="14"/>
                <w:szCs w:val="14"/>
                <w:color w:val="auto"/>
              </w:rPr>
              <w:t>–</w:t>
            </w:r>
          </w:p>
        </w:tc>
        <w:tc>
          <w:tcPr>
            <w:tcW w:w="6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660" w:type="dxa"/>
            <w:vAlign w:val="bottom"/>
          </w:tcPr>
          <w:p>
            <w:pPr>
              <w:jc w:val="right"/>
              <w:ind w:right="29"/>
              <w:spacing w:after="0"/>
              <w:rPr>
                <w:sz w:val="20"/>
                <w:szCs w:val="20"/>
                <w:color w:val="auto"/>
              </w:rPr>
            </w:pPr>
            <w:r>
              <w:rPr>
                <w:rFonts w:ascii="Arial" w:cs="Arial" w:eastAsia="Arial" w:hAnsi="Arial"/>
                <w:sz w:val="14"/>
                <w:szCs w:val="14"/>
                <w:color w:val="auto"/>
              </w:rPr>
              <w:t>9</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900" w:type="dxa"/>
            <w:vAlign w:val="bottom"/>
            <w:gridSpan w:val="2"/>
          </w:tcPr>
          <w:p>
            <w:pPr>
              <w:ind w:left="140"/>
              <w:spacing w:after="0"/>
              <w:rPr>
                <w:sz w:val="20"/>
                <w:szCs w:val="20"/>
                <w:color w:val="auto"/>
              </w:rPr>
            </w:pPr>
            <w:r>
              <w:rPr>
                <w:rFonts w:ascii="Arial" w:cs="Arial" w:eastAsia="Arial" w:hAnsi="Arial"/>
                <w:sz w:val="14"/>
                <w:szCs w:val="14"/>
                <w:color w:val="auto"/>
              </w:rPr>
              <w:t>Extensions and discoveries</w:t>
            </w:r>
          </w:p>
        </w:tc>
        <w:tc>
          <w:tcPr>
            <w:tcW w:w="7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220"/>
              <w:spacing w:after="0"/>
              <w:rPr>
                <w:sz w:val="20"/>
                <w:szCs w:val="20"/>
                <w:color w:val="auto"/>
              </w:rPr>
            </w:pPr>
            <w:r>
              <w:rPr>
                <w:rFonts w:ascii="Arial" w:cs="Arial" w:eastAsia="Arial" w:hAnsi="Arial"/>
                <w:sz w:val="14"/>
                <w:szCs w:val="14"/>
                <w:color w:val="auto"/>
              </w:rPr>
              <w:t>5</w:t>
            </w:r>
          </w:p>
        </w:tc>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1</w:t>
            </w:r>
          </w:p>
        </w:tc>
        <w:tc>
          <w:tcPr>
            <w:tcW w:w="740" w:type="dxa"/>
            <w:vAlign w:val="bottom"/>
            <w:gridSpan w:val="2"/>
          </w:tcPr>
          <w:p>
            <w:pPr>
              <w:jc w:val="right"/>
              <w:ind w:right="220"/>
              <w:spacing w:after="0"/>
              <w:rPr>
                <w:sz w:val="20"/>
                <w:szCs w:val="20"/>
                <w:color w:val="auto"/>
              </w:rPr>
            </w:pPr>
            <w:r>
              <w:rPr>
                <w:rFonts w:ascii="Arial" w:cs="Arial" w:eastAsia="Arial" w:hAnsi="Arial"/>
                <w:sz w:val="14"/>
                <w:szCs w:val="14"/>
                <w:color w:val="auto"/>
              </w:rPr>
              <w:t>8</w:t>
            </w:r>
          </w:p>
        </w:tc>
        <w:tc>
          <w:tcPr>
            <w:tcW w:w="600" w:type="dxa"/>
            <w:vAlign w:val="bottom"/>
          </w:tcPr>
          <w:p>
            <w:pPr>
              <w:jc w:val="right"/>
              <w:ind w:right="49"/>
              <w:spacing w:after="0"/>
              <w:rPr>
                <w:sz w:val="20"/>
                <w:szCs w:val="20"/>
                <w:color w:val="auto"/>
              </w:rPr>
            </w:pPr>
            <w:r>
              <w:rPr>
                <w:rFonts w:ascii="Arial" w:cs="Arial" w:eastAsia="Arial" w:hAnsi="Arial"/>
                <w:sz w:val="14"/>
                <w:szCs w:val="14"/>
                <w:color w:val="auto"/>
              </w:rPr>
              <w:t>18</w:t>
            </w:r>
          </w:p>
        </w:tc>
        <w:tc>
          <w:tcPr>
            <w:tcW w:w="80" w:type="dxa"/>
            <w:vAlign w:val="bottom"/>
          </w:tcPr>
          <w:p>
            <w:pPr>
              <w:spacing w:after="0"/>
              <w:rPr>
                <w:sz w:val="14"/>
                <w:szCs w:val="14"/>
                <w:color w:val="auto"/>
              </w:rPr>
            </w:pPr>
          </w:p>
        </w:tc>
        <w:tc>
          <w:tcPr>
            <w:tcW w:w="720" w:type="dxa"/>
            <w:vAlign w:val="bottom"/>
            <w:gridSpan w:val="2"/>
          </w:tcPr>
          <w:p>
            <w:pPr>
              <w:jc w:val="right"/>
              <w:ind w:right="69"/>
              <w:spacing w:after="0"/>
              <w:rPr>
                <w:sz w:val="20"/>
                <w:szCs w:val="20"/>
                <w:color w:val="auto"/>
              </w:rPr>
            </w:pPr>
            <w:r>
              <w:rPr>
                <w:rFonts w:ascii="Arial" w:cs="Arial" w:eastAsia="Arial" w:hAnsi="Arial"/>
                <w:sz w:val="14"/>
                <w:szCs w:val="14"/>
                <w:color w:val="auto"/>
              </w:rPr>
              <w:t>21</w:t>
            </w:r>
          </w:p>
        </w:tc>
        <w:tc>
          <w:tcPr>
            <w:tcW w:w="760" w:type="dxa"/>
            <w:vAlign w:val="bottom"/>
          </w:tcPr>
          <w:p>
            <w:pPr>
              <w:jc w:val="right"/>
              <w:ind w:right="69"/>
              <w:spacing w:after="0"/>
              <w:rPr>
                <w:sz w:val="20"/>
                <w:szCs w:val="20"/>
                <w:color w:val="auto"/>
              </w:rPr>
            </w:pPr>
            <w:r>
              <w:rPr>
                <w:rFonts w:ascii="Arial" w:cs="Arial" w:eastAsia="Arial" w:hAnsi="Arial"/>
                <w:sz w:val="14"/>
                <w:szCs w:val="14"/>
                <w:color w:val="auto"/>
              </w:rPr>
              <w:t>–</w:t>
            </w:r>
          </w:p>
        </w:tc>
        <w:tc>
          <w:tcPr>
            <w:tcW w:w="660" w:type="dxa"/>
            <w:vAlign w:val="bottom"/>
          </w:tcPr>
          <w:p>
            <w:pPr>
              <w:jc w:val="right"/>
              <w:ind w:right="29"/>
              <w:spacing w:after="0"/>
              <w:rPr>
                <w:sz w:val="20"/>
                <w:szCs w:val="20"/>
                <w:color w:val="auto"/>
              </w:rPr>
            </w:pPr>
            <w:r>
              <w:rPr>
                <w:rFonts w:ascii="Arial" w:cs="Arial" w:eastAsia="Arial" w:hAnsi="Arial"/>
                <w:sz w:val="14"/>
                <w:szCs w:val="14"/>
                <w:color w:val="auto"/>
              </w:rPr>
              <w:t>1</w:t>
            </w:r>
          </w:p>
        </w:tc>
        <w:tc>
          <w:tcPr>
            <w:tcW w:w="940" w:type="dxa"/>
            <w:vAlign w:val="bottom"/>
            <w:gridSpan w:val="3"/>
          </w:tcPr>
          <w:p>
            <w:pPr>
              <w:jc w:val="right"/>
              <w:ind w:right="240"/>
              <w:spacing w:after="0"/>
              <w:rPr>
                <w:sz w:val="20"/>
                <w:szCs w:val="20"/>
                <w:color w:val="auto"/>
              </w:rPr>
            </w:pPr>
            <w:r>
              <w:rPr>
                <w:rFonts w:ascii="Arial" w:cs="Arial" w:eastAsia="Arial" w:hAnsi="Arial"/>
                <w:sz w:val="14"/>
                <w:szCs w:val="14"/>
                <w:color w:val="auto"/>
              </w:rPr>
              <w:t>13</w:t>
            </w:r>
          </w:p>
        </w:tc>
        <w:tc>
          <w:tcPr>
            <w:tcW w:w="680" w:type="dxa"/>
            <w:vAlign w:val="bottom"/>
          </w:tcPr>
          <w:p>
            <w:pPr>
              <w:jc w:val="right"/>
              <w:ind w:right="70"/>
              <w:spacing w:after="0"/>
              <w:rPr>
                <w:sz w:val="20"/>
                <w:szCs w:val="20"/>
                <w:color w:val="auto"/>
              </w:rPr>
            </w:pPr>
            <w:r>
              <w:rPr>
                <w:rFonts w:ascii="Arial" w:cs="Arial" w:eastAsia="Arial" w:hAnsi="Arial"/>
                <w:sz w:val="14"/>
                <w:szCs w:val="14"/>
                <w:color w:val="auto"/>
              </w:rPr>
              <w:t>66</w:t>
            </w:r>
          </w:p>
        </w:tc>
        <w:tc>
          <w:tcPr>
            <w:tcW w:w="760" w:type="dxa"/>
            <w:vAlign w:val="bottom"/>
          </w:tcPr>
          <w:p>
            <w:pPr>
              <w:jc w:val="right"/>
              <w:ind w:right="89"/>
              <w:spacing w:after="0"/>
              <w:rPr>
                <w:sz w:val="20"/>
                <w:szCs w:val="20"/>
                <w:color w:val="auto"/>
              </w:rPr>
            </w:pPr>
            <w:r>
              <w:rPr>
                <w:rFonts w:ascii="Arial" w:cs="Arial" w:eastAsia="Arial" w:hAnsi="Arial"/>
                <w:sz w:val="14"/>
                <w:szCs w:val="14"/>
                <w:color w:val="auto"/>
              </w:rPr>
              <w:t>–</w:t>
            </w:r>
          </w:p>
        </w:tc>
        <w:tc>
          <w:tcPr>
            <w:tcW w:w="660" w:type="dxa"/>
            <w:vAlign w:val="bottom"/>
          </w:tcPr>
          <w:p>
            <w:pPr>
              <w:jc w:val="right"/>
              <w:ind w:right="28"/>
              <w:spacing w:after="0"/>
              <w:rPr>
                <w:sz w:val="20"/>
                <w:szCs w:val="20"/>
                <w:color w:val="auto"/>
              </w:rPr>
            </w:pPr>
            <w:r>
              <w:rPr>
                <w:rFonts w:ascii="Arial" w:cs="Arial" w:eastAsia="Arial" w:hAnsi="Arial"/>
                <w:sz w:val="14"/>
                <w:szCs w:val="14"/>
                <w:color w:val="auto"/>
              </w:rPr>
              <w:t>1</w:t>
            </w:r>
          </w:p>
        </w:tc>
        <w:tc>
          <w:tcPr>
            <w:tcW w:w="660" w:type="dxa"/>
            <w:vAlign w:val="bottom"/>
          </w:tcPr>
          <w:p>
            <w:pPr>
              <w:jc w:val="right"/>
              <w:ind w:right="29"/>
              <w:spacing w:after="0"/>
              <w:rPr>
                <w:sz w:val="20"/>
                <w:szCs w:val="20"/>
                <w:color w:val="auto"/>
              </w:rPr>
            </w:pPr>
            <w:r>
              <w:rPr>
                <w:rFonts w:ascii="Arial" w:cs="Arial" w:eastAsia="Arial" w:hAnsi="Arial"/>
                <w:sz w:val="14"/>
                <w:szCs w:val="14"/>
                <w:color w:val="auto"/>
              </w:rPr>
              <w:t>67</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900" w:type="dxa"/>
            <w:vAlign w:val="bottom"/>
            <w:gridSpan w:val="2"/>
          </w:tcPr>
          <w:p>
            <w:pPr>
              <w:ind w:left="140"/>
              <w:spacing w:after="0"/>
              <w:rPr>
                <w:sz w:val="20"/>
                <w:szCs w:val="20"/>
                <w:color w:val="auto"/>
              </w:rPr>
            </w:pPr>
            <w:r>
              <w:rPr>
                <w:rFonts w:ascii="Arial" w:cs="Arial" w:eastAsia="Arial" w:hAnsi="Arial"/>
                <w:sz w:val="14"/>
                <w:szCs w:val="14"/>
                <w:color w:val="auto"/>
              </w:rPr>
              <w:t>Purchases of minerals in</w:t>
            </w:r>
          </w:p>
        </w:tc>
        <w:tc>
          <w:tcPr>
            <w:tcW w:w="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900" w:type="dxa"/>
            <w:vAlign w:val="bottom"/>
            <w:gridSpan w:val="2"/>
          </w:tcPr>
          <w:p>
            <w:pPr>
              <w:ind w:left="140"/>
              <w:spacing w:after="0"/>
              <w:rPr>
                <w:sz w:val="20"/>
                <w:szCs w:val="20"/>
                <w:color w:val="auto"/>
              </w:rPr>
            </w:pPr>
            <w:r>
              <w:rPr>
                <w:rFonts w:ascii="Arial" w:cs="Arial" w:eastAsia="Arial" w:hAnsi="Arial"/>
                <w:sz w:val="14"/>
                <w:szCs w:val="14"/>
                <w:color w:val="auto"/>
              </w:rPr>
              <w:t>place</w:t>
            </w:r>
          </w:p>
        </w:tc>
        <w:tc>
          <w:tcPr>
            <w:tcW w:w="7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680" w:type="dxa"/>
            <w:vAlign w:val="bottom"/>
          </w:tcPr>
          <w:p>
            <w:pPr>
              <w:jc w:val="right"/>
              <w:ind w:right="69"/>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69"/>
              <w:spacing w:after="0"/>
              <w:rPr>
                <w:sz w:val="20"/>
                <w:szCs w:val="20"/>
                <w:color w:val="auto"/>
              </w:rPr>
            </w:pPr>
            <w:r>
              <w:rPr>
                <w:rFonts w:ascii="Arial" w:cs="Arial" w:eastAsia="Arial" w:hAnsi="Arial"/>
                <w:sz w:val="14"/>
                <w:szCs w:val="14"/>
                <w:color w:val="auto"/>
              </w:rPr>
              <w:t>–</w:t>
            </w:r>
          </w:p>
        </w:tc>
        <w:tc>
          <w:tcPr>
            <w:tcW w:w="66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70"/>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89"/>
              <w:spacing w:after="0"/>
              <w:rPr>
                <w:sz w:val="20"/>
                <w:szCs w:val="20"/>
                <w:color w:val="auto"/>
              </w:rPr>
            </w:pPr>
            <w:r>
              <w:rPr>
                <w:rFonts w:ascii="Arial" w:cs="Arial" w:eastAsia="Arial" w:hAnsi="Arial"/>
                <w:sz w:val="14"/>
                <w:szCs w:val="14"/>
                <w:color w:val="auto"/>
              </w:rPr>
              <w:t>–</w:t>
            </w:r>
          </w:p>
        </w:tc>
        <w:tc>
          <w:tcPr>
            <w:tcW w:w="6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1900" w:type="dxa"/>
            <w:vAlign w:val="bottom"/>
            <w:gridSpan w:val="2"/>
          </w:tcPr>
          <w:p>
            <w:pPr>
              <w:ind w:left="140"/>
              <w:spacing w:after="0"/>
              <w:rPr>
                <w:sz w:val="20"/>
                <w:szCs w:val="20"/>
                <w:color w:val="auto"/>
              </w:rPr>
            </w:pPr>
            <w:r>
              <w:rPr>
                <w:rFonts w:ascii="Arial" w:cs="Arial" w:eastAsia="Arial" w:hAnsi="Arial"/>
                <w:sz w:val="14"/>
                <w:szCs w:val="14"/>
                <w:color w:val="auto"/>
              </w:rPr>
              <w:t>Sales of minerals in place</w:t>
            </w:r>
          </w:p>
        </w:tc>
        <w:tc>
          <w:tcPr>
            <w:tcW w:w="7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180"/>
              <w:spacing w:after="0"/>
              <w:rPr>
                <w:sz w:val="20"/>
                <w:szCs w:val="20"/>
                <w:color w:val="auto"/>
              </w:rPr>
            </w:pPr>
            <w:r>
              <w:rPr>
                <w:rFonts w:ascii="Arial" w:cs="Arial" w:eastAsia="Arial" w:hAnsi="Arial"/>
                <w:sz w:val="14"/>
                <w:szCs w:val="14"/>
                <w:color w:val="auto"/>
              </w:rPr>
              <w:t>(5)</w:t>
            </w:r>
          </w:p>
        </w:tc>
        <w:tc>
          <w:tcPr>
            <w:tcW w:w="740" w:type="dxa"/>
            <w:vAlign w:val="bottom"/>
            <w:gridSpan w:val="2"/>
          </w:tcPr>
          <w:p>
            <w:pPr>
              <w:jc w:val="right"/>
              <w:ind w:right="180"/>
              <w:spacing w:after="0"/>
              <w:rPr>
                <w:sz w:val="20"/>
                <w:szCs w:val="20"/>
                <w:color w:val="auto"/>
              </w:rPr>
            </w:pPr>
            <w:r>
              <w:rPr>
                <w:rFonts w:ascii="Arial" w:cs="Arial" w:eastAsia="Arial" w:hAnsi="Arial"/>
                <w:sz w:val="14"/>
                <w:szCs w:val="14"/>
                <w:color w:val="auto"/>
              </w:rPr>
              <w:t>(15)</w:t>
            </w:r>
          </w:p>
        </w:tc>
        <w:tc>
          <w:tcPr>
            <w:tcW w:w="600" w:type="dxa"/>
            <w:vAlign w:val="bottom"/>
          </w:tcPr>
          <w:p>
            <w:pPr>
              <w:jc w:val="right"/>
              <w:spacing w:after="0"/>
              <w:rPr>
                <w:sz w:val="20"/>
                <w:szCs w:val="20"/>
                <w:color w:val="auto"/>
              </w:rPr>
            </w:pPr>
            <w:r>
              <w:rPr>
                <w:rFonts w:ascii="Arial" w:cs="Arial" w:eastAsia="Arial" w:hAnsi="Arial"/>
                <w:sz w:val="14"/>
                <w:szCs w:val="14"/>
                <w:color w:val="auto"/>
              </w:rPr>
              <w:t>(30)</w:t>
            </w:r>
          </w:p>
        </w:tc>
        <w:tc>
          <w:tcPr>
            <w:tcW w:w="80" w:type="dxa"/>
            <w:vAlign w:val="bottom"/>
          </w:tcPr>
          <w:p>
            <w:pPr>
              <w:spacing w:after="0"/>
              <w:rPr>
                <w:sz w:val="14"/>
                <w:szCs w:val="14"/>
                <w:color w:val="auto"/>
              </w:rPr>
            </w:pPr>
          </w:p>
        </w:tc>
        <w:tc>
          <w:tcPr>
            <w:tcW w:w="720" w:type="dxa"/>
            <w:vAlign w:val="bottom"/>
            <w:gridSpan w:val="2"/>
          </w:tcPr>
          <w:p>
            <w:pPr>
              <w:jc w:val="right"/>
              <w:ind w:right="9"/>
              <w:spacing w:after="0"/>
              <w:rPr>
                <w:sz w:val="20"/>
                <w:szCs w:val="20"/>
                <w:color w:val="auto"/>
              </w:rPr>
            </w:pPr>
            <w:r>
              <w:rPr>
                <w:rFonts w:ascii="Arial" w:cs="Arial" w:eastAsia="Arial" w:hAnsi="Arial"/>
                <w:sz w:val="14"/>
                <w:szCs w:val="14"/>
                <w:color w:val="auto"/>
              </w:rPr>
              <w:t>(1)</w:t>
            </w:r>
          </w:p>
        </w:tc>
        <w:tc>
          <w:tcPr>
            <w:tcW w:w="760" w:type="dxa"/>
            <w:vAlign w:val="bottom"/>
          </w:tcPr>
          <w:p>
            <w:pPr>
              <w:jc w:val="right"/>
              <w:ind w:right="69"/>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(6)</w:t>
            </w:r>
          </w:p>
        </w:tc>
        <w:tc>
          <w:tcPr>
            <w:tcW w:w="940" w:type="dxa"/>
            <w:vAlign w:val="bottom"/>
            <w:gridSpan w:val="3"/>
          </w:tcPr>
          <w:p>
            <w:pPr>
              <w:jc w:val="right"/>
              <w:ind w:right="200"/>
              <w:spacing w:after="0"/>
              <w:rPr>
                <w:sz w:val="20"/>
                <w:szCs w:val="20"/>
                <w:color w:val="auto"/>
              </w:rPr>
            </w:pPr>
            <w:r>
              <w:rPr>
                <w:rFonts w:ascii="Arial" w:cs="Arial" w:eastAsia="Arial" w:hAnsi="Arial"/>
                <w:sz w:val="14"/>
                <w:szCs w:val="14"/>
                <w:color w:val="auto"/>
              </w:rPr>
              <w:t>(21)</w:t>
            </w:r>
          </w:p>
        </w:tc>
        <w:tc>
          <w:tcPr>
            <w:tcW w:w="680" w:type="dxa"/>
            <w:vAlign w:val="bottom"/>
          </w:tcPr>
          <w:p>
            <w:pPr>
              <w:jc w:val="right"/>
              <w:ind w:right="30"/>
              <w:spacing w:after="0"/>
              <w:rPr>
                <w:sz w:val="20"/>
                <w:szCs w:val="20"/>
                <w:color w:val="auto"/>
              </w:rPr>
            </w:pPr>
            <w:r>
              <w:rPr>
                <w:rFonts w:ascii="Arial" w:cs="Arial" w:eastAsia="Arial" w:hAnsi="Arial"/>
                <w:sz w:val="14"/>
                <w:szCs w:val="14"/>
                <w:color w:val="auto"/>
              </w:rPr>
              <w:t>(72)</w:t>
            </w:r>
          </w:p>
        </w:tc>
        <w:tc>
          <w:tcPr>
            <w:tcW w:w="760" w:type="dxa"/>
            <w:vAlign w:val="bottom"/>
          </w:tcPr>
          <w:p>
            <w:pPr>
              <w:jc w:val="right"/>
              <w:ind w:right="89"/>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(6)</w:t>
            </w:r>
          </w:p>
        </w:tc>
        <w:tc>
          <w:tcPr>
            <w:tcW w:w="660" w:type="dxa"/>
            <w:vAlign w:val="bottom"/>
          </w:tcPr>
          <w:p>
            <w:pPr>
              <w:jc w:val="right"/>
              <w:spacing w:after="0"/>
              <w:rPr>
                <w:sz w:val="20"/>
                <w:szCs w:val="20"/>
                <w:color w:val="auto"/>
              </w:rPr>
            </w:pPr>
            <w:r>
              <w:rPr>
                <w:rFonts w:ascii="Arial" w:cs="Arial" w:eastAsia="Arial" w:hAnsi="Arial"/>
                <w:sz w:val="14"/>
                <w:szCs w:val="14"/>
                <w:color w:val="auto"/>
              </w:rPr>
              <w:t>(78)</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1900" w:type="dxa"/>
            <w:vAlign w:val="bottom"/>
            <w:tcBorders>
              <w:bottom w:val="single" w:sz="8" w:color="auto"/>
            </w:tcBorders>
            <w:gridSpan w:val="2"/>
          </w:tcPr>
          <w:p>
            <w:pPr>
              <w:ind w:left="140"/>
              <w:spacing w:after="0" w:line="157" w:lineRule="exact"/>
              <w:rPr>
                <w:sz w:val="20"/>
                <w:szCs w:val="20"/>
                <w:color w:val="auto"/>
              </w:rPr>
            </w:pPr>
            <w:r>
              <w:rPr>
                <w:rFonts w:ascii="Arial" w:cs="Arial" w:eastAsia="Arial" w:hAnsi="Arial"/>
                <w:sz w:val="14"/>
                <w:szCs w:val="14"/>
                <w:color w:val="auto"/>
              </w:rPr>
              <w:t>Production [A]</w:t>
            </w:r>
          </w:p>
        </w:tc>
        <w:tc>
          <w:tcPr>
            <w:tcW w:w="740" w:type="dxa"/>
            <w:vAlign w:val="bottom"/>
            <w:tcBorders>
              <w:bottom w:val="single" w:sz="8" w:color="auto"/>
            </w:tcBorders>
            <w:gridSpan w:val="2"/>
          </w:tcPr>
          <w:p>
            <w:pPr>
              <w:jc w:val="right"/>
              <w:ind w:right="160"/>
              <w:spacing w:after="0" w:line="157" w:lineRule="exact"/>
              <w:rPr>
                <w:sz w:val="20"/>
                <w:szCs w:val="20"/>
                <w:color w:val="auto"/>
              </w:rPr>
            </w:pPr>
            <w:r>
              <w:rPr>
                <w:rFonts w:ascii="Arial" w:cs="Arial" w:eastAsia="Arial" w:hAnsi="Arial"/>
                <w:sz w:val="14"/>
                <w:szCs w:val="14"/>
                <w:color w:val="auto"/>
              </w:rPr>
              <w:t>(61)</w:t>
            </w:r>
          </w:p>
        </w:tc>
        <w:tc>
          <w:tcPr>
            <w:tcW w:w="740" w:type="dxa"/>
            <w:vAlign w:val="bottom"/>
            <w:tcBorders>
              <w:bottom w:val="single" w:sz="8" w:color="auto"/>
            </w:tcBorders>
            <w:gridSpan w:val="2"/>
          </w:tcPr>
          <w:p>
            <w:pPr>
              <w:jc w:val="right"/>
              <w:ind w:right="160"/>
              <w:spacing w:after="0" w:line="157" w:lineRule="exact"/>
              <w:rPr>
                <w:sz w:val="20"/>
                <w:szCs w:val="20"/>
                <w:color w:val="auto"/>
              </w:rPr>
            </w:pPr>
            <w:r>
              <w:rPr>
                <w:rFonts w:ascii="Arial" w:cs="Arial" w:eastAsia="Arial" w:hAnsi="Arial"/>
                <w:sz w:val="14"/>
                <w:szCs w:val="14"/>
                <w:color w:val="auto"/>
              </w:rPr>
              <w:t>(162)</w:t>
            </w:r>
          </w:p>
        </w:tc>
        <w:tc>
          <w:tcPr>
            <w:tcW w:w="780" w:type="dxa"/>
            <w:vAlign w:val="bottom"/>
            <w:tcBorders>
              <w:bottom w:val="single" w:sz="8" w:color="auto"/>
            </w:tcBorders>
            <w:gridSpan w:val="2"/>
          </w:tcPr>
          <w:p>
            <w:pPr>
              <w:jc w:val="right"/>
              <w:ind w:right="180"/>
              <w:spacing w:after="0" w:line="157" w:lineRule="exact"/>
              <w:rPr>
                <w:sz w:val="20"/>
                <w:szCs w:val="20"/>
                <w:color w:val="auto"/>
              </w:rPr>
            </w:pPr>
            <w:r>
              <w:rPr>
                <w:rFonts w:ascii="Arial" w:cs="Arial" w:eastAsia="Arial" w:hAnsi="Arial"/>
                <w:sz w:val="14"/>
                <w:szCs w:val="14"/>
                <w:color w:val="auto"/>
              </w:rPr>
              <w:t>(9)</w:t>
            </w:r>
          </w:p>
        </w:tc>
        <w:tc>
          <w:tcPr>
            <w:tcW w:w="740" w:type="dxa"/>
            <w:vAlign w:val="bottom"/>
            <w:tcBorders>
              <w:bottom w:val="single" w:sz="8" w:color="auto"/>
            </w:tcBorders>
            <w:gridSpan w:val="2"/>
          </w:tcPr>
          <w:p>
            <w:pPr>
              <w:jc w:val="right"/>
              <w:ind w:right="180"/>
              <w:spacing w:after="0" w:line="157" w:lineRule="exact"/>
              <w:rPr>
                <w:sz w:val="20"/>
                <w:szCs w:val="20"/>
                <w:color w:val="auto"/>
              </w:rPr>
            </w:pPr>
            <w:r>
              <w:rPr>
                <w:rFonts w:ascii="Arial" w:cs="Arial" w:eastAsia="Arial" w:hAnsi="Arial"/>
                <w:sz w:val="14"/>
                <w:szCs w:val="14"/>
                <w:color w:val="auto"/>
              </w:rPr>
              <w:t>(88)</w:t>
            </w:r>
          </w:p>
        </w:tc>
        <w:tc>
          <w:tcPr>
            <w:tcW w:w="600" w:type="dxa"/>
            <w:vAlign w:val="bottom"/>
            <w:tcBorders>
              <w:bottom w:val="single" w:sz="8" w:color="auto"/>
            </w:tcBorders>
          </w:tcPr>
          <w:p>
            <w:pPr>
              <w:jc w:val="right"/>
              <w:spacing w:after="0" w:line="157" w:lineRule="exact"/>
              <w:rPr>
                <w:sz w:val="20"/>
                <w:szCs w:val="20"/>
                <w:color w:val="auto"/>
              </w:rPr>
            </w:pPr>
            <w:r>
              <w:rPr>
                <w:rFonts w:ascii="Arial" w:cs="Arial" w:eastAsia="Arial" w:hAnsi="Arial"/>
                <w:sz w:val="14"/>
                <w:szCs w:val="14"/>
                <w:color w:val="auto"/>
              </w:rPr>
              <w:t>(99)</w:t>
            </w:r>
          </w:p>
        </w:tc>
        <w:tc>
          <w:tcPr>
            <w:tcW w:w="8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gridSpan w:val="2"/>
          </w:tcPr>
          <w:p>
            <w:pPr>
              <w:jc w:val="right"/>
              <w:ind w:right="9"/>
              <w:spacing w:after="0" w:line="157" w:lineRule="exact"/>
              <w:rPr>
                <w:sz w:val="20"/>
                <w:szCs w:val="20"/>
                <w:color w:val="auto"/>
              </w:rPr>
            </w:pPr>
            <w:r>
              <w:rPr>
                <w:rFonts w:ascii="Arial" w:cs="Arial" w:eastAsia="Arial" w:hAnsi="Arial"/>
                <w:sz w:val="14"/>
                <w:szCs w:val="14"/>
                <w:color w:val="auto"/>
              </w:rPr>
              <w:t>(8)</w:t>
            </w:r>
          </w:p>
        </w:tc>
        <w:tc>
          <w:tcPr>
            <w:tcW w:w="760" w:type="dxa"/>
            <w:vAlign w:val="bottom"/>
            <w:tcBorders>
              <w:bottom w:val="single" w:sz="8" w:color="auto"/>
            </w:tcBorders>
          </w:tcPr>
          <w:p>
            <w:pPr>
              <w:jc w:val="right"/>
              <w:ind w:right="9"/>
              <w:spacing w:after="0" w:line="157" w:lineRule="exact"/>
              <w:rPr>
                <w:sz w:val="20"/>
                <w:szCs w:val="20"/>
                <w:color w:val="auto"/>
              </w:rPr>
            </w:pPr>
            <w:r>
              <w:rPr>
                <w:rFonts w:ascii="Arial" w:cs="Arial" w:eastAsia="Arial" w:hAnsi="Arial"/>
                <w:sz w:val="14"/>
                <w:szCs w:val="14"/>
                <w:color w:val="auto"/>
              </w:rPr>
              <w:t>(49)</w:t>
            </w:r>
          </w:p>
        </w:tc>
        <w:tc>
          <w:tcPr>
            <w:tcW w:w="660" w:type="dxa"/>
            <w:vAlign w:val="bottom"/>
            <w:tcBorders>
              <w:bottom w:val="single" w:sz="8" w:color="auto"/>
            </w:tcBorders>
          </w:tcPr>
          <w:p>
            <w:pPr>
              <w:jc w:val="right"/>
              <w:spacing w:after="0" w:line="157" w:lineRule="exact"/>
              <w:rPr>
                <w:sz w:val="20"/>
                <w:szCs w:val="20"/>
                <w:color w:val="auto"/>
              </w:rPr>
            </w:pPr>
            <w:r>
              <w:rPr>
                <w:rFonts w:ascii="Arial" w:cs="Arial" w:eastAsia="Arial" w:hAnsi="Arial"/>
                <w:sz w:val="14"/>
                <w:szCs w:val="14"/>
                <w:color w:val="auto"/>
              </w:rPr>
              <w:t>(6)</w:t>
            </w:r>
          </w:p>
        </w:tc>
        <w:tc>
          <w:tcPr>
            <w:tcW w:w="940" w:type="dxa"/>
            <w:vAlign w:val="bottom"/>
            <w:tcBorders>
              <w:bottom w:val="single" w:sz="8" w:color="auto"/>
            </w:tcBorders>
            <w:gridSpan w:val="3"/>
          </w:tcPr>
          <w:p>
            <w:pPr>
              <w:jc w:val="right"/>
              <w:ind w:right="200"/>
              <w:spacing w:after="0" w:line="157" w:lineRule="exact"/>
              <w:rPr>
                <w:sz w:val="20"/>
                <w:szCs w:val="20"/>
                <w:color w:val="auto"/>
              </w:rPr>
            </w:pPr>
            <w:r>
              <w:rPr>
                <w:rFonts w:ascii="Arial" w:cs="Arial" w:eastAsia="Arial" w:hAnsi="Arial"/>
                <w:sz w:val="14"/>
                <w:szCs w:val="14"/>
                <w:color w:val="auto"/>
              </w:rPr>
              <w:t>(17)</w:t>
            </w:r>
          </w:p>
        </w:tc>
        <w:tc>
          <w:tcPr>
            <w:tcW w:w="680" w:type="dxa"/>
            <w:vAlign w:val="bottom"/>
            <w:tcBorders>
              <w:bottom w:val="single" w:sz="8" w:color="auto"/>
            </w:tcBorders>
          </w:tcPr>
          <w:p>
            <w:pPr>
              <w:jc w:val="right"/>
              <w:ind w:right="30"/>
              <w:spacing w:after="0" w:line="157" w:lineRule="exact"/>
              <w:rPr>
                <w:sz w:val="20"/>
                <w:szCs w:val="20"/>
                <w:color w:val="auto"/>
              </w:rPr>
            </w:pPr>
            <w:r>
              <w:rPr>
                <w:rFonts w:ascii="Arial" w:cs="Arial" w:eastAsia="Arial" w:hAnsi="Arial"/>
                <w:sz w:val="14"/>
                <w:szCs w:val="14"/>
                <w:color w:val="auto"/>
              </w:rPr>
              <w:t>(444)</w:t>
            </w:r>
          </w:p>
        </w:tc>
        <w:tc>
          <w:tcPr>
            <w:tcW w:w="760" w:type="dxa"/>
            <w:vAlign w:val="bottom"/>
            <w:tcBorders>
              <w:bottom w:val="single" w:sz="8" w:color="auto"/>
            </w:tcBorders>
          </w:tcPr>
          <w:p>
            <w:pPr>
              <w:jc w:val="right"/>
              <w:ind w:right="29"/>
              <w:spacing w:after="0" w:line="157" w:lineRule="exact"/>
              <w:rPr>
                <w:sz w:val="20"/>
                <w:szCs w:val="20"/>
                <w:color w:val="auto"/>
              </w:rPr>
            </w:pPr>
            <w:r>
              <w:rPr>
                <w:rFonts w:ascii="Arial" w:cs="Arial" w:eastAsia="Arial" w:hAnsi="Arial"/>
                <w:sz w:val="14"/>
                <w:szCs w:val="14"/>
                <w:color w:val="auto"/>
              </w:rPr>
              <w:t>(49)</w:t>
            </w:r>
          </w:p>
        </w:tc>
        <w:tc>
          <w:tcPr>
            <w:tcW w:w="660" w:type="dxa"/>
            <w:vAlign w:val="bottom"/>
            <w:tcBorders>
              <w:bottom w:val="single" w:sz="8" w:color="auto"/>
            </w:tcBorders>
          </w:tcPr>
          <w:p>
            <w:pPr>
              <w:jc w:val="right"/>
              <w:spacing w:after="0" w:line="157" w:lineRule="exact"/>
              <w:rPr>
                <w:sz w:val="20"/>
                <w:szCs w:val="20"/>
                <w:color w:val="auto"/>
              </w:rPr>
            </w:pPr>
            <w:r>
              <w:rPr>
                <w:rFonts w:ascii="Arial" w:cs="Arial" w:eastAsia="Arial" w:hAnsi="Arial"/>
                <w:sz w:val="14"/>
                <w:szCs w:val="14"/>
                <w:color w:val="auto"/>
              </w:rPr>
              <w:t>(6)</w:t>
            </w:r>
          </w:p>
        </w:tc>
        <w:tc>
          <w:tcPr>
            <w:tcW w:w="660" w:type="dxa"/>
            <w:vAlign w:val="bottom"/>
            <w:tcBorders>
              <w:bottom w:val="single" w:sz="8" w:color="auto"/>
            </w:tcBorders>
          </w:tcPr>
          <w:p>
            <w:pPr>
              <w:jc w:val="right"/>
              <w:spacing w:after="0" w:line="157" w:lineRule="exact"/>
              <w:rPr>
                <w:sz w:val="20"/>
                <w:szCs w:val="20"/>
                <w:color w:val="auto"/>
              </w:rPr>
            </w:pPr>
            <w:r>
              <w:rPr>
                <w:rFonts w:ascii="Arial" w:cs="Arial" w:eastAsia="Arial" w:hAnsi="Arial"/>
                <w:sz w:val="14"/>
                <w:szCs w:val="14"/>
                <w:color w:val="auto"/>
              </w:rPr>
              <w:t>(499)</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900" w:type="dxa"/>
            <w:vAlign w:val="bottom"/>
            <w:tcBorders>
              <w:bottom w:val="single" w:sz="8" w:color="auto"/>
            </w:tcBorders>
            <w:gridSpan w:val="2"/>
          </w:tcPr>
          <w:p>
            <w:pPr>
              <w:ind w:left="140"/>
              <w:spacing w:after="0" w:line="155" w:lineRule="exact"/>
              <w:rPr>
                <w:sz w:val="20"/>
                <w:szCs w:val="20"/>
                <w:color w:val="auto"/>
              </w:rPr>
            </w:pPr>
            <w:r>
              <w:rPr>
                <w:rFonts w:ascii="Arial" w:cs="Arial" w:eastAsia="Arial" w:hAnsi="Arial"/>
                <w:sz w:val="14"/>
                <w:szCs w:val="14"/>
                <w:color w:val="auto"/>
              </w:rPr>
              <w:t>At December 31</w:t>
            </w:r>
          </w:p>
        </w:tc>
        <w:tc>
          <w:tcPr>
            <w:tcW w:w="740" w:type="dxa"/>
            <w:vAlign w:val="bottom"/>
            <w:tcBorders>
              <w:bottom w:val="single" w:sz="8" w:color="auto"/>
            </w:tcBorders>
            <w:gridSpan w:val="2"/>
          </w:tcPr>
          <w:p>
            <w:pPr>
              <w:jc w:val="right"/>
              <w:ind w:right="220"/>
              <w:spacing w:after="0" w:line="155" w:lineRule="exact"/>
              <w:rPr>
                <w:sz w:val="20"/>
                <w:szCs w:val="20"/>
                <w:color w:val="auto"/>
              </w:rPr>
            </w:pPr>
            <w:r>
              <w:rPr>
                <w:rFonts w:ascii="Arial" w:cs="Arial" w:eastAsia="Arial" w:hAnsi="Arial"/>
                <w:sz w:val="14"/>
                <w:szCs w:val="14"/>
                <w:color w:val="auto"/>
              </w:rPr>
              <w:t>579</w:t>
            </w:r>
          </w:p>
        </w:tc>
        <w:tc>
          <w:tcPr>
            <w:tcW w:w="740" w:type="dxa"/>
            <w:vAlign w:val="bottom"/>
            <w:tcBorders>
              <w:bottom w:val="single" w:sz="8" w:color="auto"/>
            </w:tcBorders>
            <w:gridSpan w:val="2"/>
          </w:tcPr>
          <w:p>
            <w:pPr>
              <w:jc w:val="right"/>
              <w:ind w:right="220"/>
              <w:spacing w:after="0" w:line="155" w:lineRule="exact"/>
              <w:rPr>
                <w:sz w:val="20"/>
                <w:szCs w:val="20"/>
                <w:color w:val="auto"/>
              </w:rPr>
            </w:pPr>
            <w:r>
              <w:rPr>
                <w:rFonts w:ascii="Arial" w:cs="Arial" w:eastAsia="Arial" w:hAnsi="Arial"/>
                <w:sz w:val="14"/>
                <w:szCs w:val="14"/>
                <w:color w:val="auto"/>
              </w:rPr>
              <w:t>1,306</w:t>
            </w:r>
          </w:p>
        </w:tc>
        <w:tc>
          <w:tcPr>
            <w:tcW w:w="780" w:type="dxa"/>
            <w:vAlign w:val="bottom"/>
            <w:tcBorders>
              <w:bottom w:val="single" w:sz="8" w:color="auto"/>
            </w:tcBorders>
            <w:gridSpan w:val="2"/>
          </w:tcPr>
          <w:p>
            <w:pPr>
              <w:jc w:val="right"/>
              <w:ind w:right="220"/>
              <w:spacing w:after="0" w:line="155" w:lineRule="exact"/>
              <w:rPr>
                <w:sz w:val="20"/>
                <w:szCs w:val="20"/>
                <w:color w:val="auto"/>
              </w:rPr>
            </w:pPr>
            <w:r>
              <w:rPr>
                <w:rFonts w:ascii="Arial" w:cs="Arial" w:eastAsia="Arial" w:hAnsi="Arial"/>
                <w:sz w:val="14"/>
                <w:szCs w:val="14"/>
                <w:color w:val="auto"/>
              </w:rPr>
              <w:t>128</w:t>
            </w:r>
          </w:p>
        </w:tc>
        <w:tc>
          <w:tcPr>
            <w:tcW w:w="740" w:type="dxa"/>
            <w:vAlign w:val="bottom"/>
            <w:tcBorders>
              <w:bottom w:val="single" w:sz="8" w:color="auto"/>
            </w:tcBorders>
            <w:gridSpan w:val="2"/>
          </w:tcPr>
          <w:p>
            <w:pPr>
              <w:jc w:val="right"/>
              <w:ind w:right="220"/>
              <w:spacing w:after="0" w:line="155" w:lineRule="exact"/>
              <w:rPr>
                <w:sz w:val="20"/>
                <w:szCs w:val="20"/>
                <w:color w:val="auto"/>
              </w:rPr>
            </w:pPr>
            <w:r>
              <w:rPr>
                <w:rFonts w:ascii="Arial" w:cs="Arial" w:eastAsia="Arial" w:hAnsi="Arial"/>
                <w:sz w:val="14"/>
                <w:szCs w:val="14"/>
                <w:color w:val="auto"/>
              </w:rPr>
              <w:t>691</w:t>
            </w:r>
          </w:p>
        </w:tc>
        <w:tc>
          <w:tcPr>
            <w:tcW w:w="600" w:type="dxa"/>
            <w:vAlign w:val="bottom"/>
            <w:tcBorders>
              <w:bottom w:val="single" w:sz="8" w:color="auto"/>
            </w:tcBorders>
          </w:tcPr>
          <w:p>
            <w:pPr>
              <w:jc w:val="right"/>
              <w:ind w:right="49"/>
              <w:spacing w:after="0" w:line="155" w:lineRule="exact"/>
              <w:rPr>
                <w:sz w:val="20"/>
                <w:szCs w:val="20"/>
                <w:color w:val="auto"/>
              </w:rPr>
            </w:pPr>
            <w:r>
              <w:rPr>
                <w:rFonts w:ascii="Arial" w:cs="Arial" w:eastAsia="Arial" w:hAnsi="Arial"/>
                <w:sz w:val="14"/>
                <w:szCs w:val="14"/>
                <w:color w:val="auto"/>
              </w:rPr>
              <w:t>711</w:t>
            </w:r>
          </w:p>
        </w:tc>
        <w:tc>
          <w:tcPr>
            <w:tcW w:w="8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gridSpan w:val="2"/>
          </w:tcPr>
          <w:p>
            <w:pPr>
              <w:jc w:val="right"/>
              <w:ind w:right="69"/>
              <w:spacing w:after="0" w:line="155" w:lineRule="exact"/>
              <w:rPr>
                <w:sz w:val="20"/>
                <w:szCs w:val="20"/>
                <w:color w:val="auto"/>
              </w:rPr>
            </w:pPr>
            <w:r>
              <w:rPr>
                <w:rFonts w:ascii="Arial" w:cs="Arial" w:eastAsia="Arial" w:hAnsi="Arial"/>
                <w:sz w:val="14"/>
                <w:szCs w:val="14"/>
                <w:color w:val="auto"/>
              </w:rPr>
              <w:t>44</w:t>
            </w:r>
          </w:p>
        </w:tc>
        <w:tc>
          <w:tcPr>
            <w:tcW w:w="760" w:type="dxa"/>
            <w:vAlign w:val="bottom"/>
            <w:tcBorders>
              <w:bottom w:val="single" w:sz="8" w:color="auto"/>
            </w:tcBorders>
          </w:tcPr>
          <w:p>
            <w:pPr>
              <w:jc w:val="right"/>
              <w:ind w:right="69"/>
              <w:spacing w:after="0" w:line="155" w:lineRule="exact"/>
              <w:rPr>
                <w:sz w:val="20"/>
                <w:szCs w:val="20"/>
                <w:color w:val="auto"/>
              </w:rPr>
            </w:pPr>
            <w:r>
              <w:rPr>
                <w:rFonts w:ascii="Arial" w:cs="Arial" w:eastAsia="Arial" w:hAnsi="Arial"/>
                <w:sz w:val="14"/>
                <w:szCs w:val="14"/>
                <w:color w:val="auto"/>
              </w:rPr>
              <w:t>1,763</w:t>
            </w:r>
          </w:p>
        </w:tc>
        <w:tc>
          <w:tcPr>
            <w:tcW w:w="660" w:type="dxa"/>
            <w:vAlign w:val="bottom"/>
            <w:tcBorders>
              <w:bottom w:val="single" w:sz="8" w:color="auto"/>
            </w:tcBorders>
          </w:tcPr>
          <w:p>
            <w:pPr>
              <w:jc w:val="right"/>
              <w:ind w:right="29"/>
              <w:spacing w:after="0" w:line="155" w:lineRule="exact"/>
              <w:rPr>
                <w:sz w:val="20"/>
                <w:szCs w:val="20"/>
                <w:color w:val="auto"/>
              </w:rPr>
            </w:pPr>
            <w:r>
              <w:rPr>
                <w:rFonts w:ascii="Arial" w:cs="Arial" w:eastAsia="Arial" w:hAnsi="Arial"/>
                <w:sz w:val="14"/>
                <w:szCs w:val="14"/>
                <w:color w:val="auto"/>
              </w:rPr>
              <w:t>428</w:t>
            </w:r>
          </w:p>
        </w:tc>
        <w:tc>
          <w:tcPr>
            <w:tcW w:w="940" w:type="dxa"/>
            <w:vAlign w:val="bottom"/>
            <w:tcBorders>
              <w:bottom w:val="single" w:sz="8" w:color="auto"/>
            </w:tcBorders>
            <w:gridSpan w:val="3"/>
          </w:tcPr>
          <w:p>
            <w:pPr>
              <w:jc w:val="right"/>
              <w:ind w:right="240"/>
              <w:spacing w:after="0" w:line="155" w:lineRule="exact"/>
              <w:rPr>
                <w:sz w:val="20"/>
                <w:szCs w:val="20"/>
                <w:color w:val="auto"/>
              </w:rPr>
            </w:pPr>
            <w:r>
              <w:rPr>
                <w:rFonts w:ascii="Arial" w:cs="Arial" w:eastAsia="Arial" w:hAnsi="Arial"/>
                <w:sz w:val="14"/>
                <w:szCs w:val="14"/>
                <w:color w:val="auto"/>
              </w:rPr>
              <w:t>63</w:t>
            </w:r>
          </w:p>
        </w:tc>
        <w:tc>
          <w:tcPr>
            <w:tcW w:w="680" w:type="dxa"/>
            <w:vAlign w:val="bottom"/>
            <w:tcBorders>
              <w:bottom w:val="single" w:sz="8" w:color="auto"/>
            </w:tcBorders>
          </w:tcPr>
          <w:p>
            <w:pPr>
              <w:jc w:val="right"/>
              <w:ind w:right="70"/>
              <w:spacing w:after="0" w:line="155" w:lineRule="exact"/>
              <w:rPr>
                <w:sz w:val="20"/>
                <w:szCs w:val="20"/>
                <w:color w:val="auto"/>
              </w:rPr>
            </w:pPr>
            <w:r>
              <w:rPr>
                <w:rFonts w:ascii="Arial" w:cs="Arial" w:eastAsia="Arial" w:hAnsi="Arial"/>
                <w:sz w:val="14"/>
                <w:szCs w:val="14"/>
                <w:color w:val="auto"/>
              </w:rPr>
              <w:t>3,522</w:t>
            </w:r>
          </w:p>
        </w:tc>
        <w:tc>
          <w:tcPr>
            <w:tcW w:w="760" w:type="dxa"/>
            <w:vAlign w:val="bottom"/>
            <w:tcBorders>
              <w:bottom w:val="single" w:sz="8" w:color="auto"/>
            </w:tcBorders>
          </w:tcPr>
          <w:p>
            <w:pPr>
              <w:jc w:val="right"/>
              <w:ind w:right="89"/>
              <w:spacing w:after="0" w:line="155" w:lineRule="exact"/>
              <w:rPr>
                <w:sz w:val="20"/>
                <w:szCs w:val="20"/>
                <w:color w:val="auto"/>
              </w:rPr>
            </w:pPr>
            <w:r>
              <w:rPr>
                <w:rFonts w:ascii="Arial" w:cs="Arial" w:eastAsia="Arial" w:hAnsi="Arial"/>
                <w:sz w:val="14"/>
                <w:szCs w:val="14"/>
                <w:color w:val="auto"/>
              </w:rPr>
              <w:t>1,763</w:t>
            </w:r>
          </w:p>
        </w:tc>
        <w:tc>
          <w:tcPr>
            <w:tcW w:w="660" w:type="dxa"/>
            <w:vAlign w:val="bottom"/>
            <w:tcBorders>
              <w:bottom w:val="single" w:sz="8" w:color="auto"/>
            </w:tcBorders>
          </w:tcPr>
          <w:p>
            <w:pPr>
              <w:jc w:val="right"/>
              <w:ind w:right="28"/>
              <w:spacing w:after="0" w:line="155" w:lineRule="exact"/>
              <w:rPr>
                <w:sz w:val="20"/>
                <w:szCs w:val="20"/>
                <w:color w:val="auto"/>
              </w:rPr>
            </w:pPr>
            <w:r>
              <w:rPr>
                <w:rFonts w:ascii="Arial" w:cs="Arial" w:eastAsia="Arial" w:hAnsi="Arial"/>
                <w:sz w:val="14"/>
                <w:szCs w:val="14"/>
                <w:color w:val="auto"/>
              </w:rPr>
              <w:t>428</w:t>
            </w:r>
          </w:p>
        </w:tc>
        <w:tc>
          <w:tcPr>
            <w:tcW w:w="660" w:type="dxa"/>
            <w:vAlign w:val="bottom"/>
            <w:tcBorders>
              <w:bottom w:val="single" w:sz="8" w:color="auto"/>
            </w:tcBorders>
          </w:tcPr>
          <w:p>
            <w:pPr>
              <w:jc w:val="right"/>
              <w:ind w:right="29"/>
              <w:spacing w:after="0" w:line="155" w:lineRule="exact"/>
              <w:rPr>
                <w:sz w:val="20"/>
                <w:szCs w:val="20"/>
                <w:color w:val="auto"/>
              </w:rPr>
            </w:pPr>
            <w:r>
              <w:rPr>
                <w:rFonts w:ascii="Arial" w:cs="Arial" w:eastAsia="Arial" w:hAnsi="Arial"/>
                <w:sz w:val="14"/>
                <w:szCs w:val="14"/>
                <w:color w:val="auto"/>
              </w:rPr>
              <w:t>5,713</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1900" w:type="dxa"/>
            <w:vAlign w:val="bottom"/>
            <w:gridSpan w:val="2"/>
          </w:tcPr>
          <w:p>
            <w:pPr>
              <w:spacing w:after="0"/>
              <w:rPr>
                <w:sz w:val="20"/>
                <w:szCs w:val="20"/>
                <w:color w:val="auto"/>
              </w:rPr>
            </w:pPr>
            <w:r>
              <w:rPr>
                <w:rFonts w:ascii="Arial" w:cs="Arial" w:eastAsia="Arial" w:hAnsi="Arial"/>
                <w:sz w:val="14"/>
                <w:szCs w:val="14"/>
                <w:color w:val="auto"/>
              </w:rPr>
              <w:t>Shell share of joint ventures</w:t>
            </w:r>
          </w:p>
        </w:tc>
        <w:tc>
          <w:tcPr>
            <w:tcW w:w="5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1900" w:type="dxa"/>
            <w:vAlign w:val="bottom"/>
            <w:gridSpan w:val="2"/>
          </w:tcPr>
          <w:p>
            <w:pPr>
              <w:spacing w:after="0"/>
              <w:rPr>
                <w:sz w:val="20"/>
                <w:szCs w:val="20"/>
                <w:color w:val="auto"/>
              </w:rPr>
            </w:pPr>
            <w:r>
              <w:rPr>
                <w:rFonts w:ascii="Arial" w:cs="Arial" w:eastAsia="Arial" w:hAnsi="Arial"/>
                <w:sz w:val="14"/>
                <w:szCs w:val="14"/>
                <w:color w:val="auto"/>
              </w:rPr>
              <w:t>and associates</w:t>
            </w:r>
          </w:p>
        </w:tc>
        <w:tc>
          <w:tcPr>
            <w:tcW w:w="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900" w:type="dxa"/>
            <w:vAlign w:val="bottom"/>
            <w:gridSpan w:val="2"/>
          </w:tcPr>
          <w:p>
            <w:pPr>
              <w:ind w:left="140"/>
              <w:spacing w:after="0"/>
              <w:rPr>
                <w:sz w:val="20"/>
                <w:szCs w:val="20"/>
                <w:color w:val="auto"/>
              </w:rPr>
            </w:pPr>
            <w:r>
              <w:rPr>
                <w:rFonts w:ascii="Arial" w:cs="Arial" w:eastAsia="Arial" w:hAnsi="Arial"/>
                <w:sz w:val="14"/>
                <w:szCs w:val="14"/>
                <w:color w:val="auto"/>
              </w:rPr>
              <w:t>At January 1</w:t>
            </w:r>
          </w:p>
        </w:tc>
        <w:tc>
          <w:tcPr>
            <w:tcW w:w="740" w:type="dxa"/>
            <w:vAlign w:val="bottom"/>
            <w:gridSpan w:val="2"/>
          </w:tcPr>
          <w:p>
            <w:pPr>
              <w:jc w:val="right"/>
              <w:ind w:right="220"/>
              <w:spacing w:after="0"/>
              <w:rPr>
                <w:sz w:val="20"/>
                <w:szCs w:val="20"/>
                <w:color w:val="auto"/>
              </w:rPr>
            </w:pPr>
            <w:r>
              <w:rPr>
                <w:rFonts w:ascii="Arial" w:cs="Arial" w:eastAsia="Arial" w:hAnsi="Arial"/>
                <w:sz w:val="14"/>
                <w:szCs w:val="14"/>
                <w:color w:val="auto"/>
              </w:rPr>
              <w:t>29</w:t>
            </w:r>
          </w:p>
        </w:tc>
        <w:tc>
          <w:tcPr>
            <w:tcW w:w="740" w:type="dxa"/>
            <w:vAlign w:val="bottom"/>
            <w:gridSpan w:val="2"/>
          </w:tcPr>
          <w:p>
            <w:pPr>
              <w:jc w:val="right"/>
              <w:ind w:right="220"/>
              <w:spacing w:after="0"/>
              <w:rPr>
                <w:sz w:val="20"/>
                <w:szCs w:val="20"/>
                <w:color w:val="auto"/>
              </w:rPr>
            </w:pPr>
            <w:r>
              <w:rPr>
                <w:rFonts w:ascii="Arial" w:cs="Arial" w:eastAsia="Arial" w:hAnsi="Arial"/>
                <w:sz w:val="14"/>
                <w:szCs w:val="14"/>
                <w:color w:val="auto"/>
              </w:rPr>
              <w:t>381</w:t>
            </w:r>
          </w:p>
        </w:tc>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24</w:t>
            </w:r>
          </w:p>
        </w:tc>
        <w:tc>
          <w:tcPr>
            <w:tcW w:w="7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680" w:type="dxa"/>
            <w:vAlign w:val="bottom"/>
          </w:tcPr>
          <w:p>
            <w:pPr>
              <w:jc w:val="right"/>
              <w:ind w:right="69"/>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69"/>
              <w:spacing w:after="0"/>
              <w:rPr>
                <w:sz w:val="20"/>
                <w:szCs w:val="20"/>
                <w:color w:val="auto"/>
              </w:rPr>
            </w:pPr>
            <w:r>
              <w:rPr>
                <w:rFonts w:ascii="Arial" w:cs="Arial" w:eastAsia="Arial" w:hAnsi="Arial"/>
                <w:sz w:val="14"/>
                <w:szCs w:val="14"/>
                <w:color w:val="auto"/>
              </w:rPr>
              <w:t>–</w:t>
            </w:r>
          </w:p>
        </w:tc>
        <w:tc>
          <w:tcPr>
            <w:tcW w:w="66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940" w:type="dxa"/>
            <w:vAlign w:val="bottom"/>
            <w:gridSpan w:val="3"/>
          </w:tcPr>
          <w:p>
            <w:pPr>
              <w:jc w:val="right"/>
              <w:ind w:right="240"/>
              <w:spacing w:after="0"/>
              <w:rPr>
                <w:sz w:val="20"/>
                <w:szCs w:val="20"/>
                <w:color w:val="auto"/>
              </w:rPr>
            </w:pPr>
            <w:r>
              <w:rPr>
                <w:rFonts w:ascii="Arial" w:cs="Arial" w:eastAsia="Arial" w:hAnsi="Arial"/>
                <w:sz w:val="14"/>
                <w:szCs w:val="14"/>
                <w:color w:val="auto"/>
              </w:rPr>
              <w:t>17</w:t>
            </w:r>
          </w:p>
        </w:tc>
        <w:tc>
          <w:tcPr>
            <w:tcW w:w="680" w:type="dxa"/>
            <w:vAlign w:val="bottom"/>
          </w:tcPr>
          <w:p>
            <w:pPr>
              <w:jc w:val="right"/>
              <w:ind w:right="70"/>
              <w:spacing w:after="0"/>
              <w:rPr>
                <w:sz w:val="20"/>
                <w:szCs w:val="20"/>
                <w:color w:val="auto"/>
              </w:rPr>
            </w:pPr>
            <w:r>
              <w:rPr>
                <w:rFonts w:ascii="Arial" w:cs="Arial" w:eastAsia="Arial" w:hAnsi="Arial"/>
                <w:sz w:val="14"/>
                <w:szCs w:val="14"/>
                <w:color w:val="auto"/>
              </w:rPr>
              <w:t>451</w:t>
            </w:r>
          </w:p>
        </w:tc>
        <w:tc>
          <w:tcPr>
            <w:tcW w:w="760" w:type="dxa"/>
            <w:vAlign w:val="bottom"/>
          </w:tcPr>
          <w:p>
            <w:pPr>
              <w:jc w:val="right"/>
              <w:ind w:right="89"/>
              <w:spacing w:after="0"/>
              <w:rPr>
                <w:sz w:val="20"/>
                <w:szCs w:val="20"/>
                <w:color w:val="auto"/>
              </w:rPr>
            </w:pPr>
            <w:r>
              <w:rPr>
                <w:rFonts w:ascii="Arial" w:cs="Arial" w:eastAsia="Arial" w:hAnsi="Arial"/>
                <w:sz w:val="14"/>
                <w:szCs w:val="14"/>
                <w:color w:val="auto"/>
              </w:rPr>
              <w:t>–</w:t>
            </w:r>
          </w:p>
        </w:tc>
        <w:tc>
          <w:tcPr>
            <w:tcW w:w="6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660" w:type="dxa"/>
            <w:vAlign w:val="bottom"/>
          </w:tcPr>
          <w:p>
            <w:pPr>
              <w:jc w:val="right"/>
              <w:ind w:right="29"/>
              <w:spacing w:after="0"/>
              <w:rPr>
                <w:sz w:val="20"/>
                <w:szCs w:val="20"/>
                <w:color w:val="auto"/>
              </w:rPr>
            </w:pPr>
            <w:r>
              <w:rPr>
                <w:rFonts w:ascii="Arial" w:cs="Arial" w:eastAsia="Arial" w:hAnsi="Arial"/>
                <w:sz w:val="14"/>
                <w:szCs w:val="14"/>
                <w:color w:val="auto"/>
              </w:rPr>
              <w:t>451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900" w:type="dxa"/>
            <w:vAlign w:val="bottom"/>
            <w:gridSpan w:val="2"/>
          </w:tcPr>
          <w:p>
            <w:pPr>
              <w:ind w:left="140"/>
              <w:spacing w:after="0"/>
              <w:rPr>
                <w:sz w:val="20"/>
                <w:szCs w:val="20"/>
                <w:color w:val="auto"/>
              </w:rPr>
            </w:pPr>
            <w:r>
              <w:rPr>
                <w:rFonts w:ascii="Arial" w:cs="Arial" w:eastAsia="Arial" w:hAnsi="Arial"/>
                <w:sz w:val="14"/>
                <w:szCs w:val="14"/>
                <w:color w:val="auto"/>
              </w:rPr>
              <w:t>Revisions and</w:t>
            </w:r>
          </w:p>
        </w:tc>
        <w:tc>
          <w:tcPr>
            <w:tcW w:w="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900" w:type="dxa"/>
            <w:vAlign w:val="bottom"/>
            <w:gridSpan w:val="2"/>
          </w:tcPr>
          <w:p>
            <w:pPr>
              <w:ind w:left="140"/>
              <w:spacing w:after="0"/>
              <w:rPr>
                <w:sz w:val="20"/>
                <w:szCs w:val="20"/>
                <w:color w:val="auto"/>
              </w:rPr>
            </w:pPr>
            <w:r>
              <w:rPr>
                <w:rFonts w:ascii="Arial" w:cs="Arial" w:eastAsia="Arial" w:hAnsi="Arial"/>
                <w:sz w:val="14"/>
                <w:szCs w:val="14"/>
                <w:color w:val="auto"/>
              </w:rPr>
              <w:t>reclassifications</w:t>
            </w:r>
          </w:p>
        </w:tc>
        <w:tc>
          <w:tcPr>
            <w:tcW w:w="740" w:type="dxa"/>
            <w:vAlign w:val="bottom"/>
            <w:gridSpan w:val="2"/>
          </w:tcPr>
          <w:p>
            <w:pPr>
              <w:jc w:val="right"/>
              <w:ind w:right="220"/>
              <w:spacing w:after="0"/>
              <w:rPr>
                <w:sz w:val="20"/>
                <w:szCs w:val="20"/>
                <w:color w:val="auto"/>
              </w:rPr>
            </w:pPr>
            <w:r>
              <w:rPr>
                <w:rFonts w:ascii="Arial" w:cs="Arial" w:eastAsia="Arial" w:hAnsi="Arial"/>
                <w:sz w:val="14"/>
                <w:szCs w:val="14"/>
                <w:color w:val="auto"/>
              </w:rPr>
              <w:t>2</w:t>
            </w:r>
          </w:p>
        </w:tc>
        <w:tc>
          <w:tcPr>
            <w:tcW w:w="740" w:type="dxa"/>
            <w:vAlign w:val="bottom"/>
            <w:gridSpan w:val="2"/>
          </w:tcPr>
          <w:p>
            <w:pPr>
              <w:jc w:val="right"/>
              <w:ind w:right="220"/>
              <w:spacing w:after="0"/>
              <w:rPr>
                <w:sz w:val="20"/>
                <w:szCs w:val="20"/>
                <w:color w:val="auto"/>
              </w:rPr>
            </w:pPr>
            <w:r>
              <w:rPr>
                <w:rFonts w:ascii="Arial" w:cs="Arial" w:eastAsia="Arial" w:hAnsi="Arial"/>
                <w:sz w:val="14"/>
                <w:szCs w:val="14"/>
                <w:color w:val="auto"/>
              </w:rPr>
              <w:t>33</w:t>
            </w:r>
          </w:p>
        </w:tc>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680" w:type="dxa"/>
            <w:vAlign w:val="bottom"/>
          </w:tcPr>
          <w:p>
            <w:pPr>
              <w:jc w:val="right"/>
              <w:ind w:right="69"/>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69"/>
              <w:spacing w:after="0"/>
              <w:rPr>
                <w:sz w:val="20"/>
                <w:szCs w:val="20"/>
                <w:color w:val="auto"/>
              </w:rPr>
            </w:pPr>
            <w:r>
              <w:rPr>
                <w:rFonts w:ascii="Arial" w:cs="Arial" w:eastAsia="Arial" w:hAnsi="Arial"/>
                <w:sz w:val="14"/>
                <w:szCs w:val="14"/>
                <w:color w:val="auto"/>
              </w:rPr>
              <w:t>–</w:t>
            </w:r>
          </w:p>
        </w:tc>
        <w:tc>
          <w:tcPr>
            <w:tcW w:w="66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940" w:type="dxa"/>
            <w:vAlign w:val="bottom"/>
            <w:gridSpan w:val="3"/>
          </w:tcPr>
          <w:p>
            <w:pPr>
              <w:jc w:val="right"/>
              <w:ind w:right="200"/>
              <w:spacing w:after="0"/>
              <w:rPr>
                <w:sz w:val="20"/>
                <w:szCs w:val="20"/>
                <w:color w:val="auto"/>
              </w:rPr>
            </w:pPr>
            <w:r>
              <w:rPr>
                <w:rFonts w:ascii="Arial" w:cs="Arial" w:eastAsia="Arial" w:hAnsi="Arial"/>
                <w:sz w:val="14"/>
                <w:szCs w:val="14"/>
                <w:color w:val="auto"/>
              </w:rPr>
              <w:t>(17)</w:t>
            </w:r>
          </w:p>
        </w:tc>
        <w:tc>
          <w:tcPr>
            <w:tcW w:w="680" w:type="dxa"/>
            <w:vAlign w:val="bottom"/>
          </w:tcPr>
          <w:p>
            <w:pPr>
              <w:jc w:val="right"/>
              <w:ind w:right="70"/>
              <w:spacing w:after="0"/>
              <w:rPr>
                <w:sz w:val="20"/>
                <w:szCs w:val="20"/>
                <w:color w:val="auto"/>
              </w:rPr>
            </w:pPr>
            <w:r>
              <w:rPr>
                <w:rFonts w:ascii="Arial" w:cs="Arial" w:eastAsia="Arial" w:hAnsi="Arial"/>
                <w:sz w:val="14"/>
                <w:szCs w:val="14"/>
                <w:color w:val="auto"/>
              </w:rPr>
              <w:t>18</w:t>
            </w:r>
          </w:p>
        </w:tc>
        <w:tc>
          <w:tcPr>
            <w:tcW w:w="760" w:type="dxa"/>
            <w:vAlign w:val="bottom"/>
          </w:tcPr>
          <w:p>
            <w:pPr>
              <w:jc w:val="right"/>
              <w:ind w:right="89"/>
              <w:spacing w:after="0"/>
              <w:rPr>
                <w:sz w:val="20"/>
                <w:szCs w:val="20"/>
                <w:color w:val="auto"/>
              </w:rPr>
            </w:pPr>
            <w:r>
              <w:rPr>
                <w:rFonts w:ascii="Arial" w:cs="Arial" w:eastAsia="Arial" w:hAnsi="Arial"/>
                <w:sz w:val="14"/>
                <w:szCs w:val="14"/>
                <w:color w:val="auto"/>
              </w:rPr>
              <w:t>–</w:t>
            </w:r>
          </w:p>
        </w:tc>
        <w:tc>
          <w:tcPr>
            <w:tcW w:w="6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660" w:type="dxa"/>
            <w:vAlign w:val="bottom"/>
          </w:tcPr>
          <w:p>
            <w:pPr>
              <w:jc w:val="right"/>
              <w:ind w:right="29"/>
              <w:spacing w:after="0"/>
              <w:rPr>
                <w:sz w:val="20"/>
                <w:szCs w:val="20"/>
                <w:color w:val="auto"/>
              </w:rPr>
            </w:pPr>
            <w:r>
              <w:rPr>
                <w:rFonts w:ascii="Arial" w:cs="Arial" w:eastAsia="Arial" w:hAnsi="Arial"/>
                <w:sz w:val="14"/>
                <w:szCs w:val="14"/>
                <w:color w:val="auto"/>
              </w:rPr>
              <w:t>18</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900" w:type="dxa"/>
            <w:vAlign w:val="bottom"/>
            <w:gridSpan w:val="2"/>
          </w:tcPr>
          <w:p>
            <w:pPr>
              <w:ind w:left="140"/>
              <w:spacing w:after="0"/>
              <w:rPr>
                <w:sz w:val="20"/>
                <w:szCs w:val="20"/>
                <w:color w:val="auto"/>
              </w:rPr>
            </w:pPr>
            <w:r>
              <w:rPr>
                <w:rFonts w:ascii="Arial" w:cs="Arial" w:eastAsia="Arial" w:hAnsi="Arial"/>
                <w:sz w:val="14"/>
                <w:szCs w:val="14"/>
                <w:color w:val="auto"/>
              </w:rPr>
              <w:t>Improved recovery</w:t>
            </w:r>
          </w:p>
        </w:tc>
        <w:tc>
          <w:tcPr>
            <w:tcW w:w="7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680" w:type="dxa"/>
            <w:vAlign w:val="bottom"/>
          </w:tcPr>
          <w:p>
            <w:pPr>
              <w:jc w:val="right"/>
              <w:ind w:right="69"/>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69"/>
              <w:spacing w:after="0"/>
              <w:rPr>
                <w:sz w:val="20"/>
                <w:szCs w:val="20"/>
                <w:color w:val="auto"/>
              </w:rPr>
            </w:pPr>
            <w:r>
              <w:rPr>
                <w:rFonts w:ascii="Arial" w:cs="Arial" w:eastAsia="Arial" w:hAnsi="Arial"/>
                <w:sz w:val="14"/>
                <w:szCs w:val="14"/>
                <w:color w:val="auto"/>
              </w:rPr>
              <w:t>–</w:t>
            </w:r>
          </w:p>
        </w:tc>
        <w:tc>
          <w:tcPr>
            <w:tcW w:w="66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70"/>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89"/>
              <w:spacing w:after="0"/>
              <w:rPr>
                <w:sz w:val="20"/>
                <w:szCs w:val="20"/>
                <w:color w:val="auto"/>
              </w:rPr>
            </w:pPr>
            <w:r>
              <w:rPr>
                <w:rFonts w:ascii="Arial" w:cs="Arial" w:eastAsia="Arial" w:hAnsi="Arial"/>
                <w:sz w:val="14"/>
                <w:szCs w:val="14"/>
                <w:color w:val="auto"/>
              </w:rPr>
              <w:t>–</w:t>
            </w:r>
          </w:p>
        </w:tc>
        <w:tc>
          <w:tcPr>
            <w:tcW w:w="6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1900" w:type="dxa"/>
            <w:vAlign w:val="bottom"/>
            <w:gridSpan w:val="2"/>
          </w:tcPr>
          <w:p>
            <w:pPr>
              <w:ind w:left="140"/>
              <w:spacing w:after="0"/>
              <w:rPr>
                <w:sz w:val="20"/>
                <w:szCs w:val="20"/>
                <w:color w:val="auto"/>
              </w:rPr>
            </w:pPr>
            <w:r>
              <w:rPr>
                <w:rFonts w:ascii="Arial" w:cs="Arial" w:eastAsia="Arial" w:hAnsi="Arial"/>
                <w:sz w:val="14"/>
                <w:szCs w:val="14"/>
                <w:color w:val="auto"/>
              </w:rPr>
              <w:t>Extensions and discoveries</w:t>
            </w:r>
          </w:p>
        </w:tc>
        <w:tc>
          <w:tcPr>
            <w:tcW w:w="7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220"/>
              <w:spacing w:after="0"/>
              <w:rPr>
                <w:sz w:val="20"/>
                <w:szCs w:val="20"/>
                <w:color w:val="auto"/>
              </w:rPr>
            </w:pPr>
            <w:r>
              <w:rPr>
                <w:rFonts w:ascii="Arial" w:cs="Arial" w:eastAsia="Arial" w:hAnsi="Arial"/>
                <w:sz w:val="14"/>
                <w:szCs w:val="14"/>
                <w:color w:val="auto"/>
              </w:rPr>
              <w:t>1</w:t>
            </w:r>
          </w:p>
        </w:tc>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680" w:type="dxa"/>
            <w:vAlign w:val="bottom"/>
          </w:tcPr>
          <w:p>
            <w:pPr>
              <w:jc w:val="right"/>
              <w:ind w:right="69"/>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69"/>
              <w:spacing w:after="0"/>
              <w:rPr>
                <w:sz w:val="20"/>
                <w:szCs w:val="20"/>
                <w:color w:val="auto"/>
              </w:rPr>
            </w:pPr>
            <w:r>
              <w:rPr>
                <w:rFonts w:ascii="Arial" w:cs="Arial" w:eastAsia="Arial" w:hAnsi="Arial"/>
                <w:sz w:val="14"/>
                <w:szCs w:val="14"/>
                <w:color w:val="auto"/>
              </w:rPr>
              <w:t>–</w:t>
            </w:r>
          </w:p>
        </w:tc>
        <w:tc>
          <w:tcPr>
            <w:tcW w:w="66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70"/>
              <w:spacing w:after="0"/>
              <w:rPr>
                <w:sz w:val="20"/>
                <w:szCs w:val="20"/>
                <w:color w:val="auto"/>
              </w:rPr>
            </w:pPr>
            <w:r>
              <w:rPr>
                <w:rFonts w:ascii="Arial" w:cs="Arial" w:eastAsia="Arial" w:hAnsi="Arial"/>
                <w:sz w:val="14"/>
                <w:szCs w:val="14"/>
                <w:color w:val="auto"/>
              </w:rPr>
              <w:t>1</w:t>
            </w:r>
          </w:p>
        </w:tc>
        <w:tc>
          <w:tcPr>
            <w:tcW w:w="760" w:type="dxa"/>
            <w:vAlign w:val="bottom"/>
          </w:tcPr>
          <w:p>
            <w:pPr>
              <w:jc w:val="right"/>
              <w:ind w:right="89"/>
              <w:spacing w:after="0"/>
              <w:rPr>
                <w:sz w:val="20"/>
                <w:szCs w:val="20"/>
                <w:color w:val="auto"/>
              </w:rPr>
            </w:pPr>
            <w:r>
              <w:rPr>
                <w:rFonts w:ascii="Arial" w:cs="Arial" w:eastAsia="Arial" w:hAnsi="Arial"/>
                <w:sz w:val="14"/>
                <w:szCs w:val="14"/>
                <w:color w:val="auto"/>
              </w:rPr>
              <w:t>–</w:t>
            </w:r>
          </w:p>
        </w:tc>
        <w:tc>
          <w:tcPr>
            <w:tcW w:w="6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660" w:type="dxa"/>
            <w:vAlign w:val="bottom"/>
          </w:tcPr>
          <w:p>
            <w:pPr>
              <w:jc w:val="right"/>
              <w:ind w:right="29"/>
              <w:spacing w:after="0"/>
              <w:rPr>
                <w:sz w:val="20"/>
                <w:szCs w:val="20"/>
                <w:color w:val="auto"/>
              </w:rPr>
            </w:pPr>
            <w:r>
              <w:rPr>
                <w:rFonts w:ascii="Arial" w:cs="Arial" w:eastAsia="Arial" w:hAnsi="Arial"/>
                <w:sz w:val="14"/>
                <w:szCs w:val="14"/>
                <w:color w:val="auto"/>
              </w:rPr>
              <w:t>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900" w:type="dxa"/>
            <w:vAlign w:val="bottom"/>
            <w:gridSpan w:val="2"/>
          </w:tcPr>
          <w:p>
            <w:pPr>
              <w:ind w:left="140"/>
              <w:spacing w:after="0"/>
              <w:rPr>
                <w:sz w:val="20"/>
                <w:szCs w:val="20"/>
                <w:color w:val="auto"/>
              </w:rPr>
            </w:pPr>
            <w:r>
              <w:rPr>
                <w:rFonts w:ascii="Arial" w:cs="Arial" w:eastAsia="Arial" w:hAnsi="Arial"/>
                <w:sz w:val="14"/>
                <w:szCs w:val="14"/>
                <w:color w:val="auto"/>
              </w:rPr>
              <w:t>Purchases of minerals in</w:t>
            </w:r>
          </w:p>
        </w:tc>
        <w:tc>
          <w:tcPr>
            <w:tcW w:w="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900" w:type="dxa"/>
            <w:vAlign w:val="bottom"/>
            <w:gridSpan w:val="2"/>
          </w:tcPr>
          <w:p>
            <w:pPr>
              <w:ind w:left="140"/>
              <w:spacing w:after="0"/>
              <w:rPr>
                <w:sz w:val="20"/>
                <w:szCs w:val="20"/>
                <w:color w:val="auto"/>
              </w:rPr>
            </w:pPr>
            <w:r>
              <w:rPr>
                <w:rFonts w:ascii="Arial" w:cs="Arial" w:eastAsia="Arial" w:hAnsi="Arial"/>
                <w:sz w:val="14"/>
                <w:szCs w:val="14"/>
                <w:color w:val="auto"/>
              </w:rPr>
              <w:t>place</w:t>
            </w:r>
          </w:p>
        </w:tc>
        <w:tc>
          <w:tcPr>
            <w:tcW w:w="7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680" w:type="dxa"/>
            <w:vAlign w:val="bottom"/>
          </w:tcPr>
          <w:p>
            <w:pPr>
              <w:jc w:val="right"/>
              <w:ind w:right="69"/>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69"/>
              <w:spacing w:after="0"/>
              <w:rPr>
                <w:sz w:val="20"/>
                <w:szCs w:val="20"/>
                <w:color w:val="auto"/>
              </w:rPr>
            </w:pPr>
            <w:r>
              <w:rPr>
                <w:rFonts w:ascii="Arial" w:cs="Arial" w:eastAsia="Arial" w:hAnsi="Arial"/>
                <w:sz w:val="14"/>
                <w:szCs w:val="14"/>
                <w:color w:val="auto"/>
              </w:rPr>
              <w:t>–</w:t>
            </w:r>
          </w:p>
        </w:tc>
        <w:tc>
          <w:tcPr>
            <w:tcW w:w="66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70"/>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89"/>
              <w:spacing w:after="0"/>
              <w:rPr>
                <w:sz w:val="20"/>
                <w:szCs w:val="20"/>
                <w:color w:val="auto"/>
              </w:rPr>
            </w:pPr>
            <w:r>
              <w:rPr>
                <w:rFonts w:ascii="Arial" w:cs="Arial" w:eastAsia="Arial" w:hAnsi="Arial"/>
                <w:sz w:val="14"/>
                <w:szCs w:val="14"/>
                <w:color w:val="auto"/>
              </w:rPr>
              <w:t>–</w:t>
            </w:r>
          </w:p>
        </w:tc>
        <w:tc>
          <w:tcPr>
            <w:tcW w:w="6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1900" w:type="dxa"/>
            <w:vAlign w:val="bottom"/>
            <w:gridSpan w:val="2"/>
          </w:tcPr>
          <w:p>
            <w:pPr>
              <w:ind w:left="140"/>
              <w:spacing w:after="0"/>
              <w:rPr>
                <w:sz w:val="20"/>
                <w:szCs w:val="20"/>
                <w:color w:val="auto"/>
              </w:rPr>
            </w:pPr>
            <w:r>
              <w:rPr>
                <w:rFonts w:ascii="Arial" w:cs="Arial" w:eastAsia="Arial" w:hAnsi="Arial"/>
                <w:sz w:val="14"/>
                <w:szCs w:val="14"/>
                <w:color w:val="auto"/>
              </w:rPr>
              <w:t>Sales of minerals in place</w:t>
            </w:r>
          </w:p>
        </w:tc>
        <w:tc>
          <w:tcPr>
            <w:tcW w:w="7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180"/>
              <w:spacing w:after="0"/>
              <w:rPr>
                <w:sz w:val="20"/>
                <w:szCs w:val="20"/>
                <w:color w:val="auto"/>
              </w:rPr>
            </w:pPr>
            <w:r>
              <w:rPr>
                <w:rFonts w:ascii="Arial" w:cs="Arial" w:eastAsia="Arial" w:hAnsi="Arial"/>
                <w:sz w:val="14"/>
                <w:szCs w:val="14"/>
                <w:color w:val="auto"/>
              </w:rPr>
              <w:t>(8)</w:t>
            </w:r>
          </w:p>
        </w:tc>
        <w:tc>
          <w:tcPr>
            <w:tcW w:w="7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680" w:type="dxa"/>
            <w:vAlign w:val="bottom"/>
          </w:tcPr>
          <w:p>
            <w:pPr>
              <w:jc w:val="right"/>
              <w:ind w:right="69"/>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69"/>
              <w:spacing w:after="0"/>
              <w:rPr>
                <w:sz w:val="20"/>
                <w:szCs w:val="20"/>
                <w:color w:val="auto"/>
              </w:rPr>
            </w:pPr>
            <w:r>
              <w:rPr>
                <w:rFonts w:ascii="Arial" w:cs="Arial" w:eastAsia="Arial" w:hAnsi="Arial"/>
                <w:sz w:val="14"/>
                <w:szCs w:val="14"/>
                <w:color w:val="auto"/>
              </w:rPr>
              <w:t>–</w:t>
            </w:r>
          </w:p>
        </w:tc>
        <w:tc>
          <w:tcPr>
            <w:tcW w:w="66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30"/>
              <w:spacing w:after="0"/>
              <w:rPr>
                <w:sz w:val="20"/>
                <w:szCs w:val="20"/>
                <w:color w:val="auto"/>
              </w:rPr>
            </w:pPr>
            <w:r>
              <w:rPr>
                <w:rFonts w:ascii="Arial" w:cs="Arial" w:eastAsia="Arial" w:hAnsi="Arial"/>
                <w:sz w:val="14"/>
                <w:szCs w:val="14"/>
                <w:color w:val="auto"/>
              </w:rPr>
              <w:t>(8)</w:t>
            </w:r>
          </w:p>
        </w:tc>
        <w:tc>
          <w:tcPr>
            <w:tcW w:w="760" w:type="dxa"/>
            <w:vAlign w:val="bottom"/>
          </w:tcPr>
          <w:p>
            <w:pPr>
              <w:jc w:val="right"/>
              <w:ind w:right="89"/>
              <w:spacing w:after="0"/>
              <w:rPr>
                <w:sz w:val="20"/>
                <w:szCs w:val="20"/>
                <w:color w:val="auto"/>
              </w:rPr>
            </w:pPr>
            <w:r>
              <w:rPr>
                <w:rFonts w:ascii="Arial" w:cs="Arial" w:eastAsia="Arial" w:hAnsi="Arial"/>
                <w:sz w:val="14"/>
                <w:szCs w:val="14"/>
                <w:color w:val="auto"/>
              </w:rPr>
              <w:t>–</w:t>
            </w:r>
          </w:p>
        </w:tc>
        <w:tc>
          <w:tcPr>
            <w:tcW w:w="6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(8)</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1900" w:type="dxa"/>
            <w:vAlign w:val="bottom"/>
            <w:tcBorders>
              <w:bottom w:val="single" w:sz="8" w:color="auto"/>
            </w:tcBorders>
            <w:gridSpan w:val="2"/>
          </w:tcPr>
          <w:p>
            <w:pPr>
              <w:ind w:left="140"/>
              <w:spacing w:after="0" w:line="157" w:lineRule="exact"/>
              <w:rPr>
                <w:sz w:val="20"/>
                <w:szCs w:val="20"/>
                <w:color w:val="auto"/>
              </w:rPr>
            </w:pPr>
            <w:r>
              <w:rPr>
                <w:rFonts w:ascii="Arial" w:cs="Arial" w:eastAsia="Arial" w:hAnsi="Arial"/>
                <w:sz w:val="14"/>
                <w:szCs w:val="14"/>
                <w:color w:val="auto"/>
              </w:rPr>
              <w:t>Production</w:t>
            </w:r>
          </w:p>
        </w:tc>
        <w:tc>
          <w:tcPr>
            <w:tcW w:w="740" w:type="dxa"/>
            <w:vAlign w:val="bottom"/>
            <w:tcBorders>
              <w:bottom w:val="single" w:sz="8" w:color="auto"/>
            </w:tcBorders>
            <w:gridSpan w:val="2"/>
          </w:tcPr>
          <w:p>
            <w:pPr>
              <w:jc w:val="right"/>
              <w:ind w:right="160"/>
              <w:spacing w:after="0" w:line="157" w:lineRule="exact"/>
              <w:rPr>
                <w:sz w:val="20"/>
                <w:szCs w:val="20"/>
                <w:color w:val="auto"/>
              </w:rPr>
            </w:pPr>
            <w:r>
              <w:rPr>
                <w:rFonts w:ascii="Arial" w:cs="Arial" w:eastAsia="Arial" w:hAnsi="Arial"/>
                <w:sz w:val="14"/>
                <w:szCs w:val="14"/>
                <w:color w:val="auto"/>
              </w:rPr>
              <w:t>(2)</w:t>
            </w:r>
          </w:p>
        </w:tc>
        <w:tc>
          <w:tcPr>
            <w:tcW w:w="740" w:type="dxa"/>
            <w:vAlign w:val="bottom"/>
            <w:tcBorders>
              <w:bottom w:val="single" w:sz="8" w:color="auto"/>
            </w:tcBorders>
            <w:gridSpan w:val="2"/>
          </w:tcPr>
          <w:p>
            <w:pPr>
              <w:jc w:val="right"/>
              <w:ind w:right="160"/>
              <w:spacing w:after="0" w:line="157" w:lineRule="exact"/>
              <w:rPr>
                <w:sz w:val="20"/>
                <w:szCs w:val="20"/>
                <w:color w:val="auto"/>
              </w:rPr>
            </w:pPr>
            <w:r>
              <w:rPr>
                <w:rFonts w:ascii="Arial" w:cs="Arial" w:eastAsia="Arial" w:hAnsi="Arial"/>
                <w:sz w:val="14"/>
                <w:szCs w:val="14"/>
                <w:color w:val="auto"/>
              </w:rPr>
              <w:t>(39)</w:t>
            </w:r>
          </w:p>
        </w:tc>
        <w:tc>
          <w:tcPr>
            <w:tcW w:w="780" w:type="dxa"/>
            <w:vAlign w:val="bottom"/>
            <w:tcBorders>
              <w:bottom w:val="single" w:sz="8" w:color="auto"/>
            </w:tcBorders>
            <w:gridSpan w:val="2"/>
          </w:tcPr>
          <w:p>
            <w:pPr>
              <w:jc w:val="right"/>
              <w:ind w:right="180"/>
              <w:spacing w:after="0" w:line="157" w:lineRule="exact"/>
              <w:rPr>
                <w:sz w:val="20"/>
                <w:szCs w:val="20"/>
                <w:color w:val="auto"/>
              </w:rPr>
            </w:pPr>
            <w:r>
              <w:rPr>
                <w:rFonts w:ascii="Arial" w:cs="Arial" w:eastAsia="Arial" w:hAnsi="Arial"/>
                <w:sz w:val="14"/>
                <w:szCs w:val="14"/>
                <w:color w:val="auto"/>
              </w:rPr>
              <w:t>(4)</w:t>
            </w:r>
          </w:p>
        </w:tc>
        <w:tc>
          <w:tcPr>
            <w:tcW w:w="740" w:type="dxa"/>
            <w:vAlign w:val="bottom"/>
            <w:tcBorders>
              <w:bottom w:val="single" w:sz="8" w:color="auto"/>
            </w:tcBorders>
            <w:gridSpan w:val="2"/>
          </w:tcPr>
          <w:p>
            <w:pPr>
              <w:jc w:val="right"/>
              <w:ind w:right="220"/>
              <w:spacing w:after="0" w:line="157" w:lineRule="exact"/>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gridSpan w:val="2"/>
          </w:tcPr>
          <w:p>
            <w:pPr>
              <w:jc w:val="right"/>
              <w:ind w:right="200"/>
              <w:spacing w:after="0" w:line="157" w:lineRule="exact"/>
              <w:rPr>
                <w:sz w:val="20"/>
                <w:szCs w:val="20"/>
                <w:color w:val="auto"/>
              </w:rPr>
            </w:pPr>
            <w:r>
              <w:rPr>
                <w:rFonts w:ascii="Arial" w:cs="Arial" w:eastAsia="Arial" w:hAnsi="Arial"/>
                <w:sz w:val="14"/>
                <w:szCs w:val="14"/>
                <w:color w:val="auto"/>
              </w:rPr>
              <w:t>–</w:t>
            </w:r>
          </w:p>
        </w:tc>
        <w:tc>
          <w:tcPr>
            <w:tcW w:w="4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ind w:right="69"/>
              <w:spacing w:after="0" w:line="157" w:lineRule="exact"/>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tcPr>
          <w:p>
            <w:pPr>
              <w:jc w:val="right"/>
              <w:ind w:right="69"/>
              <w:spacing w:after="0" w:line="157" w:lineRule="exact"/>
              <w:rPr>
                <w:sz w:val="20"/>
                <w:szCs w:val="20"/>
                <w:color w:val="auto"/>
              </w:rPr>
            </w:pPr>
            <w:r>
              <w:rPr>
                <w:rFonts w:ascii="Arial" w:cs="Arial" w:eastAsia="Arial" w:hAnsi="Arial"/>
                <w:sz w:val="14"/>
                <w:szCs w:val="14"/>
                <w:color w:val="auto"/>
              </w:rPr>
              <w:t>–</w:t>
            </w:r>
          </w:p>
        </w:tc>
        <w:tc>
          <w:tcPr>
            <w:tcW w:w="660" w:type="dxa"/>
            <w:vAlign w:val="bottom"/>
            <w:tcBorders>
              <w:bottom w:val="single" w:sz="8" w:color="auto"/>
            </w:tcBorders>
          </w:tcPr>
          <w:p>
            <w:pPr>
              <w:jc w:val="right"/>
              <w:ind w:right="29"/>
              <w:spacing w:after="0" w:line="157" w:lineRule="exact"/>
              <w:rPr>
                <w:sz w:val="20"/>
                <w:szCs w:val="20"/>
                <w:color w:val="auto"/>
              </w:rPr>
            </w:pPr>
            <w:r>
              <w:rPr>
                <w:rFonts w:ascii="Arial" w:cs="Arial" w:eastAsia="Arial" w:hAnsi="Arial"/>
                <w:sz w:val="14"/>
                <w:szCs w:val="14"/>
                <w:color w:val="auto"/>
              </w:rPr>
              <w:t>–</w:t>
            </w:r>
          </w:p>
        </w:tc>
        <w:tc>
          <w:tcPr>
            <w:tcW w:w="14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gridSpan w:val="2"/>
          </w:tcPr>
          <w:p>
            <w:pPr>
              <w:jc w:val="right"/>
              <w:ind w:right="240"/>
              <w:spacing w:after="0" w:line="157" w:lineRule="exact"/>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tcPr>
          <w:p>
            <w:pPr>
              <w:jc w:val="right"/>
              <w:ind w:right="30"/>
              <w:spacing w:after="0" w:line="157" w:lineRule="exact"/>
              <w:rPr>
                <w:sz w:val="20"/>
                <w:szCs w:val="20"/>
                <w:color w:val="auto"/>
              </w:rPr>
            </w:pPr>
            <w:r>
              <w:rPr>
                <w:rFonts w:ascii="Arial" w:cs="Arial" w:eastAsia="Arial" w:hAnsi="Arial"/>
                <w:sz w:val="14"/>
                <w:szCs w:val="14"/>
                <w:color w:val="auto"/>
              </w:rPr>
              <w:t>(45)</w:t>
            </w:r>
          </w:p>
        </w:tc>
        <w:tc>
          <w:tcPr>
            <w:tcW w:w="760" w:type="dxa"/>
            <w:vAlign w:val="bottom"/>
            <w:tcBorders>
              <w:bottom w:val="single" w:sz="8" w:color="auto"/>
            </w:tcBorders>
          </w:tcPr>
          <w:p>
            <w:pPr>
              <w:jc w:val="right"/>
              <w:ind w:right="89"/>
              <w:spacing w:after="0" w:line="157" w:lineRule="exact"/>
              <w:rPr>
                <w:sz w:val="20"/>
                <w:szCs w:val="20"/>
                <w:color w:val="auto"/>
              </w:rPr>
            </w:pPr>
            <w:r>
              <w:rPr>
                <w:rFonts w:ascii="Arial" w:cs="Arial" w:eastAsia="Arial" w:hAnsi="Arial"/>
                <w:sz w:val="14"/>
                <w:szCs w:val="14"/>
                <w:color w:val="auto"/>
              </w:rPr>
              <w:t>–</w:t>
            </w:r>
          </w:p>
        </w:tc>
        <w:tc>
          <w:tcPr>
            <w:tcW w:w="660" w:type="dxa"/>
            <w:vAlign w:val="bottom"/>
            <w:tcBorders>
              <w:bottom w:val="single" w:sz="8" w:color="auto"/>
            </w:tcBorders>
          </w:tcPr>
          <w:p>
            <w:pPr>
              <w:jc w:val="right"/>
              <w:ind w:right="28"/>
              <w:spacing w:after="0" w:line="157" w:lineRule="exact"/>
              <w:rPr>
                <w:sz w:val="20"/>
                <w:szCs w:val="20"/>
                <w:color w:val="auto"/>
              </w:rPr>
            </w:pPr>
            <w:r>
              <w:rPr>
                <w:rFonts w:ascii="Arial" w:cs="Arial" w:eastAsia="Arial" w:hAnsi="Arial"/>
                <w:sz w:val="14"/>
                <w:szCs w:val="14"/>
                <w:color w:val="auto"/>
              </w:rPr>
              <w:t>–</w:t>
            </w:r>
          </w:p>
        </w:tc>
        <w:tc>
          <w:tcPr>
            <w:tcW w:w="660" w:type="dxa"/>
            <w:vAlign w:val="bottom"/>
            <w:tcBorders>
              <w:bottom w:val="single" w:sz="8" w:color="auto"/>
            </w:tcBorders>
          </w:tcPr>
          <w:p>
            <w:pPr>
              <w:jc w:val="right"/>
              <w:spacing w:after="0" w:line="157" w:lineRule="exact"/>
              <w:rPr>
                <w:sz w:val="20"/>
                <w:szCs w:val="20"/>
                <w:color w:val="auto"/>
              </w:rPr>
            </w:pPr>
            <w:r>
              <w:rPr>
                <w:rFonts w:ascii="Arial" w:cs="Arial" w:eastAsia="Arial" w:hAnsi="Arial"/>
                <w:sz w:val="14"/>
                <w:szCs w:val="14"/>
                <w:color w:val="auto"/>
              </w:rPr>
              <w:t>(45)</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900" w:type="dxa"/>
            <w:vAlign w:val="bottom"/>
            <w:tcBorders>
              <w:bottom w:val="single" w:sz="8" w:color="auto"/>
            </w:tcBorders>
            <w:gridSpan w:val="2"/>
          </w:tcPr>
          <w:p>
            <w:pPr>
              <w:ind w:left="140"/>
              <w:spacing w:after="0" w:line="155" w:lineRule="exact"/>
              <w:rPr>
                <w:sz w:val="20"/>
                <w:szCs w:val="20"/>
                <w:color w:val="auto"/>
              </w:rPr>
            </w:pPr>
            <w:r>
              <w:rPr>
                <w:rFonts w:ascii="Arial" w:cs="Arial" w:eastAsia="Arial" w:hAnsi="Arial"/>
                <w:sz w:val="14"/>
                <w:szCs w:val="14"/>
                <w:color w:val="auto"/>
              </w:rPr>
              <w:t>At December 31</w:t>
            </w:r>
          </w:p>
        </w:tc>
        <w:tc>
          <w:tcPr>
            <w:tcW w:w="740" w:type="dxa"/>
            <w:vAlign w:val="bottom"/>
            <w:tcBorders>
              <w:bottom w:val="single" w:sz="8" w:color="auto"/>
            </w:tcBorders>
            <w:gridSpan w:val="2"/>
          </w:tcPr>
          <w:p>
            <w:pPr>
              <w:jc w:val="right"/>
              <w:ind w:right="220"/>
              <w:spacing w:after="0" w:line="155" w:lineRule="exact"/>
              <w:rPr>
                <w:sz w:val="20"/>
                <w:szCs w:val="20"/>
                <w:color w:val="auto"/>
              </w:rPr>
            </w:pPr>
            <w:r>
              <w:rPr>
                <w:rFonts w:ascii="Arial" w:cs="Arial" w:eastAsia="Arial" w:hAnsi="Arial"/>
                <w:sz w:val="14"/>
                <w:szCs w:val="14"/>
                <w:color w:val="auto"/>
              </w:rPr>
              <w:t>29</w:t>
            </w:r>
          </w:p>
        </w:tc>
        <w:tc>
          <w:tcPr>
            <w:tcW w:w="740" w:type="dxa"/>
            <w:vAlign w:val="bottom"/>
            <w:tcBorders>
              <w:bottom w:val="single" w:sz="8" w:color="auto"/>
            </w:tcBorders>
            <w:gridSpan w:val="2"/>
          </w:tcPr>
          <w:p>
            <w:pPr>
              <w:jc w:val="right"/>
              <w:ind w:right="220"/>
              <w:spacing w:after="0" w:line="155" w:lineRule="exact"/>
              <w:rPr>
                <w:sz w:val="20"/>
                <w:szCs w:val="20"/>
                <w:color w:val="auto"/>
              </w:rPr>
            </w:pPr>
            <w:r>
              <w:rPr>
                <w:rFonts w:ascii="Arial" w:cs="Arial" w:eastAsia="Arial" w:hAnsi="Arial"/>
                <w:sz w:val="14"/>
                <w:szCs w:val="14"/>
                <w:color w:val="auto"/>
              </w:rPr>
              <w:t>376</w:t>
            </w:r>
          </w:p>
        </w:tc>
        <w:tc>
          <w:tcPr>
            <w:tcW w:w="780" w:type="dxa"/>
            <w:vAlign w:val="bottom"/>
            <w:tcBorders>
              <w:bottom w:val="single" w:sz="8" w:color="auto"/>
            </w:tcBorders>
            <w:gridSpan w:val="2"/>
          </w:tcPr>
          <w:p>
            <w:pPr>
              <w:jc w:val="right"/>
              <w:ind w:right="220"/>
              <w:spacing w:after="0" w:line="155" w:lineRule="exact"/>
              <w:rPr>
                <w:sz w:val="20"/>
                <w:szCs w:val="20"/>
                <w:color w:val="auto"/>
              </w:rPr>
            </w:pPr>
            <w:r>
              <w:rPr>
                <w:rFonts w:ascii="Arial" w:cs="Arial" w:eastAsia="Arial" w:hAnsi="Arial"/>
                <w:sz w:val="14"/>
                <w:szCs w:val="14"/>
                <w:color w:val="auto"/>
              </w:rPr>
              <w:t>12</w:t>
            </w:r>
          </w:p>
        </w:tc>
        <w:tc>
          <w:tcPr>
            <w:tcW w:w="740" w:type="dxa"/>
            <w:vAlign w:val="bottom"/>
            <w:tcBorders>
              <w:bottom w:val="single" w:sz="8" w:color="auto"/>
            </w:tcBorders>
            <w:gridSpan w:val="2"/>
          </w:tcPr>
          <w:p>
            <w:pPr>
              <w:jc w:val="right"/>
              <w:ind w:right="220"/>
              <w:spacing w:after="0" w:line="155" w:lineRule="exact"/>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gridSpan w:val="2"/>
          </w:tcPr>
          <w:p>
            <w:pPr>
              <w:jc w:val="right"/>
              <w:ind w:right="200"/>
              <w:spacing w:after="0" w:line="155" w:lineRule="exact"/>
              <w:rPr>
                <w:sz w:val="20"/>
                <w:szCs w:val="20"/>
                <w:color w:val="auto"/>
              </w:rPr>
            </w:pPr>
            <w:r>
              <w:rPr>
                <w:rFonts w:ascii="Arial" w:cs="Arial" w:eastAsia="Arial" w:hAnsi="Arial"/>
                <w:sz w:val="14"/>
                <w:szCs w:val="14"/>
                <w:color w:val="auto"/>
              </w:rPr>
              <w:t>–</w:t>
            </w:r>
          </w:p>
        </w:tc>
        <w:tc>
          <w:tcPr>
            <w:tcW w:w="4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ind w:right="69"/>
              <w:spacing w:after="0" w:line="155" w:lineRule="exact"/>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tcPr>
          <w:p>
            <w:pPr>
              <w:jc w:val="right"/>
              <w:ind w:right="69"/>
              <w:spacing w:after="0" w:line="155" w:lineRule="exact"/>
              <w:rPr>
                <w:sz w:val="20"/>
                <w:szCs w:val="20"/>
                <w:color w:val="auto"/>
              </w:rPr>
            </w:pPr>
            <w:r>
              <w:rPr>
                <w:rFonts w:ascii="Arial" w:cs="Arial" w:eastAsia="Arial" w:hAnsi="Arial"/>
                <w:sz w:val="14"/>
                <w:szCs w:val="14"/>
                <w:color w:val="auto"/>
              </w:rPr>
              <w:t>–</w:t>
            </w:r>
          </w:p>
        </w:tc>
        <w:tc>
          <w:tcPr>
            <w:tcW w:w="660" w:type="dxa"/>
            <w:vAlign w:val="bottom"/>
            <w:tcBorders>
              <w:bottom w:val="single" w:sz="8" w:color="auto"/>
            </w:tcBorders>
          </w:tcPr>
          <w:p>
            <w:pPr>
              <w:jc w:val="right"/>
              <w:ind w:right="29"/>
              <w:spacing w:after="0" w:line="155" w:lineRule="exact"/>
              <w:rPr>
                <w:sz w:val="20"/>
                <w:szCs w:val="20"/>
                <w:color w:val="auto"/>
              </w:rPr>
            </w:pPr>
            <w:r>
              <w:rPr>
                <w:rFonts w:ascii="Arial" w:cs="Arial" w:eastAsia="Arial" w:hAnsi="Arial"/>
                <w:sz w:val="14"/>
                <w:szCs w:val="14"/>
                <w:color w:val="auto"/>
              </w:rPr>
              <w:t>–</w:t>
            </w:r>
          </w:p>
        </w:tc>
        <w:tc>
          <w:tcPr>
            <w:tcW w:w="14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gridSpan w:val="2"/>
          </w:tcPr>
          <w:p>
            <w:pPr>
              <w:jc w:val="right"/>
              <w:ind w:right="240"/>
              <w:spacing w:after="0" w:line="155" w:lineRule="exact"/>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tcPr>
          <w:p>
            <w:pPr>
              <w:jc w:val="right"/>
              <w:ind w:right="70"/>
              <w:spacing w:after="0" w:line="155" w:lineRule="exact"/>
              <w:rPr>
                <w:sz w:val="20"/>
                <w:szCs w:val="20"/>
                <w:color w:val="auto"/>
              </w:rPr>
            </w:pPr>
            <w:r>
              <w:rPr>
                <w:rFonts w:ascii="Arial" w:cs="Arial" w:eastAsia="Arial" w:hAnsi="Arial"/>
                <w:sz w:val="14"/>
                <w:szCs w:val="14"/>
                <w:color w:val="auto"/>
              </w:rPr>
              <w:t>417</w:t>
            </w:r>
          </w:p>
        </w:tc>
        <w:tc>
          <w:tcPr>
            <w:tcW w:w="760" w:type="dxa"/>
            <w:vAlign w:val="bottom"/>
            <w:tcBorders>
              <w:bottom w:val="single" w:sz="8" w:color="auto"/>
            </w:tcBorders>
          </w:tcPr>
          <w:p>
            <w:pPr>
              <w:jc w:val="right"/>
              <w:ind w:right="89"/>
              <w:spacing w:after="0" w:line="155" w:lineRule="exact"/>
              <w:rPr>
                <w:sz w:val="20"/>
                <w:szCs w:val="20"/>
                <w:color w:val="auto"/>
              </w:rPr>
            </w:pPr>
            <w:r>
              <w:rPr>
                <w:rFonts w:ascii="Arial" w:cs="Arial" w:eastAsia="Arial" w:hAnsi="Arial"/>
                <w:sz w:val="14"/>
                <w:szCs w:val="14"/>
                <w:color w:val="auto"/>
              </w:rPr>
              <w:t>–</w:t>
            </w:r>
          </w:p>
        </w:tc>
        <w:tc>
          <w:tcPr>
            <w:tcW w:w="660" w:type="dxa"/>
            <w:vAlign w:val="bottom"/>
            <w:tcBorders>
              <w:bottom w:val="single" w:sz="8" w:color="auto"/>
            </w:tcBorders>
          </w:tcPr>
          <w:p>
            <w:pPr>
              <w:jc w:val="right"/>
              <w:ind w:right="28"/>
              <w:spacing w:after="0" w:line="155" w:lineRule="exact"/>
              <w:rPr>
                <w:sz w:val="20"/>
                <w:szCs w:val="20"/>
                <w:color w:val="auto"/>
              </w:rPr>
            </w:pPr>
            <w:r>
              <w:rPr>
                <w:rFonts w:ascii="Arial" w:cs="Arial" w:eastAsia="Arial" w:hAnsi="Arial"/>
                <w:sz w:val="14"/>
                <w:szCs w:val="14"/>
                <w:color w:val="auto"/>
              </w:rPr>
              <w:t>–</w:t>
            </w:r>
          </w:p>
        </w:tc>
        <w:tc>
          <w:tcPr>
            <w:tcW w:w="660" w:type="dxa"/>
            <w:vAlign w:val="bottom"/>
            <w:tcBorders>
              <w:bottom w:val="single" w:sz="8" w:color="auto"/>
            </w:tcBorders>
          </w:tcPr>
          <w:p>
            <w:pPr>
              <w:jc w:val="right"/>
              <w:ind w:right="29"/>
              <w:spacing w:after="0" w:line="155" w:lineRule="exact"/>
              <w:rPr>
                <w:sz w:val="20"/>
                <w:szCs w:val="20"/>
                <w:color w:val="auto"/>
              </w:rPr>
            </w:pPr>
            <w:r>
              <w:rPr>
                <w:rFonts w:ascii="Arial" w:cs="Arial" w:eastAsia="Arial" w:hAnsi="Arial"/>
                <w:sz w:val="14"/>
                <w:szCs w:val="14"/>
                <w:color w:val="auto"/>
              </w:rPr>
              <w:t>417</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900" w:type="dxa"/>
            <w:vAlign w:val="bottom"/>
            <w:tcBorders>
              <w:bottom w:val="single" w:sz="8" w:color="auto"/>
            </w:tcBorders>
            <w:gridSpan w:val="2"/>
          </w:tcPr>
          <w:p>
            <w:pPr>
              <w:spacing w:after="0" w:line="155" w:lineRule="exact"/>
              <w:rPr>
                <w:sz w:val="20"/>
                <w:szCs w:val="20"/>
                <w:color w:val="auto"/>
              </w:rPr>
            </w:pPr>
            <w:r>
              <w:rPr>
                <w:rFonts w:ascii="Arial" w:cs="Arial" w:eastAsia="Arial" w:hAnsi="Arial"/>
                <w:sz w:val="14"/>
                <w:szCs w:val="14"/>
                <w:color w:val="auto"/>
              </w:rPr>
              <w:t>Total</w:t>
            </w:r>
          </w:p>
        </w:tc>
        <w:tc>
          <w:tcPr>
            <w:tcW w:w="740" w:type="dxa"/>
            <w:vAlign w:val="bottom"/>
            <w:tcBorders>
              <w:bottom w:val="single" w:sz="8" w:color="auto"/>
            </w:tcBorders>
            <w:gridSpan w:val="2"/>
          </w:tcPr>
          <w:p>
            <w:pPr>
              <w:jc w:val="right"/>
              <w:ind w:right="220"/>
              <w:spacing w:after="0" w:line="155" w:lineRule="exact"/>
              <w:rPr>
                <w:sz w:val="20"/>
                <w:szCs w:val="20"/>
                <w:color w:val="auto"/>
              </w:rPr>
            </w:pPr>
            <w:r>
              <w:rPr>
                <w:rFonts w:ascii="Arial" w:cs="Arial" w:eastAsia="Arial" w:hAnsi="Arial"/>
                <w:sz w:val="14"/>
                <w:szCs w:val="14"/>
                <w:color w:val="auto"/>
              </w:rPr>
              <w:t>608</w:t>
            </w:r>
          </w:p>
        </w:tc>
        <w:tc>
          <w:tcPr>
            <w:tcW w:w="740" w:type="dxa"/>
            <w:vAlign w:val="bottom"/>
            <w:tcBorders>
              <w:bottom w:val="single" w:sz="8" w:color="auto"/>
            </w:tcBorders>
            <w:gridSpan w:val="2"/>
          </w:tcPr>
          <w:p>
            <w:pPr>
              <w:jc w:val="right"/>
              <w:ind w:right="220"/>
              <w:spacing w:after="0" w:line="155" w:lineRule="exact"/>
              <w:rPr>
                <w:sz w:val="20"/>
                <w:szCs w:val="20"/>
                <w:color w:val="auto"/>
              </w:rPr>
            </w:pPr>
            <w:r>
              <w:rPr>
                <w:rFonts w:ascii="Arial" w:cs="Arial" w:eastAsia="Arial" w:hAnsi="Arial"/>
                <w:sz w:val="14"/>
                <w:szCs w:val="14"/>
                <w:color w:val="auto"/>
              </w:rPr>
              <w:t>1,682</w:t>
            </w:r>
          </w:p>
        </w:tc>
        <w:tc>
          <w:tcPr>
            <w:tcW w:w="780" w:type="dxa"/>
            <w:vAlign w:val="bottom"/>
            <w:tcBorders>
              <w:bottom w:val="single" w:sz="8" w:color="auto"/>
            </w:tcBorders>
            <w:gridSpan w:val="2"/>
          </w:tcPr>
          <w:p>
            <w:pPr>
              <w:jc w:val="right"/>
              <w:ind w:right="220"/>
              <w:spacing w:after="0" w:line="155" w:lineRule="exact"/>
              <w:rPr>
                <w:sz w:val="20"/>
                <w:szCs w:val="20"/>
                <w:color w:val="auto"/>
              </w:rPr>
            </w:pPr>
            <w:r>
              <w:rPr>
                <w:rFonts w:ascii="Arial" w:cs="Arial" w:eastAsia="Arial" w:hAnsi="Arial"/>
                <w:sz w:val="14"/>
                <w:szCs w:val="14"/>
                <w:color w:val="auto"/>
              </w:rPr>
              <w:t>140</w:t>
            </w:r>
          </w:p>
        </w:tc>
        <w:tc>
          <w:tcPr>
            <w:tcW w:w="740" w:type="dxa"/>
            <w:vAlign w:val="bottom"/>
            <w:tcBorders>
              <w:bottom w:val="single" w:sz="8" w:color="auto"/>
            </w:tcBorders>
            <w:gridSpan w:val="2"/>
          </w:tcPr>
          <w:p>
            <w:pPr>
              <w:jc w:val="right"/>
              <w:ind w:right="220"/>
              <w:spacing w:after="0" w:line="155" w:lineRule="exact"/>
              <w:rPr>
                <w:sz w:val="20"/>
                <w:szCs w:val="20"/>
                <w:color w:val="auto"/>
              </w:rPr>
            </w:pPr>
            <w:r>
              <w:rPr>
                <w:rFonts w:ascii="Arial" w:cs="Arial" w:eastAsia="Arial" w:hAnsi="Arial"/>
                <w:sz w:val="14"/>
                <w:szCs w:val="14"/>
                <w:color w:val="auto"/>
              </w:rPr>
              <w:t>691</w:t>
            </w:r>
          </w:p>
        </w:tc>
        <w:tc>
          <w:tcPr>
            <w:tcW w:w="600" w:type="dxa"/>
            <w:vAlign w:val="bottom"/>
            <w:tcBorders>
              <w:bottom w:val="single" w:sz="8" w:color="auto"/>
            </w:tcBorders>
          </w:tcPr>
          <w:p>
            <w:pPr>
              <w:jc w:val="right"/>
              <w:ind w:right="49"/>
              <w:spacing w:after="0" w:line="155" w:lineRule="exact"/>
              <w:rPr>
                <w:sz w:val="20"/>
                <w:szCs w:val="20"/>
                <w:color w:val="auto"/>
              </w:rPr>
            </w:pPr>
            <w:r>
              <w:rPr>
                <w:rFonts w:ascii="Arial" w:cs="Arial" w:eastAsia="Arial" w:hAnsi="Arial"/>
                <w:sz w:val="14"/>
                <w:szCs w:val="14"/>
                <w:color w:val="auto"/>
              </w:rPr>
              <w:t>711</w:t>
            </w:r>
          </w:p>
        </w:tc>
        <w:tc>
          <w:tcPr>
            <w:tcW w:w="8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gridSpan w:val="2"/>
          </w:tcPr>
          <w:p>
            <w:pPr>
              <w:jc w:val="right"/>
              <w:ind w:right="69"/>
              <w:spacing w:after="0" w:line="155" w:lineRule="exact"/>
              <w:rPr>
                <w:sz w:val="20"/>
                <w:szCs w:val="20"/>
                <w:color w:val="auto"/>
              </w:rPr>
            </w:pPr>
            <w:r>
              <w:rPr>
                <w:rFonts w:ascii="Arial" w:cs="Arial" w:eastAsia="Arial" w:hAnsi="Arial"/>
                <w:sz w:val="14"/>
                <w:szCs w:val="14"/>
                <w:color w:val="auto"/>
              </w:rPr>
              <w:t>44</w:t>
            </w:r>
          </w:p>
        </w:tc>
        <w:tc>
          <w:tcPr>
            <w:tcW w:w="760" w:type="dxa"/>
            <w:vAlign w:val="bottom"/>
            <w:tcBorders>
              <w:bottom w:val="single" w:sz="8" w:color="auto"/>
            </w:tcBorders>
          </w:tcPr>
          <w:p>
            <w:pPr>
              <w:jc w:val="right"/>
              <w:ind w:right="69"/>
              <w:spacing w:after="0" w:line="155" w:lineRule="exact"/>
              <w:rPr>
                <w:sz w:val="20"/>
                <w:szCs w:val="20"/>
                <w:color w:val="auto"/>
              </w:rPr>
            </w:pPr>
            <w:r>
              <w:rPr>
                <w:rFonts w:ascii="Arial" w:cs="Arial" w:eastAsia="Arial" w:hAnsi="Arial"/>
                <w:sz w:val="14"/>
                <w:szCs w:val="14"/>
                <w:color w:val="auto"/>
              </w:rPr>
              <w:t>1,763</w:t>
            </w:r>
          </w:p>
        </w:tc>
        <w:tc>
          <w:tcPr>
            <w:tcW w:w="660" w:type="dxa"/>
            <w:vAlign w:val="bottom"/>
            <w:tcBorders>
              <w:bottom w:val="single" w:sz="8" w:color="auto"/>
            </w:tcBorders>
          </w:tcPr>
          <w:p>
            <w:pPr>
              <w:jc w:val="right"/>
              <w:ind w:right="29"/>
              <w:spacing w:after="0" w:line="155" w:lineRule="exact"/>
              <w:rPr>
                <w:sz w:val="20"/>
                <w:szCs w:val="20"/>
                <w:color w:val="auto"/>
              </w:rPr>
            </w:pPr>
            <w:r>
              <w:rPr>
                <w:rFonts w:ascii="Arial" w:cs="Arial" w:eastAsia="Arial" w:hAnsi="Arial"/>
                <w:sz w:val="14"/>
                <w:szCs w:val="14"/>
                <w:color w:val="auto"/>
              </w:rPr>
              <w:t>428</w:t>
            </w:r>
          </w:p>
        </w:tc>
        <w:tc>
          <w:tcPr>
            <w:tcW w:w="940" w:type="dxa"/>
            <w:vAlign w:val="bottom"/>
            <w:tcBorders>
              <w:bottom w:val="single" w:sz="8" w:color="auto"/>
            </w:tcBorders>
            <w:gridSpan w:val="3"/>
          </w:tcPr>
          <w:p>
            <w:pPr>
              <w:jc w:val="right"/>
              <w:ind w:right="240"/>
              <w:spacing w:after="0" w:line="155" w:lineRule="exact"/>
              <w:rPr>
                <w:sz w:val="20"/>
                <w:szCs w:val="20"/>
                <w:color w:val="auto"/>
              </w:rPr>
            </w:pPr>
            <w:r>
              <w:rPr>
                <w:rFonts w:ascii="Arial" w:cs="Arial" w:eastAsia="Arial" w:hAnsi="Arial"/>
                <w:sz w:val="14"/>
                <w:szCs w:val="14"/>
                <w:color w:val="auto"/>
              </w:rPr>
              <w:t>63</w:t>
            </w:r>
          </w:p>
        </w:tc>
        <w:tc>
          <w:tcPr>
            <w:tcW w:w="680" w:type="dxa"/>
            <w:vAlign w:val="bottom"/>
            <w:tcBorders>
              <w:bottom w:val="single" w:sz="8" w:color="auto"/>
            </w:tcBorders>
          </w:tcPr>
          <w:p>
            <w:pPr>
              <w:jc w:val="right"/>
              <w:ind w:right="70"/>
              <w:spacing w:after="0" w:line="155" w:lineRule="exact"/>
              <w:rPr>
                <w:sz w:val="20"/>
                <w:szCs w:val="20"/>
                <w:color w:val="auto"/>
              </w:rPr>
            </w:pPr>
            <w:r>
              <w:rPr>
                <w:rFonts w:ascii="Arial" w:cs="Arial" w:eastAsia="Arial" w:hAnsi="Arial"/>
                <w:sz w:val="14"/>
                <w:szCs w:val="14"/>
                <w:color w:val="auto"/>
              </w:rPr>
              <w:t>3,939</w:t>
            </w:r>
          </w:p>
        </w:tc>
        <w:tc>
          <w:tcPr>
            <w:tcW w:w="760" w:type="dxa"/>
            <w:vAlign w:val="bottom"/>
            <w:tcBorders>
              <w:bottom w:val="single" w:sz="8" w:color="auto"/>
            </w:tcBorders>
          </w:tcPr>
          <w:p>
            <w:pPr>
              <w:jc w:val="right"/>
              <w:ind w:right="89"/>
              <w:spacing w:after="0" w:line="155" w:lineRule="exact"/>
              <w:rPr>
                <w:sz w:val="20"/>
                <w:szCs w:val="20"/>
                <w:color w:val="auto"/>
              </w:rPr>
            </w:pPr>
            <w:r>
              <w:rPr>
                <w:rFonts w:ascii="Arial" w:cs="Arial" w:eastAsia="Arial" w:hAnsi="Arial"/>
                <w:sz w:val="14"/>
                <w:szCs w:val="14"/>
                <w:color w:val="auto"/>
              </w:rPr>
              <w:t>1,763</w:t>
            </w:r>
          </w:p>
        </w:tc>
        <w:tc>
          <w:tcPr>
            <w:tcW w:w="660" w:type="dxa"/>
            <w:vAlign w:val="bottom"/>
            <w:tcBorders>
              <w:bottom w:val="single" w:sz="8" w:color="auto"/>
            </w:tcBorders>
          </w:tcPr>
          <w:p>
            <w:pPr>
              <w:jc w:val="right"/>
              <w:ind w:right="28"/>
              <w:spacing w:after="0" w:line="155" w:lineRule="exact"/>
              <w:rPr>
                <w:sz w:val="20"/>
                <w:szCs w:val="20"/>
                <w:color w:val="auto"/>
              </w:rPr>
            </w:pPr>
            <w:r>
              <w:rPr>
                <w:rFonts w:ascii="Arial" w:cs="Arial" w:eastAsia="Arial" w:hAnsi="Arial"/>
                <w:sz w:val="14"/>
                <w:szCs w:val="14"/>
                <w:color w:val="auto"/>
              </w:rPr>
              <w:t>428</w:t>
            </w:r>
          </w:p>
        </w:tc>
        <w:tc>
          <w:tcPr>
            <w:tcW w:w="660" w:type="dxa"/>
            <w:vAlign w:val="bottom"/>
            <w:tcBorders>
              <w:bottom w:val="single" w:sz="8" w:color="auto"/>
            </w:tcBorders>
          </w:tcPr>
          <w:p>
            <w:pPr>
              <w:jc w:val="right"/>
              <w:ind w:right="29"/>
              <w:spacing w:after="0" w:line="155" w:lineRule="exact"/>
              <w:rPr>
                <w:sz w:val="20"/>
                <w:szCs w:val="20"/>
                <w:color w:val="auto"/>
              </w:rPr>
            </w:pPr>
            <w:r>
              <w:rPr>
                <w:rFonts w:ascii="Arial" w:cs="Arial" w:eastAsia="Arial" w:hAnsi="Arial"/>
                <w:sz w:val="14"/>
                <w:szCs w:val="14"/>
                <w:color w:val="auto"/>
              </w:rPr>
              <w:t>6,130</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1900" w:type="dxa"/>
            <w:vAlign w:val="bottom"/>
            <w:gridSpan w:val="2"/>
          </w:tcPr>
          <w:p>
            <w:pPr>
              <w:spacing w:after="0"/>
              <w:rPr>
                <w:sz w:val="20"/>
                <w:szCs w:val="20"/>
                <w:color w:val="auto"/>
              </w:rPr>
            </w:pPr>
            <w:r>
              <w:rPr>
                <w:rFonts w:ascii="Arial" w:cs="Arial" w:eastAsia="Arial" w:hAnsi="Arial"/>
                <w:sz w:val="14"/>
                <w:szCs w:val="14"/>
                <w:color w:val="auto"/>
              </w:rPr>
              <w:t>Reserves attributable to non-</w:t>
            </w:r>
          </w:p>
        </w:tc>
        <w:tc>
          <w:tcPr>
            <w:tcW w:w="5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1900" w:type="dxa"/>
            <w:vAlign w:val="bottom"/>
            <w:gridSpan w:val="2"/>
          </w:tcPr>
          <w:p>
            <w:pPr>
              <w:ind w:left="160"/>
              <w:spacing w:after="0"/>
              <w:rPr>
                <w:sz w:val="20"/>
                <w:szCs w:val="20"/>
                <w:color w:val="auto"/>
              </w:rPr>
            </w:pPr>
            <w:r>
              <w:rPr>
                <w:rFonts w:ascii="Arial" w:cs="Arial" w:eastAsia="Arial" w:hAnsi="Arial"/>
                <w:sz w:val="14"/>
                <w:szCs w:val="14"/>
                <w:color w:val="auto"/>
              </w:rPr>
              <w:t>controlling interest in Shell</w:t>
            </w:r>
          </w:p>
        </w:tc>
        <w:tc>
          <w:tcPr>
            <w:tcW w:w="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900" w:type="dxa"/>
            <w:vAlign w:val="bottom"/>
            <w:gridSpan w:val="2"/>
          </w:tcPr>
          <w:p>
            <w:pPr>
              <w:ind w:left="160"/>
              <w:spacing w:after="0"/>
              <w:rPr>
                <w:sz w:val="20"/>
                <w:szCs w:val="20"/>
                <w:color w:val="auto"/>
              </w:rPr>
            </w:pPr>
            <w:r>
              <w:rPr>
                <w:rFonts w:ascii="Arial" w:cs="Arial" w:eastAsia="Arial" w:hAnsi="Arial"/>
                <w:sz w:val="14"/>
                <w:szCs w:val="14"/>
                <w:color w:val="auto"/>
              </w:rPr>
              <w:t>subsidiaries at</w:t>
            </w:r>
          </w:p>
        </w:tc>
        <w:tc>
          <w:tcPr>
            <w:tcW w:w="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1900" w:type="dxa"/>
            <w:vAlign w:val="bottom"/>
            <w:tcBorders>
              <w:bottom w:val="single" w:sz="8" w:color="auto"/>
            </w:tcBorders>
            <w:gridSpan w:val="2"/>
          </w:tcPr>
          <w:p>
            <w:pPr>
              <w:ind w:left="160"/>
              <w:spacing w:after="0" w:line="157" w:lineRule="exact"/>
              <w:rPr>
                <w:sz w:val="20"/>
                <w:szCs w:val="20"/>
                <w:color w:val="auto"/>
              </w:rPr>
            </w:pPr>
            <w:r>
              <w:rPr>
                <w:rFonts w:ascii="Arial" w:cs="Arial" w:eastAsia="Arial" w:hAnsi="Arial"/>
                <w:sz w:val="14"/>
                <w:szCs w:val="14"/>
                <w:color w:val="auto"/>
              </w:rPr>
              <w:t>December 31</w:t>
            </w:r>
          </w:p>
        </w:tc>
        <w:tc>
          <w:tcPr>
            <w:tcW w:w="740" w:type="dxa"/>
            <w:vAlign w:val="bottom"/>
            <w:tcBorders>
              <w:bottom w:val="single" w:sz="8" w:color="auto"/>
            </w:tcBorders>
            <w:gridSpan w:val="2"/>
          </w:tcPr>
          <w:p>
            <w:pPr>
              <w:jc w:val="right"/>
              <w:ind w:right="220"/>
              <w:spacing w:after="0" w:line="157" w:lineRule="exact"/>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gridSpan w:val="2"/>
          </w:tcPr>
          <w:p>
            <w:pPr>
              <w:jc w:val="right"/>
              <w:ind w:right="220"/>
              <w:spacing w:after="0" w:line="157" w:lineRule="exact"/>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gridSpan w:val="2"/>
          </w:tcPr>
          <w:p>
            <w:pPr>
              <w:jc w:val="right"/>
              <w:ind w:right="220"/>
              <w:spacing w:after="0" w:line="157" w:lineRule="exact"/>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gridSpan w:val="2"/>
          </w:tcPr>
          <w:p>
            <w:pPr>
              <w:jc w:val="right"/>
              <w:ind w:right="220"/>
              <w:spacing w:after="0" w:line="157" w:lineRule="exact"/>
              <w:rPr>
                <w:sz w:val="20"/>
                <w:szCs w:val="20"/>
                <w:color w:val="auto"/>
              </w:rPr>
            </w:pPr>
            <w:r>
              <w:rPr>
                <w:rFonts w:ascii="Arial" w:cs="Arial" w:eastAsia="Arial" w:hAnsi="Arial"/>
                <w:sz w:val="14"/>
                <w:szCs w:val="14"/>
                <w:color w:val="auto"/>
              </w:rPr>
              <w:t>9</w:t>
            </w:r>
          </w:p>
        </w:tc>
        <w:tc>
          <w:tcPr>
            <w:tcW w:w="680" w:type="dxa"/>
            <w:vAlign w:val="bottom"/>
            <w:tcBorders>
              <w:bottom w:val="single" w:sz="8" w:color="auto"/>
            </w:tcBorders>
            <w:gridSpan w:val="2"/>
          </w:tcPr>
          <w:p>
            <w:pPr>
              <w:jc w:val="right"/>
              <w:ind w:right="200"/>
              <w:spacing w:after="0" w:line="157" w:lineRule="exact"/>
              <w:rPr>
                <w:sz w:val="20"/>
                <w:szCs w:val="20"/>
                <w:color w:val="auto"/>
              </w:rPr>
            </w:pPr>
            <w:r>
              <w:rPr>
                <w:rFonts w:ascii="Arial" w:cs="Arial" w:eastAsia="Arial" w:hAnsi="Arial"/>
                <w:sz w:val="14"/>
                <w:szCs w:val="14"/>
                <w:color w:val="auto"/>
              </w:rPr>
              <w:t>–</w:t>
            </w:r>
          </w:p>
        </w:tc>
        <w:tc>
          <w:tcPr>
            <w:tcW w:w="4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ind w:right="69"/>
              <w:spacing w:after="0" w:line="157" w:lineRule="exact"/>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tcPr>
          <w:p>
            <w:pPr>
              <w:jc w:val="right"/>
              <w:ind w:right="69"/>
              <w:spacing w:after="0" w:line="157" w:lineRule="exact"/>
              <w:rPr>
                <w:sz w:val="20"/>
                <w:szCs w:val="20"/>
                <w:color w:val="auto"/>
              </w:rPr>
            </w:pPr>
            <w:r>
              <w:rPr>
                <w:rFonts w:ascii="Arial" w:cs="Arial" w:eastAsia="Arial" w:hAnsi="Arial"/>
                <w:sz w:val="14"/>
                <w:szCs w:val="14"/>
                <w:color w:val="auto"/>
              </w:rPr>
              <w:t>–</w:t>
            </w:r>
          </w:p>
        </w:tc>
        <w:tc>
          <w:tcPr>
            <w:tcW w:w="660" w:type="dxa"/>
            <w:vAlign w:val="bottom"/>
            <w:tcBorders>
              <w:bottom w:val="single" w:sz="8" w:color="auto"/>
            </w:tcBorders>
          </w:tcPr>
          <w:p>
            <w:pPr>
              <w:jc w:val="right"/>
              <w:ind w:right="29"/>
              <w:spacing w:after="0" w:line="157" w:lineRule="exact"/>
              <w:rPr>
                <w:sz w:val="20"/>
                <w:szCs w:val="20"/>
                <w:color w:val="auto"/>
              </w:rPr>
            </w:pPr>
            <w:r>
              <w:rPr>
                <w:rFonts w:ascii="Arial" w:cs="Arial" w:eastAsia="Arial" w:hAnsi="Arial"/>
                <w:sz w:val="14"/>
                <w:szCs w:val="14"/>
                <w:color w:val="auto"/>
              </w:rPr>
              <w:t>–</w:t>
            </w:r>
          </w:p>
        </w:tc>
        <w:tc>
          <w:tcPr>
            <w:tcW w:w="14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gridSpan w:val="2"/>
          </w:tcPr>
          <w:p>
            <w:pPr>
              <w:jc w:val="right"/>
              <w:ind w:right="240"/>
              <w:spacing w:after="0" w:line="157" w:lineRule="exact"/>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tcPr>
          <w:p>
            <w:pPr>
              <w:jc w:val="right"/>
              <w:ind w:right="70"/>
              <w:spacing w:after="0" w:line="157" w:lineRule="exact"/>
              <w:rPr>
                <w:sz w:val="20"/>
                <w:szCs w:val="20"/>
                <w:color w:val="auto"/>
              </w:rPr>
            </w:pPr>
            <w:r>
              <w:rPr>
                <w:rFonts w:ascii="Arial" w:cs="Arial" w:eastAsia="Arial" w:hAnsi="Arial"/>
                <w:sz w:val="14"/>
                <w:szCs w:val="14"/>
                <w:color w:val="auto"/>
              </w:rPr>
              <w:t>9</w:t>
            </w:r>
          </w:p>
        </w:tc>
        <w:tc>
          <w:tcPr>
            <w:tcW w:w="760" w:type="dxa"/>
            <w:vAlign w:val="bottom"/>
            <w:tcBorders>
              <w:bottom w:val="single" w:sz="8" w:color="auto"/>
            </w:tcBorders>
          </w:tcPr>
          <w:p>
            <w:pPr>
              <w:jc w:val="right"/>
              <w:ind w:right="89"/>
              <w:spacing w:after="0" w:line="157" w:lineRule="exact"/>
              <w:rPr>
                <w:sz w:val="20"/>
                <w:szCs w:val="20"/>
                <w:color w:val="auto"/>
              </w:rPr>
            </w:pPr>
            <w:r>
              <w:rPr>
                <w:rFonts w:ascii="Arial" w:cs="Arial" w:eastAsia="Arial" w:hAnsi="Arial"/>
                <w:sz w:val="14"/>
                <w:szCs w:val="14"/>
                <w:color w:val="auto"/>
              </w:rPr>
              <w:t>–</w:t>
            </w:r>
          </w:p>
        </w:tc>
        <w:tc>
          <w:tcPr>
            <w:tcW w:w="660" w:type="dxa"/>
            <w:vAlign w:val="bottom"/>
            <w:tcBorders>
              <w:bottom w:val="single" w:sz="8" w:color="auto"/>
            </w:tcBorders>
          </w:tcPr>
          <w:p>
            <w:pPr>
              <w:jc w:val="right"/>
              <w:ind w:right="28"/>
              <w:spacing w:after="0" w:line="157" w:lineRule="exact"/>
              <w:rPr>
                <w:sz w:val="20"/>
                <w:szCs w:val="20"/>
                <w:color w:val="auto"/>
              </w:rPr>
            </w:pPr>
            <w:r>
              <w:rPr>
                <w:rFonts w:ascii="Arial" w:cs="Arial" w:eastAsia="Arial" w:hAnsi="Arial"/>
                <w:sz w:val="14"/>
                <w:szCs w:val="14"/>
                <w:color w:val="auto"/>
              </w:rPr>
              <w:t>–</w:t>
            </w:r>
          </w:p>
        </w:tc>
        <w:tc>
          <w:tcPr>
            <w:tcW w:w="660" w:type="dxa"/>
            <w:vAlign w:val="bottom"/>
            <w:tcBorders>
              <w:bottom w:val="single" w:sz="8" w:color="auto"/>
            </w:tcBorders>
          </w:tcPr>
          <w:p>
            <w:pPr>
              <w:jc w:val="right"/>
              <w:ind w:right="29"/>
              <w:spacing w:after="0" w:line="157" w:lineRule="exact"/>
              <w:rPr>
                <w:sz w:val="20"/>
                <w:szCs w:val="20"/>
                <w:color w:val="auto"/>
              </w:rPr>
            </w:pPr>
            <w:r>
              <w:rPr>
                <w:rFonts w:ascii="Arial" w:cs="Arial" w:eastAsia="Arial" w:hAnsi="Arial"/>
                <w:sz w:val="14"/>
                <w:szCs w:val="14"/>
                <w:color w:val="auto"/>
              </w:rPr>
              <w:t>9</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37" w:lineRule="exact"/>
        <w:rPr>
          <w:sz w:val="20"/>
          <w:szCs w:val="20"/>
          <w:color w:val="auto"/>
        </w:rPr>
      </w:pPr>
    </w:p>
    <w:p>
      <w:pPr>
        <w:spacing w:after="0"/>
        <w:rPr>
          <w:sz w:val="20"/>
          <w:szCs w:val="20"/>
          <w:color w:val="auto"/>
        </w:rPr>
      </w:pPr>
      <w:r>
        <w:rPr>
          <w:rFonts w:ascii="Arial" w:cs="Arial" w:eastAsia="Arial" w:hAnsi="Arial"/>
          <w:sz w:val="11"/>
          <w:szCs w:val="11"/>
          <w:color w:val="auto"/>
        </w:rPr>
        <w:t>[A] Includes 2 million barrels consumed in operations.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3000" w:type="dxa"/>
            <w:vAlign w:val="bottom"/>
            <w:gridSpan w:val="4"/>
            <w:shd w:val="clear" w:color="auto" w:fill="333333"/>
          </w:tcPr>
          <w:p>
            <w:pPr>
              <w:ind w:left="80"/>
              <w:spacing w:after="0"/>
              <w:rPr>
                <w:sz w:val="20"/>
                <w:szCs w:val="20"/>
                <w:color w:val="auto"/>
              </w:rPr>
            </w:pPr>
            <w:r>
              <w:rPr>
                <w:rFonts w:ascii="Arial" w:cs="Arial" w:eastAsia="Arial" w:hAnsi="Arial"/>
                <w:sz w:val="15"/>
                <w:szCs w:val="15"/>
                <w:b w:val="1"/>
                <w:bCs w:val="1"/>
                <w:color w:val="FFFFFF"/>
              </w:rPr>
              <w:t>PROVED DEVELOPED RESERVES 2014</w:t>
            </w:r>
          </w:p>
        </w:tc>
        <w:tc>
          <w:tcPr>
            <w:tcW w:w="440" w:type="dxa"/>
            <w:vAlign w:val="bottom"/>
            <w:shd w:val="clear" w:color="auto" w:fill="333333"/>
          </w:tcPr>
          <w:p>
            <w:pPr>
              <w:spacing w:after="0"/>
              <w:rPr>
                <w:sz w:val="15"/>
                <w:szCs w:val="15"/>
                <w:color w:val="auto"/>
              </w:rPr>
            </w:pPr>
          </w:p>
        </w:tc>
        <w:tc>
          <w:tcPr>
            <w:tcW w:w="200" w:type="dxa"/>
            <w:vAlign w:val="bottom"/>
            <w:shd w:val="clear" w:color="auto" w:fill="333333"/>
          </w:tcPr>
          <w:p>
            <w:pPr>
              <w:spacing w:after="0"/>
              <w:rPr>
                <w:sz w:val="15"/>
                <w:szCs w:val="15"/>
                <w:color w:val="auto"/>
              </w:rPr>
            </w:pPr>
          </w:p>
        </w:tc>
        <w:tc>
          <w:tcPr>
            <w:tcW w:w="560" w:type="dxa"/>
            <w:vAlign w:val="bottom"/>
            <w:shd w:val="clear" w:color="auto" w:fill="333333"/>
          </w:tcPr>
          <w:p>
            <w:pPr>
              <w:spacing w:after="0"/>
              <w:rPr>
                <w:sz w:val="15"/>
                <w:szCs w:val="15"/>
                <w:color w:val="auto"/>
              </w:rPr>
            </w:pPr>
          </w:p>
        </w:tc>
        <w:tc>
          <w:tcPr>
            <w:tcW w:w="200" w:type="dxa"/>
            <w:vAlign w:val="bottom"/>
            <w:shd w:val="clear" w:color="auto" w:fill="333333"/>
          </w:tcPr>
          <w:p>
            <w:pPr>
              <w:spacing w:after="0"/>
              <w:rPr>
                <w:sz w:val="15"/>
                <w:szCs w:val="15"/>
                <w:color w:val="auto"/>
              </w:rPr>
            </w:pPr>
          </w:p>
        </w:tc>
        <w:tc>
          <w:tcPr>
            <w:tcW w:w="520" w:type="dxa"/>
            <w:vAlign w:val="bottom"/>
            <w:shd w:val="clear" w:color="auto" w:fill="333333"/>
          </w:tcPr>
          <w:p>
            <w:pPr>
              <w:spacing w:after="0"/>
              <w:rPr>
                <w:sz w:val="15"/>
                <w:szCs w:val="15"/>
                <w:color w:val="auto"/>
              </w:rPr>
            </w:pPr>
          </w:p>
        </w:tc>
        <w:tc>
          <w:tcPr>
            <w:tcW w:w="200" w:type="dxa"/>
            <w:vAlign w:val="bottom"/>
            <w:shd w:val="clear" w:color="auto" w:fill="333333"/>
          </w:tcPr>
          <w:p>
            <w:pPr>
              <w:spacing w:after="0"/>
              <w:rPr>
                <w:sz w:val="15"/>
                <w:szCs w:val="15"/>
                <w:color w:val="auto"/>
              </w:rPr>
            </w:pPr>
          </w:p>
        </w:tc>
        <w:tc>
          <w:tcPr>
            <w:tcW w:w="600" w:type="dxa"/>
            <w:vAlign w:val="bottom"/>
            <w:shd w:val="clear" w:color="auto" w:fill="333333"/>
          </w:tcPr>
          <w:p>
            <w:pPr>
              <w:spacing w:after="0"/>
              <w:rPr>
                <w:sz w:val="15"/>
                <w:szCs w:val="15"/>
                <w:color w:val="auto"/>
              </w:rPr>
            </w:pPr>
          </w:p>
        </w:tc>
        <w:tc>
          <w:tcPr>
            <w:tcW w:w="120" w:type="dxa"/>
            <w:vAlign w:val="bottom"/>
            <w:shd w:val="clear" w:color="auto" w:fill="333333"/>
          </w:tcPr>
          <w:p>
            <w:pPr>
              <w:spacing w:after="0"/>
              <w:rPr>
                <w:sz w:val="15"/>
                <w:szCs w:val="15"/>
                <w:color w:val="auto"/>
              </w:rPr>
            </w:pPr>
          </w:p>
        </w:tc>
        <w:tc>
          <w:tcPr>
            <w:tcW w:w="640" w:type="dxa"/>
            <w:vAlign w:val="bottom"/>
            <w:shd w:val="clear" w:color="auto" w:fill="333333"/>
          </w:tcPr>
          <w:p>
            <w:pPr>
              <w:spacing w:after="0"/>
              <w:rPr>
                <w:sz w:val="15"/>
                <w:szCs w:val="15"/>
                <w:color w:val="auto"/>
              </w:rPr>
            </w:pPr>
          </w:p>
        </w:tc>
        <w:tc>
          <w:tcPr>
            <w:tcW w:w="720" w:type="dxa"/>
            <w:vAlign w:val="bottom"/>
            <w:shd w:val="clear" w:color="auto" w:fill="333333"/>
          </w:tcPr>
          <w:p>
            <w:pPr>
              <w:spacing w:after="0"/>
              <w:rPr>
                <w:sz w:val="15"/>
                <w:szCs w:val="15"/>
                <w:color w:val="auto"/>
              </w:rPr>
            </w:pPr>
          </w:p>
        </w:tc>
        <w:tc>
          <w:tcPr>
            <w:tcW w:w="660" w:type="dxa"/>
            <w:vAlign w:val="bottom"/>
            <w:shd w:val="clear" w:color="auto" w:fill="333333"/>
          </w:tcPr>
          <w:p>
            <w:pPr>
              <w:spacing w:after="0"/>
              <w:rPr>
                <w:sz w:val="15"/>
                <w:szCs w:val="15"/>
                <w:color w:val="auto"/>
              </w:rPr>
            </w:pPr>
          </w:p>
        </w:tc>
        <w:tc>
          <w:tcPr>
            <w:tcW w:w="120" w:type="dxa"/>
            <w:vAlign w:val="bottom"/>
            <w:shd w:val="clear" w:color="auto" w:fill="333333"/>
          </w:tcPr>
          <w:p>
            <w:pPr>
              <w:spacing w:after="0"/>
              <w:rPr>
                <w:sz w:val="15"/>
                <w:szCs w:val="15"/>
                <w:color w:val="auto"/>
              </w:rPr>
            </w:pPr>
          </w:p>
        </w:tc>
        <w:tc>
          <w:tcPr>
            <w:tcW w:w="540" w:type="dxa"/>
            <w:vAlign w:val="bottom"/>
            <w:shd w:val="clear" w:color="auto" w:fill="333333"/>
          </w:tcPr>
          <w:p>
            <w:pPr>
              <w:spacing w:after="0"/>
              <w:rPr>
                <w:sz w:val="15"/>
                <w:szCs w:val="15"/>
                <w:color w:val="auto"/>
              </w:rPr>
            </w:pPr>
          </w:p>
        </w:tc>
        <w:tc>
          <w:tcPr>
            <w:tcW w:w="220" w:type="dxa"/>
            <w:vAlign w:val="bottom"/>
            <w:shd w:val="clear" w:color="auto" w:fill="333333"/>
          </w:tcPr>
          <w:p>
            <w:pPr>
              <w:spacing w:after="0"/>
              <w:rPr>
                <w:sz w:val="15"/>
                <w:szCs w:val="15"/>
                <w:color w:val="auto"/>
              </w:rPr>
            </w:pPr>
          </w:p>
        </w:tc>
        <w:tc>
          <w:tcPr>
            <w:tcW w:w="620" w:type="dxa"/>
            <w:vAlign w:val="bottom"/>
            <w:shd w:val="clear" w:color="auto" w:fill="333333"/>
          </w:tcPr>
          <w:p>
            <w:pPr>
              <w:spacing w:after="0"/>
              <w:rPr>
                <w:sz w:val="15"/>
                <w:szCs w:val="15"/>
                <w:color w:val="auto"/>
              </w:rPr>
            </w:pPr>
          </w:p>
        </w:tc>
        <w:tc>
          <w:tcPr>
            <w:tcW w:w="2060" w:type="dxa"/>
            <w:vAlign w:val="bottom"/>
            <w:gridSpan w:val="3"/>
            <w:shd w:val="clear" w:color="auto" w:fill="333333"/>
          </w:tcPr>
          <w:p>
            <w:pPr>
              <w:jc w:val="right"/>
              <w:ind w:right="32"/>
              <w:spacing w:after="0"/>
              <w:rPr>
                <w:sz w:val="20"/>
                <w:szCs w:val="20"/>
                <w:color w:val="auto"/>
              </w:rPr>
            </w:pPr>
            <w:r>
              <w:rPr>
                <w:rFonts w:ascii="Arial" w:cs="Arial" w:eastAsia="Arial" w:hAnsi="Arial"/>
                <w:sz w:val="15"/>
                <w:szCs w:val="15"/>
                <w:color w:val="FFFFFF"/>
              </w:rPr>
              <w:t>MILLION BARRELS</w:t>
            </w:r>
          </w:p>
        </w:tc>
      </w:tr>
      <w:tr>
        <w:trPr>
          <w:trHeight w:val="135"/>
        </w:trPr>
        <w:tc>
          <w:tcPr>
            <w:tcW w:w="2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1380" w:type="dxa"/>
            <w:vAlign w:val="bottom"/>
            <w:tcBorders>
              <w:bottom w:val="single" w:sz="8" w:color="auto"/>
            </w:tcBorders>
            <w:gridSpan w:val="2"/>
          </w:tcPr>
          <w:p>
            <w:pPr>
              <w:jc w:val="right"/>
              <w:ind w:right="11"/>
              <w:spacing w:after="0" w:line="115" w:lineRule="exact"/>
              <w:rPr>
                <w:sz w:val="20"/>
                <w:szCs w:val="20"/>
                <w:color w:val="auto"/>
              </w:rPr>
            </w:pPr>
            <w:r>
              <w:rPr>
                <w:rFonts w:ascii="Arial" w:cs="Arial" w:eastAsia="Arial" w:hAnsi="Arial"/>
                <w:sz w:val="13"/>
                <w:szCs w:val="13"/>
                <w:color w:val="auto"/>
              </w:rPr>
              <w:t>North America</w:t>
            </w:r>
          </w:p>
        </w:tc>
        <w:tc>
          <w:tcPr>
            <w:tcW w:w="120" w:type="dxa"/>
            <w:vAlign w:val="bottom"/>
          </w:tcPr>
          <w:p>
            <w:pPr>
              <w:spacing w:after="0"/>
              <w:rPr>
                <w:sz w:val="11"/>
                <w:szCs w:val="11"/>
                <w:color w:val="auto"/>
              </w:rPr>
            </w:pPr>
          </w:p>
        </w:tc>
        <w:tc>
          <w:tcPr>
            <w:tcW w:w="760" w:type="dxa"/>
            <w:vAlign w:val="bottom"/>
            <w:gridSpan w:val="2"/>
          </w:tcPr>
          <w:p>
            <w:pPr>
              <w:jc w:val="right"/>
              <w:ind w:right="220"/>
              <w:spacing w:after="0" w:line="129" w:lineRule="exact"/>
              <w:rPr>
                <w:sz w:val="20"/>
                <w:szCs w:val="20"/>
                <w:color w:val="auto"/>
              </w:rPr>
            </w:pPr>
            <w:r>
              <w:rPr>
                <w:rFonts w:ascii="Arial" w:cs="Arial" w:eastAsia="Arial" w:hAnsi="Arial"/>
                <w:sz w:val="13"/>
                <w:szCs w:val="13"/>
                <w:color w:val="auto"/>
              </w:rPr>
              <w:t>South</w:t>
            </w:r>
          </w:p>
        </w:tc>
        <w:tc>
          <w:tcPr>
            <w:tcW w:w="6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r>
      <w:tr>
        <w:trPr>
          <w:trHeight w:val="156"/>
        </w:trPr>
        <w:tc>
          <w:tcPr>
            <w:tcW w:w="2180" w:type="dxa"/>
            <w:vAlign w:val="bottom"/>
          </w:tcPr>
          <w:p>
            <w:pPr>
              <w:spacing w:after="0"/>
              <w:rPr>
                <w:sz w:val="13"/>
                <w:szCs w:val="13"/>
                <w:color w:val="auto"/>
              </w:rPr>
            </w:pPr>
          </w:p>
        </w:tc>
        <w:tc>
          <w:tcPr>
            <w:tcW w:w="820" w:type="dxa"/>
            <w:vAlign w:val="bottom"/>
            <w:gridSpan w:val="3"/>
          </w:tcPr>
          <w:p>
            <w:pPr>
              <w:jc w:val="right"/>
              <w:ind w:right="300"/>
              <w:spacing w:after="0"/>
              <w:rPr>
                <w:sz w:val="20"/>
                <w:szCs w:val="20"/>
                <w:color w:val="auto"/>
              </w:rPr>
            </w:pPr>
            <w:r>
              <w:rPr>
                <w:rFonts w:ascii="Arial" w:cs="Arial" w:eastAsia="Arial" w:hAnsi="Arial"/>
                <w:sz w:val="13"/>
                <w:szCs w:val="13"/>
                <w:color w:val="auto"/>
              </w:rPr>
              <w:t>Europe</w:t>
            </w:r>
          </w:p>
        </w:tc>
        <w:tc>
          <w:tcPr>
            <w:tcW w:w="640" w:type="dxa"/>
            <w:vAlign w:val="bottom"/>
            <w:gridSpan w:val="2"/>
          </w:tcPr>
          <w:p>
            <w:pPr>
              <w:jc w:val="right"/>
              <w:ind w:right="200"/>
              <w:spacing w:after="0"/>
              <w:rPr>
                <w:sz w:val="20"/>
                <w:szCs w:val="20"/>
                <w:color w:val="auto"/>
              </w:rPr>
            </w:pPr>
            <w:r>
              <w:rPr>
                <w:rFonts w:ascii="Arial" w:cs="Arial" w:eastAsia="Arial" w:hAnsi="Arial"/>
                <w:sz w:val="13"/>
                <w:szCs w:val="13"/>
                <w:color w:val="auto"/>
              </w:rPr>
              <w:t>Asia</w:t>
            </w:r>
          </w:p>
        </w:tc>
        <w:tc>
          <w:tcPr>
            <w:tcW w:w="760" w:type="dxa"/>
            <w:vAlign w:val="bottom"/>
            <w:gridSpan w:val="2"/>
          </w:tcPr>
          <w:p>
            <w:pPr>
              <w:jc w:val="right"/>
              <w:ind w:right="200"/>
              <w:spacing w:after="0"/>
              <w:rPr>
                <w:sz w:val="20"/>
                <w:szCs w:val="20"/>
                <w:color w:val="auto"/>
              </w:rPr>
            </w:pPr>
            <w:r>
              <w:rPr>
                <w:rFonts w:ascii="Arial" w:cs="Arial" w:eastAsia="Arial" w:hAnsi="Arial"/>
                <w:sz w:val="13"/>
                <w:szCs w:val="13"/>
                <w:color w:val="auto"/>
              </w:rPr>
              <w:t>Oceania</w:t>
            </w:r>
          </w:p>
        </w:tc>
        <w:tc>
          <w:tcPr>
            <w:tcW w:w="720" w:type="dxa"/>
            <w:vAlign w:val="bottom"/>
            <w:gridSpan w:val="2"/>
          </w:tcPr>
          <w:p>
            <w:pPr>
              <w:jc w:val="right"/>
              <w:ind w:right="200"/>
              <w:spacing w:after="0"/>
              <w:rPr>
                <w:sz w:val="20"/>
                <w:szCs w:val="20"/>
                <w:color w:val="auto"/>
              </w:rPr>
            </w:pPr>
            <w:r>
              <w:rPr>
                <w:rFonts w:ascii="Arial" w:cs="Arial" w:eastAsia="Arial" w:hAnsi="Arial"/>
                <w:sz w:val="13"/>
                <w:szCs w:val="13"/>
                <w:color w:val="auto"/>
              </w:rPr>
              <w:t>Africa</w:t>
            </w:r>
          </w:p>
        </w:tc>
        <w:tc>
          <w:tcPr>
            <w:tcW w:w="720" w:type="dxa"/>
            <w:vAlign w:val="bottom"/>
            <w:gridSpan w:val="2"/>
          </w:tcPr>
          <w:p>
            <w:pPr>
              <w:jc w:val="right"/>
              <w:ind w:right="220"/>
              <w:spacing w:after="0"/>
              <w:rPr>
                <w:sz w:val="20"/>
                <w:szCs w:val="20"/>
                <w:color w:val="auto"/>
              </w:rPr>
            </w:pPr>
            <w:r>
              <w:rPr>
                <w:rFonts w:ascii="Arial" w:cs="Arial" w:eastAsia="Arial" w:hAnsi="Arial"/>
                <w:sz w:val="13"/>
                <w:szCs w:val="13"/>
                <w:color w:val="auto"/>
              </w:rPr>
              <w:t>USA</w:t>
            </w:r>
          </w:p>
        </w:tc>
        <w:tc>
          <w:tcPr>
            <w:tcW w:w="6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60" w:type="dxa"/>
            <w:vAlign w:val="bottom"/>
          </w:tcPr>
          <w:p>
            <w:pPr>
              <w:jc w:val="right"/>
              <w:ind w:right="11"/>
              <w:spacing w:after="0"/>
              <w:rPr>
                <w:sz w:val="20"/>
                <w:szCs w:val="20"/>
                <w:color w:val="auto"/>
              </w:rPr>
            </w:pPr>
            <w:r>
              <w:rPr>
                <w:rFonts w:ascii="Arial" w:cs="Arial" w:eastAsia="Arial" w:hAnsi="Arial"/>
                <w:sz w:val="13"/>
                <w:szCs w:val="13"/>
                <w:color w:val="auto"/>
              </w:rPr>
              <w:t>Canada</w:t>
            </w:r>
          </w:p>
        </w:tc>
        <w:tc>
          <w:tcPr>
            <w:tcW w:w="120" w:type="dxa"/>
            <w:vAlign w:val="bottom"/>
          </w:tcPr>
          <w:p>
            <w:pPr>
              <w:spacing w:after="0"/>
              <w:rPr>
                <w:sz w:val="13"/>
                <w:szCs w:val="13"/>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3"/>
                <w:szCs w:val="13"/>
                <w:color w:val="auto"/>
              </w:rPr>
              <w:t>America</w:t>
            </w:r>
          </w:p>
        </w:tc>
        <w:tc>
          <w:tcPr>
            <w:tcW w:w="6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80" w:type="dxa"/>
            <w:vAlign w:val="bottom"/>
          </w:tcPr>
          <w:p>
            <w:pPr>
              <w:jc w:val="right"/>
              <w:ind w:right="32"/>
              <w:spacing w:after="0"/>
              <w:rPr>
                <w:sz w:val="20"/>
                <w:szCs w:val="20"/>
                <w:color w:val="auto"/>
              </w:rPr>
            </w:pPr>
            <w:r>
              <w:rPr>
                <w:rFonts w:ascii="Arial" w:cs="Arial" w:eastAsia="Arial" w:hAnsi="Arial"/>
                <w:sz w:val="13"/>
                <w:szCs w:val="13"/>
                <w:color w:val="auto"/>
              </w:rPr>
              <w:t>Total</w:t>
            </w:r>
          </w:p>
        </w:tc>
      </w:tr>
      <w:tr>
        <w:trPr>
          <w:trHeight w:val="123"/>
        </w:trPr>
        <w:tc>
          <w:tcPr>
            <w:tcW w:w="2180" w:type="dxa"/>
            <w:vAlign w:val="bottom"/>
          </w:tcPr>
          <w:p>
            <w:pPr>
              <w:spacing w:after="0"/>
              <w:rPr>
                <w:sz w:val="10"/>
                <w:szCs w:val="10"/>
                <w:color w:val="auto"/>
              </w:rPr>
            </w:pPr>
          </w:p>
        </w:tc>
        <w:tc>
          <w:tcPr>
            <w:tcW w:w="520" w:type="dxa"/>
            <w:vAlign w:val="bottom"/>
            <w:tcBorders>
              <w:top w:val="single" w:sz="8" w:color="auto"/>
            </w:tcBorders>
          </w:tcPr>
          <w:p>
            <w:pPr>
              <w:jc w:val="right"/>
              <w:spacing w:after="0" w:line="123" w:lineRule="exact"/>
              <w:rPr>
                <w:sz w:val="20"/>
                <w:szCs w:val="20"/>
                <w:color w:val="auto"/>
              </w:rPr>
            </w:pPr>
            <w:r>
              <w:rPr>
                <w:rFonts w:ascii="Arial" w:cs="Arial" w:eastAsia="Arial" w:hAnsi="Arial"/>
                <w:sz w:val="13"/>
                <w:szCs w:val="13"/>
                <w:color w:val="auto"/>
              </w:rPr>
              <w:t>Oil and</w:t>
            </w:r>
          </w:p>
        </w:tc>
        <w:tc>
          <w:tcPr>
            <w:tcW w:w="22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440" w:type="dxa"/>
            <w:vAlign w:val="bottom"/>
            <w:tcBorders>
              <w:top w:val="single" w:sz="8" w:color="auto"/>
            </w:tcBorders>
          </w:tcPr>
          <w:p>
            <w:pPr>
              <w:jc w:val="right"/>
              <w:spacing w:after="0" w:line="123" w:lineRule="exact"/>
              <w:rPr>
                <w:sz w:val="20"/>
                <w:szCs w:val="20"/>
                <w:color w:val="auto"/>
              </w:rPr>
            </w:pPr>
            <w:r>
              <w:rPr>
                <w:rFonts w:ascii="Arial" w:cs="Arial" w:eastAsia="Arial" w:hAnsi="Arial"/>
                <w:sz w:val="13"/>
                <w:szCs w:val="13"/>
                <w:color w:val="auto"/>
              </w:rPr>
              <w:t>Oil and</w:t>
            </w:r>
          </w:p>
        </w:tc>
        <w:tc>
          <w:tcPr>
            <w:tcW w:w="200" w:type="dxa"/>
            <w:vAlign w:val="bottom"/>
          </w:tcPr>
          <w:p>
            <w:pPr>
              <w:spacing w:after="0"/>
              <w:rPr>
                <w:sz w:val="10"/>
                <w:szCs w:val="10"/>
                <w:color w:val="auto"/>
              </w:rPr>
            </w:pPr>
          </w:p>
        </w:tc>
        <w:tc>
          <w:tcPr>
            <w:tcW w:w="560" w:type="dxa"/>
            <w:vAlign w:val="bottom"/>
            <w:tcBorders>
              <w:top w:val="single" w:sz="8" w:color="auto"/>
            </w:tcBorders>
          </w:tcPr>
          <w:p>
            <w:pPr>
              <w:jc w:val="right"/>
              <w:spacing w:after="0" w:line="123" w:lineRule="exact"/>
              <w:rPr>
                <w:sz w:val="20"/>
                <w:szCs w:val="20"/>
                <w:color w:val="auto"/>
              </w:rPr>
            </w:pPr>
            <w:r>
              <w:rPr>
                <w:rFonts w:ascii="Arial" w:cs="Arial" w:eastAsia="Arial" w:hAnsi="Arial"/>
                <w:sz w:val="13"/>
                <w:szCs w:val="13"/>
                <w:color w:val="auto"/>
              </w:rPr>
              <w:t>Oil and</w:t>
            </w:r>
          </w:p>
        </w:tc>
        <w:tc>
          <w:tcPr>
            <w:tcW w:w="200" w:type="dxa"/>
            <w:vAlign w:val="bottom"/>
          </w:tcPr>
          <w:p>
            <w:pPr>
              <w:spacing w:after="0"/>
              <w:rPr>
                <w:sz w:val="10"/>
                <w:szCs w:val="10"/>
                <w:color w:val="auto"/>
              </w:rPr>
            </w:pPr>
          </w:p>
        </w:tc>
        <w:tc>
          <w:tcPr>
            <w:tcW w:w="520" w:type="dxa"/>
            <w:vAlign w:val="bottom"/>
            <w:tcBorders>
              <w:top w:val="single" w:sz="8" w:color="auto"/>
            </w:tcBorders>
          </w:tcPr>
          <w:p>
            <w:pPr>
              <w:jc w:val="right"/>
              <w:spacing w:after="0" w:line="123" w:lineRule="exact"/>
              <w:rPr>
                <w:sz w:val="20"/>
                <w:szCs w:val="20"/>
                <w:color w:val="auto"/>
              </w:rPr>
            </w:pPr>
            <w:r>
              <w:rPr>
                <w:rFonts w:ascii="Arial" w:cs="Arial" w:eastAsia="Arial" w:hAnsi="Arial"/>
                <w:sz w:val="13"/>
                <w:szCs w:val="13"/>
                <w:color w:val="auto"/>
              </w:rPr>
              <w:t>Oil and</w:t>
            </w:r>
          </w:p>
        </w:tc>
        <w:tc>
          <w:tcPr>
            <w:tcW w:w="200" w:type="dxa"/>
            <w:vAlign w:val="bottom"/>
          </w:tcPr>
          <w:p>
            <w:pPr>
              <w:spacing w:after="0"/>
              <w:rPr>
                <w:sz w:val="10"/>
                <w:szCs w:val="10"/>
                <w:color w:val="auto"/>
              </w:rPr>
            </w:pPr>
          </w:p>
        </w:tc>
        <w:tc>
          <w:tcPr>
            <w:tcW w:w="600" w:type="dxa"/>
            <w:vAlign w:val="bottom"/>
            <w:tcBorders>
              <w:top w:val="single" w:sz="8" w:color="auto"/>
            </w:tcBorders>
          </w:tcPr>
          <w:p>
            <w:pPr>
              <w:jc w:val="right"/>
              <w:ind w:right="32"/>
              <w:spacing w:after="0" w:line="123" w:lineRule="exact"/>
              <w:rPr>
                <w:sz w:val="20"/>
                <w:szCs w:val="20"/>
                <w:color w:val="auto"/>
              </w:rPr>
            </w:pPr>
            <w:r>
              <w:rPr>
                <w:rFonts w:ascii="Arial" w:cs="Arial" w:eastAsia="Arial" w:hAnsi="Arial"/>
                <w:sz w:val="13"/>
                <w:szCs w:val="13"/>
                <w:color w:val="auto"/>
              </w:rPr>
              <w:t>Oil and</w:t>
            </w:r>
          </w:p>
        </w:tc>
        <w:tc>
          <w:tcPr>
            <w:tcW w:w="120" w:type="dxa"/>
            <w:vAlign w:val="bottom"/>
          </w:tcPr>
          <w:p>
            <w:pPr>
              <w:spacing w:after="0"/>
              <w:rPr>
                <w:sz w:val="10"/>
                <w:szCs w:val="10"/>
                <w:color w:val="auto"/>
              </w:rPr>
            </w:pPr>
          </w:p>
        </w:tc>
        <w:tc>
          <w:tcPr>
            <w:tcW w:w="640" w:type="dxa"/>
            <w:vAlign w:val="bottom"/>
            <w:tcBorders>
              <w:top w:val="single" w:sz="8" w:color="auto"/>
            </w:tcBorders>
          </w:tcPr>
          <w:p>
            <w:pPr>
              <w:jc w:val="right"/>
              <w:ind w:right="51"/>
              <w:spacing w:after="0" w:line="123" w:lineRule="exact"/>
              <w:rPr>
                <w:sz w:val="20"/>
                <w:szCs w:val="20"/>
                <w:color w:val="auto"/>
              </w:rPr>
            </w:pPr>
            <w:r>
              <w:rPr>
                <w:rFonts w:ascii="Arial" w:cs="Arial" w:eastAsia="Arial" w:hAnsi="Arial"/>
                <w:sz w:val="13"/>
                <w:szCs w:val="13"/>
                <w:color w:val="auto"/>
              </w:rPr>
              <w:t>Oil and</w:t>
            </w:r>
          </w:p>
        </w:tc>
        <w:tc>
          <w:tcPr>
            <w:tcW w:w="720" w:type="dxa"/>
            <w:vAlign w:val="bottom"/>
            <w:tcBorders>
              <w:top w:val="single" w:sz="8" w:color="auto"/>
            </w:tcBorders>
          </w:tcPr>
          <w:p>
            <w:pPr>
              <w:jc w:val="right"/>
              <w:ind w:right="32"/>
              <w:spacing w:after="0" w:line="123" w:lineRule="exact"/>
              <w:rPr>
                <w:sz w:val="20"/>
                <w:szCs w:val="20"/>
                <w:color w:val="auto"/>
              </w:rPr>
            </w:pPr>
            <w:r>
              <w:rPr>
                <w:rFonts w:ascii="Arial" w:cs="Arial" w:eastAsia="Arial" w:hAnsi="Arial"/>
                <w:sz w:val="13"/>
                <w:szCs w:val="13"/>
                <w:color w:val="auto"/>
              </w:rPr>
              <w:t>Synthetic</w:t>
            </w:r>
          </w:p>
        </w:tc>
        <w:tc>
          <w:tcPr>
            <w:tcW w:w="66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Borders>
              <w:top w:val="single" w:sz="8" w:color="auto"/>
            </w:tcBorders>
          </w:tcPr>
          <w:p>
            <w:pPr>
              <w:jc w:val="right"/>
              <w:spacing w:after="0" w:line="123" w:lineRule="exact"/>
              <w:rPr>
                <w:sz w:val="20"/>
                <w:szCs w:val="20"/>
                <w:color w:val="auto"/>
              </w:rPr>
            </w:pPr>
            <w:r>
              <w:rPr>
                <w:rFonts w:ascii="Arial" w:cs="Arial" w:eastAsia="Arial" w:hAnsi="Arial"/>
                <w:sz w:val="13"/>
                <w:szCs w:val="13"/>
                <w:color w:val="auto"/>
              </w:rPr>
              <w:t>Oil and</w:t>
            </w:r>
          </w:p>
        </w:tc>
        <w:tc>
          <w:tcPr>
            <w:tcW w:w="220" w:type="dxa"/>
            <w:vAlign w:val="bottom"/>
          </w:tcPr>
          <w:p>
            <w:pPr>
              <w:spacing w:after="0"/>
              <w:rPr>
                <w:sz w:val="10"/>
                <w:szCs w:val="10"/>
                <w:color w:val="auto"/>
              </w:rPr>
            </w:pPr>
          </w:p>
        </w:tc>
        <w:tc>
          <w:tcPr>
            <w:tcW w:w="620" w:type="dxa"/>
            <w:vAlign w:val="bottom"/>
            <w:tcBorders>
              <w:top w:val="single" w:sz="8" w:color="auto"/>
            </w:tcBorders>
          </w:tcPr>
          <w:p>
            <w:pPr>
              <w:jc w:val="right"/>
              <w:ind w:right="31"/>
              <w:spacing w:after="0" w:line="123" w:lineRule="exact"/>
              <w:rPr>
                <w:sz w:val="20"/>
                <w:szCs w:val="20"/>
                <w:color w:val="auto"/>
              </w:rPr>
            </w:pPr>
            <w:r>
              <w:rPr>
                <w:rFonts w:ascii="Arial" w:cs="Arial" w:eastAsia="Arial" w:hAnsi="Arial"/>
                <w:sz w:val="13"/>
                <w:szCs w:val="13"/>
                <w:color w:val="auto"/>
              </w:rPr>
              <w:t>Oil and</w:t>
            </w:r>
          </w:p>
        </w:tc>
        <w:tc>
          <w:tcPr>
            <w:tcW w:w="740" w:type="dxa"/>
            <w:vAlign w:val="bottom"/>
            <w:tcBorders>
              <w:top w:val="single" w:sz="8" w:color="auto"/>
            </w:tcBorders>
          </w:tcPr>
          <w:p>
            <w:pPr>
              <w:jc w:val="right"/>
              <w:ind w:right="50"/>
              <w:spacing w:after="0" w:line="123" w:lineRule="exact"/>
              <w:rPr>
                <w:sz w:val="20"/>
                <w:szCs w:val="20"/>
                <w:color w:val="auto"/>
              </w:rPr>
            </w:pPr>
            <w:r>
              <w:rPr>
                <w:rFonts w:ascii="Arial" w:cs="Arial" w:eastAsia="Arial" w:hAnsi="Arial"/>
                <w:sz w:val="13"/>
                <w:szCs w:val="13"/>
                <w:color w:val="auto"/>
              </w:rPr>
              <w:t>Synthetic</w:t>
            </w:r>
          </w:p>
        </w:tc>
        <w:tc>
          <w:tcPr>
            <w:tcW w:w="64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jc w:val="right"/>
              <w:ind w:right="32"/>
              <w:spacing w:after="0" w:line="123" w:lineRule="exact"/>
              <w:rPr>
                <w:sz w:val="20"/>
                <w:szCs w:val="20"/>
                <w:color w:val="auto"/>
              </w:rPr>
            </w:pPr>
            <w:r>
              <w:rPr>
                <w:rFonts w:ascii="Arial" w:cs="Arial" w:eastAsia="Arial" w:hAnsi="Arial"/>
                <w:sz w:val="13"/>
                <w:szCs w:val="13"/>
                <w:color w:val="auto"/>
              </w:rPr>
              <w:t>All</w:t>
            </w:r>
          </w:p>
        </w:tc>
      </w:tr>
      <w:tr>
        <w:trPr>
          <w:trHeight w:val="141"/>
        </w:trPr>
        <w:tc>
          <w:tcPr>
            <w:tcW w:w="218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gridSpan w:val="3"/>
          </w:tcPr>
          <w:p>
            <w:pPr>
              <w:jc w:val="right"/>
              <w:ind w:right="300"/>
              <w:spacing w:after="0" w:line="141" w:lineRule="exact"/>
              <w:rPr>
                <w:sz w:val="20"/>
                <w:szCs w:val="20"/>
                <w:color w:val="auto"/>
              </w:rPr>
            </w:pPr>
            <w:r>
              <w:rPr>
                <w:rFonts w:ascii="Arial" w:cs="Arial" w:eastAsia="Arial" w:hAnsi="Arial"/>
                <w:sz w:val="13"/>
                <w:szCs w:val="13"/>
                <w:color w:val="auto"/>
              </w:rPr>
              <w:t>NGL</w:t>
            </w:r>
          </w:p>
        </w:tc>
        <w:tc>
          <w:tcPr>
            <w:tcW w:w="640" w:type="dxa"/>
            <w:vAlign w:val="bottom"/>
            <w:tcBorders>
              <w:bottom w:val="single" w:sz="8" w:color="auto"/>
            </w:tcBorders>
            <w:gridSpan w:val="2"/>
          </w:tcPr>
          <w:p>
            <w:pPr>
              <w:jc w:val="right"/>
              <w:ind w:right="200"/>
              <w:spacing w:after="0" w:line="141" w:lineRule="exact"/>
              <w:rPr>
                <w:sz w:val="20"/>
                <w:szCs w:val="20"/>
                <w:color w:val="auto"/>
              </w:rPr>
            </w:pPr>
            <w:r>
              <w:rPr>
                <w:rFonts w:ascii="Arial" w:cs="Arial" w:eastAsia="Arial" w:hAnsi="Arial"/>
                <w:sz w:val="13"/>
                <w:szCs w:val="13"/>
                <w:color w:val="auto"/>
              </w:rPr>
              <w:t>NGL</w:t>
            </w:r>
          </w:p>
        </w:tc>
        <w:tc>
          <w:tcPr>
            <w:tcW w:w="760" w:type="dxa"/>
            <w:vAlign w:val="bottom"/>
            <w:tcBorders>
              <w:bottom w:val="single" w:sz="8" w:color="auto"/>
            </w:tcBorders>
            <w:gridSpan w:val="2"/>
          </w:tcPr>
          <w:p>
            <w:pPr>
              <w:jc w:val="right"/>
              <w:ind w:right="200"/>
              <w:spacing w:after="0" w:line="141" w:lineRule="exact"/>
              <w:rPr>
                <w:sz w:val="20"/>
                <w:szCs w:val="20"/>
                <w:color w:val="auto"/>
              </w:rPr>
            </w:pPr>
            <w:r>
              <w:rPr>
                <w:rFonts w:ascii="Arial" w:cs="Arial" w:eastAsia="Arial" w:hAnsi="Arial"/>
                <w:sz w:val="13"/>
                <w:szCs w:val="13"/>
                <w:color w:val="auto"/>
              </w:rPr>
              <w:t>NGL</w:t>
            </w:r>
          </w:p>
        </w:tc>
        <w:tc>
          <w:tcPr>
            <w:tcW w:w="720" w:type="dxa"/>
            <w:vAlign w:val="bottom"/>
            <w:tcBorders>
              <w:bottom w:val="single" w:sz="8" w:color="auto"/>
            </w:tcBorders>
            <w:gridSpan w:val="2"/>
          </w:tcPr>
          <w:p>
            <w:pPr>
              <w:jc w:val="right"/>
              <w:ind w:right="200"/>
              <w:spacing w:after="0" w:line="141" w:lineRule="exact"/>
              <w:rPr>
                <w:sz w:val="20"/>
                <w:szCs w:val="20"/>
                <w:color w:val="auto"/>
              </w:rPr>
            </w:pPr>
            <w:r>
              <w:rPr>
                <w:rFonts w:ascii="Arial" w:cs="Arial" w:eastAsia="Arial" w:hAnsi="Arial"/>
                <w:sz w:val="13"/>
                <w:szCs w:val="13"/>
                <w:color w:val="auto"/>
              </w:rPr>
              <w:t>NGL</w:t>
            </w:r>
          </w:p>
        </w:tc>
        <w:tc>
          <w:tcPr>
            <w:tcW w:w="720" w:type="dxa"/>
            <w:vAlign w:val="bottom"/>
            <w:tcBorders>
              <w:bottom w:val="single" w:sz="8" w:color="auto"/>
            </w:tcBorders>
            <w:gridSpan w:val="2"/>
          </w:tcPr>
          <w:p>
            <w:pPr>
              <w:jc w:val="right"/>
              <w:ind w:right="220"/>
              <w:spacing w:after="0" w:line="141" w:lineRule="exact"/>
              <w:rPr>
                <w:sz w:val="20"/>
                <w:szCs w:val="20"/>
                <w:color w:val="auto"/>
              </w:rPr>
            </w:pPr>
            <w:r>
              <w:rPr>
                <w:rFonts w:ascii="Arial" w:cs="Arial" w:eastAsia="Arial" w:hAnsi="Arial"/>
                <w:sz w:val="13"/>
                <w:szCs w:val="13"/>
                <w:color w:val="auto"/>
              </w:rPr>
              <w:t>NGL</w:t>
            </w:r>
          </w:p>
        </w:tc>
        <w:tc>
          <w:tcPr>
            <w:tcW w:w="640" w:type="dxa"/>
            <w:vAlign w:val="bottom"/>
            <w:tcBorders>
              <w:bottom w:val="single" w:sz="8" w:color="auto"/>
            </w:tcBorders>
          </w:tcPr>
          <w:p>
            <w:pPr>
              <w:jc w:val="right"/>
              <w:ind w:right="51"/>
              <w:spacing w:after="0" w:line="141" w:lineRule="exact"/>
              <w:rPr>
                <w:sz w:val="20"/>
                <w:szCs w:val="20"/>
                <w:color w:val="auto"/>
              </w:rPr>
            </w:pPr>
            <w:r>
              <w:rPr>
                <w:rFonts w:ascii="Arial" w:cs="Arial" w:eastAsia="Arial" w:hAnsi="Arial"/>
                <w:sz w:val="13"/>
                <w:szCs w:val="13"/>
                <w:color w:val="auto"/>
              </w:rPr>
              <w:t>NGL</w:t>
            </w:r>
          </w:p>
        </w:tc>
        <w:tc>
          <w:tcPr>
            <w:tcW w:w="720" w:type="dxa"/>
            <w:vAlign w:val="bottom"/>
            <w:tcBorders>
              <w:bottom w:val="single" w:sz="8" w:color="auto"/>
            </w:tcBorders>
          </w:tcPr>
          <w:p>
            <w:pPr>
              <w:jc w:val="right"/>
              <w:ind w:right="32"/>
              <w:spacing w:after="0" w:line="141" w:lineRule="exact"/>
              <w:rPr>
                <w:sz w:val="20"/>
                <w:szCs w:val="20"/>
                <w:color w:val="auto"/>
              </w:rPr>
            </w:pPr>
            <w:r>
              <w:rPr>
                <w:rFonts w:ascii="Arial" w:cs="Arial" w:eastAsia="Arial" w:hAnsi="Arial"/>
                <w:sz w:val="13"/>
                <w:szCs w:val="13"/>
                <w:color w:val="auto"/>
              </w:rPr>
              <w:t>crude oil</w:t>
            </w:r>
          </w:p>
        </w:tc>
        <w:tc>
          <w:tcPr>
            <w:tcW w:w="660" w:type="dxa"/>
            <w:vAlign w:val="bottom"/>
            <w:tcBorders>
              <w:bottom w:val="single" w:sz="8" w:color="auto"/>
            </w:tcBorders>
          </w:tcPr>
          <w:p>
            <w:pPr>
              <w:jc w:val="right"/>
              <w:ind w:right="11"/>
              <w:spacing w:after="0" w:line="141" w:lineRule="exact"/>
              <w:rPr>
                <w:sz w:val="20"/>
                <w:szCs w:val="20"/>
                <w:color w:val="auto"/>
              </w:rPr>
            </w:pPr>
            <w:r>
              <w:rPr>
                <w:rFonts w:ascii="Arial" w:cs="Arial" w:eastAsia="Arial" w:hAnsi="Arial"/>
                <w:sz w:val="13"/>
                <w:szCs w:val="13"/>
                <w:color w:val="auto"/>
              </w:rPr>
              <w:t>Bitumen</w:t>
            </w:r>
          </w:p>
        </w:tc>
        <w:tc>
          <w:tcPr>
            <w:tcW w:w="12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gridSpan w:val="2"/>
          </w:tcPr>
          <w:p>
            <w:pPr>
              <w:jc w:val="right"/>
              <w:ind w:right="200"/>
              <w:spacing w:after="0" w:line="141" w:lineRule="exact"/>
              <w:rPr>
                <w:sz w:val="20"/>
                <w:szCs w:val="20"/>
                <w:color w:val="auto"/>
              </w:rPr>
            </w:pPr>
            <w:r>
              <w:rPr>
                <w:rFonts w:ascii="Arial" w:cs="Arial" w:eastAsia="Arial" w:hAnsi="Arial"/>
                <w:sz w:val="13"/>
                <w:szCs w:val="13"/>
                <w:color w:val="auto"/>
              </w:rPr>
              <w:t>NGL</w:t>
            </w:r>
          </w:p>
        </w:tc>
        <w:tc>
          <w:tcPr>
            <w:tcW w:w="620" w:type="dxa"/>
            <w:vAlign w:val="bottom"/>
            <w:tcBorders>
              <w:bottom w:val="single" w:sz="8" w:color="auto"/>
            </w:tcBorders>
          </w:tcPr>
          <w:p>
            <w:pPr>
              <w:jc w:val="right"/>
              <w:ind w:right="31"/>
              <w:spacing w:after="0" w:line="141" w:lineRule="exact"/>
              <w:rPr>
                <w:sz w:val="20"/>
                <w:szCs w:val="20"/>
                <w:color w:val="auto"/>
              </w:rPr>
            </w:pPr>
            <w:r>
              <w:rPr>
                <w:rFonts w:ascii="Arial" w:cs="Arial" w:eastAsia="Arial" w:hAnsi="Arial"/>
                <w:sz w:val="13"/>
                <w:szCs w:val="13"/>
                <w:color w:val="auto"/>
              </w:rPr>
              <w:t>NGL</w:t>
            </w:r>
          </w:p>
        </w:tc>
        <w:tc>
          <w:tcPr>
            <w:tcW w:w="740" w:type="dxa"/>
            <w:vAlign w:val="bottom"/>
            <w:tcBorders>
              <w:bottom w:val="single" w:sz="8" w:color="auto"/>
            </w:tcBorders>
          </w:tcPr>
          <w:p>
            <w:pPr>
              <w:jc w:val="right"/>
              <w:ind w:right="50"/>
              <w:spacing w:after="0" w:line="141" w:lineRule="exact"/>
              <w:rPr>
                <w:sz w:val="20"/>
                <w:szCs w:val="20"/>
                <w:color w:val="auto"/>
              </w:rPr>
            </w:pPr>
            <w:r>
              <w:rPr>
                <w:rFonts w:ascii="Arial" w:cs="Arial" w:eastAsia="Arial" w:hAnsi="Arial"/>
                <w:sz w:val="13"/>
                <w:szCs w:val="13"/>
                <w:color w:val="auto"/>
              </w:rPr>
              <w:t>crude oil</w:t>
            </w:r>
          </w:p>
        </w:tc>
        <w:tc>
          <w:tcPr>
            <w:tcW w:w="640" w:type="dxa"/>
            <w:vAlign w:val="bottom"/>
            <w:tcBorders>
              <w:bottom w:val="single" w:sz="8" w:color="auto"/>
            </w:tcBorders>
          </w:tcPr>
          <w:p>
            <w:pPr>
              <w:jc w:val="right"/>
              <w:ind w:right="10"/>
              <w:spacing w:after="0" w:line="141" w:lineRule="exact"/>
              <w:rPr>
                <w:sz w:val="20"/>
                <w:szCs w:val="20"/>
                <w:color w:val="auto"/>
              </w:rPr>
            </w:pPr>
            <w:r>
              <w:rPr>
                <w:rFonts w:ascii="Arial" w:cs="Arial" w:eastAsia="Arial" w:hAnsi="Arial"/>
                <w:sz w:val="13"/>
                <w:szCs w:val="13"/>
                <w:color w:val="auto"/>
              </w:rPr>
              <w:t>Bitumen</w:t>
            </w:r>
          </w:p>
        </w:tc>
        <w:tc>
          <w:tcPr>
            <w:tcW w:w="680" w:type="dxa"/>
            <w:vAlign w:val="bottom"/>
            <w:tcBorders>
              <w:bottom w:val="single" w:sz="8" w:color="auto"/>
            </w:tcBorders>
          </w:tcPr>
          <w:p>
            <w:pPr>
              <w:jc w:val="right"/>
              <w:ind w:right="32"/>
              <w:spacing w:after="0" w:line="141" w:lineRule="exact"/>
              <w:rPr>
                <w:sz w:val="20"/>
                <w:szCs w:val="20"/>
                <w:color w:val="auto"/>
              </w:rPr>
            </w:pPr>
            <w:r>
              <w:rPr>
                <w:rFonts w:ascii="Arial" w:cs="Arial" w:eastAsia="Arial" w:hAnsi="Arial"/>
                <w:sz w:val="13"/>
                <w:szCs w:val="13"/>
                <w:color w:val="auto"/>
              </w:rPr>
              <w:t>products</w:t>
            </w:r>
          </w:p>
        </w:tc>
      </w:tr>
      <w:tr>
        <w:trPr>
          <w:trHeight w:val="160"/>
        </w:trPr>
        <w:tc>
          <w:tcPr>
            <w:tcW w:w="2180" w:type="dxa"/>
            <w:vAlign w:val="bottom"/>
          </w:tcPr>
          <w:p>
            <w:pPr>
              <w:spacing w:after="0"/>
              <w:rPr>
                <w:sz w:val="20"/>
                <w:szCs w:val="20"/>
                <w:color w:val="auto"/>
              </w:rPr>
            </w:pPr>
            <w:r>
              <w:rPr>
                <w:rFonts w:ascii="Arial" w:cs="Arial" w:eastAsia="Arial" w:hAnsi="Arial"/>
                <w:sz w:val="14"/>
                <w:szCs w:val="14"/>
                <w:color w:val="auto"/>
              </w:rPr>
              <w:t>Shell subsidiaries</w:t>
            </w:r>
          </w:p>
        </w:tc>
        <w:tc>
          <w:tcPr>
            <w:tcW w:w="5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80" w:type="dxa"/>
            <w:vAlign w:val="bottom"/>
          </w:tcPr>
          <w:p>
            <w:pPr>
              <w:spacing w:after="0"/>
              <w:rPr>
                <w:sz w:val="13"/>
                <w:szCs w:val="13"/>
                <w:color w:val="auto"/>
              </w:rPr>
            </w:pPr>
          </w:p>
        </w:tc>
      </w:tr>
      <w:tr>
        <w:trPr>
          <w:trHeight w:val="162"/>
        </w:trPr>
        <w:tc>
          <w:tcPr>
            <w:tcW w:w="2180" w:type="dxa"/>
            <w:vAlign w:val="bottom"/>
          </w:tcPr>
          <w:p>
            <w:pPr>
              <w:ind w:left="140"/>
              <w:spacing w:after="0"/>
              <w:rPr>
                <w:sz w:val="20"/>
                <w:szCs w:val="20"/>
                <w:color w:val="auto"/>
              </w:rPr>
            </w:pPr>
            <w:r>
              <w:rPr>
                <w:rFonts w:ascii="Arial" w:cs="Arial" w:eastAsia="Arial" w:hAnsi="Arial"/>
                <w:sz w:val="14"/>
                <w:szCs w:val="14"/>
                <w:color w:val="auto"/>
              </w:rPr>
              <w:t>At January 1</w:t>
            </w:r>
          </w:p>
        </w:tc>
        <w:tc>
          <w:tcPr>
            <w:tcW w:w="740" w:type="dxa"/>
            <w:vAlign w:val="bottom"/>
            <w:gridSpan w:val="2"/>
          </w:tcPr>
          <w:p>
            <w:pPr>
              <w:jc w:val="right"/>
              <w:ind w:right="220"/>
              <w:spacing w:after="0"/>
              <w:rPr>
                <w:sz w:val="20"/>
                <w:szCs w:val="20"/>
                <w:color w:val="auto"/>
              </w:rPr>
            </w:pPr>
            <w:r>
              <w:rPr>
                <w:rFonts w:ascii="Arial" w:cs="Arial" w:eastAsia="Arial" w:hAnsi="Arial"/>
                <w:sz w:val="14"/>
                <w:szCs w:val="14"/>
                <w:color w:val="auto"/>
              </w:rPr>
              <w:t>396</w:t>
            </w:r>
          </w:p>
        </w:tc>
        <w:tc>
          <w:tcPr>
            <w:tcW w:w="80" w:type="dxa"/>
            <w:vAlign w:val="bottom"/>
          </w:tcPr>
          <w:p>
            <w:pPr>
              <w:spacing w:after="0"/>
              <w:rPr>
                <w:sz w:val="14"/>
                <w:szCs w:val="14"/>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4"/>
                <w:szCs w:val="14"/>
                <w:color w:val="auto"/>
              </w:rPr>
              <w:t>942</w:t>
            </w:r>
          </w:p>
        </w:tc>
        <w:tc>
          <w:tcPr>
            <w:tcW w:w="760" w:type="dxa"/>
            <w:vAlign w:val="bottom"/>
            <w:gridSpan w:val="2"/>
          </w:tcPr>
          <w:p>
            <w:pPr>
              <w:jc w:val="right"/>
              <w:ind w:right="200"/>
              <w:spacing w:after="0"/>
              <w:rPr>
                <w:sz w:val="20"/>
                <w:szCs w:val="20"/>
                <w:color w:val="auto"/>
              </w:rPr>
            </w:pPr>
            <w:r>
              <w:rPr>
                <w:rFonts w:ascii="Arial" w:cs="Arial" w:eastAsia="Arial" w:hAnsi="Arial"/>
                <w:sz w:val="14"/>
                <w:szCs w:val="14"/>
                <w:color w:val="auto"/>
              </w:rPr>
              <w:t>48</w:t>
            </w:r>
          </w:p>
        </w:tc>
        <w:tc>
          <w:tcPr>
            <w:tcW w:w="720" w:type="dxa"/>
            <w:vAlign w:val="bottom"/>
            <w:gridSpan w:val="2"/>
          </w:tcPr>
          <w:p>
            <w:pPr>
              <w:jc w:val="right"/>
              <w:ind w:right="200"/>
              <w:spacing w:after="0"/>
              <w:rPr>
                <w:sz w:val="20"/>
                <w:szCs w:val="20"/>
                <w:color w:val="auto"/>
              </w:rPr>
            </w:pPr>
            <w:r>
              <w:rPr>
                <w:rFonts w:ascii="Arial" w:cs="Arial" w:eastAsia="Arial" w:hAnsi="Arial"/>
                <w:sz w:val="14"/>
                <w:szCs w:val="14"/>
                <w:color w:val="auto"/>
              </w:rPr>
              <w:t>453</w:t>
            </w:r>
          </w:p>
        </w:tc>
        <w:tc>
          <w:tcPr>
            <w:tcW w:w="600" w:type="dxa"/>
            <w:vAlign w:val="bottom"/>
          </w:tcPr>
          <w:p>
            <w:pPr>
              <w:jc w:val="right"/>
              <w:ind w:right="32"/>
              <w:spacing w:after="0"/>
              <w:rPr>
                <w:sz w:val="20"/>
                <w:szCs w:val="20"/>
                <w:color w:val="auto"/>
              </w:rPr>
            </w:pPr>
            <w:r>
              <w:rPr>
                <w:rFonts w:ascii="Arial" w:cs="Arial" w:eastAsia="Arial" w:hAnsi="Arial"/>
                <w:sz w:val="14"/>
                <w:szCs w:val="14"/>
                <w:color w:val="auto"/>
              </w:rPr>
              <w:t>440</w:t>
            </w:r>
          </w:p>
        </w:tc>
        <w:tc>
          <w:tcPr>
            <w:tcW w:w="120" w:type="dxa"/>
            <w:vAlign w:val="bottom"/>
          </w:tcPr>
          <w:p>
            <w:pPr>
              <w:spacing w:after="0"/>
              <w:rPr>
                <w:sz w:val="14"/>
                <w:szCs w:val="14"/>
                <w:color w:val="auto"/>
              </w:rPr>
            </w:pPr>
          </w:p>
        </w:tc>
        <w:tc>
          <w:tcPr>
            <w:tcW w:w="640" w:type="dxa"/>
            <w:vAlign w:val="bottom"/>
          </w:tcPr>
          <w:p>
            <w:pPr>
              <w:jc w:val="right"/>
              <w:ind w:right="51"/>
              <w:spacing w:after="0"/>
              <w:rPr>
                <w:sz w:val="20"/>
                <w:szCs w:val="20"/>
                <w:color w:val="auto"/>
              </w:rPr>
            </w:pPr>
            <w:r>
              <w:rPr>
                <w:rFonts w:ascii="Arial" w:cs="Arial" w:eastAsia="Arial" w:hAnsi="Arial"/>
                <w:sz w:val="14"/>
                <w:szCs w:val="14"/>
                <w:color w:val="auto"/>
              </w:rPr>
              <w:t>21</w:t>
            </w:r>
          </w:p>
        </w:tc>
        <w:tc>
          <w:tcPr>
            <w:tcW w:w="720" w:type="dxa"/>
            <w:vAlign w:val="bottom"/>
          </w:tcPr>
          <w:p>
            <w:pPr>
              <w:jc w:val="right"/>
              <w:ind w:right="32"/>
              <w:spacing w:after="0"/>
              <w:rPr>
                <w:sz w:val="20"/>
                <w:szCs w:val="20"/>
                <w:color w:val="auto"/>
              </w:rPr>
            </w:pPr>
            <w:r>
              <w:rPr>
                <w:rFonts w:ascii="Arial" w:cs="Arial" w:eastAsia="Arial" w:hAnsi="Arial"/>
                <w:sz w:val="14"/>
                <w:szCs w:val="14"/>
                <w:color w:val="auto"/>
              </w:rPr>
              <w:t>1,299</w:t>
            </w:r>
          </w:p>
        </w:tc>
        <w:tc>
          <w:tcPr>
            <w:tcW w:w="660" w:type="dxa"/>
            <w:vAlign w:val="bottom"/>
          </w:tcPr>
          <w:p>
            <w:pPr>
              <w:jc w:val="right"/>
              <w:ind w:right="11"/>
              <w:spacing w:after="0"/>
              <w:rPr>
                <w:sz w:val="20"/>
                <w:szCs w:val="20"/>
                <w:color w:val="auto"/>
              </w:rPr>
            </w:pPr>
            <w:r>
              <w:rPr>
                <w:rFonts w:ascii="Arial" w:cs="Arial" w:eastAsia="Arial" w:hAnsi="Arial"/>
                <w:sz w:val="14"/>
                <w:szCs w:val="14"/>
                <w:color w:val="auto"/>
              </w:rPr>
              <w:t>13</w:t>
            </w:r>
          </w:p>
        </w:tc>
        <w:tc>
          <w:tcPr>
            <w:tcW w:w="880" w:type="dxa"/>
            <w:vAlign w:val="bottom"/>
            <w:gridSpan w:val="3"/>
          </w:tcPr>
          <w:p>
            <w:pPr>
              <w:jc w:val="right"/>
              <w:ind w:right="200"/>
              <w:spacing w:after="0"/>
              <w:rPr>
                <w:sz w:val="20"/>
                <w:szCs w:val="20"/>
                <w:color w:val="auto"/>
              </w:rPr>
            </w:pPr>
            <w:r>
              <w:rPr>
                <w:rFonts w:ascii="Arial" w:cs="Arial" w:eastAsia="Arial" w:hAnsi="Arial"/>
                <w:sz w:val="14"/>
                <w:szCs w:val="14"/>
                <w:color w:val="auto"/>
              </w:rPr>
              <w:t>59</w:t>
            </w:r>
          </w:p>
        </w:tc>
        <w:tc>
          <w:tcPr>
            <w:tcW w:w="620" w:type="dxa"/>
            <w:vAlign w:val="bottom"/>
          </w:tcPr>
          <w:p>
            <w:pPr>
              <w:jc w:val="right"/>
              <w:ind w:right="31"/>
              <w:spacing w:after="0"/>
              <w:rPr>
                <w:sz w:val="20"/>
                <w:szCs w:val="20"/>
                <w:color w:val="auto"/>
              </w:rPr>
            </w:pPr>
            <w:r>
              <w:rPr>
                <w:rFonts w:ascii="Arial" w:cs="Arial" w:eastAsia="Arial" w:hAnsi="Arial"/>
                <w:sz w:val="14"/>
                <w:szCs w:val="14"/>
                <w:color w:val="auto"/>
              </w:rPr>
              <w:t>2,359</w:t>
            </w:r>
          </w:p>
        </w:tc>
        <w:tc>
          <w:tcPr>
            <w:tcW w:w="740" w:type="dxa"/>
            <w:vAlign w:val="bottom"/>
          </w:tcPr>
          <w:p>
            <w:pPr>
              <w:jc w:val="right"/>
              <w:ind w:right="50"/>
              <w:spacing w:after="0"/>
              <w:rPr>
                <w:sz w:val="20"/>
                <w:szCs w:val="20"/>
                <w:color w:val="auto"/>
              </w:rPr>
            </w:pPr>
            <w:r>
              <w:rPr>
                <w:rFonts w:ascii="Arial" w:cs="Arial" w:eastAsia="Arial" w:hAnsi="Arial"/>
                <w:sz w:val="14"/>
                <w:szCs w:val="14"/>
                <w:color w:val="auto"/>
              </w:rPr>
              <w:t>1,299</w:t>
            </w:r>
          </w:p>
        </w:tc>
        <w:tc>
          <w:tcPr>
            <w:tcW w:w="640" w:type="dxa"/>
            <w:vAlign w:val="bottom"/>
          </w:tcPr>
          <w:p>
            <w:pPr>
              <w:jc w:val="right"/>
              <w:ind w:right="10"/>
              <w:spacing w:after="0"/>
              <w:rPr>
                <w:sz w:val="20"/>
                <w:szCs w:val="20"/>
                <w:color w:val="auto"/>
              </w:rPr>
            </w:pPr>
            <w:r>
              <w:rPr>
                <w:rFonts w:ascii="Arial" w:cs="Arial" w:eastAsia="Arial" w:hAnsi="Arial"/>
                <w:sz w:val="14"/>
                <w:szCs w:val="14"/>
                <w:color w:val="auto"/>
              </w:rPr>
              <w:t>13</w:t>
            </w:r>
          </w:p>
        </w:tc>
        <w:tc>
          <w:tcPr>
            <w:tcW w:w="680" w:type="dxa"/>
            <w:vAlign w:val="bottom"/>
          </w:tcPr>
          <w:p>
            <w:pPr>
              <w:jc w:val="right"/>
              <w:ind w:right="32"/>
              <w:spacing w:after="0"/>
              <w:rPr>
                <w:sz w:val="20"/>
                <w:szCs w:val="20"/>
                <w:color w:val="auto"/>
              </w:rPr>
            </w:pPr>
            <w:r>
              <w:rPr>
                <w:rFonts w:ascii="Arial" w:cs="Arial" w:eastAsia="Arial" w:hAnsi="Arial"/>
                <w:sz w:val="14"/>
                <w:szCs w:val="14"/>
                <w:color w:val="auto"/>
              </w:rPr>
              <w:t>3,671</w:t>
            </w:r>
          </w:p>
        </w:tc>
      </w:tr>
      <w:tr>
        <w:trPr>
          <w:trHeight w:val="157"/>
        </w:trPr>
        <w:tc>
          <w:tcPr>
            <w:tcW w:w="2180" w:type="dxa"/>
            <w:vAlign w:val="bottom"/>
            <w:tcBorders>
              <w:bottom w:val="single" w:sz="8" w:color="auto"/>
            </w:tcBorders>
          </w:tcPr>
          <w:p>
            <w:pPr>
              <w:ind w:left="140"/>
              <w:spacing w:after="0" w:line="157" w:lineRule="exact"/>
              <w:rPr>
                <w:sz w:val="20"/>
                <w:szCs w:val="20"/>
                <w:color w:val="auto"/>
              </w:rPr>
            </w:pPr>
            <w:r>
              <w:rPr>
                <w:rFonts w:ascii="Arial" w:cs="Arial" w:eastAsia="Arial" w:hAnsi="Arial"/>
                <w:sz w:val="14"/>
                <w:szCs w:val="14"/>
                <w:color w:val="auto"/>
              </w:rPr>
              <w:t>At December 31</w:t>
            </w:r>
          </w:p>
        </w:tc>
        <w:tc>
          <w:tcPr>
            <w:tcW w:w="740" w:type="dxa"/>
            <w:vAlign w:val="bottom"/>
            <w:tcBorders>
              <w:bottom w:val="single" w:sz="8" w:color="auto"/>
            </w:tcBorders>
            <w:gridSpan w:val="2"/>
          </w:tcPr>
          <w:p>
            <w:pPr>
              <w:jc w:val="right"/>
              <w:ind w:right="220"/>
              <w:spacing w:after="0" w:line="157" w:lineRule="exact"/>
              <w:rPr>
                <w:sz w:val="20"/>
                <w:szCs w:val="20"/>
                <w:color w:val="auto"/>
              </w:rPr>
            </w:pPr>
            <w:r>
              <w:rPr>
                <w:rFonts w:ascii="Arial" w:cs="Arial" w:eastAsia="Arial" w:hAnsi="Arial"/>
                <w:sz w:val="14"/>
                <w:szCs w:val="14"/>
                <w:color w:val="auto"/>
              </w:rPr>
              <w:t>350</w:t>
            </w:r>
          </w:p>
        </w:tc>
        <w:tc>
          <w:tcPr>
            <w:tcW w:w="8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gridSpan w:val="2"/>
          </w:tcPr>
          <w:p>
            <w:pPr>
              <w:jc w:val="right"/>
              <w:ind w:right="200"/>
              <w:spacing w:after="0" w:line="157" w:lineRule="exact"/>
              <w:rPr>
                <w:sz w:val="20"/>
                <w:szCs w:val="20"/>
                <w:color w:val="auto"/>
              </w:rPr>
            </w:pPr>
            <w:r>
              <w:rPr>
                <w:rFonts w:ascii="Arial" w:cs="Arial" w:eastAsia="Arial" w:hAnsi="Arial"/>
                <w:sz w:val="14"/>
                <w:szCs w:val="14"/>
                <w:color w:val="auto"/>
              </w:rPr>
              <w:t>947</w:t>
            </w:r>
          </w:p>
        </w:tc>
        <w:tc>
          <w:tcPr>
            <w:tcW w:w="760" w:type="dxa"/>
            <w:vAlign w:val="bottom"/>
            <w:tcBorders>
              <w:bottom w:val="single" w:sz="8" w:color="auto"/>
            </w:tcBorders>
            <w:gridSpan w:val="2"/>
          </w:tcPr>
          <w:p>
            <w:pPr>
              <w:jc w:val="right"/>
              <w:ind w:right="200"/>
              <w:spacing w:after="0" w:line="157" w:lineRule="exact"/>
              <w:rPr>
                <w:sz w:val="20"/>
                <w:szCs w:val="20"/>
                <w:color w:val="auto"/>
              </w:rPr>
            </w:pPr>
            <w:r>
              <w:rPr>
                <w:rFonts w:ascii="Arial" w:cs="Arial" w:eastAsia="Arial" w:hAnsi="Arial"/>
                <w:sz w:val="14"/>
                <w:szCs w:val="14"/>
                <w:color w:val="auto"/>
              </w:rPr>
              <w:t>41</w:t>
            </w:r>
          </w:p>
        </w:tc>
        <w:tc>
          <w:tcPr>
            <w:tcW w:w="720" w:type="dxa"/>
            <w:vAlign w:val="bottom"/>
            <w:tcBorders>
              <w:bottom w:val="single" w:sz="8" w:color="auto"/>
            </w:tcBorders>
            <w:gridSpan w:val="2"/>
          </w:tcPr>
          <w:p>
            <w:pPr>
              <w:jc w:val="right"/>
              <w:ind w:right="200"/>
              <w:spacing w:after="0" w:line="157" w:lineRule="exact"/>
              <w:rPr>
                <w:sz w:val="20"/>
                <w:szCs w:val="20"/>
                <w:color w:val="auto"/>
              </w:rPr>
            </w:pPr>
            <w:r>
              <w:rPr>
                <w:rFonts w:ascii="Arial" w:cs="Arial" w:eastAsia="Arial" w:hAnsi="Arial"/>
                <w:sz w:val="14"/>
                <w:szCs w:val="14"/>
                <w:color w:val="auto"/>
              </w:rPr>
              <w:t>534</w:t>
            </w:r>
          </w:p>
        </w:tc>
        <w:tc>
          <w:tcPr>
            <w:tcW w:w="600" w:type="dxa"/>
            <w:vAlign w:val="bottom"/>
            <w:tcBorders>
              <w:bottom w:val="single" w:sz="8" w:color="auto"/>
            </w:tcBorders>
          </w:tcPr>
          <w:p>
            <w:pPr>
              <w:jc w:val="right"/>
              <w:ind w:right="32"/>
              <w:spacing w:after="0" w:line="157" w:lineRule="exact"/>
              <w:rPr>
                <w:sz w:val="20"/>
                <w:szCs w:val="20"/>
                <w:color w:val="auto"/>
              </w:rPr>
            </w:pPr>
            <w:r>
              <w:rPr>
                <w:rFonts w:ascii="Arial" w:cs="Arial" w:eastAsia="Arial" w:hAnsi="Arial"/>
                <w:sz w:val="14"/>
                <w:szCs w:val="14"/>
                <w:color w:val="auto"/>
              </w:rPr>
              <w:t>494</w:t>
            </w:r>
          </w:p>
        </w:tc>
        <w:tc>
          <w:tcPr>
            <w:tcW w:w="12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ind w:right="51"/>
              <w:spacing w:after="0" w:line="157" w:lineRule="exact"/>
              <w:rPr>
                <w:sz w:val="20"/>
                <w:szCs w:val="20"/>
                <w:color w:val="auto"/>
              </w:rPr>
            </w:pPr>
            <w:r>
              <w:rPr>
                <w:rFonts w:ascii="Arial" w:cs="Arial" w:eastAsia="Arial" w:hAnsi="Arial"/>
                <w:sz w:val="14"/>
                <w:szCs w:val="14"/>
                <w:color w:val="auto"/>
              </w:rPr>
              <w:t>26</w:t>
            </w:r>
          </w:p>
        </w:tc>
        <w:tc>
          <w:tcPr>
            <w:tcW w:w="720" w:type="dxa"/>
            <w:vAlign w:val="bottom"/>
            <w:tcBorders>
              <w:bottom w:val="single" w:sz="8" w:color="auto"/>
            </w:tcBorders>
          </w:tcPr>
          <w:p>
            <w:pPr>
              <w:jc w:val="right"/>
              <w:ind w:right="32"/>
              <w:spacing w:after="0" w:line="157" w:lineRule="exact"/>
              <w:rPr>
                <w:sz w:val="20"/>
                <w:szCs w:val="20"/>
                <w:color w:val="auto"/>
              </w:rPr>
            </w:pPr>
            <w:r>
              <w:rPr>
                <w:rFonts w:ascii="Arial" w:cs="Arial" w:eastAsia="Arial" w:hAnsi="Arial"/>
                <w:sz w:val="14"/>
                <w:szCs w:val="14"/>
                <w:color w:val="auto"/>
              </w:rPr>
              <w:t>1,273</w:t>
            </w:r>
          </w:p>
        </w:tc>
        <w:tc>
          <w:tcPr>
            <w:tcW w:w="660" w:type="dxa"/>
            <w:vAlign w:val="bottom"/>
            <w:tcBorders>
              <w:bottom w:val="single" w:sz="8" w:color="auto"/>
            </w:tcBorders>
          </w:tcPr>
          <w:p>
            <w:pPr>
              <w:jc w:val="right"/>
              <w:ind w:right="11"/>
              <w:spacing w:after="0" w:line="157" w:lineRule="exact"/>
              <w:rPr>
                <w:sz w:val="20"/>
                <w:szCs w:val="20"/>
                <w:color w:val="auto"/>
              </w:rPr>
            </w:pPr>
            <w:r>
              <w:rPr>
                <w:rFonts w:ascii="Arial" w:cs="Arial" w:eastAsia="Arial" w:hAnsi="Arial"/>
                <w:sz w:val="14"/>
                <w:szCs w:val="14"/>
                <w:color w:val="auto"/>
              </w:rPr>
              <w:t>9</w:t>
            </w:r>
          </w:p>
        </w:tc>
        <w:tc>
          <w:tcPr>
            <w:tcW w:w="880" w:type="dxa"/>
            <w:vAlign w:val="bottom"/>
            <w:tcBorders>
              <w:bottom w:val="single" w:sz="8" w:color="auto"/>
            </w:tcBorders>
            <w:gridSpan w:val="3"/>
          </w:tcPr>
          <w:p>
            <w:pPr>
              <w:jc w:val="right"/>
              <w:ind w:right="200"/>
              <w:spacing w:after="0" w:line="157" w:lineRule="exact"/>
              <w:rPr>
                <w:sz w:val="20"/>
                <w:szCs w:val="20"/>
                <w:color w:val="auto"/>
              </w:rPr>
            </w:pPr>
            <w:r>
              <w:rPr>
                <w:rFonts w:ascii="Arial" w:cs="Arial" w:eastAsia="Arial" w:hAnsi="Arial"/>
                <w:sz w:val="14"/>
                <w:szCs w:val="14"/>
                <w:color w:val="auto"/>
              </w:rPr>
              <w:t>51</w:t>
            </w:r>
          </w:p>
        </w:tc>
        <w:tc>
          <w:tcPr>
            <w:tcW w:w="620" w:type="dxa"/>
            <w:vAlign w:val="bottom"/>
            <w:tcBorders>
              <w:bottom w:val="single" w:sz="8" w:color="auto"/>
            </w:tcBorders>
          </w:tcPr>
          <w:p>
            <w:pPr>
              <w:jc w:val="right"/>
              <w:ind w:right="31"/>
              <w:spacing w:after="0" w:line="157" w:lineRule="exact"/>
              <w:rPr>
                <w:sz w:val="20"/>
                <w:szCs w:val="20"/>
                <w:color w:val="auto"/>
              </w:rPr>
            </w:pPr>
            <w:r>
              <w:rPr>
                <w:rFonts w:ascii="Arial" w:cs="Arial" w:eastAsia="Arial" w:hAnsi="Arial"/>
                <w:sz w:val="14"/>
                <w:szCs w:val="14"/>
                <w:color w:val="auto"/>
              </w:rPr>
              <w:t>2,443</w:t>
            </w:r>
          </w:p>
        </w:tc>
        <w:tc>
          <w:tcPr>
            <w:tcW w:w="740" w:type="dxa"/>
            <w:vAlign w:val="bottom"/>
            <w:tcBorders>
              <w:bottom w:val="single" w:sz="8" w:color="auto"/>
            </w:tcBorders>
          </w:tcPr>
          <w:p>
            <w:pPr>
              <w:jc w:val="right"/>
              <w:ind w:right="50"/>
              <w:spacing w:after="0" w:line="157" w:lineRule="exact"/>
              <w:rPr>
                <w:sz w:val="20"/>
                <w:szCs w:val="20"/>
                <w:color w:val="auto"/>
              </w:rPr>
            </w:pPr>
            <w:r>
              <w:rPr>
                <w:rFonts w:ascii="Arial" w:cs="Arial" w:eastAsia="Arial" w:hAnsi="Arial"/>
                <w:sz w:val="14"/>
                <w:szCs w:val="14"/>
                <w:color w:val="auto"/>
              </w:rPr>
              <w:t>1,273</w:t>
            </w:r>
          </w:p>
        </w:tc>
        <w:tc>
          <w:tcPr>
            <w:tcW w:w="640" w:type="dxa"/>
            <w:vAlign w:val="bottom"/>
            <w:tcBorders>
              <w:bottom w:val="single" w:sz="8" w:color="auto"/>
            </w:tcBorders>
          </w:tcPr>
          <w:p>
            <w:pPr>
              <w:jc w:val="right"/>
              <w:ind w:right="10"/>
              <w:spacing w:after="0" w:line="157" w:lineRule="exact"/>
              <w:rPr>
                <w:sz w:val="20"/>
                <w:szCs w:val="20"/>
                <w:color w:val="auto"/>
              </w:rPr>
            </w:pPr>
            <w:r>
              <w:rPr>
                <w:rFonts w:ascii="Arial" w:cs="Arial" w:eastAsia="Arial" w:hAnsi="Arial"/>
                <w:sz w:val="14"/>
                <w:szCs w:val="14"/>
                <w:color w:val="auto"/>
              </w:rPr>
              <w:t>9</w:t>
            </w:r>
          </w:p>
        </w:tc>
        <w:tc>
          <w:tcPr>
            <w:tcW w:w="680" w:type="dxa"/>
            <w:vAlign w:val="bottom"/>
            <w:tcBorders>
              <w:bottom w:val="single" w:sz="8" w:color="auto"/>
            </w:tcBorders>
          </w:tcPr>
          <w:p>
            <w:pPr>
              <w:jc w:val="right"/>
              <w:ind w:right="32"/>
              <w:spacing w:after="0" w:line="157" w:lineRule="exact"/>
              <w:rPr>
                <w:sz w:val="20"/>
                <w:szCs w:val="20"/>
                <w:color w:val="auto"/>
              </w:rPr>
            </w:pPr>
            <w:r>
              <w:rPr>
                <w:rFonts w:ascii="Arial" w:cs="Arial" w:eastAsia="Arial" w:hAnsi="Arial"/>
                <w:sz w:val="14"/>
                <w:szCs w:val="14"/>
                <w:color w:val="auto"/>
              </w:rPr>
              <w:t>3,725</w:t>
            </w:r>
          </w:p>
        </w:tc>
      </w:tr>
      <w:tr>
        <w:trPr>
          <w:trHeight w:val="160"/>
        </w:trPr>
        <w:tc>
          <w:tcPr>
            <w:tcW w:w="2180" w:type="dxa"/>
            <w:vAlign w:val="bottom"/>
          </w:tcPr>
          <w:p>
            <w:pPr>
              <w:spacing w:after="0"/>
              <w:rPr>
                <w:sz w:val="20"/>
                <w:szCs w:val="20"/>
                <w:color w:val="auto"/>
              </w:rPr>
            </w:pPr>
            <w:r>
              <w:rPr>
                <w:rFonts w:ascii="Arial" w:cs="Arial" w:eastAsia="Arial" w:hAnsi="Arial"/>
                <w:sz w:val="14"/>
                <w:szCs w:val="14"/>
                <w:color w:val="auto"/>
              </w:rPr>
              <w:t>Shell share of joint ventures and</w:t>
            </w:r>
          </w:p>
        </w:tc>
        <w:tc>
          <w:tcPr>
            <w:tcW w:w="5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80" w:type="dxa"/>
            <w:vAlign w:val="bottom"/>
          </w:tcPr>
          <w:p>
            <w:pPr>
              <w:spacing w:after="0"/>
              <w:rPr>
                <w:sz w:val="13"/>
                <w:szCs w:val="13"/>
                <w:color w:val="auto"/>
              </w:rPr>
            </w:pPr>
          </w:p>
        </w:tc>
      </w:tr>
      <w:tr>
        <w:trPr>
          <w:trHeight w:val="162"/>
        </w:trPr>
        <w:tc>
          <w:tcPr>
            <w:tcW w:w="2180" w:type="dxa"/>
            <w:vAlign w:val="bottom"/>
          </w:tcPr>
          <w:p>
            <w:pPr>
              <w:spacing w:after="0"/>
              <w:rPr>
                <w:sz w:val="20"/>
                <w:szCs w:val="20"/>
                <w:color w:val="auto"/>
              </w:rPr>
            </w:pPr>
            <w:r>
              <w:rPr>
                <w:rFonts w:ascii="Arial" w:cs="Arial" w:eastAsia="Arial" w:hAnsi="Arial"/>
                <w:sz w:val="14"/>
                <w:szCs w:val="14"/>
                <w:color w:val="auto"/>
              </w:rPr>
              <w:t>associates</w:t>
            </w:r>
          </w:p>
        </w:tc>
        <w:tc>
          <w:tcPr>
            <w:tcW w:w="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162"/>
        </w:trPr>
        <w:tc>
          <w:tcPr>
            <w:tcW w:w="2180" w:type="dxa"/>
            <w:vAlign w:val="bottom"/>
          </w:tcPr>
          <w:p>
            <w:pPr>
              <w:ind w:left="140"/>
              <w:spacing w:after="0"/>
              <w:rPr>
                <w:sz w:val="20"/>
                <w:szCs w:val="20"/>
                <w:color w:val="auto"/>
              </w:rPr>
            </w:pPr>
            <w:r>
              <w:rPr>
                <w:rFonts w:ascii="Arial" w:cs="Arial" w:eastAsia="Arial" w:hAnsi="Arial"/>
                <w:sz w:val="14"/>
                <w:szCs w:val="14"/>
                <w:color w:val="auto"/>
              </w:rPr>
              <w:t>At January 1</w:t>
            </w:r>
          </w:p>
        </w:tc>
        <w:tc>
          <w:tcPr>
            <w:tcW w:w="740" w:type="dxa"/>
            <w:vAlign w:val="bottom"/>
            <w:gridSpan w:val="2"/>
          </w:tcPr>
          <w:p>
            <w:pPr>
              <w:jc w:val="right"/>
              <w:ind w:right="220"/>
              <w:spacing w:after="0"/>
              <w:rPr>
                <w:sz w:val="20"/>
                <w:szCs w:val="20"/>
                <w:color w:val="auto"/>
              </w:rPr>
            </w:pPr>
            <w:r>
              <w:rPr>
                <w:rFonts w:ascii="Arial" w:cs="Arial" w:eastAsia="Arial" w:hAnsi="Arial"/>
                <w:sz w:val="14"/>
                <w:szCs w:val="14"/>
                <w:color w:val="auto"/>
              </w:rPr>
              <w:t>22</w:t>
            </w:r>
          </w:p>
        </w:tc>
        <w:tc>
          <w:tcPr>
            <w:tcW w:w="80" w:type="dxa"/>
            <w:vAlign w:val="bottom"/>
          </w:tcPr>
          <w:p>
            <w:pPr>
              <w:spacing w:after="0"/>
              <w:rPr>
                <w:sz w:val="14"/>
                <w:szCs w:val="14"/>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4"/>
                <w:szCs w:val="14"/>
                <w:color w:val="auto"/>
              </w:rPr>
              <w:t>316</w:t>
            </w:r>
          </w:p>
        </w:tc>
        <w:tc>
          <w:tcPr>
            <w:tcW w:w="760" w:type="dxa"/>
            <w:vAlign w:val="bottom"/>
            <w:gridSpan w:val="2"/>
          </w:tcPr>
          <w:p>
            <w:pPr>
              <w:jc w:val="right"/>
              <w:ind w:right="200"/>
              <w:spacing w:after="0"/>
              <w:rPr>
                <w:sz w:val="20"/>
                <w:szCs w:val="20"/>
                <w:color w:val="auto"/>
              </w:rPr>
            </w:pPr>
            <w:r>
              <w:rPr>
                <w:rFonts w:ascii="Arial" w:cs="Arial" w:eastAsia="Arial" w:hAnsi="Arial"/>
                <w:sz w:val="14"/>
                <w:szCs w:val="14"/>
                <w:color w:val="auto"/>
              </w:rPr>
              <w:t>23</w:t>
            </w:r>
          </w:p>
        </w:tc>
        <w:tc>
          <w:tcPr>
            <w:tcW w:w="7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640" w:type="dxa"/>
            <w:vAlign w:val="bottom"/>
          </w:tcPr>
          <w:p>
            <w:pPr>
              <w:jc w:val="right"/>
              <w:ind w:right="51"/>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32"/>
              <w:spacing w:after="0"/>
              <w:rPr>
                <w:sz w:val="20"/>
                <w:szCs w:val="20"/>
                <w:color w:val="auto"/>
              </w:rPr>
            </w:pPr>
            <w:r>
              <w:rPr>
                <w:rFonts w:ascii="Arial" w:cs="Arial" w:eastAsia="Arial" w:hAnsi="Arial"/>
                <w:sz w:val="14"/>
                <w:szCs w:val="14"/>
                <w:color w:val="auto"/>
              </w:rPr>
              <w:t>–</w:t>
            </w:r>
          </w:p>
        </w:tc>
        <w:tc>
          <w:tcPr>
            <w:tcW w:w="660" w:type="dxa"/>
            <w:vAlign w:val="bottom"/>
          </w:tcPr>
          <w:p>
            <w:pPr>
              <w:jc w:val="right"/>
              <w:ind w:right="11"/>
              <w:spacing w:after="0"/>
              <w:rPr>
                <w:sz w:val="20"/>
                <w:szCs w:val="20"/>
                <w:color w:val="auto"/>
              </w:rPr>
            </w:pPr>
            <w:r>
              <w:rPr>
                <w:rFonts w:ascii="Arial" w:cs="Arial" w:eastAsia="Arial" w:hAnsi="Arial"/>
                <w:sz w:val="14"/>
                <w:szCs w:val="14"/>
                <w:color w:val="auto"/>
              </w:rPr>
              <w:t>–</w:t>
            </w:r>
          </w:p>
        </w:tc>
        <w:tc>
          <w:tcPr>
            <w:tcW w:w="880" w:type="dxa"/>
            <w:vAlign w:val="bottom"/>
            <w:gridSpan w:val="3"/>
          </w:tcPr>
          <w:p>
            <w:pPr>
              <w:jc w:val="right"/>
              <w:ind w:right="200"/>
              <w:spacing w:after="0"/>
              <w:rPr>
                <w:sz w:val="20"/>
                <w:szCs w:val="20"/>
                <w:color w:val="auto"/>
              </w:rPr>
            </w:pPr>
            <w:r>
              <w:rPr>
                <w:rFonts w:ascii="Arial" w:cs="Arial" w:eastAsia="Arial" w:hAnsi="Arial"/>
                <w:sz w:val="14"/>
                <w:szCs w:val="14"/>
                <w:color w:val="auto"/>
              </w:rPr>
              <w:t>15</w:t>
            </w:r>
          </w:p>
        </w:tc>
        <w:tc>
          <w:tcPr>
            <w:tcW w:w="620" w:type="dxa"/>
            <w:vAlign w:val="bottom"/>
          </w:tcPr>
          <w:p>
            <w:pPr>
              <w:jc w:val="right"/>
              <w:ind w:right="31"/>
              <w:spacing w:after="0"/>
              <w:rPr>
                <w:sz w:val="20"/>
                <w:szCs w:val="20"/>
                <w:color w:val="auto"/>
              </w:rPr>
            </w:pPr>
            <w:r>
              <w:rPr>
                <w:rFonts w:ascii="Arial" w:cs="Arial" w:eastAsia="Arial" w:hAnsi="Arial"/>
                <w:sz w:val="14"/>
                <w:szCs w:val="14"/>
                <w:color w:val="auto"/>
              </w:rPr>
              <w:t>376</w:t>
            </w:r>
          </w:p>
        </w:tc>
        <w:tc>
          <w:tcPr>
            <w:tcW w:w="740" w:type="dxa"/>
            <w:vAlign w:val="bottom"/>
          </w:tcPr>
          <w:p>
            <w:pPr>
              <w:jc w:val="right"/>
              <w:ind w:right="50"/>
              <w:spacing w:after="0"/>
              <w:rPr>
                <w:sz w:val="20"/>
                <w:szCs w:val="20"/>
                <w:color w:val="auto"/>
              </w:rPr>
            </w:pPr>
            <w:r>
              <w:rPr>
                <w:rFonts w:ascii="Arial" w:cs="Arial" w:eastAsia="Arial" w:hAnsi="Arial"/>
                <w:sz w:val="14"/>
                <w:szCs w:val="14"/>
                <w:color w:val="auto"/>
              </w:rPr>
              <w:t>–</w:t>
            </w:r>
          </w:p>
        </w:tc>
        <w:tc>
          <w:tcPr>
            <w:tcW w:w="640" w:type="dxa"/>
            <w:vAlign w:val="bottom"/>
          </w:tcPr>
          <w:p>
            <w:pPr>
              <w:jc w:val="right"/>
              <w:ind w:right="10"/>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32"/>
              <w:spacing w:after="0"/>
              <w:rPr>
                <w:sz w:val="20"/>
                <w:szCs w:val="20"/>
                <w:color w:val="auto"/>
              </w:rPr>
            </w:pPr>
            <w:r>
              <w:rPr>
                <w:rFonts w:ascii="Arial" w:cs="Arial" w:eastAsia="Arial" w:hAnsi="Arial"/>
                <w:sz w:val="14"/>
                <w:szCs w:val="14"/>
                <w:color w:val="auto"/>
              </w:rPr>
              <w:t>376</w:t>
            </w:r>
          </w:p>
        </w:tc>
      </w:tr>
      <w:tr>
        <w:trPr>
          <w:trHeight w:val="157"/>
        </w:trPr>
        <w:tc>
          <w:tcPr>
            <w:tcW w:w="2180" w:type="dxa"/>
            <w:vAlign w:val="bottom"/>
            <w:tcBorders>
              <w:bottom w:val="single" w:sz="8" w:color="auto"/>
            </w:tcBorders>
          </w:tcPr>
          <w:p>
            <w:pPr>
              <w:ind w:left="140"/>
              <w:spacing w:after="0" w:line="157" w:lineRule="exact"/>
              <w:rPr>
                <w:sz w:val="20"/>
                <w:szCs w:val="20"/>
                <w:color w:val="auto"/>
              </w:rPr>
            </w:pPr>
            <w:r>
              <w:rPr>
                <w:rFonts w:ascii="Arial" w:cs="Arial" w:eastAsia="Arial" w:hAnsi="Arial"/>
                <w:sz w:val="14"/>
                <w:szCs w:val="14"/>
                <w:color w:val="auto"/>
              </w:rPr>
              <w:t>At December 31</w:t>
            </w:r>
          </w:p>
        </w:tc>
        <w:tc>
          <w:tcPr>
            <w:tcW w:w="740" w:type="dxa"/>
            <w:vAlign w:val="bottom"/>
            <w:tcBorders>
              <w:bottom w:val="single" w:sz="8" w:color="auto"/>
            </w:tcBorders>
            <w:gridSpan w:val="2"/>
          </w:tcPr>
          <w:p>
            <w:pPr>
              <w:jc w:val="right"/>
              <w:ind w:right="220"/>
              <w:spacing w:after="0" w:line="157" w:lineRule="exact"/>
              <w:rPr>
                <w:sz w:val="20"/>
                <w:szCs w:val="20"/>
                <w:color w:val="auto"/>
              </w:rPr>
            </w:pPr>
            <w:r>
              <w:rPr>
                <w:rFonts w:ascii="Arial" w:cs="Arial" w:eastAsia="Arial" w:hAnsi="Arial"/>
                <w:sz w:val="14"/>
                <w:szCs w:val="14"/>
                <w:color w:val="auto"/>
              </w:rPr>
              <w:t>22</w:t>
            </w:r>
          </w:p>
        </w:tc>
        <w:tc>
          <w:tcPr>
            <w:tcW w:w="8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gridSpan w:val="2"/>
          </w:tcPr>
          <w:p>
            <w:pPr>
              <w:jc w:val="right"/>
              <w:ind w:right="200"/>
              <w:spacing w:after="0" w:line="157" w:lineRule="exact"/>
              <w:rPr>
                <w:sz w:val="20"/>
                <w:szCs w:val="20"/>
                <w:color w:val="auto"/>
              </w:rPr>
            </w:pPr>
            <w:r>
              <w:rPr>
                <w:rFonts w:ascii="Arial" w:cs="Arial" w:eastAsia="Arial" w:hAnsi="Arial"/>
                <w:sz w:val="14"/>
                <w:szCs w:val="14"/>
                <w:color w:val="auto"/>
              </w:rPr>
              <w:t>222</w:t>
            </w:r>
          </w:p>
        </w:tc>
        <w:tc>
          <w:tcPr>
            <w:tcW w:w="760" w:type="dxa"/>
            <w:vAlign w:val="bottom"/>
            <w:tcBorders>
              <w:bottom w:val="single" w:sz="8" w:color="auto"/>
            </w:tcBorders>
            <w:gridSpan w:val="2"/>
          </w:tcPr>
          <w:p>
            <w:pPr>
              <w:jc w:val="right"/>
              <w:ind w:right="200"/>
              <w:spacing w:after="0" w:line="157" w:lineRule="exact"/>
              <w:rPr>
                <w:sz w:val="20"/>
                <w:szCs w:val="20"/>
                <w:color w:val="auto"/>
              </w:rPr>
            </w:pPr>
            <w:r>
              <w:rPr>
                <w:rFonts w:ascii="Arial" w:cs="Arial" w:eastAsia="Arial" w:hAnsi="Arial"/>
                <w:sz w:val="14"/>
                <w:szCs w:val="14"/>
                <w:color w:val="auto"/>
              </w:rPr>
              <w:t>10</w:t>
            </w:r>
          </w:p>
        </w:tc>
        <w:tc>
          <w:tcPr>
            <w:tcW w:w="720" w:type="dxa"/>
            <w:vAlign w:val="bottom"/>
            <w:tcBorders>
              <w:bottom w:val="single" w:sz="8" w:color="auto"/>
            </w:tcBorders>
            <w:gridSpan w:val="2"/>
          </w:tcPr>
          <w:p>
            <w:pPr>
              <w:jc w:val="right"/>
              <w:ind w:right="200"/>
              <w:spacing w:after="0" w:line="157" w:lineRule="exact"/>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gridSpan w:val="2"/>
          </w:tcPr>
          <w:p>
            <w:pPr>
              <w:jc w:val="right"/>
              <w:ind w:right="220"/>
              <w:spacing w:after="0" w:line="157" w:lineRule="exact"/>
              <w:rPr>
                <w:sz w:val="20"/>
                <w:szCs w:val="20"/>
                <w:color w:val="auto"/>
              </w:rPr>
            </w:pPr>
            <w:r>
              <w:rPr>
                <w:rFonts w:ascii="Arial" w:cs="Arial" w:eastAsia="Arial" w:hAnsi="Arial"/>
                <w:sz w:val="14"/>
                <w:szCs w:val="14"/>
                <w:color w:val="auto"/>
              </w:rPr>
              <w:t>–</w:t>
            </w:r>
          </w:p>
        </w:tc>
        <w:tc>
          <w:tcPr>
            <w:tcW w:w="640" w:type="dxa"/>
            <w:vAlign w:val="bottom"/>
            <w:tcBorders>
              <w:bottom w:val="single" w:sz="8" w:color="auto"/>
            </w:tcBorders>
          </w:tcPr>
          <w:p>
            <w:pPr>
              <w:jc w:val="right"/>
              <w:ind w:right="51"/>
              <w:spacing w:after="0" w:line="157" w:lineRule="exact"/>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tcPr>
          <w:p>
            <w:pPr>
              <w:jc w:val="right"/>
              <w:ind w:right="32"/>
              <w:spacing w:after="0" w:line="157" w:lineRule="exact"/>
              <w:rPr>
                <w:sz w:val="20"/>
                <w:szCs w:val="20"/>
                <w:color w:val="auto"/>
              </w:rPr>
            </w:pPr>
            <w:r>
              <w:rPr>
                <w:rFonts w:ascii="Arial" w:cs="Arial" w:eastAsia="Arial" w:hAnsi="Arial"/>
                <w:sz w:val="14"/>
                <w:szCs w:val="14"/>
                <w:color w:val="auto"/>
              </w:rPr>
              <w:t>–</w:t>
            </w:r>
          </w:p>
        </w:tc>
        <w:tc>
          <w:tcPr>
            <w:tcW w:w="660" w:type="dxa"/>
            <w:vAlign w:val="bottom"/>
            <w:tcBorders>
              <w:bottom w:val="single" w:sz="8" w:color="auto"/>
            </w:tcBorders>
          </w:tcPr>
          <w:p>
            <w:pPr>
              <w:jc w:val="right"/>
              <w:ind w:right="11"/>
              <w:spacing w:after="0" w:line="157" w:lineRule="exact"/>
              <w:rPr>
                <w:sz w:val="20"/>
                <w:szCs w:val="20"/>
                <w:color w:val="auto"/>
              </w:rPr>
            </w:pPr>
            <w:r>
              <w:rPr>
                <w:rFonts w:ascii="Arial" w:cs="Arial" w:eastAsia="Arial" w:hAnsi="Arial"/>
                <w:sz w:val="14"/>
                <w:szCs w:val="14"/>
                <w:color w:val="auto"/>
              </w:rPr>
              <w:t>–</w:t>
            </w:r>
          </w:p>
        </w:tc>
        <w:tc>
          <w:tcPr>
            <w:tcW w:w="12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gridSpan w:val="2"/>
          </w:tcPr>
          <w:p>
            <w:pPr>
              <w:jc w:val="right"/>
              <w:ind w:right="200"/>
              <w:spacing w:after="0" w:line="157" w:lineRule="exact"/>
              <w:rPr>
                <w:sz w:val="20"/>
                <w:szCs w:val="20"/>
                <w:color w:val="auto"/>
              </w:rPr>
            </w:pPr>
            <w:r>
              <w:rPr>
                <w:rFonts w:ascii="Arial" w:cs="Arial" w:eastAsia="Arial" w:hAnsi="Arial"/>
                <w:sz w:val="14"/>
                <w:szCs w:val="14"/>
                <w:color w:val="auto"/>
              </w:rPr>
              <w:t>–</w:t>
            </w:r>
          </w:p>
        </w:tc>
        <w:tc>
          <w:tcPr>
            <w:tcW w:w="620" w:type="dxa"/>
            <w:vAlign w:val="bottom"/>
            <w:tcBorders>
              <w:bottom w:val="single" w:sz="8" w:color="auto"/>
            </w:tcBorders>
          </w:tcPr>
          <w:p>
            <w:pPr>
              <w:jc w:val="right"/>
              <w:ind w:right="31"/>
              <w:spacing w:after="0" w:line="157" w:lineRule="exact"/>
              <w:rPr>
                <w:sz w:val="20"/>
                <w:szCs w:val="20"/>
                <w:color w:val="auto"/>
              </w:rPr>
            </w:pPr>
            <w:r>
              <w:rPr>
                <w:rFonts w:ascii="Arial" w:cs="Arial" w:eastAsia="Arial" w:hAnsi="Arial"/>
                <w:sz w:val="14"/>
                <w:szCs w:val="14"/>
                <w:color w:val="auto"/>
              </w:rPr>
              <w:t>254</w:t>
            </w:r>
          </w:p>
        </w:tc>
        <w:tc>
          <w:tcPr>
            <w:tcW w:w="740" w:type="dxa"/>
            <w:vAlign w:val="bottom"/>
            <w:tcBorders>
              <w:bottom w:val="single" w:sz="8" w:color="auto"/>
            </w:tcBorders>
          </w:tcPr>
          <w:p>
            <w:pPr>
              <w:jc w:val="right"/>
              <w:ind w:right="50"/>
              <w:spacing w:after="0" w:line="157" w:lineRule="exact"/>
              <w:rPr>
                <w:sz w:val="20"/>
                <w:szCs w:val="20"/>
                <w:color w:val="auto"/>
              </w:rPr>
            </w:pPr>
            <w:r>
              <w:rPr>
                <w:rFonts w:ascii="Arial" w:cs="Arial" w:eastAsia="Arial" w:hAnsi="Arial"/>
                <w:sz w:val="14"/>
                <w:szCs w:val="14"/>
                <w:color w:val="auto"/>
              </w:rPr>
              <w:t>–</w:t>
            </w:r>
          </w:p>
        </w:tc>
        <w:tc>
          <w:tcPr>
            <w:tcW w:w="640" w:type="dxa"/>
            <w:vAlign w:val="bottom"/>
            <w:tcBorders>
              <w:bottom w:val="single" w:sz="8" w:color="auto"/>
            </w:tcBorders>
          </w:tcPr>
          <w:p>
            <w:pPr>
              <w:jc w:val="right"/>
              <w:ind w:right="10"/>
              <w:spacing w:after="0" w:line="157" w:lineRule="exact"/>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tcPr>
          <w:p>
            <w:pPr>
              <w:jc w:val="right"/>
              <w:ind w:right="32"/>
              <w:spacing w:after="0" w:line="157" w:lineRule="exact"/>
              <w:rPr>
                <w:sz w:val="20"/>
                <w:szCs w:val="20"/>
                <w:color w:val="auto"/>
              </w:rPr>
            </w:pPr>
            <w:r>
              <w:rPr>
                <w:rFonts w:ascii="Arial" w:cs="Arial" w:eastAsia="Arial" w:hAnsi="Arial"/>
                <w:sz w:val="14"/>
                <w:szCs w:val="14"/>
                <w:color w:val="auto"/>
              </w:rPr>
              <w:t>254</w:t>
            </w:r>
          </w:p>
        </w:tc>
      </w:tr>
    </w:tbl>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3540" w:type="dxa"/>
            <w:vAlign w:val="bottom"/>
            <w:gridSpan w:val="5"/>
            <w:shd w:val="clear" w:color="auto" w:fill="333333"/>
          </w:tcPr>
          <w:p>
            <w:pPr>
              <w:ind w:left="80"/>
              <w:spacing w:after="0"/>
              <w:rPr>
                <w:sz w:val="20"/>
                <w:szCs w:val="20"/>
                <w:color w:val="auto"/>
              </w:rPr>
            </w:pPr>
            <w:r>
              <w:rPr>
                <w:rFonts w:ascii="Arial" w:cs="Arial" w:eastAsia="Arial" w:hAnsi="Arial"/>
                <w:sz w:val="15"/>
                <w:szCs w:val="15"/>
                <w:b w:val="1"/>
                <w:bCs w:val="1"/>
                <w:color w:val="FFFFFF"/>
              </w:rPr>
              <w:t>PROVED UNDEVELOPED RESERVES 2014</w:t>
            </w:r>
          </w:p>
        </w:tc>
        <w:tc>
          <w:tcPr>
            <w:tcW w:w="560" w:type="dxa"/>
            <w:vAlign w:val="bottom"/>
            <w:shd w:val="clear" w:color="auto" w:fill="333333"/>
          </w:tcPr>
          <w:p>
            <w:pPr>
              <w:spacing w:after="0"/>
              <w:rPr>
                <w:sz w:val="15"/>
                <w:szCs w:val="15"/>
                <w:color w:val="auto"/>
              </w:rPr>
            </w:pPr>
          </w:p>
        </w:tc>
        <w:tc>
          <w:tcPr>
            <w:tcW w:w="200" w:type="dxa"/>
            <w:vAlign w:val="bottom"/>
            <w:shd w:val="clear" w:color="auto" w:fill="333333"/>
          </w:tcPr>
          <w:p>
            <w:pPr>
              <w:spacing w:after="0"/>
              <w:rPr>
                <w:sz w:val="15"/>
                <w:szCs w:val="15"/>
                <w:color w:val="auto"/>
              </w:rPr>
            </w:pPr>
          </w:p>
        </w:tc>
        <w:tc>
          <w:tcPr>
            <w:tcW w:w="520" w:type="dxa"/>
            <w:vAlign w:val="bottom"/>
            <w:shd w:val="clear" w:color="auto" w:fill="333333"/>
          </w:tcPr>
          <w:p>
            <w:pPr>
              <w:spacing w:after="0"/>
              <w:rPr>
                <w:sz w:val="15"/>
                <w:szCs w:val="15"/>
                <w:color w:val="auto"/>
              </w:rPr>
            </w:pPr>
          </w:p>
        </w:tc>
        <w:tc>
          <w:tcPr>
            <w:tcW w:w="220" w:type="dxa"/>
            <w:vAlign w:val="bottom"/>
            <w:shd w:val="clear" w:color="auto" w:fill="333333"/>
          </w:tcPr>
          <w:p>
            <w:pPr>
              <w:spacing w:after="0"/>
              <w:rPr>
                <w:sz w:val="15"/>
                <w:szCs w:val="15"/>
                <w:color w:val="auto"/>
              </w:rPr>
            </w:pPr>
          </w:p>
        </w:tc>
        <w:tc>
          <w:tcPr>
            <w:tcW w:w="580" w:type="dxa"/>
            <w:vAlign w:val="bottom"/>
            <w:shd w:val="clear" w:color="auto" w:fill="333333"/>
          </w:tcPr>
          <w:p>
            <w:pPr>
              <w:spacing w:after="0"/>
              <w:rPr>
                <w:sz w:val="15"/>
                <w:szCs w:val="15"/>
                <w:color w:val="auto"/>
              </w:rPr>
            </w:pPr>
          </w:p>
        </w:tc>
        <w:tc>
          <w:tcPr>
            <w:tcW w:w="120" w:type="dxa"/>
            <w:vAlign w:val="bottom"/>
            <w:shd w:val="clear" w:color="auto" w:fill="333333"/>
          </w:tcPr>
          <w:p>
            <w:pPr>
              <w:spacing w:after="0"/>
              <w:rPr>
                <w:sz w:val="15"/>
                <w:szCs w:val="15"/>
                <w:color w:val="auto"/>
              </w:rPr>
            </w:pPr>
          </w:p>
        </w:tc>
        <w:tc>
          <w:tcPr>
            <w:tcW w:w="640" w:type="dxa"/>
            <w:vAlign w:val="bottom"/>
            <w:shd w:val="clear" w:color="auto" w:fill="333333"/>
          </w:tcPr>
          <w:p>
            <w:pPr>
              <w:spacing w:after="0"/>
              <w:rPr>
                <w:sz w:val="15"/>
                <w:szCs w:val="15"/>
                <w:color w:val="auto"/>
              </w:rPr>
            </w:pPr>
          </w:p>
        </w:tc>
        <w:tc>
          <w:tcPr>
            <w:tcW w:w="740" w:type="dxa"/>
            <w:vAlign w:val="bottom"/>
            <w:shd w:val="clear" w:color="auto" w:fill="333333"/>
          </w:tcPr>
          <w:p>
            <w:pPr>
              <w:spacing w:after="0"/>
              <w:rPr>
                <w:sz w:val="15"/>
                <w:szCs w:val="15"/>
                <w:color w:val="auto"/>
              </w:rPr>
            </w:pPr>
          </w:p>
        </w:tc>
        <w:tc>
          <w:tcPr>
            <w:tcW w:w="660" w:type="dxa"/>
            <w:vAlign w:val="bottom"/>
            <w:shd w:val="clear" w:color="auto" w:fill="333333"/>
          </w:tcPr>
          <w:p>
            <w:pPr>
              <w:spacing w:after="0"/>
              <w:rPr>
                <w:sz w:val="15"/>
                <w:szCs w:val="15"/>
                <w:color w:val="auto"/>
              </w:rPr>
            </w:pPr>
          </w:p>
        </w:tc>
        <w:tc>
          <w:tcPr>
            <w:tcW w:w="120" w:type="dxa"/>
            <w:vAlign w:val="bottom"/>
            <w:shd w:val="clear" w:color="auto" w:fill="333333"/>
          </w:tcPr>
          <w:p>
            <w:pPr>
              <w:spacing w:after="0"/>
              <w:rPr>
                <w:sz w:val="15"/>
                <w:szCs w:val="15"/>
                <w:color w:val="auto"/>
              </w:rPr>
            </w:pPr>
          </w:p>
        </w:tc>
        <w:tc>
          <w:tcPr>
            <w:tcW w:w="580" w:type="dxa"/>
            <w:vAlign w:val="bottom"/>
            <w:shd w:val="clear" w:color="auto" w:fill="333333"/>
          </w:tcPr>
          <w:p>
            <w:pPr>
              <w:spacing w:after="0"/>
              <w:rPr>
                <w:sz w:val="15"/>
                <w:szCs w:val="15"/>
                <w:color w:val="auto"/>
              </w:rPr>
            </w:pPr>
          </w:p>
        </w:tc>
        <w:tc>
          <w:tcPr>
            <w:tcW w:w="220" w:type="dxa"/>
            <w:vAlign w:val="bottom"/>
            <w:shd w:val="clear" w:color="auto" w:fill="333333"/>
          </w:tcPr>
          <w:p>
            <w:pPr>
              <w:spacing w:after="0"/>
              <w:rPr>
                <w:sz w:val="15"/>
                <w:szCs w:val="15"/>
                <w:color w:val="auto"/>
              </w:rPr>
            </w:pPr>
          </w:p>
        </w:tc>
        <w:tc>
          <w:tcPr>
            <w:tcW w:w="640" w:type="dxa"/>
            <w:vAlign w:val="bottom"/>
            <w:shd w:val="clear" w:color="auto" w:fill="333333"/>
          </w:tcPr>
          <w:p>
            <w:pPr>
              <w:spacing w:after="0"/>
              <w:rPr>
                <w:sz w:val="15"/>
                <w:szCs w:val="15"/>
                <w:color w:val="auto"/>
              </w:rPr>
            </w:pPr>
          </w:p>
        </w:tc>
        <w:tc>
          <w:tcPr>
            <w:tcW w:w="2080" w:type="dxa"/>
            <w:vAlign w:val="bottom"/>
            <w:gridSpan w:val="3"/>
            <w:shd w:val="clear" w:color="auto" w:fill="333333"/>
          </w:tcPr>
          <w:p>
            <w:pPr>
              <w:jc w:val="right"/>
              <w:ind w:right="32"/>
              <w:spacing w:after="0"/>
              <w:rPr>
                <w:sz w:val="20"/>
                <w:szCs w:val="20"/>
                <w:color w:val="auto"/>
              </w:rPr>
            </w:pPr>
            <w:r>
              <w:rPr>
                <w:rFonts w:ascii="Arial" w:cs="Arial" w:eastAsia="Arial" w:hAnsi="Arial"/>
                <w:sz w:val="15"/>
                <w:szCs w:val="15"/>
                <w:color w:val="FFFFFF"/>
              </w:rPr>
              <w:t>MILLION BARRELS</w:t>
            </w:r>
          </w:p>
        </w:tc>
        <w:tc>
          <w:tcPr>
            <w:tcW w:w="0" w:type="dxa"/>
            <w:vAlign w:val="bottom"/>
          </w:tcPr>
          <w:p>
            <w:pPr>
              <w:spacing w:after="0"/>
              <w:rPr>
                <w:sz w:val="1"/>
                <w:szCs w:val="1"/>
                <w:color w:val="auto"/>
              </w:rPr>
            </w:pPr>
          </w:p>
        </w:tc>
      </w:tr>
      <w:tr>
        <w:trPr>
          <w:trHeight w:val="135"/>
        </w:trPr>
        <w:tc>
          <w:tcPr>
            <w:tcW w:w="2080" w:type="dxa"/>
            <w:vAlign w:val="bottom"/>
          </w:tcPr>
          <w:p>
            <w:pPr>
              <w:spacing w:after="0"/>
              <w:rPr>
                <w:sz w:val="11"/>
                <w:szCs w:val="11"/>
                <w:color w:val="auto"/>
              </w:rPr>
            </w:pPr>
          </w:p>
        </w:tc>
        <w:tc>
          <w:tcPr>
            <w:tcW w:w="740" w:type="dxa"/>
            <w:vAlign w:val="bottom"/>
            <w:gridSpan w:val="2"/>
            <w:vMerge w:val="restart"/>
          </w:tcPr>
          <w:p>
            <w:pPr>
              <w:jc w:val="right"/>
              <w:ind w:right="200"/>
              <w:spacing w:after="0"/>
              <w:rPr>
                <w:sz w:val="20"/>
                <w:szCs w:val="20"/>
                <w:color w:val="auto"/>
              </w:rPr>
            </w:pPr>
            <w:r>
              <w:rPr>
                <w:rFonts w:ascii="Arial" w:cs="Arial" w:eastAsia="Arial" w:hAnsi="Arial"/>
                <w:sz w:val="13"/>
                <w:szCs w:val="13"/>
                <w:color w:val="auto"/>
              </w:rPr>
              <w:t>Europe</w:t>
            </w:r>
          </w:p>
        </w:tc>
        <w:tc>
          <w:tcPr>
            <w:tcW w:w="720" w:type="dxa"/>
            <w:vAlign w:val="bottom"/>
            <w:gridSpan w:val="2"/>
            <w:vMerge w:val="restart"/>
          </w:tcPr>
          <w:p>
            <w:pPr>
              <w:jc w:val="right"/>
              <w:ind w:right="200"/>
              <w:spacing w:after="0"/>
              <w:rPr>
                <w:sz w:val="20"/>
                <w:szCs w:val="20"/>
                <w:color w:val="auto"/>
              </w:rPr>
            </w:pPr>
            <w:r>
              <w:rPr>
                <w:rFonts w:ascii="Arial" w:cs="Arial" w:eastAsia="Arial" w:hAnsi="Arial"/>
                <w:sz w:val="13"/>
                <w:szCs w:val="13"/>
                <w:color w:val="auto"/>
              </w:rPr>
              <w:t>Asia</w:t>
            </w:r>
          </w:p>
        </w:tc>
        <w:tc>
          <w:tcPr>
            <w:tcW w:w="760" w:type="dxa"/>
            <w:vAlign w:val="bottom"/>
            <w:gridSpan w:val="2"/>
            <w:vMerge w:val="restart"/>
          </w:tcPr>
          <w:p>
            <w:pPr>
              <w:jc w:val="right"/>
              <w:ind w:right="200"/>
              <w:spacing w:after="0"/>
              <w:rPr>
                <w:sz w:val="20"/>
                <w:szCs w:val="20"/>
                <w:color w:val="auto"/>
              </w:rPr>
            </w:pPr>
            <w:r>
              <w:rPr>
                <w:rFonts w:ascii="Arial" w:cs="Arial" w:eastAsia="Arial" w:hAnsi="Arial"/>
                <w:sz w:val="13"/>
                <w:szCs w:val="13"/>
                <w:color w:val="auto"/>
              </w:rPr>
              <w:t>Oceania</w:t>
            </w:r>
          </w:p>
        </w:tc>
        <w:tc>
          <w:tcPr>
            <w:tcW w:w="740" w:type="dxa"/>
            <w:vAlign w:val="bottom"/>
            <w:gridSpan w:val="2"/>
            <w:vMerge w:val="restart"/>
          </w:tcPr>
          <w:p>
            <w:pPr>
              <w:jc w:val="right"/>
              <w:ind w:right="220"/>
              <w:spacing w:after="0"/>
              <w:rPr>
                <w:sz w:val="20"/>
                <w:szCs w:val="20"/>
                <w:color w:val="auto"/>
              </w:rPr>
            </w:pPr>
            <w:r>
              <w:rPr>
                <w:rFonts w:ascii="Arial" w:cs="Arial" w:eastAsia="Arial" w:hAnsi="Arial"/>
                <w:sz w:val="13"/>
                <w:szCs w:val="13"/>
                <w:color w:val="auto"/>
              </w:rPr>
              <w:t>Africa</w:t>
            </w:r>
          </w:p>
        </w:tc>
        <w:tc>
          <w:tcPr>
            <w:tcW w:w="58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1400" w:type="dxa"/>
            <w:vAlign w:val="bottom"/>
            <w:tcBorders>
              <w:bottom w:val="single" w:sz="8" w:color="auto"/>
            </w:tcBorders>
            <w:gridSpan w:val="2"/>
          </w:tcPr>
          <w:p>
            <w:pPr>
              <w:jc w:val="right"/>
              <w:ind w:right="11"/>
              <w:spacing w:after="0" w:line="135" w:lineRule="exact"/>
              <w:rPr>
                <w:sz w:val="20"/>
                <w:szCs w:val="20"/>
                <w:color w:val="auto"/>
              </w:rPr>
            </w:pPr>
            <w:r>
              <w:rPr>
                <w:rFonts w:ascii="Arial" w:cs="Arial" w:eastAsia="Arial" w:hAnsi="Arial"/>
                <w:sz w:val="13"/>
                <w:szCs w:val="13"/>
                <w:color w:val="auto"/>
              </w:rPr>
              <w:t>North America</w:t>
            </w:r>
          </w:p>
        </w:tc>
        <w:tc>
          <w:tcPr>
            <w:tcW w:w="120" w:type="dxa"/>
            <w:vAlign w:val="bottom"/>
          </w:tcPr>
          <w:p>
            <w:pPr>
              <w:spacing w:after="0"/>
              <w:rPr>
                <w:sz w:val="11"/>
                <w:szCs w:val="11"/>
                <w:color w:val="auto"/>
              </w:rPr>
            </w:pPr>
          </w:p>
        </w:tc>
        <w:tc>
          <w:tcPr>
            <w:tcW w:w="80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South</w:t>
            </w: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80" w:type="dxa"/>
            <w:vAlign w:val="bottom"/>
          </w:tcPr>
          <w:p>
            <w:pPr>
              <w:spacing w:after="0"/>
              <w:rPr>
                <w:sz w:val="11"/>
                <w:szCs w:val="11"/>
                <w:color w:val="auto"/>
              </w:rPr>
            </w:pPr>
          </w:p>
        </w:tc>
        <w:tc>
          <w:tcPr>
            <w:tcW w:w="740" w:type="dxa"/>
            <w:vAlign w:val="bottom"/>
            <w:gridSpan w:val="2"/>
            <w:vMerge w:val="continue"/>
          </w:tcPr>
          <w:p>
            <w:pPr>
              <w:spacing w:after="0"/>
              <w:rPr>
                <w:sz w:val="11"/>
                <w:szCs w:val="11"/>
                <w:color w:val="auto"/>
              </w:rPr>
            </w:pPr>
          </w:p>
        </w:tc>
        <w:tc>
          <w:tcPr>
            <w:tcW w:w="720" w:type="dxa"/>
            <w:vAlign w:val="bottom"/>
            <w:gridSpan w:val="2"/>
            <w:vMerge w:val="continue"/>
          </w:tcPr>
          <w:p>
            <w:pPr>
              <w:spacing w:after="0"/>
              <w:rPr>
                <w:sz w:val="11"/>
                <w:szCs w:val="11"/>
                <w:color w:val="auto"/>
              </w:rPr>
            </w:pPr>
          </w:p>
        </w:tc>
        <w:tc>
          <w:tcPr>
            <w:tcW w:w="760" w:type="dxa"/>
            <w:vAlign w:val="bottom"/>
            <w:gridSpan w:val="2"/>
            <w:vMerge w:val="continue"/>
          </w:tcPr>
          <w:p>
            <w:pPr>
              <w:spacing w:after="0"/>
              <w:rPr>
                <w:sz w:val="11"/>
                <w:szCs w:val="11"/>
                <w:color w:val="auto"/>
              </w:rPr>
            </w:pPr>
          </w:p>
        </w:tc>
        <w:tc>
          <w:tcPr>
            <w:tcW w:w="740" w:type="dxa"/>
            <w:vAlign w:val="bottom"/>
            <w:gridSpan w:val="2"/>
            <w:vMerge w:val="continue"/>
          </w:tcPr>
          <w:p>
            <w:pPr>
              <w:spacing w:after="0"/>
              <w:rPr>
                <w:sz w:val="11"/>
                <w:szCs w:val="11"/>
                <w:color w:val="auto"/>
              </w:rPr>
            </w:pPr>
          </w:p>
        </w:tc>
        <w:tc>
          <w:tcPr>
            <w:tcW w:w="700" w:type="dxa"/>
            <w:vAlign w:val="bottom"/>
            <w:gridSpan w:val="2"/>
          </w:tcPr>
          <w:p>
            <w:pPr>
              <w:jc w:val="right"/>
              <w:ind w:right="220"/>
              <w:spacing w:after="0" w:line="129" w:lineRule="exact"/>
              <w:rPr>
                <w:sz w:val="20"/>
                <w:szCs w:val="20"/>
                <w:color w:val="auto"/>
              </w:rPr>
            </w:pPr>
            <w:r>
              <w:rPr>
                <w:rFonts w:ascii="Arial" w:cs="Arial" w:eastAsia="Arial" w:hAnsi="Arial"/>
                <w:sz w:val="13"/>
                <w:szCs w:val="13"/>
                <w:color w:val="auto"/>
              </w:rPr>
              <w:t>USA</w:t>
            </w: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jc w:val="right"/>
              <w:ind w:right="11"/>
              <w:spacing w:after="0" w:line="129" w:lineRule="exact"/>
              <w:rPr>
                <w:sz w:val="20"/>
                <w:szCs w:val="20"/>
                <w:color w:val="auto"/>
              </w:rPr>
            </w:pPr>
            <w:r>
              <w:rPr>
                <w:rFonts w:ascii="Arial" w:cs="Arial" w:eastAsia="Arial" w:hAnsi="Arial"/>
                <w:sz w:val="13"/>
                <w:szCs w:val="13"/>
                <w:color w:val="auto"/>
              </w:rPr>
              <w:t>Canada</w:t>
            </w:r>
          </w:p>
        </w:tc>
        <w:tc>
          <w:tcPr>
            <w:tcW w:w="120" w:type="dxa"/>
            <w:vAlign w:val="bottom"/>
          </w:tcPr>
          <w:p>
            <w:pPr>
              <w:spacing w:after="0"/>
              <w:rPr>
                <w:sz w:val="11"/>
                <w:szCs w:val="11"/>
                <w:color w:val="auto"/>
              </w:rPr>
            </w:pPr>
          </w:p>
        </w:tc>
        <w:tc>
          <w:tcPr>
            <w:tcW w:w="800" w:type="dxa"/>
            <w:vAlign w:val="bottom"/>
            <w:gridSpan w:val="2"/>
          </w:tcPr>
          <w:p>
            <w:pPr>
              <w:jc w:val="right"/>
              <w:ind w:right="220"/>
              <w:spacing w:after="0" w:line="129" w:lineRule="exact"/>
              <w:rPr>
                <w:sz w:val="20"/>
                <w:szCs w:val="20"/>
                <w:color w:val="auto"/>
              </w:rPr>
            </w:pPr>
            <w:r>
              <w:rPr>
                <w:rFonts w:ascii="Arial" w:cs="Arial" w:eastAsia="Arial" w:hAnsi="Arial"/>
                <w:sz w:val="13"/>
                <w:szCs w:val="13"/>
                <w:color w:val="auto"/>
              </w:rPr>
              <w:t>America</w:t>
            </w: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80" w:type="dxa"/>
            <w:vAlign w:val="bottom"/>
          </w:tcPr>
          <w:p>
            <w:pPr>
              <w:jc w:val="right"/>
              <w:ind w:right="32"/>
              <w:spacing w:after="0" w:line="129" w:lineRule="exact"/>
              <w:rPr>
                <w:sz w:val="20"/>
                <w:szCs w:val="20"/>
                <w:color w:val="auto"/>
              </w:rPr>
            </w:pPr>
            <w:r>
              <w:rPr>
                <w:rFonts w:ascii="Arial" w:cs="Arial" w:eastAsia="Arial" w:hAnsi="Arial"/>
                <w:sz w:val="13"/>
                <w:szCs w:val="13"/>
                <w:color w:val="auto"/>
              </w:rPr>
              <w:t>Total</w:t>
            </w:r>
          </w:p>
        </w:tc>
        <w:tc>
          <w:tcPr>
            <w:tcW w:w="0" w:type="dxa"/>
            <w:vAlign w:val="bottom"/>
          </w:tcPr>
          <w:p>
            <w:pPr>
              <w:spacing w:after="0"/>
              <w:rPr>
                <w:sz w:val="1"/>
                <w:szCs w:val="1"/>
                <w:color w:val="auto"/>
              </w:rPr>
            </w:pPr>
          </w:p>
        </w:tc>
      </w:tr>
      <w:tr>
        <w:trPr>
          <w:trHeight w:val="123"/>
        </w:trPr>
        <w:tc>
          <w:tcPr>
            <w:tcW w:w="2080" w:type="dxa"/>
            <w:vAlign w:val="bottom"/>
          </w:tcPr>
          <w:p>
            <w:pPr>
              <w:spacing w:after="0"/>
              <w:rPr>
                <w:sz w:val="10"/>
                <w:szCs w:val="10"/>
                <w:color w:val="auto"/>
              </w:rPr>
            </w:pPr>
          </w:p>
        </w:tc>
        <w:tc>
          <w:tcPr>
            <w:tcW w:w="540" w:type="dxa"/>
            <w:vAlign w:val="bottom"/>
            <w:tcBorders>
              <w:top w:val="single" w:sz="8" w:color="auto"/>
            </w:tcBorders>
          </w:tcPr>
          <w:p>
            <w:pPr>
              <w:jc w:val="right"/>
              <w:spacing w:after="0" w:line="123" w:lineRule="exact"/>
              <w:rPr>
                <w:sz w:val="20"/>
                <w:szCs w:val="20"/>
                <w:color w:val="auto"/>
              </w:rPr>
            </w:pPr>
            <w:r>
              <w:rPr>
                <w:rFonts w:ascii="Arial" w:cs="Arial" w:eastAsia="Arial" w:hAnsi="Arial"/>
                <w:sz w:val="13"/>
                <w:szCs w:val="13"/>
                <w:color w:val="auto"/>
              </w:rPr>
              <w:t>Oil and</w:t>
            </w:r>
          </w:p>
        </w:tc>
        <w:tc>
          <w:tcPr>
            <w:tcW w:w="200" w:type="dxa"/>
            <w:vAlign w:val="bottom"/>
          </w:tcPr>
          <w:p>
            <w:pPr>
              <w:spacing w:after="0"/>
              <w:rPr>
                <w:sz w:val="10"/>
                <w:szCs w:val="10"/>
                <w:color w:val="auto"/>
              </w:rPr>
            </w:pPr>
          </w:p>
        </w:tc>
        <w:tc>
          <w:tcPr>
            <w:tcW w:w="520" w:type="dxa"/>
            <w:vAlign w:val="bottom"/>
            <w:tcBorders>
              <w:top w:val="single" w:sz="8" w:color="auto"/>
            </w:tcBorders>
          </w:tcPr>
          <w:p>
            <w:pPr>
              <w:jc w:val="right"/>
              <w:spacing w:after="0" w:line="123" w:lineRule="exact"/>
              <w:rPr>
                <w:sz w:val="20"/>
                <w:szCs w:val="20"/>
                <w:color w:val="auto"/>
              </w:rPr>
            </w:pPr>
            <w:r>
              <w:rPr>
                <w:rFonts w:ascii="Arial" w:cs="Arial" w:eastAsia="Arial" w:hAnsi="Arial"/>
                <w:sz w:val="13"/>
                <w:szCs w:val="13"/>
                <w:color w:val="auto"/>
              </w:rPr>
              <w:t>Oil and</w:t>
            </w:r>
          </w:p>
        </w:tc>
        <w:tc>
          <w:tcPr>
            <w:tcW w:w="200" w:type="dxa"/>
            <w:vAlign w:val="bottom"/>
          </w:tcPr>
          <w:p>
            <w:pPr>
              <w:spacing w:after="0"/>
              <w:rPr>
                <w:sz w:val="10"/>
                <w:szCs w:val="10"/>
                <w:color w:val="auto"/>
              </w:rPr>
            </w:pPr>
          </w:p>
        </w:tc>
        <w:tc>
          <w:tcPr>
            <w:tcW w:w="560" w:type="dxa"/>
            <w:vAlign w:val="bottom"/>
            <w:tcBorders>
              <w:top w:val="single" w:sz="8" w:color="auto"/>
            </w:tcBorders>
          </w:tcPr>
          <w:p>
            <w:pPr>
              <w:jc w:val="right"/>
              <w:spacing w:after="0" w:line="123" w:lineRule="exact"/>
              <w:rPr>
                <w:sz w:val="20"/>
                <w:szCs w:val="20"/>
                <w:color w:val="auto"/>
              </w:rPr>
            </w:pPr>
            <w:r>
              <w:rPr>
                <w:rFonts w:ascii="Arial" w:cs="Arial" w:eastAsia="Arial" w:hAnsi="Arial"/>
                <w:sz w:val="13"/>
                <w:szCs w:val="13"/>
                <w:color w:val="auto"/>
              </w:rPr>
              <w:t>Oil and</w:t>
            </w:r>
          </w:p>
        </w:tc>
        <w:tc>
          <w:tcPr>
            <w:tcW w:w="200" w:type="dxa"/>
            <w:vAlign w:val="bottom"/>
          </w:tcPr>
          <w:p>
            <w:pPr>
              <w:spacing w:after="0"/>
              <w:rPr>
                <w:sz w:val="10"/>
                <w:szCs w:val="10"/>
                <w:color w:val="auto"/>
              </w:rPr>
            </w:pPr>
          </w:p>
        </w:tc>
        <w:tc>
          <w:tcPr>
            <w:tcW w:w="520" w:type="dxa"/>
            <w:vAlign w:val="bottom"/>
            <w:tcBorders>
              <w:top w:val="single" w:sz="8" w:color="auto"/>
            </w:tcBorders>
          </w:tcPr>
          <w:p>
            <w:pPr>
              <w:jc w:val="right"/>
              <w:spacing w:after="0" w:line="123" w:lineRule="exact"/>
              <w:rPr>
                <w:sz w:val="20"/>
                <w:szCs w:val="20"/>
                <w:color w:val="auto"/>
              </w:rPr>
            </w:pPr>
            <w:r>
              <w:rPr>
                <w:rFonts w:ascii="Arial" w:cs="Arial" w:eastAsia="Arial" w:hAnsi="Arial"/>
                <w:sz w:val="13"/>
                <w:szCs w:val="13"/>
                <w:color w:val="auto"/>
              </w:rPr>
              <w:t>Oil and</w:t>
            </w:r>
          </w:p>
        </w:tc>
        <w:tc>
          <w:tcPr>
            <w:tcW w:w="220" w:type="dxa"/>
            <w:vAlign w:val="bottom"/>
          </w:tcPr>
          <w:p>
            <w:pPr>
              <w:spacing w:after="0"/>
              <w:rPr>
                <w:sz w:val="10"/>
                <w:szCs w:val="10"/>
                <w:color w:val="auto"/>
              </w:rPr>
            </w:pPr>
          </w:p>
        </w:tc>
        <w:tc>
          <w:tcPr>
            <w:tcW w:w="580" w:type="dxa"/>
            <w:vAlign w:val="bottom"/>
            <w:tcBorders>
              <w:top w:val="single" w:sz="8" w:color="auto"/>
            </w:tcBorders>
          </w:tcPr>
          <w:p>
            <w:pPr>
              <w:jc w:val="right"/>
              <w:ind w:right="32"/>
              <w:spacing w:after="0" w:line="123" w:lineRule="exact"/>
              <w:rPr>
                <w:sz w:val="20"/>
                <w:szCs w:val="20"/>
                <w:color w:val="auto"/>
              </w:rPr>
            </w:pPr>
            <w:r>
              <w:rPr>
                <w:rFonts w:ascii="Arial" w:cs="Arial" w:eastAsia="Arial" w:hAnsi="Arial"/>
                <w:sz w:val="13"/>
                <w:szCs w:val="13"/>
                <w:color w:val="auto"/>
              </w:rPr>
              <w:t>Oil and</w:t>
            </w:r>
          </w:p>
        </w:tc>
        <w:tc>
          <w:tcPr>
            <w:tcW w:w="120" w:type="dxa"/>
            <w:vAlign w:val="bottom"/>
          </w:tcPr>
          <w:p>
            <w:pPr>
              <w:spacing w:after="0"/>
              <w:rPr>
                <w:sz w:val="10"/>
                <w:szCs w:val="10"/>
                <w:color w:val="auto"/>
              </w:rPr>
            </w:pPr>
          </w:p>
        </w:tc>
        <w:tc>
          <w:tcPr>
            <w:tcW w:w="640" w:type="dxa"/>
            <w:vAlign w:val="bottom"/>
            <w:tcBorders>
              <w:top w:val="single" w:sz="8" w:color="auto"/>
            </w:tcBorders>
          </w:tcPr>
          <w:p>
            <w:pPr>
              <w:jc w:val="right"/>
              <w:ind w:right="31"/>
              <w:spacing w:after="0" w:line="123" w:lineRule="exact"/>
              <w:rPr>
                <w:sz w:val="20"/>
                <w:szCs w:val="20"/>
                <w:color w:val="auto"/>
              </w:rPr>
            </w:pPr>
            <w:r>
              <w:rPr>
                <w:rFonts w:ascii="Arial" w:cs="Arial" w:eastAsia="Arial" w:hAnsi="Arial"/>
                <w:sz w:val="13"/>
                <w:szCs w:val="13"/>
                <w:color w:val="auto"/>
              </w:rPr>
              <w:t>Oil and</w:t>
            </w:r>
          </w:p>
        </w:tc>
        <w:tc>
          <w:tcPr>
            <w:tcW w:w="740" w:type="dxa"/>
            <w:vAlign w:val="bottom"/>
            <w:tcBorders>
              <w:top w:val="single" w:sz="8" w:color="auto"/>
            </w:tcBorders>
          </w:tcPr>
          <w:p>
            <w:pPr>
              <w:jc w:val="right"/>
              <w:ind w:right="52"/>
              <w:spacing w:after="0" w:line="123" w:lineRule="exact"/>
              <w:rPr>
                <w:sz w:val="20"/>
                <w:szCs w:val="20"/>
                <w:color w:val="auto"/>
              </w:rPr>
            </w:pPr>
            <w:r>
              <w:rPr>
                <w:rFonts w:ascii="Arial" w:cs="Arial" w:eastAsia="Arial" w:hAnsi="Arial"/>
                <w:sz w:val="13"/>
                <w:szCs w:val="13"/>
                <w:color w:val="auto"/>
              </w:rPr>
              <w:t>Synthetic</w:t>
            </w:r>
          </w:p>
        </w:tc>
        <w:tc>
          <w:tcPr>
            <w:tcW w:w="66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Borders>
              <w:top w:val="single" w:sz="8" w:color="auto"/>
            </w:tcBorders>
          </w:tcPr>
          <w:p>
            <w:pPr>
              <w:jc w:val="right"/>
              <w:spacing w:after="0" w:line="123" w:lineRule="exact"/>
              <w:rPr>
                <w:sz w:val="20"/>
                <w:szCs w:val="20"/>
                <w:color w:val="auto"/>
              </w:rPr>
            </w:pPr>
            <w:r>
              <w:rPr>
                <w:rFonts w:ascii="Arial" w:cs="Arial" w:eastAsia="Arial" w:hAnsi="Arial"/>
                <w:sz w:val="13"/>
                <w:szCs w:val="13"/>
                <w:color w:val="auto"/>
              </w:rPr>
              <w:t>Oil and</w:t>
            </w:r>
          </w:p>
        </w:tc>
        <w:tc>
          <w:tcPr>
            <w:tcW w:w="220" w:type="dxa"/>
            <w:vAlign w:val="bottom"/>
          </w:tcPr>
          <w:p>
            <w:pPr>
              <w:spacing w:after="0"/>
              <w:rPr>
                <w:sz w:val="10"/>
                <w:szCs w:val="10"/>
                <w:color w:val="auto"/>
              </w:rPr>
            </w:pPr>
          </w:p>
        </w:tc>
        <w:tc>
          <w:tcPr>
            <w:tcW w:w="640" w:type="dxa"/>
            <w:vAlign w:val="bottom"/>
            <w:tcBorders>
              <w:top w:val="single" w:sz="8" w:color="auto"/>
            </w:tcBorders>
          </w:tcPr>
          <w:p>
            <w:pPr>
              <w:jc w:val="right"/>
              <w:ind w:right="31"/>
              <w:spacing w:after="0" w:line="123" w:lineRule="exact"/>
              <w:rPr>
                <w:sz w:val="20"/>
                <w:szCs w:val="20"/>
                <w:color w:val="auto"/>
              </w:rPr>
            </w:pPr>
            <w:r>
              <w:rPr>
                <w:rFonts w:ascii="Arial" w:cs="Arial" w:eastAsia="Arial" w:hAnsi="Arial"/>
                <w:sz w:val="13"/>
                <w:szCs w:val="13"/>
                <w:color w:val="auto"/>
              </w:rPr>
              <w:t>Oil and</w:t>
            </w:r>
          </w:p>
        </w:tc>
        <w:tc>
          <w:tcPr>
            <w:tcW w:w="740" w:type="dxa"/>
            <w:vAlign w:val="bottom"/>
            <w:tcBorders>
              <w:top w:val="single" w:sz="8" w:color="auto"/>
            </w:tcBorders>
          </w:tcPr>
          <w:p>
            <w:pPr>
              <w:jc w:val="right"/>
              <w:ind w:right="30"/>
              <w:spacing w:after="0" w:line="123" w:lineRule="exact"/>
              <w:rPr>
                <w:sz w:val="20"/>
                <w:szCs w:val="20"/>
                <w:color w:val="auto"/>
              </w:rPr>
            </w:pPr>
            <w:r>
              <w:rPr>
                <w:rFonts w:ascii="Arial" w:cs="Arial" w:eastAsia="Arial" w:hAnsi="Arial"/>
                <w:sz w:val="13"/>
                <w:szCs w:val="13"/>
                <w:color w:val="auto"/>
              </w:rPr>
              <w:t>Synthetic</w:t>
            </w:r>
          </w:p>
        </w:tc>
        <w:tc>
          <w:tcPr>
            <w:tcW w:w="66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jc w:val="right"/>
              <w:ind w:right="32"/>
              <w:spacing w:after="0" w:line="123" w:lineRule="exact"/>
              <w:rPr>
                <w:sz w:val="20"/>
                <w:szCs w:val="20"/>
                <w:color w:val="auto"/>
              </w:rPr>
            </w:pPr>
            <w:r>
              <w:rPr>
                <w:rFonts w:ascii="Arial" w:cs="Arial" w:eastAsia="Arial" w:hAnsi="Arial"/>
                <w:sz w:val="13"/>
                <w:szCs w:val="13"/>
                <w:color w:val="auto"/>
              </w:rPr>
              <w:t>All</w:t>
            </w:r>
          </w:p>
        </w:tc>
        <w:tc>
          <w:tcPr>
            <w:tcW w:w="0" w:type="dxa"/>
            <w:vAlign w:val="bottom"/>
          </w:tcPr>
          <w:p>
            <w:pPr>
              <w:spacing w:after="0"/>
              <w:rPr>
                <w:sz w:val="1"/>
                <w:szCs w:val="1"/>
                <w:color w:val="auto"/>
              </w:rPr>
            </w:pPr>
          </w:p>
        </w:tc>
      </w:tr>
      <w:tr>
        <w:trPr>
          <w:trHeight w:val="141"/>
        </w:trPr>
        <w:tc>
          <w:tcPr>
            <w:tcW w:w="208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gridSpan w:val="2"/>
          </w:tcPr>
          <w:p>
            <w:pPr>
              <w:jc w:val="right"/>
              <w:ind w:right="200"/>
              <w:spacing w:after="0" w:line="141" w:lineRule="exact"/>
              <w:rPr>
                <w:sz w:val="20"/>
                <w:szCs w:val="20"/>
                <w:color w:val="auto"/>
              </w:rPr>
            </w:pPr>
            <w:r>
              <w:rPr>
                <w:rFonts w:ascii="Arial" w:cs="Arial" w:eastAsia="Arial" w:hAnsi="Arial"/>
                <w:sz w:val="13"/>
                <w:szCs w:val="13"/>
                <w:color w:val="auto"/>
              </w:rPr>
              <w:t>NGL</w:t>
            </w:r>
          </w:p>
        </w:tc>
        <w:tc>
          <w:tcPr>
            <w:tcW w:w="720" w:type="dxa"/>
            <w:vAlign w:val="bottom"/>
            <w:tcBorders>
              <w:bottom w:val="single" w:sz="8" w:color="auto"/>
            </w:tcBorders>
            <w:gridSpan w:val="2"/>
          </w:tcPr>
          <w:p>
            <w:pPr>
              <w:jc w:val="right"/>
              <w:ind w:right="200"/>
              <w:spacing w:after="0" w:line="141" w:lineRule="exact"/>
              <w:rPr>
                <w:sz w:val="20"/>
                <w:szCs w:val="20"/>
                <w:color w:val="auto"/>
              </w:rPr>
            </w:pPr>
            <w:r>
              <w:rPr>
                <w:rFonts w:ascii="Arial" w:cs="Arial" w:eastAsia="Arial" w:hAnsi="Arial"/>
                <w:sz w:val="13"/>
                <w:szCs w:val="13"/>
                <w:color w:val="auto"/>
              </w:rPr>
              <w:t>NGL</w:t>
            </w:r>
          </w:p>
        </w:tc>
        <w:tc>
          <w:tcPr>
            <w:tcW w:w="760" w:type="dxa"/>
            <w:vAlign w:val="bottom"/>
            <w:tcBorders>
              <w:bottom w:val="single" w:sz="8" w:color="auto"/>
            </w:tcBorders>
            <w:gridSpan w:val="2"/>
          </w:tcPr>
          <w:p>
            <w:pPr>
              <w:jc w:val="right"/>
              <w:ind w:right="200"/>
              <w:spacing w:after="0" w:line="141" w:lineRule="exact"/>
              <w:rPr>
                <w:sz w:val="20"/>
                <w:szCs w:val="20"/>
                <w:color w:val="auto"/>
              </w:rPr>
            </w:pPr>
            <w:r>
              <w:rPr>
                <w:rFonts w:ascii="Arial" w:cs="Arial" w:eastAsia="Arial" w:hAnsi="Arial"/>
                <w:sz w:val="13"/>
                <w:szCs w:val="13"/>
                <w:color w:val="auto"/>
              </w:rPr>
              <w:t>NGL</w:t>
            </w:r>
          </w:p>
        </w:tc>
        <w:tc>
          <w:tcPr>
            <w:tcW w:w="740" w:type="dxa"/>
            <w:vAlign w:val="bottom"/>
            <w:tcBorders>
              <w:bottom w:val="single" w:sz="8" w:color="auto"/>
            </w:tcBorders>
            <w:gridSpan w:val="2"/>
          </w:tcPr>
          <w:p>
            <w:pPr>
              <w:jc w:val="right"/>
              <w:ind w:right="220"/>
              <w:spacing w:after="0" w:line="141" w:lineRule="exact"/>
              <w:rPr>
                <w:sz w:val="20"/>
                <w:szCs w:val="20"/>
                <w:color w:val="auto"/>
              </w:rPr>
            </w:pPr>
            <w:r>
              <w:rPr>
                <w:rFonts w:ascii="Arial" w:cs="Arial" w:eastAsia="Arial" w:hAnsi="Arial"/>
                <w:sz w:val="13"/>
                <w:szCs w:val="13"/>
                <w:color w:val="auto"/>
              </w:rPr>
              <w:t>NGL</w:t>
            </w:r>
          </w:p>
        </w:tc>
        <w:tc>
          <w:tcPr>
            <w:tcW w:w="700" w:type="dxa"/>
            <w:vAlign w:val="bottom"/>
            <w:tcBorders>
              <w:bottom w:val="single" w:sz="8" w:color="auto"/>
            </w:tcBorders>
            <w:gridSpan w:val="2"/>
          </w:tcPr>
          <w:p>
            <w:pPr>
              <w:jc w:val="right"/>
              <w:ind w:right="220"/>
              <w:spacing w:after="0" w:line="141" w:lineRule="exact"/>
              <w:rPr>
                <w:sz w:val="20"/>
                <w:szCs w:val="20"/>
                <w:color w:val="auto"/>
              </w:rPr>
            </w:pPr>
            <w:r>
              <w:rPr>
                <w:rFonts w:ascii="Arial" w:cs="Arial" w:eastAsia="Arial" w:hAnsi="Arial"/>
                <w:sz w:val="13"/>
                <w:szCs w:val="13"/>
                <w:color w:val="auto"/>
              </w:rPr>
              <w:t>NGL</w:t>
            </w:r>
          </w:p>
        </w:tc>
        <w:tc>
          <w:tcPr>
            <w:tcW w:w="640" w:type="dxa"/>
            <w:vAlign w:val="bottom"/>
            <w:tcBorders>
              <w:bottom w:val="single" w:sz="8" w:color="auto"/>
            </w:tcBorders>
          </w:tcPr>
          <w:p>
            <w:pPr>
              <w:jc w:val="right"/>
              <w:ind w:right="31"/>
              <w:spacing w:after="0" w:line="141" w:lineRule="exact"/>
              <w:rPr>
                <w:sz w:val="20"/>
                <w:szCs w:val="20"/>
                <w:color w:val="auto"/>
              </w:rPr>
            </w:pPr>
            <w:r>
              <w:rPr>
                <w:rFonts w:ascii="Arial" w:cs="Arial" w:eastAsia="Arial" w:hAnsi="Arial"/>
                <w:sz w:val="13"/>
                <w:szCs w:val="13"/>
                <w:color w:val="auto"/>
              </w:rPr>
              <w:t>NGL</w:t>
            </w:r>
          </w:p>
        </w:tc>
        <w:tc>
          <w:tcPr>
            <w:tcW w:w="740" w:type="dxa"/>
            <w:vAlign w:val="bottom"/>
            <w:tcBorders>
              <w:bottom w:val="single" w:sz="8" w:color="auto"/>
            </w:tcBorders>
          </w:tcPr>
          <w:p>
            <w:pPr>
              <w:jc w:val="right"/>
              <w:ind w:right="52"/>
              <w:spacing w:after="0" w:line="141" w:lineRule="exact"/>
              <w:rPr>
                <w:sz w:val="20"/>
                <w:szCs w:val="20"/>
                <w:color w:val="auto"/>
              </w:rPr>
            </w:pPr>
            <w:r>
              <w:rPr>
                <w:rFonts w:ascii="Arial" w:cs="Arial" w:eastAsia="Arial" w:hAnsi="Arial"/>
                <w:sz w:val="13"/>
                <w:szCs w:val="13"/>
                <w:color w:val="auto"/>
              </w:rPr>
              <w:t>crude oil</w:t>
            </w:r>
          </w:p>
        </w:tc>
        <w:tc>
          <w:tcPr>
            <w:tcW w:w="660" w:type="dxa"/>
            <w:vAlign w:val="bottom"/>
            <w:tcBorders>
              <w:bottom w:val="single" w:sz="8" w:color="auto"/>
            </w:tcBorders>
          </w:tcPr>
          <w:p>
            <w:pPr>
              <w:jc w:val="right"/>
              <w:ind w:right="11"/>
              <w:spacing w:after="0" w:line="141" w:lineRule="exact"/>
              <w:rPr>
                <w:sz w:val="20"/>
                <w:szCs w:val="20"/>
                <w:color w:val="auto"/>
              </w:rPr>
            </w:pPr>
            <w:r>
              <w:rPr>
                <w:rFonts w:ascii="Arial" w:cs="Arial" w:eastAsia="Arial" w:hAnsi="Arial"/>
                <w:sz w:val="13"/>
                <w:szCs w:val="13"/>
                <w:color w:val="auto"/>
              </w:rPr>
              <w:t>Bitumen</w:t>
            </w:r>
          </w:p>
        </w:tc>
        <w:tc>
          <w:tcPr>
            <w:tcW w:w="12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gridSpan w:val="2"/>
          </w:tcPr>
          <w:p>
            <w:pPr>
              <w:jc w:val="right"/>
              <w:ind w:right="220"/>
              <w:spacing w:after="0" w:line="141" w:lineRule="exact"/>
              <w:rPr>
                <w:sz w:val="20"/>
                <w:szCs w:val="20"/>
                <w:color w:val="auto"/>
              </w:rPr>
            </w:pPr>
            <w:r>
              <w:rPr>
                <w:rFonts w:ascii="Arial" w:cs="Arial" w:eastAsia="Arial" w:hAnsi="Arial"/>
                <w:sz w:val="13"/>
                <w:szCs w:val="13"/>
                <w:color w:val="auto"/>
              </w:rPr>
              <w:t>NGL</w:t>
            </w:r>
          </w:p>
        </w:tc>
        <w:tc>
          <w:tcPr>
            <w:tcW w:w="640" w:type="dxa"/>
            <w:vAlign w:val="bottom"/>
            <w:tcBorders>
              <w:bottom w:val="single" w:sz="8" w:color="auto"/>
            </w:tcBorders>
          </w:tcPr>
          <w:p>
            <w:pPr>
              <w:jc w:val="right"/>
              <w:ind w:right="31"/>
              <w:spacing w:after="0" w:line="141" w:lineRule="exact"/>
              <w:rPr>
                <w:sz w:val="20"/>
                <w:szCs w:val="20"/>
                <w:color w:val="auto"/>
              </w:rPr>
            </w:pPr>
            <w:r>
              <w:rPr>
                <w:rFonts w:ascii="Arial" w:cs="Arial" w:eastAsia="Arial" w:hAnsi="Arial"/>
                <w:sz w:val="13"/>
                <w:szCs w:val="13"/>
                <w:color w:val="auto"/>
              </w:rPr>
              <w:t>NGL</w:t>
            </w:r>
          </w:p>
        </w:tc>
        <w:tc>
          <w:tcPr>
            <w:tcW w:w="740" w:type="dxa"/>
            <w:vAlign w:val="bottom"/>
            <w:tcBorders>
              <w:bottom w:val="single" w:sz="8" w:color="auto"/>
            </w:tcBorders>
          </w:tcPr>
          <w:p>
            <w:pPr>
              <w:jc w:val="right"/>
              <w:ind w:right="30"/>
              <w:spacing w:after="0" w:line="141" w:lineRule="exact"/>
              <w:rPr>
                <w:sz w:val="20"/>
                <w:szCs w:val="20"/>
                <w:color w:val="auto"/>
              </w:rPr>
            </w:pPr>
            <w:r>
              <w:rPr>
                <w:rFonts w:ascii="Arial" w:cs="Arial" w:eastAsia="Arial" w:hAnsi="Arial"/>
                <w:sz w:val="13"/>
                <w:szCs w:val="13"/>
                <w:color w:val="auto"/>
              </w:rPr>
              <w:t>crude oil</w:t>
            </w:r>
          </w:p>
        </w:tc>
        <w:tc>
          <w:tcPr>
            <w:tcW w:w="660" w:type="dxa"/>
            <w:vAlign w:val="bottom"/>
            <w:tcBorders>
              <w:bottom w:val="single" w:sz="8" w:color="auto"/>
            </w:tcBorders>
          </w:tcPr>
          <w:p>
            <w:pPr>
              <w:jc w:val="right"/>
              <w:ind w:right="10"/>
              <w:spacing w:after="0" w:line="141" w:lineRule="exact"/>
              <w:rPr>
                <w:sz w:val="20"/>
                <w:szCs w:val="20"/>
                <w:color w:val="auto"/>
              </w:rPr>
            </w:pPr>
            <w:r>
              <w:rPr>
                <w:rFonts w:ascii="Arial" w:cs="Arial" w:eastAsia="Arial" w:hAnsi="Arial"/>
                <w:sz w:val="13"/>
                <w:szCs w:val="13"/>
                <w:color w:val="auto"/>
              </w:rPr>
              <w:t>Bitumen</w:t>
            </w:r>
          </w:p>
        </w:tc>
        <w:tc>
          <w:tcPr>
            <w:tcW w:w="680" w:type="dxa"/>
            <w:vAlign w:val="bottom"/>
            <w:tcBorders>
              <w:bottom w:val="single" w:sz="8" w:color="auto"/>
            </w:tcBorders>
          </w:tcPr>
          <w:p>
            <w:pPr>
              <w:jc w:val="right"/>
              <w:ind w:right="32"/>
              <w:spacing w:after="0" w:line="141" w:lineRule="exact"/>
              <w:rPr>
                <w:sz w:val="20"/>
                <w:szCs w:val="20"/>
                <w:color w:val="auto"/>
              </w:rPr>
            </w:pPr>
            <w:r>
              <w:rPr>
                <w:rFonts w:ascii="Arial" w:cs="Arial" w:eastAsia="Arial" w:hAnsi="Arial"/>
                <w:sz w:val="13"/>
                <w:szCs w:val="13"/>
                <w:color w:val="auto"/>
              </w:rPr>
              <w:t>products</w:t>
            </w:r>
          </w:p>
        </w:tc>
        <w:tc>
          <w:tcPr>
            <w:tcW w:w="0" w:type="dxa"/>
            <w:vAlign w:val="bottom"/>
          </w:tcPr>
          <w:p>
            <w:pPr>
              <w:spacing w:after="0"/>
              <w:rPr>
                <w:sz w:val="1"/>
                <w:szCs w:val="1"/>
                <w:color w:val="auto"/>
              </w:rPr>
            </w:pPr>
          </w:p>
        </w:tc>
      </w:tr>
      <w:tr>
        <w:trPr>
          <w:trHeight w:val="160"/>
        </w:trPr>
        <w:tc>
          <w:tcPr>
            <w:tcW w:w="2080" w:type="dxa"/>
            <w:vAlign w:val="bottom"/>
          </w:tcPr>
          <w:p>
            <w:pPr>
              <w:spacing w:after="0"/>
              <w:rPr>
                <w:sz w:val="20"/>
                <w:szCs w:val="20"/>
                <w:color w:val="auto"/>
              </w:rPr>
            </w:pPr>
            <w:r>
              <w:rPr>
                <w:rFonts w:ascii="Arial" w:cs="Arial" w:eastAsia="Arial" w:hAnsi="Arial"/>
                <w:sz w:val="14"/>
                <w:szCs w:val="14"/>
                <w:color w:val="auto"/>
              </w:rPr>
              <w:t>Shell subsidiaries</w:t>
            </w:r>
          </w:p>
        </w:tc>
        <w:tc>
          <w:tcPr>
            <w:tcW w:w="5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80" w:type="dxa"/>
            <w:vAlign w:val="bottom"/>
          </w:tcPr>
          <w:p>
            <w:pPr>
              <w:ind w:left="140"/>
              <w:spacing w:after="0"/>
              <w:rPr>
                <w:sz w:val="20"/>
                <w:szCs w:val="20"/>
                <w:color w:val="auto"/>
              </w:rPr>
            </w:pPr>
            <w:r>
              <w:rPr>
                <w:rFonts w:ascii="Arial" w:cs="Arial" w:eastAsia="Arial" w:hAnsi="Arial"/>
                <w:sz w:val="14"/>
                <w:szCs w:val="14"/>
                <w:color w:val="auto"/>
              </w:rPr>
              <w:t>At January 1</w:t>
            </w:r>
          </w:p>
        </w:tc>
        <w:tc>
          <w:tcPr>
            <w:tcW w:w="740" w:type="dxa"/>
            <w:vAlign w:val="bottom"/>
            <w:gridSpan w:val="2"/>
          </w:tcPr>
          <w:p>
            <w:pPr>
              <w:jc w:val="right"/>
              <w:ind w:right="200"/>
              <w:spacing w:after="0"/>
              <w:rPr>
                <w:sz w:val="20"/>
                <w:szCs w:val="20"/>
                <w:color w:val="auto"/>
              </w:rPr>
            </w:pPr>
            <w:r>
              <w:rPr>
                <w:rFonts w:ascii="Arial" w:cs="Arial" w:eastAsia="Arial" w:hAnsi="Arial"/>
                <w:sz w:val="14"/>
                <w:szCs w:val="14"/>
                <w:color w:val="auto"/>
              </w:rPr>
              <w:t>373</w:t>
            </w:r>
          </w:p>
        </w:tc>
        <w:tc>
          <w:tcPr>
            <w:tcW w:w="720" w:type="dxa"/>
            <w:vAlign w:val="bottom"/>
            <w:gridSpan w:val="2"/>
          </w:tcPr>
          <w:p>
            <w:pPr>
              <w:jc w:val="right"/>
              <w:ind w:right="200"/>
              <w:spacing w:after="0"/>
              <w:rPr>
                <w:sz w:val="20"/>
                <w:szCs w:val="20"/>
                <w:color w:val="auto"/>
              </w:rPr>
            </w:pPr>
            <w:r>
              <w:rPr>
                <w:rFonts w:ascii="Arial" w:cs="Arial" w:eastAsia="Arial" w:hAnsi="Arial"/>
                <w:sz w:val="14"/>
                <w:szCs w:val="14"/>
                <w:color w:val="auto"/>
              </w:rPr>
              <w:t>401</w:t>
            </w:r>
          </w:p>
        </w:tc>
        <w:tc>
          <w:tcPr>
            <w:tcW w:w="760" w:type="dxa"/>
            <w:vAlign w:val="bottom"/>
            <w:gridSpan w:val="2"/>
          </w:tcPr>
          <w:p>
            <w:pPr>
              <w:jc w:val="right"/>
              <w:ind w:right="200"/>
              <w:spacing w:after="0"/>
              <w:rPr>
                <w:sz w:val="20"/>
                <w:szCs w:val="20"/>
                <w:color w:val="auto"/>
              </w:rPr>
            </w:pPr>
            <w:r>
              <w:rPr>
                <w:rFonts w:ascii="Arial" w:cs="Arial" w:eastAsia="Arial" w:hAnsi="Arial"/>
                <w:sz w:val="14"/>
                <w:szCs w:val="14"/>
                <w:color w:val="auto"/>
              </w:rPr>
              <w:t>91</w:t>
            </w:r>
          </w:p>
        </w:tc>
        <w:tc>
          <w:tcPr>
            <w:tcW w:w="740" w:type="dxa"/>
            <w:vAlign w:val="bottom"/>
            <w:gridSpan w:val="2"/>
          </w:tcPr>
          <w:p>
            <w:pPr>
              <w:jc w:val="right"/>
              <w:ind w:right="220"/>
              <w:spacing w:after="0"/>
              <w:rPr>
                <w:sz w:val="20"/>
                <w:szCs w:val="20"/>
                <w:color w:val="auto"/>
              </w:rPr>
            </w:pPr>
            <w:r>
              <w:rPr>
                <w:rFonts w:ascii="Arial" w:cs="Arial" w:eastAsia="Arial" w:hAnsi="Arial"/>
                <w:sz w:val="14"/>
                <w:szCs w:val="14"/>
                <w:color w:val="auto"/>
              </w:rPr>
              <w:t>198</w:t>
            </w:r>
          </w:p>
        </w:tc>
        <w:tc>
          <w:tcPr>
            <w:tcW w:w="580" w:type="dxa"/>
            <w:vAlign w:val="bottom"/>
          </w:tcPr>
          <w:p>
            <w:pPr>
              <w:jc w:val="right"/>
              <w:ind w:right="32"/>
              <w:spacing w:after="0"/>
              <w:rPr>
                <w:sz w:val="20"/>
                <w:szCs w:val="20"/>
                <w:color w:val="auto"/>
              </w:rPr>
            </w:pPr>
            <w:r>
              <w:rPr>
                <w:rFonts w:ascii="Arial" w:cs="Arial" w:eastAsia="Arial" w:hAnsi="Arial"/>
                <w:sz w:val="14"/>
                <w:szCs w:val="14"/>
                <w:color w:val="auto"/>
              </w:rPr>
              <w:t>551</w:t>
            </w:r>
          </w:p>
        </w:tc>
        <w:tc>
          <w:tcPr>
            <w:tcW w:w="120" w:type="dxa"/>
            <w:vAlign w:val="bottom"/>
          </w:tcPr>
          <w:p>
            <w:pPr>
              <w:spacing w:after="0"/>
              <w:rPr>
                <w:sz w:val="14"/>
                <w:szCs w:val="14"/>
                <w:color w:val="auto"/>
              </w:rPr>
            </w:pPr>
          </w:p>
        </w:tc>
        <w:tc>
          <w:tcPr>
            <w:tcW w:w="640" w:type="dxa"/>
            <w:vAlign w:val="bottom"/>
          </w:tcPr>
          <w:p>
            <w:pPr>
              <w:jc w:val="right"/>
              <w:ind w:right="31"/>
              <w:spacing w:after="0"/>
              <w:rPr>
                <w:sz w:val="20"/>
                <w:szCs w:val="20"/>
                <w:color w:val="auto"/>
              </w:rPr>
            </w:pPr>
            <w:r>
              <w:rPr>
                <w:rFonts w:ascii="Arial" w:cs="Arial" w:eastAsia="Arial" w:hAnsi="Arial"/>
                <w:sz w:val="14"/>
                <w:szCs w:val="14"/>
                <w:color w:val="auto"/>
              </w:rPr>
              <w:t>8</w:t>
            </w:r>
          </w:p>
        </w:tc>
        <w:tc>
          <w:tcPr>
            <w:tcW w:w="740" w:type="dxa"/>
            <w:vAlign w:val="bottom"/>
          </w:tcPr>
          <w:p>
            <w:pPr>
              <w:jc w:val="right"/>
              <w:ind w:right="52"/>
              <w:spacing w:after="0"/>
              <w:rPr>
                <w:sz w:val="20"/>
                <w:szCs w:val="20"/>
                <w:color w:val="auto"/>
              </w:rPr>
            </w:pPr>
            <w:r>
              <w:rPr>
                <w:rFonts w:ascii="Arial" w:cs="Arial" w:eastAsia="Arial" w:hAnsi="Arial"/>
                <w:sz w:val="14"/>
                <w:szCs w:val="14"/>
                <w:color w:val="auto"/>
              </w:rPr>
              <w:t>432</w:t>
            </w:r>
          </w:p>
        </w:tc>
        <w:tc>
          <w:tcPr>
            <w:tcW w:w="660" w:type="dxa"/>
            <w:vAlign w:val="bottom"/>
          </w:tcPr>
          <w:p>
            <w:pPr>
              <w:jc w:val="right"/>
              <w:ind w:right="11"/>
              <w:spacing w:after="0"/>
              <w:rPr>
                <w:sz w:val="20"/>
                <w:szCs w:val="20"/>
                <w:color w:val="auto"/>
              </w:rPr>
            </w:pPr>
            <w:r>
              <w:rPr>
                <w:rFonts w:ascii="Arial" w:cs="Arial" w:eastAsia="Arial" w:hAnsi="Arial"/>
                <w:sz w:val="14"/>
                <w:szCs w:val="14"/>
                <w:color w:val="auto"/>
              </w:rPr>
              <w:t>409</w:t>
            </w:r>
          </w:p>
        </w:tc>
        <w:tc>
          <w:tcPr>
            <w:tcW w:w="920" w:type="dxa"/>
            <w:vAlign w:val="bottom"/>
            <w:gridSpan w:val="3"/>
          </w:tcPr>
          <w:p>
            <w:pPr>
              <w:jc w:val="right"/>
              <w:ind w:right="220"/>
              <w:spacing w:after="0"/>
              <w:rPr>
                <w:sz w:val="20"/>
                <w:szCs w:val="20"/>
                <w:color w:val="auto"/>
              </w:rPr>
            </w:pPr>
            <w:r>
              <w:rPr>
                <w:rFonts w:ascii="Arial" w:cs="Arial" w:eastAsia="Arial" w:hAnsi="Arial"/>
                <w:sz w:val="14"/>
                <w:szCs w:val="14"/>
                <w:color w:val="auto"/>
              </w:rPr>
              <w:t>36</w:t>
            </w:r>
          </w:p>
        </w:tc>
        <w:tc>
          <w:tcPr>
            <w:tcW w:w="640" w:type="dxa"/>
            <w:vAlign w:val="bottom"/>
          </w:tcPr>
          <w:p>
            <w:pPr>
              <w:jc w:val="right"/>
              <w:ind w:right="31"/>
              <w:spacing w:after="0"/>
              <w:rPr>
                <w:sz w:val="20"/>
                <w:szCs w:val="20"/>
                <w:color w:val="auto"/>
              </w:rPr>
            </w:pPr>
            <w:r>
              <w:rPr>
                <w:rFonts w:ascii="Arial" w:cs="Arial" w:eastAsia="Arial" w:hAnsi="Arial"/>
                <w:sz w:val="14"/>
                <w:szCs w:val="14"/>
                <w:color w:val="auto"/>
              </w:rPr>
              <w:t>1,658</w:t>
            </w:r>
          </w:p>
        </w:tc>
        <w:tc>
          <w:tcPr>
            <w:tcW w:w="740" w:type="dxa"/>
            <w:vAlign w:val="bottom"/>
          </w:tcPr>
          <w:p>
            <w:pPr>
              <w:jc w:val="right"/>
              <w:ind w:right="30"/>
              <w:spacing w:after="0"/>
              <w:rPr>
                <w:sz w:val="20"/>
                <w:szCs w:val="20"/>
                <w:color w:val="auto"/>
              </w:rPr>
            </w:pPr>
            <w:r>
              <w:rPr>
                <w:rFonts w:ascii="Arial" w:cs="Arial" w:eastAsia="Arial" w:hAnsi="Arial"/>
                <w:sz w:val="14"/>
                <w:szCs w:val="14"/>
                <w:color w:val="auto"/>
              </w:rPr>
              <w:t>432</w:t>
            </w:r>
          </w:p>
        </w:tc>
        <w:tc>
          <w:tcPr>
            <w:tcW w:w="660" w:type="dxa"/>
            <w:vAlign w:val="bottom"/>
          </w:tcPr>
          <w:p>
            <w:pPr>
              <w:jc w:val="right"/>
              <w:ind w:right="10"/>
              <w:spacing w:after="0"/>
              <w:rPr>
                <w:sz w:val="20"/>
                <w:szCs w:val="20"/>
                <w:color w:val="auto"/>
              </w:rPr>
            </w:pPr>
            <w:r>
              <w:rPr>
                <w:rFonts w:ascii="Arial" w:cs="Arial" w:eastAsia="Arial" w:hAnsi="Arial"/>
                <w:sz w:val="14"/>
                <w:szCs w:val="14"/>
                <w:color w:val="auto"/>
              </w:rPr>
              <w:t>409</w:t>
            </w:r>
          </w:p>
        </w:tc>
        <w:tc>
          <w:tcPr>
            <w:tcW w:w="680" w:type="dxa"/>
            <w:vAlign w:val="bottom"/>
          </w:tcPr>
          <w:p>
            <w:pPr>
              <w:jc w:val="right"/>
              <w:ind w:right="32"/>
              <w:spacing w:after="0"/>
              <w:rPr>
                <w:sz w:val="20"/>
                <w:szCs w:val="20"/>
                <w:color w:val="auto"/>
              </w:rPr>
            </w:pPr>
            <w:r>
              <w:rPr>
                <w:rFonts w:ascii="Arial" w:cs="Arial" w:eastAsia="Arial" w:hAnsi="Arial"/>
                <w:sz w:val="14"/>
                <w:szCs w:val="14"/>
                <w:color w:val="auto"/>
              </w:rPr>
              <w:t>2,499</w:t>
            </w:r>
          </w:p>
        </w:tc>
        <w:tc>
          <w:tcPr>
            <w:tcW w:w="0" w:type="dxa"/>
            <w:vAlign w:val="bottom"/>
          </w:tcPr>
          <w:p>
            <w:pPr>
              <w:spacing w:after="0"/>
              <w:rPr>
                <w:sz w:val="1"/>
                <w:szCs w:val="1"/>
                <w:color w:val="auto"/>
              </w:rPr>
            </w:pPr>
          </w:p>
        </w:tc>
      </w:tr>
      <w:tr>
        <w:trPr>
          <w:trHeight w:val="157"/>
        </w:trPr>
        <w:tc>
          <w:tcPr>
            <w:tcW w:w="2080" w:type="dxa"/>
            <w:vAlign w:val="bottom"/>
            <w:tcBorders>
              <w:bottom w:val="single" w:sz="8" w:color="auto"/>
            </w:tcBorders>
          </w:tcPr>
          <w:p>
            <w:pPr>
              <w:ind w:left="140"/>
              <w:spacing w:after="0" w:line="157" w:lineRule="exact"/>
              <w:rPr>
                <w:sz w:val="20"/>
                <w:szCs w:val="20"/>
                <w:color w:val="auto"/>
              </w:rPr>
            </w:pPr>
            <w:r>
              <w:rPr>
                <w:rFonts w:ascii="Arial" w:cs="Arial" w:eastAsia="Arial" w:hAnsi="Arial"/>
                <w:sz w:val="14"/>
                <w:szCs w:val="14"/>
                <w:color w:val="auto"/>
              </w:rPr>
              <w:t>At December 31</w:t>
            </w:r>
          </w:p>
        </w:tc>
        <w:tc>
          <w:tcPr>
            <w:tcW w:w="740" w:type="dxa"/>
            <w:vAlign w:val="bottom"/>
            <w:tcBorders>
              <w:bottom w:val="single" w:sz="8" w:color="auto"/>
            </w:tcBorders>
            <w:gridSpan w:val="2"/>
          </w:tcPr>
          <w:p>
            <w:pPr>
              <w:jc w:val="right"/>
              <w:ind w:right="200"/>
              <w:spacing w:after="0" w:line="157" w:lineRule="exact"/>
              <w:rPr>
                <w:sz w:val="20"/>
                <w:szCs w:val="20"/>
                <w:color w:val="auto"/>
              </w:rPr>
            </w:pPr>
            <w:r>
              <w:rPr>
                <w:rFonts w:ascii="Arial" w:cs="Arial" w:eastAsia="Arial" w:hAnsi="Arial"/>
                <w:sz w:val="14"/>
                <w:szCs w:val="14"/>
                <w:color w:val="auto"/>
              </w:rPr>
              <w:t>229</w:t>
            </w:r>
          </w:p>
        </w:tc>
        <w:tc>
          <w:tcPr>
            <w:tcW w:w="720" w:type="dxa"/>
            <w:vAlign w:val="bottom"/>
            <w:tcBorders>
              <w:bottom w:val="single" w:sz="8" w:color="auto"/>
            </w:tcBorders>
            <w:gridSpan w:val="2"/>
          </w:tcPr>
          <w:p>
            <w:pPr>
              <w:jc w:val="right"/>
              <w:ind w:right="200"/>
              <w:spacing w:after="0" w:line="157" w:lineRule="exact"/>
              <w:rPr>
                <w:sz w:val="20"/>
                <w:szCs w:val="20"/>
                <w:color w:val="auto"/>
              </w:rPr>
            </w:pPr>
            <w:r>
              <w:rPr>
                <w:rFonts w:ascii="Arial" w:cs="Arial" w:eastAsia="Arial" w:hAnsi="Arial"/>
                <w:sz w:val="14"/>
                <w:szCs w:val="14"/>
                <w:color w:val="auto"/>
              </w:rPr>
              <w:t>359</w:t>
            </w:r>
          </w:p>
        </w:tc>
        <w:tc>
          <w:tcPr>
            <w:tcW w:w="760" w:type="dxa"/>
            <w:vAlign w:val="bottom"/>
            <w:tcBorders>
              <w:bottom w:val="single" w:sz="8" w:color="auto"/>
            </w:tcBorders>
            <w:gridSpan w:val="2"/>
          </w:tcPr>
          <w:p>
            <w:pPr>
              <w:jc w:val="right"/>
              <w:ind w:right="200"/>
              <w:spacing w:after="0" w:line="157" w:lineRule="exact"/>
              <w:rPr>
                <w:sz w:val="20"/>
                <w:szCs w:val="20"/>
                <w:color w:val="auto"/>
              </w:rPr>
            </w:pPr>
            <w:r>
              <w:rPr>
                <w:rFonts w:ascii="Arial" w:cs="Arial" w:eastAsia="Arial" w:hAnsi="Arial"/>
                <w:sz w:val="14"/>
                <w:szCs w:val="14"/>
                <w:color w:val="auto"/>
              </w:rPr>
              <w:t>87</w:t>
            </w:r>
          </w:p>
        </w:tc>
        <w:tc>
          <w:tcPr>
            <w:tcW w:w="740" w:type="dxa"/>
            <w:vAlign w:val="bottom"/>
            <w:tcBorders>
              <w:bottom w:val="single" w:sz="8" w:color="auto"/>
            </w:tcBorders>
            <w:gridSpan w:val="2"/>
          </w:tcPr>
          <w:p>
            <w:pPr>
              <w:jc w:val="right"/>
              <w:ind w:right="220"/>
              <w:spacing w:after="0" w:line="157" w:lineRule="exact"/>
              <w:rPr>
                <w:sz w:val="20"/>
                <w:szCs w:val="20"/>
                <w:color w:val="auto"/>
              </w:rPr>
            </w:pPr>
            <w:r>
              <w:rPr>
                <w:rFonts w:ascii="Arial" w:cs="Arial" w:eastAsia="Arial" w:hAnsi="Arial"/>
                <w:sz w:val="14"/>
                <w:szCs w:val="14"/>
                <w:color w:val="auto"/>
              </w:rPr>
              <w:t>157</w:t>
            </w:r>
          </w:p>
        </w:tc>
        <w:tc>
          <w:tcPr>
            <w:tcW w:w="580" w:type="dxa"/>
            <w:vAlign w:val="bottom"/>
            <w:tcBorders>
              <w:bottom w:val="single" w:sz="8" w:color="auto"/>
            </w:tcBorders>
          </w:tcPr>
          <w:p>
            <w:pPr>
              <w:jc w:val="right"/>
              <w:ind w:right="32"/>
              <w:spacing w:after="0" w:line="157" w:lineRule="exact"/>
              <w:rPr>
                <w:sz w:val="20"/>
                <w:szCs w:val="20"/>
                <w:color w:val="auto"/>
              </w:rPr>
            </w:pPr>
            <w:r>
              <w:rPr>
                <w:rFonts w:ascii="Arial" w:cs="Arial" w:eastAsia="Arial" w:hAnsi="Arial"/>
                <w:sz w:val="14"/>
                <w:szCs w:val="14"/>
                <w:color w:val="auto"/>
              </w:rPr>
              <w:t>217</w:t>
            </w:r>
          </w:p>
        </w:tc>
        <w:tc>
          <w:tcPr>
            <w:tcW w:w="12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ind w:right="31"/>
              <w:spacing w:after="0" w:line="157" w:lineRule="exact"/>
              <w:rPr>
                <w:sz w:val="20"/>
                <w:szCs w:val="20"/>
                <w:color w:val="auto"/>
              </w:rPr>
            </w:pPr>
            <w:r>
              <w:rPr>
                <w:rFonts w:ascii="Arial" w:cs="Arial" w:eastAsia="Arial" w:hAnsi="Arial"/>
                <w:sz w:val="14"/>
                <w:szCs w:val="14"/>
                <w:color w:val="auto"/>
              </w:rPr>
              <w:t>18</w:t>
            </w:r>
          </w:p>
        </w:tc>
        <w:tc>
          <w:tcPr>
            <w:tcW w:w="740" w:type="dxa"/>
            <w:vAlign w:val="bottom"/>
            <w:tcBorders>
              <w:bottom w:val="single" w:sz="8" w:color="auto"/>
            </w:tcBorders>
          </w:tcPr>
          <w:p>
            <w:pPr>
              <w:jc w:val="right"/>
              <w:ind w:right="52"/>
              <w:spacing w:after="0" w:line="157" w:lineRule="exact"/>
              <w:rPr>
                <w:sz w:val="20"/>
                <w:szCs w:val="20"/>
                <w:color w:val="auto"/>
              </w:rPr>
            </w:pPr>
            <w:r>
              <w:rPr>
                <w:rFonts w:ascii="Arial" w:cs="Arial" w:eastAsia="Arial" w:hAnsi="Arial"/>
                <w:sz w:val="14"/>
                <w:szCs w:val="14"/>
                <w:color w:val="auto"/>
              </w:rPr>
              <w:t>490</w:t>
            </w:r>
          </w:p>
        </w:tc>
        <w:tc>
          <w:tcPr>
            <w:tcW w:w="660" w:type="dxa"/>
            <w:vAlign w:val="bottom"/>
            <w:tcBorders>
              <w:bottom w:val="single" w:sz="8" w:color="auto"/>
            </w:tcBorders>
          </w:tcPr>
          <w:p>
            <w:pPr>
              <w:jc w:val="right"/>
              <w:ind w:right="11"/>
              <w:spacing w:after="0" w:line="157" w:lineRule="exact"/>
              <w:rPr>
                <w:sz w:val="20"/>
                <w:szCs w:val="20"/>
                <w:color w:val="auto"/>
              </w:rPr>
            </w:pPr>
            <w:r>
              <w:rPr>
                <w:rFonts w:ascii="Arial" w:cs="Arial" w:eastAsia="Arial" w:hAnsi="Arial"/>
                <w:sz w:val="14"/>
                <w:szCs w:val="14"/>
                <w:color w:val="auto"/>
              </w:rPr>
              <w:t>419</w:t>
            </w:r>
          </w:p>
        </w:tc>
        <w:tc>
          <w:tcPr>
            <w:tcW w:w="920" w:type="dxa"/>
            <w:vAlign w:val="bottom"/>
            <w:tcBorders>
              <w:bottom w:val="single" w:sz="8" w:color="auto"/>
            </w:tcBorders>
            <w:gridSpan w:val="3"/>
          </w:tcPr>
          <w:p>
            <w:pPr>
              <w:jc w:val="right"/>
              <w:ind w:right="220"/>
              <w:spacing w:after="0" w:line="157" w:lineRule="exact"/>
              <w:rPr>
                <w:sz w:val="20"/>
                <w:szCs w:val="20"/>
                <w:color w:val="auto"/>
              </w:rPr>
            </w:pPr>
            <w:r>
              <w:rPr>
                <w:rFonts w:ascii="Arial" w:cs="Arial" w:eastAsia="Arial" w:hAnsi="Arial"/>
                <w:sz w:val="14"/>
                <w:szCs w:val="14"/>
                <w:color w:val="auto"/>
              </w:rPr>
              <w:t>12</w:t>
            </w:r>
          </w:p>
        </w:tc>
        <w:tc>
          <w:tcPr>
            <w:tcW w:w="640" w:type="dxa"/>
            <w:vAlign w:val="bottom"/>
            <w:tcBorders>
              <w:bottom w:val="single" w:sz="8" w:color="auto"/>
            </w:tcBorders>
          </w:tcPr>
          <w:p>
            <w:pPr>
              <w:jc w:val="right"/>
              <w:ind w:right="31"/>
              <w:spacing w:after="0" w:line="157" w:lineRule="exact"/>
              <w:rPr>
                <w:sz w:val="20"/>
                <w:szCs w:val="20"/>
                <w:color w:val="auto"/>
              </w:rPr>
            </w:pPr>
            <w:r>
              <w:rPr>
                <w:rFonts w:ascii="Arial" w:cs="Arial" w:eastAsia="Arial" w:hAnsi="Arial"/>
                <w:sz w:val="14"/>
                <w:szCs w:val="14"/>
                <w:color w:val="auto"/>
              </w:rPr>
              <w:t>1,079</w:t>
            </w:r>
          </w:p>
        </w:tc>
        <w:tc>
          <w:tcPr>
            <w:tcW w:w="740" w:type="dxa"/>
            <w:vAlign w:val="bottom"/>
            <w:tcBorders>
              <w:bottom w:val="single" w:sz="8" w:color="auto"/>
            </w:tcBorders>
          </w:tcPr>
          <w:p>
            <w:pPr>
              <w:jc w:val="right"/>
              <w:ind w:right="30"/>
              <w:spacing w:after="0" w:line="157" w:lineRule="exact"/>
              <w:rPr>
                <w:sz w:val="20"/>
                <w:szCs w:val="20"/>
                <w:color w:val="auto"/>
              </w:rPr>
            </w:pPr>
            <w:r>
              <w:rPr>
                <w:rFonts w:ascii="Arial" w:cs="Arial" w:eastAsia="Arial" w:hAnsi="Arial"/>
                <w:sz w:val="14"/>
                <w:szCs w:val="14"/>
                <w:color w:val="auto"/>
              </w:rPr>
              <w:t>490</w:t>
            </w:r>
          </w:p>
        </w:tc>
        <w:tc>
          <w:tcPr>
            <w:tcW w:w="660" w:type="dxa"/>
            <w:vAlign w:val="bottom"/>
            <w:tcBorders>
              <w:bottom w:val="single" w:sz="8" w:color="auto"/>
            </w:tcBorders>
          </w:tcPr>
          <w:p>
            <w:pPr>
              <w:jc w:val="right"/>
              <w:ind w:right="10"/>
              <w:spacing w:after="0" w:line="157" w:lineRule="exact"/>
              <w:rPr>
                <w:sz w:val="20"/>
                <w:szCs w:val="20"/>
                <w:color w:val="auto"/>
              </w:rPr>
            </w:pPr>
            <w:r>
              <w:rPr>
                <w:rFonts w:ascii="Arial" w:cs="Arial" w:eastAsia="Arial" w:hAnsi="Arial"/>
                <w:sz w:val="14"/>
                <w:szCs w:val="14"/>
                <w:color w:val="auto"/>
              </w:rPr>
              <w:t>419</w:t>
            </w:r>
          </w:p>
        </w:tc>
        <w:tc>
          <w:tcPr>
            <w:tcW w:w="680" w:type="dxa"/>
            <w:vAlign w:val="bottom"/>
            <w:tcBorders>
              <w:bottom w:val="single" w:sz="8" w:color="auto"/>
            </w:tcBorders>
          </w:tcPr>
          <w:p>
            <w:pPr>
              <w:jc w:val="right"/>
              <w:ind w:right="32"/>
              <w:spacing w:after="0" w:line="157" w:lineRule="exact"/>
              <w:rPr>
                <w:sz w:val="20"/>
                <w:szCs w:val="20"/>
                <w:color w:val="auto"/>
              </w:rPr>
            </w:pPr>
            <w:r>
              <w:rPr>
                <w:rFonts w:ascii="Arial" w:cs="Arial" w:eastAsia="Arial" w:hAnsi="Arial"/>
                <w:sz w:val="14"/>
                <w:szCs w:val="14"/>
                <w:color w:val="auto"/>
              </w:rPr>
              <w:t>1,988</w:t>
            </w:r>
          </w:p>
        </w:tc>
        <w:tc>
          <w:tcPr>
            <w:tcW w:w="0" w:type="dxa"/>
            <w:vAlign w:val="bottom"/>
          </w:tcPr>
          <w:p>
            <w:pPr>
              <w:spacing w:after="0"/>
              <w:rPr>
                <w:sz w:val="1"/>
                <w:szCs w:val="1"/>
                <w:color w:val="auto"/>
              </w:rPr>
            </w:pPr>
          </w:p>
        </w:tc>
      </w:tr>
      <w:tr>
        <w:trPr>
          <w:trHeight w:val="160"/>
        </w:trPr>
        <w:tc>
          <w:tcPr>
            <w:tcW w:w="2080" w:type="dxa"/>
            <w:vAlign w:val="bottom"/>
          </w:tcPr>
          <w:p>
            <w:pPr>
              <w:spacing w:after="0"/>
              <w:rPr>
                <w:sz w:val="20"/>
                <w:szCs w:val="20"/>
                <w:color w:val="auto"/>
              </w:rPr>
            </w:pPr>
            <w:r>
              <w:rPr>
                <w:rFonts w:ascii="Arial" w:cs="Arial" w:eastAsia="Arial" w:hAnsi="Arial"/>
                <w:sz w:val="14"/>
                <w:szCs w:val="14"/>
                <w:color w:val="auto"/>
              </w:rPr>
              <w:t>Shell share of joint ventures and</w:t>
            </w:r>
          </w:p>
        </w:tc>
        <w:tc>
          <w:tcPr>
            <w:tcW w:w="5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80" w:type="dxa"/>
            <w:vAlign w:val="bottom"/>
          </w:tcPr>
          <w:p>
            <w:pPr>
              <w:spacing w:after="0"/>
              <w:rPr>
                <w:sz w:val="20"/>
                <w:szCs w:val="20"/>
                <w:color w:val="auto"/>
              </w:rPr>
            </w:pPr>
            <w:r>
              <w:rPr>
                <w:rFonts w:ascii="Arial" w:cs="Arial" w:eastAsia="Arial" w:hAnsi="Arial"/>
                <w:sz w:val="14"/>
                <w:szCs w:val="14"/>
                <w:color w:val="auto"/>
              </w:rPr>
              <w:t>associates</w:t>
            </w: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80" w:type="dxa"/>
            <w:vAlign w:val="bottom"/>
          </w:tcPr>
          <w:p>
            <w:pPr>
              <w:ind w:left="140"/>
              <w:spacing w:after="0"/>
              <w:rPr>
                <w:sz w:val="20"/>
                <w:szCs w:val="20"/>
                <w:color w:val="auto"/>
              </w:rPr>
            </w:pPr>
            <w:r>
              <w:rPr>
                <w:rFonts w:ascii="Arial" w:cs="Arial" w:eastAsia="Arial" w:hAnsi="Arial"/>
                <w:sz w:val="14"/>
                <w:szCs w:val="14"/>
                <w:color w:val="auto"/>
              </w:rPr>
              <w:t>At January 1</w:t>
            </w:r>
          </w:p>
        </w:tc>
        <w:tc>
          <w:tcPr>
            <w:tcW w:w="740" w:type="dxa"/>
            <w:vAlign w:val="bottom"/>
            <w:gridSpan w:val="2"/>
          </w:tcPr>
          <w:p>
            <w:pPr>
              <w:jc w:val="right"/>
              <w:ind w:right="200"/>
              <w:spacing w:after="0"/>
              <w:rPr>
                <w:sz w:val="20"/>
                <w:szCs w:val="20"/>
                <w:color w:val="auto"/>
              </w:rPr>
            </w:pPr>
            <w:r>
              <w:rPr>
                <w:rFonts w:ascii="Arial" w:cs="Arial" w:eastAsia="Arial" w:hAnsi="Arial"/>
                <w:sz w:val="14"/>
                <w:szCs w:val="14"/>
                <w:color w:val="auto"/>
              </w:rPr>
              <w:t>7</w:t>
            </w:r>
          </w:p>
        </w:tc>
        <w:tc>
          <w:tcPr>
            <w:tcW w:w="720" w:type="dxa"/>
            <w:vAlign w:val="bottom"/>
            <w:gridSpan w:val="2"/>
          </w:tcPr>
          <w:p>
            <w:pPr>
              <w:jc w:val="right"/>
              <w:ind w:right="200"/>
              <w:spacing w:after="0"/>
              <w:rPr>
                <w:sz w:val="20"/>
                <w:szCs w:val="20"/>
                <w:color w:val="auto"/>
              </w:rPr>
            </w:pPr>
            <w:r>
              <w:rPr>
                <w:rFonts w:ascii="Arial" w:cs="Arial" w:eastAsia="Arial" w:hAnsi="Arial"/>
                <w:sz w:val="14"/>
                <w:szCs w:val="14"/>
                <w:color w:val="auto"/>
              </w:rPr>
              <w:t>65</w:t>
            </w:r>
          </w:p>
        </w:tc>
        <w:tc>
          <w:tcPr>
            <w:tcW w:w="760" w:type="dxa"/>
            <w:vAlign w:val="bottom"/>
            <w:gridSpan w:val="2"/>
          </w:tcPr>
          <w:p>
            <w:pPr>
              <w:jc w:val="right"/>
              <w:ind w:right="200"/>
              <w:spacing w:after="0"/>
              <w:rPr>
                <w:sz w:val="20"/>
                <w:szCs w:val="20"/>
                <w:color w:val="auto"/>
              </w:rPr>
            </w:pPr>
            <w:r>
              <w:rPr>
                <w:rFonts w:ascii="Arial" w:cs="Arial" w:eastAsia="Arial" w:hAnsi="Arial"/>
                <w:sz w:val="14"/>
                <w:szCs w:val="14"/>
                <w:color w:val="auto"/>
              </w:rPr>
              <w:t>1</w:t>
            </w:r>
          </w:p>
        </w:tc>
        <w:tc>
          <w:tcPr>
            <w:tcW w:w="7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640" w:type="dxa"/>
            <w:vAlign w:val="bottom"/>
          </w:tcPr>
          <w:p>
            <w:pPr>
              <w:jc w:val="right"/>
              <w:ind w:right="31"/>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52"/>
              <w:spacing w:after="0"/>
              <w:rPr>
                <w:sz w:val="20"/>
                <w:szCs w:val="20"/>
                <w:color w:val="auto"/>
              </w:rPr>
            </w:pPr>
            <w:r>
              <w:rPr>
                <w:rFonts w:ascii="Arial" w:cs="Arial" w:eastAsia="Arial" w:hAnsi="Arial"/>
                <w:sz w:val="14"/>
                <w:szCs w:val="14"/>
                <w:color w:val="auto"/>
              </w:rPr>
              <w:t>–</w:t>
            </w:r>
          </w:p>
        </w:tc>
        <w:tc>
          <w:tcPr>
            <w:tcW w:w="660" w:type="dxa"/>
            <w:vAlign w:val="bottom"/>
          </w:tcPr>
          <w:p>
            <w:pPr>
              <w:jc w:val="right"/>
              <w:ind w:right="11"/>
              <w:spacing w:after="0"/>
              <w:rPr>
                <w:sz w:val="20"/>
                <w:szCs w:val="20"/>
                <w:color w:val="auto"/>
              </w:rPr>
            </w:pPr>
            <w:r>
              <w:rPr>
                <w:rFonts w:ascii="Arial" w:cs="Arial" w:eastAsia="Arial" w:hAnsi="Arial"/>
                <w:sz w:val="14"/>
                <w:szCs w:val="14"/>
                <w:color w:val="auto"/>
              </w:rPr>
              <w:t>–</w:t>
            </w:r>
          </w:p>
        </w:tc>
        <w:tc>
          <w:tcPr>
            <w:tcW w:w="700" w:type="dxa"/>
            <w:vAlign w:val="bottom"/>
            <w:gridSpan w:val="2"/>
          </w:tcPr>
          <w:p>
            <w:pPr>
              <w:jc w:val="right"/>
              <w:spacing w:after="0"/>
              <w:rPr>
                <w:sz w:val="20"/>
                <w:szCs w:val="20"/>
                <w:color w:val="auto"/>
              </w:rPr>
            </w:pPr>
            <w:r>
              <w:rPr>
                <w:rFonts w:ascii="Arial" w:cs="Arial" w:eastAsia="Arial" w:hAnsi="Arial"/>
                <w:sz w:val="14"/>
                <w:szCs w:val="14"/>
                <w:color w:val="auto"/>
              </w:rPr>
              <w:t>2</w:t>
            </w:r>
          </w:p>
        </w:tc>
        <w:tc>
          <w:tcPr>
            <w:tcW w:w="220" w:type="dxa"/>
            <w:vAlign w:val="bottom"/>
          </w:tcPr>
          <w:p>
            <w:pPr>
              <w:spacing w:after="0"/>
              <w:rPr>
                <w:sz w:val="14"/>
                <w:szCs w:val="14"/>
                <w:color w:val="auto"/>
              </w:rPr>
            </w:pPr>
          </w:p>
        </w:tc>
        <w:tc>
          <w:tcPr>
            <w:tcW w:w="640" w:type="dxa"/>
            <w:vAlign w:val="bottom"/>
          </w:tcPr>
          <w:p>
            <w:pPr>
              <w:jc w:val="right"/>
              <w:ind w:right="31"/>
              <w:spacing w:after="0"/>
              <w:rPr>
                <w:sz w:val="20"/>
                <w:szCs w:val="20"/>
                <w:color w:val="auto"/>
              </w:rPr>
            </w:pPr>
            <w:r>
              <w:rPr>
                <w:rFonts w:ascii="Arial" w:cs="Arial" w:eastAsia="Arial" w:hAnsi="Arial"/>
                <w:sz w:val="14"/>
                <w:szCs w:val="14"/>
                <w:color w:val="auto"/>
              </w:rPr>
              <w:t>75</w:t>
            </w:r>
          </w:p>
        </w:tc>
        <w:tc>
          <w:tcPr>
            <w:tcW w:w="740" w:type="dxa"/>
            <w:vAlign w:val="bottom"/>
          </w:tcPr>
          <w:p>
            <w:pPr>
              <w:jc w:val="right"/>
              <w:ind w:right="30"/>
              <w:spacing w:after="0"/>
              <w:rPr>
                <w:sz w:val="20"/>
                <w:szCs w:val="20"/>
                <w:color w:val="auto"/>
              </w:rPr>
            </w:pPr>
            <w:r>
              <w:rPr>
                <w:rFonts w:ascii="Arial" w:cs="Arial" w:eastAsia="Arial" w:hAnsi="Arial"/>
                <w:sz w:val="14"/>
                <w:szCs w:val="14"/>
                <w:color w:val="auto"/>
              </w:rPr>
              <w:t>–</w:t>
            </w:r>
          </w:p>
        </w:tc>
        <w:tc>
          <w:tcPr>
            <w:tcW w:w="660" w:type="dxa"/>
            <w:vAlign w:val="bottom"/>
          </w:tcPr>
          <w:p>
            <w:pPr>
              <w:jc w:val="right"/>
              <w:ind w:right="10"/>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32"/>
              <w:spacing w:after="0"/>
              <w:rPr>
                <w:sz w:val="20"/>
                <w:szCs w:val="20"/>
                <w:color w:val="auto"/>
              </w:rPr>
            </w:pPr>
            <w:r>
              <w:rPr>
                <w:rFonts w:ascii="Arial" w:cs="Arial" w:eastAsia="Arial" w:hAnsi="Arial"/>
                <w:sz w:val="14"/>
                <w:szCs w:val="14"/>
                <w:color w:val="auto"/>
              </w:rPr>
              <w:t>75</w:t>
            </w:r>
          </w:p>
        </w:tc>
        <w:tc>
          <w:tcPr>
            <w:tcW w:w="0" w:type="dxa"/>
            <w:vAlign w:val="bottom"/>
          </w:tcPr>
          <w:p>
            <w:pPr>
              <w:spacing w:after="0"/>
              <w:rPr>
                <w:sz w:val="1"/>
                <w:szCs w:val="1"/>
                <w:color w:val="auto"/>
              </w:rPr>
            </w:pPr>
          </w:p>
        </w:tc>
      </w:tr>
      <w:tr>
        <w:trPr>
          <w:trHeight w:val="157"/>
        </w:trPr>
        <w:tc>
          <w:tcPr>
            <w:tcW w:w="2080" w:type="dxa"/>
            <w:vAlign w:val="bottom"/>
            <w:tcBorders>
              <w:bottom w:val="single" w:sz="8" w:color="auto"/>
            </w:tcBorders>
          </w:tcPr>
          <w:p>
            <w:pPr>
              <w:ind w:left="140"/>
              <w:spacing w:after="0" w:line="157" w:lineRule="exact"/>
              <w:rPr>
                <w:sz w:val="20"/>
                <w:szCs w:val="20"/>
                <w:color w:val="auto"/>
              </w:rPr>
            </w:pPr>
            <w:r>
              <w:rPr>
                <w:rFonts w:ascii="Arial" w:cs="Arial" w:eastAsia="Arial" w:hAnsi="Arial"/>
                <w:sz w:val="14"/>
                <w:szCs w:val="14"/>
                <w:color w:val="auto"/>
              </w:rPr>
              <w:t>At December 31</w:t>
            </w:r>
          </w:p>
        </w:tc>
        <w:tc>
          <w:tcPr>
            <w:tcW w:w="740" w:type="dxa"/>
            <w:vAlign w:val="bottom"/>
            <w:tcBorders>
              <w:bottom w:val="single" w:sz="8" w:color="auto"/>
            </w:tcBorders>
            <w:gridSpan w:val="2"/>
          </w:tcPr>
          <w:p>
            <w:pPr>
              <w:jc w:val="right"/>
              <w:ind w:right="200"/>
              <w:spacing w:after="0" w:line="157" w:lineRule="exact"/>
              <w:rPr>
                <w:sz w:val="20"/>
                <w:szCs w:val="20"/>
                <w:color w:val="auto"/>
              </w:rPr>
            </w:pPr>
            <w:r>
              <w:rPr>
                <w:rFonts w:ascii="Arial" w:cs="Arial" w:eastAsia="Arial" w:hAnsi="Arial"/>
                <w:sz w:val="14"/>
                <w:szCs w:val="14"/>
                <w:color w:val="auto"/>
              </w:rPr>
              <w:t>7</w:t>
            </w:r>
          </w:p>
        </w:tc>
        <w:tc>
          <w:tcPr>
            <w:tcW w:w="720" w:type="dxa"/>
            <w:vAlign w:val="bottom"/>
            <w:tcBorders>
              <w:bottom w:val="single" w:sz="8" w:color="auto"/>
            </w:tcBorders>
            <w:gridSpan w:val="2"/>
          </w:tcPr>
          <w:p>
            <w:pPr>
              <w:jc w:val="right"/>
              <w:ind w:right="200"/>
              <w:spacing w:after="0" w:line="157" w:lineRule="exact"/>
              <w:rPr>
                <w:sz w:val="20"/>
                <w:szCs w:val="20"/>
                <w:color w:val="auto"/>
              </w:rPr>
            </w:pPr>
            <w:r>
              <w:rPr>
                <w:rFonts w:ascii="Arial" w:cs="Arial" w:eastAsia="Arial" w:hAnsi="Arial"/>
                <w:sz w:val="14"/>
                <w:szCs w:val="14"/>
                <w:color w:val="auto"/>
              </w:rPr>
              <w:t>154</w:t>
            </w:r>
          </w:p>
        </w:tc>
        <w:tc>
          <w:tcPr>
            <w:tcW w:w="760" w:type="dxa"/>
            <w:vAlign w:val="bottom"/>
            <w:tcBorders>
              <w:bottom w:val="single" w:sz="8" w:color="auto"/>
            </w:tcBorders>
            <w:gridSpan w:val="2"/>
          </w:tcPr>
          <w:p>
            <w:pPr>
              <w:jc w:val="right"/>
              <w:ind w:right="200"/>
              <w:spacing w:after="0" w:line="157" w:lineRule="exact"/>
              <w:rPr>
                <w:sz w:val="20"/>
                <w:szCs w:val="20"/>
                <w:color w:val="auto"/>
              </w:rPr>
            </w:pPr>
            <w:r>
              <w:rPr>
                <w:rFonts w:ascii="Arial" w:cs="Arial" w:eastAsia="Arial" w:hAnsi="Arial"/>
                <w:sz w:val="14"/>
                <w:szCs w:val="14"/>
                <w:color w:val="auto"/>
              </w:rPr>
              <w:t>2</w:t>
            </w:r>
          </w:p>
        </w:tc>
        <w:tc>
          <w:tcPr>
            <w:tcW w:w="740" w:type="dxa"/>
            <w:vAlign w:val="bottom"/>
            <w:tcBorders>
              <w:bottom w:val="single" w:sz="8" w:color="auto"/>
            </w:tcBorders>
            <w:gridSpan w:val="2"/>
          </w:tcPr>
          <w:p>
            <w:pPr>
              <w:jc w:val="right"/>
              <w:ind w:right="220"/>
              <w:spacing w:after="0" w:line="157" w:lineRule="exact"/>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gridSpan w:val="2"/>
          </w:tcPr>
          <w:p>
            <w:pPr>
              <w:jc w:val="right"/>
              <w:ind w:right="220"/>
              <w:spacing w:after="0" w:line="157" w:lineRule="exact"/>
              <w:rPr>
                <w:sz w:val="20"/>
                <w:szCs w:val="20"/>
                <w:color w:val="auto"/>
              </w:rPr>
            </w:pPr>
            <w:r>
              <w:rPr>
                <w:rFonts w:ascii="Arial" w:cs="Arial" w:eastAsia="Arial" w:hAnsi="Arial"/>
                <w:sz w:val="14"/>
                <w:szCs w:val="14"/>
                <w:color w:val="auto"/>
              </w:rPr>
              <w:t>–</w:t>
            </w:r>
          </w:p>
        </w:tc>
        <w:tc>
          <w:tcPr>
            <w:tcW w:w="640" w:type="dxa"/>
            <w:vAlign w:val="bottom"/>
            <w:tcBorders>
              <w:bottom w:val="single" w:sz="8" w:color="auto"/>
            </w:tcBorders>
          </w:tcPr>
          <w:p>
            <w:pPr>
              <w:jc w:val="right"/>
              <w:ind w:right="31"/>
              <w:spacing w:after="0" w:line="157" w:lineRule="exact"/>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tcPr>
          <w:p>
            <w:pPr>
              <w:jc w:val="right"/>
              <w:ind w:right="52"/>
              <w:spacing w:after="0" w:line="157" w:lineRule="exact"/>
              <w:rPr>
                <w:sz w:val="20"/>
                <w:szCs w:val="20"/>
                <w:color w:val="auto"/>
              </w:rPr>
            </w:pPr>
            <w:r>
              <w:rPr>
                <w:rFonts w:ascii="Arial" w:cs="Arial" w:eastAsia="Arial" w:hAnsi="Arial"/>
                <w:sz w:val="14"/>
                <w:szCs w:val="14"/>
                <w:color w:val="auto"/>
              </w:rPr>
              <w:t>–</w:t>
            </w:r>
          </w:p>
        </w:tc>
        <w:tc>
          <w:tcPr>
            <w:tcW w:w="660" w:type="dxa"/>
            <w:vAlign w:val="bottom"/>
            <w:tcBorders>
              <w:bottom w:val="single" w:sz="8" w:color="auto"/>
            </w:tcBorders>
          </w:tcPr>
          <w:p>
            <w:pPr>
              <w:jc w:val="right"/>
              <w:ind w:right="11"/>
              <w:spacing w:after="0" w:line="157" w:lineRule="exact"/>
              <w:rPr>
                <w:sz w:val="20"/>
                <w:szCs w:val="20"/>
                <w:color w:val="auto"/>
              </w:rPr>
            </w:pPr>
            <w:r>
              <w:rPr>
                <w:rFonts w:ascii="Arial" w:cs="Arial" w:eastAsia="Arial" w:hAnsi="Arial"/>
                <w:sz w:val="14"/>
                <w:szCs w:val="14"/>
                <w:color w:val="auto"/>
              </w:rPr>
              <w:t>–</w:t>
            </w:r>
          </w:p>
        </w:tc>
        <w:tc>
          <w:tcPr>
            <w:tcW w:w="12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gridSpan w:val="2"/>
          </w:tcPr>
          <w:p>
            <w:pPr>
              <w:jc w:val="right"/>
              <w:ind w:right="220"/>
              <w:spacing w:after="0" w:line="157" w:lineRule="exact"/>
              <w:rPr>
                <w:sz w:val="20"/>
                <w:szCs w:val="20"/>
                <w:color w:val="auto"/>
              </w:rPr>
            </w:pPr>
            <w:r>
              <w:rPr>
                <w:rFonts w:ascii="Arial" w:cs="Arial" w:eastAsia="Arial" w:hAnsi="Arial"/>
                <w:sz w:val="14"/>
                <w:szCs w:val="14"/>
                <w:color w:val="auto"/>
              </w:rPr>
              <w:t>–</w:t>
            </w:r>
          </w:p>
        </w:tc>
        <w:tc>
          <w:tcPr>
            <w:tcW w:w="640" w:type="dxa"/>
            <w:vAlign w:val="bottom"/>
            <w:tcBorders>
              <w:bottom w:val="single" w:sz="8" w:color="auto"/>
            </w:tcBorders>
          </w:tcPr>
          <w:p>
            <w:pPr>
              <w:jc w:val="right"/>
              <w:ind w:right="31"/>
              <w:spacing w:after="0" w:line="157" w:lineRule="exact"/>
              <w:rPr>
                <w:sz w:val="20"/>
                <w:szCs w:val="20"/>
                <w:color w:val="auto"/>
              </w:rPr>
            </w:pPr>
            <w:r>
              <w:rPr>
                <w:rFonts w:ascii="Arial" w:cs="Arial" w:eastAsia="Arial" w:hAnsi="Arial"/>
                <w:sz w:val="14"/>
                <w:szCs w:val="14"/>
                <w:color w:val="auto"/>
              </w:rPr>
              <w:t>163</w:t>
            </w:r>
          </w:p>
        </w:tc>
        <w:tc>
          <w:tcPr>
            <w:tcW w:w="740" w:type="dxa"/>
            <w:vAlign w:val="bottom"/>
            <w:tcBorders>
              <w:bottom w:val="single" w:sz="8" w:color="auto"/>
            </w:tcBorders>
          </w:tcPr>
          <w:p>
            <w:pPr>
              <w:jc w:val="right"/>
              <w:ind w:right="30"/>
              <w:spacing w:after="0" w:line="157" w:lineRule="exact"/>
              <w:rPr>
                <w:sz w:val="20"/>
                <w:szCs w:val="20"/>
                <w:color w:val="auto"/>
              </w:rPr>
            </w:pPr>
            <w:r>
              <w:rPr>
                <w:rFonts w:ascii="Arial" w:cs="Arial" w:eastAsia="Arial" w:hAnsi="Arial"/>
                <w:sz w:val="14"/>
                <w:szCs w:val="14"/>
                <w:color w:val="auto"/>
              </w:rPr>
              <w:t>–</w:t>
            </w:r>
          </w:p>
        </w:tc>
        <w:tc>
          <w:tcPr>
            <w:tcW w:w="660" w:type="dxa"/>
            <w:vAlign w:val="bottom"/>
            <w:tcBorders>
              <w:bottom w:val="single" w:sz="8" w:color="auto"/>
            </w:tcBorders>
          </w:tcPr>
          <w:p>
            <w:pPr>
              <w:jc w:val="right"/>
              <w:ind w:right="10"/>
              <w:spacing w:after="0" w:line="157" w:lineRule="exact"/>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tcPr>
          <w:p>
            <w:pPr>
              <w:jc w:val="right"/>
              <w:ind w:right="32"/>
              <w:spacing w:after="0" w:line="157" w:lineRule="exact"/>
              <w:rPr>
                <w:sz w:val="20"/>
                <w:szCs w:val="20"/>
                <w:color w:val="auto"/>
              </w:rPr>
            </w:pPr>
            <w:r>
              <w:rPr>
                <w:rFonts w:ascii="Arial" w:cs="Arial" w:eastAsia="Arial" w:hAnsi="Arial"/>
                <w:sz w:val="14"/>
                <w:szCs w:val="14"/>
                <w:color w:val="auto"/>
              </w:rPr>
              <w:t>163</w:t>
            </w: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46" w:name="page147"/>
    <w:bookmarkEnd w:id="1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6428105</wp:posOffset>
            </wp:positionH>
            <wp:positionV relativeFrom="paragraph">
              <wp:posOffset>300355</wp:posOffset>
            </wp:positionV>
            <wp:extent cx="8890" cy="462915"/>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8890" cy="462915"/>
                    </a:xfrm>
                    <a:prstGeom prst="rect">
                      <a:avLst/>
                    </a:prstGeom>
                    <a:noFill/>
                  </pic:spPr>
                </pic:pic>
              </a:graphicData>
            </a:graphic>
          </wp:anchor>
        </w:drawing>
      </w:r>
    </w:p>
    <w:p>
      <w:pPr>
        <w:spacing w:after="0" w:line="200" w:lineRule="exact"/>
        <w:rPr>
          <w:sz w:val="20"/>
          <w:szCs w:val="20"/>
          <w:color w:val="auto"/>
        </w:rPr>
      </w:pP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565"/>
        </w:trPr>
        <w:tc>
          <w:tcPr>
            <w:tcW w:w="19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Borders>
              <w:right w:val="single" w:sz="8" w:color="FF8B00"/>
            </w:tcBorders>
          </w:tcPr>
          <w:p>
            <w:pPr>
              <w:spacing w:after="0"/>
              <w:rPr>
                <w:sz w:val="24"/>
                <w:szCs w:val="24"/>
                <w:color w:val="auto"/>
              </w:rPr>
            </w:pPr>
          </w:p>
        </w:tc>
        <w:tc>
          <w:tcPr>
            <w:tcW w:w="680" w:type="dxa"/>
            <w:vAlign w:val="bottom"/>
            <w:shd w:val="clear" w:color="auto" w:fill="FF8B00"/>
          </w:tcPr>
          <w:p>
            <w:pPr>
              <w:spacing w:after="0"/>
              <w:rPr>
                <w:sz w:val="24"/>
                <w:szCs w:val="24"/>
                <w:color w:val="auto"/>
              </w:rPr>
            </w:pPr>
          </w:p>
        </w:tc>
        <w:tc>
          <w:tcPr>
            <w:tcW w:w="3060" w:type="dxa"/>
            <w:vAlign w:val="bottom"/>
            <w:gridSpan w:val="6"/>
            <w:shd w:val="clear" w:color="auto" w:fill="FF8B00"/>
          </w:tcPr>
          <w:p>
            <w:pPr>
              <w:ind w:left="180"/>
              <w:spacing w:after="0"/>
              <w:rPr>
                <w:sz w:val="20"/>
                <w:szCs w:val="20"/>
                <w:color w:val="auto"/>
              </w:rPr>
            </w:pPr>
            <w:r>
              <w:rPr>
                <w:rFonts w:ascii="Arial" w:cs="Arial" w:eastAsia="Arial" w:hAnsi="Arial"/>
                <w:sz w:val="13"/>
                <w:szCs w:val="13"/>
                <w:color w:val="333333"/>
                <w:w w:val="98"/>
              </w:rPr>
              <w:t>FINANCIAL STATEMENTS AND SUPPLEMENTS</w:t>
            </w:r>
          </w:p>
        </w:tc>
        <w:tc>
          <w:tcPr>
            <w:tcW w:w="740" w:type="dxa"/>
            <w:vAlign w:val="bottom"/>
            <w:shd w:val="clear" w:color="auto" w:fill="FF8B00"/>
          </w:tcPr>
          <w:p>
            <w:pPr>
              <w:spacing w:after="0"/>
              <w:rPr>
                <w:sz w:val="24"/>
                <w:szCs w:val="24"/>
                <w:color w:val="auto"/>
              </w:rPr>
            </w:pPr>
          </w:p>
        </w:tc>
        <w:tc>
          <w:tcPr>
            <w:tcW w:w="660" w:type="dxa"/>
            <w:vAlign w:val="bottom"/>
            <w:shd w:val="clear" w:color="auto" w:fill="FF8B00"/>
          </w:tcPr>
          <w:p>
            <w:pPr>
              <w:spacing w:after="0"/>
              <w:rPr>
                <w:sz w:val="24"/>
                <w:szCs w:val="24"/>
                <w:color w:val="auto"/>
              </w:rPr>
            </w:pPr>
          </w:p>
        </w:tc>
        <w:tc>
          <w:tcPr>
            <w:tcW w:w="660" w:type="dxa"/>
            <w:vAlign w:val="bottom"/>
            <w:shd w:val="clear" w:color="auto" w:fill="FF8B00"/>
          </w:tcPr>
          <w:p>
            <w:pPr>
              <w:jc w:val="right"/>
              <w:ind w:right="350"/>
              <w:spacing w:after="0"/>
              <w:rPr>
                <w:sz w:val="20"/>
                <w:szCs w:val="20"/>
                <w:color w:val="auto"/>
              </w:rPr>
            </w:pPr>
            <w:r>
              <w:rPr>
                <w:rFonts w:ascii="Arial" w:cs="Arial" w:eastAsia="Arial" w:hAnsi="Arial"/>
                <w:sz w:val="11"/>
                <w:szCs w:val="11"/>
                <w:b w:val="1"/>
                <w:bCs w:val="1"/>
                <w:color w:val="333333"/>
              </w:rPr>
              <w:t>145</w:t>
            </w:r>
          </w:p>
        </w:tc>
        <w:tc>
          <w:tcPr>
            <w:tcW w:w="0" w:type="dxa"/>
            <w:vAlign w:val="bottom"/>
          </w:tcPr>
          <w:p>
            <w:pPr>
              <w:spacing w:after="0"/>
              <w:rPr>
                <w:sz w:val="1"/>
                <w:szCs w:val="1"/>
                <w:color w:val="auto"/>
              </w:rPr>
            </w:pPr>
          </w:p>
        </w:tc>
      </w:tr>
      <w:tr>
        <w:trPr>
          <w:trHeight w:val="165"/>
        </w:trPr>
        <w:tc>
          <w:tcPr>
            <w:tcW w:w="2640" w:type="dxa"/>
            <w:vAlign w:val="bottom"/>
            <w:gridSpan w:val="3"/>
            <w:vMerge w:val="restart"/>
          </w:tcPr>
          <w:p>
            <w:pPr>
              <w:spacing w:after="0"/>
              <w:rPr>
                <w:sz w:val="20"/>
                <w:szCs w:val="20"/>
                <w:color w:val="auto"/>
              </w:rPr>
            </w:pPr>
            <w:r>
              <w:rPr>
                <w:rFonts w:ascii="Arial" w:cs="Arial" w:eastAsia="Arial" w:hAnsi="Arial"/>
                <w:sz w:val="11"/>
                <w:szCs w:val="11"/>
                <w:color w:val="auto"/>
              </w:rPr>
              <w:t>SHELL ANNUAL REPORT AND FORM 20-F 2014</w:t>
            </w:r>
          </w:p>
        </w:tc>
        <w:tc>
          <w:tcPr>
            <w:tcW w:w="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Borders>
              <w:right w:val="single" w:sz="8" w:color="FF8B00"/>
            </w:tcBorders>
          </w:tcPr>
          <w:p>
            <w:pPr>
              <w:spacing w:after="0"/>
              <w:rPr>
                <w:sz w:val="14"/>
                <w:szCs w:val="14"/>
                <w:color w:val="auto"/>
              </w:rPr>
            </w:pPr>
          </w:p>
        </w:tc>
        <w:tc>
          <w:tcPr>
            <w:tcW w:w="680" w:type="dxa"/>
            <w:vAlign w:val="bottom"/>
            <w:shd w:val="clear" w:color="auto" w:fill="FF8B00"/>
          </w:tcPr>
          <w:p>
            <w:pPr>
              <w:spacing w:after="0"/>
              <w:rPr>
                <w:sz w:val="14"/>
                <w:szCs w:val="14"/>
                <w:color w:val="auto"/>
              </w:rPr>
            </w:pPr>
          </w:p>
        </w:tc>
        <w:tc>
          <w:tcPr>
            <w:tcW w:w="1560" w:type="dxa"/>
            <w:vAlign w:val="bottom"/>
            <w:gridSpan w:val="3"/>
            <w:shd w:val="clear" w:color="auto" w:fill="FF8B00"/>
          </w:tcPr>
          <w:p>
            <w:pPr>
              <w:spacing w:after="0"/>
              <w:rPr>
                <w:sz w:val="14"/>
                <w:szCs w:val="14"/>
                <w:color w:val="auto"/>
              </w:rPr>
            </w:pPr>
          </w:p>
        </w:tc>
        <w:tc>
          <w:tcPr>
            <w:tcW w:w="560" w:type="dxa"/>
            <w:vAlign w:val="bottom"/>
            <w:shd w:val="clear" w:color="auto" w:fill="FF8B00"/>
          </w:tcPr>
          <w:p>
            <w:pPr>
              <w:spacing w:after="0"/>
              <w:rPr>
                <w:sz w:val="14"/>
                <w:szCs w:val="14"/>
                <w:color w:val="auto"/>
              </w:rPr>
            </w:pPr>
          </w:p>
        </w:tc>
        <w:tc>
          <w:tcPr>
            <w:tcW w:w="1680" w:type="dxa"/>
            <w:vAlign w:val="bottom"/>
            <w:gridSpan w:val="3"/>
            <w:shd w:val="clear" w:color="auto" w:fill="FF8B00"/>
          </w:tcPr>
          <w:p>
            <w:pPr>
              <w:spacing w:after="0"/>
              <w:rPr>
                <w:sz w:val="14"/>
                <w:szCs w:val="14"/>
                <w:color w:val="auto"/>
              </w:rPr>
            </w:pPr>
          </w:p>
        </w:tc>
        <w:tc>
          <w:tcPr>
            <w:tcW w:w="660" w:type="dxa"/>
            <w:vAlign w:val="bottom"/>
            <w:shd w:val="clear" w:color="auto" w:fill="FF8B00"/>
          </w:tcPr>
          <w:p>
            <w:pPr>
              <w:spacing w:after="0"/>
              <w:rPr>
                <w:sz w:val="14"/>
                <w:szCs w:val="14"/>
                <w:color w:val="auto"/>
              </w:rPr>
            </w:pPr>
          </w:p>
        </w:tc>
        <w:tc>
          <w:tcPr>
            <w:tcW w:w="660" w:type="dxa"/>
            <w:vAlign w:val="bottom"/>
            <w:shd w:val="clear" w:color="auto" w:fill="FF8B00"/>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2640" w:type="dxa"/>
            <w:vAlign w:val="bottom"/>
            <w:gridSpan w:val="3"/>
            <w:vMerge w:val="continue"/>
          </w:tcPr>
          <w:p>
            <w:pPr>
              <w:spacing w:after="0"/>
              <w:rPr>
                <w:sz w:val="10"/>
                <w:szCs w:val="10"/>
                <w:color w:val="auto"/>
              </w:rPr>
            </w:pPr>
          </w:p>
        </w:tc>
        <w:tc>
          <w:tcPr>
            <w:tcW w:w="4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3800" w:type="dxa"/>
            <w:vAlign w:val="bottom"/>
            <w:gridSpan w:val="7"/>
          </w:tcPr>
          <w:p>
            <w:pPr>
              <w:ind w:left="180"/>
              <w:spacing w:after="0" w:line="122" w:lineRule="exact"/>
              <w:rPr>
                <w:sz w:val="20"/>
                <w:szCs w:val="20"/>
                <w:color w:val="auto"/>
              </w:rPr>
            </w:pPr>
            <w:r>
              <w:rPr>
                <w:rFonts w:ascii="Arial" w:cs="Arial" w:eastAsia="Arial" w:hAnsi="Arial"/>
                <w:sz w:val="11"/>
                <w:szCs w:val="11"/>
                <w:color w:val="auto"/>
              </w:rPr>
              <w:t>SUPPLEMENTARY INFORMATION – OIL AND GAS (UNAUDITED)</w:t>
            </w:r>
          </w:p>
        </w:tc>
        <w:tc>
          <w:tcPr>
            <w:tcW w:w="6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4860" w:type="dxa"/>
            <w:vAlign w:val="bottom"/>
            <w:gridSpan w:val="9"/>
            <w:shd w:val="clear" w:color="auto" w:fill="333333"/>
          </w:tcPr>
          <w:p>
            <w:pPr>
              <w:ind w:left="80"/>
              <w:spacing w:after="0" w:line="162" w:lineRule="exact"/>
              <w:rPr>
                <w:sz w:val="20"/>
                <w:szCs w:val="20"/>
                <w:color w:val="auto"/>
              </w:rPr>
            </w:pPr>
            <w:r>
              <w:rPr>
                <w:rFonts w:ascii="Arial" w:cs="Arial" w:eastAsia="Arial" w:hAnsi="Arial"/>
                <w:sz w:val="15"/>
                <w:szCs w:val="15"/>
                <w:b w:val="1"/>
                <w:bCs w:val="1"/>
                <w:color w:val="FFFFFF"/>
              </w:rPr>
              <w:t>PROVED DEVELOPED AND UNDEVELOPED RESERVES 2013</w:t>
            </w:r>
          </w:p>
        </w:tc>
        <w:tc>
          <w:tcPr>
            <w:tcW w:w="640" w:type="dxa"/>
            <w:vAlign w:val="bottom"/>
            <w:shd w:val="clear" w:color="auto" w:fill="333333"/>
          </w:tcPr>
          <w:p>
            <w:pPr>
              <w:spacing w:after="0"/>
              <w:rPr>
                <w:sz w:val="14"/>
                <w:szCs w:val="14"/>
                <w:color w:val="auto"/>
              </w:rPr>
            </w:pPr>
          </w:p>
        </w:tc>
        <w:tc>
          <w:tcPr>
            <w:tcW w:w="120" w:type="dxa"/>
            <w:vAlign w:val="bottom"/>
            <w:tcBorders>
              <w:right w:val="single" w:sz="8" w:color="333333"/>
            </w:tcBorders>
            <w:shd w:val="clear" w:color="auto" w:fill="333333"/>
          </w:tcPr>
          <w:p>
            <w:pPr>
              <w:spacing w:after="0"/>
              <w:rPr>
                <w:sz w:val="14"/>
                <w:szCs w:val="14"/>
                <w:color w:val="auto"/>
              </w:rPr>
            </w:pPr>
          </w:p>
        </w:tc>
        <w:tc>
          <w:tcPr>
            <w:tcW w:w="680" w:type="dxa"/>
            <w:vAlign w:val="bottom"/>
            <w:shd w:val="clear" w:color="auto" w:fill="333333"/>
          </w:tcPr>
          <w:p>
            <w:pPr>
              <w:spacing w:after="0"/>
              <w:rPr>
                <w:sz w:val="14"/>
                <w:szCs w:val="14"/>
                <w:color w:val="auto"/>
              </w:rPr>
            </w:pPr>
          </w:p>
        </w:tc>
        <w:tc>
          <w:tcPr>
            <w:tcW w:w="760" w:type="dxa"/>
            <w:vAlign w:val="bottom"/>
            <w:shd w:val="clear" w:color="auto" w:fill="333333"/>
          </w:tcPr>
          <w:p>
            <w:pPr>
              <w:spacing w:after="0"/>
              <w:rPr>
                <w:sz w:val="14"/>
                <w:szCs w:val="14"/>
                <w:color w:val="auto"/>
              </w:rPr>
            </w:pPr>
          </w:p>
        </w:tc>
        <w:tc>
          <w:tcPr>
            <w:tcW w:w="660" w:type="dxa"/>
            <w:vAlign w:val="bottom"/>
            <w:shd w:val="clear" w:color="auto" w:fill="333333"/>
          </w:tcPr>
          <w:p>
            <w:pPr>
              <w:spacing w:after="0"/>
              <w:rPr>
                <w:sz w:val="14"/>
                <w:szCs w:val="14"/>
                <w:color w:val="auto"/>
              </w:rPr>
            </w:pPr>
          </w:p>
        </w:tc>
        <w:tc>
          <w:tcPr>
            <w:tcW w:w="140" w:type="dxa"/>
            <w:vAlign w:val="bottom"/>
            <w:shd w:val="clear" w:color="auto" w:fill="333333"/>
          </w:tcPr>
          <w:p>
            <w:pPr>
              <w:spacing w:after="0"/>
              <w:rPr>
                <w:sz w:val="14"/>
                <w:szCs w:val="14"/>
                <w:color w:val="auto"/>
              </w:rPr>
            </w:pPr>
          </w:p>
        </w:tc>
        <w:tc>
          <w:tcPr>
            <w:tcW w:w="560" w:type="dxa"/>
            <w:vAlign w:val="bottom"/>
            <w:shd w:val="clear" w:color="auto" w:fill="333333"/>
          </w:tcPr>
          <w:p>
            <w:pPr>
              <w:spacing w:after="0"/>
              <w:rPr>
                <w:sz w:val="14"/>
                <w:szCs w:val="14"/>
                <w:color w:val="auto"/>
              </w:rPr>
            </w:pPr>
          </w:p>
        </w:tc>
        <w:tc>
          <w:tcPr>
            <w:tcW w:w="240" w:type="dxa"/>
            <w:vAlign w:val="bottom"/>
            <w:shd w:val="clear" w:color="auto" w:fill="333333"/>
          </w:tcPr>
          <w:p>
            <w:pPr>
              <w:spacing w:after="0"/>
              <w:rPr>
                <w:sz w:val="14"/>
                <w:szCs w:val="14"/>
                <w:color w:val="auto"/>
              </w:rPr>
            </w:pPr>
          </w:p>
        </w:tc>
        <w:tc>
          <w:tcPr>
            <w:tcW w:w="700" w:type="dxa"/>
            <w:vAlign w:val="bottom"/>
            <w:shd w:val="clear" w:color="auto" w:fill="333333"/>
          </w:tcPr>
          <w:p>
            <w:pPr>
              <w:spacing w:after="0"/>
              <w:rPr>
                <w:sz w:val="14"/>
                <w:szCs w:val="14"/>
                <w:color w:val="auto"/>
              </w:rPr>
            </w:pPr>
          </w:p>
        </w:tc>
        <w:tc>
          <w:tcPr>
            <w:tcW w:w="2060" w:type="dxa"/>
            <w:vAlign w:val="bottom"/>
            <w:gridSpan w:val="3"/>
            <w:shd w:val="clear" w:color="auto" w:fill="333333"/>
          </w:tcPr>
          <w:p>
            <w:pPr>
              <w:jc w:val="right"/>
              <w:ind w:right="30"/>
              <w:spacing w:after="0" w:line="162" w:lineRule="exact"/>
              <w:rPr>
                <w:sz w:val="20"/>
                <w:szCs w:val="20"/>
                <w:color w:val="auto"/>
              </w:rPr>
            </w:pPr>
            <w:r>
              <w:rPr>
                <w:rFonts w:ascii="Arial" w:cs="Arial" w:eastAsia="Arial" w:hAnsi="Arial"/>
                <w:sz w:val="15"/>
                <w:szCs w:val="15"/>
                <w:color w:val="FFFFFF"/>
              </w:rPr>
              <w:t>MILLION BARRELS</w:t>
            </w:r>
          </w:p>
        </w:tc>
        <w:tc>
          <w:tcPr>
            <w:tcW w:w="0" w:type="dxa"/>
            <w:vAlign w:val="bottom"/>
          </w:tcPr>
          <w:p>
            <w:pPr>
              <w:spacing w:after="0"/>
              <w:rPr>
                <w:sz w:val="1"/>
                <w:szCs w:val="1"/>
                <w:color w:val="auto"/>
              </w:rPr>
            </w:pPr>
          </w:p>
        </w:tc>
      </w:tr>
      <w:tr>
        <w:trPr>
          <w:trHeight w:val="162"/>
        </w:trPr>
        <w:tc>
          <w:tcPr>
            <w:tcW w:w="19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2"/>
          </w:tcPr>
          <w:p>
            <w:pPr>
              <w:jc w:val="right"/>
              <w:ind w:right="29"/>
              <w:spacing w:after="0"/>
              <w:rPr>
                <w:sz w:val="20"/>
                <w:szCs w:val="20"/>
                <w:color w:val="auto"/>
              </w:rPr>
            </w:pPr>
            <w:r>
              <w:rPr>
                <w:rFonts w:ascii="Arial" w:cs="Arial" w:eastAsia="Arial" w:hAnsi="Arial"/>
                <w:sz w:val="13"/>
                <w:szCs w:val="13"/>
                <w:color w:val="auto"/>
              </w:rPr>
              <w:t>North America</w:t>
            </w:r>
          </w:p>
        </w:tc>
        <w:tc>
          <w:tcPr>
            <w:tcW w:w="140" w:type="dxa"/>
            <w:vAlign w:val="bottom"/>
          </w:tcPr>
          <w:p>
            <w:pPr>
              <w:spacing w:after="0"/>
              <w:rPr>
                <w:sz w:val="14"/>
                <w:szCs w:val="14"/>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3"/>
                <w:szCs w:val="13"/>
                <w:color w:val="auto"/>
              </w:rPr>
              <w:t>South</w:t>
            </w:r>
          </w:p>
        </w:tc>
        <w:tc>
          <w:tcPr>
            <w:tcW w:w="7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1900" w:type="dxa"/>
            <w:vAlign w:val="bottom"/>
          </w:tcPr>
          <w:p>
            <w:pPr>
              <w:spacing w:after="0"/>
              <w:rPr>
                <w:sz w:val="11"/>
                <w:szCs w:val="11"/>
                <w:color w:val="auto"/>
              </w:rPr>
            </w:pPr>
          </w:p>
        </w:tc>
        <w:tc>
          <w:tcPr>
            <w:tcW w:w="740" w:type="dxa"/>
            <w:vAlign w:val="bottom"/>
            <w:gridSpan w:val="2"/>
          </w:tcPr>
          <w:p>
            <w:pPr>
              <w:jc w:val="right"/>
              <w:ind w:right="220"/>
              <w:spacing w:after="0" w:line="129" w:lineRule="exact"/>
              <w:rPr>
                <w:sz w:val="20"/>
                <w:szCs w:val="20"/>
                <w:color w:val="auto"/>
              </w:rPr>
            </w:pPr>
            <w:r>
              <w:rPr>
                <w:rFonts w:ascii="Arial" w:cs="Arial" w:eastAsia="Arial" w:hAnsi="Arial"/>
                <w:sz w:val="13"/>
                <w:szCs w:val="13"/>
                <w:color w:val="auto"/>
              </w:rPr>
              <w:t>Europe</w:t>
            </w:r>
          </w:p>
        </w:tc>
        <w:tc>
          <w:tcPr>
            <w:tcW w:w="700" w:type="dxa"/>
            <w:vAlign w:val="bottom"/>
            <w:gridSpan w:val="2"/>
          </w:tcPr>
          <w:p>
            <w:pPr>
              <w:jc w:val="right"/>
              <w:ind w:right="220"/>
              <w:spacing w:after="0" w:line="129" w:lineRule="exact"/>
              <w:rPr>
                <w:sz w:val="20"/>
                <w:szCs w:val="20"/>
                <w:color w:val="auto"/>
              </w:rPr>
            </w:pPr>
            <w:r>
              <w:rPr>
                <w:rFonts w:ascii="Arial" w:cs="Arial" w:eastAsia="Arial" w:hAnsi="Arial"/>
                <w:sz w:val="13"/>
                <w:szCs w:val="13"/>
                <w:color w:val="auto"/>
              </w:rPr>
              <w:t>Asia</w:t>
            </w:r>
          </w:p>
        </w:tc>
        <w:tc>
          <w:tcPr>
            <w:tcW w:w="780" w:type="dxa"/>
            <w:vAlign w:val="bottom"/>
            <w:gridSpan w:val="2"/>
          </w:tcPr>
          <w:p>
            <w:pPr>
              <w:jc w:val="right"/>
              <w:ind w:right="220"/>
              <w:spacing w:after="0" w:line="129" w:lineRule="exact"/>
              <w:rPr>
                <w:sz w:val="20"/>
                <w:szCs w:val="20"/>
                <w:color w:val="auto"/>
              </w:rPr>
            </w:pPr>
            <w:r>
              <w:rPr>
                <w:rFonts w:ascii="Arial" w:cs="Arial" w:eastAsia="Arial" w:hAnsi="Arial"/>
                <w:sz w:val="13"/>
                <w:szCs w:val="13"/>
                <w:color w:val="auto"/>
              </w:rPr>
              <w:t>Oceania</w:t>
            </w:r>
          </w:p>
        </w:tc>
        <w:tc>
          <w:tcPr>
            <w:tcW w:w="740" w:type="dxa"/>
            <w:vAlign w:val="bottom"/>
            <w:gridSpan w:val="2"/>
          </w:tcPr>
          <w:p>
            <w:pPr>
              <w:jc w:val="right"/>
              <w:ind w:right="220"/>
              <w:spacing w:after="0" w:line="129" w:lineRule="exact"/>
              <w:rPr>
                <w:sz w:val="20"/>
                <w:szCs w:val="20"/>
                <w:color w:val="auto"/>
              </w:rPr>
            </w:pPr>
            <w:r>
              <w:rPr>
                <w:rFonts w:ascii="Arial" w:cs="Arial" w:eastAsia="Arial" w:hAnsi="Arial"/>
                <w:sz w:val="13"/>
                <w:szCs w:val="13"/>
                <w:color w:val="auto"/>
              </w:rPr>
              <w:t>Africa</w:t>
            </w:r>
          </w:p>
        </w:tc>
        <w:tc>
          <w:tcPr>
            <w:tcW w:w="760" w:type="dxa"/>
            <w:vAlign w:val="bottom"/>
            <w:gridSpan w:val="2"/>
          </w:tcPr>
          <w:p>
            <w:pPr>
              <w:jc w:val="right"/>
              <w:ind w:right="220"/>
              <w:spacing w:after="0" w:line="129" w:lineRule="exact"/>
              <w:rPr>
                <w:sz w:val="20"/>
                <w:szCs w:val="20"/>
                <w:color w:val="auto"/>
              </w:rPr>
            </w:pPr>
            <w:r>
              <w:rPr>
                <w:rFonts w:ascii="Arial" w:cs="Arial" w:eastAsia="Arial" w:hAnsi="Arial"/>
                <w:sz w:val="13"/>
                <w:szCs w:val="13"/>
                <w:color w:val="auto"/>
              </w:rPr>
              <w:t>USA</w:t>
            </w: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jc w:val="right"/>
              <w:ind w:right="29"/>
              <w:spacing w:after="0" w:line="129" w:lineRule="exact"/>
              <w:rPr>
                <w:sz w:val="20"/>
                <w:szCs w:val="20"/>
                <w:color w:val="auto"/>
              </w:rPr>
            </w:pPr>
            <w:r>
              <w:rPr>
                <w:rFonts w:ascii="Arial" w:cs="Arial" w:eastAsia="Arial" w:hAnsi="Arial"/>
                <w:sz w:val="13"/>
                <w:szCs w:val="13"/>
                <w:color w:val="auto"/>
              </w:rPr>
              <w:t>Canada</w:t>
            </w:r>
          </w:p>
        </w:tc>
        <w:tc>
          <w:tcPr>
            <w:tcW w:w="140" w:type="dxa"/>
            <w:vAlign w:val="bottom"/>
          </w:tcPr>
          <w:p>
            <w:pPr>
              <w:spacing w:after="0"/>
              <w:rPr>
                <w:sz w:val="11"/>
                <w:szCs w:val="11"/>
                <w:color w:val="auto"/>
              </w:rPr>
            </w:pPr>
          </w:p>
        </w:tc>
        <w:tc>
          <w:tcPr>
            <w:tcW w:w="800" w:type="dxa"/>
            <w:vAlign w:val="bottom"/>
            <w:gridSpan w:val="2"/>
          </w:tcPr>
          <w:p>
            <w:pPr>
              <w:jc w:val="right"/>
              <w:ind w:right="240"/>
              <w:spacing w:after="0" w:line="129" w:lineRule="exact"/>
              <w:rPr>
                <w:sz w:val="20"/>
                <w:szCs w:val="20"/>
                <w:color w:val="auto"/>
              </w:rPr>
            </w:pPr>
            <w:r>
              <w:rPr>
                <w:rFonts w:ascii="Arial" w:cs="Arial" w:eastAsia="Arial" w:hAnsi="Arial"/>
                <w:sz w:val="13"/>
                <w:szCs w:val="13"/>
                <w:color w:val="auto"/>
              </w:rPr>
              <w:t>America</w:t>
            </w: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60" w:type="dxa"/>
            <w:vAlign w:val="bottom"/>
          </w:tcPr>
          <w:p>
            <w:pPr>
              <w:jc w:val="right"/>
              <w:ind w:right="30"/>
              <w:spacing w:after="0" w:line="129" w:lineRule="exact"/>
              <w:rPr>
                <w:sz w:val="20"/>
                <w:szCs w:val="20"/>
                <w:color w:val="auto"/>
              </w:rPr>
            </w:pPr>
            <w:r>
              <w:rPr>
                <w:rFonts w:ascii="Arial" w:cs="Arial" w:eastAsia="Arial" w:hAnsi="Arial"/>
                <w:sz w:val="13"/>
                <w:szCs w:val="13"/>
                <w:color w:val="auto"/>
              </w:rPr>
              <w:t>Total</w:t>
            </w:r>
          </w:p>
        </w:tc>
        <w:tc>
          <w:tcPr>
            <w:tcW w:w="0" w:type="dxa"/>
            <w:vAlign w:val="bottom"/>
          </w:tcPr>
          <w:p>
            <w:pPr>
              <w:spacing w:after="0"/>
              <w:rPr>
                <w:sz w:val="1"/>
                <w:szCs w:val="1"/>
                <w:color w:val="auto"/>
              </w:rPr>
            </w:pPr>
          </w:p>
        </w:tc>
      </w:tr>
      <w:tr>
        <w:trPr>
          <w:trHeight w:val="20"/>
        </w:trPr>
        <w:tc>
          <w:tcPr>
            <w:tcW w:w="190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3"/>
        </w:trPr>
        <w:tc>
          <w:tcPr>
            <w:tcW w:w="1900" w:type="dxa"/>
            <w:vAlign w:val="bottom"/>
          </w:tcPr>
          <w:p>
            <w:pPr>
              <w:spacing w:after="0"/>
              <w:rPr>
                <w:sz w:val="10"/>
                <w:szCs w:val="10"/>
                <w:color w:val="auto"/>
              </w:rPr>
            </w:pPr>
          </w:p>
        </w:tc>
        <w:tc>
          <w:tcPr>
            <w:tcW w:w="740" w:type="dxa"/>
            <w:vAlign w:val="bottom"/>
            <w:gridSpan w:val="2"/>
            <w:vMerge w:val="restart"/>
          </w:tcPr>
          <w:p>
            <w:pPr>
              <w:jc w:val="right"/>
              <w:ind w:right="220"/>
              <w:spacing w:after="0"/>
              <w:rPr>
                <w:sz w:val="20"/>
                <w:szCs w:val="20"/>
                <w:color w:val="auto"/>
              </w:rPr>
            </w:pPr>
            <w:r>
              <w:rPr>
                <w:rFonts w:ascii="Arial" w:cs="Arial" w:eastAsia="Arial" w:hAnsi="Arial"/>
                <w:sz w:val="13"/>
                <w:szCs w:val="13"/>
                <w:color w:val="auto"/>
              </w:rPr>
              <w:t>Oil and</w:t>
            </w:r>
          </w:p>
        </w:tc>
        <w:tc>
          <w:tcPr>
            <w:tcW w:w="480" w:type="dxa"/>
            <w:vAlign w:val="bottom"/>
          </w:tcPr>
          <w:p>
            <w:pPr>
              <w:jc w:val="right"/>
              <w:spacing w:after="0" w:line="123" w:lineRule="exact"/>
              <w:rPr>
                <w:sz w:val="20"/>
                <w:szCs w:val="20"/>
                <w:color w:val="auto"/>
              </w:rPr>
            </w:pPr>
            <w:r>
              <w:rPr>
                <w:rFonts w:ascii="Arial" w:cs="Arial" w:eastAsia="Arial" w:hAnsi="Arial"/>
                <w:sz w:val="13"/>
                <w:szCs w:val="13"/>
                <w:color w:val="auto"/>
              </w:rPr>
              <w:t>Oil</w:t>
            </w:r>
          </w:p>
        </w:tc>
        <w:tc>
          <w:tcPr>
            <w:tcW w:w="220" w:type="dxa"/>
            <w:vAlign w:val="bottom"/>
            <w:vMerge w:val="continue"/>
          </w:tcPr>
          <w:p>
            <w:pPr>
              <w:spacing w:after="0"/>
              <w:rPr>
                <w:sz w:val="10"/>
                <w:szCs w:val="10"/>
                <w:color w:val="auto"/>
              </w:rPr>
            </w:pPr>
          </w:p>
        </w:tc>
        <w:tc>
          <w:tcPr>
            <w:tcW w:w="5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900" w:type="dxa"/>
            <w:vAlign w:val="bottom"/>
          </w:tcPr>
          <w:p>
            <w:pPr>
              <w:spacing w:after="0"/>
              <w:rPr>
                <w:sz w:val="10"/>
                <w:szCs w:val="10"/>
                <w:color w:val="auto"/>
              </w:rPr>
            </w:pPr>
          </w:p>
        </w:tc>
        <w:tc>
          <w:tcPr>
            <w:tcW w:w="740" w:type="dxa"/>
            <w:vAlign w:val="bottom"/>
            <w:gridSpan w:val="2"/>
            <w:vMerge w:val="continue"/>
          </w:tcPr>
          <w:p>
            <w:pPr>
              <w:spacing w:after="0"/>
              <w:rPr>
                <w:sz w:val="10"/>
                <w:szCs w:val="10"/>
                <w:color w:val="auto"/>
              </w:rPr>
            </w:pPr>
          </w:p>
        </w:tc>
        <w:tc>
          <w:tcPr>
            <w:tcW w:w="700" w:type="dxa"/>
            <w:vAlign w:val="bottom"/>
            <w:gridSpan w:val="2"/>
          </w:tcPr>
          <w:p>
            <w:pPr>
              <w:jc w:val="right"/>
              <w:ind w:right="220"/>
              <w:spacing w:after="0" w:line="122" w:lineRule="exact"/>
              <w:rPr>
                <w:sz w:val="20"/>
                <w:szCs w:val="20"/>
                <w:color w:val="auto"/>
              </w:rPr>
            </w:pPr>
            <w:r>
              <w:rPr>
                <w:rFonts w:ascii="Arial" w:cs="Arial" w:eastAsia="Arial" w:hAnsi="Arial"/>
                <w:sz w:val="13"/>
                <w:szCs w:val="13"/>
                <w:color w:val="auto"/>
              </w:rPr>
              <w:t>and</w:t>
            </w:r>
          </w:p>
        </w:tc>
        <w:tc>
          <w:tcPr>
            <w:tcW w:w="780" w:type="dxa"/>
            <w:vAlign w:val="bottom"/>
            <w:gridSpan w:val="2"/>
          </w:tcPr>
          <w:p>
            <w:pPr>
              <w:jc w:val="right"/>
              <w:ind w:right="220"/>
              <w:spacing w:after="0" w:line="122" w:lineRule="exact"/>
              <w:rPr>
                <w:sz w:val="20"/>
                <w:szCs w:val="20"/>
                <w:color w:val="auto"/>
              </w:rPr>
            </w:pPr>
            <w:r>
              <w:rPr>
                <w:rFonts w:ascii="Arial" w:cs="Arial" w:eastAsia="Arial" w:hAnsi="Arial"/>
                <w:sz w:val="13"/>
                <w:szCs w:val="13"/>
                <w:color w:val="auto"/>
              </w:rPr>
              <w:t>Oil and</w:t>
            </w:r>
          </w:p>
        </w:tc>
        <w:tc>
          <w:tcPr>
            <w:tcW w:w="740" w:type="dxa"/>
            <w:vAlign w:val="bottom"/>
            <w:gridSpan w:val="2"/>
          </w:tcPr>
          <w:p>
            <w:pPr>
              <w:jc w:val="right"/>
              <w:ind w:right="220"/>
              <w:spacing w:after="0" w:line="122" w:lineRule="exact"/>
              <w:rPr>
                <w:sz w:val="20"/>
                <w:szCs w:val="20"/>
                <w:color w:val="auto"/>
              </w:rPr>
            </w:pPr>
            <w:r>
              <w:rPr>
                <w:rFonts w:ascii="Arial" w:cs="Arial" w:eastAsia="Arial" w:hAnsi="Arial"/>
                <w:sz w:val="13"/>
                <w:szCs w:val="13"/>
                <w:color w:val="auto"/>
              </w:rPr>
              <w:t>Oil and</w:t>
            </w:r>
          </w:p>
        </w:tc>
        <w:tc>
          <w:tcPr>
            <w:tcW w:w="760" w:type="dxa"/>
            <w:vAlign w:val="bottom"/>
            <w:gridSpan w:val="2"/>
          </w:tcPr>
          <w:p>
            <w:pPr>
              <w:jc w:val="right"/>
              <w:ind w:right="220"/>
              <w:spacing w:after="0" w:line="122" w:lineRule="exact"/>
              <w:rPr>
                <w:sz w:val="20"/>
                <w:szCs w:val="20"/>
                <w:color w:val="auto"/>
              </w:rPr>
            </w:pPr>
            <w:r>
              <w:rPr>
                <w:rFonts w:ascii="Arial" w:cs="Arial" w:eastAsia="Arial" w:hAnsi="Arial"/>
                <w:sz w:val="13"/>
                <w:szCs w:val="13"/>
                <w:color w:val="auto"/>
              </w:rPr>
              <w:t>Oil and</w:t>
            </w:r>
          </w:p>
        </w:tc>
        <w:tc>
          <w:tcPr>
            <w:tcW w:w="680" w:type="dxa"/>
            <w:vAlign w:val="bottom"/>
          </w:tcPr>
          <w:p>
            <w:pPr>
              <w:jc w:val="right"/>
              <w:ind w:right="69"/>
              <w:spacing w:after="0" w:line="122" w:lineRule="exact"/>
              <w:rPr>
                <w:sz w:val="20"/>
                <w:szCs w:val="20"/>
                <w:color w:val="auto"/>
              </w:rPr>
            </w:pPr>
            <w:r>
              <w:rPr>
                <w:rFonts w:ascii="Arial" w:cs="Arial" w:eastAsia="Arial" w:hAnsi="Arial"/>
                <w:sz w:val="13"/>
                <w:szCs w:val="13"/>
                <w:color w:val="auto"/>
              </w:rPr>
              <w:t>Oil and</w:t>
            </w:r>
          </w:p>
        </w:tc>
        <w:tc>
          <w:tcPr>
            <w:tcW w:w="760" w:type="dxa"/>
            <w:vAlign w:val="bottom"/>
          </w:tcPr>
          <w:p>
            <w:pPr>
              <w:jc w:val="right"/>
              <w:ind w:right="70"/>
              <w:spacing w:after="0" w:line="122" w:lineRule="exact"/>
              <w:rPr>
                <w:sz w:val="20"/>
                <w:szCs w:val="20"/>
                <w:color w:val="auto"/>
              </w:rPr>
            </w:pPr>
            <w:r>
              <w:rPr>
                <w:rFonts w:ascii="Arial" w:cs="Arial" w:eastAsia="Arial" w:hAnsi="Arial"/>
                <w:sz w:val="13"/>
                <w:szCs w:val="13"/>
                <w:color w:val="auto"/>
              </w:rPr>
              <w:t>Synthetic</w:t>
            </w:r>
          </w:p>
        </w:tc>
        <w:tc>
          <w:tcPr>
            <w:tcW w:w="6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0" w:type="dxa"/>
            <w:vAlign w:val="bottom"/>
            <w:gridSpan w:val="2"/>
          </w:tcPr>
          <w:p>
            <w:pPr>
              <w:jc w:val="right"/>
              <w:ind w:right="240"/>
              <w:spacing w:after="0" w:line="122" w:lineRule="exact"/>
              <w:rPr>
                <w:sz w:val="20"/>
                <w:szCs w:val="20"/>
                <w:color w:val="auto"/>
              </w:rPr>
            </w:pPr>
            <w:r>
              <w:rPr>
                <w:rFonts w:ascii="Arial" w:cs="Arial" w:eastAsia="Arial" w:hAnsi="Arial"/>
                <w:sz w:val="13"/>
                <w:szCs w:val="13"/>
                <w:color w:val="auto"/>
              </w:rPr>
              <w:t>Oil and</w:t>
            </w:r>
          </w:p>
        </w:tc>
        <w:tc>
          <w:tcPr>
            <w:tcW w:w="700" w:type="dxa"/>
            <w:vAlign w:val="bottom"/>
          </w:tcPr>
          <w:p>
            <w:pPr>
              <w:jc w:val="right"/>
              <w:ind w:right="89"/>
              <w:spacing w:after="0" w:line="122" w:lineRule="exact"/>
              <w:rPr>
                <w:sz w:val="20"/>
                <w:szCs w:val="20"/>
                <w:color w:val="auto"/>
              </w:rPr>
            </w:pPr>
            <w:r>
              <w:rPr>
                <w:rFonts w:ascii="Arial" w:cs="Arial" w:eastAsia="Arial" w:hAnsi="Arial"/>
                <w:sz w:val="13"/>
                <w:szCs w:val="13"/>
                <w:color w:val="auto"/>
              </w:rPr>
              <w:t>Oil and</w:t>
            </w:r>
          </w:p>
        </w:tc>
        <w:tc>
          <w:tcPr>
            <w:tcW w:w="740" w:type="dxa"/>
            <w:vAlign w:val="bottom"/>
          </w:tcPr>
          <w:p>
            <w:pPr>
              <w:jc w:val="right"/>
              <w:ind w:right="89"/>
              <w:spacing w:after="0" w:line="122" w:lineRule="exact"/>
              <w:rPr>
                <w:sz w:val="20"/>
                <w:szCs w:val="20"/>
                <w:color w:val="auto"/>
              </w:rPr>
            </w:pPr>
            <w:r>
              <w:rPr>
                <w:rFonts w:ascii="Arial" w:cs="Arial" w:eastAsia="Arial" w:hAnsi="Arial"/>
                <w:sz w:val="13"/>
                <w:szCs w:val="13"/>
                <w:color w:val="auto"/>
              </w:rPr>
              <w:t>Synthetic</w:t>
            </w:r>
          </w:p>
        </w:tc>
        <w:tc>
          <w:tcPr>
            <w:tcW w:w="660" w:type="dxa"/>
            <w:vAlign w:val="bottom"/>
          </w:tcPr>
          <w:p>
            <w:pPr>
              <w:spacing w:after="0"/>
              <w:rPr>
                <w:sz w:val="10"/>
                <w:szCs w:val="10"/>
                <w:color w:val="auto"/>
              </w:rPr>
            </w:pPr>
          </w:p>
        </w:tc>
        <w:tc>
          <w:tcPr>
            <w:tcW w:w="660" w:type="dxa"/>
            <w:vAlign w:val="bottom"/>
          </w:tcPr>
          <w:p>
            <w:pPr>
              <w:jc w:val="right"/>
              <w:ind w:right="30"/>
              <w:spacing w:after="0" w:line="122" w:lineRule="exact"/>
              <w:rPr>
                <w:sz w:val="20"/>
                <w:szCs w:val="20"/>
                <w:color w:val="auto"/>
              </w:rPr>
            </w:pPr>
            <w:r>
              <w:rPr>
                <w:rFonts w:ascii="Arial" w:cs="Arial" w:eastAsia="Arial" w:hAnsi="Arial"/>
                <w:sz w:val="13"/>
                <w:szCs w:val="13"/>
                <w:color w:val="auto"/>
              </w:rPr>
              <w:t>All</w:t>
            </w:r>
          </w:p>
        </w:tc>
        <w:tc>
          <w:tcPr>
            <w:tcW w:w="0" w:type="dxa"/>
            <w:vAlign w:val="bottom"/>
          </w:tcPr>
          <w:p>
            <w:pPr>
              <w:spacing w:after="0"/>
              <w:rPr>
                <w:sz w:val="1"/>
                <w:szCs w:val="1"/>
                <w:color w:val="auto"/>
              </w:rPr>
            </w:pPr>
          </w:p>
        </w:tc>
      </w:tr>
      <w:tr>
        <w:trPr>
          <w:trHeight w:val="155"/>
        </w:trPr>
        <w:tc>
          <w:tcPr>
            <w:tcW w:w="190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3"/>
                <w:szCs w:val="13"/>
                <w:color w:val="auto"/>
              </w:rPr>
              <w:t>NGL</w:t>
            </w:r>
          </w:p>
        </w:tc>
        <w:tc>
          <w:tcPr>
            <w:tcW w:w="70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3"/>
                <w:szCs w:val="13"/>
                <w:color w:val="auto"/>
              </w:rPr>
              <w:t>NGL</w:t>
            </w:r>
          </w:p>
        </w:tc>
        <w:tc>
          <w:tcPr>
            <w:tcW w:w="78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3"/>
                <w:szCs w:val="13"/>
                <w:color w:val="auto"/>
              </w:rPr>
              <w:t>NGL</w:t>
            </w:r>
          </w:p>
        </w:tc>
        <w:tc>
          <w:tcPr>
            <w:tcW w:w="74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3"/>
                <w:szCs w:val="13"/>
                <w:color w:val="auto"/>
              </w:rPr>
              <w:t>NGL</w:t>
            </w:r>
          </w:p>
        </w:tc>
        <w:tc>
          <w:tcPr>
            <w:tcW w:w="76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3"/>
                <w:szCs w:val="13"/>
                <w:color w:val="auto"/>
              </w:rPr>
              <w:t>NGL</w:t>
            </w:r>
          </w:p>
        </w:tc>
        <w:tc>
          <w:tcPr>
            <w:tcW w:w="680" w:type="dxa"/>
            <w:vAlign w:val="bottom"/>
            <w:tcBorders>
              <w:bottom w:val="single" w:sz="8" w:color="auto"/>
            </w:tcBorders>
          </w:tcPr>
          <w:p>
            <w:pPr>
              <w:jc w:val="right"/>
              <w:ind w:right="69"/>
              <w:spacing w:after="0"/>
              <w:rPr>
                <w:sz w:val="20"/>
                <w:szCs w:val="20"/>
                <w:color w:val="auto"/>
              </w:rPr>
            </w:pPr>
            <w:r>
              <w:rPr>
                <w:rFonts w:ascii="Arial" w:cs="Arial" w:eastAsia="Arial" w:hAnsi="Arial"/>
                <w:sz w:val="13"/>
                <w:szCs w:val="13"/>
                <w:color w:val="auto"/>
              </w:rPr>
              <w:t>NGL</w:t>
            </w:r>
          </w:p>
        </w:tc>
        <w:tc>
          <w:tcPr>
            <w:tcW w:w="760" w:type="dxa"/>
            <w:vAlign w:val="bottom"/>
            <w:tcBorders>
              <w:bottom w:val="single" w:sz="8" w:color="auto"/>
            </w:tcBorders>
          </w:tcPr>
          <w:p>
            <w:pPr>
              <w:jc w:val="right"/>
              <w:ind w:right="70"/>
              <w:spacing w:after="0"/>
              <w:rPr>
                <w:sz w:val="20"/>
                <w:szCs w:val="20"/>
                <w:color w:val="auto"/>
              </w:rPr>
            </w:pPr>
            <w:r>
              <w:rPr>
                <w:rFonts w:ascii="Arial" w:cs="Arial" w:eastAsia="Arial" w:hAnsi="Arial"/>
                <w:sz w:val="13"/>
                <w:szCs w:val="13"/>
                <w:color w:val="auto"/>
              </w:rPr>
              <w:t>crude oil</w:t>
            </w:r>
          </w:p>
        </w:tc>
        <w:tc>
          <w:tcPr>
            <w:tcW w:w="660" w:type="dxa"/>
            <w:vAlign w:val="bottom"/>
            <w:tcBorders>
              <w:bottom w:val="single" w:sz="8" w:color="auto"/>
            </w:tcBorders>
          </w:tcPr>
          <w:p>
            <w:pPr>
              <w:jc w:val="right"/>
              <w:ind w:right="29"/>
              <w:spacing w:after="0"/>
              <w:rPr>
                <w:sz w:val="20"/>
                <w:szCs w:val="20"/>
                <w:color w:val="auto"/>
              </w:rPr>
            </w:pPr>
            <w:r>
              <w:rPr>
                <w:rFonts w:ascii="Arial" w:cs="Arial" w:eastAsia="Arial" w:hAnsi="Arial"/>
                <w:sz w:val="13"/>
                <w:szCs w:val="13"/>
                <w:color w:val="auto"/>
              </w:rPr>
              <w:t>Bitumen</w:t>
            </w:r>
          </w:p>
        </w:tc>
        <w:tc>
          <w:tcPr>
            <w:tcW w:w="14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gridSpan w:val="2"/>
          </w:tcPr>
          <w:p>
            <w:pPr>
              <w:jc w:val="right"/>
              <w:ind w:right="240"/>
              <w:spacing w:after="0"/>
              <w:rPr>
                <w:sz w:val="20"/>
                <w:szCs w:val="20"/>
                <w:color w:val="auto"/>
              </w:rPr>
            </w:pPr>
            <w:r>
              <w:rPr>
                <w:rFonts w:ascii="Arial" w:cs="Arial" w:eastAsia="Arial" w:hAnsi="Arial"/>
                <w:sz w:val="13"/>
                <w:szCs w:val="13"/>
                <w:color w:val="auto"/>
              </w:rPr>
              <w:t>NGL</w:t>
            </w:r>
          </w:p>
        </w:tc>
        <w:tc>
          <w:tcPr>
            <w:tcW w:w="700" w:type="dxa"/>
            <w:vAlign w:val="bottom"/>
            <w:tcBorders>
              <w:bottom w:val="single" w:sz="8" w:color="auto"/>
            </w:tcBorders>
          </w:tcPr>
          <w:p>
            <w:pPr>
              <w:jc w:val="right"/>
              <w:ind w:right="89"/>
              <w:spacing w:after="0"/>
              <w:rPr>
                <w:sz w:val="20"/>
                <w:szCs w:val="20"/>
                <w:color w:val="auto"/>
              </w:rPr>
            </w:pPr>
            <w:r>
              <w:rPr>
                <w:rFonts w:ascii="Arial" w:cs="Arial" w:eastAsia="Arial" w:hAnsi="Arial"/>
                <w:sz w:val="13"/>
                <w:szCs w:val="13"/>
                <w:color w:val="auto"/>
              </w:rPr>
              <w:t>NGL</w:t>
            </w:r>
          </w:p>
        </w:tc>
        <w:tc>
          <w:tcPr>
            <w:tcW w:w="740" w:type="dxa"/>
            <w:vAlign w:val="bottom"/>
            <w:tcBorders>
              <w:bottom w:val="single" w:sz="8" w:color="auto"/>
            </w:tcBorders>
          </w:tcPr>
          <w:p>
            <w:pPr>
              <w:jc w:val="right"/>
              <w:ind w:right="89"/>
              <w:spacing w:after="0"/>
              <w:rPr>
                <w:sz w:val="20"/>
                <w:szCs w:val="20"/>
                <w:color w:val="auto"/>
              </w:rPr>
            </w:pPr>
            <w:r>
              <w:rPr>
                <w:rFonts w:ascii="Arial" w:cs="Arial" w:eastAsia="Arial" w:hAnsi="Arial"/>
                <w:sz w:val="13"/>
                <w:szCs w:val="13"/>
                <w:color w:val="auto"/>
              </w:rPr>
              <w:t>crude oil</w:t>
            </w:r>
          </w:p>
        </w:tc>
        <w:tc>
          <w:tcPr>
            <w:tcW w:w="660" w:type="dxa"/>
            <w:vAlign w:val="bottom"/>
            <w:tcBorders>
              <w:bottom w:val="single" w:sz="8" w:color="auto"/>
            </w:tcBorders>
          </w:tcPr>
          <w:p>
            <w:pPr>
              <w:jc w:val="right"/>
              <w:ind w:right="28"/>
              <w:spacing w:after="0"/>
              <w:rPr>
                <w:sz w:val="20"/>
                <w:szCs w:val="20"/>
                <w:color w:val="auto"/>
              </w:rPr>
            </w:pPr>
            <w:r>
              <w:rPr>
                <w:rFonts w:ascii="Arial" w:cs="Arial" w:eastAsia="Arial" w:hAnsi="Arial"/>
                <w:sz w:val="13"/>
                <w:szCs w:val="13"/>
                <w:color w:val="auto"/>
              </w:rPr>
              <w:t>Bitumen</w:t>
            </w:r>
          </w:p>
        </w:tc>
        <w:tc>
          <w:tcPr>
            <w:tcW w:w="660" w:type="dxa"/>
            <w:vAlign w:val="bottom"/>
            <w:tcBorders>
              <w:bottom w:val="single" w:sz="8" w:color="auto"/>
            </w:tcBorders>
          </w:tcPr>
          <w:p>
            <w:pPr>
              <w:jc w:val="right"/>
              <w:ind w:right="30"/>
              <w:spacing w:after="0"/>
              <w:rPr>
                <w:sz w:val="20"/>
                <w:szCs w:val="20"/>
                <w:color w:val="auto"/>
              </w:rPr>
            </w:pPr>
            <w:r>
              <w:rPr>
                <w:rFonts w:ascii="Arial" w:cs="Arial" w:eastAsia="Arial" w:hAnsi="Arial"/>
                <w:sz w:val="13"/>
                <w:szCs w:val="13"/>
                <w:color w:val="auto"/>
              </w:rPr>
              <w:t>products</w:t>
            </w:r>
          </w:p>
        </w:tc>
        <w:tc>
          <w:tcPr>
            <w:tcW w:w="0" w:type="dxa"/>
            <w:vAlign w:val="bottom"/>
          </w:tcPr>
          <w:p>
            <w:pPr>
              <w:spacing w:after="0"/>
              <w:rPr>
                <w:sz w:val="1"/>
                <w:szCs w:val="1"/>
                <w:color w:val="auto"/>
              </w:rPr>
            </w:pPr>
          </w:p>
        </w:tc>
      </w:tr>
      <w:tr>
        <w:trPr>
          <w:trHeight w:val="160"/>
        </w:trPr>
        <w:tc>
          <w:tcPr>
            <w:tcW w:w="1900" w:type="dxa"/>
            <w:vAlign w:val="bottom"/>
          </w:tcPr>
          <w:p>
            <w:pPr>
              <w:spacing w:after="0"/>
              <w:rPr>
                <w:sz w:val="20"/>
                <w:szCs w:val="20"/>
                <w:color w:val="auto"/>
              </w:rPr>
            </w:pPr>
            <w:r>
              <w:rPr>
                <w:rFonts w:ascii="Arial" w:cs="Arial" w:eastAsia="Arial" w:hAnsi="Arial"/>
                <w:sz w:val="14"/>
                <w:szCs w:val="14"/>
                <w:color w:val="auto"/>
              </w:rPr>
              <w:t>Shell subsidiaries</w:t>
            </w:r>
          </w:p>
        </w:tc>
        <w:tc>
          <w:tcPr>
            <w:tcW w:w="5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1900" w:type="dxa"/>
            <w:vAlign w:val="bottom"/>
          </w:tcPr>
          <w:p>
            <w:pPr>
              <w:ind w:left="140"/>
              <w:spacing w:after="0"/>
              <w:rPr>
                <w:sz w:val="20"/>
                <w:szCs w:val="20"/>
                <w:color w:val="auto"/>
              </w:rPr>
            </w:pPr>
            <w:r>
              <w:rPr>
                <w:rFonts w:ascii="Arial" w:cs="Arial" w:eastAsia="Arial" w:hAnsi="Arial"/>
                <w:sz w:val="14"/>
                <w:szCs w:val="14"/>
                <w:color w:val="auto"/>
              </w:rPr>
              <w:t>At January 1</w:t>
            </w:r>
          </w:p>
        </w:tc>
        <w:tc>
          <w:tcPr>
            <w:tcW w:w="740" w:type="dxa"/>
            <w:vAlign w:val="bottom"/>
            <w:gridSpan w:val="2"/>
          </w:tcPr>
          <w:p>
            <w:pPr>
              <w:jc w:val="right"/>
              <w:ind w:right="220"/>
              <w:spacing w:after="0"/>
              <w:rPr>
                <w:sz w:val="20"/>
                <w:szCs w:val="20"/>
                <w:color w:val="auto"/>
              </w:rPr>
            </w:pPr>
            <w:r>
              <w:rPr>
                <w:rFonts w:ascii="Arial" w:cs="Arial" w:eastAsia="Arial" w:hAnsi="Arial"/>
                <w:sz w:val="14"/>
                <w:szCs w:val="14"/>
                <w:color w:val="auto"/>
              </w:rPr>
              <w:t>769</w:t>
            </w:r>
          </w:p>
        </w:tc>
        <w:tc>
          <w:tcPr>
            <w:tcW w:w="700" w:type="dxa"/>
            <w:vAlign w:val="bottom"/>
            <w:gridSpan w:val="2"/>
          </w:tcPr>
          <w:p>
            <w:pPr>
              <w:jc w:val="right"/>
              <w:ind w:right="220"/>
              <w:spacing w:after="0"/>
              <w:rPr>
                <w:sz w:val="20"/>
                <w:szCs w:val="20"/>
                <w:color w:val="auto"/>
              </w:rPr>
            </w:pPr>
            <w:r>
              <w:rPr>
                <w:rFonts w:ascii="Arial" w:cs="Arial" w:eastAsia="Arial" w:hAnsi="Arial"/>
                <w:sz w:val="14"/>
                <w:szCs w:val="14"/>
                <w:color w:val="auto"/>
              </w:rPr>
              <w:t>1,191</w:t>
            </w:r>
          </w:p>
        </w:tc>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146</w:t>
            </w:r>
          </w:p>
        </w:tc>
        <w:tc>
          <w:tcPr>
            <w:tcW w:w="740" w:type="dxa"/>
            <w:vAlign w:val="bottom"/>
            <w:gridSpan w:val="2"/>
          </w:tcPr>
          <w:p>
            <w:pPr>
              <w:jc w:val="right"/>
              <w:ind w:right="220"/>
              <w:spacing w:after="0"/>
              <w:rPr>
                <w:sz w:val="20"/>
                <w:szCs w:val="20"/>
                <w:color w:val="auto"/>
              </w:rPr>
            </w:pPr>
            <w:r>
              <w:rPr>
                <w:rFonts w:ascii="Arial" w:cs="Arial" w:eastAsia="Arial" w:hAnsi="Arial"/>
                <w:sz w:val="14"/>
                <w:szCs w:val="14"/>
                <w:color w:val="auto"/>
              </w:rPr>
              <w:t>688</w:t>
            </w:r>
          </w:p>
        </w:tc>
        <w:tc>
          <w:tcPr>
            <w:tcW w:w="640" w:type="dxa"/>
            <w:vAlign w:val="bottom"/>
          </w:tcPr>
          <w:p>
            <w:pPr>
              <w:jc w:val="right"/>
              <w:ind w:right="29"/>
              <w:spacing w:after="0"/>
              <w:rPr>
                <w:sz w:val="20"/>
                <w:szCs w:val="20"/>
                <w:color w:val="auto"/>
              </w:rPr>
            </w:pPr>
            <w:r>
              <w:rPr>
                <w:rFonts w:ascii="Arial" w:cs="Arial" w:eastAsia="Arial" w:hAnsi="Arial"/>
                <w:sz w:val="14"/>
                <w:szCs w:val="14"/>
                <w:color w:val="auto"/>
              </w:rPr>
              <w:t>609</w:t>
            </w:r>
          </w:p>
        </w:tc>
        <w:tc>
          <w:tcPr>
            <w:tcW w:w="120" w:type="dxa"/>
            <w:vAlign w:val="bottom"/>
          </w:tcPr>
          <w:p>
            <w:pPr>
              <w:spacing w:after="0"/>
              <w:rPr>
                <w:sz w:val="14"/>
                <w:szCs w:val="14"/>
                <w:color w:val="auto"/>
              </w:rPr>
            </w:pPr>
          </w:p>
        </w:tc>
        <w:tc>
          <w:tcPr>
            <w:tcW w:w="680" w:type="dxa"/>
            <w:vAlign w:val="bottom"/>
          </w:tcPr>
          <w:p>
            <w:pPr>
              <w:jc w:val="right"/>
              <w:ind w:right="69"/>
              <w:spacing w:after="0"/>
              <w:rPr>
                <w:sz w:val="20"/>
                <w:szCs w:val="20"/>
                <w:color w:val="auto"/>
              </w:rPr>
            </w:pPr>
            <w:r>
              <w:rPr>
                <w:rFonts w:ascii="Arial" w:cs="Arial" w:eastAsia="Arial" w:hAnsi="Arial"/>
                <w:sz w:val="14"/>
                <w:szCs w:val="14"/>
                <w:color w:val="auto"/>
              </w:rPr>
              <w:t>33</w:t>
            </w:r>
          </w:p>
        </w:tc>
        <w:tc>
          <w:tcPr>
            <w:tcW w:w="760" w:type="dxa"/>
            <w:vAlign w:val="bottom"/>
          </w:tcPr>
          <w:p>
            <w:pPr>
              <w:jc w:val="right"/>
              <w:ind w:right="70"/>
              <w:spacing w:after="0"/>
              <w:rPr>
                <w:sz w:val="20"/>
                <w:szCs w:val="20"/>
                <w:color w:val="auto"/>
              </w:rPr>
            </w:pPr>
            <w:r>
              <w:rPr>
                <w:rFonts w:ascii="Arial" w:cs="Arial" w:eastAsia="Arial" w:hAnsi="Arial"/>
                <w:sz w:val="14"/>
                <w:szCs w:val="14"/>
                <w:color w:val="auto"/>
              </w:rPr>
              <w:t>1,763</w:t>
            </w:r>
          </w:p>
        </w:tc>
        <w:tc>
          <w:tcPr>
            <w:tcW w:w="660" w:type="dxa"/>
            <w:vAlign w:val="bottom"/>
          </w:tcPr>
          <w:p>
            <w:pPr>
              <w:jc w:val="right"/>
              <w:ind w:right="29"/>
              <w:spacing w:after="0"/>
              <w:rPr>
                <w:sz w:val="20"/>
                <w:szCs w:val="20"/>
                <w:color w:val="auto"/>
              </w:rPr>
            </w:pPr>
            <w:r>
              <w:rPr>
                <w:rFonts w:ascii="Arial" w:cs="Arial" w:eastAsia="Arial" w:hAnsi="Arial"/>
                <w:sz w:val="14"/>
                <w:szCs w:val="14"/>
                <w:color w:val="auto"/>
              </w:rPr>
              <w:t>49</w:t>
            </w:r>
          </w:p>
        </w:tc>
        <w:tc>
          <w:tcPr>
            <w:tcW w:w="940" w:type="dxa"/>
            <w:vAlign w:val="bottom"/>
            <w:gridSpan w:val="3"/>
          </w:tcPr>
          <w:p>
            <w:pPr>
              <w:jc w:val="right"/>
              <w:ind w:right="240"/>
              <w:spacing w:after="0"/>
              <w:rPr>
                <w:sz w:val="20"/>
                <w:szCs w:val="20"/>
                <w:color w:val="auto"/>
              </w:rPr>
            </w:pPr>
            <w:r>
              <w:rPr>
                <w:rFonts w:ascii="Arial" w:cs="Arial" w:eastAsia="Arial" w:hAnsi="Arial"/>
                <w:sz w:val="14"/>
                <w:szCs w:val="14"/>
                <w:color w:val="auto"/>
              </w:rPr>
              <w:t>69</w:t>
            </w:r>
          </w:p>
        </w:tc>
        <w:tc>
          <w:tcPr>
            <w:tcW w:w="700" w:type="dxa"/>
            <w:vAlign w:val="bottom"/>
          </w:tcPr>
          <w:p>
            <w:pPr>
              <w:jc w:val="right"/>
              <w:ind w:right="89"/>
              <w:spacing w:after="0"/>
              <w:rPr>
                <w:sz w:val="20"/>
                <w:szCs w:val="20"/>
                <w:color w:val="auto"/>
              </w:rPr>
            </w:pPr>
            <w:r>
              <w:rPr>
                <w:rFonts w:ascii="Arial" w:cs="Arial" w:eastAsia="Arial" w:hAnsi="Arial"/>
                <w:sz w:val="14"/>
                <w:szCs w:val="14"/>
                <w:color w:val="auto"/>
              </w:rPr>
              <w:t>3,505</w:t>
            </w:r>
          </w:p>
        </w:tc>
        <w:tc>
          <w:tcPr>
            <w:tcW w:w="740" w:type="dxa"/>
            <w:vAlign w:val="bottom"/>
          </w:tcPr>
          <w:p>
            <w:pPr>
              <w:jc w:val="right"/>
              <w:ind w:right="89"/>
              <w:spacing w:after="0"/>
              <w:rPr>
                <w:sz w:val="20"/>
                <w:szCs w:val="20"/>
                <w:color w:val="auto"/>
              </w:rPr>
            </w:pPr>
            <w:r>
              <w:rPr>
                <w:rFonts w:ascii="Arial" w:cs="Arial" w:eastAsia="Arial" w:hAnsi="Arial"/>
                <w:sz w:val="14"/>
                <w:szCs w:val="14"/>
                <w:color w:val="auto"/>
              </w:rPr>
              <w:t>1,763</w:t>
            </w:r>
          </w:p>
        </w:tc>
        <w:tc>
          <w:tcPr>
            <w:tcW w:w="660" w:type="dxa"/>
            <w:vAlign w:val="bottom"/>
          </w:tcPr>
          <w:p>
            <w:pPr>
              <w:jc w:val="right"/>
              <w:ind w:right="28"/>
              <w:spacing w:after="0"/>
              <w:rPr>
                <w:sz w:val="20"/>
                <w:szCs w:val="20"/>
                <w:color w:val="auto"/>
              </w:rPr>
            </w:pPr>
            <w:r>
              <w:rPr>
                <w:rFonts w:ascii="Arial" w:cs="Arial" w:eastAsia="Arial" w:hAnsi="Arial"/>
                <w:sz w:val="14"/>
                <w:szCs w:val="14"/>
                <w:color w:val="auto"/>
              </w:rPr>
              <w:t>49</w:t>
            </w:r>
          </w:p>
        </w:tc>
        <w:tc>
          <w:tcPr>
            <w:tcW w:w="660" w:type="dxa"/>
            <w:vAlign w:val="bottom"/>
          </w:tcPr>
          <w:p>
            <w:pPr>
              <w:jc w:val="right"/>
              <w:ind w:right="30"/>
              <w:spacing w:after="0"/>
              <w:rPr>
                <w:sz w:val="20"/>
                <w:szCs w:val="20"/>
                <w:color w:val="auto"/>
              </w:rPr>
            </w:pPr>
            <w:r>
              <w:rPr>
                <w:rFonts w:ascii="Arial" w:cs="Arial" w:eastAsia="Arial" w:hAnsi="Arial"/>
                <w:sz w:val="14"/>
                <w:szCs w:val="14"/>
                <w:color w:val="auto"/>
              </w:rPr>
              <w:t>5,317</w:t>
            </w:r>
          </w:p>
        </w:tc>
        <w:tc>
          <w:tcPr>
            <w:tcW w:w="0" w:type="dxa"/>
            <w:vAlign w:val="bottom"/>
          </w:tcPr>
          <w:p>
            <w:pPr>
              <w:spacing w:after="0"/>
              <w:rPr>
                <w:sz w:val="1"/>
                <w:szCs w:val="1"/>
                <w:color w:val="auto"/>
              </w:rPr>
            </w:pPr>
          </w:p>
        </w:tc>
      </w:tr>
      <w:tr>
        <w:trPr>
          <w:trHeight w:val="162"/>
        </w:trPr>
        <w:tc>
          <w:tcPr>
            <w:tcW w:w="1900" w:type="dxa"/>
            <w:vAlign w:val="bottom"/>
          </w:tcPr>
          <w:p>
            <w:pPr>
              <w:ind w:left="140"/>
              <w:spacing w:after="0"/>
              <w:rPr>
                <w:sz w:val="20"/>
                <w:szCs w:val="20"/>
                <w:color w:val="auto"/>
              </w:rPr>
            </w:pPr>
            <w:r>
              <w:rPr>
                <w:rFonts w:ascii="Arial" w:cs="Arial" w:eastAsia="Arial" w:hAnsi="Arial"/>
                <w:sz w:val="14"/>
                <w:szCs w:val="14"/>
                <w:color w:val="auto"/>
              </w:rPr>
              <w:t>IFRS 11 reclassification</w:t>
            </w:r>
          </w:p>
        </w:tc>
        <w:tc>
          <w:tcPr>
            <w:tcW w:w="7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220"/>
              <w:spacing w:after="0"/>
              <w:rPr>
                <w:sz w:val="20"/>
                <w:szCs w:val="20"/>
                <w:color w:val="auto"/>
              </w:rPr>
            </w:pPr>
            <w:r>
              <w:rPr>
                <w:rFonts w:ascii="Arial" w:cs="Arial" w:eastAsia="Arial" w:hAnsi="Arial"/>
                <w:sz w:val="14"/>
                <w:szCs w:val="14"/>
                <w:color w:val="auto"/>
              </w:rPr>
              <w:t>84</w:t>
            </w:r>
          </w:p>
        </w:tc>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640" w:type="dxa"/>
            <w:vAlign w:val="bottom"/>
          </w:tcPr>
          <w:p>
            <w:pPr>
              <w:jc w:val="right"/>
              <w:ind w:right="29"/>
              <w:spacing w:after="0"/>
              <w:rPr>
                <w:sz w:val="20"/>
                <w:szCs w:val="20"/>
                <w:color w:val="auto"/>
              </w:rPr>
            </w:pPr>
            <w:r>
              <w:rPr>
                <w:rFonts w:ascii="Arial" w:cs="Arial" w:eastAsia="Arial" w:hAnsi="Arial"/>
                <w:sz w:val="14"/>
                <w:szCs w:val="14"/>
                <w:color w:val="auto"/>
              </w:rPr>
              <w:t>294</w:t>
            </w:r>
          </w:p>
        </w:tc>
        <w:tc>
          <w:tcPr>
            <w:tcW w:w="120" w:type="dxa"/>
            <w:vAlign w:val="bottom"/>
          </w:tcPr>
          <w:p>
            <w:pPr>
              <w:spacing w:after="0"/>
              <w:rPr>
                <w:sz w:val="14"/>
                <w:szCs w:val="14"/>
                <w:color w:val="auto"/>
              </w:rPr>
            </w:pPr>
          </w:p>
        </w:tc>
        <w:tc>
          <w:tcPr>
            <w:tcW w:w="680" w:type="dxa"/>
            <w:vAlign w:val="bottom"/>
          </w:tcPr>
          <w:p>
            <w:pPr>
              <w:jc w:val="right"/>
              <w:ind w:right="69"/>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70"/>
              <w:spacing w:after="0"/>
              <w:rPr>
                <w:sz w:val="20"/>
                <w:szCs w:val="20"/>
                <w:color w:val="auto"/>
              </w:rPr>
            </w:pPr>
            <w:r>
              <w:rPr>
                <w:rFonts w:ascii="Arial" w:cs="Arial" w:eastAsia="Arial" w:hAnsi="Arial"/>
                <w:sz w:val="14"/>
                <w:szCs w:val="14"/>
                <w:color w:val="auto"/>
              </w:rPr>
              <w:t>–</w:t>
            </w:r>
          </w:p>
        </w:tc>
        <w:tc>
          <w:tcPr>
            <w:tcW w:w="66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89"/>
              <w:spacing w:after="0"/>
              <w:rPr>
                <w:sz w:val="20"/>
                <w:szCs w:val="20"/>
                <w:color w:val="auto"/>
              </w:rPr>
            </w:pPr>
            <w:r>
              <w:rPr>
                <w:rFonts w:ascii="Arial" w:cs="Arial" w:eastAsia="Arial" w:hAnsi="Arial"/>
                <w:sz w:val="14"/>
                <w:szCs w:val="14"/>
                <w:color w:val="auto"/>
              </w:rPr>
              <w:t>378</w:t>
            </w:r>
          </w:p>
        </w:tc>
        <w:tc>
          <w:tcPr>
            <w:tcW w:w="740" w:type="dxa"/>
            <w:vAlign w:val="bottom"/>
          </w:tcPr>
          <w:p>
            <w:pPr>
              <w:jc w:val="right"/>
              <w:ind w:right="89"/>
              <w:spacing w:after="0"/>
              <w:rPr>
                <w:sz w:val="20"/>
                <w:szCs w:val="20"/>
                <w:color w:val="auto"/>
              </w:rPr>
            </w:pPr>
            <w:r>
              <w:rPr>
                <w:rFonts w:ascii="Arial" w:cs="Arial" w:eastAsia="Arial" w:hAnsi="Arial"/>
                <w:sz w:val="14"/>
                <w:szCs w:val="14"/>
                <w:color w:val="auto"/>
              </w:rPr>
              <w:t>–</w:t>
            </w:r>
          </w:p>
        </w:tc>
        <w:tc>
          <w:tcPr>
            <w:tcW w:w="6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660" w:type="dxa"/>
            <w:vAlign w:val="bottom"/>
          </w:tcPr>
          <w:p>
            <w:pPr>
              <w:jc w:val="right"/>
              <w:ind w:right="30"/>
              <w:spacing w:after="0"/>
              <w:rPr>
                <w:sz w:val="20"/>
                <w:szCs w:val="20"/>
                <w:color w:val="auto"/>
              </w:rPr>
            </w:pPr>
            <w:r>
              <w:rPr>
                <w:rFonts w:ascii="Arial" w:cs="Arial" w:eastAsia="Arial" w:hAnsi="Arial"/>
                <w:sz w:val="14"/>
                <w:szCs w:val="14"/>
                <w:color w:val="auto"/>
              </w:rPr>
              <w:t>378</w:t>
            </w:r>
          </w:p>
        </w:tc>
        <w:tc>
          <w:tcPr>
            <w:tcW w:w="0" w:type="dxa"/>
            <w:vAlign w:val="bottom"/>
          </w:tcPr>
          <w:p>
            <w:pPr>
              <w:spacing w:after="0"/>
              <w:rPr>
                <w:sz w:val="1"/>
                <w:szCs w:val="1"/>
                <w:color w:val="auto"/>
              </w:rPr>
            </w:pPr>
          </w:p>
        </w:tc>
      </w:tr>
      <w:tr>
        <w:trPr>
          <w:trHeight w:val="162"/>
        </w:trPr>
        <w:tc>
          <w:tcPr>
            <w:tcW w:w="1900" w:type="dxa"/>
            <w:vAlign w:val="bottom"/>
          </w:tcPr>
          <w:p>
            <w:pPr>
              <w:ind w:left="140"/>
              <w:spacing w:after="0"/>
              <w:rPr>
                <w:sz w:val="20"/>
                <w:szCs w:val="20"/>
                <w:color w:val="auto"/>
              </w:rPr>
            </w:pPr>
            <w:r>
              <w:rPr>
                <w:rFonts w:ascii="Arial" w:cs="Arial" w:eastAsia="Arial" w:hAnsi="Arial"/>
                <w:sz w:val="14"/>
                <w:szCs w:val="14"/>
                <w:color w:val="auto"/>
              </w:rPr>
              <w:t>Revisions and</w:t>
            </w:r>
          </w:p>
        </w:tc>
        <w:tc>
          <w:tcPr>
            <w:tcW w:w="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900" w:type="dxa"/>
            <w:vAlign w:val="bottom"/>
          </w:tcPr>
          <w:p>
            <w:pPr>
              <w:ind w:left="140"/>
              <w:spacing w:after="0"/>
              <w:rPr>
                <w:sz w:val="20"/>
                <w:szCs w:val="20"/>
                <w:color w:val="auto"/>
              </w:rPr>
            </w:pPr>
            <w:r>
              <w:rPr>
                <w:rFonts w:ascii="Arial" w:cs="Arial" w:eastAsia="Arial" w:hAnsi="Arial"/>
                <w:sz w:val="14"/>
                <w:szCs w:val="14"/>
                <w:color w:val="auto"/>
              </w:rPr>
              <w:t>reclassifications</w:t>
            </w:r>
          </w:p>
        </w:tc>
        <w:tc>
          <w:tcPr>
            <w:tcW w:w="740" w:type="dxa"/>
            <w:vAlign w:val="bottom"/>
            <w:gridSpan w:val="2"/>
          </w:tcPr>
          <w:p>
            <w:pPr>
              <w:jc w:val="right"/>
              <w:ind w:right="220"/>
              <w:spacing w:after="0"/>
              <w:rPr>
                <w:sz w:val="20"/>
                <w:szCs w:val="20"/>
                <w:color w:val="auto"/>
              </w:rPr>
            </w:pPr>
            <w:r>
              <w:rPr>
                <w:rFonts w:ascii="Arial" w:cs="Arial" w:eastAsia="Arial" w:hAnsi="Arial"/>
                <w:sz w:val="14"/>
                <w:szCs w:val="14"/>
                <w:color w:val="auto"/>
              </w:rPr>
              <w:t>39</w:t>
            </w:r>
          </w:p>
        </w:tc>
        <w:tc>
          <w:tcPr>
            <w:tcW w:w="700" w:type="dxa"/>
            <w:vAlign w:val="bottom"/>
            <w:gridSpan w:val="2"/>
          </w:tcPr>
          <w:p>
            <w:pPr>
              <w:jc w:val="right"/>
              <w:ind w:right="220"/>
              <w:spacing w:after="0"/>
              <w:rPr>
                <w:sz w:val="20"/>
                <w:szCs w:val="20"/>
                <w:color w:val="auto"/>
              </w:rPr>
            </w:pPr>
            <w:r>
              <w:rPr>
                <w:rFonts w:ascii="Arial" w:cs="Arial" w:eastAsia="Arial" w:hAnsi="Arial"/>
                <w:sz w:val="14"/>
                <w:szCs w:val="14"/>
                <w:color w:val="auto"/>
              </w:rPr>
              <w:t>205</w:t>
            </w:r>
          </w:p>
        </w:tc>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6</w:t>
            </w:r>
          </w:p>
        </w:tc>
        <w:tc>
          <w:tcPr>
            <w:tcW w:w="740" w:type="dxa"/>
            <w:vAlign w:val="bottom"/>
            <w:gridSpan w:val="2"/>
          </w:tcPr>
          <w:p>
            <w:pPr>
              <w:jc w:val="right"/>
              <w:ind w:right="220"/>
              <w:spacing w:after="0"/>
              <w:rPr>
                <w:sz w:val="20"/>
                <w:szCs w:val="20"/>
                <w:color w:val="auto"/>
              </w:rPr>
            </w:pPr>
            <w:r>
              <w:rPr>
                <w:rFonts w:ascii="Arial" w:cs="Arial" w:eastAsia="Arial" w:hAnsi="Arial"/>
                <w:sz w:val="14"/>
                <w:szCs w:val="14"/>
                <w:color w:val="auto"/>
              </w:rPr>
              <w:t>38</w:t>
            </w:r>
          </w:p>
        </w:tc>
        <w:tc>
          <w:tcPr>
            <w:tcW w:w="640" w:type="dxa"/>
            <w:vAlign w:val="bottom"/>
          </w:tcPr>
          <w:p>
            <w:pPr>
              <w:jc w:val="right"/>
              <w:ind w:right="29"/>
              <w:spacing w:after="0"/>
              <w:rPr>
                <w:sz w:val="20"/>
                <w:szCs w:val="20"/>
                <w:color w:val="auto"/>
              </w:rPr>
            </w:pPr>
            <w:r>
              <w:rPr>
                <w:rFonts w:ascii="Arial" w:cs="Arial" w:eastAsia="Arial" w:hAnsi="Arial"/>
                <w:sz w:val="14"/>
                <w:szCs w:val="14"/>
                <w:color w:val="auto"/>
              </w:rPr>
              <w:t>14</w:t>
            </w:r>
          </w:p>
        </w:tc>
        <w:tc>
          <w:tcPr>
            <w:tcW w:w="120" w:type="dxa"/>
            <w:vAlign w:val="bottom"/>
          </w:tcPr>
          <w:p>
            <w:pPr>
              <w:spacing w:after="0"/>
              <w:rPr>
                <w:sz w:val="14"/>
                <w:szCs w:val="14"/>
                <w:color w:val="auto"/>
              </w:rPr>
            </w:pPr>
          </w:p>
        </w:tc>
        <w:tc>
          <w:tcPr>
            <w:tcW w:w="680" w:type="dxa"/>
            <w:vAlign w:val="bottom"/>
          </w:tcPr>
          <w:p>
            <w:pPr>
              <w:jc w:val="right"/>
              <w:ind w:right="9"/>
              <w:spacing w:after="0"/>
              <w:rPr>
                <w:sz w:val="20"/>
                <w:szCs w:val="20"/>
                <w:color w:val="auto"/>
              </w:rPr>
            </w:pPr>
            <w:r>
              <w:rPr>
                <w:rFonts w:ascii="Arial" w:cs="Arial" w:eastAsia="Arial" w:hAnsi="Arial"/>
                <w:sz w:val="14"/>
                <w:szCs w:val="14"/>
                <w:color w:val="auto"/>
              </w:rPr>
              <w:t>(2)</w:t>
            </w:r>
          </w:p>
        </w:tc>
        <w:tc>
          <w:tcPr>
            <w:tcW w:w="760" w:type="dxa"/>
            <w:vAlign w:val="bottom"/>
          </w:tcPr>
          <w:p>
            <w:pPr>
              <w:jc w:val="right"/>
              <w:ind w:right="70"/>
              <w:spacing w:after="0"/>
              <w:rPr>
                <w:sz w:val="20"/>
                <w:szCs w:val="20"/>
                <w:color w:val="auto"/>
              </w:rPr>
            </w:pPr>
            <w:r>
              <w:rPr>
                <w:rFonts w:ascii="Arial" w:cs="Arial" w:eastAsia="Arial" w:hAnsi="Arial"/>
                <w:sz w:val="14"/>
                <w:szCs w:val="14"/>
                <w:color w:val="auto"/>
              </w:rPr>
              <w:t>16</w:t>
            </w:r>
          </w:p>
        </w:tc>
        <w:tc>
          <w:tcPr>
            <w:tcW w:w="660" w:type="dxa"/>
            <w:vAlign w:val="bottom"/>
          </w:tcPr>
          <w:p>
            <w:pPr>
              <w:jc w:val="right"/>
              <w:spacing w:after="0"/>
              <w:rPr>
                <w:sz w:val="20"/>
                <w:szCs w:val="20"/>
                <w:color w:val="auto"/>
              </w:rPr>
            </w:pPr>
            <w:r>
              <w:rPr>
                <w:rFonts w:ascii="Arial" w:cs="Arial" w:eastAsia="Arial" w:hAnsi="Arial"/>
                <w:sz w:val="14"/>
                <w:szCs w:val="14"/>
                <w:color w:val="auto"/>
              </w:rPr>
              <w:t>(30)</w:t>
            </w:r>
          </w:p>
        </w:tc>
        <w:tc>
          <w:tcPr>
            <w:tcW w:w="940" w:type="dxa"/>
            <w:vAlign w:val="bottom"/>
            <w:gridSpan w:val="3"/>
          </w:tcPr>
          <w:p>
            <w:pPr>
              <w:jc w:val="right"/>
              <w:ind w:right="240"/>
              <w:spacing w:after="0"/>
              <w:rPr>
                <w:sz w:val="20"/>
                <w:szCs w:val="20"/>
                <w:color w:val="auto"/>
              </w:rPr>
            </w:pPr>
            <w:r>
              <w:rPr>
                <w:rFonts w:ascii="Arial" w:cs="Arial" w:eastAsia="Arial" w:hAnsi="Arial"/>
                <w:sz w:val="14"/>
                <w:szCs w:val="14"/>
                <w:color w:val="auto"/>
              </w:rPr>
              <w:t>8</w:t>
            </w:r>
          </w:p>
        </w:tc>
        <w:tc>
          <w:tcPr>
            <w:tcW w:w="700" w:type="dxa"/>
            <w:vAlign w:val="bottom"/>
          </w:tcPr>
          <w:p>
            <w:pPr>
              <w:jc w:val="right"/>
              <w:ind w:right="89"/>
              <w:spacing w:after="0"/>
              <w:rPr>
                <w:sz w:val="20"/>
                <w:szCs w:val="20"/>
                <w:color w:val="auto"/>
              </w:rPr>
            </w:pPr>
            <w:r>
              <w:rPr>
                <w:rFonts w:ascii="Arial" w:cs="Arial" w:eastAsia="Arial" w:hAnsi="Arial"/>
                <w:sz w:val="14"/>
                <w:szCs w:val="14"/>
                <w:color w:val="auto"/>
              </w:rPr>
              <w:t>308</w:t>
            </w:r>
          </w:p>
        </w:tc>
        <w:tc>
          <w:tcPr>
            <w:tcW w:w="740" w:type="dxa"/>
            <w:vAlign w:val="bottom"/>
          </w:tcPr>
          <w:p>
            <w:pPr>
              <w:jc w:val="right"/>
              <w:ind w:right="89"/>
              <w:spacing w:after="0"/>
              <w:rPr>
                <w:sz w:val="20"/>
                <w:szCs w:val="20"/>
                <w:color w:val="auto"/>
              </w:rPr>
            </w:pPr>
            <w:r>
              <w:rPr>
                <w:rFonts w:ascii="Arial" w:cs="Arial" w:eastAsia="Arial" w:hAnsi="Arial"/>
                <w:sz w:val="14"/>
                <w:szCs w:val="14"/>
                <w:color w:val="auto"/>
              </w:rPr>
              <w:t>16</w:t>
            </w:r>
          </w:p>
        </w:tc>
        <w:tc>
          <w:tcPr>
            <w:tcW w:w="660" w:type="dxa"/>
            <w:vAlign w:val="bottom"/>
          </w:tcPr>
          <w:p>
            <w:pPr>
              <w:jc w:val="right"/>
              <w:spacing w:after="0"/>
              <w:rPr>
                <w:sz w:val="20"/>
                <w:szCs w:val="20"/>
                <w:color w:val="auto"/>
              </w:rPr>
            </w:pPr>
            <w:r>
              <w:rPr>
                <w:rFonts w:ascii="Arial" w:cs="Arial" w:eastAsia="Arial" w:hAnsi="Arial"/>
                <w:sz w:val="14"/>
                <w:szCs w:val="14"/>
                <w:color w:val="auto"/>
              </w:rPr>
              <w:t>(30)</w:t>
            </w:r>
          </w:p>
        </w:tc>
        <w:tc>
          <w:tcPr>
            <w:tcW w:w="660" w:type="dxa"/>
            <w:vAlign w:val="bottom"/>
          </w:tcPr>
          <w:p>
            <w:pPr>
              <w:jc w:val="right"/>
              <w:ind w:right="30"/>
              <w:spacing w:after="0"/>
              <w:rPr>
                <w:sz w:val="20"/>
                <w:szCs w:val="20"/>
                <w:color w:val="auto"/>
              </w:rPr>
            </w:pPr>
            <w:r>
              <w:rPr>
                <w:rFonts w:ascii="Arial" w:cs="Arial" w:eastAsia="Arial" w:hAnsi="Arial"/>
                <w:sz w:val="14"/>
                <w:szCs w:val="14"/>
                <w:color w:val="auto"/>
              </w:rPr>
              <w:t>294</w:t>
            </w:r>
          </w:p>
        </w:tc>
        <w:tc>
          <w:tcPr>
            <w:tcW w:w="0" w:type="dxa"/>
            <w:vAlign w:val="bottom"/>
          </w:tcPr>
          <w:p>
            <w:pPr>
              <w:spacing w:after="0"/>
              <w:rPr>
                <w:sz w:val="1"/>
                <w:szCs w:val="1"/>
                <w:color w:val="auto"/>
              </w:rPr>
            </w:pPr>
          </w:p>
        </w:tc>
      </w:tr>
      <w:tr>
        <w:trPr>
          <w:trHeight w:val="162"/>
        </w:trPr>
        <w:tc>
          <w:tcPr>
            <w:tcW w:w="1900" w:type="dxa"/>
            <w:vAlign w:val="bottom"/>
          </w:tcPr>
          <w:p>
            <w:pPr>
              <w:ind w:left="140"/>
              <w:spacing w:after="0"/>
              <w:rPr>
                <w:sz w:val="20"/>
                <w:szCs w:val="20"/>
                <w:color w:val="auto"/>
              </w:rPr>
            </w:pPr>
            <w:r>
              <w:rPr>
                <w:rFonts w:ascii="Arial" w:cs="Arial" w:eastAsia="Arial" w:hAnsi="Arial"/>
                <w:sz w:val="14"/>
                <w:szCs w:val="14"/>
                <w:color w:val="auto"/>
              </w:rPr>
              <w:t>Improved recovery</w:t>
            </w:r>
          </w:p>
        </w:tc>
        <w:tc>
          <w:tcPr>
            <w:tcW w:w="7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220"/>
              <w:spacing w:after="0"/>
              <w:rPr>
                <w:sz w:val="20"/>
                <w:szCs w:val="20"/>
                <w:color w:val="auto"/>
              </w:rPr>
            </w:pPr>
            <w:r>
              <w:rPr>
                <w:rFonts w:ascii="Arial" w:cs="Arial" w:eastAsia="Arial" w:hAnsi="Arial"/>
                <w:sz w:val="14"/>
                <w:szCs w:val="14"/>
                <w:color w:val="auto"/>
              </w:rPr>
              <w:t>1</w:t>
            </w:r>
          </w:p>
        </w:tc>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640" w:type="dxa"/>
            <w:vAlign w:val="bottom"/>
          </w:tcPr>
          <w:p>
            <w:pPr>
              <w:jc w:val="right"/>
              <w:ind w:right="29"/>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14"/>
                <w:szCs w:val="14"/>
                <w:color w:val="auto"/>
              </w:rPr>
            </w:pPr>
          </w:p>
        </w:tc>
        <w:tc>
          <w:tcPr>
            <w:tcW w:w="680" w:type="dxa"/>
            <w:vAlign w:val="bottom"/>
          </w:tcPr>
          <w:p>
            <w:pPr>
              <w:jc w:val="right"/>
              <w:ind w:right="69"/>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70"/>
              <w:spacing w:after="0"/>
              <w:rPr>
                <w:sz w:val="20"/>
                <w:szCs w:val="20"/>
                <w:color w:val="auto"/>
              </w:rPr>
            </w:pPr>
            <w:r>
              <w:rPr>
                <w:rFonts w:ascii="Arial" w:cs="Arial" w:eastAsia="Arial" w:hAnsi="Arial"/>
                <w:sz w:val="14"/>
                <w:szCs w:val="14"/>
                <w:color w:val="auto"/>
              </w:rPr>
              <w:t>–</w:t>
            </w:r>
          </w:p>
        </w:tc>
        <w:tc>
          <w:tcPr>
            <w:tcW w:w="660" w:type="dxa"/>
            <w:vAlign w:val="bottom"/>
          </w:tcPr>
          <w:p>
            <w:pPr>
              <w:jc w:val="right"/>
              <w:ind w:right="29"/>
              <w:spacing w:after="0"/>
              <w:rPr>
                <w:sz w:val="20"/>
                <w:szCs w:val="20"/>
                <w:color w:val="auto"/>
              </w:rPr>
            </w:pPr>
            <w:r>
              <w:rPr>
                <w:rFonts w:ascii="Arial" w:cs="Arial" w:eastAsia="Arial" w:hAnsi="Arial"/>
                <w:sz w:val="14"/>
                <w:szCs w:val="14"/>
                <w:color w:val="auto"/>
              </w:rPr>
              <w:t>410</w:t>
            </w:r>
          </w:p>
        </w:tc>
        <w:tc>
          <w:tcPr>
            <w:tcW w:w="140" w:type="dxa"/>
            <w:vAlign w:val="bottom"/>
          </w:tcPr>
          <w:p>
            <w:pPr>
              <w:spacing w:after="0"/>
              <w:rPr>
                <w:sz w:val="14"/>
                <w:szCs w:val="14"/>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89"/>
              <w:spacing w:after="0"/>
              <w:rPr>
                <w:sz w:val="20"/>
                <w:szCs w:val="20"/>
                <w:color w:val="auto"/>
              </w:rPr>
            </w:pPr>
            <w:r>
              <w:rPr>
                <w:rFonts w:ascii="Arial" w:cs="Arial" w:eastAsia="Arial" w:hAnsi="Arial"/>
                <w:sz w:val="14"/>
                <w:szCs w:val="14"/>
                <w:color w:val="auto"/>
              </w:rPr>
              <w:t>2</w:t>
            </w:r>
          </w:p>
        </w:tc>
        <w:tc>
          <w:tcPr>
            <w:tcW w:w="740" w:type="dxa"/>
            <w:vAlign w:val="bottom"/>
          </w:tcPr>
          <w:p>
            <w:pPr>
              <w:jc w:val="right"/>
              <w:ind w:right="89"/>
              <w:spacing w:after="0"/>
              <w:rPr>
                <w:sz w:val="20"/>
                <w:szCs w:val="20"/>
                <w:color w:val="auto"/>
              </w:rPr>
            </w:pPr>
            <w:r>
              <w:rPr>
                <w:rFonts w:ascii="Arial" w:cs="Arial" w:eastAsia="Arial" w:hAnsi="Arial"/>
                <w:sz w:val="14"/>
                <w:szCs w:val="14"/>
                <w:color w:val="auto"/>
              </w:rPr>
              <w:t>–</w:t>
            </w:r>
          </w:p>
        </w:tc>
        <w:tc>
          <w:tcPr>
            <w:tcW w:w="660" w:type="dxa"/>
            <w:vAlign w:val="bottom"/>
          </w:tcPr>
          <w:p>
            <w:pPr>
              <w:jc w:val="right"/>
              <w:ind w:right="28"/>
              <w:spacing w:after="0"/>
              <w:rPr>
                <w:sz w:val="20"/>
                <w:szCs w:val="20"/>
                <w:color w:val="auto"/>
              </w:rPr>
            </w:pPr>
            <w:r>
              <w:rPr>
                <w:rFonts w:ascii="Arial" w:cs="Arial" w:eastAsia="Arial" w:hAnsi="Arial"/>
                <w:sz w:val="14"/>
                <w:szCs w:val="14"/>
                <w:color w:val="auto"/>
              </w:rPr>
              <w:t>410</w:t>
            </w:r>
          </w:p>
        </w:tc>
        <w:tc>
          <w:tcPr>
            <w:tcW w:w="660" w:type="dxa"/>
            <w:vAlign w:val="bottom"/>
          </w:tcPr>
          <w:p>
            <w:pPr>
              <w:jc w:val="right"/>
              <w:ind w:right="30"/>
              <w:spacing w:after="0"/>
              <w:rPr>
                <w:sz w:val="20"/>
                <w:szCs w:val="20"/>
                <w:color w:val="auto"/>
              </w:rPr>
            </w:pPr>
            <w:r>
              <w:rPr>
                <w:rFonts w:ascii="Arial" w:cs="Arial" w:eastAsia="Arial" w:hAnsi="Arial"/>
                <w:sz w:val="14"/>
                <w:szCs w:val="14"/>
                <w:color w:val="auto"/>
              </w:rPr>
              <w:t>412</w:t>
            </w:r>
          </w:p>
        </w:tc>
        <w:tc>
          <w:tcPr>
            <w:tcW w:w="0" w:type="dxa"/>
            <w:vAlign w:val="bottom"/>
          </w:tcPr>
          <w:p>
            <w:pPr>
              <w:spacing w:after="0"/>
              <w:rPr>
                <w:sz w:val="1"/>
                <w:szCs w:val="1"/>
                <w:color w:val="auto"/>
              </w:rPr>
            </w:pPr>
          </w:p>
        </w:tc>
      </w:tr>
      <w:tr>
        <w:trPr>
          <w:trHeight w:val="162"/>
        </w:trPr>
        <w:tc>
          <w:tcPr>
            <w:tcW w:w="1900" w:type="dxa"/>
            <w:vAlign w:val="bottom"/>
          </w:tcPr>
          <w:p>
            <w:pPr>
              <w:ind w:left="140"/>
              <w:spacing w:after="0"/>
              <w:rPr>
                <w:sz w:val="20"/>
                <w:szCs w:val="20"/>
                <w:color w:val="auto"/>
              </w:rPr>
            </w:pPr>
            <w:r>
              <w:rPr>
                <w:rFonts w:ascii="Arial" w:cs="Arial" w:eastAsia="Arial" w:hAnsi="Arial"/>
                <w:sz w:val="14"/>
                <w:szCs w:val="14"/>
                <w:color w:val="auto"/>
              </w:rPr>
              <w:t>Extensions and discoveries</w:t>
            </w:r>
          </w:p>
        </w:tc>
        <w:tc>
          <w:tcPr>
            <w:tcW w:w="7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220"/>
              <w:spacing w:after="0"/>
              <w:rPr>
                <w:sz w:val="20"/>
                <w:szCs w:val="20"/>
                <w:color w:val="auto"/>
              </w:rPr>
            </w:pPr>
            <w:r>
              <w:rPr>
                <w:rFonts w:ascii="Arial" w:cs="Arial" w:eastAsia="Arial" w:hAnsi="Arial"/>
                <w:sz w:val="14"/>
                <w:szCs w:val="14"/>
                <w:color w:val="auto"/>
              </w:rPr>
              <w:t>11</w:t>
            </w:r>
          </w:p>
        </w:tc>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220"/>
              <w:spacing w:after="0"/>
              <w:rPr>
                <w:sz w:val="20"/>
                <w:szCs w:val="20"/>
                <w:color w:val="auto"/>
              </w:rPr>
            </w:pPr>
            <w:r>
              <w:rPr>
                <w:rFonts w:ascii="Arial" w:cs="Arial" w:eastAsia="Arial" w:hAnsi="Arial"/>
                <w:sz w:val="14"/>
                <w:szCs w:val="14"/>
                <w:color w:val="auto"/>
              </w:rPr>
              <w:t>4</w:t>
            </w:r>
          </w:p>
        </w:tc>
        <w:tc>
          <w:tcPr>
            <w:tcW w:w="640" w:type="dxa"/>
            <w:vAlign w:val="bottom"/>
          </w:tcPr>
          <w:p>
            <w:pPr>
              <w:jc w:val="right"/>
              <w:ind w:right="29"/>
              <w:spacing w:after="0"/>
              <w:rPr>
                <w:sz w:val="20"/>
                <w:szCs w:val="20"/>
                <w:color w:val="auto"/>
              </w:rPr>
            </w:pPr>
            <w:r>
              <w:rPr>
                <w:rFonts w:ascii="Arial" w:cs="Arial" w:eastAsia="Arial" w:hAnsi="Arial"/>
                <w:sz w:val="14"/>
                <w:szCs w:val="14"/>
                <w:color w:val="auto"/>
              </w:rPr>
              <w:t>158</w:t>
            </w:r>
          </w:p>
        </w:tc>
        <w:tc>
          <w:tcPr>
            <w:tcW w:w="120" w:type="dxa"/>
            <w:vAlign w:val="bottom"/>
          </w:tcPr>
          <w:p>
            <w:pPr>
              <w:spacing w:after="0"/>
              <w:rPr>
                <w:sz w:val="14"/>
                <w:szCs w:val="14"/>
                <w:color w:val="auto"/>
              </w:rPr>
            </w:pPr>
          </w:p>
        </w:tc>
        <w:tc>
          <w:tcPr>
            <w:tcW w:w="680" w:type="dxa"/>
            <w:vAlign w:val="bottom"/>
          </w:tcPr>
          <w:p>
            <w:pPr>
              <w:jc w:val="right"/>
              <w:ind w:right="69"/>
              <w:spacing w:after="0"/>
              <w:rPr>
                <w:sz w:val="20"/>
                <w:szCs w:val="20"/>
                <w:color w:val="auto"/>
              </w:rPr>
            </w:pPr>
            <w:r>
              <w:rPr>
                <w:rFonts w:ascii="Arial" w:cs="Arial" w:eastAsia="Arial" w:hAnsi="Arial"/>
                <w:sz w:val="14"/>
                <w:szCs w:val="14"/>
                <w:color w:val="auto"/>
              </w:rPr>
              <w:t>6</w:t>
            </w:r>
          </w:p>
        </w:tc>
        <w:tc>
          <w:tcPr>
            <w:tcW w:w="760" w:type="dxa"/>
            <w:vAlign w:val="bottom"/>
          </w:tcPr>
          <w:p>
            <w:pPr>
              <w:jc w:val="right"/>
              <w:ind w:right="70"/>
              <w:spacing w:after="0"/>
              <w:rPr>
                <w:sz w:val="20"/>
                <w:szCs w:val="20"/>
                <w:color w:val="auto"/>
              </w:rPr>
            </w:pPr>
            <w:r>
              <w:rPr>
                <w:rFonts w:ascii="Arial" w:cs="Arial" w:eastAsia="Arial" w:hAnsi="Arial"/>
                <w:sz w:val="14"/>
                <w:szCs w:val="14"/>
                <w:color w:val="auto"/>
              </w:rPr>
              <w:t>–</w:t>
            </w:r>
          </w:p>
        </w:tc>
        <w:tc>
          <w:tcPr>
            <w:tcW w:w="66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940" w:type="dxa"/>
            <w:vAlign w:val="bottom"/>
            <w:gridSpan w:val="3"/>
          </w:tcPr>
          <w:p>
            <w:pPr>
              <w:jc w:val="right"/>
              <w:ind w:right="240"/>
              <w:spacing w:after="0"/>
              <w:rPr>
                <w:sz w:val="20"/>
                <w:szCs w:val="20"/>
                <w:color w:val="auto"/>
              </w:rPr>
            </w:pPr>
            <w:r>
              <w:rPr>
                <w:rFonts w:ascii="Arial" w:cs="Arial" w:eastAsia="Arial" w:hAnsi="Arial"/>
                <w:sz w:val="14"/>
                <w:szCs w:val="14"/>
                <w:color w:val="auto"/>
              </w:rPr>
              <w:t>3</w:t>
            </w:r>
          </w:p>
        </w:tc>
        <w:tc>
          <w:tcPr>
            <w:tcW w:w="700" w:type="dxa"/>
            <w:vAlign w:val="bottom"/>
          </w:tcPr>
          <w:p>
            <w:pPr>
              <w:jc w:val="right"/>
              <w:ind w:right="89"/>
              <w:spacing w:after="0"/>
              <w:rPr>
                <w:sz w:val="20"/>
                <w:szCs w:val="20"/>
                <w:color w:val="auto"/>
              </w:rPr>
            </w:pPr>
            <w:r>
              <w:rPr>
                <w:rFonts w:ascii="Arial" w:cs="Arial" w:eastAsia="Arial" w:hAnsi="Arial"/>
                <w:sz w:val="14"/>
                <w:szCs w:val="14"/>
                <w:color w:val="auto"/>
              </w:rPr>
              <w:t>182</w:t>
            </w:r>
          </w:p>
        </w:tc>
        <w:tc>
          <w:tcPr>
            <w:tcW w:w="740" w:type="dxa"/>
            <w:vAlign w:val="bottom"/>
          </w:tcPr>
          <w:p>
            <w:pPr>
              <w:jc w:val="right"/>
              <w:ind w:right="89"/>
              <w:spacing w:after="0"/>
              <w:rPr>
                <w:sz w:val="20"/>
                <w:szCs w:val="20"/>
                <w:color w:val="auto"/>
              </w:rPr>
            </w:pPr>
            <w:r>
              <w:rPr>
                <w:rFonts w:ascii="Arial" w:cs="Arial" w:eastAsia="Arial" w:hAnsi="Arial"/>
                <w:sz w:val="14"/>
                <w:szCs w:val="14"/>
                <w:color w:val="auto"/>
              </w:rPr>
              <w:t>–</w:t>
            </w:r>
          </w:p>
        </w:tc>
        <w:tc>
          <w:tcPr>
            <w:tcW w:w="6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660" w:type="dxa"/>
            <w:vAlign w:val="bottom"/>
          </w:tcPr>
          <w:p>
            <w:pPr>
              <w:jc w:val="right"/>
              <w:ind w:right="30"/>
              <w:spacing w:after="0"/>
              <w:rPr>
                <w:sz w:val="20"/>
                <w:szCs w:val="20"/>
                <w:color w:val="auto"/>
              </w:rPr>
            </w:pPr>
            <w:r>
              <w:rPr>
                <w:rFonts w:ascii="Arial" w:cs="Arial" w:eastAsia="Arial" w:hAnsi="Arial"/>
                <w:sz w:val="14"/>
                <w:szCs w:val="14"/>
                <w:color w:val="auto"/>
              </w:rPr>
              <w:t>182</w:t>
            </w:r>
          </w:p>
        </w:tc>
        <w:tc>
          <w:tcPr>
            <w:tcW w:w="0" w:type="dxa"/>
            <w:vAlign w:val="bottom"/>
          </w:tcPr>
          <w:p>
            <w:pPr>
              <w:spacing w:after="0"/>
              <w:rPr>
                <w:sz w:val="1"/>
                <w:szCs w:val="1"/>
                <w:color w:val="auto"/>
              </w:rPr>
            </w:pPr>
          </w:p>
        </w:tc>
      </w:tr>
      <w:tr>
        <w:trPr>
          <w:trHeight w:val="162"/>
        </w:trPr>
        <w:tc>
          <w:tcPr>
            <w:tcW w:w="1900" w:type="dxa"/>
            <w:vAlign w:val="bottom"/>
          </w:tcPr>
          <w:p>
            <w:pPr>
              <w:ind w:left="140"/>
              <w:spacing w:after="0"/>
              <w:rPr>
                <w:sz w:val="20"/>
                <w:szCs w:val="20"/>
                <w:color w:val="auto"/>
              </w:rPr>
            </w:pPr>
            <w:r>
              <w:rPr>
                <w:rFonts w:ascii="Arial" w:cs="Arial" w:eastAsia="Arial" w:hAnsi="Arial"/>
                <w:sz w:val="14"/>
                <w:szCs w:val="14"/>
                <w:color w:val="auto"/>
              </w:rPr>
              <w:t>Purchases of minerals in</w:t>
            </w:r>
          </w:p>
        </w:tc>
        <w:tc>
          <w:tcPr>
            <w:tcW w:w="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900" w:type="dxa"/>
            <w:vAlign w:val="bottom"/>
          </w:tcPr>
          <w:p>
            <w:pPr>
              <w:ind w:left="140"/>
              <w:spacing w:after="0"/>
              <w:rPr>
                <w:sz w:val="20"/>
                <w:szCs w:val="20"/>
                <w:color w:val="auto"/>
              </w:rPr>
            </w:pPr>
            <w:r>
              <w:rPr>
                <w:rFonts w:ascii="Arial" w:cs="Arial" w:eastAsia="Arial" w:hAnsi="Arial"/>
                <w:sz w:val="14"/>
                <w:szCs w:val="14"/>
                <w:color w:val="auto"/>
              </w:rPr>
              <w:t>place</w:t>
            </w:r>
          </w:p>
        </w:tc>
        <w:tc>
          <w:tcPr>
            <w:tcW w:w="740" w:type="dxa"/>
            <w:vAlign w:val="bottom"/>
            <w:gridSpan w:val="2"/>
          </w:tcPr>
          <w:p>
            <w:pPr>
              <w:jc w:val="right"/>
              <w:ind w:right="220"/>
              <w:spacing w:after="0"/>
              <w:rPr>
                <w:sz w:val="20"/>
                <w:szCs w:val="20"/>
                <w:color w:val="auto"/>
              </w:rPr>
            </w:pPr>
            <w:r>
              <w:rPr>
                <w:rFonts w:ascii="Arial" w:cs="Arial" w:eastAsia="Arial" w:hAnsi="Arial"/>
                <w:sz w:val="14"/>
                <w:szCs w:val="14"/>
                <w:color w:val="auto"/>
              </w:rPr>
              <w:t>24</w:t>
            </w:r>
          </w:p>
        </w:tc>
        <w:tc>
          <w:tcPr>
            <w:tcW w:w="7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640" w:type="dxa"/>
            <w:vAlign w:val="bottom"/>
          </w:tcPr>
          <w:p>
            <w:pPr>
              <w:jc w:val="right"/>
              <w:ind w:right="29"/>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14"/>
                <w:szCs w:val="14"/>
                <w:color w:val="auto"/>
              </w:rPr>
            </w:pPr>
          </w:p>
        </w:tc>
        <w:tc>
          <w:tcPr>
            <w:tcW w:w="680" w:type="dxa"/>
            <w:vAlign w:val="bottom"/>
          </w:tcPr>
          <w:p>
            <w:pPr>
              <w:jc w:val="right"/>
              <w:ind w:right="69"/>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70"/>
              <w:spacing w:after="0"/>
              <w:rPr>
                <w:sz w:val="20"/>
                <w:szCs w:val="20"/>
                <w:color w:val="auto"/>
              </w:rPr>
            </w:pPr>
            <w:r>
              <w:rPr>
                <w:rFonts w:ascii="Arial" w:cs="Arial" w:eastAsia="Arial" w:hAnsi="Arial"/>
                <w:sz w:val="14"/>
                <w:szCs w:val="14"/>
                <w:color w:val="auto"/>
              </w:rPr>
              <w:t>–</w:t>
            </w:r>
          </w:p>
        </w:tc>
        <w:tc>
          <w:tcPr>
            <w:tcW w:w="66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940" w:type="dxa"/>
            <w:vAlign w:val="bottom"/>
            <w:gridSpan w:val="3"/>
          </w:tcPr>
          <w:p>
            <w:pPr>
              <w:jc w:val="right"/>
              <w:ind w:right="240"/>
              <w:spacing w:after="0"/>
              <w:rPr>
                <w:sz w:val="20"/>
                <w:szCs w:val="20"/>
                <w:color w:val="auto"/>
              </w:rPr>
            </w:pPr>
            <w:r>
              <w:rPr>
                <w:rFonts w:ascii="Arial" w:cs="Arial" w:eastAsia="Arial" w:hAnsi="Arial"/>
                <w:sz w:val="14"/>
                <w:szCs w:val="14"/>
                <w:color w:val="auto"/>
              </w:rPr>
              <w:t>23</w:t>
            </w:r>
          </w:p>
        </w:tc>
        <w:tc>
          <w:tcPr>
            <w:tcW w:w="700" w:type="dxa"/>
            <w:vAlign w:val="bottom"/>
          </w:tcPr>
          <w:p>
            <w:pPr>
              <w:jc w:val="right"/>
              <w:ind w:right="89"/>
              <w:spacing w:after="0"/>
              <w:rPr>
                <w:sz w:val="20"/>
                <w:szCs w:val="20"/>
                <w:color w:val="auto"/>
              </w:rPr>
            </w:pPr>
            <w:r>
              <w:rPr>
                <w:rFonts w:ascii="Arial" w:cs="Arial" w:eastAsia="Arial" w:hAnsi="Arial"/>
                <w:sz w:val="14"/>
                <w:szCs w:val="14"/>
                <w:color w:val="auto"/>
              </w:rPr>
              <w:t>48</w:t>
            </w:r>
          </w:p>
        </w:tc>
        <w:tc>
          <w:tcPr>
            <w:tcW w:w="740" w:type="dxa"/>
            <w:vAlign w:val="bottom"/>
          </w:tcPr>
          <w:p>
            <w:pPr>
              <w:jc w:val="right"/>
              <w:ind w:right="89"/>
              <w:spacing w:after="0"/>
              <w:rPr>
                <w:sz w:val="20"/>
                <w:szCs w:val="20"/>
                <w:color w:val="auto"/>
              </w:rPr>
            </w:pPr>
            <w:r>
              <w:rPr>
                <w:rFonts w:ascii="Arial" w:cs="Arial" w:eastAsia="Arial" w:hAnsi="Arial"/>
                <w:sz w:val="14"/>
                <w:szCs w:val="14"/>
                <w:color w:val="auto"/>
              </w:rPr>
              <w:t>–</w:t>
            </w:r>
          </w:p>
        </w:tc>
        <w:tc>
          <w:tcPr>
            <w:tcW w:w="6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660" w:type="dxa"/>
            <w:vAlign w:val="bottom"/>
          </w:tcPr>
          <w:p>
            <w:pPr>
              <w:jc w:val="right"/>
              <w:ind w:right="30"/>
              <w:spacing w:after="0"/>
              <w:rPr>
                <w:sz w:val="20"/>
                <w:szCs w:val="20"/>
                <w:color w:val="auto"/>
              </w:rPr>
            </w:pPr>
            <w:r>
              <w:rPr>
                <w:rFonts w:ascii="Arial" w:cs="Arial" w:eastAsia="Arial" w:hAnsi="Arial"/>
                <w:sz w:val="14"/>
                <w:szCs w:val="14"/>
                <w:color w:val="auto"/>
              </w:rPr>
              <w:t>48</w:t>
            </w:r>
          </w:p>
        </w:tc>
        <w:tc>
          <w:tcPr>
            <w:tcW w:w="0" w:type="dxa"/>
            <w:vAlign w:val="bottom"/>
          </w:tcPr>
          <w:p>
            <w:pPr>
              <w:spacing w:after="0"/>
              <w:rPr>
                <w:sz w:val="1"/>
                <w:szCs w:val="1"/>
                <w:color w:val="auto"/>
              </w:rPr>
            </w:pPr>
          </w:p>
        </w:tc>
      </w:tr>
      <w:tr>
        <w:trPr>
          <w:trHeight w:val="162"/>
        </w:trPr>
        <w:tc>
          <w:tcPr>
            <w:tcW w:w="1900" w:type="dxa"/>
            <w:vAlign w:val="bottom"/>
          </w:tcPr>
          <w:p>
            <w:pPr>
              <w:ind w:left="140"/>
              <w:spacing w:after="0"/>
              <w:rPr>
                <w:sz w:val="20"/>
                <w:szCs w:val="20"/>
                <w:color w:val="auto"/>
              </w:rPr>
            </w:pPr>
            <w:r>
              <w:rPr>
                <w:rFonts w:ascii="Arial" w:cs="Arial" w:eastAsia="Arial" w:hAnsi="Arial"/>
                <w:sz w:val="14"/>
                <w:szCs w:val="14"/>
                <w:color w:val="auto"/>
              </w:rPr>
              <w:t>Sales of minerals in place</w:t>
            </w:r>
          </w:p>
        </w:tc>
        <w:tc>
          <w:tcPr>
            <w:tcW w:w="7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180"/>
              <w:spacing w:after="0"/>
              <w:rPr>
                <w:sz w:val="20"/>
                <w:szCs w:val="20"/>
                <w:color w:val="auto"/>
              </w:rPr>
            </w:pPr>
            <w:r>
              <w:rPr>
                <w:rFonts w:ascii="Arial" w:cs="Arial" w:eastAsia="Arial" w:hAnsi="Arial"/>
                <w:sz w:val="14"/>
                <w:szCs w:val="14"/>
                <w:color w:val="auto"/>
              </w:rPr>
              <w:t>(4)</w:t>
            </w:r>
          </w:p>
        </w:tc>
        <w:tc>
          <w:tcPr>
            <w:tcW w:w="7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69"/>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70"/>
              <w:spacing w:after="0"/>
              <w:rPr>
                <w:sz w:val="20"/>
                <w:szCs w:val="20"/>
                <w:color w:val="auto"/>
              </w:rPr>
            </w:pPr>
            <w:r>
              <w:rPr>
                <w:rFonts w:ascii="Arial" w:cs="Arial" w:eastAsia="Arial" w:hAnsi="Arial"/>
                <w:sz w:val="14"/>
                <w:szCs w:val="14"/>
                <w:color w:val="auto"/>
              </w:rPr>
              <w:t>–</w:t>
            </w:r>
          </w:p>
        </w:tc>
        <w:tc>
          <w:tcPr>
            <w:tcW w:w="66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49"/>
              <w:spacing w:after="0"/>
              <w:rPr>
                <w:sz w:val="20"/>
                <w:szCs w:val="20"/>
                <w:color w:val="auto"/>
              </w:rPr>
            </w:pPr>
            <w:r>
              <w:rPr>
                <w:rFonts w:ascii="Arial" w:cs="Arial" w:eastAsia="Arial" w:hAnsi="Arial"/>
                <w:sz w:val="14"/>
                <w:szCs w:val="14"/>
                <w:color w:val="auto"/>
              </w:rPr>
              <w:t>(4)</w:t>
            </w:r>
          </w:p>
        </w:tc>
        <w:tc>
          <w:tcPr>
            <w:tcW w:w="740" w:type="dxa"/>
            <w:vAlign w:val="bottom"/>
          </w:tcPr>
          <w:p>
            <w:pPr>
              <w:jc w:val="right"/>
              <w:ind w:right="89"/>
              <w:spacing w:after="0"/>
              <w:rPr>
                <w:sz w:val="20"/>
                <w:szCs w:val="20"/>
                <w:color w:val="auto"/>
              </w:rPr>
            </w:pPr>
            <w:r>
              <w:rPr>
                <w:rFonts w:ascii="Arial" w:cs="Arial" w:eastAsia="Arial" w:hAnsi="Arial"/>
                <w:sz w:val="14"/>
                <w:szCs w:val="14"/>
                <w:color w:val="auto"/>
              </w:rPr>
              <w:t>–</w:t>
            </w:r>
          </w:p>
        </w:tc>
        <w:tc>
          <w:tcPr>
            <w:tcW w:w="6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157"/>
        </w:trPr>
        <w:tc>
          <w:tcPr>
            <w:tcW w:w="1900" w:type="dxa"/>
            <w:vAlign w:val="bottom"/>
            <w:tcBorders>
              <w:bottom w:val="single" w:sz="8" w:color="auto"/>
            </w:tcBorders>
          </w:tcPr>
          <w:p>
            <w:pPr>
              <w:ind w:left="140"/>
              <w:spacing w:after="0" w:line="157" w:lineRule="exact"/>
              <w:rPr>
                <w:sz w:val="20"/>
                <w:szCs w:val="20"/>
                <w:color w:val="auto"/>
              </w:rPr>
            </w:pPr>
            <w:r>
              <w:rPr>
                <w:rFonts w:ascii="Arial" w:cs="Arial" w:eastAsia="Arial" w:hAnsi="Arial"/>
                <w:sz w:val="14"/>
                <w:szCs w:val="14"/>
                <w:color w:val="auto"/>
              </w:rPr>
              <w:t>Production [A]</w:t>
            </w:r>
          </w:p>
        </w:tc>
        <w:tc>
          <w:tcPr>
            <w:tcW w:w="740" w:type="dxa"/>
            <w:vAlign w:val="bottom"/>
            <w:tcBorders>
              <w:bottom w:val="single" w:sz="8" w:color="auto"/>
            </w:tcBorders>
            <w:gridSpan w:val="2"/>
          </w:tcPr>
          <w:p>
            <w:pPr>
              <w:jc w:val="right"/>
              <w:ind w:right="160"/>
              <w:spacing w:after="0" w:line="157" w:lineRule="exact"/>
              <w:rPr>
                <w:sz w:val="20"/>
                <w:szCs w:val="20"/>
                <w:color w:val="auto"/>
              </w:rPr>
            </w:pPr>
            <w:r>
              <w:rPr>
                <w:rFonts w:ascii="Arial" w:cs="Arial" w:eastAsia="Arial" w:hAnsi="Arial"/>
                <w:sz w:val="14"/>
                <w:szCs w:val="14"/>
                <w:color w:val="auto"/>
              </w:rPr>
              <w:t>(63)</w:t>
            </w:r>
          </w:p>
        </w:tc>
        <w:tc>
          <w:tcPr>
            <w:tcW w:w="700" w:type="dxa"/>
            <w:vAlign w:val="bottom"/>
            <w:tcBorders>
              <w:bottom w:val="single" w:sz="8" w:color="auto"/>
            </w:tcBorders>
            <w:gridSpan w:val="2"/>
          </w:tcPr>
          <w:p>
            <w:pPr>
              <w:jc w:val="right"/>
              <w:ind w:right="160"/>
              <w:spacing w:after="0" w:line="157" w:lineRule="exact"/>
              <w:rPr>
                <w:sz w:val="20"/>
                <w:szCs w:val="20"/>
                <w:color w:val="auto"/>
              </w:rPr>
            </w:pPr>
            <w:r>
              <w:rPr>
                <w:rFonts w:ascii="Arial" w:cs="Arial" w:eastAsia="Arial" w:hAnsi="Arial"/>
                <w:sz w:val="14"/>
                <w:szCs w:val="14"/>
                <w:color w:val="auto"/>
              </w:rPr>
              <w:t>(149)</w:t>
            </w:r>
          </w:p>
        </w:tc>
        <w:tc>
          <w:tcPr>
            <w:tcW w:w="780" w:type="dxa"/>
            <w:vAlign w:val="bottom"/>
            <w:tcBorders>
              <w:bottom w:val="single" w:sz="8" w:color="auto"/>
            </w:tcBorders>
            <w:gridSpan w:val="2"/>
          </w:tcPr>
          <w:p>
            <w:pPr>
              <w:jc w:val="right"/>
              <w:ind w:right="180"/>
              <w:spacing w:after="0" w:line="157" w:lineRule="exact"/>
              <w:rPr>
                <w:sz w:val="20"/>
                <w:szCs w:val="20"/>
                <w:color w:val="auto"/>
              </w:rPr>
            </w:pPr>
            <w:r>
              <w:rPr>
                <w:rFonts w:ascii="Arial" w:cs="Arial" w:eastAsia="Arial" w:hAnsi="Arial"/>
                <w:sz w:val="14"/>
                <w:szCs w:val="14"/>
                <w:color w:val="auto"/>
              </w:rPr>
              <w:t>(9)</w:t>
            </w:r>
          </w:p>
        </w:tc>
        <w:tc>
          <w:tcPr>
            <w:tcW w:w="740" w:type="dxa"/>
            <w:vAlign w:val="bottom"/>
            <w:tcBorders>
              <w:bottom w:val="single" w:sz="8" w:color="auto"/>
            </w:tcBorders>
            <w:gridSpan w:val="2"/>
          </w:tcPr>
          <w:p>
            <w:pPr>
              <w:jc w:val="right"/>
              <w:ind w:right="180"/>
              <w:spacing w:after="0" w:line="157" w:lineRule="exact"/>
              <w:rPr>
                <w:sz w:val="20"/>
                <w:szCs w:val="20"/>
                <w:color w:val="auto"/>
              </w:rPr>
            </w:pPr>
            <w:r>
              <w:rPr>
                <w:rFonts w:ascii="Arial" w:cs="Arial" w:eastAsia="Arial" w:hAnsi="Arial"/>
                <w:sz w:val="14"/>
                <w:szCs w:val="14"/>
                <w:color w:val="auto"/>
              </w:rPr>
              <w:t>(79)</w:t>
            </w:r>
          </w:p>
        </w:tc>
        <w:tc>
          <w:tcPr>
            <w:tcW w:w="640" w:type="dxa"/>
            <w:vAlign w:val="bottom"/>
            <w:tcBorders>
              <w:bottom w:val="single" w:sz="8" w:color="auto"/>
            </w:tcBorders>
          </w:tcPr>
          <w:p>
            <w:pPr>
              <w:jc w:val="right"/>
              <w:spacing w:after="0" w:line="157" w:lineRule="exact"/>
              <w:rPr>
                <w:sz w:val="20"/>
                <w:szCs w:val="20"/>
                <w:color w:val="auto"/>
              </w:rPr>
            </w:pPr>
            <w:r>
              <w:rPr>
                <w:rFonts w:ascii="Arial" w:cs="Arial" w:eastAsia="Arial" w:hAnsi="Arial"/>
                <w:sz w:val="14"/>
                <w:szCs w:val="14"/>
                <w:color w:val="auto"/>
              </w:rPr>
              <w:t>(86)</w:t>
            </w:r>
          </w:p>
        </w:tc>
        <w:tc>
          <w:tcPr>
            <w:tcW w:w="12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ind w:right="9"/>
              <w:spacing w:after="0" w:line="157" w:lineRule="exact"/>
              <w:rPr>
                <w:sz w:val="20"/>
                <w:szCs w:val="20"/>
                <w:color w:val="auto"/>
              </w:rPr>
            </w:pPr>
            <w:r>
              <w:rPr>
                <w:rFonts w:ascii="Arial" w:cs="Arial" w:eastAsia="Arial" w:hAnsi="Arial"/>
                <w:sz w:val="14"/>
                <w:szCs w:val="14"/>
                <w:color w:val="auto"/>
              </w:rPr>
              <w:t>(8)</w:t>
            </w:r>
          </w:p>
        </w:tc>
        <w:tc>
          <w:tcPr>
            <w:tcW w:w="760" w:type="dxa"/>
            <w:vAlign w:val="bottom"/>
            <w:tcBorders>
              <w:bottom w:val="single" w:sz="8" w:color="auto"/>
            </w:tcBorders>
          </w:tcPr>
          <w:p>
            <w:pPr>
              <w:jc w:val="right"/>
              <w:ind w:right="10"/>
              <w:spacing w:after="0" w:line="157" w:lineRule="exact"/>
              <w:rPr>
                <w:sz w:val="20"/>
                <w:szCs w:val="20"/>
                <w:color w:val="auto"/>
              </w:rPr>
            </w:pPr>
            <w:r>
              <w:rPr>
                <w:rFonts w:ascii="Arial" w:cs="Arial" w:eastAsia="Arial" w:hAnsi="Arial"/>
                <w:sz w:val="14"/>
                <w:szCs w:val="14"/>
                <w:color w:val="auto"/>
              </w:rPr>
              <w:t>(48)</w:t>
            </w:r>
          </w:p>
        </w:tc>
        <w:tc>
          <w:tcPr>
            <w:tcW w:w="660" w:type="dxa"/>
            <w:vAlign w:val="bottom"/>
            <w:tcBorders>
              <w:bottom w:val="single" w:sz="8" w:color="auto"/>
            </w:tcBorders>
          </w:tcPr>
          <w:p>
            <w:pPr>
              <w:jc w:val="right"/>
              <w:spacing w:after="0" w:line="157" w:lineRule="exact"/>
              <w:rPr>
                <w:sz w:val="20"/>
                <w:szCs w:val="20"/>
                <w:color w:val="auto"/>
              </w:rPr>
            </w:pPr>
            <w:r>
              <w:rPr>
                <w:rFonts w:ascii="Arial" w:cs="Arial" w:eastAsia="Arial" w:hAnsi="Arial"/>
                <w:sz w:val="14"/>
                <w:szCs w:val="14"/>
                <w:color w:val="auto"/>
              </w:rPr>
              <w:t>(7)</w:t>
            </w:r>
          </w:p>
        </w:tc>
        <w:tc>
          <w:tcPr>
            <w:tcW w:w="940" w:type="dxa"/>
            <w:vAlign w:val="bottom"/>
            <w:tcBorders>
              <w:bottom w:val="single" w:sz="8" w:color="auto"/>
            </w:tcBorders>
            <w:gridSpan w:val="3"/>
          </w:tcPr>
          <w:p>
            <w:pPr>
              <w:jc w:val="right"/>
              <w:ind w:right="200"/>
              <w:spacing w:after="0" w:line="157" w:lineRule="exact"/>
              <w:rPr>
                <w:sz w:val="20"/>
                <w:szCs w:val="20"/>
                <w:color w:val="auto"/>
              </w:rPr>
            </w:pPr>
            <w:r>
              <w:rPr>
                <w:rFonts w:ascii="Arial" w:cs="Arial" w:eastAsia="Arial" w:hAnsi="Arial"/>
                <w:sz w:val="14"/>
                <w:szCs w:val="14"/>
                <w:color w:val="auto"/>
              </w:rPr>
              <w:t>(8)</w:t>
            </w:r>
          </w:p>
        </w:tc>
        <w:tc>
          <w:tcPr>
            <w:tcW w:w="700" w:type="dxa"/>
            <w:vAlign w:val="bottom"/>
            <w:tcBorders>
              <w:bottom w:val="single" w:sz="8" w:color="auto"/>
            </w:tcBorders>
          </w:tcPr>
          <w:p>
            <w:pPr>
              <w:jc w:val="right"/>
              <w:ind w:right="49"/>
              <w:spacing w:after="0" w:line="157" w:lineRule="exact"/>
              <w:rPr>
                <w:sz w:val="20"/>
                <w:szCs w:val="20"/>
                <w:color w:val="auto"/>
              </w:rPr>
            </w:pPr>
            <w:r>
              <w:rPr>
                <w:rFonts w:ascii="Arial" w:cs="Arial" w:eastAsia="Arial" w:hAnsi="Arial"/>
                <w:sz w:val="14"/>
                <w:szCs w:val="14"/>
                <w:color w:val="auto"/>
              </w:rPr>
              <w:t>(402)</w:t>
            </w:r>
          </w:p>
        </w:tc>
        <w:tc>
          <w:tcPr>
            <w:tcW w:w="740" w:type="dxa"/>
            <w:vAlign w:val="bottom"/>
            <w:tcBorders>
              <w:bottom w:val="single" w:sz="8" w:color="auto"/>
            </w:tcBorders>
          </w:tcPr>
          <w:p>
            <w:pPr>
              <w:jc w:val="right"/>
              <w:ind w:right="29"/>
              <w:spacing w:after="0" w:line="157" w:lineRule="exact"/>
              <w:rPr>
                <w:sz w:val="20"/>
                <w:szCs w:val="20"/>
                <w:color w:val="auto"/>
              </w:rPr>
            </w:pPr>
            <w:r>
              <w:rPr>
                <w:rFonts w:ascii="Arial" w:cs="Arial" w:eastAsia="Arial" w:hAnsi="Arial"/>
                <w:sz w:val="14"/>
                <w:szCs w:val="14"/>
                <w:color w:val="auto"/>
              </w:rPr>
              <w:t>(48)</w:t>
            </w:r>
          </w:p>
        </w:tc>
        <w:tc>
          <w:tcPr>
            <w:tcW w:w="660" w:type="dxa"/>
            <w:vAlign w:val="bottom"/>
            <w:tcBorders>
              <w:bottom w:val="single" w:sz="8" w:color="auto"/>
            </w:tcBorders>
          </w:tcPr>
          <w:p>
            <w:pPr>
              <w:jc w:val="right"/>
              <w:spacing w:after="0" w:line="157" w:lineRule="exact"/>
              <w:rPr>
                <w:sz w:val="20"/>
                <w:szCs w:val="20"/>
                <w:color w:val="auto"/>
              </w:rPr>
            </w:pPr>
            <w:r>
              <w:rPr>
                <w:rFonts w:ascii="Arial" w:cs="Arial" w:eastAsia="Arial" w:hAnsi="Arial"/>
                <w:sz w:val="14"/>
                <w:szCs w:val="14"/>
                <w:color w:val="auto"/>
              </w:rPr>
              <w:t>(7)</w:t>
            </w:r>
          </w:p>
        </w:tc>
        <w:tc>
          <w:tcPr>
            <w:tcW w:w="660" w:type="dxa"/>
            <w:vAlign w:val="bottom"/>
            <w:tcBorders>
              <w:bottom w:val="single" w:sz="8" w:color="auto"/>
            </w:tcBorders>
          </w:tcPr>
          <w:p>
            <w:pPr>
              <w:jc w:val="right"/>
              <w:spacing w:after="0" w:line="157" w:lineRule="exact"/>
              <w:rPr>
                <w:sz w:val="20"/>
                <w:szCs w:val="20"/>
                <w:color w:val="auto"/>
              </w:rPr>
            </w:pPr>
            <w:r>
              <w:rPr>
                <w:rFonts w:ascii="Arial" w:cs="Arial" w:eastAsia="Arial" w:hAnsi="Arial"/>
                <w:sz w:val="14"/>
                <w:szCs w:val="14"/>
                <w:color w:val="auto"/>
              </w:rPr>
              <w:t>(457)</w:t>
            </w:r>
          </w:p>
        </w:tc>
        <w:tc>
          <w:tcPr>
            <w:tcW w:w="0" w:type="dxa"/>
            <w:vAlign w:val="bottom"/>
          </w:tcPr>
          <w:p>
            <w:pPr>
              <w:spacing w:after="0"/>
              <w:rPr>
                <w:sz w:val="1"/>
                <w:szCs w:val="1"/>
                <w:color w:val="auto"/>
              </w:rPr>
            </w:pPr>
          </w:p>
        </w:tc>
      </w:tr>
      <w:tr>
        <w:trPr>
          <w:trHeight w:val="156"/>
        </w:trPr>
        <w:tc>
          <w:tcPr>
            <w:tcW w:w="1900" w:type="dxa"/>
            <w:vAlign w:val="bottom"/>
            <w:tcBorders>
              <w:bottom w:val="single" w:sz="8" w:color="auto"/>
            </w:tcBorders>
          </w:tcPr>
          <w:p>
            <w:pPr>
              <w:ind w:left="140"/>
              <w:spacing w:after="0" w:line="155" w:lineRule="exact"/>
              <w:rPr>
                <w:sz w:val="20"/>
                <w:szCs w:val="20"/>
                <w:color w:val="auto"/>
              </w:rPr>
            </w:pPr>
            <w:r>
              <w:rPr>
                <w:rFonts w:ascii="Arial" w:cs="Arial" w:eastAsia="Arial" w:hAnsi="Arial"/>
                <w:sz w:val="14"/>
                <w:szCs w:val="14"/>
                <w:color w:val="auto"/>
              </w:rPr>
              <w:t>At December 31</w:t>
            </w:r>
          </w:p>
        </w:tc>
        <w:tc>
          <w:tcPr>
            <w:tcW w:w="740" w:type="dxa"/>
            <w:vAlign w:val="bottom"/>
            <w:tcBorders>
              <w:bottom w:val="single" w:sz="8" w:color="auto"/>
            </w:tcBorders>
            <w:gridSpan w:val="2"/>
          </w:tcPr>
          <w:p>
            <w:pPr>
              <w:jc w:val="right"/>
              <w:ind w:right="220"/>
              <w:spacing w:after="0" w:line="155" w:lineRule="exact"/>
              <w:rPr>
                <w:sz w:val="20"/>
                <w:szCs w:val="20"/>
                <w:color w:val="auto"/>
              </w:rPr>
            </w:pPr>
            <w:r>
              <w:rPr>
                <w:rFonts w:ascii="Arial" w:cs="Arial" w:eastAsia="Arial" w:hAnsi="Arial"/>
                <w:sz w:val="14"/>
                <w:szCs w:val="14"/>
                <w:color w:val="auto"/>
              </w:rPr>
              <w:t>769</w:t>
            </w:r>
          </w:p>
        </w:tc>
        <w:tc>
          <w:tcPr>
            <w:tcW w:w="700" w:type="dxa"/>
            <w:vAlign w:val="bottom"/>
            <w:tcBorders>
              <w:bottom w:val="single" w:sz="8" w:color="auto"/>
            </w:tcBorders>
            <w:gridSpan w:val="2"/>
          </w:tcPr>
          <w:p>
            <w:pPr>
              <w:jc w:val="right"/>
              <w:ind w:right="220"/>
              <w:spacing w:after="0" w:line="155" w:lineRule="exact"/>
              <w:rPr>
                <w:sz w:val="20"/>
                <w:szCs w:val="20"/>
                <w:color w:val="auto"/>
              </w:rPr>
            </w:pPr>
            <w:r>
              <w:rPr>
                <w:rFonts w:ascii="Arial" w:cs="Arial" w:eastAsia="Arial" w:hAnsi="Arial"/>
                <w:sz w:val="14"/>
                <w:szCs w:val="14"/>
                <w:color w:val="auto"/>
              </w:rPr>
              <w:t>1,343</w:t>
            </w:r>
          </w:p>
        </w:tc>
        <w:tc>
          <w:tcPr>
            <w:tcW w:w="780" w:type="dxa"/>
            <w:vAlign w:val="bottom"/>
            <w:tcBorders>
              <w:bottom w:val="single" w:sz="8" w:color="auto"/>
            </w:tcBorders>
            <w:gridSpan w:val="2"/>
          </w:tcPr>
          <w:p>
            <w:pPr>
              <w:jc w:val="right"/>
              <w:ind w:right="220"/>
              <w:spacing w:after="0" w:line="155" w:lineRule="exact"/>
              <w:rPr>
                <w:sz w:val="20"/>
                <w:szCs w:val="20"/>
                <w:color w:val="auto"/>
              </w:rPr>
            </w:pPr>
            <w:r>
              <w:rPr>
                <w:rFonts w:ascii="Arial" w:cs="Arial" w:eastAsia="Arial" w:hAnsi="Arial"/>
                <w:sz w:val="14"/>
                <w:szCs w:val="14"/>
                <w:color w:val="auto"/>
              </w:rPr>
              <w:t>139</w:t>
            </w:r>
          </w:p>
        </w:tc>
        <w:tc>
          <w:tcPr>
            <w:tcW w:w="740" w:type="dxa"/>
            <w:vAlign w:val="bottom"/>
            <w:tcBorders>
              <w:bottom w:val="single" w:sz="8" w:color="auto"/>
            </w:tcBorders>
            <w:gridSpan w:val="2"/>
          </w:tcPr>
          <w:p>
            <w:pPr>
              <w:jc w:val="right"/>
              <w:ind w:right="220"/>
              <w:spacing w:after="0" w:line="155" w:lineRule="exact"/>
              <w:rPr>
                <w:sz w:val="20"/>
                <w:szCs w:val="20"/>
                <w:color w:val="auto"/>
              </w:rPr>
            </w:pPr>
            <w:r>
              <w:rPr>
                <w:rFonts w:ascii="Arial" w:cs="Arial" w:eastAsia="Arial" w:hAnsi="Arial"/>
                <w:sz w:val="14"/>
                <w:szCs w:val="14"/>
                <w:color w:val="auto"/>
              </w:rPr>
              <w:t>651</w:t>
            </w:r>
          </w:p>
        </w:tc>
        <w:tc>
          <w:tcPr>
            <w:tcW w:w="640" w:type="dxa"/>
            <w:vAlign w:val="bottom"/>
            <w:tcBorders>
              <w:bottom w:val="single" w:sz="8" w:color="auto"/>
            </w:tcBorders>
          </w:tcPr>
          <w:p>
            <w:pPr>
              <w:jc w:val="right"/>
              <w:ind w:right="29"/>
              <w:spacing w:after="0" w:line="155" w:lineRule="exact"/>
              <w:rPr>
                <w:sz w:val="20"/>
                <w:szCs w:val="20"/>
                <w:color w:val="auto"/>
              </w:rPr>
            </w:pPr>
            <w:r>
              <w:rPr>
                <w:rFonts w:ascii="Arial" w:cs="Arial" w:eastAsia="Arial" w:hAnsi="Arial"/>
                <w:sz w:val="14"/>
                <w:szCs w:val="14"/>
                <w:color w:val="auto"/>
              </w:rPr>
              <w:t>991</w:t>
            </w:r>
          </w:p>
        </w:tc>
        <w:tc>
          <w:tcPr>
            <w:tcW w:w="12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ind w:right="69"/>
              <w:spacing w:after="0" w:line="155" w:lineRule="exact"/>
              <w:rPr>
                <w:sz w:val="20"/>
                <w:szCs w:val="20"/>
                <w:color w:val="auto"/>
              </w:rPr>
            </w:pPr>
            <w:r>
              <w:rPr>
                <w:rFonts w:ascii="Arial" w:cs="Arial" w:eastAsia="Arial" w:hAnsi="Arial"/>
                <w:sz w:val="14"/>
                <w:szCs w:val="14"/>
                <w:color w:val="auto"/>
              </w:rPr>
              <w:t>29</w:t>
            </w:r>
          </w:p>
        </w:tc>
        <w:tc>
          <w:tcPr>
            <w:tcW w:w="760" w:type="dxa"/>
            <w:vAlign w:val="bottom"/>
            <w:tcBorders>
              <w:bottom w:val="single" w:sz="8" w:color="auto"/>
            </w:tcBorders>
          </w:tcPr>
          <w:p>
            <w:pPr>
              <w:jc w:val="right"/>
              <w:ind w:right="70"/>
              <w:spacing w:after="0" w:line="155" w:lineRule="exact"/>
              <w:rPr>
                <w:sz w:val="20"/>
                <w:szCs w:val="20"/>
                <w:color w:val="auto"/>
              </w:rPr>
            </w:pPr>
            <w:r>
              <w:rPr>
                <w:rFonts w:ascii="Arial" w:cs="Arial" w:eastAsia="Arial" w:hAnsi="Arial"/>
                <w:sz w:val="14"/>
                <w:szCs w:val="14"/>
                <w:color w:val="auto"/>
              </w:rPr>
              <w:t>1,731</w:t>
            </w:r>
          </w:p>
        </w:tc>
        <w:tc>
          <w:tcPr>
            <w:tcW w:w="660" w:type="dxa"/>
            <w:vAlign w:val="bottom"/>
            <w:tcBorders>
              <w:bottom w:val="single" w:sz="8" w:color="auto"/>
            </w:tcBorders>
          </w:tcPr>
          <w:p>
            <w:pPr>
              <w:jc w:val="right"/>
              <w:ind w:right="29"/>
              <w:spacing w:after="0" w:line="155" w:lineRule="exact"/>
              <w:rPr>
                <w:sz w:val="20"/>
                <w:szCs w:val="20"/>
                <w:color w:val="auto"/>
              </w:rPr>
            </w:pPr>
            <w:r>
              <w:rPr>
                <w:rFonts w:ascii="Arial" w:cs="Arial" w:eastAsia="Arial" w:hAnsi="Arial"/>
                <w:sz w:val="14"/>
                <w:szCs w:val="14"/>
                <w:color w:val="auto"/>
              </w:rPr>
              <w:t>422</w:t>
            </w:r>
          </w:p>
        </w:tc>
        <w:tc>
          <w:tcPr>
            <w:tcW w:w="940" w:type="dxa"/>
            <w:vAlign w:val="bottom"/>
            <w:tcBorders>
              <w:bottom w:val="single" w:sz="8" w:color="auto"/>
            </w:tcBorders>
            <w:gridSpan w:val="3"/>
          </w:tcPr>
          <w:p>
            <w:pPr>
              <w:jc w:val="right"/>
              <w:ind w:right="240"/>
              <w:spacing w:after="0" w:line="155" w:lineRule="exact"/>
              <w:rPr>
                <w:sz w:val="20"/>
                <w:szCs w:val="20"/>
                <w:color w:val="auto"/>
              </w:rPr>
            </w:pPr>
            <w:r>
              <w:rPr>
                <w:rFonts w:ascii="Arial" w:cs="Arial" w:eastAsia="Arial" w:hAnsi="Arial"/>
                <w:sz w:val="14"/>
                <w:szCs w:val="14"/>
                <w:color w:val="auto"/>
              </w:rPr>
              <w:t>95</w:t>
            </w:r>
          </w:p>
        </w:tc>
        <w:tc>
          <w:tcPr>
            <w:tcW w:w="700" w:type="dxa"/>
            <w:vAlign w:val="bottom"/>
            <w:tcBorders>
              <w:bottom w:val="single" w:sz="8" w:color="auto"/>
            </w:tcBorders>
          </w:tcPr>
          <w:p>
            <w:pPr>
              <w:jc w:val="right"/>
              <w:ind w:right="89"/>
              <w:spacing w:after="0" w:line="155" w:lineRule="exact"/>
              <w:rPr>
                <w:sz w:val="20"/>
                <w:szCs w:val="20"/>
                <w:color w:val="auto"/>
              </w:rPr>
            </w:pPr>
            <w:r>
              <w:rPr>
                <w:rFonts w:ascii="Arial" w:cs="Arial" w:eastAsia="Arial" w:hAnsi="Arial"/>
                <w:sz w:val="14"/>
                <w:szCs w:val="14"/>
                <w:color w:val="auto"/>
              </w:rPr>
              <w:t>4,017</w:t>
            </w:r>
          </w:p>
        </w:tc>
        <w:tc>
          <w:tcPr>
            <w:tcW w:w="740" w:type="dxa"/>
            <w:vAlign w:val="bottom"/>
            <w:tcBorders>
              <w:bottom w:val="single" w:sz="8" w:color="auto"/>
            </w:tcBorders>
          </w:tcPr>
          <w:p>
            <w:pPr>
              <w:jc w:val="right"/>
              <w:ind w:right="89"/>
              <w:spacing w:after="0" w:line="155" w:lineRule="exact"/>
              <w:rPr>
                <w:sz w:val="20"/>
                <w:szCs w:val="20"/>
                <w:color w:val="auto"/>
              </w:rPr>
            </w:pPr>
            <w:r>
              <w:rPr>
                <w:rFonts w:ascii="Arial" w:cs="Arial" w:eastAsia="Arial" w:hAnsi="Arial"/>
                <w:sz w:val="14"/>
                <w:szCs w:val="14"/>
                <w:color w:val="auto"/>
              </w:rPr>
              <w:t>1,731</w:t>
            </w:r>
          </w:p>
        </w:tc>
        <w:tc>
          <w:tcPr>
            <w:tcW w:w="660" w:type="dxa"/>
            <w:vAlign w:val="bottom"/>
            <w:tcBorders>
              <w:bottom w:val="single" w:sz="8" w:color="auto"/>
            </w:tcBorders>
          </w:tcPr>
          <w:p>
            <w:pPr>
              <w:jc w:val="right"/>
              <w:ind w:right="28"/>
              <w:spacing w:after="0" w:line="155" w:lineRule="exact"/>
              <w:rPr>
                <w:sz w:val="20"/>
                <w:szCs w:val="20"/>
                <w:color w:val="auto"/>
              </w:rPr>
            </w:pPr>
            <w:r>
              <w:rPr>
                <w:rFonts w:ascii="Arial" w:cs="Arial" w:eastAsia="Arial" w:hAnsi="Arial"/>
                <w:sz w:val="14"/>
                <w:szCs w:val="14"/>
                <w:color w:val="auto"/>
              </w:rPr>
              <w:t>422</w:t>
            </w:r>
          </w:p>
        </w:tc>
        <w:tc>
          <w:tcPr>
            <w:tcW w:w="660" w:type="dxa"/>
            <w:vAlign w:val="bottom"/>
            <w:tcBorders>
              <w:bottom w:val="single" w:sz="8" w:color="auto"/>
            </w:tcBorders>
          </w:tcPr>
          <w:p>
            <w:pPr>
              <w:jc w:val="right"/>
              <w:ind w:right="30"/>
              <w:spacing w:after="0" w:line="155" w:lineRule="exact"/>
              <w:rPr>
                <w:sz w:val="20"/>
                <w:szCs w:val="20"/>
                <w:color w:val="auto"/>
              </w:rPr>
            </w:pPr>
            <w:r>
              <w:rPr>
                <w:rFonts w:ascii="Arial" w:cs="Arial" w:eastAsia="Arial" w:hAnsi="Arial"/>
                <w:sz w:val="14"/>
                <w:szCs w:val="14"/>
                <w:color w:val="auto"/>
              </w:rPr>
              <w:t>6,170</w:t>
            </w:r>
          </w:p>
        </w:tc>
        <w:tc>
          <w:tcPr>
            <w:tcW w:w="0" w:type="dxa"/>
            <w:vAlign w:val="bottom"/>
          </w:tcPr>
          <w:p>
            <w:pPr>
              <w:spacing w:after="0"/>
              <w:rPr>
                <w:sz w:val="1"/>
                <w:szCs w:val="1"/>
                <w:color w:val="auto"/>
              </w:rPr>
            </w:pPr>
          </w:p>
        </w:tc>
      </w:tr>
      <w:tr>
        <w:trPr>
          <w:trHeight w:val="160"/>
        </w:trPr>
        <w:tc>
          <w:tcPr>
            <w:tcW w:w="1900" w:type="dxa"/>
            <w:vAlign w:val="bottom"/>
          </w:tcPr>
          <w:p>
            <w:pPr>
              <w:spacing w:after="0"/>
              <w:rPr>
                <w:sz w:val="20"/>
                <w:szCs w:val="20"/>
                <w:color w:val="auto"/>
              </w:rPr>
            </w:pPr>
            <w:r>
              <w:rPr>
                <w:rFonts w:ascii="Arial" w:cs="Arial" w:eastAsia="Arial" w:hAnsi="Arial"/>
                <w:sz w:val="14"/>
                <w:szCs w:val="14"/>
                <w:color w:val="auto"/>
              </w:rPr>
              <w:t>Shell share of joint ventures</w:t>
            </w:r>
          </w:p>
        </w:tc>
        <w:tc>
          <w:tcPr>
            <w:tcW w:w="5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1900" w:type="dxa"/>
            <w:vAlign w:val="bottom"/>
          </w:tcPr>
          <w:p>
            <w:pPr>
              <w:spacing w:after="0"/>
              <w:rPr>
                <w:sz w:val="20"/>
                <w:szCs w:val="20"/>
                <w:color w:val="auto"/>
              </w:rPr>
            </w:pPr>
            <w:r>
              <w:rPr>
                <w:rFonts w:ascii="Arial" w:cs="Arial" w:eastAsia="Arial" w:hAnsi="Arial"/>
                <w:sz w:val="14"/>
                <w:szCs w:val="14"/>
                <w:color w:val="auto"/>
              </w:rPr>
              <w:t>and associates</w:t>
            </w:r>
          </w:p>
        </w:tc>
        <w:tc>
          <w:tcPr>
            <w:tcW w:w="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900" w:type="dxa"/>
            <w:vAlign w:val="bottom"/>
          </w:tcPr>
          <w:p>
            <w:pPr>
              <w:ind w:left="140"/>
              <w:spacing w:after="0"/>
              <w:rPr>
                <w:sz w:val="20"/>
                <w:szCs w:val="20"/>
                <w:color w:val="auto"/>
              </w:rPr>
            </w:pPr>
            <w:r>
              <w:rPr>
                <w:rFonts w:ascii="Arial" w:cs="Arial" w:eastAsia="Arial" w:hAnsi="Arial"/>
                <w:sz w:val="14"/>
                <w:szCs w:val="14"/>
                <w:color w:val="auto"/>
              </w:rPr>
              <w:t>At January 1</w:t>
            </w:r>
          </w:p>
        </w:tc>
        <w:tc>
          <w:tcPr>
            <w:tcW w:w="740" w:type="dxa"/>
            <w:vAlign w:val="bottom"/>
            <w:gridSpan w:val="2"/>
          </w:tcPr>
          <w:p>
            <w:pPr>
              <w:jc w:val="right"/>
              <w:ind w:right="220"/>
              <w:spacing w:after="0"/>
              <w:rPr>
                <w:sz w:val="20"/>
                <w:szCs w:val="20"/>
                <w:color w:val="auto"/>
              </w:rPr>
            </w:pPr>
            <w:r>
              <w:rPr>
                <w:rFonts w:ascii="Arial" w:cs="Arial" w:eastAsia="Arial" w:hAnsi="Arial"/>
                <w:sz w:val="14"/>
                <w:szCs w:val="14"/>
                <w:color w:val="auto"/>
              </w:rPr>
              <w:t>24</w:t>
            </w:r>
          </w:p>
        </w:tc>
        <w:tc>
          <w:tcPr>
            <w:tcW w:w="700" w:type="dxa"/>
            <w:vAlign w:val="bottom"/>
            <w:gridSpan w:val="2"/>
          </w:tcPr>
          <w:p>
            <w:pPr>
              <w:jc w:val="right"/>
              <w:ind w:right="220"/>
              <w:spacing w:after="0"/>
              <w:rPr>
                <w:sz w:val="20"/>
                <w:szCs w:val="20"/>
                <w:color w:val="auto"/>
              </w:rPr>
            </w:pPr>
            <w:r>
              <w:rPr>
                <w:rFonts w:ascii="Arial" w:cs="Arial" w:eastAsia="Arial" w:hAnsi="Arial"/>
                <w:sz w:val="14"/>
                <w:szCs w:val="14"/>
                <w:color w:val="auto"/>
              </w:rPr>
              <w:t>515</w:t>
            </w:r>
          </w:p>
        </w:tc>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28</w:t>
            </w:r>
          </w:p>
        </w:tc>
        <w:tc>
          <w:tcPr>
            <w:tcW w:w="7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640" w:type="dxa"/>
            <w:vAlign w:val="bottom"/>
          </w:tcPr>
          <w:p>
            <w:pPr>
              <w:jc w:val="right"/>
              <w:ind w:right="29"/>
              <w:spacing w:after="0"/>
              <w:rPr>
                <w:sz w:val="20"/>
                <w:szCs w:val="20"/>
                <w:color w:val="auto"/>
              </w:rPr>
            </w:pPr>
            <w:r>
              <w:rPr>
                <w:rFonts w:ascii="Arial" w:cs="Arial" w:eastAsia="Arial" w:hAnsi="Arial"/>
                <w:sz w:val="14"/>
                <w:szCs w:val="14"/>
                <w:color w:val="auto"/>
              </w:rPr>
              <w:t>294</w:t>
            </w:r>
          </w:p>
        </w:tc>
        <w:tc>
          <w:tcPr>
            <w:tcW w:w="120" w:type="dxa"/>
            <w:vAlign w:val="bottom"/>
          </w:tcPr>
          <w:p>
            <w:pPr>
              <w:spacing w:after="0"/>
              <w:rPr>
                <w:sz w:val="14"/>
                <w:szCs w:val="14"/>
                <w:color w:val="auto"/>
              </w:rPr>
            </w:pPr>
          </w:p>
        </w:tc>
        <w:tc>
          <w:tcPr>
            <w:tcW w:w="680" w:type="dxa"/>
            <w:vAlign w:val="bottom"/>
          </w:tcPr>
          <w:p>
            <w:pPr>
              <w:jc w:val="right"/>
              <w:ind w:right="69"/>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70"/>
              <w:spacing w:after="0"/>
              <w:rPr>
                <w:sz w:val="20"/>
                <w:szCs w:val="20"/>
                <w:color w:val="auto"/>
              </w:rPr>
            </w:pPr>
            <w:r>
              <w:rPr>
                <w:rFonts w:ascii="Arial" w:cs="Arial" w:eastAsia="Arial" w:hAnsi="Arial"/>
                <w:sz w:val="14"/>
                <w:szCs w:val="14"/>
                <w:color w:val="auto"/>
              </w:rPr>
              <w:t>–</w:t>
            </w:r>
          </w:p>
        </w:tc>
        <w:tc>
          <w:tcPr>
            <w:tcW w:w="66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940" w:type="dxa"/>
            <w:vAlign w:val="bottom"/>
            <w:gridSpan w:val="3"/>
          </w:tcPr>
          <w:p>
            <w:pPr>
              <w:jc w:val="right"/>
              <w:ind w:right="240"/>
              <w:spacing w:after="0"/>
              <w:rPr>
                <w:sz w:val="20"/>
                <w:szCs w:val="20"/>
                <w:color w:val="auto"/>
              </w:rPr>
            </w:pPr>
            <w:r>
              <w:rPr>
                <w:rFonts w:ascii="Arial" w:cs="Arial" w:eastAsia="Arial" w:hAnsi="Arial"/>
                <w:sz w:val="14"/>
                <w:szCs w:val="14"/>
                <w:color w:val="auto"/>
              </w:rPr>
              <w:t>18</w:t>
            </w:r>
          </w:p>
        </w:tc>
        <w:tc>
          <w:tcPr>
            <w:tcW w:w="700" w:type="dxa"/>
            <w:vAlign w:val="bottom"/>
          </w:tcPr>
          <w:p>
            <w:pPr>
              <w:jc w:val="right"/>
              <w:ind w:right="89"/>
              <w:spacing w:after="0"/>
              <w:rPr>
                <w:sz w:val="20"/>
                <w:szCs w:val="20"/>
                <w:color w:val="auto"/>
              </w:rPr>
            </w:pPr>
            <w:r>
              <w:rPr>
                <w:rFonts w:ascii="Arial" w:cs="Arial" w:eastAsia="Arial" w:hAnsi="Arial"/>
                <w:sz w:val="14"/>
                <w:szCs w:val="14"/>
                <w:color w:val="auto"/>
              </w:rPr>
              <w:t>879</w:t>
            </w:r>
          </w:p>
        </w:tc>
        <w:tc>
          <w:tcPr>
            <w:tcW w:w="740" w:type="dxa"/>
            <w:vAlign w:val="bottom"/>
          </w:tcPr>
          <w:p>
            <w:pPr>
              <w:jc w:val="right"/>
              <w:ind w:right="89"/>
              <w:spacing w:after="0"/>
              <w:rPr>
                <w:sz w:val="20"/>
                <w:szCs w:val="20"/>
                <w:color w:val="auto"/>
              </w:rPr>
            </w:pPr>
            <w:r>
              <w:rPr>
                <w:rFonts w:ascii="Arial" w:cs="Arial" w:eastAsia="Arial" w:hAnsi="Arial"/>
                <w:sz w:val="14"/>
                <w:szCs w:val="14"/>
                <w:color w:val="auto"/>
              </w:rPr>
              <w:t>–</w:t>
            </w:r>
          </w:p>
        </w:tc>
        <w:tc>
          <w:tcPr>
            <w:tcW w:w="6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660" w:type="dxa"/>
            <w:vAlign w:val="bottom"/>
          </w:tcPr>
          <w:p>
            <w:pPr>
              <w:jc w:val="right"/>
              <w:ind w:right="30"/>
              <w:spacing w:after="0"/>
              <w:rPr>
                <w:sz w:val="20"/>
                <w:szCs w:val="20"/>
                <w:color w:val="auto"/>
              </w:rPr>
            </w:pPr>
            <w:r>
              <w:rPr>
                <w:rFonts w:ascii="Arial" w:cs="Arial" w:eastAsia="Arial" w:hAnsi="Arial"/>
                <w:sz w:val="14"/>
                <w:szCs w:val="14"/>
                <w:color w:val="auto"/>
              </w:rPr>
              <w:t>879</w:t>
            </w:r>
          </w:p>
        </w:tc>
        <w:tc>
          <w:tcPr>
            <w:tcW w:w="0" w:type="dxa"/>
            <w:vAlign w:val="bottom"/>
          </w:tcPr>
          <w:p>
            <w:pPr>
              <w:spacing w:after="0"/>
              <w:rPr>
                <w:sz w:val="1"/>
                <w:szCs w:val="1"/>
                <w:color w:val="auto"/>
              </w:rPr>
            </w:pPr>
          </w:p>
        </w:tc>
      </w:tr>
      <w:tr>
        <w:trPr>
          <w:trHeight w:val="162"/>
        </w:trPr>
        <w:tc>
          <w:tcPr>
            <w:tcW w:w="1900" w:type="dxa"/>
            <w:vAlign w:val="bottom"/>
          </w:tcPr>
          <w:p>
            <w:pPr>
              <w:ind w:left="140"/>
              <w:spacing w:after="0"/>
              <w:rPr>
                <w:sz w:val="20"/>
                <w:szCs w:val="20"/>
                <w:color w:val="auto"/>
              </w:rPr>
            </w:pPr>
            <w:r>
              <w:rPr>
                <w:rFonts w:ascii="Arial" w:cs="Arial" w:eastAsia="Arial" w:hAnsi="Arial"/>
                <w:sz w:val="14"/>
                <w:szCs w:val="14"/>
                <w:color w:val="auto"/>
              </w:rPr>
              <w:t>IFRS 11 reclassification</w:t>
            </w:r>
          </w:p>
        </w:tc>
        <w:tc>
          <w:tcPr>
            <w:tcW w:w="7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160"/>
              <w:spacing w:after="0"/>
              <w:rPr>
                <w:sz w:val="20"/>
                <w:szCs w:val="20"/>
                <w:color w:val="auto"/>
              </w:rPr>
            </w:pPr>
            <w:r>
              <w:rPr>
                <w:rFonts w:ascii="Arial" w:cs="Arial" w:eastAsia="Arial" w:hAnsi="Arial"/>
                <w:sz w:val="14"/>
                <w:szCs w:val="14"/>
                <w:color w:val="auto"/>
              </w:rPr>
              <w:t>(84)</w:t>
            </w:r>
          </w:p>
        </w:tc>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(294)</w:t>
            </w:r>
          </w:p>
        </w:tc>
        <w:tc>
          <w:tcPr>
            <w:tcW w:w="120" w:type="dxa"/>
            <w:vAlign w:val="bottom"/>
          </w:tcPr>
          <w:p>
            <w:pPr>
              <w:spacing w:after="0"/>
              <w:rPr>
                <w:sz w:val="14"/>
                <w:szCs w:val="14"/>
                <w:color w:val="auto"/>
              </w:rPr>
            </w:pPr>
          </w:p>
        </w:tc>
        <w:tc>
          <w:tcPr>
            <w:tcW w:w="680" w:type="dxa"/>
            <w:vAlign w:val="bottom"/>
          </w:tcPr>
          <w:p>
            <w:pPr>
              <w:jc w:val="right"/>
              <w:ind w:right="69"/>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70"/>
              <w:spacing w:after="0"/>
              <w:rPr>
                <w:sz w:val="20"/>
                <w:szCs w:val="20"/>
                <w:color w:val="auto"/>
              </w:rPr>
            </w:pPr>
            <w:r>
              <w:rPr>
                <w:rFonts w:ascii="Arial" w:cs="Arial" w:eastAsia="Arial" w:hAnsi="Arial"/>
                <w:sz w:val="14"/>
                <w:szCs w:val="14"/>
                <w:color w:val="auto"/>
              </w:rPr>
              <w:t>–</w:t>
            </w:r>
          </w:p>
        </w:tc>
        <w:tc>
          <w:tcPr>
            <w:tcW w:w="66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49"/>
              <w:spacing w:after="0"/>
              <w:rPr>
                <w:sz w:val="20"/>
                <w:szCs w:val="20"/>
                <w:color w:val="auto"/>
              </w:rPr>
            </w:pPr>
            <w:r>
              <w:rPr>
                <w:rFonts w:ascii="Arial" w:cs="Arial" w:eastAsia="Arial" w:hAnsi="Arial"/>
                <w:sz w:val="14"/>
                <w:szCs w:val="14"/>
                <w:color w:val="auto"/>
              </w:rPr>
              <w:t>(378)</w:t>
            </w:r>
          </w:p>
        </w:tc>
        <w:tc>
          <w:tcPr>
            <w:tcW w:w="740" w:type="dxa"/>
            <w:vAlign w:val="bottom"/>
          </w:tcPr>
          <w:p>
            <w:pPr>
              <w:jc w:val="right"/>
              <w:ind w:right="89"/>
              <w:spacing w:after="0"/>
              <w:rPr>
                <w:sz w:val="20"/>
                <w:szCs w:val="20"/>
                <w:color w:val="auto"/>
              </w:rPr>
            </w:pPr>
            <w:r>
              <w:rPr>
                <w:rFonts w:ascii="Arial" w:cs="Arial" w:eastAsia="Arial" w:hAnsi="Arial"/>
                <w:sz w:val="14"/>
                <w:szCs w:val="14"/>
                <w:color w:val="auto"/>
              </w:rPr>
              <w:t>–</w:t>
            </w:r>
          </w:p>
        </w:tc>
        <w:tc>
          <w:tcPr>
            <w:tcW w:w="6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(378)</w:t>
            </w:r>
          </w:p>
        </w:tc>
        <w:tc>
          <w:tcPr>
            <w:tcW w:w="0" w:type="dxa"/>
            <w:vAlign w:val="bottom"/>
          </w:tcPr>
          <w:p>
            <w:pPr>
              <w:spacing w:after="0"/>
              <w:rPr>
                <w:sz w:val="1"/>
                <w:szCs w:val="1"/>
                <w:color w:val="auto"/>
              </w:rPr>
            </w:pPr>
          </w:p>
        </w:tc>
      </w:tr>
      <w:tr>
        <w:trPr>
          <w:trHeight w:val="162"/>
        </w:trPr>
        <w:tc>
          <w:tcPr>
            <w:tcW w:w="1900" w:type="dxa"/>
            <w:vAlign w:val="bottom"/>
          </w:tcPr>
          <w:p>
            <w:pPr>
              <w:ind w:left="140"/>
              <w:spacing w:after="0"/>
              <w:rPr>
                <w:sz w:val="20"/>
                <w:szCs w:val="20"/>
                <w:color w:val="auto"/>
              </w:rPr>
            </w:pPr>
            <w:r>
              <w:rPr>
                <w:rFonts w:ascii="Arial" w:cs="Arial" w:eastAsia="Arial" w:hAnsi="Arial"/>
                <w:sz w:val="14"/>
                <w:szCs w:val="14"/>
                <w:color w:val="auto"/>
              </w:rPr>
              <w:t>Revisions and</w:t>
            </w:r>
          </w:p>
        </w:tc>
        <w:tc>
          <w:tcPr>
            <w:tcW w:w="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900" w:type="dxa"/>
            <w:vAlign w:val="bottom"/>
          </w:tcPr>
          <w:p>
            <w:pPr>
              <w:ind w:left="140"/>
              <w:spacing w:after="0"/>
              <w:rPr>
                <w:sz w:val="20"/>
                <w:szCs w:val="20"/>
                <w:color w:val="auto"/>
              </w:rPr>
            </w:pPr>
            <w:r>
              <w:rPr>
                <w:rFonts w:ascii="Arial" w:cs="Arial" w:eastAsia="Arial" w:hAnsi="Arial"/>
                <w:sz w:val="14"/>
                <w:szCs w:val="14"/>
                <w:color w:val="auto"/>
              </w:rPr>
              <w:t>reclassifications</w:t>
            </w:r>
          </w:p>
        </w:tc>
        <w:tc>
          <w:tcPr>
            <w:tcW w:w="740" w:type="dxa"/>
            <w:vAlign w:val="bottom"/>
            <w:gridSpan w:val="2"/>
          </w:tcPr>
          <w:p>
            <w:pPr>
              <w:jc w:val="right"/>
              <w:ind w:right="220"/>
              <w:spacing w:after="0"/>
              <w:rPr>
                <w:sz w:val="20"/>
                <w:szCs w:val="20"/>
                <w:color w:val="auto"/>
              </w:rPr>
            </w:pPr>
            <w:r>
              <w:rPr>
                <w:rFonts w:ascii="Arial" w:cs="Arial" w:eastAsia="Arial" w:hAnsi="Arial"/>
                <w:sz w:val="14"/>
                <w:szCs w:val="14"/>
                <w:color w:val="auto"/>
              </w:rPr>
              <w:t>7</w:t>
            </w:r>
          </w:p>
        </w:tc>
        <w:tc>
          <w:tcPr>
            <w:tcW w:w="700" w:type="dxa"/>
            <w:vAlign w:val="bottom"/>
            <w:gridSpan w:val="2"/>
          </w:tcPr>
          <w:p>
            <w:pPr>
              <w:jc w:val="right"/>
              <w:ind w:right="220"/>
              <w:spacing w:after="0"/>
              <w:rPr>
                <w:sz w:val="20"/>
                <w:szCs w:val="20"/>
                <w:color w:val="auto"/>
              </w:rPr>
            </w:pPr>
            <w:r>
              <w:rPr>
                <w:rFonts w:ascii="Arial" w:cs="Arial" w:eastAsia="Arial" w:hAnsi="Arial"/>
                <w:sz w:val="14"/>
                <w:szCs w:val="14"/>
                <w:color w:val="auto"/>
              </w:rPr>
              <w:t>47</w:t>
            </w:r>
          </w:p>
        </w:tc>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1</w:t>
            </w:r>
          </w:p>
        </w:tc>
        <w:tc>
          <w:tcPr>
            <w:tcW w:w="7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69"/>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70"/>
              <w:spacing w:after="0"/>
              <w:rPr>
                <w:sz w:val="20"/>
                <w:szCs w:val="20"/>
                <w:color w:val="auto"/>
              </w:rPr>
            </w:pPr>
            <w:r>
              <w:rPr>
                <w:rFonts w:ascii="Arial" w:cs="Arial" w:eastAsia="Arial" w:hAnsi="Arial"/>
                <w:sz w:val="14"/>
                <w:szCs w:val="14"/>
                <w:color w:val="auto"/>
              </w:rPr>
              <w:t>–</w:t>
            </w:r>
          </w:p>
        </w:tc>
        <w:tc>
          <w:tcPr>
            <w:tcW w:w="66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940" w:type="dxa"/>
            <w:vAlign w:val="bottom"/>
            <w:gridSpan w:val="3"/>
          </w:tcPr>
          <w:p>
            <w:pPr>
              <w:jc w:val="right"/>
              <w:ind w:right="240"/>
              <w:spacing w:after="0"/>
              <w:rPr>
                <w:sz w:val="20"/>
                <w:szCs w:val="20"/>
                <w:color w:val="auto"/>
              </w:rPr>
            </w:pPr>
            <w:r>
              <w:rPr>
                <w:rFonts w:ascii="Arial" w:cs="Arial" w:eastAsia="Arial" w:hAnsi="Arial"/>
                <w:sz w:val="14"/>
                <w:szCs w:val="14"/>
                <w:color w:val="auto"/>
              </w:rPr>
              <w:t>2</w:t>
            </w:r>
          </w:p>
        </w:tc>
        <w:tc>
          <w:tcPr>
            <w:tcW w:w="700" w:type="dxa"/>
            <w:vAlign w:val="bottom"/>
          </w:tcPr>
          <w:p>
            <w:pPr>
              <w:jc w:val="right"/>
              <w:ind w:right="89"/>
              <w:spacing w:after="0"/>
              <w:rPr>
                <w:sz w:val="20"/>
                <w:szCs w:val="20"/>
                <w:color w:val="auto"/>
              </w:rPr>
            </w:pPr>
            <w:r>
              <w:rPr>
                <w:rFonts w:ascii="Arial" w:cs="Arial" w:eastAsia="Arial" w:hAnsi="Arial"/>
                <w:sz w:val="14"/>
                <w:szCs w:val="14"/>
                <w:color w:val="auto"/>
              </w:rPr>
              <w:t>57</w:t>
            </w:r>
          </w:p>
        </w:tc>
        <w:tc>
          <w:tcPr>
            <w:tcW w:w="740" w:type="dxa"/>
            <w:vAlign w:val="bottom"/>
          </w:tcPr>
          <w:p>
            <w:pPr>
              <w:jc w:val="right"/>
              <w:ind w:right="89"/>
              <w:spacing w:after="0"/>
              <w:rPr>
                <w:sz w:val="20"/>
                <w:szCs w:val="20"/>
                <w:color w:val="auto"/>
              </w:rPr>
            </w:pPr>
            <w:r>
              <w:rPr>
                <w:rFonts w:ascii="Arial" w:cs="Arial" w:eastAsia="Arial" w:hAnsi="Arial"/>
                <w:sz w:val="14"/>
                <w:szCs w:val="14"/>
                <w:color w:val="auto"/>
              </w:rPr>
              <w:t>–</w:t>
            </w:r>
          </w:p>
        </w:tc>
        <w:tc>
          <w:tcPr>
            <w:tcW w:w="6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660" w:type="dxa"/>
            <w:vAlign w:val="bottom"/>
          </w:tcPr>
          <w:p>
            <w:pPr>
              <w:jc w:val="right"/>
              <w:ind w:right="30"/>
              <w:spacing w:after="0"/>
              <w:rPr>
                <w:sz w:val="20"/>
                <w:szCs w:val="20"/>
                <w:color w:val="auto"/>
              </w:rPr>
            </w:pPr>
            <w:r>
              <w:rPr>
                <w:rFonts w:ascii="Arial" w:cs="Arial" w:eastAsia="Arial" w:hAnsi="Arial"/>
                <w:sz w:val="14"/>
                <w:szCs w:val="14"/>
                <w:color w:val="auto"/>
              </w:rPr>
              <w:t>57</w:t>
            </w:r>
          </w:p>
        </w:tc>
        <w:tc>
          <w:tcPr>
            <w:tcW w:w="0" w:type="dxa"/>
            <w:vAlign w:val="bottom"/>
          </w:tcPr>
          <w:p>
            <w:pPr>
              <w:spacing w:after="0"/>
              <w:rPr>
                <w:sz w:val="1"/>
                <w:szCs w:val="1"/>
                <w:color w:val="auto"/>
              </w:rPr>
            </w:pPr>
          </w:p>
        </w:tc>
      </w:tr>
      <w:tr>
        <w:trPr>
          <w:trHeight w:val="162"/>
        </w:trPr>
        <w:tc>
          <w:tcPr>
            <w:tcW w:w="1900" w:type="dxa"/>
            <w:vAlign w:val="bottom"/>
          </w:tcPr>
          <w:p>
            <w:pPr>
              <w:ind w:left="140"/>
              <w:spacing w:after="0"/>
              <w:rPr>
                <w:sz w:val="20"/>
                <w:szCs w:val="20"/>
                <w:color w:val="auto"/>
              </w:rPr>
            </w:pPr>
            <w:r>
              <w:rPr>
                <w:rFonts w:ascii="Arial" w:cs="Arial" w:eastAsia="Arial" w:hAnsi="Arial"/>
                <w:sz w:val="14"/>
                <w:szCs w:val="14"/>
                <w:color w:val="auto"/>
              </w:rPr>
              <w:t>Improved recovery</w:t>
            </w:r>
          </w:p>
        </w:tc>
        <w:tc>
          <w:tcPr>
            <w:tcW w:w="7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69"/>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70"/>
              <w:spacing w:after="0"/>
              <w:rPr>
                <w:sz w:val="20"/>
                <w:szCs w:val="20"/>
                <w:color w:val="auto"/>
              </w:rPr>
            </w:pPr>
            <w:r>
              <w:rPr>
                <w:rFonts w:ascii="Arial" w:cs="Arial" w:eastAsia="Arial" w:hAnsi="Arial"/>
                <w:sz w:val="14"/>
                <w:szCs w:val="14"/>
                <w:color w:val="auto"/>
              </w:rPr>
              <w:t>–</w:t>
            </w:r>
          </w:p>
        </w:tc>
        <w:tc>
          <w:tcPr>
            <w:tcW w:w="66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89"/>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89"/>
              <w:spacing w:after="0"/>
              <w:rPr>
                <w:sz w:val="20"/>
                <w:szCs w:val="20"/>
                <w:color w:val="auto"/>
              </w:rPr>
            </w:pPr>
            <w:r>
              <w:rPr>
                <w:rFonts w:ascii="Arial" w:cs="Arial" w:eastAsia="Arial" w:hAnsi="Arial"/>
                <w:sz w:val="14"/>
                <w:szCs w:val="14"/>
                <w:color w:val="auto"/>
              </w:rPr>
              <w:t>–</w:t>
            </w:r>
          </w:p>
        </w:tc>
        <w:tc>
          <w:tcPr>
            <w:tcW w:w="6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660" w:type="dxa"/>
            <w:vAlign w:val="bottom"/>
          </w:tcPr>
          <w:p>
            <w:pPr>
              <w:jc w:val="right"/>
              <w:ind w:right="3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1900" w:type="dxa"/>
            <w:vAlign w:val="bottom"/>
          </w:tcPr>
          <w:p>
            <w:pPr>
              <w:ind w:left="140"/>
              <w:spacing w:after="0"/>
              <w:rPr>
                <w:sz w:val="20"/>
                <w:szCs w:val="20"/>
                <w:color w:val="auto"/>
              </w:rPr>
            </w:pPr>
            <w:r>
              <w:rPr>
                <w:rFonts w:ascii="Arial" w:cs="Arial" w:eastAsia="Arial" w:hAnsi="Arial"/>
                <w:sz w:val="14"/>
                <w:szCs w:val="14"/>
                <w:color w:val="auto"/>
              </w:rPr>
              <w:t>Extensions and discoveries</w:t>
            </w:r>
          </w:p>
        </w:tc>
        <w:tc>
          <w:tcPr>
            <w:tcW w:w="7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69"/>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70"/>
              <w:spacing w:after="0"/>
              <w:rPr>
                <w:sz w:val="20"/>
                <w:szCs w:val="20"/>
                <w:color w:val="auto"/>
              </w:rPr>
            </w:pPr>
            <w:r>
              <w:rPr>
                <w:rFonts w:ascii="Arial" w:cs="Arial" w:eastAsia="Arial" w:hAnsi="Arial"/>
                <w:sz w:val="14"/>
                <w:szCs w:val="14"/>
                <w:color w:val="auto"/>
              </w:rPr>
              <w:t>–</w:t>
            </w:r>
          </w:p>
        </w:tc>
        <w:tc>
          <w:tcPr>
            <w:tcW w:w="66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89"/>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89"/>
              <w:spacing w:after="0"/>
              <w:rPr>
                <w:sz w:val="20"/>
                <w:szCs w:val="20"/>
                <w:color w:val="auto"/>
              </w:rPr>
            </w:pPr>
            <w:r>
              <w:rPr>
                <w:rFonts w:ascii="Arial" w:cs="Arial" w:eastAsia="Arial" w:hAnsi="Arial"/>
                <w:sz w:val="14"/>
                <w:szCs w:val="14"/>
                <w:color w:val="auto"/>
              </w:rPr>
              <w:t>–</w:t>
            </w:r>
          </w:p>
        </w:tc>
        <w:tc>
          <w:tcPr>
            <w:tcW w:w="6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660" w:type="dxa"/>
            <w:vAlign w:val="bottom"/>
          </w:tcPr>
          <w:p>
            <w:pPr>
              <w:jc w:val="right"/>
              <w:ind w:right="3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1900" w:type="dxa"/>
            <w:vAlign w:val="bottom"/>
          </w:tcPr>
          <w:p>
            <w:pPr>
              <w:ind w:left="140"/>
              <w:spacing w:after="0"/>
              <w:rPr>
                <w:sz w:val="20"/>
                <w:szCs w:val="20"/>
                <w:color w:val="auto"/>
              </w:rPr>
            </w:pPr>
            <w:r>
              <w:rPr>
                <w:rFonts w:ascii="Arial" w:cs="Arial" w:eastAsia="Arial" w:hAnsi="Arial"/>
                <w:sz w:val="14"/>
                <w:szCs w:val="14"/>
                <w:color w:val="auto"/>
              </w:rPr>
              <w:t>Purchases of minerals in</w:t>
            </w:r>
          </w:p>
        </w:tc>
        <w:tc>
          <w:tcPr>
            <w:tcW w:w="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900" w:type="dxa"/>
            <w:vAlign w:val="bottom"/>
          </w:tcPr>
          <w:p>
            <w:pPr>
              <w:ind w:left="140"/>
              <w:spacing w:after="0"/>
              <w:rPr>
                <w:sz w:val="20"/>
                <w:szCs w:val="20"/>
                <w:color w:val="auto"/>
              </w:rPr>
            </w:pPr>
            <w:r>
              <w:rPr>
                <w:rFonts w:ascii="Arial" w:cs="Arial" w:eastAsia="Arial" w:hAnsi="Arial"/>
                <w:sz w:val="14"/>
                <w:szCs w:val="14"/>
                <w:color w:val="auto"/>
              </w:rPr>
              <w:t>place</w:t>
            </w:r>
          </w:p>
        </w:tc>
        <w:tc>
          <w:tcPr>
            <w:tcW w:w="7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69"/>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70"/>
              <w:spacing w:after="0"/>
              <w:rPr>
                <w:sz w:val="20"/>
                <w:szCs w:val="20"/>
                <w:color w:val="auto"/>
              </w:rPr>
            </w:pPr>
            <w:r>
              <w:rPr>
                <w:rFonts w:ascii="Arial" w:cs="Arial" w:eastAsia="Arial" w:hAnsi="Arial"/>
                <w:sz w:val="14"/>
                <w:szCs w:val="14"/>
                <w:color w:val="auto"/>
              </w:rPr>
              <w:t>–</w:t>
            </w:r>
          </w:p>
        </w:tc>
        <w:tc>
          <w:tcPr>
            <w:tcW w:w="66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89"/>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89"/>
              <w:spacing w:after="0"/>
              <w:rPr>
                <w:sz w:val="20"/>
                <w:szCs w:val="20"/>
                <w:color w:val="auto"/>
              </w:rPr>
            </w:pPr>
            <w:r>
              <w:rPr>
                <w:rFonts w:ascii="Arial" w:cs="Arial" w:eastAsia="Arial" w:hAnsi="Arial"/>
                <w:sz w:val="14"/>
                <w:szCs w:val="14"/>
                <w:color w:val="auto"/>
              </w:rPr>
              <w:t>–</w:t>
            </w:r>
          </w:p>
        </w:tc>
        <w:tc>
          <w:tcPr>
            <w:tcW w:w="6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660" w:type="dxa"/>
            <w:vAlign w:val="bottom"/>
          </w:tcPr>
          <w:p>
            <w:pPr>
              <w:jc w:val="right"/>
              <w:ind w:right="3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1900" w:type="dxa"/>
            <w:vAlign w:val="bottom"/>
          </w:tcPr>
          <w:p>
            <w:pPr>
              <w:ind w:left="140"/>
              <w:spacing w:after="0"/>
              <w:rPr>
                <w:sz w:val="20"/>
                <w:szCs w:val="20"/>
                <w:color w:val="auto"/>
              </w:rPr>
            </w:pPr>
            <w:r>
              <w:rPr>
                <w:rFonts w:ascii="Arial" w:cs="Arial" w:eastAsia="Arial" w:hAnsi="Arial"/>
                <w:sz w:val="14"/>
                <w:szCs w:val="14"/>
                <w:color w:val="auto"/>
              </w:rPr>
              <w:t>Sales of minerals in place</w:t>
            </w:r>
          </w:p>
        </w:tc>
        <w:tc>
          <w:tcPr>
            <w:tcW w:w="7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69"/>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70"/>
              <w:spacing w:after="0"/>
              <w:rPr>
                <w:sz w:val="20"/>
                <w:szCs w:val="20"/>
                <w:color w:val="auto"/>
              </w:rPr>
            </w:pPr>
            <w:r>
              <w:rPr>
                <w:rFonts w:ascii="Arial" w:cs="Arial" w:eastAsia="Arial" w:hAnsi="Arial"/>
                <w:sz w:val="14"/>
                <w:szCs w:val="14"/>
                <w:color w:val="auto"/>
              </w:rPr>
              <w:t>–</w:t>
            </w:r>
          </w:p>
        </w:tc>
        <w:tc>
          <w:tcPr>
            <w:tcW w:w="66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89"/>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89"/>
              <w:spacing w:after="0"/>
              <w:rPr>
                <w:sz w:val="20"/>
                <w:szCs w:val="20"/>
                <w:color w:val="auto"/>
              </w:rPr>
            </w:pPr>
            <w:r>
              <w:rPr>
                <w:rFonts w:ascii="Arial" w:cs="Arial" w:eastAsia="Arial" w:hAnsi="Arial"/>
                <w:sz w:val="14"/>
                <w:szCs w:val="14"/>
                <w:color w:val="auto"/>
              </w:rPr>
              <w:t>–</w:t>
            </w:r>
          </w:p>
        </w:tc>
        <w:tc>
          <w:tcPr>
            <w:tcW w:w="6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660" w:type="dxa"/>
            <w:vAlign w:val="bottom"/>
          </w:tcPr>
          <w:p>
            <w:pPr>
              <w:jc w:val="right"/>
              <w:ind w:right="3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7"/>
        </w:trPr>
        <w:tc>
          <w:tcPr>
            <w:tcW w:w="1900" w:type="dxa"/>
            <w:vAlign w:val="bottom"/>
            <w:tcBorders>
              <w:bottom w:val="single" w:sz="8" w:color="auto"/>
            </w:tcBorders>
          </w:tcPr>
          <w:p>
            <w:pPr>
              <w:ind w:left="140"/>
              <w:spacing w:after="0" w:line="157" w:lineRule="exact"/>
              <w:rPr>
                <w:sz w:val="20"/>
                <w:szCs w:val="20"/>
                <w:color w:val="auto"/>
              </w:rPr>
            </w:pPr>
            <w:r>
              <w:rPr>
                <w:rFonts w:ascii="Arial" w:cs="Arial" w:eastAsia="Arial" w:hAnsi="Arial"/>
                <w:sz w:val="14"/>
                <w:szCs w:val="14"/>
                <w:color w:val="auto"/>
              </w:rPr>
              <w:t>Production</w:t>
            </w:r>
          </w:p>
        </w:tc>
        <w:tc>
          <w:tcPr>
            <w:tcW w:w="740" w:type="dxa"/>
            <w:vAlign w:val="bottom"/>
            <w:tcBorders>
              <w:bottom w:val="single" w:sz="8" w:color="auto"/>
            </w:tcBorders>
            <w:gridSpan w:val="2"/>
          </w:tcPr>
          <w:p>
            <w:pPr>
              <w:jc w:val="right"/>
              <w:ind w:right="160"/>
              <w:spacing w:after="0" w:line="157" w:lineRule="exact"/>
              <w:rPr>
                <w:sz w:val="20"/>
                <w:szCs w:val="20"/>
                <w:color w:val="auto"/>
              </w:rPr>
            </w:pPr>
            <w:r>
              <w:rPr>
                <w:rFonts w:ascii="Arial" w:cs="Arial" w:eastAsia="Arial" w:hAnsi="Arial"/>
                <w:sz w:val="14"/>
                <w:szCs w:val="14"/>
                <w:color w:val="auto"/>
              </w:rPr>
              <w:t>(2)</w:t>
            </w:r>
          </w:p>
        </w:tc>
        <w:tc>
          <w:tcPr>
            <w:tcW w:w="700" w:type="dxa"/>
            <w:vAlign w:val="bottom"/>
            <w:tcBorders>
              <w:bottom w:val="single" w:sz="8" w:color="auto"/>
            </w:tcBorders>
            <w:gridSpan w:val="2"/>
          </w:tcPr>
          <w:p>
            <w:pPr>
              <w:jc w:val="right"/>
              <w:ind w:right="160"/>
              <w:spacing w:after="0" w:line="157" w:lineRule="exact"/>
              <w:rPr>
                <w:sz w:val="20"/>
                <w:szCs w:val="20"/>
                <w:color w:val="auto"/>
              </w:rPr>
            </w:pPr>
            <w:r>
              <w:rPr>
                <w:rFonts w:ascii="Arial" w:cs="Arial" w:eastAsia="Arial" w:hAnsi="Arial"/>
                <w:sz w:val="14"/>
                <w:szCs w:val="14"/>
                <w:color w:val="auto"/>
              </w:rPr>
              <w:t>(97)</w:t>
            </w:r>
          </w:p>
        </w:tc>
        <w:tc>
          <w:tcPr>
            <w:tcW w:w="780" w:type="dxa"/>
            <w:vAlign w:val="bottom"/>
            <w:tcBorders>
              <w:bottom w:val="single" w:sz="8" w:color="auto"/>
            </w:tcBorders>
            <w:gridSpan w:val="2"/>
          </w:tcPr>
          <w:p>
            <w:pPr>
              <w:jc w:val="right"/>
              <w:ind w:right="180"/>
              <w:spacing w:after="0" w:line="157" w:lineRule="exact"/>
              <w:rPr>
                <w:sz w:val="20"/>
                <w:szCs w:val="20"/>
                <w:color w:val="auto"/>
              </w:rPr>
            </w:pPr>
            <w:r>
              <w:rPr>
                <w:rFonts w:ascii="Arial" w:cs="Arial" w:eastAsia="Arial" w:hAnsi="Arial"/>
                <w:sz w:val="14"/>
                <w:szCs w:val="14"/>
                <w:color w:val="auto"/>
              </w:rPr>
              <w:t>(5)</w:t>
            </w:r>
          </w:p>
        </w:tc>
        <w:tc>
          <w:tcPr>
            <w:tcW w:w="740" w:type="dxa"/>
            <w:vAlign w:val="bottom"/>
            <w:tcBorders>
              <w:bottom w:val="single" w:sz="8" w:color="auto"/>
            </w:tcBorders>
            <w:gridSpan w:val="2"/>
          </w:tcPr>
          <w:p>
            <w:pPr>
              <w:jc w:val="right"/>
              <w:ind w:right="220"/>
              <w:spacing w:after="0" w:line="157" w:lineRule="exact"/>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gridSpan w:val="2"/>
          </w:tcPr>
          <w:p>
            <w:pPr>
              <w:jc w:val="right"/>
              <w:ind w:right="220"/>
              <w:spacing w:after="0" w:line="157" w:lineRule="exact"/>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tcPr>
          <w:p>
            <w:pPr>
              <w:jc w:val="right"/>
              <w:ind w:right="69"/>
              <w:spacing w:after="0" w:line="157" w:lineRule="exact"/>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tcPr>
          <w:p>
            <w:pPr>
              <w:jc w:val="right"/>
              <w:ind w:right="70"/>
              <w:spacing w:after="0" w:line="157" w:lineRule="exact"/>
              <w:rPr>
                <w:sz w:val="20"/>
                <w:szCs w:val="20"/>
                <w:color w:val="auto"/>
              </w:rPr>
            </w:pPr>
            <w:r>
              <w:rPr>
                <w:rFonts w:ascii="Arial" w:cs="Arial" w:eastAsia="Arial" w:hAnsi="Arial"/>
                <w:sz w:val="14"/>
                <w:szCs w:val="14"/>
                <w:color w:val="auto"/>
              </w:rPr>
              <w:t>–</w:t>
            </w:r>
          </w:p>
        </w:tc>
        <w:tc>
          <w:tcPr>
            <w:tcW w:w="660" w:type="dxa"/>
            <w:vAlign w:val="bottom"/>
            <w:tcBorders>
              <w:bottom w:val="single" w:sz="8" w:color="auto"/>
            </w:tcBorders>
          </w:tcPr>
          <w:p>
            <w:pPr>
              <w:jc w:val="right"/>
              <w:ind w:right="29"/>
              <w:spacing w:after="0" w:line="157" w:lineRule="exact"/>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gridSpan w:val="3"/>
          </w:tcPr>
          <w:p>
            <w:pPr>
              <w:jc w:val="right"/>
              <w:ind w:right="200"/>
              <w:spacing w:after="0" w:line="157" w:lineRule="exact"/>
              <w:rPr>
                <w:sz w:val="20"/>
                <w:szCs w:val="20"/>
                <w:color w:val="auto"/>
              </w:rPr>
            </w:pPr>
            <w:r>
              <w:rPr>
                <w:rFonts w:ascii="Arial" w:cs="Arial" w:eastAsia="Arial" w:hAnsi="Arial"/>
                <w:sz w:val="14"/>
                <w:szCs w:val="14"/>
                <w:color w:val="auto"/>
              </w:rPr>
              <w:t>(3)</w:t>
            </w:r>
          </w:p>
        </w:tc>
        <w:tc>
          <w:tcPr>
            <w:tcW w:w="700" w:type="dxa"/>
            <w:vAlign w:val="bottom"/>
            <w:tcBorders>
              <w:bottom w:val="single" w:sz="8" w:color="auto"/>
            </w:tcBorders>
          </w:tcPr>
          <w:p>
            <w:pPr>
              <w:jc w:val="right"/>
              <w:ind w:right="49"/>
              <w:spacing w:after="0" w:line="157" w:lineRule="exact"/>
              <w:rPr>
                <w:sz w:val="20"/>
                <w:szCs w:val="20"/>
                <w:color w:val="auto"/>
              </w:rPr>
            </w:pPr>
            <w:r>
              <w:rPr>
                <w:rFonts w:ascii="Arial" w:cs="Arial" w:eastAsia="Arial" w:hAnsi="Arial"/>
                <w:sz w:val="14"/>
                <w:szCs w:val="14"/>
                <w:color w:val="auto"/>
              </w:rPr>
              <w:t>(107)</w:t>
            </w:r>
          </w:p>
        </w:tc>
        <w:tc>
          <w:tcPr>
            <w:tcW w:w="740" w:type="dxa"/>
            <w:vAlign w:val="bottom"/>
            <w:tcBorders>
              <w:bottom w:val="single" w:sz="8" w:color="auto"/>
            </w:tcBorders>
          </w:tcPr>
          <w:p>
            <w:pPr>
              <w:jc w:val="right"/>
              <w:ind w:right="89"/>
              <w:spacing w:after="0" w:line="157" w:lineRule="exact"/>
              <w:rPr>
                <w:sz w:val="20"/>
                <w:szCs w:val="20"/>
                <w:color w:val="auto"/>
              </w:rPr>
            </w:pPr>
            <w:r>
              <w:rPr>
                <w:rFonts w:ascii="Arial" w:cs="Arial" w:eastAsia="Arial" w:hAnsi="Arial"/>
                <w:sz w:val="14"/>
                <w:szCs w:val="14"/>
                <w:color w:val="auto"/>
              </w:rPr>
              <w:t>–</w:t>
            </w:r>
          </w:p>
        </w:tc>
        <w:tc>
          <w:tcPr>
            <w:tcW w:w="660" w:type="dxa"/>
            <w:vAlign w:val="bottom"/>
            <w:tcBorders>
              <w:bottom w:val="single" w:sz="8" w:color="auto"/>
            </w:tcBorders>
          </w:tcPr>
          <w:p>
            <w:pPr>
              <w:jc w:val="right"/>
              <w:ind w:right="28"/>
              <w:spacing w:after="0" w:line="157" w:lineRule="exact"/>
              <w:rPr>
                <w:sz w:val="20"/>
                <w:szCs w:val="20"/>
                <w:color w:val="auto"/>
              </w:rPr>
            </w:pPr>
            <w:r>
              <w:rPr>
                <w:rFonts w:ascii="Arial" w:cs="Arial" w:eastAsia="Arial" w:hAnsi="Arial"/>
                <w:sz w:val="14"/>
                <w:szCs w:val="14"/>
                <w:color w:val="auto"/>
              </w:rPr>
              <w:t>–</w:t>
            </w:r>
          </w:p>
        </w:tc>
        <w:tc>
          <w:tcPr>
            <w:tcW w:w="660" w:type="dxa"/>
            <w:vAlign w:val="bottom"/>
            <w:tcBorders>
              <w:bottom w:val="single" w:sz="8" w:color="auto"/>
            </w:tcBorders>
          </w:tcPr>
          <w:p>
            <w:pPr>
              <w:jc w:val="right"/>
              <w:spacing w:after="0" w:line="157" w:lineRule="exact"/>
              <w:rPr>
                <w:sz w:val="20"/>
                <w:szCs w:val="20"/>
                <w:color w:val="auto"/>
              </w:rPr>
            </w:pPr>
            <w:r>
              <w:rPr>
                <w:rFonts w:ascii="Arial" w:cs="Arial" w:eastAsia="Arial" w:hAnsi="Arial"/>
                <w:sz w:val="14"/>
                <w:szCs w:val="14"/>
                <w:color w:val="auto"/>
              </w:rPr>
              <w:t>(107)</w:t>
            </w:r>
          </w:p>
        </w:tc>
        <w:tc>
          <w:tcPr>
            <w:tcW w:w="0" w:type="dxa"/>
            <w:vAlign w:val="bottom"/>
          </w:tcPr>
          <w:p>
            <w:pPr>
              <w:spacing w:after="0"/>
              <w:rPr>
                <w:sz w:val="1"/>
                <w:szCs w:val="1"/>
                <w:color w:val="auto"/>
              </w:rPr>
            </w:pPr>
          </w:p>
        </w:tc>
      </w:tr>
      <w:tr>
        <w:trPr>
          <w:trHeight w:val="156"/>
        </w:trPr>
        <w:tc>
          <w:tcPr>
            <w:tcW w:w="1900" w:type="dxa"/>
            <w:vAlign w:val="bottom"/>
            <w:tcBorders>
              <w:bottom w:val="single" w:sz="8" w:color="auto"/>
            </w:tcBorders>
          </w:tcPr>
          <w:p>
            <w:pPr>
              <w:ind w:left="140"/>
              <w:spacing w:after="0" w:line="155" w:lineRule="exact"/>
              <w:rPr>
                <w:sz w:val="20"/>
                <w:szCs w:val="20"/>
                <w:color w:val="auto"/>
              </w:rPr>
            </w:pPr>
            <w:r>
              <w:rPr>
                <w:rFonts w:ascii="Arial" w:cs="Arial" w:eastAsia="Arial" w:hAnsi="Arial"/>
                <w:sz w:val="14"/>
                <w:szCs w:val="14"/>
                <w:color w:val="auto"/>
              </w:rPr>
              <w:t>At December 31</w:t>
            </w:r>
          </w:p>
        </w:tc>
        <w:tc>
          <w:tcPr>
            <w:tcW w:w="740" w:type="dxa"/>
            <w:vAlign w:val="bottom"/>
            <w:tcBorders>
              <w:bottom w:val="single" w:sz="8" w:color="auto"/>
            </w:tcBorders>
            <w:gridSpan w:val="2"/>
          </w:tcPr>
          <w:p>
            <w:pPr>
              <w:jc w:val="right"/>
              <w:ind w:right="220"/>
              <w:spacing w:after="0" w:line="155" w:lineRule="exact"/>
              <w:rPr>
                <w:sz w:val="20"/>
                <w:szCs w:val="20"/>
                <w:color w:val="auto"/>
              </w:rPr>
            </w:pPr>
            <w:r>
              <w:rPr>
                <w:rFonts w:ascii="Arial" w:cs="Arial" w:eastAsia="Arial" w:hAnsi="Arial"/>
                <w:sz w:val="14"/>
                <w:szCs w:val="14"/>
                <w:color w:val="auto"/>
              </w:rPr>
              <w:t>29</w:t>
            </w:r>
          </w:p>
        </w:tc>
        <w:tc>
          <w:tcPr>
            <w:tcW w:w="700" w:type="dxa"/>
            <w:vAlign w:val="bottom"/>
            <w:tcBorders>
              <w:bottom w:val="single" w:sz="8" w:color="auto"/>
            </w:tcBorders>
            <w:gridSpan w:val="2"/>
          </w:tcPr>
          <w:p>
            <w:pPr>
              <w:jc w:val="right"/>
              <w:ind w:right="220"/>
              <w:spacing w:after="0" w:line="155" w:lineRule="exact"/>
              <w:rPr>
                <w:sz w:val="20"/>
                <w:szCs w:val="20"/>
                <w:color w:val="auto"/>
              </w:rPr>
            </w:pPr>
            <w:r>
              <w:rPr>
                <w:rFonts w:ascii="Arial" w:cs="Arial" w:eastAsia="Arial" w:hAnsi="Arial"/>
                <w:sz w:val="14"/>
                <w:szCs w:val="14"/>
                <w:color w:val="auto"/>
              </w:rPr>
              <w:t>381</w:t>
            </w:r>
          </w:p>
        </w:tc>
        <w:tc>
          <w:tcPr>
            <w:tcW w:w="780" w:type="dxa"/>
            <w:vAlign w:val="bottom"/>
            <w:tcBorders>
              <w:bottom w:val="single" w:sz="8" w:color="auto"/>
            </w:tcBorders>
            <w:gridSpan w:val="2"/>
          </w:tcPr>
          <w:p>
            <w:pPr>
              <w:jc w:val="right"/>
              <w:ind w:right="220"/>
              <w:spacing w:after="0" w:line="155" w:lineRule="exact"/>
              <w:rPr>
                <w:sz w:val="20"/>
                <w:szCs w:val="20"/>
                <w:color w:val="auto"/>
              </w:rPr>
            </w:pPr>
            <w:r>
              <w:rPr>
                <w:rFonts w:ascii="Arial" w:cs="Arial" w:eastAsia="Arial" w:hAnsi="Arial"/>
                <w:sz w:val="14"/>
                <w:szCs w:val="14"/>
                <w:color w:val="auto"/>
              </w:rPr>
              <w:t>24</w:t>
            </w:r>
          </w:p>
        </w:tc>
        <w:tc>
          <w:tcPr>
            <w:tcW w:w="740" w:type="dxa"/>
            <w:vAlign w:val="bottom"/>
            <w:tcBorders>
              <w:bottom w:val="single" w:sz="8" w:color="auto"/>
            </w:tcBorders>
            <w:gridSpan w:val="2"/>
          </w:tcPr>
          <w:p>
            <w:pPr>
              <w:jc w:val="right"/>
              <w:ind w:right="220"/>
              <w:spacing w:after="0" w:line="155" w:lineRule="exact"/>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gridSpan w:val="2"/>
          </w:tcPr>
          <w:p>
            <w:pPr>
              <w:jc w:val="right"/>
              <w:ind w:right="220"/>
              <w:spacing w:after="0" w:line="155" w:lineRule="exact"/>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tcPr>
          <w:p>
            <w:pPr>
              <w:jc w:val="right"/>
              <w:ind w:right="69"/>
              <w:spacing w:after="0" w:line="155" w:lineRule="exact"/>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tcPr>
          <w:p>
            <w:pPr>
              <w:jc w:val="right"/>
              <w:ind w:right="70"/>
              <w:spacing w:after="0" w:line="155" w:lineRule="exact"/>
              <w:rPr>
                <w:sz w:val="20"/>
                <w:szCs w:val="20"/>
                <w:color w:val="auto"/>
              </w:rPr>
            </w:pPr>
            <w:r>
              <w:rPr>
                <w:rFonts w:ascii="Arial" w:cs="Arial" w:eastAsia="Arial" w:hAnsi="Arial"/>
                <w:sz w:val="14"/>
                <w:szCs w:val="14"/>
                <w:color w:val="auto"/>
              </w:rPr>
              <w:t>–</w:t>
            </w:r>
          </w:p>
        </w:tc>
        <w:tc>
          <w:tcPr>
            <w:tcW w:w="660" w:type="dxa"/>
            <w:vAlign w:val="bottom"/>
            <w:tcBorders>
              <w:bottom w:val="single" w:sz="8" w:color="auto"/>
            </w:tcBorders>
          </w:tcPr>
          <w:p>
            <w:pPr>
              <w:jc w:val="right"/>
              <w:ind w:right="29"/>
              <w:spacing w:after="0" w:line="155" w:lineRule="exact"/>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gridSpan w:val="3"/>
          </w:tcPr>
          <w:p>
            <w:pPr>
              <w:jc w:val="right"/>
              <w:ind w:right="240"/>
              <w:spacing w:after="0" w:line="155" w:lineRule="exact"/>
              <w:rPr>
                <w:sz w:val="20"/>
                <w:szCs w:val="20"/>
                <w:color w:val="auto"/>
              </w:rPr>
            </w:pPr>
            <w:r>
              <w:rPr>
                <w:rFonts w:ascii="Arial" w:cs="Arial" w:eastAsia="Arial" w:hAnsi="Arial"/>
                <w:sz w:val="14"/>
                <w:szCs w:val="14"/>
                <w:color w:val="auto"/>
              </w:rPr>
              <w:t>17</w:t>
            </w:r>
          </w:p>
        </w:tc>
        <w:tc>
          <w:tcPr>
            <w:tcW w:w="700" w:type="dxa"/>
            <w:vAlign w:val="bottom"/>
            <w:tcBorders>
              <w:bottom w:val="single" w:sz="8" w:color="auto"/>
            </w:tcBorders>
          </w:tcPr>
          <w:p>
            <w:pPr>
              <w:jc w:val="right"/>
              <w:ind w:right="89"/>
              <w:spacing w:after="0" w:line="155" w:lineRule="exact"/>
              <w:rPr>
                <w:sz w:val="20"/>
                <w:szCs w:val="20"/>
                <w:color w:val="auto"/>
              </w:rPr>
            </w:pPr>
            <w:r>
              <w:rPr>
                <w:rFonts w:ascii="Arial" w:cs="Arial" w:eastAsia="Arial" w:hAnsi="Arial"/>
                <w:sz w:val="14"/>
                <w:szCs w:val="14"/>
                <w:color w:val="auto"/>
              </w:rPr>
              <w:t>451</w:t>
            </w:r>
          </w:p>
        </w:tc>
        <w:tc>
          <w:tcPr>
            <w:tcW w:w="740" w:type="dxa"/>
            <w:vAlign w:val="bottom"/>
            <w:tcBorders>
              <w:bottom w:val="single" w:sz="8" w:color="auto"/>
            </w:tcBorders>
          </w:tcPr>
          <w:p>
            <w:pPr>
              <w:jc w:val="right"/>
              <w:ind w:right="89"/>
              <w:spacing w:after="0" w:line="155" w:lineRule="exact"/>
              <w:rPr>
                <w:sz w:val="20"/>
                <w:szCs w:val="20"/>
                <w:color w:val="auto"/>
              </w:rPr>
            </w:pPr>
            <w:r>
              <w:rPr>
                <w:rFonts w:ascii="Arial" w:cs="Arial" w:eastAsia="Arial" w:hAnsi="Arial"/>
                <w:sz w:val="14"/>
                <w:szCs w:val="14"/>
                <w:color w:val="auto"/>
              </w:rPr>
              <w:t>–</w:t>
            </w:r>
          </w:p>
        </w:tc>
        <w:tc>
          <w:tcPr>
            <w:tcW w:w="660" w:type="dxa"/>
            <w:vAlign w:val="bottom"/>
            <w:tcBorders>
              <w:bottom w:val="single" w:sz="8" w:color="auto"/>
            </w:tcBorders>
          </w:tcPr>
          <w:p>
            <w:pPr>
              <w:jc w:val="right"/>
              <w:ind w:right="28"/>
              <w:spacing w:after="0" w:line="155" w:lineRule="exact"/>
              <w:rPr>
                <w:sz w:val="20"/>
                <w:szCs w:val="20"/>
                <w:color w:val="auto"/>
              </w:rPr>
            </w:pPr>
            <w:r>
              <w:rPr>
                <w:rFonts w:ascii="Arial" w:cs="Arial" w:eastAsia="Arial" w:hAnsi="Arial"/>
                <w:sz w:val="14"/>
                <w:szCs w:val="14"/>
                <w:color w:val="auto"/>
              </w:rPr>
              <w:t>–</w:t>
            </w:r>
          </w:p>
        </w:tc>
        <w:tc>
          <w:tcPr>
            <w:tcW w:w="660" w:type="dxa"/>
            <w:vAlign w:val="bottom"/>
            <w:tcBorders>
              <w:bottom w:val="single" w:sz="8" w:color="auto"/>
            </w:tcBorders>
          </w:tcPr>
          <w:p>
            <w:pPr>
              <w:jc w:val="right"/>
              <w:ind w:right="30"/>
              <w:spacing w:after="0" w:line="155" w:lineRule="exact"/>
              <w:rPr>
                <w:sz w:val="20"/>
                <w:szCs w:val="20"/>
                <w:color w:val="auto"/>
              </w:rPr>
            </w:pPr>
            <w:r>
              <w:rPr>
                <w:rFonts w:ascii="Arial" w:cs="Arial" w:eastAsia="Arial" w:hAnsi="Arial"/>
                <w:sz w:val="14"/>
                <w:szCs w:val="14"/>
                <w:color w:val="auto"/>
              </w:rPr>
              <w:t>451</w:t>
            </w:r>
          </w:p>
        </w:tc>
        <w:tc>
          <w:tcPr>
            <w:tcW w:w="0" w:type="dxa"/>
            <w:vAlign w:val="bottom"/>
          </w:tcPr>
          <w:p>
            <w:pPr>
              <w:spacing w:after="0"/>
              <w:rPr>
                <w:sz w:val="1"/>
                <w:szCs w:val="1"/>
                <w:color w:val="auto"/>
              </w:rPr>
            </w:pPr>
          </w:p>
        </w:tc>
      </w:tr>
      <w:tr>
        <w:trPr>
          <w:trHeight w:val="156"/>
        </w:trPr>
        <w:tc>
          <w:tcPr>
            <w:tcW w:w="1900" w:type="dxa"/>
            <w:vAlign w:val="bottom"/>
            <w:tcBorders>
              <w:bottom w:val="single" w:sz="8" w:color="auto"/>
            </w:tcBorders>
          </w:tcPr>
          <w:p>
            <w:pPr>
              <w:spacing w:after="0" w:line="155" w:lineRule="exact"/>
              <w:rPr>
                <w:sz w:val="20"/>
                <w:szCs w:val="20"/>
                <w:color w:val="auto"/>
              </w:rPr>
            </w:pPr>
            <w:r>
              <w:rPr>
                <w:rFonts w:ascii="Arial" w:cs="Arial" w:eastAsia="Arial" w:hAnsi="Arial"/>
                <w:sz w:val="14"/>
                <w:szCs w:val="14"/>
                <w:color w:val="auto"/>
              </w:rPr>
              <w:t>Total</w:t>
            </w:r>
          </w:p>
        </w:tc>
        <w:tc>
          <w:tcPr>
            <w:tcW w:w="740" w:type="dxa"/>
            <w:vAlign w:val="bottom"/>
            <w:tcBorders>
              <w:bottom w:val="single" w:sz="8" w:color="auto"/>
            </w:tcBorders>
            <w:gridSpan w:val="2"/>
          </w:tcPr>
          <w:p>
            <w:pPr>
              <w:jc w:val="right"/>
              <w:ind w:right="220"/>
              <w:spacing w:after="0" w:line="155" w:lineRule="exact"/>
              <w:rPr>
                <w:sz w:val="20"/>
                <w:szCs w:val="20"/>
                <w:color w:val="auto"/>
              </w:rPr>
            </w:pPr>
            <w:r>
              <w:rPr>
                <w:rFonts w:ascii="Arial" w:cs="Arial" w:eastAsia="Arial" w:hAnsi="Arial"/>
                <w:sz w:val="14"/>
                <w:szCs w:val="14"/>
                <w:color w:val="auto"/>
              </w:rPr>
              <w:t>798</w:t>
            </w:r>
          </w:p>
        </w:tc>
        <w:tc>
          <w:tcPr>
            <w:tcW w:w="700" w:type="dxa"/>
            <w:vAlign w:val="bottom"/>
            <w:tcBorders>
              <w:bottom w:val="single" w:sz="8" w:color="auto"/>
            </w:tcBorders>
            <w:gridSpan w:val="2"/>
          </w:tcPr>
          <w:p>
            <w:pPr>
              <w:jc w:val="right"/>
              <w:ind w:right="220"/>
              <w:spacing w:after="0" w:line="155" w:lineRule="exact"/>
              <w:rPr>
                <w:sz w:val="20"/>
                <w:szCs w:val="20"/>
                <w:color w:val="auto"/>
              </w:rPr>
            </w:pPr>
            <w:r>
              <w:rPr>
                <w:rFonts w:ascii="Arial" w:cs="Arial" w:eastAsia="Arial" w:hAnsi="Arial"/>
                <w:sz w:val="14"/>
                <w:szCs w:val="14"/>
                <w:color w:val="auto"/>
              </w:rPr>
              <w:t>1,724</w:t>
            </w:r>
          </w:p>
        </w:tc>
        <w:tc>
          <w:tcPr>
            <w:tcW w:w="780" w:type="dxa"/>
            <w:vAlign w:val="bottom"/>
            <w:tcBorders>
              <w:bottom w:val="single" w:sz="8" w:color="auto"/>
            </w:tcBorders>
            <w:gridSpan w:val="2"/>
          </w:tcPr>
          <w:p>
            <w:pPr>
              <w:jc w:val="right"/>
              <w:ind w:right="220"/>
              <w:spacing w:after="0" w:line="155" w:lineRule="exact"/>
              <w:rPr>
                <w:sz w:val="20"/>
                <w:szCs w:val="20"/>
                <w:color w:val="auto"/>
              </w:rPr>
            </w:pPr>
            <w:r>
              <w:rPr>
                <w:rFonts w:ascii="Arial" w:cs="Arial" w:eastAsia="Arial" w:hAnsi="Arial"/>
                <w:sz w:val="14"/>
                <w:szCs w:val="14"/>
                <w:color w:val="auto"/>
              </w:rPr>
              <w:t>163</w:t>
            </w:r>
          </w:p>
        </w:tc>
        <w:tc>
          <w:tcPr>
            <w:tcW w:w="740" w:type="dxa"/>
            <w:vAlign w:val="bottom"/>
            <w:tcBorders>
              <w:bottom w:val="single" w:sz="8" w:color="auto"/>
            </w:tcBorders>
            <w:gridSpan w:val="2"/>
          </w:tcPr>
          <w:p>
            <w:pPr>
              <w:jc w:val="right"/>
              <w:ind w:right="220"/>
              <w:spacing w:after="0" w:line="155" w:lineRule="exact"/>
              <w:rPr>
                <w:sz w:val="20"/>
                <w:szCs w:val="20"/>
                <w:color w:val="auto"/>
              </w:rPr>
            </w:pPr>
            <w:r>
              <w:rPr>
                <w:rFonts w:ascii="Arial" w:cs="Arial" w:eastAsia="Arial" w:hAnsi="Arial"/>
                <w:sz w:val="14"/>
                <w:szCs w:val="14"/>
                <w:color w:val="auto"/>
              </w:rPr>
              <w:t>651</w:t>
            </w:r>
          </w:p>
        </w:tc>
        <w:tc>
          <w:tcPr>
            <w:tcW w:w="640" w:type="dxa"/>
            <w:vAlign w:val="bottom"/>
            <w:tcBorders>
              <w:bottom w:val="single" w:sz="8" w:color="auto"/>
            </w:tcBorders>
          </w:tcPr>
          <w:p>
            <w:pPr>
              <w:jc w:val="right"/>
              <w:ind w:right="29"/>
              <w:spacing w:after="0" w:line="155" w:lineRule="exact"/>
              <w:rPr>
                <w:sz w:val="20"/>
                <w:szCs w:val="20"/>
                <w:color w:val="auto"/>
              </w:rPr>
            </w:pPr>
            <w:r>
              <w:rPr>
                <w:rFonts w:ascii="Arial" w:cs="Arial" w:eastAsia="Arial" w:hAnsi="Arial"/>
                <w:sz w:val="14"/>
                <w:szCs w:val="14"/>
                <w:color w:val="auto"/>
              </w:rPr>
              <w:t>991</w:t>
            </w:r>
          </w:p>
        </w:tc>
        <w:tc>
          <w:tcPr>
            <w:tcW w:w="12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ind w:right="69"/>
              <w:spacing w:after="0" w:line="155" w:lineRule="exact"/>
              <w:rPr>
                <w:sz w:val="20"/>
                <w:szCs w:val="20"/>
                <w:color w:val="auto"/>
              </w:rPr>
            </w:pPr>
            <w:r>
              <w:rPr>
                <w:rFonts w:ascii="Arial" w:cs="Arial" w:eastAsia="Arial" w:hAnsi="Arial"/>
                <w:sz w:val="14"/>
                <w:szCs w:val="14"/>
                <w:color w:val="auto"/>
              </w:rPr>
              <w:t>29</w:t>
            </w:r>
          </w:p>
        </w:tc>
        <w:tc>
          <w:tcPr>
            <w:tcW w:w="760" w:type="dxa"/>
            <w:vAlign w:val="bottom"/>
            <w:tcBorders>
              <w:bottom w:val="single" w:sz="8" w:color="auto"/>
            </w:tcBorders>
          </w:tcPr>
          <w:p>
            <w:pPr>
              <w:jc w:val="right"/>
              <w:ind w:right="70"/>
              <w:spacing w:after="0" w:line="155" w:lineRule="exact"/>
              <w:rPr>
                <w:sz w:val="20"/>
                <w:szCs w:val="20"/>
                <w:color w:val="auto"/>
              </w:rPr>
            </w:pPr>
            <w:r>
              <w:rPr>
                <w:rFonts w:ascii="Arial" w:cs="Arial" w:eastAsia="Arial" w:hAnsi="Arial"/>
                <w:sz w:val="14"/>
                <w:szCs w:val="14"/>
                <w:color w:val="auto"/>
              </w:rPr>
              <w:t>1,731</w:t>
            </w:r>
          </w:p>
        </w:tc>
        <w:tc>
          <w:tcPr>
            <w:tcW w:w="660" w:type="dxa"/>
            <w:vAlign w:val="bottom"/>
            <w:tcBorders>
              <w:bottom w:val="single" w:sz="8" w:color="auto"/>
            </w:tcBorders>
          </w:tcPr>
          <w:p>
            <w:pPr>
              <w:jc w:val="right"/>
              <w:ind w:right="29"/>
              <w:spacing w:after="0" w:line="155" w:lineRule="exact"/>
              <w:rPr>
                <w:sz w:val="20"/>
                <w:szCs w:val="20"/>
                <w:color w:val="auto"/>
              </w:rPr>
            </w:pPr>
            <w:r>
              <w:rPr>
                <w:rFonts w:ascii="Arial" w:cs="Arial" w:eastAsia="Arial" w:hAnsi="Arial"/>
                <w:sz w:val="14"/>
                <w:szCs w:val="14"/>
                <w:color w:val="auto"/>
              </w:rPr>
              <w:t>422</w:t>
            </w:r>
          </w:p>
        </w:tc>
        <w:tc>
          <w:tcPr>
            <w:tcW w:w="940" w:type="dxa"/>
            <w:vAlign w:val="bottom"/>
            <w:tcBorders>
              <w:bottom w:val="single" w:sz="8" w:color="auto"/>
            </w:tcBorders>
            <w:gridSpan w:val="3"/>
          </w:tcPr>
          <w:p>
            <w:pPr>
              <w:jc w:val="right"/>
              <w:ind w:right="240"/>
              <w:spacing w:after="0" w:line="155" w:lineRule="exact"/>
              <w:rPr>
                <w:sz w:val="20"/>
                <w:szCs w:val="20"/>
                <w:color w:val="auto"/>
              </w:rPr>
            </w:pPr>
            <w:r>
              <w:rPr>
                <w:rFonts w:ascii="Arial" w:cs="Arial" w:eastAsia="Arial" w:hAnsi="Arial"/>
                <w:sz w:val="14"/>
                <w:szCs w:val="14"/>
                <w:color w:val="auto"/>
              </w:rPr>
              <w:t>112</w:t>
            </w:r>
          </w:p>
        </w:tc>
        <w:tc>
          <w:tcPr>
            <w:tcW w:w="700" w:type="dxa"/>
            <w:vAlign w:val="bottom"/>
            <w:tcBorders>
              <w:bottom w:val="single" w:sz="8" w:color="auto"/>
            </w:tcBorders>
          </w:tcPr>
          <w:p>
            <w:pPr>
              <w:jc w:val="right"/>
              <w:ind w:right="89"/>
              <w:spacing w:after="0" w:line="155" w:lineRule="exact"/>
              <w:rPr>
                <w:sz w:val="20"/>
                <w:szCs w:val="20"/>
                <w:color w:val="auto"/>
              </w:rPr>
            </w:pPr>
            <w:r>
              <w:rPr>
                <w:rFonts w:ascii="Arial" w:cs="Arial" w:eastAsia="Arial" w:hAnsi="Arial"/>
                <w:sz w:val="14"/>
                <w:szCs w:val="14"/>
                <w:color w:val="auto"/>
              </w:rPr>
              <w:t>4,468</w:t>
            </w:r>
          </w:p>
        </w:tc>
        <w:tc>
          <w:tcPr>
            <w:tcW w:w="740" w:type="dxa"/>
            <w:vAlign w:val="bottom"/>
            <w:tcBorders>
              <w:bottom w:val="single" w:sz="8" w:color="auto"/>
            </w:tcBorders>
          </w:tcPr>
          <w:p>
            <w:pPr>
              <w:jc w:val="right"/>
              <w:ind w:right="89"/>
              <w:spacing w:after="0" w:line="155" w:lineRule="exact"/>
              <w:rPr>
                <w:sz w:val="20"/>
                <w:szCs w:val="20"/>
                <w:color w:val="auto"/>
              </w:rPr>
            </w:pPr>
            <w:r>
              <w:rPr>
                <w:rFonts w:ascii="Arial" w:cs="Arial" w:eastAsia="Arial" w:hAnsi="Arial"/>
                <w:sz w:val="14"/>
                <w:szCs w:val="14"/>
                <w:color w:val="auto"/>
              </w:rPr>
              <w:t>1,731</w:t>
            </w:r>
          </w:p>
        </w:tc>
        <w:tc>
          <w:tcPr>
            <w:tcW w:w="660" w:type="dxa"/>
            <w:vAlign w:val="bottom"/>
            <w:tcBorders>
              <w:bottom w:val="single" w:sz="8" w:color="auto"/>
            </w:tcBorders>
          </w:tcPr>
          <w:p>
            <w:pPr>
              <w:jc w:val="right"/>
              <w:ind w:right="28"/>
              <w:spacing w:after="0" w:line="155" w:lineRule="exact"/>
              <w:rPr>
                <w:sz w:val="20"/>
                <w:szCs w:val="20"/>
                <w:color w:val="auto"/>
              </w:rPr>
            </w:pPr>
            <w:r>
              <w:rPr>
                <w:rFonts w:ascii="Arial" w:cs="Arial" w:eastAsia="Arial" w:hAnsi="Arial"/>
                <w:sz w:val="14"/>
                <w:szCs w:val="14"/>
                <w:color w:val="auto"/>
              </w:rPr>
              <w:t>422</w:t>
            </w:r>
          </w:p>
        </w:tc>
        <w:tc>
          <w:tcPr>
            <w:tcW w:w="660" w:type="dxa"/>
            <w:vAlign w:val="bottom"/>
            <w:tcBorders>
              <w:bottom w:val="single" w:sz="8" w:color="auto"/>
            </w:tcBorders>
          </w:tcPr>
          <w:p>
            <w:pPr>
              <w:jc w:val="right"/>
              <w:ind w:right="30"/>
              <w:spacing w:after="0" w:line="155" w:lineRule="exact"/>
              <w:rPr>
                <w:sz w:val="20"/>
                <w:szCs w:val="20"/>
                <w:color w:val="auto"/>
              </w:rPr>
            </w:pPr>
            <w:r>
              <w:rPr>
                <w:rFonts w:ascii="Arial" w:cs="Arial" w:eastAsia="Arial" w:hAnsi="Arial"/>
                <w:sz w:val="14"/>
                <w:szCs w:val="14"/>
                <w:color w:val="auto"/>
              </w:rPr>
              <w:t>6,621</w:t>
            </w:r>
          </w:p>
        </w:tc>
        <w:tc>
          <w:tcPr>
            <w:tcW w:w="0" w:type="dxa"/>
            <w:vAlign w:val="bottom"/>
          </w:tcPr>
          <w:p>
            <w:pPr>
              <w:spacing w:after="0"/>
              <w:rPr>
                <w:sz w:val="1"/>
                <w:szCs w:val="1"/>
                <w:color w:val="auto"/>
              </w:rPr>
            </w:pPr>
          </w:p>
        </w:tc>
      </w:tr>
      <w:tr>
        <w:trPr>
          <w:trHeight w:val="160"/>
        </w:trPr>
        <w:tc>
          <w:tcPr>
            <w:tcW w:w="1900" w:type="dxa"/>
            <w:vAlign w:val="bottom"/>
          </w:tcPr>
          <w:p>
            <w:pPr>
              <w:spacing w:after="0"/>
              <w:rPr>
                <w:sz w:val="20"/>
                <w:szCs w:val="20"/>
                <w:color w:val="auto"/>
              </w:rPr>
            </w:pPr>
            <w:r>
              <w:rPr>
                <w:rFonts w:ascii="Arial" w:cs="Arial" w:eastAsia="Arial" w:hAnsi="Arial"/>
                <w:sz w:val="14"/>
                <w:szCs w:val="14"/>
                <w:color w:val="auto"/>
              </w:rPr>
              <w:t>Reserves attributable to non-</w:t>
            </w:r>
          </w:p>
        </w:tc>
        <w:tc>
          <w:tcPr>
            <w:tcW w:w="5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1900" w:type="dxa"/>
            <w:vAlign w:val="bottom"/>
          </w:tcPr>
          <w:p>
            <w:pPr>
              <w:ind w:left="160"/>
              <w:spacing w:after="0"/>
              <w:rPr>
                <w:sz w:val="20"/>
                <w:szCs w:val="20"/>
                <w:color w:val="auto"/>
              </w:rPr>
            </w:pPr>
            <w:r>
              <w:rPr>
                <w:rFonts w:ascii="Arial" w:cs="Arial" w:eastAsia="Arial" w:hAnsi="Arial"/>
                <w:sz w:val="14"/>
                <w:szCs w:val="14"/>
                <w:color w:val="auto"/>
              </w:rPr>
              <w:t>controlling interest in Shell</w:t>
            </w:r>
          </w:p>
        </w:tc>
        <w:tc>
          <w:tcPr>
            <w:tcW w:w="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900" w:type="dxa"/>
            <w:vAlign w:val="bottom"/>
          </w:tcPr>
          <w:p>
            <w:pPr>
              <w:ind w:left="160"/>
              <w:spacing w:after="0"/>
              <w:rPr>
                <w:sz w:val="20"/>
                <w:szCs w:val="20"/>
                <w:color w:val="auto"/>
              </w:rPr>
            </w:pPr>
            <w:r>
              <w:rPr>
                <w:rFonts w:ascii="Arial" w:cs="Arial" w:eastAsia="Arial" w:hAnsi="Arial"/>
                <w:sz w:val="14"/>
                <w:szCs w:val="14"/>
                <w:color w:val="auto"/>
              </w:rPr>
              <w:t>subsidiaries at</w:t>
            </w:r>
          </w:p>
        </w:tc>
        <w:tc>
          <w:tcPr>
            <w:tcW w:w="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1900" w:type="dxa"/>
            <w:vAlign w:val="bottom"/>
            <w:tcBorders>
              <w:bottom w:val="single" w:sz="8" w:color="auto"/>
            </w:tcBorders>
          </w:tcPr>
          <w:p>
            <w:pPr>
              <w:ind w:left="160"/>
              <w:spacing w:after="0" w:line="157" w:lineRule="exact"/>
              <w:rPr>
                <w:sz w:val="20"/>
                <w:szCs w:val="20"/>
                <w:color w:val="auto"/>
              </w:rPr>
            </w:pPr>
            <w:r>
              <w:rPr>
                <w:rFonts w:ascii="Arial" w:cs="Arial" w:eastAsia="Arial" w:hAnsi="Arial"/>
                <w:sz w:val="14"/>
                <w:szCs w:val="14"/>
                <w:color w:val="auto"/>
              </w:rPr>
              <w:t>December 31</w:t>
            </w:r>
          </w:p>
        </w:tc>
        <w:tc>
          <w:tcPr>
            <w:tcW w:w="740" w:type="dxa"/>
            <w:vAlign w:val="bottom"/>
            <w:tcBorders>
              <w:bottom w:val="single" w:sz="8" w:color="auto"/>
            </w:tcBorders>
            <w:gridSpan w:val="2"/>
          </w:tcPr>
          <w:p>
            <w:pPr>
              <w:jc w:val="right"/>
              <w:ind w:right="220"/>
              <w:spacing w:after="0" w:line="157" w:lineRule="exact"/>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gridSpan w:val="2"/>
          </w:tcPr>
          <w:p>
            <w:pPr>
              <w:jc w:val="right"/>
              <w:ind w:right="220"/>
              <w:spacing w:after="0" w:line="157" w:lineRule="exact"/>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gridSpan w:val="2"/>
          </w:tcPr>
          <w:p>
            <w:pPr>
              <w:jc w:val="right"/>
              <w:ind w:right="220"/>
              <w:spacing w:after="0" w:line="157" w:lineRule="exact"/>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gridSpan w:val="2"/>
          </w:tcPr>
          <w:p>
            <w:pPr>
              <w:jc w:val="right"/>
              <w:ind w:right="220"/>
              <w:spacing w:after="0" w:line="157" w:lineRule="exact"/>
              <w:rPr>
                <w:sz w:val="20"/>
                <w:szCs w:val="20"/>
                <w:color w:val="auto"/>
              </w:rPr>
            </w:pPr>
            <w:r>
              <w:rPr>
                <w:rFonts w:ascii="Arial" w:cs="Arial" w:eastAsia="Arial" w:hAnsi="Arial"/>
                <w:sz w:val="14"/>
                <w:szCs w:val="14"/>
                <w:color w:val="auto"/>
              </w:rPr>
              <w:t>10</w:t>
            </w:r>
          </w:p>
        </w:tc>
        <w:tc>
          <w:tcPr>
            <w:tcW w:w="760" w:type="dxa"/>
            <w:vAlign w:val="bottom"/>
            <w:tcBorders>
              <w:bottom w:val="single" w:sz="8" w:color="auto"/>
            </w:tcBorders>
            <w:gridSpan w:val="2"/>
          </w:tcPr>
          <w:p>
            <w:pPr>
              <w:jc w:val="right"/>
              <w:ind w:right="220"/>
              <w:spacing w:after="0" w:line="157" w:lineRule="exact"/>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tcPr>
          <w:p>
            <w:pPr>
              <w:jc w:val="right"/>
              <w:ind w:right="69"/>
              <w:spacing w:after="0" w:line="157" w:lineRule="exact"/>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tcPr>
          <w:p>
            <w:pPr>
              <w:jc w:val="right"/>
              <w:ind w:right="70"/>
              <w:spacing w:after="0" w:line="157" w:lineRule="exact"/>
              <w:rPr>
                <w:sz w:val="20"/>
                <w:szCs w:val="20"/>
                <w:color w:val="auto"/>
              </w:rPr>
            </w:pPr>
            <w:r>
              <w:rPr>
                <w:rFonts w:ascii="Arial" w:cs="Arial" w:eastAsia="Arial" w:hAnsi="Arial"/>
                <w:sz w:val="14"/>
                <w:szCs w:val="14"/>
                <w:color w:val="auto"/>
              </w:rPr>
              <w:t>–</w:t>
            </w:r>
          </w:p>
        </w:tc>
        <w:tc>
          <w:tcPr>
            <w:tcW w:w="660" w:type="dxa"/>
            <w:vAlign w:val="bottom"/>
            <w:tcBorders>
              <w:bottom w:val="single" w:sz="8" w:color="auto"/>
            </w:tcBorders>
          </w:tcPr>
          <w:p>
            <w:pPr>
              <w:jc w:val="right"/>
              <w:ind w:right="29"/>
              <w:spacing w:after="0" w:line="157" w:lineRule="exact"/>
              <w:rPr>
                <w:sz w:val="20"/>
                <w:szCs w:val="20"/>
                <w:color w:val="auto"/>
              </w:rPr>
            </w:pPr>
            <w:r>
              <w:rPr>
                <w:rFonts w:ascii="Arial" w:cs="Arial" w:eastAsia="Arial" w:hAnsi="Arial"/>
                <w:sz w:val="14"/>
                <w:szCs w:val="14"/>
                <w:color w:val="auto"/>
              </w:rPr>
              <w:t>–</w:t>
            </w:r>
          </w:p>
        </w:tc>
        <w:tc>
          <w:tcPr>
            <w:tcW w:w="14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gridSpan w:val="2"/>
          </w:tcPr>
          <w:p>
            <w:pPr>
              <w:jc w:val="right"/>
              <w:ind w:right="240"/>
              <w:spacing w:after="0" w:line="157" w:lineRule="exact"/>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tcPr>
          <w:p>
            <w:pPr>
              <w:jc w:val="right"/>
              <w:ind w:right="89"/>
              <w:spacing w:after="0" w:line="157" w:lineRule="exact"/>
              <w:rPr>
                <w:sz w:val="20"/>
                <w:szCs w:val="20"/>
                <w:color w:val="auto"/>
              </w:rPr>
            </w:pPr>
            <w:r>
              <w:rPr>
                <w:rFonts w:ascii="Arial" w:cs="Arial" w:eastAsia="Arial" w:hAnsi="Arial"/>
                <w:sz w:val="14"/>
                <w:szCs w:val="14"/>
                <w:color w:val="auto"/>
              </w:rPr>
              <w:t>10</w:t>
            </w:r>
          </w:p>
        </w:tc>
        <w:tc>
          <w:tcPr>
            <w:tcW w:w="740" w:type="dxa"/>
            <w:vAlign w:val="bottom"/>
            <w:tcBorders>
              <w:bottom w:val="single" w:sz="8" w:color="auto"/>
            </w:tcBorders>
          </w:tcPr>
          <w:p>
            <w:pPr>
              <w:jc w:val="right"/>
              <w:ind w:right="89"/>
              <w:spacing w:after="0" w:line="157" w:lineRule="exact"/>
              <w:rPr>
                <w:sz w:val="20"/>
                <w:szCs w:val="20"/>
                <w:color w:val="auto"/>
              </w:rPr>
            </w:pPr>
            <w:r>
              <w:rPr>
                <w:rFonts w:ascii="Arial" w:cs="Arial" w:eastAsia="Arial" w:hAnsi="Arial"/>
                <w:sz w:val="14"/>
                <w:szCs w:val="14"/>
                <w:color w:val="auto"/>
              </w:rPr>
              <w:t>–</w:t>
            </w:r>
          </w:p>
        </w:tc>
        <w:tc>
          <w:tcPr>
            <w:tcW w:w="660" w:type="dxa"/>
            <w:vAlign w:val="bottom"/>
            <w:tcBorders>
              <w:bottom w:val="single" w:sz="8" w:color="auto"/>
            </w:tcBorders>
          </w:tcPr>
          <w:p>
            <w:pPr>
              <w:jc w:val="right"/>
              <w:ind w:right="28"/>
              <w:spacing w:after="0" w:line="157" w:lineRule="exact"/>
              <w:rPr>
                <w:sz w:val="20"/>
                <w:szCs w:val="20"/>
                <w:color w:val="auto"/>
              </w:rPr>
            </w:pPr>
            <w:r>
              <w:rPr>
                <w:rFonts w:ascii="Arial" w:cs="Arial" w:eastAsia="Arial" w:hAnsi="Arial"/>
                <w:sz w:val="14"/>
                <w:szCs w:val="14"/>
                <w:color w:val="auto"/>
              </w:rPr>
              <w:t>–</w:t>
            </w:r>
          </w:p>
        </w:tc>
        <w:tc>
          <w:tcPr>
            <w:tcW w:w="660" w:type="dxa"/>
            <w:vAlign w:val="bottom"/>
            <w:tcBorders>
              <w:bottom w:val="single" w:sz="8" w:color="auto"/>
            </w:tcBorders>
          </w:tcPr>
          <w:p>
            <w:pPr>
              <w:jc w:val="right"/>
              <w:ind w:right="30"/>
              <w:spacing w:after="0" w:line="157" w:lineRule="exact"/>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bl>
    <w:p>
      <w:pPr>
        <w:spacing w:after="0" w:line="37" w:lineRule="exact"/>
        <w:rPr>
          <w:sz w:val="20"/>
          <w:szCs w:val="20"/>
          <w:color w:val="auto"/>
        </w:rPr>
      </w:pPr>
    </w:p>
    <w:p>
      <w:pPr>
        <w:spacing w:after="0"/>
        <w:rPr>
          <w:sz w:val="20"/>
          <w:szCs w:val="20"/>
          <w:color w:val="auto"/>
        </w:rPr>
      </w:pPr>
      <w:r>
        <w:rPr>
          <w:rFonts w:ascii="Arial" w:cs="Arial" w:eastAsia="Arial" w:hAnsi="Arial"/>
          <w:sz w:val="11"/>
          <w:szCs w:val="11"/>
          <w:color w:val="auto"/>
        </w:rPr>
        <w:t>[A] Includes 2 million barrels consumed in operations.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3520" w:type="dxa"/>
            <w:vAlign w:val="bottom"/>
            <w:gridSpan w:val="5"/>
            <w:shd w:val="clear" w:color="auto" w:fill="333333"/>
          </w:tcPr>
          <w:p>
            <w:pPr>
              <w:ind w:left="80"/>
              <w:spacing w:after="0"/>
              <w:rPr>
                <w:sz w:val="20"/>
                <w:szCs w:val="20"/>
                <w:color w:val="auto"/>
              </w:rPr>
            </w:pPr>
            <w:r>
              <w:rPr>
                <w:rFonts w:ascii="Arial" w:cs="Arial" w:eastAsia="Arial" w:hAnsi="Arial"/>
                <w:sz w:val="15"/>
                <w:szCs w:val="15"/>
                <w:b w:val="1"/>
                <w:bCs w:val="1"/>
                <w:color w:val="FFFFFF"/>
              </w:rPr>
              <w:t>PROVED DEVELOPED RESERVES 2013</w:t>
            </w:r>
          </w:p>
        </w:tc>
        <w:tc>
          <w:tcPr>
            <w:tcW w:w="560" w:type="dxa"/>
            <w:vAlign w:val="bottom"/>
            <w:shd w:val="clear" w:color="auto" w:fill="333333"/>
          </w:tcPr>
          <w:p>
            <w:pPr>
              <w:spacing w:after="0"/>
              <w:rPr>
                <w:sz w:val="15"/>
                <w:szCs w:val="15"/>
                <w:color w:val="auto"/>
              </w:rPr>
            </w:pPr>
          </w:p>
        </w:tc>
        <w:tc>
          <w:tcPr>
            <w:tcW w:w="200" w:type="dxa"/>
            <w:vAlign w:val="bottom"/>
            <w:shd w:val="clear" w:color="auto" w:fill="333333"/>
          </w:tcPr>
          <w:p>
            <w:pPr>
              <w:spacing w:after="0"/>
              <w:rPr>
                <w:sz w:val="15"/>
                <w:szCs w:val="15"/>
                <w:color w:val="auto"/>
              </w:rPr>
            </w:pPr>
          </w:p>
        </w:tc>
        <w:tc>
          <w:tcPr>
            <w:tcW w:w="520" w:type="dxa"/>
            <w:vAlign w:val="bottom"/>
            <w:shd w:val="clear" w:color="auto" w:fill="333333"/>
          </w:tcPr>
          <w:p>
            <w:pPr>
              <w:spacing w:after="0"/>
              <w:rPr>
                <w:sz w:val="15"/>
                <w:szCs w:val="15"/>
                <w:color w:val="auto"/>
              </w:rPr>
            </w:pPr>
          </w:p>
        </w:tc>
        <w:tc>
          <w:tcPr>
            <w:tcW w:w="200" w:type="dxa"/>
            <w:vAlign w:val="bottom"/>
            <w:shd w:val="clear" w:color="auto" w:fill="333333"/>
          </w:tcPr>
          <w:p>
            <w:pPr>
              <w:spacing w:after="0"/>
              <w:rPr>
                <w:sz w:val="15"/>
                <w:szCs w:val="15"/>
                <w:color w:val="auto"/>
              </w:rPr>
            </w:pPr>
          </w:p>
        </w:tc>
        <w:tc>
          <w:tcPr>
            <w:tcW w:w="600" w:type="dxa"/>
            <w:vAlign w:val="bottom"/>
            <w:shd w:val="clear" w:color="auto" w:fill="333333"/>
          </w:tcPr>
          <w:p>
            <w:pPr>
              <w:spacing w:after="0"/>
              <w:rPr>
                <w:sz w:val="15"/>
                <w:szCs w:val="15"/>
                <w:color w:val="auto"/>
              </w:rPr>
            </w:pPr>
          </w:p>
        </w:tc>
        <w:tc>
          <w:tcPr>
            <w:tcW w:w="120" w:type="dxa"/>
            <w:vAlign w:val="bottom"/>
            <w:shd w:val="clear" w:color="auto" w:fill="333333"/>
          </w:tcPr>
          <w:p>
            <w:pPr>
              <w:spacing w:after="0"/>
              <w:rPr>
                <w:sz w:val="15"/>
                <w:szCs w:val="15"/>
                <w:color w:val="auto"/>
              </w:rPr>
            </w:pPr>
          </w:p>
        </w:tc>
        <w:tc>
          <w:tcPr>
            <w:tcW w:w="660" w:type="dxa"/>
            <w:vAlign w:val="bottom"/>
            <w:shd w:val="clear" w:color="auto" w:fill="333333"/>
          </w:tcPr>
          <w:p>
            <w:pPr>
              <w:spacing w:after="0"/>
              <w:rPr>
                <w:sz w:val="15"/>
                <w:szCs w:val="15"/>
                <w:color w:val="auto"/>
              </w:rPr>
            </w:pPr>
          </w:p>
        </w:tc>
        <w:tc>
          <w:tcPr>
            <w:tcW w:w="740" w:type="dxa"/>
            <w:vAlign w:val="bottom"/>
            <w:shd w:val="clear" w:color="auto" w:fill="333333"/>
          </w:tcPr>
          <w:p>
            <w:pPr>
              <w:spacing w:after="0"/>
              <w:rPr>
                <w:sz w:val="15"/>
                <w:szCs w:val="15"/>
                <w:color w:val="auto"/>
              </w:rPr>
            </w:pPr>
          </w:p>
        </w:tc>
        <w:tc>
          <w:tcPr>
            <w:tcW w:w="660" w:type="dxa"/>
            <w:vAlign w:val="bottom"/>
            <w:shd w:val="clear" w:color="auto" w:fill="333333"/>
          </w:tcPr>
          <w:p>
            <w:pPr>
              <w:spacing w:after="0"/>
              <w:rPr>
                <w:sz w:val="15"/>
                <w:szCs w:val="15"/>
                <w:color w:val="auto"/>
              </w:rPr>
            </w:pPr>
          </w:p>
        </w:tc>
        <w:tc>
          <w:tcPr>
            <w:tcW w:w="120" w:type="dxa"/>
            <w:vAlign w:val="bottom"/>
            <w:shd w:val="clear" w:color="auto" w:fill="333333"/>
          </w:tcPr>
          <w:p>
            <w:pPr>
              <w:spacing w:after="0"/>
              <w:rPr>
                <w:sz w:val="15"/>
                <w:szCs w:val="15"/>
                <w:color w:val="auto"/>
              </w:rPr>
            </w:pPr>
          </w:p>
        </w:tc>
        <w:tc>
          <w:tcPr>
            <w:tcW w:w="580" w:type="dxa"/>
            <w:vAlign w:val="bottom"/>
            <w:shd w:val="clear" w:color="auto" w:fill="333333"/>
          </w:tcPr>
          <w:p>
            <w:pPr>
              <w:spacing w:after="0"/>
              <w:rPr>
                <w:sz w:val="15"/>
                <w:szCs w:val="15"/>
                <w:color w:val="auto"/>
              </w:rPr>
            </w:pPr>
          </w:p>
        </w:tc>
        <w:tc>
          <w:tcPr>
            <w:tcW w:w="220" w:type="dxa"/>
            <w:vAlign w:val="bottom"/>
            <w:shd w:val="clear" w:color="auto" w:fill="333333"/>
          </w:tcPr>
          <w:p>
            <w:pPr>
              <w:spacing w:after="0"/>
              <w:rPr>
                <w:sz w:val="15"/>
                <w:szCs w:val="15"/>
                <w:color w:val="auto"/>
              </w:rPr>
            </w:pPr>
          </w:p>
        </w:tc>
        <w:tc>
          <w:tcPr>
            <w:tcW w:w="640" w:type="dxa"/>
            <w:vAlign w:val="bottom"/>
            <w:shd w:val="clear" w:color="auto" w:fill="333333"/>
          </w:tcPr>
          <w:p>
            <w:pPr>
              <w:spacing w:after="0"/>
              <w:rPr>
                <w:sz w:val="15"/>
                <w:szCs w:val="15"/>
                <w:color w:val="auto"/>
              </w:rPr>
            </w:pPr>
          </w:p>
        </w:tc>
        <w:tc>
          <w:tcPr>
            <w:tcW w:w="2080" w:type="dxa"/>
            <w:vAlign w:val="bottom"/>
            <w:gridSpan w:val="3"/>
            <w:shd w:val="clear" w:color="auto" w:fill="333333"/>
          </w:tcPr>
          <w:p>
            <w:pPr>
              <w:jc w:val="right"/>
              <w:ind w:right="32"/>
              <w:spacing w:after="0"/>
              <w:rPr>
                <w:sz w:val="20"/>
                <w:szCs w:val="20"/>
                <w:color w:val="auto"/>
              </w:rPr>
            </w:pPr>
            <w:r>
              <w:rPr>
                <w:rFonts w:ascii="Arial" w:cs="Arial" w:eastAsia="Arial" w:hAnsi="Arial"/>
                <w:sz w:val="15"/>
                <w:szCs w:val="15"/>
                <w:color w:val="FFFFFF"/>
              </w:rPr>
              <w:t>MILLION BARRELS</w:t>
            </w:r>
          </w:p>
        </w:tc>
      </w:tr>
      <w:tr>
        <w:trPr>
          <w:trHeight w:val="135"/>
        </w:trPr>
        <w:tc>
          <w:tcPr>
            <w:tcW w:w="20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1400" w:type="dxa"/>
            <w:vAlign w:val="bottom"/>
            <w:tcBorders>
              <w:bottom w:val="single" w:sz="8" w:color="auto"/>
            </w:tcBorders>
            <w:gridSpan w:val="2"/>
          </w:tcPr>
          <w:p>
            <w:pPr>
              <w:jc w:val="right"/>
              <w:ind w:right="11"/>
              <w:spacing w:after="0" w:line="135" w:lineRule="exact"/>
              <w:rPr>
                <w:sz w:val="20"/>
                <w:szCs w:val="20"/>
                <w:color w:val="auto"/>
              </w:rPr>
            </w:pPr>
            <w:r>
              <w:rPr>
                <w:rFonts w:ascii="Arial" w:cs="Arial" w:eastAsia="Arial" w:hAnsi="Arial"/>
                <w:sz w:val="13"/>
                <w:szCs w:val="13"/>
                <w:color w:val="auto"/>
              </w:rPr>
              <w:t>North America</w:t>
            </w:r>
          </w:p>
        </w:tc>
        <w:tc>
          <w:tcPr>
            <w:tcW w:w="120" w:type="dxa"/>
            <w:vAlign w:val="bottom"/>
          </w:tcPr>
          <w:p>
            <w:pPr>
              <w:spacing w:after="0"/>
              <w:rPr>
                <w:sz w:val="11"/>
                <w:szCs w:val="11"/>
                <w:color w:val="auto"/>
              </w:rPr>
            </w:pPr>
          </w:p>
        </w:tc>
        <w:tc>
          <w:tcPr>
            <w:tcW w:w="80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South</w:t>
            </w: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80" w:type="dxa"/>
            <w:vAlign w:val="bottom"/>
          </w:tcPr>
          <w:p>
            <w:pPr>
              <w:spacing w:after="0"/>
              <w:rPr>
                <w:sz w:val="11"/>
                <w:szCs w:val="11"/>
                <w:color w:val="auto"/>
              </w:rPr>
            </w:pPr>
          </w:p>
        </w:tc>
      </w:tr>
      <w:tr>
        <w:trPr>
          <w:trHeight w:val="129"/>
        </w:trPr>
        <w:tc>
          <w:tcPr>
            <w:tcW w:w="2080" w:type="dxa"/>
            <w:vAlign w:val="bottom"/>
          </w:tcPr>
          <w:p>
            <w:pPr>
              <w:spacing w:after="0"/>
              <w:rPr>
                <w:sz w:val="11"/>
                <w:szCs w:val="11"/>
                <w:color w:val="auto"/>
              </w:rPr>
            </w:pPr>
          </w:p>
        </w:tc>
        <w:tc>
          <w:tcPr>
            <w:tcW w:w="720" w:type="dxa"/>
            <w:vAlign w:val="bottom"/>
            <w:gridSpan w:val="2"/>
          </w:tcPr>
          <w:p>
            <w:pPr>
              <w:jc w:val="right"/>
              <w:ind w:right="200"/>
              <w:spacing w:after="0" w:line="129" w:lineRule="exact"/>
              <w:rPr>
                <w:sz w:val="20"/>
                <w:szCs w:val="20"/>
                <w:color w:val="auto"/>
              </w:rPr>
            </w:pPr>
            <w:r>
              <w:rPr>
                <w:rFonts w:ascii="Arial" w:cs="Arial" w:eastAsia="Arial" w:hAnsi="Arial"/>
                <w:sz w:val="13"/>
                <w:szCs w:val="13"/>
                <w:color w:val="auto"/>
              </w:rPr>
              <w:t>Europe</w:t>
            </w:r>
          </w:p>
        </w:tc>
        <w:tc>
          <w:tcPr>
            <w:tcW w:w="720" w:type="dxa"/>
            <w:vAlign w:val="bottom"/>
            <w:gridSpan w:val="2"/>
          </w:tcPr>
          <w:p>
            <w:pPr>
              <w:jc w:val="right"/>
              <w:ind w:right="240"/>
              <w:spacing w:after="0" w:line="129" w:lineRule="exact"/>
              <w:rPr>
                <w:sz w:val="20"/>
                <w:szCs w:val="20"/>
                <w:color w:val="auto"/>
              </w:rPr>
            </w:pPr>
            <w:r>
              <w:rPr>
                <w:rFonts w:ascii="Arial" w:cs="Arial" w:eastAsia="Arial" w:hAnsi="Arial"/>
                <w:sz w:val="13"/>
                <w:szCs w:val="13"/>
                <w:color w:val="auto"/>
              </w:rPr>
              <w:t>Asia[A]</w:t>
            </w:r>
          </w:p>
        </w:tc>
        <w:tc>
          <w:tcPr>
            <w:tcW w:w="760" w:type="dxa"/>
            <w:vAlign w:val="bottom"/>
            <w:gridSpan w:val="2"/>
          </w:tcPr>
          <w:p>
            <w:pPr>
              <w:jc w:val="right"/>
              <w:ind w:right="200"/>
              <w:spacing w:after="0" w:line="129" w:lineRule="exact"/>
              <w:rPr>
                <w:sz w:val="20"/>
                <w:szCs w:val="20"/>
                <w:color w:val="auto"/>
              </w:rPr>
            </w:pPr>
            <w:r>
              <w:rPr>
                <w:rFonts w:ascii="Arial" w:cs="Arial" w:eastAsia="Arial" w:hAnsi="Arial"/>
                <w:sz w:val="13"/>
                <w:szCs w:val="13"/>
                <w:color w:val="auto"/>
              </w:rPr>
              <w:t>Oceania</w:t>
            </w:r>
          </w:p>
        </w:tc>
        <w:tc>
          <w:tcPr>
            <w:tcW w:w="720" w:type="dxa"/>
            <w:vAlign w:val="bottom"/>
            <w:gridSpan w:val="2"/>
          </w:tcPr>
          <w:p>
            <w:pPr>
              <w:jc w:val="right"/>
              <w:ind w:right="200"/>
              <w:spacing w:after="0" w:line="129" w:lineRule="exact"/>
              <w:rPr>
                <w:sz w:val="20"/>
                <w:szCs w:val="20"/>
                <w:color w:val="auto"/>
              </w:rPr>
            </w:pPr>
            <w:r>
              <w:rPr>
                <w:rFonts w:ascii="Arial" w:cs="Arial" w:eastAsia="Arial" w:hAnsi="Arial"/>
                <w:sz w:val="13"/>
                <w:szCs w:val="13"/>
                <w:color w:val="auto"/>
              </w:rPr>
              <w:t>Africa</w:t>
            </w:r>
          </w:p>
        </w:tc>
        <w:tc>
          <w:tcPr>
            <w:tcW w:w="720" w:type="dxa"/>
            <w:vAlign w:val="bottom"/>
            <w:gridSpan w:val="2"/>
          </w:tcPr>
          <w:p>
            <w:pPr>
              <w:jc w:val="right"/>
              <w:ind w:right="220"/>
              <w:spacing w:after="0" w:line="129" w:lineRule="exact"/>
              <w:rPr>
                <w:sz w:val="20"/>
                <w:szCs w:val="20"/>
                <w:color w:val="auto"/>
              </w:rPr>
            </w:pPr>
            <w:r>
              <w:rPr>
                <w:rFonts w:ascii="Arial" w:cs="Arial" w:eastAsia="Arial" w:hAnsi="Arial"/>
                <w:sz w:val="13"/>
                <w:szCs w:val="13"/>
                <w:color w:val="auto"/>
              </w:rPr>
              <w:t>USA[A]</w:t>
            </w: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jc w:val="right"/>
              <w:ind w:right="11"/>
              <w:spacing w:after="0" w:line="129" w:lineRule="exact"/>
              <w:rPr>
                <w:sz w:val="20"/>
                <w:szCs w:val="20"/>
                <w:color w:val="auto"/>
              </w:rPr>
            </w:pPr>
            <w:r>
              <w:rPr>
                <w:rFonts w:ascii="Arial" w:cs="Arial" w:eastAsia="Arial" w:hAnsi="Arial"/>
                <w:sz w:val="13"/>
                <w:szCs w:val="13"/>
                <w:color w:val="auto"/>
              </w:rPr>
              <w:t>Canada</w:t>
            </w:r>
          </w:p>
        </w:tc>
        <w:tc>
          <w:tcPr>
            <w:tcW w:w="120" w:type="dxa"/>
            <w:vAlign w:val="bottom"/>
          </w:tcPr>
          <w:p>
            <w:pPr>
              <w:spacing w:after="0"/>
              <w:rPr>
                <w:sz w:val="11"/>
                <w:szCs w:val="11"/>
                <w:color w:val="auto"/>
              </w:rPr>
            </w:pPr>
          </w:p>
        </w:tc>
        <w:tc>
          <w:tcPr>
            <w:tcW w:w="800" w:type="dxa"/>
            <w:vAlign w:val="bottom"/>
            <w:gridSpan w:val="2"/>
          </w:tcPr>
          <w:p>
            <w:pPr>
              <w:jc w:val="right"/>
              <w:ind w:right="220"/>
              <w:spacing w:after="0" w:line="129" w:lineRule="exact"/>
              <w:rPr>
                <w:sz w:val="20"/>
                <w:szCs w:val="20"/>
                <w:color w:val="auto"/>
              </w:rPr>
            </w:pPr>
            <w:r>
              <w:rPr>
                <w:rFonts w:ascii="Arial" w:cs="Arial" w:eastAsia="Arial" w:hAnsi="Arial"/>
                <w:sz w:val="13"/>
                <w:szCs w:val="13"/>
                <w:color w:val="auto"/>
              </w:rPr>
              <w:t>America</w:t>
            </w: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80" w:type="dxa"/>
            <w:vAlign w:val="bottom"/>
          </w:tcPr>
          <w:p>
            <w:pPr>
              <w:jc w:val="right"/>
              <w:ind w:right="32"/>
              <w:spacing w:after="0" w:line="129" w:lineRule="exact"/>
              <w:rPr>
                <w:sz w:val="20"/>
                <w:szCs w:val="20"/>
                <w:color w:val="auto"/>
              </w:rPr>
            </w:pPr>
            <w:r>
              <w:rPr>
                <w:rFonts w:ascii="Arial" w:cs="Arial" w:eastAsia="Arial" w:hAnsi="Arial"/>
                <w:sz w:val="13"/>
                <w:szCs w:val="13"/>
                <w:color w:val="auto"/>
              </w:rPr>
              <w:t>Total</w:t>
            </w:r>
          </w:p>
        </w:tc>
      </w:tr>
      <w:tr>
        <w:trPr>
          <w:trHeight w:val="20"/>
        </w:trPr>
        <w:tc>
          <w:tcPr>
            <w:tcW w:w="208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r>
      <w:tr>
        <w:trPr>
          <w:trHeight w:val="123"/>
        </w:trPr>
        <w:tc>
          <w:tcPr>
            <w:tcW w:w="2080" w:type="dxa"/>
            <w:vAlign w:val="bottom"/>
          </w:tcPr>
          <w:p>
            <w:pPr>
              <w:spacing w:after="0"/>
              <w:rPr>
                <w:sz w:val="10"/>
                <w:szCs w:val="10"/>
                <w:color w:val="auto"/>
              </w:rPr>
            </w:pPr>
          </w:p>
        </w:tc>
        <w:tc>
          <w:tcPr>
            <w:tcW w:w="720" w:type="dxa"/>
            <w:vAlign w:val="bottom"/>
            <w:gridSpan w:val="2"/>
          </w:tcPr>
          <w:p>
            <w:pPr>
              <w:jc w:val="right"/>
              <w:ind w:right="200"/>
              <w:spacing w:after="0" w:line="123" w:lineRule="exact"/>
              <w:rPr>
                <w:sz w:val="20"/>
                <w:szCs w:val="20"/>
                <w:color w:val="auto"/>
              </w:rPr>
            </w:pPr>
            <w:r>
              <w:rPr>
                <w:rFonts w:ascii="Arial" w:cs="Arial" w:eastAsia="Arial" w:hAnsi="Arial"/>
                <w:sz w:val="13"/>
                <w:szCs w:val="13"/>
                <w:color w:val="auto"/>
              </w:rPr>
              <w:t>Oil and</w:t>
            </w:r>
          </w:p>
        </w:tc>
        <w:tc>
          <w:tcPr>
            <w:tcW w:w="720" w:type="dxa"/>
            <w:vAlign w:val="bottom"/>
            <w:gridSpan w:val="2"/>
          </w:tcPr>
          <w:p>
            <w:pPr>
              <w:jc w:val="right"/>
              <w:ind w:right="220"/>
              <w:spacing w:after="0" w:line="123" w:lineRule="exact"/>
              <w:rPr>
                <w:sz w:val="20"/>
                <w:szCs w:val="20"/>
                <w:color w:val="auto"/>
              </w:rPr>
            </w:pPr>
            <w:r>
              <w:rPr>
                <w:rFonts w:ascii="Arial" w:cs="Arial" w:eastAsia="Arial" w:hAnsi="Arial"/>
                <w:sz w:val="13"/>
                <w:szCs w:val="13"/>
                <w:color w:val="auto"/>
              </w:rPr>
              <w:t>Oil and</w:t>
            </w:r>
          </w:p>
        </w:tc>
        <w:tc>
          <w:tcPr>
            <w:tcW w:w="760" w:type="dxa"/>
            <w:vAlign w:val="bottom"/>
            <w:gridSpan w:val="2"/>
          </w:tcPr>
          <w:p>
            <w:pPr>
              <w:jc w:val="right"/>
              <w:ind w:right="200"/>
              <w:spacing w:after="0" w:line="123" w:lineRule="exact"/>
              <w:rPr>
                <w:sz w:val="20"/>
                <w:szCs w:val="20"/>
                <w:color w:val="auto"/>
              </w:rPr>
            </w:pPr>
            <w:r>
              <w:rPr>
                <w:rFonts w:ascii="Arial" w:cs="Arial" w:eastAsia="Arial" w:hAnsi="Arial"/>
                <w:sz w:val="13"/>
                <w:szCs w:val="13"/>
                <w:color w:val="auto"/>
              </w:rPr>
              <w:t>Oil and</w:t>
            </w:r>
          </w:p>
        </w:tc>
        <w:tc>
          <w:tcPr>
            <w:tcW w:w="720" w:type="dxa"/>
            <w:vAlign w:val="bottom"/>
            <w:gridSpan w:val="2"/>
          </w:tcPr>
          <w:p>
            <w:pPr>
              <w:jc w:val="right"/>
              <w:ind w:right="200"/>
              <w:spacing w:after="0" w:line="123" w:lineRule="exact"/>
              <w:rPr>
                <w:sz w:val="20"/>
                <w:szCs w:val="20"/>
                <w:color w:val="auto"/>
              </w:rPr>
            </w:pPr>
            <w:r>
              <w:rPr>
                <w:rFonts w:ascii="Arial" w:cs="Arial" w:eastAsia="Arial" w:hAnsi="Arial"/>
                <w:sz w:val="13"/>
                <w:szCs w:val="13"/>
                <w:color w:val="auto"/>
              </w:rPr>
              <w:t>Oil and</w:t>
            </w:r>
          </w:p>
        </w:tc>
        <w:tc>
          <w:tcPr>
            <w:tcW w:w="720" w:type="dxa"/>
            <w:vAlign w:val="bottom"/>
            <w:gridSpan w:val="2"/>
          </w:tcPr>
          <w:p>
            <w:pPr>
              <w:jc w:val="right"/>
              <w:ind w:right="220"/>
              <w:spacing w:after="0" w:line="123" w:lineRule="exact"/>
              <w:rPr>
                <w:sz w:val="20"/>
                <w:szCs w:val="20"/>
                <w:color w:val="auto"/>
              </w:rPr>
            </w:pPr>
            <w:r>
              <w:rPr>
                <w:rFonts w:ascii="Arial" w:cs="Arial" w:eastAsia="Arial" w:hAnsi="Arial"/>
                <w:sz w:val="13"/>
                <w:szCs w:val="13"/>
                <w:color w:val="auto"/>
              </w:rPr>
              <w:t>Oil and</w:t>
            </w:r>
          </w:p>
        </w:tc>
        <w:tc>
          <w:tcPr>
            <w:tcW w:w="660" w:type="dxa"/>
            <w:vAlign w:val="bottom"/>
          </w:tcPr>
          <w:p>
            <w:pPr>
              <w:jc w:val="right"/>
              <w:ind w:right="51"/>
              <w:spacing w:after="0" w:line="123" w:lineRule="exact"/>
              <w:rPr>
                <w:sz w:val="20"/>
                <w:szCs w:val="20"/>
                <w:color w:val="auto"/>
              </w:rPr>
            </w:pPr>
            <w:r>
              <w:rPr>
                <w:rFonts w:ascii="Arial" w:cs="Arial" w:eastAsia="Arial" w:hAnsi="Arial"/>
                <w:sz w:val="13"/>
                <w:szCs w:val="13"/>
                <w:color w:val="auto"/>
              </w:rPr>
              <w:t>Oil and</w:t>
            </w:r>
          </w:p>
        </w:tc>
        <w:tc>
          <w:tcPr>
            <w:tcW w:w="740" w:type="dxa"/>
            <w:vAlign w:val="bottom"/>
          </w:tcPr>
          <w:p>
            <w:pPr>
              <w:jc w:val="right"/>
              <w:ind w:right="52"/>
              <w:spacing w:after="0" w:line="123" w:lineRule="exact"/>
              <w:rPr>
                <w:sz w:val="20"/>
                <w:szCs w:val="20"/>
                <w:color w:val="auto"/>
              </w:rPr>
            </w:pPr>
            <w:r>
              <w:rPr>
                <w:rFonts w:ascii="Arial" w:cs="Arial" w:eastAsia="Arial" w:hAnsi="Arial"/>
                <w:sz w:val="13"/>
                <w:szCs w:val="13"/>
                <w:color w:val="auto"/>
              </w:rPr>
              <w:t>Synthetic</w:t>
            </w: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gridSpan w:val="2"/>
          </w:tcPr>
          <w:p>
            <w:pPr>
              <w:jc w:val="right"/>
              <w:ind w:right="220"/>
              <w:spacing w:after="0" w:line="123" w:lineRule="exact"/>
              <w:rPr>
                <w:sz w:val="20"/>
                <w:szCs w:val="20"/>
                <w:color w:val="auto"/>
              </w:rPr>
            </w:pPr>
            <w:r>
              <w:rPr>
                <w:rFonts w:ascii="Arial" w:cs="Arial" w:eastAsia="Arial" w:hAnsi="Arial"/>
                <w:sz w:val="13"/>
                <w:szCs w:val="13"/>
                <w:color w:val="auto"/>
              </w:rPr>
              <w:t>Oil and</w:t>
            </w:r>
          </w:p>
        </w:tc>
        <w:tc>
          <w:tcPr>
            <w:tcW w:w="640" w:type="dxa"/>
            <w:vAlign w:val="bottom"/>
          </w:tcPr>
          <w:p>
            <w:pPr>
              <w:jc w:val="right"/>
              <w:ind w:right="31"/>
              <w:spacing w:after="0" w:line="123" w:lineRule="exact"/>
              <w:rPr>
                <w:sz w:val="20"/>
                <w:szCs w:val="20"/>
                <w:color w:val="auto"/>
              </w:rPr>
            </w:pPr>
            <w:r>
              <w:rPr>
                <w:rFonts w:ascii="Arial" w:cs="Arial" w:eastAsia="Arial" w:hAnsi="Arial"/>
                <w:sz w:val="13"/>
                <w:szCs w:val="13"/>
                <w:color w:val="auto"/>
              </w:rPr>
              <w:t>Oil and</w:t>
            </w:r>
          </w:p>
        </w:tc>
        <w:tc>
          <w:tcPr>
            <w:tcW w:w="740" w:type="dxa"/>
            <w:vAlign w:val="bottom"/>
          </w:tcPr>
          <w:p>
            <w:pPr>
              <w:jc w:val="right"/>
              <w:ind w:right="30"/>
              <w:spacing w:after="0" w:line="123" w:lineRule="exact"/>
              <w:rPr>
                <w:sz w:val="20"/>
                <w:szCs w:val="20"/>
                <w:color w:val="auto"/>
              </w:rPr>
            </w:pPr>
            <w:r>
              <w:rPr>
                <w:rFonts w:ascii="Arial" w:cs="Arial" w:eastAsia="Arial" w:hAnsi="Arial"/>
                <w:sz w:val="13"/>
                <w:szCs w:val="13"/>
                <w:color w:val="auto"/>
              </w:rPr>
              <w:t>Synthetic</w:t>
            </w:r>
          </w:p>
        </w:tc>
        <w:tc>
          <w:tcPr>
            <w:tcW w:w="660" w:type="dxa"/>
            <w:vAlign w:val="bottom"/>
          </w:tcPr>
          <w:p>
            <w:pPr>
              <w:spacing w:after="0"/>
              <w:rPr>
                <w:sz w:val="10"/>
                <w:szCs w:val="10"/>
                <w:color w:val="auto"/>
              </w:rPr>
            </w:pPr>
          </w:p>
        </w:tc>
        <w:tc>
          <w:tcPr>
            <w:tcW w:w="680" w:type="dxa"/>
            <w:vAlign w:val="bottom"/>
          </w:tcPr>
          <w:p>
            <w:pPr>
              <w:jc w:val="right"/>
              <w:ind w:right="32"/>
              <w:spacing w:after="0" w:line="123" w:lineRule="exact"/>
              <w:rPr>
                <w:sz w:val="20"/>
                <w:szCs w:val="20"/>
                <w:color w:val="auto"/>
              </w:rPr>
            </w:pPr>
            <w:r>
              <w:rPr>
                <w:rFonts w:ascii="Arial" w:cs="Arial" w:eastAsia="Arial" w:hAnsi="Arial"/>
                <w:sz w:val="13"/>
                <w:szCs w:val="13"/>
                <w:color w:val="auto"/>
              </w:rPr>
              <w:t>All</w:t>
            </w:r>
          </w:p>
        </w:tc>
      </w:tr>
      <w:tr>
        <w:trPr>
          <w:trHeight w:val="155"/>
        </w:trPr>
        <w:tc>
          <w:tcPr>
            <w:tcW w:w="208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gridSpan w:val="2"/>
          </w:tcPr>
          <w:p>
            <w:pPr>
              <w:jc w:val="right"/>
              <w:ind w:right="200"/>
              <w:spacing w:after="0"/>
              <w:rPr>
                <w:sz w:val="20"/>
                <w:szCs w:val="20"/>
                <w:color w:val="auto"/>
              </w:rPr>
            </w:pPr>
            <w:r>
              <w:rPr>
                <w:rFonts w:ascii="Arial" w:cs="Arial" w:eastAsia="Arial" w:hAnsi="Arial"/>
                <w:sz w:val="13"/>
                <w:szCs w:val="13"/>
                <w:color w:val="auto"/>
              </w:rPr>
              <w:t>NGL</w:t>
            </w:r>
          </w:p>
        </w:tc>
        <w:tc>
          <w:tcPr>
            <w:tcW w:w="72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3"/>
                <w:szCs w:val="13"/>
                <w:color w:val="auto"/>
              </w:rPr>
              <w:t>NGL</w:t>
            </w:r>
          </w:p>
        </w:tc>
        <w:tc>
          <w:tcPr>
            <w:tcW w:w="760" w:type="dxa"/>
            <w:vAlign w:val="bottom"/>
            <w:tcBorders>
              <w:bottom w:val="single" w:sz="8" w:color="auto"/>
            </w:tcBorders>
            <w:gridSpan w:val="2"/>
          </w:tcPr>
          <w:p>
            <w:pPr>
              <w:jc w:val="right"/>
              <w:ind w:right="200"/>
              <w:spacing w:after="0"/>
              <w:rPr>
                <w:sz w:val="20"/>
                <w:szCs w:val="20"/>
                <w:color w:val="auto"/>
              </w:rPr>
            </w:pPr>
            <w:r>
              <w:rPr>
                <w:rFonts w:ascii="Arial" w:cs="Arial" w:eastAsia="Arial" w:hAnsi="Arial"/>
                <w:sz w:val="13"/>
                <w:szCs w:val="13"/>
                <w:color w:val="auto"/>
              </w:rPr>
              <w:t>NGL</w:t>
            </w:r>
          </w:p>
        </w:tc>
        <w:tc>
          <w:tcPr>
            <w:tcW w:w="720" w:type="dxa"/>
            <w:vAlign w:val="bottom"/>
            <w:tcBorders>
              <w:bottom w:val="single" w:sz="8" w:color="auto"/>
            </w:tcBorders>
            <w:gridSpan w:val="2"/>
          </w:tcPr>
          <w:p>
            <w:pPr>
              <w:jc w:val="right"/>
              <w:ind w:right="200"/>
              <w:spacing w:after="0"/>
              <w:rPr>
                <w:sz w:val="20"/>
                <w:szCs w:val="20"/>
                <w:color w:val="auto"/>
              </w:rPr>
            </w:pPr>
            <w:r>
              <w:rPr>
                <w:rFonts w:ascii="Arial" w:cs="Arial" w:eastAsia="Arial" w:hAnsi="Arial"/>
                <w:sz w:val="13"/>
                <w:szCs w:val="13"/>
                <w:color w:val="auto"/>
              </w:rPr>
              <w:t>NGL</w:t>
            </w:r>
          </w:p>
        </w:tc>
        <w:tc>
          <w:tcPr>
            <w:tcW w:w="72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3"/>
                <w:szCs w:val="13"/>
                <w:color w:val="auto"/>
              </w:rPr>
              <w:t>NGL</w:t>
            </w:r>
          </w:p>
        </w:tc>
        <w:tc>
          <w:tcPr>
            <w:tcW w:w="660" w:type="dxa"/>
            <w:vAlign w:val="bottom"/>
            <w:tcBorders>
              <w:bottom w:val="single" w:sz="8" w:color="auto"/>
            </w:tcBorders>
          </w:tcPr>
          <w:p>
            <w:pPr>
              <w:jc w:val="right"/>
              <w:ind w:right="51"/>
              <w:spacing w:after="0"/>
              <w:rPr>
                <w:sz w:val="20"/>
                <w:szCs w:val="20"/>
                <w:color w:val="auto"/>
              </w:rPr>
            </w:pPr>
            <w:r>
              <w:rPr>
                <w:rFonts w:ascii="Arial" w:cs="Arial" w:eastAsia="Arial" w:hAnsi="Arial"/>
                <w:sz w:val="13"/>
                <w:szCs w:val="13"/>
                <w:color w:val="auto"/>
              </w:rPr>
              <w:t>NGL</w:t>
            </w:r>
          </w:p>
        </w:tc>
        <w:tc>
          <w:tcPr>
            <w:tcW w:w="740" w:type="dxa"/>
            <w:vAlign w:val="bottom"/>
            <w:tcBorders>
              <w:bottom w:val="single" w:sz="8" w:color="auto"/>
            </w:tcBorders>
          </w:tcPr>
          <w:p>
            <w:pPr>
              <w:jc w:val="right"/>
              <w:ind w:right="52"/>
              <w:spacing w:after="0"/>
              <w:rPr>
                <w:sz w:val="20"/>
                <w:szCs w:val="20"/>
                <w:color w:val="auto"/>
              </w:rPr>
            </w:pPr>
            <w:r>
              <w:rPr>
                <w:rFonts w:ascii="Arial" w:cs="Arial" w:eastAsia="Arial" w:hAnsi="Arial"/>
                <w:sz w:val="13"/>
                <w:szCs w:val="13"/>
                <w:color w:val="auto"/>
              </w:rPr>
              <w:t>crude oil</w:t>
            </w:r>
          </w:p>
        </w:tc>
        <w:tc>
          <w:tcPr>
            <w:tcW w:w="660" w:type="dxa"/>
            <w:vAlign w:val="bottom"/>
            <w:tcBorders>
              <w:bottom w:val="single" w:sz="8" w:color="auto"/>
            </w:tcBorders>
          </w:tcPr>
          <w:p>
            <w:pPr>
              <w:jc w:val="right"/>
              <w:ind w:right="11"/>
              <w:spacing w:after="0"/>
              <w:rPr>
                <w:sz w:val="20"/>
                <w:szCs w:val="20"/>
                <w:color w:val="auto"/>
              </w:rPr>
            </w:pPr>
            <w:r>
              <w:rPr>
                <w:rFonts w:ascii="Arial" w:cs="Arial" w:eastAsia="Arial" w:hAnsi="Arial"/>
                <w:sz w:val="13"/>
                <w:szCs w:val="13"/>
                <w:color w:val="auto"/>
              </w:rPr>
              <w:t>Bitumen</w:t>
            </w:r>
          </w:p>
        </w:tc>
        <w:tc>
          <w:tcPr>
            <w:tcW w:w="12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3"/>
                <w:szCs w:val="13"/>
                <w:color w:val="auto"/>
              </w:rPr>
              <w:t>NGL</w:t>
            </w:r>
          </w:p>
        </w:tc>
        <w:tc>
          <w:tcPr>
            <w:tcW w:w="640" w:type="dxa"/>
            <w:vAlign w:val="bottom"/>
            <w:tcBorders>
              <w:bottom w:val="single" w:sz="8" w:color="auto"/>
            </w:tcBorders>
          </w:tcPr>
          <w:p>
            <w:pPr>
              <w:jc w:val="right"/>
              <w:ind w:right="31"/>
              <w:spacing w:after="0"/>
              <w:rPr>
                <w:sz w:val="20"/>
                <w:szCs w:val="20"/>
                <w:color w:val="auto"/>
              </w:rPr>
            </w:pPr>
            <w:r>
              <w:rPr>
                <w:rFonts w:ascii="Arial" w:cs="Arial" w:eastAsia="Arial" w:hAnsi="Arial"/>
                <w:sz w:val="13"/>
                <w:szCs w:val="13"/>
                <w:color w:val="auto"/>
              </w:rPr>
              <w:t>NGL</w:t>
            </w:r>
          </w:p>
        </w:tc>
        <w:tc>
          <w:tcPr>
            <w:tcW w:w="740" w:type="dxa"/>
            <w:vAlign w:val="bottom"/>
            <w:tcBorders>
              <w:bottom w:val="single" w:sz="8" w:color="auto"/>
            </w:tcBorders>
          </w:tcPr>
          <w:p>
            <w:pPr>
              <w:jc w:val="right"/>
              <w:ind w:right="30"/>
              <w:spacing w:after="0"/>
              <w:rPr>
                <w:sz w:val="20"/>
                <w:szCs w:val="20"/>
                <w:color w:val="auto"/>
              </w:rPr>
            </w:pPr>
            <w:r>
              <w:rPr>
                <w:rFonts w:ascii="Arial" w:cs="Arial" w:eastAsia="Arial" w:hAnsi="Arial"/>
                <w:sz w:val="13"/>
                <w:szCs w:val="13"/>
                <w:color w:val="auto"/>
              </w:rPr>
              <w:t>crude oil</w:t>
            </w:r>
          </w:p>
        </w:tc>
        <w:tc>
          <w:tcPr>
            <w:tcW w:w="660" w:type="dxa"/>
            <w:vAlign w:val="bottom"/>
            <w:tcBorders>
              <w:bottom w:val="single" w:sz="8" w:color="auto"/>
            </w:tcBorders>
          </w:tcPr>
          <w:p>
            <w:pPr>
              <w:jc w:val="right"/>
              <w:ind w:right="10"/>
              <w:spacing w:after="0"/>
              <w:rPr>
                <w:sz w:val="20"/>
                <w:szCs w:val="20"/>
                <w:color w:val="auto"/>
              </w:rPr>
            </w:pPr>
            <w:r>
              <w:rPr>
                <w:rFonts w:ascii="Arial" w:cs="Arial" w:eastAsia="Arial" w:hAnsi="Arial"/>
                <w:sz w:val="13"/>
                <w:szCs w:val="13"/>
                <w:color w:val="auto"/>
              </w:rPr>
              <w:t>Bitumen</w:t>
            </w:r>
          </w:p>
        </w:tc>
        <w:tc>
          <w:tcPr>
            <w:tcW w:w="680" w:type="dxa"/>
            <w:vAlign w:val="bottom"/>
            <w:tcBorders>
              <w:bottom w:val="single" w:sz="8" w:color="auto"/>
            </w:tcBorders>
          </w:tcPr>
          <w:p>
            <w:pPr>
              <w:jc w:val="right"/>
              <w:ind w:right="32"/>
              <w:spacing w:after="0"/>
              <w:rPr>
                <w:sz w:val="20"/>
                <w:szCs w:val="20"/>
                <w:color w:val="auto"/>
              </w:rPr>
            </w:pPr>
            <w:r>
              <w:rPr>
                <w:rFonts w:ascii="Arial" w:cs="Arial" w:eastAsia="Arial" w:hAnsi="Arial"/>
                <w:sz w:val="13"/>
                <w:szCs w:val="13"/>
                <w:color w:val="auto"/>
              </w:rPr>
              <w:t>products</w:t>
            </w:r>
          </w:p>
        </w:tc>
      </w:tr>
      <w:tr>
        <w:trPr>
          <w:trHeight w:val="160"/>
        </w:trPr>
        <w:tc>
          <w:tcPr>
            <w:tcW w:w="2080" w:type="dxa"/>
            <w:vAlign w:val="bottom"/>
          </w:tcPr>
          <w:p>
            <w:pPr>
              <w:spacing w:after="0"/>
              <w:rPr>
                <w:sz w:val="20"/>
                <w:szCs w:val="20"/>
                <w:color w:val="auto"/>
              </w:rPr>
            </w:pPr>
            <w:r>
              <w:rPr>
                <w:rFonts w:ascii="Arial" w:cs="Arial" w:eastAsia="Arial" w:hAnsi="Arial"/>
                <w:sz w:val="14"/>
                <w:szCs w:val="14"/>
                <w:color w:val="auto"/>
              </w:rPr>
              <w:t>Shell subsidiaries</w:t>
            </w:r>
          </w:p>
        </w:tc>
        <w:tc>
          <w:tcPr>
            <w:tcW w:w="5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80" w:type="dxa"/>
            <w:vAlign w:val="bottom"/>
          </w:tcPr>
          <w:p>
            <w:pPr>
              <w:spacing w:after="0"/>
              <w:rPr>
                <w:sz w:val="13"/>
                <w:szCs w:val="13"/>
                <w:color w:val="auto"/>
              </w:rPr>
            </w:pPr>
          </w:p>
        </w:tc>
      </w:tr>
      <w:tr>
        <w:trPr>
          <w:trHeight w:val="162"/>
        </w:trPr>
        <w:tc>
          <w:tcPr>
            <w:tcW w:w="2080" w:type="dxa"/>
            <w:vAlign w:val="bottom"/>
          </w:tcPr>
          <w:p>
            <w:pPr>
              <w:ind w:left="140"/>
              <w:spacing w:after="0"/>
              <w:rPr>
                <w:sz w:val="20"/>
                <w:szCs w:val="20"/>
                <w:color w:val="auto"/>
              </w:rPr>
            </w:pPr>
            <w:r>
              <w:rPr>
                <w:rFonts w:ascii="Arial" w:cs="Arial" w:eastAsia="Arial" w:hAnsi="Arial"/>
                <w:sz w:val="14"/>
                <w:szCs w:val="14"/>
                <w:color w:val="auto"/>
              </w:rPr>
              <w:t>At January 1</w:t>
            </w:r>
          </w:p>
        </w:tc>
        <w:tc>
          <w:tcPr>
            <w:tcW w:w="720" w:type="dxa"/>
            <w:vAlign w:val="bottom"/>
            <w:gridSpan w:val="2"/>
          </w:tcPr>
          <w:p>
            <w:pPr>
              <w:jc w:val="right"/>
              <w:ind w:right="200"/>
              <w:spacing w:after="0"/>
              <w:rPr>
                <w:sz w:val="20"/>
                <w:szCs w:val="20"/>
                <w:color w:val="auto"/>
              </w:rPr>
            </w:pPr>
            <w:r>
              <w:rPr>
                <w:rFonts w:ascii="Arial" w:cs="Arial" w:eastAsia="Arial" w:hAnsi="Arial"/>
                <w:sz w:val="14"/>
                <w:szCs w:val="14"/>
                <w:color w:val="auto"/>
              </w:rPr>
              <w:t>425</w:t>
            </w:r>
          </w:p>
        </w:tc>
        <w:tc>
          <w:tcPr>
            <w:tcW w:w="720" w:type="dxa"/>
            <w:vAlign w:val="bottom"/>
            <w:gridSpan w:val="2"/>
          </w:tcPr>
          <w:p>
            <w:pPr>
              <w:jc w:val="right"/>
              <w:ind w:right="220"/>
              <w:spacing w:after="0"/>
              <w:rPr>
                <w:sz w:val="20"/>
                <w:szCs w:val="20"/>
                <w:color w:val="auto"/>
              </w:rPr>
            </w:pPr>
            <w:r>
              <w:rPr>
                <w:rFonts w:ascii="Arial" w:cs="Arial" w:eastAsia="Arial" w:hAnsi="Arial"/>
                <w:sz w:val="14"/>
                <w:szCs w:val="14"/>
                <w:color w:val="auto"/>
              </w:rPr>
              <w:t>817</w:t>
            </w:r>
          </w:p>
        </w:tc>
        <w:tc>
          <w:tcPr>
            <w:tcW w:w="760" w:type="dxa"/>
            <w:vAlign w:val="bottom"/>
            <w:gridSpan w:val="2"/>
          </w:tcPr>
          <w:p>
            <w:pPr>
              <w:jc w:val="right"/>
              <w:ind w:right="200"/>
              <w:spacing w:after="0"/>
              <w:rPr>
                <w:sz w:val="20"/>
                <w:szCs w:val="20"/>
                <w:color w:val="auto"/>
              </w:rPr>
            </w:pPr>
            <w:r>
              <w:rPr>
                <w:rFonts w:ascii="Arial" w:cs="Arial" w:eastAsia="Arial" w:hAnsi="Arial"/>
                <w:sz w:val="14"/>
                <w:szCs w:val="14"/>
                <w:color w:val="auto"/>
              </w:rPr>
              <w:t>34</w:t>
            </w:r>
          </w:p>
        </w:tc>
        <w:tc>
          <w:tcPr>
            <w:tcW w:w="720" w:type="dxa"/>
            <w:vAlign w:val="bottom"/>
            <w:gridSpan w:val="2"/>
          </w:tcPr>
          <w:p>
            <w:pPr>
              <w:jc w:val="right"/>
              <w:ind w:right="200"/>
              <w:spacing w:after="0"/>
              <w:rPr>
                <w:sz w:val="20"/>
                <w:szCs w:val="20"/>
                <w:color w:val="auto"/>
              </w:rPr>
            </w:pPr>
            <w:r>
              <w:rPr>
                <w:rFonts w:ascii="Arial" w:cs="Arial" w:eastAsia="Arial" w:hAnsi="Arial"/>
                <w:sz w:val="14"/>
                <w:szCs w:val="14"/>
                <w:color w:val="auto"/>
              </w:rPr>
              <w:t>496</w:t>
            </w:r>
          </w:p>
        </w:tc>
        <w:tc>
          <w:tcPr>
            <w:tcW w:w="600" w:type="dxa"/>
            <w:vAlign w:val="bottom"/>
          </w:tcPr>
          <w:p>
            <w:pPr>
              <w:jc w:val="right"/>
              <w:ind w:right="32"/>
              <w:spacing w:after="0"/>
              <w:rPr>
                <w:sz w:val="20"/>
                <w:szCs w:val="20"/>
                <w:color w:val="auto"/>
              </w:rPr>
            </w:pPr>
            <w:r>
              <w:rPr>
                <w:rFonts w:ascii="Arial" w:cs="Arial" w:eastAsia="Arial" w:hAnsi="Arial"/>
                <w:sz w:val="14"/>
                <w:szCs w:val="14"/>
                <w:color w:val="auto"/>
              </w:rPr>
              <w:t>283</w:t>
            </w:r>
          </w:p>
        </w:tc>
        <w:tc>
          <w:tcPr>
            <w:tcW w:w="120" w:type="dxa"/>
            <w:vAlign w:val="bottom"/>
          </w:tcPr>
          <w:p>
            <w:pPr>
              <w:spacing w:after="0"/>
              <w:rPr>
                <w:sz w:val="14"/>
                <w:szCs w:val="14"/>
                <w:color w:val="auto"/>
              </w:rPr>
            </w:pPr>
          </w:p>
        </w:tc>
        <w:tc>
          <w:tcPr>
            <w:tcW w:w="660" w:type="dxa"/>
            <w:vAlign w:val="bottom"/>
          </w:tcPr>
          <w:p>
            <w:pPr>
              <w:jc w:val="right"/>
              <w:ind w:right="51"/>
              <w:spacing w:after="0"/>
              <w:rPr>
                <w:sz w:val="20"/>
                <w:szCs w:val="20"/>
                <w:color w:val="auto"/>
              </w:rPr>
            </w:pPr>
            <w:r>
              <w:rPr>
                <w:rFonts w:ascii="Arial" w:cs="Arial" w:eastAsia="Arial" w:hAnsi="Arial"/>
                <w:sz w:val="14"/>
                <w:szCs w:val="14"/>
                <w:color w:val="auto"/>
              </w:rPr>
              <w:t>28</w:t>
            </w:r>
          </w:p>
        </w:tc>
        <w:tc>
          <w:tcPr>
            <w:tcW w:w="740" w:type="dxa"/>
            <w:vAlign w:val="bottom"/>
          </w:tcPr>
          <w:p>
            <w:pPr>
              <w:jc w:val="right"/>
              <w:ind w:right="52"/>
              <w:spacing w:after="0"/>
              <w:rPr>
                <w:sz w:val="20"/>
                <w:szCs w:val="20"/>
                <w:color w:val="auto"/>
              </w:rPr>
            </w:pPr>
            <w:r>
              <w:rPr>
                <w:rFonts w:ascii="Arial" w:cs="Arial" w:eastAsia="Arial" w:hAnsi="Arial"/>
                <w:sz w:val="14"/>
                <w:szCs w:val="14"/>
                <w:color w:val="auto"/>
              </w:rPr>
              <w:t>1,271</w:t>
            </w:r>
          </w:p>
        </w:tc>
        <w:tc>
          <w:tcPr>
            <w:tcW w:w="660" w:type="dxa"/>
            <w:vAlign w:val="bottom"/>
          </w:tcPr>
          <w:p>
            <w:pPr>
              <w:jc w:val="right"/>
              <w:ind w:right="11"/>
              <w:spacing w:after="0"/>
              <w:rPr>
                <w:sz w:val="20"/>
                <w:szCs w:val="20"/>
                <w:color w:val="auto"/>
              </w:rPr>
            </w:pPr>
            <w:r>
              <w:rPr>
                <w:rFonts w:ascii="Arial" w:cs="Arial" w:eastAsia="Arial" w:hAnsi="Arial"/>
                <w:sz w:val="14"/>
                <w:szCs w:val="14"/>
                <w:color w:val="auto"/>
              </w:rPr>
              <w:t>18</w:t>
            </w:r>
          </w:p>
        </w:tc>
        <w:tc>
          <w:tcPr>
            <w:tcW w:w="920" w:type="dxa"/>
            <w:vAlign w:val="bottom"/>
            <w:gridSpan w:val="3"/>
          </w:tcPr>
          <w:p>
            <w:pPr>
              <w:jc w:val="right"/>
              <w:ind w:right="220"/>
              <w:spacing w:after="0"/>
              <w:rPr>
                <w:sz w:val="20"/>
                <w:szCs w:val="20"/>
                <w:color w:val="auto"/>
              </w:rPr>
            </w:pPr>
            <w:r>
              <w:rPr>
                <w:rFonts w:ascii="Arial" w:cs="Arial" w:eastAsia="Arial" w:hAnsi="Arial"/>
                <w:sz w:val="14"/>
                <w:szCs w:val="14"/>
                <w:color w:val="auto"/>
              </w:rPr>
              <w:t>31</w:t>
            </w:r>
          </w:p>
        </w:tc>
        <w:tc>
          <w:tcPr>
            <w:tcW w:w="640" w:type="dxa"/>
            <w:vAlign w:val="bottom"/>
          </w:tcPr>
          <w:p>
            <w:pPr>
              <w:jc w:val="right"/>
              <w:ind w:right="31"/>
              <w:spacing w:after="0"/>
              <w:rPr>
                <w:sz w:val="20"/>
                <w:szCs w:val="20"/>
                <w:color w:val="auto"/>
              </w:rPr>
            </w:pPr>
            <w:r>
              <w:rPr>
                <w:rFonts w:ascii="Arial" w:cs="Arial" w:eastAsia="Arial" w:hAnsi="Arial"/>
                <w:sz w:val="14"/>
                <w:szCs w:val="14"/>
                <w:color w:val="auto"/>
              </w:rPr>
              <w:t>2,114</w:t>
            </w:r>
          </w:p>
        </w:tc>
        <w:tc>
          <w:tcPr>
            <w:tcW w:w="740" w:type="dxa"/>
            <w:vAlign w:val="bottom"/>
          </w:tcPr>
          <w:p>
            <w:pPr>
              <w:jc w:val="right"/>
              <w:ind w:right="30"/>
              <w:spacing w:after="0"/>
              <w:rPr>
                <w:sz w:val="20"/>
                <w:szCs w:val="20"/>
                <w:color w:val="auto"/>
              </w:rPr>
            </w:pPr>
            <w:r>
              <w:rPr>
                <w:rFonts w:ascii="Arial" w:cs="Arial" w:eastAsia="Arial" w:hAnsi="Arial"/>
                <w:sz w:val="14"/>
                <w:szCs w:val="14"/>
                <w:color w:val="auto"/>
              </w:rPr>
              <w:t>1,271</w:t>
            </w:r>
          </w:p>
        </w:tc>
        <w:tc>
          <w:tcPr>
            <w:tcW w:w="660" w:type="dxa"/>
            <w:vAlign w:val="bottom"/>
          </w:tcPr>
          <w:p>
            <w:pPr>
              <w:jc w:val="right"/>
              <w:ind w:right="10"/>
              <w:spacing w:after="0"/>
              <w:rPr>
                <w:sz w:val="20"/>
                <w:szCs w:val="20"/>
                <w:color w:val="auto"/>
              </w:rPr>
            </w:pPr>
            <w:r>
              <w:rPr>
                <w:rFonts w:ascii="Arial" w:cs="Arial" w:eastAsia="Arial" w:hAnsi="Arial"/>
                <w:sz w:val="14"/>
                <w:szCs w:val="14"/>
                <w:color w:val="auto"/>
              </w:rPr>
              <w:t>18</w:t>
            </w:r>
          </w:p>
        </w:tc>
        <w:tc>
          <w:tcPr>
            <w:tcW w:w="680" w:type="dxa"/>
            <w:vAlign w:val="bottom"/>
          </w:tcPr>
          <w:p>
            <w:pPr>
              <w:jc w:val="right"/>
              <w:ind w:right="32"/>
              <w:spacing w:after="0"/>
              <w:rPr>
                <w:sz w:val="20"/>
                <w:szCs w:val="20"/>
                <w:color w:val="auto"/>
              </w:rPr>
            </w:pPr>
            <w:r>
              <w:rPr>
                <w:rFonts w:ascii="Arial" w:cs="Arial" w:eastAsia="Arial" w:hAnsi="Arial"/>
                <w:sz w:val="14"/>
                <w:szCs w:val="14"/>
                <w:color w:val="auto"/>
              </w:rPr>
              <w:t>3,403</w:t>
            </w:r>
          </w:p>
        </w:tc>
      </w:tr>
      <w:tr>
        <w:trPr>
          <w:trHeight w:val="157"/>
        </w:trPr>
        <w:tc>
          <w:tcPr>
            <w:tcW w:w="2080" w:type="dxa"/>
            <w:vAlign w:val="bottom"/>
            <w:tcBorders>
              <w:bottom w:val="single" w:sz="8" w:color="auto"/>
            </w:tcBorders>
          </w:tcPr>
          <w:p>
            <w:pPr>
              <w:ind w:left="140"/>
              <w:spacing w:after="0" w:line="157" w:lineRule="exact"/>
              <w:rPr>
                <w:sz w:val="20"/>
                <w:szCs w:val="20"/>
                <w:color w:val="auto"/>
              </w:rPr>
            </w:pPr>
            <w:r>
              <w:rPr>
                <w:rFonts w:ascii="Arial" w:cs="Arial" w:eastAsia="Arial" w:hAnsi="Arial"/>
                <w:sz w:val="14"/>
                <w:szCs w:val="14"/>
                <w:color w:val="auto"/>
              </w:rPr>
              <w:t>At December 31</w:t>
            </w:r>
          </w:p>
        </w:tc>
        <w:tc>
          <w:tcPr>
            <w:tcW w:w="720" w:type="dxa"/>
            <w:vAlign w:val="bottom"/>
            <w:tcBorders>
              <w:bottom w:val="single" w:sz="8" w:color="auto"/>
            </w:tcBorders>
            <w:gridSpan w:val="2"/>
          </w:tcPr>
          <w:p>
            <w:pPr>
              <w:jc w:val="right"/>
              <w:ind w:right="200"/>
              <w:spacing w:after="0" w:line="157" w:lineRule="exact"/>
              <w:rPr>
                <w:sz w:val="20"/>
                <w:szCs w:val="20"/>
                <w:color w:val="auto"/>
              </w:rPr>
            </w:pPr>
            <w:r>
              <w:rPr>
                <w:rFonts w:ascii="Arial" w:cs="Arial" w:eastAsia="Arial" w:hAnsi="Arial"/>
                <w:sz w:val="14"/>
                <w:szCs w:val="14"/>
                <w:color w:val="auto"/>
              </w:rPr>
              <w:t>396</w:t>
            </w:r>
          </w:p>
        </w:tc>
        <w:tc>
          <w:tcPr>
            <w:tcW w:w="720" w:type="dxa"/>
            <w:vAlign w:val="bottom"/>
            <w:tcBorders>
              <w:bottom w:val="single" w:sz="8" w:color="auto"/>
            </w:tcBorders>
            <w:gridSpan w:val="2"/>
          </w:tcPr>
          <w:p>
            <w:pPr>
              <w:jc w:val="right"/>
              <w:ind w:right="220"/>
              <w:spacing w:after="0" w:line="157" w:lineRule="exact"/>
              <w:rPr>
                <w:sz w:val="20"/>
                <w:szCs w:val="20"/>
                <w:color w:val="auto"/>
              </w:rPr>
            </w:pPr>
            <w:r>
              <w:rPr>
                <w:rFonts w:ascii="Arial" w:cs="Arial" w:eastAsia="Arial" w:hAnsi="Arial"/>
                <w:sz w:val="14"/>
                <w:szCs w:val="14"/>
                <w:color w:val="auto"/>
              </w:rPr>
              <w:t>942</w:t>
            </w:r>
          </w:p>
        </w:tc>
        <w:tc>
          <w:tcPr>
            <w:tcW w:w="760" w:type="dxa"/>
            <w:vAlign w:val="bottom"/>
            <w:tcBorders>
              <w:bottom w:val="single" w:sz="8" w:color="auto"/>
            </w:tcBorders>
            <w:gridSpan w:val="2"/>
          </w:tcPr>
          <w:p>
            <w:pPr>
              <w:jc w:val="right"/>
              <w:ind w:right="200"/>
              <w:spacing w:after="0" w:line="157" w:lineRule="exact"/>
              <w:rPr>
                <w:sz w:val="20"/>
                <w:szCs w:val="20"/>
                <w:color w:val="auto"/>
              </w:rPr>
            </w:pPr>
            <w:r>
              <w:rPr>
                <w:rFonts w:ascii="Arial" w:cs="Arial" w:eastAsia="Arial" w:hAnsi="Arial"/>
                <w:sz w:val="14"/>
                <w:szCs w:val="14"/>
                <w:color w:val="auto"/>
              </w:rPr>
              <w:t>48</w:t>
            </w:r>
          </w:p>
        </w:tc>
        <w:tc>
          <w:tcPr>
            <w:tcW w:w="720" w:type="dxa"/>
            <w:vAlign w:val="bottom"/>
            <w:tcBorders>
              <w:bottom w:val="single" w:sz="8" w:color="auto"/>
            </w:tcBorders>
            <w:gridSpan w:val="2"/>
          </w:tcPr>
          <w:p>
            <w:pPr>
              <w:jc w:val="right"/>
              <w:ind w:right="200"/>
              <w:spacing w:after="0" w:line="157" w:lineRule="exact"/>
              <w:rPr>
                <w:sz w:val="20"/>
                <w:szCs w:val="20"/>
                <w:color w:val="auto"/>
              </w:rPr>
            </w:pPr>
            <w:r>
              <w:rPr>
                <w:rFonts w:ascii="Arial" w:cs="Arial" w:eastAsia="Arial" w:hAnsi="Arial"/>
                <w:sz w:val="14"/>
                <w:szCs w:val="14"/>
                <w:color w:val="auto"/>
              </w:rPr>
              <w:t>453</w:t>
            </w:r>
          </w:p>
        </w:tc>
        <w:tc>
          <w:tcPr>
            <w:tcW w:w="600" w:type="dxa"/>
            <w:vAlign w:val="bottom"/>
            <w:tcBorders>
              <w:bottom w:val="single" w:sz="8" w:color="auto"/>
            </w:tcBorders>
          </w:tcPr>
          <w:p>
            <w:pPr>
              <w:jc w:val="right"/>
              <w:ind w:right="32"/>
              <w:spacing w:after="0" w:line="157" w:lineRule="exact"/>
              <w:rPr>
                <w:sz w:val="20"/>
                <w:szCs w:val="20"/>
                <w:color w:val="auto"/>
              </w:rPr>
            </w:pPr>
            <w:r>
              <w:rPr>
                <w:rFonts w:ascii="Arial" w:cs="Arial" w:eastAsia="Arial" w:hAnsi="Arial"/>
                <w:sz w:val="14"/>
                <w:szCs w:val="14"/>
                <w:color w:val="auto"/>
              </w:rPr>
              <w:t>440</w:t>
            </w:r>
          </w:p>
        </w:tc>
        <w:tc>
          <w:tcPr>
            <w:tcW w:w="12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ind w:right="51"/>
              <w:spacing w:after="0" w:line="157" w:lineRule="exact"/>
              <w:rPr>
                <w:sz w:val="20"/>
                <w:szCs w:val="20"/>
                <w:color w:val="auto"/>
              </w:rPr>
            </w:pPr>
            <w:r>
              <w:rPr>
                <w:rFonts w:ascii="Arial" w:cs="Arial" w:eastAsia="Arial" w:hAnsi="Arial"/>
                <w:sz w:val="14"/>
                <w:szCs w:val="14"/>
                <w:color w:val="auto"/>
              </w:rPr>
              <w:t>21</w:t>
            </w:r>
          </w:p>
        </w:tc>
        <w:tc>
          <w:tcPr>
            <w:tcW w:w="740" w:type="dxa"/>
            <w:vAlign w:val="bottom"/>
            <w:tcBorders>
              <w:bottom w:val="single" w:sz="8" w:color="auto"/>
            </w:tcBorders>
          </w:tcPr>
          <w:p>
            <w:pPr>
              <w:jc w:val="right"/>
              <w:ind w:right="52"/>
              <w:spacing w:after="0" w:line="157" w:lineRule="exact"/>
              <w:rPr>
                <w:sz w:val="20"/>
                <w:szCs w:val="20"/>
                <w:color w:val="auto"/>
              </w:rPr>
            </w:pPr>
            <w:r>
              <w:rPr>
                <w:rFonts w:ascii="Arial" w:cs="Arial" w:eastAsia="Arial" w:hAnsi="Arial"/>
                <w:sz w:val="14"/>
                <w:szCs w:val="14"/>
                <w:color w:val="auto"/>
              </w:rPr>
              <w:t>1,299</w:t>
            </w:r>
          </w:p>
        </w:tc>
        <w:tc>
          <w:tcPr>
            <w:tcW w:w="660" w:type="dxa"/>
            <w:vAlign w:val="bottom"/>
            <w:tcBorders>
              <w:bottom w:val="single" w:sz="8" w:color="auto"/>
            </w:tcBorders>
          </w:tcPr>
          <w:p>
            <w:pPr>
              <w:jc w:val="right"/>
              <w:ind w:right="11"/>
              <w:spacing w:after="0" w:line="157" w:lineRule="exact"/>
              <w:rPr>
                <w:sz w:val="20"/>
                <w:szCs w:val="20"/>
                <w:color w:val="auto"/>
              </w:rPr>
            </w:pPr>
            <w:r>
              <w:rPr>
                <w:rFonts w:ascii="Arial" w:cs="Arial" w:eastAsia="Arial" w:hAnsi="Arial"/>
                <w:sz w:val="14"/>
                <w:szCs w:val="14"/>
                <w:color w:val="auto"/>
              </w:rPr>
              <w:t>13</w:t>
            </w:r>
          </w:p>
        </w:tc>
        <w:tc>
          <w:tcPr>
            <w:tcW w:w="920" w:type="dxa"/>
            <w:vAlign w:val="bottom"/>
            <w:tcBorders>
              <w:bottom w:val="single" w:sz="8" w:color="auto"/>
            </w:tcBorders>
            <w:gridSpan w:val="3"/>
          </w:tcPr>
          <w:p>
            <w:pPr>
              <w:jc w:val="right"/>
              <w:ind w:right="220"/>
              <w:spacing w:after="0" w:line="157" w:lineRule="exact"/>
              <w:rPr>
                <w:sz w:val="20"/>
                <w:szCs w:val="20"/>
                <w:color w:val="auto"/>
              </w:rPr>
            </w:pPr>
            <w:r>
              <w:rPr>
                <w:rFonts w:ascii="Arial" w:cs="Arial" w:eastAsia="Arial" w:hAnsi="Arial"/>
                <w:sz w:val="14"/>
                <w:szCs w:val="14"/>
                <w:color w:val="auto"/>
              </w:rPr>
              <w:t>59</w:t>
            </w:r>
          </w:p>
        </w:tc>
        <w:tc>
          <w:tcPr>
            <w:tcW w:w="640" w:type="dxa"/>
            <w:vAlign w:val="bottom"/>
            <w:tcBorders>
              <w:bottom w:val="single" w:sz="8" w:color="auto"/>
            </w:tcBorders>
          </w:tcPr>
          <w:p>
            <w:pPr>
              <w:jc w:val="right"/>
              <w:ind w:right="31"/>
              <w:spacing w:after="0" w:line="157" w:lineRule="exact"/>
              <w:rPr>
                <w:sz w:val="20"/>
                <w:szCs w:val="20"/>
                <w:color w:val="auto"/>
              </w:rPr>
            </w:pPr>
            <w:r>
              <w:rPr>
                <w:rFonts w:ascii="Arial" w:cs="Arial" w:eastAsia="Arial" w:hAnsi="Arial"/>
                <w:sz w:val="14"/>
                <w:szCs w:val="14"/>
                <w:color w:val="auto"/>
              </w:rPr>
              <w:t>2,359</w:t>
            </w:r>
          </w:p>
        </w:tc>
        <w:tc>
          <w:tcPr>
            <w:tcW w:w="740" w:type="dxa"/>
            <w:vAlign w:val="bottom"/>
            <w:tcBorders>
              <w:bottom w:val="single" w:sz="8" w:color="auto"/>
            </w:tcBorders>
          </w:tcPr>
          <w:p>
            <w:pPr>
              <w:jc w:val="right"/>
              <w:ind w:right="30"/>
              <w:spacing w:after="0" w:line="157" w:lineRule="exact"/>
              <w:rPr>
                <w:sz w:val="20"/>
                <w:szCs w:val="20"/>
                <w:color w:val="auto"/>
              </w:rPr>
            </w:pPr>
            <w:r>
              <w:rPr>
                <w:rFonts w:ascii="Arial" w:cs="Arial" w:eastAsia="Arial" w:hAnsi="Arial"/>
                <w:sz w:val="14"/>
                <w:szCs w:val="14"/>
                <w:color w:val="auto"/>
              </w:rPr>
              <w:t>1,299</w:t>
            </w:r>
          </w:p>
        </w:tc>
        <w:tc>
          <w:tcPr>
            <w:tcW w:w="660" w:type="dxa"/>
            <w:vAlign w:val="bottom"/>
            <w:tcBorders>
              <w:bottom w:val="single" w:sz="8" w:color="auto"/>
            </w:tcBorders>
          </w:tcPr>
          <w:p>
            <w:pPr>
              <w:jc w:val="right"/>
              <w:ind w:right="10"/>
              <w:spacing w:after="0" w:line="157" w:lineRule="exact"/>
              <w:rPr>
                <w:sz w:val="20"/>
                <w:szCs w:val="20"/>
                <w:color w:val="auto"/>
              </w:rPr>
            </w:pPr>
            <w:r>
              <w:rPr>
                <w:rFonts w:ascii="Arial" w:cs="Arial" w:eastAsia="Arial" w:hAnsi="Arial"/>
                <w:sz w:val="14"/>
                <w:szCs w:val="14"/>
                <w:color w:val="auto"/>
              </w:rPr>
              <w:t>13</w:t>
            </w:r>
          </w:p>
        </w:tc>
        <w:tc>
          <w:tcPr>
            <w:tcW w:w="680" w:type="dxa"/>
            <w:vAlign w:val="bottom"/>
            <w:tcBorders>
              <w:bottom w:val="single" w:sz="8" w:color="auto"/>
            </w:tcBorders>
          </w:tcPr>
          <w:p>
            <w:pPr>
              <w:jc w:val="right"/>
              <w:ind w:right="32"/>
              <w:spacing w:after="0" w:line="157" w:lineRule="exact"/>
              <w:rPr>
                <w:sz w:val="20"/>
                <w:szCs w:val="20"/>
                <w:color w:val="auto"/>
              </w:rPr>
            </w:pPr>
            <w:r>
              <w:rPr>
                <w:rFonts w:ascii="Arial" w:cs="Arial" w:eastAsia="Arial" w:hAnsi="Arial"/>
                <w:sz w:val="14"/>
                <w:szCs w:val="14"/>
                <w:color w:val="auto"/>
              </w:rPr>
              <w:t>3,671</w:t>
            </w:r>
          </w:p>
        </w:tc>
      </w:tr>
      <w:tr>
        <w:trPr>
          <w:trHeight w:val="160"/>
        </w:trPr>
        <w:tc>
          <w:tcPr>
            <w:tcW w:w="2080" w:type="dxa"/>
            <w:vAlign w:val="bottom"/>
          </w:tcPr>
          <w:p>
            <w:pPr>
              <w:spacing w:after="0"/>
              <w:rPr>
                <w:sz w:val="20"/>
                <w:szCs w:val="20"/>
                <w:color w:val="auto"/>
              </w:rPr>
            </w:pPr>
            <w:r>
              <w:rPr>
                <w:rFonts w:ascii="Arial" w:cs="Arial" w:eastAsia="Arial" w:hAnsi="Arial"/>
                <w:sz w:val="14"/>
                <w:szCs w:val="14"/>
                <w:color w:val="auto"/>
              </w:rPr>
              <w:t>Shell share of joint ventures and</w:t>
            </w:r>
          </w:p>
        </w:tc>
        <w:tc>
          <w:tcPr>
            <w:tcW w:w="5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80" w:type="dxa"/>
            <w:vAlign w:val="bottom"/>
          </w:tcPr>
          <w:p>
            <w:pPr>
              <w:spacing w:after="0"/>
              <w:rPr>
                <w:sz w:val="13"/>
                <w:szCs w:val="13"/>
                <w:color w:val="auto"/>
              </w:rPr>
            </w:pPr>
          </w:p>
        </w:tc>
      </w:tr>
      <w:tr>
        <w:trPr>
          <w:trHeight w:val="162"/>
        </w:trPr>
        <w:tc>
          <w:tcPr>
            <w:tcW w:w="2080" w:type="dxa"/>
            <w:vAlign w:val="bottom"/>
          </w:tcPr>
          <w:p>
            <w:pPr>
              <w:spacing w:after="0"/>
              <w:rPr>
                <w:sz w:val="20"/>
                <w:szCs w:val="20"/>
                <w:color w:val="auto"/>
              </w:rPr>
            </w:pPr>
            <w:r>
              <w:rPr>
                <w:rFonts w:ascii="Arial" w:cs="Arial" w:eastAsia="Arial" w:hAnsi="Arial"/>
                <w:sz w:val="14"/>
                <w:szCs w:val="14"/>
                <w:color w:val="auto"/>
              </w:rPr>
              <w:t>associates</w:t>
            </w:r>
          </w:p>
        </w:tc>
        <w:tc>
          <w:tcPr>
            <w:tcW w:w="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162"/>
        </w:trPr>
        <w:tc>
          <w:tcPr>
            <w:tcW w:w="2080" w:type="dxa"/>
            <w:vAlign w:val="bottom"/>
          </w:tcPr>
          <w:p>
            <w:pPr>
              <w:ind w:left="140"/>
              <w:spacing w:after="0"/>
              <w:rPr>
                <w:sz w:val="20"/>
                <w:szCs w:val="20"/>
                <w:color w:val="auto"/>
              </w:rPr>
            </w:pPr>
            <w:r>
              <w:rPr>
                <w:rFonts w:ascii="Arial" w:cs="Arial" w:eastAsia="Arial" w:hAnsi="Arial"/>
                <w:sz w:val="14"/>
                <w:szCs w:val="14"/>
                <w:color w:val="auto"/>
              </w:rPr>
              <w:t>At January 1</w:t>
            </w:r>
          </w:p>
        </w:tc>
        <w:tc>
          <w:tcPr>
            <w:tcW w:w="720" w:type="dxa"/>
            <w:vAlign w:val="bottom"/>
            <w:gridSpan w:val="2"/>
          </w:tcPr>
          <w:p>
            <w:pPr>
              <w:jc w:val="right"/>
              <w:ind w:right="200"/>
              <w:spacing w:after="0"/>
              <w:rPr>
                <w:sz w:val="20"/>
                <w:szCs w:val="20"/>
                <w:color w:val="auto"/>
              </w:rPr>
            </w:pPr>
            <w:r>
              <w:rPr>
                <w:rFonts w:ascii="Arial" w:cs="Arial" w:eastAsia="Arial" w:hAnsi="Arial"/>
                <w:sz w:val="14"/>
                <w:szCs w:val="14"/>
                <w:color w:val="auto"/>
              </w:rPr>
              <w:t>23</w:t>
            </w:r>
          </w:p>
        </w:tc>
        <w:tc>
          <w:tcPr>
            <w:tcW w:w="720" w:type="dxa"/>
            <w:vAlign w:val="bottom"/>
            <w:gridSpan w:val="2"/>
          </w:tcPr>
          <w:p>
            <w:pPr>
              <w:jc w:val="right"/>
              <w:ind w:right="220"/>
              <w:spacing w:after="0"/>
              <w:rPr>
                <w:sz w:val="20"/>
                <w:szCs w:val="20"/>
                <w:color w:val="auto"/>
              </w:rPr>
            </w:pPr>
            <w:r>
              <w:rPr>
                <w:rFonts w:ascii="Arial" w:cs="Arial" w:eastAsia="Arial" w:hAnsi="Arial"/>
                <w:sz w:val="14"/>
                <w:szCs w:val="14"/>
                <w:color w:val="auto"/>
              </w:rPr>
              <w:t>460</w:t>
            </w:r>
          </w:p>
        </w:tc>
        <w:tc>
          <w:tcPr>
            <w:tcW w:w="760" w:type="dxa"/>
            <w:vAlign w:val="bottom"/>
            <w:gridSpan w:val="2"/>
          </w:tcPr>
          <w:p>
            <w:pPr>
              <w:jc w:val="right"/>
              <w:ind w:right="200"/>
              <w:spacing w:after="0"/>
              <w:rPr>
                <w:sz w:val="20"/>
                <w:szCs w:val="20"/>
                <w:color w:val="auto"/>
              </w:rPr>
            </w:pPr>
            <w:r>
              <w:rPr>
                <w:rFonts w:ascii="Arial" w:cs="Arial" w:eastAsia="Arial" w:hAnsi="Arial"/>
                <w:sz w:val="14"/>
                <w:szCs w:val="14"/>
                <w:color w:val="auto"/>
              </w:rPr>
              <w:t>19</w:t>
            </w:r>
          </w:p>
        </w:tc>
        <w:tc>
          <w:tcPr>
            <w:tcW w:w="7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600" w:type="dxa"/>
            <w:vAlign w:val="bottom"/>
          </w:tcPr>
          <w:p>
            <w:pPr>
              <w:jc w:val="right"/>
              <w:ind w:right="32"/>
              <w:spacing w:after="0"/>
              <w:rPr>
                <w:sz w:val="20"/>
                <w:szCs w:val="20"/>
                <w:color w:val="auto"/>
              </w:rPr>
            </w:pPr>
            <w:r>
              <w:rPr>
                <w:rFonts w:ascii="Arial" w:cs="Arial" w:eastAsia="Arial" w:hAnsi="Arial"/>
                <w:sz w:val="14"/>
                <w:szCs w:val="14"/>
                <w:color w:val="auto"/>
              </w:rPr>
              <w:t>217</w:t>
            </w:r>
          </w:p>
        </w:tc>
        <w:tc>
          <w:tcPr>
            <w:tcW w:w="120" w:type="dxa"/>
            <w:vAlign w:val="bottom"/>
          </w:tcPr>
          <w:p>
            <w:pPr>
              <w:spacing w:after="0"/>
              <w:rPr>
                <w:sz w:val="14"/>
                <w:szCs w:val="14"/>
                <w:color w:val="auto"/>
              </w:rPr>
            </w:pPr>
          </w:p>
        </w:tc>
        <w:tc>
          <w:tcPr>
            <w:tcW w:w="660" w:type="dxa"/>
            <w:vAlign w:val="bottom"/>
          </w:tcPr>
          <w:p>
            <w:pPr>
              <w:jc w:val="right"/>
              <w:ind w:right="51"/>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52"/>
              <w:spacing w:after="0"/>
              <w:rPr>
                <w:sz w:val="20"/>
                <w:szCs w:val="20"/>
                <w:color w:val="auto"/>
              </w:rPr>
            </w:pPr>
            <w:r>
              <w:rPr>
                <w:rFonts w:ascii="Arial" w:cs="Arial" w:eastAsia="Arial" w:hAnsi="Arial"/>
                <w:sz w:val="14"/>
                <w:szCs w:val="14"/>
                <w:color w:val="auto"/>
              </w:rPr>
              <w:t>–</w:t>
            </w:r>
          </w:p>
        </w:tc>
        <w:tc>
          <w:tcPr>
            <w:tcW w:w="660" w:type="dxa"/>
            <w:vAlign w:val="bottom"/>
          </w:tcPr>
          <w:p>
            <w:pPr>
              <w:jc w:val="right"/>
              <w:ind w:right="11"/>
              <w:spacing w:after="0"/>
              <w:rPr>
                <w:sz w:val="20"/>
                <w:szCs w:val="20"/>
                <w:color w:val="auto"/>
              </w:rPr>
            </w:pPr>
            <w:r>
              <w:rPr>
                <w:rFonts w:ascii="Arial" w:cs="Arial" w:eastAsia="Arial" w:hAnsi="Arial"/>
                <w:sz w:val="14"/>
                <w:szCs w:val="14"/>
                <w:color w:val="auto"/>
              </w:rPr>
              <w:t>–</w:t>
            </w:r>
          </w:p>
        </w:tc>
        <w:tc>
          <w:tcPr>
            <w:tcW w:w="920" w:type="dxa"/>
            <w:vAlign w:val="bottom"/>
            <w:gridSpan w:val="3"/>
          </w:tcPr>
          <w:p>
            <w:pPr>
              <w:jc w:val="right"/>
              <w:ind w:right="220"/>
              <w:spacing w:after="0"/>
              <w:rPr>
                <w:sz w:val="20"/>
                <w:szCs w:val="20"/>
                <w:color w:val="auto"/>
              </w:rPr>
            </w:pPr>
            <w:r>
              <w:rPr>
                <w:rFonts w:ascii="Arial" w:cs="Arial" w:eastAsia="Arial" w:hAnsi="Arial"/>
                <w:sz w:val="14"/>
                <w:szCs w:val="14"/>
                <w:color w:val="auto"/>
              </w:rPr>
              <w:t>17</w:t>
            </w:r>
          </w:p>
        </w:tc>
        <w:tc>
          <w:tcPr>
            <w:tcW w:w="640" w:type="dxa"/>
            <w:vAlign w:val="bottom"/>
          </w:tcPr>
          <w:p>
            <w:pPr>
              <w:jc w:val="right"/>
              <w:ind w:right="31"/>
              <w:spacing w:after="0"/>
              <w:rPr>
                <w:sz w:val="20"/>
                <w:szCs w:val="20"/>
                <w:color w:val="auto"/>
              </w:rPr>
            </w:pPr>
            <w:r>
              <w:rPr>
                <w:rFonts w:ascii="Arial" w:cs="Arial" w:eastAsia="Arial" w:hAnsi="Arial"/>
                <w:sz w:val="14"/>
                <w:szCs w:val="14"/>
                <w:color w:val="auto"/>
              </w:rPr>
              <w:t>736</w:t>
            </w:r>
          </w:p>
        </w:tc>
        <w:tc>
          <w:tcPr>
            <w:tcW w:w="740" w:type="dxa"/>
            <w:vAlign w:val="bottom"/>
          </w:tcPr>
          <w:p>
            <w:pPr>
              <w:jc w:val="right"/>
              <w:ind w:right="30"/>
              <w:spacing w:after="0"/>
              <w:rPr>
                <w:sz w:val="20"/>
                <w:szCs w:val="20"/>
                <w:color w:val="auto"/>
              </w:rPr>
            </w:pPr>
            <w:r>
              <w:rPr>
                <w:rFonts w:ascii="Arial" w:cs="Arial" w:eastAsia="Arial" w:hAnsi="Arial"/>
                <w:sz w:val="14"/>
                <w:szCs w:val="14"/>
                <w:color w:val="auto"/>
              </w:rPr>
              <w:t>–</w:t>
            </w:r>
          </w:p>
        </w:tc>
        <w:tc>
          <w:tcPr>
            <w:tcW w:w="660" w:type="dxa"/>
            <w:vAlign w:val="bottom"/>
          </w:tcPr>
          <w:p>
            <w:pPr>
              <w:jc w:val="right"/>
              <w:ind w:right="10"/>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32"/>
              <w:spacing w:after="0"/>
              <w:rPr>
                <w:sz w:val="20"/>
                <w:szCs w:val="20"/>
                <w:color w:val="auto"/>
              </w:rPr>
            </w:pPr>
            <w:r>
              <w:rPr>
                <w:rFonts w:ascii="Arial" w:cs="Arial" w:eastAsia="Arial" w:hAnsi="Arial"/>
                <w:sz w:val="14"/>
                <w:szCs w:val="14"/>
                <w:color w:val="auto"/>
              </w:rPr>
              <w:t>736</w:t>
            </w:r>
          </w:p>
        </w:tc>
      </w:tr>
      <w:tr>
        <w:trPr>
          <w:trHeight w:val="157"/>
        </w:trPr>
        <w:tc>
          <w:tcPr>
            <w:tcW w:w="2080" w:type="dxa"/>
            <w:vAlign w:val="bottom"/>
            <w:tcBorders>
              <w:bottom w:val="single" w:sz="8" w:color="auto"/>
            </w:tcBorders>
          </w:tcPr>
          <w:p>
            <w:pPr>
              <w:ind w:left="140"/>
              <w:spacing w:after="0" w:line="157" w:lineRule="exact"/>
              <w:rPr>
                <w:sz w:val="20"/>
                <w:szCs w:val="20"/>
                <w:color w:val="auto"/>
              </w:rPr>
            </w:pPr>
            <w:r>
              <w:rPr>
                <w:rFonts w:ascii="Arial" w:cs="Arial" w:eastAsia="Arial" w:hAnsi="Arial"/>
                <w:sz w:val="14"/>
                <w:szCs w:val="14"/>
                <w:color w:val="auto"/>
              </w:rPr>
              <w:t>At December 31</w:t>
            </w:r>
          </w:p>
        </w:tc>
        <w:tc>
          <w:tcPr>
            <w:tcW w:w="720" w:type="dxa"/>
            <w:vAlign w:val="bottom"/>
            <w:tcBorders>
              <w:bottom w:val="single" w:sz="8" w:color="auto"/>
            </w:tcBorders>
            <w:gridSpan w:val="2"/>
          </w:tcPr>
          <w:p>
            <w:pPr>
              <w:jc w:val="right"/>
              <w:ind w:right="200"/>
              <w:spacing w:after="0" w:line="157" w:lineRule="exact"/>
              <w:rPr>
                <w:sz w:val="20"/>
                <w:szCs w:val="20"/>
                <w:color w:val="auto"/>
              </w:rPr>
            </w:pPr>
            <w:r>
              <w:rPr>
                <w:rFonts w:ascii="Arial" w:cs="Arial" w:eastAsia="Arial" w:hAnsi="Arial"/>
                <w:sz w:val="14"/>
                <w:szCs w:val="14"/>
                <w:color w:val="auto"/>
              </w:rPr>
              <w:t>22</w:t>
            </w:r>
          </w:p>
        </w:tc>
        <w:tc>
          <w:tcPr>
            <w:tcW w:w="720" w:type="dxa"/>
            <w:vAlign w:val="bottom"/>
            <w:tcBorders>
              <w:bottom w:val="single" w:sz="8" w:color="auto"/>
            </w:tcBorders>
            <w:gridSpan w:val="2"/>
          </w:tcPr>
          <w:p>
            <w:pPr>
              <w:jc w:val="right"/>
              <w:ind w:right="220"/>
              <w:spacing w:after="0" w:line="157" w:lineRule="exact"/>
              <w:rPr>
                <w:sz w:val="20"/>
                <w:szCs w:val="20"/>
                <w:color w:val="auto"/>
              </w:rPr>
            </w:pPr>
            <w:r>
              <w:rPr>
                <w:rFonts w:ascii="Arial" w:cs="Arial" w:eastAsia="Arial" w:hAnsi="Arial"/>
                <w:sz w:val="14"/>
                <w:szCs w:val="14"/>
                <w:color w:val="auto"/>
              </w:rPr>
              <w:t>316</w:t>
            </w:r>
          </w:p>
        </w:tc>
        <w:tc>
          <w:tcPr>
            <w:tcW w:w="760" w:type="dxa"/>
            <w:vAlign w:val="bottom"/>
            <w:tcBorders>
              <w:bottom w:val="single" w:sz="8" w:color="auto"/>
            </w:tcBorders>
            <w:gridSpan w:val="2"/>
          </w:tcPr>
          <w:p>
            <w:pPr>
              <w:jc w:val="right"/>
              <w:ind w:right="200"/>
              <w:spacing w:after="0" w:line="157" w:lineRule="exact"/>
              <w:rPr>
                <w:sz w:val="20"/>
                <w:szCs w:val="20"/>
                <w:color w:val="auto"/>
              </w:rPr>
            </w:pPr>
            <w:r>
              <w:rPr>
                <w:rFonts w:ascii="Arial" w:cs="Arial" w:eastAsia="Arial" w:hAnsi="Arial"/>
                <w:sz w:val="14"/>
                <w:szCs w:val="14"/>
                <w:color w:val="auto"/>
              </w:rPr>
              <w:t>23</w:t>
            </w:r>
          </w:p>
        </w:tc>
        <w:tc>
          <w:tcPr>
            <w:tcW w:w="720" w:type="dxa"/>
            <w:vAlign w:val="bottom"/>
            <w:tcBorders>
              <w:bottom w:val="single" w:sz="8" w:color="auto"/>
            </w:tcBorders>
            <w:gridSpan w:val="2"/>
          </w:tcPr>
          <w:p>
            <w:pPr>
              <w:jc w:val="right"/>
              <w:ind w:right="200"/>
              <w:spacing w:after="0" w:line="157" w:lineRule="exact"/>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gridSpan w:val="2"/>
          </w:tcPr>
          <w:p>
            <w:pPr>
              <w:jc w:val="right"/>
              <w:ind w:right="220"/>
              <w:spacing w:after="0" w:line="157" w:lineRule="exact"/>
              <w:rPr>
                <w:sz w:val="20"/>
                <w:szCs w:val="20"/>
                <w:color w:val="auto"/>
              </w:rPr>
            </w:pPr>
            <w:r>
              <w:rPr>
                <w:rFonts w:ascii="Arial" w:cs="Arial" w:eastAsia="Arial" w:hAnsi="Arial"/>
                <w:sz w:val="14"/>
                <w:szCs w:val="14"/>
                <w:color w:val="auto"/>
              </w:rPr>
              <w:t>–</w:t>
            </w:r>
          </w:p>
        </w:tc>
        <w:tc>
          <w:tcPr>
            <w:tcW w:w="660" w:type="dxa"/>
            <w:vAlign w:val="bottom"/>
            <w:tcBorders>
              <w:bottom w:val="single" w:sz="8" w:color="auto"/>
            </w:tcBorders>
          </w:tcPr>
          <w:p>
            <w:pPr>
              <w:jc w:val="right"/>
              <w:ind w:right="51"/>
              <w:spacing w:after="0" w:line="157" w:lineRule="exact"/>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tcPr>
          <w:p>
            <w:pPr>
              <w:jc w:val="right"/>
              <w:ind w:right="52"/>
              <w:spacing w:after="0" w:line="157" w:lineRule="exact"/>
              <w:rPr>
                <w:sz w:val="20"/>
                <w:szCs w:val="20"/>
                <w:color w:val="auto"/>
              </w:rPr>
            </w:pPr>
            <w:r>
              <w:rPr>
                <w:rFonts w:ascii="Arial" w:cs="Arial" w:eastAsia="Arial" w:hAnsi="Arial"/>
                <w:sz w:val="14"/>
                <w:szCs w:val="14"/>
                <w:color w:val="auto"/>
              </w:rPr>
              <w:t>–</w:t>
            </w:r>
          </w:p>
        </w:tc>
        <w:tc>
          <w:tcPr>
            <w:tcW w:w="660" w:type="dxa"/>
            <w:vAlign w:val="bottom"/>
            <w:tcBorders>
              <w:bottom w:val="single" w:sz="8" w:color="auto"/>
            </w:tcBorders>
          </w:tcPr>
          <w:p>
            <w:pPr>
              <w:jc w:val="right"/>
              <w:ind w:right="11"/>
              <w:spacing w:after="0" w:line="157" w:lineRule="exact"/>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gridSpan w:val="3"/>
          </w:tcPr>
          <w:p>
            <w:pPr>
              <w:jc w:val="right"/>
              <w:ind w:right="220"/>
              <w:spacing w:after="0" w:line="157" w:lineRule="exact"/>
              <w:rPr>
                <w:sz w:val="20"/>
                <w:szCs w:val="20"/>
                <w:color w:val="auto"/>
              </w:rPr>
            </w:pPr>
            <w:r>
              <w:rPr>
                <w:rFonts w:ascii="Arial" w:cs="Arial" w:eastAsia="Arial" w:hAnsi="Arial"/>
                <w:sz w:val="14"/>
                <w:szCs w:val="14"/>
                <w:color w:val="auto"/>
              </w:rPr>
              <w:t>15</w:t>
            </w:r>
          </w:p>
        </w:tc>
        <w:tc>
          <w:tcPr>
            <w:tcW w:w="640" w:type="dxa"/>
            <w:vAlign w:val="bottom"/>
            <w:tcBorders>
              <w:bottom w:val="single" w:sz="8" w:color="auto"/>
            </w:tcBorders>
          </w:tcPr>
          <w:p>
            <w:pPr>
              <w:jc w:val="right"/>
              <w:ind w:right="31"/>
              <w:spacing w:after="0" w:line="157" w:lineRule="exact"/>
              <w:rPr>
                <w:sz w:val="20"/>
                <w:szCs w:val="20"/>
                <w:color w:val="auto"/>
              </w:rPr>
            </w:pPr>
            <w:r>
              <w:rPr>
                <w:rFonts w:ascii="Arial" w:cs="Arial" w:eastAsia="Arial" w:hAnsi="Arial"/>
                <w:sz w:val="14"/>
                <w:szCs w:val="14"/>
                <w:color w:val="auto"/>
              </w:rPr>
              <w:t>376</w:t>
            </w:r>
          </w:p>
        </w:tc>
        <w:tc>
          <w:tcPr>
            <w:tcW w:w="740" w:type="dxa"/>
            <w:vAlign w:val="bottom"/>
            <w:tcBorders>
              <w:bottom w:val="single" w:sz="8" w:color="auto"/>
            </w:tcBorders>
          </w:tcPr>
          <w:p>
            <w:pPr>
              <w:jc w:val="right"/>
              <w:ind w:right="30"/>
              <w:spacing w:after="0" w:line="157" w:lineRule="exact"/>
              <w:rPr>
                <w:sz w:val="20"/>
                <w:szCs w:val="20"/>
                <w:color w:val="auto"/>
              </w:rPr>
            </w:pPr>
            <w:r>
              <w:rPr>
                <w:rFonts w:ascii="Arial" w:cs="Arial" w:eastAsia="Arial" w:hAnsi="Arial"/>
                <w:sz w:val="14"/>
                <w:szCs w:val="14"/>
                <w:color w:val="auto"/>
              </w:rPr>
              <w:t>–</w:t>
            </w:r>
          </w:p>
        </w:tc>
        <w:tc>
          <w:tcPr>
            <w:tcW w:w="660" w:type="dxa"/>
            <w:vAlign w:val="bottom"/>
            <w:tcBorders>
              <w:bottom w:val="single" w:sz="8" w:color="auto"/>
            </w:tcBorders>
          </w:tcPr>
          <w:p>
            <w:pPr>
              <w:jc w:val="right"/>
              <w:ind w:right="10"/>
              <w:spacing w:after="0" w:line="157" w:lineRule="exact"/>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tcPr>
          <w:p>
            <w:pPr>
              <w:jc w:val="right"/>
              <w:ind w:right="32"/>
              <w:spacing w:after="0" w:line="157" w:lineRule="exact"/>
              <w:rPr>
                <w:sz w:val="20"/>
                <w:szCs w:val="20"/>
                <w:color w:val="auto"/>
              </w:rPr>
            </w:pPr>
            <w:r>
              <w:rPr>
                <w:rFonts w:ascii="Arial" w:cs="Arial" w:eastAsia="Arial" w:hAnsi="Arial"/>
                <w:sz w:val="14"/>
                <w:szCs w:val="14"/>
                <w:color w:val="auto"/>
              </w:rPr>
              <w:t>376</w:t>
            </w:r>
          </w:p>
        </w:tc>
      </w:tr>
    </w:tbl>
    <w:p>
      <w:pPr>
        <w:spacing w:after="0" w:line="27" w:lineRule="exact"/>
        <w:rPr>
          <w:sz w:val="20"/>
          <w:szCs w:val="20"/>
          <w:color w:val="auto"/>
        </w:rPr>
      </w:pPr>
    </w:p>
    <w:p>
      <w:pPr>
        <w:ind w:right="20" w:firstLine="8"/>
        <w:spacing w:after="0" w:line="255" w:lineRule="auto"/>
        <w:tabs>
          <w:tab w:leader="none" w:pos="162" w:val="left"/>
        </w:tabs>
        <w:numPr>
          <w:ilvl w:val="0"/>
          <w:numId w:val="150"/>
        </w:numPr>
        <w:rPr>
          <w:rFonts w:ascii="Arial" w:cs="Arial" w:eastAsia="Arial" w:hAnsi="Arial"/>
          <w:sz w:val="11"/>
          <w:szCs w:val="11"/>
          <w:color w:val="auto"/>
        </w:rPr>
      </w:pPr>
      <w:r>
        <w:rPr>
          <w:rFonts w:ascii="Arial" w:cs="Arial" w:eastAsia="Arial" w:hAnsi="Arial"/>
          <w:sz w:val="11"/>
          <w:szCs w:val="11"/>
          <w:color w:val="auto"/>
        </w:rPr>
        <w:t xml:space="preserve">As a result of the adoption of IFRS 11 </w:t>
      </w:r>
      <w:r>
        <w:rPr>
          <w:rFonts w:ascii="Arial" w:cs="Arial" w:eastAsia="Arial" w:hAnsi="Arial"/>
          <w:sz w:val="11"/>
          <w:szCs w:val="11"/>
          <w:i w:val="1"/>
          <w:iCs w:val="1"/>
          <w:color w:val="auto"/>
        </w:rPr>
        <w:t>Joint Arrangements</w:t>
      </w:r>
      <w:r>
        <w:rPr>
          <w:rFonts w:ascii="Arial" w:cs="Arial" w:eastAsia="Arial" w:hAnsi="Arial"/>
          <w:sz w:val="11"/>
          <w:szCs w:val="11"/>
          <w:color w:val="auto"/>
        </w:rPr>
        <w:t xml:space="preserve"> with effect from January 1, 2013, proved developed reserves of 81 million barrels in Asia and 217 million barrels in the USA were reclassified during 2013 from the Shell share of joint ventures and associates’ proved developed reserves to Shell subsidiaries’ proved developed reserves.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3640" w:type="dxa"/>
            <w:vAlign w:val="bottom"/>
            <w:gridSpan w:val="5"/>
            <w:shd w:val="clear" w:color="auto" w:fill="333333"/>
          </w:tcPr>
          <w:p>
            <w:pPr>
              <w:ind w:left="80"/>
              <w:spacing w:after="0"/>
              <w:rPr>
                <w:sz w:val="20"/>
                <w:szCs w:val="20"/>
                <w:color w:val="auto"/>
              </w:rPr>
            </w:pPr>
            <w:r>
              <w:rPr>
                <w:rFonts w:ascii="Arial" w:cs="Arial" w:eastAsia="Arial" w:hAnsi="Arial"/>
                <w:sz w:val="15"/>
                <w:szCs w:val="15"/>
                <w:b w:val="1"/>
                <w:bCs w:val="1"/>
                <w:color w:val="FFFFFF"/>
              </w:rPr>
              <w:t>PROVED UNDEVELOPED RESERVES 2013</w:t>
            </w:r>
          </w:p>
        </w:tc>
        <w:tc>
          <w:tcPr>
            <w:tcW w:w="560" w:type="dxa"/>
            <w:vAlign w:val="bottom"/>
            <w:shd w:val="clear" w:color="auto" w:fill="333333"/>
          </w:tcPr>
          <w:p>
            <w:pPr>
              <w:spacing w:after="0"/>
              <w:rPr>
                <w:sz w:val="15"/>
                <w:szCs w:val="15"/>
                <w:color w:val="auto"/>
              </w:rPr>
            </w:pPr>
          </w:p>
        </w:tc>
        <w:tc>
          <w:tcPr>
            <w:tcW w:w="200" w:type="dxa"/>
            <w:vAlign w:val="bottom"/>
            <w:shd w:val="clear" w:color="auto" w:fill="333333"/>
          </w:tcPr>
          <w:p>
            <w:pPr>
              <w:spacing w:after="0"/>
              <w:rPr>
                <w:sz w:val="15"/>
                <w:szCs w:val="15"/>
                <w:color w:val="auto"/>
              </w:rPr>
            </w:pPr>
          </w:p>
        </w:tc>
        <w:tc>
          <w:tcPr>
            <w:tcW w:w="520" w:type="dxa"/>
            <w:vAlign w:val="bottom"/>
            <w:shd w:val="clear" w:color="auto" w:fill="333333"/>
          </w:tcPr>
          <w:p>
            <w:pPr>
              <w:spacing w:after="0"/>
              <w:rPr>
                <w:sz w:val="15"/>
                <w:szCs w:val="15"/>
                <w:color w:val="auto"/>
              </w:rPr>
            </w:pPr>
          </w:p>
        </w:tc>
        <w:tc>
          <w:tcPr>
            <w:tcW w:w="200" w:type="dxa"/>
            <w:vAlign w:val="bottom"/>
            <w:shd w:val="clear" w:color="auto" w:fill="333333"/>
          </w:tcPr>
          <w:p>
            <w:pPr>
              <w:spacing w:after="0"/>
              <w:rPr>
                <w:sz w:val="15"/>
                <w:szCs w:val="15"/>
                <w:color w:val="auto"/>
              </w:rPr>
            </w:pPr>
          </w:p>
        </w:tc>
        <w:tc>
          <w:tcPr>
            <w:tcW w:w="600" w:type="dxa"/>
            <w:vAlign w:val="bottom"/>
            <w:shd w:val="clear" w:color="auto" w:fill="333333"/>
          </w:tcPr>
          <w:p>
            <w:pPr>
              <w:spacing w:after="0"/>
              <w:rPr>
                <w:sz w:val="15"/>
                <w:szCs w:val="15"/>
                <w:color w:val="auto"/>
              </w:rPr>
            </w:pPr>
          </w:p>
        </w:tc>
        <w:tc>
          <w:tcPr>
            <w:tcW w:w="120" w:type="dxa"/>
            <w:vAlign w:val="bottom"/>
            <w:shd w:val="clear" w:color="auto" w:fill="333333"/>
          </w:tcPr>
          <w:p>
            <w:pPr>
              <w:spacing w:after="0"/>
              <w:rPr>
                <w:sz w:val="15"/>
                <w:szCs w:val="15"/>
                <w:color w:val="auto"/>
              </w:rPr>
            </w:pPr>
          </w:p>
        </w:tc>
        <w:tc>
          <w:tcPr>
            <w:tcW w:w="640" w:type="dxa"/>
            <w:vAlign w:val="bottom"/>
            <w:shd w:val="clear" w:color="auto" w:fill="333333"/>
          </w:tcPr>
          <w:p>
            <w:pPr>
              <w:spacing w:after="0"/>
              <w:rPr>
                <w:sz w:val="15"/>
                <w:szCs w:val="15"/>
                <w:color w:val="auto"/>
              </w:rPr>
            </w:pPr>
          </w:p>
        </w:tc>
        <w:tc>
          <w:tcPr>
            <w:tcW w:w="720" w:type="dxa"/>
            <w:vAlign w:val="bottom"/>
            <w:shd w:val="clear" w:color="auto" w:fill="333333"/>
          </w:tcPr>
          <w:p>
            <w:pPr>
              <w:spacing w:after="0"/>
              <w:rPr>
                <w:sz w:val="15"/>
                <w:szCs w:val="15"/>
                <w:color w:val="auto"/>
              </w:rPr>
            </w:pPr>
          </w:p>
        </w:tc>
        <w:tc>
          <w:tcPr>
            <w:tcW w:w="660" w:type="dxa"/>
            <w:vAlign w:val="bottom"/>
            <w:shd w:val="clear" w:color="auto" w:fill="333333"/>
          </w:tcPr>
          <w:p>
            <w:pPr>
              <w:spacing w:after="0"/>
              <w:rPr>
                <w:sz w:val="15"/>
                <w:szCs w:val="15"/>
                <w:color w:val="auto"/>
              </w:rPr>
            </w:pPr>
          </w:p>
        </w:tc>
        <w:tc>
          <w:tcPr>
            <w:tcW w:w="120" w:type="dxa"/>
            <w:vAlign w:val="bottom"/>
            <w:shd w:val="clear" w:color="auto" w:fill="333333"/>
          </w:tcPr>
          <w:p>
            <w:pPr>
              <w:spacing w:after="0"/>
              <w:rPr>
                <w:sz w:val="15"/>
                <w:szCs w:val="15"/>
                <w:color w:val="auto"/>
              </w:rPr>
            </w:pPr>
          </w:p>
        </w:tc>
        <w:tc>
          <w:tcPr>
            <w:tcW w:w="540" w:type="dxa"/>
            <w:vAlign w:val="bottom"/>
            <w:shd w:val="clear" w:color="auto" w:fill="333333"/>
          </w:tcPr>
          <w:p>
            <w:pPr>
              <w:spacing w:after="0"/>
              <w:rPr>
                <w:sz w:val="15"/>
                <w:szCs w:val="15"/>
                <w:color w:val="auto"/>
              </w:rPr>
            </w:pPr>
          </w:p>
        </w:tc>
        <w:tc>
          <w:tcPr>
            <w:tcW w:w="220" w:type="dxa"/>
            <w:vAlign w:val="bottom"/>
            <w:shd w:val="clear" w:color="auto" w:fill="333333"/>
          </w:tcPr>
          <w:p>
            <w:pPr>
              <w:spacing w:after="0"/>
              <w:rPr>
                <w:sz w:val="15"/>
                <w:szCs w:val="15"/>
                <w:color w:val="auto"/>
              </w:rPr>
            </w:pPr>
          </w:p>
        </w:tc>
        <w:tc>
          <w:tcPr>
            <w:tcW w:w="620" w:type="dxa"/>
            <w:vAlign w:val="bottom"/>
            <w:shd w:val="clear" w:color="auto" w:fill="333333"/>
          </w:tcPr>
          <w:p>
            <w:pPr>
              <w:spacing w:after="0"/>
              <w:rPr>
                <w:sz w:val="15"/>
                <w:szCs w:val="15"/>
                <w:color w:val="auto"/>
              </w:rPr>
            </w:pPr>
          </w:p>
        </w:tc>
        <w:tc>
          <w:tcPr>
            <w:tcW w:w="2060" w:type="dxa"/>
            <w:vAlign w:val="bottom"/>
            <w:gridSpan w:val="3"/>
            <w:shd w:val="clear" w:color="auto" w:fill="333333"/>
          </w:tcPr>
          <w:p>
            <w:pPr>
              <w:jc w:val="right"/>
              <w:ind w:right="32"/>
              <w:spacing w:after="0"/>
              <w:rPr>
                <w:sz w:val="20"/>
                <w:szCs w:val="20"/>
                <w:color w:val="auto"/>
              </w:rPr>
            </w:pPr>
            <w:r>
              <w:rPr>
                <w:rFonts w:ascii="Arial" w:cs="Arial" w:eastAsia="Arial" w:hAnsi="Arial"/>
                <w:sz w:val="15"/>
                <w:szCs w:val="15"/>
                <w:color w:val="FFFFFF"/>
              </w:rPr>
              <w:t>MILLION BARRELS</w:t>
            </w:r>
          </w:p>
        </w:tc>
      </w:tr>
      <w:tr>
        <w:trPr>
          <w:trHeight w:val="135"/>
        </w:trPr>
        <w:tc>
          <w:tcPr>
            <w:tcW w:w="2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1380" w:type="dxa"/>
            <w:vAlign w:val="bottom"/>
            <w:tcBorders>
              <w:bottom w:val="single" w:sz="8" w:color="auto"/>
            </w:tcBorders>
            <w:gridSpan w:val="2"/>
          </w:tcPr>
          <w:p>
            <w:pPr>
              <w:jc w:val="right"/>
              <w:ind w:right="11"/>
              <w:spacing w:after="0" w:line="135" w:lineRule="exact"/>
              <w:rPr>
                <w:sz w:val="20"/>
                <w:szCs w:val="20"/>
                <w:color w:val="auto"/>
              </w:rPr>
            </w:pPr>
            <w:r>
              <w:rPr>
                <w:rFonts w:ascii="Arial" w:cs="Arial" w:eastAsia="Arial" w:hAnsi="Arial"/>
                <w:sz w:val="13"/>
                <w:szCs w:val="13"/>
                <w:color w:val="auto"/>
              </w:rPr>
              <w:t>North America</w:t>
            </w:r>
          </w:p>
        </w:tc>
        <w:tc>
          <w:tcPr>
            <w:tcW w:w="120" w:type="dxa"/>
            <w:vAlign w:val="bottom"/>
          </w:tcPr>
          <w:p>
            <w:pPr>
              <w:spacing w:after="0"/>
              <w:rPr>
                <w:sz w:val="11"/>
                <w:szCs w:val="11"/>
                <w:color w:val="auto"/>
              </w:rPr>
            </w:pPr>
          </w:p>
        </w:tc>
        <w:tc>
          <w:tcPr>
            <w:tcW w:w="76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South</w:t>
            </w:r>
          </w:p>
        </w:tc>
        <w:tc>
          <w:tcPr>
            <w:tcW w:w="6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r>
      <w:tr>
        <w:trPr>
          <w:trHeight w:val="129"/>
        </w:trPr>
        <w:tc>
          <w:tcPr>
            <w:tcW w:w="2200" w:type="dxa"/>
            <w:vAlign w:val="bottom"/>
          </w:tcPr>
          <w:p>
            <w:pPr>
              <w:spacing w:after="0"/>
              <w:rPr>
                <w:sz w:val="11"/>
                <w:szCs w:val="11"/>
                <w:color w:val="auto"/>
              </w:rPr>
            </w:pPr>
          </w:p>
        </w:tc>
        <w:tc>
          <w:tcPr>
            <w:tcW w:w="720" w:type="dxa"/>
            <w:vAlign w:val="bottom"/>
            <w:gridSpan w:val="2"/>
          </w:tcPr>
          <w:p>
            <w:pPr>
              <w:jc w:val="right"/>
              <w:ind w:right="200"/>
              <w:spacing w:after="0" w:line="129" w:lineRule="exact"/>
              <w:rPr>
                <w:sz w:val="20"/>
                <w:szCs w:val="20"/>
                <w:color w:val="auto"/>
              </w:rPr>
            </w:pPr>
            <w:r>
              <w:rPr>
                <w:rFonts w:ascii="Arial" w:cs="Arial" w:eastAsia="Arial" w:hAnsi="Arial"/>
                <w:sz w:val="13"/>
                <w:szCs w:val="13"/>
                <w:color w:val="auto"/>
              </w:rPr>
              <w:t>Europe</w:t>
            </w:r>
          </w:p>
        </w:tc>
        <w:tc>
          <w:tcPr>
            <w:tcW w:w="720" w:type="dxa"/>
            <w:vAlign w:val="bottom"/>
            <w:gridSpan w:val="2"/>
          </w:tcPr>
          <w:p>
            <w:pPr>
              <w:jc w:val="right"/>
              <w:ind w:right="220"/>
              <w:spacing w:after="0" w:line="129" w:lineRule="exact"/>
              <w:rPr>
                <w:sz w:val="20"/>
                <w:szCs w:val="20"/>
                <w:color w:val="auto"/>
              </w:rPr>
            </w:pPr>
            <w:r>
              <w:rPr>
                <w:rFonts w:ascii="Arial" w:cs="Arial" w:eastAsia="Arial" w:hAnsi="Arial"/>
                <w:sz w:val="13"/>
                <w:szCs w:val="13"/>
                <w:color w:val="auto"/>
              </w:rPr>
              <w:t>Asia[A]</w:t>
            </w:r>
          </w:p>
        </w:tc>
        <w:tc>
          <w:tcPr>
            <w:tcW w:w="760" w:type="dxa"/>
            <w:vAlign w:val="bottom"/>
            <w:gridSpan w:val="2"/>
          </w:tcPr>
          <w:p>
            <w:pPr>
              <w:jc w:val="right"/>
              <w:ind w:right="200"/>
              <w:spacing w:after="0" w:line="129" w:lineRule="exact"/>
              <w:rPr>
                <w:sz w:val="20"/>
                <w:szCs w:val="20"/>
                <w:color w:val="auto"/>
              </w:rPr>
            </w:pPr>
            <w:r>
              <w:rPr>
                <w:rFonts w:ascii="Arial" w:cs="Arial" w:eastAsia="Arial" w:hAnsi="Arial"/>
                <w:sz w:val="13"/>
                <w:szCs w:val="13"/>
                <w:color w:val="auto"/>
              </w:rPr>
              <w:t>Oceania</w:t>
            </w:r>
          </w:p>
        </w:tc>
        <w:tc>
          <w:tcPr>
            <w:tcW w:w="720" w:type="dxa"/>
            <w:vAlign w:val="bottom"/>
            <w:gridSpan w:val="2"/>
          </w:tcPr>
          <w:p>
            <w:pPr>
              <w:jc w:val="right"/>
              <w:ind w:right="200"/>
              <w:spacing w:after="0" w:line="129" w:lineRule="exact"/>
              <w:rPr>
                <w:sz w:val="20"/>
                <w:szCs w:val="20"/>
                <w:color w:val="auto"/>
              </w:rPr>
            </w:pPr>
            <w:r>
              <w:rPr>
                <w:rFonts w:ascii="Arial" w:cs="Arial" w:eastAsia="Arial" w:hAnsi="Arial"/>
                <w:sz w:val="13"/>
                <w:szCs w:val="13"/>
                <w:color w:val="auto"/>
              </w:rPr>
              <w:t>Africa</w:t>
            </w:r>
          </w:p>
        </w:tc>
        <w:tc>
          <w:tcPr>
            <w:tcW w:w="720" w:type="dxa"/>
            <w:vAlign w:val="bottom"/>
            <w:gridSpan w:val="2"/>
          </w:tcPr>
          <w:p>
            <w:pPr>
              <w:jc w:val="right"/>
              <w:ind w:right="220"/>
              <w:spacing w:after="0" w:line="129" w:lineRule="exact"/>
              <w:rPr>
                <w:sz w:val="20"/>
                <w:szCs w:val="20"/>
                <w:color w:val="auto"/>
              </w:rPr>
            </w:pPr>
            <w:r>
              <w:rPr>
                <w:rFonts w:ascii="Arial" w:cs="Arial" w:eastAsia="Arial" w:hAnsi="Arial"/>
                <w:sz w:val="13"/>
                <w:szCs w:val="13"/>
                <w:color w:val="auto"/>
              </w:rPr>
              <w:t>USA[A]</w:t>
            </w:r>
          </w:p>
        </w:tc>
        <w:tc>
          <w:tcPr>
            <w:tcW w:w="6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jc w:val="right"/>
              <w:ind w:right="11"/>
              <w:spacing w:after="0" w:line="129" w:lineRule="exact"/>
              <w:rPr>
                <w:sz w:val="20"/>
                <w:szCs w:val="20"/>
                <w:color w:val="auto"/>
              </w:rPr>
            </w:pPr>
            <w:r>
              <w:rPr>
                <w:rFonts w:ascii="Arial" w:cs="Arial" w:eastAsia="Arial" w:hAnsi="Arial"/>
                <w:sz w:val="13"/>
                <w:szCs w:val="13"/>
                <w:color w:val="auto"/>
              </w:rPr>
              <w:t>Canada</w:t>
            </w:r>
          </w:p>
        </w:tc>
        <w:tc>
          <w:tcPr>
            <w:tcW w:w="120" w:type="dxa"/>
            <w:vAlign w:val="bottom"/>
          </w:tcPr>
          <w:p>
            <w:pPr>
              <w:spacing w:after="0"/>
              <w:rPr>
                <w:sz w:val="11"/>
                <w:szCs w:val="11"/>
                <w:color w:val="auto"/>
              </w:rPr>
            </w:pPr>
          </w:p>
        </w:tc>
        <w:tc>
          <w:tcPr>
            <w:tcW w:w="760" w:type="dxa"/>
            <w:vAlign w:val="bottom"/>
            <w:gridSpan w:val="2"/>
          </w:tcPr>
          <w:p>
            <w:pPr>
              <w:jc w:val="right"/>
              <w:ind w:right="200"/>
              <w:spacing w:after="0" w:line="129" w:lineRule="exact"/>
              <w:rPr>
                <w:sz w:val="20"/>
                <w:szCs w:val="20"/>
                <w:color w:val="auto"/>
              </w:rPr>
            </w:pPr>
            <w:r>
              <w:rPr>
                <w:rFonts w:ascii="Arial" w:cs="Arial" w:eastAsia="Arial" w:hAnsi="Arial"/>
                <w:sz w:val="13"/>
                <w:szCs w:val="13"/>
                <w:color w:val="auto"/>
              </w:rPr>
              <w:t>America</w:t>
            </w:r>
          </w:p>
        </w:tc>
        <w:tc>
          <w:tcPr>
            <w:tcW w:w="6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jc w:val="right"/>
              <w:ind w:right="32"/>
              <w:spacing w:after="0" w:line="129" w:lineRule="exact"/>
              <w:rPr>
                <w:sz w:val="20"/>
                <w:szCs w:val="20"/>
                <w:color w:val="auto"/>
              </w:rPr>
            </w:pPr>
            <w:r>
              <w:rPr>
                <w:rFonts w:ascii="Arial" w:cs="Arial" w:eastAsia="Arial" w:hAnsi="Arial"/>
                <w:sz w:val="13"/>
                <w:szCs w:val="13"/>
                <w:color w:val="auto"/>
              </w:rPr>
              <w:t>Total</w:t>
            </w:r>
          </w:p>
        </w:tc>
      </w:tr>
      <w:tr>
        <w:trPr>
          <w:trHeight w:val="20"/>
        </w:trPr>
        <w:tc>
          <w:tcPr>
            <w:tcW w:w="220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r>
      <w:tr>
        <w:trPr>
          <w:trHeight w:val="123"/>
        </w:trPr>
        <w:tc>
          <w:tcPr>
            <w:tcW w:w="2200" w:type="dxa"/>
            <w:vAlign w:val="bottom"/>
          </w:tcPr>
          <w:p>
            <w:pPr>
              <w:spacing w:after="0"/>
              <w:rPr>
                <w:sz w:val="10"/>
                <w:szCs w:val="10"/>
                <w:color w:val="auto"/>
              </w:rPr>
            </w:pPr>
          </w:p>
        </w:tc>
        <w:tc>
          <w:tcPr>
            <w:tcW w:w="720" w:type="dxa"/>
            <w:vAlign w:val="bottom"/>
            <w:gridSpan w:val="2"/>
          </w:tcPr>
          <w:p>
            <w:pPr>
              <w:jc w:val="right"/>
              <w:ind w:right="200"/>
              <w:spacing w:after="0" w:line="123" w:lineRule="exact"/>
              <w:rPr>
                <w:sz w:val="20"/>
                <w:szCs w:val="20"/>
                <w:color w:val="auto"/>
              </w:rPr>
            </w:pPr>
            <w:r>
              <w:rPr>
                <w:rFonts w:ascii="Arial" w:cs="Arial" w:eastAsia="Arial" w:hAnsi="Arial"/>
                <w:sz w:val="13"/>
                <w:szCs w:val="13"/>
                <w:color w:val="auto"/>
              </w:rPr>
              <w:t>Oil and</w:t>
            </w:r>
          </w:p>
        </w:tc>
        <w:tc>
          <w:tcPr>
            <w:tcW w:w="720" w:type="dxa"/>
            <w:vAlign w:val="bottom"/>
            <w:gridSpan w:val="2"/>
          </w:tcPr>
          <w:p>
            <w:pPr>
              <w:jc w:val="right"/>
              <w:ind w:right="220"/>
              <w:spacing w:after="0" w:line="123" w:lineRule="exact"/>
              <w:rPr>
                <w:sz w:val="20"/>
                <w:szCs w:val="20"/>
                <w:color w:val="auto"/>
              </w:rPr>
            </w:pPr>
            <w:r>
              <w:rPr>
                <w:rFonts w:ascii="Arial" w:cs="Arial" w:eastAsia="Arial" w:hAnsi="Arial"/>
                <w:sz w:val="13"/>
                <w:szCs w:val="13"/>
                <w:color w:val="auto"/>
              </w:rPr>
              <w:t>Oil and</w:t>
            </w:r>
          </w:p>
        </w:tc>
        <w:tc>
          <w:tcPr>
            <w:tcW w:w="760" w:type="dxa"/>
            <w:vAlign w:val="bottom"/>
            <w:gridSpan w:val="2"/>
          </w:tcPr>
          <w:p>
            <w:pPr>
              <w:jc w:val="right"/>
              <w:ind w:right="200"/>
              <w:spacing w:after="0" w:line="123" w:lineRule="exact"/>
              <w:rPr>
                <w:sz w:val="20"/>
                <w:szCs w:val="20"/>
                <w:color w:val="auto"/>
              </w:rPr>
            </w:pPr>
            <w:r>
              <w:rPr>
                <w:rFonts w:ascii="Arial" w:cs="Arial" w:eastAsia="Arial" w:hAnsi="Arial"/>
                <w:sz w:val="13"/>
                <w:szCs w:val="13"/>
                <w:color w:val="auto"/>
              </w:rPr>
              <w:t>Oil and</w:t>
            </w:r>
          </w:p>
        </w:tc>
        <w:tc>
          <w:tcPr>
            <w:tcW w:w="720" w:type="dxa"/>
            <w:vAlign w:val="bottom"/>
            <w:gridSpan w:val="2"/>
          </w:tcPr>
          <w:p>
            <w:pPr>
              <w:jc w:val="right"/>
              <w:ind w:right="200"/>
              <w:spacing w:after="0" w:line="123" w:lineRule="exact"/>
              <w:rPr>
                <w:sz w:val="20"/>
                <w:szCs w:val="20"/>
                <w:color w:val="auto"/>
              </w:rPr>
            </w:pPr>
            <w:r>
              <w:rPr>
                <w:rFonts w:ascii="Arial" w:cs="Arial" w:eastAsia="Arial" w:hAnsi="Arial"/>
                <w:sz w:val="13"/>
                <w:szCs w:val="13"/>
                <w:color w:val="auto"/>
              </w:rPr>
              <w:t>Oil and</w:t>
            </w:r>
          </w:p>
        </w:tc>
        <w:tc>
          <w:tcPr>
            <w:tcW w:w="720" w:type="dxa"/>
            <w:vAlign w:val="bottom"/>
            <w:gridSpan w:val="2"/>
          </w:tcPr>
          <w:p>
            <w:pPr>
              <w:jc w:val="right"/>
              <w:ind w:right="220"/>
              <w:spacing w:after="0" w:line="123" w:lineRule="exact"/>
              <w:rPr>
                <w:sz w:val="20"/>
                <w:szCs w:val="20"/>
                <w:color w:val="auto"/>
              </w:rPr>
            </w:pPr>
            <w:r>
              <w:rPr>
                <w:rFonts w:ascii="Arial" w:cs="Arial" w:eastAsia="Arial" w:hAnsi="Arial"/>
                <w:sz w:val="13"/>
                <w:szCs w:val="13"/>
                <w:color w:val="auto"/>
              </w:rPr>
              <w:t>Oil and</w:t>
            </w:r>
          </w:p>
        </w:tc>
        <w:tc>
          <w:tcPr>
            <w:tcW w:w="640" w:type="dxa"/>
            <w:vAlign w:val="bottom"/>
          </w:tcPr>
          <w:p>
            <w:pPr>
              <w:jc w:val="right"/>
              <w:ind w:right="51"/>
              <w:spacing w:after="0" w:line="123" w:lineRule="exact"/>
              <w:rPr>
                <w:sz w:val="20"/>
                <w:szCs w:val="20"/>
                <w:color w:val="auto"/>
              </w:rPr>
            </w:pPr>
            <w:r>
              <w:rPr>
                <w:rFonts w:ascii="Arial" w:cs="Arial" w:eastAsia="Arial" w:hAnsi="Arial"/>
                <w:sz w:val="13"/>
                <w:szCs w:val="13"/>
                <w:color w:val="auto"/>
              </w:rPr>
              <w:t>Oil and</w:t>
            </w:r>
          </w:p>
        </w:tc>
        <w:tc>
          <w:tcPr>
            <w:tcW w:w="720" w:type="dxa"/>
            <w:vAlign w:val="bottom"/>
          </w:tcPr>
          <w:p>
            <w:pPr>
              <w:jc w:val="right"/>
              <w:ind w:right="32"/>
              <w:spacing w:after="0" w:line="123" w:lineRule="exact"/>
              <w:rPr>
                <w:sz w:val="20"/>
                <w:szCs w:val="20"/>
                <w:color w:val="auto"/>
              </w:rPr>
            </w:pPr>
            <w:r>
              <w:rPr>
                <w:rFonts w:ascii="Arial" w:cs="Arial" w:eastAsia="Arial" w:hAnsi="Arial"/>
                <w:sz w:val="13"/>
                <w:szCs w:val="13"/>
                <w:color w:val="auto"/>
              </w:rPr>
              <w:t>Synthetic</w:t>
            </w: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gridSpan w:val="2"/>
          </w:tcPr>
          <w:p>
            <w:pPr>
              <w:jc w:val="right"/>
              <w:ind w:right="200"/>
              <w:spacing w:after="0" w:line="123" w:lineRule="exact"/>
              <w:rPr>
                <w:sz w:val="20"/>
                <w:szCs w:val="20"/>
                <w:color w:val="auto"/>
              </w:rPr>
            </w:pPr>
            <w:r>
              <w:rPr>
                <w:rFonts w:ascii="Arial" w:cs="Arial" w:eastAsia="Arial" w:hAnsi="Arial"/>
                <w:sz w:val="13"/>
                <w:szCs w:val="13"/>
                <w:color w:val="auto"/>
              </w:rPr>
              <w:t>Oil and</w:t>
            </w:r>
          </w:p>
        </w:tc>
        <w:tc>
          <w:tcPr>
            <w:tcW w:w="620" w:type="dxa"/>
            <w:vAlign w:val="bottom"/>
          </w:tcPr>
          <w:p>
            <w:pPr>
              <w:jc w:val="right"/>
              <w:ind w:right="31"/>
              <w:spacing w:after="0" w:line="123" w:lineRule="exact"/>
              <w:rPr>
                <w:sz w:val="20"/>
                <w:szCs w:val="20"/>
                <w:color w:val="auto"/>
              </w:rPr>
            </w:pPr>
            <w:r>
              <w:rPr>
                <w:rFonts w:ascii="Arial" w:cs="Arial" w:eastAsia="Arial" w:hAnsi="Arial"/>
                <w:sz w:val="13"/>
                <w:szCs w:val="13"/>
                <w:color w:val="auto"/>
              </w:rPr>
              <w:t>Oil and</w:t>
            </w:r>
          </w:p>
        </w:tc>
        <w:tc>
          <w:tcPr>
            <w:tcW w:w="740" w:type="dxa"/>
            <w:vAlign w:val="bottom"/>
          </w:tcPr>
          <w:p>
            <w:pPr>
              <w:jc w:val="right"/>
              <w:ind w:right="50"/>
              <w:spacing w:after="0" w:line="123" w:lineRule="exact"/>
              <w:rPr>
                <w:sz w:val="20"/>
                <w:szCs w:val="20"/>
                <w:color w:val="auto"/>
              </w:rPr>
            </w:pPr>
            <w:r>
              <w:rPr>
                <w:rFonts w:ascii="Arial" w:cs="Arial" w:eastAsia="Arial" w:hAnsi="Arial"/>
                <w:sz w:val="13"/>
                <w:szCs w:val="13"/>
                <w:color w:val="auto"/>
              </w:rPr>
              <w:t>Synthetic</w:t>
            </w:r>
          </w:p>
        </w:tc>
        <w:tc>
          <w:tcPr>
            <w:tcW w:w="640" w:type="dxa"/>
            <w:vAlign w:val="bottom"/>
          </w:tcPr>
          <w:p>
            <w:pPr>
              <w:spacing w:after="0"/>
              <w:rPr>
                <w:sz w:val="10"/>
                <w:szCs w:val="10"/>
                <w:color w:val="auto"/>
              </w:rPr>
            </w:pPr>
          </w:p>
        </w:tc>
        <w:tc>
          <w:tcPr>
            <w:tcW w:w="680" w:type="dxa"/>
            <w:vAlign w:val="bottom"/>
          </w:tcPr>
          <w:p>
            <w:pPr>
              <w:jc w:val="right"/>
              <w:ind w:right="32"/>
              <w:spacing w:after="0" w:line="123" w:lineRule="exact"/>
              <w:rPr>
                <w:sz w:val="20"/>
                <w:szCs w:val="20"/>
                <w:color w:val="auto"/>
              </w:rPr>
            </w:pPr>
            <w:r>
              <w:rPr>
                <w:rFonts w:ascii="Arial" w:cs="Arial" w:eastAsia="Arial" w:hAnsi="Arial"/>
                <w:sz w:val="13"/>
                <w:szCs w:val="13"/>
                <w:color w:val="auto"/>
              </w:rPr>
              <w:t>All</w:t>
            </w:r>
          </w:p>
        </w:tc>
      </w:tr>
      <w:tr>
        <w:trPr>
          <w:trHeight w:val="155"/>
        </w:trPr>
        <w:tc>
          <w:tcPr>
            <w:tcW w:w="220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gridSpan w:val="2"/>
          </w:tcPr>
          <w:p>
            <w:pPr>
              <w:jc w:val="right"/>
              <w:ind w:right="200"/>
              <w:spacing w:after="0"/>
              <w:rPr>
                <w:sz w:val="20"/>
                <w:szCs w:val="20"/>
                <w:color w:val="auto"/>
              </w:rPr>
            </w:pPr>
            <w:r>
              <w:rPr>
                <w:rFonts w:ascii="Arial" w:cs="Arial" w:eastAsia="Arial" w:hAnsi="Arial"/>
                <w:sz w:val="13"/>
                <w:szCs w:val="13"/>
                <w:color w:val="auto"/>
              </w:rPr>
              <w:t>NGL</w:t>
            </w:r>
          </w:p>
        </w:tc>
        <w:tc>
          <w:tcPr>
            <w:tcW w:w="72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3"/>
                <w:szCs w:val="13"/>
                <w:color w:val="auto"/>
              </w:rPr>
              <w:t>NGL</w:t>
            </w:r>
          </w:p>
        </w:tc>
        <w:tc>
          <w:tcPr>
            <w:tcW w:w="760" w:type="dxa"/>
            <w:vAlign w:val="bottom"/>
            <w:tcBorders>
              <w:bottom w:val="single" w:sz="8" w:color="auto"/>
            </w:tcBorders>
            <w:gridSpan w:val="2"/>
          </w:tcPr>
          <w:p>
            <w:pPr>
              <w:jc w:val="right"/>
              <w:ind w:right="200"/>
              <w:spacing w:after="0"/>
              <w:rPr>
                <w:sz w:val="20"/>
                <w:szCs w:val="20"/>
                <w:color w:val="auto"/>
              </w:rPr>
            </w:pPr>
            <w:r>
              <w:rPr>
                <w:rFonts w:ascii="Arial" w:cs="Arial" w:eastAsia="Arial" w:hAnsi="Arial"/>
                <w:sz w:val="13"/>
                <w:szCs w:val="13"/>
                <w:color w:val="auto"/>
              </w:rPr>
              <w:t>NGL</w:t>
            </w:r>
          </w:p>
        </w:tc>
        <w:tc>
          <w:tcPr>
            <w:tcW w:w="720" w:type="dxa"/>
            <w:vAlign w:val="bottom"/>
            <w:tcBorders>
              <w:bottom w:val="single" w:sz="8" w:color="auto"/>
            </w:tcBorders>
            <w:gridSpan w:val="2"/>
          </w:tcPr>
          <w:p>
            <w:pPr>
              <w:jc w:val="right"/>
              <w:ind w:right="200"/>
              <w:spacing w:after="0"/>
              <w:rPr>
                <w:sz w:val="20"/>
                <w:szCs w:val="20"/>
                <w:color w:val="auto"/>
              </w:rPr>
            </w:pPr>
            <w:r>
              <w:rPr>
                <w:rFonts w:ascii="Arial" w:cs="Arial" w:eastAsia="Arial" w:hAnsi="Arial"/>
                <w:sz w:val="13"/>
                <w:szCs w:val="13"/>
                <w:color w:val="auto"/>
              </w:rPr>
              <w:t>NGL</w:t>
            </w:r>
          </w:p>
        </w:tc>
        <w:tc>
          <w:tcPr>
            <w:tcW w:w="72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3"/>
                <w:szCs w:val="13"/>
                <w:color w:val="auto"/>
              </w:rPr>
              <w:t>NGL</w:t>
            </w:r>
          </w:p>
        </w:tc>
        <w:tc>
          <w:tcPr>
            <w:tcW w:w="640" w:type="dxa"/>
            <w:vAlign w:val="bottom"/>
            <w:tcBorders>
              <w:bottom w:val="single" w:sz="8" w:color="auto"/>
            </w:tcBorders>
          </w:tcPr>
          <w:p>
            <w:pPr>
              <w:jc w:val="right"/>
              <w:ind w:right="51"/>
              <w:spacing w:after="0"/>
              <w:rPr>
                <w:sz w:val="20"/>
                <w:szCs w:val="20"/>
                <w:color w:val="auto"/>
              </w:rPr>
            </w:pPr>
            <w:r>
              <w:rPr>
                <w:rFonts w:ascii="Arial" w:cs="Arial" w:eastAsia="Arial" w:hAnsi="Arial"/>
                <w:sz w:val="13"/>
                <w:szCs w:val="13"/>
                <w:color w:val="auto"/>
              </w:rPr>
              <w:t>NGL</w:t>
            </w:r>
          </w:p>
        </w:tc>
        <w:tc>
          <w:tcPr>
            <w:tcW w:w="720" w:type="dxa"/>
            <w:vAlign w:val="bottom"/>
            <w:tcBorders>
              <w:bottom w:val="single" w:sz="8" w:color="auto"/>
            </w:tcBorders>
          </w:tcPr>
          <w:p>
            <w:pPr>
              <w:jc w:val="right"/>
              <w:ind w:right="32"/>
              <w:spacing w:after="0"/>
              <w:rPr>
                <w:sz w:val="20"/>
                <w:szCs w:val="20"/>
                <w:color w:val="auto"/>
              </w:rPr>
            </w:pPr>
            <w:r>
              <w:rPr>
                <w:rFonts w:ascii="Arial" w:cs="Arial" w:eastAsia="Arial" w:hAnsi="Arial"/>
                <w:sz w:val="13"/>
                <w:szCs w:val="13"/>
                <w:color w:val="auto"/>
              </w:rPr>
              <w:t>crude oil</w:t>
            </w:r>
          </w:p>
        </w:tc>
        <w:tc>
          <w:tcPr>
            <w:tcW w:w="660" w:type="dxa"/>
            <w:vAlign w:val="bottom"/>
            <w:tcBorders>
              <w:bottom w:val="single" w:sz="8" w:color="auto"/>
            </w:tcBorders>
          </w:tcPr>
          <w:p>
            <w:pPr>
              <w:jc w:val="right"/>
              <w:ind w:right="11"/>
              <w:spacing w:after="0"/>
              <w:rPr>
                <w:sz w:val="20"/>
                <w:szCs w:val="20"/>
                <w:color w:val="auto"/>
              </w:rPr>
            </w:pPr>
            <w:r>
              <w:rPr>
                <w:rFonts w:ascii="Arial" w:cs="Arial" w:eastAsia="Arial" w:hAnsi="Arial"/>
                <w:sz w:val="13"/>
                <w:szCs w:val="13"/>
                <w:color w:val="auto"/>
              </w:rPr>
              <w:t>Bitumen</w:t>
            </w:r>
          </w:p>
        </w:tc>
        <w:tc>
          <w:tcPr>
            <w:tcW w:w="12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gridSpan w:val="2"/>
          </w:tcPr>
          <w:p>
            <w:pPr>
              <w:jc w:val="right"/>
              <w:ind w:right="200"/>
              <w:spacing w:after="0"/>
              <w:rPr>
                <w:sz w:val="20"/>
                <w:szCs w:val="20"/>
                <w:color w:val="auto"/>
              </w:rPr>
            </w:pPr>
            <w:r>
              <w:rPr>
                <w:rFonts w:ascii="Arial" w:cs="Arial" w:eastAsia="Arial" w:hAnsi="Arial"/>
                <w:sz w:val="13"/>
                <w:szCs w:val="13"/>
                <w:color w:val="auto"/>
              </w:rPr>
              <w:t>NGL</w:t>
            </w:r>
          </w:p>
        </w:tc>
        <w:tc>
          <w:tcPr>
            <w:tcW w:w="620" w:type="dxa"/>
            <w:vAlign w:val="bottom"/>
            <w:tcBorders>
              <w:bottom w:val="single" w:sz="8" w:color="auto"/>
            </w:tcBorders>
          </w:tcPr>
          <w:p>
            <w:pPr>
              <w:jc w:val="right"/>
              <w:ind w:right="31"/>
              <w:spacing w:after="0"/>
              <w:rPr>
                <w:sz w:val="20"/>
                <w:szCs w:val="20"/>
                <w:color w:val="auto"/>
              </w:rPr>
            </w:pPr>
            <w:r>
              <w:rPr>
                <w:rFonts w:ascii="Arial" w:cs="Arial" w:eastAsia="Arial" w:hAnsi="Arial"/>
                <w:sz w:val="13"/>
                <w:szCs w:val="13"/>
                <w:color w:val="auto"/>
              </w:rPr>
              <w:t>NGL</w:t>
            </w:r>
          </w:p>
        </w:tc>
        <w:tc>
          <w:tcPr>
            <w:tcW w:w="740" w:type="dxa"/>
            <w:vAlign w:val="bottom"/>
            <w:tcBorders>
              <w:bottom w:val="single" w:sz="8" w:color="auto"/>
            </w:tcBorders>
          </w:tcPr>
          <w:p>
            <w:pPr>
              <w:jc w:val="right"/>
              <w:ind w:right="50"/>
              <w:spacing w:after="0"/>
              <w:rPr>
                <w:sz w:val="20"/>
                <w:szCs w:val="20"/>
                <w:color w:val="auto"/>
              </w:rPr>
            </w:pPr>
            <w:r>
              <w:rPr>
                <w:rFonts w:ascii="Arial" w:cs="Arial" w:eastAsia="Arial" w:hAnsi="Arial"/>
                <w:sz w:val="13"/>
                <w:szCs w:val="13"/>
                <w:color w:val="auto"/>
              </w:rPr>
              <w:t>crude oil</w:t>
            </w:r>
          </w:p>
        </w:tc>
        <w:tc>
          <w:tcPr>
            <w:tcW w:w="640" w:type="dxa"/>
            <w:vAlign w:val="bottom"/>
            <w:tcBorders>
              <w:bottom w:val="single" w:sz="8" w:color="auto"/>
            </w:tcBorders>
          </w:tcPr>
          <w:p>
            <w:pPr>
              <w:jc w:val="right"/>
              <w:ind w:right="10"/>
              <w:spacing w:after="0"/>
              <w:rPr>
                <w:sz w:val="20"/>
                <w:szCs w:val="20"/>
                <w:color w:val="auto"/>
              </w:rPr>
            </w:pPr>
            <w:r>
              <w:rPr>
                <w:rFonts w:ascii="Arial" w:cs="Arial" w:eastAsia="Arial" w:hAnsi="Arial"/>
                <w:sz w:val="13"/>
                <w:szCs w:val="13"/>
                <w:color w:val="auto"/>
              </w:rPr>
              <w:t>Bitumen</w:t>
            </w:r>
          </w:p>
        </w:tc>
        <w:tc>
          <w:tcPr>
            <w:tcW w:w="680" w:type="dxa"/>
            <w:vAlign w:val="bottom"/>
            <w:tcBorders>
              <w:bottom w:val="single" w:sz="8" w:color="auto"/>
            </w:tcBorders>
          </w:tcPr>
          <w:p>
            <w:pPr>
              <w:jc w:val="right"/>
              <w:ind w:right="32"/>
              <w:spacing w:after="0"/>
              <w:rPr>
                <w:sz w:val="20"/>
                <w:szCs w:val="20"/>
                <w:color w:val="auto"/>
              </w:rPr>
            </w:pPr>
            <w:r>
              <w:rPr>
                <w:rFonts w:ascii="Arial" w:cs="Arial" w:eastAsia="Arial" w:hAnsi="Arial"/>
                <w:sz w:val="13"/>
                <w:szCs w:val="13"/>
                <w:color w:val="auto"/>
              </w:rPr>
              <w:t>products</w:t>
            </w:r>
          </w:p>
        </w:tc>
      </w:tr>
      <w:tr>
        <w:trPr>
          <w:trHeight w:val="160"/>
        </w:trPr>
        <w:tc>
          <w:tcPr>
            <w:tcW w:w="2200" w:type="dxa"/>
            <w:vAlign w:val="bottom"/>
          </w:tcPr>
          <w:p>
            <w:pPr>
              <w:spacing w:after="0"/>
              <w:rPr>
                <w:sz w:val="20"/>
                <w:szCs w:val="20"/>
                <w:color w:val="auto"/>
              </w:rPr>
            </w:pPr>
            <w:r>
              <w:rPr>
                <w:rFonts w:ascii="Arial" w:cs="Arial" w:eastAsia="Arial" w:hAnsi="Arial"/>
                <w:sz w:val="14"/>
                <w:szCs w:val="14"/>
                <w:color w:val="auto"/>
              </w:rPr>
              <w:t>Shell subsidiaries</w:t>
            </w:r>
          </w:p>
        </w:tc>
        <w:tc>
          <w:tcPr>
            <w:tcW w:w="5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80" w:type="dxa"/>
            <w:vAlign w:val="bottom"/>
          </w:tcPr>
          <w:p>
            <w:pPr>
              <w:spacing w:after="0"/>
              <w:rPr>
                <w:sz w:val="13"/>
                <w:szCs w:val="13"/>
                <w:color w:val="auto"/>
              </w:rPr>
            </w:pPr>
          </w:p>
        </w:tc>
      </w:tr>
      <w:tr>
        <w:trPr>
          <w:trHeight w:val="162"/>
        </w:trPr>
        <w:tc>
          <w:tcPr>
            <w:tcW w:w="2200" w:type="dxa"/>
            <w:vAlign w:val="bottom"/>
          </w:tcPr>
          <w:p>
            <w:pPr>
              <w:ind w:left="140"/>
              <w:spacing w:after="0"/>
              <w:rPr>
                <w:sz w:val="20"/>
                <w:szCs w:val="20"/>
                <w:color w:val="auto"/>
              </w:rPr>
            </w:pPr>
            <w:r>
              <w:rPr>
                <w:rFonts w:ascii="Arial" w:cs="Arial" w:eastAsia="Arial" w:hAnsi="Arial"/>
                <w:sz w:val="14"/>
                <w:szCs w:val="14"/>
                <w:color w:val="auto"/>
              </w:rPr>
              <w:t>At January 1</w:t>
            </w:r>
          </w:p>
        </w:tc>
        <w:tc>
          <w:tcPr>
            <w:tcW w:w="720" w:type="dxa"/>
            <w:vAlign w:val="bottom"/>
            <w:gridSpan w:val="2"/>
          </w:tcPr>
          <w:p>
            <w:pPr>
              <w:jc w:val="right"/>
              <w:ind w:right="200"/>
              <w:spacing w:after="0"/>
              <w:rPr>
                <w:sz w:val="20"/>
                <w:szCs w:val="20"/>
                <w:color w:val="auto"/>
              </w:rPr>
            </w:pPr>
            <w:r>
              <w:rPr>
                <w:rFonts w:ascii="Arial" w:cs="Arial" w:eastAsia="Arial" w:hAnsi="Arial"/>
                <w:sz w:val="14"/>
                <w:szCs w:val="14"/>
                <w:color w:val="auto"/>
              </w:rPr>
              <w:t>344</w:t>
            </w:r>
          </w:p>
        </w:tc>
        <w:tc>
          <w:tcPr>
            <w:tcW w:w="720" w:type="dxa"/>
            <w:vAlign w:val="bottom"/>
            <w:gridSpan w:val="2"/>
          </w:tcPr>
          <w:p>
            <w:pPr>
              <w:jc w:val="right"/>
              <w:ind w:right="220"/>
              <w:spacing w:after="0"/>
              <w:rPr>
                <w:sz w:val="20"/>
                <w:szCs w:val="20"/>
                <w:color w:val="auto"/>
              </w:rPr>
            </w:pPr>
            <w:r>
              <w:rPr>
                <w:rFonts w:ascii="Arial" w:cs="Arial" w:eastAsia="Arial" w:hAnsi="Arial"/>
                <w:sz w:val="14"/>
                <w:szCs w:val="14"/>
                <w:color w:val="auto"/>
              </w:rPr>
              <w:t>374</w:t>
            </w:r>
          </w:p>
        </w:tc>
        <w:tc>
          <w:tcPr>
            <w:tcW w:w="760" w:type="dxa"/>
            <w:vAlign w:val="bottom"/>
            <w:gridSpan w:val="2"/>
          </w:tcPr>
          <w:p>
            <w:pPr>
              <w:jc w:val="right"/>
              <w:ind w:right="200"/>
              <w:spacing w:after="0"/>
              <w:rPr>
                <w:sz w:val="20"/>
                <w:szCs w:val="20"/>
                <w:color w:val="auto"/>
              </w:rPr>
            </w:pPr>
            <w:r>
              <w:rPr>
                <w:rFonts w:ascii="Arial" w:cs="Arial" w:eastAsia="Arial" w:hAnsi="Arial"/>
                <w:sz w:val="14"/>
                <w:szCs w:val="14"/>
                <w:color w:val="auto"/>
              </w:rPr>
              <w:t>112</w:t>
            </w:r>
          </w:p>
        </w:tc>
        <w:tc>
          <w:tcPr>
            <w:tcW w:w="720" w:type="dxa"/>
            <w:vAlign w:val="bottom"/>
            <w:gridSpan w:val="2"/>
          </w:tcPr>
          <w:p>
            <w:pPr>
              <w:jc w:val="right"/>
              <w:ind w:right="200"/>
              <w:spacing w:after="0"/>
              <w:rPr>
                <w:sz w:val="20"/>
                <w:szCs w:val="20"/>
                <w:color w:val="auto"/>
              </w:rPr>
            </w:pPr>
            <w:r>
              <w:rPr>
                <w:rFonts w:ascii="Arial" w:cs="Arial" w:eastAsia="Arial" w:hAnsi="Arial"/>
                <w:sz w:val="14"/>
                <w:szCs w:val="14"/>
                <w:color w:val="auto"/>
              </w:rPr>
              <w:t>192</w:t>
            </w:r>
          </w:p>
        </w:tc>
        <w:tc>
          <w:tcPr>
            <w:tcW w:w="600" w:type="dxa"/>
            <w:vAlign w:val="bottom"/>
          </w:tcPr>
          <w:p>
            <w:pPr>
              <w:jc w:val="right"/>
              <w:ind w:right="32"/>
              <w:spacing w:after="0"/>
              <w:rPr>
                <w:sz w:val="20"/>
                <w:szCs w:val="20"/>
                <w:color w:val="auto"/>
              </w:rPr>
            </w:pPr>
            <w:r>
              <w:rPr>
                <w:rFonts w:ascii="Arial" w:cs="Arial" w:eastAsia="Arial" w:hAnsi="Arial"/>
                <w:sz w:val="14"/>
                <w:szCs w:val="14"/>
                <w:color w:val="auto"/>
              </w:rPr>
              <w:t>326</w:t>
            </w:r>
          </w:p>
        </w:tc>
        <w:tc>
          <w:tcPr>
            <w:tcW w:w="120" w:type="dxa"/>
            <w:vAlign w:val="bottom"/>
          </w:tcPr>
          <w:p>
            <w:pPr>
              <w:spacing w:after="0"/>
              <w:rPr>
                <w:sz w:val="14"/>
                <w:szCs w:val="14"/>
                <w:color w:val="auto"/>
              </w:rPr>
            </w:pPr>
          </w:p>
        </w:tc>
        <w:tc>
          <w:tcPr>
            <w:tcW w:w="640" w:type="dxa"/>
            <w:vAlign w:val="bottom"/>
          </w:tcPr>
          <w:p>
            <w:pPr>
              <w:jc w:val="right"/>
              <w:ind w:right="51"/>
              <w:spacing w:after="0"/>
              <w:rPr>
                <w:sz w:val="20"/>
                <w:szCs w:val="20"/>
                <w:color w:val="auto"/>
              </w:rPr>
            </w:pPr>
            <w:r>
              <w:rPr>
                <w:rFonts w:ascii="Arial" w:cs="Arial" w:eastAsia="Arial" w:hAnsi="Arial"/>
                <w:sz w:val="14"/>
                <w:szCs w:val="14"/>
                <w:color w:val="auto"/>
              </w:rPr>
              <w:t>5</w:t>
            </w:r>
          </w:p>
        </w:tc>
        <w:tc>
          <w:tcPr>
            <w:tcW w:w="720" w:type="dxa"/>
            <w:vAlign w:val="bottom"/>
          </w:tcPr>
          <w:p>
            <w:pPr>
              <w:jc w:val="right"/>
              <w:ind w:right="32"/>
              <w:spacing w:after="0"/>
              <w:rPr>
                <w:sz w:val="20"/>
                <w:szCs w:val="20"/>
                <w:color w:val="auto"/>
              </w:rPr>
            </w:pPr>
            <w:r>
              <w:rPr>
                <w:rFonts w:ascii="Arial" w:cs="Arial" w:eastAsia="Arial" w:hAnsi="Arial"/>
                <w:sz w:val="14"/>
                <w:szCs w:val="14"/>
                <w:color w:val="auto"/>
              </w:rPr>
              <w:t>492</w:t>
            </w:r>
          </w:p>
        </w:tc>
        <w:tc>
          <w:tcPr>
            <w:tcW w:w="660" w:type="dxa"/>
            <w:vAlign w:val="bottom"/>
          </w:tcPr>
          <w:p>
            <w:pPr>
              <w:jc w:val="right"/>
              <w:ind w:right="11"/>
              <w:spacing w:after="0"/>
              <w:rPr>
                <w:sz w:val="20"/>
                <w:szCs w:val="20"/>
                <w:color w:val="auto"/>
              </w:rPr>
            </w:pPr>
            <w:r>
              <w:rPr>
                <w:rFonts w:ascii="Arial" w:cs="Arial" w:eastAsia="Arial" w:hAnsi="Arial"/>
                <w:sz w:val="14"/>
                <w:szCs w:val="14"/>
                <w:color w:val="auto"/>
              </w:rPr>
              <w:t>31</w:t>
            </w:r>
          </w:p>
        </w:tc>
        <w:tc>
          <w:tcPr>
            <w:tcW w:w="880" w:type="dxa"/>
            <w:vAlign w:val="bottom"/>
            <w:gridSpan w:val="3"/>
          </w:tcPr>
          <w:p>
            <w:pPr>
              <w:jc w:val="right"/>
              <w:ind w:right="200"/>
              <w:spacing w:after="0"/>
              <w:rPr>
                <w:sz w:val="20"/>
                <w:szCs w:val="20"/>
                <w:color w:val="auto"/>
              </w:rPr>
            </w:pPr>
            <w:r>
              <w:rPr>
                <w:rFonts w:ascii="Arial" w:cs="Arial" w:eastAsia="Arial" w:hAnsi="Arial"/>
                <w:sz w:val="14"/>
                <w:szCs w:val="14"/>
                <w:color w:val="auto"/>
              </w:rPr>
              <w:t>38</w:t>
            </w:r>
          </w:p>
        </w:tc>
        <w:tc>
          <w:tcPr>
            <w:tcW w:w="620" w:type="dxa"/>
            <w:vAlign w:val="bottom"/>
          </w:tcPr>
          <w:p>
            <w:pPr>
              <w:jc w:val="right"/>
              <w:ind w:right="31"/>
              <w:spacing w:after="0"/>
              <w:rPr>
                <w:sz w:val="20"/>
                <w:szCs w:val="20"/>
                <w:color w:val="auto"/>
              </w:rPr>
            </w:pPr>
            <w:r>
              <w:rPr>
                <w:rFonts w:ascii="Arial" w:cs="Arial" w:eastAsia="Arial" w:hAnsi="Arial"/>
                <w:sz w:val="14"/>
                <w:szCs w:val="14"/>
                <w:color w:val="auto"/>
              </w:rPr>
              <w:t>1,391</w:t>
            </w:r>
          </w:p>
        </w:tc>
        <w:tc>
          <w:tcPr>
            <w:tcW w:w="740" w:type="dxa"/>
            <w:vAlign w:val="bottom"/>
          </w:tcPr>
          <w:p>
            <w:pPr>
              <w:jc w:val="right"/>
              <w:ind w:right="50"/>
              <w:spacing w:after="0"/>
              <w:rPr>
                <w:sz w:val="20"/>
                <w:szCs w:val="20"/>
                <w:color w:val="auto"/>
              </w:rPr>
            </w:pPr>
            <w:r>
              <w:rPr>
                <w:rFonts w:ascii="Arial" w:cs="Arial" w:eastAsia="Arial" w:hAnsi="Arial"/>
                <w:sz w:val="14"/>
                <w:szCs w:val="14"/>
                <w:color w:val="auto"/>
              </w:rPr>
              <w:t>492</w:t>
            </w:r>
          </w:p>
        </w:tc>
        <w:tc>
          <w:tcPr>
            <w:tcW w:w="640" w:type="dxa"/>
            <w:vAlign w:val="bottom"/>
          </w:tcPr>
          <w:p>
            <w:pPr>
              <w:jc w:val="right"/>
              <w:ind w:right="10"/>
              <w:spacing w:after="0"/>
              <w:rPr>
                <w:sz w:val="20"/>
                <w:szCs w:val="20"/>
                <w:color w:val="auto"/>
              </w:rPr>
            </w:pPr>
            <w:r>
              <w:rPr>
                <w:rFonts w:ascii="Arial" w:cs="Arial" w:eastAsia="Arial" w:hAnsi="Arial"/>
                <w:sz w:val="14"/>
                <w:szCs w:val="14"/>
                <w:color w:val="auto"/>
              </w:rPr>
              <w:t>31</w:t>
            </w:r>
          </w:p>
        </w:tc>
        <w:tc>
          <w:tcPr>
            <w:tcW w:w="680" w:type="dxa"/>
            <w:vAlign w:val="bottom"/>
          </w:tcPr>
          <w:p>
            <w:pPr>
              <w:jc w:val="right"/>
              <w:ind w:right="32"/>
              <w:spacing w:after="0"/>
              <w:rPr>
                <w:sz w:val="20"/>
                <w:szCs w:val="20"/>
                <w:color w:val="auto"/>
              </w:rPr>
            </w:pPr>
            <w:r>
              <w:rPr>
                <w:rFonts w:ascii="Arial" w:cs="Arial" w:eastAsia="Arial" w:hAnsi="Arial"/>
                <w:sz w:val="14"/>
                <w:szCs w:val="14"/>
                <w:color w:val="auto"/>
              </w:rPr>
              <w:t>1,914</w:t>
            </w:r>
          </w:p>
        </w:tc>
      </w:tr>
      <w:tr>
        <w:trPr>
          <w:trHeight w:val="157"/>
        </w:trPr>
        <w:tc>
          <w:tcPr>
            <w:tcW w:w="2200" w:type="dxa"/>
            <w:vAlign w:val="bottom"/>
            <w:tcBorders>
              <w:bottom w:val="single" w:sz="8" w:color="auto"/>
            </w:tcBorders>
          </w:tcPr>
          <w:p>
            <w:pPr>
              <w:ind w:left="140"/>
              <w:spacing w:after="0" w:line="157" w:lineRule="exact"/>
              <w:rPr>
                <w:sz w:val="20"/>
                <w:szCs w:val="20"/>
                <w:color w:val="auto"/>
              </w:rPr>
            </w:pPr>
            <w:r>
              <w:rPr>
                <w:rFonts w:ascii="Arial" w:cs="Arial" w:eastAsia="Arial" w:hAnsi="Arial"/>
                <w:sz w:val="14"/>
                <w:szCs w:val="14"/>
                <w:color w:val="auto"/>
              </w:rPr>
              <w:t>At December 31</w:t>
            </w:r>
          </w:p>
        </w:tc>
        <w:tc>
          <w:tcPr>
            <w:tcW w:w="720" w:type="dxa"/>
            <w:vAlign w:val="bottom"/>
            <w:tcBorders>
              <w:bottom w:val="single" w:sz="8" w:color="auto"/>
            </w:tcBorders>
            <w:gridSpan w:val="2"/>
          </w:tcPr>
          <w:p>
            <w:pPr>
              <w:jc w:val="right"/>
              <w:ind w:right="200"/>
              <w:spacing w:after="0" w:line="157" w:lineRule="exact"/>
              <w:rPr>
                <w:sz w:val="20"/>
                <w:szCs w:val="20"/>
                <w:color w:val="auto"/>
              </w:rPr>
            </w:pPr>
            <w:r>
              <w:rPr>
                <w:rFonts w:ascii="Arial" w:cs="Arial" w:eastAsia="Arial" w:hAnsi="Arial"/>
                <w:sz w:val="14"/>
                <w:szCs w:val="14"/>
                <w:color w:val="auto"/>
              </w:rPr>
              <w:t>373</w:t>
            </w:r>
          </w:p>
        </w:tc>
        <w:tc>
          <w:tcPr>
            <w:tcW w:w="720" w:type="dxa"/>
            <w:vAlign w:val="bottom"/>
            <w:tcBorders>
              <w:bottom w:val="single" w:sz="8" w:color="auto"/>
            </w:tcBorders>
            <w:gridSpan w:val="2"/>
          </w:tcPr>
          <w:p>
            <w:pPr>
              <w:jc w:val="right"/>
              <w:ind w:right="220"/>
              <w:spacing w:after="0" w:line="157" w:lineRule="exact"/>
              <w:rPr>
                <w:sz w:val="20"/>
                <w:szCs w:val="20"/>
                <w:color w:val="auto"/>
              </w:rPr>
            </w:pPr>
            <w:r>
              <w:rPr>
                <w:rFonts w:ascii="Arial" w:cs="Arial" w:eastAsia="Arial" w:hAnsi="Arial"/>
                <w:sz w:val="14"/>
                <w:szCs w:val="14"/>
                <w:color w:val="auto"/>
              </w:rPr>
              <w:t>401</w:t>
            </w:r>
          </w:p>
        </w:tc>
        <w:tc>
          <w:tcPr>
            <w:tcW w:w="760" w:type="dxa"/>
            <w:vAlign w:val="bottom"/>
            <w:tcBorders>
              <w:bottom w:val="single" w:sz="8" w:color="auto"/>
            </w:tcBorders>
            <w:gridSpan w:val="2"/>
          </w:tcPr>
          <w:p>
            <w:pPr>
              <w:jc w:val="right"/>
              <w:ind w:right="200"/>
              <w:spacing w:after="0" w:line="157" w:lineRule="exact"/>
              <w:rPr>
                <w:sz w:val="20"/>
                <w:szCs w:val="20"/>
                <w:color w:val="auto"/>
              </w:rPr>
            </w:pPr>
            <w:r>
              <w:rPr>
                <w:rFonts w:ascii="Arial" w:cs="Arial" w:eastAsia="Arial" w:hAnsi="Arial"/>
                <w:sz w:val="14"/>
                <w:szCs w:val="14"/>
                <w:color w:val="auto"/>
              </w:rPr>
              <w:t>91</w:t>
            </w:r>
          </w:p>
        </w:tc>
        <w:tc>
          <w:tcPr>
            <w:tcW w:w="720" w:type="dxa"/>
            <w:vAlign w:val="bottom"/>
            <w:tcBorders>
              <w:bottom w:val="single" w:sz="8" w:color="auto"/>
            </w:tcBorders>
            <w:gridSpan w:val="2"/>
          </w:tcPr>
          <w:p>
            <w:pPr>
              <w:jc w:val="right"/>
              <w:ind w:right="200"/>
              <w:spacing w:after="0" w:line="157" w:lineRule="exact"/>
              <w:rPr>
                <w:sz w:val="20"/>
                <w:szCs w:val="20"/>
                <w:color w:val="auto"/>
              </w:rPr>
            </w:pPr>
            <w:r>
              <w:rPr>
                <w:rFonts w:ascii="Arial" w:cs="Arial" w:eastAsia="Arial" w:hAnsi="Arial"/>
                <w:sz w:val="14"/>
                <w:szCs w:val="14"/>
                <w:color w:val="auto"/>
              </w:rPr>
              <w:t>198</w:t>
            </w:r>
          </w:p>
        </w:tc>
        <w:tc>
          <w:tcPr>
            <w:tcW w:w="600" w:type="dxa"/>
            <w:vAlign w:val="bottom"/>
            <w:tcBorders>
              <w:bottom w:val="single" w:sz="8" w:color="auto"/>
            </w:tcBorders>
          </w:tcPr>
          <w:p>
            <w:pPr>
              <w:jc w:val="right"/>
              <w:ind w:right="32"/>
              <w:spacing w:after="0" w:line="157" w:lineRule="exact"/>
              <w:rPr>
                <w:sz w:val="20"/>
                <w:szCs w:val="20"/>
                <w:color w:val="auto"/>
              </w:rPr>
            </w:pPr>
            <w:r>
              <w:rPr>
                <w:rFonts w:ascii="Arial" w:cs="Arial" w:eastAsia="Arial" w:hAnsi="Arial"/>
                <w:sz w:val="14"/>
                <w:szCs w:val="14"/>
                <w:color w:val="auto"/>
              </w:rPr>
              <w:t>551</w:t>
            </w:r>
          </w:p>
        </w:tc>
        <w:tc>
          <w:tcPr>
            <w:tcW w:w="12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ind w:right="51"/>
              <w:spacing w:after="0" w:line="157" w:lineRule="exact"/>
              <w:rPr>
                <w:sz w:val="20"/>
                <w:szCs w:val="20"/>
                <w:color w:val="auto"/>
              </w:rPr>
            </w:pPr>
            <w:r>
              <w:rPr>
                <w:rFonts w:ascii="Arial" w:cs="Arial" w:eastAsia="Arial" w:hAnsi="Arial"/>
                <w:sz w:val="14"/>
                <w:szCs w:val="14"/>
                <w:color w:val="auto"/>
              </w:rPr>
              <w:t>8</w:t>
            </w:r>
          </w:p>
        </w:tc>
        <w:tc>
          <w:tcPr>
            <w:tcW w:w="720" w:type="dxa"/>
            <w:vAlign w:val="bottom"/>
            <w:tcBorders>
              <w:bottom w:val="single" w:sz="8" w:color="auto"/>
            </w:tcBorders>
          </w:tcPr>
          <w:p>
            <w:pPr>
              <w:jc w:val="right"/>
              <w:ind w:right="32"/>
              <w:spacing w:after="0" w:line="157" w:lineRule="exact"/>
              <w:rPr>
                <w:sz w:val="20"/>
                <w:szCs w:val="20"/>
                <w:color w:val="auto"/>
              </w:rPr>
            </w:pPr>
            <w:r>
              <w:rPr>
                <w:rFonts w:ascii="Arial" w:cs="Arial" w:eastAsia="Arial" w:hAnsi="Arial"/>
                <w:sz w:val="14"/>
                <w:szCs w:val="14"/>
                <w:color w:val="auto"/>
              </w:rPr>
              <w:t>432</w:t>
            </w:r>
          </w:p>
        </w:tc>
        <w:tc>
          <w:tcPr>
            <w:tcW w:w="660" w:type="dxa"/>
            <w:vAlign w:val="bottom"/>
            <w:tcBorders>
              <w:bottom w:val="single" w:sz="8" w:color="auto"/>
            </w:tcBorders>
          </w:tcPr>
          <w:p>
            <w:pPr>
              <w:jc w:val="right"/>
              <w:ind w:right="11"/>
              <w:spacing w:after="0" w:line="157" w:lineRule="exact"/>
              <w:rPr>
                <w:sz w:val="20"/>
                <w:szCs w:val="20"/>
                <w:color w:val="auto"/>
              </w:rPr>
            </w:pPr>
            <w:r>
              <w:rPr>
                <w:rFonts w:ascii="Arial" w:cs="Arial" w:eastAsia="Arial" w:hAnsi="Arial"/>
                <w:sz w:val="14"/>
                <w:szCs w:val="14"/>
                <w:color w:val="auto"/>
              </w:rPr>
              <w:t>409</w:t>
            </w:r>
          </w:p>
        </w:tc>
        <w:tc>
          <w:tcPr>
            <w:tcW w:w="880" w:type="dxa"/>
            <w:vAlign w:val="bottom"/>
            <w:tcBorders>
              <w:bottom w:val="single" w:sz="8" w:color="auto"/>
            </w:tcBorders>
            <w:gridSpan w:val="3"/>
          </w:tcPr>
          <w:p>
            <w:pPr>
              <w:jc w:val="right"/>
              <w:ind w:right="200"/>
              <w:spacing w:after="0" w:line="157" w:lineRule="exact"/>
              <w:rPr>
                <w:sz w:val="20"/>
                <w:szCs w:val="20"/>
                <w:color w:val="auto"/>
              </w:rPr>
            </w:pPr>
            <w:r>
              <w:rPr>
                <w:rFonts w:ascii="Arial" w:cs="Arial" w:eastAsia="Arial" w:hAnsi="Arial"/>
                <w:sz w:val="14"/>
                <w:szCs w:val="14"/>
                <w:color w:val="auto"/>
              </w:rPr>
              <w:t>36</w:t>
            </w:r>
          </w:p>
        </w:tc>
        <w:tc>
          <w:tcPr>
            <w:tcW w:w="620" w:type="dxa"/>
            <w:vAlign w:val="bottom"/>
            <w:tcBorders>
              <w:bottom w:val="single" w:sz="8" w:color="auto"/>
            </w:tcBorders>
          </w:tcPr>
          <w:p>
            <w:pPr>
              <w:jc w:val="right"/>
              <w:ind w:right="31"/>
              <w:spacing w:after="0" w:line="157" w:lineRule="exact"/>
              <w:rPr>
                <w:sz w:val="20"/>
                <w:szCs w:val="20"/>
                <w:color w:val="auto"/>
              </w:rPr>
            </w:pPr>
            <w:r>
              <w:rPr>
                <w:rFonts w:ascii="Arial" w:cs="Arial" w:eastAsia="Arial" w:hAnsi="Arial"/>
                <w:sz w:val="14"/>
                <w:szCs w:val="14"/>
                <w:color w:val="auto"/>
              </w:rPr>
              <w:t>1,658</w:t>
            </w:r>
          </w:p>
        </w:tc>
        <w:tc>
          <w:tcPr>
            <w:tcW w:w="740" w:type="dxa"/>
            <w:vAlign w:val="bottom"/>
            <w:tcBorders>
              <w:bottom w:val="single" w:sz="8" w:color="auto"/>
            </w:tcBorders>
          </w:tcPr>
          <w:p>
            <w:pPr>
              <w:jc w:val="right"/>
              <w:ind w:right="50"/>
              <w:spacing w:after="0" w:line="157" w:lineRule="exact"/>
              <w:rPr>
                <w:sz w:val="20"/>
                <w:szCs w:val="20"/>
                <w:color w:val="auto"/>
              </w:rPr>
            </w:pPr>
            <w:r>
              <w:rPr>
                <w:rFonts w:ascii="Arial" w:cs="Arial" w:eastAsia="Arial" w:hAnsi="Arial"/>
                <w:sz w:val="14"/>
                <w:szCs w:val="14"/>
                <w:color w:val="auto"/>
              </w:rPr>
              <w:t>432</w:t>
            </w:r>
          </w:p>
        </w:tc>
        <w:tc>
          <w:tcPr>
            <w:tcW w:w="640" w:type="dxa"/>
            <w:vAlign w:val="bottom"/>
            <w:tcBorders>
              <w:bottom w:val="single" w:sz="8" w:color="auto"/>
            </w:tcBorders>
          </w:tcPr>
          <w:p>
            <w:pPr>
              <w:jc w:val="right"/>
              <w:ind w:right="10"/>
              <w:spacing w:after="0" w:line="157" w:lineRule="exact"/>
              <w:rPr>
                <w:sz w:val="20"/>
                <w:szCs w:val="20"/>
                <w:color w:val="auto"/>
              </w:rPr>
            </w:pPr>
            <w:r>
              <w:rPr>
                <w:rFonts w:ascii="Arial" w:cs="Arial" w:eastAsia="Arial" w:hAnsi="Arial"/>
                <w:sz w:val="14"/>
                <w:szCs w:val="14"/>
                <w:color w:val="auto"/>
              </w:rPr>
              <w:t>409</w:t>
            </w:r>
          </w:p>
        </w:tc>
        <w:tc>
          <w:tcPr>
            <w:tcW w:w="680" w:type="dxa"/>
            <w:vAlign w:val="bottom"/>
            <w:tcBorders>
              <w:bottom w:val="single" w:sz="8" w:color="auto"/>
            </w:tcBorders>
          </w:tcPr>
          <w:p>
            <w:pPr>
              <w:jc w:val="right"/>
              <w:ind w:right="32"/>
              <w:spacing w:after="0" w:line="157" w:lineRule="exact"/>
              <w:rPr>
                <w:sz w:val="20"/>
                <w:szCs w:val="20"/>
                <w:color w:val="auto"/>
              </w:rPr>
            </w:pPr>
            <w:r>
              <w:rPr>
                <w:rFonts w:ascii="Arial" w:cs="Arial" w:eastAsia="Arial" w:hAnsi="Arial"/>
                <w:sz w:val="14"/>
                <w:szCs w:val="14"/>
                <w:color w:val="auto"/>
              </w:rPr>
              <w:t>2,499</w:t>
            </w:r>
          </w:p>
        </w:tc>
      </w:tr>
      <w:tr>
        <w:trPr>
          <w:trHeight w:val="160"/>
        </w:trPr>
        <w:tc>
          <w:tcPr>
            <w:tcW w:w="2200" w:type="dxa"/>
            <w:vAlign w:val="bottom"/>
          </w:tcPr>
          <w:p>
            <w:pPr>
              <w:spacing w:after="0"/>
              <w:rPr>
                <w:sz w:val="20"/>
                <w:szCs w:val="20"/>
                <w:color w:val="auto"/>
              </w:rPr>
            </w:pPr>
            <w:r>
              <w:rPr>
                <w:rFonts w:ascii="Arial" w:cs="Arial" w:eastAsia="Arial" w:hAnsi="Arial"/>
                <w:sz w:val="14"/>
                <w:szCs w:val="14"/>
                <w:color w:val="auto"/>
              </w:rPr>
              <w:t>Shell share of joint ventures and</w:t>
            </w:r>
          </w:p>
        </w:tc>
        <w:tc>
          <w:tcPr>
            <w:tcW w:w="5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80" w:type="dxa"/>
            <w:vAlign w:val="bottom"/>
          </w:tcPr>
          <w:p>
            <w:pPr>
              <w:spacing w:after="0"/>
              <w:rPr>
                <w:sz w:val="13"/>
                <w:szCs w:val="13"/>
                <w:color w:val="auto"/>
              </w:rPr>
            </w:pPr>
          </w:p>
        </w:tc>
      </w:tr>
      <w:tr>
        <w:trPr>
          <w:trHeight w:val="162"/>
        </w:trPr>
        <w:tc>
          <w:tcPr>
            <w:tcW w:w="2200" w:type="dxa"/>
            <w:vAlign w:val="bottom"/>
          </w:tcPr>
          <w:p>
            <w:pPr>
              <w:spacing w:after="0"/>
              <w:rPr>
                <w:sz w:val="20"/>
                <w:szCs w:val="20"/>
                <w:color w:val="auto"/>
              </w:rPr>
            </w:pPr>
            <w:r>
              <w:rPr>
                <w:rFonts w:ascii="Arial" w:cs="Arial" w:eastAsia="Arial" w:hAnsi="Arial"/>
                <w:sz w:val="14"/>
                <w:szCs w:val="14"/>
                <w:color w:val="auto"/>
              </w:rPr>
              <w:t>associates</w:t>
            </w:r>
          </w:p>
        </w:tc>
        <w:tc>
          <w:tcPr>
            <w:tcW w:w="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162"/>
        </w:trPr>
        <w:tc>
          <w:tcPr>
            <w:tcW w:w="2200" w:type="dxa"/>
            <w:vAlign w:val="bottom"/>
          </w:tcPr>
          <w:p>
            <w:pPr>
              <w:ind w:left="140"/>
              <w:spacing w:after="0"/>
              <w:rPr>
                <w:sz w:val="20"/>
                <w:szCs w:val="20"/>
                <w:color w:val="auto"/>
              </w:rPr>
            </w:pPr>
            <w:r>
              <w:rPr>
                <w:rFonts w:ascii="Arial" w:cs="Arial" w:eastAsia="Arial" w:hAnsi="Arial"/>
                <w:sz w:val="14"/>
                <w:szCs w:val="14"/>
                <w:color w:val="auto"/>
              </w:rPr>
              <w:t>At January 1</w:t>
            </w:r>
          </w:p>
        </w:tc>
        <w:tc>
          <w:tcPr>
            <w:tcW w:w="720" w:type="dxa"/>
            <w:vAlign w:val="bottom"/>
            <w:gridSpan w:val="2"/>
          </w:tcPr>
          <w:p>
            <w:pPr>
              <w:jc w:val="right"/>
              <w:ind w:right="200"/>
              <w:spacing w:after="0"/>
              <w:rPr>
                <w:sz w:val="20"/>
                <w:szCs w:val="20"/>
                <w:color w:val="auto"/>
              </w:rPr>
            </w:pPr>
            <w:r>
              <w:rPr>
                <w:rFonts w:ascii="Arial" w:cs="Arial" w:eastAsia="Arial" w:hAnsi="Arial"/>
                <w:sz w:val="14"/>
                <w:szCs w:val="14"/>
                <w:color w:val="auto"/>
              </w:rPr>
              <w:t>1</w:t>
            </w:r>
          </w:p>
        </w:tc>
        <w:tc>
          <w:tcPr>
            <w:tcW w:w="720" w:type="dxa"/>
            <w:vAlign w:val="bottom"/>
            <w:gridSpan w:val="2"/>
          </w:tcPr>
          <w:p>
            <w:pPr>
              <w:jc w:val="right"/>
              <w:ind w:right="220"/>
              <w:spacing w:after="0"/>
              <w:rPr>
                <w:sz w:val="20"/>
                <w:szCs w:val="20"/>
                <w:color w:val="auto"/>
              </w:rPr>
            </w:pPr>
            <w:r>
              <w:rPr>
                <w:rFonts w:ascii="Arial" w:cs="Arial" w:eastAsia="Arial" w:hAnsi="Arial"/>
                <w:sz w:val="14"/>
                <w:szCs w:val="14"/>
                <w:color w:val="auto"/>
              </w:rPr>
              <w:t>55</w:t>
            </w:r>
          </w:p>
        </w:tc>
        <w:tc>
          <w:tcPr>
            <w:tcW w:w="760" w:type="dxa"/>
            <w:vAlign w:val="bottom"/>
            <w:gridSpan w:val="2"/>
          </w:tcPr>
          <w:p>
            <w:pPr>
              <w:jc w:val="right"/>
              <w:ind w:right="200"/>
              <w:spacing w:after="0"/>
              <w:rPr>
                <w:sz w:val="20"/>
                <w:szCs w:val="20"/>
                <w:color w:val="auto"/>
              </w:rPr>
            </w:pPr>
            <w:r>
              <w:rPr>
                <w:rFonts w:ascii="Arial" w:cs="Arial" w:eastAsia="Arial" w:hAnsi="Arial"/>
                <w:sz w:val="14"/>
                <w:szCs w:val="14"/>
                <w:color w:val="auto"/>
              </w:rPr>
              <w:t>9</w:t>
            </w:r>
          </w:p>
        </w:tc>
        <w:tc>
          <w:tcPr>
            <w:tcW w:w="7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600" w:type="dxa"/>
            <w:vAlign w:val="bottom"/>
          </w:tcPr>
          <w:p>
            <w:pPr>
              <w:jc w:val="right"/>
              <w:ind w:right="32"/>
              <w:spacing w:after="0"/>
              <w:rPr>
                <w:sz w:val="20"/>
                <w:szCs w:val="20"/>
                <w:color w:val="auto"/>
              </w:rPr>
            </w:pPr>
            <w:r>
              <w:rPr>
                <w:rFonts w:ascii="Arial" w:cs="Arial" w:eastAsia="Arial" w:hAnsi="Arial"/>
                <w:sz w:val="14"/>
                <w:szCs w:val="14"/>
                <w:color w:val="auto"/>
              </w:rPr>
              <w:t>77</w:t>
            </w:r>
          </w:p>
        </w:tc>
        <w:tc>
          <w:tcPr>
            <w:tcW w:w="120" w:type="dxa"/>
            <w:vAlign w:val="bottom"/>
          </w:tcPr>
          <w:p>
            <w:pPr>
              <w:spacing w:after="0"/>
              <w:rPr>
                <w:sz w:val="14"/>
                <w:szCs w:val="14"/>
                <w:color w:val="auto"/>
              </w:rPr>
            </w:pPr>
          </w:p>
        </w:tc>
        <w:tc>
          <w:tcPr>
            <w:tcW w:w="640" w:type="dxa"/>
            <w:vAlign w:val="bottom"/>
          </w:tcPr>
          <w:p>
            <w:pPr>
              <w:jc w:val="right"/>
              <w:ind w:right="51"/>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32"/>
              <w:spacing w:after="0"/>
              <w:rPr>
                <w:sz w:val="20"/>
                <w:szCs w:val="20"/>
                <w:color w:val="auto"/>
              </w:rPr>
            </w:pPr>
            <w:r>
              <w:rPr>
                <w:rFonts w:ascii="Arial" w:cs="Arial" w:eastAsia="Arial" w:hAnsi="Arial"/>
                <w:sz w:val="14"/>
                <w:szCs w:val="14"/>
                <w:color w:val="auto"/>
              </w:rPr>
              <w:t>–</w:t>
            </w:r>
          </w:p>
        </w:tc>
        <w:tc>
          <w:tcPr>
            <w:tcW w:w="660" w:type="dxa"/>
            <w:vAlign w:val="bottom"/>
          </w:tcPr>
          <w:p>
            <w:pPr>
              <w:jc w:val="right"/>
              <w:ind w:right="11"/>
              <w:spacing w:after="0"/>
              <w:rPr>
                <w:sz w:val="20"/>
                <w:szCs w:val="20"/>
                <w:color w:val="auto"/>
              </w:rPr>
            </w:pPr>
            <w:r>
              <w:rPr>
                <w:rFonts w:ascii="Arial" w:cs="Arial" w:eastAsia="Arial" w:hAnsi="Arial"/>
                <w:sz w:val="14"/>
                <w:szCs w:val="14"/>
                <w:color w:val="auto"/>
              </w:rPr>
              <w:t>–</w:t>
            </w:r>
          </w:p>
        </w:tc>
        <w:tc>
          <w:tcPr>
            <w:tcW w:w="880" w:type="dxa"/>
            <w:vAlign w:val="bottom"/>
            <w:gridSpan w:val="3"/>
          </w:tcPr>
          <w:p>
            <w:pPr>
              <w:jc w:val="right"/>
              <w:ind w:right="200"/>
              <w:spacing w:after="0"/>
              <w:rPr>
                <w:sz w:val="20"/>
                <w:szCs w:val="20"/>
                <w:color w:val="auto"/>
              </w:rPr>
            </w:pPr>
            <w:r>
              <w:rPr>
                <w:rFonts w:ascii="Arial" w:cs="Arial" w:eastAsia="Arial" w:hAnsi="Arial"/>
                <w:sz w:val="14"/>
                <w:szCs w:val="14"/>
                <w:color w:val="auto"/>
              </w:rPr>
              <w:t>1</w:t>
            </w:r>
          </w:p>
        </w:tc>
        <w:tc>
          <w:tcPr>
            <w:tcW w:w="620" w:type="dxa"/>
            <w:vAlign w:val="bottom"/>
          </w:tcPr>
          <w:p>
            <w:pPr>
              <w:jc w:val="right"/>
              <w:ind w:right="31"/>
              <w:spacing w:after="0"/>
              <w:rPr>
                <w:sz w:val="20"/>
                <w:szCs w:val="20"/>
                <w:color w:val="auto"/>
              </w:rPr>
            </w:pPr>
            <w:r>
              <w:rPr>
                <w:rFonts w:ascii="Arial" w:cs="Arial" w:eastAsia="Arial" w:hAnsi="Arial"/>
                <w:sz w:val="14"/>
                <w:szCs w:val="14"/>
                <w:color w:val="auto"/>
              </w:rPr>
              <w:t>143</w:t>
            </w:r>
          </w:p>
        </w:tc>
        <w:tc>
          <w:tcPr>
            <w:tcW w:w="740" w:type="dxa"/>
            <w:vAlign w:val="bottom"/>
          </w:tcPr>
          <w:p>
            <w:pPr>
              <w:jc w:val="right"/>
              <w:ind w:right="50"/>
              <w:spacing w:after="0"/>
              <w:rPr>
                <w:sz w:val="20"/>
                <w:szCs w:val="20"/>
                <w:color w:val="auto"/>
              </w:rPr>
            </w:pPr>
            <w:r>
              <w:rPr>
                <w:rFonts w:ascii="Arial" w:cs="Arial" w:eastAsia="Arial" w:hAnsi="Arial"/>
                <w:sz w:val="14"/>
                <w:szCs w:val="14"/>
                <w:color w:val="auto"/>
              </w:rPr>
              <w:t>–</w:t>
            </w:r>
          </w:p>
        </w:tc>
        <w:tc>
          <w:tcPr>
            <w:tcW w:w="640" w:type="dxa"/>
            <w:vAlign w:val="bottom"/>
          </w:tcPr>
          <w:p>
            <w:pPr>
              <w:jc w:val="right"/>
              <w:ind w:right="10"/>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32"/>
              <w:spacing w:after="0"/>
              <w:rPr>
                <w:sz w:val="20"/>
                <w:szCs w:val="20"/>
                <w:color w:val="auto"/>
              </w:rPr>
            </w:pPr>
            <w:r>
              <w:rPr>
                <w:rFonts w:ascii="Arial" w:cs="Arial" w:eastAsia="Arial" w:hAnsi="Arial"/>
                <w:sz w:val="14"/>
                <w:szCs w:val="14"/>
                <w:color w:val="auto"/>
              </w:rPr>
              <w:t>143</w:t>
            </w:r>
          </w:p>
        </w:tc>
      </w:tr>
      <w:tr>
        <w:trPr>
          <w:trHeight w:val="157"/>
        </w:trPr>
        <w:tc>
          <w:tcPr>
            <w:tcW w:w="2200" w:type="dxa"/>
            <w:vAlign w:val="bottom"/>
            <w:tcBorders>
              <w:bottom w:val="single" w:sz="8" w:color="auto"/>
            </w:tcBorders>
          </w:tcPr>
          <w:p>
            <w:pPr>
              <w:ind w:left="140"/>
              <w:spacing w:after="0" w:line="157" w:lineRule="exact"/>
              <w:rPr>
                <w:sz w:val="20"/>
                <w:szCs w:val="20"/>
                <w:color w:val="auto"/>
              </w:rPr>
            </w:pPr>
            <w:r>
              <w:rPr>
                <w:rFonts w:ascii="Arial" w:cs="Arial" w:eastAsia="Arial" w:hAnsi="Arial"/>
                <w:sz w:val="14"/>
                <w:szCs w:val="14"/>
                <w:color w:val="auto"/>
              </w:rPr>
              <w:t>At December 31</w:t>
            </w:r>
          </w:p>
        </w:tc>
        <w:tc>
          <w:tcPr>
            <w:tcW w:w="720" w:type="dxa"/>
            <w:vAlign w:val="bottom"/>
            <w:tcBorders>
              <w:bottom w:val="single" w:sz="8" w:color="auto"/>
            </w:tcBorders>
            <w:gridSpan w:val="2"/>
          </w:tcPr>
          <w:p>
            <w:pPr>
              <w:jc w:val="right"/>
              <w:ind w:right="200"/>
              <w:spacing w:after="0" w:line="157" w:lineRule="exact"/>
              <w:rPr>
                <w:sz w:val="20"/>
                <w:szCs w:val="20"/>
                <w:color w:val="auto"/>
              </w:rPr>
            </w:pPr>
            <w:r>
              <w:rPr>
                <w:rFonts w:ascii="Arial" w:cs="Arial" w:eastAsia="Arial" w:hAnsi="Arial"/>
                <w:sz w:val="14"/>
                <w:szCs w:val="14"/>
                <w:color w:val="auto"/>
              </w:rPr>
              <w:t>7</w:t>
            </w:r>
          </w:p>
        </w:tc>
        <w:tc>
          <w:tcPr>
            <w:tcW w:w="720" w:type="dxa"/>
            <w:vAlign w:val="bottom"/>
            <w:tcBorders>
              <w:bottom w:val="single" w:sz="8" w:color="auto"/>
            </w:tcBorders>
            <w:gridSpan w:val="2"/>
          </w:tcPr>
          <w:p>
            <w:pPr>
              <w:jc w:val="right"/>
              <w:ind w:right="220"/>
              <w:spacing w:after="0" w:line="157" w:lineRule="exact"/>
              <w:rPr>
                <w:sz w:val="20"/>
                <w:szCs w:val="20"/>
                <w:color w:val="auto"/>
              </w:rPr>
            </w:pPr>
            <w:r>
              <w:rPr>
                <w:rFonts w:ascii="Arial" w:cs="Arial" w:eastAsia="Arial" w:hAnsi="Arial"/>
                <w:sz w:val="14"/>
                <w:szCs w:val="14"/>
                <w:color w:val="auto"/>
              </w:rPr>
              <w:t>65</w:t>
            </w:r>
          </w:p>
        </w:tc>
        <w:tc>
          <w:tcPr>
            <w:tcW w:w="760" w:type="dxa"/>
            <w:vAlign w:val="bottom"/>
            <w:tcBorders>
              <w:bottom w:val="single" w:sz="8" w:color="auto"/>
            </w:tcBorders>
            <w:gridSpan w:val="2"/>
          </w:tcPr>
          <w:p>
            <w:pPr>
              <w:jc w:val="right"/>
              <w:ind w:right="200"/>
              <w:spacing w:after="0" w:line="157" w:lineRule="exact"/>
              <w:rPr>
                <w:sz w:val="20"/>
                <w:szCs w:val="20"/>
                <w:color w:val="auto"/>
              </w:rPr>
            </w:pPr>
            <w:r>
              <w:rPr>
                <w:rFonts w:ascii="Arial" w:cs="Arial" w:eastAsia="Arial" w:hAnsi="Arial"/>
                <w:sz w:val="14"/>
                <w:szCs w:val="14"/>
                <w:color w:val="auto"/>
              </w:rPr>
              <w:t>1</w:t>
            </w:r>
          </w:p>
        </w:tc>
        <w:tc>
          <w:tcPr>
            <w:tcW w:w="720" w:type="dxa"/>
            <w:vAlign w:val="bottom"/>
            <w:tcBorders>
              <w:bottom w:val="single" w:sz="8" w:color="auto"/>
            </w:tcBorders>
            <w:gridSpan w:val="2"/>
          </w:tcPr>
          <w:p>
            <w:pPr>
              <w:jc w:val="right"/>
              <w:ind w:right="200"/>
              <w:spacing w:after="0" w:line="157" w:lineRule="exact"/>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gridSpan w:val="2"/>
          </w:tcPr>
          <w:p>
            <w:pPr>
              <w:jc w:val="right"/>
              <w:ind w:right="220"/>
              <w:spacing w:after="0" w:line="157" w:lineRule="exact"/>
              <w:rPr>
                <w:sz w:val="20"/>
                <w:szCs w:val="20"/>
                <w:color w:val="auto"/>
              </w:rPr>
            </w:pPr>
            <w:r>
              <w:rPr>
                <w:rFonts w:ascii="Arial" w:cs="Arial" w:eastAsia="Arial" w:hAnsi="Arial"/>
                <w:sz w:val="14"/>
                <w:szCs w:val="14"/>
                <w:color w:val="auto"/>
              </w:rPr>
              <w:t>–</w:t>
            </w:r>
          </w:p>
        </w:tc>
        <w:tc>
          <w:tcPr>
            <w:tcW w:w="640" w:type="dxa"/>
            <w:vAlign w:val="bottom"/>
            <w:tcBorders>
              <w:bottom w:val="single" w:sz="8" w:color="auto"/>
            </w:tcBorders>
          </w:tcPr>
          <w:p>
            <w:pPr>
              <w:jc w:val="right"/>
              <w:ind w:right="51"/>
              <w:spacing w:after="0" w:line="157" w:lineRule="exact"/>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tcPr>
          <w:p>
            <w:pPr>
              <w:jc w:val="right"/>
              <w:ind w:right="32"/>
              <w:spacing w:after="0" w:line="157" w:lineRule="exact"/>
              <w:rPr>
                <w:sz w:val="20"/>
                <w:szCs w:val="20"/>
                <w:color w:val="auto"/>
              </w:rPr>
            </w:pPr>
            <w:r>
              <w:rPr>
                <w:rFonts w:ascii="Arial" w:cs="Arial" w:eastAsia="Arial" w:hAnsi="Arial"/>
                <w:sz w:val="14"/>
                <w:szCs w:val="14"/>
                <w:color w:val="auto"/>
              </w:rPr>
              <w:t>–</w:t>
            </w:r>
          </w:p>
        </w:tc>
        <w:tc>
          <w:tcPr>
            <w:tcW w:w="660" w:type="dxa"/>
            <w:vAlign w:val="bottom"/>
            <w:tcBorders>
              <w:bottom w:val="single" w:sz="8" w:color="auto"/>
            </w:tcBorders>
          </w:tcPr>
          <w:p>
            <w:pPr>
              <w:jc w:val="right"/>
              <w:ind w:right="11"/>
              <w:spacing w:after="0" w:line="157" w:lineRule="exact"/>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gridSpan w:val="3"/>
          </w:tcPr>
          <w:p>
            <w:pPr>
              <w:jc w:val="right"/>
              <w:ind w:right="200"/>
              <w:spacing w:after="0" w:line="157" w:lineRule="exact"/>
              <w:rPr>
                <w:sz w:val="20"/>
                <w:szCs w:val="20"/>
                <w:color w:val="auto"/>
              </w:rPr>
            </w:pPr>
            <w:r>
              <w:rPr>
                <w:rFonts w:ascii="Arial" w:cs="Arial" w:eastAsia="Arial" w:hAnsi="Arial"/>
                <w:sz w:val="14"/>
                <w:szCs w:val="14"/>
                <w:color w:val="auto"/>
              </w:rPr>
              <w:t>2</w:t>
            </w:r>
          </w:p>
        </w:tc>
        <w:tc>
          <w:tcPr>
            <w:tcW w:w="620" w:type="dxa"/>
            <w:vAlign w:val="bottom"/>
            <w:tcBorders>
              <w:bottom w:val="single" w:sz="8" w:color="auto"/>
            </w:tcBorders>
          </w:tcPr>
          <w:p>
            <w:pPr>
              <w:jc w:val="right"/>
              <w:ind w:right="31"/>
              <w:spacing w:after="0" w:line="157" w:lineRule="exact"/>
              <w:rPr>
                <w:sz w:val="20"/>
                <w:szCs w:val="20"/>
                <w:color w:val="auto"/>
              </w:rPr>
            </w:pPr>
            <w:r>
              <w:rPr>
                <w:rFonts w:ascii="Arial" w:cs="Arial" w:eastAsia="Arial" w:hAnsi="Arial"/>
                <w:sz w:val="14"/>
                <w:szCs w:val="14"/>
                <w:color w:val="auto"/>
              </w:rPr>
              <w:t>75</w:t>
            </w:r>
          </w:p>
        </w:tc>
        <w:tc>
          <w:tcPr>
            <w:tcW w:w="740" w:type="dxa"/>
            <w:vAlign w:val="bottom"/>
            <w:tcBorders>
              <w:bottom w:val="single" w:sz="8" w:color="auto"/>
            </w:tcBorders>
          </w:tcPr>
          <w:p>
            <w:pPr>
              <w:jc w:val="right"/>
              <w:ind w:right="50"/>
              <w:spacing w:after="0" w:line="157" w:lineRule="exact"/>
              <w:rPr>
                <w:sz w:val="20"/>
                <w:szCs w:val="20"/>
                <w:color w:val="auto"/>
              </w:rPr>
            </w:pPr>
            <w:r>
              <w:rPr>
                <w:rFonts w:ascii="Arial" w:cs="Arial" w:eastAsia="Arial" w:hAnsi="Arial"/>
                <w:sz w:val="14"/>
                <w:szCs w:val="14"/>
                <w:color w:val="auto"/>
              </w:rPr>
              <w:t>–</w:t>
            </w:r>
          </w:p>
        </w:tc>
        <w:tc>
          <w:tcPr>
            <w:tcW w:w="640" w:type="dxa"/>
            <w:vAlign w:val="bottom"/>
            <w:tcBorders>
              <w:bottom w:val="single" w:sz="8" w:color="auto"/>
            </w:tcBorders>
          </w:tcPr>
          <w:p>
            <w:pPr>
              <w:jc w:val="right"/>
              <w:ind w:right="10"/>
              <w:spacing w:after="0" w:line="157" w:lineRule="exact"/>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tcPr>
          <w:p>
            <w:pPr>
              <w:jc w:val="right"/>
              <w:ind w:right="32"/>
              <w:spacing w:after="0" w:line="157" w:lineRule="exact"/>
              <w:rPr>
                <w:sz w:val="20"/>
                <w:szCs w:val="20"/>
                <w:color w:val="auto"/>
              </w:rPr>
            </w:pPr>
            <w:r>
              <w:rPr>
                <w:rFonts w:ascii="Arial" w:cs="Arial" w:eastAsia="Arial" w:hAnsi="Arial"/>
                <w:sz w:val="14"/>
                <w:szCs w:val="14"/>
                <w:color w:val="auto"/>
              </w:rPr>
              <w:t>75</w:t>
            </w:r>
          </w:p>
        </w:tc>
      </w:tr>
    </w:tbl>
    <w:p>
      <w:pPr>
        <w:spacing w:after="0" w:line="14" w:lineRule="exact"/>
        <w:rPr>
          <w:sz w:val="20"/>
          <w:szCs w:val="20"/>
          <w:color w:val="auto"/>
        </w:rPr>
      </w:pPr>
    </w:p>
    <w:p>
      <w:pPr>
        <w:ind w:right="20" w:firstLine="8"/>
        <w:spacing w:after="0" w:line="255" w:lineRule="auto"/>
        <w:tabs>
          <w:tab w:leader="none" w:pos="162" w:val="left"/>
        </w:tabs>
        <w:numPr>
          <w:ilvl w:val="0"/>
          <w:numId w:val="151"/>
        </w:numPr>
        <w:rPr>
          <w:rFonts w:ascii="Arial" w:cs="Arial" w:eastAsia="Arial" w:hAnsi="Arial"/>
          <w:sz w:val="11"/>
          <w:szCs w:val="11"/>
          <w:color w:val="auto"/>
        </w:rPr>
      </w:pPr>
      <w:r>
        <w:rPr>
          <w:rFonts w:ascii="Arial" w:cs="Arial" w:eastAsia="Arial" w:hAnsi="Arial"/>
          <w:sz w:val="11"/>
          <w:szCs w:val="11"/>
          <w:color w:val="auto"/>
        </w:rPr>
        <w:t xml:space="preserve">As a result of the adoption of IFRS 11 </w:t>
      </w:r>
      <w:r>
        <w:rPr>
          <w:rFonts w:ascii="Arial" w:cs="Arial" w:eastAsia="Arial" w:hAnsi="Arial"/>
          <w:sz w:val="11"/>
          <w:szCs w:val="11"/>
          <w:i w:val="1"/>
          <w:iCs w:val="1"/>
          <w:color w:val="auto"/>
        </w:rPr>
        <w:t>Joint Arrangements</w:t>
      </w:r>
      <w:r>
        <w:rPr>
          <w:rFonts w:ascii="Arial" w:cs="Arial" w:eastAsia="Arial" w:hAnsi="Arial"/>
          <w:sz w:val="11"/>
          <w:szCs w:val="11"/>
          <w:color w:val="auto"/>
        </w:rPr>
        <w:t xml:space="preserve"> with effect from January 1, 2013, proved undeveloped reserves of 3 million barrels in Asia and 77 million barrels in the USA were reclassified during 2013 from the Shell share of joint ventures and associates’ proved undeveloped reserves to Shell subsidiaries’ proved undeveloped reserves.</w:t>
      </w:r>
    </w:p>
    <w:p>
      <w:pPr>
        <w:sectPr>
          <w:pgSz w:w="11900" w:h="16838" w:orient="portrait"/>
          <w:cols w:equalWidth="0" w:num="1">
            <w:col w:w="11420"/>
          </w:cols>
          <w:pgMar w:left="240" w:top="459" w:right="239" w:bottom="1440" w:gutter="0" w:footer="0" w:header="0"/>
        </w:sectPr>
      </w:pPr>
    </w:p>
    <w:bookmarkStart w:id="147" w:name="page148"/>
    <w:bookmarkEnd w:id="1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300355</wp:posOffset>
            </wp:positionV>
            <wp:extent cx="8890" cy="462915"/>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8890" cy="462915"/>
                    </a:xfrm>
                    <a:prstGeom prst="rect">
                      <a:avLst/>
                    </a:prstGeom>
                    <a:noFill/>
                  </pic:spPr>
                </pic:pic>
              </a:graphicData>
            </a:graphic>
          </wp:anchor>
        </w:drawing>
      </w:r>
    </w:p>
    <w:p>
      <w:pPr>
        <w:spacing w:after="0" w:line="200" w:lineRule="exact"/>
        <w:rPr>
          <w:sz w:val="20"/>
          <w:szCs w:val="20"/>
          <w:color w:val="auto"/>
        </w:rPr>
      </w:pP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565"/>
        </w:trPr>
        <w:tc>
          <w:tcPr>
            <w:tcW w:w="700" w:type="dxa"/>
            <w:vAlign w:val="bottom"/>
            <w:shd w:val="clear" w:color="auto" w:fill="FF8B00"/>
          </w:tcPr>
          <w:p>
            <w:pPr>
              <w:ind w:left="260"/>
              <w:spacing w:after="0"/>
              <w:rPr>
                <w:sz w:val="20"/>
                <w:szCs w:val="20"/>
                <w:color w:val="auto"/>
              </w:rPr>
            </w:pPr>
            <w:r>
              <w:rPr>
                <w:rFonts w:ascii="Arial" w:cs="Arial" w:eastAsia="Arial" w:hAnsi="Arial"/>
                <w:sz w:val="11"/>
                <w:szCs w:val="11"/>
                <w:b w:val="1"/>
                <w:bCs w:val="1"/>
                <w:color w:val="333333"/>
              </w:rPr>
              <w:t>146</w:t>
            </w:r>
          </w:p>
        </w:tc>
        <w:tc>
          <w:tcPr>
            <w:tcW w:w="1180" w:type="dxa"/>
            <w:vAlign w:val="bottom"/>
            <w:shd w:val="clear" w:color="auto" w:fill="FF8B00"/>
          </w:tcPr>
          <w:p>
            <w:pPr>
              <w:spacing w:after="0"/>
              <w:rPr>
                <w:sz w:val="24"/>
                <w:szCs w:val="24"/>
                <w:color w:val="auto"/>
              </w:rPr>
            </w:pPr>
          </w:p>
        </w:tc>
        <w:tc>
          <w:tcPr>
            <w:tcW w:w="3000" w:type="dxa"/>
            <w:vAlign w:val="bottom"/>
            <w:gridSpan w:val="8"/>
            <w:shd w:val="clear" w:color="auto" w:fill="FF8B00"/>
          </w:tcPr>
          <w:p>
            <w:pPr>
              <w:jc w:val="right"/>
              <w:ind w:right="100"/>
              <w:spacing w:after="0"/>
              <w:rPr>
                <w:sz w:val="20"/>
                <w:szCs w:val="20"/>
                <w:color w:val="auto"/>
              </w:rPr>
            </w:pPr>
            <w:r>
              <w:rPr>
                <w:rFonts w:ascii="Arial" w:cs="Arial" w:eastAsia="Arial" w:hAnsi="Arial"/>
                <w:sz w:val="13"/>
                <w:szCs w:val="13"/>
                <w:color w:val="333333"/>
                <w:w w:val="99"/>
              </w:rPr>
              <w:t>FINANCIAL STATEMENTS AND SUPPLEMENTS</w:t>
            </w:r>
          </w:p>
        </w:tc>
        <w:tc>
          <w:tcPr>
            <w:tcW w:w="620" w:type="dxa"/>
            <w:vAlign w:val="bottom"/>
            <w:shd w:val="clear" w:color="auto" w:fill="FF8B00"/>
          </w:tcPr>
          <w:p>
            <w:pPr>
              <w:spacing w:after="0"/>
              <w:rPr>
                <w:sz w:val="24"/>
                <w:szCs w:val="24"/>
                <w:color w:val="auto"/>
              </w:rPr>
            </w:pPr>
          </w:p>
        </w:tc>
        <w:tc>
          <w:tcPr>
            <w:tcW w:w="80" w:type="dxa"/>
            <w:vAlign w:val="bottom"/>
            <w:shd w:val="clear" w:color="auto" w:fill="FF8B00"/>
          </w:tcPr>
          <w:p>
            <w:pPr>
              <w:spacing w:after="0"/>
              <w:rPr>
                <w:sz w:val="24"/>
                <w:szCs w:val="24"/>
                <w:color w:val="auto"/>
              </w:rPr>
            </w:pPr>
          </w:p>
        </w:tc>
        <w:tc>
          <w:tcPr>
            <w:tcW w:w="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5"/>
        </w:trPr>
        <w:tc>
          <w:tcPr>
            <w:tcW w:w="700" w:type="dxa"/>
            <w:vAlign w:val="bottom"/>
            <w:shd w:val="clear" w:color="auto" w:fill="FF8B00"/>
          </w:tcPr>
          <w:p>
            <w:pPr>
              <w:spacing w:after="0"/>
              <w:rPr>
                <w:sz w:val="14"/>
                <w:szCs w:val="14"/>
                <w:color w:val="auto"/>
              </w:rPr>
            </w:pPr>
          </w:p>
        </w:tc>
        <w:tc>
          <w:tcPr>
            <w:tcW w:w="1720" w:type="dxa"/>
            <w:vAlign w:val="bottom"/>
            <w:gridSpan w:val="2"/>
            <w:shd w:val="clear" w:color="auto" w:fill="FF8B00"/>
          </w:tcPr>
          <w:p>
            <w:pPr>
              <w:spacing w:after="0"/>
              <w:rPr>
                <w:sz w:val="14"/>
                <w:szCs w:val="14"/>
                <w:color w:val="auto"/>
              </w:rPr>
            </w:pPr>
          </w:p>
        </w:tc>
        <w:tc>
          <w:tcPr>
            <w:tcW w:w="740" w:type="dxa"/>
            <w:vAlign w:val="bottom"/>
            <w:gridSpan w:val="2"/>
            <w:shd w:val="clear" w:color="auto" w:fill="FF8B00"/>
          </w:tcPr>
          <w:p>
            <w:pPr>
              <w:spacing w:after="0"/>
              <w:rPr>
                <w:sz w:val="14"/>
                <w:szCs w:val="14"/>
                <w:color w:val="auto"/>
              </w:rPr>
            </w:pPr>
          </w:p>
        </w:tc>
        <w:tc>
          <w:tcPr>
            <w:tcW w:w="760" w:type="dxa"/>
            <w:vAlign w:val="bottom"/>
            <w:gridSpan w:val="2"/>
            <w:shd w:val="clear" w:color="auto" w:fill="FF8B00"/>
          </w:tcPr>
          <w:p>
            <w:pPr>
              <w:spacing w:after="0"/>
              <w:rPr>
                <w:sz w:val="14"/>
                <w:szCs w:val="14"/>
                <w:color w:val="auto"/>
              </w:rPr>
            </w:pPr>
          </w:p>
        </w:tc>
        <w:tc>
          <w:tcPr>
            <w:tcW w:w="740" w:type="dxa"/>
            <w:vAlign w:val="bottom"/>
            <w:gridSpan w:val="2"/>
            <w:shd w:val="clear" w:color="auto" w:fill="FF8B00"/>
          </w:tcPr>
          <w:p>
            <w:pPr>
              <w:spacing w:after="0"/>
              <w:rPr>
                <w:sz w:val="14"/>
                <w:szCs w:val="14"/>
                <w:color w:val="auto"/>
              </w:rPr>
            </w:pPr>
          </w:p>
        </w:tc>
        <w:tc>
          <w:tcPr>
            <w:tcW w:w="220" w:type="dxa"/>
            <w:vAlign w:val="bottom"/>
            <w:shd w:val="clear" w:color="auto" w:fill="FF8B00"/>
          </w:tcPr>
          <w:p>
            <w:pPr>
              <w:spacing w:after="0"/>
              <w:rPr>
                <w:sz w:val="14"/>
                <w:szCs w:val="14"/>
                <w:color w:val="auto"/>
              </w:rPr>
            </w:pPr>
          </w:p>
        </w:tc>
        <w:tc>
          <w:tcPr>
            <w:tcW w:w="620" w:type="dxa"/>
            <w:vAlign w:val="bottom"/>
            <w:shd w:val="clear" w:color="auto" w:fill="FF8B00"/>
          </w:tcPr>
          <w:p>
            <w:pPr>
              <w:spacing w:after="0"/>
              <w:rPr>
                <w:sz w:val="14"/>
                <w:szCs w:val="14"/>
                <w:color w:val="auto"/>
              </w:rPr>
            </w:pPr>
          </w:p>
        </w:tc>
        <w:tc>
          <w:tcPr>
            <w:tcW w:w="80" w:type="dxa"/>
            <w:vAlign w:val="bottom"/>
            <w:shd w:val="clear" w:color="auto" w:fill="FF8B00"/>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720" w:type="dxa"/>
            <w:vAlign w:val="bottom"/>
            <w:gridSpan w:val="4"/>
            <w:vMerge w:val="restart"/>
          </w:tcPr>
          <w:p>
            <w:pPr>
              <w:jc w:val="right"/>
              <w:spacing w:after="0"/>
              <w:rPr>
                <w:sz w:val="20"/>
                <w:szCs w:val="20"/>
                <w:color w:val="auto"/>
              </w:rPr>
            </w:pPr>
            <w:r>
              <w:rPr>
                <w:rFonts w:ascii="Arial" w:cs="Arial" w:eastAsia="Arial" w:hAnsi="Arial"/>
                <w:sz w:val="11"/>
                <w:szCs w:val="11"/>
                <w:color w:val="auto"/>
              </w:rPr>
              <w:t>SHELL ANNUAL REPORT AND FORM 20-F 2014</w:t>
            </w:r>
          </w:p>
        </w:tc>
        <w:tc>
          <w:tcPr>
            <w:tcW w:w="0" w:type="dxa"/>
            <w:vAlign w:val="bottom"/>
          </w:tcPr>
          <w:p>
            <w:pPr>
              <w:spacing w:after="0"/>
              <w:rPr>
                <w:sz w:val="1"/>
                <w:szCs w:val="1"/>
                <w:color w:val="auto"/>
              </w:rPr>
            </w:pPr>
          </w:p>
        </w:tc>
      </w:tr>
      <w:tr>
        <w:trPr>
          <w:trHeight w:val="118"/>
        </w:trPr>
        <w:tc>
          <w:tcPr>
            <w:tcW w:w="700" w:type="dxa"/>
            <w:vAlign w:val="bottom"/>
          </w:tcPr>
          <w:p>
            <w:pPr>
              <w:spacing w:after="0"/>
              <w:rPr>
                <w:sz w:val="10"/>
                <w:szCs w:val="10"/>
                <w:color w:val="auto"/>
              </w:rPr>
            </w:pPr>
          </w:p>
        </w:tc>
        <w:tc>
          <w:tcPr>
            <w:tcW w:w="4180" w:type="dxa"/>
            <w:vAlign w:val="bottom"/>
            <w:gridSpan w:val="9"/>
          </w:tcPr>
          <w:p>
            <w:pPr>
              <w:jc w:val="right"/>
              <w:ind w:right="100"/>
              <w:spacing w:after="0" w:line="119" w:lineRule="exact"/>
              <w:rPr>
                <w:sz w:val="20"/>
                <w:szCs w:val="20"/>
                <w:color w:val="auto"/>
              </w:rPr>
            </w:pPr>
            <w:r>
              <w:rPr>
                <w:rFonts w:ascii="Arial" w:cs="Arial" w:eastAsia="Arial" w:hAnsi="Arial"/>
                <w:sz w:val="11"/>
                <w:szCs w:val="11"/>
                <w:color w:val="auto"/>
              </w:rPr>
              <w:t>SUPPLEMENTARY INFORMATION – OIL AND GAS (UNAUDITED)</w:t>
            </w: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720" w:type="dxa"/>
            <w:vAlign w:val="bottom"/>
            <w:gridSpan w:val="4"/>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4140" w:type="dxa"/>
            <w:vAlign w:val="bottom"/>
            <w:gridSpan w:val="8"/>
          </w:tcPr>
          <w:p>
            <w:pPr>
              <w:spacing w:after="0" w:line="125" w:lineRule="exact"/>
              <w:rPr>
                <w:sz w:val="20"/>
                <w:szCs w:val="20"/>
                <w:color w:val="auto"/>
              </w:rPr>
            </w:pPr>
            <w:r>
              <w:rPr>
                <w:rFonts w:ascii="Arial" w:cs="Arial" w:eastAsia="Arial" w:hAnsi="Arial"/>
                <w:sz w:val="11"/>
                <w:szCs w:val="11"/>
                <w:color w:val="auto"/>
              </w:rPr>
              <w:t>[Crude oil, natural gas liquids, synthetic crude oil and bitumen continued]</w:t>
            </w:r>
          </w:p>
        </w:tc>
        <w:tc>
          <w:tcPr>
            <w:tcW w:w="5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4880" w:type="dxa"/>
            <w:vAlign w:val="bottom"/>
            <w:gridSpan w:val="10"/>
            <w:shd w:val="clear" w:color="auto" w:fill="333333"/>
          </w:tcPr>
          <w:p>
            <w:pPr>
              <w:ind w:left="80"/>
              <w:spacing w:after="0" w:line="162" w:lineRule="exact"/>
              <w:rPr>
                <w:sz w:val="20"/>
                <w:szCs w:val="20"/>
                <w:color w:val="auto"/>
              </w:rPr>
            </w:pPr>
            <w:r>
              <w:rPr>
                <w:rFonts w:ascii="Arial" w:cs="Arial" w:eastAsia="Arial" w:hAnsi="Arial"/>
                <w:sz w:val="15"/>
                <w:szCs w:val="15"/>
                <w:b w:val="1"/>
                <w:bCs w:val="1"/>
                <w:color w:val="FFFFFF"/>
              </w:rPr>
              <w:t>PROVED DEVELOPED AND UNDEVELOPED RESERVES 2012</w:t>
            </w:r>
          </w:p>
        </w:tc>
        <w:tc>
          <w:tcPr>
            <w:tcW w:w="620" w:type="dxa"/>
            <w:vAlign w:val="bottom"/>
            <w:shd w:val="clear" w:color="auto" w:fill="333333"/>
          </w:tcPr>
          <w:p>
            <w:pPr>
              <w:spacing w:after="0"/>
              <w:rPr>
                <w:sz w:val="14"/>
                <w:szCs w:val="14"/>
                <w:color w:val="auto"/>
              </w:rPr>
            </w:pPr>
          </w:p>
        </w:tc>
        <w:tc>
          <w:tcPr>
            <w:tcW w:w="80" w:type="dxa"/>
            <w:vAlign w:val="bottom"/>
            <w:shd w:val="clear" w:color="auto" w:fill="333333"/>
          </w:tcPr>
          <w:p>
            <w:pPr>
              <w:spacing w:after="0"/>
              <w:rPr>
                <w:sz w:val="14"/>
                <w:szCs w:val="14"/>
                <w:color w:val="auto"/>
              </w:rPr>
            </w:pPr>
          </w:p>
        </w:tc>
        <w:tc>
          <w:tcPr>
            <w:tcW w:w="40" w:type="dxa"/>
            <w:vAlign w:val="bottom"/>
            <w:shd w:val="clear" w:color="auto" w:fill="333333"/>
          </w:tcPr>
          <w:p>
            <w:pPr>
              <w:spacing w:after="0"/>
              <w:rPr>
                <w:sz w:val="14"/>
                <w:szCs w:val="14"/>
                <w:color w:val="auto"/>
              </w:rPr>
            </w:pPr>
          </w:p>
        </w:tc>
        <w:tc>
          <w:tcPr>
            <w:tcW w:w="740" w:type="dxa"/>
            <w:vAlign w:val="bottom"/>
            <w:shd w:val="clear" w:color="auto" w:fill="333333"/>
          </w:tcPr>
          <w:p>
            <w:pPr>
              <w:spacing w:after="0"/>
              <w:rPr>
                <w:sz w:val="14"/>
                <w:szCs w:val="14"/>
                <w:color w:val="auto"/>
              </w:rPr>
            </w:pPr>
          </w:p>
        </w:tc>
        <w:tc>
          <w:tcPr>
            <w:tcW w:w="800" w:type="dxa"/>
            <w:vAlign w:val="bottom"/>
            <w:shd w:val="clear" w:color="auto" w:fill="333333"/>
          </w:tcPr>
          <w:p>
            <w:pPr>
              <w:spacing w:after="0"/>
              <w:rPr>
                <w:sz w:val="14"/>
                <w:szCs w:val="14"/>
                <w:color w:val="auto"/>
              </w:rPr>
            </w:pPr>
          </w:p>
        </w:tc>
        <w:tc>
          <w:tcPr>
            <w:tcW w:w="640" w:type="dxa"/>
            <w:vAlign w:val="bottom"/>
            <w:shd w:val="clear" w:color="auto" w:fill="333333"/>
          </w:tcPr>
          <w:p>
            <w:pPr>
              <w:spacing w:after="0"/>
              <w:rPr>
                <w:sz w:val="14"/>
                <w:szCs w:val="14"/>
                <w:color w:val="auto"/>
              </w:rPr>
            </w:pPr>
          </w:p>
        </w:tc>
        <w:tc>
          <w:tcPr>
            <w:tcW w:w="120" w:type="dxa"/>
            <w:vAlign w:val="bottom"/>
            <w:shd w:val="clear" w:color="auto" w:fill="333333"/>
          </w:tcPr>
          <w:p>
            <w:pPr>
              <w:spacing w:after="0"/>
              <w:rPr>
                <w:sz w:val="14"/>
                <w:szCs w:val="14"/>
                <w:color w:val="auto"/>
              </w:rPr>
            </w:pPr>
          </w:p>
        </w:tc>
        <w:tc>
          <w:tcPr>
            <w:tcW w:w="560" w:type="dxa"/>
            <w:vAlign w:val="bottom"/>
            <w:shd w:val="clear" w:color="auto" w:fill="333333"/>
          </w:tcPr>
          <w:p>
            <w:pPr>
              <w:spacing w:after="0"/>
              <w:rPr>
                <w:sz w:val="14"/>
                <w:szCs w:val="14"/>
                <w:color w:val="auto"/>
              </w:rPr>
            </w:pPr>
          </w:p>
        </w:tc>
        <w:tc>
          <w:tcPr>
            <w:tcW w:w="220" w:type="dxa"/>
            <w:vAlign w:val="bottom"/>
            <w:shd w:val="clear" w:color="auto" w:fill="333333"/>
          </w:tcPr>
          <w:p>
            <w:pPr>
              <w:spacing w:after="0"/>
              <w:rPr>
                <w:sz w:val="14"/>
                <w:szCs w:val="14"/>
                <w:color w:val="auto"/>
              </w:rPr>
            </w:pPr>
          </w:p>
        </w:tc>
        <w:tc>
          <w:tcPr>
            <w:tcW w:w="660" w:type="dxa"/>
            <w:vAlign w:val="bottom"/>
            <w:shd w:val="clear" w:color="auto" w:fill="333333"/>
          </w:tcPr>
          <w:p>
            <w:pPr>
              <w:spacing w:after="0"/>
              <w:rPr>
                <w:sz w:val="14"/>
                <w:szCs w:val="14"/>
                <w:color w:val="auto"/>
              </w:rPr>
            </w:pPr>
          </w:p>
        </w:tc>
        <w:tc>
          <w:tcPr>
            <w:tcW w:w="2060" w:type="dxa"/>
            <w:vAlign w:val="bottom"/>
            <w:gridSpan w:val="3"/>
            <w:shd w:val="clear" w:color="auto" w:fill="333333"/>
          </w:tcPr>
          <w:p>
            <w:pPr>
              <w:jc w:val="right"/>
              <w:ind w:right="29"/>
              <w:spacing w:after="0" w:line="162" w:lineRule="exact"/>
              <w:rPr>
                <w:sz w:val="20"/>
                <w:szCs w:val="20"/>
                <w:color w:val="auto"/>
              </w:rPr>
            </w:pPr>
            <w:r>
              <w:rPr>
                <w:rFonts w:ascii="Arial" w:cs="Arial" w:eastAsia="Arial" w:hAnsi="Arial"/>
                <w:sz w:val="15"/>
                <w:szCs w:val="15"/>
                <w:color w:val="FFFFFF"/>
              </w:rPr>
              <w:t>MILLION BARRELS</w:t>
            </w:r>
          </w:p>
        </w:tc>
        <w:tc>
          <w:tcPr>
            <w:tcW w:w="0" w:type="dxa"/>
            <w:vAlign w:val="bottom"/>
          </w:tcPr>
          <w:p>
            <w:pPr>
              <w:spacing w:after="0"/>
              <w:rPr>
                <w:sz w:val="1"/>
                <w:szCs w:val="1"/>
                <w:color w:val="auto"/>
              </w:rPr>
            </w:pPr>
          </w:p>
        </w:tc>
      </w:tr>
      <w:tr>
        <w:trPr>
          <w:trHeight w:val="162"/>
        </w:trPr>
        <w:tc>
          <w:tcPr>
            <w:tcW w:w="7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gridSpan w:val="2"/>
          </w:tcPr>
          <w:p>
            <w:pPr>
              <w:jc w:val="right"/>
              <w:ind w:right="29"/>
              <w:spacing w:after="0" w:line="143" w:lineRule="exact"/>
              <w:rPr>
                <w:sz w:val="20"/>
                <w:szCs w:val="20"/>
                <w:color w:val="auto"/>
              </w:rPr>
            </w:pPr>
            <w:r>
              <w:rPr>
                <w:rFonts w:ascii="Arial" w:cs="Arial" w:eastAsia="Arial" w:hAnsi="Arial"/>
                <w:sz w:val="13"/>
                <w:szCs w:val="13"/>
                <w:color w:val="auto"/>
              </w:rPr>
              <w:t>North America</w:t>
            </w:r>
          </w:p>
        </w:tc>
        <w:tc>
          <w:tcPr>
            <w:tcW w:w="120" w:type="dxa"/>
            <w:vAlign w:val="bottom"/>
          </w:tcPr>
          <w:p>
            <w:pPr>
              <w:spacing w:after="0"/>
              <w:rPr>
                <w:sz w:val="14"/>
                <w:szCs w:val="14"/>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3"/>
                <w:szCs w:val="13"/>
                <w:color w:val="auto"/>
              </w:rPr>
              <w:t>South</w:t>
            </w:r>
          </w:p>
        </w:tc>
        <w:tc>
          <w:tcPr>
            <w:tcW w:w="6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7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Europe</w:t>
            </w:r>
          </w:p>
        </w:tc>
        <w:tc>
          <w:tcPr>
            <w:tcW w:w="20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Asia</w:t>
            </w:r>
          </w:p>
        </w:tc>
        <w:tc>
          <w:tcPr>
            <w:tcW w:w="220" w:type="dxa"/>
            <w:vAlign w:val="bottom"/>
          </w:tcPr>
          <w:p>
            <w:pPr>
              <w:spacing w:after="0"/>
              <w:rPr>
                <w:sz w:val="13"/>
                <w:szCs w:val="13"/>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3"/>
                <w:szCs w:val="13"/>
                <w:color w:val="auto"/>
              </w:rPr>
              <w:t>Oceania</w:t>
            </w:r>
          </w:p>
        </w:tc>
        <w:tc>
          <w:tcPr>
            <w:tcW w:w="740" w:type="dxa"/>
            <w:vAlign w:val="bottom"/>
            <w:gridSpan w:val="2"/>
          </w:tcPr>
          <w:p>
            <w:pPr>
              <w:jc w:val="right"/>
              <w:ind w:right="220"/>
              <w:spacing w:after="0"/>
              <w:rPr>
                <w:sz w:val="20"/>
                <w:szCs w:val="20"/>
                <w:color w:val="auto"/>
              </w:rPr>
            </w:pPr>
            <w:r>
              <w:rPr>
                <w:rFonts w:ascii="Arial" w:cs="Arial" w:eastAsia="Arial" w:hAnsi="Arial"/>
                <w:sz w:val="13"/>
                <w:szCs w:val="13"/>
                <w:color w:val="auto"/>
              </w:rPr>
              <w:t>Africa</w:t>
            </w:r>
          </w:p>
        </w:tc>
        <w:tc>
          <w:tcPr>
            <w:tcW w:w="700" w:type="dxa"/>
            <w:vAlign w:val="bottom"/>
            <w:gridSpan w:val="2"/>
          </w:tcPr>
          <w:p>
            <w:pPr>
              <w:jc w:val="right"/>
              <w:ind w:right="160"/>
              <w:spacing w:after="0"/>
              <w:rPr>
                <w:sz w:val="20"/>
                <w:szCs w:val="20"/>
                <w:color w:val="auto"/>
              </w:rPr>
            </w:pPr>
            <w:r>
              <w:rPr>
                <w:rFonts w:ascii="Arial" w:cs="Arial" w:eastAsia="Arial" w:hAnsi="Arial"/>
                <w:sz w:val="13"/>
                <w:szCs w:val="13"/>
                <w:color w:val="auto"/>
              </w:rPr>
              <w:t>USA</w:t>
            </w:r>
          </w:p>
        </w:tc>
        <w:tc>
          <w:tcPr>
            <w:tcW w:w="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640" w:type="dxa"/>
            <w:vAlign w:val="bottom"/>
          </w:tcPr>
          <w:p>
            <w:pPr>
              <w:jc w:val="right"/>
              <w:ind w:right="29"/>
              <w:spacing w:after="0"/>
              <w:rPr>
                <w:sz w:val="20"/>
                <w:szCs w:val="20"/>
                <w:color w:val="auto"/>
              </w:rPr>
            </w:pPr>
            <w:r>
              <w:rPr>
                <w:rFonts w:ascii="Arial" w:cs="Arial" w:eastAsia="Arial" w:hAnsi="Arial"/>
                <w:sz w:val="13"/>
                <w:szCs w:val="13"/>
                <w:color w:val="auto"/>
              </w:rPr>
              <w:t>Canada</w:t>
            </w:r>
          </w:p>
        </w:tc>
        <w:tc>
          <w:tcPr>
            <w:tcW w:w="120" w:type="dxa"/>
            <w:vAlign w:val="bottom"/>
          </w:tcPr>
          <w:p>
            <w:pPr>
              <w:spacing w:after="0"/>
              <w:rPr>
                <w:sz w:val="13"/>
                <w:szCs w:val="13"/>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3"/>
                <w:szCs w:val="13"/>
                <w:color w:val="auto"/>
              </w:rPr>
              <w:t>America</w:t>
            </w:r>
          </w:p>
        </w:tc>
        <w:tc>
          <w:tcPr>
            <w:tcW w:w="6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60" w:type="dxa"/>
            <w:vAlign w:val="bottom"/>
          </w:tcPr>
          <w:p>
            <w:pPr>
              <w:jc w:val="right"/>
              <w:ind w:right="29"/>
              <w:spacing w:after="0"/>
              <w:rPr>
                <w:sz w:val="20"/>
                <w:szCs w:val="20"/>
                <w:color w:val="auto"/>
              </w:rPr>
            </w:pPr>
            <w:r>
              <w:rPr>
                <w:rFonts w:ascii="Arial" w:cs="Arial" w:eastAsia="Arial" w:hAnsi="Arial"/>
                <w:sz w:val="13"/>
                <w:szCs w:val="13"/>
                <w:color w:val="auto"/>
              </w:rPr>
              <w:t>Total</w:t>
            </w: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3"/>
        </w:trPr>
        <w:tc>
          <w:tcPr>
            <w:tcW w:w="70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540" w:type="dxa"/>
            <w:vAlign w:val="bottom"/>
          </w:tcPr>
          <w:p>
            <w:pPr>
              <w:jc w:val="right"/>
              <w:spacing w:after="0" w:line="123" w:lineRule="exact"/>
              <w:rPr>
                <w:sz w:val="20"/>
                <w:szCs w:val="20"/>
                <w:color w:val="auto"/>
              </w:rPr>
            </w:pPr>
            <w:r>
              <w:rPr>
                <w:rFonts w:ascii="Arial" w:cs="Arial" w:eastAsia="Arial" w:hAnsi="Arial"/>
                <w:sz w:val="13"/>
                <w:szCs w:val="13"/>
                <w:color w:val="auto"/>
              </w:rPr>
              <w:t>Oil and</w:t>
            </w:r>
          </w:p>
        </w:tc>
        <w:tc>
          <w:tcPr>
            <w:tcW w:w="200" w:type="dxa"/>
            <w:vAlign w:val="bottom"/>
            <w:vMerge w:val="continue"/>
          </w:tcPr>
          <w:p>
            <w:pPr>
              <w:spacing w:after="0"/>
              <w:rPr>
                <w:sz w:val="10"/>
                <w:szCs w:val="10"/>
                <w:color w:val="auto"/>
              </w:rPr>
            </w:pPr>
          </w:p>
        </w:tc>
        <w:tc>
          <w:tcPr>
            <w:tcW w:w="540" w:type="dxa"/>
            <w:vAlign w:val="bottom"/>
          </w:tcPr>
          <w:p>
            <w:pPr>
              <w:jc w:val="right"/>
              <w:spacing w:after="0" w:line="123" w:lineRule="exact"/>
              <w:rPr>
                <w:sz w:val="20"/>
                <w:szCs w:val="20"/>
                <w:color w:val="auto"/>
              </w:rPr>
            </w:pPr>
            <w:r>
              <w:rPr>
                <w:rFonts w:ascii="Arial" w:cs="Arial" w:eastAsia="Arial" w:hAnsi="Arial"/>
                <w:sz w:val="13"/>
                <w:szCs w:val="13"/>
                <w:color w:val="auto"/>
              </w:rPr>
              <w:t>Oil and</w:t>
            </w:r>
          </w:p>
        </w:tc>
        <w:tc>
          <w:tcPr>
            <w:tcW w:w="220" w:type="dxa"/>
            <w:vAlign w:val="bottom"/>
          </w:tcPr>
          <w:p>
            <w:pPr>
              <w:spacing w:after="0"/>
              <w:rPr>
                <w:sz w:val="10"/>
                <w:szCs w:val="10"/>
                <w:color w:val="auto"/>
              </w:rPr>
            </w:pPr>
          </w:p>
        </w:tc>
        <w:tc>
          <w:tcPr>
            <w:tcW w:w="760" w:type="dxa"/>
            <w:vAlign w:val="bottom"/>
            <w:gridSpan w:val="2"/>
          </w:tcPr>
          <w:p>
            <w:pPr>
              <w:jc w:val="right"/>
              <w:ind w:right="220"/>
              <w:spacing w:after="0" w:line="123" w:lineRule="exact"/>
              <w:rPr>
                <w:sz w:val="20"/>
                <w:szCs w:val="20"/>
                <w:color w:val="auto"/>
              </w:rPr>
            </w:pPr>
            <w:r>
              <w:rPr>
                <w:rFonts w:ascii="Arial" w:cs="Arial" w:eastAsia="Arial" w:hAnsi="Arial"/>
                <w:sz w:val="13"/>
                <w:szCs w:val="13"/>
                <w:color w:val="auto"/>
              </w:rPr>
              <w:t>Oil and</w:t>
            </w:r>
          </w:p>
        </w:tc>
        <w:tc>
          <w:tcPr>
            <w:tcW w:w="740" w:type="dxa"/>
            <w:vAlign w:val="bottom"/>
            <w:gridSpan w:val="2"/>
          </w:tcPr>
          <w:p>
            <w:pPr>
              <w:jc w:val="right"/>
              <w:ind w:right="220"/>
              <w:spacing w:after="0" w:line="123" w:lineRule="exact"/>
              <w:rPr>
                <w:sz w:val="20"/>
                <w:szCs w:val="20"/>
                <w:color w:val="auto"/>
              </w:rPr>
            </w:pPr>
            <w:r>
              <w:rPr>
                <w:rFonts w:ascii="Arial" w:cs="Arial" w:eastAsia="Arial" w:hAnsi="Arial"/>
                <w:sz w:val="13"/>
                <w:szCs w:val="13"/>
                <w:color w:val="auto"/>
              </w:rPr>
              <w:t>Oil and</w:t>
            </w:r>
          </w:p>
        </w:tc>
        <w:tc>
          <w:tcPr>
            <w:tcW w:w="700" w:type="dxa"/>
            <w:vAlign w:val="bottom"/>
            <w:gridSpan w:val="2"/>
          </w:tcPr>
          <w:p>
            <w:pPr>
              <w:jc w:val="right"/>
              <w:ind w:right="160"/>
              <w:spacing w:after="0" w:line="123" w:lineRule="exact"/>
              <w:rPr>
                <w:sz w:val="20"/>
                <w:szCs w:val="20"/>
                <w:color w:val="auto"/>
              </w:rPr>
            </w:pPr>
            <w:r>
              <w:rPr>
                <w:rFonts w:ascii="Arial" w:cs="Arial" w:eastAsia="Arial" w:hAnsi="Arial"/>
                <w:sz w:val="13"/>
                <w:szCs w:val="13"/>
                <w:color w:val="auto"/>
              </w:rPr>
              <w:t>Oil and</w:t>
            </w:r>
          </w:p>
        </w:tc>
        <w:tc>
          <w:tcPr>
            <w:tcW w:w="40" w:type="dxa"/>
            <w:vAlign w:val="bottom"/>
          </w:tcPr>
          <w:p>
            <w:pPr>
              <w:spacing w:after="0"/>
              <w:rPr>
                <w:sz w:val="10"/>
                <w:szCs w:val="10"/>
                <w:color w:val="auto"/>
              </w:rPr>
            </w:pPr>
          </w:p>
        </w:tc>
        <w:tc>
          <w:tcPr>
            <w:tcW w:w="740" w:type="dxa"/>
            <w:vAlign w:val="bottom"/>
          </w:tcPr>
          <w:p>
            <w:pPr>
              <w:jc w:val="right"/>
              <w:ind w:right="129"/>
              <w:spacing w:after="0" w:line="123" w:lineRule="exact"/>
              <w:rPr>
                <w:sz w:val="20"/>
                <w:szCs w:val="20"/>
                <w:color w:val="auto"/>
              </w:rPr>
            </w:pPr>
            <w:r>
              <w:rPr>
                <w:rFonts w:ascii="Arial" w:cs="Arial" w:eastAsia="Arial" w:hAnsi="Arial"/>
                <w:sz w:val="13"/>
                <w:szCs w:val="13"/>
                <w:color w:val="auto"/>
              </w:rPr>
              <w:t>Oil and</w:t>
            </w:r>
          </w:p>
        </w:tc>
        <w:tc>
          <w:tcPr>
            <w:tcW w:w="800" w:type="dxa"/>
            <w:vAlign w:val="bottom"/>
          </w:tcPr>
          <w:p>
            <w:pPr>
              <w:jc w:val="right"/>
              <w:ind w:right="69"/>
              <w:spacing w:after="0" w:line="123" w:lineRule="exact"/>
              <w:rPr>
                <w:sz w:val="20"/>
                <w:szCs w:val="20"/>
                <w:color w:val="auto"/>
              </w:rPr>
            </w:pPr>
            <w:r>
              <w:rPr>
                <w:rFonts w:ascii="Arial" w:cs="Arial" w:eastAsia="Arial" w:hAnsi="Arial"/>
                <w:sz w:val="13"/>
                <w:szCs w:val="13"/>
                <w:color w:val="auto"/>
              </w:rPr>
              <w:t>Synthetic</w:t>
            </w: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gridSpan w:val="2"/>
          </w:tcPr>
          <w:p>
            <w:pPr>
              <w:jc w:val="right"/>
              <w:ind w:right="220"/>
              <w:spacing w:after="0" w:line="123" w:lineRule="exact"/>
              <w:rPr>
                <w:sz w:val="20"/>
                <w:szCs w:val="20"/>
                <w:color w:val="auto"/>
              </w:rPr>
            </w:pPr>
            <w:r>
              <w:rPr>
                <w:rFonts w:ascii="Arial" w:cs="Arial" w:eastAsia="Arial" w:hAnsi="Arial"/>
                <w:sz w:val="13"/>
                <w:szCs w:val="13"/>
                <w:color w:val="auto"/>
              </w:rPr>
              <w:t>Oil and</w:t>
            </w:r>
          </w:p>
        </w:tc>
        <w:tc>
          <w:tcPr>
            <w:tcW w:w="660" w:type="dxa"/>
            <w:vAlign w:val="bottom"/>
          </w:tcPr>
          <w:p>
            <w:pPr>
              <w:jc w:val="right"/>
              <w:ind w:right="70"/>
              <w:spacing w:after="0" w:line="123" w:lineRule="exact"/>
              <w:rPr>
                <w:sz w:val="20"/>
                <w:szCs w:val="20"/>
                <w:color w:val="auto"/>
              </w:rPr>
            </w:pPr>
            <w:r>
              <w:rPr>
                <w:rFonts w:ascii="Arial" w:cs="Arial" w:eastAsia="Arial" w:hAnsi="Arial"/>
                <w:sz w:val="13"/>
                <w:szCs w:val="13"/>
                <w:color w:val="auto"/>
              </w:rPr>
              <w:t>Oil and</w:t>
            </w:r>
          </w:p>
        </w:tc>
        <w:tc>
          <w:tcPr>
            <w:tcW w:w="740" w:type="dxa"/>
            <w:vAlign w:val="bottom"/>
          </w:tcPr>
          <w:p>
            <w:pPr>
              <w:jc w:val="right"/>
              <w:ind w:right="69"/>
              <w:spacing w:after="0" w:line="123" w:lineRule="exact"/>
              <w:rPr>
                <w:sz w:val="20"/>
                <w:szCs w:val="20"/>
                <w:color w:val="auto"/>
              </w:rPr>
            </w:pPr>
            <w:r>
              <w:rPr>
                <w:rFonts w:ascii="Arial" w:cs="Arial" w:eastAsia="Arial" w:hAnsi="Arial"/>
                <w:sz w:val="13"/>
                <w:szCs w:val="13"/>
                <w:color w:val="auto"/>
              </w:rPr>
              <w:t>Synthetic</w:t>
            </w:r>
          </w:p>
        </w:tc>
        <w:tc>
          <w:tcPr>
            <w:tcW w:w="660" w:type="dxa"/>
            <w:vAlign w:val="bottom"/>
          </w:tcPr>
          <w:p>
            <w:pPr>
              <w:spacing w:after="0"/>
              <w:rPr>
                <w:sz w:val="10"/>
                <w:szCs w:val="10"/>
                <w:color w:val="auto"/>
              </w:rPr>
            </w:pPr>
          </w:p>
        </w:tc>
        <w:tc>
          <w:tcPr>
            <w:tcW w:w="660" w:type="dxa"/>
            <w:vAlign w:val="bottom"/>
          </w:tcPr>
          <w:p>
            <w:pPr>
              <w:jc w:val="right"/>
              <w:ind w:right="29"/>
              <w:spacing w:after="0" w:line="123" w:lineRule="exact"/>
              <w:rPr>
                <w:sz w:val="20"/>
                <w:szCs w:val="20"/>
                <w:color w:val="auto"/>
              </w:rPr>
            </w:pPr>
            <w:r>
              <w:rPr>
                <w:rFonts w:ascii="Arial" w:cs="Arial" w:eastAsia="Arial" w:hAnsi="Arial"/>
                <w:sz w:val="13"/>
                <w:szCs w:val="13"/>
                <w:color w:val="auto"/>
              </w:rPr>
              <w:t>All</w:t>
            </w:r>
          </w:p>
        </w:tc>
        <w:tc>
          <w:tcPr>
            <w:tcW w:w="0" w:type="dxa"/>
            <w:vAlign w:val="bottom"/>
          </w:tcPr>
          <w:p>
            <w:pPr>
              <w:spacing w:after="0"/>
              <w:rPr>
                <w:sz w:val="1"/>
                <w:szCs w:val="1"/>
                <w:color w:val="auto"/>
              </w:rPr>
            </w:pPr>
          </w:p>
        </w:tc>
      </w:tr>
      <w:tr>
        <w:trPr>
          <w:trHeight w:val="155"/>
        </w:trPr>
        <w:tc>
          <w:tcPr>
            <w:tcW w:w="70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gridSpan w:val="2"/>
          </w:tcPr>
          <w:p>
            <w:pPr>
              <w:jc w:val="right"/>
              <w:ind w:right="200"/>
              <w:spacing w:after="0"/>
              <w:rPr>
                <w:sz w:val="20"/>
                <w:szCs w:val="20"/>
                <w:color w:val="auto"/>
              </w:rPr>
            </w:pPr>
            <w:r>
              <w:rPr>
                <w:rFonts w:ascii="Arial" w:cs="Arial" w:eastAsia="Arial" w:hAnsi="Arial"/>
                <w:sz w:val="13"/>
                <w:szCs w:val="13"/>
                <w:color w:val="auto"/>
              </w:rPr>
              <w:t>NGL</w:t>
            </w:r>
          </w:p>
        </w:tc>
        <w:tc>
          <w:tcPr>
            <w:tcW w:w="76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3"/>
                <w:szCs w:val="13"/>
                <w:color w:val="auto"/>
              </w:rPr>
              <w:t>NGL</w:t>
            </w:r>
          </w:p>
        </w:tc>
        <w:tc>
          <w:tcPr>
            <w:tcW w:w="76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3"/>
                <w:szCs w:val="13"/>
                <w:color w:val="auto"/>
              </w:rPr>
              <w:t>NGL</w:t>
            </w:r>
          </w:p>
        </w:tc>
        <w:tc>
          <w:tcPr>
            <w:tcW w:w="74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3"/>
                <w:szCs w:val="13"/>
                <w:color w:val="auto"/>
              </w:rPr>
              <w:t>NGL</w:t>
            </w:r>
          </w:p>
        </w:tc>
        <w:tc>
          <w:tcPr>
            <w:tcW w:w="70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3"/>
                <w:szCs w:val="13"/>
                <w:color w:val="auto"/>
              </w:rPr>
              <w:t>NGL</w:t>
            </w:r>
          </w:p>
        </w:tc>
        <w:tc>
          <w:tcPr>
            <w:tcW w:w="4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129"/>
              <w:spacing w:after="0"/>
              <w:rPr>
                <w:sz w:val="20"/>
                <w:szCs w:val="20"/>
                <w:color w:val="auto"/>
              </w:rPr>
            </w:pPr>
            <w:r>
              <w:rPr>
                <w:rFonts w:ascii="Arial" w:cs="Arial" w:eastAsia="Arial" w:hAnsi="Arial"/>
                <w:sz w:val="13"/>
                <w:szCs w:val="13"/>
                <w:color w:val="auto"/>
              </w:rPr>
              <w:t>NGL</w:t>
            </w:r>
          </w:p>
        </w:tc>
        <w:tc>
          <w:tcPr>
            <w:tcW w:w="800" w:type="dxa"/>
            <w:vAlign w:val="bottom"/>
            <w:tcBorders>
              <w:bottom w:val="single" w:sz="8" w:color="auto"/>
            </w:tcBorders>
          </w:tcPr>
          <w:p>
            <w:pPr>
              <w:jc w:val="right"/>
              <w:ind w:right="69"/>
              <w:spacing w:after="0"/>
              <w:rPr>
                <w:sz w:val="20"/>
                <w:szCs w:val="20"/>
                <w:color w:val="auto"/>
              </w:rPr>
            </w:pPr>
            <w:r>
              <w:rPr>
                <w:rFonts w:ascii="Arial" w:cs="Arial" w:eastAsia="Arial" w:hAnsi="Arial"/>
                <w:sz w:val="13"/>
                <w:szCs w:val="13"/>
                <w:color w:val="auto"/>
              </w:rPr>
              <w:t>crude oil</w:t>
            </w:r>
          </w:p>
        </w:tc>
        <w:tc>
          <w:tcPr>
            <w:tcW w:w="640" w:type="dxa"/>
            <w:vAlign w:val="bottom"/>
            <w:tcBorders>
              <w:bottom w:val="single" w:sz="8" w:color="auto"/>
            </w:tcBorders>
          </w:tcPr>
          <w:p>
            <w:pPr>
              <w:jc w:val="right"/>
              <w:ind w:right="29"/>
              <w:spacing w:after="0"/>
              <w:rPr>
                <w:sz w:val="20"/>
                <w:szCs w:val="20"/>
                <w:color w:val="auto"/>
              </w:rPr>
            </w:pPr>
            <w:r>
              <w:rPr>
                <w:rFonts w:ascii="Arial" w:cs="Arial" w:eastAsia="Arial" w:hAnsi="Arial"/>
                <w:sz w:val="13"/>
                <w:szCs w:val="13"/>
                <w:color w:val="auto"/>
              </w:rPr>
              <w:t>Bitumen</w:t>
            </w:r>
          </w:p>
        </w:tc>
        <w:tc>
          <w:tcPr>
            <w:tcW w:w="12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3"/>
                <w:szCs w:val="13"/>
                <w:color w:val="auto"/>
              </w:rPr>
              <w:t>NGL</w:t>
            </w:r>
          </w:p>
        </w:tc>
        <w:tc>
          <w:tcPr>
            <w:tcW w:w="660" w:type="dxa"/>
            <w:vAlign w:val="bottom"/>
            <w:tcBorders>
              <w:bottom w:val="single" w:sz="8" w:color="auto"/>
            </w:tcBorders>
          </w:tcPr>
          <w:p>
            <w:pPr>
              <w:jc w:val="right"/>
              <w:ind w:right="70"/>
              <w:spacing w:after="0"/>
              <w:rPr>
                <w:sz w:val="20"/>
                <w:szCs w:val="20"/>
                <w:color w:val="auto"/>
              </w:rPr>
            </w:pPr>
            <w:r>
              <w:rPr>
                <w:rFonts w:ascii="Arial" w:cs="Arial" w:eastAsia="Arial" w:hAnsi="Arial"/>
                <w:sz w:val="13"/>
                <w:szCs w:val="13"/>
                <w:color w:val="auto"/>
              </w:rPr>
              <w:t>NGL</w:t>
            </w:r>
          </w:p>
        </w:tc>
        <w:tc>
          <w:tcPr>
            <w:tcW w:w="740" w:type="dxa"/>
            <w:vAlign w:val="bottom"/>
            <w:tcBorders>
              <w:bottom w:val="single" w:sz="8" w:color="auto"/>
            </w:tcBorders>
          </w:tcPr>
          <w:p>
            <w:pPr>
              <w:jc w:val="right"/>
              <w:ind w:right="69"/>
              <w:spacing w:after="0"/>
              <w:rPr>
                <w:sz w:val="20"/>
                <w:szCs w:val="20"/>
                <w:color w:val="auto"/>
              </w:rPr>
            </w:pPr>
            <w:r>
              <w:rPr>
                <w:rFonts w:ascii="Arial" w:cs="Arial" w:eastAsia="Arial" w:hAnsi="Arial"/>
                <w:sz w:val="13"/>
                <w:szCs w:val="13"/>
                <w:color w:val="auto"/>
              </w:rPr>
              <w:t>crude oil</w:t>
            </w:r>
          </w:p>
        </w:tc>
        <w:tc>
          <w:tcPr>
            <w:tcW w:w="660" w:type="dxa"/>
            <w:vAlign w:val="bottom"/>
            <w:tcBorders>
              <w:bottom w:val="single" w:sz="8" w:color="auto"/>
            </w:tcBorders>
          </w:tcPr>
          <w:p>
            <w:pPr>
              <w:jc w:val="right"/>
              <w:ind w:right="28"/>
              <w:spacing w:after="0"/>
              <w:rPr>
                <w:sz w:val="20"/>
                <w:szCs w:val="20"/>
                <w:color w:val="auto"/>
              </w:rPr>
            </w:pPr>
            <w:r>
              <w:rPr>
                <w:rFonts w:ascii="Arial" w:cs="Arial" w:eastAsia="Arial" w:hAnsi="Arial"/>
                <w:sz w:val="13"/>
                <w:szCs w:val="13"/>
                <w:color w:val="auto"/>
              </w:rPr>
              <w:t>Bitumen</w:t>
            </w:r>
          </w:p>
        </w:tc>
        <w:tc>
          <w:tcPr>
            <w:tcW w:w="660" w:type="dxa"/>
            <w:vAlign w:val="bottom"/>
            <w:tcBorders>
              <w:bottom w:val="single" w:sz="8" w:color="auto"/>
            </w:tcBorders>
          </w:tcPr>
          <w:p>
            <w:pPr>
              <w:jc w:val="right"/>
              <w:ind w:right="29"/>
              <w:spacing w:after="0"/>
              <w:rPr>
                <w:sz w:val="20"/>
                <w:szCs w:val="20"/>
                <w:color w:val="auto"/>
              </w:rPr>
            </w:pPr>
            <w:r>
              <w:rPr>
                <w:rFonts w:ascii="Arial" w:cs="Arial" w:eastAsia="Arial" w:hAnsi="Arial"/>
                <w:sz w:val="13"/>
                <w:szCs w:val="13"/>
                <w:color w:val="auto"/>
              </w:rPr>
              <w:t>products</w:t>
            </w:r>
          </w:p>
        </w:tc>
        <w:tc>
          <w:tcPr>
            <w:tcW w:w="0" w:type="dxa"/>
            <w:vAlign w:val="bottom"/>
          </w:tcPr>
          <w:p>
            <w:pPr>
              <w:spacing w:after="0"/>
              <w:rPr>
                <w:sz w:val="1"/>
                <w:szCs w:val="1"/>
                <w:color w:val="auto"/>
              </w:rPr>
            </w:pPr>
          </w:p>
        </w:tc>
      </w:tr>
      <w:tr>
        <w:trPr>
          <w:trHeight w:val="160"/>
        </w:trPr>
        <w:tc>
          <w:tcPr>
            <w:tcW w:w="1880" w:type="dxa"/>
            <w:vAlign w:val="bottom"/>
            <w:gridSpan w:val="2"/>
          </w:tcPr>
          <w:p>
            <w:pPr>
              <w:spacing w:after="0"/>
              <w:rPr>
                <w:sz w:val="20"/>
                <w:szCs w:val="20"/>
                <w:color w:val="auto"/>
              </w:rPr>
            </w:pPr>
            <w:r>
              <w:rPr>
                <w:rFonts w:ascii="Arial" w:cs="Arial" w:eastAsia="Arial" w:hAnsi="Arial"/>
                <w:sz w:val="14"/>
                <w:szCs w:val="14"/>
                <w:color w:val="auto"/>
              </w:rPr>
              <w:t>Shell subsidiaries</w:t>
            </w:r>
          </w:p>
        </w:tc>
        <w:tc>
          <w:tcPr>
            <w:tcW w:w="5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1880" w:type="dxa"/>
            <w:vAlign w:val="bottom"/>
            <w:gridSpan w:val="2"/>
          </w:tcPr>
          <w:p>
            <w:pPr>
              <w:ind w:left="140"/>
              <w:spacing w:after="0"/>
              <w:rPr>
                <w:sz w:val="20"/>
                <w:szCs w:val="20"/>
                <w:color w:val="auto"/>
              </w:rPr>
            </w:pPr>
            <w:r>
              <w:rPr>
                <w:rFonts w:ascii="Arial" w:cs="Arial" w:eastAsia="Arial" w:hAnsi="Arial"/>
                <w:sz w:val="14"/>
                <w:szCs w:val="14"/>
                <w:color w:val="auto"/>
              </w:rPr>
              <w:t>At January 1</w:t>
            </w:r>
          </w:p>
        </w:tc>
        <w:tc>
          <w:tcPr>
            <w:tcW w:w="740" w:type="dxa"/>
            <w:vAlign w:val="bottom"/>
            <w:gridSpan w:val="2"/>
          </w:tcPr>
          <w:p>
            <w:pPr>
              <w:jc w:val="right"/>
              <w:ind w:right="200"/>
              <w:spacing w:after="0"/>
              <w:rPr>
                <w:sz w:val="20"/>
                <w:szCs w:val="20"/>
                <w:color w:val="auto"/>
              </w:rPr>
            </w:pPr>
            <w:r>
              <w:rPr>
                <w:rFonts w:ascii="Arial" w:cs="Arial" w:eastAsia="Arial" w:hAnsi="Arial"/>
                <w:sz w:val="14"/>
                <w:szCs w:val="14"/>
                <w:color w:val="auto"/>
              </w:rPr>
              <w:t>723</w:t>
            </w:r>
          </w:p>
        </w:tc>
        <w:tc>
          <w:tcPr>
            <w:tcW w:w="760" w:type="dxa"/>
            <w:vAlign w:val="bottom"/>
            <w:gridSpan w:val="2"/>
          </w:tcPr>
          <w:p>
            <w:pPr>
              <w:jc w:val="right"/>
              <w:ind w:right="220"/>
              <w:spacing w:after="0"/>
              <w:rPr>
                <w:sz w:val="20"/>
                <w:szCs w:val="20"/>
                <w:color w:val="auto"/>
              </w:rPr>
            </w:pPr>
            <w:r>
              <w:rPr>
                <w:rFonts w:ascii="Arial" w:cs="Arial" w:eastAsia="Arial" w:hAnsi="Arial"/>
                <w:sz w:val="14"/>
                <w:szCs w:val="14"/>
                <w:color w:val="auto"/>
              </w:rPr>
              <w:t>1,104</w:t>
            </w:r>
          </w:p>
        </w:tc>
        <w:tc>
          <w:tcPr>
            <w:tcW w:w="760" w:type="dxa"/>
            <w:vAlign w:val="bottom"/>
            <w:gridSpan w:val="2"/>
          </w:tcPr>
          <w:p>
            <w:pPr>
              <w:jc w:val="right"/>
              <w:ind w:right="220"/>
              <w:spacing w:after="0"/>
              <w:rPr>
                <w:sz w:val="20"/>
                <w:szCs w:val="20"/>
                <w:color w:val="auto"/>
              </w:rPr>
            </w:pPr>
            <w:r>
              <w:rPr>
                <w:rFonts w:ascii="Arial" w:cs="Arial" w:eastAsia="Arial" w:hAnsi="Arial"/>
                <w:sz w:val="14"/>
                <w:szCs w:val="14"/>
                <w:color w:val="auto"/>
              </w:rPr>
              <w:t>175</w:t>
            </w:r>
          </w:p>
        </w:tc>
        <w:tc>
          <w:tcPr>
            <w:tcW w:w="740" w:type="dxa"/>
            <w:vAlign w:val="bottom"/>
            <w:gridSpan w:val="2"/>
          </w:tcPr>
          <w:p>
            <w:pPr>
              <w:jc w:val="right"/>
              <w:ind w:right="220"/>
              <w:spacing w:after="0"/>
              <w:rPr>
                <w:sz w:val="20"/>
                <w:szCs w:val="20"/>
                <w:color w:val="auto"/>
              </w:rPr>
            </w:pPr>
            <w:r>
              <w:rPr>
                <w:rFonts w:ascii="Arial" w:cs="Arial" w:eastAsia="Arial" w:hAnsi="Arial"/>
                <w:sz w:val="14"/>
                <w:szCs w:val="14"/>
                <w:color w:val="auto"/>
              </w:rPr>
              <w:t>731</w:t>
            </w:r>
          </w:p>
        </w:tc>
        <w:tc>
          <w:tcPr>
            <w:tcW w:w="620" w:type="dxa"/>
            <w:vAlign w:val="bottom"/>
          </w:tcPr>
          <w:p>
            <w:pPr>
              <w:jc w:val="right"/>
              <w:ind w:right="9"/>
              <w:spacing w:after="0"/>
              <w:rPr>
                <w:sz w:val="20"/>
                <w:szCs w:val="20"/>
                <w:color w:val="auto"/>
              </w:rPr>
            </w:pPr>
            <w:r>
              <w:rPr>
                <w:rFonts w:ascii="Arial" w:cs="Arial" w:eastAsia="Arial" w:hAnsi="Arial"/>
                <w:sz w:val="14"/>
                <w:szCs w:val="14"/>
                <w:color w:val="auto"/>
              </w:rPr>
              <w:t>532</w:t>
            </w:r>
          </w:p>
        </w:tc>
        <w:tc>
          <w:tcPr>
            <w:tcW w:w="80" w:type="dxa"/>
            <w:vAlign w:val="bottom"/>
          </w:tcPr>
          <w:p>
            <w:pPr>
              <w:spacing w:after="0"/>
              <w:rPr>
                <w:sz w:val="14"/>
                <w:szCs w:val="14"/>
                <w:color w:val="auto"/>
              </w:rPr>
            </w:pPr>
          </w:p>
        </w:tc>
        <w:tc>
          <w:tcPr>
            <w:tcW w:w="780" w:type="dxa"/>
            <w:vAlign w:val="bottom"/>
            <w:gridSpan w:val="2"/>
          </w:tcPr>
          <w:p>
            <w:pPr>
              <w:jc w:val="right"/>
              <w:ind w:right="129"/>
              <w:spacing w:after="0"/>
              <w:rPr>
                <w:sz w:val="20"/>
                <w:szCs w:val="20"/>
                <w:color w:val="auto"/>
              </w:rPr>
            </w:pPr>
            <w:r>
              <w:rPr>
                <w:rFonts w:ascii="Arial" w:cs="Arial" w:eastAsia="Arial" w:hAnsi="Arial"/>
                <w:sz w:val="14"/>
                <w:szCs w:val="14"/>
                <w:color w:val="auto"/>
              </w:rPr>
              <w:t>35</w:t>
            </w:r>
          </w:p>
        </w:tc>
        <w:tc>
          <w:tcPr>
            <w:tcW w:w="800" w:type="dxa"/>
            <w:vAlign w:val="bottom"/>
          </w:tcPr>
          <w:p>
            <w:pPr>
              <w:jc w:val="right"/>
              <w:ind w:right="69"/>
              <w:spacing w:after="0"/>
              <w:rPr>
                <w:sz w:val="20"/>
                <w:szCs w:val="20"/>
                <w:color w:val="auto"/>
              </w:rPr>
            </w:pPr>
            <w:r>
              <w:rPr>
                <w:rFonts w:ascii="Arial" w:cs="Arial" w:eastAsia="Arial" w:hAnsi="Arial"/>
                <w:sz w:val="14"/>
                <w:szCs w:val="14"/>
                <w:color w:val="auto"/>
              </w:rPr>
              <w:t>1,680</w:t>
            </w:r>
          </w:p>
        </w:tc>
        <w:tc>
          <w:tcPr>
            <w:tcW w:w="640" w:type="dxa"/>
            <w:vAlign w:val="bottom"/>
          </w:tcPr>
          <w:p>
            <w:pPr>
              <w:jc w:val="right"/>
              <w:ind w:right="29"/>
              <w:spacing w:after="0"/>
              <w:rPr>
                <w:sz w:val="20"/>
                <w:szCs w:val="20"/>
                <w:color w:val="auto"/>
              </w:rPr>
            </w:pPr>
            <w:r>
              <w:rPr>
                <w:rFonts w:ascii="Arial" w:cs="Arial" w:eastAsia="Arial" w:hAnsi="Arial"/>
                <w:sz w:val="14"/>
                <w:szCs w:val="14"/>
                <w:color w:val="auto"/>
              </w:rPr>
              <w:t>55</w:t>
            </w:r>
          </w:p>
        </w:tc>
        <w:tc>
          <w:tcPr>
            <w:tcW w:w="900" w:type="dxa"/>
            <w:vAlign w:val="bottom"/>
            <w:gridSpan w:val="3"/>
          </w:tcPr>
          <w:p>
            <w:pPr>
              <w:jc w:val="right"/>
              <w:ind w:right="220"/>
              <w:spacing w:after="0"/>
              <w:rPr>
                <w:sz w:val="20"/>
                <w:szCs w:val="20"/>
                <w:color w:val="auto"/>
              </w:rPr>
            </w:pPr>
            <w:r>
              <w:rPr>
                <w:rFonts w:ascii="Arial" w:cs="Arial" w:eastAsia="Arial" w:hAnsi="Arial"/>
                <w:sz w:val="14"/>
                <w:szCs w:val="14"/>
                <w:color w:val="auto"/>
              </w:rPr>
              <w:t>63</w:t>
            </w:r>
          </w:p>
        </w:tc>
        <w:tc>
          <w:tcPr>
            <w:tcW w:w="660" w:type="dxa"/>
            <w:vAlign w:val="bottom"/>
          </w:tcPr>
          <w:p>
            <w:pPr>
              <w:jc w:val="right"/>
              <w:ind w:right="70"/>
              <w:spacing w:after="0"/>
              <w:rPr>
                <w:sz w:val="20"/>
                <w:szCs w:val="20"/>
                <w:color w:val="auto"/>
              </w:rPr>
            </w:pPr>
            <w:r>
              <w:rPr>
                <w:rFonts w:ascii="Arial" w:cs="Arial" w:eastAsia="Arial" w:hAnsi="Arial"/>
                <w:sz w:val="14"/>
                <w:szCs w:val="14"/>
                <w:color w:val="auto"/>
              </w:rPr>
              <w:t>3,363</w:t>
            </w:r>
          </w:p>
        </w:tc>
        <w:tc>
          <w:tcPr>
            <w:tcW w:w="740" w:type="dxa"/>
            <w:vAlign w:val="bottom"/>
          </w:tcPr>
          <w:p>
            <w:pPr>
              <w:jc w:val="right"/>
              <w:ind w:right="69"/>
              <w:spacing w:after="0"/>
              <w:rPr>
                <w:sz w:val="20"/>
                <w:szCs w:val="20"/>
                <w:color w:val="auto"/>
              </w:rPr>
            </w:pPr>
            <w:r>
              <w:rPr>
                <w:rFonts w:ascii="Arial" w:cs="Arial" w:eastAsia="Arial" w:hAnsi="Arial"/>
                <w:sz w:val="14"/>
                <w:szCs w:val="14"/>
                <w:color w:val="auto"/>
              </w:rPr>
              <w:t>1,680</w:t>
            </w:r>
          </w:p>
        </w:tc>
        <w:tc>
          <w:tcPr>
            <w:tcW w:w="660" w:type="dxa"/>
            <w:vAlign w:val="bottom"/>
          </w:tcPr>
          <w:p>
            <w:pPr>
              <w:jc w:val="right"/>
              <w:ind w:right="28"/>
              <w:spacing w:after="0"/>
              <w:rPr>
                <w:sz w:val="20"/>
                <w:szCs w:val="20"/>
                <w:color w:val="auto"/>
              </w:rPr>
            </w:pPr>
            <w:r>
              <w:rPr>
                <w:rFonts w:ascii="Arial" w:cs="Arial" w:eastAsia="Arial" w:hAnsi="Arial"/>
                <w:sz w:val="14"/>
                <w:szCs w:val="14"/>
                <w:color w:val="auto"/>
              </w:rPr>
              <w:t>55</w:t>
            </w:r>
          </w:p>
        </w:tc>
        <w:tc>
          <w:tcPr>
            <w:tcW w:w="660" w:type="dxa"/>
            <w:vAlign w:val="bottom"/>
          </w:tcPr>
          <w:p>
            <w:pPr>
              <w:jc w:val="right"/>
              <w:ind w:right="29"/>
              <w:spacing w:after="0"/>
              <w:rPr>
                <w:sz w:val="20"/>
                <w:szCs w:val="20"/>
                <w:color w:val="auto"/>
              </w:rPr>
            </w:pPr>
            <w:r>
              <w:rPr>
                <w:rFonts w:ascii="Arial" w:cs="Arial" w:eastAsia="Arial" w:hAnsi="Arial"/>
                <w:sz w:val="14"/>
                <w:szCs w:val="14"/>
                <w:color w:val="auto"/>
              </w:rPr>
              <w:t>5,098</w:t>
            </w:r>
          </w:p>
        </w:tc>
        <w:tc>
          <w:tcPr>
            <w:tcW w:w="0" w:type="dxa"/>
            <w:vAlign w:val="bottom"/>
          </w:tcPr>
          <w:p>
            <w:pPr>
              <w:spacing w:after="0"/>
              <w:rPr>
                <w:sz w:val="1"/>
                <w:szCs w:val="1"/>
                <w:color w:val="auto"/>
              </w:rPr>
            </w:pPr>
          </w:p>
        </w:tc>
      </w:tr>
      <w:tr>
        <w:trPr>
          <w:trHeight w:val="162"/>
        </w:trPr>
        <w:tc>
          <w:tcPr>
            <w:tcW w:w="1880" w:type="dxa"/>
            <w:vAlign w:val="bottom"/>
            <w:gridSpan w:val="2"/>
          </w:tcPr>
          <w:p>
            <w:pPr>
              <w:ind w:left="140"/>
              <w:spacing w:after="0"/>
              <w:rPr>
                <w:sz w:val="20"/>
                <w:szCs w:val="20"/>
                <w:color w:val="auto"/>
              </w:rPr>
            </w:pPr>
            <w:r>
              <w:rPr>
                <w:rFonts w:ascii="Arial" w:cs="Arial" w:eastAsia="Arial" w:hAnsi="Arial"/>
                <w:sz w:val="14"/>
                <w:szCs w:val="14"/>
                <w:color w:val="auto"/>
              </w:rPr>
              <w:t>Revisions and</w:t>
            </w: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880" w:type="dxa"/>
            <w:vAlign w:val="bottom"/>
            <w:gridSpan w:val="2"/>
          </w:tcPr>
          <w:p>
            <w:pPr>
              <w:ind w:left="140"/>
              <w:spacing w:after="0"/>
              <w:rPr>
                <w:sz w:val="20"/>
                <w:szCs w:val="20"/>
                <w:color w:val="auto"/>
              </w:rPr>
            </w:pPr>
            <w:r>
              <w:rPr>
                <w:rFonts w:ascii="Arial" w:cs="Arial" w:eastAsia="Arial" w:hAnsi="Arial"/>
                <w:sz w:val="14"/>
                <w:szCs w:val="14"/>
                <w:color w:val="auto"/>
              </w:rPr>
              <w:t>reclassifications</w:t>
            </w:r>
          </w:p>
        </w:tc>
        <w:tc>
          <w:tcPr>
            <w:tcW w:w="740" w:type="dxa"/>
            <w:vAlign w:val="bottom"/>
            <w:gridSpan w:val="2"/>
          </w:tcPr>
          <w:p>
            <w:pPr>
              <w:jc w:val="right"/>
              <w:ind w:right="200"/>
              <w:spacing w:after="0"/>
              <w:rPr>
                <w:sz w:val="20"/>
                <w:szCs w:val="20"/>
                <w:color w:val="auto"/>
              </w:rPr>
            </w:pPr>
            <w:r>
              <w:rPr>
                <w:rFonts w:ascii="Arial" w:cs="Arial" w:eastAsia="Arial" w:hAnsi="Arial"/>
                <w:sz w:val="14"/>
                <w:szCs w:val="14"/>
                <w:color w:val="auto"/>
              </w:rPr>
              <w:t>24</w:t>
            </w:r>
          </w:p>
        </w:tc>
        <w:tc>
          <w:tcPr>
            <w:tcW w:w="760" w:type="dxa"/>
            <w:vAlign w:val="bottom"/>
            <w:gridSpan w:val="2"/>
          </w:tcPr>
          <w:p>
            <w:pPr>
              <w:jc w:val="right"/>
              <w:ind w:right="220"/>
              <w:spacing w:after="0"/>
              <w:rPr>
                <w:sz w:val="20"/>
                <w:szCs w:val="20"/>
                <w:color w:val="auto"/>
              </w:rPr>
            </w:pPr>
            <w:r>
              <w:rPr>
                <w:rFonts w:ascii="Arial" w:cs="Arial" w:eastAsia="Arial" w:hAnsi="Arial"/>
                <w:sz w:val="14"/>
                <w:szCs w:val="14"/>
                <w:color w:val="auto"/>
              </w:rPr>
              <w:t>191</w:t>
            </w:r>
          </w:p>
        </w:tc>
        <w:tc>
          <w:tcPr>
            <w:tcW w:w="760" w:type="dxa"/>
            <w:vAlign w:val="bottom"/>
            <w:gridSpan w:val="2"/>
          </w:tcPr>
          <w:p>
            <w:pPr>
              <w:jc w:val="right"/>
              <w:ind w:right="220"/>
              <w:spacing w:after="0"/>
              <w:rPr>
                <w:sz w:val="20"/>
                <w:szCs w:val="20"/>
                <w:color w:val="auto"/>
              </w:rPr>
            </w:pPr>
            <w:r>
              <w:rPr>
                <w:rFonts w:ascii="Arial" w:cs="Arial" w:eastAsia="Arial" w:hAnsi="Arial"/>
                <w:sz w:val="14"/>
                <w:szCs w:val="14"/>
                <w:color w:val="auto"/>
              </w:rPr>
              <w:t>5</w:t>
            </w:r>
          </w:p>
        </w:tc>
        <w:tc>
          <w:tcPr>
            <w:tcW w:w="740" w:type="dxa"/>
            <w:vAlign w:val="bottom"/>
            <w:gridSpan w:val="2"/>
          </w:tcPr>
          <w:p>
            <w:pPr>
              <w:jc w:val="right"/>
              <w:ind w:right="220"/>
              <w:spacing w:after="0"/>
              <w:rPr>
                <w:sz w:val="20"/>
                <w:szCs w:val="20"/>
                <w:color w:val="auto"/>
              </w:rPr>
            </w:pPr>
            <w:r>
              <w:rPr>
                <w:rFonts w:ascii="Arial" w:cs="Arial" w:eastAsia="Arial" w:hAnsi="Arial"/>
                <w:sz w:val="14"/>
                <w:szCs w:val="14"/>
                <w:color w:val="auto"/>
              </w:rPr>
              <w:t>95</w:t>
            </w:r>
          </w:p>
        </w:tc>
        <w:tc>
          <w:tcPr>
            <w:tcW w:w="620" w:type="dxa"/>
            <w:vAlign w:val="bottom"/>
          </w:tcPr>
          <w:p>
            <w:pPr>
              <w:jc w:val="right"/>
              <w:ind w:right="9"/>
              <w:spacing w:after="0"/>
              <w:rPr>
                <w:sz w:val="20"/>
                <w:szCs w:val="20"/>
                <w:color w:val="auto"/>
              </w:rPr>
            </w:pPr>
            <w:r>
              <w:rPr>
                <w:rFonts w:ascii="Arial" w:cs="Arial" w:eastAsia="Arial" w:hAnsi="Arial"/>
                <w:sz w:val="14"/>
                <w:szCs w:val="14"/>
                <w:color w:val="auto"/>
              </w:rPr>
              <w:t>80</w:t>
            </w:r>
          </w:p>
        </w:tc>
        <w:tc>
          <w:tcPr>
            <w:tcW w:w="80" w:type="dxa"/>
            <w:vAlign w:val="bottom"/>
          </w:tcPr>
          <w:p>
            <w:pPr>
              <w:spacing w:after="0"/>
              <w:rPr>
                <w:sz w:val="14"/>
                <w:szCs w:val="14"/>
                <w:color w:val="auto"/>
              </w:rPr>
            </w:pPr>
          </w:p>
        </w:tc>
        <w:tc>
          <w:tcPr>
            <w:tcW w:w="780" w:type="dxa"/>
            <w:vAlign w:val="bottom"/>
            <w:gridSpan w:val="2"/>
          </w:tcPr>
          <w:p>
            <w:pPr>
              <w:jc w:val="right"/>
              <w:ind w:right="129"/>
              <w:spacing w:after="0"/>
              <w:rPr>
                <w:sz w:val="20"/>
                <w:szCs w:val="20"/>
                <w:color w:val="auto"/>
              </w:rPr>
            </w:pPr>
            <w:r>
              <w:rPr>
                <w:rFonts w:ascii="Arial" w:cs="Arial" w:eastAsia="Arial" w:hAnsi="Arial"/>
                <w:sz w:val="14"/>
                <w:szCs w:val="14"/>
                <w:color w:val="auto"/>
              </w:rPr>
              <w:t>3</w:t>
            </w:r>
          </w:p>
        </w:tc>
        <w:tc>
          <w:tcPr>
            <w:tcW w:w="800" w:type="dxa"/>
            <w:vAlign w:val="bottom"/>
          </w:tcPr>
          <w:p>
            <w:pPr>
              <w:jc w:val="right"/>
              <w:ind w:right="69"/>
              <w:spacing w:after="0"/>
              <w:rPr>
                <w:sz w:val="20"/>
                <w:szCs w:val="20"/>
                <w:color w:val="auto"/>
              </w:rPr>
            </w:pPr>
            <w:r>
              <w:rPr>
                <w:rFonts w:ascii="Arial" w:cs="Arial" w:eastAsia="Arial" w:hAnsi="Arial"/>
                <w:sz w:val="14"/>
                <w:szCs w:val="14"/>
                <w:color w:val="auto"/>
              </w:rPr>
              <w:t>131</w:t>
            </w:r>
          </w:p>
        </w:tc>
        <w:tc>
          <w:tcPr>
            <w:tcW w:w="640" w:type="dxa"/>
            <w:vAlign w:val="bottom"/>
          </w:tcPr>
          <w:p>
            <w:pPr>
              <w:jc w:val="right"/>
              <w:ind w:right="29"/>
              <w:spacing w:after="0"/>
              <w:rPr>
                <w:sz w:val="20"/>
                <w:szCs w:val="20"/>
                <w:color w:val="auto"/>
              </w:rPr>
            </w:pPr>
            <w:r>
              <w:rPr>
                <w:rFonts w:ascii="Arial" w:cs="Arial" w:eastAsia="Arial" w:hAnsi="Arial"/>
                <w:sz w:val="14"/>
                <w:szCs w:val="14"/>
                <w:color w:val="auto"/>
              </w:rPr>
              <w:t>1</w:t>
            </w:r>
          </w:p>
        </w:tc>
        <w:tc>
          <w:tcPr>
            <w:tcW w:w="900" w:type="dxa"/>
            <w:vAlign w:val="bottom"/>
            <w:gridSpan w:val="3"/>
          </w:tcPr>
          <w:p>
            <w:pPr>
              <w:jc w:val="right"/>
              <w:ind w:right="220"/>
              <w:spacing w:after="0"/>
              <w:rPr>
                <w:sz w:val="20"/>
                <w:szCs w:val="20"/>
                <w:color w:val="auto"/>
              </w:rPr>
            </w:pPr>
            <w:r>
              <w:rPr>
                <w:rFonts w:ascii="Arial" w:cs="Arial" w:eastAsia="Arial" w:hAnsi="Arial"/>
                <w:sz w:val="14"/>
                <w:szCs w:val="14"/>
                <w:color w:val="auto"/>
              </w:rPr>
              <w:t>12</w:t>
            </w:r>
          </w:p>
        </w:tc>
        <w:tc>
          <w:tcPr>
            <w:tcW w:w="660" w:type="dxa"/>
            <w:vAlign w:val="bottom"/>
          </w:tcPr>
          <w:p>
            <w:pPr>
              <w:jc w:val="right"/>
              <w:ind w:right="70"/>
              <w:spacing w:after="0"/>
              <w:rPr>
                <w:sz w:val="20"/>
                <w:szCs w:val="20"/>
                <w:color w:val="auto"/>
              </w:rPr>
            </w:pPr>
            <w:r>
              <w:rPr>
                <w:rFonts w:ascii="Arial" w:cs="Arial" w:eastAsia="Arial" w:hAnsi="Arial"/>
                <w:sz w:val="14"/>
                <w:szCs w:val="14"/>
                <w:color w:val="auto"/>
              </w:rPr>
              <w:t>410</w:t>
            </w:r>
          </w:p>
        </w:tc>
        <w:tc>
          <w:tcPr>
            <w:tcW w:w="740" w:type="dxa"/>
            <w:vAlign w:val="bottom"/>
          </w:tcPr>
          <w:p>
            <w:pPr>
              <w:jc w:val="right"/>
              <w:ind w:right="69"/>
              <w:spacing w:after="0"/>
              <w:rPr>
                <w:sz w:val="20"/>
                <w:szCs w:val="20"/>
                <w:color w:val="auto"/>
              </w:rPr>
            </w:pPr>
            <w:r>
              <w:rPr>
                <w:rFonts w:ascii="Arial" w:cs="Arial" w:eastAsia="Arial" w:hAnsi="Arial"/>
                <w:sz w:val="14"/>
                <w:szCs w:val="14"/>
                <w:color w:val="auto"/>
              </w:rPr>
              <w:t>131</w:t>
            </w:r>
          </w:p>
        </w:tc>
        <w:tc>
          <w:tcPr>
            <w:tcW w:w="660" w:type="dxa"/>
            <w:vAlign w:val="bottom"/>
          </w:tcPr>
          <w:p>
            <w:pPr>
              <w:jc w:val="right"/>
              <w:ind w:right="28"/>
              <w:spacing w:after="0"/>
              <w:rPr>
                <w:sz w:val="20"/>
                <w:szCs w:val="20"/>
                <w:color w:val="auto"/>
              </w:rPr>
            </w:pPr>
            <w:r>
              <w:rPr>
                <w:rFonts w:ascii="Arial" w:cs="Arial" w:eastAsia="Arial" w:hAnsi="Arial"/>
                <w:sz w:val="14"/>
                <w:szCs w:val="14"/>
                <w:color w:val="auto"/>
              </w:rPr>
              <w:t>1</w:t>
            </w:r>
          </w:p>
        </w:tc>
        <w:tc>
          <w:tcPr>
            <w:tcW w:w="660" w:type="dxa"/>
            <w:vAlign w:val="bottom"/>
          </w:tcPr>
          <w:p>
            <w:pPr>
              <w:jc w:val="right"/>
              <w:ind w:right="29"/>
              <w:spacing w:after="0"/>
              <w:rPr>
                <w:sz w:val="20"/>
                <w:szCs w:val="20"/>
                <w:color w:val="auto"/>
              </w:rPr>
            </w:pPr>
            <w:r>
              <w:rPr>
                <w:rFonts w:ascii="Arial" w:cs="Arial" w:eastAsia="Arial" w:hAnsi="Arial"/>
                <w:sz w:val="14"/>
                <w:szCs w:val="14"/>
                <w:color w:val="auto"/>
              </w:rPr>
              <w:t>542</w:t>
            </w:r>
          </w:p>
        </w:tc>
        <w:tc>
          <w:tcPr>
            <w:tcW w:w="0" w:type="dxa"/>
            <w:vAlign w:val="bottom"/>
          </w:tcPr>
          <w:p>
            <w:pPr>
              <w:spacing w:after="0"/>
              <w:rPr>
                <w:sz w:val="1"/>
                <w:szCs w:val="1"/>
                <w:color w:val="auto"/>
              </w:rPr>
            </w:pPr>
          </w:p>
        </w:tc>
      </w:tr>
      <w:tr>
        <w:trPr>
          <w:trHeight w:val="162"/>
        </w:trPr>
        <w:tc>
          <w:tcPr>
            <w:tcW w:w="1880" w:type="dxa"/>
            <w:vAlign w:val="bottom"/>
            <w:gridSpan w:val="2"/>
          </w:tcPr>
          <w:p>
            <w:pPr>
              <w:ind w:left="140"/>
              <w:spacing w:after="0"/>
              <w:rPr>
                <w:sz w:val="20"/>
                <w:szCs w:val="20"/>
                <w:color w:val="auto"/>
              </w:rPr>
            </w:pPr>
            <w:r>
              <w:rPr>
                <w:rFonts w:ascii="Arial" w:cs="Arial" w:eastAsia="Arial" w:hAnsi="Arial"/>
                <w:sz w:val="14"/>
                <w:szCs w:val="14"/>
                <w:color w:val="auto"/>
              </w:rPr>
              <w:t>Improved recovery</w:t>
            </w:r>
          </w:p>
        </w:tc>
        <w:tc>
          <w:tcPr>
            <w:tcW w:w="7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220"/>
              <w:spacing w:after="0"/>
              <w:rPr>
                <w:sz w:val="20"/>
                <w:szCs w:val="20"/>
                <w:color w:val="auto"/>
              </w:rPr>
            </w:pPr>
            <w:r>
              <w:rPr>
                <w:rFonts w:ascii="Arial" w:cs="Arial" w:eastAsia="Arial" w:hAnsi="Arial"/>
                <w:sz w:val="14"/>
                <w:szCs w:val="14"/>
                <w:color w:val="auto"/>
              </w:rPr>
              <w:t>6</w:t>
            </w:r>
          </w:p>
        </w:tc>
        <w:tc>
          <w:tcPr>
            <w:tcW w:w="7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620" w:type="dxa"/>
            <w:vAlign w:val="bottom"/>
          </w:tcPr>
          <w:p>
            <w:pPr>
              <w:jc w:val="right"/>
              <w:ind w:right="9"/>
              <w:spacing w:after="0"/>
              <w:rPr>
                <w:sz w:val="20"/>
                <w:szCs w:val="20"/>
                <w:color w:val="auto"/>
              </w:rPr>
            </w:pPr>
            <w:r>
              <w:rPr>
                <w:rFonts w:ascii="Arial" w:cs="Arial" w:eastAsia="Arial" w:hAnsi="Arial"/>
                <w:sz w:val="14"/>
                <w:szCs w:val="14"/>
                <w:color w:val="auto"/>
              </w:rPr>
              <w:t>4</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jc w:val="right"/>
              <w:ind w:right="129"/>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69"/>
              <w:spacing w:after="0"/>
              <w:rPr>
                <w:sz w:val="20"/>
                <w:szCs w:val="20"/>
                <w:color w:val="auto"/>
              </w:rPr>
            </w:pPr>
            <w:r>
              <w:rPr>
                <w:rFonts w:ascii="Arial" w:cs="Arial" w:eastAsia="Arial" w:hAnsi="Arial"/>
                <w:sz w:val="14"/>
                <w:szCs w:val="14"/>
                <w:color w:val="auto"/>
              </w:rPr>
              <w:t>–</w:t>
            </w:r>
          </w:p>
        </w:tc>
        <w:tc>
          <w:tcPr>
            <w:tcW w:w="64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660" w:type="dxa"/>
            <w:vAlign w:val="bottom"/>
          </w:tcPr>
          <w:p>
            <w:pPr>
              <w:jc w:val="right"/>
              <w:ind w:right="70"/>
              <w:spacing w:after="0"/>
              <w:rPr>
                <w:sz w:val="20"/>
                <w:szCs w:val="20"/>
                <w:color w:val="auto"/>
              </w:rPr>
            </w:pPr>
            <w:r>
              <w:rPr>
                <w:rFonts w:ascii="Arial" w:cs="Arial" w:eastAsia="Arial" w:hAnsi="Arial"/>
                <w:sz w:val="14"/>
                <w:szCs w:val="14"/>
                <w:color w:val="auto"/>
              </w:rPr>
              <w:t>10</w:t>
            </w:r>
          </w:p>
        </w:tc>
        <w:tc>
          <w:tcPr>
            <w:tcW w:w="740" w:type="dxa"/>
            <w:vAlign w:val="bottom"/>
          </w:tcPr>
          <w:p>
            <w:pPr>
              <w:jc w:val="right"/>
              <w:ind w:right="69"/>
              <w:spacing w:after="0"/>
              <w:rPr>
                <w:sz w:val="20"/>
                <w:szCs w:val="20"/>
                <w:color w:val="auto"/>
              </w:rPr>
            </w:pPr>
            <w:r>
              <w:rPr>
                <w:rFonts w:ascii="Arial" w:cs="Arial" w:eastAsia="Arial" w:hAnsi="Arial"/>
                <w:sz w:val="14"/>
                <w:szCs w:val="14"/>
                <w:color w:val="auto"/>
              </w:rPr>
              <w:t>–</w:t>
            </w:r>
          </w:p>
        </w:tc>
        <w:tc>
          <w:tcPr>
            <w:tcW w:w="6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660" w:type="dxa"/>
            <w:vAlign w:val="bottom"/>
          </w:tcPr>
          <w:p>
            <w:pPr>
              <w:jc w:val="right"/>
              <w:ind w:right="29"/>
              <w:spacing w:after="0"/>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162"/>
        </w:trPr>
        <w:tc>
          <w:tcPr>
            <w:tcW w:w="1880" w:type="dxa"/>
            <w:vAlign w:val="bottom"/>
            <w:gridSpan w:val="2"/>
          </w:tcPr>
          <w:p>
            <w:pPr>
              <w:ind w:left="140"/>
              <w:spacing w:after="0"/>
              <w:rPr>
                <w:sz w:val="20"/>
                <w:szCs w:val="20"/>
                <w:color w:val="auto"/>
              </w:rPr>
            </w:pPr>
            <w:r>
              <w:rPr>
                <w:rFonts w:ascii="Arial" w:cs="Arial" w:eastAsia="Arial" w:hAnsi="Arial"/>
                <w:sz w:val="14"/>
                <w:szCs w:val="14"/>
                <w:color w:val="auto"/>
              </w:rPr>
              <w:t>Extensions and discoveries</w:t>
            </w:r>
          </w:p>
        </w:tc>
        <w:tc>
          <w:tcPr>
            <w:tcW w:w="740" w:type="dxa"/>
            <w:vAlign w:val="bottom"/>
            <w:gridSpan w:val="2"/>
          </w:tcPr>
          <w:p>
            <w:pPr>
              <w:jc w:val="right"/>
              <w:ind w:right="200"/>
              <w:spacing w:after="0"/>
              <w:rPr>
                <w:sz w:val="20"/>
                <w:szCs w:val="20"/>
                <w:color w:val="auto"/>
              </w:rPr>
            </w:pPr>
            <w:r>
              <w:rPr>
                <w:rFonts w:ascii="Arial" w:cs="Arial" w:eastAsia="Arial" w:hAnsi="Arial"/>
                <w:sz w:val="14"/>
                <w:szCs w:val="14"/>
                <w:color w:val="auto"/>
              </w:rPr>
              <w:t>44</w:t>
            </w:r>
          </w:p>
        </w:tc>
        <w:tc>
          <w:tcPr>
            <w:tcW w:w="760" w:type="dxa"/>
            <w:vAlign w:val="bottom"/>
            <w:gridSpan w:val="2"/>
          </w:tcPr>
          <w:p>
            <w:pPr>
              <w:jc w:val="right"/>
              <w:ind w:right="220"/>
              <w:spacing w:after="0"/>
              <w:rPr>
                <w:sz w:val="20"/>
                <w:szCs w:val="20"/>
                <w:color w:val="auto"/>
              </w:rPr>
            </w:pPr>
            <w:r>
              <w:rPr>
                <w:rFonts w:ascii="Arial" w:cs="Arial" w:eastAsia="Arial" w:hAnsi="Arial"/>
                <w:sz w:val="14"/>
                <w:szCs w:val="14"/>
                <w:color w:val="auto"/>
              </w:rPr>
              <w:t>2</w:t>
            </w:r>
          </w:p>
        </w:tc>
        <w:tc>
          <w:tcPr>
            <w:tcW w:w="7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220"/>
              <w:spacing w:after="0"/>
              <w:rPr>
                <w:sz w:val="20"/>
                <w:szCs w:val="20"/>
                <w:color w:val="auto"/>
              </w:rPr>
            </w:pPr>
            <w:r>
              <w:rPr>
                <w:rFonts w:ascii="Arial" w:cs="Arial" w:eastAsia="Arial" w:hAnsi="Arial"/>
                <w:sz w:val="14"/>
                <w:szCs w:val="14"/>
                <w:color w:val="auto"/>
              </w:rPr>
              <w:t>1</w:t>
            </w:r>
          </w:p>
        </w:tc>
        <w:tc>
          <w:tcPr>
            <w:tcW w:w="620" w:type="dxa"/>
            <w:vAlign w:val="bottom"/>
          </w:tcPr>
          <w:p>
            <w:pPr>
              <w:jc w:val="right"/>
              <w:ind w:right="9"/>
              <w:spacing w:after="0"/>
              <w:rPr>
                <w:sz w:val="20"/>
                <w:szCs w:val="20"/>
                <w:color w:val="auto"/>
              </w:rPr>
            </w:pPr>
            <w:r>
              <w:rPr>
                <w:rFonts w:ascii="Arial" w:cs="Arial" w:eastAsia="Arial" w:hAnsi="Arial"/>
                <w:sz w:val="14"/>
                <w:szCs w:val="14"/>
                <w:color w:val="auto"/>
              </w:rPr>
              <w:t>30</w:t>
            </w:r>
          </w:p>
        </w:tc>
        <w:tc>
          <w:tcPr>
            <w:tcW w:w="80" w:type="dxa"/>
            <w:vAlign w:val="bottom"/>
          </w:tcPr>
          <w:p>
            <w:pPr>
              <w:spacing w:after="0"/>
              <w:rPr>
                <w:sz w:val="14"/>
                <w:szCs w:val="14"/>
                <w:color w:val="auto"/>
              </w:rPr>
            </w:pPr>
          </w:p>
        </w:tc>
        <w:tc>
          <w:tcPr>
            <w:tcW w:w="780" w:type="dxa"/>
            <w:vAlign w:val="bottom"/>
            <w:gridSpan w:val="2"/>
          </w:tcPr>
          <w:p>
            <w:pPr>
              <w:jc w:val="right"/>
              <w:ind w:right="129"/>
              <w:spacing w:after="0"/>
              <w:rPr>
                <w:sz w:val="20"/>
                <w:szCs w:val="20"/>
                <w:color w:val="auto"/>
              </w:rPr>
            </w:pPr>
            <w:r>
              <w:rPr>
                <w:rFonts w:ascii="Arial" w:cs="Arial" w:eastAsia="Arial" w:hAnsi="Arial"/>
                <w:sz w:val="14"/>
                <w:szCs w:val="14"/>
                <w:color w:val="auto"/>
              </w:rPr>
              <w:t>1</w:t>
            </w:r>
          </w:p>
        </w:tc>
        <w:tc>
          <w:tcPr>
            <w:tcW w:w="800" w:type="dxa"/>
            <w:vAlign w:val="bottom"/>
          </w:tcPr>
          <w:p>
            <w:pPr>
              <w:jc w:val="right"/>
              <w:ind w:right="69"/>
              <w:spacing w:after="0"/>
              <w:rPr>
                <w:sz w:val="20"/>
                <w:szCs w:val="20"/>
                <w:color w:val="auto"/>
              </w:rPr>
            </w:pPr>
            <w:r>
              <w:rPr>
                <w:rFonts w:ascii="Arial" w:cs="Arial" w:eastAsia="Arial" w:hAnsi="Arial"/>
                <w:sz w:val="14"/>
                <w:szCs w:val="14"/>
                <w:color w:val="auto"/>
              </w:rPr>
              <w:t>–</w:t>
            </w:r>
          </w:p>
        </w:tc>
        <w:tc>
          <w:tcPr>
            <w:tcW w:w="640" w:type="dxa"/>
            <w:vAlign w:val="bottom"/>
          </w:tcPr>
          <w:p>
            <w:pPr>
              <w:jc w:val="right"/>
              <w:ind w:right="29"/>
              <w:spacing w:after="0"/>
              <w:rPr>
                <w:sz w:val="20"/>
                <w:szCs w:val="20"/>
                <w:color w:val="auto"/>
              </w:rPr>
            </w:pPr>
            <w:r>
              <w:rPr>
                <w:rFonts w:ascii="Arial" w:cs="Arial" w:eastAsia="Arial" w:hAnsi="Arial"/>
                <w:sz w:val="14"/>
                <w:szCs w:val="14"/>
                <w:color w:val="auto"/>
              </w:rPr>
              <w:t>1</w:t>
            </w:r>
          </w:p>
        </w:tc>
        <w:tc>
          <w:tcPr>
            <w:tcW w:w="680" w:type="dxa"/>
            <w:vAlign w:val="bottom"/>
            <w:gridSpan w:val="2"/>
          </w:tcPr>
          <w:p>
            <w:pPr>
              <w:jc w:val="right"/>
              <w:spacing w:after="0"/>
              <w:rPr>
                <w:sz w:val="20"/>
                <w:szCs w:val="20"/>
                <w:color w:val="auto"/>
              </w:rPr>
            </w:pPr>
            <w:r>
              <w:rPr>
                <w:rFonts w:ascii="Arial" w:cs="Arial" w:eastAsia="Arial" w:hAnsi="Arial"/>
                <w:sz w:val="14"/>
                <w:szCs w:val="14"/>
                <w:color w:val="auto"/>
              </w:rPr>
              <w:t>7</w:t>
            </w:r>
          </w:p>
        </w:tc>
        <w:tc>
          <w:tcPr>
            <w:tcW w:w="220" w:type="dxa"/>
            <w:vAlign w:val="bottom"/>
          </w:tcPr>
          <w:p>
            <w:pPr>
              <w:spacing w:after="0"/>
              <w:rPr>
                <w:sz w:val="14"/>
                <w:szCs w:val="14"/>
                <w:color w:val="auto"/>
              </w:rPr>
            </w:pPr>
          </w:p>
        </w:tc>
        <w:tc>
          <w:tcPr>
            <w:tcW w:w="660" w:type="dxa"/>
            <w:vAlign w:val="bottom"/>
          </w:tcPr>
          <w:p>
            <w:pPr>
              <w:jc w:val="right"/>
              <w:ind w:right="70"/>
              <w:spacing w:after="0"/>
              <w:rPr>
                <w:sz w:val="20"/>
                <w:szCs w:val="20"/>
                <w:color w:val="auto"/>
              </w:rPr>
            </w:pPr>
            <w:r>
              <w:rPr>
                <w:rFonts w:ascii="Arial" w:cs="Arial" w:eastAsia="Arial" w:hAnsi="Arial"/>
                <w:sz w:val="14"/>
                <w:szCs w:val="14"/>
                <w:color w:val="auto"/>
              </w:rPr>
              <w:t>85</w:t>
            </w:r>
          </w:p>
        </w:tc>
        <w:tc>
          <w:tcPr>
            <w:tcW w:w="740" w:type="dxa"/>
            <w:vAlign w:val="bottom"/>
          </w:tcPr>
          <w:p>
            <w:pPr>
              <w:jc w:val="right"/>
              <w:ind w:right="69"/>
              <w:spacing w:after="0"/>
              <w:rPr>
                <w:sz w:val="20"/>
                <w:szCs w:val="20"/>
                <w:color w:val="auto"/>
              </w:rPr>
            </w:pPr>
            <w:r>
              <w:rPr>
                <w:rFonts w:ascii="Arial" w:cs="Arial" w:eastAsia="Arial" w:hAnsi="Arial"/>
                <w:sz w:val="14"/>
                <w:szCs w:val="14"/>
                <w:color w:val="auto"/>
              </w:rPr>
              <w:t>–</w:t>
            </w:r>
          </w:p>
        </w:tc>
        <w:tc>
          <w:tcPr>
            <w:tcW w:w="660" w:type="dxa"/>
            <w:vAlign w:val="bottom"/>
          </w:tcPr>
          <w:p>
            <w:pPr>
              <w:jc w:val="right"/>
              <w:ind w:right="28"/>
              <w:spacing w:after="0"/>
              <w:rPr>
                <w:sz w:val="20"/>
                <w:szCs w:val="20"/>
                <w:color w:val="auto"/>
              </w:rPr>
            </w:pPr>
            <w:r>
              <w:rPr>
                <w:rFonts w:ascii="Arial" w:cs="Arial" w:eastAsia="Arial" w:hAnsi="Arial"/>
                <w:sz w:val="14"/>
                <w:szCs w:val="14"/>
                <w:color w:val="auto"/>
              </w:rPr>
              <w:t>1</w:t>
            </w:r>
          </w:p>
        </w:tc>
        <w:tc>
          <w:tcPr>
            <w:tcW w:w="660" w:type="dxa"/>
            <w:vAlign w:val="bottom"/>
          </w:tcPr>
          <w:p>
            <w:pPr>
              <w:jc w:val="right"/>
              <w:ind w:right="29"/>
              <w:spacing w:after="0"/>
              <w:rPr>
                <w:sz w:val="20"/>
                <w:szCs w:val="20"/>
                <w:color w:val="auto"/>
              </w:rPr>
            </w:pPr>
            <w:r>
              <w:rPr>
                <w:rFonts w:ascii="Arial" w:cs="Arial" w:eastAsia="Arial" w:hAnsi="Arial"/>
                <w:sz w:val="14"/>
                <w:szCs w:val="14"/>
                <w:color w:val="auto"/>
              </w:rPr>
              <w:t>86</w:t>
            </w:r>
          </w:p>
        </w:tc>
        <w:tc>
          <w:tcPr>
            <w:tcW w:w="0" w:type="dxa"/>
            <w:vAlign w:val="bottom"/>
          </w:tcPr>
          <w:p>
            <w:pPr>
              <w:spacing w:after="0"/>
              <w:rPr>
                <w:sz w:val="1"/>
                <w:szCs w:val="1"/>
                <w:color w:val="auto"/>
              </w:rPr>
            </w:pPr>
          </w:p>
        </w:tc>
      </w:tr>
      <w:tr>
        <w:trPr>
          <w:trHeight w:val="162"/>
        </w:trPr>
        <w:tc>
          <w:tcPr>
            <w:tcW w:w="1880" w:type="dxa"/>
            <w:vAlign w:val="bottom"/>
            <w:gridSpan w:val="2"/>
          </w:tcPr>
          <w:p>
            <w:pPr>
              <w:ind w:left="140"/>
              <w:spacing w:after="0"/>
              <w:rPr>
                <w:sz w:val="20"/>
                <w:szCs w:val="20"/>
                <w:color w:val="auto"/>
              </w:rPr>
            </w:pPr>
            <w:r>
              <w:rPr>
                <w:rFonts w:ascii="Arial" w:cs="Arial" w:eastAsia="Arial" w:hAnsi="Arial"/>
                <w:sz w:val="14"/>
                <w:szCs w:val="14"/>
                <w:color w:val="auto"/>
              </w:rPr>
              <w:t>Purchases of minerals in</w:t>
            </w: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880" w:type="dxa"/>
            <w:vAlign w:val="bottom"/>
            <w:gridSpan w:val="2"/>
          </w:tcPr>
          <w:p>
            <w:pPr>
              <w:ind w:left="140"/>
              <w:spacing w:after="0"/>
              <w:rPr>
                <w:sz w:val="20"/>
                <w:szCs w:val="20"/>
                <w:color w:val="auto"/>
              </w:rPr>
            </w:pPr>
            <w:r>
              <w:rPr>
                <w:rFonts w:ascii="Arial" w:cs="Arial" w:eastAsia="Arial" w:hAnsi="Arial"/>
                <w:sz w:val="14"/>
                <w:szCs w:val="14"/>
                <w:color w:val="auto"/>
              </w:rPr>
              <w:t>place</w:t>
            </w:r>
          </w:p>
        </w:tc>
        <w:tc>
          <w:tcPr>
            <w:tcW w:w="740" w:type="dxa"/>
            <w:vAlign w:val="bottom"/>
            <w:gridSpan w:val="2"/>
          </w:tcPr>
          <w:p>
            <w:pPr>
              <w:jc w:val="right"/>
              <w:ind w:right="200"/>
              <w:spacing w:after="0"/>
              <w:rPr>
                <w:sz w:val="20"/>
                <w:szCs w:val="20"/>
                <w:color w:val="auto"/>
              </w:rPr>
            </w:pPr>
            <w:r>
              <w:rPr>
                <w:rFonts w:ascii="Arial" w:cs="Arial" w:eastAsia="Arial" w:hAnsi="Arial"/>
                <w:sz w:val="14"/>
                <w:szCs w:val="14"/>
                <w:color w:val="auto"/>
              </w:rPr>
              <w:t>56</w:t>
            </w:r>
          </w:p>
        </w:tc>
        <w:tc>
          <w:tcPr>
            <w:tcW w:w="7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620" w:type="dxa"/>
            <w:vAlign w:val="bottom"/>
          </w:tcPr>
          <w:p>
            <w:pPr>
              <w:jc w:val="right"/>
              <w:ind w:right="9"/>
              <w:spacing w:after="0"/>
              <w:rPr>
                <w:sz w:val="20"/>
                <w:szCs w:val="20"/>
                <w:color w:val="auto"/>
              </w:rPr>
            </w:pPr>
            <w:r>
              <w:rPr>
                <w:rFonts w:ascii="Arial" w:cs="Arial" w:eastAsia="Arial" w:hAnsi="Arial"/>
                <w:sz w:val="14"/>
                <w:szCs w:val="14"/>
                <w:color w:val="auto"/>
              </w:rPr>
              <w:t>26</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jc w:val="right"/>
              <w:ind w:right="129"/>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69"/>
              <w:spacing w:after="0"/>
              <w:rPr>
                <w:sz w:val="20"/>
                <w:szCs w:val="20"/>
                <w:color w:val="auto"/>
              </w:rPr>
            </w:pPr>
            <w:r>
              <w:rPr>
                <w:rFonts w:ascii="Arial" w:cs="Arial" w:eastAsia="Arial" w:hAnsi="Arial"/>
                <w:sz w:val="14"/>
                <w:szCs w:val="14"/>
                <w:color w:val="auto"/>
              </w:rPr>
              <w:t>–</w:t>
            </w:r>
          </w:p>
        </w:tc>
        <w:tc>
          <w:tcPr>
            <w:tcW w:w="64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660" w:type="dxa"/>
            <w:vAlign w:val="bottom"/>
          </w:tcPr>
          <w:p>
            <w:pPr>
              <w:jc w:val="right"/>
              <w:ind w:right="70"/>
              <w:spacing w:after="0"/>
              <w:rPr>
                <w:sz w:val="20"/>
                <w:szCs w:val="20"/>
                <w:color w:val="auto"/>
              </w:rPr>
            </w:pPr>
            <w:r>
              <w:rPr>
                <w:rFonts w:ascii="Arial" w:cs="Arial" w:eastAsia="Arial" w:hAnsi="Arial"/>
                <w:sz w:val="14"/>
                <w:szCs w:val="14"/>
                <w:color w:val="auto"/>
              </w:rPr>
              <w:t>82</w:t>
            </w:r>
          </w:p>
        </w:tc>
        <w:tc>
          <w:tcPr>
            <w:tcW w:w="740" w:type="dxa"/>
            <w:vAlign w:val="bottom"/>
          </w:tcPr>
          <w:p>
            <w:pPr>
              <w:jc w:val="right"/>
              <w:ind w:right="69"/>
              <w:spacing w:after="0"/>
              <w:rPr>
                <w:sz w:val="20"/>
                <w:szCs w:val="20"/>
                <w:color w:val="auto"/>
              </w:rPr>
            </w:pPr>
            <w:r>
              <w:rPr>
                <w:rFonts w:ascii="Arial" w:cs="Arial" w:eastAsia="Arial" w:hAnsi="Arial"/>
                <w:sz w:val="14"/>
                <w:szCs w:val="14"/>
                <w:color w:val="auto"/>
              </w:rPr>
              <w:t>–</w:t>
            </w:r>
          </w:p>
        </w:tc>
        <w:tc>
          <w:tcPr>
            <w:tcW w:w="6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660" w:type="dxa"/>
            <w:vAlign w:val="bottom"/>
          </w:tcPr>
          <w:p>
            <w:pPr>
              <w:jc w:val="right"/>
              <w:ind w:right="29"/>
              <w:spacing w:after="0"/>
              <w:rPr>
                <w:sz w:val="20"/>
                <w:szCs w:val="20"/>
                <w:color w:val="auto"/>
              </w:rPr>
            </w:pPr>
            <w:r>
              <w:rPr>
                <w:rFonts w:ascii="Arial" w:cs="Arial" w:eastAsia="Arial" w:hAnsi="Arial"/>
                <w:sz w:val="14"/>
                <w:szCs w:val="14"/>
                <w:color w:val="auto"/>
              </w:rPr>
              <w:t>82</w:t>
            </w:r>
          </w:p>
        </w:tc>
        <w:tc>
          <w:tcPr>
            <w:tcW w:w="0" w:type="dxa"/>
            <w:vAlign w:val="bottom"/>
          </w:tcPr>
          <w:p>
            <w:pPr>
              <w:spacing w:after="0"/>
              <w:rPr>
                <w:sz w:val="1"/>
                <w:szCs w:val="1"/>
                <w:color w:val="auto"/>
              </w:rPr>
            </w:pPr>
          </w:p>
        </w:tc>
      </w:tr>
      <w:tr>
        <w:trPr>
          <w:trHeight w:val="162"/>
        </w:trPr>
        <w:tc>
          <w:tcPr>
            <w:tcW w:w="1880" w:type="dxa"/>
            <w:vAlign w:val="bottom"/>
            <w:gridSpan w:val="2"/>
          </w:tcPr>
          <w:p>
            <w:pPr>
              <w:ind w:left="140"/>
              <w:spacing w:after="0"/>
              <w:rPr>
                <w:sz w:val="20"/>
                <w:szCs w:val="20"/>
                <w:color w:val="auto"/>
              </w:rPr>
            </w:pPr>
            <w:r>
              <w:rPr>
                <w:rFonts w:ascii="Arial" w:cs="Arial" w:eastAsia="Arial" w:hAnsi="Arial"/>
                <w:sz w:val="14"/>
                <w:szCs w:val="14"/>
                <w:color w:val="auto"/>
              </w:rPr>
              <w:t>Sales of minerals in place</w:t>
            </w:r>
          </w:p>
        </w:tc>
        <w:tc>
          <w:tcPr>
            <w:tcW w:w="7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160"/>
              <w:spacing w:after="0"/>
              <w:rPr>
                <w:sz w:val="20"/>
                <w:szCs w:val="20"/>
                <w:color w:val="auto"/>
              </w:rPr>
            </w:pPr>
            <w:r>
              <w:rPr>
                <w:rFonts w:ascii="Arial" w:cs="Arial" w:eastAsia="Arial" w:hAnsi="Arial"/>
                <w:sz w:val="14"/>
                <w:szCs w:val="14"/>
                <w:color w:val="auto"/>
              </w:rPr>
              <w:t>(24)</w:t>
            </w:r>
          </w:p>
        </w:tc>
        <w:tc>
          <w:tcPr>
            <w:tcW w:w="740" w:type="dxa"/>
            <w:vAlign w:val="bottom"/>
            <w:gridSpan w:val="2"/>
          </w:tcPr>
          <w:p>
            <w:pPr>
              <w:jc w:val="right"/>
              <w:ind w:right="160"/>
              <w:spacing w:after="0"/>
              <w:rPr>
                <w:sz w:val="20"/>
                <w:szCs w:val="20"/>
                <w:color w:val="auto"/>
              </w:rPr>
            </w:pPr>
            <w:r>
              <w:rPr>
                <w:rFonts w:ascii="Arial" w:cs="Arial" w:eastAsia="Arial" w:hAnsi="Arial"/>
                <w:sz w:val="14"/>
                <w:szCs w:val="14"/>
                <w:color w:val="auto"/>
              </w:rPr>
              <w:t>(33)</w:t>
            </w:r>
          </w:p>
        </w:tc>
        <w:tc>
          <w:tcPr>
            <w:tcW w:w="620" w:type="dxa"/>
            <w:vAlign w:val="bottom"/>
          </w:tcPr>
          <w:p>
            <w:pPr>
              <w:jc w:val="right"/>
              <w:spacing w:after="0"/>
              <w:rPr>
                <w:sz w:val="20"/>
                <w:szCs w:val="20"/>
                <w:color w:val="auto"/>
              </w:rPr>
            </w:pPr>
            <w:r>
              <w:rPr>
                <w:rFonts w:ascii="Arial" w:cs="Arial" w:eastAsia="Arial" w:hAnsi="Arial"/>
                <w:sz w:val="14"/>
                <w:szCs w:val="14"/>
                <w:color w:val="auto"/>
              </w:rPr>
              <w:t>(6)</w:t>
            </w:r>
          </w:p>
        </w:tc>
        <w:tc>
          <w:tcPr>
            <w:tcW w:w="80" w:type="dxa"/>
            <w:vAlign w:val="bottom"/>
          </w:tcPr>
          <w:p>
            <w:pPr>
              <w:spacing w:after="0"/>
              <w:rPr>
                <w:sz w:val="14"/>
                <w:szCs w:val="14"/>
                <w:color w:val="auto"/>
              </w:rPr>
            </w:pPr>
          </w:p>
        </w:tc>
        <w:tc>
          <w:tcPr>
            <w:tcW w:w="780" w:type="dxa"/>
            <w:vAlign w:val="bottom"/>
            <w:gridSpan w:val="2"/>
          </w:tcPr>
          <w:p>
            <w:pPr>
              <w:jc w:val="right"/>
              <w:ind w:right="89"/>
              <w:spacing w:after="0"/>
              <w:rPr>
                <w:sz w:val="20"/>
                <w:szCs w:val="20"/>
                <w:color w:val="auto"/>
              </w:rPr>
            </w:pPr>
            <w:r>
              <w:rPr>
                <w:rFonts w:ascii="Arial" w:cs="Arial" w:eastAsia="Arial" w:hAnsi="Arial"/>
                <w:sz w:val="14"/>
                <w:szCs w:val="14"/>
                <w:color w:val="auto"/>
              </w:rPr>
              <w:t>(1)</w:t>
            </w:r>
          </w:p>
        </w:tc>
        <w:tc>
          <w:tcPr>
            <w:tcW w:w="800" w:type="dxa"/>
            <w:vAlign w:val="bottom"/>
          </w:tcPr>
          <w:p>
            <w:pPr>
              <w:jc w:val="right"/>
              <w:ind w:right="69"/>
              <w:spacing w:after="0"/>
              <w:rPr>
                <w:sz w:val="20"/>
                <w:szCs w:val="20"/>
                <w:color w:val="auto"/>
              </w:rPr>
            </w:pPr>
            <w:r>
              <w:rPr>
                <w:rFonts w:ascii="Arial" w:cs="Arial" w:eastAsia="Arial" w:hAnsi="Arial"/>
                <w:sz w:val="14"/>
                <w:szCs w:val="14"/>
                <w:color w:val="auto"/>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14"/>
                <w:szCs w:val="14"/>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660" w:type="dxa"/>
            <w:vAlign w:val="bottom"/>
          </w:tcPr>
          <w:p>
            <w:pPr>
              <w:jc w:val="right"/>
              <w:ind w:right="30"/>
              <w:spacing w:after="0"/>
              <w:rPr>
                <w:sz w:val="20"/>
                <w:szCs w:val="20"/>
                <w:color w:val="auto"/>
              </w:rPr>
            </w:pPr>
            <w:r>
              <w:rPr>
                <w:rFonts w:ascii="Arial" w:cs="Arial" w:eastAsia="Arial" w:hAnsi="Arial"/>
                <w:sz w:val="14"/>
                <w:szCs w:val="14"/>
                <w:color w:val="auto"/>
              </w:rPr>
              <w:t>(64)</w:t>
            </w:r>
          </w:p>
        </w:tc>
        <w:tc>
          <w:tcPr>
            <w:tcW w:w="740" w:type="dxa"/>
            <w:vAlign w:val="bottom"/>
          </w:tcPr>
          <w:p>
            <w:pPr>
              <w:jc w:val="right"/>
              <w:ind w:right="69"/>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(1)</w:t>
            </w:r>
          </w:p>
        </w:tc>
        <w:tc>
          <w:tcPr>
            <w:tcW w:w="660" w:type="dxa"/>
            <w:vAlign w:val="bottom"/>
          </w:tcPr>
          <w:p>
            <w:pPr>
              <w:jc w:val="right"/>
              <w:spacing w:after="0"/>
              <w:rPr>
                <w:sz w:val="20"/>
                <w:szCs w:val="20"/>
                <w:color w:val="auto"/>
              </w:rPr>
            </w:pPr>
            <w:r>
              <w:rPr>
                <w:rFonts w:ascii="Arial" w:cs="Arial" w:eastAsia="Arial" w:hAnsi="Arial"/>
                <w:sz w:val="14"/>
                <w:szCs w:val="14"/>
                <w:color w:val="auto"/>
              </w:rPr>
              <w:t>(65)</w:t>
            </w:r>
          </w:p>
        </w:tc>
        <w:tc>
          <w:tcPr>
            <w:tcW w:w="0" w:type="dxa"/>
            <w:vAlign w:val="bottom"/>
          </w:tcPr>
          <w:p>
            <w:pPr>
              <w:spacing w:after="0"/>
              <w:rPr>
                <w:sz w:val="1"/>
                <w:szCs w:val="1"/>
                <w:color w:val="auto"/>
              </w:rPr>
            </w:pPr>
          </w:p>
        </w:tc>
      </w:tr>
      <w:tr>
        <w:trPr>
          <w:trHeight w:val="157"/>
        </w:trPr>
        <w:tc>
          <w:tcPr>
            <w:tcW w:w="1880" w:type="dxa"/>
            <w:vAlign w:val="bottom"/>
            <w:tcBorders>
              <w:bottom w:val="single" w:sz="8" w:color="auto"/>
            </w:tcBorders>
            <w:gridSpan w:val="2"/>
          </w:tcPr>
          <w:p>
            <w:pPr>
              <w:ind w:left="140"/>
              <w:spacing w:after="0" w:line="157" w:lineRule="exact"/>
              <w:rPr>
                <w:sz w:val="20"/>
                <w:szCs w:val="20"/>
                <w:color w:val="auto"/>
              </w:rPr>
            </w:pPr>
            <w:r>
              <w:rPr>
                <w:rFonts w:ascii="Arial" w:cs="Arial" w:eastAsia="Arial" w:hAnsi="Arial"/>
                <w:sz w:val="14"/>
                <w:szCs w:val="14"/>
                <w:color w:val="auto"/>
              </w:rPr>
              <w:t>Production [A]</w:t>
            </w:r>
          </w:p>
        </w:tc>
        <w:tc>
          <w:tcPr>
            <w:tcW w:w="740" w:type="dxa"/>
            <w:vAlign w:val="bottom"/>
            <w:tcBorders>
              <w:bottom w:val="single" w:sz="8" w:color="auto"/>
            </w:tcBorders>
            <w:gridSpan w:val="2"/>
          </w:tcPr>
          <w:p>
            <w:pPr>
              <w:jc w:val="right"/>
              <w:ind w:right="160"/>
              <w:spacing w:after="0" w:line="157" w:lineRule="exact"/>
              <w:rPr>
                <w:sz w:val="20"/>
                <w:szCs w:val="20"/>
                <w:color w:val="auto"/>
              </w:rPr>
            </w:pPr>
            <w:r>
              <w:rPr>
                <w:rFonts w:ascii="Arial" w:cs="Arial" w:eastAsia="Arial" w:hAnsi="Arial"/>
                <w:sz w:val="14"/>
                <w:szCs w:val="14"/>
                <w:color w:val="auto"/>
              </w:rPr>
              <w:t>(78)</w:t>
            </w:r>
          </w:p>
        </w:tc>
        <w:tc>
          <w:tcPr>
            <w:tcW w:w="760" w:type="dxa"/>
            <w:vAlign w:val="bottom"/>
            <w:tcBorders>
              <w:bottom w:val="single" w:sz="8" w:color="auto"/>
            </w:tcBorders>
            <w:gridSpan w:val="2"/>
          </w:tcPr>
          <w:p>
            <w:pPr>
              <w:jc w:val="right"/>
              <w:ind w:right="180"/>
              <w:spacing w:after="0" w:line="157" w:lineRule="exact"/>
              <w:rPr>
                <w:sz w:val="20"/>
                <w:szCs w:val="20"/>
                <w:color w:val="auto"/>
              </w:rPr>
            </w:pPr>
            <w:r>
              <w:rPr>
                <w:rFonts w:ascii="Arial" w:cs="Arial" w:eastAsia="Arial" w:hAnsi="Arial"/>
                <w:sz w:val="14"/>
                <w:szCs w:val="14"/>
                <w:color w:val="auto"/>
              </w:rPr>
              <w:t>(112)</w:t>
            </w:r>
          </w:p>
        </w:tc>
        <w:tc>
          <w:tcPr>
            <w:tcW w:w="760" w:type="dxa"/>
            <w:vAlign w:val="bottom"/>
            <w:tcBorders>
              <w:bottom w:val="single" w:sz="8" w:color="auto"/>
            </w:tcBorders>
            <w:gridSpan w:val="2"/>
          </w:tcPr>
          <w:p>
            <w:pPr>
              <w:jc w:val="right"/>
              <w:ind w:right="160"/>
              <w:spacing w:after="0" w:line="157" w:lineRule="exact"/>
              <w:rPr>
                <w:sz w:val="20"/>
                <w:szCs w:val="20"/>
                <w:color w:val="auto"/>
              </w:rPr>
            </w:pPr>
            <w:r>
              <w:rPr>
                <w:rFonts w:ascii="Arial" w:cs="Arial" w:eastAsia="Arial" w:hAnsi="Arial"/>
                <w:sz w:val="14"/>
                <w:szCs w:val="14"/>
                <w:color w:val="auto"/>
              </w:rPr>
              <w:t>(10)</w:t>
            </w:r>
          </w:p>
        </w:tc>
        <w:tc>
          <w:tcPr>
            <w:tcW w:w="740" w:type="dxa"/>
            <w:vAlign w:val="bottom"/>
            <w:tcBorders>
              <w:bottom w:val="single" w:sz="8" w:color="auto"/>
            </w:tcBorders>
            <w:gridSpan w:val="2"/>
          </w:tcPr>
          <w:p>
            <w:pPr>
              <w:jc w:val="right"/>
              <w:ind w:right="160"/>
              <w:spacing w:after="0" w:line="157" w:lineRule="exact"/>
              <w:rPr>
                <w:sz w:val="20"/>
                <w:szCs w:val="20"/>
                <w:color w:val="auto"/>
              </w:rPr>
            </w:pPr>
            <w:r>
              <w:rPr>
                <w:rFonts w:ascii="Arial" w:cs="Arial" w:eastAsia="Arial" w:hAnsi="Arial"/>
                <w:sz w:val="14"/>
                <w:szCs w:val="14"/>
                <w:color w:val="auto"/>
              </w:rPr>
              <w:t>(106)</w:t>
            </w:r>
          </w:p>
        </w:tc>
        <w:tc>
          <w:tcPr>
            <w:tcW w:w="620" w:type="dxa"/>
            <w:vAlign w:val="bottom"/>
            <w:tcBorders>
              <w:bottom w:val="single" w:sz="8" w:color="auto"/>
            </w:tcBorders>
          </w:tcPr>
          <w:p>
            <w:pPr>
              <w:jc w:val="right"/>
              <w:spacing w:after="0" w:line="157" w:lineRule="exact"/>
              <w:rPr>
                <w:sz w:val="20"/>
                <w:szCs w:val="20"/>
                <w:color w:val="auto"/>
              </w:rPr>
            </w:pPr>
            <w:r>
              <w:rPr>
                <w:rFonts w:ascii="Arial" w:cs="Arial" w:eastAsia="Arial" w:hAnsi="Arial"/>
                <w:sz w:val="14"/>
                <w:szCs w:val="14"/>
                <w:color w:val="auto"/>
              </w:rPr>
              <w:t>(57)</w:t>
            </w:r>
          </w:p>
        </w:tc>
        <w:tc>
          <w:tcPr>
            <w:tcW w:w="8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gridSpan w:val="2"/>
          </w:tcPr>
          <w:p>
            <w:pPr>
              <w:jc w:val="right"/>
              <w:ind w:right="89"/>
              <w:spacing w:after="0" w:line="157" w:lineRule="exact"/>
              <w:rPr>
                <w:sz w:val="20"/>
                <w:szCs w:val="20"/>
                <w:color w:val="auto"/>
              </w:rPr>
            </w:pPr>
            <w:r>
              <w:rPr>
                <w:rFonts w:ascii="Arial" w:cs="Arial" w:eastAsia="Arial" w:hAnsi="Arial"/>
                <w:sz w:val="14"/>
                <w:szCs w:val="14"/>
                <w:color w:val="auto"/>
              </w:rPr>
              <w:t>(5)</w:t>
            </w:r>
          </w:p>
        </w:tc>
        <w:tc>
          <w:tcPr>
            <w:tcW w:w="800" w:type="dxa"/>
            <w:vAlign w:val="bottom"/>
            <w:tcBorders>
              <w:bottom w:val="single" w:sz="8" w:color="auto"/>
            </w:tcBorders>
          </w:tcPr>
          <w:p>
            <w:pPr>
              <w:jc w:val="right"/>
              <w:ind w:right="29"/>
              <w:spacing w:after="0" w:line="157" w:lineRule="exact"/>
              <w:rPr>
                <w:sz w:val="20"/>
                <w:szCs w:val="20"/>
                <w:color w:val="auto"/>
              </w:rPr>
            </w:pPr>
            <w:r>
              <w:rPr>
                <w:rFonts w:ascii="Arial" w:cs="Arial" w:eastAsia="Arial" w:hAnsi="Arial"/>
                <w:sz w:val="14"/>
                <w:szCs w:val="14"/>
                <w:color w:val="auto"/>
              </w:rPr>
              <w:t>(48)</w:t>
            </w:r>
          </w:p>
        </w:tc>
        <w:tc>
          <w:tcPr>
            <w:tcW w:w="640" w:type="dxa"/>
            <w:vAlign w:val="bottom"/>
            <w:tcBorders>
              <w:bottom w:val="single" w:sz="8" w:color="auto"/>
            </w:tcBorders>
          </w:tcPr>
          <w:p>
            <w:pPr>
              <w:jc w:val="right"/>
              <w:spacing w:after="0" w:line="157" w:lineRule="exact"/>
              <w:rPr>
                <w:sz w:val="20"/>
                <w:szCs w:val="20"/>
                <w:color w:val="auto"/>
              </w:rPr>
            </w:pPr>
            <w:r>
              <w:rPr>
                <w:rFonts w:ascii="Arial" w:cs="Arial" w:eastAsia="Arial" w:hAnsi="Arial"/>
                <w:sz w:val="14"/>
                <w:szCs w:val="14"/>
                <w:color w:val="auto"/>
              </w:rPr>
              <w:t>(7)</w:t>
            </w:r>
          </w:p>
        </w:tc>
        <w:tc>
          <w:tcPr>
            <w:tcW w:w="900" w:type="dxa"/>
            <w:vAlign w:val="bottom"/>
            <w:tcBorders>
              <w:bottom w:val="single" w:sz="8" w:color="auto"/>
            </w:tcBorders>
            <w:gridSpan w:val="3"/>
          </w:tcPr>
          <w:p>
            <w:pPr>
              <w:jc w:val="right"/>
              <w:ind w:right="180"/>
              <w:spacing w:after="0" w:line="157" w:lineRule="exact"/>
              <w:rPr>
                <w:sz w:val="20"/>
                <w:szCs w:val="20"/>
                <w:color w:val="auto"/>
              </w:rPr>
            </w:pPr>
            <w:r>
              <w:rPr>
                <w:rFonts w:ascii="Arial" w:cs="Arial" w:eastAsia="Arial" w:hAnsi="Arial"/>
                <w:sz w:val="14"/>
                <w:szCs w:val="14"/>
                <w:color w:val="auto"/>
              </w:rPr>
              <w:t>(13)</w:t>
            </w:r>
          </w:p>
        </w:tc>
        <w:tc>
          <w:tcPr>
            <w:tcW w:w="660" w:type="dxa"/>
            <w:vAlign w:val="bottom"/>
            <w:tcBorders>
              <w:bottom w:val="single" w:sz="8" w:color="auto"/>
            </w:tcBorders>
          </w:tcPr>
          <w:p>
            <w:pPr>
              <w:jc w:val="right"/>
              <w:ind w:right="30"/>
              <w:spacing w:after="0" w:line="157" w:lineRule="exact"/>
              <w:rPr>
                <w:sz w:val="20"/>
                <w:szCs w:val="20"/>
                <w:color w:val="auto"/>
              </w:rPr>
            </w:pPr>
            <w:r>
              <w:rPr>
                <w:rFonts w:ascii="Arial" w:cs="Arial" w:eastAsia="Arial" w:hAnsi="Arial"/>
                <w:sz w:val="14"/>
                <w:szCs w:val="14"/>
                <w:color w:val="auto"/>
              </w:rPr>
              <w:t>(381)</w:t>
            </w:r>
          </w:p>
        </w:tc>
        <w:tc>
          <w:tcPr>
            <w:tcW w:w="740" w:type="dxa"/>
            <w:vAlign w:val="bottom"/>
            <w:tcBorders>
              <w:bottom w:val="single" w:sz="8" w:color="auto"/>
            </w:tcBorders>
          </w:tcPr>
          <w:p>
            <w:pPr>
              <w:jc w:val="right"/>
              <w:ind w:right="29"/>
              <w:spacing w:after="0" w:line="157" w:lineRule="exact"/>
              <w:rPr>
                <w:sz w:val="20"/>
                <w:szCs w:val="20"/>
                <w:color w:val="auto"/>
              </w:rPr>
            </w:pPr>
            <w:r>
              <w:rPr>
                <w:rFonts w:ascii="Arial" w:cs="Arial" w:eastAsia="Arial" w:hAnsi="Arial"/>
                <w:sz w:val="14"/>
                <w:szCs w:val="14"/>
                <w:color w:val="auto"/>
              </w:rPr>
              <w:t>(48)</w:t>
            </w:r>
          </w:p>
        </w:tc>
        <w:tc>
          <w:tcPr>
            <w:tcW w:w="660" w:type="dxa"/>
            <w:vAlign w:val="bottom"/>
            <w:tcBorders>
              <w:bottom w:val="single" w:sz="8" w:color="auto"/>
            </w:tcBorders>
          </w:tcPr>
          <w:p>
            <w:pPr>
              <w:jc w:val="right"/>
              <w:spacing w:after="0" w:line="157" w:lineRule="exact"/>
              <w:rPr>
                <w:sz w:val="20"/>
                <w:szCs w:val="20"/>
                <w:color w:val="auto"/>
              </w:rPr>
            </w:pPr>
            <w:r>
              <w:rPr>
                <w:rFonts w:ascii="Arial" w:cs="Arial" w:eastAsia="Arial" w:hAnsi="Arial"/>
                <w:sz w:val="14"/>
                <w:szCs w:val="14"/>
                <w:color w:val="auto"/>
              </w:rPr>
              <w:t>(7)</w:t>
            </w:r>
          </w:p>
        </w:tc>
        <w:tc>
          <w:tcPr>
            <w:tcW w:w="660" w:type="dxa"/>
            <w:vAlign w:val="bottom"/>
            <w:tcBorders>
              <w:bottom w:val="single" w:sz="8" w:color="auto"/>
            </w:tcBorders>
          </w:tcPr>
          <w:p>
            <w:pPr>
              <w:jc w:val="right"/>
              <w:spacing w:after="0" w:line="157" w:lineRule="exact"/>
              <w:rPr>
                <w:sz w:val="20"/>
                <w:szCs w:val="20"/>
                <w:color w:val="auto"/>
              </w:rPr>
            </w:pPr>
            <w:r>
              <w:rPr>
                <w:rFonts w:ascii="Arial" w:cs="Arial" w:eastAsia="Arial" w:hAnsi="Arial"/>
                <w:sz w:val="14"/>
                <w:szCs w:val="14"/>
                <w:color w:val="auto"/>
              </w:rPr>
              <w:t>(436)</w:t>
            </w:r>
          </w:p>
        </w:tc>
        <w:tc>
          <w:tcPr>
            <w:tcW w:w="0" w:type="dxa"/>
            <w:vAlign w:val="bottom"/>
          </w:tcPr>
          <w:p>
            <w:pPr>
              <w:spacing w:after="0"/>
              <w:rPr>
                <w:sz w:val="1"/>
                <w:szCs w:val="1"/>
                <w:color w:val="auto"/>
              </w:rPr>
            </w:pPr>
          </w:p>
        </w:tc>
      </w:tr>
      <w:tr>
        <w:trPr>
          <w:trHeight w:val="156"/>
        </w:trPr>
        <w:tc>
          <w:tcPr>
            <w:tcW w:w="1880" w:type="dxa"/>
            <w:vAlign w:val="bottom"/>
            <w:tcBorders>
              <w:bottom w:val="single" w:sz="8" w:color="auto"/>
            </w:tcBorders>
            <w:gridSpan w:val="2"/>
          </w:tcPr>
          <w:p>
            <w:pPr>
              <w:ind w:left="140"/>
              <w:spacing w:after="0" w:line="155" w:lineRule="exact"/>
              <w:rPr>
                <w:sz w:val="20"/>
                <w:szCs w:val="20"/>
                <w:color w:val="auto"/>
              </w:rPr>
            </w:pPr>
            <w:r>
              <w:rPr>
                <w:rFonts w:ascii="Arial" w:cs="Arial" w:eastAsia="Arial" w:hAnsi="Arial"/>
                <w:sz w:val="14"/>
                <w:szCs w:val="14"/>
                <w:color w:val="auto"/>
              </w:rPr>
              <w:t>At December 31</w:t>
            </w:r>
          </w:p>
        </w:tc>
        <w:tc>
          <w:tcPr>
            <w:tcW w:w="740" w:type="dxa"/>
            <w:vAlign w:val="bottom"/>
            <w:tcBorders>
              <w:bottom w:val="single" w:sz="8" w:color="auto"/>
            </w:tcBorders>
            <w:gridSpan w:val="2"/>
          </w:tcPr>
          <w:p>
            <w:pPr>
              <w:jc w:val="right"/>
              <w:ind w:right="200"/>
              <w:spacing w:after="0" w:line="155" w:lineRule="exact"/>
              <w:rPr>
                <w:sz w:val="20"/>
                <w:szCs w:val="20"/>
                <w:color w:val="auto"/>
              </w:rPr>
            </w:pPr>
            <w:r>
              <w:rPr>
                <w:rFonts w:ascii="Arial" w:cs="Arial" w:eastAsia="Arial" w:hAnsi="Arial"/>
                <w:sz w:val="14"/>
                <w:szCs w:val="14"/>
                <w:color w:val="auto"/>
              </w:rPr>
              <w:t>769</w:t>
            </w:r>
          </w:p>
        </w:tc>
        <w:tc>
          <w:tcPr>
            <w:tcW w:w="760" w:type="dxa"/>
            <w:vAlign w:val="bottom"/>
            <w:tcBorders>
              <w:bottom w:val="single" w:sz="8" w:color="auto"/>
            </w:tcBorders>
            <w:gridSpan w:val="2"/>
          </w:tcPr>
          <w:p>
            <w:pPr>
              <w:jc w:val="right"/>
              <w:ind w:right="220"/>
              <w:spacing w:after="0" w:line="155" w:lineRule="exact"/>
              <w:rPr>
                <w:sz w:val="20"/>
                <w:szCs w:val="20"/>
                <w:color w:val="auto"/>
              </w:rPr>
            </w:pPr>
            <w:r>
              <w:rPr>
                <w:rFonts w:ascii="Arial" w:cs="Arial" w:eastAsia="Arial" w:hAnsi="Arial"/>
                <w:sz w:val="14"/>
                <w:szCs w:val="14"/>
                <w:color w:val="auto"/>
              </w:rPr>
              <w:t>1,191</w:t>
            </w:r>
          </w:p>
        </w:tc>
        <w:tc>
          <w:tcPr>
            <w:tcW w:w="760" w:type="dxa"/>
            <w:vAlign w:val="bottom"/>
            <w:tcBorders>
              <w:bottom w:val="single" w:sz="8" w:color="auto"/>
            </w:tcBorders>
            <w:gridSpan w:val="2"/>
          </w:tcPr>
          <w:p>
            <w:pPr>
              <w:jc w:val="right"/>
              <w:ind w:right="220"/>
              <w:spacing w:after="0" w:line="155" w:lineRule="exact"/>
              <w:rPr>
                <w:sz w:val="20"/>
                <w:szCs w:val="20"/>
                <w:color w:val="auto"/>
              </w:rPr>
            </w:pPr>
            <w:r>
              <w:rPr>
                <w:rFonts w:ascii="Arial" w:cs="Arial" w:eastAsia="Arial" w:hAnsi="Arial"/>
                <w:sz w:val="14"/>
                <w:szCs w:val="14"/>
                <w:color w:val="auto"/>
              </w:rPr>
              <w:t>146</w:t>
            </w:r>
          </w:p>
        </w:tc>
        <w:tc>
          <w:tcPr>
            <w:tcW w:w="740" w:type="dxa"/>
            <w:vAlign w:val="bottom"/>
            <w:tcBorders>
              <w:bottom w:val="single" w:sz="8" w:color="auto"/>
            </w:tcBorders>
            <w:gridSpan w:val="2"/>
          </w:tcPr>
          <w:p>
            <w:pPr>
              <w:jc w:val="right"/>
              <w:ind w:right="220"/>
              <w:spacing w:after="0" w:line="155" w:lineRule="exact"/>
              <w:rPr>
                <w:sz w:val="20"/>
                <w:szCs w:val="20"/>
                <w:color w:val="auto"/>
              </w:rPr>
            </w:pPr>
            <w:r>
              <w:rPr>
                <w:rFonts w:ascii="Arial" w:cs="Arial" w:eastAsia="Arial" w:hAnsi="Arial"/>
                <w:sz w:val="14"/>
                <w:szCs w:val="14"/>
                <w:color w:val="auto"/>
              </w:rPr>
              <w:t>688</w:t>
            </w:r>
          </w:p>
        </w:tc>
        <w:tc>
          <w:tcPr>
            <w:tcW w:w="620" w:type="dxa"/>
            <w:vAlign w:val="bottom"/>
            <w:tcBorders>
              <w:bottom w:val="single" w:sz="8" w:color="auto"/>
            </w:tcBorders>
          </w:tcPr>
          <w:p>
            <w:pPr>
              <w:jc w:val="right"/>
              <w:ind w:right="9"/>
              <w:spacing w:after="0" w:line="155" w:lineRule="exact"/>
              <w:rPr>
                <w:sz w:val="20"/>
                <w:szCs w:val="20"/>
                <w:color w:val="auto"/>
              </w:rPr>
            </w:pPr>
            <w:r>
              <w:rPr>
                <w:rFonts w:ascii="Arial" w:cs="Arial" w:eastAsia="Arial" w:hAnsi="Arial"/>
                <w:sz w:val="14"/>
                <w:szCs w:val="14"/>
                <w:color w:val="auto"/>
              </w:rPr>
              <w:t>609</w:t>
            </w:r>
          </w:p>
        </w:tc>
        <w:tc>
          <w:tcPr>
            <w:tcW w:w="8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gridSpan w:val="2"/>
          </w:tcPr>
          <w:p>
            <w:pPr>
              <w:jc w:val="right"/>
              <w:ind w:right="129"/>
              <w:spacing w:after="0" w:line="155" w:lineRule="exact"/>
              <w:rPr>
                <w:sz w:val="20"/>
                <w:szCs w:val="20"/>
                <w:color w:val="auto"/>
              </w:rPr>
            </w:pPr>
            <w:r>
              <w:rPr>
                <w:rFonts w:ascii="Arial" w:cs="Arial" w:eastAsia="Arial" w:hAnsi="Arial"/>
                <w:sz w:val="14"/>
                <w:szCs w:val="14"/>
                <w:color w:val="auto"/>
              </w:rPr>
              <w:t>33</w:t>
            </w:r>
          </w:p>
        </w:tc>
        <w:tc>
          <w:tcPr>
            <w:tcW w:w="800" w:type="dxa"/>
            <w:vAlign w:val="bottom"/>
            <w:tcBorders>
              <w:bottom w:val="single" w:sz="8" w:color="auto"/>
            </w:tcBorders>
          </w:tcPr>
          <w:p>
            <w:pPr>
              <w:jc w:val="right"/>
              <w:ind w:right="69"/>
              <w:spacing w:after="0" w:line="155" w:lineRule="exact"/>
              <w:rPr>
                <w:sz w:val="20"/>
                <w:szCs w:val="20"/>
                <w:color w:val="auto"/>
              </w:rPr>
            </w:pPr>
            <w:r>
              <w:rPr>
                <w:rFonts w:ascii="Arial" w:cs="Arial" w:eastAsia="Arial" w:hAnsi="Arial"/>
                <w:sz w:val="14"/>
                <w:szCs w:val="14"/>
                <w:color w:val="auto"/>
              </w:rPr>
              <w:t>1,763</w:t>
            </w:r>
          </w:p>
        </w:tc>
        <w:tc>
          <w:tcPr>
            <w:tcW w:w="640" w:type="dxa"/>
            <w:vAlign w:val="bottom"/>
            <w:tcBorders>
              <w:bottom w:val="single" w:sz="8" w:color="auto"/>
            </w:tcBorders>
          </w:tcPr>
          <w:p>
            <w:pPr>
              <w:jc w:val="right"/>
              <w:ind w:right="29"/>
              <w:spacing w:after="0" w:line="155" w:lineRule="exact"/>
              <w:rPr>
                <w:sz w:val="20"/>
                <w:szCs w:val="20"/>
                <w:color w:val="auto"/>
              </w:rPr>
            </w:pPr>
            <w:r>
              <w:rPr>
                <w:rFonts w:ascii="Arial" w:cs="Arial" w:eastAsia="Arial" w:hAnsi="Arial"/>
                <w:sz w:val="14"/>
                <w:szCs w:val="14"/>
                <w:color w:val="auto"/>
              </w:rPr>
              <w:t>49</w:t>
            </w:r>
          </w:p>
        </w:tc>
        <w:tc>
          <w:tcPr>
            <w:tcW w:w="900" w:type="dxa"/>
            <w:vAlign w:val="bottom"/>
            <w:tcBorders>
              <w:bottom w:val="single" w:sz="8" w:color="auto"/>
            </w:tcBorders>
            <w:gridSpan w:val="3"/>
          </w:tcPr>
          <w:p>
            <w:pPr>
              <w:jc w:val="right"/>
              <w:ind w:right="220"/>
              <w:spacing w:after="0" w:line="155" w:lineRule="exact"/>
              <w:rPr>
                <w:sz w:val="20"/>
                <w:szCs w:val="20"/>
                <w:color w:val="auto"/>
              </w:rPr>
            </w:pPr>
            <w:r>
              <w:rPr>
                <w:rFonts w:ascii="Arial" w:cs="Arial" w:eastAsia="Arial" w:hAnsi="Arial"/>
                <w:sz w:val="14"/>
                <w:szCs w:val="14"/>
                <w:color w:val="auto"/>
              </w:rPr>
              <w:t>69</w:t>
            </w:r>
          </w:p>
        </w:tc>
        <w:tc>
          <w:tcPr>
            <w:tcW w:w="660" w:type="dxa"/>
            <w:vAlign w:val="bottom"/>
            <w:tcBorders>
              <w:bottom w:val="single" w:sz="8" w:color="auto"/>
            </w:tcBorders>
          </w:tcPr>
          <w:p>
            <w:pPr>
              <w:jc w:val="right"/>
              <w:ind w:right="70"/>
              <w:spacing w:after="0" w:line="155" w:lineRule="exact"/>
              <w:rPr>
                <w:sz w:val="20"/>
                <w:szCs w:val="20"/>
                <w:color w:val="auto"/>
              </w:rPr>
            </w:pPr>
            <w:r>
              <w:rPr>
                <w:rFonts w:ascii="Arial" w:cs="Arial" w:eastAsia="Arial" w:hAnsi="Arial"/>
                <w:sz w:val="14"/>
                <w:szCs w:val="14"/>
                <w:color w:val="auto"/>
              </w:rPr>
              <w:t>3,505</w:t>
            </w:r>
          </w:p>
        </w:tc>
        <w:tc>
          <w:tcPr>
            <w:tcW w:w="740" w:type="dxa"/>
            <w:vAlign w:val="bottom"/>
            <w:tcBorders>
              <w:bottom w:val="single" w:sz="8" w:color="auto"/>
            </w:tcBorders>
          </w:tcPr>
          <w:p>
            <w:pPr>
              <w:jc w:val="right"/>
              <w:ind w:right="69"/>
              <w:spacing w:after="0" w:line="155" w:lineRule="exact"/>
              <w:rPr>
                <w:sz w:val="20"/>
                <w:szCs w:val="20"/>
                <w:color w:val="auto"/>
              </w:rPr>
            </w:pPr>
            <w:r>
              <w:rPr>
                <w:rFonts w:ascii="Arial" w:cs="Arial" w:eastAsia="Arial" w:hAnsi="Arial"/>
                <w:sz w:val="14"/>
                <w:szCs w:val="14"/>
                <w:color w:val="auto"/>
              </w:rPr>
              <w:t>1,763</w:t>
            </w:r>
          </w:p>
        </w:tc>
        <w:tc>
          <w:tcPr>
            <w:tcW w:w="660" w:type="dxa"/>
            <w:vAlign w:val="bottom"/>
            <w:tcBorders>
              <w:bottom w:val="single" w:sz="8" w:color="auto"/>
            </w:tcBorders>
          </w:tcPr>
          <w:p>
            <w:pPr>
              <w:jc w:val="right"/>
              <w:ind w:right="28"/>
              <w:spacing w:after="0" w:line="155" w:lineRule="exact"/>
              <w:rPr>
                <w:sz w:val="20"/>
                <w:szCs w:val="20"/>
                <w:color w:val="auto"/>
              </w:rPr>
            </w:pPr>
            <w:r>
              <w:rPr>
                <w:rFonts w:ascii="Arial" w:cs="Arial" w:eastAsia="Arial" w:hAnsi="Arial"/>
                <w:sz w:val="14"/>
                <w:szCs w:val="14"/>
                <w:color w:val="auto"/>
              </w:rPr>
              <w:t>49</w:t>
            </w:r>
          </w:p>
        </w:tc>
        <w:tc>
          <w:tcPr>
            <w:tcW w:w="660" w:type="dxa"/>
            <w:vAlign w:val="bottom"/>
            <w:tcBorders>
              <w:bottom w:val="single" w:sz="8" w:color="auto"/>
            </w:tcBorders>
          </w:tcPr>
          <w:p>
            <w:pPr>
              <w:jc w:val="right"/>
              <w:ind w:right="29"/>
              <w:spacing w:after="0" w:line="155" w:lineRule="exact"/>
              <w:rPr>
                <w:sz w:val="20"/>
                <w:szCs w:val="20"/>
                <w:color w:val="auto"/>
              </w:rPr>
            </w:pPr>
            <w:r>
              <w:rPr>
                <w:rFonts w:ascii="Arial" w:cs="Arial" w:eastAsia="Arial" w:hAnsi="Arial"/>
                <w:sz w:val="14"/>
                <w:szCs w:val="14"/>
                <w:color w:val="auto"/>
              </w:rPr>
              <w:t>5,317</w:t>
            </w:r>
          </w:p>
        </w:tc>
        <w:tc>
          <w:tcPr>
            <w:tcW w:w="0" w:type="dxa"/>
            <w:vAlign w:val="bottom"/>
          </w:tcPr>
          <w:p>
            <w:pPr>
              <w:spacing w:after="0"/>
              <w:rPr>
                <w:sz w:val="1"/>
                <w:szCs w:val="1"/>
                <w:color w:val="auto"/>
              </w:rPr>
            </w:pPr>
          </w:p>
        </w:tc>
      </w:tr>
      <w:tr>
        <w:trPr>
          <w:trHeight w:val="160"/>
        </w:trPr>
        <w:tc>
          <w:tcPr>
            <w:tcW w:w="1880" w:type="dxa"/>
            <w:vAlign w:val="bottom"/>
            <w:gridSpan w:val="2"/>
          </w:tcPr>
          <w:p>
            <w:pPr>
              <w:spacing w:after="0"/>
              <w:rPr>
                <w:sz w:val="20"/>
                <w:szCs w:val="20"/>
                <w:color w:val="auto"/>
              </w:rPr>
            </w:pPr>
            <w:r>
              <w:rPr>
                <w:rFonts w:ascii="Arial" w:cs="Arial" w:eastAsia="Arial" w:hAnsi="Arial"/>
                <w:sz w:val="14"/>
                <w:szCs w:val="14"/>
                <w:color w:val="auto"/>
              </w:rPr>
              <w:t>Shell share of joint ventures</w:t>
            </w:r>
          </w:p>
        </w:tc>
        <w:tc>
          <w:tcPr>
            <w:tcW w:w="5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1880" w:type="dxa"/>
            <w:vAlign w:val="bottom"/>
            <w:gridSpan w:val="2"/>
          </w:tcPr>
          <w:p>
            <w:pPr>
              <w:spacing w:after="0"/>
              <w:rPr>
                <w:sz w:val="20"/>
                <w:szCs w:val="20"/>
                <w:color w:val="auto"/>
              </w:rPr>
            </w:pPr>
            <w:r>
              <w:rPr>
                <w:rFonts w:ascii="Arial" w:cs="Arial" w:eastAsia="Arial" w:hAnsi="Arial"/>
                <w:sz w:val="14"/>
                <w:szCs w:val="14"/>
                <w:color w:val="auto"/>
              </w:rPr>
              <w:t>and associates</w:t>
            </w: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880" w:type="dxa"/>
            <w:vAlign w:val="bottom"/>
            <w:gridSpan w:val="2"/>
          </w:tcPr>
          <w:p>
            <w:pPr>
              <w:ind w:left="140"/>
              <w:spacing w:after="0"/>
              <w:rPr>
                <w:sz w:val="20"/>
                <w:szCs w:val="20"/>
                <w:color w:val="auto"/>
              </w:rPr>
            </w:pPr>
            <w:r>
              <w:rPr>
                <w:rFonts w:ascii="Arial" w:cs="Arial" w:eastAsia="Arial" w:hAnsi="Arial"/>
                <w:sz w:val="14"/>
                <w:szCs w:val="14"/>
                <w:color w:val="auto"/>
              </w:rPr>
              <w:t>At January 1</w:t>
            </w:r>
          </w:p>
        </w:tc>
        <w:tc>
          <w:tcPr>
            <w:tcW w:w="740" w:type="dxa"/>
            <w:vAlign w:val="bottom"/>
            <w:gridSpan w:val="2"/>
          </w:tcPr>
          <w:p>
            <w:pPr>
              <w:jc w:val="right"/>
              <w:ind w:right="200"/>
              <w:spacing w:after="0"/>
              <w:rPr>
                <w:sz w:val="20"/>
                <w:szCs w:val="20"/>
                <w:color w:val="auto"/>
              </w:rPr>
            </w:pPr>
            <w:r>
              <w:rPr>
                <w:rFonts w:ascii="Arial" w:cs="Arial" w:eastAsia="Arial" w:hAnsi="Arial"/>
                <w:sz w:val="14"/>
                <w:szCs w:val="14"/>
                <w:color w:val="auto"/>
              </w:rPr>
              <w:t>31</w:t>
            </w:r>
          </w:p>
        </w:tc>
        <w:tc>
          <w:tcPr>
            <w:tcW w:w="760" w:type="dxa"/>
            <w:vAlign w:val="bottom"/>
            <w:gridSpan w:val="2"/>
          </w:tcPr>
          <w:p>
            <w:pPr>
              <w:jc w:val="right"/>
              <w:ind w:right="220"/>
              <w:spacing w:after="0"/>
              <w:rPr>
                <w:sz w:val="20"/>
                <w:szCs w:val="20"/>
                <w:color w:val="auto"/>
              </w:rPr>
            </w:pPr>
            <w:r>
              <w:rPr>
                <w:rFonts w:ascii="Arial" w:cs="Arial" w:eastAsia="Arial" w:hAnsi="Arial"/>
                <w:sz w:val="14"/>
                <w:szCs w:val="14"/>
                <w:color w:val="auto"/>
              </w:rPr>
              <w:t>560</w:t>
            </w:r>
          </w:p>
        </w:tc>
        <w:tc>
          <w:tcPr>
            <w:tcW w:w="760" w:type="dxa"/>
            <w:vAlign w:val="bottom"/>
            <w:gridSpan w:val="2"/>
          </w:tcPr>
          <w:p>
            <w:pPr>
              <w:jc w:val="right"/>
              <w:ind w:right="220"/>
              <w:spacing w:after="0"/>
              <w:rPr>
                <w:sz w:val="20"/>
                <w:szCs w:val="20"/>
                <w:color w:val="auto"/>
              </w:rPr>
            </w:pPr>
            <w:r>
              <w:rPr>
                <w:rFonts w:ascii="Arial" w:cs="Arial" w:eastAsia="Arial" w:hAnsi="Arial"/>
                <w:sz w:val="14"/>
                <w:szCs w:val="14"/>
                <w:color w:val="auto"/>
              </w:rPr>
              <w:t>34</w:t>
            </w:r>
          </w:p>
        </w:tc>
        <w:tc>
          <w:tcPr>
            <w:tcW w:w="7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620" w:type="dxa"/>
            <w:vAlign w:val="bottom"/>
          </w:tcPr>
          <w:p>
            <w:pPr>
              <w:jc w:val="right"/>
              <w:ind w:right="9"/>
              <w:spacing w:after="0"/>
              <w:rPr>
                <w:sz w:val="20"/>
                <w:szCs w:val="20"/>
                <w:color w:val="auto"/>
              </w:rPr>
            </w:pPr>
            <w:r>
              <w:rPr>
                <w:rFonts w:ascii="Arial" w:cs="Arial" w:eastAsia="Arial" w:hAnsi="Arial"/>
                <w:sz w:val="14"/>
                <w:szCs w:val="14"/>
                <w:color w:val="auto"/>
              </w:rPr>
              <w:t>306</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jc w:val="right"/>
              <w:ind w:right="129"/>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69"/>
              <w:spacing w:after="0"/>
              <w:rPr>
                <w:sz w:val="20"/>
                <w:szCs w:val="20"/>
                <w:color w:val="auto"/>
              </w:rPr>
            </w:pPr>
            <w:r>
              <w:rPr>
                <w:rFonts w:ascii="Arial" w:cs="Arial" w:eastAsia="Arial" w:hAnsi="Arial"/>
                <w:sz w:val="14"/>
                <w:szCs w:val="14"/>
                <w:color w:val="auto"/>
              </w:rPr>
              <w:t>–</w:t>
            </w:r>
          </w:p>
        </w:tc>
        <w:tc>
          <w:tcPr>
            <w:tcW w:w="64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900" w:type="dxa"/>
            <w:vAlign w:val="bottom"/>
            <w:gridSpan w:val="3"/>
          </w:tcPr>
          <w:p>
            <w:pPr>
              <w:jc w:val="right"/>
              <w:ind w:right="220"/>
              <w:spacing w:after="0"/>
              <w:rPr>
                <w:sz w:val="20"/>
                <w:szCs w:val="20"/>
                <w:color w:val="auto"/>
              </w:rPr>
            </w:pPr>
            <w:r>
              <w:rPr>
                <w:rFonts w:ascii="Arial" w:cs="Arial" w:eastAsia="Arial" w:hAnsi="Arial"/>
                <w:sz w:val="14"/>
                <w:szCs w:val="14"/>
                <w:color w:val="auto"/>
              </w:rPr>
              <w:t>19</w:t>
            </w:r>
          </w:p>
        </w:tc>
        <w:tc>
          <w:tcPr>
            <w:tcW w:w="660" w:type="dxa"/>
            <w:vAlign w:val="bottom"/>
          </w:tcPr>
          <w:p>
            <w:pPr>
              <w:jc w:val="right"/>
              <w:ind w:right="70"/>
              <w:spacing w:after="0"/>
              <w:rPr>
                <w:sz w:val="20"/>
                <w:szCs w:val="20"/>
                <w:color w:val="auto"/>
              </w:rPr>
            </w:pPr>
            <w:r>
              <w:rPr>
                <w:rFonts w:ascii="Arial" w:cs="Arial" w:eastAsia="Arial" w:hAnsi="Arial"/>
                <w:sz w:val="14"/>
                <w:szCs w:val="14"/>
                <w:color w:val="auto"/>
              </w:rPr>
              <w:t>950</w:t>
            </w:r>
          </w:p>
        </w:tc>
        <w:tc>
          <w:tcPr>
            <w:tcW w:w="740" w:type="dxa"/>
            <w:vAlign w:val="bottom"/>
          </w:tcPr>
          <w:p>
            <w:pPr>
              <w:jc w:val="right"/>
              <w:ind w:right="69"/>
              <w:spacing w:after="0"/>
              <w:rPr>
                <w:sz w:val="20"/>
                <w:szCs w:val="20"/>
                <w:color w:val="auto"/>
              </w:rPr>
            </w:pPr>
            <w:r>
              <w:rPr>
                <w:rFonts w:ascii="Arial" w:cs="Arial" w:eastAsia="Arial" w:hAnsi="Arial"/>
                <w:sz w:val="14"/>
                <w:szCs w:val="14"/>
                <w:color w:val="auto"/>
              </w:rPr>
              <w:t>–</w:t>
            </w:r>
          </w:p>
        </w:tc>
        <w:tc>
          <w:tcPr>
            <w:tcW w:w="6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660" w:type="dxa"/>
            <w:vAlign w:val="bottom"/>
          </w:tcPr>
          <w:p>
            <w:pPr>
              <w:jc w:val="right"/>
              <w:ind w:right="29"/>
              <w:spacing w:after="0"/>
              <w:rPr>
                <w:sz w:val="20"/>
                <w:szCs w:val="20"/>
                <w:color w:val="auto"/>
              </w:rPr>
            </w:pPr>
            <w:r>
              <w:rPr>
                <w:rFonts w:ascii="Arial" w:cs="Arial" w:eastAsia="Arial" w:hAnsi="Arial"/>
                <w:sz w:val="14"/>
                <w:szCs w:val="14"/>
                <w:color w:val="auto"/>
              </w:rPr>
              <w:t>950</w:t>
            </w:r>
          </w:p>
        </w:tc>
        <w:tc>
          <w:tcPr>
            <w:tcW w:w="0" w:type="dxa"/>
            <w:vAlign w:val="bottom"/>
          </w:tcPr>
          <w:p>
            <w:pPr>
              <w:spacing w:after="0"/>
              <w:rPr>
                <w:sz w:val="1"/>
                <w:szCs w:val="1"/>
                <w:color w:val="auto"/>
              </w:rPr>
            </w:pPr>
          </w:p>
        </w:tc>
      </w:tr>
      <w:tr>
        <w:trPr>
          <w:trHeight w:val="162"/>
        </w:trPr>
        <w:tc>
          <w:tcPr>
            <w:tcW w:w="1880" w:type="dxa"/>
            <w:vAlign w:val="bottom"/>
            <w:gridSpan w:val="2"/>
          </w:tcPr>
          <w:p>
            <w:pPr>
              <w:ind w:left="140"/>
              <w:spacing w:after="0"/>
              <w:rPr>
                <w:sz w:val="20"/>
                <w:szCs w:val="20"/>
                <w:color w:val="auto"/>
              </w:rPr>
            </w:pPr>
            <w:r>
              <w:rPr>
                <w:rFonts w:ascii="Arial" w:cs="Arial" w:eastAsia="Arial" w:hAnsi="Arial"/>
                <w:sz w:val="14"/>
                <w:szCs w:val="14"/>
                <w:color w:val="auto"/>
              </w:rPr>
              <w:t>Revisions and</w:t>
            </w: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880" w:type="dxa"/>
            <w:vAlign w:val="bottom"/>
            <w:gridSpan w:val="2"/>
          </w:tcPr>
          <w:p>
            <w:pPr>
              <w:ind w:left="140"/>
              <w:spacing w:after="0"/>
              <w:rPr>
                <w:sz w:val="20"/>
                <w:szCs w:val="20"/>
                <w:color w:val="auto"/>
              </w:rPr>
            </w:pPr>
            <w:r>
              <w:rPr>
                <w:rFonts w:ascii="Arial" w:cs="Arial" w:eastAsia="Arial" w:hAnsi="Arial"/>
                <w:sz w:val="14"/>
                <w:szCs w:val="14"/>
                <w:color w:val="auto"/>
              </w:rPr>
              <w:t>reclassifications</w:t>
            </w:r>
          </w:p>
        </w:tc>
        <w:tc>
          <w:tcPr>
            <w:tcW w:w="740" w:type="dxa"/>
            <w:vAlign w:val="bottom"/>
            <w:gridSpan w:val="2"/>
          </w:tcPr>
          <w:p>
            <w:pPr>
              <w:jc w:val="right"/>
              <w:ind w:right="160"/>
              <w:spacing w:after="0"/>
              <w:rPr>
                <w:sz w:val="20"/>
                <w:szCs w:val="20"/>
                <w:color w:val="auto"/>
              </w:rPr>
            </w:pPr>
            <w:r>
              <w:rPr>
                <w:rFonts w:ascii="Arial" w:cs="Arial" w:eastAsia="Arial" w:hAnsi="Arial"/>
                <w:sz w:val="14"/>
                <w:szCs w:val="14"/>
                <w:color w:val="auto"/>
              </w:rPr>
              <w:t>(5)</w:t>
            </w:r>
          </w:p>
        </w:tc>
        <w:tc>
          <w:tcPr>
            <w:tcW w:w="760" w:type="dxa"/>
            <w:vAlign w:val="bottom"/>
            <w:gridSpan w:val="2"/>
          </w:tcPr>
          <w:p>
            <w:pPr>
              <w:jc w:val="right"/>
              <w:ind w:right="220"/>
              <w:spacing w:after="0"/>
              <w:rPr>
                <w:sz w:val="20"/>
                <w:szCs w:val="20"/>
                <w:color w:val="auto"/>
              </w:rPr>
            </w:pPr>
            <w:r>
              <w:rPr>
                <w:rFonts w:ascii="Arial" w:cs="Arial" w:eastAsia="Arial" w:hAnsi="Arial"/>
                <w:sz w:val="14"/>
                <w:szCs w:val="14"/>
                <w:color w:val="auto"/>
              </w:rPr>
              <w:t>79</w:t>
            </w:r>
          </w:p>
        </w:tc>
        <w:tc>
          <w:tcPr>
            <w:tcW w:w="760" w:type="dxa"/>
            <w:vAlign w:val="bottom"/>
            <w:gridSpan w:val="2"/>
          </w:tcPr>
          <w:p>
            <w:pPr>
              <w:jc w:val="right"/>
              <w:ind w:right="220"/>
              <w:spacing w:after="0"/>
              <w:rPr>
                <w:sz w:val="20"/>
                <w:szCs w:val="20"/>
                <w:color w:val="auto"/>
              </w:rPr>
            </w:pPr>
            <w:r>
              <w:rPr>
                <w:rFonts w:ascii="Arial" w:cs="Arial" w:eastAsia="Arial" w:hAnsi="Arial"/>
                <w:sz w:val="14"/>
                <w:szCs w:val="14"/>
                <w:color w:val="auto"/>
              </w:rPr>
              <w:t>1</w:t>
            </w:r>
          </w:p>
        </w:tc>
        <w:tc>
          <w:tcPr>
            <w:tcW w:w="7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620" w:type="dxa"/>
            <w:vAlign w:val="bottom"/>
          </w:tcPr>
          <w:p>
            <w:pPr>
              <w:jc w:val="right"/>
              <w:ind w:right="9"/>
              <w:spacing w:after="0"/>
              <w:rPr>
                <w:sz w:val="20"/>
                <w:szCs w:val="20"/>
                <w:color w:val="auto"/>
              </w:rPr>
            </w:pPr>
            <w:r>
              <w:rPr>
                <w:rFonts w:ascii="Arial" w:cs="Arial" w:eastAsia="Arial" w:hAnsi="Arial"/>
                <w:sz w:val="14"/>
                <w:szCs w:val="14"/>
                <w:color w:val="auto"/>
              </w:rPr>
              <w:t>10</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jc w:val="right"/>
              <w:ind w:right="129"/>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69"/>
              <w:spacing w:after="0"/>
              <w:rPr>
                <w:sz w:val="20"/>
                <w:szCs w:val="20"/>
                <w:color w:val="auto"/>
              </w:rPr>
            </w:pPr>
            <w:r>
              <w:rPr>
                <w:rFonts w:ascii="Arial" w:cs="Arial" w:eastAsia="Arial" w:hAnsi="Arial"/>
                <w:sz w:val="14"/>
                <w:szCs w:val="14"/>
                <w:color w:val="auto"/>
              </w:rPr>
              <w:t>–</w:t>
            </w:r>
          </w:p>
        </w:tc>
        <w:tc>
          <w:tcPr>
            <w:tcW w:w="64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680" w:type="dxa"/>
            <w:vAlign w:val="bottom"/>
            <w:gridSpan w:val="2"/>
          </w:tcPr>
          <w:p>
            <w:pPr>
              <w:jc w:val="right"/>
              <w:spacing w:after="0"/>
              <w:rPr>
                <w:sz w:val="20"/>
                <w:szCs w:val="20"/>
                <w:color w:val="auto"/>
              </w:rPr>
            </w:pPr>
            <w:r>
              <w:rPr>
                <w:rFonts w:ascii="Arial" w:cs="Arial" w:eastAsia="Arial" w:hAnsi="Arial"/>
                <w:sz w:val="14"/>
                <w:szCs w:val="14"/>
                <w:color w:val="auto"/>
              </w:rPr>
              <w:t>2</w:t>
            </w:r>
          </w:p>
        </w:tc>
        <w:tc>
          <w:tcPr>
            <w:tcW w:w="220" w:type="dxa"/>
            <w:vAlign w:val="bottom"/>
          </w:tcPr>
          <w:p>
            <w:pPr>
              <w:spacing w:after="0"/>
              <w:rPr>
                <w:sz w:val="14"/>
                <w:szCs w:val="14"/>
                <w:color w:val="auto"/>
              </w:rPr>
            </w:pPr>
          </w:p>
        </w:tc>
        <w:tc>
          <w:tcPr>
            <w:tcW w:w="660" w:type="dxa"/>
            <w:vAlign w:val="bottom"/>
          </w:tcPr>
          <w:p>
            <w:pPr>
              <w:jc w:val="right"/>
              <w:ind w:right="70"/>
              <w:spacing w:after="0"/>
              <w:rPr>
                <w:sz w:val="20"/>
                <w:szCs w:val="20"/>
                <w:color w:val="auto"/>
              </w:rPr>
            </w:pPr>
            <w:r>
              <w:rPr>
                <w:rFonts w:ascii="Arial" w:cs="Arial" w:eastAsia="Arial" w:hAnsi="Arial"/>
                <w:sz w:val="14"/>
                <w:szCs w:val="14"/>
                <w:color w:val="auto"/>
              </w:rPr>
              <w:t>87</w:t>
            </w:r>
          </w:p>
        </w:tc>
        <w:tc>
          <w:tcPr>
            <w:tcW w:w="740" w:type="dxa"/>
            <w:vAlign w:val="bottom"/>
          </w:tcPr>
          <w:p>
            <w:pPr>
              <w:jc w:val="right"/>
              <w:ind w:right="69"/>
              <w:spacing w:after="0"/>
              <w:rPr>
                <w:sz w:val="20"/>
                <w:szCs w:val="20"/>
                <w:color w:val="auto"/>
              </w:rPr>
            </w:pPr>
            <w:r>
              <w:rPr>
                <w:rFonts w:ascii="Arial" w:cs="Arial" w:eastAsia="Arial" w:hAnsi="Arial"/>
                <w:sz w:val="14"/>
                <w:szCs w:val="14"/>
                <w:color w:val="auto"/>
              </w:rPr>
              <w:t>–</w:t>
            </w:r>
          </w:p>
        </w:tc>
        <w:tc>
          <w:tcPr>
            <w:tcW w:w="6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660" w:type="dxa"/>
            <w:vAlign w:val="bottom"/>
          </w:tcPr>
          <w:p>
            <w:pPr>
              <w:jc w:val="right"/>
              <w:ind w:right="29"/>
              <w:spacing w:after="0"/>
              <w:rPr>
                <w:sz w:val="20"/>
                <w:szCs w:val="20"/>
                <w:color w:val="auto"/>
              </w:rPr>
            </w:pPr>
            <w:r>
              <w:rPr>
                <w:rFonts w:ascii="Arial" w:cs="Arial" w:eastAsia="Arial" w:hAnsi="Arial"/>
                <w:sz w:val="14"/>
                <w:szCs w:val="14"/>
                <w:color w:val="auto"/>
              </w:rPr>
              <w:t>87</w:t>
            </w:r>
          </w:p>
        </w:tc>
        <w:tc>
          <w:tcPr>
            <w:tcW w:w="0" w:type="dxa"/>
            <w:vAlign w:val="bottom"/>
          </w:tcPr>
          <w:p>
            <w:pPr>
              <w:spacing w:after="0"/>
              <w:rPr>
                <w:sz w:val="1"/>
                <w:szCs w:val="1"/>
                <w:color w:val="auto"/>
              </w:rPr>
            </w:pPr>
          </w:p>
        </w:tc>
      </w:tr>
      <w:tr>
        <w:trPr>
          <w:trHeight w:val="162"/>
        </w:trPr>
        <w:tc>
          <w:tcPr>
            <w:tcW w:w="1880" w:type="dxa"/>
            <w:vAlign w:val="bottom"/>
            <w:gridSpan w:val="2"/>
          </w:tcPr>
          <w:p>
            <w:pPr>
              <w:ind w:left="140"/>
              <w:spacing w:after="0"/>
              <w:rPr>
                <w:sz w:val="20"/>
                <w:szCs w:val="20"/>
                <w:color w:val="auto"/>
              </w:rPr>
            </w:pPr>
            <w:r>
              <w:rPr>
                <w:rFonts w:ascii="Arial" w:cs="Arial" w:eastAsia="Arial" w:hAnsi="Arial"/>
                <w:sz w:val="14"/>
                <w:szCs w:val="14"/>
                <w:color w:val="auto"/>
              </w:rPr>
              <w:t>Improved recovery</w:t>
            </w:r>
          </w:p>
        </w:tc>
        <w:tc>
          <w:tcPr>
            <w:tcW w:w="7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620" w:type="dxa"/>
            <w:vAlign w:val="bottom"/>
          </w:tcPr>
          <w:p>
            <w:pPr>
              <w:jc w:val="right"/>
              <w:ind w:right="9"/>
              <w:spacing w:after="0"/>
              <w:rPr>
                <w:sz w:val="20"/>
                <w:szCs w:val="20"/>
                <w:color w:val="auto"/>
              </w:rPr>
            </w:pPr>
            <w:r>
              <w:rPr>
                <w:rFonts w:ascii="Arial" w:cs="Arial" w:eastAsia="Arial" w:hAnsi="Arial"/>
                <w:sz w:val="14"/>
                <w:szCs w:val="14"/>
                <w:color w:val="auto"/>
              </w:rPr>
              <w:t>3</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jc w:val="right"/>
              <w:ind w:right="129"/>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69"/>
              <w:spacing w:after="0"/>
              <w:rPr>
                <w:sz w:val="20"/>
                <w:szCs w:val="20"/>
                <w:color w:val="auto"/>
              </w:rPr>
            </w:pPr>
            <w:r>
              <w:rPr>
                <w:rFonts w:ascii="Arial" w:cs="Arial" w:eastAsia="Arial" w:hAnsi="Arial"/>
                <w:sz w:val="14"/>
                <w:szCs w:val="14"/>
                <w:color w:val="auto"/>
              </w:rPr>
              <w:t>–</w:t>
            </w:r>
          </w:p>
        </w:tc>
        <w:tc>
          <w:tcPr>
            <w:tcW w:w="64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660" w:type="dxa"/>
            <w:vAlign w:val="bottom"/>
          </w:tcPr>
          <w:p>
            <w:pPr>
              <w:jc w:val="right"/>
              <w:ind w:right="70"/>
              <w:spacing w:after="0"/>
              <w:rPr>
                <w:sz w:val="20"/>
                <w:szCs w:val="20"/>
                <w:color w:val="auto"/>
              </w:rPr>
            </w:pPr>
            <w:r>
              <w:rPr>
                <w:rFonts w:ascii="Arial" w:cs="Arial" w:eastAsia="Arial" w:hAnsi="Arial"/>
                <w:sz w:val="14"/>
                <w:szCs w:val="14"/>
                <w:color w:val="auto"/>
              </w:rPr>
              <w:t>3</w:t>
            </w:r>
          </w:p>
        </w:tc>
        <w:tc>
          <w:tcPr>
            <w:tcW w:w="740" w:type="dxa"/>
            <w:vAlign w:val="bottom"/>
          </w:tcPr>
          <w:p>
            <w:pPr>
              <w:jc w:val="right"/>
              <w:ind w:right="69"/>
              <w:spacing w:after="0"/>
              <w:rPr>
                <w:sz w:val="20"/>
                <w:szCs w:val="20"/>
                <w:color w:val="auto"/>
              </w:rPr>
            </w:pPr>
            <w:r>
              <w:rPr>
                <w:rFonts w:ascii="Arial" w:cs="Arial" w:eastAsia="Arial" w:hAnsi="Arial"/>
                <w:sz w:val="14"/>
                <w:szCs w:val="14"/>
                <w:color w:val="auto"/>
              </w:rPr>
              <w:t>–</w:t>
            </w:r>
          </w:p>
        </w:tc>
        <w:tc>
          <w:tcPr>
            <w:tcW w:w="6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660" w:type="dxa"/>
            <w:vAlign w:val="bottom"/>
          </w:tcPr>
          <w:p>
            <w:pPr>
              <w:jc w:val="right"/>
              <w:ind w:right="29"/>
              <w:spacing w:after="0"/>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162"/>
        </w:trPr>
        <w:tc>
          <w:tcPr>
            <w:tcW w:w="1880" w:type="dxa"/>
            <w:vAlign w:val="bottom"/>
            <w:gridSpan w:val="2"/>
          </w:tcPr>
          <w:p>
            <w:pPr>
              <w:ind w:left="140"/>
              <w:spacing w:after="0"/>
              <w:rPr>
                <w:sz w:val="20"/>
                <w:szCs w:val="20"/>
                <w:color w:val="auto"/>
              </w:rPr>
            </w:pPr>
            <w:r>
              <w:rPr>
                <w:rFonts w:ascii="Arial" w:cs="Arial" w:eastAsia="Arial" w:hAnsi="Arial"/>
                <w:sz w:val="14"/>
                <w:szCs w:val="14"/>
                <w:color w:val="auto"/>
              </w:rPr>
              <w:t>Extensions and discoveries</w:t>
            </w:r>
          </w:p>
        </w:tc>
        <w:tc>
          <w:tcPr>
            <w:tcW w:w="7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220"/>
              <w:spacing w:after="0"/>
              <w:rPr>
                <w:sz w:val="20"/>
                <w:szCs w:val="20"/>
                <w:color w:val="auto"/>
              </w:rPr>
            </w:pPr>
            <w:r>
              <w:rPr>
                <w:rFonts w:ascii="Arial" w:cs="Arial" w:eastAsia="Arial" w:hAnsi="Arial"/>
                <w:sz w:val="14"/>
                <w:szCs w:val="14"/>
                <w:color w:val="auto"/>
              </w:rPr>
              <w:t>2</w:t>
            </w:r>
          </w:p>
        </w:tc>
        <w:tc>
          <w:tcPr>
            <w:tcW w:w="7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740" w:type="dxa"/>
            <w:vAlign w:val="bottom"/>
          </w:tcPr>
          <w:p>
            <w:pPr>
              <w:jc w:val="right"/>
              <w:ind w:right="129"/>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69"/>
              <w:spacing w:after="0"/>
              <w:rPr>
                <w:sz w:val="20"/>
                <w:szCs w:val="20"/>
                <w:color w:val="auto"/>
              </w:rPr>
            </w:pPr>
            <w:r>
              <w:rPr>
                <w:rFonts w:ascii="Arial" w:cs="Arial" w:eastAsia="Arial" w:hAnsi="Arial"/>
                <w:sz w:val="14"/>
                <w:szCs w:val="14"/>
                <w:color w:val="auto"/>
              </w:rPr>
              <w:t>–</w:t>
            </w:r>
          </w:p>
        </w:tc>
        <w:tc>
          <w:tcPr>
            <w:tcW w:w="64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660" w:type="dxa"/>
            <w:vAlign w:val="bottom"/>
          </w:tcPr>
          <w:p>
            <w:pPr>
              <w:jc w:val="right"/>
              <w:ind w:right="70"/>
              <w:spacing w:after="0"/>
              <w:rPr>
                <w:sz w:val="20"/>
                <w:szCs w:val="20"/>
                <w:color w:val="auto"/>
              </w:rPr>
            </w:pPr>
            <w:r>
              <w:rPr>
                <w:rFonts w:ascii="Arial" w:cs="Arial" w:eastAsia="Arial" w:hAnsi="Arial"/>
                <w:sz w:val="14"/>
                <w:szCs w:val="14"/>
                <w:color w:val="auto"/>
              </w:rPr>
              <w:t>2</w:t>
            </w:r>
          </w:p>
        </w:tc>
        <w:tc>
          <w:tcPr>
            <w:tcW w:w="740" w:type="dxa"/>
            <w:vAlign w:val="bottom"/>
          </w:tcPr>
          <w:p>
            <w:pPr>
              <w:jc w:val="right"/>
              <w:ind w:right="69"/>
              <w:spacing w:after="0"/>
              <w:rPr>
                <w:sz w:val="20"/>
                <w:szCs w:val="20"/>
                <w:color w:val="auto"/>
              </w:rPr>
            </w:pPr>
            <w:r>
              <w:rPr>
                <w:rFonts w:ascii="Arial" w:cs="Arial" w:eastAsia="Arial" w:hAnsi="Arial"/>
                <w:sz w:val="14"/>
                <w:szCs w:val="14"/>
                <w:color w:val="auto"/>
              </w:rPr>
              <w:t>–</w:t>
            </w:r>
          </w:p>
        </w:tc>
        <w:tc>
          <w:tcPr>
            <w:tcW w:w="6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660" w:type="dxa"/>
            <w:vAlign w:val="bottom"/>
          </w:tcPr>
          <w:p>
            <w:pPr>
              <w:jc w:val="right"/>
              <w:ind w:right="29"/>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162"/>
        </w:trPr>
        <w:tc>
          <w:tcPr>
            <w:tcW w:w="1880" w:type="dxa"/>
            <w:vAlign w:val="bottom"/>
            <w:gridSpan w:val="2"/>
          </w:tcPr>
          <w:p>
            <w:pPr>
              <w:ind w:left="140"/>
              <w:spacing w:after="0"/>
              <w:rPr>
                <w:sz w:val="20"/>
                <w:szCs w:val="20"/>
                <w:color w:val="auto"/>
              </w:rPr>
            </w:pPr>
            <w:r>
              <w:rPr>
                <w:rFonts w:ascii="Arial" w:cs="Arial" w:eastAsia="Arial" w:hAnsi="Arial"/>
                <w:sz w:val="14"/>
                <w:szCs w:val="14"/>
                <w:color w:val="auto"/>
              </w:rPr>
              <w:t>Purchases of minerals in</w:t>
            </w: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880" w:type="dxa"/>
            <w:vAlign w:val="bottom"/>
            <w:gridSpan w:val="2"/>
          </w:tcPr>
          <w:p>
            <w:pPr>
              <w:ind w:left="140"/>
              <w:spacing w:after="0"/>
              <w:rPr>
                <w:sz w:val="20"/>
                <w:szCs w:val="20"/>
                <w:color w:val="auto"/>
              </w:rPr>
            </w:pPr>
            <w:r>
              <w:rPr>
                <w:rFonts w:ascii="Arial" w:cs="Arial" w:eastAsia="Arial" w:hAnsi="Arial"/>
                <w:sz w:val="14"/>
                <w:szCs w:val="14"/>
                <w:color w:val="auto"/>
              </w:rPr>
              <w:t>place</w:t>
            </w:r>
          </w:p>
        </w:tc>
        <w:tc>
          <w:tcPr>
            <w:tcW w:w="7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740" w:type="dxa"/>
            <w:vAlign w:val="bottom"/>
          </w:tcPr>
          <w:p>
            <w:pPr>
              <w:jc w:val="right"/>
              <w:ind w:right="129"/>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69"/>
              <w:spacing w:after="0"/>
              <w:rPr>
                <w:sz w:val="20"/>
                <w:szCs w:val="20"/>
                <w:color w:val="auto"/>
              </w:rPr>
            </w:pPr>
            <w:r>
              <w:rPr>
                <w:rFonts w:ascii="Arial" w:cs="Arial" w:eastAsia="Arial" w:hAnsi="Arial"/>
                <w:sz w:val="14"/>
                <w:szCs w:val="14"/>
                <w:color w:val="auto"/>
              </w:rPr>
              <w:t>–</w:t>
            </w:r>
          </w:p>
        </w:tc>
        <w:tc>
          <w:tcPr>
            <w:tcW w:w="64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660" w:type="dxa"/>
            <w:vAlign w:val="bottom"/>
          </w:tcPr>
          <w:p>
            <w:pPr>
              <w:jc w:val="right"/>
              <w:ind w:right="70"/>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69"/>
              <w:spacing w:after="0"/>
              <w:rPr>
                <w:sz w:val="20"/>
                <w:szCs w:val="20"/>
                <w:color w:val="auto"/>
              </w:rPr>
            </w:pPr>
            <w:r>
              <w:rPr>
                <w:rFonts w:ascii="Arial" w:cs="Arial" w:eastAsia="Arial" w:hAnsi="Arial"/>
                <w:sz w:val="14"/>
                <w:szCs w:val="14"/>
                <w:color w:val="auto"/>
              </w:rPr>
              <w:t>–</w:t>
            </w:r>
          </w:p>
        </w:tc>
        <w:tc>
          <w:tcPr>
            <w:tcW w:w="6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66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1880" w:type="dxa"/>
            <w:vAlign w:val="bottom"/>
            <w:gridSpan w:val="2"/>
          </w:tcPr>
          <w:p>
            <w:pPr>
              <w:ind w:left="140"/>
              <w:spacing w:after="0"/>
              <w:rPr>
                <w:sz w:val="20"/>
                <w:szCs w:val="20"/>
                <w:color w:val="auto"/>
              </w:rPr>
            </w:pPr>
            <w:r>
              <w:rPr>
                <w:rFonts w:ascii="Arial" w:cs="Arial" w:eastAsia="Arial" w:hAnsi="Arial"/>
                <w:sz w:val="14"/>
                <w:szCs w:val="14"/>
                <w:color w:val="auto"/>
              </w:rPr>
              <w:t>Sales of minerals in place</w:t>
            </w:r>
          </w:p>
        </w:tc>
        <w:tc>
          <w:tcPr>
            <w:tcW w:w="7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160"/>
              <w:spacing w:after="0"/>
              <w:rPr>
                <w:sz w:val="20"/>
                <w:szCs w:val="20"/>
                <w:color w:val="auto"/>
              </w:rPr>
            </w:pPr>
            <w:r>
              <w:rPr>
                <w:rFonts w:ascii="Arial" w:cs="Arial" w:eastAsia="Arial" w:hAnsi="Arial"/>
                <w:sz w:val="14"/>
                <w:szCs w:val="14"/>
                <w:color w:val="auto"/>
              </w:rPr>
              <w:t>(1)</w:t>
            </w:r>
          </w:p>
        </w:tc>
        <w:tc>
          <w:tcPr>
            <w:tcW w:w="7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740" w:type="dxa"/>
            <w:vAlign w:val="bottom"/>
          </w:tcPr>
          <w:p>
            <w:pPr>
              <w:jc w:val="right"/>
              <w:ind w:right="129"/>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69"/>
              <w:spacing w:after="0"/>
              <w:rPr>
                <w:sz w:val="20"/>
                <w:szCs w:val="20"/>
                <w:color w:val="auto"/>
              </w:rPr>
            </w:pPr>
            <w:r>
              <w:rPr>
                <w:rFonts w:ascii="Arial" w:cs="Arial" w:eastAsia="Arial" w:hAnsi="Arial"/>
                <w:sz w:val="14"/>
                <w:szCs w:val="14"/>
                <w:color w:val="auto"/>
              </w:rPr>
              <w:t>–</w:t>
            </w:r>
          </w:p>
        </w:tc>
        <w:tc>
          <w:tcPr>
            <w:tcW w:w="64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660" w:type="dxa"/>
            <w:vAlign w:val="bottom"/>
          </w:tcPr>
          <w:p>
            <w:pPr>
              <w:jc w:val="right"/>
              <w:ind w:right="30"/>
              <w:spacing w:after="0"/>
              <w:rPr>
                <w:sz w:val="20"/>
                <w:szCs w:val="20"/>
                <w:color w:val="auto"/>
              </w:rPr>
            </w:pPr>
            <w:r>
              <w:rPr>
                <w:rFonts w:ascii="Arial" w:cs="Arial" w:eastAsia="Arial" w:hAnsi="Arial"/>
                <w:sz w:val="14"/>
                <w:szCs w:val="14"/>
                <w:color w:val="auto"/>
              </w:rPr>
              <w:t>(1)</w:t>
            </w:r>
          </w:p>
        </w:tc>
        <w:tc>
          <w:tcPr>
            <w:tcW w:w="740" w:type="dxa"/>
            <w:vAlign w:val="bottom"/>
          </w:tcPr>
          <w:p>
            <w:pPr>
              <w:jc w:val="right"/>
              <w:ind w:right="69"/>
              <w:spacing w:after="0"/>
              <w:rPr>
                <w:sz w:val="20"/>
                <w:szCs w:val="20"/>
                <w:color w:val="auto"/>
              </w:rPr>
            </w:pPr>
            <w:r>
              <w:rPr>
                <w:rFonts w:ascii="Arial" w:cs="Arial" w:eastAsia="Arial" w:hAnsi="Arial"/>
                <w:sz w:val="14"/>
                <w:szCs w:val="14"/>
                <w:color w:val="auto"/>
              </w:rPr>
              <w:t>–</w:t>
            </w:r>
          </w:p>
        </w:tc>
        <w:tc>
          <w:tcPr>
            <w:tcW w:w="6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57"/>
        </w:trPr>
        <w:tc>
          <w:tcPr>
            <w:tcW w:w="1880" w:type="dxa"/>
            <w:vAlign w:val="bottom"/>
            <w:tcBorders>
              <w:bottom w:val="single" w:sz="8" w:color="auto"/>
            </w:tcBorders>
            <w:gridSpan w:val="2"/>
          </w:tcPr>
          <w:p>
            <w:pPr>
              <w:ind w:left="140"/>
              <w:spacing w:after="0" w:line="157" w:lineRule="exact"/>
              <w:rPr>
                <w:sz w:val="20"/>
                <w:szCs w:val="20"/>
                <w:color w:val="auto"/>
              </w:rPr>
            </w:pPr>
            <w:r>
              <w:rPr>
                <w:rFonts w:ascii="Arial" w:cs="Arial" w:eastAsia="Arial" w:hAnsi="Arial"/>
                <w:sz w:val="14"/>
                <w:szCs w:val="14"/>
                <w:color w:val="auto"/>
              </w:rPr>
              <w:t>Production</w:t>
            </w:r>
          </w:p>
        </w:tc>
        <w:tc>
          <w:tcPr>
            <w:tcW w:w="740" w:type="dxa"/>
            <w:vAlign w:val="bottom"/>
            <w:tcBorders>
              <w:bottom w:val="single" w:sz="8" w:color="auto"/>
            </w:tcBorders>
            <w:gridSpan w:val="2"/>
          </w:tcPr>
          <w:p>
            <w:pPr>
              <w:jc w:val="right"/>
              <w:ind w:right="160"/>
              <w:spacing w:after="0" w:line="157" w:lineRule="exact"/>
              <w:rPr>
                <w:sz w:val="20"/>
                <w:szCs w:val="20"/>
                <w:color w:val="auto"/>
              </w:rPr>
            </w:pPr>
            <w:r>
              <w:rPr>
                <w:rFonts w:ascii="Arial" w:cs="Arial" w:eastAsia="Arial" w:hAnsi="Arial"/>
                <w:sz w:val="14"/>
                <w:szCs w:val="14"/>
                <w:color w:val="auto"/>
              </w:rPr>
              <w:t>(2)</w:t>
            </w:r>
          </w:p>
        </w:tc>
        <w:tc>
          <w:tcPr>
            <w:tcW w:w="760" w:type="dxa"/>
            <w:vAlign w:val="bottom"/>
            <w:tcBorders>
              <w:bottom w:val="single" w:sz="8" w:color="auto"/>
            </w:tcBorders>
            <w:gridSpan w:val="2"/>
          </w:tcPr>
          <w:p>
            <w:pPr>
              <w:jc w:val="right"/>
              <w:ind w:right="180"/>
              <w:spacing w:after="0" w:line="157" w:lineRule="exact"/>
              <w:rPr>
                <w:sz w:val="20"/>
                <w:szCs w:val="20"/>
                <w:color w:val="auto"/>
              </w:rPr>
            </w:pPr>
            <w:r>
              <w:rPr>
                <w:rFonts w:ascii="Arial" w:cs="Arial" w:eastAsia="Arial" w:hAnsi="Arial"/>
                <w:sz w:val="14"/>
                <w:szCs w:val="14"/>
                <w:color w:val="auto"/>
              </w:rPr>
              <w:t>(126)</w:t>
            </w:r>
          </w:p>
        </w:tc>
        <w:tc>
          <w:tcPr>
            <w:tcW w:w="760" w:type="dxa"/>
            <w:vAlign w:val="bottom"/>
            <w:tcBorders>
              <w:bottom w:val="single" w:sz="8" w:color="auto"/>
            </w:tcBorders>
            <w:gridSpan w:val="2"/>
          </w:tcPr>
          <w:p>
            <w:pPr>
              <w:jc w:val="right"/>
              <w:ind w:right="160"/>
              <w:spacing w:after="0" w:line="157" w:lineRule="exact"/>
              <w:rPr>
                <w:sz w:val="20"/>
                <w:szCs w:val="20"/>
                <w:color w:val="auto"/>
              </w:rPr>
            </w:pPr>
            <w:r>
              <w:rPr>
                <w:rFonts w:ascii="Arial" w:cs="Arial" w:eastAsia="Arial" w:hAnsi="Arial"/>
                <w:sz w:val="14"/>
                <w:szCs w:val="14"/>
                <w:color w:val="auto"/>
              </w:rPr>
              <w:t>(6)</w:t>
            </w:r>
          </w:p>
        </w:tc>
        <w:tc>
          <w:tcPr>
            <w:tcW w:w="740" w:type="dxa"/>
            <w:vAlign w:val="bottom"/>
            <w:tcBorders>
              <w:bottom w:val="single" w:sz="8" w:color="auto"/>
            </w:tcBorders>
            <w:gridSpan w:val="2"/>
          </w:tcPr>
          <w:p>
            <w:pPr>
              <w:jc w:val="right"/>
              <w:ind w:right="220"/>
              <w:spacing w:after="0" w:line="157" w:lineRule="exact"/>
              <w:rPr>
                <w:sz w:val="20"/>
                <w:szCs w:val="20"/>
                <w:color w:val="auto"/>
              </w:rPr>
            </w:pPr>
            <w:r>
              <w:rPr>
                <w:rFonts w:ascii="Arial" w:cs="Arial" w:eastAsia="Arial" w:hAnsi="Arial"/>
                <w:sz w:val="14"/>
                <w:szCs w:val="14"/>
                <w:color w:val="auto"/>
              </w:rPr>
              <w:t>–</w:t>
            </w:r>
          </w:p>
        </w:tc>
        <w:tc>
          <w:tcPr>
            <w:tcW w:w="620" w:type="dxa"/>
            <w:vAlign w:val="bottom"/>
            <w:tcBorders>
              <w:bottom w:val="single" w:sz="8" w:color="auto"/>
            </w:tcBorders>
          </w:tcPr>
          <w:p>
            <w:pPr>
              <w:jc w:val="right"/>
              <w:spacing w:after="0" w:line="157" w:lineRule="exact"/>
              <w:rPr>
                <w:sz w:val="20"/>
                <w:szCs w:val="20"/>
                <w:color w:val="auto"/>
              </w:rPr>
            </w:pPr>
            <w:r>
              <w:rPr>
                <w:rFonts w:ascii="Arial" w:cs="Arial" w:eastAsia="Arial" w:hAnsi="Arial"/>
                <w:sz w:val="14"/>
                <w:szCs w:val="14"/>
                <w:color w:val="auto"/>
              </w:rPr>
              <w:t>(25)</w:t>
            </w:r>
          </w:p>
        </w:tc>
        <w:tc>
          <w:tcPr>
            <w:tcW w:w="8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129"/>
              <w:spacing w:after="0" w:line="157" w:lineRule="exact"/>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tcPr>
          <w:p>
            <w:pPr>
              <w:jc w:val="right"/>
              <w:ind w:right="69"/>
              <w:spacing w:after="0" w:line="157" w:lineRule="exact"/>
              <w:rPr>
                <w:sz w:val="20"/>
                <w:szCs w:val="20"/>
                <w:color w:val="auto"/>
              </w:rPr>
            </w:pPr>
            <w:r>
              <w:rPr>
                <w:rFonts w:ascii="Arial" w:cs="Arial" w:eastAsia="Arial" w:hAnsi="Arial"/>
                <w:sz w:val="14"/>
                <w:szCs w:val="14"/>
                <w:color w:val="auto"/>
              </w:rPr>
              <w:t>–</w:t>
            </w:r>
          </w:p>
        </w:tc>
        <w:tc>
          <w:tcPr>
            <w:tcW w:w="640" w:type="dxa"/>
            <w:vAlign w:val="bottom"/>
            <w:tcBorders>
              <w:bottom w:val="single" w:sz="8" w:color="auto"/>
            </w:tcBorders>
          </w:tcPr>
          <w:p>
            <w:pPr>
              <w:jc w:val="right"/>
              <w:ind w:right="29"/>
              <w:spacing w:after="0" w:line="157" w:lineRule="exact"/>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gridSpan w:val="3"/>
          </w:tcPr>
          <w:p>
            <w:pPr>
              <w:jc w:val="right"/>
              <w:ind w:right="180"/>
              <w:spacing w:after="0" w:line="157" w:lineRule="exact"/>
              <w:rPr>
                <w:sz w:val="20"/>
                <w:szCs w:val="20"/>
                <w:color w:val="auto"/>
              </w:rPr>
            </w:pPr>
            <w:r>
              <w:rPr>
                <w:rFonts w:ascii="Arial" w:cs="Arial" w:eastAsia="Arial" w:hAnsi="Arial"/>
                <w:sz w:val="14"/>
                <w:szCs w:val="14"/>
                <w:color w:val="auto"/>
              </w:rPr>
              <w:t>(3)</w:t>
            </w:r>
          </w:p>
        </w:tc>
        <w:tc>
          <w:tcPr>
            <w:tcW w:w="660" w:type="dxa"/>
            <w:vAlign w:val="bottom"/>
            <w:tcBorders>
              <w:bottom w:val="single" w:sz="8" w:color="auto"/>
            </w:tcBorders>
          </w:tcPr>
          <w:p>
            <w:pPr>
              <w:jc w:val="right"/>
              <w:ind w:right="30"/>
              <w:spacing w:after="0" w:line="157" w:lineRule="exact"/>
              <w:rPr>
                <w:sz w:val="20"/>
                <w:szCs w:val="20"/>
                <w:color w:val="auto"/>
              </w:rPr>
            </w:pPr>
            <w:r>
              <w:rPr>
                <w:rFonts w:ascii="Arial" w:cs="Arial" w:eastAsia="Arial" w:hAnsi="Arial"/>
                <w:sz w:val="14"/>
                <w:szCs w:val="14"/>
                <w:color w:val="auto"/>
              </w:rPr>
              <w:t>(162)</w:t>
            </w:r>
          </w:p>
        </w:tc>
        <w:tc>
          <w:tcPr>
            <w:tcW w:w="740" w:type="dxa"/>
            <w:vAlign w:val="bottom"/>
            <w:tcBorders>
              <w:bottom w:val="single" w:sz="8" w:color="auto"/>
            </w:tcBorders>
          </w:tcPr>
          <w:p>
            <w:pPr>
              <w:jc w:val="right"/>
              <w:ind w:right="69"/>
              <w:spacing w:after="0" w:line="157" w:lineRule="exact"/>
              <w:rPr>
                <w:sz w:val="20"/>
                <w:szCs w:val="20"/>
                <w:color w:val="auto"/>
              </w:rPr>
            </w:pPr>
            <w:r>
              <w:rPr>
                <w:rFonts w:ascii="Arial" w:cs="Arial" w:eastAsia="Arial" w:hAnsi="Arial"/>
                <w:sz w:val="14"/>
                <w:szCs w:val="14"/>
                <w:color w:val="auto"/>
              </w:rPr>
              <w:t>–</w:t>
            </w:r>
          </w:p>
        </w:tc>
        <w:tc>
          <w:tcPr>
            <w:tcW w:w="660" w:type="dxa"/>
            <w:vAlign w:val="bottom"/>
            <w:tcBorders>
              <w:bottom w:val="single" w:sz="8" w:color="auto"/>
            </w:tcBorders>
          </w:tcPr>
          <w:p>
            <w:pPr>
              <w:jc w:val="right"/>
              <w:ind w:right="28"/>
              <w:spacing w:after="0" w:line="157" w:lineRule="exact"/>
              <w:rPr>
                <w:sz w:val="20"/>
                <w:szCs w:val="20"/>
                <w:color w:val="auto"/>
              </w:rPr>
            </w:pPr>
            <w:r>
              <w:rPr>
                <w:rFonts w:ascii="Arial" w:cs="Arial" w:eastAsia="Arial" w:hAnsi="Arial"/>
                <w:sz w:val="14"/>
                <w:szCs w:val="14"/>
                <w:color w:val="auto"/>
              </w:rPr>
              <w:t>–</w:t>
            </w:r>
          </w:p>
        </w:tc>
        <w:tc>
          <w:tcPr>
            <w:tcW w:w="660" w:type="dxa"/>
            <w:vAlign w:val="bottom"/>
            <w:tcBorders>
              <w:bottom w:val="single" w:sz="8" w:color="auto"/>
            </w:tcBorders>
          </w:tcPr>
          <w:p>
            <w:pPr>
              <w:jc w:val="right"/>
              <w:spacing w:after="0" w:line="157" w:lineRule="exact"/>
              <w:rPr>
                <w:sz w:val="20"/>
                <w:szCs w:val="20"/>
                <w:color w:val="auto"/>
              </w:rPr>
            </w:pPr>
            <w:r>
              <w:rPr>
                <w:rFonts w:ascii="Arial" w:cs="Arial" w:eastAsia="Arial" w:hAnsi="Arial"/>
                <w:sz w:val="14"/>
                <w:szCs w:val="14"/>
                <w:color w:val="auto"/>
              </w:rPr>
              <w:t>(162)</w:t>
            </w:r>
          </w:p>
        </w:tc>
        <w:tc>
          <w:tcPr>
            <w:tcW w:w="0" w:type="dxa"/>
            <w:vAlign w:val="bottom"/>
          </w:tcPr>
          <w:p>
            <w:pPr>
              <w:spacing w:after="0"/>
              <w:rPr>
                <w:sz w:val="1"/>
                <w:szCs w:val="1"/>
                <w:color w:val="auto"/>
              </w:rPr>
            </w:pPr>
          </w:p>
        </w:tc>
      </w:tr>
      <w:tr>
        <w:trPr>
          <w:trHeight w:val="156"/>
        </w:trPr>
        <w:tc>
          <w:tcPr>
            <w:tcW w:w="1880" w:type="dxa"/>
            <w:vAlign w:val="bottom"/>
            <w:tcBorders>
              <w:bottom w:val="single" w:sz="8" w:color="auto"/>
            </w:tcBorders>
            <w:gridSpan w:val="2"/>
          </w:tcPr>
          <w:p>
            <w:pPr>
              <w:ind w:left="140"/>
              <w:spacing w:after="0" w:line="155" w:lineRule="exact"/>
              <w:rPr>
                <w:sz w:val="20"/>
                <w:szCs w:val="20"/>
                <w:color w:val="auto"/>
              </w:rPr>
            </w:pPr>
            <w:r>
              <w:rPr>
                <w:rFonts w:ascii="Arial" w:cs="Arial" w:eastAsia="Arial" w:hAnsi="Arial"/>
                <w:sz w:val="14"/>
                <w:szCs w:val="14"/>
                <w:color w:val="auto"/>
              </w:rPr>
              <w:t>At December 31</w:t>
            </w:r>
          </w:p>
        </w:tc>
        <w:tc>
          <w:tcPr>
            <w:tcW w:w="740" w:type="dxa"/>
            <w:vAlign w:val="bottom"/>
            <w:tcBorders>
              <w:bottom w:val="single" w:sz="8" w:color="auto"/>
            </w:tcBorders>
            <w:gridSpan w:val="2"/>
          </w:tcPr>
          <w:p>
            <w:pPr>
              <w:jc w:val="right"/>
              <w:ind w:right="200"/>
              <w:spacing w:after="0" w:line="155" w:lineRule="exact"/>
              <w:rPr>
                <w:sz w:val="20"/>
                <w:szCs w:val="20"/>
                <w:color w:val="auto"/>
              </w:rPr>
            </w:pPr>
            <w:r>
              <w:rPr>
                <w:rFonts w:ascii="Arial" w:cs="Arial" w:eastAsia="Arial" w:hAnsi="Arial"/>
                <w:sz w:val="14"/>
                <w:szCs w:val="14"/>
                <w:color w:val="auto"/>
              </w:rPr>
              <w:t>24</w:t>
            </w:r>
          </w:p>
        </w:tc>
        <w:tc>
          <w:tcPr>
            <w:tcW w:w="760" w:type="dxa"/>
            <w:vAlign w:val="bottom"/>
            <w:tcBorders>
              <w:bottom w:val="single" w:sz="8" w:color="auto"/>
            </w:tcBorders>
            <w:gridSpan w:val="2"/>
          </w:tcPr>
          <w:p>
            <w:pPr>
              <w:jc w:val="right"/>
              <w:ind w:right="220"/>
              <w:spacing w:after="0" w:line="155" w:lineRule="exact"/>
              <w:rPr>
                <w:sz w:val="20"/>
                <w:szCs w:val="20"/>
                <w:color w:val="auto"/>
              </w:rPr>
            </w:pPr>
            <w:r>
              <w:rPr>
                <w:rFonts w:ascii="Arial" w:cs="Arial" w:eastAsia="Arial" w:hAnsi="Arial"/>
                <w:sz w:val="14"/>
                <w:szCs w:val="14"/>
                <w:color w:val="auto"/>
              </w:rPr>
              <w:t>515</w:t>
            </w:r>
          </w:p>
        </w:tc>
        <w:tc>
          <w:tcPr>
            <w:tcW w:w="760" w:type="dxa"/>
            <w:vAlign w:val="bottom"/>
            <w:tcBorders>
              <w:bottom w:val="single" w:sz="8" w:color="auto"/>
            </w:tcBorders>
            <w:gridSpan w:val="2"/>
          </w:tcPr>
          <w:p>
            <w:pPr>
              <w:jc w:val="right"/>
              <w:ind w:right="220"/>
              <w:spacing w:after="0" w:line="155" w:lineRule="exact"/>
              <w:rPr>
                <w:sz w:val="20"/>
                <w:szCs w:val="20"/>
                <w:color w:val="auto"/>
              </w:rPr>
            </w:pPr>
            <w:r>
              <w:rPr>
                <w:rFonts w:ascii="Arial" w:cs="Arial" w:eastAsia="Arial" w:hAnsi="Arial"/>
                <w:sz w:val="14"/>
                <w:szCs w:val="14"/>
                <w:color w:val="auto"/>
              </w:rPr>
              <w:t>28</w:t>
            </w:r>
          </w:p>
        </w:tc>
        <w:tc>
          <w:tcPr>
            <w:tcW w:w="740" w:type="dxa"/>
            <w:vAlign w:val="bottom"/>
            <w:tcBorders>
              <w:bottom w:val="single" w:sz="8" w:color="auto"/>
            </w:tcBorders>
            <w:gridSpan w:val="2"/>
          </w:tcPr>
          <w:p>
            <w:pPr>
              <w:jc w:val="right"/>
              <w:ind w:right="220"/>
              <w:spacing w:after="0" w:line="155" w:lineRule="exact"/>
              <w:rPr>
                <w:sz w:val="20"/>
                <w:szCs w:val="20"/>
                <w:color w:val="auto"/>
              </w:rPr>
            </w:pPr>
            <w:r>
              <w:rPr>
                <w:rFonts w:ascii="Arial" w:cs="Arial" w:eastAsia="Arial" w:hAnsi="Arial"/>
                <w:sz w:val="14"/>
                <w:szCs w:val="14"/>
                <w:color w:val="auto"/>
              </w:rPr>
              <w:t>–</w:t>
            </w:r>
          </w:p>
        </w:tc>
        <w:tc>
          <w:tcPr>
            <w:tcW w:w="620" w:type="dxa"/>
            <w:vAlign w:val="bottom"/>
            <w:tcBorders>
              <w:bottom w:val="single" w:sz="8" w:color="auto"/>
            </w:tcBorders>
          </w:tcPr>
          <w:p>
            <w:pPr>
              <w:jc w:val="right"/>
              <w:ind w:right="9"/>
              <w:spacing w:after="0" w:line="155" w:lineRule="exact"/>
              <w:rPr>
                <w:sz w:val="20"/>
                <w:szCs w:val="20"/>
                <w:color w:val="auto"/>
              </w:rPr>
            </w:pPr>
            <w:r>
              <w:rPr>
                <w:rFonts w:ascii="Arial" w:cs="Arial" w:eastAsia="Arial" w:hAnsi="Arial"/>
                <w:sz w:val="14"/>
                <w:szCs w:val="14"/>
                <w:color w:val="auto"/>
              </w:rPr>
              <w:t>294</w:t>
            </w:r>
          </w:p>
        </w:tc>
        <w:tc>
          <w:tcPr>
            <w:tcW w:w="8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129"/>
              <w:spacing w:after="0" w:line="155" w:lineRule="exact"/>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tcPr>
          <w:p>
            <w:pPr>
              <w:jc w:val="right"/>
              <w:ind w:right="69"/>
              <w:spacing w:after="0" w:line="155" w:lineRule="exact"/>
              <w:rPr>
                <w:sz w:val="20"/>
                <w:szCs w:val="20"/>
                <w:color w:val="auto"/>
              </w:rPr>
            </w:pPr>
            <w:r>
              <w:rPr>
                <w:rFonts w:ascii="Arial" w:cs="Arial" w:eastAsia="Arial" w:hAnsi="Arial"/>
                <w:sz w:val="14"/>
                <w:szCs w:val="14"/>
                <w:color w:val="auto"/>
              </w:rPr>
              <w:t>–</w:t>
            </w:r>
          </w:p>
        </w:tc>
        <w:tc>
          <w:tcPr>
            <w:tcW w:w="640" w:type="dxa"/>
            <w:vAlign w:val="bottom"/>
            <w:tcBorders>
              <w:bottom w:val="single" w:sz="8" w:color="auto"/>
            </w:tcBorders>
          </w:tcPr>
          <w:p>
            <w:pPr>
              <w:jc w:val="right"/>
              <w:ind w:right="29"/>
              <w:spacing w:after="0" w:line="155" w:lineRule="exact"/>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gridSpan w:val="3"/>
          </w:tcPr>
          <w:p>
            <w:pPr>
              <w:jc w:val="right"/>
              <w:ind w:right="220"/>
              <w:spacing w:after="0" w:line="155" w:lineRule="exact"/>
              <w:rPr>
                <w:sz w:val="20"/>
                <w:szCs w:val="20"/>
                <w:color w:val="auto"/>
              </w:rPr>
            </w:pPr>
            <w:r>
              <w:rPr>
                <w:rFonts w:ascii="Arial" w:cs="Arial" w:eastAsia="Arial" w:hAnsi="Arial"/>
                <w:sz w:val="14"/>
                <w:szCs w:val="14"/>
                <w:color w:val="auto"/>
              </w:rPr>
              <w:t>18</w:t>
            </w:r>
          </w:p>
        </w:tc>
        <w:tc>
          <w:tcPr>
            <w:tcW w:w="660" w:type="dxa"/>
            <w:vAlign w:val="bottom"/>
            <w:tcBorders>
              <w:bottom w:val="single" w:sz="8" w:color="auto"/>
            </w:tcBorders>
          </w:tcPr>
          <w:p>
            <w:pPr>
              <w:jc w:val="right"/>
              <w:ind w:right="70"/>
              <w:spacing w:after="0" w:line="155" w:lineRule="exact"/>
              <w:rPr>
                <w:sz w:val="20"/>
                <w:szCs w:val="20"/>
                <w:color w:val="auto"/>
              </w:rPr>
            </w:pPr>
            <w:r>
              <w:rPr>
                <w:rFonts w:ascii="Arial" w:cs="Arial" w:eastAsia="Arial" w:hAnsi="Arial"/>
                <w:sz w:val="14"/>
                <w:szCs w:val="14"/>
                <w:color w:val="auto"/>
              </w:rPr>
              <w:t>879</w:t>
            </w:r>
          </w:p>
        </w:tc>
        <w:tc>
          <w:tcPr>
            <w:tcW w:w="740" w:type="dxa"/>
            <w:vAlign w:val="bottom"/>
            <w:tcBorders>
              <w:bottom w:val="single" w:sz="8" w:color="auto"/>
            </w:tcBorders>
          </w:tcPr>
          <w:p>
            <w:pPr>
              <w:jc w:val="right"/>
              <w:ind w:right="69"/>
              <w:spacing w:after="0" w:line="155" w:lineRule="exact"/>
              <w:rPr>
                <w:sz w:val="20"/>
                <w:szCs w:val="20"/>
                <w:color w:val="auto"/>
              </w:rPr>
            </w:pPr>
            <w:r>
              <w:rPr>
                <w:rFonts w:ascii="Arial" w:cs="Arial" w:eastAsia="Arial" w:hAnsi="Arial"/>
                <w:sz w:val="14"/>
                <w:szCs w:val="14"/>
                <w:color w:val="auto"/>
              </w:rPr>
              <w:t>–</w:t>
            </w:r>
          </w:p>
        </w:tc>
        <w:tc>
          <w:tcPr>
            <w:tcW w:w="660" w:type="dxa"/>
            <w:vAlign w:val="bottom"/>
            <w:tcBorders>
              <w:bottom w:val="single" w:sz="8" w:color="auto"/>
            </w:tcBorders>
          </w:tcPr>
          <w:p>
            <w:pPr>
              <w:jc w:val="right"/>
              <w:ind w:right="28"/>
              <w:spacing w:after="0" w:line="155" w:lineRule="exact"/>
              <w:rPr>
                <w:sz w:val="20"/>
                <w:szCs w:val="20"/>
                <w:color w:val="auto"/>
              </w:rPr>
            </w:pPr>
            <w:r>
              <w:rPr>
                <w:rFonts w:ascii="Arial" w:cs="Arial" w:eastAsia="Arial" w:hAnsi="Arial"/>
                <w:sz w:val="14"/>
                <w:szCs w:val="14"/>
                <w:color w:val="auto"/>
              </w:rPr>
              <w:t>–</w:t>
            </w:r>
          </w:p>
        </w:tc>
        <w:tc>
          <w:tcPr>
            <w:tcW w:w="660" w:type="dxa"/>
            <w:vAlign w:val="bottom"/>
            <w:tcBorders>
              <w:bottom w:val="single" w:sz="8" w:color="auto"/>
            </w:tcBorders>
          </w:tcPr>
          <w:p>
            <w:pPr>
              <w:jc w:val="right"/>
              <w:ind w:right="29"/>
              <w:spacing w:after="0" w:line="155" w:lineRule="exact"/>
              <w:rPr>
                <w:sz w:val="20"/>
                <w:szCs w:val="20"/>
                <w:color w:val="auto"/>
              </w:rPr>
            </w:pPr>
            <w:r>
              <w:rPr>
                <w:rFonts w:ascii="Arial" w:cs="Arial" w:eastAsia="Arial" w:hAnsi="Arial"/>
                <w:sz w:val="14"/>
                <w:szCs w:val="14"/>
                <w:color w:val="auto"/>
              </w:rPr>
              <w:t>879</w:t>
            </w:r>
          </w:p>
        </w:tc>
        <w:tc>
          <w:tcPr>
            <w:tcW w:w="0" w:type="dxa"/>
            <w:vAlign w:val="bottom"/>
          </w:tcPr>
          <w:p>
            <w:pPr>
              <w:spacing w:after="0"/>
              <w:rPr>
                <w:sz w:val="1"/>
                <w:szCs w:val="1"/>
                <w:color w:val="auto"/>
              </w:rPr>
            </w:pPr>
          </w:p>
        </w:tc>
      </w:tr>
      <w:tr>
        <w:trPr>
          <w:trHeight w:val="156"/>
        </w:trPr>
        <w:tc>
          <w:tcPr>
            <w:tcW w:w="1880" w:type="dxa"/>
            <w:vAlign w:val="bottom"/>
            <w:tcBorders>
              <w:bottom w:val="single" w:sz="8" w:color="auto"/>
            </w:tcBorders>
            <w:gridSpan w:val="2"/>
          </w:tcPr>
          <w:p>
            <w:pPr>
              <w:spacing w:after="0" w:line="155" w:lineRule="exact"/>
              <w:rPr>
                <w:sz w:val="20"/>
                <w:szCs w:val="20"/>
                <w:color w:val="auto"/>
              </w:rPr>
            </w:pPr>
            <w:r>
              <w:rPr>
                <w:rFonts w:ascii="Arial" w:cs="Arial" w:eastAsia="Arial" w:hAnsi="Arial"/>
                <w:sz w:val="14"/>
                <w:szCs w:val="14"/>
                <w:color w:val="auto"/>
              </w:rPr>
              <w:t>Total</w:t>
            </w:r>
          </w:p>
        </w:tc>
        <w:tc>
          <w:tcPr>
            <w:tcW w:w="740" w:type="dxa"/>
            <w:vAlign w:val="bottom"/>
            <w:tcBorders>
              <w:bottom w:val="single" w:sz="8" w:color="auto"/>
            </w:tcBorders>
            <w:gridSpan w:val="2"/>
          </w:tcPr>
          <w:p>
            <w:pPr>
              <w:jc w:val="right"/>
              <w:ind w:right="200"/>
              <w:spacing w:after="0" w:line="155" w:lineRule="exact"/>
              <w:rPr>
                <w:sz w:val="20"/>
                <w:szCs w:val="20"/>
                <w:color w:val="auto"/>
              </w:rPr>
            </w:pPr>
            <w:r>
              <w:rPr>
                <w:rFonts w:ascii="Arial" w:cs="Arial" w:eastAsia="Arial" w:hAnsi="Arial"/>
                <w:sz w:val="14"/>
                <w:szCs w:val="14"/>
                <w:color w:val="auto"/>
              </w:rPr>
              <w:t>793</w:t>
            </w:r>
          </w:p>
        </w:tc>
        <w:tc>
          <w:tcPr>
            <w:tcW w:w="760" w:type="dxa"/>
            <w:vAlign w:val="bottom"/>
            <w:tcBorders>
              <w:bottom w:val="single" w:sz="8" w:color="auto"/>
            </w:tcBorders>
            <w:gridSpan w:val="2"/>
          </w:tcPr>
          <w:p>
            <w:pPr>
              <w:jc w:val="right"/>
              <w:ind w:right="220"/>
              <w:spacing w:after="0" w:line="155" w:lineRule="exact"/>
              <w:rPr>
                <w:sz w:val="20"/>
                <w:szCs w:val="20"/>
                <w:color w:val="auto"/>
              </w:rPr>
            </w:pPr>
            <w:r>
              <w:rPr>
                <w:rFonts w:ascii="Arial" w:cs="Arial" w:eastAsia="Arial" w:hAnsi="Arial"/>
                <w:sz w:val="14"/>
                <w:szCs w:val="14"/>
                <w:color w:val="auto"/>
              </w:rPr>
              <w:t>1,706</w:t>
            </w:r>
          </w:p>
        </w:tc>
        <w:tc>
          <w:tcPr>
            <w:tcW w:w="760" w:type="dxa"/>
            <w:vAlign w:val="bottom"/>
            <w:tcBorders>
              <w:bottom w:val="single" w:sz="8" w:color="auto"/>
            </w:tcBorders>
            <w:gridSpan w:val="2"/>
          </w:tcPr>
          <w:p>
            <w:pPr>
              <w:jc w:val="right"/>
              <w:ind w:right="220"/>
              <w:spacing w:after="0" w:line="155" w:lineRule="exact"/>
              <w:rPr>
                <w:sz w:val="20"/>
                <w:szCs w:val="20"/>
                <w:color w:val="auto"/>
              </w:rPr>
            </w:pPr>
            <w:r>
              <w:rPr>
                <w:rFonts w:ascii="Arial" w:cs="Arial" w:eastAsia="Arial" w:hAnsi="Arial"/>
                <w:sz w:val="14"/>
                <w:szCs w:val="14"/>
                <w:color w:val="auto"/>
              </w:rPr>
              <w:t>174</w:t>
            </w:r>
          </w:p>
        </w:tc>
        <w:tc>
          <w:tcPr>
            <w:tcW w:w="740" w:type="dxa"/>
            <w:vAlign w:val="bottom"/>
            <w:tcBorders>
              <w:bottom w:val="single" w:sz="8" w:color="auto"/>
            </w:tcBorders>
            <w:gridSpan w:val="2"/>
          </w:tcPr>
          <w:p>
            <w:pPr>
              <w:jc w:val="right"/>
              <w:ind w:right="220"/>
              <w:spacing w:after="0" w:line="155" w:lineRule="exact"/>
              <w:rPr>
                <w:sz w:val="20"/>
                <w:szCs w:val="20"/>
                <w:color w:val="auto"/>
              </w:rPr>
            </w:pPr>
            <w:r>
              <w:rPr>
                <w:rFonts w:ascii="Arial" w:cs="Arial" w:eastAsia="Arial" w:hAnsi="Arial"/>
                <w:sz w:val="14"/>
                <w:szCs w:val="14"/>
                <w:color w:val="auto"/>
              </w:rPr>
              <w:t>688</w:t>
            </w:r>
          </w:p>
        </w:tc>
        <w:tc>
          <w:tcPr>
            <w:tcW w:w="620" w:type="dxa"/>
            <w:vAlign w:val="bottom"/>
            <w:tcBorders>
              <w:bottom w:val="single" w:sz="8" w:color="auto"/>
            </w:tcBorders>
          </w:tcPr>
          <w:p>
            <w:pPr>
              <w:jc w:val="right"/>
              <w:ind w:right="9"/>
              <w:spacing w:after="0" w:line="155" w:lineRule="exact"/>
              <w:rPr>
                <w:sz w:val="20"/>
                <w:szCs w:val="20"/>
                <w:color w:val="auto"/>
              </w:rPr>
            </w:pPr>
            <w:r>
              <w:rPr>
                <w:rFonts w:ascii="Arial" w:cs="Arial" w:eastAsia="Arial" w:hAnsi="Arial"/>
                <w:sz w:val="14"/>
                <w:szCs w:val="14"/>
                <w:color w:val="auto"/>
              </w:rPr>
              <w:t>903</w:t>
            </w:r>
          </w:p>
        </w:tc>
        <w:tc>
          <w:tcPr>
            <w:tcW w:w="8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gridSpan w:val="2"/>
          </w:tcPr>
          <w:p>
            <w:pPr>
              <w:jc w:val="right"/>
              <w:ind w:right="129"/>
              <w:spacing w:after="0" w:line="155" w:lineRule="exact"/>
              <w:rPr>
                <w:sz w:val="20"/>
                <w:szCs w:val="20"/>
                <w:color w:val="auto"/>
              </w:rPr>
            </w:pPr>
            <w:r>
              <w:rPr>
                <w:rFonts w:ascii="Arial" w:cs="Arial" w:eastAsia="Arial" w:hAnsi="Arial"/>
                <w:sz w:val="14"/>
                <w:szCs w:val="14"/>
                <w:color w:val="auto"/>
              </w:rPr>
              <w:t>33</w:t>
            </w:r>
          </w:p>
        </w:tc>
        <w:tc>
          <w:tcPr>
            <w:tcW w:w="800" w:type="dxa"/>
            <w:vAlign w:val="bottom"/>
            <w:tcBorders>
              <w:bottom w:val="single" w:sz="8" w:color="auto"/>
            </w:tcBorders>
          </w:tcPr>
          <w:p>
            <w:pPr>
              <w:jc w:val="right"/>
              <w:ind w:right="69"/>
              <w:spacing w:after="0" w:line="155" w:lineRule="exact"/>
              <w:rPr>
                <w:sz w:val="20"/>
                <w:szCs w:val="20"/>
                <w:color w:val="auto"/>
              </w:rPr>
            </w:pPr>
            <w:r>
              <w:rPr>
                <w:rFonts w:ascii="Arial" w:cs="Arial" w:eastAsia="Arial" w:hAnsi="Arial"/>
                <w:sz w:val="14"/>
                <w:szCs w:val="14"/>
                <w:color w:val="auto"/>
              </w:rPr>
              <w:t>1,763</w:t>
            </w:r>
          </w:p>
        </w:tc>
        <w:tc>
          <w:tcPr>
            <w:tcW w:w="640" w:type="dxa"/>
            <w:vAlign w:val="bottom"/>
            <w:tcBorders>
              <w:bottom w:val="single" w:sz="8" w:color="auto"/>
            </w:tcBorders>
          </w:tcPr>
          <w:p>
            <w:pPr>
              <w:jc w:val="right"/>
              <w:ind w:right="29"/>
              <w:spacing w:after="0" w:line="155" w:lineRule="exact"/>
              <w:rPr>
                <w:sz w:val="20"/>
                <w:szCs w:val="20"/>
                <w:color w:val="auto"/>
              </w:rPr>
            </w:pPr>
            <w:r>
              <w:rPr>
                <w:rFonts w:ascii="Arial" w:cs="Arial" w:eastAsia="Arial" w:hAnsi="Arial"/>
                <w:sz w:val="14"/>
                <w:szCs w:val="14"/>
                <w:color w:val="auto"/>
              </w:rPr>
              <w:t>49</w:t>
            </w:r>
          </w:p>
        </w:tc>
        <w:tc>
          <w:tcPr>
            <w:tcW w:w="900" w:type="dxa"/>
            <w:vAlign w:val="bottom"/>
            <w:tcBorders>
              <w:bottom w:val="single" w:sz="8" w:color="auto"/>
            </w:tcBorders>
            <w:gridSpan w:val="3"/>
          </w:tcPr>
          <w:p>
            <w:pPr>
              <w:jc w:val="right"/>
              <w:ind w:right="220"/>
              <w:spacing w:after="0" w:line="155" w:lineRule="exact"/>
              <w:rPr>
                <w:sz w:val="20"/>
                <w:szCs w:val="20"/>
                <w:color w:val="auto"/>
              </w:rPr>
            </w:pPr>
            <w:r>
              <w:rPr>
                <w:rFonts w:ascii="Arial" w:cs="Arial" w:eastAsia="Arial" w:hAnsi="Arial"/>
                <w:sz w:val="14"/>
                <w:szCs w:val="14"/>
                <w:color w:val="auto"/>
              </w:rPr>
              <w:t>87</w:t>
            </w:r>
          </w:p>
        </w:tc>
        <w:tc>
          <w:tcPr>
            <w:tcW w:w="660" w:type="dxa"/>
            <w:vAlign w:val="bottom"/>
            <w:tcBorders>
              <w:bottom w:val="single" w:sz="8" w:color="auto"/>
            </w:tcBorders>
          </w:tcPr>
          <w:p>
            <w:pPr>
              <w:jc w:val="right"/>
              <w:ind w:right="70"/>
              <w:spacing w:after="0" w:line="155" w:lineRule="exact"/>
              <w:rPr>
                <w:sz w:val="20"/>
                <w:szCs w:val="20"/>
                <w:color w:val="auto"/>
              </w:rPr>
            </w:pPr>
            <w:r>
              <w:rPr>
                <w:rFonts w:ascii="Arial" w:cs="Arial" w:eastAsia="Arial" w:hAnsi="Arial"/>
                <w:sz w:val="14"/>
                <w:szCs w:val="14"/>
                <w:color w:val="auto"/>
              </w:rPr>
              <w:t>4,384</w:t>
            </w:r>
          </w:p>
        </w:tc>
        <w:tc>
          <w:tcPr>
            <w:tcW w:w="740" w:type="dxa"/>
            <w:vAlign w:val="bottom"/>
            <w:tcBorders>
              <w:bottom w:val="single" w:sz="8" w:color="auto"/>
            </w:tcBorders>
          </w:tcPr>
          <w:p>
            <w:pPr>
              <w:jc w:val="right"/>
              <w:ind w:right="69"/>
              <w:spacing w:after="0" w:line="155" w:lineRule="exact"/>
              <w:rPr>
                <w:sz w:val="20"/>
                <w:szCs w:val="20"/>
                <w:color w:val="auto"/>
              </w:rPr>
            </w:pPr>
            <w:r>
              <w:rPr>
                <w:rFonts w:ascii="Arial" w:cs="Arial" w:eastAsia="Arial" w:hAnsi="Arial"/>
                <w:sz w:val="14"/>
                <w:szCs w:val="14"/>
                <w:color w:val="auto"/>
              </w:rPr>
              <w:t>1,763</w:t>
            </w:r>
          </w:p>
        </w:tc>
        <w:tc>
          <w:tcPr>
            <w:tcW w:w="660" w:type="dxa"/>
            <w:vAlign w:val="bottom"/>
            <w:tcBorders>
              <w:bottom w:val="single" w:sz="8" w:color="auto"/>
            </w:tcBorders>
          </w:tcPr>
          <w:p>
            <w:pPr>
              <w:jc w:val="right"/>
              <w:ind w:right="28"/>
              <w:spacing w:after="0" w:line="155" w:lineRule="exact"/>
              <w:rPr>
                <w:sz w:val="20"/>
                <w:szCs w:val="20"/>
                <w:color w:val="auto"/>
              </w:rPr>
            </w:pPr>
            <w:r>
              <w:rPr>
                <w:rFonts w:ascii="Arial" w:cs="Arial" w:eastAsia="Arial" w:hAnsi="Arial"/>
                <w:sz w:val="14"/>
                <w:szCs w:val="14"/>
                <w:color w:val="auto"/>
              </w:rPr>
              <w:t>49</w:t>
            </w:r>
          </w:p>
        </w:tc>
        <w:tc>
          <w:tcPr>
            <w:tcW w:w="660" w:type="dxa"/>
            <w:vAlign w:val="bottom"/>
            <w:tcBorders>
              <w:bottom w:val="single" w:sz="8" w:color="auto"/>
            </w:tcBorders>
          </w:tcPr>
          <w:p>
            <w:pPr>
              <w:jc w:val="right"/>
              <w:ind w:right="29"/>
              <w:spacing w:after="0" w:line="155" w:lineRule="exact"/>
              <w:rPr>
                <w:sz w:val="20"/>
                <w:szCs w:val="20"/>
                <w:color w:val="auto"/>
              </w:rPr>
            </w:pPr>
            <w:r>
              <w:rPr>
                <w:rFonts w:ascii="Arial" w:cs="Arial" w:eastAsia="Arial" w:hAnsi="Arial"/>
                <w:sz w:val="14"/>
                <w:szCs w:val="14"/>
                <w:color w:val="auto"/>
              </w:rPr>
              <w:t>6,196</w:t>
            </w:r>
          </w:p>
        </w:tc>
        <w:tc>
          <w:tcPr>
            <w:tcW w:w="0" w:type="dxa"/>
            <w:vAlign w:val="bottom"/>
          </w:tcPr>
          <w:p>
            <w:pPr>
              <w:spacing w:after="0"/>
              <w:rPr>
                <w:sz w:val="1"/>
                <w:szCs w:val="1"/>
                <w:color w:val="auto"/>
              </w:rPr>
            </w:pPr>
          </w:p>
        </w:tc>
      </w:tr>
      <w:tr>
        <w:trPr>
          <w:trHeight w:val="160"/>
        </w:trPr>
        <w:tc>
          <w:tcPr>
            <w:tcW w:w="1880" w:type="dxa"/>
            <w:vAlign w:val="bottom"/>
            <w:gridSpan w:val="2"/>
          </w:tcPr>
          <w:p>
            <w:pPr>
              <w:spacing w:after="0"/>
              <w:rPr>
                <w:sz w:val="20"/>
                <w:szCs w:val="20"/>
                <w:color w:val="auto"/>
              </w:rPr>
            </w:pPr>
            <w:r>
              <w:rPr>
                <w:rFonts w:ascii="Arial" w:cs="Arial" w:eastAsia="Arial" w:hAnsi="Arial"/>
                <w:sz w:val="14"/>
                <w:szCs w:val="14"/>
                <w:color w:val="auto"/>
              </w:rPr>
              <w:t>Reserves attributable to non-</w:t>
            </w:r>
          </w:p>
        </w:tc>
        <w:tc>
          <w:tcPr>
            <w:tcW w:w="5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1880" w:type="dxa"/>
            <w:vAlign w:val="bottom"/>
            <w:gridSpan w:val="2"/>
          </w:tcPr>
          <w:p>
            <w:pPr>
              <w:ind w:left="160"/>
              <w:spacing w:after="0"/>
              <w:rPr>
                <w:sz w:val="20"/>
                <w:szCs w:val="20"/>
                <w:color w:val="auto"/>
              </w:rPr>
            </w:pPr>
            <w:r>
              <w:rPr>
                <w:rFonts w:ascii="Arial" w:cs="Arial" w:eastAsia="Arial" w:hAnsi="Arial"/>
                <w:sz w:val="14"/>
                <w:szCs w:val="14"/>
                <w:color w:val="auto"/>
              </w:rPr>
              <w:t>controlling interest in Shell</w:t>
            </w: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880" w:type="dxa"/>
            <w:vAlign w:val="bottom"/>
            <w:gridSpan w:val="2"/>
          </w:tcPr>
          <w:p>
            <w:pPr>
              <w:ind w:left="160"/>
              <w:spacing w:after="0"/>
              <w:rPr>
                <w:sz w:val="20"/>
                <w:szCs w:val="20"/>
                <w:color w:val="auto"/>
              </w:rPr>
            </w:pPr>
            <w:r>
              <w:rPr>
                <w:rFonts w:ascii="Arial" w:cs="Arial" w:eastAsia="Arial" w:hAnsi="Arial"/>
                <w:sz w:val="14"/>
                <w:szCs w:val="14"/>
                <w:color w:val="auto"/>
              </w:rPr>
              <w:t>subsidiaries at</w:t>
            </w: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1880" w:type="dxa"/>
            <w:vAlign w:val="bottom"/>
            <w:tcBorders>
              <w:bottom w:val="single" w:sz="8" w:color="auto"/>
            </w:tcBorders>
            <w:gridSpan w:val="2"/>
          </w:tcPr>
          <w:p>
            <w:pPr>
              <w:ind w:left="160"/>
              <w:spacing w:after="0" w:line="157" w:lineRule="exact"/>
              <w:rPr>
                <w:sz w:val="20"/>
                <w:szCs w:val="20"/>
                <w:color w:val="auto"/>
              </w:rPr>
            </w:pPr>
            <w:r>
              <w:rPr>
                <w:rFonts w:ascii="Arial" w:cs="Arial" w:eastAsia="Arial" w:hAnsi="Arial"/>
                <w:sz w:val="14"/>
                <w:szCs w:val="14"/>
                <w:color w:val="auto"/>
              </w:rPr>
              <w:t>December 31</w:t>
            </w:r>
          </w:p>
        </w:tc>
        <w:tc>
          <w:tcPr>
            <w:tcW w:w="740" w:type="dxa"/>
            <w:vAlign w:val="bottom"/>
            <w:tcBorders>
              <w:bottom w:val="single" w:sz="8" w:color="auto"/>
            </w:tcBorders>
            <w:gridSpan w:val="2"/>
          </w:tcPr>
          <w:p>
            <w:pPr>
              <w:jc w:val="right"/>
              <w:ind w:right="200"/>
              <w:spacing w:after="0" w:line="157" w:lineRule="exact"/>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gridSpan w:val="2"/>
          </w:tcPr>
          <w:p>
            <w:pPr>
              <w:jc w:val="right"/>
              <w:ind w:right="220"/>
              <w:spacing w:after="0" w:line="157" w:lineRule="exact"/>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gridSpan w:val="2"/>
          </w:tcPr>
          <w:p>
            <w:pPr>
              <w:jc w:val="right"/>
              <w:ind w:right="220"/>
              <w:spacing w:after="0" w:line="157" w:lineRule="exact"/>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gridSpan w:val="2"/>
          </w:tcPr>
          <w:p>
            <w:pPr>
              <w:jc w:val="right"/>
              <w:ind w:right="220"/>
              <w:spacing w:after="0" w:line="157" w:lineRule="exact"/>
              <w:rPr>
                <w:sz w:val="20"/>
                <w:szCs w:val="20"/>
                <w:color w:val="auto"/>
              </w:rPr>
            </w:pPr>
            <w:r>
              <w:rPr>
                <w:rFonts w:ascii="Arial" w:cs="Arial" w:eastAsia="Arial" w:hAnsi="Arial"/>
                <w:sz w:val="14"/>
                <w:szCs w:val="14"/>
                <w:color w:val="auto"/>
              </w:rPr>
              <w:t>16</w:t>
            </w:r>
          </w:p>
        </w:tc>
        <w:tc>
          <w:tcPr>
            <w:tcW w:w="700" w:type="dxa"/>
            <w:vAlign w:val="bottom"/>
            <w:tcBorders>
              <w:bottom w:val="single" w:sz="8" w:color="auto"/>
            </w:tcBorders>
            <w:gridSpan w:val="2"/>
          </w:tcPr>
          <w:p>
            <w:pPr>
              <w:jc w:val="right"/>
              <w:ind w:right="160"/>
              <w:spacing w:after="0" w:line="157" w:lineRule="exact"/>
              <w:rPr>
                <w:sz w:val="20"/>
                <w:szCs w:val="20"/>
                <w:color w:val="auto"/>
              </w:rPr>
            </w:pPr>
            <w:r>
              <w:rPr>
                <w:rFonts w:ascii="Arial" w:cs="Arial" w:eastAsia="Arial" w:hAnsi="Arial"/>
                <w:sz w:val="14"/>
                <w:szCs w:val="14"/>
                <w:color w:val="auto"/>
              </w:rPr>
              <w:t>–</w:t>
            </w:r>
          </w:p>
        </w:tc>
        <w:tc>
          <w:tcPr>
            <w:tcW w:w="4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129"/>
              <w:spacing w:after="0" w:line="157" w:lineRule="exact"/>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tcPr>
          <w:p>
            <w:pPr>
              <w:jc w:val="right"/>
              <w:ind w:right="69"/>
              <w:spacing w:after="0" w:line="157" w:lineRule="exact"/>
              <w:rPr>
                <w:sz w:val="20"/>
                <w:szCs w:val="20"/>
                <w:color w:val="auto"/>
              </w:rPr>
            </w:pPr>
            <w:r>
              <w:rPr>
                <w:rFonts w:ascii="Arial" w:cs="Arial" w:eastAsia="Arial" w:hAnsi="Arial"/>
                <w:sz w:val="14"/>
                <w:szCs w:val="14"/>
                <w:color w:val="auto"/>
              </w:rPr>
              <w:t>–</w:t>
            </w:r>
          </w:p>
        </w:tc>
        <w:tc>
          <w:tcPr>
            <w:tcW w:w="640" w:type="dxa"/>
            <w:vAlign w:val="bottom"/>
            <w:tcBorders>
              <w:bottom w:val="single" w:sz="8" w:color="auto"/>
            </w:tcBorders>
          </w:tcPr>
          <w:p>
            <w:pPr>
              <w:jc w:val="right"/>
              <w:ind w:right="29"/>
              <w:spacing w:after="0" w:line="157" w:lineRule="exact"/>
              <w:rPr>
                <w:sz w:val="20"/>
                <w:szCs w:val="20"/>
                <w:color w:val="auto"/>
              </w:rPr>
            </w:pPr>
            <w:r>
              <w:rPr>
                <w:rFonts w:ascii="Arial" w:cs="Arial" w:eastAsia="Arial" w:hAnsi="Arial"/>
                <w:sz w:val="14"/>
                <w:szCs w:val="14"/>
                <w:color w:val="auto"/>
              </w:rPr>
              <w:t>–</w:t>
            </w:r>
          </w:p>
        </w:tc>
        <w:tc>
          <w:tcPr>
            <w:tcW w:w="12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gridSpan w:val="2"/>
          </w:tcPr>
          <w:p>
            <w:pPr>
              <w:jc w:val="right"/>
              <w:ind w:right="220"/>
              <w:spacing w:after="0" w:line="157" w:lineRule="exact"/>
              <w:rPr>
                <w:sz w:val="20"/>
                <w:szCs w:val="20"/>
                <w:color w:val="auto"/>
              </w:rPr>
            </w:pPr>
            <w:r>
              <w:rPr>
                <w:rFonts w:ascii="Arial" w:cs="Arial" w:eastAsia="Arial" w:hAnsi="Arial"/>
                <w:sz w:val="14"/>
                <w:szCs w:val="14"/>
                <w:color w:val="auto"/>
              </w:rPr>
              <w:t>–</w:t>
            </w:r>
          </w:p>
        </w:tc>
        <w:tc>
          <w:tcPr>
            <w:tcW w:w="660" w:type="dxa"/>
            <w:vAlign w:val="bottom"/>
            <w:tcBorders>
              <w:bottom w:val="single" w:sz="8" w:color="auto"/>
            </w:tcBorders>
          </w:tcPr>
          <w:p>
            <w:pPr>
              <w:jc w:val="right"/>
              <w:ind w:right="70"/>
              <w:spacing w:after="0" w:line="157" w:lineRule="exact"/>
              <w:rPr>
                <w:sz w:val="20"/>
                <w:szCs w:val="20"/>
                <w:color w:val="auto"/>
              </w:rPr>
            </w:pPr>
            <w:r>
              <w:rPr>
                <w:rFonts w:ascii="Arial" w:cs="Arial" w:eastAsia="Arial" w:hAnsi="Arial"/>
                <w:sz w:val="14"/>
                <w:szCs w:val="14"/>
                <w:color w:val="auto"/>
              </w:rPr>
              <w:t>16</w:t>
            </w:r>
          </w:p>
        </w:tc>
        <w:tc>
          <w:tcPr>
            <w:tcW w:w="740" w:type="dxa"/>
            <w:vAlign w:val="bottom"/>
            <w:tcBorders>
              <w:bottom w:val="single" w:sz="8" w:color="auto"/>
            </w:tcBorders>
          </w:tcPr>
          <w:p>
            <w:pPr>
              <w:jc w:val="right"/>
              <w:ind w:right="69"/>
              <w:spacing w:after="0" w:line="157" w:lineRule="exact"/>
              <w:rPr>
                <w:sz w:val="20"/>
                <w:szCs w:val="20"/>
                <w:color w:val="auto"/>
              </w:rPr>
            </w:pPr>
            <w:r>
              <w:rPr>
                <w:rFonts w:ascii="Arial" w:cs="Arial" w:eastAsia="Arial" w:hAnsi="Arial"/>
                <w:sz w:val="14"/>
                <w:szCs w:val="14"/>
                <w:color w:val="auto"/>
              </w:rPr>
              <w:t>–</w:t>
            </w:r>
          </w:p>
        </w:tc>
        <w:tc>
          <w:tcPr>
            <w:tcW w:w="660" w:type="dxa"/>
            <w:vAlign w:val="bottom"/>
            <w:tcBorders>
              <w:bottom w:val="single" w:sz="8" w:color="auto"/>
            </w:tcBorders>
          </w:tcPr>
          <w:p>
            <w:pPr>
              <w:jc w:val="right"/>
              <w:ind w:right="28"/>
              <w:spacing w:after="0" w:line="157" w:lineRule="exact"/>
              <w:rPr>
                <w:sz w:val="20"/>
                <w:szCs w:val="20"/>
                <w:color w:val="auto"/>
              </w:rPr>
            </w:pPr>
            <w:r>
              <w:rPr>
                <w:rFonts w:ascii="Arial" w:cs="Arial" w:eastAsia="Arial" w:hAnsi="Arial"/>
                <w:sz w:val="14"/>
                <w:szCs w:val="14"/>
                <w:color w:val="auto"/>
              </w:rPr>
              <w:t>–</w:t>
            </w:r>
          </w:p>
        </w:tc>
        <w:tc>
          <w:tcPr>
            <w:tcW w:w="660" w:type="dxa"/>
            <w:vAlign w:val="bottom"/>
            <w:tcBorders>
              <w:bottom w:val="single" w:sz="8" w:color="auto"/>
            </w:tcBorders>
          </w:tcPr>
          <w:p>
            <w:pPr>
              <w:jc w:val="right"/>
              <w:ind w:right="29"/>
              <w:spacing w:after="0" w:line="157" w:lineRule="exact"/>
              <w:rPr>
                <w:sz w:val="20"/>
                <w:szCs w:val="20"/>
                <w:color w:val="auto"/>
              </w:rPr>
            </w:pPr>
            <w:r>
              <w:rPr>
                <w:rFonts w:ascii="Arial" w:cs="Arial" w:eastAsia="Arial" w:hAnsi="Arial"/>
                <w:sz w:val="14"/>
                <w:szCs w:val="14"/>
                <w:color w:val="auto"/>
              </w:rPr>
              <w:t>16</w:t>
            </w:r>
          </w:p>
        </w:tc>
        <w:tc>
          <w:tcPr>
            <w:tcW w:w="0" w:type="dxa"/>
            <w:vAlign w:val="bottom"/>
          </w:tcPr>
          <w:p>
            <w:pPr>
              <w:spacing w:after="0"/>
              <w:rPr>
                <w:sz w:val="1"/>
                <w:szCs w:val="1"/>
                <w:color w:val="auto"/>
              </w:rPr>
            </w:pPr>
          </w:p>
        </w:tc>
      </w:tr>
    </w:tbl>
    <w:p>
      <w:pPr>
        <w:spacing w:after="0" w:line="37" w:lineRule="exact"/>
        <w:rPr>
          <w:sz w:val="20"/>
          <w:szCs w:val="20"/>
          <w:color w:val="auto"/>
        </w:rPr>
      </w:pPr>
    </w:p>
    <w:p>
      <w:pPr>
        <w:spacing w:after="0"/>
        <w:rPr>
          <w:sz w:val="20"/>
          <w:szCs w:val="20"/>
          <w:color w:val="auto"/>
        </w:rPr>
      </w:pPr>
      <w:r>
        <w:rPr>
          <w:rFonts w:ascii="Arial" w:cs="Arial" w:eastAsia="Arial" w:hAnsi="Arial"/>
          <w:sz w:val="11"/>
          <w:szCs w:val="11"/>
          <w:color w:val="auto"/>
        </w:rPr>
        <w:t>[A] Includes 2 million barrels consumed in operations.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3380" w:type="dxa"/>
            <w:vAlign w:val="bottom"/>
            <w:gridSpan w:val="5"/>
            <w:shd w:val="clear" w:color="auto" w:fill="333333"/>
          </w:tcPr>
          <w:p>
            <w:pPr>
              <w:ind w:left="80"/>
              <w:spacing w:after="0"/>
              <w:rPr>
                <w:sz w:val="20"/>
                <w:szCs w:val="20"/>
                <w:color w:val="auto"/>
              </w:rPr>
            </w:pPr>
            <w:r>
              <w:rPr>
                <w:rFonts w:ascii="Arial" w:cs="Arial" w:eastAsia="Arial" w:hAnsi="Arial"/>
                <w:sz w:val="15"/>
                <w:szCs w:val="15"/>
                <w:b w:val="1"/>
                <w:bCs w:val="1"/>
                <w:color w:val="FFFFFF"/>
              </w:rPr>
              <w:t>PROVED DEVELOPED RESERVES 2012</w:t>
            </w:r>
          </w:p>
        </w:tc>
        <w:tc>
          <w:tcPr>
            <w:tcW w:w="560" w:type="dxa"/>
            <w:vAlign w:val="bottom"/>
            <w:shd w:val="clear" w:color="auto" w:fill="333333"/>
          </w:tcPr>
          <w:p>
            <w:pPr>
              <w:spacing w:after="0"/>
              <w:rPr>
                <w:sz w:val="15"/>
                <w:szCs w:val="15"/>
                <w:color w:val="auto"/>
              </w:rPr>
            </w:pPr>
          </w:p>
        </w:tc>
        <w:tc>
          <w:tcPr>
            <w:tcW w:w="200" w:type="dxa"/>
            <w:vAlign w:val="bottom"/>
            <w:shd w:val="clear" w:color="auto" w:fill="333333"/>
          </w:tcPr>
          <w:p>
            <w:pPr>
              <w:spacing w:after="0"/>
              <w:rPr>
                <w:sz w:val="15"/>
                <w:szCs w:val="15"/>
                <w:color w:val="auto"/>
              </w:rPr>
            </w:pPr>
          </w:p>
        </w:tc>
        <w:tc>
          <w:tcPr>
            <w:tcW w:w="520" w:type="dxa"/>
            <w:vAlign w:val="bottom"/>
            <w:shd w:val="clear" w:color="auto" w:fill="333333"/>
          </w:tcPr>
          <w:p>
            <w:pPr>
              <w:spacing w:after="0"/>
              <w:rPr>
                <w:sz w:val="15"/>
                <w:szCs w:val="15"/>
                <w:color w:val="auto"/>
              </w:rPr>
            </w:pPr>
          </w:p>
        </w:tc>
        <w:tc>
          <w:tcPr>
            <w:tcW w:w="200" w:type="dxa"/>
            <w:vAlign w:val="bottom"/>
            <w:shd w:val="clear" w:color="auto" w:fill="333333"/>
          </w:tcPr>
          <w:p>
            <w:pPr>
              <w:spacing w:after="0"/>
              <w:rPr>
                <w:sz w:val="15"/>
                <w:szCs w:val="15"/>
                <w:color w:val="auto"/>
              </w:rPr>
            </w:pPr>
          </w:p>
        </w:tc>
        <w:tc>
          <w:tcPr>
            <w:tcW w:w="620" w:type="dxa"/>
            <w:vAlign w:val="bottom"/>
            <w:shd w:val="clear" w:color="auto" w:fill="333333"/>
          </w:tcPr>
          <w:p>
            <w:pPr>
              <w:spacing w:after="0"/>
              <w:rPr>
                <w:sz w:val="15"/>
                <w:szCs w:val="15"/>
                <w:color w:val="auto"/>
              </w:rPr>
            </w:pPr>
          </w:p>
        </w:tc>
        <w:tc>
          <w:tcPr>
            <w:tcW w:w="120" w:type="dxa"/>
            <w:vAlign w:val="bottom"/>
            <w:shd w:val="clear" w:color="auto" w:fill="333333"/>
          </w:tcPr>
          <w:p>
            <w:pPr>
              <w:spacing w:after="0"/>
              <w:rPr>
                <w:sz w:val="15"/>
                <w:szCs w:val="15"/>
                <w:color w:val="auto"/>
              </w:rPr>
            </w:pPr>
          </w:p>
        </w:tc>
        <w:tc>
          <w:tcPr>
            <w:tcW w:w="700" w:type="dxa"/>
            <w:vAlign w:val="bottom"/>
            <w:shd w:val="clear" w:color="auto" w:fill="333333"/>
          </w:tcPr>
          <w:p>
            <w:pPr>
              <w:spacing w:after="0"/>
              <w:rPr>
                <w:sz w:val="15"/>
                <w:szCs w:val="15"/>
                <w:color w:val="auto"/>
              </w:rPr>
            </w:pPr>
          </w:p>
        </w:tc>
        <w:tc>
          <w:tcPr>
            <w:tcW w:w="840" w:type="dxa"/>
            <w:vAlign w:val="bottom"/>
            <w:shd w:val="clear" w:color="auto" w:fill="333333"/>
          </w:tcPr>
          <w:p>
            <w:pPr>
              <w:spacing w:after="0"/>
              <w:rPr>
                <w:sz w:val="15"/>
                <w:szCs w:val="15"/>
                <w:color w:val="auto"/>
              </w:rPr>
            </w:pPr>
          </w:p>
        </w:tc>
        <w:tc>
          <w:tcPr>
            <w:tcW w:w="720" w:type="dxa"/>
            <w:vAlign w:val="bottom"/>
            <w:shd w:val="clear" w:color="auto" w:fill="333333"/>
          </w:tcPr>
          <w:p>
            <w:pPr>
              <w:spacing w:after="0"/>
              <w:rPr>
                <w:sz w:val="15"/>
                <w:szCs w:val="15"/>
                <w:color w:val="auto"/>
              </w:rPr>
            </w:pPr>
          </w:p>
        </w:tc>
        <w:tc>
          <w:tcPr>
            <w:tcW w:w="120" w:type="dxa"/>
            <w:vAlign w:val="bottom"/>
            <w:shd w:val="clear" w:color="auto" w:fill="333333"/>
          </w:tcPr>
          <w:p>
            <w:pPr>
              <w:spacing w:after="0"/>
              <w:rPr>
                <w:sz w:val="15"/>
                <w:szCs w:val="15"/>
                <w:color w:val="auto"/>
              </w:rPr>
            </w:pPr>
          </w:p>
        </w:tc>
        <w:tc>
          <w:tcPr>
            <w:tcW w:w="540" w:type="dxa"/>
            <w:vAlign w:val="bottom"/>
            <w:shd w:val="clear" w:color="auto" w:fill="333333"/>
          </w:tcPr>
          <w:p>
            <w:pPr>
              <w:spacing w:after="0"/>
              <w:rPr>
                <w:sz w:val="15"/>
                <w:szCs w:val="15"/>
                <w:color w:val="auto"/>
              </w:rPr>
            </w:pPr>
          </w:p>
        </w:tc>
        <w:tc>
          <w:tcPr>
            <w:tcW w:w="220" w:type="dxa"/>
            <w:vAlign w:val="bottom"/>
            <w:shd w:val="clear" w:color="auto" w:fill="333333"/>
          </w:tcPr>
          <w:p>
            <w:pPr>
              <w:spacing w:after="0"/>
              <w:rPr>
                <w:sz w:val="15"/>
                <w:szCs w:val="15"/>
                <w:color w:val="auto"/>
              </w:rPr>
            </w:pPr>
          </w:p>
        </w:tc>
        <w:tc>
          <w:tcPr>
            <w:tcW w:w="620" w:type="dxa"/>
            <w:vAlign w:val="bottom"/>
            <w:shd w:val="clear" w:color="auto" w:fill="333333"/>
          </w:tcPr>
          <w:p>
            <w:pPr>
              <w:spacing w:after="0"/>
              <w:rPr>
                <w:sz w:val="15"/>
                <w:szCs w:val="15"/>
                <w:color w:val="auto"/>
              </w:rPr>
            </w:pPr>
          </w:p>
        </w:tc>
        <w:tc>
          <w:tcPr>
            <w:tcW w:w="2060" w:type="dxa"/>
            <w:vAlign w:val="bottom"/>
            <w:gridSpan w:val="3"/>
            <w:shd w:val="clear" w:color="auto" w:fill="333333"/>
          </w:tcPr>
          <w:p>
            <w:pPr>
              <w:jc w:val="right"/>
              <w:ind w:right="32"/>
              <w:spacing w:after="0"/>
              <w:rPr>
                <w:sz w:val="20"/>
                <w:szCs w:val="20"/>
                <w:color w:val="auto"/>
              </w:rPr>
            </w:pPr>
            <w:r>
              <w:rPr>
                <w:rFonts w:ascii="Arial" w:cs="Arial" w:eastAsia="Arial" w:hAnsi="Arial"/>
                <w:sz w:val="15"/>
                <w:szCs w:val="15"/>
                <w:color w:val="FFFFFF"/>
              </w:rPr>
              <w:t>MILLION BARRELS</w:t>
            </w:r>
          </w:p>
        </w:tc>
      </w:tr>
      <w:tr>
        <w:trPr>
          <w:trHeight w:val="135"/>
        </w:trPr>
        <w:tc>
          <w:tcPr>
            <w:tcW w:w="19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1560" w:type="dxa"/>
            <w:vAlign w:val="bottom"/>
            <w:tcBorders>
              <w:bottom w:val="single" w:sz="8" w:color="auto"/>
            </w:tcBorders>
            <w:gridSpan w:val="2"/>
          </w:tcPr>
          <w:p>
            <w:pPr>
              <w:jc w:val="right"/>
              <w:ind w:right="11"/>
              <w:spacing w:after="0" w:line="115" w:lineRule="exact"/>
              <w:rPr>
                <w:sz w:val="20"/>
                <w:szCs w:val="20"/>
                <w:color w:val="auto"/>
              </w:rPr>
            </w:pPr>
            <w:r>
              <w:rPr>
                <w:rFonts w:ascii="Arial" w:cs="Arial" w:eastAsia="Arial" w:hAnsi="Arial"/>
                <w:sz w:val="13"/>
                <w:szCs w:val="13"/>
                <w:color w:val="auto"/>
              </w:rPr>
              <w:t>North America</w:t>
            </w:r>
          </w:p>
        </w:tc>
        <w:tc>
          <w:tcPr>
            <w:tcW w:w="120" w:type="dxa"/>
            <w:vAlign w:val="bottom"/>
          </w:tcPr>
          <w:p>
            <w:pPr>
              <w:spacing w:after="0"/>
              <w:rPr>
                <w:sz w:val="11"/>
                <w:szCs w:val="11"/>
                <w:color w:val="auto"/>
              </w:rPr>
            </w:pPr>
          </w:p>
        </w:tc>
        <w:tc>
          <w:tcPr>
            <w:tcW w:w="760" w:type="dxa"/>
            <w:vAlign w:val="bottom"/>
            <w:gridSpan w:val="2"/>
          </w:tcPr>
          <w:p>
            <w:pPr>
              <w:jc w:val="right"/>
              <w:ind w:right="220"/>
              <w:spacing w:after="0" w:line="129" w:lineRule="exact"/>
              <w:rPr>
                <w:sz w:val="20"/>
                <w:szCs w:val="20"/>
                <w:color w:val="auto"/>
              </w:rPr>
            </w:pPr>
            <w:r>
              <w:rPr>
                <w:rFonts w:ascii="Arial" w:cs="Arial" w:eastAsia="Arial" w:hAnsi="Arial"/>
                <w:sz w:val="13"/>
                <w:szCs w:val="13"/>
                <w:color w:val="auto"/>
              </w:rPr>
              <w:t>South</w:t>
            </w:r>
          </w:p>
        </w:tc>
        <w:tc>
          <w:tcPr>
            <w:tcW w:w="6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r>
      <w:tr>
        <w:trPr>
          <w:trHeight w:val="156"/>
        </w:trPr>
        <w:tc>
          <w:tcPr>
            <w:tcW w:w="1920" w:type="dxa"/>
            <w:vAlign w:val="bottom"/>
          </w:tcPr>
          <w:p>
            <w:pPr>
              <w:spacing w:after="0"/>
              <w:rPr>
                <w:sz w:val="13"/>
                <w:szCs w:val="13"/>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3"/>
                <w:szCs w:val="13"/>
                <w:color w:val="auto"/>
              </w:rPr>
              <w:t>Europe</w:t>
            </w:r>
          </w:p>
        </w:tc>
        <w:tc>
          <w:tcPr>
            <w:tcW w:w="720" w:type="dxa"/>
            <w:vAlign w:val="bottom"/>
            <w:gridSpan w:val="2"/>
          </w:tcPr>
          <w:p>
            <w:pPr>
              <w:jc w:val="right"/>
              <w:ind w:right="200"/>
              <w:spacing w:after="0"/>
              <w:rPr>
                <w:sz w:val="20"/>
                <w:szCs w:val="20"/>
                <w:color w:val="auto"/>
              </w:rPr>
            </w:pPr>
            <w:r>
              <w:rPr>
                <w:rFonts w:ascii="Arial" w:cs="Arial" w:eastAsia="Arial" w:hAnsi="Arial"/>
                <w:sz w:val="13"/>
                <w:szCs w:val="13"/>
                <w:color w:val="auto"/>
              </w:rPr>
              <w:t>Asia</w:t>
            </w:r>
          </w:p>
        </w:tc>
        <w:tc>
          <w:tcPr>
            <w:tcW w:w="760" w:type="dxa"/>
            <w:vAlign w:val="bottom"/>
            <w:gridSpan w:val="2"/>
          </w:tcPr>
          <w:p>
            <w:pPr>
              <w:jc w:val="right"/>
              <w:ind w:right="200"/>
              <w:spacing w:after="0"/>
              <w:rPr>
                <w:sz w:val="20"/>
                <w:szCs w:val="20"/>
                <w:color w:val="auto"/>
              </w:rPr>
            </w:pPr>
            <w:r>
              <w:rPr>
                <w:rFonts w:ascii="Arial" w:cs="Arial" w:eastAsia="Arial" w:hAnsi="Arial"/>
                <w:sz w:val="13"/>
                <w:szCs w:val="13"/>
                <w:color w:val="auto"/>
              </w:rPr>
              <w:t>Oceania</w:t>
            </w:r>
          </w:p>
        </w:tc>
        <w:tc>
          <w:tcPr>
            <w:tcW w:w="720" w:type="dxa"/>
            <w:vAlign w:val="bottom"/>
            <w:gridSpan w:val="2"/>
          </w:tcPr>
          <w:p>
            <w:pPr>
              <w:jc w:val="right"/>
              <w:ind w:right="200"/>
              <w:spacing w:after="0"/>
              <w:rPr>
                <w:sz w:val="20"/>
                <w:szCs w:val="20"/>
                <w:color w:val="auto"/>
              </w:rPr>
            </w:pPr>
            <w:r>
              <w:rPr>
                <w:rFonts w:ascii="Arial" w:cs="Arial" w:eastAsia="Arial" w:hAnsi="Arial"/>
                <w:sz w:val="13"/>
                <w:szCs w:val="13"/>
                <w:color w:val="auto"/>
              </w:rPr>
              <w:t>Africa</w:t>
            </w:r>
          </w:p>
        </w:tc>
        <w:tc>
          <w:tcPr>
            <w:tcW w:w="740" w:type="dxa"/>
            <w:vAlign w:val="bottom"/>
            <w:gridSpan w:val="2"/>
          </w:tcPr>
          <w:p>
            <w:pPr>
              <w:jc w:val="right"/>
              <w:ind w:right="200"/>
              <w:spacing w:after="0"/>
              <w:rPr>
                <w:sz w:val="20"/>
                <w:szCs w:val="20"/>
                <w:color w:val="auto"/>
              </w:rPr>
            </w:pPr>
            <w:r>
              <w:rPr>
                <w:rFonts w:ascii="Arial" w:cs="Arial" w:eastAsia="Arial" w:hAnsi="Arial"/>
                <w:sz w:val="13"/>
                <w:szCs w:val="13"/>
                <w:color w:val="auto"/>
              </w:rPr>
              <w:t>USA</w:t>
            </w:r>
          </w:p>
        </w:tc>
        <w:tc>
          <w:tcPr>
            <w:tcW w:w="7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720" w:type="dxa"/>
            <w:vAlign w:val="bottom"/>
          </w:tcPr>
          <w:p>
            <w:pPr>
              <w:jc w:val="right"/>
              <w:ind w:right="11"/>
              <w:spacing w:after="0"/>
              <w:rPr>
                <w:sz w:val="20"/>
                <w:szCs w:val="20"/>
                <w:color w:val="auto"/>
              </w:rPr>
            </w:pPr>
            <w:r>
              <w:rPr>
                <w:rFonts w:ascii="Arial" w:cs="Arial" w:eastAsia="Arial" w:hAnsi="Arial"/>
                <w:sz w:val="13"/>
                <w:szCs w:val="13"/>
                <w:color w:val="auto"/>
              </w:rPr>
              <w:t>Canada</w:t>
            </w:r>
          </w:p>
        </w:tc>
        <w:tc>
          <w:tcPr>
            <w:tcW w:w="120" w:type="dxa"/>
            <w:vAlign w:val="bottom"/>
          </w:tcPr>
          <w:p>
            <w:pPr>
              <w:spacing w:after="0"/>
              <w:rPr>
                <w:sz w:val="13"/>
                <w:szCs w:val="13"/>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3"/>
                <w:szCs w:val="13"/>
                <w:color w:val="auto"/>
              </w:rPr>
              <w:t>America</w:t>
            </w:r>
          </w:p>
        </w:tc>
        <w:tc>
          <w:tcPr>
            <w:tcW w:w="6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80" w:type="dxa"/>
            <w:vAlign w:val="bottom"/>
          </w:tcPr>
          <w:p>
            <w:pPr>
              <w:jc w:val="right"/>
              <w:ind w:right="32"/>
              <w:spacing w:after="0"/>
              <w:rPr>
                <w:sz w:val="20"/>
                <w:szCs w:val="20"/>
                <w:color w:val="auto"/>
              </w:rPr>
            </w:pPr>
            <w:r>
              <w:rPr>
                <w:rFonts w:ascii="Arial" w:cs="Arial" w:eastAsia="Arial" w:hAnsi="Arial"/>
                <w:sz w:val="13"/>
                <w:szCs w:val="13"/>
                <w:color w:val="auto"/>
              </w:rPr>
              <w:t>Total</w:t>
            </w:r>
          </w:p>
        </w:tc>
      </w:tr>
      <w:tr>
        <w:trPr>
          <w:trHeight w:val="123"/>
        </w:trPr>
        <w:tc>
          <w:tcPr>
            <w:tcW w:w="1920" w:type="dxa"/>
            <w:vAlign w:val="bottom"/>
          </w:tcPr>
          <w:p>
            <w:pPr>
              <w:spacing w:after="0"/>
              <w:rPr>
                <w:sz w:val="10"/>
                <w:szCs w:val="10"/>
                <w:color w:val="auto"/>
              </w:rPr>
            </w:pPr>
          </w:p>
        </w:tc>
        <w:tc>
          <w:tcPr>
            <w:tcW w:w="540" w:type="dxa"/>
            <w:vAlign w:val="bottom"/>
            <w:tcBorders>
              <w:top w:val="single" w:sz="8" w:color="auto"/>
            </w:tcBorders>
          </w:tcPr>
          <w:p>
            <w:pPr>
              <w:jc w:val="right"/>
              <w:spacing w:after="0" w:line="123" w:lineRule="exact"/>
              <w:rPr>
                <w:sz w:val="20"/>
                <w:szCs w:val="20"/>
                <w:color w:val="auto"/>
              </w:rPr>
            </w:pPr>
            <w:r>
              <w:rPr>
                <w:rFonts w:ascii="Arial" w:cs="Arial" w:eastAsia="Arial" w:hAnsi="Arial"/>
                <w:sz w:val="13"/>
                <w:szCs w:val="13"/>
                <w:color w:val="auto"/>
              </w:rPr>
              <w:t>Oil and</w:t>
            </w:r>
          </w:p>
        </w:tc>
        <w:tc>
          <w:tcPr>
            <w:tcW w:w="200" w:type="dxa"/>
            <w:vAlign w:val="bottom"/>
          </w:tcPr>
          <w:p>
            <w:pPr>
              <w:spacing w:after="0"/>
              <w:rPr>
                <w:sz w:val="10"/>
                <w:szCs w:val="10"/>
                <w:color w:val="auto"/>
              </w:rPr>
            </w:pPr>
          </w:p>
        </w:tc>
        <w:tc>
          <w:tcPr>
            <w:tcW w:w="520" w:type="dxa"/>
            <w:vAlign w:val="bottom"/>
            <w:tcBorders>
              <w:top w:val="single" w:sz="8" w:color="auto"/>
            </w:tcBorders>
          </w:tcPr>
          <w:p>
            <w:pPr>
              <w:jc w:val="right"/>
              <w:spacing w:after="0" w:line="123" w:lineRule="exact"/>
              <w:rPr>
                <w:sz w:val="20"/>
                <w:szCs w:val="20"/>
                <w:color w:val="auto"/>
              </w:rPr>
            </w:pPr>
            <w:r>
              <w:rPr>
                <w:rFonts w:ascii="Arial" w:cs="Arial" w:eastAsia="Arial" w:hAnsi="Arial"/>
                <w:sz w:val="13"/>
                <w:szCs w:val="13"/>
                <w:color w:val="auto"/>
              </w:rPr>
              <w:t>Oil and</w:t>
            </w:r>
          </w:p>
        </w:tc>
        <w:tc>
          <w:tcPr>
            <w:tcW w:w="200" w:type="dxa"/>
            <w:vAlign w:val="bottom"/>
          </w:tcPr>
          <w:p>
            <w:pPr>
              <w:spacing w:after="0"/>
              <w:rPr>
                <w:sz w:val="10"/>
                <w:szCs w:val="10"/>
                <w:color w:val="auto"/>
              </w:rPr>
            </w:pPr>
          </w:p>
        </w:tc>
        <w:tc>
          <w:tcPr>
            <w:tcW w:w="560" w:type="dxa"/>
            <w:vAlign w:val="bottom"/>
            <w:tcBorders>
              <w:top w:val="single" w:sz="8" w:color="auto"/>
            </w:tcBorders>
          </w:tcPr>
          <w:p>
            <w:pPr>
              <w:jc w:val="right"/>
              <w:spacing w:after="0" w:line="123" w:lineRule="exact"/>
              <w:rPr>
                <w:sz w:val="20"/>
                <w:szCs w:val="20"/>
                <w:color w:val="auto"/>
              </w:rPr>
            </w:pPr>
            <w:r>
              <w:rPr>
                <w:rFonts w:ascii="Arial" w:cs="Arial" w:eastAsia="Arial" w:hAnsi="Arial"/>
                <w:sz w:val="13"/>
                <w:szCs w:val="13"/>
                <w:color w:val="auto"/>
              </w:rPr>
              <w:t>Oil and</w:t>
            </w:r>
          </w:p>
        </w:tc>
        <w:tc>
          <w:tcPr>
            <w:tcW w:w="200" w:type="dxa"/>
            <w:vAlign w:val="bottom"/>
          </w:tcPr>
          <w:p>
            <w:pPr>
              <w:spacing w:after="0"/>
              <w:rPr>
                <w:sz w:val="10"/>
                <w:szCs w:val="10"/>
                <w:color w:val="auto"/>
              </w:rPr>
            </w:pPr>
          </w:p>
        </w:tc>
        <w:tc>
          <w:tcPr>
            <w:tcW w:w="520" w:type="dxa"/>
            <w:vAlign w:val="bottom"/>
            <w:tcBorders>
              <w:top w:val="single" w:sz="8" w:color="auto"/>
            </w:tcBorders>
          </w:tcPr>
          <w:p>
            <w:pPr>
              <w:jc w:val="right"/>
              <w:spacing w:after="0" w:line="123" w:lineRule="exact"/>
              <w:rPr>
                <w:sz w:val="20"/>
                <w:szCs w:val="20"/>
                <w:color w:val="auto"/>
              </w:rPr>
            </w:pPr>
            <w:r>
              <w:rPr>
                <w:rFonts w:ascii="Arial" w:cs="Arial" w:eastAsia="Arial" w:hAnsi="Arial"/>
                <w:sz w:val="13"/>
                <w:szCs w:val="13"/>
                <w:color w:val="auto"/>
              </w:rPr>
              <w:t>Oil and</w:t>
            </w:r>
          </w:p>
        </w:tc>
        <w:tc>
          <w:tcPr>
            <w:tcW w:w="200" w:type="dxa"/>
            <w:vAlign w:val="bottom"/>
          </w:tcPr>
          <w:p>
            <w:pPr>
              <w:spacing w:after="0"/>
              <w:rPr>
                <w:sz w:val="10"/>
                <w:szCs w:val="10"/>
                <w:color w:val="auto"/>
              </w:rPr>
            </w:pPr>
          </w:p>
        </w:tc>
        <w:tc>
          <w:tcPr>
            <w:tcW w:w="620" w:type="dxa"/>
            <w:vAlign w:val="bottom"/>
            <w:tcBorders>
              <w:top w:val="single" w:sz="8" w:color="auto"/>
            </w:tcBorders>
          </w:tcPr>
          <w:p>
            <w:pPr>
              <w:jc w:val="right"/>
              <w:ind w:right="12"/>
              <w:spacing w:after="0" w:line="123" w:lineRule="exact"/>
              <w:rPr>
                <w:sz w:val="20"/>
                <w:szCs w:val="20"/>
                <w:color w:val="auto"/>
              </w:rPr>
            </w:pPr>
            <w:r>
              <w:rPr>
                <w:rFonts w:ascii="Arial" w:cs="Arial" w:eastAsia="Arial" w:hAnsi="Arial"/>
                <w:sz w:val="13"/>
                <w:szCs w:val="13"/>
                <w:color w:val="auto"/>
              </w:rPr>
              <w:t>Oil and</w:t>
            </w:r>
          </w:p>
        </w:tc>
        <w:tc>
          <w:tcPr>
            <w:tcW w:w="120" w:type="dxa"/>
            <w:vAlign w:val="bottom"/>
          </w:tcPr>
          <w:p>
            <w:pPr>
              <w:spacing w:after="0"/>
              <w:rPr>
                <w:sz w:val="10"/>
                <w:szCs w:val="10"/>
                <w:color w:val="auto"/>
              </w:rPr>
            </w:pPr>
          </w:p>
        </w:tc>
        <w:tc>
          <w:tcPr>
            <w:tcW w:w="700" w:type="dxa"/>
            <w:vAlign w:val="bottom"/>
            <w:tcBorders>
              <w:top w:val="single" w:sz="8" w:color="auto"/>
            </w:tcBorders>
          </w:tcPr>
          <w:p>
            <w:pPr>
              <w:jc w:val="right"/>
              <w:ind w:right="111"/>
              <w:spacing w:after="0" w:line="123" w:lineRule="exact"/>
              <w:rPr>
                <w:sz w:val="20"/>
                <w:szCs w:val="20"/>
                <w:color w:val="auto"/>
              </w:rPr>
            </w:pPr>
            <w:r>
              <w:rPr>
                <w:rFonts w:ascii="Arial" w:cs="Arial" w:eastAsia="Arial" w:hAnsi="Arial"/>
                <w:sz w:val="13"/>
                <w:szCs w:val="13"/>
                <w:color w:val="auto"/>
              </w:rPr>
              <w:t>Oil and</w:t>
            </w:r>
          </w:p>
        </w:tc>
        <w:tc>
          <w:tcPr>
            <w:tcW w:w="840" w:type="dxa"/>
            <w:vAlign w:val="bottom"/>
            <w:tcBorders>
              <w:top w:val="single" w:sz="8" w:color="auto"/>
            </w:tcBorders>
          </w:tcPr>
          <w:p>
            <w:pPr>
              <w:jc w:val="right"/>
              <w:ind w:right="92"/>
              <w:spacing w:after="0" w:line="123" w:lineRule="exact"/>
              <w:rPr>
                <w:sz w:val="20"/>
                <w:szCs w:val="20"/>
                <w:color w:val="auto"/>
              </w:rPr>
            </w:pPr>
            <w:r>
              <w:rPr>
                <w:rFonts w:ascii="Arial" w:cs="Arial" w:eastAsia="Arial" w:hAnsi="Arial"/>
                <w:sz w:val="13"/>
                <w:szCs w:val="13"/>
                <w:color w:val="auto"/>
              </w:rPr>
              <w:t>Synthetic</w:t>
            </w:r>
          </w:p>
        </w:tc>
        <w:tc>
          <w:tcPr>
            <w:tcW w:w="72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Borders>
              <w:top w:val="single" w:sz="8" w:color="auto"/>
            </w:tcBorders>
          </w:tcPr>
          <w:p>
            <w:pPr>
              <w:jc w:val="right"/>
              <w:spacing w:after="0" w:line="123" w:lineRule="exact"/>
              <w:rPr>
                <w:sz w:val="20"/>
                <w:szCs w:val="20"/>
                <w:color w:val="auto"/>
              </w:rPr>
            </w:pPr>
            <w:r>
              <w:rPr>
                <w:rFonts w:ascii="Arial" w:cs="Arial" w:eastAsia="Arial" w:hAnsi="Arial"/>
                <w:sz w:val="13"/>
                <w:szCs w:val="13"/>
                <w:color w:val="auto"/>
              </w:rPr>
              <w:t>Oil and</w:t>
            </w:r>
          </w:p>
        </w:tc>
        <w:tc>
          <w:tcPr>
            <w:tcW w:w="220" w:type="dxa"/>
            <w:vAlign w:val="bottom"/>
          </w:tcPr>
          <w:p>
            <w:pPr>
              <w:spacing w:after="0"/>
              <w:rPr>
                <w:sz w:val="10"/>
                <w:szCs w:val="10"/>
                <w:color w:val="auto"/>
              </w:rPr>
            </w:pPr>
          </w:p>
        </w:tc>
        <w:tc>
          <w:tcPr>
            <w:tcW w:w="620" w:type="dxa"/>
            <w:vAlign w:val="bottom"/>
            <w:tcBorders>
              <w:top w:val="single" w:sz="8" w:color="auto"/>
            </w:tcBorders>
          </w:tcPr>
          <w:p>
            <w:pPr>
              <w:jc w:val="right"/>
              <w:ind w:right="31"/>
              <w:spacing w:after="0" w:line="123" w:lineRule="exact"/>
              <w:rPr>
                <w:sz w:val="20"/>
                <w:szCs w:val="20"/>
                <w:color w:val="auto"/>
              </w:rPr>
            </w:pPr>
            <w:r>
              <w:rPr>
                <w:rFonts w:ascii="Arial" w:cs="Arial" w:eastAsia="Arial" w:hAnsi="Arial"/>
                <w:sz w:val="13"/>
                <w:szCs w:val="13"/>
                <w:color w:val="auto"/>
              </w:rPr>
              <w:t>Oil and</w:t>
            </w:r>
          </w:p>
        </w:tc>
        <w:tc>
          <w:tcPr>
            <w:tcW w:w="740" w:type="dxa"/>
            <w:vAlign w:val="bottom"/>
            <w:tcBorders>
              <w:top w:val="single" w:sz="8" w:color="auto"/>
            </w:tcBorders>
          </w:tcPr>
          <w:p>
            <w:pPr>
              <w:jc w:val="right"/>
              <w:ind w:right="50"/>
              <w:spacing w:after="0" w:line="123" w:lineRule="exact"/>
              <w:rPr>
                <w:sz w:val="20"/>
                <w:szCs w:val="20"/>
                <w:color w:val="auto"/>
              </w:rPr>
            </w:pPr>
            <w:r>
              <w:rPr>
                <w:rFonts w:ascii="Arial" w:cs="Arial" w:eastAsia="Arial" w:hAnsi="Arial"/>
                <w:sz w:val="13"/>
                <w:szCs w:val="13"/>
                <w:color w:val="auto"/>
              </w:rPr>
              <w:t>Synthetic</w:t>
            </w:r>
          </w:p>
        </w:tc>
        <w:tc>
          <w:tcPr>
            <w:tcW w:w="64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jc w:val="right"/>
              <w:ind w:right="32"/>
              <w:spacing w:after="0" w:line="123" w:lineRule="exact"/>
              <w:rPr>
                <w:sz w:val="20"/>
                <w:szCs w:val="20"/>
                <w:color w:val="auto"/>
              </w:rPr>
            </w:pPr>
            <w:r>
              <w:rPr>
                <w:rFonts w:ascii="Arial" w:cs="Arial" w:eastAsia="Arial" w:hAnsi="Arial"/>
                <w:sz w:val="13"/>
                <w:szCs w:val="13"/>
                <w:color w:val="auto"/>
              </w:rPr>
              <w:t>All</w:t>
            </w:r>
          </w:p>
        </w:tc>
      </w:tr>
      <w:tr>
        <w:trPr>
          <w:trHeight w:val="141"/>
        </w:trPr>
        <w:tc>
          <w:tcPr>
            <w:tcW w:w="192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gridSpan w:val="2"/>
          </w:tcPr>
          <w:p>
            <w:pPr>
              <w:jc w:val="right"/>
              <w:ind w:right="200"/>
              <w:spacing w:after="0" w:line="141" w:lineRule="exact"/>
              <w:rPr>
                <w:sz w:val="20"/>
                <w:szCs w:val="20"/>
                <w:color w:val="auto"/>
              </w:rPr>
            </w:pPr>
            <w:r>
              <w:rPr>
                <w:rFonts w:ascii="Arial" w:cs="Arial" w:eastAsia="Arial" w:hAnsi="Arial"/>
                <w:sz w:val="13"/>
                <w:szCs w:val="13"/>
                <w:color w:val="auto"/>
              </w:rPr>
              <w:t>NGL</w:t>
            </w:r>
          </w:p>
        </w:tc>
        <w:tc>
          <w:tcPr>
            <w:tcW w:w="720" w:type="dxa"/>
            <w:vAlign w:val="bottom"/>
            <w:tcBorders>
              <w:bottom w:val="single" w:sz="8" w:color="auto"/>
            </w:tcBorders>
            <w:gridSpan w:val="2"/>
          </w:tcPr>
          <w:p>
            <w:pPr>
              <w:jc w:val="right"/>
              <w:ind w:right="200"/>
              <w:spacing w:after="0" w:line="141" w:lineRule="exact"/>
              <w:rPr>
                <w:sz w:val="20"/>
                <w:szCs w:val="20"/>
                <w:color w:val="auto"/>
              </w:rPr>
            </w:pPr>
            <w:r>
              <w:rPr>
                <w:rFonts w:ascii="Arial" w:cs="Arial" w:eastAsia="Arial" w:hAnsi="Arial"/>
                <w:sz w:val="13"/>
                <w:szCs w:val="13"/>
                <w:color w:val="auto"/>
              </w:rPr>
              <w:t>NGL</w:t>
            </w:r>
          </w:p>
        </w:tc>
        <w:tc>
          <w:tcPr>
            <w:tcW w:w="760" w:type="dxa"/>
            <w:vAlign w:val="bottom"/>
            <w:tcBorders>
              <w:bottom w:val="single" w:sz="8" w:color="auto"/>
            </w:tcBorders>
            <w:gridSpan w:val="2"/>
          </w:tcPr>
          <w:p>
            <w:pPr>
              <w:jc w:val="right"/>
              <w:ind w:right="200"/>
              <w:spacing w:after="0" w:line="141" w:lineRule="exact"/>
              <w:rPr>
                <w:sz w:val="20"/>
                <w:szCs w:val="20"/>
                <w:color w:val="auto"/>
              </w:rPr>
            </w:pPr>
            <w:r>
              <w:rPr>
                <w:rFonts w:ascii="Arial" w:cs="Arial" w:eastAsia="Arial" w:hAnsi="Arial"/>
                <w:sz w:val="13"/>
                <w:szCs w:val="13"/>
                <w:color w:val="auto"/>
              </w:rPr>
              <w:t>NGL</w:t>
            </w:r>
          </w:p>
        </w:tc>
        <w:tc>
          <w:tcPr>
            <w:tcW w:w="720" w:type="dxa"/>
            <w:vAlign w:val="bottom"/>
            <w:tcBorders>
              <w:bottom w:val="single" w:sz="8" w:color="auto"/>
            </w:tcBorders>
            <w:gridSpan w:val="2"/>
          </w:tcPr>
          <w:p>
            <w:pPr>
              <w:jc w:val="right"/>
              <w:ind w:right="200"/>
              <w:spacing w:after="0" w:line="141" w:lineRule="exact"/>
              <w:rPr>
                <w:sz w:val="20"/>
                <w:szCs w:val="20"/>
                <w:color w:val="auto"/>
              </w:rPr>
            </w:pPr>
            <w:r>
              <w:rPr>
                <w:rFonts w:ascii="Arial" w:cs="Arial" w:eastAsia="Arial" w:hAnsi="Arial"/>
                <w:sz w:val="13"/>
                <w:szCs w:val="13"/>
                <w:color w:val="auto"/>
              </w:rPr>
              <w:t>NGL</w:t>
            </w:r>
          </w:p>
        </w:tc>
        <w:tc>
          <w:tcPr>
            <w:tcW w:w="740" w:type="dxa"/>
            <w:vAlign w:val="bottom"/>
            <w:tcBorders>
              <w:bottom w:val="single" w:sz="8" w:color="auto"/>
            </w:tcBorders>
            <w:gridSpan w:val="2"/>
          </w:tcPr>
          <w:p>
            <w:pPr>
              <w:jc w:val="right"/>
              <w:ind w:right="200"/>
              <w:spacing w:after="0" w:line="141" w:lineRule="exact"/>
              <w:rPr>
                <w:sz w:val="20"/>
                <w:szCs w:val="20"/>
                <w:color w:val="auto"/>
              </w:rPr>
            </w:pPr>
            <w:r>
              <w:rPr>
                <w:rFonts w:ascii="Arial" w:cs="Arial" w:eastAsia="Arial" w:hAnsi="Arial"/>
                <w:sz w:val="13"/>
                <w:szCs w:val="13"/>
                <w:color w:val="auto"/>
              </w:rPr>
              <w:t>NGL</w:t>
            </w:r>
          </w:p>
        </w:tc>
        <w:tc>
          <w:tcPr>
            <w:tcW w:w="700" w:type="dxa"/>
            <w:vAlign w:val="bottom"/>
            <w:tcBorders>
              <w:bottom w:val="single" w:sz="8" w:color="auto"/>
            </w:tcBorders>
          </w:tcPr>
          <w:p>
            <w:pPr>
              <w:jc w:val="right"/>
              <w:ind w:right="111"/>
              <w:spacing w:after="0" w:line="141" w:lineRule="exact"/>
              <w:rPr>
                <w:sz w:val="20"/>
                <w:szCs w:val="20"/>
                <w:color w:val="auto"/>
              </w:rPr>
            </w:pPr>
            <w:r>
              <w:rPr>
                <w:rFonts w:ascii="Arial" w:cs="Arial" w:eastAsia="Arial" w:hAnsi="Arial"/>
                <w:sz w:val="13"/>
                <w:szCs w:val="13"/>
                <w:color w:val="auto"/>
              </w:rPr>
              <w:t>NGL</w:t>
            </w:r>
          </w:p>
        </w:tc>
        <w:tc>
          <w:tcPr>
            <w:tcW w:w="840" w:type="dxa"/>
            <w:vAlign w:val="bottom"/>
            <w:tcBorders>
              <w:bottom w:val="single" w:sz="8" w:color="auto"/>
            </w:tcBorders>
          </w:tcPr>
          <w:p>
            <w:pPr>
              <w:jc w:val="right"/>
              <w:ind w:right="92"/>
              <w:spacing w:after="0" w:line="141" w:lineRule="exact"/>
              <w:rPr>
                <w:sz w:val="20"/>
                <w:szCs w:val="20"/>
                <w:color w:val="auto"/>
              </w:rPr>
            </w:pPr>
            <w:r>
              <w:rPr>
                <w:rFonts w:ascii="Arial" w:cs="Arial" w:eastAsia="Arial" w:hAnsi="Arial"/>
                <w:sz w:val="13"/>
                <w:szCs w:val="13"/>
                <w:color w:val="auto"/>
              </w:rPr>
              <w:t>crude oil</w:t>
            </w:r>
          </w:p>
        </w:tc>
        <w:tc>
          <w:tcPr>
            <w:tcW w:w="720" w:type="dxa"/>
            <w:vAlign w:val="bottom"/>
            <w:tcBorders>
              <w:bottom w:val="single" w:sz="8" w:color="auto"/>
            </w:tcBorders>
          </w:tcPr>
          <w:p>
            <w:pPr>
              <w:jc w:val="right"/>
              <w:ind w:right="11"/>
              <w:spacing w:after="0" w:line="141" w:lineRule="exact"/>
              <w:rPr>
                <w:sz w:val="20"/>
                <w:szCs w:val="20"/>
                <w:color w:val="auto"/>
              </w:rPr>
            </w:pPr>
            <w:r>
              <w:rPr>
                <w:rFonts w:ascii="Arial" w:cs="Arial" w:eastAsia="Arial" w:hAnsi="Arial"/>
                <w:sz w:val="13"/>
                <w:szCs w:val="13"/>
                <w:color w:val="auto"/>
              </w:rPr>
              <w:t>Bitumen</w:t>
            </w:r>
          </w:p>
        </w:tc>
        <w:tc>
          <w:tcPr>
            <w:tcW w:w="12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gridSpan w:val="2"/>
          </w:tcPr>
          <w:p>
            <w:pPr>
              <w:jc w:val="right"/>
              <w:ind w:right="200"/>
              <w:spacing w:after="0" w:line="141" w:lineRule="exact"/>
              <w:rPr>
                <w:sz w:val="20"/>
                <w:szCs w:val="20"/>
                <w:color w:val="auto"/>
              </w:rPr>
            </w:pPr>
            <w:r>
              <w:rPr>
                <w:rFonts w:ascii="Arial" w:cs="Arial" w:eastAsia="Arial" w:hAnsi="Arial"/>
                <w:sz w:val="13"/>
                <w:szCs w:val="13"/>
                <w:color w:val="auto"/>
              </w:rPr>
              <w:t>NGL</w:t>
            </w:r>
          </w:p>
        </w:tc>
        <w:tc>
          <w:tcPr>
            <w:tcW w:w="620" w:type="dxa"/>
            <w:vAlign w:val="bottom"/>
            <w:tcBorders>
              <w:bottom w:val="single" w:sz="8" w:color="auto"/>
            </w:tcBorders>
          </w:tcPr>
          <w:p>
            <w:pPr>
              <w:jc w:val="right"/>
              <w:ind w:right="31"/>
              <w:spacing w:after="0" w:line="141" w:lineRule="exact"/>
              <w:rPr>
                <w:sz w:val="20"/>
                <w:szCs w:val="20"/>
                <w:color w:val="auto"/>
              </w:rPr>
            </w:pPr>
            <w:r>
              <w:rPr>
                <w:rFonts w:ascii="Arial" w:cs="Arial" w:eastAsia="Arial" w:hAnsi="Arial"/>
                <w:sz w:val="13"/>
                <w:szCs w:val="13"/>
                <w:color w:val="auto"/>
              </w:rPr>
              <w:t>NGL</w:t>
            </w:r>
          </w:p>
        </w:tc>
        <w:tc>
          <w:tcPr>
            <w:tcW w:w="740" w:type="dxa"/>
            <w:vAlign w:val="bottom"/>
            <w:tcBorders>
              <w:bottom w:val="single" w:sz="8" w:color="auto"/>
            </w:tcBorders>
          </w:tcPr>
          <w:p>
            <w:pPr>
              <w:jc w:val="right"/>
              <w:ind w:right="50"/>
              <w:spacing w:after="0" w:line="141" w:lineRule="exact"/>
              <w:rPr>
                <w:sz w:val="20"/>
                <w:szCs w:val="20"/>
                <w:color w:val="auto"/>
              </w:rPr>
            </w:pPr>
            <w:r>
              <w:rPr>
                <w:rFonts w:ascii="Arial" w:cs="Arial" w:eastAsia="Arial" w:hAnsi="Arial"/>
                <w:sz w:val="13"/>
                <w:szCs w:val="13"/>
                <w:color w:val="auto"/>
              </w:rPr>
              <w:t>crude oil</w:t>
            </w:r>
          </w:p>
        </w:tc>
        <w:tc>
          <w:tcPr>
            <w:tcW w:w="640" w:type="dxa"/>
            <w:vAlign w:val="bottom"/>
            <w:tcBorders>
              <w:bottom w:val="single" w:sz="8" w:color="auto"/>
            </w:tcBorders>
          </w:tcPr>
          <w:p>
            <w:pPr>
              <w:jc w:val="right"/>
              <w:ind w:right="10"/>
              <w:spacing w:after="0" w:line="141" w:lineRule="exact"/>
              <w:rPr>
                <w:sz w:val="20"/>
                <w:szCs w:val="20"/>
                <w:color w:val="auto"/>
              </w:rPr>
            </w:pPr>
            <w:r>
              <w:rPr>
                <w:rFonts w:ascii="Arial" w:cs="Arial" w:eastAsia="Arial" w:hAnsi="Arial"/>
                <w:sz w:val="13"/>
                <w:szCs w:val="13"/>
                <w:color w:val="auto"/>
              </w:rPr>
              <w:t>Bitumen</w:t>
            </w:r>
          </w:p>
        </w:tc>
        <w:tc>
          <w:tcPr>
            <w:tcW w:w="680" w:type="dxa"/>
            <w:vAlign w:val="bottom"/>
            <w:tcBorders>
              <w:bottom w:val="single" w:sz="8" w:color="auto"/>
            </w:tcBorders>
          </w:tcPr>
          <w:p>
            <w:pPr>
              <w:jc w:val="right"/>
              <w:ind w:right="32"/>
              <w:spacing w:after="0" w:line="141" w:lineRule="exact"/>
              <w:rPr>
                <w:sz w:val="20"/>
                <w:szCs w:val="20"/>
                <w:color w:val="auto"/>
              </w:rPr>
            </w:pPr>
            <w:r>
              <w:rPr>
                <w:rFonts w:ascii="Arial" w:cs="Arial" w:eastAsia="Arial" w:hAnsi="Arial"/>
                <w:sz w:val="13"/>
                <w:szCs w:val="13"/>
                <w:color w:val="auto"/>
              </w:rPr>
              <w:t>products</w:t>
            </w:r>
          </w:p>
        </w:tc>
      </w:tr>
      <w:tr>
        <w:trPr>
          <w:trHeight w:val="160"/>
        </w:trPr>
        <w:tc>
          <w:tcPr>
            <w:tcW w:w="1920" w:type="dxa"/>
            <w:vAlign w:val="bottom"/>
          </w:tcPr>
          <w:p>
            <w:pPr>
              <w:spacing w:after="0"/>
              <w:rPr>
                <w:sz w:val="20"/>
                <w:szCs w:val="20"/>
                <w:color w:val="auto"/>
              </w:rPr>
            </w:pPr>
            <w:r>
              <w:rPr>
                <w:rFonts w:ascii="Arial" w:cs="Arial" w:eastAsia="Arial" w:hAnsi="Arial"/>
                <w:sz w:val="14"/>
                <w:szCs w:val="14"/>
                <w:color w:val="auto"/>
              </w:rPr>
              <w:t>Shell subsidiaries</w:t>
            </w:r>
          </w:p>
        </w:tc>
        <w:tc>
          <w:tcPr>
            <w:tcW w:w="5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80" w:type="dxa"/>
            <w:vAlign w:val="bottom"/>
          </w:tcPr>
          <w:p>
            <w:pPr>
              <w:spacing w:after="0"/>
              <w:rPr>
                <w:sz w:val="13"/>
                <w:szCs w:val="13"/>
                <w:color w:val="auto"/>
              </w:rPr>
            </w:pPr>
          </w:p>
        </w:tc>
      </w:tr>
      <w:tr>
        <w:trPr>
          <w:trHeight w:val="162"/>
        </w:trPr>
        <w:tc>
          <w:tcPr>
            <w:tcW w:w="1920" w:type="dxa"/>
            <w:vAlign w:val="bottom"/>
          </w:tcPr>
          <w:p>
            <w:pPr>
              <w:ind w:left="140"/>
              <w:spacing w:after="0"/>
              <w:rPr>
                <w:sz w:val="20"/>
                <w:szCs w:val="20"/>
                <w:color w:val="auto"/>
              </w:rPr>
            </w:pPr>
            <w:r>
              <w:rPr>
                <w:rFonts w:ascii="Arial" w:cs="Arial" w:eastAsia="Arial" w:hAnsi="Arial"/>
                <w:sz w:val="14"/>
                <w:szCs w:val="14"/>
                <w:color w:val="auto"/>
              </w:rPr>
              <w:t>At January 1</w:t>
            </w:r>
          </w:p>
        </w:tc>
        <w:tc>
          <w:tcPr>
            <w:tcW w:w="740" w:type="dxa"/>
            <w:vAlign w:val="bottom"/>
            <w:gridSpan w:val="2"/>
          </w:tcPr>
          <w:p>
            <w:pPr>
              <w:jc w:val="right"/>
              <w:ind w:right="200"/>
              <w:spacing w:after="0"/>
              <w:rPr>
                <w:sz w:val="20"/>
                <w:szCs w:val="20"/>
                <w:color w:val="auto"/>
              </w:rPr>
            </w:pPr>
            <w:r>
              <w:rPr>
                <w:rFonts w:ascii="Arial" w:cs="Arial" w:eastAsia="Arial" w:hAnsi="Arial"/>
                <w:sz w:val="14"/>
                <w:szCs w:val="14"/>
                <w:color w:val="auto"/>
              </w:rPr>
              <w:t>460</w:t>
            </w:r>
          </w:p>
        </w:tc>
        <w:tc>
          <w:tcPr>
            <w:tcW w:w="720" w:type="dxa"/>
            <w:vAlign w:val="bottom"/>
            <w:gridSpan w:val="2"/>
          </w:tcPr>
          <w:p>
            <w:pPr>
              <w:jc w:val="right"/>
              <w:ind w:right="200"/>
              <w:spacing w:after="0"/>
              <w:rPr>
                <w:sz w:val="20"/>
                <w:szCs w:val="20"/>
                <w:color w:val="auto"/>
              </w:rPr>
            </w:pPr>
            <w:r>
              <w:rPr>
                <w:rFonts w:ascii="Arial" w:cs="Arial" w:eastAsia="Arial" w:hAnsi="Arial"/>
                <w:sz w:val="14"/>
                <w:szCs w:val="14"/>
                <w:color w:val="auto"/>
              </w:rPr>
              <w:t>781</w:t>
            </w:r>
          </w:p>
        </w:tc>
        <w:tc>
          <w:tcPr>
            <w:tcW w:w="760" w:type="dxa"/>
            <w:vAlign w:val="bottom"/>
            <w:gridSpan w:val="2"/>
          </w:tcPr>
          <w:p>
            <w:pPr>
              <w:jc w:val="right"/>
              <w:ind w:right="200"/>
              <w:spacing w:after="0"/>
              <w:rPr>
                <w:sz w:val="20"/>
                <w:szCs w:val="20"/>
                <w:color w:val="auto"/>
              </w:rPr>
            </w:pPr>
            <w:r>
              <w:rPr>
                <w:rFonts w:ascii="Arial" w:cs="Arial" w:eastAsia="Arial" w:hAnsi="Arial"/>
                <w:sz w:val="14"/>
                <w:szCs w:val="14"/>
                <w:color w:val="auto"/>
              </w:rPr>
              <w:t>35</w:t>
            </w:r>
          </w:p>
        </w:tc>
        <w:tc>
          <w:tcPr>
            <w:tcW w:w="720" w:type="dxa"/>
            <w:vAlign w:val="bottom"/>
            <w:gridSpan w:val="2"/>
          </w:tcPr>
          <w:p>
            <w:pPr>
              <w:jc w:val="right"/>
              <w:ind w:right="200"/>
              <w:spacing w:after="0"/>
              <w:rPr>
                <w:sz w:val="20"/>
                <w:szCs w:val="20"/>
                <w:color w:val="auto"/>
              </w:rPr>
            </w:pPr>
            <w:r>
              <w:rPr>
                <w:rFonts w:ascii="Arial" w:cs="Arial" w:eastAsia="Arial" w:hAnsi="Arial"/>
                <w:sz w:val="14"/>
                <w:szCs w:val="14"/>
                <w:color w:val="auto"/>
              </w:rPr>
              <w:t>438</w:t>
            </w:r>
          </w:p>
        </w:tc>
        <w:tc>
          <w:tcPr>
            <w:tcW w:w="620" w:type="dxa"/>
            <w:vAlign w:val="bottom"/>
          </w:tcPr>
          <w:p>
            <w:pPr>
              <w:jc w:val="right"/>
              <w:ind w:right="12"/>
              <w:spacing w:after="0"/>
              <w:rPr>
                <w:sz w:val="20"/>
                <w:szCs w:val="20"/>
                <w:color w:val="auto"/>
              </w:rPr>
            </w:pPr>
            <w:r>
              <w:rPr>
                <w:rFonts w:ascii="Arial" w:cs="Arial" w:eastAsia="Arial" w:hAnsi="Arial"/>
                <w:sz w:val="14"/>
                <w:szCs w:val="14"/>
                <w:color w:val="auto"/>
              </w:rPr>
              <w:t>240</w:t>
            </w:r>
          </w:p>
        </w:tc>
        <w:tc>
          <w:tcPr>
            <w:tcW w:w="120" w:type="dxa"/>
            <w:vAlign w:val="bottom"/>
          </w:tcPr>
          <w:p>
            <w:pPr>
              <w:spacing w:after="0"/>
              <w:rPr>
                <w:sz w:val="14"/>
                <w:szCs w:val="14"/>
                <w:color w:val="auto"/>
              </w:rPr>
            </w:pPr>
          </w:p>
        </w:tc>
        <w:tc>
          <w:tcPr>
            <w:tcW w:w="700" w:type="dxa"/>
            <w:vAlign w:val="bottom"/>
          </w:tcPr>
          <w:p>
            <w:pPr>
              <w:jc w:val="right"/>
              <w:ind w:right="111"/>
              <w:spacing w:after="0"/>
              <w:rPr>
                <w:sz w:val="20"/>
                <w:szCs w:val="20"/>
                <w:color w:val="auto"/>
              </w:rPr>
            </w:pPr>
            <w:r>
              <w:rPr>
                <w:rFonts w:ascii="Arial" w:cs="Arial" w:eastAsia="Arial" w:hAnsi="Arial"/>
                <w:sz w:val="14"/>
                <w:szCs w:val="14"/>
                <w:color w:val="auto"/>
              </w:rPr>
              <w:t>22</w:t>
            </w:r>
          </w:p>
        </w:tc>
        <w:tc>
          <w:tcPr>
            <w:tcW w:w="840" w:type="dxa"/>
            <w:vAlign w:val="bottom"/>
          </w:tcPr>
          <w:p>
            <w:pPr>
              <w:jc w:val="right"/>
              <w:ind w:right="92"/>
              <w:spacing w:after="0"/>
              <w:rPr>
                <w:sz w:val="20"/>
                <w:szCs w:val="20"/>
                <w:color w:val="auto"/>
              </w:rPr>
            </w:pPr>
            <w:r>
              <w:rPr>
                <w:rFonts w:ascii="Arial" w:cs="Arial" w:eastAsia="Arial" w:hAnsi="Arial"/>
                <w:sz w:val="14"/>
                <w:szCs w:val="14"/>
                <w:color w:val="auto"/>
              </w:rPr>
              <w:t>1,249</w:t>
            </w:r>
          </w:p>
        </w:tc>
        <w:tc>
          <w:tcPr>
            <w:tcW w:w="720" w:type="dxa"/>
            <w:vAlign w:val="bottom"/>
          </w:tcPr>
          <w:p>
            <w:pPr>
              <w:jc w:val="right"/>
              <w:ind w:right="11"/>
              <w:spacing w:after="0"/>
              <w:rPr>
                <w:sz w:val="20"/>
                <w:szCs w:val="20"/>
                <w:color w:val="auto"/>
              </w:rPr>
            </w:pPr>
            <w:r>
              <w:rPr>
                <w:rFonts w:ascii="Arial" w:cs="Arial" w:eastAsia="Arial" w:hAnsi="Arial"/>
                <w:sz w:val="14"/>
                <w:szCs w:val="14"/>
                <w:color w:val="auto"/>
              </w:rPr>
              <w:t>22</w:t>
            </w:r>
          </w:p>
        </w:tc>
        <w:tc>
          <w:tcPr>
            <w:tcW w:w="880" w:type="dxa"/>
            <w:vAlign w:val="bottom"/>
            <w:gridSpan w:val="3"/>
          </w:tcPr>
          <w:p>
            <w:pPr>
              <w:jc w:val="right"/>
              <w:ind w:right="200"/>
              <w:spacing w:after="0"/>
              <w:rPr>
                <w:sz w:val="20"/>
                <w:szCs w:val="20"/>
                <w:color w:val="auto"/>
              </w:rPr>
            </w:pPr>
            <w:r>
              <w:rPr>
                <w:rFonts w:ascii="Arial" w:cs="Arial" w:eastAsia="Arial" w:hAnsi="Arial"/>
                <w:sz w:val="14"/>
                <w:szCs w:val="14"/>
                <w:color w:val="auto"/>
              </w:rPr>
              <w:t>35</w:t>
            </w:r>
          </w:p>
        </w:tc>
        <w:tc>
          <w:tcPr>
            <w:tcW w:w="620" w:type="dxa"/>
            <w:vAlign w:val="bottom"/>
          </w:tcPr>
          <w:p>
            <w:pPr>
              <w:jc w:val="right"/>
              <w:ind w:right="31"/>
              <w:spacing w:after="0"/>
              <w:rPr>
                <w:sz w:val="20"/>
                <w:szCs w:val="20"/>
                <w:color w:val="auto"/>
              </w:rPr>
            </w:pPr>
            <w:r>
              <w:rPr>
                <w:rFonts w:ascii="Arial" w:cs="Arial" w:eastAsia="Arial" w:hAnsi="Arial"/>
                <w:sz w:val="14"/>
                <w:szCs w:val="14"/>
                <w:color w:val="auto"/>
              </w:rPr>
              <w:t>2,011</w:t>
            </w:r>
          </w:p>
        </w:tc>
        <w:tc>
          <w:tcPr>
            <w:tcW w:w="740" w:type="dxa"/>
            <w:vAlign w:val="bottom"/>
          </w:tcPr>
          <w:p>
            <w:pPr>
              <w:jc w:val="right"/>
              <w:ind w:right="50"/>
              <w:spacing w:after="0"/>
              <w:rPr>
                <w:sz w:val="20"/>
                <w:szCs w:val="20"/>
                <w:color w:val="auto"/>
              </w:rPr>
            </w:pPr>
            <w:r>
              <w:rPr>
                <w:rFonts w:ascii="Arial" w:cs="Arial" w:eastAsia="Arial" w:hAnsi="Arial"/>
                <w:sz w:val="14"/>
                <w:szCs w:val="14"/>
                <w:color w:val="auto"/>
              </w:rPr>
              <w:t>1,249</w:t>
            </w:r>
          </w:p>
        </w:tc>
        <w:tc>
          <w:tcPr>
            <w:tcW w:w="640" w:type="dxa"/>
            <w:vAlign w:val="bottom"/>
          </w:tcPr>
          <w:p>
            <w:pPr>
              <w:jc w:val="right"/>
              <w:ind w:right="10"/>
              <w:spacing w:after="0"/>
              <w:rPr>
                <w:sz w:val="20"/>
                <w:szCs w:val="20"/>
                <w:color w:val="auto"/>
              </w:rPr>
            </w:pPr>
            <w:r>
              <w:rPr>
                <w:rFonts w:ascii="Arial" w:cs="Arial" w:eastAsia="Arial" w:hAnsi="Arial"/>
                <w:sz w:val="14"/>
                <w:szCs w:val="14"/>
                <w:color w:val="auto"/>
              </w:rPr>
              <w:t>22</w:t>
            </w:r>
          </w:p>
        </w:tc>
        <w:tc>
          <w:tcPr>
            <w:tcW w:w="680" w:type="dxa"/>
            <w:vAlign w:val="bottom"/>
          </w:tcPr>
          <w:p>
            <w:pPr>
              <w:jc w:val="right"/>
              <w:ind w:right="32"/>
              <w:spacing w:after="0"/>
              <w:rPr>
                <w:sz w:val="20"/>
                <w:szCs w:val="20"/>
                <w:color w:val="auto"/>
              </w:rPr>
            </w:pPr>
            <w:r>
              <w:rPr>
                <w:rFonts w:ascii="Arial" w:cs="Arial" w:eastAsia="Arial" w:hAnsi="Arial"/>
                <w:sz w:val="14"/>
                <w:szCs w:val="14"/>
                <w:color w:val="auto"/>
              </w:rPr>
              <w:t>3,282</w:t>
            </w:r>
          </w:p>
        </w:tc>
      </w:tr>
      <w:tr>
        <w:trPr>
          <w:trHeight w:val="157"/>
        </w:trPr>
        <w:tc>
          <w:tcPr>
            <w:tcW w:w="1920" w:type="dxa"/>
            <w:vAlign w:val="bottom"/>
            <w:tcBorders>
              <w:bottom w:val="single" w:sz="8" w:color="auto"/>
            </w:tcBorders>
          </w:tcPr>
          <w:p>
            <w:pPr>
              <w:ind w:left="140"/>
              <w:spacing w:after="0" w:line="157" w:lineRule="exact"/>
              <w:rPr>
                <w:sz w:val="20"/>
                <w:szCs w:val="20"/>
                <w:color w:val="auto"/>
              </w:rPr>
            </w:pPr>
            <w:r>
              <w:rPr>
                <w:rFonts w:ascii="Arial" w:cs="Arial" w:eastAsia="Arial" w:hAnsi="Arial"/>
                <w:sz w:val="14"/>
                <w:szCs w:val="14"/>
                <w:color w:val="auto"/>
              </w:rPr>
              <w:t>At December 31</w:t>
            </w:r>
          </w:p>
        </w:tc>
        <w:tc>
          <w:tcPr>
            <w:tcW w:w="740" w:type="dxa"/>
            <w:vAlign w:val="bottom"/>
            <w:tcBorders>
              <w:bottom w:val="single" w:sz="8" w:color="auto"/>
            </w:tcBorders>
            <w:gridSpan w:val="2"/>
          </w:tcPr>
          <w:p>
            <w:pPr>
              <w:jc w:val="right"/>
              <w:ind w:right="200"/>
              <w:spacing w:after="0" w:line="157" w:lineRule="exact"/>
              <w:rPr>
                <w:sz w:val="20"/>
                <w:szCs w:val="20"/>
                <w:color w:val="auto"/>
              </w:rPr>
            </w:pPr>
            <w:r>
              <w:rPr>
                <w:rFonts w:ascii="Arial" w:cs="Arial" w:eastAsia="Arial" w:hAnsi="Arial"/>
                <w:sz w:val="14"/>
                <w:szCs w:val="14"/>
                <w:color w:val="auto"/>
              </w:rPr>
              <w:t>425</w:t>
            </w:r>
          </w:p>
        </w:tc>
        <w:tc>
          <w:tcPr>
            <w:tcW w:w="720" w:type="dxa"/>
            <w:vAlign w:val="bottom"/>
            <w:tcBorders>
              <w:bottom w:val="single" w:sz="8" w:color="auto"/>
            </w:tcBorders>
            <w:gridSpan w:val="2"/>
          </w:tcPr>
          <w:p>
            <w:pPr>
              <w:jc w:val="right"/>
              <w:ind w:right="200"/>
              <w:spacing w:after="0" w:line="157" w:lineRule="exact"/>
              <w:rPr>
                <w:sz w:val="20"/>
                <w:szCs w:val="20"/>
                <w:color w:val="auto"/>
              </w:rPr>
            </w:pPr>
            <w:r>
              <w:rPr>
                <w:rFonts w:ascii="Arial" w:cs="Arial" w:eastAsia="Arial" w:hAnsi="Arial"/>
                <w:sz w:val="14"/>
                <w:szCs w:val="14"/>
                <w:color w:val="auto"/>
              </w:rPr>
              <w:t>817</w:t>
            </w:r>
          </w:p>
        </w:tc>
        <w:tc>
          <w:tcPr>
            <w:tcW w:w="760" w:type="dxa"/>
            <w:vAlign w:val="bottom"/>
            <w:tcBorders>
              <w:bottom w:val="single" w:sz="8" w:color="auto"/>
            </w:tcBorders>
            <w:gridSpan w:val="2"/>
          </w:tcPr>
          <w:p>
            <w:pPr>
              <w:jc w:val="right"/>
              <w:ind w:right="200"/>
              <w:spacing w:after="0" w:line="157" w:lineRule="exact"/>
              <w:rPr>
                <w:sz w:val="20"/>
                <w:szCs w:val="20"/>
                <w:color w:val="auto"/>
              </w:rPr>
            </w:pPr>
            <w:r>
              <w:rPr>
                <w:rFonts w:ascii="Arial" w:cs="Arial" w:eastAsia="Arial" w:hAnsi="Arial"/>
                <w:sz w:val="14"/>
                <w:szCs w:val="14"/>
                <w:color w:val="auto"/>
              </w:rPr>
              <w:t>34</w:t>
            </w:r>
          </w:p>
        </w:tc>
        <w:tc>
          <w:tcPr>
            <w:tcW w:w="720" w:type="dxa"/>
            <w:vAlign w:val="bottom"/>
            <w:tcBorders>
              <w:bottom w:val="single" w:sz="8" w:color="auto"/>
            </w:tcBorders>
            <w:gridSpan w:val="2"/>
          </w:tcPr>
          <w:p>
            <w:pPr>
              <w:jc w:val="right"/>
              <w:ind w:right="200"/>
              <w:spacing w:after="0" w:line="157" w:lineRule="exact"/>
              <w:rPr>
                <w:sz w:val="20"/>
                <w:szCs w:val="20"/>
                <w:color w:val="auto"/>
              </w:rPr>
            </w:pPr>
            <w:r>
              <w:rPr>
                <w:rFonts w:ascii="Arial" w:cs="Arial" w:eastAsia="Arial" w:hAnsi="Arial"/>
                <w:sz w:val="14"/>
                <w:szCs w:val="14"/>
                <w:color w:val="auto"/>
              </w:rPr>
              <w:t>496</w:t>
            </w:r>
          </w:p>
        </w:tc>
        <w:tc>
          <w:tcPr>
            <w:tcW w:w="620" w:type="dxa"/>
            <w:vAlign w:val="bottom"/>
            <w:tcBorders>
              <w:bottom w:val="single" w:sz="8" w:color="auto"/>
            </w:tcBorders>
          </w:tcPr>
          <w:p>
            <w:pPr>
              <w:jc w:val="right"/>
              <w:ind w:right="12"/>
              <w:spacing w:after="0" w:line="157" w:lineRule="exact"/>
              <w:rPr>
                <w:sz w:val="20"/>
                <w:szCs w:val="20"/>
                <w:color w:val="auto"/>
              </w:rPr>
            </w:pPr>
            <w:r>
              <w:rPr>
                <w:rFonts w:ascii="Arial" w:cs="Arial" w:eastAsia="Arial" w:hAnsi="Arial"/>
                <w:sz w:val="14"/>
                <w:szCs w:val="14"/>
                <w:color w:val="auto"/>
              </w:rPr>
              <w:t>283</w:t>
            </w:r>
          </w:p>
        </w:tc>
        <w:tc>
          <w:tcPr>
            <w:tcW w:w="12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111"/>
              <w:spacing w:after="0" w:line="157" w:lineRule="exact"/>
              <w:rPr>
                <w:sz w:val="20"/>
                <w:szCs w:val="20"/>
                <w:color w:val="auto"/>
              </w:rPr>
            </w:pPr>
            <w:r>
              <w:rPr>
                <w:rFonts w:ascii="Arial" w:cs="Arial" w:eastAsia="Arial" w:hAnsi="Arial"/>
                <w:sz w:val="14"/>
                <w:szCs w:val="14"/>
                <w:color w:val="auto"/>
              </w:rPr>
              <w:t>28</w:t>
            </w:r>
          </w:p>
        </w:tc>
        <w:tc>
          <w:tcPr>
            <w:tcW w:w="840" w:type="dxa"/>
            <w:vAlign w:val="bottom"/>
            <w:tcBorders>
              <w:bottom w:val="single" w:sz="8" w:color="auto"/>
            </w:tcBorders>
          </w:tcPr>
          <w:p>
            <w:pPr>
              <w:jc w:val="right"/>
              <w:ind w:right="92"/>
              <w:spacing w:after="0" w:line="157" w:lineRule="exact"/>
              <w:rPr>
                <w:sz w:val="20"/>
                <w:szCs w:val="20"/>
                <w:color w:val="auto"/>
              </w:rPr>
            </w:pPr>
            <w:r>
              <w:rPr>
                <w:rFonts w:ascii="Arial" w:cs="Arial" w:eastAsia="Arial" w:hAnsi="Arial"/>
                <w:sz w:val="14"/>
                <w:szCs w:val="14"/>
                <w:color w:val="auto"/>
              </w:rPr>
              <w:t>1,271</w:t>
            </w:r>
          </w:p>
        </w:tc>
        <w:tc>
          <w:tcPr>
            <w:tcW w:w="720" w:type="dxa"/>
            <w:vAlign w:val="bottom"/>
            <w:tcBorders>
              <w:bottom w:val="single" w:sz="8" w:color="auto"/>
            </w:tcBorders>
          </w:tcPr>
          <w:p>
            <w:pPr>
              <w:jc w:val="right"/>
              <w:ind w:right="11"/>
              <w:spacing w:after="0" w:line="157" w:lineRule="exact"/>
              <w:rPr>
                <w:sz w:val="20"/>
                <w:szCs w:val="20"/>
                <w:color w:val="auto"/>
              </w:rPr>
            </w:pPr>
            <w:r>
              <w:rPr>
                <w:rFonts w:ascii="Arial" w:cs="Arial" w:eastAsia="Arial" w:hAnsi="Arial"/>
                <w:sz w:val="14"/>
                <w:szCs w:val="14"/>
                <w:color w:val="auto"/>
              </w:rPr>
              <w:t>18</w:t>
            </w:r>
          </w:p>
        </w:tc>
        <w:tc>
          <w:tcPr>
            <w:tcW w:w="880" w:type="dxa"/>
            <w:vAlign w:val="bottom"/>
            <w:tcBorders>
              <w:bottom w:val="single" w:sz="8" w:color="auto"/>
            </w:tcBorders>
            <w:gridSpan w:val="3"/>
          </w:tcPr>
          <w:p>
            <w:pPr>
              <w:jc w:val="right"/>
              <w:ind w:right="200"/>
              <w:spacing w:after="0" w:line="157" w:lineRule="exact"/>
              <w:rPr>
                <w:sz w:val="20"/>
                <w:szCs w:val="20"/>
                <w:color w:val="auto"/>
              </w:rPr>
            </w:pPr>
            <w:r>
              <w:rPr>
                <w:rFonts w:ascii="Arial" w:cs="Arial" w:eastAsia="Arial" w:hAnsi="Arial"/>
                <w:sz w:val="14"/>
                <w:szCs w:val="14"/>
                <w:color w:val="auto"/>
              </w:rPr>
              <w:t>31</w:t>
            </w:r>
          </w:p>
        </w:tc>
        <w:tc>
          <w:tcPr>
            <w:tcW w:w="620" w:type="dxa"/>
            <w:vAlign w:val="bottom"/>
            <w:tcBorders>
              <w:bottom w:val="single" w:sz="8" w:color="auto"/>
            </w:tcBorders>
          </w:tcPr>
          <w:p>
            <w:pPr>
              <w:jc w:val="right"/>
              <w:ind w:right="31"/>
              <w:spacing w:after="0" w:line="157" w:lineRule="exact"/>
              <w:rPr>
                <w:sz w:val="20"/>
                <w:szCs w:val="20"/>
                <w:color w:val="auto"/>
              </w:rPr>
            </w:pPr>
            <w:r>
              <w:rPr>
                <w:rFonts w:ascii="Arial" w:cs="Arial" w:eastAsia="Arial" w:hAnsi="Arial"/>
                <w:sz w:val="14"/>
                <w:szCs w:val="14"/>
                <w:color w:val="auto"/>
              </w:rPr>
              <w:t>2,114</w:t>
            </w:r>
          </w:p>
        </w:tc>
        <w:tc>
          <w:tcPr>
            <w:tcW w:w="740" w:type="dxa"/>
            <w:vAlign w:val="bottom"/>
            <w:tcBorders>
              <w:bottom w:val="single" w:sz="8" w:color="auto"/>
            </w:tcBorders>
          </w:tcPr>
          <w:p>
            <w:pPr>
              <w:jc w:val="right"/>
              <w:ind w:right="50"/>
              <w:spacing w:after="0" w:line="157" w:lineRule="exact"/>
              <w:rPr>
                <w:sz w:val="20"/>
                <w:szCs w:val="20"/>
                <w:color w:val="auto"/>
              </w:rPr>
            </w:pPr>
            <w:r>
              <w:rPr>
                <w:rFonts w:ascii="Arial" w:cs="Arial" w:eastAsia="Arial" w:hAnsi="Arial"/>
                <w:sz w:val="14"/>
                <w:szCs w:val="14"/>
                <w:color w:val="auto"/>
              </w:rPr>
              <w:t>1,271</w:t>
            </w:r>
          </w:p>
        </w:tc>
        <w:tc>
          <w:tcPr>
            <w:tcW w:w="640" w:type="dxa"/>
            <w:vAlign w:val="bottom"/>
            <w:tcBorders>
              <w:bottom w:val="single" w:sz="8" w:color="auto"/>
            </w:tcBorders>
          </w:tcPr>
          <w:p>
            <w:pPr>
              <w:jc w:val="right"/>
              <w:ind w:right="10"/>
              <w:spacing w:after="0" w:line="157" w:lineRule="exact"/>
              <w:rPr>
                <w:sz w:val="20"/>
                <w:szCs w:val="20"/>
                <w:color w:val="auto"/>
              </w:rPr>
            </w:pPr>
            <w:r>
              <w:rPr>
                <w:rFonts w:ascii="Arial" w:cs="Arial" w:eastAsia="Arial" w:hAnsi="Arial"/>
                <w:sz w:val="14"/>
                <w:szCs w:val="14"/>
                <w:color w:val="auto"/>
              </w:rPr>
              <w:t>18</w:t>
            </w:r>
          </w:p>
        </w:tc>
        <w:tc>
          <w:tcPr>
            <w:tcW w:w="680" w:type="dxa"/>
            <w:vAlign w:val="bottom"/>
            <w:tcBorders>
              <w:bottom w:val="single" w:sz="8" w:color="auto"/>
            </w:tcBorders>
          </w:tcPr>
          <w:p>
            <w:pPr>
              <w:jc w:val="right"/>
              <w:ind w:right="32"/>
              <w:spacing w:after="0" w:line="157" w:lineRule="exact"/>
              <w:rPr>
                <w:sz w:val="20"/>
                <w:szCs w:val="20"/>
                <w:color w:val="auto"/>
              </w:rPr>
            </w:pPr>
            <w:r>
              <w:rPr>
                <w:rFonts w:ascii="Arial" w:cs="Arial" w:eastAsia="Arial" w:hAnsi="Arial"/>
                <w:sz w:val="14"/>
                <w:szCs w:val="14"/>
                <w:color w:val="auto"/>
              </w:rPr>
              <w:t>3,403</w:t>
            </w:r>
          </w:p>
        </w:tc>
      </w:tr>
      <w:tr>
        <w:trPr>
          <w:trHeight w:val="160"/>
        </w:trPr>
        <w:tc>
          <w:tcPr>
            <w:tcW w:w="1920" w:type="dxa"/>
            <w:vAlign w:val="bottom"/>
          </w:tcPr>
          <w:p>
            <w:pPr>
              <w:spacing w:after="0"/>
              <w:rPr>
                <w:sz w:val="20"/>
                <w:szCs w:val="20"/>
                <w:color w:val="auto"/>
              </w:rPr>
            </w:pPr>
            <w:r>
              <w:rPr>
                <w:rFonts w:ascii="Arial" w:cs="Arial" w:eastAsia="Arial" w:hAnsi="Arial"/>
                <w:sz w:val="14"/>
                <w:szCs w:val="14"/>
                <w:color w:val="auto"/>
              </w:rPr>
              <w:t>Shell share of joint ventures</w:t>
            </w:r>
          </w:p>
        </w:tc>
        <w:tc>
          <w:tcPr>
            <w:tcW w:w="5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80" w:type="dxa"/>
            <w:vAlign w:val="bottom"/>
          </w:tcPr>
          <w:p>
            <w:pPr>
              <w:spacing w:after="0"/>
              <w:rPr>
                <w:sz w:val="13"/>
                <w:szCs w:val="13"/>
                <w:color w:val="auto"/>
              </w:rPr>
            </w:pPr>
          </w:p>
        </w:tc>
      </w:tr>
      <w:tr>
        <w:trPr>
          <w:trHeight w:val="162"/>
        </w:trPr>
        <w:tc>
          <w:tcPr>
            <w:tcW w:w="1920" w:type="dxa"/>
            <w:vAlign w:val="bottom"/>
          </w:tcPr>
          <w:p>
            <w:pPr>
              <w:spacing w:after="0"/>
              <w:rPr>
                <w:sz w:val="20"/>
                <w:szCs w:val="20"/>
                <w:color w:val="auto"/>
              </w:rPr>
            </w:pPr>
            <w:r>
              <w:rPr>
                <w:rFonts w:ascii="Arial" w:cs="Arial" w:eastAsia="Arial" w:hAnsi="Arial"/>
                <w:sz w:val="14"/>
                <w:szCs w:val="14"/>
                <w:color w:val="auto"/>
              </w:rPr>
              <w:t>and associates</w:t>
            </w: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162"/>
        </w:trPr>
        <w:tc>
          <w:tcPr>
            <w:tcW w:w="1920" w:type="dxa"/>
            <w:vAlign w:val="bottom"/>
          </w:tcPr>
          <w:p>
            <w:pPr>
              <w:ind w:left="140"/>
              <w:spacing w:after="0"/>
              <w:rPr>
                <w:sz w:val="20"/>
                <w:szCs w:val="20"/>
                <w:color w:val="auto"/>
              </w:rPr>
            </w:pPr>
            <w:r>
              <w:rPr>
                <w:rFonts w:ascii="Arial" w:cs="Arial" w:eastAsia="Arial" w:hAnsi="Arial"/>
                <w:sz w:val="14"/>
                <w:szCs w:val="14"/>
                <w:color w:val="auto"/>
              </w:rPr>
              <w:t>At January 1</w:t>
            </w:r>
          </w:p>
        </w:tc>
        <w:tc>
          <w:tcPr>
            <w:tcW w:w="740" w:type="dxa"/>
            <w:vAlign w:val="bottom"/>
            <w:gridSpan w:val="2"/>
          </w:tcPr>
          <w:p>
            <w:pPr>
              <w:jc w:val="right"/>
              <w:ind w:right="200"/>
              <w:spacing w:after="0"/>
              <w:rPr>
                <w:sz w:val="20"/>
                <w:szCs w:val="20"/>
                <w:color w:val="auto"/>
              </w:rPr>
            </w:pPr>
            <w:r>
              <w:rPr>
                <w:rFonts w:ascii="Arial" w:cs="Arial" w:eastAsia="Arial" w:hAnsi="Arial"/>
                <w:sz w:val="14"/>
                <w:szCs w:val="14"/>
                <w:color w:val="auto"/>
              </w:rPr>
              <w:t>30</w:t>
            </w:r>
          </w:p>
        </w:tc>
        <w:tc>
          <w:tcPr>
            <w:tcW w:w="720" w:type="dxa"/>
            <w:vAlign w:val="bottom"/>
            <w:gridSpan w:val="2"/>
          </w:tcPr>
          <w:p>
            <w:pPr>
              <w:jc w:val="right"/>
              <w:ind w:right="200"/>
              <w:spacing w:after="0"/>
              <w:rPr>
                <w:sz w:val="20"/>
                <w:szCs w:val="20"/>
                <w:color w:val="auto"/>
              </w:rPr>
            </w:pPr>
            <w:r>
              <w:rPr>
                <w:rFonts w:ascii="Arial" w:cs="Arial" w:eastAsia="Arial" w:hAnsi="Arial"/>
                <w:sz w:val="14"/>
                <w:szCs w:val="14"/>
                <w:color w:val="auto"/>
              </w:rPr>
              <w:t>483</w:t>
            </w:r>
          </w:p>
        </w:tc>
        <w:tc>
          <w:tcPr>
            <w:tcW w:w="760" w:type="dxa"/>
            <w:vAlign w:val="bottom"/>
            <w:gridSpan w:val="2"/>
          </w:tcPr>
          <w:p>
            <w:pPr>
              <w:jc w:val="right"/>
              <w:ind w:right="200"/>
              <w:spacing w:after="0"/>
              <w:rPr>
                <w:sz w:val="20"/>
                <w:szCs w:val="20"/>
                <w:color w:val="auto"/>
              </w:rPr>
            </w:pPr>
            <w:r>
              <w:rPr>
                <w:rFonts w:ascii="Arial" w:cs="Arial" w:eastAsia="Arial" w:hAnsi="Arial"/>
                <w:sz w:val="14"/>
                <w:szCs w:val="14"/>
                <w:color w:val="auto"/>
              </w:rPr>
              <w:t>21</w:t>
            </w:r>
          </w:p>
        </w:tc>
        <w:tc>
          <w:tcPr>
            <w:tcW w:w="7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620" w:type="dxa"/>
            <w:vAlign w:val="bottom"/>
          </w:tcPr>
          <w:p>
            <w:pPr>
              <w:jc w:val="right"/>
              <w:ind w:right="12"/>
              <w:spacing w:after="0"/>
              <w:rPr>
                <w:sz w:val="20"/>
                <w:szCs w:val="20"/>
                <w:color w:val="auto"/>
              </w:rPr>
            </w:pPr>
            <w:r>
              <w:rPr>
                <w:rFonts w:ascii="Arial" w:cs="Arial" w:eastAsia="Arial" w:hAnsi="Arial"/>
                <w:sz w:val="14"/>
                <w:szCs w:val="14"/>
                <w:color w:val="auto"/>
              </w:rPr>
              <w:t>202</w:t>
            </w:r>
          </w:p>
        </w:tc>
        <w:tc>
          <w:tcPr>
            <w:tcW w:w="120" w:type="dxa"/>
            <w:vAlign w:val="bottom"/>
          </w:tcPr>
          <w:p>
            <w:pPr>
              <w:spacing w:after="0"/>
              <w:rPr>
                <w:sz w:val="14"/>
                <w:szCs w:val="14"/>
                <w:color w:val="auto"/>
              </w:rPr>
            </w:pPr>
          </w:p>
        </w:tc>
        <w:tc>
          <w:tcPr>
            <w:tcW w:w="700" w:type="dxa"/>
            <w:vAlign w:val="bottom"/>
          </w:tcPr>
          <w:p>
            <w:pPr>
              <w:jc w:val="right"/>
              <w:ind w:right="111"/>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92"/>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11"/>
              <w:spacing w:after="0"/>
              <w:rPr>
                <w:sz w:val="20"/>
                <w:szCs w:val="20"/>
                <w:color w:val="auto"/>
              </w:rPr>
            </w:pPr>
            <w:r>
              <w:rPr>
                <w:rFonts w:ascii="Arial" w:cs="Arial" w:eastAsia="Arial" w:hAnsi="Arial"/>
                <w:sz w:val="14"/>
                <w:szCs w:val="14"/>
                <w:color w:val="auto"/>
              </w:rPr>
              <w:t>–</w:t>
            </w:r>
          </w:p>
        </w:tc>
        <w:tc>
          <w:tcPr>
            <w:tcW w:w="880" w:type="dxa"/>
            <w:vAlign w:val="bottom"/>
            <w:gridSpan w:val="3"/>
          </w:tcPr>
          <w:p>
            <w:pPr>
              <w:jc w:val="right"/>
              <w:ind w:right="200"/>
              <w:spacing w:after="0"/>
              <w:rPr>
                <w:sz w:val="20"/>
                <w:szCs w:val="20"/>
                <w:color w:val="auto"/>
              </w:rPr>
            </w:pPr>
            <w:r>
              <w:rPr>
                <w:rFonts w:ascii="Arial" w:cs="Arial" w:eastAsia="Arial" w:hAnsi="Arial"/>
                <w:sz w:val="14"/>
                <w:szCs w:val="14"/>
                <w:color w:val="auto"/>
              </w:rPr>
              <w:t>18</w:t>
            </w:r>
          </w:p>
        </w:tc>
        <w:tc>
          <w:tcPr>
            <w:tcW w:w="620" w:type="dxa"/>
            <w:vAlign w:val="bottom"/>
          </w:tcPr>
          <w:p>
            <w:pPr>
              <w:jc w:val="right"/>
              <w:ind w:right="31"/>
              <w:spacing w:after="0"/>
              <w:rPr>
                <w:sz w:val="20"/>
                <w:szCs w:val="20"/>
                <w:color w:val="auto"/>
              </w:rPr>
            </w:pPr>
            <w:r>
              <w:rPr>
                <w:rFonts w:ascii="Arial" w:cs="Arial" w:eastAsia="Arial" w:hAnsi="Arial"/>
                <w:sz w:val="14"/>
                <w:szCs w:val="14"/>
                <w:color w:val="auto"/>
              </w:rPr>
              <w:t>754</w:t>
            </w:r>
          </w:p>
        </w:tc>
        <w:tc>
          <w:tcPr>
            <w:tcW w:w="740" w:type="dxa"/>
            <w:vAlign w:val="bottom"/>
          </w:tcPr>
          <w:p>
            <w:pPr>
              <w:jc w:val="right"/>
              <w:ind w:right="50"/>
              <w:spacing w:after="0"/>
              <w:rPr>
                <w:sz w:val="20"/>
                <w:szCs w:val="20"/>
                <w:color w:val="auto"/>
              </w:rPr>
            </w:pPr>
            <w:r>
              <w:rPr>
                <w:rFonts w:ascii="Arial" w:cs="Arial" w:eastAsia="Arial" w:hAnsi="Arial"/>
                <w:sz w:val="14"/>
                <w:szCs w:val="14"/>
                <w:color w:val="auto"/>
              </w:rPr>
              <w:t>–</w:t>
            </w:r>
          </w:p>
        </w:tc>
        <w:tc>
          <w:tcPr>
            <w:tcW w:w="640" w:type="dxa"/>
            <w:vAlign w:val="bottom"/>
          </w:tcPr>
          <w:p>
            <w:pPr>
              <w:jc w:val="right"/>
              <w:ind w:right="10"/>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32"/>
              <w:spacing w:after="0"/>
              <w:rPr>
                <w:sz w:val="20"/>
                <w:szCs w:val="20"/>
                <w:color w:val="auto"/>
              </w:rPr>
            </w:pPr>
            <w:r>
              <w:rPr>
                <w:rFonts w:ascii="Arial" w:cs="Arial" w:eastAsia="Arial" w:hAnsi="Arial"/>
                <w:sz w:val="14"/>
                <w:szCs w:val="14"/>
                <w:color w:val="auto"/>
              </w:rPr>
              <w:t>754</w:t>
            </w:r>
          </w:p>
        </w:tc>
      </w:tr>
      <w:tr>
        <w:trPr>
          <w:trHeight w:val="157"/>
        </w:trPr>
        <w:tc>
          <w:tcPr>
            <w:tcW w:w="1920" w:type="dxa"/>
            <w:vAlign w:val="bottom"/>
            <w:tcBorders>
              <w:bottom w:val="single" w:sz="8" w:color="auto"/>
            </w:tcBorders>
          </w:tcPr>
          <w:p>
            <w:pPr>
              <w:ind w:left="140"/>
              <w:spacing w:after="0" w:line="157" w:lineRule="exact"/>
              <w:rPr>
                <w:sz w:val="20"/>
                <w:szCs w:val="20"/>
                <w:color w:val="auto"/>
              </w:rPr>
            </w:pPr>
            <w:r>
              <w:rPr>
                <w:rFonts w:ascii="Arial" w:cs="Arial" w:eastAsia="Arial" w:hAnsi="Arial"/>
                <w:sz w:val="14"/>
                <w:szCs w:val="14"/>
                <w:color w:val="auto"/>
              </w:rPr>
              <w:t>At December 31</w:t>
            </w:r>
          </w:p>
        </w:tc>
        <w:tc>
          <w:tcPr>
            <w:tcW w:w="740" w:type="dxa"/>
            <w:vAlign w:val="bottom"/>
            <w:tcBorders>
              <w:bottom w:val="single" w:sz="8" w:color="auto"/>
            </w:tcBorders>
            <w:gridSpan w:val="2"/>
          </w:tcPr>
          <w:p>
            <w:pPr>
              <w:jc w:val="right"/>
              <w:ind w:right="200"/>
              <w:spacing w:after="0" w:line="157" w:lineRule="exact"/>
              <w:rPr>
                <w:sz w:val="20"/>
                <w:szCs w:val="20"/>
                <w:color w:val="auto"/>
              </w:rPr>
            </w:pPr>
            <w:r>
              <w:rPr>
                <w:rFonts w:ascii="Arial" w:cs="Arial" w:eastAsia="Arial" w:hAnsi="Arial"/>
                <w:sz w:val="14"/>
                <w:szCs w:val="14"/>
                <w:color w:val="auto"/>
              </w:rPr>
              <w:t>23</w:t>
            </w:r>
          </w:p>
        </w:tc>
        <w:tc>
          <w:tcPr>
            <w:tcW w:w="720" w:type="dxa"/>
            <w:vAlign w:val="bottom"/>
            <w:tcBorders>
              <w:bottom w:val="single" w:sz="8" w:color="auto"/>
            </w:tcBorders>
            <w:gridSpan w:val="2"/>
          </w:tcPr>
          <w:p>
            <w:pPr>
              <w:jc w:val="right"/>
              <w:ind w:right="200"/>
              <w:spacing w:after="0" w:line="157" w:lineRule="exact"/>
              <w:rPr>
                <w:sz w:val="20"/>
                <w:szCs w:val="20"/>
                <w:color w:val="auto"/>
              </w:rPr>
            </w:pPr>
            <w:r>
              <w:rPr>
                <w:rFonts w:ascii="Arial" w:cs="Arial" w:eastAsia="Arial" w:hAnsi="Arial"/>
                <w:sz w:val="14"/>
                <w:szCs w:val="14"/>
                <w:color w:val="auto"/>
              </w:rPr>
              <w:t>460</w:t>
            </w:r>
          </w:p>
        </w:tc>
        <w:tc>
          <w:tcPr>
            <w:tcW w:w="760" w:type="dxa"/>
            <w:vAlign w:val="bottom"/>
            <w:tcBorders>
              <w:bottom w:val="single" w:sz="8" w:color="auto"/>
            </w:tcBorders>
            <w:gridSpan w:val="2"/>
          </w:tcPr>
          <w:p>
            <w:pPr>
              <w:jc w:val="right"/>
              <w:ind w:right="200"/>
              <w:spacing w:after="0" w:line="157" w:lineRule="exact"/>
              <w:rPr>
                <w:sz w:val="20"/>
                <w:szCs w:val="20"/>
                <w:color w:val="auto"/>
              </w:rPr>
            </w:pPr>
            <w:r>
              <w:rPr>
                <w:rFonts w:ascii="Arial" w:cs="Arial" w:eastAsia="Arial" w:hAnsi="Arial"/>
                <w:sz w:val="14"/>
                <w:szCs w:val="14"/>
                <w:color w:val="auto"/>
              </w:rPr>
              <w:t>19</w:t>
            </w:r>
          </w:p>
        </w:tc>
        <w:tc>
          <w:tcPr>
            <w:tcW w:w="720" w:type="dxa"/>
            <w:vAlign w:val="bottom"/>
            <w:tcBorders>
              <w:bottom w:val="single" w:sz="8" w:color="auto"/>
            </w:tcBorders>
            <w:gridSpan w:val="2"/>
          </w:tcPr>
          <w:p>
            <w:pPr>
              <w:jc w:val="right"/>
              <w:ind w:right="200"/>
              <w:spacing w:after="0" w:line="157" w:lineRule="exact"/>
              <w:rPr>
                <w:sz w:val="20"/>
                <w:szCs w:val="20"/>
                <w:color w:val="auto"/>
              </w:rPr>
            </w:pPr>
            <w:r>
              <w:rPr>
                <w:rFonts w:ascii="Arial" w:cs="Arial" w:eastAsia="Arial" w:hAnsi="Arial"/>
                <w:sz w:val="14"/>
                <w:szCs w:val="14"/>
                <w:color w:val="auto"/>
              </w:rPr>
              <w:t>–</w:t>
            </w:r>
          </w:p>
        </w:tc>
        <w:tc>
          <w:tcPr>
            <w:tcW w:w="620" w:type="dxa"/>
            <w:vAlign w:val="bottom"/>
            <w:tcBorders>
              <w:bottom w:val="single" w:sz="8" w:color="auto"/>
            </w:tcBorders>
          </w:tcPr>
          <w:p>
            <w:pPr>
              <w:jc w:val="right"/>
              <w:ind w:right="12"/>
              <w:spacing w:after="0" w:line="157" w:lineRule="exact"/>
              <w:rPr>
                <w:sz w:val="20"/>
                <w:szCs w:val="20"/>
                <w:color w:val="auto"/>
              </w:rPr>
            </w:pPr>
            <w:r>
              <w:rPr>
                <w:rFonts w:ascii="Arial" w:cs="Arial" w:eastAsia="Arial" w:hAnsi="Arial"/>
                <w:sz w:val="14"/>
                <w:szCs w:val="14"/>
                <w:color w:val="auto"/>
              </w:rPr>
              <w:t>217</w:t>
            </w:r>
          </w:p>
        </w:tc>
        <w:tc>
          <w:tcPr>
            <w:tcW w:w="12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111"/>
              <w:spacing w:after="0" w:line="157" w:lineRule="exact"/>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tcPr>
          <w:p>
            <w:pPr>
              <w:jc w:val="right"/>
              <w:ind w:right="92"/>
              <w:spacing w:after="0" w:line="157" w:lineRule="exact"/>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tcPr>
          <w:p>
            <w:pPr>
              <w:jc w:val="right"/>
              <w:ind w:right="11"/>
              <w:spacing w:after="0" w:line="157" w:lineRule="exact"/>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gridSpan w:val="3"/>
          </w:tcPr>
          <w:p>
            <w:pPr>
              <w:jc w:val="right"/>
              <w:ind w:right="200"/>
              <w:spacing w:after="0" w:line="157" w:lineRule="exact"/>
              <w:rPr>
                <w:sz w:val="20"/>
                <w:szCs w:val="20"/>
                <w:color w:val="auto"/>
              </w:rPr>
            </w:pPr>
            <w:r>
              <w:rPr>
                <w:rFonts w:ascii="Arial" w:cs="Arial" w:eastAsia="Arial" w:hAnsi="Arial"/>
                <w:sz w:val="14"/>
                <w:szCs w:val="14"/>
                <w:color w:val="auto"/>
              </w:rPr>
              <w:t>17</w:t>
            </w:r>
          </w:p>
        </w:tc>
        <w:tc>
          <w:tcPr>
            <w:tcW w:w="620" w:type="dxa"/>
            <w:vAlign w:val="bottom"/>
            <w:tcBorders>
              <w:bottom w:val="single" w:sz="8" w:color="auto"/>
            </w:tcBorders>
          </w:tcPr>
          <w:p>
            <w:pPr>
              <w:jc w:val="right"/>
              <w:ind w:right="31"/>
              <w:spacing w:after="0" w:line="157" w:lineRule="exact"/>
              <w:rPr>
                <w:sz w:val="20"/>
                <w:szCs w:val="20"/>
                <w:color w:val="auto"/>
              </w:rPr>
            </w:pPr>
            <w:r>
              <w:rPr>
                <w:rFonts w:ascii="Arial" w:cs="Arial" w:eastAsia="Arial" w:hAnsi="Arial"/>
                <w:sz w:val="14"/>
                <w:szCs w:val="14"/>
                <w:color w:val="auto"/>
              </w:rPr>
              <w:t>736</w:t>
            </w:r>
          </w:p>
        </w:tc>
        <w:tc>
          <w:tcPr>
            <w:tcW w:w="740" w:type="dxa"/>
            <w:vAlign w:val="bottom"/>
            <w:tcBorders>
              <w:bottom w:val="single" w:sz="8" w:color="auto"/>
            </w:tcBorders>
          </w:tcPr>
          <w:p>
            <w:pPr>
              <w:jc w:val="right"/>
              <w:ind w:right="50"/>
              <w:spacing w:after="0" w:line="157" w:lineRule="exact"/>
              <w:rPr>
                <w:sz w:val="20"/>
                <w:szCs w:val="20"/>
                <w:color w:val="auto"/>
              </w:rPr>
            </w:pPr>
            <w:r>
              <w:rPr>
                <w:rFonts w:ascii="Arial" w:cs="Arial" w:eastAsia="Arial" w:hAnsi="Arial"/>
                <w:sz w:val="14"/>
                <w:szCs w:val="14"/>
                <w:color w:val="auto"/>
              </w:rPr>
              <w:t>–</w:t>
            </w:r>
          </w:p>
        </w:tc>
        <w:tc>
          <w:tcPr>
            <w:tcW w:w="640" w:type="dxa"/>
            <w:vAlign w:val="bottom"/>
            <w:tcBorders>
              <w:bottom w:val="single" w:sz="8" w:color="auto"/>
            </w:tcBorders>
          </w:tcPr>
          <w:p>
            <w:pPr>
              <w:jc w:val="right"/>
              <w:ind w:right="10"/>
              <w:spacing w:after="0" w:line="157" w:lineRule="exact"/>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tcPr>
          <w:p>
            <w:pPr>
              <w:jc w:val="right"/>
              <w:ind w:right="32"/>
              <w:spacing w:after="0" w:line="157" w:lineRule="exact"/>
              <w:rPr>
                <w:sz w:val="20"/>
                <w:szCs w:val="20"/>
                <w:color w:val="auto"/>
              </w:rPr>
            </w:pPr>
            <w:r>
              <w:rPr>
                <w:rFonts w:ascii="Arial" w:cs="Arial" w:eastAsia="Arial" w:hAnsi="Arial"/>
                <w:sz w:val="14"/>
                <w:szCs w:val="14"/>
                <w:color w:val="auto"/>
              </w:rPr>
              <w:t>736</w:t>
            </w:r>
          </w:p>
        </w:tc>
      </w:tr>
    </w:tbl>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3380" w:type="dxa"/>
            <w:vAlign w:val="bottom"/>
            <w:gridSpan w:val="5"/>
            <w:shd w:val="clear" w:color="auto" w:fill="333333"/>
          </w:tcPr>
          <w:p>
            <w:pPr>
              <w:jc w:val="right"/>
              <w:ind w:right="200"/>
              <w:spacing w:after="0"/>
              <w:rPr>
                <w:sz w:val="20"/>
                <w:szCs w:val="20"/>
                <w:color w:val="auto"/>
              </w:rPr>
            </w:pPr>
            <w:r>
              <w:rPr>
                <w:rFonts w:ascii="Arial" w:cs="Arial" w:eastAsia="Arial" w:hAnsi="Arial"/>
                <w:sz w:val="15"/>
                <w:szCs w:val="15"/>
                <w:b w:val="1"/>
                <w:bCs w:val="1"/>
                <w:color w:val="FFFFFF"/>
              </w:rPr>
              <w:t>PROVED UNDEVELOPED RESERVES 2012</w:t>
            </w:r>
          </w:p>
        </w:tc>
        <w:tc>
          <w:tcPr>
            <w:tcW w:w="560" w:type="dxa"/>
            <w:vAlign w:val="bottom"/>
            <w:shd w:val="clear" w:color="auto" w:fill="333333"/>
          </w:tcPr>
          <w:p>
            <w:pPr>
              <w:spacing w:after="0"/>
              <w:rPr>
                <w:sz w:val="15"/>
                <w:szCs w:val="15"/>
                <w:color w:val="auto"/>
              </w:rPr>
            </w:pPr>
          </w:p>
        </w:tc>
        <w:tc>
          <w:tcPr>
            <w:tcW w:w="200" w:type="dxa"/>
            <w:vAlign w:val="bottom"/>
            <w:shd w:val="clear" w:color="auto" w:fill="333333"/>
          </w:tcPr>
          <w:p>
            <w:pPr>
              <w:spacing w:after="0"/>
              <w:rPr>
                <w:sz w:val="15"/>
                <w:szCs w:val="15"/>
                <w:color w:val="auto"/>
              </w:rPr>
            </w:pPr>
          </w:p>
        </w:tc>
        <w:tc>
          <w:tcPr>
            <w:tcW w:w="520" w:type="dxa"/>
            <w:vAlign w:val="bottom"/>
            <w:shd w:val="clear" w:color="auto" w:fill="333333"/>
          </w:tcPr>
          <w:p>
            <w:pPr>
              <w:spacing w:after="0"/>
              <w:rPr>
                <w:sz w:val="15"/>
                <w:szCs w:val="15"/>
                <w:color w:val="auto"/>
              </w:rPr>
            </w:pPr>
          </w:p>
        </w:tc>
        <w:tc>
          <w:tcPr>
            <w:tcW w:w="200" w:type="dxa"/>
            <w:vAlign w:val="bottom"/>
            <w:shd w:val="clear" w:color="auto" w:fill="333333"/>
          </w:tcPr>
          <w:p>
            <w:pPr>
              <w:spacing w:after="0"/>
              <w:rPr>
                <w:sz w:val="15"/>
                <w:szCs w:val="15"/>
                <w:color w:val="auto"/>
              </w:rPr>
            </w:pPr>
          </w:p>
        </w:tc>
        <w:tc>
          <w:tcPr>
            <w:tcW w:w="620" w:type="dxa"/>
            <w:vAlign w:val="bottom"/>
            <w:shd w:val="clear" w:color="auto" w:fill="333333"/>
          </w:tcPr>
          <w:p>
            <w:pPr>
              <w:spacing w:after="0"/>
              <w:rPr>
                <w:sz w:val="15"/>
                <w:szCs w:val="15"/>
                <w:color w:val="auto"/>
              </w:rPr>
            </w:pPr>
          </w:p>
        </w:tc>
        <w:tc>
          <w:tcPr>
            <w:tcW w:w="120" w:type="dxa"/>
            <w:vAlign w:val="bottom"/>
            <w:shd w:val="clear" w:color="auto" w:fill="333333"/>
          </w:tcPr>
          <w:p>
            <w:pPr>
              <w:spacing w:after="0"/>
              <w:rPr>
                <w:sz w:val="15"/>
                <w:szCs w:val="15"/>
                <w:color w:val="auto"/>
              </w:rPr>
            </w:pPr>
          </w:p>
        </w:tc>
        <w:tc>
          <w:tcPr>
            <w:tcW w:w="700" w:type="dxa"/>
            <w:vAlign w:val="bottom"/>
            <w:shd w:val="clear" w:color="auto" w:fill="333333"/>
          </w:tcPr>
          <w:p>
            <w:pPr>
              <w:spacing w:after="0"/>
              <w:rPr>
                <w:sz w:val="15"/>
                <w:szCs w:val="15"/>
                <w:color w:val="auto"/>
              </w:rPr>
            </w:pPr>
          </w:p>
        </w:tc>
        <w:tc>
          <w:tcPr>
            <w:tcW w:w="840" w:type="dxa"/>
            <w:vAlign w:val="bottom"/>
            <w:shd w:val="clear" w:color="auto" w:fill="333333"/>
          </w:tcPr>
          <w:p>
            <w:pPr>
              <w:spacing w:after="0"/>
              <w:rPr>
                <w:sz w:val="15"/>
                <w:szCs w:val="15"/>
                <w:color w:val="auto"/>
              </w:rPr>
            </w:pPr>
          </w:p>
        </w:tc>
        <w:tc>
          <w:tcPr>
            <w:tcW w:w="720" w:type="dxa"/>
            <w:vAlign w:val="bottom"/>
            <w:shd w:val="clear" w:color="auto" w:fill="333333"/>
          </w:tcPr>
          <w:p>
            <w:pPr>
              <w:spacing w:after="0"/>
              <w:rPr>
                <w:sz w:val="15"/>
                <w:szCs w:val="15"/>
                <w:color w:val="auto"/>
              </w:rPr>
            </w:pPr>
          </w:p>
        </w:tc>
        <w:tc>
          <w:tcPr>
            <w:tcW w:w="120" w:type="dxa"/>
            <w:vAlign w:val="bottom"/>
            <w:shd w:val="clear" w:color="auto" w:fill="333333"/>
          </w:tcPr>
          <w:p>
            <w:pPr>
              <w:spacing w:after="0"/>
              <w:rPr>
                <w:sz w:val="15"/>
                <w:szCs w:val="15"/>
                <w:color w:val="auto"/>
              </w:rPr>
            </w:pPr>
          </w:p>
        </w:tc>
        <w:tc>
          <w:tcPr>
            <w:tcW w:w="540" w:type="dxa"/>
            <w:vAlign w:val="bottom"/>
            <w:shd w:val="clear" w:color="auto" w:fill="333333"/>
          </w:tcPr>
          <w:p>
            <w:pPr>
              <w:spacing w:after="0"/>
              <w:rPr>
                <w:sz w:val="15"/>
                <w:szCs w:val="15"/>
                <w:color w:val="auto"/>
              </w:rPr>
            </w:pPr>
          </w:p>
        </w:tc>
        <w:tc>
          <w:tcPr>
            <w:tcW w:w="220" w:type="dxa"/>
            <w:vAlign w:val="bottom"/>
            <w:shd w:val="clear" w:color="auto" w:fill="333333"/>
          </w:tcPr>
          <w:p>
            <w:pPr>
              <w:spacing w:after="0"/>
              <w:rPr>
                <w:sz w:val="15"/>
                <w:szCs w:val="15"/>
                <w:color w:val="auto"/>
              </w:rPr>
            </w:pPr>
          </w:p>
        </w:tc>
        <w:tc>
          <w:tcPr>
            <w:tcW w:w="620" w:type="dxa"/>
            <w:vAlign w:val="bottom"/>
            <w:shd w:val="clear" w:color="auto" w:fill="333333"/>
          </w:tcPr>
          <w:p>
            <w:pPr>
              <w:spacing w:after="0"/>
              <w:rPr>
                <w:sz w:val="15"/>
                <w:szCs w:val="15"/>
                <w:color w:val="auto"/>
              </w:rPr>
            </w:pPr>
          </w:p>
        </w:tc>
        <w:tc>
          <w:tcPr>
            <w:tcW w:w="2060" w:type="dxa"/>
            <w:vAlign w:val="bottom"/>
            <w:gridSpan w:val="3"/>
            <w:shd w:val="clear" w:color="auto" w:fill="333333"/>
          </w:tcPr>
          <w:p>
            <w:pPr>
              <w:jc w:val="right"/>
              <w:ind w:right="32"/>
              <w:spacing w:after="0"/>
              <w:rPr>
                <w:sz w:val="20"/>
                <w:szCs w:val="20"/>
                <w:color w:val="auto"/>
              </w:rPr>
            </w:pPr>
            <w:r>
              <w:rPr>
                <w:rFonts w:ascii="Arial" w:cs="Arial" w:eastAsia="Arial" w:hAnsi="Arial"/>
                <w:sz w:val="15"/>
                <w:szCs w:val="15"/>
                <w:color w:val="FFFFFF"/>
              </w:rPr>
              <w:t>MILLION BARRELS</w:t>
            </w:r>
          </w:p>
        </w:tc>
      </w:tr>
      <w:tr>
        <w:trPr>
          <w:trHeight w:val="162"/>
        </w:trPr>
        <w:tc>
          <w:tcPr>
            <w:tcW w:w="19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gridSpan w:val="2"/>
          </w:tcPr>
          <w:p>
            <w:pPr>
              <w:jc w:val="right"/>
              <w:ind w:right="11"/>
              <w:spacing w:after="0" w:line="143" w:lineRule="exact"/>
              <w:rPr>
                <w:sz w:val="20"/>
                <w:szCs w:val="20"/>
                <w:color w:val="auto"/>
              </w:rPr>
            </w:pPr>
            <w:r>
              <w:rPr>
                <w:rFonts w:ascii="Arial" w:cs="Arial" w:eastAsia="Arial" w:hAnsi="Arial"/>
                <w:sz w:val="13"/>
                <w:szCs w:val="13"/>
                <w:color w:val="auto"/>
              </w:rPr>
              <w:t>North America</w:t>
            </w:r>
          </w:p>
        </w:tc>
        <w:tc>
          <w:tcPr>
            <w:tcW w:w="120" w:type="dxa"/>
            <w:vAlign w:val="bottom"/>
          </w:tcPr>
          <w:p>
            <w:pPr>
              <w:spacing w:after="0"/>
              <w:rPr>
                <w:sz w:val="14"/>
                <w:szCs w:val="14"/>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3"/>
                <w:szCs w:val="13"/>
                <w:color w:val="auto"/>
              </w:rPr>
              <w:t>South</w:t>
            </w:r>
          </w:p>
        </w:tc>
        <w:tc>
          <w:tcPr>
            <w:tcW w:w="6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156"/>
        </w:trPr>
        <w:tc>
          <w:tcPr>
            <w:tcW w:w="1920" w:type="dxa"/>
            <w:vAlign w:val="bottom"/>
          </w:tcPr>
          <w:p>
            <w:pPr>
              <w:spacing w:after="0"/>
              <w:rPr>
                <w:sz w:val="13"/>
                <w:szCs w:val="13"/>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3"/>
                <w:szCs w:val="13"/>
                <w:color w:val="auto"/>
              </w:rPr>
              <w:t>Europe</w:t>
            </w:r>
          </w:p>
        </w:tc>
        <w:tc>
          <w:tcPr>
            <w:tcW w:w="720" w:type="dxa"/>
            <w:vAlign w:val="bottom"/>
            <w:gridSpan w:val="2"/>
          </w:tcPr>
          <w:p>
            <w:pPr>
              <w:jc w:val="right"/>
              <w:ind w:right="200"/>
              <w:spacing w:after="0"/>
              <w:rPr>
                <w:sz w:val="20"/>
                <w:szCs w:val="20"/>
                <w:color w:val="auto"/>
              </w:rPr>
            </w:pPr>
            <w:r>
              <w:rPr>
                <w:rFonts w:ascii="Arial" w:cs="Arial" w:eastAsia="Arial" w:hAnsi="Arial"/>
                <w:sz w:val="13"/>
                <w:szCs w:val="13"/>
                <w:color w:val="auto"/>
              </w:rPr>
              <w:t>Asia</w:t>
            </w:r>
          </w:p>
        </w:tc>
        <w:tc>
          <w:tcPr>
            <w:tcW w:w="760" w:type="dxa"/>
            <w:vAlign w:val="bottom"/>
            <w:gridSpan w:val="2"/>
          </w:tcPr>
          <w:p>
            <w:pPr>
              <w:jc w:val="right"/>
              <w:ind w:right="200"/>
              <w:spacing w:after="0"/>
              <w:rPr>
                <w:sz w:val="20"/>
                <w:szCs w:val="20"/>
                <w:color w:val="auto"/>
              </w:rPr>
            </w:pPr>
            <w:r>
              <w:rPr>
                <w:rFonts w:ascii="Arial" w:cs="Arial" w:eastAsia="Arial" w:hAnsi="Arial"/>
                <w:sz w:val="13"/>
                <w:szCs w:val="13"/>
                <w:color w:val="auto"/>
              </w:rPr>
              <w:t>Oceania</w:t>
            </w:r>
          </w:p>
        </w:tc>
        <w:tc>
          <w:tcPr>
            <w:tcW w:w="720" w:type="dxa"/>
            <w:vAlign w:val="bottom"/>
            <w:gridSpan w:val="2"/>
          </w:tcPr>
          <w:p>
            <w:pPr>
              <w:jc w:val="right"/>
              <w:ind w:right="200"/>
              <w:spacing w:after="0"/>
              <w:rPr>
                <w:sz w:val="20"/>
                <w:szCs w:val="20"/>
                <w:color w:val="auto"/>
              </w:rPr>
            </w:pPr>
            <w:r>
              <w:rPr>
                <w:rFonts w:ascii="Arial" w:cs="Arial" w:eastAsia="Arial" w:hAnsi="Arial"/>
                <w:sz w:val="13"/>
                <w:szCs w:val="13"/>
                <w:color w:val="auto"/>
              </w:rPr>
              <w:t>Africa</w:t>
            </w:r>
          </w:p>
        </w:tc>
        <w:tc>
          <w:tcPr>
            <w:tcW w:w="740" w:type="dxa"/>
            <w:vAlign w:val="bottom"/>
            <w:gridSpan w:val="2"/>
          </w:tcPr>
          <w:p>
            <w:pPr>
              <w:jc w:val="right"/>
              <w:ind w:right="200"/>
              <w:spacing w:after="0"/>
              <w:rPr>
                <w:sz w:val="20"/>
                <w:szCs w:val="20"/>
                <w:color w:val="auto"/>
              </w:rPr>
            </w:pPr>
            <w:r>
              <w:rPr>
                <w:rFonts w:ascii="Arial" w:cs="Arial" w:eastAsia="Arial" w:hAnsi="Arial"/>
                <w:sz w:val="13"/>
                <w:szCs w:val="13"/>
                <w:color w:val="auto"/>
              </w:rPr>
              <w:t>USA</w:t>
            </w:r>
          </w:p>
        </w:tc>
        <w:tc>
          <w:tcPr>
            <w:tcW w:w="7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720" w:type="dxa"/>
            <w:vAlign w:val="bottom"/>
          </w:tcPr>
          <w:p>
            <w:pPr>
              <w:jc w:val="right"/>
              <w:ind w:right="11"/>
              <w:spacing w:after="0"/>
              <w:rPr>
                <w:sz w:val="20"/>
                <w:szCs w:val="20"/>
                <w:color w:val="auto"/>
              </w:rPr>
            </w:pPr>
            <w:r>
              <w:rPr>
                <w:rFonts w:ascii="Arial" w:cs="Arial" w:eastAsia="Arial" w:hAnsi="Arial"/>
                <w:sz w:val="13"/>
                <w:szCs w:val="13"/>
                <w:color w:val="auto"/>
              </w:rPr>
              <w:t>Canada</w:t>
            </w:r>
          </w:p>
        </w:tc>
        <w:tc>
          <w:tcPr>
            <w:tcW w:w="120" w:type="dxa"/>
            <w:vAlign w:val="bottom"/>
          </w:tcPr>
          <w:p>
            <w:pPr>
              <w:spacing w:after="0"/>
              <w:rPr>
                <w:sz w:val="13"/>
                <w:szCs w:val="13"/>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3"/>
                <w:szCs w:val="13"/>
                <w:color w:val="auto"/>
              </w:rPr>
              <w:t>America</w:t>
            </w:r>
          </w:p>
        </w:tc>
        <w:tc>
          <w:tcPr>
            <w:tcW w:w="6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80" w:type="dxa"/>
            <w:vAlign w:val="bottom"/>
          </w:tcPr>
          <w:p>
            <w:pPr>
              <w:jc w:val="right"/>
              <w:ind w:right="32"/>
              <w:spacing w:after="0"/>
              <w:rPr>
                <w:sz w:val="20"/>
                <w:szCs w:val="20"/>
                <w:color w:val="auto"/>
              </w:rPr>
            </w:pPr>
            <w:r>
              <w:rPr>
                <w:rFonts w:ascii="Arial" w:cs="Arial" w:eastAsia="Arial" w:hAnsi="Arial"/>
                <w:sz w:val="13"/>
                <w:szCs w:val="13"/>
                <w:color w:val="auto"/>
              </w:rPr>
              <w:t>Total</w:t>
            </w:r>
          </w:p>
        </w:tc>
      </w:tr>
      <w:tr>
        <w:trPr>
          <w:trHeight w:val="123"/>
        </w:trPr>
        <w:tc>
          <w:tcPr>
            <w:tcW w:w="1920" w:type="dxa"/>
            <w:vAlign w:val="bottom"/>
          </w:tcPr>
          <w:p>
            <w:pPr>
              <w:spacing w:after="0"/>
              <w:rPr>
                <w:sz w:val="10"/>
                <w:szCs w:val="10"/>
                <w:color w:val="auto"/>
              </w:rPr>
            </w:pPr>
          </w:p>
        </w:tc>
        <w:tc>
          <w:tcPr>
            <w:tcW w:w="540" w:type="dxa"/>
            <w:vAlign w:val="bottom"/>
            <w:tcBorders>
              <w:top w:val="single" w:sz="8" w:color="auto"/>
            </w:tcBorders>
          </w:tcPr>
          <w:p>
            <w:pPr>
              <w:jc w:val="right"/>
              <w:spacing w:after="0" w:line="123" w:lineRule="exact"/>
              <w:rPr>
                <w:sz w:val="20"/>
                <w:szCs w:val="20"/>
                <w:color w:val="auto"/>
              </w:rPr>
            </w:pPr>
            <w:r>
              <w:rPr>
                <w:rFonts w:ascii="Arial" w:cs="Arial" w:eastAsia="Arial" w:hAnsi="Arial"/>
                <w:sz w:val="13"/>
                <w:szCs w:val="13"/>
                <w:color w:val="auto"/>
              </w:rPr>
              <w:t>Oil and</w:t>
            </w:r>
          </w:p>
        </w:tc>
        <w:tc>
          <w:tcPr>
            <w:tcW w:w="200" w:type="dxa"/>
            <w:vAlign w:val="bottom"/>
          </w:tcPr>
          <w:p>
            <w:pPr>
              <w:spacing w:after="0"/>
              <w:rPr>
                <w:sz w:val="10"/>
                <w:szCs w:val="10"/>
                <w:color w:val="auto"/>
              </w:rPr>
            </w:pPr>
          </w:p>
        </w:tc>
        <w:tc>
          <w:tcPr>
            <w:tcW w:w="520" w:type="dxa"/>
            <w:vAlign w:val="bottom"/>
            <w:tcBorders>
              <w:top w:val="single" w:sz="8" w:color="auto"/>
            </w:tcBorders>
          </w:tcPr>
          <w:p>
            <w:pPr>
              <w:jc w:val="right"/>
              <w:spacing w:after="0" w:line="123" w:lineRule="exact"/>
              <w:rPr>
                <w:sz w:val="20"/>
                <w:szCs w:val="20"/>
                <w:color w:val="auto"/>
              </w:rPr>
            </w:pPr>
            <w:r>
              <w:rPr>
                <w:rFonts w:ascii="Arial" w:cs="Arial" w:eastAsia="Arial" w:hAnsi="Arial"/>
                <w:sz w:val="13"/>
                <w:szCs w:val="13"/>
                <w:color w:val="auto"/>
              </w:rPr>
              <w:t>Oil and</w:t>
            </w:r>
          </w:p>
        </w:tc>
        <w:tc>
          <w:tcPr>
            <w:tcW w:w="200" w:type="dxa"/>
            <w:vAlign w:val="bottom"/>
          </w:tcPr>
          <w:p>
            <w:pPr>
              <w:spacing w:after="0"/>
              <w:rPr>
                <w:sz w:val="10"/>
                <w:szCs w:val="10"/>
                <w:color w:val="auto"/>
              </w:rPr>
            </w:pPr>
          </w:p>
        </w:tc>
        <w:tc>
          <w:tcPr>
            <w:tcW w:w="560" w:type="dxa"/>
            <w:vAlign w:val="bottom"/>
            <w:tcBorders>
              <w:top w:val="single" w:sz="8" w:color="auto"/>
            </w:tcBorders>
          </w:tcPr>
          <w:p>
            <w:pPr>
              <w:jc w:val="right"/>
              <w:spacing w:after="0" w:line="123" w:lineRule="exact"/>
              <w:rPr>
                <w:sz w:val="20"/>
                <w:szCs w:val="20"/>
                <w:color w:val="auto"/>
              </w:rPr>
            </w:pPr>
            <w:r>
              <w:rPr>
                <w:rFonts w:ascii="Arial" w:cs="Arial" w:eastAsia="Arial" w:hAnsi="Arial"/>
                <w:sz w:val="13"/>
                <w:szCs w:val="13"/>
                <w:color w:val="auto"/>
              </w:rPr>
              <w:t>Oil and</w:t>
            </w:r>
          </w:p>
        </w:tc>
        <w:tc>
          <w:tcPr>
            <w:tcW w:w="200" w:type="dxa"/>
            <w:vAlign w:val="bottom"/>
          </w:tcPr>
          <w:p>
            <w:pPr>
              <w:spacing w:after="0"/>
              <w:rPr>
                <w:sz w:val="10"/>
                <w:szCs w:val="10"/>
                <w:color w:val="auto"/>
              </w:rPr>
            </w:pPr>
          </w:p>
        </w:tc>
        <w:tc>
          <w:tcPr>
            <w:tcW w:w="520" w:type="dxa"/>
            <w:vAlign w:val="bottom"/>
            <w:tcBorders>
              <w:top w:val="single" w:sz="8" w:color="auto"/>
            </w:tcBorders>
          </w:tcPr>
          <w:p>
            <w:pPr>
              <w:jc w:val="right"/>
              <w:spacing w:after="0" w:line="123" w:lineRule="exact"/>
              <w:rPr>
                <w:sz w:val="20"/>
                <w:szCs w:val="20"/>
                <w:color w:val="auto"/>
              </w:rPr>
            </w:pPr>
            <w:r>
              <w:rPr>
                <w:rFonts w:ascii="Arial" w:cs="Arial" w:eastAsia="Arial" w:hAnsi="Arial"/>
                <w:sz w:val="13"/>
                <w:szCs w:val="13"/>
                <w:color w:val="auto"/>
              </w:rPr>
              <w:t>Oil and</w:t>
            </w:r>
          </w:p>
        </w:tc>
        <w:tc>
          <w:tcPr>
            <w:tcW w:w="200" w:type="dxa"/>
            <w:vAlign w:val="bottom"/>
          </w:tcPr>
          <w:p>
            <w:pPr>
              <w:spacing w:after="0"/>
              <w:rPr>
                <w:sz w:val="10"/>
                <w:szCs w:val="10"/>
                <w:color w:val="auto"/>
              </w:rPr>
            </w:pPr>
          </w:p>
        </w:tc>
        <w:tc>
          <w:tcPr>
            <w:tcW w:w="620" w:type="dxa"/>
            <w:vAlign w:val="bottom"/>
            <w:tcBorders>
              <w:top w:val="single" w:sz="8" w:color="auto"/>
            </w:tcBorders>
          </w:tcPr>
          <w:p>
            <w:pPr>
              <w:jc w:val="right"/>
              <w:ind w:right="12"/>
              <w:spacing w:after="0" w:line="123" w:lineRule="exact"/>
              <w:rPr>
                <w:sz w:val="20"/>
                <w:szCs w:val="20"/>
                <w:color w:val="auto"/>
              </w:rPr>
            </w:pPr>
            <w:r>
              <w:rPr>
                <w:rFonts w:ascii="Arial" w:cs="Arial" w:eastAsia="Arial" w:hAnsi="Arial"/>
                <w:sz w:val="13"/>
                <w:szCs w:val="13"/>
                <w:color w:val="auto"/>
              </w:rPr>
              <w:t>Oil and</w:t>
            </w:r>
          </w:p>
        </w:tc>
        <w:tc>
          <w:tcPr>
            <w:tcW w:w="120" w:type="dxa"/>
            <w:vAlign w:val="bottom"/>
          </w:tcPr>
          <w:p>
            <w:pPr>
              <w:spacing w:after="0"/>
              <w:rPr>
                <w:sz w:val="10"/>
                <w:szCs w:val="10"/>
                <w:color w:val="auto"/>
              </w:rPr>
            </w:pPr>
          </w:p>
        </w:tc>
        <w:tc>
          <w:tcPr>
            <w:tcW w:w="700" w:type="dxa"/>
            <w:vAlign w:val="bottom"/>
            <w:tcBorders>
              <w:top w:val="single" w:sz="8" w:color="auto"/>
            </w:tcBorders>
          </w:tcPr>
          <w:p>
            <w:pPr>
              <w:jc w:val="right"/>
              <w:ind w:right="111"/>
              <w:spacing w:after="0" w:line="123" w:lineRule="exact"/>
              <w:rPr>
                <w:sz w:val="20"/>
                <w:szCs w:val="20"/>
                <w:color w:val="auto"/>
              </w:rPr>
            </w:pPr>
            <w:r>
              <w:rPr>
                <w:rFonts w:ascii="Arial" w:cs="Arial" w:eastAsia="Arial" w:hAnsi="Arial"/>
                <w:sz w:val="13"/>
                <w:szCs w:val="13"/>
                <w:color w:val="auto"/>
              </w:rPr>
              <w:t>Oil and</w:t>
            </w:r>
          </w:p>
        </w:tc>
        <w:tc>
          <w:tcPr>
            <w:tcW w:w="840" w:type="dxa"/>
            <w:vAlign w:val="bottom"/>
            <w:tcBorders>
              <w:top w:val="single" w:sz="8" w:color="auto"/>
            </w:tcBorders>
          </w:tcPr>
          <w:p>
            <w:pPr>
              <w:jc w:val="right"/>
              <w:ind w:right="92"/>
              <w:spacing w:after="0" w:line="123" w:lineRule="exact"/>
              <w:rPr>
                <w:sz w:val="20"/>
                <w:szCs w:val="20"/>
                <w:color w:val="auto"/>
              </w:rPr>
            </w:pPr>
            <w:r>
              <w:rPr>
                <w:rFonts w:ascii="Arial" w:cs="Arial" w:eastAsia="Arial" w:hAnsi="Arial"/>
                <w:sz w:val="13"/>
                <w:szCs w:val="13"/>
                <w:color w:val="auto"/>
              </w:rPr>
              <w:t>Synthetic</w:t>
            </w:r>
          </w:p>
        </w:tc>
        <w:tc>
          <w:tcPr>
            <w:tcW w:w="72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Borders>
              <w:top w:val="single" w:sz="8" w:color="auto"/>
            </w:tcBorders>
          </w:tcPr>
          <w:p>
            <w:pPr>
              <w:jc w:val="right"/>
              <w:spacing w:after="0" w:line="123" w:lineRule="exact"/>
              <w:rPr>
                <w:sz w:val="20"/>
                <w:szCs w:val="20"/>
                <w:color w:val="auto"/>
              </w:rPr>
            </w:pPr>
            <w:r>
              <w:rPr>
                <w:rFonts w:ascii="Arial" w:cs="Arial" w:eastAsia="Arial" w:hAnsi="Arial"/>
                <w:sz w:val="13"/>
                <w:szCs w:val="13"/>
                <w:color w:val="auto"/>
              </w:rPr>
              <w:t>Oil and</w:t>
            </w:r>
          </w:p>
        </w:tc>
        <w:tc>
          <w:tcPr>
            <w:tcW w:w="220" w:type="dxa"/>
            <w:vAlign w:val="bottom"/>
          </w:tcPr>
          <w:p>
            <w:pPr>
              <w:spacing w:after="0"/>
              <w:rPr>
                <w:sz w:val="10"/>
                <w:szCs w:val="10"/>
                <w:color w:val="auto"/>
              </w:rPr>
            </w:pPr>
          </w:p>
        </w:tc>
        <w:tc>
          <w:tcPr>
            <w:tcW w:w="620" w:type="dxa"/>
            <w:vAlign w:val="bottom"/>
            <w:tcBorders>
              <w:top w:val="single" w:sz="8" w:color="auto"/>
            </w:tcBorders>
          </w:tcPr>
          <w:p>
            <w:pPr>
              <w:jc w:val="right"/>
              <w:ind w:right="31"/>
              <w:spacing w:after="0" w:line="123" w:lineRule="exact"/>
              <w:rPr>
                <w:sz w:val="20"/>
                <w:szCs w:val="20"/>
                <w:color w:val="auto"/>
              </w:rPr>
            </w:pPr>
            <w:r>
              <w:rPr>
                <w:rFonts w:ascii="Arial" w:cs="Arial" w:eastAsia="Arial" w:hAnsi="Arial"/>
                <w:sz w:val="13"/>
                <w:szCs w:val="13"/>
                <w:color w:val="auto"/>
              </w:rPr>
              <w:t>Oil and</w:t>
            </w:r>
          </w:p>
        </w:tc>
        <w:tc>
          <w:tcPr>
            <w:tcW w:w="740" w:type="dxa"/>
            <w:vAlign w:val="bottom"/>
            <w:tcBorders>
              <w:top w:val="single" w:sz="8" w:color="auto"/>
            </w:tcBorders>
          </w:tcPr>
          <w:p>
            <w:pPr>
              <w:jc w:val="right"/>
              <w:ind w:right="50"/>
              <w:spacing w:after="0" w:line="123" w:lineRule="exact"/>
              <w:rPr>
                <w:sz w:val="20"/>
                <w:szCs w:val="20"/>
                <w:color w:val="auto"/>
              </w:rPr>
            </w:pPr>
            <w:r>
              <w:rPr>
                <w:rFonts w:ascii="Arial" w:cs="Arial" w:eastAsia="Arial" w:hAnsi="Arial"/>
                <w:sz w:val="13"/>
                <w:szCs w:val="13"/>
                <w:color w:val="auto"/>
              </w:rPr>
              <w:t>Synthetic</w:t>
            </w:r>
          </w:p>
        </w:tc>
        <w:tc>
          <w:tcPr>
            <w:tcW w:w="64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jc w:val="right"/>
              <w:ind w:right="32"/>
              <w:spacing w:after="0" w:line="123" w:lineRule="exact"/>
              <w:rPr>
                <w:sz w:val="20"/>
                <w:szCs w:val="20"/>
                <w:color w:val="auto"/>
              </w:rPr>
            </w:pPr>
            <w:r>
              <w:rPr>
                <w:rFonts w:ascii="Arial" w:cs="Arial" w:eastAsia="Arial" w:hAnsi="Arial"/>
                <w:sz w:val="13"/>
                <w:szCs w:val="13"/>
                <w:color w:val="auto"/>
              </w:rPr>
              <w:t>All</w:t>
            </w:r>
          </w:p>
        </w:tc>
      </w:tr>
      <w:tr>
        <w:trPr>
          <w:trHeight w:val="141"/>
        </w:trPr>
        <w:tc>
          <w:tcPr>
            <w:tcW w:w="192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gridSpan w:val="2"/>
          </w:tcPr>
          <w:p>
            <w:pPr>
              <w:jc w:val="right"/>
              <w:ind w:right="200"/>
              <w:spacing w:after="0" w:line="141" w:lineRule="exact"/>
              <w:rPr>
                <w:sz w:val="20"/>
                <w:szCs w:val="20"/>
                <w:color w:val="auto"/>
              </w:rPr>
            </w:pPr>
            <w:r>
              <w:rPr>
                <w:rFonts w:ascii="Arial" w:cs="Arial" w:eastAsia="Arial" w:hAnsi="Arial"/>
                <w:sz w:val="13"/>
                <w:szCs w:val="13"/>
                <w:color w:val="auto"/>
              </w:rPr>
              <w:t>NGL</w:t>
            </w:r>
          </w:p>
        </w:tc>
        <w:tc>
          <w:tcPr>
            <w:tcW w:w="720" w:type="dxa"/>
            <w:vAlign w:val="bottom"/>
            <w:tcBorders>
              <w:bottom w:val="single" w:sz="8" w:color="auto"/>
            </w:tcBorders>
            <w:gridSpan w:val="2"/>
          </w:tcPr>
          <w:p>
            <w:pPr>
              <w:jc w:val="right"/>
              <w:ind w:right="200"/>
              <w:spacing w:after="0" w:line="141" w:lineRule="exact"/>
              <w:rPr>
                <w:sz w:val="20"/>
                <w:szCs w:val="20"/>
                <w:color w:val="auto"/>
              </w:rPr>
            </w:pPr>
            <w:r>
              <w:rPr>
                <w:rFonts w:ascii="Arial" w:cs="Arial" w:eastAsia="Arial" w:hAnsi="Arial"/>
                <w:sz w:val="13"/>
                <w:szCs w:val="13"/>
                <w:color w:val="auto"/>
              </w:rPr>
              <w:t>NGL</w:t>
            </w:r>
          </w:p>
        </w:tc>
        <w:tc>
          <w:tcPr>
            <w:tcW w:w="760" w:type="dxa"/>
            <w:vAlign w:val="bottom"/>
            <w:tcBorders>
              <w:bottom w:val="single" w:sz="8" w:color="auto"/>
            </w:tcBorders>
            <w:gridSpan w:val="2"/>
          </w:tcPr>
          <w:p>
            <w:pPr>
              <w:jc w:val="right"/>
              <w:ind w:right="200"/>
              <w:spacing w:after="0" w:line="141" w:lineRule="exact"/>
              <w:rPr>
                <w:sz w:val="20"/>
                <w:szCs w:val="20"/>
                <w:color w:val="auto"/>
              </w:rPr>
            </w:pPr>
            <w:r>
              <w:rPr>
                <w:rFonts w:ascii="Arial" w:cs="Arial" w:eastAsia="Arial" w:hAnsi="Arial"/>
                <w:sz w:val="13"/>
                <w:szCs w:val="13"/>
                <w:color w:val="auto"/>
              </w:rPr>
              <w:t>NGL</w:t>
            </w:r>
          </w:p>
        </w:tc>
        <w:tc>
          <w:tcPr>
            <w:tcW w:w="720" w:type="dxa"/>
            <w:vAlign w:val="bottom"/>
            <w:tcBorders>
              <w:bottom w:val="single" w:sz="8" w:color="auto"/>
            </w:tcBorders>
            <w:gridSpan w:val="2"/>
          </w:tcPr>
          <w:p>
            <w:pPr>
              <w:jc w:val="right"/>
              <w:ind w:right="200"/>
              <w:spacing w:after="0" w:line="141" w:lineRule="exact"/>
              <w:rPr>
                <w:sz w:val="20"/>
                <w:szCs w:val="20"/>
                <w:color w:val="auto"/>
              </w:rPr>
            </w:pPr>
            <w:r>
              <w:rPr>
                <w:rFonts w:ascii="Arial" w:cs="Arial" w:eastAsia="Arial" w:hAnsi="Arial"/>
                <w:sz w:val="13"/>
                <w:szCs w:val="13"/>
                <w:color w:val="auto"/>
              </w:rPr>
              <w:t>NGL</w:t>
            </w:r>
          </w:p>
        </w:tc>
        <w:tc>
          <w:tcPr>
            <w:tcW w:w="740" w:type="dxa"/>
            <w:vAlign w:val="bottom"/>
            <w:tcBorders>
              <w:bottom w:val="single" w:sz="8" w:color="auto"/>
            </w:tcBorders>
            <w:gridSpan w:val="2"/>
          </w:tcPr>
          <w:p>
            <w:pPr>
              <w:jc w:val="right"/>
              <w:ind w:right="200"/>
              <w:spacing w:after="0" w:line="141" w:lineRule="exact"/>
              <w:rPr>
                <w:sz w:val="20"/>
                <w:szCs w:val="20"/>
                <w:color w:val="auto"/>
              </w:rPr>
            </w:pPr>
            <w:r>
              <w:rPr>
                <w:rFonts w:ascii="Arial" w:cs="Arial" w:eastAsia="Arial" w:hAnsi="Arial"/>
                <w:sz w:val="13"/>
                <w:szCs w:val="13"/>
                <w:color w:val="auto"/>
              </w:rPr>
              <w:t>NGL</w:t>
            </w:r>
          </w:p>
        </w:tc>
        <w:tc>
          <w:tcPr>
            <w:tcW w:w="700" w:type="dxa"/>
            <w:vAlign w:val="bottom"/>
            <w:tcBorders>
              <w:bottom w:val="single" w:sz="8" w:color="auto"/>
            </w:tcBorders>
          </w:tcPr>
          <w:p>
            <w:pPr>
              <w:jc w:val="right"/>
              <w:ind w:right="111"/>
              <w:spacing w:after="0" w:line="141" w:lineRule="exact"/>
              <w:rPr>
                <w:sz w:val="20"/>
                <w:szCs w:val="20"/>
                <w:color w:val="auto"/>
              </w:rPr>
            </w:pPr>
            <w:r>
              <w:rPr>
                <w:rFonts w:ascii="Arial" w:cs="Arial" w:eastAsia="Arial" w:hAnsi="Arial"/>
                <w:sz w:val="13"/>
                <w:szCs w:val="13"/>
                <w:color w:val="auto"/>
              </w:rPr>
              <w:t>NGL</w:t>
            </w:r>
          </w:p>
        </w:tc>
        <w:tc>
          <w:tcPr>
            <w:tcW w:w="840" w:type="dxa"/>
            <w:vAlign w:val="bottom"/>
            <w:tcBorders>
              <w:bottom w:val="single" w:sz="8" w:color="auto"/>
            </w:tcBorders>
          </w:tcPr>
          <w:p>
            <w:pPr>
              <w:jc w:val="right"/>
              <w:ind w:right="92"/>
              <w:spacing w:after="0" w:line="141" w:lineRule="exact"/>
              <w:rPr>
                <w:sz w:val="20"/>
                <w:szCs w:val="20"/>
                <w:color w:val="auto"/>
              </w:rPr>
            </w:pPr>
            <w:r>
              <w:rPr>
                <w:rFonts w:ascii="Arial" w:cs="Arial" w:eastAsia="Arial" w:hAnsi="Arial"/>
                <w:sz w:val="13"/>
                <w:szCs w:val="13"/>
                <w:color w:val="auto"/>
              </w:rPr>
              <w:t>crude oil</w:t>
            </w:r>
          </w:p>
        </w:tc>
        <w:tc>
          <w:tcPr>
            <w:tcW w:w="720" w:type="dxa"/>
            <w:vAlign w:val="bottom"/>
            <w:tcBorders>
              <w:bottom w:val="single" w:sz="8" w:color="auto"/>
            </w:tcBorders>
          </w:tcPr>
          <w:p>
            <w:pPr>
              <w:jc w:val="right"/>
              <w:ind w:right="11"/>
              <w:spacing w:after="0" w:line="141" w:lineRule="exact"/>
              <w:rPr>
                <w:sz w:val="20"/>
                <w:szCs w:val="20"/>
                <w:color w:val="auto"/>
              </w:rPr>
            </w:pPr>
            <w:r>
              <w:rPr>
                <w:rFonts w:ascii="Arial" w:cs="Arial" w:eastAsia="Arial" w:hAnsi="Arial"/>
                <w:sz w:val="13"/>
                <w:szCs w:val="13"/>
                <w:color w:val="auto"/>
              </w:rPr>
              <w:t>Bitumen</w:t>
            </w:r>
          </w:p>
        </w:tc>
        <w:tc>
          <w:tcPr>
            <w:tcW w:w="12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gridSpan w:val="2"/>
          </w:tcPr>
          <w:p>
            <w:pPr>
              <w:jc w:val="right"/>
              <w:ind w:right="200"/>
              <w:spacing w:after="0" w:line="141" w:lineRule="exact"/>
              <w:rPr>
                <w:sz w:val="20"/>
                <w:szCs w:val="20"/>
                <w:color w:val="auto"/>
              </w:rPr>
            </w:pPr>
            <w:r>
              <w:rPr>
                <w:rFonts w:ascii="Arial" w:cs="Arial" w:eastAsia="Arial" w:hAnsi="Arial"/>
                <w:sz w:val="13"/>
                <w:szCs w:val="13"/>
                <w:color w:val="auto"/>
              </w:rPr>
              <w:t>NGL</w:t>
            </w:r>
          </w:p>
        </w:tc>
        <w:tc>
          <w:tcPr>
            <w:tcW w:w="620" w:type="dxa"/>
            <w:vAlign w:val="bottom"/>
            <w:tcBorders>
              <w:bottom w:val="single" w:sz="8" w:color="auto"/>
            </w:tcBorders>
          </w:tcPr>
          <w:p>
            <w:pPr>
              <w:jc w:val="right"/>
              <w:ind w:right="31"/>
              <w:spacing w:after="0" w:line="141" w:lineRule="exact"/>
              <w:rPr>
                <w:sz w:val="20"/>
                <w:szCs w:val="20"/>
                <w:color w:val="auto"/>
              </w:rPr>
            </w:pPr>
            <w:r>
              <w:rPr>
                <w:rFonts w:ascii="Arial" w:cs="Arial" w:eastAsia="Arial" w:hAnsi="Arial"/>
                <w:sz w:val="13"/>
                <w:szCs w:val="13"/>
                <w:color w:val="auto"/>
              </w:rPr>
              <w:t>NGL</w:t>
            </w:r>
          </w:p>
        </w:tc>
        <w:tc>
          <w:tcPr>
            <w:tcW w:w="740" w:type="dxa"/>
            <w:vAlign w:val="bottom"/>
            <w:tcBorders>
              <w:bottom w:val="single" w:sz="8" w:color="auto"/>
            </w:tcBorders>
          </w:tcPr>
          <w:p>
            <w:pPr>
              <w:jc w:val="right"/>
              <w:ind w:right="50"/>
              <w:spacing w:after="0" w:line="141" w:lineRule="exact"/>
              <w:rPr>
                <w:sz w:val="20"/>
                <w:szCs w:val="20"/>
                <w:color w:val="auto"/>
              </w:rPr>
            </w:pPr>
            <w:r>
              <w:rPr>
                <w:rFonts w:ascii="Arial" w:cs="Arial" w:eastAsia="Arial" w:hAnsi="Arial"/>
                <w:sz w:val="13"/>
                <w:szCs w:val="13"/>
                <w:color w:val="auto"/>
              </w:rPr>
              <w:t>crude oil</w:t>
            </w:r>
          </w:p>
        </w:tc>
        <w:tc>
          <w:tcPr>
            <w:tcW w:w="640" w:type="dxa"/>
            <w:vAlign w:val="bottom"/>
            <w:tcBorders>
              <w:bottom w:val="single" w:sz="8" w:color="auto"/>
            </w:tcBorders>
          </w:tcPr>
          <w:p>
            <w:pPr>
              <w:jc w:val="right"/>
              <w:ind w:right="10"/>
              <w:spacing w:after="0" w:line="141" w:lineRule="exact"/>
              <w:rPr>
                <w:sz w:val="20"/>
                <w:szCs w:val="20"/>
                <w:color w:val="auto"/>
              </w:rPr>
            </w:pPr>
            <w:r>
              <w:rPr>
                <w:rFonts w:ascii="Arial" w:cs="Arial" w:eastAsia="Arial" w:hAnsi="Arial"/>
                <w:sz w:val="13"/>
                <w:szCs w:val="13"/>
                <w:color w:val="auto"/>
              </w:rPr>
              <w:t>Bitumen</w:t>
            </w:r>
          </w:p>
        </w:tc>
        <w:tc>
          <w:tcPr>
            <w:tcW w:w="680" w:type="dxa"/>
            <w:vAlign w:val="bottom"/>
            <w:tcBorders>
              <w:bottom w:val="single" w:sz="8" w:color="auto"/>
            </w:tcBorders>
          </w:tcPr>
          <w:p>
            <w:pPr>
              <w:jc w:val="right"/>
              <w:ind w:right="32"/>
              <w:spacing w:after="0" w:line="141" w:lineRule="exact"/>
              <w:rPr>
                <w:sz w:val="20"/>
                <w:szCs w:val="20"/>
                <w:color w:val="auto"/>
              </w:rPr>
            </w:pPr>
            <w:r>
              <w:rPr>
                <w:rFonts w:ascii="Arial" w:cs="Arial" w:eastAsia="Arial" w:hAnsi="Arial"/>
                <w:sz w:val="13"/>
                <w:szCs w:val="13"/>
                <w:color w:val="auto"/>
              </w:rPr>
              <w:t>products</w:t>
            </w:r>
          </w:p>
        </w:tc>
      </w:tr>
      <w:tr>
        <w:trPr>
          <w:trHeight w:val="160"/>
        </w:trPr>
        <w:tc>
          <w:tcPr>
            <w:tcW w:w="1920" w:type="dxa"/>
            <w:vAlign w:val="bottom"/>
          </w:tcPr>
          <w:p>
            <w:pPr>
              <w:spacing w:after="0"/>
              <w:rPr>
                <w:sz w:val="20"/>
                <w:szCs w:val="20"/>
                <w:color w:val="auto"/>
              </w:rPr>
            </w:pPr>
            <w:r>
              <w:rPr>
                <w:rFonts w:ascii="Arial" w:cs="Arial" w:eastAsia="Arial" w:hAnsi="Arial"/>
                <w:sz w:val="14"/>
                <w:szCs w:val="14"/>
                <w:color w:val="auto"/>
              </w:rPr>
              <w:t>Shell subsidiaries</w:t>
            </w:r>
          </w:p>
        </w:tc>
        <w:tc>
          <w:tcPr>
            <w:tcW w:w="5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80" w:type="dxa"/>
            <w:vAlign w:val="bottom"/>
          </w:tcPr>
          <w:p>
            <w:pPr>
              <w:spacing w:after="0"/>
              <w:rPr>
                <w:sz w:val="13"/>
                <w:szCs w:val="13"/>
                <w:color w:val="auto"/>
              </w:rPr>
            </w:pPr>
          </w:p>
        </w:tc>
      </w:tr>
      <w:tr>
        <w:trPr>
          <w:trHeight w:val="162"/>
        </w:trPr>
        <w:tc>
          <w:tcPr>
            <w:tcW w:w="1920" w:type="dxa"/>
            <w:vAlign w:val="bottom"/>
          </w:tcPr>
          <w:p>
            <w:pPr>
              <w:ind w:left="140"/>
              <w:spacing w:after="0"/>
              <w:rPr>
                <w:sz w:val="20"/>
                <w:szCs w:val="20"/>
                <w:color w:val="auto"/>
              </w:rPr>
            </w:pPr>
            <w:r>
              <w:rPr>
                <w:rFonts w:ascii="Arial" w:cs="Arial" w:eastAsia="Arial" w:hAnsi="Arial"/>
                <w:sz w:val="14"/>
                <w:szCs w:val="14"/>
                <w:color w:val="auto"/>
              </w:rPr>
              <w:t>At January 1</w:t>
            </w:r>
          </w:p>
        </w:tc>
        <w:tc>
          <w:tcPr>
            <w:tcW w:w="740" w:type="dxa"/>
            <w:vAlign w:val="bottom"/>
            <w:gridSpan w:val="2"/>
          </w:tcPr>
          <w:p>
            <w:pPr>
              <w:jc w:val="right"/>
              <w:ind w:right="200"/>
              <w:spacing w:after="0"/>
              <w:rPr>
                <w:sz w:val="20"/>
                <w:szCs w:val="20"/>
                <w:color w:val="auto"/>
              </w:rPr>
            </w:pPr>
            <w:r>
              <w:rPr>
                <w:rFonts w:ascii="Arial" w:cs="Arial" w:eastAsia="Arial" w:hAnsi="Arial"/>
                <w:sz w:val="14"/>
                <w:szCs w:val="14"/>
                <w:color w:val="auto"/>
              </w:rPr>
              <w:t>263</w:t>
            </w:r>
          </w:p>
        </w:tc>
        <w:tc>
          <w:tcPr>
            <w:tcW w:w="720" w:type="dxa"/>
            <w:vAlign w:val="bottom"/>
            <w:gridSpan w:val="2"/>
          </w:tcPr>
          <w:p>
            <w:pPr>
              <w:jc w:val="right"/>
              <w:ind w:right="200"/>
              <w:spacing w:after="0"/>
              <w:rPr>
                <w:sz w:val="20"/>
                <w:szCs w:val="20"/>
                <w:color w:val="auto"/>
              </w:rPr>
            </w:pPr>
            <w:r>
              <w:rPr>
                <w:rFonts w:ascii="Arial" w:cs="Arial" w:eastAsia="Arial" w:hAnsi="Arial"/>
                <w:sz w:val="14"/>
                <w:szCs w:val="14"/>
                <w:color w:val="auto"/>
              </w:rPr>
              <w:t>323</w:t>
            </w:r>
          </w:p>
        </w:tc>
        <w:tc>
          <w:tcPr>
            <w:tcW w:w="760" w:type="dxa"/>
            <w:vAlign w:val="bottom"/>
            <w:gridSpan w:val="2"/>
          </w:tcPr>
          <w:p>
            <w:pPr>
              <w:jc w:val="right"/>
              <w:ind w:right="200"/>
              <w:spacing w:after="0"/>
              <w:rPr>
                <w:sz w:val="20"/>
                <w:szCs w:val="20"/>
                <w:color w:val="auto"/>
              </w:rPr>
            </w:pPr>
            <w:r>
              <w:rPr>
                <w:rFonts w:ascii="Arial" w:cs="Arial" w:eastAsia="Arial" w:hAnsi="Arial"/>
                <w:sz w:val="14"/>
                <w:szCs w:val="14"/>
                <w:color w:val="auto"/>
              </w:rPr>
              <w:t>140</w:t>
            </w:r>
          </w:p>
        </w:tc>
        <w:tc>
          <w:tcPr>
            <w:tcW w:w="720" w:type="dxa"/>
            <w:vAlign w:val="bottom"/>
            <w:gridSpan w:val="2"/>
          </w:tcPr>
          <w:p>
            <w:pPr>
              <w:jc w:val="right"/>
              <w:ind w:right="200"/>
              <w:spacing w:after="0"/>
              <w:rPr>
                <w:sz w:val="20"/>
                <w:szCs w:val="20"/>
                <w:color w:val="auto"/>
              </w:rPr>
            </w:pPr>
            <w:r>
              <w:rPr>
                <w:rFonts w:ascii="Arial" w:cs="Arial" w:eastAsia="Arial" w:hAnsi="Arial"/>
                <w:sz w:val="14"/>
                <w:szCs w:val="14"/>
                <w:color w:val="auto"/>
              </w:rPr>
              <w:t>293</w:t>
            </w:r>
          </w:p>
        </w:tc>
        <w:tc>
          <w:tcPr>
            <w:tcW w:w="620" w:type="dxa"/>
            <w:vAlign w:val="bottom"/>
          </w:tcPr>
          <w:p>
            <w:pPr>
              <w:jc w:val="right"/>
              <w:ind w:right="12"/>
              <w:spacing w:after="0"/>
              <w:rPr>
                <w:sz w:val="20"/>
                <w:szCs w:val="20"/>
                <w:color w:val="auto"/>
              </w:rPr>
            </w:pPr>
            <w:r>
              <w:rPr>
                <w:rFonts w:ascii="Arial" w:cs="Arial" w:eastAsia="Arial" w:hAnsi="Arial"/>
                <w:sz w:val="14"/>
                <w:szCs w:val="14"/>
                <w:color w:val="auto"/>
              </w:rPr>
              <w:t>292</w:t>
            </w:r>
          </w:p>
        </w:tc>
        <w:tc>
          <w:tcPr>
            <w:tcW w:w="120" w:type="dxa"/>
            <w:vAlign w:val="bottom"/>
          </w:tcPr>
          <w:p>
            <w:pPr>
              <w:spacing w:after="0"/>
              <w:rPr>
                <w:sz w:val="14"/>
                <w:szCs w:val="14"/>
                <w:color w:val="auto"/>
              </w:rPr>
            </w:pPr>
          </w:p>
        </w:tc>
        <w:tc>
          <w:tcPr>
            <w:tcW w:w="700" w:type="dxa"/>
            <w:vAlign w:val="bottom"/>
          </w:tcPr>
          <w:p>
            <w:pPr>
              <w:jc w:val="right"/>
              <w:ind w:right="111"/>
              <w:spacing w:after="0"/>
              <w:rPr>
                <w:sz w:val="20"/>
                <w:szCs w:val="20"/>
                <w:color w:val="auto"/>
              </w:rPr>
            </w:pPr>
            <w:r>
              <w:rPr>
                <w:rFonts w:ascii="Arial" w:cs="Arial" w:eastAsia="Arial" w:hAnsi="Arial"/>
                <w:sz w:val="14"/>
                <w:szCs w:val="14"/>
                <w:color w:val="auto"/>
              </w:rPr>
              <w:t>13</w:t>
            </w:r>
          </w:p>
        </w:tc>
        <w:tc>
          <w:tcPr>
            <w:tcW w:w="840" w:type="dxa"/>
            <w:vAlign w:val="bottom"/>
          </w:tcPr>
          <w:p>
            <w:pPr>
              <w:jc w:val="right"/>
              <w:ind w:right="92"/>
              <w:spacing w:after="0"/>
              <w:rPr>
                <w:sz w:val="20"/>
                <w:szCs w:val="20"/>
                <w:color w:val="auto"/>
              </w:rPr>
            </w:pPr>
            <w:r>
              <w:rPr>
                <w:rFonts w:ascii="Arial" w:cs="Arial" w:eastAsia="Arial" w:hAnsi="Arial"/>
                <w:sz w:val="14"/>
                <w:szCs w:val="14"/>
                <w:color w:val="auto"/>
              </w:rPr>
              <w:t>431</w:t>
            </w:r>
          </w:p>
        </w:tc>
        <w:tc>
          <w:tcPr>
            <w:tcW w:w="720" w:type="dxa"/>
            <w:vAlign w:val="bottom"/>
          </w:tcPr>
          <w:p>
            <w:pPr>
              <w:jc w:val="right"/>
              <w:ind w:right="11"/>
              <w:spacing w:after="0"/>
              <w:rPr>
                <w:sz w:val="20"/>
                <w:szCs w:val="20"/>
                <w:color w:val="auto"/>
              </w:rPr>
            </w:pPr>
            <w:r>
              <w:rPr>
                <w:rFonts w:ascii="Arial" w:cs="Arial" w:eastAsia="Arial" w:hAnsi="Arial"/>
                <w:sz w:val="14"/>
                <w:szCs w:val="14"/>
                <w:color w:val="auto"/>
              </w:rPr>
              <w:t>33</w:t>
            </w:r>
          </w:p>
        </w:tc>
        <w:tc>
          <w:tcPr>
            <w:tcW w:w="880" w:type="dxa"/>
            <w:vAlign w:val="bottom"/>
            <w:gridSpan w:val="3"/>
          </w:tcPr>
          <w:p>
            <w:pPr>
              <w:jc w:val="right"/>
              <w:ind w:right="200"/>
              <w:spacing w:after="0"/>
              <w:rPr>
                <w:sz w:val="20"/>
                <w:szCs w:val="20"/>
                <w:color w:val="auto"/>
              </w:rPr>
            </w:pPr>
            <w:r>
              <w:rPr>
                <w:rFonts w:ascii="Arial" w:cs="Arial" w:eastAsia="Arial" w:hAnsi="Arial"/>
                <w:sz w:val="14"/>
                <w:szCs w:val="14"/>
                <w:color w:val="auto"/>
              </w:rPr>
              <w:t>28</w:t>
            </w:r>
          </w:p>
        </w:tc>
        <w:tc>
          <w:tcPr>
            <w:tcW w:w="620" w:type="dxa"/>
            <w:vAlign w:val="bottom"/>
          </w:tcPr>
          <w:p>
            <w:pPr>
              <w:jc w:val="right"/>
              <w:ind w:right="31"/>
              <w:spacing w:after="0"/>
              <w:rPr>
                <w:sz w:val="20"/>
                <w:szCs w:val="20"/>
                <w:color w:val="auto"/>
              </w:rPr>
            </w:pPr>
            <w:r>
              <w:rPr>
                <w:rFonts w:ascii="Arial" w:cs="Arial" w:eastAsia="Arial" w:hAnsi="Arial"/>
                <w:sz w:val="14"/>
                <w:szCs w:val="14"/>
                <w:color w:val="auto"/>
              </w:rPr>
              <w:t>1,352</w:t>
            </w:r>
          </w:p>
        </w:tc>
        <w:tc>
          <w:tcPr>
            <w:tcW w:w="740" w:type="dxa"/>
            <w:vAlign w:val="bottom"/>
          </w:tcPr>
          <w:p>
            <w:pPr>
              <w:jc w:val="right"/>
              <w:ind w:right="50"/>
              <w:spacing w:after="0"/>
              <w:rPr>
                <w:sz w:val="20"/>
                <w:szCs w:val="20"/>
                <w:color w:val="auto"/>
              </w:rPr>
            </w:pPr>
            <w:r>
              <w:rPr>
                <w:rFonts w:ascii="Arial" w:cs="Arial" w:eastAsia="Arial" w:hAnsi="Arial"/>
                <w:sz w:val="14"/>
                <w:szCs w:val="14"/>
                <w:color w:val="auto"/>
              </w:rPr>
              <w:t>431</w:t>
            </w:r>
          </w:p>
        </w:tc>
        <w:tc>
          <w:tcPr>
            <w:tcW w:w="640" w:type="dxa"/>
            <w:vAlign w:val="bottom"/>
          </w:tcPr>
          <w:p>
            <w:pPr>
              <w:jc w:val="right"/>
              <w:ind w:right="10"/>
              <w:spacing w:after="0"/>
              <w:rPr>
                <w:sz w:val="20"/>
                <w:szCs w:val="20"/>
                <w:color w:val="auto"/>
              </w:rPr>
            </w:pPr>
            <w:r>
              <w:rPr>
                <w:rFonts w:ascii="Arial" w:cs="Arial" w:eastAsia="Arial" w:hAnsi="Arial"/>
                <w:sz w:val="14"/>
                <w:szCs w:val="14"/>
                <w:color w:val="auto"/>
              </w:rPr>
              <w:t>33</w:t>
            </w:r>
          </w:p>
        </w:tc>
        <w:tc>
          <w:tcPr>
            <w:tcW w:w="680" w:type="dxa"/>
            <w:vAlign w:val="bottom"/>
          </w:tcPr>
          <w:p>
            <w:pPr>
              <w:jc w:val="right"/>
              <w:ind w:right="32"/>
              <w:spacing w:after="0"/>
              <w:rPr>
                <w:sz w:val="20"/>
                <w:szCs w:val="20"/>
                <w:color w:val="auto"/>
              </w:rPr>
            </w:pPr>
            <w:r>
              <w:rPr>
                <w:rFonts w:ascii="Arial" w:cs="Arial" w:eastAsia="Arial" w:hAnsi="Arial"/>
                <w:sz w:val="14"/>
                <w:szCs w:val="14"/>
                <w:color w:val="auto"/>
              </w:rPr>
              <w:t>1,816</w:t>
            </w:r>
          </w:p>
        </w:tc>
      </w:tr>
      <w:tr>
        <w:trPr>
          <w:trHeight w:val="157"/>
        </w:trPr>
        <w:tc>
          <w:tcPr>
            <w:tcW w:w="1920" w:type="dxa"/>
            <w:vAlign w:val="bottom"/>
            <w:tcBorders>
              <w:bottom w:val="single" w:sz="8" w:color="auto"/>
            </w:tcBorders>
          </w:tcPr>
          <w:p>
            <w:pPr>
              <w:ind w:left="140"/>
              <w:spacing w:after="0" w:line="157" w:lineRule="exact"/>
              <w:rPr>
                <w:sz w:val="20"/>
                <w:szCs w:val="20"/>
                <w:color w:val="auto"/>
              </w:rPr>
            </w:pPr>
            <w:r>
              <w:rPr>
                <w:rFonts w:ascii="Arial" w:cs="Arial" w:eastAsia="Arial" w:hAnsi="Arial"/>
                <w:sz w:val="14"/>
                <w:szCs w:val="14"/>
                <w:color w:val="auto"/>
              </w:rPr>
              <w:t>At December 31</w:t>
            </w:r>
          </w:p>
        </w:tc>
        <w:tc>
          <w:tcPr>
            <w:tcW w:w="740" w:type="dxa"/>
            <w:vAlign w:val="bottom"/>
            <w:tcBorders>
              <w:bottom w:val="single" w:sz="8" w:color="auto"/>
            </w:tcBorders>
            <w:gridSpan w:val="2"/>
          </w:tcPr>
          <w:p>
            <w:pPr>
              <w:jc w:val="right"/>
              <w:ind w:right="200"/>
              <w:spacing w:after="0" w:line="157" w:lineRule="exact"/>
              <w:rPr>
                <w:sz w:val="20"/>
                <w:szCs w:val="20"/>
                <w:color w:val="auto"/>
              </w:rPr>
            </w:pPr>
            <w:r>
              <w:rPr>
                <w:rFonts w:ascii="Arial" w:cs="Arial" w:eastAsia="Arial" w:hAnsi="Arial"/>
                <w:sz w:val="14"/>
                <w:szCs w:val="14"/>
                <w:color w:val="auto"/>
              </w:rPr>
              <w:t>344</w:t>
            </w:r>
          </w:p>
        </w:tc>
        <w:tc>
          <w:tcPr>
            <w:tcW w:w="720" w:type="dxa"/>
            <w:vAlign w:val="bottom"/>
            <w:tcBorders>
              <w:bottom w:val="single" w:sz="8" w:color="auto"/>
            </w:tcBorders>
            <w:gridSpan w:val="2"/>
          </w:tcPr>
          <w:p>
            <w:pPr>
              <w:jc w:val="right"/>
              <w:ind w:right="200"/>
              <w:spacing w:after="0" w:line="157" w:lineRule="exact"/>
              <w:rPr>
                <w:sz w:val="20"/>
                <w:szCs w:val="20"/>
                <w:color w:val="auto"/>
              </w:rPr>
            </w:pPr>
            <w:r>
              <w:rPr>
                <w:rFonts w:ascii="Arial" w:cs="Arial" w:eastAsia="Arial" w:hAnsi="Arial"/>
                <w:sz w:val="14"/>
                <w:szCs w:val="14"/>
                <w:color w:val="auto"/>
              </w:rPr>
              <w:t>374</w:t>
            </w:r>
          </w:p>
        </w:tc>
        <w:tc>
          <w:tcPr>
            <w:tcW w:w="760" w:type="dxa"/>
            <w:vAlign w:val="bottom"/>
            <w:tcBorders>
              <w:bottom w:val="single" w:sz="8" w:color="auto"/>
            </w:tcBorders>
            <w:gridSpan w:val="2"/>
          </w:tcPr>
          <w:p>
            <w:pPr>
              <w:jc w:val="right"/>
              <w:ind w:right="200"/>
              <w:spacing w:after="0" w:line="157" w:lineRule="exact"/>
              <w:rPr>
                <w:sz w:val="20"/>
                <w:szCs w:val="20"/>
                <w:color w:val="auto"/>
              </w:rPr>
            </w:pPr>
            <w:r>
              <w:rPr>
                <w:rFonts w:ascii="Arial" w:cs="Arial" w:eastAsia="Arial" w:hAnsi="Arial"/>
                <w:sz w:val="14"/>
                <w:szCs w:val="14"/>
                <w:color w:val="auto"/>
              </w:rPr>
              <w:t>112</w:t>
            </w:r>
          </w:p>
        </w:tc>
        <w:tc>
          <w:tcPr>
            <w:tcW w:w="720" w:type="dxa"/>
            <w:vAlign w:val="bottom"/>
            <w:tcBorders>
              <w:bottom w:val="single" w:sz="8" w:color="auto"/>
            </w:tcBorders>
            <w:gridSpan w:val="2"/>
          </w:tcPr>
          <w:p>
            <w:pPr>
              <w:jc w:val="right"/>
              <w:ind w:right="200"/>
              <w:spacing w:after="0" w:line="157" w:lineRule="exact"/>
              <w:rPr>
                <w:sz w:val="20"/>
                <w:szCs w:val="20"/>
                <w:color w:val="auto"/>
              </w:rPr>
            </w:pPr>
            <w:r>
              <w:rPr>
                <w:rFonts w:ascii="Arial" w:cs="Arial" w:eastAsia="Arial" w:hAnsi="Arial"/>
                <w:sz w:val="14"/>
                <w:szCs w:val="14"/>
                <w:color w:val="auto"/>
              </w:rPr>
              <w:t>192</w:t>
            </w:r>
          </w:p>
        </w:tc>
        <w:tc>
          <w:tcPr>
            <w:tcW w:w="620" w:type="dxa"/>
            <w:vAlign w:val="bottom"/>
            <w:tcBorders>
              <w:bottom w:val="single" w:sz="8" w:color="auto"/>
            </w:tcBorders>
          </w:tcPr>
          <w:p>
            <w:pPr>
              <w:jc w:val="right"/>
              <w:ind w:right="12"/>
              <w:spacing w:after="0" w:line="157" w:lineRule="exact"/>
              <w:rPr>
                <w:sz w:val="20"/>
                <w:szCs w:val="20"/>
                <w:color w:val="auto"/>
              </w:rPr>
            </w:pPr>
            <w:r>
              <w:rPr>
                <w:rFonts w:ascii="Arial" w:cs="Arial" w:eastAsia="Arial" w:hAnsi="Arial"/>
                <w:sz w:val="14"/>
                <w:szCs w:val="14"/>
                <w:color w:val="auto"/>
              </w:rPr>
              <w:t>326</w:t>
            </w:r>
          </w:p>
        </w:tc>
        <w:tc>
          <w:tcPr>
            <w:tcW w:w="12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111"/>
              <w:spacing w:after="0" w:line="157" w:lineRule="exact"/>
              <w:rPr>
                <w:sz w:val="20"/>
                <w:szCs w:val="20"/>
                <w:color w:val="auto"/>
              </w:rPr>
            </w:pPr>
            <w:r>
              <w:rPr>
                <w:rFonts w:ascii="Arial" w:cs="Arial" w:eastAsia="Arial" w:hAnsi="Arial"/>
                <w:sz w:val="14"/>
                <w:szCs w:val="14"/>
                <w:color w:val="auto"/>
              </w:rPr>
              <w:t>5</w:t>
            </w:r>
          </w:p>
        </w:tc>
        <w:tc>
          <w:tcPr>
            <w:tcW w:w="840" w:type="dxa"/>
            <w:vAlign w:val="bottom"/>
            <w:tcBorders>
              <w:bottom w:val="single" w:sz="8" w:color="auto"/>
            </w:tcBorders>
          </w:tcPr>
          <w:p>
            <w:pPr>
              <w:jc w:val="right"/>
              <w:ind w:right="92"/>
              <w:spacing w:after="0" w:line="157" w:lineRule="exact"/>
              <w:rPr>
                <w:sz w:val="20"/>
                <w:szCs w:val="20"/>
                <w:color w:val="auto"/>
              </w:rPr>
            </w:pPr>
            <w:r>
              <w:rPr>
                <w:rFonts w:ascii="Arial" w:cs="Arial" w:eastAsia="Arial" w:hAnsi="Arial"/>
                <w:sz w:val="14"/>
                <w:szCs w:val="14"/>
                <w:color w:val="auto"/>
              </w:rPr>
              <w:t>492</w:t>
            </w:r>
          </w:p>
        </w:tc>
        <w:tc>
          <w:tcPr>
            <w:tcW w:w="720" w:type="dxa"/>
            <w:vAlign w:val="bottom"/>
            <w:tcBorders>
              <w:bottom w:val="single" w:sz="8" w:color="auto"/>
            </w:tcBorders>
          </w:tcPr>
          <w:p>
            <w:pPr>
              <w:jc w:val="right"/>
              <w:ind w:right="11"/>
              <w:spacing w:after="0" w:line="157" w:lineRule="exact"/>
              <w:rPr>
                <w:sz w:val="20"/>
                <w:szCs w:val="20"/>
                <w:color w:val="auto"/>
              </w:rPr>
            </w:pPr>
            <w:r>
              <w:rPr>
                <w:rFonts w:ascii="Arial" w:cs="Arial" w:eastAsia="Arial" w:hAnsi="Arial"/>
                <w:sz w:val="14"/>
                <w:szCs w:val="14"/>
                <w:color w:val="auto"/>
              </w:rPr>
              <w:t>31</w:t>
            </w:r>
          </w:p>
        </w:tc>
        <w:tc>
          <w:tcPr>
            <w:tcW w:w="880" w:type="dxa"/>
            <w:vAlign w:val="bottom"/>
            <w:tcBorders>
              <w:bottom w:val="single" w:sz="8" w:color="auto"/>
            </w:tcBorders>
            <w:gridSpan w:val="3"/>
          </w:tcPr>
          <w:p>
            <w:pPr>
              <w:jc w:val="right"/>
              <w:ind w:right="200"/>
              <w:spacing w:after="0" w:line="157" w:lineRule="exact"/>
              <w:rPr>
                <w:sz w:val="20"/>
                <w:szCs w:val="20"/>
                <w:color w:val="auto"/>
              </w:rPr>
            </w:pPr>
            <w:r>
              <w:rPr>
                <w:rFonts w:ascii="Arial" w:cs="Arial" w:eastAsia="Arial" w:hAnsi="Arial"/>
                <w:sz w:val="14"/>
                <w:szCs w:val="14"/>
                <w:color w:val="auto"/>
              </w:rPr>
              <w:t>38</w:t>
            </w:r>
          </w:p>
        </w:tc>
        <w:tc>
          <w:tcPr>
            <w:tcW w:w="620" w:type="dxa"/>
            <w:vAlign w:val="bottom"/>
            <w:tcBorders>
              <w:bottom w:val="single" w:sz="8" w:color="auto"/>
            </w:tcBorders>
          </w:tcPr>
          <w:p>
            <w:pPr>
              <w:jc w:val="right"/>
              <w:ind w:right="31"/>
              <w:spacing w:after="0" w:line="157" w:lineRule="exact"/>
              <w:rPr>
                <w:sz w:val="20"/>
                <w:szCs w:val="20"/>
                <w:color w:val="auto"/>
              </w:rPr>
            </w:pPr>
            <w:r>
              <w:rPr>
                <w:rFonts w:ascii="Arial" w:cs="Arial" w:eastAsia="Arial" w:hAnsi="Arial"/>
                <w:sz w:val="14"/>
                <w:szCs w:val="14"/>
                <w:color w:val="auto"/>
              </w:rPr>
              <w:t>1,391</w:t>
            </w:r>
          </w:p>
        </w:tc>
        <w:tc>
          <w:tcPr>
            <w:tcW w:w="740" w:type="dxa"/>
            <w:vAlign w:val="bottom"/>
            <w:tcBorders>
              <w:bottom w:val="single" w:sz="8" w:color="auto"/>
            </w:tcBorders>
          </w:tcPr>
          <w:p>
            <w:pPr>
              <w:jc w:val="right"/>
              <w:ind w:right="50"/>
              <w:spacing w:after="0" w:line="157" w:lineRule="exact"/>
              <w:rPr>
                <w:sz w:val="20"/>
                <w:szCs w:val="20"/>
                <w:color w:val="auto"/>
              </w:rPr>
            </w:pPr>
            <w:r>
              <w:rPr>
                <w:rFonts w:ascii="Arial" w:cs="Arial" w:eastAsia="Arial" w:hAnsi="Arial"/>
                <w:sz w:val="14"/>
                <w:szCs w:val="14"/>
                <w:color w:val="auto"/>
              </w:rPr>
              <w:t>492</w:t>
            </w:r>
          </w:p>
        </w:tc>
        <w:tc>
          <w:tcPr>
            <w:tcW w:w="640" w:type="dxa"/>
            <w:vAlign w:val="bottom"/>
            <w:tcBorders>
              <w:bottom w:val="single" w:sz="8" w:color="auto"/>
            </w:tcBorders>
          </w:tcPr>
          <w:p>
            <w:pPr>
              <w:jc w:val="right"/>
              <w:ind w:right="10"/>
              <w:spacing w:after="0" w:line="157" w:lineRule="exact"/>
              <w:rPr>
                <w:sz w:val="20"/>
                <w:szCs w:val="20"/>
                <w:color w:val="auto"/>
              </w:rPr>
            </w:pPr>
            <w:r>
              <w:rPr>
                <w:rFonts w:ascii="Arial" w:cs="Arial" w:eastAsia="Arial" w:hAnsi="Arial"/>
                <w:sz w:val="14"/>
                <w:szCs w:val="14"/>
                <w:color w:val="auto"/>
              </w:rPr>
              <w:t>31</w:t>
            </w:r>
          </w:p>
        </w:tc>
        <w:tc>
          <w:tcPr>
            <w:tcW w:w="680" w:type="dxa"/>
            <w:vAlign w:val="bottom"/>
            <w:tcBorders>
              <w:bottom w:val="single" w:sz="8" w:color="auto"/>
            </w:tcBorders>
          </w:tcPr>
          <w:p>
            <w:pPr>
              <w:jc w:val="right"/>
              <w:ind w:right="32"/>
              <w:spacing w:after="0" w:line="157" w:lineRule="exact"/>
              <w:rPr>
                <w:sz w:val="20"/>
                <w:szCs w:val="20"/>
                <w:color w:val="auto"/>
              </w:rPr>
            </w:pPr>
            <w:r>
              <w:rPr>
                <w:rFonts w:ascii="Arial" w:cs="Arial" w:eastAsia="Arial" w:hAnsi="Arial"/>
                <w:sz w:val="14"/>
                <w:szCs w:val="14"/>
                <w:color w:val="auto"/>
              </w:rPr>
              <w:t>1,914</w:t>
            </w:r>
          </w:p>
        </w:tc>
      </w:tr>
      <w:tr>
        <w:trPr>
          <w:trHeight w:val="160"/>
        </w:trPr>
        <w:tc>
          <w:tcPr>
            <w:tcW w:w="1920" w:type="dxa"/>
            <w:vAlign w:val="bottom"/>
          </w:tcPr>
          <w:p>
            <w:pPr>
              <w:spacing w:after="0"/>
              <w:rPr>
                <w:sz w:val="20"/>
                <w:szCs w:val="20"/>
                <w:color w:val="auto"/>
              </w:rPr>
            </w:pPr>
            <w:r>
              <w:rPr>
                <w:rFonts w:ascii="Arial" w:cs="Arial" w:eastAsia="Arial" w:hAnsi="Arial"/>
                <w:sz w:val="14"/>
                <w:szCs w:val="14"/>
                <w:color w:val="auto"/>
              </w:rPr>
              <w:t>Shell share of joint ventures</w:t>
            </w:r>
          </w:p>
        </w:tc>
        <w:tc>
          <w:tcPr>
            <w:tcW w:w="5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80" w:type="dxa"/>
            <w:vAlign w:val="bottom"/>
          </w:tcPr>
          <w:p>
            <w:pPr>
              <w:spacing w:after="0"/>
              <w:rPr>
                <w:sz w:val="13"/>
                <w:szCs w:val="13"/>
                <w:color w:val="auto"/>
              </w:rPr>
            </w:pPr>
          </w:p>
        </w:tc>
      </w:tr>
      <w:tr>
        <w:trPr>
          <w:trHeight w:val="162"/>
        </w:trPr>
        <w:tc>
          <w:tcPr>
            <w:tcW w:w="1920" w:type="dxa"/>
            <w:vAlign w:val="bottom"/>
          </w:tcPr>
          <w:p>
            <w:pPr>
              <w:spacing w:after="0"/>
              <w:rPr>
                <w:sz w:val="20"/>
                <w:szCs w:val="20"/>
                <w:color w:val="auto"/>
              </w:rPr>
            </w:pPr>
            <w:r>
              <w:rPr>
                <w:rFonts w:ascii="Arial" w:cs="Arial" w:eastAsia="Arial" w:hAnsi="Arial"/>
                <w:sz w:val="14"/>
                <w:szCs w:val="14"/>
                <w:color w:val="auto"/>
              </w:rPr>
              <w:t>and associates</w:t>
            </w: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162"/>
        </w:trPr>
        <w:tc>
          <w:tcPr>
            <w:tcW w:w="1920" w:type="dxa"/>
            <w:vAlign w:val="bottom"/>
          </w:tcPr>
          <w:p>
            <w:pPr>
              <w:ind w:left="140"/>
              <w:spacing w:after="0"/>
              <w:rPr>
                <w:sz w:val="20"/>
                <w:szCs w:val="20"/>
                <w:color w:val="auto"/>
              </w:rPr>
            </w:pPr>
            <w:r>
              <w:rPr>
                <w:rFonts w:ascii="Arial" w:cs="Arial" w:eastAsia="Arial" w:hAnsi="Arial"/>
                <w:sz w:val="14"/>
                <w:szCs w:val="14"/>
                <w:color w:val="auto"/>
              </w:rPr>
              <w:t>At January 1</w:t>
            </w:r>
          </w:p>
        </w:tc>
        <w:tc>
          <w:tcPr>
            <w:tcW w:w="740" w:type="dxa"/>
            <w:vAlign w:val="bottom"/>
            <w:gridSpan w:val="2"/>
          </w:tcPr>
          <w:p>
            <w:pPr>
              <w:jc w:val="right"/>
              <w:ind w:right="200"/>
              <w:spacing w:after="0"/>
              <w:rPr>
                <w:sz w:val="20"/>
                <w:szCs w:val="20"/>
                <w:color w:val="auto"/>
              </w:rPr>
            </w:pPr>
            <w:r>
              <w:rPr>
                <w:rFonts w:ascii="Arial" w:cs="Arial" w:eastAsia="Arial" w:hAnsi="Arial"/>
                <w:sz w:val="14"/>
                <w:szCs w:val="14"/>
                <w:color w:val="auto"/>
              </w:rPr>
              <w:t>1</w:t>
            </w:r>
          </w:p>
        </w:tc>
        <w:tc>
          <w:tcPr>
            <w:tcW w:w="720" w:type="dxa"/>
            <w:vAlign w:val="bottom"/>
            <w:gridSpan w:val="2"/>
          </w:tcPr>
          <w:p>
            <w:pPr>
              <w:jc w:val="right"/>
              <w:ind w:right="200"/>
              <w:spacing w:after="0"/>
              <w:rPr>
                <w:sz w:val="20"/>
                <w:szCs w:val="20"/>
                <w:color w:val="auto"/>
              </w:rPr>
            </w:pPr>
            <w:r>
              <w:rPr>
                <w:rFonts w:ascii="Arial" w:cs="Arial" w:eastAsia="Arial" w:hAnsi="Arial"/>
                <w:sz w:val="14"/>
                <w:szCs w:val="14"/>
                <w:color w:val="auto"/>
              </w:rPr>
              <w:t>77</w:t>
            </w:r>
          </w:p>
        </w:tc>
        <w:tc>
          <w:tcPr>
            <w:tcW w:w="760" w:type="dxa"/>
            <w:vAlign w:val="bottom"/>
            <w:gridSpan w:val="2"/>
          </w:tcPr>
          <w:p>
            <w:pPr>
              <w:jc w:val="right"/>
              <w:ind w:right="200"/>
              <w:spacing w:after="0"/>
              <w:rPr>
                <w:sz w:val="20"/>
                <w:szCs w:val="20"/>
                <w:color w:val="auto"/>
              </w:rPr>
            </w:pPr>
            <w:r>
              <w:rPr>
                <w:rFonts w:ascii="Arial" w:cs="Arial" w:eastAsia="Arial" w:hAnsi="Arial"/>
                <w:sz w:val="14"/>
                <w:szCs w:val="14"/>
                <w:color w:val="auto"/>
              </w:rPr>
              <w:t>13</w:t>
            </w:r>
          </w:p>
        </w:tc>
        <w:tc>
          <w:tcPr>
            <w:tcW w:w="7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620" w:type="dxa"/>
            <w:vAlign w:val="bottom"/>
          </w:tcPr>
          <w:p>
            <w:pPr>
              <w:jc w:val="right"/>
              <w:ind w:right="12"/>
              <w:spacing w:after="0"/>
              <w:rPr>
                <w:sz w:val="20"/>
                <w:szCs w:val="20"/>
                <w:color w:val="auto"/>
              </w:rPr>
            </w:pPr>
            <w:r>
              <w:rPr>
                <w:rFonts w:ascii="Arial" w:cs="Arial" w:eastAsia="Arial" w:hAnsi="Arial"/>
                <w:sz w:val="14"/>
                <w:szCs w:val="14"/>
                <w:color w:val="auto"/>
              </w:rPr>
              <w:t>104</w:t>
            </w:r>
          </w:p>
        </w:tc>
        <w:tc>
          <w:tcPr>
            <w:tcW w:w="120" w:type="dxa"/>
            <w:vAlign w:val="bottom"/>
          </w:tcPr>
          <w:p>
            <w:pPr>
              <w:spacing w:after="0"/>
              <w:rPr>
                <w:sz w:val="14"/>
                <w:szCs w:val="14"/>
                <w:color w:val="auto"/>
              </w:rPr>
            </w:pPr>
          </w:p>
        </w:tc>
        <w:tc>
          <w:tcPr>
            <w:tcW w:w="700" w:type="dxa"/>
            <w:vAlign w:val="bottom"/>
          </w:tcPr>
          <w:p>
            <w:pPr>
              <w:jc w:val="right"/>
              <w:ind w:right="111"/>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92"/>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11"/>
              <w:spacing w:after="0"/>
              <w:rPr>
                <w:sz w:val="20"/>
                <w:szCs w:val="20"/>
                <w:color w:val="auto"/>
              </w:rPr>
            </w:pPr>
            <w:r>
              <w:rPr>
                <w:rFonts w:ascii="Arial" w:cs="Arial" w:eastAsia="Arial" w:hAnsi="Arial"/>
                <w:sz w:val="14"/>
                <w:szCs w:val="14"/>
                <w:color w:val="auto"/>
              </w:rPr>
              <w:t>–</w:t>
            </w:r>
          </w:p>
        </w:tc>
        <w:tc>
          <w:tcPr>
            <w:tcW w:w="880" w:type="dxa"/>
            <w:vAlign w:val="bottom"/>
            <w:gridSpan w:val="3"/>
          </w:tcPr>
          <w:p>
            <w:pPr>
              <w:jc w:val="right"/>
              <w:ind w:right="200"/>
              <w:spacing w:after="0"/>
              <w:rPr>
                <w:sz w:val="20"/>
                <w:szCs w:val="20"/>
                <w:color w:val="auto"/>
              </w:rPr>
            </w:pPr>
            <w:r>
              <w:rPr>
                <w:rFonts w:ascii="Arial" w:cs="Arial" w:eastAsia="Arial" w:hAnsi="Arial"/>
                <w:sz w:val="14"/>
                <w:szCs w:val="14"/>
                <w:color w:val="auto"/>
              </w:rPr>
              <w:t>1</w:t>
            </w:r>
          </w:p>
        </w:tc>
        <w:tc>
          <w:tcPr>
            <w:tcW w:w="620" w:type="dxa"/>
            <w:vAlign w:val="bottom"/>
          </w:tcPr>
          <w:p>
            <w:pPr>
              <w:jc w:val="right"/>
              <w:ind w:right="31"/>
              <w:spacing w:after="0"/>
              <w:rPr>
                <w:sz w:val="20"/>
                <w:szCs w:val="20"/>
                <w:color w:val="auto"/>
              </w:rPr>
            </w:pPr>
            <w:r>
              <w:rPr>
                <w:rFonts w:ascii="Arial" w:cs="Arial" w:eastAsia="Arial" w:hAnsi="Arial"/>
                <w:sz w:val="14"/>
                <w:szCs w:val="14"/>
                <w:color w:val="auto"/>
              </w:rPr>
              <w:t>196</w:t>
            </w:r>
          </w:p>
        </w:tc>
        <w:tc>
          <w:tcPr>
            <w:tcW w:w="740" w:type="dxa"/>
            <w:vAlign w:val="bottom"/>
          </w:tcPr>
          <w:p>
            <w:pPr>
              <w:jc w:val="right"/>
              <w:ind w:right="50"/>
              <w:spacing w:after="0"/>
              <w:rPr>
                <w:sz w:val="20"/>
                <w:szCs w:val="20"/>
                <w:color w:val="auto"/>
              </w:rPr>
            </w:pPr>
            <w:r>
              <w:rPr>
                <w:rFonts w:ascii="Arial" w:cs="Arial" w:eastAsia="Arial" w:hAnsi="Arial"/>
                <w:sz w:val="14"/>
                <w:szCs w:val="14"/>
                <w:color w:val="auto"/>
              </w:rPr>
              <w:t>–</w:t>
            </w:r>
          </w:p>
        </w:tc>
        <w:tc>
          <w:tcPr>
            <w:tcW w:w="640" w:type="dxa"/>
            <w:vAlign w:val="bottom"/>
          </w:tcPr>
          <w:p>
            <w:pPr>
              <w:jc w:val="right"/>
              <w:ind w:right="10"/>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32"/>
              <w:spacing w:after="0"/>
              <w:rPr>
                <w:sz w:val="20"/>
                <w:szCs w:val="20"/>
                <w:color w:val="auto"/>
              </w:rPr>
            </w:pPr>
            <w:r>
              <w:rPr>
                <w:rFonts w:ascii="Arial" w:cs="Arial" w:eastAsia="Arial" w:hAnsi="Arial"/>
                <w:sz w:val="14"/>
                <w:szCs w:val="14"/>
                <w:color w:val="auto"/>
              </w:rPr>
              <w:t>196</w:t>
            </w:r>
          </w:p>
        </w:tc>
      </w:tr>
      <w:tr>
        <w:trPr>
          <w:trHeight w:val="157"/>
        </w:trPr>
        <w:tc>
          <w:tcPr>
            <w:tcW w:w="1920" w:type="dxa"/>
            <w:vAlign w:val="bottom"/>
            <w:tcBorders>
              <w:bottom w:val="single" w:sz="8" w:color="auto"/>
            </w:tcBorders>
          </w:tcPr>
          <w:p>
            <w:pPr>
              <w:ind w:left="140"/>
              <w:spacing w:after="0" w:line="157" w:lineRule="exact"/>
              <w:rPr>
                <w:sz w:val="20"/>
                <w:szCs w:val="20"/>
                <w:color w:val="auto"/>
              </w:rPr>
            </w:pPr>
            <w:r>
              <w:rPr>
                <w:rFonts w:ascii="Arial" w:cs="Arial" w:eastAsia="Arial" w:hAnsi="Arial"/>
                <w:sz w:val="14"/>
                <w:szCs w:val="14"/>
                <w:color w:val="auto"/>
              </w:rPr>
              <w:t>At December 31</w:t>
            </w:r>
          </w:p>
        </w:tc>
        <w:tc>
          <w:tcPr>
            <w:tcW w:w="740" w:type="dxa"/>
            <w:vAlign w:val="bottom"/>
            <w:tcBorders>
              <w:bottom w:val="single" w:sz="8" w:color="auto"/>
            </w:tcBorders>
            <w:gridSpan w:val="2"/>
          </w:tcPr>
          <w:p>
            <w:pPr>
              <w:jc w:val="right"/>
              <w:ind w:right="200"/>
              <w:spacing w:after="0" w:line="157" w:lineRule="exact"/>
              <w:rPr>
                <w:sz w:val="20"/>
                <w:szCs w:val="20"/>
                <w:color w:val="auto"/>
              </w:rPr>
            </w:pPr>
            <w:r>
              <w:rPr>
                <w:rFonts w:ascii="Arial" w:cs="Arial" w:eastAsia="Arial" w:hAnsi="Arial"/>
                <w:sz w:val="14"/>
                <w:szCs w:val="14"/>
                <w:color w:val="auto"/>
              </w:rPr>
              <w:t>1</w:t>
            </w:r>
          </w:p>
        </w:tc>
        <w:tc>
          <w:tcPr>
            <w:tcW w:w="720" w:type="dxa"/>
            <w:vAlign w:val="bottom"/>
            <w:tcBorders>
              <w:bottom w:val="single" w:sz="8" w:color="auto"/>
            </w:tcBorders>
            <w:gridSpan w:val="2"/>
          </w:tcPr>
          <w:p>
            <w:pPr>
              <w:jc w:val="right"/>
              <w:ind w:right="200"/>
              <w:spacing w:after="0" w:line="157" w:lineRule="exact"/>
              <w:rPr>
                <w:sz w:val="20"/>
                <w:szCs w:val="20"/>
                <w:color w:val="auto"/>
              </w:rPr>
            </w:pPr>
            <w:r>
              <w:rPr>
                <w:rFonts w:ascii="Arial" w:cs="Arial" w:eastAsia="Arial" w:hAnsi="Arial"/>
                <w:sz w:val="14"/>
                <w:szCs w:val="14"/>
                <w:color w:val="auto"/>
              </w:rPr>
              <w:t>55</w:t>
            </w:r>
          </w:p>
        </w:tc>
        <w:tc>
          <w:tcPr>
            <w:tcW w:w="760" w:type="dxa"/>
            <w:vAlign w:val="bottom"/>
            <w:tcBorders>
              <w:bottom w:val="single" w:sz="8" w:color="auto"/>
            </w:tcBorders>
            <w:gridSpan w:val="2"/>
          </w:tcPr>
          <w:p>
            <w:pPr>
              <w:jc w:val="right"/>
              <w:ind w:right="200"/>
              <w:spacing w:after="0" w:line="157" w:lineRule="exact"/>
              <w:rPr>
                <w:sz w:val="20"/>
                <w:szCs w:val="20"/>
                <w:color w:val="auto"/>
              </w:rPr>
            </w:pPr>
            <w:r>
              <w:rPr>
                <w:rFonts w:ascii="Arial" w:cs="Arial" w:eastAsia="Arial" w:hAnsi="Arial"/>
                <w:sz w:val="14"/>
                <w:szCs w:val="14"/>
                <w:color w:val="auto"/>
              </w:rPr>
              <w:t>9</w:t>
            </w:r>
          </w:p>
        </w:tc>
        <w:tc>
          <w:tcPr>
            <w:tcW w:w="720" w:type="dxa"/>
            <w:vAlign w:val="bottom"/>
            <w:tcBorders>
              <w:bottom w:val="single" w:sz="8" w:color="auto"/>
            </w:tcBorders>
            <w:gridSpan w:val="2"/>
          </w:tcPr>
          <w:p>
            <w:pPr>
              <w:jc w:val="right"/>
              <w:ind w:right="200"/>
              <w:spacing w:after="0" w:line="157" w:lineRule="exact"/>
              <w:rPr>
                <w:sz w:val="20"/>
                <w:szCs w:val="20"/>
                <w:color w:val="auto"/>
              </w:rPr>
            </w:pPr>
            <w:r>
              <w:rPr>
                <w:rFonts w:ascii="Arial" w:cs="Arial" w:eastAsia="Arial" w:hAnsi="Arial"/>
                <w:sz w:val="14"/>
                <w:szCs w:val="14"/>
                <w:color w:val="auto"/>
              </w:rPr>
              <w:t>–</w:t>
            </w:r>
          </w:p>
        </w:tc>
        <w:tc>
          <w:tcPr>
            <w:tcW w:w="620" w:type="dxa"/>
            <w:vAlign w:val="bottom"/>
            <w:tcBorders>
              <w:bottom w:val="single" w:sz="8" w:color="auto"/>
            </w:tcBorders>
          </w:tcPr>
          <w:p>
            <w:pPr>
              <w:jc w:val="right"/>
              <w:ind w:right="12"/>
              <w:spacing w:after="0" w:line="157" w:lineRule="exact"/>
              <w:rPr>
                <w:sz w:val="20"/>
                <w:szCs w:val="20"/>
                <w:color w:val="auto"/>
              </w:rPr>
            </w:pPr>
            <w:r>
              <w:rPr>
                <w:rFonts w:ascii="Arial" w:cs="Arial" w:eastAsia="Arial" w:hAnsi="Arial"/>
                <w:sz w:val="14"/>
                <w:szCs w:val="14"/>
                <w:color w:val="auto"/>
              </w:rPr>
              <w:t>77</w:t>
            </w:r>
          </w:p>
        </w:tc>
        <w:tc>
          <w:tcPr>
            <w:tcW w:w="12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111"/>
              <w:spacing w:after="0" w:line="157" w:lineRule="exact"/>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tcPr>
          <w:p>
            <w:pPr>
              <w:jc w:val="right"/>
              <w:ind w:right="92"/>
              <w:spacing w:after="0" w:line="157" w:lineRule="exact"/>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tcPr>
          <w:p>
            <w:pPr>
              <w:jc w:val="right"/>
              <w:ind w:right="11"/>
              <w:spacing w:after="0" w:line="157" w:lineRule="exact"/>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gridSpan w:val="3"/>
          </w:tcPr>
          <w:p>
            <w:pPr>
              <w:jc w:val="right"/>
              <w:ind w:right="200"/>
              <w:spacing w:after="0" w:line="157" w:lineRule="exact"/>
              <w:rPr>
                <w:sz w:val="20"/>
                <w:szCs w:val="20"/>
                <w:color w:val="auto"/>
              </w:rPr>
            </w:pPr>
            <w:r>
              <w:rPr>
                <w:rFonts w:ascii="Arial" w:cs="Arial" w:eastAsia="Arial" w:hAnsi="Arial"/>
                <w:sz w:val="14"/>
                <w:szCs w:val="14"/>
                <w:color w:val="auto"/>
              </w:rPr>
              <w:t>1</w:t>
            </w:r>
          </w:p>
        </w:tc>
        <w:tc>
          <w:tcPr>
            <w:tcW w:w="620" w:type="dxa"/>
            <w:vAlign w:val="bottom"/>
            <w:tcBorders>
              <w:bottom w:val="single" w:sz="8" w:color="auto"/>
            </w:tcBorders>
          </w:tcPr>
          <w:p>
            <w:pPr>
              <w:jc w:val="right"/>
              <w:ind w:right="31"/>
              <w:spacing w:after="0" w:line="157" w:lineRule="exact"/>
              <w:rPr>
                <w:sz w:val="20"/>
                <w:szCs w:val="20"/>
                <w:color w:val="auto"/>
              </w:rPr>
            </w:pPr>
            <w:r>
              <w:rPr>
                <w:rFonts w:ascii="Arial" w:cs="Arial" w:eastAsia="Arial" w:hAnsi="Arial"/>
                <w:sz w:val="14"/>
                <w:szCs w:val="14"/>
                <w:color w:val="auto"/>
              </w:rPr>
              <w:t>143</w:t>
            </w:r>
          </w:p>
        </w:tc>
        <w:tc>
          <w:tcPr>
            <w:tcW w:w="740" w:type="dxa"/>
            <w:vAlign w:val="bottom"/>
            <w:tcBorders>
              <w:bottom w:val="single" w:sz="8" w:color="auto"/>
            </w:tcBorders>
          </w:tcPr>
          <w:p>
            <w:pPr>
              <w:jc w:val="right"/>
              <w:ind w:right="50"/>
              <w:spacing w:after="0" w:line="157" w:lineRule="exact"/>
              <w:rPr>
                <w:sz w:val="20"/>
                <w:szCs w:val="20"/>
                <w:color w:val="auto"/>
              </w:rPr>
            </w:pPr>
            <w:r>
              <w:rPr>
                <w:rFonts w:ascii="Arial" w:cs="Arial" w:eastAsia="Arial" w:hAnsi="Arial"/>
                <w:sz w:val="14"/>
                <w:szCs w:val="14"/>
                <w:color w:val="auto"/>
              </w:rPr>
              <w:t>–</w:t>
            </w:r>
          </w:p>
        </w:tc>
        <w:tc>
          <w:tcPr>
            <w:tcW w:w="640" w:type="dxa"/>
            <w:vAlign w:val="bottom"/>
            <w:tcBorders>
              <w:bottom w:val="single" w:sz="8" w:color="auto"/>
            </w:tcBorders>
          </w:tcPr>
          <w:p>
            <w:pPr>
              <w:jc w:val="right"/>
              <w:ind w:right="10"/>
              <w:spacing w:after="0" w:line="157" w:lineRule="exact"/>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tcPr>
          <w:p>
            <w:pPr>
              <w:jc w:val="right"/>
              <w:ind w:right="32"/>
              <w:spacing w:after="0" w:line="157" w:lineRule="exact"/>
              <w:rPr>
                <w:sz w:val="20"/>
                <w:szCs w:val="20"/>
                <w:color w:val="auto"/>
              </w:rPr>
            </w:pPr>
            <w:r>
              <w:rPr>
                <w:rFonts w:ascii="Arial" w:cs="Arial" w:eastAsia="Arial" w:hAnsi="Arial"/>
                <w:sz w:val="14"/>
                <w:szCs w:val="14"/>
                <w:color w:val="auto"/>
              </w:rPr>
              <w:t>143</w:t>
            </w:r>
          </w:p>
        </w:tc>
      </w:tr>
    </w:tbl>
    <w:p>
      <w:pPr>
        <w:sectPr>
          <w:pgSz w:w="11900" w:h="16838" w:orient="portrait"/>
          <w:cols w:equalWidth="0" w:num="1">
            <w:col w:w="11420"/>
          </w:cols>
          <w:pgMar w:left="240" w:top="459" w:right="239" w:bottom="1440" w:gutter="0" w:footer="0" w:header="0"/>
        </w:sectPr>
      </w:pPr>
    </w:p>
    <w:bookmarkStart w:id="148" w:name="page149"/>
    <w:bookmarkEnd w:id="1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6402705</wp:posOffset>
            </wp:positionH>
            <wp:positionV relativeFrom="paragraph">
              <wp:posOffset>300355</wp:posOffset>
            </wp:positionV>
            <wp:extent cx="8890" cy="462915"/>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8890" cy="462915"/>
                    </a:xfrm>
                    <a:prstGeom prst="rect">
                      <a:avLst/>
                    </a:prstGeom>
                    <a:noFill/>
                  </pic:spPr>
                </pic:pic>
              </a:graphicData>
            </a:graphic>
          </wp:anchor>
        </w:drawing>
      </w:r>
    </w:p>
    <w:p>
      <w:pPr>
        <w:spacing w:after="0" w:line="200" w:lineRule="exact"/>
        <w:rPr>
          <w:sz w:val="20"/>
          <w:szCs w:val="20"/>
          <w:color w:val="auto"/>
        </w:rPr>
      </w:pP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565"/>
        </w:trPr>
        <w:tc>
          <w:tcPr>
            <w:tcW w:w="5600" w:type="dxa"/>
            <w:vAlign w:val="bottom"/>
          </w:tcPr>
          <w:p>
            <w:pPr>
              <w:spacing w:after="0"/>
              <w:rPr>
                <w:sz w:val="24"/>
                <w:szCs w:val="24"/>
                <w:color w:val="auto"/>
              </w:rPr>
            </w:pPr>
          </w:p>
        </w:tc>
        <w:tc>
          <w:tcPr>
            <w:tcW w:w="4600" w:type="dxa"/>
            <w:vAlign w:val="bottom"/>
            <w:shd w:val="clear" w:color="auto" w:fill="FF8B00"/>
          </w:tcPr>
          <w:p>
            <w:pPr>
              <w:ind w:left="840"/>
              <w:spacing w:after="0"/>
              <w:rPr>
                <w:sz w:val="20"/>
                <w:szCs w:val="20"/>
                <w:color w:val="auto"/>
              </w:rPr>
            </w:pPr>
            <w:r>
              <w:rPr>
                <w:rFonts w:ascii="Arial" w:cs="Arial" w:eastAsia="Arial" w:hAnsi="Arial"/>
                <w:sz w:val="13"/>
                <w:szCs w:val="13"/>
                <w:color w:val="333333"/>
              </w:rPr>
              <w:t>FINANCIAL STATEMENTS AND SUPPLEMENTS</w:t>
            </w:r>
          </w:p>
        </w:tc>
        <w:tc>
          <w:tcPr>
            <w:tcW w:w="1220" w:type="dxa"/>
            <w:vAlign w:val="bottom"/>
            <w:shd w:val="clear" w:color="auto" w:fill="FF8B00"/>
          </w:tcPr>
          <w:p>
            <w:pPr>
              <w:jc w:val="right"/>
              <w:ind w:right="486"/>
              <w:spacing w:after="0"/>
              <w:rPr>
                <w:sz w:val="20"/>
                <w:szCs w:val="20"/>
                <w:color w:val="auto"/>
              </w:rPr>
            </w:pPr>
            <w:r>
              <w:rPr>
                <w:rFonts w:ascii="Arial" w:cs="Arial" w:eastAsia="Arial" w:hAnsi="Arial"/>
                <w:sz w:val="11"/>
                <w:szCs w:val="11"/>
                <w:b w:val="1"/>
                <w:bCs w:val="1"/>
                <w:color w:val="333333"/>
              </w:rPr>
              <w:t>147</w:t>
            </w:r>
          </w:p>
        </w:tc>
        <w:tc>
          <w:tcPr>
            <w:tcW w:w="0" w:type="dxa"/>
            <w:vAlign w:val="bottom"/>
          </w:tcPr>
          <w:p>
            <w:pPr>
              <w:spacing w:after="0"/>
              <w:rPr>
                <w:sz w:val="1"/>
                <w:szCs w:val="1"/>
                <w:color w:val="auto"/>
              </w:rPr>
            </w:pPr>
          </w:p>
        </w:tc>
      </w:tr>
      <w:tr>
        <w:trPr>
          <w:trHeight w:val="165"/>
        </w:trPr>
        <w:tc>
          <w:tcPr>
            <w:tcW w:w="5600" w:type="dxa"/>
            <w:vAlign w:val="bottom"/>
            <w:vMerge w:val="restart"/>
          </w:tcPr>
          <w:p>
            <w:pPr>
              <w:spacing w:after="0"/>
              <w:rPr>
                <w:sz w:val="20"/>
                <w:szCs w:val="20"/>
                <w:color w:val="auto"/>
              </w:rPr>
            </w:pPr>
            <w:r>
              <w:rPr>
                <w:rFonts w:ascii="Arial" w:cs="Arial" w:eastAsia="Arial" w:hAnsi="Arial"/>
                <w:sz w:val="11"/>
                <w:szCs w:val="11"/>
                <w:color w:val="auto"/>
              </w:rPr>
              <w:t>SHELL ANNUAL REPORT AND FORM 20-F 2014</w:t>
            </w:r>
          </w:p>
        </w:tc>
        <w:tc>
          <w:tcPr>
            <w:tcW w:w="4600" w:type="dxa"/>
            <w:vAlign w:val="bottom"/>
            <w:shd w:val="clear" w:color="auto" w:fill="FF8B00"/>
          </w:tcPr>
          <w:p>
            <w:pPr>
              <w:spacing w:after="0"/>
              <w:rPr>
                <w:sz w:val="14"/>
                <w:szCs w:val="14"/>
                <w:color w:val="auto"/>
              </w:rPr>
            </w:pPr>
          </w:p>
        </w:tc>
        <w:tc>
          <w:tcPr>
            <w:tcW w:w="1220" w:type="dxa"/>
            <w:vAlign w:val="bottom"/>
            <w:shd w:val="clear" w:color="auto" w:fill="FF8B00"/>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5600" w:type="dxa"/>
            <w:vAlign w:val="bottom"/>
            <w:vMerge w:val="continue"/>
          </w:tcPr>
          <w:p>
            <w:pPr>
              <w:spacing w:after="0"/>
              <w:rPr>
                <w:sz w:val="10"/>
                <w:szCs w:val="10"/>
                <w:color w:val="auto"/>
              </w:rPr>
            </w:pPr>
          </w:p>
        </w:tc>
        <w:tc>
          <w:tcPr>
            <w:tcW w:w="4600" w:type="dxa"/>
            <w:vAlign w:val="bottom"/>
          </w:tcPr>
          <w:p>
            <w:pPr>
              <w:ind w:left="840"/>
              <w:spacing w:after="0" w:line="121" w:lineRule="exact"/>
              <w:rPr>
                <w:sz w:val="20"/>
                <w:szCs w:val="20"/>
                <w:color w:val="auto"/>
              </w:rPr>
            </w:pPr>
            <w:r>
              <w:rPr>
                <w:rFonts w:ascii="Arial" w:cs="Arial" w:eastAsia="Arial" w:hAnsi="Arial"/>
                <w:sz w:val="11"/>
                <w:szCs w:val="11"/>
                <w:color w:val="auto"/>
              </w:rPr>
              <w:t>SUPPLEMENTARY INFORMATION – OIL AND GAS (UNAUDITED)</w:t>
            </w:r>
          </w:p>
        </w:tc>
        <w:tc>
          <w:tcPr>
            <w:tcW w:w="12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rPr>
          <w:sz w:val="20"/>
          <w:szCs w:val="20"/>
          <w:color w:val="auto"/>
        </w:rPr>
      </w:pPr>
      <w:r>
        <w:rPr>
          <w:rFonts w:ascii="Arial" w:cs="Arial" w:eastAsia="Arial" w:hAnsi="Arial"/>
          <w:sz w:val="18"/>
          <w:szCs w:val="18"/>
          <w:color w:val="auto"/>
        </w:rPr>
        <w:t>NATURAL GAS</w:t>
      </w:r>
    </w:p>
    <w:p>
      <w:pPr>
        <w:spacing w:after="0" w:line="1" w:lineRule="exact"/>
        <w:rPr>
          <w:sz w:val="20"/>
          <w:szCs w:val="20"/>
          <w:color w:val="auto"/>
        </w:rPr>
      </w:pPr>
    </w:p>
    <w:p>
      <w:pPr>
        <w:spacing w:after="0" w:line="245" w:lineRule="auto"/>
        <w:rPr>
          <w:sz w:val="20"/>
          <w:szCs w:val="20"/>
          <w:color w:val="auto"/>
        </w:rPr>
      </w:pPr>
      <w:r>
        <w:rPr>
          <w:rFonts w:ascii="Arial" w:cs="Arial" w:eastAsia="Arial" w:hAnsi="Arial"/>
          <w:sz w:val="14"/>
          <w:szCs w:val="14"/>
          <w:color w:val="auto"/>
        </w:rPr>
        <w:t>Shell subsidiaries’ estimated net proved reserves of natural gas at the end of the year; their share of the net proved reserves of joint ventures and associates at the end of the year; and the changes in such reserves during the year are set out on pages 148-150. Volumes are not adjusted to standard heat content. Apart from integrated projects, volumes of gas are reported on an “as-sold” basis. The price used to calculate future revenue and cash flows from proved gas reserves is the contract price or the 12-month average on “as-sold” volumes. Volumes associated with integrated projects are those measured at a designated transfer point between the Upstream and Downstream portions of the integrated project. Natural gas volumes are converted to oil equivalent using a factor of 5,800 scf per barrel.</w:t>
      </w:r>
    </w:p>
    <w:p>
      <w:pPr>
        <w:spacing w:after="0" w:line="178" w:lineRule="exact"/>
        <w:rPr>
          <w:sz w:val="20"/>
          <w:szCs w:val="20"/>
          <w:color w:val="auto"/>
        </w:rPr>
      </w:pPr>
    </w:p>
    <w:p>
      <w:pPr>
        <w:spacing w:after="0"/>
        <w:rPr>
          <w:sz w:val="20"/>
          <w:szCs w:val="20"/>
          <w:color w:val="auto"/>
        </w:rPr>
      </w:pPr>
      <w:r>
        <w:rPr>
          <w:rFonts w:ascii="Arial" w:cs="Arial" w:eastAsia="Arial" w:hAnsi="Arial"/>
          <w:sz w:val="14"/>
          <w:szCs w:val="14"/>
          <w:color w:val="auto"/>
        </w:rPr>
        <w:t>Significant changes in natural gas proved developed and undeveloped reserves are discussed below.</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Proved reserves 2014-2013</w:t>
      </w:r>
    </w:p>
    <w:p>
      <w:pPr>
        <w:spacing w:after="0" w:line="166" w:lineRule="exact"/>
        <w:rPr>
          <w:sz w:val="20"/>
          <w:szCs w:val="20"/>
          <w:color w:val="auto"/>
        </w:rPr>
      </w:pPr>
    </w:p>
    <w:p>
      <w:pPr>
        <w:spacing w:after="0"/>
        <w:rPr>
          <w:sz w:val="20"/>
          <w:szCs w:val="20"/>
          <w:color w:val="auto"/>
        </w:rPr>
      </w:pPr>
      <w:r>
        <w:rPr>
          <w:rFonts w:ascii="Arial" w:cs="Arial" w:eastAsia="Arial" w:hAnsi="Arial"/>
          <w:sz w:val="13"/>
          <w:szCs w:val="13"/>
          <w:color w:val="auto"/>
        </w:rPr>
        <w:t>SHELL SUBSIDIARIES</w:t>
      </w:r>
    </w:p>
    <w:p>
      <w:pPr>
        <w:spacing w:after="0" w:line="185" w:lineRule="exact"/>
        <w:rPr>
          <w:sz w:val="20"/>
          <w:szCs w:val="20"/>
          <w:color w:val="auto"/>
        </w:rPr>
      </w:pPr>
    </w:p>
    <w:p>
      <w:pPr>
        <w:spacing w:after="0"/>
        <w:rPr>
          <w:sz w:val="20"/>
          <w:szCs w:val="20"/>
          <w:color w:val="auto"/>
        </w:rPr>
      </w:pPr>
      <w:r>
        <w:rPr>
          <w:rFonts w:ascii="Arial" w:cs="Arial" w:eastAsia="Arial" w:hAnsi="Arial"/>
          <w:sz w:val="14"/>
          <w:szCs w:val="14"/>
          <w:color w:val="auto"/>
        </w:rPr>
        <w:t>Asia</w:t>
      </w:r>
    </w:p>
    <w:p>
      <w:pPr>
        <w:spacing w:after="0" w:line="1" w:lineRule="exact"/>
        <w:rPr>
          <w:sz w:val="20"/>
          <w:szCs w:val="20"/>
          <w:color w:val="auto"/>
        </w:rPr>
      </w:pPr>
    </w:p>
    <w:p>
      <w:pPr>
        <w:ind w:right="460"/>
        <w:spacing w:after="0" w:line="258" w:lineRule="auto"/>
        <w:rPr>
          <w:sz w:val="20"/>
          <w:szCs w:val="20"/>
          <w:color w:val="auto"/>
        </w:rPr>
      </w:pPr>
      <w:r>
        <w:rPr>
          <w:rFonts w:ascii="Arial" w:cs="Arial" w:eastAsia="Arial" w:hAnsi="Arial"/>
          <w:sz w:val="14"/>
          <w:szCs w:val="14"/>
          <w:color w:val="auto"/>
        </w:rPr>
        <w:t>The net increase of 630 thousand million scf in revisions and reclassifications resulted from field performance studies and development activities. The reservoir performance analyses and updates in multiple fields supported continuing better performance than historically predicted in Malaysia, Brunei and other countries.</w:t>
      </w:r>
    </w:p>
    <w:p>
      <w:pPr>
        <w:spacing w:after="0" w:line="154" w:lineRule="exact"/>
        <w:rPr>
          <w:sz w:val="20"/>
          <w:szCs w:val="20"/>
          <w:color w:val="auto"/>
        </w:rPr>
      </w:pPr>
    </w:p>
    <w:p>
      <w:pPr>
        <w:spacing w:after="0"/>
        <w:rPr>
          <w:sz w:val="20"/>
          <w:szCs w:val="20"/>
          <w:color w:val="auto"/>
        </w:rPr>
      </w:pPr>
      <w:r>
        <w:rPr>
          <w:rFonts w:ascii="Arial" w:cs="Arial" w:eastAsia="Arial" w:hAnsi="Arial"/>
          <w:sz w:val="14"/>
          <w:szCs w:val="14"/>
          <w:color w:val="auto"/>
        </w:rPr>
        <w:t>Oceania</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The sales of minerals in place of 325 thousand million scf resulted from the divestment of Wheatstone-lago.</w:t>
      </w:r>
    </w:p>
    <w:p>
      <w:pPr>
        <w:spacing w:after="0" w:line="177" w:lineRule="exact"/>
        <w:rPr>
          <w:sz w:val="20"/>
          <w:szCs w:val="20"/>
          <w:color w:val="auto"/>
        </w:rPr>
      </w:pPr>
    </w:p>
    <w:p>
      <w:pPr>
        <w:spacing w:after="0"/>
        <w:rPr>
          <w:sz w:val="20"/>
          <w:szCs w:val="20"/>
          <w:color w:val="auto"/>
        </w:rPr>
      </w:pPr>
      <w:r>
        <w:rPr>
          <w:rFonts w:ascii="Arial" w:cs="Arial" w:eastAsia="Arial" w:hAnsi="Arial"/>
          <w:sz w:val="14"/>
          <w:szCs w:val="14"/>
          <w:color w:val="auto"/>
        </w:rPr>
        <w:t>Africa</w:t>
      </w:r>
    </w:p>
    <w:p>
      <w:pPr>
        <w:spacing w:after="0" w:line="1" w:lineRule="exact"/>
        <w:rPr>
          <w:sz w:val="20"/>
          <w:szCs w:val="20"/>
          <w:color w:val="auto"/>
        </w:rPr>
      </w:pPr>
    </w:p>
    <w:p>
      <w:pPr>
        <w:ind w:right="460"/>
        <w:spacing w:after="0" w:line="258" w:lineRule="auto"/>
        <w:rPr>
          <w:sz w:val="20"/>
          <w:szCs w:val="20"/>
          <w:color w:val="auto"/>
        </w:rPr>
      </w:pPr>
      <w:r>
        <w:rPr>
          <w:rFonts w:ascii="Arial" w:cs="Arial" w:eastAsia="Arial" w:hAnsi="Arial"/>
          <w:sz w:val="14"/>
          <w:szCs w:val="14"/>
          <w:color w:val="auto"/>
        </w:rPr>
        <w:t>The net increase of 621 thousand million scf in revisions and reclassifications resulted from field performance studies and development activities. The reservoir performance analyses and updates in multiple fields supported continuing better performance than historically predicted in Nigeria and Gabon.</w:t>
      </w:r>
    </w:p>
    <w:p>
      <w:pPr>
        <w:spacing w:after="0" w:line="167" w:lineRule="exact"/>
        <w:rPr>
          <w:sz w:val="20"/>
          <w:szCs w:val="20"/>
          <w:color w:val="auto"/>
        </w:rPr>
      </w:pPr>
    </w:p>
    <w:p>
      <w:pPr>
        <w:spacing w:after="0"/>
        <w:rPr>
          <w:sz w:val="20"/>
          <w:szCs w:val="20"/>
          <w:color w:val="auto"/>
        </w:rPr>
      </w:pPr>
      <w:r>
        <w:rPr>
          <w:rFonts w:ascii="Arial" w:cs="Arial" w:eastAsia="Arial" w:hAnsi="Arial"/>
          <w:sz w:val="14"/>
          <w:szCs w:val="14"/>
          <w:color w:val="auto"/>
        </w:rPr>
        <w:t>USA</w:t>
      </w:r>
    </w:p>
    <w:p>
      <w:pPr>
        <w:spacing w:after="0" w:line="1" w:lineRule="exact"/>
        <w:rPr>
          <w:sz w:val="20"/>
          <w:szCs w:val="20"/>
          <w:color w:val="auto"/>
        </w:rPr>
      </w:pPr>
    </w:p>
    <w:p>
      <w:pPr>
        <w:ind w:right="20"/>
        <w:spacing w:after="0" w:line="258" w:lineRule="auto"/>
        <w:rPr>
          <w:sz w:val="20"/>
          <w:szCs w:val="20"/>
          <w:color w:val="auto"/>
        </w:rPr>
      </w:pPr>
      <w:r>
        <w:rPr>
          <w:rFonts w:ascii="Arial" w:cs="Arial" w:eastAsia="Arial" w:hAnsi="Arial"/>
          <w:sz w:val="14"/>
          <w:szCs w:val="14"/>
          <w:color w:val="auto"/>
        </w:rPr>
        <w:t>The purchase of minerals in place of 287 thousand million scf resulted from the acquisition of Ultra. The sales of minerals in place of 578 thousand million scf resulted from the sale of our interests in Pinedale, Eagle Ford and Haynesville.</w:t>
      </w:r>
    </w:p>
    <w:p>
      <w:pPr>
        <w:spacing w:after="0" w:line="154" w:lineRule="exact"/>
        <w:rPr>
          <w:sz w:val="20"/>
          <w:szCs w:val="20"/>
          <w:color w:val="auto"/>
        </w:rPr>
      </w:pPr>
    </w:p>
    <w:p>
      <w:pPr>
        <w:spacing w:after="0"/>
        <w:rPr>
          <w:sz w:val="20"/>
          <w:szCs w:val="20"/>
          <w:color w:val="auto"/>
        </w:rPr>
      </w:pPr>
      <w:r>
        <w:rPr>
          <w:rFonts w:ascii="Arial" w:cs="Arial" w:eastAsia="Arial" w:hAnsi="Arial"/>
          <w:sz w:val="14"/>
          <w:szCs w:val="14"/>
          <w:color w:val="auto"/>
        </w:rPr>
        <w:t>Canada</w:t>
      </w:r>
    </w:p>
    <w:p>
      <w:pPr>
        <w:spacing w:after="0" w:line="1" w:lineRule="exact"/>
        <w:rPr>
          <w:sz w:val="20"/>
          <w:szCs w:val="20"/>
          <w:color w:val="auto"/>
        </w:rPr>
      </w:pPr>
    </w:p>
    <w:p>
      <w:pPr>
        <w:ind w:right="120"/>
        <w:spacing w:after="0" w:line="258" w:lineRule="auto"/>
        <w:rPr>
          <w:sz w:val="20"/>
          <w:szCs w:val="20"/>
          <w:color w:val="auto"/>
        </w:rPr>
      </w:pPr>
      <w:r>
        <w:rPr>
          <w:rFonts w:ascii="Arial" w:cs="Arial" w:eastAsia="Arial" w:hAnsi="Arial"/>
          <w:sz w:val="14"/>
          <w:szCs w:val="14"/>
          <w:color w:val="auto"/>
        </w:rPr>
        <w:t>The increase of 449 thousand million scf in extensions and discoveries resulted predominantly from extensions in tight-gas operations in Groundbirch, Fox Creek and Deep Basin East.</w:t>
      </w:r>
    </w:p>
    <w:p>
      <w:pPr>
        <w:spacing w:after="0" w:line="143" w:lineRule="exact"/>
        <w:rPr>
          <w:sz w:val="20"/>
          <w:szCs w:val="20"/>
          <w:color w:val="auto"/>
        </w:rPr>
      </w:pPr>
    </w:p>
    <w:p>
      <w:pPr>
        <w:spacing w:after="0"/>
        <w:rPr>
          <w:sz w:val="20"/>
          <w:szCs w:val="20"/>
          <w:color w:val="auto"/>
        </w:rPr>
      </w:pPr>
      <w:r>
        <w:rPr>
          <w:rFonts w:ascii="Arial" w:cs="Arial" w:eastAsia="Arial" w:hAnsi="Arial"/>
          <w:sz w:val="13"/>
          <w:szCs w:val="13"/>
          <w:color w:val="auto"/>
        </w:rPr>
        <w:t>SHELL SHARE OF JOINT VENTURES AND ASSOCIATES</w:t>
      </w:r>
    </w:p>
    <w:p>
      <w:pPr>
        <w:spacing w:after="0" w:line="185" w:lineRule="exact"/>
        <w:rPr>
          <w:sz w:val="20"/>
          <w:szCs w:val="20"/>
          <w:color w:val="auto"/>
        </w:rPr>
      </w:pPr>
    </w:p>
    <w:p>
      <w:pPr>
        <w:spacing w:after="0"/>
        <w:rPr>
          <w:sz w:val="20"/>
          <w:szCs w:val="20"/>
          <w:color w:val="auto"/>
        </w:rPr>
      </w:pPr>
      <w:r>
        <w:rPr>
          <w:rFonts w:ascii="Arial" w:cs="Arial" w:eastAsia="Arial" w:hAnsi="Arial"/>
          <w:sz w:val="14"/>
          <w:szCs w:val="14"/>
          <w:color w:val="auto"/>
        </w:rPr>
        <w:t>Asia</w:t>
      </w:r>
    </w:p>
    <w:p>
      <w:pPr>
        <w:spacing w:after="0" w:line="1" w:lineRule="exact"/>
        <w:rPr>
          <w:sz w:val="20"/>
          <w:szCs w:val="20"/>
          <w:color w:val="auto"/>
        </w:rPr>
      </w:pPr>
    </w:p>
    <w:p>
      <w:pPr>
        <w:ind w:right="460"/>
        <w:spacing w:after="0" w:line="258" w:lineRule="auto"/>
        <w:rPr>
          <w:sz w:val="20"/>
          <w:szCs w:val="20"/>
          <w:color w:val="auto"/>
        </w:rPr>
      </w:pPr>
      <w:r>
        <w:rPr>
          <w:rFonts w:ascii="Arial" w:cs="Arial" w:eastAsia="Arial" w:hAnsi="Arial"/>
          <w:sz w:val="14"/>
          <w:szCs w:val="14"/>
          <w:color w:val="auto"/>
        </w:rPr>
        <w:t>The net increase of 455 thousand million scf in revisions and reclassifications resulted from field performance studies and development activities. The reservoir performance analyses and updates in multiple fields supported continuing better performance than historically predicted in Russia, Brunei and other countries.</w:t>
      </w:r>
    </w:p>
    <w:p>
      <w:pPr>
        <w:spacing w:after="0" w:line="154" w:lineRule="exact"/>
        <w:rPr>
          <w:sz w:val="20"/>
          <w:szCs w:val="20"/>
          <w:color w:val="auto"/>
        </w:rPr>
      </w:pPr>
    </w:p>
    <w:p>
      <w:pPr>
        <w:spacing w:after="0"/>
        <w:rPr>
          <w:sz w:val="20"/>
          <w:szCs w:val="20"/>
          <w:color w:val="auto"/>
        </w:rPr>
      </w:pPr>
      <w:r>
        <w:rPr>
          <w:rFonts w:ascii="Arial" w:cs="Arial" w:eastAsia="Arial" w:hAnsi="Arial"/>
          <w:sz w:val="14"/>
          <w:szCs w:val="14"/>
          <w:color w:val="auto"/>
        </w:rPr>
        <w:t>Oceania</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The sales of minerals in place of 354 thousand million scf resulted from the reduction in our shareholding in Woodside Petroleum Limited (Woodside) from 23% to 14%.</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Proved reserves 2013-2012</w:t>
      </w:r>
    </w:p>
    <w:p>
      <w:pPr>
        <w:spacing w:after="0" w:line="180" w:lineRule="exact"/>
        <w:rPr>
          <w:sz w:val="20"/>
          <w:szCs w:val="20"/>
          <w:color w:val="auto"/>
        </w:rPr>
      </w:pPr>
    </w:p>
    <w:p>
      <w:pPr>
        <w:spacing w:after="0"/>
        <w:rPr>
          <w:sz w:val="20"/>
          <w:szCs w:val="20"/>
          <w:color w:val="auto"/>
        </w:rPr>
      </w:pPr>
      <w:r>
        <w:rPr>
          <w:rFonts w:ascii="Arial" w:cs="Arial" w:eastAsia="Arial" w:hAnsi="Arial"/>
          <w:sz w:val="13"/>
          <w:szCs w:val="13"/>
          <w:color w:val="auto"/>
        </w:rPr>
        <w:t>SHELL SUBSIDIARIES</w:t>
      </w:r>
    </w:p>
    <w:p>
      <w:pPr>
        <w:spacing w:after="0" w:line="172" w:lineRule="exact"/>
        <w:rPr>
          <w:sz w:val="20"/>
          <w:szCs w:val="20"/>
          <w:color w:val="auto"/>
        </w:rPr>
      </w:pPr>
    </w:p>
    <w:p>
      <w:pPr>
        <w:spacing w:after="0"/>
        <w:rPr>
          <w:sz w:val="20"/>
          <w:szCs w:val="20"/>
          <w:color w:val="auto"/>
        </w:rPr>
      </w:pPr>
      <w:r>
        <w:rPr>
          <w:rFonts w:ascii="Arial" w:cs="Arial" w:eastAsia="Arial" w:hAnsi="Arial"/>
          <w:sz w:val="14"/>
          <w:szCs w:val="14"/>
          <w:color w:val="auto"/>
        </w:rPr>
        <w:t>Europe</w:t>
      </w:r>
    </w:p>
    <w:p>
      <w:pPr>
        <w:spacing w:after="0" w:line="1" w:lineRule="exact"/>
        <w:rPr>
          <w:sz w:val="20"/>
          <w:szCs w:val="20"/>
          <w:color w:val="auto"/>
        </w:rPr>
      </w:pPr>
    </w:p>
    <w:p>
      <w:pPr>
        <w:ind w:right="460"/>
        <w:spacing w:after="0" w:line="258" w:lineRule="auto"/>
        <w:rPr>
          <w:sz w:val="20"/>
          <w:szCs w:val="20"/>
          <w:color w:val="auto"/>
        </w:rPr>
      </w:pPr>
      <w:r>
        <w:rPr>
          <w:rFonts w:ascii="Arial" w:cs="Arial" w:eastAsia="Arial" w:hAnsi="Arial"/>
          <w:sz w:val="14"/>
          <w:szCs w:val="14"/>
          <w:color w:val="auto"/>
        </w:rPr>
        <w:t>The net increase in revisions and reclassifications of 229 thousand million scf resulted from field performance studies and development activities. The reservoir performance analyses and updates in multiple fields supported continuing better performance than historically predicted in Italy, Norway and the UK.</w:t>
      </w:r>
    </w:p>
    <w:p>
      <w:pPr>
        <w:spacing w:after="0" w:line="154" w:lineRule="exact"/>
        <w:rPr>
          <w:sz w:val="20"/>
          <w:szCs w:val="20"/>
          <w:color w:val="auto"/>
        </w:rPr>
      </w:pPr>
    </w:p>
    <w:p>
      <w:pPr>
        <w:spacing w:after="0"/>
        <w:rPr>
          <w:sz w:val="20"/>
          <w:szCs w:val="20"/>
          <w:color w:val="auto"/>
        </w:rPr>
      </w:pPr>
      <w:r>
        <w:rPr>
          <w:rFonts w:ascii="Arial" w:cs="Arial" w:eastAsia="Arial" w:hAnsi="Arial"/>
          <w:sz w:val="14"/>
          <w:szCs w:val="14"/>
          <w:color w:val="auto"/>
        </w:rPr>
        <w:t>Asia</w:t>
      </w:r>
    </w:p>
    <w:p>
      <w:pPr>
        <w:spacing w:after="0" w:line="1" w:lineRule="exact"/>
        <w:rPr>
          <w:sz w:val="20"/>
          <w:szCs w:val="20"/>
          <w:color w:val="auto"/>
        </w:rPr>
      </w:pPr>
    </w:p>
    <w:p>
      <w:pPr>
        <w:ind w:right="460"/>
        <w:spacing w:after="0" w:line="258" w:lineRule="auto"/>
        <w:rPr>
          <w:sz w:val="20"/>
          <w:szCs w:val="20"/>
          <w:color w:val="auto"/>
        </w:rPr>
      </w:pPr>
      <w:r>
        <w:rPr>
          <w:rFonts w:ascii="Arial" w:cs="Arial" w:eastAsia="Arial" w:hAnsi="Arial"/>
          <w:sz w:val="14"/>
          <w:szCs w:val="14"/>
          <w:color w:val="auto"/>
        </w:rPr>
        <w:t>The net increase of 695 thousand million scf in revisions and reclassifications resulted from field performance studies and development activities. The reservoir performance analyses and updates in multiple fields supported continuing better performance than historically predicted in Malaysia, Philippines and Russia.</w:t>
      </w:r>
    </w:p>
    <w:p>
      <w:pPr>
        <w:spacing w:after="0" w:line="167" w:lineRule="exact"/>
        <w:rPr>
          <w:sz w:val="20"/>
          <w:szCs w:val="20"/>
          <w:color w:val="auto"/>
        </w:rPr>
      </w:pPr>
    </w:p>
    <w:p>
      <w:pPr>
        <w:spacing w:after="0"/>
        <w:rPr>
          <w:sz w:val="20"/>
          <w:szCs w:val="20"/>
          <w:color w:val="auto"/>
        </w:rPr>
      </w:pPr>
      <w:r>
        <w:rPr>
          <w:rFonts w:ascii="Arial" w:cs="Arial" w:eastAsia="Arial" w:hAnsi="Arial"/>
          <w:sz w:val="14"/>
          <w:szCs w:val="14"/>
          <w:color w:val="auto"/>
        </w:rPr>
        <w:t>Oceania</w:t>
      </w:r>
    </w:p>
    <w:p>
      <w:pPr>
        <w:spacing w:after="0" w:line="1" w:lineRule="exact"/>
        <w:rPr>
          <w:sz w:val="20"/>
          <w:szCs w:val="20"/>
          <w:color w:val="auto"/>
        </w:rPr>
      </w:pPr>
    </w:p>
    <w:p>
      <w:pPr>
        <w:ind w:right="460"/>
        <w:spacing w:after="0" w:line="258" w:lineRule="auto"/>
        <w:rPr>
          <w:sz w:val="20"/>
          <w:szCs w:val="20"/>
          <w:color w:val="auto"/>
        </w:rPr>
      </w:pPr>
      <w:r>
        <w:rPr>
          <w:rFonts w:ascii="Arial" w:cs="Arial" w:eastAsia="Arial" w:hAnsi="Arial"/>
          <w:sz w:val="14"/>
          <w:szCs w:val="14"/>
          <w:color w:val="auto"/>
        </w:rPr>
        <w:t>The net increase of 778 thousand million scf in revisions and reclassifications resulted from field performance studies and development activities. The reservoir performance analyses and updates in multiple fields supported continuing better performance than historically predicted in Australia and New Zealand.</w:t>
      </w:r>
    </w:p>
    <w:p>
      <w:pPr>
        <w:sectPr>
          <w:pgSz w:w="11900" w:h="16838" w:orient="portrait"/>
          <w:cols w:equalWidth="0" w:num="1">
            <w:col w:w="11420"/>
          </w:cols>
          <w:pgMar w:left="240" w:top="459" w:right="239" w:bottom="1440" w:gutter="0" w:footer="0" w:header="0"/>
        </w:sectPr>
      </w:pPr>
    </w:p>
    <w:bookmarkStart w:id="149" w:name="page150"/>
    <w:bookmarkEnd w:id="1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300355</wp:posOffset>
            </wp:positionV>
            <wp:extent cx="8890" cy="462915"/>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8890" cy="462915"/>
                    </a:xfrm>
                    <a:prstGeom prst="rect">
                      <a:avLst/>
                    </a:prstGeom>
                    <a:noFill/>
                  </pic:spPr>
                </pic:pic>
              </a:graphicData>
            </a:graphic>
          </wp:anchor>
        </w:drawing>
      </w:r>
    </w:p>
    <w:p>
      <w:pPr>
        <w:spacing w:after="0" w:line="200" w:lineRule="exact"/>
        <w:rPr>
          <w:sz w:val="20"/>
          <w:szCs w:val="20"/>
          <w:color w:val="auto"/>
        </w:rPr>
      </w:pP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565"/>
        </w:trPr>
        <w:tc>
          <w:tcPr>
            <w:tcW w:w="1320" w:type="dxa"/>
            <w:vAlign w:val="bottom"/>
            <w:shd w:val="clear" w:color="auto" w:fill="FF8B00"/>
          </w:tcPr>
          <w:p>
            <w:pPr>
              <w:jc w:val="right"/>
              <w:ind w:right="826"/>
              <w:spacing w:after="0"/>
              <w:rPr>
                <w:sz w:val="20"/>
                <w:szCs w:val="20"/>
                <w:color w:val="auto"/>
              </w:rPr>
            </w:pPr>
            <w:r>
              <w:rPr>
                <w:rFonts w:ascii="Arial" w:cs="Arial" w:eastAsia="Arial" w:hAnsi="Arial"/>
                <w:sz w:val="11"/>
                <w:szCs w:val="11"/>
                <w:b w:val="1"/>
                <w:bCs w:val="1"/>
                <w:color w:val="333333"/>
              </w:rPr>
              <w:t>148</w:t>
            </w:r>
          </w:p>
        </w:tc>
        <w:tc>
          <w:tcPr>
            <w:tcW w:w="4260" w:type="dxa"/>
            <w:vAlign w:val="bottom"/>
            <w:shd w:val="clear" w:color="auto" w:fill="FF8B00"/>
          </w:tcPr>
          <w:p>
            <w:pPr>
              <w:jc w:val="right"/>
              <w:ind w:right="741"/>
              <w:spacing w:after="0"/>
              <w:rPr>
                <w:sz w:val="20"/>
                <w:szCs w:val="20"/>
                <w:color w:val="auto"/>
              </w:rPr>
            </w:pPr>
            <w:r>
              <w:rPr>
                <w:rFonts w:ascii="Arial" w:cs="Arial" w:eastAsia="Arial" w:hAnsi="Arial"/>
                <w:sz w:val="13"/>
                <w:szCs w:val="13"/>
                <w:color w:val="333333"/>
              </w:rPr>
              <w:t>FINANCIAL STATEMENTS AND SUPPLEMENTS</w:t>
            </w:r>
          </w:p>
        </w:tc>
        <w:tc>
          <w:tcPr>
            <w:tcW w:w="5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5"/>
        </w:trPr>
        <w:tc>
          <w:tcPr>
            <w:tcW w:w="1320" w:type="dxa"/>
            <w:vAlign w:val="bottom"/>
            <w:shd w:val="clear" w:color="auto" w:fill="FF8B00"/>
          </w:tcPr>
          <w:p>
            <w:pPr>
              <w:spacing w:after="0"/>
              <w:rPr>
                <w:sz w:val="14"/>
                <w:szCs w:val="14"/>
                <w:color w:val="auto"/>
              </w:rPr>
            </w:pPr>
          </w:p>
        </w:tc>
        <w:tc>
          <w:tcPr>
            <w:tcW w:w="4260" w:type="dxa"/>
            <w:vAlign w:val="bottom"/>
            <w:shd w:val="clear" w:color="auto" w:fill="FF8B00"/>
          </w:tcPr>
          <w:p>
            <w:pPr>
              <w:spacing w:after="0"/>
              <w:rPr>
                <w:sz w:val="14"/>
                <w:szCs w:val="14"/>
                <w:color w:val="auto"/>
              </w:rPr>
            </w:pPr>
          </w:p>
        </w:tc>
        <w:tc>
          <w:tcPr>
            <w:tcW w:w="5840" w:type="dxa"/>
            <w:vAlign w:val="bottom"/>
            <w:vMerge w:val="restart"/>
          </w:tcPr>
          <w:p>
            <w:pPr>
              <w:ind w:left="3440"/>
              <w:spacing w:after="0"/>
              <w:rPr>
                <w:sz w:val="20"/>
                <w:szCs w:val="20"/>
                <w:color w:val="auto"/>
              </w:rPr>
            </w:pPr>
            <w:r>
              <w:rPr>
                <w:rFonts w:ascii="Arial" w:cs="Arial" w:eastAsia="Arial" w:hAnsi="Arial"/>
                <w:sz w:val="11"/>
                <w:szCs w:val="11"/>
                <w:color w:val="auto"/>
                <w:w w:val="96"/>
              </w:rPr>
              <w:t>SHELL ANNUAL REPORT AND FORM 20-F 2014</w:t>
            </w:r>
          </w:p>
        </w:tc>
        <w:tc>
          <w:tcPr>
            <w:tcW w:w="0" w:type="dxa"/>
            <w:vAlign w:val="bottom"/>
          </w:tcPr>
          <w:p>
            <w:pPr>
              <w:spacing w:after="0"/>
              <w:rPr>
                <w:sz w:val="1"/>
                <w:szCs w:val="1"/>
                <w:color w:val="auto"/>
              </w:rPr>
            </w:pPr>
          </w:p>
        </w:tc>
      </w:tr>
      <w:tr>
        <w:trPr>
          <w:trHeight w:val="130"/>
        </w:trPr>
        <w:tc>
          <w:tcPr>
            <w:tcW w:w="1320" w:type="dxa"/>
            <w:vAlign w:val="bottom"/>
            <w:vMerge w:val="restart"/>
          </w:tcPr>
          <w:p>
            <w:pPr>
              <w:jc w:val="right"/>
              <w:ind w:right="146"/>
              <w:spacing w:after="0"/>
              <w:rPr>
                <w:sz w:val="20"/>
                <w:szCs w:val="20"/>
                <w:color w:val="auto"/>
              </w:rPr>
            </w:pPr>
            <w:r>
              <w:rPr>
                <w:rFonts w:ascii="Arial" w:cs="Arial" w:eastAsia="Arial" w:hAnsi="Arial"/>
                <w:sz w:val="11"/>
                <w:szCs w:val="11"/>
                <w:color w:val="auto"/>
                <w:w w:val="97"/>
              </w:rPr>
              <w:t>[Natural gas continued]</w:t>
            </w:r>
          </w:p>
        </w:tc>
        <w:tc>
          <w:tcPr>
            <w:tcW w:w="4260" w:type="dxa"/>
            <w:vAlign w:val="bottom"/>
          </w:tcPr>
          <w:p>
            <w:pPr>
              <w:jc w:val="right"/>
              <w:ind w:right="741"/>
              <w:spacing w:after="0"/>
              <w:rPr>
                <w:sz w:val="20"/>
                <w:szCs w:val="20"/>
                <w:color w:val="auto"/>
              </w:rPr>
            </w:pPr>
            <w:r>
              <w:rPr>
                <w:rFonts w:ascii="Arial" w:cs="Arial" w:eastAsia="Arial" w:hAnsi="Arial"/>
                <w:sz w:val="11"/>
                <w:szCs w:val="11"/>
                <w:color w:val="auto"/>
              </w:rPr>
              <w:t>SUPPLEMENTARY INFORMATION – OIL AND GAS (UNAUDITED)</w:t>
            </w:r>
          </w:p>
        </w:tc>
        <w:tc>
          <w:tcPr>
            <w:tcW w:w="58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18"/>
        </w:trPr>
        <w:tc>
          <w:tcPr>
            <w:tcW w:w="1320" w:type="dxa"/>
            <w:vAlign w:val="bottom"/>
            <w:vMerge w:val="continue"/>
          </w:tcPr>
          <w:p>
            <w:pPr>
              <w:spacing w:after="0"/>
              <w:rPr>
                <w:sz w:val="10"/>
                <w:szCs w:val="10"/>
                <w:color w:val="auto"/>
              </w:rPr>
            </w:pPr>
          </w:p>
        </w:tc>
        <w:tc>
          <w:tcPr>
            <w:tcW w:w="4260" w:type="dxa"/>
            <w:vAlign w:val="bottom"/>
          </w:tcPr>
          <w:p>
            <w:pPr>
              <w:spacing w:after="0"/>
              <w:rPr>
                <w:sz w:val="10"/>
                <w:szCs w:val="10"/>
                <w:color w:val="auto"/>
              </w:rPr>
            </w:pPr>
          </w:p>
        </w:tc>
        <w:tc>
          <w:tcPr>
            <w:tcW w:w="584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rPr>
          <w:sz w:val="20"/>
          <w:szCs w:val="20"/>
          <w:color w:val="auto"/>
        </w:rPr>
      </w:pPr>
      <w:r>
        <w:rPr>
          <w:rFonts w:ascii="Arial" w:cs="Arial" w:eastAsia="Arial" w:hAnsi="Arial"/>
          <w:sz w:val="14"/>
          <w:szCs w:val="14"/>
          <w:color w:val="auto"/>
        </w:rPr>
        <w:t>USA</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The increase of 250 thousand million scf in extensions and discoveries related from extensions in existing deep-water and shale-gas and light-tight-oil operations.</w:t>
      </w:r>
    </w:p>
    <w:p>
      <w:pPr>
        <w:spacing w:after="0" w:line="190" w:lineRule="exact"/>
        <w:rPr>
          <w:sz w:val="20"/>
          <w:szCs w:val="20"/>
          <w:color w:val="auto"/>
        </w:rPr>
      </w:pPr>
    </w:p>
    <w:p>
      <w:pPr>
        <w:spacing w:after="0"/>
        <w:rPr>
          <w:sz w:val="20"/>
          <w:szCs w:val="20"/>
          <w:color w:val="auto"/>
        </w:rPr>
      </w:pPr>
      <w:r>
        <w:rPr>
          <w:rFonts w:ascii="Arial" w:cs="Arial" w:eastAsia="Arial" w:hAnsi="Arial"/>
          <w:sz w:val="14"/>
          <w:szCs w:val="14"/>
          <w:color w:val="auto"/>
        </w:rPr>
        <w:t>Canada</w:t>
      </w:r>
    </w:p>
    <w:p>
      <w:pPr>
        <w:spacing w:after="0" w:line="1" w:lineRule="exact"/>
        <w:rPr>
          <w:sz w:val="20"/>
          <w:szCs w:val="20"/>
          <w:color w:val="auto"/>
        </w:rPr>
      </w:pPr>
    </w:p>
    <w:p>
      <w:pPr>
        <w:ind w:right="80"/>
        <w:spacing w:after="0" w:line="250" w:lineRule="auto"/>
        <w:rPr>
          <w:sz w:val="20"/>
          <w:szCs w:val="20"/>
          <w:color w:val="auto"/>
        </w:rPr>
      </w:pPr>
      <w:r>
        <w:rPr>
          <w:rFonts w:ascii="Arial" w:cs="Arial" w:eastAsia="Arial" w:hAnsi="Arial"/>
          <w:sz w:val="14"/>
          <w:szCs w:val="14"/>
          <w:color w:val="auto"/>
        </w:rPr>
        <w:t>The net increase of 236 thousand million scf in revisions and reclassifications resulted from field performance studies and development activities. The reservoir performance analyses and updates in multiple fields supported continuing better performance than historically predicted. The increase of 344 thousand million scf in extensions and discoveries resulted predominantly from extensions in tight-gas, basin-centred gas and light-tight-oil operations.</w:t>
      </w:r>
    </w:p>
    <w:p>
      <w:pPr>
        <w:spacing w:after="0" w:line="148" w:lineRule="exact"/>
        <w:rPr>
          <w:sz w:val="20"/>
          <w:szCs w:val="20"/>
          <w:color w:val="auto"/>
        </w:rPr>
      </w:pPr>
    </w:p>
    <w:p>
      <w:pPr>
        <w:spacing w:after="0"/>
        <w:rPr>
          <w:sz w:val="20"/>
          <w:szCs w:val="20"/>
          <w:color w:val="auto"/>
        </w:rPr>
      </w:pPr>
      <w:r>
        <w:rPr>
          <w:rFonts w:ascii="Arial" w:cs="Arial" w:eastAsia="Arial" w:hAnsi="Arial"/>
          <w:sz w:val="13"/>
          <w:szCs w:val="13"/>
          <w:color w:val="auto"/>
        </w:rPr>
        <w:t>SHELL SHARE OF JOINT VENTURES AND ASSOCIATES</w:t>
      </w:r>
    </w:p>
    <w:p>
      <w:pPr>
        <w:spacing w:after="0" w:line="172" w:lineRule="exact"/>
        <w:rPr>
          <w:sz w:val="20"/>
          <w:szCs w:val="20"/>
          <w:color w:val="auto"/>
        </w:rPr>
      </w:pPr>
    </w:p>
    <w:p>
      <w:pPr>
        <w:spacing w:after="0"/>
        <w:rPr>
          <w:sz w:val="20"/>
          <w:szCs w:val="20"/>
          <w:color w:val="auto"/>
        </w:rPr>
      </w:pPr>
      <w:r>
        <w:rPr>
          <w:rFonts w:ascii="Arial" w:cs="Arial" w:eastAsia="Arial" w:hAnsi="Arial"/>
          <w:sz w:val="14"/>
          <w:szCs w:val="14"/>
          <w:color w:val="auto"/>
        </w:rPr>
        <w:t>Asia</w:t>
      </w:r>
    </w:p>
    <w:p>
      <w:pPr>
        <w:spacing w:after="0" w:line="1" w:lineRule="exact"/>
        <w:rPr>
          <w:sz w:val="20"/>
          <w:szCs w:val="20"/>
          <w:color w:val="auto"/>
        </w:rPr>
      </w:pPr>
    </w:p>
    <w:p>
      <w:pPr>
        <w:ind w:right="460"/>
        <w:spacing w:after="0" w:line="258" w:lineRule="auto"/>
        <w:rPr>
          <w:sz w:val="20"/>
          <w:szCs w:val="20"/>
          <w:color w:val="auto"/>
        </w:rPr>
      </w:pPr>
      <w:r>
        <w:rPr>
          <w:rFonts w:ascii="Arial" w:cs="Arial" w:eastAsia="Arial" w:hAnsi="Arial"/>
          <w:sz w:val="14"/>
          <w:szCs w:val="14"/>
          <w:color w:val="auto"/>
        </w:rPr>
        <w:t>The net increase of 350 thousand million scf in revisions and reclassifications resulted from field performance studies and development activities. The reservoir performance analyses and updates in multiple fields supported continuing better production performance in Brunei and Qatar.</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4920" w:type="dxa"/>
            <w:vAlign w:val="bottom"/>
            <w:shd w:val="clear" w:color="auto" w:fill="333333"/>
          </w:tcPr>
          <w:p>
            <w:pPr>
              <w:ind w:left="80"/>
              <w:spacing w:after="0"/>
              <w:rPr>
                <w:sz w:val="20"/>
                <w:szCs w:val="20"/>
                <w:color w:val="auto"/>
              </w:rPr>
            </w:pPr>
            <w:r>
              <w:rPr>
                <w:rFonts w:ascii="Arial" w:cs="Arial" w:eastAsia="Arial" w:hAnsi="Arial"/>
                <w:sz w:val="15"/>
                <w:szCs w:val="15"/>
                <w:b w:val="1"/>
                <w:bCs w:val="1"/>
                <w:color w:val="FFFFFF"/>
              </w:rPr>
              <w:t>PROVED DEVELOPED AND UNDEVELOPED RESERVES 2014</w:t>
            </w:r>
          </w:p>
        </w:tc>
        <w:tc>
          <w:tcPr>
            <w:tcW w:w="1000" w:type="dxa"/>
            <w:vAlign w:val="bottom"/>
            <w:shd w:val="clear" w:color="auto" w:fill="333333"/>
          </w:tcPr>
          <w:p>
            <w:pPr>
              <w:spacing w:after="0"/>
              <w:rPr>
                <w:sz w:val="14"/>
                <w:szCs w:val="14"/>
                <w:color w:val="auto"/>
              </w:rPr>
            </w:pPr>
          </w:p>
        </w:tc>
        <w:tc>
          <w:tcPr>
            <w:tcW w:w="800" w:type="dxa"/>
            <w:vAlign w:val="bottom"/>
            <w:shd w:val="clear" w:color="auto" w:fill="333333"/>
          </w:tcPr>
          <w:p>
            <w:pPr>
              <w:spacing w:after="0"/>
              <w:rPr>
                <w:sz w:val="14"/>
                <w:szCs w:val="14"/>
                <w:color w:val="auto"/>
              </w:rPr>
            </w:pPr>
          </w:p>
        </w:tc>
        <w:tc>
          <w:tcPr>
            <w:tcW w:w="820" w:type="dxa"/>
            <w:vAlign w:val="bottom"/>
            <w:shd w:val="clear" w:color="auto" w:fill="333333"/>
          </w:tcPr>
          <w:p>
            <w:pPr>
              <w:spacing w:after="0"/>
              <w:rPr>
                <w:sz w:val="14"/>
                <w:szCs w:val="14"/>
                <w:color w:val="auto"/>
              </w:rPr>
            </w:pPr>
          </w:p>
        </w:tc>
        <w:tc>
          <w:tcPr>
            <w:tcW w:w="3880" w:type="dxa"/>
            <w:vAlign w:val="bottom"/>
            <w:gridSpan w:val="6"/>
            <w:shd w:val="clear" w:color="auto" w:fill="333333"/>
          </w:tcPr>
          <w:p>
            <w:pPr>
              <w:jc w:val="right"/>
              <w:ind w:right="28"/>
              <w:spacing w:after="0"/>
              <w:rPr>
                <w:sz w:val="20"/>
                <w:szCs w:val="20"/>
                <w:color w:val="auto"/>
              </w:rPr>
            </w:pPr>
            <w:r>
              <w:rPr>
                <w:rFonts w:ascii="Arial" w:cs="Arial" w:eastAsia="Arial" w:hAnsi="Arial"/>
                <w:sz w:val="15"/>
                <w:szCs w:val="15"/>
                <w:color w:val="FFFFFF"/>
              </w:rPr>
              <w:t>THOUSAND MILLION STANDARD CUBIC FEET</w:t>
            </w:r>
          </w:p>
        </w:tc>
      </w:tr>
      <w:tr>
        <w:trPr>
          <w:trHeight w:val="129"/>
        </w:trPr>
        <w:tc>
          <w:tcPr>
            <w:tcW w:w="49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tcPr>
          <w:p>
            <w:pPr>
              <w:jc w:val="right"/>
              <w:ind w:right="9"/>
              <w:spacing w:after="0" w:line="129" w:lineRule="exact"/>
              <w:rPr>
                <w:sz w:val="20"/>
                <w:szCs w:val="20"/>
                <w:color w:val="auto"/>
              </w:rPr>
            </w:pPr>
            <w:r>
              <w:rPr>
                <w:rFonts w:ascii="Arial" w:cs="Arial" w:eastAsia="Arial" w:hAnsi="Arial"/>
                <w:sz w:val="13"/>
                <w:szCs w:val="13"/>
                <w:color w:val="auto"/>
                <w:w w:val="96"/>
              </w:rPr>
              <w:t>North America</w:t>
            </w:r>
          </w:p>
        </w:tc>
        <w:tc>
          <w:tcPr>
            <w:tcW w:w="860" w:type="dxa"/>
            <w:vAlign w:val="bottom"/>
            <w:gridSpan w:val="2"/>
          </w:tcPr>
          <w:p>
            <w:pPr>
              <w:jc w:val="right"/>
              <w:ind w:right="100"/>
              <w:spacing w:after="0" w:line="129" w:lineRule="exact"/>
              <w:rPr>
                <w:sz w:val="20"/>
                <w:szCs w:val="20"/>
                <w:color w:val="auto"/>
              </w:rPr>
            </w:pPr>
            <w:r>
              <w:rPr>
                <w:rFonts w:ascii="Arial" w:cs="Arial" w:eastAsia="Arial" w:hAnsi="Arial"/>
                <w:sz w:val="13"/>
                <w:szCs w:val="13"/>
                <w:color w:val="auto"/>
              </w:rPr>
              <w:t>South</w:t>
            </w:r>
          </w:p>
        </w:tc>
        <w:tc>
          <w:tcPr>
            <w:tcW w:w="820" w:type="dxa"/>
            <w:vAlign w:val="bottom"/>
          </w:tcPr>
          <w:p>
            <w:pPr>
              <w:spacing w:after="0"/>
              <w:rPr>
                <w:sz w:val="11"/>
                <w:szCs w:val="11"/>
                <w:color w:val="auto"/>
              </w:rPr>
            </w:pPr>
          </w:p>
        </w:tc>
      </w:tr>
      <w:tr>
        <w:trPr>
          <w:trHeight w:val="135"/>
        </w:trPr>
        <w:tc>
          <w:tcPr>
            <w:tcW w:w="4920" w:type="dxa"/>
            <w:vAlign w:val="bottom"/>
          </w:tcPr>
          <w:p>
            <w:pPr>
              <w:spacing w:after="0"/>
              <w:rPr>
                <w:sz w:val="11"/>
                <w:szCs w:val="11"/>
                <w:color w:val="auto"/>
              </w:rPr>
            </w:pPr>
          </w:p>
        </w:tc>
        <w:tc>
          <w:tcPr>
            <w:tcW w:w="1000" w:type="dxa"/>
            <w:vAlign w:val="bottom"/>
          </w:tcPr>
          <w:p>
            <w:pPr>
              <w:jc w:val="right"/>
              <w:ind w:right="128"/>
              <w:spacing w:after="0" w:line="135" w:lineRule="exact"/>
              <w:rPr>
                <w:sz w:val="20"/>
                <w:szCs w:val="20"/>
                <w:color w:val="auto"/>
              </w:rPr>
            </w:pPr>
            <w:r>
              <w:rPr>
                <w:rFonts w:ascii="Arial" w:cs="Arial" w:eastAsia="Arial" w:hAnsi="Arial"/>
                <w:sz w:val="13"/>
                <w:szCs w:val="13"/>
                <w:color w:val="auto"/>
              </w:rPr>
              <w:t>Europe</w:t>
            </w:r>
          </w:p>
        </w:tc>
        <w:tc>
          <w:tcPr>
            <w:tcW w:w="800" w:type="dxa"/>
            <w:vAlign w:val="bottom"/>
          </w:tcPr>
          <w:p>
            <w:pPr>
              <w:jc w:val="right"/>
              <w:ind w:right="128"/>
              <w:spacing w:after="0" w:line="135" w:lineRule="exact"/>
              <w:rPr>
                <w:sz w:val="20"/>
                <w:szCs w:val="20"/>
                <w:color w:val="auto"/>
              </w:rPr>
            </w:pPr>
            <w:r>
              <w:rPr>
                <w:rFonts w:ascii="Arial" w:cs="Arial" w:eastAsia="Arial" w:hAnsi="Arial"/>
                <w:sz w:val="13"/>
                <w:szCs w:val="13"/>
                <w:color w:val="auto"/>
              </w:rPr>
              <w:t>Asia</w:t>
            </w:r>
          </w:p>
        </w:tc>
        <w:tc>
          <w:tcPr>
            <w:tcW w:w="820" w:type="dxa"/>
            <w:vAlign w:val="bottom"/>
          </w:tcPr>
          <w:p>
            <w:pPr>
              <w:jc w:val="right"/>
              <w:ind w:right="128"/>
              <w:spacing w:after="0" w:line="135" w:lineRule="exact"/>
              <w:rPr>
                <w:sz w:val="20"/>
                <w:szCs w:val="20"/>
                <w:color w:val="auto"/>
              </w:rPr>
            </w:pPr>
            <w:r>
              <w:rPr>
                <w:rFonts w:ascii="Arial" w:cs="Arial" w:eastAsia="Arial" w:hAnsi="Arial"/>
                <w:sz w:val="13"/>
                <w:szCs w:val="13"/>
                <w:color w:val="auto"/>
              </w:rPr>
              <w:t>Oceania</w:t>
            </w:r>
          </w:p>
        </w:tc>
        <w:tc>
          <w:tcPr>
            <w:tcW w:w="620" w:type="dxa"/>
            <w:vAlign w:val="bottom"/>
          </w:tcPr>
          <w:p>
            <w:pPr>
              <w:jc w:val="right"/>
              <w:ind w:right="48"/>
              <w:spacing w:after="0" w:line="135" w:lineRule="exact"/>
              <w:rPr>
                <w:sz w:val="20"/>
                <w:szCs w:val="20"/>
                <w:color w:val="auto"/>
              </w:rPr>
            </w:pPr>
            <w:r>
              <w:rPr>
                <w:rFonts w:ascii="Arial" w:cs="Arial" w:eastAsia="Arial" w:hAnsi="Arial"/>
                <w:sz w:val="13"/>
                <w:szCs w:val="13"/>
                <w:color w:val="auto"/>
              </w:rPr>
              <w:t>Africa</w:t>
            </w:r>
          </w:p>
        </w:tc>
        <w:tc>
          <w:tcPr>
            <w:tcW w:w="680" w:type="dxa"/>
            <w:vAlign w:val="bottom"/>
          </w:tcPr>
          <w:p>
            <w:pPr>
              <w:jc w:val="right"/>
              <w:spacing w:after="0" w:line="135" w:lineRule="exact"/>
              <w:rPr>
                <w:sz w:val="20"/>
                <w:szCs w:val="20"/>
                <w:color w:val="auto"/>
              </w:rPr>
            </w:pPr>
            <w:r>
              <w:rPr>
                <w:rFonts w:ascii="Arial" w:cs="Arial" w:eastAsia="Arial" w:hAnsi="Arial"/>
                <w:sz w:val="13"/>
                <w:szCs w:val="13"/>
                <w:color w:val="auto"/>
              </w:rPr>
              <w:t>USA</w:t>
            </w:r>
          </w:p>
        </w:tc>
        <w:tc>
          <w:tcPr>
            <w:tcW w:w="900" w:type="dxa"/>
            <w:vAlign w:val="bottom"/>
          </w:tcPr>
          <w:p>
            <w:pPr>
              <w:jc w:val="right"/>
              <w:ind w:right="9"/>
              <w:spacing w:after="0" w:line="135" w:lineRule="exact"/>
              <w:rPr>
                <w:sz w:val="20"/>
                <w:szCs w:val="20"/>
                <w:color w:val="auto"/>
              </w:rPr>
            </w:pPr>
            <w:r>
              <w:rPr>
                <w:rFonts w:ascii="Arial" w:cs="Arial" w:eastAsia="Arial" w:hAnsi="Arial"/>
                <w:sz w:val="13"/>
                <w:szCs w:val="13"/>
                <w:color w:val="auto"/>
              </w:rPr>
              <w:t>Canada</w:t>
            </w:r>
          </w:p>
        </w:tc>
        <w:tc>
          <w:tcPr>
            <w:tcW w:w="860" w:type="dxa"/>
            <w:vAlign w:val="bottom"/>
            <w:gridSpan w:val="2"/>
          </w:tcPr>
          <w:p>
            <w:pPr>
              <w:jc w:val="right"/>
              <w:ind w:right="100"/>
              <w:spacing w:after="0" w:line="132" w:lineRule="exact"/>
              <w:rPr>
                <w:sz w:val="20"/>
                <w:szCs w:val="20"/>
                <w:color w:val="auto"/>
              </w:rPr>
            </w:pPr>
            <w:r>
              <w:rPr>
                <w:rFonts w:ascii="Arial" w:cs="Arial" w:eastAsia="Arial" w:hAnsi="Arial"/>
                <w:sz w:val="13"/>
                <w:szCs w:val="13"/>
                <w:color w:val="auto"/>
              </w:rPr>
              <w:t>America</w:t>
            </w:r>
          </w:p>
        </w:tc>
        <w:tc>
          <w:tcPr>
            <w:tcW w:w="820" w:type="dxa"/>
            <w:vAlign w:val="bottom"/>
          </w:tcPr>
          <w:p>
            <w:pPr>
              <w:jc w:val="right"/>
              <w:ind w:right="28"/>
              <w:spacing w:after="0" w:line="135" w:lineRule="exact"/>
              <w:rPr>
                <w:sz w:val="20"/>
                <w:szCs w:val="20"/>
                <w:color w:val="auto"/>
              </w:rPr>
            </w:pPr>
            <w:r>
              <w:rPr>
                <w:rFonts w:ascii="Arial" w:cs="Arial" w:eastAsia="Arial" w:hAnsi="Arial"/>
                <w:sz w:val="13"/>
                <w:szCs w:val="13"/>
                <w:color w:val="auto"/>
              </w:rPr>
              <w:t>Total</w:t>
            </w:r>
          </w:p>
        </w:tc>
      </w:tr>
      <w:tr>
        <w:trPr>
          <w:trHeight w:val="160"/>
        </w:trPr>
        <w:tc>
          <w:tcPr>
            <w:tcW w:w="4920" w:type="dxa"/>
            <w:vAlign w:val="bottom"/>
            <w:tcBorders>
              <w:top w:val="single" w:sz="8" w:color="auto"/>
            </w:tcBorders>
          </w:tcPr>
          <w:p>
            <w:pPr>
              <w:spacing w:after="0"/>
              <w:rPr>
                <w:sz w:val="20"/>
                <w:szCs w:val="20"/>
                <w:color w:val="auto"/>
              </w:rPr>
            </w:pPr>
            <w:r>
              <w:rPr>
                <w:rFonts w:ascii="Arial" w:cs="Arial" w:eastAsia="Arial" w:hAnsi="Arial"/>
                <w:sz w:val="14"/>
                <w:szCs w:val="14"/>
                <w:color w:val="auto"/>
              </w:rPr>
              <w:t>Shell subsidiaries</w:t>
            </w:r>
          </w:p>
        </w:tc>
        <w:tc>
          <w:tcPr>
            <w:tcW w:w="100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spacing w:after="0"/>
              <w:rPr>
                <w:sz w:val="13"/>
                <w:szCs w:val="13"/>
                <w:color w:val="auto"/>
              </w:rPr>
            </w:pPr>
          </w:p>
        </w:tc>
        <w:tc>
          <w:tcPr>
            <w:tcW w:w="62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Borders>
              <w:top w:val="single" w:sz="8" w:color="auto"/>
            </w:tcBorders>
          </w:tcPr>
          <w:p>
            <w:pPr>
              <w:spacing w:after="0"/>
              <w:rPr>
                <w:sz w:val="13"/>
                <w:szCs w:val="13"/>
                <w:color w:val="auto"/>
              </w:rPr>
            </w:pPr>
          </w:p>
        </w:tc>
      </w:tr>
      <w:tr>
        <w:trPr>
          <w:trHeight w:val="162"/>
        </w:trPr>
        <w:tc>
          <w:tcPr>
            <w:tcW w:w="4920" w:type="dxa"/>
            <w:vAlign w:val="bottom"/>
          </w:tcPr>
          <w:p>
            <w:pPr>
              <w:ind w:left="140"/>
              <w:spacing w:after="0"/>
              <w:rPr>
                <w:sz w:val="20"/>
                <w:szCs w:val="20"/>
                <w:color w:val="auto"/>
              </w:rPr>
            </w:pPr>
            <w:r>
              <w:rPr>
                <w:rFonts w:ascii="Arial" w:cs="Arial" w:eastAsia="Arial" w:hAnsi="Arial"/>
                <w:sz w:val="14"/>
                <w:szCs w:val="14"/>
                <w:color w:val="auto"/>
              </w:rPr>
              <w:t>At January 1</w:t>
            </w:r>
          </w:p>
        </w:tc>
        <w:tc>
          <w:tcPr>
            <w:tcW w:w="1000" w:type="dxa"/>
            <w:vAlign w:val="bottom"/>
          </w:tcPr>
          <w:p>
            <w:pPr>
              <w:jc w:val="right"/>
              <w:ind w:right="128"/>
              <w:spacing w:after="0"/>
              <w:rPr>
                <w:sz w:val="20"/>
                <w:szCs w:val="20"/>
                <w:color w:val="auto"/>
              </w:rPr>
            </w:pPr>
            <w:r>
              <w:rPr>
                <w:rFonts w:ascii="Arial" w:cs="Arial" w:eastAsia="Arial" w:hAnsi="Arial"/>
                <w:sz w:val="14"/>
                <w:szCs w:val="14"/>
                <w:color w:val="auto"/>
              </w:rPr>
              <w:t>4,767</w:t>
            </w:r>
          </w:p>
        </w:tc>
        <w:tc>
          <w:tcPr>
            <w:tcW w:w="800" w:type="dxa"/>
            <w:vAlign w:val="bottom"/>
          </w:tcPr>
          <w:p>
            <w:pPr>
              <w:jc w:val="right"/>
              <w:ind w:right="128"/>
              <w:spacing w:after="0"/>
              <w:rPr>
                <w:sz w:val="20"/>
                <w:szCs w:val="20"/>
                <w:color w:val="auto"/>
              </w:rPr>
            </w:pPr>
            <w:r>
              <w:rPr>
                <w:rFonts w:ascii="Arial" w:cs="Arial" w:eastAsia="Arial" w:hAnsi="Arial"/>
                <w:sz w:val="14"/>
                <w:szCs w:val="14"/>
                <w:color w:val="auto"/>
              </w:rPr>
              <w:t>10,170</w:t>
            </w:r>
          </w:p>
        </w:tc>
        <w:tc>
          <w:tcPr>
            <w:tcW w:w="820" w:type="dxa"/>
            <w:vAlign w:val="bottom"/>
          </w:tcPr>
          <w:p>
            <w:pPr>
              <w:jc w:val="right"/>
              <w:ind w:right="128"/>
              <w:spacing w:after="0"/>
              <w:rPr>
                <w:sz w:val="20"/>
                <w:szCs w:val="20"/>
                <w:color w:val="auto"/>
              </w:rPr>
            </w:pPr>
            <w:r>
              <w:rPr>
                <w:rFonts w:ascii="Arial" w:cs="Arial" w:eastAsia="Arial" w:hAnsi="Arial"/>
                <w:sz w:val="14"/>
                <w:szCs w:val="14"/>
                <w:color w:val="auto"/>
              </w:rPr>
              <w:t>6,092</w:t>
            </w:r>
          </w:p>
        </w:tc>
        <w:tc>
          <w:tcPr>
            <w:tcW w:w="620" w:type="dxa"/>
            <w:vAlign w:val="bottom"/>
          </w:tcPr>
          <w:p>
            <w:pPr>
              <w:jc w:val="right"/>
              <w:ind w:right="48"/>
              <w:spacing w:after="0"/>
              <w:rPr>
                <w:sz w:val="20"/>
                <w:szCs w:val="20"/>
                <w:color w:val="auto"/>
              </w:rPr>
            </w:pPr>
            <w:r>
              <w:rPr>
                <w:rFonts w:ascii="Arial" w:cs="Arial" w:eastAsia="Arial" w:hAnsi="Arial"/>
                <w:sz w:val="14"/>
                <w:szCs w:val="14"/>
                <w:color w:val="auto"/>
              </w:rPr>
              <w:t>2,257</w:t>
            </w:r>
          </w:p>
        </w:tc>
        <w:tc>
          <w:tcPr>
            <w:tcW w:w="680" w:type="dxa"/>
            <w:vAlign w:val="bottom"/>
          </w:tcPr>
          <w:p>
            <w:pPr>
              <w:jc w:val="right"/>
              <w:spacing w:after="0"/>
              <w:rPr>
                <w:sz w:val="20"/>
                <w:szCs w:val="20"/>
                <w:color w:val="auto"/>
              </w:rPr>
            </w:pPr>
            <w:r>
              <w:rPr>
                <w:rFonts w:ascii="Arial" w:cs="Arial" w:eastAsia="Arial" w:hAnsi="Arial"/>
                <w:sz w:val="14"/>
                <w:szCs w:val="14"/>
                <w:color w:val="auto"/>
              </w:rPr>
              <w:t>2,199</w:t>
            </w:r>
          </w:p>
        </w:tc>
        <w:tc>
          <w:tcPr>
            <w:tcW w:w="900" w:type="dxa"/>
            <w:vAlign w:val="bottom"/>
          </w:tcPr>
          <w:p>
            <w:pPr>
              <w:jc w:val="right"/>
              <w:ind w:right="9"/>
              <w:spacing w:after="0"/>
              <w:rPr>
                <w:sz w:val="20"/>
                <w:szCs w:val="20"/>
                <w:color w:val="auto"/>
              </w:rPr>
            </w:pPr>
            <w:r>
              <w:rPr>
                <w:rFonts w:ascii="Arial" w:cs="Arial" w:eastAsia="Arial" w:hAnsi="Arial"/>
                <w:sz w:val="14"/>
                <w:szCs w:val="14"/>
                <w:color w:val="auto"/>
              </w:rPr>
              <w:t>1,500</w:t>
            </w:r>
          </w:p>
        </w:tc>
        <w:tc>
          <w:tcPr>
            <w:tcW w:w="860" w:type="dxa"/>
            <w:vAlign w:val="bottom"/>
            <w:gridSpan w:val="2"/>
          </w:tcPr>
          <w:p>
            <w:pPr>
              <w:jc w:val="right"/>
              <w:ind w:right="100"/>
              <w:spacing w:after="0"/>
              <w:rPr>
                <w:sz w:val="20"/>
                <w:szCs w:val="20"/>
                <w:color w:val="auto"/>
              </w:rPr>
            </w:pPr>
            <w:r>
              <w:rPr>
                <w:rFonts w:ascii="Arial" w:cs="Arial" w:eastAsia="Arial" w:hAnsi="Arial"/>
                <w:sz w:val="14"/>
                <w:szCs w:val="14"/>
                <w:color w:val="auto"/>
              </w:rPr>
              <w:t>74</w:t>
            </w: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27,059</w:t>
            </w:r>
          </w:p>
        </w:tc>
      </w:tr>
      <w:tr>
        <w:trPr>
          <w:trHeight w:val="162"/>
        </w:trPr>
        <w:tc>
          <w:tcPr>
            <w:tcW w:w="4920" w:type="dxa"/>
            <w:vAlign w:val="bottom"/>
          </w:tcPr>
          <w:p>
            <w:pPr>
              <w:ind w:left="140"/>
              <w:spacing w:after="0"/>
              <w:rPr>
                <w:sz w:val="20"/>
                <w:szCs w:val="20"/>
                <w:color w:val="auto"/>
              </w:rPr>
            </w:pPr>
            <w:r>
              <w:rPr>
                <w:rFonts w:ascii="Arial" w:cs="Arial" w:eastAsia="Arial" w:hAnsi="Arial"/>
                <w:sz w:val="14"/>
                <w:szCs w:val="14"/>
                <w:color w:val="auto"/>
              </w:rPr>
              <w:t>Revisions and reclassifications</w:t>
            </w:r>
          </w:p>
        </w:tc>
        <w:tc>
          <w:tcPr>
            <w:tcW w:w="1000" w:type="dxa"/>
            <w:vAlign w:val="bottom"/>
          </w:tcPr>
          <w:p>
            <w:pPr>
              <w:jc w:val="right"/>
              <w:ind w:right="128"/>
              <w:spacing w:after="0"/>
              <w:rPr>
                <w:sz w:val="20"/>
                <w:szCs w:val="20"/>
                <w:color w:val="auto"/>
              </w:rPr>
            </w:pPr>
            <w:r>
              <w:rPr>
                <w:rFonts w:ascii="Arial" w:cs="Arial" w:eastAsia="Arial" w:hAnsi="Arial"/>
                <w:sz w:val="14"/>
                <w:szCs w:val="14"/>
                <w:color w:val="auto"/>
              </w:rPr>
              <w:t>175</w:t>
            </w:r>
          </w:p>
        </w:tc>
        <w:tc>
          <w:tcPr>
            <w:tcW w:w="800" w:type="dxa"/>
            <w:vAlign w:val="bottom"/>
          </w:tcPr>
          <w:p>
            <w:pPr>
              <w:jc w:val="right"/>
              <w:ind w:right="128"/>
              <w:spacing w:after="0"/>
              <w:rPr>
                <w:sz w:val="20"/>
                <w:szCs w:val="20"/>
                <w:color w:val="auto"/>
              </w:rPr>
            </w:pPr>
            <w:r>
              <w:rPr>
                <w:rFonts w:ascii="Arial" w:cs="Arial" w:eastAsia="Arial" w:hAnsi="Arial"/>
                <w:sz w:val="14"/>
                <w:szCs w:val="14"/>
                <w:color w:val="auto"/>
              </w:rPr>
              <w:t>630</w:t>
            </w:r>
          </w:p>
        </w:tc>
        <w:tc>
          <w:tcPr>
            <w:tcW w:w="820" w:type="dxa"/>
            <w:vAlign w:val="bottom"/>
          </w:tcPr>
          <w:p>
            <w:pPr>
              <w:jc w:val="right"/>
              <w:ind w:right="88"/>
              <w:spacing w:after="0"/>
              <w:rPr>
                <w:sz w:val="20"/>
                <w:szCs w:val="20"/>
                <w:color w:val="auto"/>
              </w:rPr>
            </w:pPr>
            <w:r>
              <w:rPr>
                <w:rFonts w:ascii="Arial" w:cs="Arial" w:eastAsia="Arial" w:hAnsi="Arial"/>
                <w:sz w:val="14"/>
                <w:szCs w:val="14"/>
                <w:color w:val="auto"/>
              </w:rPr>
              <w:t>(20)</w:t>
            </w:r>
          </w:p>
        </w:tc>
        <w:tc>
          <w:tcPr>
            <w:tcW w:w="620" w:type="dxa"/>
            <w:vAlign w:val="bottom"/>
          </w:tcPr>
          <w:p>
            <w:pPr>
              <w:jc w:val="right"/>
              <w:ind w:right="48"/>
              <w:spacing w:after="0"/>
              <w:rPr>
                <w:sz w:val="20"/>
                <w:szCs w:val="20"/>
                <w:color w:val="auto"/>
              </w:rPr>
            </w:pPr>
            <w:r>
              <w:rPr>
                <w:rFonts w:ascii="Arial" w:cs="Arial" w:eastAsia="Arial" w:hAnsi="Arial"/>
                <w:sz w:val="14"/>
                <w:szCs w:val="14"/>
                <w:color w:val="auto"/>
              </w:rPr>
              <w:t>621</w:t>
            </w:r>
          </w:p>
        </w:tc>
        <w:tc>
          <w:tcPr>
            <w:tcW w:w="680" w:type="dxa"/>
            <w:vAlign w:val="bottom"/>
          </w:tcPr>
          <w:p>
            <w:pPr>
              <w:jc w:val="right"/>
              <w:spacing w:after="0"/>
              <w:rPr>
                <w:sz w:val="20"/>
                <w:szCs w:val="20"/>
                <w:color w:val="auto"/>
              </w:rPr>
            </w:pPr>
            <w:r>
              <w:rPr>
                <w:rFonts w:ascii="Arial" w:cs="Arial" w:eastAsia="Arial" w:hAnsi="Arial"/>
                <w:sz w:val="14"/>
                <w:szCs w:val="14"/>
                <w:color w:val="auto"/>
              </w:rPr>
              <w:t>(46)</w:t>
            </w:r>
          </w:p>
        </w:tc>
        <w:tc>
          <w:tcPr>
            <w:tcW w:w="900" w:type="dxa"/>
            <w:vAlign w:val="bottom"/>
          </w:tcPr>
          <w:p>
            <w:pPr>
              <w:jc w:val="right"/>
              <w:spacing w:after="0"/>
              <w:rPr>
                <w:sz w:val="20"/>
                <w:szCs w:val="20"/>
                <w:color w:val="auto"/>
              </w:rPr>
            </w:pPr>
            <w:r>
              <w:rPr>
                <w:rFonts w:ascii="Arial" w:cs="Arial" w:eastAsia="Arial" w:hAnsi="Arial"/>
                <w:sz w:val="14"/>
                <w:szCs w:val="14"/>
                <w:color w:val="auto"/>
              </w:rPr>
              <w:t>(5)</w:t>
            </w:r>
          </w:p>
        </w:tc>
        <w:tc>
          <w:tcPr>
            <w:tcW w:w="860" w:type="dxa"/>
            <w:vAlign w:val="bottom"/>
            <w:gridSpan w:val="2"/>
          </w:tcPr>
          <w:p>
            <w:pPr>
              <w:jc w:val="right"/>
              <w:ind w:right="60"/>
              <w:spacing w:after="0"/>
              <w:rPr>
                <w:sz w:val="20"/>
                <w:szCs w:val="20"/>
                <w:color w:val="auto"/>
              </w:rPr>
            </w:pPr>
            <w:r>
              <w:rPr>
                <w:rFonts w:ascii="Arial" w:cs="Arial" w:eastAsia="Arial" w:hAnsi="Arial"/>
                <w:sz w:val="14"/>
                <w:szCs w:val="14"/>
                <w:color w:val="auto"/>
              </w:rPr>
              <w:t>(11)</w:t>
            </w: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1,344</w:t>
            </w:r>
          </w:p>
        </w:tc>
      </w:tr>
      <w:tr>
        <w:trPr>
          <w:trHeight w:val="162"/>
        </w:trPr>
        <w:tc>
          <w:tcPr>
            <w:tcW w:w="4920" w:type="dxa"/>
            <w:vAlign w:val="bottom"/>
          </w:tcPr>
          <w:p>
            <w:pPr>
              <w:ind w:left="140"/>
              <w:spacing w:after="0"/>
              <w:rPr>
                <w:sz w:val="20"/>
                <w:szCs w:val="20"/>
                <w:color w:val="auto"/>
              </w:rPr>
            </w:pPr>
            <w:r>
              <w:rPr>
                <w:rFonts w:ascii="Arial" w:cs="Arial" w:eastAsia="Arial" w:hAnsi="Arial"/>
                <w:sz w:val="14"/>
                <w:szCs w:val="14"/>
                <w:color w:val="auto"/>
              </w:rPr>
              <w:t>Improved recovery</w:t>
            </w:r>
          </w:p>
        </w:tc>
        <w:tc>
          <w:tcPr>
            <w:tcW w:w="10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6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162"/>
        </w:trPr>
        <w:tc>
          <w:tcPr>
            <w:tcW w:w="4920" w:type="dxa"/>
            <w:vAlign w:val="bottom"/>
          </w:tcPr>
          <w:p>
            <w:pPr>
              <w:ind w:left="140"/>
              <w:spacing w:after="0"/>
              <w:rPr>
                <w:sz w:val="20"/>
                <w:szCs w:val="20"/>
                <w:color w:val="auto"/>
              </w:rPr>
            </w:pPr>
            <w:r>
              <w:rPr>
                <w:rFonts w:ascii="Arial" w:cs="Arial" w:eastAsia="Arial" w:hAnsi="Arial"/>
                <w:sz w:val="14"/>
                <w:szCs w:val="14"/>
                <w:color w:val="auto"/>
              </w:rPr>
              <w:t>Extensions and discoveries</w:t>
            </w:r>
          </w:p>
        </w:tc>
        <w:tc>
          <w:tcPr>
            <w:tcW w:w="10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128"/>
              <w:spacing w:after="0"/>
              <w:rPr>
                <w:sz w:val="20"/>
                <w:szCs w:val="20"/>
                <w:color w:val="auto"/>
              </w:rPr>
            </w:pPr>
            <w:r>
              <w:rPr>
                <w:rFonts w:ascii="Arial" w:cs="Arial" w:eastAsia="Arial" w:hAnsi="Arial"/>
                <w:sz w:val="14"/>
                <w:szCs w:val="14"/>
                <w:color w:val="auto"/>
              </w:rPr>
              <w:t>82</w:t>
            </w:r>
          </w:p>
        </w:tc>
        <w:tc>
          <w:tcPr>
            <w:tcW w:w="820" w:type="dxa"/>
            <w:vAlign w:val="bottom"/>
          </w:tcPr>
          <w:p>
            <w:pPr>
              <w:jc w:val="right"/>
              <w:ind w:right="128"/>
              <w:spacing w:after="0"/>
              <w:rPr>
                <w:sz w:val="20"/>
                <w:szCs w:val="20"/>
                <w:color w:val="auto"/>
              </w:rPr>
            </w:pPr>
            <w:r>
              <w:rPr>
                <w:rFonts w:ascii="Arial" w:cs="Arial" w:eastAsia="Arial" w:hAnsi="Arial"/>
                <w:sz w:val="14"/>
                <w:szCs w:val="14"/>
                <w:color w:val="auto"/>
              </w:rPr>
              <w:t>46</w:t>
            </w:r>
          </w:p>
        </w:tc>
        <w:tc>
          <w:tcPr>
            <w:tcW w:w="620" w:type="dxa"/>
            <w:vAlign w:val="bottom"/>
          </w:tcPr>
          <w:p>
            <w:pPr>
              <w:jc w:val="right"/>
              <w:ind w:right="48"/>
              <w:spacing w:after="0"/>
              <w:rPr>
                <w:sz w:val="20"/>
                <w:szCs w:val="20"/>
                <w:color w:val="auto"/>
              </w:rPr>
            </w:pPr>
            <w:r>
              <w:rPr>
                <w:rFonts w:ascii="Arial" w:cs="Arial" w:eastAsia="Arial" w:hAnsi="Arial"/>
                <w:sz w:val="14"/>
                <w:szCs w:val="14"/>
                <w:color w:val="auto"/>
              </w:rPr>
              <w:t>61</w:t>
            </w:r>
          </w:p>
        </w:tc>
        <w:tc>
          <w:tcPr>
            <w:tcW w:w="680" w:type="dxa"/>
            <w:vAlign w:val="bottom"/>
          </w:tcPr>
          <w:p>
            <w:pPr>
              <w:jc w:val="right"/>
              <w:spacing w:after="0"/>
              <w:rPr>
                <w:sz w:val="20"/>
                <w:szCs w:val="20"/>
                <w:color w:val="auto"/>
              </w:rPr>
            </w:pPr>
            <w:r>
              <w:rPr>
                <w:rFonts w:ascii="Arial" w:cs="Arial" w:eastAsia="Arial" w:hAnsi="Arial"/>
                <w:sz w:val="14"/>
                <w:szCs w:val="14"/>
                <w:color w:val="auto"/>
              </w:rPr>
              <w:t>73</w:t>
            </w:r>
          </w:p>
        </w:tc>
        <w:tc>
          <w:tcPr>
            <w:tcW w:w="900" w:type="dxa"/>
            <w:vAlign w:val="bottom"/>
          </w:tcPr>
          <w:p>
            <w:pPr>
              <w:jc w:val="right"/>
              <w:ind w:right="9"/>
              <w:spacing w:after="0"/>
              <w:rPr>
                <w:sz w:val="20"/>
                <w:szCs w:val="20"/>
                <w:color w:val="auto"/>
              </w:rPr>
            </w:pPr>
            <w:r>
              <w:rPr>
                <w:rFonts w:ascii="Arial" w:cs="Arial" w:eastAsia="Arial" w:hAnsi="Arial"/>
                <w:sz w:val="14"/>
                <w:szCs w:val="14"/>
                <w:color w:val="auto"/>
              </w:rPr>
              <w:t>449</w:t>
            </w:r>
          </w:p>
        </w:tc>
        <w:tc>
          <w:tcPr>
            <w:tcW w:w="760" w:type="dxa"/>
            <w:vAlign w:val="bottom"/>
          </w:tcPr>
          <w:p>
            <w:pPr>
              <w:jc w:val="right"/>
              <w:spacing w:after="0"/>
              <w:rPr>
                <w:sz w:val="20"/>
                <w:szCs w:val="20"/>
                <w:color w:val="auto"/>
              </w:rPr>
            </w:pPr>
            <w:r>
              <w:rPr>
                <w:rFonts w:ascii="Arial" w:cs="Arial" w:eastAsia="Arial" w:hAnsi="Arial"/>
                <w:sz w:val="14"/>
                <w:szCs w:val="14"/>
                <w:color w:val="auto"/>
              </w:rPr>
              <w:t>8</w:t>
            </w:r>
          </w:p>
        </w:tc>
        <w:tc>
          <w:tcPr>
            <w:tcW w:w="100" w:type="dxa"/>
            <w:vAlign w:val="bottom"/>
          </w:tcPr>
          <w:p>
            <w:pPr>
              <w:spacing w:after="0"/>
              <w:rPr>
                <w:sz w:val="14"/>
                <w:szCs w:val="14"/>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719</w:t>
            </w:r>
          </w:p>
        </w:tc>
      </w:tr>
      <w:tr>
        <w:trPr>
          <w:trHeight w:val="162"/>
        </w:trPr>
        <w:tc>
          <w:tcPr>
            <w:tcW w:w="4920" w:type="dxa"/>
            <w:vAlign w:val="bottom"/>
          </w:tcPr>
          <w:p>
            <w:pPr>
              <w:ind w:left="140"/>
              <w:spacing w:after="0"/>
              <w:rPr>
                <w:sz w:val="20"/>
                <w:szCs w:val="20"/>
                <w:color w:val="auto"/>
              </w:rPr>
            </w:pPr>
            <w:r>
              <w:rPr>
                <w:rFonts w:ascii="Arial" w:cs="Arial" w:eastAsia="Arial" w:hAnsi="Arial"/>
                <w:sz w:val="14"/>
                <w:szCs w:val="14"/>
                <w:color w:val="auto"/>
              </w:rPr>
              <w:t>Purchases of minerals in place</w:t>
            </w:r>
          </w:p>
        </w:tc>
        <w:tc>
          <w:tcPr>
            <w:tcW w:w="10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6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287</w:t>
            </w:r>
          </w:p>
        </w:tc>
        <w:tc>
          <w:tcPr>
            <w:tcW w:w="90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287</w:t>
            </w:r>
          </w:p>
        </w:tc>
      </w:tr>
      <w:tr>
        <w:trPr>
          <w:trHeight w:val="162"/>
        </w:trPr>
        <w:tc>
          <w:tcPr>
            <w:tcW w:w="4920" w:type="dxa"/>
            <w:vAlign w:val="bottom"/>
          </w:tcPr>
          <w:p>
            <w:pPr>
              <w:ind w:left="140"/>
              <w:spacing w:after="0"/>
              <w:rPr>
                <w:sz w:val="20"/>
                <w:szCs w:val="20"/>
                <w:color w:val="auto"/>
              </w:rPr>
            </w:pPr>
            <w:r>
              <w:rPr>
                <w:rFonts w:ascii="Arial" w:cs="Arial" w:eastAsia="Arial" w:hAnsi="Arial"/>
                <w:sz w:val="14"/>
                <w:szCs w:val="14"/>
                <w:color w:val="auto"/>
              </w:rPr>
              <w:t>Sales of minerals in place</w:t>
            </w:r>
          </w:p>
        </w:tc>
        <w:tc>
          <w:tcPr>
            <w:tcW w:w="10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88"/>
              <w:spacing w:after="0"/>
              <w:rPr>
                <w:sz w:val="20"/>
                <w:szCs w:val="20"/>
                <w:color w:val="auto"/>
              </w:rPr>
            </w:pPr>
            <w:r>
              <w:rPr>
                <w:rFonts w:ascii="Arial" w:cs="Arial" w:eastAsia="Arial" w:hAnsi="Arial"/>
                <w:sz w:val="14"/>
                <w:szCs w:val="14"/>
                <w:color w:val="auto"/>
              </w:rPr>
              <w:t>(325)</w:t>
            </w:r>
          </w:p>
        </w:tc>
        <w:tc>
          <w:tcPr>
            <w:tcW w:w="620" w:type="dxa"/>
            <w:vAlign w:val="bottom"/>
          </w:tcPr>
          <w:p>
            <w:pPr>
              <w:jc w:val="right"/>
              <w:spacing w:after="0"/>
              <w:rPr>
                <w:sz w:val="20"/>
                <w:szCs w:val="20"/>
                <w:color w:val="auto"/>
              </w:rPr>
            </w:pPr>
            <w:r>
              <w:rPr>
                <w:rFonts w:ascii="Arial" w:cs="Arial" w:eastAsia="Arial" w:hAnsi="Arial"/>
                <w:sz w:val="14"/>
                <w:szCs w:val="14"/>
                <w:color w:val="auto"/>
              </w:rPr>
              <w:t>(10)</w:t>
            </w:r>
          </w:p>
        </w:tc>
        <w:tc>
          <w:tcPr>
            <w:tcW w:w="680" w:type="dxa"/>
            <w:vAlign w:val="bottom"/>
          </w:tcPr>
          <w:p>
            <w:pPr>
              <w:jc w:val="right"/>
              <w:spacing w:after="0"/>
              <w:rPr>
                <w:sz w:val="20"/>
                <w:szCs w:val="20"/>
                <w:color w:val="auto"/>
              </w:rPr>
            </w:pPr>
            <w:r>
              <w:rPr>
                <w:rFonts w:ascii="Arial" w:cs="Arial" w:eastAsia="Arial" w:hAnsi="Arial"/>
                <w:sz w:val="14"/>
                <w:szCs w:val="14"/>
                <w:color w:val="auto"/>
              </w:rPr>
              <w:t>(578)</w:t>
            </w:r>
          </w:p>
        </w:tc>
        <w:tc>
          <w:tcPr>
            <w:tcW w:w="900" w:type="dxa"/>
            <w:vAlign w:val="bottom"/>
          </w:tcPr>
          <w:p>
            <w:pPr>
              <w:jc w:val="right"/>
              <w:spacing w:after="0"/>
              <w:rPr>
                <w:sz w:val="20"/>
                <w:szCs w:val="20"/>
                <w:color w:val="auto"/>
              </w:rPr>
            </w:pPr>
            <w:r>
              <w:rPr>
                <w:rFonts w:ascii="Arial" w:cs="Arial" w:eastAsia="Arial" w:hAnsi="Arial"/>
                <w:sz w:val="14"/>
                <w:szCs w:val="14"/>
                <w:color w:val="auto"/>
              </w:rPr>
              <w:t>(100)</w:t>
            </w:r>
          </w:p>
        </w:tc>
        <w:tc>
          <w:tcPr>
            <w:tcW w:w="860" w:type="dxa"/>
            <w:vAlign w:val="bottom"/>
            <w:gridSpan w:val="2"/>
          </w:tcPr>
          <w:p>
            <w:pPr>
              <w:jc w:val="right"/>
              <w:ind w:right="60"/>
              <w:spacing w:after="0"/>
              <w:rPr>
                <w:sz w:val="20"/>
                <w:szCs w:val="20"/>
                <w:color w:val="auto"/>
              </w:rPr>
            </w:pPr>
            <w:r>
              <w:rPr>
                <w:rFonts w:ascii="Arial" w:cs="Arial" w:eastAsia="Arial" w:hAnsi="Arial"/>
                <w:sz w:val="14"/>
                <w:szCs w:val="14"/>
                <w:color w:val="auto"/>
              </w:rPr>
              <w:t>(8)</w:t>
            </w:r>
          </w:p>
        </w:tc>
        <w:tc>
          <w:tcPr>
            <w:tcW w:w="820" w:type="dxa"/>
            <w:vAlign w:val="bottom"/>
          </w:tcPr>
          <w:p>
            <w:pPr>
              <w:jc w:val="right"/>
              <w:spacing w:after="0"/>
              <w:rPr>
                <w:sz w:val="20"/>
                <w:szCs w:val="20"/>
                <w:color w:val="auto"/>
              </w:rPr>
            </w:pPr>
            <w:r>
              <w:rPr>
                <w:rFonts w:ascii="Arial" w:cs="Arial" w:eastAsia="Arial" w:hAnsi="Arial"/>
                <w:sz w:val="14"/>
                <w:szCs w:val="14"/>
                <w:color w:val="auto"/>
              </w:rPr>
              <w:t>(1,021)</w:t>
            </w:r>
          </w:p>
        </w:tc>
      </w:tr>
      <w:tr>
        <w:trPr>
          <w:trHeight w:val="157"/>
        </w:trPr>
        <w:tc>
          <w:tcPr>
            <w:tcW w:w="4920" w:type="dxa"/>
            <w:vAlign w:val="bottom"/>
            <w:tcBorders>
              <w:bottom w:val="single" w:sz="8" w:color="auto"/>
            </w:tcBorders>
          </w:tcPr>
          <w:p>
            <w:pPr>
              <w:ind w:left="140"/>
              <w:spacing w:after="0" w:line="157" w:lineRule="exact"/>
              <w:rPr>
                <w:sz w:val="20"/>
                <w:szCs w:val="20"/>
                <w:color w:val="auto"/>
              </w:rPr>
            </w:pPr>
            <w:r>
              <w:rPr>
                <w:rFonts w:ascii="Arial" w:cs="Arial" w:eastAsia="Arial" w:hAnsi="Arial"/>
                <w:sz w:val="14"/>
                <w:szCs w:val="14"/>
                <w:color w:val="auto"/>
              </w:rPr>
              <w:t>Production [A]</w:t>
            </w:r>
          </w:p>
        </w:tc>
        <w:tc>
          <w:tcPr>
            <w:tcW w:w="1000" w:type="dxa"/>
            <w:vAlign w:val="bottom"/>
            <w:tcBorders>
              <w:bottom w:val="single" w:sz="8" w:color="auto"/>
            </w:tcBorders>
          </w:tcPr>
          <w:p>
            <w:pPr>
              <w:jc w:val="right"/>
              <w:ind w:right="88"/>
              <w:spacing w:after="0" w:line="157" w:lineRule="exact"/>
              <w:rPr>
                <w:sz w:val="20"/>
                <w:szCs w:val="20"/>
                <w:color w:val="auto"/>
              </w:rPr>
            </w:pPr>
            <w:r>
              <w:rPr>
                <w:rFonts w:ascii="Arial" w:cs="Arial" w:eastAsia="Arial" w:hAnsi="Arial"/>
                <w:sz w:val="14"/>
                <w:szCs w:val="14"/>
                <w:color w:val="auto"/>
              </w:rPr>
              <w:t>(512)</w:t>
            </w:r>
          </w:p>
        </w:tc>
        <w:tc>
          <w:tcPr>
            <w:tcW w:w="800" w:type="dxa"/>
            <w:vAlign w:val="bottom"/>
            <w:tcBorders>
              <w:bottom w:val="single" w:sz="8" w:color="auto"/>
            </w:tcBorders>
          </w:tcPr>
          <w:p>
            <w:pPr>
              <w:jc w:val="right"/>
              <w:ind w:right="88"/>
              <w:spacing w:after="0" w:line="157" w:lineRule="exact"/>
              <w:rPr>
                <w:sz w:val="20"/>
                <w:szCs w:val="20"/>
                <w:color w:val="auto"/>
              </w:rPr>
            </w:pPr>
            <w:r>
              <w:rPr>
                <w:rFonts w:ascii="Arial" w:cs="Arial" w:eastAsia="Arial" w:hAnsi="Arial"/>
                <w:sz w:val="14"/>
                <w:szCs w:val="14"/>
                <w:color w:val="auto"/>
              </w:rPr>
              <w:t>(811)</w:t>
            </w:r>
          </w:p>
        </w:tc>
        <w:tc>
          <w:tcPr>
            <w:tcW w:w="820" w:type="dxa"/>
            <w:vAlign w:val="bottom"/>
            <w:tcBorders>
              <w:bottom w:val="single" w:sz="8" w:color="auto"/>
            </w:tcBorders>
          </w:tcPr>
          <w:p>
            <w:pPr>
              <w:jc w:val="right"/>
              <w:ind w:right="88"/>
              <w:spacing w:after="0" w:line="157" w:lineRule="exact"/>
              <w:rPr>
                <w:sz w:val="20"/>
                <w:szCs w:val="20"/>
                <w:color w:val="auto"/>
              </w:rPr>
            </w:pPr>
            <w:r>
              <w:rPr>
                <w:rFonts w:ascii="Arial" w:cs="Arial" w:eastAsia="Arial" w:hAnsi="Arial"/>
                <w:sz w:val="14"/>
                <w:szCs w:val="14"/>
                <w:color w:val="auto"/>
              </w:rPr>
              <w:t>(218)</w:t>
            </w:r>
          </w:p>
        </w:tc>
        <w:tc>
          <w:tcPr>
            <w:tcW w:w="620" w:type="dxa"/>
            <w:vAlign w:val="bottom"/>
            <w:tcBorders>
              <w:bottom w:val="single" w:sz="8" w:color="auto"/>
            </w:tcBorders>
          </w:tcPr>
          <w:p>
            <w:pPr>
              <w:jc w:val="right"/>
              <w:spacing w:after="0" w:line="157" w:lineRule="exact"/>
              <w:rPr>
                <w:sz w:val="20"/>
                <w:szCs w:val="20"/>
                <w:color w:val="auto"/>
              </w:rPr>
            </w:pPr>
            <w:r>
              <w:rPr>
                <w:rFonts w:ascii="Arial" w:cs="Arial" w:eastAsia="Arial" w:hAnsi="Arial"/>
                <w:sz w:val="14"/>
                <w:szCs w:val="14"/>
                <w:color w:val="auto"/>
              </w:rPr>
              <w:t>(308)</w:t>
            </w:r>
          </w:p>
        </w:tc>
        <w:tc>
          <w:tcPr>
            <w:tcW w:w="680" w:type="dxa"/>
            <w:vAlign w:val="bottom"/>
            <w:tcBorders>
              <w:bottom w:val="single" w:sz="8" w:color="auto"/>
            </w:tcBorders>
          </w:tcPr>
          <w:p>
            <w:pPr>
              <w:jc w:val="right"/>
              <w:spacing w:after="0" w:line="157" w:lineRule="exact"/>
              <w:rPr>
                <w:sz w:val="20"/>
                <w:szCs w:val="20"/>
                <w:color w:val="auto"/>
              </w:rPr>
            </w:pPr>
            <w:r>
              <w:rPr>
                <w:rFonts w:ascii="Arial" w:cs="Arial" w:eastAsia="Arial" w:hAnsi="Arial"/>
                <w:sz w:val="14"/>
                <w:szCs w:val="14"/>
                <w:color w:val="auto"/>
              </w:rPr>
              <w:t>(374)</w:t>
            </w:r>
          </w:p>
        </w:tc>
        <w:tc>
          <w:tcPr>
            <w:tcW w:w="900" w:type="dxa"/>
            <w:vAlign w:val="bottom"/>
            <w:tcBorders>
              <w:bottom w:val="single" w:sz="8" w:color="auto"/>
            </w:tcBorders>
          </w:tcPr>
          <w:p>
            <w:pPr>
              <w:jc w:val="right"/>
              <w:spacing w:after="0" w:line="157" w:lineRule="exact"/>
              <w:rPr>
                <w:sz w:val="20"/>
                <w:szCs w:val="20"/>
                <w:color w:val="auto"/>
              </w:rPr>
            </w:pPr>
            <w:r>
              <w:rPr>
                <w:rFonts w:ascii="Arial" w:cs="Arial" w:eastAsia="Arial" w:hAnsi="Arial"/>
                <w:sz w:val="14"/>
                <w:szCs w:val="14"/>
                <w:color w:val="auto"/>
              </w:rPr>
              <w:t>(233)</w:t>
            </w:r>
          </w:p>
        </w:tc>
        <w:tc>
          <w:tcPr>
            <w:tcW w:w="860" w:type="dxa"/>
            <w:vAlign w:val="bottom"/>
            <w:tcBorders>
              <w:bottom w:val="single" w:sz="8" w:color="auto"/>
            </w:tcBorders>
            <w:gridSpan w:val="2"/>
          </w:tcPr>
          <w:p>
            <w:pPr>
              <w:jc w:val="right"/>
              <w:ind w:right="60"/>
              <w:spacing w:after="0" w:line="157" w:lineRule="exact"/>
              <w:rPr>
                <w:sz w:val="20"/>
                <w:szCs w:val="20"/>
                <w:color w:val="auto"/>
              </w:rPr>
            </w:pPr>
            <w:r>
              <w:rPr>
                <w:rFonts w:ascii="Arial" w:cs="Arial" w:eastAsia="Arial" w:hAnsi="Arial"/>
                <w:sz w:val="14"/>
                <w:szCs w:val="14"/>
                <w:color w:val="auto"/>
              </w:rPr>
              <w:t>(15)</w:t>
            </w:r>
          </w:p>
        </w:tc>
        <w:tc>
          <w:tcPr>
            <w:tcW w:w="820" w:type="dxa"/>
            <w:vAlign w:val="bottom"/>
            <w:tcBorders>
              <w:bottom w:val="single" w:sz="8" w:color="auto"/>
            </w:tcBorders>
          </w:tcPr>
          <w:p>
            <w:pPr>
              <w:jc w:val="right"/>
              <w:spacing w:after="0" w:line="157" w:lineRule="exact"/>
              <w:rPr>
                <w:sz w:val="20"/>
                <w:szCs w:val="20"/>
                <w:color w:val="auto"/>
              </w:rPr>
            </w:pPr>
            <w:r>
              <w:rPr>
                <w:rFonts w:ascii="Arial" w:cs="Arial" w:eastAsia="Arial" w:hAnsi="Arial"/>
                <w:sz w:val="14"/>
                <w:szCs w:val="14"/>
                <w:color w:val="auto"/>
              </w:rPr>
              <w:t>(2,471)</w:t>
            </w:r>
          </w:p>
        </w:tc>
      </w:tr>
      <w:tr>
        <w:trPr>
          <w:trHeight w:val="156"/>
        </w:trPr>
        <w:tc>
          <w:tcPr>
            <w:tcW w:w="4920" w:type="dxa"/>
            <w:vAlign w:val="bottom"/>
            <w:tcBorders>
              <w:bottom w:val="single" w:sz="8" w:color="auto"/>
            </w:tcBorders>
          </w:tcPr>
          <w:p>
            <w:pPr>
              <w:ind w:left="140"/>
              <w:spacing w:after="0" w:line="155" w:lineRule="exact"/>
              <w:rPr>
                <w:sz w:val="20"/>
                <w:szCs w:val="20"/>
                <w:color w:val="auto"/>
              </w:rPr>
            </w:pPr>
            <w:r>
              <w:rPr>
                <w:rFonts w:ascii="Arial" w:cs="Arial" w:eastAsia="Arial" w:hAnsi="Arial"/>
                <w:sz w:val="14"/>
                <w:szCs w:val="14"/>
                <w:color w:val="auto"/>
              </w:rPr>
              <w:t>At December 31</w:t>
            </w:r>
          </w:p>
        </w:tc>
        <w:tc>
          <w:tcPr>
            <w:tcW w:w="1000" w:type="dxa"/>
            <w:vAlign w:val="bottom"/>
            <w:tcBorders>
              <w:bottom w:val="single" w:sz="8" w:color="auto"/>
            </w:tcBorders>
          </w:tcPr>
          <w:p>
            <w:pPr>
              <w:jc w:val="right"/>
              <w:ind w:right="128"/>
              <w:spacing w:after="0" w:line="155" w:lineRule="exact"/>
              <w:rPr>
                <w:sz w:val="20"/>
                <w:szCs w:val="20"/>
                <w:color w:val="auto"/>
              </w:rPr>
            </w:pPr>
            <w:r>
              <w:rPr>
                <w:rFonts w:ascii="Arial" w:cs="Arial" w:eastAsia="Arial" w:hAnsi="Arial"/>
                <w:sz w:val="14"/>
                <w:szCs w:val="14"/>
                <w:color w:val="auto"/>
              </w:rPr>
              <w:t>4,430</w:t>
            </w:r>
          </w:p>
        </w:tc>
        <w:tc>
          <w:tcPr>
            <w:tcW w:w="800" w:type="dxa"/>
            <w:vAlign w:val="bottom"/>
            <w:tcBorders>
              <w:bottom w:val="single" w:sz="8" w:color="auto"/>
            </w:tcBorders>
          </w:tcPr>
          <w:p>
            <w:pPr>
              <w:jc w:val="right"/>
              <w:ind w:right="128"/>
              <w:spacing w:after="0" w:line="155" w:lineRule="exact"/>
              <w:rPr>
                <w:sz w:val="20"/>
                <w:szCs w:val="20"/>
                <w:color w:val="auto"/>
              </w:rPr>
            </w:pPr>
            <w:r>
              <w:rPr>
                <w:rFonts w:ascii="Arial" w:cs="Arial" w:eastAsia="Arial" w:hAnsi="Arial"/>
                <w:sz w:val="14"/>
                <w:szCs w:val="14"/>
                <w:color w:val="auto"/>
              </w:rPr>
              <w:t>10,071</w:t>
            </w:r>
          </w:p>
        </w:tc>
        <w:tc>
          <w:tcPr>
            <w:tcW w:w="820" w:type="dxa"/>
            <w:vAlign w:val="bottom"/>
            <w:tcBorders>
              <w:bottom w:val="single" w:sz="8" w:color="auto"/>
            </w:tcBorders>
          </w:tcPr>
          <w:p>
            <w:pPr>
              <w:jc w:val="right"/>
              <w:ind w:right="128"/>
              <w:spacing w:after="0" w:line="155" w:lineRule="exact"/>
              <w:rPr>
                <w:sz w:val="20"/>
                <w:szCs w:val="20"/>
                <w:color w:val="auto"/>
              </w:rPr>
            </w:pPr>
            <w:r>
              <w:rPr>
                <w:rFonts w:ascii="Arial" w:cs="Arial" w:eastAsia="Arial" w:hAnsi="Arial"/>
                <w:sz w:val="14"/>
                <w:szCs w:val="14"/>
                <w:color w:val="auto"/>
              </w:rPr>
              <w:t>5,575</w:t>
            </w:r>
          </w:p>
        </w:tc>
        <w:tc>
          <w:tcPr>
            <w:tcW w:w="620" w:type="dxa"/>
            <w:vAlign w:val="bottom"/>
            <w:tcBorders>
              <w:bottom w:val="single" w:sz="8" w:color="auto"/>
            </w:tcBorders>
          </w:tcPr>
          <w:p>
            <w:pPr>
              <w:jc w:val="right"/>
              <w:ind w:right="48"/>
              <w:spacing w:after="0" w:line="155" w:lineRule="exact"/>
              <w:rPr>
                <w:sz w:val="20"/>
                <w:szCs w:val="20"/>
                <w:color w:val="auto"/>
              </w:rPr>
            </w:pPr>
            <w:r>
              <w:rPr>
                <w:rFonts w:ascii="Arial" w:cs="Arial" w:eastAsia="Arial" w:hAnsi="Arial"/>
                <w:sz w:val="14"/>
                <w:szCs w:val="14"/>
                <w:color w:val="auto"/>
              </w:rPr>
              <w:t>2,621</w:t>
            </w:r>
          </w:p>
        </w:tc>
        <w:tc>
          <w:tcPr>
            <w:tcW w:w="6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1,561</w:t>
            </w:r>
          </w:p>
        </w:tc>
        <w:tc>
          <w:tcPr>
            <w:tcW w:w="900" w:type="dxa"/>
            <w:vAlign w:val="bottom"/>
            <w:tcBorders>
              <w:bottom w:val="single" w:sz="8" w:color="auto"/>
            </w:tcBorders>
          </w:tcPr>
          <w:p>
            <w:pPr>
              <w:jc w:val="right"/>
              <w:ind w:right="9"/>
              <w:spacing w:after="0" w:line="155" w:lineRule="exact"/>
              <w:rPr>
                <w:sz w:val="20"/>
                <w:szCs w:val="20"/>
                <w:color w:val="auto"/>
              </w:rPr>
            </w:pPr>
            <w:r>
              <w:rPr>
                <w:rFonts w:ascii="Arial" w:cs="Arial" w:eastAsia="Arial" w:hAnsi="Arial"/>
                <w:sz w:val="14"/>
                <w:szCs w:val="14"/>
                <w:color w:val="auto"/>
              </w:rPr>
              <w:t>1,611</w:t>
            </w:r>
          </w:p>
        </w:tc>
        <w:tc>
          <w:tcPr>
            <w:tcW w:w="860" w:type="dxa"/>
            <w:vAlign w:val="bottom"/>
            <w:tcBorders>
              <w:bottom w:val="single" w:sz="8" w:color="auto"/>
            </w:tcBorders>
            <w:gridSpan w:val="2"/>
          </w:tcPr>
          <w:p>
            <w:pPr>
              <w:jc w:val="right"/>
              <w:ind w:right="100"/>
              <w:spacing w:after="0" w:line="155" w:lineRule="exact"/>
              <w:rPr>
                <w:sz w:val="20"/>
                <w:szCs w:val="20"/>
                <w:color w:val="auto"/>
              </w:rPr>
            </w:pPr>
            <w:r>
              <w:rPr>
                <w:rFonts w:ascii="Arial" w:cs="Arial" w:eastAsia="Arial" w:hAnsi="Arial"/>
                <w:sz w:val="14"/>
                <w:szCs w:val="14"/>
                <w:color w:val="auto"/>
              </w:rPr>
              <w:t>48</w:t>
            </w:r>
          </w:p>
        </w:tc>
        <w:tc>
          <w:tcPr>
            <w:tcW w:w="820" w:type="dxa"/>
            <w:vAlign w:val="bottom"/>
            <w:tcBorders>
              <w:bottom w:val="single" w:sz="8" w:color="auto"/>
            </w:tcBorders>
          </w:tcPr>
          <w:p>
            <w:pPr>
              <w:jc w:val="right"/>
              <w:ind w:right="28"/>
              <w:spacing w:after="0" w:line="155" w:lineRule="exact"/>
              <w:rPr>
                <w:sz w:val="20"/>
                <w:szCs w:val="20"/>
                <w:color w:val="auto"/>
              </w:rPr>
            </w:pPr>
            <w:r>
              <w:rPr>
                <w:rFonts w:ascii="Arial" w:cs="Arial" w:eastAsia="Arial" w:hAnsi="Arial"/>
                <w:sz w:val="14"/>
                <w:szCs w:val="14"/>
                <w:color w:val="auto"/>
              </w:rPr>
              <w:t>25,917</w:t>
            </w:r>
          </w:p>
        </w:tc>
      </w:tr>
      <w:tr>
        <w:trPr>
          <w:trHeight w:val="160"/>
        </w:trPr>
        <w:tc>
          <w:tcPr>
            <w:tcW w:w="4920" w:type="dxa"/>
            <w:vAlign w:val="bottom"/>
          </w:tcPr>
          <w:p>
            <w:pPr>
              <w:spacing w:after="0"/>
              <w:rPr>
                <w:sz w:val="20"/>
                <w:szCs w:val="20"/>
                <w:color w:val="auto"/>
              </w:rPr>
            </w:pPr>
            <w:r>
              <w:rPr>
                <w:rFonts w:ascii="Arial" w:cs="Arial" w:eastAsia="Arial" w:hAnsi="Arial"/>
                <w:sz w:val="14"/>
                <w:szCs w:val="14"/>
                <w:color w:val="auto"/>
              </w:rPr>
              <w:t>Shell share of joint ventures and associates</w:t>
            </w:r>
          </w:p>
        </w:tc>
        <w:tc>
          <w:tcPr>
            <w:tcW w:w="10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r>
      <w:tr>
        <w:trPr>
          <w:trHeight w:val="162"/>
        </w:trPr>
        <w:tc>
          <w:tcPr>
            <w:tcW w:w="4920" w:type="dxa"/>
            <w:vAlign w:val="bottom"/>
          </w:tcPr>
          <w:p>
            <w:pPr>
              <w:ind w:left="140"/>
              <w:spacing w:after="0"/>
              <w:rPr>
                <w:sz w:val="20"/>
                <w:szCs w:val="20"/>
                <w:color w:val="auto"/>
              </w:rPr>
            </w:pPr>
            <w:r>
              <w:rPr>
                <w:rFonts w:ascii="Arial" w:cs="Arial" w:eastAsia="Arial" w:hAnsi="Arial"/>
                <w:sz w:val="14"/>
                <w:szCs w:val="14"/>
                <w:color w:val="auto"/>
              </w:rPr>
              <w:t>At January 1</w:t>
            </w:r>
          </w:p>
        </w:tc>
        <w:tc>
          <w:tcPr>
            <w:tcW w:w="1000" w:type="dxa"/>
            <w:vAlign w:val="bottom"/>
          </w:tcPr>
          <w:p>
            <w:pPr>
              <w:jc w:val="right"/>
              <w:ind w:right="128"/>
              <w:spacing w:after="0"/>
              <w:rPr>
                <w:sz w:val="20"/>
                <w:szCs w:val="20"/>
                <w:color w:val="auto"/>
              </w:rPr>
            </w:pPr>
            <w:r>
              <w:rPr>
                <w:rFonts w:ascii="Arial" w:cs="Arial" w:eastAsia="Arial" w:hAnsi="Arial"/>
                <w:sz w:val="14"/>
                <w:szCs w:val="14"/>
                <w:color w:val="auto"/>
              </w:rPr>
              <w:t>8,508</w:t>
            </w:r>
          </w:p>
        </w:tc>
        <w:tc>
          <w:tcPr>
            <w:tcW w:w="800" w:type="dxa"/>
            <w:vAlign w:val="bottom"/>
          </w:tcPr>
          <w:p>
            <w:pPr>
              <w:jc w:val="right"/>
              <w:ind w:right="128"/>
              <w:spacing w:after="0"/>
              <w:rPr>
                <w:sz w:val="20"/>
                <w:szCs w:val="20"/>
                <w:color w:val="auto"/>
              </w:rPr>
            </w:pPr>
            <w:r>
              <w:rPr>
                <w:rFonts w:ascii="Arial" w:cs="Arial" w:eastAsia="Arial" w:hAnsi="Arial"/>
                <w:sz w:val="14"/>
                <w:szCs w:val="14"/>
                <w:color w:val="auto"/>
              </w:rPr>
              <w:t>5,991</w:t>
            </w:r>
          </w:p>
        </w:tc>
        <w:tc>
          <w:tcPr>
            <w:tcW w:w="820" w:type="dxa"/>
            <w:vAlign w:val="bottom"/>
          </w:tcPr>
          <w:p>
            <w:pPr>
              <w:jc w:val="right"/>
              <w:ind w:right="128"/>
              <w:spacing w:after="0"/>
              <w:rPr>
                <w:sz w:val="20"/>
                <w:szCs w:val="20"/>
                <w:color w:val="auto"/>
              </w:rPr>
            </w:pPr>
            <w:r>
              <w:rPr>
                <w:rFonts w:ascii="Arial" w:cs="Arial" w:eastAsia="Arial" w:hAnsi="Arial"/>
                <w:sz w:val="14"/>
                <w:szCs w:val="14"/>
                <w:color w:val="auto"/>
              </w:rPr>
              <w:t>909</w:t>
            </w:r>
          </w:p>
        </w:tc>
        <w:tc>
          <w:tcPr>
            <w:tcW w:w="6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6</w:t>
            </w:r>
          </w:p>
        </w:tc>
        <w:tc>
          <w:tcPr>
            <w:tcW w:w="100" w:type="dxa"/>
            <w:vAlign w:val="bottom"/>
          </w:tcPr>
          <w:p>
            <w:pPr>
              <w:spacing w:after="0"/>
              <w:rPr>
                <w:sz w:val="14"/>
                <w:szCs w:val="14"/>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15,414</w:t>
            </w:r>
          </w:p>
        </w:tc>
      </w:tr>
      <w:tr>
        <w:trPr>
          <w:trHeight w:val="162"/>
        </w:trPr>
        <w:tc>
          <w:tcPr>
            <w:tcW w:w="4920" w:type="dxa"/>
            <w:vAlign w:val="bottom"/>
          </w:tcPr>
          <w:p>
            <w:pPr>
              <w:ind w:left="140"/>
              <w:spacing w:after="0"/>
              <w:rPr>
                <w:sz w:val="20"/>
                <w:szCs w:val="20"/>
                <w:color w:val="auto"/>
              </w:rPr>
            </w:pPr>
            <w:r>
              <w:rPr>
                <w:rFonts w:ascii="Arial" w:cs="Arial" w:eastAsia="Arial" w:hAnsi="Arial"/>
                <w:sz w:val="14"/>
                <w:szCs w:val="14"/>
                <w:color w:val="auto"/>
              </w:rPr>
              <w:t>Revisions and reclassifications</w:t>
            </w:r>
          </w:p>
        </w:tc>
        <w:tc>
          <w:tcPr>
            <w:tcW w:w="1000" w:type="dxa"/>
            <w:vAlign w:val="bottom"/>
          </w:tcPr>
          <w:p>
            <w:pPr>
              <w:jc w:val="right"/>
              <w:ind w:right="88"/>
              <w:spacing w:after="0"/>
              <w:rPr>
                <w:sz w:val="20"/>
                <w:szCs w:val="20"/>
                <w:color w:val="auto"/>
              </w:rPr>
            </w:pPr>
            <w:r>
              <w:rPr>
                <w:rFonts w:ascii="Arial" w:cs="Arial" w:eastAsia="Arial" w:hAnsi="Arial"/>
                <w:sz w:val="14"/>
                <w:szCs w:val="14"/>
                <w:color w:val="auto"/>
              </w:rPr>
              <w:t>(60)</w:t>
            </w:r>
          </w:p>
        </w:tc>
        <w:tc>
          <w:tcPr>
            <w:tcW w:w="800" w:type="dxa"/>
            <w:vAlign w:val="bottom"/>
          </w:tcPr>
          <w:p>
            <w:pPr>
              <w:jc w:val="right"/>
              <w:ind w:right="128"/>
              <w:spacing w:after="0"/>
              <w:rPr>
                <w:sz w:val="20"/>
                <w:szCs w:val="20"/>
                <w:color w:val="auto"/>
              </w:rPr>
            </w:pPr>
            <w:r>
              <w:rPr>
                <w:rFonts w:ascii="Arial" w:cs="Arial" w:eastAsia="Arial" w:hAnsi="Arial"/>
                <w:sz w:val="14"/>
                <w:szCs w:val="14"/>
                <w:color w:val="auto"/>
              </w:rPr>
              <w:t>455</w:t>
            </w:r>
          </w:p>
        </w:tc>
        <w:tc>
          <w:tcPr>
            <w:tcW w:w="820" w:type="dxa"/>
            <w:vAlign w:val="bottom"/>
          </w:tcPr>
          <w:p>
            <w:pPr>
              <w:jc w:val="right"/>
              <w:ind w:right="128"/>
              <w:spacing w:after="0"/>
              <w:rPr>
                <w:sz w:val="20"/>
                <w:szCs w:val="20"/>
                <w:color w:val="auto"/>
              </w:rPr>
            </w:pPr>
            <w:r>
              <w:rPr>
                <w:rFonts w:ascii="Arial" w:cs="Arial" w:eastAsia="Arial" w:hAnsi="Arial"/>
                <w:sz w:val="14"/>
                <w:szCs w:val="14"/>
                <w:color w:val="auto"/>
              </w:rPr>
              <w:t>34</w:t>
            </w:r>
          </w:p>
        </w:tc>
        <w:tc>
          <w:tcPr>
            <w:tcW w:w="6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60"/>
              <w:spacing w:after="0"/>
              <w:rPr>
                <w:sz w:val="20"/>
                <w:szCs w:val="20"/>
                <w:color w:val="auto"/>
              </w:rPr>
            </w:pPr>
            <w:r>
              <w:rPr>
                <w:rFonts w:ascii="Arial" w:cs="Arial" w:eastAsia="Arial" w:hAnsi="Arial"/>
                <w:sz w:val="14"/>
                <w:szCs w:val="14"/>
                <w:color w:val="auto"/>
              </w:rPr>
              <w:t>(6)</w:t>
            </w: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423</w:t>
            </w:r>
          </w:p>
        </w:tc>
      </w:tr>
      <w:tr>
        <w:trPr>
          <w:trHeight w:val="162"/>
        </w:trPr>
        <w:tc>
          <w:tcPr>
            <w:tcW w:w="4920" w:type="dxa"/>
            <w:vAlign w:val="bottom"/>
          </w:tcPr>
          <w:p>
            <w:pPr>
              <w:ind w:left="140"/>
              <w:spacing w:after="0"/>
              <w:rPr>
                <w:sz w:val="20"/>
                <w:szCs w:val="20"/>
                <w:color w:val="auto"/>
              </w:rPr>
            </w:pPr>
            <w:r>
              <w:rPr>
                <w:rFonts w:ascii="Arial" w:cs="Arial" w:eastAsia="Arial" w:hAnsi="Arial"/>
                <w:sz w:val="14"/>
                <w:szCs w:val="14"/>
                <w:color w:val="auto"/>
              </w:rPr>
              <w:t>Improved recovery</w:t>
            </w:r>
          </w:p>
        </w:tc>
        <w:tc>
          <w:tcPr>
            <w:tcW w:w="10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6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162"/>
        </w:trPr>
        <w:tc>
          <w:tcPr>
            <w:tcW w:w="4920" w:type="dxa"/>
            <w:vAlign w:val="bottom"/>
          </w:tcPr>
          <w:p>
            <w:pPr>
              <w:ind w:left="140"/>
              <w:spacing w:after="0"/>
              <w:rPr>
                <w:sz w:val="20"/>
                <w:szCs w:val="20"/>
                <w:color w:val="auto"/>
              </w:rPr>
            </w:pPr>
            <w:r>
              <w:rPr>
                <w:rFonts w:ascii="Arial" w:cs="Arial" w:eastAsia="Arial" w:hAnsi="Arial"/>
                <w:sz w:val="14"/>
                <w:szCs w:val="14"/>
                <w:color w:val="auto"/>
              </w:rPr>
              <w:t>Extensions and discoveries</w:t>
            </w:r>
          </w:p>
        </w:tc>
        <w:tc>
          <w:tcPr>
            <w:tcW w:w="1000" w:type="dxa"/>
            <w:vAlign w:val="bottom"/>
          </w:tcPr>
          <w:p>
            <w:pPr>
              <w:jc w:val="right"/>
              <w:ind w:right="128"/>
              <w:spacing w:after="0"/>
              <w:rPr>
                <w:sz w:val="20"/>
                <w:szCs w:val="20"/>
                <w:color w:val="auto"/>
              </w:rPr>
            </w:pPr>
            <w:r>
              <w:rPr>
                <w:rFonts w:ascii="Arial" w:cs="Arial" w:eastAsia="Arial" w:hAnsi="Arial"/>
                <w:sz w:val="14"/>
                <w:szCs w:val="14"/>
                <w:color w:val="auto"/>
              </w:rPr>
              <w:t>6</w:t>
            </w:r>
          </w:p>
        </w:tc>
        <w:tc>
          <w:tcPr>
            <w:tcW w:w="800" w:type="dxa"/>
            <w:vAlign w:val="bottom"/>
          </w:tcPr>
          <w:p>
            <w:pPr>
              <w:jc w:val="right"/>
              <w:ind w:right="128"/>
              <w:spacing w:after="0"/>
              <w:rPr>
                <w:sz w:val="20"/>
                <w:szCs w:val="20"/>
                <w:color w:val="auto"/>
              </w:rPr>
            </w:pPr>
            <w:r>
              <w:rPr>
                <w:rFonts w:ascii="Arial" w:cs="Arial" w:eastAsia="Arial" w:hAnsi="Arial"/>
                <w:sz w:val="14"/>
                <w:szCs w:val="14"/>
                <w:color w:val="auto"/>
              </w:rPr>
              <w:t>26</w:t>
            </w:r>
          </w:p>
        </w:tc>
        <w:tc>
          <w:tcPr>
            <w:tcW w:w="820" w:type="dxa"/>
            <w:vAlign w:val="bottom"/>
          </w:tcPr>
          <w:p>
            <w:pPr>
              <w:jc w:val="right"/>
              <w:ind w:right="128"/>
              <w:spacing w:after="0"/>
              <w:rPr>
                <w:sz w:val="20"/>
                <w:szCs w:val="20"/>
                <w:color w:val="auto"/>
              </w:rPr>
            </w:pPr>
            <w:r>
              <w:rPr>
                <w:rFonts w:ascii="Arial" w:cs="Arial" w:eastAsia="Arial" w:hAnsi="Arial"/>
                <w:sz w:val="14"/>
                <w:szCs w:val="14"/>
                <w:color w:val="auto"/>
              </w:rPr>
              <w:t>11</w:t>
            </w:r>
          </w:p>
        </w:tc>
        <w:tc>
          <w:tcPr>
            <w:tcW w:w="6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43</w:t>
            </w:r>
          </w:p>
        </w:tc>
      </w:tr>
      <w:tr>
        <w:trPr>
          <w:trHeight w:val="162"/>
        </w:trPr>
        <w:tc>
          <w:tcPr>
            <w:tcW w:w="4920" w:type="dxa"/>
            <w:vAlign w:val="bottom"/>
          </w:tcPr>
          <w:p>
            <w:pPr>
              <w:ind w:left="140"/>
              <w:spacing w:after="0"/>
              <w:rPr>
                <w:sz w:val="20"/>
                <w:szCs w:val="20"/>
                <w:color w:val="auto"/>
              </w:rPr>
            </w:pPr>
            <w:r>
              <w:rPr>
                <w:rFonts w:ascii="Arial" w:cs="Arial" w:eastAsia="Arial" w:hAnsi="Arial"/>
                <w:sz w:val="14"/>
                <w:szCs w:val="14"/>
                <w:color w:val="auto"/>
              </w:rPr>
              <w:t>Purchases of minerals in place</w:t>
            </w:r>
          </w:p>
        </w:tc>
        <w:tc>
          <w:tcPr>
            <w:tcW w:w="10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6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162"/>
        </w:trPr>
        <w:tc>
          <w:tcPr>
            <w:tcW w:w="4920" w:type="dxa"/>
            <w:vAlign w:val="bottom"/>
          </w:tcPr>
          <w:p>
            <w:pPr>
              <w:ind w:left="140"/>
              <w:spacing w:after="0"/>
              <w:rPr>
                <w:sz w:val="20"/>
                <w:szCs w:val="20"/>
                <w:color w:val="auto"/>
              </w:rPr>
            </w:pPr>
            <w:r>
              <w:rPr>
                <w:rFonts w:ascii="Arial" w:cs="Arial" w:eastAsia="Arial" w:hAnsi="Arial"/>
                <w:sz w:val="14"/>
                <w:szCs w:val="14"/>
                <w:color w:val="auto"/>
              </w:rPr>
              <w:t>Sales of minerals in place</w:t>
            </w:r>
          </w:p>
        </w:tc>
        <w:tc>
          <w:tcPr>
            <w:tcW w:w="10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88"/>
              <w:spacing w:after="0"/>
              <w:rPr>
                <w:sz w:val="20"/>
                <w:szCs w:val="20"/>
                <w:color w:val="auto"/>
              </w:rPr>
            </w:pPr>
            <w:r>
              <w:rPr>
                <w:rFonts w:ascii="Arial" w:cs="Arial" w:eastAsia="Arial" w:hAnsi="Arial"/>
                <w:sz w:val="14"/>
                <w:szCs w:val="14"/>
                <w:color w:val="auto"/>
              </w:rPr>
              <w:t>(354)</w:t>
            </w:r>
          </w:p>
        </w:tc>
        <w:tc>
          <w:tcPr>
            <w:tcW w:w="6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(354)</w:t>
            </w:r>
          </w:p>
        </w:tc>
      </w:tr>
      <w:tr>
        <w:trPr>
          <w:trHeight w:val="157"/>
        </w:trPr>
        <w:tc>
          <w:tcPr>
            <w:tcW w:w="4920" w:type="dxa"/>
            <w:vAlign w:val="bottom"/>
            <w:tcBorders>
              <w:bottom w:val="single" w:sz="8" w:color="auto"/>
            </w:tcBorders>
          </w:tcPr>
          <w:p>
            <w:pPr>
              <w:ind w:left="140"/>
              <w:spacing w:after="0" w:line="157" w:lineRule="exact"/>
              <w:rPr>
                <w:sz w:val="20"/>
                <w:szCs w:val="20"/>
                <w:color w:val="auto"/>
              </w:rPr>
            </w:pPr>
            <w:r>
              <w:rPr>
                <w:rFonts w:ascii="Arial" w:cs="Arial" w:eastAsia="Arial" w:hAnsi="Arial"/>
                <w:sz w:val="14"/>
                <w:szCs w:val="14"/>
                <w:color w:val="auto"/>
              </w:rPr>
              <w:t>Production [B]</w:t>
            </w:r>
          </w:p>
        </w:tc>
        <w:tc>
          <w:tcPr>
            <w:tcW w:w="1000" w:type="dxa"/>
            <w:vAlign w:val="bottom"/>
            <w:tcBorders>
              <w:bottom w:val="single" w:sz="8" w:color="auto"/>
            </w:tcBorders>
          </w:tcPr>
          <w:p>
            <w:pPr>
              <w:jc w:val="right"/>
              <w:ind w:right="88"/>
              <w:spacing w:after="0" w:line="157" w:lineRule="exact"/>
              <w:rPr>
                <w:sz w:val="20"/>
                <w:szCs w:val="20"/>
                <w:color w:val="auto"/>
              </w:rPr>
            </w:pPr>
            <w:r>
              <w:rPr>
                <w:rFonts w:ascii="Arial" w:cs="Arial" w:eastAsia="Arial" w:hAnsi="Arial"/>
                <w:sz w:val="14"/>
                <w:szCs w:val="14"/>
                <w:color w:val="auto"/>
              </w:rPr>
              <w:t>(588)</w:t>
            </w:r>
          </w:p>
        </w:tc>
        <w:tc>
          <w:tcPr>
            <w:tcW w:w="800" w:type="dxa"/>
            <w:vAlign w:val="bottom"/>
            <w:tcBorders>
              <w:bottom w:val="single" w:sz="8" w:color="auto"/>
            </w:tcBorders>
          </w:tcPr>
          <w:p>
            <w:pPr>
              <w:jc w:val="right"/>
              <w:ind w:right="88"/>
              <w:spacing w:after="0" w:line="157" w:lineRule="exact"/>
              <w:rPr>
                <w:sz w:val="20"/>
                <w:szCs w:val="20"/>
                <w:color w:val="auto"/>
              </w:rPr>
            </w:pPr>
            <w:r>
              <w:rPr>
                <w:rFonts w:ascii="Arial" w:cs="Arial" w:eastAsia="Arial" w:hAnsi="Arial"/>
                <w:sz w:val="14"/>
                <w:szCs w:val="14"/>
                <w:color w:val="auto"/>
              </w:rPr>
              <w:t>(442)</w:t>
            </w:r>
          </w:p>
        </w:tc>
        <w:tc>
          <w:tcPr>
            <w:tcW w:w="820" w:type="dxa"/>
            <w:vAlign w:val="bottom"/>
            <w:tcBorders>
              <w:bottom w:val="single" w:sz="8" w:color="auto"/>
            </w:tcBorders>
          </w:tcPr>
          <w:p>
            <w:pPr>
              <w:jc w:val="right"/>
              <w:ind w:right="88"/>
              <w:spacing w:after="0" w:line="157" w:lineRule="exact"/>
              <w:rPr>
                <w:sz w:val="20"/>
                <w:szCs w:val="20"/>
                <w:color w:val="auto"/>
              </w:rPr>
            </w:pPr>
            <w:r>
              <w:rPr>
                <w:rFonts w:ascii="Arial" w:cs="Arial" w:eastAsia="Arial" w:hAnsi="Arial"/>
                <w:sz w:val="14"/>
                <w:szCs w:val="14"/>
                <w:color w:val="auto"/>
              </w:rPr>
              <w:t>(97)</w:t>
            </w:r>
          </w:p>
        </w:tc>
        <w:tc>
          <w:tcPr>
            <w:tcW w:w="620" w:type="dxa"/>
            <w:vAlign w:val="bottom"/>
            <w:tcBorders>
              <w:bottom w:val="single" w:sz="8" w:color="auto"/>
            </w:tcBorders>
          </w:tcPr>
          <w:p>
            <w:pPr>
              <w:jc w:val="right"/>
              <w:ind w:right="48"/>
              <w:spacing w:after="0" w:line="157" w:lineRule="exact"/>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tcPr>
          <w:p>
            <w:pPr>
              <w:jc w:val="right"/>
              <w:spacing w:after="0" w:line="157" w:lineRule="exact"/>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right"/>
              <w:ind w:right="9"/>
              <w:spacing w:after="0" w:line="157" w:lineRule="exact"/>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gridSpan w:val="2"/>
          </w:tcPr>
          <w:p>
            <w:pPr>
              <w:jc w:val="right"/>
              <w:ind w:right="100"/>
              <w:spacing w:after="0" w:line="157" w:lineRule="exact"/>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tcPr>
          <w:p>
            <w:pPr>
              <w:jc w:val="right"/>
              <w:spacing w:after="0" w:line="157" w:lineRule="exact"/>
              <w:rPr>
                <w:sz w:val="20"/>
                <w:szCs w:val="20"/>
                <w:color w:val="auto"/>
              </w:rPr>
            </w:pPr>
            <w:r>
              <w:rPr>
                <w:rFonts w:ascii="Arial" w:cs="Arial" w:eastAsia="Arial" w:hAnsi="Arial"/>
                <w:sz w:val="14"/>
                <w:szCs w:val="14"/>
                <w:color w:val="auto"/>
              </w:rPr>
              <w:t>(1,127)</w:t>
            </w:r>
          </w:p>
        </w:tc>
      </w:tr>
      <w:tr>
        <w:trPr>
          <w:trHeight w:val="156"/>
        </w:trPr>
        <w:tc>
          <w:tcPr>
            <w:tcW w:w="4920" w:type="dxa"/>
            <w:vAlign w:val="bottom"/>
            <w:tcBorders>
              <w:bottom w:val="single" w:sz="8" w:color="auto"/>
            </w:tcBorders>
          </w:tcPr>
          <w:p>
            <w:pPr>
              <w:ind w:left="140"/>
              <w:spacing w:after="0" w:line="155" w:lineRule="exact"/>
              <w:rPr>
                <w:sz w:val="20"/>
                <w:szCs w:val="20"/>
                <w:color w:val="auto"/>
              </w:rPr>
            </w:pPr>
            <w:r>
              <w:rPr>
                <w:rFonts w:ascii="Arial" w:cs="Arial" w:eastAsia="Arial" w:hAnsi="Arial"/>
                <w:sz w:val="14"/>
                <w:szCs w:val="14"/>
                <w:color w:val="auto"/>
              </w:rPr>
              <w:t>At December 31</w:t>
            </w:r>
          </w:p>
        </w:tc>
        <w:tc>
          <w:tcPr>
            <w:tcW w:w="1000" w:type="dxa"/>
            <w:vAlign w:val="bottom"/>
            <w:tcBorders>
              <w:bottom w:val="single" w:sz="8" w:color="auto"/>
            </w:tcBorders>
          </w:tcPr>
          <w:p>
            <w:pPr>
              <w:jc w:val="right"/>
              <w:ind w:right="128"/>
              <w:spacing w:after="0" w:line="155" w:lineRule="exact"/>
              <w:rPr>
                <w:sz w:val="20"/>
                <w:szCs w:val="20"/>
                <w:color w:val="auto"/>
              </w:rPr>
            </w:pPr>
            <w:r>
              <w:rPr>
                <w:rFonts w:ascii="Arial" w:cs="Arial" w:eastAsia="Arial" w:hAnsi="Arial"/>
                <w:sz w:val="14"/>
                <w:szCs w:val="14"/>
                <w:color w:val="auto"/>
              </w:rPr>
              <w:t>7,866</w:t>
            </w:r>
          </w:p>
        </w:tc>
        <w:tc>
          <w:tcPr>
            <w:tcW w:w="800" w:type="dxa"/>
            <w:vAlign w:val="bottom"/>
            <w:tcBorders>
              <w:bottom w:val="single" w:sz="8" w:color="auto"/>
            </w:tcBorders>
          </w:tcPr>
          <w:p>
            <w:pPr>
              <w:jc w:val="right"/>
              <w:ind w:right="128"/>
              <w:spacing w:after="0" w:line="155" w:lineRule="exact"/>
              <w:rPr>
                <w:sz w:val="20"/>
                <w:szCs w:val="20"/>
                <w:color w:val="auto"/>
              </w:rPr>
            </w:pPr>
            <w:r>
              <w:rPr>
                <w:rFonts w:ascii="Arial" w:cs="Arial" w:eastAsia="Arial" w:hAnsi="Arial"/>
                <w:sz w:val="14"/>
                <w:szCs w:val="14"/>
                <w:color w:val="auto"/>
              </w:rPr>
              <w:t>6,030</w:t>
            </w:r>
          </w:p>
        </w:tc>
        <w:tc>
          <w:tcPr>
            <w:tcW w:w="820" w:type="dxa"/>
            <w:vAlign w:val="bottom"/>
            <w:tcBorders>
              <w:bottom w:val="single" w:sz="8" w:color="auto"/>
            </w:tcBorders>
          </w:tcPr>
          <w:p>
            <w:pPr>
              <w:jc w:val="right"/>
              <w:ind w:right="128"/>
              <w:spacing w:after="0" w:line="155" w:lineRule="exact"/>
              <w:rPr>
                <w:sz w:val="20"/>
                <w:szCs w:val="20"/>
                <w:color w:val="auto"/>
              </w:rPr>
            </w:pPr>
            <w:r>
              <w:rPr>
                <w:rFonts w:ascii="Arial" w:cs="Arial" w:eastAsia="Arial" w:hAnsi="Arial"/>
                <w:sz w:val="14"/>
                <w:szCs w:val="14"/>
                <w:color w:val="auto"/>
              </w:rPr>
              <w:t>503</w:t>
            </w:r>
          </w:p>
        </w:tc>
        <w:tc>
          <w:tcPr>
            <w:tcW w:w="620" w:type="dxa"/>
            <w:vAlign w:val="bottom"/>
            <w:tcBorders>
              <w:bottom w:val="single" w:sz="8" w:color="auto"/>
            </w:tcBorders>
          </w:tcPr>
          <w:p>
            <w:pPr>
              <w:jc w:val="right"/>
              <w:ind w:right="48"/>
              <w:spacing w:after="0" w:line="155" w:lineRule="exact"/>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right"/>
              <w:ind w:right="9"/>
              <w:spacing w:after="0" w:line="155" w:lineRule="exact"/>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gridSpan w:val="2"/>
          </w:tcPr>
          <w:p>
            <w:pPr>
              <w:jc w:val="right"/>
              <w:ind w:right="100"/>
              <w:spacing w:after="0" w:line="155" w:lineRule="exact"/>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tcPr>
          <w:p>
            <w:pPr>
              <w:jc w:val="right"/>
              <w:ind w:right="28"/>
              <w:spacing w:after="0" w:line="155" w:lineRule="exact"/>
              <w:rPr>
                <w:sz w:val="20"/>
                <w:szCs w:val="20"/>
                <w:color w:val="auto"/>
              </w:rPr>
            </w:pPr>
            <w:r>
              <w:rPr>
                <w:rFonts w:ascii="Arial" w:cs="Arial" w:eastAsia="Arial" w:hAnsi="Arial"/>
                <w:sz w:val="14"/>
                <w:szCs w:val="14"/>
                <w:color w:val="auto"/>
              </w:rPr>
              <w:t>14,399</w:t>
            </w:r>
          </w:p>
        </w:tc>
      </w:tr>
      <w:tr>
        <w:trPr>
          <w:trHeight w:val="156"/>
        </w:trPr>
        <w:tc>
          <w:tcPr>
            <w:tcW w:w="4920" w:type="dxa"/>
            <w:vAlign w:val="bottom"/>
            <w:tcBorders>
              <w:bottom w:val="single" w:sz="8" w:color="auto"/>
            </w:tcBorders>
          </w:tcPr>
          <w:p>
            <w:pPr>
              <w:spacing w:after="0" w:line="155" w:lineRule="exact"/>
              <w:rPr>
                <w:sz w:val="20"/>
                <w:szCs w:val="20"/>
                <w:color w:val="auto"/>
              </w:rPr>
            </w:pPr>
            <w:r>
              <w:rPr>
                <w:rFonts w:ascii="Arial" w:cs="Arial" w:eastAsia="Arial" w:hAnsi="Arial"/>
                <w:sz w:val="14"/>
                <w:szCs w:val="14"/>
                <w:color w:val="auto"/>
              </w:rPr>
              <w:t>Total</w:t>
            </w:r>
          </w:p>
        </w:tc>
        <w:tc>
          <w:tcPr>
            <w:tcW w:w="1000" w:type="dxa"/>
            <w:vAlign w:val="bottom"/>
            <w:tcBorders>
              <w:bottom w:val="single" w:sz="8" w:color="auto"/>
            </w:tcBorders>
          </w:tcPr>
          <w:p>
            <w:pPr>
              <w:jc w:val="right"/>
              <w:ind w:right="128"/>
              <w:spacing w:after="0" w:line="155" w:lineRule="exact"/>
              <w:rPr>
                <w:sz w:val="20"/>
                <w:szCs w:val="20"/>
                <w:color w:val="auto"/>
              </w:rPr>
            </w:pPr>
            <w:r>
              <w:rPr>
                <w:rFonts w:ascii="Arial" w:cs="Arial" w:eastAsia="Arial" w:hAnsi="Arial"/>
                <w:sz w:val="14"/>
                <w:szCs w:val="14"/>
                <w:color w:val="auto"/>
              </w:rPr>
              <w:t>12,296</w:t>
            </w:r>
          </w:p>
        </w:tc>
        <w:tc>
          <w:tcPr>
            <w:tcW w:w="800" w:type="dxa"/>
            <w:vAlign w:val="bottom"/>
            <w:tcBorders>
              <w:bottom w:val="single" w:sz="8" w:color="auto"/>
            </w:tcBorders>
          </w:tcPr>
          <w:p>
            <w:pPr>
              <w:jc w:val="right"/>
              <w:ind w:right="128"/>
              <w:spacing w:after="0" w:line="155" w:lineRule="exact"/>
              <w:rPr>
                <w:sz w:val="20"/>
                <w:szCs w:val="20"/>
                <w:color w:val="auto"/>
              </w:rPr>
            </w:pPr>
            <w:r>
              <w:rPr>
                <w:rFonts w:ascii="Arial" w:cs="Arial" w:eastAsia="Arial" w:hAnsi="Arial"/>
                <w:sz w:val="14"/>
                <w:szCs w:val="14"/>
                <w:color w:val="auto"/>
              </w:rPr>
              <w:t>16,101</w:t>
            </w:r>
          </w:p>
        </w:tc>
        <w:tc>
          <w:tcPr>
            <w:tcW w:w="820" w:type="dxa"/>
            <w:vAlign w:val="bottom"/>
            <w:tcBorders>
              <w:bottom w:val="single" w:sz="8" w:color="auto"/>
            </w:tcBorders>
          </w:tcPr>
          <w:p>
            <w:pPr>
              <w:jc w:val="right"/>
              <w:ind w:right="128"/>
              <w:spacing w:after="0" w:line="155" w:lineRule="exact"/>
              <w:rPr>
                <w:sz w:val="20"/>
                <w:szCs w:val="20"/>
                <w:color w:val="auto"/>
              </w:rPr>
            </w:pPr>
            <w:r>
              <w:rPr>
                <w:rFonts w:ascii="Arial" w:cs="Arial" w:eastAsia="Arial" w:hAnsi="Arial"/>
                <w:sz w:val="14"/>
                <w:szCs w:val="14"/>
                <w:color w:val="auto"/>
              </w:rPr>
              <w:t>6,078</w:t>
            </w:r>
          </w:p>
        </w:tc>
        <w:tc>
          <w:tcPr>
            <w:tcW w:w="620" w:type="dxa"/>
            <w:vAlign w:val="bottom"/>
            <w:tcBorders>
              <w:bottom w:val="single" w:sz="8" w:color="auto"/>
            </w:tcBorders>
          </w:tcPr>
          <w:p>
            <w:pPr>
              <w:jc w:val="right"/>
              <w:ind w:right="48"/>
              <w:spacing w:after="0" w:line="155" w:lineRule="exact"/>
              <w:rPr>
                <w:sz w:val="20"/>
                <w:szCs w:val="20"/>
                <w:color w:val="auto"/>
              </w:rPr>
            </w:pPr>
            <w:r>
              <w:rPr>
                <w:rFonts w:ascii="Arial" w:cs="Arial" w:eastAsia="Arial" w:hAnsi="Arial"/>
                <w:sz w:val="14"/>
                <w:szCs w:val="14"/>
                <w:color w:val="auto"/>
              </w:rPr>
              <w:t>2,621</w:t>
            </w:r>
          </w:p>
        </w:tc>
        <w:tc>
          <w:tcPr>
            <w:tcW w:w="6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1,561</w:t>
            </w:r>
          </w:p>
        </w:tc>
        <w:tc>
          <w:tcPr>
            <w:tcW w:w="900" w:type="dxa"/>
            <w:vAlign w:val="bottom"/>
            <w:tcBorders>
              <w:bottom w:val="single" w:sz="8" w:color="auto"/>
            </w:tcBorders>
          </w:tcPr>
          <w:p>
            <w:pPr>
              <w:jc w:val="right"/>
              <w:ind w:right="9"/>
              <w:spacing w:after="0" w:line="155" w:lineRule="exact"/>
              <w:rPr>
                <w:sz w:val="20"/>
                <w:szCs w:val="20"/>
                <w:color w:val="auto"/>
              </w:rPr>
            </w:pPr>
            <w:r>
              <w:rPr>
                <w:rFonts w:ascii="Arial" w:cs="Arial" w:eastAsia="Arial" w:hAnsi="Arial"/>
                <w:sz w:val="14"/>
                <w:szCs w:val="14"/>
                <w:color w:val="auto"/>
              </w:rPr>
              <w:t>1,611</w:t>
            </w:r>
          </w:p>
        </w:tc>
        <w:tc>
          <w:tcPr>
            <w:tcW w:w="860" w:type="dxa"/>
            <w:vAlign w:val="bottom"/>
            <w:tcBorders>
              <w:bottom w:val="single" w:sz="8" w:color="auto"/>
            </w:tcBorders>
            <w:gridSpan w:val="2"/>
          </w:tcPr>
          <w:p>
            <w:pPr>
              <w:jc w:val="right"/>
              <w:ind w:right="100"/>
              <w:spacing w:after="0" w:line="155" w:lineRule="exact"/>
              <w:rPr>
                <w:sz w:val="20"/>
                <w:szCs w:val="20"/>
                <w:color w:val="auto"/>
              </w:rPr>
            </w:pPr>
            <w:r>
              <w:rPr>
                <w:rFonts w:ascii="Arial" w:cs="Arial" w:eastAsia="Arial" w:hAnsi="Arial"/>
                <w:sz w:val="14"/>
                <w:szCs w:val="14"/>
                <w:color w:val="auto"/>
              </w:rPr>
              <w:t>48</w:t>
            </w:r>
          </w:p>
        </w:tc>
        <w:tc>
          <w:tcPr>
            <w:tcW w:w="820" w:type="dxa"/>
            <w:vAlign w:val="bottom"/>
            <w:tcBorders>
              <w:bottom w:val="single" w:sz="8" w:color="auto"/>
            </w:tcBorders>
          </w:tcPr>
          <w:p>
            <w:pPr>
              <w:jc w:val="right"/>
              <w:ind w:right="28"/>
              <w:spacing w:after="0" w:line="155" w:lineRule="exact"/>
              <w:rPr>
                <w:sz w:val="20"/>
                <w:szCs w:val="20"/>
                <w:color w:val="auto"/>
              </w:rPr>
            </w:pPr>
            <w:r>
              <w:rPr>
                <w:rFonts w:ascii="Arial" w:cs="Arial" w:eastAsia="Arial" w:hAnsi="Arial"/>
                <w:sz w:val="14"/>
                <w:szCs w:val="14"/>
                <w:color w:val="auto"/>
              </w:rPr>
              <w:t>40,316</w:t>
            </w:r>
          </w:p>
        </w:tc>
      </w:tr>
      <w:tr>
        <w:trPr>
          <w:trHeight w:val="160"/>
        </w:trPr>
        <w:tc>
          <w:tcPr>
            <w:tcW w:w="4920" w:type="dxa"/>
            <w:vAlign w:val="bottom"/>
          </w:tcPr>
          <w:p>
            <w:pPr>
              <w:spacing w:after="0"/>
              <w:rPr>
                <w:sz w:val="20"/>
                <w:szCs w:val="20"/>
                <w:color w:val="auto"/>
              </w:rPr>
            </w:pPr>
            <w:r>
              <w:rPr>
                <w:rFonts w:ascii="Arial" w:cs="Arial" w:eastAsia="Arial" w:hAnsi="Arial"/>
                <w:sz w:val="14"/>
                <w:szCs w:val="14"/>
                <w:color w:val="auto"/>
              </w:rPr>
              <w:t>Reserves attributable to non-controlling interest in Shell subsidiaries at</w:t>
            </w:r>
          </w:p>
        </w:tc>
        <w:tc>
          <w:tcPr>
            <w:tcW w:w="10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r>
      <w:tr>
        <w:trPr>
          <w:trHeight w:val="157"/>
        </w:trPr>
        <w:tc>
          <w:tcPr>
            <w:tcW w:w="4920" w:type="dxa"/>
            <w:vAlign w:val="bottom"/>
            <w:tcBorders>
              <w:bottom w:val="single" w:sz="8" w:color="auto"/>
            </w:tcBorders>
          </w:tcPr>
          <w:p>
            <w:pPr>
              <w:ind w:left="160"/>
              <w:spacing w:after="0" w:line="157" w:lineRule="exact"/>
              <w:rPr>
                <w:sz w:val="20"/>
                <w:szCs w:val="20"/>
                <w:color w:val="auto"/>
              </w:rPr>
            </w:pPr>
            <w:r>
              <w:rPr>
                <w:rFonts w:ascii="Arial" w:cs="Arial" w:eastAsia="Arial" w:hAnsi="Arial"/>
                <w:sz w:val="14"/>
                <w:szCs w:val="14"/>
                <w:color w:val="auto"/>
              </w:rPr>
              <w:t>December 31</w:t>
            </w:r>
          </w:p>
        </w:tc>
        <w:tc>
          <w:tcPr>
            <w:tcW w:w="1000" w:type="dxa"/>
            <w:vAlign w:val="bottom"/>
            <w:tcBorders>
              <w:bottom w:val="single" w:sz="8" w:color="auto"/>
            </w:tcBorders>
          </w:tcPr>
          <w:p>
            <w:pPr>
              <w:jc w:val="right"/>
              <w:ind w:right="128"/>
              <w:spacing w:after="0" w:line="157" w:lineRule="exact"/>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tcPr>
          <w:p>
            <w:pPr>
              <w:jc w:val="right"/>
              <w:ind w:right="128"/>
              <w:spacing w:after="0" w:line="157" w:lineRule="exact"/>
              <w:rPr>
                <w:sz w:val="20"/>
                <w:szCs w:val="20"/>
                <w:color w:val="auto"/>
              </w:rPr>
            </w:pPr>
            <w:r>
              <w:rPr>
                <w:rFonts w:ascii="Arial" w:cs="Arial" w:eastAsia="Arial" w:hAnsi="Arial"/>
                <w:sz w:val="14"/>
                <w:szCs w:val="14"/>
                <w:color w:val="auto"/>
              </w:rPr>
              <w:t>3</w:t>
            </w:r>
          </w:p>
        </w:tc>
        <w:tc>
          <w:tcPr>
            <w:tcW w:w="820" w:type="dxa"/>
            <w:vAlign w:val="bottom"/>
            <w:tcBorders>
              <w:bottom w:val="single" w:sz="8" w:color="auto"/>
            </w:tcBorders>
          </w:tcPr>
          <w:p>
            <w:pPr>
              <w:jc w:val="right"/>
              <w:ind w:right="128"/>
              <w:spacing w:after="0" w:line="157" w:lineRule="exact"/>
              <w:rPr>
                <w:sz w:val="20"/>
                <w:szCs w:val="20"/>
                <w:color w:val="auto"/>
              </w:rPr>
            </w:pPr>
            <w:r>
              <w:rPr>
                <w:rFonts w:ascii="Arial" w:cs="Arial" w:eastAsia="Arial" w:hAnsi="Arial"/>
                <w:sz w:val="14"/>
                <w:szCs w:val="14"/>
                <w:color w:val="auto"/>
              </w:rPr>
              <w:t>–</w:t>
            </w:r>
          </w:p>
        </w:tc>
        <w:tc>
          <w:tcPr>
            <w:tcW w:w="620" w:type="dxa"/>
            <w:vAlign w:val="bottom"/>
            <w:tcBorders>
              <w:bottom w:val="single" w:sz="8" w:color="auto"/>
            </w:tcBorders>
          </w:tcPr>
          <w:p>
            <w:pPr>
              <w:jc w:val="right"/>
              <w:ind w:right="48"/>
              <w:spacing w:after="0" w:line="157" w:lineRule="exact"/>
              <w:rPr>
                <w:sz w:val="20"/>
                <w:szCs w:val="20"/>
                <w:color w:val="auto"/>
              </w:rPr>
            </w:pPr>
            <w:r>
              <w:rPr>
                <w:rFonts w:ascii="Arial" w:cs="Arial" w:eastAsia="Arial" w:hAnsi="Arial"/>
                <w:sz w:val="14"/>
                <w:szCs w:val="14"/>
                <w:color w:val="auto"/>
              </w:rPr>
              <w:t>6</w:t>
            </w:r>
          </w:p>
        </w:tc>
        <w:tc>
          <w:tcPr>
            <w:tcW w:w="680" w:type="dxa"/>
            <w:vAlign w:val="bottom"/>
            <w:tcBorders>
              <w:bottom w:val="single" w:sz="8" w:color="auto"/>
            </w:tcBorders>
          </w:tcPr>
          <w:p>
            <w:pPr>
              <w:jc w:val="right"/>
              <w:spacing w:after="0" w:line="157" w:lineRule="exact"/>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right"/>
              <w:ind w:right="9"/>
              <w:spacing w:after="0" w:line="157" w:lineRule="exact"/>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gridSpan w:val="2"/>
          </w:tcPr>
          <w:p>
            <w:pPr>
              <w:jc w:val="right"/>
              <w:ind w:right="100"/>
              <w:spacing w:after="0" w:line="157" w:lineRule="exact"/>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tcPr>
          <w:p>
            <w:pPr>
              <w:jc w:val="right"/>
              <w:ind w:right="28"/>
              <w:spacing w:after="0" w:line="157" w:lineRule="exact"/>
              <w:rPr>
                <w:sz w:val="20"/>
                <w:szCs w:val="20"/>
                <w:color w:val="auto"/>
              </w:rPr>
            </w:pPr>
            <w:r>
              <w:rPr>
                <w:rFonts w:ascii="Arial" w:cs="Arial" w:eastAsia="Arial" w:hAnsi="Arial"/>
                <w:sz w:val="14"/>
                <w:szCs w:val="14"/>
                <w:color w:val="auto"/>
              </w:rPr>
              <w:t>9</w:t>
            </w:r>
          </w:p>
        </w:tc>
      </w:tr>
    </w:tbl>
    <w:p>
      <w:pPr>
        <w:spacing w:after="0" w:line="32" w:lineRule="exact"/>
        <w:rPr>
          <w:sz w:val="20"/>
          <w:szCs w:val="20"/>
          <w:color w:val="auto"/>
        </w:rPr>
      </w:pPr>
    </w:p>
    <w:p>
      <w:pPr>
        <w:ind w:left="180" w:hanging="172"/>
        <w:spacing w:after="0"/>
        <w:tabs>
          <w:tab w:leader="none" w:pos="180" w:val="left"/>
        </w:tabs>
        <w:numPr>
          <w:ilvl w:val="0"/>
          <w:numId w:val="152"/>
        </w:numPr>
        <w:rPr>
          <w:rFonts w:ascii="Arial" w:cs="Arial" w:eastAsia="Arial" w:hAnsi="Arial"/>
          <w:sz w:val="11"/>
          <w:szCs w:val="11"/>
          <w:color w:val="auto"/>
        </w:rPr>
      </w:pPr>
      <w:r>
        <w:rPr>
          <w:rFonts w:ascii="Arial" w:cs="Arial" w:eastAsia="Arial" w:hAnsi="Arial"/>
          <w:sz w:val="11"/>
          <w:szCs w:val="11"/>
          <w:color w:val="auto"/>
        </w:rPr>
        <w:t>Includes 162 thousand million standard cubic feet consumed in operations.</w:t>
      </w:r>
    </w:p>
    <w:p>
      <w:pPr>
        <w:ind w:left="180" w:hanging="172"/>
        <w:spacing w:after="0"/>
        <w:tabs>
          <w:tab w:leader="none" w:pos="180" w:val="left"/>
        </w:tabs>
        <w:numPr>
          <w:ilvl w:val="0"/>
          <w:numId w:val="152"/>
        </w:numPr>
        <w:rPr>
          <w:rFonts w:ascii="Arial" w:cs="Arial" w:eastAsia="Arial" w:hAnsi="Arial"/>
          <w:sz w:val="11"/>
          <w:szCs w:val="11"/>
          <w:color w:val="auto"/>
        </w:rPr>
      </w:pPr>
      <w:r>
        <w:rPr>
          <w:rFonts w:ascii="Arial" w:cs="Arial" w:eastAsia="Arial" w:hAnsi="Arial"/>
          <w:sz w:val="11"/>
          <w:szCs w:val="11"/>
          <w:color w:val="auto"/>
        </w:rPr>
        <w:t>Includes 58 thousand million standard cubic feet consumed in operations.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4200" w:type="dxa"/>
            <w:vAlign w:val="bottom"/>
            <w:shd w:val="clear" w:color="auto" w:fill="333333"/>
          </w:tcPr>
          <w:p>
            <w:pPr>
              <w:ind w:left="80"/>
              <w:spacing w:after="0"/>
              <w:rPr>
                <w:sz w:val="20"/>
                <w:szCs w:val="20"/>
                <w:color w:val="auto"/>
              </w:rPr>
            </w:pPr>
            <w:r>
              <w:rPr>
                <w:rFonts w:ascii="Arial" w:cs="Arial" w:eastAsia="Arial" w:hAnsi="Arial"/>
                <w:sz w:val="15"/>
                <w:szCs w:val="15"/>
                <w:b w:val="1"/>
                <w:bCs w:val="1"/>
                <w:color w:val="FFFFFF"/>
              </w:rPr>
              <w:t>PROVED DEVELOPED RESERVES 2014</w:t>
            </w:r>
          </w:p>
        </w:tc>
        <w:tc>
          <w:tcPr>
            <w:tcW w:w="1820" w:type="dxa"/>
            <w:vAlign w:val="bottom"/>
            <w:shd w:val="clear" w:color="auto" w:fill="333333"/>
          </w:tcPr>
          <w:p>
            <w:pPr>
              <w:spacing w:after="0"/>
              <w:rPr>
                <w:sz w:val="15"/>
                <w:szCs w:val="15"/>
                <w:color w:val="auto"/>
              </w:rPr>
            </w:pPr>
          </w:p>
        </w:tc>
        <w:tc>
          <w:tcPr>
            <w:tcW w:w="780" w:type="dxa"/>
            <w:vAlign w:val="bottom"/>
            <w:shd w:val="clear" w:color="auto" w:fill="333333"/>
          </w:tcPr>
          <w:p>
            <w:pPr>
              <w:spacing w:after="0"/>
              <w:rPr>
                <w:sz w:val="15"/>
                <w:szCs w:val="15"/>
                <w:color w:val="auto"/>
              </w:rPr>
            </w:pPr>
          </w:p>
        </w:tc>
        <w:tc>
          <w:tcPr>
            <w:tcW w:w="840" w:type="dxa"/>
            <w:vAlign w:val="bottom"/>
            <w:shd w:val="clear" w:color="auto" w:fill="333333"/>
          </w:tcPr>
          <w:p>
            <w:pPr>
              <w:spacing w:after="0"/>
              <w:rPr>
                <w:sz w:val="15"/>
                <w:szCs w:val="15"/>
                <w:color w:val="auto"/>
              </w:rPr>
            </w:pPr>
          </w:p>
        </w:tc>
        <w:tc>
          <w:tcPr>
            <w:tcW w:w="3780" w:type="dxa"/>
            <w:vAlign w:val="bottom"/>
            <w:gridSpan w:val="6"/>
            <w:shd w:val="clear" w:color="auto" w:fill="333333"/>
          </w:tcPr>
          <w:p>
            <w:pPr>
              <w:jc w:val="right"/>
              <w:ind w:right="30"/>
              <w:spacing w:after="0"/>
              <w:rPr>
                <w:sz w:val="20"/>
                <w:szCs w:val="20"/>
                <w:color w:val="auto"/>
              </w:rPr>
            </w:pPr>
            <w:r>
              <w:rPr>
                <w:rFonts w:ascii="Arial" w:cs="Arial" w:eastAsia="Arial" w:hAnsi="Arial"/>
                <w:sz w:val="15"/>
                <w:szCs w:val="15"/>
                <w:color w:val="FFFFFF"/>
              </w:rPr>
              <w:t>THOUSAND MILLION STANDARD CUBIC FEET</w:t>
            </w:r>
          </w:p>
        </w:tc>
      </w:tr>
      <w:tr>
        <w:trPr>
          <w:trHeight w:val="129"/>
        </w:trPr>
        <w:tc>
          <w:tcPr>
            <w:tcW w:w="420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jc w:val="right"/>
              <w:ind w:right="11"/>
              <w:spacing w:after="0" w:line="129" w:lineRule="exact"/>
              <w:rPr>
                <w:sz w:val="20"/>
                <w:szCs w:val="20"/>
                <w:color w:val="auto"/>
              </w:rPr>
            </w:pPr>
            <w:r>
              <w:rPr>
                <w:rFonts w:ascii="Arial" w:cs="Arial" w:eastAsia="Arial" w:hAnsi="Arial"/>
                <w:sz w:val="13"/>
                <w:szCs w:val="13"/>
                <w:color w:val="auto"/>
                <w:w w:val="93"/>
              </w:rPr>
              <w:t>North America</w:t>
            </w:r>
          </w:p>
        </w:tc>
        <w:tc>
          <w:tcPr>
            <w:tcW w:w="820" w:type="dxa"/>
            <w:vAlign w:val="bottom"/>
            <w:gridSpan w:val="2"/>
          </w:tcPr>
          <w:p>
            <w:pPr>
              <w:jc w:val="right"/>
              <w:ind w:right="80"/>
              <w:spacing w:after="0" w:line="129" w:lineRule="exact"/>
              <w:rPr>
                <w:sz w:val="20"/>
                <w:szCs w:val="20"/>
                <w:color w:val="auto"/>
              </w:rPr>
            </w:pPr>
            <w:r>
              <w:rPr>
                <w:rFonts w:ascii="Arial" w:cs="Arial" w:eastAsia="Arial" w:hAnsi="Arial"/>
                <w:sz w:val="13"/>
                <w:szCs w:val="13"/>
                <w:color w:val="auto"/>
              </w:rPr>
              <w:t>South</w:t>
            </w:r>
          </w:p>
        </w:tc>
        <w:tc>
          <w:tcPr>
            <w:tcW w:w="820" w:type="dxa"/>
            <w:vAlign w:val="bottom"/>
          </w:tcPr>
          <w:p>
            <w:pPr>
              <w:spacing w:after="0"/>
              <w:rPr>
                <w:sz w:val="11"/>
                <w:szCs w:val="11"/>
                <w:color w:val="auto"/>
              </w:rPr>
            </w:pPr>
          </w:p>
        </w:tc>
      </w:tr>
      <w:tr>
        <w:trPr>
          <w:trHeight w:val="135"/>
        </w:trPr>
        <w:tc>
          <w:tcPr>
            <w:tcW w:w="4200" w:type="dxa"/>
            <w:vAlign w:val="bottom"/>
          </w:tcPr>
          <w:p>
            <w:pPr>
              <w:spacing w:after="0"/>
              <w:rPr>
                <w:sz w:val="11"/>
                <w:szCs w:val="11"/>
                <w:color w:val="auto"/>
              </w:rPr>
            </w:pPr>
          </w:p>
        </w:tc>
        <w:tc>
          <w:tcPr>
            <w:tcW w:w="1820" w:type="dxa"/>
            <w:vAlign w:val="bottom"/>
          </w:tcPr>
          <w:p>
            <w:pPr>
              <w:jc w:val="right"/>
              <w:ind w:right="110"/>
              <w:spacing w:after="0" w:line="135" w:lineRule="exact"/>
              <w:rPr>
                <w:sz w:val="20"/>
                <w:szCs w:val="20"/>
                <w:color w:val="auto"/>
              </w:rPr>
            </w:pPr>
            <w:r>
              <w:rPr>
                <w:rFonts w:ascii="Arial" w:cs="Arial" w:eastAsia="Arial" w:hAnsi="Arial"/>
                <w:sz w:val="13"/>
                <w:szCs w:val="13"/>
                <w:color w:val="auto"/>
              </w:rPr>
              <w:t>Europe</w:t>
            </w:r>
          </w:p>
        </w:tc>
        <w:tc>
          <w:tcPr>
            <w:tcW w:w="780" w:type="dxa"/>
            <w:vAlign w:val="bottom"/>
          </w:tcPr>
          <w:p>
            <w:pPr>
              <w:jc w:val="right"/>
              <w:ind w:right="150"/>
              <w:spacing w:after="0" w:line="135" w:lineRule="exact"/>
              <w:rPr>
                <w:sz w:val="20"/>
                <w:szCs w:val="20"/>
                <w:color w:val="auto"/>
              </w:rPr>
            </w:pPr>
            <w:r>
              <w:rPr>
                <w:rFonts w:ascii="Arial" w:cs="Arial" w:eastAsia="Arial" w:hAnsi="Arial"/>
                <w:sz w:val="13"/>
                <w:szCs w:val="13"/>
                <w:color w:val="auto"/>
              </w:rPr>
              <w:t>Asia</w:t>
            </w:r>
          </w:p>
        </w:tc>
        <w:tc>
          <w:tcPr>
            <w:tcW w:w="840" w:type="dxa"/>
            <w:vAlign w:val="bottom"/>
          </w:tcPr>
          <w:p>
            <w:pPr>
              <w:jc w:val="right"/>
              <w:ind w:right="70"/>
              <w:spacing w:after="0" w:line="135" w:lineRule="exact"/>
              <w:rPr>
                <w:sz w:val="20"/>
                <w:szCs w:val="20"/>
                <w:color w:val="auto"/>
              </w:rPr>
            </w:pPr>
            <w:r>
              <w:rPr>
                <w:rFonts w:ascii="Arial" w:cs="Arial" w:eastAsia="Arial" w:hAnsi="Arial"/>
                <w:sz w:val="13"/>
                <w:szCs w:val="13"/>
                <w:color w:val="auto"/>
              </w:rPr>
              <w:t>Oceania</w:t>
            </w:r>
          </w:p>
        </w:tc>
        <w:tc>
          <w:tcPr>
            <w:tcW w:w="600" w:type="dxa"/>
            <w:vAlign w:val="bottom"/>
          </w:tcPr>
          <w:p>
            <w:pPr>
              <w:jc w:val="right"/>
              <w:ind w:right="49"/>
              <w:spacing w:after="0" w:line="135" w:lineRule="exact"/>
              <w:rPr>
                <w:sz w:val="20"/>
                <w:szCs w:val="20"/>
                <w:color w:val="auto"/>
              </w:rPr>
            </w:pPr>
            <w:r>
              <w:rPr>
                <w:rFonts w:ascii="Arial" w:cs="Arial" w:eastAsia="Arial" w:hAnsi="Arial"/>
                <w:sz w:val="13"/>
                <w:szCs w:val="13"/>
                <w:color w:val="auto"/>
              </w:rPr>
              <w:t>Africa</w:t>
            </w:r>
          </w:p>
        </w:tc>
        <w:tc>
          <w:tcPr>
            <w:tcW w:w="660" w:type="dxa"/>
            <w:vAlign w:val="bottom"/>
          </w:tcPr>
          <w:p>
            <w:pPr>
              <w:jc w:val="right"/>
              <w:spacing w:after="0" w:line="135" w:lineRule="exact"/>
              <w:rPr>
                <w:sz w:val="20"/>
                <w:szCs w:val="20"/>
                <w:color w:val="auto"/>
              </w:rPr>
            </w:pPr>
            <w:r>
              <w:rPr>
                <w:rFonts w:ascii="Arial" w:cs="Arial" w:eastAsia="Arial" w:hAnsi="Arial"/>
                <w:sz w:val="13"/>
                <w:szCs w:val="13"/>
                <w:color w:val="auto"/>
              </w:rPr>
              <w:t>USA</w:t>
            </w:r>
          </w:p>
        </w:tc>
        <w:tc>
          <w:tcPr>
            <w:tcW w:w="880" w:type="dxa"/>
            <w:vAlign w:val="bottom"/>
          </w:tcPr>
          <w:p>
            <w:pPr>
              <w:jc w:val="right"/>
              <w:ind w:right="11"/>
              <w:spacing w:after="0" w:line="135" w:lineRule="exact"/>
              <w:rPr>
                <w:sz w:val="20"/>
                <w:szCs w:val="20"/>
                <w:color w:val="auto"/>
              </w:rPr>
            </w:pPr>
            <w:r>
              <w:rPr>
                <w:rFonts w:ascii="Arial" w:cs="Arial" w:eastAsia="Arial" w:hAnsi="Arial"/>
                <w:sz w:val="13"/>
                <w:szCs w:val="13"/>
                <w:color w:val="auto"/>
              </w:rPr>
              <w:t>Canada</w:t>
            </w:r>
          </w:p>
        </w:tc>
        <w:tc>
          <w:tcPr>
            <w:tcW w:w="820" w:type="dxa"/>
            <w:vAlign w:val="bottom"/>
            <w:gridSpan w:val="2"/>
          </w:tcPr>
          <w:p>
            <w:pPr>
              <w:jc w:val="right"/>
              <w:ind w:right="80"/>
              <w:spacing w:after="0" w:line="132" w:lineRule="exact"/>
              <w:rPr>
                <w:sz w:val="20"/>
                <w:szCs w:val="20"/>
                <w:color w:val="auto"/>
              </w:rPr>
            </w:pPr>
            <w:r>
              <w:rPr>
                <w:rFonts w:ascii="Arial" w:cs="Arial" w:eastAsia="Arial" w:hAnsi="Arial"/>
                <w:sz w:val="13"/>
                <w:szCs w:val="13"/>
                <w:color w:val="auto"/>
              </w:rPr>
              <w:t>America</w:t>
            </w:r>
          </w:p>
        </w:tc>
        <w:tc>
          <w:tcPr>
            <w:tcW w:w="820" w:type="dxa"/>
            <w:vAlign w:val="bottom"/>
          </w:tcPr>
          <w:p>
            <w:pPr>
              <w:jc w:val="right"/>
              <w:ind w:right="30"/>
              <w:spacing w:after="0" w:line="135" w:lineRule="exact"/>
              <w:rPr>
                <w:sz w:val="20"/>
                <w:szCs w:val="20"/>
                <w:color w:val="auto"/>
              </w:rPr>
            </w:pPr>
            <w:r>
              <w:rPr>
                <w:rFonts w:ascii="Arial" w:cs="Arial" w:eastAsia="Arial" w:hAnsi="Arial"/>
                <w:sz w:val="13"/>
                <w:szCs w:val="13"/>
                <w:color w:val="auto"/>
              </w:rPr>
              <w:t>Total</w:t>
            </w:r>
          </w:p>
        </w:tc>
      </w:tr>
      <w:tr>
        <w:trPr>
          <w:trHeight w:val="160"/>
        </w:trPr>
        <w:tc>
          <w:tcPr>
            <w:tcW w:w="4200" w:type="dxa"/>
            <w:vAlign w:val="bottom"/>
            <w:tcBorders>
              <w:top w:val="single" w:sz="8" w:color="auto"/>
            </w:tcBorders>
          </w:tcPr>
          <w:p>
            <w:pPr>
              <w:spacing w:after="0"/>
              <w:rPr>
                <w:sz w:val="20"/>
                <w:szCs w:val="20"/>
                <w:color w:val="auto"/>
              </w:rPr>
            </w:pPr>
            <w:r>
              <w:rPr>
                <w:rFonts w:ascii="Arial" w:cs="Arial" w:eastAsia="Arial" w:hAnsi="Arial"/>
                <w:sz w:val="14"/>
                <w:szCs w:val="14"/>
                <w:color w:val="auto"/>
              </w:rPr>
              <w:t>Shell subsidiaries</w:t>
            </w:r>
          </w:p>
        </w:tc>
        <w:tc>
          <w:tcPr>
            <w:tcW w:w="182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spacing w:after="0"/>
              <w:rPr>
                <w:sz w:val="13"/>
                <w:szCs w:val="13"/>
                <w:color w:val="auto"/>
              </w:rPr>
            </w:pPr>
          </w:p>
        </w:tc>
        <w:tc>
          <w:tcPr>
            <w:tcW w:w="60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tcBorders>
              <w:top w:val="single" w:sz="8" w:color="auto"/>
            </w:tcBorders>
          </w:tcPr>
          <w:p>
            <w:pPr>
              <w:spacing w:after="0"/>
              <w:rPr>
                <w:sz w:val="13"/>
                <w:szCs w:val="13"/>
                <w:color w:val="auto"/>
              </w:rPr>
            </w:pPr>
          </w:p>
        </w:tc>
      </w:tr>
      <w:tr>
        <w:trPr>
          <w:trHeight w:val="162"/>
        </w:trPr>
        <w:tc>
          <w:tcPr>
            <w:tcW w:w="4200" w:type="dxa"/>
            <w:vAlign w:val="bottom"/>
          </w:tcPr>
          <w:p>
            <w:pPr>
              <w:ind w:left="140"/>
              <w:spacing w:after="0"/>
              <w:rPr>
                <w:sz w:val="20"/>
                <w:szCs w:val="20"/>
                <w:color w:val="auto"/>
              </w:rPr>
            </w:pPr>
            <w:r>
              <w:rPr>
                <w:rFonts w:ascii="Arial" w:cs="Arial" w:eastAsia="Arial" w:hAnsi="Arial"/>
                <w:sz w:val="14"/>
                <w:szCs w:val="14"/>
                <w:color w:val="auto"/>
              </w:rPr>
              <w:t>At January 1</w:t>
            </w:r>
          </w:p>
        </w:tc>
        <w:tc>
          <w:tcPr>
            <w:tcW w:w="1820" w:type="dxa"/>
            <w:vAlign w:val="bottom"/>
          </w:tcPr>
          <w:p>
            <w:pPr>
              <w:jc w:val="right"/>
              <w:ind w:right="110"/>
              <w:spacing w:after="0"/>
              <w:rPr>
                <w:sz w:val="20"/>
                <w:szCs w:val="20"/>
                <w:color w:val="auto"/>
              </w:rPr>
            </w:pPr>
            <w:r>
              <w:rPr>
                <w:rFonts w:ascii="Arial" w:cs="Arial" w:eastAsia="Arial" w:hAnsi="Arial"/>
                <w:sz w:val="14"/>
                <w:szCs w:val="14"/>
                <w:color w:val="auto"/>
              </w:rPr>
              <w:t>3,942</w:t>
            </w:r>
          </w:p>
        </w:tc>
        <w:tc>
          <w:tcPr>
            <w:tcW w:w="780" w:type="dxa"/>
            <w:vAlign w:val="bottom"/>
          </w:tcPr>
          <w:p>
            <w:pPr>
              <w:jc w:val="right"/>
              <w:ind w:right="150"/>
              <w:spacing w:after="0"/>
              <w:rPr>
                <w:sz w:val="20"/>
                <w:szCs w:val="20"/>
                <w:color w:val="auto"/>
              </w:rPr>
            </w:pPr>
            <w:r>
              <w:rPr>
                <w:rFonts w:ascii="Arial" w:cs="Arial" w:eastAsia="Arial" w:hAnsi="Arial"/>
                <w:sz w:val="14"/>
                <w:szCs w:val="14"/>
                <w:color w:val="auto"/>
              </w:rPr>
              <w:t>9,132</w:t>
            </w:r>
          </w:p>
        </w:tc>
        <w:tc>
          <w:tcPr>
            <w:tcW w:w="840" w:type="dxa"/>
            <w:vAlign w:val="bottom"/>
          </w:tcPr>
          <w:p>
            <w:pPr>
              <w:jc w:val="right"/>
              <w:ind w:right="70"/>
              <w:spacing w:after="0"/>
              <w:rPr>
                <w:sz w:val="20"/>
                <w:szCs w:val="20"/>
                <w:color w:val="auto"/>
              </w:rPr>
            </w:pPr>
            <w:r>
              <w:rPr>
                <w:rFonts w:ascii="Arial" w:cs="Arial" w:eastAsia="Arial" w:hAnsi="Arial"/>
                <w:sz w:val="14"/>
                <w:szCs w:val="14"/>
                <w:color w:val="auto"/>
              </w:rPr>
              <w:t>1,621</w:t>
            </w:r>
          </w:p>
        </w:tc>
        <w:tc>
          <w:tcPr>
            <w:tcW w:w="600" w:type="dxa"/>
            <w:vAlign w:val="bottom"/>
          </w:tcPr>
          <w:p>
            <w:pPr>
              <w:jc w:val="right"/>
              <w:ind w:right="49"/>
              <w:spacing w:after="0"/>
              <w:rPr>
                <w:sz w:val="20"/>
                <w:szCs w:val="20"/>
                <w:color w:val="auto"/>
              </w:rPr>
            </w:pPr>
            <w:r>
              <w:rPr>
                <w:rFonts w:ascii="Arial" w:cs="Arial" w:eastAsia="Arial" w:hAnsi="Arial"/>
                <w:sz w:val="14"/>
                <w:szCs w:val="14"/>
                <w:color w:val="auto"/>
              </w:rPr>
              <w:t>946</w:t>
            </w:r>
          </w:p>
        </w:tc>
        <w:tc>
          <w:tcPr>
            <w:tcW w:w="660" w:type="dxa"/>
            <w:vAlign w:val="bottom"/>
          </w:tcPr>
          <w:p>
            <w:pPr>
              <w:jc w:val="right"/>
              <w:spacing w:after="0"/>
              <w:rPr>
                <w:sz w:val="20"/>
                <w:szCs w:val="20"/>
                <w:color w:val="auto"/>
              </w:rPr>
            </w:pPr>
            <w:r>
              <w:rPr>
                <w:rFonts w:ascii="Arial" w:cs="Arial" w:eastAsia="Arial" w:hAnsi="Arial"/>
                <w:sz w:val="14"/>
                <w:szCs w:val="14"/>
                <w:color w:val="auto"/>
              </w:rPr>
              <w:t>1,492</w:t>
            </w:r>
          </w:p>
        </w:tc>
        <w:tc>
          <w:tcPr>
            <w:tcW w:w="880" w:type="dxa"/>
            <w:vAlign w:val="bottom"/>
          </w:tcPr>
          <w:p>
            <w:pPr>
              <w:jc w:val="right"/>
              <w:ind w:right="11"/>
              <w:spacing w:after="0"/>
              <w:rPr>
                <w:sz w:val="20"/>
                <w:szCs w:val="20"/>
                <w:color w:val="auto"/>
              </w:rPr>
            </w:pPr>
            <w:r>
              <w:rPr>
                <w:rFonts w:ascii="Arial" w:cs="Arial" w:eastAsia="Arial" w:hAnsi="Arial"/>
                <w:sz w:val="14"/>
                <w:szCs w:val="14"/>
                <w:color w:val="auto"/>
              </w:rPr>
              <w:t>908</w:t>
            </w:r>
          </w:p>
        </w:tc>
        <w:tc>
          <w:tcPr>
            <w:tcW w:w="820" w:type="dxa"/>
            <w:vAlign w:val="bottom"/>
            <w:gridSpan w:val="2"/>
          </w:tcPr>
          <w:p>
            <w:pPr>
              <w:jc w:val="right"/>
              <w:ind w:right="80"/>
              <w:spacing w:after="0"/>
              <w:rPr>
                <w:sz w:val="20"/>
                <w:szCs w:val="20"/>
                <w:color w:val="auto"/>
              </w:rPr>
            </w:pPr>
            <w:r>
              <w:rPr>
                <w:rFonts w:ascii="Arial" w:cs="Arial" w:eastAsia="Arial" w:hAnsi="Arial"/>
                <w:sz w:val="14"/>
                <w:szCs w:val="14"/>
                <w:color w:val="auto"/>
              </w:rPr>
              <w:t>48</w:t>
            </w:r>
          </w:p>
        </w:tc>
        <w:tc>
          <w:tcPr>
            <w:tcW w:w="820" w:type="dxa"/>
            <w:vAlign w:val="bottom"/>
          </w:tcPr>
          <w:p>
            <w:pPr>
              <w:jc w:val="right"/>
              <w:ind w:right="30"/>
              <w:spacing w:after="0"/>
              <w:rPr>
                <w:sz w:val="20"/>
                <w:szCs w:val="20"/>
                <w:color w:val="auto"/>
              </w:rPr>
            </w:pPr>
            <w:r>
              <w:rPr>
                <w:rFonts w:ascii="Arial" w:cs="Arial" w:eastAsia="Arial" w:hAnsi="Arial"/>
                <w:sz w:val="14"/>
                <w:szCs w:val="14"/>
                <w:color w:val="auto"/>
              </w:rPr>
              <w:t>18,089</w:t>
            </w:r>
          </w:p>
        </w:tc>
      </w:tr>
      <w:tr>
        <w:trPr>
          <w:trHeight w:val="157"/>
        </w:trPr>
        <w:tc>
          <w:tcPr>
            <w:tcW w:w="4200" w:type="dxa"/>
            <w:vAlign w:val="bottom"/>
            <w:tcBorders>
              <w:bottom w:val="single" w:sz="8" w:color="auto"/>
            </w:tcBorders>
          </w:tcPr>
          <w:p>
            <w:pPr>
              <w:ind w:left="140"/>
              <w:spacing w:after="0" w:line="157" w:lineRule="exact"/>
              <w:rPr>
                <w:sz w:val="20"/>
                <w:szCs w:val="20"/>
                <w:color w:val="auto"/>
              </w:rPr>
            </w:pPr>
            <w:r>
              <w:rPr>
                <w:rFonts w:ascii="Arial" w:cs="Arial" w:eastAsia="Arial" w:hAnsi="Arial"/>
                <w:sz w:val="14"/>
                <w:szCs w:val="14"/>
                <w:color w:val="auto"/>
              </w:rPr>
              <w:t>At December 31</w:t>
            </w:r>
          </w:p>
        </w:tc>
        <w:tc>
          <w:tcPr>
            <w:tcW w:w="1820" w:type="dxa"/>
            <w:vAlign w:val="bottom"/>
            <w:tcBorders>
              <w:bottom w:val="single" w:sz="8" w:color="auto"/>
            </w:tcBorders>
          </w:tcPr>
          <w:p>
            <w:pPr>
              <w:jc w:val="right"/>
              <w:ind w:right="110"/>
              <w:spacing w:after="0" w:line="157" w:lineRule="exact"/>
              <w:rPr>
                <w:sz w:val="20"/>
                <w:szCs w:val="20"/>
                <w:color w:val="auto"/>
              </w:rPr>
            </w:pPr>
            <w:r>
              <w:rPr>
                <w:rFonts w:ascii="Arial" w:cs="Arial" w:eastAsia="Arial" w:hAnsi="Arial"/>
                <w:sz w:val="14"/>
                <w:szCs w:val="14"/>
                <w:color w:val="auto"/>
              </w:rPr>
              <w:t>3,774</w:t>
            </w:r>
          </w:p>
        </w:tc>
        <w:tc>
          <w:tcPr>
            <w:tcW w:w="780" w:type="dxa"/>
            <w:vAlign w:val="bottom"/>
            <w:tcBorders>
              <w:bottom w:val="single" w:sz="8" w:color="auto"/>
            </w:tcBorders>
          </w:tcPr>
          <w:p>
            <w:pPr>
              <w:jc w:val="right"/>
              <w:ind w:right="150"/>
              <w:spacing w:after="0" w:line="157" w:lineRule="exact"/>
              <w:rPr>
                <w:sz w:val="20"/>
                <w:szCs w:val="20"/>
                <w:color w:val="auto"/>
              </w:rPr>
            </w:pPr>
            <w:r>
              <w:rPr>
                <w:rFonts w:ascii="Arial" w:cs="Arial" w:eastAsia="Arial" w:hAnsi="Arial"/>
                <w:sz w:val="14"/>
                <w:szCs w:val="14"/>
                <w:color w:val="auto"/>
              </w:rPr>
              <w:t>9,114</w:t>
            </w:r>
          </w:p>
        </w:tc>
        <w:tc>
          <w:tcPr>
            <w:tcW w:w="840" w:type="dxa"/>
            <w:vAlign w:val="bottom"/>
            <w:tcBorders>
              <w:bottom w:val="single" w:sz="8" w:color="auto"/>
            </w:tcBorders>
          </w:tcPr>
          <w:p>
            <w:pPr>
              <w:jc w:val="right"/>
              <w:ind w:right="70"/>
              <w:spacing w:after="0" w:line="157" w:lineRule="exact"/>
              <w:rPr>
                <w:sz w:val="20"/>
                <w:szCs w:val="20"/>
                <w:color w:val="auto"/>
              </w:rPr>
            </w:pPr>
            <w:r>
              <w:rPr>
                <w:rFonts w:ascii="Arial" w:cs="Arial" w:eastAsia="Arial" w:hAnsi="Arial"/>
                <w:sz w:val="14"/>
                <w:szCs w:val="14"/>
                <w:color w:val="auto"/>
              </w:rPr>
              <w:t>1,398</w:t>
            </w:r>
          </w:p>
        </w:tc>
        <w:tc>
          <w:tcPr>
            <w:tcW w:w="600" w:type="dxa"/>
            <w:vAlign w:val="bottom"/>
            <w:tcBorders>
              <w:bottom w:val="single" w:sz="8" w:color="auto"/>
            </w:tcBorders>
          </w:tcPr>
          <w:p>
            <w:pPr>
              <w:jc w:val="right"/>
              <w:ind w:right="49"/>
              <w:spacing w:after="0" w:line="157" w:lineRule="exact"/>
              <w:rPr>
                <w:sz w:val="20"/>
                <w:szCs w:val="20"/>
                <w:color w:val="auto"/>
              </w:rPr>
            </w:pPr>
            <w:r>
              <w:rPr>
                <w:rFonts w:ascii="Arial" w:cs="Arial" w:eastAsia="Arial" w:hAnsi="Arial"/>
                <w:sz w:val="14"/>
                <w:szCs w:val="14"/>
                <w:color w:val="auto"/>
              </w:rPr>
              <w:t>1,162</w:t>
            </w:r>
          </w:p>
        </w:tc>
        <w:tc>
          <w:tcPr>
            <w:tcW w:w="660" w:type="dxa"/>
            <w:vAlign w:val="bottom"/>
            <w:tcBorders>
              <w:bottom w:val="single" w:sz="8" w:color="auto"/>
            </w:tcBorders>
          </w:tcPr>
          <w:p>
            <w:pPr>
              <w:jc w:val="right"/>
              <w:spacing w:after="0" w:line="157" w:lineRule="exact"/>
              <w:rPr>
                <w:sz w:val="20"/>
                <w:szCs w:val="20"/>
                <w:color w:val="auto"/>
              </w:rPr>
            </w:pPr>
            <w:r>
              <w:rPr>
                <w:rFonts w:ascii="Arial" w:cs="Arial" w:eastAsia="Arial" w:hAnsi="Arial"/>
                <w:sz w:val="14"/>
                <w:szCs w:val="14"/>
                <w:color w:val="auto"/>
              </w:rPr>
              <w:t>1,275</w:t>
            </w:r>
          </w:p>
        </w:tc>
        <w:tc>
          <w:tcPr>
            <w:tcW w:w="880" w:type="dxa"/>
            <w:vAlign w:val="bottom"/>
            <w:tcBorders>
              <w:bottom w:val="single" w:sz="8" w:color="auto"/>
            </w:tcBorders>
          </w:tcPr>
          <w:p>
            <w:pPr>
              <w:jc w:val="right"/>
              <w:ind w:right="11"/>
              <w:spacing w:after="0" w:line="157" w:lineRule="exact"/>
              <w:rPr>
                <w:sz w:val="20"/>
                <w:szCs w:val="20"/>
                <w:color w:val="auto"/>
              </w:rPr>
            </w:pPr>
            <w:r>
              <w:rPr>
                <w:rFonts w:ascii="Arial" w:cs="Arial" w:eastAsia="Arial" w:hAnsi="Arial"/>
                <w:sz w:val="14"/>
                <w:szCs w:val="14"/>
                <w:color w:val="auto"/>
              </w:rPr>
              <w:t>939</w:t>
            </w:r>
          </w:p>
        </w:tc>
        <w:tc>
          <w:tcPr>
            <w:tcW w:w="820" w:type="dxa"/>
            <w:vAlign w:val="bottom"/>
            <w:tcBorders>
              <w:bottom w:val="single" w:sz="8" w:color="auto"/>
            </w:tcBorders>
            <w:gridSpan w:val="2"/>
          </w:tcPr>
          <w:p>
            <w:pPr>
              <w:jc w:val="right"/>
              <w:ind w:right="80"/>
              <w:spacing w:after="0" w:line="157" w:lineRule="exact"/>
              <w:rPr>
                <w:sz w:val="20"/>
                <w:szCs w:val="20"/>
                <w:color w:val="auto"/>
              </w:rPr>
            </w:pPr>
            <w:r>
              <w:rPr>
                <w:rFonts w:ascii="Arial" w:cs="Arial" w:eastAsia="Arial" w:hAnsi="Arial"/>
                <w:sz w:val="14"/>
                <w:szCs w:val="14"/>
                <w:color w:val="auto"/>
              </w:rPr>
              <w:t>42</w:t>
            </w:r>
          </w:p>
        </w:tc>
        <w:tc>
          <w:tcPr>
            <w:tcW w:w="820" w:type="dxa"/>
            <w:vAlign w:val="bottom"/>
            <w:tcBorders>
              <w:bottom w:val="single" w:sz="8" w:color="auto"/>
            </w:tcBorders>
          </w:tcPr>
          <w:p>
            <w:pPr>
              <w:jc w:val="right"/>
              <w:ind w:right="30"/>
              <w:spacing w:after="0" w:line="157" w:lineRule="exact"/>
              <w:rPr>
                <w:sz w:val="20"/>
                <w:szCs w:val="20"/>
                <w:color w:val="auto"/>
              </w:rPr>
            </w:pPr>
            <w:r>
              <w:rPr>
                <w:rFonts w:ascii="Arial" w:cs="Arial" w:eastAsia="Arial" w:hAnsi="Arial"/>
                <w:sz w:val="14"/>
                <w:szCs w:val="14"/>
                <w:color w:val="auto"/>
              </w:rPr>
              <w:t>17,704</w:t>
            </w:r>
          </w:p>
        </w:tc>
      </w:tr>
      <w:tr>
        <w:trPr>
          <w:trHeight w:val="160"/>
        </w:trPr>
        <w:tc>
          <w:tcPr>
            <w:tcW w:w="4200" w:type="dxa"/>
            <w:vAlign w:val="bottom"/>
          </w:tcPr>
          <w:p>
            <w:pPr>
              <w:spacing w:after="0"/>
              <w:rPr>
                <w:sz w:val="20"/>
                <w:szCs w:val="20"/>
                <w:color w:val="auto"/>
              </w:rPr>
            </w:pPr>
            <w:r>
              <w:rPr>
                <w:rFonts w:ascii="Arial" w:cs="Arial" w:eastAsia="Arial" w:hAnsi="Arial"/>
                <w:sz w:val="14"/>
                <w:szCs w:val="14"/>
                <w:color w:val="auto"/>
              </w:rPr>
              <w:t>Shell share of joint ventures and associates</w:t>
            </w:r>
          </w:p>
        </w:tc>
        <w:tc>
          <w:tcPr>
            <w:tcW w:w="18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tcPr>
          <w:p>
            <w:pPr>
              <w:spacing w:after="0"/>
              <w:rPr>
                <w:sz w:val="13"/>
                <w:szCs w:val="13"/>
                <w:color w:val="auto"/>
              </w:rPr>
            </w:pPr>
          </w:p>
        </w:tc>
      </w:tr>
      <w:tr>
        <w:trPr>
          <w:trHeight w:val="162"/>
        </w:trPr>
        <w:tc>
          <w:tcPr>
            <w:tcW w:w="4200" w:type="dxa"/>
            <w:vAlign w:val="bottom"/>
          </w:tcPr>
          <w:p>
            <w:pPr>
              <w:ind w:left="140"/>
              <w:spacing w:after="0"/>
              <w:rPr>
                <w:sz w:val="20"/>
                <w:szCs w:val="20"/>
                <w:color w:val="auto"/>
              </w:rPr>
            </w:pPr>
            <w:r>
              <w:rPr>
                <w:rFonts w:ascii="Arial" w:cs="Arial" w:eastAsia="Arial" w:hAnsi="Arial"/>
                <w:sz w:val="14"/>
                <w:szCs w:val="14"/>
                <w:color w:val="auto"/>
              </w:rPr>
              <w:t>At January 1</w:t>
            </w:r>
          </w:p>
        </w:tc>
        <w:tc>
          <w:tcPr>
            <w:tcW w:w="1820" w:type="dxa"/>
            <w:vAlign w:val="bottom"/>
          </w:tcPr>
          <w:p>
            <w:pPr>
              <w:jc w:val="right"/>
              <w:ind w:right="110"/>
              <w:spacing w:after="0"/>
              <w:rPr>
                <w:sz w:val="20"/>
                <w:szCs w:val="20"/>
                <w:color w:val="auto"/>
              </w:rPr>
            </w:pPr>
            <w:r>
              <w:rPr>
                <w:rFonts w:ascii="Arial" w:cs="Arial" w:eastAsia="Arial" w:hAnsi="Arial"/>
                <w:sz w:val="14"/>
                <w:szCs w:val="14"/>
                <w:color w:val="auto"/>
              </w:rPr>
              <w:t>6,856</w:t>
            </w:r>
          </w:p>
        </w:tc>
        <w:tc>
          <w:tcPr>
            <w:tcW w:w="780" w:type="dxa"/>
            <w:vAlign w:val="bottom"/>
          </w:tcPr>
          <w:p>
            <w:pPr>
              <w:jc w:val="right"/>
              <w:ind w:right="150"/>
              <w:spacing w:after="0"/>
              <w:rPr>
                <w:sz w:val="20"/>
                <w:szCs w:val="20"/>
                <w:color w:val="auto"/>
              </w:rPr>
            </w:pPr>
            <w:r>
              <w:rPr>
                <w:rFonts w:ascii="Arial" w:cs="Arial" w:eastAsia="Arial" w:hAnsi="Arial"/>
                <w:sz w:val="14"/>
                <w:szCs w:val="14"/>
                <w:color w:val="auto"/>
              </w:rPr>
              <w:t>4,894</w:t>
            </w:r>
          </w:p>
        </w:tc>
        <w:tc>
          <w:tcPr>
            <w:tcW w:w="840" w:type="dxa"/>
            <w:vAlign w:val="bottom"/>
          </w:tcPr>
          <w:p>
            <w:pPr>
              <w:jc w:val="right"/>
              <w:ind w:right="70"/>
              <w:spacing w:after="0"/>
              <w:rPr>
                <w:sz w:val="20"/>
                <w:szCs w:val="20"/>
                <w:color w:val="auto"/>
              </w:rPr>
            </w:pPr>
            <w:r>
              <w:rPr>
                <w:rFonts w:ascii="Arial" w:cs="Arial" w:eastAsia="Arial" w:hAnsi="Arial"/>
                <w:sz w:val="14"/>
                <w:szCs w:val="14"/>
                <w:color w:val="auto"/>
              </w:rPr>
              <w:t>806</w:t>
            </w:r>
          </w:p>
        </w:tc>
        <w:tc>
          <w:tcPr>
            <w:tcW w:w="60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11"/>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4</w:t>
            </w:r>
          </w:p>
        </w:tc>
        <w:tc>
          <w:tcPr>
            <w:tcW w:w="80" w:type="dxa"/>
            <w:vAlign w:val="bottom"/>
          </w:tcPr>
          <w:p>
            <w:pPr>
              <w:spacing w:after="0"/>
              <w:rPr>
                <w:sz w:val="14"/>
                <w:szCs w:val="14"/>
                <w:color w:val="auto"/>
              </w:rPr>
            </w:pPr>
          </w:p>
        </w:tc>
        <w:tc>
          <w:tcPr>
            <w:tcW w:w="820" w:type="dxa"/>
            <w:vAlign w:val="bottom"/>
          </w:tcPr>
          <w:p>
            <w:pPr>
              <w:jc w:val="right"/>
              <w:ind w:right="30"/>
              <w:spacing w:after="0"/>
              <w:rPr>
                <w:sz w:val="20"/>
                <w:szCs w:val="20"/>
                <w:color w:val="auto"/>
              </w:rPr>
            </w:pPr>
            <w:r>
              <w:rPr>
                <w:rFonts w:ascii="Arial" w:cs="Arial" w:eastAsia="Arial" w:hAnsi="Arial"/>
                <w:sz w:val="14"/>
                <w:szCs w:val="14"/>
                <w:color w:val="auto"/>
              </w:rPr>
              <w:t>12,560</w:t>
            </w:r>
          </w:p>
        </w:tc>
      </w:tr>
      <w:tr>
        <w:trPr>
          <w:trHeight w:val="157"/>
        </w:trPr>
        <w:tc>
          <w:tcPr>
            <w:tcW w:w="4200" w:type="dxa"/>
            <w:vAlign w:val="bottom"/>
            <w:tcBorders>
              <w:bottom w:val="single" w:sz="8" w:color="auto"/>
            </w:tcBorders>
          </w:tcPr>
          <w:p>
            <w:pPr>
              <w:ind w:left="140"/>
              <w:spacing w:after="0" w:line="157" w:lineRule="exact"/>
              <w:rPr>
                <w:sz w:val="20"/>
                <w:szCs w:val="20"/>
                <w:color w:val="auto"/>
              </w:rPr>
            </w:pPr>
            <w:r>
              <w:rPr>
                <w:rFonts w:ascii="Arial" w:cs="Arial" w:eastAsia="Arial" w:hAnsi="Arial"/>
                <w:sz w:val="14"/>
                <w:szCs w:val="14"/>
                <w:color w:val="auto"/>
              </w:rPr>
              <w:t>At December 31</w:t>
            </w:r>
          </w:p>
        </w:tc>
        <w:tc>
          <w:tcPr>
            <w:tcW w:w="1820" w:type="dxa"/>
            <w:vAlign w:val="bottom"/>
            <w:tcBorders>
              <w:bottom w:val="single" w:sz="8" w:color="auto"/>
            </w:tcBorders>
          </w:tcPr>
          <w:p>
            <w:pPr>
              <w:jc w:val="right"/>
              <w:ind w:right="110"/>
              <w:spacing w:after="0" w:line="157" w:lineRule="exact"/>
              <w:rPr>
                <w:sz w:val="20"/>
                <w:szCs w:val="20"/>
                <w:color w:val="auto"/>
              </w:rPr>
            </w:pPr>
            <w:r>
              <w:rPr>
                <w:rFonts w:ascii="Arial" w:cs="Arial" w:eastAsia="Arial" w:hAnsi="Arial"/>
                <w:sz w:val="14"/>
                <w:szCs w:val="14"/>
                <w:color w:val="auto"/>
              </w:rPr>
              <w:t>6,386</w:t>
            </w:r>
          </w:p>
        </w:tc>
        <w:tc>
          <w:tcPr>
            <w:tcW w:w="780" w:type="dxa"/>
            <w:vAlign w:val="bottom"/>
            <w:tcBorders>
              <w:bottom w:val="single" w:sz="8" w:color="auto"/>
            </w:tcBorders>
          </w:tcPr>
          <w:p>
            <w:pPr>
              <w:jc w:val="right"/>
              <w:ind w:right="150"/>
              <w:spacing w:after="0" w:line="157" w:lineRule="exact"/>
              <w:rPr>
                <w:sz w:val="20"/>
                <w:szCs w:val="20"/>
                <w:color w:val="auto"/>
              </w:rPr>
            </w:pPr>
            <w:r>
              <w:rPr>
                <w:rFonts w:ascii="Arial" w:cs="Arial" w:eastAsia="Arial" w:hAnsi="Arial"/>
                <w:sz w:val="14"/>
                <w:szCs w:val="14"/>
                <w:color w:val="auto"/>
              </w:rPr>
              <w:t>4,501</w:t>
            </w:r>
          </w:p>
        </w:tc>
        <w:tc>
          <w:tcPr>
            <w:tcW w:w="840" w:type="dxa"/>
            <w:vAlign w:val="bottom"/>
            <w:tcBorders>
              <w:bottom w:val="single" w:sz="8" w:color="auto"/>
            </w:tcBorders>
          </w:tcPr>
          <w:p>
            <w:pPr>
              <w:jc w:val="right"/>
              <w:ind w:right="70"/>
              <w:spacing w:after="0" w:line="157" w:lineRule="exact"/>
              <w:rPr>
                <w:sz w:val="20"/>
                <w:szCs w:val="20"/>
                <w:color w:val="auto"/>
              </w:rPr>
            </w:pPr>
            <w:r>
              <w:rPr>
                <w:rFonts w:ascii="Arial" w:cs="Arial" w:eastAsia="Arial" w:hAnsi="Arial"/>
                <w:sz w:val="14"/>
                <w:szCs w:val="14"/>
                <w:color w:val="auto"/>
              </w:rPr>
              <w:t>433</w:t>
            </w:r>
          </w:p>
        </w:tc>
        <w:tc>
          <w:tcPr>
            <w:tcW w:w="600" w:type="dxa"/>
            <w:vAlign w:val="bottom"/>
            <w:tcBorders>
              <w:bottom w:val="single" w:sz="8" w:color="auto"/>
            </w:tcBorders>
          </w:tcPr>
          <w:p>
            <w:pPr>
              <w:jc w:val="right"/>
              <w:ind w:right="49"/>
              <w:spacing w:after="0" w:line="157" w:lineRule="exact"/>
              <w:rPr>
                <w:sz w:val="20"/>
                <w:szCs w:val="20"/>
                <w:color w:val="auto"/>
              </w:rPr>
            </w:pPr>
            <w:r>
              <w:rPr>
                <w:rFonts w:ascii="Arial" w:cs="Arial" w:eastAsia="Arial" w:hAnsi="Arial"/>
                <w:sz w:val="14"/>
                <w:szCs w:val="14"/>
                <w:color w:val="auto"/>
              </w:rPr>
              <w:t>–</w:t>
            </w:r>
          </w:p>
        </w:tc>
        <w:tc>
          <w:tcPr>
            <w:tcW w:w="660" w:type="dxa"/>
            <w:vAlign w:val="bottom"/>
            <w:tcBorders>
              <w:bottom w:val="single" w:sz="8" w:color="auto"/>
            </w:tcBorders>
          </w:tcPr>
          <w:p>
            <w:pPr>
              <w:jc w:val="right"/>
              <w:spacing w:after="0" w:line="157" w:lineRule="exact"/>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ind w:right="11"/>
              <w:spacing w:after="0" w:line="157" w:lineRule="exact"/>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gridSpan w:val="2"/>
          </w:tcPr>
          <w:p>
            <w:pPr>
              <w:jc w:val="right"/>
              <w:ind w:right="80"/>
              <w:spacing w:after="0" w:line="157" w:lineRule="exact"/>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tcPr>
          <w:p>
            <w:pPr>
              <w:jc w:val="right"/>
              <w:ind w:right="30"/>
              <w:spacing w:after="0" w:line="157" w:lineRule="exact"/>
              <w:rPr>
                <w:sz w:val="20"/>
                <w:szCs w:val="20"/>
                <w:color w:val="auto"/>
              </w:rPr>
            </w:pPr>
            <w:r>
              <w:rPr>
                <w:rFonts w:ascii="Arial" w:cs="Arial" w:eastAsia="Arial" w:hAnsi="Arial"/>
                <w:sz w:val="14"/>
                <w:szCs w:val="14"/>
                <w:color w:val="auto"/>
              </w:rPr>
              <w:t>11,320</w:t>
            </w:r>
          </w:p>
        </w:tc>
      </w:tr>
    </w:tbl>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4460" w:type="dxa"/>
            <w:vAlign w:val="bottom"/>
            <w:shd w:val="clear" w:color="auto" w:fill="333333"/>
          </w:tcPr>
          <w:p>
            <w:pPr>
              <w:ind w:left="80"/>
              <w:spacing w:after="0"/>
              <w:rPr>
                <w:sz w:val="20"/>
                <w:szCs w:val="20"/>
                <w:color w:val="auto"/>
              </w:rPr>
            </w:pPr>
            <w:r>
              <w:rPr>
                <w:rFonts w:ascii="Arial" w:cs="Arial" w:eastAsia="Arial" w:hAnsi="Arial"/>
                <w:sz w:val="15"/>
                <w:szCs w:val="15"/>
                <w:b w:val="1"/>
                <w:bCs w:val="1"/>
                <w:color w:val="FFFFFF"/>
              </w:rPr>
              <w:t>PROVED UNDEVELOPED RESERVES 2014</w:t>
            </w:r>
          </w:p>
        </w:tc>
        <w:tc>
          <w:tcPr>
            <w:tcW w:w="1860" w:type="dxa"/>
            <w:vAlign w:val="bottom"/>
            <w:shd w:val="clear" w:color="auto" w:fill="333333"/>
          </w:tcPr>
          <w:p>
            <w:pPr>
              <w:spacing w:after="0"/>
              <w:rPr>
                <w:sz w:val="15"/>
                <w:szCs w:val="15"/>
                <w:color w:val="auto"/>
              </w:rPr>
            </w:pPr>
          </w:p>
        </w:tc>
        <w:tc>
          <w:tcPr>
            <w:tcW w:w="760" w:type="dxa"/>
            <w:vAlign w:val="bottom"/>
            <w:shd w:val="clear" w:color="auto" w:fill="333333"/>
          </w:tcPr>
          <w:p>
            <w:pPr>
              <w:spacing w:after="0"/>
              <w:rPr>
                <w:sz w:val="15"/>
                <w:szCs w:val="15"/>
                <w:color w:val="auto"/>
              </w:rPr>
            </w:pPr>
          </w:p>
        </w:tc>
        <w:tc>
          <w:tcPr>
            <w:tcW w:w="800" w:type="dxa"/>
            <w:vAlign w:val="bottom"/>
            <w:shd w:val="clear" w:color="auto" w:fill="333333"/>
          </w:tcPr>
          <w:p>
            <w:pPr>
              <w:spacing w:after="0"/>
              <w:rPr>
                <w:sz w:val="15"/>
                <w:szCs w:val="15"/>
                <w:color w:val="auto"/>
              </w:rPr>
            </w:pPr>
          </w:p>
        </w:tc>
        <w:tc>
          <w:tcPr>
            <w:tcW w:w="3540" w:type="dxa"/>
            <w:vAlign w:val="bottom"/>
            <w:gridSpan w:val="6"/>
            <w:shd w:val="clear" w:color="auto" w:fill="333333"/>
          </w:tcPr>
          <w:p>
            <w:pPr>
              <w:jc w:val="right"/>
              <w:ind w:right="30"/>
              <w:spacing w:after="0"/>
              <w:rPr>
                <w:sz w:val="20"/>
                <w:szCs w:val="20"/>
                <w:color w:val="auto"/>
              </w:rPr>
            </w:pPr>
            <w:r>
              <w:rPr>
                <w:rFonts w:ascii="Arial" w:cs="Arial" w:eastAsia="Arial" w:hAnsi="Arial"/>
                <w:sz w:val="15"/>
                <w:szCs w:val="15"/>
                <w:color w:val="FFFFFF"/>
              </w:rPr>
              <w:t>THOUSAND MILLION STANDARD CUBIC FEET</w:t>
            </w:r>
          </w:p>
        </w:tc>
      </w:tr>
      <w:tr>
        <w:trPr>
          <w:trHeight w:val="129"/>
        </w:trPr>
        <w:tc>
          <w:tcPr>
            <w:tcW w:w="446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jc w:val="right"/>
              <w:ind w:right="11"/>
              <w:spacing w:after="0" w:line="129" w:lineRule="exact"/>
              <w:rPr>
                <w:sz w:val="20"/>
                <w:szCs w:val="20"/>
                <w:color w:val="auto"/>
              </w:rPr>
            </w:pPr>
            <w:r>
              <w:rPr>
                <w:rFonts w:ascii="Arial" w:cs="Arial" w:eastAsia="Arial" w:hAnsi="Arial"/>
                <w:sz w:val="13"/>
                <w:szCs w:val="13"/>
                <w:color w:val="auto"/>
                <w:w w:val="93"/>
              </w:rPr>
              <w:t>North America</w:t>
            </w:r>
          </w:p>
        </w:tc>
        <w:tc>
          <w:tcPr>
            <w:tcW w:w="820" w:type="dxa"/>
            <w:vAlign w:val="bottom"/>
            <w:gridSpan w:val="2"/>
          </w:tcPr>
          <w:p>
            <w:pPr>
              <w:jc w:val="right"/>
              <w:ind w:right="80"/>
              <w:spacing w:after="0" w:line="129" w:lineRule="exact"/>
              <w:rPr>
                <w:sz w:val="20"/>
                <w:szCs w:val="20"/>
                <w:color w:val="auto"/>
              </w:rPr>
            </w:pPr>
            <w:r>
              <w:rPr>
                <w:rFonts w:ascii="Arial" w:cs="Arial" w:eastAsia="Arial" w:hAnsi="Arial"/>
                <w:sz w:val="13"/>
                <w:szCs w:val="13"/>
                <w:color w:val="auto"/>
              </w:rPr>
              <w:t>South</w:t>
            </w:r>
          </w:p>
        </w:tc>
        <w:tc>
          <w:tcPr>
            <w:tcW w:w="680" w:type="dxa"/>
            <w:vAlign w:val="bottom"/>
          </w:tcPr>
          <w:p>
            <w:pPr>
              <w:spacing w:after="0"/>
              <w:rPr>
                <w:sz w:val="11"/>
                <w:szCs w:val="11"/>
                <w:color w:val="auto"/>
              </w:rPr>
            </w:pPr>
          </w:p>
        </w:tc>
      </w:tr>
      <w:tr>
        <w:trPr>
          <w:trHeight w:val="135"/>
        </w:trPr>
        <w:tc>
          <w:tcPr>
            <w:tcW w:w="4460" w:type="dxa"/>
            <w:vAlign w:val="bottom"/>
          </w:tcPr>
          <w:p>
            <w:pPr>
              <w:spacing w:after="0"/>
              <w:rPr>
                <w:sz w:val="11"/>
                <w:szCs w:val="11"/>
                <w:color w:val="auto"/>
              </w:rPr>
            </w:pPr>
          </w:p>
        </w:tc>
        <w:tc>
          <w:tcPr>
            <w:tcW w:w="1860" w:type="dxa"/>
            <w:vAlign w:val="bottom"/>
          </w:tcPr>
          <w:p>
            <w:pPr>
              <w:jc w:val="right"/>
              <w:ind w:right="90"/>
              <w:spacing w:after="0" w:line="135" w:lineRule="exact"/>
              <w:rPr>
                <w:sz w:val="20"/>
                <w:szCs w:val="20"/>
                <w:color w:val="auto"/>
              </w:rPr>
            </w:pPr>
            <w:r>
              <w:rPr>
                <w:rFonts w:ascii="Arial" w:cs="Arial" w:eastAsia="Arial" w:hAnsi="Arial"/>
                <w:sz w:val="13"/>
                <w:szCs w:val="13"/>
                <w:color w:val="auto"/>
              </w:rPr>
              <w:t>Europe</w:t>
            </w:r>
          </w:p>
        </w:tc>
        <w:tc>
          <w:tcPr>
            <w:tcW w:w="760" w:type="dxa"/>
            <w:vAlign w:val="bottom"/>
          </w:tcPr>
          <w:p>
            <w:pPr>
              <w:jc w:val="right"/>
              <w:ind w:right="150"/>
              <w:spacing w:after="0" w:line="135" w:lineRule="exact"/>
              <w:rPr>
                <w:sz w:val="20"/>
                <w:szCs w:val="20"/>
                <w:color w:val="auto"/>
              </w:rPr>
            </w:pPr>
            <w:r>
              <w:rPr>
                <w:rFonts w:ascii="Arial" w:cs="Arial" w:eastAsia="Arial" w:hAnsi="Arial"/>
                <w:sz w:val="13"/>
                <w:szCs w:val="13"/>
                <w:color w:val="auto"/>
              </w:rPr>
              <w:t>Asia</w:t>
            </w:r>
          </w:p>
        </w:tc>
        <w:tc>
          <w:tcPr>
            <w:tcW w:w="800" w:type="dxa"/>
            <w:vAlign w:val="bottom"/>
          </w:tcPr>
          <w:p>
            <w:pPr>
              <w:jc w:val="right"/>
              <w:ind w:right="30"/>
              <w:spacing w:after="0" w:line="135" w:lineRule="exact"/>
              <w:rPr>
                <w:sz w:val="20"/>
                <w:szCs w:val="20"/>
                <w:color w:val="auto"/>
              </w:rPr>
            </w:pPr>
            <w:r>
              <w:rPr>
                <w:rFonts w:ascii="Arial" w:cs="Arial" w:eastAsia="Arial" w:hAnsi="Arial"/>
                <w:sz w:val="13"/>
                <w:szCs w:val="13"/>
                <w:color w:val="auto"/>
              </w:rPr>
              <w:t>Oceania</w:t>
            </w:r>
          </w:p>
        </w:tc>
        <w:tc>
          <w:tcPr>
            <w:tcW w:w="600" w:type="dxa"/>
            <w:vAlign w:val="bottom"/>
          </w:tcPr>
          <w:p>
            <w:pPr>
              <w:jc w:val="right"/>
              <w:ind w:right="29"/>
              <w:spacing w:after="0" w:line="135" w:lineRule="exact"/>
              <w:rPr>
                <w:sz w:val="20"/>
                <w:szCs w:val="20"/>
                <w:color w:val="auto"/>
              </w:rPr>
            </w:pPr>
            <w:r>
              <w:rPr>
                <w:rFonts w:ascii="Arial" w:cs="Arial" w:eastAsia="Arial" w:hAnsi="Arial"/>
                <w:sz w:val="13"/>
                <w:szCs w:val="13"/>
                <w:color w:val="auto"/>
              </w:rPr>
              <w:t>Africa</w:t>
            </w:r>
          </w:p>
        </w:tc>
        <w:tc>
          <w:tcPr>
            <w:tcW w:w="560" w:type="dxa"/>
            <w:vAlign w:val="bottom"/>
          </w:tcPr>
          <w:p>
            <w:pPr>
              <w:jc w:val="right"/>
              <w:spacing w:after="0" w:line="135" w:lineRule="exact"/>
              <w:rPr>
                <w:sz w:val="20"/>
                <w:szCs w:val="20"/>
                <w:color w:val="auto"/>
              </w:rPr>
            </w:pPr>
            <w:r>
              <w:rPr>
                <w:rFonts w:ascii="Arial" w:cs="Arial" w:eastAsia="Arial" w:hAnsi="Arial"/>
                <w:sz w:val="13"/>
                <w:szCs w:val="13"/>
                <w:color w:val="auto"/>
              </w:rPr>
              <w:t>USA</w:t>
            </w:r>
          </w:p>
        </w:tc>
        <w:tc>
          <w:tcPr>
            <w:tcW w:w="880" w:type="dxa"/>
            <w:vAlign w:val="bottom"/>
          </w:tcPr>
          <w:p>
            <w:pPr>
              <w:jc w:val="right"/>
              <w:ind w:right="11"/>
              <w:spacing w:after="0" w:line="135" w:lineRule="exact"/>
              <w:rPr>
                <w:sz w:val="20"/>
                <w:szCs w:val="20"/>
                <w:color w:val="auto"/>
              </w:rPr>
            </w:pPr>
            <w:r>
              <w:rPr>
                <w:rFonts w:ascii="Arial" w:cs="Arial" w:eastAsia="Arial" w:hAnsi="Arial"/>
                <w:sz w:val="13"/>
                <w:szCs w:val="13"/>
                <w:color w:val="auto"/>
              </w:rPr>
              <w:t>Canada</w:t>
            </w:r>
          </w:p>
        </w:tc>
        <w:tc>
          <w:tcPr>
            <w:tcW w:w="820" w:type="dxa"/>
            <w:vAlign w:val="bottom"/>
            <w:gridSpan w:val="2"/>
          </w:tcPr>
          <w:p>
            <w:pPr>
              <w:jc w:val="right"/>
              <w:ind w:right="80"/>
              <w:spacing w:after="0" w:line="132" w:lineRule="exact"/>
              <w:rPr>
                <w:sz w:val="20"/>
                <w:szCs w:val="20"/>
                <w:color w:val="auto"/>
              </w:rPr>
            </w:pPr>
            <w:r>
              <w:rPr>
                <w:rFonts w:ascii="Arial" w:cs="Arial" w:eastAsia="Arial" w:hAnsi="Arial"/>
                <w:sz w:val="13"/>
                <w:szCs w:val="13"/>
                <w:color w:val="auto"/>
              </w:rPr>
              <w:t>America</w:t>
            </w:r>
          </w:p>
        </w:tc>
        <w:tc>
          <w:tcPr>
            <w:tcW w:w="680" w:type="dxa"/>
            <w:vAlign w:val="bottom"/>
          </w:tcPr>
          <w:p>
            <w:pPr>
              <w:jc w:val="right"/>
              <w:ind w:right="30"/>
              <w:spacing w:after="0" w:line="135" w:lineRule="exact"/>
              <w:rPr>
                <w:sz w:val="20"/>
                <w:szCs w:val="20"/>
                <w:color w:val="auto"/>
              </w:rPr>
            </w:pPr>
            <w:r>
              <w:rPr>
                <w:rFonts w:ascii="Arial" w:cs="Arial" w:eastAsia="Arial" w:hAnsi="Arial"/>
                <w:sz w:val="13"/>
                <w:szCs w:val="13"/>
                <w:color w:val="auto"/>
              </w:rPr>
              <w:t>Total</w:t>
            </w:r>
          </w:p>
        </w:tc>
      </w:tr>
      <w:tr>
        <w:trPr>
          <w:trHeight w:val="160"/>
        </w:trPr>
        <w:tc>
          <w:tcPr>
            <w:tcW w:w="4460" w:type="dxa"/>
            <w:vAlign w:val="bottom"/>
            <w:tcBorders>
              <w:top w:val="single" w:sz="8" w:color="auto"/>
            </w:tcBorders>
          </w:tcPr>
          <w:p>
            <w:pPr>
              <w:spacing w:after="0"/>
              <w:rPr>
                <w:sz w:val="20"/>
                <w:szCs w:val="20"/>
                <w:color w:val="auto"/>
              </w:rPr>
            </w:pPr>
            <w:r>
              <w:rPr>
                <w:rFonts w:ascii="Arial" w:cs="Arial" w:eastAsia="Arial" w:hAnsi="Arial"/>
                <w:sz w:val="14"/>
                <w:szCs w:val="14"/>
                <w:color w:val="auto"/>
              </w:rPr>
              <w:t>Shell subsidiaries</w:t>
            </w:r>
          </w:p>
        </w:tc>
        <w:tc>
          <w:tcPr>
            <w:tcW w:w="186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600" w:type="dxa"/>
            <w:vAlign w:val="bottom"/>
            <w:tcBorders>
              <w:top w:val="single" w:sz="8" w:color="auto"/>
            </w:tcBorders>
          </w:tcPr>
          <w:p>
            <w:pPr>
              <w:spacing w:after="0"/>
              <w:rPr>
                <w:sz w:val="13"/>
                <w:szCs w:val="13"/>
                <w:color w:val="auto"/>
              </w:rPr>
            </w:pPr>
          </w:p>
        </w:tc>
        <w:tc>
          <w:tcPr>
            <w:tcW w:w="56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Borders>
              <w:top w:val="single" w:sz="8" w:color="auto"/>
            </w:tcBorders>
          </w:tcPr>
          <w:p>
            <w:pPr>
              <w:spacing w:after="0"/>
              <w:rPr>
                <w:sz w:val="13"/>
                <w:szCs w:val="13"/>
                <w:color w:val="auto"/>
              </w:rPr>
            </w:pPr>
          </w:p>
        </w:tc>
      </w:tr>
      <w:tr>
        <w:trPr>
          <w:trHeight w:val="162"/>
        </w:trPr>
        <w:tc>
          <w:tcPr>
            <w:tcW w:w="4460" w:type="dxa"/>
            <w:vAlign w:val="bottom"/>
          </w:tcPr>
          <w:p>
            <w:pPr>
              <w:ind w:left="140"/>
              <w:spacing w:after="0"/>
              <w:rPr>
                <w:sz w:val="20"/>
                <w:szCs w:val="20"/>
                <w:color w:val="auto"/>
              </w:rPr>
            </w:pPr>
            <w:r>
              <w:rPr>
                <w:rFonts w:ascii="Arial" w:cs="Arial" w:eastAsia="Arial" w:hAnsi="Arial"/>
                <w:sz w:val="14"/>
                <w:szCs w:val="14"/>
                <w:color w:val="auto"/>
              </w:rPr>
              <w:t>At January 1</w:t>
            </w:r>
          </w:p>
        </w:tc>
        <w:tc>
          <w:tcPr>
            <w:tcW w:w="1860" w:type="dxa"/>
            <w:vAlign w:val="bottom"/>
          </w:tcPr>
          <w:p>
            <w:pPr>
              <w:jc w:val="right"/>
              <w:ind w:right="90"/>
              <w:spacing w:after="0"/>
              <w:rPr>
                <w:sz w:val="20"/>
                <w:szCs w:val="20"/>
                <w:color w:val="auto"/>
              </w:rPr>
            </w:pPr>
            <w:r>
              <w:rPr>
                <w:rFonts w:ascii="Arial" w:cs="Arial" w:eastAsia="Arial" w:hAnsi="Arial"/>
                <w:sz w:val="14"/>
                <w:szCs w:val="14"/>
                <w:color w:val="auto"/>
              </w:rPr>
              <w:t>825</w:t>
            </w:r>
          </w:p>
        </w:tc>
        <w:tc>
          <w:tcPr>
            <w:tcW w:w="760" w:type="dxa"/>
            <w:vAlign w:val="bottom"/>
          </w:tcPr>
          <w:p>
            <w:pPr>
              <w:jc w:val="right"/>
              <w:ind w:right="150"/>
              <w:spacing w:after="0"/>
              <w:rPr>
                <w:sz w:val="20"/>
                <w:szCs w:val="20"/>
                <w:color w:val="auto"/>
              </w:rPr>
            </w:pPr>
            <w:r>
              <w:rPr>
                <w:rFonts w:ascii="Arial" w:cs="Arial" w:eastAsia="Arial" w:hAnsi="Arial"/>
                <w:sz w:val="14"/>
                <w:szCs w:val="14"/>
                <w:color w:val="auto"/>
              </w:rPr>
              <w:t>1,038</w:t>
            </w:r>
          </w:p>
        </w:tc>
        <w:tc>
          <w:tcPr>
            <w:tcW w:w="800" w:type="dxa"/>
            <w:vAlign w:val="bottom"/>
          </w:tcPr>
          <w:p>
            <w:pPr>
              <w:jc w:val="right"/>
              <w:ind w:right="30"/>
              <w:spacing w:after="0"/>
              <w:rPr>
                <w:sz w:val="20"/>
                <w:szCs w:val="20"/>
                <w:color w:val="auto"/>
              </w:rPr>
            </w:pPr>
            <w:r>
              <w:rPr>
                <w:rFonts w:ascii="Arial" w:cs="Arial" w:eastAsia="Arial" w:hAnsi="Arial"/>
                <w:sz w:val="14"/>
                <w:szCs w:val="14"/>
                <w:color w:val="auto"/>
              </w:rPr>
              <w:t>4,471</w:t>
            </w:r>
          </w:p>
        </w:tc>
        <w:tc>
          <w:tcPr>
            <w:tcW w:w="600" w:type="dxa"/>
            <w:vAlign w:val="bottom"/>
          </w:tcPr>
          <w:p>
            <w:pPr>
              <w:jc w:val="right"/>
              <w:ind w:right="29"/>
              <w:spacing w:after="0"/>
              <w:rPr>
                <w:sz w:val="20"/>
                <w:szCs w:val="20"/>
                <w:color w:val="auto"/>
              </w:rPr>
            </w:pPr>
            <w:r>
              <w:rPr>
                <w:rFonts w:ascii="Arial" w:cs="Arial" w:eastAsia="Arial" w:hAnsi="Arial"/>
                <w:sz w:val="14"/>
                <w:szCs w:val="14"/>
                <w:color w:val="auto"/>
              </w:rPr>
              <w:t>1,311</w:t>
            </w:r>
          </w:p>
        </w:tc>
        <w:tc>
          <w:tcPr>
            <w:tcW w:w="560" w:type="dxa"/>
            <w:vAlign w:val="bottom"/>
          </w:tcPr>
          <w:p>
            <w:pPr>
              <w:jc w:val="right"/>
              <w:spacing w:after="0"/>
              <w:rPr>
                <w:sz w:val="20"/>
                <w:szCs w:val="20"/>
                <w:color w:val="auto"/>
              </w:rPr>
            </w:pPr>
            <w:r>
              <w:rPr>
                <w:rFonts w:ascii="Arial" w:cs="Arial" w:eastAsia="Arial" w:hAnsi="Arial"/>
                <w:sz w:val="14"/>
                <w:szCs w:val="14"/>
                <w:color w:val="auto"/>
              </w:rPr>
              <w:t>707</w:t>
            </w:r>
          </w:p>
        </w:tc>
        <w:tc>
          <w:tcPr>
            <w:tcW w:w="880" w:type="dxa"/>
            <w:vAlign w:val="bottom"/>
          </w:tcPr>
          <w:p>
            <w:pPr>
              <w:jc w:val="right"/>
              <w:ind w:right="11"/>
              <w:spacing w:after="0"/>
              <w:rPr>
                <w:sz w:val="20"/>
                <w:szCs w:val="20"/>
                <w:color w:val="auto"/>
              </w:rPr>
            </w:pPr>
            <w:r>
              <w:rPr>
                <w:rFonts w:ascii="Arial" w:cs="Arial" w:eastAsia="Arial" w:hAnsi="Arial"/>
                <w:sz w:val="14"/>
                <w:szCs w:val="14"/>
                <w:color w:val="auto"/>
              </w:rPr>
              <w:t>592</w:t>
            </w:r>
          </w:p>
        </w:tc>
        <w:tc>
          <w:tcPr>
            <w:tcW w:w="820" w:type="dxa"/>
            <w:vAlign w:val="bottom"/>
            <w:gridSpan w:val="2"/>
          </w:tcPr>
          <w:p>
            <w:pPr>
              <w:jc w:val="right"/>
              <w:ind w:right="80"/>
              <w:spacing w:after="0"/>
              <w:rPr>
                <w:sz w:val="20"/>
                <w:szCs w:val="20"/>
                <w:color w:val="auto"/>
              </w:rPr>
            </w:pPr>
            <w:r>
              <w:rPr>
                <w:rFonts w:ascii="Arial" w:cs="Arial" w:eastAsia="Arial" w:hAnsi="Arial"/>
                <w:sz w:val="14"/>
                <w:szCs w:val="14"/>
                <w:color w:val="auto"/>
              </w:rPr>
              <w:t>26</w:t>
            </w:r>
          </w:p>
        </w:tc>
        <w:tc>
          <w:tcPr>
            <w:tcW w:w="680" w:type="dxa"/>
            <w:vAlign w:val="bottom"/>
          </w:tcPr>
          <w:p>
            <w:pPr>
              <w:jc w:val="right"/>
              <w:ind w:right="30"/>
              <w:spacing w:after="0"/>
              <w:rPr>
                <w:sz w:val="20"/>
                <w:szCs w:val="20"/>
                <w:color w:val="auto"/>
              </w:rPr>
            </w:pPr>
            <w:r>
              <w:rPr>
                <w:rFonts w:ascii="Arial" w:cs="Arial" w:eastAsia="Arial" w:hAnsi="Arial"/>
                <w:sz w:val="14"/>
                <w:szCs w:val="14"/>
                <w:color w:val="auto"/>
              </w:rPr>
              <w:t>8,970</w:t>
            </w:r>
          </w:p>
        </w:tc>
      </w:tr>
      <w:tr>
        <w:trPr>
          <w:trHeight w:val="157"/>
        </w:trPr>
        <w:tc>
          <w:tcPr>
            <w:tcW w:w="4460" w:type="dxa"/>
            <w:vAlign w:val="bottom"/>
            <w:tcBorders>
              <w:bottom w:val="single" w:sz="8" w:color="auto"/>
            </w:tcBorders>
          </w:tcPr>
          <w:p>
            <w:pPr>
              <w:ind w:left="140"/>
              <w:spacing w:after="0" w:line="157" w:lineRule="exact"/>
              <w:rPr>
                <w:sz w:val="20"/>
                <w:szCs w:val="20"/>
                <w:color w:val="auto"/>
              </w:rPr>
            </w:pPr>
            <w:r>
              <w:rPr>
                <w:rFonts w:ascii="Arial" w:cs="Arial" w:eastAsia="Arial" w:hAnsi="Arial"/>
                <w:sz w:val="14"/>
                <w:szCs w:val="14"/>
                <w:color w:val="auto"/>
              </w:rPr>
              <w:t>At December 31</w:t>
            </w:r>
          </w:p>
        </w:tc>
        <w:tc>
          <w:tcPr>
            <w:tcW w:w="1860" w:type="dxa"/>
            <w:vAlign w:val="bottom"/>
            <w:tcBorders>
              <w:bottom w:val="single" w:sz="8" w:color="auto"/>
            </w:tcBorders>
          </w:tcPr>
          <w:p>
            <w:pPr>
              <w:jc w:val="right"/>
              <w:ind w:right="90"/>
              <w:spacing w:after="0" w:line="157" w:lineRule="exact"/>
              <w:rPr>
                <w:sz w:val="20"/>
                <w:szCs w:val="20"/>
                <w:color w:val="auto"/>
              </w:rPr>
            </w:pPr>
            <w:r>
              <w:rPr>
                <w:rFonts w:ascii="Arial" w:cs="Arial" w:eastAsia="Arial" w:hAnsi="Arial"/>
                <w:sz w:val="14"/>
                <w:szCs w:val="14"/>
                <w:color w:val="auto"/>
              </w:rPr>
              <w:t>656</w:t>
            </w:r>
          </w:p>
        </w:tc>
        <w:tc>
          <w:tcPr>
            <w:tcW w:w="760" w:type="dxa"/>
            <w:vAlign w:val="bottom"/>
            <w:tcBorders>
              <w:bottom w:val="single" w:sz="8" w:color="auto"/>
            </w:tcBorders>
          </w:tcPr>
          <w:p>
            <w:pPr>
              <w:jc w:val="right"/>
              <w:ind w:right="150"/>
              <w:spacing w:after="0" w:line="157" w:lineRule="exact"/>
              <w:rPr>
                <w:sz w:val="20"/>
                <w:szCs w:val="20"/>
                <w:color w:val="auto"/>
              </w:rPr>
            </w:pPr>
            <w:r>
              <w:rPr>
                <w:rFonts w:ascii="Arial" w:cs="Arial" w:eastAsia="Arial" w:hAnsi="Arial"/>
                <w:sz w:val="14"/>
                <w:szCs w:val="14"/>
                <w:color w:val="auto"/>
              </w:rPr>
              <w:t>957</w:t>
            </w:r>
          </w:p>
        </w:tc>
        <w:tc>
          <w:tcPr>
            <w:tcW w:w="800" w:type="dxa"/>
            <w:vAlign w:val="bottom"/>
            <w:tcBorders>
              <w:bottom w:val="single" w:sz="8" w:color="auto"/>
            </w:tcBorders>
          </w:tcPr>
          <w:p>
            <w:pPr>
              <w:jc w:val="right"/>
              <w:ind w:right="30"/>
              <w:spacing w:after="0" w:line="157" w:lineRule="exact"/>
              <w:rPr>
                <w:sz w:val="20"/>
                <w:szCs w:val="20"/>
                <w:color w:val="auto"/>
              </w:rPr>
            </w:pPr>
            <w:r>
              <w:rPr>
                <w:rFonts w:ascii="Arial" w:cs="Arial" w:eastAsia="Arial" w:hAnsi="Arial"/>
                <w:sz w:val="14"/>
                <w:szCs w:val="14"/>
                <w:color w:val="auto"/>
              </w:rPr>
              <w:t>4,177</w:t>
            </w:r>
          </w:p>
        </w:tc>
        <w:tc>
          <w:tcPr>
            <w:tcW w:w="600" w:type="dxa"/>
            <w:vAlign w:val="bottom"/>
            <w:tcBorders>
              <w:bottom w:val="single" w:sz="8" w:color="auto"/>
            </w:tcBorders>
          </w:tcPr>
          <w:p>
            <w:pPr>
              <w:jc w:val="right"/>
              <w:ind w:right="29"/>
              <w:spacing w:after="0" w:line="157" w:lineRule="exact"/>
              <w:rPr>
                <w:sz w:val="20"/>
                <w:szCs w:val="20"/>
                <w:color w:val="auto"/>
              </w:rPr>
            </w:pPr>
            <w:r>
              <w:rPr>
                <w:rFonts w:ascii="Arial" w:cs="Arial" w:eastAsia="Arial" w:hAnsi="Arial"/>
                <w:sz w:val="14"/>
                <w:szCs w:val="14"/>
                <w:color w:val="auto"/>
              </w:rPr>
              <w:t>1,459</w:t>
            </w:r>
          </w:p>
        </w:tc>
        <w:tc>
          <w:tcPr>
            <w:tcW w:w="560" w:type="dxa"/>
            <w:vAlign w:val="bottom"/>
            <w:tcBorders>
              <w:bottom w:val="single" w:sz="8" w:color="auto"/>
            </w:tcBorders>
          </w:tcPr>
          <w:p>
            <w:pPr>
              <w:jc w:val="right"/>
              <w:spacing w:after="0" w:line="157" w:lineRule="exact"/>
              <w:rPr>
                <w:sz w:val="20"/>
                <w:szCs w:val="20"/>
                <w:color w:val="auto"/>
              </w:rPr>
            </w:pPr>
            <w:r>
              <w:rPr>
                <w:rFonts w:ascii="Arial" w:cs="Arial" w:eastAsia="Arial" w:hAnsi="Arial"/>
                <w:sz w:val="14"/>
                <w:szCs w:val="14"/>
                <w:color w:val="auto"/>
              </w:rPr>
              <w:t>286</w:t>
            </w:r>
          </w:p>
        </w:tc>
        <w:tc>
          <w:tcPr>
            <w:tcW w:w="880" w:type="dxa"/>
            <w:vAlign w:val="bottom"/>
            <w:tcBorders>
              <w:bottom w:val="single" w:sz="8" w:color="auto"/>
            </w:tcBorders>
          </w:tcPr>
          <w:p>
            <w:pPr>
              <w:jc w:val="right"/>
              <w:ind w:right="11"/>
              <w:spacing w:after="0" w:line="157" w:lineRule="exact"/>
              <w:rPr>
                <w:sz w:val="20"/>
                <w:szCs w:val="20"/>
                <w:color w:val="auto"/>
              </w:rPr>
            </w:pPr>
            <w:r>
              <w:rPr>
                <w:rFonts w:ascii="Arial" w:cs="Arial" w:eastAsia="Arial" w:hAnsi="Arial"/>
                <w:sz w:val="14"/>
                <w:szCs w:val="14"/>
                <w:color w:val="auto"/>
              </w:rPr>
              <w:t>672</w:t>
            </w:r>
          </w:p>
        </w:tc>
        <w:tc>
          <w:tcPr>
            <w:tcW w:w="820" w:type="dxa"/>
            <w:vAlign w:val="bottom"/>
            <w:tcBorders>
              <w:bottom w:val="single" w:sz="8" w:color="auto"/>
            </w:tcBorders>
            <w:gridSpan w:val="2"/>
          </w:tcPr>
          <w:p>
            <w:pPr>
              <w:jc w:val="right"/>
              <w:ind w:right="80"/>
              <w:spacing w:after="0" w:line="157" w:lineRule="exact"/>
              <w:rPr>
                <w:sz w:val="20"/>
                <w:szCs w:val="20"/>
                <w:color w:val="auto"/>
              </w:rPr>
            </w:pPr>
            <w:r>
              <w:rPr>
                <w:rFonts w:ascii="Arial" w:cs="Arial" w:eastAsia="Arial" w:hAnsi="Arial"/>
                <w:sz w:val="14"/>
                <w:szCs w:val="14"/>
                <w:color w:val="auto"/>
              </w:rPr>
              <w:t>6</w:t>
            </w:r>
          </w:p>
        </w:tc>
        <w:tc>
          <w:tcPr>
            <w:tcW w:w="680" w:type="dxa"/>
            <w:vAlign w:val="bottom"/>
            <w:tcBorders>
              <w:bottom w:val="single" w:sz="8" w:color="auto"/>
            </w:tcBorders>
          </w:tcPr>
          <w:p>
            <w:pPr>
              <w:jc w:val="right"/>
              <w:ind w:right="30"/>
              <w:spacing w:after="0" w:line="157" w:lineRule="exact"/>
              <w:rPr>
                <w:sz w:val="20"/>
                <w:szCs w:val="20"/>
                <w:color w:val="auto"/>
              </w:rPr>
            </w:pPr>
            <w:r>
              <w:rPr>
                <w:rFonts w:ascii="Arial" w:cs="Arial" w:eastAsia="Arial" w:hAnsi="Arial"/>
                <w:sz w:val="14"/>
                <w:szCs w:val="14"/>
                <w:color w:val="auto"/>
              </w:rPr>
              <w:t>8,213</w:t>
            </w:r>
          </w:p>
        </w:tc>
      </w:tr>
      <w:tr>
        <w:trPr>
          <w:trHeight w:val="160"/>
        </w:trPr>
        <w:tc>
          <w:tcPr>
            <w:tcW w:w="4460" w:type="dxa"/>
            <w:vAlign w:val="bottom"/>
          </w:tcPr>
          <w:p>
            <w:pPr>
              <w:spacing w:after="0"/>
              <w:rPr>
                <w:sz w:val="20"/>
                <w:szCs w:val="20"/>
                <w:color w:val="auto"/>
              </w:rPr>
            </w:pPr>
            <w:r>
              <w:rPr>
                <w:rFonts w:ascii="Arial" w:cs="Arial" w:eastAsia="Arial" w:hAnsi="Arial"/>
                <w:sz w:val="14"/>
                <w:szCs w:val="14"/>
                <w:color w:val="auto"/>
              </w:rPr>
              <w:t>Shell share of joint ventures and associates</w:t>
            </w:r>
          </w:p>
        </w:tc>
        <w:tc>
          <w:tcPr>
            <w:tcW w:w="18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r>
      <w:tr>
        <w:trPr>
          <w:trHeight w:val="162"/>
        </w:trPr>
        <w:tc>
          <w:tcPr>
            <w:tcW w:w="4460" w:type="dxa"/>
            <w:vAlign w:val="bottom"/>
          </w:tcPr>
          <w:p>
            <w:pPr>
              <w:ind w:left="140"/>
              <w:spacing w:after="0"/>
              <w:rPr>
                <w:sz w:val="20"/>
                <w:szCs w:val="20"/>
                <w:color w:val="auto"/>
              </w:rPr>
            </w:pPr>
            <w:r>
              <w:rPr>
                <w:rFonts w:ascii="Arial" w:cs="Arial" w:eastAsia="Arial" w:hAnsi="Arial"/>
                <w:sz w:val="14"/>
                <w:szCs w:val="14"/>
                <w:color w:val="auto"/>
              </w:rPr>
              <w:t>At January 1</w:t>
            </w:r>
          </w:p>
        </w:tc>
        <w:tc>
          <w:tcPr>
            <w:tcW w:w="1860" w:type="dxa"/>
            <w:vAlign w:val="bottom"/>
          </w:tcPr>
          <w:p>
            <w:pPr>
              <w:jc w:val="right"/>
              <w:ind w:right="90"/>
              <w:spacing w:after="0"/>
              <w:rPr>
                <w:sz w:val="20"/>
                <w:szCs w:val="20"/>
                <w:color w:val="auto"/>
              </w:rPr>
            </w:pPr>
            <w:r>
              <w:rPr>
                <w:rFonts w:ascii="Arial" w:cs="Arial" w:eastAsia="Arial" w:hAnsi="Arial"/>
                <w:sz w:val="14"/>
                <w:szCs w:val="14"/>
                <w:color w:val="auto"/>
              </w:rPr>
              <w:t>1,652</w:t>
            </w:r>
          </w:p>
        </w:tc>
        <w:tc>
          <w:tcPr>
            <w:tcW w:w="760" w:type="dxa"/>
            <w:vAlign w:val="bottom"/>
          </w:tcPr>
          <w:p>
            <w:pPr>
              <w:jc w:val="right"/>
              <w:ind w:right="150"/>
              <w:spacing w:after="0"/>
              <w:rPr>
                <w:sz w:val="20"/>
                <w:szCs w:val="20"/>
                <w:color w:val="auto"/>
              </w:rPr>
            </w:pPr>
            <w:r>
              <w:rPr>
                <w:rFonts w:ascii="Arial" w:cs="Arial" w:eastAsia="Arial" w:hAnsi="Arial"/>
                <w:sz w:val="14"/>
                <w:szCs w:val="14"/>
                <w:color w:val="auto"/>
              </w:rPr>
              <w:t>1,097</w:t>
            </w:r>
          </w:p>
        </w:tc>
        <w:tc>
          <w:tcPr>
            <w:tcW w:w="800" w:type="dxa"/>
            <w:vAlign w:val="bottom"/>
          </w:tcPr>
          <w:p>
            <w:pPr>
              <w:jc w:val="right"/>
              <w:ind w:right="30"/>
              <w:spacing w:after="0"/>
              <w:rPr>
                <w:sz w:val="20"/>
                <w:szCs w:val="20"/>
                <w:color w:val="auto"/>
              </w:rPr>
            </w:pPr>
            <w:r>
              <w:rPr>
                <w:rFonts w:ascii="Arial" w:cs="Arial" w:eastAsia="Arial" w:hAnsi="Arial"/>
                <w:sz w:val="14"/>
                <w:szCs w:val="14"/>
                <w:color w:val="auto"/>
              </w:rPr>
              <w:t>103</w:t>
            </w:r>
          </w:p>
        </w:tc>
        <w:tc>
          <w:tcPr>
            <w:tcW w:w="60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560" w:type="dxa"/>
            <w:vAlign w:val="bottom"/>
          </w:tcPr>
          <w:p>
            <w:pPr>
              <w:jc w:val="right"/>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11"/>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80"/>
              <w:spacing w:after="0"/>
              <w:rPr>
                <w:sz w:val="20"/>
                <w:szCs w:val="20"/>
                <w:color w:val="auto"/>
              </w:rPr>
            </w:pPr>
            <w:r>
              <w:rPr>
                <w:rFonts w:ascii="Arial" w:cs="Arial" w:eastAsia="Arial" w:hAnsi="Arial"/>
                <w:sz w:val="14"/>
                <w:szCs w:val="14"/>
                <w:color w:val="auto"/>
              </w:rPr>
              <w:t>2</w:t>
            </w:r>
          </w:p>
        </w:tc>
        <w:tc>
          <w:tcPr>
            <w:tcW w:w="680" w:type="dxa"/>
            <w:vAlign w:val="bottom"/>
          </w:tcPr>
          <w:p>
            <w:pPr>
              <w:jc w:val="right"/>
              <w:ind w:right="30"/>
              <w:spacing w:after="0"/>
              <w:rPr>
                <w:sz w:val="20"/>
                <w:szCs w:val="20"/>
                <w:color w:val="auto"/>
              </w:rPr>
            </w:pPr>
            <w:r>
              <w:rPr>
                <w:rFonts w:ascii="Arial" w:cs="Arial" w:eastAsia="Arial" w:hAnsi="Arial"/>
                <w:sz w:val="14"/>
                <w:szCs w:val="14"/>
                <w:color w:val="auto"/>
              </w:rPr>
              <w:t>2,854</w:t>
            </w:r>
          </w:p>
        </w:tc>
      </w:tr>
      <w:tr>
        <w:trPr>
          <w:trHeight w:val="157"/>
        </w:trPr>
        <w:tc>
          <w:tcPr>
            <w:tcW w:w="4460" w:type="dxa"/>
            <w:vAlign w:val="bottom"/>
            <w:tcBorders>
              <w:bottom w:val="single" w:sz="8" w:color="auto"/>
            </w:tcBorders>
          </w:tcPr>
          <w:p>
            <w:pPr>
              <w:ind w:left="140"/>
              <w:spacing w:after="0" w:line="157" w:lineRule="exact"/>
              <w:rPr>
                <w:sz w:val="20"/>
                <w:szCs w:val="20"/>
                <w:color w:val="auto"/>
              </w:rPr>
            </w:pPr>
            <w:r>
              <w:rPr>
                <w:rFonts w:ascii="Arial" w:cs="Arial" w:eastAsia="Arial" w:hAnsi="Arial"/>
                <w:sz w:val="14"/>
                <w:szCs w:val="14"/>
                <w:color w:val="auto"/>
              </w:rPr>
              <w:t>At December 31</w:t>
            </w:r>
          </w:p>
        </w:tc>
        <w:tc>
          <w:tcPr>
            <w:tcW w:w="1860" w:type="dxa"/>
            <w:vAlign w:val="bottom"/>
            <w:tcBorders>
              <w:bottom w:val="single" w:sz="8" w:color="auto"/>
            </w:tcBorders>
          </w:tcPr>
          <w:p>
            <w:pPr>
              <w:jc w:val="right"/>
              <w:ind w:right="90"/>
              <w:spacing w:after="0" w:line="157" w:lineRule="exact"/>
              <w:rPr>
                <w:sz w:val="20"/>
                <w:szCs w:val="20"/>
                <w:color w:val="auto"/>
              </w:rPr>
            </w:pPr>
            <w:r>
              <w:rPr>
                <w:rFonts w:ascii="Arial" w:cs="Arial" w:eastAsia="Arial" w:hAnsi="Arial"/>
                <w:sz w:val="14"/>
                <w:szCs w:val="14"/>
                <w:color w:val="auto"/>
              </w:rPr>
              <w:t>1,480</w:t>
            </w:r>
          </w:p>
        </w:tc>
        <w:tc>
          <w:tcPr>
            <w:tcW w:w="760" w:type="dxa"/>
            <w:vAlign w:val="bottom"/>
            <w:tcBorders>
              <w:bottom w:val="single" w:sz="8" w:color="auto"/>
            </w:tcBorders>
          </w:tcPr>
          <w:p>
            <w:pPr>
              <w:jc w:val="right"/>
              <w:ind w:right="150"/>
              <w:spacing w:after="0" w:line="157" w:lineRule="exact"/>
              <w:rPr>
                <w:sz w:val="20"/>
                <w:szCs w:val="20"/>
                <w:color w:val="auto"/>
              </w:rPr>
            </w:pPr>
            <w:r>
              <w:rPr>
                <w:rFonts w:ascii="Arial" w:cs="Arial" w:eastAsia="Arial" w:hAnsi="Arial"/>
                <w:sz w:val="14"/>
                <w:szCs w:val="14"/>
                <w:color w:val="auto"/>
              </w:rPr>
              <w:t>1,529</w:t>
            </w:r>
          </w:p>
        </w:tc>
        <w:tc>
          <w:tcPr>
            <w:tcW w:w="800" w:type="dxa"/>
            <w:vAlign w:val="bottom"/>
            <w:tcBorders>
              <w:bottom w:val="single" w:sz="8" w:color="auto"/>
            </w:tcBorders>
          </w:tcPr>
          <w:p>
            <w:pPr>
              <w:jc w:val="right"/>
              <w:ind w:right="30"/>
              <w:spacing w:after="0" w:line="157" w:lineRule="exact"/>
              <w:rPr>
                <w:sz w:val="20"/>
                <w:szCs w:val="20"/>
                <w:color w:val="auto"/>
              </w:rPr>
            </w:pPr>
            <w:r>
              <w:rPr>
                <w:rFonts w:ascii="Arial" w:cs="Arial" w:eastAsia="Arial" w:hAnsi="Arial"/>
                <w:sz w:val="14"/>
                <w:szCs w:val="14"/>
                <w:color w:val="auto"/>
              </w:rPr>
              <w:t>70</w:t>
            </w:r>
          </w:p>
        </w:tc>
        <w:tc>
          <w:tcPr>
            <w:tcW w:w="600" w:type="dxa"/>
            <w:vAlign w:val="bottom"/>
            <w:tcBorders>
              <w:bottom w:val="single" w:sz="8" w:color="auto"/>
            </w:tcBorders>
          </w:tcPr>
          <w:p>
            <w:pPr>
              <w:jc w:val="right"/>
              <w:ind w:right="29"/>
              <w:spacing w:after="0" w:line="157" w:lineRule="exact"/>
              <w:rPr>
                <w:sz w:val="20"/>
                <w:szCs w:val="20"/>
                <w:color w:val="auto"/>
              </w:rPr>
            </w:pPr>
            <w:r>
              <w:rPr>
                <w:rFonts w:ascii="Arial" w:cs="Arial" w:eastAsia="Arial" w:hAnsi="Arial"/>
                <w:sz w:val="14"/>
                <w:szCs w:val="14"/>
                <w:color w:val="auto"/>
              </w:rPr>
              <w:t>–</w:t>
            </w:r>
          </w:p>
        </w:tc>
        <w:tc>
          <w:tcPr>
            <w:tcW w:w="560" w:type="dxa"/>
            <w:vAlign w:val="bottom"/>
            <w:tcBorders>
              <w:bottom w:val="single" w:sz="8" w:color="auto"/>
            </w:tcBorders>
          </w:tcPr>
          <w:p>
            <w:pPr>
              <w:jc w:val="right"/>
              <w:spacing w:after="0" w:line="157" w:lineRule="exact"/>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ind w:right="11"/>
              <w:spacing w:after="0" w:line="157" w:lineRule="exact"/>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gridSpan w:val="2"/>
          </w:tcPr>
          <w:p>
            <w:pPr>
              <w:jc w:val="right"/>
              <w:ind w:right="80"/>
              <w:spacing w:after="0" w:line="157" w:lineRule="exact"/>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tcPr>
          <w:p>
            <w:pPr>
              <w:jc w:val="right"/>
              <w:ind w:right="30"/>
              <w:spacing w:after="0" w:line="157" w:lineRule="exact"/>
              <w:rPr>
                <w:sz w:val="20"/>
                <w:szCs w:val="20"/>
                <w:color w:val="auto"/>
              </w:rPr>
            </w:pPr>
            <w:r>
              <w:rPr>
                <w:rFonts w:ascii="Arial" w:cs="Arial" w:eastAsia="Arial" w:hAnsi="Arial"/>
                <w:sz w:val="14"/>
                <w:szCs w:val="14"/>
                <w:color w:val="auto"/>
              </w:rPr>
              <w:t>3,079</w:t>
            </w:r>
          </w:p>
        </w:tc>
      </w:tr>
    </w:tbl>
    <w:p>
      <w:pPr>
        <w:sectPr>
          <w:pgSz w:w="11900" w:h="16838" w:orient="portrait"/>
          <w:cols w:equalWidth="0" w:num="1">
            <w:col w:w="11420"/>
          </w:cols>
          <w:pgMar w:left="240" w:top="459" w:right="239" w:bottom="1440" w:gutter="0" w:footer="0" w:header="0"/>
        </w:sectPr>
      </w:pPr>
    </w:p>
    <w:bookmarkStart w:id="150" w:name="page151"/>
    <w:bookmarkEnd w:id="1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6428105</wp:posOffset>
            </wp:positionH>
            <wp:positionV relativeFrom="paragraph">
              <wp:posOffset>300355</wp:posOffset>
            </wp:positionV>
            <wp:extent cx="8890" cy="462915"/>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8890" cy="462915"/>
                    </a:xfrm>
                    <a:prstGeom prst="rect">
                      <a:avLst/>
                    </a:prstGeom>
                    <a:noFill/>
                  </pic:spPr>
                </pic:pic>
              </a:graphicData>
            </a:graphic>
          </wp:anchor>
        </w:drawing>
      </w:r>
    </w:p>
    <w:p>
      <w:pPr>
        <w:spacing w:after="0" w:line="200" w:lineRule="exact"/>
        <w:rPr>
          <w:sz w:val="20"/>
          <w:szCs w:val="20"/>
          <w:color w:val="auto"/>
        </w:rPr>
      </w:pP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565"/>
        </w:trPr>
        <w:tc>
          <w:tcPr>
            <w:tcW w:w="47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shd w:val="clear" w:color="auto" w:fill="FF8B00"/>
          </w:tcPr>
          <w:p>
            <w:pPr>
              <w:spacing w:after="0"/>
              <w:rPr>
                <w:sz w:val="24"/>
                <w:szCs w:val="24"/>
                <w:color w:val="auto"/>
              </w:rPr>
            </w:pPr>
          </w:p>
        </w:tc>
        <w:tc>
          <w:tcPr>
            <w:tcW w:w="520" w:type="dxa"/>
            <w:vAlign w:val="bottom"/>
            <w:shd w:val="clear" w:color="auto" w:fill="FF8B00"/>
          </w:tcPr>
          <w:p>
            <w:pPr>
              <w:spacing w:after="0"/>
              <w:rPr>
                <w:sz w:val="24"/>
                <w:szCs w:val="24"/>
                <w:color w:val="auto"/>
              </w:rPr>
            </w:pPr>
          </w:p>
        </w:tc>
        <w:tc>
          <w:tcPr>
            <w:tcW w:w="3620" w:type="dxa"/>
            <w:vAlign w:val="bottom"/>
            <w:gridSpan w:val="9"/>
            <w:shd w:val="clear" w:color="auto" w:fill="FF8B00"/>
          </w:tcPr>
          <w:p>
            <w:pPr>
              <w:ind w:left="160"/>
              <w:spacing w:after="0"/>
              <w:rPr>
                <w:sz w:val="20"/>
                <w:szCs w:val="20"/>
                <w:color w:val="auto"/>
              </w:rPr>
            </w:pPr>
            <w:r>
              <w:rPr>
                <w:rFonts w:ascii="Arial" w:cs="Arial" w:eastAsia="Arial" w:hAnsi="Arial"/>
                <w:sz w:val="13"/>
                <w:szCs w:val="13"/>
                <w:color w:val="333333"/>
              </w:rPr>
              <w:t>FINANCIAL STATEMENTS AND SUPPLEMENTS</w:t>
            </w:r>
          </w:p>
        </w:tc>
        <w:tc>
          <w:tcPr>
            <w:tcW w:w="500" w:type="dxa"/>
            <w:vAlign w:val="bottom"/>
            <w:shd w:val="clear" w:color="auto" w:fill="FF8B00"/>
          </w:tcPr>
          <w:p>
            <w:pPr>
              <w:spacing w:after="0"/>
              <w:rPr>
                <w:sz w:val="24"/>
                <w:szCs w:val="24"/>
                <w:color w:val="auto"/>
              </w:rPr>
            </w:pPr>
          </w:p>
        </w:tc>
        <w:tc>
          <w:tcPr>
            <w:tcW w:w="120" w:type="dxa"/>
            <w:vAlign w:val="bottom"/>
            <w:shd w:val="clear" w:color="auto" w:fill="FF8B00"/>
          </w:tcPr>
          <w:p>
            <w:pPr>
              <w:spacing w:after="0"/>
              <w:rPr>
                <w:sz w:val="24"/>
                <w:szCs w:val="24"/>
                <w:color w:val="auto"/>
              </w:rPr>
            </w:pPr>
          </w:p>
        </w:tc>
        <w:tc>
          <w:tcPr>
            <w:tcW w:w="80" w:type="dxa"/>
            <w:vAlign w:val="bottom"/>
            <w:shd w:val="clear" w:color="auto" w:fill="FF8B00"/>
          </w:tcPr>
          <w:p>
            <w:pPr>
              <w:spacing w:after="0"/>
              <w:rPr>
                <w:sz w:val="24"/>
                <w:szCs w:val="24"/>
                <w:color w:val="auto"/>
              </w:rPr>
            </w:pPr>
          </w:p>
        </w:tc>
        <w:tc>
          <w:tcPr>
            <w:tcW w:w="80" w:type="dxa"/>
            <w:vAlign w:val="bottom"/>
            <w:shd w:val="clear" w:color="auto" w:fill="FF8B00"/>
          </w:tcPr>
          <w:p>
            <w:pPr>
              <w:spacing w:after="0"/>
              <w:rPr>
                <w:sz w:val="24"/>
                <w:szCs w:val="24"/>
                <w:color w:val="auto"/>
              </w:rPr>
            </w:pPr>
          </w:p>
        </w:tc>
        <w:tc>
          <w:tcPr>
            <w:tcW w:w="700" w:type="dxa"/>
            <w:vAlign w:val="bottom"/>
            <w:shd w:val="clear" w:color="auto" w:fill="FF8B00"/>
          </w:tcPr>
          <w:p>
            <w:pPr>
              <w:jc w:val="right"/>
              <w:ind w:right="349"/>
              <w:spacing w:after="0"/>
              <w:rPr>
                <w:sz w:val="20"/>
                <w:szCs w:val="20"/>
                <w:color w:val="auto"/>
              </w:rPr>
            </w:pPr>
            <w:r>
              <w:rPr>
                <w:rFonts w:ascii="Arial" w:cs="Arial" w:eastAsia="Arial" w:hAnsi="Arial"/>
                <w:sz w:val="11"/>
                <w:szCs w:val="11"/>
                <w:b w:val="1"/>
                <w:bCs w:val="1"/>
                <w:color w:val="333333"/>
              </w:rPr>
              <w:t>149</w:t>
            </w:r>
          </w:p>
        </w:tc>
        <w:tc>
          <w:tcPr>
            <w:tcW w:w="0" w:type="dxa"/>
            <w:vAlign w:val="bottom"/>
          </w:tcPr>
          <w:p>
            <w:pPr>
              <w:spacing w:after="0"/>
              <w:rPr>
                <w:sz w:val="1"/>
                <w:szCs w:val="1"/>
                <w:color w:val="auto"/>
              </w:rPr>
            </w:pPr>
          </w:p>
        </w:tc>
      </w:tr>
      <w:tr>
        <w:trPr>
          <w:trHeight w:val="165"/>
        </w:trPr>
        <w:tc>
          <w:tcPr>
            <w:tcW w:w="4780" w:type="dxa"/>
            <w:vAlign w:val="bottom"/>
            <w:vMerge w:val="restart"/>
          </w:tcPr>
          <w:p>
            <w:pPr>
              <w:spacing w:after="0"/>
              <w:rPr>
                <w:sz w:val="20"/>
                <w:szCs w:val="20"/>
                <w:color w:val="auto"/>
              </w:rPr>
            </w:pPr>
            <w:r>
              <w:rPr>
                <w:rFonts w:ascii="Arial" w:cs="Arial" w:eastAsia="Arial" w:hAnsi="Arial"/>
                <w:sz w:val="11"/>
                <w:szCs w:val="11"/>
                <w:color w:val="auto"/>
              </w:rPr>
              <w:t>SHELL ANNUAL REPORT AND FORM 20-F 2014</w:t>
            </w:r>
          </w:p>
        </w:tc>
        <w:tc>
          <w:tcPr>
            <w:tcW w:w="820" w:type="dxa"/>
            <w:vAlign w:val="bottom"/>
          </w:tcPr>
          <w:p>
            <w:pPr>
              <w:spacing w:after="0"/>
              <w:rPr>
                <w:sz w:val="14"/>
                <w:szCs w:val="14"/>
                <w:color w:val="auto"/>
              </w:rPr>
            </w:pPr>
          </w:p>
        </w:tc>
        <w:tc>
          <w:tcPr>
            <w:tcW w:w="200" w:type="dxa"/>
            <w:vAlign w:val="bottom"/>
            <w:shd w:val="clear" w:color="auto" w:fill="FF8B00"/>
          </w:tcPr>
          <w:p>
            <w:pPr>
              <w:spacing w:after="0"/>
              <w:rPr>
                <w:sz w:val="14"/>
                <w:szCs w:val="14"/>
                <w:color w:val="auto"/>
              </w:rPr>
            </w:pPr>
          </w:p>
        </w:tc>
        <w:tc>
          <w:tcPr>
            <w:tcW w:w="520" w:type="dxa"/>
            <w:vAlign w:val="bottom"/>
            <w:shd w:val="clear" w:color="auto" w:fill="FF8B00"/>
          </w:tcPr>
          <w:p>
            <w:pPr>
              <w:spacing w:after="0"/>
              <w:rPr>
                <w:sz w:val="14"/>
                <w:szCs w:val="14"/>
                <w:color w:val="auto"/>
              </w:rPr>
            </w:pPr>
          </w:p>
        </w:tc>
        <w:tc>
          <w:tcPr>
            <w:tcW w:w="1580" w:type="dxa"/>
            <w:vAlign w:val="bottom"/>
            <w:gridSpan w:val="3"/>
            <w:shd w:val="clear" w:color="auto" w:fill="FF8B00"/>
          </w:tcPr>
          <w:p>
            <w:pPr>
              <w:spacing w:after="0"/>
              <w:rPr>
                <w:sz w:val="14"/>
                <w:szCs w:val="14"/>
                <w:color w:val="auto"/>
              </w:rPr>
            </w:pPr>
          </w:p>
        </w:tc>
        <w:tc>
          <w:tcPr>
            <w:tcW w:w="460" w:type="dxa"/>
            <w:vAlign w:val="bottom"/>
            <w:gridSpan w:val="2"/>
            <w:shd w:val="clear" w:color="auto" w:fill="FF8B00"/>
          </w:tcPr>
          <w:p>
            <w:pPr>
              <w:spacing w:after="0"/>
              <w:rPr>
                <w:sz w:val="14"/>
                <w:szCs w:val="14"/>
                <w:color w:val="auto"/>
              </w:rPr>
            </w:pPr>
          </w:p>
        </w:tc>
        <w:tc>
          <w:tcPr>
            <w:tcW w:w="1280" w:type="dxa"/>
            <w:vAlign w:val="bottom"/>
            <w:gridSpan w:val="3"/>
            <w:shd w:val="clear" w:color="auto" w:fill="FF8B00"/>
          </w:tcPr>
          <w:p>
            <w:pPr>
              <w:spacing w:after="0"/>
              <w:rPr>
                <w:sz w:val="14"/>
                <w:szCs w:val="14"/>
                <w:color w:val="auto"/>
              </w:rPr>
            </w:pPr>
          </w:p>
        </w:tc>
        <w:tc>
          <w:tcPr>
            <w:tcW w:w="300" w:type="dxa"/>
            <w:vAlign w:val="bottom"/>
            <w:shd w:val="clear" w:color="auto" w:fill="FF8B00"/>
          </w:tcPr>
          <w:p>
            <w:pPr>
              <w:spacing w:after="0"/>
              <w:rPr>
                <w:sz w:val="14"/>
                <w:szCs w:val="14"/>
                <w:color w:val="auto"/>
              </w:rPr>
            </w:pPr>
          </w:p>
        </w:tc>
        <w:tc>
          <w:tcPr>
            <w:tcW w:w="500" w:type="dxa"/>
            <w:vAlign w:val="bottom"/>
            <w:shd w:val="clear" w:color="auto" w:fill="FF8B00"/>
          </w:tcPr>
          <w:p>
            <w:pPr>
              <w:spacing w:after="0"/>
              <w:rPr>
                <w:sz w:val="14"/>
                <w:szCs w:val="14"/>
                <w:color w:val="auto"/>
              </w:rPr>
            </w:pPr>
          </w:p>
        </w:tc>
        <w:tc>
          <w:tcPr>
            <w:tcW w:w="120" w:type="dxa"/>
            <w:vAlign w:val="bottom"/>
            <w:shd w:val="clear" w:color="auto" w:fill="FF8B00"/>
          </w:tcPr>
          <w:p>
            <w:pPr>
              <w:spacing w:after="0"/>
              <w:rPr>
                <w:sz w:val="14"/>
                <w:szCs w:val="14"/>
                <w:color w:val="auto"/>
              </w:rPr>
            </w:pPr>
          </w:p>
        </w:tc>
        <w:tc>
          <w:tcPr>
            <w:tcW w:w="80" w:type="dxa"/>
            <w:vAlign w:val="bottom"/>
            <w:shd w:val="clear" w:color="auto" w:fill="FF8B00"/>
          </w:tcPr>
          <w:p>
            <w:pPr>
              <w:spacing w:after="0"/>
              <w:rPr>
                <w:sz w:val="14"/>
                <w:szCs w:val="14"/>
                <w:color w:val="auto"/>
              </w:rPr>
            </w:pPr>
          </w:p>
        </w:tc>
        <w:tc>
          <w:tcPr>
            <w:tcW w:w="80" w:type="dxa"/>
            <w:vAlign w:val="bottom"/>
            <w:shd w:val="clear" w:color="auto" w:fill="FF8B00"/>
          </w:tcPr>
          <w:p>
            <w:pPr>
              <w:spacing w:after="0"/>
              <w:rPr>
                <w:sz w:val="14"/>
                <w:szCs w:val="14"/>
                <w:color w:val="auto"/>
              </w:rPr>
            </w:pPr>
          </w:p>
        </w:tc>
        <w:tc>
          <w:tcPr>
            <w:tcW w:w="700" w:type="dxa"/>
            <w:vAlign w:val="bottom"/>
            <w:shd w:val="clear" w:color="auto" w:fill="FF8B00"/>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4780" w:type="dxa"/>
            <w:vAlign w:val="bottom"/>
            <w:vMerge w:val="continue"/>
          </w:tcPr>
          <w:p>
            <w:pPr>
              <w:spacing w:after="0"/>
              <w:rPr>
                <w:sz w:val="10"/>
                <w:szCs w:val="10"/>
                <w:color w:val="auto"/>
              </w:rPr>
            </w:pPr>
          </w:p>
        </w:tc>
        <w:tc>
          <w:tcPr>
            <w:tcW w:w="8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3620" w:type="dxa"/>
            <w:vAlign w:val="bottom"/>
            <w:gridSpan w:val="9"/>
          </w:tcPr>
          <w:p>
            <w:pPr>
              <w:ind w:left="160"/>
              <w:spacing w:after="0" w:line="122" w:lineRule="exact"/>
              <w:rPr>
                <w:sz w:val="20"/>
                <w:szCs w:val="20"/>
                <w:color w:val="auto"/>
              </w:rPr>
            </w:pPr>
            <w:r>
              <w:rPr>
                <w:rFonts w:ascii="Arial" w:cs="Arial" w:eastAsia="Arial" w:hAnsi="Arial"/>
                <w:sz w:val="11"/>
                <w:szCs w:val="11"/>
                <w:color w:val="auto"/>
              </w:rPr>
              <w:t>SUPPLEMENTARY INFORMATION – OIL AND GAS (UNAUDITED)</w:t>
            </w: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4780" w:type="dxa"/>
            <w:vAlign w:val="bottom"/>
            <w:shd w:val="clear" w:color="auto" w:fill="333333"/>
          </w:tcPr>
          <w:p>
            <w:pPr>
              <w:ind w:left="80"/>
              <w:spacing w:after="0" w:line="162" w:lineRule="exact"/>
              <w:rPr>
                <w:sz w:val="20"/>
                <w:szCs w:val="20"/>
                <w:color w:val="auto"/>
              </w:rPr>
            </w:pPr>
            <w:r>
              <w:rPr>
                <w:rFonts w:ascii="Arial" w:cs="Arial" w:eastAsia="Arial" w:hAnsi="Arial"/>
                <w:sz w:val="15"/>
                <w:szCs w:val="15"/>
                <w:b w:val="1"/>
                <w:bCs w:val="1"/>
                <w:color w:val="FFFFFF"/>
              </w:rPr>
              <w:t>PROVED DEVELOPED AND UNDEVELOPED RESERVES 2013</w:t>
            </w:r>
          </w:p>
        </w:tc>
        <w:tc>
          <w:tcPr>
            <w:tcW w:w="820" w:type="dxa"/>
            <w:vAlign w:val="bottom"/>
            <w:shd w:val="clear" w:color="auto" w:fill="333333"/>
          </w:tcPr>
          <w:p>
            <w:pPr>
              <w:spacing w:after="0"/>
              <w:rPr>
                <w:sz w:val="14"/>
                <w:szCs w:val="14"/>
                <w:color w:val="auto"/>
              </w:rPr>
            </w:pPr>
          </w:p>
        </w:tc>
        <w:tc>
          <w:tcPr>
            <w:tcW w:w="200" w:type="dxa"/>
            <w:vAlign w:val="bottom"/>
            <w:shd w:val="clear" w:color="auto" w:fill="333333"/>
          </w:tcPr>
          <w:p>
            <w:pPr>
              <w:spacing w:after="0"/>
              <w:rPr>
                <w:sz w:val="14"/>
                <w:szCs w:val="14"/>
                <w:color w:val="auto"/>
              </w:rPr>
            </w:pPr>
          </w:p>
        </w:tc>
        <w:tc>
          <w:tcPr>
            <w:tcW w:w="520" w:type="dxa"/>
            <w:vAlign w:val="bottom"/>
            <w:shd w:val="clear" w:color="auto" w:fill="333333"/>
          </w:tcPr>
          <w:p>
            <w:pPr>
              <w:spacing w:after="0"/>
              <w:rPr>
                <w:sz w:val="14"/>
                <w:szCs w:val="14"/>
                <w:color w:val="auto"/>
              </w:rPr>
            </w:pPr>
          </w:p>
        </w:tc>
        <w:tc>
          <w:tcPr>
            <w:tcW w:w="820" w:type="dxa"/>
            <w:vAlign w:val="bottom"/>
            <w:shd w:val="clear" w:color="auto" w:fill="333333"/>
          </w:tcPr>
          <w:p>
            <w:pPr>
              <w:spacing w:after="0"/>
              <w:rPr>
                <w:sz w:val="14"/>
                <w:szCs w:val="14"/>
                <w:color w:val="auto"/>
              </w:rPr>
            </w:pPr>
          </w:p>
        </w:tc>
        <w:tc>
          <w:tcPr>
            <w:tcW w:w="720" w:type="dxa"/>
            <w:vAlign w:val="bottom"/>
            <w:shd w:val="clear" w:color="auto" w:fill="333333"/>
          </w:tcPr>
          <w:p>
            <w:pPr>
              <w:spacing w:after="0"/>
              <w:rPr>
                <w:sz w:val="14"/>
                <w:szCs w:val="14"/>
                <w:color w:val="auto"/>
              </w:rPr>
            </w:pPr>
          </w:p>
        </w:tc>
        <w:tc>
          <w:tcPr>
            <w:tcW w:w="40" w:type="dxa"/>
            <w:vAlign w:val="bottom"/>
            <w:shd w:val="clear" w:color="auto" w:fill="333333"/>
          </w:tcPr>
          <w:p>
            <w:pPr>
              <w:spacing w:after="0"/>
              <w:rPr>
                <w:sz w:val="14"/>
                <w:szCs w:val="14"/>
                <w:color w:val="auto"/>
              </w:rPr>
            </w:pPr>
          </w:p>
        </w:tc>
        <w:tc>
          <w:tcPr>
            <w:tcW w:w="3520" w:type="dxa"/>
            <w:vAlign w:val="bottom"/>
            <w:gridSpan w:val="11"/>
            <w:shd w:val="clear" w:color="auto" w:fill="333333"/>
          </w:tcPr>
          <w:p>
            <w:pPr>
              <w:jc w:val="right"/>
              <w:ind w:right="29"/>
              <w:spacing w:after="0" w:line="162" w:lineRule="exact"/>
              <w:rPr>
                <w:sz w:val="20"/>
                <w:szCs w:val="20"/>
                <w:color w:val="auto"/>
              </w:rPr>
            </w:pPr>
            <w:r>
              <w:rPr>
                <w:rFonts w:ascii="Arial" w:cs="Arial" w:eastAsia="Arial" w:hAnsi="Arial"/>
                <w:sz w:val="15"/>
                <w:szCs w:val="15"/>
                <w:color w:val="FFFFFF"/>
              </w:rPr>
              <w:t>THOUSAND MILLION STANDARD CUBIC FEET</w:t>
            </w:r>
          </w:p>
        </w:tc>
        <w:tc>
          <w:tcPr>
            <w:tcW w:w="0" w:type="dxa"/>
            <w:vAlign w:val="bottom"/>
          </w:tcPr>
          <w:p>
            <w:pPr>
              <w:spacing w:after="0"/>
              <w:rPr>
                <w:sz w:val="1"/>
                <w:szCs w:val="1"/>
                <w:color w:val="auto"/>
              </w:rPr>
            </w:pPr>
          </w:p>
        </w:tc>
      </w:tr>
      <w:tr>
        <w:trPr>
          <w:trHeight w:val="135"/>
        </w:trPr>
        <w:tc>
          <w:tcPr>
            <w:tcW w:w="47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580" w:type="dxa"/>
            <w:vAlign w:val="bottom"/>
            <w:gridSpan w:val="4"/>
          </w:tcPr>
          <w:p>
            <w:pPr>
              <w:jc w:val="right"/>
              <w:ind w:right="348"/>
              <w:spacing w:after="0" w:line="135" w:lineRule="exact"/>
              <w:rPr>
                <w:sz w:val="20"/>
                <w:szCs w:val="20"/>
                <w:color w:val="auto"/>
              </w:rPr>
            </w:pPr>
            <w:r>
              <w:rPr>
                <w:rFonts w:ascii="Arial" w:cs="Arial" w:eastAsia="Arial" w:hAnsi="Arial"/>
                <w:sz w:val="13"/>
                <w:szCs w:val="13"/>
                <w:color w:val="auto"/>
              </w:rPr>
              <w:t>North America</w:t>
            </w:r>
          </w:p>
        </w:tc>
        <w:tc>
          <w:tcPr>
            <w:tcW w:w="780" w:type="dxa"/>
            <w:vAlign w:val="bottom"/>
            <w:gridSpan w:val="4"/>
          </w:tcPr>
          <w:p>
            <w:pPr>
              <w:jc w:val="right"/>
              <w:ind w:right="280"/>
              <w:spacing w:after="0" w:line="135" w:lineRule="exact"/>
              <w:rPr>
                <w:sz w:val="20"/>
                <w:szCs w:val="20"/>
                <w:color w:val="auto"/>
              </w:rPr>
            </w:pPr>
            <w:r>
              <w:rPr>
                <w:rFonts w:ascii="Arial" w:cs="Arial" w:eastAsia="Arial" w:hAnsi="Arial"/>
                <w:sz w:val="13"/>
                <w:szCs w:val="13"/>
                <w:color w:val="auto"/>
              </w:rPr>
              <w:t>South</w:t>
            </w: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4780" w:type="dxa"/>
            <w:vAlign w:val="bottom"/>
          </w:tcPr>
          <w:p>
            <w:pPr>
              <w:spacing w:after="0"/>
              <w:rPr>
                <w:sz w:val="11"/>
                <w:szCs w:val="11"/>
                <w:color w:val="auto"/>
              </w:rPr>
            </w:pPr>
          </w:p>
        </w:tc>
        <w:tc>
          <w:tcPr>
            <w:tcW w:w="820" w:type="dxa"/>
            <w:vAlign w:val="bottom"/>
          </w:tcPr>
          <w:p>
            <w:pPr>
              <w:jc w:val="right"/>
              <w:ind w:right="68"/>
              <w:spacing w:after="0" w:line="129" w:lineRule="exact"/>
              <w:rPr>
                <w:sz w:val="20"/>
                <w:szCs w:val="20"/>
                <w:color w:val="auto"/>
              </w:rPr>
            </w:pPr>
            <w:r>
              <w:rPr>
                <w:rFonts w:ascii="Arial" w:cs="Arial" w:eastAsia="Arial" w:hAnsi="Arial"/>
                <w:sz w:val="13"/>
                <w:szCs w:val="13"/>
                <w:color w:val="auto"/>
              </w:rPr>
              <w:t>Europe</w:t>
            </w:r>
          </w:p>
        </w:tc>
        <w:tc>
          <w:tcPr>
            <w:tcW w:w="200" w:type="dxa"/>
            <w:vAlign w:val="bottom"/>
          </w:tcPr>
          <w:p>
            <w:pPr>
              <w:spacing w:after="0"/>
              <w:rPr>
                <w:sz w:val="11"/>
                <w:szCs w:val="11"/>
                <w:color w:val="auto"/>
              </w:rPr>
            </w:pPr>
          </w:p>
        </w:tc>
        <w:tc>
          <w:tcPr>
            <w:tcW w:w="520" w:type="dxa"/>
            <w:vAlign w:val="bottom"/>
          </w:tcPr>
          <w:p>
            <w:pPr>
              <w:jc w:val="right"/>
              <w:ind w:right="9"/>
              <w:spacing w:after="0" w:line="129" w:lineRule="exact"/>
              <w:rPr>
                <w:sz w:val="20"/>
                <w:szCs w:val="20"/>
                <w:color w:val="auto"/>
              </w:rPr>
            </w:pPr>
            <w:r>
              <w:rPr>
                <w:rFonts w:ascii="Arial" w:cs="Arial" w:eastAsia="Arial" w:hAnsi="Arial"/>
                <w:sz w:val="13"/>
                <w:szCs w:val="13"/>
                <w:color w:val="auto"/>
              </w:rPr>
              <w:t>Asia</w:t>
            </w:r>
          </w:p>
        </w:tc>
        <w:tc>
          <w:tcPr>
            <w:tcW w:w="820" w:type="dxa"/>
            <w:vAlign w:val="bottom"/>
          </w:tcPr>
          <w:p>
            <w:pPr>
              <w:jc w:val="right"/>
              <w:ind w:right="10"/>
              <w:spacing w:after="0" w:line="129" w:lineRule="exact"/>
              <w:rPr>
                <w:sz w:val="20"/>
                <w:szCs w:val="20"/>
                <w:color w:val="auto"/>
              </w:rPr>
            </w:pPr>
            <w:r>
              <w:rPr>
                <w:rFonts w:ascii="Arial" w:cs="Arial" w:eastAsia="Arial" w:hAnsi="Arial"/>
                <w:sz w:val="13"/>
                <w:szCs w:val="13"/>
                <w:color w:val="auto"/>
              </w:rPr>
              <w:t>Oceania</w:t>
            </w:r>
          </w:p>
        </w:tc>
        <w:tc>
          <w:tcPr>
            <w:tcW w:w="720" w:type="dxa"/>
            <w:vAlign w:val="bottom"/>
          </w:tcPr>
          <w:p>
            <w:pPr>
              <w:jc w:val="right"/>
              <w:spacing w:after="0" w:line="129" w:lineRule="exact"/>
              <w:rPr>
                <w:sz w:val="20"/>
                <w:szCs w:val="20"/>
                <w:color w:val="auto"/>
              </w:rPr>
            </w:pPr>
            <w:r>
              <w:rPr>
                <w:rFonts w:ascii="Arial" w:cs="Arial" w:eastAsia="Arial" w:hAnsi="Arial"/>
                <w:sz w:val="13"/>
                <w:szCs w:val="13"/>
                <w:color w:val="auto"/>
              </w:rPr>
              <w:t>Africa</w:t>
            </w:r>
          </w:p>
        </w:tc>
        <w:tc>
          <w:tcPr>
            <w:tcW w:w="40" w:type="dxa"/>
            <w:vAlign w:val="bottom"/>
          </w:tcPr>
          <w:p>
            <w:pPr>
              <w:spacing w:after="0"/>
              <w:rPr>
                <w:sz w:val="11"/>
                <w:szCs w:val="11"/>
                <w:color w:val="auto"/>
              </w:rPr>
            </w:pPr>
          </w:p>
        </w:tc>
        <w:tc>
          <w:tcPr>
            <w:tcW w:w="34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gridSpan w:val="2"/>
          </w:tcPr>
          <w:p>
            <w:pPr>
              <w:jc w:val="right"/>
              <w:ind w:right="329"/>
              <w:spacing w:after="0" w:line="129" w:lineRule="exact"/>
              <w:rPr>
                <w:sz w:val="20"/>
                <w:szCs w:val="20"/>
                <w:color w:val="auto"/>
              </w:rPr>
            </w:pPr>
            <w:r>
              <w:rPr>
                <w:rFonts w:ascii="Arial" w:cs="Arial" w:eastAsia="Arial" w:hAnsi="Arial"/>
                <w:sz w:val="13"/>
                <w:szCs w:val="13"/>
                <w:color w:val="auto"/>
              </w:rPr>
              <w:t>USA</w:t>
            </w:r>
          </w:p>
        </w:tc>
        <w:tc>
          <w:tcPr>
            <w:tcW w:w="620" w:type="dxa"/>
            <w:vAlign w:val="bottom"/>
            <w:tcBorders>
              <w:top w:val="single" w:sz="8" w:color="auto"/>
            </w:tcBorders>
            <w:gridSpan w:val="2"/>
          </w:tcPr>
          <w:p>
            <w:pPr>
              <w:jc w:val="right"/>
              <w:ind w:right="48"/>
              <w:spacing w:after="0" w:line="129" w:lineRule="exact"/>
              <w:rPr>
                <w:sz w:val="20"/>
                <w:szCs w:val="20"/>
                <w:color w:val="auto"/>
              </w:rPr>
            </w:pPr>
            <w:r>
              <w:rPr>
                <w:rFonts w:ascii="Arial" w:cs="Arial" w:eastAsia="Arial" w:hAnsi="Arial"/>
                <w:sz w:val="13"/>
                <w:szCs w:val="13"/>
                <w:color w:val="auto"/>
              </w:rPr>
              <w:t>Canada</w:t>
            </w:r>
          </w:p>
        </w:tc>
        <w:tc>
          <w:tcPr>
            <w:tcW w:w="300" w:type="dxa"/>
            <w:vAlign w:val="bottom"/>
          </w:tcPr>
          <w:p>
            <w:pPr>
              <w:spacing w:after="0"/>
              <w:rPr>
                <w:sz w:val="11"/>
                <w:szCs w:val="11"/>
                <w:color w:val="auto"/>
              </w:rPr>
            </w:pPr>
          </w:p>
        </w:tc>
        <w:tc>
          <w:tcPr>
            <w:tcW w:w="780" w:type="dxa"/>
            <w:vAlign w:val="bottom"/>
            <w:gridSpan w:val="4"/>
          </w:tcPr>
          <w:p>
            <w:pPr>
              <w:jc w:val="right"/>
              <w:ind w:right="280"/>
              <w:spacing w:after="0" w:line="129" w:lineRule="exact"/>
              <w:rPr>
                <w:sz w:val="20"/>
                <w:szCs w:val="20"/>
                <w:color w:val="auto"/>
              </w:rPr>
            </w:pPr>
            <w:r>
              <w:rPr>
                <w:rFonts w:ascii="Arial" w:cs="Arial" w:eastAsia="Arial" w:hAnsi="Arial"/>
                <w:sz w:val="13"/>
                <w:szCs w:val="13"/>
                <w:color w:val="auto"/>
              </w:rPr>
              <w:t>America</w:t>
            </w:r>
          </w:p>
        </w:tc>
        <w:tc>
          <w:tcPr>
            <w:tcW w:w="700" w:type="dxa"/>
            <w:vAlign w:val="bottom"/>
          </w:tcPr>
          <w:p>
            <w:pPr>
              <w:jc w:val="right"/>
              <w:ind w:right="29"/>
              <w:spacing w:after="0" w:line="129" w:lineRule="exact"/>
              <w:rPr>
                <w:sz w:val="20"/>
                <w:szCs w:val="20"/>
                <w:color w:val="auto"/>
              </w:rPr>
            </w:pPr>
            <w:r>
              <w:rPr>
                <w:rFonts w:ascii="Arial" w:cs="Arial" w:eastAsia="Arial" w:hAnsi="Arial"/>
                <w:sz w:val="13"/>
                <w:szCs w:val="13"/>
                <w:color w:val="auto"/>
              </w:rPr>
              <w:t>Total</w:t>
            </w:r>
          </w:p>
        </w:tc>
        <w:tc>
          <w:tcPr>
            <w:tcW w:w="0" w:type="dxa"/>
            <w:vAlign w:val="bottom"/>
          </w:tcPr>
          <w:p>
            <w:pPr>
              <w:spacing w:after="0"/>
              <w:rPr>
                <w:sz w:val="1"/>
                <w:szCs w:val="1"/>
                <w:color w:val="auto"/>
              </w:rPr>
            </w:pPr>
          </w:p>
        </w:tc>
      </w:tr>
      <w:tr>
        <w:trPr>
          <w:trHeight w:val="160"/>
        </w:trPr>
        <w:tc>
          <w:tcPr>
            <w:tcW w:w="4780" w:type="dxa"/>
            <w:vAlign w:val="bottom"/>
            <w:tcBorders>
              <w:top w:val="single" w:sz="8" w:color="auto"/>
            </w:tcBorders>
          </w:tcPr>
          <w:p>
            <w:pPr>
              <w:spacing w:after="0"/>
              <w:rPr>
                <w:sz w:val="20"/>
                <w:szCs w:val="20"/>
                <w:color w:val="auto"/>
              </w:rPr>
            </w:pPr>
            <w:r>
              <w:rPr>
                <w:rFonts w:ascii="Arial" w:cs="Arial" w:eastAsia="Arial" w:hAnsi="Arial"/>
                <w:sz w:val="14"/>
                <w:szCs w:val="14"/>
                <w:color w:val="auto"/>
              </w:rPr>
              <w:t>Shell subsidiaries</w:t>
            </w:r>
          </w:p>
        </w:tc>
        <w:tc>
          <w:tcPr>
            <w:tcW w:w="82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52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spacing w:after="0"/>
              <w:rPr>
                <w:sz w:val="13"/>
                <w:szCs w:val="13"/>
                <w:color w:val="auto"/>
              </w:rPr>
            </w:pPr>
          </w:p>
        </w:tc>
        <w:tc>
          <w:tcPr>
            <w:tcW w:w="40" w:type="dxa"/>
            <w:vAlign w:val="bottom"/>
            <w:tcBorders>
              <w:top w:val="single" w:sz="8" w:color="auto"/>
            </w:tcBorders>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500" w:type="dxa"/>
            <w:vAlign w:val="bottom"/>
            <w:tcBorders>
              <w:top w:val="single" w:sz="8" w:color="auto"/>
            </w:tcBorders>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50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4780" w:type="dxa"/>
            <w:vAlign w:val="bottom"/>
          </w:tcPr>
          <w:p>
            <w:pPr>
              <w:ind w:left="140"/>
              <w:spacing w:after="0"/>
              <w:rPr>
                <w:sz w:val="20"/>
                <w:szCs w:val="20"/>
                <w:color w:val="auto"/>
              </w:rPr>
            </w:pPr>
            <w:r>
              <w:rPr>
                <w:rFonts w:ascii="Arial" w:cs="Arial" w:eastAsia="Arial" w:hAnsi="Arial"/>
                <w:sz w:val="14"/>
                <w:szCs w:val="14"/>
                <w:color w:val="auto"/>
              </w:rPr>
              <w:t>At January 1</w:t>
            </w:r>
          </w:p>
        </w:tc>
        <w:tc>
          <w:tcPr>
            <w:tcW w:w="820" w:type="dxa"/>
            <w:vAlign w:val="bottom"/>
          </w:tcPr>
          <w:p>
            <w:pPr>
              <w:jc w:val="right"/>
              <w:ind w:right="68"/>
              <w:spacing w:after="0"/>
              <w:rPr>
                <w:sz w:val="20"/>
                <w:szCs w:val="20"/>
                <w:color w:val="auto"/>
              </w:rPr>
            </w:pPr>
            <w:r>
              <w:rPr>
                <w:rFonts w:ascii="Arial" w:cs="Arial" w:eastAsia="Arial" w:hAnsi="Arial"/>
                <w:sz w:val="14"/>
                <w:szCs w:val="14"/>
                <w:color w:val="auto"/>
              </w:rPr>
              <w:t>5,021</w:t>
            </w:r>
          </w:p>
        </w:tc>
        <w:tc>
          <w:tcPr>
            <w:tcW w:w="720" w:type="dxa"/>
            <w:vAlign w:val="bottom"/>
            <w:gridSpan w:val="2"/>
          </w:tcPr>
          <w:p>
            <w:pPr>
              <w:jc w:val="right"/>
              <w:ind w:right="9"/>
              <w:spacing w:after="0"/>
              <w:rPr>
                <w:sz w:val="20"/>
                <w:szCs w:val="20"/>
                <w:color w:val="auto"/>
              </w:rPr>
            </w:pPr>
            <w:r>
              <w:rPr>
                <w:rFonts w:ascii="Arial" w:cs="Arial" w:eastAsia="Arial" w:hAnsi="Arial"/>
                <w:sz w:val="14"/>
                <w:szCs w:val="14"/>
                <w:color w:val="auto"/>
              </w:rPr>
              <w:t>10,220</w:t>
            </w:r>
          </w:p>
        </w:tc>
        <w:tc>
          <w:tcPr>
            <w:tcW w:w="820" w:type="dxa"/>
            <w:vAlign w:val="bottom"/>
          </w:tcPr>
          <w:p>
            <w:pPr>
              <w:jc w:val="right"/>
              <w:ind w:right="10"/>
              <w:spacing w:after="0"/>
              <w:rPr>
                <w:sz w:val="20"/>
                <w:szCs w:val="20"/>
                <w:color w:val="auto"/>
              </w:rPr>
            </w:pPr>
            <w:r>
              <w:rPr>
                <w:rFonts w:ascii="Arial" w:cs="Arial" w:eastAsia="Arial" w:hAnsi="Arial"/>
                <w:sz w:val="14"/>
                <w:szCs w:val="14"/>
                <w:color w:val="auto"/>
              </w:rPr>
              <w:t>5,571</w:t>
            </w:r>
          </w:p>
        </w:tc>
        <w:tc>
          <w:tcPr>
            <w:tcW w:w="720" w:type="dxa"/>
            <w:vAlign w:val="bottom"/>
          </w:tcPr>
          <w:p>
            <w:pPr>
              <w:jc w:val="right"/>
              <w:spacing w:after="0"/>
              <w:rPr>
                <w:sz w:val="20"/>
                <w:szCs w:val="20"/>
                <w:color w:val="auto"/>
              </w:rPr>
            </w:pPr>
            <w:r>
              <w:rPr>
                <w:rFonts w:ascii="Arial" w:cs="Arial" w:eastAsia="Arial" w:hAnsi="Arial"/>
                <w:sz w:val="14"/>
                <w:szCs w:val="14"/>
                <w:color w:val="auto"/>
              </w:rPr>
              <w:t>2,241</w:t>
            </w:r>
          </w:p>
        </w:tc>
        <w:tc>
          <w:tcPr>
            <w:tcW w:w="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80" w:type="dxa"/>
            <w:vAlign w:val="bottom"/>
            <w:gridSpan w:val="2"/>
          </w:tcPr>
          <w:p>
            <w:pPr>
              <w:jc w:val="right"/>
              <w:ind w:right="329"/>
              <w:spacing w:after="0"/>
              <w:rPr>
                <w:sz w:val="20"/>
                <w:szCs w:val="20"/>
                <w:color w:val="auto"/>
              </w:rPr>
            </w:pPr>
            <w:r>
              <w:rPr>
                <w:rFonts w:ascii="Arial" w:cs="Arial" w:eastAsia="Arial" w:hAnsi="Arial"/>
                <w:sz w:val="14"/>
                <w:szCs w:val="14"/>
                <w:color w:val="auto"/>
              </w:rPr>
              <w:t>2,265</w:t>
            </w:r>
          </w:p>
        </w:tc>
        <w:tc>
          <w:tcPr>
            <w:tcW w:w="120" w:type="dxa"/>
            <w:vAlign w:val="bottom"/>
          </w:tcPr>
          <w:p>
            <w:pPr>
              <w:spacing w:after="0"/>
              <w:rPr>
                <w:sz w:val="14"/>
                <w:szCs w:val="14"/>
                <w:color w:val="auto"/>
              </w:rPr>
            </w:pPr>
          </w:p>
        </w:tc>
        <w:tc>
          <w:tcPr>
            <w:tcW w:w="500" w:type="dxa"/>
            <w:vAlign w:val="bottom"/>
          </w:tcPr>
          <w:p>
            <w:pPr>
              <w:jc w:val="right"/>
              <w:ind w:right="48"/>
              <w:spacing w:after="0"/>
              <w:rPr>
                <w:sz w:val="20"/>
                <w:szCs w:val="20"/>
                <w:color w:val="auto"/>
              </w:rPr>
            </w:pPr>
            <w:r>
              <w:rPr>
                <w:rFonts w:ascii="Arial" w:cs="Arial" w:eastAsia="Arial" w:hAnsi="Arial"/>
                <w:sz w:val="14"/>
                <w:szCs w:val="14"/>
                <w:color w:val="auto"/>
              </w:rPr>
              <w:t>1,011</w:t>
            </w:r>
          </w:p>
        </w:tc>
        <w:tc>
          <w:tcPr>
            <w:tcW w:w="300" w:type="dxa"/>
            <w:vAlign w:val="bottom"/>
          </w:tcPr>
          <w:p>
            <w:pPr>
              <w:spacing w:after="0"/>
              <w:rPr>
                <w:sz w:val="14"/>
                <w:szCs w:val="14"/>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4"/>
                <w:szCs w:val="14"/>
                <w:color w:val="auto"/>
              </w:rPr>
              <w:t>95</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jc w:val="right"/>
              <w:ind w:right="29"/>
              <w:spacing w:after="0"/>
              <w:rPr>
                <w:sz w:val="20"/>
                <w:szCs w:val="20"/>
                <w:color w:val="auto"/>
              </w:rPr>
            </w:pPr>
            <w:r>
              <w:rPr>
                <w:rFonts w:ascii="Arial" w:cs="Arial" w:eastAsia="Arial" w:hAnsi="Arial"/>
                <w:sz w:val="14"/>
                <w:szCs w:val="14"/>
                <w:color w:val="auto"/>
              </w:rPr>
              <w:t>26,424</w:t>
            </w:r>
          </w:p>
        </w:tc>
        <w:tc>
          <w:tcPr>
            <w:tcW w:w="0" w:type="dxa"/>
            <w:vAlign w:val="bottom"/>
          </w:tcPr>
          <w:p>
            <w:pPr>
              <w:spacing w:after="0"/>
              <w:rPr>
                <w:sz w:val="1"/>
                <w:szCs w:val="1"/>
                <w:color w:val="auto"/>
              </w:rPr>
            </w:pPr>
          </w:p>
        </w:tc>
      </w:tr>
      <w:tr>
        <w:trPr>
          <w:trHeight w:val="162"/>
        </w:trPr>
        <w:tc>
          <w:tcPr>
            <w:tcW w:w="4780" w:type="dxa"/>
            <w:vAlign w:val="bottom"/>
          </w:tcPr>
          <w:p>
            <w:pPr>
              <w:ind w:left="140"/>
              <w:spacing w:after="0"/>
              <w:rPr>
                <w:sz w:val="20"/>
                <w:szCs w:val="20"/>
                <w:color w:val="auto"/>
              </w:rPr>
            </w:pPr>
            <w:r>
              <w:rPr>
                <w:rFonts w:ascii="Arial" w:cs="Arial" w:eastAsia="Arial" w:hAnsi="Arial"/>
                <w:sz w:val="14"/>
                <w:szCs w:val="14"/>
                <w:color w:val="auto"/>
              </w:rPr>
              <w:t>IFRS 11 reclassification</w:t>
            </w:r>
          </w:p>
        </w:tc>
        <w:tc>
          <w:tcPr>
            <w:tcW w:w="82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9"/>
              <w:spacing w:after="0"/>
              <w:rPr>
                <w:sz w:val="20"/>
                <w:szCs w:val="20"/>
                <w:color w:val="auto"/>
              </w:rPr>
            </w:pPr>
            <w:r>
              <w:rPr>
                <w:rFonts w:ascii="Arial" w:cs="Arial" w:eastAsia="Arial" w:hAnsi="Arial"/>
                <w:sz w:val="14"/>
                <w:szCs w:val="14"/>
                <w:color w:val="auto"/>
              </w:rPr>
              <w:t>15</w:t>
            </w:r>
          </w:p>
        </w:tc>
        <w:tc>
          <w:tcPr>
            <w:tcW w:w="820" w:type="dxa"/>
            <w:vAlign w:val="bottom"/>
          </w:tcPr>
          <w:p>
            <w:pPr>
              <w:jc w:val="right"/>
              <w:ind w:right="10"/>
              <w:spacing w:after="0"/>
              <w:rPr>
                <w:sz w:val="20"/>
                <w:szCs w:val="20"/>
                <w:color w:val="auto"/>
              </w:rPr>
            </w:pPr>
            <w:r>
              <w:rPr>
                <w:rFonts w:ascii="Arial" w:cs="Arial" w:eastAsia="Arial" w:hAnsi="Arial"/>
                <w:sz w:val="14"/>
                <w:szCs w:val="14"/>
                <w:color w:val="auto"/>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80" w:type="dxa"/>
            <w:vAlign w:val="bottom"/>
            <w:gridSpan w:val="2"/>
          </w:tcPr>
          <w:p>
            <w:pPr>
              <w:jc w:val="right"/>
              <w:ind w:right="329"/>
              <w:spacing w:after="0"/>
              <w:rPr>
                <w:sz w:val="20"/>
                <w:szCs w:val="20"/>
                <w:color w:val="auto"/>
              </w:rPr>
            </w:pPr>
            <w:r>
              <w:rPr>
                <w:rFonts w:ascii="Arial" w:cs="Arial" w:eastAsia="Arial" w:hAnsi="Arial"/>
                <w:sz w:val="14"/>
                <w:szCs w:val="14"/>
                <w:color w:val="auto"/>
              </w:rPr>
              <w:t>87</w:t>
            </w:r>
          </w:p>
        </w:tc>
        <w:tc>
          <w:tcPr>
            <w:tcW w:w="120" w:type="dxa"/>
            <w:vAlign w:val="bottom"/>
          </w:tcPr>
          <w:p>
            <w:pPr>
              <w:spacing w:after="0"/>
              <w:rPr>
                <w:sz w:val="14"/>
                <w:szCs w:val="14"/>
                <w:color w:val="auto"/>
              </w:rPr>
            </w:pPr>
          </w:p>
        </w:tc>
        <w:tc>
          <w:tcPr>
            <w:tcW w:w="800" w:type="dxa"/>
            <w:vAlign w:val="bottom"/>
            <w:gridSpan w:val="2"/>
          </w:tcPr>
          <w:p>
            <w:pPr>
              <w:jc w:val="right"/>
              <w:ind w:right="348"/>
              <w:spacing w:after="0"/>
              <w:rPr>
                <w:sz w:val="20"/>
                <w:szCs w:val="20"/>
                <w:color w:val="auto"/>
              </w:rPr>
            </w:pPr>
            <w:r>
              <w:rPr>
                <w:rFonts w:ascii="Arial" w:cs="Arial" w:eastAsia="Arial" w:hAnsi="Arial"/>
                <w:sz w:val="14"/>
                <w:szCs w:val="14"/>
                <w:color w:val="auto"/>
              </w:rPr>
              <w:t>–</w:t>
            </w:r>
          </w:p>
        </w:tc>
        <w:tc>
          <w:tcPr>
            <w:tcW w:w="780" w:type="dxa"/>
            <w:vAlign w:val="bottom"/>
            <w:gridSpan w:val="4"/>
          </w:tcPr>
          <w:p>
            <w:pPr>
              <w:jc w:val="right"/>
              <w:ind w:right="280"/>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29"/>
              <w:spacing w:after="0"/>
              <w:rPr>
                <w:sz w:val="20"/>
                <w:szCs w:val="20"/>
                <w:color w:val="auto"/>
              </w:rPr>
            </w:pPr>
            <w:r>
              <w:rPr>
                <w:rFonts w:ascii="Arial" w:cs="Arial" w:eastAsia="Arial" w:hAnsi="Arial"/>
                <w:sz w:val="14"/>
                <w:szCs w:val="14"/>
                <w:color w:val="auto"/>
              </w:rPr>
              <w:t>102</w:t>
            </w:r>
          </w:p>
        </w:tc>
        <w:tc>
          <w:tcPr>
            <w:tcW w:w="0" w:type="dxa"/>
            <w:vAlign w:val="bottom"/>
          </w:tcPr>
          <w:p>
            <w:pPr>
              <w:spacing w:after="0"/>
              <w:rPr>
                <w:sz w:val="1"/>
                <w:szCs w:val="1"/>
                <w:color w:val="auto"/>
              </w:rPr>
            </w:pPr>
          </w:p>
        </w:tc>
      </w:tr>
      <w:tr>
        <w:trPr>
          <w:trHeight w:val="162"/>
        </w:trPr>
        <w:tc>
          <w:tcPr>
            <w:tcW w:w="4780" w:type="dxa"/>
            <w:vAlign w:val="bottom"/>
          </w:tcPr>
          <w:p>
            <w:pPr>
              <w:ind w:left="140"/>
              <w:spacing w:after="0"/>
              <w:rPr>
                <w:sz w:val="20"/>
                <w:szCs w:val="20"/>
                <w:color w:val="auto"/>
              </w:rPr>
            </w:pPr>
            <w:r>
              <w:rPr>
                <w:rFonts w:ascii="Arial" w:cs="Arial" w:eastAsia="Arial" w:hAnsi="Arial"/>
                <w:sz w:val="14"/>
                <w:szCs w:val="14"/>
                <w:color w:val="auto"/>
              </w:rPr>
              <w:t>Revisions and reclassifications</w:t>
            </w:r>
          </w:p>
        </w:tc>
        <w:tc>
          <w:tcPr>
            <w:tcW w:w="820" w:type="dxa"/>
            <w:vAlign w:val="bottom"/>
          </w:tcPr>
          <w:p>
            <w:pPr>
              <w:jc w:val="right"/>
              <w:ind w:right="68"/>
              <w:spacing w:after="0"/>
              <w:rPr>
                <w:sz w:val="20"/>
                <w:szCs w:val="20"/>
                <w:color w:val="auto"/>
              </w:rPr>
            </w:pPr>
            <w:r>
              <w:rPr>
                <w:rFonts w:ascii="Arial" w:cs="Arial" w:eastAsia="Arial" w:hAnsi="Arial"/>
                <w:sz w:val="14"/>
                <w:szCs w:val="14"/>
                <w:color w:val="auto"/>
              </w:rPr>
              <w:t>229</w:t>
            </w:r>
          </w:p>
        </w:tc>
        <w:tc>
          <w:tcPr>
            <w:tcW w:w="720" w:type="dxa"/>
            <w:vAlign w:val="bottom"/>
            <w:gridSpan w:val="2"/>
          </w:tcPr>
          <w:p>
            <w:pPr>
              <w:jc w:val="right"/>
              <w:ind w:right="9"/>
              <w:spacing w:after="0"/>
              <w:rPr>
                <w:sz w:val="20"/>
                <w:szCs w:val="20"/>
                <w:color w:val="auto"/>
              </w:rPr>
            </w:pPr>
            <w:r>
              <w:rPr>
                <w:rFonts w:ascii="Arial" w:cs="Arial" w:eastAsia="Arial" w:hAnsi="Arial"/>
                <w:sz w:val="14"/>
                <w:szCs w:val="14"/>
                <w:color w:val="auto"/>
              </w:rPr>
              <w:t>695</w:t>
            </w:r>
          </w:p>
        </w:tc>
        <w:tc>
          <w:tcPr>
            <w:tcW w:w="820" w:type="dxa"/>
            <w:vAlign w:val="bottom"/>
          </w:tcPr>
          <w:p>
            <w:pPr>
              <w:jc w:val="right"/>
              <w:ind w:right="10"/>
              <w:spacing w:after="0"/>
              <w:rPr>
                <w:sz w:val="20"/>
                <w:szCs w:val="20"/>
                <w:color w:val="auto"/>
              </w:rPr>
            </w:pPr>
            <w:r>
              <w:rPr>
                <w:rFonts w:ascii="Arial" w:cs="Arial" w:eastAsia="Arial" w:hAnsi="Arial"/>
                <w:sz w:val="14"/>
                <w:szCs w:val="14"/>
                <w:color w:val="auto"/>
              </w:rPr>
              <w:t>778</w:t>
            </w:r>
          </w:p>
        </w:tc>
        <w:tc>
          <w:tcPr>
            <w:tcW w:w="720" w:type="dxa"/>
            <w:vAlign w:val="bottom"/>
          </w:tcPr>
          <w:p>
            <w:pPr>
              <w:jc w:val="right"/>
              <w:spacing w:after="0"/>
              <w:rPr>
                <w:sz w:val="20"/>
                <w:szCs w:val="20"/>
                <w:color w:val="auto"/>
              </w:rPr>
            </w:pPr>
            <w:r>
              <w:rPr>
                <w:rFonts w:ascii="Arial" w:cs="Arial" w:eastAsia="Arial" w:hAnsi="Arial"/>
                <w:sz w:val="14"/>
                <w:szCs w:val="14"/>
                <w:color w:val="auto"/>
              </w:rPr>
              <w:t>197</w:t>
            </w:r>
          </w:p>
        </w:tc>
        <w:tc>
          <w:tcPr>
            <w:tcW w:w="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80" w:type="dxa"/>
            <w:vAlign w:val="bottom"/>
            <w:gridSpan w:val="2"/>
          </w:tcPr>
          <w:p>
            <w:pPr>
              <w:jc w:val="right"/>
              <w:ind w:right="289"/>
              <w:spacing w:after="0"/>
              <w:rPr>
                <w:sz w:val="20"/>
                <w:szCs w:val="20"/>
                <w:color w:val="auto"/>
              </w:rPr>
            </w:pPr>
            <w:r>
              <w:rPr>
                <w:rFonts w:ascii="Arial" w:cs="Arial" w:eastAsia="Arial" w:hAnsi="Arial"/>
                <w:sz w:val="14"/>
                <w:szCs w:val="14"/>
                <w:color w:val="auto"/>
              </w:rPr>
              <w:t>(4)</w:t>
            </w:r>
          </w:p>
        </w:tc>
        <w:tc>
          <w:tcPr>
            <w:tcW w:w="120" w:type="dxa"/>
            <w:vAlign w:val="bottom"/>
          </w:tcPr>
          <w:p>
            <w:pPr>
              <w:spacing w:after="0"/>
              <w:rPr>
                <w:sz w:val="14"/>
                <w:szCs w:val="14"/>
                <w:color w:val="auto"/>
              </w:rPr>
            </w:pPr>
          </w:p>
        </w:tc>
        <w:tc>
          <w:tcPr>
            <w:tcW w:w="500" w:type="dxa"/>
            <w:vAlign w:val="bottom"/>
          </w:tcPr>
          <w:p>
            <w:pPr>
              <w:jc w:val="right"/>
              <w:ind w:right="48"/>
              <w:spacing w:after="0"/>
              <w:rPr>
                <w:sz w:val="20"/>
                <w:szCs w:val="20"/>
                <w:color w:val="auto"/>
              </w:rPr>
            </w:pPr>
            <w:r>
              <w:rPr>
                <w:rFonts w:ascii="Arial" w:cs="Arial" w:eastAsia="Arial" w:hAnsi="Arial"/>
                <w:sz w:val="14"/>
                <w:szCs w:val="14"/>
                <w:color w:val="auto"/>
              </w:rPr>
              <w:t>236</w:t>
            </w:r>
          </w:p>
        </w:tc>
        <w:tc>
          <w:tcPr>
            <w:tcW w:w="300" w:type="dxa"/>
            <w:vAlign w:val="bottom"/>
          </w:tcPr>
          <w:p>
            <w:pPr>
              <w:spacing w:after="0"/>
              <w:rPr>
                <w:sz w:val="14"/>
                <w:szCs w:val="14"/>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4"/>
                <w:szCs w:val="14"/>
                <w:color w:val="auto"/>
              </w:rPr>
              <w:t>(26)</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jc w:val="right"/>
              <w:ind w:right="29"/>
              <w:spacing w:after="0"/>
              <w:rPr>
                <w:sz w:val="20"/>
                <w:szCs w:val="20"/>
                <w:color w:val="auto"/>
              </w:rPr>
            </w:pPr>
            <w:r>
              <w:rPr>
                <w:rFonts w:ascii="Arial" w:cs="Arial" w:eastAsia="Arial" w:hAnsi="Arial"/>
                <w:sz w:val="14"/>
                <w:szCs w:val="14"/>
                <w:color w:val="auto"/>
              </w:rPr>
              <w:t>2,105</w:t>
            </w:r>
          </w:p>
        </w:tc>
        <w:tc>
          <w:tcPr>
            <w:tcW w:w="0" w:type="dxa"/>
            <w:vAlign w:val="bottom"/>
          </w:tcPr>
          <w:p>
            <w:pPr>
              <w:spacing w:after="0"/>
              <w:rPr>
                <w:sz w:val="1"/>
                <w:szCs w:val="1"/>
                <w:color w:val="auto"/>
              </w:rPr>
            </w:pPr>
          </w:p>
        </w:tc>
      </w:tr>
      <w:tr>
        <w:trPr>
          <w:trHeight w:val="162"/>
        </w:trPr>
        <w:tc>
          <w:tcPr>
            <w:tcW w:w="4780" w:type="dxa"/>
            <w:vAlign w:val="bottom"/>
          </w:tcPr>
          <w:p>
            <w:pPr>
              <w:ind w:left="140"/>
              <w:spacing w:after="0"/>
              <w:rPr>
                <w:sz w:val="20"/>
                <w:szCs w:val="20"/>
                <w:color w:val="auto"/>
              </w:rPr>
            </w:pPr>
            <w:r>
              <w:rPr>
                <w:rFonts w:ascii="Arial" w:cs="Arial" w:eastAsia="Arial" w:hAnsi="Arial"/>
                <w:sz w:val="14"/>
                <w:szCs w:val="14"/>
                <w:color w:val="auto"/>
              </w:rPr>
              <w:t>Improved recovery</w:t>
            </w:r>
          </w:p>
        </w:tc>
        <w:tc>
          <w:tcPr>
            <w:tcW w:w="82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52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10"/>
              <w:spacing w:after="0"/>
              <w:rPr>
                <w:sz w:val="20"/>
                <w:szCs w:val="20"/>
                <w:color w:val="auto"/>
              </w:rPr>
            </w:pPr>
            <w:r>
              <w:rPr>
                <w:rFonts w:ascii="Arial" w:cs="Arial" w:eastAsia="Arial" w:hAnsi="Arial"/>
                <w:sz w:val="14"/>
                <w:szCs w:val="14"/>
                <w:color w:val="auto"/>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jc w:val="right"/>
              <w:ind w:right="329"/>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500" w:type="dxa"/>
            <w:vAlign w:val="bottom"/>
          </w:tcPr>
          <w:p>
            <w:pPr>
              <w:jc w:val="right"/>
              <w:ind w:right="48"/>
              <w:spacing w:after="0"/>
              <w:rPr>
                <w:sz w:val="20"/>
                <w:szCs w:val="20"/>
                <w:color w:val="auto"/>
              </w:rPr>
            </w:pPr>
            <w:r>
              <w:rPr>
                <w:rFonts w:ascii="Arial" w:cs="Arial" w:eastAsia="Arial" w:hAnsi="Arial"/>
                <w:sz w:val="14"/>
                <w:szCs w:val="14"/>
                <w:color w:val="auto"/>
              </w:rPr>
              <w:t>160</w:t>
            </w:r>
          </w:p>
        </w:tc>
        <w:tc>
          <w:tcPr>
            <w:tcW w:w="300" w:type="dxa"/>
            <w:vAlign w:val="bottom"/>
          </w:tcPr>
          <w:p>
            <w:pPr>
              <w:spacing w:after="0"/>
              <w:rPr>
                <w:sz w:val="14"/>
                <w:szCs w:val="14"/>
                <w:color w:val="auto"/>
              </w:rPr>
            </w:pPr>
          </w:p>
        </w:tc>
        <w:tc>
          <w:tcPr>
            <w:tcW w:w="780" w:type="dxa"/>
            <w:vAlign w:val="bottom"/>
            <w:gridSpan w:val="4"/>
          </w:tcPr>
          <w:p>
            <w:pPr>
              <w:jc w:val="right"/>
              <w:ind w:right="280"/>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29"/>
              <w:spacing w:after="0"/>
              <w:rPr>
                <w:sz w:val="20"/>
                <w:szCs w:val="20"/>
                <w:color w:val="auto"/>
              </w:rPr>
            </w:pPr>
            <w:r>
              <w:rPr>
                <w:rFonts w:ascii="Arial" w:cs="Arial" w:eastAsia="Arial" w:hAnsi="Arial"/>
                <w:sz w:val="14"/>
                <w:szCs w:val="14"/>
                <w:color w:val="auto"/>
              </w:rPr>
              <w:t>160</w:t>
            </w:r>
          </w:p>
        </w:tc>
        <w:tc>
          <w:tcPr>
            <w:tcW w:w="0" w:type="dxa"/>
            <w:vAlign w:val="bottom"/>
          </w:tcPr>
          <w:p>
            <w:pPr>
              <w:spacing w:after="0"/>
              <w:rPr>
                <w:sz w:val="1"/>
                <w:szCs w:val="1"/>
                <w:color w:val="auto"/>
              </w:rPr>
            </w:pPr>
          </w:p>
        </w:tc>
      </w:tr>
      <w:tr>
        <w:trPr>
          <w:trHeight w:val="162"/>
        </w:trPr>
        <w:tc>
          <w:tcPr>
            <w:tcW w:w="4780" w:type="dxa"/>
            <w:vAlign w:val="bottom"/>
          </w:tcPr>
          <w:p>
            <w:pPr>
              <w:ind w:left="140"/>
              <w:spacing w:after="0"/>
              <w:rPr>
                <w:sz w:val="20"/>
                <w:szCs w:val="20"/>
                <w:color w:val="auto"/>
              </w:rPr>
            </w:pPr>
            <w:r>
              <w:rPr>
                <w:rFonts w:ascii="Arial" w:cs="Arial" w:eastAsia="Arial" w:hAnsi="Arial"/>
                <w:sz w:val="14"/>
                <w:szCs w:val="14"/>
                <w:color w:val="auto"/>
              </w:rPr>
              <w:t>Extensions and discoveries</w:t>
            </w:r>
          </w:p>
        </w:tc>
        <w:tc>
          <w:tcPr>
            <w:tcW w:w="820" w:type="dxa"/>
            <w:vAlign w:val="bottom"/>
          </w:tcPr>
          <w:p>
            <w:pPr>
              <w:jc w:val="right"/>
              <w:ind w:right="68"/>
              <w:spacing w:after="0"/>
              <w:rPr>
                <w:sz w:val="20"/>
                <w:szCs w:val="20"/>
                <w:color w:val="auto"/>
              </w:rPr>
            </w:pPr>
            <w:r>
              <w:rPr>
                <w:rFonts w:ascii="Arial" w:cs="Arial" w:eastAsia="Arial" w:hAnsi="Arial"/>
                <w:sz w:val="14"/>
                <w:szCs w:val="14"/>
                <w:color w:val="auto"/>
              </w:rPr>
              <w:t>13</w:t>
            </w:r>
          </w:p>
        </w:tc>
        <w:tc>
          <w:tcPr>
            <w:tcW w:w="720" w:type="dxa"/>
            <w:vAlign w:val="bottom"/>
            <w:gridSpan w:val="2"/>
          </w:tcPr>
          <w:p>
            <w:pPr>
              <w:jc w:val="right"/>
              <w:ind w:right="9"/>
              <w:spacing w:after="0"/>
              <w:rPr>
                <w:sz w:val="20"/>
                <w:szCs w:val="20"/>
                <w:color w:val="auto"/>
              </w:rPr>
            </w:pPr>
            <w:r>
              <w:rPr>
                <w:rFonts w:ascii="Arial" w:cs="Arial" w:eastAsia="Arial" w:hAnsi="Arial"/>
                <w:sz w:val="14"/>
                <w:szCs w:val="14"/>
                <w:color w:val="auto"/>
              </w:rPr>
              <w:t>5</w:t>
            </w:r>
          </w:p>
        </w:tc>
        <w:tc>
          <w:tcPr>
            <w:tcW w:w="820" w:type="dxa"/>
            <w:vAlign w:val="bottom"/>
          </w:tcPr>
          <w:p>
            <w:pPr>
              <w:jc w:val="right"/>
              <w:ind w:right="10"/>
              <w:spacing w:after="0"/>
              <w:rPr>
                <w:sz w:val="20"/>
                <w:szCs w:val="20"/>
                <w:color w:val="auto"/>
              </w:rPr>
            </w:pPr>
            <w:r>
              <w:rPr>
                <w:rFonts w:ascii="Arial" w:cs="Arial" w:eastAsia="Arial" w:hAnsi="Arial"/>
                <w:sz w:val="14"/>
                <w:szCs w:val="14"/>
                <w:color w:val="auto"/>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86</w:t>
            </w:r>
          </w:p>
        </w:tc>
        <w:tc>
          <w:tcPr>
            <w:tcW w:w="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80" w:type="dxa"/>
            <w:vAlign w:val="bottom"/>
            <w:gridSpan w:val="2"/>
          </w:tcPr>
          <w:p>
            <w:pPr>
              <w:jc w:val="right"/>
              <w:ind w:right="329"/>
              <w:spacing w:after="0"/>
              <w:rPr>
                <w:sz w:val="20"/>
                <w:szCs w:val="20"/>
                <w:color w:val="auto"/>
              </w:rPr>
            </w:pPr>
            <w:r>
              <w:rPr>
                <w:rFonts w:ascii="Arial" w:cs="Arial" w:eastAsia="Arial" w:hAnsi="Arial"/>
                <w:sz w:val="14"/>
                <w:szCs w:val="14"/>
                <w:color w:val="auto"/>
              </w:rPr>
              <w:t>250</w:t>
            </w:r>
          </w:p>
        </w:tc>
        <w:tc>
          <w:tcPr>
            <w:tcW w:w="120" w:type="dxa"/>
            <w:vAlign w:val="bottom"/>
          </w:tcPr>
          <w:p>
            <w:pPr>
              <w:spacing w:after="0"/>
              <w:rPr>
                <w:sz w:val="14"/>
                <w:szCs w:val="14"/>
                <w:color w:val="auto"/>
              </w:rPr>
            </w:pPr>
          </w:p>
        </w:tc>
        <w:tc>
          <w:tcPr>
            <w:tcW w:w="500" w:type="dxa"/>
            <w:vAlign w:val="bottom"/>
          </w:tcPr>
          <w:p>
            <w:pPr>
              <w:jc w:val="right"/>
              <w:ind w:right="48"/>
              <w:spacing w:after="0"/>
              <w:rPr>
                <w:sz w:val="20"/>
                <w:szCs w:val="20"/>
                <w:color w:val="auto"/>
              </w:rPr>
            </w:pPr>
            <w:r>
              <w:rPr>
                <w:rFonts w:ascii="Arial" w:cs="Arial" w:eastAsia="Arial" w:hAnsi="Arial"/>
                <w:sz w:val="14"/>
                <w:szCs w:val="14"/>
                <w:color w:val="auto"/>
              </w:rPr>
              <w:t>344</w:t>
            </w:r>
          </w:p>
        </w:tc>
        <w:tc>
          <w:tcPr>
            <w:tcW w:w="300" w:type="dxa"/>
            <w:vAlign w:val="bottom"/>
          </w:tcPr>
          <w:p>
            <w:pPr>
              <w:spacing w:after="0"/>
              <w:rPr>
                <w:sz w:val="14"/>
                <w:szCs w:val="14"/>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4"/>
                <w:szCs w:val="14"/>
                <w:color w:val="auto"/>
              </w:rPr>
              <w:t>11</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jc w:val="right"/>
              <w:ind w:right="29"/>
              <w:spacing w:after="0"/>
              <w:rPr>
                <w:sz w:val="20"/>
                <w:szCs w:val="20"/>
                <w:color w:val="auto"/>
              </w:rPr>
            </w:pPr>
            <w:r>
              <w:rPr>
                <w:rFonts w:ascii="Arial" w:cs="Arial" w:eastAsia="Arial" w:hAnsi="Arial"/>
                <w:sz w:val="14"/>
                <w:szCs w:val="14"/>
                <w:color w:val="auto"/>
              </w:rPr>
              <w:t>709</w:t>
            </w:r>
          </w:p>
        </w:tc>
        <w:tc>
          <w:tcPr>
            <w:tcW w:w="0" w:type="dxa"/>
            <w:vAlign w:val="bottom"/>
          </w:tcPr>
          <w:p>
            <w:pPr>
              <w:spacing w:after="0"/>
              <w:rPr>
                <w:sz w:val="1"/>
                <w:szCs w:val="1"/>
                <w:color w:val="auto"/>
              </w:rPr>
            </w:pPr>
          </w:p>
        </w:tc>
      </w:tr>
      <w:tr>
        <w:trPr>
          <w:trHeight w:val="162"/>
        </w:trPr>
        <w:tc>
          <w:tcPr>
            <w:tcW w:w="4780" w:type="dxa"/>
            <w:vAlign w:val="bottom"/>
          </w:tcPr>
          <w:p>
            <w:pPr>
              <w:ind w:left="140"/>
              <w:spacing w:after="0"/>
              <w:rPr>
                <w:sz w:val="20"/>
                <w:szCs w:val="20"/>
                <w:color w:val="auto"/>
              </w:rPr>
            </w:pPr>
            <w:r>
              <w:rPr>
                <w:rFonts w:ascii="Arial" w:cs="Arial" w:eastAsia="Arial" w:hAnsi="Arial"/>
                <w:sz w:val="14"/>
                <w:szCs w:val="14"/>
                <w:color w:val="auto"/>
              </w:rPr>
              <w:t>Purchases of minerals in place</w:t>
            </w:r>
          </w:p>
        </w:tc>
        <w:tc>
          <w:tcPr>
            <w:tcW w:w="820" w:type="dxa"/>
            <w:vAlign w:val="bottom"/>
          </w:tcPr>
          <w:p>
            <w:pPr>
              <w:jc w:val="right"/>
              <w:ind w:right="68"/>
              <w:spacing w:after="0"/>
              <w:rPr>
                <w:sz w:val="20"/>
                <w:szCs w:val="20"/>
                <w:color w:val="auto"/>
              </w:rPr>
            </w:pPr>
            <w:r>
              <w:rPr>
                <w:rFonts w:ascii="Arial" w:cs="Arial" w:eastAsia="Arial" w:hAnsi="Arial"/>
                <w:sz w:val="14"/>
                <w:szCs w:val="14"/>
                <w:color w:val="auto"/>
              </w:rPr>
              <w:t>38</w:t>
            </w:r>
          </w:p>
        </w:tc>
        <w:tc>
          <w:tcPr>
            <w:tcW w:w="200" w:type="dxa"/>
            <w:vAlign w:val="bottom"/>
          </w:tcPr>
          <w:p>
            <w:pPr>
              <w:spacing w:after="0"/>
              <w:rPr>
                <w:sz w:val="14"/>
                <w:szCs w:val="14"/>
                <w:color w:val="auto"/>
              </w:rPr>
            </w:pPr>
          </w:p>
        </w:tc>
        <w:tc>
          <w:tcPr>
            <w:tcW w:w="52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10"/>
              <w:spacing w:after="0"/>
              <w:rPr>
                <w:sz w:val="20"/>
                <w:szCs w:val="20"/>
                <w:color w:val="auto"/>
              </w:rPr>
            </w:pPr>
            <w:r>
              <w:rPr>
                <w:rFonts w:ascii="Arial" w:cs="Arial" w:eastAsia="Arial" w:hAnsi="Arial"/>
                <w:sz w:val="14"/>
                <w:szCs w:val="14"/>
                <w:color w:val="auto"/>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80" w:type="dxa"/>
            <w:vAlign w:val="bottom"/>
            <w:gridSpan w:val="2"/>
          </w:tcPr>
          <w:p>
            <w:pPr>
              <w:jc w:val="right"/>
              <w:ind w:right="329"/>
              <w:spacing w:after="0"/>
              <w:rPr>
                <w:sz w:val="20"/>
                <w:szCs w:val="20"/>
                <w:color w:val="auto"/>
              </w:rPr>
            </w:pPr>
            <w:r>
              <w:rPr>
                <w:rFonts w:ascii="Arial" w:cs="Arial" w:eastAsia="Arial" w:hAnsi="Arial"/>
                <w:sz w:val="14"/>
                <w:szCs w:val="14"/>
                <w:color w:val="auto"/>
              </w:rPr>
              <w:t>8</w:t>
            </w:r>
          </w:p>
        </w:tc>
        <w:tc>
          <w:tcPr>
            <w:tcW w:w="120" w:type="dxa"/>
            <w:vAlign w:val="bottom"/>
          </w:tcPr>
          <w:p>
            <w:pPr>
              <w:spacing w:after="0"/>
              <w:rPr>
                <w:sz w:val="14"/>
                <w:szCs w:val="14"/>
                <w:color w:val="auto"/>
              </w:rPr>
            </w:pPr>
          </w:p>
        </w:tc>
        <w:tc>
          <w:tcPr>
            <w:tcW w:w="800" w:type="dxa"/>
            <w:vAlign w:val="bottom"/>
            <w:gridSpan w:val="2"/>
          </w:tcPr>
          <w:p>
            <w:pPr>
              <w:jc w:val="right"/>
              <w:ind w:right="348"/>
              <w:spacing w:after="0"/>
              <w:rPr>
                <w:sz w:val="20"/>
                <w:szCs w:val="20"/>
                <w:color w:val="auto"/>
              </w:rPr>
            </w:pPr>
            <w:r>
              <w:rPr>
                <w:rFonts w:ascii="Arial" w:cs="Arial" w:eastAsia="Arial" w:hAnsi="Arial"/>
                <w:sz w:val="14"/>
                <w:szCs w:val="14"/>
                <w:color w:val="auto"/>
              </w:rPr>
              <w:t>–</w:t>
            </w:r>
          </w:p>
        </w:tc>
        <w:tc>
          <w:tcPr>
            <w:tcW w:w="620" w:type="dxa"/>
            <w:vAlign w:val="bottom"/>
            <w:gridSpan w:val="2"/>
          </w:tcPr>
          <w:p>
            <w:pPr>
              <w:jc w:val="right"/>
              <w:ind w:right="120"/>
              <w:spacing w:after="0"/>
              <w:rPr>
                <w:sz w:val="20"/>
                <w:szCs w:val="20"/>
                <w:color w:val="auto"/>
              </w:rPr>
            </w:pPr>
            <w:r>
              <w:rPr>
                <w:rFonts w:ascii="Arial" w:cs="Arial" w:eastAsia="Arial" w:hAnsi="Arial"/>
                <w:sz w:val="14"/>
                <w:szCs w:val="14"/>
                <w:color w:val="auto"/>
              </w:rPr>
              <w:t>8</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jc w:val="right"/>
              <w:ind w:right="29"/>
              <w:spacing w:after="0"/>
              <w:rPr>
                <w:sz w:val="20"/>
                <w:szCs w:val="20"/>
                <w:color w:val="auto"/>
              </w:rPr>
            </w:pPr>
            <w:r>
              <w:rPr>
                <w:rFonts w:ascii="Arial" w:cs="Arial" w:eastAsia="Arial" w:hAnsi="Arial"/>
                <w:sz w:val="14"/>
                <w:szCs w:val="14"/>
                <w:color w:val="auto"/>
              </w:rPr>
              <w:t>54</w:t>
            </w:r>
          </w:p>
        </w:tc>
        <w:tc>
          <w:tcPr>
            <w:tcW w:w="0" w:type="dxa"/>
            <w:vAlign w:val="bottom"/>
          </w:tcPr>
          <w:p>
            <w:pPr>
              <w:spacing w:after="0"/>
              <w:rPr>
                <w:sz w:val="1"/>
                <w:szCs w:val="1"/>
                <w:color w:val="auto"/>
              </w:rPr>
            </w:pPr>
          </w:p>
        </w:tc>
      </w:tr>
      <w:tr>
        <w:trPr>
          <w:trHeight w:val="162"/>
        </w:trPr>
        <w:tc>
          <w:tcPr>
            <w:tcW w:w="4780" w:type="dxa"/>
            <w:vAlign w:val="bottom"/>
          </w:tcPr>
          <w:p>
            <w:pPr>
              <w:ind w:left="140"/>
              <w:spacing w:after="0"/>
              <w:rPr>
                <w:sz w:val="20"/>
                <w:szCs w:val="20"/>
                <w:color w:val="auto"/>
              </w:rPr>
            </w:pPr>
            <w:r>
              <w:rPr>
                <w:rFonts w:ascii="Arial" w:cs="Arial" w:eastAsia="Arial" w:hAnsi="Arial"/>
                <w:sz w:val="14"/>
                <w:szCs w:val="14"/>
                <w:color w:val="auto"/>
              </w:rPr>
              <w:t>Sales of minerals in place</w:t>
            </w:r>
          </w:p>
        </w:tc>
        <w:tc>
          <w:tcPr>
            <w:tcW w:w="82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52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(55)</w:t>
            </w: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jc w:val="right"/>
              <w:ind w:right="329"/>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800" w:type="dxa"/>
            <w:vAlign w:val="bottom"/>
            <w:gridSpan w:val="2"/>
          </w:tcPr>
          <w:p>
            <w:pPr>
              <w:jc w:val="right"/>
              <w:ind w:right="348"/>
              <w:spacing w:after="0"/>
              <w:rPr>
                <w:sz w:val="20"/>
                <w:szCs w:val="20"/>
                <w:color w:val="auto"/>
              </w:rPr>
            </w:pPr>
            <w:r>
              <w:rPr>
                <w:rFonts w:ascii="Arial" w:cs="Arial" w:eastAsia="Arial" w:hAnsi="Arial"/>
                <w:sz w:val="14"/>
                <w:szCs w:val="14"/>
                <w:color w:val="auto"/>
              </w:rPr>
              <w:t>–</w:t>
            </w:r>
          </w:p>
        </w:tc>
        <w:tc>
          <w:tcPr>
            <w:tcW w:w="780" w:type="dxa"/>
            <w:vAlign w:val="bottom"/>
            <w:gridSpan w:val="4"/>
          </w:tcPr>
          <w:p>
            <w:pPr>
              <w:jc w:val="right"/>
              <w:ind w:right="280"/>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(55)</w:t>
            </w:r>
          </w:p>
        </w:tc>
        <w:tc>
          <w:tcPr>
            <w:tcW w:w="0" w:type="dxa"/>
            <w:vAlign w:val="bottom"/>
          </w:tcPr>
          <w:p>
            <w:pPr>
              <w:spacing w:after="0"/>
              <w:rPr>
                <w:sz w:val="1"/>
                <w:szCs w:val="1"/>
                <w:color w:val="auto"/>
              </w:rPr>
            </w:pPr>
          </w:p>
        </w:tc>
      </w:tr>
      <w:tr>
        <w:trPr>
          <w:trHeight w:val="157"/>
        </w:trPr>
        <w:tc>
          <w:tcPr>
            <w:tcW w:w="4780" w:type="dxa"/>
            <w:vAlign w:val="bottom"/>
            <w:tcBorders>
              <w:bottom w:val="single" w:sz="8" w:color="auto"/>
            </w:tcBorders>
          </w:tcPr>
          <w:p>
            <w:pPr>
              <w:ind w:left="140"/>
              <w:spacing w:after="0" w:line="157" w:lineRule="exact"/>
              <w:rPr>
                <w:sz w:val="20"/>
                <w:szCs w:val="20"/>
                <w:color w:val="auto"/>
              </w:rPr>
            </w:pPr>
            <w:r>
              <w:rPr>
                <w:rFonts w:ascii="Arial" w:cs="Arial" w:eastAsia="Arial" w:hAnsi="Arial"/>
                <w:sz w:val="14"/>
                <w:szCs w:val="14"/>
                <w:color w:val="auto"/>
              </w:rPr>
              <w:t>Production [A]</w:t>
            </w:r>
          </w:p>
        </w:tc>
        <w:tc>
          <w:tcPr>
            <w:tcW w:w="820" w:type="dxa"/>
            <w:vAlign w:val="bottom"/>
            <w:tcBorders>
              <w:bottom w:val="single" w:sz="8" w:color="auto"/>
            </w:tcBorders>
          </w:tcPr>
          <w:p>
            <w:pPr>
              <w:jc w:val="right"/>
              <w:ind w:right="28"/>
              <w:spacing w:after="0" w:line="157" w:lineRule="exact"/>
              <w:rPr>
                <w:sz w:val="20"/>
                <w:szCs w:val="20"/>
                <w:color w:val="auto"/>
              </w:rPr>
            </w:pPr>
            <w:r>
              <w:rPr>
                <w:rFonts w:ascii="Arial" w:cs="Arial" w:eastAsia="Arial" w:hAnsi="Arial"/>
                <w:sz w:val="14"/>
                <w:szCs w:val="14"/>
                <w:color w:val="auto"/>
              </w:rPr>
              <w:t>(534)</w:t>
            </w:r>
          </w:p>
        </w:tc>
        <w:tc>
          <w:tcPr>
            <w:tcW w:w="720" w:type="dxa"/>
            <w:vAlign w:val="bottom"/>
            <w:tcBorders>
              <w:bottom w:val="single" w:sz="8" w:color="auto"/>
            </w:tcBorders>
            <w:gridSpan w:val="2"/>
          </w:tcPr>
          <w:p>
            <w:pPr>
              <w:jc w:val="right"/>
              <w:spacing w:after="0" w:line="157" w:lineRule="exact"/>
              <w:rPr>
                <w:sz w:val="20"/>
                <w:szCs w:val="20"/>
                <w:color w:val="auto"/>
              </w:rPr>
            </w:pPr>
            <w:r>
              <w:rPr>
                <w:rFonts w:ascii="Arial" w:cs="Arial" w:eastAsia="Arial" w:hAnsi="Arial"/>
                <w:sz w:val="14"/>
                <w:szCs w:val="14"/>
                <w:color w:val="auto"/>
              </w:rPr>
              <w:t>(765)</w:t>
            </w:r>
          </w:p>
        </w:tc>
        <w:tc>
          <w:tcPr>
            <w:tcW w:w="820" w:type="dxa"/>
            <w:vAlign w:val="bottom"/>
            <w:tcBorders>
              <w:bottom w:val="single" w:sz="8" w:color="auto"/>
            </w:tcBorders>
          </w:tcPr>
          <w:p>
            <w:pPr>
              <w:jc w:val="right"/>
              <w:spacing w:after="0" w:line="157" w:lineRule="exact"/>
              <w:rPr>
                <w:sz w:val="20"/>
                <w:szCs w:val="20"/>
                <w:color w:val="auto"/>
              </w:rPr>
            </w:pPr>
            <w:r>
              <w:rPr>
                <w:rFonts w:ascii="Arial" w:cs="Arial" w:eastAsia="Arial" w:hAnsi="Arial"/>
                <w:sz w:val="14"/>
                <w:szCs w:val="14"/>
                <w:color w:val="auto"/>
              </w:rPr>
              <w:t>(202)</w:t>
            </w:r>
          </w:p>
        </w:tc>
        <w:tc>
          <w:tcPr>
            <w:tcW w:w="720" w:type="dxa"/>
            <w:vAlign w:val="bottom"/>
            <w:tcBorders>
              <w:bottom w:val="single" w:sz="8" w:color="auto"/>
            </w:tcBorders>
          </w:tcPr>
          <w:p>
            <w:pPr>
              <w:jc w:val="right"/>
              <w:spacing w:after="0" w:line="157" w:lineRule="exact"/>
              <w:rPr>
                <w:sz w:val="20"/>
                <w:szCs w:val="20"/>
                <w:color w:val="auto"/>
              </w:rPr>
            </w:pPr>
            <w:r>
              <w:rPr>
                <w:rFonts w:ascii="Arial" w:cs="Arial" w:eastAsia="Arial" w:hAnsi="Arial"/>
                <w:sz w:val="14"/>
                <w:szCs w:val="14"/>
                <w:color w:val="auto"/>
              </w:rPr>
              <w:t>(267)</w:t>
            </w:r>
          </w:p>
        </w:tc>
        <w:tc>
          <w:tcPr>
            <w:tcW w:w="4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gridSpan w:val="2"/>
          </w:tcPr>
          <w:p>
            <w:pPr>
              <w:jc w:val="right"/>
              <w:ind w:right="289"/>
              <w:spacing w:after="0" w:line="157" w:lineRule="exact"/>
              <w:rPr>
                <w:sz w:val="20"/>
                <w:szCs w:val="20"/>
                <w:color w:val="auto"/>
              </w:rPr>
            </w:pPr>
            <w:r>
              <w:rPr>
                <w:rFonts w:ascii="Arial" w:cs="Arial" w:eastAsia="Arial" w:hAnsi="Arial"/>
                <w:sz w:val="14"/>
                <w:szCs w:val="14"/>
                <w:color w:val="auto"/>
              </w:rPr>
              <w:t>(407)</w:t>
            </w:r>
          </w:p>
        </w:tc>
        <w:tc>
          <w:tcPr>
            <w:tcW w:w="12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jc w:val="right"/>
              <w:spacing w:after="0" w:line="157" w:lineRule="exact"/>
              <w:rPr>
                <w:sz w:val="20"/>
                <w:szCs w:val="20"/>
                <w:color w:val="auto"/>
              </w:rPr>
            </w:pPr>
            <w:r>
              <w:rPr>
                <w:rFonts w:ascii="Arial" w:cs="Arial" w:eastAsia="Arial" w:hAnsi="Arial"/>
                <w:sz w:val="14"/>
                <w:szCs w:val="14"/>
                <w:color w:val="auto"/>
              </w:rPr>
              <w:t>(251)</w:t>
            </w:r>
          </w:p>
        </w:tc>
        <w:tc>
          <w:tcPr>
            <w:tcW w:w="30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gridSpan w:val="2"/>
          </w:tcPr>
          <w:p>
            <w:pPr>
              <w:jc w:val="right"/>
              <w:ind w:right="60"/>
              <w:spacing w:after="0" w:line="157" w:lineRule="exact"/>
              <w:rPr>
                <w:sz w:val="20"/>
                <w:szCs w:val="20"/>
                <w:color w:val="auto"/>
              </w:rPr>
            </w:pPr>
            <w:r>
              <w:rPr>
                <w:rFonts w:ascii="Arial" w:cs="Arial" w:eastAsia="Arial" w:hAnsi="Arial"/>
                <w:sz w:val="14"/>
                <w:szCs w:val="14"/>
                <w:color w:val="auto"/>
              </w:rPr>
              <w:t>(14)</w:t>
            </w:r>
          </w:p>
        </w:tc>
        <w:tc>
          <w:tcPr>
            <w:tcW w:w="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spacing w:after="0" w:line="157" w:lineRule="exact"/>
              <w:rPr>
                <w:sz w:val="20"/>
                <w:szCs w:val="20"/>
                <w:color w:val="auto"/>
              </w:rPr>
            </w:pPr>
            <w:r>
              <w:rPr>
                <w:rFonts w:ascii="Arial" w:cs="Arial" w:eastAsia="Arial" w:hAnsi="Arial"/>
                <w:sz w:val="14"/>
                <w:szCs w:val="14"/>
                <w:color w:val="auto"/>
              </w:rPr>
              <w:t>(2,440)</w:t>
            </w:r>
          </w:p>
        </w:tc>
        <w:tc>
          <w:tcPr>
            <w:tcW w:w="0" w:type="dxa"/>
            <w:vAlign w:val="bottom"/>
          </w:tcPr>
          <w:p>
            <w:pPr>
              <w:spacing w:after="0"/>
              <w:rPr>
                <w:sz w:val="1"/>
                <w:szCs w:val="1"/>
                <w:color w:val="auto"/>
              </w:rPr>
            </w:pPr>
          </w:p>
        </w:tc>
      </w:tr>
      <w:tr>
        <w:trPr>
          <w:trHeight w:val="156"/>
        </w:trPr>
        <w:tc>
          <w:tcPr>
            <w:tcW w:w="4780" w:type="dxa"/>
            <w:vAlign w:val="bottom"/>
            <w:tcBorders>
              <w:bottom w:val="single" w:sz="8" w:color="auto"/>
            </w:tcBorders>
          </w:tcPr>
          <w:p>
            <w:pPr>
              <w:ind w:left="140"/>
              <w:spacing w:after="0" w:line="155" w:lineRule="exact"/>
              <w:rPr>
                <w:sz w:val="20"/>
                <w:szCs w:val="20"/>
                <w:color w:val="auto"/>
              </w:rPr>
            </w:pPr>
            <w:r>
              <w:rPr>
                <w:rFonts w:ascii="Arial" w:cs="Arial" w:eastAsia="Arial" w:hAnsi="Arial"/>
                <w:sz w:val="14"/>
                <w:szCs w:val="14"/>
                <w:color w:val="auto"/>
              </w:rPr>
              <w:t>At December 31</w:t>
            </w:r>
          </w:p>
        </w:tc>
        <w:tc>
          <w:tcPr>
            <w:tcW w:w="820" w:type="dxa"/>
            <w:vAlign w:val="bottom"/>
            <w:tcBorders>
              <w:bottom w:val="single" w:sz="8" w:color="auto"/>
            </w:tcBorders>
          </w:tcPr>
          <w:p>
            <w:pPr>
              <w:jc w:val="right"/>
              <w:ind w:right="68"/>
              <w:spacing w:after="0" w:line="155" w:lineRule="exact"/>
              <w:rPr>
                <w:sz w:val="20"/>
                <w:szCs w:val="20"/>
                <w:color w:val="auto"/>
              </w:rPr>
            </w:pPr>
            <w:r>
              <w:rPr>
                <w:rFonts w:ascii="Arial" w:cs="Arial" w:eastAsia="Arial" w:hAnsi="Arial"/>
                <w:sz w:val="14"/>
                <w:szCs w:val="14"/>
                <w:color w:val="auto"/>
              </w:rPr>
              <w:t>4,767</w:t>
            </w:r>
          </w:p>
        </w:tc>
        <w:tc>
          <w:tcPr>
            <w:tcW w:w="720" w:type="dxa"/>
            <w:vAlign w:val="bottom"/>
            <w:tcBorders>
              <w:bottom w:val="single" w:sz="8" w:color="auto"/>
            </w:tcBorders>
            <w:gridSpan w:val="2"/>
          </w:tcPr>
          <w:p>
            <w:pPr>
              <w:jc w:val="right"/>
              <w:ind w:right="9"/>
              <w:spacing w:after="0" w:line="155" w:lineRule="exact"/>
              <w:rPr>
                <w:sz w:val="20"/>
                <w:szCs w:val="20"/>
                <w:color w:val="auto"/>
              </w:rPr>
            </w:pPr>
            <w:r>
              <w:rPr>
                <w:rFonts w:ascii="Arial" w:cs="Arial" w:eastAsia="Arial" w:hAnsi="Arial"/>
                <w:sz w:val="14"/>
                <w:szCs w:val="14"/>
                <w:color w:val="auto"/>
              </w:rPr>
              <w:t>10,170</w:t>
            </w:r>
          </w:p>
        </w:tc>
        <w:tc>
          <w:tcPr>
            <w:tcW w:w="820" w:type="dxa"/>
            <w:vAlign w:val="bottom"/>
            <w:tcBorders>
              <w:bottom w:val="single" w:sz="8" w:color="auto"/>
            </w:tcBorders>
          </w:tcPr>
          <w:p>
            <w:pPr>
              <w:jc w:val="right"/>
              <w:ind w:right="10"/>
              <w:spacing w:after="0" w:line="155" w:lineRule="exact"/>
              <w:rPr>
                <w:sz w:val="20"/>
                <w:szCs w:val="20"/>
                <w:color w:val="auto"/>
              </w:rPr>
            </w:pPr>
            <w:r>
              <w:rPr>
                <w:rFonts w:ascii="Arial" w:cs="Arial" w:eastAsia="Arial" w:hAnsi="Arial"/>
                <w:sz w:val="14"/>
                <w:szCs w:val="14"/>
                <w:color w:val="auto"/>
              </w:rPr>
              <w:t>6,092</w:t>
            </w:r>
          </w:p>
        </w:tc>
        <w:tc>
          <w:tcPr>
            <w:tcW w:w="7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2,257</w:t>
            </w:r>
          </w:p>
        </w:tc>
        <w:tc>
          <w:tcPr>
            <w:tcW w:w="4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gridSpan w:val="2"/>
          </w:tcPr>
          <w:p>
            <w:pPr>
              <w:jc w:val="right"/>
              <w:ind w:right="329"/>
              <w:spacing w:after="0" w:line="155" w:lineRule="exact"/>
              <w:rPr>
                <w:sz w:val="20"/>
                <w:szCs w:val="20"/>
                <w:color w:val="auto"/>
              </w:rPr>
            </w:pPr>
            <w:r>
              <w:rPr>
                <w:rFonts w:ascii="Arial" w:cs="Arial" w:eastAsia="Arial" w:hAnsi="Arial"/>
                <w:sz w:val="14"/>
                <w:szCs w:val="14"/>
                <w:color w:val="auto"/>
              </w:rPr>
              <w:t>2,199</w:t>
            </w:r>
          </w:p>
        </w:tc>
        <w:tc>
          <w:tcPr>
            <w:tcW w:w="12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jc w:val="right"/>
              <w:ind w:right="48"/>
              <w:spacing w:after="0" w:line="155" w:lineRule="exact"/>
              <w:rPr>
                <w:sz w:val="20"/>
                <w:szCs w:val="20"/>
                <w:color w:val="auto"/>
              </w:rPr>
            </w:pPr>
            <w:r>
              <w:rPr>
                <w:rFonts w:ascii="Arial" w:cs="Arial" w:eastAsia="Arial" w:hAnsi="Arial"/>
                <w:sz w:val="14"/>
                <w:szCs w:val="14"/>
                <w:color w:val="auto"/>
              </w:rPr>
              <w:t>1,500</w:t>
            </w:r>
          </w:p>
        </w:tc>
        <w:tc>
          <w:tcPr>
            <w:tcW w:w="30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gridSpan w:val="2"/>
          </w:tcPr>
          <w:p>
            <w:pPr>
              <w:jc w:val="right"/>
              <w:ind w:right="120"/>
              <w:spacing w:after="0" w:line="155" w:lineRule="exact"/>
              <w:rPr>
                <w:sz w:val="20"/>
                <w:szCs w:val="20"/>
                <w:color w:val="auto"/>
              </w:rPr>
            </w:pPr>
            <w:r>
              <w:rPr>
                <w:rFonts w:ascii="Arial" w:cs="Arial" w:eastAsia="Arial" w:hAnsi="Arial"/>
                <w:sz w:val="14"/>
                <w:szCs w:val="14"/>
                <w:color w:val="auto"/>
              </w:rPr>
              <w:t>74</w:t>
            </w:r>
          </w:p>
        </w:tc>
        <w:tc>
          <w:tcPr>
            <w:tcW w:w="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29"/>
              <w:spacing w:after="0" w:line="155" w:lineRule="exact"/>
              <w:rPr>
                <w:sz w:val="20"/>
                <w:szCs w:val="20"/>
                <w:color w:val="auto"/>
              </w:rPr>
            </w:pPr>
            <w:r>
              <w:rPr>
                <w:rFonts w:ascii="Arial" w:cs="Arial" w:eastAsia="Arial" w:hAnsi="Arial"/>
                <w:sz w:val="14"/>
                <w:szCs w:val="14"/>
                <w:color w:val="auto"/>
              </w:rPr>
              <w:t>27,059</w:t>
            </w:r>
          </w:p>
        </w:tc>
        <w:tc>
          <w:tcPr>
            <w:tcW w:w="0" w:type="dxa"/>
            <w:vAlign w:val="bottom"/>
          </w:tcPr>
          <w:p>
            <w:pPr>
              <w:spacing w:after="0"/>
              <w:rPr>
                <w:sz w:val="1"/>
                <w:szCs w:val="1"/>
                <w:color w:val="auto"/>
              </w:rPr>
            </w:pPr>
          </w:p>
        </w:tc>
      </w:tr>
      <w:tr>
        <w:trPr>
          <w:trHeight w:val="160"/>
        </w:trPr>
        <w:tc>
          <w:tcPr>
            <w:tcW w:w="4780" w:type="dxa"/>
            <w:vAlign w:val="bottom"/>
          </w:tcPr>
          <w:p>
            <w:pPr>
              <w:spacing w:after="0"/>
              <w:rPr>
                <w:sz w:val="20"/>
                <w:szCs w:val="20"/>
                <w:color w:val="auto"/>
              </w:rPr>
            </w:pPr>
            <w:r>
              <w:rPr>
                <w:rFonts w:ascii="Arial" w:cs="Arial" w:eastAsia="Arial" w:hAnsi="Arial"/>
                <w:sz w:val="14"/>
                <w:szCs w:val="14"/>
                <w:color w:val="auto"/>
              </w:rPr>
              <w:t>Shell share of joint ventures and associates</w:t>
            </w:r>
          </w:p>
        </w:tc>
        <w:tc>
          <w:tcPr>
            <w:tcW w:w="8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4780" w:type="dxa"/>
            <w:vAlign w:val="bottom"/>
          </w:tcPr>
          <w:p>
            <w:pPr>
              <w:ind w:left="140"/>
              <w:spacing w:after="0"/>
              <w:rPr>
                <w:sz w:val="20"/>
                <w:szCs w:val="20"/>
                <w:color w:val="auto"/>
              </w:rPr>
            </w:pPr>
            <w:r>
              <w:rPr>
                <w:rFonts w:ascii="Arial" w:cs="Arial" w:eastAsia="Arial" w:hAnsi="Arial"/>
                <w:sz w:val="14"/>
                <w:szCs w:val="14"/>
                <w:color w:val="auto"/>
              </w:rPr>
              <w:t>At January 1</w:t>
            </w:r>
          </w:p>
        </w:tc>
        <w:tc>
          <w:tcPr>
            <w:tcW w:w="820" w:type="dxa"/>
            <w:vAlign w:val="bottom"/>
          </w:tcPr>
          <w:p>
            <w:pPr>
              <w:jc w:val="right"/>
              <w:ind w:right="68"/>
              <w:spacing w:after="0"/>
              <w:rPr>
                <w:sz w:val="20"/>
                <w:szCs w:val="20"/>
                <w:color w:val="auto"/>
              </w:rPr>
            </w:pPr>
            <w:r>
              <w:rPr>
                <w:rFonts w:ascii="Arial" w:cs="Arial" w:eastAsia="Arial" w:hAnsi="Arial"/>
                <w:sz w:val="14"/>
                <w:szCs w:val="14"/>
                <w:color w:val="auto"/>
              </w:rPr>
              <w:t>9,147</w:t>
            </w:r>
          </w:p>
        </w:tc>
        <w:tc>
          <w:tcPr>
            <w:tcW w:w="720" w:type="dxa"/>
            <w:vAlign w:val="bottom"/>
            <w:gridSpan w:val="2"/>
          </w:tcPr>
          <w:p>
            <w:pPr>
              <w:jc w:val="right"/>
              <w:ind w:right="9"/>
              <w:spacing w:after="0"/>
              <w:rPr>
                <w:sz w:val="20"/>
                <w:szCs w:val="20"/>
                <w:color w:val="auto"/>
              </w:rPr>
            </w:pPr>
            <w:r>
              <w:rPr>
                <w:rFonts w:ascii="Arial" w:cs="Arial" w:eastAsia="Arial" w:hAnsi="Arial"/>
                <w:sz w:val="14"/>
                <w:szCs w:val="14"/>
                <w:color w:val="auto"/>
              </w:rPr>
              <w:t>6,091</w:t>
            </w:r>
          </w:p>
        </w:tc>
        <w:tc>
          <w:tcPr>
            <w:tcW w:w="820" w:type="dxa"/>
            <w:vAlign w:val="bottom"/>
          </w:tcPr>
          <w:p>
            <w:pPr>
              <w:jc w:val="right"/>
              <w:ind w:right="10"/>
              <w:spacing w:after="0"/>
              <w:rPr>
                <w:sz w:val="20"/>
                <w:szCs w:val="20"/>
                <w:color w:val="auto"/>
              </w:rPr>
            </w:pPr>
            <w:r>
              <w:rPr>
                <w:rFonts w:ascii="Arial" w:cs="Arial" w:eastAsia="Arial" w:hAnsi="Arial"/>
                <w:sz w:val="14"/>
                <w:szCs w:val="14"/>
                <w:color w:val="auto"/>
              </w:rPr>
              <w:t>1,039</w:t>
            </w: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80" w:type="dxa"/>
            <w:vAlign w:val="bottom"/>
            <w:gridSpan w:val="2"/>
          </w:tcPr>
          <w:p>
            <w:pPr>
              <w:jc w:val="right"/>
              <w:ind w:right="329"/>
              <w:spacing w:after="0"/>
              <w:rPr>
                <w:sz w:val="20"/>
                <w:szCs w:val="20"/>
                <w:color w:val="auto"/>
              </w:rPr>
            </w:pPr>
            <w:r>
              <w:rPr>
                <w:rFonts w:ascii="Arial" w:cs="Arial" w:eastAsia="Arial" w:hAnsi="Arial"/>
                <w:sz w:val="14"/>
                <w:szCs w:val="14"/>
                <w:color w:val="auto"/>
              </w:rPr>
              <w:t>87</w:t>
            </w:r>
          </w:p>
        </w:tc>
        <w:tc>
          <w:tcPr>
            <w:tcW w:w="120" w:type="dxa"/>
            <w:vAlign w:val="bottom"/>
          </w:tcPr>
          <w:p>
            <w:pPr>
              <w:spacing w:after="0"/>
              <w:rPr>
                <w:sz w:val="14"/>
                <w:szCs w:val="14"/>
                <w:color w:val="auto"/>
              </w:rPr>
            </w:pPr>
          </w:p>
        </w:tc>
        <w:tc>
          <w:tcPr>
            <w:tcW w:w="800" w:type="dxa"/>
            <w:vAlign w:val="bottom"/>
            <w:gridSpan w:val="2"/>
          </w:tcPr>
          <w:p>
            <w:pPr>
              <w:jc w:val="right"/>
              <w:ind w:right="348"/>
              <w:spacing w:after="0"/>
              <w:rPr>
                <w:sz w:val="20"/>
                <w:szCs w:val="20"/>
                <w:color w:val="auto"/>
              </w:rPr>
            </w:pPr>
            <w:r>
              <w:rPr>
                <w:rFonts w:ascii="Arial" w:cs="Arial" w:eastAsia="Arial" w:hAnsi="Arial"/>
                <w:sz w:val="14"/>
                <w:szCs w:val="14"/>
                <w:color w:val="auto"/>
              </w:rPr>
              <w:t>–</w:t>
            </w:r>
          </w:p>
        </w:tc>
        <w:tc>
          <w:tcPr>
            <w:tcW w:w="620" w:type="dxa"/>
            <w:vAlign w:val="bottom"/>
            <w:gridSpan w:val="2"/>
          </w:tcPr>
          <w:p>
            <w:pPr>
              <w:jc w:val="right"/>
              <w:ind w:right="120"/>
              <w:spacing w:after="0"/>
              <w:rPr>
                <w:sz w:val="20"/>
                <w:szCs w:val="20"/>
                <w:color w:val="auto"/>
              </w:rPr>
            </w:pPr>
            <w:r>
              <w:rPr>
                <w:rFonts w:ascii="Arial" w:cs="Arial" w:eastAsia="Arial" w:hAnsi="Arial"/>
                <w:sz w:val="14"/>
                <w:szCs w:val="14"/>
                <w:color w:val="auto"/>
              </w:rPr>
              <w:t>4</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jc w:val="right"/>
              <w:ind w:right="29"/>
              <w:spacing w:after="0"/>
              <w:rPr>
                <w:sz w:val="20"/>
                <w:szCs w:val="20"/>
                <w:color w:val="auto"/>
              </w:rPr>
            </w:pPr>
            <w:r>
              <w:rPr>
                <w:rFonts w:ascii="Arial" w:cs="Arial" w:eastAsia="Arial" w:hAnsi="Arial"/>
                <w:sz w:val="14"/>
                <w:szCs w:val="14"/>
                <w:color w:val="auto"/>
              </w:rPr>
              <w:t>16,368</w:t>
            </w:r>
          </w:p>
        </w:tc>
        <w:tc>
          <w:tcPr>
            <w:tcW w:w="0" w:type="dxa"/>
            <w:vAlign w:val="bottom"/>
          </w:tcPr>
          <w:p>
            <w:pPr>
              <w:spacing w:after="0"/>
              <w:rPr>
                <w:sz w:val="1"/>
                <w:szCs w:val="1"/>
                <w:color w:val="auto"/>
              </w:rPr>
            </w:pPr>
          </w:p>
        </w:tc>
      </w:tr>
      <w:tr>
        <w:trPr>
          <w:trHeight w:val="162"/>
        </w:trPr>
        <w:tc>
          <w:tcPr>
            <w:tcW w:w="4780" w:type="dxa"/>
            <w:vAlign w:val="bottom"/>
          </w:tcPr>
          <w:p>
            <w:pPr>
              <w:ind w:left="140"/>
              <w:spacing w:after="0"/>
              <w:rPr>
                <w:sz w:val="20"/>
                <w:szCs w:val="20"/>
                <w:color w:val="auto"/>
              </w:rPr>
            </w:pPr>
            <w:r>
              <w:rPr>
                <w:rFonts w:ascii="Arial" w:cs="Arial" w:eastAsia="Arial" w:hAnsi="Arial"/>
                <w:sz w:val="14"/>
                <w:szCs w:val="14"/>
                <w:color w:val="auto"/>
              </w:rPr>
              <w:t>IFRS 11 reclassification</w:t>
            </w:r>
          </w:p>
        </w:tc>
        <w:tc>
          <w:tcPr>
            <w:tcW w:w="82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720" w:type="dxa"/>
            <w:vAlign w:val="bottom"/>
            <w:gridSpan w:val="2"/>
          </w:tcPr>
          <w:p>
            <w:pPr>
              <w:jc w:val="right"/>
              <w:spacing w:after="0"/>
              <w:rPr>
                <w:sz w:val="20"/>
                <w:szCs w:val="20"/>
                <w:color w:val="auto"/>
              </w:rPr>
            </w:pPr>
            <w:r>
              <w:rPr>
                <w:rFonts w:ascii="Arial" w:cs="Arial" w:eastAsia="Arial" w:hAnsi="Arial"/>
                <w:sz w:val="14"/>
                <w:szCs w:val="14"/>
                <w:color w:val="auto"/>
              </w:rPr>
              <w:t>(15)</w:t>
            </w:r>
          </w:p>
        </w:tc>
        <w:tc>
          <w:tcPr>
            <w:tcW w:w="820" w:type="dxa"/>
            <w:vAlign w:val="bottom"/>
          </w:tcPr>
          <w:p>
            <w:pPr>
              <w:jc w:val="right"/>
              <w:ind w:right="10"/>
              <w:spacing w:after="0"/>
              <w:rPr>
                <w:sz w:val="20"/>
                <w:szCs w:val="20"/>
                <w:color w:val="auto"/>
              </w:rPr>
            </w:pPr>
            <w:r>
              <w:rPr>
                <w:rFonts w:ascii="Arial" w:cs="Arial" w:eastAsia="Arial" w:hAnsi="Arial"/>
                <w:sz w:val="14"/>
                <w:szCs w:val="14"/>
                <w:color w:val="auto"/>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80" w:type="dxa"/>
            <w:vAlign w:val="bottom"/>
            <w:gridSpan w:val="2"/>
          </w:tcPr>
          <w:p>
            <w:pPr>
              <w:jc w:val="right"/>
              <w:ind w:right="289"/>
              <w:spacing w:after="0"/>
              <w:rPr>
                <w:sz w:val="20"/>
                <w:szCs w:val="20"/>
                <w:color w:val="auto"/>
              </w:rPr>
            </w:pPr>
            <w:r>
              <w:rPr>
                <w:rFonts w:ascii="Arial" w:cs="Arial" w:eastAsia="Arial" w:hAnsi="Arial"/>
                <w:sz w:val="14"/>
                <w:szCs w:val="14"/>
                <w:color w:val="auto"/>
              </w:rPr>
              <w:t>(87)</w:t>
            </w:r>
          </w:p>
        </w:tc>
        <w:tc>
          <w:tcPr>
            <w:tcW w:w="120" w:type="dxa"/>
            <w:vAlign w:val="bottom"/>
          </w:tcPr>
          <w:p>
            <w:pPr>
              <w:spacing w:after="0"/>
              <w:rPr>
                <w:sz w:val="14"/>
                <w:szCs w:val="14"/>
                <w:color w:val="auto"/>
              </w:rPr>
            </w:pPr>
          </w:p>
        </w:tc>
        <w:tc>
          <w:tcPr>
            <w:tcW w:w="800" w:type="dxa"/>
            <w:vAlign w:val="bottom"/>
            <w:gridSpan w:val="2"/>
          </w:tcPr>
          <w:p>
            <w:pPr>
              <w:jc w:val="right"/>
              <w:ind w:right="348"/>
              <w:spacing w:after="0"/>
              <w:rPr>
                <w:sz w:val="20"/>
                <w:szCs w:val="20"/>
                <w:color w:val="auto"/>
              </w:rPr>
            </w:pPr>
            <w:r>
              <w:rPr>
                <w:rFonts w:ascii="Arial" w:cs="Arial" w:eastAsia="Arial" w:hAnsi="Arial"/>
                <w:sz w:val="14"/>
                <w:szCs w:val="14"/>
                <w:color w:val="auto"/>
              </w:rPr>
              <w:t>–</w:t>
            </w:r>
          </w:p>
        </w:tc>
        <w:tc>
          <w:tcPr>
            <w:tcW w:w="780" w:type="dxa"/>
            <w:vAlign w:val="bottom"/>
            <w:gridSpan w:val="4"/>
          </w:tcPr>
          <w:p>
            <w:pPr>
              <w:jc w:val="right"/>
              <w:ind w:right="280"/>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(102)</w:t>
            </w:r>
          </w:p>
        </w:tc>
        <w:tc>
          <w:tcPr>
            <w:tcW w:w="0" w:type="dxa"/>
            <w:vAlign w:val="bottom"/>
          </w:tcPr>
          <w:p>
            <w:pPr>
              <w:spacing w:after="0"/>
              <w:rPr>
                <w:sz w:val="1"/>
                <w:szCs w:val="1"/>
                <w:color w:val="auto"/>
              </w:rPr>
            </w:pPr>
          </w:p>
        </w:tc>
      </w:tr>
      <w:tr>
        <w:trPr>
          <w:trHeight w:val="162"/>
        </w:trPr>
        <w:tc>
          <w:tcPr>
            <w:tcW w:w="4780" w:type="dxa"/>
            <w:vAlign w:val="bottom"/>
          </w:tcPr>
          <w:p>
            <w:pPr>
              <w:ind w:left="140"/>
              <w:spacing w:after="0"/>
              <w:rPr>
                <w:sz w:val="20"/>
                <w:szCs w:val="20"/>
                <w:color w:val="auto"/>
              </w:rPr>
            </w:pPr>
            <w:r>
              <w:rPr>
                <w:rFonts w:ascii="Arial" w:cs="Arial" w:eastAsia="Arial" w:hAnsi="Arial"/>
                <w:sz w:val="14"/>
                <w:szCs w:val="14"/>
                <w:color w:val="auto"/>
              </w:rPr>
              <w:t>Revisions and reclassifications</w:t>
            </w:r>
          </w:p>
        </w:tc>
        <w:tc>
          <w:tcPr>
            <w:tcW w:w="820" w:type="dxa"/>
            <w:vAlign w:val="bottom"/>
          </w:tcPr>
          <w:p>
            <w:pPr>
              <w:jc w:val="right"/>
              <w:ind w:right="68"/>
              <w:spacing w:after="0"/>
              <w:rPr>
                <w:sz w:val="20"/>
                <w:szCs w:val="20"/>
                <w:color w:val="auto"/>
              </w:rPr>
            </w:pPr>
            <w:r>
              <w:rPr>
                <w:rFonts w:ascii="Arial" w:cs="Arial" w:eastAsia="Arial" w:hAnsi="Arial"/>
                <w:sz w:val="14"/>
                <w:szCs w:val="14"/>
                <w:color w:val="auto"/>
              </w:rPr>
              <w:t>92</w:t>
            </w:r>
          </w:p>
        </w:tc>
        <w:tc>
          <w:tcPr>
            <w:tcW w:w="720" w:type="dxa"/>
            <w:vAlign w:val="bottom"/>
            <w:gridSpan w:val="2"/>
          </w:tcPr>
          <w:p>
            <w:pPr>
              <w:jc w:val="right"/>
              <w:ind w:right="9"/>
              <w:spacing w:after="0"/>
              <w:rPr>
                <w:sz w:val="20"/>
                <w:szCs w:val="20"/>
                <w:color w:val="auto"/>
              </w:rPr>
            </w:pPr>
            <w:r>
              <w:rPr>
                <w:rFonts w:ascii="Arial" w:cs="Arial" w:eastAsia="Arial" w:hAnsi="Arial"/>
                <w:sz w:val="14"/>
                <w:szCs w:val="14"/>
                <w:color w:val="auto"/>
              </w:rPr>
              <w:t>350</w:t>
            </w:r>
          </w:p>
        </w:tc>
        <w:tc>
          <w:tcPr>
            <w:tcW w:w="820" w:type="dxa"/>
            <w:vAlign w:val="bottom"/>
          </w:tcPr>
          <w:p>
            <w:pPr>
              <w:jc w:val="right"/>
              <w:spacing w:after="0"/>
              <w:rPr>
                <w:sz w:val="20"/>
                <w:szCs w:val="20"/>
                <w:color w:val="auto"/>
              </w:rPr>
            </w:pPr>
            <w:r>
              <w:rPr>
                <w:rFonts w:ascii="Arial" w:cs="Arial" w:eastAsia="Arial" w:hAnsi="Arial"/>
                <w:sz w:val="14"/>
                <w:szCs w:val="14"/>
                <w:color w:val="auto"/>
              </w:rPr>
              <w:t>(20)</w:t>
            </w: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jc w:val="right"/>
              <w:ind w:right="329"/>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800" w:type="dxa"/>
            <w:vAlign w:val="bottom"/>
            <w:gridSpan w:val="2"/>
          </w:tcPr>
          <w:p>
            <w:pPr>
              <w:jc w:val="right"/>
              <w:ind w:right="348"/>
              <w:spacing w:after="0"/>
              <w:rPr>
                <w:sz w:val="20"/>
                <w:szCs w:val="20"/>
                <w:color w:val="auto"/>
              </w:rPr>
            </w:pPr>
            <w:r>
              <w:rPr>
                <w:rFonts w:ascii="Arial" w:cs="Arial" w:eastAsia="Arial" w:hAnsi="Arial"/>
                <w:sz w:val="14"/>
                <w:szCs w:val="14"/>
                <w:color w:val="auto"/>
              </w:rPr>
              <w:t>–</w:t>
            </w:r>
          </w:p>
        </w:tc>
        <w:tc>
          <w:tcPr>
            <w:tcW w:w="620" w:type="dxa"/>
            <w:vAlign w:val="bottom"/>
            <w:gridSpan w:val="2"/>
          </w:tcPr>
          <w:p>
            <w:pPr>
              <w:jc w:val="right"/>
              <w:ind w:right="120"/>
              <w:spacing w:after="0"/>
              <w:rPr>
                <w:sz w:val="20"/>
                <w:szCs w:val="20"/>
                <w:color w:val="auto"/>
              </w:rPr>
            </w:pPr>
            <w:r>
              <w:rPr>
                <w:rFonts w:ascii="Arial" w:cs="Arial" w:eastAsia="Arial" w:hAnsi="Arial"/>
                <w:sz w:val="14"/>
                <w:szCs w:val="14"/>
                <w:color w:val="auto"/>
              </w:rPr>
              <w:t>3</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jc w:val="right"/>
              <w:ind w:right="29"/>
              <w:spacing w:after="0"/>
              <w:rPr>
                <w:sz w:val="20"/>
                <w:szCs w:val="20"/>
                <w:color w:val="auto"/>
              </w:rPr>
            </w:pPr>
            <w:r>
              <w:rPr>
                <w:rFonts w:ascii="Arial" w:cs="Arial" w:eastAsia="Arial" w:hAnsi="Arial"/>
                <w:sz w:val="14"/>
                <w:szCs w:val="14"/>
                <w:color w:val="auto"/>
              </w:rPr>
              <w:t>425</w:t>
            </w:r>
          </w:p>
        </w:tc>
        <w:tc>
          <w:tcPr>
            <w:tcW w:w="0" w:type="dxa"/>
            <w:vAlign w:val="bottom"/>
          </w:tcPr>
          <w:p>
            <w:pPr>
              <w:spacing w:after="0"/>
              <w:rPr>
                <w:sz w:val="1"/>
                <w:szCs w:val="1"/>
                <w:color w:val="auto"/>
              </w:rPr>
            </w:pPr>
          </w:p>
        </w:tc>
      </w:tr>
      <w:tr>
        <w:trPr>
          <w:trHeight w:val="162"/>
        </w:trPr>
        <w:tc>
          <w:tcPr>
            <w:tcW w:w="4780" w:type="dxa"/>
            <w:vAlign w:val="bottom"/>
          </w:tcPr>
          <w:p>
            <w:pPr>
              <w:ind w:left="140"/>
              <w:spacing w:after="0"/>
              <w:rPr>
                <w:sz w:val="20"/>
                <w:szCs w:val="20"/>
                <w:color w:val="auto"/>
              </w:rPr>
            </w:pPr>
            <w:r>
              <w:rPr>
                <w:rFonts w:ascii="Arial" w:cs="Arial" w:eastAsia="Arial" w:hAnsi="Arial"/>
                <w:sz w:val="14"/>
                <w:szCs w:val="14"/>
                <w:color w:val="auto"/>
              </w:rPr>
              <w:t>Improved recovery</w:t>
            </w:r>
          </w:p>
        </w:tc>
        <w:tc>
          <w:tcPr>
            <w:tcW w:w="82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52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10"/>
              <w:spacing w:after="0"/>
              <w:rPr>
                <w:sz w:val="20"/>
                <w:szCs w:val="20"/>
                <w:color w:val="auto"/>
              </w:rPr>
            </w:pPr>
            <w:r>
              <w:rPr>
                <w:rFonts w:ascii="Arial" w:cs="Arial" w:eastAsia="Arial" w:hAnsi="Arial"/>
                <w:sz w:val="14"/>
                <w:szCs w:val="14"/>
                <w:color w:val="auto"/>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jc w:val="right"/>
              <w:ind w:right="329"/>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800" w:type="dxa"/>
            <w:vAlign w:val="bottom"/>
            <w:gridSpan w:val="2"/>
          </w:tcPr>
          <w:p>
            <w:pPr>
              <w:jc w:val="right"/>
              <w:ind w:right="348"/>
              <w:spacing w:after="0"/>
              <w:rPr>
                <w:sz w:val="20"/>
                <w:szCs w:val="20"/>
                <w:color w:val="auto"/>
              </w:rPr>
            </w:pPr>
            <w:r>
              <w:rPr>
                <w:rFonts w:ascii="Arial" w:cs="Arial" w:eastAsia="Arial" w:hAnsi="Arial"/>
                <w:sz w:val="14"/>
                <w:szCs w:val="14"/>
                <w:color w:val="auto"/>
              </w:rPr>
              <w:t>–</w:t>
            </w:r>
          </w:p>
        </w:tc>
        <w:tc>
          <w:tcPr>
            <w:tcW w:w="780" w:type="dxa"/>
            <w:vAlign w:val="bottom"/>
            <w:gridSpan w:val="4"/>
          </w:tcPr>
          <w:p>
            <w:pPr>
              <w:jc w:val="right"/>
              <w:ind w:right="280"/>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4780" w:type="dxa"/>
            <w:vAlign w:val="bottom"/>
          </w:tcPr>
          <w:p>
            <w:pPr>
              <w:ind w:left="140"/>
              <w:spacing w:after="0"/>
              <w:rPr>
                <w:sz w:val="20"/>
                <w:szCs w:val="20"/>
                <w:color w:val="auto"/>
              </w:rPr>
            </w:pPr>
            <w:r>
              <w:rPr>
                <w:rFonts w:ascii="Arial" w:cs="Arial" w:eastAsia="Arial" w:hAnsi="Arial"/>
                <w:sz w:val="14"/>
                <w:szCs w:val="14"/>
                <w:color w:val="auto"/>
              </w:rPr>
              <w:t>Extensions and discoveries</w:t>
            </w:r>
          </w:p>
        </w:tc>
        <w:tc>
          <w:tcPr>
            <w:tcW w:w="82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9"/>
              <w:spacing w:after="0"/>
              <w:rPr>
                <w:sz w:val="20"/>
                <w:szCs w:val="20"/>
                <w:color w:val="auto"/>
              </w:rPr>
            </w:pPr>
            <w:r>
              <w:rPr>
                <w:rFonts w:ascii="Arial" w:cs="Arial" w:eastAsia="Arial" w:hAnsi="Arial"/>
                <w:sz w:val="14"/>
                <w:szCs w:val="14"/>
                <w:color w:val="auto"/>
              </w:rPr>
              <w:t>12</w:t>
            </w:r>
          </w:p>
        </w:tc>
        <w:tc>
          <w:tcPr>
            <w:tcW w:w="820" w:type="dxa"/>
            <w:vAlign w:val="bottom"/>
          </w:tcPr>
          <w:p>
            <w:pPr>
              <w:jc w:val="right"/>
              <w:ind w:right="10"/>
              <w:spacing w:after="0"/>
              <w:rPr>
                <w:sz w:val="20"/>
                <w:szCs w:val="20"/>
                <w:color w:val="auto"/>
              </w:rPr>
            </w:pPr>
            <w:r>
              <w:rPr>
                <w:rFonts w:ascii="Arial" w:cs="Arial" w:eastAsia="Arial" w:hAnsi="Arial"/>
                <w:sz w:val="14"/>
                <w:szCs w:val="14"/>
                <w:color w:val="auto"/>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jc w:val="right"/>
              <w:ind w:right="329"/>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800" w:type="dxa"/>
            <w:vAlign w:val="bottom"/>
            <w:gridSpan w:val="2"/>
          </w:tcPr>
          <w:p>
            <w:pPr>
              <w:jc w:val="right"/>
              <w:ind w:right="348"/>
              <w:spacing w:after="0"/>
              <w:rPr>
                <w:sz w:val="20"/>
                <w:szCs w:val="20"/>
                <w:color w:val="auto"/>
              </w:rPr>
            </w:pPr>
            <w:r>
              <w:rPr>
                <w:rFonts w:ascii="Arial" w:cs="Arial" w:eastAsia="Arial" w:hAnsi="Arial"/>
                <w:sz w:val="14"/>
                <w:szCs w:val="14"/>
                <w:color w:val="auto"/>
              </w:rPr>
              <w:t>–</w:t>
            </w:r>
          </w:p>
        </w:tc>
        <w:tc>
          <w:tcPr>
            <w:tcW w:w="780" w:type="dxa"/>
            <w:vAlign w:val="bottom"/>
            <w:gridSpan w:val="4"/>
          </w:tcPr>
          <w:p>
            <w:pPr>
              <w:jc w:val="right"/>
              <w:ind w:right="280"/>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29"/>
              <w:spacing w:after="0"/>
              <w:rPr>
                <w:sz w:val="20"/>
                <w:szCs w:val="20"/>
                <w:color w:val="auto"/>
              </w:rPr>
            </w:pPr>
            <w:r>
              <w:rPr>
                <w:rFonts w:ascii="Arial" w:cs="Arial" w:eastAsia="Arial" w:hAnsi="Arial"/>
                <w:sz w:val="14"/>
                <w:szCs w:val="14"/>
                <w:color w:val="auto"/>
              </w:rPr>
              <w:t>12</w:t>
            </w:r>
          </w:p>
        </w:tc>
        <w:tc>
          <w:tcPr>
            <w:tcW w:w="0" w:type="dxa"/>
            <w:vAlign w:val="bottom"/>
          </w:tcPr>
          <w:p>
            <w:pPr>
              <w:spacing w:after="0"/>
              <w:rPr>
                <w:sz w:val="1"/>
                <w:szCs w:val="1"/>
                <w:color w:val="auto"/>
              </w:rPr>
            </w:pPr>
          </w:p>
        </w:tc>
      </w:tr>
      <w:tr>
        <w:trPr>
          <w:trHeight w:val="162"/>
        </w:trPr>
        <w:tc>
          <w:tcPr>
            <w:tcW w:w="4780" w:type="dxa"/>
            <w:vAlign w:val="bottom"/>
          </w:tcPr>
          <w:p>
            <w:pPr>
              <w:ind w:left="140"/>
              <w:spacing w:after="0"/>
              <w:rPr>
                <w:sz w:val="20"/>
                <w:szCs w:val="20"/>
                <w:color w:val="auto"/>
              </w:rPr>
            </w:pPr>
            <w:r>
              <w:rPr>
                <w:rFonts w:ascii="Arial" w:cs="Arial" w:eastAsia="Arial" w:hAnsi="Arial"/>
                <w:sz w:val="14"/>
                <w:szCs w:val="14"/>
                <w:color w:val="auto"/>
              </w:rPr>
              <w:t>Purchases of minerals in place</w:t>
            </w:r>
          </w:p>
        </w:tc>
        <w:tc>
          <w:tcPr>
            <w:tcW w:w="82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52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10"/>
              <w:spacing w:after="0"/>
              <w:rPr>
                <w:sz w:val="20"/>
                <w:szCs w:val="20"/>
                <w:color w:val="auto"/>
              </w:rPr>
            </w:pPr>
            <w:r>
              <w:rPr>
                <w:rFonts w:ascii="Arial" w:cs="Arial" w:eastAsia="Arial" w:hAnsi="Arial"/>
                <w:sz w:val="14"/>
                <w:szCs w:val="14"/>
                <w:color w:val="auto"/>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jc w:val="right"/>
              <w:ind w:right="329"/>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800" w:type="dxa"/>
            <w:vAlign w:val="bottom"/>
            <w:gridSpan w:val="2"/>
          </w:tcPr>
          <w:p>
            <w:pPr>
              <w:jc w:val="right"/>
              <w:ind w:right="348"/>
              <w:spacing w:after="0"/>
              <w:rPr>
                <w:sz w:val="20"/>
                <w:szCs w:val="20"/>
                <w:color w:val="auto"/>
              </w:rPr>
            </w:pPr>
            <w:r>
              <w:rPr>
                <w:rFonts w:ascii="Arial" w:cs="Arial" w:eastAsia="Arial" w:hAnsi="Arial"/>
                <w:sz w:val="14"/>
                <w:szCs w:val="14"/>
                <w:color w:val="auto"/>
              </w:rPr>
              <w:t>–</w:t>
            </w:r>
          </w:p>
        </w:tc>
        <w:tc>
          <w:tcPr>
            <w:tcW w:w="780" w:type="dxa"/>
            <w:vAlign w:val="bottom"/>
            <w:gridSpan w:val="4"/>
          </w:tcPr>
          <w:p>
            <w:pPr>
              <w:jc w:val="right"/>
              <w:ind w:right="280"/>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4780" w:type="dxa"/>
            <w:vAlign w:val="bottom"/>
          </w:tcPr>
          <w:p>
            <w:pPr>
              <w:ind w:left="140"/>
              <w:spacing w:after="0"/>
              <w:rPr>
                <w:sz w:val="20"/>
                <w:szCs w:val="20"/>
                <w:color w:val="auto"/>
              </w:rPr>
            </w:pPr>
            <w:r>
              <w:rPr>
                <w:rFonts w:ascii="Arial" w:cs="Arial" w:eastAsia="Arial" w:hAnsi="Arial"/>
                <w:sz w:val="14"/>
                <w:szCs w:val="14"/>
                <w:color w:val="auto"/>
              </w:rPr>
              <w:t>Sales of minerals in place</w:t>
            </w:r>
          </w:p>
        </w:tc>
        <w:tc>
          <w:tcPr>
            <w:tcW w:w="82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52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10"/>
              <w:spacing w:after="0"/>
              <w:rPr>
                <w:sz w:val="20"/>
                <w:szCs w:val="20"/>
                <w:color w:val="auto"/>
              </w:rPr>
            </w:pPr>
            <w:r>
              <w:rPr>
                <w:rFonts w:ascii="Arial" w:cs="Arial" w:eastAsia="Arial" w:hAnsi="Arial"/>
                <w:sz w:val="14"/>
                <w:szCs w:val="14"/>
                <w:color w:val="auto"/>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jc w:val="right"/>
              <w:ind w:right="329"/>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800" w:type="dxa"/>
            <w:vAlign w:val="bottom"/>
            <w:gridSpan w:val="2"/>
          </w:tcPr>
          <w:p>
            <w:pPr>
              <w:jc w:val="right"/>
              <w:ind w:right="348"/>
              <w:spacing w:after="0"/>
              <w:rPr>
                <w:sz w:val="20"/>
                <w:szCs w:val="20"/>
                <w:color w:val="auto"/>
              </w:rPr>
            </w:pPr>
            <w:r>
              <w:rPr>
                <w:rFonts w:ascii="Arial" w:cs="Arial" w:eastAsia="Arial" w:hAnsi="Arial"/>
                <w:sz w:val="14"/>
                <w:szCs w:val="14"/>
                <w:color w:val="auto"/>
              </w:rPr>
              <w:t>–</w:t>
            </w:r>
          </w:p>
        </w:tc>
        <w:tc>
          <w:tcPr>
            <w:tcW w:w="780" w:type="dxa"/>
            <w:vAlign w:val="bottom"/>
            <w:gridSpan w:val="4"/>
          </w:tcPr>
          <w:p>
            <w:pPr>
              <w:jc w:val="right"/>
              <w:ind w:right="280"/>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7"/>
        </w:trPr>
        <w:tc>
          <w:tcPr>
            <w:tcW w:w="4780" w:type="dxa"/>
            <w:vAlign w:val="bottom"/>
            <w:tcBorders>
              <w:bottom w:val="single" w:sz="8" w:color="auto"/>
            </w:tcBorders>
          </w:tcPr>
          <w:p>
            <w:pPr>
              <w:ind w:left="140"/>
              <w:spacing w:after="0" w:line="157" w:lineRule="exact"/>
              <w:rPr>
                <w:sz w:val="20"/>
                <w:szCs w:val="20"/>
                <w:color w:val="auto"/>
              </w:rPr>
            </w:pPr>
            <w:r>
              <w:rPr>
                <w:rFonts w:ascii="Arial" w:cs="Arial" w:eastAsia="Arial" w:hAnsi="Arial"/>
                <w:sz w:val="14"/>
                <w:szCs w:val="14"/>
                <w:color w:val="auto"/>
              </w:rPr>
              <w:t>Production [B]</w:t>
            </w:r>
          </w:p>
        </w:tc>
        <w:tc>
          <w:tcPr>
            <w:tcW w:w="820" w:type="dxa"/>
            <w:vAlign w:val="bottom"/>
            <w:tcBorders>
              <w:bottom w:val="single" w:sz="8" w:color="auto"/>
            </w:tcBorders>
          </w:tcPr>
          <w:p>
            <w:pPr>
              <w:jc w:val="right"/>
              <w:ind w:right="28"/>
              <w:spacing w:after="0" w:line="157" w:lineRule="exact"/>
              <w:rPr>
                <w:sz w:val="20"/>
                <w:szCs w:val="20"/>
                <w:color w:val="auto"/>
              </w:rPr>
            </w:pPr>
            <w:r>
              <w:rPr>
                <w:rFonts w:ascii="Arial" w:cs="Arial" w:eastAsia="Arial" w:hAnsi="Arial"/>
                <w:sz w:val="14"/>
                <w:szCs w:val="14"/>
                <w:color w:val="auto"/>
              </w:rPr>
              <w:t>(731)</w:t>
            </w:r>
          </w:p>
        </w:tc>
        <w:tc>
          <w:tcPr>
            <w:tcW w:w="720" w:type="dxa"/>
            <w:vAlign w:val="bottom"/>
            <w:tcBorders>
              <w:bottom w:val="single" w:sz="8" w:color="auto"/>
            </w:tcBorders>
            <w:gridSpan w:val="2"/>
          </w:tcPr>
          <w:p>
            <w:pPr>
              <w:jc w:val="right"/>
              <w:spacing w:after="0" w:line="157" w:lineRule="exact"/>
              <w:rPr>
                <w:sz w:val="20"/>
                <w:szCs w:val="20"/>
                <w:color w:val="auto"/>
              </w:rPr>
            </w:pPr>
            <w:r>
              <w:rPr>
                <w:rFonts w:ascii="Arial" w:cs="Arial" w:eastAsia="Arial" w:hAnsi="Arial"/>
                <w:sz w:val="14"/>
                <w:szCs w:val="14"/>
                <w:color w:val="auto"/>
              </w:rPr>
              <w:t>(447)</w:t>
            </w:r>
          </w:p>
        </w:tc>
        <w:tc>
          <w:tcPr>
            <w:tcW w:w="820" w:type="dxa"/>
            <w:vAlign w:val="bottom"/>
            <w:tcBorders>
              <w:bottom w:val="single" w:sz="8" w:color="auto"/>
            </w:tcBorders>
          </w:tcPr>
          <w:p>
            <w:pPr>
              <w:jc w:val="right"/>
              <w:spacing w:after="0" w:line="157" w:lineRule="exact"/>
              <w:rPr>
                <w:sz w:val="20"/>
                <w:szCs w:val="20"/>
                <w:color w:val="auto"/>
              </w:rPr>
            </w:pPr>
            <w:r>
              <w:rPr>
                <w:rFonts w:ascii="Arial" w:cs="Arial" w:eastAsia="Arial" w:hAnsi="Arial"/>
                <w:sz w:val="14"/>
                <w:szCs w:val="14"/>
                <w:color w:val="auto"/>
              </w:rPr>
              <w:t>(110)</w:t>
            </w:r>
          </w:p>
        </w:tc>
        <w:tc>
          <w:tcPr>
            <w:tcW w:w="720" w:type="dxa"/>
            <w:vAlign w:val="bottom"/>
            <w:tcBorders>
              <w:bottom w:val="single" w:sz="8" w:color="auto"/>
            </w:tcBorders>
          </w:tcPr>
          <w:p>
            <w:pPr>
              <w:jc w:val="right"/>
              <w:spacing w:after="0" w:line="157" w:lineRule="exact"/>
              <w:rPr>
                <w:sz w:val="20"/>
                <w:szCs w:val="20"/>
                <w:color w:val="auto"/>
              </w:rPr>
            </w:pPr>
            <w:r>
              <w:rPr>
                <w:rFonts w:ascii="Arial" w:cs="Arial" w:eastAsia="Arial" w:hAnsi="Arial"/>
                <w:sz w:val="14"/>
                <w:szCs w:val="14"/>
                <w:color w:val="auto"/>
              </w:rPr>
              <w:t>–</w:t>
            </w:r>
          </w:p>
        </w:tc>
        <w:tc>
          <w:tcPr>
            <w:tcW w:w="4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ind w:right="329"/>
              <w:spacing w:after="0" w:line="157" w:lineRule="exact"/>
              <w:rPr>
                <w:sz w:val="20"/>
                <w:szCs w:val="20"/>
                <w:color w:val="auto"/>
              </w:rPr>
            </w:pPr>
            <w:r>
              <w:rPr>
                <w:rFonts w:ascii="Arial" w:cs="Arial" w:eastAsia="Arial" w:hAnsi="Arial"/>
                <w:sz w:val="14"/>
                <w:szCs w:val="14"/>
                <w:color w:val="auto"/>
              </w:rPr>
              <w:t>–</w:t>
            </w:r>
          </w:p>
        </w:tc>
        <w:tc>
          <w:tcPr>
            <w:tcW w:w="12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gridSpan w:val="2"/>
          </w:tcPr>
          <w:p>
            <w:pPr>
              <w:jc w:val="right"/>
              <w:ind w:right="348"/>
              <w:spacing w:after="0" w:line="157" w:lineRule="exact"/>
              <w:rPr>
                <w:sz w:val="20"/>
                <w:szCs w:val="20"/>
                <w:color w:val="auto"/>
              </w:rPr>
            </w:pPr>
            <w:r>
              <w:rPr>
                <w:rFonts w:ascii="Arial" w:cs="Arial" w:eastAsia="Arial" w:hAnsi="Arial"/>
                <w:sz w:val="14"/>
                <w:szCs w:val="14"/>
                <w:color w:val="auto"/>
              </w:rPr>
              <w:t>–</w:t>
            </w:r>
          </w:p>
        </w:tc>
        <w:tc>
          <w:tcPr>
            <w:tcW w:w="620" w:type="dxa"/>
            <w:vAlign w:val="bottom"/>
            <w:tcBorders>
              <w:bottom w:val="single" w:sz="8" w:color="auto"/>
            </w:tcBorders>
            <w:gridSpan w:val="2"/>
          </w:tcPr>
          <w:p>
            <w:pPr>
              <w:jc w:val="right"/>
              <w:ind w:right="60"/>
              <w:spacing w:after="0" w:line="157" w:lineRule="exact"/>
              <w:rPr>
                <w:sz w:val="20"/>
                <w:szCs w:val="20"/>
                <w:color w:val="auto"/>
              </w:rPr>
            </w:pPr>
            <w:r>
              <w:rPr>
                <w:rFonts w:ascii="Arial" w:cs="Arial" w:eastAsia="Arial" w:hAnsi="Arial"/>
                <w:sz w:val="14"/>
                <w:szCs w:val="14"/>
                <w:color w:val="auto"/>
              </w:rPr>
              <w:t>(1)</w:t>
            </w:r>
          </w:p>
        </w:tc>
        <w:tc>
          <w:tcPr>
            <w:tcW w:w="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spacing w:after="0" w:line="157" w:lineRule="exact"/>
              <w:rPr>
                <w:sz w:val="20"/>
                <w:szCs w:val="20"/>
                <w:color w:val="auto"/>
              </w:rPr>
            </w:pPr>
            <w:r>
              <w:rPr>
                <w:rFonts w:ascii="Arial" w:cs="Arial" w:eastAsia="Arial" w:hAnsi="Arial"/>
                <w:sz w:val="14"/>
                <w:szCs w:val="14"/>
                <w:color w:val="auto"/>
              </w:rPr>
              <w:t>(1,289)</w:t>
            </w:r>
          </w:p>
        </w:tc>
        <w:tc>
          <w:tcPr>
            <w:tcW w:w="0" w:type="dxa"/>
            <w:vAlign w:val="bottom"/>
          </w:tcPr>
          <w:p>
            <w:pPr>
              <w:spacing w:after="0"/>
              <w:rPr>
                <w:sz w:val="1"/>
                <w:szCs w:val="1"/>
                <w:color w:val="auto"/>
              </w:rPr>
            </w:pPr>
          </w:p>
        </w:tc>
      </w:tr>
      <w:tr>
        <w:trPr>
          <w:trHeight w:val="156"/>
        </w:trPr>
        <w:tc>
          <w:tcPr>
            <w:tcW w:w="4780" w:type="dxa"/>
            <w:vAlign w:val="bottom"/>
            <w:tcBorders>
              <w:bottom w:val="single" w:sz="8" w:color="auto"/>
            </w:tcBorders>
          </w:tcPr>
          <w:p>
            <w:pPr>
              <w:ind w:left="140"/>
              <w:spacing w:after="0" w:line="155" w:lineRule="exact"/>
              <w:rPr>
                <w:sz w:val="20"/>
                <w:szCs w:val="20"/>
                <w:color w:val="auto"/>
              </w:rPr>
            </w:pPr>
            <w:r>
              <w:rPr>
                <w:rFonts w:ascii="Arial" w:cs="Arial" w:eastAsia="Arial" w:hAnsi="Arial"/>
                <w:sz w:val="14"/>
                <w:szCs w:val="14"/>
                <w:color w:val="auto"/>
              </w:rPr>
              <w:t>At December 31</w:t>
            </w:r>
          </w:p>
        </w:tc>
        <w:tc>
          <w:tcPr>
            <w:tcW w:w="820" w:type="dxa"/>
            <w:vAlign w:val="bottom"/>
            <w:tcBorders>
              <w:bottom w:val="single" w:sz="8" w:color="auto"/>
            </w:tcBorders>
          </w:tcPr>
          <w:p>
            <w:pPr>
              <w:jc w:val="right"/>
              <w:ind w:right="68"/>
              <w:spacing w:after="0" w:line="155" w:lineRule="exact"/>
              <w:rPr>
                <w:sz w:val="20"/>
                <w:szCs w:val="20"/>
                <w:color w:val="auto"/>
              </w:rPr>
            </w:pPr>
            <w:r>
              <w:rPr>
                <w:rFonts w:ascii="Arial" w:cs="Arial" w:eastAsia="Arial" w:hAnsi="Arial"/>
                <w:sz w:val="14"/>
                <w:szCs w:val="14"/>
                <w:color w:val="auto"/>
              </w:rPr>
              <w:t>8,508</w:t>
            </w:r>
          </w:p>
        </w:tc>
        <w:tc>
          <w:tcPr>
            <w:tcW w:w="720" w:type="dxa"/>
            <w:vAlign w:val="bottom"/>
            <w:tcBorders>
              <w:bottom w:val="single" w:sz="8" w:color="auto"/>
            </w:tcBorders>
            <w:gridSpan w:val="2"/>
          </w:tcPr>
          <w:p>
            <w:pPr>
              <w:jc w:val="right"/>
              <w:ind w:right="9"/>
              <w:spacing w:after="0" w:line="155" w:lineRule="exact"/>
              <w:rPr>
                <w:sz w:val="20"/>
                <w:szCs w:val="20"/>
                <w:color w:val="auto"/>
              </w:rPr>
            </w:pPr>
            <w:r>
              <w:rPr>
                <w:rFonts w:ascii="Arial" w:cs="Arial" w:eastAsia="Arial" w:hAnsi="Arial"/>
                <w:sz w:val="14"/>
                <w:szCs w:val="14"/>
                <w:color w:val="auto"/>
              </w:rPr>
              <w:t>5,991</w:t>
            </w:r>
          </w:p>
        </w:tc>
        <w:tc>
          <w:tcPr>
            <w:tcW w:w="820" w:type="dxa"/>
            <w:vAlign w:val="bottom"/>
            <w:tcBorders>
              <w:bottom w:val="single" w:sz="8" w:color="auto"/>
            </w:tcBorders>
          </w:tcPr>
          <w:p>
            <w:pPr>
              <w:jc w:val="right"/>
              <w:ind w:right="10"/>
              <w:spacing w:after="0" w:line="155" w:lineRule="exact"/>
              <w:rPr>
                <w:sz w:val="20"/>
                <w:szCs w:val="20"/>
                <w:color w:val="auto"/>
              </w:rPr>
            </w:pPr>
            <w:r>
              <w:rPr>
                <w:rFonts w:ascii="Arial" w:cs="Arial" w:eastAsia="Arial" w:hAnsi="Arial"/>
                <w:sz w:val="14"/>
                <w:szCs w:val="14"/>
                <w:color w:val="auto"/>
              </w:rPr>
              <w:t>909</w:t>
            </w:r>
          </w:p>
        </w:tc>
        <w:tc>
          <w:tcPr>
            <w:tcW w:w="7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4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ind w:right="329"/>
              <w:spacing w:after="0" w:line="155" w:lineRule="exact"/>
              <w:rPr>
                <w:sz w:val="20"/>
                <w:szCs w:val="20"/>
                <w:color w:val="auto"/>
              </w:rPr>
            </w:pPr>
            <w:r>
              <w:rPr>
                <w:rFonts w:ascii="Arial" w:cs="Arial" w:eastAsia="Arial" w:hAnsi="Arial"/>
                <w:sz w:val="14"/>
                <w:szCs w:val="14"/>
                <w:color w:val="auto"/>
              </w:rPr>
              <w:t>–</w:t>
            </w:r>
          </w:p>
        </w:tc>
        <w:tc>
          <w:tcPr>
            <w:tcW w:w="12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gridSpan w:val="2"/>
          </w:tcPr>
          <w:p>
            <w:pPr>
              <w:jc w:val="right"/>
              <w:ind w:right="348"/>
              <w:spacing w:after="0" w:line="155" w:lineRule="exact"/>
              <w:rPr>
                <w:sz w:val="20"/>
                <w:szCs w:val="20"/>
                <w:color w:val="auto"/>
              </w:rPr>
            </w:pPr>
            <w:r>
              <w:rPr>
                <w:rFonts w:ascii="Arial" w:cs="Arial" w:eastAsia="Arial" w:hAnsi="Arial"/>
                <w:sz w:val="14"/>
                <w:szCs w:val="14"/>
                <w:color w:val="auto"/>
              </w:rPr>
              <w:t>–</w:t>
            </w:r>
          </w:p>
        </w:tc>
        <w:tc>
          <w:tcPr>
            <w:tcW w:w="620" w:type="dxa"/>
            <w:vAlign w:val="bottom"/>
            <w:tcBorders>
              <w:bottom w:val="single" w:sz="8" w:color="auto"/>
            </w:tcBorders>
            <w:gridSpan w:val="2"/>
          </w:tcPr>
          <w:p>
            <w:pPr>
              <w:jc w:val="right"/>
              <w:ind w:right="120"/>
              <w:spacing w:after="0" w:line="155" w:lineRule="exact"/>
              <w:rPr>
                <w:sz w:val="20"/>
                <w:szCs w:val="20"/>
                <w:color w:val="auto"/>
              </w:rPr>
            </w:pPr>
            <w:r>
              <w:rPr>
                <w:rFonts w:ascii="Arial" w:cs="Arial" w:eastAsia="Arial" w:hAnsi="Arial"/>
                <w:sz w:val="14"/>
                <w:szCs w:val="14"/>
                <w:color w:val="auto"/>
              </w:rPr>
              <w:t>6</w:t>
            </w:r>
          </w:p>
        </w:tc>
        <w:tc>
          <w:tcPr>
            <w:tcW w:w="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29"/>
              <w:spacing w:after="0" w:line="155" w:lineRule="exact"/>
              <w:rPr>
                <w:sz w:val="20"/>
                <w:szCs w:val="20"/>
                <w:color w:val="auto"/>
              </w:rPr>
            </w:pPr>
            <w:r>
              <w:rPr>
                <w:rFonts w:ascii="Arial" w:cs="Arial" w:eastAsia="Arial" w:hAnsi="Arial"/>
                <w:sz w:val="14"/>
                <w:szCs w:val="14"/>
                <w:color w:val="auto"/>
              </w:rPr>
              <w:t>15,414</w:t>
            </w:r>
          </w:p>
        </w:tc>
        <w:tc>
          <w:tcPr>
            <w:tcW w:w="0" w:type="dxa"/>
            <w:vAlign w:val="bottom"/>
          </w:tcPr>
          <w:p>
            <w:pPr>
              <w:spacing w:after="0"/>
              <w:rPr>
                <w:sz w:val="1"/>
                <w:szCs w:val="1"/>
                <w:color w:val="auto"/>
              </w:rPr>
            </w:pPr>
          </w:p>
        </w:tc>
      </w:tr>
      <w:tr>
        <w:trPr>
          <w:trHeight w:val="156"/>
        </w:trPr>
        <w:tc>
          <w:tcPr>
            <w:tcW w:w="4780" w:type="dxa"/>
            <w:vAlign w:val="bottom"/>
            <w:tcBorders>
              <w:bottom w:val="single" w:sz="8" w:color="auto"/>
            </w:tcBorders>
          </w:tcPr>
          <w:p>
            <w:pPr>
              <w:spacing w:after="0" w:line="155" w:lineRule="exact"/>
              <w:rPr>
                <w:sz w:val="20"/>
                <w:szCs w:val="20"/>
                <w:color w:val="auto"/>
              </w:rPr>
            </w:pPr>
            <w:r>
              <w:rPr>
                <w:rFonts w:ascii="Arial" w:cs="Arial" w:eastAsia="Arial" w:hAnsi="Arial"/>
                <w:sz w:val="14"/>
                <w:szCs w:val="14"/>
                <w:color w:val="auto"/>
              </w:rPr>
              <w:t>Total</w:t>
            </w:r>
          </w:p>
        </w:tc>
        <w:tc>
          <w:tcPr>
            <w:tcW w:w="820" w:type="dxa"/>
            <w:vAlign w:val="bottom"/>
            <w:tcBorders>
              <w:bottom w:val="single" w:sz="8" w:color="auto"/>
            </w:tcBorders>
          </w:tcPr>
          <w:p>
            <w:pPr>
              <w:jc w:val="right"/>
              <w:ind w:right="68"/>
              <w:spacing w:after="0" w:line="155" w:lineRule="exact"/>
              <w:rPr>
                <w:sz w:val="20"/>
                <w:szCs w:val="20"/>
                <w:color w:val="auto"/>
              </w:rPr>
            </w:pPr>
            <w:r>
              <w:rPr>
                <w:rFonts w:ascii="Arial" w:cs="Arial" w:eastAsia="Arial" w:hAnsi="Arial"/>
                <w:sz w:val="14"/>
                <w:szCs w:val="14"/>
                <w:color w:val="auto"/>
              </w:rPr>
              <w:t>13,275</w:t>
            </w:r>
          </w:p>
        </w:tc>
        <w:tc>
          <w:tcPr>
            <w:tcW w:w="720" w:type="dxa"/>
            <w:vAlign w:val="bottom"/>
            <w:tcBorders>
              <w:bottom w:val="single" w:sz="8" w:color="auto"/>
            </w:tcBorders>
            <w:gridSpan w:val="2"/>
          </w:tcPr>
          <w:p>
            <w:pPr>
              <w:jc w:val="right"/>
              <w:ind w:right="9"/>
              <w:spacing w:after="0" w:line="155" w:lineRule="exact"/>
              <w:rPr>
                <w:sz w:val="20"/>
                <w:szCs w:val="20"/>
                <w:color w:val="auto"/>
              </w:rPr>
            </w:pPr>
            <w:r>
              <w:rPr>
                <w:rFonts w:ascii="Arial" w:cs="Arial" w:eastAsia="Arial" w:hAnsi="Arial"/>
                <w:sz w:val="14"/>
                <w:szCs w:val="14"/>
                <w:color w:val="auto"/>
              </w:rPr>
              <w:t>16,161</w:t>
            </w:r>
          </w:p>
        </w:tc>
        <w:tc>
          <w:tcPr>
            <w:tcW w:w="820" w:type="dxa"/>
            <w:vAlign w:val="bottom"/>
            <w:tcBorders>
              <w:bottom w:val="single" w:sz="8" w:color="auto"/>
            </w:tcBorders>
          </w:tcPr>
          <w:p>
            <w:pPr>
              <w:jc w:val="right"/>
              <w:ind w:right="10"/>
              <w:spacing w:after="0" w:line="155" w:lineRule="exact"/>
              <w:rPr>
                <w:sz w:val="20"/>
                <w:szCs w:val="20"/>
                <w:color w:val="auto"/>
              </w:rPr>
            </w:pPr>
            <w:r>
              <w:rPr>
                <w:rFonts w:ascii="Arial" w:cs="Arial" w:eastAsia="Arial" w:hAnsi="Arial"/>
                <w:sz w:val="14"/>
                <w:szCs w:val="14"/>
                <w:color w:val="auto"/>
              </w:rPr>
              <w:t>7,001</w:t>
            </w:r>
          </w:p>
        </w:tc>
        <w:tc>
          <w:tcPr>
            <w:tcW w:w="7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2,257</w:t>
            </w:r>
          </w:p>
        </w:tc>
        <w:tc>
          <w:tcPr>
            <w:tcW w:w="4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gridSpan w:val="2"/>
          </w:tcPr>
          <w:p>
            <w:pPr>
              <w:jc w:val="right"/>
              <w:ind w:right="329"/>
              <w:spacing w:after="0" w:line="155" w:lineRule="exact"/>
              <w:rPr>
                <w:sz w:val="20"/>
                <w:szCs w:val="20"/>
                <w:color w:val="auto"/>
              </w:rPr>
            </w:pPr>
            <w:r>
              <w:rPr>
                <w:rFonts w:ascii="Arial" w:cs="Arial" w:eastAsia="Arial" w:hAnsi="Arial"/>
                <w:sz w:val="14"/>
                <w:szCs w:val="14"/>
                <w:color w:val="auto"/>
              </w:rPr>
              <w:t>2,199</w:t>
            </w:r>
          </w:p>
        </w:tc>
        <w:tc>
          <w:tcPr>
            <w:tcW w:w="12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jc w:val="right"/>
              <w:ind w:right="48"/>
              <w:spacing w:after="0" w:line="155" w:lineRule="exact"/>
              <w:rPr>
                <w:sz w:val="20"/>
                <w:szCs w:val="20"/>
                <w:color w:val="auto"/>
              </w:rPr>
            </w:pPr>
            <w:r>
              <w:rPr>
                <w:rFonts w:ascii="Arial" w:cs="Arial" w:eastAsia="Arial" w:hAnsi="Arial"/>
                <w:sz w:val="14"/>
                <w:szCs w:val="14"/>
                <w:color w:val="auto"/>
              </w:rPr>
              <w:t>1,500</w:t>
            </w:r>
          </w:p>
        </w:tc>
        <w:tc>
          <w:tcPr>
            <w:tcW w:w="30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gridSpan w:val="2"/>
          </w:tcPr>
          <w:p>
            <w:pPr>
              <w:jc w:val="right"/>
              <w:ind w:right="120"/>
              <w:spacing w:after="0" w:line="155" w:lineRule="exact"/>
              <w:rPr>
                <w:sz w:val="20"/>
                <w:szCs w:val="20"/>
                <w:color w:val="auto"/>
              </w:rPr>
            </w:pPr>
            <w:r>
              <w:rPr>
                <w:rFonts w:ascii="Arial" w:cs="Arial" w:eastAsia="Arial" w:hAnsi="Arial"/>
                <w:sz w:val="14"/>
                <w:szCs w:val="14"/>
                <w:color w:val="auto"/>
              </w:rPr>
              <w:t>80</w:t>
            </w:r>
          </w:p>
        </w:tc>
        <w:tc>
          <w:tcPr>
            <w:tcW w:w="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29"/>
              <w:spacing w:after="0" w:line="155" w:lineRule="exact"/>
              <w:rPr>
                <w:sz w:val="20"/>
                <w:szCs w:val="20"/>
                <w:color w:val="auto"/>
              </w:rPr>
            </w:pPr>
            <w:r>
              <w:rPr>
                <w:rFonts w:ascii="Arial" w:cs="Arial" w:eastAsia="Arial" w:hAnsi="Arial"/>
                <w:sz w:val="14"/>
                <w:szCs w:val="14"/>
                <w:color w:val="auto"/>
              </w:rPr>
              <w:t>42,473</w:t>
            </w:r>
          </w:p>
        </w:tc>
        <w:tc>
          <w:tcPr>
            <w:tcW w:w="0" w:type="dxa"/>
            <w:vAlign w:val="bottom"/>
          </w:tcPr>
          <w:p>
            <w:pPr>
              <w:spacing w:after="0"/>
              <w:rPr>
                <w:sz w:val="1"/>
                <w:szCs w:val="1"/>
                <w:color w:val="auto"/>
              </w:rPr>
            </w:pPr>
          </w:p>
        </w:tc>
      </w:tr>
      <w:tr>
        <w:trPr>
          <w:trHeight w:val="160"/>
        </w:trPr>
        <w:tc>
          <w:tcPr>
            <w:tcW w:w="4780" w:type="dxa"/>
            <w:vAlign w:val="bottom"/>
          </w:tcPr>
          <w:p>
            <w:pPr>
              <w:spacing w:after="0"/>
              <w:rPr>
                <w:sz w:val="20"/>
                <w:szCs w:val="20"/>
                <w:color w:val="auto"/>
              </w:rPr>
            </w:pPr>
            <w:r>
              <w:rPr>
                <w:rFonts w:ascii="Arial" w:cs="Arial" w:eastAsia="Arial" w:hAnsi="Arial"/>
                <w:sz w:val="14"/>
                <w:szCs w:val="14"/>
                <w:color w:val="auto"/>
              </w:rPr>
              <w:t>Reserves attributable to non-controlling interest in Shell subsidiaries at</w:t>
            </w:r>
          </w:p>
        </w:tc>
        <w:tc>
          <w:tcPr>
            <w:tcW w:w="8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4780" w:type="dxa"/>
            <w:vAlign w:val="bottom"/>
            <w:tcBorders>
              <w:bottom w:val="single" w:sz="8" w:color="auto"/>
            </w:tcBorders>
          </w:tcPr>
          <w:p>
            <w:pPr>
              <w:ind w:left="160"/>
              <w:spacing w:after="0" w:line="157" w:lineRule="exact"/>
              <w:rPr>
                <w:sz w:val="20"/>
                <w:szCs w:val="20"/>
                <w:color w:val="auto"/>
              </w:rPr>
            </w:pPr>
            <w:r>
              <w:rPr>
                <w:rFonts w:ascii="Arial" w:cs="Arial" w:eastAsia="Arial" w:hAnsi="Arial"/>
                <w:sz w:val="14"/>
                <w:szCs w:val="14"/>
                <w:color w:val="auto"/>
              </w:rPr>
              <w:t>December 31</w:t>
            </w:r>
          </w:p>
        </w:tc>
        <w:tc>
          <w:tcPr>
            <w:tcW w:w="820" w:type="dxa"/>
            <w:vAlign w:val="bottom"/>
            <w:tcBorders>
              <w:bottom w:val="single" w:sz="8" w:color="auto"/>
            </w:tcBorders>
          </w:tcPr>
          <w:p>
            <w:pPr>
              <w:jc w:val="right"/>
              <w:ind w:right="68"/>
              <w:spacing w:after="0" w:line="157" w:lineRule="exact"/>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gridSpan w:val="2"/>
          </w:tcPr>
          <w:p>
            <w:pPr>
              <w:jc w:val="right"/>
              <w:ind w:right="9"/>
              <w:spacing w:after="0" w:line="157" w:lineRule="exact"/>
              <w:rPr>
                <w:sz w:val="20"/>
                <w:szCs w:val="20"/>
                <w:color w:val="auto"/>
              </w:rPr>
            </w:pPr>
            <w:r>
              <w:rPr>
                <w:rFonts w:ascii="Arial" w:cs="Arial" w:eastAsia="Arial" w:hAnsi="Arial"/>
                <w:sz w:val="14"/>
                <w:szCs w:val="14"/>
                <w:color w:val="auto"/>
              </w:rPr>
              <w:t>6</w:t>
            </w:r>
          </w:p>
        </w:tc>
        <w:tc>
          <w:tcPr>
            <w:tcW w:w="820" w:type="dxa"/>
            <w:vAlign w:val="bottom"/>
            <w:tcBorders>
              <w:bottom w:val="single" w:sz="8" w:color="auto"/>
            </w:tcBorders>
          </w:tcPr>
          <w:p>
            <w:pPr>
              <w:jc w:val="right"/>
              <w:ind w:right="10"/>
              <w:spacing w:after="0" w:line="157" w:lineRule="exact"/>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tcPr>
          <w:p>
            <w:pPr>
              <w:jc w:val="right"/>
              <w:spacing w:after="0" w:line="157" w:lineRule="exact"/>
              <w:rPr>
                <w:sz w:val="20"/>
                <w:szCs w:val="20"/>
                <w:color w:val="auto"/>
              </w:rPr>
            </w:pPr>
            <w:r>
              <w:rPr>
                <w:rFonts w:ascii="Arial" w:cs="Arial" w:eastAsia="Arial" w:hAnsi="Arial"/>
                <w:sz w:val="14"/>
                <w:szCs w:val="14"/>
                <w:color w:val="auto"/>
              </w:rPr>
              <w:t>6</w:t>
            </w:r>
          </w:p>
        </w:tc>
        <w:tc>
          <w:tcPr>
            <w:tcW w:w="4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ind w:right="329"/>
              <w:spacing w:after="0" w:line="157" w:lineRule="exact"/>
              <w:rPr>
                <w:sz w:val="20"/>
                <w:szCs w:val="20"/>
                <w:color w:val="auto"/>
              </w:rPr>
            </w:pPr>
            <w:r>
              <w:rPr>
                <w:rFonts w:ascii="Arial" w:cs="Arial" w:eastAsia="Arial" w:hAnsi="Arial"/>
                <w:sz w:val="14"/>
                <w:szCs w:val="14"/>
                <w:color w:val="auto"/>
              </w:rPr>
              <w:t>–</w:t>
            </w:r>
          </w:p>
        </w:tc>
        <w:tc>
          <w:tcPr>
            <w:tcW w:w="12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gridSpan w:val="2"/>
          </w:tcPr>
          <w:p>
            <w:pPr>
              <w:jc w:val="right"/>
              <w:ind w:right="348"/>
              <w:spacing w:after="0" w:line="157" w:lineRule="exact"/>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gridSpan w:val="4"/>
          </w:tcPr>
          <w:p>
            <w:pPr>
              <w:jc w:val="right"/>
              <w:ind w:right="280"/>
              <w:spacing w:after="0" w:line="157" w:lineRule="exact"/>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tcPr>
          <w:p>
            <w:pPr>
              <w:jc w:val="right"/>
              <w:ind w:right="29"/>
              <w:spacing w:after="0" w:line="157" w:lineRule="exact"/>
              <w:rPr>
                <w:sz w:val="20"/>
                <w:szCs w:val="20"/>
                <w:color w:val="auto"/>
              </w:rPr>
            </w:pPr>
            <w:r>
              <w:rPr>
                <w:rFonts w:ascii="Arial" w:cs="Arial" w:eastAsia="Arial" w:hAnsi="Arial"/>
                <w:sz w:val="14"/>
                <w:szCs w:val="14"/>
                <w:color w:val="auto"/>
              </w:rPr>
              <w:t>12</w:t>
            </w:r>
          </w:p>
        </w:tc>
        <w:tc>
          <w:tcPr>
            <w:tcW w:w="0" w:type="dxa"/>
            <w:vAlign w:val="bottom"/>
          </w:tcPr>
          <w:p>
            <w:pPr>
              <w:spacing w:after="0"/>
              <w:rPr>
                <w:sz w:val="1"/>
                <w:szCs w:val="1"/>
                <w:color w:val="auto"/>
              </w:rPr>
            </w:pPr>
          </w:p>
        </w:tc>
      </w:tr>
      <w:tr>
        <w:trPr>
          <w:trHeight w:val="152"/>
        </w:trPr>
        <w:tc>
          <w:tcPr>
            <w:tcW w:w="4780" w:type="dxa"/>
            <w:vAlign w:val="bottom"/>
          </w:tcPr>
          <w:p>
            <w:pPr>
              <w:spacing w:after="0"/>
              <w:rPr>
                <w:sz w:val="20"/>
                <w:szCs w:val="20"/>
                <w:color w:val="auto"/>
              </w:rPr>
            </w:pPr>
            <w:r>
              <w:rPr>
                <w:rFonts w:ascii="Arial" w:cs="Arial" w:eastAsia="Arial" w:hAnsi="Arial"/>
                <w:sz w:val="11"/>
                <w:szCs w:val="11"/>
                <w:color w:val="auto"/>
              </w:rPr>
              <w:t>[A] Includes 153 thousand million standard cubic feet consumed in operations.</w:t>
            </w:r>
          </w:p>
        </w:tc>
        <w:tc>
          <w:tcPr>
            <w:tcW w:w="8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0"/>
        </w:trPr>
        <w:tc>
          <w:tcPr>
            <w:tcW w:w="4780" w:type="dxa"/>
            <w:vAlign w:val="bottom"/>
          </w:tcPr>
          <w:p>
            <w:pPr>
              <w:spacing w:after="0"/>
              <w:rPr>
                <w:sz w:val="20"/>
                <w:szCs w:val="20"/>
                <w:color w:val="auto"/>
              </w:rPr>
            </w:pPr>
            <w:r>
              <w:rPr>
                <w:rFonts w:ascii="Arial" w:cs="Arial" w:eastAsia="Arial" w:hAnsi="Arial"/>
                <w:sz w:val="11"/>
                <w:szCs w:val="11"/>
                <w:color w:val="auto"/>
              </w:rPr>
              <w:t>[B] Includes 63 thousand million standard cubic feet consumed in operations.</w:t>
            </w:r>
          </w:p>
        </w:tc>
        <w:tc>
          <w:tcPr>
            <w:tcW w:w="8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1"/>
        </w:trPr>
        <w:tc>
          <w:tcPr>
            <w:tcW w:w="47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60" w:type="dxa"/>
            <w:vAlign w:val="bottom"/>
            <w:gridSpan w:val="2"/>
          </w:tcPr>
          <w:p>
            <w:pPr>
              <w:spacing w:after="0"/>
              <w:rPr>
                <w:sz w:val="18"/>
                <w:szCs w:val="18"/>
                <w:color w:val="auto"/>
              </w:rPr>
            </w:pPr>
          </w:p>
        </w:tc>
        <w:tc>
          <w:tcPr>
            <w:tcW w:w="2280" w:type="dxa"/>
            <w:vAlign w:val="bottom"/>
            <w:gridSpan w:val="7"/>
          </w:tcPr>
          <w:p>
            <w:pPr>
              <w:spacing w:after="0"/>
              <w:rPr>
                <w:sz w:val="18"/>
                <w:szCs w:val="18"/>
                <w:color w:val="auto"/>
              </w:rPr>
            </w:pPr>
          </w:p>
        </w:tc>
        <w:tc>
          <w:tcPr>
            <w:tcW w:w="78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4780" w:type="dxa"/>
            <w:vAlign w:val="bottom"/>
            <w:shd w:val="clear" w:color="auto" w:fill="333333"/>
          </w:tcPr>
          <w:p>
            <w:pPr>
              <w:ind w:left="80"/>
              <w:spacing w:after="0" w:line="162" w:lineRule="exact"/>
              <w:rPr>
                <w:sz w:val="20"/>
                <w:szCs w:val="20"/>
                <w:color w:val="auto"/>
              </w:rPr>
            </w:pPr>
            <w:r>
              <w:rPr>
                <w:rFonts w:ascii="Arial" w:cs="Arial" w:eastAsia="Arial" w:hAnsi="Arial"/>
                <w:sz w:val="15"/>
                <w:szCs w:val="15"/>
                <w:b w:val="1"/>
                <w:bCs w:val="1"/>
                <w:color w:val="FFFFFF"/>
              </w:rPr>
              <w:t>PROVED DEVELOPED RESERVES 2013</w:t>
            </w:r>
          </w:p>
        </w:tc>
        <w:tc>
          <w:tcPr>
            <w:tcW w:w="820" w:type="dxa"/>
            <w:vAlign w:val="bottom"/>
            <w:shd w:val="clear" w:color="auto" w:fill="333333"/>
          </w:tcPr>
          <w:p>
            <w:pPr>
              <w:spacing w:after="0"/>
              <w:rPr>
                <w:sz w:val="14"/>
                <w:szCs w:val="14"/>
                <w:color w:val="auto"/>
              </w:rPr>
            </w:pPr>
          </w:p>
        </w:tc>
        <w:tc>
          <w:tcPr>
            <w:tcW w:w="200" w:type="dxa"/>
            <w:vAlign w:val="bottom"/>
            <w:shd w:val="clear" w:color="auto" w:fill="333333"/>
          </w:tcPr>
          <w:p>
            <w:pPr>
              <w:spacing w:after="0"/>
              <w:rPr>
                <w:sz w:val="14"/>
                <w:szCs w:val="14"/>
                <w:color w:val="auto"/>
              </w:rPr>
            </w:pPr>
          </w:p>
        </w:tc>
        <w:tc>
          <w:tcPr>
            <w:tcW w:w="520" w:type="dxa"/>
            <w:vAlign w:val="bottom"/>
            <w:shd w:val="clear" w:color="auto" w:fill="333333"/>
          </w:tcPr>
          <w:p>
            <w:pPr>
              <w:spacing w:after="0"/>
              <w:rPr>
                <w:sz w:val="14"/>
                <w:szCs w:val="14"/>
                <w:color w:val="auto"/>
              </w:rPr>
            </w:pPr>
          </w:p>
        </w:tc>
        <w:tc>
          <w:tcPr>
            <w:tcW w:w="820" w:type="dxa"/>
            <w:vAlign w:val="bottom"/>
            <w:shd w:val="clear" w:color="auto" w:fill="333333"/>
          </w:tcPr>
          <w:p>
            <w:pPr>
              <w:spacing w:after="0"/>
              <w:rPr>
                <w:sz w:val="14"/>
                <w:szCs w:val="14"/>
                <w:color w:val="auto"/>
              </w:rPr>
            </w:pPr>
          </w:p>
        </w:tc>
        <w:tc>
          <w:tcPr>
            <w:tcW w:w="720" w:type="dxa"/>
            <w:vAlign w:val="bottom"/>
            <w:shd w:val="clear" w:color="auto" w:fill="333333"/>
          </w:tcPr>
          <w:p>
            <w:pPr>
              <w:spacing w:after="0"/>
              <w:rPr>
                <w:sz w:val="14"/>
                <w:szCs w:val="14"/>
                <w:color w:val="auto"/>
              </w:rPr>
            </w:pPr>
          </w:p>
        </w:tc>
        <w:tc>
          <w:tcPr>
            <w:tcW w:w="40" w:type="dxa"/>
            <w:vAlign w:val="bottom"/>
            <w:shd w:val="clear" w:color="auto" w:fill="333333"/>
          </w:tcPr>
          <w:p>
            <w:pPr>
              <w:spacing w:after="0"/>
              <w:rPr>
                <w:sz w:val="14"/>
                <w:szCs w:val="14"/>
                <w:color w:val="auto"/>
              </w:rPr>
            </w:pPr>
          </w:p>
        </w:tc>
        <w:tc>
          <w:tcPr>
            <w:tcW w:w="3520" w:type="dxa"/>
            <w:vAlign w:val="bottom"/>
            <w:gridSpan w:val="11"/>
            <w:shd w:val="clear" w:color="auto" w:fill="333333"/>
          </w:tcPr>
          <w:p>
            <w:pPr>
              <w:jc w:val="right"/>
              <w:ind w:right="29"/>
              <w:spacing w:after="0" w:line="162" w:lineRule="exact"/>
              <w:rPr>
                <w:sz w:val="20"/>
                <w:szCs w:val="20"/>
                <w:color w:val="auto"/>
              </w:rPr>
            </w:pPr>
            <w:r>
              <w:rPr>
                <w:rFonts w:ascii="Arial" w:cs="Arial" w:eastAsia="Arial" w:hAnsi="Arial"/>
                <w:sz w:val="15"/>
                <w:szCs w:val="15"/>
                <w:color w:val="FFFFFF"/>
              </w:rPr>
              <w:t>THOUSAND MILLION STANDARD CUBIC FEET</w:t>
            </w:r>
          </w:p>
        </w:tc>
        <w:tc>
          <w:tcPr>
            <w:tcW w:w="0" w:type="dxa"/>
            <w:vAlign w:val="bottom"/>
          </w:tcPr>
          <w:p>
            <w:pPr>
              <w:spacing w:after="0"/>
              <w:rPr>
                <w:sz w:val="1"/>
                <w:szCs w:val="1"/>
                <w:color w:val="auto"/>
              </w:rPr>
            </w:pPr>
          </w:p>
        </w:tc>
      </w:tr>
      <w:tr>
        <w:trPr>
          <w:trHeight w:val="135"/>
        </w:trPr>
        <w:tc>
          <w:tcPr>
            <w:tcW w:w="47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gridSpan w:val="3"/>
          </w:tcPr>
          <w:p>
            <w:pPr>
              <w:jc w:val="right"/>
              <w:ind w:right="8"/>
              <w:spacing w:after="0" w:line="135" w:lineRule="exact"/>
              <w:rPr>
                <w:sz w:val="20"/>
                <w:szCs w:val="20"/>
                <w:color w:val="auto"/>
              </w:rPr>
            </w:pPr>
            <w:r>
              <w:rPr>
                <w:rFonts w:ascii="Arial" w:cs="Arial" w:eastAsia="Arial" w:hAnsi="Arial"/>
                <w:sz w:val="13"/>
                <w:szCs w:val="13"/>
                <w:color w:val="auto"/>
                <w:w w:val="98"/>
              </w:rPr>
              <w:t>North America</w:t>
            </w:r>
          </w:p>
        </w:tc>
        <w:tc>
          <w:tcPr>
            <w:tcW w:w="780" w:type="dxa"/>
            <w:vAlign w:val="bottom"/>
            <w:gridSpan w:val="4"/>
          </w:tcPr>
          <w:p>
            <w:pPr>
              <w:jc w:val="right"/>
              <w:ind w:right="80"/>
              <w:spacing w:after="0" w:line="135" w:lineRule="exact"/>
              <w:rPr>
                <w:sz w:val="20"/>
                <w:szCs w:val="20"/>
                <w:color w:val="auto"/>
              </w:rPr>
            </w:pPr>
            <w:r>
              <w:rPr>
                <w:rFonts w:ascii="Arial" w:cs="Arial" w:eastAsia="Arial" w:hAnsi="Arial"/>
                <w:sz w:val="13"/>
                <w:szCs w:val="13"/>
                <w:color w:val="auto"/>
              </w:rPr>
              <w:t>South</w:t>
            </w: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47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20" w:type="dxa"/>
            <w:vAlign w:val="bottom"/>
            <w:gridSpan w:val="2"/>
          </w:tcPr>
          <w:p>
            <w:pPr>
              <w:jc w:val="right"/>
              <w:ind w:right="229"/>
              <w:spacing w:after="0" w:line="129" w:lineRule="exact"/>
              <w:rPr>
                <w:sz w:val="20"/>
                <w:szCs w:val="20"/>
                <w:color w:val="auto"/>
              </w:rPr>
            </w:pPr>
            <w:r>
              <w:rPr>
                <w:rFonts w:ascii="Arial" w:cs="Arial" w:eastAsia="Arial" w:hAnsi="Arial"/>
                <w:sz w:val="13"/>
                <w:szCs w:val="13"/>
                <w:color w:val="auto"/>
                <w:w w:val="95"/>
              </w:rPr>
              <w:t>Europe</w:t>
            </w:r>
          </w:p>
        </w:tc>
        <w:tc>
          <w:tcPr>
            <w:tcW w:w="820" w:type="dxa"/>
            <w:vAlign w:val="bottom"/>
          </w:tcPr>
          <w:p>
            <w:pPr>
              <w:ind w:left="160"/>
              <w:spacing w:after="0" w:line="129" w:lineRule="exact"/>
              <w:rPr>
                <w:sz w:val="20"/>
                <w:szCs w:val="20"/>
                <w:color w:val="auto"/>
              </w:rPr>
            </w:pPr>
            <w:r>
              <w:rPr>
                <w:rFonts w:ascii="Arial" w:cs="Arial" w:eastAsia="Arial" w:hAnsi="Arial"/>
                <w:sz w:val="13"/>
                <w:szCs w:val="13"/>
                <w:color w:val="auto"/>
              </w:rPr>
              <w:t>Asia[A]</w:t>
            </w:r>
          </w:p>
        </w:tc>
        <w:tc>
          <w:tcPr>
            <w:tcW w:w="720" w:type="dxa"/>
            <w:vAlign w:val="bottom"/>
          </w:tcPr>
          <w:p>
            <w:pPr>
              <w:jc w:val="right"/>
              <w:ind w:right="129"/>
              <w:spacing w:after="0" w:line="129" w:lineRule="exact"/>
              <w:rPr>
                <w:sz w:val="20"/>
                <w:szCs w:val="20"/>
                <w:color w:val="auto"/>
              </w:rPr>
            </w:pPr>
            <w:r>
              <w:rPr>
                <w:rFonts w:ascii="Arial" w:cs="Arial" w:eastAsia="Arial" w:hAnsi="Arial"/>
                <w:sz w:val="13"/>
                <w:szCs w:val="13"/>
                <w:color w:val="auto"/>
              </w:rPr>
              <w:t>Oceania</w:t>
            </w:r>
          </w:p>
        </w:tc>
        <w:tc>
          <w:tcPr>
            <w:tcW w:w="40" w:type="dxa"/>
            <w:vAlign w:val="bottom"/>
          </w:tcPr>
          <w:p>
            <w:pPr>
              <w:spacing w:after="0"/>
              <w:rPr>
                <w:sz w:val="11"/>
                <w:szCs w:val="11"/>
                <w:color w:val="auto"/>
              </w:rPr>
            </w:pPr>
          </w:p>
        </w:tc>
        <w:tc>
          <w:tcPr>
            <w:tcW w:w="340" w:type="dxa"/>
            <w:vAlign w:val="bottom"/>
          </w:tcPr>
          <w:p>
            <w:pPr>
              <w:jc w:val="right"/>
              <w:spacing w:after="0" w:line="129" w:lineRule="exact"/>
              <w:rPr>
                <w:sz w:val="20"/>
                <w:szCs w:val="20"/>
                <w:color w:val="auto"/>
              </w:rPr>
            </w:pPr>
            <w:r>
              <w:rPr>
                <w:rFonts w:ascii="Arial" w:cs="Arial" w:eastAsia="Arial" w:hAnsi="Arial"/>
                <w:sz w:val="13"/>
                <w:szCs w:val="13"/>
                <w:color w:val="auto"/>
                <w:w w:val="96"/>
              </w:rPr>
              <w:t>Africa</w:t>
            </w:r>
          </w:p>
        </w:tc>
        <w:tc>
          <w:tcPr>
            <w:tcW w:w="120" w:type="dxa"/>
            <w:vAlign w:val="bottom"/>
          </w:tcPr>
          <w:p>
            <w:pPr>
              <w:spacing w:after="0"/>
              <w:rPr>
                <w:sz w:val="11"/>
                <w:szCs w:val="11"/>
                <w:color w:val="auto"/>
              </w:rPr>
            </w:pPr>
          </w:p>
        </w:tc>
        <w:tc>
          <w:tcPr>
            <w:tcW w:w="780" w:type="dxa"/>
            <w:vAlign w:val="bottom"/>
            <w:gridSpan w:val="2"/>
          </w:tcPr>
          <w:p>
            <w:pPr>
              <w:ind w:left="360"/>
              <w:spacing w:after="0" w:line="129" w:lineRule="exact"/>
              <w:rPr>
                <w:sz w:val="20"/>
                <w:szCs w:val="20"/>
                <w:color w:val="auto"/>
              </w:rPr>
            </w:pPr>
            <w:r>
              <w:rPr>
                <w:rFonts w:ascii="Arial" w:cs="Arial" w:eastAsia="Arial" w:hAnsi="Arial"/>
                <w:sz w:val="13"/>
                <w:szCs w:val="13"/>
                <w:color w:val="auto"/>
                <w:w w:val="93"/>
              </w:rPr>
              <w:t>USA[A]</w:t>
            </w:r>
          </w:p>
        </w:tc>
        <w:tc>
          <w:tcPr>
            <w:tcW w:w="800" w:type="dxa"/>
            <w:vAlign w:val="bottom"/>
            <w:gridSpan w:val="2"/>
          </w:tcPr>
          <w:p>
            <w:pPr>
              <w:jc w:val="right"/>
              <w:ind w:right="8"/>
              <w:spacing w:after="0" w:line="129" w:lineRule="exact"/>
              <w:rPr>
                <w:sz w:val="20"/>
                <w:szCs w:val="20"/>
                <w:color w:val="auto"/>
              </w:rPr>
            </w:pPr>
            <w:r>
              <w:rPr>
                <w:rFonts w:ascii="Arial" w:cs="Arial" w:eastAsia="Arial" w:hAnsi="Arial"/>
                <w:sz w:val="13"/>
                <w:szCs w:val="13"/>
                <w:color w:val="auto"/>
              </w:rPr>
              <w:t>Canada</w:t>
            </w:r>
          </w:p>
        </w:tc>
        <w:tc>
          <w:tcPr>
            <w:tcW w:w="780" w:type="dxa"/>
            <w:vAlign w:val="bottom"/>
            <w:gridSpan w:val="4"/>
          </w:tcPr>
          <w:p>
            <w:pPr>
              <w:jc w:val="right"/>
              <w:ind w:right="80"/>
              <w:spacing w:after="0" w:line="129" w:lineRule="exact"/>
              <w:rPr>
                <w:sz w:val="20"/>
                <w:szCs w:val="20"/>
                <w:color w:val="auto"/>
              </w:rPr>
            </w:pPr>
            <w:r>
              <w:rPr>
                <w:rFonts w:ascii="Arial" w:cs="Arial" w:eastAsia="Arial" w:hAnsi="Arial"/>
                <w:sz w:val="13"/>
                <w:szCs w:val="13"/>
                <w:color w:val="auto"/>
              </w:rPr>
              <w:t>America</w:t>
            </w:r>
          </w:p>
        </w:tc>
        <w:tc>
          <w:tcPr>
            <w:tcW w:w="700" w:type="dxa"/>
            <w:vAlign w:val="bottom"/>
          </w:tcPr>
          <w:p>
            <w:pPr>
              <w:jc w:val="right"/>
              <w:ind w:right="29"/>
              <w:spacing w:after="0" w:line="129" w:lineRule="exact"/>
              <w:rPr>
                <w:sz w:val="20"/>
                <w:szCs w:val="20"/>
                <w:color w:val="auto"/>
              </w:rPr>
            </w:pPr>
            <w:r>
              <w:rPr>
                <w:rFonts w:ascii="Arial" w:cs="Arial" w:eastAsia="Arial" w:hAnsi="Arial"/>
                <w:sz w:val="13"/>
                <w:szCs w:val="13"/>
                <w:color w:val="auto"/>
              </w:rPr>
              <w:t>Total</w:t>
            </w:r>
          </w:p>
        </w:tc>
        <w:tc>
          <w:tcPr>
            <w:tcW w:w="0" w:type="dxa"/>
            <w:vAlign w:val="bottom"/>
          </w:tcPr>
          <w:p>
            <w:pPr>
              <w:spacing w:after="0"/>
              <w:rPr>
                <w:sz w:val="1"/>
                <w:szCs w:val="1"/>
                <w:color w:val="auto"/>
              </w:rPr>
            </w:pPr>
          </w:p>
        </w:tc>
      </w:tr>
      <w:tr>
        <w:trPr>
          <w:trHeight w:val="160"/>
        </w:trPr>
        <w:tc>
          <w:tcPr>
            <w:tcW w:w="4780" w:type="dxa"/>
            <w:vAlign w:val="bottom"/>
            <w:tcBorders>
              <w:top w:val="single" w:sz="8" w:color="auto"/>
            </w:tcBorders>
          </w:tcPr>
          <w:p>
            <w:pPr>
              <w:spacing w:after="0"/>
              <w:rPr>
                <w:sz w:val="20"/>
                <w:szCs w:val="20"/>
                <w:color w:val="auto"/>
              </w:rPr>
            </w:pPr>
            <w:r>
              <w:rPr>
                <w:rFonts w:ascii="Arial" w:cs="Arial" w:eastAsia="Arial" w:hAnsi="Arial"/>
                <w:sz w:val="14"/>
                <w:szCs w:val="14"/>
                <w:color w:val="auto"/>
              </w:rPr>
              <w:t>Shell subsidiaries</w:t>
            </w:r>
          </w:p>
        </w:tc>
        <w:tc>
          <w:tcPr>
            <w:tcW w:w="82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52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spacing w:after="0"/>
              <w:rPr>
                <w:sz w:val="13"/>
                <w:szCs w:val="13"/>
                <w:color w:val="auto"/>
              </w:rPr>
            </w:pPr>
          </w:p>
        </w:tc>
        <w:tc>
          <w:tcPr>
            <w:tcW w:w="40" w:type="dxa"/>
            <w:vAlign w:val="bottom"/>
            <w:tcBorders>
              <w:top w:val="single" w:sz="8" w:color="auto"/>
            </w:tcBorders>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500" w:type="dxa"/>
            <w:vAlign w:val="bottom"/>
            <w:tcBorders>
              <w:top w:val="single" w:sz="8" w:color="auto"/>
            </w:tcBorders>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50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4780" w:type="dxa"/>
            <w:vAlign w:val="bottom"/>
          </w:tcPr>
          <w:p>
            <w:pPr>
              <w:ind w:left="140"/>
              <w:spacing w:after="0"/>
              <w:rPr>
                <w:sz w:val="20"/>
                <w:szCs w:val="20"/>
                <w:color w:val="auto"/>
              </w:rPr>
            </w:pPr>
            <w:r>
              <w:rPr>
                <w:rFonts w:ascii="Arial" w:cs="Arial" w:eastAsia="Arial" w:hAnsi="Arial"/>
                <w:sz w:val="14"/>
                <w:szCs w:val="14"/>
                <w:color w:val="auto"/>
              </w:rPr>
              <w:t>At January 1</w:t>
            </w:r>
          </w:p>
        </w:tc>
        <w:tc>
          <w:tcPr>
            <w:tcW w:w="820" w:type="dxa"/>
            <w:vAlign w:val="bottom"/>
          </w:tcPr>
          <w:p>
            <w:pPr>
              <w:spacing w:after="0"/>
              <w:rPr>
                <w:sz w:val="14"/>
                <w:szCs w:val="14"/>
                <w:color w:val="auto"/>
              </w:rPr>
            </w:pPr>
          </w:p>
        </w:tc>
        <w:tc>
          <w:tcPr>
            <w:tcW w:w="720" w:type="dxa"/>
            <w:vAlign w:val="bottom"/>
            <w:gridSpan w:val="2"/>
          </w:tcPr>
          <w:p>
            <w:pPr>
              <w:jc w:val="right"/>
              <w:ind w:right="229"/>
              <w:spacing w:after="0"/>
              <w:rPr>
                <w:sz w:val="20"/>
                <w:szCs w:val="20"/>
                <w:color w:val="auto"/>
              </w:rPr>
            </w:pPr>
            <w:r>
              <w:rPr>
                <w:rFonts w:ascii="Arial" w:cs="Arial" w:eastAsia="Arial" w:hAnsi="Arial"/>
                <w:sz w:val="14"/>
                <w:szCs w:val="14"/>
                <w:color w:val="auto"/>
              </w:rPr>
              <w:t>4,192</w:t>
            </w:r>
          </w:p>
        </w:tc>
        <w:tc>
          <w:tcPr>
            <w:tcW w:w="820" w:type="dxa"/>
            <w:vAlign w:val="bottom"/>
          </w:tcPr>
          <w:p>
            <w:pPr>
              <w:jc w:val="right"/>
              <w:ind w:right="350"/>
              <w:spacing w:after="0"/>
              <w:rPr>
                <w:sz w:val="20"/>
                <w:szCs w:val="20"/>
                <w:color w:val="auto"/>
              </w:rPr>
            </w:pPr>
            <w:r>
              <w:rPr>
                <w:rFonts w:ascii="Arial" w:cs="Arial" w:eastAsia="Arial" w:hAnsi="Arial"/>
                <w:sz w:val="14"/>
                <w:szCs w:val="14"/>
                <w:color w:val="auto"/>
              </w:rPr>
              <w:t>9,366</w:t>
            </w:r>
          </w:p>
        </w:tc>
        <w:tc>
          <w:tcPr>
            <w:tcW w:w="720" w:type="dxa"/>
            <w:vAlign w:val="bottom"/>
          </w:tcPr>
          <w:p>
            <w:pPr>
              <w:jc w:val="right"/>
              <w:ind w:right="129"/>
              <w:spacing w:after="0"/>
              <w:rPr>
                <w:sz w:val="20"/>
                <w:szCs w:val="20"/>
                <w:color w:val="auto"/>
              </w:rPr>
            </w:pPr>
            <w:r>
              <w:rPr>
                <w:rFonts w:ascii="Arial" w:cs="Arial" w:eastAsia="Arial" w:hAnsi="Arial"/>
                <w:sz w:val="14"/>
                <w:szCs w:val="14"/>
                <w:color w:val="auto"/>
              </w:rPr>
              <w:t>843</w:t>
            </w:r>
          </w:p>
        </w:tc>
        <w:tc>
          <w:tcPr>
            <w:tcW w:w="380" w:type="dxa"/>
            <w:vAlign w:val="bottom"/>
            <w:gridSpan w:val="2"/>
          </w:tcPr>
          <w:p>
            <w:pPr>
              <w:jc w:val="right"/>
              <w:spacing w:after="0"/>
              <w:rPr>
                <w:sz w:val="20"/>
                <w:szCs w:val="20"/>
                <w:color w:val="auto"/>
              </w:rPr>
            </w:pPr>
            <w:r>
              <w:rPr>
                <w:rFonts w:ascii="Arial" w:cs="Arial" w:eastAsia="Arial" w:hAnsi="Arial"/>
                <w:sz w:val="14"/>
                <w:szCs w:val="14"/>
                <w:color w:val="auto"/>
              </w:rPr>
              <w:t>1,012</w:t>
            </w:r>
          </w:p>
        </w:tc>
        <w:tc>
          <w:tcPr>
            <w:tcW w:w="780" w:type="dxa"/>
            <w:vAlign w:val="bottom"/>
            <w:gridSpan w:val="2"/>
          </w:tcPr>
          <w:p>
            <w:pPr>
              <w:jc w:val="right"/>
              <w:spacing w:after="0"/>
              <w:rPr>
                <w:sz w:val="20"/>
                <w:szCs w:val="20"/>
                <w:color w:val="auto"/>
              </w:rPr>
            </w:pPr>
            <w:r>
              <w:rPr>
                <w:rFonts w:ascii="Arial" w:cs="Arial" w:eastAsia="Arial" w:hAnsi="Arial"/>
                <w:sz w:val="14"/>
                <w:szCs w:val="14"/>
                <w:color w:val="auto"/>
              </w:rPr>
              <w:t>1,607</w:t>
            </w:r>
          </w:p>
        </w:tc>
        <w:tc>
          <w:tcPr>
            <w:tcW w:w="120" w:type="dxa"/>
            <w:vAlign w:val="bottom"/>
          </w:tcPr>
          <w:p>
            <w:pPr>
              <w:spacing w:after="0"/>
              <w:rPr>
                <w:sz w:val="14"/>
                <w:szCs w:val="14"/>
                <w:color w:val="auto"/>
              </w:rPr>
            </w:pPr>
          </w:p>
        </w:tc>
        <w:tc>
          <w:tcPr>
            <w:tcW w:w="800" w:type="dxa"/>
            <w:vAlign w:val="bottom"/>
            <w:gridSpan w:val="2"/>
          </w:tcPr>
          <w:p>
            <w:pPr>
              <w:jc w:val="right"/>
              <w:ind w:right="8"/>
              <w:spacing w:after="0"/>
              <w:rPr>
                <w:sz w:val="20"/>
                <w:szCs w:val="20"/>
                <w:color w:val="auto"/>
              </w:rPr>
            </w:pPr>
            <w:r>
              <w:rPr>
                <w:rFonts w:ascii="Arial" w:cs="Arial" w:eastAsia="Arial" w:hAnsi="Arial"/>
                <w:sz w:val="14"/>
                <w:szCs w:val="14"/>
                <w:color w:val="auto"/>
              </w:rPr>
              <w:t>872</w:t>
            </w:r>
          </w:p>
        </w:tc>
        <w:tc>
          <w:tcPr>
            <w:tcW w:w="780" w:type="dxa"/>
            <w:vAlign w:val="bottom"/>
            <w:gridSpan w:val="4"/>
          </w:tcPr>
          <w:p>
            <w:pPr>
              <w:jc w:val="right"/>
              <w:ind w:right="80"/>
              <w:spacing w:after="0"/>
              <w:rPr>
                <w:sz w:val="20"/>
                <w:szCs w:val="20"/>
                <w:color w:val="auto"/>
              </w:rPr>
            </w:pPr>
            <w:r>
              <w:rPr>
                <w:rFonts w:ascii="Arial" w:cs="Arial" w:eastAsia="Arial" w:hAnsi="Arial"/>
                <w:sz w:val="14"/>
                <w:szCs w:val="14"/>
                <w:color w:val="auto"/>
              </w:rPr>
              <w:t>81</w:t>
            </w:r>
          </w:p>
        </w:tc>
        <w:tc>
          <w:tcPr>
            <w:tcW w:w="700" w:type="dxa"/>
            <w:vAlign w:val="bottom"/>
          </w:tcPr>
          <w:p>
            <w:pPr>
              <w:jc w:val="right"/>
              <w:ind w:right="29"/>
              <w:spacing w:after="0"/>
              <w:rPr>
                <w:sz w:val="20"/>
                <w:szCs w:val="20"/>
                <w:color w:val="auto"/>
              </w:rPr>
            </w:pPr>
            <w:r>
              <w:rPr>
                <w:rFonts w:ascii="Arial" w:cs="Arial" w:eastAsia="Arial" w:hAnsi="Arial"/>
                <w:sz w:val="14"/>
                <w:szCs w:val="14"/>
                <w:color w:val="auto"/>
              </w:rPr>
              <w:t>17,973</w:t>
            </w:r>
          </w:p>
        </w:tc>
        <w:tc>
          <w:tcPr>
            <w:tcW w:w="0" w:type="dxa"/>
            <w:vAlign w:val="bottom"/>
          </w:tcPr>
          <w:p>
            <w:pPr>
              <w:spacing w:after="0"/>
              <w:rPr>
                <w:sz w:val="1"/>
                <w:szCs w:val="1"/>
                <w:color w:val="auto"/>
              </w:rPr>
            </w:pPr>
          </w:p>
        </w:tc>
      </w:tr>
      <w:tr>
        <w:trPr>
          <w:trHeight w:val="157"/>
        </w:trPr>
        <w:tc>
          <w:tcPr>
            <w:tcW w:w="4780" w:type="dxa"/>
            <w:vAlign w:val="bottom"/>
            <w:tcBorders>
              <w:bottom w:val="single" w:sz="8" w:color="auto"/>
            </w:tcBorders>
          </w:tcPr>
          <w:p>
            <w:pPr>
              <w:ind w:left="140"/>
              <w:spacing w:after="0" w:line="157" w:lineRule="exact"/>
              <w:rPr>
                <w:sz w:val="20"/>
                <w:szCs w:val="20"/>
                <w:color w:val="auto"/>
              </w:rPr>
            </w:pPr>
            <w:r>
              <w:rPr>
                <w:rFonts w:ascii="Arial" w:cs="Arial" w:eastAsia="Arial" w:hAnsi="Arial"/>
                <w:sz w:val="14"/>
                <w:szCs w:val="14"/>
                <w:color w:val="auto"/>
              </w:rPr>
              <w:t>At December 31</w:t>
            </w:r>
          </w:p>
        </w:tc>
        <w:tc>
          <w:tcPr>
            <w:tcW w:w="82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gridSpan w:val="2"/>
          </w:tcPr>
          <w:p>
            <w:pPr>
              <w:jc w:val="right"/>
              <w:ind w:right="229"/>
              <w:spacing w:after="0" w:line="157" w:lineRule="exact"/>
              <w:rPr>
                <w:sz w:val="20"/>
                <w:szCs w:val="20"/>
                <w:color w:val="auto"/>
              </w:rPr>
            </w:pPr>
            <w:r>
              <w:rPr>
                <w:rFonts w:ascii="Arial" w:cs="Arial" w:eastAsia="Arial" w:hAnsi="Arial"/>
                <w:sz w:val="14"/>
                <w:szCs w:val="14"/>
                <w:color w:val="auto"/>
              </w:rPr>
              <w:t>3,942</w:t>
            </w:r>
          </w:p>
        </w:tc>
        <w:tc>
          <w:tcPr>
            <w:tcW w:w="820" w:type="dxa"/>
            <w:vAlign w:val="bottom"/>
            <w:tcBorders>
              <w:bottom w:val="single" w:sz="8" w:color="auto"/>
            </w:tcBorders>
          </w:tcPr>
          <w:p>
            <w:pPr>
              <w:jc w:val="right"/>
              <w:ind w:right="350"/>
              <w:spacing w:after="0" w:line="157" w:lineRule="exact"/>
              <w:rPr>
                <w:sz w:val="20"/>
                <w:szCs w:val="20"/>
                <w:color w:val="auto"/>
              </w:rPr>
            </w:pPr>
            <w:r>
              <w:rPr>
                <w:rFonts w:ascii="Arial" w:cs="Arial" w:eastAsia="Arial" w:hAnsi="Arial"/>
                <w:sz w:val="14"/>
                <w:szCs w:val="14"/>
                <w:color w:val="auto"/>
              </w:rPr>
              <w:t>9,132</w:t>
            </w:r>
          </w:p>
        </w:tc>
        <w:tc>
          <w:tcPr>
            <w:tcW w:w="720" w:type="dxa"/>
            <w:vAlign w:val="bottom"/>
            <w:tcBorders>
              <w:bottom w:val="single" w:sz="8" w:color="auto"/>
            </w:tcBorders>
          </w:tcPr>
          <w:p>
            <w:pPr>
              <w:jc w:val="right"/>
              <w:ind w:right="129"/>
              <w:spacing w:after="0" w:line="157" w:lineRule="exact"/>
              <w:rPr>
                <w:sz w:val="20"/>
                <w:szCs w:val="20"/>
                <w:color w:val="auto"/>
              </w:rPr>
            </w:pPr>
            <w:r>
              <w:rPr>
                <w:rFonts w:ascii="Arial" w:cs="Arial" w:eastAsia="Arial" w:hAnsi="Arial"/>
                <w:sz w:val="14"/>
                <w:szCs w:val="14"/>
                <w:color w:val="auto"/>
              </w:rPr>
              <w:t>1,621</w:t>
            </w:r>
          </w:p>
        </w:tc>
        <w:tc>
          <w:tcPr>
            <w:tcW w:w="380" w:type="dxa"/>
            <w:vAlign w:val="bottom"/>
            <w:tcBorders>
              <w:bottom w:val="single" w:sz="8" w:color="auto"/>
            </w:tcBorders>
            <w:gridSpan w:val="2"/>
          </w:tcPr>
          <w:p>
            <w:pPr>
              <w:jc w:val="right"/>
              <w:spacing w:after="0" w:line="157" w:lineRule="exact"/>
              <w:rPr>
                <w:sz w:val="20"/>
                <w:szCs w:val="20"/>
                <w:color w:val="auto"/>
              </w:rPr>
            </w:pPr>
            <w:r>
              <w:rPr>
                <w:rFonts w:ascii="Arial" w:cs="Arial" w:eastAsia="Arial" w:hAnsi="Arial"/>
                <w:sz w:val="14"/>
                <w:szCs w:val="14"/>
                <w:color w:val="auto"/>
              </w:rPr>
              <w:t>946</w:t>
            </w:r>
          </w:p>
        </w:tc>
        <w:tc>
          <w:tcPr>
            <w:tcW w:w="780" w:type="dxa"/>
            <w:vAlign w:val="bottom"/>
            <w:tcBorders>
              <w:bottom w:val="single" w:sz="8" w:color="auto"/>
            </w:tcBorders>
            <w:gridSpan w:val="2"/>
          </w:tcPr>
          <w:p>
            <w:pPr>
              <w:jc w:val="right"/>
              <w:spacing w:after="0" w:line="157" w:lineRule="exact"/>
              <w:rPr>
                <w:sz w:val="20"/>
                <w:szCs w:val="20"/>
                <w:color w:val="auto"/>
              </w:rPr>
            </w:pPr>
            <w:r>
              <w:rPr>
                <w:rFonts w:ascii="Arial" w:cs="Arial" w:eastAsia="Arial" w:hAnsi="Arial"/>
                <w:sz w:val="14"/>
                <w:szCs w:val="14"/>
                <w:color w:val="auto"/>
              </w:rPr>
              <w:t>1,492</w:t>
            </w:r>
          </w:p>
        </w:tc>
        <w:tc>
          <w:tcPr>
            <w:tcW w:w="12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gridSpan w:val="2"/>
          </w:tcPr>
          <w:p>
            <w:pPr>
              <w:jc w:val="right"/>
              <w:ind w:right="8"/>
              <w:spacing w:after="0" w:line="157" w:lineRule="exact"/>
              <w:rPr>
                <w:sz w:val="20"/>
                <w:szCs w:val="20"/>
                <w:color w:val="auto"/>
              </w:rPr>
            </w:pPr>
            <w:r>
              <w:rPr>
                <w:rFonts w:ascii="Arial" w:cs="Arial" w:eastAsia="Arial" w:hAnsi="Arial"/>
                <w:sz w:val="14"/>
                <w:szCs w:val="14"/>
                <w:color w:val="auto"/>
              </w:rPr>
              <w:t>908</w:t>
            </w:r>
          </w:p>
        </w:tc>
        <w:tc>
          <w:tcPr>
            <w:tcW w:w="780" w:type="dxa"/>
            <w:vAlign w:val="bottom"/>
            <w:tcBorders>
              <w:bottom w:val="single" w:sz="8" w:color="auto"/>
            </w:tcBorders>
            <w:gridSpan w:val="4"/>
          </w:tcPr>
          <w:p>
            <w:pPr>
              <w:jc w:val="right"/>
              <w:ind w:right="80"/>
              <w:spacing w:after="0" w:line="157" w:lineRule="exact"/>
              <w:rPr>
                <w:sz w:val="20"/>
                <w:szCs w:val="20"/>
                <w:color w:val="auto"/>
              </w:rPr>
            </w:pPr>
            <w:r>
              <w:rPr>
                <w:rFonts w:ascii="Arial" w:cs="Arial" w:eastAsia="Arial" w:hAnsi="Arial"/>
                <w:sz w:val="14"/>
                <w:szCs w:val="14"/>
                <w:color w:val="auto"/>
              </w:rPr>
              <w:t>48</w:t>
            </w:r>
          </w:p>
        </w:tc>
        <w:tc>
          <w:tcPr>
            <w:tcW w:w="700" w:type="dxa"/>
            <w:vAlign w:val="bottom"/>
            <w:tcBorders>
              <w:bottom w:val="single" w:sz="8" w:color="auto"/>
            </w:tcBorders>
          </w:tcPr>
          <w:p>
            <w:pPr>
              <w:jc w:val="right"/>
              <w:ind w:right="29"/>
              <w:spacing w:after="0" w:line="157" w:lineRule="exact"/>
              <w:rPr>
                <w:sz w:val="20"/>
                <w:szCs w:val="20"/>
                <w:color w:val="auto"/>
              </w:rPr>
            </w:pPr>
            <w:r>
              <w:rPr>
                <w:rFonts w:ascii="Arial" w:cs="Arial" w:eastAsia="Arial" w:hAnsi="Arial"/>
                <w:sz w:val="14"/>
                <w:szCs w:val="14"/>
                <w:color w:val="auto"/>
              </w:rPr>
              <w:t>18,089</w:t>
            </w:r>
          </w:p>
        </w:tc>
        <w:tc>
          <w:tcPr>
            <w:tcW w:w="0" w:type="dxa"/>
            <w:vAlign w:val="bottom"/>
          </w:tcPr>
          <w:p>
            <w:pPr>
              <w:spacing w:after="0"/>
              <w:rPr>
                <w:sz w:val="1"/>
                <w:szCs w:val="1"/>
                <w:color w:val="auto"/>
              </w:rPr>
            </w:pPr>
          </w:p>
        </w:tc>
      </w:tr>
      <w:tr>
        <w:trPr>
          <w:trHeight w:val="160"/>
        </w:trPr>
        <w:tc>
          <w:tcPr>
            <w:tcW w:w="4780" w:type="dxa"/>
            <w:vAlign w:val="bottom"/>
          </w:tcPr>
          <w:p>
            <w:pPr>
              <w:spacing w:after="0"/>
              <w:rPr>
                <w:sz w:val="20"/>
                <w:szCs w:val="20"/>
                <w:color w:val="auto"/>
              </w:rPr>
            </w:pPr>
            <w:r>
              <w:rPr>
                <w:rFonts w:ascii="Arial" w:cs="Arial" w:eastAsia="Arial" w:hAnsi="Arial"/>
                <w:sz w:val="14"/>
                <w:szCs w:val="14"/>
                <w:color w:val="auto"/>
              </w:rPr>
              <w:t>Shell share of joint ventures and associates</w:t>
            </w:r>
          </w:p>
        </w:tc>
        <w:tc>
          <w:tcPr>
            <w:tcW w:w="8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4780" w:type="dxa"/>
            <w:vAlign w:val="bottom"/>
          </w:tcPr>
          <w:p>
            <w:pPr>
              <w:ind w:left="140"/>
              <w:spacing w:after="0"/>
              <w:rPr>
                <w:sz w:val="20"/>
                <w:szCs w:val="20"/>
                <w:color w:val="auto"/>
              </w:rPr>
            </w:pPr>
            <w:r>
              <w:rPr>
                <w:rFonts w:ascii="Arial" w:cs="Arial" w:eastAsia="Arial" w:hAnsi="Arial"/>
                <w:sz w:val="14"/>
                <w:szCs w:val="14"/>
                <w:color w:val="auto"/>
              </w:rPr>
              <w:t>At January 1</w:t>
            </w:r>
          </w:p>
        </w:tc>
        <w:tc>
          <w:tcPr>
            <w:tcW w:w="820" w:type="dxa"/>
            <w:vAlign w:val="bottom"/>
          </w:tcPr>
          <w:p>
            <w:pPr>
              <w:spacing w:after="0"/>
              <w:rPr>
                <w:sz w:val="14"/>
                <w:szCs w:val="14"/>
                <w:color w:val="auto"/>
              </w:rPr>
            </w:pPr>
          </w:p>
        </w:tc>
        <w:tc>
          <w:tcPr>
            <w:tcW w:w="720" w:type="dxa"/>
            <w:vAlign w:val="bottom"/>
            <w:gridSpan w:val="2"/>
          </w:tcPr>
          <w:p>
            <w:pPr>
              <w:jc w:val="right"/>
              <w:ind w:right="229"/>
              <w:spacing w:after="0"/>
              <w:rPr>
                <w:sz w:val="20"/>
                <w:szCs w:val="20"/>
                <w:color w:val="auto"/>
              </w:rPr>
            </w:pPr>
            <w:r>
              <w:rPr>
                <w:rFonts w:ascii="Arial" w:cs="Arial" w:eastAsia="Arial" w:hAnsi="Arial"/>
                <w:sz w:val="14"/>
                <w:szCs w:val="14"/>
                <w:color w:val="auto"/>
              </w:rPr>
              <w:t>7,407</w:t>
            </w:r>
          </w:p>
        </w:tc>
        <w:tc>
          <w:tcPr>
            <w:tcW w:w="820" w:type="dxa"/>
            <w:vAlign w:val="bottom"/>
          </w:tcPr>
          <w:p>
            <w:pPr>
              <w:jc w:val="right"/>
              <w:ind w:right="350"/>
              <w:spacing w:after="0"/>
              <w:rPr>
                <w:sz w:val="20"/>
                <w:szCs w:val="20"/>
                <w:color w:val="auto"/>
              </w:rPr>
            </w:pPr>
            <w:r>
              <w:rPr>
                <w:rFonts w:ascii="Arial" w:cs="Arial" w:eastAsia="Arial" w:hAnsi="Arial"/>
                <w:sz w:val="14"/>
                <w:szCs w:val="14"/>
                <w:color w:val="auto"/>
              </w:rPr>
              <w:t>5,088</w:t>
            </w:r>
          </w:p>
        </w:tc>
        <w:tc>
          <w:tcPr>
            <w:tcW w:w="720" w:type="dxa"/>
            <w:vAlign w:val="bottom"/>
          </w:tcPr>
          <w:p>
            <w:pPr>
              <w:jc w:val="right"/>
              <w:ind w:right="129"/>
              <w:spacing w:after="0"/>
              <w:rPr>
                <w:sz w:val="20"/>
                <w:szCs w:val="20"/>
                <w:color w:val="auto"/>
              </w:rPr>
            </w:pPr>
            <w:r>
              <w:rPr>
                <w:rFonts w:ascii="Arial" w:cs="Arial" w:eastAsia="Arial" w:hAnsi="Arial"/>
                <w:sz w:val="14"/>
                <w:szCs w:val="14"/>
                <w:color w:val="auto"/>
              </w:rPr>
              <w:t>581</w:t>
            </w:r>
          </w:p>
        </w:tc>
        <w:tc>
          <w:tcPr>
            <w:tcW w:w="40" w:type="dxa"/>
            <w:vAlign w:val="bottom"/>
          </w:tcPr>
          <w:p>
            <w:pPr>
              <w:spacing w:after="0"/>
              <w:rPr>
                <w:sz w:val="14"/>
                <w:szCs w:val="14"/>
                <w:color w:val="auto"/>
              </w:rPr>
            </w:pPr>
          </w:p>
        </w:tc>
        <w:tc>
          <w:tcPr>
            <w:tcW w:w="340" w:type="dxa"/>
            <w:vAlign w:val="bottom"/>
          </w:tcPr>
          <w:p>
            <w:pPr>
              <w:jc w:val="right"/>
              <w:spacing w:after="0"/>
              <w:rPr>
                <w:sz w:val="20"/>
                <w:szCs w:val="20"/>
                <w:color w:val="auto"/>
              </w:rPr>
            </w:pPr>
            <w:r>
              <w:rPr>
                <w:rFonts w:ascii="Arial" w:cs="Arial" w:eastAsia="Arial" w:hAnsi="Arial"/>
                <w:sz w:val="14"/>
                <w:szCs w:val="14"/>
                <w:color w:val="auto"/>
              </w:rPr>
              <w:t>–</w:t>
            </w:r>
          </w:p>
        </w:tc>
        <w:tc>
          <w:tcPr>
            <w:tcW w:w="780" w:type="dxa"/>
            <w:vAlign w:val="bottom"/>
            <w:gridSpan w:val="2"/>
          </w:tcPr>
          <w:p>
            <w:pPr>
              <w:jc w:val="right"/>
              <w:spacing w:after="0"/>
              <w:rPr>
                <w:sz w:val="20"/>
                <w:szCs w:val="20"/>
                <w:color w:val="auto"/>
              </w:rPr>
            </w:pPr>
            <w:r>
              <w:rPr>
                <w:rFonts w:ascii="Arial" w:cs="Arial" w:eastAsia="Arial" w:hAnsi="Arial"/>
                <w:sz w:val="14"/>
                <w:szCs w:val="14"/>
                <w:color w:val="auto"/>
              </w:rPr>
              <w:t>67</w:t>
            </w: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0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780" w:type="dxa"/>
            <w:vAlign w:val="bottom"/>
            <w:gridSpan w:val="4"/>
          </w:tcPr>
          <w:p>
            <w:pPr>
              <w:jc w:val="right"/>
              <w:ind w:right="80"/>
              <w:spacing w:after="0"/>
              <w:rPr>
                <w:sz w:val="20"/>
                <w:szCs w:val="20"/>
                <w:color w:val="auto"/>
              </w:rPr>
            </w:pPr>
            <w:r>
              <w:rPr>
                <w:rFonts w:ascii="Arial" w:cs="Arial" w:eastAsia="Arial" w:hAnsi="Arial"/>
                <w:sz w:val="14"/>
                <w:szCs w:val="14"/>
                <w:color w:val="auto"/>
              </w:rPr>
              <w:t>3</w:t>
            </w:r>
          </w:p>
        </w:tc>
        <w:tc>
          <w:tcPr>
            <w:tcW w:w="700" w:type="dxa"/>
            <w:vAlign w:val="bottom"/>
          </w:tcPr>
          <w:p>
            <w:pPr>
              <w:jc w:val="right"/>
              <w:ind w:right="29"/>
              <w:spacing w:after="0"/>
              <w:rPr>
                <w:sz w:val="20"/>
                <w:szCs w:val="20"/>
                <w:color w:val="auto"/>
              </w:rPr>
            </w:pPr>
            <w:r>
              <w:rPr>
                <w:rFonts w:ascii="Arial" w:cs="Arial" w:eastAsia="Arial" w:hAnsi="Arial"/>
                <w:sz w:val="14"/>
                <w:szCs w:val="14"/>
                <w:color w:val="auto"/>
              </w:rPr>
              <w:t>13,146</w:t>
            </w:r>
          </w:p>
        </w:tc>
        <w:tc>
          <w:tcPr>
            <w:tcW w:w="0" w:type="dxa"/>
            <w:vAlign w:val="bottom"/>
          </w:tcPr>
          <w:p>
            <w:pPr>
              <w:spacing w:after="0"/>
              <w:rPr>
                <w:sz w:val="1"/>
                <w:szCs w:val="1"/>
                <w:color w:val="auto"/>
              </w:rPr>
            </w:pPr>
          </w:p>
        </w:tc>
      </w:tr>
      <w:tr>
        <w:trPr>
          <w:trHeight w:val="157"/>
        </w:trPr>
        <w:tc>
          <w:tcPr>
            <w:tcW w:w="4780" w:type="dxa"/>
            <w:vAlign w:val="bottom"/>
            <w:tcBorders>
              <w:bottom w:val="single" w:sz="8" w:color="auto"/>
            </w:tcBorders>
          </w:tcPr>
          <w:p>
            <w:pPr>
              <w:ind w:left="140"/>
              <w:spacing w:after="0" w:line="157" w:lineRule="exact"/>
              <w:rPr>
                <w:sz w:val="20"/>
                <w:szCs w:val="20"/>
                <w:color w:val="auto"/>
              </w:rPr>
            </w:pPr>
            <w:r>
              <w:rPr>
                <w:rFonts w:ascii="Arial" w:cs="Arial" w:eastAsia="Arial" w:hAnsi="Arial"/>
                <w:sz w:val="14"/>
                <w:szCs w:val="14"/>
                <w:color w:val="auto"/>
              </w:rPr>
              <w:t>At December 31</w:t>
            </w:r>
          </w:p>
        </w:tc>
        <w:tc>
          <w:tcPr>
            <w:tcW w:w="82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gridSpan w:val="2"/>
          </w:tcPr>
          <w:p>
            <w:pPr>
              <w:jc w:val="right"/>
              <w:ind w:right="229"/>
              <w:spacing w:after="0" w:line="157" w:lineRule="exact"/>
              <w:rPr>
                <w:sz w:val="20"/>
                <w:szCs w:val="20"/>
                <w:color w:val="auto"/>
              </w:rPr>
            </w:pPr>
            <w:r>
              <w:rPr>
                <w:rFonts w:ascii="Arial" w:cs="Arial" w:eastAsia="Arial" w:hAnsi="Arial"/>
                <w:sz w:val="14"/>
                <w:szCs w:val="14"/>
                <w:color w:val="auto"/>
              </w:rPr>
              <w:t>6,856</w:t>
            </w:r>
          </w:p>
        </w:tc>
        <w:tc>
          <w:tcPr>
            <w:tcW w:w="820" w:type="dxa"/>
            <w:vAlign w:val="bottom"/>
            <w:tcBorders>
              <w:bottom w:val="single" w:sz="8" w:color="auto"/>
            </w:tcBorders>
          </w:tcPr>
          <w:p>
            <w:pPr>
              <w:jc w:val="right"/>
              <w:ind w:right="350"/>
              <w:spacing w:after="0" w:line="157" w:lineRule="exact"/>
              <w:rPr>
                <w:sz w:val="20"/>
                <w:szCs w:val="20"/>
                <w:color w:val="auto"/>
              </w:rPr>
            </w:pPr>
            <w:r>
              <w:rPr>
                <w:rFonts w:ascii="Arial" w:cs="Arial" w:eastAsia="Arial" w:hAnsi="Arial"/>
                <w:sz w:val="14"/>
                <w:szCs w:val="14"/>
                <w:color w:val="auto"/>
              </w:rPr>
              <w:t>4,894</w:t>
            </w:r>
          </w:p>
        </w:tc>
        <w:tc>
          <w:tcPr>
            <w:tcW w:w="720" w:type="dxa"/>
            <w:vAlign w:val="bottom"/>
            <w:tcBorders>
              <w:bottom w:val="single" w:sz="8" w:color="auto"/>
            </w:tcBorders>
          </w:tcPr>
          <w:p>
            <w:pPr>
              <w:jc w:val="right"/>
              <w:ind w:right="129"/>
              <w:spacing w:after="0" w:line="157" w:lineRule="exact"/>
              <w:rPr>
                <w:sz w:val="20"/>
                <w:szCs w:val="20"/>
                <w:color w:val="auto"/>
              </w:rPr>
            </w:pPr>
            <w:r>
              <w:rPr>
                <w:rFonts w:ascii="Arial" w:cs="Arial" w:eastAsia="Arial" w:hAnsi="Arial"/>
                <w:sz w:val="14"/>
                <w:szCs w:val="14"/>
                <w:color w:val="auto"/>
              </w:rPr>
              <w:t>806</w:t>
            </w:r>
          </w:p>
        </w:tc>
        <w:tc>
          <w:tcPr>
            <w:tcW w:w="4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jc w:val="right"/>
              <w:spacing w:after="0" w:line="157" w:lineRule="exact"/>
              <w:rPr>
                <w:sz w:val="20"/>
                <w:szCs w:val="20"/>
                <w:color w:val="auto"/>
              </w:rPr>
            </w:pPr>
            <w:r>
              <w:rPr>
                <w:rFonts w:ascii="Arial" w:cs="Arial" w:eastAsia="Arial" w:hAnsi="Arial"/>
                <w:sz w:val="14"/>
                <w:szCs w:val="14"/>
                <w:color w:val="auto"/>
              </w:rPr>
              <w:t>–</w:t>
            </w:r>
          </w:p>
        </w:tc>
        <w:tc>
          <w:tcPr>
            <w:tcW w:w="12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spacing w:after="0" w:line="157" w:lineRule="exact"/>
              <w:rPr>
                <w:sz w:val="20"/>
                <w:szCs w:val="20"/>
                <w:color w:val="auto"/>
              </w:rPr>
            </w:pPr>
            <w:r>
              <w:rPr>
                <w:rFonts w:ascii="Arial" w:cs="Arial" w:eastAsia="Arial" w:hAnsi="Arial"/>
                <w:sz w:val="14"/>
                <w:szCs w:val="14"/>
                <w:color w:val="auto"/>
              </w:rPr>
              <w:t>–</w:t>
            </w:r>
          </w:p>
        </w:tc>
        <w:tc>
          <w:tcPr>
            <w:tcW w:w="12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jc w:val="right"/>
              <w:ind w:right="8"/>
              <w:spacing w:after="0" w:line="157" w:lineRule="exact"/>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gridSpan w:val="4"/>
          </w:tcPr>
          <w:p>
            <w:pPr>
              <w:jc w:val="right"/>
              <w:ind w:right="80"/>
              <w:spacing w:after="0" w:line="157" w:lineRule="exact"/>
              <w:rPr>
                <w:sz w:val="20"/>
                <w:szCs w:val="20"/>
                <w:color w:val="auto"/>
              </w:rPr>
            </w:pPr>
            <w:r>
              <w:rPr>
                <w:rFonts w:ascii="Arial" w:cs="Arial" w:eastAsia="Arial" w:hAnsi="Arial"/>
                <w:sz w:val="14"/>
                <w:szCs w:val="14"/>
                <w:color w:val="auto"/>
              </w:rPr>
              <w:t>4</w:t>
            </w:r>
          </w:p>
        </w:tc>
        <w:tc>
          <w:tcPr>
            <w:tcW w:w="700" w:type="dxa"/>
            <w:vAlign w:val="bottom"/>
            <w:tcBorders>
              <w:bottom w:val="single" w:sz="8" w:color="auto"/>
            </w:tcBorders>
          </w:tcPr>
          <w:p>
            <w:pPr>
              <w:jc w:val="right"/>
              <w:ind w:right="29"/>
              <w:spacing w:after="0" w:line="157" w:lineRule="exact"/>
              <w:rPr>
                <w:sz w:val="20"/>
                <w:szCs w:val="20"/>
                <w:color w:val="auto"/>
              </w:rPr>
            </w:pPr>
            <w:r>
              <w:rPr>
                <w:rFonts w:ascii="Arial" w:cs="Arial" w:eastAsia="Arial" w:hAnsi="Arial"/>
                <w:sz w:val="14"/>
                <w:szCs w:val="14"/>
                <w:color w:val="auto"/>
              </w:rPr>
              <w:t>12,560</w:t>
            </w:r>
          </w:p>
        </w:tc>
        <w:tc>
          <w:tcPr>
            <w:tcW w:w="0" w:type="dxa"/>
            <w:vAlign w:val="bottom"/>
          </w:tcPr>
          <w:p>
            <w:pPr>
              <w:spacing w:after="0"/>
              <w:rPr>
                <w:sz w:val="1"/>
                <w:szCs w:val="1"/>
                <w:color w:val="auto"/>
              </w:rPr>
            </w:pPr>
          </w:p>
        </w:tc>
      </w:tr>
    </w:tbl>
    <w:p>
      <w:pPr>
        <w:spacing w:after="0" w:line="27" w:lineRule="exact"/>
        <w:rPr>
          <w:sz w:val="20"/>
          <w:szCs w:val="20"/>
          <w:color w:val="auto"/>
        </w:rPr>
      </w:pPr>
    </w:p>
    <w:p>
      <w:pPr>
        <w:ind w:right="260" w:firstLine="8"/>
        <w:spacing w:after="0" w:line="255" w:lineRule="auto"/>
        <w:tabs>
          <w:tab w:leader="none" w:pos="162" w:val="left"/>
        </w:tabs>
        <w:numPr>
          <w:ilvl w:val="0"/>
          <w:numId w:val="153"/>
        </w:numPr>
        <w:rPr>
          <w:rFonts w:ascii="Arial" w:cs="Arial" w:eastAsia="Arial" w:hAnsi="Arial"/>
          <w:sz w:val="11"/>
          <w:szCs w:val="11"/>
          <w:color w:val="auto"/>
        </w:rPr>
      </w:pPr>
      <w:r>
        <w:rPr>
          <w:rFonts w:ascii="Arial" w:cs="Arial" w:eastAsia="Arial" w:hAnsi="Arial"/>
          <w:sz w:val="11"/>
          <w:szCs w:val="11"/>
          <w:color w:val="auto"/>
        </w:rPr>
        <w:t xml:space="preserve">As a result of the adoption of IFRS 11 </w:t>
      </w:r>
      <w:r>
        <w:rPr>
          <w:rFonts w:ascii="Arial" w:cs="Arial" w:eastAsia="Arial" w:hAnsi="Arial"/>
          <w:sz w:val="11"/>
          <w:szCs w:val="11"/>
          <w:i w:val="1"/>
          <w:iCs w:val="1"/>
          <w:color w:val="auto"/>
        </w:rPr>
        <w:t>Joint Arrangements</w:t>
      </w:r>
      <w:r>
        <w:rPr>
          <w:rFonts w:ascii="Arial" w:cs="Arial" w:eastAsia="Arial" w:hAnsi="Arial"/>
          <w:sz w:val="11"/>
          <w:szCs w:val="11"/>
          <w:color w:val="auto"/>
        </w:rPr>
        <w:t xml:space="preserve"> with effect from January 1, 2013, proved developed reserves of 14 thousand million standard cubic feet in Asia and 67 thousand million standard cubic feet in the USA were reclassified during 2013 from the Shell share of joint ventures and associates’ proved developed reserves to Shell subsidiaries’ proved developed reserves.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4480" w:type="dxa"/>
            <w:vAlign w:val="bottom"/>
            <w:shd w:val="clear" w:color="auto" w:fill="333333"/>
          </w:tcPr>
          <w:p>
            <w:pPr>
              <w:ind w:left="80"/>
              <w:spacing w:after="0"/>
              <w:rPr>
                <w:sz w:val="20"/>
                <w:szCs w:val="20"/>
                <w:color w:val="auto"/>
              </w:rPr>
            </w:pPr>
            <w:r>
              <w:rPr>
                <w:rFonts w:ascii="Arial" w:cs="Arial" w:eastAsia="Arial" w:hAnsi="Arial"/>
                <w:sz w:val="15"/>
                <w:szCs w:val="15"/>
                <w:b w:val="1"/>
                <w:bCs w:val="1"/>
                <w:color w:val="FFFFFF"/>
              </w:rPr>
              <w:t>PROVED UNDEVELOPED RESERVES 2013</w:t>
            </w:r>
          </w:p>
        </w:tc>
        <w:tc>
          <w:tcPr>
            <w:tcW w:w="1880" w:type="dxa"/>
            <w:vAlign w:val="bottom"/>
            <w:shd w:val="clear" w:color="auto" w:fill="333333"/>
          </w:tcPr>
          <w:p>
            <w:pPr>
              <w:spacing w:after="0"/>
              <w:rPr>
                <w:sz w:val="15"/>
                <w:szCs w:val="15"/>
                <w:color w:val="auto"/>
              </w:rPr>
            </w:pPr>
          </w:p>
        </w:tc>
        <w:tc>
          <w:tcPr>
            <w:tcW w:w="840" w:type="dxa"/>
            <w:vAlign w:val="bottom"/>
            <w:shd w:val="clear" w:color="auto" w:fill="333333"/>
          </w:tcPr>
          <w:p>
            <w:pPr>
              <w:spacing w:after="0"/>
              <w:rPr>
                <w:sz w:val="15"/>
                <w:szCs w:val="15"/>
                <w:color w:val="auto"/>
              </w:rPr>
            </w:pPr>
          </w:p>
        </w:tc>
        <w:tc>
          <w:tcPr>
            <w:tcW w:w="700" w:type="dxa"/>
            <w:vAlign w:val="bottom"/>
            <w:shd w:val="clear" w:color="auto" w:fill="333333"/>
          </w:tcPr>
          <w:p>
            <w:pPr>
              <w:spacing w:after="0"/>
              <w:rPr>
                <w:sz w:val="15"/>
                <w:szCs w:val="15"/>
                <w:color w:val="auto"/>
              </w:rPr>
            </w:pPr>
          </w:p>
        </w:tc>
        <w:tc>
          <w:tcPr>
            <w:tcW w:w="3520" w:type="dxa"/>
            <w:vAlign w:val="bottom"/>
            <w:gridSpan w:val="6"/>
            <w:shd w:val="clear" w:color="auto" w:fill="333333"/>
          </w:tcPr>
          <w:p>
            <w:pPr>
              <w:jc w:val="right"/>
              <w:ind w:right="30"/>
              <w:spacing w:after="0"/>
              <w:rPr>
                <w:sz w:val="20"/>
                <w:szCs w:val="20"/>
                <w:color w:val="auto"/>
              </w:rPr>
            </w:pPr>
            <w:r>
              <w:rPr>
                <w:rFonts w:ascii="Arial" w:cs="Arial" w:eastAsia="Arial" w:hAnsi="Arial"/>
                <w:sz w:val="15"/>
                <w:szCs w:val="15"/>
                <w:color w:val="FFFFFF"/>
              </w:rPr>
              <w:t>THOUSAND MILLION STANDARD CUBIC FEET</w:t>
            </w:r>
          </w:p>
        </w:tc>
      </w:tr>
      <w:tr>
        <w:trPr>
          <w:trHeight w:val="129"/>
        </w:trPr>
        <w:tc>
          <w:tcPr>
            <w:tcW w:w="448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500" w:type="dxa"/>
            <w:vAlign w:val="bottom"/>
            <w:tcBorders>
              <w:bottom w:val="single" w:sz="8" w:color="auto"/>
            </w:tcBorders>
            <w:gridSpan w:val="2"/>
          </w:tcPr>
          <w:p>
            <w:pPr>
              <w:jc w:val="right"/>
              <w:ind w:right="10"/>
              <w:spacing w:after="0" w:line="129" w:lineRule="exact"/>
              <w:rPr>
                <w:sz w:val="20"/>
                <w:szCs w:val="20"/>
                <w:color w:val="auto"/>
              </w:rPr>
            </w:pPr>
            <w:r>
              <w:rPr>
                <w:rFonts w:ascii="Arial" w:cs="Arial" w:eastAsia="Arial" w:hAnsi="Arial"/>
                <w:sz w:val="13"/>
                <w:szCs w:val="13"/>
                <w:color w:val="auto"/>
              </w:rPr>
              <w:t>North America</w:t>
            </w:r>
          </w:p>
        </w:tc>
        <w:tc>
          <w:tcPr>
            <w:tcW w:w="780" w:type="dxa"/>
            <w:vAlign w:val="bottom"/>
            <w:gridSpan w:val="2"/>
          </w:tcPr>
          <w:p>
            <w:pPr>
              <w:jc w:val="right"/>
              <w:ind w:right="80"/>
              <w:spacing w:after="0" w:line="129" w:lineRule="exact"/>
              <w:rPr>
                <w:sz w:val="20"/>
                <w:szCs w:val="20"/>
                <w:color w:val="auto"/>
              </w:rPr>
            </w:pPr>
            <w:r>
              <w:rPr>
                <w:rFonts w:ascii="Arial" w:cs="Arial" w:eastAsia="Arial" w:hAnsi="Arial"/>
                <w:sz w:val="13"/>
                <w:szCs w:val="13"/>
                <w:color w:val="auto"/>
              </w:rPr>
              <w:t>South</w:t>
            </w:r>
          </w:p>
        </w:tc>
        <w:tc>
          <w:tcPr>
            <w:tcW w:w="620" w:type="dxa"/>
            <w:vAlign w:val="bottom"/>
          </w:tcPr>
          <w:p>
            <w:pPr>
              <w:spacing w:after="0"/>
              <w:rPr>
                <w:sz w:val="11"/>
                <w:szCs w:val="11"/>
                <w:color w:val="auto"/>
              </w:rPr>
            </w:pPr>
          </w:p>
        </w:tc>
      </w:tr>
      <w:tr>
        <w:trPr>
          <w:trHeight w:val="135"/>
        </w:trPr>
        <w:tc>
          <w:tcPr>
            <w:tcW w:w="4480" w:type="dxa"/>
            <w:vAlign w:val="bottom"/>
          </w:tcPr>
          <w:p>
            <w:pPr>
              <w:spacing w:after="0"/>
              <w:rPr>
                <w:sz w:val="11"/>
                <w:szCs w:val="11"/>
                <w:color w:val="auto"/>
              </w:rPr>
            </w:pPr>
          </w:p>
        </w:tc>
        <w:tc>
          <w:tcPr>
            <w:tcW w:w="1880" w:type="dxa"/>
            <w:vAlign w:val="bottom"/>
          </w:tcPr>
          <w:p>
            <w:pPr>
              <w:jc w:val="right"/>
              <w:ind w:right="90"/>
              <w:spacing w:after="0" w:line="135" w:lineRule="exact"/>
              <w:rPr>
                <w:sz w:val="20"/>
                <w:szCs w:val="20"/>
                <w:color w:val="auto"/>
              </w:rPr>
            </w:pPr>
            <w:r>
              <w:rPr>
                <w:rFonts w:ascii="Arial" w:cs="Arial" w:eastAsia="Arial" w:hAnsi="Arial"/>
                <w:sz w:val="13"/>
                <w:szCs w:val="13"/>
                <w:color w:val="auto"/>
              </w:rPr>
              <w:t>Europe</w:t>
            </w:r>
          </w:p>
        </w:tc>
        <w:tc>
          <w:tcPr>
            <w:tcW w:w="840" w:type="dxa"/>
            <w:vAlign w:val="bottom"/>
          </w:tcPr>
          <w:p>
            <w:pPr>
              <w:jc w:val="right"/>
              <w:ind w:right="90"/>
              <w:spacing w:after="0" w:line="135" w:lineRule="exact"/>
              <w:rPr>
                <w:sz w:val="20"/>
                <w:szCs w:val="20"/>
                <w:color w:val="auto"/>
              </w:rPr>
            </w:pPr>
            <w:r>
              <w:rPr>
                <w:rFonts w:ascii="Arial" w:cs="Arial" w:eastAsia="Arial" w:hAnsi="Arial"/>
                <w:sz w:val="13"/>
                <w:szCs w:val="13"/>
                <w:color w:val="auto"/>
              </w:rPr>
              <w:t>Asia[A]</w:t>
            </w:r>
          </w:p>
        </w:tc>
        <w:tc>
          <w:tcPr>
            <w:tcW w:w="700" w:type="dxa"/>
            <w:vAlign w:val="bottom"/>
          </w:tcPr>
          <w:p>
            <w:pPr>
              <w:jc w:val="right"/>
              <w:ind w:right="10"/>
              <w:spacing w:after="0" w:line="135" w:lineRule="exact"/>
              <w:rPr>
                <w:sz w:val="20"/>
                <w:szCs w:val="20"/>
                <w:color w:val="auto"/>
              </w:rPr>
            </w:pPr>
            <w:r>
              <w:rPr>
                <w:rFonts w:ascii="Arial" w:cs="Arial" w:eastAsia="Arial" w:hAnsi="Arial"/>
                <w:sz w:val="13"/>
                <w:szCs w:val="13"/>
                <w:color w:val="auto"/>
              </w:rPr>
              <w:t>Oceania</w:t>
            </w:r>
          </w:p>
        </w:tc>
        <w:tc>
          <w:tcPr>
            <w:tcW w:w="620" w:type="dxa"/>
            <w:vAlign w:val="bottom"/>
          </w:tcPr>
          <w:p>
            <w:pPr>
              <w:jc w:val="right"/>
              <w:ind w:right="29"/>
              <w:spacing w:after="0" w:line="135" w:lineRule="exact"/>
              <w:rPr>
                <w:sz w:val="20"/>
                <w:szCs w:val="20"/>
                <w:color w:val="auto"/>
              </w:rPr>
            </w:pPr>
            <w:r>
              <w:rPr>
                <w:rFonts w:ascii="Arial" w:cs="Arial" w:eastAsia="Arial" w:hAnsi="Arial"/>
                <w:sz w:val="13"/>
                <w:szCs w:val="13"/>
                <w:color w:val="auto"/>
              </w:rPr>
              <w:t>Africa</w:t>
            </w:r>
          </w:p>
        </w:tc>
        <w:tc>
          <w:tcPr>
            <w:tcW w:w="840" w:type="dxa"/>
            <w:vAlign w:val="bottom"/>
          </w:tcPr>
          <w:p>
            <w:pPr>
              <w:jc w:val="right"/>
              <w:ind w:right="71"/>
              <w:spacing w:after="0" w:line="135" w:lineRule="exact"/>
              <w:rPr>
                <w:sz w:val="20"/>
                <w:szCs w:val="20"/>
                <w:color w:val="auto"/>
              </w:rPr>
            </w:pPr>
            <w:r>
              <w:rPr>
                <w:rFonts w:ascii="Arial" w:cs="Arial" w:eastAsia="Arial" w:hAnsi="Arial"/>
                <w:sz w:val="13"/>
                <w:szCs w:val="13"/>
                <w:color w:val="auto"/>
              </w:rPr>
              <w:t>USA[A]</w:t>
            </w:r>
          </w:p>
        </w:tc>
        <w:tc>
          <w:tcPr>
            <w:tcW w:w="660" w:type="dxa"/>
            <w:vAlign w:val="bottom"/>
          </w:tcPr>
          <w:p>
            <w:pPr>
              <w:jc w:val="right"/>
              <w:ind w:right="10"/>
              <w:spacing w:after="0" w:line="135" w:lineRule="exact"/>
              <w:rPr>
                <w:sz w:val="20"/>
                <w:szCs w:val="20"/>
                <w:color w:val="auto"/>
              </w:rPr>
            </w:pPr>
            <w:r>
              <w:rPr>
                <w:rFonts w:ascii="Arial" w:cs="Arial" w:eastAsia="Arial" w:hAnsi="Arial"/>
                <w:sz w:val="13"/>
                <w:szCs w:val="13"/>
                <w:color w:val="auto"/>
              </w:rPr>
              <w:t>Canada</w:t>
            </w:r>
          </w:p>
        </w:tc>
        <w:tc>
          <w:tcPr>
            <w:tcW w:w="780" w:type="dxa"/>
            <w:vAlign w:val="bottom"/>
            <w:gridSpan w:val="2"/>
          </w:tcPr>
          <w:p>
            <w:pPr>
              <w:jc w:val="right"/>
              <w:ind w:right="80"/>
              <w:spacing w:after="0" w:line="132" w:lineRule="exact"/>
              <w:rPr>
                <w:sz w:val="20"/>
                <w:szCs w:val="20"/>
                <w:color w:val="auto"/>
              </w:rPr>
            </w:pPr>
            <w:r>
              <w:rPr>
                <w:rFonts w:ascii="Arial" w:cs="Arial" w:eastAsia="Arial" w:hAnsi="Arial"/>
                <w:sz w:val="13"/>
                <w:szCs w:val="13"/>
                <w:color w:val="auto"/>
              </w:rPr>
              <w:t>America</w:t>
            </w:r>
          </w:p>
        </w:tc>
        <w:tc>
          <w:tcPr>
            <w:tcW w:w="620" w:type="dxa"/>
            <w:vAlign w:val="bottom"/>
          </w:tcPr>
          <w:p>
            <w:pPr>
              <w:jc w:val="right"/>
              <w:ind w:right="30"/>
              <w:spacing w:after="0" w:line="135" w:lineRule="exact"/>
              <w:rPr>
                <w:sz w:val="20"/>
                <w:szCs w:val="20"/>
                <w:color w:val="auto"/>
              </w:rPr>
            </w:pPr>
            <w:r>
              <w:rPr>
                <w:rFonts w:ascii="Arial" w:cs="Arial" w:eastAsia="Arial" w:hAnsi="Arial"/>
                <w:sz w:val="13"/>
                <w:szCs w:val="13"/>
                <w:color w:val="auto"/>
              </w:rPr>
              <w:t>Total</w:t>
            </w:r>
          </w:p>
        </w:tc>
      </w:tr>
      <w:tr>
        <w:trPr>
          <w:trHeight w:val="160"/>
        </w:trPr>
        <w:tc>
          <w:tcPr>
            <w:tcW w:w="4480" w:type="dxa"/>
            <w:vAlign w:val="bottom"/>
            <w:tcBorders>
              <w:top w:val="single" w:sz="8" w:color="auto"/>
            </w:tcBorders>
          </w:tcPr>
          <w:p>
            <w:pPr>
              <w:spacing w:after="0"/>
              <w:rPr>
                <w:sz w:val="20"/>
                <w:szCs w:val="20"/>
                <w:color w:val="auto"/>
              </w:rPr>
            </w:pPr>
            <w:r>
              <w:rPr>
                <w:rFonts w:ascii="Arial" w:cs="Arial" w:eastAsia="Arial" w:hAnsi="Arial"/>
                <w:sz w:val="14"/>
                <w:szCs w:val="14"/>
                <w:color w:val="auto"/>
              </w:rPr>
              <w:t>Shell subsidiaries</w:t>
            </w:r>
          </w:p>
        </w:tc>
        <w:tc>
          <w:tcPr>
            <w:tcW w:w="188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spacing w:after="0"/>
              <w:rPr>
                <w:sz w:val="13"/>
                <w:szCs w:val="13"/>
                <w:color w:val="auto"/>
              </w:rPr>
            </w:pPr>
          </w:p>
        </w:tc>
        <w:tc>
          <w:tcPr>
            <w:tcW w:w="62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Borders>
              <w:top w:val="single" w:sz="8" w:color="auto"/>
            </w:tcBorders>
          </w:tcPr>
          <w:p>
            <w:pPr>
              <w:spacing w:after="0"/>
              <w:rPr>
                <w:sz w:val="13"/>
                <w:szCs w:val="13"/>
                <w:color w:val="auto"/>
              </w:rPr>
            </w:pPr>
          </w:p>
        </w:tc>
      </w:tr>
      <w:tr>
        <w:trPr>
          <w:trHeight w:val="162"/>
        </w:trPr>
        <w:tc>
          <w:tcPr>
            <w:tcW w:w="4480" w:type="dxa"/>
            <w:vAlign w:val="bottom"/>
          </w:tcPr>
          <w:p>
            <w:pPr>
              <w:ind w:left="140"/>
              <w:spacing w:after="0"/>
              <w:rPr>
                <w:sz w:val="20"/>
                <w:szCs w:val="20"/>
                <w:color w:val="auto"/>
              </w:rPr>
            </w:pPr>
            <w:r>
              <w:rPr>
                <w:rFonts w:ascii="Arial" w:cs="Arial" w:eastAsia="Arial" w:hAnsi="Arial"/>
                <w:sz w:val="14"/>
                <w:szCs w:val="14"/>
                <w:color w:val="auto"/>
              </w:rPr>
              <w:t>At January 1</w:t>
            </w:r>
          </w:p>
        </w:tc>
        <w:tc>
          <w:tcPr>
            <w:tcW w:w="1880" w:type="dxa"/>
            <w:vAlign w:val="bottom"/>
          </w:tcPr>
          <w:p>
            <w:pPr>
              <w:jc w:val="right"/>
              <w:ind w:right="90"/>
              <w:spacing w:after="0"/>
              <w:rPr>
                <w:sz w:val="20"/>
                <w:szCs w:val="20"/>
                <w:color w:val="auto"/>
              </w:rPr>
            </w:pPr>
            <w:r>
              <w:rPr>
                <w:rFonts w:ascii="Arial" w:cs="Arial" w:eastAsia="Arial" w:hAnsi="Arial"/>
                <w:sz w:val="14"/>
                <w:szCs w:val="14"/>
                <w:color w:val="auto"/>
              </w:rPr>
              <w:t>829</w:t>
            </w:r>
          </w:p>
        </w:tc>
        <w:tc>
          <w:tcPr>
            <w:tcW w:w="840" w:type="dxa"/>
            <w:vAlign w:val="bottom"/>
          </w:tcPr>
          <w:p>
            <w:pPr>
              <w:jc w:val="right"/>
              <w:ind w:right="230"/>
              <w:spacing w:after="0"/>
              <w:rPr>
                <w:sz w:val="20"/>
                <w:szCs w:val="20"/>
                <w:color w:val="auto"/>
              </w:rPr>
            </w:pPr>
            <w:r>
              <w:rPr>
                <w:rFonts w:ascii="Arial" w:cs="Arial" w:eastAsia="Arial" w:hAnsi="Arial"/>
                <w:sz w:val="14"/>
                <w:szCs w:val="14"/>
                <w:color w:val="auto"/>
              </w:rPr>
              <w:t>854</w:t>
            </w:r>
          </w:p>
        </w:tc>
        <w:tc>
          <w:tcPr>
            <w:tcW w:w="700" w:type="dxa"/>
            <w:vAlign w:val="bottom"/>
          </w:tcPr>
          <w:p>
            <w:pPr>
              <w:jc w:val="right"/>
              <w:ind w:right="10"/>
              <w:spacing w:after="0"/>
              <w:rPr>
                <w:sz w:val="20"/>
                <w:szCs w:val="20"/>
                <w:color w:val="auto"/>
              </w:rPr>
            </w:pPr>
            <w:r>
              <w:rPr>
                <w:rFonts w:ascii="Arial" w:cs="Arial" w:eastAsia="Arial" w:hAnsi="Arial"/>
                <w:sz w:val="14"/>
                <w:szCs w:val="14"/>
                <w:color w:val="auto"/>
              </w:rPr>
              <w:t>4,728</w:t>
            </w:r>
          </w:p>
        </w:tc>
        <w:tc>
          <w:tcPr>
            <w:tcW w:w="620" w:type="dxa"/>
            <w:vAlign w:val="bottom"/>
          </w:tcPr>
          <w:p>
            <w:pPr>
              <w:jc w:val="right"/>
              <w:ind w:right="29"/>
              <w:spacing w:after="0"/>
              <w:rPr>
                <w:sz w:val="20"/>
                <w:szCs w:val="20"/>
                <w:color w:val="auto"/>
              </w:rPr>
            </w:pPr>
            <w:r>
              <w:rPr>
                <w:rFonts w:ascii="Arial" w:cs="Arial" w:eastAsia="Arial" w:hAnsi="Arial"/>
                <w:sz w:val="14"/>
                <w:szCs w:val="14"/>
                <w:color w:val="auto"/>
              </w:rPr>
              <w:t>1,229</w:t>
            </w:r>
          </w:p>
        </w:tc>
        <w:tc>
          <w:tcPr>
            <w:tcW w:w="840" w:type="dxa"/>
            <w:vAlign w:val="bottom"/>
          </w:tcPr>
          <w:p>
            <w:pPr>
              <w:jc w:val="right"/>
              <w:ind w:right="231"/>
              <w:spacing w:after="0"/>
              <w:rPr>
                <w:sz w:val="20"/>
                <w:szCs w:val="20"/>
                <w:color w:val="auto"/>
              </w:rPr>
            </w:pPr>
            <w:r>
              <w:rPr>
                <w:rFonts w:ascii="Arial" w:cs="Arial" w:eastAsia="Arial" w:hAnsi="Arial"/>
                <w:sz w:val="14"/>
                <w:szCs w:val="14"/>
                <w:color w:val="auto"/>
              </w:rPr>
              <w:t>658</w:t>
            </w:r>
          </w:p>
        </w:tc>
        <w:tc>
          <w:tcPr>
            <w:tcW w:w="660" w:type="dxa"/>
            <w:vAlign w:val="bottom"/>
          </w:tcPr>
          <w:p>
            <w:pPr>
              <w:jc w:val="right"/>
              <w:ind w:right="10"/>
              <w:spacing w:after="0"/>
              <w:rPr>
                <w:sz w:val="20"/>
                <w:szCs w:val="20"/>
                <w:color w:val="auto"/>
              </w:rPr>
            </w:pPr>
            <w:r>
              <w:rPr>
                <w:rFonts w:ascii="Arial" w:cs="Arial" w:eastAsia="Arial" w:hAnsi="Arial"/>
                <w:sz w:val="14"/>
                <w:szCs w:val="14"/>
                <w:color w:val="auto"/>
              </w:rPr>
              <w:t>139</w:t>
            </w:r>
          </w:p>
        </w:tc>
        <w:tc>
          <w:tcPr>
            <w:tcW w:w="780" w:type="dxa"/>
            <w:vAlign w:val="bottom"/>
            <w:gridSpan w:val="2"/>
          </w:tcPr>
          <w:p>
            <w:pPr>
              <w:jc w:val="right"/>
              <w:ind w:right="80"/>
              <w:spacing w:after="0"/>
              <w:rPr>
                <w:sz w:val="20"/>
                <w:szCs w:val="20"/>
                <w:color w:val="auto"/>
              </w:rPr>
            </w:pPr>
            <w:r>
              <w:rPr>
                <w:rFonts w:ascii="Arial" w:cs="Arial" w:eastAsia="Arial" w:hAnsi="Arial"/>
                <w:sz w:val="14"/>
                <w:szCs w:val="14"/>
                <w:color w:val="auto"/>
              </w:rPr>
              <w:t>14</w:t>
            </w:r>
          </w:p>
        </w:tc>
        <w:tc>
          <w:tcPr>
            <w:tcW w:w="620" w:type="dxa"/>
            <w:vAlign w:val="bottom"/>
          </w:tcPr>
          <w:p>
            <w:pPr>
              <w:jc w:val="right"/>
              <w:ind w:right="30"/>
              <w:spacing w:after="0"/>
              <w:rPr>
                <w:sz w:val="20"/>
                <w:szCs w:val="20"/>
                <w:color w:val="auto"/>
              </w:rPr>
            </w:pPr>
            <w:r>
              <w:rPr>
                <w:rFonts w:ascii="Arial" w:cs="Arial" w:eastAsia="Arial" w:hAnsi="Arial"/>
                <w:sz w:val="14"/>
                <w:szCs w:val="14"/>
                <w:color w:val="auto"/>
              </w:rPr>
              <w:t>8,451</w:t>
            </w:r>
          </w:p>
        </w:tc>
      </w:tr>
      <w:tr>
        <w:trPr>
          <w:trHeight w:val="157"/>
        </w:trPr>
        <w:tc>
          <w:tcPr>
            <w:tcW w:w="4480" w:type="dxa"/>
            <w:vAlign w:val="bottom"/>
            <w:tcBorders>
              <w:bottom w:val="single" w:sz="8" w:color="auto"/>
            </w:tcBorders>
          </w:tcPr>
          <w:p>
            <w:pPr>
              <w:ind w:left="140"/>
              <w:spacing w:after="0" w:line="157" w:lineRule="exact"/>
              <w:rPr>
                <w:sz w:val="20"/>
                <w:szCs w:val="20"/>
                <w:color w:val="auto"/>
              </w:rPr>
            </w:pPr>
            <w:r>
              <w:rPr>
                <w:rFonts w:ascii="Arial" w:cs="Arial" w:eastAsia="Arial" w:hAnsi="Arial"/>
                <w:sz w:val="14"/>
                <w:szCs w:val="14"/>
                <w:color w:val="auto"/>
              </w:rPr>
              <w:t>At December 31</w:t>
            </w:r>
          </w:p>
        </w:tc>
        <w:tc>
          <w:tcPr>
            <w:tcW w:w="1880" w:type="dxa"/>
            <w:vAlign w:val="bottom"/>
            <w:tcBorders>
              <w:bottom w:val="single" w:sz="8" w:color="auto"/>
            </w:tcBorders>
          </w:tcPr>
          <w:p>
            <w:pPr>
              <w:jc w:val="right"/>
              <w:ind w:right="90"/>
              <w:spacing w:after="0" w:line="157" w:lineRule="exact"/>
              <w:rPr>
                <w:sz w:val="20"/>
                <w:szCs w:val="20"/>
                <w:color w:val="auto"/>
              </w:rPr>
            </w:pPr>
            <w:r>
              <w:rPr>
                <w:rFonts w:ascii="Arial" w:cs="Arial" w:eastAsia="Arial" w:hAnsi="Arial"/>
                <w:sz w:val="14"/>
                <w:szCs w:val="14"/>
                <w:color w:val="auto"/>
              </w:rPr>
              <w:t>825</w:t>
            </w:r>
          </w:p>
        </w:tc>
        <w:tc>
          <w:tcPr>
            <w:tcW w:w="840" w:type="dxa"/>
            <w:vAlign w:val="bottom"/>
            <w:tcBorders>
              <w:bottom w:val="single" w:sz="8" w:color="auto"/>
            </w:tcBorders>
          </w:tcPr>
          <w:p>
            <w:pPr>
              <w:jc w:val="right"/>
              <w:ind w:right="230"/>
              <w:spacing w:after="0" w:line="157" w:lineRule="exact"/>
              <w:rPr>
                <w:sz w:val="20"/>
                <w:szCs w:val="20"/>
                <w:color w:val="auto"/>
              </w:rPr>
            </w:pPr>
            <w:r>
              <w:rPr>
                <w:rFonts w:ascii="Arial" w:cs="Arial" w:eastAsia="Arial" w:hAnsi="Arial"/>
                <w:sz w:val="14"/>
                <w:szCs w:val="14"/>
                <w:color w:val="auto"/>
              </w:rPr>
              <w:t>1,038</w:t>
            </w:r>
          </w:p>
        </w:tc>
        <w:tc>
          <w:tcPr>
            <w:tcW w:w="700" w:type="dxa"/>
            <w:vAlign w:val="bottom"/>
            <w:tcBorders>
              <w:bottom w:val="single" w:sz="8" w:color="auto"/>
            </w:tcBorders>
          </w:tcPr>
          <w:p>
            <w:pPr>
              <w:jc w:val="right"/>
              <w:ind w:right="10"/>
              <w:spacing w:after="0" w:line="157" w:lineRule="exact"/>
              <w:rPr>
                <w:sz w:val="20"/>
                <w:szCs w:val="20"/>
                <w:color w:val="auto"/>
              </w:rPr>
            </w:pPr>
            <w:r>
              <w:rPr>
                <w:rFonts w:ascii="Arial" w:cs="Arial" w:eastAsia="Arial" w:hAnsi="Arial"/>
                <w:sz w:val="14"/>
                <w:szCs w:val="14"/>
                <w:color w:val="auto"/>
              </w:rPr>
              <w:t>4,471</w:t>
            </w:r>
          </w:p>
        </w:tc>
        <w:tc>
          <w:tcPr>
            <w:tcW w:w="620" w:type="dxa"/>
            <w:vAlign w:val="bottom"/>
            <w:tcBorders>
              <w:bottom w:val="single" w:sz="8" w:color="auto"/>
            </w:tcBorders>
          </w:tcPr>
          <w:p>
            <w:pPr>
              <w:jc w:val="right"/>
              <w:ind w:right="29"/>
              <w:spacing w:after="0" w:line="157" w:lineRule="exact"/>
              <w:rPr>
                <w:sz w:val="20"/>
                <w:szCs w:val="20"/>
                <w:color w:val="auto"/>
              </w:rPr>
            </w:pPr>
            <w:r>
              <w:rPr>
                <w:rFonts w:ascii="Arial" w:cs="Arial" w:eastAsia="Arial" w:hAnsi="Arial"/>
                <w:sz w:val="14"/>
                <w:szCs w:val="14"/>
                <w:color w:val="auto"/>
              </w:rPr>
              <w:t>1,311</w:t>
            </w:r>
          </w:p>
        </w:tc>
        <w:tc>
          <w:tcPr>
            <w:tcW w:w="840" w:type="dxa"/>
            <w:vAlign w:val="bottom"/>
            <w:tcBorders>
              <w:bottom w:val="single" w:sz="8" w:color="auto"/>
            </w:tcBorders>
          </w:tcPr>
          <w:p>
            <w:pPr>
              <w:jc w:val="right"/>
              <w:ind w:right="231"/>
              <w:spacing w:after="0" w:line="157" w:lineRule="exact"/>
              <w:rPr>
                <w:sz w:val="20"/>
                <w:szCs w:val="20"/>
                <w:color w:val="auto"/>
              </w:rPr>
            </w:pPr>
            <w:r>
              <w:rPr>
                <w:rFonts w:ascii="Arial" w:cs="Arial" w:eastAsia="Arial" w:hAnsi="Arial"/>
                <w:sz w:val="14"/>
                <w:szCs w:val="14"/>
                <w:color w:val="auto"/>
              </w:rPr>
              <w:t>707</w:t>
            </w:r>
          </w:p>
        </w:tc>
        <w:tc>
          <w:tcPr>
            <w:tcW w:w="660" w:type="dxa"/>
            <w:vAlign w:val="bottom"/>
            <w:tcBorders>
              <w:bottom w:val="single" w:sz="8" w:color="auto"/>
            </w:tcBorders>
          </w:tcPr>
          <w:p>
            <w:pPr>
              <w:jc w:val="right"/>
              <w:ind w:right="10"/>
              <w:spacing w:after="0" w:line="157" w:lineRule="exact"/>
              <w:rPr>
                <w:sz w:val="20"/>
                <w:szCs w:val="20"/>
                <w:color w:val="auto"/>
              </w:rPr>
            </w:pPr>
            <w:r>
              <w:rPr>
                <w:rFonts w:ascii="Arial" w:cs="Arial" w:eastAsia="Arial" w:hAnsi="Arial"/>
                <w:sz w:val="14"/>
                <w:szCs w:val="14"/>
                <w:color w:val="auto"/>
              </w:rPr>
              <w:t>592</w:t>
            </w:r>
          </w:p>
        </w:tc>
        <w:tc>
          <w:tcPr>
            <w:tcW w:w="780" w:type="dxa"/>
            <w:vAlign w:val="bottom"/>
            <w:tcBorders>
              <w:bottom w:val="single" w:sz="8" w:color="auto"/>
            </w:tcBorders>
            <w:gridSpan w:val="2"/>
          </w:tcPr>
          <w:p>
            <w:pPr>
              <w:jc w:val="right"/>
              <w:ind w:right="80"/>
              <w:spacing w:after="0" w:line="157" w:lineRule="exact"/>
              <w:rPr>
                <w:sz w:val="20"/>
                <w:szCs w:val="20"/>
                <w:color w:val="auto"/>
              </w:rPr>
            </w:pPr>
            <w:r>
              <w:rPr>
                <w:rFonts w:ascii="Arial" w:cs="Arial" w:eastAsia="Arial" w:hAnsi="Arial"/>
                <w:sz w:val="14"/>
                <w:szCs w:val="14"/>
                <w:color w:val="auto"/>
              </w:rPr>
              <w:t>26</w:t>
            </w:r>
          </w:p>
        </w:tc>
        <w:tc>
          <w:tcPr>
            <w:tcW w:w="620" w:type="dxa"/>
            <w:vAlign w:val="bottom"/>
            <w:tcBorders>
              <w:bottom w:val="single" w:sz="8" w:color="auto"/>
            </w:tcBorders>
          </w:tcPr>
          <w:p>
            <w:pPr>
              <w:jc w:val="right"/>
              <w:ind w:right="30"/>
              <w:spacing w:after="0" w:line="157" w:lineRule="exact"/>
              <w:rPr>
                <w:sz w:val="20"/>
                <w:szCs w:val="20"/>
                <w:color w:val="auto"/>
              </w:rPr>
            </w:pPr>
            <w:r>
              <w:rPr>
                <w:rFonts w:ascii="Arial" w:cs="Arial" w:eastAsia="Arial" w:hAnsi="Arial"/>
                <w:sz w:val="14"/>
                <w:szCs w:val="14"/>
                <w:color w:val="auto"/>
              </w:rPr>
              <w:t>8,970</w:t>
            </w:r>
          </w:p>
        </w:tc>
      </w:tr>
      <w:tr>
        <w:trPr>
          <w:trHeight w:val="160"/>
        </w:trPr>
        <w:tc>
          <w:tcPr>
            <w:tcW w:w="4480" w:type="dxa"/>
            <w:vAlign w:val="bottom"/>
          </w:tcPr>
          <w:p>
            <w:pPr>
              <w:spacing w:after="0"/>
              <w:rPr>
                <w:sz w:val="20"/>
                <w:szCs w:val="20"/>
                <w:color w:val="auto"/>
              </w:rPr>
            </w:pPr>
            <w:r>
              <w:rPr>
                <w:rFonts w:ascii="Arial" w:cs="Arial" w:eastAsia="Arial" w:hAnsi="Arial"/>
                <w:sz w:val="14"/>
                <w:szCs w:val="14"/>
                <w:color w:val="auto"/>
              </w:rPr>
              <w:t>Shell share of joint ventures and associates</w:t>
            </w:r>
          </w:p>
        </w:tc>
        <w:tc>
          <w:tcPr>
            <w:tcW w:w="18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r>
      <w:tr>
        <w:trPr>
          <w:trHeight w:val="162"/>
        </w:trPr>
        <w:tc>
          <w:tcPr>
            <w:tcW w:w="4480" w:type="dxa"/>
            <w:vAlign w:val="bottom"/>
          </w:tcPr>
          <w:p>
            <w:pPr>
              <w:ind w:left="140"/>
              <w:spacing w:after="0"/>
              <w:rPr>
                <w:sz w:val="20"/>
                <w:szCs w:val="20"/>
                <w:color w:val="auto"/>
              </w:rPr>
            </w:pPr>
            <w:r>
              <w:rPr>
                <w:rFonts w:ascii="Arial" w:cs="Arial" w:eastAsia="Arial" w:hAnsi="Arial"/>
                <w:sz w:val="14"/>
                <w:szCs w:val="14"/>
                <w:color w:val="auto"/>
              </w:rPr>
              <w:t>At January 1</w:t>
            </w:r>
          </w:p>
        </w:tc>
        <w:tc>
          <w:tcPr>
            <w:tcW w:w="1880" w:type="dxa"/>
            <w:vAlign w:val="bottom"/>
          </w:tcPr>
          <w:p>
            <w:pPr>
              <w:jc w:val="right"/>
              <w:ind w:right="90"/>
              <w:spacing w:after="0"/>
              <w:rPr>
                <w:sz w:val="20"/>
                <w:szCs w:val="20"/>
                <w:color w:val="auto"/>
              </w:rPr>
            </w:pPr>
            <w:r>
              <w:rPr>
                <w:rFonts w:ascii="Arial" w:cs="Arial" w:eastAsia="Arial" w:hAnsi="Arial"/>
                <w:sz w:val="14"/>
                <w:szCs w:val="14"/>
                <w:color w:val="auto"/>
              </w:rPr>
              <w:t>1,740</w:t>
            </w:r>
          </w:p>
        </w:tc>
        <w:tc>
          <w:tcPr>
            <w:tcW w:w="840" w:type="dxa"/>
            <w:vAlign w:val="bottom"/>
          </w:tcPr>
          <w:p>
            <w:pPr>
              <w:jc w:val="right"/>
              <w:ind w:right="230"/>
              <w:spacing w:after="0"/>
              <w:rPr>
                <w:sz w:val="20"/>
                <w:szCs w:val="20"/>
                <w:color w:val="auto"/>
              </w:rPr>
            </w:pPr>
            <w:r>
              <w:rPr>
                <w:rFonts w:ascii="Arial" w:cs="Arial" w:eastAsia="Arial" w:hAnsi="Arial"/>
                <w:sz w:val="14"/>
                <w:szCs w:val="14"/>
                <w:color w:val="auto"/>
              </w:rPr>
              <w:t>1,003</w:t>
            </w:r>
          </w:p>
        </w:tc>
        <w:tc>
          <w:tcPr>
            <w:tcW w:w="700" w:type="dxa"/>
            <w:vAlign w:val="bottom"/>
          </w:tcPr>
          <w:p>
            <w:pPr>
              <w:jc w:val="right"/>
              <w:ind w:right="10"/>
              <w:spacing w:after="0"/>
              <w:rPr>
                <w:sz w:val="20"/>
                <w:szCs w:val="20"/>
                <w:color w:val="auto"/>
              </w:rPr>
            </w:pPr>
            <w:r>
              <w:rPr>
                <w:rFonts w:ascii="Arial" w:cs="Arial" w:eastAsia="Arial" w:hAnsi="Arial"/>
                <w:sz w:val="14"/>
                <w:szCs w:val="14"/>
                <w:color w:val="auto"/>
              </w:rPr>
              <w:t>458</w:t>
            </w:r>
          </w:p>
        </w:tc>
        <w:tc>
          <w:tcPr>
            <w:tcW w:w="62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231"/>
              <w:spacing w:after="0"/>
              <w:rPr>
                <w:sz w:val="20"/>
                <w:szCs w:val="20"/>
                <w:color w:val="auto"/>
              </w:rPr>
            </w:pPr>
            <w:r>
              <w:rPr>
                <w:rFonts w:ascii="Arial" w:cs="Arial" w:eastAsia="Arial" w:hAnsi="Arial"/>
                <w:sz w:val="14"/>
                <w:szCs w:val="14"/>
                <w:color w:val="auto"/>
              </w:rPr>
              <w:t>20</w:t>
            </w:r>
          </w:p>
        </w:tc>
        <w:tc>
          <w:tcPr>
            <w:tcW w:w="660" w:type="dxa"/>
            <w:vAlign w:val="bottom"/>
          </w:tcPr>
          <w:p>
            <w:pPr>
              <w:jc w:val="right"/>
              <w:ind w:right="10"/>
              <w:spacing w:after="0"/>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80"/>
              <w:spacing w:after="0"/>
              <w:rPr>
                <w:sz w:val="20"/>
                <w:szCs w:val="20"/>
                <w:color w:val="auto"/>
              </w:rPr>
            </w:pPr>
            <w:r>
              <w:rPr>
                <w:rFonts w:ascii="Arial" w:cs="Arial" w:eastAsia="Arial" w:hAnsi="Arial"/>
                <w:sz w:val="14"/>
                <w:szCs w:val="14"/>
                <w:color w:val="auto"/>
              </w:rPr>
              <w:t>1</w:t>
            </w:r>
          </w:p>
        </w:tc>
        <w:tc>
          <w:tcPr>
            <w:tcW w:w="620" w:type="dxa"/>
            <w:vAlign w:val="bottom"/>
          </w:tcPr>
          <w:p>
            <w:pPr>
              <w:jc w:val="right"/>
              <w:ind w:right="30"/>
              <w:spacing w:after="0"/>
              <w:rPr>
                <w:sz w:val="20"/>
                <w:szCs w:val="20"/>
                <w:color w:val="auto"/>
              </w:rPr>
            </w:pPr>
            <w:r>
              <w:rPr>
                <w:rFonts w:ascii="Arial" w:cs="Arial" w:eastAsia="Arial" w:hAnsi="Arial"/>
                <w:sz w:val="14"/>
                <w:szCs w:val="14"/>
                <w:color w:val="auto"/>
              </w:rPr>
              <w:t>3,222</w:t>
            </w:r>
          </w:p>
        </w:tc>
      </w:tr>
      <w:tr>
        <w:trPr>
          <w:trHeight w:val="157"/>
        </w:trPr>
        <w:tc>
          <w:tcPr>
            <w:tcW w:w="4480" w:type="dxa"/>
            <w:vAlign w:val="bottom"/>
            <w:tcBorders>
              <w:bottom w:val="single" w:sz="8" w:color="auto"/>
            </w:tcBorders>
          </w:tcPr>
          <w:p>
            <w:pPr>
              <w:ind w:left="140"/>
              <w:spacing w:after="0" w:line="157" w:lineRule="exact"/>
              <w:rPr>
                <w:sz w:val="20"/>
                <w:szCs w:val="20"/>
                <w:color w:val="auto"/>
              </w:rPr>
            </w:pPr>
            <w:r>
              <w:rPr>
                <w:rFonts w:ascii="Arial" w:cs="Arial" w:eastAsia="Arial" w:hAnsi="Arial"/>
                <w:sz w:val="14"/>
                <w:szCs w:val="14"/>
                <w:color w:val="auto"/>
              </w:rPr>
              <w:t>At December 31</w:t>
            </w:r>
          </w:p>
        </w:tc>
        <w:tc>
          <w:tcPr>
            <w:tcW w:w="1880" w:type="dxa"/>
            <w:vAlign w:val="bottom"/>
            <w:tcBorders>
              <w:bottom w:val="single" w:sz="8" w:color="auto"/>
            </w:tcBorders>
          </w:tcPr>
          <w:p>
            <w:pPr>
              <w:jc w:val="right"/>
              <w:ind w:right="90"/>
              <w:spacing w:after="0" w:line="157" w:lineRule="exact"/>
              <w:rPr>
                <w:sz w:val="20"/>
                <w:szCs w:val="20"/>
                <w:color w:val="auto"/>
              </w:rPr>
            </w:pPr>
            <w:r>
              <w:rPr>
                <w:rFonts w:ascii="Arial" w:cs="Arial" w:eastAsia="Arial" w:hAnsi="Arial"/>
                <w:sz w:val="14"/>
                <w:szCs w:val="14"/>
                <w:color w:val="auto"/>
              </w:rPr>
              <w:t>1,652</w:t>
            </w:r>
          </w:p>
        </w:tc>
        <w:tc>
          <w:tcPr>
            <w:tcW w:w="840" w:type="dxa"/>
            <w:vAlign w:val="bottom"/>
            <w:tcBorders>
              <w:bottom w:val="single" w:sz="8" w:color="auto"/>
            </w:tcBorders>
          </w:tcPr>
          <w:p>
            <w:pPr>
              <w:jc w:val="right"/>
              <w:ind w:right="230"/>
              <w:spacing w:after="0" w:line="157" w:lineRule="exact"/>
              <w:rPr>
                <w:sz w:val="20"/>
                <w:szCs w:val="20"/>
                <w:color w:val="auto"/>
              </w:rPr>
            </w:pPr>
            <w:r>
              <w:rPr>
                <w:rFonts w:ascii="Arial" w:cs="Arial" w:eastAsia="Arial" w:hAnsi="Arial"/>
                <w:sz w:val="14"/>
                <w:szCs w:val="14"/>
                <w:color w:val="auto"/>
              </w:rPr>
              <w:t>1,097</w:t>
            </w:r>
          </w:p>
        </w:tc>
        <w:tc>
          <w:tcPr>
            <w:tcW w:w="700" w:type="dxa"/>
            <w:vAlign w:val="bottom"/>
            <w:tcBorders>
              <w:bottom w:val="single" w:sz="8" w:color="auto"/>
            </w:tcBorders>
          </w:tcPr>
          <w:p>
            <w:pPr>
              <w:jc w:val="right"/>
              <w:ind w:right="10"/>
              <w:spacing w:after="0" w:line="157" w:lineRule="exact"/>
              <w:rPr>
                <w:sz w:val="20"/>
                <w:szCs w:val="20"/>
                <w:color w:val="auto"/>
              </w:rPr>
            </w:pPr>
            <w:r>
              <w:rPr>
                <w:rFonts w:ascii="Arial" w:cs="Arial" w:eastAsia="Arial" w:hAnsi="Arial"/>
                <w:sz w:val="14"/>
                <w:szCs w:val="14"/>
                <w:color w:val="auto"/>
              </w:rPr>
              <w:t>103</w:t>
            </w:r>
          </w:p>
        </w:tc>
        <w:tc>
          <w:tcPr>
            <w:tcW w:w="620" w:type="dxa"/>
            <w:vAlign w:val="bottom"/>
            <w:tcBorders>
              <w:bottom w:val="single" w:sz="8" w:color="auto"/>
            </w:tcBorders>
          </w:tcPr>
          <w:p>
            <w:pPr>
              <w:jc w:val="right"/>
              <w:ind w:right="29"/>
              <w:spacing w:after="0" w:line="157" w:lineRule="exact"/>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tcPr>
          <w:p>
            <w:pPr>
              <w:jc w:val="right"/>
              <w:ind w:right="231"/>
              <w:spacing w:after="0" w:line="157" w:lineRule="exact"/>
              <w:rPr>
                <w:sz w:val="20"/>
                <w:szCs w:val="20"/>
                <w:color w:val="auto"/>
              </w:rPr>
            </w:pPr>
            <w:r>
              <w:rPr>
                <w:rFonts w:ascii="Arial" w:cs="Arial" w:eastAsia="Arial" w:hAnsi="Arial"/>
                <w:sz w:val="14"/>
                <w:szCs w:val="14"/>
                <w:color w:val="auto"/>
              </w:rPr>
              <w:t>–</w:t>
            </w:r>
          </w:p>
        </w:tc>
        <w:tc>
          <w:tcPr>
            <w:tcW w:w="660" w:type="dxa"/>
            <w:vAlign w:val="bottom"/>
            <w:tcBorders>
              <w:bottom w:val="single" w:sz="8" w:color="auto"/>
            </w:tcBorders>
          </w:tcPr>
          <w:p>
            <w:pPr>
              <w:jc w:val="right"/>
              <w:ind w:right="10"/>
              <w:spacing w:after="0" w:line="157" w:lineRule="exact"/>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gridSpan w:val="2"/>
          </w:tcPr>
          <w:p>
            <w:pPr>
              <w:jc w:val="right"/>
              <w:ind w:right="80"/>
              <w:spacing w:after="0" w:line="157" w:lineRule="exact"/>
              <w:rPr>
                <w:sz w:val="20"/>
                <w:szCs w:val="20"/>
                <w:color w:val="auto"/>
              </w:rPr>
            </w:pPr>
            <w:r>
              <w:rPr>
                <w:rFonts w:ascii="Arial" w:cs="Arial" w:eastAsia="Arial" w:hAnsi="Arial"/>
                <w:sz w:val="14"/>
                <w:szCs w:val="14"/>
                <w:color w:val="auto"/>
              </w:rPr>
              <w:t>2</w:t>
            </w:r>
          </w:p>
        </w:tc>
        <w:tc>
          <w:tcPr>
            <w:tcW w:w="620" w:type="dxa"/>
            <w:vAlign w:val="bottom"/>
            <w:tcBorders>
              <w:bottom w:val="single" w:sz="8" w:color="auto"/>
            </w:tcBorders>
          </w:tcPr>
          <w:p>
            <w:pPr>
              <w:jc w:val="right"/>
              <w:ind w:right="30"/>
              <w:spacing w:after="0" w:line="157" w:lineRule="exact"/>
              <w:rPr>
                <w:sz w:val="20"/>
                <w:szCs w:val="20"/>
                <w:color w:val="auto"/>
              </w:rPr>
            </w:pPr>
            <w:r>
              <w:rPr>
                <w:rFonts w:ascii="Arial" w:cs="Arial" w:eastAsia="Arial" w:hAnsi="Arial"/>
                <w:sz w:val="14"/>
                <w:szCs w:val="14"/>
                <w:color w:val="auto"/>
              </w:rPr>
              <w:t>2,854</w:t>
            </w:r>
          </w:p>
        </w:tc>
      </w:tr>
    </w:tbl>
    <w:p>
      <w:pPr>
        <w:spacing w:after="0" w:line="14" w:lineRule="exact"/>
        <w:rPr>
          <w:sz w:val="20"/>
          <w:szCs w:val="20"/>
          <w:color w:val="auto"/>
        </w:rPr>
      </w:pPr>
    </w:p>
    <w:p>
      <w:pPr>
        <w:ind w:right="200" w:firstLine="8"/>
        <w:spacing w:after="0" w:line="255" w:lineRule="auto"/>
        <w:tabs>
          <w:tab w:leader="none" w:pos="162" w:val="left"/>
        </w:tabs>
        <w:numPr>
          <w:ilvl w:val="0"/>
          <w:numId w:val="154"/>
        </w:numPr>
        <w:rPr>
          <w:rFonts w:ascii="Arial" w:cs="Arial" w:eastAsia="Arial" w:hAnsi="Arial"/>
          <w:sz w:val="11"/>
          <w:szCs w:val="11"/>
          <w:color w:val="auto"/>
        </w:rPr>
      </w:pPr>
      <w:r>
        <w:rPr>
          <w:rFonts w:ascii="Arial" w:cs="Arial" w:eastAsia="Arial" w:hAnsi="Arial"/>
          <w:sz w:val="11"/>
          <w:szCs w:val="11"/>
          <w:color w:val="auto"/>
        </w:rPr>
        <w:t xml:space="preserve">As a result of the adoption of IFRS 11 </w:t>
      </w:r>
      <w:r>
        <w:rPr>
          <w:rFonts w:ascii="Arial" w:cs="Arial" w:eastAsia="Arial" w:hAnsi="Arial"/>
          <w:sz w:val="11"/>
          <w:szCs w:val="11"/>
          <w:i w:val="1"/>
          <w:iCs w:val="1"/>
          <w:color w:val="auto"/>
        </w:rPr>
        <w:t>Joint Arrangements</w:t>
      </w:r>
      <w:r>
        <w:rPr>
          <w:rFonts w:ascii="Arial" w:cs="Arial" w:eastAsia="Arial" w:hAnsi="Arial"/>
          <w:sz w:val="11"/>
          <w:szCs w:val="11"/>
          <w:color w:val="auto"/>
        </w:rPr>
        <w:t xml:space="preserve"> with effect from January 1, 2013, proved undeveloped reserves of 1 thousand million standard cubic feet in Asia and 20 thousand million standard cubic feet in the USA were reclassified during 2013 from the Shell share of joint ventures and associates’ proved undeveloped reserves to Shell subsidiaries’ proved undeveloped reserves.</w:t>
      </w:r>
    </w:p>
    <w:p>
      <w:pPr>
        <w:sectPr>
          <w:pgSz w:w="11900" w:h="16838" w:orient="portrait"/>
          <w:cols w:equalWidth="0" w:num="1">
            <w:col w:w="11420"/>
          </w:cols>
          <w:pgMar w:left="240" w:top="459" w:right="239" w:bottom="1440" w:gutter="0" w:footer="0" w:header="0"/>
        </w:sectPr>
      </w:pPr>
    </w:p>
    <w:bookmarkStart w:id="151" w:name="page152"/>
    <w:bookmarkEnd w:id="1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300355</wp:posOffset>
            </wp:positionV>
            <wp:extent cx="8890" cy="462915"/>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8890" cy="462915"/>
                    </a:xfrm>
                    <a:prstGeom prst="rect">
                      <a:avLst/>
                    </a:prstGeom>
                    <a:noFill/>
                  </pic:spPr>
                </pic:pic>
              </a:graphicData>
            </a:graphic>
          </wp:anchor>
        </w:drawing>
      </w:r>
    </w:p>
    <w:p>
      <w:pPr>
        <w:spacing w:after="0" w:line="200" w:lineRule="exact"/>
        <w:rPr>
          <w:sz w:val="20"/>
          <w:szCs w:val="20"/>
          <w:color w:val="auto"/>
        </w:rPr>
      </w:pP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565"/>
        </w:trPr>
        <w:tc>
          <w:tcPr>
            <w:tcW w:w="700" w:type="dxa"/>
            <w:vAlign w:val="bottom"/>
            <w:shd w:val="clear" w:color="auto" w:fill="FF8B00"/>
          </w:tcPr>
          <w:p>
            <w:pPr>
              <w:jc w:val="right"/>
              <w:ind w:right="206"/>
              <w:spacing w:after="0"/>
              <w:rPr>
                <w:sz w:val="20"/>
                <w:szCs w:val="20"/>
                <w:color w:val="auto"/>
              </w:rPr>
            </w:pPr>
            <w:r>
              <w:rPr>
                <w:rFonts w:ascii="Arial" w:cs="Arial" w:eastAsia="Arial" w:hAnsi="Arial"/>
                <w:sz w:val="11"/>
                <w:szCs w:val="11"/>
                <w:b w:val="1"/>
                <w:bCs w:val="1"/>
                <w:color w:val="333333"/>
              </w:rPr>
              <w:t>150</w:t>
            </w:r>
          </w:p>
        </w:tc>
        <w:tc>
          <w:tcPr>
            <w:tcW w:w="4880" w:type="dxa"/>
            <w:vAlign w:val="bottom"/>
            <w:shd w:val="clear" w:color="auto" w:fill="FF8B00"/>
          </w:tcPr>
          <w:p>
            <w:pPr>
              <w:jc w:val="right"/>
              <w:ind w:right="741"/>
              <w:spacing w:after="0"/>
              <w:rPr>
                <w:sz w:val="20"/>
                <w:szCs w:val="20"/>
                <w:color w:val="auto"/>
              </w:rPr>
            </w:pPr>
            <w:r>
              <w:rPr>
                <w:rFonts w:ascii="Arial" w:cs="Arial" w:eastAsia="Arial" w:hAnsi="Arial"/>
                <w:sz w:val="13"/>
                <w:szCs w:val="13"/>
                <w:color w:val="333333"/>
              </w:rPr>
              <w:t>FINANCIAL STATEMENTS AND SUPPLEMENTS</w:t>
            </w:r>
          </w:p>
        </w:tc>
        <w:tc>
          <w:tcPr>
            <w:tcW w:w="5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5"/>
        </w:trPr>
        <w:tc>
          <w:tcPr>
            <w:tcW w:w="700" w:type="dxa"/>
            <w:vAlign w:val="bottom"/>
            <w:shd w:val="clear" w:color="auto" w:fill="FF8B00"/>
          </w:tcPr>
          <w:p>
            <w:pPr>
              <w:spacing w:after="0"/>
              <w:rPr>
                <w:sz w:val="14"/>
                <w:szCs w:val="14"/>
                <w:color w:val="auto"/>
              </w:rPr>
            </w:pPr>
          </w:p>
        </w:tc>
        <w:tc>
          <w:tcPr>
            <w:tcW w:w="4880" w:type="dxa"/>
            <w:vAlign w:val="bottom"/>
            <w:shd w:val="clear" w:color="auto" w:fill="FF8B00"/>
          </w:tcPr>
          <w:p>
            <w:pPr>
              <w:spacing w:after="0"/>
              <w:rPr>
                <w:sz w:val="14"/>
                <w:szCs w:val="14"/>
                <w:color w:val="auto"/>
              </w:rPr>
            </w:pPr>
          </w:p>
        </w:tc>
        <w:tc>
          <w:tcPr>
            <w:tcW w:w="5840" w:type="dxa"/>
            <w:vAlign w:val="bottom"/>
            <w:vMerge w:val="restart"/>
          </w:tcPr>
          <w:p>
            <w:pPr>
              <w:ind w:left="3440"/>
              <w:spacing w:after="0"/>
              <w:rPr>
                <w:sz w:val="20"/>
                <w:szCs w:val="20"/>
                <w:color w:val="auto"/>
              </w:rPr>
            </w:pPr>
            <w:r>
              <w:rPr>
                <w:rFonts w:ascii="Arial" w:cs="Arial" w:eastAsia="Arial" w:hAnsi="Arial"/>
                <w:sz w:val="11"/>
                <w:szCs w:val="11"/>
                <w:color w:val="auto"/>
                <w:w w:val="96"/>
              </w:rPr>
              <w:t>SHELL ANNUAL REPORT AND FORM 20-F 2014</w:t>
            </w:r>
          </w:p>
        </w:tc>
        <w:tc>
          <w:tcPr>
            <w:tcW w:w="0" w:type="dxa"/>
            <w:vAlign w:val="bottom"/>
          </w:tcPr>
          <w:p>
            <w:pPr>
              <w:spacing w:after="0"/>
              <w:rPr>
                <w:sz w:val="1"/>
                <w:szCs w:val="1"/>
                <w:color w:val="auto"/>
              </w:rPr>
            </w:pPr>
          </w:p>
        </w:tc>
      </w:tr>
      <w:tr>
        <w:trPr>
          <w:trHeight w:val="118"/>
        </w:trPr>
        <w:tc>
          <w:tcPr>
            <w:tcW w:w="700" w:type="dxa"/>
            <w:vAlign w:val="bottom"/>
          </w:tcPr>
          <w:p>
            <w:pPr>
              <w:spacing w:after="0"/>
              <w:rPr>
                <w:sz w:val="10"/>
                <w:szCs w:val="10"/>
                <w:color w:val="auto"/>
              </w:rPr>
            </w:pPr>
          </w:p>
        </w:tc>
        <w:tc>
          <w:tcPr>
            <w:tcW w:w="4880" w:type="dxa"/>
            <w:vAlign w:val="bottom"/>
          </w:tcPr>
          <w:p>
            <w:pPr>
              <w:jc w:val="right"/>
              <w:ind w:right="741"/>
              <w:spacing w:after="0" w:line="119" w:lineRule="exact"/>
              <w:rPr>
                <w:sz w:val="20"/>
                <w:szCs w:val="20"/>
                <w:color w:val="auto"/>
              </w:rPr>
            </w:pPr>
            <w:r>
              <w:rPr>
                <w:rFonts w:ascii="Arial" w:cs="Arial" w:eastAsia="Arial" w:hAnsi="Arial"/>
                <w:sz w:val="11"/>
                <w:szCs w:val="11"/>
                <w:color w:val="auto"/>
              </w:rPr>
              <w:t>SUPPLEMENTARY INFORMATION – OIL AND GAS (UNAUDITED)</w:t>
            </w:r>
          </w:p>
        </w:tc>
        <w:tc>
          <w:tcPr>
            <w:tcW w:w="58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rPr>
          <w:sz w:val="20"/>
          <w:szCs w:val="20"/>
          <w:color w:val="auto"/>
        </w:rPr>
      </w:pPr>
      <w:r>
        <w:rPr>
          <w:rFonts w:ascii="Arial" w:cs="Arial" w:eastAsia="Arial" w:hAnsi="Arial"/>
          <w:sz w:val="11"/>
          <w:szCs w:val="11"/>
          <w:color w:val="auto"/>
        </w:rPr>
        <w:t>[Natural gas continued]</w:t>
      </w:r>
    </w:p>
    <w:p>
      <w:pPr>
        <w:spacing w:after="0" w:line="349"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5680" w:type="dxa"/>
            <w:vAlign w:val="bottom"/>
            <w:vMerge w:val="restart"/>
            <w:shd w:val="clear" w:color="auto" w:fill="333333"/>
          </w:tcPr>
          <w:p>
            <w:pPr>
              <w:ind w:left="80"/>
              <w:spacing w:after="0"/>
              <w:rPr>
                <w:sz w:val="20"/>
                <w:szCs w:val="20"/>
                <w:color w:val="auto"/>
              </w:rPr>
            </w:pPr>
            <w:r>
              <w:rPr>
                <w:rFonts w:ascii="Arial" w:cs="Arial" w:eastAsia="Arial" w:hAnsi="Arial"/>
                <w:sz w:val="15"/>
                <w:szCs w:val="15"/>
                <w:b w:val="1"/>
                <w:bCs w:val="1"/>
                <w:color w:val="FFFFFF"/>
              </w:rPr>
              <w:t>PROVED DEVELOPED AND UNDEVELOPED RESERVES 2012</w:t>
            </w:r>
          </w:p>
        </w:tc>
        <w:tc>
          <w:tcPr>
            <w:tcW w:w="880" w:type="dxa"/>
            <w:vAlign w:val="bottom"/>
            <w:shd w:val="clear" w:color="auto" w:fill="333333"/>
          </w:tcPr>
          <w:p>
            <w:pPr>
              <w:spacing w:after="0"/>
              <w:rPr>
                <w:sz w:val="14"/>
                <w:szCs w:val="14"/>
                <w:color w:val="auto"/>
              </w:rPr>
            </w:pPr>
          </w:p>
        </w:tc>
        <w:tc>
          <w:tcPr>
            <w:tcW w:w="680" w:type="dxa"/>
            <w:vAlign w:val="bottom"/>
            <w:shd w:val="clear" w:color="auto" w:fill="333333"/>
          </w:tcPr>
          <w:p>
            <w:pPr>
              <w:spacing w:after="0"/>
              <w:rPr>
                <w:sz w:val="14"/>
                <w:szCs w:val="14"/>
                <w:color w:val="auto"/>
              </w:rPr>
            </w:pPr>
          </w:p>
        </w:tc>
        <w:tc>
          <w:tcPr>
            <w:tcW w:w="740" w:type="dxa"/>
            <w:vAlign w:val="bottom"/>
            <w:shd w:val="clear" w:color="auto" w:fill="333333"/>
          </w:tcPr>
          <w:p>
            <w:pPr>
              <w:spacing w:after="0"/>
              <w:rPr>
                <w:sz w:val="14"/>
                <w:szCs w:val="14"/>
                <w:color w:val="auto"/>
              </w:rPr>
            </w:pPr>
          </w:p>
        </w:tc>
        <w:tc>
          <w:tcPr>
            <w:tcW w:w="580" w:type="dxa"/>
            <w:vAlign w:val="bottom"/>
            <w:shd w:val="clear" w:color="auto" w:fill="333333"/>
          </w:tcPr>
          <w:p>
            <w:pPr>
              <w:spacing w:after="0"/>
              <w:rPr>
                <w:sz w:val="14"/>
                <w:szCs w:val="14"/>
                <w:color w:val="auto"/>
              </w:rPr>
            </w:pPr>
          </w:p>
        </w:tc>
        <w:tc>
          <w:tcPr>
            <w:tcW w:w="760" w:type="dxa"/>
            <w:vAlign w:val="bottom"/>
            <w:shd w:val="clear" w:color="auto" w:fill="333333"/>
          </w:tcPr>
          <w:p>
            <w:pPr>
              <w:spacing w:after="0"/>
              <w:rPr>
                <w:sz w:val="14"/>
                <w:szCs w:val="14"/>
                <w:color w:val="auto"/>
              </w:rPr>
            </w:pPr>
          </w:p>
        </w:tc>
        <w:tc>
          <w:tcPr>
            <w:tcW w:w="2100" w:type="dxa"/>
            <w:vAlign w:val="bottom"/>
            <w:gridSpan w:val="4"/>
            <w:shd w:val="clear" w:color="auto" w:fill="333333"/>
          </w:tcPr>
          <w:p>
            <w:pPr>
              <w:jc w:val="right"/>
              <w:ind w:right="28"/>
              <w:spacing w:after="0"/>
              <w:rPr>
                <w:sz w:val="20"/>
                <w:szCs w:val="20"/>
                <w:color w:val="auto"/>
              </w:rPr>
            </w:pPr>
            <w:r>
              <w:rPr>
                <w:rFonts w:ascii="Arial" w:cs="Arial" w:eastAsia="Arial" w:hAnsi="Arial"/>
                <w:sz w:val="15"/>
                <w:szCs w:val="15"/>
                <w:color w:val="FFFFFF"/>
              </w:rPr>
              <w:t>THOUSAND MILLION</w:t>
            </w:r>
          </w:p>
        </w:tc>
        <w:tc>
          <w:tcPr>
            <w:tcW w:w="0" w:type="dxa"/>
            <w:vAlign w:val="bottom"/>
          </w:tcPr>
          <w:p>
            <w:pPr>
              <w:spacing w:after="0"/>
              <w:rPr>
                <w:sz w:val="1"/>
                <w:szCs w:val="1"/>
                <w:color w:val="auto"/>
              </w:rPr>
            </w:pPr>
          </w:p>
        </w:tc>
      </w:tr>
      <w:tr>
        <w:trPr>
          <w:trHeight w:val="165"/>
        </w:trPr>
        <w:tc>
          <w:tcPr>
            <w:tcW w:w="5680" w:type="dxa"/>
            <w:vAlign w:val="bottom"/>
            <w:vMerge w:val="continue"/>
            <w:shd w:val="clear" w:color="auto" w:fill="333333"/>
          </w:tcPr>
          <w:p>
            <w:pPr>
              <w:spacing w:after="0"/>
              <w:rPr>
                <w:sz w:val="14"/>
                <w:szCs w:val="14"/>
                <w:color w:val="auto"/>
              </w:rPr>
            </w:pPr>
          </w:p>
        </w:tc>
        <w:tc>
          <w:tcPr>
            <w:tcW w:w="880" w:type="dxa"/>
            <w:vAlign w:val="bottom"/>
            <w:shd w:val="clear" w:color="auto" w:fill="333333"/>
          </w:tcPr>
          <w:p>
            <w:pPr>
              <w:spacing w:after="0"/>
              <w:rPr>
                <w:sz w:val="14"/>
                <w:szCs w:val="14"/>
                <w:color w:val="auto"/>
              </w:rPr>
            </w:pPr>
          </w:p>
        </w:tc>
        <w:tc>
          <w:tcPr>
            <w:tcW w:w="680" w:type="dxa"/>
            <w:vAlign w:val="bottom"/>
            <w:shd w:val="clear" w:color="auto" w:fill="333333"/>
          </w:tcPr>
          <w:p>
            <w:pPr>
              <w:spacing w:after="0"/>
              <w:rPr>
                <w:sz w:val="14"/>
                <w:szCs w:val="14"/>
                <w:color w:val="auto"/>
              </w:rPr>
            </w:pPr>
          </w:p>
        </w:tc>
        <w:tc>
          <w:tcPr>
            <w:tcW w:w="740" w:type="dxa"/>
            <w:vAlign w:val="bottom"/>
            <w:shd w:val="clear" w:color="auto" w:fill="333333"/>
          </w:tcPr>
          <w:p>
            <w:pPr>
              <w:spacing w:after="0"/>
              <w:rPr>
                <w:sz w:val="14"/>
                <w:szCs w:val="14"/>
                <w:color w:val="auto"/>
              </w:rPr>
            </w:pPr>
          </w:p>
        </w:tc>
        <w:tc>
          <w:tcPr>
            <w:tcW w:w="580" w:type="dxa"/>
            <w:vAlign w:val="bottom"/>
            <w:shd w:val="clear" w:color="auto" w:fill="333333"/>
          </w:tcPr>
          <w:p>
            <w:pPr>
              <w:spacing w:after="0"/>
              <w:rPr>
                <w:sz w:val="14"/>
                <w:szCs w:val="14"/>
                <w:color w:val="auto"/>
              </w:rPr>
            </w:pPr>
          </w:p>
        </w:tc>
        <w:tc>
          <w:tcPr>
            <w:tcW w:w="760" w:type="dxa"/>
            <w:vAlign w:val="bottom"/>
            <w:shd w:val="clear" w:color="auto" w:fill="333333"/>
          </w:tcPr>
          <w:p>
            <w:pPr>
              <w:spacing w:after="0"/>
              <w:rPr>
                <w:sz w:val="14"/>
                <w:szCs w:val="14"/>
                <w:color w:val="auto"/>
              </w:rPr>
            </w:pPr>
          </w:p>
        </w:tc>
        <w:tc>
          <w:tcPr>
            <w:tcW w:w="2100" w:type="dxa"/>
            <w:vAlign w:val="bottom"/>
            <w:gridSpan w:val="4"/>
            <w:shd w:val="clear" w:color="auto" w:fill="333333"/>
          </w:tcPr>
          <w:p>
            <w:pPr>
              <w:jc w:val="right"/>
              <w:ind w:right="28"/>
              <w:spacing w:after="0" w:line="166" w:lineRule="exact"/>
              <w:rPr>
                <w:sz w:val="20"/>
                <w:szCs w:val="20"/>
                <w:color w:val="auto"/>
              </w:rPr>
            </w:pPr>
            <w:r>
              <w:rPr>
                <w:rFonts w:ascii="Arial" w:cs="Arial" w:eastAsia="Arial" w:hAnsi="Arial"/>
                <w:sz w:val="15"/>
                <w:szCs w:val="15"/>
                <w:color w:val="FFFFFF"/>
              </w:rPr>
              <w:t>STANDARD CUBIC FEET</w:t>
            </w:r>
          </w:p>
        </w:tc>
        <w:tc>
          <w:tcPr>
            <w:tcW w:w="0" w:type="dxa"/>
            <w:vAlign w:val="bottom"/>
          </w:tcPr>
          <w:p>
            <w:pPr>
              <w:spacing w:after="0"/>
              <w:rPr>
                <w:sz w:val="1"/>
                <w:szCs w:val="1"/>
                <w:color w:val="auto"/>
              </w:rPr>
            </w:pPr>
          </w:p>
        </w:tc>
      </w:tr>
      <w:tr>
        <w:trPr>
          <w:trHeight w:val="129"/>
        </w:trPr>
        <w:tc>
          <w:tcPr>
            <w:tcW w:w="56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20" w:type="dxa"/>
            <w:vAlign w:val="bottom"/>
            <w:tcBorders>
              <w:bottom w:val="single" w:sz="8" w:color="auto"/>
            </w:tcBorders>
            <w:gridSpan w:val="2"/>
          </w:tcPr>
          <w:p>
            <w:pPr>
              <w:jc w:val="right"/>
              <w:ind w:right="28"/>
              <w:spacing w:after="0" w:line="129" w:lineRule="exact"/>
              <w:rPr>
                <w:sz w:val="20"/>
                <w:szCs w:val="20"/>
                <w:color w:val="auto"/>
              </w:rPr>
            </w:pPr>
            <w:r>
              <w:rPr>
                <w:rFonts w:ascii="Arial" w:cs="Arial" w:eastAsia="Arial" w:hAnsi="Arial"/>
                <w:sz w:val="13"/>
                <w:szCs w:val="13"/>
                <w:color w:val="auto"/>
              </w:rPr>
              <w:t>North America</w:t>
            </w:r>
          </w:p>
        </w:tc>
        <w:tc>
          <w:tcPr>
            <w:tcW w:w="720" w:type="dxa"/>
            <w:vAlign w:val="bottom"/>
            <w:gridSpan w:val="2"/>
          </w:tcPr>
          <w:p>
            <w:pPr>
              <w:jc w:val="right"/>
              <w:ind w:right="100"/>
              <w:spacing w:after="0" w:line="129" w:lineRule="exact"/>
              <w:rPr>
                <w:sz w:val="20"/>
                <w:szCs w:val="20"/>
                <w:color w:val="auto"/>
              </w:rPr>
            </w:pPr>
            <w:r>
              <w:rPr>
                <w:rFonts w:ascii="Arial" w:cs="Arial" w:eastAsia="Arial" w:hAnsi="Arial"/>
                <w:sz w:val="13"/>
                <w:szCs w:val="13"/>
                <w:color w:val="auto"/>
              </w:rPr>
              <w:t>South</w:t>
            </w: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5680" w:type="dxa"/>
            <w:vAlign w:val="bottom"/>
          </w:tcPr>
          <w:p>
            <w:pPr>
              <w:spacing w:after="0"/>
              <w:rPr>
                <w:sz w:val="11"/>
                <w:szCs w:val="11"/>
                <w:color w:val="auto"/>
              </w:rPr>
            </w:pPr>
          </w:p>
        </w:tc>
        <w:tc>
          <w:tcPr>
            <w:tcW w:w="880" w:type="dxa"/>
            <w:vAlign w:val="bottom"/>
          </w:tcPr>
          <w:p>
            <w:pPr>
              <w:jc w:val="right"/>
              <w:ind w:right="88"/>
              <w:spacing w:after="0" w:line="135" w:lineRule="exact"/>
              <w:rPr>
                <w:sz w:val="20"/>
                <w:szCs w:val="20"/>
                <w:color w:val="auto"/>
              </w:rPr>
            </w:pPr>
            <w:r>
              <w:rPr>
                <w:rFonts w:ascii="Arial" w:cs="Arial" w:eastAsia="Arial" w:hAnsi="Arial"/>
                <w:sz w:val="13"/>
                <w:szCs w:val="13"/>
                <w:color w:val="auto"/>
              </w:rPr>
              <w:t>Europe</w:t>
            </w:r>
          </w:p>
        </w:tc>
        <w:tc>
          <w:tcPr>
            <w:tcW w:w="680" w:type="dxa"/>
            <w:vAlign w:val="bottom"/>
          </w:tcPr>
          <w:p>
            <w:pPr>
              <w:jc w:val="right"/>
              <w:ind w:right="68"/>
              <w:spacing w:after="0" w:line="135" w:lineRule="exact"/>
              <w:rPr>
                <w:sz w:val="20"/>
                <w:szCs w:val="20"/>
                <w:color w:val="auto"/>
              </w:rPr>
            </w:pPr>
            <w:r>
              <w:rPr>
                <w:rFonts w:ascii="Arial" w:cs="Arial" w:eastAsia="Arial" w:hAnsi="Arial"/>
                <w:sz w:val="13"/>
                <w:szCs w:val="13"/>
                <w:color w:val="auto"/>
              </w:rPr>
              <w:t>Asia</w:t>
            </w:r>
          </w:p>
        </w:tc>
        <w:tc>
          <w:tcPr>
            <w:tcW w:w="740" w:type="dxa"/>
            <w:vAlign w:val="bottom"/>
          </w:tcPr>
          <w:p>
            <w:pPr>
              <w:jc w:val="right"/>
              <w:ind w:right="88"/>
              <w:spacing w:after="0" w:line="135" w:lineRule="exact"/>
              <w:rPr>
                <w:sz w:val="20"/>
                <w:szCs w:val="20"/>
                <w:color w:val="auto"/>
              </w:rPr>
            </w:pPr>
            <w:r>
              <w:rPr>
                <w:rFonts w:ascii="Arial" w:cs="Arial" w:eastAsia="Arial" w:hAnsi="Arial"/>
                <w:sz w:val="13"/>
                <w:szCs w:val="13"/>
                <w:color w:val="auto"/>
              </w:rPr>
              <w:t>Oceania</w:t>
            </w:r>
          </w:p>
        </w:tc>
        <w:tc>
          <w:tcPr>
            <w:tcW w:w="580" w:type="dxa"/>
            <w:vAlign w:val="bottom"/>
          </w:tcPr>
          <w:p>
            <w:pPr>
              <w:jc w:val="right"/>
              <w:ind w:right="48"/>
              <w:spacing w:after="0" w:line="135" w:lineRule="exact"/>
              <w:rPr>
                <w:sz w:val="20"/>
                <w:szCs w:val="20"/>
                <w:color w:val="auto"/>
              </w:rPr>
            </w:pPr>
            <w:r>
              <w:rPr>
                <w:rFonts w:ascii="Arial" w:cs="Arial" w:eastAsia="Arial" w:hAnsi="Arial"/>
                <w:sz w:val="13"/>
                <w:szCs w:val="13"/>
                <w:color w:val="auto"/>
              </w:rPr>
              <w:t>Africa</w:t>
            </w:r>
          </w:p>
        </w:tc>
        <w:tc>
          <w:tcPr>
            <w:tcW w:w="760" w:type="dxa"/>
            <w:vAlign w:val="bottom"/>
          </w:tcPr>
          <w:p>
            <w:pPr>
              <w:jc w:val="right"/>
              <w:ind w:right="89"/>
              <w:spacing w:after="0" w:line="135" w:lineRule="exact"/>
              <w:rPr>
                <w:sz w:val="20"/>
                <w:szCs w:val="20"/>
                <w:color w:val="auto"/>
              </w:rPr>
            </w:pPr>
            <w:r>
              <w:rPr>
                <w:rFonts w:ascii="Arial" w:cs="Arial" w:eastAsia="Arial" w:hAnsi="Arial"/>
                <w:sz w:val="13"/>
                <w:szCs w:val="13"/>
                <w:color w:val="auto"/>
              </w:rPr>
              <w:t>USA</w:t>
            </w:r>
          </w:p>
        </w:tc>
        <w:tc>
          <w:tcPr>
            <w:tcW w:w="660" w:type="dxa"/>
            <w:vAlign w:val="bottom"/>
          </w:tcPr>
          <w:p>
            <w:pPr>
              <w:jc w:val="right"/>
              <w:ind w:right="28"/>
              <w:spacing w:after="0" w:line="135" w:lineRule="exact"/>
              <w:rPr>
                <w:sz w:val="20"/>
                <w:szCs w:val="20"/>
                <w:color w:val="auto"/>
              </w:rPr>
            </w:pPr>
            <w:r>
              <w:rPr>
                <w:rFonts w:ascii="Arial" w:cs="Arial" w:eastAsia="Arial" w:hAnsi="Arial"/>
                <w:sz w:val="13"/>
                <w:szCs w:val="13"/>
                <w:color w:val="auto"/>
              </w:rPr>
              <w:t>Canada</w:t>
            </w:r>
          </w:p>
        </w:tc>
        <w:tc>
          <w:tcPr>
            <w:tcW w:w="720" w:type="dxa"/>
            <w:vAlign w:val="bottom"/>
            <w:gridSpan w:val="2"/>
          </w:tcPr>
          <w:p>
            <w:pPr>
              <w:jc w:val="right"/>
              <w:ind w:right="100"/>
              <w:spacing w:after="0" w:line="132" w:lineRule="exact"/>
              <w:rPr>
                <w:sz w:val="20"/>
                <w:szCs w:val="20"/>
                <w:color w:val="auto"/>
              </w:rPr>
            </w:pPr>
            <w:r>
              <w:rPr>
                <w:rFonts w:ascii="Arial" w:cs="Arial" w:eastAsia="Arial" w:hAnsi="Arial"/>
                <w:sz w:val="13"/>
                <w:szCs w:val="13"/>
                <w:color w:val="auto"/>
              </w:rPr>
              <w:t>America</w:t>
            </w:r>
          </w:p>
        </w:tc>
        <w:tc>
          <w:tcPr>
            <w:tcW w:w="720" w:type="dxa"/>
            <w:vAlign w:val="bottom"/>
          </w:tcPr>
          <w:p>
            <w:pPr>
              <w:jc w:val="right"/>
              <w:ind w:right="28"/>
              <w:spacing w:after="0" w:line="135" w:lineRule="exact"/>
              <w:rPr>
                <w:sz w:val="20"/>
                <w:szCs w:val="20"/>
                <w:color w:val="auto"/>
              </w:rPr>
            </w:pPr>
            <w:r>
              <w:rPr>
                <w:rFonts w:ascii="Arial" w:cs="Arial" w:eastAsia="Arial" w:hAnsi="Arial"/>
                <w:sz w:val="13"/>
                <w:szCs w:val="13"/>
                <w:color w:val="auto"/>
              </w:rPr>
              <w:t>Total</w:t>
            </w:r>
          </w:p>
        </w:tc>
        <w:tc>
          <w:tcPr>
            <w:tcW w:w="0" w:type="dxa"/>
            <w:vAlign w:val="bottom"/>
          </w:tcPr>
          <w:p>
            <w:pPr>
              <w:spacing w:after="0"/>
              <w:rPr>
                <w:sz w:val="1"/>
                <w:szCs w:val="1"/>
                <w:color w:val="auto"/>
              </w:rPr>
            </w:pPr>
          </w:p>
        </w:tc>
      </w:tr>
      <w:tr>
        <w:trPr>
          <w:trHeight w:val="160"/>
        </w:trPr>
        <w:tc>
          <w:tcPr>
            <w:tcW w:w="5680" w:type="dxa"/>
            <w:vAlign w:val="bottom"/>
            <w:tcBorders>
              <w:top w:val="single" w:sz="8" w:color="auto"/>
            </w:tcBorders>
          </w:tcPr>
          <w:p>
            <w:pPr>
              <w:spacing w:after="0"/>
              <w:rPr>
                <w:sz w:val="20"/>
                <w:szCs w:val="20"/>
                <w:color w:val="auto"/>
              </w:rPr>
            </w:pPr>
            <w:r>
              <w:rPr>
                <w:rFonts w:ascii="Arial" w:cs="Arial" w:eastAsia="Arial" w:hAnsi="Arial"/>
                <w:sz w:val="14"/>
                <w:szCs w:val="14"/>
                <w:color w:val="auto"/>
              </w:rPr>
              <w:t>Shell subsidiaries</w:t>
            </w:r>
          </w:p>
        </w:tc>
        <w:tc>
          <w:tcPr>
            <w:tcW w:w="88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c>
          <w:tcPr>
            <w:tcW w:w="58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spacing w:after="0"/>
              <w:rPr>
                <w:sz w:val="13"/>
                <w:szCs w:val="13"/>
                <w:color w:val="auto"/>
              </w:rPr>
            </w:pPr>
          </w:p>
        </w:tc>
        <w:tc>
          <w:tcPr>
            <w:tcW w:w="62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5680" w:type="dxa"/>
            <w:vAlign w:val="bottom"/>
          </w:tcPr>
          <w:p>
            <w:pPr>
              <w:ind w:left="140"/>
              <w:spacing w:after="0"/>
              <w:rPr>
                <w:sz w:val="20"/>
                <w:szCs w:val="20"/>
                <w:color w:val="auto"/>
              </w:rPr>
            </w:pPr>
            <w:r>
              <w:rPr>
                <w:rFonts w:ascii="Arial" w:cs="Arial" w:eastAsia="Arial" w:hAnsi="Arial"/>
                <w:sz w:val="14"/>
                <w:szCs w:val="14"/>
                <w:color w:val="auto"/>
              </w:rPr>
              <w:t>At January 1</w:t>
            </w:r>
          </w:p>
        </w:tc>
        <w:tc>
          <w:tcPr>
            <w:tcW w:w="880" w:type="dxa"/>
            <w:vAlign w:val="bottom"/>
          </w:tcPr>
          <w:p>
            <w:pPr>
              <w:jc w:val="right"/>
              <w:ind w:right="88"/>
              <w:spacing w:after="0"/>
              <w:rPr>
                <w:sz w:val="20"/>
                <w:szCs w:val="20"/>
                <w:color w:val="auto"/>
              </w:rPr>
            </w:pPr>
            <w:r>
              <w:rPr>
                <w:rFonts w:ascii="Arial" w:cs="Arial" w:eastAsia="Arial" w:hAnsi="Arial"/>
                <w:sz w:val="14"/>
                <w:szCs w:val="14"/>
                <w:color w:val="auto"/>
              </w:rPr>
              <w:t>5,498</w:t>
            </w:r>
          </w:p>
        </w:tc>
        <w:tc>
          <w:tcPr>
            <w:tcW w:w="680" w:type="dxa"/>
            <w:vAlign w:val="bottom"/>
          </w:tcPr>
          <w:p>
            <w:pPr>
              <w:jc w:val="right"/>
              <w:ind w:right="68"/>
              <w:spacing w:after="0"/>
              <w:rPr>
                <w:sz w:val="20"/>
                <w:szCs w:val="20"/>
                <w:color w:val="auto"/>
              </w:rPr>
            </w:pPr>
            <w:r>
              <w:rPr>
                <w:rFonts w:ascii="Arial" w:cs="Arial" w:eastAsia="Arial" w:hAnsi="Arial"/>
                <w:sz w:val="14"/>
                <w:szCs w:val="14"/>
                <w:color w:val="auto"/>
              </w:rPr>
              <w:t>10,691</w:t>
            </w:r>
          </w:p>
        </w:tc>
        <w:tc>
          <w:tcPr>
            <w:tcW w:w="740" w:type="dxa"/>
            <w:vAlign w:val="bottom"/>
          </w:tcPr>
          <w:p>
            <w:pPr>
              <w:jc w:val="right"/>
              <w:ind w:right="88"/>
              <w:spacing w:after="0"/>
              <w:rPr>
                <w:sz w:val="20"/>
                <w:szCs w:val="20"/>
                <w:color w:val="auto"/>
              </w:rPr>
            </w:pPr>
            <w:r>
              <w:rPr>
                <w:rFonts w:ascii="Arial" w:cs="Arial" w:eastAsia="Arial" w:hAnsi="Arial"/>
                <w:sz w:val="14"/>
                <w:szCs w:val="14"/>
                <w:color w:val="auto"/>
              </w:rPr>
              <w:t>5,952</w:t>
            </w:r>
          </w:p>
        </w:tc>
        <w:tc>
          <w:tcPr>
            <w:tcW w:w="580" w:type="dxa"/>
            <w:vAlign w:val="bottom"/>
          </w:tcPr>
          <w:p>
            <w:pPr>
              <w:jc w:val="right"/>
              <w:ind w:right="48"/>
              <w:spacing w:after="0"/>
              <w:rPr>
                <w:sz w:val="20"/>
                <w:szCs w:val="20"/>
                <w:color w:val="auto"/>
              </w:rPr>
            </w:pPr>
            <w:r>
              <w:rPr>
                <w:rFonts w:ascii="Arial" w:cs="Arial" w:eastAsia="Arial" w:hAnsi="Arial"/>
                <w:sz w:val="14"/>
                <w:szCs w:val="14"/>
                <w:color w:val="auto"/>
              </w:rPr>
              <w:t>2,800</w:t>
            </w:r>
          </w:p>
        </w:tc>
        <w:tc>
          <w:tcPr>
            <w:tcW w:w="760" w:type="dxa"/>
            <w:vAlign w:val="bottom"/>
          </w:tcPr>
          <w:p>
            <w:pPr>
              <w:jc w:val="right"/>
              <w:ind w:right="89"/>
              <w:spacing w:after="0"/>
              <w:rPr>
                <w:sz w:val="20"/>
                <w:szCs w:val="20"/>
                <w:color w:val="auto"/>
              </w:rPr>
            </w:pPr>
            <w:r>
              <w:rPr>
                <w:rFonts w:ascii="Arial" w:cs="Arial" w:eastAsia="Arial" w:hAnsi="Arial"/>
                <w:sz w:val="14"/>
                <w:szCs w:val="14"/>
                <w:color w:val="auto"/>
              </w:rPr>
              <w:t>3,196</w:t>
            </w:r>
          </w:p>
        </w:tc>
        <w:tc>
          <w:tcPr>
            <w:tcW w:w="660" w:type="dxa"/>
            <w:vAlign w:val="bottom"/>
          </w:tcPr>
          <w:p>
            <w:pPr>
              <w:jc w:val="right"/>
              <w:ind w:right="28"/>
              <w:spacing w:after="0"/>
              <w:rPr>
                <w:sz w:val="20"/>
                <w:szCs w:val="20"/>
                <w:color w:val="auto"/>
              </w:rPr>
            </w:pPr>
            <w:r>
              <w:rPr>
                <w:rFonts w:ascii="Arial" w:cs="Arial" w:eastAsia="Arial" w:hAnsi="Arial"/>
                <w:sz w:val="14"/>
                <w:szCs w:val="14"/>
                <w:color w:val="auto"/>
              </w:rPr>
              <w:t>2,045</w:t>
            </w:r>
          </w:p>
        </w:tc>
        <w:tc>
          <w:tcPr>
            <w:tcW w:w="720" w:type="dxa"/>
            <w:vAlign w:val="bottom"/>
            <w:gridSpan w:val="2"/>
          </w:tcPr>
          <w:p>
            <w:pPr>
              <w:jc w:val="right"/>
              <w:ind w:right="100"/>
              <w:spacing w:after="0"/>
              <w:rPr>
                <w:sz w:val="20"/>
                <w:szCs w:val="20"/>
                <w:color w:val="auto"/>
              </w:rPr>
            </w:pPr>
            <w:r>
              <w:rPr>
                <w:rFonts w:ascii="Arial" w:cs="Arial" w:eastAsia="Arial" w:hAnsi="Arial"/>
                <w:sz w:val="14"/>
                <w:szCs w:val="14"/>
                <w:color w:val="auto"/>
              </w:rPr>
              <w:t>104</w:t>
            </w: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30,286</w:t>
            </w:r>
          </w:p>
        </w:tc>
        <w:tc>
          <w:tcPr>
            <w:tcW w:w="0" w:type="dxa"/>
            <w:vAlign w:val="bottom"/>
          </w:tcPr>
          <w:p>
            <w:pPr>
              <w:spacing w:after="0"/>
              <w:rPr>
                <w:sz w:val="1"/>
                <w:szCs w:val="1"/>
                <w:color w:val="auto"/>
              </w:rPr>
            </w:pPr>
          </w:p>
        </w:tc>
      </w:tr>
      <w:tr>
        <w:trPr>
          <w:trHeight w:val="162"/>
        </w:trPr>
        <w:tc>
          <w:tcPr>
            <w:tcW w:w="5680" w:type="dxa"/>
            <w:vAlign w:val="bottom"/>
          </w:tcPr>
          <w:p>
            <w:pPr>
              <w:ind w:left="140"/>
              <w:spacing w:after="0"/>
              <w:rPr>
                <w:sz w:val="20"/>
                <w:szCs w:val="20"/>
                <w:color w:val="auto"/>
              </w:rPr>
            </w:pPr>
            <w:r>
              <w:rPr>
                <w:rFonts w:ascii="Arial" w:cs="Arial" w:eastAsia="Arial" w:hAnsi="Arial"/>
                <w:sz w:val="14"/>
                <w:szCs w:val="14"/>
                <w:color w:val="auto"/>
              </w:rPr>
              <w:t>Revisions and reclassifications</w:t>
            </w:r>
          </w:p>
        </w:tc>
        <w:tc>
          <w:tcPr>
            <w:tcW w:w="880" w:type="dxa"/>
            <w:vAlign w:val="bottom"/>
          </w:tcPr>
          <w:p>
            <w:pPr>
              <w:jc w:val="right"/>
              <w:ind w:right="88"/>
              <w:spacing w:after="0"/>
              <w:rPr>
                <w:sz w:val="20"/>
                <w:szCs w:val="20"/>
                <w:color w:val="auto"/>
              </w:rPr>
            </w:pPr>
            <w:r>
              <w:rPr>
                <w:rFonts w:ascii="Arial" w:cs="Arial" w:eastAsia="Arial" w:hAnsi="Arial"/>
                <w:sz w:val="14"/>
                <w:szCs w:val="14"/>
                <w:color w:val="auto"/>
              </w:rPr>
              <w:t>14</w:t>
            </w:r>
          </w:p>
        </w:tc>
        <w:tc>
          <w:tcPr>
            <w:tcW w:w="680" w:type="dxa"/>
            <w:vAlign w:val="bottom"/>
          </w:tcPr>
          <w:p>
            <w:pPr>
              <w:jc w:val="right"/>
              <w:ind w:right="68"/>
              <w:spacing w:after="0"/>
              <w:rPr>
                <w:sz w:val="20"/>
                <w:szCs w:val="20"/>
                <w:color w:val="auto"/>
              </w:rPr>
            </w:pPr>
            <w:r>
              <w:rPr>
                <w:rFonts w:ascii="Arial" w:cs="Arial" w:eastAsia="Arial" w:hAnsi="Arial"/>
                <w:sz w:val="14"/>
                <w:szCs w:val="14"/>
                <w:color w:val="auto"/>
              </w:rPr>
              <w:t>160</w:t>
            </w:r>
          </w:p>
        </w:tc>
        <w:tc>
          <w:tcPr>
            <w:tcW w:w="740" w:type="dxa"/>
            <w:vAlign w:val="bottom"/>
          </w:tcPr>
          <w:p>
            <w:pPr>
              <w:jc w:val="right"/>
              <w:ind w:right="88"/>
              <w:spacing w:after="0"/>
              <w:rPr>
                <w:sz w:val="20"/>
                <w:szCs w:val="20"/>
                <w:color w:val="auto"/>
              </w:rPr>
            </w:pPr>
            <w:r>
              <w:rPr>
                <w:rFonts w:ascii="Arial" w:cs="Arial" w:eastAsia="Arial" w:hAnsi="Arial"/>
                <w:sz w:val="14"/>
                <w:szCs w:val="14"/>
                <w:color w:val="auto"/>
              </w:rPr>
              <w:t>136</w:t>
            </w:r>
          </w:p>
        </w:tc>
        <w:tc>
          <w:tcPr>
            <w:tcW w:w="580" w:type="dxa"/>
            <w:vAlign w:val="bottom"/>
          </w:tcPr>
          <w:p>
            <w:pPr>
              <w:jc w:val="right"/>
              <w:spacing w:after="0"/>
              <w:rPr>
                <w:sz w:val="20"/>
                <w:szCs w:val="20"/>
                <w:color w:val="auto"/>
              </w:rPr>
            </w:pPr>
            <w:r>
              <w:rPr>
                <w:rFonts w:ascii="Arial" w:cs="Arial" w:eastAsia="Arial" w:hAnsi="Arial"/>
                <w:sz w:val="14"/>
                <w:szCs w:val="14"/>
                <w:color w:val="auto"/>
              </w:rPr>
              <w:t>(142)</w:t>
            </w:r>
          </w:p>
        </w:tc>
        <w:tc>
          <w:tcPr>
            <w:tcW w:w="760" w:type="dxa"/>
            <w:vAlign w:val="bottom"/>
          </w:tcPr>
          <w:p>
            <w:pPr>
              <w:jc w:val="right"/>
              <w:ind w:right="49"/>
              <w:spacing w:after="0"/>
              <w:rPr>
                <w:sz w:val="20"/>
                <w:szCs w:val="20"/>
                <w:color w:val="auto"/>
              </w:rPr>
            </w:pPr>
            <w:r>
              <w:rPr>
                <w:rFonts w:ascii="Arial" w:cs="Arial" w:eastAsia="Arial" w:hAnsi="Arial"/>
                <w:sz w:val="14"/>
                <w:szCs w:val="14"/>
                <w:color w:val="auto"/>
              </w:rPr>
              <w:t>(1,076)</w:t>
            </w:r>
          </w:p>
        </w:tc>
        <w:tc>
          <w:tcPr>
            <w:tcW w:w="660" w:type="dxa"/>
            <w:vAlign w:val="bottom"/>
          </w:tcPr>
          <w:p>
            <w:pPr>
              <w:jc w:val="right"/>
              <w:spacing w:after="0"/>
              <w:rPr>
                <w:sz w:val="20"/>
                <w:szCs w:val="20"/>
                <w:color w:val="auto"/>
              </w:rPr>
            </w:pPr>
            <w:r>
              <w:rPr>
                <w:rFonts w:ascii="Arial" w:cs="Arial" w:eastAsia="Arial" w:hAnsi="Arial"/>
                <w:sz w:val="14"/>
                <w:szCs w:val="14"/>
                <w:color w:val="auto"/>
              </w:rPr>
              <w:t>(683)</w:t>
            </w:r>
          </w:p>
        </w:tc>
        <w:tc>
          <w:tcPr>
            <w:tcW w:w="720" w:type="dxa"/>
            <w:vAlign w:val="bottom"/>
            <w:gridSpan w:val="2"/>
          </w:tcPr>
          <w:p>
            <w:pPr>
              <w:jc w:val="right"/>
              <w:ind w:right="100"/>
              <w:spacing w:after="0"/>
              <w:rPr>
                <w:sz w:val="20"/>
                <w:szCs w:val="20"/>
                <w:color w:val="auto"/>
              </w:rPr>
            </w:pPr>
            <w:r>
              <w:rPr>
                <w:rFonts w:ascii="Arial" w:cs="Arial" w:eastAsia="Arial" w:hAnsi="Arial"/>
                <w:sz w:val="14"/>
                <w:szCs w:val="14"/>
                <w:color w:val="auto"/>
              </w:rPr>
              <w:t>8</w:t>
            </w:r>
          </w:p>
        </w:tc>
        <w:tc>
          <w:tcPr>
            <w:tcW w:w="720" w:type="dxa"/>
            <w:vAlign w:val="bottom"/>
          </w:tcPr>
          <w:p>
            <w:pPr>
              <w:jc w:val="right"/>
              <w:spacing w:after="0"/>
              <w:rPr>
                <w:sz w:val="20"/>
                <w:szCs w:val="20"/>
                <w:color w:val="auto"/>
              </w:rPr>
            </w:pPr>
            <w:r>
              <w:rPr>
                <w:rFonts w:ascii="Arial" w:cs="Arial" w:eastAsia="Arial" w:hAnsi="Arial"/>
                <w:sz w:val="14"/>
                <w:szCs w:val="14"/>
                <w:color w:val="auto"/>
              </w:rPr>
              <w:t>(1,583)</w:t>
            </w:r>
          </w:p>
        </w:tc>
        <w:tc>
          <w:tcPr>
            <w:tcW w:w="0" w:type="dxa"/>
            <w:vAlign w:val="bottom"/>
          </w:tcPr>
          <w:p>
            <w:pPr>
              <w:spacing w:after="0"/>
              <w:rPr>
                <w:sz w:val="1"/>
                <w:szCs w:val="1"/>
                <w:color w:val="auto"/>
              </w:rPr>
            </w:pPr>
          </w:p>
        </w:tc>
      </w:tr>
      <w:tr>
        <w:trPr>
          <w:trHeight w:val="162"/>
        </w:trPr>
        <w:tc>
          <w:tcPr>
            <w:tcW w:w="5680" w:type="dxa"/>
            <w:vAlign w:val="bottom"/>
          </w:tcPr>
          <w:p>
            <w:pPr>
              <w:ind w:left="140"/>
              <w:spacing w:after="0"/>
              <w:rPr>
                <w:sz w:val="20"/>
                <w:szCs w:val="20"/>
                <w:color w:val="auto"/>
              </w:rPr>
            </w:pPr>
            <w:r>
              <w:rPr>
                <w:rFonts w:ascii="Arial" w:cs="Arial" w:eastAsia="Arial" w:hAnsi="Arial"/>
                <w:sz w:val="14"/>
                <w:szCs w:val="14"/>
                <w:color w:val="auto"/>
              </w:rPr>
              <w:t>Improved recovery</w:t>
            </w:r>
          </w:p>
        </w:tc>
        <w:tc>
          <w:tcPr>
            <w:tcW w:w="88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58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89"/>
              <w:spacing w:after="0"/>
              <w:rPr>
                <w:sz w:val="20"/>
                <w:szCs w:val="20"/>
                <w:color w:val="auto"/>
              </w:rPr>
            </w:pPr>
            <w:r>
              <w:rPr>
                <w:rFonts w:ascii="Arial" w:cs="Arial" w:eastAsia="Arial" w:hAnsi="Arial"/>
                <w:sz w:val="14"/>
                <w:szCs w:val="14"/>
                <w:color w:val="auto"/>
              </w:rPr>
              <w:t>16</w:t>
            </w:r>
          </w:p>
        </w:tc>
        <w:tc>
          <w:tcPr>
            <w:tcW w:w="6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16</w:t>
            </w:r>
          </w:p>
        </w:tc>
        <w:tc>
          <w:tcPr>
            <w:tcW w:w="0" w:type="dxa"/>
            <w:vAlign w:val="bottom"/>
          </w:tcPr>
          <w:p>
            <w:pPr>
              <w:spacing w:after="0"/>
              <w:rPr>
                <w:sz w:val="1"/>
                <w:szCs w:val="1"/>
                <w:color w:val="auto"/>
              </w:rPr>
            </w:pPr>
          </w:p>
        </w:tc>
      </w:tr>
      <w:tr>
        <w:trPr>
          <w:trHeight w:val="162"/>
        </w:trPr>
        <w:tc>
          <w:tcPr>
            <w:tcW w:w="5680" w:type="dxa"/>
            <w:vAlign w:val="bottom"/>
          </w:tcPr>
          <w:p>
            <w:pPr>
              <w:ind w:left="140"/>
              <w:spacing w:after="0"/>
              <w:rPr>
                <w:sz w:val="20"/>
                <w:szCs w:val="20"/>
                <w:color w:val="auto"/>
              </w:rPr>
            </w:pPr>
            <w:r>
              <w:rPr>
                <w:rFonts w:ascii="Arial" w:cs="Arial" w:eastAsia="Arial" w:hAnsi="Arial"/>
                <w:sz w:val="14"/>
                <w:szCs w:val="14"/>
                <w:color w:val="auto"/>
              </w:rPr>
              <w:t>Extensions and discoveries</w:t>
            </w:r>
          </w:p>
        </w:tc>
        <w:tc>
          <w:tcPr>
            <w:tcW w:w="880" w:type="dxa"/>
            <w:vAlign w:val="bottom"/>
          </w:tcPr>
          <w:p>
            <w:pPr>
              <w:jc w:val="right"/>
              <w:ind w:right="88"/>
              <w:spacing w:after="0"/>
              <w:rPr>
                <w:sz w:val="20"/>
                <w:szCs w:val="20"/>
                <w:color w:val="auto"/>
              </w:rPr>
            </w:pPr>
            <w:r>
              <w:rPr>
                <w:rFonts w:ascii="Arial" w:cs="Arial" w:eastAsia="Arial" w:hAnsi="Arial"/>
                <w:sz w:val="14"/>
                <w:szCs w:val="14"/>
                <w:color w:val="auto"/>
              </w:rPr>
              <w:t>68</w:t>
            </w:r>
          </w:p>
        </w:tc>
        <w:tc>
          <w:tcPr>
            <w:tcW w:w="68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580" w:type="dxa"/>
            <w:vAlign w:val="bottom"/>
          </w:tcPr>
          <w:p>
            <w:pPr>
              <w:jc w:val="right"/>
              <w:ind w:right="48"/>
              <w:spacing w:after="0"/>
              <w:rPr>
                <w:sz w:val="20"/>
                <w:szCs w:val="20"/>
                <w:color w:val="auto"/>
              </w:rPr>
            </w:pPr>
            <w:r>
              <w:rPr>
                <w:rFonts w:ascii="Arial" w:cs="Arial" w:eastAsia="Arial" w:hAnsi="Arial"/>
                <w:sz w:val="14"/>
                <w:szCs w:val="14"/>
                <w:color w:val="auto"/>
              </w:rPr>
              <w:t>89</w:t>
            </w:r>
          </w:p>
        </w:tc>
        <w:tc>
          <w:tcPr>
            <w:tcW w:w="760" w:type="dxa"/>
            <w:vAlign w:val="bottom"/>
          </w:tcPr>
          <w:p>
            <w:pPr>
              <w:jc w:val="right"/>
              <w:ind w:right="89"/>
              <w:spacing w:after="0"/>
              <w:rPr>
                <w:sz w:val="20"/>
                <w:szCs w:val="20"/>
                <w:color w:val="auto"/>
              </w:rPr>
            </w:pPr>
            <w:r>
              <w:rPr>
                <w:rFonts w:ascii="Arial" w:cs="Arial" w:eastAsia="Arial" w:hAnsi="Arial"/>
                <w:sz w:val="14"/>
                <w:szCs w:val="14"/>
                <w:color w:val="auto"/>
              </w:rPr>
              <w:t>393</w:t>
            </w:r>
          </w:p>
        </w:tc>
        <w:tc>
          <w:tcPr>
            <w:tcW w:w="660" w:type="dxa"/>
            <w:vAlign w:val="bottom"/>
          </w:tcPr>
          <w:p>
            <w:pPr>
              <w:jc w:val="right"/>
              <w:ind w:right="28"/>
              <w:spacing w:after="0"/>
              <w:rPr>
                <w:sz w:val="20"/>
                <w:szCs w:val="20"/>
                <w:color w:val="auto"/>
              </w:rPr>
            </w:pPr>
            <w:r>
              <w:rPr>
                <w:rFonts w:ascii="Arial" w:cs="Arial" w:eastAsia="Arial" w:hAnsi="Arial"/>
                <w:sz w:val="14"/>
                <w:szCs w:val="14"/>
                <w:color w:val="auto"/>
              </w:rPr>
              <w:t>84</w:t>
            </w:r>
          </w:p>
        </w:tc>
        <w:tc>
          <w:tcPr>
            <w:tcW w:w="720" w:type="dxa"/>
            <w:vAlign w:val="bottom"/>
            <w:gridSpan w:val="2"/>
          </w:tcPr>
          <w:p>
            <w:pPr>
              <w:jc w:val="right"/>
              <w:ind w:right="100"/>
              <w:spacing w:after="0"/>
              <w:rPr>
                <w:sz w:val="20"/>
                <w:szCs w:val="20"/>
                <w:color w:val="auto"/>
              </w:rPr>
            </w:pPr>
            <w:r>
              <w:rPr>
                <w:rFonts w:ascii="Arial" w:cs="Arial" w:eastAsia="Arial" w:hAnsi="Arial"/>
                <w:sz w:val="14"/>
                <w:szCs w:val="14"/>
                <w:color w:val="auto"/>
              </w:rPr>
              <w:t>4</w:t>
            </w: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638</w:t>
            </w:r>
          </w:p>
        </w:tc>
        <w:tc>
          <w:tcPr>
            <w:tcW w:w="0" w:type="dxa"/>
            <w:vAlign w:val="bottom"/>
          </w:tcPr>
          <w:p>
            <w:pPr>
              <w:spacing w:after="0"/>
              <w:rPr>
                <w:sz w:val="1"/>
                <w:szCs w:val="1"/>
                <w:color w:val="auto"/>
              </w:rPr>
            </w:pPr>
          </w:p>
        </w:tc>
      </w:tr>
      <w:tr>
        <w:trPr>
          <w:trHeight w:val="162"/>
        </w:trPr>
        <w:tc>
          <w:tcPr>
            <w:tcW w:w="5680" w:type="dxa"/>
            <w:vAlign w:val="bottom"/>
          </w:tcPr>
          <w:p>
            <w:pPr>
              <w:ind w:left="140"/>
              <w:spacing w:after="0"/>
              <w:rPr>
                <w:sz w:val="20"/>
                <w:szCs w:val="20"/>
                <w:color w:val="auto"/>
              </w:rPr>
            </w:pPr>
            <w:r>
              <w:rPr>
                <w:rFonts w:ascii="Arial" w:cs="Arial" w:eastAsia="Arial" w:hAnsi="Arial"/>
                <w:sz w:val="14"/>
                <w:szCs w:val="14"/>
                <w:color w:val="auto"/>
              </w:rPr>
              <w:t>Purchases of minerals in place</w:t>
            </w:r>
          </w:p>
        </w:tc>
        <w:tc>
          <w:tcPr>
            <w:tcW w:w="880" w:type="dxa"/>
            <w:vAlign w:val="bottom"/>
          </w:tcPr>
          <w:p>
            <w:pPr>
              <w:jc w:val="right"/>
              <w:ind w:right="88"/>
              <w:spacing w:after="0"/>
              <w:rPr>
                <w:sz w:val="20"/>
                <w:szCs w:val="20"/>
                <w:color w:val="auto"/>
              </w:rPr>
            </w:pPr>
            <w:r>
              <w:rPr>
                <w:rFonts w:ascii="Arial" w:cs="Arial" w:eastAsia="Arial" w:hAnsi="Arial"/>
                <w:sz w:val="14"/>
                <w:szCs w:val="14"/>
                <w:color w:val="auto"/>
              </w:rPr>
              <w:t>22</w:t>
            </w:r>
          </w:p>
        </w:tc>
        <w:tc>
          <w:tcPr>
            <w:tcW w:w="68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58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89"/>
              <w:spacing w:after="0"/>
              <w:rPr>
                <w:sz w:val="20"/>
                <w:szCs w:val="20"/>
                <w:color w:val="auto"/>
              </w:rPr>
            </w:pPr>
            <w:r>
              <w:rPr>
                <w:rFonts w:ascii="Arial" w:cs="Arial" w:eastAsia="Arial" w:hAnsi="Arial"/>
                <w:sz w:val="14"/>
                <w:szCs w:val="14"/>
                <w:color w:val="auto"/>
              </w:rPr>
              <w:t>139</w:t>
            </w:r>
          </w:p>
        </w:tc>
        <w:tc>
          <w:tcPr>
            <w:tcW w:w="6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161</w:t>
            </w:r>
          </w:p>
        </w:tc>
        <w:tc>
          <w:tcPr>
            <w:tcW w:w="0" w:type="dxa"/>
            <w:vAlign w:val="bottom"/>
          </w:tcPr>
          <w:p>
            <w:pPr>
              <w:spacing w:after="0"/>
              <w:rPr>
                <w:sz w:val="1"/>
                <w:szCs w:val="1"/>
                <w:color w:val="auto"/>
              </w:rPr>
            </w:pPr>
          </w:p>
        </w:tc>
      </w:tr>
      <w:tr>
        <w:trPr>
          <w:trHeight w:val="162"/>
        </w:trPr>
        <w:tc>
          <w:tcPr>
            <w:tcW w:w="5680" w:type="dxa"/>
            <w:vAlign w:val="bottom"/>
          </w:tcPr>
          <w:p>
            <w:pPr>
              <w:ind w:left="140"/>
              <w:spacing w:after="0"/>
              <w:rPr>
                <w:sz w:val="20"/>
                <w:szCs w:val="20"/>
                <w:color w:val="auto"/>
              </w:rPr>
            </w:pPr>
            <w:r>
              <w:rPr>
                <w:rFonts w:ascii="Arial" w:cs="Arial" w:eastAsia="Arial" w:hAnsi="Arial"/>
                <w:sz w:val="14"/>
                <w:szCs w:val="14"/>
                <w:color w:val="auto"/>
              </w:rPr>
              <w:t>Sales of minerals in place</w:t>
            </w:r>
          </w:p>
        </w:tc>
        <w:tc>
          <w:tcPr>
            <w:tcW w:w="88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48"/>
              <w:spacing w:after="0"/>
              <w:rPr>
                <w:sz w:val="20"/>
                <w:szCs w:val="20"/>
                <w:color w:val="auto"/>
              </w:rPr>
            </w:pPr>
            <w:r>
              <w:rPr>
                <w:rFonts w:ascii="Arial" w:cs="Arial" w:eastAsia="Arial" w:hAnsi="Arial"/>
                <w:sz w:val="14"/>
                <w:szCs w:val="14"/>
                <w:color w:val="auto"/>
              </w:rPr>
              <w:t>(303)</w:t>
            </w:r>
          </w:p>
        </w:tc>
        <w:tc>
          <w:tcPr>
            <w:tcW w:w="580" w:type="dxa"/>
            <w:vAlign w:val="bottom"/>
          </w:tcPr>
          <w:p>
            <w:pPr>
              <w:jc w:val="right"/>
              <w:spacing w:after="0"/>
              <w:rPr>
                <w:sz w:val="20"/>
                <w:szCs w:val="20"/>
                <w:color w:val="auto"/>
              </w:rPr>
            </w:pPr>
            <w:r>
              <w:rPr>
                <w:rFonts w:ascii="Arial" w:cs="Arial" w:eastAsia="Arial" w:hAnsi="Arial"/>
                <w:sz w:val="14"/>
                <w:szCs w:val="14"/>
                <w:color w:val="auto"/>
              </w:rPr>
              <w:t>(163)</w:t>
            </w:r>
          </w:p>
        </w:tc>
        <w:tc>
          <w:tcPr>
            <w:tcW w:w="760" w:type="dxa"/>
            <w:vAlign w:val="bottom"/>
          </w:tcPr>
          <w:p>
            <w:pPr>
              <w:jc w:val="right"/>
              <w:ind w:right="49"/>
              <w:spacing w:after="0"/>
              <w:rPr>
                <w:sz w:val="20"/>
                <w:szCs w:val="20"/>
                <w:color w:val="auto"/>
              </w:rPr>
            </w:pPr>
            <w:r>
              <w:rPr>
                <w:rFonts w:ascii="Arial" w:cs="Arial" w:eastAsia="Arial" w:hAnsi="Arial"/>
                <w:sz w:val="14"/>
                <w:szCs w:val="14"/>
                <w:color w:val="auto"/>
              </w:rPr>
              <w:t>(6)</w:t>
            </w:r>
          </w:p>
        </w:tc>
        <w:tc>
          <w:tcPr>
            <w:tcW w:w="660" w:type="dxa"/>
            <w:vAlign w:val="bottom"/>
          </w:tcPr>
          <w:p>
            <w:pPr>
              <w:jc w:val="right"/>
              <w:spacing w:after="0"/>
              <w:rPr>
                <w:sz w:val="20"/>
                <w:szCs w:val="20"/>
                <w:color w:val="auto"/>
              </w:rPr>
            </w:pPr>
            <w:r>
              <w:rPr>
                <w:rFonts w:ascii="Arial" w:cs="Arial" w:eastAsia="Arial" w:hAnsi="Arial"/>
                <w:sz w:val="14"/>
                <w:szCs w:val="14"/>
                <w:color w:val="auto"/>
              </w:rPr>
              <w:t>(191)</w:t>
            </w:r>
          </w:p>
        </w:tc>
        <w:tc>
          <w:tcPr>
            <w:tcW w:w="72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(663)</w:t>
            </w:r>
          </w:p>
        </w:tc>
        <w:tc>
          <w:tcPr>
            <w:tcW w:w="0" w:type="dxa"/>
            <w:vAlign w:val="bottom"/>
          </w:tcPr>
          <w:p>
            <w:pPr>
              <w:spacing w:after="0"/>
              <w:rPr>
                <w:sz w:val="1"/>
                <w:szCs w:val="1"/>
                <w:color w:val="auto"/>
              </w:rPr>
            </w:pPr>
          </w:p>
        </w:tc>
      </w:tr>
      <w:tr>
        <w:trPr>
          <w:trHeight w:val="157"/>
        </w:trPr>
        <w:tc>
          <w:tcPr>
            <w:tcW w:w="5680" w:type="dxa"/>
            <w:vAlign w:val="bottom"/>
            <w:tcBorders>
              <w:bottom w:val="single" w:sz="8" w:color="auto"/>
            </w:tcBorders>
          </w:tcPr>
          <w:p>
            <w:pPr>
              <w:ind w:left="140"/>
              <w:spacing w:after="0" w:line="157" w:lineRule="exact"/>
              <w:rPr>
                <w:sz w:val="20"/>
                <w:szCs w:val="20"/>
                <w:color w:val="auto"/>
              </w:rPr>
            </w:pPr>
            <w:r>
              <w:rPr>
                <w:rFonts w:ascii="Arial" w:cs="Arial" w:eastAsia="Arial" w:hAnsi="Arial"/>
                <w:sz w:val="14"/>
                <w:szCs w:val="14"/>
                <w:color w:val="auto"/>
              </w:rPr>
              <w:t>Production [A]</w:t>
            </w:r>
          </w:p>
        </w:tc>
        <w:tc>
          <w:tcPr>
            <w:tcW w:w="880" w:type="dxa"/>
            <w:vAlign w:val="bottom"/>
            <w:tcBorders>
              <w:bottom w:val="single" w:sz="8" w:color="auto"/>
            </w:tcBorders>
          </w:tcPr>
          <w:p>
            <w:pPr>
              <w:jc w:val="right"/>
              <w:ind w:right="28"/>
              <w:spacing w:after="0" w:line="157" w:lineRule="exact"/>
              <w:rPr>
                <w:sz w:val="20"/>
                <w:szCs w:val="20"/>
                <w:color w:val="auto"/>
              </w:rPr>
            </w:pPr>
            <w:r>
              <w:rPr>
                <w:rFonts w:ascii="Arial" w:cs="Arial" w:eastAsia="Arial" w:hAnsi="Arial"/>
                <w:sz w:val="14"/>
                <w:szCs w:val="14"/>
                <w:color w:val="auto"/>
              </w:rPr>
              <w:t>(581)</w:t>
            </w:r>
          </w:p>
        </w:tc>
        <w:tc>
          <w:tcPr>
            <w:tcW w:w="680" w:type="dxa"/>
            <w:vAlign w:val="bottom"/>
            <w:tcBorders>
              <w:bottom w:val="single" w:sz="8" w:color="auto"/>
            </w:tcBorders>
          </w:tcPr>
          <w:p>
            <w:pPr>
              <w:jc w:val="right"/>
              <w:ind w:right="28"/>
              <w:spacing w:after="0" w:line="157" w:lineRule="exact"/>
              <w:rPr>
                <w:sz w:val="20"/>
                <w:szCs w:val="20"/>
                <w:color w:val="auto"/>
              </w:rPr>
            </w:pPr>
            <w:r>
              <w:rPr>
                <w:rFonts w:ascii="Arial" w:cs="Arial" w:eastAsia="Arial" w:hAnsi="Arial"/>
                <w:sz w:val="14"/>
                <w:szCs w:val="14"/>
                <w:color w:val="auto"/>
              </w:rPr>
              <w:t>(631)</w:t>
            </w:r>
          </w:p>
        </w:tc>
        <w:tc>
          <w:tcPr>
            <w:tcW w:w="740" w:type="dxa"/>
            <w:vAlign w:val="bottom"/>
            <w:tcBorders>
              <w:bottom w:val="single" w:sz="8" w:color="auto"/>
            </w:tcBorders>
          </w:tcPr>
          <w:p>
            <w:pPr>
              <w:jc w:val="right"/>
              <w:ind w:right="48"/>
              <w:spacing w:after="0" w:line="157" w:lineRule="exact"/>
              <w:rPr>
                <w:sz w:val="20"/>
                <w:szCs w:val="20"/>
                <w:color w:val="auto"/>
              </w:rPr>
            </w:pPr>
            <w:r>
              <w:rPr>
                <w:rFonts w:ascii="Arial" w:cs="Arial" w:eastAsia="Arial" w:hAnsi="Arial"/>
                <w:sz w:val="14"/>
                <w:szCs w:val="14"/>
                <w:color w:val="auto"/>
              </w:rPr>
              <w:t>(214)</w:t>
            </w:r>
          </w:p>
        </w:tc>
        <w:tc>
          <w:tcPr>
            <w:tcW w:w="580" w:type="dxa"/>
            <w:vAlign w:val="bottom"/>
            <w:tcBorders>
              <w:bottom w:val="single" w:sz="8" w:color="auto"/>
            </w:tcBorders>
          </w:tcPr>
          <w:p>
            <w:pPr>
              <w:jc w:val="right"/>
              <w:spacing w:after="0" w:line="157" w:lineRule="exact"/>
              <w:rPr>
                <w:sz w:val="20"/>
                <w:szCs w:val="20"/>
                <w:color w:val="auto"/>
              </w:rPr>
            </w:pPr>
            <w:r>
              <w:rPr>
                <w:rFonts w:ascii="Arial" w:cs="Arial" w:eastAsia="Arial" w:hAnsi="Arial"/>
                <w:sz w:val="14"/>
                <w:szCs w:val="14"/>
                <w:color w:val="auto"/>
              </w:rPr>
              <w:t>(343)</w:t>
            </w:r>
          </w:p>
        </w:tc>
        <w:tc>
          <w:tcPr>
            <w:tcW w:w="760" w:type="dxa"/>
            <w:vAlign w:val="bottom"/>
            <w:tcBorders>
              <w:bottom w:val="single" w:sz="8" w:color="auto"/>
            </w:tcBorders>
          </w:tcPr>
          <w:p>
            <w:pPr>
              <w:jc w:val="right"/>
              <w:ind w:right="49"/>
              <w:spacing w:after="0" w:line="157" w:lineRule="exact"/>
              <w:rPr>
                <w:sz w:val="20"/>
                <w:szCs w:val="20"/>
                <w:color w:val="auto"/>
              </w:rPr>
            </w:pPr>
            <w:r>
              <w:rPr>
                <w:rFonts w:ascii="Arial" w:cs="Arial" w:eastAsia="Arial" w:hAnsi="Arial"/>
                <w:sz w:val="14"/>
                <w:szCs w:val="14"/>
                <w:color w:val="auto"/>
              </w:rPr>
              <w:t>(397)</w:t>
            </w:r>
          </w:p>
        </w:tc>
        <w:tc>
          <w:tcPr>
            <w:tcW w:w="660" w:type="dxa"/>
            <w:vAlign w:val="bottom"/>
            <w:tcBorders>
              <w:bottom w:val="single" w:sz="8" w:color="auto"/>
            </w:tcBorders>
          </w:tcPr>
          <w:p>
            <w:pPr>
              <w:jc w:val="right"/>
              <w:spacing w:after="0" w:line="157" w:lineRule="exact"/>
              <w:rPr>
                <w:sz w:val="20"/>
                <w:szCs w:val="20"/>
                <w:color w:val="auto"/>
              </w:rPr>
            </w:pPr>
            <w:r>
              <w:rPr>
                <w:rFonts w:ascii="Arial" w:cs="Arial" w:eastAsia="Arial" w:hAnsi="Arial"/>
                <w:sz w:val="14"/>
                <w:szCs w:val="14"/>
                <w:color w:val="auto"/>
              </w:rPr>
              <w:t>(244)</w:t>
            </w:r>
          </w:p>
        </w:tc>
        <w:tc>
          <w:tcPr>
            <w:tcW w:w="720" w:type="dxa"/>
            <w:vAlign w:val="bottom"/>
            <w:tcBorders>
              <w:bottom w:val="single" w:sz="8" w:color="auto"/>
            </w:tcBorders>
            <w:gridSpan w:val="2"/>
          </w:tcPr>
          <w:p>
            <w:pPr>
              <w:jc w:val="right"/>
              <w:ind w:right="60"/>
              <w:spacing w:after="0" w:line="157" w:lineRule="exact"/>
              <w:rPr>
                <w:sz w:val="20"/>
                <w:szCs w:val="20"/>
                <w:color w:val="auto"/>
              </w:rPr>
            </w:pPr>
            <w:r>
              <w:rPr>
                <w:rFonts w:ascii="Arial" w:cs="Arial" w:eastAsia="Arial" w:hAnsi="Arial"/>
                <w:sz w:val="14"/>
                <w:szCs w:val="14"/>
                <w:color w:val="auto"/>
              </w:rPr>
              <w:t>(21)</w:t>
            </w:r>
          </w:p>
        </w:tc>
        <w:tc>
          <w:tcPr>
            <w:tcW w:w="720" w:type="dxa"/>
            <w:vAlign w:val="bottom"/>
            <w:tcBorders>
              <w:bottom w:val="single" w:sz="8" w:color="auto"/>
            </w:tcBorders>
          </w:tcPr>
          <w:p>
            <w:pPr>
              <w:jc w:val="right"/>
              <w:spacing w:after="0" w:line="157" w:lineRule="exact"/>
              <w:rPr>
                <w:sz w:val="20"/>
                <w:szCs w:val="20"/>
                <w:color w:val="auto"/>
              </w:rPr>
            </w:pPr>
            <w:r>
              <w:rPr>
                <w:rFonts w:ascii="Arial" w:cs="Arial" w:eastAsia="Arial" w:hAnsi="Arial"/>
                <w:sz w:val="14"/>
                <w:szCs w:val="14"/>
                <w:color w:val="auto"/>
              </w:rPr>
              <w:t>(2,431)</w:t>
            </w:r>
          </w:p>
        </w:tc>
        <w:tc>
          <w:tcPr>
            <w:tcW w:w="0" w:type="dxa"/>
            <w:vAlign w:val="bottom"/>
          </w:tcPr>
          <w:p>
            <w:pPr>
              <w:spacing w:after="0"/>
              <w:rPr>
                <w:sz w:val="1"/>
                <w:szCs w:val="1"/>
                <w:color w:val="auto"/>
              </w:rPr>
            </w:pPr>
          </w:p>
        </w:tc>
      </w:tr>
      <w:tr>
        <w:trPr>
          <w:trHeight w:val="156"/>
        </w:trPr>
        <w:tc>
          <w:tcPr>
            <w:tcW w:w="5680" w:type="dxa"/>
            <w:vAlign w:val="bottom"/>
            <w:tcBorders>
              <w:bottom w:val="single" w:sz="8" w:color="auto"/>
            </w:tcBorders>
          </w:tcPr>
          <w:p>
            <w:pPr>
              <w:ind w:left="140"/>
              <w:spacing w:after="0" w:line="155" w:lineRule="exact"/>
              <w:rPr>
                <w:sz w:val="20"/>
                <w:szCs w:val="20"/>
                <w:color w:val="auto"/>
              </w:rPr>
            </w:pPr>
            <w:r>
              <w:rPr>
                <w:rFonts w:ascii="Arial" w:cs="Arial" w:eastAsia="Arial" w:hAnsi="Arial"/>
                <w:sz w:val="14"/>
                <w:szCs w:val="14"/>
                <w:color w:val="auto"/>
              </w:rPr>
              <w:t>At December 31</w:t>
            </w:r>
          </w:p>
        </w:tc>
        <w:tc>
          <w:tcPr>
            <w:tcW w:w="880" w:type="dxa"/>
            <w:vAlign w:val="bottom"/>
            <w:tcBorders>
              <w:bottom w:val="single" w:sz="8" w:color="auto"/>
            </w:tcBorders>
          </w:tcPr>
          <w:p>
            <w:pPr>
              <w:jc w:val="right"/>
              <w:ind w:right="88"/>
              <w:spacing w:after="0" w:line="155" w:lineRule="exact"/>
              <w:rPr>
                <w:sz w:val="20"/>
                <w:szCs w:val="20"/>
                <w:color w:val="auto"/>
              </w:rPr>
            </w:pPr>
            <w:r>
              <w:rPr>
                <w:rFonts w:ascii="Arial" w:cs="Arial" w:eastAsia="Arial" w:hAnsi="Arial"/>
                <w:sz w:val="14"/>
                <w:szCs w:val="14"/>
                <w:color w:val="auto"/>
              </w:rPr>
              <w:t>5,021</w:t>
            </w:r>
          </w:p>
        </w:tc>
        <w:tc>
          <w:tcPr>
            <w:tcW w:w="680" w:type="dxa"/>
            <w:vAlign w:val="bottom"/>
            <w:tcBorders>
              <w:bottom w:val="single" w:sz="8" w:color="auto"/>
            </w:tcBorders>
          </w:tcPr>
          <w:p>
            <w:pPr>
              <w:jc w:val="right"/>
              <w:ind w:right="68"/>
              <w:spacing w:after="0" w:line="155" w:lineRule="exact"/>
              <w:rPr>
                <w:sz w:val="20"/>
                <w:szCs w:val="20"/>
                <w:color w:val="auto"/>
              </w:rPr>
            </w:pPr>
            <w:r>
              <w:rPr>
                <w:rFonts w:ascii="Arial" w:cs="Arial" w:eastAsia="Arial" w:hAnsi="Arial"/>
                <w:sz w:val="14"/>
                <w:szCs w:val="14"/>
                <w:color w:val="auto"/>
              </w:rPr>
              <w:t>10,220</w:t>
            </w:r>
          </w:p>
        </w:tc>
        <w:tc>
          <w:tcPr>
            <w:tcW w:w="740" w:type="dxa"/>
            <w:vAlign w:val="bottom"/>
            <w:tcBorders>
              <w:bottom w:val="single" w:sz="8" w:color="auto"/>
            </w:tcBorders>
          </w:tcPr>
          <w:p>
            <w:pPr>
              <w:jc w:val="right"/>
              <w:ind w:right="88"/>
              <w:spacing w:after="0" w:line="155" w:lineRule="exact"/>
              <w:rPr>
                <w:sz w:val="20"/>
                <w:szCs w:val="20"/>
                <w:color w:val="auto"/>
              </w:rPr>
            </w:pPr>
            <w:r>
              <w:rPr>
                <w:rFonts w:ascii="Arial" w:cs="Arial" w:eastAsia="Arial" w:hAnsi="Arial"/>
                <w:sz w:val="14"/>
                <w:szCs w:val="14"/>
                <w:color w:val="auto"/>
              </w:rPr>
              <w:t>5,571</w:t>
            </w:r>
          </w:p>
        </w:tc>
        <w:tc>
          <w:tcPr>
            <w:tcW w:w="580" w:type="dxa"/>
            <w:vAlign w:val="bottom"/>
            <w:tcBorders>
              <w:bottom w:val="single" w:sz="8" w:color="auto"/>
            </w:tcBorders>
          </w:tcPr>
          <w:p>
            <w:pPr>
              <w:jc w:val="right"/>
              <w:ind w:right="48"/>
              <w:spacing w:after="0" w:line="155" w:lineRule="exact"/>
              <w:rPr>
                <w:sz w:val="20"/>
                <w:szCs w:val="20"/>
                <w:color w:val="auto"/>
              </w:rPr>
            </w:pPr>
            <w:r>
              <w:rPr>
                <w:rFonts w:ascii="Arial" w:cs="Arial" w:eastAsia="Arial" w:hAnsi="Arial"/>
                <w:sz w:val="14"/>
                <w:szCs w:val="14"/>
                <w:color w:val="auto"/>
              </w:rPr>
              <w:t>2,241</w:t>
            </w:r>
          </w:p>
        </w:tc>
        <w:tc>
          <w:tcPr>
            <w:tcW w:w="760" w:type="dxa"/>
            <w:vAlign w:val="bottom"/>
            <w:tcBorders>
              <w:bottom w:val="single" w:sz="8" w:color="auto"/>
            </w:tcBorders>
          </w:tcPr>
          <w:p>
            <w:pPr>
              <w:jc w:val="right"/>
              <w:ind w:right="89"/>
              <w:spacing w:after="0" w:line="155" w:lineRule="exact"/>
              <w:rPr>
                <w:sz w:val="20"/>
                <w:szCs w:val="20"/>
                <w:color w:val="auto"/>
              </w:rPr>
            </w:pPr>
            <w:r>
              <w:rPr>
                <w:rFonts w:ascii="Arial" w:cs="Arial" w:eastAsia="Arial" w:hAnsi="Arial"/>
                <w:sz w:val="14"/>
                <w:szCs w:val="14"/>
                <w:color w:val="auto"/>
              </w:rPr>
              <w:t>2,265</w:t>
            </w:r>
          </w:p>
        </w:tc>
        <w:tc>
          <w:tcPr>
            <w:tcW w:w="660" w:type="dxa"/>
            <w:vAlign w:val="bottom"/>
            <w:tcBorders>
              <w:bottom w:val="single" w:sz="8" w:color="auto"/>
            </w:tcBorders>
          </w:tcPr>
          <w:p>
            <w:pPr>
              <w:jc w:val="right"/>
              <w:ind w:right="28"/>
              <w:spacing w:after="0" w:line="155" w:lineRule="exact"/>
              <w:rPr>
                <w:sz w:val="20"/>
                <w:szCs w:val="20"/>
                <w:color w:val="auto"/>
              </w:rPr>
            </w:pPr>
            <w:r>
              <w:rPr>
                <w:rFonts w:ascii="Arial" w:cs="Arial" w:eastAsia="Arial" w:hAnsi="Arial"/>
                <w:sz w:val="14"/>
                <w:szCs w:val="14"/>
                <w:color w:val="auto"/>
              </w:rPr>
              <w:t>1,011</w:t>
            </w:r>
          </w:p>
        </w:tc>
        <w:tc>
          <w:tcPr>
            <w:tcW w:w="720" w:type="dxa"/>
            <w:vAlign w:val="bottom"/>
            <w:tcBorders>
              <w:bottom w:val="single" w:sz="8" w:color="auto"/>
            </w:tcBorders>
            <w:gridSpan w:val="2"/>
          </w:tcPr>
          <w:p>
            <w:pPr>
              <w:jc w:val="right"/>
              <w:ind w:right="100"/>
              <w:spacing w:after="0" w:line="155" w:lineRule="exact"/>
              <w:rPr>
                <w:sz w:val="20"/>
                <w:szCs w:val="20"/>
                <w:color w:val="auto"/>
              </w:rPr>
            </w:pPr>
            <w:r>
              <w:rPr>
                <w:rFonts w:ascii="Arial" w:cs="Arial" w:eastAsia="Arial" w:hAnsi="Arial"/>
                <w:sz w:val="14"/>
                <w:szCs w:val="14"/>
                <w:color w:val="auto"/>
              </w:rPr>
              <w:t>95</w:t>
            </w:r>
          </w:p>
        </w:tc>
        <w:tc>
          <w:tcPr>
            <w:tcW w:w="720" w:type="dxa"/>
            <w:vAlign w:val="bottom"/>
            <w:tcBorders>
              <w:bottom w:val="single" w:sz="8" w:color="auto"/>
            </w:tcBorders>
          </w:tcPr>
          <w:p>
            <w:pPr>
              <w:jc w:val="right"/>
              <w:ind w:right="28"/>
              <w:spacing w:after="0" w:line="155" w:lineRule="exact"/>
              <w:rPr>
                <w:sz w:val="20"/>
                <w:szCs w:val="20"/>
                <w:color w:val="auto"/>
              </w:rPr>
            </w:pPr>
            <w:r>
              <w:rPr>
                <w:rFonts w:ascii="Arial" w:cs="Arial" w:eastAsia="Arial" w:hAnsi="Arial"/>
                <w:sz w:val="14"/>
                <w:szCs w:val="14"/>
                <w:color w:val="auto"/>
              </w:rPr>
              <w:t>26,424</w:t>
            </w:r>
          </w:p>
        </w:tc>
        <w:tc>
          <w:tcPr>
            <w:tcW w:w="0" w:type="dxa"/>
            <w:vAlign w:val="bottom"/>
          </w:tcPr>
          <w:p>
            <w:pPr>
              <w:spacing w:after="0"/>
              <w:rPr>
                <w:sz w:val="1"/>
                <w:szCs w:val="1"/>
                <w:color w:val="auto"/>
              </w:rPr>
            </w:pPr>
          </w:p>
        </w:tc>
      </w:tr>
      <w:tr>
        <w:trPr>
          <w:trHeight w:val="160"/>
        </w:trPr>
        <w:tc>
          <w:tcPr>
            <w:tcW w:w="5680" w:type="dxa"/>
            <w:vAlign w:val="bottom"/>
          </w:tcPr>
          <w:p>
            <w:pPr>
              <w:spacing w:after="0"/>
              <w:rPr>
                <w:sz w:val="20"/>
                <w:szCs w:val="20"/>
                <w:color w:val="auto"/>
              </w:rPr>
            </w:pPr>
            <w:r>
              <w:rPr>
                <w:rFonts w:ascii="Arial" w:cs="Arial" w:eastAsia="Arial" w:hAnsi="Arial"/>
                <w:sz w:val="14"/>
                <w:szCs w:val="14"/>
                <w:color w:val="auto"/>
              </w:rPr>
              <w:t>Shell share of joint ventures and associates</w:t>
            </w:r>
          </w:p>
        </w:tc>
        <w:tc>
          <w:tcPr>
            <w:tcW w:w="8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5680" w:type="dxa"/>
            <w:vAlign w:val="bottom"/>
          </w:tcPr>
          <w:p>
            <w:pPr>
              <w:ind w:left="140"/>
              <w:spacing w:after="0"/>
              <w:rPr>
                <w:sz w:val="20"/>
                <w:szCs w:val="20"/>
                <w:color w:val="auto"/>
              </w:rPr>
            </w:pPr>
            <w:r>
              <w:rPr>
                <w:rFonts w:ascii="Arial" w:cs="Arial" w:eastAsia="Arial" w:hAnsi="Arial"/>
                <w:sz w:val="14"/>
                <w:szCs w:val="14"/>
                <w:color w:val="auto"/>
              </w:rPr>
              <w:t>At January 1</w:t>
            </w:r>
          </w:p>
        </w:tc>
        <w:tc>
          <w:tcPr>
            <w:tcW w:w="880" w:type="dxa"/>
            <w:vAlign w:val="bottom"/>
          </w:tcPr>
          <w:p>
            <w:pPr>
              <w:jc w:val="right"/>
              <w:ind w:right="88"/>
              <w:spacing w:after="0"/>
              <w:rPr>
                <w:sz w:val="20"/>
                <w:szCs w:val="20"/>
                <w:color w:val="auto"/>
              </w:rPr>
            </w:pPr>
            <w:r>
              <w:rPr>
                <w:rFonts w:ascii="Arial" w:cs="Arial" w:eastAsia="Arial" w:hAnsi="Arial"/>
                <w:sz w:val="14"/>
                <w:szCs w:val="14"/>
                <w:color w:val="auto"/>
              </w:rPr>
              <w:t>9,903</w:t>
            </w:r>
          </w:p>
        </w:tc>
        <w:tc>
          <w:tcPr>
            <w:tcW w:w="680" w:type="dxa"/>
            <w:vAlign w:val="bottom"/>
          </w:tcPr>
          <w:p>
            <w:pPr>
              <w:jc w:val="right"/>
              <w:ind w:right="68"/>
              <w:spacing w:after="0"/>
              <w:rPr>
                <w:sz w:val="20"/>
                <w:szCs w:val="20"/>
                <w:color w:val="auto"/>
              </w:rPr>
            </w:pPr>
            <w:r>
              <w:rPr>
                <w:rFonts w:ascii="Arial" w:cs="Arial" w:eastAsia="Arial" w:hAnsi="Arial"/>
                <w:sz w:val="14"/>
                <w:szCs w:val="14"/>
                <w:color w:val="auto"/>
              </w:rPr>
              <w:t>6,262</w:t>
            </w:r>
          </w:p>
        </w:tc>
        <w:tc>
          <w:tcPr>
            <w:tcW w:w="740" w:type="dxa"/>
            <w:vAlign w:val="bottom"/>
          </w:tcPr>
          <w:p>
            <w:pPr>
              <w:jc w:val="right"/>
              <w:ind w:right="88"/>
              <w:spacing w:after="0"/>
              <w:rPr>
                <w:sz w:val="20"/>
                <w:szCs w:val="20"/>
                <w:color w:val="auto"/>
              </w:rPr>
            </w:pPr>
            <w:r>
              <w:rPr>
                <w:rFonts w:ascii="Arial" w:cs="Arial" w:eastAsia="Arial" w:hAnsi="Arial"/>
                <w:sz w:val="14"/>
                <w:szCs w:val="14"/>
                <w:color w:val="auto"/>
              </w:rPr>
              <w:t>1,142</w:t>
            </w:r>
          </w:p>
        </w:tc>
        <w:tc>
          <w:tcPr>
            <w:tcW w:w="58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89"/>
              <w:spacing w:after="0"/>
              <w:rPr>
                <w:sz w:val="20"/>
                <w:szCs w:val="20"/>
                <w:color w:val="auto"/>
              </w:rPr>
            </w:pPr>
            <w:r>
              <w:rPr>
                <w:rFonts w:ascii="Arial" w:cs="Arial" w:eastAsia="Arial" w:hAnsi="Arial"/>
                <w:sz w:val="14"/>
                <w:szCs w:val="14"/>
                <w:color w:val="auto"/>
              </w:rPr>
              <w:t>63</w:t>
            </w:r>
          </w:p>
        </w:tc>
        <w:tc>
          <w:tcPr>
            <w:tcW w:w="6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100"/>
              <w:spacing w:after="0"/>
              <w:rPr>
                <w:sz w:val="20"/>
                <w:szCs w:val="20"/>
                <w:color w:val="auto"/>
              </w:rPr>
            </w:pPr>
            <w:r>
              <w:rPr>
                <w:rFonts w:ascii="Arial" w:cs="Arial" w:eastAsia="Arial" w:hAnsi="Arial"/>
                <w:sz w:val="14"/>
                <w:szCs w:val="14"/>
                <w:color w:val="auto"/>
              </w:rPr>
              <w:t>6</w:t>
            </w: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17,376</w:t>
            </w:r>
          </w:p>
        </w:tc>
        <w:tc>
          <w:tcPr>
            <w:tcW w:w="0" w:type="dxa"/>
            <w:vAlign w:val="bottom"/>
          </w:tcPr>
          <w:p>
            <w:pPr>
              <w:spacing w:after="0"/>
              <w:rPr>
                <w:sz w:val="1"/>
                <w:szCs w:val="1"/>
                <w:color w:val="auto"/>
              </w:rPr>
            </w:pPr>
          </w:p>
        </w:tc>
      </w:tr>
      <w:tr>
        <w:trPr>
          <w:trHeight w:val="162"/>
        </w:trPr>
        <w:tc>
          <w:tcPr>
            <w:tcW w:w="5680" w:type="dxa"/>
            <w:vAlign w:val="bottom"/>
          </w:tcPr>
          <w:p>
            <w:pPr>
              <w:ind w:left="140"/>
              <w:spacing w:after="0"/>
              <w:rPr>
                <w:sz w:val="20"/>
                <w:szCs w:val="20"/>
                <w:color w:val="auto"/>
              </w:rPr>
            </w:pPr>
            <w:r>
              <w:rPr>
                <w:rFonts w:ascii="Arial" w:cs="Arial" w:eastAsia="Arial" w:hAnsi="Arial"/>
                <w:sz w:val="14"/>
                <w:szCs w:val="14"/>
                <w:color w:val="auto"/>
              </w:rPr>
              <w:t>Revisions and reclassifications</w:t>
            </w: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(89)</w:t>
            </w:r>
          </w:p>
        </w:tc>
        <w:tc>
          <w:tcPr>
            <w:tcW w:w="680" w:type="dxa"/>
            <w:vAlign w:val="bottom"/>
          </w:tcPr>
          <w:p>
            <w:pPr>
              <w:jc w:val="right"/>
              <w:ind w:right="68"/>
              <w:spacing w:after="0"/>
              <w:rPr>
                <w:sz w:val="20"/>
                <w:szCs w:val="20"/>
                <w:color w:val="auto"/>
              </w:rPr>
            </w:pPr>
            <w:r>
              <w:rPr>
                <w:rFonts w:ascii="Arial" w:cs="Arial" w:eastAsia="Arial" w:hAnsi="Arial"/>
                <w:sz w:val="14"/>
                <w:szCs w:val="14"/>
                <w:color w:val="auto"/>
              </w:rPr>
              <w:t>284</w:t>
            </w:r>
          </w:p>
        </w:tc>
        <w:tc>
          <w:tcPr>
            <w:tcW w:w="740" w:type="dxa"/>
            <w:vAlign w:val="bottom"/>
          </w:tcPr>
          <w:p>
            <w:pPr>
              <w:jc w:val="right"/>
              <w:ind w:right="88"/>
              <w:spacing w:after="0"/>
              <w:rPr>
                <w:sz w:val="20"/>
                <w:szCs w:val="20"/>
                <w:color w:val="auto"/>
              </w:rPr>
            </w:pPr>
            <w:r>
              <w:rPr>
                <w:rFonts w:ascii="Arial" w:cs="Arial" w:eastAsia="Arial" w:hAnsi="Arial"/>
                <w:sz w:val="14"/>
                <w:szCs w:val="14"/>
                <w:color w:val="auto"/>
              </w:rPr>
              <w:t>15</w:t>
            </w:r>
          </w:p>
        </w:tc>
        <w:tc>
          <w:tcPr>
            <w:tcW w:w="58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89"/>
              <w:spacing w:after="0"/>
              <w:rPr>
                <w:sz w:val="20"/>
                <w:szCs w:val="20"/>
                <w:color w:val="auto"/>
              </w:rPr>
            </w:pPr>
            <w:r>
              <w:rPr>
                <w:rFonts w:ascii="Arial" w:cs="Arial" w:eastAsia="Arial" w:hAnsi="Arial"/>
                <w:sz w:val="14"/>
                <w:szCs w:val="14"/>
                <w:color w:val="auto"/>
              </w:rPr>
              <w:t>31</w:t>
            </w:r>
          </w:p>
        </w:tc>
        <w:tc>
          <w:tcPr>
            <w:tcW w:w="6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60"/>
              <w:spacing w:after="0"/>
              <w:rPr>
                <w:sz w:val="20"/>
                <w:szCs w:val="20"/>
                <w:color w:val="auto"/>
              </w:rPr>
            </w:pPr>
            <w:r>
              <w:rPr>
                <w:rFonts w:ascii="Arial" w:cs="Arial" w:eastAsia="Arial" w:hAnsi="Arial"/>
                <w:sz w:val="14"/>
                <w:szCs w:val="14"/>
                <w:color w:val="auto"/>
              </w:rPr>
              <w:t>(1)</w:t>
            </w: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240</w:t>
            </w:r>
          </w:p>
        </w:tc>
        <w:tc>
          <w:tcPr>
            <w:tcW w:w="0" w:type="dxa"/>
            <w:vAlign w:val="bottom"/>
          </w:tcPr>
          <w:p>
            <w:pPr>
              <w:spacing w:after="0"/>
              <w:rPr>
                <w:sz w:val="1"/>
                <w:szCs w:val="1"/>
                <w:color w:val="auto"/>
              </w:rPr>
            </w:pPr>
          </w:p>
        </w:tc>
      </w:tr>
      <w:tr>
        <w:trPr>
          <w:trHeight w:val="162"/>
        </w:trPr>
        <w:tc>
          <w:tcPr>
            <w:tcW w:w="5680" w:type="dxa"/>
            <w:vAlign w:val="bottom"/>
          </w:tcPr>
          <w:p>
            <w:pPr>
              <w:ind w:left="140"/>
              <w:spacing w:after="0"/>
              <w:rPr>
                <w:sz w:val="20"/>
                <w:szCs w:val="20"/>
                <w:color w:val="auto"/>
              </w:rPr>
            </w:pPr>
            <w:r>
              <w:rPr>
                <w:rFonts w:ascii="Arial" w:cs="Arial" w:eastAsia="Arial" w:hAnsi="Arial"/>
                <w:sz w:val="14"/>
                <w:szCs w:val="14"/>
                <w:color w:val="auto"/>
              </w:rPr>
              <w:t>Improved recovery</w:t>
            </w:r>
          </w:p>
        </w:tc>
        <w:tc>
          <w:tcPr>
            <w:tcW w:w="88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58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89"/>
              <w:spacing w:after="0"/>
              <w:rPr>
                <w:sz w:val="20"/>
                <w:szCs w:val="20"/>
                <w:color w:val="auto"/>
              </w:rPr>
            </w:pPr>
            <w:r>
              <w:rPr>
                <w:rFonts w:ascii="Arial" w:cs="Arial" w:eastAsia="Arial" w:hAnsi="Arial"/>
                <w:sz w:val="14"/>
                <w:szCs w:val="14"/>
                <w:color w:val="auto"/>
              </w:rPr>
              <w:t>–</w:t>
            </w:r>
          </w:p>
        </w:tc>
        <w:tc>
          <w:tcPr>
            <w:tcW w:w="6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5680" w:type="dxa"/>
            <w:vAlign w:val="bottom"/>
          </w:tcPr>
          <w:p>
            <w:pPr>
              <w:ind w:left="140"/>
              <w:spacing w:after="0"/>
              <w:rPr>
                <w:sz w:val="20"/>
                <w:szCs w:val="20"/>
                <w:color w:val="auto"/>
              </w:rPr>
            </w:pPr>
            <w:r>
              <w:rPr>
                <w:rFonts w:ascii="Arial" w:cs="Arial" w:eastAsia="Arial" w:hAnsi="Arial"/>
                <w:sz w:val="14"/>
                <w:szCs w:val="14"/>
                <w:color w:val="auto"/>
              </w:rPr>
              <w:t>Extensions and discoveries</w:t>
            </w:r>
          </w:p>
        </w:tc>
        <w:tc>
          <w:tcPr>
            <w:tcW w:w="880" w:type="dxa"/>
            <w:vAlign w:val="bottom"/>
          </w:tcPr>
          <w:p>
            <w:pPr>
              <w:jc w:val="right"/>
              <w:ind w:right="88"/>
              <w:spacing w:after="0"/>
              <w:rPr>
                <w:sz w:val="20"/>
                <w:szCs w:val="20"/>
                <w:color w:val="auto"/>
              </w:rPr>
            </w:pPr>
            <w:r>
              <w:rPr>
                <w:rFonts w:ascii="Arial" w:cs="Arial" w:eastAsia="Arial" w:hAnsi="Arial"/>
                <w:sz w:val="14"/>
                <w:szCs w:val="14"/>
                <w:color w:val="auto"/>
              </w:rPr>
              <w:t>3</w:t>
            </w:r>
          </w:p>
        </w:tc>
        <w:tc>
          <w:tcPr>
            <w:tcW w:w="680" w:type="dxa"/>
            <w:vAlign w:val="bottom"/>
          </w:tcPr>
          <w:p>
            <w:pPr>
              <w:jc w:val="right"/>
              <w:ind w:right="68"/>
              <w:spacing w:after="0"/>
              <w:rPr>
                <w:sz w:val="20"/>
                <w:szCs w:val="20"/>
                <w:color w:val="auto"/>
              </w:rPr>
            </w:pPr>
            <w:r>
              <w:rPr>
                <w:rFonts w:ascii="Arial" w:cs="Arial" w:eastAsia="Arial" w:hAnsi="Arial"/>
                <w:sz w:val="14"/>
                <w:szCs w:val="14"/>
                <w:color w:val="auto"/>
              </w:rPr>
              <w:t>26</w:t>
            </w:r>
          </w:p>
        </w:tc>
        <w:tc>
          <w:tcPr>
            <w:tcW w:w="74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58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89"/>
              <w:spacing w:after="0"/>
              <w:rPr>
                <w:sz w:val="20"/>
                <w:szCs w:val="20"/>
                <w:color w:val="auto"/>
              </w:rPr>
            </w:pPr>
            <w:r>
              <w:rPr>
                <w:rFonts w:ascii="Arial" w:cs="Arial" w:eastAsia="Arial" w:hAnsi="Arial"/>
                <w:sz w:val="14"/>
                <w:szCs w:val="14"/>
                <w:color w:val="auto"/>
              </w:rPr>
              <w:t>–</w:t>
            </w:r>
          </w:p>
        </w:tc>
        <w:tc>
          <w:tcPr>
            <w:tcW w:w="6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29</w:t>
            </w:r>
          </w:p>
        </w:tc>
        <w:tc>
          <w:tcPr>
            <w:tcW w:w="0" w:type="dxa"/>
            <w:vAlign w:val="bottom"/>
          </w:tcPr>
          <w:p>
            <w:pPr>
              <w:spacing w:after="0"/>
              <w:rPr>
                <w:sz w:val="1"/>
                <w:szCs w:val="1"/>
                <w:color w:val="auto"/>
              </w:rPr>
            </w:pPr>
          </w:p>
        </w:tc>
      </w:tr>
      <w:tr>
        <w:trPr>
          <w:trHeight w:val="162"/>
        </w:trPr>
        <w:tc>
          <w:tcPr>
            <w:tcW w:w="5680" w:type="dxa"/>
            <w:vAlign w:val="bottom"/>
          </w:tcPr>
          <w:p>
            <w:pPr>
              <w:ind w:left="140"/>
              <w:spacing w:after="0"/>
              <w:rPr>
                <w:sz w:val="20"/>
                <w:szCs w:val="20"/>
                <w:color w:val="auto"/>
              </w:rPr>
            </w:pPr>
            <w:r>
              <w:rPr>
                <w:rFonts w:ascii="Arial" w:cs="Arial" w:eastAsia="Arial" w:hAnsi="Arial"/>
                <w:sz w:val="14"/>
                <w:szCs w:val="14"/>
                <w:color w:val="auto"/>
              </w:rPr>
              <w:t>Purchases of minerals in place</w:t>
            </w:r>
          </w:p>
        </w:tc>
        <w:tc>
          <w:tcPr>
            <w:tcW w:w="88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58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89"/>
              <w:spacing w:after="0"/>
              <w:rPr>
                <w:sz w:val="20"/>
                <w:szCs w:val="20"/>
                <w:color w:val="auto"/>
              </w:rPr>
            </w:pPr>
            <w:r>
              <w:rPr>
                <w:rFonts w:ascii="Arial" w:cs="Arial" w:eastAsia="Arial" w:hAnsi="Arial"/>
                <w:sz w:val="14"/>
                <w:szCs w:val="14"/>
                <w:color w:val="auto"/>
              </w:rPr>
              <w:t>–</w:t>
            </w:r>
          </w:p>
        </w:tc>
        <w:tc>
          <w:tcPr>
            <w:tcW w:w="6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5680" w:type="dxa"/>
            <w:vAlign w:val="bottom"/>
          </w:tcPr>
          <w:p>
            <w:pPr>
              <w:ind w:left="140"/>
              <w:spacing w:after="0"/>
              <w:rPr>
                <w:sz w:val="20"/>
                <w:szCs w:val="20"/>
                <w:color w:val="auto"/>
              </w:rPr>
            </w:pPr>
            <w:r>
              <w:rPr>
                <w:rFonts w:ascii="Arial" w:cs="Arial" w:eastAsia="Arial" w:hAnsi="Arial"/>
                <w:sz w:val="14"/>
                <w:szCs w:val="14"/>
                <w:color w:val="auto"/>
              </w:rPr>
              <w:t>Sales of minerals in place</w:t>
            </w:r>
          </w:p>
        </w:tc>
        <w:tc>
          <w:tcPr>
            <w:tcW w:w="88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48"/>
              <w:spacing w:after="0"/>
              <w:rPr>
                <w:sz w:val="20"/>
                <w:szCs w:val="20"/>
                <w:color w:val="auto"/>
              </w:rPr>
            </w:pPr>
            <w:r>
              <w:rPr>
                <w:rFonts w:ascii="Arial" w:cs="Arial" w:eastAsia="Arial" w:hAnsi="Arial"/>
                <w:sz w:val="14"/>
                <w:szCs w:val="14"/>
                <w:color w:val="auto"/>
              </w:rPr>
              <w:t>(21)</w:t>
            </w:r>
          </w:p>
        </w:tc>
        <w:tc>
          <w:tcPr>
            <w:tcW w:w="58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89"/>
              <w:spacing w:after="0"/>
              <w:rPr>
                <w:sz w:val="20"/>
                <w:szCs w:val="20"/>
                <w:color w:val="auto"/>
              </w:rPr>
            </w:pPr>
            <w:r>
              <w:rPr>
                <w:rFonts w:ascii="Arial" w:cs="Arial" w:eastAsia="Arial" w:hAnsi="Arial"/>
                <w:sz w:val="14"/>
                <w:szCs w:val="14"/>
                <w:color w:val="auto"/>
              </w:rPr>
              <w:t>–</w:t>
            </w:r>
          </w:p>
        </w:tc>
        <w:tc>
          <w:tcPr>
            <w:tcW w:w="6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(21)</w:t>
            </w:r>
          </w:p>
        </w:tc>
        <w:tc>
          <w:tcPr>
            <w:tcW w:w="0" w:type="dxa"/>
            <w:vAlign w:val="bottom"/>
          </w:tcPr>
          <w:p>
            <w:pPr>
              <w:spacing w:after="0"/>
              <w:rPr>
                <w:sz w:val="1"/>
                <w:szCs w:val="1"/>
                <w:color w:val="auto"/>
              </w:rPr>
            </w:pPr>
          </w:p>
        </w:tc>
      </w:tr>
      <w:tr>
        <w:trPr>
          <w:trHeight w:val="157"/>
        </w:trPr>
        <w:tc>
          <w:tcPr>
            <w:tcW w:w="5680" w:type="dxa"/>
            <w:vAlign w:val="bottom"/>
            <w:tcBorders>
              <w:bottom w:val="single" w:sz="8" w:color="auto"/>
            </w:tcBorders>
          </w:tcPr>
          <w:p>
            <w:pPr>
              <w:ind w:left="140"/>
              <w:spacing w:after="0" w:line="157" w:lineRule="exact"/>
              <w:rPr>
                <w:sz w:val="20"/>
                <w:szCs w:val="20"/>
                <w:color w:val="auto"/>
              </w:rPr>
            </w:pPr>
            <w:r>
              <w:rPr>
                <w:rFonts w:ascii="Arial" w:cs="Arial" w:eastAsia="Arial" w:hAnsi="Arial"/>
                <w:sz w:val="14"/>
                <w:szCs w:val="14"/>
                <w:color w:val="auto"/>
              </w:rPr>
              <w:t>Production [B]</w:t>
            </w:r>
          </w:p>
        </w:tc>
        <w:tc>
          <w:tcPr>
            <w:tcW w:w="880" w:type="dxa"/>
            <w:vAlign w:val="bottom"/>
            <w:tcBorders>
              <w:bottom w:val="single" w:sz="8" w:color="auto"/>
            </w:tcBorders>
          </w:tcPr>
          <w:p>
            <w:pPr>
              <w:jc w:val="right"/>
              <w:ind w:right="28"/>
              <w:spacing w:after="0" w:line="157" w:lineRule="exact"/>
              <w:rPr>
                <w:sz w:val="20"/>
                <w:szCs w:val="20"/>
                <w:color w:val="auto"/>
              </w:rPr>
            </w:pPr>
            <w:r>
              <w:rPr>
                <w:rFonts w:ascii="Arial" w:cs="Arial" w:eastAsia="Arial" w:hAnsi="Arial"/>
                <w:sz w:val="14"/>
                <w:szCs w:val="14"/>
                <w:color w:val="auto"/>
              </w:rPr>
              <w:t>(670)</w:t>
            </w:r>
          </w:p>
        </w:tc>
        <w:tc>
          <w:tcPr>
            <w:tcW w:w="680" w:type="dxa"/>
            <w:vAlign w:val="bottom"/>
            <w:tcBorders>
              <w:bottom w:val="single" w:sz="8" w:color="auto"/>
            </w:tcBorders>
          </w:tcPr>
          <w:p>
            <w:pPr>
              <w:jc w:val="right"/>
              <w:ind w:right="28"/>
              <w:spacing w:after="0" w:line="157" w:lineRule="exact"/>
              <w:rPr>
                <w:sz w:val="20"/>
                <w:szCs w:val="20"/>
                <w:color w:val="auto"/>
              </w:rPr>
            </w:pPr>
            <w:r>
              <w:rPr>
                <w:rFonts w:ascii="Arial" w:cs="Arial" w:eastAsia="Arial" w:hAnsi="Arial"/>
                <w:sz w:val="14"/>
                <w:szCs w:val="14"/>
                <w:color w:val="auto"/>
              </w:rPr>
              <w:t>(481)</w:t>
            </w:r>
          </w:p>
        </w:tc>
        <w:tc>
          <w:tcPr>
            <w:tcW w:w="740" w:type="dxa"/>
            <w:vAlign w:val="bottom"/>
            <w:tcBorders>
              <w:bottom w:val="single" w:sz="8" w:color="auto"/>
            </w:tcBorders>
          </w:tcPr>
          <w:p>
            <w:pPr>
              <w:jc w:val="right"/>
              <w:ind w:right="48"/>
              <w:spacing w:after="0" w:line="157" w:lineRule="exact"/>
              <w:rPr>
                <w:sz w:val="20"/>
                <w:szCs w:val="20"/>
                <w:color w:val="auto"/>
              </w:rPr>
            </w:pPr>
            <w:r>
              <w:rPr>
                <w:rFonts w:ascii="Arial" w:cs="Arial" w:eastAsia="Arial" w:hAnsi="Arial"/>
                <w:sz w:val="14"/>
                <w:szCs w:val="14"/>
                <w:color w:val="auto"/>
              </w:rPr>
              <w:t>(97)</w:t>
            </w:r>
          </w:p>
        </w:tc>
        <w:tc>
          <w:tcPr>
            <w:tcW w:w="580" w:type="dxa"/>
            <w:vAlign w:val="bottom"/>
            <w:tcBorders>
              <w:bottom w:val="single" w:sz="8" w:color="auto"/>
            </w:tcBorders>
          </w:tcPr>
          <w:p>
            <w:pPr>
              <w:jc w:val="right"/>
              <w:ind w:right="48"/>
              <w:spacing w:after="0" w:line="157" w:lineRule="exact"/>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tcPr>
          <w:p>
            <w:pPr>
              <w:jc w:val="right"/>
              <w:ind w:right="49"/>
              <w:spacing w:after="0" w:line="157" w:lineRule="exact"/>
              <w:rPr>
                <w:sz w:val="20"/>
                <w:szCs w:val="20"/>
                <w:color w:val="auto"/>
              </w:rPr>
            </w:pPr>
            <w:r>
              <w:rPr>
                <w:rFonts w:ascii="Arial" w:cs="Arial" w:eastAsia="Arial" w:hAnsi="Arial"/>
                <w:sz w:val="14"/>
                <w:szCs w:val="14"/>
                <w:color w:val="auto"/>
              </w:rPr>
              <w:t>(7)</w:t>
            </w:r>
          </w:p>
        </w:tc>
        <w:tc>
          <w:tcPr>
            <w:tcW w:w="660" w:type="dxa"/>
            <w:vAlign w:val="bottom"/>
            <w:tcBorders>
              <w:bottom w:val="single" w:sz="8" w:color="auto"/>
            </w:tcBorders>
          </w:tcPr>
          <w:p>
            <w:pPr>
              <w:jc w:val="right"/>
              <w:ind w:right="28"/>
              <w:spacing w:after="0" w:line="157" w:lineRule="exact"/>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gridSpan w:val="2"/>
          </w:tcPr>
          <w:p>
            <w:pPr>
              <w:jc w:val="right"/>
              <w:ind w:right="60"/>
              <w:spacing w:after="0" w:line="157" w:lineRule="exact"/>
              <w:rPr>
                <w:sz w:val="20"/>
                <w:szCs w:val="20"/>
                <w:color w:val="auto"/>
              </w:rPr>
            </w:pPr>
            <w:r>
              <w:rPr>
                <w:rFonts w:ascii="Arial" w:cs="Arial" w:eastAsia="Arial" w:hAnsi="Arial"/>
                <w:sz w:val="14"/>
                <w:szCs w:val="14"/>
                <w:color w:val="auto"/>
              </w:rPr>
              <w:t>(1)</w:t>
            </w:r>
          </w:p>
        </w:tc>
        <w:tc>
          <w:tcPr>
            <w:tcW w:w="720" w:type="dxa"/>
            <w:vAlign w:val="bottom"/>
            <w:tcBorders>
              <w:bottom w:val="single" w:sz="8" w:color="auto"/>
            </w:tcBorders>
          </w:tcPr>
          <w:p>
            <w:pPr>
              <w:jc w:val="right"/>
              <w:spacing w:after="0" w:line="157" w:lineRule="exact"/>
              <w:rPr>
                <w:sz w:val="20"/>
                <w:szCs w:val="20"/>
                <w:color w:val="auto"/>
              </w:rPr>
            </w:pPr>
            <w:r>
              <w:rPr>
                <w:rFonts w:ascii="Arial" w:cs="Arial" w:eastAsia="Arial" w:hAnsi="Arial"/>
                <w:sz w:val="14"/>
                <w:szCs w:val="14"/>
                <w:color w:val="auto"/>
              </w:rPr>
              <w:t>(1,256)</w:t>
            </w:r>
          </w:p>
        </w:tc>
        <w:tc>
          <w:tcPr>
            <w:tcW w:w="0" w:type="dxa"/>
            <w:vAlign w:val="bottom"/>
          </w:tcPr>
          <w:p>
            <w:pPr>
              <w:spacing w:after="0"/>
              <w:rPr>
                <w:sz w:val="1"/>
                <w:szCs w:val="1"/>
                <w:color w:val="auto"/>
              </w:rPr>
            </w:pPr>
          </w:p>
        </w:tc>
      </w:tr>
      <w:tr>
        <w:trPr>
          <w:trHeight w:val="156"/>
        </w:trPr>
        <w:tc>
          <w:tcPr>
            <w:tcW w:w="5680" w:type="dxa"/>
            <w:vAlign w:val="bottom"/>
            <w:tcBorders>
              <w:bottom w:val="single" w:sz="8" w:color="auto"/>
            </w:tcBorders>
          </w:tcPr>
          <w:p>
            <w:pPr>
              <w:ind w:left="140"/>
              <w:spacing w:after="0" w:line="155" w:lineRule="exact"/>
              <w:rPr>
                <w:sz w:val="20"/>
                <w:szCs w:val="20"/>
                <w:color w:val="auto"/>
              </w:rPr>
            </w:pPr>
            <w:r>
              <w:rPr>
                <w:rFonts w:ascii="Arial" w:cs="Arial" w:eastAsia="Arial" w:hAnsi="Arial"/>
                <w:sz w:val="14"/>
                <w:szCs w:val="14"/>
                <w:color w:val="auto"/>
              </w:rPr>
              <w:t>At December 31</w:t>
            </w:r>
          </w:p>
        </w:tc>
        <w:tc>
          <w:tcPr>
            <w:tcW w:w="880" w:type="dxa"/>
            <w:vAlign w:val="bottom"/>
            <w:tcBorders>
              <w:bottom w:val="single" w:sz="8" w:color="auto"/>
            </w:tcBorders>
          </w:tcPr>
          <w:p>
            <w:pPr>
              <w:jc w:val="right"/>
              <w:ind w:right="88"/>
              <w:spacing w:after="0" w:line="155" w:lineRule="exact"/>
              <w:rPr>
                <w:sz w:val="20"/>
                <w:szCs w:val="20"/>
                <w:color w:val="auto"/>
              </w:rPr>
            </w:pPr>
            <w:r>
              <w:rPr>
                <w:rFonts w:ascii="Arial" w:cs="Arial" w:eastAsia="Arial" w:hAnsi="Arial"/>
                <w:sz w:val="14"/>
                <w:szCs w:val="14"/>
                <w:color w:val="auto"/>
              </w:rPr>
              <w:t>9,147</w:t>
            </w:r>
          </w:p>
        </w:tc>
        <w:tc>
          <w:tcPr>
            <w:tcW w:w="680" w:type="dxa"/>
            <w:vAlign w:val="bottom"/>
            <w:tcBorders>
              <w:bottom w:val="single" w:sz="8" w:color="auto"/>
            </w:tcBorders>
          </w:tcPr>
          <w:p>
            <w:pPr>
              <w:jc w:val="right"/>
              <w:ind w:right="68"/>
              <w:spacing w:after="0" w:line="155" w:lineRule="exact"/>
              <w:rPr>
                <w:sz w:val="20"/>
                <w:szCs w:val="20"/>
                <w:color w:val="auto"/>
              </w:rPr>
            </w:pPr>
            <w:r>
              <w:rPr>
                <w:rFonts w:ascii="Arial" w:cs="Arial" w:eastAsia="Arial" w:hAnsi="Arial"/>
                <w:sz w:val="14"/>
                <w:szCs w:val="14"/>
                <w:color w:val="auto"/>
              </w:rPr>
              <w:t>6,091</w:t>
            </w:r>
          </w:p>
        </w:tc>
        <w:tc>
          <w:tcPr>
            <w:tcW w:w="740" w:type="dxa"/>
            <w:vAlign w:val="bottom"/>
            <w:tcBorders>
              <w:bottom w:val="single" w:sz="8" w:color="auto"/>
            </w:tcBorders>
          </w:tcPr>
          <w:p>
            <w:pPr>
              <w:jc w:val="right"/>
              <w:ind w:right="88"/>
              <w:spacing w:after="0" w:line="155" w:lineRule="exact"/>
              <w:rPr>
                <w:sz w:val="20"/>
                <w:szCs w:val="20"/>
                <w:color w:val="auto"/>
              </w:rPr>
            </w:pPr>
            <w:r>
              <w:rPr>
                <w:rFonts w:ascii="Arial" w:cs="Arial" w:eastAsia="Arial" w:hAnsi="Arial"/>
                <w:sz w:val="14"/>
                <w:szCs w:val="14"/>
                <w:color w:val="auto"/>
              </w:rPr>
              <w:t>1,039</w:t>
            </w:r>
          </w:p>
        </w:tc>
        <w:tc>
          <w:tcPr>
            <w:tcW w:w="580" w:type="dxa"/>
            <w:vAlign w:val="bottom"/>
            <w:tcBorders>
              <w:bottom w:val="single" w:sz="8" w:color="auto"/>
            </w:tcBorders>
          </w:tcPr>
          <w:p>
            <w:pPr>
              <w:jc w:val="right"/>
              <w:ind w:right="48"/>
              <w:spacing w:after="0" w:line="155" w:lineRule="exact"/>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tcPr>
          <w:p>
            <w:pPr>
              <w:jc w:val="right"/>
              <w:ind w:right="89"/>
              <w:spacing w:after="0" w:line="155" w:lineRule="exact"/>
              <w:rPr>
                <w:sz w:val="20"/>
                <w:szCs w:val="20"/>
                <w:color w:val="auto"/>
              </w:rPr>
            </w:pPr>
            <w:r>
              <w:rPr>
                <w:rFonts w:ascii="Arial" w:cs="Arial" w:eastAsia="Arial" w:hAnsi="Arial"/>
                <w:sz w:val="14"/>
                <w:szCs w:val="14"/>
                <w:color w:val="auto"/>
              </w:rPr>
              <w:t>87</w:t>
            </w:r>
          </w:p>
        </w:tc>
        <w:tc>
          <w:tcPr>
            <w:tcW w:w="660" w:type="dxa"/>
            <w:vAlign w:val="bottom"/>
            <w:tcBorders>
              <w:bottom w:val="single" w:sz="8" w:color="auto"/>
            </w:tcBorders>
          </w:tcPr>
          <w:p>
            <w:pPr>
              <w:jc w:val="right"/>
              <w:ind w:right="28"/>
              <w:spacing w:after="0" w:line="155" w:lineRule="exact"/>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gridSpan w:val="2"/>
          </w:tcPr>
          <w:p>
            <w:pPr>
              <w:jc w:val="right"/>
              <w:ind w:right="100"/>
              <w:spacing w:after="0" w:line="155" w:lineRule="exact"/>
              <w:rPr>
                <w:sz w:val="20"/>
                <w:szCs w:val="20"/>
                <w:color w:val="auto"/>
              </w:rPr>
            </w:pPr>
            <w:r>
              <w:rPr>
                <w:rFonts w:ascii="Arial" w:cs="Arial" w:eastAsia="Arial" w:hAnsi="Arial"/>
                <w:sz w:val="14"/>
                <w:szCs w:val="14"/>
                <w:color w:val="auto"/>
              </w:rPr>
              <w:t>4</w:t>
            </w:r>
          </w:p>
        </w:tc>
        <w:tc>
          <w:tcPr>
            <w:tcW w:w="720" w:type="dxa"/>
            <w:vAlign w:val="bottom"/>
            <w:tcBorders>
              <w:bottom w:val="single" w:sz="8" w:color="auto"/>
            </w:tcBorders>
          </w:tcPr>
          <w:p>
            <w:pPr>
              <w:jc w:val="right"/>
              <w:ind w:right="28"/>
              <w:spacing w:after="0" w:line="155" w:lineRule="exact"/>
              <w:rPr>
                <w:sz w:val="20"/>
                <w:szCs w:val="20"/>
                <w:color w:val="auto"/>
              </w:rPr>
            </w:pPr>
            <w:r>
              <w:rPr>
                <w:rFonts w:ascii="Arial" w:cs="Arial" w:eastAsia="Arial" w:hAnsi="Arial"/>
                <w:sz w:val="14"/>
                <w:szCs w:val="14"/>
                <w:color w:val="auto"/>
              </w:rPr>
              <w:t>16,368</w:t>
            </w:r>
          </w:p>
        </w:tc>
        <w:tc>
          <w:tcPr>
            <w:tcW w:w="0" w:type="dxa"/>
            <w:vAlign w:val="bottom"/>
          </w:tcPr>
          <w:p>
            <w:pPr>
              <w:spacing w:after="0"/>
              <w:rPr>
                <w:sz w:val="1"/>
                <w:szCs w:val="1"/>
                <w:color w:val="auto"/>
              </w:rPr>
            </w:pPr>
          </w:p>
        </w:tc>
      </w:tr>
      <w:tr>
        <w:trPr>
          <w:trHeight w:val="156"/>
        </w:trPr>
        <w:tc>
          <w:tcPr>
            <w:tcW w:w="5680" w:type="dxa"/>
            <w:vAlign w:val="bottom"/>
            <w:tcBorders>
              <w:bottom w:val="single" w:sz="8" w:color="auto"/>
            </w:tcBorders>
          </w:tcPr>
          <w:p>
            <w:pPr>
              <w:spacing w:after="0" w:line="155" w:lineRule="exact"/>
              <w:rPr>
                <w:sz w:val="20"/>
                <w:szCs w:val="20"/>
                <w:color w:val="auto"/>
              </w:rPr>
            </w:pPr>
            <w:r>
              <w:rPr>
                <w:rFonts w:ascii="Arial" w:cs="Arial" w:eastAsia="Arial" w:hAnsi="Arial"/>
                <w:sz w:val="14"/>
                <w:szCs w:val="14"/>
                <w:color w:val="auto"/>
              </w:rPr>
              <w:t>Total</w:t>
            </w:r>
          </w:p>
        </w:tc>
        <w:tc>
          <w:tcPr>
            <w:tcW w:w="880" w:type="dxa"/>
            <w:vAlign w:val="bottom"/>
            <w:tcBorders>
              <w:bottom w:val="single" w:sz="8" w:color="auto"/>
            </w:tcBorders>
          </w:tcPr>
          <w:p>
            <w:pPr>
              <w:jc w:val="right"/>
              <w:ind w:right="88"/>
              <w:spacing w:after="0" w:line="155" w:lineRule="exact"/>
              <w:rPr>
                <w:sz w:val="20"/>
                <w:szCs w:val="20"/>
                <w:color w:val="auto"/>
              </w:rPr>
            </w:pPr>
            <w:r>
              <w:rPr>
                <w:rFonts w:ascii="Arial" w:cs="Arial" w:eastAsia="Arial" w:hAnsi="Arial"/>
                <w:sz w:val="14"/>
                <w:szCs w:val="14"/>
                <w:color w:val="auto"/>
              </w:rPr>
              <w:t>14,168</w:t>
            </w:r>
          </w:p>
        </w:tc>
        <w:tc>
          <w:tcPr>
            <w:tcW w:w="680" w:type="dxa"/>
            <w:vAlign w:val="bottom"/>
            <w:tcBorders>
              <w:bottom w:val="single" w:sz="8" w:color="auto"/>
            </w:tcBorders>
          </w:tcPr>
          <w:p>
            <w:pPr>
              <w:jc w:val="right"/>
              <w:ind w:right="68"/>
              <w:spacing w:after="0" w:line="155" w:lineRule="exact"/>
              <w:rPr>
                <w:sz w:val="20"/>
                <w:szCs w:val="20"/>
                <w:color w:val="auto"/>
              </w:rPr>
            </w:pPr>
            <w:r>
              <w:rPr>
                <w:rFonts w:ascii="Arial" w:cs="Arial" w:eastAsia="Arial" w:hAnsi="Arial"/>
                <w:sz w:val="14"/>
                <w:szCs w:val="14"/>
                <w:color w:val="auto"/>
              </w:rPr>
              <w:t>16,311</w:t>
            </w:r>
          </w:p>
        </w:tc>
        <w:tc>
          <w:tcPr>
            <w:tcW w:w="740" w:type="dxa"/>
            <w:vAlign w:val="bottom"/>
            <w:tcBorders>
              <w:bottom w:val="single" w:sz="8" w:color="auto"/>
            </w:tcBorders>
          </w:tcPr>
          <w:p>
            <w:pPr>
              <w:jc w:val="right"/>
              <w:ind w:right="88"/>
              <w:spacing w:after="0" w:line="155" w:lineRule="exact"/>
              <w:rPr>
                <w:sz w:val="20"/>
                <w:szCs w:val="20"/>
                <w:color w:val="auto"/>
              </w:rPr>
            </w:pPr>
            <w:r>
              <w:rPr>
                <w:rFonts w:ascii="Arial" w:cs="Arial" w:eastAsia="Arial" w:hAnsi="Arial"/>
                <w:sz w:val="14"/>
                <w:szCs w:val="14"/>
                <w:color w:val="auto"/>
              </w:rPr>
              <w:t>6,610</w:t>
            </w:r>
          </w:p>
        </w:tc>
        <w:tc>
          <w:tcPr>
            <w:tcW w:w="580" w:type="dxa"/>
            <w:vAlign w:val="bottom"/>
            <w:tcBorders>
              <w:bottom w:val="single" w:sz="8" w:color="auto"/>
            </w:tcBorders>
          </w:tcPr>
          <w:p>
            <w:pPr>
              <w:jc w:val="right"/>
              <w:ind w:right="48"/>
              <w:spacing w:after="0" w:line="155" w:lineRule="exact"/>
              <w:rPr>
                <w:sz w:val="20"/>
                <w:szCs w:val="20"/>
                <w:color w:val="auto"/>
              </w:rPr>
            </w:pPr>
            <w:r>
              <w:rPr>
                <w:rFonts w:ascii="Arial" w:cs="Arial" w:eastAsia="Arial" w:hAnsi="Arial"/>
                <w:sz w:val="14"/>
                <w:szCs w:val="14"/>
                <w:color w:val="auto"/>
              </w:rPr>
              <w:t>2,241</w:t>
            </w:r>
          </w:p>
        </w:tc>
        <w:tc>
          <w:tcPr>
            <w:tcW w:w="760" w:type="dxa"/>
            <w:vAlign w:val="bottom"/>
            <w:tcBorders>
              <w:bottom w:val="single" w:sz="8" w:color="auto"/>
            </w:tcBorders>
          </w:tcPr>
          <w:p>
            <w:pPr>
              <w:jc w:val="right"/>
              <w:ind w:right="89"/>
              <w:spacing w:after="0" w:line="155" w:lineRule="exact"/>
              <w:rPr>
                <w:sz w:val="20"/>
                <w:szCs w:val="20"/>
                <w:color w:val="auto"/>
              </w:rPr>
            </w:pPr>
            <w:r>
              <w:rPr>
                <w:rFonts w:ascii="Arial" w:cs="Arial" w:eastAsia="Arial" w:hAnsi="Arial"/>
                <w:sz w:val="14"/>
                <w:szCs w:val="14"/>
                <w:color w:val="auto"/>
              </w:rPr>
              <w:t>2,352</w:t>
            </w:r>
          </w:p>
        </w:tc>
        <w:tc>
          <w:tcPr>
            <w:tcW w:w="660" w:type="dxa"/>
            <w:vAlign w:val="bottom"/>
            <w:tcBorders>
              <w:bottom w:val="single" w:sz="8" w:color="auto"/>
            </w:tcBorders>
          </w:tcPr>
          <w:p>
            <w:pPr>
              <w:jc w:val="right"/>
              <w:ind w:right="28"/>
              <w:spacing w:after="0" w:line="155" w:lineRule="exact"/>
              <w:rPr>
                <w:sz w:val="20"/>
                <w:szCs w:val="20"/>
                <w:color w:val="auto"/>
              </w:rPr>
            </w:pPr>
            <w:r>
              <w:rPr>
                <w:rFonts w:ascii="Arial" w:cs="Arial" w:eastAsia="Arial" w:hAnsi="Arial"/>
                <w:sz w:val="14"/>
                <w:szCs w:val="14"/>
                <w:color w:val="auto"/>
              </w:rPr>
              <w:t>1,011</w:t>
            </w:r>
          </w:p>
        </w:tc>
        <w:tc>
          <w:tcPr>
            <w:tcW w:w="720" w:type="dxa"/>
            <w:vAlign w:val="bottom"/>
            <w:tcBorders>
              <w:bottom w:val="single" w:sz="8" w:color="auto"/>
            </w:tcBorders>
            <w:gridSpan w:val="2"/>
          </w:tcPr>
          <w:p>
            <w:pPr>
              <w:jc w:val="right"/>
              <w:ind w:right="100"/>
              <w:spacing w:after="0" w:line="155" w:lineRule="exact"/>
              <w:rPr>
                <w:sz w:val="20"/>
                <w:szCs w:val="20"/>
                <w:color w:val="auto"/>
              </w:rPr>
            </w:pPr>
            <w:r>
              <w:rPr>
                <w:rFonts w:ascii="Arial" w:cs="Arial" w:eastAsia="Arial" w:hAnsi="Arial"/>
                <w:sz w:val="14"/>
                <w:szCs w:val="14"/>
                <w:color w:val="auto"/>
              </w:rPr>
              <w:t>99</w:t>
            </w:r>
          </w:p>
        </w:tc>
        <w:tc>
          <w:tcPr>
            <w:tcW w:w="720" w:type="dxa"/>
            <w:vAlign w:val="bottom"/>
            <w:tcBorders>
              <w:bottom w:val="single" w:sz="8" w:color="auto"/>
            </w:tcBorders>
          </w:tcPr>
          <w:p>
            <w:pPr>
              <w:jc w:val="right"/>
              <w:ind w:right="28"/>
              <w:spacing w:after="0" w:line="155" w:lineRule="exact"/>
              <w:rPr>
                <w:sz w:val="20"/>
                <w:szCs w:val="20"/>
                <w:color w:val="auto"/>
              </w:rPr>
            </w:pPr>
            <w:r>
              <w:rPr>
                <w:rFonts w:ascii="Arial" w:cs="Arial" w:eastAsia="Arial" w:hAnsi="Arial"/>
                <w:sz w:val="14"/>
                <w:szCs w:val="14"/>
                <w:color w:val="auto"/>
              </w:rPr>
              <w:t>42,792</w:t>
            </w:r>
          </w:p>
        </w:tc>
        <w:tc>
          <w:tcPr>
            <w:tcW w:w="0" w:type="dxa"/>
            <w:vAlign w:val="bottom"/>
          </w:tcPr>
          <w:p>
            <w:pPr>
              <w:spacing w:after="0"/>
              <w:rPr>
                <w:sz w:val="1"/>
                <w:szCs w:val="1"/>
                <w:color w:val="auto"/>
              </w:rPr>
            </w:pPr>
          </w:p>
        </w:tc>
      </w:tr>
      <w:tr>
        <w:trPr>
          <w:trHeight w:val="156"/>
        </w:trPr>
        <w:tc>
          <w:tcPr>
            <w:tcW w:w="5680" w:type="dxa"/>
            <w:vAlign w:val="bottom"/>
            <w:tcBorders>
              <w:bottom w:val="single" w:sz="8" w:color="auto"/>
            </w:tcBorders>
          </w:tcPr>
          <w:p>
            <w:pPr>
              <w:spacing w:after="0" w:line="155" w:lineRule="exact"/>
              <w:rPr>
                <w:sz w:val="20"/>
                <w:szCs w:val="20"/>
                <w:color w:val="auto"/>
              </w:rPr>
            </w:pPr>
            <w:r>
              <w:rPr>
                <w:rFonts w:ascii="Arial" w:cs="Arial" w:eastAsia="Arial" w:hAnsi="Arial"/>
                <w:sz w:val="14"/>
                <w:szCs w:val="14"/>
                <w:color w:val="auto"/>
              </w:rPr>
              <w:t>Reserves attributable to non-controlling interest in Shell subsidiaries at December 31</w:t>
            </w:r>
          </w:p>
        </w:tc>
        <w:tc>
          <w:tcPr>
            <w:tcW w:w="880" w:type="dxa"/>
            <w:vAlign w:val="bottom"/>
            <w:tcBorders>
              <w:bottom w:val="single" w:sz="8" w:color="auto"/>
            </w:tcBorders>
          </w:tcPr>
          <w:p>
            <w:pPr>
              <w:jc w:val="right"/>
              <w:ind w:right="88"/>
              <w:spacing w:after="0" w:line="155" w:lineRule="exact"/>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tcPr>
          <w:p>
            <w:pPr>
              <w:jc w:val="right"/>
              <w:ind w:right="68"/>
              <w:spacing w:after="0" w:line="155" w:lineRule="exact"/>
              <w:rPr>
                <w:sz w:val="20"/>
                <w:szCs w:val="20"/>
                <w:color w:val="auto"/>
              </w:rPr>
            </w:pPr>
            <w:r>
              <w:rPr>
                <w:rFonts w:ascii="Arial" w:cs="Arial" w:eastAsia="Arial" w:hAnsi="Arial"/>
                <w:sz w:val="14"/>
                <w:szCs w:val="14"/>
                <w:color w:val="auto"/>
              </w:rPr>
              <w:t>6</w:t>
            </w:r>
          </w:p>
        </w:tc>
        <w:tc>
          <w:tcPr>
            <w:tcW w:w="740" w:type="dxa"/>
            <w:vAlign w:val="bottom"/>
            <w:tcBorders>
              <w:bottom w:val="single" w:sz="8" w:color="auto"/>
            </w:tcBorders>
          </w:tcPr>
          <w:p>
            <w:pPr>
              <w:jc w:val="right"/>
              <w:ind w:right="88"/>
              <w:spacing w:after="0" w:line="155" w:lineRule="exact"/>
              <w:rPr>
                <w:sz w:val="20"/>
                <w:szCs w:val="20"/>
                <w:color w:val="auto"/>
              </w:rPr>
            </w:pPr>
            <w:r>
              <w:rPr>
                <w:rFonts w:ascii="Arial" w:cs="Arial" w:eastAsia="Arial" w:hAnsi="Arial"/>
                <w:sz w:val="14"/>
                <w:szCs w:val="14"/>
                <w:color w:val="auto"/>
              </w:rPr>
              <w:t>–</w:t>
            </w:r>
          </w:p>
        </w:tc>
        <w:tc>
          <w:tcPr>
            <w:tcW w:w="580" w:type="dxa"/>
            <w:vAlign w:val="bottom"/>
            <w:tcBorders>
              <w:bottom w:val="single" w:sz="8" w:color="auto"/>
            </w:tcBorders>
          </w:tcPr>
          <w:p>
            <w:pPr>
              <w:jc w:val="right"/>
              <w:ind w:right="48"/>
              <w:spacing w:after="0" w:line="155" w:lineRule="exact"/>
              <w:rPr>
                <w:sz w:val="20"/>
                <w:szCs w:val="20"/>
                <w:color w:val="auto"/>
              </w:rPr>
            </w:pPr>
            <w:r>
              <w:rPr>
                <w:rFonts w:ascii="Arial" w:cs="Arial" w:eastAsia="Arial" w:hAnsi="Arial"/>
                <w:sz w:val="14"/>
                <w:szCs w:val="14"/>
                <w:color w:val="auto"/>
              </w:rPr>
              <w:t>7</w:t>
            </w:r>
          </w:p>
        </w:tc>
        <w:tc>
          <w:tcPr>
            <w:tcW w:w="760" w:type="dxa"/>
            <w:vAlign w:val="bottom"/>
            <w:tcBorders>
              <w:bottom w:val="single" w:sz="8" w:color="auto"/>
            </w:tcBorders>
          </w:tcPr>
          <w:p>
            <w:pPr>
              <w:jc w:val="right"/>
              <w:ind w:right="89"/>
              <w:spacing w:after="0" w:line="155" w:lineRule="exact"/>
              <w:rPr>
                <w:sz w:val="20"/>
                <w:szCs w:val="20"/>
                <w:color w:val="auto"/>
              </w:rPr>
            </w:pPr>
            <w:r>
              <w:rPr>
                <w:rFonts w:ascii="Arial" w:cs="Arial" w:eastAsia="Arial" w:hAnsi="Arial"/>
                <w:sz w:val="14"/>
                <w:szCs w:val="14"/>
                <w:color w:val="auto"/>
              </w:rPr>
              <w:t>–</w:t>
            </w:r>
          </w:p>
        </w:tc>
        <w:tc>
          <w:tcPr>
            <w:tcW w:w="660" w:type="dxa"/>
            <w:vAlign w:val="bottom"/>
            <w:tcBorders>
              <w:bottom w:val="single" w:sz="8" w:color="auto"/>
            </w:tcBorders>
          </w:tcPr>
          <w:p>
            <w:pPr>
              <w:jc w:val="right"/>
              <w:ind w:right="28"/>
              <w:spacing w:after="0" w:line="155" w:lineRule="exact"/>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gridSpan w:val="2"/>
          </w:tcPr>
          <w:p>
            <w:pPr>
              <w:jc w:val="right"/>
              <w:ind w:right="100"/>
              <w:spacing w:after="0" w:line="155" w:lineRule="exact"/>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tcPr>
          <w:p>
            <w:pPr>
              <w:jc w:val="right"/>
              <w:ind w:right="28"/>
              <w:spacing w:after="0" w:line="155" w:lineRule="exact"/>
              <w:rPr>
                <w:sz w:val="20"/>
                <w:szCs w:val="20"/>
                <w:color w:val="auto"/>
              </w:rPr>
            </w:pPr>
            <w:r>
              <w:rPr>
                <w:rFonts w:ascii="Arial" w:cs="Arial" w:eastAsia="Arial" w:hAnsi="Arial"/>
                <w:sz w:val="14"/>
                <w:szCs w:val="14"/>
                <w:color w:val="auto"/>
              </w:rPr>
              <w:t>13</w:t>
            </w:r>
          </w:p>
        </w:tc>
        <w:tc>
          <w:tcPr>
            <w:tcW w:w="0" w:type="dxa"/>
            <w:vAlign w:val="bottom"/>
          </w:tcPr>
          <w:p>
            <w:pPr>
              <w:spacing w:after="0"/>
              <w:rPr>
                <w:sz w:val="1"/>
                <w:szCs w:val="1"/>
                <w:color w:val="auto"/>
              </w:rPr>
            </w:pPr>
          </w:p>
        </w:tc>
      </w:tr>
    </w:tbl>
    <w:p>
      <w:pPr>
        <w:spacing w:after="0" w:line="32" w:lineRule="exact"/>
        <w:rPr>
          <w:sz w:val="20"/>
          <w:szCs w:val="20"/>
          <w:color w:val="auto"/>
        </w:rPr>
      </w:pPr>
    </w:p>
    <w:p>
      <w:pPr>
        <w:ind w:left="180" w:hanging="172"/>
        <w:spacing w:after="0"/>
        <w:tabs>
          <w:tab w:leader="none" w:pos="180" w:val="left"/>
        </w:tabs>
        <w:numPr>
          <w:ilvl w:val="0"/>
          <w:numId w:val="155"/>
        </w:numPr>
        <w:rPr>
          <w:rFonts w:ascii="Arial" w:cs="Arial" w:eastAsia="Arial" w:hAnsi="Arial"/>
          <w:sz w:val="11"/>
          <w:szCs w:val="11"/>
          <w:color w:val="auto"/>
        </w:rPr>
      </w:pPr>
      <w:r>
        <w:rPr>
          <w:rFonts w:ascii="Arial" w:cs="Arial" w:eastAsia="Arial" w:hAnsi="Arial"/>
          <w:sz w:val="11"/>
          <w:szCs w:val="11"/>
          <w:color w:val="auto"/>
        </w:rPr>
        <w:t>Includes 161 thousand million standard cubic feet consumed in operations.</w:t>
      </w:r>
    </w:p>
    <w:p>
      <w:pPr>
        <w:ind w:left="180" w:hanging="172"/>
        <w:spacing w:after="0"/>
        <w:tabs>
          <w:tab w:leader="none" w:pos="180" w:val="left"/>
        </w:tabs>
        <w:numPr>
          <w:ilvl w:val="0"/>
          <w:numId w:val="155"/>
        </w:numPr>
        <w:rPr>
          <w:rFonts w:ascii="Arial" w:cs="Arial" w:eastAsia="Arial" w:hAnsi="Arial"/>
          <w:sz w:val="11"/>
          <w:szCs w:val="11"/>
          <w:color w:val="auto"/>
        </w:rPr>
      </w:pPr>
      <w:r>
        <w:rPr>
          <w:rFonts w:ascii="Arial" w:cs="Arial" w:eastAsia="Arial" w:hAnsi="Arial"/>
          <w:sz w:val="11"/>
          <w:szCs w:val="11"/>
          <w:color w:val="auto"/>
        </w:rPr>
        <w:t>Includes 60 thousand million standard cubic feet consumed in operations.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4180" w:type="dxa"/>
            <w:vAlign w:val="bottom"/>
            <w:shd w:val="clear" w:color="auto" w:fill="333333"/>
          </w:tcPr>
          <w:p>
            <w:pPr>
              <w:ind w:left="80"/>
              <w:spacing w:after="0"/>
              <w:rPr>
                <w:sz w:val="20"/>
                <w:szCs w:val="20"/>
                <w:color w:val="auto"/>
              </w:rPr>
            </w:pPr>
            <w:r>
              <w:rPr>
                <w:rFonts w:ascii="Arial" w:cs="Arial" w:eastAsia="Arial" w:hAnsi="Arial"/>
                <w:sz w:val="15"/>
                <w:szCs w:val="15"/>
                <w:b w:val="1"/>
                <w:bCs w:val="1"/>
                <w:color w:val="FFFFFF"/>
              </w:rPr>
              <w:t>PROVED DEVELOPED RESERVES 2012</w:t>
            </w:r>
          </w:p>
        </w:tc>
        <w:tc>
          <w:tcPr>
            <w:tcW w:w="1800" w:type="dxa"/>
            <w:vAlign w:val="bottom"/>
            <w:shd w:val="clear" w:color="auto" w:fill="333333"/>
          </w:tcPr>
          <w:p>
            <w:pPr>
              <w:spacing w:after="0"/>
              <w:rPr>
                <w:sz w:val="15"/>
                <w:szCs w:val="15"/>
                <w:color w:val="auto"/>
              </w:rPr>
            </w:pPr>
          </w:p>
        </w:tc>
        <w:tc>
          <w:tcPr>
            <w:tcW w:w="700" w:type="dxa"/>
            <w:vAlign w:val="bottom"/>
            <w:shd w:val="clear" w:color="auto" w:fill="333333"/>
          </w:tcPr>
          <w:p>
            <w:pPr>
              <w:spacing w:after="0"/>
              <w:rPr>
                <w:sz w:val="15"/>
                <w:szCs w:val="15"/>
                <w:color w:val="auto"/>
              </w:rPr>
            </w:pPr>
          </w:p>
        </w:tc>
        <w:tc>
          <w:tcPr>
            <w:tcW w:w="820" w:type="dxa"/>
            <w:vAlign w:val="bottom"/>
            <w:shd w:val="clear" w:color="auto" w:fill="333333"/>
          </w:tcPr>
          <w:p>
            <w:pPr>
              <w:spacing w:after="0"/>
              <w:rPr>
                <w:sz w:val="15"/>
                <w:szCs w:val="15"/>
                <w:color w:val="auto"/>
              </w:rPr>
            </w:pPr>
          </w:p>
        </w:tc>
        <w:tc>
          <w:tcPr>
            <w:tcW w:w="3920" w:type="dxa"/>
            <w:vAlign w:val="bottom"/>
            <w:gridSpan w:val="6"/>
            <w:shd w:val="clear" w:color="auto" w:fill="333333"/>
          </w:tcPr>
          <w:p>
            <w:pPr>
              <w:jc w:val="right"/>
              <w:ind w:right="150"/>
              <w:spacing w:after="0"/>
              <w:rPr>
                <w:sz w:val="20"/>
                <w:szCs w:val="20"/>
                <w:color w:val="auto"/>
              </w:rPr>
            </w:pPr>
            <w:r>
              <w:rPr>
                <w:rFonts w:ascii="Arial" w:cs="Arial" w:eastAsia="Arial" w:hAnsi="Arial"/>
                <w:sz w:val="15"/>
                <w:szCs w:val="15"/>
                <w:color w:val="FFFFFF"/>
              </w:rPr>
              <w:t>THOUSAND MILLION STANDARD CUBIC FEET</w:t>
            </w:r>
          </w:p>
        </w:tc>
      </w:tr>
      <w:tr>
        <w:trPr>
          <w:trHeight w:val="129"/>
        </w:trPr>
        <w:tc>
          <w:tcPr>
            <w:tcW w:w="418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tcPr>
          <w:p>
            <w:pPr>
              <w:jc w:val="right"/>
              <w:ind w:right="11"/>
              <w:spacing w:after="0" w:line="129" w:lineRule="exact"/>
              <w:rPr>
                <w:sz w:val="20"/>
                <w:szCs w:val="20"/>
                <w:color w:val="auto"/>
              </w:rPr>
            </w:pPr>
            <w:r>
              <w:rPr>
                <w:rFonts w:ascii="Arial" w:cs="Arial" w:eastAsia="Arial" w:hAnsi="Arial"/>
                <w:sz w:val="13"/>
                <w:szCs w:val="13"/>
                <w:color w:val="auto"/>
                <w:w w:val="96"/>
              </w:rPr>
              <w:t>North America</w:t>
            </w:r>
          </w:p>
        </w:tc>
        <w:tc>
          <w:tcPr>
            <w:tcW w:w="840" w:type="dxa"/>
            <w:vAlign w:val="bottom"/>
            <w:gridSpan w:val="2"/>
          </w:tcPr>
          <w:p>
            <w:pPr>
              <w:jc w:val="right"/>
              <w:ind w:right="80"/>
              <w:spacing w:after="0" w:line="129" w:lineRule="exact"/>
              <w:rPr>
                <w:sz w:val="20"/>
                <w:szCs w:val="20"/>
                <w:color w:val="auto"/>
              </w:rPr>
            </w:pPr>
            <w:r>
              <w:rPr>
                <w:rFonts w:ascii="Arial" w:cs="Arial" w:eastAsia="Arial" w:hAnsi="Arial"/>
                <w:sz w:val="13"/>
                <w:szCs w:val="13"/>
                <w:color w:val="auto"/>
              </w:rPr>
              <w:t>South</w:t>
            </w:r>
          </w:p>
        </w:tc>
        <w:tc>
          <w:tcPr>
            <w:tcW w:w="880" w:type="dxa"/>
            <w:vAlign w:val="bottom"/>
          </w:tcPr>
          <w:p>
            <w:pPr>
              <w:spacing w:after="0"/>
              <w:rPr>
                <w:sz w:val="11"/>
                <w:szCs w:val="11"/>
                <w:color w:val="auto"/>
              </w:rPr>
            </w:pPr>
          </w:p>
        </w:tc>
      </w:tr>
      <w:tr>
        <w:trPr>
          <w:trHeight w:val="135"/>
        </w:trPr>
        <w:tc>
          <w:tcPr>
            <w:tcW w:w="4180" w:type="dxa"/>
            <w:vAlign w:val="bottom"/>
          </w:tcPr>
          <w:p>
            <w:pPr>
              <w:spacing w:after="0"/>
              <w:rPr>
                <w:sz w:val="11"/>
                <w:szCs w:val="11"/>
                <w:color w:val="auto"/>
              </w:rPr>
            </w:pPr>
          </w:p>
        </w:tc>
        <w:tc>
          <w:tcPr>
            <w:tcW w:w="1800" w:type="dxa"/>
            <w:vAlign w:val="bottom"/>
          </w:tcPr>
          <w:p>
            <w:pPr>
              <w:jc w:val="right"/>
              <w:ind w:right="90"/>
              <w:spacing w:after="0" w:line="135" w:lineRule="exact"/>
              <w:rPr>
                <w:sz w:val="20"/>
                <w:szCs w:val="20"/>
                <w:color w:val="auto"/>
              </w:rPr>
            </w:pPr>
            <w:r>
              <w:rPr>
                <w:rFonts w:ascii="Arial" w:cs="Arial" w:eastAsia="Arial" w:hAnsi="Arial"/>
                <w:sz w:val="13"/>
                <w:szCs w:val="13"/>
                <w:color w:val="auto"/>
              </w:rPr>
              <w:t>Europe</w:t>
            </w:r>
          </w:p>
        </w:tc>
        <w:tc>
          <w:tcPr>
            <w:tcW w:w="700" w:type="dxa"/>
            <w:vAlign w:val="bottom"/>
          </w:tcPr>
          <w:p>
            <w:pPr>
              <w:jc w:val="right"/>
              <w:ind w:right="90"/>
              <w:spacing w:after="0" w:line="135" w:lineRule="exact"/>
              <w:rPr>
                <w:sz w:val="20"/>
                <w:szCs w:val="20"/>
                <w:color w:val="auto"/>
              </w:rPr>
            </w:pPr>
            <w:r>
              <w:rPr>
                <w:rFonts w:ascii="Arial" w:cs="Arial" w:eastAsia="Arial" w:hAnsi="Arial"/>
                <w:sz w:val="13"/>
                <w:szCs w:val="13"/>
                <w:color w:val="auto"/>
              </w:rPr>
              <w:t>Asia</w:t>
            </w:r>
          </w:p>
        </w:tc>
        <w:tc>
          <w:tcPr>
            <w:tcW w:w="820" w:type="dxa"/>
            <w:vAlign w:val="bottom"/>
          </w:tcPr>
          <w:p>
            <w:pPr>
              <w:jc w:val="right"/>
              <w:ind w:right="110"/>
              <w:spacing w:after="0" w:line="135" w:lineRule="exact"/>
              <w:rPr>
                <w:sz w:val="20"/>
                <w:szCs w:val="20"/>
                <w:color w:val="auto"/>
              </w:rPr>
            </w:pPr>
            <w:r>
              <w:rPr>
                <w:rFonts w:ascii="Arial" w:cs="Arial" w:eastAsia="Arial" w:hAnsi="Arial"/>
                <w:sz w:val="13"/>
                <w:szCs w:val="13"/>
                <w:color w:val="auto"/>
              </w:rPr>
              <w:t>Oceania</w:t>
            </w:r>
          </w:p>
        </w:tc>
        <w:tc>
          <w:tcPr>
            <w:tcW w:w="640" w:type="dxa"/>
            <w:vAlign w:val="bottom"/>
          </w:tcPr>
          <w:p>
            <w:pPr>
              <w:jc w:val="right"/>
              <w:ind w:right="29"/>
              <w:spacing w:after="0" w:line="135" w:lineRule="exact"/>
              <w:rPr>
                <w:sz w:val="20"/>
                <w:szCs w:val="20"/>
                <w:color w:val="auto"/>
              </w:rPr>
            </w:pPr>
            <w:r>
              <w:rPr>
                <w:rFonts w:ascii="Arial" w:cs="Arial" w:eastAsia="Arial" w:hAnsi="Arial"/>
                <w:sz w:val="13"/>
                <w:szCs w:val="13"/>
                <w:color w:val="auto"/>
              </w:rPr>
              <w:t>Africa</w:t>
            </w:r>
          </w:p>
        </w:tc>
        <w:tc>
          <w:tcPr>
            <w:tcW w:w="660" w:type="dxa"/>
            <w:vAlign w:val="bottom"/>
          </w:tcPr>
          <w:p>
            <w:pPr>
              <w:jc w:val="right"/>
              <w:spacing w:after="0" w:line="135" w:lineRule="exact"/>
              <w:rPr>
                <w:sz w:val="20"/>
                <w:szCs w:val="20"/>
                <w:color w:val="auto"/>
              </w:rPr>
            </w:pPr>
            <w:r>
              <w:rPr>
                <w:rFonts w:ascii="Arial" w:cs="Arial" w:eastAsia="Arial" w:hAnsi="Arial"/>
                <w:sz w:val="13"/>
                <w:szCs w:val="13"/>
                <w:color w:val="auto"/>
              </w:rPr>
              <w:t>USA</w:t>
            </w:r>
          </w:p>
        </w:tc>
        <w:tc>
          <w:tcPr>
            <w:tcW w:w="900" w:type="dxa"/>
            <w:vAlign w:val="bottom"/>
          </w:tcPr>
          <w:p>
            <w:pPr>
              <w:jc w:val="right"/>
              <w:ind w:right="11"/>
              <w:spacing w:after="0" w:line="135" w:lineRule="exact"/>
              <w:rPr>
                <w:sz w:val="20"/>
                <w:szCs w:val="20"/>
                <w:color w:val="auto"/>
              </w:rPr>
            </w:pPr>
            <w:r>
              <w:rPr>
                <w:rFonts w:ascii="Arial" w:cs="Arial" w:eastAsia="Arial" w:hAnsi="Arial"/>
                <w:sz w:val="13"/>
                <w:szCs w:val="13"/>
                <w:color w:val="auto"/>
              </w:rPr>
              <w:t>Canada</w:t>
            </w:r>
          </w:p>
        </w:tc>
        <w:tc>
          <w:tcPr>
            <w:tcW w:w="840" w:type="dxa"/>
            <w:vAlign w:val="bottom"/>
            <w:gridSpan w:val="2"/>
          </w:tcPr>
          <w:p>
            <w:pPr>
              <w:jc w:val="right"/>
              <w:ind w:right="80"/>
              <w:spacing w:after="0" w:line="132" w:lineRule="exact"/>
              <w:rPr>
                <w:sz w:val="20"/>
                <w:szCs w:val="20"/>
                <w:color w:val="auto"/>
              </w:rPr>
            </w:pPr>
            <w:r>
              <w:rPr>
                <w:rFonts w:ascii="Arial" w:cs="Arial" w:eastAsia="Arial" w:hAnsi="Arial"/>
                <w:sz w:val="13"/>
                <w:szCs w:val="13"/>
                <w:color w:val="auto"/>
              </w:rPr>
              <w:t>America</w:t>
            </w:r>
          </w:p>
        </w:tc>
        <w:tc>
          <w:tcPr>
            <w:tcW w:w="880" w:type="dxa"/>
            <w:vAlign w:val="bottom"/>
          </w:tcPr>
          <w:p>
            <w:pPr>
              <w:jc w:val="right"/>
              <w:ind w:right="150"/>
              <w:spacing w:after="0" w:line="135" w:lineRule="exact"/>
              <w:rPr>
                <w:sz w:val="20"/>
                <w:szCs w:val="20"/>
                <w:color w:val="auto"/>
              </w:rPr>
            </w:pPr>
            <w:r>
              <w:rPr>
                <w:rFonts w:ascii="Arial" w:cs="Arial" w:eastAsia="Arial" w:hAnsi="Arial"/>
                <w:sz w:val="13"/>
                <w:szCs w:val="13"/>
                <w:color w:val="auto"/>
              </w:rPr>
              <w:t>Total</w:t>
            </w:r>
          </w:p>
        </w:tc>
      </w:tr>
      <w:tr>
        <w:trPr>
          <w:trHeight w:val="160"/>
        </w:trPr>
        <w:tc>
          <w:tcPr>
            <w:tcW w:w="4180" w:type="dxa"/>
            <w:vAlign w:val="bottom"/>
            <w:tcBorders>
              <w:top w:val="single" w:sz="8" w:color="auto"/>
            </w:tcBorders>
          </w:tcPr>
          <w:p>
            <w:pPr>
              <w:spacing w:after="0"/>
              <w:rPr>
                <w:sz w:val="20"/>
                <w:szCs w:val="20"/>
                <w:color w:val="auto"/>
              </w:rPr>
            </w:pPr>
            <w:r>
              <w:rPr>
                <w:rFonts w:ascii="Arial" w:cs="Arial" w:eastAsia="Arial" w:hAnsi="Arial"/>
                <w:sz w:val="14"/>
                <w:szCs w:val="14"/>
                <w:color w:val="auto"/>
              </w:rPr>
              <w:t>Shell subsidiaries</w:t>
            </w:r>
          </w:p>
        </w:tc>
        <w:tc>
          <w:tcPr>
            <w:tcW w:w="180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r>
      <w:tr>
        <w:trPr>
          <w:trHeight w:val="162"/>
        </w:trPr>
        <w:tc>
          <w:tcPr>
            <w:tcW w:w="4180" w:type="dxa"/>
            <w:vAlign w:val="bottom"/>
          </w:tcPr>
          <w:p>
            <w:pPr>
              <w:ind w:left="140"/>
              <w:spacing w:after="0"/>
              <w:rPr>
                <w:sz w:val="20"/>
                <w:szCs w:val="20"/>
                <w:color w:val="auto"/>
              </w:rPr>
            </w:pPr>
            <w:r>
              <w:rPr>
                <w:rFonts w:ascii="Arial" w:cs="Arial" w:eastAsia="Arial" w:hAnsi="Arial"/>
                <w:sz w:val="14"/>
                <w:szCs w:val="14"/>
                <w:color w:val="auto"/>
              </w:rPr>
              <w:t>At January 1</w:t>
            </w:r>
          </w:p>
        </w:tc>
        <w:tc>
          <w:tcPr>
            <w:tcW w:w="1800" w:type="dxa"/>
            <w:vAlign w:val="bottom"/>
          </w:tcPr>
          <w:p>
            <w:pPr>
              <w:jc w:val="right"/>
              <w:ind w:right="90"/>
              <w:spacing w:after="0"/>
              <w:rPr>
                <w:sz w:val="20"/>
                <w:szCs w:val="20"/>
                <w:color w:val="auto"/>
              </w:rPr>
            </w:pPr>
            <w:r>
              <w:rPr>
                <w:rFonts w:ascii="Arial" w:cs="Arial" w:eastAsia="Arial" w:hAnsi="Arial"/>
                <w:sz w:val="14"/>
                <w:szCs w:val="14"/>
                <w:color w:val="auto"/>
              </w:rPr>
              <w:t>4,685</w:t>
            </w:r>
          </w:p>
        </w:tc>
        <w:tc>
          <w:tcPr>
            <w:tcW w:w="700" w:type="dxa"/>
            <w:vAlign w:val="bottom"/>
          </w:tcPr>
          <w:p>
            <w:pPr>
              <w:jc w:val="right"/>
              <w:ind w:right="90"/>
              <w:spacing w:after="0"/>
              <w:rPr>
                <w:sz w:val="20"/>
                <w:szCs w:val="20"/>
                <w:color w:val="auto"/>
              </w:rPr>
            </w:pPr>
            <w:r>
              <w:rPr>
                <w:rFonts w:ascii="Arial" w:cs="Arial" w:eastAsia="Arial" w:hAnsi="Arial"/>
                <w:sz w:val="14"/>
                <w:szCs w:val="14"/>
                <w:color w:val="auto"/>
              </w:rPr>
              <w:t>9,379</w:t>
            </w:r>
          </w:p>
        </w:tc>
        <w:tc>
          <w:tcPr>
            <w:tcW w:w="820" w:type="dxa"/>
            <w:vAlign w:val="bottom"/>
          </w:tcPr>
          <w:p>
            <w:pPr>
              <w:jc w:val="right"/>
              <w:ind w:right="110"/>
              <w:spacing w:after="0"/>
              <w:rPr>
                <w:sz w:val="20"/>
                <w:szCs w:val="20"/>
                <w:color w:val="auto"/>
              </w:rPr>
            </w:pPr>
            <w:r>
              <w:rPr>
                <w:rFonts w:ascii="Arial" w:cs="Arial" w:eastAsia="Arial" w:hAnsi="Arial"/>
                <w:sz w:val="14"/>
                <w:szCs w:val="14"/>
                <w:color w:val="auto"/>
              </w:rPr>
              <w:t>839</w:t>
            </w:r>
          </w:p>
        </w:tc>
        <w:tc>
          <w:tcPr>
            <w:tcW w:w="640" w:type="dxa"/>
            <w:vAlign w:val="bottom"/>
          </w:tcPr>
          <w:p>
            <w:pPr>
              <w:jc w:val="right"/>
              <w:ind w:right="29"/>
              <w:spacing w:after="0"/>
              <w:rPr>
                <w:sz w:val="20"/>
                <w:szCs w:val="20"/>
                <w:color w:val="auto"/>
              </w:rPr>
            </w:pPr>
            <w:r>
              <w:rPr>
                <w:rFonts w:ascii="Arial" w:cs="Arial" w:eastAsia="Arial" w:hAnsi="Arial"/>
                <w:sz w:val="14"/>
                <w:szCs w:val="14"/>
                <w:color w:val="auto"/>
              </w:rPr>
              <w:t>1,112</w:t>
            </w:r>
          </w:p>
        </w:tc>
        <w:tc>
          <w:tcPr>
            <w:tcW w:w="660" w:type="dxa"/>
            <w:vAlign w:val="bottom"/>
          </w:tcPr>
          <w:p>
            <w:pPr>
              <w:jc w:val="right"/>
              <w:spacing w:after="0"/>
              <w:rPr>
                <w:sz w:val="20"/>
                <w:szCs w:val="20"/>
                <w:color w:val="auto"/>
              </w:rPr>
            </w:pPr>
            <w:r>
              <w:rPr>
                <w:rFonts w:ascii="Arial" w:cs="Arial" w:eastAsia="Arial" w:hAnsi="Arial"/>
                <w:sz w:val="14"/>
                <w:szCs w:val="14"/>
                <w:color w:val="auto"/>
              </w:rPr>
              <w:t>1,506</w:t>
            </w:r>
          </w:p>
        </w:tc>
        <w:tc>
          <w:tcPr>
            <w:tcW w:w="900" w:type="dxa"/>
            <w:vAlign w:val="bottom"/>
          </w:tcPr>
          <w:p>
            <w:pPr>
              <w:jc w:val="right"/>
              <w:ind w:right="11"/>
              <w:spacing w:after="0"/>
              <w:rPr>
                <w:sz w:val="20"/>
                <w:szCs w:val="20"/>
                <w:color w:val="auto"/>
              </w:rPr>
            </w:pPr>
            <w:r>
              <w:rPr>
                <w:rFonts w:ascii="Arial" w:cs="Arial" w:eastAsia="Arial" w:hAnsi="Arial"/>
                <w:sz w:val="14"/>
                <w:szCs w:val="14"/>
                <w:color w:val="auto"/>
              </w:rPr>
              <w:t>951</w:t>
            </w:r>
          </w:p>
        </w:tc>
        <w:tc>
          <w:tcPr>
            <w:tcW w:w="840" w:type="dxa"/>
            <w:vAlign w:val="bottom"/>
            <w:gridSpan w:val="2"/>
          </w:tcPr>
          <w:p>
            <w:pPr>
              <w:jc w:val="right"/>
              <w:ind w:right="80"/>
              <w:spacing w:after="0"/>
              <w:rPr>
                <w:sz w:val="20"/>
                <w:szCs w:val="20"/>
                <w:color w:val="auto"/>
              </w:rPr>
            </w:pPr>
            <w:r>
              <w:rPr>
                <w:rFonts w:ascii="Arial" w:cs="Arial" w:eastAsia="Arial" w:hAnsi="Arial"/>
                <w:sz w:val="14"/>
                <w:szCs w:val="14"/>
                <w:color w:val="auto"/>
              </w:rPr>
              <w:t>92</w:t>
            </w:r>
          </w:p>
        </w:tc>
        <w:tc>
          <w:tcPr>
            <w:tcW w:w="880" w:type="dxa"/>
            <w:vAlign w:val="bottom"/>
          </w:tcPr>
          <w:p>
            <w:pPr>
              <w:jc w:val="right"/>
              <w:ind w:right="150"/>
              <w:spacing w:after="0"/>
              <w:rPr>
                <w:sz w:val="20"/>
                <w:szCs w:val="20"/>
                <w:color w:val="auto"/>
              </w:rPr>
            </w:pPr>
            <w:r>
              <w:rPr>
                <w:rFonts w:ascii="Arial" w:cs="Arial" w:eastAsia="Arial" w:hAnsi="Arial"/>
                <w:sz w:val="14"/>
                <w:szCs w:val="14"/>
                <w:color w:val="auto"/>
              </w:rPr>
              <w:t>18,564</w:t>
            </w:r>
          </w:p>
        </w:tc>
      </w:tr>
      <w:tr>
        <w:trPr>
          <w:trHeight w:val="157"/>
        </w:trPr>
        <w:tc>
          <w:tcPr>
            <w:tcW w:w="4180" w:type="dxa"/>
            <w:vAlign w:val="bottom"/>
            <w:tcBorders>
              <w:bottom w:val="single" w:sz="8" w:color="auto"/>
            </w:tcBorders>
          </w:tcPr>
          <w:p>
            <w:pPr>
              <w:ind w:left="140"/>
              <w:spacing w:after="0" w:line="157" w:lineRule="exact"/>
              <w:rPr>
                <w:sz w:val="20"/>
                <w:szCs w:val="20"/>
                <w:color w:val="auto"/>
              </w:rPr>
            </w:pPr>
            <w:r>
              <w:rPr>
                <w:rFonts w:ascii="Arial" w:cs="Arial" w:eastAsia="Arial" w:hAnsi="Arial"/>
                <w:sz w:val="14"/>
                <w:szCs w:val="14"/>
                <w:color w:val="auto"/>
              </w:rPr>
              <w:t>At December 31</w:t>
            </w:r>
          </w:p>
        </w:tc>
        <w:tc>
          <w:tcPr>
            <w:tcW w:w="1800" w:type="dxa"/>
            <w:vAlign w:val="bottom"/>
            <w:tcBorders>
              <w:bottom w:val="single" w:sz="8" w:color="auto"/>
            </w:tcBorders>
          </w:tcPr>
          <w:p>
            <w:pPr>
              <w:jc w:val="right"/>
              <w:ind w:right="90"/>
              <w:spacing w:after="0" w:line="157" w:lineRule="exact"/>
              <w:rPr>
                <w:sz w:val="20"/>
                <w:szCs w:val="20"/>
                <w:color w:val="auto"/>
              </w:rPr>
            </w:pPr>
            <w:r>
              <w:rPr>
                <w:rFonts w:ascii="Arial" w:cs="Arial" w:eastAsia="Arial" w:hAnsi="Arial"/>
                <w:sz w:val="14"/>
                <w:szCs w:val="14"/>
                <w:color w:val="auto"/>
              </w:rPr>
              <w:t>4,192</w:t>
            </w:r>
          </w:p>
        </w:tc>
        <w:tc>
          <w:tcPr>
            <w:tcW w:w="700" w:type="dxa"/>
            <w:vAlign w:val="bottom"/>
            <w:tcBorders>
              <w:bottom w:val="single" w:sz="8" w:color="auto"/>
            </w:tcBorders>
          </w:tcPr>
          <w:p>
            <w:pPr>
              <w:jc w:val="right"/>
              <w:ind w:right="90"/>
              <w:spacing w:after="0" w:line="157" w:lineRule="exact"/>
              <w:rPr>
                <w:sz w:val="20"/>
                <w:szCs w:val="20"/>
                <w:color w:val="auto"/>
              </w:rPr>
            </w:pPr>
            <w:r>
              <w:rPr>
                <w:rFonts w:ascii="Arial" w:cs="Arial" w:eastAsia="Arial" w:hAnsi="Arial"/>
                <w:sz w:val="14"/>
                <w:szCs w:val="14"/>
                <w:color w:val="auto"/>
              </w:rPr>
              <w:t>9,366</w:t>
            </w:r>
          </w:p>
        </w:tc>
        <w:tc>
          <w:tcPr>
            <w:tcW w:w="820" w:type="dxa"/>
            <w:vAlign w:val="bottom"/>
            <w:tcBorders>
              <w:bottom w:val="single" w:sz="8" w:color="auto"/>
            </w:tcBorders>
          </w:tcPr>
          <w:p>
            <w:pPr>
              <w:jc w:val="right"/>
              <w:ind w:right="110"/>
              <w:spacing w:after="0" w:line="157" w:lineRule="exact"/>
              <w:rPr>
                <w:sz w:val="20"/>
                <w:szCs w:val="20"/>
                <w:color w:val="auto"/>
              </w:rPr>
            </w:pPr>
            <w:r>
              <w:rPr>
                <w:rFonts w:ascii="Arial" w:cs="Arial" w:eastAsia="Arial" w:hAnsi="Arial"/>
                <w:sz w:val="14"/>
                <w:szCs w:val="14"/>
                <w:color w:val="auto"/>
              </w:rPr>
              <w:t>843</w:t>
            </w:r>
          </w:p>
        </w:tc>
        <w:tc>
          <w:tcPr>
            <w:tcW w:w="640" w:type="dxa"/>
            <w:vAlign w:val="bottom"/>
            <w:tcBorders>
              <w:bottom w:val="single" w:sz="8" w:color="auto"/>
            </w:tcBorders>
          </w:tcPr>
          <w:p>
            <w:pPr>
              <w:jc w:val="right"/>
              <w:ind w:right="29"/>
              <w:spacing w:after="0" w:line="157" w:lineRule="exact"/>
              <w:rPr>
                <w:sz w:val="20"/>
                <w:szCs w:val="20"/>
                <w:color w:val="auto"/>
              </w:rPr>
            </w:pPr>
            <w:r>
              <w:rPr>
                <w:rFonts w:ascii="Arial" w:cs="Arial" w:eastAsia="Arial" w:hAnsi="Arial"/>
                <w:sz w:val="14"/>
                <w:szCs w:val="14"/>
                <w:color w:val="auto"/>
              </w:rPr>
              <w:t>1,012</w:t>
            </w:r>
          </w:p>
        </w:tc>
        <w:tc>
          <w:tcPr>
            <w:tcW w:w="660" w:type="dxa"/>
            <w:vAlign w:val="bottom"/>
            <w:tcBorders>
              <w:bottom w:val="single" w:sz="8" w:color="auto"/>
            </w:tcBorders>
          </w:tcPr>
          <w:p>
            <w:pPr>
              <w:jc w:val="right"/>
              <w:spacing w:after="0" w:line="157" w:lineRule="exact"/>
              <w:rPr>
                <w:sz w:val="20"/>
                <w:szCs w:val="20"/>
                <w:color w:val="auto"/>
              </w:rPr>
            </w:pPr>
            <w:r>
              <w:rPr>
                <w:rFonts w:ascii="Arial" w:cs="Arial" w:eastAsia="Arial" w:hAnsi="Arial"/>
                <w:sz w:val="14"/>
                <w:szCs w:val="14"/>
                <w:color w:val="auto"/>
              </w:rPr>
              <w:t>1,607</w:t>
            </w:r>
          </w:p>
        </w:tc>
        <w:tc>
          <w:tcPr>
            <w:tcW w:w="900" w:type="dxa"/>
            <w:vAlign w:val="bottom"/>
            <w:tcBorders>
              <w:bottom w:val="single" w:sz="8" w:color="auto"/>
            </w:tcBorders>
          </w:tcPr>
          <w:p>
            <w:pPr>
              <w:jc w:val="right"/>
              <w:ind w:right="11"/>
              <w:spacing w:after="0" w:line="157" w:lineRule="exact"/>
              <w:rPr>
                <w:sz w:val="20"/>
                <w:szCs w:val="20"/>
                <w:color w:val="auto"/>
              </w:rPr>
            </w:pPr>
            <w:r>
              <w:rPr>
                <w:rFonts w:ascii="Arial" w:cs="Arial" w:eastAsia="Arial" w:hAnsi="Arial"/>
                <w:sz w:val="14"/>
                <w:szCs w:val="14"/>
                <w:color w:val="auto"/>
              </w:rPr>
              <w:t>872</w:t>
            </w:r>
          </w:p>
        </w:tc>
        <w:tc>
          <w:tcPr>
            <w:tcW w:w="840" w:type="dxa"/>
            <w:vAlign w:val="bottom"/>
            <w:tcBorders>
              <w:bottom w:val="single" w:sz="8" w:color="auto"/>
            </w:tcBorders>
            <w:gridSpan w:val="2"/>
          </w:tcPr>
          <w:p>
            <w:pPr>
              <w:jc w:val="right"/>
              <w:ind w:right="80"/>
              <w:spacing w:after="0" w:line="157" w:lineRule="exact"/>
              <w:rPr>
                <w:sz w:val="20"/>
                <w:szCs w:val="20"/>
                <w:color w:val="auto"/>
              </w:rPr>
            </w:pPr>
            <w:r>
              <w:rPr>
                <w:rFonts w:ascii="Arial" w:cs="Arial" w:eastAsia="Arial" w:hAnsi="Arial"/>
                <w:sz w:val="14"/>
                <w:szCs w:val="14"/>
                <w:color w:val="auto"/>
              </w:rPr>
              <w:t>81</w:t>
            </w:r>
          </w:p>
        </w:tc>
        <w:tc>
          <w:tcPr>
            <w:tcW w:w="880" w:type="dxa"/>
            <w:vAlign w:val="bottom"/>
            <w:tcBorders>
              <w:bottom w:val="single" w:sz="8" w:color="auto"/>
            </w:tcBorders>
          </w:tcPr>
          <w:p>
            <w:pPr>
              <w:jc w:val="right"/>
              <w:ind w:right="150"/>
              <w:spacing w:after="0" w:line="157" w:lineRule="exact"/>
              <w:rPr>
                <w:sz w:val="20"/>
                <w:szCs w:val="20"/>
                <w:color w:val="auto"/>
              </w:rPr>
            </w:pPr>
            <w:r>
              <w:rPr>
                <w:rFonts w:ascii="Arial" w:cs="Arial" w:eastAsia="Arial" w:hAnsi="Arial"/>
                <w:sz w:val="14"/>
                <w:szCs w:val="14"/>
                <w:color w:val="auto"/>
              </w:rPr>
              <w:t>17,973</w:t>
            </w:r>
          </w:p>
        </w:tc>
      </w:tr>
      <w:tr>
        <w:trPr>
          <w:trHeight w:val="160"/>
        </w:trPr>
        <w:tc>
          <w:tcPr>
            <w:tcW w:w="4180" w:type="dxa"/>
            <w:vAlign w:val="bottom"/>
          </w:tcPr>
          <w:p>
            <w:pPr>
              <w:spacing w:after="0"/>
              <w:rPr>
                <w:sz w:val="20"/>
                <w:szCs w:val="20"/>
                <w:color w:val="auto"/>
              </w:rPr>
            </w:pPr>
            <w:r>
              <w:rPr>
                <w:rFonts w:ascii="Arial" w:cs="Arial" w:eastAsia="Arial" w:hAnsi="Arial"/>
                <w:sz w:val="14"/>
                <w:szCs w:val="14"/>
                <w:color w:val="auto"/>
              </w:rPr>
              <w:t>Shell share of joint ventures and associates</w:t>
            </w:r>
          </w:p>
        </w:tc>
        <w:tc>
          <w:tcPr>
            <w:tcW w:w="18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r>
      <w:tr>
        <w:trPr>
          <w:trHeight w:val="162"/>
        </w:trPr>
        <w:tc>
          <w:tcPr>
            <w:tcW w:w="4180" w:type="dxa"/>
            <w:vAlign w:val="bottom"/>
          </w:tcPr>
          <w:p>
            <w:pPr>
              <w:ind w:left="140"/>
              <w:spacing w:after="0"/>
              <w:rPr>
                <w:sz w:val="20"/>
                <w:szCs w:val="20"/>
                <w:color w:val="auto"/>
              </w:rPr>
            </w:pPr>
            <w:r>
              <w:rPr>
                <w:rFonts w:ascii="Arial" w:cs="Arial" w:eastAsia="Arial" w:hAnsi="Arial"/>
                <w:sz w:val="14"/>
                <w:szCs w:val="14"/>
                <w:color w:val="auto"/>
              </w:rPr>
              <w:t>At January 1</w:t>
            </w:r>
          </w:p>
        </w:tc>
        <w:tc>
          <w:tcPr>
            <w:tcW w:w="1800" w:type="dxa"/>
            <w:vAlign w:val="bottom"/>
          </w:tcPr>
          <w:p>
            <w:pPr>
              <w:jc w:val="right"/>
              <w:ind w:right="90"/>
              <w:spacing w:after="0"/>
              <w:rPr>
                <w:sz w:val="20"/>
                <w:szCs w:val="20"/>
                <w:color w:val="auto"/>
              </w:rPr>
            </w:pPr>
            <w:r>
              <w:rPr>
                <w:rFonts w:ascii="Arial" w:cs="Arial" w:eastAsia="Arial" w:hAnsi="Arial"/>
                <w:sz w:val="14"/>
                <w:szCs w:val="14"/>
                <w:color w:val="auto"/>
              </w:rPr>
              <w:t>7,837</w:t>
            </w:r>
          </w:p>
        </w:tc>
        <w:tc>
          <w:tcPr>
            <w:tcW w:w="700" w:type="dxa"/>
            <w:vAlign w:val="bottom"/>
          </w:tcPr>
          <w:p>
            <w:pPr>
              <w:jc w:val="right"/>
              <w:ind w:right="90"/>
              <w:spacing w:after="0"/>
              <w:rPr>
                <w:sz w:val="20"/>
                <w:szCs w:val="20"/>
                <w:color w:val="auto"/>
              </w:rPr>
            </w:pPr>
            <w:r>
              <w:rPr>
                <w:rFonts w:ascii="Arial" w:cs="Arial" w:eastAsia="Arial" w:hAnsi="Arial"/>
                <w:sz w:val="14"/>
                <w:szCs w:val="14"/>
                <w:color w:val="auto"/>
              </w:rPr>
              <w:t>4,936</w:t>
            </w:r>
          </w:p>
        </w:tc>
        <w:tc>
          <w:tcPr>
            <w:tcW w:w="820" w:type="dxa"/>
            <w:vAlign w:val="bottom"/>
          </w:tcPr>
          <w:p>
            <w:pPr>
              <w:jc w:val="right"/>
              <w:ind w:right="110"/>
              <w:spacing w:after="0"/>
              <w:rPr>
                <w:sz w:val="20"/>
                <w:szCs w:val="20"/>
                <w:color w:val="auto"/>
              </w:rPr>
            </w:pPr>
            <w:r>
              <w:rPr>
                <w:rFonts w:ascii="Arial" w:cs="Arial" w:eastAsia="Arial" w:hAnsi="Arial"/>
                <w:sz w:val="14"/>
                <w:szCs w:val="14"/>
                <w:color w:val="auto"/>
              </w:rPr>
              <w:t>241</w:t>
            </w:r>
          </w:p>
        </w:tc>
        <w:tc>
          <w:tcPr>
            <w:tcW w:w="64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46</w:t>
            </w:r>
          </w:p>
        </w:tc>
        <w:tc>
          <w:tcPr>
            <w:tcW w:w="900" w:type="dxa"/>
            <w:vAlign w:val="bottom"/>
          </w:tcPr>
          <w:p>
            <w:pPr>
              <w:jc w:val="right"/>
              <w:ind w:right="11"/>
              <w:spacing w:after="0"/>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80"/>
              <w:spacing w:after="0"/>
              <w:rPr>
                <w:sz w:val="20"/>
                <w:szCs w:val="20"/>
                <w:color w:val="auto"/>
              </w:rPr>
            </w:pPr>
            <w:r>
              <w:rPr>
                <w:rFonts w:ascii="Arial" w:cs="Arial" w:eastAsia="Arial" w:hAnsi="Arial"/>
                <w:sz w:val="14"/>
                <w:szCs w:val="14"/>
                <w:color w:val="auto"/>
              </w:rPr>
              <w:t>5</w:t>
            </w:r>
          </w:p>
        </w:tc>
        <w:tc>
          <w:tcPr>
            <w:tcW w:w="880" w:type="dxa"/>
            <w:vAlign w:val="bottom"/>
          </w:tcPr>
          <w:p>
            <w:pPr>
              <w:jc w:val="right"/>
              <w:ind w:right="150"/>
              <w:spacing w:after="0"/>
              <w:rPr>
                <w:sz w:val="20"/>
                <w:szCs w:val="20"/>
                <w:color w:val="auto"/>
              </w:rPr>
            </w:pPr>
            <w:r>
              <w:rPr>
                <w:rFonts w:ascii="Arial" w:cs="Arial" w:eastAsia="Arial" w:hAnsi="Arial"/>
                <w:sz w:val="14"/>
                <w:szCs w:val="14"/>
                <w:color w:val="auto"/>
              </w:rPr>
              <w:t>13,065</w:t>
            </w:r>
          </w:p>
        </w:tc>
      </w:tr>
      <w:tr>
        <w:trPr>
          <w:trHeight w:val="157"/>
        </w:trPr>
        <w:tc>
          <w:tcPr>
            <w:tcW w:w="4180" w:type="dxa"/>
            <w:vAlign w:val="bottom"/>
            <w:tcBorders>
              <w:bottom w:val="single" w:sz="8" w:color="auto"/>
            </w:tcBorders>
          </w:tcPr>
          <w:p>
            <w:pPr>
              <w:ind w:left="140"/>
              <w:spacing w:after="0" w:line="157" w:lineRule="exact"/>
              <w:rPr>
                <w:sz w:val="20"/>
                <w:szCs w:val="20"/>
                <w:color w:val="auto"/>
              </w:rPr>
            </w:pPr>
            <w:r>
              <w:rPr>
                <w:rFonts w:ascii="Arial" w:cs="Arial" w:eastAsia="Arial" w:hAnsi="Arial"/>
                <w:sz w:val="14"/>
                <w:szCs w:val="14"/>
                <w:color w:val="auto"/>
              </w:rPr>
              <w:t>At December 31</w:t>
            </w:r>
          </w:p>
        </w:tc>
        <w:tc>
          <w:tcPr>
            <w:tcW w:w="1800" w:type="dxa"/>
            <w:vAlign w:val="bottom"/>
            <w:tcBorders>
              <w:bottom w:val="single" w:sz="8" w:color="auto"/>
            </w:tcBorders>
          </w:tcPr>
          <w:p>
            <w:pPr>
              <w:jc w:val="right"/>
              <w:ind w:right="90"/>
              <w:spacing w:after="0" w:line="157" w:lineRule="exact"/>
              <w:rPr>
                <w:sz w:val="20"/>
                <w:szCs w:val="20"/>
                <w:color w:val="auto"/>
              </w:rPr>
            </w:pPr>
            <w:r>
              <w:rPr>
                <w:rFonts w:ascii="Arial" w:cs="Arial" w:eastAsia="Arial" w:hAnsi="Arial"/>
                <w:sz w:val="14"/>
                <w:szCs w:val="14"/>
                <w:color w:val="auto"/>
              </w:rPr>
              <w:t>7,407</w:t>
            </w:r>
          </w:p>
        </w:tc>
        <w:tc>
          <w:tcPr>
            <w:tcW w:w="700" w:type="dxa"/>
            <w:vAlign w:val="bottom"/>
            <w:tcBorders>
              <w:bottom w:val="single" w:sz="8" w:color="auto"/>
            </w:tcBorders>
          </w:tcPr>
          <w:p>
            <w:pPr>
              <w:jc w:val="right"/>
              <w:ind w:right="90"/>
              <w:spacing w:after="0" w:line="157" w:lineRule="exact"/>
              <w:rPr>
                <w:sz w:val="20"/>
                <w:szCs w:val="20"/>
                <w:color w:val="auto"/>
              </w:rPr>
            </w:pPr>
            <w:r>
              <w:rPr>
                <w:rFonts w:ascii="Arial" w:cs="Arial" w:eastAsia="Arial" w:hAnsi="Arial"/>
                <w:sz w:val="14"/>
                <w:szCs w:val="14"/>
                <w:color w:val="auto"/>
              </w:rPr>
              <w:t>5,088</w:t>
            </w:r>
          </w:p>
        </w:tc>
        <w:tc>
          <w:tcPr>
            <w:tcW w:w="820" w:type="dxa"/>
            <w:vAlign w:val="bottom"/>
            <w:tcBorders>
              <w:bottom w:val="single" w:sz="8" w:color="auto"/>
            </w:tcBorders>
          </w:tcPr>
          <w:p>
            <w:pPr>
              <w:jc w:val="right"/>
              <w:ind w:right="110"/>
              <w:spacing w:after="0" w:line="157" w:lineRule="exact"/>
              <w:rPr>
                <w:sz w:val="20"/>
                <w:szCs w:val="20"/>
                <w:color w:val="auto"/>
              </w:rPr>
            </w:pPr>
            <w:r>
              <w:rPr>
                <w:rFonts w:ascii="Arial" w:cs="Arial" w:eastAsia="Arial" w:hAnsi="Arial"/>
                <w:sz w:val="14"/>
                <w:szCs w:val="14"/>
                <w:color w:val="auto"/>
              </w:rPr>
              <w:t>581</w:t>
            </w:r>
          </w:p>
        </w:tc>
        <w:tc>
          <w:tcPr>
            <w:tcW w:w="640" w:type="dxa"/>
            <w:vAlign w:val="bottom"/>
            <w:tcBorders>
              <w:bottom w:val="single" w:sz="8" w:color="auto"/>
            </w:tcBorders>
          </w:tcPr>
          <w:p>
            <w:pPr>
              <w:jc w:val="right"/>
              <w:ind w:right="29"/>
              <w:spacing w:after="0" w:line="157" w:lineRule="exact"/>
              <w:rPr>
                <w:sz w:val="20"/>
                <w:szCs w:val="20"/>
                <w:color w:val="auto"/>
              </w:rPr>
            </w:pPr>
            <w:r>
              <w:rPr>
                <w:rFonts w:ascii="Arial" w:cs="Arial" w:eastAsia="Arial" w:hAnsi="Arial"/>
                <w:sz w:val="14"/>
                <w:szCs w:val="14"/>
                <w:color w:val="auto"/>
              </w:rPr>
              <w:t>–</w:t>
            </w:r>
          </w:p>
        </w:tc>
        <w:tc>
          <w:tcPr>
            <w:tcW w:w="660" w:type="dxa"/>
            <w:vAlign w:val="bottom"/>
            <w:tcBorders>
              <w:bottom w:val="single" w:sz="8" w:color="auto"/>
            </w:tcBorders>
          </w:tcPr>
          <w:p>
            <w:pPr>
              <w:jc w:val="right"/>
              <w:spacing w:after="0" w:line="157" w:lineRule="exact"/>
              <w:rPr>
                <w:sz w:val="20"/>
                <w:szCs w:val="20"/>
                <w:color w:val="auto"/>
              </w:rPr>
            </w:pPr>
            <w:r>
              <w:rPr>
                <w:rFonts w:ascii="Arial" w:cs="Arial" w:eastAsia="Arial" w:hAnsi="Arial"/>
                <w:sz w:val="14"/>
                <w:szCs w:val="14"/>
                <w:color w:val="auto"/>
              </w:rPr>
              <w:t>67</w:t>
            </w:r>
          </w:p>
        </w:tc>
        <w:tc>
          <w:tcPr>
            <w:tcW w:w="900" w:type="dxa"/>
            <w:vAlign w:val="bottom"/>
            <w:tcBorders>
              <w:bottom w:val="single" w:sz="8" w:color="auto"/>
            </w:tcBorders>
          </w:tcPr>
          <w:p>
            <w:pPr>
              <w:jc w:val="right"/>
              <w:ind w:right="11"/>
              <w:spacing w:after="0" w:line="157" w:lineRule="exact"/>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gridSpan w:val="2"/>
          </w:tcPr>
          <w:p>
            <w:pPr>
              <w:jc w:val="right"/>
              <w:ind w:right="80"/>
              <w:spacing w:after="0" w:line="157" w:lineRule="exact"/>
              <w:rPr>
                <w:sz w:val="20"/>
                <w:szCs w:val="20"/>
                <w:color w:val="auto"/>
              </w:rPr>
            </w:pPr>
            <w:r>
              <w:rPr>
                <w:rFonts w:ascii="Arial" w:cs="Arial" w:eastAsia="Arial" w:hAnsi="Arial"/>
                <w:sz w:val="14"/>
                <w:szCs w:val="14"/>
                <w:color w:val="auto"/>
              </w:rPr>
              <w:t>3</w:t>
            </w:r>
          </w:p>
        </w:tc>
        <w:tc>
          <w:tcPr>
            <w:tcW w:w="880" w:type="dxa"/>
            <w:vAlign w:val="bottom"/>
            <w:tcBorders>
              <w:bottom w:val="single" w:sz="8" w:color="auto"/>
            </w:tcBorders>
          </w:tcPr>
          <w:p>
            <w:pPr>
              <w:jc w:val="right"/>
              <w:ind w:right="150"/>
              <w:spacing w:after="0" w:line="157" w:lineRule="exact"/>
              <w:rPr>
                <w:sz w:val="20"/>
                <w:szCs w:val="20"/>
                <w:color w:val="auto"/>
              </w:rPr>
            </w:pPr>
            <w:r>
              <w:rPr>
                <w:rFonts w:ascii="Arial" w:cs="Arial" w:eastAsia="Arial" w:hAnsi="Arial"/>
                <w:sz w:val="14"/>
                <w:szCs w:val="14"/>
                <w:color w:val="auto"/>
              </w:rPr>
              <w:t>13,146</w:t>
            </w:r>
          </w:p>
        </w:tc>
      </w:tr>
    </w:tbl>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4300" w:type="dxa"/>
            <w:vAlign w:val="bottom"/>
            <w:shd w:val="clear" w:color="auto" w:fill="333333"/>
          </w:tcPr>
          <w:p>
            <w:pPr>
              <w:ind w:left="80"/>
              <w:spacing w:after="0"/>
              <w:rPr>
                <w:sz w:val="20"/>
                <w:szCs w:val="20"/>
                <w:color w:val="auto"/>
              </w:rPr>
            </w:pPr>
            <w:r>
              <w:rPr>
                <w:rFonts w:ascii="Arial" w:cs="Arial" w:eastAsia="Arial" w:hAnsi="Arial"/>
                <w:sz w:val="15"/>
                <w:szCs w:val="15"/>
                <w:b w:val="1"/>
                <w:bCs w:val="1"/>
                <w:color w:val="FFFFFF"/>
              </w:rPr>
              <w:t>PROVED UNDEVELOPED RESERVES 2012</w:t>
            </w:r>
          </w:p>
        </w:tc>
        <w:tc>
          <w:tcPr>
            <w:tcW w:w="1680" w:type="dxa"/>
            <w:vAlign w:val="bottom"/>
            <w:shd w:val="clear" w:color="auto" w:fill="333333"/>
          </w:tcPr>
          <w:p>
            <w:pPr>
              <w:spacing w:after="0"/>
              <w:rPr>
                <w:sz w:val="15"/>
                <w:szCs w:val="15"/>
                <w:color w:val="auto"/>
              </w:rPr>
            </w:pPr>
          </w:p>
        </w:tc>
        <w:tc>
          <w:tcPr>
            <w:tcW w:w="700" w:type="dxa"/>
            <w:vAlign w:val="bottom"/>
            <w:shd w:val="clear" w:color="auto" w:fill="333333"/>
          </w:tcPr>
          <w:p>
            <w:pPr>
              <w:spacing w:after="0"/>
              <w:rPr>
                <w:sz w:val="15"/>
                <w:szCs w:val="15"/>
                <w:color w:val="auto"/>
              </w:rPr>
            </w:pPr>
          </w:p>
        </w:tc>
        <w:tc>
          <w:tcPr>
            <w:tcW w:w="820" w:type="dxa"/>
            <w:vAlign w:val="bottom"/>
            <w:shd w:val="clear" w:color="auto" w:fill="333333"/>
          </w:tcPr>
          <w:p>
            <w:pPr>
              <w:spacing w:after="0"/>
              <w:rPr>
                <w:sz w:val="15"/>
                <w:szCs w:val="15"/>
                <w:color w:val="auto"/>
              </w:rPr>
            </w:pPr>
          </w:p>
        </w:tc>
        <w:tc>
          <w:tcPr>
            <w:tcW w:w="3920" w:type="dxa"/>
            <w:vAlign w:val="bottom"/>
            <w:gridSpan w:val="6"/>
            <w:shd w:val="clear" w:color="auto" w:fill="333333"/>
          </w:tcPr>
          <w:p>
            <w:pPr>
              <w:jc w:val="right"/>
              <w:ind w:right="150"/>
              <w:spacing w:after="0"/>
              <w:rPr>
                <w:sz w:val="20"/>
                <w:szCs w:val="20"/>
                <w:color w:val="auto"/>
              </w:rPr>
            </w:pPr>
            <w:r>
              <w:rPr>
                <w:rFonts w:ascii="Arial" w:cs="Arial" w:eastAsia="Arial" w:hAnsi="Arial"/>
                <w:sz w:val="15"/>
                <w:szCs w:val="15"/>
                <w:color w:val="FFFFFF"/>
              </w:rPr>
              <w:t>THOUSAND MILLION STANDARD CUBIC FEET</w:t>
            </w:r>
          </w:p>
        </w:tc>
      </w:tr>
      <w:tr>
        <w:trPr>
          <w:trHeight w:val="129"/>
        </w:trPr>
        <w:tc>
          <w:tcPr>
            <w:tcW w:w="430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tcPr>
          <w:p>
            <w:pPr>
              <w:jc w:val="right"/>
              <w:ind w:right="11"/>
              <w:spacing w:after="0" w:line="129" w:lineRule="exact"/>
              <w:rPr>
                <w:sz w:val="20"/>
                <w:szCs w:val="20"/>
                <w:color w:val="auto"/>
              </w:rPr>
            </w:pPr>
            <w:r>
              <w:rPr>
                <w:rFonts w:ascii="Arial" w:cs="Arial" w:eastAsia="Arial" w:hAnsi="Arial"/>
                <w:sz w:val="13"/>
                <w:szCs w:val="13"/>
                <w:color w:val="auto"/>
                <w:w w:val="96"/>
              </w:rPr>
              <w:t>North America</w:t>
            </w:r>
          </w:p>
        </w:tc>
        <w:tc>
          <w:tcPr>
            <w:tcW w:w="840" w:type="dxa"/>
            <w:vAlign w:val="bottom"/>
            <w:gridSpan w:val="2"/>
          </w:tcPr>
          <w:p>
            <w:pPr>
              <w:jc w:val="right"/>
              <w:ind w:right="80"/>
              <w:spacing w:after="0" w:line="129" w:lineRule="exact"/>
              <w:rPr>
                <w:sz w:val="20"/>
                <w:szCs w:val="20"/>
                <w:color w:val="auto"/>
              </w:rPr>
            </w:pPr>
            <w:r>
              <w:rPr>
                <w:rFonts w:ascii="Arial" w:cs="Arial" w:eastAsia="Arial" w:hAnsi="Arial"/>
                <w:sz w:val="13"/>
                <w:szCs w:val="13"/>
                <w:color w:val="auto"/>
              </w:rPr>
              <w:t>South</w:t>
            </w:r>
          </w:p>
        </w:tc>
        <w:tc>
          <w:tcPr>
            <w:tcW w:w="880" w:type="dxa"/>
            <w:vAlign w:val="bottom"/>
          </w:tcPr>
          <w:p>
            <w:pPr>
              <w:spacing w:after="0"/>
              <w:rPr>
                <w:sz w:val="11"/>
                <w:szCs w:val="11"/>
                <w:color w:val="auto"/>
              </w:rPr>
            </w:pPr>
          </w:p>
        </w:tc>
      </w:tr>
      <w:tr>
        <w:trPr>
          <w:trHeight w:val="135"/>
        </w:trPr>
        <w:tc>
          <w:tcPr>
            <w:tcW w:w="4300" w:type="dxa"/>
            <w:vAlign w:val="bottom"/>
          </w:tcPr>
          <w:p>
            <w:pPr>
              <w:spacing w:after="0"/>
              <w:rPr>
                <w:sz w:val="11"/>
                <w:szCs w:val="11"/>
                <w:color w:val="auto"/>
              </w:rPr>
            </w:pPr>
          </w:p>
        </w:tc>
        <w:tc>
          <w:tcPr>
            <w:tcW w:w="1680" w:type="dxa"/>
            <w:vAlign w:val="bottom"/>
          </w:tcPr>
          <w:p>
            <w:pPr>
              <w:jc w:val="right"/>
              <w:ind w:right="90"/>
              <w:spacing w:after="0" w:line="135" w:lineRule="exact"/>
              <w:rPr>
                <w:sz w:val="20"/>
                <w:szCs w:val="20"/>
                <w:color w:val="auto"/>
              </w:rPr>
            </w:pPr>
            <w:r>
              <w:rPr>
                <w:rFonts w:ascii="Arial" w:cs="Arial" w:eastAsia="Arial" w:hAnsi="Arial"/>
                <w:sz w:val="13"/>
                <w:szCs w:val="13"/>
                <w:color w:val="auto"/>
              </w:rPr>
              <w:t>Europe</w:t>
            </w:r>
          </w:p>
        </w:tc>
        <w:tc>
          <w:tcPr>
            <w:tcW w:w="700" w:type="dxa"/>
            <w:vAlign w:val="bottom"/>
          </w:tcPr>
          <w:p>
            <w:pPr>
              <w:jc w:val="right"/>
              <w:ind w:right="90"/>
              <w:spacing w:after="0" w:line="135" w:lineRule="exact"/>
              <w:rPr>
                <w:sz w:val="20"/>
                <w:szCs w:val="20"/>
                <w:color w:val="auto"/>
              </w:rPr>
            </w:pPr>
            <w:r>
              <w:rPr>
                <w:rFonts w:ascii="Arial" w:cs="Arial" w:eastAsia="Arial" w:hAnsi="Arial"/>
                <w:sz w:val="13"/>
                <w:szCs w:val="13"/>
                <w:color w:val="auto"/>
              </w:rPr>
              <w:t>Asia</w:t>
            </w:r>
          </w:p>
        </w:tc>
        <w:tc>
          <w:tcPr>
            <w:tcW w:w="820" w:type="dxa"/>
            <w:vAlign w:val="bottom"/>
          </w:tcPr>
          <w:p>
            <w:pPr>
              <w:jc w:val="right"/>
              <w:ind w:right="110"/>
              <w:spacing w:after="0" w:line="135" w:lineRule="exact"/>
              <w:rPr>
                <w:sz w:val="20"/>
                <w:szCs w:val="20"/>
                <w:color w:val="auto"/>
              </w:rPr>
            </w:pPr>
            <w:r>
              <w:rPr>
                <w:rFonts w:ascii="Arial" w:cs="Arial" w:eastAsia="Arial" w:hAnsi="Arial"/>
                <w:sz w:val="13"/>
                <w:szCs w:val="13"/>
                <w:color w:val="auto"/>
              </w:rPr>
              <w:t>Oceania</w:t>
            </w:r>
          </w:p>
        </w:tc>
        <w:tc>
          <w:tcPr>
            <w:tcW w:w="640" w:type="dxa"/>
            <w:vAlign w:val="bottom"/>
          </w:tcPr>
          <w:p>
            <w:pPr>
              <w:jc w:val="right"/>
              <w:ind w:right="29"/>
              <w:spacing w:after="0" w:line="135" w:lineRule="exact"/>
              <w:rPr>
                <w:sz w:val="20"/>
                <w:szCs w:val="20"/>
                <w:color w:val="auto"/>
              </w:rPr>
            </w:pPr>
            <w:r>
              <w:rPr>
                <w:rFonts w:ascii="Arial" w:cs="Arial" w:eastAsia="Arial" w:hAnsi="Arial"/>
                <w:sz w:val="13"/>
                <w:szCs w:val="13"/>
                <w:color w:val="auto"/>
              </w:rPr>
              <w:t>Africa</w:t>
            </w:r>
          </w:p>
        </w:tc>
        <w:tc>
          <w:tcPr>
            <w:tcW w:w="660" w:type="dxa"/>
            <w:vAlign w:val="bottom"/>
          </w:tcPr>
          <w:p>
            <w:pPr>
              <w:jc w:val="right"/>
              <w:spacing w:after="0" w:line="135" w:lineRule="exact"/>
              <w:rPr>
                <w:sz w:val="20"/>
                <w:szCs w:val="20"/>
                <w:color w:val="auto"/>
              </w:rPr>
            </w:pPr>
            <w:r>
              <w:rPr>
                <w:rFonts w:ascii="Arial" w:cs="Arial" w:eastAsia="Arial" w:hAnsi="Arial"/>
                <w:sz w:val="13"/>
                <w:szCs w:val="13"/>
                <w:color w:val="auto"/>
              </w:rPr>
              <w:t>USA</w:t>
            </w:r>
          </w:p>
        </w:tc>
        <w:tc>
          <w:tcPr>
            <w:tcW w:w="900" w:type="dxa"/>
            <w:vAlign w:val="bottom"/>
          </w:tcPr>
          <w:p>
            <w:pPr>
              <w:jc w:val="right"/>
              <w:ind w:right="11"/>
              <w:spacing w:after="0" w:line="135" w:lineRule="exact"/>
              <w:rPr>
                <w:sz w:val="20"/>
                <w:szCs w:val="20"/>
                <w:color w:val="auto"/>
              </w:rPr>
            </w:pPr>
            <w:r>
              <w:rPr>
                <w:rFonts w:ascii="Arial" w:cs="Arial" w:eastAsia="Arial" w:hAnsi="Arial"/>
                <w:sz w:val="13"/>
                <w:szCs w:val="13"/>
                <w:color w:val="auto"/>
              </w:rPr>
              <w:t>Canada</w:t>
            </w:r>
          </w:p>
        </w:tc>
        <w:tc>
          <w:tcPr>
            <w:tcW w:w="840" w:type="dxa"/>
            <w:vAlign w:val="bottom"/>
            <w:gridSpan w:val="2"/>
          </w:tcPr>
          <w:p>
            <w:pPr>
              <w:jc w:val="right"/>
              <w:ind w:right="80"/>
              <w:spacing w:after="0" w:line="132" w:lineRule="exact"/>
              <w:rPr>
                <w:sz w:val="20"/>
                <w:szCs w:val="20"/>
                <w:color w:val="auto"/>
              </w:rPr>
            </w:pPr>
            <w:r>
              <w:rPr>
                <w:rFonts w:ascii="Arial" w:cs="Arial" w:eastAsia="Arial" w:hAnsi="Arial"/>
                <w:sz w:val="13"/>
                <w:szCs w:val="13"/>
                <w:color w:val="auto"/>
              </w:rPr>
              <w:t>America</w:t>
            </w:r>
          </w:p>
        </w:tc>
        <w:tc>
          <w:tcPr>
            <w:tcW w:w="880" w:type="dxa"/>
            <w:vAlign w:val="bottom"/>
          </w:tcPr>
          <w:p>
            <w:pPr>
              <w:jc w:val="right"/>
              <w:ind w:right="150"/>
              <w:spacing w:after="0" w:line="135" w:lineRule="exact"/>
              <w:rPr>
                <w:sz w:val="20"/>
                <w:szCs w:val="20"/>
                <w:color w:val="auto"/>
              </w:rPr>
            </w:pPr>
            <w:r>
              <w:rPr>
                <w:rFonts w:ascii="Arial" w:cs="Arial" w:eastAsia="Arial" w:hAnsi="Arial"/>
                <w:sz w:val="13"/>
                <w:szCs w:val="13"/>
                <w:color w:val="auto"/>
              </w:rPr>
              <w:t>Total</w:t>
            </w:r>
          </w:p>
        </w:tc>
      </w:tr>
      <w:tr>
        <w:trPr>
          <w:trHeight w:val="160"/>
        </w:trPr>
        <w:tc>
          <w:tcPr>
            <w:tcW w:w="4300" w:type="dxa"/>
            <w:vAlign w:val="bottom"/>
            <w:tcBorders>
              <w:top w:val="single" w:sz="8" w:color="auto"/>
            </w:tcBorders>
          </w:tcPr>
          <w:p>
            <w:pPr>
              <w:spacing w:after="0"/>
              <w:rPr>
                <w:sz w:val="20"/>
                <w:szCs w:val="20"/>
                <w:color w:val="auto"/>
              </w:rPr>
            </w:pPr>
            <w:r>
              <w:rPr>
                <w:rFonts w:ascii="Arial" w:cs="Arial" w:eastAsia="Arial" w:hAnsi="Arial"/>
                <w:sz w:val="14"/>
                <w:szCs w:val="14"/>
                <w:color w:val="auto"/>
              </w:rPr>
              <w:t>Shell subsidiaries</w:t>
            </w:r>
          </w:p>
        </w:tc>
        <w:tc>
          <w:tcPr>
            <w:tcW w:w="168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r>
      <w:tr>
        <w:trPr>
          <w:trHeight w:val="162"/>
        </w:trPr>
        <w:tc>
          <w:tcPr>
            <w:tcW w:w="4300" w:type="dxa"/>
            <w:vAlign w:val="bottom"/>
          </w:tcPr>
          <w:p>
            <w:pPr>
              <w:ind w:left="140"/>
              <w:spacing w:after="0"/>
              <w:rPr>
                <w:sz w:val="20"/>
                <w:szCs w:val="20"/>
                <w:color w:val="auto"/>
              </w:rPr>
            </w:pPr>
            <w:r>
              <w:rPr>
                <w:rFonts w:ascii="Arial" w:cs="Arial" w:eastAsia="Arial" w:hAnsi="Arial"/>
                <w:sz w:val="14"/>
                <w:szCs w:val="14"/>
                <w:color w:val="auto"/>
              </w:rPr>
              <w:t>At January 1</w:t>
            </w:r>
          </w:p>
        </w:tc>
        <w:tc>
          <w:tcPr>
            <w:tcW w:w="1680" w:type="dxa"/>
            <w:vAlign w:val="bottom"/>
          </w:tcPr>
          <w:p>
            <w:pPr>
              <w:jc w:val="right"/>
              <w:ind w:right="90"/>
              <w:spacing w:after="0"/>
              <w:rPr>
                <w:sz w:val="20"/>
                <w:szCs w:val="20"/>
                <w:color w:val="auto"/>
              </w:rPr>
            </w:pPr>
            <w:r>
              <w:rPr>
                <w:rFonts w:ascii="Arial" w:cs="Arial" w:eastAsia="Arial" w:hAnsi="Arial"/>
                <w:sz w:val="14"/>
                <w:szCs w:val="14"/>
                <w:color w:val="auto"/>
              </w:rPr>
              <w:t>813</w:t>
            </w:r>
          </w:p>
        </w:tc>
        <w:tc>
          <w:tcPr>
            <w:tcW w:w="700" w:type="dxa"/>
            <w:vAlign w:val="bottom"/>
          </w:tcPr>
          <w:p>
            <w:pPr>
              <w:jc w:val="right"/>
              <w:ind w:right="90"/>
              <w:spacing w:after="0"/>
              <w:rPr>
                <w:sz w:val="20"/>
                <w:szCs w:val="20"/>
                <w:color w:val="auto"/>
              </w:rPr>
            </w:pPr>
            <w:r>
              <w:rPr>
                <w:rFonts w:ascii="Arial" w:cs="Arial" w:eastAsia="Arial" w:hAnsi="Arial"/>
                <w:sz w:val="14"/>
                <w:szCs w:val="14"/>
                <w:color w:val="auto"/>
              </w:rPr>
              <w:t>1,312</w:t>
            </w:r>
          </w:p>
        </w:tc>
        <w:tc>
          <w:tcPr>
            <w:tcW w:w="820" w:type="dxa"/>
            <w:vAlign w:val="bottom"/>
          </w:tcPr>
          <w:p>
            <w:pPr>
              <w:jc w:val="right"/>
              <w:ind w:right="110"/>
              <w:spacing w:after="0"/>
              <w:rPr>
                <w:sz w:val="20"/>
                <w:szCs w:val="20"/>
                <w:color w:val="auto"/>
              </w:rPr>
            </w:pPr>
            <w:r>
              <w:rPr>
                <w:rFonts w:ascii="Arial" w:cs="Arial" w:eastAsia="Arial" w:hAnsi="Arial"/>
                <w:sz w:val="14"/>
                <w:szCs w:val="14"/>
                <w:color w:val="auto"/>
              </w:rPr>
              <w:t>5,113</w:t>
            </w:r>
          </w:p>
        </w:tc>
        <w:tc>
          <w:tcPr>
            <w:tcW w:w="640" w:type="dxa"/>
            <w:vAlign w:val="bottom"/>
          </w:tcPr>
          <w:p>
            <w:pPr>
              <w:jc w:val="right"/>
              <w:ind w:right="29"/>
              <w:spacing w:after="0"/>
              <w:rPr>
                <w:sz w:val="20"/>
                <w:szCs w:val="20"/>
                <w:color w:val="auto"/>
              </w:rPr>
            </w:pPr>
            <w:r>
              <w:rPr>
                <w:rFonts w:ascii="Arial" w:cs="Arial" w:eastAsia="Arial" w:hAnsi="Arial"/>
                <w:sz w:val="14"/>
                <w:szCs w:val="14"/>
                <w:color w:val="auto"/>
              </w:rPr>
              <w:t>1,688</w:t>
            </w:r>
          </w:p>
        </w:tc>
        <w:tc>
          <w:tcPr>
            <w:tcW w:w="660" w:type="dxa"/>
            <w:vAlign w:val="bottom"/>
          </w:tcPr>
          <w:p>
            <w:pPr>
              <w:jc w:val="right"/>
              <w:spacing w:after="0"/>
              <w:rPr>
                <w:sz w:val="20"/>
                <w:szCs w:val="20"/>
                <w:color w:val="auto"/>
              </w:rPr>
            </w:pPr>
            <w:r>
              <w:rPr>
                <w:rFonts w:ascii="Arial" w:cs="Arial" w:eastAsia="Arial" w:hAnsi="Arial"/>
                <w:sz w:val="14"/>
                <w:szCs w:val="14"/>
                <w:color w:val="auto"/>
              </w:rPr>
              <w:t>1,690</w:t>
            </w:r>
          </w:p>
        </w:tc>
        <w:tc>
          <w:tcPr>
            <w:tcW w:w="900" w:type="dxa"/>
            <w:vAlign w:val="bottom"/>
          </w:tcPr>
          <w:p>
            <w:pPr>
              <w:jc w:val="right"/>
              <w:ind w:right="11"/>
              <w:spacing w:after="0"/>
              <w:rPr>
                <w:sz w:val="20"/>
                <w:szCs w:val="20"/>
                <w:color w:val="auto"/>
              </w:rPr>
            </w:pPr>
            <w:r>
              <w:rPr>
                <w:rFonts w:ascii="Arial" w:cs="Arial" w:eastAsia="Arial" w:hAnsi="Arial"/>
                <w:sz w:val="14"/>
                <w:szCs w:val="14"/>
                <w:color w:val="auto"/>
              </w:rPr>
              <w:t>1,094</w:t>
            </w:r>
          </w:p>
        </w:tc>
        <w:tc>
          <w:tcPr>
            <w:tcW w:w="840" w:type="dxa"/>
            <w:vAlign w:val="bottom"/>
            <w:gridSpan w:val="2"/>
          </w:tcPr>
          <w:p>
            <w:pPr>
              <w:jc w:val="right"/>
              <w:ind w:right="80"/>
              <w:spacing w:after="0"/>
              <w:rPr>
                <w:sz w:val="20"/>
                <w:szCs w:val="20"/>
                <w:color w:val="auto"/>
              </w:rPr>
            </w:pPr>
            <w:r>
              <w:rPr>
                <w:rFonts w:ascii="Arial" w:cs="Arial" w:eastAsia="Arial" w:hAnsi="Arial"/>
                <w:sz w:val="14"/>
                <w:szCs w:val="14"/>
                <w:color w:val="auto"/>
              </w:rPr>
              <w:t>12</w:t>
            </w:r>
          </w:p>
        </w:tc>
        <w:tc>
          <w:tcPr>
            <w:tcW w:w="880" w:type="dxa"/>
            <w:vAlign w:val="bottom"/>
          </w:tcPr>
          <w:p>
            <w:pPr>
              <w:jc w:val="right"/>
              <w:ind w:right="150"/>
              <w:spacing w:after="0"/>
              <w:rPr>
                <w:sz w:val="20"/>
                <w:szCs w:val="20"/>
                <w:color w:val="auto"/>
              </w:rPr>
            </w:pPr>
            <w:r>
              <w:rPr>
                <w:rFonts w:ascii="Arial" w:cs="Arial" w:eastAsia="Arial" w:hAnsi="Arial"/>
                <w:sz w:val="14"/>
                <w:szCs w:val="14"/>
                <w:color w:val="auto"/>
              </w:rPr>
              <w:t>11,722</w:t>
            </w:r>
          </w:p>
        </w:tc>
      </w:tr>
      <w:tr>
        <w:trPr>
          <w:trHeight w:val="157"/>
        </w:trPr>
        <w:tc>
          <w:tcPr>
            <w:tcW w:w="4300" w:type="dxa"/>
            <w:vAlign w:val="bottom"/>
            <w:tcBorders>
              <w:bottom w:val="single" w:sz="8" w:color="auto"/>
            </w:tcBorders>
          </w:tcPr>
          <w:p>
            <w:pPr>
              <w:ind w:left="140"/>
              <w:spacing w:after="0" w:line="157" w:lineRule="exact"/>
              <w:rPr>
                <w:sz w:val="20"/>
                <w:szCs w:val="20"/>
                <w:color w:val="auto"/>
              </w:rPr>
            </w:pPr>
            <w:r>
              <w:rPr>
                <w:rFonts w:ascii="Arial" w:cs="Arial" w:eastAsia="Arial" w:hAnsi="Arial"/>
                <w:sz w:val="14"/>
                <w:szCs w:val="14"/>
                <w:color w:val="auto"/>
              </w:rPr>
              <w:t>At December 31</w:t>
            </w:r>
          </w:p>
        </w:tc>
        <w:tc>
          <w:tcPr>
            <w:tcW w:w="1680" w:type="dxa"/>
            <w:vAlign w:val="bottom"/>
            <w:tcBorders>
              <w:bottom w:val="single" w:sz="8" w:color="auto"/>
            </w:tcBorders>
          </w:tcPr>
          <w:p>
            <w:pPr>
              <w:jc w:val="right"/>
              <w:ind w:right="90"/>
              <w:spacing w:after="0" w:line="157" w:lineRule="exact"/>
              <w:rPr>
                <w:sz w:val="20"/>
                <w:szCs w:val="20"/>
                <w:color w:val="auto"/>
              </w:rPr>
            </w:pPr>
            <w:r>
              <w:rPr>
                <w:rFonts w:ascii="Arial" w:cs="Arial" w:eastAsia="Arial" w:hAnsi="Arial"/>
                <w:sz w:val="14"/>
                <w:szCs w:val="14"/>
                <w:color w:val="auto"/>
              </w:rPr>
              <w:t>829</w:t>
            </w:r>
          </w:p>
        </w:tc>
        <w:tc>
          <w:tcPr>
            <w:tcW w:w="700" w:type="dxa"/>
            <w:vAlign w:val="bottom"/>
            <w:tcBorders>
              <w:bottom w:val="single" w:sz="8" w:color="auto"/>
            </w:tcBorders>
          </w:tcPr>
          <w:p>
            <w:pPr>
              <w:jc w:val="right"/>
              <w:ind w:right="90"/>
              <w:spacing w:after="0" w:line="157" w:lineRule="exact"/>
              <w:rPr>
                <w:sz w:val="20"/>
                <w:szCs w:val="20"/>
                <w:color w:val="auto"/>
              </w:rPr>
            </w:pPr>
            <w:r>
              <w:rPr>
                <w:rFonts w:ascii="Arial" w:cs="Arial" w:eastAsia="Arial" w:hAnsi="Arial"/>
                <w:sz w:val="14"/>
                <w:szCs w:val="14"/>
                <w:color w:val="auto"/>
              </w:rPr>
              <w:t>854</w:t>
            </w:r>
          </w:p>
        </w:tc>
        <w:tc>
          <w:tcPr>
            <w:tcW w:w="820" w:type="dxa"/>
            <w:vAlign w:val="bottom"/>
            <w:tcBorders>
              <w:bottom w:val="single" w:sz="8" w:color="auto"/>
            </w:tcBorders>
          </w:tcPr>
          <w:p>
            <w:pPr>
              <w:jc w:val="right"/>
              <w:ind w:right="110"/>
              <w:spacing w:after="0" w:line="157" w:lineRule="exact"/>
              <w:rPr>
                <w:sz w:val="20"/>
                <w:szCs w:val="20"/>
                <w:color w:val="auto"/>
              </w:rPr>
            </w:pPr>
            <w:r>
              <w:rPr>
                <w:rFonts w:ascii="Arial" w:cs="Arial" w:eastAsia="Arial" w:hAnsi="Arial"/>
                <w:sz w:val="14"/>
                <w:szCs w:val="14"/>
                <w:color w:val="auto"/>
              </w:rPr>
              <w:t>4,728</w:t>
            </w:r>
          </w:p>
        </w:tc>
        <w:tc>
          <w:tcPr>
            <w:tcW w:w="640" w:type="dxa"/>
            <w:vAlign w:val="bottom"/>
            <w:tcBorders>
              <w:bottom w:val="single" w:sz="8" w:color="auto"/>
            </w:tcBorders>
          </w:tcPr>
          <w:p>
            <w:pPr>
              <w:jc w:val="right"/>
              <w:ind w:right="29"/>
              <w:spacing w:after="0" w:line="157" w:lineRule="exact"/>
              <w:rPr>
                <w:sz w:val="20"/>
                <w:szCs w:val="20"/>
                <w:color w:val="auto"/>
              </w:rPr>
            </w:pPr>
            <w:r>
              <w:rPr>
                <w:rFonts w:ascii="Arial" w:cs="Arial" w:eastAsia="Arial" w:hAnsi="Arial"/>
                <w:sz w:val="14"/>
                <w:szCs w:val="14"/>
                <w:color w:val="auto"/>
              </w:rPr>
              <w:t>1,229</w:t>
            </w:r>
          </w:p>
        </w:tc>
        <w:tc>
          <w:tcPr>
            <w:tcW w:w="660" w:type="dxa"/>
            <w:vAlign w:val="bottom"/>
            <w:tcBorders>
              <w:bottom w:val="single" w:sz="8" w:color="auto"/>
            </w:tcBorders>
          </w:tcPr>
          <w:p>
            <w:pPr>
              <w:jc w:val="right"/>
              <w:spacing w:after="0" w:line="157" w:lineRule="exact"/>
              <w:rPr>
                <w:sz w:val="20"/>
                <w:szCs w:val="20"/>
                <w:color w:val="auto"/>
              </w:rPr>
            </w:pPr>
            <w:r>
              <w:rPr>
                <w:rFonts w:ascii="Arial" w:cs="Arial" w:eastAsia="Arial" w:hAnsi="Arial"/>
                <w:sz w:val="14"/>
                <w:szCs w:val="14"/>
                <w:color w:val="auto"/>
              </w:rPr>
              <w:t>658</w:t>
            </w:r>
          </w:p>
        </w:tc>
        <w:tc>
          <w:tcPr>
            <w:tcW w:w="900" w:type="dxa"/>
            <w:vAlign w:val="bottom"/>
            <w:tcBorders>
              <w:bottom w:val="single" w:sz="8" w:color="auto"/>
            </w:tcBorders>
          </w:tcPr>
          <w:p>
            <w:pPr>
              <w:jc w:val="right"/>
              <w:ind w:right="11"/>
              <w:spacing w:after="0" w:line="157" w:lineRule="exact"/>
              <w:rPr>
                <w:sz w:val="20"/>
                <w:szCs w:val="20"/>
                <w:color w:val="auto"/>
              </w:rPr>
            </w:pPr>
            <w:r>
              <w:rPr>
                <w:rFonts w:ascii="Arial" w:cs="Arial" w:eastAsia="Arial" w:hAnsi="Arial"/>
                <w:sz w:val="14"/>
                <w:szCs w:val="14"/>
                <w:color w:val="auto"/>
              </w:rPr>
              <w:t>139</w:t>
            </w:r>
          </w:p>
        </w:tc>
        <w:tc>
          <w:tcPr>
            <w:tcW w:w="840" w:type="dxa"/>
            <w:vAlign w:val="bottom"/>
            <w:tcBorders>
              <w:bottom w:val="single" w:sz="8" w:color="auto"/>
            </w:tcBorders>
            <w:gridSpan w:val="2"/>
          </w:tcPr>
          <w:p>
            <w:pPr>
              <w:jc w:val="right"/>
              <w:ind w:right="80"/>
              <w:spacing w:after="0" w:line="157" w:lineRule="exact"/>
              <w:rPr>
                <w:sz w:val="20"/>
                <w:szCs w:val="20"/>
                <w:color w:val="auto"/>
              </w:rPr>
            </w:pPr>
            <w:r>
              <w:rPr>
                <w:rFonts w:ascii="Arial" w:cs="Arial" w:eastAsia="Arial" w:hAnsi="Arial"/>
                <w:sz w:val="14"/>
                <w:szCs w:val="14"/>
                <w:color w:val="auto"/>
              </w:rPr>
              <w:t>14</w:t>
            </w:r>
          </w:p>
        </w:tc>
        <w:tc>
          <w:tcPr>
            <w:tcW w:w="880" w:type="dxa"/>
            <w:vAlign w:val="bottom"/>
            <w:tcBorders>
              <w:bottom w:val="single" w:sz="8" w:color="auto"/>
            </w:tcBorders>
          </w:tcPr>
          <w:p>
            <w:pPr>
              <w:jc w:val="right"/>
              <w:ind w:right="150"/>
              <w:spacing w:after="0" w:line="157" w:lineRule="exact"/>
              <w:rPr>
                <w:sz w:val="20"/>
                <w:szCs w:val="20"/>
                <w:color w:val="auto"/>
              </w:rPr>
            </w:pPr>
            <w:r>
              <w:rPr>
                <w:rFonts w:ascii="Arial" w:cs="Arial" w:eastAsia="Arial" w:hAnsi="Arial"/>
                <w:sz w:val="14"/>
                <w:szCs w:val="14"/>
                <w:color w:val="auto"/>
              </w:rPr>
              <w:t>8,451</w:t>
            </w:r>
          </w:p>
        </w:tc>
      </w:tr>
      <w:tr>
        <w:trPr>
          <w:trHeight w:val="160"/>
        </w:trPr>
        <w:tc>
          <w:tcPr>
            <w:tcW w:w="4300" w:type="dxa"/>
            <w:vAlign w:val="bottom"/>
          </w:tcPr>
          <w:p>
            <w:pPr>
              <w:spacing w:after="0"/>
              <w:rPr>
                <w:sz w:val="20"/>
                <w:szCs w:val="20"/>
                <w:color w:val="auto"/>
              </w:rPr>
            </w:pPr>
            <w:r>
              <w:rPr>
                <w:rFonts w:ascii="Arial" w:cs="Arial" w:eastAsia="Arial" w:hAnsi="Arial"/>
                <w:sz w:val="14"/>
                <w:szCs w:val="14"/>
                <w:color w:val="auto"/>
              </w:rPr>
              <w:t>Shell share of joint ventures and associates</w:t>
            </w:r>
          </w:p>
        </w:tc>
        <w:tc>
          <w:tcPr>
            <w:tcW w:w="1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r>
      <w:tr>
        <w:trPr>
          <w:trHeight w:val="162"/>
        </w:trPr>
        <w:tc>
          <w:tcPr>
            <w:tcW w:w="4300" w:type="dxa"/>
            <w:vAlign w:val="bottom"/>
          </w:tcPr>
          <w:p>
            <w:pPr>
              <w:ind w:left="140"/>
              <w:spacing w:after="0"/>
              <w:rPr>
                <w:sz w:val="20"/>
                <w:szCs w:val="20"/>
                <w:color w:val="auto"/>
              </w:rPr>
            </w:pPr>
            <w:r>
              <w:rPr>
                <w:rFonts w:ascii="Arial" w:cs="Arial" w:eastAsia="Arial" w:hAnsi="Arial"/>
                <w:sz w:val="14"/>
                <w:szCs w:val="14"/>
                <w:color w:val="auto"/>
              </w:rPr>
              <w:t>At January 1</w:t>
            </w:r>
          </w:p>
        </w:tc>
        <w:tc>
          <w:tcPr>
            <w:tcW w:w="1680" w:type="dxa"/>
            <w:vAlign w:val="bottom"/>
          </w:tcPr>
          <w:p>
            <w:pPr>
              <w:jc w:val="right"/>
              <w:ind w:right="90"/>
              <w:spacing w:after="0"/>
              <w:rPr>
                <w:sz w:val="20"/>
                <w:szCs w:val="20"/>
                <w:color w:val="auto"/>
              </w:rPr>
            </w:pPr>
            <w:r>
              <w:rPr>
                <w:rFonts w:ascii="Arial" w:cs="Arial" w:eastAsia="Arial" w:hAnsi="Arial"/>
                <w:sz w:val="14"/>
                <w:szCs w:val="14"/>
                <w:color w:val="auto"/>
              </w:rPr>
              <w:t>2,066</w:t>
            </w:r>
          </w:p>
        </w:tc>
        <w:tc>
          <w:tcPr>
            <w:tcW w:w="700" w:type="dxa"/>
            <w:vAlign w:val="bottom"/>
          </w:tcPr>
          <w:p>
            <w:pPr>
              <w:jc w:val="right"/>
              <w:ind w:right="90"/>
              <w:spacing w:after="0"/>
              <w:rPr>
                <w:sz w:val="20"/>
                <w:szCs w:val="20"/>
                <w:color w:val="auto"/>
              </w:rPr>
            </w:pPr>
            <w:r>
              <w:rPr>
                <w:rFonts w:ascii="Arial" w:cs="Arial" w:eastAsia="Arial" w:hAnsi="Arial"/>
                <w:sz w:val="14"/>
                <w:szCs w:val="14"/>
                <w:color w:val="auto"/>
              </w:rPr>
              <w:t>1,326</w:t>
            </w:r>
          </w:p>
        </w:tc>
        <w:tc>
          <w:tcPr>
            <w:tcW w:w="820" w:type="dxa"/>
            <w:vAlign w:val="bottom"/>
          </w:tcPr>
          <w:p>
            <w:pPr>
              <w:jc w:val="right"/>
              <w:ind w:right="110"/>
              <w:spacing w:after="0"/>
              <w:rPr>
                <w:sz w:val="20"/>
                <w:szCs w:val="20"/>
                <w:color w:val="auto"/>
              </w:rPr>
            </w:pPr>
            <w:r>
              <w:rPr>
                <w:rFonts w:ascii="Arial" w:cs="Arial" w:eastAsia="Arial" w:hAnsi="Arial"/>
                <w:sz w:val="14"/>
                <w:szCs w:val="14"/>
                <w:color w:val="auto"/>
              </w:rPr>
              <w:t>901</w:t>
            </w:r>
          </w:p>
        </w:tc>
        <w:tc>
          <w:tcPr>
            <w:tcW w:w="64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17</w:t>
            </w:r>
          </w:p>
        </w:tc>
        <w:tc>
          <w:tcPr>
            <w:tcW w:w="900" w:type="dxa"/>
            <w:vAlign w:val="bottom"/>
          </w:tcPr>
          <w:p>
            <w:pPr>
              <w:jc w:val="right"/>
              <w:ind w:right="11"/>
              <w:spacing w:after="0"/>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80"/>
              <w:spacing w:after="0"/>
              <w:rPr>
                <w:sz w:val="20"/>
                <w:szCs w:val="20"/>
                <w:color w:val="auto"/>
              </w:rPr>
            </w:pPr>
            <w:r>
              <w:rPr>
                <w:rFonts w:ascii="Arial" w:cs="Arial" w:eastAsia="Arial" w:hAnsi="Arial"/>
                <w:sz w:val="14"/>
                <w:szCs w:val="14"/>
                <w:color w:val="auto"/>
              </w:rPr>
              <w:t>1</w:t>
            </w:r>
          </w:p>
        </w:tc>
        <w:tc>
          <w:tcPr>
            <w:tcW w:w="880" w:type="dxa"/>
            <w:vAlign w:val="bottom"/>
          </w:tcPr>
          <w:p>
            <w:pPr>
              <w:jc w:val="right"/>
              <w:ind w:right="150"/>
              <w:spacing w:after="0"/>
              <w:rPr>
                <w:sz w:val="20"/>
                <w:szCs w:val="20"/>
                <w:color w:val="auto"/>
              </w:rPr>
            </w:pPr>
            <w:r>
              <w:rPr>
                <w:rFonts w:ascii="Arial" w:cs="Arial" w:eastAsia="Arial" w:hAnsi="Arial"/>
                <w:sz w:val="14"/>
                <w:szCs w:val="14"/>
                <w:color w:val="auto"/>
              </w:rPr>
              <w:t>4,311</w:t>
            </w:r>
          </w:p>
        </w:tc>
      </w:tr>
      <w:tr>
        <w:trPr>
          <w:trHeight w:val="157"/>
        </w:trPr>
        <w:tc>
          <w:tcPr>
            <w:tcW w:w="4300" w:type="dxa"/>
            <w:vAlign w:val="bottom"/>
            <w:tcBorders>
              <w:bottom w:val="single" w:sz="8" w:color="auto"/>
            </w:tcBorders>
          </w:tcPr>
          <w:p>
            <w:pPr>
              <w:ind w:left="140"/>
              <w:spacing w:after="0" w:line="157" w:lineRule="exact"/>
              <w:rPr>
                <w:sz w:val="20"/>
                <w:szCs w:val="20"/>
                <w:color w:val="auto"/>
              </w:rPr>
            </w:pPr>
            <w:r>
              <w:rPr>
                <w:rFonts w:ascii="Arial" w:cs="Arial" w:eastAsia="Arial" w:hAnsi="Arial"/>
                <w:sz w:val="14"/>
                <w:szCs w:val="14"/>
                <w:color w:val="auto"/>
              </w:rPr>
              <w:t>At December 31</w:t>
            </w:r>
          </w:p>
        </w:tc>
        <w:tc>
          <w:tcPr>
            <w:tcW w:w="1680" w:type="dxa"/>
            <w:vAlign w:val="bottom"/>
            <w:tcBorders>
              <w:bottom w:val="single" w:sz="8" w:color="auto"/>
            </w:tcBorders>
          </w:tcPr>
          <w:p>
            <w:pPr>
              <w:jc w:val="right"/>
              <w:ind w:right="90"/>
              <w:spacing w:after="0" w:line="157" w:lineRule="exact"/>
              <w:rPr>
                <w:sz w:val="20"/>
                <w:szCs w:val="20"/>
                <w:color w:val="auto"/>
              </w:rPr>
            </w:pPr>
            <w:r>
              <w:rPr>
                <w:rFonts w:ascii="Arial" w:cs="Arial" w:eastAsia="Arial" w:hAnsi="Arial"/>
                <w:sz w:val="14"/>
                <w:szCs w:val="14"/>
                <w:color w:val="auto"/>
              </w:rPr>
              <w:t>1,740</w:t>
            </w:r>
          </w:p>
        </w:tc>
        <w:tc>
          <w:tcPr>
            <w:tcW w:w="700" w:type="dxa"/>
            <w:vAlign w:val="bottom"/>
            <w:tcBorders>
              <w:bottom w:val="single" w:sz="8" w:color="auto"/>
            </w:tcBorders>
          </w:tcPr>
          <w:p>
            <w:pPr>
              <w:jc w:val="right"/>
              <w:ind w:right="90"/>
              <w:spacing w:after="0" w:line="157" w:lineRule="exact"/>
              <w:rPr>
                <w:sz w:val="20"/>
                <w:szCs w:val="20"/>
                <w:color w:val="auto"/>
              </w:rPr>
            </w:pPr>
            <w:r>
              <w:rPr>
                <w:rFonts w:ascii="Arial" w:cs="Arial" w:eastAsia="Arial" w:hAnsi="Arial"/>
                <w:sz w:val="14"/>
                <w:szCs w:val="14"/>
                <w:color w:val="auto"/>
              </w:rPr>
              <w:t>1,003</w:t>
            </w:r>
          </w:p>
        </w:tc>
        <w:tc>
          <w:tcPr>
            <w:tcW w:w="820" w:type="dxa"/>
            <w:vAlign w:val="bottom"/>
            <w:tcBorders>
              <w:bottom w:val="single" w:sz="8" w:color="auto"/>
            </w:tcBorders>
          </w:tcPr>
          <w:p>
            <w:pPr>
              <w:jc w:val="right"/>
              <w:ind w:right="110"/>
              <w:spacing w:after="0" w:line="157" w:lineRule="exact"/>
              <w:rPr>
                <w:sz w:val="20"/>
                <w:szCs w:val="20"/>
                <w:color w:val="auto"/>
              </w:rPr>
            </w:pPr>
            <w:r>
              <w:rPr>
                <w:rFonts w:ascii="Arial" w:cs="Arial" w:eastAsia="Arial" w:hAnsi="Arial"/>
                <w:sz w:val="14"/>
                <w:szCs w:val="14"/>
                <w:color w:val="auto"/>
              </w:rPr>
              <w:t>458</w:t>
            </w:r>
          </w:p>
        </w:tc>
        <w:tc>
          <w:tcPr>
            <w:tcW w:w="640" w:type="dxa"/>
            <w:vAlign w:val="bottom"/>
            <w:tcBorders>
              <w:bottom w:val="single" w:sz="8" w:color="auto"/>
            </w:tcBorders>
          </w:tcPr>
          <w:p>
            <w:pPr>
              <w:jc w:val="right"/>
              <w:ind w:right="29"/>
              <w:spacing w:after="0" w:line="157" w:lineRule="exact"/>
              <w:rPr>
                <w:sz w:val="20"/>
                <w:szCs w:val="20"/>
                <w:color w:val="auto"/>
              </w:rPr>
            </w:pPr>
            <w:r>
              <w:rPr>
                <w:rFonts w:ascii="Arial" w:cs="Arial" w:eastAsia="Arial" w:hAnsi="Arial"/>
                <w:sz w:val="14"/>
                <w:szCs w:val="14"/>
                <w:color w:val="auto"/>
              </w:rPr>
              <w:t>–</w:t>
            </w:r>
          </w:p>
        </w:tc>
        <w:tc>
          <w:tcPr>
            <w:tcW w:w="660" w:type="dxa"/>
            <w:vAlign w:val="bottom"/>
            <w:tcBorders>
              <w:bottom w:val="single" w:sz="8" w:color="auto"/>
            </w:tcBorders>
          </w:tcPr>
          <w:p>
            <w:pPr>
              <w:jc w:val="right"/>
              <w:spacing w:after="0" w:line="157" w:lineRule="exact"/>
              <w:rPr>
                <w:sz w:val="20"/>
                <w:szCs w:val="20"/>
                <w:color w:val="auto"/>
              </w:rPr>
            </w:pPr>
            <w:r>
              <w:rPr>
                <w:rFonts w:ascii="Arial" w:cs="Arial" w:eastAsia="Arial" w:hAnsi="Arial"/>
                <w:sz w:val="14"/>
                <w:szCs w:val="14"/>
                <w:color w:val="auto"/>
              </w:rPr>
              <w:t>20</w:t>
            </w:r>
          </w:p>
        </w:tc>
        <w:tc>
          <w:tcPr>
            <w:tcW w:w="900" w:type="dxa"/>
            <w:vAlign w:val="bottom"/>
            <w:tcBorders>
              <w:bottom w:val="single" w:sz="8" w:color="auto"/>
            </w:tcBorders>
          </w:tcPr>
          <w:p>
            <w:pPr>
              <w:jc w:val="right"/>
              <w:ind w:right="11"/>
              <w:spacing w:after="0" w:line="157" w:lineRule="exact"/>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gridSpan w:val="2"/>
          </w:tcPr>
          <w:p>
            <w:pPr>
              <w:jc w:val="right"/>
              <w:ind w:right="80"/>
              <w:spacing w:after="0" w:line="157" w:lineRule="exact"/>
              <w:rPr>
                <w:sz w:val="20"/>
                <w:szCs w:val="20"/>
                <w:color w:val="auto"/>
              </w:rPr>
            </w:pPr>
            <w:r>
              <w:rPr>
                <w:rFonts w:ascii="Arial" w:cs="Arial" w:eastAsia="Arial" w:hAnsi="Arial"/>
                <w:sz w:val="14"/>
                <w:szCs w:val="14"/>
                <w:color w:val="auto"/>
              </w:rPr>
              <w:t>1</w:t>
            </w:r>
          </w:p>
        </w:tc>
        <w:tc>
          <w:tcPr>
            <w:tcW w:w="880" w:type="dxa"/>
            <w:vAlign w:val="bottom"/>
            <w:tcBorders>
              <w:bottom w:val="single" w:sz="8" w:color="auto"/>
            </w:tcBorders>
          </w:tcPr>
          <w:p>
            <w:pPr>
              <w:jc w:val="right"/>
              <w:ind w:right="150"/>
              <w:spacing w:after="0" w:line="157" w:lineRule="exact"/>
              <w:rPr>
                <w:sz w:val="20"/>
                <w:szCs w:val="20"/>
                <w:color w:val="auto"/>
              </w:rPr>
            </w:pPr>
            <w:r>
              <w:rPr>
                <w:rFonts w:ascii="Arial" w:cs="Arial" w:eastAsia="Arial" w:hAnsi="Arial"/>
                <w:sz w:val="14"/>
                <w:szCs w:val="14"/>
                <w:color w:val="auto"/>
              </w:rPr>
              <w:t>3,222</w:t>
            </w:r>
          </w:p>
        </w:tc>
      </w:tr>
    </w:tbl>
    <w:p>
      <w:pPr>
        <w:sectPr>
          <w:pgSz w:w="11900" w:h="16838" w:orient="portrait"/>
          <w:cols w:equalWidth="0" w:num="1">
            <w:col w:w="11420"/>
          </w:cols>
          <w:pgMar w:left="240" w:top="459" w:right="239" w:bottom="1440" w:gutter="0" w:footer="0" w:header="0"/>
        </w:sectPr>
      </w:pPr>
    </w:p>
    <w:bookmarkStart w:id="152" w:name="page153"/>
    <w:bookmarkEnd w:id="1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6428105</wp:posOffset>
            </wp:positionH>
            <wp:positionV relativeFrom="paragraph">
              <wp:posOffset>300355</wp:posOffset>
            </wp:positionV>
            <wp:extent cx="8890" cy="462915"/>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8890" cy="462915"/>
                    </a:xfrm>
                    <a:prstGeom prst="rect">
                      <a:avLst/>
                    </a:prstGeom>
                    <a:noFill/>
                  </pic:spPr>
                </pic:pic>
              </a:graphicData>
            </a:graphic>
          </wp:anchor>
        </w:drawing>
      </w:r>
    </w:p>
    <w:p>
      <w:pPr>
        <w:spacing w:after="0" w:line="200" w:lineRule="exact"/>
        <w:rPr>
          <w:sz w:val="20"/>
          <w:szCs w:val="20"/>
          <w:color w:val="auto"/>
        </w:rPr>
      </w:pP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565"/>
        </w:trPr>
        <w:tc>
          <w:tcPr>
            <w:tcW w:w="5600" w:type="dxa"/>
            <w:vAlign w:val="bottom"/>
          </w:tcPr>
          <w:p>
            <w:pPr>
              <w:spacing w:after="0"/>
              <w:rPr>
                <w:sz w:val="24"/>
                <w:szCs w:val="24"/>
                <w:color w:val="auto"/>
              </w:rPr>
            </w:pPr>
          </w:p>
        </w:tc>
        <w:tc>
          <w:tcPr>
            <w:tcW w:w="4680" w:type="dxa"/>
            <w:vAlign w:val="bottom"/>
            <w:shd w:val="clear" w:color="auto" w:fill="FF8B00"/>
          </w:tcPr>
          <w:p>
            <w:pPr>
              <w:ind w:left="880"/>
              <w:spacing w:after="0"/>
              <w:rPr>
                <w:sz w:val="20"/>
                <w:szCs w:val="20"/>
                <w:color w:val="auto"/>
              </w:rPr>
            </w:pPr>
            <w:r>
              <w:rPr>
                <w:rFonts w:ascii="Arial" w:cs="Arial" w:eastAsia="Arial" w:hAnsi="Arial"/>
                <w:sz w:val="13"/>
                <w:szCs w:val="13"/>
                <w:color w:val="333333"/>
              </w:rPr>
              <w:t>FINANCIAL STATEMENTS AND SUPPLEMENTS</w:t>
            </w:r>
          </w:p>
        </w:tc>
        <w:tc>
          <w:tcPr>
            <w:tcW w:w="1140" w:type="dxa"/>
            <w:vAlign w:val="bottom"/>
            <w:shd w:val="clear" w:color="auto" w:fill="FF8B00"/>
          </w:tcPr>
          <w:p>
            <w:pPr>
              <w:jc w:val="right"/>
              <w:ind w:right="366"/>
              <w:spacing w:after="0"/>
              <w:rPr>
                <w:sz w:val="20"/>
                <w:szCs w:val="20"/>
                <w:color w:val="auto"/>
              </w:rPr>
            </w:pPr>
            <w:r>
              <w:rPr>
                <w:rFonts w:ascii="Arial" w:cs="Arial" w:eastAsia="Arial" w:hAnsi="Arial"/>
                <w:sz w:val="11"/>
                <w:szCs w:val="11"/>
                <w:b w:val="1"/>
                <w:bCs w:val="1"/>
                <w:color w:val="333333"/>
              </w:rPr>
              <w:t>151</w:t>
            </w:r>
          </w:p>
        </w:tc>
        <w:tc>
          <w:tcPr>
            <w:tcW w:w="0" w:type="dxa"/>
            <w:vAlign w:val="bottom"/>
          </w:tcPr>
          <w:p>
            <w:pPr>
              <w:spacing w:after="0"/>
              <w:rPr>
                <w:sz w:val="1"/>
                <w:szCs w:val="1"/>
                <w:color w:val="auto"/>
              </w:rPr>
            </w:pPr>
          </w:p>
        </w:tc>
      </w:tr>
      <w:tr>
        <w:trPr>
          <w:trHeight w:val="165"/>
        </w:trPr>
        <w:tc>
          <w:tcPr>
            <w:tcW w:w="5600" w:type="dxa"/>
            <w:vAlign w:val="bottom"/>
            <w:vMerge w:val="restart"/>
          </w:tcPr>
          <w:p>
            <w:pPr>
              <w:spacing w:after="0"/>
              <w:rPr>
                <w:sz w:val="20"/>
                <w:szCs w:val="20"/>
                <w:color w:val="auto"/>
              </w:rPr>
            </w:pPr>
            <w:r>
              <w:rPr>
                <w:rFonts w:ascii="Arial" w:cs="Arial" w:eastAsia="Arial" w:hAnsi="Arial"/>
                <w:sz w:val="11"/>
                <w:szCs w:val="11"/>
                <w:color w:val="auto"/>
              </w:rPr>
              <w:t>SHELL ANNUAL REPORT AND FORM 20-F 2014</w:t>
            </w:r>
          </w:p>
        </w:tc>
        <w:tc>
          <w:tcPr>
            <w:tcW w:w="4680" w:type="dxa"/>
            <w:vAlign w:val="bottom"/>
            <w:shd w:val="clear" w:color="auto" w:fill="FF8B00"/>
          </w:tcPr>
          <w:p>
            <w:pPr>
              <w:spacing w:after="0"/>
              <w:rPr>
                <w:sz w:val="14"/>
                <w:szCs w:val="14"/>
                <w:color w:val="auto"/>
              </w:rPr>
            </w:pPr>
          </w:p>
        </w:tc>
        <w:tc>
          <w:tcPr>
            <w:tcW w:w="1140" w:type="dxa"/>
            <w:vAlign w:val="bottom"/>
            <w:shd w:val="clear" w:color="auto" w:fill="FF8B00"/>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5600" w:type="dxa"/>
            <w:vAlign w:val="bottom"/>
            <w:vMerge w:val="continue"/>
          </w:tcPr>
          <w:p>
            <w:pPr>
              <w:spacing w:after="0"/>
              <w:rPr>
                <w:sz w:val="10"/>
                <w:szCs w:val="10"/>
                <w:color w:val="auto"/>
              </w:rPr>
            </w:pPr>
          </w:p>
        </w:tc>
        <w:tc>
          <w:tcPr>
            <w:tcW w:w="4680" w:type="dxa"/>
            <w:vAlign w:val="bottom"/>
          </w:tcPr>
          <w:p>
            <w:pPr>
              <w:ind w:left="880"/>
              <w:spacing w:after="0" w:line="121" w:lineRule="exact"/>
              <w:rPr>
                <w:sz w:val="20"/>
                <w:szCs w:val="20"/>
                <w:color w:val="auto"/>
              </w:rPr>
            </w:pPr>
            <w:r>
              <w:rPr>
                <w:rFonts w:ascii="Arial" w:cs="Arial" w:eastAsia="Arial" w:hAnsi="Arial"/>
                <w:sz w:val="11"/>
                <w:szCs w:val="11"/>
                <w:color w:val="auto"/>
              </w:rPr>
              <w:t>SUPPLEMENTARY INFORMATION – OIL AND GAS (UNAUDITED)</w:t>
            </w: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rPr>
          <w:sz w:val="20"/>
          <w:szCs w:val="20"/>
          <w:color w:val="auto"/>
        </w:rPr>
      </w:pPr>
      <w:r>
        <w:rPr>
          <w:rFonts w:ascii="Arial" w:cs="Arial" w:eastAsia="Arial" w:hAnsi="Arial"/>
          <w:sz w:val="18"/>
          <w:szCs w:val="18"/>
          <w:color w:val="auto"/>
        </w:rPr>
        <w:t>STANDARDISED MEASURE OF DISCOUNTED FUTURE CASH FLOWS</w:t>
      </w:r>
    </w:p>
    <w:p>
      <w:pPr>
        <w:spacing w:after="0" w:line="1" w:lineRule="exact"/>
        <w:rPr>
          <w:sz w:val="20"/>
          <w:szCs w:val="20"/>
          <w:color w:val="auto"/>
        </w:rPr>
      </w:pPr>
    </w:p>
    <w:p>
      <w:pPr>
        <w:spacing w:after="0" w:line="244" w:lineRule="auto"/>
        <w:rPr>
          <w:sz w:val="20"/>
          <w:szCs w:val="20"/>
          <w:color w:val="auto"/>
        </w:rPr>
      </w:pPr>
      <w:r>
        <w:rPr>
          <w:rFonts w:ascii="Arial" w:cs="Arial" w:eastAsia="Arial" w:hAnsi="Arial"/>
          <w:sz w:val="14"/>
          <w:szCs w:val="14"/>
          <w:color w:val="auto"/>
        </w:rPr>
        <w:t xml:space="preserve">The SEC’s Form 20-F requires the disclosure of a standardised measure of discounted future cash flows, relating to proved reserves’ quantities and based on a 12-month unweighted arithmetic average sales price, calculated on a first-day-of-the-month basis, with cost factors based on those at the end of each year, currently enacted tax rates and a 10% annual discount factor. In our view, the information so calculated does not provide a reliable measure of future cash flows from proved reserves, nor does it permit a realistic comparison to be made of one entity with another because the assumptions used cannot reflect the varying circumstances within each entity. In addition, a substantial but unknown proportion of future real cash flows from oil and gas production activities is expected to derive from reserves which have already been discovered, but which cannot yet be regarded as proved. As a result of the adoption of IFRS 11 </w:t>
      </w:r>
      <w:r>
        <w:rPr>
          <w:rFonts w:ascii="Arial" w:cs="Arial" w:eastAsia="Arial" w:hAnsi="Arial"/>
          <w:sz w:val="14"/>
          <w:szCs w:val="14"/>
          <w:i w:val="1"/>
          <w:iCs w:val="1"/>
          <w:color w:val="auto"/>
        </w:rPr>
        <w:t>Joint Arrangements</w:t>
      </w:r>
      <w:r>
        <w:rPr>
          <w:rFonts w:ascii="Arial" w:cs="Arial" w:eastAsia="Arial" w:hAnsi="Arial"/>
          <w:sz w:val="14"/>
          <w:szCs w:val="14"/>
          <w:color w:val="auto"/>
        </w:rPr>
        <w:t>, the discounted future cash flows of certain entities in Asia and the USA which were previously presented under the Shell share of joint ventures and associates are presented under Shell subsidiaries with effect from 2013.</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color w:val="auto"/>
        </w:rPr>
        <w:t>Standardised measure of discounted future cash flows relating to proved reserves at December 31</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4620" w:type="dxa"/>
            <w:vAlign w:val="bottom"/>
            <w:shd w:val="clear" w:color="auto" w:fill="333333"/>
          </w:tcPr>
          <w:p>
            <w:pPr>
              <w:ind w:left="80"/>
              <w:spacing w:after="0"/>
              <w:rPr>
                <w:sz w:val="20"/>
                <w:szCs w:val="20"/>
                <w:color w:val="auto"/>
              </w:rPr>
            </w:pPr>
            <w:r>
              <w:rPr>
                <w:rFonts w:ascii="Arial" w:cs="Arial" w:eastAsia="Arial" w:hAnsi="Arial"/>
                <w:sz w:val="15"/>
                <w:szCs w:val="15"/>
                <w:b w:val="1"/>
                <w:bCs w:val="1"/>
                <w:color w:val="FFFFFF"/>
              </w:rPr>
              <w:t>2014 – SHELL SUBSIDIARIES</w:t>
            </w:r>
          </w:p>
        </w:tc>
        <w:tc>
          <w:tcPr>
            <w:tcW w:w="1440" w:type="dxa"/>
            <w:vAlign w:val="bottom"/>
            <w:shd w:val="clear" w:color="auto" w:fill="333333"/>
          </w:tcPr>
          <w:p>
            <w:pPr>
              <w:spacing w:after="0"/>
              <w:rPr>
                <w:sz w:val="14"/>
                <w:szCs w:val="14"/>
                <w:color w:val="auto"/>
              </w:rPr>
            </w:pPr>
          </w:p>
        </w:tc>
        <w:tc>
          <w:tcPr>
            <w:tcW w:w="740" w:type="dxa"/>
            <w:vAlign w:val="bottom"/>
            <w:shd w:val="clear" w:color="auto" w:fill="333333"/>
          </w:tcPr>
          <w:p>
            <w:pPr>
              <w:spacing w:after="0"/>
              <w:rPr>
                <w:sz w:val="14"/>
                <w:szCs w:val="14"/>
                <w:color w:val="auto"/>
              </w:rPr>
            </w:pPr>
          </w:p>
        </w:tc>
        <w:tc>
          <w:tcPr>
            <w:tcW w:w="640" w:type="dxa"/>
            <w:vAlign w:val="bottom"/>
            <w:shd w:val="clear" w:color="auto" w:fill="333333"/>
          </w:tcPr>
          <w:p>
            <w:pPr>
              <w:spacing w:after="0"/>
              <w:rPr>
                <w:sz w:val="14"/>
                <w:szCs w:val="14"/>
                <w:color w:val="auto"/>
              </w:rPr>
            </w:pPr>
          </w:p>
        </w:tc>
        <w:tc>
          <w:tcPr>
            <w:tcW w:w="660" w:type="dxa"/>
            <w:vAlign w:val="bottom"/>
            <w:shd w:val="clear" w:color="auto" w:fill="333333"/>
          </w:tcPr>
          <w:p>
            <w:pPr>
              <w:spacing w:after="0"/>
              <w:rPr>
                <w:sz w:val="14"/>
                <w:szCs w:val="14"/>
                <w:color w:val="auto"/>
              </w:rPr>
            </w:pPr>
          </w:p>
        </w:tc>
        <w:tc>
          <w:tcPr>
            <w:tcW w:w="680" w:type="dxa"/>
            <w:vAlign w:val="bottom"/>
            <w:shd w:val="clear" w:color="auto" w:fill="333333"/>
          </w:tcPr>
          <w:p>
            <w:pPr>
              <w:spacing w:after="0"/>
              <w:rPr>
                <w:sz w:val="14"/>
                <w:szCs w:val="14"/>
                <w:color w:val="auto"/>
              </w:rPr>
            </w:pPr>
          </w:p>
        </w:tc>
        <w:tc>
          <w:tcPr>
            <w:tcW w:w="740" w:type="dxa"/>
            <w:vAlign w:val="bottom"/>
            <w:shd w:val="clear" w:color="auto" w:fill="333333"/>
          </w:tcPr>
          <w:p>
            <w:pPr>
              <w:spacing w:after="0"/>
              <w:rPr>
                <w:sz w:val="14"/>
                <w:szCs w:val="14"/>
                <w:color w:val="auto"/>
              </w:rPr>
            </w:pPr>
          </w:p>
        </w:tc>
        <w:tc>
          <w:tcPr>
            <w:tcW w:w="740" w:type="dxa"/>
            <w:vAlign w:val="bottom"/>
            <w:shd w:val="clear" w:color="auto" w:fill="333333"/>
          </w:tcPr>
          <w:p>
            <w:pPr>
              <w:spacing w:after="0"/>
              <w:rPr>
                <w:sz w:val="14"/>
                <w:szCs w:val="14"/>
                <w:color w:val="auto"/>
              </w:rPr>
            </w:pPr>
          </w:p>
        </w:tc>
        <w:tc>
          <w:tcPr>
            <w:tcW w:w="140" w:type="dxa"/>
            <w:vAlign w:val="bottom"/>
            <w:shd w:val="clear" w:color="auto" w:fill="333333"/>
          </w:tcPr>
          <w:p>
            <w:pPr>
              <w:spacing w:after="0"/>
              <w:rPr>
                <w:sz w:val="14"/>
                <w:szCs w:val="14"/>
                <w:color w:val="auto"/>
              </w:rPr>
            </w:pPr>
          </w:p>
        </w:tc>
        <w:tc>
          <w:tcPr>
            <w:tcW w:w="1020" w:type="dxa"/>
            <w:vAlign w:val="bottom"/>
            <w:shd w:val="clear" w:color="auto" w:fill="333333"/>
          </w:tcPr>
          <w:p>
            <w:pPr>
              <w:jc w:val="right"/>
              <w:ind w:right="28"/>
              <w:spacing w:after="0"/>
              <w:rPr>
                <w:sz w:val="20"/>
                <w:szCs w:val="20"/>
                <w:color w:val="auto"/>
              </w:rPr>
            </w:pPr>
            <w:r>
              <w:rPr>
                <w:rFonts w:ascii="Arial" w:cs="Arial" w:eastAsia="Arial" w:hAnsi="Arial"/>
                <w:sz w:val="15"/>
                <w:szCs w:val="15"/>
                <w:color w:val="FFFFFF"/>
              </w:rPr>
              <w:t>$ MILLION</w:t>
            </w:r>
          </w:p>
        </w:tc>
      </w:tr>
      <w:tr>
        <w:trPr>
          <w:trHeight w:val="129"/>
        </w:trPr>
        <w:tc>
          <w:tcPr>
            <w:tcW w:w="462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20" w:type="dxa"/>
            <w:vAlign w:val="bottom"/>
            <w:tcBorders>
              <w:bottom w:val="single" w:sz="8" w:color="auto"/>
            </w:tcBorders>
            <w:gridSpan w:val="2"/>
          </w:tcPr>
          <w:p>
            <w:pPr>
              <w:jc w:val="right"/>
              <w:ind w:right="9"/>
              <w:spacing w:after="0" w:line="129" w:lineRule="exact"/>
              <w:rPr>
                <w:sz w:val="20"/>
                <w:szCs w:val="20"/>
                <w:color w:val="auto"/>
              </w:rPr>
            </w:pPr>
            <w:r>
              <w:rPr>
                <w:rFonts w:ascii="Arial" w:cs="Arial" w:eastAsia="Arial" w:hAnsi="Arial"/>
                <w:sz w:val="13"/>
                <w:szCs w:val="13"/>
                <w:color w:val="auto"/>
              </w:rPr>
              <w:t>North America</w:t>
            </w:r>
          </w:p>
        </w:tc>
        <w:tc>
          <w:tcPr>
            <w:tcW w:w="880" w:type="dxa"/>
            <w:vAlign w:val="bottom"/>
            <w:gridSpan w:val="2"/>
          </w:tcPr>
          <w:p>
            <w:pPr>
              <w:jc w:val="right"/>
              <w:ind w:right="140"/>
              <w:spacing w:after="0" w:line="129" w:lineRule="exact"/>
              <w:rPr>
                <w:sz w:val="20"/>
                <w:szCs w:val="20"/>
                <w:color w:val="auto"/>
              </w:rPr>
            </w:pPr>
            <w:r>
              <w:rPr>
                <w:rFonts w:ascii="Arial" w:cs="Arial" w:eastAsia="Arial" w:hAnsi="Arial"/>
                <w:sz w:val="13"/>
                <w:szCs w:val="13"/>
                <w:color w:val="auto"/>
              </w:rPr>
              <w:t>South</w:t>
            </w:r>
          </w:p>
        </w:tc>
        <w:tc>
          <w:tcPr>
            <w:tcW w:w="1020" w:type="dxa"/>
            <w:vAlign w:val="bottom"/>
          </w:tcPr>
          <w:p>
            <w:pPr>
              <w:spacing w:after="0"/>
              <w:rPr>
                <w:sz w:val="11"/>
                <w:szCs w:val="11"/>
                <w:color w:val="auto"/>
              </w:rPr>
            </w:pPr>
          </w:p>
        </w:tc>
      </w:tr>
      <w:tr>
        <w:trPr>
          <w:trHeight w:val="135"/>
        </w:trPr>
        <w:tc>
          <w:tcPr>
            <w:tcW w:w="4620" w:type="dxa"/>
            <w:vAlign w:val="bottom"/>
            <w:tcBorders>
              <w:bottom w:val="single" w:sz="8" w:color="auto"/>
            </w:tcBorders>
          </w:tcPr>
          <w:p>
            <w:pPr>
              <w:spacing w:after="0"/>
              <w:rPr>
                <w:sz w:val="11"/>
                <w:szCs w:val="11"/>
                <w:color w:val="auto"/>
              </w:rPr>
            </w:pPr>
          </w:p>
        </w:tc>
        <w:tc>
          <w:tcPr>
            <w:tcW w:w="1440" w:type="dxa"/>
            <w:vAlign w:val="bottom"/>
            <w:tcBorders>
              <w:bottom w:val="single" w:sz="8" w:color="auto"/>
            </w:tcBorders>
          </w:tcPr>
          <w:p>
            <w:pPr>
              <w:jc w:val="right"/>
              <w:ind w:right="29"/>
              <w:spacing w:after="0" w:line="135" w:lineRule="exact"/>
              <w:rPr>
                <w:sz w:val="20"/>
                <w:szCs w:val="20"/>
                <w:color w:val="auto"/>
              </w:rPr>
            </w:pPr>
            <w:r>
              <w:rPr>
                <w:rFonts w:ascii="Arial" w:cs="Arial" w:eastAsia="Arial" w:hAnsi="Arial"/>
                <w:sz w:val="13"/>
                <w:szCs w:val="13"/>
                <w:color w:val="auto"/>
              </w:rPr>
              <w:t>Europe</w:t>
            </w:r>
          </w:p>
        </w:tc>
        <w:tc>
          <w:tcPr>
            <w:tcW w:w="740" w:type="dxa"/>
            <w:vAlign w:val="bottom"/>
            <w:tcBorders>
              <w:bottom w:val="single" w:sz="8" w:color="auto"/>
            </w:tcBorders>
          </w:tcPr>
          <w:p>
            <w:pPr>
              <w:jc w:val="right"/>
              <w:ind w:right="69"/>
              <w:spacing w:after="0" w:line="135" w:lineRule="exact"/>
              <w:rPr>
                <w:sz w:val="20"/>
                <w:szCs w:val="20"/>
                <w:color w:val="auto"/>
              </w:rPr>
            </w:pPr>
            <w:r>
              <w:rPr>
                <w:rFonts w:ascii="Arial" w:cs="Arial" w:eastAsia="Arial" w:hAnsi="Arial"/>
                <w:sz w:val="13"/>
                <w:szCs w:val="13"/>
                <w:color w:val="auto"/>
              </w:rPr>
              <w:t>Asia</w:t>
            </w:r>
          </w:p>
        </w:tc>
        <w:tc>
          <w:tcPr>
            <w:tcW w:w="640" w:type="dxa"/>
            <w:vAlign w:val="bottom"/>
            <w:tcBorders>
              <w:bottom w:val="single" w:sz="8" w:color="auto"/>
            </w:tcBorders>
          </w:tcPr>
          <w:p>
            <w:pPr>
              <w:jc w:val="right"/>
              <w:ind w:right="29"/>
              <w:spacing w:after="0" w:line="135" w:lineRule="exact"/>
              <w:rPr>
                <w:sz w:val="20"/>
                <w:szCs w:val="20"/>
                <w:color w:val="auto"/>
              </w:rPr>
            </w:pPr>
            <w:r>
              <w:rPr>
                <w:rFonts w:ascii="Arial" w:cs="Arial" w:eastAsia="Arial" w:hAnsi="Arial"/>
                <w:sz w:val="13"/>
                <w:szCs w:val="13"/>
                <w:color w:val="auto"/>
              </w:rPr>
              <w:t>Oceania</w:t>
            </w:r>
          </w:p>
        </w:tc>
        <w:tc>
          <w:tcPr>
            <w:tcW w:w="660" w:type="dxa"/>
            <w:vAlign w:val="bottom"/>
            <w:tcBorders>
              <w:bottom w:val="single" w:sz="8" w:color="auto"/>
            </w:tcBorders>
          </w:tcPr>
          <w:p>
            <w:pPr>
              <w:jc w:val="right"/>
              <w:ind w:right="49"/>
              <w:spacing w:after="0" w:line="135" w:lineRule="exact"/>
              <w:rPr>
                <w:sz w:val="20"/>
                <w:szCs w:val="20"/>
                <w:color w:val="auto"/>
              </w:rPr>
            </w:pPr>
            <w:r>
              <w:rPr>
                <w:rFonts w:ascii="Arial" w:cs="Arial" w:eastAsia="Arial" w:hAnsi="Arial"/>
                <w:sz w:val="13"/>
                <w:szCs w:val="13"/>
                <w:color w:val="auto"/>
              </w:rPr>
              <w:t>Africa</w:t>
            </w:r>
          </w:p>
        </w:tc>
        <w:tc>
          <w:tcPr>
            <w:tcW w:w="680" w:type="dxa"/>
            <w:vAlign w:val="bottom"/>
            <w:tcBorders>
              <w:bottom w:val="single" w:sz="8" w:color="auto"/>
            </w:tcBorders>
          </w:tcPr>
          <w:p>
            <w:pPr>
              <w:jc w:val="right"/>
              <w:ind w:right="70"/>
              <w:spacing w:after="0" w:line="135" w:lineRule="exact"/>
              <w:rPr>
                <w:sz w:val="20"/>
                <w:szCs w:val="20"/>
                <w:color w:val="auto"/>
              </w:rPr>
            </w:pPr>
            <w:r>
              <w:rPr>
                <w:rFonts w:ascii="Arial" w:cs="Arial" w:eastAsia="Arial" w:hAnsi="Arial"/>
                <w:sz w:val="13"/>
                <w:szCs w:val="13"/>
                <w:color w:val="auto"/>
              </w:rPr>
              <w:t>USA</w:t>
            </w:r>
          </w:p>
        </w:tc>
        <w:tc>
          <w:tcPr>
            <w:tcW w:w="740" w:type="dxa"/>
            <w:vAlign w:val="bottom"/>
            <w:tcBorders>
              <w:bottom w:val="single" w:sz="8" w:color="auto"/>
            </w:tcBorders>
          </w:tcPr>
          <w:p>
            <w:pPr>
              <w:jc w:val="right"/>
              <w:ind w:right="9"/>
              <w:spacing w:after="0" w:line="135" w:lineRule="exact"/>
              <w:rPr>
                <w:sz w:val="20"/>
                <w:szCs w:val="20"/>
                <w:color w:val="auto"/>
              </w:rPr>
            </w:pPr>
            <w:r>
              <w:rPr>
                <w:rFonts w:ascii="Arial" w:cs="Arial" w:eastAsia="Arial" w:hAnsi="Arial"/>
                <w:sz w:val="13"/>
                <w:szCs w:val="13"/>
                <w:color w:val="auto"/>
              </w:rPr>
              <w:t>Canada</w:t>
            </w:r>
          </w:p>
        </w:tc>
        <w:tc>
          <w:tcPr>
            <w:tcW w:w="740" w:type="dxa"/>
            <w:vAlign w:val="bottom"/>
            <w:tcBorders>
              <w:bottom w:val="single" w:sz="8" w:color="auto"/>
            </w:tcBorders>
          </w:tcPr>
          <w:p>
            <w:pPr>
              <w:jc w:val="right"/>
              <w:spacing w:after="0" w:line="132" w:lineRule="exact"/>
              <w:rPr>
                <w:sz w:val="20"/>
                <w:szCs w:val="20"/>
                <w:color w:val="auto"/>
              </w:rPr>
            </w:pPr>
            <w:r>
              <w:rPr>
                <w:rFonts w:ascii="Arial" w:cs="Arial" w:eastAsia="Arial" w:hAnsi="Arial"/>
                <w:sz w:val="13"/>
                <w:szCs w:val="13"/>
                <w:color w:val="auto"/>
              </w:rPr>
              <w:t>America</w:t>
            </w:r>
          </w:p>
        </w:tc>
        <w:tc>
          <w:tcPr>
            <w:tcW w:w="140" w:type="dxa"/>
            <w:vAlign w:val="bottom"/>
          </w:tcPr>
          <w:p>
            <w:pPr>
              <w:spacing w:after="0"/>
              <w:rPr>
                <w:sz w:val="11"/>
                <w:szCs w:val="11"/>
                <w:color w:val="auto"/>
              </w:rPr>
            </w:pPr>
          </w:p>
        </w:tc>
        <w:tc>
          <w:tcPr>
            <w:tcW w:w="1020" w:type="dxa"/>
            <w:vAlign w:val="bottom"/>
            <w:tcBorders>
              <w:bottom w:val="single" w:sz="8" w:color="auto"/>
            </w:tcBorders>
          </w:tcPr>
          <w:p>
            <w:pPr>
              <w:jc w:val="right"/>
              <w:ind w:right="28"/>
              <w:spacing w:after="0" w:line="135" w:lineRule="exact"/>
              <w:rPr>
                <w:sz w:val="20"/>
                <w:szCs w:val="20"/>
                <w:color w:val="auto"/>
              </w:rPr>
            </w:pPr>
            <w:r>
              <w:rPr>
                <w:rFonts w:ascii="Arial" w:cs="Arial" w:eastAsia="Arial" w:hAnsi="Arial"/>
                <w:sz w:val="13"/>
                <w:szCs w:val="13"/>
                <w:color w:val="auto"/>
              </w:rPr>
              <w:t>Total</w:t>
            </w:r>
          </w:p>
        </w:tc>
      </w:tr>
      <w:tr>
        <w:trPr>
          <w:trHeight w:val="160"/>
        </w:trPr>
        <w:tc>
          <w:tcPr>
            <w:tcW w:w="4620" w:type="dxa"/>
            <w:vAlign w:val="bottom"/>
          </w:tcPr>
          <w:p>
            <w:pPr>
              <w:spacing w:after="0"/>
              <w:rPr>
                <w:sz w:val="20"/>
                <w:szCs w:val="20"/>
                <w:color w:val="auto"/>
              </w:rPr>
            </w:pPr>
            <w:r>
              <w:rPr>
                <w:rFonts w:ascii="Arial" w:cs="Arial" w:eastAsia="Arial" w:hAnsi="Arial"/>
                <w:sz w:val="14"/>
                <w:szCs w:val="14"/>
                <w:color w:val="auto"/>
              </w:rPr>
              <w:t>Future cash inflows</w:t>
            </w:r>
          </w:p>
        </w:tc>
        <w:tc>
          <w:tcPr>
            <w:tcW w:w="1440" w:type="dxa"/>
            <w:vAlign w:val="bottom"/>
          </w:tcPr>
          <w:p>
            <w:pPr>
              <w:jc w:val="right"/>
              <w:ind w:right="29"/>
              <w:spacing w:after="0"/>
              <w:rPr>
                <w:sz w:val="20"/>
                <w:szCs w:val="20"/>
                <w:color w:val="auto"/>
              </w:rPr>
            </w:pPr>
            <w:r>
              <w:rPr>
                <w:rFonts w:ascii="Arial" w:cs="Arial" w:eastAsia="Arial" w:hAnsi="Arial"/>
                <w:sz w:val="14"/>
                <w:szCs w:val="14"/>
                <w:color w:val="auto"/>
              </w:rPr>
              <w:t>94,201</w:t>
            </w:r>
          </w:p>
        </w:tc>
        <w:tc>
          <w:tcPr>
            <w:tcW w:w="740" w:type="dxa"/>
            <w:vAlign w:val="bottom"/>
          </w:tcPr>
          <w:p>
            <w:pPr>
              <w:jc w:val="right"/>
              <w:ind w:right="69"/>
              <w:spacing w:after="0"/>
              <w:rPr>
                <w:sz w:val="20"/>
                <w:szCs w:val="20"/>
                <w:color w:val="auto"/>
              </w:rPr>
            </w:pPr>
            <w:r>
              <w:rPr>
                <w:rFonts w:ascii="Arial" w:cs="Arial" w:eastAsia="Arial" w:hAnsi="Arial"/>
                <w:sz w:val="14"/>
                <w:szCs w:val="14"/>
                <w:color w:val="auto"/>
              </w:rPr>
              <w:t>154,314</w:t>
            </w:r>
          </w:p>
        </w:tc>
        <w:tc>
          <w:tcPr>
            <w:tcW w:w="640" w:type="dxa"/>
            <w:vAlign w:val="bottom"/>
          </w:tcPr>
          <w:p>
            <w:pPr>
              <w:jc w:val="right"/>
              <w:ind w:right="29"/>
              <w:spacing w:after="0"/>
              <w:rPr>
                <w:sz w:val="20"/>
                <w:szCs w:val="20"/>
                <w:color w:val="auto"/>
              </w:rPr>
            </w:pPr>
            <w:r>
              <w:rPr>
                <w:rFonts w:ascii="Arial" w:cs="Arial" w:eastAsia="Arial" w:hAnsi="Arial"/>
                <w:sz w:val="14"/>
                <w:szCs w:val="14"/>
                <w:color w:val="auto"/>
              </w:rPr>
              <w:t>59,407</w:t>
            </w:r>
          </w:p>
        </w:tc>
        <w:tc>
          <w:tcPr>
            <w:tcW w:w="660" w:type="dxa"/>
            <w:vAlign w:val="bottom"/>
          </w:tcPr>
          <w:p>
            <w:pPr>
              <w:jc w:val="right"/>
              <w:ind w:right="49"/>
              <w:spacing w:after="0"/>
              <w:rPr>
                <w:sz w:val="20"/>
                <w:szCs w:val="20"/>
                <w:color w:val="auto"/>
              </w:rPr>
            </w:pPr>
            <w:r>
              <w:rPr>
                <w:rFonts w:ascii="Arial" w:cs="Arial" w:eastAsia="Arial" w:hAnsi="Arial"/>
                <w:sz w:val="14"/>
                <w:szCs w:val="14"/>
                <w:color w:val="auto"/>
              </w:rPr>
              <w:t>77,122</w:t>
            </w:r>
          </w:p>
        </w:tc>
        <w:tc>
          <w:tcPr>
            <w:tcW w:w="680" w:type="dxa"/>
            <w:vAlign w:val="bottom"/>
          </w:tcPr>
          <w:p>
            <w:pPr>
              <w:jc w:val="right"/>
              <w:ind w:right="70"/>
              <w:spacing w:after="0"/>
              <w:rPr>
                <w:sz w:val="20"/>
                <w:szCs w:val="20"/>
                <w:color w:val="auto"/>
              </w:rPr>
            </w:pPr>
            <w:r>
              <w:rPr>
                <w:rFonts w:ascii="Arial" w:cs="Arial" w:eastAsia="Arial" w:hAnsi="Arial"/>
                <w:sz w:val="14"/>
                <w:szCs w:val="14"/>
                <w:color w:val="auto"/>
              </w:rPr>
              <w:t>72,537</w:t>
            </w:r>
          </w:p>
        </w:tc>
        <w:tc>
          <w:tcPr>
            <w:tcW w:w="740" w:type="dxa"/>
            <w:vAlign w:val="bottom"/>
          </w:tcPr>
          <w:p>
            <w:pPr>
              <w:jc w:val="right"/>
              <w:ind w:right="9"/>
              <w:spacing w:after="0"/>
              <w:rPr>
                <w:sz w:val="20"/>
                <w:szCs w:val="20"/>
                <w:color w:val="auto"/>
              </w:rPr>
            </w:pPr>
            <w:r>
              <w:rPr>
                <w:rFonts w:ascii="Arial" w:cs="Arial" w:eastAsia="Arial" w:hAnsi="Arial"/>
                <w:sz w:val="14"/>
                <w:szCs w:val="14"/>
                <w:color w:val="auto"/>
              </w:rPr>
              <w:t>190,183</w:t>
            </w:r>
          </w:p>
        </w:tc>
        <w:tc>
          <w:tcPr>
            <w:tcW w:w="880" w:type="dxa"/>
            <w:vAlign w:val="bottom"/>
            <w:gridSpan w:val="2"/>
          </w:tcPr>
          <w:p>
            <w:pPr>
              <w:jc w:val="right"/>
              <w:ind w:right="140"/>
              <w:spacing w:after="0"/>
              <w:rPr>
                <w:sz w:val="20"/>
                <w:szCs w:val="20"/>
                <w:color w:val="auto"/>
              </w:rPr>
            </w:pPr>
            <w:r>
              <w:rPr>
                <w:rFonts w:ascii="Arial" w:cs="Arial" w:eastAsia="Arial" w:hAnsi="Arial"/>
                <w:sz w:val="14"/>
                <w:szCs w:val="14"/>
                <w:color w:val="auto"/>
              </w:rPr>
              <w:t>5,573</w:t>
            </w: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653,337</w:t>
            </w:r>
          </w:p>
        </w:tc>
      </w:tr>
      <w:tr>
        <w:trPr>
          <w:trHeight w:val="162"/>
        </w:trPr>
        <w:tc>
          <w:tcPr>
            <w:tcW w:w="4620" w:type="dxa"/>
            <w:vAlign w:val="bottom"/>
          </w:tcPr>
          <w:p>
            <w:pPr>
              <w:spacing w:after="0"/>
              <w:rPr>
                <w:sz w:val="20"/>
                <w:szCs w:val="20"/>
                <w:color w:val="auto"/>
              </w:rPr>
            </w:pPr>
            <w:r>
              <w:rPr>
                <w:rFonts w:ascii="Arial" w:cs="Arial" w:eastAsia="Arial" w:hAnsi="Arial"/>
                <w:sz w:val="14"/>
                <w:szCs w:val="14"/>
                <w:color w:val="auto"/>
              </w:rPr>
              <w:t>Future production costs</w:t>
            </w:r>
          </w:p>
        </w:tc>
        <w:tc>
          <w:tcPr>
            <w:tcW w:w="1440" w:type="dxa"/>
            <w:vAlign w:val="bottom"/>
          </w:tcPr>
          <w:p>
            <w:pPr>
              <w:jc w:val="right"/>
              <w:ind w:right="29"/>
              <w:spacing w:after="0"/>
              <w:rPr>
                <w:sz w:val="20"/>
                <w:szCs w:val="20"/>
                <w:color w:val="auto"/>
              </w:rPr>
            </w:pPr>
            <w:r>
              <w:rPr>
                <w:rFonts w:ascii="Arial" w:cs="Arial" w:eastAsia="Arial" w:hAnsi="Arial"/>
                <w:sz w:val="14"/>
                <w:szCs w:val="14"/>
                <w:color w:val="auto"/>
              </w:rPr>
              <w:t>37,786</w:t>
            </w:r>
          </w:p>
        </w:tc>
        <w:tc>
          <w:tcPr>
            <w:tcW w:w="740" w:type="dxa"/>
            <w:vAlign w:val="bottom"/>
          </w:tcPr>
          <w:p>
            <w:pPr>
              <w:jc w:val="right"/>
              <w:ind w:right="69"/>
              <w:spacing w:after="0"/>
              <w:rPr>
                <w:sz w:val="20"/>
                <w:szCs w:val="20"/>
                <w:color w:val="auto"/>
              </w:rPr>
            </w:pPr>
            <w:r>
              <w:rPr>
                <w:rFonts w:ascii="Arial" w:cs="Arial" w:eastAsia="Arial" w:hAnsi="Arial"/>
                <w:sz w:val="14"/>
                <w:szCs w:val="14"/>
                <w:color w:val="auto"/>
              </w:rPr>
              <w:t>36,742</w:t>
            </w:r>
          </w:p>
        </w:tc>
        <w:tc>
          <w:tcPr>
            <w:tcW w:w="640" w:type="dxa"/>
            <w:vAlign w:val="bottom"/>
          </w:tcPr>
          <w:p>
            <w:pPr>
              <w:jc w:val="right"/>
              <w:ind w:right="29"/>
              <w:spacing w:after="0"/>
              <w:rPr>
                <w:sz w:val="20"/>
                <w:szCs w:val="20"/>
                <w:color w:val="auto"/>
              </w:rPr>
            </w:pPr>
            <w:r>
              <w:rPr>
                <w:rFonts w:ascii="Arial" w:cs="Arial" w:eastAsia="Arial" w:hAnsi="Arial"/>
                <w:sz w:val="14"/>
                <w:szCs w:val="14"/>
                <w:color w:val="auto"/>
              </w:rPr>
              <w:t>14,296</w:t>
            </w:r>
          </w:p>
        </w:tc>
        <w:tc>
          <w:tcPr>
            <w:tcW w:w="660" w:type="dxa"/>
            <w:vAlign w:val="bottom"/>
          </w:tcPr>
          <w:p>
            <w:pPr>
              <w:jc w:val="right"/>
              <w:ind w:right="49"/>
              <w:spacing w:after="0"/>
              <w:rPr>
                <w:sz w:val="20"/>
                <w:szCs w:val="20"/>
                <w:color w:val="auto"/>
              </w:rPr>
            </w:pPr>
            <w:r>
              <w:rPr>
                <w:rFonts w:ascii="Arial" w:cs="Arial" w:eastAsia="Arial" w:hAnsi="Arial"/>
                <w:sz w:val="14"/>
                <w:szCs w:val="14"/>
                <w:color w:val="auto"/>
              </w:rPr>
              <w:t>29,978</w:t>
            </w:r>
          </w:p>
        </w:tc>
        <w:tc>
          <w:tcPr>
            <w:tcW w:w="680" w:type="dxa"/>
            <w:vAlign w:val="bottom"/>
          </w:tcPr>
          <w:p>
            <w:pPr>
              <w:jc w:val="right"/>
              <w:ind w:right="70"/>
              <w:spacing w:after="0"/>
              <w:rPr>
                <w:sz w:val="20"/>
                <w:szCs w:val="20"/>
                <w:color w:val="auto"/>
              </w:rPr>
            </w:pPr>
            <w:r>
              <w:rPr>
                <w:rFonts w:ascii="Arial" w:cs="Arial" w:eastAsia="Arial" w:hAnsi="Arial"/>
                <w:sz w:val="14"/>
                <w:szCs w:val="14"/>
                <w:color w:val="auto"/>
              </w:rPr>
              <w:t>42,784</w:t>
            </w:r>
          </w:p>
        </w:tc>
        <w:tc>
          <w:tcPr>
            <w:tcW w:w="740" w:type="dxa"/>
            <w:vAlign w:val="bottom"/>
          </w:tcPr>
          <w:p>
            <w:pPr>
              <w:jc w:val="right"/>
              <w:ind w:right="9"/>
              <w:spacing w:after="0"/>
              <w:rPr>
                <w:sz w:val="20"/>
                <w:szCs w:val="20"/>
                <w:color w:val="auto"/>
              </w:rPr>
            </w:pPr>
            <w:r>
              <w:rPr>
                <w:rFonts w:ascii="Arial" w:cs="Arial" w:eastAsia="Arial" w:hAnsi="Arial"/>
                <w:sz w:val="14"/>
                <w:szCs w:val="14"/>
                <w:color w:val="auto"/>
              </w:rPr>
              <w:t>100,074</w:t>
            </w:r>
          </w:p>
        </w:tc>
        <w:tc>
          <w:tcPr>
            <w:tcW w:w="880" w:type="dxa"/>
            <w:vAlign w:val="bottom"/>
            <w:gridSpan w:val="2"/>
          </w:tcPr>
          <w:p>
            <w:pPr>
              <w:jc w:val="right"/>
              <w:ind w:right="140"/>
              <w:spacing w:after="0"/>
              <w:rPr>
                <w:sz w:val="20"/>
                <w:szCs w:val="20"/>
                <w:color w:val="auto"/>
              </w:rPr>
            </w:pPr>
            <w:r>
              <w:rPr>
                <w:rFonts w:ascii="Arial" w:cs="Arial" w:eastAsia="Arial" w:hAnsi="Arial"/>
                <w:sz w:val="14"/>
                <w:szCs w:val="14"/>
                <w:color w:val="auto"/>
              </w:rPr>
              <w:t>3,173</w:t>
            </w: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264,833</w:t>
            </w:r>
          </w:p>
        </w:tc>
      </w:tr>
      <w:tr>
        <w:trPr>
          <w:trHeight w:val="162"/>
        </w:trPr>
        <w:tc>
          <w:tcPr>
            <w:tcW w:w="4620" w:type="dxa"/>
            <w:vAlign w:val="bottom"/>
          </w:tcPr>
          <w:p>
            <w:pPr>
              <w:spacing w:after="0"/>
              <w:rPr>
                <w:sz w:val="20"/>
                <w:szCs w:val="20"/>
                <w:color w:val="auto"/>
              </w:rPr>
            </w:pPr>
            <w:r>
              <w:rPr>
                <w:rFonts w:ascii="Arial" w:cs="Arial" w:eastAsia="Arial" w:hAnsi="Arial"/>
                <w:sz w:val="14"/>
                <w:szCs w:val="14"/>
                <w:color w:val="auto"/>
              </w:rPr>
              <w:t>Future development costs</w:t>
            </w:r>
          </w:p>
        </w:tc>
        <w:tc>
          <w:tcPr>
            <w:tcW w:w="1440" w:type="dxa"/>
            <w:vAlign w:val="bottom"/>
          </w:tcPr>
          <w:p>
            <w:pPr>
              <w:jc w:val="right"/>
              <w:ind w:right="29"/>
              <w:spacing w:after="0"/>
              <w:rPr>
                <w:sz w:val="20"/>
                <w:szCs w:val="20"/>
                <w:color w:val="auto"/>
              </w:rPr>
            </w:pPr>
            <w:r>
              <w:rPr>
                <w:rFonts w:ascii="Arial" w:cs="Arial" w:eastAsia="Arial" w:hAnsi="Arial"/>
                <w:sz w:val="14"/>
                <w:szCs w:val="14"/>
                <w:color w:val="auto"/>
              </w:rPr>
              <w:t>14,154</w:t>
            </w:r>
          </w:p>
        </w:tc>
        <w:tc>
          <w:tcPr>
            <w:tcW w:w="740" w:type="dxa"/>
            <w:vAlign w:val="bottom"/>
          </w:tcPr>
          <w:p>
            <w:pPr>
              <w:jc w:val="right"/>
              <w:ind w:right="69"/>
              <w:spacing w:after="0"/>
              <w:rPr>
                <w:sz w:val="20"/>
                <w:szCs w:val="20"/>
                <w:color w:val="auto"/>
              </w:rPr>
            </w:pPr>
            <w:r>
              <w:rPr>
                <w:rFonts w:ascii="Arial" w:cs="Arial" w:eastAsia="Arial" w:hAnsi="Arial"/>
                <w:sz w:val="14"/>
                <w:szCs w:val="14"/>
                <w:color w:val="auto"/>
              </w:rPr>
              <w:t>15,729</w:t>
            </w:r>
          </w:p>
        </w:tc>
        <w:tc>
          <w:tcPr>
            <w:tcW w:w="640" w:type="dxa"/>
            <w:vAlign w:val="bottom"/>
          </w:tcPr>
          <w:p>
            <w:pPr>
              <w:jc w:val="right"/>
              <w:ind w:right="29"/>
              <w:spacing w:after="0"/>
              <w:rPr>
                <w:sz w:val="20"/>
                <w:szCs w:val="20"/>
                <w:color w:val="auto"/>
              </w:rPr>
            </w:pPr>
            <w:r>
              <w:rPr>
                <w:rFonts w:ascii="Arial" w:cs="Arial" w:eastAsia="Arial" w:hAnsi="Arial"/>
                <w:sz w:val="14"/>
                <w:szCs w:val="14"/>
                <w:color w:val="auto"/>
              </w:rPr>
              <w:t>12,629</w:t>
            </w:r>
          </w:p>
        </w:tc>
        <w:tc>
          <w:tcPr>
            <w:tcW w:w="660" w:type="dxa"/>
            <w:vAlign w:val="bottom"/>
          </w:tcPr>
          <w:p>
            <w:pPr>
              <w:jc w:val="right"/>
              <w:ind w:right="49"/>
              <w:spacing w:after="0"/>
              <w:rPr>
                <w:sz w:val="20"/>
                <w:szCs w:val="20"/>
                <w:color w:val="auto"/>
              </w:rPr>
            </w:pPr>
            <w:r>
              <w:rPr>
                <w:rFonts w:ascii="Arial" w:cs="Arial" w:eastAsia="Arial" w:hAnsi="Arial"/>
                <w:sz w:val="14"/>
                <w:szCs w:val="14"/>
                <w:color w:val="auto"/>
              </w:rPr>
              <w:t>7,214</w:t>
            </w:r>
          </w:p>
        </w:tc>
        <w:tc>
          <w:tcPr>
            <w:tcW w:w="680" w:type="dxa"/>
            <w:vAlign w:val="bottom"/>
          </w:tcPr>
          <w:p>
            <w:pPr>
              <w:jc w:val="right"/>
              <w:ind w:right="70"/>
              <w:spacing w:after="0"/>
              <w:rPr>
                <w:sz w:val="20"/>
                <w:szCs w:val="20"/>
                <w:color w:val="auto"/>
              </w:rPr>
            </w:pPr>
            <w:r>
              <w:rPr>
                <w:rFonts w:ascii="Arial" w:cs="Arial" w:eastAsia="Arial" w:hAnsi="Arial"/>
                <w:sz w:val="14"/>
                <w:szCs w:val="14"/>
                <w:color w:val="auto"/>
              </w:rPr>
              <w:t>15,584</w:t>
            </w:r>
          </w:p>
        </w:tc>
        <w:tc>
          <w:tcPr>
            <w:tcW w:w="740" w:type="dxa"/>
            <w:vAlign w:val="bottom"/>
          </w:tcPr>
          <w:p>
            <w:pPr>
              <w:jc w:val="right"/>
              <w:ind w:right="9"/>
              <w:spacing w:after="0"/>
              <w:rPr>
                <w:sz w:val="20"/>
                <w:szCs w:val="20"/>
                <w:color w:val="auto"/>
              </w:rPr>
            </w:pPr>
            <w:r>
              <w:rPr>
                <w:rFonts w:ascii="Arial" w:cs="Arial" w:eastAsia="Arial" w:hAnsi="Arial"/>
                <w:sz w:val="14"/>
                <w:szCs w:val="14"/>
                <w:color w:val="auto"/>
              </w:rPr>
              <w:t>33,495</w:t>
            </w:r>
          </w:p>
        </w:tc>
        <w:tc>
          <w:tcPr>
            <w:tcW w:w="880" w:type="dxa"/>
            <w:vAlign w:val="bottom"/>
            <w:gridSpan w:val="2"/>
          </w:tcPr>
          <w:p>
            <w:pPr>
              <w:jc w:val="right"/>
              <w:ind w:right="140"/>
              <w:spacing w:after="0"/>
              <w:rPr>
                <w:sz w:val="20"/>
                <w:szCs w:val="20"/>
                <w:color w:val="auto"/>
              </w:rPr>
            </w:pPr>
            <w:r>
              <w:rPr>
                <w:rFonts w:ascii="Arial" w:cs="Arial" w:eastAsia="Arial" w:hAnsi="Arial"/>
                <w:sz w:val="14"/>
                <w:szCs w:val="14"/>
                <w:color w:val="auto"/>
              </w:rPr>
              <w:t>1,450</w:t>
            </w: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100,255</w:t>
            </w:r>
          </w:p>
        </w:tc>
      </w:tr>
      <w:tr>
        <w:trPr>
          <w:trHeight w:val="157"/>
        </w:trPr>
        <w:tc>
          <w:tcPr>
            <w:tcW w:w="4620" w:type="dxa"/>
            <w:vAlign w:val="bottom"/>
            <w:tcBorders>
              <w:bottom w:val="single" w:sz="8" w:color="auto"/>
            </w:tcBorders>
          </w:tcPr>
          <w:p>
            <w:pPr>
              <w:spacing w:after="0" w:line="157" w:lineRule="exact"/>
              <w:rPr>
                <w:sz w:val="20"/>
                <w:szCs w:val="20"/>
                <w:color w:val="auto"/>
              </w:rPr>
            </w:pPr>
            <w:r>
              <w:rPr>
                <w:rFonts w:ascii="Arial" w:cs="Arial" w:eastAsia="Arial" w:hAnsi="Arial"/>
                <w:sz w:val="14"/>
                <w:szCs w:val="14"/>
                <w:color w:val="auto"/>
              </w:rPr>
              <w:t>Future tax expenses</w:t>
            </w:r>
          </w:p>
        </w:tc>
        <w:tc>
          <w:tcPr>
            <w:tcW w:w="1440" w:type="dxa"/>
            <w:vAlign w:val="bottom"/>
            <w:tcBorders>
              <w:bottom w:val="single" w:sz="8" w:color="auto"/>
            </w:tcBorders>
          </w:tcPr>
          <w:p>
            <w:pPr>
              <w:jc w:val="right"/>
              <w:ind w:right="29"/>
              <w:spacing w:after="0" w:line="157" w:lineRule="exact"/>
              <w:rPr>
                <w:sz w:val="20"/>
                <w:szCs w:val="20"/>
                <w:color w:val="auto"/>
              </w:rPr>
            </w:pPr>
            <w:r>
              <w:rPr>
                <w:rFonts w:ascii="Arial" w:cs="Arial" w:eastAsia="Arial" w:hAnsi="Arial"/>
                <w:sz w:val="14"/>
                <w:szCs w:val="14"/>
                <w:color w:val="auto"/>
              </w:rPr>
              <w:t>25,692</w:t>
            </w:r>
          </w:p>
        </w:tc>
        <w:tc>
          <w:tcPr>
            <w:tcW w:w="740" w:type="dxa"/>
            <w:vAlign w:val="bottom"/>
            <w:tcBorders>
              <w:bottom w:val="single" w:sz="8" w:color="auto"/>
            </w:tcBorders>
          </w:tcPr>
          <w:p>
            <w:pPr>
              <w:jc w:val="right"/>
              <w:ind w:right="69"/>
              <w:spacing w:after="0" w:line="157" w:lineRule="exact"/>
              <w:rPr>
                <w:sz w:val="20"/>
                <w:szCs w:val="20"/>
                <w:color w:val="auto"/>
              </w:rPr>
            </w:pPr>
            <w:r>
              <w:rPr>
                <w:rFonts w:ascii="Arial" w:cs="Arial" w:eastAsia="Arial" w:hAnsi="Arial"/>
                <w:sz w:val="14"/>
                <w:szCs w:val="14"/>
                <w:color w:val="auto"/>
              </w:rPr>
              <w:t>43,303</w:t>
            </w:r>
          </w:p>
        </w:tc>
        <w:tc>
          <w:tcPr>
            <w:tcW w:w="640" w:type="dxa"/>
            <w:vAlign w:val="bottom"/>
            <w:tcBorders>
              <w:bottom w:val="single" w:sz="8" w:color="auto"/>
            </w:tcBorders>
          </w:tcPr>
          <w:p>
            <w:pPr>
              <w:jc w:val="right"/>
              <w:ind w:right="29"/>
              <w:spacing w:after="0" w:line="157" w:lineRule="exact"/>
              <w:rPr>
                <w:sz w:val="20"/>
                <w:szCs w:val="20"/>
                <w:color w:val="auto"/>
              </w:rPr>
            </w:pPr>
            <w:r>
              <w:rPr>
                <w:rFonts w:ascii="Arial" w:cs="Arial" w:eastAsia="Arial" w:hAnsi="Arial"/>
                <w:sz w:val="14"/>
                <w:szCs w:val="14"/>
                <w:color w:val="auto"/>
              </w:rPr>
              <w:t>6,607</w:t>
            </w:r>
          </w:p>
        </w:tc>
        <w:tc>
          <w:tcPr>
            <w:tcW w:w="660" w:type="dxa"/>
            <w:vAlign w:val="bottom"/>
            <w:tcBorders>
              <w:bottom w:val="single" w:sz="8" w:color="auto"/>
            </w:tcBorders>
          </w:tcPr>
          <w:p>
            <w:pPr>
              <w:jc w:val="right"/>
              <w:ind w:right="49"/>
              <w:spacing w:after="0" w:line="157" w:lineRule="exact"/>
              <w:rPr>
                <w:sz w:val="20"/>
                <w:szCs w:val="20"/>
                <w:color w:val="auto"/>
              </w:rPr>
            </w:pPr>
            <w:r>
              <w:rPr>
                <w:rFonts w:ascii="Arial" w:cs="Arial" w:eastAsia="Arial" w:hAnsi="Arial"/>
                <w:sz w:val="14"/>
                <w:szCs w:val="14"/>
                <w:color w:val="auto"/>
              </w:rPr>
              <w:t>25,207</w:t>
            </w:r>
          </w:p>
        </w:tc>
        <w:tc>
          <w:tcPr>
            <w:tcW w:w="680" w:type="dxa"/>
            <w:vAlign w:val="bottom"/>
            <w:tcBorders>
              <w:bottom w:val="single" w:sz="8" w:color="auto"/>
            </w:tcBorders>
          </w:tcPr>
          <w:p>
            <w:pPr>
              <w:jc w:val="right"/>
              <w:ind w:right="70"/>
              <w:spacing w:after="0" w:line="157" w:lineRule="exact"/>
              <w:rPr>
                <w:sz w:val="20"/>
                <w:szCs w:val="20"/>
                <w:color w:val="auto"/>
              </w:rPr>
            </w:pPr>
            <w:r>
              <w:rPr>
                <w:rFonts w:ascii="Arial" w:cs="Arial" w:eastAsia="Arial" w:hAnsi="Arial"/>
                <w:sz w:val="14"/>
                <w:szCs w:val="14"/>
                <w:color w:val="auto"/>
              </w:rPr>
              <w:t>5,299</w:t>
            </w:r>
          </w:p>
        </w:tc>
        <w:tc>
          <w:tcPr>
            <w:tcW w:w="740" w:type="dxa"/>
            <w:vAlign w:val="bottom"/>
            <w:tcBorders>
              <w:bottom w:val="single" w:sz="8" w:color="auto"/>
            </w:tcBorders>
          </w:tcPr>
          <w:p>
            <w:pPr>
              <w:jc w:val="right"/>
              <w:ind w:right="9"/>
              <w:spacing w:after="0" w:line="157" w:lineRule="exact"/>
              <w:rPr>
                <w:sz w:val="20"/>
                <w:szCs w:val="20"/>
                <w:color w:val="auto"/>
              </w:rPr>
            </w:pPr>
            <w:r>
              <w:rPr>
                <w:rFonts w:ascii="Arial" w:cs="Arial" w:eastAsia="Arial" w:hAnsi="Arial"/>
                <w:sz w:val="14"/>
                <w:szCs w:val="14"/>
                <w:color w:val="auto"/>
              </w:rPr>
              <w:t>14,730</w:t>
            </w:r>
          </w:p>
        </w:tc>
        <w:tc>
          <w:tcPr>
            <w:tcW w:w="880" w:type="dxa"/>
            <w:vAlign w:val="bottom"/>
            <w:tcBorders>
              <w:bottom w:val="single" w:sz="8" w:color="auto"/>
            </w:tcBorders>
            <w:gridSpan w:val="2"/>
          </w:tcPr>
          <w:p>
            <w:pPr>
              <w:jc w:val="right"/>
              <w:ind w:right="140"/>
              <w:spacing w:after="0" w:line="157" w:lineRule="exact"/>
              <w:rPr>
                <w:sz w:val="20"/>
                <w:szCs w:val="20"/>
                <w:color w:val="auto"/>
              </w:rPr>
            </w:pPr>
            <w:r>
              <w:rPr>
                <w:rFonts w:ascii="Arial" w:cs="Arial" w:eastAsia="Arial" w:hAnsi="Arial"/>
                <w:sz w:val="14"/>
                <w:szCs w:val="14"/>
                <w:color w:val="auto"/>
              </w:rPr>
              <w:t>778</w:t>
            </w:r>
          </w:p>
        </w:tc>
        <w:tc>
          <w:tcPr>
            <w:tcW w:w="1020" w:type="dxa"/>
            <w:vAlign w:val="bottom"/>
            <w:tcBorders>
              <w:bottom w:val="single" w:sz="8" w:color="auto"/>
            </w:tcBorders>
          </w:tcPr>
          <w:p>
            <w:pPr>
              <w:jc w:val="right"/>
              <w:ind w:right="28"/>
              <w:spacing w:after="0" w:line="157" w:lineRule="exact"/>
              <w:rPr>
                <w:sz w:val="20"/>
                <w:szCs w:val="20"/>
                <w:color w:val="auto"/>
              </w:rPr>
            </w:pPr>
            <w:r>
              <w:rPr>
                <w:rFonts w:ascii="Arial" w:cs="Arial" w:eastAsia="Arial" w:hAnsi="Arial"/>
                <w:sz w:val="14"/>
                <w:szCs w:val="14"/>
                <w:color w:val="auto"/>
              </w:rPr>
              <w:t>121,616</w:t>
            </w:r>
          </w:p>
        </w:tc>
      </w:tr>
      <w:tr>
        <w:trPr>
          <w:trHeight w:val="160"/>
        </w:trPr>
        <w:tc>
          <w:tcPr>
            <w:tcW w:w="4620" w:type="dxa"/>
            <w:vAlign w:val="bottom"/>
          </w:tcPr>
          <w:p>
            <w:pPr>
              <w:spacing w:after="0"/>
              <w:rPr>
                <w:sz w:val="20"/>
                <w:szCs w:val="20"/>
                <w:color w:val="auto"/>
              </w:rPr>
            </w:pPr>
            <w:r>
              <w:rPr>
                <w:rFonts w:ascii="Arial" w:cs="Arial" w:eastAsia="Arial" w:hAnsi="Arial"/>
                <w:sz w:val="14"/>
                <w:szCs w:val="14"/>
                <w:color w:val="auto"/>
              </w:rPr>
              <w:t>Future net cash flows</w:t>
            </w:r>
          </w:p>
        </w:tc>
        <w:tc>
          <w:tcPr>
            <w:tcW w:w="1440" w:type="dxa"/>
            <w:vAlign w:val="bottom"/>
          </w:tcPr>
          <w:p>
            <w:pPr>
              <w:jc w:val="right"/>
              <w:ind w:right="29"/>
              <w:spacing w:after="0"/>
              <w:rPr>
                <w:sz w:val="20"/>
                <w:szCs w:val="20"/>
                <w:color w:val="auto"/>
              </w:rPr>
            </w:pPr>
            <w:r>
              <w:rPr>
                <w:rFonts w:ascii="Arial" w:cs="Arial" w:eastAsia="Arial" w:hAnsi="Arial"/>
                <w:sz w:val="14"/>
                <w:szCs w:val="14"/>
                <w:color w:val="auto"/>
              </w:rPr>
              <w:t>16,569</w:t>
            </w:r>
          </w:p>
        </w:tc>
        <w:tc>
          <w:tcPr>
            <w:tcW w:w="740" w:type="dxa"/>
            <w:vAlign w:val="bottom"/>
          </w:tcPr>
          <w:p>
            <w:pPr>
              <w:jc w:val="right"/>
              <w:ind w:right="69"/>
              <w:spacing w:after="0"/>
              <w:rPr>
                <w:sz w:val="20"/>
                <w:szCs w:val="20"/>
                <w:color w:val="auto"/>
              </w:rPr>
            </w:pPr>
            <w:r>
              <w:rPr>
                <w:rFonts w:ascii="Arial" w:cs="Arial" w:eastAsia="Arial" w:hAnsi="Arial"/>
                <w:sz w:val="14"/>
                <w:szCs w:val="14"/>
                <w:color w:val="auto"/>
              </w:rPr>
              <w:t>58,540</w:t>
            </w:r>
          </w:p>
        </w:tc>
        <w:tc>
          <w:tcPr>
            <w:tcW w:w="640" w:type="dxa"/>
            <w:vAlign w:val="bottom"/>
          </w:tcPr>
          <w:p>
            <w:pPr>
              <w:jc w:val="right"/>
              <w:ind w:right="29"/>
              <w:spacing w:after="0"/>
              <w:rPr>
                <w:sz w:val="20"/>
                <w:szCs w:val="20"/>
                <w:color w:val="auto"/>
              </w:rPr>
            </w:pPr>
            <w:r>
              <w:rPr>
                <w:rFonts w:ascii="Arial" w:cs="Arial" w:eastAsia="Arial" w:hAnsi="Arial"/>
                <w:sz w:val="14"/>
                <w:szCs w:val="14"/>
                <w:color w:val="auto"/>
              </w:rPr>
              <w:t>25,875</w:t>
            </w:r>
          </w:p>
        </w:tc>
        <w:tc>
          <w:tcPr>
            <w:tcW w:w="660" w:type="dxa"/>
            <w:vAlign w:val="bottom"/>
          </w:tcPr>
          <w:p>
            <w:pPr>
              <w:jc w:val="right"/>
              <w:ind w:right="49"/>
              <w:spacing w:after="0"/>
              <w:rPr>
                <w:sz w:val="20"/>
                <w:szCs w:val="20"/>
                <w:color w:val="auto"/>
              </w:rPr>
            </w:pPr>
            <w:r>
              <w:rPr>
                <w:rFonts w:ascii="Arial" w:cs="Arial" w:eastAsia="Arial" w:hAnsi="Arial"/>
                <w:sz w:val="14"/>
                <w:szCs w:val="14"/>
                <w:color w:val="auto"/>
              </w:rPr>
              <w:t>14,723</w:t>
            </w:r>
          </w:p>
        </w:tc>
        <w:tc>
          <w:tcPr>
            <w:tcW w:w="680" w:type="dxa"/>
            <w:vAlign w:val="bottom"/>
          </w:tcPr>
          <w:p>
            <w:pPr>
              <w:jc w:val="right"/>
              <w:ind w:right="70"/>
              <w:spacing w:after="0"/>
              <w:rPr>
                <w:sz w:val="20"/>
                <w:szCs w:val="20"/>
                <w:color w:val="auto"/>
              </w:rPr>
            </w:pPr>
            <w:r>
              <w:rPr>
                <w:rFonts w:ascii="Arial" w:cs="Arial" w:eastAsia="Arial" w:hAnsi="Arial"/>
                <w:sz w:val="14"/>
                <w:szCs w:val="14"/>
                <w:color w:val="auto"/>
              </w:rPr>
              <w:t>8,870</w:t>
            </w:r>
          </w:p>
        </w:tc>
        <w:tc>
          <w:tcPr>
            <w:tcW w:w="740" w:type="dxa"/>
            <w:vAlign w:val="bottom"/>
          </w:tcPr>
          <w:p>
            <w:pPr>
              <w:jc w:val="right"/>
              <w:ind w:right="9"/>
              <w:spacing w:after="0"/>
              <w:rPr>
                <w:sz w:val="20"/>
                <w:szCs w:val="20"/>
                <w:color w:val="auto"/>
              </w:rPr>
            </w:pPr>
            <w:r>
              <w:rPr>
                <w:rFonts w:ascii="Arial" w:cs="Arial" w:eastAsia="Arial" w:hAnsi="Arial"/>
                <w:sz w:val="14"/>
                <w:szCs w:val="14"/>
                <w:color w:val="auto"/>
              </w:rPr>
              <w:t>41,884</w:t>
            </w:r>
          </w:p>
        </w:tc>
        <w:tc>
          <w:tcPr>
            <w:tcW w:w="880" w:type="dxa"/>
            <w:vAlign w:val="bottom"/>
            <w:gridSpan w:val="2"/>
          </w:tcPr>
          <w:p>
            <w:pPr>
              <w:jc w:val="right"/>
              <w:ind w:right="140"/>
              <w:spacing w:after="0"/>
              <w:rPr>
                <w:sz w:val="20"/>
                <w:szCs w:val="20"/>
                <w:color w:val="auto"/>
              </w:rPr>
            </w:pPr>
            <w:r>
              <w:rPr>
                <w:rFonts w:ascii="Arial" w:cs="Arial" w:eastAsia="Arial" w:hAnsi="Arial"/>
                <w:sz w:val="14"/>
                <w:szCs w:val="14"/>
                <w:color w:val="auto"/>
              </w:rPr>
              <w:t>172</w:t>
            </w: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166,633</w:t>
            </w:r>
          </w:p>
        </w:tc>
      </w:tr>
      <w:tr>
        <w:trPr>
          <w:trHeight w:val="157"/>
        </w:trPr>
        <w:tc>
          <w:tcPr>
            <w:tcW w:w="4620" w:type="dxa"/>
            <w:vAlign w:val="bottom"/>
            <w:tcBorders>
              <w:bottom w:val="single" w:sz="8" w:color="auto"/>
            </w:tcBorders>
          </w:tcPr>
          <w:p>
            <w:pPr>
              <w:spacing w:after="0" w:line="157" w:lineRule="exact"/>
              <w:rPr>
                <w:sz w:val="20"/>
                <w:szCs w:val="20"/>
                <w:color w:val="auto"/>
              </w:rPr>
            </w:pPr>
            <w:r>
              <w:rPr>
                <w:rFonts w:ascii="Arial" w:cs="Arial" w:eastAsia="Arial" w:hAnsi="Arial"/>
                <w:sz w:val="14"/>
                <w:szCs w:val="14"/>
                <w:color w:val="auto"/>
              </w:rPr>
              <w:t>Effect of discounting cash flows at 10%</w:t>
            </w:r>
          </w:p>
        </w:tc>
        <w:tc>
          <w:tcPr>
            <w:tcW w:w="1440" w:type="dxa"/>
            <w:vAlign w:val="bottom"/>
            <w:tcBorders>
              <w:bottom w:val="single" w:sz="8" w:color="auto"/>
            </w:tcBorders>
          </w:tcPr>
          <w:p>
            <w:pPr>
              <w:jc w:val="right"/>
              <w:ind w:right="29"/>
              <w:spacing w:after="0" w:line="157" w:lineRule="exact"/>
              <w:rPr>
                <w:sz w:val="20"/>
                <w:szCs w:val="20"/>
                <w:color w:val="auto"/>
              </w:rPr>
            </w:pPr>
            <w:r>
              <w:rPr>
                <w:rFonts w:ascii="Arial" w:cs="Arial" w:eastAsia="Arial" w:hAnsi="Arial"/>
                <w:sz w:val="14"/>
                <w:szCs w:val="14"/>
                <w:color w:val="auto"/>
              </w:rPr>
              <w:t>5,493</w:t>
            </w:r>
          </w:p>
        </w:tc>
        <w:tc>
          <w:tcPr>
            <w:tcW w:w="740" w:type="dxa"/>
            <w:vAlign w:val="bottom"/>
            <w:tcBorders>
              <w:bottom w:val="single" w:sz="8" w:color="auto"/>
            </w:tcBorders>
          </w:tcPr>
          <w:p>
            <w:pPr>
              <w:jc w:val="right"/>
              <w:ind w:right="69"/>
              <w:spacing w:after="0" w:line="157" w:lineRule="exact"/>
              <w:rPr>
                <w:sz w:val="20"/>
                <w:szCs w:val="20"/>
                <w:color w:val="auto"/>
              </w:rPr>
            </w:pPr>
            <w:r>
              <w:rPr>
                <w:rFonts w:ascii="Arial" w:cs="Arial" w:eastAsia="Arial" w:hAnsi="Arial"/>
                <w:sz w:val="14"/>
                <w:szCs w:val="14"/>
                <w:color w:val="auto"/>
              </w:rPr>
              <w:t>27,974</w:t>
            </w:r>
          </w:p>
        </w:tc>
        <w:tc>
          <w:tcPr>
            <w:tcW w:w="640" w:type="dxa"/>
            <w:vAlign w:val="bottom"/>
            <w:tcBorders>
              <w:bottom w:val="single" w:sz="8" w:color="auto"/>
            </w:tcBorders>
          </w:tcPr>
          <w:p>
            <w:pPr>
              <w:jc w:val="right"/>
              <w:ind w:right="29"/>
              <w:spacing w:after="0" w:line="157" w:lineRule="exact"/>
              <w:rPr>
                <w:sz w:val="20"/>
                <w:szCs w:val="20"/>
                <w:color w:val="auto"/>
              </w:rPr>
            </w:pPr>
            <w:r>
              <w:rPr>
                <w:rFonts w:ascii="Arial" w:cs="Arial" w:eastAsia="Arial" w:hAnsi="Arial"/>
                <w:sz w:val="14"/>
                <w:szCs w:val="14"/>
                <w:color w:val="auto"/>
              </w:rPr>
              <w:t>14,997</w:t>
            </w:r>
          </w:p>
        </w:tc>
        <w:tc>
          <w:tcPr>
            <w:tcW w:w="660" w:type="dxa"/>
            <w:vAlign w:val="bottom"/>
            <w:tcBorders>
              <w:bottom w:val="single" w:sz="8" w:color="auto"/>
            </w:tcBorders>
          </w:tcPr>
          <w:p>
            <w:pPr>
              <w:jc w:val="right"/>
              <w:ind w:right="49"/>
              <w:spacing w:after="0" w:line="157" w:lineRule="exact"/>
              <w:rPr>
                <w:sz w:val="20"/>
                <w:szCs w:val="20"/>
                <w:color w:val="auto"/>
              </w:rPr>
            </w:pPr>
            <w:r>
              <w:rPr>
                <w:rFonts w:ascii="Arial" w:cs="Arial" w:eastAsia="Arial" w:hAnsi="Arial"/>
                <w:sz w:val="14"/>
                <w:szCs w:val="14"/>
                <w:color w:val="auto"/>
              </w:rPr>
              <w:t>4,825</w:t>
            </w:r>
          </w:p>
        </w:tc>
        <w:tc>
          <w:tcPr>
            <w:tcW w:w="680" w:type="dxa"/>
            <w:vAlign w:val="bottom"/>
            <w:tcBorders>
              <w:bottom w:val="single" w:sz="8" w:color="auto"/>
            </w:tcBorders>
          </w:tcPr>
          <w:p>
            <w:pPr>
              <w:jc w:val="right"/>
              <w:ind w:right="70"/>
              <w:spacing w:after="0" w:line="157" w:lineRule="exact"/>
              <w:rPr>
                <w:sz w:val="20"/>
                <w:szCs w:val="20"/>
                <w:color w:val="auto"/>
              </w:rPr>
            </w:pPr>
            <w:r>
              <w:rPr>
                <w:rFonts w:ascii="Arial" w:cs="Arial" w:eastAsia="Arial" w:hAnsi="Arial"/>
                <w:sz w:val="14"/>
                <w:szCs w:val="14"/>
                <w:color w:val="auto"/>
              </w:rPr>
              <w:t>1,583</w:t>
            </w:r>
          </w:p>
        </w:tc>
        <w:tc>
          <w:tcPr>
            <w:tcW w:w="740" w:type="dxa"/>
            <w:vAlign w:val="bottom"/>
            <w:tcBorders>
              <w:bottom w:val="single" w:sz="8" w:color="auto"/>
            </w:tcBorders>
          </w:tcPr>
          <w:p>
            <w:pPr>
              <w:jc w:val="right"/>
              <w:ind w:right="9"/>
              <w:spacing w:after="0" w:line="157" w:lineRule="exact"/>
              <w:rPr>
                <w:sz w:val="20"/>
                <w:szCs w:val="20"/>
                <w:color w:val="auto"/>
              </w:rPr>
            </w:pPr>
            <w:r>
              <w:rPr>
                <w:rFonts w:ascii="Arial" w:cs="Arial" w:eastAsia="Arial" w:hAnsi="Arial"/>
                <w:sz w:val="14"/>
                <w:szCs w:val="14"/>
                <w:color w:val="auto"/>
              </w:rPr>
              <w:t>33,365</w:t>
            </w:r>
          </w:p>
        </w:tc>
        <w:tc>
          <w:tcPr>
            <w:tcW w:w="880" w:type="dxa"/>
            <w:vAlign w:val="bottom"/>
            <w:tcBorders>
              <w:bottom w:val="single" w:sz="8" w:color="auto"/>
            </w:tcBorders>
            <w:gridSpan w:val="2"/>
          </w:tcPr>
          <w:p>
            <w:pPr>
              <w:jc w:val="right"/>
              <w:ind w:right="100"/>
              <w:spacing w:after="0" w:line="157" w:lineRule="exact"/>
              <w:rPr>
                <w:sz w:val="20"/>
                <w:szCs w:val="20"/>
                <w:color w:val="auto"/>
              </w:rPr>
            </w:pPr>
            <w:r>
              <w:rPr>
                <w:rFonts w:ascii="Arial" w:cs="Arial" w:eastAsia="Arial" w:hAnsi="Arial"/>
                <w:sz w:val="14"/>
                <w:szCs w:val="14"/>
                <w:color w:val="auto"/>
              </w:rPr>
              <w:t>(231)</w:t>
            </w:r>
          </w:p>
        </w:tc>
        <w:tc>
          <w:tcPr>
            <w:tcW w:w="1020" w:type="dxa"/>
            <w:vAlign w:val="bottom"/>
            <w:tcBorders>
              <w:bottom w:val="single" w:sz="8" w:color="auto"/>
            </w:tcBorders>
          </w:tcPr>
          <w:p>
            <w:pPr>
              <w:jc w:val="right"/>
              <w:ind w:right="28"/>
              <w:spacing w:after="0" w:line="157" w:lineRule="exact"/>
              <w:rPr>
                <w:sz w:val="20"/>
                <w:szCs w:val="20"/>
                <w:color w:val="auto"/>
              </w:rPr>
            </w:pPr>
            <w:r>
              <w:rPr>
                <w:rFonts w:ascii="Arial" w:cs="Arial" w:eastAsia="Arial" w:hAnsi="Arial"/>
                <w:sz w:val="14"/>
                <w:szCs w:val="14"/>
                <w:color w:val="auto"/>
              </w:rPr>
              <w:t>88,006</w:t>
            </w:r>
          </w:p>
        </w:tc>
      </w:tr>
      <w:tr>
        <w:trPr>
          <w:trHeight w:val="169"/>
        </w:trPr>
        <w:tc>
          <w:tcPr>
            <w:tcW w:w="462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Standardised measure of discounted future net cash flows</w:t>
            </w:r>
          </w:p>
        </w:tc>
        <w:tc>
          <w:tcPr>
            <w:tcW w:w="144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11,076</w:t>
            </w:r>
          </w:p>
        </w:tc>
        <w:tc>
          <w:tcPr>
            <w:tcW w:w="74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color w:val="auto"/>
              </w:rPr>
              <w:t>30,566</w:t>
            </w:r>
          </w:p>
        </w:tc>
        <w:tc>
          <w:tcPr>
            <w:tcW w:w="64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10,878</w:t>
            </w:r>
          </w:p>
        </w:tc>
        <w:tc>
          <w:tcPr>
            <w:tcW w:w="66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9,898</w:t>
            </w:r>
          </w:p>
        </w:tc>
        <w:tc>
          <w:tcPr>
            <w:tcW w:w="680" w:type="dxa"/>
            <w:vAlign w:val="bottom"/>
            <w:tcBorders>
              <w:bottom w:val="single" w:sz="8" w:color="auto"/>
            </w:tcBorders>
          </w:tcPr>
          <w:p>
            <w:pPr>
              <w:jc w:val="right"/>
              <w:ind w:right="70"/>
              <w:spacing w:after="0"/>
              <w:rPr>
                <w:sz w:val="20"/>
                <w:szCs w:val="20"/>
                <w:color w:val="auto"/>
              </w:rPr>
            </w:pPr>
            <w:r>
              <w:rPr>
                <w:rFonts w:ascii="Arial" w:cs="Arial" w:eastAsia="Arial" w:hAnsi="Arial"/>
                <w:sz w:val="14"/>
                <w:szCs w:val="14"/>
                <w:color w:val="auto"/>
              </w:rPr>
              <w:t>7,287</w:t>
            </w:r>
          </w:p>
        </w:tc>
        <w:tc>
          <w:tcPr>
            <w:tcW w:w="74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8,519</w:t>
            </w:r>
          </w:p>
        </w:tc>
        <w:tc>
          <w:tcPr>
            <w:tcW w:w="88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4"/>
                <w:szCs w:val="14"/>
                <w:color w:val="auto"/>
              </w:rPr>
              <w:t>403</w:t>
            </w:r>
          </w:p>
        </w:tc>
        <w:tc>
          <w:tcPr>
            <w:tcW w:w="10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78,627</w:t>
            </w:r>
          </w:p>
        </w:tc>
      </w:tr>
      <w:tr>
        <w:trPr>
          <w:trHeight w:val="156"/>
        </w:trPr>
        <w:tc>
          <w:tcPr>
            <w:tcW w:w="4620" w:type="dxa"/>
            <w:vAlign w:val="bottom"/>
            <w:tcBorders>
              <w:bottom w:val="single" w:sz="8" w:color="auto"/>
            </w:tcBorders>
          </w:tcPr>
          <w:p>
            <w:pPr>
              <w:spacing w:after="0" w:line="155" w:lineRule="exact"/>
              <w:rPr>
                <w:sz w:val="20"/>
                <w:szCs w:val="20"/>
                <w:color w:val="auto"/>
              </w:rPr>
            </w:pPr>
            <w:r>
              <w:rPr>
                <w:rFonts w:ascii="Arial" w:cs="Arial" w:eastAsia="Arial" w:hAnsi="Arial"/>
                <w:sz w:val="14"/>
                <w:szCs w:val="14"/>
                <w:color w:val="auto"/>
              </w:rPr>
              <w:t>Non-controlling interest included</w:t>
            </w:r>
          </w:p>
        </w:tc>
        <w:tc>
          <w:tcPr>
            <w:tcW w:w="1440" w:type="dxa"/>
            <w:vAlign w:val="bottom"/>
            <w:tcBorders>
              <w:bottom w:val="single" w:sz="8" w:color="auto"/>
            </w:tcBorders>
          </w:tcPr>
          <w:p>
            <w:pPr>
              <w:jc w:val="right"/>
              <w:ind w:right="29"/>
              <w:spacing w:after="0" w:line="155" w:lineRule="exact"/>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tcPr>
          <w:p>
            <w:pPr>
              <w:jc w:val="right"/>
              <w:ind w:right="9"/>
              <w:spacing w:after="0" w:line="155" w:lineRule="exact"/>
              <w:rPr>
                <w:sz w:val="20"/>
                <w:szCs w:val="20"/>
                <w:color w:val="auto"/>
              </w:rPr>
            </w:pPr>
            <w:r>
              <w:rPr>
                <w:rFonts w:ascii="Arial" w:cs="Arial" w:eastAsia="Arial" w:hAnsi="Arial"/>
                <w:sz w:val="14"/>
                <w:szCs w:val="14"/>
                <w:color w:val="auto"/>
              </w:rPr>
              <w:t>(5)</w:t>
            </w:r>
          </w:p>
        </w:tc>
        <w:tc>
          <w:tcPr>
            <w:tcW w:w="640" w:type="dxa"/>
            <w:vAlign w:val="bottom"/>
            <w:tcBorders>
              <w:bottom w:val="single" w:sz="8" w:color="auto"/>
            </w:tcBorders>
          </w:tcPr>
          <w:p>
            <w:pPr>
              <w:jc w:val="right"/>
              <w:ind w:right="29"/>
              <w:spacing w:after="0" w:line="155" w:lineRule="exact"/>
              <w:rPr>
                <w:sz w:val="20"/>
                <w:szCs w:val="20"/>
                <w:color w:val="auto"/>
              </w:rPr>
            </w:pPr>
            <w:r>
              <w:rPr>
                <w:rFonts w:ascii="Arial" w:cs="Arial" w:eastAsia="Arial" w:hAnsi="Arial"/>
                <w:sz w:val="14"/>
                <w:szCs w:val="14"/>
                <w:color w:val="auto"/>
              </w:rPr>
              <w:t>–</w:t>
            </w:r>
          </w:p>
        </w:tc>
        <w:tc>
          <w:tcPr>
            <w:tcW w:w="660" w:type="dxa"/>
            <w:vAlign w:val="bottom"/>
            <w:tcBorders>
              <w:bottom w:val="single" w:sz="8" w:color="auto"/>
            </w:tcBorders>
          </w:tcPr>
          <w:p>
            <w:pPr>
              <w:jc w:val="right"/>
              <w:ind w:right="49"/>
              <w:spacing w:after="0" w:line="155" w:lineRule="exact"/>
              <w:rPr>
                <w:sz w:val="20"/>
                <w:szCs w:val="20"/>
                <w:color w:val="auto"/>
              </w:rPr>
            </w:pPr>
            <w:r>
              <w:rPr>
                <w:rFonts w:ascii="Arial" w:cs="Arial" w:eastAsia="Arial" w:hAnsi="Arial"/>
                <w:sz w:val="14"/>
                <w:szCs w:val="14"/>
                <w:color w:val="auto"/>
              </w:rPr>
              <w:t>59</w:t>
            </w:r>
          </w:p>
        </w:tc>
        <w:tc>
          <w:tcPr>
            <w:tcW w:w="680" w:type="dxa"/>
            <w:vAlign w:val="bottom"/>
            <w:tcBorders>
              <w:bottom w:val="single" w:sz="8" w:color="auto"/>
            </w:tcBorders>
          </w:tcPr>
          <w:p>
            <w:pPr>
              <w:jc w:val="right"/>
              <w:ind w:right="70"/>
              <w:spacing w:after="0" w:line="155" w:lineRule="exact"/>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tcPr>
          <w:p>
            <w:pPr>
              <w:jc w:val="right"/>
              <w:ind w:right="9"/>
              <w:spacing w:after="0" w:line="155" w:lineRule="exact"/>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gridSpan w:val="2"/>
          </w:tcPr>
          <w:p>
            <w:pPr>
              <w:jc w:val="right"/>
              <w:ind w:right="140"/>
              <w:spacing w:after="0" w:line="155" w:lineRule="exact"/>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tcPr>
          <w:p>
            <w:pPr>
              <w:jc w:val="right"/>
              <w:ind w:right="28"/>
              <w:spacing w:after="0" w:line="155" w:lineRule="exact"/>
              <w:rPr>
                <w:sz w:val="20"/>
                <w:szCs w:val="20"/>
                <w:color w:val="auto"/>
              </w:rPr>
            </w:pPr>
            <w:r>
              <w:rPr>
                <w:rFonts w:ascii="Arial" w:cs="Arial" w:eastAsia="Arial" w:hAnsi="Arial"/>
                <w:sz w:val="14"/>
                <w:szCs w:val="14"/>
                <w:color w:val="auto"/>
              </w:rPr>
              <w:t>54</w:t>
            </w:r>
          </w:p>
        </w:tc>
      </w:tr>
    </w:tbl>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5020" w:type="dxa"/>
            <w:vAlign w:val="bottom"/>
            <w:shd w:val="clear" w:color="auto" w:fill="333333"/>
          </w:tcPr>
          <w:p>
            <w:pPr>
              <w:ind w:left="80"/>
              <w:spacing w:after="0"/>
              <w:rPr>
                <w:sz w:val="20"/>
                <w:szCs w:val="20"/>
                <w:color w:val="auto"/>
              </w:rPr>
            </w:pPr>
            <w:r>
              <w:rPr>
                <w:rFonts w:ascii="Arial" w:cs="Arial" w:eastAsia="Arial" w:hAnsi="Arial"/>
                <w:sz w:val="15"/>
                <w:szCs w:val="15"/>
                <w:b w:val="1"/>
                <w:bCs w:val="1"/>
                <w:color w:val="FFFFFF"/>
              </w:rPr>
              <w:t>2014 – SHELL SHARE OF JOINT VENTURES AND ASSOCIATES</w:t>
            </w:r>
          </w:p>
        </w:tc>
        <w:tc>
          <w:tcPr>
            <w:tcW w:w="880" w:type="dxa"/>
            <w:vAlign w:val="bottom"/>
            <w:shd w:val="clear" w:color="auto" w:fill="333333"/>
          </w:tcPr>
          <w:p>
            <w:pPr>
              <w:spacing w:after="0"/>
              <w:rPr>
                <w:sz w:val="14"/>
                <w:szCs w:val="14"/>
                <w:color w:val="auto"/>
              </w:rPr>
            </w:pPr>
          </w:p>
        </w:tc>
        <w:tc>
          <w:tcPr>
            <w:tcW w:w="660" w:type="dxa"/>
            <w:vAlign w:val="bottom"/>
            <w:shd w:val="clear" w:color="auto" w:fill="333333"/>
          </w:tcPr>
          <w:p>
            <w:pPr>
              <w:spacing w:after="0"/>
              <w:rPr>
                <w:sz w:val="14"/>
                <w:szCs w:val="14"/>
                <w:color w:val="auto"/>
              </w:rPr>
            </w:pPr>
          </w:p>
        </w:tc>
        <w:tc>
          <w:tcPr>
            <w:tcW w:w="880" w:type="dxa"/>
            <w:vAlign w:val="bottom"/>
            <w:shd w:val="clear" w:color="auto" w:fill="333333"/>
          </w:tcPr>
          <w:p>
            <w:pPr>
              <w:spacing w:after="0"/>
              <w:rPr>
                <w:sz w:val="14"/>
                <w:szCs w:val="14"/>
                <w:color w:val="auto"/>
              </w:rPr>
            </w:pPr>
          </w:p>
        </w:tc>
        <w:tc>
          <w:tcPr>
            <w:tcW w:w="540" w:type="dxa"/>
            <w:vAlign w:val="bottom"/>
            <w:shd w:val="clear" w:color="auto" w:fill="333333"/>
          </w:tcPr>
          <w:p>
            <w:pPr>
              <w:spacing w:after="0"/>
              <w:rPr>
                <w:sz w:val="14"/>
                <w:szCs w:val="14"/>
                <w:color w:val="auto"/>
              </w:rPr>
            </w:pPr>
          </w:p>
        </w:tc>
        <w:tc>
          <w:tcPr>
            <w:tcW w:w="400" w:type="dxa"/>
            <w:vAlign w:val="bottom"/>
            <w:shd w:val="clear" w:color="auto" w:fill="333333"/>
          </w:tcPr>
          <w:p>
            <w:pPr>
              <w:spacing w:after="0"/>
              <w:rPr>
                <w:sz w:val="14"/>
                <w:szCs w:val="14"/>
                <w:color w:val="auto"/>
              </w:rPr>
            </w:pPr>
          </w:p>
        </w:tc>
        <w:tc>
          <w:tcPr>
            <w:tcW w:w="920" w:type="dxa"/>
            <w:vAlign w:val="bottom"/>
            <w:shd w:val="clear" w:color="auto" w:fill="333333"/>
          </w:tcPr>
          <w:p>
            <w:pPr>
              <w:spacing w:after="0"/>
              <w:rPr>
                <w:sz w:val="14"/>
                <w:szCs w:val="14"/>
                <w:color w:val="auto"/>
              </w:rPr>
            </w:pPr>
          </w:p>
        </w:tc>
        <w:tc>
          <w:tcPr>
            <w:tcW w:w="920" w:type="dxa"/>
            <w:vAlign w:val="bottom"/>
            <w:shd w:val="clear" w:color="auto" w:fill="333333"/>
          </w:tcPr>
          <w:p>
            <w:pPr>
              <w:spacing w:after="0"/>
              <w:rPr>
                <w:sz w:val="14"/>
                <w:szCs w:val="14"/>
                <w:color w:val="auto"/>
              </w:rPr>
            </w:pPr>
          </w:p>
        </w:tc>
        <w:tc>
          <w:tcPr>
            <w:tcW w:w="140" w:type="dxa"/>
            <w:vAlign w:val="bottom"/>
            <w:shd w:val="clear" w:color="auto" w:fill="333333"/>
          </w:tcPr>
          <w:p>
            <w:pPr>
              <w:spacing w:after="0"/>
              <w:rPr>
                <w:sz w:val="14"/>
                <w:szCs w:val="14"/>
                <w:color w:val="auto"/>
              </w:rPr>
            </w:pPr>
          </w:p>
        </w:tc>
        <w:tc>
          <w:tcPr>
            <w:tcW w:w="1060" w:type="dxa"/>
            <w:vAlign w:val="bottom"/>
            <w:shd w:val="clear" w:color="auto" w:fill="333333"/>
          </w:tcPr>
          <w:p>
            <w:pPr>
              <w:jc w:val="right"/>
              <w:ind w:right="129"/>
              <w:spacing w:after="0"/>
              <w:rPr>
                <w:sz w:val="20"/>
                <w:szCs w:val="20"/>
                <w:color w:val="auto"/>
              </w:rPr>
            </w:pPr>
            <w:r>
              <w:rPr>
                <w:rFonts w:ascii="Arial" w:cs="Arial" w:eastAsia="Arial" w:hAnsi="Arial"/>
                <w:sz w:val="15"/>
                <w:szCs w:val="15"/>
                <w:color w:val="FFFFFF"/>
              </w:rPr>
              <w:t>$ MILLION</w:t>
            </w:r>
          </w:p>
        </w:tc>
      </w:tr>
      <w:tr>
        <w:trPr>
          <w:trHeight w:val="156"/>
        </w:trPr>
        <w:tc>
          <w:tcPr>
            <w:tcW w:w="50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10"/>
              <w:spacing w:after="0"/>
              <w:rPr>
                <w:sz w:val="20"/>
                <w:szCs w:val="20"/>
                <w:color w:val="auto"/>
              </w:rPr>
            </w:pPr>
            <w:r>
              <w:rPr>
                <w:rFonts w:ascii="Arial" w:cs="Arial" w:eastAsia="Arial" w:hAnsi="Arial"/>
                <w:sz w:val="13"/>
                <w:szCs w:val="13"/>
                <w:color w:val="auto"/>
                <w:w w:val="98"/>
              </w:rPr>
              <w:t>North America</w:t>
            </w:r>
          </w:p>
        </w:tc>
        <w:tc>
          <w:tcPr>
            <w:tcW w:w="1060" w:type="dxa"/>
            <w:vAlign w:val="bottom"/>
            <w:gridSpan w:val="2"/>
          </w:tcPr>
          <w:p>
            <w:pPr>
              <w:jc w:val="right"/>
              <w:ind w:right="140"/>
              <w:spacing w:after="0"/>
              <w:rPr>
                <w:sz w:val="20"/>
                <w:szCs w:val="20"/>
                <w:color w:val="auto"/>
              </w:rPr>
            </w:pPr>
            <w:r>
              <w:rPr>
                <w:rFonts w:ascii="Arial" w:cs="Arial" w:eastAsia="Arial" w:hAnsi="Arial"/>
                <w:sz w:val="13"/>
                <w:szCs w:val="13"/>
                <w:color w:val="auto"/>
              </w:rPr>
              <w:t>South</w:t>
            </w:r>
          </w:p>
        </w:tc>
        <w:tc>
          <w:tcPr>
            <w:tcW w:w="1060" w:type="dxa"/>
            <w:vAlign w:val="bottom"/>
          </w:tcPr>
          <w:p>
            <w:pPr>
              <w:spacing w:after="0"/>
              <w:rPr>
                <w:sz w:val="13"/>
                <w:szCs w:val="13"/>
                <w:color w:val="auto"/>
              </w:rPr>
            </w:pPr>
          </w:p>
        </w:tc>
      </w:tr>
      <w:tr>
        <w:trPr>
          <w:trHeight w:val="135"/>
        </w:trPr>
        <w:tc>
          <w:tcPr>
            <w:tcW w:w="502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jc w:val="right"/>
              <w:ind w:right="9"/>
              <w:spacing w:after="0" w:line="135" w:lineRule="exact"/>
              <w:rPr>
                <w:sz w:val="20"/>
                <w:szCs w:val="20"/>
                <w:color w:val="auto"/>
              </w:rPr>
            </w:pPr>
            <w:r>
              <w:rPr>
                <w:rFonts w:ascii="Arial" w:cs="Arial" w:eastAsia="Arial" w:hAnsi="Arial"/>
                <w:sz w:val="13"/>
                <w:szCs w:val="13"/>
                <w:color w:val="auto"/>
              </w:rPr>
              <w:t>Europe</w:t>
            </w:r>
          </w:p>
        </w:tc>
        <w:tc>
          <w:tcPr>
            <w:tcW w:w="660" w:type="dxa"/>
            <w:vAlign w:val="bottom"/>
            <w:tcBorders>
              <w:bottom w:val="single" w:sz="8" w:color="auto"/>
            </w:tcBorders>
          </w:tcPr>
          <w:p>
            <w:pPr>
              <w:jc w:val="right"/>
              <w:ind w:right="69"/>
              <w:spacing w:after="0" w:line="135" w:lineRule="exact"/>
              <w:rPr>
                <w:sz w:val="20"/>
                <w:szCs w:val="20"/>
                <w:color w:val="auto"/>
              </w:rPr>
            </w:pPr>
            <w:r>
              <w:rPr>
                <w:rFonts w:ascii="Arial" w:cs="Arial" w:eastAsia="Arial" w:hAnsi="Arial"/>
                <w:sz w:val="13"/>
                <w:szCs w:val="13"/>
                <w:color w:val="auto"/>
              </w:rPr>
              <w:t>Asia</w:t>
            </w:r>
          </w:p>
        </w:tc>
        <w:tc>
          <w:tcPr>
            <w:tcW w:w="880" w:type="dxa"/>
            <w:vAlign w:val="bottom"/>
            <w:tcBorders>
              <w:bottom w:val="single" w:sz="8" w:color="auto"/>
            </w:tcBorders>
          </w:tcPr>
          <w:p>
            <w:pPr>
              <w:jc w:val="right"/>
              <w:ind w:right="29"/>
              <w:spacing w:after="0" w:line="135" w:lineRule="exact"/>
              <w:rPr>
                <w:sz w:val="20"/>
                <w:szCs w:val="20"/>
                <w:color w:val="auto"/>
              </w:rPr>
            </w:pPr>
            <w:r>
              <w:rPr>
                <w:rFonts w:ascii="Arial" w:cs="Arial" w:eastAsia="Arial" w:hAnsi="Arial"/>
                <w:sz w:val="13"/>
                <w:szCs w:val="13"/>
                <w:color w:val="auto"/>
              </w:rPr>
              <w:t>Oceania[A]</w:t>
            </w:r>
          </w:p>
        </w:tc>
        <w:tc>
          <w:tcPr>
            <w:tcW w:w="540" w:type="dxa"/>
            <w:vAlign w:val="bottom"/>
            <w:tcBorders>
              <w:bottom w:val="single" w:sz="8" w:color="auto"/>
            </w:tcBorders>
          </w:tcPr>
          <w:p>
            <w:pPr>
              <w:jc w:val="right"/>
              <w:ind w:right="49"/>
              <w:spacing w:after="0" w:line="135" w:lineRule="exact"/>
              <w:rPr>
                <w:sz w:val="20"/>
                <w:szCs w:val="20"/>
                <w:color w:val="auto"/>
              </w:rPr>
            </w:pPr>
            <w:r>
              <w:rPr>
                <w:rFonts w:ascii="Arial" w:cs="Arial" w:eastAsia="Arial" w:hAnsi="Arial"/>
                <w:sz w:val="13"/>
                <w:szCs w:val="13"/>
                <w:color w:val="auto"/>
              </w:rPr>
              <w:t>Africa</w:t>
            </w:r>
          </w:p>
        </w:tc>
        <w:tc>
          <w:tcPr>
            <w:tcW w:w="40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USA</w:t>
            </w:r>
          </w:p>
        </w:tc>
        <w:tc>
          <w:tcPr>
            <w:tcW w:w="920" w:type="dxa"/>
            <w:vAlign w:val="bottom"/>
            <w:tcBorders>
              <w:bottom w:val="single" w:sz="8" w:color="auto"/>
            </w:tcBorders>
          </w:tcPr>
          <w:p>
            <w:pPr>
              <w:jc w:val="right"/>
              <w:ind w:right="10"/>
              <w:spacing w:after="0" w:line="135" w:lineRule="exact"/>
              <w:rPr>
                <w:sz w:val="20"/>
                <w:szCs w:val="20"/>
                <w:color w:val="auto"/>
              </w:rPr>
            </w:pPr>
            <w:r>
              <w:rPr>
                <w:rFonts w:ascii="Arial" w:cs="Arial" w:eastAsia="Arial" w:hAnsi="Arial"/>
                <w:sz w:val="13"/>
                <w:szCs w:val="13"/>
                <w:color w:val="auto"/>
              </w:rPr>
              <w:t>Canada</w:t>
            </w:r>
          </w:p>
        </w:tc>
        <w:tc>
          <w:tcPr>
            <w:tcW w:w="920" w:type="dxa"/>
            <w:vAlign w:val="bottom"/>
            <w:tcBorders>
              <w:bottom w:val="single" w:sz="8" w:color="auto"/>
            </w:tcBorders>
          </w:tcPr>
          <w:p>
            <w:pPr>
              <w:jc w:val="right"/>
              <w:spacing w:after="0" w:line="132" w:lineRule="exact"/>
              <w:rPr>
                <w:sz w:val="20"/>
                <w:szCs w:val="20"/>
                <w:color w:val="auto"/>
              </w:rPr>
            </w:pPr>
            <w:r>
              <w:rPr>
                <w:rFonts w:ascii="Arial" w:cs="Arial" w:eastAsia="Arial" w:hAnsi="Arial"/>
                <w:sz w:val="13"/>
                <w:szCs w:val="13"/>
                <w:color w:val="auto"/>
              </w:rPr>
              <w:t>America</w:t>
            </w:r>
          </w:p>
        </w:tc>
        <w:tc>
          <w:tcPr>
            <w:tcW w:w="140" w:type="dxa"/>
            <w:vAlign w:val="bottom"/>
          </w:tcPr>
          <w:p>
            <w:pPr>
              <w:spacing w:after="0"/>
              <w:rPr>
                <w:sz w:val="11"/>
                <w:szCs w:val="11"/>
                <w:color w:val="auto"/>
              </w:rPr>
            </w:pPr>
          </w:p>
        </w:tc>
        <w:tc>
          <w:tcPr>
            <w:tcW w:w="1060" w:type="dxa"/>
            <w:vAlign w:val="bottom"/>
            <w:tcBorders>
              <w:bottom w:val="single" w:sz="8" w:color="auto"/>
            </w:tcBorders>
          </w:tcPr>
          <w:p>
            <w:pPr>
              <w:jc w:val="right"/>
              <w:ind w:right="129"/>
              <w:spacing w:after="0" w:line="135" w:lineRule="exact"/>
              <w:rPr>
                <w:sz w:val="20"/>
                <w:szCs w:val="20"/>
                <w:color w:val="auto"/>
              </w:rPr>
            </w:pPr>
            <w:r>
              <w:rPr>
                <w:rFonts w:ascii="Arial" w:cs="Arial" w:eastAsia="Arial" w:hAnsi="Arial"/>
                <w:sz w:val="13"/>
                <w:szCs w:val="13"/>
                <w:color w:val="auto"/>
              </w:rPr>
              <w:t>Total</w:t>
            </w:r>
          </w:p>
        </w:tc>
      </w:tr>
      <w:tr>
        <w:trPr>
          <w:trHeight w:val="160"/>
        </w:trPr>
        <w:tc>
          <w:tcPr>
            <w:tcW w:w="5020" w:type="dxa"/>
            <w:vAlign w:val="bottom"/>
          </w:tcPr>
          <w:p>
            <w:pPr>
              <w:spacing w:after="0"/>
              <w:rPr>
                <w:sz w:val="20"/>
                <w:szCs w:val="20"/>
                <w:color w:val="auto"/>
              </w:rPr>
            </w:pPr>
            <w:r>
              <w:rPr>
                <w:rFonts w:ascii="Arial" w:cs="Arial" w:eastAsia="Arial" w:hAnsi="Arial"/>
                <w:sz w:val="14"/>
                <w:szCs w:val="14"/>
                <w:color w:val="auto"/>
              </w:rPr>
              <w:t>Future cash inflows</w:t>
            </w:r>
          </w:p>
        </w:tc>
        <w:tc>
          <w:tcPr>
            <w:tcW w:w="880" w:type="dxa"/>
            <w:vAlign w:val="bottom"/>
          </w:tcPr>
          <w:p>
            <w:pPr>
              <w:jc w:val="right"/>
              <w:ind w:right="9"/>
              <w:spacing w:after="0"/>
              <w:rPr>
                <w:sz w:val="20"/>
                <w:szCs w:val="20"/>
                <w:color w:val="auto"/>
              </w:rPr>
            </w:pPr>
            <w:r>
              <w:rPr>
                <w:rFonts w:ascii="Arial" w:cs="Arial" w:eastAsia="Arial" w:hAnsi="Arial"/>
                <w:sz w:val="14"/>
                <w:szCs w:val="14"/>
                <w:color w:val="auto"/>
              </w:rPr>
              <w:t>60,397</w:t>
            </w:r>
          </w:p>
        </w:tc>
        <w:tc>
          <w:tcPr>
            <w:tcW w:w="660" w:type="dxa"/>
            <w:vAlign w:val="bottom"/>
          </w:tcPr>
          <w:p>
            <w:pPr>
              <w:jc w:val="right"/>
              <w:ind w:right="69"/>
              <w:spacing w:after="0"/>
              <w:rPr>
                <w:sz w:val="20"/>
                <w:szCs w:val="20"/>
                <w:color w:val="auto"/>
              </w:rPr>
            </w:pPr>
            <w:r>
              <w:rPr>
                <w:rFonts w:ascii="Arial" w:cs="Arial" w:eastAsia="Arial" w:hAnsi="Arial"/>
                <w:sz w:val="14"/>
                <w:szCs w:val="14"/>
                <w:color w:val="auto"/>
              </w:rPr>
              <w:t>92,756</w:t>
            </w:r>
          </w:p>
        </w:tc>
        <w:tc>
          <w:tcPr>
            <w:tcW w:w="880" w:type="dxa"/>
            <w:vAlign w:val="bottom"/>
          </w:tcPr>
          <w:p>
            <w:pPr>
              <w:jc w:val="right"/>
              <w:ind w:right="189"/>
              <w:spacing w:after="0"/>
              <w:rPr>
                <w:sz w:val="20"/>
                <w:szCs w:val="20"/>
                <w:color w:val="auto"/>
              </w:rPr>
            </w:pPr>
            <w:r>
              <w:rPr>
                <w:rFonts w:ascii="Arial" w:cs="Arial" w:eastAsia="Arial" w:hAnsi="Arial"/>
                <w:sz w:val="14"/>
                <w:szCs w:val="14"/>
                <w:color w:val="auto"/>
              </w:rPr>
              <w:t>11,370</w:t>
            </w:r>
          </w:p>
        </w:tc>
        <w:tc>
          <w:tcPr>
            <w:tcW w:w="54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400" w:type="dxa"/>
            <w:vAlign w:val="bottom"/>
          </w:tcPr>
          <w:p>
            <w:pPr>
              <w:jc w:val="right"/>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10"/>
              <w:spacing w:after="0"/>
              <w:rPr>
                <w:sz w:val="20"/>
                <w:szCs w:val="20"/>
                <w:color w:val="auto"/>
              </w:rPr>
            </w:pPr>
            <w:r>
              <w:rPr>
                <w:rFonts w:ascii="Arial" w:cs="Arial" w:eastAsia="Arial" w:hAnsi="Arial"/>
                <w:sz w:val="14"/>
                <w:szCs w:val="14"/>
                <w:color w:val="auto"/>
              </w:rPr>
              <w:t>–</w:t>
            </w:r>
          </w:p>
        </w:tc>
        <w:tc>
          <w:tcPr>
            <w:tcW w:w="10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129"/>
              <w:spacing w:after="0"/>
              <w:rPr>
                <w:sz w:val="20"/>
                <w:szCs w:val="20"/>
                <w:color w:val="auto"/>
              </w:rPr>
            </w:pPr>
            <w:r>
              <w:rPr>
                <w:rFonts w:ascii="Arial" w:cs="Arial" w:eastAsia="Arial" w:hAnsi="Arial"/>
                <w:sz w:val="14"/>
                <w:szCs w:val="14"/>
                <w:color w:val="auto"/>
              </w:rPr>
              <w:t>164,523</w:t>
            </w:r>
          </w:p>
        </w:tc>
      </w:tr>
      <w:tr>
        <w:trPr>
          <w:trHeight w:val="162"/>
        </w:trPr>
        <w:tc>
          <w:tcPr>
            <w:tcW w:w="5020" w:type="dxa"/>
            <w:vAlign w:val="bottom"/>
          </w:tcPr>
          <w:p>
            <w:pPr>
              <w:spacing w:after="0"/>
              <w:rPr>
                <w:sz w:val="20"/>
                <w:szCs w:val="20"/>
                <w:color w:val="auto"/>
              </w:rPr>
            </w:pPr>
            <w:r>
              <w:rPr>
                <w:rFonts w:ascii="Arial" w:cs="Arial" w:eastAsia="Arial" w:hAnsi="Arial"/>
                <w:sz w:val="14"/>
                <w:szCs w:val="14"/>
                <w:color w:val="auto"/>
              </w:rPr>
              <w:t>Future production costs</w:t>
            </w:r>
          </w:p>
        </w:tc>
        <w:tc>
          <w:tcPr>
            <w:tcW w:w="880" w:type="dxa"/>
            <w:vAlign w:val="bottom"/>
          </w:tcPr>
          <w:p>
            <w:pPr>
              <w:jc w:val="right"/>
              <w:ind w:right="9"/>
              <w:spacing w:after="0"/>
              <w:rPr>
                <w:sz w:val="20"/>
                <w:szCs w:val="20"/>
                <w:color w:val="auto"/>
              </w:rPr>
            </w:pPr>
            <w:r>
              <w:rPr>
                <w:rFonts w:ascii="Arial" w:cs="Arial" w:eastAsia="Arial" w:hAnsi="Arial"/>
                <w:sz w:val="14"/>
                <w:szCs w:val="14"/>
                <w:color w:val="auto"/>
              </w:rPr>
              <w:t>42,656</w:t>
            </w:r>
          </w:p>
        </w:tc>
        <w:tc>
          <w:tcPr>
            <w:tcW w:w="660" w:type="dxa"/>
            <w:vAlign w:val="bottom"/>
          </w:tcPr>
          <w:p>
            <w:pPr>
              <w:jc w:val="right"/>
              <w:ind w:right="69"/>
              <w:spacing w:after="0"/>
              <w:rPr>
                <w:sz w:val="20"/>
                <w:szCs w:val="20"/>
                <w:color w:val="auto"/>
              </w:rPr>
            </w:pPr>
            <w:r>
              <w:rPr>
                <w:rFonts w:ascii="Arial" w:cs="Arial" w:eastAsia="Arial" w:hAnsi="Arial"/>
                <w:sz w:val="14"/>
                <w:szCs w:val="14"/>
                <w:color w:val="auto"/>
              </w:rPr>
              <w:t>37,961</w:t>
            </w:r>
          </w:p>
        </w:tc>
        <w:tc>
          <w:tcPr>
            <w:tcW w:w="880" w:type="dxa"/>
            <w:vAlign w:val="bottom"/>
          </w:tcPr>
          <w:p>
            <w:pPr>
              <w:jc w:val="right"/>
              <w:ind w:right="189"/>
              <w:spacing w:after="0"/>
              <w:rPr>
                <w:sz w:val="20"/>
                <w:szCs w:val="20"/>
                <w:color w:val="auto"/>
              </w:rPr>
            </w:pPr>
            <w:r>
              <w:rPr>
                <w:rFonts w:ascii="Arial" w:cs="Arial" w:eastAsia="Arial" w:hAnsi="Arial"/>
                <w:sz w:val="14"/>
                <w:szCs w:val="14"/>
                <w:color w:val="auto"/>
              </w:rPr>
              <w:t>3,021</w:t>
            </w:r>
          </w:p>
        </w:tc>
        <w:tc>
          <w:tcPr>
            <w:tcW w:w="54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400" w:type="dxa"/>
            <w:vAlign w:val="bottom"/>
          </w:tcPr>
          <w:p>
            <w:pPr>
              <w:jc w:val="right"/>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10"/>
              <w:spacing w:after="0"/>
              <w:rPr>
                <w:sz w:val="20"/>
                <w:szCs w:val="20"/>
                <w:color w:val="auto"/>
              </w:rPr>
            </w:pPr>
            <w:r>
              <w:rPr>
                <w:rFonts w:ascii="Arial" w:cs="Arial" w:eastAsia="Arial" w:hAnsi="Arial"/>
                <w:sz w:val="14"/>
                <w:szCs w:val="14"/>
                <w:color w:val="auto"/>
              </w:rPr>
              <w:t>–</w:t>
            </w:r>
          </w:p>
        </w:tc>
        <w:tc>
          <w:tcPr>
            <w:tcW w:w="10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129"/>
              <w:spacing w:after="0"/>
              <w:rPr>
                <w:sz w:val="20"/>
                <w:szCs w:val="20"/>
                <w:color w:val="auto"/>
              </w:rPr>
            </w:pPr>
            <w:r>
              <w:rPr>
                <w:rFonts w:ascii="Arial" w:cs="Arial" w:eastAsia="Arial" w:hAnsi="Arial"/>
                <w:sz w:val="14"/>
                <w:szCs w:val="14"/>
                <w:color w:val="auto"/>
              </w:rPr>
              <w:t>83,638</w:t>
            </w:r>
          </w:p>
        </w:tc>
      </w:tr>
      <w:tr>
        <w:trPr>
          <w:trHeight w:val="162"/>
        </w:trPr>
        <w:tc>
          <w:tcPr>
            <w:tcW w:w="5020" w:type="dxa"/>
            <w:vAlign w:val="bottom"/>
          </w:tcPr>
          <w:p>
            <w:pPr>
              <w:spacing w:after="0"/>
              <w:rPr>
                <w:sz w:val="20"/>
                <w:szCs w:val="20"/>
                <w:color w:val="auto"/>
              </w:rPr>
            </w:pPr>
            <w:r>
              <w:rPr>
                <w:rFonts w:ascii="Arial" w:cs="Arial" w:eastAsia="Arial" w:hAnsi="Arial"/>
                <w:sz w:val="14"/>
                <w:szCs w:val="14"/>
                <w:color w:val="auto"/>
              </w:rPr>
              <w:t>Future development costs</w:t>
            </w:r>
          </w:p>
        </w:tc>
        <w:tc>
          <w:tcPr>
            <w:tcW w:w="880" w:type="dxa"/>
            <w:vAlign w:val="bottom"/>
          </w:tcPr>
          <w:p>
            <w:pPr>
              <w:jc w:val="right"/>
              <w:ind w:right="9"/>
              <w:spacing w:after="0"/>
              <w:rPr>
                <w:sz w:val="20"/>
                <w:szCs w:val="20"/>
                <w:color w:val="auto"/>
              </w:rPr>
            </w:pPr>
            <w:r>
              <w:rPr>
                <w:rFonts w:ascii="Arial" w:cs="Arial" w:eastAsia="Arial" w:hAnsi="Arial"/>
                <w:sz w:val="14"/>
                <w:szCs w:val="14"/>
                <w:color w:val="auto"/>
              </w:rPr>
              <w:t>1,631</w:t>
            </w:r>
          </w:p>
        </w:tc>
        <w:tc>
          <w:tcPr>
            <w:tcW w:w="660" w:type="dxa"/>
            <w:vAlign w:val="bottom"/>
          </w:tcPr>
          <w:p>
            <w:pPr>
              <w:jc w:val="right"/>
              <w:ind w:right="69"/>
              <w:spacing w:after="0"/>
              <w:rPr>
                <w:sz w:val="20"/>
                <w:szCs w:val="20"/>
                <w:color w:val="auto"/>
              </w:rPr>
            </w:pPr>
            <w:r>
              <w:rPr>
                <w:rFonts w:ascii="Arial" w:cs="Arial" w:eastAsia="Arial" w:hAnsi="Arial"/>
                <w:sz w:val="14"/>
                <w:szCs w:val="14"/>
                <w:color w:val="auto"/>
              </w:rPr>
              <w:t>10,089</w:t>
            </w:r>
          </w:p>
        </w:tc>
        <w:tc>
          <w:tcPr>
            <w:tcW w:w="880" w:type="dxa"/>
            <w:vAlign w:val="bottom"/>
          </w:tcPr>
          <w:p>
            <w:pPr>
              <w:jc w:val="right"/>
              <w:ind w:right="189"/>
              <w:spacing w:after="0"/>
              <w:rPr>
                <w:sz w:val="20"/>
                <w:szCs w:val="20"/>
                <w:color w:val="auto"/>
              </w:rPr>
            </w:pPr>
            <w:r>
              <w:rPr>
                <w:rFonts w:ascii="Arial" w:cs="Arial" w:eastAsia="Arial" w:hAnsi="Arial"/>
                <w:sz w:val="14"/>
                <w:szCs w:val="14"/>
                <w:color w:val="auto"/>
              </w:rPr>
              <w:t>2,580</w:t>
            </w:r>
          </w:p>
        </w:tc>
        <w:tc>
          <w:tcPr>
            <w:tcW w:w="54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400" w:type="dxa"/>
            <w:vAlign w:val="bottom"/>
          </w:tcPr>
          <w:p>
            <w:pPr>
              <w:jc w:val="right"/>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10"/>
              <w:spacing w:after="0"/>
              <w:rPr>
                <w:sz w:val="20"/>
                <w:szCs w:val="20"/>
                <w:color w:val="auto"/>
              </w:rPr>
            </w:pPr>
            <w:r>
              <w:rPr>
                <w:rFonts w:ascii="Arial" w:cs="Arial" w:eastAsia="Arial" w:hAnsi="Arial"/>
                <w:sz w:val="14"/>
                <w:szCs w:val="14"/>
                <w:color w:val="auto"/>
              </w:rPr>
              <w:t>–</w:t>
            </w:r>
          </w:p>
        </w:tc>
        <w:tc>
          <w:tcPr>
            <w:tcW w:w="10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129"/>
              <w:spacing w:after="0"/>
              <w:rPr>
                <w:sz w:val="20"/>
                <w:szCs w:val="20"/>
                <w:color w:val="auto"/>
              </w:rPr>
            </w:pPr>
            <w:r>
              <w:rPr>
                <w:rFonts w:ascii="Arial" w:cs="Arial" w:eastAsia="Arial" w:hAnsi="Arial"/>
                <w:sz w:val="14"/>
                <w:szCs w:val="14"/>
                <w:color w:val="auto"/>
              </w:rPr>
              <w:t>14,300</w:t>
            </w:r>
          </w:p>
        </w:tc>
      </w:tr>
      <w:tr>
        <w:trPr>
          <w:trHeight w:val="157"/>
        </w:trPr>
        <w:tc>
          <w:tcPr>
            <w:tcW w:w="5020" w:type="dxa"/>
            <w:vAlign w:val="bottom"/>
            <w:tcBorders>
              <w:bottom w:val="single" w:sz="8" w:color="auto"/>
            </w:tcBorders>
          </w:tcPr>
          <w:p>
            <w:pPr>
              <w:spacing w:after="0" w:line="157" w:lineRule="exact"/>
              <w:rPr>
                <w:sz w:val="20"/>
                <w:szCs w:val="20"/>
                <w:color w:val="auto"/>
              </w:rPr>
            </w:pPr>
            <w:r>
              <w:rPr>
                <w:rFonts w:ascii="Arial" w:cs="Arial" w:eastAsia="Arial" w:hAnsi="Arial"/>
                <w:sz w:val="14"/>
                <w:szCs w:val="14"/>
                <w:color w:val="auto"/>
              </w:rPr>
              <w:t>Future tax expenses</w:t>
            </w:r>
          </w:p>
        </w:tc>
        <w:tc>
          <w:tcPr>
            <w:tcW w:w="880" w:type="dxa"/>
            <w:vAlign w:val="bottom"/>
            <w:tcBorders>
              <w:bottom w:val="single" w:sz="8" w:color="auto"/>
            </w:tcBorders>
          </w:tcPr>
          <w:p>
            <w:pPr>
              <w:jc w:val="right"/>
              <w:ind w:right="9"/>
              <w:spacing w:after="0" w:line="157" w:lineRule="exact"/>
              <w:rPr>
                <w:sz w:val="20"/>
                <w:szCs w:val="20"/>
                <w:color w:val="auto"/>
              </w:rPr>
            </w:pPr>
            <w:r>
              <w:rPr>
                <w:rFonts w:ascii="Arial" w:cs="Arial" w:eastAsia="Arial" w:hAnsi="Arial"/>
                <w:sz w:val="14"/>
                <w:szCs w:val="14"/>
                <w:color w:val="auto"/>
              </w:rPr>
              <w:t>6,005</w:t>
            </w:r>
          </w:p>
        </w:tc>
        <w:tc>
          <w:tcPr>
            <w:tcW w:w="660" w:type="dxa"/>
            <w:vAlign w:val="bottom"/>
            <w:tcBorders>
              <w:bottom w:val="single" w:sz="8" w:color="auto"/>
            </w:tcBorders>
          </w:tcPr>
          <w:p>
            <w:pPr>
              <w:jc w:val="right"/>
              <w:ind w:right="69"/>
              <w:spacing w:after="0" w:line="157" w:lineRule="exact"/>
              <w:rPr>
                <w:sz w:val="20"/>
                <w:szCs w:val="20"/>
                <w:color w:val="auto"/>
              </w:rPr>
            </w:pPr>
            <w:r>
              <w:rPr>
                <w:rFonts w:ascii="Arial" w:cs="Arial" w:eastAsia="Arial" w:hAnsi="Arial"/>
                <w:sz w:val="14"/>
                <w:szCs w:val="14"/>
                <w:color w:val="auto"/>
              </w:rPr>
              <w:t>16,368</w:t>
            </w:r>
          </w:p>
        </w:tc>
        <w:tc>
          <w:tcPr>
            <w:tcW w:w="880" w:type="dxa"/>
            <w:vAlign w:val="bottom"/>
            <w:tcBorders>
              <w:bottom w:val="single" w:sz="8" w:color="auto"/>
            </w:tcBorders>
          </w:tcPr>
          <w:p>
            <w:pPr>
              <w:jc w:val="right"/>
              <w:ind w:right="189"/>
              <w:spacing w:after="0" w:line="157" w:lineRule="exact"/>
              <w:rPr>
                <w:sz w:val="20"/>
                <w:szCs w:val="20"/>
                <w:color w:val="auto"/>
              </w:rPr>
            </w:pPr>
            <w:r>
              <w:rPr>
                <w:rFonts w:ascii="Arial" w:cs="Arial" w:eastAsia="Arial" w:hAnsi="Arial"/>
                <w:sz w:val="14"/>
                <w:szCs w:val="14"/>
                <w:color w:val="auto"/>
              </w:rPr>
              <w:t>1,708</w:t>
            </w:r>
          </w:p>
        </w:tc>
        <w:tc>
          <w:tcPr>
            <w:tcW w:w="540" w:type="dxa"/>
            <w:vAlign w:val="bottom"/>
            <w:tcBorders>
              <w:bottom w:val="single" w:sz="8" w:color="auto"/>
            </w:tcBorders>
          </w:tcPr>
          <w:p>
            <w:pPr>
              <w:jc w:val="right"/>
              <w:ind w:right="49"/>
              <w:spacing w:after="0" w:line="157" w:lineRule="exact"/>
              <w:rPr>
                <w:sz w:val="20"/>
                <w:szCs w:val="20"/>
                <w:color w:val="auto"/>
              </w:rPr>
            </w:pPr>
            <w:r>
              <w:rPr>
                <w:rFonts w:ascii="Arial" w:cs="Arial" w:eastAsia="Arial" w:hAnsi="Arial"/>
                <w:sz w:val="14"/>
                <w:szCs w:val="14"/>
                <w:color w:val="auto"/>
              </w:rPr>
              <w:t>–</w:t>
            </w:r>
          </w:p>
        </w:tc>
        <w:tc>
          <w:tcPr>
            <w:tcW w:w="400" w:type="dxa"/>
            <w:vAlign w:val="bottom"/>
            <w:tcBorders>
              <w:bottom w:val="single" w:sz="8" w:color="auto"/>
            </w:tcBorders>
          </w:tcPr>
          <w:p>
            <w:pPr>
              <w:jc w:val="right"/>
              <w:spacing w:after="0" w:line="157" w:lineRule="exact"/>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tcPr>
          <w:p>
            <w:pPr>
              <w:jc w:val="right"/>
              <w:ind w:right="10"/>
              <w:spacing w:after="0" w:line="157" w:lineRule="exact"/>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gridSpan w:val="2"/>
          </w:tcPr>
          <w:p>
            <w:pPr>
              <w:jc w:val="right"/>
              <w:ind w:right="140"/>
              <w:spacing w:after="0" w:line="157" w:lineRule="exact"/>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tcPr>
          <w:p>
            <w:pPr>
              <w:jc w:val="right"/>
              <w:ind w:right="129"/>
              <w:spacing w:after="0" w:line="157" w:lineRule="exact"/>
              <w:rPr>
                <w:sz w:val="20"/>
                <w:szCs w:val="20"/>
                <w:color w:val="auto"/>
              </w:rPr>
            </w:pPr>
            <w:r>
              <w:rPr>
                <w:rFonts w:ascii="Arial" w:cs="Arial" w:eastAsia="Arial" w:hAnsi="Arial"/>
                <w:sz w:val="14"/>
                <w:szCs w:val="14"/>
                <w:color w:val="auto"/>
              </w:rPr>
              <w:t>24,081</w:t>
            </w:r>
          </w:p>
        </w:tc>
      </w:tr>
      <w:tr>
        <w:trPr>
          <w:trHeight w:val="160"/>
        </w:trPr>
        <w:tc>
          <w:tcPr>
            <w:tcW w:w="5020" w:type="dxa"/>
            <w:vAlign w:val="bottom"/>
          </w:tcPr>
          <w:p>
            <w:pPr>
              <w:spacing w:after="0"/>
              <w:rPr>
                <w:sz w:val="20"/>
                <w:szCs w:val="20"/>
                <w:color w:val="auto"/>
              </w:rPr>
            </w:pPr>
            <w:r>
              <w:rPr>
                <w:rFonts w:ascii="Arial" w:cs="Arial" w:eastAsia="Arial" w:hAnsi="Arial"/>
                <w:sz w:val="14"/>
                <w:szCs w:val="14"/>
                <w:color w:val="auto"/>
              </w:rPr>
              <w:t>Future net cash flows</w:t>
            </w:r>
          </w:p>
        </w:tc>
        <w:tc>
          <w:tcPr>
            <w:tcW w:w="880" w:type="dxa"/>
            <w:vAlign w:val="bottom"/>
          </w:tcPr>
          <w:p>
            <w:pPr>
              <w:jc w:val="right"/>
              <w:ind w:right="9"/>
              <w:spacing w:after="0"/>
              <w:rPr>
                <w:sz w:val="20"/>
                <w:szCs w:val="20"/>
                <w:color w:val="auto"/>
              </w:rPr>
            </w:pPr>
            <w:r>
              <w:rPr>
                <w:rFonts w:ascii="Arial" w:cs="Arial" w:eastAsia="Arial" w:hAnsi="Arial"/>
                <w:sz w:val="14"/>
                <w:szCs w:val="14"/>
                <w:color w:val="auto"/>
              </w:rPr>
              <w:t>10,105</w:t>
            </w:r>
          </w:p>
        </w:tc>
        <w:tc>
          <w:tcPr>
            <w:tcW w:w="660" w:type="dxa"/>
            <w:vAlign w:val="bottom"/>
          </w:tcPr>
          <w:p>
            <w:pPr>
              <w:jc w:val="right"/>
              <w:ind w:right="69"/>
              <w:spacing w:after="0"/>
              <w:rPr>
                <w:sz w:val="20"/>
                <w:szCs w:val="20"/>
                <w:color w:val="auto"/>
              </w:rPr>
            </w:pPr>
            <w:r>
              <w:rPr>
                <w:rFonts w:ascii="Arial" w:cs="Arial" w:eastAsia="Arial" w:hAnsi="Arial"/>
                <w:sz w:val="14"/>
                <w:szCs w:val="14"/>
                <w:color w:val="auto"/>
              </w:rPr>
              <w:t>28,338</w:t>
            </w:r>
          </w:p>
        </w:tc>
        <w:tc>
          <w:tcPr>
            <w:tcW w:w="880" w:type="dxa"/>
            <w:vAlign w:val="bottom"/>
          </w:tcPr>
          <w:p>
            <w:pPr>
              <w:jc w:val="right"/>
              <w:ind w:right="189"/>
              <w:spacing w:after="0"/>
              <w:rPr>
                <w:sz w:val="20"/>
                <w:szCs w:val="20"/>
                <w:color w:val="auto"/>
              </w:rPr>
            </w:pPr>
            <w:r>
              <w:rPr>
                <w:rFonts w:ascii="Arial" w:cs="Arial" w:eastAsia="Arial" w:hAnsi="Arial"/>
                <w:sz w:val="14"/>
                <w:szCs w:val="14"/>
                <w:color w:val="auto"/>
              </w:rPr>
              <w:t>4,061</w:t>
            </w:r>
          </w:p>
        </w:tc>
        <w:tc>
          <w:tcPr>
            <w:tcW w:w="54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400" w:type="dxa"/>
            <w:vAlign w:val="bottom"/>
          </w:tcPr>
          <w:p>
            <w:pPr>
              <w:jc w:val="right"/>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10"/>
              <w:spacing w:after="0"/>
              <w:rPr>
                <w:sz w:val="20"/>
                <w:szCs w:val="20"/>
                <w:color w:val="auto"/>
              </w:rPr>
            </w:pPr>
            <w:r>
              <w:rPr>
                <w:rFonts w:ascii="Arial" w:cs="Arial" w:eastAsia="Arial" w:hAnsi="Arial"/>
                <w:sz w:val="14"/>
                <w:szCs w:val="14"/>
                <w:color w:val="auto"/>
              </w:rPr>
              <w:t>–</w:t>
            </w:r>
          </w:p>
        </w:tc>
        <w:tc>
          <w:tcPr>
            <w:tcW w:w="10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129"/>
              <w:spacing w:after="0"/>
              <w:rPr>
                <w:sz w:val="20"/>
                <w:szCs w:val="20"/>
                <w:color w:val="auto"/>
              </w:rPr>
            </w:pPr>
            <w:r>
              <w:rPr>
                <w:rFonts w:ascii="Arial" w:cs="Arial" w:eastAsia="Arial" w:hAnsi="Arial"/>
                <w:sz w:val="14"/>
                <w:szCs w:val="14"/>
                <w:color w:val="auto"/>
              </w:rPr>
              <w:t>42,504</w:t>
            </w:r>
          </w:p>
        </w:tc>
      </w:tr>
      <w:tr>
        <w:trPr>
          <w:trHeight w:val="157"/>
        </w:trPr>
        <w:tc>
          <w:tcPr>
            <w:tcW w:w="5020" w:type="dxa"/>
            <w:vAlign w:val="bottom"/>
            <w:tcBorders>
              <w:bottom w:val="single" w:sz="8" w:color="auto"/>
            </w:tcBorders>
          </w:tcPr>
          <w:p>
            <w:pPr>
              <w:spacing w:after="0" w:line="157" w:lineRule="exact"/>
              <w:rPr>
                <w:sz w:val="20"/>
                <w:szCs w:val="20"/>
                <w:color w:val="auto"/>
              </w:rPr>
            </w:pPr>
            <w:r>
              <w:rPr>
                <w:rFonts w:ascii="Arial" w:cs="Arial" w:eastAsia="Arial" w:hAnsi="Arial"/>
                <w:sz w:val="14"/>
                <w:szCs w:val="14"/>
                <w:color w:val="auto"/>
              </w:rPr>
              <w:t>Effect of discounting cash flows at 10%</w:t>
            </w:r>
          </w:p>
        </w:tc>
        <w:tc>
          <w:tcPr>
            <w:tcW w:w="880" w:type="dxa"/>
            <w:vAlign w:val="bottom"/>
            <w:tcBorders>
              <w:bottom w:val="single" w:sz="8" w:color="auto"/>
            </w:tcBorders>
          </w:tcPr>
          <w:p>
            <w:pPr>
              <w:jc w:val="right"/>
              <w:ind w:right="9"/>
              <w:spacing w:after="0" w:line="157" w:lineRule="exact"/>
              <w:rPr>
                <w:sz w:val="20"/>
                <w:szCs w:val="20"/>
                <w:color w:val="auto"/>
              </w:rPr>
            </w:pPr>
            <w:r>
              <w:rPr>
                <w:rFonts w:ascii="Arial" w:cs="Arial" w:eastAsia="Arial" w:hAnsi="Arial"/>
                <w:sz w:val="14"/>
                <w:szCs w:val="14"/>
                <w:color w:val="auto"/>
              </w:rPr>
              <w:t>4,953</w:t>
            </w:r>
          </w:p>
        </w:tc>
        <w:tc>
          <w:tcPr>
            <w:tcW w:w="660" w:type="dxa"/>
            <w:vAlign w:val="bottom"/>
            <w:tcBorders>
              <w:bottom w:val="single" w:sz="8" w:color="auto"/>
            </w:tcBorders>
          </w:tcPr>
          <w:p>
            <w:pPr>
              <w:jc w:val="right"/>
              <w:ind w:right="69"/>
              <w:spacing w:after="0" w:line="157" w:lineRule="exact"/>
              <w:rPr>
                <w:sz w:val="20"/>
                <w:szCs w:val="20"/>
                <w:color w:val="auto"/>
              </w:rPr>
            </w:pPr>
            <w:r>
              <w:rPr>
                <w:rFonts w:ascii="Arial" w:cs="Arial" w:eastAsia="Arial" w:hAnsi="Arial"/>
                <w:sz w:val="14"/>
                <w:szCs w:val="14"/>
                <w:color w:val="auto"/>
              </w:rPr>
              <w:t>12,218</w:t>
            </w:r>
          </w:p>
        </w:tc>
        <w:tc>
          <w:tcPr>
            <w:tcW w:w="880" w:type="dxa"/>
            <w:vAlign w:val="bottom"/>
            <w:tcBorders>
              <w:bottom w:val="single" w:sz="8" w:color="auto"/>
            </w:tcBorders>
          </w:tcPr>
          <w:p>
            <w:pPr>
              <w:jc w:val="right"/>
              <w:ind w:right="189"/>
              <w:spacing w:after="0" w:line="157" w:lineRule="exact"/>
              <w:rPr>
                <w:sz w:val="20"/>
                <w:szCs w:val="20"/>
                <w:color w:val="auto"/>
              </w:rPr>
            </w:pPr>
            <w:r>
              <w:rPr>
                <w:rFonts w:ascii="Arial" w:cs="Arial" w:eastAsia="Arial" w:hAnsi="Arial"/>
                <w:sz w:val="14"/>
                <w:szCs w:val="14"/>
                <w:color w:val="auto"/>
              </w:rPr>
              <w:t>1,989</w:t>
            </w:r>
          </w:p>
        </w:tc>
        <w:tc>
          <w:tcPr>
            <w:tcW w:w="540" w:type="dxa"/>
            <w:vAlign w:val="bottom"/>
            <w:tcBorders>
              <w:bottom w:val="single" w:sz="8" w:color="auto"/>
            </w:tcBorders>
          </w:tcPr>
          <w:p>
            <w:pPr>
              <w:jc w:val="right"/>
              <w:ind w:right="49"/>
              <w:spacing w:after="0" w:line="157" w:lineRule="exact"/>
              <w:rPr>
                <w:sz w:val="20"/>
                <w:szCs w:val="20"/>
                <w:color w:val="auto"/>
              </w:rPr>
            </w:pPr>
            <w:r>
              <w:rPr>
                <w:rFonts w:ascii="Arial" w:cs="Arial" w:eastAsia="Arial" w:hAnsi="Arial"/>
                <w:sz w:val="14"/>
                <w:szCs w:val="14"/>
                <w:color w:val="auto"/>
              </w:rPr>
              <w:t>–</w:t>
            </w:r>
          </w:p>
        </w:tc>
        <w:tc>
          <w:tcPr>
            <w:tcW w:w="400" w:type="dxa"/>
            <w:vAlign w:val="bottom"/>
            <w:tcBorders>
              <w:bottom w:val="single" w:sz="8" w:color="auto"/>
            </w:tcBorders>
          </w:tcPr>
          <w:p>
            <w:pPr>
              <w:jc w:val="right"/>
              <w:spacing w:after="0" w:line="157" w:lineRule="exact"/>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tcPr>
          <w:p>
            <w:pPr>
              <w:jc w:val="right"/>
              <w:ind w:right="10"/>
              <w:spacing w:after="0" w:line="157" w:lineRule="exact"/>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gridSpan w:val="2"/>
          </w:tcPr>
          <w:p>
            <w:pPr>
              <w:jc w:val="right"/>
              <w:ind w:right="140"/>
              <w:spacing w:after="0" w:line="157" w:lineRule="exact"/>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tcPr>
          <w:p>
            <w:pPr>
              <w:jc w:val="right"/>
              <w:ind w:right="129"/>
              <w:spacing w:after="0" w:line="157" w:lineRule="exact"/>
              <w:rPr>
                <w:sz w:val="20"/>
                <w:szCs w:val="20"/>
                <w:color w:val="auto"/>
              </w:rPr>
            </w:pPr>
            <w:r>
              <w:rPr>
                <w:rFonts w:ascii="Arial" w:cs="Arial" w:eastAsia="Arial" w:hAnsi="Arial"/>
                <w:sz w:val="14"/>
                <w:szCs w:val="14"/>
                <w:color w:val="auto"/>
              </w:rPr>
              <w:t>19,160</w:t>
            </w:r>
          </w:p>
        </w:tc>
      </w:tr>
      <w:tr>
        <w:trPr>
          <w:trHeight w:val="169"/>
        </w:trPr>
        <w:tc>
          <w:tcPr>
            <w:tcW w:w="502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Standardised measure of discounted future net cash flows</w:t>
            </w:r>
          </w:p>
        </w:tc>
        <w:tc>
          <w:tcPr>
            <w:tcW w:w="88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5,152</w:t>
            </w:r>
          </w:p>
        </w:tc>
        <w:tc>
          <w:tcPr>
            <w:tcW w:w="66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color w:val="auto"/>
              </w:rPr>
              <w:t>16,120</w:t>
            </w:r>
          </w:p>
        </w:tc>
        <w:tc>
          <w:tcPr>
            <w:tcW w:w="880" w:type="dxa"/>
            <w:vAlign w:val="bottom"/>
            <w:tcBorders>
              <w:bottom w:val="single" w:sz="8" w:color="auto"/>
            </w:tcBorders>
          </w:tcPr>
          <w:p>
            <w:pPr>
              <w:jc w:val="right"/>
              <w:ind w:right="189"/>
              <w:spacing w:after="0"/>
              <w:rPr>
                <w:sz w:val="20"/>
                <w:szCs w:val="20"/>
                <w:color w:val="auto"/>
              </w:rPr>
            </w:pPr>
            <w:r>
              <w:rPr>
                <w:rFonts w:ascii="Arial" w:cs="Arial" w:eastAsia="Arial" w:hAnsi="Arial"/>
                <w:sz w:val="14"/>
                <w:szCs w:val="14"/>
                <w:color w:val="auto"/>
              </w:rPr>
              <w:t>2,072</w:t>
            </w:r>
          </w:p>
        </w:tc>
        <w:tc>
          <w:tcPr>
            <w:tcW w:w="54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tcPr>
          <w:p>
            <w:pPr>
              <w:jc w:val="right"/>
              <w:ind w:right="129"/>
              <w:spacing w:after="0"/>
              <w:rPr>
                <w:sz w:val="20"/>
                <w:szCs w:val="20"/>
                <w:color w:val="auto"/>
              </w:rPr>
            </w:pPr>
            <w:r>
              <w:rPr>
                <w:rFonts w:ascii="Arial" w:cs="Arial" w:eastAsia="Arial" w:hAnsi="Arial"/>
                <w:sz w:val="14"/>
                <w:szCs w:val="14"/>
                <w:color w:val="auto"/>
              </w:rPr>
              <w:t>23,344</w:t>
            </w:r>
          </w:p>
        </w:tc>
      </w:tr>
    </w:tbl>
    <w:p>
      <w:pPr>
        <w:spacing w:after="0" w:line="24" w:lineRule="exact"/>
        <w:rPr>
          <w:sz w:val="20"/>
          <w:szCs w:val="20"/>
          <w:color w:val="auto"/>
        </w:rPr>
      </w:pPr>
    </w:p>
    <w:p>
      <w:pPr>
        <w:spacing w:after="0"/>
        <w:rPr>
          <w:sz w:val="20"/>
          <w:szCs w:val="20"/>
          <w:color w:val="auto"/>
        </w:rPr>
      </w:pPr>
      <w:r>
        <w:rPr>
          <w:rFonts w:ascii="Arial" w:cs="Arial" w:eastAsia="Arial" w:hAnsi="Arial"/>
          <w:sz w:val="11"/>
          <w:szCs w:val="11"/>
          <w:color w:val="auto"/>
        </w:rPr>
        <w:t>[A] Includes Shell’s 14% share of Woodside as from June 2014 (previously: 23%), a publicly listed company on the Australian Securities Exchange. We have limited access to data; accordingly, the numbers are estimated.</w:t>
      </w:r>
    </w:p>
    <w:p>
      <w:pPr>
        <w:sectPr>
          <w:pgSz w:w="11900" w:h="16838" w:orient="portrait"/>
          <w:cols w:equalWidth="0" w:num="1">
            <w:col w:w="11420"/>
          </w:cols>
          <w:pgMar w:left="240" w:top="459" w:right="239" w:bottom="1440" w:gutter="0" w:footer="0" w:header="0"/>
        </w:sectPr>
      </w:pPr>
    </w:p>
    <w:bookmarkStart w:id="153" w:name="page154"/>
    <w:bookmarkEnd w:id="1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300355</wp:posOffset>
            </wp:positionV>
            <wp:extent cx="8890" cy="462915"/>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8890" cy="462915"/>
                    </a:xfrm>
                    <a:prstGeom prst="rect">
                      <a:avLst/>
                    </a:prstGeom>
                    <a:noFill/>
                  </pic:spPr>
                </pic:pic>
              </a:graphicData>
            </a:graphic>
          </wp:anchor>
        </w:drawing>
      </w:r>
    </w:p>
    <w:p>
      <w:pPr>
        <w:spacing w:after="0" w:line="200" w:lineRule="exact"/>
        <w:rPr>
          <w:sz w:val="20"/>
          <w:szCs w:val="20"/>
          <w:color w:val="auto"/>
        </w:rPr>
      </w:pP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565"/>
        </w:trPr>
        <w:tc>
          <w:tcPr>
            <w:tcW w:w="700" w:type="dxa"/>
            <w:vAlign w:val="bottom"/>
            <w:shd w:val="clear" w:color="auto" w:fill="FF8B00"/>
          </w:tcPr>
          <w:p>
            <w:pPr>
              <w:jc w:val="right"/>
              <w:ind w:right="206"/>
              <w:spacing w:after="0"/>
              <w:rPr>
                <w:sz w:val="20"/>
                <w:szCs w:val="20"/>
                <w:color w:val="auto"/>
              </w:rPr>
            </w:pPr>
            <w:r>
              <w:rPr>
                <w:rFonts w:ascii="Arial" w:cs="Arial" w:eastAsia="Arial" w:hAnsi="Arial"/>
                <w:sz w:val="11"/>
                <w:szCs w:val="11"/>
                <w:b w:val="1"/>
                <w:bCs w:val="1"/>
                <w:color w:val="333333"/>
              </w:rPr>
              <w:t>152</w:t>
            </w:r>
          </w:p>
        </w:tc>
        <w:tc>
          <w:tcPr>
            <w:tcW w:w="4880" w:type="dxa"/>
            <w:vAlign w:val="bottom"/>
            <w:shd w:val="clear" w:color="auto" w:fill="FF8B00"/>
          </w:tcPr>
          <w:p>
            <w:pPr>
              <w:jc w:val="right"/>
              <w:ind w:right="741"/>
              <w:spacing w:after="0"/>
              <w:rPr>
                <w:sz w:val="20"/>
                <w:szCs w:val="20"/>
                <w:color w:val="auto"/>
              </w:rPr>
            </w:pPr>
            <w:r>
              <w:rPr>
                <w:rFonts w:ascii="Arial" w:cs="Arial" w:eastAsia="Arial" w:hAnsi="Arial"/>
                <w:sz w:val="13"/>
                <w:szCs w:val="13"/>
                <w:color w:val="333333"/>
              </w:rPr>
              <w:t>FINANCIAL STATEMENTS AND SUPPLEMENTS</w:t>
            </w:r>
          </w:p>
        </w:tc>
        <w:tc>
          <w:tcPr>
            <w:tcW w:w="5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5"/>
        </w:trPr>
        <w:tc>
          <w:tcPr>
            <w:tcW w:w="700" w:type="dxa"/>
            <w:vAlign w:val="bottom"/>
            <w:shd w:val="clear" w:color="auto" w:fill="FF8B00"/>
          </w:tcPr>
          <w:p>
            <w:pPr>
              <w:spacing w:after="0"/>
              <w:rPr>
                <w:sz w:val="14"/>
                <w:szCs w:val="14"/>
                <w:color w:val="auto"/>
              </w:rPr>
            </w:pPr>
          </w:p>
        </w:tc>
        <w:tc>
          <w:tcPr>
            <w:tcW w:w="4880" w:type="dxa"/>
            <w:vAlign w:val="bottom"/>
            <w:shd w:val="clear" w:color="auto" w:fill="FF8B00"/>
          </w:tcPr>
          <w:p>
            <w:pPr>
              <w:spacing w:after="0"/>
              <w:rPr>
                <w:sz w:val="14"/>
                <w:szCs w:val="14"/>
                <w:color w:val="auto"/>
              </w:rPr>
            </w:pPr>
          </w:p>
        </w:tc>
        <w:tc>
          <w:tcPr>
            <w:tcW w:w="5840" w:type="dxa"/>
            <w:vAlign w:val="bottom"/>
            <w:vMerge w:val="restart"/>
          </w:tcPr>
          <w:p>
            <w:pPr>
              <w:ind w:left="3440"/>
              <w:spacing w:after="0"/>
              <w:rPr>
                <w:sz w:val="20"/>
                <w:szCs w:val="20"/>
                <w:color w:val="auto"/>
              </w:rPr>
            </w:pPr>
            <w:r>
              <w:rPr>
                <w:rFonts w:ascii="Arial" w:cs="Arial" w:eastAsia="Arial" w:hAnsi="Arial"/>
                <w:sz w:val="11"/>
                <w:szCs w:val="11"/>
                <w:color w:val="auto"/>
                <w:w w:val="96"/>
              </w:rPr>
              <w:t>SHELL ANNUAL REPORT AND FORM 20-F 2014</w:t>
            </w:r>
          </w:p>
        </w:tc>
        <w:tc>
          <w:tcPr>
            <w:tcW w:w="0" w:type="dxa"/>
            <w:vAlign w:val="bottom"/>
          </w:tcPr>
          <w:p>
            <w:pPr>
              <w:spacing w:after="0"/>
              <w:rPr>
                <w:sz w:val="1"/>
                <w:szCs w:val="1"/>
                <w:color w:val="auto"/>
              </w:rPr>
            </w:pPr>
          </w:p>
        </w:tc>
      </w:tr>
      <w:tr>
        <w:trPr>
          <w:trHeight w:val="118"/>
        </w:trPr>
        <w:tc>
          <w:tcPr>
            <w:tcW w:w="700" w:type="dxa"/>
            <w:vAlign w:val="bottom"/>
          </w:tcPr>
          <w:p>
            <w:pPr>
              <w:spacing w:after="0"/>
              <w:rPr>
                <w:sz w:val="10"/>
                <w:szCs w:val="10"/>
                <w:color w:val="auto"/>
              </w:rPr>
            </w:pPr>
          </w:p>
        </w:tc>
        <w:tc>
          <w:tcPr>
            <w:tcW w:w="4880" w:type="dxa"/>
            <w:vAlign w:val="bottom"/>
          </w:tcPr>
          <w:p>
            <w:pPr>
              <w:jc w:val="right"/>
              <w:ind w:right="741"/>
              <w:spacing w:after="0" w:line="119" w:lineRule="exact"/>
              <w:rPr>
                <w:sz w:val="20"/>
                <w:szCs w:val="20"/>
                <w:color w:val="auto"/>
              </w:rPr>
            </w:pPr>
            <w:r>
              <w:rPr>
                <w:rFonts w:ascii="Arial" w:cs="Arial" w:eastAsia="Arial" w:hAnsi="Arial"/>
                <w:sz w:val="11"/>
                <w:szCs w:val="11"/>
                <w:color w:val="auto"/>
              </w:rPr>
              <w:t>SUPPLEMENTARY INFORMATION – OIL AND GAS (UNAUDITED)</w:t>
            </w:r>
          </w:p>
        </w:tc>
        <w:tc>
          <w:tcPr>
            <w:tcW w:w="58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0"/>
        </w:trPr>
        <w:tc>
          <w:tcPr>
            <w:tcW w:w="5580" w:type="dxa"/>
            <w:vAlign w:val="bottom"/>
            <w:gridSpan w:val="2"/>
          </w:tcPr>
          <w:p>
            <w:pPr>
              <w:jc w:val="right"/>
              <w:ind w:right="2361"/>
              <w:spacing w:after="0"/>
              <w:rPr>
                <w:sz w:val="20"/>
                <w:szCs w:val="20"/>
                <w:color w:val="auto"/>
              </w:rPr>
            </w:pPr>
            <w:r>
              <w:rPr>
                <w:rFonts w:ascii="Arial" w:cs="Arial" w:eastAsia="Arial" w:hAnsi="Arial"/>
                <w:sz w:val="11"/>
                <w:szCs w:val="11"/>
                <w:color w:val="auto"/>
                <w:w w:val="97"/>
              </w:rPr>
              <w:t>[Standardised measure of discounted future cash flows continued]</w:t>
            </w:r>
          </w:p>
        </w:tc>
        <w:tc>
          <w:tcPr>
            <w:tcW w:w="584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4520" w:type="dxa"/>
            <w:vAlign w:val="bottom"/>
            <w:shd w:val="clear" w:color="auto" w:fill="333333"/>
          </w:tcPr>
          <w:p>
            <w:pPr>
              <w:ind w:left="80"/>
              <w:spacing w:after="0"/>
              <w:rPr>
                <w:sz w:val="20"/>
                <w:szCs w:val="20"/>
                <w:color w:val="auto"/>
              </w:rPr>
            </w:pPr>
            <w:r>
              <w:rPr>
                <w:rFonts w:ascii="Arial" w:cs="Arial" w:eastAsia="Arial" w:hAnsi="Arial"/>
                <w:sz w:val="15"/>
                <w:szCs w:val="15"/>
                <w:b w:val="1"/>
                <w:bCs w:val="1"/>
                <w:color w:val="FFFFFF"/>
              </w:rPr>
              <w:t>2013 – SHELL SUBSIDIARIES</w:t>
            </w:r>
          </w:p>
        </w:tc>
        <w:tc>
          <w:tcPr>
            <w:tcW w:w="1400" w:type="dxa"/>
            <w:vAlign w:val="bottom"/>
            <w:shd w:val="clear" w:color="auto" w:fill="333333"/>
          </w:tcPr>
          <w:p>
            <w:pPr>
              <w:spacing w:after="0"/>
              <w:rPr>
                <w:sz w:val="14"/>
                <w:szCs w:val="14"/>
                <w:color w:val="auto"/>
              </w:rPr>
            </w:pPr>
          </w:p>
        </w:tc>
        <w:tc>
          <w:tcPr>
            <w:tcW w:w="720" w:type="dxa"/>
            <w:vAlign w:val="bottom"/>
            <w:shd w:val="clear" w:color="auto" w:fill="333333"/>
          </w:tcPr>
          <w:p>
            <w:pPr>
              <w:spacing w:after="0"/>
              <w:rPr>
                <w:sz w:val="14"/>
                <w:szCs w:val="14"/>
                <w:color w:val="auto"/>
              </w:rPr>
            </w:pPr>
          </w:p>
        </w:tc>
        <w:tc>
          <w:tcPr>
            <w:tcW w:w="680" w:type="dxa"/>
            <w:vAlign w:val="bottom"/>
            <w:shd w:val="clear" w:color="auto" w:fill="333333"/>
          </w:tcPr>
          <w:p>
            <w:pPr>
              <w:spacing w:after="0"/>
              <w:rPr>
                <w:sz w:val="14"/>
                <w:szCs w:val="14"/>
                <w:color w:val="auto"/>
              </w:rPr>
            </w:pPr>
          </w:p>
        </w:tc>
        <w:tc>
          <w:tcPr>
            <w:tcW w:w="640" w:type="dxa"/>
            <w:vAlign w:val="bottom"/>
            <w:shd w:val="clear" w:color="auto" w:fill="333333"/>
          </w:tcPr>
          <w:p>
            <w:pPr>
              <w:spacing w:after="0"/>
              <w:rPr>
                <w:sz w:val="14"/>
                <w:szCs w:val="14"/>
                <w:color w:val="auto"/>
              </w:rPr>
            </w:pPr>
          </w:p>
        </w:tc>
        <w:tc>
          <w:tcPr>
            <w:tcW w:w="640" w:type="dxa"/>
            <w:vAlign w:val="bottom"/>
            <w:shd w:val="clear" w:color="auto" w:fill="333333"/>
          </w:tcPr>
          <w:p>
            <w:pPr>
              <w:spacing w:after="0"/>
              <w:rPr>
                <w:sz w:val="14"/>
                <w:szCs w:val="14"/>
                <w:color w:val="auto"/>
              </w:rPr>
            </w:pPr>
          </w:p>
        </w:tc>
        <w:tc>
          <w:tcPr>
            <w:tcW w:w="880" w:type="dxa"/>
            <w:vAlign w:val="bottom"/>
            <w:shd w:val="clear" w:color="auto" w:fill="333333"/>
          </w:tcPr>
          <w:p>
            <w:pPr>
              <w:spacing w:after="0"/>
              <w:rPr>
                <w:sz w:val="14"/>
                <w:szCs w:val="14"/>
                <w:color w:val="auto"/>
              </w:rPr>
            </w:pPr>
          </w:p>
        </w:tc>
        <w:tc>
          <w:tcPr>
            <w:tcW w:w="760" w:type="dxa"/>
            <w:vAlign w:val="bottom"/>
            <w:shd w:val="clear" w:color="auto" w:fill="333333"/>
          </w:tcPr>
          <w:p>
            <w:pPr>
              <w:spacing w:after="0"/>
              <w:rPr>
                <w:sz w:val="14"/>
                <w:szCs w:val="14"/>
                <w:color w:val="auto"/>
              </w:rPr>
            </w:pPr>
          </w:p>
        </w:tc>
        <w:tc>
          <w:tcPr>
            <w:tcW w:w="160" w:type="dxa"/>
            <w:vAlign w:val="bottom"/>
            <w:shd w:val="clear" w:color="auto" w:fill="333333"/>
          </w:tcPr>
          <w:p>
            <w:pPr>
              <w:spacing w:after="0"/>
              <w:rPr>
                <w:sz w:val="14"/>
                <w:szCs w:val="14"/>
                <w:color w:val="auto"/>
              </w:rPr>
            </w:pPr>
          </w:p>
        </w:tc>
        <w:tc>
          <w:tcPr>
            <w:tcW w:w="1020" w:type="dxa"/>
            <w:vAlign w:val="bottom"/>
            <w:shd w:val="clear" w:color="auto" w:fill="333333"/>
          </w:tcPr>
          <w:p>
            <w:pPr>
              <w:jc w:val="right"/>
              <w:ind w:right="28"/>
              <w:spacing w:after="0"/>
              <w:rPr>
                <w:sz w:val="20"/>
                <w:szCs w:val="20"/>
                <w:color w:val="auto"/>
              </w:rPr>
            </w:pPr>
            <w:r>
              <w:rPr>
                <w:rFonts w:ascii="Arial" w:cs="Arial" w:eastAsia="Arial" w:hAnsi="Arial"/>
                <w:sz w:val="15"/>
                <w:szCs w:val="15"/>
                <w:color w:val="FFFFFF"/>
              </w:rPr>
              <w:t>$ MILLION</w:t>
            </w:r>
          </w:p>
        </w:tc>
      </w:tr>
      <w:tr>
        <w:trPr>
          <w:trHeight w:val="143"/>
        </w:trPr>
        <w:tc>
          <w:tcPr>
            <w:tcW w:w="452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10"/>
              <w:spacing w:after="0" w:line="143" w:lineRule="exact"/>
              <w:rPr>
                <w:sz w:val="20"/>
                <w:szCs w:val="20"/>
                <w:color w:val="auto"/>
              </w:rPr>
            </w:pPr>
            <w:r>
              <w:rPr>
                <w:rFonts w:ascii="Arial" w:cs="Arial" w:eastAsia="Arial" w:hAnsi="Arial"/>
                <w:sz w:val="13"/>
                <w:szCs w:val="13"/>
                <w:color w:val="auto"/>
                <w:w w:val="93"/>
              </w:rPr>
              <w:t>North America</w:t>
            </w:r>
          </w:p>
        </w:tc>
        <w:tc>
          <w:tcPr>
            <w:tcW w:w="920" w:type="dxa"/>
            <w:vAlign w:val="bottom"/>
            <w:gridSpan w:val="2"/>
          </w:tcPr>
          <w:p>
            <w:pPr>
              <w:jc w:val="right"/>
              <w:ind w:right="160"/>
              <w:spacing w:after="0" w:line="143" w:lineRule="exact"/>
              <w:rPr>
                <w:sz w:val="20"/>
                <w:szCs w:val="20"/>
                <w:color w:val="auto"/>
              </w:rPr>
            </w:pPr>
            <w:r>
              <w:rPr>
                <w:rFonts w:ascii="Arial" w:cs="Arial" w:eastAsia="Arial" w:hAnsi="Arial"/>
                <w:sz w:val="13"/>
                <w:szCs w:val="13"/>
                <w:color w:val="auto"/>
              </w:rPr>
              <w:t>South</w:t>
            </w:r>
          </w:p>
        </w:tc>
        <w:tc>
          <w:tcPr>
            <w:tcW w:w="1020" w:type="dxa"/>
            <w:vAlign w:val="bottom"/>
          </w:tcPr>
          <w:p>
            <w:pPr>
              <w:spacing w:after="0"/>
              <w:rPr>
                <w:sz w:val="12"/>
                <w:szCs w:val="12"/>
                <w:color w:val="auto"/>
              </w:rPr>
            </w:pPr>
          </w:p>
        </w:tc>
      </w:tr>
      <w:tr>
        <w:trPr>
          <w:trHeight w:val="135"/>
        </w:trPr>
        <w:tc>
          <w:tcPr>
            <w:tcW w:w="4520" w:type="dxa"/>
            <w:vAlign w:val="bottom"/>
          </w:tcPr>
          <w:p>
            <w:pPr>
              <w:spacing w:after="0"/>
              <w:rPr>
                <w:sz w:val="11"/>
                <w:szCs w:val="11"/>
                <w:color w:val="auto"/>
              </w:rPr>
            </w:pPr>
          </w:p>
        </w:tc>
        <w:tc>
          <w:tcPr>
            <w:tcW w:w="1400" w:type="dxa"/>
            <w:vAlign w:val="bottom"/>
          </w:tcPr>
          <w:p>
            <w:pPr>
              <w:jc w:val="right"/>
              <w:ind w:right="29"/>
              <w:spacing w:after="0" w:line="135" w:lineRule="exact"/>
              <w:rPr>
                <w:sz w:val="20"/>
                <w:szCs w:val="20"/>
                <w:color w:val="auto"/>
              </w:rPr>
            </w:pPr>
            <w:r>
              <w:rPr>
                <w:rFonts w:ascii="Arial" w:cs="Arial" w:eastAsia="Arial" w:hAnsi="Arial"/>
                <w:sz w:val="13"/>
                <w:szCs w:val="13"/>
                <w:color w:val="auto"/>
              </w:rPr>
              <w:t>Europe</w:t>
            </w:r>
          </w:p>
        </w:tc>
        <w:tc>
          <w:tcPr>
            <w:tcW w:w="720" w:type="dxa"/>
            <w:vAlign w:val="bottom"/>
          </w:tcPr>
          <w:p>
            <w:pPr>
              <w:jc w:val="right"/>
              <w:ind w:right="29"/>
              <w:spacing w:after="0" w:line="135" w:lineRule="exact"/>
              <w:rPr>
                <w:sz w:val="20"/>
                <w:szCs w:val="20"/>
                <w:color w:val="auto"/>
              </w:rPr>
            </w:pPr>
            <w:r>
              <w:rPr>
                <w:rFonts w:ascii="Arial" w:cs="Arial" w:eastAsia="Arial" w:hAnsi="Arial"/>
                <w:sz w:val="13"/>
                <w:szCs w:val="13"/>
                <w:color w:val="auto"/>
              </w:rPr>
              <w:t>Asia</w:t>
            </w:r>
          </w:p>
        </w:tc>
        <w:tc>
          <w:tcPr>
            <w:tcW w:w="680" w:type="dxa"/>
            <w:vAlign w:val="bottom"/>
          </w:tcPr>
          <w:p>
            <w:pPr>
              <w:jc w:val="right"/>
              <w:ind w:right="49"/>
              <w:spacing w:after="0" w:line="135" w:lineRule="exact"/>
              <w:rPr>
                <w:sz w:val="20"/>
                <w:szCs w:val="20"/>
                <w:color w:val="auto"/>
              </w:rPr>
            </w:pPr>
            <w:r>
              <w:rPr>
                <w:rFonts w:ascii="Arial" w:cs="Arial" w:eastAsia="Arial" w:hAnsi="Arial"/>
                <w:sz w:val="13"/>
                <w:szCs w:val="13"/>
                <w:color w:val="auto"/>
              </w:rPr>
              <w:t>Oceania</w:t>
            </w:r>
          </w:p>
        </w:tc>
        <w:tc>
          <w:tcPr>
            <w:tcW w:w="640" w:type="dxa"/>
            <w:vAlign w:val="bottom"/>
          </w:tcPr>
          <w:p>
            <w:pPr>
              <w:jc w:val="right"/>
              <w:ind w:right="29"/>
              <w:spacing w:after="0" w:line="135" w:lineRule="exact"/>
              <w:rPr>
                <w:sz w:val="20"/>
                <w:szCs w:val="20"/>
                <w:color w:val="auto"/>
              </w:rPr>
            </w:pPr>
            <w:r>
              <w:rPr>
                <w:rFonts w:ascii="Arial" w:cs="Arial" w:eastAsia="Arial" w:hAnsi="Arial"/>
                <w:sz w:val="13"/>
                <w:szCs w:val="13"/>
                <w:color w:val="auto"/>
              </w:rPr>
              <w:t>Africa</w:t>
            </w:r>
          </w:p>
        </w:tc>
        <w:tc>
          <w:tcPr>
            <w:tcW w:w="640" w:type="dxa"/>
            <w:vAlign w:val="bottom"/>
          </w:tcPr>
          <w:p>
            <w:pPr>
              <w:jc w:val="right"/>
              <w:spacing w:after="0" w:line="135" w:lineRule="exact"/>
              <w:rPr>
                <w:sz w:val="20"/>
                <w:szCs w:val="20"/>
                <w:color w:val="auto"/>
              </w:rPr>
            </w:pPr>
            <w:r>
              <w:rPr>
                <w:rFonts w:ascii="Arial" w:cs="Arial" w:eastAsia="Arial" w:hAnsi="Arial"/>
                <w:sz w:val="13"/>
                <w:szCs w:val="13"/>
                <w:color w:val="auto"/>
              </w:rPr>
              <w:t>USA</w:t>
            </w:r>
          </w:p>
        </w:tc>
        <w:tc>
          <w:tcPr>
            <w:tcW w:w="880" w:type="dxa"/>
            <w:vAlign w:val="bottom"/>
          </w:tcPr>
          <w:p>
            <w:pPr>
              <w:jc w:val="right"/>
              <w:ind w:right="10"/>
              <w:spacing w:after="0" w:line="135" w:lineRule="exact"/>
              <w:rPr>
                <w:sz w:val="20"/>
                <w:szCs w:val="20"/>
                <w:color w:val="auto"/>
              </w:rPr>
            </w:pPr>
            <w:r>
              <w:rPr>
                <w:rFonts w:ascii="Arial" w:cs="Arial" w:eastAsia="Arial" w:hAnsi="Arial"/>
                <w:sz w:val="13"/>
                <w:szCs w:val="13"/>
                <w:color w:val="auto"/>
              </w:rPr>
              <w:t>Canada</w:t>
            </w:r>
          </w:p>
        </w:tc>
        <w:tc>
          <w:tcPr>
            <w:tcW w:w="920" w:type="dxa"/>
            <w:vAlign w:val="bottom"/>
            <w:gridSpan w:val="2"/>
          </w:tcPr>
          <w:p>
            <w:pPr>
              <w:jc w:val="right"/>
              <w:ind w:right="160"/>
              <w:spacing w:after="0" w:line="132" w:lineRule="exact"/>
              <w:rPr>
                <w:sz w:val="20"/>
                <w:szCs w:val="20"/>
                <w:color w:val="auto"/>
              </w:rPr>
            </w:pPr>
            <w:r>
              <w:rPr>
                <w:rFonts w:ascii="Arial" w:cs="Arial" w:eastAsia="Arial" w:hAnsi="Arial"/>
                <w:sz w:val="13"/>
                <w:szCs w:val="13"/>
                <w:color w:val="auto"/>
              </w:rPr>
              <w:t>America</w:t>
            </w:r>
          </w:p>
        </w:tc>
        <w:tc>
          <w:tcPr>
            <w:tcW w:w="1020" w:type="dxa"/>
            <w:vAlign w:val="bottom"/>
          </w:tcPr>
          <w:p>
            <w:pPr>
              <w:jc w:val="right"/>
              <w:ind w:right="28"/>
              <w:spacing w:after="0" w:line="135" w:lineRule="exact"/>
              <w:rPr>
                <w:sz w:val="20"/>
                <w:szCs w:val="20"/>
                <w:color w:val="auto"/>
              </w:rPr>
            </w:pPr>
            <w:r>
              <w:rPr>
                <w:rFonts w:ascii="Arial" w:cs="Arial" w:eastAsia="Arial" w:hAnsi="Arial"/>
                <w:sz w:val="13"/>
                <w:szCs w:val="13"/>
                <w:color w:val="auto"/>
              </w:rPr>
              <w:t>Total</w:t>
            </w:r>
          </w:p>
        </w:tc>
      </w:tr>
      <w:tr>
        <w:trPr>
          <w:trHeight w:val="20"/>
        </w:trPr>
        <w:tc>
          <w:tcPr>
            <w:tcW w:w="452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r>
      <w:tr>
        <w:trPr>
          <w:trHeight w:val="160"/>
        </w:trPr>
        <w:tc>
          <w:tcPr>
            <w:tcW w:w="4520" w:type="dxa"/>
            <w:vAlign w:val="bottom"/>
          </w:tcPr>
          <w:p>
            <w:pPr>
              <w:spacing w:after="0"/>
              <w:rPr>
                <w:sz w:val="20"/>
                <w:szCs w:val="20"/>
                <w:color w:val="auto"/>
              </w:rPr>
            </w:pPr>
            <w:r>
              <w:rPr>
                <w:rFonts w:ascii="Arial" w:cs="Arial" w:eastAsia="Arial" w:hAnsi="Arial"/>
                <w:sz w:val="14"/>
                <w:szCs w:val="14"/>
                <w:color w:val="auto"/>
              </w:rPr>
              <w:t>Future cash inflows</w:t>
            </w:r>
          </w:p>
        </w:tc>
        <w:tc>
          <w:tcPr>
            <w:tcW w:w="1400" w:type="dxa"/>
            <w:vAlign w:val="bottom"/>
          </w:tcPr>
          <w:p>
            <w:pPr>
              <w:jc w:val="right"/>
              <w:ind w:right="29"/>
              <w:spacing w:after="0"/>
              <w:rPr>
                <w:sz w:val="20"/>
                <w:szCs w:val="20"/>
                <w:color w:val="auto"/>
              </w:rPr>
            </w:pPr>
            <w:r>
              <w:rPr>
                <w:rFonts w:ascii="Arial" w:cs="Arial" w:eastAsia="Arial" w:hAnsi="Arial"/>
                <w:sz w:val="14"/>
                <w:szCs w:val="14"/>
                <w:color w:val="auto"/>
              </w:rPr>
              <w:t>129,740</w:t>
            </w:r>
          </w:p>
        </w:tc>
        <w:tc>
          <w:tcPr>
            <w:tcW w:w="720" w:type="dxa"/>
            <w:vAlign w:val="bottom"/>
          </w:tcPr>
          <w:p>
            <w:pPr>
              <w:jc w:val="right"/>
              <w:ind w:right="29"/>
              <w:spacing w:after="0"/>
              <w:rPr>
                <w:sz w:val="20"/>
                <w:szCs w:val="20"/>
                <w:color w:val="auto"/>
              </w:rPr>
            </w:pPr>
            <w:r>
              <w:rPr>
                <w:rFonts w:ascii="Arial" w:cs="Arial" w:eastAsia="Arial" w:hAnsi="Arial"/>
                <w:sz w:val="14"/>
                <w:szCs w:val="14"/>
                <w:color w:val="auto"/>
              </w:rPr>
              <w:t>162,149</w:t>
            </w:r>
          </w:p>
        </w:tc>
        <w:tc>
          <w:tcPr>
            <w:tcW w:w="680" w:type="dxa"/>
            <w:vAlign w:val="bottom"/>
          </w:tcPr>
          <w:p>
            <w:pPr>
              <w:jc w:val="right"/>
              <w:ind w:right="49"/>
              <w:spacing w:after="0"/>
              <w:rPr>
                <w:sz w:val="20"/>
                <w:szCs w:val="20"/>
                <w:color w:val="auto"/>
              </w:rPr>
            </w:pPr>
            <w:r>
              <w:rPr>
                <w:rFonts w:ascii="Arial" w:cs="Arial" w:eastAsia="Arial" w:hAnsi="Arial"/>
                <w:sz w:val="14"/>
                <w:szCs w:val="14"/>
                <w:color w:val="auto"/>
              </w:rPr>
              <w:t>67,288</w:t>
            </w:r>
          </w:p>
        </w:tc>
        <w:tc>
          <w:tcPr>
            <w:tcW w:w="640" w:type="dxa"/>
            <w:vAlign w:val="bottom"/>
          </w:tcPr>
          <w:p>
            <w:pPr>
              <w:jc w:val="right"/>
              <w:ind w:right="29"/>
              <w:spacing w:after="0"/>
              <w:rPr>
                <w:sz w:val="20"/>
                <w:szCs w:val="20"/>
                <w:color w:val="auto"/>
              </w:rPr>
            </w:pPr>
            <w:r>
              <w:rPr>
                <w:rFonts w:ascii="Arial" w:cs="Arial" w:eastAsia="Arial" w:hAnsi="Arial"/>
                <w:sz w:val="14"/>
                <w:szCs w:val="14"/>
                <w:color w:val="auto"/>
              </w:rPr>
              <w:t>77,958</w:t>
            </w:r>
          </w:p>
        </w:tc>
        <w:tc>
          <w:tcPr>
            <w:tcW w:w="640" w:type="dxa"/>
            <w:vAlign w:val="bottom"/>
          </w:tcPr>
          <w:p>
            <w:pPr>
              <w:jc w:val="right"/>
              <w:spacing w:after="0"/>
              <w:rPr>
                <w:sz w:val="20"/>
                <w:szCs w:val="20"/>
                <w:color w:val="auto"/>
              </w:rPr>
            </w:pPr>
            <w:r>
              <w:rPr>
                <w:rFonts w:ascii="Arial" w:cs="Arial" w:eastAsia="Arial" w:hAnsi="Arial"/>
                <w:sz w:val="14"/>
                <w:szCs w:val="14"/>
                <w:color w:val="auto"/>
              </w:rPr>
              <w:t>103,657</w:t>
            </w:r>
          </w:p>
        </w:tc>
        <w:tc>
          <w:tcPr>
            <w:tcW w:w="880" w:type="dxa"/>
            <w:vAlign w:val="bottom"/>
          </w:tcPr>
          <w:p>
            <w:pPr>
              <w:jc w:val="right"/>
              <w:ind w:right="10"/>
              <w:spacing w:after="0"/>
              <w:rPr>
                <w:sz w:val="20"/>
                <w:szCs w:val="20"/>
                <w:color w:val="auto"/>
              </w:rPr>
            </w:pPr>
            <w:r>
              <w:rPr>
                <w:rFonts w:ascii="Arial" w:cs="Arial" w:eastAsia="Arial" w:hAnsi="Arial"/>
                <w:sz w:val="14"/>
                <w:szCs w:val="14"/>
                <w:color w:val="auto"/>
              </w:rPr>
              <w:t>180,827</w:t>
            </w:r>
          </w:p>
        </w:tc>
        <w:tc>
          <w:tcPr>
            <w:tcW w:w="920" w:type="dxa"/>
            <w:vAlign w:val="bottom"/>
            <w:gridSpan w:val="2"/>
          </w:tcPr>
          <w:p>
            <w:pPr>
              <w:jc w:val="right"/>
              <w:ind w:right="160"/>
              <w:spacing w:after="0"/>
              <w:rPr>
                <w:sz w:val="20"/>
                <w:szCs w:val="20"/>
                <w:color w:val="auto"/>
              </w:rPr>
            </w:pPr>
            <w:r>
              <w:rPr>
                <w:rFonts w:ascii="Arial" w:cs="Arial" w:eastAsia="Arial" w:hAnsi="Arial"/>
                <w:sz w:val="14"/>
                <w:szCs w:val="14"/>
                <w:color w:val="auto"/>
              </w:rPr>
              <w:t>9,025</w:t>
            </w: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730,644</w:t>
            </w:r>
          </w:p>
        </w:tc>
      </w:tr>
      <w:tr>
        <w:trPr>
          <w:trHeight w:val="162"/>
        </w:trPr>
        <w:tc>
          <w:tcPr>
            <w:tcW w:w="4520" w:type="dxa"/>
            <w:vAlign w:val="bottom"/>
          </w:tcPr>
          <w:p>
            <w:pPr>
              <w:spacing w:after="0"/>
              <w:rPr>
                <w:sz w:val="20"/>
                <w:szCs w:val="20"/>
                <w:color w:val="auto"/>
              </w:rPr>
            </w:pPr>
            <w:r>
              <w:rPr>
                <w:rFonts w:ascii="Arial" w:cs="Arial" w:eastAsia="Arial" w:hAnsi="Arial"/>
                <w:sz w:val="14"/>
                <w:szCs w:val="14"/>
                <w:color w:val="auto"/>
              </w:rPr>
              <w:t>Future production costs</w:t>
            </w:r>
          </w:p>
        </w:tc>
        <w:tc>
          <w:tcPr>
            <w:tcW w:w="1400" w:type="dxa"/>
            <w:vAlign w:val="bottom"/>
          </w:tcPr>
          <w:p>
            <w:pPr>
              <w:jc w:val="right"/>
              <w:ind w:right="29"/>
              <w:spacing w:after="0"/>
              <w:rPr>
                <w:sz w:val="20"/>
                <w:szCs w:val="20"/>
                <w:color w:val="auto"/>
              </w:rPr>
            </w:pPr>
            <w:r>
              <w:rPr>
                <w:rFonts w:ascii="Arial" w:cs="Arial" w:eastAsia="Arial" w:hAnsi="Arial"/>
                <w:sz w:val="14"/>
                <w:szCs w:val="14"/>
                <w:color w:val="auto"/>
              </w:rPr>
              <w:t>45,084</w:t>
            </w:r>
          </w:p>
        </w:tc>
        <w:tc>
          <w:tcPr>
            <w:tcW w:w="720" w:type="dxa"/>
            <w:vAlign w:val="bottom"/>
          </w:tcPr>
          <w:p>
            <w:pPr>
              <w:jc w:val="right"/>
              <w:ind w:right="29"/>
              <w:spacing w:after="0"/>
              <w:rPr>
                <w:sz w:val="20"/>
                <w:szCs w:val="20"/>
                <w:color w:val="auto"/>
              </w:rPr>
            </w:pPr>
            <w:r>
              <w:rPr>
                <w:rFonts w:ascii="Arial" w:cs="Arial" w:eastAsia="Arial" w:hAnsi="Arial"/>
                <w:sz w:val="14"/>
                <w:szCs w:val="14"/>
                <w:color w:val="auto"/>
              </w:rPr>
              <w:t>35,001</w:t>
            </w:r>
          </w:p>
        </w:tc>
        <w:tc>
          <w:tcPr>
            <w:tcW w:w="680" w:type="dxa"/>
            <w:vAlign w:val="bottom"/>
          </w:tcPr>
          <w:p>
            <w:pPr>
              <w:jc w:val="right"/>
              <w:ind w:right="49"/>
              <w:spacing w:after="0"/>
              <w:rPr>
                <w:sz w:val="20"/>
                <w:szCs w:val="20"/>
                <w:color w:val="auto"/>
              </w:rPr>
            </w:pPr>
            <w:r>
              <w:rPr>
                <w:rFonts w:ascii="Arial" w:cs="Arial" w:eastAsia="Arial" w:hAnsi="Arial"/>
                <w:sz w:val="14"/>
                <w:szCs w:val="14"/>
                <w:color w:val="auto"/>
              </w:rPr>
              <w:t>15,304</w:t>
            </w:r>
          </w:p>
        </w:tc>
        <w:tc>
          <w:tcPr>
            <w:tcW w:w="640" w:type="dxa"/>
            <w:vAlign w:val="bottom"/>
          </w:tcPr>
          <w:p>
            <w:pPr>
              <w:jc w:val="right"/>
              <w:ind w:right="29"/>
              <w:spacing w:after="0"/>
              <w:rPr>
                <w:sz w:val="20"/>
                <w:szCs w:val="20"/>
                <w:color w:val="auto"/>
              </w:rPr>
            </w:pPr>
            <w:r>
              <w:rPr>
                <w:rFonts w:ascii="Arial" w:cs="Arial" w:eastAsia="Arial" w:hAnsi="Arial"/>
                <w:sz w:val="14"/>
                <w:szCs w:val="14"/>
                <w:color w:val="auto"/>
              </w:rPr>
              <w:t>27,452</w:t>
            </w:r>
          </w:p>
        </w:tc>
        <w:tc>
          <w:tcPr>
            <w:tcW w:w="640" w:type="dxa"/>
            <w:vAlign w:val="bottom"/>
          </w:tcPr>
          <w:p>
            <w:pPr>
              <w:jc w:val="right"/>
              <w:spacing w:after="0"/>
              <w:rPr>
                <w:sz w:val="20"/>
                <w:szCs w:val="20"/>
                <w:color w:val="auto"/>
              </w:rPr>
            </w:pPr>
            <w:r>
              <w:rPr>
                <w:rFonts w:ascii="Arial" w:cs="Arial" w:eastAsia="Arial" w:hAnsi="Arial"/>
                <w:sz w:val="14"/>
                <w:szCs w:val="14"/>
                <w:color w:val="auto"/>
              </w:rPr>
              <w:t>56,457</w:t>
            </w:r>
          </w:p>
        </w:tc>
        <w:tc>
          <w:tcPr>
            <w:tcW w:w="880" w:type="dxa"/>
            <w:vAlign w:val="bottom"/>
          </w:tcPr>
          <w:p>
            <w:pPr>
              <w:jc w:val="right"/>
              <w:ind w:right="10"/>
              <w:spacing w:after="0"/>
              <w:rPr>
                <w:sz w:val="20"/>
                <w:szCs w:val="20"/>
                <w:color w:val="auto"/>
              </w:rPr>
            </w:pPr>
            <w:r>
              <w:rPr>
                <w:rFonts w:ascii="Arial" w:cs="Arial" w:eastAsia="Arial" w:hAnsi="Arial"/>
                <w:sz w:val="14"/>
                <w:szCs w:val="14"/>
                <w:color w:val="auto"/>
              </w:rPr>
              <w:t>93,964</w:t>
            </w:r>
          </w:p>
        </w:tc>
        <w:tc>
          <w:tcPr>
            <w:tcW w:w="920" w:type="dxa"/>
            <w:vAlign w:val="bottom"/>
            <w:gridSpan w:val="2"/>
          </w:tcPr>
          <w:p>
            <w:pPr>
              <w:jc w:val="right"/>
              <w:ind w:right="160"/>
              <w:spacing w:after="0"/>
              <w:rPr>
                <w:sz w:val="20"/>
                <w:szCs w:val="20"/>
                <w:color w:val="auto"/>
              </w:rPr>
            </w:pPr>
            <w:r>
              <w:rPr>
                <w:rFonts w:ascii="Arial" w:cs="Arial" w:eastAsia="Arial" w:hAnsi="Arial"/>
                <w:sz w:val="14"/>
                <w:szCs w:val="14"/>
                <w:color w:val="auto"/>
              </w:rPr>
              <w:t>4,698</w:t>
            </w: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277,960</w:t>
            </w:r>
          </w:p>
        </w:tc>
      </w:tr>
      <w:tr>
        <w:trPr>
          <w:trHeight w:val="162"/>
        </w:trPr>
        <w:tc>
          <w:tcPr>
            <w:tcW w:w="4520" w:type="dxa"/>
            <w:vAlign w:val="bottom"/>
          </w:tcPr>
          <w:p>
            <w:pPr>
              <w:spacing w:after="0"/>
              <w:rPr>
                <w:sz w:val="20"/>
                <w:szCs w:val="20"/>
                <w:color w:val="auto"/>
              </w:rPr>
            </w:pPr>
            <w:r>
              <w:rPr>
                <w:rFonts w:ascii="Arial" w:cs="Arial" w:eastAsia="Arial" w:hAnsi="Arial"/>
                <w:sz w:val="14"/>
                <w:szCs w:val="14"/>
                <w:color w:val="auto"/>
              </w:rPr>
              <w:t>Future development costs</w:t>
            </w:r>
          </w:p>
        </w:tc>
        <w:tc>
          <w:tcPr>
            <w:tcW w:w="1400" w:type="dxa"/>
            <w:vAlign w:val="bottom"/>
          </w:tcPr>
          <w:p>
            <w:pPr>
              <w:jc w:val="right"/>
              <w:ind w:right="29"/>
              <w:spacing w:after="0"/>
              <w:rPr>
                <w:sz w:val="20"/>
                <w:szCs w:val="20"/>
                <w:color w:val="auto"/>
              </w:rPr>
            </w:pPr>
            <w:r>
              <w:rPr>
                <w:rFonts w:ascii="Arial" w:cs="Arial" w:eastAsia="Arial" w:hAnsi="Arial"/>
                <w:sz w:val="14"/>
                <w:szCs w:val="14"/>
                <w:color w:val="auto"/>
              </w:rPr>
              <w:t>17,186</w:t>
            </w:r>
          </w:p>
        </w:tc>
        <w:tc>
          <w:tcPr>
            <w:tcW w:w="720" w:type="dxa"/>
            <w:vAlign w:val="bottom"/>
          </w:tcPr>
          <w:p>
            <w:pPr>
              <w:jc w:val="right"/>
              <w:ind w:right="29"/>
              <w:spacing w:after="0"/>
              <w:rPr>
                <w:sz w:val="20"/>
                <w:szCs w:val="20"/>
                <w:color w:val="auto"/>
              </w:rPr>
            </w:pPr>
            <w:r>
              <w:rPr>
                <w:rFonts w:ascii="Arial" w:cs="Arial" w:eastAsia="Arial" w:hAnsi="Arial"/>
                <w:sz w:val="14"/>
                <w:szCs w:val="14"/>
                <w:color w:val="auto"/>
              </w:rPr>
              <w:t>14,259</w:t>
            </w:r>
          </w:p>
        </w:tc>
        <w:tc>
          <w:tcPr>
            <w:tcW w:w="680" w:type="dxa"/>
            <w:vAlign w:val="bottom"/>
          </w:tcPr>
          <w:p>
            <w:pPr>
              <w:jc w:val="right"/>
              <w:ind w:right="49"/>
              <w:spacing w:after="0"/>
              <w:rPr>
                <w:sz w:val="20"/>
                <w:szCs w:val="20"/>
                <w:color w:val="auto"/>
              </w:rPr>
            </w:pPr>
            <w:r>
              <w:rPr>
                <w:rFonts w:ascii="Arial" w:cs="Arial" w:eastAsia="Arial" w:hAnsi="Arial"/>
                <w:sz w:val="14"/>
                <w:szCs w:val="14"/>
                <w:color w:val="auto"/>
              </w:rPr>
              <w:t>17,863</w:t>
            </w:r>
          </w:p>
        </w:tc>
        <w:tc>
          <w:tcPr>
            <w:tcW w:w="640" w:type="dxa"/>
            <w:vAlign w:val="bottom"/>
          </w:tcPr>
          <w:p>
            <w:pPr>
              <w:jc w:val="right"/>
              <w:ind w:right="29"/>
              <w:spacing w:after="0"/>
              <w:rPr>
                <w:sz w:val="20"/>
                <w:szCs w:val="20"/>
                <w:color w:val="auto"/>
              </w:rPr>
            </w:pPr>
            <w:r>
              <w:rPr>
                <w:rFonts w:ascii="Arial" w:cs="Arial" w:eastAsia="Arial" w:hAnsi="Arial"/>
                <w:sz w:val="14"/>
                <w:szCs w:val="14"/>
                <w:color w:val="auto"/>
              </w:rPr>
              <w:t>8,473</w:t>
            </w:r>
          </w:p>
        </w:tc>
        <w:tc>
          <w:tcPr>
            <w:tcW w:w="640" w:type="dxa"/>
            <w:vAlign w:val="bottom"/>
          </w:tcPr>
          <w:p>
            <w:pPr>
              <w:jc w:val="right"/>
              <w:spacing w:after="0"/>
              <w:rPr>
                <w:sz w:val="20"/>
                <w:szCs w:val="20"/>
                <w:color w:val="auto"/>
              </w:rPr>
            </w:pPr>
            <w:r>
              <w:rPr>
                <w:rFonts w:ascii="Arial" w:cs="Arial" w:eastAsia="Arial" w:hAnsi="Arial"/>
                <w:sz w:val="14"/>
                <w:szCs w:val="14"/>
                <w:color w:val="auto"/>
              </w:rPr>
              <w:t>24,653</w:t>
            </w:r>
          </w:p>
        </w:tc>
        <w:tc>
          <w:tcPr>
            <w:tcW w:w="880" w:type="dxa"/>
            <w:vAlign w:val="bottom"/>
          </w:tcPr>
          <w:p>
            <w:pPr>
              <w:jc w:val="right"/>
              <w:ind w:right="10"/>
              <w:spacing w:after="0"/>
              <w:rPr>
                <w:sz w:val="20"/>
                <w:szCs w:val="20"/>
                <w:color w:val="auto"/>
              </w:rPr>
            </w:pPr>
            <w:r>
              <w:rPr>
                <w:rFonts w:ascii="Arial" w:cs="Arial" w:eastAsia="Arial" w:hAnsi="Arial"/>
                <w:sz w:val="14"/>
                <w:szCs w:val="14"/>
                <w:color w:val="auto"/>
              </w:rPr>
              <w:t>27,806</w:t>
            </w:r>
          </w:p>
        </w:tc>
        <w:tc>
          <w:tcPr>
            <w:tcW w:w="920" w:type="dxa"/>
            <w:vAlign w:val="bottom"/>
            <w:gridSpan w:val="2"/>
          </w:tcPr>
          <w:p>
            <w:pPr>
              <w:jc w:val="right"/>
              <w:ind w:right="160"/>
              <w:spacing w:after="0"/>
              <w:rPr>
                <w:sz w:val="20"/>
                <w:szCs w:val="20"/>
                <w:color w:val="auto"/>
              </w:rPr>
            </w:pPr>
            <w:r>
              <w:rPr>
                <w:rFonts w:ascii="Arial" w:cs="Arial" w:eastAsia="Arial" w:hAnsi="Arial"/>
                <w:sz w:val="14"/>
                <w:szCs w:val="14"/>
                <w:color w:val="auto"/>
              </w:rPr>
              <w:t>1,285</w:t>
            </w: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111,525</w:t>
            </w:r>
          </w:p>
        </w:tc>
      </w:tr>
      <w:tr>
        <w:trPr>
          <w:trHeight w:val="157"/>
        </w:trPr>
        <w:tc>
          <w:tcPr>
            <w:tcW w:w="4520" w:type="dxa"/>
            <w:vAlign w:val="bottom"/>
            <w:tcBorders>
              <w:bottom w:val="single" w:sz="8" w:color="auto"/>
            </w:tcBorders>
          </w:tcPr>
          <w:p>
            <w:pPr>
              <w:spacing w:after="0" w:line="157" w:lineRule="exact"/>
              <w:rPr>
                <w:sz w:val="20"/>
                <w:szCs w:val="20"/>
                <w:color w:val="auto"/>
              </w:rPr>
            </w:pPr>
            <w:r>
              <w:rPr>
                <w:rFonts w:ascii="Arial" w:cs="Arial" w:eastAsia="Arial" w:hAnsi="Arial"/>
                <w:sz w:val="14"/>
                <w:szCs w:val="14"/>
                <w:color w:val="auto"/>
              </w:rPr>
              <w:t>Future tax expenses</w:t>
            </w:r>
          </w:p>
        </w:tc>
        <w:tc>
          <w:tcPr>
            <w:tcW w:w="1400" w:type="dxa"/>
            <w:vAlign w:val="bottom"/>
            <w:tcBorders>
              <w:bottom w:val="single" w:sz="8" w:color="auto"/>
            </w:tcBorders>
          </w:tcPr>
          <w:p>
            <w:pPr>
              <w:jc w:val="right"/>
              <w:ind w:right="29"/>
              <w:spacing w:after="0" w:line="157" w:lineRule="exact"/>
              <w:rPr>
                <w:sz w:val="20"/>
                <w:szCs w:val="20"/>
                <w:color w:val="auto"/>
              </w:rPr>
            </w:pPr>
            <w:r>
              <w:rPr>
                <w:rFonts w:ascii="Arial" w:cs="Arial" w:eastAsia="Arial" w:hAnsi="Arial"/>
                <w:sz w:val="14"/>
                <w:szCs w:val="14"/>
                <w:color w:val="auto"/>
              </w:rPr>
              <w:t>42,490</w:t>
            </w:r>
          </w:p>
        </w:tc>
        <w:tc>
          <w:tcPr>
            <w:tcW w:w="720" w:type="dxa"/>
            <w:vAlign w:val="bottom"/>
            <w:tcBorders>
              <w:bottom w:val="single" w:sz="8" w:color="auto"/>
            </w:tcBorders>
          </w:tcPr>
          <w:p>
            <w:pPr>
              <w:jc w:val="right"/>
              <w:ind w:right="29"/>
              <w:spacing w:after="0" w:line="157" w:lineRule="exact"/>
              <w:rPr>
                <w:sz w:val="20"/>
                <w:szCs w:val="20"/>
                <w:color w:val="auto"/>
              </w:rPr>
            </w:pPr>
            <w:r>
              <w:rPr>
                <w:rFonts w:ascii="Arial" w:cs="Arial" w:eastAsia="Arial" w:hAnsi="Arial"/>
                <w:sz w:val="14"/>
                <w:szCs w:val="14"/>
                <w:color w:val="auto"/>
              </w:rPr>
              <w:t>46,960</w:t>
            </w:r>
          </w:p>
        </w:tc>
        <w:tc>
          <w:tcPr>
            <w:tcW w:w="680" w:type="dxa"/>
            <w:vAlign w:val="bottom"/>
            <w:tcBorders>
              <w:bottom w:val="single" w:sz="8" w:color="auto"/>
            </w:tcBorders>
          </w:tcPr>
          <w:p>
            <w:pPr>
              <w:jc w:val="right"/>
              <w:ind w:right="49"/>
              <w:spacing w:after="0" w:line="157" w:lineRule="exact"/>
              <w:rPr>
                <w:sz w:val="20"/>
                <w:szCs w:val="20"/>
                <w:color w:val="auto"/>
              </w:rPr>
            </w:pPr>
            <w:r>
              <w:rPr>
                <w:rFonts w:ascii="Arial" w:cs="Arial" w:eastAsia="Arial" w:hAnsi="Arial"/>
                <w:sz w:val="14"/>
                <w:szCs w:val="14"/>
                <w:color w:val="auto"/>
              </w:rPr>
              <w:t>7,271</w:t>
            </w:r>
          </w:p>
        </w:tc>
        <w:tc>
          <w:tcPr>
            <w:tcW w:w="640" w:type="dxa"/>
            <w:vAlign w:val="bottom"/>
            <w:tcBorders>
              <w:bottom w:val="single" w:sz="8" w:color="auto"/>
            </w:tcBorders>
          </w:tcPr>
          <w:p>
            <w:pPr>
              <w:jc w:val="right"/>
              <w:ind w:right="29"/>
              <w:spacing w:after="0" w:line="157" w:lineRule="exact"/>
              <w:rPr>
                <w:sz w:val="20"/>
                <w:szCs w:val="20"/>
                <w:color w:val="auto"/>
              </w:rPr>
            </w:pPr>
            <w:r>
              <w:rPr>
                <w:rFonts w:ascii="Arial" w:cs="Arial" w:eastAsia="Arial" w:hAnsi="Arial"/>
                <w:sz w:val="14"/>
                <w:szCs w:val="14"/>
                <w:color w:val="auto"/>
              </w:rPr>
              <w:t>25,774</w:t>
            </w:r>
          </w:p>
        </w:tc>
        <w:tc>
          <w:tcPr>
            <w:tcW w:w="640" w:type="dxa"/>
            <w:vAlign w:val="bottom"/>
            <w:tcBorders>
              <w:bottom w:val="single" w:sz="8" w:color="auto"/>
            </w:tcBorders>
          </w:tcPr>
          <w:p>
            <w:pPr>
              <w:jc w:val="right"/>
              <w:spacing w:after="0" w:line="157" w:lineRule="exact"/>
              <w:rPr>
                <w:sz w:val="20"/>
                <w:szCs w:val="20"/>
                <w:color w:val="auto"/>
              </w:rPr>
            </w:pPr>
            <w:r>
              <w:rPr>
                <w:rFonts w:ascii="Arial" w:cs="Arial" w:eastAsia="Arial" w:hAnsi="Arial"/>
                <w:sz w:val="14"/>
                <w:szCs w:val="14"/>
                <w:color w:val="auto"/>
              </w:rPr>
              <w:t>8,397</w:t>
            </w:r>
          </w:p>
        </w:tc>
        <w:tc>
          <w:tcPr>
            <w:tcW w:w="880" w:type="dxa"/>
            <w:vAlign w:val="bottom"/>
            <w:tcBorders>
              <w:bottom w:val="single" w:sz="8" w:color="auto"/>
            </w:tcBorders>
          </w:tcPr>
          <w:p>
            <w:pPr>
              <w:jc w:val="right"/>
              <w:ind w:right="10"/>
              <w:spacing w:after="0" w:line="157" w:lineRule="exact"/>
              <w:rPr>
                <w:sz w:val="20"/>
                <w:szCs w:val="20"/>
                <w:color w:val="auto"/>
              </w:rPr>
            </w:pPr>
            <w:r>
              <w:rPr>
                <w:rFonts w:ascii="Arial" w:cs="Arial" w:eastAsia="Arial" w:hAnsi="Arial"/>
                <w:sz w:val="14"/>
                <w:szCs w:val="14"/>
                <w:color w:val="auto"/>
              </w:rPr>
              <w:t>15,214</w:t>
            </w:r>
          </w:p>
        </w:tc>
        <w:tc>
          <w:tcPr>
            <w:tcW w:w="920" w:type="dxa"/>
            <w:vAlign w:val="bottom"/>
            <w:tcBorders>
              <w:bottom w:val="single" w:sz="8" w:color="auto"/>
            </w:tcBorders>
            <w:gridSpan w:val="2"/>
          </w:tcPr>
          <w:p>
            <w:pPr>
              <w:jc w:val="right"/>
              <w:ind w:right="160"/>
              <w:spacing w:after="0" w:line="157" w:lineRule="exact"/>
              <w:rPr>
                <w:sz w:val="20"/>
                <w:szCs w:val="20"/>
                <w:color w:val="auto"/>
              </w:rPr>
            </w:pPr>
            <w:r>
              <w:rPr>
                <w:rFonts w:ascii="Arial" w:cs="Arial" w:eastAsia="Arial" w:hAnsi="Arial"/>
                <w:sz w:val="14"/>
                <w:szCs w:val="14"/>
                <w:color w:val="auto"/>
              </w:rPr>
              <w:t>1,291</w:t>
            </w:r>
          </w:p>
        </w:tc>
        <w:tc>
          <w:tcPr>
            <w:tcW w:w="1020" w:type="dxa"/>
            <w:vAlign w:val="bottom"/>
            <w:tcBorders>
              <w:bottom w:val="single" w:sz="8" w:color="auto"/>
            </w:tcBorders>
          </w:tcPr>
          <w:p>
            <w:pPr>
              <w:jc w:val="right"/>
              <w:ind w:right="28"/>
              <w:spacing w:after="0" w:line="157" w:lineRule="exact"/>
              <w:rPr>
                <w:sz w:val="20"/>
                <w:szCs w:val="20"/>
                <w:color w:val="auto"/>
              </w:rPr>
            </w:pPr>
            <w:r>
              <w:rPr>
                <w:rFonts w:ascii="Arial" w:cs="Arial" w:eastAsia="Arial" w:hAnsi="Arial"/>
                <w:sz w:val="14"/>
                <w:szCs w:val="14"/>
                <w:color w:val="auto"/>
              </w:rPr>
              <w:t>147,397</w:t>
            </w:r>
          </w:p>
        </w:tc>
      </w:tr>
      <w:tr>
        <w:trPr>
          <w:trHeight w:val="160"/>
        </w:trPr>
        <w:tc>
          <w:tcPr>
            <w:tcW w:w="4520" w:type="dxa"/>
            <w:vAlign w:val="bottom"/>
          </w:tcPr>
          <w:p>
            <w:pPr>
              <w:spacing w:after="0"/>
              <w:rPr>
                <w:sz w:val="20"/>
                <w:szCs w:val="20"/>
                <w:color w:val="auto"/>
              </w:rPr>
            </w:pPr>
            <w:r>
              <w:rPr>
                <w:rFonts w:ascii="Arial" w:cs="Arial" w:eastAsia="Arial" w:hAnsi="Arial"/>
                <w:sz w:val="14"/>
                <w:szCs w:val="14"/>
                <w:color w:val="auto"/>
              </w:rPr>
              <w:t>Future net cash flows</w:t>
            </w:r>
          </w:p>
        </w:tc>
        <w:tc>
          <w:tcPr>
            <w:tcW w:w="1400" w:type="dxa"/>
            <w:vAlign w:val="bottom"/>
          </w:tcPr>
          <w:p>
            <w:pPr>
              <w:jc w:val="right"/>
              <w:ind w:right="29"/>
              <w:spacing w:after="0"/>
              <w:rPr>
                <w:sz w:val="20"/>
                <w:szCs w:val="20"/>
                <w:color w:val="auto"/>
              </w:rPr>
            </w:pPr>
            <w:r>
              <w:rPr>
                <w:rFonts w:ascii="Arial" w:cs="Arial" w:eastAsia="Arial" w:hAnsi="Arial"/>
                <w:sz w:val="14"/>
                <w:szCs w:val="14"/>
                <w:color w:val="auto"/>
              </w:rPr>
              <w:t>24,980</w:t>
            </w:r>
          </w:p>
        </w:tc>
        <w:tc>
          <w:tcPr>
            <w:tcW w:w="720" w:type="dxa"/>
            <w:vAlign w:val="bottom"/>
          </w:tcPr>
          <w:p>
            <w:pPr>
              <w:jc w:val="right"/>
              <w:ind w:right="29"/>
              <w:spacing w:after="0"/>
              <w:rPr>
                <w:sz w:val="20"/>
                <w:szCs w:val="20"/>
                <w:color w:val="auto"/>
              </w:rPr>
            </w:pPr>
            <w:r>
              <w:rPr>
                <w:rFonts w:ascii="Arial" w:cs="Arial" w:eastAsia="Arial" w:hAnsi="Arial"/>
                <w:sz w:val="14"/>
                <w:szCs w:val="14"/>
                <w:color w:val="auto"/>
              </w:rPr>
              <w:t>65,929</w:t>
            </w:r>
          </w:p>
        </w:tc>
        <w:tc>
          <w:tcPr>
            <w:tcW w:w="680" w:type="dxa"/>
            <w:vAlign w:val="bottom"/>
          </w:tcPr>
          <w:p>
            <w:pPr>
              <w:jc w:val="right"/>
              <w:ind w:right="49"/>
              <w:spacing w:after="0"/>
              <w:rPr>
                <w:sz w:val="20"/>
                <w:szCs w:val="20"/>
                <w:color w:val="auto"/>
              </w:rPr>
            </w:pPr>
            <w:r>
              <w:rPr>
                <w:rFonts w:ascii="Arial" w:cs="Arial" w:eastAsia="Arial" w:hAnsi="Arial"/>
                <w:sz w:val="14"/>
                <w:szCs w:val="14"/>
                <w:color w:val="auto"/>
              </w:rPr>
              <w:t>26,850</w:t>
            </w:r>
          </w:p>
        </w:tc>
        <w:tc>
          <w:tcPr>
            <w:tcW w:w="640" w:type="dxa"/>
            <w:vAlign w:val="bottom"/>
          </w:tcPr>
          <w:p>
            <w:pPr>
              <w:jc w:val="right"/>
              <w:ind w:right="29"/>
              <w:spacing w:after="0"/>
              <w:rPr>
                <w:sz w:val="20"/>
                <w:szCs w:val="20"/>
                <w:color w:val="auto"/>
              </w:rPr>
            </w:pPr>
            <w:r>
              <w:rPr>
                <w:rFonts w:ascii="Arial" w:cs="Arial" w:eastAsia="Arial" w:hAnsi="Arial"/>
                <w:sz w:val="14"/>
                <w:szCs w:val="14"/>
                <w:color w:val="auto"/>
              </w:rPr>
              <w:t>16,259</w:t>
            </w:r>
          </w:p>
        </w:tc>
        <w:tc>
          <w:tcPr>
            <w:tcW w:w="640" w:type="dxa"/>
            <w:vAlign w:val="bottom"/>
          </w:tcPr>
          <w:p>
            <w:pPr>
              <w:jc w:val="right"/>
              <w:spacing w:after="0"/>
              <w:rPr>
                <w:sz w:val="20"/>
                <w:szCs w:val="20"/>
                <w:color w:val="auto"/>
              </w:rPr>
            </w:pPr>
            <w:r>
              <w:rPr>
                <w:rFonts w:ascii="Arial" w:cs="Arial" w:eastAsia="Arial" w:hAnsi="Arial"/>
                <w:sz w:val="14"/>
                <w:szCs w:val="14"/>
                <w:color w:val="auto"/>
              </w:rPr>
              <w:t>14,150</w:t>
            </w:r>
          </w:p>
        </w:tc>
        <w:tc>
          <w:tcPr>
            <w:tcW w:w="880" w:type="dxa"/>
            <w:vAlign w:val="bottom"/>
          </w:tcPr>
          <w:p>
            <w:pPr>
              <w:jc w:val="right"/>
              <w:ind w:right="10"/>
              <w:spacing w:after="0"/>
              <w:rPr>
                <w:sz w:val="20"/>
                <w:szCs w:val="20"/>
                <w:color w:val="auto"/>
              </w:rPr>
            </w:pPr>
            <w:r>
              <w:rPr>
                <w:rFonts w:ascii="Arial" w:cs="Arial" w:eastAsia="Arial" w:hAnsi="Arial"/>
                <w:sz w:val="14"/>
                <w:szCs w:val="14"/>
                <w:color w:val="auto"/>
              </w:rPr>
              <w:t>43,843</w:t>
            </w:r>
          </w:p>
        </w:tc>
        <w:tc>
          <w:tcPr>
            <w:tcW w:w="920" w:type="dxa"/>
            <w:vAlign w:val="bottom"/>
            <w:gridSpan w:val="2"/>
          </w:tcPr>
          <w:p>
            <w:pPr>
              <w:jc w:val="right"/>
              <w:ind w:right="160"/>
              <w:spacing w:after="0"/>
              <w:rPr>
                <w:sz w:val="20"/>
                <w:szCs w:val="20"/>
                <w:color w:val="auto"/>
              </w:rPr>
            </w:pPr>
            <w:r>
              <w:rPr>
                <w:rFonts w:ascii="Arial" w:cs="Arial" w:eastAsia="Arial" w:hAnsi="Arial"/>
                <w:sz w:val="14"/>
                <w:szCs w:val="14"/>
                <w:color w:val="auto"/>
              </w:rPr>
              <w:t>1,751</w:t>
            </w: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193,762</w:t>
            </w:r>
          </w:p>
        </w:tc>
      </w:tr>
      <w:tr>
        <w:trPr>
          <w:trHeight w:val="157"/>
        </w:trPr>
        <w:tc>
          <w:tcPr>
            <w:tcW w:w="4520" w:type="dxa"/>
            <w:vAlign w:val="bottom"/>
            <w:tcBorders>
              <w:bottom w:val="single" w:sz="8" w:color="auto"/>
            </w:tcBorders>
          </w:tcPr>
          <w:p>
            <w:pPr>
              <w:spacing w:after="0" w:line="157" w:lineRule="exact"/>
              <w:rPr>
                <w:sz w:val="20"/>
                <w:szCs w:val="20"/>
                <w:color w:val="auto"/>
              </w:rPr>
            </w:pPr>
            <w:r>
              <w:rPr>
                <w:rFonts w:ascii="Arial" w:cs="Arial" w:eastAsia="Arial" w:hAnsi="Arial"/>
                <w:sz w:val="14"/>
                <w:szCs w:val="14"/>
                <w:color w:val="auto"/>
              </w:rPr>
              <w:t>Effect of discounting cash flows at 10%</w:t>
            </w:r>
          </w:p>
        </w:tc>
        <w:tc>
          <w:tcPr>
            <w:tcW w:w="1400" w:type="dxa"/>
            <w:vAlign w:val="bottom"/>
            <w:tcBorders>
              <w:bottom w:val="single" w:sz="8" w:color="auto"/>
            </w:tcBorders>
          </w:tcPr>
          <w:p>
            <w:pPr>
              <w:jc w:val="right"/>
              <w:ind w:right="29"/>
              <w:spacing w:after="0" w:line="157" w:lineRule="exact"/>
              <w:rPr>
                <w:sz w:val="20"/>
                <w:szCs w:val="20"/>
                <w:color w:val="auto"/>
              </w:rPr>
            </w:pPr>
            <w:r>
              <w:rPr>
                <w:rFonts w:ascii="Arial" w:cs="Arial" w:eastAsia="Arial" w:hAnsi="Arial"/>
                <w:sz w:val="14"/>
                <w:szCs w:val="14"/>
                <w:color w:val="auto"/>
              </w:rPr>
              <w:t>9,145</w:t>
            </w:r>
          </w:p>
        </w:tc>
        <w:tc>
          <w:tcPr>
            <w:tcW w:w="720" w:type="dxa"/>
            <w:vAlign w:val="bottom"/>
            <w:tcBorders>
              <w:bottom w:val="single" w:sz="8" w:color="auto"/>
            </w:tcBorders>
          </w:tcPr>
          <w:p>
            <w:pPr>
              <w:jc w:val="right"/>
              <w:ind w:right="29"/>
              <w:spacing w:after="0" w:line="157" w:lineRule="exact"/>
              <w:rPr>
                <w:sz w:val="20"/>
                <w:szCs w:val="20"/>
                <w:color w:val="auto"/>
              </w:rPr>
            </w:pPr>
            <w:r>
              <w:rPr>
                <w:rFonts w:ascii="Arial" w:cs="Arial" w:eastAsia="Arial" w:hAnsi="Arial"/>
                <w:sz w:val="14"/>
                <w:szCs w:val="14"/>
                <w:color w:val="auto"/>
              </w:rPr>
              <w:t>30,238</w:t>
            </w:r>
          </w:p>
        </w:tc>
        <w:tc>
          <w:tcPr>
            <w:tcW w:w="680" w:type="dxa"/>
            <w:vAlign w:val="bottom"/>
            <w:tcBorders>
              <w:bottom w:val="single" w:sz="8" w:color="auto"/>
            </w:tcBorders>
          </w:tcPr>
          <w:p>
            <w:pPr>
              <w:jc w:val="right"/>
              <w:ind w:right="49"/>
              <w:spacing w:after="0" w:line="157" w:lineRule="exact"/>
              <w:rPr>
                <w:sz w:val="20"/>
                <w:szCs w:val="20"/>
                <w:color w:val="auto"/>
              </w:rPr>
            </w:pPr>
            <w:r>
              <w:rPr>
                <w:rFonts w:ascii="Arial" w:cs="Arial" w:eastAsia="Arial" w:hAnsi="Arial"/>
                <w:sz w:val="14"/>
                <w:szCs w:val="14"/>
                <w:color w:val="auto"/>
              </w:rPr>
              <w:t>18,838</w:t>
            </w:r>
          </w:p>
        </w:tc>
        <w:tc>
          <w:tcPr>
            <w:tcW w:w="640" w:type="dxa"/>
            <w:vAlign w:val="bottom"/>
            <w:tcBorders>
              <w:bottom w:val="single" w:sz="8" w:color="auto"/>
            </w:tcBorders>
          </w:tcPr>
          <w:p>
            <w:pPr>
              <w:jc w:val="right"/>
              <w:ind w:right="29"/>
              <w:spacing w:after="0" w:line="157" w:lineRule="exact"/>
              <w:rPr>
                <w:sz w:val="20"/>
                <w:szCs w:val="20"/>
                <w:color w:val="auto"/>
              </w:rPr>
            </w:pPr>
            <w:r>
              <w:rPr>
                <w:rFonts w:ascii="Arial" w:cs="Arial" w:eastAsia="Arial" w:hAnsi="Arial"/>
                <w:sz w:val="14"/>
                <w:szCs w:val="14"/>
                <w:color w:val="auto"/>
              </w:rPr>
              <w:t>5,460</w:t>
            </w:r>
          </w:p>
        </w:tc>
        <w:tc>
          <w:tcPr>
            <w:tcW w:w="640" w:type="dxa"/>
            <w:vAlign w:val="bottom"/>
            <w:tcBorders>
              <w:bottom w:val="single" w:sz="8" w:color="auto"/>
            </w:tcBorders>
          </w:tcPr>
          <w:p>
            <w:pPr>
              <w:jc w:val="right"/>
              <w:spacing w:after="0" w:line="157" w:lineRule="exact"/>
              <w:rPr>
                <w:sz w:val="20"/>
                <w:szCs w:val="20"/>
                <w:color w:val="auto"/>
              </w:rPr>
            </w:pPr>
            <w:r>
              <w:rPr>
                <w:rFonts w:ascii="Arial" w:cs="Arial" w:eastAsia="Arial" w:hAnsi="Arial"/>
                <w:sz w:val="14"/>
                <w:szCs w:val="14"/>
                <w:color w:val="auto"/>
              </w:rPr>
              <w:t>4,768</w:t>
            </w:r>
          </w:p>
        </w:tc>
        <w:tc>
          <w:tcPr>
            <w:tcW w:w="880" w:type="dxa"/>
            <w:vAlign w:val="bottom"/>
            <w:tcBorders>
              <w:bottom w:val="single" w:sz="8" w:color="auto"/>
            </w:tcBorders>
          </w:tcPr>
          <w:p>
            <w:pPr>
              <w:jc w:val="right"/>
              <w:ind w:right="10"/>
              <w:spacing w:after="0" w:line="157" w:lineRule="exact"/>
              <w:rPr>
                <w:sz w:val="20"/>
                <w:szCs w:val="20"/>
                <w:color w:val="auto"/>
              </w:rPr>
            </w:pPr>
            <w:r>
              <w:rPr>
                <w:rFonts w:ascii="Arial" w:cs="Arial" w:eastAsia="Arial" w:hAnsi="Arial"/>
                <w:sz w:val="14"/>
                <w:szCs w:val="14"/>
                <w:color w:val="auto"/>
              </w:rPr>
              <w:t>34,056</w:t>
            </w:r>
          </w:p>
        </w:tc>
        <w:tc>
          <w:tcPr>
            <w:tcW w:w="920" w:type="dxa"/>
            <w:vAlign w:val="bottom"/>
            <w:tcBorders>
              <w:bottom w:val="single" w:sz="8" w:color="auto"/>
            </w:tcBorders>
            <w:gridSpan w:val="2"/>
          </w:tcPr>
          <w:p>
            <w:pPr>
              <w:jc w:val="right"/>
              <w:ind w:right="100"/>
              <w:spacing w:after="0" w:line="157" w:lineRule="exact"/>
              <w:rPr>
                <w:sz w:val="20"/>
                <w:szCs w:val="20"/>
                <w:color w:val="auto"/>
              </w:rPr>
            </w:pPr>
            <w:r>
              <w:rPr>
                <w:rFonts w:ascii="Arial" w:cs="Arial" w:eastAsia="Arial" w:hAnsi="Arial"/>
                <w:sz w:val="14"/>
                <w:szCs w:val="14"/>
                <w:color w:val="auto"/>
              </w:rPr>
              <w:t>(42)</w:t>
            </w:r>
          </w:p>
        </w:tc>
        <w:tc>
          <w:tcPr>
            <w:tcW w:w="1020" w:type="dxa"/>
            <w:vAlign w:val="bottom"/>
            <w:tcBorders>
              <w:bottom w:val="single" w:sz="8" w:color="auto"/>
            </w:tcBorders>
          </w:tcPr>
          <w:p>
            <w:pPr>
              <w:jc w:val="right"/>
              <w:ind w:right="28"/>
              <w:spacing w:after="0" w:line="157" w:lineRule="exact"/>
              <w:rPr>
                <w:sz w:val="20"/>
                <w:szCs w:val="20"/>
                <w:color w:val="auto"/>
              </w:rPr>
            </w:pPr>
            <w:r>
              <w:rPr>
                <w:rFonts w:ascii="Arial" w:cs="Arial" w:eastAsia="Arial" w:hAnsi="Arial"/>
                <w:sz w:val="14"/>
                <w:szCs w:val="14"/>
                <w:color w:val="auto"/>
              </w:rPr>
              <w:t>102,463</w:t>
            </w:r>
          </w:p>
        </w:tc>
      </w:tr>
      <w:tr>
        <w:trPr>
          <w:trHeight w:val="156"/>
        </w:trPr>
        <w:tc>
          <w:tcPr>
            <w:tcW w:w="4520" w:type="dxa"/>
            <w:vAlign w:val="bottom"/>
            <w:tcBorders>
              <w:bottom w:val="single" w:sz="8" w:color="auto"/>
            </w:tcBorders>
          </w:tcPr>
          <w:p>
            <w:pPr>
              <w:spacing w:after="0" w:line="155" w:lineRule="exact"/>
              <w:rPr>
                <w:sz w:val="20"/>
                <w:szCs w:val="20"/>
                <w:color w:val="auto"/>
              </w:rPr>
            </w:pPr>
            <w:r>
              <w:rPr>
                <w:rFonts w:ascii="Arial" w:cs="Arial" w:eastAsia="Arial" w:hAnsi="Arial"/>
                <w:sz w:val="14"/>
                <w:szCs w:val="14"/>
                <w:color w:val="auto"/>
              </w:rPr>
              <w:t>Standardised measure of discounted future net cash flows</w:t>
            </w:r>
          </w:p>
        </w:tc>
        <w:tc>
          <w:tcPr>
            <w:tcW w:w="1400" w:type="dxa"/>
            <w:vAlign w:val="bottom"/>
            <w:tcBorders>
              <w:bottom w:val="single" w:sz="8" w:color="auto"/>
            </w:tcBorders>
          </w:tcPr>
          <w:p>
            <w:pPr>
              <w:jc w:val="right"/>
              <w:ind w:right="29"/>
              <w:spacing w:after="0" w:line="155" w:lineRule="exact"/>
              <w:rPr>
                <w:sz w:val="20"/>
                <w:szCs w:val="20"/>
                <w:color w:val="auto"/>
              </w:rPr>
            </w:pPr>
            <w:r>
              <w:rPr>
                <w:rFonts w:ascii="Arial" w:cs="Arial" w:eastAsia="Arial" w:hAnsi="Arial"/>
                <w:sz w:val="14"/>
                <w:szCs w:val="14"/>
                <w:color w:val="auto"/>
              </w:rPr>
              <w:t>15,835</w:t>
            </w:r>
          </w:p>
        </w:tc>
        <w:tc>
          <w:tcPr>
            <w:tcW w:w="720" w:type="dxa"/>
            <w:vAlign w:val="bottom"/>
            <w:tcBorders>
              <w:bottom w:val="single" w:sz="8" w:color="auto"/>
            </w:tcBorders>
          </w:tcPr>
          <w:p>
            <w:pPr>
              <w:jc w:val="right"/>
              <w:ind w:right="29"/>
              <w:spacing w:after="0" w:line="155" w:lineRule="exact"/>
              <w:rPr>
                <w:sz w:val="20"/>
                <w:szCs w:val="20"/>
                <w:color w:val="auto"/>
              </w:rPr>
            </w:pPr>
            <w:r>
              <w:rPr>
                <w:rFonts w:ascii="Arial" w:cs="Arial" w:eastAsia="Arial" w:hAnsi="Arial"/>
                <w:sz w:val="14"/>
                <w:szCs w:val="14"/>
                <w:color w:val="auto"/>
              </w:rPr>
              <w:t>35,691</w:t>
            </w:r>
          </w:p>
        </w:tc>
        <w:tc>
          <w:tcPr>
            <w:tcW w:w="680" w:type="dxa"/>
            <w:vAlign w:val="bottom"/>
            <w:tcBorders>
              <w:bottom w:val="single" w:sz="8" w:color="auto"/>
            </w:tcBorders>
          </w:tcPr>
          <w:p>
            <w:pPr>
              <w:jc w:val="right"/>
              <w:ind w:right="49"/>
              <w:spacing w:after="0" w:line="155" w:lineRule="exact"/>
              <w:rPr>
                <w:sz w:val="20"/>
                <w:szCs w:val="20"/>
                <w:color w:val="auto"/>
              </w:rPr>
            </w:pPr>
            <w:r>
              <w:rPr>
                <w:rFonts w:ascii="Arial" w:cs="Arial" w:eastAsia="Arial" w:hAnsi="Arial"/>
                <w:sz w:val="14"/>
                <w:szCs w:val="14"/>
                <w:color w:val="auto"/>
              </w:rPr>
              <w:t>8,012</w:t>
            </w:r>
          </w:p>
        </w:tc>
        <w:tc>
          <w:tcPr>
            <w:tcW w:w="640" w:type="dxa"/>
            <w:vAlign w:val="bottom"/>
            <w:tcBorders>
              <w:bottom w:val="single" w:sz="8" w:color="auto"/>
            </w:tcBorders>
          </w:tcPr>
          <w:p>
            <w:pPr>
              <w:jc w:val="right"/>
              <w:ind w:right="29"/>
              <w:spacing w:after="0" w:line="155" w:lineRule="exact"/>
              <w:rPr>
                <w:sz w:val="20"/>
                <w:szCs w:val="20"/>
                <w:color w:val="auto"/>
              </w:rPr>
            </w:pPr>
            <w:r>
              <w:rPr>
                <w:rFonts w:ascii="Arial" w:cs="Arial" w:eastAsia="Arial" w:hAnsi="Arial"/>
                <w:sz w:val="14"/>
                <w:szCs w:val="14"/>
                <w:color w:val="auto"/>
              </w:rPr>
              <w:t>10,799</w:t>
            </w:r>
          </w:p>
        </w:tc>
        <w:tc>
          <w:tcPr>
            <w:tcW w:w="6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9,382</w:t>
            </w:r>
          </w:p>
        </w:tc>
        <w:tc>
          <w:tcPr>
            <w:tcW w:w="880" w:type="dxa"/>
            <w:vAlign w:val="bottom"/>
            <w:tcBorders>
              <w:bottom w:val="single" w:sz="8" w:color="auto"/>
            </w:tcBorders>
          </w:tcPr>
          <w:p>
            <w:pPr>
              <w:jc w:val="right"/>
              <w:ind w:right="10"/>
              <w:spacing w:after="0" w:line="155" w:lineRule="exact"/>
              <w:rPr>
                <w:sz w:val="20"/>
                <w:szCs w:val="20"/>
                <w:color w:val="auto"/>
              </w:rPr>
            </w:pPr>
            <w:r>
              <w:rPr>
                <w:rFonts w:ascii="Arial" w:cs="Arial" w:eastAsia="Arial" w:hAnsi="Arial"/>
                <w:sz w:val="14"/>
                <w:szCs w:val="14"/>
                <w:color w:val="auto"/>
              </w:rPr>
              <w:t>9,787</w:t>
            </w:r>
          </w:p>
        </w:tc>
        <w:tc>
          <w:tcPr>
            <w:tcW w:w="920" w:type="dxa"/>
            <w:vAlign w:val="bottom"/>
            <w:tcBorders>
              <w:bottom w:val="single" w:sz="8" w:color="auto"/>
            </w:tcBorders>
            <w:gridSpan w:val="2"/>
          </w:tcPr>
          <w:p>
            <w:pPr>
              <w:jc w:val="right"/>
              <w:ind w:right="160"/>
              <w:spacing w:after="0" w:line="155" w:lineRule="exact"/>
              <w:rPr>
                <w:sz w:val="20"/>
                <w:szCs w:val="20"/>
                <w:color w:val="auto"/>
              </w:rPr>
            </w:pPr>
            <w:r>
              <w:rPr>
                <w:rFonts w:ascii="Arial" w:cs="Arial" w:eastAsia="Arial" w:hAnsi="Arial"/>
                <w:sz w:val="14"/>
                <w:szCs w:val="14"/>
                <w:color w:val="auto"/>
              </w:rPr>
              <w:t>1,793</w:t>
            </w:r>
          </w:p>
        </w:tc>
        <w:tc>
          <w:tcPr>
            <w:tcW w:w="1020" w:type="dxa"/>
            <w:vAlign w:val="bottom"/>
            <w:tcBorders>
              <w:bottom w:val="single" w:sz="8" w:color="auto"/>
            </w:tcBorders>
          </w:tcPr>
          <w:p>
            <w:pPr>
              <w:jc w:val="right"/>
              <w:ind w:right="28"/>
              <w:spacing w:after="0" w:line="155" w:lineRule="exact"/>
              <w:rPr>
                <w:sz w:val="20"/>
                <w:szCs w:val="20"/>
                <w:color w:val="auto"/>
              </w:rPr>
            </w:pPr>
            <w:r>
              <w:rPr>
                <w:rFonts w:ascii="Arial" w:cs="Arial" w:eastAsia="Arial" w:hAnsi="Arial"/>
                <w:sz w:val="14"/>
                <w:szCs w:val="14"/>
                <w:color w:val="auto"/>
              </w:rPr>
              <w:t>91,299</w:t>
            </w:r>
          </w:p>
        </w:tc>
      </w:tr>
      <w:tr>
        <w:trPr>
          <w:trHeight w:val="156"/>
        </w:trPr>
        <w:tc>
          <w:tcPr>
            <w:tcW w:w="4520" w:type="dxa"/>
            <w:vAlign w:val="bottom"/>
            <w:tcBorders>
              <w:bottom w:val="single" w:sz="8" w:color="auto"/>
            </w:tcBorders>
          </w:tcPr>
          <w:p>
            <w:pPr>
              <w:spacing w:after="0" w:line="155" w:lineRule="exact"/>
              <w:rPr>
                <w:sz w:val="20"/>
                <w:szCs w:val="20"/>
                <w:color w:val="auto"/>
              </w:rPr>
            </w:pPr>
            <w:r>
              <w:rPr>
                <w:rFonts w:ascii="Arial" w:cs="Arial" w:eastAsia="Arial" w:hAnsi="Arial"/>
                <w:sz w:val="14"/>
                <w:szCs w:val="14"/>
                <w:color w:val="auto"/>
              </w:rPr>
              <w:t>Non-controlling interest included</w:t>
            </w:r>
          </w:p>
        </w:tc>
        <w:tc>
          <w:tcPr>
            <w:tcW w:w="1400" w:type="dxa"/>
            <w:vAlign w:val="bottom"/>
            <w:tcBorders>
              <w:bottom w:val="single" w:sz="8" w:color="auto"/>
            </w:tcBorders>
          </w:tcPr>
          <w:p>
            <w:pPr>
              <w:jc w:val="right"/>
              <w:ind w:right="29"/>
              <w:spacing w:after="0" w:line="155" w:lineRule="exact"/>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tcPr>
          <w:p>
            <w:pPr>
              <w:jc w:val="right"/>
              <w:ind w:right="29"/>
              <w:spacing w:after="0" w:line="155" w:lineRule="exact"/>
              <w:rPr>
                <w:sz w:val="20"/>
                <w:szCs w:val="20"/>
                <w:color w:val="auto"/>
              </w:rPr>
            </w:pPr>
            <w:r>
              <w:rPr>
                <w:rFonts w:ascii="Arial" w:cs="Arial" w:eastAsia="Arial" w:hAnsi="Arial"/>
                <w:sz w:val="14"/>
                <w:szCs w:val="14"/>
                <w:color w:val="auto"/>
              </w:rPr>
              <w:t>5</w:t>
            </w:r>
          </w:p>
        </w:tc>
        <w:tc>
          <w:tcPr>
            <w:tcW w:w="680" w:type="dxa"/>
            <w:vAlign w:val="bottom"/>
            <w:tcBorders>
              <w:bottom w:val="single" w:sz="8" w:color="auto"/>
            </w:tcBorders>
          </w:tcPr>
          <w:p>
            <w:pPr>
              <w:jc w:val="right"/>
              <w:ind w:right="49"/>
              <w:spacing w:after="0" w:line="155" w:lineRule="exact"/>
              <w:rPr>
                <w:sz w:val="20"/>
                <w:szCs w:val="20"/>
                <w:color w:val="auto"/>
              </w:rPr>
            </w:pPr>
            <w:r>
              <w:rPr>
                <w:rFonts w:ascii="Arial" w:cs="Arial" w:eastAsia="Arial" w:hAnsi="Arial"/>
                <w:sz w:val="14"/>
                <w:szCs w:val="14"/>
                <w:color w:val="auto"/>
              </w:rPr>
              <w:t>–</w:t>
            </w:r>
          </w:p>
        </w:tc>
        <w:tc>
          <w:tcPr>
            <w:tcW w:w="640" w:type="dxa"/>
            <w:vAlign w:val="bottom"/>
            <w:tcBorders>
              <w:bottom w:val="single" w:sz="8" w:color="auto"/>
            </w:tcBorders>
          </w:tcPr>
          <w:p>
            <w:pPr>
              <w:jc w:val="right"/>
              <w:ind w:right="29"/>
              <w:spacing w:after="0" w:line="155" w:lineRule="exact"/>
              <w:rPr>
                <w:sz w:val="20"/>
                <w:szCs w:val="20"/>
                <w:color w:val="auto"/>
              </w:rPr>
            </w:pPr>
            <w:r>
              <w:rPr>
                <w:rFonts w:ascii="Arial" w:cs="Arial" w:eastAsia="Arial" w:hAnsi="Arial"/>
                <w:sz w:val="14"/>
                <w:szCs w:val="14"/>
                <w:color w:val="auto"/>
              </w:rPr>
              <w:t>188</w:t>
            </w:r>
          </w:p>
        </w:tc>
        <w:tc>
          <w:tcPr>
            <w:tcW w:w="6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ind w:right="10"/>
              <w:spacing w:after="0" w:line="155" w:lineRule="exact"/>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gridSpan w:val="2"/>
          </w:tcPr>
          <w:p>
            <w:pPr>
              <w:jc w:val="right"/>
              <w:ind w:right="160"/>
              <w:spacing w:after="0" w:line="155" w:lineRule="exact"/>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tcPr>
          <w:p>
            <w:pPr>
              <w:jc w:val="right"/>
              <w:ind w:right="28"/>
              <w:spacing w:after="0" w:line="155" w:lineRule="exact"/>
              <w:rPr>
                <w:sz w:val="20"/>
                <w:szCs w:val="20"/>
                <w:color w:val="auto"/>
              </w:rPr>
            </w:pPr>
            <w:r>
              <w:rPr>
                <w:rFonts w:ascii="Arial" w:cs="Arial" w:eastAsia="Arial" w:hAnsi="Arial"/>
                <w:sz w:val="14"/>
                <w:szCs w:val="14"/>
                <w:color w:val="auto"/>
              </w:rPr>
              <w:t>193</w:t>
            </w:r>
          </w:p>
        </w:tc>
      </w:tr>
    </w:tbl>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5020" w:type="dxa"/>
            <w:vAlign w:val="bottom"/>
            <w:shd w:val="clear" w:color="auto" w:fill="333333"/>
          </w:tcPr>
          <w:p>
            <w:pPr>
              <w:ind w:left="80"/>
              <w:spacing w:after="0"/>
              <w:rPr>
                <w:sz w:val="20"/>
                <w:szCs w:val="20"/>
                <w:color w:val="auto"/>
              </w:rPr>
            </w:pPr>
            <w:r>
              <w:rPr>
                <w:rFonts w:ascii="Arial" w:cs="Arial" w:eastAsia="Arial" w:hAnsi="Arial"/>
                <w:sz w:val="15"/>
                <w:szCs w:val="15"/>
                <w:b w:val="1"/>
                <w:bCs w:val="1"/>
                <w:color w:val="FFFFFF"/>
              </w:rPr>
              <w:t>2013 – SHELL SHARE OF JOINT VENTURES AND ASSOCIATES</w:t>
            </w:r>
          </w:p>
        </w:tc>
        <w:tc>
          <w:tcPr>
            <w:tcW w:w="860" w:type="dxa"/>
            <w:vAlign w:val="bottom"/>
            <w:shd w:val="clear" w:color="auto" w:fill="333333"/>
          </w:tcPr>
          <w:p>
            <w:pPr>
              <w:spacing w:after="0"/>
              <w:rPr>
                <w:sz w:val="14"/>
                <w:szCs w:val="14"/>
                <w:color w:val="auto"/>
              </w:rPr>
            </w:pPr>
          </w:p>
        </w:tc>
        <w:tc>
          <w:tcPr>
            <w:tcW w:w="680" w:type="dxa"/>
            <w:vAlign w:val="bottom"/>
            <w:shd w:val="clear" w:color="auto" w:fill="333333"/>
          </w:tcPr>
          <w:p>
            <w:pPr>
              <w:spacing w:after="0"/>
              <w:rPr>
                <w:sz w:val="14"/>
                <w:szCs w:val="14"/>
                <w:color w:val="auto"/>
              </w:rPr>
            </w:pPr>
          </w:p>
        </w:tc>
        <w:tc>
          <w:tcPr>
            <w:tcW w:w="880" w:type="dxa"/>
            <w:vAlign w:val="bottom"/>
            <w:shd w:val="clear" w:color="auto" w:fill="333333"/>
          </w:tcPr>
          <w:p>
            <w:pPr>
              <w:spacing w:after="0"/>
              <w:rPr>
                <w:sz w:val="14"/>
                <w:szCs w:val="14"/>
                <w:color w:val="auto"/>
              </w:rPr>
            </w:pPr>
          </w:p>
        </w:tc>
        <w:tc>
          <w:tcPr>
            <w:tcW w:w="540" w:type="dxa"/>
            <w:vAlign w:val="bottom"/>
            <w:shd w:val="clear" w:color="auto" w:fill="333333"/>
          </w:tcPr>
          <w:p>
            <w:pPr>
              <w:spacing w:after="0"/>
              <w:rPr>
                <w:sz w:val="14"/>
                <w:szCs w:val="14"/>
                <w:color w:val="auto"/>
              </w:rPr>
            </w:pPr>
          </w:p>
        </w:tc>
        <w:tc>
          <w:tcPr>
            <w:tcW w:w="400" w:type="dxa"/>
            <w:vAlign w:val="bottom"/>
            <w:shd w:val="clear" w:color="auto" w:fill="333333"/>
          </w:tcPr>
          <w:p>
            <w:pPr>
              <w:spacing w:after="0"/>
              <w:rPr>
                <w:sz w:val="14"/>
                <w:szCs w:val="14"/>
                <w:color w:val="auto"/>
              </w:rPr>
            </w:pPr>
          </w:p>
        </w:tc>
        <w:tc>
          <w:tcPr>
            <w:tcW w:w="940" w:type="dxa"/>
            <w:vAlign w:val="bottom"/>
            <w:shd w:val="clear" w:color="auto" w:fill="333333"/>
          </w:tcPr>
          <w:p>
            <w:pPr>
              <w:spacing w:after="0"/>
              <w:rPr>
                <w:sz w:val="14"/>
                <w:szCs w:val="14"/>
                <w:color w:val="auto"/>
              </w:rPr>
            </w:pPr>
          </w:p>
        </w:tc>
        <w:tc>
          <w:tcPr>
            <w:tcW w:w="960" w:type="dxa"/>
            <w:vAlign w:val="bottom"/>
            <w:shd w:val="clear" w:color="auto" w:fill="333333"/>
          </w:tcPr>
          <w:p>
            <w:pPr>
              <w:spacing w:after="0"/>
              <w:rPr>
                <w:sz w:val="14"/>
                <w:szCs w:val="14"/>
                <w:color w:val="auto"/>
              </w:rPr>
            </w:pPr>
          </w:p>
        </w:tc>
        <w:tc>
          <w:tcPr>
            <w:tcW w:w="80" w:type="dxa"/>
            <w:vAlign w:val="bottom"/>
            <w:shd w:val="clear" w:color="auto" w:fill="333333"/>
          </w:tcPr>
          <w:p>
            <w:pPr>
              <w:spacing w:after="0"/>
              <w:rPr>
                <w:sz w:val="14"/>
                <w:szCs w:val="14"/>
                <w:color w:val="auto"/>
              </w:rPr>
            </w:pPr>
          </w:p>
        </w:tc>
        <w:tc>
          <w:tcPr>
            <w:tcW w:w="1060" w:type="dxa"/>
            <w:vAlign w:val="bottom"/>
            <w:shd w:val="clear" w:color="auto" w:fill="333333"/>
          </w:tcPr>
          <w:p>
            <w:pPr>
              <w:jc w:val="right"/>
              <w:ind w:right="149"/>
              <w:spacing w:after="0"/>
              <w:rPr>
                <w:sz w:val="20"/>
                <w:szCs w:val="20"/>
                <w:color w:val="auto"/>
              </w:rPr>
            </w:pPr>
            <w:r>
              <w:rPr>
                <w:rFonts w:ascii="Arial" w:cs="Arial" w:eastAsia="Arial" w:hAnsi="Arial"/>
                <w:sz w:val="15"/>
                <w:szCs w:val="15"/>
                <w:color w:val="FFFFFF"/>
              </w:rPr>
              <w:t>$ MILLION</w:t>
            </w:r>
          </w:p>
        </w:tc>
      </w:tr>
      <w:tr>
        <w:trPr>
          <w:trHeight w:val="162"/>
        </w:trPr>
        <w:tc>
          <w:tcPr>
            <w:tcW w:w="50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10"/>
              <w:spacing w:after="0"/>
              <w:rPr>
                <w:sz w:val="20"/>
                <w:szCs w:val="20"/>
                <w:color w:val="auto"/>
              </w:rPr>
            </w:pPr>
            <w:r>
              <w:rPr>
                <w:rFonts w:ascii="Arial" w:cs="Arial" w:eastAsia="Arial" w:hAnsi="Arial"/>
                <w:sz w:val="13"/>
                <w:szCs w:val="13"/>
                <w:color w:val="auto"/>
              </w:rPr>
              <w:t>North America</w:t>
            </w:r>
          </w:p>
        </w:tc>
        <w:tc>
          <w:tcPr>
            <w:tcW w:w="1040" w:type="dxa"/>
            <w:vAlign w:val="bottom"/>
            <w:gridSpan w:val="2"/>
          </w:tcPr>
          <w:p>
            <w:pPr>
              <w:jc w:val="right"/>
              <w:ind w:right="80"/>
              <w:spacing w:after="0"/>
              <w:rPr>
                <w:sz w:val="20"/>
                <w:szCs w:val="20"/>
                <w:color w:val="auto"/>
              </w:rPr>
            </w:pPr>
            <w:r>
              <w:rPr>
                <w:rFonts w:ascii="Arial" w:cs="Arial" w:eastAsia="Arial" w:hAnsi="Arial"/>
                <w:sz w:val="13"/>
                <w:szCs w:val="13"/>
                <w:color w:val="auto"/>
              </w:rPr>
              <w:t>South</w:t>
            </w:r>
          </w:p>
        </w:tc>
        <w:tc>
          <w:tcPr>
            <w:tcW w:w="1060" w:type="dxa"/>
            <w:vAlign w:val="bottom"/>
          </w:tcPr>
          <w:p>
            <w:pPr>
              <w:spacing w:after="0"/>
              <w:rPr>
                <w:sz w:val="14"/>
                <w:szCs w:val="14"/>
                <w:color w:val="auto"/>
              </w:rPr>
            </w:pPr>
          </w:p>
        </w:tc>
      </w:tr>
      <w:tr>
        <w:trPr>
          <w:trHeight w:val="129"/>
        </w:trPr>
        <w:tc>
          <w:tcPr>
            <w:tcW w:w="502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jc w:val="right"/>
              <w:ind w:right="9"/>
              <w:spacing w:after="0" w:line="129" w:lineRule="exact"/>
              <w:rPr>
                <w:sz w:val="20"/>
                <w:szCs w:val="20"/>
                <w:color w:val="auto"/>
              </w:rPr>
            </w:pPr>
            <w:r>
              <w:rPr>
                <w:rFonts w:ascii="Arial" w:cs="Arial" w:eastAsia="Arial" w:hAnsi="Arial"/>
                <w:sz w:val="13"/>
                <w:szCs w:val="13"/>
                <w:color w:val="auto"/>
              </w:rPr>
              <w:t>Europe</w:t>
            </w:r>
          </w:p>
        </w:tc>
        <w:tc>
          <w:tcPr>
            <w:tcW w:w="680" w:type="dxa"/>
            <w:vAlign w:val="bottom"/>
            <w:tcBorders>
              <w:bottom w:val="single" w:sz="8" w:color="auto"/>
            </w:tcBorders>
          </w:tcPr>
          <w:p>
            <w:pPr>
              <w:jc w:val="right"/>
              <w:ind w:right="89"/>
              <w:spacing w:after="0" w:line="129" w:lineRule="exact"/>
              <w:rPr>
                <w:sz w:val="20"/>
                <w:szCs w:val="20"/>
                <w:color w:val="auto"/>
              </w:rPr>
            </w:pPr>
            <w:r>
              <w:rPr>
                <w:rFonts w:ascii="Arial" w:cs="Arial" w:eastAsia="Arial" w:hAnsi="Arial"/>
                <w:sz w:val="13"/>
                <w:szCs w:val="13"/>
                <w:color w:val="auto"/>
              </w:rPr>
              <w:t>Asia</w:t>
            </w:r>
          </w:p>
        </w:tc>
        <w:tc>
          <w:tcPr>
            <w:tcW w:w="880" w:type="dxa"/>
            <w:vAlign w:val="bottom"/>
            <w:tcBorders>
              <w:bottom w:val="single" w:sz="8" w:color="auto"/>
            </w:tcBorders>
          </w:tcPr>
          <w:p>
            <w:pPr>
              <w:jc w:val="right"/>
              <w:ind w:right="29"/>
              <w:spacing w:after="0" w:line="129" w:lineRule="exact"/>
              <w:rPr>
                <w:sz w:val="20"/>
                <w:szCs w:val="20"/>
                <w:color w:val="auto"/>
              </w:rPr>
            </w:pPr>
            <w:r>
              <w:rPr>
                <w:rFonts w:ascii="Arial" w:cs="Arial" w:eastAsia="Arial" w:hAnsi="Arial"/>
                <w:sz w:val="13"/>
                <w:szCs w:val="13"/>
                <w:color w:val="auto"/>
              </w:rPr>
              <w:t>Oceania[A]</w:t>
            </w:r>
          </w:p>
        </w:tc>
        <w:tc>
          <w:tcPr>
            <w:tcW w:w="540" w:type="dxa"/>
            <w:vAlign w:val="bottom"/>
            <w:tcBorders>
              <w:bottom w:val="single" w:sz="8" w:color="auto"/>
            </w:tcBorders>
          </w:tcPr>
          <w:p>
            <w:pPr>
              <w:jc w:val="right"/>
              <w:ind w:right="49"/>
              <w:spacing w:after="0" w:line="129" w:lineRule="exact"/>
              <w:rPr>
                <w:sz w:val="20"/>
                <w:szCs w:val="20"/>
                <w:color w:val="auto"/>
              </w:rPr>
            </w:pPr>
            <w:r>
              <w:rPr>
                <w:rFonts w:ascii="Arial" w:cs="Arial" w:eastAsia="Arial" w:hAnsi="Arial"/>
                <w:sz w:val="13"/>
                <w:szCs w:val="13"/>
                <w:color w:val="auto"/>
              </w:rPr>
              <w:t>Africa</w:t>
            </w:r>
          </w:p>
        </w:tc>
        <w:tc>
          <w:tcPr>
            <w:tcW w:w="40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USA</w:t>
            </w:r>
          </w:p>
        </w:tc>
        <w:tc>
          <w:tcPr>
            <w:tcW w:w="940" w:type="dxa"/>
            <w:vAlign w:val="bottom"/>
            <w:tcBorders>
              <w:bottom w:val="single" w:sz="8" w:color="auto"/>
            </w:tcBorders>
          </w:tcPr>
          <w:p>
            <w:pPr>
              <w:jc w:val="right"/>
              <w:ind w:right="10"/>
              <w:spacing w:after="0" w:line="129" w:lineRule="exact"/>
              <w:rPr>
                <w:sz w:val="20"/>
                <w:szCs w:val="20"/>
                <w:color w:val="auto"/>
              </w:rPr>
            </w:pPr>
            <w:r>
              <w:rPr>
                <w:rFonts w:ascii="Arial" w:cs="Arial" w:eastAsia="Arial" w:hAnsi="Arial"/>
                <w:sz w:val="13"/>
                <w:szCs w:val="13"/>
                <w:color w:val="auto"/>
              </w:rPr>
              <w:t>Canada</w:t>
            </w:r>
          </w:p>
        </w:tc>
        <w:tc>
          <w:tcPr>
            <w:tcW w:w="96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America</w:t>
            </w:r>
          </w:p>
        </w:tc>
        <w:tc>
          <w:tcPr>
            <w:tcW w:w="80" w:type="dxa"/>
            <w:vAlign w:val="bottom"/>
          </w:tcPr>
          <w:p>
            <w:pPr>
              <w:spacing w:after="0"/>
              <w:rPr>
                <w:sz w:val="11"/>
                <w:szCs w:val="11"/>
                <w:color w:val="auto"/>
              </w:rPr>
            </w:pPr>
          </w:p>
        </w:tc>
        <w:tc>
          <w:tcPr>
            <w:tcW w:w="1060" w:type="dxa"/>
            <w:vAlign w:val="bottom"/>
            <w:tcBorders>
              <w:bottom w:val="single" w:sz="8" w:color="auto"/>
            </w:tcBorders>
          </w:tcPr>
          <w:p>
            <w:pPr>
              <w:jc w:val="right"/>
              <w:ind w:right="149"/>
              <w:spacing w:after="0" w:line="129" w:lineRule="exact"/>
              <w:rPr>
                <w:sz w:val="20"/>
                <w:szCs w:val="20"/>
                <w:color w:val="auto"/>
              </w:rPr>
            </w:pPr>
            <w:r>
              <w:rPr>
                <w:rFonts w:ascii="Arial" w:cs="Arial" w:eastAsia="Arial" w:hAnsi="Arial"/>
                <w:sz w:val="13"/>
                <w:szCs w:val="13"/>
                <w:color w:val="auto"/>
              </w:rPr>
              <w:t>Total</w:t>
            </w:r>
          </w:p>
        </w:tc>
      </w:tr>
      <w:tr>
        <w:trPr>
          <w:trHeight w:val="160"/>
        </w:trPr>
        <w:tc>
          <w:tcPr>
            <w:tcW w:w="5020" w:type="dxa"/>
            <w:vAlign w:val="bottom"/>
          </w:tcPr>
          <w:p>
            <w:pPr>
              <w:spacing w:after="0"/>
              <w:rPr>
                <w:sz w:val="20"/>
                <w:szCs w:val="20"/>
                <w:color w:val="auto"/>
              </w:rPr>
            </w:pPr>
            <w:r>
              <w:rPr>
                <w:rFonts w:ascii="Arial" w:cs="Arial" w:eastAsia="Arial" w:hAnsi="Arial"/>
                <w:sz w:val="14"/>
                <w:szCs w:val="14"/>
                <w:color w:val="auto"/>
              </w:rPr>
              <w:t>Future cash inflows</w:t>
            </w:r>
          </w:p>
        </w:tc>
        <w:tc>
          <w:tcPr>
            <w:tcW w:w="860" w:type="dxa"/>
            <w:vAlign w:val="bottom"/>
          </w:tcPr>
          <w:p>
            <w:pPr>
              <w:jc w:val="right"/>
              <w:ind w:right="9"/>
              <w:spacing w:after="0"/>
              <w:rPr>
                <w:sz w:val="20"/>
                <w:szCs w:val="20"/>
                <w:color w:val="auto"/>
              </w:rPr>
            </w:pPr>
            <w:r>
              <w:rPr>
                <w:rFonts w:ascii="Arial" w:cs="Arial" w:eastAsia="Arial" w:hAnsi="Arial"/>
                <w:sz w:val="14"/>
                <w:szCs w:val="14"/>
                <w:color w:val="auto"/>
              </w:rPr>
              <w:t>73,876</w:t>
            </w:r>
          </w:p>
        </w:tc>
        <w:tc>
          <w:tcPr>
            <w:tcW w:w="680" w:type="dxa"/>
            <w:vAlign w:val="bottom"/>
          </w:tcPr>
          <w:p>
            <w:pPr>
              <w:jc w:val="right"/>
              <w:ind w:right="89"/>
              <w:spacing w:after="0"/>
              <w:rPr>
                <w:sz w:val="20"/>
                <w:szCs w:val="20"/>
                <w:color w:val="auto"/>
              </w:rPr>
            </w:pPr>
            <w:r>
              <w:rPr>
                <w:rFonts w:ascii="Arial" w:cs="Arial" w:eastAsia="Arial" w:hAnsi="Arial"/>
                <w:sz w:val="14"/>
                <w:szCs w:val="14"/>
                <w:color w:val="auto"/>
              </w:rPr>
              <w:t>94,675</w:t>
            </w:r>
          </w:p>
        </w:tc>
        <w:tc>
          <w:tcPr>
            <w:tcW w:w="880" w:type="dxa"/>
            <w:vAlign w:val="bottom"/>
          </w:tcPr>
          <w:p>
            <w:pPr>
              <w:jc w:val="right"/>
              <w:ind w:right="189"/>
              <w:spacing w:after="0"/>
              <w:rPr>
                <w:sz w:val="20"/>
                <w:szCs w:val="20"/>
                <w:color w:val="auto"/>
              </w:rPr>
            </w:pPr>
            <w:r>
              <w:rPr>
                <w:rFonts w:ascii="Arial" w:cs="Arial" w:eastAsia="Arial" w:hAnsi="Arial"/>
                <w:sz w:val="14"/>
                <w:szCs w:val="14"/>
                <w:color w:val="auto"/>
              </w:rPr>
              <w:t>13,572</w:t>
            </w:r>
          </w:p>
        </w:tc>
        <w:tc>
          <w:tcPr>
            <w:tcW w:w="54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400" w:type="dxa"/>
            <w:vAlign w:val="bottom"/>
          </w:tcPr>
          <w:p>
            <w:pPr>
              <w:jc w:val="right"/>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10"/>
              <w:spacing w:after="0"/>
              <w:rPr>
                <w:sz w:val="20"/>
                <w:szCs w:val="20"/>
                <w:color w:val="auto"/>
              </w:rPr>
            </w:pPr>
            <w:r>
              <w:rPr>
                <w:rFonts w:ascii="Arial" w:cs="Arial" w:eastAsia="Arial" w:hAnsi="Arial"/>
                <w:sz w:val="14"/>
                <w:szCs w:val="14"/>
                <w:color w:val="auto"/>
              </w:rPr>
              <w:t>–</w:t>
            </w:r>
          </w:p>
        </w:tc>
        <w:tc>
          <w:tcPr>
            <w:tcW w:w="1040" w:type="dxa"/>
            <w:vAlign w:val="bottom"/>
            <w:gridSpan w:val="2"/>
          </w:tcPr>
          <w:p>
            <w:pPr>
              <w:jc w:val="right"/>
              <w:ind w:right="80"/>
              <w:spacing w:after="0"/>
              <w:rPr>
                <w:sz w:val="20"/>
                <w:szCs w:val="20"/>
                <w:color w:val="auto"/>
              </w:rPr>
            </w:pPr>
            <w:r>
              <w:rPr>
                <w:rFonts w:ascii="Arial" w:cs="Arial" w:eastAsia="Arial" w:hAnsi="Arial"/>
                <w:sz w:val="14"/>
                <w:szCs w:val="14"/>
                <w:color w:val="auto"/>
              </w:rPr>
              <w:t>1,682</w:t>
            </w:r>
          </w:p>
        </w:tc>
        <w:tc>
          <w:tcPr>
            <w:tcW w:w="1060" w:type="dxa"/>
            <w:vAlign w:val="bottom"/>
          </w:tcPr>
          <w:p>
            <w:pPr>
              <w:jc w:val="right"/>
              <w:ind w:right="149"/>
              <w:spacing w:after="0"/>
              <w:rPr>
                <w:sz w:val="20"/>
                <w:szCs w:val="20"/>
                <w:color w:val="auto"/>
              </w:rPr>
            </w:pPr>
            <w:r>
              <w:rPr>
                <w:rFonts w:ascii="Arial" w:cs="Arial" w:eastAsia="Arial" w:hAnsi="Arial"/>
                <w:sz w:val="14"/>
                <w:szCs w:val="14"/>
                <w:color w:val="auto"/>
              </w:rPr>
              <w:t>183,805</w:t>
            </w:r>
          </w:p>
        </w:tc>
      </w:tr>
      <w:tr>
        <w:trPr>
          <w:trHeight w:val="162"/>
        </w:trPr>
        <w:tc>
          <w:tcPr>
            <w:tcW w:w="5020" w:type="dxa"/>
            <w:vAlign w:val="bottom"/>
          </w:tcPr>
          <w:p>
            <w:pPr>
              <w:spacing w:after="0"/>
              <w:rPr>
                <w:sz w:val="20"/>
                <w:szCs w:val="20"/>
                <w:color w:val="auto"/>
              </w:rPr>
            </w:pPr>
            <w:r>
              <w:rPr>
                <w:rFonts w:ascii="Arial" w:cs="Arial" w:eastAsia="Arial" w:hAnsi="Arial"/>
                <w:sz w:val="14"/>
                <w:szCs w:val="14"/>
                <w:color w:val="auto"/>
              </w:rPr>
              <w:t>Future production costs</w:t>
            </w:r>
          </w:p>
        </w:tc>
        <w:tc>
          <w:tcPr>
            <w:tcW w:w="860" w:type="dxa"/>
            <w:vAlign w:val="bottom"/>
          </w:tcPr>
          <w:p>
            <w:pPr>
              <w:jc w:val="right"/>
              <w:ind w:right="9"/>
              <w:spacing w:after="0"/>
              <w:rPr>
                <w:sz w:val="20"/>
                <w:szCs w:val="20"/>
                <w:color w:val="auto"/>
              </w:rPr>
            </w:pPr>
            <w:r>
              <w:rPr>
                <w:rFonts w:ascii="Arial" w:cs="Arial" w:eastAsia="Arial" w:hAnsi="Arial"/>
                <w:sz w:val="14"/>
                <w:szCs w:val="14"/>
                <w:color w:val="auto"/>
              </w:rPr>
              <w:t>55,680</w:t>
            </w:r>
          </w:p>
        </w:tc>
        <w:tc>
          <w:tcPr>
            <w:tcW w:w="680" w:type="dxa"/>
            <w:vAlign w:val="bottom"/>
          </w:tcPr>
          <w:p>
            <w:pPr>
              <w:jc w:val="right"/>
              <w:ind w:right="89"/>
              <w:spacing w:after="0"/>
              <w:rPr>
                <w:sz w:val="20"/>
                <w:szCs w:val="20"/>
                <w:color w:val="auto"/>
              </w:rPr>
            </w:pPr>
            <w:r>
              <w:rPr>
                <w:rFonts w:ascii="Arial" w:cs="Arial" w:eastAsia="Arial" w:hAnsi="Arial"/>
                <w:sz w:val="14"/>
                <w:szCs w:val="14"/>
                <w:color w:val="auto"/>
              </w:rPr>
              <w:t>41,504</w:t>
            </w:r>
          </w:p>
        </w:tc>
        <w:tc>
          <w:tcPr>
            <w:tcW w:w="880" w:type="dxa"/>
            <w:vAlign w:val="bottom"/>
          </w:tcPr>
          <w:p>
            <w:pPr>
              <w:jc w:val="right"/>
              <w:ind w:right="189"/>
              <w:spacing w:after="0"/>
              <w:rPr>
                <w:sz w:val="20"/>
                <w:szCs w:val="20"/>
                <w:color w:val="auto"/>
              </w:rPr>
            </w:pPr>
            <w:r>
              <w:rPr>
                <w:rFonts w:ascii="Arial" w:cs="Arial" w:eastAsia="Arial" w:hAnsi="Arial"/>
                <w:sz w:val="14"/>
                <w:szCs w:val="14"/>
                <w:color w:val="auto"/>
              </w:rPr>
              <w:t>3,040</w:t>
            </w:r>
          </w:p>
        </w:tc>
        <w:tc>
          <w:tcPr>
            <w:tcW w:w="54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400" w:type="dxa"/>
            <w:vAlign w:val="bottom"/>
          </w:tcPr>
          <w:p>
            <w:pPr>
              <w:jc w:val="right"/>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10"/>
              <w:spacing w:after="0"/>
              <w:rPr>
                <w:sz w:val="20"/>
                <w:szCs w:val="20"/>
                <w:color w:val="auto"/>
              </w:rPr>
            </w:pPr>
            <w:r>
              <w:rPr>
                <w:rFonts w:ascii="Arial" w:cs="Arial" w:eastAsia="Arial" w:hAnsi="Arial"/>
                <w:sz w:val="14"/>
                <w:szCs w:val="14"/>
                <w:color w:val="auto"/>
              </w:rPr>
              <w:t>–</w:t>
            </w:r>
          </w:p>
        </w:tc>
        <w:tc>
          <w:tcPr>
            <w:tcW w:w="1040" w:type="dxa"/>
            <w:vAlign w:val="bottom"/>
            <w:gridSpan w:val="2"/>
          </w:tcPr>
          <w:p>
            <w:pPr>
              <w:jc w:val="right"/>
              <w:ind w:right="80"/>
              <w:spacing w:after="0"/>
              <w:rPr>
                <w:sz w:val="20"/>
                <w:szCs w:val="20"/>
                <w:color w:val="auto"/>
              </w:rPr>
            </w:pPr>
            <w:r>
              <w:rPr>
                <w:rFonts w:ascii="Arial" w:cs="Arial" w:eastAsia="Arial" w:hAnsi="Arial"/>
                <w:sz w:val="14"/>
                <w:szCs w:val="14"/>
                <w:color w:val="auto"/>
              </w:rPr>
              <w:t>696</w:t>
            </w:r>
          </w:p>
        </w:tc>
        <w:tc>
          <w:tcPr>
            <w:tcW w:w="1060" w:type="dxa"/>
            <w:vAlign w:val="bottom"/>
          </w:tcPr>
          <w:p>
            <w:pPr>
              <w:jc w:val="right"/>
              <w:ind w:right="149"/>
              <w:spacing w:after="0"/>
              <w:rPr>
                <w:sz w:val="20"/>
                <w:szCs w:val="20"/>
                <w:color w:val="auto"/>
              </w:rPr>
            </w:pPr>
            <w:r>
              <w:rPr>
                <w:rFonts w:ascii="Arial" w:cs="Arial" w:eastAsia="Arial" w:hAnsi="Arial"/>
                <w:sz w:val="14"/>
                <w:szCs w:val="14"/>
                <w:color w:val="auto"/>
              </w:rPr>
              <w:t>100,920</w:t>
            </w:r>
          </w:p>
        </w:tc>
      </w:tr>
      <w:tr>
        <w:trPr>
          <w:trHeight w:val="162"/>
        </w:trPr>
        <w:tc>
          <w:tcPr>
            <w:tcW w:w="5020" w:type="dxa"/>
            <w:vAlign w:val="bottom"/>
          </w:tcPr>
          <w:p>
            <w:pPr>
              <w:spacing w:after="0"/>
              <w:rPr>
                <w:sz w:val="20"/>
                <w:szCs w:val="20"/>
                <w:color w:val="auto"/>
              </w:rPr>
            </w:pPr>
            <w:r>
              <w:rPr>
                <w:rFonts w:ascii="Arial" w:cs="Arial" w:eastAsia="Arial" w:hAnsi="Arial"/>
                <w:sz w:val="14"/>
                <w:szCs w:val="14"/>
                <w:color w:val="auto"/>
              </w:rPr>
              <w:t>Future development costs</w:t>
            </w:r>
          </w:p>
        </w:tc>
        <w:tc>
          <w:tcPr>
            <w:tcW w:w="860" w:type="dxa"/>
            <w:vAlign w:val="bottom"/>
          </w:tcPr>
          <w:p>
            <w:pPr>
              <w:jc w:val="right"/>
              <w:ind w:right="9"/>
              <w:spacing w:after="0"/>
              <w:rPr>
                <w:sz w:val="20"/>
                <w:szCs w:val="20"/>
                <w:color w:val="auto"/>
              </w:rPr>
            </w:pPr>
            <w:r>
              <w:rPr>
                <w:rFonts w:ascii="Arial" w:cs="Arial" w:eastAsia="Arial" w:hAnsi="Arial"/>
                <w:sz w:val="14"/>
                <w:szCs w:val="14"/>
                <w:color w:val="auto"/>
              </w:rPr>
              <w:t>1,751</w:t>
            </w:r>
          </w:p>
        </w:tc>
        <w:tc>
          <w:tcPr>
            <w:tcW w:w="680" w:type="dxa"/>
            <w:vAlign w:val="bottom"/>
          </w:tcPr>
          <w:p>
            <w:pPr>
              <w:jc w:val="right"/>
              <w:ind w:right="89"/>
              <w:spacing w:after="0"/>
              <w:rPr>
                <w:sz w:val="20"/>
                <w:szCs w:val="20"/>
                <w:color w:val="auto"/>
              </w:rPr>
            </w:pPr>
            <w:r>
              <w:rPr>
                <w:rFonts w:ascii="Arial" w:cs="Arial" w:eastAsia="Arial" w:hAnsi="Arial"/>
                <w:sz w:val="14"/>
                <w:szCs w:val="14"/>
                <w:color w:val="auto"/>
              </w:rPr>
              <w:t>8,517</w:t>
            </w:r>
          </w:p>
        </w:tc>
        <w:tc>
          <w:tcPr>
            <w:tcW w:w="880" w:type="dxa"/>
            <w:vAlign w:val="bottom"/>
          </w:tcPr>
          <w:p>
            <w:pPr>
              <w:jc w:val="right"/>
              <w:ind w:right="189"/>
              <w:spacing w:after="0"/>
              <w:rPr>
                <w:sz w:val="20"/>
                <w:szCs w:val="20"/>
                <w:color w:val="auto"/>
              </w:rPr>
            </w:pPr>
            <w:r>
              <w:rPr>
                <w:rFonts w:ascii="Arial" w:cs="Arial" w:eastAsia="Arial" w:hAnsi="Arial"/>
                <w:sz w:val="14"/>
                <w:szCs w:val="14"/>
                <w:color w:val="auto"/>
              </w:rPr>
              <w:t>3,744</w:t>
            </w:r>
          </w:p>
        </w:tc>
        <w:tc>
          <w:tcPr>
            <w:tcW w:w="54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400" w:type="dxa"/>
            <w:vAlign w:val="bottom"/>
          </w:tcPr>
          <w:p>
            <w:pPr>
              <w:jc w:val="right"/>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10"/>
              <w:spacing w:after="0"/>
              <w:rPr>
                <w:sz w:val="20"/>
                <w:szCs w:val="20"/>
                <w:color w:val="auto"/>
              </w:rPr>
            </w:pPr>
            <w:r>
              <w:rPr>
                <w:rFonts w:ascii="Arial" w:cs="Arial" w:eastAsia="Arial" w:hAnsi="Arial"/>
                <w:sz w:val="14"/>
                <w:szCs w:val="14"/>
                <w:color w:val="auto"/>
              </w:rPr>
              <w:t>–</w:t>
            </w:r>
          </w:p>
        </w:tc>
        <w:tc>
          <w:tcPr>
            <w:tcW w:w="1040" w:type="dxa"/>
            <w:vAlign w:val="bottom"/>
            <w:gridSpan w:val="2"/>
          </w:tcPr>
          <w:p>
            <w:pPr>
              <w:jc w:val="right"/>
              <w:ind w:right="80"/>
              <w:spacing w:after="0"/>
              <w:rPr>
                <w:sz w:val="20"/>
                <w:szCs w:val="20"/>
                <w:color w:val="auto"/>
              </w:rPr>
            </w:pPr>
            <w:r>
              <w:rPr>
                <w:rFonts w:ascii="Arial" w:cs="Arial" w:eastAsia="Arial" w:hAnsi="Arial"/>
                <w:sz w:val="14"/>
                <w:szCs w:val="14"/>
                <w:color w:val="auto"/>
              </w:rPr>
              <w:t>55</w:t>
            </w:r>
          </w:p>
        </w:tc>
        <w:tc>
          <w:tcPr>
            <w:tcW w:w="1060" w:type="dxa"/>
            <w:vAlign w:val="bottom"/>
          </w:tcPr>
          <w:p>
            <w:pPr>
              <w:jc w:val="right"/>
              <w:ind w:right="149"/>
              <w:spacing w:after="0"/>
              <w:rPr>
                <w:sz w:val="20"/>
                <w:szCs w:val="20"/>
                <w:color w:val="auto"/>
              </w:rPr>
            </w:pPr>
            <w:r>
              <w:rPr>
                <w:rFonts w:ascii="Arial" w:cs="Arial" w:eastAsia="Arial" w:hAnsi="Arial"/>
                <w:sz w:val="14"/>
                <w:szCs w:val="14"/>
                <w:color w:val="auto"/>
              </w:rPr>
              <w:t>14,067</w:t>
            </w:r>
          </w:p>
        </w:tc>
      </w:tr>
      <w:tr>
        <w:trPr>
          <w:trHeight w:val="157"/>
        </w:trPr>
        <w:tc>
          <w:tcPr>
            <w:tcW w:w="5020" w:type="dxa"/>
            <w:vAlign w:val="bottom"/>
            <w:tcBorders>
              <w:bottom w:val="single" w:sz="8" w:color="auto"/>
            </w:tcBorders>
          </w:tcPr>
          <w:p>
            <w:pPr>
              <w:spacing w:after="0" w:line="157" w:lineRule="exact"/>
              <w:rPr>
                <w:sz w:val="20"/>
                <w:szCs w:val="20"/>
                <w:color w:val="auto"/>
              </w:rPr>
            </w:pPr>
            <w:r>
              <w:rPr>
                <w:rFonts w:ascii="Arial" w:cs="Arial" w:eastAsia="Arial" w:hAnsi="Arial"/>
                <w:sz w:val="14"/>
                <w:szCs w:val="14"/>
                <w:color w:val="auto"/>
              </w:rPr>
              <w:t>Future tax expenses</w:t>
            </w:r>
          </w:p>
        </w:tc>
        <w:tc>
          <w:tcPr>
            <w:tcW w:w="860" w:type="dxa"/>
            <w:vAlign w:val="bottom"/>
            <w:tcBorders>
              <w:bottom w:val="single" w:sz="8" w:color="auto"/>
            </w:tcBorders>
          </w:tcPr>
          <w:p>
            <w:pPr>
              <w:jc w:val="right"/>
              <w:ind w:right="9"/>
              <w:spacing w:after="0" w:line="157" w:lineRule="exact"/>
              <w:rPr>
                <w:sz w:val="20"/>
                <w:szCs w:val="20"/>
                <w:color w:val="auto"/>
              </w:rPr>
            </w:pPr>
            <w:r>
              <w:rPr>
                <w:rFonts w:ascii="Arial" w:cs="Arial" w:eastAsia="Arial" w:hAnsi="Arial"/>
                <w:sz w:val="14"/>
                <w:szCs w:val="14"/>
                <w:color w:val="auto"/>
              </w:rPr>
              <w:t>6,203</w:t>
            </w:r>
          </w:p>
        </w:tc>
        <w:tc>
          <w:tcPr>
            <w:tcW w:w="680" w:type="dxa"/>
            <w:vAlign w:val="bottom"/>
            <w:tcBorders>
              <w:bottom w:val="single" w:sz="8" w:color="auto"/>
            </w:tcBorders>
          </w:tcPr>
          <w:p>
            <w:pPr>
              <w:jc w:val="right"/>
              <w:ind w:right="89"/>
              <w:spacing w:after="0" w:line="157" w:lineRule="exact"/>
              <w:rPr>
                <w:sz w:val="20"/>
                <w:szCs w:val="20"/>
                <w:color w:val="auto"/>
              </w:rPr>
            </w:pPr>
            <w:r>
              <w:rPr>
                <w:rFonts w:ascii="Arial" w:cs="Arial" w:eastAsia="Arial" w:hAnsi="Arial"/>
                <w:sz w:val="14"/>
                <w:szCs w:val="14"/>
                <w:color w:val="auto"/>
              </w:rPr>
              <w:t>17,286</w:t>
            </w:r>
          </w:p>
        </w:tc>
        <w:tc>
          <w:tcPr>
            <w:tcW w:w="880" w:type="dxa"/>
            <w:vAlign w:val="bottom"/>
            <w:tcBorders>
              <w:bottom w:val="single" w:sz="8" w:color="auto"/>
            </w:tcBorders>
          </w:tcPr>
          <w:p>
            <w:pPr>
              <w:jc w:val="right"/>
              <w:ind w:right="189"/>
              <w:spacing w:after="0" w:line="157" w:lineRule="exact"/>
              <w:rPr>
                <w:sz w:val="20"/>
                <w:szCs w:val="20"/>
                <w:color w:val="auto"/>
              </w:rPr>
            </w:pPr>
            <w:r>
              <w:rPr>
                <w:rFonts w:ascii="Arial" w:cs="Arial" w:eastAsia="Arial" w:hAnsi="Arial"/>
                <w:sz w:val="14"/>
                <w:szCs w:val="14"/>
                <w:color w:val="auto"/>
              </w:rPr>
              <w:t>2,004</w:t>
            </w:r>
          </w:p>
        </w:tc>
        <w:tc>
          <w:tcPr>
            <w:tcW w:w="540" w:type="dxa"/>
            <w:vAlign w:val="bottom"/>
            <w:tcBorders>
              <w:bottom w:val="single" w:sz="8" w:color="auto"/>
            </w:tcBorders>
          </w:tcPr>
          <w:p>
            <w:pPr>
              <w:jc w:val="right"/>
              <w:ind w:right="49"/>
              <w:spacing w:after="0" w:line="157" w:lineRule="exact"/>
              <w:rPr>
                <w:sz w:val="20"/>
                <w:szCs w:val="20"/>
                <w:color w:val="auto"/>
              </w:rPr>
            </w:pPr>
            <w:r>
              <w:rPr>
                <w:rFonts w:ascii="Arial" w:cs="Arial" w:eastAsia="Arial" w:hAnsi="Arial"/>
                <w:sz w:val="14"/>
                <w:szCs w:val="14"/>
                <w:color w:val="auto"/>
              </w:rPr>
              <w:t>–</w:t>
            </w:r>
          </w:p>
        </w:tc>
        <w:tc>
          <w:tcPr>
            <w:tcW w:w="400" w:type="dxa"/>
            <w:vAlign w:val="bottom"/>
            <w:tcBorders>
              <w:bottom w:val="single" w:sz="8" w:color="auto"/>
            </w:tcBorders>
          </w:tcPr>
          <w:p>
            <w:pPr>
              <w:jc w:val="right"/>
              <w:spacing w:after="0" w:line="157" w:lineRule="exact"/>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tcPr>
          <w:p>
            <w:pPr>
              <w:jc w:val="right"/>
              <w:ind w:right="10"/>
              <w:spacing w:after="0" w:line="157" w:lineRule="exact"/>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gridSpan w:val="2"/>
          </w:tcPr>
          <w:p>
            <w:pPr>
              <w:jc w:val="right"/>
              <w:ind w:right="80"/>
              <w:spacing w:after="0" w:line="157" w:lineRule="exact"/>
              <w:rPr>
                <w:sz w:val="20"/>
                <w:szCs w:val="20"/>
                <w:color w:val="auto"/>
              </w:rPr>
            </w:pPr>
            <w:r>
              <w:rPr>
                <w:rFonts w:ascii="Arial" w:cs="Arial" w:eastAsia="Arial" w:hAnsi="Arial"/>
                <w:sz w:val="14"/>
                <w:szCs w:val="14"/>
                <w:color w:val="auto"/>
              </w:rPr>
              <w:t>494</w:t>
            </w:r>
          </w:p>
        </w:tc>
        <w:tc>
          <w:tcPr>
            <w:tcW w:w="1060" w:type="dxa"/>
            <w:vAlign w:val="bottom"/>
            <w:tcBorders>
              <w:bottom w:val="single" w:sz="8" w:color="auto"/>
            </w:tcBorders>
          </w:tcPr>
          <w:p>
            <w:pPr>
              <w:jc w:val="right"/>
              <w:ind w:right="149"/>
              <w:spacing w:after="0" w:line="157" w:lineRule="exact"/>
              <w:rPr>
                <w:sz w:val="20"/>
                <w:szCs w:val="20"/>
                <w:color w:val="auto"/>
              </w:rPr>
            </w:pPr>
            <w:r>
              <w:rPr>
                <w:rFonts w:ascii="Arial" w:cs="Arial" w:eastAsia="Arial" w:hAnsi="Arial"/>
                <w:sz w:val="14"/>
                <w:szCs w:val="14"/>
                <w:color w:val="auto"/>
              </w:rPr>
              <w:t>25,987</w:t>
            </w:r>
          </w:p>
        </w:tc>
      </w:tr>
      <w:tr>
        <w:trPr>
          <w:trHeight w:val="160"/>
        </w:trPr>
        <w:tc>
          <w:tcPr>
            <w:tcW w:w="5020" w:type="dxa"/>
            <w:vAlign w:val="bottom"/>
          </w:tcPr>
          <w:p>
            <w:pPr>
              <w:spacing w:after="0"/>
              <w:rPr>
                <w:sz w:val="20"/>
                <w:szCs w:val="20"/>
                <w:color w:val="auto"/>
              </w:rPr>
            </w:pPr>
            <w:r>
              <w:rPr>
                <w:rFonts w:ascii="Arial" w:cs="Arial" w:eastAsia="Arial" w:hAnsi="Arial"/>
                <w:sz w:val="14"/>
                <w:szCs w:val="14"/>
                <w:color w:val="auto"/>
              </w:rPr>
              <w:t>Future net cash flows</w:t>
            </w:r>
          </w:p>
        </w:tc>
        <w:tc>
          <w:tcPr>
            <w:tcW w:w="860" w:type="dxa"/>
            <w:vAlign w:val="bottom"/>
          </w:tcPr>
          <w:p>
            <w:pPr>
              <w:jc w:val="right"/>
              <w:ind w:right="9"/>
              <w:spacing w:after="0"/>
              <w:rPr>
                <w:sz w:val="20"/>
                <w:szCs w:val="20"/>
                <w:color w:val="auto"/>
              </w:rPr>
            </w:pPr>
            <w:r>
              <w:rPr>
                <w:rFonts w:ascii="Arial" w:cs="Arial" w:eastAsia="Arial" w:hAnsi="Arial"/>
                <w:sz w:val="14"/>
                <w:szCs w:val="14"/>
                <w:color w:val="auto"/>
              </w:rPr>
              <w:t>10,242</w:t>
            </w:r>
          </w:p>
        </w:tc>
        <w:tc>
          <w:tcPr>
            <w:tcW w:w="680" w:type="dxa"/>
            <w:vAlign w:val="bottom"/>
          </w:tcPr>
          <w:p>
            <w:pPr>
              <w:jc w:val="right"/>
              <w:ind w:right="89"/>
              <w:spacing w:after="0"/>
              <w:rPr>
                <w:sz w:val="20"/>
                <w:szCs w:val="20"/>
                <w:color w:val="auto"/>
              </w:rPr>
            </w:pPr>
            <w:r>
              <w:rPr>
                <w:rFonts w:ascii="Arial" w:cs="Arial" w:eastAsia="Arial" w:hAnsi="Arial"/>
                <w:sz w:val="14"/>
                <w:szCs w:val="14"/>
                <w:color w:val="auto"/>
              </w:rPr>
              <w:t>27,368</w:t>
            </w:r>
          </w:p>
        </w:tc>
        <w:tc>
          <w:tcPr>
            <w:tcW w:w="880" w:type="dxa"/>
            <w:vAlign w:val="bottom"/>
          </w:tcPr>
          <w:p>
            <w:pPr>
              <w:jc w:val="right"/>
              <w:ind w:right="189"/>
              <w:spacing w:after="0"/>
              <w:rPr>
                <w:sz w:val="20"/>
                <w:szCs w:val="20"/>
                <w:color w:val="auto"/>
              </w:rPr>
            </w:pPr>
            <w:r>
              <w:rPr>
                <w:rFonts w:ascii="Arial" w:cs="Arial" w:eastAsia="Arial" w:hAnsi="Arial"/>
                <w:sz w:val="14"/>
                <w:szCs w:val="14"/>
                <w:color w:val="auto"/>
              </w:rPr>
              <w:t>4,784</w:t>
            </w:r>
          </w:p>
        </w:tc>
        <w:tc>
          <w:tcPr>
            <w:tcW w:w="54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400" w:type="dxa"/>
            <w:vAlign w:val="bottom"/>
          </w:tcPr>
          <w:p>
            <w:pPr>
              <w:jc w:val="right"/>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10"/>
              <w:spacing w:after="0"/>
              <w:rPr>
                <w:sz w:val="20"/>
                <w:szCs w:val="20"/>
                <w:color w:val="auto"/>
              </w:rPr>
            </w:pPr>
            <w:r>
              <w:rPr>
                <w:rFonts w:ascii="Arial" w:cs="Arial" w:eastAsia="Arial" w:hAnsi="Arial"/>
                <w:sz w:val="14"/>
                <w:szCs w:val="14"/>
                <w:color w:val="auto"/>
              </w:rPr>
              <w:t>–</w:t>
            </w:r>
          </w:p>
        </w:tc>
        <w:tc>
          <w:tcPr>
            <w:tcW w:w="1040" w:type="dxa"/>
            <w:vAlign w:val="bottom"/>
            <w:gridSpan w:val="2"/>
          </w:tcPr>
          <w:p>
            <w:pPr>
              <w:jc w:val="right"/>
              <w:ind w:right="80"/>
              <w:spacing w:after="0"/>
              <w:rPr>
                <w:sz w:val="20"/>
                <w:szCs w:val="20"/>
                <w:color w:val="auto"/>
              </w:rPr>
            </w:pPr>
            <w:r>
              <w:rPr>
                <w:rFonts w:ascii="Arial" w:cs="Arial" w:eastAsia="Arial" w:hAnsi="Arial"/>
                <w:sz w:val="14"/>
                <w:szCs w:val="14"/>
                <w:color w:val="auto"/>
              </w:rPr>
              <w:t>437</w:t>
            </w:r>
          </w:p>
        </w:tc>
        <w:tc>
          <w:tcPr>
            <w:tcW w:w="1060" w:type="dxa"/>
            <w:vAlign w:val="bottom"/>
          </w:tcPr>
          <w:p>
            <w:pPr>
              <w:jc w:val="right"/>
              <w:ind w:right="149"/>
              <w:spacing w:after="0"/>
              <w:rPr>
                <w:sz w:val="20"/>
                <w:szCs w:val="20"/>
                <w:color w:val="auto"/>
              </w:rPr>
            </w:pPr>
            <w:r>
              <w:rPr>
                <w:rFonts w:ascii="Arial" w:cs="Arial" w:eastAsia="Arial" w:hAnsi="Arial"/>
                <w:sz w:val="14"/>
                <w:szCs w:val="14"/>
                <w:color w:val="auto"/>
              </w:rPr>
              <w:t>42,831</w:t>
            </w:r>
          </w:p>
        </w:tc>
      </w:tr>
      <w:tr>
        <w:trPr>
          <w:trHeight w:val="157"/>
        </w:trPr>
        <w:tc>
          <w:tcPr>
            <w:tcW w:w="5020" w:type="dxa"/>
            <w:vAlign w:val="bottom"/>
            <w:tcBorders>
              <w:bottom w:val="single" w:sz="8" w:color="auto"/>
            </w:tcBorders>
          </w:tcPr>
          <w:p>
            <w:pPr>
              <w:spacing w:after="0" w:line="157" w:lineRule="exact"/>
              <w:rPr>
                <w:sz w:val="20"/>
                <w:szCs w:val="20"/>
                <w:color w:val="auto"/>
              </w:rPr>
            </w:pPr>
            <w:r>
              <w:rPr>
                <w:rFonts w:ascii="Arial" w:cs="Arial" w:eastAsia="Arial" w:hAnsi="Arial"/>
                <w:sz w:val="14"/>
                <w:szCs w:val="14"/>
                <w:color w:val="auto"/>
              </w:rPr>
              <w:t>Effect of discounting cash flows at 10%</w:t>
            </w:r>
          </w:p>
        </w:tc>
        <w:tc>
          <w:tcPr>
            <w:tcW w:w="860" w:type="dxa"/>
            <w:vAlign w:val="bottom"/>
            <w:tcBorders>
              <w:bottom w:val="single" w:sz="8" w:color="auto"/>
            </w:tcBorders>
          </w:tcPr>
          <w:p>
            <w:pPr>
              <w:jc w:val="right"/>
              <w:ind w:right="9"/>
              <w:spacing w:after="0" w:line="157" w:lineRule="exact"/>
              <w:rPr>
                <w:sz w:val="20"/>
                <w:szCs w:val="20"/>
                <w:color w:val="auto"/>
              </w:rPr>
            </w:pPr>
            <w:r>
              <w:rPr>
                <w:rFonts w:ascii="Arial" w:cs="Arial" w:eastAsia="Arial" w:hAnsi="Arial"/>
                <w:sz w:val="14"/>
                <w:szCs w:val="14"/>
                <w:color w:val="auto"/>
              </w:rPr>
              <w:t>4,097</w:t>
            </w:r>
          </w:p>
        </w:tc>
        <w:tc>
          <w:tcPr>
            <w:tcW w:w="680" w:type="dxa"/>
            <w:vAlign w:val="bottom"/>
            <w:tcBorders>
              <w:bottom w:val="single" w:sz="8" w:color="auto"/>
            </w:tcBorders>
          </w:tcPr>
          <w:p>
            <w:pPr>
              <w:jc w:val="right"/>
              <w:ind w:right="89"/>
              <w:spacing w:after="0" w:line="157" w:lineRule="exact"/>
              <w:rPr>
                <w:sz w:val="20"/>
                <w:szCs w:val="20"/>
                <w:color w:val="auto"/>
              </w:rPr>
            </w:pPr>
            <w:r>
              <w:rPr>
                <w:rFonts w:ascii="Arial" w:cs="Arial" w:eastAsia="Arial" w:hAnsi="Arial"/>
                <w:sz w:val="14"/>
                <w:szCs w:val="14"/>
                <w:color w:val="auto"/>
              </w:rPr>
              <w:t>11,669</w:t>
            </w:r>
          </w:p>
        </w:tc>
        <w:tc>
          <w:tcPr>
            <w:tcW w:w="880" w:type="dxa"/>
            <w:vAlign w:val="bottom"/>
            <w:tcBorders>
              <w:bottom w:val="single" w:sz="8" w:color="auto"/>
            </w:tcBorders>
          </w:tcPr>
          <w:p>
            <w:pPr>
              <w:jc w:val="right"/>
              <w:ind w:right="189"/>
              <w:spacing w:after="0" w:line="157" w:lineRule="exact"/>
              <w:rPr>
                <w:sz w:val="20"/>
                <w:szCs w:val="20"/>
                <w:color w:val="auto"/>
              </w:rPr>
            </w:pPr>
            <w:r>
              <w:rPr>
                <w:rFonts w:ascii="Arial" w:cs="Arial" w:eastAsia="Arial" w:hAnsi="Arial"/>
                <w:sz w:val="14"/>
                <w:szCs w:val="14"/>
                <w:color w:val="auto"/>
              </w:rPr>
              <w:t>1,753</w:t>
            </w:r>
          </w:p>
        </w:tc>
        <w:tc>
          <w:tcPr>
            <w:tcW w:w="540" w:type="dxa"/>
            <w:vAlign w:val="bottom"/>
            <w:tcBorders>
              <w:bottom w:val="single" w:sz="8" w:color="auto"/>
            </w:tcBorders>
          </w:tcPr>
          <w:p>
            <w:pPr>
              <w:jc w:val="right"/>
              <w:ind w:right="49"/>
              <w:spacing w:after="0" w:line="157" w:lineRule="exact"/>
              <w:rPr>
                <w:sz w:val="20"/>
                <w:szCs w:val="20"/>
                <w:color w:val="auto"/>
              </w:rPr>
            </w:pPr>
            <w:r>
              <w:rPr>
                <w:rFonts w:ascii="Arial" w:cs="Arial" w:eastAsia="Arial" w:hAnsi="Arial"/>
                <w:sz w:val="14"/>
                <w:szCs w:val="14"/>
                <w:color w:val="auto"/>
              </w:rPr>
              <w:t>–</w:t>
            </w:r>
          </w:p>
        </w:tc>
        <w:tc>
          <w:tcPr>
            <w:tcW w:w="400" w:type="dxa"/>
            <w:vAlign w:val="bottom"/>
            <w:tcBorders>
              <w:bottom w:val="single" w:sz="8" w:color="auto"/>
            </w:tcBorders>
          </w:tcPr>
          <w:p>
            <w:pPr>
              <w:jc w:val="right"/>
              <w:spacing w:after="0" w:line="157" w:lineRule="exact"/>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tcPr>
          <w:p>
            <w:pPr>
              <w:jc w:val="right"/>
              <w:ind w:right="10"/>
              <w:spacing w:after="0" w:line="157" w:lineRule="exact"/>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gridSpan w:val="2"/>
          </w:tcPr>
          <w:p>
            <w:pPr>
              <w:jc w:val="right"/>
              <w:ind w:right="80"/>
              <w:spacing w:after="0" w:line="157" w:lineRule="exact"/>
              <w:rPr>
                <w:sz w:val="20"/>
                <w:szCs w:val="20"/>
                <w:color w:val="auto"/>
              </w:rPr>
            </w:pPr>
            <w:r>
              <w:rPr>
                <w:rFonts w:ascii="Arial" w:cs="Arial" w:eastAsia="Arial" w:hAnsi="Arial"/>
                <w:sz w:val="14"/>
                <w:szCs w:val="14"/>
                <w:color w:val="auto"/>
              </w:rPr>
              <w:t>132</w:t>
            </w:r>
          </w:p>
        </w:tc>
        <w:tc>
          <w:tcPr>
            <w:tcW w:w="1060" w:type="dxa"/>
            <w:vAlign w:val="bottom"/>
            <w:tcBorders>
              <w:bottom w:val="single" w:sz="8" w:color="auto"/>
            </w:tcBorders>
          </w:tcPr>
          <w:p>
            <w:pPr>
              <w:jc w:val="right"/>
              <w:ind w:right="149"/>
              <w:spacing w:after="0" w:line="157" w:lineRule="exact"/>
              <w:rPr>
                <w:sz w:val="20"/>
                <w:szCs w:val="20"/>
                <w:color w:val="auto"/>
              </w:rPr>
            </w:pPr>
            <w:r>
              <w:rPr>
                <w:rFonts w:ascii="Arial" w:cs="Arial" w:eastAsia="Arial" w:hAnsi="Arial"/>
                <w:sz w:val="14"/>
                <w:szCs w:val="14"/>
                <w:color w:val="auto"/>
              </w:rPr>
              <w:t>17,651</w:t>
            </w:r>
          </w:p>
        </w:tc>
      </w:tr>
      <w:tr>
        <w:trPr>
          <w:trHeight w:val="156"/>
        </w:trPr>
        <w:tc>
          <w:tcPr>
            <w:tcW w:w="5020" w:type="dxa"/>
            <w:vAlign w:val="bottom"/>
            <w:tcBorders>
              <w:bottom w:val="single" w:sz="8" w:color="auto"/>
            </w:tcBorders>
          </w:tcPr>
          <w:p>
            <w:pPr>
              <w:spacing w:after="0" w:line="155" w:lineRule="exact"/>
              <w:rPr>
                <w:sz w:val="20"/>
                <w:szCs w:val="20"/>
                <w:color w:val="auto"/>
              </w:rPr>
            </w:pPr>
            <w:r>
              <w:rPr>
                <w:rFonts w:ascii="Arial" w:cs="Arial" w:eastAsia="Arial" w:hAnsi="Arial"/>
                <w:sz w:val="14"/>
                <w:szCs w:val="14"/>
                <w:color w:val="auto"/>
              </w:rPr>
              <w:t>Standardised measure of discounted future net cash flows</w:t>
            </w:r>
          </w:p>
        </w:tc>
        <w:tc>
          <w:tcPr>
            <w:tcW w:w="860" w:type="dxa"/>
            <w:vAlign w:val="bottom"/>
            <w:tcBorders>
              <w:bottom w:val="single" w:sz="8" w:color="auto"/>
            </w:tcBorders>
          </w:tcPr>
          <w:p>
            <w:pPr>
              <w:jc w:val="right"/>
              <w:ind w:right="9"/>
              <w:spacing w:after="0" w:line="155" w:lineRule="exact"/>
              <w:rPr>
                <w:sz w:val="20"/>
                <w:szCs w:val="20"/>
                <w:color w:val="auto"/>
              </w:rPr>
            </w:pPr>
            <w:r>
              <w:rPr>
                <w:rFonts w:ascii="Arial" w:cs="Arial" w:eastAsia="Arial" w:hAnsi="Arial"/>
                <w:sz w:val="14"/>
                <w:szCs w:val="14"/>
                <w:color w:val="auto"/>
              </w:rPr>
              <w:t>6,145</w:t>
            </w:r>
          </w:p>
        </w:tc>
        <w:tc>
          <w:tcPr>
            <w:tcW w:w="680" w:type="dxa"/>
            <w:vAlign w:val="bottom"/>
            <w:tcBorders>
              <w:bottom w:val="single" w:sz="8" w:color="auto"/>
            </w:tcBorders>
          </w:tcPr>
          <w:p>
            <w:pPr>
              <w:jc w:val="right"/>
              <w:ind w:right="89"/>
              <w:spacing w:after="0" w:line="155" w:lineRule="exact"/>
              <w:rPr>
                <w:sz w:val="20"/>
                <w:szCs w:val="20"/>
                <w:color w:val="auto"/>
              </w:rPr>
            </w:pPr>
            <w:r>
              <w:rPr>
                <w:rFonts w:ascii="Arial" w:cs="Arial" w:eastAsia="Arial" w:hAnsi="Arial"/>
                <w:sz w:val="14"/>
                <w:szCs w:val="14"/>
                <w:color w:val="auto"/>
              </w:rPr>
              <w:t>15,699</w:t>
            </w:r>
          </w:p>
        </w:tc>
        <w:tc>
          <w:tcPr>
            <w:tcW w:w="880" w:type="dxa"/>
            <w:vAlign w:val="bottom"/>
            <w:tcBorders>
              <w:bottom w:val="single" w:sz="8" w:color="auto"/>
            </w:tcBorders>
          </w:tcPr>
          <w:p>
            <w:pPr>
              <w:jc w:val="right"/>
              <w:ind w:right="189"/>
              <w:spacing w:after="0" w:line="155" w:lineRule="exact"/>
              <w:rPr>
                <w:sz w:val="20"/>
                <w:szCs w:val="20"/>
                <w:color w:val="auto"/>
              </w:rPr>
            </w:pPr>
            <w:r>
              <w:rPr>
                <w:rFonts w:ascii="Arial" w:cs="Arial" w:eastAsia="Arial" w:hAnsi="Arial"/>
                <w:sz w:val="14"/>
                <w:szCs w:val="14"/>
                <w:color w:val="auto"/>
              </w:rPr>
              <w:t>3,031</w:t>
            </w:r>
          </w:p>
        </w:tc>
        <w:tc>
          <w:tcPr>
            <w:tcW w:w="540" w:type="dxa"/>
            <w:vAlign w:val="bottom"/>
            <w:tcBorders>
              <w:bottom w:val="single" w:sz="8" w:color="auto"/>
            </w:tcBorders>
          </w:tcPr>
          <w:p>
            <w:pPr>
              <w:jc w:val="right"/>
              <w:ind w:right="49"/>
              <w:spacing w:after="0" w:line="155" w:lineRule="exact"/>
              <w:rPr>
                <w:sz w:val="20"/>
                <w:szCs w:val="20"/>
                <w:color w:val="auto"/>
              </w:rPr>
            </w:pPr>
            <w:r>
              <w:rPr>
                <w:rFonts w:ascii="Arial" w:cs="Arial" w:eastAsia="Arial" w:hAnsi="Arial"/>
                <w:sz w:val="14"/>
                <w:szCs w:val="14"/>
                <w:color w:val="auto"/>
              </w:rPr>
              <w:t>–</w:t>
            </w:r>
          </w:p>
        </w:tc>
        <w:tc>
          <w:tcPr>
            <w:tcW w:w="4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tcPr>
          <w:p>
            <w:pPr>
              <w:jc w:val="right"/>
              <w:ind w:right="10"/>
              <w:spacing w:after="0" w:line="155" w:lineRule="exact"/>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gridSpan w:val="2"/>
          </w:tcPr>
          <w:p>
            <w:pPr>
              <w:jc w:val="right"/>
              <w:ind w:right="80"/>
              <w:spacing w:after="0" w:line="155" w:lineRule="exact"/>
              <w:rPr>
                <w:sz w:val="20"/>
                <w:szCs w:val="20"/>
                <w:color w:val="auto"/>
              </w:rPr>
            </w:pPr>
            <w:r>
              <w:rPr>
                <w:rFonts w:ascii="Arial" w:cs="Arial" w:eastAsia="Arial" w:hAnsi="Arial"/>
                <w:sz w:val="14"/>
                <w:szCs w:val="14"/>
                <w:color w:val="auto"/>
              </w:rPr>
              <w:t>305</w:t>
            </w:r>
          </w:p>
        </w:tc>
        <w:tc>
          <w:tcPr>
            <w:tcW w:w="1060" w:type="dxa"/>
            <w:vAlign w:val="bottom"/>
            <w:tcBorders>
              <w:bottom w:val="single" w:sz="8" w:color="auto"/>
            </w:tcBorders>
          </w:tcPr>
          <w:p>
            <w:pPr>
              <w:jc w:val="right"/>
              <w:ind w:right="149"/>
              <w:spacing w:after="0" w:line="155" w:lineRule="exact"/>
              <w:rPr>
                <w:sz w:val="20"/>
                <w:szCs w:val="20"/>
                <w:color w:val="auto"/>
              </w:rPr>
            </w:pPr>
            <w:r>
              <w:rPr>
                <w:rFonts w:ascii="Arial" w:cs="Arial" w:eastAsia="Arial" w:hAnsi="Arial"/>
                <w:sz w:val="14"/>
                <w:szCs w:val="14"/>
                <w:color w:val="auto"/>
              </w:rPr>
              <w:t>25,180</w:t>
            </w:r>
          </w:p>
        </w:tc>
      </w:tr>
    </w:tbl>
    <w:p>
      <w:pPr>
        <w:spacing w:after="0" w:line="37" w:lineRule="exact"/>
        <w:rPr>
          <w:sz w:val="20"/>
          <w:szCs w:val="20"/>
          <w:color w:val="auto"/>
        </w:rPr>
      </w:pPr>
    </w:p>
    <w:p>
      <w:pPr>
        <w:spacing w:after="0"/>
        <w:rPr>
          <w:sz w:val="20"/>
          <w:szCs w:val="20"/>
          <w:color w:val="auto"/>
        </w:rPr>
      </w:pPr>
      <w:r>
        <w:rPr>
          <w:rFonts w:ascii="Arial" w:cs="Arial" w:eastAsia="Arial" w:hAnsi="Arial"/>
          <w:sz w:val="11"/>
          <w:szCs w:val="11"/>
          <w:color w:val="auto"/>
        </w:rPr>
        <w:t>[A] Includes Shell’s 23% share of Woodside, a publicly listed company on the Australian Securities Exchange. We have limited access to data; accordingly, the numbers are estimated.</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4680" w:type="dxa"/>
            <w:vAlign w:val="bottom"/>
            <w:shd w:val="clear" w:color="auto" w:fill="333333"/>
          </w:tcPr>
          <w:p>
            <w:pPr>
              <w:ind w:left="80"/>
              <w:spacing w:after="0"/>
              <w:rPr>
                <w:sz w:val="20"/>
                <w:szCs w:val="20"/>
                <w:color w:val="auto"/>
              </w:rPr>
            </w:pPr>
            <w:r>
              <w:rPr>
                <w:rFonts w:ascii="Arial" w:cs="Arial" w:eastAsia="Arial" w:hAnsi="Arial"/>
                <w:sz w:val="15"/>
                <w:szCs w:val="15"/>
                <w:b w:val="1"/>
                <w:bCs w:val="1"/>
                <w:color w:val="FFFFFF"/>
              </w:rPr>
              <w:t>2012 – SHELL SUBSIDIARIES</w:t>
            </w:r>
          </w:p>
        </w:tc>
        <w:tc>
          <w:tcPr>
            <w:tcW w:w="1580" w:type="dxa"/>
            <w:vAlign w:val="bottom"/>
            <w:shd w:val="clear" w:color="auto" w:fill="333333"/>
          </w:tcPr>
          <w:p>
            <w:pPr>
              <w:spacing w:after="0"/>
              <w:rPr>
                <w:sz w:val="14"/>
                <w:szCs w:val="14"/>
                <w:color w:val="auto"/>
              </w:rPr>
            </w:pPr>
          </w:p>
        </w:tc>
        <w:tc>
          <w:tcPr>
            <w:tcW w:w="720" w:type="dxa"/>
            <w:vAlign w:val="bottom"/>
            <w:shd w:val="clear" w:color="auto" w:fill="333333"/>
          </w:tcPr>
          <w:p>
            <w:pPr>
              <w:spacing w:after="0"/>
              <w:rPr>
                <w:sz w:val="14"/>
                <w:szCs w:val="14"/>
                <w:color w:val="auto"/>
              </w:rPr>
            </w:pPr>
          </w:p>
        </w:tc>
        <w:tc>
          <w:tcPr>
            <w:tcW w:w="700" w:type="dxa"/>
            <w:vAlign w:val="bottom"/>
            <w:shd w:val="clear" w:color="auto" w:fill="333333"/>
          </w:tcPr>
          <w:p>
            <w:pPr>
              <w:spacing w:after="0"/>
              <w:rPr>
                <w:sz w:val="14"/>
                <w:szCs w:val="14"/>
                <w:color w:val="auto"/>
              </w:rPr>
            </w:pPr>
          </w:p>
        </w:tc>
        <w:tc>
          <w:tcPr>
            <w:tcW w:w="800" w:type="dxa"/>
            <w:vAlign w:val="bottom"/>
            <w:shd w:val="clear" w:color="auto" w:fill="333333"/>
          </w:tcPr>
          <w:p>
            <w:pPr>
              <w:spacing w:after="0"/>
              <w:rPr>
                <w:sz w:val="14"/>
                <w:szCs w:val="14"/>
                <w:color w:val="auto"/>
              </w:rPr>
            </w:pPr>
          </w:p>
        </w:tc>
        <w:tc>
          <w:tcPr>
            <w:tcW w:w="560" w:type="dxa"/>
            <w:vAlign w:val="bottom"/>
            <w:shd w:val="clear" w:color="auto" w:fill="333333"/>
          </w:tcPr>
          <w:p>
            <w:pPr>
              <w:spacing w:after="0"/>
              <w:rPr>
                <w:sz w:val="14"/>
                <w:szCs w:val="14"/>
                <w:color w:val="auto"/>
              </w:rPr>
            </w:pPr>
          </w:p>
        </w:tc>
        <w:tc>
          <w:tcPr>
            <w:tcW w:w="900" w:type="dxa"/>
            <w:vAlign w:val="bottom"/>
            <w:shd w:val="clear" w:color="auto" w:fill="333333"/>
          </w:tcPr>
          <w:p>
            <w:pPr>
              <w:spacing w:after="0"/>
              <w:rPr>
                <w:sz w:val="14"/>
                <w:szCs w:val="14"/>
                <w:color w:val="auto"/>
              </w:rPr>
            </w:pPr>
          </w:p>
        </w:tc>
        <w:tc>
          <w:tcPr>
            <w:tcW w:w="1480" w:type="dxa"/>
            <w:vAlign w:val="bottom"/>
            <w:gridSpan w:val="3"/>
            <w:shd w:val="clear" w:color="auto" w:fill="333333"/>
          </w:tcPr>
          <w:p>
            <w:pPr>
              <w:jc w:val="right"/>
              <w:ind w:right="369"/>
              <w:spacing w:after="0"/>
              <w:rPr>
                <w:sz w:val="20"/>
                <w:szCs w:val="20"/>
                <w:color w:val="auto"/>
              </w:rPr>
            </w:pPr>
            <w:r>
              <w:rPr>
                <w:rFonts w:ascii="Arial" w:cs="Arial" w:eastAsia="Arial" w:hAnsi="Arial"/>
                <w:sz w:val="15"/>
                <w:szCs w:val="15"/>
                <w:color w:val="FFFFFF"/>
              </w:rPr>
              <w:t>$ MILLION</w:t>
            </w:r>
          </w:p>
        </w:tc>
      </w:tr>
      <w:tr>
        <w:trPr>
          <w:trHeight w:val="149"/>
        </w:trPr>
        <w:tc>
          <w:tcPr>
            <w:tcW w:w="468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10"/>
              <w:spacing w:after="0"/>
              <w:rPr>
                <w:sz w:val="20"/>
                <w:szCs w:val="20"/>
                <w:color w:val="auto"/>
              </w:rPr>
            </w:pPr>
            <w:r>
              <w:rPr>
                <w:rFonts w:ascii="Arial" w:cs="Arial" w:eastAsia="Arial" w:hAnsi="Arial"/>
                <w:sz w:val="13"/>
                <w:szCs w:val="13"/>
                <w:color w:val="auto"/>
                <w:w w:val="96"/>
              </w:rPr>
              <w:t>North America</w:t>
            </w:r>
          </w:p>
        </w:tc>
        <w:tc>
          <w:tcPr>
            <w:tcW w:w="700" w:type="dxa"/>
            <w:vAlign w:val="bottom"/>
            <w:gridSpan w:val="2"/>
          </w:tcPr>
          <w:p>
            <w:pPr>
              <w:jc w:val="right"/>
              <w:ind w:right="80"/>
              <w:spacing w:after="0" w:line="143" w:lineRule="exact"/>
              <w:rPr>
                <w:sz w:val="20"/>
                <w:szCs w:val="20"/>
                <w:color w:val="auto"/>
              </w:rPr>
            </w:pPr>
            <w:r>
              <w:rPr>
                <w:rFonts w:ascii="Arial" w:cs="Arial" w:eastAsia="Arial" w:hAnsi="Arial"/>
                <w:sz w:val="13"/>
                <w:szCs w:val="13"/>
                <w:color w:val="auto"/>
              </w:rPr>
              <w:t>South</w:t>
            </w:r>
          </w:p>
        </w:tc>
        <w:tc>
          <w:tcPr>
            <w:tcW w:w="780" w:type="dxa"/>
            <w:vAlign w:val="bottom"/>
          </w:tcPr>
          <w:p>
            <w:pPr>
              <w:spacing w:after="0"/>
              <w:rPr>
                <w:sz w:val="12"/>
                <w:szCs w:val="12"/>
                <w:color w:val="auto"/>
              </w:rPr>
            </w:pPr>
          </w:p>
        </w:tc>
      </w:tr>
      <w:tr>
        <w:trPr>
          <w:trHeight w:val="156"/>
        </w:trPr>
        <w:tc>
          <w:tcPr>
            <w:tcW w:w="4680" w:type="dxa"/>
            <w:vAlign w:val="bottom"/>
            <w:tcBorders>
              <w:bottom w:val="single" w:sz="8" w:color="auto"/>
            </w:tcBorders>
          </w:tcPr>
          <w:p>
            <w:pPr>
              <w:spacing w:after="0"/>
              <w:rPr>
                <w:sz w:val="13"/>
                <w:szCs w:val="13"/>
                <w:color w:val="auto"/>
              </w:rPr>
            </w:pPr>
          </w:p>
        </w:tc>
        <w:tc>
          <w:tcPr>
            <w:tcW w:w="1580" w:type="dxa"/>
            <w:vAlign w:val="bottom"/>
            <w:tcBorders>
              <w:bottom w:val="single" w:sz="8" w:color="auto"/>
            </w:tcBorders>
          </w:tcPr>
          <w:p>
            <w:pPr>
              <w:jc w:val="right"/>
              <w:ind w:right="29"/>
              <w:spacing w:after="0"/>
              <w:rPr>
                <w:sz w:val="20"/>
                <w:szCs w:val="20"/>
                <w:color w:val="auto"/>
              </w:rPr>
            </w:pPr>
            <w:r>
              <w:rPr>
                <w:rFonts w:ascii="Arial" w:cs="Arial" w:eastAsia="Arial" w:hAnsi="Arial"/>
                <w:sz w:val="13"/>
                <w:szCs w:val="13"/>
                <w:color w:val="auto"/>
              </w:rPr>
              <w:t>Europe</w:t>
            </w:r>
          </w:p>
        </w:tc>
        <w:tc>
          <w:tcPr>
            <w:tcW w:w="720" w:type="dxa"/>
            <w:vAlign w:val="bottom"/>
            <w:tcBorders>
              <w:bottom w:val="single" w:sz="8" w:color="auto"/>
            </w:tcBorders>
          </w:tcPr>
          <w:p>
            <w:pPr>
              <w:jc w:val="right"/>
              <w:ind w:right="49"/>
              <w:spacing w:after="0"/>
              <w:rPr>
                <w:sz w:val="20"/>
                <w:szCs w:val="20"/>
                <w:color w:val="auto"/>
              </w:rPr>
            </w:pPr>
            <w:r>
              <w:rPr>
                <w:rFonts w:ascii="Arial" w:cs="Arial" w:eastAsia="Arial" w:hAnsi="Arial"/>
                <w:sz w:val="13"/>
                <w:szCs w:val="13"/>
                <w:color w:val="auto"/>
              </w:rPr>
              <w:t>Asia</w:t>
            </w:r>
          </w:p>
        </w:tc>
        <w:tc>
          <w:tcPr>
            <w:tcW w:w="700" w:type="dxa"/>
            <w:vAlign w:val="bottom"/>
            <w:tcBorders>
              <w:bottom w:val="single" w:sz="8" w:color="auto"/>
            </w:tcBorders>
          </w:tcPr>
          <w:p>
            <w:pPr>
              <w:jc w:val="right"/>
              <w:ind w:right="69"/>
              <w:spacing w:after="0"/>
              <w:rPr>
                <w:sz w:val="20"/>
                <w:szCs w:val="20"/>
                <w:color w:val="auto"/>
              </w:rPr>
            </w:pPr>
            <w:r>
              <w:rPr>
                <w:rFonts w:ascii="Arial" w:cs="Arial" w:eastAsia="Arial" w:hAnsi="Arial"/>
                <w:sz w:val="13"/>
                <w:szCs w:val="13"/>
                <w:color w:val="auto"/>
              </w:rPr>
              <w:t>Oceania</w:t>
            </w:r>
          </w:p>
        </w:tc>
        <w:tc>
          <w:tcPr>
            <w:tcW w:w="800" w:type="dxa"/>
            <w:vAlign w:val="bottom"/>
            <w:tcBorders>
              <w:bottom w:val="single" w:sz="8" w:color="auto"/>
            </w:tcBorders>
          </w:tcPr>
          <w:p>
            <w:pPr>
              <w:jc w:val="right"/>
              <w:ind w:right="149"/>
              <w:spacing w:after="0"/>
              <w:rPr>
                <w:sz w:val="20"/>
                <w:szCs w:val="20"/>
                <w:color w:val="auto"/>
              </w:rPr>
            </w:pPr>
            <w:r>
              <w:rPr>
                <w:rFonts w:ascii="Arial" w:cs="Arial" w:eastAsia="Arial" w:hAnsi="Arial"/>
                <w:sz w:val="13"/>
                <w:szCs w:val="13"/>
                <w:color w:val="auto"/>
              </w:rPr>
              <w:t>Africa</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USA</w:t>
            </w:r>
          </w:p>
        </w:tc>
        <w:tc>
          <w:tcPr>
            <w:tcW w:w="900" w:type="dxa"/>
            <w:vAlign w:val="bottom"/>
            <w:tcBorders>
              <w:bottom w:val="single" w:sz="8" w:color="auto"/>
            </w:tcBorders>
          </w:tcPr>
          <w:p>
            <w:pPr>
              <w:jc w:val="right"/>
              <w:ind w:right="10"/>
              <w:spacing w:after="0"/>
              <w:rPr>
                <w:sz w:val="20"/>
                <w:szCs w:val="20"/>
                <w:color w:val="auto"/>
              </w:rPr>
            </w:pPr>
            <w:r>
              <w:rPr>
                <w:rFonts w:ascii="Arial" w:cs="Arial" w:eastAsia="Arial" w:hAnsi="Arial"/>
                <w:sz w:val="13"/>
                <w:szCs w:val="13"/>
                <w:color w:val="auto"/>
              </w:rPr>
              <w:t>Canada</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America</w:t>
            </w:r>
          </w:p>
        </w:tc>
        <w:tc>
          <w:tcPr>
            <w:tcW w:w="80" w:type="dxa"/>
            <w:vAlign w:val="bottom"/>
          </w:tcPr>
          <w:p>
            <w:pPr>
              <w:spacing w:after="0"/>
              <w:rPr>
                <w:sz w:val="13"/>
                <w:szCs w:val="13"/>
                <w:color w:val="auto"/>
              </w:rPr>
            </w:pPr>
          </w:p>
        </w:tc>
        <w:tc>
          <w:tcPr>
            <w:tcW w:w="780" w:type="dxa"/>
            <w:vAlign w:val="bottom"/>
            <w:tcBorders>
              <w:bottom w:val="single" w:sz="8" w:color="auto"/>
            </w:tcBorders>
          </w:tcPr>
          <w:p>
            <w:pPr>
              <w:jc w:val="right"/>
              <w:ind w:right="29"/>
              <w:spacing w:after="0"/>
              <w:rPr>
                <w:sz w:val="20"/>
                <w:szCs w:val="20"/>
                <w:color w:val="auto"/>
              </w:rPr>
            </w:pPr>
            <w:r>
              <w:rPr>
                <w:rFonts w:ascii="Arial" w:cs="Arial" w:eastAsia="Arial" w:hAnsi="Arial"/>
                <w:sz w:val="13"/>
                <w:szCs w:val="13"/>
                <w:color w:val="auto"/>
              </w:rPr>
              <w:t>Total</w:t>
            </w:r>
          </w:p>
        </w:tc>
      </w:tr>
      <w:tr>
        <w:trPr>
          <w:trHeight w:val="160"/>
        </w:trPr>
        <w:tc>
          <w:tcPr>
            <w:tcW w:w="4680" w:type="dxa"/>
            <w:vAlign w:val="bottom"/>
          </w:tcPr>
          <w:p>
            <w:pPr>
              <w:spacing w:after="0"/>
              <w:rPr>
                <w:sz w:val="20"/>
                <w:szCs w:val="20"/>
                <w:color w:val="auto"/>
              </w:rPr>
            </w:pPr>
            <w:r>
              <w:rPr>
                <w:rFonts w:ascii="Arial" w:cs="Arial" w:eastAsia="Arial" w:hAnsi="Arial"/>
                <w:sz w:val="14"/>
                <w:szCs w:val="14"/>
                <w:color w:val="auto"/>
              </w:rPr>
              <w:t>Future cash inflows</w:t>
            </w:r>
          </w:p>
        </w:tc>
        <w:tc>
          <w:tcPr>
            <w:tcW w:w="1580" w:type="dxa"/>
            <w:vAlign w:val="bottom"/>
          </w:tcPr>
          <w:p>
            <w:pPr>
              <w:jc w:val="right"/>
              <w:ind w:right="29"/>
              <w:spacing w:after="0"/>
              <w:rPr>
                <w:sz w:val="20"/>
                <w:szCs w:val="20"/>
                <w:color w:val="auto"/>
              </w:rPr>
            </w:pPr>
            <w:r>
              <w:rPr>
                <w:rFonts w:ascii="Arial" w:cs="Arial" w:eastAsia="Arial" w:hAnsi="Arial"/>
                <w:sz w:val="14"/>
                <w:szCs w:val="14"/>
                <w:color w:val="auto"/>
              </w:rPr>
              <w:t>129,581</w:t>
            </w:r>
          </w:p>
        </w:tc>
        <w:tc>
          <w:tcPr>
            <w:tcW w:w="720" w:type="dxa"/>
            <w:vAlign w:val="bottom"/>
          </w:tcPr>
          <w:p>
            <w:pPr>
              <w:jc w:val="right"/>
              <w:ind w:right="49"/>
              <w:spacing w:after="0"/>
              <w:rPr>
                <w:sz w:val="20"/>
                <w:szCs w:val="20"/>
                <w:color w:val="auto"/>
              </w:rPr>
            </w:pPr>
            <w:r>
              <w:rPr>
                <w:rFonts w:ascii="Arial" w:cs="Arial" w:eastAsia="Arial" w:hAnsi="Arial"/>
                <w:sz w:val="14"/>
                <w:szCs w:val="14"/>
                <w:color w:val="auto"/>
              </w:rPr>
              <w:t>154,672</w:t>
            </w:r>
          </w:p>
        </w:tc>
        <w:tc>
          <w:tcPr>
            <w:tcW w:w="700" w:type="dxa"/>
            <w:vAlign w:val="bottom"/>
          </w:tcPr>
          <w:p>
            <w:pPr>
              <w:jc w:val="right"/>
              <w:ind w:right="69"/>
              <w:spacing w:after="0"/>
              <w:rPr>
                <w:sz w:val="20"/>
                <w:szCs w:val="20"/>
                <w:color w:val="auto"/>
              </w:rPr>
            </w:pPr>
            <w:r>
              <w:rPr>
                <w:rFonts w:ascii="Arial" w:cs="Arial" w:eastAsia="Arial" w:hAnsi="Arial"/>
                <w:sz w:val="14"/>
                <w:szCs w:val="14"/>
                <w:color w:val="auto"/>
              </w:rPr>
              <w:t>65,144</w:t>
            </w:r>
          </w:p>
        </w:tc>
        <w:tc>
          <w:tcPr>
            <w:tcW w:w="800" w:type="dxa"/>
            <w:vAlign w:val="bottom"/>
          </w:tcPr>
          <w:p>
            <w:pPr>
              <w:jc w:val="right"/>
              <w:ind w:right="149"/>
              <w:spacing w:after="0"/>
              <w:rPr>
                <w:sz w:val="20"/>
                <w:szCs w:val="20"/>
                <w:color w:val="auto"/>
              </w:rPr>
            </w:pPr>
            <w:r>
              <w:rPr>
                <w:rFonts w:ascii="Arial" w:cs="Arial" w:eastAsia="Arial" w:hAnsi="Arial"/>
                <w:sz w:val="14"/>
                <w:szCs w:val="14"/>
                <w:color w:val="auto"/>
              </w:rPr>
              <w:t>82,382</w:t>
            </w:r>
          </w:p>
        </w:tc>
        <w:tc>
          <w:tcPr>
            <w:tcW w:w="560" w:type="dxa"/>
            <w:vAlign w:val="bottom"/>
          </w:tcPr>
          <w:p>
            <w:pPr>
              <w:jc w:val="right"/>
              <w:spacing w:after="0"/>
              <w:rPr>
                <w:sz w:val="20"/>
                <w:szCs w:val="20"/>
                <w:color w:val="auto"/>
              </w:rPr>
            </w:pPr>
            <w:r>
              <w:rPr>
                <w:rFonts w:ascii="Arial" w:cs="Arial" w:eastAsia="Arial" w:hAnsi="Arial"/>
                <w:sz w:val="14"/>
                <w:szCs w:val="14"/>
                <w:color w:val="auto"/>
              </w:rPr>
              <w:t>65,975</w:t>
            </w:r>
          </w:p>
        </w:tc>
        <w:tc>
          <w:tcPr>
            <w:tcW w:w="900" w:type="dxa"/>
            <w:vAlign w:val="bottom"/>
          </w:tcPr>
          <w:p>
            <w:pPr>
              <w:jc w:val="right"/>
              <w:ind w:right="10"/>
              <w:spacing w:after="0"/>
              <w:rPr>
                <w:sz w:val="20"/>
                <w:szCs w:val="20"/>
                <w:color w:val="auto"/>
              </w:rPr>
            </w:pPr>
            <w:r>
              <w:rPr>
                <w:rFonts w:ascii="Arial" w:cs="Arial" w:eastAsia="Arial" w:hAnsi="Arial"/>
                <w:sz w:val="14"/>
                <w:szCs w:val="14"/>
                <w:color w:val="auto"/>
              </w:rPr>
              <w:t>150,393</w:t>
            </w:r>
          </w:p>
        </w:tc>
        <w:tc>
          <w:tcPr>
            <w:tcW w:w="700" w:type="dxa"/>
            <w:vAlign w:val="bottom"/>
            <w:gridSpan w:val="2"/>
          </w:tcPr>
          <w:p>
            <w:pPr>
              <w:jc w:val="right"/>
              <w:ind w:right="80"/>
              <w:spacing w:after="0"/>
              <w:rPr>
                <w:sz w:val="20"/>
                <w:szCs w:val="20"/>
                <w:color w:val="auto"/>
              </w:rPr>
            </w:pPr>
            <w:r>
              <w:rPr>
                <w:rFonts w:ascii="Arial" w:cs="Arial" w:eastAsia="Arial" w:hAnsi="Arial"/>
                <w:sz w:val="14"/>
                <w:szCs w:val="14"/>
                <w:color w:val="auto"/>
              </w:rPr>
              <w:t>6,942</w:t>
            </w:r>
          </w:p>
        </w:tc>
        <w:tc>
          <w:tcPr>
            <w:tcW w:w="780" w:type="dxa"/>
            <w:vAlign w:val="bottom"/>
          </w:tcPr>
          <w:p>
            <w:pPr>
              <w:jc w:val="right"/>
              <w:ind w:right="29"/>
              <w:spacing w:after="0"/>
              <w:rPr>
                <w:sz w:val="20"/>
                <w:szCs w:val="20"/>
                <w:color w:val="auto"/>
              </w:rPr>
            </w:pPr>
            <w:r>
              <w:rPr>
                <w:rFonts w:ascii="Arial" w:cs="Arial" w:eastAsia="Arial" w:hAnsi="Arial"/>
                <w:sz w:val="14"/>
                <w:szCs w:val="14"/>
                <w:color w:val="auto"/>
              </w:rPr>
              <w:t>655,089</w:t>
            </w:r>
          </w:p>
        </w:tc>
      </w:tr>
      <w:tr>
        <w:trPr>
          <w:trHeight w:val="162"/>
        </w:trPr>
        <w:tc>
          <w:tcPr>
            <w:tcW w:w="4680" w:type="dxa"/>
            <w:vAlign w:val="bottom"/>
          </w:tcPr>
          <w:p>
            <w:pPr>
              <w:spacing w:after="0"/>
              <w:rPr>
                <w:sz w:val="20"/>
                <w:szCs w:val="20"/>
                <w:color w:val="auto"/>
              </w:rPr>
            </w:pPr>
            <w:r>
              <w:rPr>
                <w:rFonts w:ascii="Arial" w:cs="Arial" w:eastAsia="Arial" w:hAnsi="Arial"/>
                <w:sz w:val="14"/>
                <w:szCs w:val="14"/>
                <w:color w:val="auto"/>
              </w:rPr>
              <w:t>Future production costs</w:t>
            </w:r>
          </w:p>
        </w:tc>
        <w:tc>
          <w:tcPr>
            <w:tcW w:w="1580" w:type="dxa"/>
            <w:vAlign w:val="bottom"/>
          </w:tcPr>
          <w:p>
            <w:pPr>
              <w:jc w:val="right"/>
              <w:ind w:right="29"/>
              <w:spacing w:after="0"/>
              <w:rPr>
                <w:sz w:val="20"/>
                <w:szCs w:val="20"/>
                <w:color w:val="auto"/>
              </w:rPr>
            </w:pPr>
            <w:r>
              <w:rPr>
                <w:rFonts w:ascii="Arial" w:cs="Arial" w:eastAsia="Arial" w:hAnsi="Arial"/>
                <w:sz w:val="14"/>
                <w:szCs w:val="14"/>
                <w:color w:val="auto"/>
              </w:rPr>
              <w:t>40,891</w:t>
            </w:r>
          </w:p>
        </w:tc>
        <w:tc>
          <w:tcPr>
            <w:tcW w:w="720" w:type="dxa"/>
            <w:vAlign w:val="bottom"/>
          </w:tcPr>
          <w:p>
            <w:pPr>
              <w:jc w:val="right"/>
              <w:ind w:right="49"/>
              <w:spacing w:after="0"/>
              <w:rPr>
                <w:sz w:val="20"/>
                <w:szCs w:val="20"/>
                <w:color w:val="auto"/>
              </w:rPr>
            </w:pPr>
            <w:r>
              <w:rPr>
                <w:rFonts w:ascii="Arial" w:cs="Arial" w:eastAsia="Arial" w:hAnsi="Arial"/>
                <w:sz w:val="14"/>
                <w:szCs w:val="14"/>
                <w:color w:val="auto"/>
              </w:rPr>
              <w:t>30,819</w:t>
            </w:r>
          </w:p>
        </w:tc>
        <w:tc>
          <w:tcPr>
            <w:tcW w:w="700" w:type="dxa"/>
            <w:vAlign w:val="bottom"/>
          </w:tcPr>
          <w:p>
            <w:pPr>
              <w:jc w:val="right"/>
              <w:ind w:right="69"/>
              <w:spacing w:after="0"/>
              <w:rPr>
                <w:sz w:val="20"/>
                <w:szCs w:val="20"/>
                <w:color w:val="auto"/>
              </w:rPr>
            </w:pPr>
            <w:r>
              <w:rPr>
                <w:rFonts w:ascii="Arial" w:cs="Arial" w:eastAsia="Arial" w:hAnsi="Arial"/>
                <w:sz w:val="14"/>
                <w:szCs w:val="14"/>
                <w:color w:val="auto"/>
              </w:rPr>
              <w:t>14,800</w:t>
            </w:r>
          </w:p>
        </w:tc>
        <w:tc>
          <w:tcPr>
            <w:tcW w:w="800" w:type="dxa"/>
            <w:vAlign w:val="bottom"/>
          </w:tcPr>
          <w:p>
            <w:pPr>
              <w:jc w:val="right"/>
              <w:ind w:right="149"/>
              <w:spacing w:after="0"/>
              <w:rPr>
                <w:sz w:val="20"/>
                <w:szCs w:val="20"/>
                <w:color w:val="auto"/>
              </w:rPr>
            </w:pPr>
            <w:r>
              <w:rPr>
                <w:rFonts w:ascii="Arial" w:cs="Arial" w:eastAsia="Arial" w:hAnsi="Arial"/>
                <w:sz w:val="14"/>
                <w:szCs w:val="14"/>
                <w:color w:val="auto"/>
              </w:rPr>
              <w:t>20,830</w:t>
            </w:r>
          </w:p>
        </w:tc>
        <w:tc>
          <w:tcPr>
            <w:tcW w:w="560" w:type="dxa"/>
            <w:vAlign w:val="bottom"/>
          </w:tcPr>
          <w:p>
            <w:pPr>
              <w:jc w:val="right"/>
              <w:spacing w:after="0"/>
              <w:rPr>
                <w:sz w:val="20"/>
                <w:szCs w:val="20"/>
                <w:color w:val="auto"/>
              </w:rPr>
            </w:pPr>
            <w:r>
              <w:rPr>
                <w:rFonts w:ascii="Arial" w:cs="Arial" w:eastAsia="Arial" w:hAnsi="Arial"/>
                <w:sz w:val="14"/>
                <w:szCs w:val="14"/>
                <w:color w:val="auto"/>
              </w:rPr>
              <w:t>36,543</w:t>
            </w:r>
          </w:p>
        </w:tc>
        <w:tc>
          <w:tcPr>
            <w:tcW w:w="900" w:type="dxa"/>
            <w:vAlign w:val="bottom"/>
          </w:tcPr>
          <w:p>
            <w:pPr>
              <w:jc w:val="right"/>
              <w:ind w:right="10"/>
              <w:spacing w:after="0"/>
              <w:rPr>
                <w:sz w:val="20"/>
                <w:szCs w:val="20"/>
                <w:color w:val="auto"/>
              </w:rPr>
            </w:pPr>
            <w:r>
              <w:rPr>
                <w:rFonts w:ascii="Arial" w:cs="Arial" w:eastAsia="Arial" w:hAnsi="Arial"/>
                <w:sz w:val="14"/>
                <w:szCs w:val="14"/>
                <w:color w:val="auto"/>
              </w:rPr>
              <w:t>81,516</w:t>
            </w:r>
          </w:p>
        </w:tc>
        <w:tc>
          <w:tcPr>
            <w:tcW w:w="700" w:type="dxa"/>
            <w:vAlign w:val="bottom"/>
            <w:gridSpan w:val="2"/>
          </w:tcPr>
          <w:p>
            <w:pPr>
              <w:jc w:val="right"/>
              <w:ind w:right="80"/>
              <w:spacing w:after="0"/>
              <w:rPr>
                <w:sz w:val="20"/>
                <w:szCs w:val="20"/>
                <w:color w:val="auto"/>
              </w:rPr>
            </w:pPr>
            <w:r>
              <w:rPr>
                <w:rFonts w:ascii="Arial" w:cs="Arial" w:eastAsia="Arial" w:hAnsi="Arial"/>
                <w:sz w:val="14"/>
                <w:szCs w:val="14"/>
                <w:color w:val="auto"/>
              </w:rPr>
              <w:t>3,459</w:t>
            </w:r>
          </w:p>
        </w:tc>
        <w:tc>
          <w:tcPr>
            <w:tcW w:w="780" w:type="dxa"/>
            <w:vAlign w:val="bottom"/>
          </w:tcPr>
          <w:p>
            <w:pPr>
              <w:jc w:val="right"/>
              <w:ind w:right="29"/>
              <w:spacing w:after="0"/>
              <w:rPr>
                <w:sz w:val="20"/>
                <w:szCs w:val="20"/>
                <w:color w:val="auto"/>
              </w:rPr>
            </w:pPr>
            <w:r>
              <w:rPr>
                <w:rFonts w:ascii="Arial" w:cs="Arial" w:eastAsia="Arial" w:hAnsi="Arial"/>
                <w:sz w:val="14"/>
                <w:szCs w:val="14"/>
                <w:color w:val="auto"/>
              </w:rPr>
              <w:t>228,858</w:t>
            </w:r>
          </w:p>
        </w:tc>
      </w:tr>
      <w:tr>
        <w:trPr>
          <w:trHeight w:val="162"/>
        </w:trPr>
        <w:tc>
          <w:tcPr>
            <w:tcW w:w="4680" w:type="dxa"/>
            <w:vAlign w:val="bottom"/>
          </w:tcPr>
          <w:p>
            <w:pPr>
              <w:spacing w:after="0"/>
              <w:rPr>
                <w:sz w:val="20"/>
                <w:szCs w:val="20"/>
                <w:color w:val="auto"/>
              </w:rPr>
            </w:pPr>
            <w:r>
              <w:rPr>
                <w:rFonts w:ascii="Arial" w:cs="Arial" w:eastAsia="Arial" w:hAnsi="Arial"/>
                <w:sz w:val="14"/>
                <w:szCs w:val="14"/>
                <w:color w:val="auto"/>
              </w:rPr>
              <w:t>Future development costs</w:t>
            </w:r>
          </w:p>
        </w:tc>
        <w:tc>
          <w:tcPr>
            <w:tcW w:w="1580" w:type="dxa"/>
            <w:vAlign w:val="bottom"/>
          </w:tcPr>
          <w:p>
            <w:pPr>
              <w:jc w:val="right"/>
              <w:ind w:right="29"/>
              <w:spacing w:after="0"/>
              <w:rPr>
                <w:sz w:val="20"/>
                <w:szCs w:val="20"/>
                <w:color w:val="auto"/>
              </w:rPr>
            </w:pPr>
            <w:r>
              <w:rPr>
                <w:rFonts w:ascii="Arial" w:cs="Arial" w:eastAsia="Arial" w:hAnsi="Arial"/>
                <w:sz w:val="14"/>
                <w:szCs w:val="14"/>
                <w:color w:val="auto"/>
              </w:rPr>
              <w:t>18,717</w:t>
            </w:r>
          </w:p>
        </w:tc>
        <w:tc>
          <w:tcPr>
            <w:tcW w:w="720" w:type="dxa"/>
            <w:vAlign w:val="bottom"/>
          </w:tcPr>
          <w:p>
            <w:pPr>
              <w:jc w:val="right"/>
              <w:ind w:right="49"/>
              <w:spacing w:after="0"/>
              <w:rPr>
                <w:sz w:val="20"/>
                <w:szCs w:val="20"/>
                <w:color w:val="auto"/>
              </w:rPr>
            </w:pPr>
            <w:r>
              <w:rPr>
                <w:rFonts w:ascii="Arial" w:cs="Arial" w:eastAsia="Arial" w:hAnsi="Arial"/>
                <w:sz w:val="14"/>
                <w:szCs w:val="14"/>
                <w:color w:val="auto"/>
              </w:rPr>
              <w:t>13,151</w:t>
            </w:r>
          </w:p>
        </w:tc>
        <w:tc>
          <w:tcPr>
            <w:tcW w:w="700" w:type="dxa"/>
            <w:vAlign w:val="bottom"/>
          </w:tcPr>
          <w:p>
            <w:pPr>
              <w:jc w:val="right"/>
              <w:ind w:right="69"/>
              <w:spacing w:after="0"/>
              <w:rPr>
                <w:sz w:val="20"/>
                <w:szCs w:val="20"/>
                <w:color w:val="auto"/>
              </w:rPr>
            </w:pPr>
            <w:r>
              <w:rPr>
                <w:rFonts w:ascii="Arial" w:cs="Arial" w:eastAsia="Arial" w:hAnsi="Arial"/>
                <w:sz w:val="14"/>
                <w:szCs w:val="14"/>
                <w:color w:val="auto"/>
              </w:rPr>
              <w:t>21,943</w:t>
            </w:r>
          </w:p>
        </w:tc>
        <w:tc>
          <w:tcPr>
            <w:tcW w:w="800" w:type="dxa"/>
            <w:vAlign w:val="bottom"/>
          </w:tcPr>
          <w:p>
            <w:pPr>
              <w:jc w:val="right"/>
              <w:ind w:right="149"/>
              <w:spacing w:after="0"/>
              <w:rPr>
                <w:sz w:val="20"/>
                <w:szCs w:val="20"/>
                <w:color w:val="auto"/>
              </w:rPr>
            </w:pPr>
            <w:r>
              <w:rPr>
                <w:rFonts w:ascii="Arial" w:cs="Arial" w:eastAsia="Arial" w:hAnsi="Arial"/>
                <w:sz w:val="14"/>
                <w:szCs w:val="14"/>
                <w:color w:val="auto"/>
              </w:rPr>
              <w:t>7,350</w:t>
            </w:r>
          </w:p>
        </w:tc>
        <w:tc>
          <w:tcPr>
            <w:tcW w:w="560" w:type="dxa"/>
            <w:vAlign w:val="bottom"/>
          </w:tcPr>
          <w:p>
            <w:pPr>
              <w:jc w:val="right"/>
              <w:spacing w:after="0"/>
              <w:rPr>
                <w:sz w:val="20"/>
                <w:szCs w:val="20"/>
                <w:color w:val="auto"/>
              </w:rPr>
            </w:pPr>
            <w:r>
              <w:rPr>
                <w:rFonts w:ascii="Arial" w:cs="Arial" w:eastAsia="Arial" w:hAnsi="Arial"/>
                <w:sz w:val="14"/>
                <w:szCs w:val="14"/>
                <w:color w:val="auto"/>
              </w:rPr>
              <w:t>15,708</w:t>
            </w:r>
          </w:p>
        </w:tc>
        <w:tc>
          <w:tcPr>
            <w:tcW w:w="900" w:type="dxa"/>
            <w:vAlign w:val="bottom"/>
          </w:tcPr>
          <w:p>
            <w:pPr>
              <w:jc w:val="right"/>
              <w:ind w:right="10"/>
              <w:spacing w:after="0"/>
              <w:rPr>
                <w:sz w:val="20"/>
                <w:szCs w:val="20"/>
                <w:color w:val="auto"/>
              </w:rPr>
            </w:pPr>
            <w:r>
              <w:rPr>
                <w:rFonts w:ascii="Arial" w:cs="Arial" w:eastAsia="Arial" w:hAnsi="Arial"/>
                <w:sz w:val="14"/>
                <w:szCs w:val="14"/>
                <w:color w:val="auto"/>
              </w:rPr>
              <w:t>17,573</w:t>
            </w:r>
          </w:p>
        </w:tc>
        <w:tc>
          <w:tcPr>
            <w:tcW w:w="700" w:type="dxa"/>
            <w:vAlign w:val="bottom"/>
            <w:gridSpan w:val="2"/>
          </w:tcPr>
          <w:p>
            <w:pPr>
              <w:jc w:val="right"/>
              <w:ind w:right="80"/>
              <w:spacing w:after="0"/>
              <w:rPr>
                <w:sz w:val="20"/>
                <w:szCs w:val="20"/>
                <w:color w:val="auto"/>
              </w:rPr>
            </w:pPr>
            <w:r>
              <w:rPr>
                <w:rFonts w:ascii="Arial" w:cs="Arial" w:eastAsia="Arial" w:hAnsi="Arial"/>
                <w:sz w:val="14"/>
                <w:szCs w:val="14"/>
                <w:color w:val="auto"/>
              </w:rPr>
              <w:t>1,836</w:t>
            </w:r>
          </w:p>
        </w:tc>
        <w:tc>
          <w:tcPr>
            <w:tcW w:w="780" w:type="dxa"/>
            <w:vAlign w:val="bottom"/>
          </w:tcPr>
          <w:p>
            <w:pPr>
              <w:jc w:val="right"/>
              <w:ind w:right="29"/>
              <w:spacing w:after="0"/>
              <w:rPr>
                <w:sz w:val="20"/>
                <w:szCs w:val="20"/>
                <w:color w:val="auto"/>
              </w:rPr>
            </w:pPr>
            <w:r>
              <w:rPr>
                <w:rFonts w:ascii="Arial" w:cs="Arial" w:eastAsia="Arial" w:hAnsi="Arial"/>
                <w:sz w:val="14"/>
                <w:szCs w:val="14"/>
                <w:color w:val="auto"/>
              </w:rPr>
              <w:t>96,278</w:t>
            </w:r>
          </w:p>
        </w:tc>
      </w:tr>
      <w:tr>
        <w:trPr>
          <w:trHeight w:val="157"/>
        </w:trPr>
        <w:tc>
          <w:tcPr>
            <w:tcW w:w="4680" w:type="dxa"/>
            <w:vAlign w:val="bottom"/>
            <w:tcBorders>
              <w:bottom w:val="single" w:sz="8" w:color="auto"/>
            </w:tcBorders>
          </w:tcPr>
          <w:p>
            <w:pPr>
              <w:spacing w:after="0" w:line="157" w:lineRule="exact"/>
              <w:rPr>
                <w:sz w:val="20"/>
                <w:szCs w:val="20"/>
                <w:color w:val="auto"/>
              </w:rPr>
            </w:pPr>
            <w:r>
              <w:rPr>
                <w:rFonts w:ascii="Arial" w:cs="Arial" w:eastAsia="Arial" w:hAnsi="Arial"/>
                <w:sz w:val="14"/>
                <w:szCs w:val="14"/>
                <w:color w:val="auto"/>
              </w:rPr>
              <w:t>Future tax expenses</w:t>
            </w:r>
          </w:p>
        </w:tc>
        <w:tc>
          <w:tcPr>
            <w:tcW w:w="1580" w:type="dxa"/>
            <w:vAlign w:val="bottom"/>
            <w:tcBorders>
              <w:bottom w:val="single" w:sz="8" w:color="auto"/>
            </w:tcBorders>
          </w:tcPr>
          <w:p>
            <w:pPr>
              <w:jc w:val="right"/>
              <w:ind w:right="29"/>
              <w:spacing w:after="0" w:line="157" w:lineRule="exact"/>
              <w:rPr>
                <w:sz w:val="20"/>
                <w:szCs w:val="20"/>
                <w:color w:val="auto"/>
              </w:rPr>
            </w:pPr>
            <w:r>
              <w:rPr>
                <w:rFonts w:ascii="Arial" w:cs="Arial" w:eastAsia="Arial" w:hAnsi="Arial"/>
                <w:sz w:val="14"/>
                <w:szCs w:val="14"/>
                <w:color w:val="auto"/>
              </w:rPr>
              <w:t>43,997</w:t>
            </w:r>
          </w:p>
        </w:tc>
        <w:tc>
          <w:tcPr>
            <w:tcW w:w="720" w:type="dxa"/>
            <w:vAlign w:val="bottom"/>
            <w:tcBorders>
              <w:bottom w:val="single" w:sz="8" w:color="auto"/>
            </w:tcBorders>
          </w:tcPr>
          <w:p>
            <w:pPr>
              <w:jc w:val="right"/>
              <w:ind w:right="49"/>
              <w:spacing w:after="0" w:line="157" w:lineRule="exact"/>
              <w:rPr>
                <w:sz w:val="20"/>
                <w:szCs w:val="20"/>
                <w:color w:val="auto"/>
              </w:rPr>
            </w:pPr>
            <w:r>
              <w:rPr>
                <w:rFonts w:ascii="Arial" w:cs="Arial" w:eastAsia="Arial" w:hAnsi="Arial"/>
                <w:sz w:val="14"/>
                <w:szCs w:val="14"/>
                <w:color w:val="auto"/>
              </w:rPr>
              <w:t>47,301</w:t>
            </w:r>
          </w:p>
        </w:tc>
        <w:tc>
          <w:tcPr>
            <w:tcW w:w="700" w:type="dxa"/>
            <w:vAlign w:val="bottom"/>
            <w:tcBorders>
              <w:bottom w:val="single" w:sz="8" w:color="auto"/>
            </w:tcBorders>
          </w:tcPr>
          <w:p>
            <w:pPr>
              <w:jc w:val="right"/>
              <w:ind w:right="69"/>
              <w:spacing w:after="0" w:line="157" w:lineRule="exact"/>
              <w:rPr>
                <w:sz w:val="20"/>
                <w:szCs w:val="20"/>
                <w:color w:val="auto"/>
              </w:rPr>
            </w:pPr>
            <w:r>
              <w:rPr>
                <w:rFonts w:ascii="Arial" w:cs="Arial" w:eastAsia="Arial" w:hAnsi="Arial"/>
                <w:sz w:val="14"/>
                <w:szCs w:val="14"/>
                <w:color w:val="auto"/>
              </w:rPr>
              <w:t>7,436</w:t>
            </w:r>
          </w:p>
        </w:tc>
        <w:tc>
          <w:tcPr>
            <w:tcW w:w="800" w:type="dxa"/>
            <w:vAlign w:val="bottom"/>
            <w:tcBorders>
              <w:bottom w:val="single" w:sz="8" w:color="auto"/>
            </w:tcBorders>
          </w:tcPr>
          <w:p>
            <w:pPr>
              <w:jc w:val="right"/>
              <w:ind w:right="149"/>
              <w:spacing w:after="0" w:line="157" w:lineRule="exact"/>
              <w:rPr>
                <w:sz w:val="20"/>
                <w:szCs w:val="20"/>
                <w:color w:val="auto"/>
              </w:rPr>
            </w:pPr>
            <w:r>
              <w:rPr>
                <w:rFonts w:ascii="Arial" w:cs="Arial" w:eastAsia="Arial" w:hAnsi="Arial"/>
                <w:sz w:val="14"/>
                <w:szCs w:val="14"/>
                <w:color w:val="auto"/>
              </w:rPr>
              <w:t>33,954</w:t>
            </w:r>
          </w:p>
        </w:tc>
        <w:tc>
          <w:tcPr>
            <w:tcW w:w="560" w:type="dxa"/>
            <w:vAlign w:val="bottom"/>
            <w:tcBorders>
              <w:bottom w:val="single" w:sz="8" w:color="auto"/>
            </w:tcBorders>
          </w:tcPr>
          <w:p>
            <w:pPr>
              <w:jc w:val="right"/>
              <w:spacing w:after="0" w:line="157" w:lineRule="exact"/>
              <w:rPr>
                <w:sz w:val="20"/>
                <w:szCs w:val="20"/>
                <w:color w:val="auto"/>
              </w:rPr>
            </w:pPr>
            <w:r>
              <w:rPr>
                <w:rFonts w:ascii="Arial" w:cs="Arial" w:eastAsia="Arial" w:hAnsi="Arial"/>
                <w:sz w:val="14"/>
                <w:szCs w:val="14"/>
                <w:color w:val="auto"/>
              </w:rPr>
              <w:t>4,832</w:t>
            </w:r>
          </w:p>
        </w:tc>
        <w:tc>
          <w:tcPr>
            <w:tcW w:w="900" w:type="dxa"/>
            <w:vAlign w:val="bottom"/>
            <w:tcBorders>
              <w:bottom w:val="single" w:sz="8" w:color="auto"/>
            </w:tcBorders>
          </w:tcPr>
          <w:p>
            <w:pPr>
              <w:jc w:val="right"/>
              <w:ind w:right="10"/>
              <w:spacing w:after="0" w:line="157" w:lineRule="exact"/>
              <w:rPr>
                <w:sz w:val="20"/>
                <w:szCs w:val="20"/>
                <w:color w:val="auto"/>
              </w:rPr>
            </w:pPr>
            <w:r>
              <w:rPr>
                <w:rFonts w:ascii="Arial" w:cs="Arial" w:eastAsia="Arial" w:hAnsi="Arial"/>
                <w:sz w:val="14"/>
                <w:szCs w:val="14"/>
                <w:color w:val="auto"/>
              </w:rPr>
              <w:t>13,298</w:t>
            </w:r>
          </w:p>
        </w:tc>
        <w:tc>
          <w:tcPr>
            <w:tcW w:w="700" w:type="dxa"/>
            <w:vAlign w:val="bottom"/>
            <w:tcBorders>
              <w:bottom w:val="single" w:sz="8" w:color="auto"/>
            </w:tcBorders>
            <w:gridSpan w:val="2"/>
          </w:tcPr>
          <w:p>
            <w:pPr>
              <w:jc w:val="right"/>
              <w:ind w:right="80"/>
              <w:spacing w:after="0" w:line="157" w:lineRule="exact"/>
              <w:rPr>
                <w:sz w:val="20"/>
                <w:szCs w:val="20"/>
                <w:color w:val="auto"/>
              </w:rPr>
            </w:pPr>
            <w:r>
              <w:rPr>
                <w:rFonts w:ascii="Arial" w:cs="Arial" w:eastAsia="Arial" w:hAnsi="Arial"/>
                <w:sz w:val="14"/>
                <w:szCs w:val="14"/>
                <w:color w:val="auto"/>
              </w:rPr>
              <w:t>721</w:t>
            </w:r>
          </w:p>
        </w:tc>
        <w:tc>
          <w:tcPr>
            <w:tcW w:w="780" w:type="dxa"/>
            <w:vAlign w:val="bottom"/>
            <w:tcBorders>
              <w:bottom w:val="single" w:sz="8" w:color="auto"/>
            </w:tcBorders>
          </w:tcPr>
          <w:p>
            <w:pPr>
              <w:jc w:val="right"/>
              <w:ind w:right="29"/>
              <w:spacing w:after="0" w:line="157" w:lineRule="exact"/>
              <w:rPr>
                <w:sz w:val="20"/>
                <w:szCs w:val="20"/>
                <w:color w:val="auto"/>
              </w:rPr>
            </w:pPr>
            <w:r>
              <w:rPr>
                <w:rFonts w:ascii="Arial" w:cs="Arial" w:eastAsia="Arial" w:hAnsi="Arial"/>
                <w:sz w:val="14"/>
                <w:szCs w:val="14"/>
                <w:color w:val="auto"/>
              </w:rPr>
              <w:t>151,539</w:t>
            </w:r>
          </w:p>
        </w:tc>
      </w:tr>
      <w:tr>
        <w:trPr>
          <w:trHeight w:val="160"/>
        </w:trPr>
        <w:tc>
          <w:tcPr>
            <w:tcW w:w="4680" w:type="dxa"/>
            <w:vAlign w:val="bottom"/>
          </w:tcPr>
          <w:p>
            <w:pPr>
              <w:spacing w:after="0"/>
              <w:rPr>
                <w:sz w:val="20"/>
                <w:szCs w:val="20"/>
                <w:color w:val="auto"/>
              </w:rPr>
            </w:pPr>
            <w:r>
              <w:rPr>
                <w:rFonts w:ascii="Arial" w:cs="Arial" w:eastAsia="Arial" w:hAnsi="Arial"/>
                <w:sz w:val="14"/>
                <w:szCs w:val="14"/>
                <w:color w:val="auto"/>
              </w:rPr>
              <w:t>Future net cash flows</w:t>
            </w:r>
          </w:p>
        </w:tc>
        <w:tc>
          <w:tcPr>
            <w:tcW w:w="1580" w:type="dxa"/>
            <w:vAlign w:val="bottom"/>
          </w:tcPr>
          <w:p>
            <w:pPr>
              <w:jc w:val="right"/>
              <w:ind w:right="29"/>
              <w:spacing w:after="0"/>
              <w:rPr>
                <w:sz w:val="20"/>
                <w:szCs w:val="20"/>
                <w:color w:val="auto"/>
              </w:rPr>
            </w:pPr>
            <w:r>
              <w:rPr>
                <w:rFonts w:ascii="Arial" w:cs="Arial" w:eastAsia="Arial" w:hAnsi="Arial"/>
                <w:sz w:val="14"/>
                <w:szCs w:val="14"/>
                <w:color w:val="auto"/>
              </w:rPr>
              <w:t>25,976</w:t>
            </w:r>
          </w:p>
        </w:tc>
        <w:tc>
          <w:tcPr>
            <w:tcW w:w="720" w:type="dxa"/>
            <w:vAlign w:val="bottom"/>
          </w:tcPr>
          <w:p>
            <w:pPr>
              <w:jc w:val="right"/>
              <w:ind w:right="49"/>
              <w:spacing w:after="0"/>
              <w:rPr>
                <w:sz w:val="20"/>
                <w:szCs w:val="20"/>
                <w:color w:val="auto"/>
              </w:rPr>
            </w:pPr>
            <w:r>
              <w:rPr>
                <w:rFonts w:ascii="Arial" w:cs="Arial" w:eastAsia="Arial" w:hAnsi="Arial"/>
                <w:sz w:val="14"/>
                <w:szCs w:val="14"/>
                <w:color w:val="auto"/>
              </w:rPr>
              <w:t>63,401</w:t>
            </w:r>
          </w:p>
        </w:tc>
        <w:tc>
          <w:tcPr>
            <w:tcW w:w="700" w:type="dxa"/>
            <w:vAlign w:val="bottom"/>
          </w:tcPr>
          <w:p>
            <w:pPr>
              <w:jc w:val="right"/>
              <w:ind w:right="69"/>
              <w:spacing w:after="0"/>
              <w:rPr>
                <w:sz w:val="20"/>
                <w:szCs w:val="20"/>
                <w:color w:val="auto"/>
              </w:rPr>
            </w:pPr>
            <w:r>
              <w:rPr>
                <w:rFonts w:ascii="Arial" w:cs="Arial" w:eastAsia="Arial" w:hAnsi="Arial"/>
                <w:sz w:val="14"/>
                <w:szCs w:val="14"/>
                <w:color w:val="auto"/>
              </w:rPr>
              <w:t>20,965</w:t>
            </w:r>
          </w:p>
        </w:tc>
        <w:tc>
          <w:tcPr>
            <w:tcW w:w="800" w:type="dxa"/>
            <w:vAlign w:val="bottom"/>
          </w:tcPr>
          <w:p>
            <w:pPr>
              <w:jc w:val="right"/>
              <w:ind w:right="149"/>
              <w:spacing w:after="0"/>
              <w:rPr>
                <w:sz w:val="20"/>
                <w:szCs w:val="20"/>
                <w:color w:val="auto"/>
              </w:rPr>
            </w:pPr>
            <w:r>
              <w:rPr>
                <w:rFonts w:ascii="Arial" w:cs="Arial" w:eastAsia="Arial" w:hAnsi="Arial"/>
                <w:sz w:val="14"/>
                <w:szCs w:val="14"/>
                <w:color w:val="auto"/>
              </w:rPr>
              <w:t>20,248</w:t>
            </w:r>
          </w:p>
        </w:tc>
        <w:tc>
          <w:tcPr>
            <w:tcW w:w="560" w:type="dxa"/>
            <w:vAlign w:val="bottom"/>
          </w:tcPr>
          <w:p>
            <w:pPr>
              <w:jc w:val="right"/>
              <w:spacing w:after="0"/>
              <w:rPr>
                <w:sz w:val="20"/>
                <w:szCs w:val="20"/>
                <w:color w:val="auto"/>
              </w:rPr>
            </w:pPr>
            <w:r>
              <w:rPr>
                <w:rFonts w:ascii="Arial" w:cs="Arial" w:eastAsia="Arial" w:hAnsi="Arial"/>
                <w:sz w:val="14"/>
                <w:szCs w:val="14"/>
                <w:color w:val="auto"/>
              </w:rPr>
              <w:t>8,892</w:t>
            </w:r>
          </w:p>
        </w:tc>
        <w:tc>
          <w:tcPr>
            <w:tcW w:w="900" w:type="dxa"/>
            <w:vAlign w:val="bottom"/>
          </w:tcPr>
          <w:p>
            <w:pPr>
              <w:jc w:val="right"/>
              <w:ind w:right="10"/>
              <w:spacing w:after="0"/>
              <w:rPr>
                <w:sz w:val="20"/>
                <w:szCs w:val="20"/>
                <w:color w:val="auto"/>
              </w:rPr>
            </w:pPr>
            <w:r>
              <w:rPr>
                <w:rFonts w:ascii="Arial" w:cs="Arial" w:eastAsia="Arial" w:hAnsi="Arial"/>
                <w:sz w:val="14"/>
                <w:szCs w:val="14"/>
                <w:color w:val="auto"/>
              </w:rPr>
              <w:t>38,006</w:t>
            </w:r>
          </w:p>
        </w:tc>
        <w:tc>
          <w:tcPr>
            <w:tcW w:w="700" w:type="dxa"/>
            <w:vAlign w:val="bottom"/>
            <w:gridSpan w:val="2"/>
          </w:tcPr>
          <w:p>
            <w:pPr>
              <w:jc w:val="right"/>
              <w:ind w:right="80"/>
              <w:spacing w:after="0"/>
              <w:rPr>
                <w:sz w:val="20"/>
                <w:szCs w:val="20"/>
                <w:color w:val="auto"/>
              </w:rPr>
            </w:pPr>
            <w:r>
              <w:rPr>
                <w:rFonts w:ascii="Arial" w:cs="Arial" w:eastAsia="Arial" w:hAnsi="Arial"/>
                <w:sz w:val="14"/>
                <w:szCs w:val="14"/>
                <w:color w:val="auto"/>
              </w:rPr>
              <w:t>926</w:t>
            </w:r>
          </w:p>
        </w:tc>
        <w:tc>
          <w:tcPr>
            <w:tcW w:w="780" w:type="dxa"/>
            <w:vAlign w:val="bottom"/>
          </w:tcPr>
          <w:p>
            <w:pPr>
              <w:jc w:val="right"/>
              <w:ind w:right="29"/>
              <w:spacing w:after="0"/>
              <w:rPr>
                <w:sz w:val="20"/>
                <w:szCs w:val="20"/>
                <w:color w:val="auto"/>
              </w:rPr>
            </w:pPr>
            <w:r>
              <w:rPr>
                <w:rFonts w:ascii="Arial" w:cs="Arial" w:eastAsia="Arial" w:hAnsi="Arial"/>
                <w:sz w:val="14"/>
                <w:szCs w:val="14"/>
                <w:color w:val="auto"/>
              </w:rPr>
              <w:t>178,414</w:t>
            </w:r>
          </w:p>
        </w:tc>
      </w:tr>
      <w:tr>
        <w:trPr>
          <w:trHeight w:val="157"/>
        </w:trPr>
        <w:tc>
          <w:tcPr>
            <w:tcW w:w="4680" w:type="dxa"/>
            <w:vAlign w:val="bottom"/>
            <w:tcBorders>
              <w:bottom w:val="single" w:sz="8" w:color="auto"/>
            </w:tcBorders>
          </w:tcPr>
          <w:p>
            <w:pPr>
              <w:spacing w:after="0" w:line="157" w:lineRule="exact"/>
              <w:rPr>
                <w:sz w:val="20"/>
                <w:szCs w:val="20"/>
                <w:color w:val="auto"/>
              </w:rPr>
            </w:pPr>
            <w:r>
              <w:rPr>
                <w:rFonts w:ascii="Arial" w:cs="Arial" w:eastAsia="Arial" w:hAnsi="Arial"/>
                <w:sz w:val="14"/>
                <w:szCs w:val="14"/>
                <w:color w:val="auto"/>
              </w:rPr>
              <w:t>Effect of discounting cash flows at 10%</w:t>
            </w:r>
          </w:p>
        </w:tc>
        <w:tc>
          <w:tcPr>
            <w:tcW w:w="1580" w:type="dxa"/>
            <w:vAlign w:val="bottom"/>
            <w:tcBorders>
              <w:bottom w:val="single" w:sz="8" w:color="auto"/>
            </w:tcBorders>
          </w:tcPr>
          <w:p>
            <w:pPr>
              <w:jc w:val="right"/>
              <w:ind w:right="29"/>
              <w:spacing w:after="0" w:line="157" w:lineRule="exact"/>
              <w:rPr>
                <w:sz w:val="20"/>
                <w:szCs w:val="20"/>
                <w:color w:val="auto"/>
              </w:rPr>
            </w:pPr>
            <w:r>
              <w:rPr>
                <w:rFonts w:ascii="Arial" w:cs="Arial" w:eastAsia="Arial" w:hAnsi="Arial"/>
                <w:sz w:val="14"/>
                <w:szCs w:val="14"/>
                <w:color w:val="auto"/>
              </w:rPr>
              <w:t>10,620</w:t>
            </w:r>
          </w:p>
        </w:tc>
        <w:tc>
          <w:tcPr>
            <w:tcW w:w="720" w:type="dxa"/>
            <w:vAlign w:val="bottom"/>
            <w:tcBorders>
              <w:bottom w:val="single" w:sz="8" w:color="auto"/>
            </w:tcBorders>
          </w:tcPr>
          <w:p>
            <w:pPr>
              <w:jc w:val="right"/>
              <w:ind w:right="49"/>
              <w:spacing w:after="0" w:line="157" w:lineRule="exact"/>
              <w:rPr>
                <w:sz w:val="20"/>
                <w:szCs w:val="20"/>
                <w:color w:val="auto"/>
              </w:rPr>
            </w:pPr>
            <w:r>
              <w:rPr>
                <w:rFonts w:ascii="Arial" w:cs="Arial" w:eastAsia="Arial" w:hAnsi="Arial"/>
                <w:sz w:val="14"/>
                <w:szCs w:val="14"/>
                <w:color w:val="auto"/>
              </w:rPr>
              <w:t>28,859</w:t>
            </w:r>
          </w:p>
        </w:tc>
        <w:tc>
          <w:tcPr>
            <w:tcW w:w="700" w:type="dxa"/>
            <w:vAlign w:val="bottom"/>
            <w:tcBorders>
              <w:bottom w:val="single" w:sz="8" w:color="auto"/>
            </w:tcBorders>
          </w:tcPr>
          <w:p>
            <w:pPr>
              <w:jc w:val="right"/>
              <w:ind w:right="69"/>
              <w:spacing w:after="0" w:line="157" w:lineRule="exact"/>
              <w:rPr>
                <w:sz w:val="20"/>
                <w:szCs w:val="20"/>
                <w:color w:val="auto"/>
              </w:rPr>
            </w:pPr>
            <w:r>
              <w:rPr>
                <w:rFonts w:ascii="Arial" w:cs="Arial" w:eastAsia="Arial" w:hAnsi="Arial"/>
                <w:sz w:val="14"/>
                <w:szCs w:val="14"/>
                <w:color w:val="auto"/>
              </w:rPr>
              <w:t>16,586</w:t>
            </w:r>
          </w:p>
        </w:tc>
        <w:tc>
          <w:tcPr>
            <w:tcW w:w="800" w:type="dxa"/>
            <w:vAlign w:val="bottom"/>
            <w:tcBorders>
              <w:bottom w:val="single" w:sz="8" w:color="auto"/>
            </w:tcBorders>
          </w:tcPr>
          <w:p>
            <w:pPr>
              <w:jc w:val="right"/>
              <w:ind w:right="149"/>
              <w:spacing w:after="0" w:line="157" w:lineRule="exact"/>
              <w:rPr>
                <w:sz w:val="20"/>
                <w:szCs w:val="20"/>
                <w:color w:val="auto"/>
              </w:rPr>
            </w:pPr>
            <w:r>
              <w:rPr>
                <w:rFonts w:ascii="Arial" w:cs="Arial" w:eastAsia="Arial" w:hAnsi="Arial"/>
                <w:sz w:val="14"/>
                <w:szCs w:val="14"/>
                <w:color w:val="auto"/>
              </w:rPr>
              <w:t>5,833</w:t>
            </w:r>
          </w:p>
        </w:tc>
        <w:tc>
          <w:tcPr>
            <w:tcW w:w="560" w:type="dxa"/>
            <w:vAlign w:val="bottom"/>
            <w:tcBorders>
              <w:bottom w:val="single" w:sz="8" w:color="auto"/>
            </w:tcBorders>
          </w:tcPr>
          <w:p>
            <w:pPr>
              <w:jc w:val="right"/>
              <w:spacing w:after="0" w:line="157" w:lineRule="exact"/>
              <w:rPr>
                <w:sz w:val="20"/>
                <w:szCs w:val="20"/>
                <w:color w:val="auto"/>
              </w:rPr>
            </w:pPr>
            <w:r>
              <w:rPr>
                <w:rFonts w:ascii="Arial" w:cs="Arial" w:eastAsia="Arial" w:hAnsi="Arial"/>
                <w:sz w:val="14"/>
                <w:szCs w:val="14"/>
                <w:color w:val="auto"/>
              </w:rPr>
              <w:t>3,909</w:t>
            </w:r>
          </w:p>
        </w:tc>
        <w:tc>
          <w:tcPr>
            <w:tcW w:w="900" w:type="dxa"/>
            <w:vAlign w:val="bottom"/>
            <w:tcBorders>
              <w:bottom w:val="single" w:sz="8" w:color="auto"/>
            </w:tcBorders>
          </w:tcPr>
          <w:p>
            <w:pPr>
              <w:jc w:val="right"/>
              <w:ind w:right="10"/>
              <w:spacing w:after="0" w:line="157" w:lineRule="exact"/>
              <w:rPr>
                <w:sz w:val="20"/>
                <w:szCs w:val="20"/>
                <w:color w:val="auto"/>
              </w:rPr>
            </w:pPr>
            <w:r>
              <w:rPr>
                <w:rFonts w:ascii="Arial" w:cs="Arial" w:eastAsia="Arial" w:hAnsi="Arial"/>
                <w:sz w:val="14"/>
                <w:szCs w:val="14"/>
                <w:color w:val="auto"/>
              </w:rPr>
              <w:t>27,331</w:t>
            </w:r>
          </w:p>
        </w:tc>
        <w:tc>
          <w:tcPr>
            <w:tcW w:w="700" w:type="dxa"/>
            <w:vAlign w:val="bottom"/>
            <w:tcBorders>
              <w:bottom w:val="single" w:sz="8" w:color="auto"/>
            </w:tcBorders>
            <w:gridSpan w:val="2"/>
          </w:tcPr>
          <w:p>
            <w:pPr>
              <w:jc w:val="right"/>
              <w:ind w:right="80"/>
              <w:spacing w:after="0" w:line="157" w:lineRule="exact"/>
              <w:rPr>
                <w:sz w:val="20"/>
                <w:szCs w:val="20"/>
                <w:color w:val="auto"/>
              </w:rPr>
            </w:pPr>
            <w:r>
              <w:rPr>
                <w:rFonts w:ascii="Arial" w:cs="Arial" w:eastAsia="Arial" w:hAnsi="Arial"/>
                <w:sz w:val="14"/>
                <w:szCs w:val="14"/>
                <w:color w:val="auto"/>
              </w:rPr>
              <w:t>198</w:t>
            </w:r>
          </w:p>
        </w:tc>
        <w:tc>
          <w:tcPr>
            <w:tcW w:w="780" w:type="dxa"/>
            <w:vAlign w:val="bottom"/>
            <w:tcBorders>
              <w:bottom w:val="single" w:sz="8" w:color="auto"/>
            </w:tcBorders>
          </w:tcPr>
          <w:p>
            <w:pPr>
              <w:jc w:val="right"/>
              <w:ind w:right="29"/>
              <w:spacing w:after="0" w:line="157" w:lineRule="exact"/>
              <w:rPr>
                <w:sz w:val="20"/>
                <w:szCs w:val="20"/>
                <w:color w:val="auto"/>
              </w:rPr>
            </w:pPr>
            <w:r>
              <w:rPr>
                <w:rFonts w:ascii="Arial" w:cs="Arial" w:eastAsia="Arial" w:hAnsi="Arial"/>
                <w:sz w:val="14"/>
                <w:szCs w:val="14"/>
                <w:color w:val="auto"/>
              </w:rPr>
              <w:t>93,336</w:t>
            </w:r>
          </w:p>
        </w:tc>
      </w:tr>
      <w:tr>
        <w:trPr>
          <w:trHeight w:val="156"/>
        </w:trPr>
        <w:tc>
          <w:tcPr>
            <w:tcW w:w="4680" w:type="dxa"/>
            <w:vAlign w:val="bottom"/>
            <w:tcBorders>
              <w:bottom w:val="single" w:sz="8" w:color="auto"/>
            </w:tcBorders>
          </w:tcPr>
          <w:p>
            <w:pPr>
              <w:spacing w:after="0" w:line="155" w:lineRule="exact"/>
              <w:rPr>
                <w:sz w:val="20"/>
                <w:szCs w:val="20"/>
                <w:color w:val="auto"/>
              </w:rPr>
            </w:pPr>
            <w:r>
              <w:rPr>
                <w:rFonts w:ascii="Arial" w:cs="Arial" w:eastAsia="Arial" w:hAnsi="Arial"/>
                <w:sz w:val="14"/>
                <w:szCs w:val="14"/>
                <w:color w:val="auto"/>
              </w:rPr>
              <w:t>Standardised measure of discounted future net cash flows</w:t>
            </w:r>
          </w:p>
        </w:tc>
        <w:tc>
          <w:tcPr>
            <w:tcW w:w="1580" w:type="dxa"/>
            <w:vAlign w:val="bottom"/>
            <w:tcBorders>
              <w:bottom w:val="single" w:sz="8" w:color="auto"/>
            </w:tcBorders>
          </w:tcPr>
          <w:p>
            <w:pPr>
              <w:jc w:val="right"/>
              <w:ind w:right="29"/>
              <w:spacing w:after="0" w:line="155" w:lineRule="exact"/>
              <w:rPr>
                <w:sz w:val="20"/>
                <w:szCs w:val="20"/>
                <w:color w:val="auto"/>
              </w:rPr>
            </w:pPr>
            <w:r>
              <w:rPr>
                <w:rFonts w:ascii="Arial" w:cs="Arial" w:eastAsia="Arial" w:hAnsi="Arial"/>
                <w:sz w:val="14"/>
                <w:szCs w:val="14"/>
                <w:color w:val="auto"/>
              </w:rPr>
              <w:t>15,356</w:t>
            </w:r>
          </w:p>
        </w:tc>
        <w:tc>
          <w:tcPr>
            <w:tcW w:w="720" w:type="dxa"/>
            <w:vAlign w:val="bottom"/>
            <w:tcBorders>
              <w:bottom w:val="single" w:sz="8" w:color="auto"/>
            </w:tcBorders>
          </w:tcPr>
          <w:p>
            <w:pPr>
              <w:jc w:val="right"/>
              <w:ind w:right="49"/>
              <w:spacing w:after="0" w:line="155" w:lineRule="exact"/>
              <w:rPr>
                <w:sz w:val="20"/>
                <w:szCs w:val="20"/>
                <w:color w:val="auto"/>
              </w:rPr>
            </w:pPr>
            <w:r>
              <w:rPr>
                <w:rFonts w:ascii="Arial" w:cs="Arial" w:eastAsia="Arial" w:hAnsi="Arial"/>
                <w:sz w:val="14"/>
                <w:szCs w:val="14"/>
                <w:color w:val="auto"/>
              </w:rPr>
              <w:t>34,542</w:t>
            </w:r>
          </w:p>
        </w:tc>
        <w:tc>
          <w:tcPr>
            <w:tcW w:w="700" w:type="dxa"/>
            <w:vAlign w:val="bottom"/>
            <w:tcBorders>
              <w:bottom w:val="single" w:sz="8" w:color="auto"/>
            </w:tcBorders>
          </w:tcPr>
          <w:p>
            <w:pPr>
              <w:jc w:val="right"/>
              <w:ind w:right="69"/>
              <w:spacing w:after="0" w:line="155" w:lineRule="exact"/>
              <w:rPr>
                <w:sz w:val="20"/>
                <w:szCs w:val="20"/>
                <w:color w:val="auto"/>
              </w:rPr>
            </w:pPr>
            <w:r>
              <w:rPr>
                <w:rFonts w:ascii="Arial" w:cs="Arial" w:eastAsia="Arial" w:hAnsi="Arial"/>
                <w:sz w:val="14"/>
                <w:szCs w:val="14"/>
                <w:color w:val="auto"/>
              </w:rPr>
              <w:t>4,379</w:t>
            </w:r>
          </w:p>
        </w:tc>
        <w:tc>
          <w:tcPr>
            <w:tcW w:w="800" w:type="dxa"/>
            <w:vAlign w:val="bottom"/>
            <w:tcBorders>
              <w:bottom w:val="single" w:sz="8" w:color="auto"/>
            </w:tcBorders>
          </w:tcPr>
          <w:p>
            <w:pPr>
              <w:jc w:val="right"/>
              <w:ind w:right="149"/>
              <w:spacing w:after="0" w:line="155" w:lineRule="exact"/>
              <w:rPr>
                <w:sz w:val="20"/>
                <w:szCs w:val="20"/>
                <w:color w:val="auto"/>
              </w:rPr>
            </w:pPr>
            <w:r>
              <w:rPr>
                <w:rFonts w:ascii="Arial" w:cs="Arial" w:eastAsia="Arial" w:hAnsi="Arial"/>
                <w:sz w:val="14"/>
                <w:szCs w:val="14"/>
                <w:color w:val="auto"/>
              </w:rPr>
              <w:t>14,415</w:t>
            </w:r>
          </w:p>
        </w:tc>
        <w:tc>
          <w:tcPr>
            <w:tcW w:w="5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4,983</w:t>
            </w:r>
          </w:p>
        </w:tc>
        <w:tc>
          <w:tcPr>
            <w:tcW w:w="900" w:type="dxa"/>
            <w:vAlign w:val="bottom"/>
            <w:tcBorders>
              <w:bottom w:val="single" w:sz="8" w:color="auto"/>
            </w:tcBorders>
          </w:tcPr>
          <w:p>
            <w:pPr>
              <w:jc w:val="right"/>
              <w:ind w:right="10"/>
              <w:spacing w:after="0" w:line="155" w:lineRule="exact"/>
              <w:rPr>
                <w:sz w:val="20"/>
                <w:szCs w:val="20"/>
                <w:color w:val="auto"/>
              </w:rPr>
            </w:pPr>
            <w:r>
              <w:rPr>
                <w:rFonts w:ascii="Arial" w:cs="Arial" w:eastAsia="Arial" w:hAnsi="Arial"/>
                <w:sz w:val="14"/>
                <w:szCs w:val="14"/>
                <w:color w:val="auto"/>
              </w:rPr>
              <w:t>10,675</w:t>
            </w:r>
          </w:p>
        </w:tc>
        <w:tc>
          <w:tcPr>
            <w:tcW w:w="700" w:type="dxa"/>
            <w:vAlign w:val="bottom"/>
            <w:tcBorders>
              <w:bottom w:val="single" w:sz="8" w:color="auto"/>
            </w:tcBorders>
            <w:gridSpan w:val="2"/>
          </w:tcPr>
          <w:p>
            <w:pPr>
              <w:jc w:val="right"/>
              <w:ind w:right="80"/>
              <w:spacing w:after="0" w:line="155" w:lineRule="exact"/>
              <w:rPr>
                <w:sz w:val="20"/>
                <w:szCs w:val="20"/>
                <w:color w:val="auto"/>
              </w:rPr>
            </w:pPr>
            <w:r>
              <w:rPr>
                <w:rFonts w:ascii="Arial" w:cs="Arial" w:eastAsia="Arial" w:hAnsi="Arial"/>
                <w:sz w:val="14"/>
                <w:szCs w:val="14"/>
                <w:color w:val="auto"/>
              </w:rPr>
              <w:t>728</w:t>
            </w:r>
          </w:p>
        </w:tc>
        <w:tc>
          <w:tcPr>
            <w:tcW w:w="780" w:type="dxa"/>
            <w:vAlign w:val="bottom"/>
            <w:tcBorders>
              <w:bottom w:val="single" w:sz="8" w:color="auto"/>
            </w:tcBorders>
          </w:tcPr>
          <w:p>
            <w:pPr>
              <w:jc w:val="right"/>
              <w:ind w:right="29"/>
              <w:spacing w:after="0" w:line="155" w:lineRule="exact"/>
              <w:rPr>
                <w:sz w:val="20"/>
                <w:szCs w:val="20"/>
                <w:color w:val="auto"/>
              </w:rPr>
            </w:pPr>
            <w:r>
              <w:rPr>
                <w:rFonts w:ascii="Arial" w:cs="Arial" w:eastAsia="Arial" w:hAnsi="Arial"/>
                <w:sz w:val="14"/>
                <w:szCs w:val="14"/>
                <w:color w:val="auto"/>
              </w:rPr>
              <w:t>85,078</w:t>
            </w:r>
          </w:p>
        </w:tc>
      </w:tr>
      <w:tr>
        <w:trPr>
          <w:trHeight w:val="156"/>
        </w:trPr>
        <w:tc>
          <w:tcPr>
            <w:tcW w:w="4680" w:type="dxa"/>
            <w:vAlign w:val="bottom"/>
            <w:tcBorders>
              <w:bottom w:val="single" w:sz="8" w:color="auto"/>
            </w:tcBorders>
          </w:tcPr>
          <w:p>
            <w:pPr>
              <w:spacing w:after="0" w:line="155" w:lineRule="exact"/>
              <w:rPr>
                <w:sz w:val="20"/>
                <w:szCs w:val="20"/>
                <w:color w:val="auto"/>
              </w:rPr>
            </w:pPr>
            <w:r>
              <w:rPr>
                <w:rFonts w:ascii="Arial" w:cs="Arial" w:eastAsia="Arial" w:hAnsi="Arial"/>
                <w:sz w:val="14"/>
                <w:szCs w:val="14"/>
                <w:color w:val="auto"/>
              </w:rPr>
              <w:t>Non-controlling interest included</w:t>
            </w:r>
          </w:p>
        </w:tc>
        <w:tc>
          <w:tcPr>
            <w:tcW w:w="1580" w:type="dxa"/>
            <w:vAlign w:val="bottom"/>
            <w:tcBorders>
              <w:bottom w:val="single" w:sz="8" w:color="auto"/>
            </w:tcBorders>
          </w:tcPr>
          <w:p>
            <w:pPr>
              <w:jc w:val="right"/>
              <w:ind w:right="29"/>
              <w:spacing w:after="0" w:line="155" w:lineRule="exact"/>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tcPr>
          <w:p>
            <w:pPr>
              <w:jc w:val="right"/>
              <w:ind w:right="49"/>
              <w:spacing w:after="0" w:line="155" w:lineRule="exact"/>
              <w:rPr>
                <w:sz w:val="20"/>
                <w:szCs w:val="20"/>
                <w:color w:val="auto"/>
              </w:rPr>
            </w:pPr>
            <w:r>
              <w:rPr>
                <w:rFonts w:ascii="Arial" w:cs="Arial" w:eastAsia="Arial" w:hAnsi="Arial"/>
                <w:sz w:val="14"/>
                <w:szCs w:val="14"/>
                <w:color w:val="auto"/>
              </w:rPr>
              <w:t>8</w:t>
            </w:r>
          </w:p>
        </w:tc>
        <w:tc>
          <w:tcPr>
            <w:tcW w:w="700" w:type="dxa"/>
            <w:vAlign w:val="bottom"/>
            <w:tcBorders>
              <w:bottom w:val="single" w:sz="8" w:color="auto"/>
            </w:tcBorders>
          </w:tcPr>
          <w:p>
            <w:pPr>
              <w:jc w:val="right"/>
              <w:ind w:right="69"/>
              <w:spacing w:after="0" w:line="155" w:lineRule="exact"/>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tcPr>
          <w:p>
            <w:pPr>
              <w:jc w:val="right"/>
              <w:ind w:right="149"/>
              <w:spacing w:after="0" w:line="155" w:lineRule="exact"/>
              <w:rPr>
                <w:sz w:val="20"/>
                <w:szCs w:val="20"/>
                <w:color w:val="auto"/>
              </w:rPr>
            </w:pPr>
            <w:r>
              <w:rPr>
                <w:rFonts w:ascii="Arial" w:cs="Arial" w:eastAsia="Arial" w:hAnsi="Arial"/>
                <w:sz w:val="14"/>
                <w:szCs w:val="14"/>
                <w:color w:val="auto"/>
              </w:rPr>
              <w:t>281</w:t>
            </w:r>
          </w:p>
        </w:tc>
        <w:tc>
          <w:tcPr>
            <w:tcW w:w="5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right"/>
              <w:ind w:right="10"/>
              <w:spacing w:after="0" w:line="155" w:lineRule="exact"/>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gridSpan w:val="2"/>
          </w:tcPr>
          <w:p>
            <w:pPr>
              <w:jc w:val="right"/>
              <w:ind w:right="80"/>
              <w:spacing w:after="0" w:line="155" w:lineRule="exact"/>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jc w:val="right"/>
              <w:ind w:right="29"/>
              <w:spacing w:after="0" w:line="155" w:lineRule="exact"/>
              <w:rPr>
                <w:sz w:val="20"/>
                <w:szCs w:val="20"/>
                <w:color w:val="auto"/>
              </w:rPr>
            </w:pPr>
            <w:r>
              <w:rPr>
                <w:rFonts w:ascii="Arial" w:cs="Arial" w:eastAsia="Arial" w:hAnsi="Arial"/>
                <w:sz w:val="14"/>
                <w:szCs w:val="14"/>
                <w:color w:val="auto"/>
              </w:rPr>
              <w:t>289</w:t>
            </w:r>
          </w:p>
        </w:tc>
      </w:tr>
    </w:tbl>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5000" w:type="dxa"/>
            <w:vAlign w:val="bottom"/>
            <w:shd w:val="clear" w:color="auto" w:fill="333333"/>
          </w:tcPr>
          <w:p>
            <w:pPr>
              <w:ind w:left="80"/>
              <w:spacing w:after="0"/>
              <w:rPr>
                <w:sz w:val="20"/>
                <w:szCs w:val="20"/>
                <w:color w:val="auto"/>
              </w:rPr>
            </w:pPr>
            <w:r>
              <w:rPr>
                <w:rFonts w:ascii="Arial" w:cs="Arial" w:eastAsia="Arial" w:hAnsi="Arial"/>
                <w:sz w:val="15"/>
                <w:szCs w:val="15"/>
                <w:b w:val="1"/>
                <w:bCs w:val="1"/>
                <w:color w:val="FFFFFF"/>
              </w:rPr>
              <w:t>2012 – SHELL SHARE OF JOINT VENTURES AND ASSOCIATES</w:t>
            </w:r>
          </w:p>
        </w:tc>
        <w:tc>
          <w:tcPr>
            <w:tcW w:w="840" w:type="dxa"/>
            <w:vAlign w:val="bottom"/>
            <w:shd w:val="clear" w:color="auto" w:fill="333333"/>
          </w:tcPr>
          <w:p>
            <w:pPr>
              <w:spacing w:after="0"/>
              <w:rPr>
                <w:sz w:val="15"/>
                <w:szCs w:val="15"/>
                <w:color w:val="auto"/>
              </w:rPr>
            </w:pPr>
          </w:p>
        </w:tc>
        <w:tc>
          <w:tcPr>
            <w:tcW w:w="740" w:type="dxa"/>
            <w:vAlign w:val="bottom"/>
            <w:shd w:val="clear" w:color="auto" w:fill="333333"/>
          </w:tcPr>
          <w:p>
            <w:pPr>
              <w:spacing w:after="0"/>
              <w:rPr>
                <w:sz w:val="15"/>
                <w:szCs w:val="15"/>
                <w:color w:val="auto"/>
              </w:rPr>
            </w:pPr>
          </w:p>
        </w:tc>
        <w:tc>
          <w:tcPr>
            <w:tcW w:w="940" w:type="dxa"/>
            <w:vAlign w:val="bottom"/>
            <w:shd w:val="clear" w:color="auto" w:fill="333333"/>
          </w:tcPr>
          <w:p>
            <w:pPr>
              <w:spacing w:after="0"/>
              <w:rPr>
                <w:sz w:val="15"/>
                <w:szCs w:val="15"/>
                <w:color w:val="auto"/>
              </w:rPr>
            </w:pPr>
          </w:p>
        </w:tc>
        <w:tc>
          <w:tcPr>
            <w:tcW w:w="820" w:type="dxa"/>
            <w:vAlign w:val="bottom"/>
            <w:shd w:val="clear" w:color="auto" w:fill="333333"/>
          </w:tcPr>
          <w:p>
            <w:pPr>
              <w:spacing w:after="0"/>
              <w:rPr>
                <w:sz w:val="15"/>
                <w:szCs w:val="15"/>
                <w:color w:val="auto"/>
              </w:rPr>
            </w:pPr>
          </w:p>
        </w:tc>
        <w:tc>
          <w:tcPr>
            <w:tcW w:w="580" w:type="dxa"/>
            <w:vAlign w:val="bottom"/>
            <w:shd w:val="clear" w:color="auto" w:fill="333333"/>
          </w:tcPr>
          <w:p>
            <w:pPr>
              <w:spacing w:after="0"/>
              <w:rPr>
                <w:sz w:val="15"/>
                <w:szCs w:val="15"/>
                <w:color w:val="auto"/>
              </w:rPr>
            </w:pPr>
          </w:p>
        </w:tc>
        <w:tc>
          <w:tcPr>
            <w:tcW w:w="940" w:type="dxa"/>
            <w:vAlign w:val="bottom"/>
            <w:shd w:val="clear" w:color="auto" w:fill="333333"/>
          </w:tcPr>
          <w:p>
            <w:pPr>
              <w:spacing w:after="0"/>
              <w:rPr>
                <w:sz w:val="15"/>
                <w:szCs w:val="15"/>
                <w:color w:val="auto"/>
              </w:rPr>
            </w:pPr>
          </w:p>
        </w:tc>
        <w:tc>
          <w:tcPr>
            <w:tcW w:w="1560" w:type="dxa"/>
            <w:vAlign w:val="bottom"/>
            <w:gridSpan w:val="3"/>
            <w:shd w:val="clear" w:color="auto" w:fill="333333"/>
          </w:tcPr>
          <w:p>
            <w:pPr>
              <w:jc w:val="right"/>
              <w:ind w:right="369"/>
              <w:spacing w:after="0"/>
              <w:rPr>
                <w:sz w:val="20"/>
                <w:szCs w:val="20"/>
                <w:color w:val="auto"/>
              </w:rPr>
            </w:pPr>
            <w:r>
              <w:rPr>
                <w:rFonts w:ascii="Arial" w:cs="Arial" w:eastAsia="Arial" w:hAnsi="Arial"/>
                <w:sz w:val="15"/>
                <w:szCs w:val="15"/>
                <w:color w:val="FFFFFF"/>
              </w:rPr>
              <w:t>$ MILLION</w:t>
            </w:r>
          </w:p>
        </w:tc>
      </w:tr>
      <w:tr>
        <w:trPr>
          <w:trHeight w:val="143"/>
        </w:trPr>
        <w:tc>
          <w:tcPr>
            <w:tcW w:w="50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ind w:right="10"/>
              <w:spacing w:after="0" w:line="143" w:lineRule="exact"/>
              <w:rPr>
                <w:sz w:val="20"/>
                <w:szCs w:val="20"/>
                <w:color w:val="auto"/>
              </w:rPr>
            </w:pPr>
            <w:r>
              <w:rPr>
                <w:rFonts w:ascii="Arial" w:cs="Arial" w:eastAsia="Arial" w:hAnsi="Arial"/>
                <w:sz w:val="13"/>
                <w:szCs w:val="13"/>
                <w:color w:val="auto"/>
              </w:rPr>
              <w:t>North America</w:t>
            </w:r>
          </w:p>
        </w:tc>
        <w:tc>
          <w:tcPr>
            <w:tcW w:w="780" w:type="dxa"/>
            <w:vAlign w:val="bottom"/>
            <w:gridSpan w:val="2"/>
          </w:tcPr>
          <w:p>
            <w:pPr>
              <w:jc w:val="right"/>
              <w:ind w:right="80"/>
              <w:spacing w:after="0" w:line="143" w:lineRule="exact"/>
              <w:rPr>
                <w:sz w:val="20"/>
                <w:szCs w:val="20"/>
                <w:color w:val="auto"/>
              </w:rPr>
            </w:pPr>
            <w:r>
              <w:rPr>
                <w:rFonts w:ascii="Arial" w:cs="Arial" w:eastAsia="Arial" w:hAnsi="Arial"/>
                <w:sz w:val="13"/>
                <w:szCs w:val="13"/>
                <w:color w:val="auto"/>
              </w:rPr>
              <w:t>South</w:t>
            </w:r>
          </w:p>
        </w:tc>
        <w:tc>
          <w:tcPr>
            <w:tcW w:w="780" w:type="dxa"/>
            <w:vAlign w:val="bottom"/>
          </w:tcPr>
          <w:p>
            <w:pPr>
              <w:spacing w:after="0"/>
              <w:rPr>
                <w:sz w:val="12"/>
                <w:szCs w:val="12"/>
                <w:color w:val="auto"/>
              </w:rPr>
            </w:pPr>
          </w:p>
        </w:tc>
      </w:tr>
      <w:tr>
        <w:trPr>
          <w:trHeight w:val="135"/>
        </w:trPr>
        <w:tc>
          <w:tcPr>
            <w:tcW w:w="500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jc w:val="right"/>
              <w:ind w:right="29"/>
              <w:spacing w:after="0" w:line="135" w:lineRule="exact"/>
              <w:rPr>
                <w:sz w:val="20"/>
                <w:szCs w:val="20"/>
                <w:color w:val="auto"/>
              </w:rPr>
            </w:pPr>
            <w:r>
              <w:rPr>
                <w:rFonts w:ascii="Arial" w:cs="Arial" w:eastAsia="Arial" w:hAnsi="Arial"/>
                <w:sz w:val="13"/>
                <w:szCs w:val="13"/>
                <w:color w:val="auto"/>
              </w:rPr>
              <w:t>Europe</w:t>
            </w:r>
          </w:p>
        </w:tc>
        <w:tc>
          <w:tcPr>
            <w:tcW w:w="740" w:type="dxa"/>
            <w:vAlign w:val="bottom"/>
            <w:tcBorders>
              <w:bottom w:val="single" w:sz="8" w:color="auto"/>
            </w:tcBorders>
          </w:tcPr>
          <w:p>
            <w:pPr>
              <w:jc w:val="right"/>
              <w:ind w:right="69"/>
              <w:spacing w:after="0" w:line="135" w:lineRule="exact"/>
              <w:rPr>
                <w:sz w:val="20"/>
                <w:szCs w:val="20"/>
                <w:color w:val="auto"/>
              </w:rPr>
            </w:pPr>
            <w:r>
              <w:rPr>
                <w:rFonts w:ascii="Arial" w:cs="Arial" w:eastAsia="Arial" w:hAnsi="Arial"/>
                <w:sz w:val="13"/>
                <w:szCs w:val="13"/>
                <w:color w:val="auto"/>
              </w:rPr>
              <w:t>Asia</w:t>
            </w:r>
          </w:p>
        </w:tc>
        <w:tc>
          <w:tcPr>
            <w:tcW w:w="940" w:type="dxa"/>
            <w:vAlign w:val="bottom"/>
            <w:tcBorders>
              <w:bottom w:val="single" w:sz="8" w:color="auto"/>
            </w:tcBorders>
          </w:tcPr>
          <w:p>
            <w:pPr>
              <w:jc w:val="right"/>
              <w:ind w:right="89"/>
              <w:spacing w:after="0" w:line="135" w:lineRule="exact"/>
              <w:rPr>
                <w:sz w:val="20"/>
                <w:szCs w:val="20"/>
                <w:color w:val="auto"/>
              </w:rPr>
            </w:pPr>
            <w:r>
              <w:rPr>
                <w:rFonts w:ascii="Arial" w:cs="Arial" w:eastAsia="Arial" w:hAnsi="Arial"/>
                <w:sz w:val="13"/>
                <w:szCs w:val="13"/>
                <w:color w:val="auto"/>
              </w:rPr>
              <w:t>Oceania[A]</w:t>
            </w:r>
          </w:p>
        </w:tc>
        <w:tc>
          <w:tcPr>
            <w:tcW w:w="820" w:type="dxa"/>
            <w:vAlign w:val="bottom"/>
            <w:tcBorders>
              <w:bottom w:val="single" w:sz="8" w:color="auto"/>
            </w:tcBorders>
          </w:tcPr>
          <w:p>
            <w:pPr>
              <w:jc w:val="right"/>
              <w:ind w:right="269"/>
              <w:spacing w:after="0" w:line="135" w:lineRule="exact"/>
              <w:rPr>
                <w:sz w:val="20"/>
                <w:szCs w:val="20"/>
                <w:color w:val="auto"/>
              </w:rPr>
            </w:pPr>
            <w:r>
              <w:rPr>
                <w:rFonts w:ascii="Arial" w:cs="Arial" w:eastAsia="Arial" w:hAnsi="Arial"/>
                <w:sz w:val="13"/>
                <w:szCs w:val="13"/>
                <w:color w:val="auto"/>
              </w:rPr>
              <w:t>Africa</w:t>
            </w:r>
          </w:p>
        </w:tc>
        <w:tc>
          <w:tcPr>
            <w:tcW w:w="58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USA</w:t>
            </w:r>
          </w:p>
        </w:tc>
        <w:tc>
          <w:tcPr>
            <w:tcW w:w="940" w:type="dxa"/>
            <w:vAlign w:val="bottom"/>
            <w:tcBorders>
              <w:bottom w:val="single" w:sz="8" w:color="auto"/>
            </w:tcBorders>
          </w:tcPr>
          <w:p>
            <w:pPr>
              <w:jc w:val="right"/>
              <w:ind w:right="10"/>
              <w:spacing w:after="0" w:line="135" w:lineRule="exact"/>
              <w:rPr>
                <w:sz w:val="20"/>
                <w:szCs w:val="20"/>
                <w:color w:val="auto"/>
              </w:rPr>
            </w:pPr>
            <w:r>
              <w:rPr>
                <w:rFonts w:ascii="Arial" w:cs="Arial" w:eastAsia="Arial" w:hAnsi="Arial"/>
                <w:sz w:val="13"/>
                <w:szCs w:val="13"/>
                <w:color w:val="auto"/>
              </w:rPr>
              <w:t>Canada</w:t>
            </w:r>
          </w:p>
        </w:tc>
        <w:tc>
          <w:tcPr>
            <w:tcW w:w="700" w:type="dxa"/>
            <w:vAlign w:val="bottom"/>
            <w:tcBorders>
              <w:bottom w:val="single" w:sz="8" w:color="auto"/>
            </w:tcBorders>
          </w:tcPr>
          <w:p>
            <w:pPr>
              <w:jc w:val="right"/>
              <w:spacing w:after="0" w:line="132" w:lineRule="exact"/>
              <w:rPr>
                <w:sz w:val="20"/>
                <w:szCs w:val="20"/>
                <w:color w:val="auto"/>
              </w:rPr>
            </w:pPr>
            <w:r>
              <w:rPr>
                <w:rFonts w:ascii="Arial" w:cs="Arial" w:eastAsia="Arial" w:hAnsi="Arial"/>
                <w:sz w:val="13"/>
                <w:szCs w:val="13"/>
                <w:color w:val="auto"/>
              </w:rPr>
              <w:t>America</w:t>
            </w:r>
          </w:p>
        </w:tc>
        <w:tc>
          <w:tcPr>
            <w:tcW w:w="80" w:type="dxa"/>
            <w:vAlign w:val="bottom"/>
          </w:tcPr>
          <w:p>
            <w:pPr>
              <w:spacing w:after="0"/>
              <w:rPr>
                <w:sz w:val="11"/>
                <w:szCs w:val="11"/>
                <w:color w:val="auto"/>
              </w:rPr>
            </w:pPr>
          </w:p>
        </w:tc>
        <w:tc>
          <w:tcPr>
            <w:tcW w:w="780" w:type="dxa"/>
            <w:vAlign w:val="bottom"/>
            <w:tcBorders>
              <w:bottom w:val="single" w:sz="8" w:color="auto"/>
            </w:tcBorders>
          </w:tcPr>
          <w:p>
            <w:pPr>
              <w:jc w:val="right"/>
              <w:ind w:right="29"/>
              <w:spacing w:after="0" w:line="135" w:lineRule="exact"/>
              <w:rPr>
                <w:sz w:val="20"/>
                <w:szCs w:val="20"/>
                <w:color w:val="auto"/>
              </w:rPr>
            </w:pPr>
            <w:r>
              <w:rPr>
                <w:rFonts w:ascii="Arial" w:cs="Arial" w:eastAsia="Arial" w:hAnsi="Arial"/>
                <w:sz w:val="13"/>
                <w:szCs w:val="13"/>
                <w:color w:val="auto"/>
              </w:rPr>
              <w:t>Total</w:t>
            </w:r>
          </w:p>
        </w:tc>
      </w:tr>
      <w:tr>
        <w:trPr>
          <w:trHeight w:val="160"/>
        </w:trPr>
        <w:tc>
          <w:tcPr>
            <w:tcW w:w="5000" w:type="dxa"/>
            <w:vAlign w:val="bottom"/>
          </w:tcPr>
          <w:p>
            <w:pPr>
              <w:spacing w:after="0"/>
              <w:rPr>
                <w:sz w:val="20"/>
                <w:szCs w:val="20"/>
                <w:color w:val="auto"/>
              </w:rPr>
            </w:pPr>
            <w:r>
              <w:rPr>
                <w:rFonts w:ascii="Arial" w:cs="Arial" w:eastAsia="Arial" w:hAnsi="Arial"/>
                <w:sz w:val="14"/>
                <w:szCs w:val="14"/>
                <w:color w:val="auto"/>
              </w:rPr>
              <w:t>Future cash inflows</w:t>
            </w:r>
          </w:p>
        </w:tc>
        <w:tc>
          <w:tcPr>
            <w:tcW w:w="840" w:type="dxa"/>
            <w:vAlign w:val="bottom"/>
          </w:tcPr>
          <w:p>
            <w:pPr>
              <w:jc w:val="right"/>
              <w:ind w:right="29"/>
              <w:spacing w:after="0"/>
              <w:rPr>
                <w:sz w:val="20"/>
                <w:szCs w:val="20"/>
                <w:color w:val="auto"/>
              </w:rPr>
            </w:pPr>
            <w:r>
              <w:rPr>
                <w:rFonts w:ascii="Arial" w:cs="Arial" w:eastAsia="Arial" w:hAnsi="Arial"/>
                <w:sz w:val="14"/>
                <w:szCs w:val="14"/>
                <w:color w:val="auto"/>
              </w:rPr>
              <w:t>82,091</w:t>
            </w:r>
          </w:p>
        </w:tc>
        <w:tc>
          <w:tcPr>
            <w:tcW w:w="740" w:type="dxa"/>
            <w:vAlign w:val="bottom"/>
          </w:tcPr>
          <w:p>
            <w:pPr>
              <w:jc w:val="right"/>
              <w:ind w:right="69"/>
              <w:spacing w:after="0"/>
              <w:rPr>
                <w:sz w:val="20"/>
                <w:szCs w:val="20"/>
                <w:color w:val="auto"/>
              </w:rPr>
            </w:pPr>
            <w:r>
              <w:rPr>
                <w:rFonts w:ascii="Arial" w:cs="Arial" w:eastAsia="Arial" w:hAnsi="Arial"/>
                <w:sz w:val="14"/>
                <w:szCs w:val="14"/>
                <w:color w:val="auto"/>
              </w:rPr>
              <w:t>102,607</w:t>
            </w:r>
          </w:p>
        </w:tc>
        <w:tc>
          <w:tcPr>
            <w:tcW w:w="940" w:type="dxa"/>
            <w:vAlign w:val="bottom"/>
          </w:tcPr>
          <w:p>
            <w:pPr>
              <w:jc w:val="right"/>
              <w:ind w:right="249"/>
              <w:spacing w:after="0"/>
              <w:rPr>
                <w:sz w:val="20"/>
                <w:szCs w:val="20"/>
                <w:color w:val="auto"/>
              </w:rPr>
            </w:pPr>
            <w:r>
              <w:rPr>
                <w:rFonts w:ascii="Arial" w:cs="Arial" w:eastAsia="Arial" w:hAnsi="Arial"/>
                <w:sz w:val="14"/>
                <w:szCs w:val="14"/>
                <w:color w:val="auto"/>
              </w:rPr>
              <w:t>15,814</w:t>
            </w:r>
          </w:p>
        </w:tc>
        <w:tc>
          <w:tcPr>
            <w:tcW w:w="820" w:type="dxa"/>
            <w:vAlign w:val="bottom"/>
          </w:tcPr>
          <w:p>
            <w:pPr>
              <w:jc w:val="right"/>
              <w:ind w:right="269"/>
              <w:spacing w:after="0"/>
              <w:rPr>
                <w:sz w:val="20"/>
                <w:szCs w:val="20"/>
                <w:color w:val="auto"/>
              </w:rPr>
            </w:pPr>
            <w:r>
              <w:rPr>
                <w:rFonts w:ascii="Arial" w:cs="Arial" w:eastAsia="Arial" w:hAnsi="Arial"/>
                <w:sz w:val="14"/>
                <w:szCs w:val="14"/>
                <w:color w:val="auto"/>
              </w:rPr>
              <w:t>–</w:t>
            </w:r>
          </w:p>
        </w:tc>
        <w:tc>
          <w:tcPr>
            <w:tcW w:w="580" w:type="dxa"/>
            <w:vAlign w:val="bottom"/>
          </w:tcPr>
          <w:p>
            <w:pPr>
              <w:jc w:val="right"/>
              <w:spacing w:after="0"/>
              <w:rPr>
                <w:sz w:val="20"/>
                <w:szCs w:val="20"/>
                <w:color w:val="auto"/>
              </w:rPr>
            </w:pPr>
            <w:r>
              <w:rPr>
                <w:rFonts w:ascii="Arial" w:cs="Arial" w:eastAsia="Arial" w:hAnsi="Arial"/>
                <w:sz w:val="14"/>
                <w:szCs w:val="14"/>
                <w:color w:val="auto"/>
              </w:rPr>
              <w:t>31,479</w:t>
            </w:r>
          </w:p>
        </w:tc>
        <w:tc>
          <w:tcPr>
            <w:tcW w:w="940" w:type="dxa"/>
            <w:vAlign w:val="bottom"/>
          </w:tcPr>
          <w:p>
            <w:pPr>
              <w:jc w:val="right"/>
              <w:ind w:right="10"/>
              <w:spacing w:after="0"/>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80"/>
              <w:spacing w:after="0"/>
              <w:rPr>
                <w:sz w:val="20"/>
                <w:szCs w:val="20"/>
                <w:color w:val="auto"/>
              </w:rPr>
            </w:pPr>
            <w:r>
              <w:rPr>
                <w:rFonts w:ascii="Arial" w:cs="Arial" w:eastAsia="Arial" w:hAnsi="Arial"/>
                <w:sz w:val="14"/>
                <w:szCs w:val="14"/>
                <w:color w:val="auto"/>
              </w:rPr>
              <w:t>1,867</w:t>
            </w:r>
          </w:p>
        </w:tc>
        <w:tc>
          <w:tcPr>
            <w:tcW w:w="780" w:type="dxa"/>
            <w:vAlign w:val="bottom"/>
          </w:tcPr>
          <w:p>
            <w:pPr>
              <w:jc w:val="right"/>
              <w:ind w:right="29"/>
              <w:spacing w:after="0"/>
              <w:rPr>
                <w:sz w:val="20"/>
                <w:szCs w:val="20"/>
                <w:color w:val="auto"/>
              </w:rPr>
            </w:pPr>
            <w:r>
              <w:rPr>
                <w:rFonts w:ascii="Arial" w:cs="Arial" w:eastAsia="Arial" w:hAnsi="Arial"/>
                <w:sz w:val="14"/>
                <w:szCs w:val="14"/>
                <w:color w:val="auto"/>
              </w:rPr>
              <w:t>233,858</w:t>
            </w:r>
          </w:p>
        </w:tc>
      </w:tr>
      <w:tr>
        <w:trPr>
          <w:trHeight w:val="162"/>
        </w:trPr>
        <w:tc>
          <w:tcPr>
            <w:tcW w:w="5000" w:type="dxa"/>
            <w:vAlign w:val="bottom"/>
          </w:tcPr>
          <w:p>
            <w:pPr>
              <w:spacing w:after="0"/>
              <w:rPr>
                <w:sz w:val="20"/>
                <w:szCs w:val="20"/>
                <w:color w:val="auto"/>
              </w:rPr>
            </w:pPr>
            <w:r>
              <w:rPr>
                <w:rFonts w:ascii="Arial" w:cs="Arial" w:eastAsia="Arial" w:hAnsi="Arial"/>
                <w:sz w:val="14"/>
                <w:szCs w:val="14"/>
                <w:color w:val="auto"/>
              </w:rPr>
              <w:t>Future production costs</w:t>
            </w:r>
          </w:p>
        </w:tc>
        <w:tc>
          <w:tcPr>
            <w:tcW w:w="840" w:type="dxa"/>
            <w:vAlign w:val="bottom"/>
          </w:tcPr>
          <w:p>
            <w:pPr>
              <w:jc w:val="right"/>
              <w:ind w:right="29"/>
              <w:spacing w:after="0"/>
              <w:rPr>
                <w:sz w:val="20"/>
                <w:szCs w:val="20"/>
                <w:color w:val="auto"/>
              </w:rPr>
            </w:pPr>
            <w:r>
              <w:rPr>
                <w:rFonts w:ascii="Arial" w:cs="Arial" w:eastAsia="Arial" w:hAnsi="Arial"/>
                <w:sz w:val="14"/>
                <w:szCs w:val="14"/>
                <w:color w:val="auto"/>
              </w:rPr>
              <w:t>57,542</w:t>
            </w:r>
          </w:p>
        </w:tc>
        <w:tc>
          <w:tcPr>
            <w:tcW w:w="740" w:type="dxa"/>
            <w:vAlign w:val="bottom"/>
          </w:tcPr>
          <w:p>
            <w:pPr>
              <w:jc w:val="right"/>
              <w:ind w:right="69"/>
              <w:spacing w:after="0"/>
              <w:rPr>
                <w:sz w:val="20"/>
                <w:szCs w:val="20"/>
                <w:color w:val="auto"/>
              </w:rPr>
            </w:pPr>
            <w:r>
              <w:rPr>
                <w:rFonts w:ascii="Arial" w:cs="Arial" w:eastAsia="Arial" w:hAnsi="Arial"/>
                <w:sz w:val="14"/>
                <w:szCs w:val="14"/>
                <w:color w:val="auto"/>
              </w:rPr>
              <w:t>47,685</w:t>
            </w:r>
          </w:p>
        </w:tc>
        <w:tc>
          <w:tcPr>
            <w:tcW w:w="940" w:type="dxa"/>
            <w:vAlign w:val="bottom"/>
          </w:tcPr>
          <w:p>
            <w:pPr>
              <w:jc w:val="right"/>
              <w:ind w:right="249"/>
              <w:spacing w:after="0"/>
              <w:rPr>
                <w:sz w:val="20"/>
                <w:szCs w:val="20"/>
                <w:color w:val="auto"/>
              </w:rPr>
            </w:pPr>
            <w:r>
              <w:rPr>
                <w:rFonts w:ascii="Arial" w:cs="Arial" w:eastAsia="Arial" w:hAnsi="Arial"/>
                <w:sz w:val="14"/>
                <w:szCs w:val="14"/>
                <w:color w:val="auto"/>
              </w:rPr>
              <w:t>3,710</w:t>
            </w:r>
          </w:p>
        </w:tc>
        <w:tc>
          <w:tcPr>
            <w:tcW w:w="820" w:type="dxa"/>
            <w:vAlign w:val="bottom"/>
          </w:tcPr>
          <w:p>
            <w:pPr>
              <w:jc w:val="right"/>
              <w:ind w:right="269"/>
              <w:spacing w:after="0"/>
              <w:rPr>
                <w:sz w:val="20"/>
                <w:szCs w:val="20"/>
                <w:color w:val="auto"/>
              </w:rPr>
            </w:pPr>
            <w:r>
              <w:rPr>
                <w:rFonts w:ascii="Arial" w:cs="Arial" w:eastAsia="Arial" w:hAnsi="Arial"/>
                <w:sz w:val="14"/>
                <w:szCs w:val="14"/>
                <w:color w:val="auto"/>
              </w:rPr>
              <w:t>–</w:t>
            </w:r>
          </w:p>
        </w:tc>
        <w:tc>
          <w:tcPr>
            <w:tcW w:w="580" w:type="dxa"/>
            <w:vAlign w:val="bottom"/>
          </w:tcPr>
          <w:p>
            <w:pPr>
              <w:jc w:val="right"/>
              <w:spacing w:after="0"/>
              <w:rPr>
                <w:sz w:val="20"/>
                <w:szCs w:val="20"/>
                <w:color w:val="auto"/>
              </w:rPr>
            </w:pPr>
            <w:r>
              <w:rPr>
                <w:rFonts w:ascii="Arial" w:cs="Arial" w:eastAsia="Arial" w:hAnsi="Arial"/>
                <w:sz w:val="14"/>
                <w:szCs w:val="14"/>
                <w:color w:val="auto"/>
              </w:rPr>
              <w:t>9,434</w:t>
            </w:r>
          </w:p>
        </w:tc>
        <w:tc>
          <w:tcPr>
            <w:tcW w:w="940" w:type="dxa"/>
            <w:vAlign w:val="bottom"/>
          </w:tcPr>
          <w:p>
            <w:pPr>
              <w:jc w:val="right"/>
              <w:ind w:right="10"/>
              <w:spacing w:after="0"/>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80"/>
              <w:spacing w:after="0"/>
              <w:rPr>
                <w:sz w:val="20"/>
                <w:szCs w:val="20"/>
                <w:color w:val="auto"/>
              </w:rPr>
            </w:pPr>
            <w:r>
              <w:rPr>
                <w:rFonts w:ascii="Arial" w:cs="Arial" w:eastAsia="Arial" w:hAnsi="Arial"/>
                <w:sz w:val="14"/>
                <w:szCs w:val="14"/>
                <w:color w:val="auto"/>
              </w:rPr>
              <w:t>827</w:t>
            </w:r>
          </w:p>
        </w:tc>
        <w:tc>
          <w:tcPr>
            <w:tcW w:w="780" w:type="dxa"/>
            <w:vAlign w:val="bottom"/>
          </w:tcPr>
          <w:p>
            <w:pPr>
              <w:jc w:val="right"/>
              <w:ind w:right="29"/>
              <w:spacing w:after="0"/>
              <w:rPr>
                <w:sz w:val="20"/>
                <w:szCs w:val="20"/>
                <w:color w:val="auto"/>
              </w:rPr>
            </w:pPr>
            <w:r>
              <w:rPr>
                <w:rFonts w:ascii="Arial" w:cs="Arial" w:eastAsia="Arial" w:hAnsi="Arial"/>
                <w:sz w:val="14"/>
                <w:szCs w:val="14"/>
                <w:color w:val="auto"/>
              </w:rPr>
              <w:t>119,198</w:t>
            </w:r>
          </w:p>
        </w:tc>
      </w:tr>
      <w:tr>
        <w:trPr>
          <w:trHeight w:val="162"/>
        </w:trPr>
        <w:tc>
          <w:tcPr>
            <w:tcW w:w="5000" w:type="dxa"/>
            <w:vAlign w:val="bottom"/>
          </w:tcPr>
          <w:p>
            <w:pPr>
              <w:spacing w:after="0"/>
              <w:rPr>
                <w:sz w:val="20"/>
                <w:szCs w:val="20"/>
                <w:color w:val="auto"/>
              </w:rPr>
            </w:pPr>
            <w:r>
              <w:rPr>
                <w:rFonts w:ascii="Arial" w:cs="Arial" w:eastAsia="Arial" w:hAnsi="Arial"/>
                <w:sz w:val="14"/>
                <w:szCs w:val="14"/>
                <w:color w:val="auto"/>
              </w:rPr>
              <w:t>Future development costs</w:t>
            </w:r>
          </w:p>
        </w:tc>
        <w:tc>
          <w:tcPr>
            <w:tcW w:w="840" w:type="dxa"/>
            <w:vAlign w:val="bottom"/>
          </w:tcPr>
          <w:p>
            <w:pPr>
              <w:jc w:val="right"/>
              <w:ind w:right="29"/>
              <w:spacing w:after="0"/>
              <w:rPr>
                <w:sz w:val="20"/>
                <w:szCs w:val="20"/>
                <w:color w:val="auto"/>
              </w:rPr>
            </w:pPr>
            <w:r>
              <w:rPr>
                <w:rFonts w:ascii="Arial" w:cs="Arial" w:eastAsia="Arial" w:hAnsi="Arial"/>
                <w:sz w:val="14"/>
                <w:szCs w:val="14"/>
                <w:color w:val="auto"/>
              </w:rPr>
              <w:t>1,817</w:t>
            </w:r>
          </w:p>
        </w:tc>
        <w:tc>
          <w:tcPr>
            <w:tcW w:w="740" w:type="dxa"/>
            <w:vAlign w:val="bottom"/>
          </w:tcPr>
          <w:p>
            <w:pPr>
              <w:jc w:val="right"/>
              <w:ind w:right="69"/>
              <w:spacing w:after="0"/>
              <w:rPr>
                <w:sz w:val="20"/>
                <w:szCs w:val="20"/>
                <w:color w:val="auto"/>
              </w:rPr>
            </w:pPr>
            <w:r>
              <w:rPr>
                <w:rFonts w:ascii="Arial" w:cs="Arial" w:eastAsia="Arial" w:hAnsi="Arial"/>
                <w:sz w:val="14"/>
                <w:szCs w:val="14"/>
                <w:color w:val="auto"/>
              </w:rPr>
              <w:t>7,082</w:t>
            </w:r>
          </w:p>
        </w:tc>
        <w:tc>
          <w:tcPr>
            <w:tcW w:w="940" w:type="dxa"/>
            <w:vAlign w:val="bottom"/>
          </w:tcPr>
          <w:p>
            <w:pPr>
              <w:jc w:val="right"/>
              <w:ind w:right="249"/>
              <w:spacing w:after="0"/>
              <w:rPr>
                <w:sz w:val="20"/>
                <w:szCs w:val="20"/>
                <w:color w:val="auto"/>
              </w:rPr>
            </w:pPr>
            <w:r>
              <w:rPr>
                <w:rFonts w:ascii="Arial" w:cs="Arial" w:eastAsia="Arial" w:hAnsi="Arial"/>
                <w:sz w:val="14"/>
                <w:szCs w:val="14"/>
                <w:color w:val="auto"/>
              </w:rPr>
              <w:t>4,188</w:t>
            </w:r>
          </w:p>
        </w:tc>
        <w:tc>
          <w:tcPr>
            <w:tcW w:w="820" w:type="dxa"/>
            <w:vAlign w:val="bottom"/>
          </w:tcPr>
          <w:p>
            <w:pPr>
              <w:jc w:val="right"/>
              <w:ind w:right="269"/>
              <w:spacing w:after="0"/>
              <w:rPr>
                <w:sz w:val="20"/>
                <w:szCs w:val="20"/>
                <w:color w:val="auto"/>
              </w:rPr>
            </w:pPr>
            <w:r>
              <w:rPr>
                <w:rFonts w:ascii="Arial" w:cs="Arial" w:eastAsia="Arial" w:hAnsi="Arial"/>
                <w:sz w:val="14"/>
                <w:szCs w:val="14"/>
                <w:color w:val="auto"/>
              </w:rPr>
              <w:t>–</w:t>
            </w:r>
          </w:p>
        </w:tc>
        <w:tc>
          <w:tcPr>
            <w:tcW w:w="580" w:type="dxa"/>
            <w:vAlign w:val="bottom"/>
          </w:tcPr>
          <w:p>
            <w:pPr>
              <w:jc w:val="right"/>
              <w:spacing w:after="0"/>
              <w:rPr>
                <w:sz w:val="20"/>
                <w:szCs w:val="20"/>
                <w:color w:val="auto"/>
              </w:rPr>
            </w:pPr>
            <w:r>
              <w:rPr>
                <w:rFonts w:ascii="Arial" w:cs="Arial" w:eastAsia="Arial" w:hAnsi="Arial"/>
                <w:sz w:val="14"/>
                <w:szCs w:val="14"/>
                <w:color w:val="auto"/>
              </w:rPr>
              <w:t>4,087</w:t>
            </w:r>
          </w:p>
        </w:tc>
        <w:tc>
          <w:tcPr>
            <w:tcW w:w="940" w:type="dxa"/>
            <w:vAlign w:val="bottom"/>
          </w:tcPr>
          <w:p>
            <w:pPr>
              <w:jc w:val="right"/>
              <w:ind w:right="10"/>
              <w:spacing w:after="0"/>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80"/>
              <w:spacing w:after="0"/>
              <w:rPr>
                <w:sz w:val="20"/>
                <w:szCs w:val="20"/>
                <w:color w:val="auto"/>
              </w:rPr>
            </w:pPr>
            <w:r>
              <w:rPr>
                <w:rFonts w:ascii="Arial" w:cs="Arial" w:eastAsia="Arial" w:hAnsi="Arial"/>
                <w:sz w:val="14"/>
                <w:szCs w:val="14"/>
                <w:color w:val="auto"/>
              </w:rPr>
              <w:t>71</w:t>
            </w:r>
          </w:p>
        </w:tc>
        <w:tc>
          <w:tcPr>
            <w:tcW w:w="780" w:type="dxa"/>
            <w:vAlign w:val="bottom"/>
          </w:tcPr>
          <w:p>
            <w:pPr>
              <w:jc w:val="right"/>
              <w:ind w:right="29"/>
              <w:spacing w:after="0"/>
              <w:rPr>
                <w:sz w:val="20"/>
                <w:szCs w:val="20"/>
                <w:color w:val="auto"/>
              </w:rPr>
            </w:pPr>
            <w:r>
              <w:rPr>
                <w:rFonts w:ascii="Arial" w:cs="Arial" w:eastAsia="Arial" w:hAnsi="Arial"/>
                <w:sz w:val="14"/>
                <w:szCs w:val="14"/>
                <w:color w:val="auto"/>
              </w:rPr>
              <w:t>17,245</w:t>
            </w:r>
          </w:p>
        </w:tc>
      </w:tr>
      <w:tr>
        <w:trPr>
          <w:trHeight w:val="157"/>
        </w:trPr>
        <w:tc>
          <w:tcPr>
            <w:tcW w:w="5000" w:type="dxa"/>
            <w:vAlign w:val="bottom"/>
            <w:tcBorders>
              <w:bottom w:val="single" w:sz="8" w:color="auto"/>
            </w:tcBorders>
          </w:tcPr>
          <w:p>
            <w:pPr>
              <w:spacing w:after="0" w:line="157" w:lineRule="exact"/>
              <w:rPr>
                <w:sz w:val="20"/>
                <w:szCs w:val="20"/>
                <w:color w:val="auto"/>
              </w:rPr>
            </w:pPr>
            <w:r>
              <w:rPr>
                <w:rFonts w:ascii="Arial" w:cs="Arial" w:eastAsia="Arial" w:hAnsi="Arial"/>
                <w:sz w:val="14"/>
                <w:szCs w:val="14"/>
                <w:color w:val="auto"/>
              </w:rPr>
              <w:t>Future tax expenses</w:t>
            </w:r>
          </w:p>
        </w:tc>
        <w:tc>
          <w:tcPr>
            <w:tcW w:w="840" w:type="dxa"/>
            <w:vAlign w:val="bottom"/>
            <w:tcBorders>
              <w:bottom w:val="single" w:sz="8" w:color="auto"/>
            </w:tcBorders>
          </w:tcPr>
          <w:p>
            <w:pPr>
              <w:jc w:val="right"/>
              <w:ind w:right="29"/>
              <w:spacing w:after="0" w:line="157" w:lineRule="exact"/>
              <w:rPr>
                <w:sz w:val="20"/>
                <w:szCs w:val="20"/>
                <w:color w:val="auto"/>
              </w:rPr>
            </w:pPr>
            <w:r>
              <w:rPr>
                <w:rFonts w:ascii="Arial" w:cs="Arial" w:eastAsia="Arial" w:hAnsi="Arial"/>
                <w:sz w:val="14"/>
                <w:szCs w:val="14"/>
                <w:color w:val="auto"/>
              </w:rPr>
              <w:t>8,894</w:t>
            </w:r>
          </w:p>
        </w:tc>
        <w:tc>
          <w:tcPr>
            <w:tcW w:w="740" w:type="dxa"/>
            <w:vAlign w:val="bottom"/>
            <w:tcBorders>
              <w:bottom w:val="single" w:sz="8" w:color="auto"/>
            </w:tcBorders>
          </w:tcPr>
          <w:p>
            <w:pPr>
              <w:jc w:val="right"/>
              <w:ind w:right="69"/>
              <w:spacing w:after="0" w:line="157" w:lineRule="exact"/>
              <w:rPr>
                <w:sz w:val="20"/>
                <w:szCs w:val="20"/>
                <w:color w:val="auto"/>
              </w:rPr>
            </w:pPr>
            <w:r>
              <w:rPr>
                <w:rFonts w:ascii="Arial" w:cs="Arial" w:eastAsia="Arial" w:hAnsi="Arial"/>
                <w:sz w:val="14"/>
                <w:szCs w:val="14"/>
                <w:color w:val="auto"/>
              </w:rPr>
              <w:t>19,740</w:t>
            </w:r>
          </w:p>
        </w:tc>
        <w:tc>
          <w:tcPr>
            <w:tcW w:w="940" w:type="dxa"/>
            <w:vAlign w:val="bottom"/>
            <w:tcBorders>
              <w:bottom w:val="single" w:sz="8" w:color="auto"/>
            </w:tcBorders>
          </w:tcPr>
          <w:p>
            <w:pPr>
              <w:jc w:val="right"/>
              <w:ind w:right="249"/>
              <w:spacing w:after="0" w:line="157" w:lineRule="exact"/>
              <w:rPr>
                <w:sz w:val="20"/>
                <w:szCs w:val="20"/>
                <w:color w:val="auto"/>
              </w:rPr>
            </w:pPr>
            <w:r>
              <w:rPr>
                <w:rFonts w:ascii="Arial" w:cs="Arial" w:eastAsia="Arial" w:hAnsi="Arial"/>
                <w:sz w:val="14"/>
                <w:szCs w:val="14"/>
                <w:color w:val="auto"/>
              </w:rPr>
              <w:t>2,399</w:t>
            </w:r>
          </w:p>
        </w:tc>
        <w:tc>
          <w:tcPr>
            <w:tcW w:w="820" w:type="dxa"/>
            <w:vAlign w:val="bottom"/>
            <w:tcBorders>
              <w:bottom w:val="single" w:sz="8" w:color="auto"/>
            </w:tcBorders>
          </w:tcPr>
          <w:p>
            <w:pPr>
              <w:jc w:val="right"/>
              <w:ind w:right="269"/>
              <w:spacing w:after="0" w:line="157" w:lineRule="exact"/>
              <w:rPr>
                <w:sz w:val="20"/>
                <w:szCs w:val="20"/>
                <w:color w:val="auto"/>
              </w:rPr>
            </w:pPr>
            <w:r>
              <w:rPr>
                <w:rFonts w:ascii="Arial" w:cs="Arial" w:eastAsia="Arial" w:hAnsi="Arial"/>
                <w:sz w:val="14"/>
                <w:szCs w:val="14"/>
                <w:color w:val="auto"/>
              </w:rPr>
              <w:t>–</w:t>
            </w:r>
          </w:p>
        </w:tc>
        <w:tc>
          <w:tcPr>
            <w:tcW w:w="580" w:type="dxa"/>
            <w:vAlign w:val="bottom"/>
            <w:tcBorders>
              <w:bottom w:val="single" w:sz="8" w:color="auto"/>
            </w:tcBorders>
          </w:tcPr>
          <w:p>
            <w:pPr>
              <w:jc w:val="right"/>
              <w:spacing w:after="0" w:line="157" w:lineRule="exact"/>
              <w:rPr>
                <w:sz w:val="20"/>
                <w:szCs w:val="20"/>
                <w:color w:val="auto"/>
              </w:rPr>
            </w:pPr>
            <w:r>
              <w:rPr>
                <w:rFonts w:ascii="Arial" w:cs="Arial" w:eastAsia="Arial" w:hAnsi="Arial"/>
                <w:sz w:val="14"/>
                <w:szCs w:val="14"/>
                <w:color w:val="auto"/>
              </w:rPr>
              <w:t>6,846</w:t>
            </w:r>
          </w:p>
        </w:tc>
        <w:tc>
          <w:tcPr>
            <w:tcW w:w="940" w:type="dxa"/>
            <w:vAlign w:val="bottom"/>
            <w:tcBorders>
              <w:bottom w:val="single" w:sz="8" w:color="auto"/>
            </w:tcBorders>
          </w:tcPr>
          <w:p>
            <w:pPr>
              <w:jc w:val="right"/>
              <w:ind w:right="10"/>
              <w:spacing w:after="0" w:line="157" w:lineRule="exact"/>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gridSpan w:val="2"/>
          </w:tcPr>
          <w:p>
            <w:pPr>
              <w:jc w:val="right"/>
              <w:ind w:right="80"/>
              <w:spacing w:after="0" w:line="157" w:lineRule="exact"/>
              <w:rPr>
                <w:sz w:val="20"/>
                <w:szCs w:val="20"/>
                <w:color w:val="auto"/>
              </w:rPr>
            </w:pPr>
            <w:r>
              <w:rPr>
                <w:rFonts w:ascii="Arial" w:cs="Arial" w:eastAsia="Arial" w:hAnsi="Arial"/>
                <w:sz w:val="14"/>
                <w:szCs w:val="14"/>
                <w:color w:val="auto"/>
              </w:rPr>
              <w:t>520</w:t>
            </w:r>
          </w:p>
        </w:tc>
        <w:tc>
          <w:tcPr>
            <w:tcW w:w="780" w:type="dxa"/>
            <w:vAlign w:val="bottom"/>
            <w:tcBorders>
              <w:bottom w:val="single" w:sz="8" w:color="auto"/>
            </w:tcBorders>
          </w:tcPr>
          <w:p>
            <w:pPr>
              <w:jc w:val="right"/>
              <w:ind w:right="29"/>
              <w:spacing w:after="0" w:line="157" w:lineRule="exact"/>
              <w:rPr>
                <w:sz w:val="20"/>
                <w:szCs w:val="20"/>
                <w:color w:val="auto"/>
              </w:rPr>
            </w:pPr>
            <w:r>
              <w:rPr>
                <w:rFonts w:ascii="Arial" w:cs="Arial" w:eastAsia="Arial" w:hAnsi="Arial"/>
                <w:sz w:val="14"/>
                <w:szCs w:val="14"/>
                <w:color w:val="auto"/>
              </w:rPr>
              <w:t>38,399</w:t>
            </w:r>
          </w:p>
        </w:tc>
      </w:tr>
      <w:tr>
        <w:trPr>
          <w:trHeight w:val="160"/>
        </w:trPr>
        <w:tc>
          <w:tcPr>
            <w:tcW w:w="5000" w:type="dxa"/>
            <w:vAlign w:val="bottom"/>
          </w:tcPr>
          <w:p>
            <w:pPr>
              <w:spacing w:after="0"/>
              <w:rPr>
                <w:sz w:val="20"/>
                <w:szCs w:val="20"/>
                <w:color w:val="auto"/>
              </w:rPr>
            </w:pPr>
            <w:r>
              <w:rPr>
                <w:rFonts w:ascii="Arial" w:cs="Arial" w:eastAsia="Arial" w:hAnsi="Arial"/>
                <w:sz w:val="14"/>
                <w:szCs w:val="14"/>
                <w:color w:val="auto"/>
              </w:rPr>
              <w:t>Future net cash flows</w:t>
            </w:r>
          </w:p>
        </w:tc>
        <w:tc>
          <w:tcPr>
            <w:tcW w:w="840" w:type="dxa"/>
            <w:vAlign w:val="bottom"/>
          </w:tcPr>
          <w:p>
            <w:pPr>
              <w:jc w:val="right"/>
              <w:ind w:right="29"/>
              <w:spacing w:after="0"/>
              <w:rPr>
                <w:sz w:val="20"/>
                <w:szCs w:val="20"/>
                <w:color w:val="auto"/>
              </w:rPr>
            </w:pPr>
            <w:r>
              <w:rPr>
                <w:rFonts w:ascii="Arial" w:cs="Arial" w:eastAsia="Arial" w:hAnsi="Arial"/>
                <w:sz w:val="14"/>
                <w:szCs w:val="14"/>
                <w:color w:val="auto"/>
              </w:rPr>
              <w:t>13,838</w:t>
            </w:r>
          </w:p>
        </w:tc>
        <w:tc>
          <w:tcPr>
            <w:tcW w:w="740" w:type="dxa"/>
            <w:vAlign w:val="bottom"/>
          </w:tcPr>
          <w:p>
            <w:pPr>
              <w:jc w:val="right"/>
              <w:ind w:right="69"/>
              <w:spacing w:after="0"/>
              <w:rPr>
                <w:sz w:val="20"/>
                <w:szCs w:val="20"/>
                <w:color w:val="auto"/>
              </w:rPr>
            </w:pPr>
            <w:r>
              <w:rPr>
                <w:rFonts w:ascii="Arial" w:cs="Arial" w:eastAsia="Arial" w:hAnsi="Arial"/>
                <w:sz w:val="14"/>
                <w:szCs w:val="14"/>
                <w:color w:val="auto"/>
              </w:rPr>
              <w:t>28,100</w:t>
            </w:r>
          </w:p>
        </w:tc>
        <w:tc>
          <w:tcPr>
            <w:tcW w:w="940" w:type="dxa"/>
            <w:vAlign w:val="bottom"/>
          </w:tcPr>
          <w:p>
            <w:pPr>
              <w:jc w:val="right"/>
              <w:ind w:right="249"/>
              <w:spacing w:after="0"/>
              <w:rPr>
                <w:sz w:val="20"/>
                <w:szCs w:val="20"/>
                <w:color w:val="auto"/>
              </w:rPr>
            </w:pPr>
            <w:r>
              <w:rPr>
                <w:rFonts w:ascii="Arial" w:cs="Arial" w:eastAsia="Arial" w:hAnsi="Arial"/>
                <w:sz w:val="14"/>
                <w:szCs w:val="14"/>
                <w:color w:val="auto"/>
              </w:rPr>
              <w:t>5,517</w:t>
            </w:r>
          </w:p>
        </w:tc>
        <w:tc>
          <w:tcPr>
            <w:tcW w:w="820" w:type="dxa"/>
            <w:vAlign w:val="bottom"/>
          </w:tcPr>
          <w:p>
            <w:pPr>
              <w:jc w:val="right"/>
              <w:ind w:right="269"/>
              <w:spacing w:after="0"/>
              <w:rPr>
                <w:sz w:val="20"/>
                <w:szCs w:val="20"/>
                <w:color w:val="auto"/>
              </w:rPr>
            </w:pPr>
            <w:r>
              <w:rPr>
                <w:rFonts w:ascii="Arial" w:cs="Arial" w:eastAsia="Arial" w:hAnsi="Arial"/>
                <w:sz w:val="14"/>
                <w:szCs w:val="14"/>
                <w:color w:val="auto"/>
              </w:rPr>
              <w:t>–</w:t>
            </w:r>
          </w:p>
        </w:tc>
        <w:tc>
          <w:tcPr>
            <w:tcW w:w="580" w:type="dxa"/>
            <w:vAlign w:val="bottom"/>
          </w:tcPr>
          <w:p>
            <w:pPr>
              <w:jc w:val="right"/>
              <w:spacing w:after="0"/>
              <w:rPr>
                <w:sz w:val="20"/>
                <w:szCs w:val="20"/>
                <w:color w:val="auto"/>
              </w:rPr>
            </w:pPr>
            <w:r>
              <w:rPr>
                <w:rFonts w:ascii="Arial" w:cs="Arial" w:eastAsia="Arial" w:hAnsi="Arial"/>
                <w:sz w:val="14"/>
                <w:szCs w:val="14"/>
                <w:color w:val="auto"/>
              </w:rPr>
              <w:t>11,112</w:t>
            </w:r>
          </w:p>
        </w:tc>
        <w:tc>
          <w:tcPr>
            <w:tcW w:w="940" w:type="dxa"/>
            <w:vAlign w:val="bottom"/>
          </w:tcPr>
          <w:p>
            <w:pPr>
              <w:jc w:val="right"/>
              <w:ind w:right="10"/>
              <w:spacing w:after="0"/>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80"/>
              <w:spacing w:after="0"/>
              <w:rPr>
                <w:sz w:val="20"/>
                <w:szCs w:val="20"/>
                <w:color w:val="auto"/>
              </w:rPr>
            </w:pPr>
            <w:r>
              <w:rPr>
                <w:rFonts w:ascii="Arial" w:cs="Arial" w:eastAsia="Arial" w:hAnsi="Arial"/>
                <w:sz w:val="14"/>
                <w:szCs w:val="14"/>
                <w:color w:val="auto"/>
              </w:rPr>
              <w:t>449</w:t>
            </w:r>
          </w:p>
        </w:tc>
        <w:tc>
          <w:tcPr>
            <w:tcW w:w="780" w:type="dxa"/>
            <w:vAlign w:val="bottom"/>
          </w:tcPr>
          <w:p>
            <w:pPr>
              <w:jc w:val="right"/>
              <w:ind w:right="29"/>
              <w:spacing w:after="0"/>
              <w:rPr>
                <w:sz w:val="20"/>
                <w:szCs w:val="20"/>
                <w:color w:val="auto"/>
              </w:rPr>
            </w:pPr>
            <w:r>
              <w:rPr>
                <w:rFonts w:ascii="Arial" w:cs="Arial" w:eastAsia="Arial" w:hAnsi="Arial"/>
                <w:sz w:val="14"/>
                <w:szCs w:val="14"/>
                <w:color w:val="auto"/>
              </w:rPr>
              <w:t>59,016</w:t>
            </w:r>
          </w:p>
        </w:tc>
      </w:tr>
      <w:tr>
        <w:trPr>
          <w:trHeight w:val="157"/>
        </w:trPr>
        <w:tc>
          <w:tcPr>
            <w:tcW w:w="5000" w:type="dxa"/>
            <w:vAlign w:val="bottom"/>
            <w:tcBorders>
              <w:bottom w:val="single" w:sz="8" w:color="auto"/>
            </w:tcBorders>
          </w:tcPr>
          <w:p>
            <w:pPr>
              <w:spacing w:after="0" w:line="157" w:lineRule="exact"/>
              <w:rPr>
                <w:sz w:val="20"/>
                <w:szCs w:val="20"/>
                <w:color w:val="auto"/>
              </w:rPr>
            </w:pPr>
            <w:r>
              <w:rPr>
                <w:rFonts w:ascii="Arial" w:cs="Arial" w:eastAsia="Arial" w:hAnsi="Arial"/>
                <w:sz w:val="14"/>
                <w:szCs w:val="14"/>
                <w:color w:val="auto"/>
              </w:rPr>
              <w:t>Effect of discounting cash flows at 10%</w:t>
            </w:r>
          </w:p>
        </w:tc>
        <w:tc>
          <w:tcPr>
            <w:tcW w:w="840" w:type="dxa"/>
            <w:vAlign w:val="bottom"/>
            <w:tcBorders>
              <w:bottom w:val="single" w:sz="8" w:color="auto"/>
            </w:tcBorders>
          </w:tcPr>
          <w:p>
            <w:pPr>
              <w:jc w:val="right"/>
              <w:ind w:right="29"/>
              <w:spacing w:after="0" w:line="157" w:lineRule="exact"/>
              <w:rPr>
                <w:sz w:val="20"/>
                <w:szCs w:val="20"/>
                <w:color w:val="auto"/>
              </w:rPr>
            </w:pPr>
            <w:r>
              <w:rPr>
                <w:rFonts w:ascii="Arial" w:cs="Arial" w:eastAsia="Arial" w:hAnsi="Arial"/>
                <w:sz w:val="14"/>
                <w:szCs w:val="14"/>
                <w:color w:val="auto"/>
              </w:rPr>
              <w:t>6,277</w:t>
            </w:r>
          </w:p>
        </w:tc>
        <w:tc>
          <w:tcPr>
            <w:tcW w:w="740" w:type="dxa"/>
            <w:vAlign w:val="bottom"/>
            <w:tcBorders>
              <w:bottom w:val="single" w:sz="8" w:color="auto"/>
            </w:tcBorders>
          </w:tcPr>
          <w:p>
            <w:pPr>
              <w:jc w:val="right"/>
              <w:ind w:right="69"/>
              <w:spacing w:after="0" w:line="157" w:lineRule="exact"/>
              <w:rPr>
                <w:sz w:val="20"/>
                <w:szCs w:val="20"/>
                <w:color w:val="auto"/>
              </w:rPr>
            </w:pPr>
            <w:r>
              <w:rPr>
                <w:rFonts w:ascii="Arial" w:cs="Arial" w:eastAsia="Arial" w:hAnsi="Arial"/>
                <w:sz w:val="14"/>
                <w:szCs w:val="14"/>
                <w:color w:val="auto"/>
              </w:rPr>
              <w:t>11,737</w:t>
            </w:r>
          </w:p>
        </w:tc>
        <w:tc>
          <w:tcPr>
            <w:tcW w:w="940" w:type="dxa"/>
            <w:vAlign w:val="bottom"/>
            <w:tcBorders>
              <w:bottom w:val="single" w:sz="8" w:color="auto"/>
            </w:tcBorders>
          </w:tcPr>
          <w:p>
            <w:pPr>
              <w:jc w:val="right"/>
              <w:ind w:right="249"/>
              <w:spacing w:after="0" w:line="157" w:lineRule="exact"/>
              <w:rPr>
                <w:sz w:val="20"/>
                <w:szCs w:val="20"/>
                <w:color w:val="auto"/>
              </w:rPr>
            </w:pPr>
            <w:r>
              <w:rPr>
                <w:rFonts w:ascii="Arial" w:cs="Arial" w:eastAsia="Arial" w:hAnsi="Arial"/>
                <w:sz w:val="14"/>
                <w:szCs w:val="14"/>
                <w:color w:val="auto"/>
              </w:rPr>
              <w:t>2,169</w:t>
            </w:r>
          </w:p>
        </w:tc>
        <w:tc>
          <w:tcPr>
            <w:tcW w:w="820" w:type="dxa"/>
            <w:vAlign w:val="bottom"/>
            <w:tcBorders>
              <w:bottom w:val="single" w:sz="8" w:color="auto"/>
            </w:tcBorders>
          </w:tcPr>
          <w:p>
            <w:pPr>
              <w:jc w:val="right"/>
              <w:ind w:right="269"/>
              <w:spacing w:after="0" w:line="157" w:lineRule="exact"/>
              <w:rPr>
                <w:sz w:val="20"/>
                <w:szCs w:val="20"/>
                <w:color w:val="auto"/>
              </w:rPr>
            </w:pPr>
            <w:r>
              <w:rPr>
                <w:rFonts w:ascii="Arial" w:cs="Arial" w:eastAsia="Arial" w:hAnsi="Arial"/>
                <w:sz w:val="14"/>
                <w:szCs w:val="14"/>
                <w:color w:val="auto"/>
              </w:rPr>
              <w:t>–</w:t>
            </w:r>
          </w:p>
        </w:tc>
        <w:tc>
          <w:tcPr>
            <w:tcW w:w="580" w:type="dxa"/>
            <w:vAlign w:val="bottom"/>
            <w:tcBorders>
              <w:bottom w:val="single" w:sz="8" w:color="auto"/>
            </w:tcBorders>
          </w:tcPr>
          <w:p>
            <w:pPr>
              <w:jc w:val="right"/>
              <w:spacing w:after="0" w:line="157" w:lineRule="exact"/>
              <w:rPr>
                <w:sz w:val="20"/>
                <w:szCs w:val="20"/>
                <w:color w:val="auto"/>
              </w:rPr>
            </w:pPr>
            <w:r>
              <w:rPr>
                <w:rFonts w:ascii="Arial" w:cs="Arial" w:eastAsia="Arial" w:hAnsi="Arial"/>
                <w:sz w:val="14"/>
                <w:szCs w:val="14"/>
                <w:color w:val="auto"/>
              </w:rPr>
              <w:t>4,854</w:t>
            </w:r>
          </w:p>
        </w:tc>
        <w:tc>
          <w:tcPr>
            <w:tcW w:w="940" w:type="dxa"/>
            <w:vAlign w:val="bottom"/>
            <w:tcBorders>
              <w:bottom w:val="single" w:sz="8" w:color="auto"/>
            </w:tcBorders>
          </w:tcPr>
          <w:p>
            <w:pPr>
              <w:jc w:val="right"/>
              <w:ind w:right="10"/>
              <w:spacing w:after="0" w:line="157" w:lineRule="exact"/>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gridSpan w:val="2"/>
          </w:tcPr>
          <w:p>
            <w:pPr>
              <w:jc w:val="right"/>
              <w:ind w:right="80"/>
              <w:spacing w:after="0" w:line="157" w:lineRule="exact"/>
              <w:rPr>
                <w:sz w:val="20"/>
                <w:szCs w:val="20"/>
                <w:color w:val="auto"/>
              </w:rPr>
            </w:pPr>
            <w:r>
              <w:rPr>
                <w:rFonts w:ascii="Arial" w:cs="Arial" w:eastAsia="Arial" w:hAnsi="Arial"/>
                <w:sz w:val="14"/>
                <w:szCs w:val="14"/>
                <w:color w:val="auto"/>
              </w:rPr>
              <w:t>133</w:t>
            </w:r>
          </w:p>
        </w:tc>
        <w:tc>
          <w:tcPr>
            <w:tcW w:w="780" w:type="dxa"/>
            <w:vAlign w:val="bottom"/>
            <w:tcBorders>
              <w:bottom w:val="single" w:sz="8" w:color="auto"/>
            </w:tcBorders>
          </w:tcPr>
          <w:p>
            <w:pPr>
              <w:jc w:val="right"/>
              <w:ind w:right="29"/>
              <w:spacing w:after="0" w:line="157" w:lineRule="exact"/>
              <w:rPr>
                <w:sz w:val="20"/>
                <w:szCs w:val="20"/>
                <w:color w:val="auto"/>
              </w:rPr>
            </w:pPr>
            <w:r>
              <w:rPr>
                <w:rFonts w:ascii="Arial" w:cs="Arial" w:eastAsia="Arial" w:hAnsi="Arial"/>
                <w:sz w:val="14"/>
                <w:szCs w:val="14"/>
                <w:color w:val="auto"/>
              </w:rPr>
              <w:t>25,170</w:t>
            </w:r>
          </w:p>
        </w:tc>
      </w:tr>
      <w:tr>
        <w:trPr>
          <w:trHeight w:val="156"/>
        </w:trPr>
        <w:tc>
          <w:tcPr>
            <w:tcW w:w="5000" w:type="dxa"/>
            <w:vAlign w:val="bottom"/>
            <w:tcBorders>
              <w:bottom w:val="single" w:sz="8" w:color="auto"/>
            </w:tcBorders>
          </w:tcPr>
          <w:p>
            <w:pPr>
              <w:spacing w:after="0" w:line="155" w:lineRule="exact"/>
              <w:rPr>
                <w:sz w:val="20"/>
                <w:szCs w:val="20"/>
                <w:color w:val="auto"/>
              </w:rPr>
            </w:pPr>
            <w:r>
              <w:rPr>
                <w:rFonts w:ascii="Arial" w:cs="Arial" w:eastAsia="Arial" w:hAnsi="Arial"/>
                <w:sz w:val="14"/>
                <w:szCs w:val="14"/>
                <w:color w:val="auto"/>
              </w:rPr>
              <w:t>Standardised measure of discounted future net cash flows</w:t>
            </w:r>
          </w:p>
        </w:tc>
        <w:tc>
          <w:tcPr>
            <w:tcW w:w="840" w:type="dxa"/>
            <w:vAlign w:val="bottom"/>
            <w:tcBorders>
              <w:bottom w:val="single" w:sz="8" w:color="auto"/>
            </w:tcBorders>
          </w:tcPr>
          <w:p>
            <w:pPr>
              <w:jc w:val="right"/>
              <w:ind w:right="29"/>
              <w:spacing w:after="0" w:line="155" w:lineRule="exact"/>
              <w:rPr>
                <w:sz w:val="20"/>
                <w:szCs w:val="20"/>
                <w:color w:val="auto"/>
              </w:rPr>
            </w:pPr>
            <w:r>
              <w:rPr>
                <w:rFonts w:ascii="Arial" w:cs="Arial" w:eastAsia="Arial" w:hAnsi="Arial"/>
                <w:sz w:val="14"/>
                <w:szCs w:val="14"/>
                <w:color w:val="auto"/>
              </w:rPr>
              <w:t>7,561</w:t>
            </w:r>
          </w:p>
        </w:tc>
        <w:tc>
          <w:tcPr>
            <w:tcW w:w="740" w:type="dxa"/>
            <w:vAlign w:val="bottom"/>
            <w:tcBorders>
              <w:bottom w:val="single" w:sz="8" w:color="auto"/>
            </w:tcBorders>
          </w:tcPr>
          <w:p>
            <w:pPr>
              <w:jc w:val="right"/>
              <w:ind w:right="69"/>
              <w:spacing w:after="0" w:line="155" w:lineRule="exact"/>
              <w:rPr>
                <w:sz w:val="20"/>
                <w:szCs w:val="20"/>
                <w:color w:val="auto"/>
              </w:rPr>
            </w:pPr>
            <w:r>
              <w:rPr>
                <w:rFonts w:ascii="Arial" w:cs="Arial" w:eastAsia="Arial" w:hAnsi="Arial"/>
                <w:sz w:val="14"/>
                <w:szCs w:val="14"/>
                <w:color w:val="auto"/>
              </w:rPr>
              <w:t>16,363</w:t>
            </w:r>
          </w:p>
        </w:tc>
        <w:tc>
          <w:tcPr>
            <w:tcW w:w="940" w:type="dxa"/>
            <w:vAlign w:val="bottom"/>
            <w:tcBorders>
              <w:bottom w:val="single" w:sz="8" w:color="auto"/>
            </w:tcBorders>
          </w:tcPr>
          <w:p>
            <w:pPr>
              <w:jc w:val="right"/>
              <w:ind w:right="249"/>
              <w:spacing w:after="0" w:line="155" w:lineRule="exact"/>
              <w:rPr>
                <w:sz w:val="20"/>
                <w:szCs w:val="20"/>
                <w:color w:val="auto"/>
              </w:rPr>
            </w:pPr>
            <w:r>
              <w:rPr>
                <w:rFonts w:ascii="Arial" w:cs="Arial" w:eastAsia="Arial" w:hAnsi="Arial"/>
                <w:sz w:val="14"/>
                <w:szCs w:val="14"/>
                <w:color w:val="auto"/>
              </w:rPr>
              <w:t>3,348</w:t>
            </w:r>
          </w:p>
        </w:tc>
        <w:tc>
          <w:tcPr>
            <w:tcW w:w="820" w:type="dxa"/>
            <w:vAlign w:val="bottom"/>
            <w:tcBorders>
              <w:bottom w:val="single" w:sz="8" w:color="auto"/>
            </w:tcBorders>
          </w:tcPr>
          <w:p>
            <w:pPr>
              <w:jc w:val="right"/>
              <w:ind w:right="269"/>
              <w:spacing w:after="0" w:line="155" w:lineRule="exact"/>
              <w:rPr>
                <w:sz w:val="20"/>
                <w:szCs w:val="20"/>
                <w:color w:val="auto"/>
              </w:rPr>
            </w:pPr>
            <w:r>
              <w:rPr>
                <w:rFonts w:ascii="Arial" w:cs="Arial" w:eastAsia="Arial" w:hAnsi="Arial"/>
                <w:sz w:val="14"/>
                <w:szCs w:val="14"/>
                <w:color w:val="auto"/>
              </w:rPr>
              <w:t>–</w:t>
            </w:r>
          </w:p>
        </w:tc>
        <w:tc>
          <w:tcPr>
            <w:tcW w:w="5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6,258</w:t>
            </w:r>
          </w:p>
        </w:tc>
        <w:tc>
          <w:tcPr>
            <w:tcW w:w="940" w:type="dxa"/>
            <w:vAlign w:val="bottom"/>
            <w:tcBorders>
              <w:bottom w:val="single" w:sz="8" w:color="auto"/>
            </w:tcBorders>
          </w:tcPr>
          <w:p>
            <w:pPr>
              <w:jc w:val="right"/>
              <w:ind w:right="10"/>
              <w:spacing w:after="0" w:line="155" w:lineRule="exact"/>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gridSpan w:val="2"/>
          </w:tcPr>
          <w:p>
            <w:pPr>
              <w:jc w:val="right"/>
              <w:ind w:right="80"/>
              <w:spacing w:after="0" w:line="155" w:lineRule="exact"/>
              <w:rPr>
                <w:sz w:val="20"/>
                <w:szCs w:val="20"/>
                <w:color w:val="auto"/>
              </w:rPr>
            </w:pPr>
            <w:r>
              <w:rPr>
                <w:rFonts w:ascii="Arial" w:cs="Arial" w:eastAsia="Arial" w:hAnsi="Arial"/>
                <w:sz w:val="14"/>
                <w:szCs w:val="14"/>
                <w:color w:val="auto"/>
              </w:rPr>
              <w:t>316</w:t>
            </w:r>
          </w:p>
        </w:tc>
        <w:tc>
          <w:tcPr>
            <w:tcW w:w="780" w:type="dxa"/>
            <w:vAlign w:val="bottom"/>
            <w:tcBorders>
              <w:bottom w:val="single" w:sz="8" w:color="auto"/>
            </w:tcBorders>
          </w:tcPr>
          <w:p>
            <w:pPr>
              <w:jc w:val="right"/>
              <w:ind w:right="29"/>
              <w:spacing w:after="0" w:line="155" w:lineRule="exact"/>
              <w:rPr>
                <w:sz w:val="20"/>
                <w:szCs w:val="20"/>
                <w:color w:val="auto"/>
              </w:rPr>
            </w:pPr>
            <w:r>
              <w:rPr>
                <w:rFonts w:ascii="Arial" w:cs="Arial" w:eastAsia="Arial" w:hAnsi="Arial"/>
                <w:sz w:val="14"/>
                <w:szCs w:val="14"/>
                <w:color w:val="auto"/>
              </w:rPr>
              <w:t>33,846</w:t>
            </w:r>
          </w:p>
        </w:tc>
      </w:tr>
    </w:tbl>
    <w:p>
      <w:pPr>
        <w:spacing w:after="0" w:line="37" w:lineRule="exact"/>
        <w:rPr>
          <w:sz w:val="20"/>
          <w:szCs w:val="20"/>
          <w:color w:val="auto"/>
        </w:rPr>
      </w:pPr>
    </w:p>
    <w:p>
      <w:pPr>
        <w:spacing w:after="0"/>
        <w:rPr>
          <w:sz w:val="20"/>
          <w:szCs w:val="20"/>
          <w:color w:val="auto"/>
        </w:rPr>
      </w:pPr>
      <w:r>
        <w:rPr>
          <w:rFonts w:ascii="Arial" w:cs="Arial" w:eastAsia="Arial" w:hAnsi="Arial"/>
          <w:sz w:val="11"/>
          <w:szCs w:val="11"/>
          <w:color w:val="auto"/>
        </w:rPr>
        <w:t>[A] Includes Shell’s 23% share of Woodside as from April 2012 (previously: 24%), a publicly listed company on the Australian Securities Exchange. We have limited access to data; accordingly, the numbers are estimated.</w:t>
      </w:r>
    </w:p>
    <w:p>
      <w:pPr>
        <w:sectPr>
          <w:pgSz w:w="11900" w:h="16838" w:orient="portrait"/>
          <w:cols w:equalWidth="0" w:num="1">
            <w:col w:w="11420"/>
          </w:cols>
          <w:pgMar w:left="240" w:top="460" w:right="239" w:bottom="1440" w:gutter="0" w:footer="0" w:header="0"/>
        </w:sectPr>
      </w:pPr>
    </w:p>
    <w:bookmarkStart w:id="154" w:name="page155"/>
    <w:bookmarkEnd w:id="1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6428105</wp:posOffset>
            </wp:positionH>
            <wp:positionV relativeFrom="paragraph">
              <wp:posOffset>300355</wp:posOffset>
            </wp:positionV>
            <wp:extent cx="8890" cy="462915"/>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8890" cy="462915"/>
                    </a:xfrm>
                    <a:prstGeom prst="rect">
                      <a:avLst/>
                    </a:prstGeom>
                    <a:noFill/>
                  </pic:spPr>
                </pic:pic>
              </a:graphicData>
            </a:graphic>
          </wp:anchor>
        </w:drawing>
      </w:r>
    </w:p>
    <w:p>
      <w:pPr>
        <w:spacing w:after="0" w:line="200" w:lineRule="exact"/>
        <w:rPr>
          <w:sz w:val="20"/>
          <w:szCs w:val="20"/>
          <w:color w:val="auto"/>
        </w:rPr>
      </w:pP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565"/>
        </w:trPr>
        <w:tc>
          <w:tcPr>
            <w:tcW w:w="20" w:type="dxa"/>
            <w:vAlign w:val="bottom"/>
          </w:tcPr>
          <w:p>
            <w:pPr>
              <w:spacing w:after="0"/>
              <w:rPr>
                <w:sz w:val="24"/>
                <w:szCs w:val="24"/>
                <w:color w:val="auto"/>
              </w:rPr>
            </w:pPr>
          </w:p>
        </w:tc>
        <w:tc>
          <w:tcPr>
            <w:tcW w:w="5580" w:type="dxa"/>
            <w:vAlign w:val="bottom"/>
          </w:tcPr>
          <w:p>
            <w:pPr>
              <w:spacing w:after="0"/>
              <w:rPr>
                <w:sz w:val="24"/>
                <w:szCs w:val="24"/>
                <w:color w:val="auto"/>
              </w:rPr>
            </w:pPr>
          </w:p>
        </w:tc>
        <w:tc>
          <w:tcPr>
            <w:tcW w:w="4440" w:type="dxa"/>
            <w:vAlign w:val="bottom"/>
            <w:gridSpan w:val="2"/>
            <w:shd w:val="clear" w:color="auto" w:fill="FF8B00"/>
          </w:tcPr>
          <w:p>
            <w:pPr>
              <w:ind w:left="880"/>
              <w:spacing w:after="0"/>
              <w:rPr>
                <w:sz w:val="20"/>
                <w:szCs w:val="20"/>
                <w:color w:val="auto"/>
              </w:rPr>
            </w:pPr>
            <w:r>
              <w:rPr>
                <w:rFonts w:ascii="Arial" w:cs="Arial" w:eastAsia="Arial" w:hAnsi="Arial"/>
                <w:sz w:val="13"/>
                <w:szCs w:val="13"/>
                <w:color w:val="333333"/>
              </w:rPr>
              <w:t>FINANCIAL STATEMENTS AND SUPPLEMENTS</w:t>
            </w:r>
          </w:p>
        </w:tc>
        <w:tc>
          <w:tcPr>
            <w:tcW w:w="1380" w:type="dxa"/>
            <w:vAlign w:val="bottom"/>
            <w:shd w:val="clear" w:color="auto" w:fill="FF8B00"/>
          </w:tcPr>
          <w:p>
            <w:pPr>
              <w:jc w:val="right"/>
              <w:ind w:right="349"/>
              <w:spacing w:after="0"/>
              <w:rPr>
                <w:sz w:val="20"/>
                <w:szCs w:val="20"/>
                <w:color w:val="auto"/>
              </w:rPr>
            </w:pPr>
            <w:r>
              <w:rPr>
                <w:rFonts w:ascii="Arial" w:cs="Arial" w:eastAsia="Arial" w:hAnsi="Arial"/>
                <w:sz w:val="11"/>
                <w:szCs w:val="11"/>
                <w:b w:val="1"/>
                <w:bCs w:val="1"/>
                <w:color w:val="333333"/>
              </w:rPr>
              <w:t>153</w:t>
            </w:r>
          </w:p>
        </w:tc>
        <w:tc>
          <w:tcPr>
            <w:tcW w:w="0" w:type="dxa"/>
            <w:vAlign w:val="bottom"/>
          </w:tcPr>
          <w:p>
            <w:pPr>
              <w:spacing w:after="0"/>
              <w:rPr>
                <w:sz w:val="1"/>
                <w:szCs w:val="1"/>
                <w:color w:val="auto"/>
              </w:rPr>
            </w:pPr>
          </w:p>
        </w:tc>
      </w:tr>
      <w:tr>
        <w:trPr>
          <w:trHeight w:val="165"/>
        </w:trPr>
        <w:tc>
          <w:tcPr>
            <w:tcW w:w="5600" w:type="dxa"/>
            <w:vAlign w:val="bottom"/>
            <w:gridSpan w:val="2"/>
            <w:vMerge w:val="restart"/>
          </w:tcPr>
          <w:p>
            <w:pPr>
              <w:spacing w:after="0"/>
              <w:rPr>
                <w:sz w:val="20"/>
                <w:szCs w:val="20"/>
                <w:color w:val="auto"/>
              </w:rPr>
            </w:pPr>
            <w:r>
              <w:rPr>
                <w:rFonts w:ascii="Arial" w:cs="Arial" w:eastAsia="Arial" w:hAnsi="Arial"/>
                <w:sz w:val="11"/>
                <w:szCs w:val="11"/>
                <w:color w:val="auto"/>
              </w:rPr>
              <w:t>SHELL ANNUAL REPORT AND FORM 20-F 2014</w:t>
            </w:r>
          </w:p>
        </w:tc>
        <w:tc>
          <w:tcPr>
            <w:tcW w:w="4440" w:type="dxa"/>
            <w:vAlign w:val="bottom"/>
            <w:gridSpan w:val="2"/>
            <w:shd w:val="clear" w:color="auto" w:fill="FF8B00"/>
          </w:tcPr>
          <w:p>
            <w:pPr>
              <w:spacing w:after="0"/>
              <w:rPr>
                <w:sz w:val="14"/>
                <w:szCs w:val="14"/>
                <w:color w:val="auto"/>
              </w:rPr>
            </w:pPr>
          </w:p>
        </w:tc>
        <w:tc>
          <w:tcPr>
            <w:tcW w:w="1380" w:type="dxa"/>
            <w:vAlign w:val="bottom"/>
            <w:shd w:val="clear" w:color="auto" w:fill="FF8B00"/>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5600" w:type="dxa"/>
            <w:vAlign w:val="bottom"/>
            <w:gridSpan w:val="2"/>
            <w:vMerge w:val="continue"/>
          </w:tcPr>
          <w:p>
            <w:pPr>
              <w:spacing w:after="0"/>
              <w:rPr>
                <w:sz w:val="10"/>
                <w:szCs w:val="10"/>
                <w:color w:val="auto"/>
              </w:rPr>
            </w:pPr>
          </w:p>
        </w:tc>
        <w:tc>
          <w:tcPr>
            <w:tcW w:w="4440" w:type="dxa"/>
            <w:vAlign w:val="bottom"/>
            <w:gridSpan w:val="2"/>
          </w:tcPr>
          <w:p>
            <w:pPr>
              <w:ind w:left="880"/>
              <w:spacing w:after="0" w:line="121" w:lineRule="exact"/>
              <w:rPr>
                <w:sz w:val="20"/>
                <w:szCs w:val="20"/>
                <w:color w:val="auto"/>
              </w:rPr>
            </w:pPr>
            <w:r>
              <w:rPr>
                <w:rFonts w:ascii="Arial" w:cs="Arial" w:eastAsia="Arial" w:hAnsi="Arial"/>
                <w:sz w:val="11"/>
                <w:szCs w:val="11"/>
                <w:color w:val="auto"/>
              </w:rPr>
              <w:t>SUPPLEMENTARY INFORMATION – OIL AND GAS (UNAUDITED)</w:t>
            </w:r>
          </w:p>
        </w:tc>
        <w:tc>
          <w:tcPr>
            <w:tcW w:w="13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7"/>
        </w:trPr>
        <w:tc>
          <w:tcPr>
            <w:tcW w:w="8400" w:type="dxa"/>
            <w:vAlign w:val="bottom"/>
            <w:gridSpan w:val="3"/>
          </w:tcPr>
          <w:p>
            <w:pPr>
              <w:spacing w:after="0"/>
              <w:rPr>
                <w:sz w:val="20"/>
                <w:szCs w:val="20"/>
                <w:color w:val="auto"/>
              </w:rPr>
            </w:pPr>
            <w:r>
              <w:rPr>
                <w:rFonts w:ascii="Arial" w:cs="Arial" w:eastAsia="Arial" w:hAnsi="Arial"/>
                <w:sz w:val="18"/>
                <w:szCs w:val="18"/>
                <w:color w:val="auto"/>
              </w:rPr>
              <w:t>Change in standardised measure of discounted future net cash flows relating to proved reserves</w:t>
            </w:r>
          </w:p>
        </w:tc>
        <w:tc>
          <w:tcPr>
            <w:tcW w:w="16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5580" w:type="dxa"/>
            <w:vAlign w:val="bottom"/>
          </w:tcPr>
          <w:p>
            <w:pPr>
              <w:spacing w:after="0"/>
              <w:rPr>
                <w:sz w:val="17"/>
                <w:szCs w:val="17"/>
                <w:color w:val="auto"/>
              </w:rPr>
            </w:pPr>
          </w:p>
        </w:tc>
        <w:tc>
          <w:tcPr>
            <w:tcW w:w="280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5580" w:type="dxa"/>
            <w:vAlign w:val="bottom"/>
            <w:shd w:val="clear" w:color="auto" w:fill="333333"/>
          </w:tcPr>
          <w:p>
            <w:pPr>
              <w:jc w:val="right"/>
              <w:ind w:right="5103"/>
              <w:spacing w:after="0" w:line="162" w:lineRule="exact"/>
              <w:rPr>
                <w:sz w:val="20"/>
                <w:szCs w:val="20"/>
                <w:color w:val="auto"/>
              </w:rPr>
            </w:pPr>
            <w:r>
              <w:rPr>
                <w:rFonts w:ascii="Arial" w:cs="Arial" w:eastAsia="Arial" w:hAnsi="Arial"/>
                <w:sz w:val="15"/>
                <w:szCs w:val="15"/>
                <w:b w:val="1"/>
                <w:bCs w:val="1"/>
                <w:color w:val="FFFFFF"/>
              </w:rPr>
              <w:t>2014</w:t>
            </w:r>
          </w:p>
        </w:tc>
        <w:tc>
          <w:tcPr>
            <w:tcW w:w="2800" w:type="dxa"/>
            <w:vAlign w:val="bottom"/>
            <w:shd w:val="clear" w:color="auto" w:fill="333333"/>
          </w:tcPr>
          <w:p>
            <w:pPr>
              <w:spacing w:after="0"/>
              <w:rPr>
                <w:sz w:val="14"/>
                <w:szCs w:val="14"/>
                <w:color w:val="auto"/>
              </w:rPr>
            </w:pPr>
          </w:p>
        </w:tc>
        <w:tc>
          <w:tcPr>
            <w:tcW w:w="1640" w:type="dxa"/>
            <w:vAlign w:val="bottom"/>
            <w:shd w:val="clear" w:color="auto" w:fill="333333"/>
          </w:tcPr>
          <w:p>
            <w:pPr>
              <w:spacing w:after="0"/>
              <w:rPr>
                <w:sz w:val="14"/>
                <w:szCs w:val="14"/>
                <w:color w:val="auto"/>
              </w:rPr>
            </w:pPr>
          </w:p>
        </w:tc>
        <w:tc>
          <w:tcPr>
            <w:tcW w:w="1380" w:type="dxa"/>
            <w:vAlign w:val="bottom"/>
            <w:shd w:val="clear" w:color="auto" w:fill="333333"/>
          </w:tcPr>
          <w:p>
            <w:pPr>
              <w:jc w:val="right"/>
              <w:ind w:right="269"/>
              <w:spacing w:after="0" w:line="162" w:lineRule="exact"/>
              <w:rPr>
                <w:sz w:val="20"/>
                <w:szCs w:val="20"/>
                <w:color w:val="auto"/>
              </w:rPr>
            </w:pPr>
            <w:r>
              <w:rPr>
                <w:rFonts w:ascii="Arial" w:cs="Arial" w:eastAsia="Arial" w:hAnsi="Arial"/>
                <w:sz w:val="15"/>
                <w:szCs w:val="15"/>
                <w:color w:val="FFFFFF"/>
              </w:rPr>
              <w:t>$ MILLION</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5580" w:type="dxa"/>
            <w:vAlign w:val="bottom"/>
          </w:tcPr>
          <w:p>
            <w:pPr>
              <w:spacing w:after="0"/>
              <w:rPr>
                <w:sz w:val="11"/>
                <w:szCs w:val="11"/>
                <w:color w:val="auto"/>
              </w:rPr>
            </w:pPr>
          </w:p>
        </w:tc>
        <w:tc>
          <w:tcPr>
            <w:tcW w:w="2800" w:type="dxa"/>
            <w:vAlign w:val="bottom"/>
          </w:tcPr>
          <w:p>
            <w:pPr>
              <w:spacing w:after="0"/>
              <w:rPr>
                <w:sz w:val="11"/>
                <w:szCs w:val="11"/>
                <w:color w:val="auto"/>
              </w:rPr>
            </w:pPr>
          </w:p>
        </w:tc>
        <w:tc>
          <w:tcPr>
            <w:tcW w:w="1640" w:type="dxa"/>
            <w:vAlign w:val="bottom"/>
          </w:tcPr>
          <w:p>
            <w:pPr>
              <w:jc w:val="right"/>
              <w:ind w:right="330"/>
              <w:spacing w:after="0" w:line="129" w:lineRule="exact"/>
              <w:rPr>
                <w:sz w:val="20"/>
                <w:szCs w:val="20"/>
                <w:color w:val="auto"/>
              </w:rPr>
            </w:pPr>
            <w:r>
              <w:rPr>
                <w:rFonts w:ascii="Arial" w:cs="Arial" w:eastAsia="Arial" w:hAnsi="Arial"/>
                <w:sz w:val="13"/>
                <w:szCs w:val="13"/>
                <w:color w:val="auto"/>
              </w:rPr>
              <w:t>Shell share</w:t>
            </w:r>
          </w:p>
        </w:tc>
        <w:tc>
          <w:tcPr>
            <w:tcW w:w="13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580" w:type="dxa"/>
            <w:vAlign w:val="bottom"/>
          </w:tcPr>
          <w:p>
            <w:pPr>
              <w:spacing w:after="0"/>
              <w:rPr>
                <w:sz w:val="11"/>
                <w:szCs w:val="11"/>
                <w:color w:val="auto"/>
              </w:rPr>
            </w:pPr>
          </w:p>
        </w:tc>
        <w:tc>
          <w:tcPr>
            <w:tcW w:w="2800" w:type="dxa"/>
            <w:vAlign w:val="bottom"/>
          </w:tcPr>
          <w:p>
            <w:pPr>
              <w:jc w:val="right"/>
              <w:ind w:right="250"/>
              <w:spacing w:after="0" w:line="135" w:lineRule="exact"/>
              <w:rPr>
                <w:sz w:val="20"/>
                <w:szCs w:val="20"/>
                <w:color w:val="auto"/>
              </w:rPr>
            </w:pPr>
            <w:r>
              <w:rPr>
                <w:rFonts w:ascii="Arial" w:cs="Arial" w:eastAsia="Arial" w:hAnsi="Arial"/>
                <w:sz w:val="13"/>
                <w:szCs w:val="13"/>
                <w:color w:val="auto"/>
              </w:rPr>
              <w:t>Shell</w:t>
            </w:r>
          </w:p>
        </w:tc>
        <w:tc>
          <w:tcPr>
            <w:tcW w:w="1640" w:type="dxa"/>
            <w:vAlign w:val="bottom"/>
          </w:tcPr>
          <w:p>
            <w:pPr>
              <w:jc w:val="right"/>
              <w:ind w:right="330"/>
              <w:spacing w:after="0" w:line="135" w:lineRule="exact"/>
              <w:rPr>
                <w:sz w:val="20"/>
                <w:szCs w:val="20"/>
                <w:color w:val="auto"/>
              </w:rPr>
            </w:pPr>
            <w:r>
              <w:rPr>
                <w:rFonts w:ascii="Arial" w:cs="Arial" w:eastAsia="Arial" w:hAnsi="Arial"/>
                <w:sz w:val="13"/>
                <w:szCs w:val="13"/>
                <w:color w:val="auto"/>
              </w:rPr>
              <w:t>of joint ventures</w:t>
            </w:r>
          </w:p>
        </w:tc>
        <w:tc>
          <w:tcPr>
            <w:tcW w:w="13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5580" w:type="dxa"/>
            <w:vAlign w:val="bottom"/>
            <w:tcBorders>
              <w:bottom w:val="single" w:sz="8" w:color="auto"/>
            </w:tcBorders>
          </w:tcPr>
          <w:p>
            <w:pPr>
              <w:spacing w:after="0"/>
              <w:rPr>
                <w:sz w:val="13"/>
                <w:szCs w:val="13"/>
                <w:color w:val="auto"/>
              </w:rPr>
            </w:pPr>
          </w:p>
        </w:tc>
        <w:tc>
          <w:tcPr>
            <w:tcW w:w="2800" w:type="dxa"/>
            <w:vAlign w:val="bottom"/>
            <w:tcBorders>
              <w:bottom w:val="single" w:sz="8" w:color="auto"/>
            </w:tcBorders>
          </w:tcPr>
          <w:p>
            <w:pPr>
              <w:jc w:val="right"/>
              <w:ind w:right="250"/>
              <w:spacing w:after="0"/>
              <w:rPr>
                <w:sz w:val="20"/>
                <w:szCs w:val="20"/>
                <w:color w:val="auto"/>
              </w:rPr>
            </w:pPr>
            <w:r>
              <w:rPr>
                <w:rFonts w:ascii="Arial" w:cs="Arial" w:eastAsia="Arial" w:hAnsi="Arial"/>
                <w:sz w:val="13"/>
                <w:szCs w:val="13"/>
                <w:color w:val="auto"/>
              </w:rPr>
              <w:t>subsidiaries</w:t>
            </w:r>
          </w:p>
        </w:tc>
        <w:tc>
          <w:tcPr>
            <w:tcW w:w="1640" w:type="dxa"/>
            <w:vAlign w:val="bottom"/>
            <w:tcBorders>
              <w:bottom w:val="single" w:sz="8" w:color="auto"/>
            </w:tcBorders>
          </w:tcPr>
          <w:p>
            <w:pPr>
              <w:jc w:val="right"/>
              <w:ind w:right="330"/>
              <w:spacing w:after="0"/>
              <w:rPr>
                <w:sz w:val="20"/>
                <w:szCs w:val="20"/>
                <w:color w:val="auto"/>
              </w:rPr>
            </w:pPr>
            <w:r>
              <w:rPr>
                <w:rFonts w:ascii="Arial" w:cs="Arial" w:eastAsia="Arial" w:hAnsi="Arial"/>
                <w:sz w:val="13"/>
                <w:szCs w:val="13"/>
                <w:color w:val="auto"/>
              </w:rPr>
              <w:t>and associates</w:t>
            </w:r>
          </w:p>
        </w:tc>
        <w:tc>
          <w:tcPr>
            <w:tcW w:w="1380" w:type="dxa"/>
            <w:vAlign w:val="bottom"/>
            <w:tcBorders>
              <w:bottom w:val="single" w:sz="8" w:color="auto"/>
            </w:tcBorders>
          </w:tcPr>
          <w:p>
            <w:pPr>
              <w:jc w:val="right"/>
              <w:ind w:right="269"/>
              <w:spacing w:after="0"/>
              <w:rPr>
                <w:sz w:val="20"/>
                <w:szCs w:val="20"/>
                <w:color w:val="auto"/>
              </w:rPr>
            </w:pPr>
            <w:r>
              <w:rPr>
                <w:rFonts w:ascii="Arial" w:cs="Arial" w:eastAsia="Arial" w:hAnsi="Arial"/>
                <w:sz w:val="13"/>
                <w:szCs w:val="13"/>
                <w:color w:val="auto"/>
              </w:rPr>
              <w:t>Total</w:t>
            </w:r>
          </w:p>
        </w:tc>
        <w:tc>
          <w:tcPr>
            <w:tcW w:w="0" w:type="dxa"/>
            <w:vAlign w:val="bottom"/>
          </w:tcPr>
          <w:p>
            <w:pPr>
              <w:spacing w:after="0"/>
              <w:rPr>
                <w:sz w:val="1"/>
                <w:szCs w:val="1"/>
                <w:color w:val="auto"/>
              </w:rPr>
            </w:pPr>
          </w:p>
        </w:tc>
      </w:tr>
      <w:tr>
        <w:trPr>
          <w:trHeight w:val="160"/>
        </w:trPr>
        <w:tc>
          <w:tcPr>
            <w:tcW w:w="5600" w:type="dxa"/>
            <w:vAlign w:val="bottom"/>
            <w:gridSpan w:val="2"/>
          </w:tcPr>
          <w:p>
            <w:pPr>
              <w:spacing w:after="0"/>
              <w:rPr>
                <w:sz w:val="20"/>
                <w:szCs w:val="20"/>
                <w:color w:val="auto"/>
              </w:rPr>
            </w:pPr>
            <w:r>
              <w:rPr>
                <w:rFonts w:ascii="Arial" w:cs="Arial" w:eastAsia="Arial" w:hAnsi="Arial"/>
                <w:sz w:val="14"/>
                <w:szCs w:val="14"/>
                <w:color w:val="auto"/>
              </w:rPr>
              <w:t>At January 1</w:t>
            </w:r>
          </w:p>
        </w:tc>
        <w:tc>
          <w:tcPr>
            <w:tcW w:w="2800" w:type="dxa"/>
            <w:vAlign w:val="bottom"/>
          </w:tcPr>
          <w:p>
            <w:pPr>
              <w:jc w:val="right"/>
              <w:ind w:right="250"/>
              <w:spacing w:after="0"/>
              <w:rPr>
                <w:sz w:val="20"/>
                <w:szCs w:val="20"/>
                <w:color w:val="auto"/>
              </w:rPr>
            </w:pPr>
            <w:r>
              <w:rPr>
                <w:rFonts w:ascii="Arial" w:cs="Arial" w:eastAsia="Arial" w:hAnsi="Arial"/>
                <w:sz w:val="14"/>
                <w:szCs w:val="14"/>
                <w:color w:val="auto"/>
              </w:rPr>
              <w:t>91,299</w:t>
            </w:r>
          </w:p>
        </w:tc>
        <w:tc>
          <w:tcPr>
            <w:tcW w:w="1640" w:type="dxa"/>
            <w:vAlign w:val="bottom"/>
          </w:tcPr>
          <w:p>
            <w:pPr>
              <w:jc w:val="right"/>
              <w:ind w:right="330"/>
              <w:spacing w:after="0"/>
              <w:rPr>
                <w:sz w:val="20"/>
                <w:szCs w:val="20"/>
                <w:color w:val="auto"/>
              </w:rPr>
            </w:pPr>
            <w:r>
              <w:rPr>
                <w:rFonts w:ascii="Arial" w:cs="Arial" w:eastAsia="Arial" w:hAnsi="Arial"/>
                <w:sz w:val="14"/>
                <w:szCs w:val="14"/>
                <w:color w:val="auto"/>
              </w:rPr>
              <w:t>25,180</w:t>
            </w:r>
          </w:p>
        </w:tc>
        <w:tc>
          <w:tcPr>
            <w:tcW w:w="1380" w:type="dxa"/>
            <w:vAlign w:val="bottom"/>
          </w:tcPr>
          <w:p>
            <w:pPr>
              <w:jc w:val="right"/>
              <w:ind w:right="269"/>
              <w:spacing w:after="0"/>
              <w:rPr>
                <w:sz w:val="20"/>
                <w:szCs w:val="20"/>
                <w:color w:val="auto"/>
              </w:rPr>
            </w:pPr>
            <w:r>
              <w:rPr>
                <w:rFonts w:ascii="Arial" w:cs="Arial" w:eastAsia="Arial" w:hAnsi="Arial"/>
                <w:sz w:val="14"/>
                <w:szCs w:val="14"/>
                <w:color w:val="auto"/>
              </w:rPr>
              <w:t>116,479</w:t>
            </w:r>
          </w:p>
        </w:tc>
        <w:tc>
          <w:tcPr>
            <w:tcW w:w="0" w:type="dxa"/>
            <w:vAlign w:val="bottom"/>
          </w:tcPr>
          <w:p>
            <w:pPr>
              <w:spacing w:after="0"/>
              <w:rPr>
                <w:sz w:val="1"/>
                <w:szCs w:val="1"/>
                <w:color w:val="auto"/>
              </w:rPr>
            </w:pPr>
          </w:p>
        </w:tc>
      </w:tr>
      <w:tr>
        <w:trPr>
          <w:trHeight w:val="162"/>
        </w:trPr>
        <w:tc>
          <w:tcPr>
            <w:tcW w:w="5600" w:type="dxa"/>
            <w:vAlign w:val="bottom"/>
            <w:gridSpan w:val="2"/>
          </w:tcPr>
          <w:p>
            <w:pPr>
              <w:spacing w:after="0"/>
              <w:rPr>
                <w:sz w:val="20"/>
                <w:szCs w:val="20"/>
                <w:color w:val="auto"/>
              </w:rPr>
            </w:pPr>
            <w:r>
              <w:rPr>
                <w:rFonts w:ascii="Arial" w:cs="Arial" w:eastAsia="Arial" w:hAnsi="Arial"/>
                <w:sz w:val="14"/>
                <w:szCs w:val="14"/>
                <w:color w:val="auto"/>
              </w:rPr>
              <w:t>Net changes in prices and production costs</w:t>
            </w:r>
          </w:p>
        </w:tc>
        <w:tc>
          <w:tcPr>
            <w:tcW w:w="2800" w:type="dxa"/>
            <w:vAlign w:val="bottom"/>
          </w:tcPr>
          <w:p>
            <w:pPr>
              <w:jc w:val="right"/>
              <w:ind w:right="250"/>
              <w:spacing w:after="0"/>
              <w:rPr>
                <w:sz w:val="20"/>
                <w:szCs w:val="20"/>
                <w:color w:val="auto"/>
              </w:rPr>
            </w:pPr>
            <w:r>
              <w:rPr>
                <w:rFonts w:ascii="Arial" w:cs="Arial" w:eastAsia="Arial" w:hAnsi="Arial"/>
                <w:sz w:val="14"/>
                <w:szCs w:val="14"/>
                <w:color w:val="auto"/>
              </w:rPr>
              <w:t>(22,475)</w:t>
            </w:r>
          </w:p>
        </w:tc>
        <w:tc>
          <w:tcPr>
            <w:tcW w:w="1640" w:type="dxa"/>
            <w:vAlign w:val="bottom"/>
          </w:tcPr>
          <w:p>
            <w:pPr>
              <w:jc w:val="right"/>
              <w:ind w:right="330"/>
              <w:spacing w:after="0"/>
              <w:rPr>
                <w:sz w:val="20"/>
                <w:szCs w:val="20"/>
                <w:color w:val="auto"/>
              </w:rPr>
            </w:pPr>
            <w:r>
              <w:rPr>
                <w:rFonts w:ascii="Arial" w:cs="Arial" w:eastAsia="Arial" w:hAnsi="Arial"/>
                <w:sz w:val="14"/>
                <w:szCs w:val="14"/>
                <w:color w:val="auto"/>
              </w:rPr>
              <w:t>1,025</w:t>
            </w:r>
          </w:p>
        </w:tc>
        <w:tc>
          <w:tcPr>
            <w:tcW w:w="1380" w:type="dxa"/>
            <w:vAlign w:val="bottom"/>
          </w:tcPr>
          <w:p>
            <w:pPr>
              <w:jc w:val="right"/>
              <w:ind w:right="209"/>
              <w:spacing w:after="0"/>
              <w:rPr>
                <w:sz w:val="20"/>
                <w:szCs w:val="20"/>
                <w:color w:val="auto"/>
              </w:rPr>
            </w:pPr>
            <w:r>
              <w:rPr>
                <w:rFonts w:ascii="Arial" w:cs="Arial" w:eastAsia="Arial" w:hAnsi="Arial"/>
                <w:sz w:val="14"/>
                <w:szCs w:val="14"/>
                <w:color w:val="auto"/>
              </w:rPr>
              <w:t>(21,450)</w:t>
            </w:r>
          </w:p>
        </w:tc>
        <w:tc>
          <w:tcPr>
            <w:tcW w:w="0" w:type="dxa"/>
            <w:vAlign w:val="bottom"/>
          </w:tcPr>
          <w:p>
            <w:pPr>
              <w:spacing w:after="0"/>
              <w:rPr>
                <w:sz w:val="1"/>
                <w:szCs w:val="1"/>
                <w:color w:val="auto"/>
              </w:rPr>
            </w:pPr>
          </w:p>
        </w:tc>
      </w:tr>
      <w:tr>
        <w:trPr>
          <w:trHeight w:val="162"/>
        </w:trPr>
        <w:tc>
          <w:tcPr>
            <w:tcW w:w="5600" w:type="dxa"/>
            <w:vAlign w:val="bottom"/>
            <w:gridSpan w:val="2"/>
          </w:tcPr>
          <w:p>
            <w:pPr>
              <w:spacing w:after="0"/>
              <w:rPr>
                <w:sz w:val="20"/>
                <w:szCs w:val="20"/>
                <w:color w:val="auto"/>
              </w:rPr>
            </w:pPr>
            <w:r>
              <w:rPr>
                <w:rFonts w:ascii="Arial" w:cs="Arial" w:eastAsia="Arial" w:hAnsi="Arial"/>
                <w:sz w:val="14"/>
                <w:szCs w:val="14"/>
                <w:color w:val="auto"/>
              </w:rPr>
              <w:t>Revisions of previous reserves estimates</w:t>
            </w:r>
          </w:p>
        </w:tc>
        <w:tc>
          <w:tcPr>
            <w:tcW w:w="2800" w:type="dxa"/>
            <w:vAlign w:val="bottom"/>
          </w:tcPr>
          <w:p>
            <w:pPr>
              <w:jc w:val="right"/>
              <w:ind w:right="250"/>
              <w:spacing w:after="0"/>
              <w:rPr>
                <w:sz w:val="20"/>
                <w:szCs w:val="20"/>
                <w:color w:val="auto"/>
              </w:rPr>
            </w:pPr>
            <w:r>
              <w:rPr>
                <w:rFonts w:ascii="Arial" w:cs="Arial" w:eastAsia="Arial" w:hAnsi="Arial"/>
                <w:sz w:val="14"/>
                <w:szCs w:val="14"/>
                <w:color w:val="auto"/>
              </w:rPr>
              <w:t>6,451</w:t>
            </w:r>
          </w:p>
        </w:tc>
        <w:tc>
          <w:tcPr>
            <w:tcW w:w="1640" w:type="dxa"/>
            <w:vAlign w:val="bottom"/>
          </w:tcPr>
          <w:p>
            <w:pPr>
              <w:jc w:val="right"/>
              <w:ind w:right="290"/>
              <w:spacing w:after="0"/>
              <w:rPr>
                <w:sz w:val="20"/>
                <w:szCs w:val="20"/>
                <w:color w:val="auto"/>
              </w:rPr>
            </w:pPr>
            <w:r>
              <w:rPr>
                <w:rFonts w:ascii="Arial" w:cs="Arial" w:eastAsia="Arial" w:hAnsi="Arial"/>
                <w:sz w:val="14"/>
                <w:szCs w:val="14"/>
                <w:color w:val="auto"/>
              </w:rPr>
              <w:t>(28)</w:t>
            </w:r>
          </w:p>
        </w:tc>
        <w:tc>
          <w:tcPr>
            <w:tcW w:w="1380" w:type="dxa"/>
            <w:vAlign w:val="bottom"/>
          </w:tcPr>
          <w:p>
            <w:pPr>
              <w:jc w:val="right"/>
              <w:ind w:right="269"/>
              <w:spacing w:after="0"/>
              <w:rPr>
                <w:sz w:val="20"/>
                <w:szCs w:val="20"/>
                <w:color w:val="auto"/>
              </w:rPr>
            </w:pPr>
            <w:r>
              <w:rPr>
                <w:rFonts w:ascii="Arial" w:cs="Arial" w:eastAsia="Arial" w:hAnsi="Arial"/>
                <w:sz w:val="14"/>
                <w:szCs w:val="14"/>
                <w:color w:val="auto"/>
              </w:rPr>
              <w:t>6,423</w:t>
            </w:r>
          </w:p>
        </w:tc>
        <w:tc>
          <w:tcPr>
            <w:tcW w:w="0" w:type="dxa"/>
            <w:vAlign w:val="bottom"/>
          </w:tcPr>
          <w:p>
            <w:pPr>
              <w:spacing w:after="0"/>
              <w:rPr>
                <w:sz w:val="1"/>
                <w:szCs w:val="1"/>
                <w:color w:val="auto"/>
              </w:rPr>
            </w:pPr>
          </w:p>
        </w:tc>
      </w:tr>
      <w:tr>
        <w:trPr>
          <w:trHeight w:val="162"/>
        </w:trPr>
        <w:tc>
          <w:tcPr>
            <w:tcW w:w="5600" w:type="dxa"/>
            <w:vAlign w:val="bottom"/>
            <w:gridSpan w:val="2"/>
          </w:tcPr>
          <w:p>
            <w:pPr>
              <w:spacing w:after="0"/>
              <w:rPr>
                <w:sz w:val="20"/>
                <w:szCs w:val="20"/>
                <w:color w:val="auto"/>
              </w:rPr>
            </w:pPr>
            <w:r>
              <w:rPr>
                <w:rFonts w:ascii="Arial" w:cs="Arial" w:eastAsia="Arial" w:hAnsi="Arial"/>
                <w:sz w:val="14"/>
                <w:szCs w:val="14"/>
                <w:color w:val="auto"/>
              </w:rPr>
              <w:t>Extensions, discoveries and improved recovery</w:t>
            </w:r>
          </w:p>
        </w:tc>
        <w:tc>
          <w:tcPr>
            <w:tcW w:w="2800" w:type="dxa"/>
            <w:vAlign w:val="bottom"/>
          </w:tcPr>
          <w:p>
            <w:pPr>
              <w:jc w:val="right"/>
              <w:ind w:right="250"/>
              <w:spacing w:after="0"/>
              <w:rPr>
                <w:sz w:val="20"/>
                <w:szCs w:val="20"/>
                <w:color w:val="auto"/>
              </w:rPr>
            </w:pPr>
            <w:r>
              <w:rPr>
                <w:rFonts w:ascii="Arial" w:cs="Arial" w:eastAsia="Arial" w:hAnsi="Arial"/>
                <w:sz w:val="14"/>
                <w:szCs w:val="14"/>
                <w:color w:val="auto"/>
              </w:rPr>
              <w:t>2,837</w:t>
            </w:r>
          </w:p>
        </w:tc>
        <w:tc>
          <w:tcPr>
            <w:tcW w:w="1640" w:type="dxa"/>
            <w:vAlign w:val="bottom"/>
          </w:tcPr>
          <w:p>
            <w:pPr>
              <w:jc w:val="right"/>
              <w:ind w:right="330"/>
              <w:spacing w:after="0"/>
              <w:rPr>
                <w:sz w:val="20"/>
                <w:szCs w:val="20"/>
                <w:color w:val="auto"/>
              </w:rPr>
            </w:pPr>
            <w:r>
              <w:rPr>
                <w:rFonts w:ascii="Arial" w:cs="Arial" w:eastAsia="Arial" w:hAnsi="Arial"/>
                <w:sz w:val="14"/>
                <w:szCs w:val="14"/>
                <w:color w:val="auto"/>
              </w:rPr>
              <w:t>191</w:t>
            </w:r>
          </w:p>
        </w:tc>
        <w:tc>
          <w:tcPr>
            <w:tcW w:w="1380" w:type="dxa"/>
            <w:vAlign w:val="bottom"/>
          </w:tcPr>
          <w:p>
            <w:pPr>
              <w:jc w:val="right"/>
              <w:ind w:right="269"/>
              <w:spacing w:after="0"/>
              <w:rPr>
                <w:sz w:val="20"/>
                <w:szCs w:val="20"/>
                <w:color w:val="auto"/>
              </w:rPr>
            </w:pPr>
            <w:r>
              <w:rPr>
                <w:rFonts w:ascii="Arial" w:cs="Arial" w:eastAsia="Arial" w:hAnsi="Arial"/>
                <w:sz w:val="14"/>
                <w:szCs w:val="14"/>
                <w:color w:val="auto"/>
              </w:rPr>
              <w:t>3,028</w:t>
            </w:r>
          </w:p>
        </w:tc>
        <w:tc>
          <w:tcPr>
            <w:tcW w:w="0" w:type="dxa"/>
            <w:vAlign w:val="bottom"/>
          </w:tcPr>
          <w:p>
            <w:pPr>
              <w:spacing w:after="0"/>
              <w:rPr>
                <w:sz w:val="1"/>
                <w:szCs w:val="1"/>
                <w:color w:val="auto"/>
              </w:rPr>
            </w:pPr>
          </w:p>
        </w:tc>
      </w:tr>
      <w:tr>
        <w:trPr>
          <w:trHeight w:val="162"/>
        </w:trPr>
        <w:tc>
          <w:tcPr>
            <w:tcW w:w="5600" w:type="dxa"/>
            <w:vAlign w:val="bottom"/>
            <w:gridSpan w:val="2"/>
          </w:tcPr>
          <w:p>
            <w:pPr>
              <w:spacing w:after="0"/>
              <w:rPr>
                <w:sz w:val="20"/>
                <w:szCs w:val="20"/>
                <w:color w:val="auto"/>
              </w:rPr>
            </w:pPr>
            <w:r>
              <w:rPr>
                <w:rFonts w:ascii="Arial" w:cs="Arial" w:eastAsia="Arial" w:hAnsi="Arial"/>
                <w:sz w:val="14"/>
                <w:szCs w:val="14"/>
                <w:color w:val="auto"/>
              </w:rPr>
              <w:t>Purchases and sales of minerals in place</w:t>
            </w:r>
          </w:p>
        </w:tc>
        <w:tc>
          <w:tcPr>
            <w:tcW w:w="2800" w:type="dxa"/>
            <w:vAlign w:val="bottom"/>
          </w:tcPr>
          <w:p>
            <w:pPr>
              <w:jc w:val="right"/>
              <w:ind w:right="250"/>
              <w:spacing w:after="0"/>
              <w:rPr>
                <w:sz w:val="20"/>
                <w:szCs w:val="20"/>
                <w:color w:val="auto"/>
              </w:rPr>
            </w:pPr>
            <w:r>
              <w:rPr>
                <w:rFonts w:ascii="Arial" w:cs="Arial" w:eastAsia="Arial" w:hAnsi="Arial"/>
                <w:sz w:val="14"/>
                <w:szCs w:val="14"/>
                <w:color w:val="auto"/>
              </w:rPr>
              <w:t>(2,551)</w:t>
            </w:r>
          </w:p>
        </w:tc>
        <w:tc>
          <w:tcPr>
            <w:tcW w:w="1640" w:type="dxa"/>
            <w:vAlign w:val="bottom"/>
          </w:tcPr>
          <w:p>
            <w:pPr>
              <w:jc w:val="right"/>
              <w:ind w:right="290"/>
              <w:spacing w:after="0"/>
              <w:rPr>
                <w:sz w:val="20"/>
                <w:szCs w:val="20"/>
                <w:color w:val="auto"/>
              </w:rPr>
            </w:pPr>
            <w:r>
              <w:rPr>
                <w:rFonts w:ascii="Arial" w:cs="Arial" w:eastAsia="Arial" w:hAnsi="Arial"/>
                <w:sz w:val="14"/>
                <w:szCs w:val="14"/>
                <w:color w:val="auto"/>
              </w:rPr>
              <w:t>(1,497)</w:t>
            </w:r>
          </w:p>
        </w:tc>
        <w:tc>
          <w:tcPr>
            <w:tcW w:w="1380" w:type="dxa"/>
            <w:vAlign w:val="bottom"/>
          </w:tcPr>
          <w:p>
            <w:pPr>
              <w:jc w:val="right"/>
              <w:ind w:right="209"/>
              <w:spacing w:after="0"/>
              <w:rPr>
                <w:sz w:val="20"/>
                <w:szCs w:val="20"/>
                <w:color w:val="auto"/>
              </w:rPr>
            </w:pPr>
            <w:r>
              <w:rPr>
                <w:rFonts w:ascii="Arial" w:cs="Arial" w:eastAsia="Arial" w:hAnsi="Arial"/>
                <w:sz w:val="14"/>
                <w:szCs w:val="14"/>
                <w:color w:val="auto"/>
              </w:rPr>
              <w:t>(4,048)</w:t>
            </w:r>
          </w:p>
        </w:tc>
        <w:tc>
          <w:tcPr>
            <w:tcW w:w="0" w:type="dxa"/>
            <w:vAlign w:val="bottom"/>
          </w:tcPr>
          <w:p>
            <w:pPr>
              <w:spacing w:after="0"/>
              <w:rPr>
                <w:sz w:val="1"/>
                <w:szCs w:val="1"/>
                <w:color w:val="auto"/>
              </w:rPr>
            </w:pPr>
          </w:p>
        </w:tc>
      </w:tr>
      <w:tr>
        <w:trPr>
          <w:trHeight w:val="162"/>
        </w:trPr>
        <w:tc>
          <w:tcPr>
            <w:tcW w:w="5600" w:type="dxa"/>
            <w:vAlign w:val="bottom"/>
            <w:gridSpan w:val="2"/>
          </w:tcPr>
          <w:p>
            <w:pPr>
              <w:spacing w:after="0"/>
              <w:rPr>
                <w:sz w:val="20"/>
                <w:szCs w:val="20"/>
                <w:color w:val="auto"/>
              </w:rPr>
            </w:pPr>
            <w:r>
              <w:rPr>
                <w:rFonts w:ascii="Arial" w:cs="Arial" w:eastAsia="Arial" w:hAnsi="Arial"/>
                <w:sz w:val="14"/>
                <w:szCs w:val="14"/>
                <w:color w:val="auto"/>
              </w:rPr>
              <w:t>Development cost related to future production</w:t>
            </w:r>
          </w:p>
        </w:tc>
        <w:tc>
          <w:tcPr>
            <w:tcW w:w="2800" w:type="dxa"/>
            <w:vAlign w:val="bottom"/>
          </w:tcPr>
          <w:p>
            <w:pPr>
              <w:jc w:val="right"/>
              <w:ind w:right="250"/>
              <w:spacing w:after="0"/>
              <w:rPr>
                <w:sz w:val="20"/>
                <w:szCs w:val="20"/>
                <w:color w:val="auto"/>
              </w:rPr>
            </w:pPr>
            <w:r>
              <w:rPr>
                <w:rFonts w:ascii="Arial" w:cs="Arial" w:eastAsia="Arial" w:hAnsi="Arial"/>
                <w:sz w:val="14"/>
                <w:szCs w:val="14"/>
                <w:color w:val="auto"/>
              </w:rPr>
              <w:t>(9,372)</w:t>
            </w:r>
          </w:p>
        </w:tc>
        <w:tc>
          <w:tcPr>
            <w:tcW w:w="1640" w:type="dxa"/>
            <w:vAlign w:val="bottom"/>
          </w:tcPr>
          <w:p>
            <w:pPr>
              <w:jc w:val="right"/>
              <w:ind w:right="290"/>
              <w:spacing w:after="0"/>
              <w:rPr>
                <w:sz w:val="20"/>
                <w:szCs w:val="20"/>
                <w:color w:val="auto"/>
              </w:rPr>
            </w:pPr>
            <w:r>
              <w:rPr>
                <w:rFonts w:ascii="Arial" w:cs="Arial" w:eastAsia="Arial" w:hAnsi="Arial"/>
                <w:sz w:val="14"/>
                <w:szCs w:val="14"/>
                <w:color w:val="auto"/>
              </w:rPr>
              <w:t>(1,362)</w:t>
            </w:r>
          </w:p>
        </w:tc>
        <w:tc>
          <w:tcPr>
            <w:tcW w:w="1380" w:type="dxa"/>
            <w:vAlign w:val="bottom"/>
          </w:tcPr>
          <w:p>
            <w:pPr>
              <w:jc w:val="right"/>
              <w:ind w:right="209"/>
              <w:spacing w:after="0"/>
              <w:rPr>
                <w:sz w:val="20"/>
                <w:szCs w:val="20"/>
                <w:color w:val="auto"/>
              </w:rPr>
            </w:pPr>
            <w:r>
              <w:rPr>
                <w:rFonts w:ascii="Arial" w:cs="Arial" w:eastAsia="Arial" w:hAnsi="Arial"/>
                <w:sz w:val="14"/>
                <w:szCs w:val="14"/>
                <w:color w:val="auto"/>
              </w:rPr>
              <w:t>(10,734)</w:t>
            </w:r>
          </w:p>
        </w:tc>
        <w:tc>
          <w:tcPr>
            <w:tcW w:w="0" w:type="dxa"/>
            <w:vAlign w:val="bottom"/>
          </w:tcPr>
          <w:p>
            <w:pPr>
              <w:spacing w:after="0"/>
              <w:rPr>
                <w:sz w:val="1"/>
                <w:szCs w:val="1"/>
                <w:color w:val="auto"/>
              </w:rPr>
            </w:pPr>
          </w:p>
        </w:tc>
      </w:tr>
      <w:tr>
        <w:trPr>
          <w:trHeight w:val="162"/>
        </w:trPr>
        <w:tc>
          <w:tcPr>
            <w:tcW w:w="5600" w:type="dxa"/>
            <w:vAlign w:val="bottom"/>
            <w:gridSpan w:val="2"/>
          </w:tcPr>
          <w:p>
            <w:pPr>
              <w:spacing w:after="0"/>
              <w:rPr>
                <w:sz w:val="20"/>
                <w:szCs w:val="20"/>
                <w:color w:val="auto"/>
              </w:rPr>
            </w:pPr>
            <w:r>
              <w:rPr>
                <w:rFonts w:ascii="Arial" w:cs="Arial" w:eastAsia="Arial" w:hAnsi="Arial"/>
                <w:sz w:val="14"/>
                <w:szCs w:val="14"/>
                <w:color w:val="auto"/>
              </w:rPr>
              <w:t>Sales and transfers of oil and gas, net of production costs</w:t>
            </w:r>
          </w:p>
        </w:tc>
        <w:tc>
          <w:tcPr>
            <w:tcW w:w="2800" w:type="dxa"/>
            <w:vAlign w:val="bottom"/>
          </w:tcPr>
          <w:p>
            <w:pPr>
              <w:jc w:val="right"/>
              <w:ind w:right="250"/>
              <w:spacing w:after="0"/>
              <w:rPr>
                <w:sz w:val="20"/>
                <w:szCs w:val="20"/>
                <w:color w:val="auto"/>
              </w:rPr>
            </w:pPr>
            <w:r>
              <w:rPr>
                <w:rFonts w:ascii="Arial" w:cs="Arial" w:eastAsia="Arial" w:hAnsi="Arial"/>
                <w:sz w:val="14"/>
                <w:szCs w:val="14"/>
                <w:color w:val="auto"/>
              </w:rPr>
              <w:t>(40,495)</w:t>
            </w:r>
          </w:p>
        </w:tc>
        <w:tc>
          <w:tcPr>
            <w:tcW w:w="1640" w:type="dxa"/>
            <w:vAlign w:val="bottom"/>
          </w:tcPr>
          <w:p>
            <w:pPr>
              <w:jc w:val="right"/>
              <w:ind w:right="290"/>
              <w:spacing w:after="0"/>
              <w:rPr>
                <w:sz w:val="20"/>
                <w:szCs w:val="20"/>
                <w:color w:val="auto"/>
              </w:rPr>
            </w:pPr>
            <w:r>
              <w:rPr>
                <w:rFonts w:ascii="Arial" w:cs="Arial" w:eastAsia="Arial" w:hAnsi="Arial"/>
                <w:sz w:val="14"/>
                <w:szCs w:val="14"/>
                <w:color w:val="auto"/>
              </w:rPr>
              <w:t>(7,401)</w:t>
            </w:r>
          </w:p>
        </w:tc>
        <w:tc>
          <w:tcPr>
            <w:tcW w:w="1380" w:type="dxa"/>
            <w:vAlign w:val="bottom"/>
          </w:tcPr>
          <w:p>
            <w:pPr>
              <w:jc w:val="right"/>
              <w:ind w:right="209"/>
              <w:spacing w:after="0"/>
              <w:rPr>
                <w:sz w:val="20"/>
                <w:szCs w:val="20"/>
                <w:color w:val="auto"/>
              </w:rPr>
            </w:pPr>
            <w:r>
              <w:rPr>
                <w:rFonts w:ascii="Arial" w:cs="Arial" w:eastAsia="Arial" w:hAnsi="Arial"/>
                <w:sz w:val="14"/>
                <w:szCs w:val="14"/>
                <w:color w:val="auto"/>
              </w:rPr>
              <w:t>(47,896)</w:t>
            </w:r>
          </w:p>
        </w:tc>
        <w:tc>
          <w:tcPr>
            <w:tcW w:w="0" w:type="dxa"/>
            <w:vAlign w:val="bottom"/>
          </w:tcPr>
          <w:p>
            <w:pPr>
              <w:spacing w:after="0"/>
              <w:rPr>
                <w:sz w:val="1"/>
                <w:szCs w:val="1"/>
                <w:color w:val="auto"/>
              </w:rPr>
            </w:pPr>
          </w:p>
        </w:tc>
      </w:tr>
      <w:tr>
        <w:trPr>
          <w:trHeight w:val="162"/>
        </w:trPr>
        <w:tc>
          <w:tcPr>
            <w:tcW w:w="5600" w:type="dxa"/>
            <w:vAlign w:val="bottom"/>
            <w:gridSpan w:val="2"/>
          </w:tcPr>
          <w:p>
            <w:pPr>
              <w:spacing w:after="0"/>
              <w:rPr>
                <w:sz w:val="20"/>
                <w:szCs w:val="20"/>
                <w:color w:val="auto"/>
              </w:rPr>
            </w:pPr>
            <w:r>
              <w:rPr>
                <w:rFonts w:ascii="Arial" w:cs="Arial" w:eastAsia="Arial" w:hAnsi="Arial"/>
                <w:sz w:val="14"/>
                <w:szCs w:val="14"/>
                <w:color w:val="auto"/>
              </w:rPr>
              <w:t>Development cost incurred during the year</w:t>
            </w:r>
          </w:p>
        </w:tc>
        <w:tc>
          <w:tcPr>
            <w:tcW w:w="2800" w:type="dxa"/>
            <w:vAlign w:val="bottom"/>
          </w:tcPr>
          <w:p>
            <w:pPr>
              <w:jc w:val="right"/>
              <w:ind w:right="250"/>
              <w:spacing w:after="0"/>
              <w:rPr>
                <w:sz w:val="20"/>
                <w:szCs w:val="20"/>
                <w:color w:val="auto"/>
              </w:rPr>
            </w:pPr>
            <w:r>
              <w:rPr>
                <w:rFonts w:ascii="Arial" w:cs="Arial" w:eastAsia="Arial" w:hAnsi="Arial"/>
                <w:sz w:val="14"/>
                <w:szCs w:val="14"/>
                <w:color w:val="auto"/>
              </w:rPr>
              <w:t>22,619</w:t>
            </w:r>
          </w:p>
        </w:tc>
        <w:tc>
          <w:tcPr>
            <w:tcW w:w="1640" w:type="dxa"/>
            <w:vAlign w:val="bottom"/>
          </w:tcPr>
          <w:p>
            <w:pPr>
              <w:jc w:val="right"/>
              <w:ind w:right="330"/>
              <w:spacing w:after="0"/>
              <w:rPr>
                <w:sz w:val="20"/>
                <w:szCs w:val="20"/>
                <w:color w:val="auto"/>
              </w:rPr>
            </w:pPr>
            <w:r>
              <w:rPr>
                <w:rFonts w:ascii="Arial" w:cs="Arial" w:eastAsia="Arial" w:hAnsi="Arial"/>
                <w:sz w:val="14"/>
                <w:szCs w:val="14"/>
                <w:color w:val="auto"/>
              </w:rPr>
              <w:t>1,350</w:t>
            </w:r>
          </w:p>
        </w:tc>
        <w:tc>
          <w:tcPr>
            <w:tcW w:w="1380" w:type="dxa"/>
            <w:vAlign w:val="bottom"/>
          </w:tcPr>
          <w:p>
            <w:pPr>
              <w:jc w:val="right"/>
              <w:ind w:right="269"/>
              <w:spacing w:after="0"/>
              <w:rPr>
                <w:sz w:val="20"/>
                <w:szCs w:val="20"/>
                <w:color w:val="auto"/>
              </w:rPr>
            </w:pPr>
            <w:r>
              <w:rPr>
                <w:rFonts w:ascii="Arial" w:cs="Arial" w:eastAsia="Arial" w:hAnsi="Arial"/>
                <w:sz w:val="14"/>
                <w:szCs w:val="14"/>
                <w:color w:val="auto"/>
              </w:rPr>
              <w:t>23,969</w:t>
            </w:r>
          </w:p>
        </w:tc>
        <w:tc>
          <w:tcPr>
            <w:tcW w:w="0" w:type="dxa"/>
            <w:vAlign w:val="bottom"/>
          </w:tcPr>
          <w:p>
            <w:pPr>
              <w:spacing w:after="0"/>
              <w:rPr>
                <w:sz w:val="1"/>
                <w:szCs w:val="1"/>
                <w:color w:val="auto"/>
              </w:rPr>
            </w:pPr>
          </w:p>
        </w:tc>
      </w:tr>
      <w:tr>
        <w:trPr>
          <w:trHeight w:val="162"/>
        </w:trPr>
        <w:tc>
          <w:tcPr>
            <w:tcW w:w="5600" w:type="dxa"/>
            <w:vAlign w:val="bottom"/>
            <w:gridSpan w:val="2"/>
          </w:tcPr>
          <w:p>
            <w:pPr>
              <w:spacing w:after="0"/>
              <w:rPr>
                <w:sz w:val="20"/>
                <w:szCs w:val="20"/>
                <w:color w:val="auto"/>
              </w:rPr>
            </w:pPr>
            <w:r>
              <w:rPr>
                <w:rFonts w:ascii="Arial" w:cs="Arial" w:eastAsia="Arial" w:hAnsi="Arial"/>
                <w:sz w:val="14"/>
                <w:szCs w:val="14"/>
                <w:color w:val="auto"/>
              </w:rPr>
              <w:t>Accretion of discount</w:t>
            </w:r>
          </w:p>
        </w:tc>
        <w:tc>
          <w:tcPr>
            <w:tcW w:w="2800" w:type="dxa"/>
            <w:vAlign w:val="bottom"/>
          </w:tcPr>
          <w:p>
            <w:pPr>
              <w:jc w:val="right"/>
              <w:ind w:right="250"/>
              <w:spacing w:after="0"/>
              <w:rPr>
                <w:sz w:val="20"/>
                <w:szCs w:val="20"/>
                <w:color w:val="auto"/>
              </w:rPr>
            </w:pPr>
            <w:r>
              <w:rPr>
                <w:rFonts w:ascii="Arial" w:cs="Arial" w:eastAsia="Arial" w:hAnsi="Arial"/>
                <w:sz w:val="14"/>
                <w:szCs w:val="14"/>
                <w:color w:val="auto"/>
              </w:rPr>
              <w:t>16,367</w:t>
            </w:r>
          </w:p>
        </w:tc>
        <w:tc>
          <w:tcPr>
            <w:tcW w:w="1640" w:type="dxa"/>
            <w:vAlign w:val="bottom"/>
          </w:tcPr>
          <w:p>
            <w:pPr>
              <w:jc w:val="right"/>
              <w:ind w:right="330"/>
              <w:spacing w:after="0"/>
              <w:rPr>
                <w:sz w:val="20"/>
                <w:szCs w:val="20"/>
                <w:color w:val="auto"/>
              </w:rPr>
            </w:pPr>
            <w:r>
              <w:rPr>
                <w:rFonts w:ascii="Arial" w:cs="Arial" w:eastAsia="Arial" w:hAnsi="Arial"/>
                <w:sz w:val="14"/>
                <w:szCs w:val="14"/>
                <w:color w:val="auto"/>
              </w:rPr>
              <w:t>3,670</w:t>
            </w:r>
          </w:p>
        </w:tc>
        <w:tc>
          <w:tcPr>
            <w:tcW w:w="1380" w:type="dxa"/>
            <w:vAlign w:val="bottom"/>
          </w:tcPr>
          <w:p>
            <w:pPr>
              <w:jc w:val="right"/>
              <w:ind w:right="269"/>
              <w:spacing w:after="0"/>
              <w:rPr>
                <w:sz w:val="20"/>
                <w:szCs w:val="20"/>
                <w:color w:val="auto"/>
              </w:rPr>
            </w:pPr>
            <w:r>
              <w:rPr>
                <w:rFonts w:ascii="Arial" w:cs="Arial" w:eastAsia="Arial" w:hAnsi="Arial"/>
                <w:sz w:val="14"/>
                <w:szCs w:val="14"/>
                <w:color w:val="auto"/>
              </w:rPr>
              <w:t>20,037</w:t>
            </w:r>
          </w:p>
        </w:tc>
        <w:tc>
          <w:tcPr>
            <w:tcW w:w="0" w:type="dxa"/>
            <w:vAlign w:val="bottom"/>
          </w:tcPr>
          <w:p>
            <w:pPr>
              <w:spacing w:after="0"/>
              <w:rPr>
                <w:sz w:val="1"/>
                <w:szCs w:val="1"/>
                <w:color w:val="auto"/>
              </w:rPr>
            </w:pPr>
          </w:p>
        </w:tc>
      </w:tr>
      <w:tr>
        <w:trPr>
          <w:trHeight w:val="157"/>
        </w:trPr>
        <w:tc>
          <w:tcPr>
            <w:tcW w:w="5600" w:type="dxa"/>
            <w:vAlign w:val="bottom"/>
            <w:tcBorders>
              <w:bottom w:val="single" w:sz="8" w:color="auto"/>
            </w:tcBorders>
            <w:gridSpan w:val="2"/>
          </w:tcPr>
          <w:p>
            <w:pPr>
              <w:spacing w:after="0" w:line="157" w:lineRule="exact"/>
              <w:rPr>
                <w:sz w:val="20"/>
                <w:szCs w:val="20"/>
                <w:color w:val="auto"/>
              </w:rPr>
            </w:pPr>
            <w:r>
              <w:rPr>
                <w:rFonts w:ascii="Arial" w:cs="Arial" w:eastAsia="Arial" w:hAnsi="Arial"/>
                <w:sz w:val="14"/>
                <w:szCs w:val="14"/>
                <w:color w:val="auto"/>
              </w:rPr>
              <w:t>Net change in income tax</w:t>
            </w:r>
          </w:p>
        </w:tc>
        <w:tc>
          <w:tcPr>
            <w:tcW w:w="2800" w:type="dxa"/>
            <w:vAlign w:val="bottom"/>
            <w:tcBorders>
              <w:bottom w:val="single" w:sz="8" w:color="auto"/>
            </w:tcBorders>
          </w:tcPr>
          <w:p>
            <w:pPr>
              <w:jc w:val="right"/>
              <w:ind w:right="250"/>
              <w:spacing w:after="0" w:line="157" w:lineRule="exact"/>
              <w:rPr>
                <w:sz w:val="20"/>
                <w:szCs w:val="20"/>
                <w:color w:val="auto"/>
              </w:rPr>
            </w:pPr>
            <w:r>
              <w:rPr>
                <w:rFonts w:ascii="Arial" w:cs="Arial" w:eastAsia="Arial" w:hAnsi="Arial"/>
                <w:sz w:val="14"/>
                <w:szCs w:val="14"/>
                <w:color w:val="auto"/>
              </w:rPr>
              <w:t>13,947</w:t>
            </w:r>
          </w:p>
        </w:tc>
        <w:tc>
          <w:tcPr>
            <w:tcW w:w="1640" w:type="dxa"/>
            <w:vAlign w:val="bottom"/>
            <w:tcBorders>
              <w:bottom w:val="single" w:sz="8" w:color="auto"/>
            </w:tcBorders>
          </w:tcPr>
          <w:p>
            <w:pPr>
              <w:jc w:val="right"/>
              <w:ind w:right="330"/>
              <w:spacing w:after="0" w:line="157" w:lineRule="exact"/>
              <w:rPr>
                <w:sz w:val="20"/>
                <w:szCs w:val="20"/>
                <w:color w:val="auto"/>
              </w:rPr>
            </w:pPr>
            <w:r>
              <w:rPr>
                <w:rFonts w:ascii="Arial" w:cs="Arial" w:eastAsia="Arial" w:hAnsi="Arial"/>
                <w:sz w:val="14"/>
                <w:szCs w:val="14"/>
                <w:color w:val="auto"/>
              </w:rPr>
              <w:t>2,216</w:t>
            </w:r>
          </w:p>
        </w:tc>
        <w:tc>
          <w:tcPr>
            <w:tcW w:w="1380" w:type="dxa"/>
            <w:vAlign w:val="bottom"/>
            <w:tcBorders>
              <w:bottom w:val="single" w:sz="8" w:color="auto"/>
            </w:tcBorders>
          </w:tcPr>
          <w:p>
            <w:pPr>
              <w:jc w:val="right"/>
              <w:ind w:right="269"/>
              <w:spacing w:after="0" w:line="157" w:lineRule="exact"/>
              <w:rPr>
                <w:sz w:val="20"/>
                <w:szCs w:val="20"/>
                <w:color w:val="auto"/>
              </w:rPr>
            </w:pPr>
            <w:r>
              <w:rPr>
                <w:rFonts w:ascii="Arial" w:cs="Arial" w:eastAsia="Arial" w:hAnsi="Arial"/>
                <w:sz w:val="14"/>
                <w:szCs w:val="14"/>
                <w:color w:val="auto"/>
              </w:rPr>
              <w:t>16,163</w:t>
            </w:r>
          </w:p>
        </w:tc>
        <w:tc>
          <w:tcPr>
            <w:tcW w:w="0" w:type="dxa"/>
            <w:vAlign w:val="bottom"/>
          </w:tcPr>
          <w:p>
            <w:pPr>
              <w:spacing w:after="0"/>
              <w:rPr>
                <w:sz w:val="1"/>
                <w:szCs w:val="1"/>
                <w:color w:val="auto"/>
              </w:rPr>
            </w:pPr>
          </w:p>
        </w:tc>
      </w:tr>
      <w:tr>
        <w:trPr>
          <w:trHeight w:val="156"/>
        </w:trPr>
        <w:tc>
          <w:tcPr>
            <w:tcW w:w="5600" w:type="dxa"/>
            <w:vAlign w:val="bottom"/>
            <w:gridSpan w:val="2"/>
          </w:tcPr>
          <w:p>
            <w:pPr>
              <w:spacing w:after="0" w:line="155" w:lineRule="exact"/>
              <w:rPr>
                <w:sz w:val="20"/>
                <w:szCs w:val="20"/>
                <w:color w:val="auto"/>
              </w:rPr>
            </w:pPr>
            <w:r>
              <w:rPr>
                <w:rFonts w:ascii="Arial" w:cs="Arial" w:eastAsia="Arial" w:hAnsi="Arial"/>
                <w:sz w:val="14"/>
                <w:szCs w:val="14"/>
                <w:color w:val="auto"/>
              </w:rPr>
              <w:t>At December 31</w:t>
            </w:r>
          </w:p>
        </w:tc>
        <w:tc>
          <w:tcPr>
            <w:tcW w:w="2800" w:type="dxa"/>
            <w:vAlign w:val="bottom"/>
          </w:tcPr>
          <w:p>
            <w:pPr>
              <w:jc w:val="right"/>
              <w:ind w:right="250"/>
              <w:spacing w:after="0" w:line="155" w:lineRule="exact"/>
              <w:rPr>
                <w:sz w:val="20"/>
                <w:szCs w:val="20"/>
                <w:color w:val="auto"/>
              </w:rPr>
            </w:pPr>
            <w:r>
              <w:rPr>
                <w:rFonts w:ascii="Arial" w:cs="Arial" w:eastAsia="Arial" w:hAnsi="Arial"/>
                <w:sz w:val="14"/>
                <w:szCs w:val="14"/>
                <w:color w:val="auto"/>
              </w:rPr>
              <w:t>78,627</w:t>
            </w:r>
          </w:p>
        </w:tc>
        <w:tc>
          <w:tcPr>
            <w:tcW w:w="1640" w:type="dxa"/>
            <w:vAlign w:val="bottom"/>
          </w:tcPr>
          <w:p>
            <w:pPr>
              <w:jc w:val="right"/>
              <w:ind w:right="330"/>
              <w:spacing w:after="0" w:line="155" w:lineRule="exact"/>
              <w:rPr>
                <w:sz w:val="20"/>
                <w:szCs w:val="20"/>
                <w:color w:val="auto"/>
              </w:rPr>
            </w:pPr>
            <w:r>
              <w:rPr>
                <w:rFonts w:ascii="Arial" w:cs="Arial" w:eastAsia="Arial" w:hAnsi="Arial"/>
                <w:sz w:val="14"/>
                <w:szCs w:val="14"/>
                <w:color w:val="auto"/>
              </w:rPr>
              <w:t>23,344</w:t>
            </w:r>
          </w:p>
        </w:tc>
        <w:tc>
          <w:tcPr>
            <w:tcW w:w="1380" w:type="dxa"/>
            <w:vAlign w:val="bottom"/>
          </w:tcPr>
          <w:p>
            <w:pPr>
              <w:jc w:val="right"/>
              <w:ind w:right="269"/>
              <w:spacing w:after="0" w:line="155" w:lineRule="exact"/>
              <w:rPr>
                <w:sz w:val="20"/>
                <w:szCs w:val="20"/>
                <w:color w:val="auto"/>
              </w:rPr>
            </w:pPr>
            <w:r>
              <w:rPr>
                <w:rFonts w:ascii="Arial" w:cs="Arial" w:eastAsia="Arial" w:hAnsi="Arial"/>
                <w:sz w:val="14"/>
                <w:szCs w:val="14"/>
                <w:color w:val="auto"/>
              </w:rPr>
              <w:t>101,971</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580" w:type="dxa"/>
            <w:vAlign w:val="bottom"/>
            <w:tcBorders>
              <w:top w:val="single" w:sz="8" w:color="auto"/>
            </w:tcBorders>
          </w:tcPr>
          <w:p>
            <w:pPr>
              <w:spacing w:after="0"/>
              <w:rPr>
                <w:sz w:val="18"/>
                <w:szCs w:val="18"/>
                <w:color w:val="auto"/>
              </w:rPr>
            </w:pPr>
          </w:p>
        </w:tc>
        <w:tc>
          <w:tcPr>
            <w:tcW w:w="2800" w:type="dxa"/>
            <w:vAlign w:val="bottom"/>
            <w:tcBorders>
              <w:top w:val="single" w:sz="8" w:color="auto"/>
            </w:tcBorders>
          </w:tcPr>
          <w:p>
            <w:pPr>
              <w:spacing w:after="0"/>
              <w:rPr>
                <w:sz w:val="18"/>
                <w:szCs w:val="18"/>
                <w:color w:val="auto"/>
              </w:rPr>
            </w:pPr>
          </w:p>
        </w:tc>
        <w:tc>
          <w:tcPr>
            <w:tcW w:w="164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5580" w:type="dxa"/>
            <w:vAlign w:val="bottom"/>
            <w:shd w:val="clear" w:color="auto" w:fill="333333"/>
          </w:tcPr>
          <w:p>
            <w:pPr>
              <w:jc w:val="right"/>
              <w:ind w:right="5103"/>
              <w:spacing w:after="0" w:line="162" w:lineRule="exact"/>
              <w:rPr>
                <w:sz w:val="20"/>
                <w:szCs w:val="20"/>
                <w:color w:val="auto"/>
              </w:rPr>
            </w:pPr>
            <w:r>
              <w:rPr>
                <w:rFonts w:ascii="Arial" w:cs="Arial" w:eastAsia="Arial" w:hAnsi="Arial"/>
                <w:sz w:val="15"/>
                <w:szCs w:val="15"/>
                <w:b w:val="1"/>
                <w:bCs w:val="1"/>
                <w:color w:val="FFFFFF"/>
              </w:rPr>
              <w:t>2013</w:t>
            </w:r>
          </w:p>
        </w:tc>
        <w:tc>
          <w:tcPr>
            <w:tcW w:w="2800" w:type="dxa"/>
            <w:vAlign w:val="bottom"/>
            <w:shd w:val="clear" w:color="auto" w:fill="333333"/>
          </w:tcPr>
          <w:p>
            <w:pPr>
              <w:spacing w:after="0"/>
              <w:rPr>
                <w:sz w:val="14"/>
                <w:szCs w:val="14"/>
                <w:color w:val="auto"/>
              </w:rPr>
            </w:pPr>
          </w:p>
        </w:tc>
        <w:tc>
          <w:tcPr>
            <w:tcW w:w="1640" w:type="dxa"/>
            <w:vAlign w:val="bottom"/>
            <w:shd w:val="clear" w:color="auto" w:fill="333333"/>
          </w:tcPr>
          <w:p>
            <w:pPr>
              <w:spacing w:after="0"/>
              <w:rPr>
                <w:sz w:val="14"/>
                <w:szCs w:val="14"/>
                <w:color w:val="auto"/>
              </w:rPr>
            </w:pPr>
          </w:p>
        </w:tc>
        <w:tc>
          <w:tcPr>
            <w:tcW w:w="1380" w:type="dxa"/>
            <w:vAlign w:val="bottom"/>
            <w:shd w:val="clear" w:color="auto" w:fill="333333"/>
          </w:tcPr>
          <w:p>
            <w:pPr>
              <w:jc w:val="right"/>
              <w:ind w:right="269"/>
              <w:spacing w:after="0" w:line="162" w:lineRule="exact"/>
              <w:rPr>
                <w:sz w:val="20"/>
                <w:szCs w:val="20"/>
                <w:color w:val="auto"/>
              </w:rPr>
            </w:pPr>
            <w:r>
              <w:rPr>
                <w:rFonts w:ascii="Arial" w:cs="Arial" w:eastAsia="Arial" w:hAnsi="Arial"/>
                <w:sz w:val="15"/>
                <w:szCs w:val="15"/>
                <w:color w:val="FFFFFF"/>
              </w:rPr>
              <w:t>$ MILLION</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5580" w:type="dxa"/>
            <w:vAlign w:val="bottom"/>
          </w:tcPr>
          <w:p>
            <w:pPr>
              <w:spacing w:after="0"/>
              <w:rPr>
                <w:sz w:val="11"/>
                <w:szCs w:val="11"/>
                <w:color w:val="auto"/>
              </w:rPr>
            </w:pPr>
          </w:p>
        </w:tc>
        <w:tc>
          <w:tcPr>
            <w:tcW w:w="2800" w:type="dxa"/>
            <w:vAlign w:val="bottom"/>
          </w:tcPr>
          <w:p>
            <w:pPr>
              <w:spacing w:after="0"/>
              <w:rPr>
                <w:sz w:val="11"/>
                <w:szCs w:val="11"/>
                <w:color w:val="auto"/>
              </w:rPr>
            </w:pPr>
          </w:p>
        </w:tc>
        <w:tc>
          <w:tcPr>
            <w:tcW w:w="1640" w:type="dxa"/>
            <w:vAlign w:val="bottom"/>
          </w:tcPr>
          <w:p>
            <w:pPr>
              <w:jc w:val="right"/>
              <w:ind w:right="350"/>
              <w:spacing w:after="0" w:line="129" w:lineRule="exact"/>
              <w:rPr>
                <w:sz w:val="20"/>
                <w:szCs w:val="20"/>
                <w:color w:val="auto"/>
              </w:rPr>
            </w:pPr>
            <w:r>
              <w:rPr>
                <w:rFonts w:ascii="Arial" w:cs="Arial" w:eastAsia="Arial" w:hAnsi="Arial"/>
                <w:sz w:val="13"/>
                <w:szCs w:val="13"/>
                <w:color w:val="auto"/>
              </w:rPr>
              <w:t>Shell share</w:t>
            </w:r>
          </w:p>
        </w:tc>
        <w:tc>
          <w:tcPr>
            <w:tcW w:w="13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580" w:type="dxa"/>
            <w:vAlign w:val="bottom"/>
          </w:tcPr>
          <w:p>
            <w:pPr>
              <w:spacing w:after="0"/>
              <w:rPr>
                <w:sz w:val="11"/>
                <w:szCs w:val="11"/>
                <w:color w:val="auto"/>
              </w:rPr>
            </w:pPr>
          </w:p>
        </w:tc>
        <w:tc>
          <w:tcPr>
            <w:tcW w:w="2800" w:type="dxa"/>
            <w:vAlign w:val="bottom"/>
          </w:tcPr>
          <w:p>
            <w:pPr>
              <w:jc w:val="right"/>
              <w:ind w:right="350"/>
              <w:spacing w:after="0" w:line="135" w:lineRule="exact"/>
              <w:rPr>
                <w:sz w:val="20"/>
                <w:szCs w:val="20"/>
                <w:color w:val="auto"/>
              </w:rPr>
            </w:pPr>
            <w:r>
              <w:rPr>
                <w:rFonts w:ascii="Arial" w:cs="Arial" w:eastAsia="Arial" w:hAnsi="Arial"/>
                <w:sz w:val="13"/>
                <w:szCs w:val="13"/>
                <w:color w:val="auto"/>
              </w:rPr>
              <w:t>Shell</w:t>
            </w:r>
          </w:p>
        </w:tc>
        <w:tc>
          <w:tcPr>
            <w:tcW w:w="1640" w:type="dxa"/>
            <w:vAlign w:val="bottom"/>
          </w:tcPr>
          <w:p>
            <w:pPr>
              <w:jc w:val="right"/>
              <w:ind w:right="350"/>
              <w:spacing w:after="0" w:line="135" w:lineRule="exact"/>
              <w:rPr>
                <w:sz w:val="20"/>
                <w:szCs w:val="20"/>
                <w:color w:val="auto"/>
              </w:rPr>
            </w:pPr>
            <w:r>
              <w:rPr>
                <w:rFonts w:ascii="Arial" w:cs="Arial" w:eastAsia="Arial" w:hAnsi="Arial"/>
                <w:sz w:val="13"/>
                <w:szCs w:val="13"/>
                <w:color w:val="auto"/>
              </w:rPr>
              <w:t>of joint ventures</w:t>
            </w:r>
          </w:p>
        </w:tc>
        <w:tc>
          <w:tcPr>
            <w:tcW w:w="13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5580" w:type="dxa"/>
            <w:vAlign w:val="bottom"/>
            <w:tcBorders>
              <w:bottom w:val="single" w:sz="8" w:color="auto"/>
            </w:tcBorders>
          </w:tcPr>
          <w:p>
            <w:pPr>
              <w:spacing w:after="0"/>
              <w:rPr>
                <w:sz w:val="13"/>
                <w:szCs w:val="13"/>
                <w:color w:val="auto"/>
              </w:rPr>
            </w:pPr>
          </w:p>
        </w:tc>
        <w:tc>
          <w:tcPr>
            <w:tcW w:w="2800" w:type="dxa"/>
            <w:vAlign w:val="bottom"/>
            <w:tcBorders>
              <w:bottom w:val="single" w:sz="8" w:color="auto"/>
            </w:tcBorders>
          </w:tcPr>
          <w:p>
            <w:pPr>
              <w:jc w:val="right"/>
              <w:ind w:right="350"/>
              <w:spacing w:after="0"/>
              <w:rPr>
                <w:sz w:val="20"/>
                <w:szCs w:val="20"/>
                <w:color w:val="auto"/>
              </w:rPr>
            </w:pPr>
            <w:r>
              <w:rPr>
                <w:rFonts w:ascii="Arial" w:cs="Arial" w:eastAsia="Arial" w:hAnsi="Arial"/>
                <w:sz w:val="13"/>
                <w:szCs w:val="13"/>
                <w:color w:val="auto"/>
              </w:rPr>
              <w:t>subsidiaries</w:t>
            </w:r>
          </w:p>
        </w:tc>
        <w:tc>
          <w:tcPr>
            <w:tcW w:w="1640" w:type="dxa"/>
            <w:vAlign w:val="bottom"/>
            <w:tcBorders>
              <w:bottom w:val="single" w:sz="8" w:color="auto"/>
            </w:tcBorders>
          </w:tcPr>
          <w:p>
            <w:pPr>
              <w:jc w:val="right"/>
              <w:ind w:right="350"/>
              <w:spacing w:after="0"/>
              <w:rPr>
                <w:sz w:val="20"/>
                <w:szCs w:val="20"/>
                <w:color w:val="auto"/>
              </w:rPr>
            </w:pPr>
            <w:r>
              <w:rPr>
                <w:rFonts w:ascii="Arial" w:cs="Arial" w:eastAsia="Arial" w:hAnsi="Arial"/>
                <w:sz w:val="13"/>
                <w:szCs w:val="13"/>
                <w:color w:val="auto"/>
              </w:rPr>
              <w:t>and associates</w:t>
            </w:r>
          </w:p>
        </w:tc>
        <w:tc>
          <w:tcPr>
            <w:tcW w:w="1380" w:type="dxa"/>
            <w:vAlign w:val="bottom"/>
            <w:tcBorders>
              <w:bottom w:val="single" w:sz="8" w:color="auto"/>
            </w:tcBorders>
          </w:tcPr>
          <w:p>
            <w:pPr>
              <w:jc w:val="right"/>
              <w:ind w:right="269"/>
              <w:spacing w:after="0"/>
              <w:rPr>
                <w:sz w:val="20"/>
                <w:szCs w:val="20"/>
                <w:color w:val="auto"/>
              </w:rPr>
            </w:pPr>
            <w:r>
              <w:rPr>
                <w:rFonts w:ascii="Arial" w:cs="Arial" w:eastAsia="Arial" w:hAnsi="Arial"/>
                <w:sz w:val="13"/>
                <w:szCs w:val="13"/>
                <w:color w:val="auto"/>
              </w:rPr>
              <w:t>Total</w:t>
            </w:r>
          </w:p>
        </w:tc>
        <w:tc>
          <w:tcPr>
            <w:tcW w:w="0" w:type="dxa"/>
            <w:vAlign w:val="bottom"/>
          </w:tcPr>
          <w:p>
            <w:pPr>
              <w:spacing w:after="0"/>
              <w:rPr>
                <w:sz w:val="1"/>
                <w:szCs w:val="1"/>
                <w:color w:val="auto"/>
              </w:rPr>
            </w:pPr>
          </w:p>
        </w:tc>
      </w:tr>
      <w:tr>
        <w:trPr>
          <w:trHeight w:val="160"/>
        </w:trPr>
        <w:tc>
          <w:tcPr>
            <w:tcW w:w="5600" w:type="dxa"/>
            <w:vAlign w:val="bottom"/>
            <w:gridSpan w:val="2"/>
          </w:tcPr>
          <w:p>
            <w:pPr>
              <w:spacing w:after="0"/>
              <w:rPr>
                <w:sz w:val="20"/>
                <w:szCs w:val="20"/>
                <w:color w:val="auto"/>
              </w:rPr>
            </w:pPr>
            <w:r>
              <w:rPr>
                <w:rFonts w:ascii="Arial" w:cs="Arial" w:eastAsia="Arial" w:hAnsi="Arial"/>
                <w:sz w:val="14"/>
                <w:szCs w:val="14"/>
                <w:color w:val="auto"/>
              </w:rPr>
              <w:t>At January 1</w:t>
            </w:r>
          </w:p>
        </w:tc>
        <w:tc>
          <w:tcPr>
            <w:tcW w:w="2800" w:type="dxa"/>
            <w:vAlign w:val="bottom"/>
          </w:tcPr>
          <w:p>
            <w:pPr>
              <w:jc w:val="right"/>
              <w:ind w:right="350"/>
              <w:spacing w:after="0"/>
              <w:rPr>
                <w:sz w:val="20"/>
                <w:szCs w:val="20"/>
                <w:color w:val="auto"/>
              </w:rPr>
            </w:pPr>
            <w:r>
              <w:rPr>
                <w:rFonts w:ascii="Arial" w:cs="Arial" w:eastAsia="Arial" w:hAnsi="Arial"/>
                <w:sz w:val="14"/>
                <w:szCs w:val="14"/>
                <w:color w:val="auto"/>
              </w:rPr>
              <w:t>85,078</w:t>
            </w:r>
          </w:p>
        </w:tc>
        <w:tc>
          <w:tcPr>
            <w:tcW w:w="1640" w:type="dxa"/>
            <w:vAlign w:val="bottom"/>
          </w:tcPr>
          <w:p>
            <w:pPr>
              <w:jc w:val="right"/>
              <w:ind w:right="350"/>
              <w:spacing w:after="0"/>
              <w:rPr>
                <w:sz w:val="20"/>
                <w:szCs w:val="20"/>
                <w:color w:val="auto"/>
              </w:rPr>
            </w:pPr>
            <w:r>
              <w:rPr>
                <w:rFonts w:ascii="Arial" w:cs="Arial" w:eastAsia="Arial" w:hAnsi="Arial"/>
                <w:sz w:val="14"/>
                <w:szCs w:val="14"/>
                <w:color w:val="auto"/>
              </w:rPr>
              <w:t>33,846</w:t>
            </w:r>
          </w:p>
        </w:tc>
        <w:tc>
          <w:tcPr>
            <w:tcW w:w="1380" w:type="dxa"/>
            <w:vAlign w:val="bottom"/>
          </w:tcPr>
          <w:p>
            <w:pPr>
              <w:jc w:val="right"/>
              <w:ind w:right="269"/>
              <w:spacing w:after="0"/>
              <w:rPr>
                <w:sz w:val="20"/>
                <w:szCs w:val="20"/>
                <w:color w:val="auto"/>
              </w:rPr>
            </w:pPr>
            <w:r>
              <w:rPr>
                <w:rFonts w:ascii="Arial" w:cs="Arial" w:eastAsia="Arial" w:hAnsi="Arial"/>
                <w:sz w:val="14"/>
                <w:szCs w:val="14"/>
                <w:color w:val="auto"/>
              </w:rPr>
              <w:t>118,924</w:t>
            </w:r>
          </w:p>
        </w:tc>
        <w:tc>
          <w:tcPr>
            <w:tcW w:w="0" w:type="dxa"/>
            <w:vAlign w:val="bottom"/>
          </w:tcPr>
          <w:p>
            <w:pPr>
              <w:spacing w:after="0"/>
              <w:rPr>
                <w:sz w:val="1"/>
                <w:szCs w:val="1"/>
                <w:color w:val="auto"/>
              </w:rPr>
            </w:pPr>
          </w:p>
        </w:tc>
      </w:tr>
      <w:tr>
        <w:trPr>
          <w:trHeight w:val="162"/>
        </w:trPr>
        <w:tc>
          <w:tcPr>
            <w:tcW w:w="5600" w:type="dxa"/>
            <w:vAlign w:val="bottom"/>
            <w:gridSpan w:val="2"/>
          </w:tcPr>
          <w:p>
            <w:pPr>
              <w:spacing w:after="0"/>
              <w:rPr>
                <w:sz w:val="20"/>
                <w:szCs w:val="20"/>
                <w:color w:val="auto"/>
              </w:rPr>
            </w:pPr>
            <w:r>
              <w:rPr>
                <w:rFonts w:ascii="Arial" w:cs="Arial" w:eastAsia="Arial" w:hAnsi="Arial"/>
                <w:sz w:val="14"/>
                <w:szCs w:val="14"/>
                <w:color w:val="auto"/>
              </w:rPr>
              <w:t>IFRS 11 reclassification</w:t>
            </w:r>
          </w:p>
        </w:tc>
        <w:tc>
          <w:tcPr>
            <w:tcW w:w="2800" w:type="dxa"/>
            <w:vAlign w:val="bottom"/>
          </w:tcPr>
          <w:p>
            <w:pPr>
              <w:jc w:val="right"/>
              <w:ind w:right="350"/>
              <w:spacing w:after="0"/>
              <w:rPr>
                <w:sz w:val="20"/>
                <w:szCs w:val="20"/>
                <w:color w:val="auto"/>
              </w:rPr>
            </w:pPr>
            <w:r>
              <w:rPr>
                <w:rFonts w:ascii="Arial" w:cs="Arial" w:eastAsia="Arial" w:hAnsi="Arial"/>
                <w:sz w:val="14"/>
                <w:szCs w:val="14"/>
                <w:color w:val="auto"/>
              </w:rPr>
              <w:t>6,884</w:t>
            </w:r>
          </w:p>
        </w:tc>
        <w:tc>
          <w:tcPr>
            <w:tcW w:w="1640" w:type="dxa"/>
            <w:vAlign w:val="bottom"/>
          </w:tcPr>
          <w:p>
            <w:pPr>
              <w:jc w:val="right"/>
              <w:ind w:right="310"/>
              <w:spacing w:after="0"/>
              <w:rPr>
                <w:sz w:val="20"/>
                <w:szCs w:val="20"/>
                <w:color w:val="auto"/>
              </w:rPr>
            </w:pPr>
            <w:r>
              <w:rPr>
                <w:rFonts w:ascii="Arial" w:cs="Arial" w:eastAsia="Arial" w:hAnsi="Arial"/>
                <w:sz w:val="14"/>
                <w:szCs w:val="14"/>
                <w:color w:val="auto"/>
              </w:rPr>
              <w:t>(6,884)</w:t>
            </w:r>
          </w:p>
        </w:tc>
        <w:tc>
          <w:tcPr>
            <w:tcW w:w="1380" w:type="dxa"/>
            <w:vAlign w:val="bottom"/>
          </w:tcPr>
          <w:p>
            <w:pPr>
              <w:jc w:val="right"/>
              <w:ind w:right="26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5600" w:type="dxa"/>
            <w:vAlign w:val="bottom"/>
            <w:gridSpan w:val="2"/>
          </w:tcPr>
          <w:p>
            <w:pPr>
              <w:spacing w:after="0"/>
              <w:rPr>
                <w:sz w:val="20"/>
                <w:szCs w:val="20"/>
                <w:color w:val="auto"/>
              </w:rPr>
            </w:pPr>
            <w:r>
              <w:rPr>
                <w:rFonts w:ascii="Arial" w:cs="Arial" w:eastAsia="Arial" w:hAnsi="Arial"/>
                <w:sz w:val="14"/>
                <w:szCs w:val="14"/>
                <w:color w:val="auto"/>
              </w:rPr>
              <w:t>Net changes in prices and production costs</w:t>
            </w:r>
          </w:p>
        </w:tc>
        <w:tc>
          <w:tcPr>
            <w:tcW w:w="2800" w:type="dxa"/>
            <w:vAlign w:val="bottom"/>
          </w:tcPr>
          <w:p>
            <w:pPr>
              <w:jc w:val="right"/>
              <w:ind w:right="290"/>
              <w:spacing w:after="0"/>
              <w:rPr>
                <w:sz w:val="20"/>
                <w:szCs w:val="20"/>
                <w:color w:val="auto"/>
              </w:rPr>
            </w:pPr>
            <w:r>
              <w:rPr>
                <w:rFonts w:ascii="Arial" w:cs="Arial" w:eastAsia="Arial" w:hAnsi="Arial"/>
                <w:sz w:val="14"/>
                <w:szCs w:val="14"/>
                <w:color w:val="auto"/>
              </w:rPr>
              <w:t>(7,375)</w:t>
            </w:r>
          </w:p>
        </w:tc>
        <w:tc>
          <w:tcPr>
            <w:tcW w:w="1640" w:type="dxa"/>
            <w:vAlign w:val="bottom"/>
          </w:tcPr>
          <w:p>
            <w:pPr>
              <w:jc w:val="right"/>
              <w:ind w:right="350"/>
              <w:spacing w:after="0"/>
              <w:rPr>
                <w:sz w:val="20"/>
                <w:szCs w:val="20"/>
                <w:color w:val="auto"/>
              </w:rPr>
            </w:pPr>
            <w:r>
              <w:rPr>
                <w:rFonts w:ascii="Arial" w:cs="Arial" w:eastAsia="Arial" w:hAnsi="Arial"/>
                <w:sz w:val="14"/>
                <w:szCs w:val="14"/>
                <w:color w:val="auto"/>
              </w:rPr>
              <w:t>1,636</w:t>
            </w:r>
          </w:p>
        </w:tc>
        <w:tc>
          <w:tcPr>
            <w:tcW w:w="1380" w:type="dxa"/>
            <w:vAlign w:val="bottom"/>
          </w:tcPr>
          <w:p>
            <w:pPr>
              <w:jc w:val="right"/>
              <w:ind w:right="209"/>
              <w:spacing w:after="0"/>
              <w:rPr>
                <w:sz w:val="20"/>
                <w:szCs w:val="20"/>
                <w:color w:val="auto"/>
              </w:rPr>
            </w:pPr>
            <w:r>
              <w:rPr>
                <w:rFonts w:ascii="Arial" w:cs="Arial" w:eastAsia="Arial" w:hAnsi="Arial"/>
                <w:sz w:val="14"/>
                <w:szCs w:val="14"/>
                <w:color w:val="auto"/>
              </w:rPr>
              <w:t>(5,739)</w:t>
            </w:r>
          </w:p>
        </w:tc>
        <w:tc>
          <w:tcPr>
            <w:tcW w:w="0" w:type="dxa"/>
            <w:vAlign w:val="bottom"/>
          </w:tcPr>
          <w:p>
            <w:pPr>
              <w:spacing w:after="0"/>
              <w:rPr>
                <w:sz w:val="1"/>
                <w:szCs w:val="1"/>
                <w:color w:val="auto"/>
              </w:rPr>
            </w:pPr>
          </w:p>
        </w:tc>
      </w:tr>
      <w:tr>
        <w:trPr>
          <w:trHeight w:val="162"/>
        </w:trPr>
        <w:tc>
          <w:tcPr>
            <w:tcW w:w="5600" w:type="dxa"/>
            <w:vAlign w:val="bottom"/>
            <w:gridSpan w:val="2"/>
          </w:tcPr>
          <w:p>
            <w:pPr>
              <w:spacing w:after="0"/>
              <w:rPr>
                <w:sz w:val="20"/>
                <w:szCs w:val="20"/>
                <w:color w:val="auto"/>
              </w:rPr>
            </w:pPr>
            <w:r>
              <w:rPr>
                <w:rFonts w:ascii="Arial" w:cs="Arial" w:eastAsia="Arial" w:hAnsi="Arial"/>
                <w:sz w:val="14"/>
                <w:szCs w:val="14"/>
                <w:color w:val="auto"/>
              </w:rPr>
              <w:t>Revisions of previous reserves estimates</w:t>
            </w:r>
          </w:p>
        </w:tc>
        <w:tc>
          <w:tcPr>
            <w:tcW w:w="2800" w:type="dxa"/>
            <w:vAlign w:val="bottom"/>
          </w:tcPr>
          <w:p>
            <w:pPr>
              <w:jc w:val="right"/>
              <w:ind w:right="350"/>
              <w:spacing w:after="0"/>
              <w:rPr>
                <w:sz w:val="20"/>
                <w:szCs w:val="20"/>
                <w:color w:val="auto"/>
              </w:rPr>
            </w:pPr>
            <w:r>
              <w:rPr>
                <w:rFonts w:ascii="Arial" w:cs="Arial" w:eastAsia="Arial" w:hAnsi="Arial"/>
                <w:sz w:val="14"/>
                <w:szCs w:val="14"/>
                <w:color w:val="auto"/>
              </w:rPr>
              <w:t>11,142</w:t>
            </w:r>
          </w:p>
        </w:tc>
        <w:tc>
          <w:tcPr>
            <w:tcW w:w="1640" w:type="dxa"/>
            <w:vAlign w:val="bottom"/>
          </w:tcPr>
          <w:p>
            <w:pPr>
              <w:jc w:val="right"/>
              <w:ind w:right="350"/>
              <w:spacing w:after="0"/>
              <w:rPr>
                <w:sz w:val="20"/>
                <w:szCs w:val="20"/>
                <w:color w:val="auto"/>
              </w:rPr>
            </w:pPr>
            <w:r>
              <w:rPr>
                <w:rFonts w:ascii="Arial" w:cs="Arial" w:eastAsia="Arial" w:hAnsi="Arial"/>
                <w:sz w:val="14"/>
                <w:szCs w:val="14"/>
                <w:color w:val="auto"/>
              </w:rPr>
              <w:t>1,984</w:t>
            </w:r>
          </w:p>
        </w:tc>
        <w:tc>
          <w:tcPr>
            <w:tcW w:w="1380" w:type="dxa"/>
            <w:vAlign w:val="bottom"/>
          </w:tcPr>
          <w:p>
            <w:pPr>
              <w:jc w:val="right"/>
              <w:ind w:right="269"/>
              <w:spacing w:after="0"/>
              <w:rPr>
                <w:sz w:val="20"/>
                <w:szCs w:val="20"/>
                <w:color w:val="auto"/>
              </w:rPr>
            </w:pPr>
            <w:r>
              <w:rPr>
                <w:rFonts w:ascii="Arial" w:cs="Arial" w:eastAsia="Arial" w:hAnsi="Arial"/>
                <w:sz w:val="14"/>
                <w:szCs w:val="14"/>
                <w:color w:val="auto"/>
              </w:rPr>
              <w:t>13,126</w:t>
            </w:r>
          </w:p>
        </w:tc>
        <w:tc>
          <w:tcPr>
            <w:tcW w:w="0" w:type="dxa"/>
            <w:vAlign w:val="bottom"/>
          </w:tcPr>
          <w:p>
            <w:pPr>
              <w:spacing w:after="0"/>
              <w:rPr>
                <w:sz w:val="1"/>
                <w:szCs w:val="1"/>
                <w:color w:val="auto"/>
              </w:rPr>
            </w:pPr>
          </w:p>
        </w:tc>
      </w:tr>
      <w:tr>
        <w:trPr>
          <w:trHeight w:val="162"/>
        </w:trPr>
        <w:tc>
          <w:tcPr>
            <w:tcW w:w="5600" w:type="dxa"/>
            <w:vAlign w:val="bottom"/>
            <w:gridSpan w:val="2"/>
          </w:tcPr>
          <w:p>
            <w:pPr>
              <w:spacing w:after="0"/>
              <w:rPr>
                <w:sz w:val="20"/>
                <w:szCs w:val="20"/>
                <w:color w:val="auto"/>
              </w:rPr>
            </w:pPr>
            <w:r>
              <w:rPr>
                <w:rFonts w:ascii="Arial" w:cs="Arial" w:eastAsia="Arial" w:hAnsi="Arial"/>
                <w:sz w:val="14"/>
                <w:szCs w:val="14"/>
                <w:color w:val="auto"/>
              </w:rPr>
              <w:t>Extensions, discoveries and improved recovery</w:t>
            </w:r>
          </w:p>
        </w:tc>
        <w:tc>
          <w:tcPr>
            <w:tcW w:w="2800" w:type="dxa"/>
            <w:vAlign w:val="bottom"/>
          </w:tcPr>
          <w:p>
            <w:pPr>
              <w:jc w:val="right"/>
              <w:ind w:right="350"/>
              <w:spacing w:after="0"/>
              <w:rPr>
                <w:sz w:val="20"/>
                <w:szCs w:val="20"/>
                <w:color w:val="auto"/>
              </w:rPr>
            </w:pPr>
            <w:r>
              <w:rPr>
                <w:rFonts w:ascii="Arial" w:cs="Arial" w:eastAsia="Arial" w:hAnsi="Arial"/>
                <w:sz w:val="14"/>
                <w:szCs w:val="14"/>
                <w:color w:val="auto"/>
              </w:rPr>
              <w:t>8,744</w:t>
            </w:r>
          </w:p>
        </w:tc>
        <w:tc>
          <w:tcPr>
            <w:tcW w:w="1640" w:type="dxa"/>
            <w:vAlign w:val="bottom"/>
          </w:tcPr>
          <w:p>
            <w:pPr>
              <w:jc w:val="right"/>
              <w:ind w:right="350"/>
              <w:spacing w:after="0"/>
              <w:rPr>
                <w:sz w:val="20"/>
                <w:szCs w:val="20"/>
                <w:color w:val="auto"/>
              </w:rPr>
            </w:pPr>
            <w:r>
              <w:rPr>
                <w:rFonts w:ascii="Arial" w:cs="Arial" w:eastAsia="Arial" w:hAnsi="Arial"/>
                <w:sz w:val="14"/>
                <w:szCs w:val="14"/>
                <w:color w:val="auto"/>
              </w:rPr>
              <w:t>–</w:t>
            </w:r>
          </w:p>
        </w:tc>
        <w:tc>
          <w:tcPr>
            <w:tcW w:w="1380" w:type="dxa"/>
            <w:vAlign w:val="bottom"/>
          </w:tcPr>
          <w:p>
            <w:pPr>
              <w:jc w:val="right"/>
              <w:ind w:right="269"/>
              <w:spacing w:after="0"/>
              <w:rPr>
                <w:sz w:val="20"/>
                <w:szCs w:val="20"/>
                <w:color w:val="auto"/>
              </w:rPr>
            </w:pPr>
            <w:r>
              <w:rPr>
                <w:rFonts w:ascii="Arial" w:cs="Arial" w:eastAsia="Arial" w:hAnsi="Arial"/>
                <w:sz w:val="14"/>
                <w:szCs w:val="14"/>
                <w:color w:val="auto"/>
              </w:rPr>
              <w:t>8,744</w:t>
            </w:r>
          </w:p>
        </w:tc>
        <w:tc>
          <w:tcPr>
            <w:tcW w:w="0" w:type="dxa"/>
            <w:vAlign w:val="bottom"/>
          </w:tcPr>
          <w:p>
            <w:pPr>
              <w:spacing w:after="0"/>
              <w:rPr>
                <w:sz w:val="1"/>
                <w:szCs w:val="1"/>
                <w:color w:val="auto"/>
              </w:rPr>
            </w:pPr>
          </w:p>
        </w:tc>
      </w:tr>
      <w:tr>
        <w:trPr>
          <w:trHeight w:val="162"/>
        </w:trPr>
        <w:tc>
          <w:tcPr>
            <w:tcW w:w="5600" w:type="dxa"/>
            <w:vAlign w:val="bottom"/>
            <w:gridSpan w:val="2"/>
          </w:tcPr>
          <w:p>
            <w:pPr>
              <w:spacing w:after="0"/>
              <w:rPr>
                <w:sz w:val="20"/>
                <w:szCs w:val="20"/>
                <w:color w:val="auto"/>
              </w:rPr>
            </w:pPr>
            <w:r>
              <w:rPr>
                <w:rFonts w:ascii="Arial" w:cs="Arial" w:eastAsia="Arial" w:hAnsi="Arial"/>
                <w:sz w:val="14"/>
                <w:szCs w:val="14"/>
                <w:color w:val="auto"/>
              </w:rPr>
              <w:t>Purchases and sales of minerals in place</w:t>
            </w:r>
          </w:p>
        </w:tc>
        <w:tc>
          <w:tcPr>
            <w:tcW w:w="2800" w:type="dxa"/>
            <w:vAlign w:val="bottom"/>
          </w:tcPr>
          <w:p>
            <w:pPr>
              <w:jc w:val="right"/>
              <w:ind w:right="350"/>
              <w:spacing w:after="0"/>
              <w:rPr>
                <w:sz w:val="20"/>
                <w:szCs w:val="20"/>
                <w:color w:val="auto"/>
              </w:rPr>
            </w:pPr>
            <w:r>
              <w:rPr>
                <w:rFonts w:ascii="Arial" w:cs="Arial" w:eastAsia="Arial" w:hAnsi="Arial"/>
                <w:sz w:val="14"/>
                <w:szCs w:val="14"/>
                <w:color w:val="auto"/>
              </w:rPr>
              <w:t>1,145</w:t>
            </w:r>
          </w:p>
        </w:tc>
        <w:tc>
          <w:tcPr>
            <w:tcW w:w="1640" w:type="dxa"/>
            <w:vAlign w:val="bottom"/>
          </w:tcPr>
          <w:p>
            <w:pPr>
              <w:jc w:val="right"/>
              <w:ind w:right="350"/>
              <w:spacing w:after="0"/>
              <w:rPr>
                <w:sz w:val="20"/>
                <w:szCs w:val="20"/>
                <w:color w:val="auto"/>
              </w:rPr>
            </w:pPr>
            <w:r>
              <w:rPr>
                <w:rFonts w:ascii="Arial" w:cs="Arial" w:eastAsia="Arial" w:hAnsi="Arial"/>
                <w:sz w:val="14"/>
                <w:szCs w:val="14"/>
                <w:color w:val="auto"/>
              </w:rPr>
              <w:t>–</w:t>
            </w:r>
          </w:p>
        </w:tc>
        <w:tc>
          <w:tcPr>
            <w:tcW w:w="1380" w:type="dxa"/>
            <w:vAlign w:val="bottom"/>
          </w:tcPr>
          <w:p>
            <w:pPr>
              <w:jc w:val="right"/>
              <w:ind w:right="269"/>
              <w:spacing w:after="0"/>
              <w:rPr>
                <w:sz w:val="20"/>
                <w:szCs w:val="20"/>
                <w:color w:val="auto"/>
              </w:rPr>
            </w:pPr>
            <w:r>
              <w:rPr>
                <w:rFonts w:ascii="Arial" w:cs="Arial" w:eastAsia="Arial" w:hAnsi="Arial"/>
                <w:sz w:val="14"/>
                <w:szCs w:val="14"/>
                <w:color w:val="auto"/>
              </w:rPr>
              <w:t>1,145</w:t>
            </w:r>
          </w:p>
        </w:tc>
        <w:tc>
          <w:tcPr>
            <w:tcW w:w="0" w:type="dxa"/>
            <w:vAlign w:val="bottom"/>
          </w:tcPr>
          <w:p>
            <w:pPr>
              <w:spacing w:after="0"/>
              <w:rPr>
                <w:sz w:val="1"/>
                <w:szCs w:val="1"/>
                <w:color w:val="auto"/>
              </w:rPr>
            </w:pPr>
          </w:p>
        </w:tc>
      </w:tr>
      <w:tr>
        <w:trPr>
          <w:trHeight w:val="162"/>
        </w:trPr>
        <w:tc>
          <w:tcPr>
            <w:tcW w:w="5600" w:type="dxa"/>
            <w:vAlign w:val="bottom"/>
            <w:gridSpan w:val="2"/>
          </w:tcPr>
          <w:p>
            <w:pPr>
              <w:spacing w:after="0"/>
              <w:rPr>
                <w:sz w:val="20"/>
                <w:szCs w:val="20"/>
                <w:color w:val="auto"/>
              </w:rPr>
            </w:pPr>
            <w:r>
              <w:rPr>
                <w:rFonts w:ascii="Arial" w:cs="Arial" w:eastAsia="Arial" w:hAnsi="Arial"/>
                <w:sz w:val="14"/>
                <w:szCs w:val="14"/>
                <w:color w:val="auto"/>
              </w:rPr>
              <w:t>Development cost related to future production</w:t>
            </w:r>
          </w:p>
        </w:tc>
        <w:tc>
          <w:tcPr>
            <w:tcW w:w="2800" w:type="dxa"/>
            <w:vAlign w:val="bottom"/>
          </w:tcPr>
          <w:p>
            <w:pPr>
              <w:jc w:val="right"/>
              <w:ind w:right="290"/>
              <w:spacing w:after="0"/>
              <w:rPr>
                <w:sz w:val="20"/>
                <w:szCs w:val="20"/>
                <w:color w:val="auto"/>
              </w:rPr>
            </w:pPr>
            <w:r>
              <w:rPr>
                <w:rFonts w:ascii="Arial" w:cs="Arial" w:eastAsia="Arial" w:hAnsi="Arial"/>
                <w:sz w:val="14"/>
                <w:szCs w:val="14"/>
                <w:color w:val="auto"/>
              </w:rPr>
              <w:t>(24,747)</w:t>
            </w:r>
          </w:p>
        </w:tc>
        <w:tc>
          <w:tcPr>
            <w:tcW w:w="1640" w:type="dxa"/>
            <w:vAlign w:val="bottom"/>
          </w:tcPr>
          <w:p>
            <w:pPr>
              <w:jc w:val="right"/>
              <w:ind w:right="310"/>
              <w:spacing w:after="0"/>
              <w:rPr>
                <w:sz w:val="20"/>
                <w:szCs w:val="20"/>
                <w:color w:val="auto"/>
              </w:rPr>
            </w:pPr>
            <w:r>
              <w:rPr>
                <w:rFonts w:ascii="Arial" w:cs="Arial" w:eastAsia="Arial" w:hAnsi="Arial"/>
                <w:sz w:val="14"/>
                <w:szCs w:val="14"/>
                <w:color w:val="auto"/>
              </w:rPr>
              <w:t>(1,275)</w:t>
            </w:r>
          </w:p>
        </w:tc>
        <w:tc>
          <w:tcPr>
            <w:tcW w:w="1380" w:type="dxa"/>
            <w:vAlign w:val="bottom"/>
          </w:tcPr>
          <w:p>
            <w:pPr>
              <w:jc w:val="right"/>
              <w:ind w:right="209"/>
              <w:spacing w:after="0"/>
              <w:rPr>
                <w:sz w:val="20"/>
                <w:szCs w:val="20"/>
                <w:color w:val="auto"/>
              </w:rPr>
            </w:pPr>
            <w:r>
              <w:rPr>
                <w:rFonts w:ascii="Arial" w:cs="Arial" w:eastAsia="Arial" w:hAnsi="Arial"/>
                <w:sz w:val="14"/>
                <w:szCs w:val="14"/>
                <w:color w:val="auto"/>
              </w:rPr>
              <w:t>(26,022)</w:t>
            </w:r>
          </w:p>
        </w:tc>
        <w:tc>
          <w:tcPr>
            <w:tcW w:w="0" w:type="dxa"/>
            <w:vAlign w:val="bottom"/>
          </w:tcPr>
          <w:p>
            <w:pPr>
              <w:spacing w:after="0"/>
              <w:rPr>
                <w:sz w:val="1"/>
                <w:szCs w:val="1"/>
                <w:color w:val="auto"/>
              </w:rPr>
            </w:pPr>
          </w:p>
        </w:tc>
      </w:tr>
      <w:tr>
        <w:trPr>
          <w:trHeight w:val="162"/>
        </w:trPr>
        <w:tc>
          <w:tcPr>
            <w:tcW w:w="5600" w:type="dxa"/>
            <w:vAlign w:val="bottom"/>
            <w:gridSpan w:val="2"/>
          </w:tcPr>
          <w:p>
            <w:pPr>
              <w:spacing w:after="0"/>
              <w:rPr>
                <w:sz w:val="20"/>
                <w:szCs w:val="20"/>
                <w:color w:val="auto"/>
              </w:rPr>
            </w:pPr>
            <w:r>
              <w:rPr>
                <w:rFonts w:ascii="Arial" w:cs="Arial" w:eastAsia="Arial" w:hAnsi="Arial"/>
                <w:sz w:val="14"/>
                <w:szCs w:val="14"/>
                <w:color w:val="auto"/>
              </w:rPr>
              <w:t>Sales and transfers of oil and gas, net of production costs</w:t>
            </w:r>
          </w:p>
        </w:tc>
        <w:tc>
          <w:tcPr>
            <w:tcW w:w="2800" w:type="dxa"/>
            <w:vAlign w:val="bottom"/>
          </w:tcPr>
          <w:p>
            <w:pPr>
              <w:jc w:val="right"/>
              <w:ind w:right="290"/>
              <w:spacing w:after="0"/>
              <w:rPr>
                <w:sz w:val="20"/>
                <w:szCs w:val="20"/>
                <w:color w:val="auto"/>
              </w:rPr>
            </w:pPr>
            <w:r>
              <w:rPr>
                <w:rFonts w:ascii="Arial" w:cs="Arial" w:eastAsia="Arial" w:hAnsi="Arial"/>
                <w:sz w:val="14"/>
                <w:szCs w:val="14"/>
                <w:color w:val="auto"/>
              </w:rPr>
              <w:t>(40,244)</w:t>
            </w:r>
          </w:p>
        </w:tc>
        <w:tc>
          <w:tcPr>
            <w:tcW w:w="1640" w:type="dxa"/>
            <w:vAlign w:val="bottom"/>
          </w:tcPr>
          <w:p>
            <w:pPr>
              <w:jc w:val="right"/>
              <w:ind w:right="310"/>
              <w:spacing w:after="0"/>
              <w:rPr>
                <w:sz w:val="20"/>
                <w:szCs w:val="20"/>
                <w:color w:val="auto"/>
              </w:rPr>
            </w:pPr>
            <w:r>
              <w:rPr>
                <w:rFonts w:ascii="Arial" w:cs="Arial" w:eastAsia="Arial" w:hAnsi="Arial"/>
                <w:sz w:val="14"/>
                <w:szCs w:val="14"/>
                <w:color w:val="auto"/>
              </w:rPr>
              <w:t>(13,891)</w:t>
            </w:r>
          </w:p>
        </w:tc>
        <w:tc>
          <w:tcPr>
            <w:tcW w:w="1380" w:type="dxa"/>
            <w:vAlign w:val="bottom"/>
          </w:tcPr>
          <w:p>
            <w:pPr>
              <w:jc w:val="right"/>
              <w:ind w:right="209"/>
              <w:spacing w:after="0"/>
              <w:rPr>
                <w:sz w:val="20"/>
                <w:szCs w:val="20"/>
                <w:color w:val="auto"/>
              </w:rPr>
            </w:pPr>
            <w:r>
              <w:rPr>
                <w:rFonts w:ascii="Arial" w:cs="Arial" w:eastAsia="Arial" w:hAnsi="Arial"/>
                <w:sz w:val="14"/>
                <w:szCs w:val="14"/>
                <w:color w:val="auto"/>
              </w:rPr>
              <w:t>(54,135)</w:t>
            </w:r>
          </w:p>
        </w:tc>
        <w:tc>
          <w:tcPr>
            <w:tcW w:w="0" w:type="dxa"/>
            <w:vAlign w:val="bottom"/>
          </w:tcPr>
          <w:p>
            <w:pPr>
              <w:spacing w:after="0"/>
              <w:rPr>
                <w:sz w:val="1"/>
                <w:szCs w:val="1"/>
                <w:color w:val="auto"/>
              </w:rPr>
            </w:pPr>
          </w:p>
        </w:tc>
      </w:tr>
      <w:tr>
        <w:trPr>
          <w:trHeight w:val="162"/>
        </w:trPr>
        <w:tc>
          <w:tcPr>
            <w:tcW w:w="5600" w:type="dxa"/>
            <w:vAlign w:val="bottom"/>
            <w:gridSpan w:val="2"/>
          </w:tcPr>
          <w:p>
            <w:pPr>
              <w:spacing w:after="0"/>
              <w:rPr>
                <w:sz w:val="20"/>
                <w:szCs w:val="20"/>
                <w:color w:val="auto"/>
              </w:rPr>
            </w:pPr>
            <w:r>
              <w:rPr>
                <w:rFonts w:ascii="Arial" w:cs="Arial" w:eastAsia="Arial" w:hAnsi="Arial"/>
                <w:sz w:val="14"/>
                <w:szCs w:val="14"/>
                <w:color w:val="auto"/>
              </w:rPr>
              <w:t>Development cost incurred during the year</w:t>
            </w:r>
          </w:p>
        </w:tc>
        <w:tc>
          <w:tcPr>
            <w:tcW w:w="2800" w:type="dxa"/>
            <w:vAlign w:val="bottom"/>
          </w:tcPr>
          <w:p>
            <w:pPr>
              <w:jc w:val="right"/>
              <w:ind w:right="350"/>
              <w:spacing w:after="0"/>
              <w:rPr>
                <w:sz w:val="20"/>
                <w:szCs w:val="20"/>
                <w:color w:val="auto"/>
              </w:rPr>
            </w:pPr>
            <w:r>
              <w:rPr>
                <w:rFonts w:ascii="Arial" w:cs="Arial" w:eastAsia="Arial" w:hAnsi="Arial"/>
                <w:sz w:val="14"/>
                <w:szCs w:val="14"/>
                <w:color w:val="auto"/>
              </w:rPr>
              <w:t>24,816</w:t>
            </w:r>
          </w:p>
        </w:tc>
        <w:tc>
          <w:tcPr>
            <w:tcW w:w="1640" w:type="dxa"/>
            <w:vAlign w:val="bottom"/>
          </w:tcPr>
          <w:p>
            <w:pPr>
              <w:jc w:val="right"/>
              <w:ind w:right="350"/>
              <w:spacing w:after="0"/>
              <w:rPr>
                <w:sz w:val="20"/>
                <w:szCs w:val="20"/>
                <w:color w:val="auto"/>
              </w:rPr>
            </w:pPr>
            <w:r>
              <w:rPr>
                <w:rFonts w:ascii="Arial" w:cs="Arial" w:eastAsia="Arial" w:hAnsi="Arial"/>
                <w:sz w:val="14"/>
                <w:szCs w:val="14"/>
                <w:color w:val="auto"/>
              </w:rPr>
              <w:t>1,620</w:t>
            </w:r>
          </w:p>
        </w:tc>
        <w:tc>
          <w:tcPr>
            <w:tcW w:w="1380" w:type="dxa"/>
            <w:vAlign w:val="bottom"/>
          </w:tcPr>
          <w:p>
            <w:pPr>
              <w:jc w:val="right"/>
              <w:ind w:right="269"/>
              <w:spacing w:after="0"/>
              <w:rPr>
                <w:sz w:val="20"/>
                <w:szCs w:val="20"/>
                <w:color w:val="auto"/>
              </w:rPr>
            </w:pPr>
            <w:r>
              <w:rPr>
                <w:rFonts w:ascii="Arial" w:cs="Arial" w:eastAsia="Arial" w:hAnsi="Arial"/>
                <w:sz w:val="14"/>
                <w:szCs w:val="14"/>
                <w:color w:val="auto"/>
              </w:rPr>
              <w:t>26,436</w:t>
            </w:r>
          </w:p>
        </w:tc>
        <w:tc>
          <w:tcPr>
            <w:tcW w:w="0" w:type="dxa"/>
            <w:vAlign w:val="bottom"/>
          </w:tcPr>
          <w:p>
            <w:pPr>
              <w:spacing w:after="0"/>
              <w:rPr>
                <w:sz w:val="1"/>
                <w:szCs w:val="1"/>
                <w:color w:val="auto"/>
              </w:rPr>
            </w:pPr>
          </w:p>
        </w:tc>
      </w:tr>
      <w:tr>
        <w:trPr>
          <w:trHeight w:val="162"/>
        </w:trPr>
        <w:tc>
          <w:tcPr>
            <w:tcW w:w="5600" w:type="dxa"/>
            <w:vAlign w:val="bottom"/>
            <w:gridSpan w:val="2"/>
          </w:tcPr>
          <w:p>
            <w:pPr>
              <w:spacing w:after="0"/>
              <w:rPr>
                <w:sz w:val="20"/>
                <w:szCs w:val="20"/>
                <w:color w:val="auto"/>
              </w:rPr>
            </w:pPr>
            <w:r>
              <w:rPr>
                <w:rFonts w:ascii="Arial" w:cs="Arial" w:eastAsia="Arial" w:hAnsi="Arial"/>
                <w:sz w:val="14"/>
                <w:szCs w:val="14"/>
                <w:color w:val="auto"/>
              </w:rPr>
              <w:t>Accretion of discount</w:t>
            </w:r>
          </w:p>
        </w:tc>
        <w:tc>
          <w:tcPr>
            <w:tcW w:w="2800" w:type="dxa"/>
            <w:vAlign w:val="bottom"/>
          </w:tcPr>
          <w:p>
            <w:pPr>
              <w:jc w:val="right"/>
              <w:ind w:right="350"/>
              <w:spacing w:after="0"/>
              <w:rPr>
                <w:sz w:val="20"/>
                <w:szCs w:val="20"/>
                <w:color w:val="auto"/>
              </w:rPr>
            </w:pPr>
            <w:r>
              <w:rPr>
                <w:rFonts w:ascii="Arial" w:cs="Arial" w:eastAsia="Arial" w:hAnsi="Arial"/>
                <w:sz w:val="14"/>
                <w:szCs w:val="14"/>
                <w:color w:val="auto"/>
              </w:rPr>
              <w:t>17,273</w:t>
            </w:r>
          </w:p>
        </w:tc>
        <w:tc>
          <w:tcPr>
            <w:tcW w:w="1640" w:type="dxa"/>
            <w:vAlign w:val="bottom"/>
          </w:tcPr>
          <w:p>
            <w:pPr>
              <w:jc w:val="right"/>
              <w:ind w:right="350"/>
              <w:spacing w:after="0"/>
              <w:rPr>
                <w:sz w:val="20"/>
                <w:szCs w:val="20"/>
                <w:color w:val="auto"/>
              </w:rPr>
            </w:pPr>
            <w:r>
              <w:rPr>
                <w:rFonts w:ascii="Arial" w:cs="Arial" w:eastAsia="Arial" w:hAnsi="Arial"/>
                <w:sz w:val="14"/>
                <w:szCs w:val="14"/>
                <w:color w:val="auto"/>
              </w:rPr>
              <w:t>3,883</w:t>
            </w:r>
          </w:p>
        </w:tc>
        <w:tc>
          <w:tcPr>
            <w:tcW w:w="1380" w:type="dxa"/>
            <w:vAlign w:val="bottom"/>
          </w:tcPr>
          <w:p>
            <w:pPr>
              <w:jc w:val="right"/>
              <w:ind w:right="269"/>
              <w:spacing w:after="0"/>
              <w:rPr>
                <w:sz w:val="20"/>
                <w:szCs w:val="20"/>
                <w:color w:val="auto"/>
              </w:rPr>
            </w:pPr>
            <w:r>
              <w:rPr>
                <w:rFonts w:ascii="Arial" w:cs="Arial" w:eastAsia="Arial" w:hAnsi="Arial"/>
                <w:sz w:val="14"/>
                <w:szCs w:val="14"/>
                <w:color w:val="auto"/>
              </w:rPr>
              <w:t>21,156</w:t>
            </w:r>
          </w:p>
        </w:tc>
        <w:tc>
          <w:tcPr>
            <w:tcW w:w="0" w:type="dxa"/>
            <w:vAlign w:val="bottom"/>
          </w:tcPr>
          <w:p>
            <w:pPr>
              <w:spacing w:after="0"/>
              <w:rPr>
                <w:sz w:val="1"/>
                <w:szCs w:val="1"/>
                <w:color w:val="auto"/>
              </w:rPr>
            </w:pPr>
          </w:p>
        </w:tc>
      </w:tr>
      <w:tr>
        <w:trPr>
          <w:trHeight w:val="157"/>
        </w:trPr>
        <w:tc>
          <w:tcPr>
            <w:tcW w:w="5600" w:type="dxa"/>
            <w:vAlign w:val="bottom"/>
            <w:tcBorders>
              <w:bottom w:val="single" w:sz="8" w:color="auto"/>
            </w:tcBorders>
            <w:gridSpan w:val="2"/>
          </w:tcPr>
          <w:p>
            <w:pPr>
              <w:spacing w:after="0" w:line="157" w:lineRule="exact"/>
              <w:rPr>
                <w:sz w:val="20"/>
                <w:szCs w:val="20"/>
                <w:color w:val="auto"/>
              </w:rPr>
            </w:pPr>
            <w:r>
              <w:rPr>
                <w:rFonts w:ascii="Arial" w:cs="Arial" w:eastAsia="Arial" w:hAnsi="Arial"/>
                <w:sz w:val="14"/>
                <w:szCs w:val="14"/>
                <w:color w:val="auto"/>
              </w:rPr>
              <w:t>Net change in income tax</w:t>
            </w:r>
          </w:p>
        </w:tc>
        <w:tc>
          <w:tcPr>
            <w:tcW w:w="2800" w:type="dxa"/>
            <w:vAlign w:val="bottom"/>
            <w:tcBorders>
              <w:bottom w:val="single" w:sz="8" w:color="auto"/>
            </w:tcBorders>
          </w:tcPr>
          <w:p>
            <w:pPr>
              <w:jc w:val="right"/>
              <w:ind w:right="350"/>
              <w:spacing w:after="0" w:line="157" w:lineRule="exact"/>
              <w:rPr>
                <w:sz w:val="20"/>
                <w:szCs w:val="20"/>
                <w:color w:val="auto"/>
              </w:rPr>
            </w:pPr>
            <w:r>
              <w:rPr>
                <w:rFonts w:ascii="Arial" w:cs="Arial" w:eastAsia="Arial" w:hAnsi="Arial"/>
                <w:sz w:val="14"/>
                <w:szCs w:val="14"/>
                <w:color w:val="auto"/>
              </w:rPr>
              <w:t>8,583</w:t>
            </w:r>
          </w:p>
        </w:tc>
        <w:tc>
          <w:tcPr>
            <w:tcW w:w="1640" w:type="dxa"/>
            <w:vAlign w:val="bottom"/>
            <w:tcBorders>
              <w:bottom w:val="single" w:sz="8" w:color="auto"/>
            </w:tcBorders>
          </w:tcPr>
          <w:p>
            <w:pPr>
              <w:jc w:val="right"/>
              <w:ind w:right="350"/>
              <w:spacing w:after="0" w:line="157" w:lineRule="exact"/>
              <w:rPr>
                <w:sz w:val="20"/>
                <w:szCs w:val="20"/>
                <w:color w:val="auto"/>
              </w:rPr>
            </w:pPr>
            <w:r>
              <w:rPr>
                <w:rFonts w:ascii="Arial" w:cs="Arial" w:eastAsia="Arial" w:hAnsi="Arial"/>
                <w:sz w:val="14"/>
                <w:szCs w:val="14"/>
                <w:color w:val="auto"/>
              </w:rPr>
              <w:t>4,261</w:t>
            </w:r>
          </w:p>
        </w:tc>
        <w:tc>
          <w:tcPr>
            <w:tcW w:w="1380" w:type="dxa"/>
            <w:vAlign w:val="bottom"/>
            <w:tcBorders>
              <w:bottom w:val="single" w:sz="8" w:color="auto"/>
            </w:tcBorders>
          </w:tcPr>
          <w:p>
            <w:pPr>
              <w:jc w:val="right"/>
              <w:ind w:right="269"/>
              <w:spacing w:after="0" w:line="157" w:lineRule="exact"/>
              <w:rPr>
                <w:sz w:val="20"/>
                <w:szCs w:val="20"/>
                <w:color w:val="auto"/>
              </w:rPr>
            </w:pPr>
            <w:r>
              <w:rPr>
                <w:rFonts w:ascii="Arial" w:cs="Arial" w:eastAsia="Arial" w:hAnsi="Arial"/>
                <w:sz w:val="14"/>
                <w:szCs w:val="14"/>
                <w:color w:val="auto"/>
              </w:rPr>
              <w:t>12,844</w:t>
            </w:r>
          </w:p>
        </w:tc>
        <w:tc>
          <w:tcPr>
            <w:tcW w:w="0" w:type="dxa"/>
            <w:vAlign w:val="bottom"/>
          </w:tcPr>
          <w:p>
            <w:pPr>
              <w:spacing w:after="0"/>
              <w:rPr>
                <w:sz w:val="1"/>
                <w:szCs w:val="1"/>
                <w:color w:val="auto"/>
              </w:rPr>
            </w:pPr>
          </w:p>
        </w:tc>
      </w:tr>
      <w:tr>
        <w:trPr>
          <w:trHeight w:val="156"/>
        </w:trPr>
        <w:tc>
          <w:tcPr>
            <w:tcW w:w="5600" w:type="dxa"/>
            <w:vAlign w:val="bottom"/>
            <w:gridSpan w:val="2"/>
          </w:tcPr>
          <w:p>
            <w:pPr>
              <w:spacing w:after="0" w:line="155" w:lineRule="exact"/>
              <w:rPr>
                <w:sz w:val="20"/>
                <w:szCs w:val="20"/>
                <w:color w:val="auto"/>
              </w:rPr>
            </w:pPr>
            <w:r>
              <w:rPr>
                <w:rFonts w:ascii="Arial" w:cs="Arial" w:eastAsia="Arial" w:hAnsi="Arial"/>
                <w:sz w:val="14"/>
                <w:szCs w:val="14"/>
                <w:color w:val="auto"/>
              </w:rPr>
              <w:t>At December 31</w:t>
            </w:r>
          </w:p>
        </w:tc>
        <w:tc>
          <w:tcPr>
            <w:tcW w:w="2800" w:type="dxa"/>
            <w:vAlign w:val="bottom"/>
          </w:tcPr>
          <w:p>
            <w:pPr>
              <w:jc w:val="right"/>
              <w:ind w:right="350"/>
              <w:spacing w:after="0" w:line="155" w:lineRule="exact"/>
              <w:rPr>
                <w:sz w:val="20"/>
                <w:szCs w:val="20"/>
                <w:color w:val="auto"/>
              </w:rPr>
            </w:pPr>
            <w:r>
              <w:rPr>
                <w:rFonts w:ascii="Arial" w:cs="Arial" w:eastAsia="Arial" w:hAnsi="Arial"/>
                <w:sz w:val="14"/>
                <w:szCs w:val="14"/>
                <w:color w:val="auto"/>
              </w:rPr>
              <w:t>91,299</w:t>
            </w:r>
          </w:p>
        </w:tc>
        <w:tc>
          <w:tcPr>
            <w:tcW w:w="1640" w:type="dxa"/>
            <w:vAlign w:val="bottom"/>
          </w:tcPr>
          <w:p>
            <w:pPr>
              <w:jc w:val="right"/>
              <w:ind w:right="350"/>
              <w:spacing w:after="0" w:line="155" w:lineRule="exact"/>
              <w:rPr>
                <w:sz w:val="20"/>
                <w:szCs w:val="20"/>
                <w:color w:val="auto"/>
              </w:rPr>
            </w:pPr>
            <w:r>
              <w:rPr>
                <w:rFonts w:ascii="Arial" w:cs="Arial" w:eastAsia="Arial" w:hAnsi="Arial"/>
                <w:sz w:val="14"/>
                <w:szCs w:val="14"/>
                <w:color w:val="auto"/>
              </w:rPr>
              <w:t>25,180</w:t>
            </w:r>
          </w:p>
        </w:tc>
        <w:tc>
          <w:tcPr>
            <w:tcW w:w="1380" w:type="dxa"/>
            <w:vAlign w:val="bottom"/>
          </w:tcPr>
          <w:p>
            <w:pPr>
              <w:jc w:val="right"/>
              <w:ind w:right="269"/>
              <w:spacing w:after="0" w:line="155" w:lineRule="exact"/>
              <w:rPr>
                <w:sz w:val="20"/>
                <w:szCs w:val="20"/>
                <w:color w:val="auto"/>
              </w:rPr>
            </w:pPr>
            <w:r>
              <w:rPr>
                <w:rFonts w:ascii="Arial" w:cs="Arial" w:eastAsia="Arial" w:hAnsi="Arial"/>
                <w:sz w:val="14"/>
                <w:szCs w:val="14"/>
                <w:color w:val="auto"/>
              </w:rPr>
              <w:t>116,479</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580" w:type="dxa"/>
            <w:vAlign w:val="bottom"/>
            <w:tcBorders>
              <w:top w:val="single" w:sz="8" w:color="auto"/>
            </w:tcBorders>
          </w:tcPr>
          <w:p>
            <w:pPr>
              <w:spacing w:after="0"/>
              <w:rPr>
                <w:sz w:val="18"/>
                <w:szCs w:val="18"/>
                <w:color w:val="auto"/>
              </w:rPr>
            </w:pPr>
          </w:p>
        </w:tc>
        <w:tc>
          <w:tcPr>
            <w:tcW w:w="2800" w:type="dxa"/>
            <w:vAlign w:val="bottom"/>
            <w:tcBorders>
              <w:top w:val="single" w:sz="8" w:color="auto"/>
            </w:tcBorders>
          </w:tcPr>
          <w:p>
            <w:pPr>
              <w:spacing w:after="0"/>
              <w:rPr>
                <w:sz w:val="18"/>
                <w:szCs w:val="18"/>
                <w:color w:val="auto"/>
              </w:rPr>
            </w:pPr>
          </w:p>
        </w:tc>
        <w:tc>
          <w:tcPr>
            <w:tcW w:w="164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5580" w:type="dxa"/>
            <w:vAlign w:val="bottom"/>
            <w:shd w:val="clear" w:color="auto" w:fill="333333"/>
          </w:tcPr>
          <w:p>
            <w:pPr>
              <w:jc w:val="right"/>
              <w:ind w:right="5103"/>
              <w:spacing w:after="0" w:line="162" w:lineRule="exact"/>
              <w:rPr>
                <w:sz w:val="20"/>
                <w:szCs w:val="20"/>
                <w:color w:val="auto"/>
              </w:rPr>
            </w:pPr>
            <w:r>
              <w:rPr>
                <w:rFonts w:ascii="Arial" w:cs="Arial" w:eastAsia="Arial" w:hAnsi="Arial"/>
                <w:sz w:val="15"/>
                <w:szCs w:val="15"/>
                <w:b w:val="1"/>
                <w:bCs w:val="1"/>
                <w:color w:val="FFFFFF"/>
              </w:rPr>
              <w:t>2012</w:t>
            </w:r>
          </w:p>
        </w:tc>
        <w:tc>
          <w:tcPr>
            <w:tcW w:w="2800" w:type="dxa"/>
            <w:vAlign w:val="bottom"/>
            <w:shd w:val="clear" w:color="auto" w:fill="333333"/>
          </w:tcPr>
          <w:p>
            <w:pPr>
              <w:spacing w:after="0"/>
              <w:rPr>
                <w:sz w:val="14"/>
                <w:szCs w:val="14"/>
                <w:color w:val="auto"/>
              </w:rPr>
            </w:pPr>
          </w:p>
        </w:tc>
        <w:tc>
          <w:tcPr>
            <w:tcW w:w="1640" w:type="dxa"/>
            <w:vAlign w:val="bottom"/>
            <w:shd w:val="clear" w:color="auto" w:fill="333333"/>
          </w:tcPr>
          <w:p>
            <w:pPr>
              <w:spacing w:after="0"/>
              <w:rPr>
                <w:sz w:val="14"/>
                <w:szCs w:val="14"/>
                <w:color w:val="auto"/>
              </w:rPr>
            </w:pPr>
          </w:p>
        </w:tc>
        <w:tc>
          <w:tcPr>
            <w:tcW w:w="1380" w:type="dxa"/>
            <w:vAlign w:val="bottom"/>
            <w:shd w:val="clear" w:color="auto" w:fill="333333"/>
          </w:tcPr>
          <w:p>
            <w:pPr>
              <w:jc w:val="right"/>
              <w:ind w:right="269"/>
              <w:spacing w:after="0" w:line="162" w:lineRule="exact"/>
              <w:rPr>
                <w:sz w:val="20"/>
                <w:szCs w:val="20"/>
                <w:color w:val="auto"/>
              </w:rPr>
            </w:pPr>
            <w:r>
              <w:rPr>
                <w:rFonts w:ascii="Arial" w:cs="Arial" w:eastAsia="Arial" w:hAnsi="Arial"/>
                <w:sz w:val="15"/>
                <w:szCs w:val="15"/>
                <w:color w:val="FFFFFF"/>
              </w:rPr>
              <w:t>$ MILLION</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5580" w:type="dxa"/>
            <w:vAlign w:val="bottom"/>
          </w:tcPr>
          <w:p>
            <w:pPr>
              <w:spacing w:after="0"/>
              <w:rPr>
                <w:sz w:val="11"/>
                <w:szCs w:val="11"/>
                <w:color w:val="auto"/>
              </w:rPr>
            </w:pPr>
          </w:p>
        </w:tc>
        <w:tc>
          <w:tcPr>
            <w:tcW w:w="2800" w:type="dxa"/>
            <w:vAlign w:val="bottom"/>
          </w:tcPr>
          <w:p>
            <w:pPr>
              <w:spacing w:after="0"/>
              <w:rPr>
                <w:sz w:val="11"/>
                <w:szCs w:val="11"/>
                <w:color w:val="auto"/>
              </w:rPr>
            </w:pPr>
          </w:p>
        </w:tc>
        <w:tc>
          <w:tcPr>
            <w:tcW w:w="1640" w:type="dxa"/>
            <w:vAlign w:val="bottom"/>
          </w:tcPr>
          <w:p>
            <w:pPr>
              <w:jc w:val="right"/>
              <w:ind w:right="350"/>
              <w:spacing w:after="0" w:line="129" w:lineRule="exact"/>
              <w:rPr>
                <w:sz w:val="20"/>
                <w:szCs w:val="20"/>
                <w:color w:val="auto"/>
              </w:rPr>
            </w:pPr>
            <w:r>
              <w:rPr>
                <w:rFonts w:ascii="Arial" w:cs="Arial" w:eastAsia="Arial" w:hAnsi="Arial"/>
                <w:sz w:val="13"/>
                <w:szCs w:val="13"/>
                <w:color w:val="auto"/>
              </w:rPr>
              <w:t>Shell share</w:t>
            </w:r>
          </w:p>
        </w:tc>
        <w:tc>
          <w:tcPr>
            <w:tcW w:w="13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580" w:type="dxa"/>
            <w:vAlign w:val="bottom"/>
          </w:tcPr>
          <w:p>
            <w:pPr>
              <w:spacing w:after="0"/>
              <w:rPr>
                <w:sz w:val="11"/>
                <w:szCs w:val="11"/>
                <w:color w:val="auto"/>
              </w:rPr>
            </w:pPr>
          </w:p>
        </w:tc>
        <w:tc>
          <w:tcPr>
            <w:tcW w:w="2800" w:type="dxa"/>
            <w:vAlign w:val="bottom"/>
          </w:tcPr>
          <w:p>
            <w:pPr>
              <w:jc w:val="right"/>
              <w:ind w:right="350"/>
              <w:spacing w:after="0" w:line="135" w:lineRule="exact"/>
              <w:rPr>
                <w:sz w:val="20"/>
                <w:szCs w:val="20"/>
                <w:color w:val="auto"/>
              </w:rPr>
            </w:pPr>
            <w:r>
              <w:rPr>
                <w:rFonts w:ascii="Arial" w:cs="Arial" w:eastAsia="Arial" w:hAnsi="Arial"/>
                <w:sz w:val="13"/>
                <w:szCs w:val="13"/>
                <w:color w:val="auto"/>
              </w:rPr>
              <w:t>Shell</w:t>
            </w:r>
          </w:p>
        </w:tc>
        <w:tc>
          <w:tcPr>
            <w:tcW w:w="1640" w:type="dxa"/>
            <w:vAlign w:val="bottom"/>
          </w:tcPr>
          <w:p>
            <w:pPr>
              <w:jc w:val="right"/>
              <w:ind w:right="350"/>
              <w:spacing w:after="0" w:line="135" w:lineRule="exact"/>
              <w:rPr>
                <w:sz w:val="20"/>
                <w:szCs w:val="20"/>
                <w:color w:val="auto"/>
              </w:rPr>
            </w:pPr>
            <w:r>
              <w:rPr>
                <w:rFonts w:ascii="Arial" w:cs="Arial" w:eastAsia="Arial" w:hAnsi="Arial"/>
                <w:sz w:val="13"/>
                <w:szCs w:val="13"/>
                <w:color w:val="auto"/>
              </w:rPr>
              <w:t>of joint ventures</w:t>
            </w:r>
          </w:p>
        </w:tc>
        <w:tc>
          <w:tcPr>
            <w:tcW w:w="13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5580" w:type="dxa"/>
            <w:vAlign w:val="bottom"/>
            <w:tcBorders>
              <w:bottom w:val="single" w:sz="8" w:color="auto"/>
            </w:tcBorders>
          </w:tcPr>
          <w:p>
            <w:pPr>
              <w:spacing w:after="0"/>
              <w:rPr>
                <w:sz w:val="13"/>
                <w:szCs w:val="13"/>
                <w:color w:val="auto"/>
              </w:rPr>
            </w:pPr>
          </w:p>
        </w:tc>
        <w:tc>
          <w:tcPr>
            <w:tcW w:w="2800" w:type="dxa"/>
            <w:vAlign w:val="bottom"/>
            <w:tcBorders>
              <w:bottom w:val="single" w:sz="8" w:color="auto"/>
            </w:tcBorders>
          </w:tcPr>
          <w:p>
            <w:pPr>
              <w:jc w:val="right"/>
              <w:ind w:right="350"/>
              <w:spacing w:after="0"/>
              <w:rPr>
                <w:sz w:val="20"/>
                <w:szCs w:val="20"/>
                <w:color w:val="auto"/>
              </w:rPr>
            </w:pPr>
            <w:r>
              <w:rPr>
                <w:rFonts w:ascii="Arial" w:cs="Arial" w:eastAsia="Arial" w:hAnsi="Arial"/>
                <w:sz w:val="13"/>
                <w:szCs w:val="13"/>
                <w:color w:val="auto"/>
              </w:rPr>
              <w:t>subsidiaries</w:t>
            </w:r>
          </w:p>
        </w:tc>
        <w:tc>
          <w:tcPr>
            <w:tcW w:w="1640" w:type="dxa"/>
            <w:vAlign w:val="bottom"/>
            <w:tcBorders>
              <w:bottom w:val="single" w:sz="8" w:color="auto"/>
            </w:tcBorders>
          </w:tcPr>
          <w:p>
            <w:pPr>
              <w:jc w:val="right"/>
              <w:ind w:right="350"/>
              <w:spacing w:after="0"/>
              <w:rPr>
                <w:sz w:val="20"/>
                <w:szCs w:val="20"/>
                <w:color w:val="auto"/>
              </w:rPr>
            </w:pPr>
            <w:r>
              <w:rPr>
                <w:rFonts w:ascii="Arial" w:cs="Arial" w:eastAsia="Arial" w:hAnsi="Arial"/>
                <w:sz w:val="13"/>
                <w:szCs w:val="13"/>
                <w:color w:val="auto"/>
              </w:rPr>
              <w:t>and associates</w:t>
            </w:r>
          </w:p>
        </w:tc>
        <w:tc>
          <w:tcPr>
            <w:tcW w:w="1380" w:type="dxa"/>
            <w:vAlign w:val="bottom"/>
            <w:tcBorders>
              <w:bottom w:val="single" w:sz="8" w:color="auto"/>
            </w:tcBorders>
          </w:tcPr>
          <w:p>
            <w:pPr>
              <w:jc w:val="right"/>
              <w:ind w:right="269"/>
              <w:spacing w:after="0"/>
              <w:rPr>
                <w:sz w:val="20"/>
                <w:szCs w:val="20"/>
                <w:color w:val="auto"/>
              </w:rPr>
            </w:pPr>
            <w:r>
              <w:rPr>
                <w:rFonts w:ascii="Arial" w:cs="Arial" w:eastAsia="Arial" w:hAnsi="Arial"/>
                <w:sz w:val="13"/>
                <w:szCs w:val="13"/>
                <w:color w:val="auto"/>
              </w:rPr>
              <w:t>Total</w:t>
            </w:r>
          </w:p>
        </w:tc>
        <w:tc>
          <w:tcPr>
            <w:tcW w:w="0" w:type="dxa"/>
            <w:vAlign w:val="bottom"/>
          </w:tcPr>
          <w:p>
            <w:pPr>
              <w:spacing w:after="0"/>
              <w:rPr>
                <w:sz w:val="1"/>
                <w:szCs w:val="1"/>
                <w:color w:val="auto"/>
              </w:rPr>
            </w:pPr>
          </w:p>
        </w:tc>
      </w:tr>
      <w:tr>
        <w:trPr>
          <w:trHeight w:val="160"/>
        </w:trPr>
        <w:tc>
          <w:tcPr>
            <w:tcW w:w="5600" w:type="dxa"/>
            <w:vAlign w:val="bottom"/>
            <w:gridSpan w:val="2"/>
          </w:tcPr>
          <w:p>
            <w:pPr>
              <w:spacing w:after="0"/>
              <w:rPr>
                <w:sz w:val="20"/>
                <w:szCs w:val="20"/>
                <w:color w:val="auto"/>
              </w:rPr>
            </w:pPr>
            <w:r>
              <w:rPr>
                <w:rFonts w:ascii="Arial" w:cs="Arial" w:eastAsia="Arial" w:hAnsi="Arial"/>
                <w:sz w:val="14"/>
                <w:szCs w:val="14"/>
                <w:color w:val="auto"/>
              </w:rPr>
              <w:t>At January 1</w:t>
            </w:r>
          </w:p>
        </w:tc>
        <w:tc>
          <w:tcPr>
            <w:tcW w:w="2800" w:type="dxa"/>
            <w:vAlign w:val="bottom"/>
          </w:tcPr>
          <w:p>
            <w:pPr>
              <w:jc w:val="right"/>
              <w:ind w:right="350"/>
              <w:spacing w:after="0"/>
              <w:rPr>
                <w:sz w:val="20"/>
                <w:szCs w:val="20"/>
                <w:color w:val="auto"/>
              </w:rPr>
            </w:pPr>
            <w:r>
              <w:rPr>
                <w:rFonts w:ascii="Arial" w:cs="Arial" w:eastAsia="Arial" w:hAnsi="Arial"/>
                <w:sz w:val="14"/>
                <w:szCs w:val="14"/>
                <w:color w:val="auto"/>
              </w:rPr>
              <w:t>86,018</w:t>
            </w:r>
          </w:p>
        </w:tc>
        <w:tc>
          <w:tcPr>
            <w:tcW w:w="1640" w:type="dxa"/>
            <w:vAlign w:val="bottom"/>
          </w:tcPr>
          <w:p>
            <w:pPr>
              <w:jc w:val="right"/>
              <w:ind w:right="350"/>
              <w:spacing w:after="0"/>
              <w:rPr>
                <w:sz w:val="20"/>
                <w:szCs w:val="20"/>
                <w:color w:val="auto"/>
              </w:rPr>
            </w:pPr>
            <w:r>
              <w:rPr>
                <w:rFonts w:ascii="Arial" w:cs="Arial" w:eastAsia="Arial" w:hAnsi="Arial"/>
                <w:sz w:val="14"/>
                <w:szCs w:val="14"/>
                <w:color w:val="auto"/>
              </w:rPr>
              <w:t>35,166</w:t>
            </w:r>
          </w:p>
        </w:tc>
        <w:tc>
          <w:tcPr>
            <w:tcW w:w="1380" w:type="dxa"/>
            <w:vAlign w:val="bottom"/>
          </w:tcPr>
          <w:p>
            <w:pPr>
              <w:jc w:val="right"/>
              <w:ind w:right="269"/>
              <w:spacing w:after="0"/>
              <w:rPr>
                <w:sz w:val="20"/>
                <w:szCs w:val="20"/>
                <w:color w:val="auto"/>
              </w:rPr>
            </w:pPr>
            <w:r>
              <w:rPr>
                <w:rFonts w:ascii="Arial" w:cs="Arial" w:eastAsia="Arial" w:hAnsi="Arial"/>
                <w:sz w:val="14"/>
                <w:szCs w:val="14"/>
                <w:color w:val="auto"/>
              </w:rPr>
              <w:t>121,184</w:t>
            </w:r>
          </w:p>
        </w:tc>
        <w:tc>
          <w:tcPr>
            <w:tcW w:w="0" w:type="dxa"/>
            <w:vAlign w:val="bottom"/>
          </w:tcPr>
          <w:p>
            <w:pPr>
              <w:spacing w:after="0"/>
              <w:rPr>
                <w:sz w:val="1"/>
                <w:szCs w:val="1"/>
                <w:color w:val="auto"/>
              </w:rPr>
            </w:pPr>
          </w:p>
        </w:tc>
      </w:tr>
      <w:tr>
        <w:trPr>
          <w:trHeight w:val="162"/>
        </w:trPr>
        <w:tc>
          <w:tcPr>
            <w:tcW w:w="5600" w:type="dxa"/>
            <w:vAlign w:val="bottom"/>
            <w:gridSpan w:val="2"/>
          </w:tcPr>
          <w:p>
            <w:pPr>
              <w:spacing w:after="0"/>
              <w:rPr>
                <w:sz w:val="20"/>
                <w:szCs w:val="20"/>
                <w:color w:val="auto"/>
              </w:rPr>
            </w:pPr>
            <w:r>
              <w:rPr>
                <w:rFonts w:ascii="Arial" w:cs="Arial" w:eastAsia="Arial" w:hAnsi="Arial"/>
                <w:sz w:val="14"/>
                <w:szCs w:val="14"/>
                <w:color w:val="auto"/>
              </w:rPr>
              <w:t>Net changes in prices and production costs</w:t>
            </w:r>
          </w:p>
        </w:tc>
        <w:tc>
          <w:tcPr>
            <w:tcW w:w="2800" w:type="dxa"/>
            <w:vAlign w:val="bottom"/>
          </w:tcPr>
          <w:p>
            <w:pPr>
              <w:jc w:val="right"/>
              <w:ind w:right="290"/>
              <w:spacing w:after="0"/>
              <w:rPr>
                <w:sz w:val="20"/>
                <w:szCs w:val="20"/>
                <w:color w:val="auto"/>
              </w:rPr>
            </w:pPr>
            <w:r>
              <w:rPr>
                <w:rFonts w:ascii="Arial" w:cs="Arial" w:eastAsia="Arial" w:hAnsi="Arial"/>
                <w:sz w:val="14"/>
                <w:szCs w:val="14"/>
                <w:color w:val="auto"/>
              </w:rPr>
              <w:t>(4,631)</w:t>
            </w:r>
          </w:p>
        </w:tc>
        <w:tc>
          <w:tcPr>
            <w:tcW w:w="1640" w:type="dxa"/>
            <w:vAlign w:val="bottom"/>
          </w:tcPr>
          <w:p>
            <w:pPr>
              <w:jc w:val="right"/>
              <w:ind w:right="350"/>
              <w:spacing w:after="0"/>
              <w:rPr>
                <w:sz w:val="20"/>
                <w:szCs w:val="20"/>
                <w:color w:val="auto"/>
              </w:rPr>
            </w:pPr>
            <w:r>
              <w:rPr>
                <w:rFonts w:ascii="Arial" w:cs="Arial" w:eastAsia="Arial" w:hAnsi="Arial"/>
                <w:sz w:val="14"/>
                <w:szCs w:val="14"/>
                <w:color w:val="auto"/>
              </w:rPr>
              <w:t>6,166</w:t>
            </w:r>
          </w:p>
        </w:tc>
        <w:tc>
          <w:tcPr>
            <w:tcW w:w="1380" w:type="dxa"/>
            <w:vAlign w:val="bottom"/>
          </w:tcPr>
          <w:p>
            <w:pPr>
              <w:jc w:val="right"/>
              <w:ind w:right="269"/>
              <w:spacing w:after="0"/>
              <w:rPr>
                <w:sz w:val="20"/>
                <w:szCs w:val="20"/>
                <w:color w:val="auto"/>
              </w:rPr>
            </w:pPr>
            <w:r>
              <w:rPr>
                <w:rFonts w:ascii="Arial" w:cs="Arial" w:eastAsia="Arial" w:hAnsi="Arial"/>
                <w:sz w:val="14"/>
                <w:szCs w:val="14"/>
                <w:color w:val="auto"/>
              </w:rPr>
              <w:t>1,535</w:t>
            </w:r>
          </w:p>
        </w:tc>
        <w:tc>
          <w:tcPr>
            <w:tcW w:w="0" w:type="dxa"/>
            <w:vAlign w:val="bottom"/>
          </w:tcPr>
          <w:p>
            <w:pPr>
              <w:spacing w:after="0"/>
              <w:rPr>
                <w:sz w:val="1"/>
                <w:szCs w:val="1"/>
                <w:color w:val="auto"/>
              </w:rPr>
            </w:pPr>
          </w:p>
        </w:tc>
      </w:tr>
      <w:tr>
        <w:trPr>
          <w:trHeight w:val="162"/>
        </w:trPr>
        <w:tc>
          <w:tcPr>
            <w:tcW w:w="5600" w:type="dxa"/>
            <w:vAlign w:val="bottom"/>
            <w:gridSpan w:val="2"/>
          </w:tcPr>
          <w:p>
            <w:pPr>
              <w:spacing w:after="0"/>
              <w:rPr>
                <w:sz w:val="20"/>
                <w:szCs w:val="20"/>
                <w:color w:val="auto"/>
              </w:rPr>
            </w:pPr>
            <w:r>
              <w:rPr>
                <w:rFonts w:ascii="Arial" w:cs="Arial" w:eastAsia="Arial" w:hAnsi="Arial"/>
                <w:sz w:val="14"/>
                <w:szCs w:val="14"/>
                <w:color w:val="auto"/>
              </w:rPr>
              <w:t>Revisions of previous reserves estimates</w:t>
            </w:r>
          </w:p>
        </w:tc>
        <w:tc>
          <w:tcPr>
            <w:tcW w:w="2800" w:type="dxa"/>
            <w:vAlign w:val="bottom"/>
          </w:tcPr>
          <w:p>
            <w:pPr>
              <w:jc w:val="right"/>
              <w:ind w:right="350"/>
              <w:spacing w:after="0"/>
              <w:rPr>
                <w:sz w:val="20"/>
                <w:szCs w:val="20"/>
                <w:color w:val="auto"/>
              </w:rPr>
            </w:pPr>
            <w:r>
              <w:rPr>
                <w:rFonts w:ascii="Arial" w:cs="Arial" w:eastAsia="Arial" w:hAnsi="Arial"/>
                <w:sz w:val="14"/>
                <w:szCs w:val="14"/>
                <w:color w:val="auto"/>
              </w:rPr>
              <w:t>16,755</w:t>
            </w:r>
          </w:p>
        </w:tc>
        <w:tc>
          <w:tcPr>
            <w:tcW w:w="1640" w:type="dxa"/>
            <w:vAlign w:val="bottom"/>
          </w:tcPr>
          <w:p>
            <w:pPr>
              <w:jc w:val="right"/>
              <w:ind w:right="350"/>
              <w:spacing w:after="0"/>
              <w:rPr>
                <w:sz w:val="20"/>
                <w:szCs w:val="20"/>
                <w:color w:val="auto"/>
              </w:rPr>
            </w:pPr>
            <w:r>
              <w:rPr>
                <w:rFonts w:ascii="Arial" w:cs="Arial" w:eastAsia="Arial" w:hAnsi="Arial"/>
                <w:sz w:val="14"/>
                <w:szCs w:val="14"/>
                <w:color w:val="auto"/>
              </w:rPr>
              <w:t>2,696</w:t>
            </w:r>
          </w:p>
        </w:tc>
        <w:tc>
          <w:tcPr>
            <w:tcW w:w="1380" w:type="dxa"/>
            <w:vAlign w:val="bottom"/>
          </w:tcPr>
          <w:p>
            <w:pPr>
              <w:jc w:val="right"/>
              <w:ind w:right="269"/>
              <w:spacing w:after="0"/>
              <w:rPr>
                <w:sz w:val="20"/>
                <w:szCs w:val="20"/>
                <w:color w:val="auto"/>
              </w:rPr>
            </w:pPr>
            <w:r>
              <w:rPr>
                <w:rFonts w:ascii="Arial" w:cs="Arial" w:eastAsia="Arial" w:hAnsi="Arial"/>
                <w:sz w:val="14"/>
                <w:szCs w:val="14"/>
                <w:color w:val="auto"/>
              </w:rPr>
              <w:t>19,451</w:t>
            </w:r>
          </w:p>
        </w:tc>
        <w:tc>
          <w:tcPr>
            <w:tcW w:w="0" w:type="dxa"/>
            <w:vAlign w:val="bottom"/>
          </w:tcPr>
          <w:p>
            <w:pPr>
              <w:spacing w:after="0"/>
              <w:rPr>
                <w:sz w:val="1"/>
                <w:szCs w:val="1"/>
                <w:color w:val="auto"/>
              </w:rPr>
            </w:pPr>
          </w:p>
        </w:tc>
      </w:tr>
      <w:tr>
        <w:trPr>
          <w:trHeight w:val="162"/>
        </w:trPr>
        <w:tc>
          <w:tcPr>
            <w:tcW w:w="5600" w:type="dxa"/>
            <w:vAlign w:val="bottom"/>
            <w:gridSpan w:val="2"/>
          </w:tcPr>
          <w:p>
            <w:pPr>
              <w:spacing w:after="0"/>
              <w:rPr>
                <w:sz w:val="20"/>
                <w:szCs w:val="20"/>
                <w:color w:val="auto"/>
              </w:rPr>
            </w:pPr>
            <w:r>
              <w:rPr>
                <w:rFonts w:ascii="Arial" w:cs="Arial" w:eastAsia="Arial" w:hAnsi="Arial"/>
                <w:sz w:val="14"/>
                <w:szCs w:val="14"/>
                <w:color w:val="auto"/>
              </w:rPr>
              <w:t>Extensions, discoveries and improved recovery</w:t>
            </w:r>
          </w:p>
        </w:tc>
        <w:tc>
          <w:tcPr>
            <w:tcW w:w="2800" w:type="dxa"/>
            <w:vAlign w:val="bottom"/>
          </w:tcPr>
          <w:p>
            <w:pPr>
              <w:jc w:val="right"/>
              <w:ind w:right="350"/>
              <w:spacing w:after="0"/>
              <w:rPr>
                <w:sz w:val="20"/>
                <w:szCs w:val="20"/>
                <w:color w:val="auto"/>
              </w:rPr>
            </w:pPr>
            <w:r>
              <w:rPr>
                <w:rFonts w:ascii="Arial" w:cs="Arial" w:eastAsia="Arial" w:hAnsi="Arial"/>
                <w:sz w:val="14"/>
                <w:szCs w:val="14"/>
                <w:color w:val="auto"/>
              </w:rPr>
              <w:t>3,859</w:t>
            </w:r>
          </w:p>
        </w:tc>
        <w:tc>
          <w:tcPr>
            <w:tcW w:w="1640" w:type="dxa"/>
            <w:vAlign w:val="bottom"/>
          </w:tcPr>
          <w:p>
            <w:pPr>
              <w:jc w:val="right"/>
              <w:ind w:right="350"/>
              <w:spacing w:after="0"/>
              <w:rPr>
                <w:sz w:val="20"/>
                <w:szCs w:val="20"/>
                <w:color w:val="auto"/>
              </w:rPr>
            </w:pPr>
            <w:r>
              <w:rPr>
                <w:rFonts w:ascii="Arial" w:cs="Arial" w:eastAsia="Arial" w:hAnsi="Arial"/>
                <w:sz w:val="14"/>
                <w:szCs w:val="14"/>
                <w:color w:val="auto"/>
              </w:rPr>
              <w:t>299</w:t>
            </w:r>
          </w:p>
        </w:tc>
        <w:tc>
          <w:tcPr>
            <w:tcW w:w="1380" w:type="dxa"/>
            <w:vAlign w:val="bottom"/>
          </w:tcPr>
          <w:p>
            <w:pPr>
              <w:jc w:val="right"/>
              <w:ind w:right="269"/>
              <w:spacing w:after="0"/>
              <w:rPr>
                <w:sz w:val="20"/>
                <w:szCs w:val="20"/>
                <w:color w:val="auto"/>
              </w:rPr>
            </w:pPr>
            <w:r>
              <w:rPr>
                <w:rFonts w:ascii="Arial" w:cs="Arial" w:eastAsia="Arial" w:hAnsi="Arial"/>
                <w:sz w:val="14"/>
                <w:szCs w:val="14"/>
                <w:color w:val="auto"/>
              </w:rPr>
              <w:t>4,158</w:t>
            </w:r>
          </w:p>
        </w:tc>
        <w:tc>
          <w:tcPr>
            <w:tcW w:w="0" w:type="dxa"/>
            <w:vAlign w:val="bottom"/>
          </w:tcPr>
          <w:p>
            <w:pPr>
              <w:spacing w:after="0"/>
              <w:rPr>
                <w:sz w:val="1"/>
                <w:szCs w:val="1"/>
                <w:color w:val="auto"/>
              </w:rPr>
            </w:pPr>
          </w:p>
        </w:tc>
      </w:tr>
      <w:tr>
        <w:trPr>
          <w:trHeight w:val="162"/>
        </w:trPr>
        <w:tc>
          <w:tcPr>
            <w:tcW w:w="5600" w:type="dxa"/>
            <w:vAlign w:val="bottom"/>
            <w:gridSpan w:val="2"/>
          </w:tcPr>
          <w:p>
            <w:pPr>
              <w:spacing w:after="0"/>
              <w:rPr>
                <w:sz w:val="20"/>
                <w:szCs w:val="20"/>
                <w:color w:val="auto"/>
              </w:rPr>
            </w:pPr>
            <w:r>
              <w:rPr>
                <w:rFonts w:ascii="Arial" w:cs="Arial" w:eastAsia="Arial" w:hAnsi="Arial"/>
                <w:sz w:val="14"/>
                <w:szCs w:val="14"/>
                <w:color w:val="auto"/>
              </w:rPr>
              <w:t>Purchases and sales of minerals in place</w:t>
            </w:r>
          </w:p>
        </w:tc>
        <w:tc>
          <w:tcPr>
            <w:tcW w:w="2800" w:type="dxa"/>
            <w:vAlign w:val="bottom"/>
          </w:tcPr>
          <w:p>
            <w:pPr>
              <w:jc w:val="right"/>
              <w:ind w:right="290"/>
              <w:spacing w:after="0"/>
              <w:rPr>
                <w:sz w:val="20"/>
                <w:szCs w:val="20"/>
                <w:color w:val="auto"/>
              </w:rPr>
            </w:pPr>
            <w:r>
              <w:rPr>
                <w:rFonts w:ascii="Arial" w:cs="Arial" w:eastAsia="Arial" w:hAnsi="Arial"/>
                <w:sz w:val="14"/>
                <w:szCs w:val="14"/>
                <w:color w:val="auto"/>
              </w:rPr>
              <w:t>(1,821)</w:t>
            </w:r>
          </w:p>
        </w:tc>
        <w:tc>
          <w:tcPr>
            <w:tcW w:w="1640" w:type="dxa"/>
            <w:vAlign w:val="bottom"/>
          </w:tcPr>
          <w:p>
            <w:pPr>
              <w:jc w:val="right"/>
              <w:ind w:right="310"/>
              <w:spacing w:after="0"/>
              <w:rPr>
                <w:sz w:val="20"/>
                <w:szCs w:val="20"/>
                <w:color w:val="auto"/>
              </w:rPr>
            </w:pPr>
            <w:r>
              <w:rPr>
                <w:rFonts w:ascii="Arial" w:cs="Arial" w:eastAsia="Arial" w:hAnsi="Arial"/>
                <w:sz w:val="14"/>
                <w:szCs w:val="14"/>
                <w:color w:val="auto"/>
              </w:rPr>
              <w:t>(91)</w:t>
            </w:r>
          </w:p>
        </w:tc>
        <w:tc>
          <w:tcPr>
            <w:tcW w:w="1380" w:type="dxa"/>
            <w:vAlign w:val="bottom"/>
          </w:tcPr>
          <w:p>
            <w:pPr>
              <w:jc w:val="right"/>
              <w:ind w:right="209"/>
              <w:spacing w:after="0"/>
              <w:rPr>
                <w:sz w:val="20"/>
                <w:szCs w:val="20"/>
                <w:color w:val="auto"/>
              </w:rPr>
            </w:pPr>
            <w:r>
              <w:rPr>
                <w:rFonts w:ascii="Arial" w:cs="Arial" w:eastAsia="Arial" w:hAnsi="Arial"/>
                <w:sz w:val="14"/>
                <w:szCs w:val="14"/>
                <w:color w:val="auto"/>
              </w:rPr>
              <w:t>(1,912)</w:t>
            </w:r>
          </w:p>
        </w:tc>
        <w:tc>
          <w:tcPr>
            <w:tcW w:w="0" w:type="dxa"/>
            <w:vAlign w:val="bottom"/>
          </w:tcPr>
          <w:p>
            <w:pPr>
              <w:spacing w:after="0"/>
              <w:rPr>
                <w:sz w:val="1"/>
                <w:szCs w:val="1"/>
                <w:color w:val="auto"/>
              </w:rPr>
            </w:pPr>
          </w:p>
        </w:tc>
      </w:tr>
      <w:tr>
        <w:trPr>
          <w:trHeight w:val="162"/>
        </w:trPr>
        <w:tc>
          <w:tcPr>
            <w:tcW w:w="5600" w:type="dxa"/>
            <w:vAlign w:val="bottom"/>
            <w:gridSpan w:val="2"/>
          </w:tcPr>
          <w:p>
            <w:pPr>
              <w:spacing w:after="0"/>
              <w:rPr>
                <w:sz w:val="20"/>
                <w:szCs w:val="20"/>
                <w:color w:val="auto"/>
              </w:rPr>
            </w:pPr>
            <w:r>
              <w:rPr>
                <w:rFonts w:ascii="Arial" w:cs="Arial" w:eastAsia="Arial" w:hAnsi="Arial"/>
                <w:sz w:val="14"/>
                <w:szCs w:val="14"/>
                <w:color w:val="auto"/>
              </w:rPr>
              <w:t>Development cost related to future production</w:t>
            </w:r>
          </w:p>
        </w:tc>
        <w:tc>
          <w:tcPr>
            <w:tcW w:w="2800" w:type="dxa"/>
            <w:vAlign w:val="bottom"/>
          </w:tcPr>
          <w:p>
            <w:pPr>
              <w:jc w:val="right"/>
              <w:ind w:right="290"/>
              <w:spacing w:after="0"/>
              <w:rPr>
                <w:sz w:val="20"/>
                <w:szCs w:val="20"/>
                <w:color w:val="auto"/>
              </w:rPr>
            </w:pPr>
            <w:r>
              <w:rPr>
                <w:rFonts w:ascii="Arial" w:cs="Arial" w:eastAsia="Arial" w:hAnsi="Arial"/>
                <w:sz w:val="14"/>
                <w:szCs w:val="14"/>
                <w:color w:val="auto"/>
              </w:rPr>
              <w:t>(12,179)</w:t>
            </w:r>
          </w:p>
        </w:tc>
        <w:tc>
          <w:tcPr>
            <w:tcW w:w="1640" w:type="dxa"/>
            <w:vAlign w:val="bottom"/>
          </w:tcPr>
          <w:p>
            <w:pPr>
              <w:jc w:val="right"/>
              <w:ind w:right="310"/>
              <w:spacing w:after="0"/>
              <w:rPr>
                <w:sz w:val="20"/>
                <w:szCs w:val="20"/>
                <w:color w:val="auto"/>
              </w:rPr>
            </w:pPr>
            <w:r>
              <w:rPr>
                <w:rFonts w:ascii="Arial" w:cs="Arial" w:eastAsia="Arial" w:hAnsi="Arial"/>
                <w:sz w:val="14"/>
                <w:szCs w:val="14"/>
                <w:color w:val="auto"/>
              </w:rPr>
              <w:t>(2,971)</w:t>
            </w:r>
          </w:p>
        </w:tc>
        <w:tc>
          <w:tcPr>
            <w:tcW w:w="1380" w:type="dxa"/>
            <w:vAlign w:val="bottom"/>
          </w:tcPr>
          <w:p>
            <w:pPr>
              <w:jc w:val="right"/>
              <w:ind w:right="209"/>
              <w:spacing w:after="0"/>
              <w:rPr>
                <w:sz w:val="20"/>
                <w:szCs w:val="20"/>
                <w:color w:val="auto"/>
              </w:rPr>
            </w:pPr>
            <w:r>
              <w:rPr>
                <w:rFonts w:ascii="Arial" w:cs="Arial" w:eastAsia="Arial" w:hAnsi="Arial"/>
                <w:sz w:val="14"/>
                <w:szCs w:val="14"/>
                <w:color w:val="auto"/>
              </w:rPr>
              <w:t>(15,150)</w:t>
            </w:r>
          </w:p>
        </w:tc>
        <w:tc>
          <w:tcPr>
            <w:tcW w:w="0" w:type="dxa"/>
            <w:vAlign w:val="bottom"/>
          </w:tcPr>
          <w:p>
            <w:pPr>
              <w:spacing w:after="0"/>
              <w:rPr>
                <w:sz w:val="1"/>
                <w:szCs w:val="1"/>
                <w:color w:val="auto"/>
              </w:rPr>
            </w:pPr>
          </w:p>
        </w:tc>
      </w:tr>
      <w:tr>
        <w:trPr>
          <w:trHeight w:val="162"/>
        </w:trPr>
        <w:tc>
          <w:tcPr>
            <w:tcW w:w="5600" w:type="dxa"/>
            <w:vAlign w:val="bottom"/>
            <w:gridSpan w:val="2"/>
          </w:tcPr>
          <w:p>
            <w:pPr>
              <w:spacing w:after="0"/>
              <w:rPr>
                <w:sz w:val="20"/>
                <w:szCs w:val="20"/>
                <w:color w:val="auto"/>
              </w:rPr>
            </w:pPr>
            <w:r>
              <w:rPr>
                <w:rFonts w:ascii="Arial" w:cs="Arial" w:eastAsia="Arial" w:hAnsi="Arial"/>
                <w:sz w:val="14"/>
                <w:szCs w:val="14"/>
                <w:color w:val="auto"/>
              </w:rPr>
              <w:t>Sales and transfers of oil and gas, net of production costs</w:t>
            </w:r>
          </w:p>
        </w:tc>
        <w:tc>
          <w:tcPr>
            <w:tcW w:w="2800" w:type="dxa"/>
            <w:vAlign w:val="bottom"/>
          </w:tcPr>
          <w:p>
            <w:pPr>
              <w:jc w:val="right"/>
              <w:ind w:right="290"/>
              <w:spacing w:after="0"/>
              <w:rPr>
                <w:sz w:val="20"/>
                <w:szCs w:val="20"/>
                <w:color w:val="auto"/>
              </w:rPr>
            </w:pPr>
            <w:r>
              <w:rPr>
                <w:rFonts w:ascii="Arial" w:cs="Arial" w:eastAsia="Arial" w:hAnsi="Arial"/>
                <w:sz w:val="14"/>
                <w:szCs w:val="14"/>
                <w:color w:val="auto"/>
              </w:rPr>
              <w:t>(43,000)</w:t>
            </w:r>
          </w:p>
        </w:tc>
        <w:tc>
          <w:tcPr>
            <w:tcW w:w="1640" w:type="dxa"/>
            <w:vAlign w:val="bottom"/>
          </w:tcPr>
          <w:p>
            <w:pPr>
              <w:jc w:val="right"/>
              <w:ind w:right="310"/>
              <w:spacing w:after="0"/>
              <w:rPr>
                <w:sz w:val="20"/>
                <w:szCs w:val="20"/>
                <w:color w:val="auto"/>
              </w:rPr>
            </w:pPr>
            <w:r>
              <w:rPr>
                <w:rFonts w:ascii="Arial" w:cs="Arial" w:eastAsia="Arial" w:hAnsi="Arial"/>
                <w:sz w:val="14"/>
                <w:szCs w:val="14"/>
                <w:color w:val="auto"/>
              </w:rPr>
              <w:t>(16,139)</w:t>
            </w:r>
          </w:p>
        </w:tc>
        <w:tc>
          <w:tcPr>
            <w:tcW w:w="1380" w:type="dxa"/>
            <w:vAlign w:val="bottom"/>
          </w:tcPr>
          <w:p>
            <w:pPr>
              <w:jc w:val="right"/>
              <w:ind w:right="209"/>
              <w:spacing w:after="0"/>
              <w:rPr>
                <w:sz w:val="20"/>
                <w:szCs w:val="20"/>
                <w:color w:val="auto"/>
              </w:rPr>
            </w:pPr>
            <w:r>
              <w:rPr>
                <w:rFonts w:ascii="Arial" w:cs="Arial" w:eastAsia="Arial" w:hAnsi="Arial"/>
                <w:sz w:val="14"/>
                <w:szCs w:val="14"/>
                <w:color w:val="auto"/>
              </w:rPr>
              <w:t>(59,139)</w:t>
            </w:r>
          </w:p>
        </w:tc>
        <w:tc>
          <w:tcPr>
            <w:tcW w:w="0" w:type="dxa"/>
            <w:vAlign w:val="bottom"/>
          </w:tcPr>
          <w:p>
            <w:pPr>
              <w:spacing w:after="0"/>
              <w:rPr>
                <w:sz w:val="1"/>
                <w:szCs w:val="1"/>
                <w:color w:val="auto"/>
              </w:rPr>
            </w:pPr>
          </w:p>
        </w:tc>
      </w:tr>
      <w:tr>
        <w:trPr>
          <w:trHeight w:val="162"/>
        </w:trPr>
        <w:tc>
          <w:tcPr>
            <w:tcW w:w="5600" w:type="dxa"/>
            <w:vAlign w:val="bottom"/>
            <w:gridSpan w:val="2"/>
          </w:tcPr>
          <w:p>
            <w:pPr>
              <w:spacing w:after="0"/>
              <w:rPr>
                <w:sz w:val="20"/>
                <w:szCs w:val="20"/>
                <w:color w:val="auto"/>
              </w:rPr>
            </w:pPr>
            <w:r>
              <w:rPr>
                <w:rFonts w:ascii="Arial" w:cs="Arial" w:eastAsia="Arial" w:hAnsi="Arial"/>
                <w:sz w:val="14"/>
                <w:szCs w:val="14"/>
                <w:color w:val="auto"/>
              </w:rPr>
              <w:t>Development cost incurred during the year</w:t>
            </w:r>
          </w:p>
        </w:tc>
        <w:tc>
          <w:tcPr>
            <w:tcW w:w="2800" w:type="dxa"/>
            <w:vAlign w:val="bottom"/>
          </w:tcPr>
          <w:p>
            <w:pPr>
              <w:jc w:val="right"/>
              <w:ind w:right="350"/>
              <w:spacing w:after="0"/>
              <w:rPr>
                <w:sz w:val="20"/>
                <w:szCs w:val="20"/>
                <w:color w:val="auto"/>
              </w:rPr>
            </w:pPr>
            <w:r>
              <w:rPr>
                <w:rFonts w:ascii="Arial" w:cs="Arial" w:eastAsia="Arial" w:hAnsi="Arial"/>
                <w:sz w:val="14"/>
                <w:szCs w:val="14"/>
                <w:color w:val="auto"/>
              </w:rPr>
              <w:t>19,559</w:t>
            </w:r>
          </w:p>
        </w:tc>
        <w:tc>
          <w:tcPr>
            <w:tcW w:w="1640" w:type="dxa"/>
            <w:vAlign w:val="bottom"/>
          </w:tcPr>
          <w:p>
            <w:pPr>
              <w:jc w:val="right"/>
              <w:ind w:right="350"/>
              <w:spacing w:after="0"/>
              <w:rPr>
                <w:sz w:val="20"/>
                <w:szCs w:val="20"/>
                <w:color w:val="auto"/>
              </w:rPr>
            </w:pPr>
            <w:r>
              <w:rPr>
                <w:rFonts w:ascii="Arial" w:cs="Arial" w:eastAsia="Arial" w:hAnsi="Arial"/>
                <w:sz w:val="14"/>
                <w:szCs w:val="14"/>
                <w:color w:val="auto"/>
              </w:rPr>
              <w:t>2,288</w:t>
            </w:r>
          </w:p>
        </w:tc>
        <w:tc>
          <w:tcPr>
            <w:tcW w:w="1380" w:type="dxa"/>
            <w:vAlign w:val="bottom"/>
          </w:tcPr>
          <w:p>
            <w:pPr>
              <w:jc w:val="right"/>
              <w:ind w:right="269"/>
              <w:spacing w:after="0"/>
              <w:rPr>
                <w:sz w:val="20"/>
                <w:szCs w:val="20"/>
                <w:color w:val="auto"/>
              </w:rPr>
            </w:pPr>
            <w:r>
              <w:rPr>
                <w:rFonts w:ascii="Arial" w:cs="Arial" w:eastAsia="Arial" w:hAnsi="Arial"/>
                <w:sz w:val="14"/>
                <w:szCs w:val="14"/>
                <w:color w:val="auto"/>
              </w:rPr>
              <w:t>21,847</w:t>
            </w:r>
          </w:p>
        </w:tc>
        <w:tc>
          <w:tcPr>
            <w:tcW w:w="0" w:type="dxa"/>
            <w:vAlign w:val="bottom"/>
          </w:tcPr>
          <w:p>
            <w:pPr>
              <w:spacing w:after="0"/>
              <w:rPr>
                <w:sz w:val="1"/>
                <w:szCs w:val="1"/>
                <w:color w:val="auto"/>
              </w:rPr>
            </w:pPr>
          </w:p>
        </w:tc>
      </w:tr>
      <w:tr>
        <w:trPr>
          <w:trHeight w:val="162"/>
        </w:trPr>
        <w:tc>
          <w:tcPr>
            <w:tcW w:w="5600" w:type="dxa"/>
            <w:vAlign w:val="bottom"/>
            <w:gridSpan w:val="2"/>
          </w:tcPr>
          <w:p>
            <w:pPr>
              <w:spacing w:after="0"/>
              <w:rPr>
                <w:sz w:val="20"/>
                <w:szCs w:val="20"/>
                <w:color w:val="auto"/>
              </w:rPr>
            </w:pPr>
            <w:r>
              <w:rPr>
                <w:rFonts w:ascii="Arial" w:cs="Arial" w:eastAsia="Arial" w:hAnsi="Arial"/>
                <w:sz w:val="14"/>
                <w:szCs w:val="14"/>
                <w:color w:val="auto"/>
              </w:rPr>
              <w:t>Accretion of discount</w:t>
            </w:r>
          </w:p>
        </w:tc>
        <w:tc>
          <w:tcPr>
            <w:tcW w:w="2800" w:type="dxa"/>
            <w:vAlign w:val="bottom"/>
          </w:tcPr>
          <w:p>
            <w:pPr>
              <w:jc w:val="right"/>
              <w:ind w:right="350"/>
              <w:spacing w:after="0"/>
              <w:rPr>
                <w:sz w:val="20"/>
                <w:szCs w:val="20"/>
                <w:color w:val="auto"/>
              </w:rPr>
            </w:pPr>
            <w:r>
              <w:rPr>
                <w:rFonts w:ascii="Arial" w:cs="Arial" w:eastAsia="Arial" w:hAnsi="Arial"/>
                <w:sz w:val="14"/>
                <w:szCs w:val="14"/>
                <w:color w:val="auto"/>
              </w:rPr>
              <w:t>16,570</w:t>
            </w:r>
          </w:p>
        </w:tc>
        <w:tc>
          <w:tcPr>
            <w:tcW w:w="1640" w:type="dxa"/>
            <w:vAlign w:val="bottom"/>
          </w:tcPr>
          <w:p>
            <w:pPr>
              <w:jc w:val="right"/>
              <w:ind w:right="350"/>
              <w:spacing w:after="0"/>
              <w:rPr>
                <w:sz w:val="20"/>
                <w:szCs w:val="20"/>
                <w:color w:val="auto"/>
              </w:rPr>
            </w:pPr>
            <w:r>
              <w:rPr>
                <w:rFonts w:ascii="Arial" w:cs="Arial" w:eastAsia="Arial" w:hAnsi="Arial"/>
                <w:sz w:val="14"/>
                <w:szCs w:val="14"/>
                <w:color w:val="auto"/>
              </w:rPr>
              <w:t>5,130</w:t>
            </w:r>
          </w:p>
        </w:tc>
        <w:tc>
          <w:tcPr>
            <w:tcW w:w="1380" w:type="dxa"/>
            <w:vAlign w:val="bottom"/>
          </w:tcPr>
          <w:p>
            <w:pPr>
              <w:jc w:val="right"/>
              <w:ind w:right="269"/>
              <w:spacing w:after="0"/>
              <w:rPr>
                <w:sz w:val="20"/>
                <w:szCs w:val="20"/>
                <w:color w:val="auto"/>
              </w:rPr>
            </w:pPr>
            <w:r>
              <w:rPr>
                <w:rFonts w:ascii="Arial" w:cs="Arial" w:eastAsia="Arial" w:hAnsi="Arial"/>
                <w:sz w:val="14"/>
                <w:szCs w:val="14"/>
                <w:color w:val="auto"/>
              </w:rPr>
              <w:t>21,700</w:t>
            </w:r>
          </w:p>
        </w:tc>
        <w:tc>
          <w:tcPr>
            <w:tcW w:w="0" w:type="dxa"/>
            <w:vAlign w:val="bottom"/>
          </w:tcPr>
          <w:p>
            <w:pPr>
              <w:spacing w:after="0"/>
              <w:rPr>
                <w:sz w:val="1"/>
                <w:szCs w:val="1"/>
                <w:color w:val="auto"/>
              </w:rPr>
            </w:pPr>
          </w:p>
        </w:tc>
      </w:tr>
      <w:tr>
        <w:trPr>
          <w:trHeight w:val="157"/>
        </w:trPr>
        <w:tc>
          <w:tcPr>
            <w:tcW w:w="5600" w:type="dxa"/>
            <w:vAlign w:val="bottom"/>
            <w:tcBorders>
              <w:bottom w:val="single" w:sz="8" w:color="auto"/>
            </w:tcBorders>
            <w:gridSpan w:val="2"/>
          </w:tcPr>
          <w:p>
            <w:pPr>
              <w:spacing w:after="0" w:line="157" w:lineRule="exact"/>
              <w:rPr>
                <w:sz w:val="20"/>
                <w:szCs w:val="20"/>
                <w:color w:val="auto"/>
              </w:rPr>
            </w:pPr>
            <w:r>
              <w:rPr>
                <w:rFonts w:ascii="Arial" w:cs="Arial" w:eastAsia="Arial" w:hAnsi="Arial"/>
                <w:sz w:val="14"/>
                <w:szCs w:val="14"/>
                <w:color w:val="auto"/>
              </w:rPr>
              <w:t>Net change in income tax</w:t>
            </w:r>
          </w:p>
        </w:tc>
        <w:tc>
          <w:tcPr>
            <w:tcW w:w="2800" w:type="dxa"/>
            <w:vAlign w:val="bottom"/>
            <w:tcBorders>
              <w:bottom w:val="single" w:sz="8" w:color="auto"/>
            </w:tcBorders>
          </w:tcPr>
          <w:p>
            <w:pPr>
              <w:jc w:val="right"/>
              <w:ind w:right="350"/>
              <w:spacing w:after="0" w:line="157" w:lineRule="exact"/>
              <w:rPr>
                <w:sz w:val="20"/>
                <w:szCs w:val="20"/>
                <w:color w:val="auto"/>
              </w:rPr>
            </w:pPr>
            <w:r>
              <w:rPr>
                <w:rFonts w:ascii="Arial" w:cs="Arial" w:eastAsia="Arial" w:hAnsi="Arial"/>
                <w:sz w:val="14"/>
                <w:szCs w:val="14"/>
                <w:color w:val="auto"/>
              </w:rPr>
              <w:t>3,948</w:t>
            </w:r>
          </w:p>
        </w:tc>
        <w:tc>
          <w:tcPr>
            <w:tcW w:w="1640" w:type="dxa"/>
            <w:vAlign w:val="bottom"/>
            <w:tcBorders>
              <w:bottom w:val="single" w:sz="8" w:color="auto"/>
            </w:tcBorders>
          </w:tcPr>
          <w:p>
            <w:pPr>
              <w:jc w:val="right"/>
              <w:ind w:right="350"/>
              <w:spacing w:after="0" w:line="157" w:lineRule="exact"/>
              <w:rPr>
                <w:sz w:val="20"/>
                <w:szCs w:val="20"/>
                <w:color w:val="auto"/>
              </w:rPr>
            </w:pPr>
            <w:r>
              <w:rPr>
                <w:rFonts w:ascii="Arial" w:cs="Arial" w:eastAsia="Arial" w:hAnsi="Arial"/>
                <w:sz w:val="14"/>
                <w:szCs w:val="14"/>
                <w:color w:val="auto"/>
              </w:rPr>
              <w:t>1,302</w:t>
            </w:r>
          </w:p>
        </w:tc>
        <w:tc>
          <w:tcPr>
            <w:tcW w:w="1380" w:type="dxa"/>
            <w:vAlign w:val="bottom"/>
            <w:tcBorders>
              <w:bottom w:val="single" w:sz="8" w:color="auto"/>
            </w:tcBorders>
          </w:tcPr>
          <w:p>
            <w:pPr>
              <w:jc w:val="right"/>
              <w:ind w:right="269"/>
              <w:spacing w:after="0" w:line="157" w:lineRule="exact"/>
              <w:rPr>
                <w:sz w:val="20"/>
                <w:szCs w:val="20"/>
                <w:color w:val="auto"/>
              </w:rPr>
            </w:pPr>
            <w:r>
              <w:rPr>
                <w:rFonts w:ascii="Arial" w:cs="Arial" w:eastAsia="Arial" w:hAnsi="Arial"/>
                <w:sz w:val="14"/>
                <w:szCs w:val="14"/>
                <w:color w:val="auto"/>
              </w:rPr>
              <w:t>5,250</w:t>
            </w:r>
          </w:p>
        </w:tc>
        <w:tc>
          <w:tcPr>
            <w:tcW w:w="0" w:type="dxa"/>
            <w:vAlign w:val="bottom"/>
          </w:tcPr>
          <w:p>
            <w:pPr>
              <w:spacing w:after="0"/>
              <w:rPr>
                <w:sz w:val="1"/>
                <w:szCs w:val="1"/>
                <w:color w:val="auto"/>
              </w:rPr>
            </w:pPr>
          </w:p>
        </w:tc>
      </w:tr>
      <w:tr>
        <w:trPr>
          <w:trHeight w:val="156"/>
        </w:trPr>
        <w:tc>
          <w:tcPr>
            <w:tcW w:w="5600" w:type="dxa"/>
            <w:vAlign w:val="bottom"/>
            <w:tcBorders>
              <w:bottom w:val="single" w:sz="8" w:color="auto"/>
            </w:tcBorders>
            <w:gridSpan w:val="2"/>
          </w:tcPr>
          <w:p>
            <w:pPr>
              <w:spacing w:after="0" w:line="155" w:lineRule="exact"/>
              <w:rPr>
                <w:sz w:val="20"/>
                <w:szCs w:val="20"/>
                <w:color w:val="auto"/>
              </w:rPr>
            </w:pPr>
            <w:r>
              <w:rPr>
                <w:rFonts w:ascii="Arial" w:cs="Arial" w:eastAsia="Arial" w:hAnsi="Arial"/>
                <w:sz w:val="14"/>
                <w:szCs w:val="14"/>
                <w:color w:val="auto"/>
              </w:rPr>
              <w:t>At December 31</w:t>
            </w:r>
          </w:p>
        </w:tc>
        <w:tc>
          <w:tcPr>
            <w:tcW w:w="2800" w:type="dxa"/>
            <w:vAlign w:val="bottom"/>
            <w:tcBorders>
              <w:bottom w:val="single" w:sz="8" w:color="auto"/>
            </w:tcBorders>
          </w:tcPr>
          <w:p>
            <w:pPr>
              <w:jc w:val="right"/>
              <w:ind w:right="350"/>
              <w:spacing w:after="0" w:line="155" w:lineRule="exact"/>
              <w:rPr>
                <w:sz w:val="20"/>
                <w:szCs w:val="20"/>
                <w:color w:val="auto"/>
              </w:rPr>
            </w:pPr>
            <w:r>
              <w:rPr>
                <w:rFonts w:ascii="Arial" w:cs="Arial" w:eastAsia="Arial" w:hAnsi="Arial"/>
                <w:sz w:val="14"/>
                <w:szCs w:val="14"/>
                <w:color w:val="auto"/>
              </w:rPr>
              <w:t>85,078</w:t>
            </w:r>
          </w:p>
        </w:tc>
        <w:tc>
          <w:tcPr>
            <w:tcW w:w="1640" w:type="dxa"/>
            <w:vAlign w:val="bottom"/>
            <w:tcBorders>
              <w:bottom w:val="single" w:sz="8" w:color="auto"/>
            </w:tcBorders>
          </w:tcPr>
          <w:p>
            <w:pPr>
              <w:jc w:val="right"/>
              <w:ind w:right="350"/>
              <w:spacing w:after="0" w:line="155" w:lineRule="exact"/>
              <w:rPr>
                <w:sz w:val="20"/>
                <w:szCs w:val="20"/>
                <w:color w:val="auto"/>
              </w:rPr>
            </w:pPr>
            <w:r>
              <w:rPr>
                <w:rFonts w:ascii="Arial" w:cs="Arial" w:eastAsia="Arial" w:hAnsi="Arial"/>
                <w:sz w:val="14"/>
                <w:szCs w:val="14"/>
                <w:color w:val="auto"/>
              </w:rPr>
              <w:t>33,846</w:t>
            </w:r>
          </w:p>
        </w:tc>
        <w:tc>
          <w:tcPr>
            <w:tcW w:w="1380" w:type="dxa"/>
            <w:vAlign w:val="bottom"/>
            <w:tcBorders>
              <w:bottom w:val="single" w:sz="8" w:color="auto"/>
            </w:tcBorders>
          </w:tcPr>
          <w:p>
            <w:pPr>
              <w:jc w:val="right"/>
              <w:ind w:right="269"/>
              <w:spacing w:after="0" w:line="155" w:lineRule="exact"/>
              <w:rPr>
                <w:sz w:val="20"/>
                <w:szCs w:val="20"/>
                <w:color w:val="auto"/>
              </w:rPr>
            </w:pPr>
            <w:r>
              <w:rPr>
                <w:rFonts w:ascii="Arial" w:cs="Arial" w:eastAsia="Arial" w:hAnsi="Arial"/>
                <w:sz w:val="14"/>
                <w:szCs w:val="14"/>
                <w:color w:val="auto"/>
              </w:rPr>
              <w:t>118,924</w:t>
            </w:r>
          </w:p>
        </w:tc>
        <w:tc>
          <w:tcPr>
            <w:tcW w:w="0" w:type="dxa"/>
            <w:vAlign w:val="bottom"/>
          </w:tcPr>
          <w:p>
            <w:pPr>
              <w:spacing w:after="0"/>
              <w:rPr>
                <w:sz w:val="1"/>
                <w:szCs w:val="1"/>
                <w:color w:val="auto"/>
              </w:rPr>
            </w:pPr>
          </w:p>
        </w:tc>
      </w:tr>
    </w:tbl>
    <w:p>
      <w:pPr>
        <w:sectPr>
          <w:pgSz w:w="11900" w:h="16838" w:orient="portrait"/>
          <w:cols w:equalWidth="0" w:num="1">
            <w:col w:w="11420"/>
          </w:cols>
          <w:pgMar w:left="240" w:top="460" w:right="239" w:bottom="1440" w:gutter="0" w:footer="0" w:header="0"/>
        </w:sectPr>
      </w:pPr>
    </w:p>
    <w:bookmarkStart w:id="155" w:name="page156"/>
    <w:bookmarkEnd w:id="1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300355</wp:posOffset>
            </wp:positionV>
            <wp:extent cx="8890" cy="462915"/>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8890" cy="462915"/>
                    </a:xfrm>
                    <a:prstGeom prst="rect">
                      <a:avLst/>
                    </a:prstGeom>
                    <a:noFill/>
                  </pic:spPr>
                </pic:pic>
              </a:graphicData>
            </a:graphic>
          </wp:anchor>
        </w:drawing>
      </w:r>
    </w:p>
    <w:p>
      <w:pPr>
        <w:spacing w:after="0" w:line="200" w:lineRule="exact"/>
        <w:rPr>
          <w:sz w:val="20"/>
          <w:szCs w:val="20"/>
          <w:color w:val="auto"/>
        </w:rPr>
      </w:pP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565"/>
        </w:trPr>
        <w:tc>
          <w:tcPr>
            <w:tcW w:w="700" w:type="dxa"/>
            <w:vAlign w:val="bottom"/>
            <w:shd w:val="clear" w:color="auto" w:fill="FF8B00"/>
          </w:tcPr>
          <w:p>
            <w:pPr>
              <w:jc w:val="right"/>
              <w:ind w:right="206"/>
              <w:spacing w:after="0"/>
              <w:rPr>
                <w:sz w:val="20"/>
                <w:szCs w:val="20"/>
                <w:color w:val="auto"/>
              </w:rPr>
            </w:pPr>
            <w:r>
              <w:rPr>
                <w:rFonts w:ascii="Arial" w:cs="Arial" w:eastAsia="Arial" w:hAnsi="Arial"/>
                <w:sz w:val="11"/>
                <w:szCs w:val="11"/>
                <w:b w:val="1"/>
                <w:bCs w:val="1"/>
                <w:color w:val="333333"/>
              </w:rPr>
              <w:t>154</w:t>
            </w:r>
          </w:p>
        </w:tc>
        <w:tc>
          <w:tcPr>
            <w:tcW w:w="4880" w:type="dxa"/>
            <w:vAlign w:val="bottom"/>
            <w:shd w:val="clear" w:color="auto" w:fill="FF8B00"/>
          </w:tcPr>
          <w:p>
            <w:pPr>
              <w:jc w:val="right"/>
              <w:ind w:right="741"/>
              <w:spacing w:after="0"/>
              <w:rPr>
                <w:sz w:val="20"/>
                <w:szCs w:val="20"/>
                <w:color w:val="auto"/>
              </w:rPr>
            </w:pPr>
            <w:r>
              <w:rPr>
                <w:rFonts w:ascii="Arial" w:cs="Arial" w:eastAsia="Arial" w:hAnsi="Arial"/>
                <w:sz w:val="13"/>
                <w:szCs w:val="13"/>
                <w:color w:val="333333"/>
              </w:rPr>
              <w:t>FINANCIAL STATEMENTS AND SUPPLEMENTS</w:t>
            </w:r>
          </w:p>
        </w:tc>
        <w:tc>
          <w:tcPr>
            <w:tcW w:w="5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5"/>
        </w:trPr>
        <w:tc>
          <w:tcPr>
            <w:tcW w:w="700" w:type="dxa"/>
            <w:vAlign w:val="bottom"/>
            <w:shd w:val="clear" w:color="auto" w:fill="FF8B00"/>
          </w:tcPr>
          <w:p>
            <w:pPr>
              <w:spacing w:after="0"/>
              <w:rPr>
                <w:sz w:val="14"/>
                <w:szCs w:val="14"/>
                <w:color w:val="auto"/>
              </w:rPr>
            </w:pPr>
          </w:p>
        </w:tc>
        <w:tc>
          <w:tcPr>
            <w:tcW w:w="4880" w:type="dxa"/>
            <w:vAlign w:val="bottom"/>
            <w:shd w:val="clear" w:color="auto" w:fill="FF8B00"/>
          </w:tcPr>
          <w:p>
            <w:pPr>
              <w:spacing w:after="0"/>
              <w:rPr>
                <w:sz w:val="14"/>
                <w:szCs w:val="14"/>
                <w:color w:val="auto"/>
              </w:rPr>
            </w:pPr>
          </w:p>
        </w:tc>
        <w:tc>
          <w:tcPr>
            <w:tcW w:w="5840" w:type="dxa"/>
            <w:vAlign w:val="bottom"/>
            <w:vMerge w:val="restart"/>
          </w:tcPr>
          <w:p>
            <w:pPr>
              <w:ind w:left="3440"/>
              <w:spacing w:after="0"/>
              <w:rPr>
                <w:sz w:val="20"/>
                <w:szCs w:val="20"/>
                <w:color w:val="auto"/>
              </w:rPr>
            </w:pPr>
            <w:r>
              <w:rPr>
                <w:rFonts w:ascii="Arial" w:cs="Arial" w:eastAsia="Arial" w:hAnsi="Arial"/>
                <w:sz w:val="11"/>
                <w:szCs w:val="11"/>
                <w:color w:val="auto"/>
                <w:w w:val="96"/>
              </w:rPr>
              <w:t>SHELL ANNUAL REPORT AND FORM 20-F 2014</w:t>
            </w:r>
          </w:p>
        </w:tc>
        <w:tc>
          <w:tcPr>
            <w:tcW w:w="0" w:type="dxa"/>
            <w:vAlign w:val="bottom"/>
          </w:tcPr>
          <w:p>
            <w:pPr>
              <w:spacing w:after="0"/>
              <w:rPr>
                <w:sz w:val="1"/>
                <w:szCs w:val="1"/>
                <w:color w:val="auto"/>
              </w:rPr>
            </w:pPr>
          </w:p>
        </w:tc>
      </w:tr>
      <w:tr>
        <w:trPr>
          <w:trHeight w:val="121"/>
        </w:trPr>
        <w:tc>
          <w:tcPr>
            <w:tcW w:w="700" w:type="dxa"/>
            <w:vAlign w:val="bottom"/>
          </w:tcPr>
          <w:p>
            <w:pPr>
              <w:spacing w:after="0"/>
              <w:rPr>
                <w:sz w:val="10"/>
                <w:szCs w:val="10"/>
                <w:color w:val="auto"/>
              </w:rPr>
            </w:pPr>
          </w:p>
        </w:tc>
        <w:tc>
          <w:tcPr>
            <w:tcW w:w="4880" w:type="dxa"/>
            <w:vAlign w:val="bottom"/>
          </w:tcPr>
          <w:p>
            <w:pPr>
              <w:jc w:val="right"/>
              <w:ind w:right="741"/>
              <w:spacing w:after="0" w:line="121" w:lineRule="exact"/>
              <w:rPr>
                <w:sz w:val="20"/>
                <w:szCs w:val="20"/>
                <w:color w:val="auto"/>
              </w:rPr>
            </w:pPr>
            <w:r>
              <w:rPr>
                <w:rFonts w:ascii="Arial" w:cs="Arial" w:eastAsia="Arial" w:hAnsi="Arial"/>
                <w:sz w:val="11"/>
                <w:szCs w:val="11"/>
                <w:color w:val="auto"/>
              </w:rPr>
              <w:t>SUPPLEMENTARY INFORMATION – OIL AND GAS (UNAUDITED)</w:t>
            </w:r>
          </w:p>
        </w:tc>
        <w:tc>
          <w:tcPr>
            <w:tcW w:w="58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rPr>
          <w:sz w:val="20"/>
          <w:szCs w:val="20"/>
          <w:color w:val="auto"/>
        </w:rPr>
      </w:pPr>
      <w:r>
        <w:rPr>
          <w:rFonts w:ascii="Arial" w:cs="Arial" w:eastAsia="Arial" w:hAnsi="Arial"/>
          <w:sz w:val="18"/>
          <w:szCs w:val="18"/>
          <w:color w:val="auto"/>
        </w:rPr>
        <w:t>OIL AND GAS EXPLORATION AND PRODUCTION ACTIVITIES CAPITALISED COSTS</w:t>
      </w:r>
    </w:p>
    <w:p>
      <w:pPr>
        <w:spacing w:after="0" w:line="1" w:lineRule="exact"/>
        <w:rPr>
          <w:sz w:val="20"/>
          <w:szCs w:val="20"/>
          <w:color w:val="auto"/>
        </w:rPr>
      </w:pPr>
    </w:p>
    <w:p>
      <w:pPr>
        <w:ind w:right="80"/>
        <w:spacing w:after="0" w:line="258" w:lineRule="auto"/>
        <w:rPr>
          <w:sz w:val="20"/>
          <w:szCs w:val="20"/>
          <w:color w:val="auto"/>
        </w:rPr>
      </w:pPr>
      <w:r>
        <w:rPr>
          <w:rFonts w:ascii="Arial" w:cs="Arial" w:eastAsia="Arial" w:hAnsi="Arial"/>
          <w:sz w:val="14"/>
          <w:szCs w:val="14"/>
          <w:color w:val="auto"/>
        </w:rPr>
        <w:t>The aggregate amount of property, plant and equipment and intangible assets relating to oil and gas exploration and production activities, and the aggregate amount of the related depreciation, depletion and amortisation at December 31, are shown in the tables below.</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auto"/>
        </w:rPr>
        <w:t>Shell subsidiaries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8320" w:type="dxa"/>
            <w:vAlign w:val="bottom"/>
            <w:shd w:val="clear" w:color="auto" w:fill="333333"/>
          </w:tcPr>
          <w:p>
            <w:pPr>
              <w:spacing w:after="0"/>
              <w:rPr>
                <w:sz w:val="14"/>
                <w:szCs w:val="14"/>
                <w:color w:val="auto"/>
              </w:rPr>
            </w:pPr>
          </w:p>
        </w:tc>
        <w:tc>
          <w:tcPr>
            <w:tcW w:w="1420" w:type="dxa"/>
            <w:vAlign w:val="bottom"/>
            <w:shd w:val="clear" w:color="auto" w:fill="333333"/>
          </w:tcPr>
          <w:p>
            <w:pPr>
              <w:spacing w:after="0"/>
              <w:rPr>
                <w:sz w:val="14"/>
                <w:szCs w:val="14"/>
                <w:color w:val="auto"/>
              </w:rPr>
            </w:pPr>
          </w:p>
        </w:tc>
        <w:tc>
          <w:tcPr>
            <w:tcW w:w="1680" w:type="dxa"/>
            <w:vAlign w:val="bottom"/>
            <w:shd w:val="clear" w:color="auto" w:fill="333333"/>
          </w:tcPr>
          <w:p>
            <w:pPr>
              <w:jc w:val="right"/>
              <w:ind w:right="368"/>
              <w:spacing w:after="0"/>
              <w:rPr>
                <w:sz w:val="20"/>
                <w:szCs w:val="20"/>
                <w:color w:val="auto"/>
              </w:rPr>
            </w:pPr>
            <w:r>
              <w:rPr>
                <w:rFonts w:ascii="Arial" w:cs="Arial" w:eastAsia="Arial" w:hAnsi="Arial"/>
                <w:sz w:val="15"/>
                <w:szCs w:val="15"/>
                <w:color w:val="FFFFFF"/>
              </w:rPr>
              <w:t>$ MILLION</w:t>
            </w:r>
          </w:p>
        </w:tc>
      </w:tr>
      <w:tr>
        <w:trPr>
          <w:trHeight w:val="149"/>
        </w:trPr>
        <w:tc>
          <w:tcPr>
            <w:tcW w:w="8320" w:type="dxa"/>
            <w:vAlign w:val="bottom"/>
            <w:tcBorders>
              <w:bottom w:val="single" w:sz="8" w:color="auto"/>
            </w:tcBorders>
          </w:tcPr>
          <w:p>
            <w:pPr>
              <w:spacing w:after="0"/>
              <w:rPr>
                <w:sz w:val="12"/>
                <w:szCs w:val="12"/>
                <w:color w:val="auto"/>
              </w:rPr>
            </w:pPr>
          </w:p>
        </w:tc>
        <w:tc>
          <w:tcPr>
            <w:tcW w:w="1420" w:type="dxa"/>
            <w:vAlign w:val="bottom"/>
            <w:tcBorders>
              <w:bottom w:val="single" w:sz="8" w:color="auto"/>
            </w:tcBorders>
            <w:shd w:val="clear" w:color="auto" w:fill="D8D8D8"/>
          </w:tcPr>
          <w:p>
            <w:pPr>
              <w:jc w:val="right"/>
              <w:ind w:right="389"/>
              <w:spacing w:after="0"/>
              <w:rPr>
                <w:sz w:val="20"/>
                <w:szCs w:val="20"/>
                <w:color w:val="auto"/>
              </w:rPr>
            </w:pPr>
            <w:r>
              <w:rPr>
                <w:rFonts w:ascii="Arial" w:cs="Arial" w:eastAsia="Arial" w:hAnsi="Arial"/>
                <w:sz w:val="13"/>
                <w:szCs w:val="13"/>
                <w:color w:val="auto"/>
              </w:rPr>
              <w:t>2014</w:t>
            </w:r>
          </w:p>
        </w:tc>
        <w:tc>
          <w:tcPr>
            <w:tcW w:w="1680" w:type="dxa"/>
            <w:vAlign w:val="bottom"/>
            <w:tcBorders>
              <w:bottom w:val="single" w:sz="8" w:color="auto"/>
            </w:tcBorders>
          </w:tcPr>
          <w:p>
            <w:pPr>
              <w:jc w:val="right"/>
              <w:ind w:right="368"/>
              <w:spacing w:after="0"/>
              <w:rPr>
                <w:sz w:val="20"/>
                <w:szCs w:val="20"/>
                <w:color w:val="auto"/>
              </w:rPr>
            </w:pPr>
            <w:r>
              <w:rPr>
                <w:rFonts w:ascii="Arial" w:cs="Arial" w:eastAsia="Arial" w:hAnsi="Arial"/>
                <w:sz w:val="13"/>
                <w:szCs w:val="13"/>
                <w:color w:val="auto"/>
              </w:rPr>
              <w:t>2013</w:t>
            </w:r>
          </w:p>
        </w:tc>
      </w:tr>
      <w:tr>
        <w:trPr>
          <w:trHeight w:val="156"/>
        </w:trPr>
        <w:tc>
          <w:tcPr>
            <w:tcW w:w="8320" w:type="dxa"/>
            <w:vAlign w:val="bottom"/>
          </w:tcPr>
          <w:p>
            <w:pPr>
              <w:spacing w:after="0" w:line="155" w:lineRule="exact"/>
              <w:rPr>
                <w:sz w:val="20"/>
                <w:szCs w:val="20"/>
                <w:color w:val="auto"/>
              </w:rPr>
            </w:pPr>
            <w:r>
              <w:rPr>
                <w:rFonts w:ascii="Arial" w:cs="Arial" w:eastAsia="Arial" w:hAnsi="Arial"/>
                <w:sz w:val="14"/>
                <w:szCs w:val="14"/>
                <w:color w:val="auto"/>
              </w:rPr>
              <w:t>Cost</w:t>
            </w:r>
          </w:p>
        </w:tc>
        <w:tc>
          <w:tcPr>
            <w:tcW w:w="1420" w:type="dxa"/>
            <w:vAlign w:val="bottom"/>
            <w:shd w:val="clear" w:color="auto" w:fill="D8D8D8"/>
          </w:tcPr>
          <w:p>
            <w:pPr>
              <w:spacing w:after="0"/>
              <w:rPr>
                <w:sz w:val="13"/>
                <w:szCs w:val="13"/>
                <w:color w:val="auto"/>
              </w:rPr>
            </w:pPr>
          </w:p>
        </w:tc>
        <w:tc>
          <w:tcPr>
            <w:tcW w:w="1680" w:type="dxa"/>
            <w:vAlign w:val="bottom"/>
          </w:tcPr>
          <w:p>
            <w:pPr>
              <w:spacing w:after="0"/>
              <w:rPr>
                <w:sz w:val="13"/>
                <w:szCs w:val="13"/>
                <w:color w:val="auto"/>
              </w:rPr>
            </w:pPr>
          </w:p>
        </w:tc>
      </w:tr>
      <w:tr>
        <w:trPr>
          <w:trHeight w:val="162"/>
        </w:trPr>
        <w:tc>
          <w:tcPr>
            <w:tcW w:w="8320" w:type="dxa"/>
            <w:vAlign w:val="bottom"/>
          </w:tcPr>
          <w:p>
            <w:pPr>
              <w:ind w:left="140"/>
              <w:spacing w:after="0"/>
              <w:rPr>
                <w:sz w:val="20"/>
                <w:szCs w:val="20"/>
                <w:color w:val="auto"/>
              </w:rPr>
            </w:pPr>
            <w:r>
              <w:rPr>
                <w:rFonts w:ascii="Arial" w:cs="Arial" w:eastAsia="Arial" w:hAnsi="Arial"/>
                <w:sz w:val="14"/>
                <w:szCs w:val="14"/>
                <w:color w:val="auto"/>
              </w:rPr>
              <w:t>Proved properties [A]</w:t>
            </w:r>
          </w:p>
        </w:tc>
        <w:tc>
          <w:tcPr>
            <w:tcW w:w="1420" w:type="dxa"/>
            <w:vAlign w:val="bottom"/>
            <w:shd w:val="clear" w:color="auto" w:fill="D8D8D8"/>
          </w:tcPr>
          <w:p>
            <w:pPr>
              <w:jc w:val="right"/>
              <w:ind w:right="389"/>
              <w:spacing w:after="0"/>
              <w:rPr>
                <w:sz w:val="20"/>
                <w:szCs w:val="20"/>
                <w:color w:val="auto"/>
              </w:rPr>
            </w:pPr>
            <w:r>
              <w:rPr>
                <w:rFonts w:ascii="Arial" w:cs="Arial" w:eastAsia="Arial" w:hAnsi="Arial"/>
                <w:sz w:val="14"/>
                <w:szCs w:val="14"/>
                <w:color w:val="auto"/>
              </w:rPr>
              <w:t>228,532</w:t>
            </w:r>
          </w:p>
        </w:tc>
        <w:tc>
          <w:tcPr>
            <w:tcW w:w="1680" w:type="dxa"/>
            <w:vAlign w:val="bottom"/>
          </w:tcPr>
          <w:p>
            <w:pPr>
              <w:jc w:val="right"/>
              <w:ind w:right="368"/>
              <w:spacing w:after="0"/>
              <w:rPr>
                <w:sz w:val="20"/>
                <w:szCs w:val="20"/>
                <w:color w:val="auto"/>
              </w:rPr>
            </w:pPr>
            <w:r>
              <w:rPr>
                <w:rFonts w:ascii="Arial" w:cs="Arial" w:eastAsia="Arial" w:hAnsi="Arial"/>
                <w:sz w:val="14"/>
                <w:szCs w:val="14"/>
                <w:color w:val="auto"/>
              </w:rPr>
              <w:t>225,754</w:t>
            </w:r>
          </w:p>
        </w:tc>
      </w:tr>
      <w:tr>
        <w:trPr>
          <w:trHeight w:val="167"/>
        </w:trPr>
        <w:tc>
          <w:tcPr>
            <w:tcW w:w="8320" w:type="dxa"/>
            <w:vAlign w:val="bottom"/>
          </w:tcPr>
          <w:p>
            <w:pPr>
              <w:ind w:left="140"/>
              <w:spacing w:after="0"/>
              <w:rPr>
                <w:sz w:val="20"/>
                <w:szCs w:val="20"/>
                <w:color w:val="auto"/>
              </w:rPr>
            </w:pPr>
            <w:r>
              <w:rPr>
                <w:rFonts w:ascii="Arial" w:cs="Arial" w:eastAsia="Arial" w:hAnsi="Arial"/>
                <w:sz w:val="14"/>
                <w:szCs w:val="14"/>
                <w:color w:val="auto"/>
              </w:rPr>
              <w:t>Unproved properties</w:t>
            </w:r>
          </w:p>
        </w:tc>
        <w:tc>
          <w:tcPr>
            <w:tcW w:w="1420" w:type="dxa"/>
            <w:vAlign w:val="bottom"/>
            <w:shd w:val="clear" w:color="auto" w:fill="D8D8D8"/>
          </w:tcPr>
          <w:p>
            <w:pPr>
              <w:jc w:val="right"/>
              <w:ind w:right="389"/>
              <w:spacing w:after="0"/>
              <w:rPr>
                <w:sz w:val="20"/>
                <w:szCs w:val="20"/>
                <w:color w:val="auto"/>
              </w:rPr>
            </w:pPr>
            <w:r>
              <w:rPr>
                <w:rFonts w:ascii="Arial" w:cs="Arial" w:eastAsia="Arial" w:hAnsi="Arial"/>
                <w:sz w:val="14"/>
                <w:szCs w:val="14"/>
                <w:color w:val="auto"/>
              </w:rPr>
              <w:t>30,161</w:t>
            </w:r>
          </w:p>
        </w:tc>
        <w:tc>
          <w:tcPr>
            <w:tcW w:w="1680" w:type="dxa"/>
            <w:vAlign w:val="bottom"/>
          </w:tcPr>
          <w:p>
            <w:pPr>
              <w:jc w:val="right"/>
              <w:ind w:right="368"/>
              <w:spacing w:after="0"/>
              <w:rPr>
                <w:sz w:val="20"/>
                <w:szCs w:val="20"/>
                <w:color w:val="auto"/>
              </w:rPr>
            </w:pPr>
            <w:r>
              <w:rPr>
                <w:rFonts w:ascii="Arial" w:cs="Arial" w:eastAsia="Arial" w:hAnsi="Arial"/>
                <w:sz w:val="14"/>
                <w:szCs w:val="14"/>
                <w:color w:val="auto"/>
              </w:rPr>
              <w:t>34,282</w:t>
            </w:r>
          </w:p>
        </w:tc>
      </w:tr>
      <w:tr>
        <w:trPr>
          <w:trHeight w:val="157"/>
        </w:trPr>
        <w:tc>
          <w:tcPr>
            <w:tcW w:w="8320" w:type="dxa"/>
            <w:vAlign w:val="bottom"/>
            <w:tcBorders>
              <w:bottom w:val="single" w:sz="8" w:color="auto"/>
            </w:tcBorders>
          </w:tcPr>
          <w:p>
            <w:pPr>
              <w:ind w:left="140"/>
              <w:spacing w:after="0" w:line="157" w:lineRule="exact"/>
              <w:rPr>
                <w:sz w:val="20"/>
                <w:szCs w:val="20"/>
                <w:color w:val="auto"/>
              </w:rPr>
            </w:pPr>
            <w:r>
              <w:rPr>
                <w:rFonts w:ascii="Arial" w:cs="Arial" w:eastAsia="Arial" w:hAnsi="Arial"/>
                <w:sz w:val="14"/>
                <w:szCs w:val="14"/>
                <w:color w:val="auto"/>
              </w:rPr>
              <w:t>Support equipment and facilities</w:t>
            </w:r>
          </w:p>
        </w:tc>
        <w:tc>
          <w:tcPr>
            <w:tcW w:w="1420" w:type="dxa"/>
            <w:vAlign w:val="bottom"/>
            <w:tcBorders>
              <w:bottom w:val="single" w:sz="8" w:color="auto"/>
            </w:tcBorders>
            <w:shd w:val="clear" w:color="auto" w:fill="D8D8D8"/>
          </w:tcPr>
          <w:p>
            <w:pPr>
              <w:jc w:val="right"/>
              <w:ind w:right="389"/>
              <w:spacing w:after="0" w:line="157" w:lineRule="exact"/>
              <w:rPr>
                <w:sz w:val="20"/>
                <w:szCs w:val="20"/>
                <w:color w:val="auto"/>
              </w:rPr>
            </w:pPr>
            <w:r>
              <w:rPr>
                <w:rFonts w:ascii="Arial" w:cs="Arial" w:eastAsia="Arial" w:hAnsi="Arial"/>
                <w:sz w:val="14"/>
                <w:szCs w:val="14"/>
                <w:color w:val="auto"/>
              </w:rPr>
              <w:t>6,325</w:t>
            </w:r>
          </w:p>
        </w:tc>
        <w:tc>
          <w:tcPr>
            <w:tcW w:w="1680" w:type="dxa"/>
            <w:vAlign w:val="bottom"/>
            <w:tcBorders>
              <w:bottom w:val="single" w:sz="8" w:color="auto"/>
            </w:tcBorders>
          </w:tcPr>
          <w:p>
            <w:pPr>
              <w:jc w:val="right"/>
              <w:ind w:right="368"/>
              <w:spacing w:after="0" w:line="157" w:lineRule="exact"/>
              <w:rPr>
                <w:sz w:val="20"/>
                <w:szCs w:val="20"/>
                <w:color w:val="auto"/>
              </w:rPr>
            </w:pPr>
            <w:r>
              <w:rPr>
                <w:rFonts w:ascii="Arial" w:cs="Arial" w:eastAsia="Arial" w:hAnsi="Arial"/>
                <w:sz w:val="14"/>
                <w:szCs w:val="14"/>
                <w:color w:val="auto"/>
              </w:rPr>
              <w:t>6,053</w:t>
            </w:r>
          </w:p>
        </w:tc>
      </w:tr>
      <w:tr>
        <w:trPr>
          <w:trHeight w:val="156"/>
        </w:trPr>
        <w:tc>
          <w:tcPr>
            <w:tcW w:w="8320" w:type="dxa"/>
            <w:vAlign w:val="bottom"/>
            <w:tcBorders>
              <w:bottom w:val="single" w:sz="8" w:color="auto"/>
            </w:tcBorders>
          </w:tcPr>
          <w:p>
            <w:pPr>
              <w:spacing w:after="0"/>
              <w:rPr>
                <w:sz w:val="13"/>
                <w:szCs w:val="13"/>
                <w:color w:val="auto"/>
              </w:rPr>
            </w:pPr>
          </w:p>
        </w:tc>
        <w:tc>
          <w:tcPr>
            <w:tcW w:w="1420" w:type="dxa"/>
            <w:vAlign w:val="bottom"/>
            <w:tcBorders>
              <w:bottom w:val="single" w:sz="8" w:color="auto"/>
            </w:tcBorders>
            <w:shd w:val="clear" w:color="auto" w:fill="D8D8D8"/>
          </w:tcPr>
          <w:p>
            <w:pPr>
              <w:jc w:val="right"/>
              <w:ind w:right="389"/>
              <w:spacing w:after="0" w:line="155" w:lineRule="exact"/>
              <w:rPr>
                <w:sz w:val="20"/>
                <w:szCs w:val="20"/>
                <w:color w:val="auto"/>
              </w:rPr>
            </w:pPr>
            <w:r>
              <w:rPr>
                <w:rFonts w:ascii="Arial" w:cs="Arial" w:eastAsia="Arial" w:hAnsi="Arial"/>
                <w:sz w:val="14"/>
                <w:szCs w:val="14"/>
                <w:color w:val="auto"/>
              </w:rPr>
              <w:t>265,018</w:t>
            </w:r>
          </w:p>
        </w:tc>
        <w:tc>
          <w:tcPr>
            <w:tcW w:w="1680" w:type="dxa"/>
            <w:vAlign w:val="bottom"/>
            <w:tcBorders>
              <w:bottom w:val="single" w:sz="8" w:color="auto"/>
            </w:tcBorders>
          </w:tcPr>
          <w:p>
            <w:pPr>
              <w:jc w:val="right"/>
              <w:ind w:right="368"/>
              <w:spacing w:after="0" w:line="155" w:lineRule="exact"/>
              <w:rPr>
                <w:sz w:val="20"/>
                <w:szCs w:val="20"/>
                <w:color w:val="auto"/>
              </w:rPr>
            </w:pPr>
            <w:r>
              <w:rPr>
                <w:rFonts w:ascii="Arial" w:cs="Arial" w:eastAsia="Arial" w:hAnsi="Arial"/>
                <w:sz w:val="14"/>
                <w:szCs w:val="14"/>
                <w:color w:val="auto"/>
              </w:rPr>
              <w:t>266,089</w:t>
            </w:r>
          </w:p>
        </w:tc>
      </w:tr>
      <w:tr>
        <w:trPr>
          <w:trHeight w:val="160"/>
        </w:trPr>
        <w:tc>
          <w:tcPr>
            <w:tcW w:w="8320" w:type="dxa"/>
            <w:vAlign w:val="bottom"/>
          </w:tcPr>
          <w:p>
            <w:pPr>
              <w:spacing w:after="0"/>
              <w:rPr>
                <w:sz w:val="20"/>
                <w:szCs w:val="20"/>
                <w:color w:val="auto"/>
              </w:rPr>
            </w:pPr>
            <w:r>
              <w:rPr>
                <w:rFonts w:ascii="Arial" w:cs="Arial" w:eastAsia="Arial" w:hAnsi="Arial"/>
                <w:sz w:val="14"/>
                <w:szCs w:val="14"/>
                <w:color w:val="auto"/>
              </w:rPr>
              <w:t>Depreciation, depletion and amortisation</w:t>
            </w:r>
          </w:p>
        </w:tc>
        <w:tc>
          <w:tcPr>
            <w:tcW w:w="1420" w:type="dxa"/>
            <w:vAlign w:val="bottom"/>
            <w:shd w:val="clear" w:color="auto" w:fill="D8D8D8"/>
          </w:tcPr>
          <w:p>
            <w:pPr>
              <w:spacing w:after="0"/>
              <w:rPr>
                <w:sz w:val="13"/>
                <w:szCs w:val="13"/>
                <w:color w:val="auto"/>
              </w:rPr>
            </w:pPr>
          </w:p>
        </w:tc>
        <w:tc>
          <w:tcPr>
            <w:tcW w:w="1680" w:type="dxa"/>
            <w:vAlign w:val="bottom"/>
          </w:tcPr>
          <w:p>
            <w:pPr>
              <w:spacing w:after="0"/>
              <w:rPr>
                <w:sz w:val="13"/>
                <w:szCs w:val="13"/>
                <w:color w:val="auto"/>
              </w:rPr>
            </w:pPr>
          </w:p>
        </w:tc>
      </w:tr>
      <w:tr>
        <w:trPr>
          <w:trHeight w:val="162"/>
        </w:trPr>
        <w:tc>
          <w:tcPr>
            <w:tcW w:w="8320" w:type="dxa"/>
            <w:vAlign w:val="bottom"/>
          </w:tcPr>
          <w:p>
            <w:pPr>
              <w:ind w:left="140"/>
              <w:spacing w:after="0"/>
              <w:rPr>
                <w:sz w:val="20"/>
                <w:szCs w:val="20"/>
                <w:color w:val="auto"/>
              </w:rPr>
            </w:pPr>
            <w:r>
              <w:rPr>
                <w:rFonts w:ascii="Arial" w:cs="Arial" w:eastAsia="Arial" w:hAnsi="Arial"/>
                <w:sz w:val="14"/>
                <w:szCs w:val="14"/>
                <w:color w:val="auto"/>
              </w:rPr>
              <w:t>Proved properties [A]</w:t>
            </w:r>
          </w:p>
        </w:tc>
        <w:tc>
          <w:tcPr>
            <w:tcW w:w="1420" w:type="dxa"/>
            <w:vAlign w:val="bottom"/>
            <w:shd w:val="clear" w:color="auto" w:fill="D8D8D8"/>
          </w:tcPr>
          <w:p>
            <w:pPr>
              <w:jc w:val="right"/>
              <w:ind w:right="389"/>
              <w:spacing w:after="0"/>
              <w:rPr>
                <w:sz w:val="20"/>
                <w:szCs w:val="20"/>
                <w:color w:val="auto"/>
              </w:rPr>
            </w:pPr>
            <w:r>
              <w:rPr>
                <w:rFonts w:ascii="Arial" w:cs="Arial" w:eastAsia="Arial" w:hAnsi="Arial"/>
                <w:sz w:val="14"/>
                <w:szCs w:val="14"/>
                <w:color w:val="auto"/>
              </w:rPr>
              <w:t>113,943</w:t>
            </w:r>
          </w:p>
        </w:tc>
        <w:tc>
          <w:tcPr>
            <w:tcW w:w="1680" w:type="dxa"/>
            <w:vAlign w:val="bottom"/>
          </w:tcPr>
          <w:p>
            <w:pPr>
              <w:jc w:val="right"/>
              <w:ind w:right="368"/>
              <w:spacing w:after="0"/>
              <w:rPr>
                <w:sz w:val="20"/>
                <w:szCs w:val="20"/>
                <w:color w:val="auto"/>
              </w:rPr>
            </w:pPr>
            <w:r>
              <w:rPr>
                <w:rFonts w:ascii="Arial" w:cs="Arial" w:eastAsia="Arial" w:hAnsi="Arial"/>
                <w:sz w:val="14"/>
                <w:szCs w:val="14"/>
                <w:color w:val="auto"/>
              </w:rPr>
              <w:t>117,709</w:t>
            </w:r>
          </w:p>
        </w:tc>
      </w:tr>
      <w:tr>
        <w:trPr>
          <w:trHeight w:val="162"/>
        </w:trPr>
        <w:tc>
          <w:tcPr>
            <w:tcW w:w="8320" w:type="dxa"/>
            <w:vAlign w:val="bottom"/>
          </w:tcPr>
          <w:p>
            <w:pPr>
              <w:ind w:left="140"/>
              <w:spacing w:after="0"/>
              <w:rPr>
                <w:sz w:val="20"/>
                <w:szCs w:val="20"/>
                <w:color w:val="auto"/>
              </w:rPr>
            </w:pPr>
            <w:r>
              <w:rPr>
                <w:rFonts w:ascii="Arial" w:cs="Arial" w:eastAsia="Arial" w:hAnsi="Arial"/>
                <w:sz w:val="14"/>
                <w:szCs w:val="14"/>
                <w:color w:val="auto"/>
              </w:rPr>
              <w:t>Unproved properties</w:t>
            </w:r>
          </w:p>
        </w:tc>
        <w:tc>
          <w:tcPr>
            <w:tcW w:w="1420" w:type="dxa"/>
            <w:vAlign w:val="bottom"/>
            <w:shd w:val="clear" w:color="auto" w:fill="D8D8D8"/>
          </w:tcPr>
          <w:p>
            <w:pPr>
              <w:jc w:val="right"/>
              <w:ind w:right="389"/>
              <w:spacing w:after="0"/>
              <w:rPr>
                <w:sz w:val="20"/>
                <w:szCs w:val="20"/>
                <w:color w:val="auto"/>
              </w:rPr>
            </w:pPr>
            <w:r>
              <w:rPr>
                <w:rFonts w:ascii="Arial" w:cs="Arial" w:eastAsia="Arial" w:hAnsi="Arial"/>
                <w:sz w:val="14"/>
                <w:szCs w:val="14"/>
                <w:color w:val="auto"/>
              </w:rPr>
              <w:t>3,867</w:t>
            </w:r>
          </w:p>
        </w:tc>
        <w:tc>
          <w:tcPr>
            <w:tcW w:w="1680" w:type="dxa"/>
            <w:vAlign w:val="bottom"/>
          </w:tcPr>
          <w:p>
            <w:pPr>
              <w:jc w:val="right"/>
              <w:ind w:right="368"/>
              <w:spacing w:after="0"/>
              <w:rPr>
                <w:sz w:val="20"/>
                <w:szCs w:val="20"/>
                <w:color w:val="auto"/>
              </w:rPr>
            </w:pPr>
            <w:r>
              <w:rPr>
                <w:rFonts w:ascii="Arial" w:cs="Arial" w:eastAsia="Arial" w:hAnsi="Arial"/>
                <w:sz w:val="14"/>
                <w:szCs w:val="14"/>
                <w:color w:val="auto"/>
              </w:rPr>
              <w:t>5,019</w:t>
            </w:r>
          </w:p>
        </w:tc>
      </w:tr>
      <w:tr>
        <w:trPr>
          <w:trHeight w:val="157"/>
        </w:trPr>
        <w:tc>
          <w:tcPr>
            <w:tcW w:w="8320" w:type="dxa"/>
            <w:vAlign w:val="bottom"/>
            <w:tcBorders>
              <w:bottom w:val="single" w:sz="8" w:color="auto"/>
            </w:tcBorders>
          </w:tcPr>
          <w:p>
            <w:pPr>
              <w:ind w:left="140"/>
              <w:spacing w:after="0" w:line="157" w:lineRule="exact"/>
              <w:rPr>
                <w:sz w:val="20"/>
                <w:szCs w:val="20"/>
                <w:color w:val="auto"/>
              </w:rPr>
            </w:pPr>
            <w:r>
              <w:rPr>
                <w:rFonts w:ascii="Arial" w:cs="Arial" w:eastAsia="Arial" w:hAnsi="Arial"/>
                <w:sz w:val="14"/>
                <w:szCs w:val="14"/>
                <w:color w:val="auto"/>
              </w:rPr>
              <w:t>Support equipment and facilities</w:t>
            </w:r>
          </w:p>
        </w:tc>
        <w:tc>
          <w:tcPr>
            <w:tcW w:w="1420" w:type="dxa"/>
            <w:vAlign w:val="bottom"/>
            <w:tcBorders>
              <w:bottom w:val="single" w:sz="8" w:color="auto"/>
            </w:tcBorders>
            <w:shd w:val="clear" w:color="auto" w:fill="D8D8D8"/>
          </w:tcPr>
          <w:p>
            <w:pPr>
              <w:jc w:val="right"/>
              <w:ind w:right="389"/>
              <w:spacing w:after="0" w:line="157" w:lineRule="exact"/>
              <w:rPr>
                <w:sz w:val="20"/>
                <w:szCs w:val="20"/>
                <w:color w:val="auto"/>
              </w:rPr>
            </w:pPr>
            <w:r>
              <w:rPr>
                <w:rFonts w:ascii="Arial" w:cs="Arial" w:eastAsia="Arial" w:hAnsi="Arial"/>
                <w:sz w:val="14"/>
                <w:szCs w:val="14"/>
                <w:color w:val="auto"/>
              </w:rPr>
              <w:t>2,741</w:t>
            </w:r>
          </w:p>
        </w:tc>
        <w:tc>
          <w:tcPr>
            <w:tcW w:w="1680" w:type="dxa"/>
            <w:vAlign w:val="bottom"/>
            <w:tcBorders>
              <w:bottom w:val="single" w:sz="8" w:color="auto"/>
            </w:tcBorders>
          </w:tcPr>
          <w:p>
            <w:pPr>
              <w:jc w:val="right"/>
              <w:ind w:right="368"/>
              <w:spacing w:after="0" w:line="157" w:lineRule="exact"/>
              <w:rPr>
                <w:sz w:val="20"/>
                <w:szCs w:val="20"/>
                <w:color w:val="auto"/>
              </w:rPr>
            </w:pPr>
            <w:r>
              <w:rPr>
                <w:rFonts w:ascii="Arial" w:cs="Arial" w:eastAsia="Arial" w:hAnsi="Arial"/>
                <w:sz w:val="14"/>
                <w:szCs w:val="14"/>
                <w:color w:val="auto"/>
              </w:rPr>
              <w:t>2,752</w:t>
            </w:r>
          </w:p>
        </w:tc>
      </w:tr>
      <w:tr>
        <w:trPr>
          <w:trHeight w:val="156"/>
        </w:trPr>
        <w:tc>
          <w:tcPr>
            <w:tcW w:w="8320" w:type="dxa"/>
            <w:vAlign w:val="bottom"/>
            <w:tcBorders>
              <w:bottom w:val="single" w:sz="8" w:color="auto"/>
            </w:tcBorders>
          </w:tcPr>
          <w:p>
            <w:pPr>
              <w:spacing w:after="0"/>
              <w:rPr>
                <w:sz w:val="13"/>
                <w:szCs w:val="13"/>
                <w:color w:val="auto"/>
              </w:rPr>
            </w:pPr>
          </w:p>
        </w:tc>
        <w:tc>
          <w:tcPr>
            <w:tcW w:w="1420" w:type="dxa"/>
            <w:vAlign w:val="bottom"/>
            <w:tcBorders>
              <w:bottom w:val="single" w:sz="8" w:color="auto"/>
            </w:tcBorders>
            <w:shd w:val="clear" w:color="auto" w:fill="D8D8D8"/>
          </w:tcPr>
          <w:p>
            <w:pPr>
              <w:jc w:val="right"/>
              <w:ind w:right="389"/>
              <w:spacing w:after="0" w:line="155" w:lineRule="exact"/>
              <w:rPr>
                <w:sz w:val="20"/>
                <w:szCs w:val="20"/>
                <w:color w:val="auto"/>
              </w:rPr>
            </w:pPr>
            <w:r>
              <w:rPr>
                <w:rFonts w:ascii="Arial" w:cs="Arial" w:eastAsia="Arial" w:hAnsi="Arial"/>
                <w:sz w:val="14"/>
                <w:szCs w:val="14"/>
                <w:color w:val="auto"/>
              </w:rPr>
              <w:t>120,551</w:t>
            </w:r>
          </w:p>
        </w:tc>
        <w:tc>
          <w:tcPr>
            <w:tcW w:w="1680" w:type="dxa"/>
            <w:vAlign w:val="bottom"/>
            <w:tcBorders>
              <w:bottom w:val="single" w:sz="8" w:color="auto"/>
            </w:tcBorders>
          </w:tcPr>
          <w:p>
            <w:pPr>
              <w:jc w:val="right"/>
              <w:ind w:right="368"/>
              <w:spacing w:after="0" w:line="155" w:lineRule="exact"/>
              <w:rPr>
                <w:sz w:val="20"/>
                <w:szCs w:val="20"/>
                <w:color w:val="auto"/>
              </w:rPr>
            </w:pPr>
            <w:r>
              <w:rPr>
                <w:rFonts w:ascii="Arial" w:cs="Arial" w:eastAsia="Arial" w:hAnsi="Arial"/>
                <w:sz w:val="14"/>
                <w:szCs w:val="14"/>
                <w:color w:val="auto"/>
              </w:rPr>
              <w:t>125,480</w:t>
            </w:r>
          </w:p>
        </w:tc>
      </w:tr>
      <w:tr>
        <w:trPr>
          <w:trHeight w:val="156"/>
        </w:trPr>
        <w:tc>
          <w:tcPr>
            <w:tcW w:w="8320" w:type="dxa"/>
            <w:vAlign w:val="bottom"/>
            <w:tcBorders>
              <w:bottom w:val="single" w:sz="8" w:color="auto"/>
            </w:tcBorders>
          </w:tcPr>
          <w:p>
            <w:pPr>
              <w:spacing w:after="0" w:line="155" w:lineRule="exact"/>
              <w:rPr>
                <w:sz w:val="20"/>
                <w:szCs w:val="20"/>
                <w:color w:val="auto"/>
              </w:rPr>
            </w:pPr>
            <w:r>
              <w:rPr>
                <w:rFonts w:ascii="Arial" w:cs="Arial" w:eastAsia="Arial" w:hAnsi="Arial"/>
                <w:sz w:val="14"/>
                <w:szCs w:val="14"/>
                <w:color w:val="auto"/>
              </w:rPr>
              <w:t>Net capitalised costs</w:t>
            </w:r>
          </w:p>
        </w:tc>
        <w:tc>
          <w:tcPr>
            <w:tcW w:w="1420" w:type="dxa"/>
            <w:vAlign w:val="bottom"/>
            <w:tcBorders>
              <w:bottom w:val="single" w:sz="8" w:color="auto"/>
            </w:tcBorders>
            <w:shd w:val="clear" w:color="auto" w:fill="D8D8D8"/>
          </w:tcPr>
          <w:p>
            <w:pPr>
              <w:jc w:val="right"/>
              <w:ind w:right="389"/>
              <w:spacing w:after="0" w:line="155" w:lineRule="exact"/>
              <w:rPr>
                <w:sz w:val="20"/>
                <w:szCs w:val="20"/>
                <w:color w:val="auto"/>
              </w:rPr>
            </w:pPr>
            <w:r>
              <w:rPr>
                <w:rFonts w:ascii="Arial" w:cs="Arial" w:eastAsia="Arial" w:hAnsi="Arial"/>
                <w:sz w:val="14"/>
                <w:szCs w:val="14"/>
                <w:color w:val="auto"/>
              </w:rPr>
              <w:t>144,467</w:t>
            </w:r>
          </w:p>
        </w:tc>
        <w:tc>
          <w:tcPr>
            <w:tcW w:w="1680" w:type="dxa"/>
            <w:vAlign w:val="bottom"/>
            <w:tcBorders>
              <w:bottom w:val="single" w:sz="8" w:color="auto"/>
            </w:tcBorders>
          </w:tcPr>
          <w:p>
            <w:pPr>
              <w:jc w:val="right"/>
              <w:ind w:right="368"/>
              <w:spacing w:after="0" w:line="155" w:lineRule="exact"/>
              <w:rPr>
                <w:sz w:val="20"/>
                <w:szCs w:val="20"/>
                <w:color w:val="auto"/>
              </w:rPr>
            </w:pPr>
            <w:r>
              <w:rPr>
                <w:rFonts w:ascii="Arial" w:cs="Arial" w:eastAsia="Arial" w:hAnsi="Arial"/>
                <w:sz w:val="14"/>
                <w:szCs w:val="14"/>
                <w:color w:val="auto"/>
              </w:rPr>
              <w:t>140,609</w:t>
            </w:r>
          </w:p>
        </w:tc>
      </w:tr>
    </w:tbl>
    <w:p>
      <w:pPr>
        <w:spacing w:after="0" w:line="24" w:lineRule="exact"/>
        <w:rPr>
          <w:sz w:val="20"/>
          <w:szCs w:val="20"/>
          <w:color w:val="auto"/>
        </w:rPr>
      </w:pPr>
    </w:p>
    <w:p>
      <w:pPr>
        <w:spacing w:after="0"/>
        <w:rPr>
          <w:sz w:val="20"/>
          <w:szCs w:val="20"/>
          <w:color w:val="auto"/>
        </w:rPr>
      </w:pPr>
      <w:r>
        <w:rPr>
          <w:rFonts w:ascii="Arial" w:cs="Arial" w:eastAsia="Arial" w:hAnsi="Arial"/>
          <w:sz w:val="11"/>
          <w:szCs w:val="11"/>
          <w:color w:val="auto"/>
        </w:rPr>
        <w:t>[A] Includes capitalised asset decommissioning and restoration costs and related depreciation.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Shell share of joint ventures and associates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8440" w:type="dxa"/>
            <w:vAlign w:val="bottom"/>
            <w:shd w:val="clear" w:color="auto" w:fill="333333"/>
          </w:tcPr>
          <w:p>
            <w:pPr>
              <w:spacing w:after="0"/>
              <w:rPr>
                <w:sz w:val="14"/>
                <w:szCs w:val="14"/>
                <w:color w:val="auto"/>
              </w:rPr>
            </w:pPr>
          </w:p>
        </w:tc>
        <w:tc>
          <w:tcPr>
            <w:tcW w:w="1320" w:type="dxa"/>
            <w:vAlign w:val="bottom"/>
            <w:shd w:val="clear" w:color="auto" w:fill="333333"/>
          </w:tcPr>
          <w:p>
            <w:pPr>
              <w:spacing w:after="0"/>
              <w:rPr>
                <w:sz w:val="14"/>
                <w:szCs w:val="14"/>
                <w:color w:val="auto"/>
              </w:rPr>
            </w:pPr>
          </w:p>
        </w:tc>
        <w:tc>
          <w:tcPr>
            <w:tcW w:w="1660" w:type="dxa"/>
            <w:vAlign w:val="bottom"/>
            <w:shd w:val="clear" w:color="auto" w:fill="333333"/>
          </w:tcPr>
          <w:p>
            <w:pPr>
              <w:jc w:val="right"/>
              <w:ind w:right="368"/>
              <w:spacing w:after="0"/>
              <w:rPr>
                <w:sz w:val="20"/>
                <w:szCs w:val="20"/>
                <w:color w:val="auto"/>
              </w:rPr>
            </w:pPr>
            <w:r>
              <w:rPr>
                <w:rFonts w:ascii="Arial" w:cs="Arial" w:eastAsia="Arial" w:hAnsi="Arial"/>
                <w:sz w:val="15"/>
                <w:szCs w:val="15"/>
                <w:color w:val="FFFFFF"/>
              </w:rPr>
              <w:t>$ MILLION</w:t>
            </w:r>
          </w:p>
        </w:tc>
      </w:tr>
      <w:tr>
        <w:trPr>
          <w:trHeight w:val="149"/>
        </w:trPr>
        <w:tc>
          <w:tcPr>
            <w:tcW w:w="8440" w:type="dxa"/>
            <w:vAlign w:val="bottom"/>
            <w:tcBorders>
              <w:bottom w:val="single" w:sz="8" w:color="auto"/>
            </w:tcBorders>
          </w:tcPr>
          <w:p>
            <w:pPr>
              <w:spacing w:after="0"/>
              <w:rPr>
                <w:sz w:val="12"/>
                <w:szCs w:val="12"/>
                <w:color w:val="auto"/>
              </w:rPr>
            </w:pPr>
          </w:p>
        </w:tc>
        <w:tc>
          <w:tcPr>
            <w:tcW w:w="1320" w:type="dxa"/>
            <w:vAlign w:val="bottom"/>
            <w:tcBorders>
              <w:bottom w:val="single" w:sz="8" w:color="auto"/>
            </w:tcBorders>
            <w:shd w:val="clear" w:color="auto" w:fill="D8D8D8"/>
          </w:tcPr>
          <w:p>
            <w:pPr>
              <w:jc w:val="right"/>
              <w:ind w:right="369"/>
              <w:spacing w:after="0"/>
              <w:rPr>
                <w:sz w:val="20"/>
                <w:szCs w:val="20"/>
                <w:color w:val="auto"/>
              </w:rPr>
            </w:pPr>
            <w:r>
              <w:rPr>
                <w:rFonts w:ascii="Arial" w:cs="Arial" w:eastAsia="Arial" w:hAnsi="Arial"/>
                <w:sz w:val="13"/>
                <w:szCs w:val="13"/>
                <w:color w:val="auto"/>
              </w:rPr>
              <w:t>2014</w:t>
            </w:r>
          </w:p>
        </w:tc>
        <w:tc>
          <w:tcPr>
            <w:tcW w:w="1660" w:type="dxa"/>
            <w:vAlign w:val="bottom"/>
            <w:tcBorders>
              <w:bottom w:val="single" w:sz="8" w:color="auto"/>
            </w:tcBorders>
          </w:tcPr>
          <w:p>
            <w:pPr>
              <w:jc w:val="right"/>
              <w:ind w:right="368"/>
              <w:spacing w:after="0"/>
              <w:rPr>
                <w:sz w:val="20"/>
                <w:szCs w:val="20"/>
                <w:color w:val="auto"/>
              </w:rPr>
            </w:pPr>
            <w:r>
              <w:rPr>
                <w:rFonts w:ascii="Arial" w:cs="Arial" w:eastAsia="Arial" w:hAnsi="Arial"/>
                <w:sz w:val="13"/>
                <w:szCs w:val="13"/>
                <w:color w:val="auto"/>
              </w:rPr>
              <w:t>2013</w:t>
            </w:r>
          </w:p>
        </w:tc>
      </w:tr>
      <w:tr>
        <w:trPr>
          <w:trHeight w:val="156"/>
        </w:trPr>
        <w:tc>
          <w:tcPr>
            <w:tcW w:w="8440" w:type="dxa"/>
            <w:vAlign w:val="bottom"/>
          </w:tcPr>
          <w:p>
            <w:pPr>
              <w:spacing w:after="0" w:line="155" w:lineRule="exact"/>
              <w:rPr>
                <w:sz w:val="20"/>
                <w:szCs w:val="20"/>
                <w:color w:val="auto"/>
              </w:rPr>
            </w:pPr>
            <w:r>
              <w:rPr>
                <w:rFonts w:ascii="Arial" w:cs="Arial" w:eastAsia="Arial" w:hAnsi="Arial"/>
                <w:sz w:val="14"/>
                <w:szCs w:val="14"/>
                <w:color w:val="auto"/>
              </w:rPr>
              <w:t>Cost</w:t>
            </w:r>
          </w:p>
        </w:tc>
        <w:tc>
          <w:tcPr>
            <w:tcW w:w="1320" w:type="dxa"/>
            <w:vAlign w:val="bottom"/>
            <w:shd w:val="clear" w:color="auto" w:fill="D8D8D8"/>
          </w:tcPr>
          <w:p>
            <w:pPr>
              <w:spacing w:after="0"/>
              <w:rPr>
                <w:sz w:val="13"/>
                <w:szCs w:val="13"/>
                <w:color w:val="auto"/>
              </w:rPr>
            </w:pPr>
          </w:p>
        </w:tc>
        <w:tc>
          <w:tcPr>
            <w:tcW w:w="1660" w:type="dxa"/>
            <w:vAlign w:val="bottom"/>
          </w:tcPr>
          <w:p>
            <w:pPr>
              <w:spacing w:after="0"/>
              <w:rPr>
                <w:sz w:val="13"/>
                <w:szCs w:val="13"/>
                <w:color w:val="auto"/>
              </w:rPr>
            </w:pPr>
          </w:p>
        </w:tc>
      </w:tr>
      <w:tr>
        <w:trPr>
          <w:trHeight w:val="162"/>
        </w:trPr>
        <w:tc>
          <w:tcPr>
            <w:tcW w:w="8440" w:type="dxa"/>
            <w:vAlign w:val="bottom"/>
          </w:tcPr>
          <w:p>
            <w:pPr>
              <w:ind w:left="140"/>
              <w:spacing w:after="0"/>
              <w:rPr>
                <w:sz w:val="20"/>
                <w:szCs w:val="20"/>
                <w:color w:val="auto"/>
              </w:rPr>
            </w:pPr>
            <w:r>
              <w:rPr>
                <w:rFonts w:ascii="Arial" w:cs="Arial" w:eastAsia="Arial" w:hAnsi="Arial"/>
                <w:sz w:val="14"/>
                <w:szCs w:val="14"/>
                <w:color w:val="auto"/>
              </w:rPr>
              <w:t>Proved properties [A]</w:t>
            </w:r>
          </w:p>
        </w:tc>
        <w:tc>
          <w:tcPr>
            <w:tcW w:w="1320" w:type="dxa"/>
            <w:vAlign w:val="bottom"/>
            <w:shd w:val="clear" w:color="auto" w:fill="D8D8D8"/>
          </w:tcPr>
          <w:p>
            <w:pPr>
              <w:jc w:val="right"/>
              <w:ind w:right="369"/>
              <w:spacing w:after="0"/>
              <w:rPr>
                <w:sz w:val="20"/>
                <w:szCs w:val="20"/>
                <w:color w:val="auto"/>
              </w:rPr>
            </w:pPr>
            <w:r>
              <w:rPr>
                <w:rFonts w:ascii="Arial" w:cs="Arial" w:eastAsia="Arial" w:hAnsi="Arial"/>
                <w:sz w:val="14"/>
                <w:szCs w:val="14"/>
                <w:color w:val="auto"/>
              </w:rPr>
              <w:t>42,524</w:t>
            </w:r>
          </w:p>
        </w:tc>
        <w:tc>
          <w:tcPr>
            <w:tcW w:w="1660" w:type="dxa"/>
            <w:vAlign w:val="bottom"/>
          </w:tcPr>
          <w:p>
            <w:pPr>
              <w:jc w:val="right"/>
              <w:ind w:right="368"/>
              <w:spacing w:after="0"/>
              <w:rPr>
                <w:sz w:val="20"/>
                <w:szCs w:val="20"/>
                <w:color w:val="auto"/>
              </w:rPr>
            </w:pPr>
            <w:r>
              <w:rPr>
                <w:rFonts w:ascii="Arial" w:cs="Arial" w:eastAsia="Arial" w:hAnsi="Arial"/>
                <w:sz w:val="14"/>
                <w:szCs w:val="14"/>
                <w:color w:val="auto"/>
              </w:rPr>
              <w:t>43,378</w:t>
            </w:r>
          </w:p>
        </w:tc>
      </w:tr>
      <w:tr>
        <w:trPr>
          <w:trHeight w:val="167"/>
        </w:trPr>
        <w:tc>
          <w:tcPr>
            <w:tcW w:w="8440" w:type="dxa"/>
            <w:vAlign w:val="bottom"/>
          </w:tcPr>
          <w:p>
            <w:pPr>
              <w:ind w:left="140"/>
              <w:spacing w:after="0"/>
              <w:rPr>
                <w:sz w:val="20"/>
                <w:szCs w:val="20"/>
                <w:color w:val="auto"/>
              </w:rPr>
            </w:pPr>
            <w:r>
              <w:rPr>
                <w:rFonts w:ascii="Arial" w:cs="Arial" w:eastAsia="Arial" w:hAnsi="Arial"/>
                <w:sz w:val="14"/>
                <w:szCs w:val="14"/>
                <w:color w:val="auto"/>
              </w:rPr>
              <w:t>Unproved properties</w:t>
            </w:r>
          </w:p>
        </w:tc>
        <w:tc>
          <w:tcPr>
            <w:tcW w:w="1320" w:type="dxa"/>
            <w:vAlign w:val="bottom"/>
            <w:shd w:val="clear" w:color="auto" w:fill="D8D8D8"/>
          </w:tcPr>
          <w:p>
            <w:pPr>
              <w:jc w:val="right"/>
              <w:ind w:right="369"/>
              <w:spacing w:after="0"/>
              <w:rPr>
                <w:sz w:val="20"/>
                <w:szCs w:val="20"/>
                <w:color w:val="auto"/>
              </w:rPr>
            </w:pPr>
            <w:r>
              <w:rPr>
                <w:rFonts w:ascii="Arial" w:cs="Arial" w:eastAsia="Arial" w:hAnsi="Arial"/>
                <w:sz w:val="14"/>
                <w:szCs w:val="14"/>
                <w:color w:val="auto"/>
              </w:rPr>
              <w:t>3,504</w:t>
            </w:r>
          </w:p>
        </w:tc>
        <w:tc>
          <w:tcPr>
            <w:tcW w:w="1660" w:type="dxa"/>
            <w:vAlign w:val="bottom"/>
          </w:tcPr>
          <w:p>
            <w:pPr>
              <w:jc w:val="right"/>
              <w:ind w:right="368"/>
              <w:spacing w:after="0"/>
              <w:rPr>
                <w:sz w:val="20"/>
                <w:szCs w:val="20"/>
                <w:color w:val="auto"/>
              </w:rPr>
            </w:pPr>
            <w:r>
              <w:rPr>
                <w:rFonts w:ascii="Arial" w:cs="Arial" w:eastAsia="Arial" w:hAnsi="Arial"/>
                <w:sz w:val="14"/>
                <w:szCs w:val="14"/>
                <w:color w:val="auto"/>
              </w:rPr>
              <w:t>3,693</w:t>
            </w:r>
          </w:p>
        </w:tc>
      </w:tr>
      <w:tr>
        <w:trPr>
          <w:trHeight w:val="157"/>
        </w:trPr>
        <w:tc>
          <w:tcPr>
            <w:tcW w:w="8440" w:type="dxa"/>
            <w:vAlign w:val="bottom"/>
            <w:tcBorders>
              <w:bottom w:val="single" w:sz="8" w:color="auto"/>
            </w:tcBorders>
          </w:tcPr>
          <w:p>
            <w:pPr>
              <w:ind w:left="140"/>
              <w:spacing w:after="0" w:line="157" w:lineRule="exact"/>
              <w:rPr>
                <w:sz w:val="20"/>
                <w:szCs w:val="20"/>
                <w:color w:val="auto"/>
              </w:rPr>
            </w:pPr>
            <w:r>
              <w:rPr>
                <w:rFonts w:ascii="Arial" w:cs="Arial" w:eastAsia="Arial" w:hAnsi="Arial"/>
                <w:sz w:val="14"/>
                <w:szCs w:val="14"/>
                <w:color w:val="auto"/>
              </w:rPr>
              <w:t>Support equipment and facilities</w:t>
            </w:r>
          </w:p>
        </w:tc>
        <w:tc>
          <w:tcPr>
            <w:tcW w:w="1320" w:type="dxa"/>
            <w:vAlign w:val="bottom"/>
            <w:tcBorders>
              <w:bottom w:val="single" w:sz="8" w:color="auto"/>
            </w:tcBorders>
            <w:shd w:val="clear" w:color="auto" w:fill="D8D8D8"/>
          </w:tcPr>
          <w:p>
            <w:pPr>
              <w:jc w:val="right"/>
              <w:ind w:right="369"/>
              <w:spacing w:after="0" w:line="157" w:lineRule="exact"/>
              <w:rPr>
                <w:sz w:val="20"/>
                <w:szCs w:val="20"/>
                <w:color w:val="auto"/>
              </w:rPr>
            </w:pPr>
            <w:r>
              <w:rPr>
                <w:rFonts w:ascii="Arial" w:cs="Arial" w:eastAsia="Arial" w:hAnsi="Arial"/>
                <w:sz w:val="14"/>
                <w:szCs w:val="14"/>
                <w:color w:val="auto"/>
              </w:rPr>
              <w:t>3,596</w:t>
            </w:r>
          </w:p>
        </w:tc>
        <w:tc>
          <w:tcPr>
            <w:tcW w:w="1660" w:type="dxa"/>
            <w:vAlign w:val="bottom"/>
            <w:tcBorders>
              <w:bottom w:val="single" w:sz="8" w:color="auto"/>
            </w:tcBorders>
          </w:tcPr>
          <w:p>
            <w:pPr>
              <w:jc w:val="right"/>
              <w:ind w:right="368"/>
              <w:spacing w:after="0" w:line="157" w:lineRule="exact"/>
              <w:rPr>
                <w:sz w:val="20"/>
                <w:szCs w:val="20"/>
                <w:color w:val="auto"/>
              </w:rPr>
            </w:pPr>
            <w:r>
              <w:rPr>
                <w:rFonts w:ascii="Arial" w:cs="Arial" w:eastAsia="Arial" w:hAnsi="Arial"/>
                <w:sz w:val="14"/>
                <w:szCs w:val="14"/>
                <w:color w:val="auto"/>
              </w:rPr>
              <w:t>3,254</w:t>
            </w:r>
          </w:p>
        </w:tc>
      </w:tr>
      <w:tr>
        <w:trPr>
          <w:trHeight w:val="156"/>
        </w:trPr>
        <w:tc>
          <w:tcPr>
            <w:tcW w:w="844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shd w:val="clear" w:color="auto" w:fill="D8D8D8"/>
          </w:tcPr>
          <w:p>
            <w:pPr>
              <w:jc w:val="right"/>
              <w:ind w:right="369"/>
              <w:spacing w:after="0" w:line="155" w:lineRule="exact"/>
              <w:rPr>
                <w:sz w:val="20"/>
                <w:szCs w:val="20"/>
                <w:color w:val="auto"/>
              </w:rPr>
            </w:pPr>
            <w:r>
              <w:rPr>
                <w:rFonts w:ascii="Arial" w:cs="Arial" w:eastAsia="Arial" w:hAnsi="Arial"/>
                <w:sz w:val="14"/>
                <w:szCs w:val="14"/>
                <w:color w:val="auto"/>
              </w:rPr>
              <w:t>49,624</w:t>
            </w:r>
          </w:p>
        </w:tc>
        <w:tc>
          <w:tcPr>
            <w:tcW w:w="1660" w:type="dxa"/>
            <w:vAlign w:val="bottom"/>
            <w:tcBorders>
              <w:bottom w:val="single" w:sz="8" w:color="auto"/>
            </w:tcBorders>
          </w:tcPr>
          <w:p>
            <w:pPr>
              <w:jc w:val="right"/>
              <w:ind w:right="368"/>
              <w:spacing w:after="0" w:line="155" w:lineRule="exact"/>
              <w:rPr>
                <w:sz w:val="20"/>
                <w:szCs w:val="20"/>
                <w:color w:val="auto"/>
              </w:rPr>
            </w:pPr>
            <w:r>
              <w:rPr>
                <w:rFonts w:ascii="Arial" w:cs="Arial" w:eastAsia="Arial" w:hAnsi="Arial"/>
                <w:sz w:val="14"/>
                <w:szCs w:val="14"/>
                <w:color w:val="auto"/>
              </w:rPr>
              <w:t>50,325</w:t>
            </w:r>
          </w:p>
        </w:tc>
      </w:tr>
      <w:tr>
        <w:trPr>
          <w:trHeight w:val="160"/>
        </w:trPr>
        <w:tc>
          <w:tcPr>
            <w:tcW w:w="8440" w:type="dxa"/>
            <w:vAlign w:val="bottom"/>
          </w:tcPr>
          <w:p>
            <w:pPr>
              <w:spacing w:after="0"/>
              <w:rPr>
                <w:sz w:val="20"/>
                <w:szCs w:val="20"/>
                <w:color w:val="auto"/>
              </w:rPr>
            </w:pPr>
            <w:r>
              <w:rPr>
                <w:rFonts w:ascii="Arial" w:cs="Arial" w:eastAsia="Arial" w:hAnsi="Arial"/>
                <w:sz w:val="14"/>
                <w:szCs w:val="14"/>
                <w:color w:val="auto"/>
              </w:rPr>
              <w:t>Depreciation, depletion and amortisation</w:t>
            </w:r>
          </w:p>
        </w:tc>
        <w:tc>
          <w:tcPr>
            <w:tcW w:w="1320" w:type="dxa"/>
            <w:vAlign w:val="bottom"/>
            <w:shd w:val="clear" w:color="auto" w:fill="D8D8D8"/>
          </w:tcPr>
          <w:p>
            <w:pPr>
              <w:spacing w:after="0"/>
              <w:rPr>
                <w:sz w:val="13"/>
                <w:szCs w:val="13"/>
                <w:color w:val="auto"/>
              </w:rPr>
            </w:pPr>
          </w:p>
        </w:tc>
        <w:tc>
          <w:tcPr>
            <w:tcW w:w="1660" w:type="dxa"/>
            <w:vAlign w:val="bottom"/>
          </w:tcPr>
          <w:p>
            <w:pPr>
              <w:spacing w:after="0"/>
              <w:rPr>
                <w:sz w:val="13"/>
                <w:szCs w:val="13"/>
                <w:color w:val="auto"/>
              </w:rPr>
            </w:pPr>
          </w:p>
        </w:tc>
      </w:tr>
      <w:tr>
        <w:trPr>
          <w:trHeight w:val="162"/>
        </w:trPr>
        <w:tc>
          <w:tcPr>
            <w:tcW w:w="8440" w:type="dxa"/>
            <w:vAlign w:val="bottom"/>
          </w:tcPr>
          <w:p>
            <w:pPr>
              <w:ind w:left="140"/>
              <w:spacing w:after="0"/>
              <w:rPr>
                <w:sz w:val="20"/>
                <w:szCs w:val="20"/>
                <w:color w:val="auto"/>
              </w:rPr>
            </w:pPr>
            <w:r>
              <w:rPr>
                <w:rFonts w:ascii="Arial" w:cs="Arial" w:eastAsia="Arial" w:hAnsi="Arial"/>
                <w:sz w:val="14"/>
                <w:szCs w:val="14"/>
                <w:color w:val="auto"/>
              </w:rPr>
              <w:t>Proved properties [A]</w:t>
            </w:r>
          </w:p>
        </w:tc>
        <w:tc>
          <w:tcPr>
            <w:tcW w:w="1320" w:type="dxa"/>
            <w:vAlign w:val="bottom"/>
            <w:shd w:val="clear" w:color="auto" w:fill="D8D8D8"/>
          </w:tcPr>
          <w:p>
            <w:pPr>
              <w:jc w:val="right"/>
              <w:ind w:right="369"/>
              <w:spacing w:after="0"/>
              <w:rPr>
                <w:sz w:val="20"/>
                <w:szCs w:val="20"/>
                <w:color w:val="auto"/>
              </w:rPr>
            </w:pPr>
            <w:r>
              <w:rPr>
                <w:rFonts w:ascii="Arial" w:cs="Arial" w:eastAsia="Arial" w:hAnsi="Arial"/>
                <w:sz w:val="14"/>
                <w:szCs w:val="14"/>
                <w:color w:val="auto"/>
              </w:rPr>
              <w:t>22,916</w:t>
            </w:r>
          </w:p>
        </w:tc>
        <w:tc>
          <w:tcPr>
            <w:tcW w:w="1660" w:type="dxa"/>
            <w:vAlign w:val="bottom"/>
          </w:tcPr>
          <w:p>
            <w:pPr>
              <w:jc w:val="right"/>
              <w:ind w:right="368"/>
              <w:spacing w:after="0"/>
              <w:rPr>
                <w:sz w:val="20"/>
                <w:szCs w:val="20"/>
                <w:color w:val="auto"/>
              </w:rPr>
            </w:pPr>
            <w:r>
              <w:rPr>
                <w:rFonts w:ascii="Arial" w:cs="Arial" w:eastAsia="Arial" w:hAnsi="Arial"/>
                <w:sz w:val="14"/>
                <w:szCs w:val="14"/>
                <w:color w:val="auto"/>
              </w:rPr>
              <w:t>23,468</w:t>
            </w:r>
          </w:p>
        </w:tc>
      </w:tr>
      <w:tr>
        <w:trPr>
          <w:trHeight w:val="162"/>
        </w:trPr>
        <w:tc>
          <w:tcPr>
            <w:tcW w:w="8440" w:type="dxa"/>
            <w:vAlign w:val="bottom"/>
          </w:tcPr>
          <w:p>
            <w:pPr>
              <w:ind w:left="140"/>
              <w:spacing w:after="0"/>
              <w:rPr>
                <w:sz w:val="20"/>
                <w:szCs w:val="20"/>
                <w:color w:val="auto"/>
              </w:rPr>
            </w:pPr>
            <w:r>
              <w:rPr>
                <w:rFonts w:ascii="Arial" w:cs="Arial" w:eastAsia="Arial" w:hAnsi="Arial"/>
                <w:sz w:val="14"/>
                <w:szCs w:val="14"/>
                <w:color w:val="auto"/>
              </w:rPr>
              <w:t>Unproved properties</w:t>
            </w:r>
          </w:p>
        </w:tc>
        <w:tc>
          <w:tcPr>
            <w:tcW w:w="1320" w:type="dxa"/>
            <w:vAlign w:val="bottom"/>
            <w:shd w:val="clear" w:color="auto" w:fill="D8D8D8"/>
          </w:tcPr>
          <w:p>
            <w:pPr>
              <w:jc w:val="right"/>
              <w:ind w:right="369"/>
              <w:spacing w:after="0"/>
              <w:rPr>
                <w:sz w:val="20"/>
                <w:szCs w:val="20"/>
                <w:color w:val="auto"/>
              </w:rPr>
            </w:pPr>
            <w:r>
              <w:rPr>
                <w:rFonts w:ascii="Arial" w:cs="Arial" w:eastAsia="Arial" w:hAnsi="Arial"/>
                <w:sz w:val="14"/>
                <w:szCs w:val="14"/>
                <w:color w:val="auto"/>
              </w:rPr>
              <w:t>78</w:t>
            </w:r>
          </w:p>
        </w:tc>
        <w:tc>
          <w:tcPr>
            <w:tcW w:w="1660" w:type="dxa"/>
            <w:vAlign w:val="bottom"/>
          </w:tcPr>
          <w:p>
            <w:pPr>
              <w:jc w:val="right"/>
              <w:ind w:right="368"/>
              <w:spacing w:after="0"/>
              <w:rPr>
                <w:sz w:val="20"/>
                <w:szCs w:val="20"/>
                <w:color w:val="auto"/>
              </w:rPr>
            </w:pPr>
            <w:r>
              <w:rPr>
                <w:rFonts w:ascii="Arial" w:cs="Arial" w:eastAsia="Arial" w:hAnsi="Arial"/>
                <w:sz w:val="14"/>
                <w:szCs w:val="14"/>
                <w:color w:val="auto"/>
              </w:rPr>
              <w:t>108</w:t>
            </w:r>
          </w:p>
        </w:tc>
      </w:tr>
      <w:tr>
        <w:trPr>
          <w:trHeight w:val="157"/>
        </w:trPr>
        <w:tc>
          <w:tcPr>
            <w:tcW w:w="8440" w:type="dxa"/>
            <w:vAlign w:val="bottom"/>
            <w:tcBorders>
              <w:bottom w:val="single" w:sz="8" w:color="auto"/>
            </w:tcBorders>
          </w:tcPr>
          <w:p>
            <w:pPr>
              <w:ind w:left="140"/>
              <w:spacing w:after="0" w:line="157" w:lineRule="exact"/>
              <w:rPr>
                <w:sz w:val="20"/>
                <w:szCs w:val="20"/>
                <w:color w:val="auto"/>
              </w:rPr>
            </w:pPr>
            <w:r>
              <w:rPr>
                <w:rFonts w:ascii="Arial" w:cs="Arial" w:eastAsia="Arial" w:hAnsi="Arial"/>
                <w:sz w:val="14"/>
                <w:szCs w:val="14"/>
                <w:color w:val="auto"/>
              </w:rPr>
              <w:t>Support equipment and facilities</w:t>
            </w:r>
          </w:p>
        </w:tc>
        <w:tc>
          <w:tcPr>
            <w:tcW w:w="1320" w:type="dxa"/>
            <w:vAlign w:val="bottom"/>
            <w:tcBorders>
              <w:bottom w:val="single" w:sz="8" w:color="auto"/>
            </w:tcBorders>
            <w:shd w:val="clear" w:color="auto" w:fill="D8D8D8"/>
          </w:tcPr>
          <w:p>
            <w:pPr>
              <w:jc w:val="right"/>
              <w:ind w:right="369"/>
              <w:spacing w:after="0" w:line="157" w:lineRule="exact"/>
              <w:rPr>
                <w:sz w:val="20"/>
                <w:szCs w:val="20"/>
                <w:color w:val="auto"/>
              </w:rPr>
            </w:pPr>
            <w:r>
              <w:rPr>
                <w:rFonts w:ascii="Arial" w:cs="Arial" w:eastAsia="Arial" w:hAnsi="Arial"/>
                <w:sz w:val="14"/>
                <w:szCs w:val="14"/>
                <w:color w:val="auto"/>
              </w:rPr>
              <w:t>1,834</w:t>
            </w:r>
          </w:p>
        </w:tc>
        <w:tc>
          <w:tcPr>
            <w:tcW w:w="1660" w:type="dxa"/>
            <w:vAlign w:val="bottom"/>
            <w:tcBorders>
              <w:bottom w:val="single" w:sz="8" w:color="auto"/>
            </w:tcBorders>
          </w:tcPr>
          <w:p>
            <w:pPr>
              <w:jc w:val="right"/>
              <w:ind w:right="368"/>
              <w:spacing w:after="0" w:line="157" w:lineRule="exact"/>
              <w:rPr>
                <w:sz w:val="20"/>
                <w:szCs w:val="20"/>
                <w:color w:val="auto"/>
              </w:rPr>
            </w:pPr>
            <w:r>
              <w:rPr>
                <w:rFonts w:ascii="Arial" w:cs="Arial" w:eastAsia="Arial" w:hAnsi="Arial"/>
                <w:sz w:val="14"/>
                <w:szCs w:val="14"/>
                <w:color w:val="auto"/>
              </w:rPr>
              <w:t>1,707</w:t>
            </w:r>
          </w:p>
        </w:tc>
      </w:tr>
      <w:tr>
        <w:trPr>
          <w:trHeight w:val="156"/>
        </w:trPr>
        <w:tc>
          <w:tcPr>
            <w:tcW w:w="844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shd w:val="clear" w:color="auto" w:fill="D8D8D8"/>
          </w:tcPr>
          <w:p>
            <w:pPr>
              <w:jc w:val="right"/>
              <w:ind w:right="369"/>
              <w:spacing w:after="0" w:line="155" w:lineRule="exact"/>
              <w:rPr>
                <w:sz w:val="20"/>
                <w:szCs w:val="20"/>
                <w:color w:val="auto"/>
              </w:rPr>
            </w:pPr>
            <w:r>
              <w:rPr>
                <w:rFonts w:ascii="Arial" w:cs="Arial" w:eastAsia="Arial" w:hAnsi="Arial"/>
                <w:sz w:val="14"/>
                <w:szCs w:val="14"/>
                <w:color w:val="auto"/>
              </w:rPr>
              <w:t>24,828</w:t>
            </w:r>
          </w:p>
        </w:tc>
        <w:tc>
          <w:tcPr>
            <w:tcW w:w="1660" w:type="dxa"/>
            <w:vAlign w:val="bottom"/>
            <w:tcBorders>
              <w:bottom w:val="single" w:sz="8" w:color="auto"/>
            </w:tcBorders>
          </w:tcPr>
          <w:p>
            <w:pPr>
              <w:jc w:val="right"/>
              <w:ind w:right="368"/>
              <w:spacing w:after="0" w:line="155" w:lineRule="exact"/>
              <w:rPr>
                <w:sz w:val="20"/>
                <w:szCs w:val="20"/>
                <w:color w:val="auto"/>
              </w:rPr>
            </w:pPr>
            <w:r>
              <w:rPr>
                <w:rFonts w:ascii="Arial" w:cs="Arial" w:eastAsia="Arial" w:hAnsi="Arial"/>
                <w:sz w:val="14"/>
                <w:szCs w:val="14"/>
                <w:color w:val="auto"/>
              </w:rPr>
              <w:t>25,283</w:t>
            </w:r>
          </w:p>
        </w:tc>
      </w:tr>
      <w:tr>
        <w:trPr>
          <w:trHeight w:val="156"/>
        </w:trPr>
        <w:tc>
          <w:tcPr>
            <w:tcW w:w="8440" w:type="dxa"/>
            <w:vAlign w:val="bottom"/>
            <w:tcBorders>
              <w:bottom w:val="single" w:sz="8" w:color="auto"/>
            </w:tcBorders>
          </w:tcPr>
          <w:p>
            <w:pPr>
              <w:spacing w:after="0" w:line="155" w:lineRule="exact"/>
              <w:rPr>
                <w:sz w:val="20"/>
                <w:szCs w:val="20"/>
                <w:color w:val="auto"/>
              </w:rPr>
            </w:pPr>
            <w:r>
              <w:rPr>
                <w:rFonts w:ascii="Arial" w:cs="Arial" w:eastAsia="Arial" w:hAnsi="Arial"/>
                <w:sz w:val="14"/>
                <w:szCs w:val="14"/>
                <w:color w:val="auto"/>
              </w:rPr>
              <w:t>Net capitalised costs</w:t>
            </w:r>
          </w:p>
        </w:tc>
        <w:tc>
          <w:tcPr>
            <w:tcW w:w="1320" w:type="dxa"/>
            <w:vAlign w:val="bottom"/>
            <w:tcBorders>
              <w:bottom w:val="single" w:sz="8" w:color="auto"/>
            </w:tcBorders>
            <w:shd w:val="clear" w:color="auto" w:fill="D8D8D8"/>
          </w:tcPr>
          <w:p>
            <w:pPr>
              <w:jc w:val="right"/>
              <w:ind w:right="369"/>
              <w:spacing w:after="0" w:line="155" w:lineRule="exact"/>
              <w:rPr>
                <w:sz w:val="20"/>
                <w:szCs w:val="20"/>
                <w:color w:val="auto"/>
              </w:rPr>
            </w:pPr>
            <w:r>
              <w:rPr>
                <w:rFonts w:ascii="Arial" w:cs="Arial" w:eastAsia="Arial" w:hAnsi="Arial"/>
                <w:sz w:val="14"/>
                <w:szCs w:val="14"/>
                <w:color w:val="auto"/>
              </w:rPr>
              <w:t>24,796</w:t>
            </w:r>
          </w:p>
        </w:tc>
        <w:tc>
          <w:tcPr>
            <w:tcW w:w="1660" w:type="dxa"/>
            <w:vAlign w:val="bottom"/>
            <w:tcBorders>
              <w:bottom w:val="single" w:sz="8" w:color="auto"/>
            </w:tcBorders>
          </w:tcPr>
          <w:p>
            <w:pPr>
              <w:jc w:val="right"/>
              <w:ind w:right="368"/>
              <w:spacing w:after="0" w:line="155" w:lineRule="exact"/>
              <w:rPr>
                <w:sz w:val="20"/>
                <w:szCs w:val="20"/>
                <w:color w:val="auto"/>
              </w:rPr>
            </w:pPr>
            <w:r>
              <w:rPr>
                <w:rFonts w:ascii="Arial" w:cs="Arial" w:eastAsia="Arial" w:hAnsi="Arial"/>
                <w:sz w:val="14"/>
                <w:szCs w:val="14"/>
                <w:color w:val="auto"/>
              </w:rPr>
              <w:t>25,042</w:t>
            </w:r>
          </w:p>
        </w:tc>
      </w:tr>
    </w:tbl>
    <w:p>
      <w:pPr>
        <w:spacing w:after="0" w:line="24" w:lineRule="exact"/>
        <w:rPr>
          <w:sz w:val="20"/>
          <w:szCs w:val="20"/>
          <w:color w:val="auto"/>
        </w:rPr>
      </w:pPr>
    </w:p>
    <w:p>
      <w:pPr>
        <w:spacing w:after="0"/>
        <w:rPr>
          <w:sz w:val="20"/>
          <w:szCs w:val="20"/>
          <w:color w:val="auto"/>
        </w:rPr>
      </w:pPr>
      <w:r>
        <w:rPr>
          <w:rFonts w:ascii="Arial" w:cs="Arial" w:eastAsia="Arial" w:hAnsi="Arial"/>
          <w:sz w:val="11"/>
          <w:szCs w:val="11"/>
          <w:color w:val="auto"/>
        </w:rPr>
        <w:t>[A] Includes capitalised asset decommissioning and restoration costs and related depreciation.</w:t>
      </w:r>
    </w:p>
    <w:p>
      <w:pPr>
        <w:sectPr>
          <w:pgSz w:w="11900" w:h="16838" w:orient="portrait"/>
          <w:cols w:equalWidth="0" w:num="1">
            <w:col w:w="11420"/>
          </w:cols>
          <w:pgMar w:left="240" w:top="459" w:right="239" w:bottom="1440" w:gutter="0" w:footer="0" w:header="0"/>
        </w:sectPr>
      </w:pPr>
    </w:p>
    <w:bookmarkStart w:id="156" w:name="page157"/>
    <w:bookmarkEnd w:id="1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6428105</wp:posOffset>
            </wp:positionH>
            <wp:positionV relativeFrom="paragraph">
              <wp:posOffset>300355</wp:posOffset>
            </wp:positionV>
            <wp:extent cx="8890" cy="462915"/>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8890" cy="462915"/>
                    </a:xfrm>
                    <a:prstGeom prst="rect">
                      <a:avLst/>
                    </a:prstGeom>
                    <a:noFill/>
                  </pic:spPr>
                </pic:pic>
              </a:graphicData>
            </a:graphic>
          </wp:anchor>
        </w:drawing>
      </w:r>
    </w:p>
    <w:p>
      <w:pPr>
        <w:spacing w:after="0" w:line="200" w:lineRule="exact"/>
        <w:rPr>
          <w:sz w:val="20"/>
          <w:szCs w:val="20"/>
          <w:color w:val="auto"/>
        </w:rPr>
      </w:pP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565"/>
        </w:trPr>
        <w:tc>
          <w:tcPr>
            <w:tcW w:w="5600" w:type="dxa"/>
            <w:vAlign w:val="bottom"/>
          </w:tcPr>
          <w:p>
            <w:pPr>
              <w:spacing w:after="0"/>
              <w:rPr>
                <w:sz w:val="24"/>
                <w:szCs w:val="24"/>
                <w:color w:val="auto"/>
              </w:rPr>
            </w:pPr>
          </w:p>
        </w:tc>
        <w:tc>
          <w:tcPr>
            <w:tcW w:w="4680" w:type="dxa"/>
            <w:vAlign w:val="bottom"/>
            <w:shd w:val="clear" w:color="auto" w:fill="FF8B00"/>
          </w:tcPr>
          <w:p>
            <w:pPr>
              <w:ind w:left="880"/>
              <w:spacing w:after="0"/>
              <w:rPr>
                <w:sz w:val="20"/>
                <w:szCs w:val="20"/>
                <w:color w:val="auto"/>
              </w:rPr>
            </w:pPr>
            <w:r>
              <w:rPr>
                <w:rFonts w:ascii="Arial" w:cs="Arial" w:eastAsia="Arial" w:hAnsi="Arial"/>
                <w:sz w:val="13"/>
                <w:szCs w:val="13"/>
                <w:color w:val="333333"/>
              </w:rPr>
              <w:t>FINANCIAL STATEMENTS AND SUPPLEMENTS</w:t>
            </w:r>
          </w:p>
        </w:tc>
        <w:tc>
          <w:tcPr>
            <w:tcW w:w="1140" w:type="dxa"/>
            <w:vAlign w:val="bottom"/>
            <w:shd w:val="clear" w:color="auto" w:fill="FF8B00"/>
          </w:tcPr>
          <w:p>
            <w:pPr>
              <w:jc w:val="right"/>
              <w:ind w:right="366"/>
              <w:spacing w:after="0"/>
              <w:rPr>
                <w:sz w:val="20"/>
                <w:szCs w:val="20"/>
                <w:color w:val="auto"/>
              </w:rPr>
            </w:pPr>
            <w:r>
              <w:rPr>
                <w:rFonts w:ascii="Arial" w:cs="Arial" w:eastAsia="Arial" w:hAnsi="Arial"/>
                <w:sz w:val="11"/>
                <w:szCs w:val="11"/>
                <w:b w:val="1"/>
                <w:bCs w:val="1"/>
                <w:color w:val="333333"/>
              </w:rPr>
              <w:t>155</w:t>
            </w:r>
          </w:p>
        </w:tc>
        <w:tc>
          <w:tcPr>
            <w:tcW w:w="0" w:type="dxa"/>
            <w:vAlign w:val="bottom"/>
          </w:tcPr>
          <w:p>
            <w:pPr>
              <w:spacing w:after="0"/>
              <w:rPr>
                <w:sz w:val="1"/>
                <w:szCs w:val="1"/>
                <w:color w:val="auto"/>
              </w:rPr>
            </w:pPr>
          </w:p>
        </w:tc>
      </w:tr>
      <w:tr>
        <w:trPr>
          <w:trHeight w:val="165"/>
        </w:trPr>
        <w:tc>
          <w:tcPr>
            <w:tcW w:w="5600" w:type="dxa"/>
            <w:vAlign w:val="bottom"/>
            <w:vMerge w:val="restart"/>
          </w:tcPr>
          <w:p>
            <w:pPr>
              <w:spacing w:after="0"/>
              <w:rPr>
                <w:sz w:val="20"/>
                <w:szCs w:val="20"/>
                <w:color w:val="auto"/>
              </w:rPr>
            </w:pPr>
            <w:r>
              <w:rPr>
                <w:rFonts w:ascii="Arial" w:cs="Arial" w:eastAsia="Arial" w:hAnsi="Arial"/>
                <w:sz w:val="11"/>
                <w:szCs w:val="11"/>
                <w:color w:val="auto"/>
              </w:rPr>
              <w:t>SHELL ANNUAL REPORT AND FORM 20-F 2014</w:t>
            </w:r>
          </w:p>
        </w:tc>
        <w:tc>
          <w:tcPr>
            <w:tcW w:w="4680" w:type="dxa"/>
            <w:vAlign w:val="bottom"/>
            <w:shd w:val="clear" w:color="auto" w:fill="FF8B00"/>
          </w:tcPr>
          <w:p>
            <w:pPr>
              <w:spacing w:after="0"/>
              <w:rPr>
                <w:sz w:val="14"/>
                <w:szCs w:val="14"/>
                <w:color w:val="auto"/>
              </w:rPr>
            </w:pPr>
          </w:p>
        </w:tc>
        <w:tc>
          <w:tcPr>
            <w:tcW w:w="1140" w:type="dxa"/>
            <w:vAlign w:val="bottom"/>
            <w:shd w:val="clear" w:color="auto" w:fill="FF8B00"/>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5600" w:type="dxa"/>
            <w:vAlign w:val="bottom"/>
            <w:vMerge w:val="continue"/>
          </w:tcPr>
          <w:p>
            <w:pPr>
              <w:spacing w:after="0"/>
              <w:rPr>
                <w:sz w:val="10"/>
                <w:szCs w:val="10"/>
                <w:color w:val="auto"/>
              </w:rPr>
            </w:pPr>
          </w:p>
        </w:tc>
        <w:tc>
          <w:tcPr>
            <w:tcW w:w="4680" w:type="dxa"/>
            <w:vAlign w:val="bottom"/>
          </w:tcPr>
          <w:p>
            <w:pPr>
              <w:ind w:left="880"/>
              <w:spacing w:after="0" w:line="121" w:lineRule="exact"/>
              <w:rPr>
                <w:sz w:val="20"/>
                <w:szCs w:val="20"/>
                <w:color w:val="auto"/>
              </w:rPr>
            </w:pPr>
            <w:r>
              <w:rPr>
                <w:rFonts w:ascii="Arial" w:cs="Arial" w:eastAsia="Arial" w:hAnsi="Arial"/>
                <w:sz w:val="11"/>
                <w:szCs w:val="11"/>
                <w:color w:val="auto"/>
              </w:rPr>
              <w:t>SUPPLEMENTARY INFORMATION – OIL AND GAS (UNAUDITED)</w:t>
            </w: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rPr>
          <w:sz w:val="20"/>
          <w:szCs w:val="20"/>
          <w:color w:val="auto"/>
        </w:rPr>
      </w:pPr>
      <w:r>
        <w:rPr>
          <w:rFonts w:ascii="Arial" w:cs="Arial" w:eastAsia="Arial" w:hAnsi="Arial"/>
          <w:sz w:val="18"/>
          <w:szCs w:val="18"/>
          <w:color w:val="auto"/>
        </w:rPr>
        <w:t>OIL AND GAS EXPLORATION AND PRODUCTION ACTIVITIES COSTS INCURRED</w:t>
      </w:r>
    </w:p>
    <w:p>
      <w:pPr>
        <w:spacing w:after="0" w:line="1" w:lineRule="exact"/>
        <w:rPr>
          <w:sz w:val="20"/>
          <w:szCs w:val="20"/>
          <w:color w:val="auto"/>
        </w:rPr>
      </w:pPr>
    </w:p>
    <w:p>
      <w:pPr>
        <w:ind w:right="60"/>
        <w:spacing w:after="0" w:line="247" w:lineRule="auto"/>
        <w:rPr>
          <w:sz w:val="20"/>
          <w:szCs w:val="20"/>
          <w:color w:val="auto"/>
        </w:rPr>
      </w:pPr>
      <w:r>
        <w:rPr>
          <w:rFonts w:ascii="Arial" w:cs="Arial" w:eastAsia="Arial" w:hAnsi="Arial"/>
          <w:sz w:val="14"/>
          <w:szCs w:val="14"/>
          <w:color w:val="auto"/>
        </w:rPr>
        <w:t xml:space="preserve">Costs incurred during the year in oil and gas property acquisition, exploration and development activities, whether capitalised or charged to income currently, are shown in the tables below. Development costs include capitalised asset decommissioning and restoration costs and exclude costs of acquiring support equipment and facilities, but include depreciation thereon. As a result of the adoption of IFRS 11 </w:t>
      </w:r>
      <w:r>
        <w:rPr>
          <w:rFonts w:ascii="Arial" w:cs="Arial" w:eastAsia="Arial" w:hAnsi="Arial"/>
          <w:sz w:val="14"/>
          <w:szCs w:val="14"/>
          <w:i w:val="1"/>
          <w:iCs w:val="1"/>
          <w:color w:val="auto"/>
        </w:rPr>
        <w:t>Joint Arrangements</w:t>
      </w:r>
      <w:r>
        <w:rPr>
          <w:rFonts w:ascii="Arial" w:cs="Arial" w:eastAsia="Arial" w:hAnsi="Arial"/>
          <w:sz w:val="14"/>
          <w:szCs w:val="14"/>
          <w:color w:val="auto"/>
        </w:rPr>
        <w:t>, the costs incurred by certain entities in Asia and the USA, which were previously presented under the Shell share of joint ventures and associates, are presented under Shell subsidiaries with effect from 2013.</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color w:val="auto"/>
        </w:rPr>
        <w:t>Shell subsidiaries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3100" w:type="dxa"/>
            <w:vAlign w:val="bottom"/>
            <w:shd w:val="clear" w:color="auto" w:fill="333333"/>
          </w:tcPr>
          <w:p>
            <w:pPr>
              <w:ind w:left="80"/>
              <w:spacing w:after="0"/>
              <w:rPr>
                <w:sz w:val="20"/>
                <w:szCs w:val="20"/>
                <w:color w:val="auto"/>
              </w:rPr>
            </w:pPr>
            <w:r>
              <w:rPr>
                <w:rFonts w:ascii="Arial" w:cs="Arial" w:eastAsia="Arial" w:hAnsi="Arial"/>
                <w:sz w:val="15"/>
                <w:szCs w:val="15"/>
                <w:b w:val="1"/>
                <w:bCs w:val="1"/>
                <w:color w:val="FFFFFF"/>
              </w:rPr>
              <w:t>2014</w:t>
            </w:r>
          </w:p>
        </w:tc>
        <w:tc>
          <w:tcPr>
            <w:tcW w:w="2320" w:type="dxa"/>
            <w:vAlign w:val="bottom"/>
            <w:shd w:val="clear" w:color="auto" w:fill="333333"/>
          </w:tcPr>
          <w:p>
            <w:pPr>
              <w:spacing w:after="0"/>
              <w:rPr>
                <w:sz w:val="14"/>
                <w:szCs w:val="14"/>
                <w:color w:val="auto"/>
              </w:rPr>
            </w:pPr>
          </w:p>
        </w:tc>
        <w:tc>
          <w:tcPr>
            <w:tcW w:w="880" w:type="dxa"/>
            <w:vAlign w:val="bottom"/>
            <w:shd w:val="clear" w:color="auto" w:fill="333333"/>
          </w:tcPr>
          <w:p>
            <w:pPr>
              <w:spacing w:after="0"/>
              <w:rPr>
                <w:sz w:val="14"/>
                <w:szCs w:val="14"/>
                <w:color w:val="auto"/>
              </w:rPr>
            </w:pPr>
          </w:p>
        </w:tc>
        <w:tc>
          <w:tcPr>
            <w:tcW w:w="880" w:type="dxa"/>
            <w:vAlign w:val="bottom"/>
            <w:shd w:val="clear" w:color="auto" w:fill="333333"/>
          </w:tcPr>
          <w:p>
            <w:pPr>
              <w:spacing w:after="0"/>
              <w:rPr>
                <w:sz w:val="14"/>
                <w:szCs w:val="14"/>
                <w:color w:val="auto"/>
              </w:rPr>
            </w:pPr>
          </w:p>
        </w:tc>
        <w:tc>
          <w:tcPr>
            <w:tcW w:w="720" w:type="dxa"/>
            <w:vAlign w:val="bottom"/>
            <w:shd w:val="clear" w:color="auto" w:fill="333333"/>
          </w:tcPr>
          <w:p>
            <w:pPr>
              <w:spacing w:after="0"/>
              <w:rPr>
                <w:sz w:val="14"/>
                <w:szCs w:val="14"/>
                <w:color w:val="auto"/>
              </w:rPr>
            </w:pPr>
          </w:p>
        </w:tc>
        <w:tc>
          <w:tcPr>
            <w:tcW w:w="680" w:type="dxa"/>
            <w:vAlign w:val="bottom"/>
            <w:shd w:val="clear" w:color="auto" w:fill="333333"/>
          </w:tcPr>
          <w:p>
            <w:pPr>
              <w:spacing w:after="0"/>
              <w:rPr>
                <w:sz w:val="14"/>
                <w:szCs w:val="14"/>
                <w:color w:val="auto"/>
              </w:rPr>
            </w:pPr>
          </w:p>
        </w:tc>
        <w:tc>
          <w:tcPr>
            <w:tcW w:w="1020" w:type="dxa"/>
            <w:vAlign w:val="bottom"/>
            <w:shd w:val="clear" w:color="auto" w:fill="333333"/>
          </w:tcPr>
          <w:p>
            <w:pPr>
              <w:spacing w:after="0"/>
              <w:rPr>
                <w:sz w:val="14"/>
                <w:szCs w:val="14"/>
                <w:color w:val="auto"/>
              </w:rPr>
            </w:pPr>
          </w:p>
        </w:tc>
        <w:tc>
          <w:tcPr>
            <w:tcW w:w="840" w:type="dxa"/>
            <w:vAlign w:val="bottom"/>
            <w:shd w:val="clear" w:color="auto" w:fill="333333"/>
          </w:tcPr>
          <w:p>
            <w:pPr>
              <w:spacing w:after="0"/>
              <w:rPr>
                <w:sz w:val="14"/>
                <w:szCs w:val="14"/>
                <w:color w:val="auto"/>
              </w:rPr>
            </w:pPr>
          </w:p>
        </w:tc>
        <w:tc>
          <w:tcPr>
            <w:tcW w:w="20" w:type="dxa"/>
            <w:vAlign w:val="bottom"/>
            <w:shd w:val="clear" w:color="auto" w:fill="333333"/>
          </w:tcPr>
          <w:p>
            <w:pPr>
              <w:spacing w:after="0"/>
              <w:rPr>
                <w:sz w:val="14"/>
                <w:szCs w:val="14"/>
                <w:color w:val="auto"/>
              </w:rPr>
            </w:pPr>
          </w:p>
        </w:tc>
        <w:tc>
          <w:tcPr>
            <w:tcW w:w="960" w:type="dxa"/>
            <w:vAlign w:val="bottom"/>
            <w:gridSpan w:val="2"/>
            <w:shd w:val="clear" w:color="auto" w:fill="333333"/>
          </w:tcPr>
          <w:p>
            <w:pPr>
              <w:jc w:val="right"/>
              <w:ind w:right="157"/>
              <w:spacing w:after="0"/>
              <w:rPr>
                <w:sz w:val="20"/>
                <w:szCs w:val="20"/>
                <w:color w:val="auto"/>
              </w:rPr>
            </w:pPr>
            <w:r>
              <w:rPr>
                <w:rFonts w:ascii="Arial" w:cs="Arial" w:eastAsia="Arial" w:hAnsi="Arial"/>
                <w:sz w:val="15"/>
                <w:szCs w:val="15"/>
                <w:color w:val="FFFFFF"/>
                <w:w w:val="99"/>
              </w:rPr>
              <w:t>$ MILLION</w:t>
            </w:r>
          </w:p>
        </w:tc>
      </w:tr>
      <w:tr>
        <w:trPr>
          <w:trHeight w:val="135"/>
        </w:trPr>
        <w:tc>
          <w:tcPr>
            <w:tcW w:w="3100" w:type="dxa"/>
            <w:vAlign w:val="bottom"/>
          </w:tcPr>
          <w:p>
            <w:pPr>
              <w:spacing w:after="0"/>
              <w:rPr>
                <w:sz w:val="11"/>
                <w:szCs w:val="11"/>
                <w:color w:val="auto"/>
              </w:rPr>
            </w:pPr>
          </w:p>
        </w:tc>
        <w:tc>
          <w:tcPr>
            <w:tcW w:w="23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1020" w:type="dxa"/>
            <w:vAlign w:val="bottom"/>
            <w:tcBorders>
              <w:bottom w:val="single" w:sz="8" w:color="auto"/>
            </w:tcBorders>
          </w:tcPr>
          <w:p>
            <w:pPr>
              <w:jc w:val="right"/>
              <w:ind w:right="11"/>
              <w:spacing w:after="0" w:line="115" w:lineRule="exact"/>
              <w:rPr>
                <w:sz w:val="20"/>
                <w:szCs w:val="20"/>
                <w:color w:val="auto"/>
              </w:rPr>
            </w:pPr>
            <w:r>
              <w:rPr>
                <w:rFonts w:ascii="Arial" w:cs="Arial" w:eastAsia="Arial" w:hAnsi="Arial"/>
                <w:sz w:val="13"/>
                <w:szCs w:val="13"/>
                <w:color w:val="auto"/>
              </w:rPr>
              <w:t>North America</w:t>
            </w:r>
          </w:p>
        </w:tc>
        <w:tc>
          <w:tcPr>
            <w:tcW w:w="860" w:type="dxa"/>
            <w:vAlign w:val="bottom"/>
            <w:gridSpan w:val="2"/>
          </w:tcPr>
          <w:p>
            <w:pPr>
              <w:jc w:val="right"/>
              <w:ind w:right="20"/>
              <w:spacing w:after="0" w:line="115" w:lineRule="exact"/>
              <w:rPr>
                <w:sz w:val="20"/>
                <w:szCs w:val="20"/>
                <w:color w:val="auto"/>
              </w:rPr>
            </w:pPr>
            <w:r>
              <w:rPr>
                <w:rFonts w:ascii="Arial" w:cs="Arial" w:eastAsia="Arial" w:hAnsi="Arial"/>
                <w:sz w:val="13"/>
                <w:szCs w:val="13"/>
                <w:color w:val="auto"/>
              </w:rPr>
              <w:t>South</w:t>
            </w:r>
          </w:p>
        </w:tc>
        <w:tc>
          <w:tcPr>
            <w:tcW w:w="60" w:type="dxa"/>
            <w:vAlign w:val="bottom"/>
          </w:tcPr>
          <w:p>
            <w:pPr>
              <w:spacing w:after="0"/>
              <w:rPr>
                <w:sz w:val="11"/>
                <w:szCs w:val="11"/>
                <w:color w:val="auto"/>
              </w:rPr>
            </w:pPr>
          </w:p>
        </w:tc>
        <w:tc>
          <w:tcPr>
            <w:tcW w:w="900" w:type="dxa"/>
            <w:vAlign w:val="bottom"/>
          </w:tcPr>
          <w:p>
            <w:pPr>
              <w:spacing w:after="0"/>
              <w:rPr>
                <w:sz w:val="11"/>
                <w:szCs w:val="11"/>
                <w:color w:val="auto"/>
              </w:rPr>
            </w:pPr>
          </w:p>
        </w:tc>
      </w:tr>
      <w:tr>
        <w:trPr>
          <w:trHeight w:val="156"/>
        </w:trPr>
        <w:tc>
          <w:tcPr>
            <w:tcW w:w="3100" w:type="dxa"/>
            <w:vAlign w:val="bottom"/>
          </w:tcPr>
          <w:p>
            <w:pPr>
              <w:spacing w:after="0"/>
              <w:rPr>
                <w:sz w:val="13"/>
                <w:szCs w:val="13"/>
                <w:color w:val="auto"/>
              </w:rPr>
            </w:pPr>
          </w:p>
        </w:tc>
        <w:tc>
          <w:tcPr>
            <w:tcW w:w="2320" w:type="dxa"/>
            <w:vAlign w:val="bottom"/>
          </w:tcPr>
          <w:p>
            <w:pPr>
              <w:jc w:val="right"/>
              <w:ind w:right="150"/>
              <w:spacing w:after="0"/>
              <w:rPr>
                <w:sz w:val="20"/>
                <w:szCs w:val="20"/>
                <w:color w:val="auto"/>
              </w:rPr>
            </w:pPr>
            <w:r>
              <w:rPr>
                <w:rFonts w:ascii="Arial" w:cs="Arial" w:eastAsia="Arial" w:hAnsi="Arial"/>
                <w:sz w:val="13"/>
                <w:szCs w:val="13"/>
                <w:color w:val="auto"/>
              </w:rPr>
              <w:t>Europe[A]</w:t>
            </w:r>
          </w:p>
        </w:tc>
        <w:tc>
          <w:tcPr>
            <w:tcW w:w="880" w:type="dxa"/>
            <w:vAlign w:val="bottom"/>
          </w:tcPr>
          <w:p>
            <w:pPr>
              <w:jc w:val="right"/>
              <w:ind w:right="210"/>
              <w:spacing w:after="0"/>
              <w:rPr>
                <w:sz w:val="20"/>
                <w:szCs w:val="20"/>
                <w:color w:val="auto"/>
              </w:rPr>
            </w:pPr>
            <w:r>
              <w:rPr>
                <w:rFonts w:ascii="Arial" w:cs="Arial" w:eastAsia="Arial" w:hAnsi="Arial"/>
                <w:sz w:val="13"/>
                <w:szCs w:val="13"/>
                <w:color w:val="auto"/>
              </w:rPr>
              <w:t>Asia</w:t>
            </w:r>
          </w:p>
        </w:tc>
        <w:tc>
          <w:tcPr>
            <w:tcW w:w="880" w:type="dxa"/>
            <w:vAlign w:val="bottom"/>
          </w:tcPr>
          <w:p>
            <w:pPr>
              <w:jc w:val="right"/>
              <w:ind w:right="50"/>
              <w:spacing w:after="0"/>
              <w:rPr>
                <w:sz w:val="20"/>
                <w:szCs w:val="20"/>
                <w:color w:val="auto"/>
              </w:rPr>
            </w:pPr>
            <w:r>
              <w:rPr>
                <w:rFonts w:ascii="Arial" w:cs="Arial" w:eastAsia="Arial" w:hAnsi="Arial"/>
                <w:sz w:val="13"/>
                <w:szCs w:val="13"/>
                <w:color w:val="auto"/>
              </w:rPr>
              <w:t>Oceania</w:t>
            </w:r>
          </w:p>
        </w:tc>
        <w:tc>
          <w:tcPr>
            <w:tcW w:w="720" w:type="dxa"/>
            <w:vAlign w:val="bottom"/>
          </w:tcPr>
          <w:p>
            <w:pPr>
              <w:jc w:val="right"/>
              <w:ind w:right="150"/>
              <w:spacing w:after="0"/>
              <w:rPr>
                <w:sz w:val="20"/>
                <w:szCs w:val="20"/>
                <w:color w:val="auto"/>
              </w:rPr>
            </w:pPr>
            <w:r>
              <w:rPr>
                <w:rFonts w:ascii="Arial" w:cs="Arial" w:eastAsia="Arial" w:hAnsi="Arial"/>
                <w:sz w:val="13"/>
                <w:szCs w:val="13"/>
                <w:color w:val="auto"/>
              </w:rPr>
              <w:t>Africa</w:t>
            </w:r>
          </w:p>
        </w:tc>
        <w:tc>
          <w:tcPr>
            <w:tcW w:w="680" w:type="dxa"/>
            <w:vAlign w:val="bottom"/>
          </w:tcPr>
          <w:p>
            <w:pPr>
              <w:jc w:val="right"/>
              <w:ind w:right="70"/>
              <w:spacing w:after="0"/>
              <w:rPr>
                <w:sz w:val="20"/>
                <w:szCs w:val="20"/>
                <w:color w:val="auto"/>
              </w:rPr>
            </w:pPr>
            <w:r>
              <w:rPr>
                <w:rFonts w:ascii="Arial" w:cs="Arial" w:eastAsia="Arial" w:hAnsi="Arial"/>
                <w:sz w:val="13"/>
                <w:szCs w:val="13"/>
                <w:color w:val="auto"/>
              </w:rPr>
              <w:t>USA</w:t>
            </w:r>
          </w:p>
        </w:tc>
        <w:tc>
          <w:tcPr>
            <w:tcW w:w="1020" w:type="dxa"/>
            <w:vAlign w:val="bottom"/>
          </w:tcPr>
          <w:p>
            <w:pPr>
              <w:jc w:val="right"/>
              <w:ind w:right="11"/>
              <w:spacing w:after="0"/>
              <w:rPr>
                <w:sz w:val="20"/>
                <w:szCs w:val="20"/>
                <w:color w:val="auto"/>
              </w:rPr>
            </w:pPr>
            <w:r>
              <w:rPr>
                <w:rFonts w:ascii="Arial" w:cs="Arial" w:eastAsia="Arial" w:hAnsi="Arial"/>
                <w:sz w:val="13"/>
                <w:szCs w:val="13"/>
                <w:color w:val="auto"/>
              </w:rPr>
              <w:t>Canada</w:t>
            </w:r>
          </w:p>
        </w:tc>
        <w:tc>
          <w:tcPr>
            <w:tcW w:w="860" w:type="dxa"/>
            <w:vAlign w:val="bottom"/>
            <w:gridSpan w:val="2"/>
          </w:tcPr>
          <w:p>
            <w:pPr>
              <w:jc w:val="right"/>
              <w:ind w:right="20"/>
              <w:spacing w:after="0"/>
              <w:rPr>
                <w:sz w:val="20"/>
                <w:szCs w:val="20"/>
                <w:color w:val="auto"/>
              </w:rPr>
            </w:pPr>
            <w:r>
              <w:rPr>
                <w:rFonts w:ascii="Arial" w:cs="Arial" w:eastAsia="Arial" w:hAnsi="Arial"/>
                <w:sz w:val="13"/>
                <w:szCs w:val="13"/>
                <w:color w:val="auto"/>
              </w:rPr>
              <w:t>America</w:t>
            </w:r>
          </w:p>
        </w:tc>
        <w:tc>
          <w:tcPr>
            <w:tcW w:w="60" w:type="dxa"/>
            <w:vAlign w:val="bottom"/>
          </w:tcPr>
          <w:p>
            <w:pPr>
              <w:spacing w:after="0"/>
              <w:rPr>
                <w:sz w:val="13"/>
                <w:szCs w:val="13"/>
                <w:color w:val="auto"/>
              </w:rPr>
            </w:pPr>
          </w:p>
        </w:tc>
        <w:tc>
          <w:tcPr>
            <w:tcW w:w="900" w:type="dxa"/>
            <w:vAlign w:val="bottom"/>
          </w:tcPr>
          <w:p>
            <w:pPr>
              <w:jc w:val="right"/>
              <w:ind w:right="157"/>
              <w:spacing w:after="0"/>
              <w:rPr>
                <w:sz w:val="20"/>
                <w:szCs w:val="20"/>
                <w:color w:val="auto"/>
              </w:rPr>
            </w:pPr>
            <w:r>
              <w:rPr>
                <w:rFonts w:ascii="Arial" w:cs="Arial" w:eastAsia="Arial" w:hAnsi="Arial"/>
                <w:sz w:val="13"/>
                <w:szCs w:val="13"/>
                <w:color w:val="auto"/>
              </w:rPr>
              <w:t>Total</w:t>
            </w:r>
          </w:p>
        </w:tc>
      </w:tr>
      <w:tr>
        <w:trPr>
          <w:trHeight w:val="160"/>
        </w:trPr>
        <w:tc>
          <w:tcPr>
            <w:tcW w:w="3100" w:type="dxa"/>
            <w:vAlign w:val="bottom"/>
            <w:tcBorders>
              <w:top w:val="single" w:sz="8" w:color="auto"/>
            </w:tcBorders>
          </w:tcPr>
          <w:p>
            <w:pPr>
              <w:spacing w:after="0"/>
              <w:rPr>
                <w:sz w:val="20"/>
                <w:szCs w:val="20"/>
                <w:color w:val="auto"/>
              </w:rPr>
            </w:pPr>
            <w:r>
              <w:rPr>
                <w:rFonts w:ascii="Arial" w:cs="Arial" w:eastAsia="Arial" w:hAnsi="Arial"/>
                <w:sz w:val="14"/>
                <w:szCs w:val="14"/>
                <w:color w:val="auto"/>
              </w:rPr>
              <w:t>Acquisition of properties</w:t>
            </w:r>
          </w:p>
        </w:tc>
        <w:tc>
          <w:tcPr>
            <w:tcW w:w="232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spacing w:after="0"/>
              <w:rPr>
                <w:sz w:val="13"/>
                <w:szCs w:val="13"/>
                <w:color w:val="auto"/>
              </w:rPr>
            </w:pPr>
          </w:p>
        </w:tc>
        <w:tc>
          <w:tcPr>
            <w:tcW w:w="102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r>
      <w:tr>
        <w:trPr>
          <w:trHeight w:val="162"/>
        </w:trPr>
        <w:tc>
          <w:tcPr>
            <w:tcW w:w="3100" w:type="dxa"/>
            <w:vAlign w:val="bottom"/>
          </w:tcPr>
          <w:p>
            <w:pPr>
              <w:ind w:left="140"/>
              <w:spacing w:after="0"/>
              <w:rPr>
                <w:sz w:val="20"/>
                <w:szCs w:val="20"/>
                <w:color w:val="auto"/>
              </w:rPr>
            </w:pPr>
            <w:r>
              <w:rPr>
                <w:rFonts w:ascii="Arial" w:cs="Arial" w:eastAsia="Arial" w:hAnsi="Arial"/>
                <w:sz w:val="14"/>
                <w:szCs w:val="14"/>
                <w:color w:val="auto"/>
              </w:rPr>
              <w:t>Proved</w:t>
            </w:r>
          </w:p>
        </w:tc>
        <w:tc>
          <w:tcPr>
            <w:tcW w:w="2320" w:type="dxa"/>
            <w:vAlign w:val="bottom"/>
          </w:tcPr>
          <w:p>
            <w:pPr>
              <w:jc w:val="right"/>
              <w:ind w:right="310"/>
              <w:spacing w:after="0"/>
              <w:rPr>
                <w:sz w:val="20"/>
                <w:szCs w:val="20"/>
                <w:color w:val="auto"/>
              </w:rPr>
            </w:pPr>
            <w:r>
              <w:rPr>
                <w:rFonts w:ascii="Arial" w:cs="Arial" w:eastAsia="Arial" w:hAnsi="Arial"/>
                <w:sz w:val="14"/>
                <w:szCs w:val="14"/>
                <w:color w:val="auto"/>
              </w:rPr>
              <w:t>2</w:t>
            </w:r>
          </w:p>
        </w:tc>
        <w:tc>
          <w:tcPr>
            <w:tcW w:w="880" w:type="dxa"/>
            <w:vAlign w:val="bottom"/>
          </w:tcPr>
          <w:p>
            <w:pPr>
              <w:jc w:val="right"/>
              <w:ind w:right="210"/>
              <w:spacing w:after="0"/>
              <w:rPr>
                <w:sz w:val="20"/>
                <w:szCs w:val="20"/>
                <w:color w:val="auto"/>
              </w:rPr>
            </w:pPr>
            <w:r>
              <w:rPr>
                <w:rFonts w:ascii="Arial" w:cs="Arial" w:eastAsia="Arial" w:hAnsi="Arial"/>
                <w:sz w:val="14"/>
                <w:szCs w:val="14"/>
                <w:color w:val="auto"/>
              </w:rPr>
              <w:t>57</w:t>
            </w:r>
          </w:p>
        </w:tc>
        <w:tc>
          <w:tcPr>
            <w:tcW w:w="880" w:type="dxa"/>
            <w:vAlign w:val="bottom"/>
          </w:tcPr>
          <w:p>
            <w:pPr>
              <w:jc w:val="right"/>
              <w:ind w:right="50"/>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150"/>
              <w:spacing w:after="0"/>
              <w:rPr>
                <w:sz w:val="20"/>
                <w:szCs w:val="20"/>
                <w:color w:val="auto"/>
              </w:rPr>
            </w:pPr>
            <w:r>
              <w:rPr>
                <w:rFonts w:ascii="Arial" w:cs="Arial" w:eastAsia="Arial" w:hAnsi="Arial"/>
                <w:sz w:val="14"/>
                <w:szCs w:val="14"/>
                <w:color w:val="auto"/>
              </w:rPr>
              <w:t>132</w:t>
            </w:r>
          </w:p>
        </w:tc>
        <w:tc>
          <w:tcPr>
            <w:tcW w:w="680" w:type="dxa"/>
            <w:vAlign w:val="bottom"/>
          </w:tcPr>
          <w:p>
            <w:pPr>
              <w:jc w:val="right"/>
              <w:ind w:right="70"/>
              <w:spacing w:after="0"/>
              <w:rPr>
                <w:sz w:val="20"/>
                <w:szCs w:val="20"/>
                <w:color w:val="auto"/>
              </w:rPr>
            </w:pPr>
            <w:r>
              <w:rPr>
                <w:rFonts w:ascii="Arial" w:cs="Arial" w:eastAsia="Arial" w:hAnsi="Arial"/>
                <w:sz w:val="14"/>
                <w:szCs w:val="14"/>
                <w:color w:val="auto"/>
              </w:rPr>
              <w:t>36</w:t>
            </w:r>
          </w:p>
        </w:tc>
        <w:tc>
          <w:tcPr>
            <w:tcW w:w="1020" w:type="dxa"/>
            <w:vAlign w:val="bottom"/>
          </w:tcPr>
          <w:p>
            <w:pPr>
              <w:jc w:val="right"/>
              <w:ind w:right="11"/>
              <w:spacing w:after="0"/>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20"/>
              <w:spacing w:after="0"/>
              <w:rPr>
                <w:sz w:val="20"/>
                <w:szCs w:val="20"/>
                <w:color w:val="auto"/>
              </w:rPr>
            </w:pPr>
            <w:r>
              <w:rPr>
                <w:rFonts w:ascii="Arial" w:cs="Arial" w:eastAsia="Arial" w:hAnsi="Arial"/>
                <w:sz w:val="14"/>
                <w:szCs w:val="14"/>
                <w:color w:val="auto"/>
              </w:rPr>
              <w:t>10</w:t>
            </w:r>
          </w:p>
        </w:tc>
        <w:tc>
          <w:tcPr>
            <w:tcW w:w="960" w:type="dxa"/>
            <w:vAlign w:val="bottom"/>
            <w:gridSpan w:val="2"/>
          </w:tcPr>
          <w:p>
            <w:pPr>
              <w:jc w:val="right"/>
              <w:ind w:right="157"/>
              <w:spacing w:after="0"/>
              <w:rPr>
                <w:sz w:val="20"/>
                <w:szCs w:val="20"/>
                <w:color w:val="auto"/>
              </w:rPr>
            </w:pPr>
            <w:r>
              <w:rPr>
                <w:rFonts w:ascii="Arial" w:cs="Arial" w:eastAsia="Arial" w:hAnsi="Arial"/>
                <w:sz w:val="14"/>
                <w:szCs w:val="14"/>
                <w:color w:val="auto"/>
              </w:rPr>
              <w:t>237</w:t>
            </w:r>
          </w:p>
        </w:tc>
      </w:tr>
      <w:tr>
        <w:trPr>
          <w:trHeight w:val="162"/>
        </w:trPr>
        <w:tc>
          <w:tcPr>
            <w:tcW w:w="3100" w:type="dxa"/>
            <w:vAlign w:val="bottom"/>
          </w:tcPr>
          <w:p>
            <w:pPr>
              <w:ind w:left="140"/>
              <w:spacing w:after="0"/>
              <w:rPr>
                <w:sz w:val="20"/>
                <w:szCs w:val="20"/>
                <w:color w:val="auto"/>
              </w:rPr>
            </w:pPr>
            <w:r>
              <w:rPr>
                <w:rFonts w:ascii="Arial" w:cs="Arial" w:eastAsia="Arial" w:hAnsi="Arial"/>
                <w:sz w:val="14"/>
                <w:szCs w:val="14"/>
                <w:color w:val="auto"/>
              </w:rPr>
              <w:t>Unproved</w:t>
            </w:r>
          </w:p>
        </w:tc>
        <w:tc>
          <w:tcPr>
            <w:tcW w:w="2320" w:type="dxa"/>
            <w:vAlign w:val="bottom"/>
          </w:tcPr>
          <w:p>
            <w:pPr>
              <w:jc w:val="right"/>
              <w:ind w:right="310"/>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210"/>
              <w:spacing w:after="0"/>
              <w:rPr>
                <w:sz w:val="20"/>
                <w:szCs w:val="20"/>
                <w:color w:val="auto"/>
              </w:rPr>
            </w:pPr>
            <w:r>
              <w:rPr>
                <w:rFonts w:ascii="Arial" w:cs="Arial" w:eastAsia="Arial" w:hAnsi="Arial"/>
                <w:sz w:val="14"/>
                <w:szCs w:val="14"/>
                <w:color w:val="auto"/>
              </w:rPr>
              <w:t>97</w:t>
            </w:r>
          </w:p>
        </w:tc>
        <w:tc>
          <w:tcPr>
            <w:tcW w:w="880" w:type="dxa"/>
            <w:vAlign w:val="bottom"/>
          </w:tcPr>
          <w:p>
            <w:pPr>
              <w:jc w:val="right"/>
              <w:ind w:right="50"/>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150"/>
              <w:spacing w:after="0"/>
              <w:rPr>
                <w:sz w:val="20"/>
                <w:szCs w:val="20"/>
                <w:color w:val="auto"/>
              </w:rPr>
            </w:pPr>
            <w:r>
              <w:rPr>
                <w:rFonts w:ascii="Arial" w:cs="Arial" w:eastAsia="Arial" w:hAnsi="Arial"/>
                <w:sz w:val="14"/>
                <w:szCs w:val="14"/>
                <w:color w:val="auto"/>
              </w:rPr>
              <w:t>221</w:t>
            </w:r>
          </w:p>
        </w:tc>
        <w:tc>
          <w:tcPr>
            <w:tcW w:w="680" w:type="dxa"/>
            <w:vAlign w:val="bottom"/>
          </w:tcPr>
          <w:p>
            <w:pPr>
              <w:jc w:val="right"/>
              <w:ind w:right="70"/>
              <w:spacing w:after="0"/>
              <w:rPr>
                <w:sz w:val="20"/>
                <w:szCs w:val="20"/>
                <w:color w:val="auto"/>
              </w:rPr>
            </w:pPr>
            <w:r>
              <w:rPr>
                <w:rFonts w:ascii="Arial" w:cs="Arial" w:eastAsia="Arial" w:hAnsi="Arial"/>
                <w:sz w:val="14"/>
                <w:szCs w:val="14"/>
                <w:color w:val="auto"/>
              </w:rPr>
              <w:t>401</w:t>
            </w:r>
          </w:p>
        </w:tc>
        <w:tc>
          <w:tcPr>
            <w:tcW w:w="1020" w:type="dxa"/>
            <w:vAlign w:val="bottom"/>
          </w:tcPr>
          <w:p>
            <w:pPr>
              <w:jc w:val="right"/>
              <w:ind w:right="11"/>
              <w:spacing w:after="0"/>
              <w:rPr>
                <w:sz w:val="20"/>
                <w:szCs w:val="20"/>
                <w:color w:val="auto"/>
              </w:rPr>
            </w:pPr>
            <w:r>
              <w:rPr>
                <w:rFonts w:ascii="Arial" w:cs="Arial" w:eastAsia="Arial" w:hAnsi="Arial"/>
                <w:sz w:val="14"/>
                <w:szCs w:val="14"/>
                <w:color w:val="auto"/>
              </w:rPr>
              <w:t>37</w:t>
            </w:r>
          </w:p>
        </w:tc>
        <w:tc>
          <w:tcPr>
            <w:tcW w:w="860" w:type="dxa"/>
            <w:vAlign w:val="bottom"/>
            <w:gridSpan w:val="2"/>
          </w:tcPr>
          <w:p>
            <w:pPr>
              <w:jc w:val="right"/>
              <w:ind w:right="20"/>
              <w:spacing w:after="0"/>
              <w:rPr>
                <w:sz w:val="20"/>
                <w:szCs w:val="20"/>
                <w:color w:val="auto"/>
              </w:rPr>
            </w:pPr>
            <w:r>
              <w:rPr>
                <w:rFonts w:ascii="Arial" w:cs="Arial" w:eastAsia="Arial" w:hAnsi="Arial"/>
                <w:sz w:val="14"/>
                <w:szCs w:val="14"/>
                <w:color w:val="auto"/>
              </w:rPr>
              <w:t>136</w:t>
            </w:r>
          </w:p>
        </w:tc>
        <w:tc>
          <w:tcPr>
            <w:tcW w:w="960" w:type="dxa"/>
            <w:vAlign w:val="bottom"/>
            <w:gridSpan w:val="2"/>
          </w:tcPr>
          <w:p>
            <w:pPr>
              <w:jc w:val="right"/>
              <w:ind w:right="157"/>
              <w:spacing w:after="0"/>
              <w:rPr>
                <w:sz w:val="20"/>
                <w:szCs w:val="20"/>
                <w:color w:val="auto"/>
              </w:rPr>
            </w:pPr>
            <w:r>
              <w:rPr>
                <w:rFonts w:ascii="Arial" w:cs="Arial" w:eastAsia="Arial" w:hAnsi="Arial"/>
                <w:sz w:val="14"/>
                <w:szCs w:val="14"/>
                <w:color w:val="auto"/>
              </w:rPr>
              <w:t>892</w:t>
            </w:r>
          </w:p>
        </w:tc>
      </w:tr>
      <w:tr>
        <w:trPr>
          <w:trHeight w:val="162"/>
        </w:trPr>
        <w:tc>
          <w:tcPr>
            <w:tcW w:w="3100" w:type="dxa"/>
            <w:vAlign w:val="bottom"/>
          </w:tcPr>
          <w:p>
            <w:pPr>
              <w:spacing w:after="0"/>
              <w:rPr>
                <w:sz w:val="20"/>
                <w:szCs w:val="20"/>
                <w:color w:val="auto"/>
              </w:rPr>
            </w:pPr>
            <w:r>
              <w:rPr>
                <w:rFonts w:ascii="Arial" w:cs="Arial" w:eastAsia="Arial" w:hAnsi="Arial"/>
                <w:sz w:val="14"/>
                <w:szCs w:val="14"/>
                <w:color w:val="auto"/>
              </w:rPr>
              <w:t>Exploration</w:t>
            </w:r>
          </w:p>
        </w:tc>
        <w:tc>
          <w:tcPr>
            <w:tcW w:w="2320" w:type="dxa"/>
            <w:vAlign w:val="bottom"/>
          </w:tcPr>
          <w:p>
            <w:pPr>
              <w:jc w:val="right"/>
              <w:ind w:right="310"/>
              <w:spacing w:after="0"/>
              <w:rPr>
                <w:sz w:val="20"/>
                <w:szCs w:val="20"/>
                <w:color w:val="auto"/>
              </w:rPr>
            </w:pPr>
            <w:r>
              <w:rPr>
                <w:rFonts w:ascii="Arial" w:cs="Arial" w:eastAsia="Arial" w:hAnsi="Arial"/>
                <w:sz w:val="14"/>
                <w:szCs w:val="14"/>
                <w:color w:val="auto"/>
              </w:rPr>
              <w:t>680</w:t>
            </w:r>
          </w:p>
        </w:tc>
        <w:tc>
          <w:tcPr>
            <w:tcW w:w="880" w:type="dxa"/>
            <w:vAlign w:val="bottom"/>
          </w:tcPr>
          <w:p>
            <w:pPr>
              <w:jc w:val="right"/>
              <w:ind w:right="210"/>
              <w:spacing w:after="0"/>
              <w:rPr>
                <w:sz w:val="20"/>
                <w:szCs w:val="20"/>
                <w:color w:val="auto"/>
              </w:rPr>
            </w:pPr>
            <w:r>
              <w:rPr>
                <w:rFonts w:ascii="Arial" w:cs="Arial" w:eastAsia="Arial" w:hAnsi="Arial"/>
                <w:sz w:val="14"/>
                <w:szCs w:val="14"/>
                <w:color w:val="auto"/>
              </w:rPr>
              <w:t>1,339</w:t>
            </w:r>
          </w:p>
        </w:tc>
        <w:tc>
          <w:tcPr>
            <w:tcW w:w="880" w:type="dxa"/>
            <w:vAlign w:val="bottom"/>
          </w:tcPr>
          <w:p>
            <w:pPr>
              <w:jc w:val="right"/>
              <w:ind w:right="50"/>
              <w:spacing w:after="0"/>
              <w:rPr>
                <w:sz w:val="20"/>
                <w:szCs w:val="20"/>
                <w:color w:val="auto"/>
              </w:rPr>
            </w:pPr>
            <w:r>
              <w:rPr>
                <w:rFonts w:ascii="Arial" w:cs="Arial" w:eastAsia="Arial" w:hAnsi="Arial"/>
                <w:sz w:val="14"/>
                <w:szCs w:val="14"/>
                <w:color w:val="auto"/>
              </w:rPr>
              <w:t>415</w:t>
            </w:r>
          </w:p>
        </w:tc>
        <w:tc>
          <w:tcPr>
            <w:tcW w:w="720" w:type="dxa"/>
            <w:vAlign w:val="bottom"/>
          </w:tcPr>
          <w:p>
            <w:pPr>
              <w:jc w:val="right"/>
              <w:ind w:right="150"/>
              <w:spacing w:after="0"/>
              <w:rPr>
                <w:sz w:val="20"/>
                <w:szCs w:val="20"/>
                <w:color w:val="auto"/>
              </w:rPr>
            </w:pPr>
            <w:r>
              <w:rPr>
                <w:rFonts w:ascii="Arial" w:cs="Arial" w:eastAsia="Arial" w:hAnsi="Arial"/>
                <w:sz w:val="14"/>
                <w:szCs w:val="14"/>
                <w:color w:val="auto"/>
              </w:rPr>
              <w:t>254</w:t>
            </w:r>
          </w:p>
        </w:tc>
        <w:tc>
          <w:tcPr>
            <w:tcW w:w="680" w:type="dxa"/>
            <w:vAlign w:val="bottom"/>
          </w:tcPr>
          <w:p>
            <w:pPr>
              <w:jc w:val="right"/>
              <w:ind w:right="70"/>
              <w:spacing w:after="0"/>
              <w:rPr>
                <w:sz w:val="20"/>
                <w:szCs w:val="20"/>
                <w:color w:val="auto"/>
              </w:rPr>
            </w:pPr>
            <w:r>
              <w:rPr>
                <w:rFonts w:ascii="Arial" w:cs="Arial" w:eastAsia="Arial" w:hAnsi="Arial"/>
                <w:sz w:val="14"/>
                <w:szCs w:val="14"/>
                <w:color w:val="auto"/>
              </w:rPr>
              <w:t>2,546</w:t>
            </w:r>
          </w:p>
        </w:tc>
        <w:tc>
          <w:tcPr>
            <w:tcW w:w="1020" w:type="dxa"/>
            <w:vAlign w:val="bottom"/>
          </w:tcPr>
          <w:p>
            <w:pPr>
              <w:jc w:val="right"/>
              <w:ind w:right="11"/>
              <w:spacing w:after="0"/>
              <w:rPr>
                <w:sz w:val="20"/>
                <w:szCs w:val="20"/>
                <w:color w:val="auto"/>
              </w:rPr>
            </w:pPr>
            <w:r>
              <w:rPr>
                <w:rFonts w:ascii="Arial" w:cs="Arial" w:eastAsia="Arial" w:hAnsi="Arial"/>
                <w:sz w:val="14"/>
                <w:szCs w:val="14"/>
                <w:color w:val="auto"/>
              </w:rPr>
              <w:t>851</w:t>
            </w:r>
          </w:p>
        </w:tc>
        <w:tc>
          <w:tcPr>
            <w:tcW w:w="860" w:type="dxa"/>
            <w:vAlign w:val="bottom"/>
            <w:gridSpan w:val="2"/>
          </w:tcPr>
          <w:p>
            <w:pPr>
              <w:jc w:val="right"/>
              <w:ind w:right="20"/>
              <w:spacing w:after="0"/>
              <w:rPr>
                <w:sz w:val="20"/>
                <w:szCs w:val="20"/>
                <w:color w:val="auto"/>
              </w:rPr>
            </w:pPr>
            <w:r>
              <w:rPr>
                <w:rFonts w:ascii="Arial" w:cs="Arial" w:eastAsia="Arial" w:hAnsi="Arial"/>
                <w:sz w:val="14"/>
                <w:szCs w:val="14"/>
                <w:color w:val="auto"/>
              </w:rPr>
              <w:t>717</w:t>
            </w:r>
          </w:p>
        </w:tc>
        <w:tc>
          <w:tcPr>
            <w:tcW w:w="960" w:type="dxa"/>
            <w:vAlign w:val="bottom"/>
            <w:gridSpan w:val="2"/>
          </w:tcPr>
          <w:p>
            <w:pPr>
              <w:jc w:val="right"/>
              <w:ind w:right="157"/>
              <w:spacing w:after="0"/>
              <w:rPr>
                <w:sz w:val="20"/>
                <w:szCs w:val="20"/>
                <w:color w:val="auto"/>
              </w:rPr>
            </w:pPr>
            <w:r>
              <w:rPr>
                <w:rFonts w:ascii="Arial" w:cs="Arial" w:eastAsia="Arial" w:hAnsi="Arial"/>
                <w:sz w:val="14"/>
                <w:szCs w:val="14"/>
                <w:color w:val="auto"/>
              </w:rPr>
              <w:t>6,802</w:t>
            </w:r>
          </w:p>
        </w:tc>
      </w:tr>
      <w:tr>
        <w:trPr>
          <w:trHeight w:val="157"/>
        </w:trPr>
        <w:tc>
          <w:tcPr>
            <w:tcW w:w="3100" w:type="dxa"/>
            <w:vAlign w:val="bottom"/>
            <w:tcBorders>
              <w:bottom w:val="single" w:sz="8" w:color="auto"/>
            </w:tcBorders>
          </w:tcPr>
          <w:p>
            <w:pPr>
              <w:spacing w:after="0" w:line="157" w:lineRule="exact"/>
              <w:rPr>
                <w:sz w:val="20"/>
                <w:szCs w:val="20"/>
                <w:color w:val="auto"/>
              </w:rPr>
            </w:pPr>
            <w:r>
              <w:rPr>
                <w:rFonts w:ascii="Arial" w:cs="Arial" w:eastAsia="Arial" w:hAnsi="Arial"/>
                <w:sz w:val="14"/>
                <w:szCs w:val="14"/>
                <w:color w:val="auto"/>
              </w:rPr>
              <w:t>Development</w:t>
            </w:r>
          </w:p>
        </w:tc>
        <w:tc>
          <w:tcPr>
            <w:tcW w:w="2320" w:type="dxa"/>
            <w:vAlign w:val="bottom"/>
            <w:tcBorders>
              <w:bottom w:val="single" w:sz="8" w:color="auto"/>
            </w:tcBorders>
          </w:tcPr>
          <w:p>
            <w:pPr>
              <w:jc w:val="right"/>
              <w:ind w:right="310"/>
              <w:spacing w:after="0" w:line="157" w:lineRule="exact"/>
              <w:rPr>
                <w:sz w:val="20"/>
                <w:szCs w:val="20"/>
                <w:color w:val="auto"/>
              </w:rPr>
            </w:pPr>
            <w:r>
              <w:rPr>
                <w:rFonts w:ascii="Arial" w:cs="Arial" w:eastAsia="Arial" w:hAnsi="Arial"/>
                <w:sz w:val="14"/>
                <w:szCs w:val="14"/>
                <w:color w:val="auto"/>
              </w:rPr>
              <w:t>5,139</w:t>
            </w:r>
          </w:p>
        </w:tc>
        <w:tc>
          <w:tcPr>
            <w:tcW w:w="880" w:type="dxa"/>
            <w:vAlign w:val="bottom"/>
            <w:tcBorders>
              <w:bottom w:val="single" w:sz="8" w:color="auto"/>
            </w:tcBorders>
          </w:tcPr>
          <w:p>
            <w:pPr>
              <w:jc w:val="right"/>
              <w:ind w:right="210"/>
              <w:spacing w:after="0" w:line="157" w:lineRule="exact"/>
              <w:rPr>
                <w:sz w:val="20"/>
                <w:szCs w:val="20"/>
                <w:color w:val="auto"/>
              </w:rPr>
            </w:pPr>
            <w:r>
              <w:rPr>
                <w:rFonts w:ascii="Arial" w:cs="Arial" w:eastAsia="Arial" w:hAnsi="Arial"/>
                <w:sz w:val="14"/>
                <w:szCs w:val="14"/>
                <w:color w:val="auto"/>
              </w:rPr>
              <w:t>3,189</w:t>
            </w:r>
          </w:p>
        </w:tc>
        <w:tc>
          <w:tcPr>
            <w:tcW w:w="880" w:type="dxa"/>
            <w:vAlign w:val="bottom"/>
            <w:tcBorders>
              <w:bottom w:val="single" w:sz="8" w:color="auto"/>
            </w:tcBorders>
          </w:tcPr>
          <w:p>
            <w:pPr>
              <w:jc w:val="right"/>
              <w:ind w:right="50"/>
              <w:spacing w:after="0" w:line="157" w:lineRule="exact"/>
              <w:rPr>
                <w:sz w:val="20"/>
                <w:szCs w:val="20"/>
                <w:color w:val="auto"/>
              </w:rPr>
            </w:pPr>
            <w:r>
              <w:rPr>
                <w:rFonts w:ascii="Arial" w:cs="Arial" w:eastAsia="Arial" w:hAnsi="Arial"/>
                <w:sz w:val="14"/>
                <w:szCs w:val="14"/>
                <w:color w:val="auto"/>
              </w:rPr>
              <w:t>5,111</w:t>
            </w:r>
          </w:p>
        </w:tc>
        <w:tc>
          <w:tcPr>
            <w:tcW w:w="720" w:type="dxa"/>
            <w:vAlign w:val="bottom"/>
            <w:tcBorders>
              <w:bottom w:val="single" w:sz="8" w:color="auto"/>
            </w:tcBorders>
          </w:tcPr>
          <w:p>
            <w:pPr>
              <w:jc w:val="right"/>
              <w:ind w:right="150"/>
              <w:spacing w:after="0" w:line="157" w:lineRule="exact"/>
              <w:rPr>
                <w:sz w:val="20"/>
                <w:szCs w:val="20"/>
                <w:color w:val="auto"/>
              </w:rPr>
            </w:pPr>
            <w:r>
              <w:rPr>
                <w:rFonts w:ascii="Arial" w:cs="Arial" w:eastAsia="Arial" w:hAnsi="Arial"/>
                <w:sz w:val="14"/>
                <w:szCs w:val="14"/>
                <w:color w:val="auto"/>
              </w:rPr>
              <w:t>2,717</w:t>
            </w:r>
          </w:p>
        </w:tc>
        <w:tc>
          <w:tcPr>
            <w:tcW w:w="680" w:type="dxa"/>
            <w:vAlign w:val="bottom"/>
            <w:tcBorders>
              <w:bottom w:val="single" w:sz="8" w:color="auto"/>
            </w:tcBorders>
          </w:tcPr>
          <w:p>
            <w:pPr>
              <w:jc w:val="right"/>
              <w:ind w:right="70"/>
              <w:spacing w:after="0" w:line="157" w:lineRule="exact"/>
              <w:rPr>
                <w:sz w:val="20"/>
                <w:szCs w:val="20"/>
                <w:color w:val="auto"/>
              </w:rPr>
            </w:pPr>
            <w:r>
              <w:rPr>
                <w:rFonts w:ascii="Arial" w:cs="Arial" w:eastAsia="Arial" w:hAnsi="Arial"/>
                <w:sz w:val="14"/>
                <w:szCs w:val="14"/>
                <w:color w:val="auto"/>
              </w:rPr>
              <w:t>6,482</w:t>
            </w:r>
          </w:p>
        </w:tc>
        <w:tc>
          <w:tcPr>
            <w:tcW w:w="1020" w:type="dxa"/>
            <w:vAlign w:val="bottom"/>
            <w:tcBorders>
              <w:bottom w:val="single" w:sz="8" w:color="auto"/>
            </w:tcBorders>
          </w:tcPr>
          <w:p>
            <w:pPr>
              <w:jc w:val="right"/>
              <w:ind w:right="11"/>
              <w:spacing w:after="0" w:line="157" w:lineRule="exact"/>
              <w:rPr>
                <w:sz w:val="20"/>
                <w:szCs w:val="20"/>
                <w:color w:val="auto"/>
              </w:rPr>
            </w:pPr>
            <w:r>
              <w:rPr>
                <w:rFonts w:ascii="Arial" w:cs="Arial" w:eastAsia="Arial" w:hAnsi="Arial"/>
                <w:sz w:val="14"/>
                <w:szCs w:val="14"/>
                <w:color w:val="auto"/>
              </w:rPr>
              <w:t>2,437</w:t>
            </w:r>
          </w:p>
        </w:tc>
        <w:tc>
          <w:tcPr>
            <w:tcW w:w="860" w:type="dxa"/>
            <w:vAlign w:val="bottom"/>
            <w:tcBorders>
              <w:bottom w:val="single" w:sz="8" w:color="auto"/>
            </w:tcBorders>
            <w:gridSpan w:val="2"/>
          </w:tcPr>
          <w:p>
            <w:pPr>
              <w:jc w:val="right"/>
              <w:ind w:right="20"/>
              <w:spacing w:after="0" w:line="157" w:lineRule="exact"/>
              <w:rPr>
                <w:sz w:val="20"/>
                <w:szCs w:val="20"/>
                <w:color w:val="auto"/>
              </w:rPr>
            </w:pPr>
            <w:r>
              <w:rPr>
                <w:rFonts w:ascii="Arial" w:cs="Arial" w:eastAsia="Arial" w:hAnsi="Arial"/>
                <w:sz w:val="14"/>
                <w:szCs w:val="14"/>
                <w:color w:val="auto"/>
              </w:rPr>
              <w:t>409</w:t>
            </w:r>
          </w:p>
        </w:tc>
        <w:tc>
          <w:tcPr>
            <w:tcW w:w="960" w:type="dxa"/>
            <w:vAlign w:val="bottom"/>
            <w:tcBorders>
              <w:bottom w:val="single" w:sz="8" w:color="auto"/>
            </w:tcBorders>
            <w:gridSpan w:val="2"/>
          </w:tcPr>
          <w:p>
            <w:pPr>
              <w:jc w:val="right"/>
              <w:ind w:right="157"/>
              <w:spacing w:after="0" w:line="157" w:lineRule="exact"/>
              <w:rPr>
                <w:sz w:val="20"/>
                <w:szCs w:val="20"/>
                <w:color w:val="auto"/>
              </w:rPr>
            </w:pPr>
            <w:r>
              <w:rPr>
                <w:rFonts w:ascii="Arial" w:cs="Arial" w:eastAsia="Arial" w:hAnsi="Arial"/>
                <w:sz w:val="14"/>
                <w:szCs w:val="14"/>
                <w:color w:val="auto"/>
              </w:rPr>
              <w:t>25,484</w:t>
            </w:r>
          </w:p>
        </w:tc>
      </w:tr>
      <w:tr>
        <w:trPr>
          <w:trHeight w:val="147"/>
        </w:trPr>
        <w:tc>
          <w:tcPr>
            <w:tcW w:w="3100" w:type="dxa"/>
            <w:vAlign w:val="bottom"/>
          </w:tcPr>
          <w:p>
            <w:pPr>
              <w:spacing w:after="0"/>
              <w:rPr>
                <w:sz w:val="20"/>
                <w:szCs w:val="20"/>
                <w:color w:val="auto"/>
              </w:rPr>
            </w:pPr>
            <w:r>
              <w:rPr>
                <w:rFonts w:ascii="Arial" w:cs="Arial" w:eastAsia="Arial" w:hAnsi="Arial"/>
                <w:sz w:val="11"/>
                <w:szCs w:val="11"/>
                <w:color w:val="auto"/>
              </w:rPr>
              <w:t>[A] Includes Greenland.</w:t>
            </w:r>
          </w:p>
        </w:tc>
        <w:tc>
          <w:tcPr>
            <w:tcW w:w="23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00" w:type="dxa"/>
            <w:vAlign w:val="bottom"/>
          </w:tcPr>
          <w:p>
            <w:pPr>
              <w:spacing w:after="0"/>
              <w:rPr>
                <w:sz w:val="12"/>
                <w:szCs w:val="12"/>
                <w:color w:val="auto"/>
              </w:rPr>
            </w:pPr>
          </w:p>
        </w:tc>
      </w:tr>
    </w:tbl>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3380" w:type="dxa"/>
            <w:vAlign w:val="bottom"/>
            <w:shd w:val="clear" w:color="auto" w:fill="333333"/>
          </w:tcPr>
          <w:p>
            <w:pPr>
              <w:ind w:left="80"/>
              <w:spacing w:after="0"/>
              <w:rPr>
                <w:sz w:val="20"/>
                <w:szCs w:val="20"/>
                <w:color w:val="auto"/>
              </w:rPr>
            </w:pPr>
            <w:r>
              <w:rPr>
                <w:rFonts w:ascii="Arial" w:cs="Arial" w:eastAsia="Arial" w:hAnsi="Arial"/>
                <w:sz w:val="15"/>
                <w:szCs w:val="15"/>
                <w:b w:val="1"/>
                <w:bCs w:val="1"/>
                <w:color w:val="FFFFFF"/>
              </w:rPr>
              <w:t>2013</w:t>
            </w:r>
          </w:p>
        </w:tc>
        <w:tc>
          <w:tcPr>
            <w:tcW w:w="2580" w:type="dxa"/>
            <w:vAlign w:val="bottom"/>
            <w:shd w:val="clear" w:color="auto" w:fill="333333"/>
          </w:tcPr>
          <w:p>
            <w:pPr>
              <w:spacing w:after="0"/>
              <w:rPr>
                <w:sz w:val="14"/>
                <w:szCs w:val="14"/>
                <w:color w:val="auto"/>
              </w:rPr>
            </w:pPr>
          </w:p>
        </w:tc>
        <w:tc>
          <w:tcPr>
            <w:tcW w:w="760" w:type="dxa"/>
            <w:vAlign w:val="bottom"/>
            <w:shd w:val="clear" w:color="auto" w:fill="333333"/>
          </w:tcPr>
          <w:p>
            <w:pPr>
              <w:spacing w:after="0"/>
              <w:rPr>
                <w:sz w:val="14"/>
                <w:szCs w:val="14"/>
                <w:color w:val="auto"/>
              </w:rPr>
            </w:pPr>
          </w:p>
        </w:tc>
        <w:tc>
          <w:tcPr>
            <w:tcW w:w="860" w:type="dxa"/>
            <w:vAlign w:val="bottom"/>
            <w:shd w:val="clear" w:color="auto" w:fill="333333"/>
          </w:tcPr>
          <w:p>
            <w:pPr>
              <w:spacing w:after="0"/>
              <w:rPr>
                <w:sz w:val="14"/>
                <w:szCs w:val="14"/>
                <w:color w:val="auto"/>
              </w:rPr>
            </w:pPr>
          </w:p>
        </w:tc>
        <w:tc>
          <w:tcPr>
            <w:tcW w:w="600" w:type="dxa"/>
            <w:vAlign w:val="bottom"/>
            <w:shd w:val="clear" w:color="auto" w:fill="333333"/>
          </w:tcPr>
          <w:p>
            <w:pPr>
              <w:spacing w:after="0"/>
              <w:rPr>
                <w:sz w:val="14"/>
                <w:szCs w:val="14"/>
                <w:color w:val="auto"/>
              </w:rPr>
            </w:pPr>
          </w:p>
        </w:tc>
        <w:tc>
          <w:tcPr>
            <w:tcW w:w="600" w:type="dxa"/>
            <w:vAlign w:val="bottom"/>
            <w:shd w:val="clear" w:color="auto" w:fill="333333"/>
          </w:tcPr>
          <w:p>
            <w:pPr>
              <w:spacing w:after="0"/>
              <w:rPr>
                <w:sz w:val="14"/>
                <w:szCs w:val="14"/>
                <w:color w:val="auto"/>
              </w:rPr>
            </w:pPr>
          </w:p>
        </w:tc>
        <w:tc>
          <w:tcPr>
            <w:tcW w:w="1000" w:type="dxa"/>
            <w:vAlign w:val="bottom"/>
            <w:shd w:val="clear" w:color="auto" w:fill="333333"/>
          </w:tcPr>
          <w:p>
            <w:pPr>
              <w:spacing w:after="0"/>
              <w:rPr>
                <w:sz w:val="14"/>
                <w:szCs w:val="14"/>
                <w:color w:val="auto"/>
              </w:rPr>
            </w:pPr>
          </w:p>
        </w:tc>
        <w:tc>
          <w:tcPr>
            <w:tcW w:w="740" w:type="dxa"/>
            <w:vAlign w:val="bottom"/>
            <w:shd w:val="clear" w:color="auto" w:fill="333333"/>
          </w:tcPr>
          <w:p>
            <w:pPr>
              <w:spacing w:after="0"/>
              <w:rPr>
                <w:sz w:val="14"/>
                <w:szCs w:val="14"/>
                <w:color w:val="auto"/>
              </w:rPr>
            </w:pPr>
          </w:p>
        </w:tc>
        <w:tc>
          <w:tcPr>
            <w:tcW w:w="40" w:type="dxa"/>
            <w:vAlign w:val="bottom"/>
            <w:shd w:val="clear" w:color="auto" w:fill="333333"/>
          </w:tcPr>
          <w:p>
            <w:pPr>
              <w:spacing w:after="0"/>
              <w:rPr>
                <w:sz w:val="14"/>
                <w:szCs w:val="14"/>
                <w:color w:val="auto"/>
              </w:rPr>
            </w:pPr>
          </w:p>
        </w:tc>
        <w:tc>
          <w:tcPr>
            <w:tcW w:w="860" w:type="dxa"/>
            <w:vAlign w:val="bottom"/>
            <w:gridSpan w:val="2"/>
            <w:shd w:val="clear" w:color="auto" w:fill="333333"/>
          </w:tcPr>
          <w:p>
            <w:pPr>
              <w:jc w:val="right"/>
              <w:ind w:right="37"/>
              <w:spacing w:after="0"/>
              <w:rPr>
                <w:sz w:val="20"/>
                <w:szCs w:val="20"/>
                <w:color w:val="auto"/>
              </w:rPr>
            </w:pPr>
            <w:r>
              <w:rPr>
                <w:rFonts w:ascii="Arial" w:cs="Arial" w:eastAsia="Arial" w:hAnsi="Arial"/>
                <w:sz w:val="15"/>
                <w:szCs w:val="15"/>
                <w:color w:val="FFFFFF"/>
              </w:rPr>
              <w:t>$ MILLION</w:t>
            </w:r>
          </w:p>
        </w:tc>
      </w:tr>
      <w:tr>
        <w:trPr>
          <w:trHeight w:val="135"/>
        </w:trPr>
        <w:tc>
          <w:tcPr>
            <w:tcW w:w="3380" w:type="dxa"/>
            <w:vAlign w:val="bottom"/>
          </w:tcPr>
          <w:p>
            <w:pPr>
              <w:spacing w:after="0"/>
              <w:rPr>
                <w:sz w:val="11"/>
                <w:szCs w:val="11"/>
                <w:color w:val="auto"/>
              </w:rPr>
            </w:pPr>
          </w:p>
        </w:tc>
        <w:tc>
          <w:tcPr>
            <w:tcW w:w="25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1000" w:type="dxa"/>
            <w:vAlign w:val="bottom"/>
            <w:tcBorders>
              <w:bottom w:val="single" w:sz="8" w:color="auto"/>
            </w:tcBorders>
          </w:tcPr>
          <w:p>
            <w:pPr>
              <w:jc w:val="right"/>
              <w:ind w:right="31"/>
              <w:spacing w:after="0" w:line="115" w:lineRule="exact"/>
              <w:rPr>
                <w:sz w:val="20"/>
                <w:szCs w:val="20"/>
                <w:color w:val="auto"/>
              </w:rPr>
            </w:pPr>
            <w:r>
              <w:rPr>
                <w:rFonts w:ascii="Arial" w:cs="Arial" w:eastAsia="Arial" w:hAnsi="Arial"/>
                <w:sz w:val="13"/>
                <w:szCs w:val="13"/>
                <w:color w:val="auto"/>
              </w:rPr>
              <w:t>North America</w:t>
            </w:r>
          </w:p>
        </w:tc>
        <w:tc>
          <w:tcPr>
            <w:tcW w:w="780" w:type="dxa"/>
            <w:vAlign w:val="bottom"/>
            <w:gridSpan w:val="2"/>
          </w:tcPr>
          <w:p>
            <w:pPr>
              <w:jc w:val="right"/>
              <w:ind w:right="40"/>
              <w:spacing w:after="0" w:line="115" w:lineRule="exact"/>
              <w:rPr>
                <w:sz w:val="20"/>
                <w:szCs w:val="20"/>
                <w:color w:val="auto"/>
              </w:rPr>
            </w:pPr>
            <w:r>
              <w:rPr>
                <w:rFonts w:ascii="Arial" w:cs="Arial" w:eastAsia="Arial" w:hAnsi="Arial"/>
                <w:sz w:val="13"/>
                <w:szCs w:val="13"/>
                <w:color w:val="auto"/>
              </w:rPr>
              <w:t>South</w:t>
            </w: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r>
      <w:tr>
        <w:trPr>
          <w:trHeight w:val="156"/>
        </w:trPr>
        <w:tc>
          <w:tcPr>
            <w:tcW w:w="3380" w:type="dxa"/>
            <w:vAlign w:val="bottom"/>
          </w:tcPr>
          <w:p>
            <w:pPr>
              <w:spacing w:after="0"/>
              <w:rPr>
                <w:sz w:val="13"/>
                <w:szCs w:val="13"/>
                <w:color w:val="auto"/>
              </w:rPr>
            </w:pPr>
          </w:p>
        </w:tc>
        <w:tc>
          <w:tcPr>
            <w:tcW w:w="2580" w:type="dxa"/>
            <w:vAlign w:val="bottom"/>
          </w:tcPr>
          <w:p>
            <w:pPr>
              <w:jc w:val="right"/>
              <w:ind w:right="110"/>
              <w:spacing w:after="0"/>
              <w:rPr>
                <w:sz w:val="20"/>
                <w:szCs w:val="20"/>
                <w:color w:val="auto"/>
              </w:rPr>
            </w:pPr>
            <w:r>
              <w:rPr>
                <w:rFonts w:ascii="Arial" w:cs="Arial" w:eastAsia="Arial" w:hAnsi="Arial"/>
                <w:sz w:val="13"/>
                <w:szCs w:val="13"/>
                <w:color w:val="auto"/>
              </w:rPr>
              <w:t>Europe[A]</w:t>
            </w:r>
          </w:p>
        </w:tc>
        <w:tc>
          <w:tcPr>
            <w:tcW w:w="760" w:type="dxa"/>
            <w:vAlign w:val="bottom"/>
          </w:tcPr>
          <w:p>
            <w:pPr>
              <w:jc w:val="right"/>
              <w:ind w:right="150"/>
              <w:spacing w:after="0"/>
              <w:rPr>
                <w:sz w:val="20"/>
                <w:szCs w:val="20"/>
                <w:color w:val="auto"/>
              </w:rPr>
            </w:pPr>
            <w:r>
              <w:rPr>
                <w:rFonts w:ascii="Arial" w:cs="Arial" w:eastAsia="Arial" w:hAnsi="Arial"/>
                <w:sz w:val="13"/>
                <w:szCs w:val="13"/>
                <w:color w:val="auto"/>
              </w:rPr>
              <w:t>Asia</w:t>
            </w:r>
          </w:p>
        </w:tc>
        <w:tc>
          <w:tcPr>
            <w:tcW w:w="860" w:type="dxa"/>
            <w:vAlign w:val="bottom"/>
          </w:tcPr>
          <w:p>
            <w:pPr>
              <w:jc w:val="right"/>
              <w:ind w:right="70"/>
              <w:spacing w:after="0"/>
              <w:rPr>
                <w:sz w:val="20"/>
                <w:szCs w:val="20"/>
                <w:color w:val="auto"/>
              </w:rPr>
            </w:pPr>
            <w:r>
              <w:rPr>
                <w:rFonts w:ascii="Arial" w:cs="Arial" w:eastAsia="Arial" w:hAnsi="Arial"/>
                <w:sz w:val="13"/>
                <w:szCs w:val="13"/>
                <w:color w:val="auto"/>
              </w:rPr>
              <w:t>Oceania</w:t>
            </w:r>
          </w:p>
        </w:tc>
        <w:tc>
          <w:tcPr>
            <w:tcW w:w="600" w:type="dxa"/>
            <w:vAlign w:val="bottom"/>
          </w:tcPr>
          <w:p>
            <w:pPr>
              <w:jc w:val="right"/>
              <w:ind w:right="30"/>
              <w:spacing w:after="0"/>
              <w:rPr>
                <w:sz w:val="20"/>
                <w:szCs w:val="20"/>
                <w:color w:val="auto"/>
              </w:rPr>
            </w:pPr>
            <w:r>
              <w:rPr>
                <w:rFonts w:ascii="Arial" w:cs="Arial" w:eastAsia="Arial" w:hAnsi="Arial"/>
                <w:sz w:val="13"/>
                <w:szCs w:val="13"/>
                <w:color w:val="auto"/>
              </w:rPr>
              <w:t>Africa</w:t>
            </w:r>
          </w:p>
        </w:tc>
        <w:tc>
          <w:tcPr>
            <w:tcW w:w="600" w:type="dxa"/>
            <w:vAlign w:val="bottom"/>
          </w:tcPr>
          <w:p>
            <w:pPr>
              <w:jc w:val="right"/>
              <w:ind w:right="10"/>
              <w:spacing w:after="0"/>
              <w:rPr>
                <w:sz w:val="20"/>
                <w:szCs w:val="20"/>
                <w:color w:val="auto"/>
              </w:rPr>
            </w:pPr>
            <w:r>
              <w:rPr>
                <w:rFonts w:ascii="Arial" w:cs="Arial" w:eastAsia="Arial" w:hAnsi="Arial"/>
                <w:sz w:val="13"/>
                <w:szCs w:val="13"/>
                <w:color w:val="auto"/>
              </w:rPr>
              <w:t>USA</w:t>
            </w:r>
          </w:p>
        </w:tc>
        <w:tc>
          <w:tcPr>
            <w:tcW w:w="1000" w:type="dxa"/>
            <w:vAlign w:val="bottom"/>
          </w:tcPr>
          <w:p>
            <w:pPr>
              <w:jc w:val="right"/>
              <w:ind w:right="31"/>
              <w:spacing w:after="0"/>
              <w:rPr>
                <w:sz w:val="20"/>
                <w:szCs w:val="20"/>
                <w:color w:val="auto"/>
              </w:rPr>
            </w:pPr>
            <w:r>
              <w:rPr>
                <w:rFonts w:ascii="Arial" w:cs="Arial" w:eastAsia="Arial" w:hAnsi="Arial"/>
                <w:sz w:val="13"/>
                <w:szCs w:val="13"/>
                <w:color w:val="auto"/>
              </w:rPr>
              <w:t>Canada</w:t>
            </w:r>
          </w:p>
        </w:tc>
        <w:tc>
          <w:tcPr>
            <w:tcW w:w="780" w:type="dxa"/>
            <w:vAlign w:val="bottom"/>
            <w:gridSpan w:val="2"/>
          </w:tcPr>
          <w:p>
            <w:pPr>
              <w:jc w:val="right"/>
              <w:ind w:right="40"/>
              <w:spacing w:after="0"/>
              <w:rPr>
                <w:sz w:val="20"/>
                <w:szCs w:val="20"/>
                <w:color w:val="auto"/>
              </w:rPr>
            </w:pPr>
            <w:r>
              <w:rPr>
                <w:rFonts w:ascii="Arial" w:cs="Arial" w:eastAsia="Arial" w:hAnsi="Arial"/>
                <w:sz w:val="13"/>
                <w:szCs w:val="13"/>
                <w:color w:val="auto"/>
              </w:rPr>
              <w:t>America</w:t>
            </w:r>
          </w:p>
        </w:tc>
        <w:tc>
          <w:tcPr>
            <w:tcW w:w="60" w:type="dxa"/>
            <w:vAlign w:val="bottom"/>
          </w:tcPr>
          <w:p>
            <w:pPr>
              <w:spacing w:after="0"/>
              <w:rPr>
                <w:sz w:val="13"/>
                <w:szCs w:val="13"/>
                <w:color w:val="auto"/>
              </w:rPr>
            </w:pPr>
          </w:p>
        </w:tc>
        <w:tc>
          <w:tcPr>
            <w:tcW w:w="800" w:type="dxa"/>
            <w:vAlign w:val="bottom"/>
          </w:tcPr>
          <w:p>
            <w:pPr>
              <w:jc w:val="right"/>
              <w:ind w:right="37"/>
              <w:spacing w:after="0"/>
              <w:rPr>
                <w:sz w:val="20"/>
                <w:szCs w:val="20"/>
                <w:color w:val="auto"/>
              </w:rPr>
            </w:pPr>
            <w:r>
              <w:rPr>
                <w:rFonts w:ascii="Arial" w:cs="Arial" w:eastAsia="Arial" w:hAnsi="Arial"/>
                <w:sz w:val="13"/>
                <w:szCs w:val="13"/>
                <w:color w:val="auto"/>
              </w:rPr>
              <w:t>Total</w:t>
            </w:r>
          </w:p>
        </w:tc>
      </w:tr>
      <w:tr>
        <w:trPr>
          <w:trHeight w:val="160"/>
        </w:trPr>
        <w:tc>
          <w:tcPr>
            <w:tcW w:w="3380" w:type="dxa"/>
            <w:vAlign w:val="bottom"/>
            <w:tcBorders>
              <w:top w:val="single" w:sz="8" w:color="auto"/>
            </w:tcBorders>
          </w:tcPr>
          <w:p>
            <w:pPr>
              <w:spacing w:after="0"/>
              <w:rPr>
                <w:sz w:val="20"/>
                <w:szCs w:val="20"/>
                <w:color w:val="auto"/>
              </w:rPr>
            </w:pPr>
            <w:r>
              <w:rPr>
                <w:rFonts w:ascii="Arial" w:cs="Arial" w:eastAsia="Arial" w:hAnsi="Arial"/>
                <w:sz w:val="14"/>
                <w:szCs w:val="14"/>
                <w:color w:val="auto"/>
              </w:rPr>
              <w:t>Acquisition of properties</w:t>
            </w:r>
          </w:p>
        </w:tc>
        <w:tc>
          <w:tcPr>
            <w:tcW w:w="258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tcPr>
          <w:p>
            <w:pPr>
              <w:spacing w:after="0"/>
              <w:rPr>
                <w:sz w:val="13"/>
                <w:szCs w:val="13"/>
                <w:color w:val="auto"/>
              </w:rPr>
            </w:pPr>
          </w:p>
        </w:tc>
        <w:tc>
          <w:tcPr>
            <w:tcW w:w="600" w:type="dxa"/>
            <w:vAlign w:val="bottom"/>
            <w:tcBorders>
              <w:top w:val="single" w:sz="8" w:color="auto"/>
            </w:tcBorders>
          </w:tcPr>
          <w:p>
            <w:pPr>
              <w:spacing w:after="0"/>
              <w:rPr>
                <w:sz w:val="13"/>
                <w:szCs w:val="13"/>
                <w:color w:val="auto"/>
              </w:rPr>
            </w:pPr>
          </w:p>
        </w:tc>
        <w:tc>
          <w:tcPr>
            <w:tcW w:w="60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r>
      <w:tr>
        <w:trPr>
          <w:trHeight w:val="162"/>
        </w:trPr>
        <w:tc>
          <w:tcPr>
            <w:tcW w:w="3380" w:type="dxa"/>
            <w:vAlign w:val="bottom"/>
          </w:tcPr>
          <w:p>
            <w:pPr>
              <w:ind w:left="140"/>
              <w:spacing w:after="0"/>
              <w:rPr>
                <w:sz w:val="20"/>
                <w:szCs w:val="20"/>
                <w:color w:val="auto"/>
              </w:rPr>
            </w:pPr>
            <w:r>
              <w:rPr>
                <w:rFonts w:ascii="Arial" w:cs="Arial" w:eastAsia="Arial" w:hAnsi="Arial"/>
                <w:sz w:val="14"/>
                <w:szCs w:val="14"/>
                <w:color w:val="auto"/>
              </w:rPr>
              <w:t>Proved</w:t>
            </w:r>
          </w:p>
        </w:tc>
        <w:tc>
          <w:tcPr>
            <w:tcW w:w="2580" w:type="dxa"/>
            <w:vAlign w:val="bottom"/>
          </w:tcPr>
          <w:p>
            <w:pPr>
              <w:jc w:val="right"/>
              <w:ind w:right="270"/>
              <w:spacing w:after="0"/>
              <w:rPr>
                <w:sz w:val="20"/>
                <w:szCs w:val="20"/>
                <w:color w:val="auto"/>
              </w:rPr>
            </w:pPr>
            <w:r>
              <w:rPr>
                <w:rFonts w:ascii="Arial" w:cs="Arial" w:eastAsia="Arial" w:hAnsi="Arial"/>
                <w:sz w:val="14"/>
                <w:szCs w:val="14"/>
                <w:color w:val="auto"/>
              </w:rPr>
              <w:t>290</w:t>
            </w:r>
          </w:p>
        </w:tc>
        <w:tc>
          <w:tcPr>
            <w:tcW w:w="760" w:type="dxa"/>
            <w:vAlign w:val="bottom"/>
          </w:tcPr>
          <w:p>
            <w:pPr>
              <w:jc w:val="right"/>
              <w:ind w:right="150"/>
              <w:spacing w:after="0"/>
              <w:rPr>
                <w:sz w:val="20"/>
                <w:szCs w:val="20"/>
                <w:color w:val="auto"/>
              </w:rPr>
            </w:pPr>
            <w:r>
              <w:rPr>
                <w:rFonts w:ascii="Arial" w:cs="Arial" w:eastAsia="Arial" w:hAnsi="Arial"/>
                <w:sz w:val="14"/>
                <w:szCs w:val="14"/>
                <w:color w:val="auto"/>
              </w:rPr>
              <w:t>20</w:t>
            </w:r>
          </w:p>
        </w:tc>
        <w:tc>
          <w:tcPr>
            <w:tcW w:w="860" w:type="dxa"/>
            <w:vAlign w:val="bottom"/>
          </w:tcPr>
          <w:p>
            <w:pPr>
              <w:jc w:val="right"/>
              <w:ind w:right="70"/>
              <w:spacing w:after="0"/>
              <w:rPr>
                <w:sz w:val="20"/>
                <w:szCs w:val="20"/>
                <w:color w:val="auto"/>
              </w:rPr>
            </w:pPr>
            <w:r>
              <w:rPr>
                <w:rFonts w:ascii="Arial" w:cs="Arial" w:eastAsia="Arial" w:hAnsi="Arial"/>
                <w:sz w:val="14"/>
                <w:szCs w:val="14"/>
                <w:color w:val="auto"/>
              </w:rPr>
              <w:t>–</w:t>
            </w:r>
          </w:p>
        </w:tc>
        <w:tc>
          <w:tcPr>
            <w:tcW w:w="600" w:type="dxa"/>
            <w:vAlign w:val="bottom"/>
          </w:tcPr>
          <w:p>
            <w:pPr>
              <w:jc w:val="right"/>
              <w:ind w:right="30"/>
              <w:spacing w:after="0"/>
              <w:rPr>
                <w:sz w:val="20"/>
                <w:szCs w:val="20"/>
                <w:color w:val="auto"/>
              </w:rPr>
            </w:pPr>
            <w:r>
              <w:rPr>
                <w:rFonts w:ascii="Arial" w:cs="Arial" w:eastAsia="Arial" w:hAnsi="Arial"/>
                <w:sz w:val="14"/>
                <w:szCs w:val="14"/>
                <w:color w:val="auto"/>
              </w:rPr>
              <w:t>1</w:t>
            </w:r>
          </w:p>
        </w:tc>
        <w:tc>
          <w:tcPr>
            <w:tcW w:w="600" w:type="dxa"/>
            <w:vAlign w:val="bottom"/>
          </w:tcPr>
          <w:p>
            <w:pPr>
              <w:jc w:val="right"/>
              <w:ind w:right="10"/>
              <w:spacing w:after="0"/>
              <w:rPr>
                <w:sz w:val="20"/>
                <w:szCs w:val="20"/>
                <w:color w:val="auto"/>
              </w:rPr>
            </w:pPr>
            <w:r>
              <w:rPr>
                <w:rFonts w:ascii="Arial" w:cs="Arial" w:eastAsia="Arial" w:hAnsi="Arial"/>
                <w:sz w:val="14"/>
                <w:szCs w:val="14"/>
                <w:color w:val="auto"/>
              </w:rPr>
              <w:t>51</w:t>
            </w:r>
          </w:p>
        </w:tc>
        <w:tc>
          <w:tcPr>
            <w:tcW w:w="1000" w:type="dxa"/>
            <w:vAlign w:val="bottom"/>
          </w:tcPr>
          <w:p>
            <w:pPr>
              <w:jc w:val="right"/>
              <w:ind w:right="31"/>
              <w:spacing w:after="0"/>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40"/>
              <w:spacing w:after="0"/>
              <w:rPr>
                <w:sz w:val="20"/>
                <w:szCs w:val="20"/>
                <w:color w:val="auto"/>
              </w:rPr>
            </w:pPr>
            <w:r>
              <w:rPr>
                <w:rFonts w:ascii="Arial" w:cs="Arial" w:eastAsia="Arial" w:hAnsi="Arial"/>
                <w:sz w:val="14"/>
                <w:szCs w:val="14"/>
                <w:color w:val="auto"/>
              </w:rPr>
              <w:t>684</w:t>
            </w:r>
          </w:p>
        </w:tc>
        <w:tc>
          <w:tcPr>
            <w:tcW w:w="860" w:type="dxa"/>
            <w:vAlign w:val="bottom"/>
            <w:gridSpan w:val="2"/>
          </w:tcPr>
          <w:p>
            <w:pPr>
              <w:jc w:val="right"/>
              <w:ind w:right="37"/>
              <w:spacing w:after="0"/>
              <w:rPr>
                <w:sz w:val="20"/>
                <w:szCs w:val="20"/>
                <w:color w:val="auto"/>
              </w:rPr>
            </w:pPr>
            <w:r>
              <w:rPr>
                <w:rFonts w:ascii="Arial" w:cs="Arial" w:eastAsia="Arial" w:hAnsi="Arial"/>
                <w:sz w:val="14"/>
                <w:szCs w:val="14"/>
                <w:color w:val="auto"/>
              </w:rPr>
              <w:t>1,046</w:t>
            </w:r>
          </w:p>
        </w:tc>
      </w:tr>
      <w:tr>
        <w:trPr>
          <w:trHeight w:val="162"/>
        </w:trPr>
        <w:tc>
          <w:tcPr>
            <w:tcW w:w="3380" w:type="dxa"/>
            <w:vAlign w:val="bottom"/>
          </w:tcPr>
          <w:p>
            <w:pPr>
              <w:ind w:left="140"/>
              <w:spacing w:after="0"/>
              <w:rPr>
                <w:sz w:val="20"/>
                <w:szCs w:val="20"/>
                <w:color w:val="auto"/>
              </w:rPr>
            </w:pPr>
            <w:r>
              <w:rPr>
                <w:rFonts w:ascii="Arial" w:cs="Arial" w:eastAsia="Arial" w:hAnsi="Arial"/>
                <w:sz w:val="14"/>
                <w:szCs w:val="14"/>
                <w:color w:val="auto"/>
              </w:rPr>
              <w:t>Unproved</w:t>
            </w:r>
          </w:p>
        </w:tc>
        <w:tc>
          <w:tcPr>
            <w:tcW w:w="2580" w:type="dxa"/>
            <w:vAlign w:val="bottom"/>
          </w:tcPr>
          <w:p>
            <w:pPr>
              <w:jc w:val="right"/>
              <w:ind w:right="270"/>
              <w:spacing w:after="0"/>
              <w:rPr>
                <w:sz w:val="20"/>
                <w:szCs w:val="20"/>
                <w:color w:val="auto"/>
              </w:rPr>
            </w:pPr>
            <w:r>
              <w:rPr>
                <w:rFonts w:ascii="Arial" w:cs="Arial" w:eastAsia="Arial" w:hAnsi="Arial"/>
                <w:sz w:val="14"/>
                <w:szCs w:val="14"/>
                <w:color w:val="auto"/>
              </w:rPr>
              <w:t>29</w:t>
            </w:r>
          </w:p>
        </w:tc>
        <w:tc>
          <w:tcPr>
            <w:tcW w:w="760" w:type="dxa"/>
            <w:vAlign w:val="bottom"/>
          </w:tcPr>
          <w:p>
            <w:pPr>
              <w:jc w:val="right"/>
              <w:ind w:right="150"/>
              <w:spacing w:after="0"/>
              <w:rPr>
                <w:sz w:val="20"/>
                <w:szCs w:val="20"/>
                <w:color w:val="auto"/>
              </w:rPr>
            </w:pPr>
            <w:r>
              <w:rPr>
                <w:rFonts w:ascii="Arial" w:cs="Arial" w:eastAsia="Arial" w:hAnsi="Arial"/>
                <w:sz w:val="14"/>
                <w:szCs w:val="14"/>
                <w:color w:val="auto"/>
              </w:rPr>
              <w:t>168</w:t>
            </w:r>
          </w:p>
        </w:tc>
        <w:tc>
          <w:tcPr>
            <w:tcW w:w="860" w:type="dxa"/>
            <w:vAlign w:val="bottom"/>
          </w:tcPr>
          <w:p>
            <w:pPr>
              <w:jc w:val="right"/>
              <w:ind w:right="70"/>
              <w:spacing w:after="0"/>
              <w:rPr>
                <w:sz w:val="20"/>
                <w:szCs w:val="20"/>
                <w:color w:val="auto"/>
              </w:rPr>
            </w:pPr>
            <w:r>
              <w:rPr>
                <w:rFonts w:ascii="Arial" w:cs="Arial" w:eastAsia="Arial" w:hAnsi="Arial"/>
                <w:sz w:val="14"/>
                <w:szCs w:val="14"/>
                <w:color w:val="auto"/>
              </w:rPr>
              <w:t>9</w:t>
            </w:r>
          </w:p>
        </w:tc>
        <w:tc>
          <w:tcPr>
            <w:tcW w:w="600" w:type="dxa"/>
            <w:vAlign w:val="bottom"/>
          </w:tcPr>
          <w:p>
            <w:pPr>
              <w:jc w:val="right"/>
              <w:ind w:right="30"/>
              <w:spacing w:after="0"/>
              <w:rPr>
                <w:sz w:val="20"/>
                <w:szCs w:val="20"/>
                <w:color w:val="auto"/>
              </w:rPr>
            </w:pPr>
            <w:r>
              <w:rPr>
                <w:rFonts w:ascii="Arial" w:cs="Arial" w:eastAsia="Arial" w:hAnsi="Arial"/>
                <w:sz w:val="14"/>
                <w:szCs w:val="14"/>
                <w:color w:val="auto"/>
              </w:rPr>
              <w:t>62</w:t>
            </w:r>
          </w:p>
        </w:tc>
        <w:tc>
          <w:tcPr>
            <w:tcW w:w="600" w:type="dxa"/>
            <w:vAlign w:val="bottom"/>
          </w:tcPr>
          <w:p>
            <w:pPr>
              <w:jc w:val="right"/>
              <w:ind w:right="10"/>
              <w:spacing w:after="0"/>
              <w:rPr>
                <w:sz w:val="20"/>
                <w:szCs w:val="20"/>
                <w:color w:val="auto"/>
              </w:rPr>
            </w:pPr>
            <w:r>
              <w:rPr>
                <w:rFonts w:ascii="Arial" w:cs="Arial" w:eastAsia="Arial" w:hAnsi="Arial"/>
                <w:sz w:val="14"/>
                <w:szCs w:val="14"/>
                <w:color w:val="auto"/>
              </w:rPr>
              <w:t>416</w:t>
            </w:r>
          </w:p>
        </w:tc>
        <w:tc>
          <w:tcPr>
            <w:tcW w:w="1000" w:type="dxa"/>
            <w:vAlign w:val="bottom"/>
          </w:tcPr>
          <w:p>
            <w:pPr>
              <w:jc w:val="right"/>
              <w:ind w:right="31"/>
              <w:spacing w:after="0"/>
              <w:rPr>
                <w:sz w:val="20"/>
                <w:szCs w:val="20"/>
                <w:color w:val="auto"/>
              </w:rPr>
            </w:pPr>
            <w:r>
              <w:rPr>
                <w:rFonts w:ascii="Arial" w:cs="Arial" w:eastAsia="Arial" w:hAnsi="Arial"/>
                <w:sz w:val="14"/>
                <w:szCs w:val="14"/>
                <w:color w:val="auto"/>
              </w:rPr>
              <w:t>293</w:t>
            </w:r>
          </w:p>
        </w:tc>
        <w:tc>
          <w:tcPr>
            <w:tcW w:w="780" w:type="dxa"/>
            <w:vAlign w:val="bottom"/>
            <w:gridSpan w:val="2"/>
          </w:tcPr>
          <w:p>
            <w:pPr>
              <w:jc w:val="right"/>
              <w:ind w:right="40"/>
              <w:spacing w:after="0"/>
              <w:rPr>
                <w:sz w:val="20"/>
                <w:szCs w:val="20"/>
                <w:color w:val="auto"/>
              </w:rPr>
            </w:pPr>
            <w:r>
              <w:rPr>
                <w:rFonts w:ascii="Arial" w:cs="Arial" w:eastAsia="Arial" w:hAnsi="Arial"/>
                <w:sz w:val="14"/>
                <w:szCs w:val="14"/>
                <w:color w:val="auto"/>
              </w:rPr>
              <w:t>1,364</w:t>
            </w:r>
          </w:p>
        </w:tc>
        <w:tc>
          <w:tcPr>
            <w:tcW w:w="860" w:type="dxa"/>
            <w:vAlign w:val="bottom"/>
            <w:gridSpan w:val="2"/>
          </w:tcPr>
          <w:p>
            <w:pPr>
              <w:jc w:val="right"/>
              <w:ind w:right="37"/>
              <w:spacing w:after="0"/>
              <w:rPr>
                <w:sz w:val="20"/>
                <w:szCs w:val="20"/>
                <w:color w:val="auto"/>
              </w:rPr>
            </w:pPr>
            <w:r>
              <w:rPr>
                <w:rFonts w:ascii="Arial" w:cs="Arial" w:eastAsia="Arial" w:hAnsi="Arial"/>
                <w:sz w:val="14"/>
                <w:szCs w:val="14"/>
                <w:color w:val="auto"/>
              </w:rPr>
              <w:t>2,341</w:t>
            </w:r>
          </w:p>
        </w:tc>
      </w:tr>
      <w:tr>
        <w:trPr>
          <w:trHeight w:val="162"/>
        </w:trPr>
        <w:tc>
          <w:tcPr>
            <w:tcW w:w="3380" w:type="dxa"/>
            <w:vAlign w:val="bottom"/>
          </w:tcPr>
          <w:p>
            <w:pPr>
              <w:spacing w:after="0"/>
              <w:rPr>
                <w:sz w:val="20"/>
                <w:szCs w:val="20"/>
                <w:color w:val="auto"/>
              </w:rPr>
            </w:pPr>
            <w:r>
              <w:rPr>
                <w:rFonts w:ascii="Arial" w:cs="Arial" w:eastAsia="Arial" w:hAnsi="Arial"/>
                <w:sz w:val="14"/>
                <w:szCs w:val="14"/>
                <w:color w:val="auto"/>
              </w:rPr>
              <w:t>Exploration</w:t>
            </w:r>
          </w:p>
        </w:tc>
        <w:tc>
          <w:tcPr>
            <w:tcW w:w="2580" w:type="dxa"/>
            <w:vAlign w:val="bottom"/>
          </w:tcPr>
          <w:p>
            <w:pPr>
              <w:jc w:val="right"/>
              <w:ind w:right="270"/>
              <w:spacing w:after="0"/>
              <w:rPr>
                <w:sz w:val="20"/>
                <w:szCs w:val="20"/>
                <w:color w:val="auto"/>
              </w:rPr>
            </w:pPr>
            <w:r>
              <w:rPr>
                <w:rFonts w:ascii="Arial" w:cs="Arial" w:eastAsia="Arial" w:hAnsi="Arial"/>
                <w:sz w:val="14"/>
                <w:szCs w:val="14"/>
                <w:color w:val="auto"/>
              </w:rPr>
              <w:t>752</w:t>
            </w:r>
          </w:p>
        </w:tc>
        <w:tc>
          <w:tcPr>
            <w:tcW w:w="760" w:type="dxa"/>
            <w:vAlign w:val="bottom"/>
          </w:tcPr>
          <w:p>
            <w:pPr>
              <w:jc w:val="right"/>
              <w:ind w:right="150"/>
              <w:spacing w:after="0"/>
              <w:rPr>
                <w:sz w:val="20"/>
                <w:szCs w:val="20"/>
                <w:color w:val="auto"/>
              </w:rPr>
            </w:pPr>
            <w:r>
              <w:rPr>
                <w:rFonts w:ascii="Arial" w:cs="Arial" w:eastAsia="Arial" w:hAnsi="Arial"/>
                <w:sz w:val="14"/>
                <w:szCs w:val="14"/>
                <w:color w:val="auto"/>
              </w:rPr>
              <w:t>1,493</w:t>
            </w:r>
          </w:p>
        </w:tc>
        <w:tc>
          <w:tcPr>
            <w:tcW w:w="860" w:type="dxa"/>
            <w:vAlign w:val="bottom"/>
          </w:tcPr>
          <w:p>
            <w:pPr>
              <w:jc w:val="right"/>
              <w:ind w:right="70"/>
              <w:spacing w:after="0"/>
              <w:rPr>
                <w:sz w:val="20"/>
                <w:szCs w:val="20"/>
                <w:color w:val="auto"/>
              </w:rPr>
            </w:pPr>
            <w:r>
              <w:rPr>
                <w:rFonts w:ascii="Arial" w:cs="Arial" w:eastAsia="Arial" w:hAnsi="Arial"/>
                <w:sz w:val="14"/>
                <w:szCs w:val="14"/>
                <w:color w:val="auto"/>
              </w:rPr>
              <w:t>448</w:t>
            </w:r>
          </w:p>
        </w:tc>
        <w:tc>
          <w:tcPr>
            <w:tcW w:w="600" w:type="dxa"/>
            <w:vAlign w:val="bottom"/>
          </w:tcPr>
          <w:p>
            <w:pPr>
              <w:jc w:val="right"/>
              <w:ind w:right="30"/>
              <w:spacing w:after="0"/>
              <w:rPr>
                <w:sz w:val="20"/>
                <w:szCs w:val="20"/>
                <w:color w:val="auto"/>
              </w:rPr>
            </w:pPr>
            <w:r>
              <w:rPr>
                <w:rFonts w:ascii="Arial" w:cs="Arial" w:eastAsia="Arial" w:hAnsi="Arial"/>
                <w:sz w:val="14"/>
                <w:szCs w:val="14"/>
                <w:color w:val="auto"/>
              </w:rPr>
              <w:t>504</w:t>
            </w:r>
          </w:p>
        </w:tc>
        <w:tc>
          <w:tcPr>
            <w:tcW w:w="600" w:type="dxa"/>
            <w:vAlign w:val="bottom"/>
          </w:tcPr>
          <w:p>
            <w:pPr>
              <w:jc w:val="right"/>
              <w:ind w:right="10"/>
              <w:spacing w:after="0"/>
              <w:rPr>
                <w:sz w:val="20"/>
                <w:szCs w:val="20"/>
                <w:color w:val="auto"/>
              </w:rPr>
            </w:pPr>
            <w:r>
              <w:rPr>
                <w:rFonts w:ascii="Arial" w:cs="Arial" w:eastAsia="Arial" w:hAnsi="Arial"/>
                <w:sz w:val="14"/>
                <w:szCs w:val="14"/>
                <w:color w:val="auto"/>
              </w:rPr>
              <w:t>3,496</w:t>
            </w:r>
          </w:p>
        </w:tc>
        <w:tc>
          <w:tcPr>
            <w:tcW w:w="1000" w:type="dxa"/>
            <w:vAlign w:val="bottom"/>
          </w:tcPr>
          <w:p>
            <w:pPr>
              <w:jc w:val="right"/>
              <w:ind w:right="31"/>
              <w:spacing w:after="0"/>
              <w:rPr>
                <w:sz w:val="20"/>
                <w:szCs w:val="20"/>
                <w:color w:val="auto"/>
              </w:rPr>
            </w:pPr>
            <w:r>
              <w:rPr>
                <w:rFonts w:ascii="Arial" w:cs="Arial" w:eastAsia="Arial" w:hAnsi="Arial"/>
                <w:sz w:val="14"/>
                <w:szCs w:val="14"/>
                <w:color w:val="auto"/>
              </w:rPr>
              <w:t>1,400</w:t>
            </w:r>
          </w:p>
        </w:tc>
        <w:tc>
          <w:tcPr>
            <w:tcW w:w="780" w:type="dxa"/>
            <w:vAlign w:val="bottom"/>
            <w:gridSpan w:val="2"/>
          </w:tcPr>
          <w:p>
            <w:pPr>
              <w:jc w:val="right"/>
              <w:ind w:right="40"/>
              <w:spacing w:after="0"/>
              <w:rPr>
                <w:sz w:val="20"/>
                <w:szCs w:val="20"/>
                <w:color w:val="auto"/>
              </w:rPr>
            </w:pPr>
            <w:r>
              <w:rPr>
                <w:rFonts w:ascii="Arial" w:cs="Arial" w:eastAsia="Arial" w:hAnsi="Arial"/>
                <w:sz w:val="14"/>
                <w:szCs w:val="14"/>
                <w:color w:val="auto"/>
              </w:rPr>
              <w:t>592</w:t>
            </w:r>
          </w:p>
        </w:tc>
        <w:tc>
          <w:tcPr>
            <w:tcW w:w="860" w:type="dxa"/>
            <w:vAlign w:val="bottom"/>
            <w:gridSpan w:val="2"/>
          </w:tcPr>
          <w:p>
            <w:pPr>
              <w:jc w:val="right"/>
              <w:ind w:right="37"/>
              <w:spacing w:after="0"/>
              <w:rPr>
                <w:sz w:val="20"/>
                <w:szCs w:val="20"/>
                <w:color w:val="auto"/>
              </w:rPr>
            </w:pPr>
            <w:r>
              <w:rPr>
                <w:rFonts w:ascii="Arial" w:cs="Arial" w:eastAsia="Arial" w:hAnsi="Arial"/>
                <w:sz w:val="14"/>
                <w:szCs w:val="14"/>
                <w:color w:val="auto"/>
              </w:rPr>
              <w:t>8,685</w:t>
            </w:r>
          </w:p>
        </w:tc>
      </w:tr>
      <w:tr>
        <w:trPr>
          <w:trHeight w:val="157"/>
        </w:trPr>
        <w:tc>
          <w:tcPr>
            <w:tcW w:w="3380" w:type="dxa"/>
            <w:vAlign w:val="bottom"/>
            <w:tcBorders>
              <w:bottom w:val="single" w:sz="8" w:color="auto"/>
            </w:tcBorders>
          </w:tcPr>
          <w:p>
            <w:pPr>
              <w:spacing w:after="0" w:line="157" w:lineRule="exact"/>
              <w:rPr>
                <w:sz w:val="20"/>
                <w:szCs w:val="20"/>
                <w:color w:val="auto"/>
              </w:rPr>
            </w:pPr>
            <w:r>
              <w:rPr>
                <w:rFonts w:ascii="Arial" w:cs="Arial" w:eastAsia="Arial" w:hAnsi="Arial"/>
                <w:sz w:val="14"/>
                <w:szCs w:val="14"/>
                <w:color w:val="auto"/>
              </w:rPr>
              <w:t>Development</w:t>
            </w:r>
          </w:p>
        </w:tc>
        <w:tc>
          <w:tcPr>
            <w:tcW w:w="2580" w:type="dxa"/>
            <w:vAlign w:val="bottom"/>
            <w:tcBorders>
              <w:bottom w:val="single" w:sz="8" w:color="auto"/>
            </w:tcBorders>
          </w:tcPr>
          <w:p>
            <w:pPr>
              <w:jc w:val="right"/>
              <w:ind w:right="270"/>
              <w:spacing w:after="0" w:line="157" w:lineRule="exact"/>
              <w:rPr>
                <w:sz w:val="20"/>
                <w:szCs w:val="20"/>
                <w:color w:val="auto"/>
              </w:rPr>
            </w:pPr>
            <w:r>
              <w:rPr>
                <w:rFonts w:ascii="Arial" w:cs="Arial" w:eastAsia="Arial" w:hAnsi="Arial"/>
                <w:sz w:val="14"/>
                <w:szCs w:val="14"/>
                <w:color w:val="auto"/>
              </w:rPr>
              <w:t>4,309</w:t>
            </w:r>
          </w:p>
        </w:tc>
        <w:tc>
          <w:tcPr>
            <w:tcW w:w="760" w:type="dxa"/>
            <w:vAlign w:val="bottom"/>
            <w:tcBorders>
              <w:bottom w:val="single" w:sz="8" w:color="auto"/>
            </w:tcBorders>
          </w:tcPr>
          <w:p>
            <w:pPr>
              <w:jc w:val="right"/>
              <w:ind w:right="150"/>
              <w:spacing w:after="0" w:line="157" w:lineRule="exact"/>
              <w:rPr>
                <w:sz w:val="20"/>
                <w:szCs w:val="20"/>
                <w:color w:val="auto"/>
              </w:rPr>
            </w:pPr>
            <w:r>
              <w:rPr>
                <w:rFonts w:ascii="Arial" w:cs="Arial" w:eastAsia="Arial" w:hAnsi="Arial"/>
                <w:sz w:val="14"/>
                <w:szCs w:val="14"/>
                <w:color w:val="auto"/>
              </w:rPr>
              <w:t>3,225</w:t>
            </w:r>
          </w:p>
        </w:tc>
        <w:tc>
          <w:tcPr>
            <w:tcW w:w="860" w:type="dxa"/>
            <w:vAlign w:val="bottom"/>
            <w:tcBorders>
              <w:bottom w:val="single" w:sz="8" w:color="auto"/>
            </w:tcBorders>
          </w:tcPr>
          <w:p>
            <w:pPr>
              <w:jc w:val="right"/>
              <w:ind w:right="70"/>
              <w:spacing w:after="0" w:line="157" w:lineRule="exact"/>
              <w:rPr>
                <w:sz w:val="20"/>
                <w:szCs w:val="20"/>
                <w:color w:val="auto"/>
              </w:rPr>
            </w:pPr>
            <w:r>
              <w:rPr>
                <w:rFonts w:ascii="Arial" w:cs="Arial" w:eastAsia="Arial" w:hAnsi="Arial"/>
                <w:sz w:val="14"/>
                <w:szCs w:val="14"/>
                <w:color w:val="auto"/>
              </w:rPr>
              <w:t>5,720</w:t>
            </w:r>
          </w:p>
        </w:tc>
        <w:tc>
          <w:tcPr>
            <w:tcW w:w="600" w:type="dxa"/>
            <w:vAlign w:val="bottom"/>
            <w:tcBorders>
              <w:bottom w:val="single" w:sz="8" w:color="auto"/>
            </w:tcBorders>
          </w:tcPr>
          <w:p>
            <w:pPr>
              <w:jc w:val="right"/>
              <w:ind w:right="30"/>
              <w:spacing w:after="0" w:line="157" w:lineRule="exact"/>
              <w:rPr>
                <w:sz w:val="20"/>
                <w:szCs w:val="20"/>
                <w:color w:val="auto"/>
              </w:rPr>
            </w:pPr>
            <w:r>
              <w:rPr>
                <w:rFonts w:ascii="Arial" w:cs="Arial" w:eastAsia="Arial" w:hAnsi="Arial"/>
                <w:sz w:val="14"/>
                <w:szCs w:val="14"/>
                <w:color w:val="auto"/>
              </w:rPr>
              <w:t>2,293</w:t>
            </w:r>
          </w:p>
        </w:tc>
        <w:tc>
          <w:tcPr>
            <w:tcW w:w="600" w:type="dxa"/>
            <w:vAlign w:val="bottom"/>
            <w:tcBorders>
              <w:bottom w:val="single" w:sz="8" w:color="auto"/>
            </w:tcBorders>
          </w:tcPr>
          <w:p>
            <w:pPr>
              <w:jc w:val="right"/>
              <w:ind w:right="10"/>
              <w:spacing w:after="0" w:line="157" w:lineRule="exact"/>
              <w:rPr>
                <w:sz w:val="20"/>
                <w:szCs w:val="20"/>
                <w:color w:val="auto"/>
              </w:rPr>
            </w:pPr>
            <w:r>
              <w:rPr>
                <w:rFonts w:ascii="Arial" w:cs="Arial" w:eastAsia="Arial" w:hAnsi="Arial"/>
                <w:sz w:val="14"/>
                <w:szCs w:val="14"/>
                <w:color w:val="auto"/>
              </w:rPr>
              <w:t>5,314</w:t>
            </w:r>
          </w:p>
        </w:tc>
        <w:tc>
          <w:tcPr>
            <w:tcW w:w="1000" w:type="dxa"/>
            <w:vAlign w:val="bottom"/>
            <w:tcBorders>
              <w:bottom w:val="single" w:sz="8" w:color="auto"/>
            </w:tcBorders>
          </w:tcPr>
          <w:p>
            <w:pPr>
              <w:jc w:val="right"/>
              <w:ind w:right="31"/>
              <w:spacing w:after="0" w:line="157" w:lineRule="exact"/>
              <w:rPr>
                <w:sz w:val="20"/>
                <w:szCs w:val="20"/>
                <w:color w:val="auto"/>
              </w:rPr>
            </w:pPr>
            <w:r>
              <w:rPr>
                <w:rFonts w:ascii="Arial" w:cs="Arial" w:eastAsia="Arial" w:hAnsi="Arial"/>
                <w:sz w:val="14"/>
                <w:szCs w:val="14"/>
                <w:color w:val="auto"/>
              </w:rPr>
              <w:t>1,742</w:t>
            </w:r>
          </w:p>
        </w:tc>
        <w:tc>
          <w:tcPr>
            <w:tcW w:w="780" w:type="dxa"/>
            <w:vAlign w:val="bottom"/>
            <w:tcBorders>
              <w:bottom w:val="single" w:sz="8" w:color="auto"/>
            </w:tcBorders>
            <w:gridSpan w:val="2"/>
          </w:tcPr>
          <w:p>
            <w:pPr>
              <w:jc w:val="right"/>
              <w:ind w:right="40"/>
              <w:spacing w:after="0" w:line="157" w:lineRule="exact"/>
              <w:rPr>
                <w:sz w:val="20"/>
                <w:szCs w:val="20"/>
                <w:color w:val="auto"/>
              </w:rPr>
            </w:pPr>
            <w:r>
              <w:rPr>
                <w:rFonts w:ascii="Arial" w:cs="Arial" w:eastAsia="Arial" w:hAnsi="Arial"/>
                <w:sz w:val="14"/>
                <w:szCs w:val="14"/>
                <w:color w:val="auto"/>
              </w:rPr>
              <w:t>830</w:t>
            </w:r>
          </w:p>
        </w:tc>
        <w:tc>
          <w:tcPr>
            <w:tcW w:w="860" w:type="dxa"/>
            <w:vAlign w:val="bottom"/>
            <w:tcBorders>
              <w:bottom w:val="single" w:sz="8" w:color="auto"/>
            </w:tcBorders>
            <w:gridSpan w:val="2"/>
          </w:tcPr>
          <w:p>
            <w:pPr>
              <w:jc w:val="right"/>
              <w:ind w:right="37"/>
              <w:spacing w:after="0" w:line="157" w:lineRule="exact"/>
              <w:rPr>
                <w:sz w:val="20"/>
                <w:szCs w:val="20"/>
                <w:color w:val="auto"/>
              </w:rPr>
            </w:pPr>
            <w:r>
              <w:rPr>
                <w:rFonts w:ascii="Arial" w:cs="Arial" w:eastAsia="Arial" w:hAnsi="Arial"/>
                <w:sz w:val="14"/>
                <w:szCs w:val="14"/>
                <w:color w:val="auto"/>
              </w:rPr>
              <w:t>23,433</w:t>
            </w:r>
          </w:p>
        </w:tc>
      </w:tr>
    </w:tbl>
    <w:p>
      <w:pPr>
        <w:spacing w:after="0" w:line="37" w:lineRule="exact"/>
        <w:rPr>
          <w:sz w:val="20"/>
          <w:szCs w:val="20"/>
          <w:color w:val="auto"/>
        </w:rPr>
      </w:pPr>
    </w:p>
    <w:p>
      <w:pPr>
        <w:spacing w:after="0"/>
        <w:rPr>
          <w:sz w:val="20"/>
          <w:szCs w:val="20"/>
          <w:color w:val="auto"/>
        </w:rPr>
      </w:pPr>
      <w:r>
        <w:rPr>
          <w:rFonts w:ascii="Arial" w:cs="Arial" w:eastAsia="Arial" w:hAnsi="Arial"/>
          <w:sz w:val="11"/>
          <w:szCs w:val="11"/>
          <w:color w:val="auto"/>
        </w:rPr>
        <w:t>[A] Includes Greenland.</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3080" w:type="dxa"/>
            <w:vAlign w:val="bottom"/>
            <w:shd w:val="clear" w:color="auto" w:fill="333333"/>
          </w:tcPr>
          <w:p>
            <w:pPr>
              <w:ind w:left="80"/>
              <w:spacing w:after="0"/>
              <w:rPr>
                <w:sz w:val="20"/>
                <w:szCs w:val="20"/>
                <w:color w:val="auto"/>
              </w:rPr>
            </w:pPr>
            <w:r>
              <w:rPr>
                <w:rFonts w:ascii="Arial" w:cs="Arial" w:eastAsia="Arial" w:hAnsi="Arial"/>
                <w:sz w:val="15"/>
                <w:szCs w:val="15"/>
                <w:b w:val="1"/>
                <w:bCs w:val="1"/>
                <w:color w:val="FFFFFF"/>
              </w:rPr>
              <w:t>2012</w:t>
            </w:r>
          </w:p>
        </w:tc>
        <w:tc>
          <w:tcPr>
            <w:tcW w:w="2360" w:type="dxa"/>
            <w:vAlign w:val="bottom"/>
            <w:shd w:val="clear" w:color="auto" w:fill="333333"/>
          </w:tcPr>
          <w:p>
            <w:pPr>
              <w:spacing w:after="0"/>
              <w:rPr>
                <w:sz w:val="15"/>
                <w:szCs w:val="15"/>
                <w:color w:val="auto"/>
              </w:rPr>
            </w:pPr>
          </w:p>
        </w:tc>
        <w:tc>
          <w:tcPr>
            <w:tcW w:w="840" w:type="dxa"/>
            <w:vAlign w:val="bottom"/>
            <w:shd w:val="clear" w:color="auto" w:fill="333333"/>
          </w:tcPr>
          <w:p>
            <w:pPr>
              <w:spacing w:after="0"/>
              <w:rPr>
                <w:sz w:val="15"/>
                <w:szCs w:val="15"/>
                <w:color w:val="auto"/>
              </w:rPr>
            </w:pPr>
          </w:p>
        </w:tc>
        <w:tc>
          <w:tcPr>
            <w:tcW w:w="880" w:type="dxa"/>
            <w:vAlign w:val="bottom"/>
            <w:shd w:val="clear" w:color="auto" w:fill="333333"/>
          </w:tcPr>
          <w:p>
            <w:pPr>
              <w:spacing w:after="0"/>
              <w:rPr>
                <w:sz w:val="15"/>
                <w:szCs w:val="15"/>
                <w:color w:val="auto"/>
              </w:rPr>
            </w:pPr>
          </w:p>
        </w:tc>
        <w:tc>
          <w:tcPr>
            <w:tcW w:w="740" w:type="dxa"/>
            <w:vAlign w:val="bottom"/>
            <w:shd w:val="clear" w:color="auto" w:fill="333333"/>
          </w:tcPr>
          <w:p>
            <w:pPr>
              <w:spacing w:after="0"/>
              <w:rPr>
                <w:sz w:val="15"/>
                <w:szCs w:val="15"/>
                <w:color w:val="auto"/>
              </w:rPr>
            </w:pPr>
          </w:p>
        </w:tc>
        <w:tc>
          <w:tcPr>
            <w:tcW w:w="680" w:type="dxa"/>
            <w:vAlign w:val="bottom"/>
            <w:shd w:val="clear" w:color="auto" w:fill="333333"/>
          </w:tcPr>
          <w:p>
            <w:pPr>
              <w:spacing w:after="0"/>
              <w:rPr>
                <w:sz w:val="15"/>
                <w:szCs w:val="15"/>
                <w:color w:val="auto"/>
              </w:rPr>
            </w:pPr>
          </w:p>
        </w:tc>
        <w:tc>
          <w:tcPr>
            <w:tcW w:w="1040" w:type="dxa"/>
            <w:vAlign w:val="bottom"/>
            <w:shd w:val="clear" w:color="auto" w:fill="333333"/>
          </w:tcPr>
          <w:p>
            <w:pPr>
              <w:spacing w:after="0"/>
              <w:rPr>
                <w:sz w:val="15"/>
                <w:szCs w:val="15"/>
                <w:color w:val="auto"/>
              </w:rPr>
            </w:pPr>
          </w:p>
        </w:tc>
        <w:tc>
          <w:tcPr>
            <w:tcW w:w="840" w:type="dxa"/>
            <w:vAlign w:val="bottom"/>
            <w:shd w:val="clear" w:color="auto" w:fill="333333"/>
          </w:tcPr>
          <w:p>
            <w:pPr>
              <w:spacing w:after="0"/>
              <w:rPr>
                <w:sz w:val="15"/>
                <w:szCs w:val="15"/>
                <w:color w:val="auto"/>
              </w:rPr>
            </w:pPr>
          </w:p>
        </w:tc>
        <w:tc>
          <w:tcPr>
            <w:tcW w:w="960" w:type="dxa"/>
            <w:vAlign w:val="bottom"/>
            <w:gridSpan w:val="2"/>
            <w:shd w:val="clear" w:color="auto" w:fill="333333"/>
          </w:tcPr>
          <w:p>
            <w:pPr>
              <w:jc w:val="right"/>
              <w:ind w:right="157"/>
              <w:spacing w:after="0"/>
              <w:rPr>
                <w:sz w:val="20"/>
                <w:szCs w:val="20"/>
                <w:color w:val="auto"/>
              </w:rPr>
            </w:pPr>
            <w:r>
              <w:rPr>
                <w:rFonts w:ascii="Arial" w:cs="Arial" w:eastAsia="Arial" w:hAnsi="Arial"/>
                <w:sz w:val="15"/>
                <w:szCs w:val="15"/>
                <w:color w:val="FFFFFF"/>
                <w:w w:val="99"/>
              </w:rPr>
              <w:t>$ MILLION</w:t>
            </w:r>
          </w:p>
        </w:tc>
      </w:tr>
      <w:tr>
        <w:trPr>
          <w:trHeight w:val="129"/>
        </w:trPr>
        <w:tc>
          <w:tcPr>
            <w:tcW w:w="3080" w:type="dxa"/>
            <w:vAlign w:val="bottom"/>
          </w:tcPr>
          <w:p>
            <w:pPr>
              <w:spacing w:after="0"/>
              <w:rPr>
                <w:sz w:val="11"/>
                <w:szCs w:val="11"/>
                <w:color w:val="auto"/>
              </w:rPr>
            </w:pPr>
          </w:p>
        </w:tc>
        <w:tc>
          <w:tcPr>
            <w:tcW w:w="23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1040" w:type="dxa"/>
            <w:vAlign w:val="bottom"/>
            <w:tcBorders>
              <w:bottom w:val="single" w:sz="8" w:color="auto"/>
            </w:tcBorders>
          </w:tcPr>
          <w:p>
            <w:pPr>
              <w:jc w:val="right"/>
              <w:ind w:right="31"/>
              <w:spacing w:after="0" w:line="129" w:lineRule="exact"/>
              <w:rPr>
                <w:sz w:val="20"/>
                <w:szCs w:val="20"/>
                <w:color w:val="auto"/>
              </w:rPr>
            </w:pPr>
            <w:r>
              <w:rPr>
                <w:rFonts w:ascii="Arial" w:cs="Arial" w:eastAsia="Arial" w:hAnsi="Arial"/>
                <w:sz w:val="13"/>
                <w:szCs w:val="13"/>
                <w:color w:val="auto"/>
              </w:rPr>
              <w:t>North America</w:t>
            </w:r>
          </w:p>
        </w:tc>
        <w:tc>
          <w:tcPr>
            <w:tcW w:w="840" w:type="dxa"/>
            <w:vAlign w:val="bottom"/>
          </w:tcPr>
          <w:p>
            <w:pPr>
              <w:jc w:val="right"/>
              <w:spacing w:after="0" w:line="129" w:lineRule="exact"/>
              <w:rPr>
                <w:sz w:val="20"/>
                <w:szCs w:val="20"/>
                <w:color w:val="auto"/>
              </w:rPr>
            </w:pPr>
            <w:r>
              <w:rPr>
                <w:rFonts w:ascii="Arial" w:cs="Arial" w:eastAsia="Arial" w:hAnsi="Arial"/>
                <w:sz w:val="13"/>
                <w:szCs w:val="13"/>
                <w:color w:val="auto"/>
              </w:rPr>
              <w:t>South</w:t>
            </w:r>
          </w:p>
        </w:tc>
        <w:tc>
          <w:tcPr>
            <w:tcW w:w="80" w:type="dxa"/>
            <w:vAlign w:val="bottom"/>
          </w:tcPr>
          <w:p>
            <w:pPr>
              <w:spacing w:after="0"/>
              <w:rPr>
                <w:sz w:val="11"/>
                <w:szCs w:val="11"/>
                <w:color w:val="auto"/>
              </w:rPr>
            </w:pPr>
          </w:p>
        </w:tc>
        <w:tc>
          <w:tcPr>
            <w:tcW w:w="880" w:type="dxa"/>
            <w:vAlign w:val="bottom"/>
          </w:tcPr>
          <w:p>
            <w:pPr>
              <w:spacing w:after="0"/>
              <w:rPr>
                <w:sz w:val="11"/>
                <w:szCs w:val="11"/>
                <w:color w:val="auto"/>
              </w:rPr>
            </w:pPr>
          </w:p>
        </w:tc>
      </w:tr>
      <w:tr>
        <w:trPr>
          <w:trHeight w:val="135"/>
        </w:trPr>
        <w:tc>
          <w:tcPr>
            <w:tcW w:w="3080" w:type="dxa"/>
            <w:vAlign w:val="bottom"/>
            <w:tcBorders>
              <w:bottom w:val="single" w:sz="8" w:color="auto"/>
            </w:tcBorders>
          </w:tcPr>
          <w:p>
            <w:pPr>
              <w:spacing w:after="0"/>
              <w:rPr>
                <w:sz w:val="11"/>
                <w:szCs w:val="11"/>
                <w:color w:val="auto"/>
              </w:rPr>
            </w:pPr>
          </w:p>
        </w:tc>
        <w:tc>
          <w:tcPr>
            <w:tcW w:w="2360" w:type="dxa"/>
            <w:vAlign w:val="bottom"/>
            <w:tcBorders>
              <w:bottom w:val="single" w:sz="8" w:color="auto"/>
            </w:tcBorders>
          </w:tcPr>
          <w:p>
            <w:pPr>
              <w:jc w:val="right"/>
              <w:ind w:right="210"/>
              <w:spacing w:after="0" w:line="135" w:lineRule="exact"/>
              <w:rPr>
                <w:sz w:val="20"/>
                <w:szCs w:val="20"/>
                <w:color w:val="auto"/>
              </w:rPr>
            </w:pPr>
            <w:r>
              <w:rPr>
                <w:rFonts w:ascii="Arial" w:cs="Arial" w:eastAsia="Arial" w:hAnsi="Arial"/>
                <w:sz w:val="13"/>
                <w:szCs w:val="13"/>
                <w:color w:val="auto"/>
              </w:rPr>
              <w:t>Europe[A]</w:t>
            </w:r>
          </w:p>
        </w:tc>
        <w:tc>
          <w:tcPr>
            <w:tcW w:w="840" w:type="dxa"/>
            <w:vAlign w:val="bottom"/>
            <w:tcBorders>
              <w:bottom w:val="single" w:sz="8" w:color="auto"/>
            </w:tcBorders>
          </w:tcPr>
          <w:p>
            <w:pPr>
              <w:jc w:val="right"/>
              <w:ind w:right="170"/>
              <w:spacing w:after="0" w:line="135" w:lineRule="exact"/>
              <w:rPr>
                <w:sz w:val="20"/>
                <w:szCs w:val="20"/>
                <w:color w:val="auto"/>
              </w:rPr>
            </w:pPr>
            <w:r>
              <w:rPr>
                <w:rFonts w:ascii="Arial" w:cs="Arial" w:eastAsia="Arial" w:hAnsi="Arial"/>
                <w:sz w:val="13"/>
                <w:szCs w:val="13"/>
                <w:color w:val="auto"/>
              </w:rPr>
              <w:t>Asia</w:t>
            </w:r>
          </w:p>
        </w:tc>
        <w:tc>
          <w:tcPr>
            <w:tcW w:w="880" w:type="dxa"/>
            <w:vAlign w:val="bottom"/>
            <w:tcBorders>
              <w:bottom w:val="single" w:sz="8" w:color="auto"/>
            </w:tcBorders>
          </w:tcPr>
          <w:p>
            <w:pPr>
              <w:jc w:val="right"/>
              <w:ind w:right="90"/>
              <w:spacing w:after="0" w:line="135" w:lineRule="exact"/>
              <w:rPr>
                <w:sz w:val="20"/>
                <w:szCs w:val="20"/>
                <w:color w:val="auto"/>
              </w:rPr>
            </w:pPr>
            <w:r>
              <w:rPr>
                <w:rFonts w:ascii="Arial" w:cs="Arial" w:eastAsia="Arial" w:hAnsi="Arial"/>
                <w:sz w:val="13"/>
                <w:szCs w:val="13"/>
                <w:color w:val="auto"/>
              </w:rPr>
              <w:t>Oceania</w:t>
            </w:r>
          </w:p>
        </w:tc>
        <w:tc>
          <w:tcPr>
            <w:tcW w:w="740" w:type="dxa"/>
            <w:vAlign w:val="bottom"/>
            <w:tcBorders>
              <w:bottom w:val="single" w:sz="8" w:color="auto"/>
            </w:tcBorders>
          </w:tcPr>
          <w:p>
            <w:pPr>
              <w:jc w:val="right"/>
              <w:ind w:right="130"/>
              <w:spacing w:after="0" w:line="135" w:lineRule="exact"/>
              <w:rPr>
                <w:sz w:val="20"/>
                <w:szCs w:val="20"/>
                <w:color w:val="auto"/>
              </w:rPr>
            </w:pPr>
            <w:r>
              <w:rPr>
                <w:rFonts w:ascii="Arial" w:cs="Arial" w:eastAsia="Arial" w:hAnsi="Arial"/>
                <w:sz w:val="13"/>
                <w:szCs w:val="13"/>
                <w:color w:val="auto"/>
              </w:rPr>
              <w:t>Africa</w:t>
            </w:r>
          </w:p>
        </w:tc>
        <w:tc>
          <w:tcPr>
            <w:tcW w:w="680" w:type="dxa"/>
            <w:vAlign w:val="bottom"/>
            <w:tcBorders>
              <w:bottom w:val="single" w:sz="8" w:color="auto"/>
            </w:tcBorders>
          </w:tcPr>
          <w:p>
            <w:pPr>
              <w:jc w:val="right"/>
              <w:ind w:right="70"/>
              <w:spacing w:after="0" w:line="135" w:lineRule="exact"/>
              <w:rPr>
                <w:sz w:val="20"/>
                <w:szCs w:val="20"/>
                <w:color w:val="auto"/>
              </w:rPr>
            </w:pPr>
            <w:r>
              <w:rPr>
                <w:rFonts w:ascii="Arial" w:cs="Arial" w:eastAsia="Arial" w:hAnsi="Arial"/>
                <w:sz w:val="13"/>
                <w:szCs w:val="13"/>
                <w:color w:val="auto"/>
              </w:rPr>
              <w:t>USA</w:t>
            </w:r>
          </w:p>
        </w:tc>
        <w:tc>
          <w:tcPr>
            <w:tcW w:w="1040" w:type="dxa"/>
            <w:vAlign w:val="bottom"/>
            <w:tcBorders>
              <w:bottom w:val="single" w:sz="8" w:color="auto"/>
            </w:tcBorders>
          </w:tcPr>
          <w:p>
            <w:pPr>
              <w:jc w:val="right"/>
              <w:ind w:right="31"/>
              <w:spacing w:after="0" w:line="135" w:lineRule="exact"/>
              <w:rPr>
                <w:sz w:val="20"/>
                <w:szCs w:val="20"/>
                <w:color w:val="auto"/>
              </w:rPr>
            </w:pPr>
            <w:r>
              <w:rPr>
                <w:rFonts w:ascii="Arial" w:cs="Arial" w:eastAsia="Arial" w:hAnsi="Arial"/>
                <w:sz w:val="13"/>
                <w:szCs w:val="13"/>
                <w:color w:val="auto"/>
              </w:rPr>
              <w:t>Canada</w:t>
            </w:r>
          </w:p>
        </w:tc>
        <w:tc>
          <w:tcPr>
            <w:tcW w:w="840" w:type="dxa"/>
            <w:vAlign w:val="bottom"/>
            <w:tcBorders>
              <w:bottom w:val="single" w:sz="8" w:color="auto"/>
            </w:tcBorders>
          </w:tcPr>
          <w:p>
            <w:pPr>
              <w:jc w:val="right"/>
              <w:spacing w:after="0" w:line="132" w:lineRule="exact"/>
              <w:rPr>
                <w:sz w:val="20"/>
                <w:szCs w:val="20"/>
                <w:color w:val="auto"/>
              </w:rPr>
            </w:pPr>
            <w:r>
              <w:rPr>
                <w:rFonts w:ascii="Arial" w:cs="Arial" w:eastAsia="Arial" w:hAnsi="Arial"/>
                <w:sz w:val="13"/>
                <w:szCs w:val="13"/>
                <w:color w:val="auto"/>
              </w:rPr>
              <w:t>America</w:t>
            </w:r>
          </w:p>
        </w:tc>
        <w:tc>
          <w:tcPr>
            <w:tcW w:w="80" w:type="dxa"/>
            <w:vAlign w:val="bottom"/>
          </w:tcPr>
          <w:p>
            <w:pPr>
              <w:spacing w:after="0"/>
              <w:rPr>
                <w:sz w:val="11"/>
                <w:szCs w:val="11"/>
                <w:color w:val="auto"/>
              </w:rPr>
            </w:pPr>
          </w:p>
        </w:tc>
        <w:tc>
          <w:tcPr>
            <w:tcW w:w="880" w:type="dxa"/>
            <w:vAlign w:val="bottom"/>
            <w:tcBorders>
              <w:bottom w:val="single" w:sz="8" w:color="auto"/>
            </w:tcBorders>
          </w:tcPr>
          <w:p>
            <w:pPr>
              <w:jc w:val="right"/>
              <w:ind w:right="157"/>
              <w:spacing w:after="0" w:line="135" w:lineRule="exact"/>
              <w:rPr>
                <w:sz w:val="20"/>
                <w:szCs w:val="20"/>
                <w:color w:val="auto"/>
              </w:rPr>
            </w:pPr>
            <w:r>
              <w:rPr>
                <w:rFonts w:ascii="Arial" w:cs="Arial" w:eastAsia="Arial" w:hAnsi="Arial"/>
                <w:sz w:val="13"/>
                <w:szCs w:val="13"/>
                <w:color w:val="auto"/>
              </w:rPr>
              <w:t>Total</w:t>
            </w:r>
          </w:p>
        </w:tc>
      </w:tr>
      <w:tr>
        <w:trPr>
          <w:trHeight w:val="160"/>
        </w:trPr>
        <w:tc>
          <w:tcPr>
            <w:tcW w:w="3080" w:type="dxa"/>
            <w:vAlign w:val="bottom"/>
          </w:tcPr>
          <w:p>
            <w:pPr>
              <w:spacing w:after="0"/>
              <w:rPr>
                <w:sz w:val="20"/>
                <w:szCs w:val="20"/>
                <w:color w:val="auto"/>
              </w:rPr>
            </w:pPr>
            <w:r>
              <w:rPr>
                <w:rFonts w:ascii="Arial" w:cs="Arial" w:eastAsia="Arial" w:hAnsi="Arial"/>
                <w:sz w:val="14"/>
                <w:szCs w:val="14"/>
                <w:color w:val="auto"/>
              </w:rPr>
              <w:t>Acquisition of properties</w:t>
            </w:r>
          </w:p>
        </w:tc>
        <w:tc>
          <w:tcPr>
            <w:tcW w:w="23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r>
      <w:tr>
        <w:trPr>
          <w:trHeight w:val="162"/>
        </w:trPr>
        <w:tc>
          <w:tcPr>
            <w:tcW w:w="3080" w:type="dxa"/>
            <w:vAlign w:val="bottom"/>
          </w:tcPr>
          <w:p>
            <w:pPr>
              <w:ind w:left="140"/>
              <w:spacing w:after="0"/>
              <w:rPr>
                <w:sz w:val="20"/>
                <w:szCs w:val="20"/>
                <w:color w:val="auto"/>
              </w:rPr>
            </w:pPr>
            <w:r>
              <w:rPr>
                <w:rFonts w:ascii="Arial" w:cs="Arial" w:eastAsia="Arial" w:hAnsi="Arial"/>
                <w:sz w:val="14"/>
                <w:szCs w:val="14"/>
                <w:color w:val="auto"/>
              </w:rPr>
              <w:t>Proved</w:t>
            </w:r>
          </w:p>
        </w:tc>
        <w:tc>
          <w:tcPr>
            <w:tcW w:w="2360" w:type="dxa"/>
            <w:vAlign w:val="bottom"/>
          </w:tcPr>
          <w:p>
            <w:pPr>
              <w:jc w:val="right"/>
              <w:ind w:right="170"/>
              <w:spacing w:after="0"/>
              <w:rPr>
                <w:sz w:val="20"/>
                <w:szCs w:val="20"/>
                <w:color w:val="auto"/>
              </w:rPr>
            </w:pPr>
            <w:r>
              <w:rPr>
                <w:rFonts w:ascii="Arial" w:cs="Arial" w:eastAsia="Arial" w:hAnsi="Arial"/>
                <w:sz w:val="14"/>
                <w:szCs w:val="14"/>
                <w:color w:val="auto"/>
              </w:rPr>
              <w:t>387</w:t>
            </w:r>
          </w:p>
        </w:tc>
        <w:tc>
          <w:tcPr>
            <w:tcW w:w="840" w:type="dxa"/>
            <w:vAlign w:val="bottom"/>
          </w:tcPr>
          <w:p>
            <w:pPr>
              <w:jc w:val="right"/>
              <w:ind w:right="170"/>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90"/>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130"/>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70"/>
              <w:spacing w:after="0"/>
              <w:rPr>
                <w:sz w:val="20"/>
                <w:szCs w:val="20"/>
                <w:color w:val="auto"/>
              </w:rPr>
            </w:pPr>
            <w:r>
              <w:rPr>
                <w:rFonts w:ascii="Arial" w:cs="Arial" w:eastAsia="Arial" w:hAnsi="Arial"/>
                <w:sz w:val="14"/>
                <w:szCs w:val="14"/>
                <w:color w:val="auto"/>
              </w:rPr>
              <w:t>567</w:t>
            </w:r>
          </w:p>
        </w:tc>
        <w:tc>
          <w:tcPr>
            <w:tcW w:w="1040" w:type="dxa"/>
            <w:vAlign w:val="bottom"/>
          </w:tcPr>
          <w:p>
            <w:pPr>
              <w:jc w:val="right"/>
              <w:ind w:right="31"/>
              <w:spacing w:after="0"/>
              <w:rPr>
                <w:sz w:val="20"/>
                <w:szCs w:val="20"/>
                <w:color w:val="auto"/>
              </w:rPr>
            </w:pPr>
            <w:r>
              <w:rPr>
                <w:rFonts w:ascii="Arial" w:cs="Arial" w:eastAsia="Arial" w:hAnsi="Arial"/>
                <w:sz w:val="14"/>
                <w:szCs w:val="14"/>
                <w:color w:val="auto"/>
              </w:rPr>
              <w:t>1</w:t>
            </w:r>
          </w:p>
        </w:tc>
        <w:tc>
          <w:tcPr>
            <w:tcW w:w="840" w:type="dxa"/>
            <w:vAlign w:val="bottom"/>
          </w:tcPr>
          <w:p>
            <w:pPr>
              <w:jc w:val="right"/>
              <w:spacing w:after="0"/>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157"/>
              <w:spacing w:after="0"/>
              <w:rPr>
                <w:sz w:val="20"/>
                <w:szCs w:val="20"/>
                <w:color w:val="auto"/>
              </w:rPr>
            </w:pPr>
            <w:r>
              <w:rPr>
                <w:rFonts w:ascii="Arial" w:cs="Arial" w:eastAsia="Arial" w:hAnsi="Arial"/>
                <w:sz w:val="14"/>
                <w:szCs w:val="14"/>
                <w:color w:val="auto"/>
              </w:rPr>
              <w:t>955</w:t>
            </w:r>
          </w:p>
        </w:tc>
      </w:tr>
      <w:tr>
        <w:trPr>
          <w:trHeight w:val="162"/>
        </w:trPr>
        <w:tc>
          <w:tcPr>
            <w:tcW w:w="3080" w:type="dxa"/>
            <w:vAlign w:val="bottom"/>
          </w:tcPr>
          <w:p>
            <w:pPr>
              <w:ind w:left="140"/>
              <w:spacing w:after="0"/>
              <w:rPr>
                <w:sz w:val="20"/>
                <w:szCs w:val="20"/>
                <w:color w:val="auto"/>
              </w:rPr>
            </w:pPr>
            <w:r>
              <w:rPr>
                <w:rFonts w:ascii="Arial" w:cs="Arial" w:eastAsia="Arial" w:hAnsi="Arial"/>
                <w:sz w:val="14"/>
                <w:szCs w:val="14"/>
                <w:color w:val="auto"/>
              </w:rPr>
              <w:t>Unproved</w:t>
            </w:r>
          </w:p>
        </w:tc>
        <w:tc>
          <w:tcPr>
            <w:tcW w:w="2360" w:type="dxa"/>
            <w:vAlign w:val="bottom"/>
          </w:tcPr>
          <w:p>
            <w:pPr>
              <w:jc w:val="right"/>
              <w:ind w:right="170"/>
              <w:spacing w:after="0"/>
              <w:rPr>
                <w:sz w:val="20"/>
                <w:szCs w:val="20"/>
                <w:color w:val="auto"/>
              </w:rPr>
            </w:pPr>
            <w:r>
              <w:rPr>
                <w:rFonts w:ascii="Arial" w:cs="Arial" w:eastAsia="Arial" w:hAnsi="Arial"/>
                <w:sz w:val="14"/>
                <w:szCs w:val="14"/>
                <w:color w:val="auto"/>
              </w:rPr>
              <w:t>16</w:t>
            </w:r>
          </w:p>
        </w:tc>
        <w:tc>
          <w:tcPr>
            <w:tcW w:w="840" w:type="dxa"/>
            <w:vAlign w:val="bottom"/>
          </w:tcPr>
          <w:p>
            <w:pPr>
              <w:jc w:val="right"/>
              <w:ind w:right="170"/>
              <w:spacing w:after="0"/>
              <w:rPr>
                <w:sz w:val="20"/>
                <w:szCs w:val="20"/>
                <w:color w:val="auto"/>
              </w:rPr>
            </w:pPr>
            <w:r>
              <w:rPr>
                <w:rFonts w:ascii="Arial" w:cs="Arial" w:eastAsia="Arial" w:hAnsi="Arial"/>
                <w:sz w:val="14"/>
                <w:szCs w:val="14"/>
                <w:color w:val="auto"/>
              </w:rPr>
              <w:t>148</w:t>
            </w:r>
          </w:p>
        </w:tc>
        <w:tc>
          <w:tcPr>
            <w:tcW w:w="880" w:type="dxa"/>
            <w:vAlign w:val="bottom"/>
          </w:tcPr>
          <w:p>
            <w:pPr>
              <w:jc w:val="right"/>
              <w:ind w:right="90"/>
              <w:spacing w:after="0"/>
              <w:rPr>
                <w:sz w:val="20"/>
                <w:szCs w:val="20"/>
                <w:color w:val="auto"/>
              </w:rPr>
            </w:pPr>
            <w:r>
              <w:rPr>
                <w:rFonts w:ascii="Arial" w:cs="Arial" w:eastAsia="Arial" w:hAnsi="Arial"/>
                <w:sz w:val="14"/>
                <w:szCs w:val="14"/>
                <w:color w:val="auto"/>
              </w:rPr>
              <w:t>1,769</w:t>
            </w:r>
          </w:p>
        </w:tc>
        <w:tc>
          <w:tcPr>
            <w:tcW w:w="740" w:type="dxa"/>
            <w:vAlign w:val="bottom"/>
          </w:tcPr>
          <w:p>
            <w:pPr>
              <w:jc w:val="right"/>
              <w:ind w:right="130"/>
              <w:spacing w:after="0"/>
              <w:rPr>
                <w:sz w:val="20"/>
                <w:szCs w:val="20"/>
                <w:color w:val="auto"/>
              </w:rPr>
            </w:pPr>
            <w:r>
              <w:rPr>
                <w:rFonts w:ascii="Arial" w:cs="Arial" w:eastAsia="Arial" w:hAnsi="Arial"/>
                <w:sz w:val="14"/>
                <w:szCs w:val="14"/>
                <w:color w:val="auto"/>
              </w:rPr>
              <w:t>96</w:t>
            </w:r>
          </w:p>
        </w:tc>
        <w:tc>
          <w:tcPr>
            <w:tcW w:w="680" w:type="dxa"/>
            <w:vAlign w:val="bottom"/>
          </w:tcPr>
          <w:p>
            <w:pPr>
              <w:jc w:val="right"/>
              <w:ind w:right="70"/>
              <w:spacing w:after="0"/>
              <w:rPr>
                <w:sz w:val="20"/>
                <w:szCs w:val="20"/>
                <w:color w:val="auto"/>
              </w:rPr>
            </w:pPr>
            <w:r>
              <w:rPr>
                <w:rFonts w:ascii="Arial" w:cs="Arial" w:eastAsia="Arial" w:hAnsi="Arial"/>
                <w:sz w:val="14"/>
                <w:szCs w:val="14"/>
                <w:color w:val="auto"/>
              </w:rPr>
              <w:t>2,610</w:t>
            </w:r>
          </w:p>
        </w:tc>
        <w:tc>
          <w:tcPr>
            <w:tcW w:w="1040" w:type="dxa"/>
            <w:vAlign w:val="bottom"/>
          </w:tcPr>
          <w:p>
            <w:pPr>
              <w:jc w:val="right"/>
              <w:ind w:right="31"/>
              <w:spacing w:after="0"/>
              <w:rPr>
                <w:sz w:val="20"/>
                <w:szCs w:val="20"/>
                <w:color w:val="auto"/>
              </w:rPr>
            </w:pPr>
            <w:r>
              <w:rPr>
                <w:rFonts w:ascii="Arial" w:cs="Arial" w:eastAsia="Arial" w:hAnsi="Arial"/>
                <w:sz w:val="14"/>
                <w:szCs w:val="14"/>
                <w:color w:val="auto"/>
              </w:rPr>
              <w:t>381</w:t>
            </w:r>
          </w:p>
        </w:tc>
        <w:tc>
          <w:tcPr>
            <w:tcW w:w="840" w:type="dxa"/>
            <w:vAlign w:val="bottom"/>
          </w:tcPr>
          <w:p>
            <w:pPr>
              <w:jc w:val="right"/>
              <w:spacing w:after="0"/>
              <w:rPr>
                <w:sz w:val="20"/>
                <w:szCs w:val="20"/>
                <w:color w:val="auto"/>
              </w:rPr>
            </w:pPr>
            <w:r>
              <w:rPr>
                <w:rFonts w:ascii="Arial" w:cs="Arial" w:eastAsia="Arial" w:hAnsi="Arial"/>
                <w:sz w:val="14"/>
                <w:szCs w:val="14"/>
                <w:color w:val="auto"/>
              </w:rPr>
              <w:t>152</w:t>
            </w:r>
          </w:p>
        </w:tc>
        <w:tc>
          <w:tcPr>
            <w:tcW w:w="960" w:type="dxa"/>
            <w:vAlign w:val="bottom"/>
            <w:gridSpan w:val="2"/>
          </w:tcPr>
          <w:p>
            <w:pPr>
              <w:jc w:val="right"/>
              <w:ind w:right="157"/>
              <w:spacing w:after="0"/>
              <w:rPr>
                <w:sz w:val="20"/>
                <w:szCs w:val="20"/>
                <w:color w:val="auto"/>
              </w:rPr>
            </w:pPr>
            <w:r>
              <w:rPr>
                <w:rFonts w:ascii="Arial" w:cs="Arial" w:eastAsia="Arial" w:hAnsi="Arial"/>
                <w:sz w:val="14"/>
                <w:szCs w:val="14"/>
                <w:color w:val="auto"/>
              </w:rPr>
              <w:t>5,172</w:t>
            </w:r>
          </w:p>
        </w:tc>
      </w:tr>
      <w:tr>
        <w:trPr>
          <w:trHeight w:val="162"/>
        </w:trPr>
        <w:tc>
          <w:tcPr>
            <w:tcW w:w="3080" w:type="dxa"/>
            <w:vAlign w:val="bottom"/>
          </w:tcPr>
          <w:p>
            <w:pPr>
              <w:spacing w:after="0"/>
              <w:rPr>
                <w:sz w:val="20"/>
                <w:szCs w:val="20"/>
                <w:color w:val="auto"/>
              </w:rPr>
            </w:pPr>
            <w:r>
              <w:rPr>
                <w:rFonts w:ascii="Arial" w:cs="Arial" w:eastAsia="Arial" w:hAnsi="Arial"/>
                <w:sz w:val="14"/>
                <w:szCs w:val="14"/>
                <w:color w:val="auto"/>
              </w:rPr>
              <w:t>Exploration</w:t>
            </w:r>
          </w:p>
        </w:tc>
        <w:tc>
          <w:tcPr>
            <w:tcW w:w="2360" w:type="dxa"/>
            <w:vAlign w:val="bottom"/>
          </w:tcPr>
          <w:p>
            <w:pPr>
              <w:jc w:val="right"/>
              <w:ind w:right="170"/>
              <w:spacing w:after="0"/>
              <w:rPr>
                <w:sz w:val="20"/>
                <w:szCs w:val="20"/>
                <w:color w:val="auto"/>
              </w:rPr>
            </w:pPr>
            <w:r>
              <w:rPr>
                <w:rFonts w:ascii="Arial" w:cs="Arial" w:eastAsia="Arial" w:hAnsi="Arial"/>
                <w:sz w:val="14"/>
                <w:szCs w:val="14"/>
                <w:color w:val="auto"/>
              </w:rPr>
              <w:t>472</w:t>
            </w:r>
          </w:p>
        </w:tc>
        <w:tc>
          <w:tcPr>
            <w:tcW w:w="840" w:type="dxa"/>
            <w:vAlign w:val="bottom"/>
          </w:tcPr>
          <w:p>
            <w:pPr>
              <w:jc w:val="right"/>
              <w:ind w:right="170"/>
              <w:spacing w:after="0"/>
              <w:rPr>
                <w:sz w:val="20"/>
                <w:szCs w:val="20"/>
                <w:color w:val="auto"/>
              </w:rPr>
            </w:pPr>
            <w:r>
              <w:rPr>
                <w:rFonts w:ascii="Arial" w:cs="Arial" w:eastAsia="Arial" w:hAnsi="Arial"/>
                <w:sz w:val="14"/>
                <w:szCs w:val="14"/>
                <w:color w:val="auto"/>
              </w:rPr>
              <w:t>867</w:t>
            </w:r>
          </w:p>
        </w:tc>
        <w:tc>
          <w:tcPr>
            <w:tcW w:w="880" w:type="dxa"/>
            <w:vAlign w:val="bottom"/>
          </w:tcPr>
          <w:p>
            <w:pPr>
              <w:jc w:val="right"/>
              <w:ind w:right="90"/>
              <w:spacing w:after="0"/>
              <w:rPr>
                <w:sz w:val="20"/>
                <w:szCs w:val="20"/>
                <w:color w:val="auto"/>
              </w:rPr>
            </w:pPr>
            <w:r>
              <w:rPr>
                <w:rFonts w:ascii="Arial" w:cs="Arial" w:eastAsia="Arial" w:hAnsi="Arial"/>
                <w:sz w:val="14"/>
                <w:szCs w:val="14"/>
                <w:color w:val="auto"/>
              </w:rPr>
              <w:t>352</w:t>
            </w:r>
          </w:p>
        </w:tc>
        <w:tc>
          <w:tcPr>
            <w:tcW w:w="740" w:type="dxa"/>
            <w:vAlign w:val="bottom"/>
          </w:tcPr>
          <w:p>
            <w:pPr>
              <w:jc w:val="right"/>
              <w:ind w:right="130"/>
              <w:spacing w:after="0"/>
              <w:rPr>
                <w:sz w:val="20"/>
                <w:szCs w:val="20"/>
                <w:color w:val="auto"/>
              </w:rPr>
            </w:pPr>
            <w:r>
              <w:rPr>
                <w:rFonts w:ascii="Arial" w:cs="Arial" w:eastAsia="Arial" w:hAnsi="Arial"/>
                <w:sz w:val="14"/>
                <w:szCs w:val="14"/>
                <w:color w:val="auto"/>
              </w:rPr>
              <w:t>559</w:t>
            </w:r>
          </w:p>
        </w:tc>
        <w:tc>
          <w:tcPr>
            <w:tcW w:w="680" w:type="dxa"/>
            <w:vAlign w:val="bottom"/>
          </w:tcPr>
          <w:p>
            <w:pPr>
              <w:jc w:val="right"/>
              <w:ind w:right="70"/>
              <w:spacing w:after="0"/>
              <w:rPr>
                <w:sz w:val="20"/>
                <w:szCs w:val="20"/>
                <w:color w:val="auto"/>
              </w:rPr>
            </w:pPr>
            <w:r>
              <w:rPr>
                <w:rFonts w:ascii="Arial" w:cs="Arial" w:eastAsia="Arial" w:hAnsi="Arial"/>
                <w:sz w:val="14"/>
                <w:szCs w:val="14"/>
                <w:color w:val="auto"/>
              </w:rPr>
              <w:t>4,898</w:t>
            </w:r>
          </w:p>
        </w:tc>
        <w:tc>
          <w:tcPr>
            <w:tcW w:w="1040" w:type="dxa"/>
            <w:vAlign w:val="bottom"/>
          </w:tcPr>
          <w:p>
            <w:pPr>
              <w:jc w:val="right"/>
              <w:ind w:right="31"/>
              <w:spacing w:after="0"/>
              <w:rPr>
                <w:sz w:val="20"/>
                <w:szCs w:val="20"/>
                <w:color w:val="auto"/>
              </w:rPr>
            </w:pPr>
            <w:r>
              <w:rPr>
                <w:rFonts w:ascii="Arial" w:cs="Arial" w:eastAsia="Arial" w:hAnsi="Arial"/>
                <w:sz w:val="14"/>
                <w:szCs w:val="14"/>
                <w:color w:val="auto"/>
              </w:rPr>
              <w:t>1,058</w:t>
            </w:r>
          </w:p>
        </w:tc>
        <w:tc>
          <w:tcPr>
            <w:tcW w:w="840" w:type="dxa"/>
            <w:vAlign w:val="bottom"/>
          </w:tcPr>
          <w:p>
            <w:pPr>
              <w:jc w:val="right"/>
              <w:spacing w:after="0"/>
              <w:rPr>
                <w:sz w:val="20"/>
                <w:szCs w:val="20"/>
                <w:color w:val="auto"/>
              </w:rPr>
            </w:pPr>
            <w:r>
              <w:rPr>
                <w:rFonts w:ascii="Arial" w:cs="Arial" w:eastAsia="Arial" w:hAnsi="Arial"/>
                <w:sz w:val="14"/>
                <w:szCs w:val="14"/>
                <w:color w:val="auto"/>
              </w:rPr>
              <w:t>479</w:t>
            </w:r>
          </w:p>
        </w:tc>
        <w:tc>
          <w:tcPr>
            <w:tcW w:w="960" w:type="dxa"/>
            <w:vAlign w:val="bottom"/>
            <w:gridSpan w:val="2"/>
          </w:tcPr>
          <w:p>
            <w:pPr>
              <w:jc w:val="right"/>
              <w:ind w:right="157"/>
              <w:spacing w:after="0"/>
              <w:rPr>
                <w:sz w:val="20"/>
                <w:szCs w:val="20"/>
                <w:color w:val="auto"/>
              </w:rPr>
            </w:pPr>
            <w:r>
              <w:rPr>
                <w:rFonts w:ascii="Arial" w:cs="Arial" w:eastAsia="Arial" w:hAnsi="Arial"/>
                <w:sz w:val="14"/>
                <w:szCs w:val="14"/>
                <w:color w:val="auto"/>
              </w:rPr>
              <w:t>8,685</w:t>
            </w:r>
          </w:p>
        </w:tc>
      </w:tr>
      <w:tr>
        <w:trPr>
          <w:trHeight w:val="157"/>
        </w:trPr>
        <w:tc>
          <w:tcPr>
            <w:tcW w:w="3080" w:type="dxa"/>
            <w:vAlign w:val="bottom"/>
            <w:tcBorders>
              <w:bottom w:val="single" w:sz="8" w:color="auto"/>
            </w:tcBorders>
          </w:tcPr>
          <w:p>
            <w:pPr>
              <w:spacing w:after="0" w:line="157" w:lineRule="exact"/>
              <w:rPr>
                <w:sz w:val="20"/>
                <w:szCs w:val="20"/>
                <w:color w:val="auto"/>
              </w:rPr>
            </w:pPr>
            <w:r>
              <w:rPr>
                <w:rFonts w:ascii="Arial" w:cs="Arial" w:eastAsia="Arial" w:hAnsi="Arial"/>
                <w:sz w:val="14"/>
                <w:szCs w:val="14"/>
                <w:color w:val="auto"/>
              </w:rPr>
              <w:t>Development</w:t>
            </w:r>
          </w:p>
        </w:tc>
        <w:tc>
          <w:tcPr>
            <w:tcW w:w="2360" w:type="dxa"/>
            <w:vAlign w:val="bottom"/>
            <w:tcBorders>
              <w:bottom w:val="single" w:sz="8" w:color="auto"/>
            </w:tcBorders>
          </w:tcPr>
          <w:p>
            <w:pPr>
              <w:jc w:val="right"/>
              <w:ind w:right="170"/>
              <w:spacing w:after="0" w:line="157" w:lineRule="exact"/>
              <w:rPr>
                <w:sz w:val="20"/>
                <w:szCs w:val="20"/>
                <w:color w:val="auto"/>
              </w:rPr>
            </w:pPr>
            <w:r>
              <w:rPr>
                <w:rFonts w:ascii="Arial" w:cs="Arial" w:eastAsia="Arial" w:hAnsi="Arial"/>
                <w:sz w:val="14"/>
                <w:szCs w:val="14"/>
                <w:color w:val="auto"/>
              </w:rPr>
              <w:t>3,080</w:t>
            </w:r>
          </w:p>
        </w:tc>
        <w:tc>
          <w:tcPr>
            <w:tcW w:w="840" w:type="dxa"/>
            <w:vAlign w:val="bottom"/>
            <w:tcBorders>
              <w:bottom w:val="single" w:sz="8" w:color="auto"/>
            </w:tcBorders>
          </w:tcPr>
          <w:p>
            <w:pPr>
              <w:jc w:val="right"/>
              <w:ind w:right="170"/>
              <w:spacing w:after="0" w:line="157" w:lineRule="exact"/>
              <w:rPr>
                <w:sz w:val="20"/>
                <w:szCs w:val="20"/>
                <w:color w:val="auto"/>
              </w:rPr>
            </w:pPr>
            <w:r>
              <w:rPr>
                <w:rFonts w:ascii="Arial" w:cs="Arial" w:eastAsia="Arial" w:hAnsi="Arial"/>
                <w:sz w:val="14"/>
                <w:szCs w:val="14"/>
                <w:color w:val="auto"/>
              </w:rPr>
              <w:t>2,773</w:t>
            </w:r>
          </w:p>
        </w:tc>
        <w:tc>
          <w:tcPr>
            <w:tcW w:w="880" w:type="dxa"/>
            <w:vAlign w:val="bottom"/>
            <w:tcBorders>
              <w:bottom w:val="single" w:sz="8" w:color="auto"/>
            </w:tcBorders>
          </w:tcPr>
          <w:p>
            <w:pPr>
              <w:jc w:val="right"/>
              <w:ind w:right="90"/>
              <w:spacing w:after="0" w:line="157" w:lineRule="exact"/>
              <w:rPr>
                <w:sz w:val="20"/>
                <w:szCs w:val="20"/>
                <w:color w:val="auto"/>
              </w:rPr>
            </w:pPr>
            <w:r>
              <w:rPr>
                <w:rFonts w:ascii="Arial" w:cs="Arial" w:eastAsia="Arial" w:hAnsi="Arial"/>
                <w:sz w:val="14"/>
                <w:szCs w:val="14"/>
                <w:color w:val="auto"/>
              </w:rPr>
              <w:t>4,901</w:t>
            </w:r>
          </w:p>
        </w:tc>
        <w:tc>
          <w:tcPr>
            <w:tcW w:w="740" w:type="dxa"/>
            <w:vAlign w:val="bottom"/>
            <w:tcBorders>
              <w:bottom w:val="single" w:sz="8" w:color="auto"/>
            </w:tcBorders>
          </w:tcPr>
          <w:p>
            <w:pPr>
              <w:jc w:val="right"/>
              <w:ind w:right="130"/>
              <w:spacing w:after="0" w:line="157" w:lineRule="exact"/>
              <w:rPr>
                <w:sz w:val="20"/>
                <w:szCs w:val="20"/>
                <w:color w:val="auto"/>
              </w:rPr>
            </w:pPr>
            <w:r>
              <w:rPr>
                <w:rFonts w:ascii="Arial" w:cs="Arial" w:eastAsia="Arial" w:hAnsi="Arial"/>
                <w:sz w:val="14"/>
                <w:szCs w:val="14"/>
                <w:color w:val="auto"/>
              </w:rPr>
              <w:t>1,733</w:t>
            </w:r>
          </w:p>
        </w:tc>
        <w:tc>
          <w:tcPr>
            <w:tcW w:w="680" w:type="dxa"/>
            <w:vAlign w:val="bottom"/>
            <w:tcBorders>
              <w:bottom w:val="single" w:sz="8" w:color="auto"/>
            </w:tcBorders>
          </w:tcPr>
          <w:p>
            <w:pPr>
              <w:jc w:val="right"/>
              <w:ind w:right="70"/>
              <w:spacing w:after="0" w:line="157" w:lineRule="exact"/>
              <w:rPr>
                <w:sz w:val="20"/>
                <w:szCs w:val="20"/>
                <w:color w:val="auto"/>
              </w:rPr>
            </w:pPr>
            <w:r>
              <w:rPr>
                <w:rFonts w:ascii="Arial" w:cs="Arial" w:eastAsia="Arial" w:hAnsi="Arial"/>
                <w:sz w:val="14"/>
                <w:szCs w:val="14"/>
                <w:color w:val="auto"/>
              </w:rPr>
              <w:t>3,621</w:t>
            </w:r>
          </w:p>
        </w:tc>
        <w:tc>
          <w:tcPr>
            <w:tcW w:w="1040" w:type="dxa"/>
            <w:vAlign w:val="bottom"/>
            <w:tcBorders>
              <w:bottom w:val="single" w:sz="8" w:color="auto"/>
            </w:tcBorders>
          </w:tcPr>
          <w:p>
            <w:pPr>
              <w:jc w:val="right"/>
              <w:ind w:right="31"/>
              <w:spacing w:after="0" w:line="157" w:lineRule="exact"/>
              <w:rPr>
                <w:sz w:val="20"/>
                <w:szCs w:val="20"/>
                <w:color w:val="auto"/>
              </w:rPr>
            </w:pPr>
            <w:r>
              <w:rPr>
                <w:rFonts w:ascii="Arial" w:cs="Arial" w:eastAsia="Arial" w:hAnsi="Arial"/>
                <w:sz w:val="14"/>
                <w:szCs w:val="14"/>
                <w:color w:val="auto"/>
              </w:rPr>
              <w:t>2,113</w:t>
            </w:r>
          </w:p>
        </w:tc>
        <w:tc>
          <w:tcPr>
            <w:tcW w:w="840" w:type="dxa"/>
            <w:vAlign w:val="bottom"/>
            <w:tcBorders>
              <w:bottom w:val="single" w:sz="8" w:color="auto"/>
            </w:tcBorders>
          </w:tcPr>
          <w:p>
            <w:pPr>
              <w:jc w:val="right"/>
              <w:spacing w:after="0" w:line="157" w:lineRule="exact"/>
              <w:rPr>
                <w:sz w:val="20"/>
                <w:szCs w:val="20"/>
                <w:color w:val="auto"/>
              </w:rPr>
            </w:pPr>
            <w:r>
              <w:rPr>
                <w:rFonts w:ascii="Arial" w:cs="Arial" w:eastAsia="Arial" w:hAnsi="Arial"/>
                <w:sz w:val="14"/>
                <w:szCs w:val="14"/>
                <w:color w:val="auto"/>
              </w:rPr>
              <w:t>354</w:t>
            </w:r>
          </w:p>
        </w:tc>
        <w:tc>
          <w:tcPr>
            <w:tcW w:w="960" w:type="dxa"/>
            <w:vAlign w:val="bottom"/>
            <w:tcBorders>
              <w:bottom w:val="single" w:sz="8" w:color="auto"/>
            </w:tcBorders>
            <w:gridSpan w:val="2"/>
          </w:tcPr>
          <w:p>
            <w:pPr>
              <w:jc w:val="right"/>
              <w:ind w:right="157"/>
              <w:spacing w:after="0" w:line="157" w:lineRule="exact"/>
              <w:rPr>
                <w:sz w:val="20"/>
                <w:szCs w:val="20"/>
                <w:color w:val="auto"/>
              </w:rPr>
            </w:pPr>
            <w:r>
              <w:rPr>
                <w:rFonts w:ascii="Arial" w:cs="Arial" w:eastAsia="Arial" w:hAnsi="Arial"/>
                <w:sz w:val="14"/>
                <w:szCs w:val="14"/>
                <w:color w:val="auto"/>
              </w:rPr>
              <w:t>18,575</w:t>
            </w:r>
          </w:p>
        </w:tc>
      </w:tr>
    </w:tbl>
    <w:p>
      <w:pPr>
        <w:spacing w:after="0" w:line="37" w:lineRule="exact"/>
        <w:rPr>
          <w:sz w:val="20"/>
          <w:szCs w:val="20"/>
          <w:color w:val="auto"/>
        </w:rPr>
      </w:pPr>
    </w:p>
    <w:p>
      <w:pPr>
        <w:spacing w:after="0"/>
        <w:rPr>
          <w:sz w:val="20"/>
          <w:szCs w:val="20"/>
          <w:color w:val="auto"/>
        </w:rPr>
      </w:pPr>
      <w:r>
        <w:rPr>
          <w:rFonts w:ascii="Arial" w:cs="Arial" w:eastAsia="Arial" w:hAnsi="Arial"/>
          <w:sz w:val="11"/>
          <w:szCs w:val="11"/>
          <w:color w:val="auto"/>
        </w:rPr>
        <w:t>[A] Includes Greenland.</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auto"/>
        </w:rPr>
        <w:t>Shell share of joint ventures and associates</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Joint ventures and associates did not incur costs in the acquisition of oil and gas properties in 2014, 2013 or 2012.</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840" w:type="dxa"/>
            <w:vAlign w:val="bottom"/>
            <w:shd w:val="clear" w:color="auto" w:fill="333333"/>
          </w:tcPr>
          <w:p>
            <w:pPr>
              <w:jc w:val="right"/>
              <w:ind w:right="2347"/>
              <w:spacing w:after="0"/>
              <w:rPr>
                <w:sz w:val="20"/>
                <w:szCs w:val="20"/>
                <w:color w:val="auto"/>
              </w:rPr>
            </w:pPr>
            <w:r>
              <w:rPr>
                <w:rFonts w:ascii="Arial" w:cs="Arial" w:eastAsia="Arial" w:hAnsi="Arial"/>
                <w:sz w:val="15"/>
                <w:szCs w:val="15"/>
                <w:b w:val="1"/>
                <w:bCs w:val="1"/>
                <w:color w:val="FFFFFF"/>
              </w:rPr>
              <w:t>2014</w:t>
            </w:r>
          </w:p>
        </w:tc>
        <w:tc>
          <w:tcPr>
            <w:tcW w:w="2640" w:type="dxa"/>
            <w:vAlign w:val="bottom"/>
            <w:shd w:val="clear" w:color="auto" w:fill="333333"/>
          </w:tcPr>
          <w:p>
            <w:pPr>
              <w:spacing w:after="0"/>
              <w:rPr>
                <w:sz w:val="15"/>
                <w:szCs w:val="15"/>
                <w:color w:val="auto"/>
              </w:rPr>
            </w:pPr>
          </w:p>
        </w:tc>
        <w:tc>
          <w:tcPr>
            <w:tcW w:w="840" w:type="dxa"/>
            <w:vAlign w:val="bottom"/>
            <w:shd w:val="clear" w:color="auto" w:fill="333333"/>
          </w:tcPr>
          <w:p>
            <w:pPr>
              <w:spacing w:after="0"/>
              <w:rPr>
                <w:sz w:val="15"/>
                <w:szCs w:val="15"/>
                <w:color w:val="auto"/>
              </w:rPr>
            </w:pPr>
          </w:p>
        </w:tc>
        <w:tc>
          <w:tcPr>
            <w:tcW w:w="820" w:type="dxa"/>
            <w:vAlign w:val="bottom"/>
            <w:shd w:val="clear" w:color="auto" w:fill="333333"/>
          </w:tcPr>
          <w:p>
            <w:pPr>
              <w:spacing w:after="0"/>
              <w:rPr>
                <w:sz w:val="15"/>
                <w:szCs w:val="15"/>
                <w:color w:val="auto"/>
              </w:rPr>
            </w:pPr>
          </w:p>
        </w:tc>
        <w:tc>
          <w:tcPr>
            <w:tcW w:w="640" w:type="dxa"/>
            <w:vAlign w:val="bottom"/>
            <w:shd w:val="clear" w:color="auto" w:fill="333333"/>
          </w:tcPr>
          <w:p>
            <w:pPr>
              <w:spacing w:after="0"/>
              <w:rPr>
                <w:sz w:val="15"/>
                <w:szCs w:val="15"/>
                <w:color w:val="auto"/>
              </w:rPr>
            </w:pPr>
          </w:p>
        </w:tc>
        <w:tc>
          <w:tcPr>
            <w:tcW w:w="540" w:type="dxa"/>
            <w:vAlign w:val="bottom"/>
            <w:shd w:val="clear" w:color="auto" w:fill="333333"/>
          </w:tcPr>
          <w:p>
            <w:pPr>
              <w:spacing w:after="0"/>
              <w:rPr>
                <w:sz w:val="15"/>
                <w:szCs w:val="15"/>
                <w:color w:val="auto"/>
              </w:rPr>
            </w:pPr>
          </w:p>
        </w:tc>
        <w:tc>
          <w:tcPr>
            <w:tcW w:w="1020" w:type="dxa"/>
            <w:vAlign w:val="bottom"/>
            <w:shd w:val="clear" w:color="auto" w:fill="333333"/>
          </w:tcPr>
          <w:p>
            <w:pPr>
              <w:spacing w:after="0"/>
              <w:rPr>
                <w:sz w:val="15"/>
                <w:szCs w:val="15"/>
                <w:color w:val="auto"/>
              </w:rPr>
            </w:pPr>
          </w:p>
        </w:tc>
        <w:tc>
          <w:tcPr>
            <w:tcW w:w="820" w:type="dxa"/>
            <w:vAlign w:val="bottom"/>
            <w:shd w:val="clear" w:color="auto" w:fill="333333"/>
          </w:tcPr>
          <w:p>
            <w:pPr>
              <w:spacing w:after="0"/>
              <w:rPr>
                <w:sz w:val="15"/>
                <w:szCs w:val="15"/>
                <w:color w:val="auto"/>
              </w:rPr>
            </w:pPr>
          </w:p>
        </w:tc>
        <w:tc>
          <w:tcPr>
            <w:tcW w:w="80" w:type="dxa"/>
            <w:vAlign w:val="bottom"/>
            <w:shd w:val="clear" w:color="auto" w:fill="333333"/>
          </w:tcPr>
          <w:p>
            <w:pPr>
              <w:spacing w:after="0"/>
              <w:rPr>
                <w:sz w:val="15"/>
                <w:szCs w:val="15"/>
                <w:color w:val="auto"/>
              </w:rPr>
            </w:pPr>
          </w:p>
        </w:tc>
        <w:tc>
          <w:tcPr>
            <w:tcW w:w="1180" w:type="dxa"/>
            <w:vAlign w:val="bottom"/>
            <w:shd w:val="clear" w:color="auto" w:fill="333333"/>
          </w:tcPr>
          <w:p>
            <w:pPr>
              <w:jc w:val="right"/>
              <w:ind w:right="149"/>
              <w:spacing w:after="0"/>
              <w:rPr>
                <w:sz w:val="20"/>
                <w:szCs w:val="20"/>
                <w:color w:val="auto"/>
              </w:rPr>
            </w:pPr>
            <w:r>
              <w:rPr>
                <w:rFonts w:ascii="Arial" w:cs="Arial" w:eastAsia="Arial" w:hAnsi="Arial"/>
                <w:sz w:val="15"/>
                <w:szCs w:val="15"/>
                <w:color w:val="FFFFFF"/>
              </w:rPr>
              <w:t>$ MILLION</w:t>
            </w:r>
          </w:p>
        </w:tc>
      </w:tr>
      <w:tr>
        <w:trPr>
          <w:trHeight w:val="129"/>
        </w:trPr>
        <w:tc>
          <w:tcPr>
            <w:tcW w:w="2840" w:type="dxa"/>
            <w:vAlign w:val="bottom"/>
          </w:tcPr>
          <w:p>
            <w:pPr>
              <w:spacing w:after="0"/>
              <w:rPr>
                <w:sz w:val="11"/>
                <w:szCs w:val="11"/>
                <w:color w:val="auto"/>
              </w:rPr>
            </w:pPr>
          </w:p>
        </w:tc>
        <w:tc>
          <w:tcPr>
            <w:tcW w:w="2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1020" w:type="dxa"/>
            <w:vAlign w:val="bottom"/>
            <w:tcBorders>
              <w:bottom w:val="single" w:sz="8" w:color="auto"/>
            </w:tcBorders>
          </w:tcPr>
          <w:p>
            <w:pPr>
              <w:jc w:val="right"/>
              <w:ind w:right="13"/>
              <w:spacing w:after="0" w:line="129" w:lineRule="exact"/>
              <w:rPr>
                <w:sz w:val="20"/>
                <w:szCs w:val="20"/>
                <w:color w:val="auto"/>
              </w:rPr>
            </w:pPr>
            <w:r>
              <w:rPr>
                <w:rFonts w:ascii="Arial" w:cs="Arial" w:eastAsia="Arial" w:hAnsi="Arial"/>
                <w:sz w:val="13"/>
                <w:szCs w:val="13"/>
                <w:color w:val="auto"/>
              </w:rPr>
              <w:t>North America</w:t>
            </w:r>
          </w:p>
        </w:tc>
        <w:tc>
          <w:tcPr>
            <w:tcW w:w="900" w:type="dxa"/>
            <w:vAlign w:val="bottom"/>
            <w:gridSpan w:val="2"/>
          </w:tcPr>
          <w:p>
            <w:pPr>
              <w:jc w:val="right"/>
              <w:ind w:right="80"/>
              <w:spacing w:after="0" w:line="129" w:lineRule="exact"/>
              <w:rPr>
                <w:sz w:val="20"/>
                <w:szCs w:val="20"/>
                <w:color w:val="auto"/>
              </w:rPr>
            </w:pPr>
            <w:r>
              <w:rPr>
                <w:rFonts w:ascii="Arial" w:cs="Arial" w:eastAsia="Arial" w:hAnsi="Arial"/>
                <w:sz w:val="13"/>
                <w:szCs w:val="13"/>
                <w:color w:val="auto"/>
              </w:rPr>
              <w:t>South</w:t>
            </w:r>
          </w:p>
        </w:tc>
        <w:tc>
          <w:tcPr>
            <w:tcW w:w="1180" w:type="dxa"/>
            <w:vAlign w:val="bottom"/>
          </w:tcPr>
          <w:p>
            <w:pPr>
              <w:spacing w:after="0"/>
              <w:rPr>
                <w:sz w:val="11"/>
                <w:szCs w:val="11"/>
                <w:color w:val="auto"/>
              </w:rPr>
            </w:pPr>
          </w:p>
        </w:tc>
      </w:tr>
      <w:tr>
        <w:trPr>
          <w:trHeight w:val="135"/>
        </w:trPr>
        <w:tc>
          <w:tcPr>
            <w:tcW w:w="2840" w:type="dxa"/>
            <w:vAlign w:val="bottom"/>
          </w:tcPr>
          <w:p>
            <w:pPr>
              <w:spacing w:after="0"/>
              <w:rPr>
                <w:sz w:val="11"/>
                <w:szCs w:val="11"/>
                <w:color w:val="auto"/>
              </w:rPr>
            </w:pPr>
          </w:p>
        </w:tc>
        <w:tc>
          <w:tcPr>
            <w:tcW w:w="2640" w:type="dxa"/>
            <w:vAlign w:val="bottom"/>
          </w:tcPr>
          <w:p>
            <w:pPr>
              <w:jc w:val="right"/>
              <w:ind w:right="171"/>
              <w:spacing w:after="0" w:line="135" w:lineRule="exact"/>
              <w:rPr>
                <w:sz w:val="20"/>
                <w:szCs w:val="20"/>
                <w:color w:val="auto"/>
              </w:rPr>
            </w:pPr>
            <w:r>
              <w:rPr>
                <w:rFonts w:ascii="Arial" w:cs="Arial" w:eastAsia="Arial" w:hAnsi="Arial"/>
                <w:sz w:val="13"/>
                <w:szCs w:val="13"/>
                <w:color w:val="auto"/>
              </w:rPr>
              <w:t>Europe</w:t>
            </w:r>
          </w:p>
        </w:tc>
        <w:tc>
          <w:tcPr>
            <w:tcW w:w="840" w:type="dxa"/>
            <w:vAlign w:val="bottom"/>
          </w:tcPr>
          <w:p>
            <w:pPr>
              <w:jc w:val="right"/>
              <w:ind w:right="171"/>
              <w:spacing w:after="0" w:line="135" w:lineRule="exact"/>
              <w:rPr>
                <w:sz w:val="20"/>
                <w:szCs w:val="20"/>
                <w:color w:val="auto"/>
              </w:rPr>
            </w:pPr>
            <w:r>
              <w:rPr>
                <w:rFonts w:ascii="Arial" w:cs="Arial" w:eastAsia="Arial" w:hAnsi="Arial"/>
                <w:sz w:val="13"/>
                <w:szCs w:val="13"/>
                <w:color w:val="auto"/>
              </w:rPr>
              <w:t>Asia</w:t>
            </w:r>
          </w:p>
        </w:tc>
        <w:tc>
          <w:tcPr>
            <w:tcW w:w="820" w:type="dxa"/>
            <w:vAlign w:val="bottom"/>
          </w:tcPr>
          <w:p>
            <w:pPr>
              <w:jc w:val="right"/>
              <w:ind w:right="51"/>
              <w:spacing w:after="0" w:line="135" w:lineRule="exact"/>
              <w:rPr>
                <w:sz w:val="20"/>
                <w:szCs w:val="20"/>
                <w:color w:val="auto"/>
              </w:rPr>
            </w:pPr>
            <w:r>
              <w:rPr>
                <w:rFonts w:ascii="Arial" w:cs="Arial" w:eastAsia="Arial" w:hAnsi="Arial"/>
                <w:sz w:val="13"/>
                <w:szCs w:val="13"/>
                <w:color w:val="auto"/>
              </w:rPr>
              <w:t>Oceania</w:t>
            </w:r>
          </w:p>
        </w:tc>
        <w:tc>
          <w:tcPr>
            <w:tcW w:w="640" w:type="dxa"/>
            <w:vAlign w:val="bottom"/>
          </w:tcPr>
          <w:p>
            <w:pPr>
              <w:jc w:val="right"/>
              <w:ind w:right="131"/>
              <w:spacing w:after="0" w:line="135" w:lineRule="exact"/>
              <w:rPr>
                <w:sz w:val="20"/>
                <w:szCs w:val="20"/>
                <w:color w:val="auto"/>
              </w:rPr>
            </w:pPr>
            <w:r>
              <w:rPr>
                <w:rFonts w:ascii="Arial" w:cs="Arial" w:eastAsia="Arial" w:hAnsi="Arial"/>
                <w:sz w:val="13"/>
                <w:szCs w:val="13"/>
                <w:color w:val="auto"/>
              </w:rPr>
              <w:t>Africa</w:t>
            </w:r>
          </w:p>
        </w:tc>
        <w:tc>
          <w:tcPr>
            <w:tcW w:w="540" w:type="dxa"/>
            <w:vAlign w:val="bottom"/>
          </w:tcPr>
          <w:p>
            <w:pPr>
              <w:jc w:val="right"/>
              <w:ind w:right="51"/>
              <w:spacing w:after="0" w:line="135" w:lineRule="exact"/>
              <w:rPr>
                <w:sz w:val="20"/>
                <w:szCs w:val="20"/>
                <w:color w:val="auto"/>
              </w:rPr>
            </w:pPr>
            <w:r>
              <w:rPr>
                <w:rFonts w:ascii="Arial" w:cs="Arial" w:eastAsia="Arial" w:hAnsi="Arial"/>
                <w:sz w:val="13"/>
                <w:szCs w:val="13"/>
                <w:color w:val="auto"/>
              </w:rPr>
              <w:t>USA</w:t>
            </w:r>
          </w:p>
        </w:tc>
        <w:tc>
          <w:tcPr>
            <w:tcW w:w="1020" w:type="dxa"/>
            <w:vAlign w:val="bottom"/>
          </w:tcPr>
          <w:p>
            <w:pPr>
              <w:jc w:val="right"/>
              <w:ind w:right="13"/>
              <w:spacing w:after="0" w:line="135" w:lineRule="exact"/>
              <w:rPr>
                <w:sz w:val="20"/>
                <w:szCs w:val="20"/>
                <w:color w:val="auto"/>
              </w:rPr>
            </w:pPr>
            <w:r>
              <w:rPr>
                <w:rFonts w:ascii="Arial" w:cs="Arial" w:eastAsia="Arial" w:hAnsi="Arial"/>
                <w:sz w:val="13"/>
                <w:szCs w:val="13"/>
                <w:color w:val="auto"/>
              </w:rPr>
              <w:t>Canada</w:t>
            </w:r>
          </w:p>
        </w:tc>
        <w:tc>
          <w:tcPr>
            <w:tcW w:w="900" w:type="dxa"/>
            <w:vAlign w:val="bottom"/>
            <w:gridSpan w:val="2"/>
          </w:tcPr>
          <w:p>
            <w:pPr>
              <w:jc w:val="right"/>
              <w:ind w:right="80"/>
              <w:spacing w:after="0" w:line="132" w:lineRule="exact"/>
              <w:rPr>
                <w:sz w:val="20"/>
                <w:szCs w:val="20"/>
                <w:color w:val="auto"/>
              </w:rPr>
            </w:pPr>
            <w:r>
              <w:rPr>
                <w:rFonts w:ascii="Arial" w:cs="Arial" w:eastAsia="Arial" w:hAnsi="Arial"/>
                <w:sz w:val="13"/>
                <w:szCs w:val="13"/>
                <w:color w:val="auto"/>
              </w:rPr>
              <w:t>America</w:t>
            </w:r>
          </w:p>
        </w:tc>
        <w:tc>
          <w:tcPr>
            <w:tcW w:w="1180" w:type="dxa"/>
            <w:vAlign w:val="bottom"/>
          </w:tcPr>
          <w:p>
            <w:pPr>
              <w:jc w:val="right"/>
              <w:ind w:right="149"/>
              <w:spacing w:after="0" w:line="135" w:lineRule="exact"/>
              <w:rPr>
                <w:sz w:val="20"/>
                <w:szCs w:val="20"/>
                <w:color w:val="auto"/>
              </w:rPr>
            </w:pPr>
            <w:r>
              <w:rPr>
                <w:rFonts w:ascii="Arial" w:cs="Arial" w:eastAsia="Arial" w:hAnsi="Arial"/>
                <w:sz w:val="13"/>
                <w:szCs w:val="13"/>
                <w:color w:val="auto"/>
              </w:rPr>
              <w:t>Total</w:t>
            </w:r>
          </w:p>
        </w:tc>
      </w:tr>
      <w:tr>
        <w:trPr>
          <w:trHeight w:val="20"/>
        </w:trPr>
        <w:tc>
          <w:tcPr>
            <w:tcW w:w="2840" w:type="dxa"/>
            <w:vAlign w:val="bottom"/>
            <w:shd w:val="clear" w:color="auto" w:fill="000000"/>
          </w:tcPr>
          <w:p>
            <w:pPr>
              <w:spacing w:after="0" w:line="20" w:lineRule="exact"/>
              <w:rPr>
                <w:sz w:val="1"/>
                <w:szCs w:val="1"/>
                <w:color w:val="auto"/>
              </w:rPr>
            </w:pPr>
          </w:p>
        </w:tc>
        <w:tc>
          <w:tcPr>
            <w:tcW w:w="26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r>
      <w:tr>
        <w:trPr>
          <w:trHeight w:val="160"/>
        </w:trPr>
        <w:tc>
          <w:tcPr>
            <w:tcW w:w="2840" w:type="dxa"/>
            <w:vAlign w:val="bottom"/>
          </w:tcPr>
          <w:p>
            <w:pPr>
              <w:spacing w:after="0"/>
              <w:rPr>
                <w:sz w:val="20"/>
                <w:szCs w:val="20"/>
                <w:color w:val="auto"/>
              </w:rPr>
            </w:pPr>
            <w:r>
              <w:rPr>
                <w:rFonts w:ascii="Arial" w:cs="Arial" w:eastAsia="Arial" w:hAnsi="Arial"/>
                <w:sz w:val="14"/>
                <w:szCs w:val="14"/>
                <w:color w:val="auto"/>
              </w:rPr>
              <w:t>Exploration</w:t>
            </w:r>
          </w:p>
        </w:tc>
        <w:tc>
          <w:tcPr>
            <w:tcW w:w="2640" w:type="dxa"/>
            <w:vAlign w:val="bottom"/>
          </w:tcPr>
          <w:p>
            <w:pPr>
              <w:jc w:val="right"/>
              <w:ind w:right="171"/>
              <w:spacing w:after="0"/>
              <w:rPr>
                <w:sz w:val="20"/>
                <w:szCs w:val="20"/>
                <w:color w:val="auto"/>
              </w:rPr>
            </w:pPr>
            <w:r>
              <w:rPr>
                <w:rFonts w:ascii="Arial" w:cs="Arial" w:eastAsia="Arial" w:hAnsi="Arial"/>
                <w:sz w:val="14"/>
                <w:szCs w:val="14"/>
                <w:color w:val="auto"/>
              </w:rPr>
              <w:t>18</w:t>
            </w:r>
          </w:p>
        </w:tc>
        <w:tc>
          <w:tcPr>
            <w:tcW w:w="840" w:type="dxa"/>
            <w:vAlign w:val="bottom"/>
          </w:tcPr>
          <w:p>
            <w:pPr>
              <w:jc w:val="right"/>
              <w:ind w:right="171"/>
              <w:spacing w:after="0"/>
              <w:rPr>
                <w:sz w:val="20"/>
                <w:szCs w:val="20"/>
                <w:color w:val="auto"/>
              </w:rPr>
            </w:pPr>
            <w:r>
              <w:rPr>
                <w:rFonts w:ascii="Arial" w:cs="Arial" w:eastAsia="Arial" w:hAnsi="Arial"/>
                <w:sz w:val="14"/>
                <w:szCs w:val="14"/>
                <w:color w:val="auto"/>
              </w:rPr>
              <w:t>181</w:t>
            </w:r>
          </w:p>
        </w:tc>
        <w:tc>
          <w:tcPr>
            <w:tcW w:w="820" w:type="dxa"/>
            <w:vAlign w:val="bottom"/>
          </w:tcPr>
          <w:p>
            <w:pPr>
              <w:jc w:val="right"/>
              <w:ind w:right="51"/>
              <w:spacing w:after="0"/>
              <w:rPr>
                <w:sz w:val="20"/>
                <w:szCs w:val="20"/>
                <w:color w:val="auto"/>
              </w:rPr>
            </w:pPr>
            <w:r>
              <w:rPr>
                <w:rFonts w:ascii="Arial" w:cs="Arial" w:eastAsia="Arial" w:hAnsi="Arial"/>
                <w:sz w:val="14"/>
                <w:szCs w:val="14"/>
                <w:color w:val="auto"/>
              </w:rPr>
              <w:t>162</w:t>
            </w:r>
          </w:p>
        </w:tc>
        <w:tc>
          <w:tcPr>
            <w:tcW w:w="640" w:type="dxa"/>
            <w:vAlign w:val="bottom"/>
          </w:tcPr>
          <w:p>
            <w:pPr>
              <w:jc w:val="right"/>
              <w:ind w:right="131"/>
              <w:spacing w:after="0"/>
              <w:rPr>
                <w:sz w:val="20"/>
                <w:szCs w:val="20"/>
                <w:color w:val="auto"/>
              </w:rPr>
            </w:pPr>
            <w:r>
              <w:rPr>
                <w:rFonts w:ascii="Arial" w:cs="Arial" w:eastAsia="Arial" w:hAnsi="Arial"/>
                <w:sz w:val="14"/>
                <w:szCs w:val="14"/>
                <w:color w:val="auto"/>
              </w:rPr>
              <w:t>–</w:t>
            </w:r>
          </w:p>
        </w:tc>
        <w:tc>
          <w:tcPr>
            <w:tcW w:w="540" w:type="dxa"/>
            <w:vAlign w:val="bottom"/>
          </w:tcPr>
          <w:p>
            <w:pPr>
              <w:jc w:val="right"/>
              <w:ind w:right="51"/>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13"/>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1180" w:type="dxa"/>
            <w:vAlign w:val="bottom"/>
          </w:tcPr>
          <w:p>
            <w:pPr>
              <w:jc w:val="right"/>
              <w:ind w:right="149"/>
              <w:spacing w:after="0"/>
              <w:rPr>
                <w:sz w:val="20"/>
                <w:szCs w:val="20"/>
                <w:color w:val="auto"/>
              </w:rPr>
            </w:pPr>
            <w:r>
              <w:rPr>
                <w:rFonts w:ascii="Arial" w:cs="Arial" w:eastAsia="Arial" w:hAnsi="Arial"/>
                <w:sz w:val="14"/>
                <w:szCs w:val="14"/>
                <w:color w:val="auto"/>
              </w:rPr>
              <w:t>361</w:t>
            </w:r>
          </w:p>
        </w:tc>
      </w:tr>
      <w:tr>
        <w:trPr>
          <w:trHeight w:val="157"/>
        </w:trPr>
        <w:tc>
          <w:tcPr>
            <w:tcW w:w="2840" w:type="dxa"/>
            <w:vAlign w:val="bottom"/>
            <w:tcBorders>
              <w:bottom w:val="single" w:sz="8" w:color="auto"/>
            </w:tcBorders>
          </w:tcPr>
          <w:p>
            <w:pPr>
              <w:spacing w:after="0" w:line="157" w:lineRule="exact"/>
              <w:rPr>
                <w:sz w:val="20"/>
                <w:szCs w:val="20"/>
                <w:color w:val="auto"/>
              </w:rPr>
            </w:pPr>
            <w:r>
              <w:rPr>
                <w:rFonts w:ascii="Arial" w:cs="Arial" w:eastAsia="Arial" w:hAnsi="Arial"/>
                <w:sz w:val="14"/>
                <w:szCs w:val="14"/>
                <w:color w:val="auto"/>
              </w:rPr>
              <w:t>Development</w:t>
            </w:r>
          </w:p>
        </w:tc>
        <w:tc>
          <w:tcPr>
            <w:tcW w:w="2640" w:type="dxa"/>
            <w:vAlign w:val="bottom"/>
            <w:tcBorders>
              <w:bottom w:val="single" w:sz="8" w:color="auto"/>
            </w:tcBorders>
          </w:tcPr>
          <w:p>
            <w:pPr>
              <w:jc w:val="right"/>
              <w:ind w:right="171"/>
              <w:spacing w:after="0" w:line="157" w:lineRule="exact"/>
              <w:rPr>
                <w:sz w:val="20"/>
                <w:szCs w:val="20"/>
                <w:color w:val="auto"/>
              </w:rPr>
            </w:pPr>
            <w:r>
              <w:rPr>
                <w:rFonts w:ascii="Arial" w:cs="Arial" w:eastAsia="Arial" w:hAnsi="Arial"/>
                <w:sz w:val="14"/>
                <w:szCs w:val="14"/>
                <w:color w:val="auto"/>
              </w:rPr>
              <w:t>220</w:t>
            </w:r>
          </w:p>
        </w:tc>
        <w:tc>
          <w:tcPr>
            <w:tcW w:w="840" w:type="dxa"/>
            <w:vAlign w:val="bottom"/>
            <w:tcBorders>
              <w:bottom w:val="single" w:sz="8" w:color="auto"/>
            </w:tcBorders>
          </w:tcPr>
          <w:p>
            <w:pPr>
              <w:jc w:val="right"/>
              <w:ind w:right="171"/>
              <w:spacing w:after="0" w:line="157" w:lineRule="exact"/>
              <w:rPr>
                <w:sz w:val="20"/>
                <w:szCs w:val="20"/>
                <w:color w:val="auto"/>
              </w:rPr>
            </w:pPr>
            <w:r>
              <w:rPr>
                <w:rFonts w:ascii="Arial" w:cs="Arial" w:eastAsia="Arial" w:hAnsi="Arial"/>
                <w:sz w:val="14"/>
                <w:szCs w:val="14"/>
                <w:color w:val="auto"/>
              </w:rPr>
              <w:t>3,430</w:t>
            </w:r>
          </w:p>
        </w:tc>
        <w:tc>
          <w:tcPr>
            <w:tcW w:w="820" w:type="dxa"/>
            <w:vAlign w:val="bottom"/>
            <w:tcBorders>
              <w:bottom w:val="single" w:sz="8" w:color="auto"/>
            </w:tcBorders>
          </w:tcPr>
          <w:p>
            <w:pPr>
              <w:jc w:val="right"/>
              <w:ind w:right="51"/>
              <w:spacing w:after="0" w:line="157" w:lineRule="exact"/>
              <w:rPr>
                <w:sz w:val="20"/>
                <w:szCs w:val="20"/>
                <w:color w:val="auto"/>
              </w:rPr>
            </w:pPr>
            <w:r>
              <w:rPr>
                <w:rFonts w:ascii="Arial" w:cs="Arial" w:eastAsia="Arial" w:hAnsi="Arial"/>
                <w:sz w:val="14"/>
                <w:szCs w:val="14"/>
                <w:color w:val="auto"/>
              </w:rPr>
              <w:t>143</w:t>
            </w:r>
          </w:p>
        </w:tc>
        <w:tc>
          <w:tcPr>
            <w:tcW w:w="640" w:type="dxa"/>
            <w:vAlign w:val="bottom"/>
            <w:tcBorders>
              <w:bottom w:val="single" w:sz="8" w:color="auto"/>
            </w:tcBorders>
          </w:tcPr>
          <w:p>
            <w:pPr>
              <w:jc w:val="right"/>
              <w:ind w:right="131"/>
              <w:spacing w:after="0" w:line="157" w:lineRule="exact"/>
              <w:rPr>
                <w:sz w:val="20"/>
                <w:szCs w:val="20"/>
                <w:color w:val="auto"/>
              </w:rPr>
            </w:pPr>
            <w:r>
              <w:rPr>
                <w:rFonts w:ascii="Arial" w:cs="Arial" w:eastAsia="Arial" w:hAnsi="Arial"/>
                <w:sz w:val="14"/>
                <w:szCs w:val="14"/>
                <w:color w:val="auto"/>
              </w:rPr>
              <w:t>–</w:t>
            </w:r>
          </w:p>
        </w:tc>
        <w:tc>
          <w:tcPr>
            <w:tcW w:w="540" w:type="dxa"/>
            <w:vAlign w:val="bottom"/>
            <w:tcBorders>
              <w:bottom w:val="single" w:sz="8" w:color="auto"/>
            </w:tcBorders>
          </w:tcPr>
          <w:p>
            <w:pPr>
              <w:jc w:val="right"/>
              <w:ind w:right="51"/>
              <w:spacing w:after="0" w:line="157" w:lineRule="exact"/>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tcPr>
          <w:p>
            <w:pPr>
              <w:jc w:val="right"/>
              <w:ind w:right="13"/>
              <w:spacing w:after="0" w:line="157" w:lineRule="exact"/>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gridSpan w:val="2"/>
          </w:tcPr>
          <w:p>
            <w:pPr>
              <w:jc w:val="right"/>
              <w:ind w:right="80"/>
              <w:spacing w:after="0" w:line="157" w:lineRule="exact"/>
              <w:rPr>
                <w:sz w:val="20"/>
                <w:szCs w:val="20"/>
                <w:color w:val="auto"/>
              </w:rPr>
            </w:pPr>
            <w:r>
              <w:rPr>
                <w:rFonts w:ascii="Arial" w:cs="Arial" w:eastAsia="Arial" w:hAnsi="Arial"/>
                <w:sz w:val="14"/>
                <w:szCs w:val="14"/>
                <w:color w:val="auto"/>
              </w:rPr>
              <w:t>–</w:t>
            </w:r>
          </w:p>
        </w:tc>
        <w:tc>
          <w:tcPr>
            <w:tcW w:w="1180" w:type="dxa"/>
            <w:vAlign w:val="bottom"/>
            <w:tcBorders>
              <w:bottom w:val="single" w:sz="8" w:color="auto"/>
            </w:tcBorders>
          </w:tcPr>
          <w:p>
            <w:pPr>
              <w:jc w:val="right"/>
              <w:ind w:right="149"/>
              <w:spacing w:after="0" w:line="157" w:lineRule="exact"/>
              <w:rPr>
                <w:sz w:val="20"/>
                <w:szCs w:val="20"/>
                <w:color w:val="auto"/>
              </w:rPr>
            </w:pPr>
            <w:r>
              <w:rPr>
                <w:rFonts w:ascii="Arial" w:cs="Arial" w:eastAsia="Arial" w:hAnsi="Arial"/>
                <w:sz w:val="14"/>
                <w:szCs w:val="14"/>
                <w:color w:val="auto"/>
              </w:rPr>
              <w:t>3,793</w:t>
            </w:r>
          </w:p>
        </w:tc>
      </w:tr>
    </w:tbl>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800" w:type="dxa"/>
            <w:vAlign w:val="bottom"/>
            <w:shd w:val="clear" w:color="auto" w:fill="333333"/>
          </w:tcPr>
          <w:p>
            <w:pPr>
              <w:jc w:val="right"/>
              <w:ind w:right="2307"/>
              <w:spacing w:after="0"/>
              <w:rPr>
                <w:sz w:val="20"/>
                <w:szCs w:val="20"/>
                <w:color w:val="auto"/>
              </w:rPr>
            </w:pPr>
            <w:r>
              <w:rPr>
                <w:rFonts w:ascii="Arial" w:cs="Arial" w:eastAsia="Arial" w:hAnsi="Arial"/>
                <w:sz w:val="15"/>
                <w:szCs w:val="15"/>
                <w:b w:val="1"/>
                <w:bCs w:val="1"/>
                <w:color w:val="FFFFFF"/>
              </w:rPr>
              <w:t>2013</w:t>
            </w:r>
          </w:p>
        </w:tc>
        <w:tc>
          <w:tcPr>
            <w:tcW w:w="2580" w:type="dxa"/>
            <w:vAlign w:val="bottom"/>
            <w:shd w:val="clear" w:color="auto" w:fill="333333"/>
          </w:tcPr>
          <w:p>
            <w:pPr>
              <w:spacing w:after="0"/>
              <w:rPr>
                <w:sz w:val="15"/>
                <w:szCs w:val="15"/>
                <w:color w:val="auto"/>
              </w:rPr>
            </w:pPr>
          </w:p>
        </w:tc>
        <w:tc>
          <w:tcPr>
            <w:tcW w:w="820" w:type="dxa"/>
            <w:vAlign w:val="bottom"/>
            <w:shd w:val="clear" w:color="auto" w:fill="333333"/>
          </w:tcPr>
          <w:p>
            <w:pPr>
              <w:spacing w:after="0"/>
              <w:rPr>
                <w:sz w:val="15"/>
                <w:szCs w:val="15"/>
                <w:color w:val="auto"/>
              </w:rPr>
            </w:pPr>
          </w:p>
        </w:tc>
        <w:tc>
          <w:tcPr>
            <w:tcW w:w="820" w:type="dxa"/>
            <w:vAlign w:val="bottom"/>
            <w:shd w:val="clear" w:color="auto" w:fill="333333"/>
          </w:tcPr>
          <w:p>
            <w:pPr>
              <w:spacing w:after="0"/>
              <w:rPr>
                <w:sz w:val="15"/>
                <w:szCs w:val="15"/>
                <w:color w:val="auto"/>
              </w:rPr>
            </w:pPr>
          </w:p>
        </w:tc>
        <w:tc>
          <w:tcPr>
            <w:tcW w:w="660" w:type="dxa"/>
            <w:vAlign w:val="bottom"/>
            <w:shd w:val="clear" w:color="auto" w:fill="333333"/>
          </w:tcPr>
          <w:p>
            <w:pPr>
              <w:spacing w:after="0"/>
              <w:rPr>
                <w:sz w:val="15"/>
                <w:szCs w:val="15"/>
                <w:color w:val="auto"/>
              </w:rPr>
            </w:pPr>
          </w:p>
        </w:tc>
        <w:tc>
          <w:tcPr>
            <w:tcW w:w="700" w:type="dxa"/>
            <w:vAlign w:val="bottom"/>
            <w:shd w:val="clear" w:color="auto" w:fill="333333"/>
          </w:tcPr>
          <w:p>
            <w:pPr>
              <w:spacing w:after="0"/>
              <w:rPr>
                <w:sz w:val="15"/>
                <w:szCs w:val="15"/>
                <w:color w:val="auto"/>
              </w:rPr>
            </w:pPr>
          </w:p>
        </w:tc>
        <w:tc>
          <w:tcPr>
            <w:tcW w:w="940" w:type="dxa"/>
            <w:vAlign w:val="bottom"/>
            <w:shd w:val="clear" w:color="auto" w:fill="333333"/>
          </w:tcPr>
          <w:p>
            <w:pPr>
              <w:spacing w:after="0"/>
              <w:rPr>
                <w:sz w:val="15"/>
                <w:szCs w:val="15"/>
                <w:color w:val="auto"/>
              </w:rPr>
            </w:pPr>
          </w:p>
        </w:tc>
        <w:tc>
          <w:tcPr>
            <w:tcW w:w="840" w:type="dxa"/>
            <w:vAlign w:val="bottom"/>
            <w:shd w:val="clear" w:color="auto" w:fill="333333"/>
          </w:tcPr>
          <w:p>
            <w:pPr>
              <w:spacing w:after="0"/>
              <w:rPr>
                <w:sz w:val="15"/>
                <w:szCs w:val="15"/>
                <w:color w:val="auto"/>
              </w:rPr>
            </w:pPr>
          </w:p>
        </w:tc>
        <w:tc>
          <w:tcPr>
            <w:tcW w:w="80" w:type="dxa"/>
            <w:vAlign w:val="bottom"/>
            <w:shd w:val="clear" w:color="auto" w:fill="333333"/>
          </w:tcPr>
          <w:p>
            <w:pPr>
              <w:spacing w:after="0"/>
              <w:rPr>
                <w:sz w:val="15"/>
                <w:szCs w:val="15"/>
                <w:color w:val="auto"/>
              </w:rPr>
            </w:pPr>
          </w:p>
        </w:tc>
        <w:tc>
          <w:tcPr>
            <w:tcW w:w="1180" w:type="dxa"/>
            <w:vAlign w:val="bottom"/>
            <w:shd w:val="clear" w:color="auto" w:fill="333333"/>
          </w:tcPr>
          <w:p>
            <w:pPr>
              <w:jc w:val="right"/>
              <w:ind w:right="149"/>
              <w:spacing w:after="0"/>
              <w:rPr>
                <w:sz w:val="20"/>
                <w:szCs w:val="20"/>
                <w:color w:val="auto"/>
              </w:rPr>
            </w:pPr>
            <w:r>
              <w:rPr>
                <w:rFonts w:ascii="Arial" w:cs="Arial" w:eastAsia="Arial" w:hAnsi="Arial"/>
                <w:sz w:val="15"/>
                <w:szCs w:val="15"/>
                <w:color w:val="FFFFFF"/>
              </w:rPr>
              <w:t>$ MILLION</w:t>
            </w:r>
          </w:p>
        </w:tc>
      </w:tr>
      <w:tr>
        <w:trPr>
          <w:trHeight w:val="129"/>
        </w:trPr>
        <w:tc>
          <w:tcPr>
            <w:tcW w:w="2800" w:type="dxa"/>
            <w:vAlign w:val="bottom"/>
          </w:tcPr>
          <w:p>
            <w:pPr>
              <w:spacing w:after="0"/>
              <w:rPr>
                <w:sz w:val="11"/>
                <w:szCs w:val="11"/>
                <w:color w:val="auto"/>
              </w:rPr>
            </w:pPr>
          </w:p>
        </w:tc>
        <w:tc>
          <w:tcPr>
            <w:tcW w:w="2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tcPr>
          <w:p>
            <w:pPr>
              <w:jc w:val="right"/>
              <w:ind w:right="13"/>
              <w:spacing w:after="0" w:line="129" w:lineRule="exact"/>
              <w:rPr>
                <w:sz w:val="20"/>
                <w:szCs w:val="20"/>
                <w:color w:val="auto"/>
              </w:rPr>
            </w:pPr>
            <w:r>
              <w:rPr>
                <w:rFonts w:ascii="Arial" w:cs="Arial" w:eastAsia="Arial" w:hAnsi="Arial"/>
                <w:sz w:val="13"/>
                <w:szCs w:val="13"/>
                <w:color w:val="auto"/>
              </w:rPr>
              <w:t>North America</w:t>
            </w:r>
          </w:p>
        </w:tc>
        <w:tc>
          <w:tcPr>
            <w:tcW w:w="920" w:type="dxa"/>
            <w:vAlign w:val="bottom"/>
            <w:gridSpan w:val="2"/>
          </w:tcPr>
          <w:p>
            <w:pPr>
              <w:jc w:val="right"/>
              <w:ind w:right="80"/>
              <w:spacing w:after="0" w:line="129" w:lineRule="exact"/>
              <w:rPr>
                <w:sz w:val="20"/>
                <w:szCs w:val="20"/>
                <w:color w:val="auto"/>
              </w:rPr>
            </w:pPr>
            <w:r>
              <w:rPr>
                <w:rFonts w:ascii="Arial" w:cs="Arial" w:eastAsia="Arial" w:hAnsi="Arial"/>
                <w:sz w:val="13"/>
                <w:szCs w:val="13"/>
                <w:color w:val="auto"/>
              </w:rPr>
              <w:t>South</w:t>
            </w:r>
          </w:p>
        </w:tc>
        <w:tc>
          <w:tcPr>
            <w:tcW w:w="1180" w:type="dxa"/>
            <w:vAlign w:val="bottom"/>
          </w:tcPr>
          <w:p>
            <w:pPr>
              <w:spacing w:after="0"/>
              <w:rPr>
                <w:sz w:val="11"/>
                <w:szCs w:val="11"/>
                <w:color w:val="auto"/>
              </w:rPr>
            </w:pPr>
          </w:p>
        </w:tc>
      </w:tr>
      <w:tr>
        <w:trPr>
          <w:trHeight w:val="135"/>
        </w:trPr>
        <w:tc>
          <w:tcPr>
            <w:tcW w:w="2800" w:type="dxa"/>
            <w:vAlign w:val="bottom"/>
            <w:tcBorders>
              <w:bottom w:val="single" w:sz="8" w:color="auto"/>
            </w:tcBorders>
          </w:tcPr>
          <w:p>
            <w:pPr>
              <w:spacing w:after="0"/>
              <w:rPr>
                <w:sz w:val="11"/>
                <w:szCs w:val="11"/>
                <w:color w:val="auto"/>
              </w:rPr>
            </w:pPr>
          </w:p>
        </w:tc>
        <w:tc>
          <w:tcPr>
            <w:tcW w:w="2580" w:type="dxa"/>
            <w:vAlign w:val="bottom"/>
            <w:tcBorders>
              <w:bottom w:val="single" w:sz="8" w:color="auto"/>
            </w:tcBorders>
          </w:tcPr>
          <w:p>
            <w:pPr>
              <w:jc w:val="right"/>
              <w:ind w:right="171"/>
              <w:spacing w:after="0" w:line="135" w:lineRule="exact"/>
              <w:rPr>
                <w:sz w:val="20"/>
                <w:szCs w:val="20"/>
                <w:color w:val="auto"/>
              </w:rPr>
            </w:pPr>
            <w:r>
              <w:rPr>
                <w:rFonts w:ascii="Arial" w:cs="Arial" w:eastAsia="Arial" w:hAnsi="Arial"/>
                <w:sz w:val="13"/>
                <w:szCs w:val="13"/>
                <w:color w:val="auto"/>
              </w:rPr>
              <w:t>Europe</w:t>
            </w:r>
          </w:p>
        </w:tc>
        <w:tc>
          <w:tcPr>
            <w:tcW w:w="820" w:type="dxa"/>
            <w:vAlign w:val="bottom"/>
            <w:tcBorders>
              <w:bottom w:val="single" w:sz="8" w:color="auto"/>
            </w:tcBorders>
          </w:tcPr>
          <w:p>
            <w:pPr>
              <w:jc w:val="right"/>
              <w:ind w:right="171"/>
              <w:spacing w:after="0" w:line="135" w:lineRule="exact"/>
              <w:rPr>
                <w:sz w:val="20"/>
                <w:szCs w:val="20"/>
                <w:color w:val="auto"/>
              </w:rPr>
            </w:pPr>
            <w:r>
              <w:rPr>
                <w:rFonts w:ascii="Arial" w:cs="Arial" w:eastAsia="Arial" w:hAnsi="Arial"/>
                <w:sz w:val="13"/>
                <w:szCs w:val="13"/>
                <w:color w:val="auto"/>
              </w:rPr>
              <w:t>Asia</w:t>
            </w:r>
          </w:p>
        </w:tc>
        <w:tc>
          <w:tcPr>
            <w:tcW w:w="820" w:type="dxa"/>
            <w:vAlign w:val="bottom"/>
            <w:tcBorders>
              <w:bottom w:val="single" w:sz="8" w:color="auto"/>
            </w:tcBorders>
          </w:tcPr>
          <w:p>
            <w:pPr>
              <w:jc w:val="right"/>
              <w:ind w:right="51"/>
              <w:spacing w:after="0" w:line="135" w:lineRule="exact"/>
              <w:rPr>
                <w:sz w:val="20"/>
                <w:szCs w:val="20"/>
                <w:color w:val="auto"/>
              </w:rPr>
            </w:pPr>
            <w:r>
              <w:rPr>
                <w:rFonts w:ascii="Arial" w:cs="Arial" w:eastAsia="Arial" w:hAnsi="Arial"/>
                <w:sz w:val="13"/>
                <w:szCs w:val="13"/>
                <w:color w:val="auto"/>
              </w:rPr>
              <w:t>Oceania</w:t>
            </w:r>
          </w:p>
        </w:tc>
        <w:tc>
          <w:tcPr>
            <w:tcW w:w="660" w:type="dxa"/>
            <w:vAlign w:val="bottom"/>
            <w:tcBorders>
              <w:bottom w:val="single" w:sz="8" w:color="auto"/>
            </w:tcBorders>
          </w:tcPr>
          <w:p>
            <w:pPr>
              <w:jc w:val="right"/>
              <w:ind w:right="151"/>
              <w:spacing w:after="0" w:line="135" w:lineRule="exact"/>
              <w:rPr>
                <w:sz w:val="20"/>
                <w:szCs w:val="20"/>
                <w:color w:val="auto"/>
              </w:rPr>
            </w:pPr>
            <w:r>
              <w:rPr>
                <w:rFonts w:ascii="Arial" w:cs="Arial" w:eastAsia="Arial" w:hAnsi="Arial"/>
                <w:sz w:val="13"/>
                <w:szCs w:val="13"/>
                <w:color w:val="auto"/>
              </w:rPr>
              <w:t>Africa</w:t>
            </w:r>
          </w:p>
        </w:tc>
        <w:tc>
          <w:tcPr>
            <w:tcW w:w="70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USA</w:t>
            </w:r>
          </w:p>
        </w:tc>
        <w:tc>
          <w:tcPr>
            <w:tcW w:w="940" w:type="dxa"/>
            <w:vAlign w:val="bottom"/>
            <w:tcBorders>
              <w:bottom w:val="single" w:sz="8" w:color="auto"/>
            </w:tcBorders>
          </w:tcPr>
          <w:p>
            <w:pPr>
              <w:jc w:val="right"/>
              <w:ind w:right="13"/>
              <w:spacing w:after="0" w:line="135" w:lineRule="exact"/>
              <w:rPr>
                <w:sz w:val="20"/>
                <w:szCs w:val="20"/>
                <w:color w:val="auto"/>
              </w:rPr>
            </w:pPr>
            <w:r>
              <w:rPr>
                <w:rFonts w:ascii="Arial" w:cs="Arial" w:eastAsia="Arial" w:hAnsi="Arial"/>
                <w:sz w:val="13"/>
                <w:szCs w:val="13"/>
                <w:color w:val="auto"/>
              </w:rPr>
              <w:t>Canada</w:t>
            </w:r>
          </w:p>
        </w:tc>
        <w:tc>
          <w:tcPr>
            <w:tcW w:w="840" w:type="dxa"/>
            <w:vAlign w:val="bottom"/>
            <w:tcBorders>
              <w:bottom w:val="single" w:sz="8" w:color="auto"/>
            </w:tcBorders>
          </w:tcPr>
          <w:p>
            <w:pPr>
              <w:jc w:val="right"/>
              <w:spacing w:after="0" w:line="132" w:lineRule="exact"/>
              <w:rPr>
                <w:sz w:val="20"/>
                <w:szCs w:val="20"/>
                <w:color w:val="auto"/>
              </w:rPr>
            </w:pPr>
            <w:r>
              <w:rPr>
                <w:rFonts w:ascii="Arial" w:cs="Arial" w:eastAsia="Arial" w:hAnsi="Arial"/>
                <w:sz w:val="13"/>
                <w:szCs w:val="13"/>
                <w:color w:val="auto"/>
              </w:rPr>
              <w:t>America</w:t>
            </w:r>
          </w:p>
        </w:tc>
        <w:tc>
          <w:tcPr>
            <w:tcW w:w="80" w:type="dxa"/>
            <w:vAlign w:val="bottom"/>
          </w:tcPr>
          <w:p>
            <w:pPr>
              <w:spacing w:after="0"/>
              <w:rPr>
                <w:sz w:val="11"/>
                <w:szCs w:val="11"/>
                <w:color w:val="auto"/>
              </w:rPr>
            </w:pPr>
          </w:p>
        </w:tc>
        <w:tc>
          <w:tcPr>
            <w:tcW w:w="1180" w:type="dxa"/>
            <w:vAlign w:val="bottom"/>
            <w:tcBorders>
              <w:bottom w:val="single" w:sz="8" w:color="auto"/>
            </w:tcBorders>
          </w:tcPr>
          <w:p>
            <w:pPr>
              <w:jc w:val="right"/>
              <w:ind w:right="149"/>
              <w:spacing w:after="0" w:line="135" w:lineRule="exact"/>
              <w:rPr>
                <w:sz w:val="20"/>
                <w:szCs w:val="20"/>
                <w:color w:val="auto"/>
              </w:rPr>
            </w:pPr>
            <w:r>
              <w:rPr>
                <w:rFonts w:ascii="Arial" w:cs="Arial" w:eastAsia="Arial" w:hAnsi="Arial"/>
                <w:sz w:val="13"/>
                <w:szCs w:val="13"/>
                <w:color w:val="auto"/>
              </w:rPr>
              <w:t>Total</w:t>
            </w:r>
          </w:p>
        </w:tc>
      </w:tr>
      <w:tr>
        <w:trPr>
          <w:trHeight w:val="160"/>
        </w:trPr>
        <w:tc>
          <w:tcPr>
            <w:tcW w:w="2800" w:type="dxa"/>
            <w:vAlign w:val="bottom"/>
          </w:tcPr>
          <w:p>
            <w:pPr>
              <w:spacing w:after="0"/>
              <w:rPr>
                <w:sz w:val="20"/>
                <w:szCs w:val="20"/>
                <w:color w:val="auto"/>
              </w:rPr>
            </w:pPr>
            <w:r>
              <w:rPr>
                <w:rFonts w:ascii="Arial" w:cs="Arial" w:eastAsia="Arial" w:hAnsi="Arial"/>
                <w:sz w:val="14"/>
                <w:szCs w:val="14"/>
                <w:color w:val="auto"/>
              </w:rPr>
              <w:t>Exploration</w:t>
            </w:r>
          </w:p>
        </w:tc>
        <w:tc>
          <w:tcPr>
            <w:tcW w:w="2580" w:type="dxa"/>
            <w:vAlign w:val="bottom"/>
          </w:tcPr>
          <w:p>
            <w:pPr>
              <w:jc w:val="right"/>
              <w:ind w:right="171"/>
              <w:spacing w:after="0"/>
              <w:rPr>
                <w:sz w:val="20"/>
                <w:szCs w:val="20"/>
                <w:color w:val="auto"/>
              </w:rPr>
            </w:pPr>
            <w:r>
              <w:rPr>
                <w:rFonts w:ascii="Arial" w:cs="Arial" w:eastAsia="Arial" w:hAnsi="Arial"/>
                <w:sz w:val="14"/>
                <w:szCs w:val="14"/>
                <w:color w:val="auto"/>
              </w:rPr>
              <w:t>42</w:t>
            </w:r>
          </w:p>
        </w:tc>
        <w:tc>
          <w:tcPr>
            <w:tcW w:w="820" w:type="dxa"/>
            <w:vAlign w:val="bottom"/>
          </w:tcPr>
          <w:p>
            <w:pPr>
              <w:jc w:val="right"/>
              <w:ind w:right="171"/>
              <w:spacing w:after="0"/>
              <w:rPr>
                <w:sz w:val="20"/>
                <w:szCs w:val="20"/>
                <w:color w:val="auto"/>
              </w:rPr>
            </w:pPr>
            <w:r>
              <w:rPr>
                <w:rFonts w:ascii="Arial" w:cs="Arial" w:eastAsia="Arial" w:hAnsi="Arial"/>
                <w:sz w:val="14"/>
                <w:szCs w:val="14"/>
                <w:color w:val="auto"/>
              </w:rPr>
              <w:t>272</w:t>
            </w:r>
          </w:p>
        </w:tc>
        <w:tc>
          <w:tcPr>
            <w:tcW w:w="820" w:type="dxa"/>
            <w:vAlign w:val="bottom"/>
          </w:tcPr>
          <w:p>
            <w:pPr>
              <w:jc w:val="right"/>
              <w:ind w:right="51"/>
              <w:spacing w:after="0"/>
              <w:rPr>
                <w:sz w:val="20"/>
                <w:szCs w:val="20"/>
                <w:color w:val="auto"/>
              </w:rPr>
            </w:pPr>
            <w:r>
              <w:rPr>
                <w:rFonts w:ascii="Arial" w:cs="Arial" w:eastAsia="Arial" w:hAnsi="Arial"/>
                <w:sz w:val="14"/>
                <w:szCs w:val="14"/>
                <w:color w:val="auto"/>
              </w:rPr>
              <w:t>321</w:t>
            </w:r>
          </w:p>
        </w:tc>
        <w:tc>
          <w:tcPr>
            <w:tcW w:w="660" w:type="dxa"/>
            <w:vAlign w:val="bottom"/>
          </w:tcPr>
          <w:p>
            <w:pPr>
              <w:jc w:val="right"/>
              <w:ind w:right="151"/>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13"/>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80"/>
              <w:spacing w:after="0"/>
              <w:rPr>
                <w:sz w:val="20"/>
                <w:szCs w:val="20"/>
                <w:color w:val="auto"/>
              </w:rPr>
            </w:pPr>
            <w:r>
              <w:rPr>
                <w:rFonts w:ascii="Arial" w:cs="Arial" w:eastAsia="Arial" w:hAnsi="Arial"/>
                <w:sz w:val="14"/>
                <w:szCs w:val="14"/>
                <w:color w:val="auto"/>
              </w:rPr>
              <w:t>13</w:t>
            </w:r>
          </w:p>
        </w:tc>
        <w:tc>
          <w:tcPr>
            <w:tcW w:w="1180" w:type="dxa"/>
            <w:vAlign w:val="bottom"/>
          </w:tcPr>
          <w:p>
            <w:pPr>
              <w:jc w:val="right"/>
              <w:ind w:right="149"/>
              <w:spacing w:after="0"/>
              <w:rPr>
                <w:sz w:val="20"/>
                <w:szCs w:val="20"/>
                <w:color w:val="auto"/>
              </w:rPr>
            </w:pPr>
            <w:r>
              <w:rPr>
                <w:rFonts w:ascii="Arial" w:cs="Arial" w:eastAsia="Arial" w:hAnsi="Arial"/>
                <w:sz w:val="14"/>
                <w:szCs w:val="14"/>
                <w:color w:val="auto"/>
              </w:rPr>
              <w:t>648</w:t>
            </w:r>
          </w:p>
        </w:tc>
      </w:tr>
      <w:tr>
        <w:trPr>
          <w:trHeight w:val="157"/>
        </w:trPr>
        <w:tc>
          <w:tcPr>
            <w:tcW w:w="2800" w:type="dxa"/>
            <w:vAlign w:val="bottom"/>
            <w:tcBorders>
              <w:bottom w:val="single" w:sz="8" w:color="auto"/>
            </w:tcBorders>
          </w:tcPr>
          <w:p>
            <w:pPr>
              <w:spacing w:after="0" w:line="157" w:lineRule="exact"/>
              <w:rPr>
                <w:sz w:val="20"/>
                <w:szCs w:val="20"/>
                <w:color w:val="auto"/>
              </w:rPr>
            </w:pPr>
            <w:r>
              <w:rPr>
                <w:rFonts w:ascii="Arial" w:cs="Arial" w:eastAsia="Arial" w:hAnsi="Arial"/>
                <w:sz w:val="14"/>
                <w:szCs w:val="14"/>
                <w:color w:val="auto"/>
              </w:rPr>
              <w:t>Development</w:t>
            </w:r>
          </w:p>
        </w:tc>
        <w:tc>
          <w:tcPr>
            <w:tcW w:w="2580" w:type="dxa"/>
            <w:vAlign w:val="bottom"/>
            <w:tcBorders>
              <w:bottom w:val="single" w:sz="8" w:color="auto"/>
            </w:tcBorders>
          </w:tcPr>
          <w:p>
            <w:pPr>
              <w:jc w:val="right"/>
              <w:ind w:right="171"/>
              <w:spacing w:after="0" w:line="157" w:lineRule="exact"/>
              <w:rPr>
                <w:sz w:val="20"/>
                <w:szCs w:val="20"/>
                <w:color w:val="auto"/>
              </w:rPr>
            </w:pPr>
            <w:r>
              <w:rPr>
                <w:rFonts w:ascii="Arial" w:cs="Arial" w:eastAsia="Arial" w:hAnsi="Arial"/>
                <w:sz w:val="14"/>
                <w:szCs w:val="14"/>
                <w:color w:val="auto"/>
              </w:rPr>
              <w:t>169</w:t>
            </w:r>
          </w:p>
        </w:tc>
        <w:tc>
          <w:tcPr>
            <w:tcW w:w="820" w:type="dxa"/>
            <w:vAlign w:val="bottom"/>
            <w:tcBorders>
              <w:bottom w:val="single" w:sz="8" w:color="auto"/>
            </w:tcBorders>
          </w:tcPr>
          <w:p>
            <w:pPr>
              <w:jc w:val="right"/>
              <w:ind w:right="171"/>
              <w:spacing w:after="0" w:line="157" w:lineRule="exact"/>
              <w:rPr>
                <w:sz w:val="20"/>
                <w:szCs w:val="20"/>
                <w:color w:val="auto"/>
              </w:rPr>
            </w:pPr>
            <w:r>
              <w:rPr>
                <w:rFonts w:ascii="Arial" w:cs="Arial" w:eastAsia="Arial" w:hAnsi="Arial"/>
                <w:sz w:val="14"/>
                <w:szCs w:val="14"/>
                <w:color w:val="auto"/>
              </w:rPr>
              <w:t>2,545</w:t>
            </w:r>
          </w:p>
        </w:tc>
        <w:tc>
          <w:tcPr>
            <w:tcW w:w="820" w:type="dxa"/>
            <w:vAlign w:val="bottom"/>
            <w:tcBorders>
              <w:bottom w:val="single" w:sz="8" w:color="auto"/>
            </w:tcBorders>
          </w:tcPr>
          <w:p>
            <w:pPr>
              <w:jc w:val="right"/>
              <w:ind w:right="51"/>
              <w:spacing w:after="0" w:line="157" w:lineRule="exact"/>
              <w:rPr>
                <w:sz w:val="20"/>
                <w:szCs w:val="20"/>
                <w:color w:val="auto"/>
              </w:rPr>
            </w:pPr>
            <w:r>
              <w:rPr>
                <w:rFonts w:ascii="Arial" w:cs="Arial" w:eastAsia="Arial" w:hAnsi="Arial"/>
                <w:sz w:val="14"/>
                <w:szCs w:val="14"/>
                <w:color w:val="auto"/>
              </w:rPr>
              <w:t>293</w:t>
            </w:r>
          </w:p>
        </w:tc>
        <w:tc>
          <w:tcPr>
            <w:tcW w:w="660" w:type="dxa"/>
            <w:vAlign w:val="bottom"/>
            <w:tcBorders>
              <w:bottom w:val="single" w:sz="8" w:color="auto"/>
            </w:tcBorders>
          </w:tcPr>
          <w:p>
            <w:pPr>
              <w:jc w:val="right"/>
              <w:ind w:right="151"/>
              <w:spacing w:after="0" w:line="157" w:lineRule="exact"/>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tcPr>
          <w:p>
            <w:pPr>
              <w:jc w:val="right"/>
              <w:spacing w:after="0" w:line="157" w:lineRule="exact"/>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tcPr>
          <w:p>
            <w:pPr>
              <w:jc w:val="right"/>
              <w:ind w:right="13"/>
              <w:spacing w:after="0" w:line="157" w:lineRule="exact"/>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gridSpan w:val="2"/>
          </w:tcPr>
          <w:p>
            <w:pPr>
              <w:jc w:val="right"/>
              <w:ind w:right="80"/>
              <w:spacing w:after="0" w:line="157" w:lineRule="exact"/>
              <w:rPr>
                <w:sz w:val="20"/>
                <w:szCs w:val="20"/>
                <w:color w:val="auto"/>
              </w:rPr>
            </w:pPr>
            <w:r>
              <w:rPr>
                <w:rFonts w:ascii="Arial" w:cs="Arial" w:eastAsia="Arial" w:hAnsi="Arial"/>
                <w:sz w:val="14"/>
                <w:szCs w:val="14"/>
                <w:color w:val="auto"/>
              </w:rPr>
              <w:t>23</w:t>
            </w:r>
          </w:p>
        </w:tc>
        <w:tc>
          <w:tcPr>
            <w:tcW w:w="1180" w:type="dxa"/>
            <w:vAlign w:val="bottom"/>
            <w:tcBorders>
              <w:bottom w:val="single" w:sz="8" w:color="auto"/>
            </w:tcBorders>
          </w:tcPr>
          <w:p>
            <w:pPr>
              <w:jc w:val="right"/>
              <w:ind w:right="149"/>
              <w:spacing w:after="0" w:line="157" w:lineRule="exact"/>
              <w:rPr>
                <w:sz w:val="20"/>
                <w:szCs w:val="20"/>
                <w:color w:val="auto"/>
              </w:rPr>
            </w:pPr>
            <w:r>
              <w:rPr>
                <w:rFonts w:ascii="Arial" w:cs="Arial" w:eastAsia="Arial" w:hAnsi="Arial"/>
                <w:sz w:val="14"/>
                <w:szCs w:val="14"/>
                <w:color w:val="auto"/>
              </w:rPr>
              <w:t>3,030</w:t>
            </w:r>
          </w:p>
        </w:tc>
      </w:tr>
    </w:tbl>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800" w:type="dxa"/>
            <w:vAlign w:val="bottom"/>
            <w:shd w:val="clear" w:color="auto" w:fill="333333"/>
          </w:tcPr>
          <w:p>
            <w:pPr>
              <w:jc w:val="right"/>
              <w:ind w:right="2307"/>
              <w:spacing w:after="0"/>
              <w:rPr>
                <w:sz w:val="20"/>
                <w:szCs w:val="20"/>
                <w:color w:val="auto"/>
              </w:rPr>
            </w:pPr>
            <w:r>
              <w:rPr>
                <w:rFonts w:ascii="Arial" w:cs="Arial" w:eastAsia="Arial" w:hAnsi="Arial"/>
                <w:sz w:val="15"/>
                <w:szCs w:val="15"/>
                <w:b w:val="1"/>
                <w:bCs w:val="1"/>
                <w:color w:val="FFFFFF"/>
              </w:rPr>
              <w:t>2012</w:t>
            </w:r>
          </w:p>
        </w:tc>
        <w:tc>
          <w:tcPr>
            <w:tcW w:w="2580" w:type="dxa"/>
            <w:vAlign w:val="bottom"/>
            <w:shd w:val="clear" w:color="auto" w:fill="333333"/>
          </w:tcPr>
          <w:p>
            <w:pPr>
              <w:spacing w:after="0"/>
              <w:rPr>
                <w:sz w:val="15"/>
                <w:szCs w:val="15"/>
                <w:color w:val="auto"/>
              </w:rPr>
            </w:pPr>
          </w:p>
        </w:tc>
        <w:tc>
          <w:tcPr>
            <w:tcW w:w="820" w:type="dxa"/>
            <w:vAlign w:val="bottom"/>
            <w:shd w:val="clear" w:color="auto" w:fill="333333"/>
          </w:tcPr>
          <w:p>
            <w:pPr>
              <w:spacing w:after="0"/>
              <w:rPr>
                <w:sz w:val="15"/>
                <w:szCs w:val="15"/>
                <w:color w:val="auto"/>
              </w:rPr>
            </w:pPr>
          </w:p>
        </w:tc>
        <w:tc>
          <w:tcPr>
            <w:tcW w:w="820" w:type="dxa"/>
            <w:vAlign w:val="bottom"/>
            <w:shd w:val="clear" w:color="auto" w:fill="333333"/>
          </w:tcPr>
          <w:p>
            <w:pPr>
              <w:spacing w:after="0"/>
              <w:rPr>
                <w:sz w:val="15"/>
                <w:szCs w:val="15"/>
                <w:color w:val="auto"/>
              </w:rPr>
            </w:pPr>
          </w:p>
        </w:tc>
        <w:tc>
          <w:tcPr>
            <w:tcW w:w="660" w:type="dxa"/>
            <w:vAlign w:val="bottom"/>
            <w:shd w:val="clear" w:color="auto" w:fill="333333"/>
          </w:tcPr>
          <w:p>
            <w:pPr>
              <w:spacing w:after="0"/>
              <w:rPr>
                <w:sz w:val="15"/>
                <w:szCs w:val="15"/>
                <w:color w:val="auto"/>
              </w:rPr>
            </w:pPr>
          </w:p>
        </w:tc>
        <w:tc>
          <w:tcPr>
            <w:tcW w:w="700" w:type="dxa"/>
            <w:vAlign w:val="bottom"/>
            <w:shd w:val="clear" w:color="auto" w:fill="333333"/>
          </w:tcPr>
          <w:p>
            <w:pPr>
              <w:spacing w:after="0"/>
              <w:rPr>
                <w:sz w:val="15"/>
                <w:szCs w:val="15"/>
                <w:color w:val="auto"/>
              </w:rPr>
            </w:pPr>
          </w:p>
        </w:tc>
        <w:tc>
          <w:tcPr>
            <w:tcW w:w="940" w:type="dxa"/>
            <w:vAlign w:val="bottom"/>
            <w:shd w:val="clear" w:color="auto" w:fill="333333"/>
          </w:tcPr>
          <w:p>
            <w:pPr>
              <w:spacing w:after="0"/>
              <w:rPr>
                <w:sz w:val="15"/>
                <w:szCs w:val="15"/>
                <w:color w:val="auto"/>
              </w:rPr>
            </w:pPr>
          </w:p>
        </w:tc>
        <w:tc>
          <w:tcPr>
            <w:tcW w:w="840" w:type="dxa"/>
            <w:vAlign w:val="bottom"/>
            <w:shd w:val="clear" w:color="auto" w:fill="333333"/>
          </w:tcPr>
          <w:p>
            <w:pPr>
              <w:spacing w:after="0"/>
              <w:rPr>
                <w:sz w:val="15"/>
                <w:szCs w:val="15"/>
                <w:color w:val="auto"/>
              </w:rPr>
            </w:pPr>
          </w:p>
        </w:tc>
        <w:tc>
          <w:tcPr>
            <w:tcW w:w="80" w:type="dxa"/>
            <w:vAlign w:val="bottom"/>
            <w:shd w:val="clear" w:color="auto" w:fill="333333"/>
          </w:tcPr>
          <w:p>
            <w:pPr>
              <w:spacing w:after="0"/>
              <w:rPr>
                <w:sz w:val="15"/>
                <w:szCs w:val="15"/>
                <w:color w:val="auto"/>
              </w:rPr>
            </w:pPr>
          </w:p>
        </w:tc>
        <w:tc>
          <w:tcPr>
            <w:tcW w:w="1180" w:type="dxa"/>
            <w:vAlign w:val="bottom"/>
            <w:shd w:val="clear" w:color="auto" w:fill="333333"/>
          </w:tcPr>
          <w:p>
            <w:pPr>
              <w:jc w:val="right"/>
              <w:ind w:right="149"/>
              <w:spacing w:after="0"/>
              <w:rPr>
                <w:sz w:val="20"/>
                <w:szCs w:val="20"/>
                <w:color w:val="auto"/>
              </w:rPr>
            </w:pPr>
            <w:r>
              <w:rPr>
                <w:rFonts w:ascii="Arial" w:cs="Arial" w:eastAsia="Arial" w:hAnsi="Arial"/>
                <w:sz w:val="15"/>
                <w:szCs w:val="15"/>
                <w:color w:val="FFFFFF"/>
              </w:rPr>
              <w:t>$ MILLION</w:t>
            </w:r>
          </w:p>
        </w:tc>
      </w:tr>
      <w:tr>
        <w:trPr>
          <w:trHeight w:val="129"/>
        </w:trPr>
        <w:tc>
          <w:tcPr>
            <w:tcW w:w="2800" w:type="dxa"/>
            <w:vAlign w:val="bottom"/>
          </w:tcPr>
          <w:p>
            <w:pPr>
              <w:spacing w:after="0"/>
              <w:rPr>
                <w:sz w:val="11"/>
                <w:szCs w:val="11"/>
                <w:color w:val="auto"/>
              </w:rPr>
            </w:pPr>
          </w:p>
        </w:tc>
        <w:tc>
          <w:tcPr>
            <w:tcW w:w="2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tcPr>
          <w:p>
            <w:pPr>
              <w:jc w:val="right"/>
              <w:ind w:right="13"/>
              <w:spacing w:after="0" w:line="129" w:lineRule="exact"/>
              <w:rPr>
                <w:sz w:val="20"/>
                <w:szCs w:val="20"/>
                <w:color w:val="auto"/>
              </w:rPr>
            </w:pPr>
            <w:r>
              <w:rPr>
                <w:rFonts w:ascii="Arial" w:cs="Arial" w:eastAsia="Arial" w:hAnsi="Arial"/>
                <w:sz w:val="13"/>
                <w:szCs w:val="13"/>
                <w:color w:val="auto"/>
              </w:rPr>
              <w:t>North America</w:t>
            </w:r>
          </w:p>
        </w:tc>
        <w:tc>
          <w:tcPr>
            <w:tcW w:w="920" w:type="dxa"/>
            <w:vAlign w:val="bottom"/>
            <w:gridSpan w:val="2"/>
          </w:tcPr>
          <w:p>
            <w:pPr>
              <w:jc w:val="right"/>
              <w:ind w:right="80"/>
              <w:spacing w:after="0" w:line="129" w:lineRule="exact"/>
              <w:rPr>
                <w:sz w:val="20"/>
                <w:szCs w:val="20"/>
                <w:color w:val="auto"/>
              </w:rPr>
            </w:pPr>
            <w:r>
              <w:rPr>
                <w:rFonts w:ascii="Arial" w:cs="Arial" w:eastAsia="Arial" w:hAnsi="Arial"/>
                <w:sz w:val="13"/>
                <w:szCs w:val="13"/>
                <w:color w:val="auto"/>
              </w:rPr>
              <w:t>South</w:t>
            </w:r>
          </w:p>
        </w:tc>
        <w:tc>
          <w:tcPr>
            <w:tcW w:w="1180" w:type="dxa"/>
            <w:vAlign w:val="bottom"/>
          </w:tcPr>
          <w:p>
            <w:pPr>
              <w:spacing w:after="0"/>
              <w:rPr>
                <w:sz w:val="11"/>
                <w:szCs w:val="11"/>
                <w:color w:val="auto"/>
              </w:rPr>
            </w:pPr>
          </w:p>
        </w:tc>
      </w:tr>
      <w:tr>
        <w:trPr>
          <w:trHeight w:val="135"/>
        </w:trPr>
        <w:tc>
          <w:tcPr>
            <w:tcW w:w="2800" w:type="dxa"/>
            <w:vAlign w:val="bottom"/>
            <w:tcBorders>
              <w:bottom w:val="single" w:sz="8" w:color="auto"/>
            </w:tcBorders>
          </w:tcPr>
          <w:p>
            <w:pPr>
              <w:spacing w:after="0"/>
              <w:rPr>
                <w:sz w:val="11"/>
                <w:szCs w:val="11"/>
                <w:color w:val="auto"/>
              </w:rPr>
            </w:pPr>
          </w:p>
        </w:tc>
        <w:tc>
          <w:tcPr>
            <w:tcW w:w="2580" w:type="dxa"/>
            <w:vAlign w:val="bottom"/>
            <w:tcBorders>
              <w:bottom w:val="single" w:sz="8" w:color="auto"/>
            </w:tcBorders>
          </w:tcPr>
          <w:p>
            <w:pPr>
              <w:jc w:val="right"/>
              <w:ind w:right="171"/>
              <w:spacing w:after="0" w:line="135" w:lineRule="exact"/>
              <w:rPr>
                <w:sz w:val="20"/>
                <w:szCs w:val="20"/>
                <w:color w:val="auto"/>
              </w:rPr>
            </w:pPr>
            <w:r>
              <w:rPr>
                <w:rFonts w:ascii="Arial" w:cs="Arial" w:eastAsia="Arial" w:hAnsi="Arial"/>
                <w:sz w:val="13"/>
                <w:szCs w:val="13"/>
                <w:color w:val="auto"/>
              </w:rPr>
              <w:t>Europe</w:t>
            </w:r>
          </w:p>
        </w:tc>
        <w:tc>
          <w:tcPr>
            <w:tcW w:w="820" w:type="dxa"/>
            <w:vAlign w:val="bottom"/>
            <w:tcBorders>
              <w:bottom w:val="single" w:sz="8" w:color="auto"/>
            </w:tcBorders>
          </w:tcPr>
          <w:p>
            <w:pPr>
              <w:jc w:val="right"/>
              <w:ind w:right="171"/>
              <w:spacing w:after="0" w:line="135" w:lineRule="exact"/>
              <w:rPr>
                <w:sz w:val="20"/>
                <w:szCs w:val="20"/>
                <w:color w:val="auto"/>
              </w:rPr>
            </w:pPr>
            <w:r>
              <w:rPr>
                <w:rFonts w:ascii="Arial" w:cs="Arial" w:eastAsia="Arial" w:hAnsi="Arial"/>
                <w:sz w:val="13"/>
                <w:szCs w:val="13"/>
                <w:color w:val="auto"/>
              </w:rPr>
              <w:t>Asia</w:t>
            </w:r>
          </w:p>
        </w:tc>
        <w:tc>
          <w:tcPr>
            <w:tcW w:w="820" w:type="dxa"/>
            <w:vAlign w:val="bottom"/>
            <w:tcBorders>
              <w:bottom w:val="single" w:sz="8" w:color="auto"/>
            </w:tcBorders>
          </w:tcPr>
          <w:p>
            <w:pPr>
              <w:jc w:val="right"/>
              <w:ind w:right="51"/>
              <w:spacing w:after="0" w:line="135" w:lineRule="exact"/>
              <w:rPr>
                <w:sz w:val="20"/>
                <w:szCs w:val="20"/>
                <w:color w:val="auto"/>
              </w:rPr>
            </w:pPr>
            <w:r>
              <w:rPr>
                <w:rFonts w:ascii="Arial" w:cs="Arial" w:eastAsia="Arial" w:hAnsi="Arial"/>
                <w:sz w:val="13"/>
                <w:szCs w:val="13"/>
                <w:color w:val="auto"/>
              </w:rPr>
              <w:t>Oceania</w:t>
            </w:r>
          </w:p>
        </w:tc>
        <w:tc>
          <w:tcPr>
            <w:tcW w:w="660" w:type="dxa"/>
            <w:vAlign w:val="bottom"/>
            <w:tcBorders>
              <w:bottom w:val="single" w:sz="8" w:color="auto"/>
            </w:tcBorders>
          </w:tcPr>
          <w:p>
            <w:pPr>
              <w:jc w:val="right"/>
              <w:ind w:right="151"/>
              <w:spacing w:after="0" w:line="135" w:lineRule="exact"/>
              <w:rPr>
                <w:sz w:val="20"/>
                <w:szCs w:val="20"/>
                <w:color w:val="auto"/>
              </w:rPr>
            </w:pPr>
            <w:r>
              <w:rPr>
                <w:rFonts w:ascii="Arial" w:cs="Arial" w:eastAsia="Arial" w:hAnsi="Arial"/>
                <w:sz w:val="13"/>
                <w:szCs w:val="13"/>
                <w:color w:val="auto"/>
              </w:rPr>
              <w:t>Africa</w:t>
            </w:r>
          </w:p>
        </w:tc>
        <w:tc>
          <w:tcPr>
            <w:tcW w:w="70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USA</w:t>
            </w:r>
          </w:p>
        </w:tc>
        <w:tc>
          <w:tcPr>
            <w:tcW w:w="940" w:type="dxa"/>
            <w:vAlign w:val="bottom"/>
            <w:tcBorders>
              <w:bottom w:val="single" w:sz="8" w:color="auto"/>
            </w:tcBorders>
          </w:tcPr>
          <w:p>
            <w:pPr>
              <w:jc w:val="right"/>
              <w:ind w:right="13"/>
              <w:spacing w:after="0" w:line="135" w:lineRule="exact"/>
              <w:rPr>
                <w:sz w:val="20"/>
                <w:szCs w:val="20"/>
                <w:color w:val="auto"/>
              </w:rPr>
            </w:pPr>
            <w:r>
              <w:rPr>
                <w:rFonts w:ascii="Arial" w:cs="Arial" w:eastAsia="Arial" w:hAnsi="Arial"/>
                <w:sz w:val="13"/>
                <w:szCs w:val="13"/>
                <w:color w:val="auto"/>
              </w:rPr>
              <w:t>Canada</w:t>
            </w:r>
          </w:p>
        </w:tc>
        <w:tc>
          <w:tcPr>
            <w:tcW w:w="840" w:type="dxa"/>
            <w:vAlign w:val="bottom"/>
            <w:tcBorders>
              <w:bottom w:val="single" w:sz="8" w:color="auto"/>
            </w:tcBorders>
          </w:tcPr>
          <w:p>
            <w:pPr>
              <w:jc w:val="right"/>
              <w:spacing w:after="0" w:line="132" w:lineRule="exact"/>
              <w:rPr>
                <w:sz w:val="20"/>
                <w:szCs w:val="20"/>
                <w:color w:val="auto"/>
              </w:rPr>
            </w:pPr>
            <w:r>
              <w:rPr>
                <w:rFonts w:ascii="Arial" w:cs="Arial" w:eastAsia="Arial" w:hAnsi="Arial"/>
                <w:sz w:val="13"/>
                <w:szCs w:val="13"/>
                <w:color w:val="auto"/>
              </w:rPr>
              <w:t>America</w:t>
            </w:r>
          </w:p>
        </w:tc>
        <w:tc>
          <w:tcPr>
            <w:tcW w:w="80" w:type="dxa"/>
            <w:vAlign w:val="bottom"/>
          </w:tcPr>
          <w:p>
            <w:pPr>
              <w:spacing w:after="0"/>
              <w:rPr>
                <w:sz w:val="11"/>
                <w:szCs w:val="11"/>
                <w:color w:val="auto"/>
              </w:rPr>
            </w:pPr>
          </w:p>
        </w:tc>
        <w:tc>
          <w:tcPr>
            <w:tcW w:w="1180" w:type="dxa"/>
            <w:vAlign w:val="bottom"/>
            <w:tcBorders>
              <w:bottom w:val="single" w:sz="8" w:color="auto"/>
            </w:tcBorders>
          </w:tcPr>
          <w:p>
            <w:pPr>
              <w:jc w:val="right"/>
              <w:ind w:right="149"/>
              <w:spacing w:after="0" w:line="135" w:lineRule="exact"/>
              <w:rPr>
                <w:sz w:val="20"/>
                <w:szCs w:val="20"/>
                <w:color w:val="auto"/>
              </w:rPr>
            </w:pPr>
            <w:r>
              <w:rPr>
                <w:rFonts w:ascii="Arial" w:cs="Arial" w:eastAsia="Arial" w:hAnsi="Arial"/>
                <w:sz w:val="13"/>
                <w:szCs w:val="13"/>
                <w:color w:val="auto"/>
              </w:rPr>
              <w:t>Total</w:t>
            </w:r>
          </w:p>
        </w:tc>
      </w:tr>
      <w:tr>
        <w:trPr>
          <w:trHeight w:val="160"/>
        </w:trPr>
        <w:tc>
          <w:tcPr>
            <w:tcW w:w="2800" w:type="dxa"/>
            <w:vAlign w:val="bottom"/>
          </w:tcPr>
          <w:p>
            <w:pPr>
              <w:spacing w:after="0"/>
              <w:rPr>
                <w:sz w:val="20"/>
                <w:szCs w:val="20"/>
                <w:color w:val="auto"/>
              </w:rPr>
            </w:pPr>
            <w:r>
              <w:rPr>
                <w:rFonts w:ascii="Arial" w:cs="Arial" w:eastAsia="Arial" w:hAnsi="Arial"/>
                <w:sz w:val="14"/>
                <w:szCs w:val="14"/>
                <w:color w:val="auto"/>
              </w:rPr>
              <w:t>Exploration</w:t>
            </w:r>
          </w:p>
        </w:tc>
        <w:tc>
          <w:tcPr>
            <w:tcW w:w="2580" w:type="dxa"/>
            <w:vAlign w:val="bottom"/>
          </w:tcPr>
          <w:p>
            <w:pPr>
              <w:jc w:val="right"/>
              <w:ind w:right="171"/>
              <w:spacing w:after="0"/>
              <w:rPr>
                <w:sz w:val="20"/>
                <w:szCs w:val="20"/>
                <w:color w:val="auto"/>
              </w:rPr>
            </w:pPr>
            <w:r>
              <w:rPr>
                <w:rFonts w:ascii="Arial" w:cs="Arial" w:eastAsia="Arial" w:hAnsi="Arial"/>
                <w:sz w:val="14"/>
                <w:szCs w:val="14"/>
                <w:color w:val="auto"/>
              </w:rPr>
              <w:t>38</w:t>
            </w:r>
          </w:p>
        </w:tc>
        <w:tc>
          <w:tcPr>
            <w:tcW w:w="820" w:type="dxa"/>
            <w:vAlign w:val="bottom"/>
          </w:tcPr>
          <w:p>
            <w:pPr>
              <w:jc w:val="right"/>
              <w:ind w:right="171"/>
              <w:spacing w:after="0"/>
              <w:rPr>
                <w:sz w:val="20"/>
                <w:szCs w:val="20"/>
                <w:color w:val="auto"/>
              </w:rPr>
            </w:pPr>
            <w:r>
              <w:rPr>
                <w:rFonts w:ascii="Arial" w:cs="Arial" w:eastAsia="Arial" w:hAnsi="Arial"/>
                <w:sz w:val="14"/>
                <w:szCs w:val="14"/>
                <w:color w:val="auto"/>
              </w:rPr>
              <w:t>323</w:t>
            </w:r>
          </w:p>
        </w:tc>
        <w:tc>
          <w:tcPr>
            <w:tcW w:w="820" w:type="dxa"/>
            <w:vAlign w:val="bottom"/>
          </w:tcPr>
          <w:p>
            <w:pPr>
              <w:jc w:val="right"/>
              <w:ind w:right="51"/>
              <w:spacing w:after="0"/>
              <w:rPr>
                <w:sz w:val="20"/>
                <w:szCs w:val="20"/>
                <w:color w:val="auto"/>
              </w:rPr>
            </w:pPr>
            <w:r>
              <w:rPr>
                <w:rFonts w:ascii="Arial" w:cs="Arial" w:eastAsia="Arial" w:hAnsi="Arial"/>
                <w:sz w:val="14"/>
                <w:szCs w:val="14"/>
                <w:color w:val="auto"/>
              </w:rPr>
              <w:t>103</w:t>
            </w:r>
          </w:p>
        </w:tc>
        <w:tc>
          <w:tcPr>
            <w:tcW w:w="660" w:type="dxa"/>
            <w:vAlign w:val="bottom"/>
          </w:tcPr>
          <w:p>
            <w:pPr>
              <w:jc w:val="right"/>
              <w:ind w:right="151"/>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10</w:t>
            </w:r>
          </w:p>
        </w:tc>
        <w:tc>
          <w:tcPr>
            <w:tcW w:w="940" w:type="dxa"/>
            <w:vAlign w:val="bottom"/>
          </w:tcPr>
          <w:p>
            <w:pPr>
              <w:jc w:val="right"/>
              <w:ind w:right="13"/>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1180" w:type="dxa"/>
            <w:vAlign w:val="bottom"/>
          </w:tcPr>
          <w:p>
            <w:pPr>
              <w:jc w:val="right"/>
              <w:ind w:right="149"/>
              <w:spacing w:after="0"/>
              <w:rPr>
                <w:sz w:val="20"/>
                <w:szCs w:val="20"/>
                <w:color w:val="auto"/>
              </w:rPr>
            </w:pPr>
            <w:r>
              <w:rPr>
                <w:rFonts w:ascii="Arial" w:cs="Arial" w:eastAsia="Arial" w:hAnsi="Arial"/>
                <w:sz w:val="14"/>
                <w:szCs w:val="14"/>
                <w:color w:val="auto"/>
              </w:rPr>
              <w:t>474</w:t>
            </w:r>
          </w:p>
        </w:tc>
      </w:tr>
      <w:tr>
        <w:trPr>
          <w:trHeight w:val="157"/>
        </w:trPr>
        <w:tc>
          <w:tcPr>
            <w:tcW w:w="2800" w:type="dxa"/>
            <w:vAlign w:val="bottom"/>
            <w:tcBorders>
              <w:bottom w:val="single" w:sz="8" w:color="auto"/>
            </w:tcBorders>
          </w:tcPr>
          <w:p>
            <w:pPr>
              <w:spacing w:after="0" w:line="157" w:lineRule="exact"/>
              <w:rPr>
                <w:sz w:val="20"/>
                <w:szCs w:val="20"/>
                <w:color w:val="auto"/>
              </w:rPr>
            </w:pPr>
            <w:r>
              <w:rPr>
                <w:rFonts w:ascii="Arial" w:cs="Arial" w:eastAsia="Arial" w:hAnsi="Arial"/>
                <w:sz w:val="14"/>
                <w:szCs w:val="14"/>
                <w:color w:val="auto"/>
              </w:rPr>
              <w:t>Development</w:t>
            </w:r>
          </w:p>
        </w:tc>
        <w:tc>
          <w:tcPr>
            <w:tcW w:w="2580" w:type="dxa"/>
            <w:vAlign w:val="bottom"/>
            <w:tcBorders>
              <w:bottom w:val="single" w:sz="8" w:color="auto"/>
            </w:tcBorders>
          </w:tcPr>
          <w:p>
            <w:pPr>
              <w:jc w:val="right"/>
              <w:ind w:right="171"/>
              <w:spacing w:after="0" w:line="157" w:lineRule="exact"/>
              <w:rPr>
                <w:sz w:val="20"/>
                <w:szCs w:val="20"/>
                <w:color w:val="auto"/>
              </w:rPr>
            </w:pPr>
            <w:r>
              <w:rPr>
                <w:rFonts w:ascii="Arial" w:cs="Arial" w:eastAsia="Arial" w:hAnsi="Arial"/>
                <w:sz w:val="14"/>
                <w:szCs w:val="14"/>
                <w:color w:val="auto"/>
              </w:rPr>
              <w:t>209</w:t>
            </w:r>
          </w:p>
        </w:tc>
        <w:tc>
          <w:tcPr>
            <w:tcW w:w="820" w:type="dxa"/>
            <w:vAlign w:val="bottom"/>
            <w:tcBorders>
              <w:bottom w:val="single" w:sz="8" w:color="auto"/>
            </w:tcBorders>
          </w:tcPr>
          <w:p>
            <w:pPr>
              <w:jc w:val="right"/>
              <w:ind w:right="171"/>
              <w:spacing w:after="0" w:line="157" w:lineRule="exact"/>
              <w:rPr>
                <w:sz w:val="20"/>
                <w:szCs w:val="20"/>
                <w:color w:val="auto"/>
              </w:rPr>
            </w:pPr>
            <w:r>
              <w:rPr>
                <w:rFonts w:ascii="Arial" w:cs="Arial" w:eastAsia="Arial" w:hAnsi="Arial"/>
                <w:sz w:val="14"/>
                <w:szCs w:val="14"/>
                <w:color w:val="auto"/>
              </w:rPr>
              <w:t>2,217</w:t>
            </w:r>
          </w:p>
        </w:tc>
        <w:tc>
          <w:tcPr>
            <w:tcW w:w="820" w:type="dxa"/>
            <w:vAlign w:val="bottom"/>
            <w:tcBorders>
              <w:bottom w:val="single" w:sz="8" w:color="auto"/>
            </w:tcBorders>
          </w:tcPr>
          <w:p>
            <w:pPr>
              <w:jc w:val="right"/>
              <w:ind w:right="51"/>
              <w:spacing w:after="0" w:line="157" w:lineRule="exact"/>
              <w:rPr>
                <w:sz w:val="20"/>
                <w:szCs w:val="20"/>
                <w:color w:val="auto"/>
              </w:rPr>
            </w:pPr>
            <w:r>
              <w:rPr>
                <w:rFonts w:ascii="Arial" w:cs="Arial" w:eastAsia="Arial" w:hAnsi="Arial"/>
                <w:sz w:val="14"/>
                <w:szCs w:val="14"/>
                <w:color w:val="auto"/>
              </w:rPr>
              <w:t>549</w:t>
            </w:r>
          </w:p>
        </w:tc>
        <w:tc>
          <w:tcPr>
            <w:tcW w:w="660" w:type="dxa"/>
            <w:vAlign w:val="bottom"/>
            <w:tcBorders>
              <w:bottom w:val="single" w:sz="8" w:color="auto"/>
            </w:tcBorders>
          </w:tcPr>
          <w:p>
            <w:pPr>
              <w:jc w:val="right"/>
              <w:ind w:right="151"/>
              <w:spacing w:after="0" w:line="157" w:lineRule="exact"/>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tcPr>
          <w:p>
            <w:pPr>
              <w:jc w:val="right"/>
              <w:spacing w:after="0" w:line="157" w:lineRule="exact"/>
              <w:rPr>
                <w:sz w:val="20"/>
                <w:szCs w:val="20"/>
                <w:color w:val="auto"/>
              </w:rPr>
            </w:pPr>
            <w:r>
              <w:rPr>
                <w:rFonts w:ascii="Arial" w:cs="Arial" w:eastAsia="Arial" w:hAnsi="Arial"/>
                <w:sz w:val="14"/>
                <w:szCs w:val="14"/>
                <w:color w:val="auto"/>
              </w:rPr>
              <w:t>405</w:t>
            </w:r>
          </w:p>
        </w:tc>
        <w:tc>
          <w:tcPr>
            <w:tcW w:w="940" w:type="dxa"/>
            <w:vAlign w:val="bottom"/>
            <w:tcBorders>
              <w:bottom w:val="single" w:sz="8" w:color="auto"/>
            </w:tcBorders>
          </w:tcPr>
          <w:p>
            <w:pPr>
              <w:jc w:val="right"/>
              <w:ind w:right="13"/>
              <w:spacing w:after="0" w:line="157" w:lineRule="exact"/>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gridSpan w:val="2"/>
          </w:tcPr>
          <w:p>
            <w:pPr>
              <w:jc w:val="right"/>
              <w:ind w:right="80"/>
              <w:spacing w:after="0" w:line="157" w:lineRule="exact"/>
              <w:rPr>
                <w:sz w:val="20"/>
                <w:szCs w:val="20"/>
                <w:color w:val="auto"/>
              </w:rPr>
            </w:pPr>
            <w:r>
              <w:rPr>
                <w:rFonts w:ascii="Arial" w:cs="Arial" w:eastAsia="Arial" w:hAnsi="Arial"/>
                <w:sz w:val="14"/>
                <w:szCs w:val="14"/>
                <w:color w:val="auto"/>
              </w:rPr>
              <w:t>34</w:t>
            </w:r>
          </w:p>
        </w:tc>
        <w:tc>
          <w:tcPr>
            <w:tcW w:w="1180" w:type="dxa"/>
            <w:vAlign w:val="bottom"/>
            <w:tcBorders>
              <w:bottom w:val="single" w:sz="8" w:color="auto"/>
            </w:tcBorders>
          </w:tcPr>
          <w:p>
            <w:pPr>
              <w:jc w:val="right"/>
              <w:ind w:right="149"/>
              <w:spacing w:after="0" w:line="157" w:lineRule="exact"/>
              <w:rPr>
                <w:sz w:val="20"/>
                <w:szCs w:val="20"/>
                <w:color w:val="auto"/>
              </w:rPr>
            </w:pPr>
            <w:r>
              <w:rPr>
                <w:rFonts w:ascii="Arial" w:cs="Arial" w:eastAsia="Arial" w:hAnsi="Arial"/>
                <w:sz w:val="14"/>
                <w:szCs w:val="14"/>
                <w:color w:val="auto"/>
              </w:rPr>
              <w:t>3,414</w:t>
            </w:r>
          </w:p>
        </w:tc>
      </w:tr>
    </w:tbl>
    <w:p>
      <w:pPr>
        <w:sectPr>
          <w:pgSz w:w="11900" w:h="16838" w:orient="portrait"/>
          <w:cols w:equalWidth="0" w:num="1">
            <w:col w:w="11420"/>
          </w:cols>
          <w:pgMar w:left="240" w:top="459" w:right="239" w:bottom="1440" w:gutter="0" w:footer="0" w:header="0"/>
        </w:sectPr>
      </w:pPr>
    </w:p>
    <w:bookmarkStart w:id="157" w:name="page158"/>
    <w:bookmarkEnd w:id="1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300355</wp:posOffset>
            </wp:positionV>
            <wp:extent cx="8890" cy="462915"/>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8890" cy="462915"/>
                    </a:xfrm>
                    <a:prstGeom prst="rect">
                      <a:avLst/>
                    </a:prstGeom>
                    <a:noFill/>
                  </pic:spPr>
                </pic:pic>
              </a:graphicData>
            </a:graphic>
          </wp:anchor>
        </w:drawing>
      </w:r>
    </w:p>
    <w:p>
      <w:pPr>
        <w:spacing w:after="0" w:line="200" w:lineRule="exact"/>
        <w:rPr>
          <w:sz w:val="20"/>
          <w:szCs w:val="20"/>
          <w:color w:val="auto"/>
        </w:rPr>
      </w:pP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565"/>
        </w:trPr>
        <w:tc>
          <w:tcPr>
            <w:tcW w:w="700" w:type="dxa"/>
            <w:vAlign w:val="bottom"/>
            <w:shd w:val="clear" w:color="auto" w:fill="FF8B00"/>
          </w:tcPr>
          <w:p>
            <w:pPr>
              <w:jc w:val="right"/>
              <w:ind w:right="206"/>
              <w:spacing w:after="0"/>
              <w:rPr>
                <w:sz w:val="20"/>
                <w:szCs w:val="20"/>
                <w:color w:val="auto"/>
              </w:rPr>
            </w:pPr>
            <w:r>
              <w:rPr>
                <w:rFonts w:ascii="Arial" w:cs="Arial" w:eastAsia="Arial" w:hAnsi="Arial"/>
                <w:sz w:val="11"/>
                <w:szCs w:val="11"/>
                <w:b w:val="1"/>
                <w:bCs w:val="1"/>
                <w:color w:val="333333"/>
              </w:rPr>
              <w:t>156</w:t>
            </w:r>
          </w:p>
        </w:tc>
        <w:tc>
          <w:tcPr>
            <w:tcW w:w="4880" w:type="dxa"/>
            <w:vAlign w:val="bottom"/>
            <w:shd w:val="clear" w:color="auto" w:fill="FF8B00"/>
          </w:tcPr>
          <w:p>
            <w:pPr>
              <w:jc w:val="right"/>
              <w:ind w:right="741"/>
              <w:spacing w:after="0"/>
              <w:rPr>
                <w:sz w:val="20"/>
                <w:szCs w:val="20"/>
                <w:color w:val="auto"/>
              </w:rPr>
            </w:pPr>
            <w:r>
              <w:rPr>
                <w:rFonts w:ascii="Arial" w:cs="Arial" w:eastAsia="Arial" w:hAnsi="Arial"/>
                <w:sz w:val="13"/>
                <w:szCs w:val="13"/>
                <w:color w:val="333333"/>
              </w:rPr>
              <w:t>FINANCIAL STATEMENTS AND SUPPLEMENTS</w:t>
            </w:r>
          </w:p>
        </w:tc>
        <w:tc>
          <w:tcPr>
            <w:tcW w:w="5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5"/>
        </w:trPr>
        <w:tc>
          <w:tcPr>
            <w:tcW w:w="700" w:type="dxa"/>
            <w:vAlign w:val="bottom"/>
            <w:shd w:val="clear" w:color="auto" w:fill="FF8B00"/>
          </w:tcPr>
          <w:p>
            <w:pPr>
              <w:spacing w:after="0"/>
              <w:rPr>
                <w:sz w:val="14"/>
                <w:szCs w:val="14"/>
                <w:color w:val="auto"/>
              </w:rPr>
            </w:pPr>
          </w:p>
        </w:tc>
        <w:tc>
          <w:tcPr>
            <w:tcW w:w="4880" w:type="dxa"/>
            <w:vAlign w:val="bottom"/>
            <w:shd w:val="clear" w:color="auto" w:fill="FF8B00"/>
          </w:tcPr>
          <w:p>
            <w:pPr>
              <w:spacing w:after="0"/>
              <w:rPr>
                <w:sz w:val="14"/>
                <w:szCs w:val="14"/>
                <w:color w:val="auto"/>
              </w:rPr>
            </w:pPr>
          </w:p>
        </w:tc>
        <w:tc>
          <w:tcPr>
            <w:tcW w:w="5840" w:type="dxa"/>
            <w:vAlign w:val="bottom"/>
            <w:vMerge w:val="restart"/>
          </w:tcPr>
          <w:p>
            <w:pPr>
              <w:ind w:left="3440"/>
              <w:spacing w:after="0"/>
              <w:rPr>
                <w:sz w:val="20"/>
                <w:szCs w:val="20"/>
                <w:color w:val="auto"/>
              </w:rPr>
            </w:pPr>
            <w:r>
              <w:rPr>
                <w:rFonts w:ascii="Arial" w:cs="Arial" w:eastAsia="Arial" w:hAnsi="Arial"/>
                <w:sz w:val="11"/>
                <w:szCs w:val="11"/>
                <w:color w:val="auto"/>
                <w:w w:val="96"/>
              </w:rPr>
              <w:t>SHELL ANNUAL REPORT AND FORM 20-F 2014</w:t>
            </w:r>
          </w:p>
        </w:tc>
        <w:tc>
          <w:tcPr>
            <w:tcW w:w="0" w:type="dxa"/>
            <w:vAlign w:val="bottom"/>
          </w:tcPr>
          <w:p>
            <w:pPr>
              <w:spacing w:after="0"/>
              <w:rPr>
                <w:sz w:val="1"/>
                <w:szCs w:val="1"/>
                <w:color w:val="auto"/>
              </w:rPr>
            </w:pPr>
          </w:p>
        </w:tc>
      </w:tr>
      <w:tr>
        <w:trPr>
          <w:trHeight w:val="121"/>
        </w:trPr>
        <w:tc>
          <w:tcPr>
            <w:tcW w:w="700" w:type="dxa"/>
            <w:vAlign w:val="bottom"/>
          </w:tcPr>
          <w:p>
            <w:pPr>
              <w:spacing w:after="0"/>
              <w:rPr>
                <w:sz w:val="10"/>
                <w:szCs w:val="10"/>
                <w:color w:val="auto"/>
              </w:rPr>
            </w:pPr>
          </w:p>
        </w:tc>
        <w:tc>
          <w:tcPr>
            <w:tcW w:w="4880" w:type="dxa"/>
            <w:vAlign w:val="bottom"/>
          </w:tcPr>
          <w:p>
            <w:pPr>
              <w:jc w:val="right"/>
              <w:ind w:right="741"/>
              <w:spacing w:after="0" w:line="121" w:lineRule="exact"/>
              <w:rPr>
                <w:sz w:val="20"/>
                <w:szCs w:val="20"/>
                <w:color w:val="auto"/>
              </w:rPr>
            </w:pPr>
            <w:r>
              <w:rPr>
                <w:rFonts w:ascii="Arial" w:cs="Arial" w:eastAsia="Arial" w:hAnsi="Arial"/>
                <w:sz w:val="11"/>
                <w:szCs w:val="11"/>
                <w:color w:val="auto"/>
              </w:rPr>
              <w:t>SUPPLEMENTARY INFORMATION – OIL AND GAS (UNAUDITED)</w:t>
            </w:r>
          </w:p>
        </w:tc>
        <w:tc>
          <w:tcPr>
            <w:tcW w:w="58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rPr>
          <w:sz w:val="20"/>
          <w:szCs w:val="20"/>
          <w:color w:val="auto"/>
        </w:rPr>
      </w:pPr>
      <w:r>
        <w:rPr>
          <w:rFonts w:ascii="Arial" w:cs="Arial" w:eastAsia="Arial" w:hAnsi="Arial"/>
          <w:sz w:val="18"/>
          <w:szCs w:val="18"/>
          <w:color w:val="auto"/>
        </w:rPr>
        <w:t>OIL AND GAS EXPLORATION AND PRODUCTION ACTIVITIES EARNINGS</w:t>
      </w:r>
    </w:p>
    <w:p>
      <w:pPr>
        <w:spacing w:after="0" w:line="1" w:lineRule="exact"/>
        <w:rPr>
          <w:sz w:val="20"/>
          <w:szCs w:val="20"/>
          <w:color w:val="auto"/>
        </w:rPr>
      </w:pPr>
    </w:p>
    <w:p>
      <w:pPr>
        <w:ind w:right="40"/>
        <w:spacing w:after="0" w:line="258" w:lineRule="auto"/>
        <w:rPr>
          <w:sz w:val="20"/>
          <w:szCs w:val="20"/>
          <w:color w:val="auto"/>
        </w:rPr>
      </w:pPr>
      <w:r>
        <w:rPr>
          <w:rFonts w:ascii="Arial" w:cs="Arial" w:eastAsia="Arial" w:hAnsi="Arial"/>
          <w:sz w:val="14"/>
          <w:szCs w:val="14"/>
          <w:color w:val="auto"/>
        </w:rPr>
        <w:t xml:space="preserve">The results of operations for oil and gas producing activities are shown in the tables below. As a result of the adoption of IFRS 11 </w:t>
      </w:r>
      <w:r>
        <w:rPr>
          <w:rFonts w:ascii="Arial" w:cs="Arial" w:eastAsia="Arial" w:hAnsi="Arial"/>
          <w:sz w:val="14"/>
          <w:szCs w:val="14"/>
          <w:i w:val="1"/>
          <w:iCs w:val="1"/>
          <w:color w:val="auto"/>
        </w:rPr>
        <w:t>Joint Arrangements</w:t>
      </w:r>
      <w:r>
        <w:rPr>
          <w:rFonts w:ascii="Arial" w:cs="Arial" w:eastAsia="Arial" w:hAnsi="Arial"/>
          <w:sz w:val="14"/>
          <w:szCs w:val="14"/>
          <w:color w:val="auto"/>
        </w:rPr>
        <w:t>, the earnings of certain entities in Asia and the USA, which were previously presented under the Shell share of joint ventures and associates, are presented under Shell subsidiaries with effect from 2013.</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auto"/>
        </w:rPr>
        <w:t>Shell subsidiaries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3500" w:type="dxa"/>
            <w:vAlign w:val="bottom"/>
            <w:shd w:val="clear" w:color="auto" w:fill="333333"/>
          </w:tcPr>
          <w:p>
            <w:pPr>
              <w:ind w:left="80"/>
              <w:spacing w:after="0"/>
              <w:rPr>
                <w:sz w:val="20"/>
                <w:szCs w:val="20"/>
                <w:color w:val="auto"/>
              </w:rPr>
            </w:pPr>
            <w:r>
              <w:rPr>
                <w:rFonts w:ascii="Arial" w:cs="Arial" w:eastAsia="Arial" w:hAnsi="Arial"/>
                <w:sz w:val="15"/>
                <w:szCs w:val="15"/>
                <w:b w:val="1"/>
                <w:bCs w:val="1"/>
                <w:color w:val="FFFFFF"/>
              </w:rPr>
              <w:t>2014</w:t>
            </w:r>
          </w:p>
        </w:tc>
        <w:tc>
          <w:tcPr>
            <w:tcW w:w="1720" w:type="dxa"/>
            <w:vAlign w:val="bottom"/>
            <w:shd w:val="clear" w:color="auto" w:fill="333333"/>
          </w:tcPr>
          <w:p>
            <w:pPr>
              <w:spacing w:after="0"/>
              <w:rPr>
                <w:sz w:val="14"/>
                <w:szCs w:val="14"/>
                <w:color w:val="auto"/>
              </w:rPr>
            </w:pPr>
          </w:p>
        </w:tc>
        <w:tc>
          <w:tcPr>
            <w:tcW w:w="840" w:type="dxa"/>
            <w:vAlign w:val="bottom"/>
            <w:shd w:val="clear" w:color="auto" w:fill="333333"/>
          </w:tcPr>
          <w:p>
            <w:pPr>
              <w:spacing w:after="0"/>
              <w:rPr>
                <w:sz w:val="14"/>
                <w:szCs w:val="14"/>
                <w:color w:val="auto"/>
              </w:rPr>
            </w:pPr>
          </w:p>
        </w:tc>
        <w:tc>
          <w:tcPr>
            <w:tcW w:w="860" w:type="dxa"/>
            <w:vAlign w:val="bottom"/>
            <w:shd w:val="clear" w:color="auto" w:fill="333333"/>
          </w:tcPr>
          <w:p>
            <w:pPr>
              <w:spacing w:after="0"/>
              <w:rPr>
                <w:sz w:val="14"/>
                <w:szCs w:val="14"/>
                <w:color w:val="auto"/>
              </w:rPr>
            </w:pPr>
          </w:p>
        </w:tc>
        <w:tc>
          <w:tcPr>
            <w:tcW w:w="600" w:type="dxa"/>
            <w:vAlign w:val="bottom"/>
            <w:shd w:val="clear" w:color="auto" w:fill="333333"/>
          </w:tcPr>
          <w:p>
            <w:pPr>
              <w:spacing w:after="0"/>
              <w:rPr>
                <w:sz w:val="14"/>
                <w:szCs w:val="14"/>
                <w:color w:val="auto"/>
              </w:rPr>
            </w:pPr>
          </w:p>
        </w:tc>
        <w:tc>
          <w:tcPr>
            <w:tcW w:w="820" w:type="dxa"/>
            <w:vAlign w:val="bottom"/>
            <w:shd w:val="clear" w:color="auto" w:fill="333333"/>
          </w:tcPr>
          <w:p>
            <w:pPr>
              <w:spacing w:after="0"/>
              <w:rPr>
                <w:sz w:val="14"/>
                <w:szCs w:val="14"/>
                <w:color w:val="auto"/>
              </w:rPr>
            </w:pPr>
          </w:p>
        </w:tc>
        <w:tc>
          <w:tcPr>
            <w:tcW w:w="920" w:type="dxa"/>
            <w:vAlign w:val="bottom"/>
            <w:shd w:val="clear" w:color="auto" w:fill="333333"/>
          </w:tcPr>
          <w:p>
            <w:pPr>
              <w:spacing w:after="0"/>
              <w:rPr>
                <w:sz w:val="14"/>
                <w:szCs w:val="14"/>
                <w:color w:val="auto"/>
              </w:rPr>
            </w:pPr>
          </w:p>
        </w:tc>
        <w:tc>
          <w:tcPr>
            <w:tcW w:w="760" w:type="dxa"/>
            <w:vAlign w:val="bottom"/>
            <w:shd w:val="clear" w:color="auto" w:fill="333333"/>
          </w:tcPr>
          <w:p>
            <w:pPr>
              <w:spacing w:after="0"/>
              <w:rPr>
                <w:sz w:val="14"/>
                <w:szCs w:val="14"/>
                <w:color w:val="auto"/>
              </w:rPr>
            </w:pPr>
          </w:p>
        </w:tc>
        <w:tc>
          <w:tcPr>
            <w:tcW w:w="120" w:type="dxa"/>
            <w:vAlign w:val="bottom"/>
            <w:shd w:val="clear" w:color="auto" w:fill="333333"/>
          </w:tcPr>
          <w:p>
            <w:pPr>
              <w:spacing w:after="0"/>
              <w:rPr>
                <w:sz w:val="14"/>
                <w:szCs w:val="14"/>
                <w:color w:val="auto"/>
              </w:rPr>
            </w:pPr>
          </w:p>
        </w:tc>
        <w:tc>
          <w:tcPr>
            <w:tcW w:w="1280" w:type="dxa"/>
            <w:vAlign w:val="bottom"/>
            <w:shd w:val="clear" w:color="auto" w:fill="333333"/>
          </w:tcPr>
          <w:p>
            <w:pPr>
              <w:jc w:val="right"/>
              <w:ind w:right="48"/>
              <w:spacing w:after="0"/>
              <w:rPr>
                <w:sz w:val="20"/>
                <w:szCs w:val="20"/>
                <w:color w:val="auto"/>
              </w:rPr>
            </w:pPr>
            <w:r>
              <w:rPr>
                <w:rFonts w:ascii="Arial" w:cs="Arial" w:eastAsia="Arial" w:hAnsi="Arial"/>
                <w:sz w:val="15"/>
                <w:szCs w:val="15"/>
                <w:color w:val="FFFFFF"/>
              </w:rPr>
              <w:t>$ MILLION</w:t>
            </w:r>
          </w:p>
        </w:tc>
      </w:tr>
      <w:tr>
        <w:trPr>
          <w:trHeight w:val="156"/>
        </w:trPr>
        <w:tc>
          <w:tcPr>
            <w:tcW w:w="350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2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29"/>
              <w:spacing w:after="0"/>
              <w:rPr>
                <w:sz w:val="20"/>
                <w:szCs w:val="20"/>
                <w:color w:val="auto"/>
              </w:rPr>
            </w:pPr>
            <w:r>
              <w:rPr>
                <w:rFonts w:ascii="Arial" w:cs="Arial" w:eastAsia="Arial" w:hAnsi="Arial"/>
                <w:sz w:val="13"/>
                <w:szCs w:val="13"/>
                <w:color w:val="auto"/>
                <w:w w:val="96"/>
              </w:rPr>
              <w:t>North America</w:t>
            </w:r>
          </w:p>
        </w:tc>
        <w:tc>
          <w:tcPr>
            <w:tcW w:w="880" w:type="dxa"/>
            <w:vAlign w:val="bottom"/>
            <w:gridSpan w:val="2"/>
          </w:tcPr>
          <w:p>
            <w:pPr>
              <w:jc w:val="right"/>
              <w:ind w:right="120"/>
              <w:spacing w:after="0"/>
              <w:rPr>
                <w:sz w:val="20"/>
                <w:szCs w:val="20"/>
                <w:color w:val="auto"/>
              </w:rPr>
            </w:pPr>
            <w:r>
              <w:rPr>
                <w:rFonts w:ascii="Arial" w:cs="Arial" w:eastAsia="Arial" w:hAnsi="Arial"/>
                <w:sz w:val="13"/>
                <w:szCs w:val="13"/>
                <w:color w:val="auto"/>
              </w:rPr>
              <w:t>South</w:t>
            </w:r>
          </w:p>
        </w:tc>
        <w:tc>
          <w:tcPr>
            <w:tcW w:w="1280" w:type="dxa"/>
            <w:vAlign w:val="bottom"/>
          </w:tcPr>
          <w:p>
            <w:pPr>
              <w:spacing w:after="0"/>
              <w:rPr>
                <w:sz w:val="13"/>
                <w:szCs w:val="13"/>
                <w:color w:val="auto"/>
              </w:rPr>
            </w:pPr>
          </w:p>
        </w:tc>
      </w:tr>
      <w:tr>
        <w:trPr>
          <w:trHeight w:val="135"/>
        </w:trPr>
        <w:tc>
          <w:tcPr>
            <w:tcW w:w="3500" w:type="dxa"/>
            <w:vAlign w:val="bottom"/>
          </w:tcPr>
          <w:p>
            <w:pPr>
              <w:spacing w:after="0"/>
              <w:rPr>
                <w:sz w:val="11"/>
                <w:szCs w:val="11"/>
                <w:color w:val="auto"/>
              </w:rPr>
            </w:pPr>
          </w:p>
        </w:tc>
        <w:tc>
          <w:tcPr>
            <w:tcW w:w="1720" w:type="dxa"/>
            <w:vAlign w:val="bottom"/>
          </w:tcPr>
          <w:p>
            <w:pPr>
              <w:jc w:val="right"/>
              <w:ind w:right="129"/>
              <w:spacing w:after="0" w:line="135" w:lineRule="exact"/>
              <w:rPr>
                <w:sz w:val="20"/>
                <w:szCs w:val="20"/>
                <w:color w:val="auto"/>
              </w:rPr>
            </w:pPr>
            <w:r>
              <w:rPr>
                <w:rFonts w:ascii="Arial" w:cs="Arial" w:eastAsia="Arial" w:hAnsi="Arial"/>
                <w:sz w:val="13"/>
                <w:szCs w:val="13"/>
                <w:color w:val="auto"/>
              </w:rPr>
              <w:t>Europe[A]</w:t>
            </w:r>
          </w:p>
        </w:tc>
        <w:tc>
          <w:tcPr>
            <w:tcW w:w="840" w:type="dxa"/>
            <w:vAlign w:val="bottom"/>
          </w:tcPr>
          <w:p>
            <w:pPr>
              <w:jc w:val="right"/>
              <w:ind w:right="129"/>
              <w:spacing w:after="0" w:line="135" w:lineRule="exact"/>
              <w:rPr>
                <w:sz w:val="20"/>
                <w:szCs w:val="20"/>
                <w:color w:val="auto"/>
              </w:rPr>
            </w:pPr>
            <w:r>
              <w:rPr>
                <w:rFonts w:ascii="Arial" w:cs="Arial" w:eastAsia="Arial" w:hAnsi="Arial"/>
                <w:sz w:val="13"/>
                <w:szCs w:val="13"/>
                <w:color w:val="auto"/>
              </w:rPr>
              <w:t>Asia</w:t>
            </w:r>
          </w:p>
        </w:tc>
        <w:tc>
          <w:tcPr>
            <w:tcW w:w="860" w:type="dxa"/>
            <w:vAlign w:val="bottom"/>
          </w:tcPr>
          <w:p>
            <w:pPr>
              <w:jc w:val="right"/>
              <w:ind w:right="109"/>
              <w:spacing w:after="0" w:line="135" w:lineRule="exact"/>
              <w:rPr>
                <w:sz w:val="20"/>
                <w:szCs w:val="20"/>
                <w:color w:val="auto"/>
              </w:rPr>
            </w:pPr>
            <w:r>
              <w:rPr>
                <w:rFonts w:ascii="Arial" w:cs="Arial" w:eastAsia="Arial" w:hAnsi="Arial"/>
                <w:sz w:val="13"/>
                <w:szCs w:val="13"/>
                <w:color w:val="auto"/>
              </w:rPr>
              <w:t>Oceania</w:t>
            </w:r>
          </w:p>
        </w:tc>
        <w:tc>
          <w:tcPr>
            <w:tcW w:w="600" w:type="dxa"/>
            <w:vAlign w:val="bottom"/>
          </w:tcPr>
          <w:p>
            <w:pPr>
              <w:jc w:val="right"/>
              <w:ind w:right="49"/>
              <w:spacing w:after="0" w:line="135" w:lineRule="exact"/>
              <w:rPr>
                <w:sz w:val="20"/>
                <w:szCs w:val="20"/>
                <w:color w:val="auto"/>
              </w:rPr>
            </w:pPr>
            <w:r>
              <w:rPr>
                <w:rFonts w:ascii="Arial" w:cs="Arial" w:eastAsia="Arial" w:hAnsi="Arial"/>
                <w:sz w:val="13"/>
                <w:szCs w:val="13"/>
                <w:color w:val="auto"/>
              </w:rPr>
              <w:t>Africa</w:t>
            </w:r>
          </w:p>
        </w:tc>
        <w:tc>
          <w:tcPr>
            <w:tcW w:w="820" w:type="dxa"/>
            <w:vAlign w:val="bottom"/>
          </w:tcPr>
          <w:p>
            <w:pPr>
              <w:jc w:val="right"/>
              <w:spacing w:after="0" w:line="135" w:lineRule="exact"/>
              <w:rPr>
                <w:sz w:val="20"/>
                <w:szCs w:val="20"/>
                <w:color w:val="auto"/>
              </w:rPr>
            </w:pPr>
            <w:r>
              <w:rPr>
                <w:rFonts w:ascii="Arial" w:cs="Arial" w:eastAsia="Arial" w:hAnsi="Arial"/>
                <w:sz w:val="13"/>
                <w:szCs w:val="13"/>
                <w:color w:val="auto"/>
              </w:rPr>
              <w:t>USA</w:t>
            </w:r>
          </w:p>
        </w:tc>
        <w:tc>
          <w:tcPr>
            <w:tcW w:w="920" w:type="dxa"/>
            <w:vAlign w:val="bottom"/>
          </w:tcPr>
          <w:p>
            <w:pPr>
              <w:jc w:val="right"/>
              <w:ind w:right="29"/>
              <w:spacing w:after="0" w:line="135" w:lineRule="exact"/>
              <w:rPr>
                <w:sz w:val="20"/>
                <w:szCs w:val="20"/>
                <w:color w:val="auto"/>
              </w:rPr>
            </w:pPr>
            <w:r>
              <w:rPr>
                <w:rFonts w:ascii="Arial" w:cs="Arial" w:eastAsia="Arial" w:hAnsi="Arial"/>
                <w:sz w:val="13"/>
                <w:szCs w:val="13"/>
                <w:color w:val="auto"/>
              </w:rPr>
              <w:t>Canada</w:t>
            </w:r>
          </w:p>
        </w:tc>
        <w:tc>
          <w:tcPr>
            <w:tcW w:w="880" w:type="dxa"/>
            <w:vAlign w:val="bottom"/>
            <w:gridSpan w:val="2"/>
          </w:tcPr>
          <w:p>
            <w:pPr>
              <w:jc w:val="right"/>
              <w:ind w:right="120"/>
              <w:spacing w:after="0" w:line="132" w:lineRule="exact"/>
              <w:rPr>
                <w:sz w:val="20"/>
                <w:szCs w:val="20"/>
                <w:color w:val="auto"/>
              </w:rPr>
            </w:pPr>
            <w:r>
              <w:rPr>
                <w:rFonts w:ascii="Arial" w:cs="Arial" w:eastAsia="Arial" w:hAnsi="Arial"/>
                <w:sz w:val="13"/>
                <w:szCs w:val="13"/>
                <w:color w:val="auto"/>
              </w:rPr>
              <w:t>America</w:t>
            </w:r>
          </w:p>
        </w:tc>
        <w:tc>
          <w:tcPr>
            <w:tcW w:w="1280" w:type="dxa"/>
            <w:vAlign w:val="bottom"/>
          </w:tcPr>
          <w:p>
            <w:pPr>
              <w:jc w:val="right"/>
              <w:ind w:right="48"/>
              <w:spacing w:after="0" w:line="135" w:lineRule="exact"/>
              <w:rPr>
                <w:sz w:val="20"/>
                <w:szCs w:val="20"/>
                <w:color w:val="auto"/>
              </w:rPr>
            </w:pPr>
            <w:r>
              <w:rPr>
                <w:rFonts w:ascii="Arial" w:cs="Arial" w:eastAsia="Arial" w:hAnsi="Arial"/>
                <w:sz w:val="13"/>
                <w:szCs w:val="13"/>
                <w:color w:val="auto"/>
              </w:rPr>
              <w:t>Total</w:t>
            </w:r>
          </w:p>
        </w:tc>
      </w:tr>
      <w:tr>
        <w:trPr>
          <w:trHeight w:val="160"/>
        </w:trPr>
        <w:tc>
          <w:tcPr>
            <w:tcW w:w="3500" w:type="dxa"/>
            <w:vAlign w:val="bottom"/>
            <w:tcBorders>
              <w:top w:val="single" w:sz="8" w:color="auto"/>
            </w:tcBorders>
          </w:tcPr>
          <w:p>
            <w:pPr>
              <w:spacing w:after="0"/>
              <w:rPr>
                <w:sz w:val="20"/>
                <w:szCs w:val="20"/>
                <w:color w:val="auto"/>
              </w:rPr>
            </w:pPr>
            <w:r>
              <w:rPr>
                <w:rFonts w:ascii="Arial" w:cs="Arial" w:eastAsia="Arial" w:hAnsi="Arial"/>
                <w:sz w:val="14"/>
                <w:szCs w:val="14"/>
                <w:color w:val="auto"/>
              </w:rPr>
              <w:t>Revenue</w:t>
            </w:r>
          </w:p>
        </w:tc>
        <w:tc>
          <w:tcPr>
            <w:tcW w:w="172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tcPr>
          <w:p>
            <w:pPr>
              <w:spacing w:after="0"/>
              <w:rPr>
                <w:sz w:val="13"/>
                <w:szCs w:val="13"/>
                <w:color w:val="auto"/>
              </w:rPr>
            </w:pPr>
          </w:p>
        </w:tc>
        <w:tc>
          <w:tcPr>
            <w:tcW w:w="60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280" w:type="dxa"/>
            <w:vAlign w:val="bottom"/>
            <w:tcBorders>
              <w:top w:val="single" w:sz="8" w:color="auto"/>
            </w:tcBorders>
          </w:tcPr>
          <w:p>
            <w:pPr>
              <w:spacing w:after="0"/>
              <w:rPr>
                <w:sz w:val="13"/>
                <w:szCs w:val="13"/>
                <w:color w:val="auto"/>
              </w:rPr>
            </w:pPr>
          </w:p>
        </w:tc>
      </w:tr>
      <w:tr>
        <w:trPr>
          <w:trHeight w:val="162"/>
        </w:trPr>
        <w:tc>
          <w:tcPr>
            <w:tcW w:w="3500" w:type="dxa"/>
            <w:vAlign w:val="bottom"/>
          </w:tcPr>
          <w:p>
            <w:pPr>
              <w:ind w:left="140"/>
              <w:spacing w:after="0"/>
              <w:rPr>
                <w:sz w:val="20"/>
                <w:szCs w:val="20"/>
                <w:color w:val="auto"/>
              </w:rPr>
            </w:pPr>
            <w:r>
              <w:rPr>
                <w:rFonts w:ascii="Arial" w:cs="Arial" w:eastAsia="Arial" w:hAnsi="Arial"/>
                <w:sz w:val="14"/>
                <w:szCs w:val="14"/>
                <w:color w:val="auto"/>
              </w:rPr>
              <w:t>Third parties</w:t>
            </w:r>
          </w:p>
        </w:tc>
        <w:tc>
          <w:tcPr>
            <w:tcW w:w="1720" w:type="dxa"/>
            <w:vAlign w:val="bottom"/>
          </w:tcPr>
          <w:p>
            <w:pPr>
              <w:jc w:val="right"/>
              <w:ind w:right="269"/>
              <w:spacing w:after="0"/>
              <w:rPr>
                <w:sz w:val="20"/>
                <w:szCs w:val="20"/>
                <w:color w:val="auto"/>
              </w:rPr>
            </w:pPr>
            <w:r>
              <w:rPr>
                <w:rFonts w:ascii="Arial" w:cs="Arial" w:eastAsia="Arial" w:hAnsi="Arial"/>
                <w:sz w:val="14"/>
                <w:szCs w:val="14"/>
                <w:color w:val="auto"/>
              </w:rPr>
              <w:t>2,808</w:t>
            </w:r>
          </w:p>
        </w:tc>
        <w:tc>
          <w:tcPr>
            <w:tcW w:w="840" w:type="dxa"/>
            <w:vAlign w:val="bottom"/>
          </w:tcPr>
          <w:p>
            <w:pPr>
              <w:jc w:val="right"/>
              <w:ind w:right="129"/>
              <w:spacing w:after="0"/>
              <w:rPr>
                <w:sz w:val="20"/>
                <w:szCs w:val="20"/>
                <w:color w:val="auto"/>
              </w:rPr>
            </w:pPr>
            <w:r>
              <w:rPr>
                <w:rFonts w:ascii="Arial" w:cs="Arial" w:eastAsia="Arial" w:hAnsi="Arial"/>
                <w:sz w:val="14"/>
                <w:szCs w:val="14"/>
                <w:color w:val="auto"/>
              </w:rPr>
              <w:t>4,914</w:t>
            </w:r>
          </w:p>
        </w:tc>
        <w:tc>
          <w:tcPr>
            <w:tcW w:w="860" w:type="dxa"/>
            <w:vAlign w:val="bottom"/>
          </w:tcPr>
          <w:p>
            <w:pPr>
              <w:jc w:val="right"/>
              <w:ind w:right="109"/>
              <w:spacing w:after="0"/>
              <w:rPr>
                <w:sz w:val="20"/>
                <w:szCs w:val="20"/>
                <w:color w:val="auto"/>
              </w:rPr>
            </w:pPr>
            <w:r>
              <w:rPr>
                <w:rFonts w:ascii="Arial" w:cs="Arial" w:eastAsia="Arial" w:hAnsi="Arial"/>
                <w:sz w:val="14"/>
                <w:szCs w:val="14"/>
                <w:color w:val="auto"/>
              </w:rPr>
              <w:t>1,867</w:t>
            </w:r>
          </w:p>
        </w:tc>
        <w:tc>
          <w:tcPr>
            <w:tcW w:w="600" w:type="dxa"/>
            <w:vAlign w:val="bottom"/>
          </w:tcPr>
          <w:p>
            <w:pPr>
              <w:jc w:val="right"/>
              <w:ind w:right="49"/>
              <w:spacing w:after="0"/>
              <w:rPr>
                <w:sz w:val="20"/>
                <w:szCs w:val="20"/>
                <w:color w:val="auto"/>
              </w:rPr>
            </w:pPr>
            <w:r>
              <w:rPr>
                <w:rFonts w:ascii="Arial" w:cs="Arial" w:eastAsia="Arial" w:hAnsi="Arial"/>
                <w:sz w:val="14"/>
                <w:szCs w:val="14"/>
                <w:color w:val="auto"/>
              </w:rPr>
              <w:t>3,004</w:t>
            </w:r>
          </w:p>
        </w:tc>
        <w:tc>
          <w:tcPr>
            <w:tcW w:w="820" w:type="dxa"/>
            <w:vAlign w:val="bottom"/>
          </w:tcPr>
          <w:p>
            <w:pPr>
              <w:jc w:val="right"/>
              <w:spacing w:after="0"/>
              <w:rPr>
                <w:sz w:val="20"/>
                <w:szCs w:val="20"/>
                <w:color w:val="auto"/>
              </w:rPr>
            </w:pPr>
            <w:r>
              <w:rPr>
                <w:rFonts w:ascii="Arial" w:cs="Arial" w:eastAsia="Arial" w:hAnsi="Arial"/>
                <w:sz w:val="14"/>
                <w:szCs w:val="14"/>
                <w:color w:val="auto"/>
              </w:rPr>
              <w:t>1,078</w:t>
            </w:r>
          </w:p>
        </w:tc>
        <w:tc>
          <w:tcPr>
            <w:tcW w:w="920" w:type="dxa"/>
            <w:vAlign w:val="bottom"/>
          </w:tcPr>
          <w:p>
            <w:pPr>
              <w:jc w:val="right"/>
              <w:ind w:right="29"/>
              <w:spacing w:after="0"/>
              <w:rPr>
                <w:sz w:val="20"/>
                <w:szCs w:val="20"/>
                <w:color w:val="auto"/>
              </w:rPr>
            </w:pPr>
            <w:r>
              <w:rPr>
                <w:rFonts w:ascii="Arial" w:cs="Arial" w:eastAsia="Arial" w:hAnsi="Arial"/>
                <w:sz w:val="14"/>
                <w:szCs w:val="14"/>
                <w:color w:val="auto"/>
              </w:rPr>
              <w:t>202</w:t>
            </w:r>
          </w:p>
        </w:tc>
        <w:tc>
          <w:tcPr>
            <w:tcW w:w="880" w:type="dxa"/>
            <w:vAlign w:val="bottom"/>
            <w:gridSpan w:val="2"/>
          </w:tcPr>
          <w:p>
            <w:pPr>
              <w:jc w:val="right"/>
              <w:ind w:right="120"/>
              <w:spacing w:after="0"/>
              <w:rPr>
                <w:sz w:val="20"/>
                <w:szCs w:val="20"/>
                <w:color w:val="auto"/>
              </w:rPr>
            </w:pPr>
            <w:r>
              <w:rPr>
                <w:rFonts w:ascii="Arial" w:cs="Arial" w:eastAsia="Arial" w:hAnsi="Arial"/>
                <w:sz w:val="14"/>
                <w:szCs w:val="14"/>
                <w:color w:val="auto"/>
              </w:rPr>
              <w:t>126</w:t>
            </w:r>
          </w:p>
        </w:tc>
        <w:tc>
          <w:tcPr>
            <w:tcW w:w="1280" w:type="dxa"/>
            <w:vAlign w:val="bottom"/>
          </w:tcPr>
          <w:p>
            <w:pPr>
              <w:jc w:val="right"/>
              <w:ind w:right="48"/>
              <w:spacing w:after="0"/>
              <w:rPr>
                <w:sz w:val="20"/>
                <w:szCs w:val="20"/>
                <w:color w:val="auto"/>
              </w:rPr>
            </w:pPr>
            <w:r>
              <w:rPr>
                <w:rFonts w:ascii="Arial" w:cs="Arial" w:eastAsia="Arial" w:hAnsi="Arial"/>
                <w:sz w:val="14"/>
                <w:szCs w:val="14"/>
                <w:color w:val="auto"/>
              </w:rPr>
              <w:t>13,999</w:t>
            </w:r>
          </w:p>
        </w:tc>
      </w:tr>
      <w:tr>
        <w:trPr>
          <w:trHeight w:val="157"/>
        </w:trPr>
        <w:tc>
          <w:tcPr>
            <w:tcW w:w="3500" w:type="dxa"/>
            <w:vAlign w:val="bottom"/>
            <w:tcBorders>
              <w:bottom w:val="single" w:sz="8" w:color="auto"/>
            </w:tcBorders>
          </w:tcPr>
          <w:p>
            <w:pPr>
              <w:ind w:left="140"/>
              <w:spacing w:after="0" w:line="157" w:lineRule="exact"/>
              <w:rPr>
                <w:sz w:val="20"/>
                <w:szCs w:val="20"/>
                <w:color w:val="auto"/>
              </w:rPr>
            </w:pPr>
            <w:r>
              <w:rPr>
                <w:rFonts w:ascii="Arial" w:cs="Arial" w:eastAsia="Arial" w:hAnsi="Arial"/>
                <w:sz w:val="14"/>
                <w:szCs w:val="14"/>
                <w:color w:val="auto"/>
              </w:rPr>
              <w:t>Sales between businesses</w:t>
            </w:r>
          </w:p>
        </w:tc>
        <w:tc>
          <w:tcPr>
            <w:tcW w:w="1720" w:type="dxa"/>
            <w:vAlign w:val="bottom"/>
            <w:tcBorders>
              <w:bottom w:val="single" w:sz="8" w:color="auto"/>
            </w:tcBorders>
          </w:tcPr>
          <w:p>
            <w:pPr>
              <w:jc w:val="right"/>
              <w:ind w:right="269"/>
              <w:spacing w:after="0" w:line="157" w:lineRule="exact"/>
              <w:rPr>
                <w:sz w:val="20"/>
                <w:szCs w:val="20"/>
                <w:color w:val="auto"/>
              </w:rPr>
            </w:pPr>
            <w:r>
              <w:rPr>
                <w:rFonts w:ascii="Arial" w:cs="Arial" w:eastAsia="Arial" w:hAnsi="Arial"/>
                <w:sz w:val="14"/>
                <w:szCs w:val="14"/>
                <w:color w:val="auto"/>
              </w:rPr>
              <w:t>7,869</w:t>
            </w:r>
          </w:p>
        </w:tc>
        <w:tc>
          <w:tcPr>
            <w:tcW w:w="840" w:type="dxa"/>
            <w:vAlign w:val="bottom"/>
            <w:tcBorders>
              <w:bottom w:val="single" w:sz="8" w:color="auto"/>
            </w:tcBorders>
          </w:tcPr>
          <w:p>
            <w:pPr>
              <w:jc w:val="right"/>
              <w:ind w:right="129"/>
              <w:spacing w:after="0" w:line="157" w:lineRule="exact"/>
              <w:rPr>
                <w:sz w:val="20"/>
                <w:szCs w:val="20"/>
                <w:color w:val="auto"/>
              </w:rPr>
            </w:pPr>
            <w:r>
              <w:rPr>
                <w:rFonts w:ascii="Arial" w:cs="Arial" w:eastAsia="Arial" w:hAnsi="Arial"/>
                <w:sz w:val="14"/>
                <w:szCs w:val="14"/>
                <w:color w:val="auto"/>
              </w:rPr>
              <w:t>13,973</w:t>
            </w:r>
          </w:p>
        </w:tc>
        <w:tc>
          <w:tcPr>
            <w:tcW w:w="860" w:type="dxa"/>
            <w:vAlign w:val="bottom"/>
            <w:tcBorders>
              <w:bottom w:val="single" w:sz="8" w:color="auto"/>
            </w:tcBorders>
          </w:tcPr>
          <w:p>
            <w:pPr>
              <w:jc w:val="right"/>
              <w:ind w:right="109"/>
              <w:spacing w:after="0" w:line="157" w:lineRule="exact"/>
              <w:rPr>
                <w:sz w:val="20"/>
                <w:szCs w:val="20"/>
                <w:color w:val="auto"/>
              </w:rPr>
            </w:pPr>
            <w:r>
              <w:rPr>
                <w:rFonts w:ascii="Arial" w:cs="Arial" w:eastAsia="Arial" w:hAnsi="Arial"/>
                <w:sz w:val="14"/>
                <w:szCs w:val="14"/>
                <w:color w:val="auto"/>
              </w:rPr>
              <w:t>990</w:t>
            </w:r>
          </w:p>
        </w:tc>
        <w:tc>
          <w:tcPr>
            <w:tcW w:w="600" w:type="dxa"/>
            <w:vAlign w:val="bottom"/>
            <w:tcBorders>
              <w:bottom w:val="single" w:sz="8" w:color="auto"/>
            </w:tcBorders>
          </w:tcPr>
          <w:p>
            <w:pPr>
              <w:jc w:val="right"/>
              <w:ind w:right="49"/>
              <w:spacing w:after="0" w:line="157" w:lineRule="exact"/>
              <w:rPr>
                <w:sz w:val="20"/>
                <w:szCs w:val="20"/>
                <w:color w:val="auto"/>
              </w:rPr>
            </w:pPr>
            <w:r>
              <w:rPr>
                <w:rFonts w:ascii="Arial" w:cs="Arial" w:eastAsia="Arial" w:hAnsi="Arial"/>
                <w:sz w:val="14"/>
                <w:szCs w:val="14"/>
                <w:color w:val="auto"/>
              </w:rPr>
              <w:t>6,516</w:t>
            </w:r>
          </w:p>
        </w:tc>
        <w:tc>
          <w:tcPr>
            <w:tcW w:w="820" w:type="dxa"/>
            <w:vAlign w:val="bottom"/>
            <w:tcBorders>
              <w:bottom w:val="single" w:sz="8" w:color="auto"/>
            </w:tcBorders>
          </w:tcPr>
          <w:p>
            <w:pPr>
              <w:jc w:val="right"/>
              <w:spacing w:after="0" w:line="157" w:lineRule="exact"/>
              <w:rPr>
                <w:sz w:val="20"/>
                <w:szCs w:val="20"/>
                <w:color w:val="auto"/>
              </w:rPr>
            </w:pPr>
            <w:r>
              <w:rPr>
                <w:rFonts w:ascii="Arial" w:cs="Arial" w:eastAsia="Arial" w:hAnsi="Arial"/>
                <w:sz w:val="14"/>
                <w:szCs w:val="14"/>
                <w:color w:val="auto"/>
              </w:rPr>
              <w:t>9,903</w:t>
            </w:r>
          </w:p>
        </w:tc>
        <w:tc>
          <w:tcPr>
            <w:tcW w:w="920" w:type="dxa"/>
            <w:vAlign w:val="bottom"/>
            <w:tcBorders>
              <w:bottom w:val="single" w:sz="8" w:color="auto"/>
            </w:tcBorders>
          </w:tcPr>
          <w:p>
            <w:pPr>
              <w:jc w:val="right"/>
              <w:ind w:right="29"/>
              <w:spacing w:after="0" w:line="157" w:lineRule="exact"/>
              <w:rPr>
                <w:sz w:val="20"/>
                <w:szCs w:val="20"/>
                <w:color w:val="auto"/>
              </w:rPr>
            </w:pPr>
            <w:r>
              <w:rPr>
                <w:rFonts w:ascii="Arial" w:cs="Arial" w:eastAsia="Arial" w:hAnsi="Arial"/>
                <w:sz w:val="14"/>
                <w:szCs w:val="14"/>
                <w:color w:val="auto"/>
              </w:rPr>
              <w:t>7,399</w:t>
            </w:r>
          </w:p>
        </w:tc>
        <w:tc>
          <w:tcPr>
            <w:tcW w:w="880" w:type="dxa"/>
            <w:vAlign w:val="bottom"/>
            <w:tcBorders>
              <w:bottom w:val="single" w:sz="8" w:color="auto"/>
            </w:tcBorders>
            <w:gridSpan w:val="2"/>
          </w:tcPr>
          <w:p>
            <w:pPr>
              <w:jc w:val="right"/>
              <w:ind w:right="120"/>
              <w:spacing w:after="0" w:line="157" w:lineRule="exact"/>
              <w:rPr>
                <w:sz w:val="20"/>
                <w:szCs w:val="20"/>
                <w:color w:val="auto"/>
              </w:rPr>
            </w:pPr>
            <w:r>
              <w:rPr>
                <w:rFonts w:ascii="Arial" w:cs="Arial" w:eastAsia="Arial" w:hAnsi="Arial"/>
                <w:sz w:val="14"/>
                <w:szCs w:val="14"/>
                <w:color w:val="auto"/>
              </w:rPr>
              <w:t>1,376</w:t>
            </w:r>
          </w:p>
        </w:tc>
        <w:tc>
          <w:tcPr>
            <w:tcW w:w="1280" w:type="dxa"/>
            <w:vAlign w:val="bottom"/>
            <w:tcBorders>
              <w:bottom w:val="single" w:sz="8" w:color="auto"/>
            </w:tcBorders>
          </w:tcPr>
          <w:p>
            <w:pPr>
              <w:jc w:val="right"/>
              <w:ind w:right="48"/>
              <w:spacing w:after="0" w:line="157" w:lineRule="exact"/>
              <w:rPr>
                <w:sz w:val="20"/>
                <w:szCs w:val="20"/>
                <w:color w:val="auto"/>
              </w:rPr>
            </w:pPr>
            <w:r>
              <w:rPr>
                <w:rFonts w:ascii="Arial" w:cs="Arial" w:eastAsia="Arial" w:hAnsi="Arial"/>
                <w:sz w:val="14"/>
                <w:szCs w:val="14"/>
                <w:color w:val="auto"/>
              </w:rPr>
              <w:t>48,026</w:t>
            </w:r>
          </w:p>
        </w:tc>
      </w:tr>
      <w:tr>
        <w:trPr>
          <w:trHeight w:val="156"/>
        </w:trPr>
        <w:tc>
          <w:tcPr>
            <w:tcW w:w="3500" w:type="dxa"/>
            <w:vAlign w:val="bottom"/>
            <w:tcBorders>
              <w:bottom w:val="single" w:sz="8" w:color="auto"/>
            </w:tcBorders>
          </w:tcPr>
          <w:p>
            <w:pPr>
              <w:spacing w:after="0" w:line="155" w:lineRule="exact"/>
              <w:rPr>
                <w:sz w:val="20"/>
                <w:szCs w:val="20"/>
                <w:color w:val="auto"/>
              </w:rPr>
            </w:pPr>
            <w:r>
              <w:rPr>
                <w:rFonts w:ascii="Arial" w:cs="Arial" w:eastAsia="Arial" w:hAnsi="Arial"/>
                <w:sz w:val="14"/>
                <w:szCs w:val="14"/>
                <w:color w:val="auto"/>
              </w:rPr>
              <w:t>Total</w:t>
            </w:r>
          </w:p>
        </w:tc>
        <w:tc>
          <w:tcPr>
            <w:tcW w:w="1720" w:type="dxa"/>
            <w:vAlign w:val="bottom"/>
            <w:tcBorders>
              <w:bottom w:val="single" w:sz="8" w:color="auto"/>
            </w:tcBorders>
          </w:tcPr>
          <w:p>
            <w:pPr>
              <w:jc w:val="right"/>
              <w:ind w:right="269"/>
              <w:spacing w:after="0" w:line="155" w:lineRule="exact"/>
              <w:rPr>
                <w:sz w:val="20"/>
                <w:szCs w:val="20"/>
                <w:color w:val="auto"/>
              </w:rPr>
            </w:pPr>
            <w:r>
              <w:rPr>
                <w:rFonts w:ascii="Arial" w:cs="Arial" w:eastAsia="Arial" w:hAnsi="Arial"/>
                <w:sz w:val="14"/>
                <w:szCs w:val="14"/>
                <w:color w:val="auto"/>
              </w:rPr>
              <w:t>10,677</w:t>
            </w:r>
          </w:p>
        </w:tc>
        <w:tc>
          <w:tcPr>
            <w:tcW w:w="840" w:type="dxa"/>
            <w:vAlign w:val="bottom"/>
            <w:tcBorders>
              <w:bottom w:val="single" w:sz="8" w:color="auto"/>
            </w:tcBorders>
          </w:tcPr>
          <w:p>
            <w:pPr>
              <w:jc w:val="right"/>
              <w:ind w:right="129"/>
              <w:spacing w:after="0" w:line="155" w:lineRule="exact"/>
              <w:rPr>
                <w:sz w:val="20"/>
                <w:szCs w:val="20"/>
                <w:color w:val="auto"/>
              </w:rPr>
            </w:pPr>
            <w:r>
              <w:rPr>
                <w:rFonts w:ascii="Arial" w:cs="Arial" w:eastAsia="Arial" w:hAnsi="Arial"/>
                <w:sz w:val="14"/>
                <w:szCs w:val="14"/>
                <w:color w:val="auto"/>
              </w:rPr>
              <w:t>18,887</w:t>
            </w:r>
          </w:p>
        </w:tc>
        <w:tc>
          <w:tcPr>
            <w:tcW w:w="860" w:type="dxa"/>
            <w:vAlign w:val="bottom"/>
            <w:tcBorders>
              <w:bottom w:val="single" w:sz="8" w:color="auto"/>
            </w:tcBorders>
          </w:tcPr>
          <w:p>
            <w:pPr>
              <w:jc w:val="right"/>
              <w:ind w:right="109"/>
              <w:spacing w:after="0" w:line="155" w:lineRule="exact"/>
              <w:rPr>
                <w:sz w:val="20"/>
                <w:szCs w:val="20"/>
                <w:color w:val="auto"/>
              </w:rPr>
            </w:pPr>
            <w:r>
              <w:rPr>
                <w:rFonts w:ascii="Arial" w:cs="Arial" w:eastAsia="Arial" w:hAnsi="Arial"/>
                <w:sz w:val="14"/>
                <w:szCs w:val="14"/>
                <w:color w:val="auto"/>
              </w:rPr>
              <w:t>2,857</w:t>
            </w:r>
          </w:p>
        </w:tc>
        <w:tc>
          <w:tcPr>
            <w:tcW w:w="600" w:type="dxa"/>
            <w:vAlign w:val="bottom"/>
            <w:tcBorders>
              <w:bottom w:val="single" w:sz="8" w:color="auto"/>
            </w:tcBorders>
          </w:tcPr>
          <w:p>
            <w:pPr>
              <w:jc w:val="right"/>
              <w:ind w:right="49"/>
              <w:spacing w:after="0" w:line="155" w:lineRule="exact"/>
              <w:rPr>
                <w:sz w:val="20"/>
                <w:szCs w:val="20"/>
                <w:color w:val="auto"/>
              </w:rPr>
            </w:pPr>
            <w:r>
              <w:rPr>
                <w:rFonts w:ascii="Arial" w:cs="Arial" w:eastAsia="Arial" w:hAnsi="Arial"/>
                <w:sz w:val="14"/>
                <w:szCs w:val="14"/>
                <w:color w:val="auto"/>
              </w:rPr>
              <w:t>9,520</w:t>
            </w:r>
          </w:p>
        </w:tc>
        <w:tc>
          <w:tcPr>
            <w:tcW w:w="8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10,981</w:t>
            </w:r>
          </w:p>
        </w:tc>
        <w:tc>
          <w:tcPr>
            <w:tcW w:w="920" w:type="dxa"/>
            <w:vAlign w:val="bottom"/>
            <w:tcBorders>
              <w:bottom w:val="single" w:sz="8" w:color="auto"/>
            </w:tcBorders>
          </w:tcPr>
          <w:p>
            <w:pPr>
              <w:jc w:val="right"/>
              <w:ind w:right="29"/>
              <w:spacing w:after="0" w:line="155" w:lineRule="exact"/>
              <w:rPr>
                <w:sz w:val="20"/>
                <w:szCs w:val="20"/>
                <w:color w:val="auto"/>
              </w:rPr>
            </w:pPr>
            <w:r>
              <w:rPr>
                <w:rFonts w:ascii="Arial" w:cs="Arial" w:eastAsia="Arial" w:hAnsi="Arial"/>
                <w:sz w:val="14"/>
                <w:szCs w:val="14"/>
                <w:color w:val="auto"/>
              </w:rPr>
              <w:t>7,601</w:t>
            </w:r>
          </w:p>
        </w:tc>
        <w:tc>
          <w:tcPr>
            <w:tcW w:w="880" w:type="dxa"/>
            <w:vAlign w:val="bottom"/>
            <w:tcBorders>
              <w:bottom w:val="single" w:sz="8" w:color="auto"/>
            </w:tcBorders>
            <w:gridSpan w:val="2"/>
          </w:tcPr>
          <w:p>
            <w:pPr>
              <w:jc w:val="right"/>
              <w:ind w:right="120"/>
              <w:spacing w:after="0" w:line="155" w:lineRule="exact"/>
              <w:rPr>
                <w:sz w:val="20"/>
                <w:szCs w:val="20"/>
                <w:color w:val="auto"/>
              </w:rPr>
            </w:pPr>
            <w:r>
              <w:rPr>
                <w:rFonts w:ascii="Arial" w:cs="Arial" w:eastAsia="Arial" w:hAnsi="Arial"/>
                <w:sz w:val="14"/>
                <w:szCs w:val="14"/>
                <w:color w:val="auto"/>
              </w:rPr>
              <w:t>1,502</w:t>
            </w:r>
          </w:p>
        </w:tc>
        <w:tc>
          <w:tcPr>
            <w:tcW w:w="1280" w:type="dxa"/>
            <w:vAlign w:val="bottom"/>
            <w:tcBorders>
              <w:bottom w:val="single" w:sz="8" w:color="auto"/>
            </w:tcBorders>
          </w:tcPr>
          <w:p>
            <w:pPr>
              <w:jc w:val="right"/>
              <w:ind w:right="48"/>
              <w:spacing w:after="0" w:line="155" w:lineRule="exact"/>
              <w:rPr>
                <w:sz w:val="20"/>
                <w:szCs w:val="20"/>
                <w:color w:val="auto"/>
              </w:rPr>
            </w:pPr>
            <w:r>
              <w:rPr>
                <w:rFonts w:ascii="Arial" w:cs="Arial" w:eastAsia="Arial" w:hAnsi="Arial"/>
                <w:sz w:val="14"/>
                <w:szCs w:val="14"/>
                <w:color w:val="auto"/>
              </w:rPr>
              <w:t>62,025</w:t>
            </w:r>
          </w:p>
        </w:tc>
      </w:tr>
      <w:tr>
        <w:trPr>
          <w:trHeight w:val="160"/>
        </w:trPr>
        <w:tc>
          <w:tcPr>
            <w:tcW w:w="3500" w:type="dxa"/>
            <w:vAlign w:val="bottom"/>
          </w:tcPr>
          <w:p>
            <w:pPr>
              <w:spacing w:after="0"/>
              <w:rPr>
                <w:sz w:val="20"/>
                <w:szCs w:val="20"/>
                <w:color w:val="auto"/>
              </w:rPr>
            </w:pPr>
            <w:r>
              <w:rPr>
                <w:rFonts w:ascii="Arial" w:cs="Arial" w:eastAsia="Arial" w:hAnsi="Arial"/>
                <w:sz w:val="14"/>
                <w:szCs w:val="14"/>
                <w:color w:val="auto"/>
              </w:rPr>
              <w:t>Production costs excluding taxes</w:t>
            </w:r>
          </w:p>
        </w:tc>
        <w:tc>
          <w:tcPr>
            <w:tcW w:w="1720" w:type="dxa"/>
            <w:vAlign w:val="bottom"/>
          </w:tcPr>
          <w:p>
            <w:pPr>
              <w:jc w:val="right"/>
              <w:ind w:right="269"/>
              <w:spacing w:after="0"/>
              <w:rPr>
                <w:sz w:val="20"/>
                <w:szCs w:val="20"/>
                <w:color w:val="auto"/>
              </w:rPr>
            </w:pPr>
            <w:r>
              <w:rPr>
                <w:rFonts w:ascii="Arial" w:cs="Arial" w:eastAsia="Arial" w:hAnsi="Arial"/>
                <w:sz w:val="14"/>
                <w:szCs w:val="14"/>
                <w:color w:val="auto"/>
              </w:rPr>
              <w:t>2,831</w:t>
            </w:r>
          </w:p>
        </w:tc>
        <w:tc>
          <w:tcPr>
            <w:tcW w:w="840" w:type="dxa"/>
            <w:vAlign w:val="bottom"/>
          </w:tcPr>
          <w:p>
            <w:pPr>
              <w:jc w:val="right"/>
              <w:ind w:right="129"/>
              <w:spacing w:after="0"/>
              <w:rPr>
                <w:sz w:val="20"/>
                <w:szCs w:val="20"/>
                <w:color w:val="auto"/>
              </w:rPr>
            </w:pPr>
            <w:r>
              <w:rPr>
                <w:rFonts w:ascii="Arial" w:cs="Arial" w:eastAsia="Arial" w:hAnsi="Arial"/>
                <w:sz w:val="14"/>
                <w:szCs w:val="14"/>
                <w:color w:val="auto"/>
              </w:rPr>
              <w:t>2,282</w:t>
            </w:r>
          </w:p>
        </w:tc>
        <w:tc>
          <w:tcPr>
            <w:tcW w:w="860" w:type="dxa"/>
            <w:vAlign w:val="bottom"/>
          </w:tcPr>
          <w:p>
            <w:pPr>
              <w:jc w:val="right"/>
              <w:ind w:right="109"/>
              <w:spacing w:after="0"/>
              <w:rPr>
                <w:sz w:val="20"/>
                <w:szCs w:val="20"/>
                <w:color w:val="auto"/>
              </w:rPr>
            </w:pPr>
            <w:r>
              <w:rPr>
                <w:rFonts w:ascii="Arial" w:cs="Arial" w:eastAsia="Arial" w:hAnsi="Arial"/>
                <w:sz w:val="14"/>
                <w:szCs w:val="14"/>
                <w:color w:val="auto"/>
              </w:rPr>
              <w:t>599</w:t>
            </w:r>
          </w:p>
        </w:tc>
        <w:tc>
          <w:tcPr>
            <w:tcW w:w="600" w:type="dxa"/>
            <w:vAlign w:val="bottom"/>
          </w:tcPr>
          <w:p>
            <w:pPr>
              <w:jc w:val="right"/>
              <w:ind w:right="49"/>
              <w:spacing w:after="0"/>
              <w:rPr>
                <w:sz w:val="20"/>
                <w:szCs w:val="20"/>
                <w:color w:val="auto"/>
              </w:rPr>
            </w:pPr>
            <w:r>
              <w:rPr>
                <w:rFonts w:ascii="Arial" w:cs="Arial" w:eastAsia="Arial" w:hAnsi="Arial"/>
                <w:sz w:val="14"/>
                <w:szCs w:val="14"/>
                <w:color w:val="auto"/>
              </w:rPr>
              <w:t>2,032</w:t>
            </w:r>
          </w:p>
        </w:tc>
        <w:tc>
          <w:tcPr>
            <w:tcW w:w="820" w:type="dxa"/>
            <w:vAlign w:val="bottom"/>
          </w:tcPr>
          <w:p>
            <w:pPr>
              <w:jc w:val="right"/>
              <w:spacing w:after="0"/>
              <w:rPr>
                <w:sz w:val="20"/>
                <w:szCs w:val="20"/>
                <w:color w:val="auto"/>
              </w:rPr>
            </w:pPr>
            <w:r>
              <w:rPr>
                <w:rFonts w:ascii="Arial" w:cs="Arial" w:eastAsia="Arial" w:hAnsi="Arial"/>
                <w:sz w:val="14"/>
                <w:szCs w:val="14"/>
                <w:color w:val="auto"/>
              </w:rPr>
              <w:t>3,440</w:t>
            </w:r>
          </w:p>
        </w:tc>
        <w:tc>
          <w:tcPr>
            <w:tcW w:w="920" w:type="dxa"/>
            <w:vAlign w:val="bottom"/>
          </w:tcPr>
          <w:p>
            <w:pPr>
              <w:jc w:val="right"/>
              <w:ind w:right="29"/>
              <w:spacing w:after="0"/>
              <w:rPr>
                <w:sz w:val="20"/>
                <w:szCs w:val="20"/>
                <w:color w:val="auto"/>
              </w:rPr>
            </w:pPr>
            <w:r>
              <w:rPr>
                <w:rFonts w:ascii="Arial" w:cs="Arial" w:eastAsia="Arial" w:hAnsi="Arial"/>
                <w:sz w:val="14"/>
                <w:szCs w:val="14"/>
                <w:color w:val="auto"/>
              </w:rPr>
              <w:t>3,367</w:t>
            </w:r>
          </w:p>
        </w:tc>
        <w:tc>
          <w:tcPr>
            <w:tcW w:w="880" w:type="dxa"/>
            <w:vAlign w:val="bottom"/>
            <w:gridSpan w:val="2"/>
          </w:tcPr>
          <w:p>
            <w:pPr>
              <w:jc w:val="right"/>
              <w:ind w:right="120"/>
              <w:spacing w:after="0"/>
              <w:rPr>
                <w:sz w:val="20"/>
                <w:szCs w:val="20"/>
                <w:color w:val="auto"/>
              </w:rPr>
            </w:pPr>
            <w:r>
              <w:rPr>
                <w:rFonts w:ascii="Arial" w:cs="Arial" w:eastAsia="Arial" w:hAnsi="Arial"/>
                <w:sz w:val="14"/>
                <w:szCs w:val="14"/>
                <w:color w:val="auto"/>
              </w:rPr>
              <w:t>482</w:t>
            </w:r>
          </w:p>
        </w:tc>
        <w:tc>
          <w:tcPr>
            <w:tcW w:w="1280" w:type="dxa"/>
            <w:vAlign w:val="bottom"/>
          </w:tcPr>
          <w:p>
            <w:pPr>
              <w:jc w:val="right"/>
              <w:ind w:right="48"/>
              <w:spacing w:after="0"/>
              <w:rPr>
                <w:sz w:val="20"/>
                <w:szCs w:val="20"/>
                <w:color w:val="auto"/>
              </w:rPr>
            </w:pPr>
            <w:r>
              <w:rPr>
                <w:rFonts w:ascii="Arial" w:cs="Arial" w:eastAsia="Arial" w:hAnsi="Arial"/>
                <w:sz w:val="14"/>
                <w:szCs w:val="14"/>
                <w:color w:val="auto"/>
              </w:rPr>
              <w:t>15,033</w:t>
            </w:r>
          </w:p>
        </w:tc>
      </w:tr>
      <w:tr>
        <w:trPr>
          <w:trHeight w:val="162"/>
        </w:trPr>
        <w:tc>
          <w:tcPr>
            <w:tcW w:w="3500" w:type="dxa"/>
            <w:vAlign w:val="bottom"/>
          </w:tcPr>
          <w:p>
            <w:pPr>
              <w:spacing w:after="0"/>
              <w:rPr>
                <w:sz w:val="20"/>
                <w:szCs w:val="20"/>
                <w:color w:val="auto"/>
              </w:rPr>
            </w:pPr>
            <w:r>
              <w:rPr>
                <w:rFonts w:ascii="Arial" w:cs="Arial" w:eastAsia="Arial" w:hAnsi="Arial"/>
                <w:sz w:val="14"/>
                <w:szCs w:val="14"/>
                <w:color w:val="auto"/>
              </w:rPr>
              <w:t>Taxes other than income tax [B]</w:t>
            </w:r>
          </w:p>
        </w:tc>
        <w:tc>
          <w:tcPr>
            <w:tcW w:w="1720" w:type="dxa"/>
            <w:vAlign w:val="bottom"/>
          </w:tcPr>
          <w:p>
            <w:pPr>
              <w:jc w:val="right"/>
              <w:ind w:right="269"/>
              <w:spacing w:after="0"/>
              <w:rPr>
                <w:sz w:val="20"/>
                <w:szCs w:val="20"/>
                <w:color w:val="auto"/>
              </w:rPr>
            </w:pPr>
            <w:r>
              <w:rPr>
                <w:rFonts w:ascii="Arial" w:cs="Arial" w:eastAsia="Arial" w:hAnsi="Arial"/>
                <w:sz w:val="14"/>
                <w:szCs w:val="14"/>
                <w:color w:val="auto"/>
              </w:rPr>
              <w:t>264</w:t>
            </w:r>
          </w:p>
        </w:tc>
        <w:tc>
          <w:tcPr>
            <w:tcW w:w="840" w:type="dxa"/>
            <w:vAlign w:val="bottom"/>
          </w:tcPr>
          <w:p>
            <w:pPr>
              <w:jc w:val="right"/>
              <w:ind w:right="129"/>
              <w:spacing w:after="0"/>
              <w:rPr>
                <w:sz w:val="20"/>
                <w:szCs w:val="20"/>
                <w:color w:val="auto"/>
              </w:rPr>
            </w:pPr>
            <w:r>
              <w:rPr>
                <w:rFonts w:ascii="Arial" w:cs="Arial" w:eastAsia="Arial" w:hAnsi="Arial"/>
                <w:sz w:val="14"/>
                <w:szCs w:val="14"/>
                <w:color w:val="auto"/>
              </w:rPr>
              <w:t>948</w:t>
            </w:r>
          </w:p>
        </w:tc>
        <w:tc>
          <w:tcPr>
            <w:tcW w:w="860" w:type="dxa"/>
            <w:vAlign w:val="bottom"/>
          </w:tcPr>
          <w:p>
            <w:pPr>
              <w:jc w:val="right"/>
              <w:ind w:right="109"/>
              <w:spacing w:after="0"/>
              <w:rPr>
                <w:sz w:val="20"/>
                <w:szCs w:val="20"/>
                <w:color w:val="auto"/>
              </w:rPr>
            </w:pPr>
            <w:r>
              <w:rPr>
                <w:rFonts w:ascii="Arial" w:cs="Arial" w:eastAsia="Arial" w:hAnsi="Arial"/>
                <w:sz w:val="14"/>
                <w:szCs w:val="14"/>
                <w:color w:val="auto"/>
              </w:rPr>
              <w:t>216</w:t>
            </w:r>
          </w:p>
        </w:tc>
        <w:tc>
          <w:tcPr>
            <w:tcW w:w="600" w:type="dxa"/>
            <w:vAlign w:val="bottom"/>
          </w:tcPr>
          <w:p>
            <w:pPr>
              <w:jc w:val="right"/>
              <w:ind w:right="49"/>
              <w:spacing w:after="0"/>
              <w:rPr>
                <w:sz w:val="20"/>
                <w:szCs w:val="20"/>
                <w:color w:val="auto"/>
              </w:rPr>
            </w:pPr>
            <w:r>
              <w:rPr>
                <w:rFonts w:ascii="Arial" w:cs="Arial" w:eastAsia="Arial" w:hAnsi="Arial"/>
                <w:sz w:val="14"/>
                <w:szCs w:val="14"/>
                <w:color w:val="auto"/>
              </w:rPr>
              <w:t>836</w:t>
            </w:r>
          </w:p>
        </w:tc>
        <w:tc>
          <w:tcPr>
            <w:tcW w:w="820" w:type="dxa"/>
            <w:vAlign w:val="bottom"/>
          </w:tcPr>
          <w:p>
            <w:pPr>
              <w:jc w:val="right"/>
              <w:spacing w:after="0"/>
              <w:rPr>
                <w:sz w:val="20"/>
                <w:szCs w:val="20"/>
                <w:color w:val="auto"/>
              </w:rPr>
            </w:pPr>
            <w:r>
              <w:rPr>
                <w:rFonts w:ascii="Arial" w:cs="Arial" w:eastAsia="Arial" w:hAnsi="Arial"/>
                <w:sz w:val="14"/>
                <w:szCs w:val="14"/>
                <w:color w:val="auto"/>
              </w:rPr>
              <w:t>198</w:t>
            </w:r>
          </w:p>
        </w:tc>
        <w:tc>
          <w:tcPr>
            <w:tcW w:w="92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120"/>
              <w:spacing w:after="0"/>
              <w:rPr>
                <w:sz w:val="20"/>
                <w:szCs w:val="20"/>
                <w:color w:val="auto"/>
              </w:rPr>
            </w:pPr>
            <w:r>
              <w:rPr>
                <w:rFonts w:ascii="Arial" w:cs="Arial" w:eastAsia="Arial" w:hAnsi="Arial"/>
                <w:sz w:val="14"/>
                <w:szCs w:val="14"/>
                <w:color w:val="auto"/>
              </w:rPr>
              <w:t>165</w:t>
            </w:r>
          </w:p>
        </w:tc>
        <w:tc>
          <w:tcPr>
            <w:tcW w:w="1280" w:type="dxa"/>
            <w:vAlign w:val="bottom"/>
          </w:tcPr>
          <w:p>
            <w:pPr>
              <w:jc w:val="right"/>
              <w:ind w:right="48"/>
              <w:spacing w:after="0"/>
              <w:rPr>
                <w:sz w:val="20"/>
                <w:szCs w:val="20"/>
                <w:color w:val="auto"/>
              </w:rPr>
            </w:pPr>
            <w:r>
              <w:rPr>
                <w:rFonts w:ascii="Arial" w:cs="Arial" w:eastAsia="Arial" w:hAnsi="Arial"/>
                <w:sz w:val="14"/>
                <w:szCs w:val="14"/>
                <w:color w:val="auto"/>
              </w:rPr>
              <w:t>2,627</w:t>
            </w:r>
          </w:p>
        </w:tc>
      </w:tr>
      <w:tr>
        <w:trPr>
          <w:trHeight w:val="162"/>
        </w:trPr>
        <w:tc>
          <w:tcPr>
            <w:tcW w:w="3500" w:type="dxa"/>
            <w:vAlign w:val="bottom"/>
          </w:tcPr>
          <w:p>
            <w:pPr>
              <w:spacing w:after="0"/>
              <w:rPr>
                <w:sz w:val="20"/>
                <w:szCs w:val="20"/>
                <w:color w:val="auto"/>
              </w:rPr>
            </w:pPr>
            <w:r>
              <w:rPr>
                <w:rFonts w:ascii="Arial" w:cs="Arial" w:eastAsia="Arial" w:hAnsi="Arial"/>
                <w:sz w:val="14"/>
                <w:szCs w:val="14"/>
                <w:color w:val="auto"/>
              </w:rPr>
              <w:t>Exploration</w:t>
            </w:r>
          </w:p>
        </w:tc>
        <w:tc>
          <w:tcPr>
            <w:tcW w:w="1720" w:type="dxa"/>
            <w:vAlign w:val="bottom"/>
          </w:tcPr>
          <w:p>
            <w:pPr>
              <w:jc w:val="right"/>
              <w:ind w:right="269"/>
              <w:spacing w:after="0"/>
              <w:rPr>
                <w:sz w:val="20"/>
                <w:szCs w:val="20"/>
                <w:color w:val="auto"/>
              </w:rPr>
            </w:pPr>
            <w:r>
              <w:rPr>
                <w:rFonts w:ascii="Arial" w:cs="Arial" w:eastAsia="Arial" w:hAnsi="Arial"/>
                <w:sz w:val="14"/>
                <w:szCs w:val="14"/>
                <w:color w:val="auto"/>
              </w:rPr>
              <w:t>457</w:t>
            </w:r>
          </w:p>
        </w:tc>
        <w:tc>
          <w:tcPr>
            <w:tcW w:w="840" w:type="dxa"/>
            <w:vAlign w:val="bottom"/>
          </w:tcPr>
          <w:p>
            <w:pPr>
              <w:jc w:val="right"/>
              <w:ind w:right="129"/>
              <w:spacing w:after="0"/>
              <w:rPr>
                <w:sz w:val="20"/>
                <w:szCs w:val="20"/>
                <w:color w:val="auto"/>
              </w:rPr>
            </w:pPr>
            <w:r>
              <w:rPr>
                <w:rFonts w:ascii="Arial" w:cs="Arial" w:eastAsia="Arial" w:hAnsi="Arial"/>
                <w:sz w:val="14"/>
                <w:szCs w:val="14"/>
                <w:color w:val="auto"/>
              </w:rPr>
              <w:t>1,331</w:t>
            </w:r>
          </w:p>
        </w:tc>
        <w:tc>
          <w:tcPr>
            <w:tcW w:w="860" w:type="dxa"/>
            <w:vAlign w:val="bottom"/>
          </w:tcPr>
          <w:p>
            <w:pPr>
              <w:jc w:val="right"/>
              <w:ind w:right="109"/>
              <w:spacing w:after="0"/>
              <w:rPr>
                <w:sz w:val="20"/>
                <w:szCs w:val="20"/>
                <w:color w:val="auto"/>
              </w:rPr>
            </w:pPr>
            <w:r>
              <w:rPr>
                <w:rFonts w:ascii="Arial" w:cs="Arial" w:eastAsia="Arial" w:hAnsi="Arial"/>
                <w:sz w:val="14"/>
                <w:szCs w:val="14"/>
                <w:color w:val="auto"/>
              </w:rPr>
              <w:t>232</w:t>
            </w:r>
          </w:p>
        </w:tc>
        <w:tc>
          <w:tcPr>
            <w:tcW w:w="600" w:type="dxa"/>
            <w:vAlign w:val="bottom"/>
          </w:tcPr>
          <w:p>
            <w:pPr>
              <w:jc w:val="right"/>
              <w:ind w:right="49"/>
              <w:spacing w:after="0"/>
              <w:rPr>
                <w:sz w:val="20"/>
                <w:szCs w:val="20"/>
                <w:color w:val="auto"/>
              </w:rPr>
            </w:pPr>
            <w:r>
              <w:rPr>
                <w:rFonts w:ascii="Arial" w:cs="Arial" w:eastAsia="Arial" w:hAnsi="Arial"/>
                <w:sz w:val="14"/>
                <w:szCs w:val="14"/>
                <w:color w:val="auto"/>
              </w:rPr>
              <w:t>307</w:t>
            </w:r>
          </w:p>
        </w:tc>
        <w:tc>
          <w:tcPr>
            <w:tcW w:w="820" w:type="dxa"/>
            <w:vAlign w:val="bottom"/>
          </w:tcPr>
          <w:p>
            <w:pPr>
              <w:jc w:val="right"/>
              <w:spacing w:after="0"/>
              <w:rPr>
                <w:sz w:val="20"/>
                <w:szCs w:val="20"/>
                <w:color w:val="auto"/>
              </w:rPr>
            </w:pPr>
            <w:r>
              <w:rPr>
                <w:rFonts w:ascii="Arial" w:cs="Arial" w:eastAsia="Arial" w:hAnsi="Arial"/>
                <w:sz w:val="14"/>
                <w:szCs w:val="14"/>
                <w:color w:val="auto"/>
              </w:rPr>
              <w:t>1,549</w:t>
            </w:r>
          </w:p>
        </w:tc>
        <w:tc>
          <w:tcPr>
            <w:tcW w:w="920" w:type="dxa"/>
            <w:vAlign w:val="bottom"/>
          </w:tcPr>
          <w:p>
            <w:pPr>
              <w:jc w:val="right"/>
              <w:ind w:right="29"/>
              <w:spacing w:after="0"/>
              <w:rPr>
                <w:sz w:val="20"/>
                <w:szCs w:val="20"/>
                <w:color w:val="auto"/>
              </w:rPr>
            </w:pPr>
            <w:r>
              <w:rPr>
                <w:rFonts w:ascii="Arial" w:cs="Arial" w:eastAsia="Arial" w:hAnsi="Arial"/>
                <w:sz w:val="14"/>
                <w:szCs w:val="14"/>
                <w:color w:val="auto"/>
              </w:rPr>
              <w:t>88</w:t>
            </w:r>
          </w:p>
        </w:tc>
        <w:tc>
          <w:tcPr>
            <w:tcW w:w="880" w:type="dxa"/>
            <w:vAlign w:val="bottom"/>
            <w:gridSpan w:val="2"/>
          </w:tcPr>
          <w:p>
            <w:pPr>
              <w:jc w:val="right"/>
              <w:ind w:right="120"/>
              <w:spacing w:after="0"/>
              <w:rPr>
                <w:sz w:val="20"/>
                <w:szCs w:val="20"/>
                <w:color w:val="auto"/>
              </w:rPr>
            </w:pPr>
            <w:r>
              <w:rPr>
                <w:rFonts w:ascii="Arial" w:cs="Arial" w:eastAsia="Arial" w:hAnsi="Arial"/>
                <w:sz w:val="14"/>
                <w:szCs w:val="14"/>
                <w:color w:val="auto"/>
              </w:rPr>
              <w:t>260</w:t>
            </w:r>
          </w:p>
        </w:tc>
        <w:tc>
          <w:tcPr>
            <w:tcW w:w="1280" w:type="dxa"/>
            <w:vAlign w:val="bottom"/>
          </w:tcPr>
          <w:p>
            <w:pPr>
              <w:jc w:val="right"/>
              <w:ind w:right="48"/>
              <w:spacing w:after="0"/>
              <w:rPr>
                <w:sz w:val="20"/>
                <w:szCs w:val="20"/>
                <w:color w:val="auto"/>
              </w:rPr>
            </w:pPr>
            <w:r>
              <w:rPr>
                <w:rFonts w:ascii="Arial" w:cs="Arial" w:eastAsia="Arial" w:hAnsi="Arial"/>
                <w:sz w:val="14"/>
                <w:szCs w:val="14"/>
                <w:color w:val="auto"/>
              </w:rPr>
              <w:t>4,224</w:t>
            </w:r>
          </w:p>
        </w:tc>
      </w:tr>
      <w:tr>
        <w:trPr>
          <w:trHeight w:val="162"/>
        </w:trPr>
        <w:tc>
          <w:tcPr>
            <w:tcW w:w="3500" w:type="dxa"/>
            <w:vAlign w:val="bottom"/>
          </w:tcPr>
          <w:p>
            <w:pPr>
              <w:spacing w:after="0"/>
              <w:rPr>
                <w:sz w:val="20"/>
                <w:szCs w:val="20"/>
                <w:color w:val="auto"/>
              </w:rPr>
            </w:pPr>
            <w:r>
              <w:rPr>
                <w:rFonts w:ascii="Arial" w:cs="Arial" w:eastAsia="Arial" w:hAnsi="Arial"/>
                <w:sz w:val="14"/>
                <w:szCs w:val="14"/>
                <w:color w:val="auto"/>
              </w:rPr>
              <w:t>Depreciation, depletion and amortisation</w:t>
            </w:r>
          </w:p>
        </w:tc>
        <w:tc>
          <w:tcPr>
            <w:tcW w:w="1720" w:type="dxa"/>
            <w:vAlign w:val="bottom"/>
          </w:tcPr>
          <w:p>
            <w:pPr>
              <w:jc w:val="right"/>
              <w:ind w:right="269"/>
              <w:spacing w:after="0"/>
              <w:rPr>
                <w:sz w:val="20"/>
                <w:szCs w:val="20"/>
                <w:color w:val="auto"/>
              </w:rPr>
            </w:pPr>
            <w:r>
              <w:rPr>
                <w:rFonts w:ascii="Arial" w:cs="Arial" w:eastAsia="Arial" w:hAnsi="Arial"/>
                <w:sz w:val="14"/>
                <w:szCs w:val="14"/>
                <w:color w:val="auto"/>
              </w:rPr>
              <w:t>1,772</w:t>
            </w:r>
          </w:p>
        </w:tc>
        <w:tc>
          <w:tcPr>
            <w:tcW w:w="840" w:type="dxa"/>
            <w:vAlign w:val="bottom"/>
          </w:tcPr>
          <w:p>
            <w:pPr>
              <w:jc w:val="right"/>
              <w:ind w:right="129"/>
              <w:spacing w:after="0"/>
              <w:rPr>
                <w:sz w:val="20"/>
                <w:szCs w:val="20"/>
                <w:color w:val="auto"/>
              </w:rPr>
            </w:pPr>
            <w:r>
              <w:rPr>
                <w:rFonts w:ascii="Arial" w:cs="Arial" w:eastAsia="Arial" w:hAnsi="Arial"/>
                <w:sz w:val="14"/>
                <w:szCs w:val="14"/>
                <w:color w:val="auto"/>
              </w:rPr>
              <w:t>3,341</w:t>
            </w:r>
          </w:p>
        </w:tc>
        <w:tc>
          <w:tcPr>
            <w:tcW w:w="860" w:type="dxa"/>
            <w:vAlign w:val="bottom"/>
          </w:tcPr>
          <w:p>
            <w:pPr>
              <w:jc w:val="right"/>
              <w:ind w:right="109"/>
              <w:spacing w:after="0"/>
              <w:rPr>
                <w:sz w:val="20"/>
                <w:szCs w:val="20"/>
                <w:color w:val="auto"/>
              </w:rPr>
            </w:pPr>
            <w:r>
              <w:rPr>
                <w:rFonts w:ascii="Arial" w:cs="Arial" w:eastAsia="Arial" w:hAnsi="Arial"/>
                <w:sz w:val="14"/>
                <w:szCs w:val="14"/>
                <w:color w:val="auto"/>
              </w:rPr>
              <w:t>427</w:t>
            </w:r>
          </w:p>
        </w:tc>
        <w:tc>
          <w:tcPr>
            <w:tcW w:w="600" w:type="dxa"/>
            <w:vAlign w:val="bottom"/>
          </w:tcPr>
          <w:p>
            <w:pPr>
              <w:jc w:val="right"/>
              <w:ind w:right="49"/>
              <w:spacing w:after="0"/>
              <w:rPr>
                <w:sz w:val="20"/>
                <w:szCs w:val="20"/>
                <w:color w:val="auto"/>
              </w:rPr>
            </w:pPr>
            <w:r>
              <w:rPr>
                <w:rFonts w:ascii="Arial" w:cs="Arial" w:eastAsia="Arial" w:hAnsi="Arial"/>
                <w:sz w:val="14"/>
                <w:szCs w:val="14"/>
                <w:color w:val="auto"/>
              </w:rPr>
              <w:t>2,037</w:t>
            </w:r>
          </w:p>
        </w:tc>
        <w:tc>
          <w:tcPr>
            <w:tcW w:w="820" w:type="dxa"/>
            <w:vAlign w:val="bottom"/>
          </w:tcPr>
          <w:p>
            <w:pPr>
              <w:jc w:val="right"/>
              <w:spacing w:after="0"/>
              <w:rPr>
                <w:sz w:val="20"/>
                <w:szCs w:val="20"/>
                <w:color w:val="auto"/>
              </w:rPr>
            </w:pPr>
            <w:r>
              <w:rPr>
                <w:rFonts w:ascii="Arial" w:cs="Arial" w:eastAsia="Arial" w:hAnsi="Arial"/>
                <w:sz w:val="14"/>
                <w:szCs w:val="14"/>
                <w:color w:val="auto"/>
              </w:rPr>
              <w:t>6,576</w:t>
            </w:r>
          </w:p>
        </w:tc>
        <w:tc>
          <w:tcPr>
            <w:tcW w:w="920" w:type="dxa"/>
            <w:vAlign w:val="bottom"/>
          </w:tcPr>
          <w:p>
            <w:pPr>
              <w:jc w:val="right"/>
              <w:ind w:right="29"/>
              <w:spacing w:after="0"/>
              <w:rPr>
                <w:sz w:val="20"/>
                <w:szCs w:val="20"/>
                <w:color w:val="auto"/>
              </w:rPr>
            </w:pPr>
            <w:r>
              <w:rPr>
                <w:rFonts w:ascii="Arial" w:cs="Arial" w:eastAsia="Arial" w:hAnsi="Arial"/>
                <w:sz w:val="14"/>
                <w:szCs w:val="14"/>
                <w:color w:val="auto"/>
              </w:rPr>
              <w:t>1,709</w:t>
            </w:r>
          </w:p>
        </w:tc>
        <w:tc>
          <w:tcPr>
            <w:tcW w:w="880" w:type="dxa"/>
            <w:vAlign w:val="bottom"/>
            <w:gridSpan w:val="2"/>
          </w:tcPr>
          <w:p>
            <w:pPr>
              <w:jc w:val="right"/>
              <w:ind w:right="120"/>
              <w:spacing w:after="0"/>
              <w:rPr>
                <w:sz w:val="20"/>
                <w:szCs w:val="20"/>
                <w:color w:val="auto"/>
              </w:rPr>
            </w:pPr>
            <w:r>
              <w:rPr>
                <w:rFonts w:ascii="Arial" w:cs="Arial" w:eastAsia="Arial" w:hAnsi="Arial"/>
                <w:sz w:val="14"/>
                <w:szCs w:val="14"/>
                <w:color w:val="auto"/>
              </w:rPr>
              <w:t>475</w:t>
            </w:r>
          </w:p>
        </w:tc>
        <w:tc>
          <w:tcPr>
            <w:tcW w:w="1280" w:type="dxa"/>
            <w:vAlign w:val="bottom"/>
          </w:tcPr>
          <w:p>
            <w:pPr>
              <w:jc w:val="right"/>
              <w:ind w:right="48"/>
              <w:spacing w:after="0"/>
              <w:rPr>
                <w:sz w:val="20"/>
                <w:szCs w:val="20"/>
                <w:color w:val="auto"/>
              </w:rPr>
            </w:pPr>
            <w:r>
              <w:rPr>
                <w:rFonts w:ascii="Arial" w:cs="Arial" w:eastAsia="Arial" w:hAnsi="Arial"/>
                <w:sz w:val="14"/>
                <w:szCs w:val="14"/>
                <w:color w:val="auto"/>
              </w:rPr>
              <w:t>16,337</w:t>
            </w:r>
          </w:p>
        </w:tc>
      </w:tr>
      <w:tr>
        <w:trPr>
          <w:trHeight w:val="157"/>
        </w:trPr>
        <w:tc>
          <w:tcPr>
            <w:tcW w:w="3500" w:type="dxa"/>
            <w:vAlign w:val="bottom"/>
            <w:tcBorders>
              <w:bottom w:val="single" w:sz="8" w:color="auto"/>
            </w:tcBorders>
          </w:tcPr>
          <w:p>
            <w:pPr>
              <w:spacing w:after="0" w:line="157" w:lineRule="exact"/>
              <w:rPr>
                <w:sz w:val="20"/>
                <w:szCs w:val="20"/>
                <w:color w:val="auto"/>
              </w:rPr>
            </w:pPr>
            <w:r>
              <w:rPr>
                <w:rFonts w:ascii="Arial" w:cs="Arial" w:eastAsia="Arial" w:hAnsi="Arial"/>
                <w:sz w:val="14"/>
                <w:szCs w:val="14"/>
                <w:color w:val="auto"/>
              </w:rPr>
              <w:t>Other costs/(income)</w:t>
            </w:r>
          </w:p>
        </w:tc>
        <w:tc>
          <w:tcPr>
            <w:tcW w:w="1720" w:type="dxa"/>
            <w:vAlign w:val="bottom"/>
            <w:tcBorders>
              <w:bottom w:val="single" w:sz="8" w:color="auto"/>
            </w:tcBorders>
          </w:tcPr>
          <w:p>
            <w:pPr>
              <w:jc w:val="right"/>
              <w:ind w:right="269"/>
              <w:spacing w:after="0" w:line="157" w:lineRule="exact"/>
              <w:rPr>
                <w:sz w:val="20"/>
                <w:szCs w:val="20"/>
                <w:color w:val="auto"/>
              </w:rPr>
            </w:pPr>
            <w:r>
              <w:rPr>
                <w:rFonts w:ascii="Arial" w:cs="Arial" w:eastAsia="Arial" w:hAnsi="Arial"/>
                <w:sz w:val="14"/>
                <w:szCs w:val="14"/>
                <w:color w:val="auto"/>
              </w:rPr>
              <w:t>766</w:t>
            </w:r>
          </w:p>
        </w:tc>
        <w:tc>
          <w:tcPr>
            <w:tcW w:w="840" w:type="dxa"/>
            <w:vAlign w:val="bottom"/>
            <w:tcBorders>
              <w:bottom w:val="single" w:sz="8" w:color="auto"/>
            </w:tcBorders>
          </w:tcPr>
          <w:p>
            <w:pPr>
              <w:jc w:val="right"/>
              <w:ind w:right="129"/>
              <w:spacing w:after="0" w:line="157" w:lineRule="exact"/>
              <w:rPr>
                <w:sz w:val="20"/>
                <w:szCs w:val="20"/>
                <w:color w:val="auto"/>
              </w:rPr>
            </w:pPr>
            <w:r>
              <w:rPr>
                <w:rFonts w:ascii="Arial" w:cs="Arial" w:eastAsia="Arial" w:hAnsi="Arial"/>
                <w:sz w:val="14"/>
                <w:szCs w:val="14"/>
                <w:color w:val="auto"/>
              </w:rPr>
              <w:t>2,058</w:t>
            </w:r>
          </w:p>
        </w:tc>
        <w:tc>
          <w:tcPr>
            <w:tcW w:w="860" w:type="dxa"/>
            <w:vAlign w:val="bottom"/>
            <w:tcBorders>
              <w:bottom w:val="single" w:sz="8" w:color="auto"/>
            </w:tcBorders>
          </w:tcPr>
          <w:p>
            <w:pPr>
              <w:jc w:val="right"/>
              <w:ind w:right="69"/>
              <w:spacing w:after="0" w:line="157" w:lineRule="exact"/>
              <w:rPr>
                <w:sz w:val="20"/>
                <w:szCs w:val="20"/>
                <w:color w:val="auto"/>
              </w:rPr>
            </w:pPr>
            <w:r>
              <w:rPr>
                <w:rFonts w:ascii="Arial" w:cs="Arial" w:eastAsia="Arial" w:hAnsi="Arial"/>
                <w:sz w:val="14"/>
                <w:szCs w:val="14"/>
                <w:color w:val="auto"/>
              </w:rPr>
              <w:t>(2,123)</w:t>
            </w:r>
          </w:p>
        </w:tc>
        <w:tc>
          <w:tcPr>
            <w:tcW w:w="600" w:type="dxa"/>
            <w:vAlign w:val="bottom"/>
            <w:tcBorders>
              <w:bottom w:val="single" w:sz="8" w:color="auto"/>
            </w:tcBorders>
          </w:tcPr>
          <w:p>
            <w:pPr>
              <w:jc w:val="right"/>
              <w:ind w:right="49"/>
              <w:spacing w:after="0" w:line="157" w:lineRule="exact"/>
              <w:rPr>
                <w:sz w:val="20"/>
                <w:szCs w:val="20"/>
                <w:color w:val="auto"/>
              </w:rPr>
            </w:pPr>
            <w:r>
              <w:rPr>
                <w:rFonts w:ascii="Arial" w:cs="Arial" w:eastAsia="Arial" w:hAnsi="Arial"/>
                <w:sz w:val="14"/>
                <w:szCs w:val="14"/>
                <w:color w:val="auto"/>
              </w:rPr>
              <w:t>129</w:t>
            </w:r>
          </w:p>
        </w:tc>
        <w:tc>
          <w:tcPr>
            <w:tcW w:w="820" w:type="dxa"/>
            <w:vAlign w:val="bottom"/>
            <w:tcBorders>
              <w:bottom w:val="single" w:sz="8" w:color="auto"/>
            </w:tcBorders>
          </w:tcPr>
          <w:p>
            <w:pPr>
              <w:jc w:val="right"/>
              <w:spacing w:after="0" w:line="157" w:lineRule="exact"/>
              <w:rPr>
                <w:sz w:val="20"/>
                <w:szCs w:val="20"/>
                <w:color w:val="auto"/>
              </w:rPr>
            </w:pPr>
            <w:r>
              <w:rPr>
                <w:rFonts w:ascii="Arial" w:cs="Arial" w:eastAsia="Arial" w:hAnsi="Arial"/>
                <w:sz w:val="14"/>
                <w:szCs w:val="14"/>
                <w:color w:val="auto"/>
              </w:rPr>
              <w:t>845</w:t>
            </w:r>
          </w:p>
        </w:tc>
        <w:tc>
          <w:tcPr>
            <w:tcW w:w="920" w:type="dxa"/>
            <w:vAlign w:val="bottom"/>
            <w:tcBorders>
              <w:bottom w:val="single" w:sz="8" w:color="auto"/>
            </w:tcBorders>
          </w:tcPr>
          <w:p>
            <w:pPr>
              <w:jc w:val="right"/>
              <w:ind w:right="29"/>
              <w:spacing w:after="0" w:line="157" w:lineRule="exact"/>
              <w:rPr>
                <w:sz w:val="20"/>
                <w:szCs w:val="20"/>
                <w:color w:val="auto"/>
              </w:rPr>
            </w:pPr>
            <w:r>
              <w:rPr>
                <w:rFonts w:ascii="Arial" w:cs="Arial" w:eastAsia="Arial" w:hAnsi="Arial"/>
                <w:sz w:val="14"/>
                <w:szCs w:val="14"/>
                <w:color w:val="auto"/>
              </w:rPr>
              <w:t>2,137</w:t>
            </w:r>
          </w:p>
        </w:tc>
        <w:tc>
          <w:tcPr>
            <w:tcW w:w="880" w:type="dxa"/>
            <w:vAlign w:val="bottom"/>
            <w:tcBorders>
              <w:bottom w:val="single" w:sz="8" w:color="auto"/>
            </w:tcBorders>
            <w:gridSpan w:val="2"/>
          </w:tcPr>
          <w:p>
            <w:pPr>
              <w:jc w:val="right"/>
              <w:ind w:right="120"/>
              <w:spacing w:after="0" w:line="157" w:lineRule="exact"/>
              <w:rPr>
                <w:sz w:val="20"/>
                <w:szCs w:val="20"/>
                <w:color w:val="auto"/>
              </w:rPr>
            </w:pPr>
            <w:r>
              <w:rPr>
                <w:rFonts w:ascii="Arial" w:cs="Arial" w:eastAsia="Arial" w:hAnsi="Arial"/>
                <w:sz w:val="14"/>
                <w:szCs w:val="14"/>
                <w:color w:val="auto"/>
              </w:rPr>
              <w:t>78</w:t>
            </w:r>
          </w:p>
        </w:tc>
        <w:tc>
          <w:tcPr>
            <w:tcW w:w="1280" w:type="dxa"/>
            <w:vAlign w:val="bottom"/>
            <w:tcBorders>
              <w:bottom w:val="single" w:sz="8" w:color="auto"/>
            </w:tcBorders>
          </w:tcPr>
          <w:p>
            <w:pPr>
              <w:jc w:val="right"/>
              <w:ind w:right="48"/>
              <w:spacing w:after="0" w:line="157" w:lineRule="exact"/>
              <w:rPr>
                <w:sz w:val="20"/>
                <w:szCs w:val="20"/>
                <w:color w:val="auto"/>
              </w:rPr>
            </w:pPr>
            <w:r>
              <w:rPr>
                <w:rFonts w:ascii="Arial" w:cs="Arial" w:eastAsia="Arial" w:hAnsi="Arial"/>
                <w:sz w:val="14"/>
                <w:szCs w:val="14"/>
                <w:color w:val="auto"/>
              </w:rPr>
              <w:t>3,890</w:t>
            </w:r>
          </w:p>
        </w:tc>
      </w:tr>
      <w:tr>
        <w:trPr>
          <w:trHeight w:val="160"/>
        </w:trPr>
        <w:tc>
          <w:tcPr>
            <w:tcW w:w="3500" w:type="dxa"/>
            <w:vAlign w:val="bottom"/>
          </w:tcPr>
          <w:p>
            <w:pPr>
              <w:spacing w:after="0"/>
              <w:rPr>
                <w:sz w:val="20"/>
                <w:szCs w:val="20"/>
                <w:color w:val="auto"/>
              </w:rPr>
            </w:pPr>
            <w:r>
              <w:rPr>
                <w:rFonts w:ascii="Arial" w:cs="Arial" w:eastAsia="Arial" w:hAnsi="Arial"/>
                <w:sz w:val="14"/>
                <w:szCs w:val="14"/>
                <w:color w:val="auto"/>
              </w:rPr>
              <w:t>Earnings before taxation</w:t>
            </w:r>
          </w:p>
        </w:tc>
        <w:tc>
          <w:tcPr>
            <w:tcW w:w="1720" w:type="dxa"/>
            <w:vAlign w:val="bottom"/>
          </w:tcPr>
          <w:p>
            <w:pPr>
              <w:jc w:val="right"/>
              <w:ind w:right="269"/>
              <w:spacing w:after="0"/>
              <w:rPr>
                <w:sz w:val="20"/>
                <w:szCs w:val="20"/>
                <w:color w:val="auto"/>
              </w:rPr>
            </w:pPr>
            <w:r>
              <w:rPr>
                <w:rFonts w:ascii="Arial" w:cs="Arial" w:eastAsia="Arial" w:hAnsi="Arial"/>
                <w:sz w:val="14"/>
                <w:szCs w:val="14"/>
                <w:color w:val="auto"/>
              </w:rPr>
              <w:t>4,587</w:t>
            </w:r>
          </w:p>
        </w:tc>
        <w:tc>
          <w:tcPr>
            <w:tcW w:w="840" w:type="dxa"/>
            <w:vAlign w:val="bottom"/>
          </w:tcPr>
          <w:p>
            <w:pPr>
              <w:jc w:val="right"/>
              <w:ind w:right="129"/>
              <w:spacing w:after="0"/>
              <w:rPr>
                <w:sz w:val="20"/>
                <w:szCs w:val="20"/>
                <w:color w:val="auto"/>
              </w:rPr>
            </w:pPr>
            <w:r>
              <w:rPr>
                <w:rFonts w:ascii="Arial" w:cs="Arial" w:eastAsia="Arial" w:hAnsi="Arial"/>
                <w:sz w:val="14"/>
                <w:szCs w:val="14"/>
                <w:color w:val="auto"/>
              </w:rPr>
              <w:t>8,927</w:t>
            </w:r>
          </w:p>
        </w:tc>
        <w:tc>
          <w:tcPr>
            <w:tcW w:w="860" w:type="dxa"/>
            <w:vAlign w:val="bottom"/>
          </w:tcPr>
          <w:p>
            <w:pPr>
              <w:jc w:val="right"/>
              <w:ind w:right="109"/>
              <w:spacing w:after="0"/>
              <w:rPr>
                <w:sz w:val="20"/>
                <w:szCs w:val="20"/>
                <w:color w:val="auto"/>
              </w:rPr>
            </w:pPr>
            <w:r>
              <w:rPr>
                <w:rFonts w:ascii="Arial" w:cs="Arial" w:eastAsia="Arial" w:hAnsi="Arial"/>
                <w:sz w:val="14"/>
                <w:szCs w:val="14"/>
                <w:color w:val="auto"/>
              </w:rPr>
              <w:t>3,506</w:t>
            </w:r>
          </w:p>
        </w:tc>
        <w:tc>
          <w:tcPr>
            <w:tcW w:w="600" w:type="dxa"/>
            <w:vAlign w:val="bottom"/>
          </w:tcPr>
          <w:p>
            <w:pPr>
              <w:jc w:val="right"/>
              <w:ind w:right="49"/>
              <w:spacing w:after="0"/>
              <w:rPr>
                <w:sz w:val="20"/>
                <w:szCs w:val="20"/>
                <w:color w:val="auto"/>
              </w:rPr>
            </w:pPr>
            <w:r>
              <w:rPr>
                <w:rFonts w:ascii="Arial" w:cs="Arial" w:eastAsia="Arial" w:hAnsi="Arial"/>
                <w:sz w:val="14"/>
                <w:szCs w:val="14"/>
                <w:color w:val="auto"/>
              </w:rPr>
              <w:t>4,179</w:t>
            </w:r>
          </w:p>
        </w:tc>
        <w:tc>
          <w:tcPr>
            <w:tcW w:w="820" w:type="dxa"/>
            <w:vAlign w:val="bottom"/>
          </w:tcPr>
          <w:p>
            <w:pPr>
              <w:jc w:val="right"/>
              <w:spacing w:after="0"/>
              <w:rPr>
                <w:sz w:val="20"/>
                <w:szCs w:val="20"/>
                <w:color w:val="auto"/>
              </w:rPr>
            </w:pPr>
            <w:r>
              <w:rPr>
                <w:rFonts w:ascii="Arial" w:cs="Arial" w:eastAsia="Arial" w:hAnsi="Arial"/>
                <w:sz w:val="14"/>
                <w:szCs w:val="14"/>
                <w:color w:val="auto"/>
              </w:rPr>
              <w:t>(1,627)</w:t>
            </w:r>
          </w:p>
        </w:tc>
        <w:tc>
          <w:tcPr>
            <w:tcW w:w="920" w:type="dxa"/>
            <w:vAlign w:val="bottom"/>
          </w:tcPr>
          <w:p>
            <w:pPr>
              <w:jc w:val="right"/>
              <w:ind w:right="29"/>
              <w:spacing w:after="0"/>
              <w:rPr>
                <w:sz w:val="20"/>
                <w:szCs w:val="20"/>
                <w:color w:val="auto"/>
              </w:rPr>
            </w:pPr>
            <w:r>
              <w:rPr>
                <w:rFonts w:ascii="Arial" w:cs="Arial" w:eastAsia="Arial" w:hAnsi="Arial"/>
                <w:sz w:val="14"/>
                <w:szCs w:val="14"/>
                <w:color w:val="auto"/>
              </w:rPr>
              <w:t>300</w:t>
            </w:r>
          </w:p>
        </w:tc>
        <w:tc>
          <w:tcPr>
            <w:tcW w:w="880" w:type="dxa"/>
            <w:vAlign w:val="bottom"/>
            <w:gridSpan w:val="2"/>
          </w:tcPr>
          <w:p>
            <w:pPr>
              <w:jc w:val="right"/>
              <w:ind w:right="120"/>
              <w:spacing w:after="0"/>
              <w:rPr>
                <w:sz w:val="20"/>
                <w:szCs w:val="20"/>
                <w:color w:val="auto"/>
              </w:rPr>
            </w:pPr>
            <w:r>
              <w:rPr>
                <w:rFonts w:ascii="Arial" w:cs="Arial" w:eastAsia="Arial" w:hAnsi="Arial"/>
                <w:sz w:val="14"/>
                <w:szCs w:val="14"/>
                <w:color w:val="auto"/>
              </w:rPr>
              <w:t>42</w:t>
            </w:r>
          </w:p>
        </w:tc>
        <w:tc>
          <w:tcPr>
            <w:tcW w:w="1280" w:type="dxa"/>
            <w:vAlign w:val="bottom"/>
          </w:tcPr>
          <w:p>
            <w:pPr>
              <w:jc w:val="right"/>
              <w:ind w:right="48"/>
              <w:spacing w:after="0"/>
              <w:rPr>
                <w:sz w:val="20"/>
                <w:szCs w:val="20"/>
                <w:color w:val="auto"/>
              </w:rPr>
            </w:pPr>
            <w:r>
              <w:rPr>
                <w:rFonts w:ascii="Arial" w:cs="Arial" w:eastAsia="Arial" w:hAnsi="Arial"/>
                <w:sz w:val="14"/>
                <w:szCs w:val="14"/>
                <w:color w:val="auto"/>
              </w:rPr>
              <w:t>19,914</w:t>
            </w:r>
          </w:p>
        </w:tc>
      </w:tr>
      <w:tr>
        <w:trPr>
          <w:trHeight w:val="157"/>
        </w:trPr>
        <w:tc>
          <w:tcPr>
            <w:tcW w:w="3500" w:type="dxa"/>
            <w:vAlign w:val="bottom"/>
            <w:tcBorders>
              <w:bottom w:val="single" w:sz="8" w:color="auto"/>
            </w:tcBorders>
          </w:tcPr>
          <w:p>
            <w:pPr>
              <w:spacing w:after="0" w:line="157" w:lineRule="exact"/>
              <w:rPr>
                <w:sz w:val="20"/>
                <w:szCs w:val="20"/>
                <w:color w:val="auto"/>
              </w:rPr>
            </w:pPr>
            <w:r>
              <w:rPr>
                <w:rFonts w:ascii="Arial" w:cs="Arial" w:eastAsia="Arial" w:hAnsi="Arial"/>
                <w:sz w:val="14"/>
                <w:szCs w:val="14"/>
                <w:color w:val="auto"/>
              </w:rPr>
              <w:t>Taxation charge/(credit)</w:t>
            </w:r>
          </w:p>
        </w:tc>
        <w:tc>
          <w:tcPr>
            <w:tcW w:w="1720" w:type="dxa"/>
            <w:vAlign w:val="bottom"/>
            <w:tcBorders>
              <w:bottom w:val="single" w:sz="8" w:color="auto"/>
            </w:tcBorders>
          </w:tcPr>
          <w:p>
            <w:pPr>
              <w:jc w:val="right"/>
              <w:ind w:right="269"/>
              <w:spacing w:after="0" w:line="157" w:lineRule="exact"/>
              <w:rPr>
                <w:sz w:val="20"/>
                <w:szCs w:val="20"/>
                <w:color w:val="auto"/>
              </w:rPr>
            </w:pPr>
            <w:r>
              <w:rPr>
                <w:rFonts w:ascii="Arial" w:cs="Arial" w:eastAsia="Arial" w:hAnsi="Arial"/>
                <w:sz w:val="14"/>
                <w:szCs w:val="14"/>
                <w:color w:val="auto"/>
              </w:rPr>
              <w:t>3,362</w:t>
            </w:r>
          </w:p>
        </w:tc>
        <w:tc>
          <w:tcPr>
            <w:tcW w:w="840" w:type="dxa"/>
            <w:vAlign w:val="bottom"/>
            <w:tcBorders>
              <w:bottom w:val="single" w:sz="8" w:color="auto"/>
            </w:tcBorders>
          </w:tcPr>
          <w:p>
            <w:pPr>
              <w:jc w:val="right"/>
              <w:ind w:right="129"/>
              <w:spacing w:after="0" w:line="157" w:lineRule="exact"/>
              <w:rPr>
                <w:sz w:val="20"/>
                <w:szCs w:val="20"/>
                <w:color w:val="auto"/>
              </w:rPr>
            </w:pPr>
            <w:r>
              <w:rPr>
                <w:rFonts w:ascii="Arial" w:cs="Arial" w:eastAsia="Arial" w:hAnsi="Arial"/>
                <w:sz w:val="14"/>
                <w:szCs w:val="14"/>
                <w:color w:val="auto"/>
              </w:rPr>
              <w:t>6,800</w:t>
            </w:r>
          </w:p>
        </w:tc>
        <w:tc>
          <w:tcPr>
            <w:tcW w:w="860" w:type="dxa"/>
            <w:vAlign w:val="bottom"/>
            <w:tcBorders>
              <w:bottom w:val="single" w:sz="8" w:color="auto"/>
            </w:tcBorders>
          </w:tcPr>
          <w:p>
            <w:pPr>
              <w:jc w:val="right"/>
              <w:ind w:right="109"/>
              <w:spacing w:after="0" w:line="157" w:lineRule="exact"/>
              <w:rPr>
                <w:sz w:val="20"/>
                <w:szCs w:val="20"/>
                <w:color w:val="auto"/>
              </w:rPr>
            </w:pPr>
            <w:r>
              <w:rPr>
                <w:rFonts w:ascii="Arial" w:cs="Arial" w:eastAsia="Arial" w:hAnsi="Arial"/>
                <w:sz w:val="14"/>
                <w:szCs w:val="14"/>
                <w:color w:val="auto"/>
              </w:rPr>
              <w:t>2,113</w:t>
            </w:r>
          </w:p>
        </w:tc>
        <w:tc>
          <w:tcPr>
            <w:tcW w:w="600" w:type="dxa"/>
            <w:vAlign w:val="bottom"/>
            <w:tcBorders>
              <w:bottom w:val="single" w:sz="8" w:color="auto"/>
            </w:tcBorders>
          </w:tcPr>
          <w:p>
            <w:pPr>
              <w:jc w:val="right"/>
              <w:ind w:right="49"/>
              <w:spacing w:after="0" w:line="157" w:lineRule="exact"/>
              <w:rPr>
                <w:sz w:val="20"/>
                <w:szCs w:val="20"/>
                <w:color w:val="auto"/>
              </w:rPr>
            </w:pPr>
            <w:r>
              <w:rPr>
                <w:rFonts w:ascii="Arial" w:cs="Arial" w:eastAsia="Arial" w:hAnsi="Arial"/>
                <w:sz w:val="14"/>
                <w:szCs w:val="14"/>
                <w:color w:val="auto"/>
              </w:rPr>
              <w:t>2,404</w:t>
            </w:r>
          </w:p>
        </w:tc>
        <w:tc>
          <w:tcPr>
            <w:tcW w:w="820" w:type="dxa"/>
            <w:vAlign w:val="bottom"/>
            <w:tcBorders>
              <w:bottom w:val="single" w:sz="8" w:color="auto"/>
            </w:tcBorders>
          </w:tcPr>
          <w:p>
            <w:pPr>
              <w:jc w:val="right"/>
              <w:spacing w:after="0" w:line="157" w:lineRule="exact"/>
              <w:rPr>
                <w:sz w:val="20"/>
                <w:szCs w:val="20"/>
                <w:color w:val="auto"/>
              </w:rPr>
            </w:pPr>
            <w:r>
              <w:rPr>
                <w:rFonts w:ascii="Arial" w:cs="Arial" w:eastAsia="Arial" w:hAnsi="Arial"/>
                <w:sz w:val="14"/>
                <w:szCs w:val="14"/>
                <w:color w:val="auto"/>
              </w:rPr>
              <w:t>(654)</w:t>
            </w:r>
          </w:p>
        </w:tc>
        <w:tc>
          <w:tcPr>
            <w:tcW w:w="920" w:type="dxa"/>
            <w:vAlign w:val="bottom"/>
            <w:tcBorders>
              <w:bottom w:val="single" w:sz="8" w:color="auto"/>
            </w:tcBorders>
          </w:tcPr>
          <w:p>
            <w:pPr>
              <w:jc w:val="right"/>
              <w:ind w:right="29"/>
              <w:spacing w:after="0" w:line="157" w:lineRule="exact"/>
              <w:rPr>
                <w:sz w:val="20"/>
                <w:szCs w:val="20"/>
                <w:color w:val="auto"/>
              </w:rPr>
            </w:pPr>
            <w:r>
              <w:rPr>
                <w:rFonts w:ascii="Arial" w:cs="Arial" w:eastAsia="Arial" w:hAnsi="Arial"/>
                <w:sz w:val="14"/>
                <w:szCs w:val="14"/>
                <w:color w:val="auto"/>
              </w:rPr>
              <w:t>60</w:t>
            </w:r>
          </w:p>
        </w:tc>
        <w:tc>
          <w:tcPr>
            <w:tcW w:w="880" w:type="dxa"/>
            <w:vAlign w:val="bottom"/>
            <w:tcBorders>
              <w:bottom w:val="single" w:sz="8" w:color="auto"/>
            </w:tcBorders>
            <w:gridSpan w:val="2"/>
          </w:tcPr>
          <w:p>
            <w:pPr>
              <w:jc w:val="right"/>
              <w:ind w:right="120"/>
              <w:spacing w:after="0" w:line="157" w:lineRule="exact"/>
              <w:rPr>
                <w:sz w:val="20"/>
                <w:szCs w:val="20"/>
                <w:color w:val="auto"/>
              </w:rPr>
            </w:pPr>
            <w:r>
              <w:rPr>
                <w:rFonts w:ascii="Arial" w:cs="Arial" w:eastAsia="Arial" w:hAnsi="Arial"/>
                <w:sz w:val="14"/>
                <w:szCs w:val="14"/>
                <w:color w:val="auto"/>
              </w:rPr>
              <w:t>157</w:t>
            </w:r>
          </w:p>
        </w:tc>
        <w:tc>
          <w:tcPr>
            <w:tcW w:w="1280" w:type="dxa"/>
            <w:vAlign w:val="bottom"/>
            <w:tcBorders>
              <w:bottom w:val="single" w:sz="8" w:color="auto"/>
            </w:tcBorders>
          </w:tcPr>
          <w:p>
            <w:pPr>
              <w:jc w:val="right"/>
              <w:ind w:right="48"/>
              <w:spacing w:after="0" w:line="157" w:lineRule="exact"/>
              <w:rPr>
                <w:sz w:val="20"/>
                <w:szCs w:val="20"/>
                <w:color w:val="auto"/>
              </w:rPr>
            </w:pPr>
            <w:r>
              <w:rPr>
                <w:rFonts w:ascii="Arial" w:cs="Arial" w:eastAsia="Arial" w:hAnsi="Arial"/>
                <w:sz w:val="14"/>
                <w:szCs w:val="14"/>
                <w:color w:val="auto"/>
              </w:rPr>
              <w:t>14,242</w:t>
            </w:r>
          </w:p>
        </w:tc>
      </w:tr>
      <w:tr>
        <w:trPr>
          <w:trHeight w:val="156"/>
        </w:trPr>
        <w:tc>
          <w:tcPr>
            <w:tcW w:w="3500" w:type="dxa"/>
            <w:vAlign w:val="bottom"/>
            <w:tcBorders>
              <w:bottom w:val="single" w:sz="8" w:color="auto"/>
            </w:tcBorders>
          </w:tcPr>
          <w:p>
            <w:pPr>
              <w:spacing w:after="0" w:line="155" w:lineRule="exact"/>
              <w:rPr>
                <w:sz w:val="20"/>
                <w:szCs w:val="20"/>
                <w:color w:val="auto"/>
              </w:rPr>
            </w:pPr>
            <w:r>
              <w:rPr>
                <w:rFonts w:ascii="Arial" w:cs="Arial" w:eastAsia="Arial" w:hAnsi="Arial"/>
                <w:sz w:val="14"/>
                <w:szCs w:val="14"/>
                <w:color w:val="auto"/>
              </w:rPr>
              <w:t>Earnings after taxation</w:t>
            </w:r>
          </w:p>
        </w:tc>
        <w:tc>
          <w:tcPr>
            <w:tcW w:w="1720" w:type="dxa"/>
            <w:vAlign w:val="bottom"/>
            <w:tcBorders>
              <w:bottom w:val="single" w:sz="8" w:color="auto"/>
            </w:tcBorders>
          </w:tcPr>
          <w:p>
            <w:pPr>
              <w:jc w:val="right"/>
              <w:ind w:right="269"/>
              <w:spacing w:after="0" w:line="155" w:lineRule="exact"/>
              <w:rPr>
                <w:sz w:val="20"/>
                <w:szCs w:val="20"/>
                <w:color w:val="auto"/>
              </w:rPr>
            </w:pPr>
            <w:r>
              <w:rPr>
                <w:rFonts w:ascii="Arial" w:cs="Arial" w:eastAsia="Arial" w:hAnsi="Arial"/>
                <w:sz w:val="14"/>
                <w:szCs w:val="14"/>
                <w:color w:val="auto"/>
              </w:rPr>
              <w:t>1,225</w:t>
            </w:r>
          </w:p>
        </w:tc>
        <w:tc>
          <w:tcPr>
            <w:tcW w:w="840" w:type="dxa"/>
            <w:vAlign w:val="bottom"/>
            <w:tcBorders>
              <w:bottom w:val="single" w:sz="8" w:color="auto"/>
            </w:tcBorders>
          </w:tcPr>
          <w:p>
            <w:pPr>
              <w:jc w:val="right"/>
              <w:ind w:right="129"/>
              <w:spacing w:after="0" w:line="155" w:lineRule="exact"/>
              <w:rPr>
                <w:sz w:val="20"/>
                <w:szCs w:val="20"/>
                <w:color w:val="auto"/>
              </w:rPr>
            </w:pPr>
            <w:r>
              <w:rPr>
                <w:rFonts w:ascii="Arial" w:cs="Arial" w:eastAsia="Arial" w:hAnsi="Arial"/>
                <w:sz w:val="14"/>
                <w:szCs w:val="14"/>
                <w:color w:val="auto"/>
              </w:rPr>
              <w:t>2,127</w:t>
            </w:r>
          </w:p>
        </w:tc>
        <w:tc>
          <w:tcPr>
            <w:tcW w:w="860" w:type="dxa"/>
            <w:vAlign w:val="bottom"/>
            <w:tcBorders>
              <w:bottom w:val="single" w:sz="8" w:color="auto"/>
            </w:tcBorders>
          </w:tcPr>
          <w:p>
            <w:pPr>
              <w:jc w:val="right"/>
              <w:ind w:right="109"/>
              <w:spacing w:after="0" w:line="155" w:lineRule="exact"/>
              <w:rPr>
                <w:sz w:val="20"/>
                <w:szCs w:val="20"/>
                <w:color w:val="auto"/>
              </w:rPr>
            </w:pPr>
            <w:r>
              <w:rPr>
                <w:rFonts w:ascii="Arial" w:cs="Arial" w:eastAsia="Arial" w:hAnsi="Arial"/>
                <w:sz w:val="14"/>
                <w:szCs w:val="14"/>
                <w:color w:val="auto"/>
              </w:rPr>
              <w:t>1,393</w:t>
            </w:r>
          </w:p>
        </w:tc>
        <w:tc>
          <w:tcPr>
            <w:tcW w:w="600" w:type="dxa"/>
            <w:vAlign w:val="bottom"/>
            <w:tcBorders>
              <w:bottom w:val="single" w:sz="8" w:color="auto"/>
            </w:tcBorders>
          </w:tcPr>
          <w:p>
            <w:pPr>
              <w:jc w:val="right"/>
              <w:ind w:right="49"/>
              <w:spacing w:after="0" w:line="155" w:lineRule="exact"/>
              <w:rPr>
                <w:sz w:val="20"/>
                <w:szCs w:val="20"/>
                <w:color w:val="auto"/>
              </w:rPr>
            </w:pPr>
            <w:r>
              <w:rPr>
                <w:rFonts w:ascii="Arial" w:cs="Arial" w:eastAsia="Arial" w:hAnsi="Arial"/>
                <w:sz w:val="14"/>
                <w:szCs w:val="14"/>
                <w:color w:val="auto"/>
              </w:rPr>
              <w:t>1,775</w:t>
            </w:r>
          </w:p>
        </w:tc>
        <w:tc>
          <w:tcPr>
            <w:tcW w:w="8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(973)</w:t>
            </w:r>
          </w:p>
        </w:tc>
        <w:tc>
          <w:tcPr>
            <w:tcW w:w="920" w:type="dxa"/>
            <w:vAlign w:val="bottom"/>
            <w:tcBorders>
              <w:bottom w:val="single" w:sz="8" w:color="auto"/>
            </w:tcBorders>
          </w:tcPr>
          <w:p>
            <w:pPr>
              <w:jc w:val="right"/>
              <w:ind w:right="29"/>
              <w:spacing w:after="0" w:line="155" w:lineRule="exact"/>
              <w:rPr>
                <w:sz w:val="20"/>
                <w:szCs w:val="20"/>
                <w:color w:val="auto"/>
              </w:rPr>
            </w:pPr>
            <w:r>
              <w:rPr>
                <w:rFonts w:ascii="Arial" w:cs="Arial" w:eastAsia="Arial" w:hAnsi="Arial"/>
                <w:sz w:val="14"/>
                <w:szCs w:val="14"/>
                <w:color w:val="auto"/>
              </w:rPr>
              <w:t>240</w:t>
            </w:r>
          </w:p>
        </w:tc>
        <w:tc>
          <w:tcPr>
            <w:tcW w:w="880" w:type="dxa"/>
            <w:vAlign w:val="bottom"/>
            <w:tcBorders>
              <w:bottom w:val="single" w:sz="8" w:color="auto"/>
            </w:tcBorders>
            <w:gridSpan w:val="2"/>
          </w:tcPr>
          <w:p>
            <w:pPr>
              <w:jc w:val="right"/>
              <w:ind w:right="60"/>
              <w:spacing w:after="0" w:line="155" w:lineRule="exact"/>
              <w:rPr>
                <w:sz w:val="20"/>
                <w:szCs w:val="20"/>
                <w:color w:val="auto"/>
              </w:rPr>
            </w:pPr>
            <w:r>
              <w:rPr>
                <w:rFonts w:ascii="Arial" w:cs="Arial" w:eastAsia="Arial" w:hAnsi="Arial"/>
                <w:sz w:val="14"/>
                <w:szCs w:val="14"/>
                <w:color w:val="auto"/>
              </w:rPr>
              <w:t>(115)</w:t>
            </w:r>
          </w:p>
        </w:tc>
        <w:tc>
          <w:tcPr>
            <w:tcW w:w="1280" w:type="dxa"/>
            <w:vAlign w:val="bottom"/>
            <w:tcBorders>
              <w:bottom w:val="single" w:sz="8" w:color="auto"/>
            </w:tcBorders>
          </w:tcPr>
          <w:p>
            <w:pPr>
              <w:jc w:val="right"/>
              <w:ind w:right="48"/>
              <w:spacing w:after="0" w:line="155" w:lineRule="exact"/>
              <w:rPr>
                <w:sz w:val="20"/>
                <w:szCs w:val="20"/>
                <w:color w:val="auto"/>
              </w:rPr>
            </w:pPr>
            <w:r>
              <w:rPr>
                <w:rFonts w:ascii="Arial" w:cs="Arial" w:eastAsia="Arial" w:hAnsi="Arial"/>
                <w:sz w:val="14"/>
                <w:szCs w:val="14"/>
                <w:color w:val="auto"/>
              </w:rPr>
              <w:t>5,672</w:t>
            </w:r>
          </w:p>
        </w:tc>
      </w:tr>
    </w:tbl>
    <w:p>
      <w:pPr>
        <w:spacing w:after="0" w:line="19" w:lineRule="exact"/>
        <w:rPr>
          <w:sz w:val="20"/>
          <w:szCs w:val="20"/>
          <w:color w:val="auto"/>
        </w:rPr>
      </w:pPr>
    </w:p>
    <w:p>
      <w:pPr>
        <w:ind w:left="180" w:hanging="172"/>
        <w:spacing w:after="0"/>
        <w:tabs>
          <w:tab w:leader="none" w:pos="180" w:val="left"/>
        </w:tabs>
        <w:numPr>
          <w:ilvl w:val="0"/>
          <w:numId w:val="156"/>
        </w:numPr>
        <w:rPr>
          <w:rFonts w:ascii="Arial" w:cs="Arial" w:eastAsia="Arial" w:hAnsi="Arial"/>
          <w:sz w:val="11"/>
          <w:szCs w:val="11"/>
          <w:color w:val="auto"/>
        </w:rPr>
      </w:pPr>
      <w:r>
        <w:rPr>
          <w:rFonts w:ascii="Arial" w:cs="Arial" w:eastAsia="Arial" w:hAnsi="Arial"/>
          <w:sz w:val="11"/>
          <w:szCs w:val="11"/>
          <w:color w:val="auto"/>
        </w:rPr>
        <w:t>Includes Greenland.</w:t>
      </w:r>
    </w:p>
    <w:p>
      <w:pPr>
        <w:ind w:left="180" w:hanging="172"/>
        <w:spacing w:after="0"/>
        <w:tabs>
          <w:tab w:leader="none" w:pos="180" w:val="left"/>
        </w:tabs>
        <w:numPr>
          <w:ilvl w:val="0"/>
          <w:numId w:val="156"/>
        </w:numPr>
        <w:rPr>
          <w:rFonts w:ascii="Arial" w:cs="Arial" w:eastAsia="Arial" w:hAnsi="Arial"/>
          <w:sz w:val="11"/>
          <w:szCs w:val="11"/>
          <w:color w:val="auto"/>
        </w:rPr>
      </w:pPr>
      <w:r>
        <w:rPr>
          <w:rFonts w:ascii="Arial" w:cs="Arial" w:eastAsia="Arial" w:hAnsi="Arial"/>
          <w:sz w:val="11"/>
          <w:szCs w:val="11"/>
          <w:color w:val="auto"/>
        </w:rPr>
        <w:t>Includes cash-paid royalties to governments outside North America.</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3820" w:type="dxa"/>
            <w:vAlign w:val="bottom"/>
            <w:shd w:val="clear" w:color="auto" w:fill="333333"/>
          </w:tcPr>
          <w:p>
            <w:pPr>
              <w:ind w:left="80"/>
              <w:spacing w:after="0"/>
              <w:rPr>
                <w:sz w:val="20"/>
                <w:szCs w:val="20"/>
                <w:color w:val="auto"/>
              </w:rPr>
            </w:pPr>
            <w:r>
              <w:rPr>
                <w:rFonts w:ascii="Arial" w:cs="Arial" w:eastAsia="Arial" w:hAnsi="Arial"/>
                <w:sz w:val="15"/>
                <w:szCs w:val="15"/>
                <w:b w:val="1"/>
                <w:bCs w:val="1"/>
                <w:color w:val="FFFFFF"/>
              </w:rPr>
              <w:t>2013</w:t>
            </w:r>
          </w:p>
        </w:tc>
        <w:tc>
          <w:tcPr>
            <w:tcW w:w="2000" w:type="dxa"/>
            <w:vAlign w:val="bottom"/>
            <w:shd w:val="clear" w:color="auto" w:fill="333333"/>
          </w:tcPr>
          <w:p>
            <w:pPr>
              <w:spacing w:after="0"/>
              <w:rPr>
                <w:sz w:val="14"/>
                <w:szCs w:val="14"/>
                <w:color w:val="auto"/>
              </w:rPr>
            </w:pPr>
          </w:p>
        </w:tc>
        <w:tc>
          <w:tcPr>
            <w:tcW w:w="780" w:type="dxa"/>
            <w:vAlign w:val="bottom"/>
            <w:shd w:val="clear" w:color="auto" w:fill="333333"/>
          </w:tcPr>
          <w:p>
            <w:pPr>
              <w:spacing w:after="0"/>
              <w:rPr>
                <w:sz w:val="14"/>
                <w:szCs w:val="14"/>
                <w:color w:val="auto"/>
              </w:rPr>
            </w:pPr>
          </w:p>
        </w:tc>
        <w:tc>
          <w:tcPr>
            <w:tcW w:w="780" w:type="dxa"/>
            <w:vAlign w:val="bottom"/>
            <w:shd w:val="clear" w:color="auto" w:fill="333333"/>
          </w:tcPr>
          <w:p>
            <w:pPr>
              <w:spacing w:after="0"/>
              <w:rPr>
                <w:sz w:val="14"/>
                <w:szCs w:val="14"/>
                <w:color w:val="auto"/>
              </w:rPr>
            </w:pPr>
          </w:p>
        </w:tc>
        <w:tc>
          <w:tcPr>
            <w:tcW w:w="580" w:type="dxa"/>
            <w:vAlign w:val="bottom"/>
            <w:shd w:val="clear" w:color="auto" w:fill="333333"/>
          </w:tcPr>
          <w:p>
            <w:pPr>
              <w:spacing w:after="0"/>
              <w:rPr>
                <w:sz w:val="14"/>
                <w:szCs w:val="14"/>
                <w:color w:val="auto"/>
              </w:rPr>
            </w:pPr>
          </w:p>
        </w:tc>
        <w:tc>
          <w:tcPr>
            <w:tcW w:w="940" w:type="dxa"/>
            <w:vAlign w:val="bottom"/>
            <w:shd w:val="clear" w:color="auto" w:fill="333333"/>
          </w:tcPr>
          <w:p>
            <w:pPr>
              <w:spacing w:after="0"/>
              <w:rPr>
                <w:sz w:val="14"/>
                <w:szCs w:val="14"/>
                <w:color w:val="auto"/>
              </w:rPr>
            </w:pPr>
          </w:p>
        </w:tc>
        <w:tc>
          <w:tcPr>
            <w:tcW w:w="840" w:type="dxa"/>
            <w:vAlign w:val="bottom"/>
            <w:shd w:val="clear" w:color="auto" w:fill="333333"/>
          </w:tcPr>
          <w:p>
            <w:pPr>
              <w:spacing w:after="0"/>
              <w:rPr>
                <w:sz w:val="14"/>
                <w:szCs w:val="14"/>
                <w:color w:val="auto"/>
              </w:rPr>
            </w:pPr>
          </w:p>
        </w:tc>
        <w:tc>
          <w:tcPr>
            <w:tcW w:w="1680" w:type="dxa"/>
            <w:vAlign w:val="bottom"/>
            <w:gridSpan w:val="3"/>
            <w:shd w:val="clear" w:color="auto" w:fill="333333"/>
          </w:tcPr>
          <w:p>
            <w:pPr>
              <w:jc w:val="right"/>
              <w:ind w:right="149"/>
              <w:spacing w:after="0"/>
              <w:rPr>
                <w:sz w:val="20"/>
                <w:szCs w:val="20"/>
                <w:color w:val="auto"/>
              </w:rPr>
            </w:pPr>
            <w:r>
              <w:rPr>
                <w:rFonts w:ascii="Arial" w:cs="Arial" w:eastAsia="Arial" w:hAnsi="Arial"/>
                <w:sz w:val="15"/>
                <w:szCs w:val="15"/>
                <w:color w:val="FFFFFF"/>
              </w:rPr>
              <w:t>$ MILLION</w:t>
            </w:r>
          </w:p>
        </w:tc>
      </w:tr>
      <w:tr>
        <w:trPr>
          <w:trHeight w:val="156"/>
        </w:trPr>
        <w:tc>
          <w:tcPr>
            <w:tcW w:w="3820" w:type="dxa"/>
            <w:vAlign w:val="bottom"/>
          </w:tcPr>
          <w:p>
            <w:pPr>
              <w:spacing w:after="0"/>
              <w:rPr>
                <w:sz w:val="13"/>
                <w:szCs w:val="13"/>
                <w:color w:val="auto"/>
              </w:rPr>
            </w:pPr>
          </w:p>
        </w:tc>
        <w:tc>
          <w:tcPr>
            <w:tcW w:w="20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780" w:type="dxa"/>
            <w:vAlign w:val="bottom"/>
            <w:tcBorders>
              <w:bottom w:val="single" w:sz="8" w:color="auto"/>
            </w:tcBorders>
            <w:gridSpan w:val="2"/>
          </w:tcPr>
          <w:p>
            <w:pPr>
              <w:jc w:val="right"/>
              <w:ind w:right="149"/>
              <w:spacing w:after="0"/>
              <w:rPr>
                <w:sz w:val="20"/>
                <w:szCs w:val="20"/>
                <w:color w:val="auto"/>
              </w:rPr>
            </w:pPr>
            <w:r>
              <w:rPr>
                <w:rFonts w:ascii="Arial" w:cs="Arial" w:eastAsia="Arial" w:hAnsi="Arial"/>
                <w:sz w:val="13"/>
                <w:szCs w:val="13"/>
                <w:color w:val="auto"/>
              </w:rPr>
              <w:t>North America</w:t>
            </w:r>
          </w:p>
        </w:tc>
        <w:tc>
          <w:tcPr>
            <w:tcW w:w="820" w:type="dxa"/>
            <w:vAlign w:val="bottom"/>
            <w:gridSpan w:val="2"/>
          </w:tcPr>
          <w:p>
            <w:pPr>
              <w:jc w:val="right"/>
              <w:ind w:right="100"/>
              <w:spacing w:after="0"/>
              <w:rPr>
                <w:sz w:val="20"/>
                <w:szCs w:val="20"/>
                <w:color w:val="auto"/>
              </w:rPr>
            </w:pPr>
            <w:r>
              <w:rPr>
                <w:rFonts w:ascii="Arial" w:cs="Arial" w:eastAsia="Arial" w:hAnsi="Arial"/>
                <w:sz w:val="13"/>
                <w:szCs w:val="13"/>
                <w:color w:val="auto"/>
              </w:rPr>
              <w:t>South</w:t>
            </w:r>
          </w:p>
        </w:tc>
        <w:tc>
          <w:tcPr>
            <w:tcW w:w="860" w:type="dxa"/>
            <w:vAlign w:val="bottom"/>
          </w:tcPr>
          <w:p>
            <w:pPr>
              <w:spacing w:after="0"/>
              <w:rPr>
                <w:sz w:val="13"/>
                <w:szCs w:val="13"/>
                <w:color w:val="auto"/>
              </w:rPr>
            </w:pPr>
          </w:p>
        </w:tc>
      </w:tr>
      <w:tr>
        <w:trPr>
          <w:trHeight w:val="135"/>
        </w:trPr>
        <w:tc>
          <w:tcPr>
            <w:tcW w:w="3820" w:type="dxa"/>
            <w:vAlign w:val="bottom"/>
          </w:tcPr>
          <w:p>
            <w:pPr>
              <w:spacing w:after="0"/>
              <w:rPr>
                <w:sz w:val="11"/>
                <w:szCs w:val="11"/>
                <w:color w:val="auto"/>
              </w:rPr>
            </w:pPr>
          </w:p>
        </w:tc>
        <w:tc>
          <w:tcPr>
            <w:tcW w:w="2000" w:type="dxa"/>
            <w:vAlign w:val="bottom"/>
          </w:tcPr>
          <w:p>
            <w:pPr>
              <w:jc w:val="right"/>
              <w:ind w:right="89"/>
              <w:spacing w:after="0" w:line="135" w:lineRule="exact"/>
              <w:rPr>
                <w:sz w:val="20"/>
                <w:szCs w:val="20"/>
                <w:color w:val="auto"/>
              </w:rPr>
            </w:pPr>
            <w:r>
              <w:rPr>
                <w:rFonts w:ascii="Arial" w:cs="Arial" w:eastAsia="Arial" w:hAnsi="Arial"/>
                <w:sz w:val="13"/>
                <w:szCs w:val="13"/>
                <w:color w:val="auto"/>
              </w:rPr>
              <w:t>Europe[A]</w:t>
            </w:r>
          </w:p>
        </w:tc>
        <w:tc>
          <w:tcPr>
            <w:tcW w:w="780" w:type="dxa"/>
            <w:vAlign w:val="bottom"/>
          </w:tcPr>
          <w:p>
            <w:pPr>
              <w:jc w:val="right"/>
              <w:ind w:right="129"/>
              <w:spacing w:after="0" w:line="135" w:lineRule="exact"/>
              <w:rPr>
                <w:sz w:val="20"/>
                <w:szCs w:val="20"/>
                <w:color w:val="auto"/>
              </w:rPr>
            </w:pPr>
            <w:r>
              <w:rPr>
                <w:rFonts w:ascii="Arial" w:cs="Arial" w:eastAsia="Arial" w:hAnsi="Arial"/>
                <w:sz w:val="13"/>
                <w:szCs w:val="13"/>
                <w:color w:val="auto"/>
              </w:rPr>
              <w:t>Asia</w:t>
            </w:r>
          </w:p>
        </w:tc>
        <w:tc>
          <w:tcPr>
            <w:tcW w:w="780" w:type="dxa"/>
            <w:vAlign w:val="bottom"/>
          </w:tcPr>
          <w:p>
            <w:pPr>
              <w:jc w:val="right"/>
              <w:ind w:right="69"/>
              <w:spacing w:after="0" w:line="135" w:lineRule="exact"/>
              <w:rPr>
                <w:sz w:val="20"/>
                <w:szCs w:val="20"/>
                <w:color w:val="auto"/>
              </w:rPr>
            </w:pPr>
            <w:r>
              <w:rPr>
                <w:rFonts w:ascii="Arial" w:cs="Arial" w:eastAsia="Arial" w:hAnsi="Arial"/>
                <w:sz w:val="13"/>
                <w:szCs w:val="13"/>
                <w:color w:val="auto"/>
              </w:rPr>
              <w:t>Oceania</w:t>
            </w:r>
          </w:p>
        </w:tc>
        <w:tc>
          <w:tcPr>
            <w:tcW w:w="580" w:type="dxa"/>
            <w:vAlign w:val="bottom"/>
          </w:tcPr>
          <w:p>
            <w:pPr>
              <w:jc w:val="right"/>
              <w:ind w:right="29"/>
              <w:spacing w:after="0" w:line="135" w:lineRule="exact"/>
              <w:rPr>
                <w:sz w:val="20"/>
                <w:szCs w:val="20"/>
                <w:color w:val="auto"/>
              </w:rPr>
            </w:pPr>
            <w:r>
              <w:rPr>
                <w:rFonts w:ascii="Arial" w:cs="Arial" w:eastAsia="Arial" w:hAnsi="Arial"/>
                <w:sz w:val="13"/>
                <w:szCs w:val="13"/>
                <w:color w:val="auto"/>
              </w:rPr>
              <w:t>Africa</w:t>
            </w:r>
          </w:p>
        </w:tc>
        <w:tc>
          <w:tcPr>
            <w:tcW w:w="940" w:type="dxa"/>
            <w:vAlign w:val="bottom"/>
          </w:tcPr>
          <w:p>
            <w:pPr>
              <w:jc w:val="right"/>
              <w:ind w:right="129"/>
              <w:spacing w:after="0" w:line="135" w:lineRule="exact"/>
              <w:rPr>
                <w:sz w:val="20"/>
                <w:szCs w:val="20"/>
                <w:color w:val="auto"/>
              </w:rPr>
            </w:pPr>
            <w:r>
              <w:rPr>
                <w:rFonts w:ascii="Arial" w:cs="Arial" w:eastAsia="Arial" w:hAnsi="Arial"/>
                <w:sz w:val="13"/>
                <w:szCs w:val="13"/>
                <w:color w:val="auto"/>
              </w:rPr>
              <w:t>USA</w:t>
            </w:r>
          </w:p>
        </w:tc>
        <w:tc>
          <w:tcPr>
            <w:tcW w:w="840" w:type="dxa"/>
            <w:vAlign w:val="bottom"/>
          </w:tcPr>
          <w:p>
            <w:pPr>
              <w:jc w:val="right"/>
              <w:ind w:right="149"/>
              <w:spacing w:after="0" w:line="135" w:lineRule="exact"/>
              <w:rPr>
                <w:sz w:val="20"/>
                <w:szCs w:val="20"/>
                <w:color w:val="auto"/>
              </w:rPr>
            </w:pPr>
            <w:r>
              <w:rPr>
                <w:rFonts w:ascii="Arial" w:cs="Arial" w:eastAsia="Arial" w:hAnsi="Arial"/>
                <w:sz w:val="13"/>
                <w:szCs w:val="13"/>
                <w:color w:val="auto"/>
              </w:rPr>
              <w:t>Canada</w:t>
            </w:r>
          </w:p>
        </w:tc>
        <w:tc>
          <w:tcPr>
            <w:tcW w:w="820" w:type="dxa"/>
            <w:vAlign w:val="bottom"/>
            <w:gridSpan w:val="2"/>
          </w:tcPr>
          <w:p>
            <w:pPr>
              <w:jc w:val="right"/>
              <w:ind w:right="100"/>
              <w:spacing w:after="0" w:line="132" w:lineRule="exact"/>
              <w:rPr>
                <w:sz w:val="20"/>
                <w:szCs w:val="20"/>
                <w:color w:val="auto"/>
              </w:rPr>
            </w:pPr>
            <w:r>
              <w:rPr>
                <w:rFonts w:ascii="Arial" w:cs="Arial" w:eastAsia="Arial" w:hAnsi="Arial"/>
                <w:sz w:val="13"/>
                <w:szCs w:val="13"/>
                <w:color w:val="auto"/>
              </w:rPr>
              <w:t>America</w:t>
            </w:r>
          </w:p>
        </w:tc>
        <w:tc>
          <w:tcPr>
            <w:tcW w:w="860" w:type="dxa"/>
            <w:vAlign w:val="bottom"/>
          </w:tcPr>
          <w:p>
            <w:pPr>
              <w:jc w:val="right"/>
              <w:ind w:right="149"/>
              <w:spacing w:after="0" w:line="135" w:lineRule="exact"/>
              <w:rPr>
                <w:sz w:val="20"/>
                <w:szCs w:val="20"/>
                <w:color w:val="auto"/>
              </w:rPr>
            </w:pPr>
            <w:r>
              <w:rPr>
                <w:rFonts w:ascii="Arial" w:cs="Arial" w:eastAsia="Arial" w:hAnsi="Arial"/>
                <w:sz w:val="13"/>
                <w:szCs w:val="13"/>
                <w:color w:val="auto"/>
              </w:rPr>
              <w:t>Total</w:t>
            </w:r>
          </w:p>
        </w:tc>
      </w:tr>
      <w:tr>
        <w:trPr>
          <w:trHeight w:val="160"/>
        </w:trPr>
        <w:tc>
          <w:tcPr>
            <w:tcW w:w="3820" w:type="dxa"/>
            <w:vAlign w:val="bottom"/>
            <w:tcBorders>
              <w:top w:val="single" w:sz="8" w:color="auto"/>
            </w:tcBorders>
          </w:tcPr>
          <w:p>
            <w:pPr>
              <w:spacing w:after="0"/>
              <w:rPr>
                <w:sz w:val="20"/>
                <w:szCs w:val="20"/>
                <w:color w:val="auto"/>
              </w:rPr>
            </w:pPr>
            <w:r>
              <w:rPr>
                <w:rFonts w:ascii="Arial" w:cs="Arial" w:eastAsia="Arial" w:hAnsi="Arial"/>
                <w:sz w:val="14"/>
                <w:szCs w:val="14"/>
                <w:color w:val="auto"/>
              </w:rPr>
              <w:t>Revenue</w:t>
            </w:r>
          </w:p>
        </w:tc>
        <w:tc>
          <w:tcPr>
            <w:tcW w:w="200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58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Borders>
              <w:top w:val="single" w:sz="8" w:color="auto"/>
            </w:tcBorders>
          </w:tcPr>
          <w:p>
            <w:pPr>
              <w:spacing w:after="0"/>
              <w:rPr>
                <w:sz w:val="13"/>
                <w:szCs w:val="13"/>
                <w:color w:val="auto"/>
              </w:rPr>
            </w:pPr>
          </w:p>
        </w:tc>
      </w:tr>
      <w:tr>
        <w:trPr>
          <w:trHeight w:val="162"/>
        </w:trPr>
        <w:tc>
          <w:tcPr>
            <w:tcW w:w="3820" w:type="dxa"/>
            <w:vAlign w:val="bottom"/>
          </w:tcPr>
          <w:p>
            <w:pPr>
              <w:ind w:left="140"/>
              <w:spacing w:after="0"/>
              <w:rPr>
                <w:sz w:val="20"/>
                <w:szCs w:val="20"/>
                <w:color w:val="auto"/>
              </w:rPr>
            </w:pPr>
            <w:r>
              <w:rPr>
                <w:rFonts w:ascii="Arial" w:cs="Arial" w:eastAsia="Arial" w:hAnsi="Arial"/>
                <w:sz w:val="14"/>
                <w:szCs w:val="14"/>
                <w:color w:val="auto"/>
              </w:rPr>
              <w:t>Third parties</w:t>
            </w:r>
          </w:p>
        </w:tc>
        <w:tc>
          <w:tcPr>
            <w:tcW w:w="2000" w:type="dxa"/>
            <w:vAlign w:val="bottom"/>
          </w:tcPr>
          <w:p>
            <w:pPr>
              <w:jc w:val="right"/>
              <w:ind w:right="249"/>
              <w:spacing w:after="0"/>
              <w:rPr>
                <w:sz w:val="20"/>
                <w:szCs w:val="20"/>
                <w:color w:val="auto"/>
              </w:rPr>
            </w:pPr>
            <w:r>
              <w:rPr>
                <w:rFonts w:ascii="Arial" w:cs="Arial" w:eastAsia="Arial" w:hAnsi="Arial"/>
                <w:sz w:val="14"/>
                <w:szCs w:val="14"/>
                <w:color w:val="auto"/>
              </w:rPr>
              <w:t>4,116</w:t>
            </w:r>
          </w:p>
        </w:tc>
        <w:tc>
          <w:tcPr>
            <w:tcW w:w="780" w:type="dxa"/>
            <w:vAlign w:val="bottom"/>
          </w:tcPr>
          <w:p>
            <w:pPr>
              <w:jc w:val="right"/>
              <w:ind w:right="129"/>
              <w:spacing w:after="0"/>
              <w:rPr>
                <w:sz w:val="20"/>
                <w:szCs w:val="20"/>
                <w:color w:val="auto"/>
              </w:rPr>
            </w:pPr>
            <w:r>
              <w:rPr>
                <w:rFonts w:ascii="Arial" w:cs="Arial" w:eastAsia="Arial" w:hAnsi="Arial"/>
                <w:sz w:val="14"/>
                <w:szCs w:val="14"/>
                <w:color w:val="auto"/>
              </w:rPr>
              <w:t>5,535</w:t>
            </w:r>
          </w:p>
        </w:tc>
        <w:tc>
          <w:tcPr>
            <w:tcW w:w="780" w:type="dxa"/>
            <w:vAlign w:val="bottom"/>
          </w:tcPr>
          <w:p>
            <w:pPr>
              <w:jc w:val="right"/>
              <w:ind w:right="69"/>
              <w:spacing w:after="0"/>
              <w:rPr>
                <w:sz w:val="20"/>
                <w:szCs w:val="20"/>
                <w:color w:val="auto"/>
              </w:rPr>
            </w:pPr>
            <w:r>
              <w:rPr>
                <w:rFonts w:ascii="Arial" w:cs="Arial" w:eastAsia="Arial" w:hAnsi="Arial"/>
                <w:sz w:val="14"/>
                <w:szCs w:val="14"/>
                <w:color w:val="auto"/>
              </w:rPr>
              <w:t>1,982</w:t>
            </w:r>
          </w:p>
        </w:tc>
        <w:tc>
          <w:tcPr>
            <w:tcW w:w="580" w:type="dxa"/>
            <w:vAlign w:val="bottom"/>
          </w:tcPr>
          <w:p>
            <w:pPr>
              <w:jc w:val="right"/>
              <w:ind w:right="29"/>
              <w:spacing w:after="0"/>
              <w:rPr>
                <w:sz w:val="20"/>
                <w:szCs w:val="20"/>
                <w:color w:val="auto"/>
              </w:rPr>
            </w:pPr>
            <w:r>
              <w:rPr>
                <w:rFonts w:ascii="Arial" w:cs="Arial" w:eastAsia="Arial" w:hAnsi="Arial"/>
                <w:sz w:val="14"/>
                <w:szCs w:val="14"/>
                <w:color w:val="auto"/>
              </w:rPr>
              <w:t>2,690</w:t>
            </w:r>
          </w:p>
        </w:tc>
        <w:tc>
          <w:tcPr>
            <w:tcW w:w="940" w:type="dxa"/>
            <w:vAlign w:val="bottom"/>
          </w:tcPr>
          <w:p>
            <w:pPr>
              <w:jc w:val="right"/>
              <w:ind w:right="129"/>
              <w:spacing w:after="0"/>
              <w:rPr>
                <w:sz w:val="20"/>
                <w:szCs w:val="20"/>
                <w:color w:val="auto"/>
              </w:rPr>
            </w:pPr>
            <w:r>
              <w:rPr>
                <w:rFonts w:ascii="Arial" w:cs="Arial" w:eastAsia="Arial" w:hAnsi="Arial"/>
                <w:sz w:val="14"/>
                <w:szCs w:val="14"/>
                <w:color w:val="auto"/>
              </w:rPr>
              <w:t>3,416</w:t>
            </w:r>
          </w:p>
        </w:tc>
        <w:tc>
          <w:tcPr>
            <w:tcW w:w="840" w:type="dxa"/>
            <w:vAlign w:val="bottom"/>
          </w:tcPr>
          <w:p>
            <w:pPr>
              <w:jc w:val="right"/>
              <w:ind w:right="149"/>
              <w:spacing w:after="0"/>
              <w:rPr>
                <w:sz w:val="20"/>
                <w:szCs w:val="20"/>
                <w:color w:val="auto"/>
              </w:rPr>
            </w:pPr>
            <w:r>
              <w:rPr>
                <w:rFonts w:ascii="Arial" w:cs="Arial" w:eastAsia="Arial" w:hAnsi="Arial"/>
                <w:sz w:val="14"/>
                <w:szCs w:val="14"/>
                <w:color w:val="auto"/>
              </w:rPr>
              <w:t>52</w:t>
            </w:r>
          </w:p>
        </w:tc>
        <w:tc>
          <w:tcPr>
            <w:tcW w:w="820" w:type="dxa"/>
            <w:vAlign w:val="bottom"/>
            <w:gridSpan w:val="2"/>
          </w:tcPr>
          <w:p>
            <w:pPr>
              <w:jc w:val="right"/>
              <w:ind w:right="100"/>
              <w:spacing w:after="0"/>
              <w:rPr>
                <w:sz w:val="20"/>
                <w:szCs w:val="20"/>
                <w:color w:val="auto"/>
              </w:rPr>
            </w:pPr>
            <w:r>
              <w:rPr>
                <w:rFonts w:ascii="Arial" w:cs="Arial" w:eastAsia="Arial" w:hAnsi="Arial"/>
                <w:sz w:val="14"/>
                <w:szCs w:val="14"/>
                <w:color w:val="auto"/>
              </w:rPr>
              <w:t>64</w:t>
            </w:r>
          </w:p>
        </w:tc>
        <w:tc>
          <w:tcPr>
            <w:tcW w:w="860" w:type="dxa"/>
            <w:vAlign w:val="bottom"/>
          </w:tcPr>
          <w:p>
            <w:pPr>
              <w:jc w:val="right"/>
              <w:ind w:right="149"/>
              <w:spacing w:after="0"/>
              <w:rPr>
                <w:sz w:val="20"/>
                <w:szCs w:val="20"/>
                <w:color w:val="auto"/>
              </w:rPr>
            </w:pPr>
            <w:r>
              <w:rPr>
                <w:rFonts w:ascii="Arial" w:cs="Arial" w:eastAsia="Arial" w:hAnsi="Arial"/>
                <w:sz w:val="14"/>
                <w:szCs w:val="14"/>
                <w:color w:val="auto"/>
              </w:rPr>
              <w:t>17,855</w:t>
            </w:r>
          </w:p>
        </w:tc>
      </w:tr>
      <w:tr>
        <w:trPr>
          <w:trHeight w:val="157"/>
        </w:trPr>
        <w:tc>
          <w:tcPr>
            <w:tcW w:w="3820" w:type="dxa"/>
            <w:vAlign w:val="bottom"/>
            <w:tcBorders>
              <w:bottom w:val="single" w:sz="8" w:color="auto"/>
            </w:tcBorders>
          </w:tcPr>
          <w:p>
            <w:pPr>
              <w:ind w:left="140"/>
              <w:spacing w:after="0" w:line="157" w:lineRule="exact"/>
              <w:rPr>
                <w:sz w:val="20"/>
                <w:szCs w:val="20"/>
                <w:color w:val="auto"/>
              </w:rPr>
            </w:pPr>
            <w:r>
              <w:rPr>
                <w:rFonts w:ascii="Arial" w:cs="Arial" w:eastAsia="Arial" w:hAnsi="Arial"/>
                <w:sz w:val="14"/>
                <w:szCs w:val="14"/>
                <w:color w:val="auto"/>
              </w:rPr>
              <w:t>Sales between businesses</w:t>
            </w:r>
          </w:p>
        </w:tc>
        <w:tc>
          <w:tcPr>
            <w:tcW w:w="2000" w:type="dxa"/>
            <w:vAlign w:val="bottom"/>
            <w:tcBorders>
              <w:bottom w:val="single" w:sz="8" w:color="auto"/>
            </w:tcBorders>
          </w:tcPr>
          <w:p>
            <w:pPr>
              <w:jc w:val="right"/>
              <w:ind w:right="249"/>
              <w:spacing w:after="0" w:line="157" w:lineRule="exact"/>
              <w:rPr>
                <w:sz w:val="20"/>
                <w:szCs w:val="20"/>
                <w:color w:val="auto"/>
              </w:rPr>
            </w:pPr>
            <w:r>
              <w:rPr>
                <w:rFonts w:ascii="Arial" w:cs="Arial" w:eastAsia="Arial" w:hAnsi="Arial"/>
                <w:sz w:val="14"/>
                <w:szCs w:val="14"/>
                <w:color w:val="auto"/>
              </w:rPr>
              <w:t>8,420</w:t>
            </w:r>
          </w:p>
        </w:tc>
        <w:tc>
          <w:tcPr>
            <w:tcW w:w="780" w:type="dxa"/>
            <w:vAlign w:val="bottom"/>
            <w:tcBorders>
              <w:bottom w:val="single" w:sz="8" w:color="auto"/>
            </w:tcBorders>
          </w:tcPr>
          <w:p>
            <w:pPr>
              <w:jc w:val="right"/>
              <w:ind w:right="129"/>
              <w:spacing w:after="0" w:line="157" w:lineRule="exact"/>
              <w:rPr>
                <w:sz w:val="20"/>
                <w:szCs w:val="20"/>
                <w:color w:val="auto"/>
              </w:rPr>
            </w:pPr>
            <w:r>
              <w:rPr>
                <w:rFonts w:ascii="Arial" w:cs="Arial" w:eastAsia="Arial" w:hAnsi="Arial"/>
                <w:sz w:val="14"/>
                <w:szCs w:val="14"/>
                <w:color w:val="auto"/>
              </w:rPr>
              <w:t>17,538</w:t>
            </w:r>
          </w:p>
        </w:tc>
        <w:tc>
          <w:tcPr>
            <w:tcW w:w="780" w:type="dxa"/>
            <w:vAlign w:val="bottom"/>
            <w:tcBorders>
              <w:bottom w:val="single" w:sz="8" w:color="auto"/>
            </w:tcBorders>
          </w:tcPr>
          <w:p>
            <w:pPr>
              <w:jc w:val="right"/>
              <w:ind w:right="69"/>
              <w:spacing w:after="0" w:line="157" w:lineRule="exact"/>
              <w:rPr>
                <w:sz w:val="20"/>
                <w:szCs w:val="20"/>
                <w:color w:val="auto"/>
              </w:rPr>
            </w:pPr>
            <w:r>
              <w:rPr>
                <w:rFonts w:ascii="Arial" w:cs="Arial" w:eastAsia="Arial" w:hAnsi="Arial"/>
                <w:sz w:val="14"/>
                <w:szCs w:val="14"/>
                <w:color w:val="auto"/>
              </w:rPr>
              <w:t>1,038</w:t>
            </w:r>
          </w:p>
        </w:tc>
        <w:tc>
          <w:tcPr>
            <w:tcW w:w="580" w:type="dxa"/>
            <w:vAlign w:val="bottom"/>
            <w:tcBorders>
              <w:bottom w:val="single" w:sz="8" w:color="auto"/>
            </w:tcBorders>
          </w:tcPr>
          <w:p>
            <w:pPr>
              <w:jc w:val="right"/>
              <w:ind w:right="29"/>
              <w:spacing w:after="0" w:line="157" w:lineRule="exact"/>
              <w:rPr>
                <w:sz w:val="20"/>
                <w:szCs w:val="20"/>
                <w:color w:val="auto"/>
              </w:rPr>
            </w:pPr>
            <w:r>
              <w:rPr>
                <w:rFonts w:ascii="Arial" w:cs="Arial" w:eastAsia="Arial" w:hAnsi="Arial"/>
                <w:sz w:val="14"/>
                <w:szCs w:val="14"/>
                <w:color w:val="auto"/>
              </w:rPr>
              <w:t>6,873</w:t>
            </w:r>
          </w:p>
        </w:tc>
        <w:tc>
          <w:tcPr>
            <w:tcW w:w="940" w:type="dxa"/>
            <w:vAlign w:val="bottom"/>
            <w:tcBorders>
              <w:bottom w:val="single" w:sz="8" w:color="auto"/>
            </w:tcBorders>
          </w:tcPr>
          <w:p>
            <w:pPr>
              <w:jc w:val="right"/>
              <w:ind w:right="129"/>
              <w:spacing w:after="0" w:line="157" w:lineRule="exact"/>
              <w:rPr>
                <w:sz w:val="20"/>
                <w:szCs w:val="20"/>
                <w:color w:val="auto"/>
              </w:rPr>
            </w:pPr>
            <w:r>
              <w:rPr>
                <w:rFonts w:ascii="Arial" w:cs="Arial" w:eastAsia="Arial" w:hAnsi="Arial"/>
                <w:sz w:val="14"/>
                <w:szCs w:val="14"/>
                <w:color w:val="auto"/>
              </w:rPr>
              <w:t>7,232</w:t>
            </w:r>
          </w:p>
        </w:tc>
        <w:tc>
          <w:tcPr>
            <w:tcW w:w="840" w:type="dxa"/>
            <w:vAlign w:val="bottom"/>
            <w:tcBorders>
              <w:bottom w:val="single" w:sz="8" w:color="auto"/>
            </w:tcBorders>
          </w:tcPr>
          <w:p>
            <w:pPr>
              <w:jc w:val="right"/>
              <w:ind w:right="149"/>
              <w:spacing w:after="0" w:line="157" w:lineRule="exact"/>
              <w:rPr>
                <w:sz w:val="20"/>
                <w:szCs w:val="20"/>
                <w:color w:val="auto"/>
              </w:rPr>
            </w:pPr>
            <w:r>
              <w:rPr>
                <w:rFonts w:ascii="Arial" w:cs="Arial" w:eastAsia="Arial" w:hAnsi="Arial"/>
                <w:sz w:val="14"/>
                <w:szCs w:val="14"/>
                <w:color w:val="auto"/>
              </w:rPr>
              <w:t>7,354</w:t>
            </w:r>
          </w:p>
        </w:tc>
        <w:tc>
          <w:tcPr>
            <w:tcW w:w="820" w:type="dxa"/>
            <w:vAlign w:val="bottom"/>
            <w:tcBorders>
              <w:bottom w:val="single" w:sz="8" w:color="auto"/>
            </w:tcBorders>
            <w:gridSpan w:val="2"/>
          </w:tcPr>
          <w:p>
            <w:pPr>
              <w:jc w:val="right"/>
              <w:ind w:right="100"/>
              <w:spacing w:after="0" w:line="157" w:lineRule="exact"/>
              <w:rPr>
                <w:sz w:val="20"/>
                <w:szCs w:val="20"/>
                <w:color w:val="auto"/>
              </w:rPr>
            </w:pPr>
            <w:r>
              <w:rPr>
                <w:rFonts w:ascii="Arial" w:cs="Arial" w:eastAsia="Arial" w:hAnsi="Arial"/>
                <w:sz w:val="14"/>
                <w:szCs w:val="14"/>
                <w:color w:val="auto"/>
              </w:rPr>
              <w:t>684</w:t>
            </w:r>
          </w:p>
        </w:tc>
        <w:tc>
          <w:tcPr>
            <w:tcW w:w="860" w:type="dxa"/>
            <w:vAlign w:val="bottom"/>
            <w:tcBorders>
              <w:bottom w:val="single" w:sz="8" w:color="auto"/>
            </w:tcBorders>
          </w:tcPr>
          <w:p>
            <w:pPr>
              <w:jc w:val="right"/>
              <w:ind w:right="149"/>
              <w:spacing w:after="0" w:line="157" w:lineRule="exact"/>
              <w:rPr>
                <w:sz w:val="20"/>
                <w:szCs w:val="20"/>
                <w:color w:val="auto"/>
              </w:rPr>
            </w:pPr>
            <w:r>
              <w:rPr>
                <w:rFonts w:ascii="Arial" w:cs="Arial" w:eastAsia="Arial" w:hAnsi="Arial"/>
                <w:sz w:val="14"/>
                <w:szCs w:val="14"/>
                <w:color w:val="auto"/>
              </w:rPr>
              <w:t>49,139</w:t>
            </w:r>
          </w:p>
        </w:tc>
      </w:tr>
      <w:tr>
        <w:trPr>
          <w:trHeight w:val="156"/>
        </w:trPr>
        <w:tc>
          <w:tcPr>
            <w:tcW w:w="3820" w:type="dxa"/>
            <w:vAlign w:val="bottom"/>
            <w:tcBorders>
              <w:bottom w:val="single" w:sz="8" w:color="auto"/>
            </w:tcBorders>
          </w:tcPr>
          <w:p>
            <w:pPr>
              <w:spacing w:after="0" w:line="155" w:lineRule="exact"/>
              <w:rPr>
                <w:sz w:val="20"/>
                <w:szCs w:val="20"/>
                <w:color w:val="auto"/>
              </w:rPr>
            </w:pPr>
            <w:r>
              <w:rPr>
                <w:rFonts w:ascii="Arial" w:cs="Arial" w:eastAsia="Arial" w:hAnsi="Arial"/>
                <w:sz w:val="14"/>
                <w:szCs w:val="14"/>
                <w:color w:val="auto"/>
              </w:rPr>
              <w:t>Total</w:t>
            </w:r>
          </w:p>
        </w:tc>
        <w:tc>
          <w:tcPr>
            <w:tcW w:w="2000" w:type="dxa"/>
            <w:vAlign w:val="bottom"/>
            <w:tcBorders>
              <w:bottom w:val="single" w:sz="8" w:color="auto"/>
            </w:tcBorders>
          </w:tcPr>
          <w:p>
            <w:pPr>
              <w:jc w:val="right"/>
              <w:ind w:right="249"/>
              <w:spacing w:after="0" w:line="155" w:lineRule="exact"/>
              <w:rPr>
                <w:sz w:val="20"/>
                <w:szCs w:val="20"/>
                <w:color w:val="auto"/>
              </w:rPr>
            </w:pPr>
            <w:r>
              <w:rPr>
                <w:rFonts w:ascii="Arial" w:cs="Arial" w:eastAsia="Arial" w:hAnsi="Arial"/>
                <w:sz w:val="14"/>
                <w:szCs w:val="14"/>
                <w:color w:val="auto"/>
              </w:rPr>
              <w:t>12,536</w:t>
            </w:r>
          </w:p>
        </w:tc>
        <w:tc>
          <w:tcPr>
            <w:tcW w:w="780" w:type="dxa"/>
            <w:vAlign w:val="bottom"/>
            <w:tcBorders>
              <w:bottom w:val="single" w:sz="8" w:color="auto"/>
            </w:tcBorders>
          </w:tcPr>
          <w:p>
            <w:pPr>
              <w:jc w:val="right"/>
              <w:ind w:right="129"/>
              <w:spacing w:after="0" w:line="155" w:lineRule="exact"/>
              <w:rPr>
                <w:sz w:val="20"/>
                <w:szCs w:val="20"/>
                <w:color w:val="auto"/>
              </w:rPr>
            </w:pPr>
            <w:r>
              <w:rPr>
                <w:rFonts w:ascii="Arial" w:cs="Arial" w:eastAsia="Arial" w:hAnsi="Arial"/>
                <w:sz w:val="14"/>
                <w:szCs w:val="14"/>
                <w:color w:val="auto"/>
              </w:rPr>
              <w:t>23,073</w:t>
            </w:r>
          </w:p>
        </w:tc>
        <w:tc>
          <w:tcPr>
            <w:tcW w:w="780" w:type="dxa"/>
            <w:vAlign w:val="bottom"/>
            <w:tcBorders>
              <w:bottom w:val="single" w:sz="8" w:color="auto"/>
            </w:tcBorders>
          </w:tcPr>
          <w:p>
            <w:pPr>
              <w:jc w:val="right"/>
              <w:ind w:right="69"/>
              <w:spacing w:after="0" w:line="155" w:lineRule="exact"/>
              <w:rPr>
                <w:sz w:val="20"/>
                <w:szCs w:val="20"/>
                <w:color w:val="auto"/>
              </w:rPr>
            </w:pPr>
            <w:r>
              <w:rPr>
                <w:rFonts w:ascii="Arial" w:cs="Arial" w:eastAsia="Arial" w:hAnsi="Arial"/>
                <w:sz w:val="14"/>
                <w:szCs w:val="14"/>
                <w:color w:val="auto"/>
              </w:rPr>
              <w:t>3,020</w:t>
            </w:r>
          </w:p>
        </w:tc>
        <w:tc>
          <w:tcPr>
            <w:tcW w:w="580" w:type="dxa"/>
            <w:vAlign w:val="bottom"/>
            <w:tcBorders>
              <w:bottom w:val="single" w:sz="8" w:color="auto"/>
            </w:tcBorders>
          </w:tcPr>
          <w:p>
            <w:pPr>
              <w:jc w:val="right"/>
              <w:ind w:right="29"/>
              <w:spacing w:after="0" w:line="155" w:lineRule="exact"/>
              <w:rPr>
                <w:sz w:val="20"/>
                <w:szCs w:val="20"/>
                <w:color w:val="auto"/>
              </w:rPr>
            </w:pPr>
            <w:r>
              <w:rPr>
                <w:rFonts w:ascii="Arial" w:cs="Arial" w:eastAsia="Arial" w:hAnsi="Arial"/>
                <w:sz w:val="14"/>
                <w:szCs w:val="14"/>
                <w:color w:val="auto"/>
              </w:rPr>
              <w:t>9,563</w:t>
            </w:r>
          </w:p>
        </w:tc>
        <w:tc>
          <w:tcPr>
            <w:tcW w:w="940" w:type="dxa"/>
            <w:vAlign w:val="bottom"/>
            <w:tcBorders>
              <w:bottom w:val="single" w:sz="8" w:color="auto"/>
            </w:tcBorders>
          </w:tcPr>
          <w:p>
            <w:pPr>
              <w:jc w:val="right"/>
              <w:ind w:right="129"/>
              <w:spacing w:after="0" w:line="155" w:lineRule="exact"/>
              <w:rPr>
                <w:sz w:val="20"/>
                <w:szCs w:val="20"/>
                <w:color w:val="auto"/>
              </w:rPr>
            </w:pPr>
            <w:r>
              <w:rPr>
                <w:rFonts w:ascii="Arial" w:cs="Arial" w:eastAsia="Arial" w:hAnsi="Arial"/>
                <w:sz w:val="14"/>
                <w:szCs w:val="14"/>
                <w:color w:val="auto"/>
              </w:rPr>
              <w:t>10,648</w:t>
            </w:r>
          </w:p>
        </w:tc>
        <w:tc>
          <w:tcPr>
            <w:tcW w:w="840" w:type="dxa"/>
            <w:vAlign w:val="bottom"/>
            <w:tcBorders>
              <w:bottom w:val="single" w:sz="8" w:color="auto"/>
            </w:tcBorders>
          </w:tcPr>
          <w:p>
            <w:pPr>
              <w:jc w:val="right"/>
              <w:ind w:right="149"/>
              <w:spacing w:after="0" w:line="155" w:lineRule="exact"/>
              <w:rPr>
                <w:sz w:val="20"/>
                <w:szCs w:val="20"/>
                <w:color w:val="auto"/>
              </w:rPr>
            </w:pPr>
            <w:r>
              <w:rPr>
                <w:rFonts w:ascii="Arial" w:cs="Arial" w:eastAsia="Arial" w:hAnsi="Arial"/>
                <w:sz w:val="14"/>
                <w:szCs w:val="14"/>
                <w:color w:val="auto"/>
              </w:rPr>
              <w:t>7,406</w:t>
            </w:r>
          </w:p>
        </w:tc>
        <w:tc>
          <w:tcPr>
            <w:tcW w:w="820" w:type="dxa"/>
            <w:vAlign w:val="bottom"/>
            <w:tcBorders>
              <w:bottom w:val="single" w:sz="8" w:color="auto"/>
            </w:tcBorders>
            <w:gridSpan w:val="2"/>
          </w:tcPr>
          <w:p>
            <w:pPr>
              <w:jc w:val="right"/>
              <w:ind w:right="100"/>
              <w:spacing w:after="0" w:line="155" w:lineRule="exact"/>
              <w:rPr>
                <w:sz w:val="20"/>
                <w:szCs w:val="20"/>
                <w:color w:val="auto"/>
              </w:rPr>
            </w:pPr>
            <w:r>
              <w:rPr>
                <w:rFonts w:ascii="Arial" w:cs="Arial" w:eastAsia="Arial" w:hAnsi="Arial"/>
                <w:sz w:val="14"/>
                <w:szCs w:val="14"/>
                <w:color w:val="auto"/>
              </w:rPr>
              <w:t>748</w:t>
            </w:r>
          </w:p>
        </w:tc>
        <w:tc>
          <w:tcPr>
            <w:tcW w:w="860" w:type="dxa"/>
            <w:vAlign w:val="bottom"/>
            <w:tcBorders>
              <w:bottom w:val="single" w:sz="8" w:color="auto"/>
            </w:tcBorders>
          </w:tcPr>
          <w:p>
            <w:pPr>
              <w:jc w:val="right"/>
              <w:ind w:right="149"/>
              <w:spacing w:after="0" w:line="155" w:lineRule="exact"/>
              <w:rPr>
                <w:sz w:val="20"/>
                <w:szCs w:val="20"/>
                <w:color w:val="auto"/>
              </w:rPr>
            </w:pPr>
            <w:r>
              <w:rPr>
                <w:rFonts w:ascii="Arial" w:cs="Arial" w:eastAsia="Arial" w:hAnsi="Arial"/>
                <w:sz w:val="14"/>
                <w:szCs w:val="14"/>
                <w:color w:val="auto"/>
              </w:rPr>
              <w:t>66,994</w:t>
            </w:r>
          </w:p>
        </w:tc>
      </w:tr>
      <w:tr>
        <w:trPr>
          <w:trHeight w:val="160"/>
        </w:trPr>
        <w:tc>
          <w:tcPr>
            <w:tcW w:w="3820" w:type="dxa"/>
            <w:vAlign w:val="bottom"/>
          </w:tcPr>
          <w:p>
            <w:pPr>
              <w:spacing w:after="0"/>
              <w:rPr>
                <w:sz w:val="20"/>
                <w:szCs w:val="20"/>
                <w:color w:val="auto"/>
              </w:rPr>
            </w:pPr>
            <w:r>
              <w:rPr>
                <w:rFonts w:ascii="Arial" w:cs="Arial" w:eastAsia="Arial" w:hAnsi="Arial"/>
                <w:sz w:val="14"/>
                <w:szCs w:val="14"/>
                <w:color w:val="auto"/>
              </w:rPr>
              <w:t>Production costs excluding taxes</w:t>
            </w:r>
          </w:p>
        </w:tc>
        <w:tc>
          <w:tcPr>
            <w:tcW w:w="2000" w:type="dxa"/>
            <w:vAlign w:val="bottom"/>
          </w:tcPr>
          <w:p>
            <w:pPr>
              <w:jc w:val="right"/>
              <w:ind w:right="249"/>
              <w:spacing w:after="0"/>
              <w:rPr>
                <w:sz w:val="20"/>
                <w:szCs w:val="20"/>
                <w:color w:val="auto"/>
              </w:rPr>
            </w:pPr>
            <w:r>
              <w:rPr>
                <w:rFonts w:ascii="Arial" w:cs="Arial" w:eastAsia="Arial" w:hAnsi="Arial"/>
                <w:sz w:val="14"/>
                <w:szCs w:val="14"/>
                <w:color w:val="auto"/>
              </w:rPr>
              <w:t>2,656</w:t>
            </w:r>
          </w:p>
        </w:tc>
        <w:tc>
          <w:tcPr>
            <w:tcW w:w="780" w:type="dxa"/>
            <w:vAlign w:val="bottom"/>
          </w:tcPr>
          <w:p>
            <w:pPr>
              <w:jc w:val="right"/>
              <w:ind w:right="129"/>
              <w:spacing w:after="0"/>
              <w:rPr>
                <w:sz w:val="20"/>
                <w:szCs w:val="20"/>
                <w:color w:val="auto"/>
              </w:rPr>
            </w:pPr>
            <w:r>
              <w:rPr>
                <w:rFonts w:ascii="Arial" w:cs="Arial" w:eastAsia="Arial" w:hAnsi="Arial"/>
                <w:sz w:val="14"/>
                <w:szCs w:val="14"/>
                <w:color w:val="auto"/>
              </w:rPr>
              <w:t>1,762</w:t>
            </w:r>
          </w:p>
        </w:tc>
        <w:tc>
          <w:tcPr>
            <w:tcW w:w="780" w:type="dxa"/>
            <w:vAlign w:val="bottom"/>
          </w:tcPr>
          <w:p>
            <w:pPr>
              <w:jc w:val="right"/>
              <w:ind w:right="69"/>
              <w:spacing w:after="0"/>
              <w:rPr>
                <w:sz w:val="20"/>
                <w:szCs w:val="20"/>
                <w:color w:val="auto"/>
              </w:rPr>
            </w:pPr>
            <w:r>
              <w:rPr>
                <w:rFonts w:ascii="Arial" w:cs="Arial" w:eastAsia="Arial" w:hAnsi="Arial"/>
                <w:sz w:val="14"/>
                <w:szCs w:val="14"/>
                <w:color w:val="auto"/>
              </w:rPr>
              <w:t>481</w:t>
            </w:r>
          </w:p>
        </w:tc>
        <w:tc>
          <w:tcPr>
            <w:tcW w:w="580" w:type="dxa"/>
            <w:vAlign w:val="bottom"/>
          </w:tcPr>
          <w:p>
            <w:pPr>
              <w:jc w:val="right"/>
              <w:ind w:right="29"/>
              <w:spacing w:after="0"/>
              <w:rPr>
                <w:sz w:val="20"/>
                <w:szCs w:val="20"/>
                <w:color w:val="auto"/>
              </w:rPr>
            </w:pPr>
            <w:r>
              <w:rPr>
                <w:rFonts w:ascii="Arial" w:cs="Arial" w:eastAsia="Arial" w:hAnsi="Arial"/>
                <w:sz w:val="14"/>
                <w:szCs w:val="14"/>
                <w:color w:val="auto"/>
              </w:rPr>
              <w:t>1,753</w:t>
            </w:r>
          </w:p>
        </w:tc>
        <w:tc>
          <w:tcPr>
            <w:tcW w:w="940" w:type="dxa"/>
            <w:vAlign w:val="bottom"/>
          </w:tcPr>
          <w:p>
            <w:pPr>
              <w:jc w:val="right"/>
              <w:ind w:right="129"/>
              <w:spacing w:after="0"/>
              <w:rPr>
                <w:sz w:val="20"/>
                <w:szCs w:val="20"/>
                <w:color w:val="auto"/>
              </w:rPr>
            </w:pPr>
            <w:r>
              <w:rPr>
                <w:rFonts w:ascii="Arial" w:cs="Arial" w:eastAsia="Arial" w:hAnsi="Arial"/>
                <w:sz w:val="14"/>
                <w:szCs w:val="14"/>
                <w:color w:val="auto"/>
              </w:rPr>
              <w:t>3,336</w:t>
            </w:r>
          </w:p>
        </w:tc>
        <w:tc>
          <w:tcPr>
            <w:tcW w:w="840" w:type="dxa"/>
            <w:vAlign w:val="bottom"/>
          </w:tcPr>
          <w:p>
            <w:pPr>
              <w:jc w:val="right"/>
              <w:spacing w:after="0"/>
              <w:rPr>
                <w:sz w:val="20"/>
                <w:szCs w:val="20"/>
                <w:color w:val="auto"/>
              </w:rPr>
            </w:pPr>
            <w:r>
              <w:rPr>
                <w:rFonts w:ascii="Arial" w:cs="Arial" w:eastAsia="Arial" w:hAnsi="Arial"/>
                <w:sz w:val="14"/>
                <w:szCs w:val="14"/>
                <w:color w:val="auto"/>
              </w:rPr>
              <w:t>3,303[B]</w:t>
            </w:r>
          </w:p>
        </w:tc>
        <w:tc>
          <w:tcPr>
            <w:tcW w:w="820" w:type="dxa"/>
            <w:vAlign w:val="bottom"/>
            <w:gridSpan w:val="2"/>
          </w:tcPr>
          <w:p>
            <w:pPr>
              <w:jc w:val="right"/>
              <w:ind w:right="100"/>
              <w:spacing w:after="0"/>
              <w:rPr>
                <w:sz w:val="20"/>
                <w:szCs w:val="20"/>
                <w:color w:val="auto"/>
              </w:rPr>
            </w:pPr>
            <w:r>
              <w:rPr>
                <w:rFonts w:ascii="Arial" w:cs="Arial" w:eastAsia="Arial" w:hAnsi="Arial"/>
                <w:sz w:val="14"/>
                <w:szCs w:val="14"/>
                <w:color w:val="auto"/>
              </w:rPr>
              <w:t>378</w:t>
            </w:r>
          </w:p>
        </w:tc>
        <w:tc>
          <w:tcPr>
            <w:tcW w:w="860" w:type="dxa"/>
            <w:vAlign w:val="bottom"/>
          </w:tcPr>
          <w:p>
            <w:pPr>
              <w:jc w:val="right"/>
              <w:spacing w:after="0"/>
              <w:rPr>
                <w:sz w:val="20"/>
                <w:szCs w:val="20"/>
                <w:color w:val="auto"/>
              </w:rPr>
            </w:pPr>
            <w:r>
              <w:rPr>
                <w:rFonts w:ascii="Arial" w:cs="Arial" w:eastAsia="Arial" w:hAnsi="Arial"/>
                <w:sz w:val="14"/>
                <w:szCs w:val="14"/>
                <w:color w:val="auto"/>
              </w:rPr>
              <w:t>13,669[B]</w:t>
            </w:r>
          </w:p>
        </w:tc>
      </w:tr>
      <w:tr>
        <w:trPr>
          <w:trHeight w:val="162"/>
        </w:trPr>
        <w:tc>
          <w:tcPr>
            <w:tcW w:w="3820" w:type="dxa"/>
            <w:vAlign w:val="bottom"/>
          </w:tcPr>
          <w:p>
            <w:pPr>
              <w:spacing w:after="0"/>
              <w:rPr>
                <w:sz w:val="20"/>
                <w:szCs w:val="20"/>
                <w:color w:val="auto"/>
              </w:rPr>
            </w:pPr>
            <w:r>
              <w:rPr>
                <w:rFonts w:ascii="Arial" w:cs="Arial" w:eastAsia="Arial" w:hAnsi="Arial"/>
                <w:sz w:val="14"/>
                <w:szCs w:val="14"/>
                <w:color w:val="auto"/>
              </w:rPr>
              <w:t>Taxes other than income tax [C]</w:t>
            </w:r>
          </w:p>
        </w:tc>
        <w:tc>
          <w:tcPr>
            <w:tcW w:w="2000" w:type="dxa"/>
            <w:vAlign w:val="bottom"/>
          </w:tcPr>
          <w:p>
            <w:pPr>
              <w:jc w:val="right"/>
              <w:ind w:right="249"/>
              <w:spacing w:after="0"/>
              <w:rPr>
                <w:sz w:val="20"/>
                <w:szCs w:val="20"/>
                <w:color w:val="auto"/>
              </w:rPr>
            </w:pPr>
            <w:r>
              <w:rPr>
                <w:rFonts w:ascii="Arial" w:cs="Arial" w:eastAsia="Arial" w:hAnsi="Arial"/>
                <w:sz w:val="14"/>
                <w:szCs w:val="14"/>
                <w:color w:val="auto"/>
              </w:rPr>
              <w:t>328</w:t>
            </w:r>
          </w:p>
        </w:tc>
        <w:tc>
          <w:tcPr>
            <w:tcW w:w="780" w:type="dxa"/>
            <w:vAlign w:val="bottom"/>
          </w:tcPr>
          <w:p>
            <w:pPr>
              <w:jc w:val="right"/>
              <w:ind w:right="129"/>
              <w:spacing w:after="0"/>
              <w:rPr>
                <w:sz w:val="20"/>
                <w:szCs w:val="20"/>
                <w:color w:val="auto"/>
              </w:rPr>
            </w:pPr>
            <w:r>
              <w:rPr>
                <w:rFonts w:ascii="Arial" w:cs="Arial" w:eastAsia="Arial" w:hAnsi="Arial"/>
                <w:sz w:val="14"/>
                <w:szCs w:val="14"/>
                <w:color w:val="auto"/>
              </w:rPr>
              <w:t>1,254</w:t>
            </w:r>
          </w:p>
        </w:tc>
        <w:tc>
          <w:tcPr>
            <w:tcW w:w="780" w:type="dxa"/>
            <w:vAlign w:val="bottom"/>
          </w:tcPr>
          <w:p>
            <w:pPr>
              <w:jc w:val="right"/>
              <w:ind w:right="69"/>
              <w:spacing w:after="0"/>
              <w:rPr>
                <w:sz w:val="20"/>
                <w:szCs w:val="20"/>
                <w:color w:val="auto"/>
              </w:rPr>
            </w:pPr>
            <w:r>
              <w:rPr>
                <w:rFonts w:ascii="Arial" w:cs="Arial" w:eastAsia="Arial" w:hAnsi="Arial"/>
                <w:sz w:val="14"/>
                <w:szCs w:val="14"/>
                <w:color w:val="auto"/>
              </w:rPr>
              <w:t>231</w:t>
            </w:r>
          </w:p>
        </w:tc>
        <w:tc>
          <w:tcPr>
            <w:tcW w:w="580" w:type="dxa"/>
            <w:vAlign w:val="bottom"/>
          </w:tcPr>
          <w:p>
            <w:pPr>
              <w:jc w:val="right"/>
              <w:ind w:right="29"/>
              <w:spacing w:after="0"/>
              <w:rPr>
                <w:sz w:val="20"/>
                <w:szCs w:val="20"/>
                <w:color w:val="auto"/>
              </w:rPr>
            </w:pPr>
            <w:r>
              <w:rPr>
                <w:rFonts w:ascii="Arial" w:cs="Arial" w:eastAsia="Arial" w:hAnsi="Arial"/>
                <w:sz w:val="14"/>
                <w:szCs w:val="14"/>
                <w:color w:val="auto"/>
              </w:rPr>
              <w:t>963</w:t>
            </w:r>
          </w:p>
        </w:tc>
        <w:tc>
          <w:tcPr>
            <w:tcW w:w="940" w:type="dxa"/>
            <w:vAlign w:val="bottom"/>
          </w:tcPr>
          <w:p>
            <w:pPr>
              <w:jc w:val="right"/>
              <w:ind w:right="129"/>
              <w:spacing w:after="0"/>
              <w:rPr>
                <w:sz w:val="20"/>
                <w:szCs w:val="20"/>
                <w:color w:val="auto"/>
              </w:rPr>
            </w:pPr>
            <w:r>
              <w:rPr>
                <w:rFonts w:ascii="Arial" w:cs="Arial" w:eastAsia="Arial" w:hAnsi="Arial"/>
                <w:sz w:val="14"/>
                <w:szCs w:val="14"/>
                <w:color w:val="auto"/>
              </w:rPr>
              <w:t>223</w:t>
            </w:r>
          </w:p>
        </w:tc>
        <w:tc>
          <w:tcPr>
            <w:tcW w:w="840" w:type="dxa"/>
            <w:vAlign w:val="bottom"/>
          </w:tcPr>
          <w:p>
            <w:pPr>
              <w:jc w:val="right"/>
              <w:ind w:right="149"/>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100"/>
              <w:spacing w:after="0"/>
              <w:rPr>
                <w:sz w:val="20"/>
                <w:szCs w:val="20"/>
                <w:color w:val="auto"/>
              </w:rPr>
            </w:pPr>
            <w:r>
              <w:rPr>
                <w:rFonts w:ascii="Arial" w:cs="Arial" w:eastAsia="Arial" w:hAnsi="Arial"/>
                <w:sz w:val="14"/>
                <w:szCs w:val="14"/>
                <w:color w:val="auto"/>
              </w:rPr>
              <w:t>85</w:t>
            </w:r>
          </w:p>
        </w:tc>
        <w:tc>
          <w:tcPr>
            <w:tcW w:w="860" w:type="dxa"/>
            <w:vAlign w:val="bottom"/>
          </w:tcPr>
          <w:p>
            <w:pPr>
              <w:jc w:val="right"/>
              <w:ind w:right="149"/>
              <w:spacing w:after="0"/>
              <w:rPr>
                <w:sz w:val="20"/>
                <w:szCs w:val="20"/>
                <w:color w:val="auto"/>
              </w:rPr>
            </w:pPr>
            <w:r>
              <w:rPr>
                <w:rFonts w:ascii="Arial" w:cs="Arial" w:eastAsia="Arial" w:hAnsi="Arial"/>
                <w:sz w:val="14"/>
                <w:szCs w:val="14"/>
                <w:color w:val="auto"/>
              </w:rPr>
              <w:t>3,084</w:t>
            </w:r>
          </w:p>
        </w:tc>
      </w:tr>
      <w:tr>
        <w:trPr>
          <w:trHeight w:val="162"/>
        </w:trPr>
        <w:tc>
          <w:tcPr>
            <w:tcW w:w="3820" w:type="dxa"/>
            <w:vAlign w:val="bottom"/>
          </w:tcPr>
          <w:p>
            <w:pPr>
              <w:spacing w:after="0"/>
              <w:rPr>
                <w:sz w:val="20"/>
                <w:szCs w:val="20"/>
                <w:color w:val="auto"/>
              </w:rPr>
            </w:pPr>
            <w:r>
              <w:rPr>
                <w:rFonts w:ascii="Arial" w:cs="Arial" w:eastAsia="Arial" w:hAnsi="Arial"/>
                <w:sz w:val="14"/>
                <w:szCs w:val="14"/>
                <w:color w:val="auto"/>
              </w:rPr>
              <w:t>Exploration</w:t>
            </w:r>
          </w:p>
        </w:tc>
        <w:tc>
          <w:tcPr>
            <w:tcW w:w="2000" w:type="dxa"/>
            <w:vAlign w:val="bottom"/>
          </w:tcPr>
          <w:p>
            <w:pPr>
              <w:jc w:val="right"/>
              <w:ind w:right="249"/>
              <w:spacing w:after="0"/>
              <w:rPr>
                <w:sz w:val="20"/>
                <w:szCs w:val="20"/>
                <w:color w:val="auto"/>
              </w:rPr>
            </w:pPr>
            <w:r>
              <w:rPr>
                <w:rFonts w:ascii="Arial" w:cs="Arial" w:eastAsia="Arial" w:hAnsi="Arial"/>
                <w:sz w:val="14"/>
                <w:szCs w:val="14"/>
                <w:color w:val="auto"/>
              </w:rPr>
              <w:t>627</w:t>
            </w:r>
          </w:p>
        </w:tc>
        <w:tc>
          <w:tcPr>
            <w:tcW w:w="780" w:type="dxa"/>
            <w:vAlign w:val="bottom"/>
          </w:tcPr>
          <w:p>
            <w:pPr>
              <w:jc w:val="right"/>
              <w:ind w:right="129"/>
              <w:spacing w:after="0"/>
              <w:rPr>
                <w:sz w:val="20"/>
                <w:szCs w:val="20"/>
                <w:color w:val="auto"/>
              </w:rPr>
            </w:pPr>
            <w:r>
              <w:rPr>
                <w:rFonts w:ascii="Arial" w:cs="Arial" w:eastAsia="Arial" w:hAnsi="Arial"/>
                <w:sz w:val="14"/>
                <w:szCs w:val="14"/>
                <w:color w:val="auto"/>
              </w:rPr>
              <w:t>1,082</w:t>
            </w:r>
          </w:p>
        </w:tc>
        <w:tc>
          <w:tcPr>
            <w:tcW w:w="780" w:type="dxa"/>
            <w:vAlign w:val="bottom"/>
          </w:tcPr>
          <w:p>
            <w:pPr>
              <w:jc w:val="right"/>
              <w:ind w:right="69"/>
              <w:spacing w:after="0"/>
              <w:rPr>
                <w:sz w:val="20"/>
                <w:szCs w:val="20"/>
                <w:color w:val="auto"/>
              </w:rPr>
            </w:pPr>
            <w:r>
              <w:rPr>
                <w:rFonts w:ascii="Arial" w:cs="Arial" w:eastAsia="Arial" w:hAnsi="Arial"/>
                <w:sz w:val="14"/>
                <w:szCs w:val="14"/>
                <w:color w:val="auto"/>
              </w:rPr>
              <w:t>396</w:t>
            </w:r>
          </w:p>
        </w:tc>
        <w:tc>
          <w:tcPr>
            <w:tcW w:w="580" w:type="dxa"/>
            <w:vAlign w:val="bottom"/>
          </w:tcPr>
          <w:p>
            <w:pPr>
              <w:jc w:val="right"/>
              <w:ind w:right="29"/>
              <w:spacing w:after="0"/>
              <w:rPr>
                <w:sz w:val="20"/>
                <w:szCs w:val="20"/>
                <w:color w:val="auto"/>
              </w:rPr>
            </w:pPr>
            <w:r>
              <w:rPr>
                <w:rFonts w:ascii="Arial" w:cs="Arial" w:eastAsia="Arial" w:hAnsi="Arial"/>
                <w:sz w:val="14"/>
                <w:szCs w:val="14"/>
                <w:color w:val="auto"/>
              </w:rPr>
              <w:t>354</w:t>
            </w:r>
          </w:p>
        </w:tc>
        <w:tc>
          <w:tcPr>
            <w:tcW w:w="940" w:type="dxa"/>
            <w:vAlign w:val="bottom"/>
          </w:tcPr>
          <w:p>
            <w:pPr>
              <w:jc w:val="right"/>
              <w:ind w:right="129"/>
              <w:spacing w:after="0"/>
              <w:rPr>
                <w:sz w:val="20"/>
                <w:szCs w:val="20"/>
                <w:color w:val="auto"/>
              </w:rPr>
            </w:pPr>
            <w:r>
              <w:rPr>
                <w:rFonts w:ascii="Arial" w:cs="Arial" w:eastAsia="Arial" w:hAnsi="Arial"/>
                <w:sz w:val="14"/>
                <w:szCs w:val="14"/>
                <w:color w:val="auto"/>
              </w:rPr>
              <w:t>1,790</w:t>
            </w:r>
          </w:p>
        </w:tc>
        <w:tc>
          <w:tcPr>
            <w:tcW w:w="840" w:type="dxa"/>
            <w:vAlign w:val="bottom"/>
          </w:tcPr>
          <w:p>
            <w:pPr>
              <w:jc w:val="right"/>
              <w:ind w:right="149"/>
              <w:spacing w:after="0"/>
              <w:rPr>
                <w:sz w:val="20"/>
                <w:szCs w:val="20"/>
                <w:color w:val="auto"/>
              </w:rPr>
            </w:pPr>
            <w:r>
              <w:rPr>
                <w:rFonts w:ascii="Arial" w:cs="Arial" w:eastAsia="Arial" w:hAnsi="Arial"/>
                <w:sz w:val="14"/>
                <w:szCs w:val="14"/>
                <w:color w:val="auto"/>
              </w:rPr>
              <w:t>312</w:t>
            </w:r>
          </w:p>
        </w:tc>
        <w:tc>
          <w:tcPr>
            <w:tcW w:w="820" w:type="dxa"/>
            <w:vAlign w:val="bottom"/>
            <w:gridSpan w:val="2"/>
          </w:tcPr>
          <w:p>
            <w:pPr>
              <w:jc w:val="right"/>
              <w:ind w:right="100"/>
              <w:spacing w:after="0"/>
              <w:rPr>
                <w:sz w:val="20"/>
                <w:szCs w:val="20"/>
                <w:color w:val="auto"/>
              </w:rPr>
            </w:pPr>
            <w:r>
              <w:rPr>
                <w:rFonts w:ascii="Arial" w:cs="Arial" w:eastAsia="Arial" w:hAnsi="Arial"/>
                <w:sz w:val="14"/>
                <w:szCs w:val="14"/>
                <w:color w:val="auto"/>
              </w:rPr>
              <w:t>717</w:t>
            </w:r>
          </w:p>
        </w:tc>
        <w:tc>
          <w:tcPr>
            <w:tcW w:w="860" w:type="dxa"/>
            <w:vAlign w:val="bottom"/>
          </w:tcPr>
          <w:p>
            <w:pPr>
              <w:jc w:val="right"/>
              <w:ind w:right="149"/>
              <w:spacing w:after="0"/>
              <w:rPr>
                <w:sz w:val="20"/>
                <w:szCs w:val="20"/>
                <w:color w:val="auto"/>
              </w:rPr>
            </w:pPr>
            <w:r>
              <w:rPr>
                <w:rFonts w:ascii="Arial" w:cs="Arial" w:eastAsia="Arial" w:hAnsi="Arial"/>
                <w:sz w:val="14"/>
                <w:szCs w:val="14"/>
                <w:color w:val="auto"/>
              </w:rPr>
              <w:t>5,278</w:t>
            </w:r>
          </w:p>
        </w:tc>
      </w:tr>
      <w:tr>
        <w:trPr>
          <w:trHeight w:val="162"/>
        </w:trPr>
        <w:tc>
          <w:tcPr>
            <w:tcW w:w="3820" w:type="dxa"/>
            <w:vAlign w:val="bottom"/>
          </w:tcPr>
          <w:p>
            <w:pPr>
              <w:spacing w:after="0"/>
              <w:rPr>
                <w:sz w:val="20"/>
                <w:szCs w:val="20"/>
                <w:color w:val="auto"/>
              </w:rPr>
            </w:pPr>
            <w:r>
              <w:rPr>
                <w:rFonts w:ascii="Arial" w:cs="Arial" w:eastAsia="Arial" w:hAnsi="Arial"/>
                <w:sz w:val="14"/>
                <w:szCs w:val="14"/>
                <w:color w:val="auto"/>
              </w:rPr>
              <w:t>Depreciation, depletion and amortisation</w:t>
            </w:r>
          </w:p>
        </w:tc>
        <w:tc>
          <w:tcPr>
            <w:tcW w:w="2000" w:type="dxa"/>
            <w:vAlign w:val="bottom"/>
          </w:tcPr>
          <w:p>
            <w:pPr>
              <w:jc w:val="right"/>
              <w:ind w:right="249"/>
              <w:spacing w:after="0"/>
              <w:rPr>
                <w:sz w:val="20"/>
                <w:szCs w:val="20"/>
                <w:color w:val="auto"/>
              </w:rPr>
            </w:pPr>
            <w:r>
              <w:rPr>
                <w:rFonts w:ascii="Arial" w:cs="Arial" w:eastAsia="Arial" w:hAnsi="Arial"/>
                <w:sz w:val="14"/>
                <w:szCs w:val="14"/>
                <w:color w:val="auto"/>
              </w:rPr>
              <w:t>1,400</w:t>
            </w:r>
          </w:p>
        </w:tc>
        <w:tc>
          <w:tcPr>
            <w:tcW w:w="780" w:type="dxa"/>
            <w:vAlign w:val="bottom"/>
          </w:tcPr>
          <w:p>
            <w:pPr>
              <w:jc w:val="right"/>
              <w:ind w:right="129"/>
              <w:spacing w:after="0"/>
              <w:rPr>
                <w:sz w:val="20"/>
                <w:szCs w:val="20"/>
                <w:color w:val="auto"/>
              </w:rPr>
            </w:pPr>
            <w:r>
              <w:rPr>
                <w:rFonts w:ascii="Arial" w:cs="Arial" w:eastAsia="Arial" w:hAnsi="Arial"/>
                <w:sz w:val="14"/>
                <w:szCs w:val="14"/>
                <w:color w:val="auto"/>
              </w:rPr>
              <w:t>2,268</w:t>
            </w:r>
          </w:p>
        </w:tc>
        <w:tc>
          <w:tcPr>
            <w:tcW w:w="780" w:type="dxa"/>
            <w:vAlign w:val="bottom"/>
          </w:tcPr>
          <w:p>
            <w:pPr>
              <w:jc w:val="right"/>
              <w:ind w:right="69"/>
              <w:spacing w:after="0"/>
              <w:rPr>
                <w:sz w:val="20"/>
                <w:szCs w:val="20"/>
                <w:color w:val="auto"/>
              </w:rPr>
            </w:pPr>
            <w:r>
              <w:rPr>
                <w:rFonts w:ascii="Arial" w:cs="Arial" w:eastAsia="Arial" w:hAnsi="Arial"/>
                <w:sz w:val="14"/>
                <w:szCs w:val="14"/>
                <w:color w:val="auto"/>
              </w:rPr>
              <w:t>423</w:t>
            </w:r>
          </w:p>
        </w:tc>
        <w:tc>
          <w:tcPr>
            <w:tcW w:w="580" w:type="dxa"/>
            <w:vAlign w:val="bottom"/>
          </w:tcPr>
          <w:p>
            <w:pPr>
              <w:jc w:val="right"/>
              <w:ind w:right="29"/>
              <w:spacing w:after="0"/>
              <w:rPr>
                <w:sz w:val="20"/>
                <w:szCs w:val="20"/>
                <w:color w:val="auto"/>
              </w:rPr>
            </w:pPr>
            <w:r>
              <w:rPr>
                <w:rFonts w:ascii="Arial" w:cs="Arial" w:eastAsia="Arial" w:hAnsi="Arial"/>
                <w:sz w:val="14"/>
                <w:szCs w:val="14"/>
                <w:color w:val="auto"/>
              </w:rPr>
              <w:t>1,276</w:t>
            </w:r>
          </w:p>
        </w:tc>
        <w:tc>
          <w:tcPr>
            <w:tcW w:w="940" w:type="dxa"/>
            <w:vAlign w:val="bottom"/>
          </w:tcPr>
          <w:p>
            <w:pPr>
              <w:jc w:val="right"/>
              <w:ind w:right="129"/>
              <w:spacing w:after="0"/>
              <w:rPr>
                <w:sz w:val="20"/>
                <w:szCs w:val="20"/>
                <w:color w:val="auto"/>
              </w:rPr>
            </w:pPr>
            <w:r>
              <w:rPr>
                <w:rFonts w:ascii="Arial" w:cs="Arial" w:eastAsia="Arial" w:hAnsi="Arial"/>
                <w:sz w:val="14"/>
                <w:szCs w:val="14"/>
                <w:color w:val="auto"/>
              </w:rPr>
              <w:t>7,858</w:t>
            </w:r>
          </w:p>
        </w:tc>
        <w:tc>
          <w:tcPr>
            <w:tcW w:w="840" w:type="dxa"/>
            <w:vAlign w:val="bottom"/>
          </w:tcPr>
          <w:p>
            <w:pPr>
              <w:jc w:val="right"/>
              <w:ind w:right="149"/>
              <w:spacing w:after="0"/>
              <w:rPr>
                <w:sz w:val="20"/>
                <w:szCs w:val="20"/>
                <w:color w:val="auto"/>
              </w:rPr>
            </w:pPr>
            <w:r>
              <w:rPr>
                <w:rFonts w:ascii="Arial" w:cs="Arial" w:eastAsia="Arial" w:hAnsi="Arial"/>
                <w:sz w:val="14"/>
                <w:szCs w:val="14"/>
                <w:color w:val="auto"/>
              </w:rPr>
              <w:t>2,366</w:t>
            </w:r>
          </w:p>
        </w:tc>
        <w:tc>
          <w:tcPr>
            <w:tcW w:w="820" w:type="dxa"/>
            <w:vAlign w:val="bottom"/>
            <w:gridSpan w:val="2"/>
          </w:tcPr>
          <w:p>
            <w:pPr>
              <w:jc w:val="right"/>
              <w:ind w:right="100"/>
              <w:spacing w:after="0"/>
              <w:rPr>
                <w:sz w:val="20"/>
                <w:szCs w:val="20"/>
                <w:color w:val="auto"/>
              </w:rPr>
            </w:pPr>
            <w:r>
              <w:rPr>
                <w:rFonts w:ascii="Arial" w:cs="Arial" w:eastAsia="Arial" w:hAnsi="Arial"/>
                <w:sz w:val="14"/>
                <w:szCs w:val="14"/>
                <w:color w:val="auto"/>
              </w:rPr>
              <w:t>160</w:t>
            </w:r>
          </w:p>
        </w:tc>
        <w:tc>
          <w:tcPr>
            <w:tcW w:w="860" w:type="dxa"/>
            <w:vAlign w:val="bottom"/>
          </w:tcPr>
          <w:p>
            <w:pPr>
              <w:jc w:val="right"/>
              <w:ind w:right="149"/>
              <w:spacing w:after="0"/>
              <w:rPr>
                <w:sz w:val="20"/>
                <w:szCs w:val="20"/>
                <w:color w:val="auto"/>
              </w:rPr>
            </w:pPr>
            <w:r>
              <w:rPr>
                <w:rFonts w:ascii="Arial" w:cs="Arial" w:eastAsia="Arial" w:hAnsi="Arial"/>
                <w:sz w:val="14"/>
                <w:szCs w:val="14"/>
                <w:color w:val="auto"/>
              </w:rPr>
              <w:t>15,751</w:t>
            </w:r>
          </w:p>
        </w:tc>
      </w:tr>
      <w:tr>
        <w:trPr>
          <w:trHeight w:val="157"/>
        </w:trPr>
        <w:tc>
          <w:tcPr>
            <w:tcW w:w="3820" w:type="dxa"/>
            <w:vAlign w:val="bottom"/>
            <w:tcBorders>
              <w:bottom w:val="single" w:sz="8" w:color="auto"/>
            </w:tcBorders>
          </w:tcPr>
          <w:p>
            <w:pPr>
              <w:spacing w:after="0" w:line="157" w:lineRule="exact"/>
              <w:rPr>
                <w:sz w:val="20"/>
                <w:szCs w:val="20"/>
                <w:color w:val="auto"/>
              </w:rPr>
            </w:pPr>
            <w:r>
              <w:rPr>
                <w:rFonts w:ascii="Arial" w:cs="Arial" w:eastAsia="Arial" w:hAnsi="Arial"/>
                <w:sz w:val="14"/>
                <w:szCs w:val="14"/>
                <w:color w:val="auto"/>
              </w:rPr>
              <w:t>Other costs</w:t>
            </w:r>
          </w:p>
        </w:tc>
        <w:tc>
          <w:tcPr>
            <w:tcW w:w="2000" w:type="dxa"/>
            <w:vAlign w:val="bottom"/>
            <w:tcBorders>
              <w:bottom w:val="single" w:sz="8" w:color="auto"/>
            </w:tcBorders>
          </w:tcPr>
          <w:p>
            <w:pPr>
              <w:jc w:val="right"/>
              <w:ind w:right="249"/>
              <w:spacing w:after="0" w:line="157" w:lineRule="exact"/>
              <w:rPr>
                <w:sz w:val="20"/>
                <w:szCs w:val="20"/>
                <w:color w:val="auto"/>
              </w:rPr>
            </w:pPr>
            <w:r>
              <w:rPr>
                <w:rFonts w:ascii="Arial" w:cs="Arial" w:eastAsia="Arial" w:hAnsi="Arial"/>
                <w:sz w:val="14"/>
                <w:szCs w:val="14"/>
                <w:color w:val="auto"/>
              </w:rPr>
              <w:t>1,052</w:t>
            </w:r>
          </w:p>
        </w:tc>
        <w:tc>
          <w:tcPr>
            <w:tcW w:w="780" w:type="dxa"/>
            <w:vAlign w:val="bottom"/>
            <w:tcBorders>
              <w:bottom w:val="single" w:sz="8" w:color="auto"/>
            </w:tcBorders>
          </w:tcPr>
          <w:p>
            <w:pPr>
              <w:jc w:val="right"/>
              <w:ind w:right="129"/>
              <w:spacing w:after="0" w:line="157" w:lineRule="exact"/>
              <w:rPr>
                <w:sz w:val="20"/>
                <w:szCs w:val="20"/>
                <w:color w:val="auto"/>
              </w:rPr>
            </w:pPr>
            <w:r>
              <w:rPr>
                <w:rFonts w:ascii="Arial" w:cs="Arial" w:eastAsia="Arial" w:hAnsi="Arial"/>
                <w:sz w:val="14"/>
                <w:szCs w:val="14"/>
                <w:color w:val="auto"/>
              </w:rPr>
              <w:t>3,713</w:t>
            </w:r>
          </w:p>
        </w:tc>
        <w:tc>
          <w:tcPr>
            <w:tcW w:w="780" w:type="dxa"/>
            <w:vAlign w:val="bottom"/>
            <w:tcBorders>
              <w:bottom w:val="single" w:sz="8" w:color="auto"/>
            </w:tcBorders>
          </w:tcPr>
          <w:p>
            <w:pPr>
              <w:jc w:val="right"/>
              <w:ind w:right="69"/>
              <w:spacing w:after="0" w:line="157" w:lineRule="exact"/>
              <w:rPr>
                <w:sz w:val="20"/>
                <w:szCs w:val="20"/>
                <w:color w:val="auto"/>
              </w:rPr>
            </w:pPr>
            <w:r>
              <w:rPr>
                <w:rFonts w:ascii="Arial" w:cs="Arial" w:eastAsia="Arial" w:hAnsi="Arial"/>
                <w:sz w:val="14"/>
                <w:szCs w:val="14"/>
                <w:color w:val="auto"/>
              </w:rPr>
              <w:t>40</w:t>
            </w:r>
          </w:p>
        </w:tc>
        <w:tc>
          <w:tcPr>
            <w:tcW w:w="580" w:type="dxa"/>
            <w:vAlign w:val="bottom"/>
            <w:tcBorders>
              <w:bottom w:val="single" w:sz="8" w:color="auto"/>
            </w:tcBorders>
          </w:tcPr>
          <w:p>
            <w:pPr>
              <w:jc w:val="right"/>
              <w:ind w:right="29"/>
              <w:spacing w:after="0" w:line="157" w:lineRule="exact"/>
              <w:rPr>
                <w:sz w:val="20"/>
                <w:szCs w:val="20"/>
                <w:color w:val="auto"/>
              </w:rPr>
            </w:pPr>
            <w:r>
              <w:rPr>
                <w:rFonts w:ascii="Arial" w:cs="Arial" w:eastAsia="Arial" w:hAnsi="Arial"/>
                <w:sz w:val="14"/>
                <w:szCs w:val="14"/>
                <w:color w:val="auto"/>
              </w:rPr>
              <w:t>419</w:t>
            </w:r>
          </w:p>
        </w:tc>
        <w:tc>
          <w:tcPr>
            <w:tcW w:w="940" w:type="dxa"/>
            <w:vAlign w:val="bottom"/>
            <w:tcBorders>
              <w:bottom w:val="single" w:sz="8" w:color="auto"/>
            </w:tcBorders>
          </w:tcPr>
          <w:p>
            <w:pPr>
              <w:jc w:val="right"/>
              <w:ind w:right="129"/>
              <w:spacing w:after="0" w:line="157" w:lineRule="exact"/>
              <w:rPr>
                <w:sz w:val="20"/>
                <w:szCs w:val="20"/>
                <w:color w:val="auto"/>
              </w:rPr>
            </w:pPr>
            <w:r>
              <w:rPr>
                <w:rFonts w:ascii="Arial" w:cs="Arial" w:eastAsia="Arial" w:hAnsi="Arial"/>
                <w:sz w:val="14"/>
                <w:szCs w:val="14"/>
                <w:color w:val="auto"/>
              </w:rPr>
              <w:t>1,395</w:t>
            </w:r>
          </w:p>
        </w:tc>
        <w:tc>
          <w:tcPr>
            <w:tcW w:w="840" w:type="dxa"/>
            <w:vAlign w:val="bottom"/>
            <w:tcBorders>
              <w:bottom w:val="single" w:sz="8" w:color="auto"/>
            </w:tcBorders>
          </w:tcPr>
          <w:p>
            <w:pPr>
              <w:jc w:val="right"/>
              <w:spacing w:after="0" w:line="157" w:lineRule="exact"/>
              <w:rPr>
                <w:sz w:val="20"/>
                <w:szCs w:val="20"/>
                <w:color w:val="auto"/>
              </w:rPr>
            </w:pPr>
            <w:r>
              <w:rPr>
                <w:rFonts w:ascii="Arial" w:cs="Arial" w:eastAsia="Arial" w:hAnsi="Arial"/>
                <w:sz w:val="14"/>
                <w:szCs w:val="14"/>
                <w:color w:val="auto"/>
              </w:rPr>
              <w:t>2,129[B]</w:t>
            </w:r>
          </w:p>
        </w:tc>
        <w:tc>
          <w:tcPr>
            <w:tcW w:w="820" w:type="dxa"/>
            <w:vAlign w:val="bottom"/>
            <w:tcBorders>
              <w:bottom w:val="single" w:sz="8" w:color="auto"/>
            </w:tcBorders>
            <w:gridSpan w:val="2"/>
          </w:tcPr>
          <w:p>
            <w:pPr>
              <w:jc w:val="right"/>
              <w:ind w:right="100"/>
              <w:spacing w:after="0" w:line="157" w:lineRule="exact"/>
              <w:rPr>
                <w:sz w:val="20"/>
                <w:szCs w:val="20"/>
                <w:color w:val="auto"/>
              </w:rPr>
            </w:pPr>
            <w:r>
              <w:rPr>
                <w:rFonts w:ascii="Arial" w:cs="Arial" w:eastAsia="Arial" w:hAnsi="Arial"/>
                <w:sz w:val="14"/>
                <w:szCs w:val="14"/>
                <w:color w:val="auto"/>
              </w:rPr>
              <w:t>124</w:t>
            </w:r>
          </w:p>
        </w:tc>
        <w:tc>
          <w:tcPr>
            <w:tcW w:w="860" w:type="dxa"/>
            <w:vAlign w:val="bottom"/>
            <w:tcBorders>
              <w:bottom w:val="single" w:sz="8" w:color="auto"/>
            </w:tcBorders>
          </w:tcPr>
          <w:p>
            <w:pPr>
              <w:jc w:val="right"/>
              <w:spacing w:after="0" w:line="157" w:lineRule="exact"/>
              <w:rPr>
                <w:sz w:val="20"/>
                <w:szCs w:val="20"/>
                <w:color w:val="auto"/>
              </w:rPr>
            </w:pPr>
            <w:r>
              <w:rPr>
                <w:rFonts w:ascii="Arial" w:cs="Arial" w:eastAsia="Arial" w:hAnsi="Arial"/>
                <w:sz w:val="14"/>
                <w:szCs w:val="14"/>
                <w:color w:val="auto"/>
              </w:rPr>
              <w:t>8,872[B]</w:t>
            </w:r>
          </w:p>
        </w:tc>
      </w:tr>
      <w:tr>
        <w:trPr>
          <w:trHeight w:val="160"/>
        </w:trPr>
        <w:tc>
          <w:tcPr>
            <w:tcW w:w="3820" w:type="dxa"/>
            <w:vAlign w:val="bottom"/>
          </w:tcPr>
          <w:p>
            <w:pPr>
              <w:spacing w:after="0"/>
              <w:rPr>
                <w:sz w:val="20"/>
                <w:szCs w:val="20"/>
                <w:color w:val="auto"/>
              </w:rPr>
            </w:pPr>
            <w:r>
              <w:rPr>
                <w:rFonts w:ascii="Arial" w:cs="Arial" w:eastAsia="Arial" w:hAnsi="Arial"/>
                <w:sz w:val="14"/>
                <w:szCs w:val="14"/>
                <w:color w:val="auto"/>
              </w:rPr>
              <w:t>Earnings before taxation</w:t>
            </w:r>
          </w:p>
        </w:tc>
        <w:tc>
          <w:tcPr>
            <w:tcW w:w="2000" w:type="dxa"/>
            <w:vAlign w:val="bottom"/>
          </w:tcPr>
          <w:p>
            <w:pPr>
              <w:jc w:val="right"/>
              <w:ind w:right="249"/>
              <w:spacing w:after="0"/>
              <w:rPr>
                <w:sz w:val="20"/>
                <w:szCs w:val="20"/>
                <w:color w:val="auto"/>
              </w:rPr>
            </w:pPr>
            <w:r>
              <w:rPr>
                <w:rFonts w:ascii="Arial" w:cs="Arial" w:eastAsia="Arial" w:hAnsi="Arial"/>
                <w:sz w:val="14"/>
                <w:szCs w:val="14"/>
                <w:color w:val="auto"/>
              </w:rPr>
              <w:t>6,473</w:t>
            </w:r>
          </w:p>
        </w:tc>
        <w:tc>
          <w:tcPr>
            <w:tcW w:w="780" w:type="dxa"/>
            <w:vAlign w:val="bottom"/>
          </w:tcPr>
          <w:p>
            <w:pPr>
              <w:jc w:val="right"/>
              <w:ind w:right="129"/>
              <w:spacing w:after="0"/>
              <w:rPr>
                <w:sz w:val="20"/>
                <w:szCs w:val="20"/>
                <w:color w:val="auto"/>
              </w:rPr>
            </w:pPr>
            <w:r>
              <w:rPr>
                <w:rFonts w:ascii="Arial" w:cs="Arial" w:eastAsia="Arial" w:hAnsi="Arial"/>
                <w:sz w:val="14"/>
                <w:szCs w:val="14"/>
                <w:color w:val="auto"/>
              </w:rPr>
              <w:t>12,994</w:t>
            </w:r>
          </w:p>
        </w:tc>
        <w:tc>
          <w:tcPr>
            <w:tcW w:w="780" w:type="dxa"/>
            <w:vAlign w:val="bottom"/>
          </w:tcPr>
          <w:p>
            <w:pPr>
              <w:jc w:val="right"/>
              <w:ind w:right="69"/>
              <w:spacing w:after="0"/>
              <w:rPr>
                <w:sz w:val="20"/>
                <w:szCs w:val="20"/>
                <w:color w:val="auto"/>
              </w:rPr>
            </w:pPr>
            <w:r>
              <w:rPr>
                <w:rFonts w:ascii="Arial" w:cs="Arial" w:eastAsia="Arial" w:hAnsi="Arial"/>
                <w:sz w:val="14"/>
                <w:szCs w:val="14"/>
                <w:color w:val="auto"/>
              </w:rPr>
              <w:t>1,449</w:t>
            </w:r>
          </w:p>
        </w:tc>
        <w:tc>
          <w:tcPr>
            <w:tcW w:w="580" w:type="dxa"/>
            <w:vAlign w:val="bottom"/>
          </w:tcPr>
          <w:p>
            <w:pPr>
              <w:jc w:val="right"/>
              <w:ind w:right="29"/>
              <w:spacing w:after="0"/>
              <w:rPr>
                <w:sz w:val="20"/>
                <w:szCs w:val="20"/>
                <w:color w:val="auto"/>
              </w:rPr>
            </w:pPr>
            <w:r>
              <w:rPr>
                <w:rFonts w:ascii="Arial" w:cs="Arial" w:eastAsia="Arial" w:hAnsi="Arial"/>
                <w:sz w:val="14"/>
                <w:szCs w:val="14"/>
                <w:color w:val="auto"/>
              </w:rPr>
              <w:t>4,798</w:t>
            </w:r>
          </w:p>
        </w:tc>
        <w:tc>
          <w:tcPr>
            <w:tcW w:w="940" w:type="dxa"/>
            <w:vAlign w:val="bottom"/>
          </w:tcPr>
          <w:p>
            <w:pPr>
              <w:jc w:val="right"/>
              <w:ind w:right="89"/>
              <w:spacing w:after="0"/>
              <w:rPr>
                <w:sz w:val="20"/>
                <w:szCs w:val="20"/>
                <w:color w:val="auto"/>
              </w:rPr>
            </w:pPr>
            <w:r>
              <w:rPr>
                <w:rFonts w:ascii="Arial" w:cs="Arial" w:eastAsia="Arial" w:hAnsi="Arial"/>
                <w:sz w:val="14"/>
                <w:szCs w:val="14"/>
                <w:color w:val="auto"/>
              </w:rPr>
              <w:t>(3,954)</w:t>
            </w:r>
          </w:p>
        </w:tc>
        <w:tc>
          <w:tcPr>
            <w:tcW w:w="840" w:type="dxa"/>
            <w:vAlign w:val="bottom"/>
          </w:tcPr>
          <w:p>
            <w:pPr>
              <w:jc w:val="right"/>
              <w:ind w:right="109"/>
              <w:spacing w:after="0"/>
              <w:rPr>
                <w:sz w:val="20"/>
                <w:szCs w:val="20"/>
                <w:color w:val="auto"/>
              </w:rPr>
            </w:pPr>
            <w:r>
              <w:rPr>
                <w:rFonts w:ascii="Arial" w:cs="Arial" w:eastAsia="Arial" w:hAnsi="Arial"/>
                <w:sz w:val="14"/>
                <w:szCs w:val="14"/>
                <w:color w:val="auto"/>
              </w:rPr>
              <w:t>(704)</w:t>
            </w:r>
          </w:p>
        </w:tc>
        <w:tc>
          <w:tcPr>
            <w:tcW w:w="820" w:type="dxa"/>
            <w:vAlign w:val="bottom"/>
            <w:gridSpan w:val="2"/>
          </w:tcPr>
          <w:p>
            <w:pPr>
              <w:jc w:val="right"/>
              <w:ind w:right="60"/>
              <w:spacing w:after="0"/>
              <w:rPr>
                <w:sz w:val="20"/>
                <w:szCs w:val="20"/>
                <w:color w:val="auto"/>
              </w:rPr>
            </w:pPr>
            <w:r>
              <w:rPr>
                <w:rFonts w:ascii="Arial" w:cs="Arial" w:eastAsia="Arial" w:hAnsi="Arial"/>
                <w:sz w:val="14"/>
                <w:szCs w:val="14"/>
                <w:color w:val="auto"/>
              </w:rPr>
              <w:t>(716)</w:t>
            </w:r>
          </w:p>
        </w:tc>
        <w:tc>
          <w:tcPr>
            <w:tcW w:w="860" w:type="dxa"/>
            <w:vAlign w:val="bottom"/>
          </w:tcPr>
          <w:p>
            <w:pPr>
              <w:jc w:val="right"/>
              <w:ind w:right="149"/>
              <w:spacing w:after="0"/>
              <w:rPr>
                <w:sz w:val="20"/>
                <w:szCs w:val="20"/>
                <w:color w:val="auto"/>
              </w:rPr>
            </w:pPr>
            <w:r>
              <w:rPr>
                <w:rFonts w:ascii="Arial" w:cs="Arial" w:eastAsia="Arial" w:hAnsi="Arial"/>
                <w:sz w:val="14"/>
                <w:szCs w:val="14"/>
                <w:color w:val="auto"/>
              </w:rPr>
              <w:t>20,340</w:t>
            </w:r>
          </w:p>
        </w:tc>
      </w:tr>
      <w:tr>
        <w:trPr>
          <w:trHeight w:val="157"/>
        </w:trPr>
        <w:tc>
          <w:tcPr>
            <w:tcW w:w="3820" w:type="dxa"/>
            <w:vAlign w:val="bottom"/>
            <w:tcBorders>
              <w:bottom w:val="single" w:sz="8" w:color="auto"/>
            </w:tcBorders>
          </w:tcPr>
          <w:p>
            <w:pPr>
              <w:spacing w:after="0" w:line="157" w:lineRule="exact"/>
              <w:rPr>
                <w:sz w:val="20"/>
                <w:szCs w:val="20"/>
                <w:color w:val="auto"/>
              </w:rPr>
            </w:pPr>
            <w:r>
              <w:rPr>
                <w:rFonts w:ascii="Arial" w:cs="Arial" w:eastAsia="Arial" w:hAnsi="Arial"/>
                <w:sz w:val="14"/>
                <w:szCs w:val="14"/>
                <w:color w:val="auto"/>
              </w:rPr>
              <w:t>Taxation charge/(credit)</w:t>
            </w:r>
          </w:p>
        </w:tc>
        <w:tc>
          <w:tcPr>
            <w:tcW w:w="2000" w:type="dxa"/>
            <w:vAlign w:val="bottom"/>
            <w:tcBorders>
              <w:bottom w:val="single" w:sz="8" w:color="auto"/>
            </w:tcBorders>
          </w:tcPr>
          <w:p>
            <w:pPr>
              <w:jc w:val="right"/>
              <w:ind w:right="249"/>
              <w:spacing w:after="0" w:line="157" w:lineRule="exact"/>
              <w:rPr>
                <w:sz w:val="20"/>
                <w:szCs w:val="20"/>
                <w:color w:val="auto"/>
              </w:rPr>
            </w:pPr>
            <w:r>
              <w:rPr>
                <w:rFonts w:ascii="Arial" w:cs="Arial" w:eastAsia="Arial" w:hAnsi="Arial"/>
                <w:sz w:val="14"/>
                <w:szCs w:val="14"/>
                <w:color w:val="auto"/>
              </w:rPr>
              <w:t>4,843</w:t>
            </w:r>
          </w:p>
        </w:tc>
        <w:tc>
          <w:tcPr>
            <w:tcW w:w="780" w:type="dxa"/>
            <w:vAlign w:val="bottom"/>
            <w:tcBorders>
              <w:bottom w:val="single" w:sz="8" w:color="auto"/>
            </w:tcBorders>
          </w:tcPr>
          <w:p>
            <w:pPr>
              <w:jc w:val="right"/>
              <w:ind w:right="129"/>
              <w:spacing w:after="0" w:line="157" w:lineRule="exact"/>
              <w:rPr>
                <w:sz w:val="20"/>
                <w:szCs w:val="20"/>
                <w:color w:val="auto"/>
              </w:rPr>
            </w:pPr>
            <w:r>
              <w:rPr>
                <w:rFonts w:ascii="Arial" w:cs="Arial" w:eastAsia="Arial" w:hAnsi="Arial"/>
                <w:sz w:val="14"/>
                <w:szCs w:val="14"/>
                <w:color w:val="auto"/>
              </w:rPr>
              <w:t>10,251</w:t>
            </w:r>
          </w:p>
        </w:tc>
        <w:tc>
          <w:tcPr>
            <w:tcW w:w="780" w:type="dxa"/>
            <w:vAlign w:val="bottom"/>
            <w:tcBorders>
              <w:bottom w:val="single" w:sz="8" w:color="auto"/>
            </w:tcBorders>
          </w:tcPr>
          <w:p>
            <w:pPr>
              <w:jc w:val="right"/>
              <w:ind w:right="69"/>
              <w:spacing w:after="0" w:line="157" w:lineRule="exact"/>
              <w:rPr>
                <w:sz w:val="20"/>
                <w:szCs w:val="20"/>
                <w:color w:val="auto"/>
              </w:rPr>
            </w:pPr>
            <w:r>
              <w:rPr>
                <w:rFonts w:ascii="Arial" w:cs="Arial" w:eastAsia="Arial" w:hAnsi="Arial"/>
                <w:sz w:val="14"/>
                <w:szCs w:val="14"/>
                <w:color w:val="auto"/>
              </w:rPr>
              <w:t>486</w:t>
            </w:r>
          </w:p>
        </w:tc>
        <w:tc>
          <w:tcPr>
            <w:tcW w:w="580" w:type="dxa"/>
            <w:vAlign w:val="bottom"/>
            <w:tcBorders>
              <w:bottom w:val="single" w:sz="8" w:color="auto"/>
            </w:tcBorders>
          </w:tcPr>
          <w:p>
            <w:pPr>
              <w:jc w:val="right"/>
              <w:ind w:right="29"/>
              <w:spacing w:after="0" w:line="157" w:lineRule="exact"/>
              <w:rPr>
                <w:sz w:val="20"/>
                <w:szCs w:val="20"/>
                <w:color w:val="auto"/>
              </w:rPr>
            </w:pPr>
            <w:r>
              <w:rPr>
                <w:rFonts w:ascii="Arial" w:cs="Arial" w:eastAsia="Arial" w:hAnsi="Arial"/>
                <w:sz w:val="14"/>
                <w:szCs w:val="14"/>
                <w:color w:val="auto"/>
              </w:rPr>
              <w:t>3,093</w:t>
            </w:r>
          </w:p>
        </w:tc>
        <w:tc>
          <w:tcPr>
            <w:tcW w:w="940" w:type="dxa"/>
            <w:vAlign w:val="bottom"/>
            <w:tcBorders>
              <w:bottom w:val="single" w:sz="8" w:color="auto"/>
            </w:tcBorders>
          </w:tcPr>
          <w:p>
            <w:pPr>
              <w:jc w:val="right"/>
              <w:ind w:right="89"/>
              <w:spacing w:after="0" w:line="157" w:lineRule="exact"/>
              <w:rPr>
                <w:sz w:val="20"/>
                <w:szCs w:val="20"/>
                <w:color w:val="auto"/>
              </w:rPr>
            </w:pPr>
            <w:r>
              <w:rPr>
                <w:rFonts w:ascii="Arial" w:cs="Arial" w:eastAsia="Arial" w:hAnsi="Arial"/>
                <w:sz w:val="14"/>
                <w:szCs w:val="14"/>
                <w:color w:val="auto"/>
              </w:rPr>
              <w:t>(1,461)</w:t>
            </w:r>
          </w:p>
        </w:tc>
        <w:tc>
          <w:tcPr>
            <w:tcW w:w="840" w:type="dxa"/>
            <w:vAlign w:val="bottom"/>
            <w:tcBorders>
              <w:bottom w:val="single" w:sz="8" w:color="auto"/>
            </w:tcBorders>
          </w:tcPr>
          <w:p>
            <w:pPr>
              <w:jc w:val="right"/>
              <w:ind w:right="109"/>
              <w:spacing w:after="0" w:line="157" w:lineRule="exact"/>
              <w:rPr>
                <w:sz w:val="20"/>
                <w:szCs w:val="20"/>
                <w:color w:val="auto"/>
              </w:rPr>
            </w:pPr>
            <w:r>
              <w:rPr>
                <w:rFonts w:ascii="Arial" w:cs="Arial" w:eastAsia="Arial" w:hAnsi="Arial"/>
                <w:sz w:val="14"/>
                <w:szCs w:val="14"/>
                <w:color w:val="auto"/>
              </w:rPr>
              <w:t>(231)</w:t>
            </w:r>
          </w:p>
        </w:tc>
        <w:tc>
          <w:tcPr>
            <w:tcW w:w="820" w:type="dxa"/>
            <w:vAlign w:val="bottom"/>
            <w:tcBorders>
              <w:bottom w:val="single" w:sz="8" w:color="auto"/>
            </w:tcBorders>
            <w:gridSpan w:val="2"/>
          </w:tcPr>
          <w:p>
            <w:pPr>
              <w:jc w:val="right"/>
              <w:ind w:right="100"/>
              <w:spacing w:after="0" w:line="157" w:lineRule="exact"/>
              <w:rPr>
                <w:sz w:val="20"/>
                <w:szCs w:val="20"/>
                <w:color w:val="auto"/>
              </w:rPr>
            </w:pPr>
            <w:r>
              <w:rPr>
                <w:rFonts w:ascii="Arial" w:cs="Arial" w:eastAsia="Arial" w:hAnsi="Arial"/>
                <w:sz w:val="14"/>
                <w:szCs w:val="14"/>
                <w:color w:val="auto"/>
              </w:rPr>
              <w:t>71</w:t>
            </w:r>
          </w:p>
        </w:tc>
        <w:tc>
          <w:tcPr>
            <w:tcW w:w="860" w:type="dxa"/>
            <w:vAlign w:val="bottom"/>
            <w:tcBorders>
              <w:bottom w:val="single" w:sz="8" w:color="auto"/>
            </w:tcBorders>
          </w:tcPr>
          <w:p>
            <w:pPr>
              <w:jc w:val="right"/>
              <w:ind w:right="149"/>
              <w:spacing w:after="0" w:line="157" w:lineRule="exact"/>
              <w:rPr>
                <w:sz w:val="20"/>
                <w:szCs w:val="20"/>
                <w:color w:val="auto"/>
              </w:rPr>
            </w:pPr>
            <w:r>
              <w:rPr>
                <w:rFonts w:ascii="Arial" w:cs="Arial" w:eastAsia="Arial" w:hAnsi="Arial"/>
                <w:sz w:val="14"/>
                <w:szCs w:val="14"/>
                <w:color w:val="auto"/>
              </w:rPr>
              <w:t>17,052</w:t>
            </w:r>
          </w:p>
        </w:tc>
      </w:tr>
      <w:tr>
        <w:trPr>
          <w:trHeight w:val="156"/>
        </w:trPr>
        <w:tc>
          <w:tcPr>
            <w:tcW w:w="3820" w:type="dxa"/>
            <w:vAlign w:val="bottom"/>
            <w:tcBorders>
              <w:bottom w:val="single" w:sz="8" w:color="auto"/>
            </w:tcBorders>
          </w:tcPr>
          <w:p>
            <w:pPr>
              <w:spacing w:after="0" w:line="155" w:lineRule="exact"/>
              <w:rPr>
                <w:sz w:val="20"/>
                <w:szCs w:val="20"/>
                <w:color w:val="auto"/>
              </w:rPr>
            </w:pPr>
            <w:r>
              <w:rPr>
                <w:rFonts w:ascii="Arial" w:cs="Arial" w:eastAsia="Arial" w:hAnsi="Arial"/>
                <w:sz w:val="14"/>
                <w:szCs w:val="14"/>
                <w:color w:val="auto"/>
              </w:rPr>
              <w:t>Earnings after taxation</w:t>
            </w:r>
          </w:p>
        </w:tc>
        <w:tc>
          <w:tcPr>
            <w:tcW w:w="2000" w:type="dxa"/>
            <w:vAlign w:val="bottom"/>
            <w:tcBorders>
              <w:bottom w:val="single" w:sz="8" w:color="auto"/>
            </w:tcBorders>
          </w:tcPr>
          <w:p>
            <w:pPr>
              <w:jc w:val="right"/>
              <w:ind w:right="249"/>
              <w:spacing w:after="0" w:line="155" w:lineRule="exact"/>
              <w:rPr>
                <w:sz w:val="20"/>
                <w:szCs w:val="20"/>
                <w:color w:val="auto"/>
              </w:rPr>
            </w:pPr>
            <w:r>
              <w:rPr>
                <w:rFonts w:ascii="Arial" w:cs="Arial" w:eastAsia="Arial" w:hAnsi="Arial"/>
                <w:sz w:val="14"/>
                <w:szCs w:val="14"/>
                <w:color w:val="auto"/>
              </w:rPr>
              <w:t>1,630</w:t>
            </w:r>
          </w:p>
        </w:tc>
        <w:tc>
          <w:tcPr>
            <w:tcW w:w="780" w:type="dxa"/>
            <w:vAlign w:val="bottom"/>
            <w:tcBorders>
              <w:bottom w:val="single" w:sz="8" w:color="auto"/>
            </w:tcBorders>
          </w:tcPr>
          <w:p>
            <w:pPr>
              <w:jc w:val="right"/>
              <w:ind w:right="129"/>
              <w:spacing w:after="0" w:line="155" w:lineRule="exact"/>
              <w:rPr>
                <w:sz w:val="20"/>
                <w:szCs w:val="20"/>
                <w:color w:val="auto"/>
              </w:rPr>
            </w:pPr>
            <w:r>
              <w:rPr>
                <w:rFonts w:ascii="Arial" w:cs="Arial" w:eastAsia="Arial" w:hAnsi="Arial"/>
                <w:sz w:val="14"/>
                <w:szCs w:val="14"/>
                <w:color w:val="auto"/>
              </w:rPr>
              <w:t>2,743</w:t>
            </w:r>
          </w:p>
        </w:tc>
        <w:tc>
          <w:tcPr>
            <w:tcW w:w="780" w:type="dxa"/>
            <w:vAlign w:val="bottom"/>
            <w:tcBorders>
              <w:bottom w:val="single" w:sz="8" w:color="auto"/>
            </w:tcBorders>
          </w:tcPr>
          <w:p>
            <w:pPr>
              <w:jc w:val="right"/>
              <w:ind w:right="69"/>
              <w:spacing w:after="0" w:line="155" w:lineRule="exact"/>
              <w:rPr>
                <w:sz w:val="20"/>
                <w:szCs w:val="20"/>
                <w:color w:val="auto"/>
              </w:rPr>
            </w:pPr>
            <w:r>
              <w:rPr>
                <w:rFonts w:ascii="Arial" w:cs="Arial" w:eastAsia="Arial" w:hAnsi="Arial"/>
                <w:sz w:val="14"/>
                <w:szCs w:val="14"/>
                <w:color w:val="auto"/>
              </w:rPr>
              <w:t>963</w:t>
            </w:r>
          </w:p>
        </w:tc>
        <w:tc>
          <w:tcPr>
            <w:tcW w:w="580" w:type="dxa"/>
            <w:vAlign w:val="bottom"/>
            <w:tcBorders>
              <w:bottom w:val="single" w:sz="8" w:color="auto"/>
            </w:tcBorders>
          </w:tcPr>
          <w:p>
            <w:pPr>
              <w:jc w:val="right"/>
              <w:ind w:right="29"/>
              <w:spacing w:after="0" w:line="155" w:lineRule="exact"/>
              <w:rPr>
                <w:sz w:val="20"/>
                <w:szCs w:val="20"/>
                <w:color w:val="auto"/>
              </w:rPr>
            </w:pPr>
            <w:r>
              <w:rPr>
                <w:rFonts w:ascii="Arial" w:cs="Arial" w:eastAsia="Arial" w:hAnsi="Arial"/>
                <w:sz w:val="14"/>
                <w:szCs w:val="14"/>
                <w:color w:val="auto"/>
              </w:rPr>
              <w:t>1,705</w:t>
            </w:r>
          </w:p>
        </w:tc>
        <w:tc>
          <w:tcPr>
            <w:tcW w:w="940" w:type="dxa"/>
            <w:vAlign w:val="bottom"/>
            <w:tcBorders>
              <w:bottom w:val="single" w:sz="8" w:color="auto"/>
            </w:tcBorders>
          </w:tcPr>
          <w:p>
            <w:pPr>
              <w:jc w:val="right"/>
              <w:ind w:right="89"/>
              <w:spacing w:after="0" w:line="155" w:lineRule="exact"/>
              <w:rPr>
                <w:sz w:val="20"/>
                <w:szCs w:val="20"/>
                <w:color w:val="auto"/>
              </w:rPr>
            </w:pPr>
            <w:r>
              <w:rPr>
                <w:rFonts w:ascii="Arial" w:cs="Arial" w:eastAsia="Arial" w:hAnsi="Arial"/>
                <w:sz w:val="14"/>
                <w:szCs w:val="14"/>
                <w:color w:val="auto"/>
              </w:rPr>
              <w:t>(2,493)</w:t>
            </w:r>
          </w:p>
        </w:tc>
        <w:tc>
          <w:tcPr>
            <w:tcW w:w="840" w:type="dxa"/>
            <w:vAlign w:val="bottom"/>
            <w:tcBorders>
              <w:bottom w:val="single" w:sz="8" w:color="auto"/>
            </w:tcBorders>
          </w:tcPr>
          <w:p>
            <w:pPr>
              <w:jc w:val="right"/>
              <w:ind w:right="109"/>
              <w:spacing w:after="0" w:line="155" w:lineRule="exact"/>
              <w:rPr>
                <w:sz w:val="20"/>
                <w:szCs w:val="20"/>
                <w:color w:val="auto"/>
              </w:rPr>
            </w:pPr>
            <w:r>
              <w:rPr>
                <w:rFonts w:ascii="Arial" w:cs="Arial" w:eastAsia="Arial" w:hAnsi="Arial"/>
                <w:sz w:val="14"/>
                <w:szCs w:val="14"/>
                <w:color w:val="auto"/>
              </w:rPr>
              <w:t>(473)</w:t>
            </w:r>
          </w:p>
        </w:tc>
        <w:tc>
          <w:tcPr>
            <w:tcW w:w="820" w:type="dxa"/>
            <w:vAlign w:val="bottom"/>
            <w:tcBorders>
              <w:bottom w:val="single" w:sz="8" w:color="auto"/>
            </w:tcBorders>
            <w:gridSpan w:val="2"/>
          </w:tcPr>
          <w:p>
            <w:pPr>
              <w:jc w:val="right"/>
              <w:ind w:right="60"/>
              <w:spacing w:after="0" w:line="155" w:lineRule="exact"/>
              <w:rPr>
                <w:sz w:val="20"/>
                <w:szCs w:val="20"/>
                <w:color w:val="auto"/>
              </w:rPr>
            </w:pPr>
            <w:r>
              <w:rPr>
                <w:rFonts w:ascii="Arial" w:cs="Arial" w:eastAsia="Arial" w:hAnsi="Arial"/>
                <w:sz w:val="14"/>
                <w:szCs w:val="14"/>
                <w:color w:val="auto"/>
              </w:rPr>
              <w:t>(787)</w:t>
            </w:r>
          </w:p>
        </w:tc>
        <w:tc>
          <w:tcPr>
            <w:tcW w:w="860" w:type="dxa"/>
            <w:vAlign w:val="bottom"/>
            <w:tcBorders>
              <w:bottom w:val="single" w:sz="8" w:color="auto"/>
            </w:tcBorders>
          </w:tcPr>
          <w:p>
            <w:pPr>
              <w:jc w:val="right"/>
              <w:ind w:right="149"/>
              <w:spacing w:after="0" w:line="155" w:lineRule="exact"/>
              <w:rPr>
                <w:sz w:val="20"/>
                <w:szCs w:val="20"/>
                <w:color w:val="auto"/>
              </w:rPr>
            </w:pPr>
            <w:r>
              <w:rPr>
                <w:rFonts w:ascii="Arial" w:cs="Arial" w:eastAsia="Arial" w:hAnsi="Arial"/>
                <w:sz w:val="14"/>
                <w:szCs w:val="14"/>
                <w:color w:val="auto"/>
              </w:rPr>
              <w:t>3,288</w:t>
            </w:r>
          </w:p>
        </w:tc>
      </w:tr>
    </w:tbl>
    <w:p>
      <w:pPr>
        <w:spacing w:after="0" w:line="32" w:lineRule="exact"/>
        <w:rPr>
          <w:sz w:val="20"/>
          <w:szCs w:val="20"/>
          <w:color w:val="auto"/>
        </w:rPr>
      </w:pPr>
    </w:p>
    <w:p>
      <w:pPr>
        <w:ind w:left="180" w:hanging="172"/>
        <w:spacing w:after="0"/>
        <w:tabs>
          <w:tab w:leader="none" w:pos="180" w:val="left"/>
        </w:tabs>
        <w:numPr>
          <w:ilvl w:val="0"/>
          <w:numId w:val="157"/>
        </w:numPr>
        <w:rPr>
          <w:rFonts w:ascii="Arial" w:cs="Arial" w:eastAsia="Arial" w:hAnsi="Arial"/>
          <w:sz w:val="11"/>
          <w:szCs w:val="11"/>
          <w:color w:val="auto"/>
        </w:rPr>
      </w:pPr>
      <w:r>
        <w:rPr>
          <w:rFonts w:ascii="Arial" w:cs="Arial" w:eastAsia="Arial" w:hAnsi="Arial"/>
          <w:sz w:val="11"/>
          <w:szCs w:val="11"/>
          <w:color w:val="auto"/>
        </w:rPr>
        <w:t>Includes Greenland.</w:t>
      </w:r>
    </w:p>
    <w:p>
      <w:pPr>
        <w:ind w:left="180" w:hanging="172"/>
        <w:spacing w:after="0" w:line="230" w:lineRule="auto"/>
        <w:tabs>
          <w:tab w:leader="none" w:pos="180" w:val="left"/>
        </w:tabs>
        <w:numPr>
          <w:ilvl w:val="0"/>
          <w:numId w:val="157"/>
        </w:numPr>
        <w:rPr>
          <w:rFonts w:ascii="Arial" w:cs="Arial" w:eastAsia="Arial" w:hAnsi="Arial"/>
          <w:sz w:val="11"/>
          <w:szCs w:val="11"/>
          <w:color w:val="auto"/>
        </w:rPr>
      </w:pPr>
      <w:r>
        <w:rPr>
          <w:rFonts w:ascii="Arial" w:cs="Arial" w:eastAsia="Arial" w:hAnsi="Arial"/>
          <w:sz w:val="11"/>
          <w:szCs w:val="11"/>
          <w:color w:val="auto"/>
        </w:rPr>
        <w:t>Reflects the reclassification of certain costs.</w:t>
      </w:r>
    </w:p>
    <w:p>
      <w:pPr>
        <w:ind w:left="180" w:hanging="172"/>
        <w:spacing w:after="0"/>
        <w:tabs>
          <w:tab w:leader="none" w:pos="180" w:val="left"/>
        </w:tabs>
        <w:numPr>
          <w:ilvl w:val="0"/>
          <w:numId w:val="157"/>
        </w:numPr>
        <w:rPr>
          <w:rFonts w:ascii="Arial" w:cs="Arial" w:eastAsia="Arial" w:hAnsi="Arial"/>
          <w:sz w:val="11"/>
          <w:szCs w:val="11"/>
          <w:color w:val="auto"/>
        </w:rPr>
      </w:pPr>
      <w:r>
        <w:rPr>
          <w:rFonts w:ascii="Arial" w:cs="Arial" w:eastAsia="Arial" w:hAnsi="Arial"/>
          <w:sz w:val="11"/>
          <w:szCs w:val="11"/>
          <w:color w:val="auto"/>
        </w:rPr>
        <w:t>Includes cash-paid royalties to governments outside North America.</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3720" w:type="dxa"/>
            <w:vAlign w:val="bottom"/>
            <w:shd w:val="clear" w:color="auto" w:fill="333333"/>
          </w:tcPr>
          <w:p>
            <w:pPr>
              <w:ind w:left="80"/>
              <w:spacing w:after="0"/>
              <w:rPr>
                <w:sz w:val="20"/>
                <w:szCs w:val="20"/>
                <w:color w:val="auto"/>
              </w:rPr>
            </w:pPr>
            <w:r>
              <w:rPr>
                <w:rFonts w:ascii="Arial" w:cs="Arial" w:eastAsia="Arial" w:hAnsi="Arial"/>
                <w:sz w:val="15"/>
                <w:szCs w:val="15"/>
                <w:b w:val="1"/>
                <w:bCs w:val="1"/>
                <w:color w:val="FFFFFF"/>
              </w:rPr>
              <w:t>2012</w:t>
            </w:r>
          </w:p>
        </w:tc>
        <w:tc>
          <w:tcPr>
            <w:tcW w:w="1920" w:type="dxa"/>
            <w:vAlign w:val="bottom"/>
            <w:shd w:val="clear" w:color="auto" w:fill="333333"/>
          </w:tcPr>
          <w:p>
            <w:pPr>
              <w:spacing w:after="0"/>
              <w:rPr>
                <w:sz w:val="15"/>
                <w:szCs w:val="15"/>
                <w:color w:val="auto"/>
              </w:rPr>
            </w:pPr>
          </w:p>
        </w:tc>
        <w:tc>
          <w:tcPr>
            <w:tcW w:w="820" w:type="dxa"/>
            <w:vAlign w:val="bottom"/>
            <w:shd w:val="clear" w:color="auto" w:fill="333333"/>
          </w:tcPr>
          <w:p>
            <w:pPr>
              <w:spacing w:after="0"/>
              <w:rPr>
                <w:sz w:val="15"/>
                <w:szCs w:val="15"/>
                <w:color w:val="auto"/>
              </w:rPr>
            </w:pPr>
          </w:p>
        </w:tc>
        <w:tc>
          <w:tcPr>
            <w:tcW w:w="820" w:type="dxa"/>
            <w:vAlign w:val="bottom"/>
            <w:shd w:val="clear" w:color="auto" w:fill="333333"/>
          </w:tcPr>
          <w:p>
            <w:pPr>
              <w:spacing w:after="0"/>
              <w:rPr>
                <w:sz w:val="15"/>
                <w:szCs w:val="15"/>
                <w:color w:val="auto"/>
              </w:rPr>
            </w:pPr>
          </w:p>
        </w:tc>
        <w:tc>
          <w:tcPr>
            <w:tcW w:w="660" w:type="dxa"/>
            <w:vAlign w:val="bottom"/>
            <w:shd w:val="clear" w:color="auto" w:fill="333333"/>
          </w:tcPr>
          <w:p>
            <w:pPr>
              <w:spacing w:after="0"/>
              <w:rPr>
                <w:sz w:val="15"/>
                <w:szCs w:val="15"/>
                <w:color w:val="auto"/>
              </w:rPr>
            </w:pPr>
          </w:p>
        </w:tc>
        <w:tc>
          <w:tcPr>
            <w:tcW w:w="900" w:type="dxa"/>
            <w:vAlign w:val="bottom"/>
            <w:shd w:val="clear" w:color="auto" w:fill="333333"/>
          </w:tcPr>
          <w:p>
            <w:pPr>
              <w:spacing w:after="0"/>
              <w:rPr>
                <w:sz w:val="15"/>
                <w:szCs w:val="15"/>
                <w:color w:val="auto"/>
              </w:rPr>
            </w:pPr>
          </w:p>
        </w:tc>
        <w:tc>
          <w:tcPr>
            <w:tcW w:w="860" w:type="dxa"/>
            <w:vAlign w:val="bottom"/>
            <w:shd w:val="clear" w:color="auto" w:fill="333333"/>
          </w:tcPr>
          <w:p>
            <w:pPr>
              <w:spacing w:after="0"/>
              <w:rPr>
                <w:sz w:val="15"/>
                <w:szCs w:val="15"/>
                <w:color w:val="auto"/>
              </w:rPr>
            </w:pPr>
          </w:p>
        </w:tc>
        <w:tc>
          <w:tcPr>
            <w:tcW w:w="740" w:type="dxa"/>
            <w:vAlign w:val="bottom"/>
            <w:shd w:val="clear" w:color="auto" w:fill="333333"/>
          </w:tcPr>
          <w:p>
            <w:pPr>
              <w:spacing w:after="0"/>
              <w:rPr>
                <w:sz w:val="15"/>
                <w:szCs w:val="15"/>
                <w:color w:val="auto"/>
              </w:rPr>
            </w:pPr>
          </w:p>
        </w:tc>
        <w:tc>
          <w:tcPr>
            <w:tcW w:w="980" w:type="dxa"/>
            <w:vAlign w:val="bottom"/>
            <w:gridSpan w:val="2"/>
            <w:shd w:val="clear" w:color="auto" w:fill="333333"/>
          </w:tcPr>
          <w:p>
            <w:pPr>
              <w:jc w:val="right"/>
              <w:ind w:right="151"/>
              <w:spacing w:after="0"/>
              <w:rPr>
                <w:sz w:val="20"/>
                <w:szCs w:val="20"/>
                <w:color w:val="auto"/>
              </w:rPr>
            </w:pPr>
            <w:r>
              <w:rPr>
                <w:rFonts w:ascii="Arial" w:cs="Arial" w:eastAsia="Arial" w:hAnsi="Arial"/>
                <w:sz w:val="15"/>
                <w:szCs w:val="15"/>
                <w:color w:val="FFFFFF"/>
              </w:rPr>
              <w:t>$ MILLION</w:t>
            </w:r>
          </w:p>
        </w:tc>
      </w:tr>
      <w:tr>
        <w:trPr>
          <w:trHeight w:val="156"/>
        </w:trPr>
        <w:tc>
          <w:tcPr>
            <w:tcW w:w="3720" w:type="dxa"/>
            <w:vAlign w:val="bottom"/>
          </w:tcPr>
          <w:p>
            <w:pPr>
              <w:spacing w:after="0"/>
              <w:rPr>
                <w:sz w:val="13"/>
                <w:szCs w:val="13"/>
                <w:color w:val="auto"/>
              </w:rPr>
            </w:pPr>
          </w:p>
        </w:tc>
        <w:tc>
          <w:tcPr>
            <w:tcW w:w="19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760" w:type="dxa"/>
            <w:vAlign w:val="bottom"/>
            <w:tcBorders>
              <w:bottom w:val="single" w:sz="8" w:color="auto"/>
            </w:tcBorders>
            <w:gridSpan w:val="2"/>
          </w:tcPr>
          <w:p>
            <w:pPr>
              <w:jc w:val="right"/>
              <w:ind w:right="169"/>
              <w:spacing w:after="0"/>
              <w:rPr>
                <w:sz w:val="20"/>
                <w:szCs w:val="20"/>
                <w:color w:val="auto"/>
              </w:rPr>
            </w:pPr>
            <w:r>
              <w:rPr>
                <w:rFonts w:ascii="Arial" w:cs="Arial" w:eastAsia="Arial" w:hAnsi="Arial"/>
                <w:sz w:val="13"/>
                <w:szCs w:val="13"/>
                <w:color w:val="auto"/>
              </w:rPr>
              <w:t>North America</w:t>
            </w:r>
          </w:p>
        </w:tc>
        <w:tc>
          <w:tcPr>
            <w:tcW w:w="740" w:type="dxa"/>
            <w:vAlign w:val="bottom"/>
          </w:tcPr>
          <w:p>
            <w:pPr>
              <w:jc w:val="right"/>
              <w:spacing w:after="0"/>
              <w:rPr>
                <w:sz w:val="20"/>
                <w:szCs w:val="20"/>
                <w:color w:val="auto"/>
              </w:rPr>
            </w:pPr>
            <w:r>
              <w:rPr>
                <w:rFonts w:ascii="Arial" w:cs="Arial" w:eastAsia="Arial" w:hAnsi="Arial"/>
                <w:sz w:val="13"/>
                <w:szCs w:val="13"/>
                <w:color w:val="auto"/>
              </w:rPr>
              <w:t>South</w:t>
            </w:r>
          </w:p>
        </w:tc>
        <w:tc>
          <w:tcPr>
            <w:tcW w:w="80" w:type="dxa"/>
            <w:vAlign w:val="bottom"/>
          </w:tcPr>
          <w:p>
            <w:pPr>
              <w:spacing w:after="0"/>
              <w:rPr>
                <w:sz w:val="13"/>
                <w:szCs w:val="13"/>
                <w:color w:val="auto"/>
              </w:rPr>
            </w:pPr>
          </w:p>
        </w:tc>
        <w:tc>
          <w:tcPr>
            <w:tcW w:w="900" w:type="dxa"/>
            <w:vAlign w:val="bottom"/>
          </w:tcPr>
          <w:p>
            <w:pPr>
              <w:spacing w:after="0"/>
              <w:rPr>
                <w:sz w:val="13"/>
                <w:szCs w:val="13"/>
                <w:color w:val="auto"/>
              </w:rPr>
            </w:pPr>
          </w:p>
        </w:tc>
      </w:tr>
      <w:tr>
        <w:trPr>
          <w:trHeight w:val="135"/>
        </w:trPr>
        <w:tc>
          <w:tcPr>
            <w:tcW w:w="3720" w:type="dxa"/>
            <w:vAlign w:val="bottom"/>
            <w:tcBorders>
              <w:bottom w:val="single" w:sz="8" w:color="auto"/>
            </w:tcBorders>
          </w:tcPr>
          <w:p>
            <w:pPr>
              <w:spacing w:after="0"/>
              <w:rPr>
                <w:sz w:val="11"/>
                <w:szCs w:val="11"/>
                <w:color w:val="auto"/>
              </w:rPr>
            </w:pPr>
          </w:p>
        </w:tc>
        <w:tc>
          <w:tcPr>
            <w:tcW w:w="1920" w:type="dxa"/>
            <w:vAlign w:val="bottom"/>
            <w:tcBorders>
              <w:bottom w:val="single" w:sz="8" w:color="auto"/>
            </w:tcBorders>
          </w:tcPr>
          <w:p>
            <w:pPr>
              <w:jc w:val="right"/>
              <w:ind w:right="109"/>
              <w:spacing w:after="0" w:line="135" w:lineRule="exact"/>
              <w:rPr>
                <w:sz w:val="20"/>
                <w:szCs w:val="20"/>
                <w:color w:val="auto"/>
              </w:rPr>
            </w:pPr>
            <w:r>
              <w:rPr>
                <w:rFonts w:ascii="Arial" w:cs="Arial" w:eastAsia="Arial" w:hAnsi="Arial"/>
                <w:sz w:val="13"/>
                <w:szCs w:val="13"/>
                <w:color w:val="auto"/>
              </w:rPr>
              <w:t>Europe[A]</w:t>
            </w:r>
          </w:p>
        </w:tc>
        <w:tc>
          <w:tcPr>
            <w:tcW w:w="820" w:type="dxa"/>
            <w:vAlign w:val="bottom"/>
            <w:tcBorders>
              <w:bottom w:val="single" w:sz="8" w:color="auto"/>
            </w:tcBorders>
          </w:tcPr>
          <w:p>
            <w:pPr>
              <w:jc w:val="right"/>
              <w:ind w:right="129"/>
              <w:spacing w:after="0" w:line="135" w:lineRule="exact"/>
              <w:rPr>
                <w:sz w:val="20"/>
                <w:szCs w:val="20"/>
                <w:color w:val="auto"/>
              </w:rPr>
            </w:pPr>
            <w:r>
              <w:rPr>
                <w:rFonts w:ascii="Arial" w:cs="Arial" w:eastAsia="Arial" w:hAnsi="Arial"/>
                <w:sz w:val="13"/>
                <w:szCs w:val="13"/>
                <w:color w:val="auto"/>
              </w:rPr>
              <w:t>Asia</w:t>
            </w:r>
          </w:p>
        </w:tc>
        <w:tc>
          <w:tcPr>
            <w:tcW w:w="820" w:type="dxa"/>
            <w:vAlign w:val="bottom"/>
            <w:tcBorders>
              <w:bottom w:val="single" w:sz="8" w:color="auto"/>
            </w:tcBorders>
          </w:tcPr>
          <w:p>
            <w:pPr>
              <w:jc w:val="right"/>
              <w:ind w:right="89"/>
              <w:spacing w:after="0" w:line="135" w:lineRule="exact"/>
              <w:rPr>
                <w:sz w:val="20"/>
                <w:szCs w:val="20"/>
                <w:color w:val="auto"/>
              </w:rPr>
            </w:pPr>
            <w:r>
              <w:rPr>
                <w:rFonts w:ascii="Arial" w:cs="Arial" w:eastAsia="Arial" w:hAnsi="Arial"/>
                <w:sz w:val="13"/>
                <w:szCs w:val="13"/>
                <w:color w:val="auto"/>
              </w:rPr>
              <w:t>Oceania</w:t>
            </w:r>
          </w:p>
        </w:tc>
        <w:tc>
          <w:tcPr>
            <w:tcW w:w="660" w:type="dxa"/>
            <w:vAlign w:val="bottom"/>
            <w:tcBorders>
              <w:bottom w:val="single" w:sz="8" w:color="auto"/>
            </w:tcBorders>
          </w:tcPr>
          <w:p>
            <w:pPr>
              <w:jc w:val="right"/>
              <w:ind w:right="29"/>
              <w:spacing w:after="0" w:line="135" w:lineRule="exact"/>
              <w:rPr>
                <w:sz w:val="20"/>
                <w:szCs w:val="20"/>
                <w:color w:val="auto"/>
              </w:rPr>
            </w:pPr>
            <w:r>
              <w:rPr>
                <w:rFonts w:ascii="Arial" w:cs="Arial" w:eastAsia="Arial" w:hAnsi="Arial"/>
                <w:sz w:val="13"/>
                <w:szCs w:val="13"/>
                <w:color w:val="auto"/>
              </w:rPr>
              <w:t>Africa</w:t>
            </w:r>
          </w:p>
        </w:tc>
        <w:tc>
          <w:tcPr>
            <w:tcW w:w="900" w:type="dxa"/>
            <w:vAlign w:val="bottom"/>
            <w:tcBorders>
              <w:bottom w:val="single" w:sz="8" w:color="auto"/>
            </w:tcBorders>
          </w:tcPr>
          <w:p>
            <w:pPr>
              <w:jc w:val="right"/>
              <w:ind w:right="149"/>
              <w:spacing w:after="0" w:line="135" w:lineRule="exact"/>
              <w:rPr>
                <w:sz w:val="20"/>
                <w:szCs w:val="20"/>
                <w:color w:val="auto"/>
              </w:rPr>
            </w:pPr>
            <w:r>
              <w:rPr>
                <w:rFonts w:ascii="Arial" w:cs="Arial" w:eastAsia="Arial" w:hAnsi="Arial"/>
                <w:sz w:val="13"/>
                <w:szCs w:val="13"/>
                <w:color w:val="auto"/>
              </w:rPr>
              <w:t>USA</w:t>
            </w:r>
          </w:p>
        </w:tc>
        <w:tc>
          <w:tcPr>
            <w:tcW w:w="860" w:type="dxa"/>
            <w:vAlign w:val="bottom"/>
            <w:tcBorders>
              <w:bottom w:val="single" w:sz="8" w:color="auto"/>
            </w:tcBorders>
          </w:tcPr>
          <w:p>
            <w:pPr>
              <w:jc w:val="right"/>
              <w:ind w:right="169"/>
              <w:spacing w:after="0" w:line="135" w:lineRule="exact"/>
              <w:rPr>
                <w:sz w:val="20"/>
                <w:szCs w:val="20"/>
                <w:color w:val="auto"/>
              </w:rPr>
            </w:pPr>
            <w:r>
              <w:rPr>
                <w:rFonts w:ascii="Arial" w:cs="Arial" w:eastAsia="Arial" w:hAnsi="Arial"/>
                <w:sz w:val="13"/>
                <w:szCs w:val="13"/>
                <w:color w:val="auto"/>
              </w:rPr>
              <w:t>Canada</w:t>
            </w:r>
          </w:p>
        </w:tc>
        <w:tc>
          <w:tcPr>
            <w:tcW w:w="740" w:type="dxa"/>
            <w:vAlign w:val="bottom"/>
            <w:tcBorders>
              <w:bottom w:val="single" w:sz="8" w:color="auto"/>
            </w:tcBorders>
          </w:tcPr>
          <w:p>
            <w:pPr>
              <w:jc w:val="right"/>
              <w:spacing w:after="0" w:line="132" w:lineRule="exact"/>
              <w:rPr>
                <w:sz w:val="20"/>
                <w:szCs w:val="20"/>
                <w:color w:val="auto"/>
              </w:rPr>
            </w:pPr>
            <w:r>
              <w:rPr>
                <w:rFonts w:ascii="Arial" w:cs="Arial" w:eastAsia="Arial" w:hAnsi="Arial"/>
                <w:sz w:val="13"/>
                <w:szCs w:val="13"/>
                <w:color w:val="auto"/>
              </w:rPr>
              <w:t>America</w:t>
            </w:r>
          </w:p>
        </w:tc>
        <w:tc>
          <w:tcPr>
            <w:tcW w:w="80" w:type="dxa"/>
            <w:vAlign w:val="bottom"/>
          </w:tcPr>
          <w:p>
            <w:pPr>
              <w:spacing w:after="0"/>
              <w:rPr>
                <w:sz w:val="11"/>
                <w:szCs w:val="11"/>
                <w:color w:val="auto"/>
              </w:rPr>
            </w:pPr>
          </w:p>
        </w:tc>
        <w:tc>
          <w:tcPr>
            <w:tcW w:w="900" w:type="dxa"/>
            <w:vAlign w:val="bottom"/>
            <w:tcBorders>
              <w:bottom w:val="single" w:sz="8" w:color="auto"/>
            </w:tcBorders>
          </w:tcPr>
          <w:p>
            <w:pPr>
              <w:jc w:val="right"/>
              <w:ind w:right="151"/>
              <w:spacing w:after="0" w:line="135" w:lineRule="exact"/>
              <w:rPr>
                <w:sz w:val="20"/>
                <w:szCs w:val="20"/>
                <w:color w:val="auto"/>
              </w:rPr>
            </w:pPr>
            <w:r>
              <w:rPr>
                <w:rFonts w:ascii="Arial" w:cs="Arial" w:eastAsia="Arial" w:hAnsi="Arial"/>
                <w:sz w:val="13"/>
                <w:szCs w:val="13"/>
                <w:color w:val="auto"/>
              </w:rPr>
              <w:t>Total</w:t>
            </w:r>
          </w:p>
        </w:tc>
      </w:tr>
      <w:tr>
        <w:trPr>
          <w:trHeight w:val="160"/>
        </w:trPr>
        <w:tc>
          <w:tcPr>
            <w:tcW w:w="3720" w:type="dxa"/>
            <w:vAlign w:val="bottom"/>
          </w:tcPr>
          <w:p>
            <w:pPr>
              <w:spacing w:after="0"/>
              <w:rPr>
                <w:sz w:val="20"/>
                <w:szCs w:val="20"/>
                <w:color w:val="auto"/>
              </w:rPr>
            </w:pPr>
            <w:r>
              <w:rPr>
                <w:rFonts w:ascii="Arial" w:cs="Arial" w:eastAsia="Arial" w:hAnsi="Arial"/>
                <w:sz w:val="14"/>
                <w:szCs w:val="14"/>
                <w:color w:val="auto"/>
              </w:rPr>
              <w:t>Revenue</w:t>
            </w:r>
          </w:p>
        </w:tc>
        <w:tc>
          <w:tcPr>
            <w:tcW w:w="19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tcPr>
          <w:p>
            <w:pPr>
              <w:spacing w:after="0"/>
              <w:rPr>
                <w:sz w:val="13"/>
                <w:szCs w:val="13"/>
                <w:color w:val="auto"/>
              </w:rPr>
            </w:pPr>
          </w:p>
        </w:tc>
      </w:tr>
      <w:tr>
        <w:trPr>
          <w:trHeight w:val="162"/>
        </w:trPr>
        <w:tc>
          <w:tcPr>
            <w:tcW w:w="3720" w:type="dxa"/>
            <w:vAlign w:val="bottom"/>
          </w:tcPr>
          <w:p>
            <w:pPr>
              <w:ind w:left="140"/>
              <w:spacing w:after="0"/>
              <w:rPr>
                <w:sz w:val="20"/>
                <w:szCs w:val="20"/>
                <w:color w:val="auto"/>
              </w:rPr>
            </w:pPr>
            <w:r>
              <w:rPr>
                <w:rFonts w:ascii="Arial" w:cs="Arial" w:eastAsia="Arial" w:hAnsi="Arial"/>
                <w:sz w:val="14"/>
                <w:szCs w:val="14"/>
                <w:color w:val="auto"/>
              </w:rPr>
              <w:t>Third parties</w:t>
            </w:r>
          </w:p>
        </w:tc>
        <w:tc>
          <w:tcPr>
            <w:tcW w:w="1920" w:type="dxa"/>
            <w:vAlign w:val="bottom"/>
          </w:tcPr>
          <w:p>
            <w:pPr>
              <w:jc w:val="right"/>
              <w:ind w:right="249"/>
              <w:spacing w:after="0"/>
              <w:rPr>
                <w:sz w:val="20"/>
                <w:szCs w:val="20"/>
                <w:color w:val="auto"/>
              </w:rPr>
            </w:pPr>
            <w:r>
              <w:rPr>
                <w:rFonts w:ascii="Arial" w:cs="Arial" w:eastAsia="Arial" w:hAnsi="Arial"/>
                <w:sz w:val="14"/>
                <w:szCs w:val="14"/>
                <w:color w:val="auto"/>
              </w:rPr>
              <w:t>4,705</w:t>
            </w:r>
          </w:p>
        </w:tc>
        <w:tc>
          <w:tcPr>
            <w:tcW w:w="820" w:type="dxa"/>
            <w:vAlign w:val="bottom"/>
          </w:tcPr>
          <w:p>
            <w:pPr>
              <w:jc w:val="right"/>
              <w:ind w:right="129"/>
              <w:spacing w:after="0"/>
              <w:rPr>
                <w:sz w:val="20"/>
                <w:szCs w:val="20"/>
                <w:color w:val="auto"/>
              </w:rPr>
            </w:pPr>
            <w:r>
              <w:rPr>
                <w:rFonts w:ascii="Arial" w:cs="Arial" w:eastAsia="Arial" w:hAnsi="Arial"/>
                <w:sz w:val="14"/>
                <w:szCs w:val="14"/>
                <w:color w:val="auto"/>
              </w:rPr>
              <w:t>3,981</w:t>
            </w:r>
          </w:p>
        </w:tc>
        <w:tc>
          <w:tcPr>
            <w:tcW w:w="820" w:type="dxa"/>
            <w:vAlign w:val="bottom"/>
          </w:tcPr>
          <w:p>
            <w:pPr>
              <w:jc w:val="right"/>
              <w:ind w:right="89"/>
              <w:spacing w:after="0"/>
              <w:rPr>
                <w:sz w:val="20"/>
                <w:szCs w:val="20"/>
                <w:color w:val="auto"/>
              </w:rPr>
            </w:pPr>
            <w:r>
              <w:rPr>
                <w:rFonts w:ascii="Arial" w:cs="Arial" w:eastAsia="Arial" w:hAnsi="Arial"/>
                <w:sz w:val="14"/>
                <w:szCs w:val="14"/>
                <w:color w:val="auto"/>
              </w:rPr>
              <w:t>1,941</w:t>
            </w:r>
          </w:p>
        </w:tc>
        <w:tc>
          <w:tcPr>
            <w:tcW w:w="660" w:type="dxa"/>
            <w:vAlign w:val="bottom"/>
          </w:tcPr>
          <w:p>
            <w:pPr>
              <w:jc w:val="right"/>
              <w:ind w:right="29"/>
              <w:spacing w:after="0"/>
              <w:rPr>
                <w:sz w:val="20"/>
                <w:szCs w:val="20"/>
                <w:color w:val="auto"/>
              </w:rPr>
            </w:pPr>
            <w:r>
              <w:rPr>
                <w:rFonts w:ascii="Arial" w:cs="Arial" w:eastAsia="Arial" w:hAnsi="Arial"/>
                <w:sz w:val="14"/>
                <w:szCs w:val="14"/>
                <w:color w:val="auto"/>
              </w:rPr>
              <w:t>2,807</w:t>
            </w:r>
          </w:p>
        </w:tc>
        <w:tc>
          <w:tcPr>
            <w:tcW w:w="900" w:type="dxa"/>
            <w:vAlign w:val="bottom"/>
          </w:tcPr>
          <w:p>
            <w:pPr>
              <w:jc w:val="right"/>
              <w:ind w:right="149"/>
              <w:spacing w:after="0"/>
              <w:rPr>
                <w:sz w:val="20"/>
                <w:szCs w:val="20"/>
                <w:color w:val="auto"/>
              </w:rPr>
            </w:pPr>
            <w:r>
              <w:rPr>
                <w:rFonts w:ascii="Arial" w:cs="Arial" w:eastAsia="Arial" w:hAnsi="Arial"/>
                <w:sz w:val="14"/>
                <w:szCs w:val="14"/>
                <w:color w:val="auto"/>
              </w:rPr>
              <w:t>3,573</w:t>
            </w:r>
          </w:p>
        </w:tc>
        <w:tc>
          <w:tcPr>
            <w:tcW w:w="860" w:type="dxa"/>
            <w:vAlign w:val="bottom"/>
          </w:tcPr>
          <w:p>
            <w:pPr>
              <w:jc w:val="right"/>
              <w:ind w:right="169"/>
              <w:spacing w:after="0"/>
              <w:rPr>
                <w:sz w:val="20"/>
                <w:szCs w:val="20"/>
                <w:color w:val="auto"/>
              </w:rPr>
            </w:pPr>
            <w:r>
              <w:rPr>
                <w:rFonts w:ascii="Arial" w:cs="Arial" w:eastAsia="Arial" w:hAnsi="Arial"/>
                <w:sz w:val="14"/>
                <w:szCs w:val="14"/>
                <w:color w:val="auto"/>
              </w:rPr>
              <w:t>207</w:t>
            </w:r>
          </w:p>
        </w:tc>
        <w:tc>
          <w:tcPr>
            <w:tcW w:w="740" w:type="dxa"/>
            <w:vAlign w:val="bottom"/>
          </w:tcPr>
          <w:p>
            <w:pPr>
              <w:jc w:val="right"/>
              <w:spacing w:after="0"/>
              <w:rPr>
                <w:sz w:val="20"/>
                <w:szCs w:val="20"/>
                <w:color w:val="auto"/>
              </w:rPr>
            </w:pPr>
            <w:r>
              <w:rPr>
                <w:rFonts w:ascii="Arial" w:cs="Arial" w:eastAsia="Arial" w:hAnsi="Arial"/>
                <w:sz w:val="14"/>
                <w:szCs w:val="14"/>
                <w:color w:val="auto"/>
              </w:rPr>
              <w:t>23</w:t>
            </w:r>
          </w:p>
        </w:tc>
        <w:tc>
          <w:tcPr>
            <w:tcW w:w="980" w:type="dxa"/>
            <w:vAlign w:val="bottom"/>
            <w:gridSpan w:val="2"/>
          </w:tcPr>
          <w:p>
            <w:pPr>
              <w:jc w:val="right"/>
              <w:ind w:right="151"/>
              <w:spacing w:after="0"/>
              <w:rPr>
                <w:sz w:val="20"/>
                <w:szCs w:val="20"/>
                <w:color w:val="auto"/>
              </w:rPr>
            </w:pPr>
            <w:r>
              <w:rPr>
                <w:rFonts w:ascii="Arial" w:cs="Arial" w:eastAsia="Arial" w:hAnsi="Arial"/>
                <w:sz w:val="14"/>
                <w:szCs w:val="14"/>
                <w:color w:val="auto"/>
              </w:rPr>
              <w:t>17,237</w:t>
            </w:r>
          </w:p>
        </w:tc>
      </w:tr>
      <w:tr>
        <w:trPr>
          <w:trHeight w:val="157"/>
        </w:trPr>
        <w:tc>
          <w:tcPr>
            <w:tcW w:w="3720" w:type="dxa"/>
            <w:vAlign w:val="bottom"/>
            <w:tcBorders>
              <w:bottom w:val="single" w:sz="8" w:color="auto"/>
            </w:tcBorders>
          </w:tcPr>
          <w:p>
            <w:pPr>
              <w:ind w:left="140"/>
              <w:spacing w:after="0" w:line="157" w:lineRule="exact"/>
              <w:rPr>
                <w:sz w:val="20"/>
                <w:szCs w:val="20"/>
                <w:color w:val="auto"/>
              </w:rPr>
            </w:pPr>
            <w:r>
              <w:rPr>
                <w:rFonts w:ascii="Arial" w:cs="Arial" w:eastAsia="Arial" w:hAnsi="Arial"/>
                <w:sz w:val="14"/>
                <w:szCs w:val="14"/>
                <w:color w:val="auto"/>
              </w:rPr>
              <w:t>Sales between businesses</w:t>
            </w:r>
          </w:p>
        </w:tc>
        <w:tc>
          <w:tcPr>
            <w:tcW w:w="1920" w:type="dxa"/>
            <w:vAlign w:val="bottom"/>
            <w:tcBorders>
              <w:bottom w:val="single" w:sz="8" w:color="auto"/>
            </w:tcBorders>
          </w:tcPr>
          <w:p>
            <w:pPr>
              <w:jc w:val="right"/>
              <w:ind w:right="249"/>
              <w:spacing w:after="0" w:line="157" w:lineRule="exact"/>
              <w:rPr>
                <w:sz w:val="20"/>
                <w:szCs w:val="20"/>
                <w:color w:val="auto"/>
              </w:rPr>
            </w:pPr>
            <w:r>
              <w:rPr>
                <w:rFonts w:ascii="Arial" w:cs="Arial" w:eastAsia="Arial" w:hAnsi="Arial"/>
                <w:sz w:val="14"/>
                <w:szCs w:val="14"/>
                <w:color w:val="auto"/>
              </w:rPr>
              <w:t>10,275</w:t>
            </w:r>
          </w:p>
        </w:tc>
        <w:tc>
          <w:tcPr>
            <w:tcW w:w="820" w:type="dxa"/>
            <w:vAlign w:val="bottom"/>
            <w:tcBorders>
              <w:bottom w:val="single" w:sz="8" w:color="auto"/>
            </w:tcBorders>
          </w:tcPr>
          <w:p>
            <w:pPr>
              <w:jc w:val="right"/>
              <w:ind w:right="129"/>
              <w:spacing w:after="0" w:line="157" w:lineRule="exact"/>
              <w:rPr>
                <w:sz w:val="20"/>
                <w:szCs w:val="20"/>
                <w:color w:val="auto"/>
              </w:rPr>
            </w:pPr>
            <w:r>
              <w:rPr>
                <w:rFonts w:ascii="Arial" w:cs="Arial" w:eastAsia="Arial" w:hAnsi="Arial"/>
                <w:sz w:val="14"/>
                <w:szCs w:val="14"/>
                <w:color w:val="auto"/>
              </w:rPr>
              <w:t>16,450</w:t>
            </w:r>
          </w:p>
        </w:tc>
        <w:tc>
          <w:tcPr>
            <w:tcW w:w="820" w:type="dxa"/>
            <w:vAlign w:val="bottom"/>
            <w:tcBorders>
              <w:bottom w:val="single" w:sz="8" w:color="auto"/>
            </w:tcBorders>
          </w:tcPr>
          <w:p>
            <w:pPr>
              <w:jc w:val="right"/>
              <w:ind w:right="89"/>
              <w:spacing w:after="0" w:line="157" w:lineRule="exact"/>
              <w:rPr>
                <w:sz w:val="20"/>
                <w:szCs w:val="20"/>
                <w:color w:val="auto"/>
              </w:rPr>
            </w:pPr>
            <w:r>
              <w:rPr>
                <w:rFonts w:ascii="Arial" w:cs="Arial" w:eastAsia="Arial" w:hAnsi="Arial"/>
                <w:sz w:val="14"/>
                <w:szCs w:val="14"/>
                <w:color w:val="auto"/>
              </w:rPr>
              <w:t>1,129</w:t>
            </w:r>
          </w:p>
        </w:tc>
        <w:tc>
          <w:tcPr>
            <w:tcW w:w="660" w:type="dxa"/>
            <w:vAlign w:val="bottom"/>
            <w:tcBorders>
              <w:bottom w:val="single" w:sz="8" w:color="auto"/>
            </w:tcBorders>
          </w:tcPr>
          <w:p>
            <w:pPr>
              <w:jc w:val="right"/>
              <w:ind w:right="29"/>
              <w:spacing w:after="0" w:line="157" w:lineRule="exact"/>
              <w:rPr>
                <w:sz w:val="20"/>
                <w:szCs w:val="20"/>
                <w:color w:val="auto"/>
              </w:rPr>
            </w:pPr>
            <w:r>
              <w:rPr>
                <w:rFonts w:ascii="Arial" w:cs="Arial" w:eastAsia="Arial" w:hAnsi="Arial"/>
                <w:sz w:val="14"/>
                <w:szCs w:val="14"/>
                <w:color w:val="auto"/>
              </w:rPr>
              <w:t>10,364</w:t>
            </w:r>
          </w:p>
        </w:tc>
        <w:tc>
          <w:tcPr>
            <w:tcW w:w="900" w:type="dxa"/>
            <w:vAlign w:val="bottom"/>
            <w:tcBorders>
              <w:bottom w:val="single" w:sz="8" w:color="auto"/>
            </w:tcBorders>
          </w:tcPr>
          <w:p>
            <w:pPr>
              <w:jc w:val="right"/>
              <w:ind w:right="149"/>
              <w:spacing w:after="0" w:line="157" w:lineRule="exact"/>
              <w:rPr>
                <w:sz w:val="20"/>
                <w:szCs w:val="20"/>
                <w:color w:val="auto"/>
              </w:rPr>
            </w:pPr>
            <w:r>
              <w:rPr>
                <w:rFonts w:ascii="Arial" w:cs="Arial" w:eastAsia="Arial" w:hAnsi="Arial"/>
                <w:sz w:val="14"/>
                <w:szCs w:val="14"/>
                <w:color w:val="auto"/>
              </w:rPr>
              <w:t>3,906</w:t>
            </w:r>
          </w:p>
        </w:tc>
        <w:tc>
          <w:tcPr>
            <w:tcW w:w="860" w:type="dxa"/>
            <w:vAlign w:val="bottom"/>
            <w:tcBorders>
              <w:bottom w:val="single" w:sz="8" w:color="auto"/>
            </w:tcBorders>
          </w:tcPr>
          <w:p>
            <w:pPr>
              <w:jc w:val="right"/>
              <w:ind w:right="169"/>
              <w:spacing w:after="0" w:line="157" w:lineRule="exact"/>
              <w:rPr>
                <w:sz w:val="20"/>
                <w:szCs w:val="20"/>
                <w:color w:val="auto"/>
              </w:rPr>
            </w:pPr>
            <w:r>
              <w:rPr>
                <w:rFonts w:ascii="Arial" w:cs="Arial" w:eastAsia="Arial" w:hAnsi="Arial"/>
                <w:sz w:val="14"/>
                <w:szCs w:val="14"/>
                <w:color w:val="auto"/>
              </w:rPr>
              <w:t>6,443</w:t>
            </w:r>
          </w:p>
        </w:tc>
        <w:tc>
          <w:tcPr>
            <w:tcW w:w="740" w:type="dxa"/>
            <w:vAlign w:val="bottom"/>
            <w:tcBorders>
              <w:bottom w:val="single" w:sz="8" w:color="auto"/>
            </w:tcBorders>
          </w:tcPr>
          <w:p>
            <w:pPr>
              <w:jc w:val="right"/>
              <w:spacing w:after="0" w:line="157" w:lineRule="exact"/>
              <w:rPr>
                <w:sz w:val="20"/>
                <w:szCs w:val="20"/>
                <w:color w:val="auto"/>
              </w:rPr>
            </w:pPr>
            <w:r>
              <w:rPr>
                <w:rFonts w:ascii="Arial" w:cs="Arial" w:eastAsia="Arial" w:hAnsi="Arial"/>
                <w:sz w:val="14"/>
                <w:szCs w:val="14"/>
                <w:color w:val="auto"/>
              </w:rPr>
              <w:t>1,431</w:t>
            </w:r>
          </w:p>
        </w:tc>
        <w:tc>
          <w:tcPr>
            <w:tcW w:w="980" w:type="dxa"/>
            <w:vAlign w:val="bottom"/>
            <w:tcBorders>
              <w:bottom w:val="single" w:sz="8" w:color="auto"/>
            </w:tcBorders>
            <w:gridSpan w:val="2"/>
          </w:tcPr>
          <w:p>
            <w:pPr>
              <w:jc w:val="right"/>
              <w:ind w:right="151"/>
              <w:spacing w:after="0" w:line="157" w:lineRule="exact"/>
              <w:rPr>
                <w:sz w:val="20"/>
                <w:szCs w:val="20"/>
                <w:color w:val="auto"/>
              </w:rPr>
            </w:pPr>
            <w:r>
              <w:rPr>
                <w:rFonts w:ascii="Arial" w:cs="Arial" w:eastAsia="Arial" w:hAnsi="Arial"/>
                <w:sz w:val="14"/>
                <w:szCs w:val="14"/>
                <w:color w:val="auto"/>
              </w:rPr>
              <w:t>49,998</w:t>
            </w:r>
          </w:p>
        </w:tc>
      </w:tr>
      <w:tr>
        <w:trPr>
          <w:trHeight w:val="156"/>
        </w:trPr>
        <w:tc>
          <w:tcPr>
            <w:tcW w:w="3720" w:type="dxa"/>
            <w:vAlign w:val="bottom"/>
            <w:tcBorders>
              <w:bottom w:val="single" w:sz="8" w:color="auto"/>
            </w:tcBorders>
          </w:tcPr>
          <w:p>
            <w:pPr>
              <w:spacing w:after="0" w:line="155" w:lineRule="exact"/>
              <w:rPr>
                <w:sz w:val="20"/>
                <w:szCs w:val="20"/>
                <w:color w:val="auto"/>
              </w:rPr>
            </w:pPr>
            <w:r>
              <w:rPr>
                <w:rFonts w:ascii="Arial" w:cs="Arial" w:eastAsia="Arial" w:hAnsi="Arial"/>
                <w:sz w:val="14"/>
                <w:szCs w:val="14"/>
                <w:color w:val="auto"/>
              </w:rPr>
              <w:t>Total</w:t>
            </w:r>
          </w:p>
        </w:tc>
        <w:tc>
          <w:tcPr>
            <w:tcW w:w="1920" w:type="dxa"/>
            <w:vAlign w:val="bottom"/>
            <w:tcBorders>
              <w:bottom w:val="single" w:sz="8" w:color="auto"/>
            </w:tcBorders>
          </w:tcPr>
          <w:p>
            <w:pPr>
              <w:jc w:val="right"/>
              <w:ind w:right="249"/>
              <w:spacing w:after="0" w:line="155" w:lineRule="exact"/>
              <w:rPr>
                <w:sz w:val="20"/>
                <w:szCs w:val="20"/>
                <w:color w:val="auto"/>
              </w:rPr>
            </w:pPr>
            <w:r>
              <w:rPr>
                <w:rFonts w:ascii="Arial" w:cs="Arial" w:eastAsia="Arial" w:hAnsi="Arial"/>
                <w:sz w:val="14"/>
                <w:szCs w:val="14"/>
                <w:color w:val="auto"/>
              </w:rPr>
              <w:t>14,980</w:t>
            </w:r>
          </w:p>
        </w:tc>
        <w:tc>
          <w:tcPr>
            <w:tcW w:w="820" w:type="dxa"/>
            <w:vAlign w:val="bottom"/>
            <w:tcBorders>
              <w:bottom w:val="single" w:sz="8" w:color="auto"/>
            </w:tcBorders>
          </w:tcPr>
          <w:p>
            <w:pPr>
              <w:jc w:val="right"/>
              <w:ind w:right="129"/>
              <w:spacing w:after="0" w:line="155" w:lineRule="exact"/>
              <w:rPr>
                <w:sz w:val="20"/>
                <w:szCs w:val="20"/>
                <w:color w:val="auto"/>
              </w:rPr>
            </w:pPr>
            <w:r>
              <w:rPr>
                <w:rFonts w:ascii="Arial" w:cs="Arial" w:eastAsia="Arial" w:hAnsi="Arial"/>
                <w:sz w:val="14"/>
                <w:szCs w:val="14"/>
                <w:color w:val="auto"/>
              </w:rPr>
              <w:t>20,431</w:t>
            </w:r>
          </w:p>
        </w:tc>
        <w:tc>
          <w:tcPr>
            <w:tcW w:w="820" w:type="dxa"/>
            <w:vAlign w:val="bottom"/>
            <w:tcBorders>
              <w:bottom w:val="single" w:sz="8" w:color="auto"/>
            </w:tcBorders>
          </w:tcPr>
          <w:p>
            <w:pPr>
              <w:jc w:val="right"/>
              <w:ind w:right="89"/>
              <w:spacing w:after="0" w:line="155" w:lineRule="exact"/>
              <w:rPr>
                <w:sz w:val="20"/>
                <w:szCs w:val="20"/>
                <w:color w:val="auto"/>
              </w:rPr>
            </w:pPr>
            <w:r>
              <w:rPr>
                <w:rFonts w:ascii="Arial" w:cs="Arial" w:eastAsia="Arial" w:hAnsi="Arial"/>
                <w:sz w:val="14"/>
                <w:szCs w:val="14"/>
                <w:color w:val="auto"/>
              </w:rPr>
              <w:t>3,070</w:t>
            </w:r>
          </w:p>
        </w:tc>
        <w:tc>
          <w:tcPr>
            <w:tcW w:w="660" w:type="dxa"/>
            <w:vAlign w:val="bottom"/>
            <w:tcBorders>
              <w:bottom w:val="single" w:sz="8" w:color="auto"/>
            </w:tcBorders>
          </w:tcPr>
          <w:p>
            <w:pPr>
              <w:jc w:val="right"/>
              <w:ind w:right="29"/>
              <w:spacing w:after="0" w:line="155" w:lineRule="exact"/>
              <w:rPr>
                <w:sz w:val="20"/>
                <w:szCs w:val="20"/>
                <w:color w:val="auto"/>
              </w:rPr>
            </w:pPr>
            <w:r>
              <w:rPr>
                <w:rFonts w:ascii="Arial" w:cs="Arial" w:eastAsia="Arial" w:hAnsi="Arial"/>
                <w:sz w:val="14"/>
                <w:szCs w:val="14"/>
                <w:color w:val="auto"/>
              </w:rPr>
              <w:t>13,171</w:t>
            </w:r>
          </w:p>
        </w:tc>
        <w:tc>
          <w:tcPr>
            <w:tcW w:w="900" w:type="dxa"/>
            <w:vAlign w:val="bottom"/>
            <w:tcBorders>
              <w:bottom w:val="single" w:sz="8" w:color="auto"/>
            </w:tcBorders>
          </w:tcPr>
          <w:p>
            <w:pPr>
              <w:jc w:val="right"/>
              <w:ind w:right="149"/>
              <w:spacing w:after="0" w:line="155" w:lineRule="exact"/>
              <w:rPr>
                <w:sz w:val="20"/>
                <w:szCs w:val="20"/>
                <w:color w:val="auto"/>
              </w:rPr>
            </w:pPr>
            <w:r>
              <w:rPr>
                <w:rFonts w:ascii="Arial" w:cs="Arial" w:eastAsia="Arial" w:hAnsi="Arial"/>
                <w:sz w:val="14"/>
                <w:szCs w:val="14"/>
                <w:color w:val="auto"/>
              </w:rPr>
              <w:t>7,479</w:t>
            </w:r>
          </w:p>
        </w:tc>
        <w:tc>
          <w:tcPr>
            <w:tcW w:w="860" w:type="dxa"/>
            <w:vAlign w:val="bottom"/>
            <w:tcBorders>
              <w:bottom w:val="single" w:sz="8" w:color="auto"/>
            </w:tcBorders>
          </w:tcPr>
          <w:p>
            <w:pPr>
              <w:jc w:val="right"/>
              <w:ind w:right="169"/>
              <w:spacing w:after="0" w:line="155" w:lineRule="exact"/>
              <w:rPr>
                <w:sz w:val="20"/>
                <w:szCs w:val="20"/>
                <w:color w:val="auto"/>
              </w:rPr>
            </w:pPr>
            <w:r>
              <w:rPr>
                <w:rFonts w:ascii="Arial" w:cs="Arial" w:eastAsia="Arial" w:hAnsi="Arial"/>
                <w:sz w:val="14"/>
                <w:szCs w:val="14"/>
                <w:color w:val="auto"/>
              </w:rPr>
              <w:t>6,650</w:t>
            </w:r>
          </w:p>
        </w:tc>
        <w:tc>
          <w:tcPr>
            <w:tcW w:w="7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1,454</w:t>
            </w:r>
          </w:p>
        </w:tc>
        <w:tc>
          <w:tcPr>
            <w:tcW w:w="980" w:type="dxa"/>
            <w:vAlign w:val="bottom"/>
            <w:tcBorders>
              <w:bottom w:val="single" w:sz="8" w:color="auto"/>
            </w:tcBorders>
            <w:gridSpan w:val="2"/>
          </w:tcPr>
          <w:p>
            <w:pPr>
              <w:jc w:val="right"/>
              <w:ind w:right="151"/>
              <w:spacing w:after="0" w:line="155" w:lineRule="exact"/>
              <w:rPr>
                <w:sz w:val="20"/>
                <w:szCs w:val="20"/>
                <w:color w:val="auto"/>
              </w:rPr>
            </w:pPr>
            <w:r>
              <w:rPr>
                <w:rFonts w:ascii="Arial" w:cs="Arial" w:eastAsia="Arial" w:hAnsi="Arial"/>
                <w:sz w:val="14"/>
                <w:szCs w:val="14"/>
                <w:color w:val="auto"/>
              </w:rPr>
              <w:t>67,235</w:t>
            </w:r>
          </w:p>
        </w:tc>
      </w:tr>
      <w:tr>
        <w:trPr>
          <w:trHeight w:val="160"/>
        </w:trPr>
        <w:tc>
          <w:tcPr>
            <w:tcW w:w="3720" w:type="dxa"/>
            <w:vAlign w:val="bottom"/>
          </w:tcPr>
          <w:p>
            <w:pPr>
              <w:spacing w:after="0"/>
              <w:rPr>
                <w:sz w:val="20"/>
                <w:szCs w:val="20"/>
                <w:color w:val="auto"/>
              </w:rPr>
            </w:pPr>
            <w:r>
              <w:rPr>
                <w:rFonts w:ascii="Arial" w:cs="Arial" w:eastAsia="Arial" w:hAnsi="Arial"/>
                <w:sz w:val="14"/>
                <w:szCs w:val="14"/>
                <w:color w:val="auto"/>
              </w:rPr>
              <w:t>Production costs excluding taxes</w:t>
            </w:r>
          </w:p>
        </w:tc>
        <w:tc>
          <w:tcPr>
            <w:tcW w:w="1920" w:type="dxa"/>
            <w:vAlign w:val="bottom"/>
          </w:tcPr>
          <w:p>
            <w:pPr>
              <w:jc w:val="right"/>
              <w:ind w:right="249"/>
              <w:spacing w:after="0"/>
              <w:rPr>
                <w:sz w:val="20"/>
                <w:szCs w:val="20"/>
                <w:color w:val="auto"/>
              </w:rPr>
            </w:pPr>
            <w:r>
              <w:rPr>
                <w:rFonts w:ascii="Arial" w:cs="Arial" w:eastAsia="Arial" w:hAnsi="Arial"/>
                <w:sz w:val="14"/>
                <w:szCs w:val="14"/>
                <w:color w:val="auto"/>
              </w:rPr>
              <w:t>2,516</w:t>
            </w:r>
          </w:p>
        </w:tc>
        <w:tc>
          <w:tcPr>
            <w:tcW w:w="820" w:type="dxa"/>
            <w:vAlign w:val="bottom"/>
          </w:tcPr>
          <w:p>
            <w:pPr>
              <w:jc w:val="right"/>
              <w:ind w:right="129"/>
              <w:spacing w:after="0"/>
              <w:rPr>
                <w:sz w:val="20"/>
                <w:szCs w:val="20"/>
                <w:color w:val="auto"/>
              </w:rPr>
            </w:pPr>
            <w:r>
              <w:rPr>
                <w:rFonts w:ascii="Arial" w:cs="Arial" w:eastAsia="Arial" w:hAnsi="Arial"/>
                <w:sz w:val="14"/>
                <w:szCs w:val="14"/>
                <w:color w:val="auto"/>
              </w:rPr>
              <w:t>1,582</w:t>
            </w:r>
          </w:p>
        </w:tc>
        <w:tc>
          <w:tcPr>
            <w:tcW w:w="820" w:type="dxa"/>
            <w:vAlign w:val="bottom"/>
          </w:tcPr>
          <w:p>
            <w:pPr>
              <w:jc w:val="right"/>
              <w:ind w:right="89"/>
              <w:spacing w:after="0"/>
              <w:rPr>
                <w:sz w:val="20"/>
                <w:szCs w:val="20"/>
                <w:color w:val="auto"/>
              </w:rPr>
            </w:pPr>
            <w:r>
              <w:rPr>
                <w:rFonts w:ascii="Arial" w:cs="Arial" w:eastAsia="Arial" w:hAnsi="Arial"/>
                <w:sz w:val="14"/>
                <w:szCs w:val="14"/>
                <w:color w:val="auto"/>
              </w:rPr>
              <w:t>395</w:t>
            </w:r>
          </w:p>
        </w:tc>
        <w:tc>
          <w:tcPr>
            <w:tcW w:w="660" w:type="dxa"/>
            <w:vAlign w:val="bottom"/>
          </w:tcPr>
          <w:p>
            <w:pPr>
              <w:jc w:val="right"/>
              <w:ind w:right="29"/>
              <w:spacing w:after="0"/>
              <w:rPr>
                <w:sz w:val="20"/>
                <w:szCs w:val="20"/>
                <w:color w:val="auto"/>
              </w:rPr>
            </w:pPr>
            <w:r>
              <w:rPr>
                <w:rFonts w:ascii="Arial" w:cs="Arial" w:eastAsia="Arial" w:hAnsi="Arial"/>
                <w:sz w:val="14"/>
                <w:szCs w:val="14"/>
                <w:color w:val="auto"/>
              </w:rPr>
              <w:t>1,540</w:t>
            </w:r>
          </w:p>
        </w:tc>
        <w:tc>
          <w:tcPr>
            <w:tcW w:w="900" w:type="dxa"/>
            <w:vAlign w:val="bottom"/>
          </w:tcPr>
          <w:p>
            <w:pPr>
              <w:jc w:val="right"/>
              <w:ind w:right="149"/>
              <w:spacing w:after="0"/>
              <w:rPr>
                <w:sz w:val="20"/>
                <w:szCs w:val="20"/>
                <w:color w:val="auto"/>
              </w:rPr>
            </w:pPr>
            <w:r>
              <w:rPr>
                <w:rFonts w:ascii="Arial" w:cs="Arial" w:eastAsia="Arial" w:hAnsi="Arial"/>
                <w:sz w:val="14"/>
                <w:szCs w:val="14"/>
                <w:color w:val="auto"/>
              </w:rPr>
              <w:t>2,486</w:t>
            </w:r>
          </w:p>
        </w:tc>
        <w:tc>
          <w:tcPr>
            <w:tcW w:w="860" w:type="dxa"/>
            <w:vAlign w:val="bottom"/>
          </w:tcPr>
          <w:p>
            <w:pPr>
              <w:jc w:val="right"/>
              <w:spacing w:after="0"/>
              <w:rPr>
                <w:sz w:val="20"/>
                <w:szCs w:val="20"/>
                <w:color w:val="auto"/>
              </w:rPr>
            </w:pPr>
            <w:r>
              <w:rPr>
                <w:rFonts w:ascii="Arial" w:cs="Arial" w:eastAsia="Arial" w:hAnsi="Arial"/>
                <w:sz w:val="14"/>
                <w:szCs w:val="14"/>
                <w:color w:val="auto"/>
              </w:rPr>
              <w:t>3,130[B]</w:t>
            </w:r>
          </w:p>
        </w:tc>
        <w:tc>
          <w:tcPr>
            <w:tcW w:w="740" w:type="dxa"/>
            <w:vAlign w:val="bottom"/>
          </w:tcPr>
          <w:p>
            <w:pPr>
              <w:jc w:val="right"/>
              <w:spacing w:after="0"/>
              <w:rPr>
                <w:sz w:val="20"/>
                <w:szCs w:val="20"/>
                <w:color w:val="auto"/>
              </w:rPr>
            </w:pPr>
            <w:r>
              <w:rPr>
                <w:rFonts w:ascii="Arial" w:cs="Arial" w:eastAsia="Arial" w:hAnsi="Arial"/>
                <w:sz w:val="14"/>
                <w:szCs w:val="14"/>
                <w:color w:val="auto"/>
              </w:rPr>
              <w:t>255</w:t>
            </w:r>
          </w:p>
        </w:tc>
        <w:tc>
          <w:tcPr>
            <w:tcW w:w="8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11,904[B]</w:t>
            </w:r>
          </w:p>
        </w:tc>
      </w:tr>
      <w:tr>
        <w:trPr>
          <w:trHeight w:val="162"/>
        </w:trPr>
        <w:tc>
          <w:tcPr>
            <w:tcW w:w="3720" w:type="dxa"/>
            <w:vAlign w:val="bottom"/>
          </w:tcPr>
          <w:p>
            <w:pPr>
              <w:spacing w:after="0"/>
              <w:rPr>
                <w:sz w:val="20"/>
                <w:szCs w:val="20"/>
                <w:color w:val="auto"/>
              </w:rPr>
            </w:pPr>
            <w:r>
              <w:rPr>
                <w:rFonts w:ascii="Arial" w:cs="Arial" w:eastAsia="Arial" w:hAnsi="Arial"/>
                <w:sz w:val="14"/>
                <w:szCs w:val="14"/>
                <w:color w:val="auto"/>
              </w:rPr>
              <w:t>Taxes other than income tax [C]</w:t>
            </w:r>
          </w:p>
        </w:tc>
        <w:tc>
          <w:tcPr>
            <w:tcW w:w="1920" w:type="dxa"/>
            <w:vAlign w:val="bottom"/>
          </w:tcPr>
          <w:p>
            <w:pPr>
              <w:jc w:val="right"/>
              <w:ind w:right="249"/>
              <w:spacing w:after="0"/>
              <w:rPr>
                <w:sz w:val="20"/>
                <w:szCs w:val="20"/>
                <w:color w:val="auto"/>
              </w:rPr>
            </w:pPr>
            <w:r>
              <w:rPr>
                <w:rFonts w:ascii="Arial" w:cs="Arial" w:eastAsia="Arial" w:hAnsi="Arial"/>
                <w:sz w:val="14"/>
                <w:szCs w:val="14"/>
                <w:color w:val="auto"/>
              </w:rPr>
              <w:t>350</w:t>
            </w:r>
          </w:p>
        </w:tc>
        <w:tc>
          <w:tcPr>
            <w:tcW w:w="820" w:type="dxa"/>
            <w:vAlign w:val="bottom"/>
          </w:tcPr>
          <w:p>
            <w:pPr>
              <w:jc w:val="right"/>
              <w:ind w:right="129"/>
              <w:spacing w:after="0"/>
              <w:rPr>
                <w:sz w:val="20"/>
                <w:szCs w:val="20"/>
                <w:color w:val="auto"/>
              </w:rPr>
            </w:pPr>
            <w:r>
              <w:rPr>
                <w:rFonts w:ascii="Arial" w:cs="Arial" w:eastAsia="Arial" w:hAnsi="Arial"/>
                <w:sz w:val="14"/>
                <w:szCs w:val="14"/>
                <w:color w:val="auto"/>
              </w:rPr>
              <w:t>410</w:t>
            </w:r>
          </w:p>
        </w:tc>
        <w:tc>
          <w:tcPr>
            <w:tcW w:w="820" w:type="dxa"/>
            <w:vAlign w:val="bottom"/>
          </w:tcPr>
          <w:p>
            <w:pPr>
              <w:jc w:val="right"/>
              <w:ind w:right="89"/>
              <w:spacing w:after="0"/>
              <w:rPr>
                <w:sz w:val="20"/>
                <w:szCs w:val="20"/>
                <w:color w:val="auto"/>
              </w:rPr>
            </w:pPr>
            <w:r>
              <w:rPr>
                <w:rFonts w:ascii="Arial" w:cs="Arial" w:eastAsia="Arial" w:hAnsi="Arial"/>
                <w:sz w:val="14"/>
                <w:szCs w:val="14"/>
                <w:color w:val="auto"/>
              </w:rPr>
              <w:t>322</w:t>
            </w:r>
          </w:p>
        </w:tc>
        <w:tc>
          <w:tcPr>
            <w:tcW w:w="660" w:type="dxa"/>
            <w:vAlign w:val="bottom"/>
          </w:tcPr>
          <w:p>
            <w:pPr>
              <w:jc w:val="right"/>
              <w:ind w:right="29"/>
              <w:spacing w:after="0"/>
              <w:rPr>
                <w:sz w:val="20"/>
                <w:szCs w:val="20"/>
                <w:color w:val="auto"/>
              </w:rPr>
            </w:pPr>
            <w:r>
              <w:rPr>
                <w:rFonts w:ascii="Arial" w:cs="Arial" w:eastAsia="Arial" w:hAnsi="Arial"/>
                <w:sz w:val="14"/>
                <w:szCs w:val="14"/>
                <w:color w:val="auto"/>
              </w:rPr>
              <w:t>1,248</w:t>
            </w:r>
          </w:p>
        </w:tc>
        <w:tc>
          <w:tcPr>
            <w:tcW w:w="900" w:type="dxa"/>
            <w:vAlign w:val="bottom"/>
          </w:tcPr>
          <w:p>
            <w:pPr>
              <w:jc w:val="right"/>
              <w:ind w:right="149"/>
              <w:spacing w:after="0"/>
              <w:rPr>
                <w:sz w:val="20"/>
                <w:szCs w:val="20"/>
                <w:color w:val="auto"/>
              </w:rPr>
            </w:pPr>
            <w:r>
              <w:rPr>
                <w:rFonts w:ascii="Arial" w:cs="Arial" w:eastAsia="Arial" w:hAnsi="Arial"/>
                <w:sz w:val="14"/>
                <w:szCs w:val="14"/>
                <w:color w:val="auto"/>
              </w:rPr>
              <w:t>39</w:t>
            </w:r>
          </w:p>
        </w:tc>
        <w:tc>
          <w:tcPr>
            <w:tcW w:w="860" w:type="dxa"/>
            <w:vAlign w:val="bottom"/>
          </w:tcPr>
          <w:p>
            <w:pPr>
              <w:jc w:val="right"/>
              <w:ind w:right="169"/>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145</w:t>
            </w:r>
          </w:p>
        </w:tc>
        <w:tc>
          <w:tcPr>
            <w:tcW w:w="980" w:type="dxa"/>
            <w:vAlign w:val="bottom"/>
            <w:gridSpan w:val="2"/>
          </w:tcPr>
          <w:p>
            <w:pPr>
              <w:jc w:val="right"/>
              <w:ind w:right="151"/>
              <w:spacing w:after="0"/>
              <w:rPr>
                <w:sz w:val="20"/>
                <w:szCs w:val="20"/>
                <w:color w:val="auto"/>
              </w:rPr>
            </w:pPr>
            <w:r>
              <w:rPr>
                <w:rFonts w:ascii="Arial" w:cs="Arial" w:eastAsia="Arial" w:hAnsi="Arial"/>
                <w:sz w:val="14"/>
                <w:szCs w:val="14"/>
                <w:color w:val="auto"/>
              </w:rPr>
              <w:t>2,514</w:t>
            </w:r>
          </w:p>
        </w:tc>
      </w:tr>
      <w:tr>
        <w:trPr>
          <w:trHeight w:val="162"/>
        </w:trPr>
        <w:tc>
          <w:tcPr>
            <w:tcW w:w="3720" w:type="dxa"/>
            <w:vAlign w:val="bottom"/>
          </w:tcPr>
          <w:p>
            <w:pPr>
              <w:spacing w:after="0"/>
              <w:rPr>
                <w:sz w:val="20"/>
                <w:szCs w:val="20"/>
                <w:color w:val="auto"/>
              </w:rPr>
            </w:pPr>
            <w:r>
              <w:rPr>
                <w:rFonts w:ascii="Arial" w:cs="Arial" w:eastAsia="Arial" w:hAnsi="Arial"/>
                <w:sz w:val="14"/>
                <w:szCs w:val="14"/>
                <w:color w:val="auto"/>
              </w:rPr>
              <w:t>Exploration</w:t>
            </w:r>
          </w:p>
        </w:tc>
        <w:tc>
          <w:tcPr>
            <w:tcW w:w="1920" w:type="dxa"/>
            <w:vAlign w:val="bottom"/>
          </w:tcPr>
          <w:p>
            <w:pPr>
              <w:jc w:val="right"/>
              <w:ind w:right="249"/>
              <w:spacing w:after="0"/>
              <w:rPr>
                <w:sz w:val="20"/>
                <w:szCs w:val="20"/>
                <w:color w:val="auto"/>
              </w:rPr>
            </w:pPr>
            <w:r>
              <w:rPr>
                <w:rFonts w:ascii="Arial" w:cs="Arial" w:eastAsia="Arial" w:hAnsi="Arial"/>
                <w:sz w:val="14"/>
                <w:szCs w:val="14"/>
                <w:color w:val="auto"/>
              </w:rPr>
              <w:t>398</w:t>
            </w:r>
          </w:p>
        </w:tc>
        <w:tc>
          <w:tcPr>
            <w:tcW w:w="820" w:type="dxa"/>
            <w:vAlign w:val="bottom"/>
          </w:tcPr>
          <w:p>
            <w:pPr>
              <w:jc w:val="right"/>
              <w:ind w:right="129"/>
              <w:spacing w:after="0"/>
              <w:rPr>
                <w:sz w:val="20"/>
                <w:szCs w:val="20"/>
                <w:color w:val="auto"/>
              </w:rPr>
            </w:pPr>
            <w:r>
              <w:rPr>
                <w:rFonts w:ascii="Arial" w:cs="Arial" w:eastAsia="Arial" w:hAnsi="Arial"/>
                <w:sz w:val="14"/>
                <w:szCs w:val="14"/>
                <w:color w:val="auto"/>
              </w:rPr>
              <w:t>461</w:t>
            </w:r>
          </w:p>
        </w:tc>
        <w:tc>
          <w:tcPr>
            <w:tcW w:w="820" w:type="dxa"/>
            <w:vAlign w:val="bottom"/>
          </w:tcPr>
          <w:p>
            <w:pPr>
              <w:jc w:val="right"/>
              <w:ind w:right="89"/>
              <w:spacing w:after="0"/>
              <w:rPr>
                <w:sz w:val="20"/>
                <w:szCs w:val="20"/>
                <w:color w:val="auto"/>
              </w:rPr>
            </w:pPr>
            <w:r>
              <w:rPr>
                <w:rFonts w:ascii="Arial" w:cs="Arial" w:eastAsia="Arial" w:hAnsi="Arial"/>
                <w:sz w:val="14"/>
                <w:szCs w:val="14"/>
                <w:color w:val="auto"/>
              </w:rPr>
              <w:t>175</w:t>
            </w:r>
          </w:p>
        </w:tc>
        <w:tc>
          <w:tcPr>
            <w:tcW w:w="660" w:type="dxa"/>
            <w:vAlign w:val="bottom"/>
          </w:tcPr>
          <w:p>
            <w:pPr>
              <w:jc w:val="right"/>
              <w:ind w:right="29"/>
              <w:spacing w:after="0"/>
              <w:rPr>
                <w:sz w:val="20"/>
                <w:szCs w:val="20"/>
                <w:color w:val="auto"/>
              </w:rPr>
            </w:pPr>
            <w:r>
              <w:rPr>
                <w:rFonts w:ascii="Arial" w:cs="Arial" w:eastAsia="Arial" w:hAnsi="Arial"/>
                <w:sz w:val="14"/>
                <w:szCs w:val="14"/>
                <w:color w:val="auto"/>
              </w:rPr>
              <w:t>699</w:t>
            </w:r>
          </w:p>
        </w:tc>
        <w:tc>
          <w:tcPr>
            <w:tcW w:w="900" w:type="dxa"/>
            <w:vAlign w:val="bottom"/>
          </w:tcPr>
          <w:p>
            <w:pPr>
              <w:jc w:val="right"/>
              <w:ind w:right="149"/>
              <w:spacing w:after="0"/>
              <w:rPr>
                <w:sz w:val="20"/>
                <w:szCs w:val="20"/>
                <w:color w:val="auto"/>
              </w:rPr>
            </w:pPr>
            <w:r>
              <w:rPr>
                <w:rFonts w:ascii="Arial" w:cs="Arial" w:eastAsia="Arial" w:hAnsi="Arial"/>
                <w:sz w:val="14"/>
                <w:szCs w:val="14"/>
                <w:color w:val="auto"/>
              </w:rPr>
              <w:t>801</w:t>
            </w:r>
          </w:p>
        </w:tc>
        <w:tc>
          <w:tcPr>
            <w:tcW w:w="860" w:type="dxa"/>
            <w:vAlign w:val="bottom"/>
          </w:tcPr>
          <w:p>
            <w:pPr>
              <w:jc w:val="right"/>
              <w:ind w:right="169"/>
              <w:spacing w:after="0"/>
              <w:rPr>
                <w:sz w:val="20"/>
                <w:szCs w:val="20"/>
                <w:color w:val="auto"/>
              </w:rPr>
            </w:pPr>
            <w:r>
              <w:rPr>
                <w:rFonts w:ascii="Arial" w:cs="Arial" w:eastAsia="Arial" w:hAnsi="Arial"/>
                <w:sz w:val="14"/>
                <w:szCs w:val="14"/>
                <w:color w:val="auto"/>
              </w:rPr>
              <w:t>372</w:t>
            </w:r>
          </w:p>
        </w:tc>
        <w:tc>
          <w:tcPr>
            <w:tcW w:w="740" w:type="dxa"/>
            <w:vAlign w:val="bottom"/>
          </w:tcPr>
          <w:p>
            <w:pPr>
              <w:jc w:val="right"/>
              <w:spacing w:after="0"/>
              <w:rPr>
                <w:sz w:val="20"/>
                <w:szCs w:val="20"/>
                <w:color w:val="auto"/>
              </w:rPr>
            </w:pPr>
            <w:r>
              <w:rPr>
                <w:rFonts w:ascii="Arial" w:cs="Arial" w:eastAsia="Arial" w:hAnsi="Arial"/>
                <w:sz w:val="14"/>
                <w:szCs w:val="14"/>
                <w:color w:val="auto"/>
              </w:rPr>
              <w:t>198</w:t>
            </w:r>
          </w:p>
        </w:tc>
        <w:tc>
          <w:tcPr>
            <w:tcW w:w="980" w:type="dxa"/>
            <w:vAlign w:val="bottom"/>
            <w:gridSpan w:val="2"/>
          </w:tcPr>
          <w:p>
            <w:pPr>
              <w:jc w:val="right"/>
              <w:ind w:right="151"/>
              <w:spacing w:after="0"/>
              <w:rPr>
                <w:sz w:val="20"/>
                <w:szCs w:val="20"/>
                <w:color w:val="auto"/>
              </w:rPr>
            </w:pPr>
            <w:r>
              <w:rPr>
                <w:rFonts w:ascii="Arial" w:cs="Arial" w:eastAsia="Arial" w:hAnsi="Arial"/>
                <w:sz w:val="14"/>
                <w:szCs w:val="14"/>
                <w:color w:val="auto"/>
              </w:rPr>
              <w:t>3,104</w:t>
            </w:r>
          </w:p>
        </w:tc>
      </w:tr>
      <w:tr>
        <w:trPr>
          <w:trHeight w:val="162"/>
        </w:trPr>
        <w:tc>
          <w:tcPr>
            <w:tcW w:w="3720" w:type="dxa"/>
            <w:vAlign w:val="bottom"/>
          </w:tcPr>
          <w:p>
            <w:pPr>
              <w:spacing w:after="0"/>
              <w:rPr>
                <w:sz w:val="20"/>
                <w:szCs w:val="20"/>
                <w:color w:val="auto"/>
              </w:rPr>
            </w:pPr>
            <w:r>
              <w:rPr>
                <w:rFonts w:ascii="Arial" w:cs="Arial" w:eastAsia="Arial" w:hAnsi="Arial"/>
                <w:sz w:val="14"/>
                <w:szCs w:val="14"/>
                <w:color w:val="auto"/>
              </w:rPr>
              <w:t>Depreciation, depletion and amortisation</w:t>
            </w:r>
          </w:p>
        </w:tc>
        <w:tc>
          <w:tcPr>
            <w:tcW w:w="1920" w:type="dxa"/>
            <w:vAlign w:val="bottom"/>
          </w:tcPr>
          <w:p>
            <w:pPr>
              <w:jc w:val="right"/>
              <w:ind w:right="249"/>
              <w:spacing w:after="0"/>
              <w:rPr>
                <w:sz w:val="20"/>
                <w:szCs w:val="20"/>
                <w:color w:val="auto"/>
              </w:rPr>
            </w:pPr>
            <w:r>
              <w:rPr>
                <w:rFonts w:ascii="Arial" w:cs="Arial" w:eastAsia="Arial" w:hAnsi="Arial"/>
                <w:sz w:val="14"/>
                <w:szCs w:val="14"/>
                <w:color w:val="auto"/>
              </w:rPr>
              <w:t>1,531</w:t>
            </w:r>
          </w:p>
        </w:tc>
        <w:tc>
          <w:tcPr>
            <w:tcW w:w="820" w:type="dxa"/>
            <w:vAlign w:val="bottom"/>
          </w:tcPr>
          <w:p>
            <w:pPr>
              <w:jc w:val="right"/>
              <w:ind w:right="129"/>
              <w:spacing w:after="0"/>
              <w:rPr>
                <w:sz w:val="20"/>
                <w:szCs w:val="20"/>
                <w:color w:val="auto"/>
              </w:rPr>
            </w:pPr>
            <w:r>
              <w:rPr>
                <w:rFonts w:ascii="Arial" w:cs="Arial" w:eastAsia="Arial" w:hAnsi="Arial"/>
                <w:sz w:val="14"/>
                <w:szCs w:val="14"/>
                <w:color w:val="auto"/>
              </w:rPr>
              <w:t>1,222</w:t>
            </w:r>
          </w:p>
        </w:tc>
        <w:tc>
          <w:tcPr>
            <w:tcW w:w="820" w:type="dxa"/>
            <w:vAlign w:val="bottom"/>
          </w:tcPr>
          <w:p>
            <w:pPr>
              <w:jc w:val="right"/>
              <w:ind w:right="89"/>
              <w:spacing w:after="0"/>
              <w:rPr>
                <w:sz w:val="20"/>
                <w:szCs w:val="20"/>
                <w:color w:val="auto"/>
              </w:rPr>
            </w:pPr>
            <w:r>
              <w:rPr>
                <w:rFonts w:ascii="Arial" w:cs="Arial" w:eastAsia="Arial" w:hAnsi="Arial"/>
                <w:sz w:val="14"/>
                <w:szCs w:val="14"/>
                <w:color w:val="auto"/>
              </w:rPr>
              <w:t>304</w:t>
            </w:r>
          </w:p>
        </w:tc>
        <w:tc>
          <w:tcPr>
            <w:tcW w:w="660" w:type="dxa"/>
            <w:vAlign w:val="bottom"/>
          </w:tcPr>
          <w:p>
            <w:pPr>
              <w:jc w:val="right"/>
              <w:ind w:right="29"/>
              <w:spacing w:after="0"/>
              <w:rPr>
                <w:sz w:val="20"/>
                <w:szCs w:val="20"/>
                <w:color w:val="auto"/>
              </w:rPr>
            </w:pPr>
            <w:r>
              <w:rPr>
                <w:rFonts w:ascii="Arial" w:cs="Arial" w:eastAsia="Arial" w:hAnsi="Arial"/>
                <w:sz w:val="14"/>
                <w:szCs w:val="14"/>
                <w:color w:val="auto"/>
              </w:rPr>
              <w:t>1,261</w:t>
            </w:r>
          </w:p>
        </w:tc>
        <w:tc>
          <w:tcPr>
            <w:tcW w:w="900" w:type="dxa"/>
            <w:vAlign w:val="bottom"/>
          </w:tcPr>
          <w:p>
            <w:pPr>
              <w:jc w:val="right"/>
              <w:ind w:right="149"/>
              <w:spacing w:after="0"/>
              <w:rPr>
                <w:sz w:val="20"/>
                <w:szCs w:val="20"/>
                <w:color w:val="auto"/>
              </w:rPr>
            </w:pPr>
            <w:r>
              <w:rPr>
                <w:rFonts w:ascii="Arial" w:cs="Arial" w:eastAsia="Arial" w:hAnsi="Arial"/>
                <w:sz w:val="14"/>
                <w:szCs w:val="14"/>
                <w:color w:val="auto"/>
              </w:rPr>
              <w:t>3,837</w:t>
            </w:r>
          </w:p>
        </w:tc>
        <w:tc>
          <w:tcPr>
            <w:tcW w:w="860" w:type="dxa"/>
            <w:vAlign w:val="bottom"/>
          </w:tcPr>
          <w:p>
            <w:pPr>
              <w:jc w:val="right"/>
              <w:ind w:right="169"/>
              <w:spacing w:after="0"/>
              <w:rPr>
                <w:sz w:val="20"/>
                <w:szCs w:val="20"/>
                <w:color w:val="auto"/>
              </w:rPr>
            </w:pPr>
            <w:r>
              <w:rPr>
                <w:rFonts w:ascii="Arial" w:cs="Arial" w:eastAsia="Arial" w:hAnsi="Arial"/>
                <w:sz w:val="14"/>
                <w:szCs w:val="14"/>
                <w:color w:val="auto"/>
              </w:rPr>
              <w:t>2,037</w:t>
            </w:r>
          </w:p>
        </w:tc>
        <w:tc>
          <w:tcPr>
            <w:tcW w:w="740" w:type="dxa"/>
            <w:vAlign w:val="bottom"/>
          </w:tcPr>
          <w:p>
            <w:pPr>
              <w:jc w:val="right"/>
              <w:spacing w:after="0"/>
              <w:rPr>
                <w:sz w:val="20"/>
                <w:szCs w:val="20"/>
                <w:color w:val="auto"/>
              </w:rPr>
            </w:pPr>
            <w:r>
              <w:rPr>
                <w:rFonts w:ascii="Arial" w:cs="Arial" w:eastAsia="Arial" w:hAnsi="Arial"/>
                <w:sz w:val="14"/>
                <w:szCs w:val="14"/>
                <w:color w:val="auto"/>
              </w:rPr>
              <w:t>315</w:t>
            </w:r>
          </w:p>
        </w:tc>
        <w:tc>
          <w:tcPr>
            <w:tcW w:w="980" w:type="dxa"/>
            <w:vAlign w:val="bottom"/>
            <w:gridSpan w:val="2"/>
          </w:tcPr>
          <w:p>
            <w:pPr>
              <w:jc w:val="right"/>
              <w:ind w:right="151"/>
              <w:spacing w:after="0"/>
              <w:rPr>
                <w:sz w:val="20"/>
                <w:szCs w:val="20"/>
                <w:color w:val="auto"/>
              </w:rPr>
            </w:pPr>
            <w:r>
              <w:rPr>
                <w:rFonts w:ascii="Arial" w:cs="Arial" w:eastAsia="Arial" w:hAnsi="Arial"/>
                <w:sz w:val="14"/>
                <w:szCs w:val="14"/>
                <w:color w:val="auto"/>
              </w:rPr>
              <w:t>10,507</w:t>
            </w:r>
          </w:p>
        </w:tc>
      </w:tr>
      <w:tr>
        <w:trPr>
          <w:trHeight w:val="157"/>
        </w:trPr>
        <w:tc>
          <w:tcPr>
            <w:tcW w:w="3720" w:type="dxa"/>
            <w:vAlign w:val="bottom"/>
            <w:tcBorders>
              <w:bottom w:val="single" w:sz="8" w:color="auto"/>
            </w:tcBorders>
          </w:tcPr>
          <w:p>
            <w:pPr>
              <w:spacing w:after="0" w:line="157" w:lineRule="exact"/>
              <w:rPr>
                <w:sz w:val="20"/>
                <w:szCs w:val="20"/>
                <w:color w:val="auto"/>
              </w:rPr>
            </w:pPr>
            <w:r>
              <w:rPr>
                <w:rFonts w:ascii="Arial" w:cs="Arial" w:eastAsia="Arial" w:hAnsi="Arial"/>
                <w:sz w:val="14"/>
                <w:szCs w:val="14"/>
                <w:color w:val="auto"/>
              </w:rPr>
              <w:t>Other costs/(income)</w:t>
            </w:r>
          </w:p>
        </w:tc>
        <w:tc>
          <w:tcPr>
            <w:tcW w:w="1920" w:type="dxa"/>
            <w:vAlign w:val="bottom"/>
            <w:tcBorders>
              <w:bottom w:val="single" w:sz="8" w:color="auto"/>
            </w:tcBorders>
          </w:tcPr>
          <w:p>
            <w:pPr>
              <w:jc w:val="right"/>
              <w:ind w:right="249"/>
              <w:spacing w:after="0" w:line="157" w:lineRule="exact"/>
              <w:rPr>
                <w:sz w:val="20"/>
                <w:szCs w:val="20"/>
                <w:color w:val="auto"/>
              </w:rPr>
            </w:pPr>
            <w:r>
              <w:rPr>
                <w:rFonts w:ascii="Arial" w:cs="Arial" w:eastAsia="Arial" w:hAnsi="Arial"/>
                <w:sz w:val="14"/>
                <w:szCs w:val="14"/>
                <w:color w:val="auto"/>
              </w:rPr>
              <w:t>1,420</w:t>
            </w:r>
          </w:p>
        </w:tc>
        <w:tc>
          <w:tcPr>
            <w:tcW w:w="820" w:type="dxa"/>
            <w:vAlign w:val="bottom"/>
            <w:tcBorders>
              <w:bottom w:val="single" w:sz="8" w:color="auto"/>
            </w:tcBorders>
          </w:tcPr>
          <w:p>
            <w:pPr>
              <w:jc w:val="right"/>
              <w:ind w:right="129"/>
              <w:spacing w:after="0" w:line="157" w:lineRule="exact"/>
              <w:rPr>
                <w:sz w:val="20"/>
                <w:szCs w:val="20"/>
                <w:color w:val="auto"/>
              </w:rPr>
            </w:pPr>
            <w:r>
              <w:rPr>
                <w:rFonts w:ascii="Arial" w:cs="Arial" w:eastAsia="Arial" w:hAnsi="Arial"/>
                <w:sz w:val="14"/>
                <w:szCs w:val="14"/>
                <w:color w:val="auto"/>
              </w:rPr>
              <w:t>3,157</w:t>
            </w:r>
          </w:p>
        </w:tc>
        <w:tc>
          <w:tcPr>
            <w:tcW w:w="820" w:type="dxa"/>
            <w:vAlign w:val="bottom"/>
            <w:tcBorders>
              <w:bottom w:val="single" w:sz="8" w:color="auto"/>
            </w:tcBorders>
          </w:tcPr>
          <w:p>
            <w:pPr>
              <w:jc w:val="right"/>
              <w:ind w:right="49"/>
              <w:spacing w:after="0" w:line="157" w:lineRule="exact"/>
              <w:rPr>
                <w:sz w:val="20"/>
                <w:szCs w:val="20"/>
                <w:color w:val="auto"/>
              </w:rPr>
            </w:pPr>
            <w:r>
              <w:rPr>
                <w:rFonts w:ascii="Arial" w:cs="Arial" w:eastAsia="Arial" w:hAnsi="Arial"/>
                <w:sz w:val="14"/>
                <w:szCs w:val="14"/>
                <w:color w:val="auto"/>
              </w:rPr>
              <w:t>(1,769)</w:t>
            </w:r>
          </w:p>
        </w:tc>
        <w:tc>
          <w:tcPr>
            <w:tcW w:w="660" w:type="dxa"/>
            <w:vAlign w:val="bottom"/>
            <w:tcBorders>
              <w:bottom w:val="single" w:sz="8" w:color="auto"/>
            </w:tcBorders>
          </w:tcPr>
          <w:p>
            <w:pPr>
              <w:jc w:val="right"/>
              <w:spacing w:after="0" w:line="157" w:lineRule="exact"/>
              <w:rPr>
                <w:sz w:val="20"/>
                <w:szCs w:val="20"/>
                <w:color w:val="auto"/>
              </w:rPr>
            </w:pPr>
            <w:r>
              <w:rPr>
                <w:rFonts w:ascii="Arial" w:cs="Arial" w:eastAsia="Arial" w:hAnsi="Arial"/>
                <w:sz w:val="14"/>
                <w:szCs w:val="14"/>
                <w:color w:val="auto"/>
              </w:rPr>
              <w:t>(322)</w:t>
            </w:r>
          </w:p>
        </w:tc>
        <w:tc>
          <w:tcPr>
            <w:tcW w:w="900" w:type="dxa"/>
            <w:vAlign w:val="bottom"/>
            <w:tcBorders>
              <w:bottom w:val="single" w:sz="8" w:color="auto"/>
            </w:tcBorders>
          </w:tcPr>
          <w:p>
            <w:pPr>
              <w:jc w:val="right"/>
              <w:ind w:right="149"/>
              <w:spacing w:after="0" w:line="157" w:lineRule="exact"/>
              <w:rPr>
                <w:sz w:val="20"/>
                <w:szCs w:val="20"/>
                <w:color w:val="auto"/>
              </w:rPr>
            </w:pPr>
            <w:r>
              <w:rPr>
                <w:rFonts w:ascii="Arial" w:cs="Arial" w:eastAsia="Arial" w:hAnsi="Arial"/>
                <w:sz w:val="14"/>
                <w:szCs w:val="14"/>
                <w:color w:val="auto"/>
              </w:rPr>
              <w:t>421</w:t>
            </w:r>
          </w:p>
        </w:tc>
        <w:tc>
          <w:tcPr>
            <w:tcW w:w="860" w:type="dxa"/>
            <w:vAlign w:val="bottom"/>
            <w:tcBorders>
              <w:bottom w:val="single" w:sz="8" w:color="auto"/>
            </w:tcBorders>
          </w:tcPr>
          <w:p>
            <w:pPr>
              <w:jc w:val="right"/>
              <w:spacing w:after="0" w:line="157" w:lineRule="exact"/>
              <w:rPr>
                <w:sz w:val="20"/>
                <w:szCs w:val="20"/>
                <w:color w:val="auto"/>
              </w:rPr>
            </w:pPr>
            <w:r>
              <w:rPr>
                <w:rFonts w:ascii="Arial" w:cs="Arial" w:eastAsia="Arial" w:hAnsi="Arial"/>
                <w:sz w:val="14"/>
                <w:szCs w:val="14"/>
                <w:color w:val="auto"/>
              </w:rPr>
              <w:t>1,963[B]</w:t>
            </w:r>
          </w:p>
        </w:tc>
        <w:tc>
          <w:tcPr>
            <w:tcW w:w="740" w:type="dxa"/>
            <w:vAlign w:val="bottom"/>
            <w:tcBorders>
              <w:bottom w:val="single" w:sz="8" w:color="auto"/>
            </w:tcBorders>
          </w:tcPr>
          <w:p>
            <w:pPr>
              <w:jc w:val="right"/>
              <w:spacing w:after="0" w:line="157" w:lineRule="exact"/>
              <w:rPr>
                <w:sz w:val="20"/>
                <w:szCs w:val="20"/>
                <w:color w:val="auto"/>
              </w:rPr>
            </w:pPr>
            <w:r>
              <w:rPr>
                <w:rFonts w:ascii="Arial" w:cs="Arial" w:eastAsia="Arial" w:hAnsi="Arial"/>
                <w:sz w:val="14"/>
                <w:szCs w:val="14"/>
                <w:color w:val="auto"/>
              </w:rPr>
              <w:t>63</w:t>
            </w:r>
          </w:p>
        </w:tc>
        <w:tc>
          <w:tcPr>
            <w:tcW w:w="8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spacing w:after="0" w:line="157" w:lineRule="exact"/>
              <w:rPr>
                <w:sz w:val="20"/>
                <w:szCs w:val="20"/>
                <w:color w:val="auto"/>
              </w:rPr>
            </w:pPr>
            <w:r>
              <w:rPr>
                <w:rFonts w:ascii="Arial" w:cs="Arial" w:eastAsia="Arial" w:hAnsi="Arial"/>
                <w:sz w:val="14"/>
                <w:szCs w:val="14"/>
                <w:color w:val="auto"/>
              </w:rPr>
              <w:t>4,933[B]</w:t>
            </w:r>
          </w:p>
        </w:tc>
      </w:tr>
      <w:tr>
        <w:trPr>
          <w:trHeight w:val="160"/>
        </w:trPr>
        <w:tc>
          <w:tcPr>
            <w:tcW w:w="3720" w:type="dxa"/>
            <w:vAlign w:val="bottom"/>
          </w:tcPr>
          <w:p>
            <w:pPr>
              <w:spacing w:after="0"/>
              <w:rPr>
                <w:sz w:val="20"/>
                <w:szCs w:val="20"/>
                <w:color w:val="auto"/>
              </w:rPr>
            </w:pPr>
            <w:r>
              <w:rPr>
                <w:rFonts w:ascii="Arial" w:cs="Arial" w:eastAsia="Arial" w:hAnsi="Arial"/>
                <w:sz w:val="14"/>
                <w:szCs w:val="14"/>
                <w:color w:val="auto"/>
              </w:rPr>
              <w:t>Earnings before taxation</w:t>
            </w:r>
          </w:p>
        </w:tc>
        <w:tc>
          <w:tcPr>
            <w:tcW w:w="1920" w:type="dxa"/>
            <w:vAlign w:val="bottom"/>
          </w:tcPr>
          <w:p>
            <w:pPr>
              <w:jc w:val="right"/>
              <w:ind w:right="249"/>
              <w:spacing w:after="0"/>
              <w:rPr>
                <w:sz w:val="20"/>
                <w:szCs w:val="20"/>
                <w:color w:val="auto"/>
              </w:rPr>
            </w:pPr>
            <w:r>
              <w:rPr>
                <w:rFonts w:ascii="Arial" w:cs="Arial" w:eastAsia="Arial" w:hAnsi="Arial"/>
                <w:sz w:val="14"/>
                <w:szCs w:val="14"/>
                <w:color w:val="auto"/>
              </w:rPr>
              <w:t>8,765</w:t>
            </w:r>
          </w:p>
        </w:tc>
        <w:tc>
          <w:tcPr>
            <w:tcW w:w="820" w:type="dxa"/>
            <w:vAlign w:val="bottom"/>
          </w:tcPr>
          <w:p>
            <w:pPr>
              <w:jc w:val="right"/>
              <w:ind w:right="129"/>
              <w:spacing w:after="0"/>
              <w:rPr>
                <w:sz w:val="20"/>
                <w:szCs w:val="20"/>
                <w:color w:val="auto"/>
              </w:rPr>
            </w:pPr>
            <w:r>
              <w:rPr>
                <w:rFonts w:ascii="Arial" w:cs="Arial" w:eastAsia="Arial" w:hAnsi="Arial"/>
                <w:sz w:val="14"/>
                <w:szCs w:val="14"/>
                <w:color w:val="auto"/>
              </w:rPr>
              <w:t>13,599</w:t>
            </w:r>
          </w:p>
        </w:tc>
        <w:tc>
          <w:tcPr>
            <w:tcW w:w="820" w:type="dxa"/>
            <w:vAlign w:val="bottom"/>
          </w:tcPr>
          <w:p>
            <w:pPr>
              <w:jc w:val="right"/>
              <w:ind w:right="89"/>
              <w:spacing w:after="0"/>
              <w:rPr>
                <w:sz w:val="20"/>
                <w:szCs w:val="20"/>
                <w:color w:val="auto"/>
              </w:rPr>
            </w:pPr>
            <w:r>
              <w:rPr>
                <w:rFonts w:ascii="Arial" w:cs="Arial" w:eastAsia="Arial" w:hAnsi="Arial"/>
                <w:sz w:val="14"/>
                <w:szCs w:val="14"/>
                <w:color w:val="auto"/>
              </w:rPr>
              <w:t>3,643</w:t>
            </w:r>
          </w:p>
        </w:tc>
        <w:tc>
          <w:tcPr>
            <w:tcW w:w="660" w:type="dxa"/>
            <w:vAlign w:val="bottom"/>
          </w:tcPr>
          <w:p>
            <w:pPr>
              <w:jc w:val="right"/>
              <w:ind w:right="29"/>
              <w:spacing w:after="0"/>
              <w:rPr>
                <w:sz w:val="20"/>
                <w:szCs w:val="20"/>
                <w:color w:val="auto"/>
              </w:rPr>
            </w:pPr>
            <w:r>
              <w:rPr>
                <w:rFonts w:ascii="Arial" w:cs="Arial" w:eastAsia="Arial" w:hAnsi="Arial"/>
                <w:sz w:val="14"/>
                <w:szCs w:val="14"/>
                <w:color w:val="auto"/>
              </w:rPr>
              <w:t>8,745</w:t>
            </w:r>
          </w:p>
        </w:tc>
        <w:tc>
          <w:tcPr>
            <w:tcW w:w="900" w:type="dxa"/>
            <w:vAlign w:val="bottom"/>
          </w:tcPr>
          <w:p>
            <w:pPr>
              <w:jc w:val="right"/>
              <w:ind w:right="109"/>
              <w:spacing w:after="0"/>
              <w:rPr>
                <w:sz w:val="20"/>
                <w:szCs w:val="20"/>
                <w:color w:val="auto"/>
              </w:rPr>
            </w:pPr>
            <w:r>
              <w:rPr>
                <w:rFonts w:ascii="Arial" w:cs="Arial" w:eastAsia="Arial" w:hAnsi="Arial"/>
                <w:sz w:val="14"/>
                <w:szCs w:val="14"/>
                <w:color w:val="auto"/>
              </w:rPr>
              <w:t>(105)</w:t>
            </w:r>
          </w:p>
        </w:tc>
        <w:tc>
          <w:tcPr>
            <w:tcW w:w="860" w:type="dxa"/>
            <w:vAlign w:val="bottom"/>
          </w:tcPr>
          <w:p>
            <w:pPr>
              <w:jc w:val="right"/>
              <w:ind w:right="129"/>
              <w:spacing w:after="0"/>
              <w:rPr>
                <w:sz w:val="20"/>
                <w:szCs w:val="20"/>
                <w:color w:val="auto"/>
              </w:rPr>
            </w:pPr>
            <w:r>
              <w:rPr>
                <w:rFonts w:ascii="Arial" w:cs="Arial" w:eastAsia="Arial" w:hAnsi="Arial"/>
                <w:sz w:val="14"/>
                <w:szCs w:val="14"/>
                <w:color w:val="auto"/>
              </w:rPr>
              <w:t>(852)</w:t>
            </w:r>
          </w:p>
        </w:tc>
        <w:tc>
          <w:tcPr>
            <w:tcW w:w="740" w:type="dxa"/>
            <w:vAlign w:val="bottom"/>
          </w:tcPr>
          <w:p>
            <w:pPr>
              <w:jc w:val="right"/>
              <w:spacing w:after="0"/>
              <w:rPr>
                <w:sz w:val="20"/>
                <w:szCs w:val="20"/>
                <w:color w:val="auto"/>
              </w:rPr>
            </w:pPr>
            <w:r>
              <w:rPr>
                <w:rFonts w:ascii="Arial" w:cs="Arial" w:eastAsia="Arial" w:hAnsi="Arial"/>
                <w:sz w:val="14"/>
                <w:szCs w:val="14"/>
                <w:color w:val="auto"/>
              </w:rPr>
              <w:t>478</w:t>
            </w:r>
          </w:p>
        </w:tc>
        <w:tc>
          <w:tcPr>
            <w:tcW w:w="980" w:type="dxa"/>
            <w:vAlign w:val="bottom"/>
            <w:gridSpan w:val="2"/>
          </w:tcPr>
          <w:p>
            <w:pPr>
              <w:jc w:val="right"/>
              <w:ind w:right="151"/>
              <w:spacing w:after="0"/>
              <w:rPr>
                <w:sz w:val="20"/>
                <w:szCs w:val="20"/>
                <w:color w:val="auto"/>
              </w:rPr>
            </w:pPr>
            <w:r>
              <w:rPr>
                <w:rFonts w:ascii="Arial" w:cs="Arial" w:eastAsia="Arial" w:hAnsi="Arial"/>
                <w:sz w:val="14"/>
                <w:szCs w:val="14"/>
                <w:color w:val="auto"/>
              </w:rPr>
              <w:t>34,273</w:t>
            </w:r>
          </w:p>
        </w:tc>
      </w:tr>
      <w:tr>
        <w:trPr>
          <w:trHeight w:val="157"/>
        </w:trPr>
        <w:tc>
          <w:tcPr>
            <w:tcW w:w="3720" w:type="dxa"/>
            <w:vAlign w:val="bottom"/>
            <w:tcBorders>
              <w:bottom w:val="single" w:sz="8" w:color="auto"/>
            </w:tcBorders>
          </w:tcPr>
          <w:p>
            <w:pPr>
              <w:spacing w:after="0" w:line="157" w:lineRule="exact"/>
              <w:rPr>
                <w:sz w:val="20"/>
                <w:szCs w:val="20"/>
                <w:color w:val="auto"/>
              </w:rPr>
            </w:pPr>
            <w:r>
              <w:rPr>
                <w:rFonts w:ascii="Arial" w:cs="Arial" w:eastAsia="Arial" w:hAnsi="Arial"/>
                <w:sz w:val="14"/>
                <w:szCs w:val="14"/>
                <w:color w:val="auto"/>
              </w:rPr>
              <w:t>Taxation charge/(credit)</w:t>
            </w:r>
          </w:p>
        </w:tc>
        <w:tc>
          <w:tcPr>
            <w:tcW w:w="1920" w:type="dxa"/>
            <w:vAlign w:val="bottom"/>
            <w:tcBorders>
              <w:bottom w:val="single" w:sz="8" w:color="auto"/>
            </w:tcBorders>
          </w:tcPr>
          <w:p>
            <w:pPr>
              <w:jc w:val="right"/>
              <w:ind w:right="249"/>
              <w:spacing w:after="0" w:line="157" w:lineRule="exact"/>
              <w:rPr>
                <w:sz w:val="20"/>
                <w:szCs w:val="20"/>
                <w:color w:val="auto"/>
              </w:rPr>
            </w:pPr>
            <w:r>
              <w:rPr>
                <w:rFonts w:ascii="Arial" w:cs="Arial" w:eastAsia="Arial" w:hAnsi="Arial"/>
                <w:sz w:val="14"/>
                <w:szCs w:val="14"/>
                <w:color w:val="auto"/>
              </w:rPr>
              <w:t>6,310</w:t>
            </w:r>
          </w:p>
        </w:tc>
        <w:tc>
          <w:tcPr>
            <w:tcW w:w="820" w:type="dxa"/>
            <w:vAlign w:val="bottom"/>
            <w:tcBorders>
              <w:bottom w:val="single" w:sz="8" w:color="auto"/>
            </w:tcBorders>
          </w:tcPr>
          <w:p>
            <w:pPr>
              <w:jc w:val="right"/>
              <w:ind w:right="129"/>
              <w:spacing w:after="0" w:line="157" w:lineRule="exact"/>
              <w:rPr>
                <w:sz w:val="20"/>
                <w:szCs w:val="20"/>
                <w:color w:val="auto"/>
              </w:rPr>
            </w:pPr>
            <w:r>
              <w:rPr>
                <w:rFonts w:ascii="Arial" w:cs="Arial" w:eastAsia="Arial" w:hAnsi="Arial"/>
                <w:sz w:val="14"/>
                <w:szCs w:val="14"/>
                <w:color w:val="auto"/>
              </w:rPr>
              <w:t>10,733</w:t>
            </w:r>
          </w:p>
        </w:tc>
        <w:tc>
          <w:tcPr>
            <w:tcW w:w="820" w:type="dxa"/>
            <w:vAlign w:val="bottom"/>
            <w:tcBorders>
              <w:bottom w:val="single" w:sz="8" w:color="auto"/>
            </w:tcBorders>
          </w:tcPr>
          <w:p>
            <w:pPr>
              <w:jc w:val="right"/>
              <w:ind w:right="89"/>
              <w:spacing w:after="0" w:line="157" w:lineRule="exact"/>
              <w:rPr>
                <w:sz w:val="20"/>
                <w:szCs w:val="20"/>
                <w:color w:val="auto"/>
              </w:rPr>
            </w:pPr>
            <w:r>
              <w:rPr>
                <w:rFonts w:ascii="Arial" w:cs="Arial" w:eastAsia="Arial" w:hAnsi="Arial"/>
                <w:sz w:val="14"/>
                <w:szCs w:val="14"/>
                <w:color w:val="auto"/>
              </w:rPr>
              <w:t>1,104</w:t>
            </w:r>
          </w:p>
        </w:tc>
        <w:tc>
          <w:tcPr>
            <w:tcW w:w="660" w:type="dxa"/>
            <w:vAlign w:val="bottom"/>
            <w:tcBorders>
              <w:bottom w:val="single" w:sz="8" w:color="auto"/>
            </w:tcBorders>
          </w:tcPr>
          <w:p>
            <w:pPr>
              <w:jc w:val="right"/>
              <w:ind w:right="29"/>
              <w:spacing w:after="0" w:line="157" w:lineRule="exact"/>
              <w:rPr>
                <w:sz w:val="20"/>
                <w:szCs w:val="20"/>
                <w:color w:val="auto"/>
              </w:rPr>
            </w:pPr>
            <w:r>
              <w:rPr>
                <w:rFonts w:ascii="Arial" w:cs="Arial" w:eastAsia="Arial" w:hAnsi="Arial"/>
                <w:sz w:val="14"/>
                <w:szCs w:val="14"/>
                <w:color w:val="auto"/>
              </w:rPr>
              <w:t>5,358</w:t>
            </w:r>
          </w:p>
        </w:tc>
        <w:tc>
          <w:tcPr>
            <w:tcW w:w="900" w:type="dxa"/>
            <w:vAlign w:val="bottom"/>
            <w:tcBorders>
              <w:bottom w:val="single" w:sz="8" w:color="auto"/>
            </w:tcBorders>
          </w:tcPr>
          <w:p>
            <w:pPr>
              <w:jc w:val="right"/>
              <w:ind w:right="109"/>
              <w:spacing w:after="0" w:line="157" w:lineRule="exact"/>
              <w:rPr>
                <w:sz w:val="20"/>
                <w:szCs w:val="20"/>
                <w:color w:val="auto"/>
              </w:rPr>
            </w:pPr>
            <w:r>
              <w:rPr>
                <w:rFonts w:ascii="Arial" w:cs="Arial" w:eastAsia="Arial" w:hAnsi="Arial"/>
                <w:sz w:val="14"/>
                <w:szCs w:val="14"/>
                <w:color w:val="auto"/>
              </w:rPr>
              <w:t>(65)</w:t>
            </w:r>
          </w:p>
        </w:tc>
        <w:tc>
          <w:tcPr>
            <w:tcW w:w="860" w:type="dxa"/>
            <w:vAlign w:val="bottom"/>
            <w:tcBorders>
              <w:bottom w:val="single" w:sz="8" w:color="auto"/>
            </w:tcBorders>
          </w:tcPr>
          <w:p>
            <w:pPr>
              <w:jc w:val="right"/>
              <w:ind w:right="129"/>
              <w:spacing w:after="0" w:line="157" w:lineRule="exact"/>
              <w:rPr>
                <w:sz w:val="20"/>
                <w:szCs w:val="20"/>
                <w:color w:val="auto"/>
              </w:rPr>
            </w:pPr>
            <w:r>
              <w:rPr>
                <w:rFonts w:ascii="Arial" w:cs="Arial" w:eastAsia="Arial" w:hAnsi="Arial"/>
                <w:sz w:val="14"/>
                <w:szCs w:val="14"/>
                <w:color w:val="auto"/>
              </w:rPr>
              <w:t>(413)</w:t>
            </w:r>
          </w:p>
        </w:tc>
        <w:tc>
          <w:tcPr>
            <w:tcW w:w="740" w:type="dxa"/>
            <w:vAlign w:val="bottom"/>
            <w:tcBorders>
              <w:bottom w:val="single" w:sz="8" w:color="auto"/>
            </w:tcBorders>
          </w:tcPr>
          <w:p>
            <w:pPr>
              <w:jc w:val="right"/>
              <w:spacing w:after="0" w:line="157" w:lineRule="exact"/>
              <w:rPr>
                <w:sz w:val="20"/>
                <w:szCs w:val="20"/>
                <w:color w:val="auto"/>
              </w:rPr>
            </w:pPr>
            <w:r>
              <w:rPr>
                <w:rFonts w:ascii="Arial" w:cs="Arial" w:eastAsia="Arial" w:hAnsi="Arial"/>
                <w:sz w:val="14"/>
                <w:szCs w:val="14"/>
                <w:color w:val="auto"/>
              </w:rPr>
              <w:t>137</w:t>
            </w:r>
          </w:p>
        </w:tc>
        <w:tc>
          <w:tcPr>
            <w:tcW w:w="980" w:type="dxa"/>
            <w:vAlign w:val="bottom"/>
            <w:tcBorders>
              <w:bottom w:val="single" w:sz="8" w:color="auto"/>
            </w:tcBorders>
            <w:gridSpan w:val="2"/>
          </w:tcPr>
          <w:p>
            <w:pPr>
              <w:jc w:val="right"/>
              <w:ind w:right="151"/>
              <w:spacing w:after="0" w:line="157" w:lineRule="exact"/>
              <w:rPr>
                <w:sz w:val="20"/>
                <w:szCs w:val="20"/>
                <w:color w:val="auto"/>
              </w:rPr>
            </w:pPr>
            <w:r>
              <w:rPr>
                <w:rFonts w:ascii="Arial" w:cs="Arial" w:eastAsia="Arial" w:hAnsi="Arial"/>
                <w:sz w:val="14"/>
                <w:szCs w:val="14"/>
                <w:color w:val="auto"/>
              </w:rPr>
              <w:t>23,164</w:t>
            </w:r>
          </w:p>
        </w:tc>
      </w:tr>
      <w:tr>
        <w:trPr>
          <w:trHeight w:val="156"/>
        </w:trPr>
        <w:tc>
          <w:tcPr>
            <w:tcW w:w="3720" w:type="dxa"/>
            <w:vAlign w:val="bottom"/>
            <w:tcBorders>
              <w:bottom w:val="single" w:sz="8" w:color="auto"/>
            </w:tcBorders>
          </w:tcPr>
          <w:p>
            <w:pPr>
              <w:spacing w:after="0" w:line="155" w:lineRule="exact"/>
              <w:rPr>
                <w:sz w:val="20"/>
                <w:szCs w:val="20"/>
                <w:color w:val="auto"/>
              </w:rPr>
            </w:pPr>
            <w:r>
              <w:rPr>
                <w:rFonts w:ascii="Arial" w:cs="Arial" w:eastAsia="Arial" w:hAnsi="Arial"/>
                <w:sz w:val="14"/>
                <w:szCs w:val="14"/>
                <w:color w:val="auto"/>
              </w:rPr>
              <w:t>Earnings after taxation</w:t>
            </w:r>
          </w:p>
        </w:tc>
        <w:tc>
          <w:tcPr>
            <w:tcW w:w="1920" w:type="dxa"/>
            <w:vAlign w:val="bottom"/>
            <w:tcBorders>
              <w:bottom w:val="single" w:sz="8" w:color="auto"/>
            </w:tcBorders>
          </w:tcPr>
          <w:p>
            <w:pPr>
              <w:jc w:val="right"/>
              <w:ind w:right="249"/>
              <w:spacing w:after="0" w:line="155" w:lineRule="exact"/>
              <w:rPr>
                <w:sz w:val="20"/>
                <w:szCs w:val="20"/>
                <w:color w:val="auto"/>
              </w:rPr>
            </w:pPr>
            <w:r>
              <w:rPr>
                <w:rFonts w:ascii="Arial" w:cs="Arial" w:eastAsia="Arial" w:hAnsi="Arial"/>
                <w:sz w:val="14"/>
                <w:szCs w:val="14"/>
                <w:color w:val="auto"/>
              </w:rPr>
              <w:t>2,455</w:t>
            </w:r>
          </w:p>
        </w:tc>
        <w:tc>
          <w:tcPr>
            <w:tcW w:w="820" w:type="dxa"/>
            <w:vAlign w:val="bottom"/>
            <w:tcBorders>
              <w:bottom w:val="single" w:sz="8" w:color="auto"/>
            </w:tcBorders>
          </w:tcPr>
          <w:p>
            <w:pPr>
              <w:jc w:val="right"/>
              <w:ind w:right="129"/>
              <w:spacing w:after="0" w:line="155" w:lineRule="exact"/>
              <w:rPr>
                <w:sz w:val="20"/>
                <w:szCs w:val="20"/>
                <w:color w:val="auto"/>
              </w:rPr>
            </w:pPr>
            <w:r>
              <w:rPr>
                <w:rFonts w:ascii="Arial" w:cs="Arial" w:eastAsia="Arial" w:hAnsi="Arial"/>
                <w:sz w:val="14"/>
                <w:szCs w:val="14"/>
                <w:color w:val="auto"/>
              </w:rPr>
              <w:t>2,866</w:t>
            </w:r>
          </w:p>
        </w:tc>
        <w:tc>
          <w:tcPr>
            <w:tcW w:w="820" w:type="dxa"/>
            <w:vAlign w:val="bottom"/>
            <w:tcBorders>
              <w:bottom w:val="single" w:sz="8" w:color="auto"/>
            </w:tcBorders>
          </w:tcPr>
          <w:p>
            <w:pPr>
              <w:jc w:val="right"/>
              <w:ind w:right="89"/>
              <w:spacing w:after="0" w:line="155" w:lineRule="exact"/>
              <w:rPr>
                <w:sz w:val="20"/>
                <w:szCs w:val="20"/>
                <w:color w:val="auto"/>
              </w:rPr>
            </w:pPr>
            <w:r>
              <w:rPr>
                <w:rFonts w:ascii="Arial" w:cs="Arial" w:eastAsia="Arial" w:hAnsi="Arial"/>
                <w:sz w:val="14"/>
                <w:szCs w:val="14"/>
                <w:color w:val="auto"/>
              </w:rPr>
              <w:t>2,539</w:t>
            </w:r>
          </w:p>
        </w:tc>
        <w:tc>
          <w:tcPr>
            <w:tcW w:w="660" w:type="dxa"/>
            <w:vAlign w:val="bottom"/>
            <w:tcBorders>
              <w:bottom w:val="single" w:sz="8" w:color="auto"/>
            </w:tcBorders>
          </w:tcPr>
          <w:p>
            <w:pPr>
              <w:jc w:val="right"/>
              <w:ind w:right="29"/>
              <w:spacing w:after="0" w:line="155" w:lineRule="exact"/>
              <w:rPr>
                <w:sz w:val="20"/>
                <w:szCs w:val="20"/>
                <w:color w:val="auto"/>
              </w:rPr>
            </w:pPr>
            <w:r>
              <w:rPr>
                <w:rFonts w:ascii="Arial" w:cs="Arial" w:eastAsia="Arial" w:hAnsi="Arial"/>
                <w:sz w:val="14"/>
                <w:szCs w:val="14"/>
                <w:color w:val="auto"/>
              </w:rPr>
              <w:t>3,387</w:t>
            </w:r>
          </w:p>
        </w:tc>
        <w:tc>
          <w:tcPr>
            <w:tcW w:w="900" w:type="dxa"/>
            <w:vAlign w:val="bottom"/>
            <w:tcBorders>
              <w:bottom w:val="single" w:sz="8" w:color="auto"/>
            </w:tcBorders>
          </w:tcPr>
          <w:p>
            <w:pPr>
              <w:jc w:val="right"/>
              <w:ind w:right="109"/>
              <w:spacing w:after="0" w:line="155" w:lineRule="exact"/>
              <w:rPr>
                <w:sz w:val="20"/>
                <w:szCs w:val="20"/>
                <w:color w:val="auto"/>
              </w:rPr>
            </w:pPr>
            <w:r>
              <w:rPr>
                <w:rFonts w:ascii="Arial" w:cs="Arial" w:eastAsia="Arial" w:hAnsi="Arial"/>
                <w:sz w:val="14"/>
                <w:szCs w:val="14"/>
                <w:color w:val="auto"/>
              </w:rPr>
              <w:t>(40)</w:t>
            </w:r>
          </w:p>
        </w:tc>
        <w:tc>
          <w:tcPr>
            <w:tcW w:w="860" w:type="dxa"/>
            <w:vAlign w:val="bottom"/>
            <w:tcBorders>
              <w:bottom w:val="single" w:sz="8" w:color="auto"/>
            </w:tcBorders>
          </w:tcPr>
          <w:p>
            <w:pPr>
              <w:jc w:val="right"/>
              <w:ind w:right="129"/>
              <w:spacing w:after="0" w:line="155" w:lineRule="exact"/>
              <w:rPr>
                <w:sz w:val="20"/>
                <w:szCs w:val="20"/>
                <w:color w:val="auto"/>
              </w:rPr>
            </w:pPr>
            <w:r>
              <w:rPr>
                <w:rFonts w:ascii="Arial" w:cs="Arial" w:eastAsia="Arial" w:hAnsi="Arial"/>
                <w:sz w:val="14"/>
                <w:szCs w:val="14"/>
                <w:color w:val="auto"/>
              </w:rPr>
              <w:t>(439)</w:t>
            </w:r>
          </w:p>
        </w:tc>
        <w:tc>
          <w:tcPr>
            <w:tcW w:w="7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341</w:t>
            </w:r>
          </w:p>
        </w:tc>
        <w:tc>
          <w:tcPr>
            <w:tcW w:w="980" w:type="dxa"/>
            <w:vAlign w:val="bottom"/>
            <w:tcBorders>
              <w:bottom w:val="single" w:sz="8" w:color="auto"/>
            </w:tcBorders>
            <w:gridSpan w:val="2"/>
          </w:tcPr>
          <w:p>
            <w:pPr>
              <w:jc w:val="right"/>
              <w:ind w:right="151"/>
              <w:spacing w:after="0" w:line="155" w:lineRule="exact"/>
              <w:rPr>
                <w:sz w:val="20"/>
                <w:szCs w:val="20"/>
                <w:color w:val="auto"/>
              </w:rPr>
            </w:pPr>
            <w:r>
              <w:rPr>
                <w:rFonts w:ascii="Arial" w:cs="Arial" w:eastAsia="Arial" w:hAnsi="Arial"/>
                <w:sz w:val="14"/>
                <w:szCs w:val="14"/>
                <w:color w:val="auto"/>
              </w:rPr>
              <w:t>11,109</w:t>
            </w:r>
          </w:p>
        </w:tc>
      </w:tr>
    </w:tbl>
    <w:p>
      <w:pPr>
        <w:spacing w:after="0" w:line="32" w:lineRule="exact"/>
        <w:rPr>
          <w:sz w:val="20"/>
          <w:szCs w:val="20"/>
          <w:color w:val="auto"/>
        </w:rPr>
      </w:pPr>
    </w:p>
    <w:p>
      <w:pPr>
        <w:ind w:left="180" w:hanging="172"/>
        <w:spacing w:after="0"/>
        <w:tabs>
          <w:tab w:leader="none" w:pos="180" w:val="left"/>
        </w:tabs>
        <w:numPr>
          <w:ilvl w:val="0"/>
          <w:numId w:val="158"/>
        </w:numPr>
        <w:rPr>
          <w:rFonts w:ascii="Arial" w:cs="Arial" w:eastAsia="Arial" w:hAnsi="Arial"/>
          <w:sz w:val="11"/>
          <w:szCs w:val="11"/>
          <w:color w:val="auto"/>
        </w:rPr>
      </w:pPr>
      <w:r>
        <w:rPr>
          <w:rFonts w:ascii="Arial" w:cs="Arial" w:eastAsia="Arial" w:hAnsi="Arial"/>
          <w:sz w:val="11"/>
          <w:szCs w:val="11"/>
          <w:color w:val="auto"/>
        </w:rPr>
        <w:t>Includes Greenland.</w:t>
      </w:r>
    </w:p>
    <w:p>
      <w:pPr>
        <w:ind w:left="180" w:hanging="172"/>
        <w:spacing w:after="0" w:line="230" w:lineRule="auto"/>
        <w:tabs>
          <w:tab w:leader="none" w:pos="180" w:val="left"/>
        </w:tabs>
        <w:numPr>
          <w:ilvl w:val="0"/>
          <w:numId w:val="158"/>
        </w:numPr>
        <w:rPr>
          <w:rFonts w:ascii="Arial" w:cs="Arial" w:eastAsia="Arial" w:hAnsi="Arial"/>
          <w:sz w:val="11"/>
          <w:szCs w:val="11"/>
          <w:color w:val="auto"/>
        </w:rPr>
      </w:pPr>
      <w:r>
        <w:rPr>
          <w:rFonts w:ascii="Arial" w:cs="Arial" w:eastAsia="Arial" w:hAnsi="Arial"/>
          <w:sz w:val="11"/>
          <w:szCs w:val="11"/>
          <w:color w:val="auto"/>
        </w:rPr>
        <w:t>Reflects the reclassification of certain costs.</w:t>
      </w:r>
    </w:p>
    <w:p>
      <w:pPr>
        <w:ind w:left="180" w:hanging="172"/>
        <w:spacing w:after="0"/>
        <w:tabs>
          <w:tab w:leader="none" w:pos="180" w:val="left"/>
        </w:tabs>
        <w:numPr>
          <w:ilvl w:val="0"/>
          <w:numId w:val="158"/>
        </w:numPr>
        <w:rPr>
          <w:rFonts w:ascii="Arial" w:cs="Arial" w:eastAsia="Arial" w:hAnsi="Arial"/>
          <w:sz w:val="11"/>
          <w:szCs w:val="11"/>
          <w:color w:val="auto"/>
        </w:rPr>
      </w:pPr>
      <w:r>
        <w:rPr>
          <w:rFonts w:ascii="Arial" w:cs="Arial" w:eastAsia="Arial" w:hAnsi="Arial"/>
          <w:sz w:val="11"/>
          <w:szCs w:val="11"/>
          <w:color w:val="auto"/>
        </w:rPr>
        <w:t>Includes cash-paid royalties to governments outside North America.</w:t>
      </w:r>
    </w:p>
    <w:p>
      <w:pPr>
        <w:sectPr>
          <w:pgSz w:w="11900" w:h="16838" w:orient="portrait"/>
          <w:cols w:equalWidth="0" w:num="1">
            <w:col w:w="11420"/>
          </w:cols>
          <w:pgMar w:left="240" w:top="459" w:right="239" w:bottom="1440" w:gutter="0" w:footer="0" w:header="0"/>
        </w:sectPr>
      </w:pPr>
    </w:p>
    <w:bookmarkStart w:id="158" w:name="page159"/>
    <w:bookmarkEnd w:id="1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6428105</wp:posOffset>
            </wp:positionH>
            <wp:positionV relativeFrom="paragraph">
              <wp:posOffset>300355</wp:posOffset>
            </wp:positionV>
            <wp:extent cx="8890" cy="462915"/>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8890" cy="462915"/>
                    </a:xfrm>
                    <a:prstGeom prst="rect">
                      <a:avLst/>
                    </a:prstGeom>
                    <a:noFill/>
                  </pic:spPr>
                </pic:pic>
              </a:graphicData>
            </a:graphic>
          </wp:anchor>
        </w:drawing>
      </w:r>
    </w:p>
    <w:p>
      <w:pPr>
        <w:spacing w:after="0" w:line="200" w:lineRule="exact"/>
        <w:rPr>
          <w:sz w:val="20"/>
          <w:szCs w:val="20"/>
          <w:color w:val="auto"/>
        </w:rPr>
      </w:pP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565"/>
        </w:trPr>
        <w:tc>
          <w:tcPr>
            <w:tcW w:w="20" w:type="dxa"/>
            <w:vAlign w:val="bottom"/>
          </w:tcPr>
          <w:p>
            <w:pPr>
              <w:spacing w:after="0"/>
              <w:rPr>
                <w:sz w:val="24"/>
                <w:szCs w:val="24"/>
                <w:color w:val="auto"/>
              </w:rPr>
            </w:pPr>
          </w:p>
        </w:tc>
        <w:tc>
          <w:tcPr>
            <w:tcW w:w="40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shd w:val="clear" w:color="auto" w:fill="FF8B00"/>
          </w:tcPr>
          <w:p>
            <w:pPr>
              <w:spacing w:after="0"/>
              <w:rPr>
                <w:sz w:val="24"/>
                <w:szCs w:val="24"/>
                <w:color w:val="auto"/>
              </w:rPr>
            </w:pPr>
          </w:p>
        </w:tc>
        <w:tc>
          <w:tcPr>
            <w:tcW w:w="3620" w:type="dxa"/>
            <w:vAlign w:val="bottom"/>
            <w:gridSpan w:val="5"/>
            <w:shd w:val="clear" w:color="auto" w:fill="FF8B00"/>
          </w:tcPr>
          <w:p>
            <w:pPr>
              <w:ind w:left="680"/>
              <w:spacing w:after="0"/>
              <w:rPr>
                <w:sz w:val="20"/>
                <w:szCs w:val="20"/>
                <w:color w:val="auto"/>
              </w:rPr>
            </w:pPr>
            <w:r>
              <w:rPr>
                <w:rFonts w:ascii="Arial" w:cs="Arial" w:eastAsia="Arial" w:hAnsi="Arial"/>
                <w:sz w:val="13"/>
                <w:szCs w:val="13"/>
                <w:color w:val="333333"/>
              </w:rPr>
              <w:t>FINANCIAL STATEMENTS AND SUPPLEMENTS</w:t>
            </w:r>
          </w:p>
        </w:tc>
        <w:tc>
          <w:tcPr>
            <w:tcW w:w="620" w:type="dxa"/>
            <w:vAlign w:val="bottom"/>
            <w:shd w:val="clear" w:color="auto" w:fill="FF8B00"/>
          </w:tcPr>
          <w:p>
            <w:pPr>
              <w:spacing w:after="0"/>
              <w:rPr>
                <w:sz w:val="24"/>
                <w:szCs w:val="24"/>
                <w:color w:val="auto"/>
              </w:rPr>
            </w:pPr>
          </w:p>
        </w:tc>
        <w:tc>
          <w:tcPr>
            <w:tcW w:w="120" w:type="dxa"/>
            <w:vAlign w:val="bottom"/>
            <w:shd w:val="clear" w:color="auto" w:fill="FF8B00"/>
          </w:tcPr>
          <w:p>
            <w:pPr>
              <w:spacing w:after="0"/>
              <w:rPr>
                <w:sz w:val="24"/>
                <w:szCs w:val="24"/>
                <w:color w:val="auto"/>
              </w:rPr>
            </w:pPr>
          </w:p>
        </w:tc>
        <w:tc>
          <w:tcPr>
            <w:tcW w:w="1260" w:type="dxa"/>
            <w:vAlign w:val="bottom"/>
            <w:shd w:val="clear" w:color="auto" w:fill="FF8B00"/>
          </w:tcPr>
          <w:p>
            <w:pPr>
              <w:jc w:val="right"/>
              <w:ind w:right="350"/>
              <w:spacing w:after="0"/>
              <w:rPr>
                <w:sz w:val="20"/>
                <w:szCs w:val="20"/>
                <w:color w:val="auto"/>
              </w:rPr>
            </w:pPr>
            <w:r>
              <w:rPr>
                <w:rFonts w:ascii="Arial" w:cs="Arial" w:eastAsia="Arial" w:hAnsi="Arial"/>
                <w:sz w:val="11"/>
                <w:szCs w:val="11"/>
                <w:b w:val="1"/>
                <w:bCs w:val="1"/>
                <w:color w:val="333333"/>
              </w:rPr>
              <w:t>157</w:t>
            </w:r>
          </w:p>
        </w:tc>
        <w:tc>
          <w:tcPr>
            <w:tcW w:w="0" w:type="dxa"/>
            <w:vAlign w:val="bottom"/>
          </w:tcPr>
          <w:p>
            <w:pPr>
              <w:spacing w:after="0"/>
              <w:rPr>
                <w:sz w:val="1"/>
                <w:szCs w:val="1"/>
                <w:color w:val="auto"/>
              </w:rPr>
            </w:pPr>
          </w:p>
        </w:tc>
      </w:tr>
      <w:tr>
        <w:trPr>
          <w:trHeight w:val="165"/>
        </w:trPr>
        <w:tc>
          <w:tcPr>
            <w:tcW w:w="4020" w:type="dxa"/>
            <w:vAlign w:val="bottom"/>
            <w:gridSpan w:val="2"/>
            <w:vMerge w:val="restart"/>
          </w:tcPr>
          <w:p>
            <w:pPr>
              <w:spacing w:after="0"/>
              <w:rPr>
                <w:sz w:val="20"/>
                <w:szCs w:val="20"/>
                <w:color w:val="auto"/>
              </w:rPr>
            </w:pPr>
            <w:r>
              <w:rPr>
                <w:rFonts w:ascii="Arial" w:cs="Arial" w:eastAsia="Arial" w:hAnsi="Arial"/>
                <w:sz w:val="11"/>
                <w:szCs w:val="11"/>
                <w:color w:val="auto"/>
              </w:rPr>
              <w:t>SHELL ANNUAL REPORT AND FORM 20-F 2014</w:t>
            </w:r>
          </w:p>
        </w:tc>
        <w:tc>
          <w:tcPr>
            <w:tcW w:w="1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0" w:type="dxa"/>
            <w:vAlign w:val="bottom"/>
            <w:shd w:val="clear" w:color="auto" w:fill="FF8B00"/>
          </w:tcPr>
          <w:p>
            <w:pPr>
              <w:spacing w:after="0"/>
              <w:rPr>
                <w:sz w:val="14"/>
                <w:szCs w:val="14"/>
                <w:color w:val="auto"/>
              </w:rPr>
            </w:pPr>
          </w:p>
        </w:tc>
        <w:tc>
          <w:tcPr>
            <w:tcW w:w="3360" w:type="dxa"/>
            <w:vAlign w:val="bottom"/>
            <w:gridSpan w:val="4"/>
            <w:shd w:val="clear" w:color="auto" w:fill="FF8B00"/>
          </w:tcPr>
          <w:p>
            <w:pPr>
              <w:spacing w:after="0"/>
              <w:rPr>
                <w:sz w:val="14"/>
                <w:szCs w:val="14"/>
                <w:color w:val="auto"/>
              </w:rPr>
            </w:pPr>
          </w:p>
        </w:tc>
        <w:tc>
          <w:tcPr>
            <w:tcW w:w="880" w:type="dxa"/>
            <w:vAlign w:val="bottom"/>
            <w:gridSpan w:val="2"/>
            <w:shd w:val="clear" w:color="auto" w:fill="FF8B00"/>
          </w:tcPr>
          <w:p>
            <w:pPr>
              <w:spacing w:after="0"/>
              <w:rPr>
                <w:sz w:val="14"/>
                <w:szCs w:val="14"/>
                <w:color w:val="auto"/>
              </w:rPr>
            </w:pPr>
          </w:p>
        </w:tc>
        <w:tc>
          <w:tcPr>
            <w:tcW w:w="120" w:type="dxa"/>
            <w:vAlign w:val="bottom"/>
            <w:shd w:val="clear" w:color="auto" w:fill="FF8B00"/>
          </w:tcPr>
          <w:p>
            <w:pPr>
              <w:spacing w:after="0"/>
              <w:rPr>
                <w:sz w:val="14"/>
                <w:szCs w:val="14"/>
                <w:color w:val="auto"/>
              </w:rPr>
            </w:pPr>
          </w:p>
        </w:tc>
        <w:tc>
          <w:tcPr>
            <w:tcW w:w="1260" w:type="dxa"/>
            <w:vAlign w:val="bottom"/>
            <w:shd w:val="clear" w:color="auto" w:fill="FF8B00"/>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4020" w:type="dxa"/>
            <w:vAlign w:val="bottom"/>
            <w:gridSpan w:val="2"/>
            <w:vMerge w:val="continue"/>
          </w:tcPr>
          <w:p>
            <w:pPr>
              <w:spacing w:after="0"/>
              <w:rPr>
                <w:sz w:val="10"/>
                <w:szCs w:val="10"/>
                <w:color w:val="auto"/>
              </w:rPr>
            </w:pPr>
          </w:p>
        </w:tc>
        <w:tc>
          <w:tcPr>
            <w:tcW w:w="1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360" w:type="dxa"/>
            <w:vAlign w:val="bottom"/>
            <w:gridSpan w:val="7"/>
          </w:tcPr>
          <w:p>
            <w:pPr>
              <w:ind w:left="680"/>
              <w:spacing w:after="0" w:line="121" w:lineRule="exact"/>
              <w:rPr>
                <w:sz w:val="20"/>
                <w:szCs w:val="20"/>
                <w:color w:val="auto"/>
              </w:rPr>
            </w:pPr>
            <w:r>
              <w:rPr>
                <w:rFonts w:ascii="Arial" w:cs="Arial" w:eastAsia="Arial" w:hAnsi="Arial"/>
                <w:sz w:val="11"/>
                <w:szCs w:val="11"/>
                <w:color w:val="auto"/>
              </w:rPr>
              <w:t>SUPPLEMENTARY INFORMATION – OIL AND GAS (UNAUDITED)</w:t>
            </w:r>
          </w:p>
        </w:tc>
        <w:tc>
          <w:tcPr>
            <w:tcW w:w="12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7"/>
        </w:trPr>
        <w:tc>
          <w:tcPr>
            <w:tcW w:w="4020" w:type="dxa"/>
            <w:vAlign w:val="bottom"/>
            <w:gridSpan w:val="2"/>
          </w:tcPr>
          <w:p>
            <w:pPr>
              <w:spacing w:after="0"/>
              <w:rPr>
                <w:sz w:val="20"/>
                <w:szCs w:val="20"/>
                <w:color w:val="auto"/>
              </w:rPr>
            </w:pPr>
            <w:r>
              <w:rPr>
                <w:rFonts w:ascii="Arial" w:cs="Arial" w:eastAsia="Arial" w:hAnsi="Arial"/>
                <w:sz w:val="18"/>
                <w:szCs w:val="18"/>
                <w:color w:val="auto"/>
              </w:rPr>
              <w:t>Shell share of joint ventures and associates</w:t>
            </w:r>
          </w:p>
        </w:tc>
        <w:tc>
          <w:tcPr>
            <w:tcW w:w="1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0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4000" w:type="dxa"/>
            <w:vAlign w:val="bottom"/>
            <w:shd w:val="clear" w:color="auto" w:fill="333333"/>
          </w:tcPr>
          <w:p>
            <w:pPr>
              <w:jc w:val="right"/>
              <w:ind w:right="3523"/>
              <w:spacing w:after="0" w:line="162" w:lineRule="exact"/>
              <w:rPr>
                <w:sz w:val="20"/>
                <w:szCs w:val="20"/>
                <w:color w:val="auto"/>
              </w:rPr>
            </w:pPr>
            <w:r>
              <w:rPr>
                <w:rFonts w:ascii="Arial" w:cs="Arial" w:eastAsia="Arial" w:hAnsi="Arial"/>
                <w:sz w:val="15"/>
                <w:szCs w:val="15"/>
                <w:b w:val="1"/>
                <w:bCs w:val="1"/>
                <w:color w:val="FFFFFF"/>
              </w:rPr>
              <w:t>2014</w:t>
            </w:r>
          </w:p>
        </w:tc>
        <w:tc>
          <w:tcPr>
            <w:tcW w:w="1100" w:type="dxa"/>
            <w:vAlign w:val="bottom"/>
            <w:shd w:val="clear" w:color="auto" w:fill="333333"/>
          </w:tcPr>
          <w:p>
            <w:pPr>
              <w:spacing w:after="0"/>
              <w:rPr>
                <w:sz w:val="14"/>
                <w:szCs w:val="14"/>
                <w:color w:val="auto"/>
              </w:rPr>
            </w:pPr>
          </w:p>
        </w:tc>
        <w:tc>
          <w:tcPr>
            <w:tcW w:w="480" w:type="dxa"/>
            <w:vAlign w:val="bottom"/>
            <w:shd w:val="clear" w:color="auto" w:fill="333333"/>
          </w:tcPr>
          <w:p>
            <w:pPr>
              <w:spacing w:after="0"/>
              <w:rPr>
                <w:sz w:val="14"/>
                <w:szCs w:val="14"/>
                <w:color w:val="auto"/>
              </w:rPr>
            </w:pPr>
          </w:p>
        </w:tc>
        <w:tc>
          <w:tcPr>
            <w:tcW w:w="200" w:type="dxa"/>
            <w:vAlign w:val="bottom"/>
            <w:shd w:val="clear" w:color="auto" w:fill="333333"/>
          </w:tcPr>
          <w:p>
            <w:pPr>
              <w:spacing w:after="0"/>
              <w:rPr>
                <w:sz w:val="14"/>
                <w:szCs w:val="14"/>
                <w:color w:val="auto"/>
              </w:rPr>
            </w:pPr>
          </w:p>
        </w:tc>
        <w:tc>
          <w:tcPr>
            <w:tcW w:w="1080" w:type="dxa"/>
            <w:vAlign w:val="bottom"/>
            <w:shd w:val="clear" w:color="auto" w:fill="333333"/>
          </w:tcPr>
          <w:p>
            <w:pPr>
              <w:spacing w:after="0"/>
              <w:rPr>
                <w:sz w:val="14"/>
                <w:szCs w:val="14"/>
                <w:color w:val="auto"/>
              </w:rPr>
            </w:pPr>
          </w:p>
        </w:tc>
        <w:tc>
          <w:tcPr>
            <w:tcW w:w="660" w:type="dxa"/>
            <w:vAlign w:val="bottom"/>
            <w:shd w:val="clear" w:color="auto" w:fill="333333"/>
          </w:tcPr>
          <w:p>
            <w:pPr>
              <w:spacing w:after="0"/>
              <w:rPr>
                <w:sz w:val="14"/>
                <w:szCs w:val="14"/>
                <w:color w:val="auto"/>
              </w:rPr>
            </w:pPr>
          </w:p>
        </w:tc>
        <w:tc>
          <w:tcPr>
            <w:tcW w:w="580" w:type="dxa"/>
            <w:vAlign w:val="bottom"/>
            <w:shd w:val="clear" w:color="auto" w:fill="333333"/>
          </w:tcPr>
          <w:p>
            <w:pPr>
              <w:spacing w:after="0"/>
              <w:rPr>
                <w:sz w:val="14"/>
                <w:szCs w:val="14"/>
                <w:color w:val="auto"/>
              </w:rPr>
            </w:pPr>
          </w:p>
        </w:tc>
        <w:tc>
          <w:tcPr>
            <w:tcW w:w="1040" w:type="dxa"/>
            <w:vAlign w:val="bottom"/>
            <w:shd w:val="clear" w:color="auto" w:fill="333333"/>
          </w:tcPr>
          <w:p>
            <w:pPr>
              <w:spacing w:after="0"/>
              <w:rPr>
                <w:sz w:val="14"/>
                <w:szCs w:val="14"/>
                <w:color w:val="auto"/>
              </w:rPr>
            </w:pPr>
          </w:p>
        </w:tc>
        <w:tc>
          <w:tcPr>
            <w:tcW w:w="260" w:type="dxa"/>
            <w:vAlign w:val="bottom"/>
            <w:shd w:val="clear" w:color="auto" w:fill="333333"/>
          </w:tcPr>
          <w:p>
            <w:pPr>
              <w:spacing w:after="0"/>
              <w:rPr>
                <w:sz w:val="14"/>
                <w:szCs w:val="14"/>
                <w:color w:val="auto"/>
              </w:rPr>
            </w:pPr>
          </w:p>
        </w:tc>
        <w:tc>
          <w:tcPr>
            <w:tcW w:w="620" w:type="dxa"/>
            <w:vAlign w:val="bottom"/>
            <w:shd w:val="clear" w:color="auto" w:fill="333333"/>
          </w:tcPr>
          <w:p>
            <w:pPr>
              <w:spacing w:after="0"/>
              <w:rPr>
                <w:sz w:val="14"/>
                <w:szCs w:val="14"/>
                <w:color w:val="auto"/>
              </w:rPr>
            </w:pPr>
          </w:p>
        </w:tc>
        <w:tc>
          <w:tcPr>
            <w:tcW w:w="120" w:type="dxa"/>
            <w:vAlign w:val="bottom"/>
            <w:shd w:val="clear" w:color="auto" w:fill="333333"/>
          </w:tcPr>
          <w:p>
            <w:pPr>
              <w:spacing w:after="0"/>
              <w:rPr>
                <w:sz w:val="14"/>
                <w:szCs w:val="14"/>
                <w:color w:val="auto"/>
              </w:rPr>
            </w:pPr>
          </w:p>
        </w:tc>
        <w:tc>
          <w:tcPr>
            <w:tcW w:w="1260" w:type="dxa"/>
            <w:vAlign w:val="bottom"/>
            <w:shd w:val="clear" w:color="auto" w:fill="333333"/>
          </w:tcPr>
          <w:p>
            <w:pPr>
              <w:jc w:val="right"/>
              <w:ind w:right="150"/>
              <w:spacing w:after="0" w:line="162" w:lineRule="exact"/>
              <w:rPr>
                <w:sz w:val="20"/>
                <w:szCs w:val="20"/>
                <w:color w:val="auto"/>
              </w:rPr>
            </w:pPr>
            <w:r>
              <w:rPr>
                <w:rFonts w:ascii="Arial" w:cs="Arial" w:eastAsia="Arial" w:hAnsi="Arial"/>
                <w:sz w:val="15"/>
                <w:szCs w:val="15"/>
                <w:color w:val="FFFFFF"/>
              </w:rPr>
              <w:t>$ MILLION</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0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1040" w:type="dxa"/>
            <w:vAlign w:val="bottom"/>
            <w:tcBorders>
              <w:bottom w:val="single" w:sz="8" w:color="auto"/>
            </w:tcBorders>
          </w:tcPr>
          <w:p>
            <w:pPr>
              <w:jc w:val="right"/>
              <w:ind w:right="10"/>
              <w:spacing w:after="0" w:line="115" w:lineRule="exact"/>
              <w:rPr>
                <w:sz w:val="20"/>
                <w:szCs w:val="20"/>
                <w:color w:val="auto"/>
              </w:rPr>
            </w:pPr>
            <w:r>
              <w:rPr>
                <w:rFonts w:ascii="Arial" w:cs="Arial" w:eastAsia="Arial" w:hAnsi="Arial"/>
                <w:sz w:val="13"/>
                <w:szCs w:val="13"/>
                <w:color w:val="auto"/>
              </w:rPr>
              <w:t>North America</w:t>
            </w:r>
          </w:p>
        </w:tc>
        <w:tc>
          <w:tcPr>
            <w:tcW w:w="260" w:type="dxa"/>
            <w:vAlign w:val="bottom"/>
          </w:tcPr>
          <w:p>
            <w:pPr>
              <w:spacing w:after="0"/>
              <w:rPr>
                <w:sz w:val="11"/>
                <w:szCs w:val="11"/>
                <w:color w:val="auto"/>
              </w:rPr>
            </w:pPr>
          </w:p>
        </w:tc>
        <w:tc>
          <w:tcPr>
            <w:tcW w:w="740" w:type="dxa"/>
            <w:vAlign w:val="bottom"/>
            <w:gridSpan w:val="2"/>
          </w:tcPr>
          <w:p>
            <w:pPr>
              <w:jc w:val="right"/>
              <w:ind w:right="120"/>
              <w:spacing w:after="0" w:line="115" w:lineRule="exact"/>
              <w:rPr>
                <w:sz w:val="20"/>
                <w:szCs w:val="20"/>
                <w:color w:val="auto"/>
              </w:rPr>
            </w:pPr>
            <w:r>
              <w:rPr>
                <w:rFonts w:ascii="Arial" w:cs="Arial" w:eastAsia="Arial" w:hAnsi="Arial"/>
                <w:sz w:val="13"/>
                <w:szCs w:val="13"/>
                <w:color w:val="auto"/>
              </w:rPr>
              <w:t>South</w:t>
            </w:r>
          </w:p>
        </w:tc>
        <w:tc>
          <w:tcPr>
            <w:tcW w:w="12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000" w:type="dxa"/>
            <w:vAlign w:val="bottom"/>
          </w:tcPr>
          <w:p>
            <w:pPr>
              <w:spacing w:after="0"/>
              <w:rPr>
                <w:sz w:val="13"/>
                <w:szCs w:val="13"/>
                <w:color w:val="auto"/>
              </w:rPr>
            </w:pPr>
          </w:p>
        </w:tc>
        <w:tc>
          <w:tcPr>
            <w:tcW w:w="1100" w:type="dxa"/>
            <w:vAlign w:val="bottom"/>
          </w:tcPr>
          <w:p>
            <w:pPr>
              <w:jc w:val="right"/>
              <w:ind w:right="89"/>
              <w:spacing w:after="0"/>
              <w:rPr>
                <w:sz w:val="20"/>
                <w:szCs w:val="20"/>
                <w:color w:val="auto"/>
              </w:rPr>
            </w:pPr>
            <w:r>
              <w:rPr>
                <w:rFonts w:ascii="Arial" w:cs="Arial" w:eastAsia="Arial" w:hAnsi="Arial"/>
                <w:sz w:val="13"/>
                <w:szCs w:val="13"/>
                <w:color w:val="auto"/>
              </w:rPr>
              <w:t>Europe</w:t>
            </w:r>
          </w:p>
        </w:tc>
        <w:tc>
          <w:tcPr>
            <w:tcW w:w="680" w:type="dxa"/>
            <w:vAlign w:val="bottom"/>
            <w:gridSpan w:val="2"/>
          </w:tcPr>
          <w:p>
            <w:pPr>
              <w:ind w:left="240"/>
              <w:spacing w:after="0"/>
              <w:rPr>
                <w:sz w:val="20"/>
                <w:szCs w:val="20"/>
                <w:color w:val="auto"/>
              </w:rPr>
            </w:pPr>
            <w:r>
              <w:rPr>
                <w:rFonts w:ascii="Arial" w:cs="Arial" w:eastAsia="Arial" w:hAnsi="Arial"/>
                <w:sz w:val="13"/>
                <w:szCs w:val="13"/>
                <w:color w:val="auto"/>
              </w:rPr>
              <w:t>Asia</w:t>
            </w:r>
          </w:p>
        </w:tc>
        <w:tc>
          <w:tcPr>
            <w:tcW w:w="1080" w:type="dxa"/>
            <w:vAlign w:val="bottom"/>
          </w:tcPr>
          <w:p>
            <w:pPr>
              <w:jc w:val="right"/>
              <w:ind w:right="171"/>
              <w:spacing w:after="0"/>
              <w:rPr>
                <w:sz w:val="20"/>
                <w:szCs w:val="20"/>
                <w:color w:val="auto"/>
              </w:rPr>
            </w:pPr>
            <w:r>
              <w:rPr>
                <w:rFonts w:ascii="Arial" w:cs="Arial" w:eastAsia="Arial" w:hAnsi="Arial"/>
                <w:sz w:val="13"/>
                <w:szCs w:val="13"/>
                <w:color w:val="auto"/>
              </w:rPr>
              <w:t>Oceania[A]</w:t>
            </w:r>
          </w:p>
        </w:tc>
        <w:tc>
          <w:tcPr>
            <w:tcW w:w="660" w:type="dxa"/>
            <w:vAlign w:val="bottom"/>
          </w:tcPr>
          <w:p>
            <w:pPr>
              <w:jc w:val="right"/>
              <w:ind w:right="29"/>
              <w:spacing w:after="0"/>
              <w:rPr>
                <w:sz w:val="20"/>
                <w:szCs w:val="20"/>
                <w:color w:val="auto"/>
              </w:rPr>
            </w:pPr>
            <w:r>
              <w:rPr>
                <w:rFonts w:ascii="Arial" w:cs="Arial" w:eastAsia="Arial" w:hAnsi="Arial"/>
                <w:sz w:val="13"/>
                <w:szCs w:val="13"/>
                <w:color w:val="auto"/>
              </w:rPr>
              <w:t>Africa</w:t>
            </w:r>
          </w:p>
        </w:tc>
        <w:tc>
          <w:tcPr>
            <w:tcW w:w="580" w:type="dxa"/>
            <w:vAlign w:val="bottom"/>
          </w:tcPr>
          <w:p>
            <w:pPr>
              <w:jc w:val="right"/>
              <w:ind w:right="69"/>
              <w:spacing w:after="0"/>
              <w:rPr>
                <w:sz w:val="20"/>
                <w:szCs w:val="20"/>
                <w:color w:val="auto"/>
              </w:rPr>
            </w:pPr>
            <w:r>
              <w:rPr>
                <w:rFonts w:ascii="Arial" w:cs="Arial" w:eastAsia="Arial" w:hAnsi="Arial"/>
                <w:sz w:val="13"/>
                <w:szCs w:val="13"/>
                <w:color w:val="auto"/>
              </w:rPr>
              <w:t>USA</w:t>
            </w:r>
          </w:p>
        </w:tc>
        <w:tc>
          <w:tcPr>
            <w:tcW w:w="1300" w:type="dxa"/>
            <w:vAlign w:val="bottom"/>
            <w:gridSpan w:val="2"/>
          </w:tcPr>
          <w:p>
            <w:pPr>
              <w:jc w:val="right"/>
              <w:ind w:right="340"/>
              <w:spacing w:after="0"/>
              <w:rPr>
                <w:sz w:val="20"/>
                <w:szCs w:val="20"/>
                <w:color w:val="auto"/>
              </w:rPr>
            </w:pPr>
            <w:r>
              <w:rPr>
                <w:rFonts w:ascii="Arial" w:cs="Arial" w:eastAsia="Arial" w:hAnsi="Arial"/>
                <w:sz w:val="13"/>
                <w:szCs w:val="13"/>
                <w:color w:val="auto"/>
              </w:rPr>
              <w:t>Canada</w:t>
            </w:r>
          </w:p>
        </w:tc>
        <w:tc>
          <w:tcPr>
            <w:tcW w:w="740" w:type="dxa"/>
            <w:vAlign w:val="bottom"/>
            <w:gridSpan w:val="2"/>
          </w:tcPr>
          <w:p>
            <w:pPr>
              <w:jc w:val="right"/>
              <w:ind w:right="120"/>
              <w:spacing w:after="0"/>
              <w:rPr>
                <w:sz w:val="20"/>
                <w:szCs w:val="20"/>
                <w:color w:val="auto"/>
              </w:rPr>
            </w:pPr>
            <w:r>
              <w:rPr>
                <w:rFonts w:ascii="Arial" w:cs="Arial" w:eastAsia="Arial" w:hAnsi="Arial"/>
                <w:sz w:val="13"/>
                <w:szCs w:val="13"/>
                <w:color w:val="auto"/>
              </w:rPr>
              <w:t>America</w:t>
            </w:r>
          </w:p>
        </w:tc>
        <w:tc>
          <w:tcPr>
            <w:tcW w:w="1260" w:type="dxa"/>
            <w:vAlign w:val="bottom"/>
          </w:tcPr>
          <w:p>
            <w:pPr>
              <w:jc w:val="right"/>
              <w:ind w:right="150"/>
              <w:spacing w:after="0"/>
              <w:rPr>
                <w:sz w:val="20"/>
                <w:szCs w:val="20"/>
                <w:color w:val="auto"/>
              </w:rPr>
            </w:pPr>
            <w:r>
              <w:rPr>
                <w:rFonts w:ascii="Arial" w:cs="Arial" w:eastAsia="Arial" w:hAnsi="Arial"/>
                <w:sz w:val="13"/>
                <w:szCs w:val="13"/>
                <w:color w:val="auto"/>
              </w:rPr>
              <w:t>Total</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0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680" w:type="dxa"/>
            <w:vAlign w:val="bottom"/>
            <w:gridSpan w:val="2"/>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4020" w:type="dxa"/>
            <w:vAlign w:val="bottom"/>
            <w:tcBorders>
              <w:bottom w:val="single" w:sz="8" w:color="auto"/>
            </w:tcBorders>
            <w:gridSpan w:val="2"/>
          </w:tcPr>
          <w:p>
            <w:pPr>
              <w:spacing w:after="0" w:line="155" w:lineRule="exact"/>
              <w:rPr>
                <w:sz w:val="20"/>
                <w:szCs w:val="20"/>
                <w:color w:val="auto"/>
              </w:rPr>
            </w:pPr>
            <w:r>
              <w:rPr>
                <w:rFonts w:ascii="Arial" w:cs="Arial" w:eastAsia="Arial" w:hAnsi="Arial"/>
                <w:sz w:val="14"/>
                <w:szCs w:val="14"/>
                <w:color w:val="auto"/>
              </w:rPr>
              <w:t>Third party revenue</w:t>
            </w:r>
          </w:p>
        </w:tc>
        <w:tc>
          <w:tcPr>
            <w:tcW w:w="1100" w:type="dxa"/>
            <w:vAlign w:val="bottom"/>
            <w:tcBorders>
              <w:bottom w:val="single" w:sz="8" w:color="auto"/>
            </w:tcBorders>
          </w:tcPr>
          <w:p>
            <w:pPr>
              <w:jc w:val="right"/>
              <w:ind w:right="89"/>
              <w:spacing w:after="0" w:line="155" w:lineRule="exact"/>
              <w:rPr>
                <w:sz w:val="20"/>
                <w:szCs w:val="20"/>
                <w:color w:val="auto"/>
              </w:rPr>
            </w:pPr>
            <w:r>
              <w:rPr>
                <w:rFonts w:ascii="Arial" w:cs="Arial" w:eastAsia="Arial" w:hAnsi="Arial"/>
                <w:sz w:val="14"/>
                <w:szCs w:val="14"/>
                <w:color w:val="auto"/>
              </w:rPr>
              <w:t>4,966</w:t>
            </w:r>
          </w:p>
        </w:tc>
        <w:tc>
          <w:tcPr>
            <w:tcW w:w="680" w:type="dxa"/>
            <w:vAlign w:val="bottom"/>
            <w:tcBorders>
              <w:bottom w:val="single" w:sz="8" w:color="auto"/>
            </w:tcBorders>
            <w:gridSpan w:val="2"/>
          </w:tcPr>
          <w:p>
            <w:pPr>
              <w:jc w:val="right"/>
              <w:ind w:right="200"/>
              <w:spacing w:after="0" w:line="155" w:lineRule="exact"/>
              <w:rPr>
                <w:sz w:val="20"/>
                <w:szCs w:val="20"/>
                <w:color w:val="auto"/>
              </w:rPr>
            </w:pPr>
            <w:r>
              <w:rPr>
                <w:rFonts w:ascii="Arial" w:cs="Arial" w:eastAsia="Arial" w:hAnsi="Arial"/>
                <w:sz w:val="14"/>
                <w:szCs w:val="14"/>
                <w:color w:val="auto"/>
              </w:rPr>
              <w:t>8,811</w:t>
            </w:r>
          </w:p>
        </w:tc>
        <w:tc>
          <w:tcPr>
            <w:tcW w:w="1080" w:type="dxa"/>
            <w:vAlign w:val="bottom"/>
            <w:tcBorders>
              <w:bottom w:val="single" w:sz="8" w:color="auto"/>
            </w:tcBorders>
          </w:tcPr>
          <w:p>
            <w:pPr>
              <w:jc w:val="right"/>
              <w:ind w:right="311"/>
              <w:spacing w:after="0" w:line="155" w:lineRule="exact"/>
              <w:rPr>
                <w:sz w:val="20"/>
                <w:szCs w:val="20"/>
                <w:color w:val="auto"/>
              </w:rPr>
            </w:pPr>
            <w:r>
              <w:rPr>
                <w:rFonts w:ascii="Arial" w:cs="Arial" w:eastAsia="Arial" w:hAnsi="Arial"/>
                <w:sz w:val="14"/>
                <w:szCs w:val="14"/>
                <w:color w:val="auto"/>
              </w:rPr>
              <w:t>1,292</w:t>
            </w:r>
          </w:p>
        </w:tc>
        <w:tc>
          <w:tcPr>
            <w:tcW w:w="660" w:type="dxa"/>
            <w:vAlign w:val="bottom"/>
            <w:tcBorders>
              <w:bottom w:val="single" w:sz="8" w:color="auto"/>
            </w:tcBorders>
          </w:tcPr>
          <w:p>
            <w:pPr>
              <w:jc w:val="right"/>
              <w:ind w:right="29"/>
              <w:spacing w:after="0" w:line="155" w:lineRule="exact"/>
              <w:rPr>
                <w:sz w:val="20"/>
                <w:szCs w:val="20"/>
                <w:color w:val="auto"/>
              </w:rPr>
            </w:pPr>
            <w:r>
              <w:rPr>
                <w:rFonts w:ascii="Arial" w:cs="Arial" w:eastAsia="Arial" w:hAnsi="Arial"/>
                <w:sz w:val="14"/>
                <w:szCs w:val="14"/>
                <w:color w:val="auto"/>
              </w:rPr>
              <w:t>–</w:t>
            </w:r>
          </w:p>
        </w:tc>
        <w:tc>
          <w:tcPr>
            <w:tcW w:w="580" w:type="dxa"/>
            <w:vAlign w:val="bottom"/>
            <w:tcBorders>
              <w:bottom w:val="single" w:sz="8" w:color="auto"/>
            </w:tcBorders>
          </w:tcPr>
          <w:p>
            <w:pPr>
              <w:jc w:val="right"/>
              <w:ind w:right="69"/>
              <w:spacing w:after="0" w:line="155" w:lineRule="exact"/>
              <w:rPr>
                <w:sz w:val="20"/>
                <w:szCs w:val="20"/>
                <w:color w:val="auto"/>
              </w:rPr>
            </w:pPr>
            <w:r>
              <w:rPr>
                <w:rFonts w:ascii="Arial" w:cs="Arial" w:eastAsia="Arial" w:hAnsi="Arial"/>
                <w:sz w:val="14"/>
                <w:szCs w:val="14"/>
                <w:color w:val="auto"/>
              </w:rPr>
              <w:t>–</w:t>
            </w:r>
          </w:p>
        </w:tc>
        <w:tc>
          <w:tcPr>
            <w:tcW w:w="1300" w:type="dxa"/>
            <w:vAlign w:val="bottom"/>
            <w:tcBorders>
              <w:bottom w:val="single" w:sz="8" w:color="auto"/>
            </w:tcBorders>
            <w:gridSpan w:val="2"/>
          </w:tcPr>
          <w:p>
            <w:pPr>
              <w:jc w:val="right"/>
              <w:ind w:right="340"/>
              <w:spacing w:after="0" w:line="155" w:lineRule="exact"/>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gridSpan w:val="2"/>
          </w:tcPr>
          <w:p>
            <w:pPr>
              <w:jc w:val="right"/>
              <w:ind w:right="120"/>
              <w:spacing w:after="0" w:line="155" w:lineRule="exact"/>
              <w:rPr>
                <w:sz w:val="20"/>
                <w:szCs w:val="20"/>
                <w:color w:val="auto"/>
              </w:rPr>
            </w:pPr>
            <w:r>
              <w:rPr>
                <w:rFonts w:ascii="Arial" w:cs="Arial" w:eastAsia="Arial" w:hAnsi="Arial"/>
                <w:sz w:val="14"/>
                <w:szCs w:val="14"/>
                <w:color w:val="auto"/>
              </w:rPr>
              <w:t>–</w:t>
            </w:r>
          </w:p>
        </w:tc>
        <w:tc>
          <w:tcPr>
            <w:tcW w:w="1260" w:type="dxa"/>
            <w:vAlign w:val="bottom"/>
            <w:tcBorders>
              <w:bottom w:val="single" w:sz="8" w:color="auto"/>
            </w:tcBorders>
          </w:tcPr>
          <w:p>
            <w:pPr>
              <w:jc w:val="right"/>
              <w:ind w:right="150"/>
              <w:spacing w:after="0" w:line="155" w:lineRule="exact"/>
              <w:rPr>
                <w:sz w:val="20"/>
                <w:szCs w:val="20"/>
                <w:color w:val="auto"/>
              </w:rPr>
            </w:pPr>
            <w:r>
              <w:rPr>
                <w:rFonts w:ascii="Arial" w:cs="Arial" w:eastAsia="Arial" w:hAnsi="Arial"/>
                <w:sz w:val="14"/>
                <w:szCs w:val="14"/>
                <w:color w:val="auto"/>
              </w:rPr>
              <w:t>15,069</w:t>
            </w:r>
          </w:p>
        </w:tc>
        <w:tc>
          <w:tcPr>
            <w:tcW w:w="0" w:type="dxa"/>
            <w:vAlign w:val="bottom"/>
          </w:tcPr>
          <w:p>
            <w:pPr>
              <w:spacing w:after="0"/>
              <w:rPr>
                <w:sz w:val="1"/>
                <w:szCs w:val="1"/>
                <w:color w:val="auto"/>
              </w:rPr>
            </w:pPr>
          </w:p>
        </w:tc>
      </w:tr>
      <w:tr>
        <w:trPr>
          <w:trHeight w:val="156"/>
        </w:trPr>
        <w:tc>
          <w:tcPr>
            <w:tcW w:w="4020" w:type="dxa"/>
            <w:vAlign w:val="bottom"/>
            <w:tcBorders>
              <w:bottom w:val="single" w:sz="8" w:color="auto"/>
            </w:tcBorders>
            <w:gridSpan w:val="2"/>
          </w:tcPr>
          <w:p>
            <w:pPr>
              <w:spacing w:after="0" w:line="155" w:lineRule="exact"/>
              <w:rPr>
                <w:sz w:val="20"/>
                <w:szCs w:val="20"/>
                <w:color w:val="auto"/>
              </w:rPr>
            </w:pPr>
            <w:r>
              <w:rPr>
                <w:rFonts w:ascii="Arial" w:cs="Arial" w:eastAsia="Arial" w:hAnsi="Arial"/>
                <w:sz w:val="14"/>
                <w:szCs w:val="14"/>
                <w:color w:val="auto"/>
              </w:rPr>
              <w:t>Total</w:t>
            </w:r>
          </w:p>
        </w:tc>
        <w:tc>
          <w:tcPr>
            <w:tcW w:w="1100" w:type="dxa"/>
            <w:vAlign w:val="bottom"/>
            <w:tcBorders>
              <w:bottom w:val="single" w:sz="8" w:color="auto"/>
            </w:tcBorders>
          </w:tcPr>
          <w:p>
            <w:pPr>
              <w:jc w:val="right"/>
              <w:ind w:right="89"/>
              <w:spacing w:after="0" w:line="155" w:lineRule="exact"/>
              <w:rPr>
                <w:sz w:val="20"/>
                <w:szCs w:val="20"/>
                <w:color w:val="auto"/>
              </w:rPr>
            </w:pPr>
            <w:r>
              <w:rPr>
                <w:rFonts w:ascii="Arial" w:cs="Arial" w:eastAsia="Arial" w:hAnsi="Arial"/>
                <w:sz w:val="14"/>
                <w:szCs w:val="14"/>
                <w:color w:val="auto"/>
              </w:rPr>
              <w:t>4,966</w:t>
            </w:r>
          </w:p>
        </w:tc>
        <w:tc>
          <w:tcPr>
            <w:tcW w:w="680" w:type="dxa"/>
            <w:vAlign w:val="bottom"/>
            <w:tcBorders>
              <w:bottom w:val="single" w:sz="8" w:color="auto"/>
            </w:tcBorders>
            <w:gridSpan w:val="2"/>
          </w:tcPr>
          <w:p>
            <w:pPr>
              <w:jc w:val="right"/>
              <w:ind w:right="200"/>
              <w:spacing w:after="0" w:line="155" w:lineRule="exact"/>
              <w:rPr>
                <w:sz w:val="20"/>
                <w:szCs w:val="20"/>
                <w:color w:val="auto"/>
              </w:rPr>
            </w:pPr>
            <w:r>
              <w:rPr>
                <w:rFonts w:ascii="Arial" w:cs="Arial" w:eastAsia="Arial" w:hAnsi="Arial"/>
                <w:sz w:val="14"/>
                <w:szCs w:val="14"/>
                <w:color w:val="auto"/>
              </w:rPr>
              <w:t>8,811</w:t>
            </w:r>
          </w:p>
        </w:tc>
        <w:tc>
          <w:tcPr>
            <w:tcW w:w="1080" w:type="dxa"/>
            <w:vAlign w:val="bottom"/>
            <w:tcBorders>
              <w:bottom w:val="single" w:sz="8" w:color="auto"/>
            </w:tcBorders>
          </w:tcPr>
          <w:p>
            <w:pPr>
              <w:jc w:val="right"/>
              <w:ind w:right="311"/>
              <w:spacing w:after="0" w:line="155" w:lineRule="exact"/>
              <w:rPr>
                <w:sz w:val="20"/>
                <w:szCs w:val="20"/>
                <w:color w:val="auto"/>
              </w:rPr>
            </w:pPr>
            <w:r>
              <w:rPr>
                <w:rFonts w:ascii="Arial" w:cs="Arial" w:eastAsia="Arial" w:hAnsi="Arial"/>
                <w:sz w:val="14"/>
                <w:szCs w:val="14"/>
                <w:color w:val="auto"/>
              </w:rPr>
              <w:t>1,292</w:t>
            </w:r>
          </w:p>
        </w:tc>
        <w:tc>
          <w:tcPr>
            <w:tcW w:w="660" w:type="dxa"/>
            <w:vAlign w:val="bottom"/>
            <w:tcBorders>
              <w:bottom w:val="single" w:sz="8" w:color="auto"/>
            </w:tcBorders>
          </w:tcPr>
          <w:p>
            <w:pPr>
              <w:jc w:val="right"/>
              <w:ind w:right="29"/>
              <w:spacing w:after="0" w:line="155" w:lineRule="exact"/>
              <w:rPr>
                <w:sz w:val="20"/>
                <w:szCs w:val="20"/>
                <w:color w:val="auto"/>
              </w:rPr>
            </w:pPr>
            <w:r>
              <w:rPr>
                <w:rFonts w:ascii="Arial" w:cs="Arial" w:eastAsia="Arial" w:hAnsi="Arial"/>
                <w:sz w:val="14"/>
                <w:szCs w:val="14"/>
                <w:color w:val="auto"/>
              </w:rPr>
              <w:t>–</w:t>
            </w:r>
          </w:p>
        </w:tc>
        <w:tc>
          <w:tcPr>
            <w:tcW w:w="580" w:type="dxa"/>
            <w:vAlign w:val="bottom"/>
            <w:tcBorders>
              <w:bottom w:val="single" w:sz="8" w:color="auto"/>
            </w:tcBorders>
          </w:tcPr>
          <w:p>
            <w:pPr>
              <w:jc w:val="right"/>
              <w:ind w:right="69"/>
              <w:spacing w:after="0" w:line="155" w:lineRule="exact"/>
              <w:rPr>
                <w:sz w:val="20"/>
                <w:szCs w:val="20"/>
                <w:color w:val="auto"/>
              </w:rPr>
            </w:pPr>
            <w:r>
              <w:rPr>
                <w:rFonts w:ascii="Arial" w:cs="Arial" w:eastAsia="Arial" w:hAnsi="Arial"/>
                <w:sz w:val="14"/>
                <w:szCs w:val="14"/>
                <w:color w:val="auto"/>
              </w:rPr>
              <w:t>–</w:t>
            </w:r>
          </w:p>
        </w:tc>
        <w:tc>
          <w:tcPr>
            <w:tcW w:w="1300" w:type="dxa"/>
            <w:vAlign w:val="bottom"/>
            <w:tcBorders>
              <w:bottom w:val="single" w:sz="8" w:color="auto"/>
            </w:tcBorders>
            <w:gridSpan w:val="2"/>
          </w:tcPr>
          <w:p>
            <w:pPr>
              <w:jc w:val="right"/>
              <w:ind w:right="340"/>
              <w:spacing w:after="0" w:line="155" w:lineRule="exact"/>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gridSpan w:val="2"/>
          </w:tcPr>
          <w:p>
            <w:pPr>
              <w:jc w:val="right"/>
              <w:ind w:right="120"/>
              <w:spacing w:after="0" w:line="155" w:lineRule="exact"/>
              <w:rPr>
                <w:sz w:val="20"/>
                <w:szCs w:val="20"/>
                <w:color w:val="auto"/>
              </w:rPr>
            </w:pPr>
            <w:r>
              <w:rPr>
                <w:rFonts w:ascii="Arial" w:cs="Arial" w:eastAsia="Arial" w:hAnsi="Arial"/>
                <w:sz w:val="14"/>
                <w:szCs w:val="14"/>
                <w:color w:val="auto"/>
              </w:rPr>
              <w:t>–</w:t>
            </w:r>
          </w:p>
        </w:tc>
        <w:tc>
          <w:tcPr>
            <w:tcW w:w="1260" w:type="dxa"/>
            <w:vAlign w:val="bottom"/>
            <w:tcBorders>
              <w:bottom w:val="single" w:sz="8" w:color="auto"/>
            </w:tcBorders>
          </w:tcPr>
          <w:p>
            <w:pPr>
              <w:jc w:val="right"/>
              <w:ind w:right="150"/>
              <w:spacing w:after="0" w:line="155" w:lineRule="exact"/>
              <w:rPr>
                <w:sz w:val="20"/>
                <w:szCs w:val="20"/>
                <w:color w:val="auto"/>
              </w:rPr>
            </w:pPr>
            <w:r>
              <w:rPr>
                <w:rFonts w:ascii="Arial" w:cs="Arial" w:eastAsia="Arial" w:hAnsi="Arial"/>
                <w:sz w:val="14"/>
                <w:szCs w:val="14"/>
                <w:color w:val="auto"/>
              </w:rPr>
              <w:t>15,069</w:t>
            </w:r>
          </w:p>
        </w:tc>
        <w:tc>
          <w:tcPr>
            <w:tcW w:w="0" w:type="dxa"/>
            <w:vAlign w:val="bottom"/>
          </w:tcPr>
          <w:p>
            <w:pPr>
              <w:spacing w:after="0"/>
              <w:rPr>
                <w:sz w:val="1"/>
                <w:szCs w:val="1"/>
                <w:color w:val="auto"/>
              </w:rPr>
            </w:pPr>
          </w:p>
        </w:tc>
      </w:tr>
      <w:tr>
        <w:trPr>
          <w:trHeight w:val="160"/>
        </w:trPr>
        <w:tc>
          <w:tcPr>
            <w:tcW w:w="4020" w:type="dxa"/>
            <w:vAlign w:val="bottom"/>
            <w:gridSpan w:val="2"/>
          </w:tcPr>
          <w:p>
            <w:pPr>
              <w:spacing w:after="0"/>
              <w:rPr>
                <w:sz w:val="20"/>
                <w:szCs w:val="20"/>
                <w:color w:val="auto"/>
              </w:rPr>
            </w:pPr>
            <w:r>
              <w:rPr>
                <w:rFonts w:ascii="Arial" w:cs="Arial" w:eastAsia="Arial" w:hAnsi="Arial"/>
                <w:sz w:val="14"/>
                <w:szCs w:val="14"/>
                <w:color w:val="auto"/>
              </w:rPr>
              <w:t>Production costs excluding taxes</w:t>
            </w:r>
          </w:p>
        </w:tc>
        <w:tc>
          <w:tcPr>
            <w:tcW w:w="1100" w:type="dxa"/>
            <w:vAlign w:val="bottom"/>
          </w:tcPr>
          <w:p>
            <w:pPr>
              <w:jc w:val="right"/>
              <w:ind w:right="89"/>
              <w:spacing w:after="0"/>
              <w:rPr>
                <w:sz w:val="20"/>
                <w:szCs w:val="20"/>
                <w:color w:val="auto"/>
              </w:rPr>
            </w:pPr>
            <w:r>
              <w:rPr>
                <w:rFonts w:ascii="Arial" w:cs="Arial" w:eastAsia="Arial" w:hAnsi="Arial"/>
                <w:sz w:val="14"/>
                <w:szCs w:val="14"/>
                <w:color w:val="auto"/>
              </w:rPr>
              <w:t>434</w:t>
            </w:r>
          </w:p>
        </w:tc>
        <w:tc>
          <w:tcPr>
            <w:tcW w:w="680" w:type="dxa"/>
            <w:vAlign w:val="bottom"/>
            <w:gridSpan w:val="2"/>
          </w:tcPr>
          <w:p>
            <w:pPr>
              <w:jc w:val="right"/>
              <w:ind w:right="200"/>
              <w:spacing w:after="0"/>
              <w:rPr>
                <w:sz w:val="20"/>
                <w:szCs w:val="20"/>
                <w:color w:val="auto"/>
              </w:rPr>
            </w:pPr>
            <w:r>
              <w:rPr>
                <w:rFonts w:ascii="Arial" w:cs="Arial" w:eastAsia="Arial" w:hAnsi="Arial"/>
                <w:sz w:val="14"/>
                <w:szCs w:val="14"/>
                <w:color w:val="auto"/>
              </w:rPr>
              <w:t>829</w:t>
            </w:r>
          </w:p>
        </w:tc>
        <w:tc>
          <w:tcPr>
            <w:tcW w:w="1080" w:type="dxa"/>
            <w:vAlign w:val="bottom"/>
          </w:tcPr>
          <w:p>
            <w:pPr>
              <w:jc w:val="right"/>
              <w:ind w:right="311"/>
              <w:spacing w:after="0"/>
              <w:rPr>
                <w:sz w:val="20"/>
                <w:szCs w:val="20"/>
                <w:color w:val="auto"/>
              </w:rPr>
            </w:pPr>
            <w:r>
              <w:rPr>
                <w:rFonts w:ascii="Arial" w:cs="Arial" w:eastAsia="Arial" w:hAnsi="Arial"/>
                <w:sz w:val="14"/>
                <w:szCs w:val="14"/>
                <w:color w:val="auto"/>
              </w:rPr>
              <w:t>272</w:t>
            </w:r>
          </w:p>
        </w:tc>
        <w:tc>
          <w:tcPr>
            <w:tcW w:w="66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580" w:type="dxa"/>
            <w:vAlign w:val="bottom"/>
          </w:tcPr>
          <w:p>
            <w:pPr>
              <w:jc w:val="right"/>
              <w:ind w:right="69"/>
              <w:spacing w:after="0"/>
              <w:rPr>
                <w:sz w:val="20"/>
                <w:szCs w:val="20"/>
                <w:color w:val="auto"/>
              </w:rPr>
            </w:pPr>
            <w:r>
              <w:rPr>
                <w:rFonts w:ascii="Arial" w:cs="Arial" w:eastAsia="Arial" w:hAnsi="Arial"/>
                <w:sz w:val="14"/>
                <w:szCs w:val="14"/>
                <w:color w:val="auto"/>
              </w:rPr>
              <w:t>–</w:t>
            </w:r>
          </w:p>
        </w:tc>
        <w:tc>
          <w:tcPr>
            <w:tcW w:w="1300" w:type="dxa"/>
            <w:vAlign w:val="bottom"/>
            <w:gridSpan w:val="2"/>
          </w:tcPr>
          <w:p>
            <w:pPr>
              <w:jc w:val="right"/>
              <w:ind w:right="340"/>
              <w:spacing w:after="0"/>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260" w:type="dxa"/>
            <w:vAlign w:val="bottom"/>
          </w:tcPr>
          <w:p>
            <w:pPr>
              <w:jc w:val="right"/>
              <w:ind w:right="150"/>
              <w:spacing w:after="0"/>
              <w:rPr>
                <w:sz w:val="20"/>
                <w:szCs w:val="20"/>
                <w:color w:val="auto"/>
              </w:rPr>
            </w:pPr>
            <w:r>
              <w:rPr>
                <w:rFonts w:ascii="Arial" w:cs="Arial" w:eastAsia="Arial" w:hAnsi="Arial"/>
                <w:sz w:val="14"/>
                <w:szCs w:val="14"/>
                <w:color w:val="auto"/>
              </w:rPr>
              <w:t>1,535</w:t>
            </w:r>
          </w:p>
        </w:tc>
        <w:tc>
          <w:tcPr>
            <w:tcW w:w="0" w:type="dxa"/>
            <w:vAlign w:val="bottom"/>
          </w:tcPr>
          <w:p>
            <w:pPr>
              <w:spacing w:after="0"/>
              <w:rPr>
                <w:sz w:val="1"/>
                <w:szCs w:val="1"/>
                <w:color w:val="auto"/>
              </w:rPr>
            </w:pPr>
          </w:p>
        </w:tc>
      </w:tr>
      <w:tr>
        <w:trPr>
          <w:trHeight w:val="162"/>
        </w:trPr>
        <w:tc>
          <w:tcPr>
            <w:tcW w:w="4020" w:type="dxa"/>
            <w:vAlign w:val="bottom"/>
            <w:gridSpan w:val="2"/>
          </w:tcPr>
          <w:p>
            <w:pPr>
              <w:spacing w:after="0"/>
              <w:rPr>
                <w:sz w:val="20"/>
                <w:szCs w:val="20"/>
                <w:color w:val="auto"/>
              </w:rPr>
            </w:pPr>
            <w:r>
              <w:rPr>
                <w:rFonts w:ascii="Arial" w:cs="Arial" w:eastAsia="Arial" w:hAnsi="Arial"/>
                <w:sz w:val="14"/>
                <w:szCs w:val="14"/>
                <w:color w:val="auto"/>
              </w:rPr>
              <w:t>Taxes other than income tax [B]</w:t>
            </w:r>
          </w:p>
        </w:tc>
        <w:tc>
          <w:tcPr>
            <w:tcW w:w="1100" w:type="dxa"/>
            <w:vAlign w:val="bottom"/>
          </w:tcPr>
          <w:p>
            <w:pPr>
              <w:jc w:val="right"/>
              <w:ind w:right="89"/>
              <w:spacing w:after="0"/>
              <w:rPr>
                <w:sz w:val="20"/>
                <w:szCs w:val="20"/>
                <w:color w:val="auto"/>
              </w:rPr>
            </w:pPr>
            <w:r>
              <w:rPr>
                <w:rFonts w:ascii="Arial" w:cs="Arial" w:eastAsia="Arial" w:hAnsi="Arial"/>
                <w:sz w:val="14"/>
                <w:szCs w:val="14"/>
                <w:color w:val="auto"/>
              </w:rPr>
              <w:t>2,634</w:t>
            </w:r>
          </w:p>
        </w:tc>
        <w:tc>
          <w:tcPr>
            <w:tcW w:w="680" w:type="dxa"/>
            <w:vAlign w:val="bottom"/>
            <w:gridSpan w:val="2"/>
          </w:tcPr>
          <w:p>
            <w:pPr>
              <w:jc w:val="right"/>
              <w:ind w:right="200"/>
              <w:spacing w:after="0"/>
              <w:rPr>
                <w:sz w:val="20"/>
                <w:szCs w:val="20"/>
                <w:color w:val="auto"/>
              </w:rPr>
            </w:pPr>
            <w:r>
              <w:rPr>
                <w:rFonts w:ascii="Arial" w:cs="Arial" w:eastAsia="Arial" w:hAnsi="Arial"/>
                <w:sz w:val="14"/>
                <w:szCs w:val="14"/>
                <w:color w:val="auto"/>
              </w:rPr>
              <w:t>2,518</w:t>
            </w:r>
          </w:p>
        </w:tc>
        <w:tc>
          <w:tcPr>
            <w:tcW w:w="1080" w:type="dxa"/>
            <w:vAlign w:val="bottom"/>
          </w:tcPr>
          <w:p>
            <w:pPr>
              <w:jc w:val="right"/>
              <w:ind w:right="311"/>
              <w:spacing w:after="0"/>
              <w:rPr>
                <w:sz w:val="20"/>
                <w:szCs w:val="20"/>
                <w:color w:val="auto"/>
              </w:rPr>
            </w:pPr>
            <w:r>
              <w:rPr>
                <w:rFonts w:ascii="Arial" w:cs="Arial" w:eastAsia="Arial" w:hAnsi="Arial"/>
                <w:sz w:val="14"/>
                <w:szCs w:val="14"/>
                <w:color w:val="auto"/>
              </w:rPr>
              <w:t>24</w:t>
            </w:r>
          </w:p>
        </w:tc>
        <w:tc>
          <w:tcPr>
            <w:tcW w:w="66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580" w:type="dxa"/>
            <w:vAlign w:val="bottom"/>
          </w:tcPr>
          <w:p>
            <w:pPr>
              <w:jc w:val="right"/>
              <w:ind w:right="69"/>
              <w:spacing w:after="0"/>
              <w:rPr>
                <w:sz w:val="20"/>
                <w:szCs w:val="20"/>
                <w:color w:val="auto"/>
              </w:rPr>
            </w:pPr>
            <w:r>
              <w:rPr>
                <w:rFonts w:ascii="Arial" w:cs="Arial" w:eastAsia="Arial" w:hAnsi="Arial"/>
                <w:sz w:val="14"/>
                <w:szCs w:val="14"/>
                <w:color w:val="auto"/>
              </w:rPr>
              <w:t>–</w:t>
            </w:r>
          </w:p>
        </w:tc>
        <w:tc>
          <w:tcPr>
            <w:tcW w:w="1300" w:type="dxa"/>
            <w:vAlign w:val="bottom"/>
            <w:gridSpan w:val="2"/>
          </w:tcPr>
          <w:p>
            <w:pPr>
              <w:jc w:val="right"/>
              <w:ind w:right="340"/>
              <w:spacing w:after="0"/>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260" w:type="dxa"/>
            <w:vAlign w:val="bottom"/>
          </w:tcPr>
          <w:p>
            <w:pPr>
              <w:jc w:val="right"/>
              <w:ind w:right="150"/>
              <w:spacing w:after="0"/>
              <w:rPr>
                <w:sz w:val="20"/>
                <w:szCs w:val="20"/>
                <w:color w:val="auto"/>
              </w:rPr>
            </w:pPr>
            <w:r>
              <w:rPr>
                <w:rFonts w:ascii="Arial" w:cs="Arial" w:eastAsia="Arial" w:hAnsi="Arial"/>
                <w:sz w:val="14"/>
                <w:szCs w:val="14"/>
                <w:color w:val="auto"/>
              </w:rPr>
              <w:t>5,176</w:t>
            </w:r>
          </w:p>
        </w:tc>
        <w:tc>
          <w:tcPr>
            <w:tcW w:w="0" w:type="dxa"/>
            <w:vAlign w:val="bottom"/>
          </w:tcPr>
          <w:p>
            <w:pPr>
              <w:spacing w:after="0"/>
              <w:rPr>
                <w:sz w:val="1"/>
                <w:szCs w:val="1"/>
                <w:color w:val="auto"/>
              </w:rPr>
            </w:pPr>
          </w:p>
        </w:tc>
      </w:tr>
      <w:tr>
        <w:trPr>
          <w:trHeight w:val="162"/>
        </w:trPr>
        <w:tc>
          <w:tcPr>
            <w:tcW w:w="4020" w:type="dxa"/>
            <w:vAlign w:val="bottom"/>
            <w:gridSpan w:val="2"/>
          </w:tcPr>
          <w:p>
            <w:pPr>
              <w:spacing w:after="0"/>
              <w:rPr>
                <w:sz w:val="20"/>
                <w:szCs w:val="20"/>
                <w:color w:val="auto"/>
              </w:rPr>
            </w:pPr>
            <w:r>
              <w:rPr>
                <w:rFonts w:ascii="Arial" w:cs="Arial" w:eastAsia="Arial" w:hAnsi="Arial"/>
                <w:sz w:val="14"/>
                <w:szCs w:val="14"/>
                <w:color w:val="auto"/>
              </w:rPr>
              <w:t>Exploration</w:t>
            </w:r>
          </w:p>
        </w:tc>
        <w:tc>
          <w:tcPr>
            <w:tcW w:w="1100" w:type="dxa"/>
            <w:vAlign w:val="bottom"/>
          </w:tcPr>
          <w:p>
            <w:pPr>
              <w:jc w:val="right"/>
              <w:ind w:right="89"/>
              <w:spacing w:after="0"/>
              <w:rPr>
                <w:sz w:val="20"/>
                <w:szCs w:val="20"/>
                <w:color w:val="auto"/>
              </w:rPr>
            </w:pPr>
            <w:r>
              <w:rPr>
                <w:rFonts w:ascii="Arial" w:cs="Arial" w:eastAsia="Arial" w:hAnsi="Arial"/>
                <w:sz w:val="14"/>
                <w:szCs w:val="14"/>
                <w:color w:val="auto"/>
              </w:rPr>
              <w:t>22</w:t>
            </w:r>
          </w:p>
        </w:tc>
        <w:tc>
          <w:tcPr>
            <w:tcW w:w="680" w:type="dxa"/>
            <w:vAlign w:val="bottom"/>
            <w:gridSpan w:val="2"/>
          </w:tcPr>
          <w:p>
            <w:pPr>
              <w:jc w:val="right"/>
              <w:ind w:right="200"/>
              <w:spacing w:after="0"/>
              <w:rPr>
                <w:sz w:val="20"/>
                <w:szCs w:val="20"/>
                <w:color w:val="auto"/>
              </w:rPr>
            </w:pPr>
            <w:r>
              <w:rPr>
                <w:rFonts w:ascii="Arial" w:cs="Arial" w:eastAsia="Arial" w:hAnsi="Arial"/>
                <w:sz w:val="14"/>
                <w:szCs w:val="14"/>
                <w:color w:val="auto"/>
              </w:rPr>
              <w:t>83</w:t>
            </w:r>
          </w:p>
        </w:tc>
        <w:tc>
          <w:tcPr>
            <w:tcW w:w="1080" w:type="dxa"/>
            <w:vAlign w:val="bottom"/>
          </w:tcPr>
          <w:p>
            <w:pPr>
              <w:jc w:val="right"/>
              <w:ind w:right="311"/>
              <w:spacing w:after="0"/>
              <w:rPr>
                <w:sz w:val="20"/>
                <w:szCs w:val="20"/>
                <w:color w:val="auto"/>
              </w:rPr>
            </w:pPr>
            <w:r>
              <w:rPr>
                <w:rFonts w:ascii="Arial" w:cs="Arial" w:eastAsia="Arial" w:hAnsi="Arial"/>
                <w:sz w:val="14"/>
                <w:szCs w:val="14"/>
                <w:color w:val="auto"/>
              </w:rPr>
              <w:t>66</w:t>
            </w:r>
          </w:p>
        </w:tc>
        <w:tc>
          <w:tcPr>
            <w:tcW w:w="66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580" w:type="dxa"/>
            <w:vAlign w:val="bottom"/>
          </w:tcPr>
          <w:p>
            <w:pPr>
              <w:jc w:val="right"/>
              <w:ind w:right="69"/>
              <w:spacing w:after="0"/>
              <w:rPr>
                <w:sz w:val="20"/>
                <w:szCs w:val="20"/>
                <w:color w:val="auto"/>
              </w:rPr>
            </w:pPr>
            <w:r>
              <w:rPr>
                <w:rFonts w:ascii="Arial" w:cs="Arial" w:eastAsia="Arial" w:hAnsi="Arial"/>
                <w:sz w:val="14"/>
                <w:szCs w:val="14"/>
                <w:color w:val="auto"/>
              </w:rPr>
              <w:t>–</w:t>
            </w:r>
          </w:p>
        </w:tc>
        <w:tc>
          <w:tcPr>
            <w:tcW w:w="1300" w:type="dxa"/>
            <w:vAlign w:val="bottom"/>
            <w:gridSpan w:val="2"/>
          </w:tcPr>
          <w:p>
            <w:pPr>
              <w:jc w:val="right"/>
              <w:ind w:right="340"/>
              <w:spacing w:after="0"/>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120"/>
              <w:spacing w:after="0"/>
              <w:rPr>
                <w:sz w:val="20"/>
                <w:szCs w:val="20"/>
                <w:color w:val="auto"/>
              </w:rPr>
            </w:pPr>
            <w:r>
              <w:rPr>
                <w:rFonts w:ascii="Arial" w:cs="Arial" w:eastAsia="Arial" w:hAnsi="Arial"/>
                <w:sz w:val="14"/>
                <w:szCs w:val="14"/>
                <w:color w:val="auto"/>
              </w:rPr>
              <w:t>18</w:t>
            </w:r>
          </w:p>
        </w:tc>
        <w:tc>
          <w:tcPr>
            <w:tcW w:w="1260" w:type="dxa"/>
            <w:vAlign w:val="bottom"/>
          </w:tcPr>
          <w:p>
            <w:pPr>
              <w:jc w:val="right"/>
              <w:ind w:right="150"/>
              <w:spacing w:after="0"/>
              <w:rPr>
                <w:sz w:val="20"/>
                <w:szCs w:val="20"/>
                <w:color w:val="auto"/>
              </w:rPr>
            </w:pPr>
            <w:r>
              <w:rPr>
                <w:rFonts w:ascii="Arial" w:cs="Arial" w:eastAsia="Arial" w:hAnsi="Arial"/>
                <w:sz w:val="14"/>
                <w:szCs w:val="14"/>
                <w:color w:val="auto"/>
              </w:rPr>
              <w:t>189</w:t>
            </w:r>
          </w:p>
        </w:tc>
        <w:tc>
          <w:tcPr>
            <w:tcW w:w="0" w:type="dxa"/>
            <w:vAlign w:val="bottom"/>
          </w:tcPr>
          <w:p>
            <w:pPr>
              <w:spacing w:after="0"/>
              <w:rPr>
                <w:sz w:val="1"/>
                <w:szCs w:val="1"/>
                <w:color w:val="auto"/>
              </w:rPr>
            </w:pPr>
          </w:p>
        </w:tc>
      </w:tr>
      <w:tr>
        <w:trPr>
          <w:trHeight w:val="162"/>
        </w:trPr>
        <w:tc>
          <w:tcPr>
            <w:tcW w:w="4020" w:type="dxa"/>
            <w:vAlign w:val="bottom"/>
            <w:gridSpan w:val="2"/>
          </w:tcPr>
          <w:p>
            <w:pPr>
              <w:spacing w:after="0"/>
              <w:rPr>
                <w:sz w:val="20"/>
                <w:szCs w:val="20"/>
                <w:color w:val="auto"/>
              </w:rPr>
            </w:pPr>
            <w:r>
              <w:rPr>
                <w:rFonts w:ascii="Arial" w:cs="Arial" w:eastAsia="Arial" w:hAnsi="Arial"/>
                <w:sz w:val="14"/>
                <w:szCs w:val="14"/>
                <w:color w:val="auto"/>
              </w:rPr>
              <w:t>Depreciation, depletion and amortisation</w:t>
            </w:r>
          </w:p>
        </w:tc>
        <w:tc>
          <w:tcPr>
            <w:tcW w:w="1100" w:type="dxa"/>
            <w:vAlign w:val="bottom"/>
          </w:tcPr>
          <w:p>
            <w:pPr>
              <w:jc w:val="right"/>
              <w:ind w:right="89"/>
              <w:spacing w:after="0"/>
              <w:rPr>
                <w:sz w:val="20"/>
                <w:szCs w:val="20"/>
                <w:color w:val="auto"/>
              </w:rPr>
            </w:pPr>
            <w:r>
              <w:rPr>
                <w:rFonts w:ascii="Arial" w:cs="Arial" w:eastAsia="Arial" w:hAnsi="Arial"/>
                <w:sz w:val="14"/>
                <w:szCs w:val="14"/>
                <w:color w:val="auto"/>
              </w:rPr>
              <w:t>198</w:t>
            </w:r>
          </w:p>
        </w:tc>
        <w:tc>
          <w:tcPr>
            <w:tcW w:w="680" w:type="dxa"/>
            <w:vAlign w:val="bottom"/>
            <w:gridSpan w:val="2"/>
          </w:tcPr>
          <w:p>
            <w:pPr>
              <w:jc w:val="right"/>
              <w:ind w:right="200"/>
              <w:spacing w:after="0"/>
              <w:rPr>
                <w:sz w:val="20"/>
                <w:szCs w:val="20"/>
                <w:color w:val="auto"/>
              </w:rPr>
            </w:pPr>
            <w:r>
              <w:rPr>
                <w:rFonts w:ascii="Arial" w:cs="Arial" w:eastAsia="Arial" w:hAnsi="Arial"/>
                <w:sz w:val="14"/>
                <w:szCs w:val="14"/>
                <w:color w:val="auto"/>
              </w:rPr>
              <w:t>1,117</w:t>
            </w:r>
          </w:p>
        </w:tc>
        <w:tc>
          <w:tcPr>
            <w:tcW w:w="1080" w:type="dxa"/>
            <w:vAlign w:val="bottom"/>
          </w:tcPr>
          <w:p>
            <w:pPr>
              <w:jc w:val="right"/>
              <w:ind w:right="311"/>
              <w:spacing w:after="0"/>
              <w:rPr>
                <w:sz w:val="20"/>
                <w:szCs w:val="20"/>
                <w:color w:val="auto"/>
              </w:rPr>
            </w:pPr>
            <w:r>
              <w:rPr>
                <w:rFonts w:ascii="Arial" w:cs="Arial" w:eastAsia="Arial" w:hAnsi="Arial"/>
                <w:sz w:val="14"/>
                <w:szCs w:val="14"/>
                <w:color w:val="auto"/>
              </w:rPr>
              <w:t>373</w:t>
            </w:r>
          </w:p>
        </w:tc>
        <w:tc>
          <w:tcPr>
            <w:tcW w:w="66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580" w:type="dxa"/>
            <w:vAlign w:val="bottom"/>
          </w:tcPr>
          <w:p>
            <w:pPr>
              <w:jc w:val="right"/>
              <w:ind w:right="69"/>
              <w:spacing w:after="0"/>
              <w:rPr>
                <w:sz w:val="20"/>
                <w:szCs w:val="20"/>
                <w:color w:val="auto"/>
              </w:rPr>
            </w:pPr>
            <w:r>
              <w:rPr>
                <w:rFonts w:ascii="Arial" w:cs="Arial" w:eastAsia="Arial" w:hAnsi="Arial"/>
                <w:sz w:val="14"/>
                <w:szCs w:val="14"/>
                <w:color w:val="auto"/>
              </w:rPr>
              <w:t>–</w:t>
            </w:r>
          </w:p>
        </w:tc>
        <w:tc>
          <w:tcPr>
            <w:tcW w:w="1300" w:type="dxa"/>
            <w:vAlign w:val="bottom"/>
            <w:gridSpan w:val="2"/>
          </w:tcPr>
          <w:p>
            <w:pPr>
              <w:jc w:val="right"/>
              <w:ind w:right="340"/>
              <w:spacing w:after="0"/>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260" w:type="dxa"/>
            <w:vAlign w:val="bottom"/>
          </w:tcPr>
          <w:p>
            <w:pPr>
              <w:jc w:val="right"/>
              <w:ind w:right="150"/>
              <w:spacing w:after="0"/>
              <w:rPr>
                <w:sz w:val="20"/>
                <w:szCs w:val="20"/>
                <w:color w:val="auto"/>
              </w:rPr>
            </w:pPr>
            <w:r>
              <w:rPr>
                <w:rFonts w:ascii="Arial" w:cs="Arial" w:eastAsia="Arial" w:hAnsi="Arial"/>
                <w:sz w:val="14"/>
                <w:szCs w:val="14"/>
                <w:color w:val="auto"/>
              </w:rPr>
              <w:t>1,688</w:t>
            </w:r>
          </w:p>
        </w:tc>
        <w:tc>
          <w:tcPr>
            <w:tcW w:w="0" w:type="dxa"/>
            <w:vAlign w:val="bottom"/>
          </w:tcPr>
          <w:p>
            <w:pPr>
              <w:spacing w:after="0"/>
              <w:rPr>
                <w:sz w:val="1"/>
                <w:szCs w:val="1"/>
                <w:color w:val="auto"/>
              </w:rPr>
            </w:pPr>
          </w:p>
        </w:tc>
      </w:tr>
      <w:tr>
        <w:trPr>
          <w:trHeight w:val="157"/>
        </w:trPr>
        <w:tc>
          <w:tcPr>
            <w:tcW w:w="4020" w:type="dxa"/>
            <w:vAlign w:val="bottom"/>
            <w:tcBorders>
              <w:bottom w:val="single" w:sz="8" w:color="auto"/>
            </w:tcBorders>
            <w:gridSpan w:val="2"/>
          </w:tcPr>
          <w:p>
            <w:pPr>
              <w:spacing w:after="0" w:line="157" w:lineRule="exact"/>
              <w:rPr>
                <w:sz w:val="20"/>
                <w:szCs w:val="20"/>
                <w:color w:val="auto"/>
              </w:rPr>
            </w:pPr>
            <w:r>
              <w:rPr>
                <w:rFonts w:ascii="Arial" w:cs="Arial" w:eastAsia="Arial" w:hAnsi="Arial"/>
                <w:sz w:val="14"/>
                <w:szCs w:val="14"/>
                <w:color w:val="auto"/>
              </w:rPr>
              <w:t>Other costs/(income)</w:t>
            </w:r>
          </w:p>
        </w:tc>
        <w:tc>
          <w:tcPr>
            <w:tcW w:w="1100" w:type="dxa"/>
            <w:vAlign w:val="bottom"/>
            <w:tcBorders>
              <w:bottom w:val="single" w:sz="8" w:color="auto"/>
            </w:tcBorders>
          </w:tcPr>
          <w:p>
            <w:pPr>
              <w:jc w:val="right"/>
              <w:ind w:right="49"/>
              <w:spacing w:after="0" w:line="157" w:lineRule="exact"/>
              <w:rPr>
                <w:sz w:val="20"/>
                <w:szCs w:val="20"/>
                <w:color w:val="auto"/>
              </w:rPr>
            </w:pPr>
            <w:r>
              <w:rPr>
                <w:rFonts w:ascii="Arial" w:cs="Arial" w:eastAsia="Arial" w:hAnsi="Arial"/>
                <w:sz w:val="14"/>
                <w:szCs w:val="14"/>
                <w:color w:val="auto"/>
              </w:rPr>
              <w:t>(6)</w:t>
            </w:r>
          </w:p>
        </w:tc>
        <w:tc>
          <w:tcPr>
            <w:tcW w:w="680" w:type="dxa"/>
            <w:vAlign w:val="bottom"/>
            <w:tcBorders>
              <w:bottom w:val="single" w:sz="8" w:color="auto"/>
            </w:tcBorders>
            <w:gridSpan w:val="2"/>
          </w:tcPr>
          <w:p>
            <w:pPr>
              <w:jc w:val="right"/>
              <w:ind w:right="200"/>
              <w:spacing w:after="0" w:line="157" w:lineRule="exact"/>
              <w:rPr>
                <w:sz w:val="20"/>
                <w:szCs w:val="20"/>
                <w:color w:val="auto"/>
              </w:rPr>
            </w:pPr>
            <w:r>
              <w:rPr>
                <w:rFonts w:ascii="Arial" w:cs="Arial" w:eastAsia="Arial" w:hAnsi="Arial"/>
                <w:sz w:val="14"/>
                <w:szCs w:val="14"/>
                <w:color w:val="auto"/>
              </w:rPr>
              <w:t>643</w:t>
            </w:r>
          </w:p>
        </w:tc>
        <w:tc>
          <w:tcPr>
            <w:tcW w:w="1080" w:type="dxa"/>
            <w:vAlign w:val="bottom"/>
            <w:tcBorders>
              <w:bottom w:val="single" w:sz="8" w:color="auto"/>
            </w:tcBorders>
          </w:tcPr>
          <w:p>
            <w:pPr>
              <w:jc w:val="right"/>
              <w:ind w:right="311"/>
              <w:spacing w:after="0" w:line="157" w:lineRule="exact"/>
              <w:rPr>
                <w:sz w:val="20"/>
                <w:szCs w:val="20"/>
                <w:color w:val="auto"/>
              </w:rPr>
            </w:pPr>
            <w:r>
              <w:rPr>
                <w:rFonts w:ascii="Arial" w:cs="Arial" w:eastAsia="Arial" w:hAnsi="Arial"/>
                <w:sz w:val="14"/>
                <w:szCs w:val="14"/>
                <w:color w:val="auto"/>
              </w:rPr>
              <w:t>96</w:t>
            </w:r>
          </w:p>
        </w:tc>
        <w:tc>
          <w:tcPr>
            <w:tcW w:w="660" w:type="dxa"/>
            <w:vAlign w:val="bottom"/>
            <w:tcBorders>
              <w:bottom w:val="single" w:sz="8" w:color="auto"/>
            </w:tcBorders>
          </w:tcPr>
          <w:p>
            <w:pPr>
              <w:jc w:val="right"/>
              <w:ind w:right="29"/>
              <w:spacing w:after="0" w:line="157" w:lineRule="exact"/>
              <w:rPr>
                <w:sz w:val="20"/>
                <w:szCs w:val="20"/>
                <w:color w:val="auto"/>
              </w:rPr>
            </w:pPr>
            <w:r>
              <w:rPr>
                <w:rFonts w:ascii="Arial" w:cs="Arial" w:eastAsia="Arial" w:hAnsi="Arial"/>
                <w:sz w:val="14"/>
                <w:szCs w:val="14"/>
                <w:color w:val="auto"/>
              </w:rPr>
              <w:t>–</w:t>
            </w:r>
          </w:p>
        </w:tc>
        <w:tc>
          <w:tcPr>
            <w:tcW w:w="580" w:type="dxa"/>
            <w:vAlign w:val="bottom"/>
            <w:tcBorders>
              <w:bottom w:val="single" w:sz="8" w:color="auto"/>
            </w:tcBorders>
          </w:tcPr>
          <w:p>
            <w:pPr>
              <w:jc w:val="right"/>
              <w:ind w:right="69"/>
              <w:spacing w:after="0" w:line="157" w:lineRule="exact"/>
              <w:rPr>
                <w:sz w:val="20"/>
                <w:szCs w:val="20"/>
                <w:color w:val="auto"/>
              </w:rPr>
            </w:pPr>
            <w:r>
              <w:rPr>
                <w:rFonts w:ascii="Arial" w:cs="Arial" w:eastAsia="Arial" w:hAnsi="Arial"/>
                <w:sz w:val="14"/>
                <w:szCs w:val="14"/>
                <w:color w:val="auto"/>
              </w:rPr>
              <w:t>–</w:t>
            </w:r>
          </w:p>
        </w:tc>
        <w:tc>
          <w:tcPr>
            <w:tcW w:w="1300" w:type="dxa"/>
            <w:vAlign w:val="bottom"/>
            <w:tcBorders>
              <w:bottom w:val="single" w:sz="8" w:color="auto"/>
            </w:tcBorders>
            <w:gridSpan w:val="2"/>
          </w:tcPr>
          <w:p>
            <w:pPr>
              <w:jc w:val="right"/>
              <w:ind w:right="340"/>
              <w:spacing w:after="0" w:line="157" w:lineRule="exact"/>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gridSpan w:val="2"/>
          </w:tcPr>
          <w:p>
            <w:pPr>
              <w:jc w:val="right"/>
              <w:ind w:right="120"/>
              <w:spacing w:after="0" w:line="157" w:lineRule="exact"/>
              <w:rPr>
                <w:sz w:val="20"/>
                <w:szCs w:val="20"/>
                <w:color w:val="auto"/>
              </w:rPr>
            </w:pPr>
            <w:r>
              <w:rPr>
                <w:rFonts w:ascii="Arial" w:cs="Arial" w:eastAsia="Arial" w:hAnsi="Arial"/>
                <w:sz w:val="14"/>
                <w:szCs w:val="14"/>
                <w:color w:val="auto"/>
              </w:rPr>
              <w:t>258</w:t>
            </w:r>
          </w:p>
        </w:tc>
        <w:tc>
          <w:tcPr>
            <w:tcW w:w="1260" w:type="dxa"/>
            <w:vAlign w:val="bottom"/>
            <w:tcBorders>
              <w:bottom w:val="single" w:sz="8" w:color="auto"/>
            </w:tcBorders>
          </w:tcPr>
          <w:p>
            <w:pPr>
              <w:jc w:val="right"/>
              <w:ind w:right="150"/>
              <w:spacing w:after="0" w:line="157" w:lineRule="exact"/>
              <w:rPr>
                <w:sz w:val="20"/>
                <w:szCs w:val="20"/>
                <w:color w:val="auto"/>
              </w:rPr>
            </w:pPr>
            <w:r>
              <w:rPr>
                <w:rFonts w:ascii="Arial" w:cs="Arial" w:eastAsia="Arial" w:hAnsi="Arial"/>
                <w:sz w:val="14"/>
                <w:szCs w:val="14"/>
                <w:color w:val="auto"/>
              </w:rPr>
              <w:t>991</w:t>
            </w:r>
          </w:p>
        </w:tc>
        <w:tc>
          <w:tcPr>
            <w:tcW w:w="0" w:type="dxa"/>
            <w:vAlign w:val="bottom"/>
          </w:tcPr>
          <w:p>
            <w:pPr>
              <w:spacing w:after="0"/>
              <w:rPr>
                <w:sz w:val="1"/>
                <w:szCs w:val="1"/>
                <w:color w:val="auto"/>
              </w:rPr>
            </w:pPr>
          </w:p>
        </w:tc>
      </w:tr>
      <w:tr>
        <w:trPr>
          <w:trHeight w:val="160"/>
        </w:trPr>
        <w:tc>
          <w:tcPr>
            <w:tcW w:w="4020" w:type="dxa"/>
            <w:vAlign w:val="bottom"/>
            <w:gridSpan w:val="2"/>
          </w:tcPr>
          <w:p>
            <w:pPr>
              <w:spacing w:after="0"/>
              <w:rPr>
                <w:sz w:val="20"/>
                <w:szCs w:val="20"/>
                <w:color w:val="auto"/>
              </w:rPr>
            </w:pPr>
            <w:r>
              <w:rPr>
                <w:rFonts w:ascii="Arial" w:cs="Arial" w:eastAsia="Arial" w:hAnsi="Arial"/>
                <w:sz w:val="14"/>
                <w:szCs w:val="14"/>
                <w:color w:val="auto"/>
              </w:rPr>
              <w:t>Earnings before taxation</w:t>
            </w:r>
          </w:p>
        </w:tc>
        <w:tc>
          <w:tcPr>
            <w:tcW w:w="1100" w:type="dxa"/>
            <w:vAlign w:val="bottom"/>
          </w:tcPr>
          <w:p>
            <w:pPr>
              <w:jc w:val="right"/>
              <w:ind w:right="89"/>
              <w:spacing w:after="0"/>
              <w:rPr>
                <w:sz w:val="20"/>
                <w:szCs w:val="20"/>
                <w:color w:val="auto"/>
              </w:rPr>
            </w:pPr>
            <w:r>
              <w:rPr>
                <w:rFonts w:ascii="Arial" w:cs="Arial" w:eastAsia="Arial" w:hAnsi="Arial"/>
                <w:sz w:val="14"/>
                <w:szCs w:val="14"/>
                <w:color w:val="auto"/>
              </w:rPr>
              <w:t>1,684</w:t>
            </w:r>
          </w:p>
        </w:tc>
        <w:tc>
          <w:tcPr>
            <w:tcW w:w="680" w:type="dxa"/>
            <w:vAlign w:val="bottom"/>
            <w:gridSpan w:val="2"/>
          </w:tcPr>
          <w:p>
            <w:pPr>
              <w:jc w:val="right"/>
              <w:ind w:right="200"/>
              <w:spacing w:after="0"/>
              <w:rPr>
                <w:sz w:val="20"/>
                <w:szCs w:val="20"/>
                <w:color w:val="auto"/>
              </w:rPr>
            </w:pPr>
            <w:r>
              <w:rPr>
                <w:rFonts w:ascii="Arial" w:cs="Arial" w:eastAsia="Arial" w:hAnsi="Arial"/>
                <w:sz w:val="14"/>
                <w:szCs w:val="14"/>
                <w:color w:val="auto"/>
              </w:rPr>
              <w:t>3,621</w:t>
            </w:r>
          </w:p>
        </w:tc>
        <w:tc>
          <w:tcPr>
            <w:tcW w:w="1080" w:type="dxa"/>
            <w:vAlign w:val="bottom"/>
          </w:tcPr>
          <w:p>
            <w:pPr>
              <w:jc w:val="right"/>
              <w:ind w:right="311"/>
              <w:spacing w:after="0"/>
              <w:rPr>
                <w:sz w:val="20"/>
                <w:szCs w:val="20"/>
                <w:color w:val="auto"/>
              </w:rPr>
            </w:pPr>
            <w:r>
              <w:rPr>
                <w:rFonts w:ascii="Arial" w:cs="Arial" w:eastAsia="Arial" w:hAnsi="Arial"/>
                <w:sz w:val="14"/>
                <w:szCs w:val="14"/>
                <w:color w:val="auto"/>
              </w:rPr>
              <w:t>461</w:t>
            </w:r>
          </w:p>
        </w:tc>
        <w:tc>
          <w:tcPr>
            <w:tcW w:w="66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580" w:type="dxa"/>
            <w:vAlign w:val="bottom"/>
          </w:tcPr>
          <w:p>
            <w:pPr>
              <w:jc w:val="right"/>
              <w:ind w:right="69"/>
              <w:spacing w:after="0"/>
              <w:rPr>
                <w:sz w:val="20"/>
                <w:szCs w:val="20"/>
                <w:color w:val="auto"/>
              </w:rPr>
            </w:pPr>
            <w:r>
              <w:rPr>
                <w:rFonts w:ascii="Arial" w:cs="Arial" w:eastAsia="Arial" w:hAnsi="Arial"/>
                <w:sz w:val="14"/>
                <w:szCs w:val="14"/>
                <w:color w:val="auto"/>
              </w:rPr>
              <w:t>–</w:t>
            </w:r>
          </w:p>
        </w:tc>
        <w:tc>
          <w:tcPr>
            <w:tcW w:w="1300" w:type="dxa"/>
            <w:vAlign w:val="bottom"/>
            <w:gridSpan w:val="2"/>
          </w:tcPr>
          <w:p>
            <w:pPr>
              <w:jc w:val="right"/>
              <w:ind w:right="340"/>
              <w:spacing w:after="0"/>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60"/>
              <w:spacing w:after="0"/>
              <w:rPr>
                <w:sz w:val="20"/>
                <w:szCs w:val="20"/>
                <w:color w:val="auto"/>
              </w:rPr>
            </w:pPr>
            <w:r>
              <w:rPr>
                <w:rFonts w:ascii="Arial" w:cs="Arial" w:eastAsia="Arial" w:hAnsi="Arial"/>
                <w:sz w:val="14"/>
                <w:szCs w:val="14"/>
                <w:color w:val="auto"/>
              </w:rPr>
              <w:t>(276)</w:t>
            </w:r>
          </w:p>
        </w:tc>
        <w:tc>
          <w:tcPr>
            <w:tcW w:w="1260" w:type="dxa"/>
            <w:vAlign w:val="bottom"/>
          </w:tcPr>
          <w:p>
            <w:pPr>
              <w:jc w:val="right"/>
              <w:ind w:right="150"/>
              <w:spacing w:after="0"/>
              <w:rPr>
                <w:sz w:val="20"/>
                <w:szCs w:val="20"/>
                <w:color w:val="auto"/>
              </w:rPr>
            </w:pPr>
            <w:r>
              <w:rPr>
                <w:rFonts w:ascii="Arial" w:cs="Arial" w:eastAsia="Arial" w:hAnsi="Arial"/>
                <w:sz w:val="14"/>
                <w:szCs w:val="14"/>
                <w:color w:val="auto"/>
              </w:rPr>
              <w:t>5,490</w:t>
            </w:r>
          </w:p>
        </w:tc>
        <w:tc>
          <w:tcPr>
            <w:tcW w:w="0" w:type="dxa"/>
            <w:vAlign w:val="bottom"/>
          </w:tcPr>
          <w:p>
            <w:pPr>
              <w:spacing w:after="0"/>
              <w:rPr>
                <w:sz w:val="1"/>
                <w:szCs w:val="1"/>
                <w:color w:val="auto"/>
              </w:rPr>
            </w:pPr>
          </w:p>
        </w:tc>
      </w:tr>
      <w:tr>
        <w:trPr>
          <w:trHeight w:val="157"/>
        </w:trPr>
        <w:tc>
          <w:tcPr>
            <w:tcW w:w="4020" w:type="dxa"/>
            <w:vAlign w:val="bottom"/>
            <w:tcBorders>
              <w:bottom w:val="single" w:sz="8" w:color="auto"/>
            </w:tcBorders>
            <w:gridSpan w:val="2"/>
          </w:tcPr>
          <w:p>
            <w:pPr>
              <w:spacing w:after="0" w:line="157" w:lineRule="exact"/>
              <w:rPr>
                <w:sz w:val="20"/>
                <w:szCs w:val="20"/>
                <w:color w:val="auto"/>
              </w:rPr>
            </w:pPr>
            <w:r>
              <w:rPr>
                <w:rFonts w:ascii="Arial" w:cs="Arial" w:eastAsia="Arial" w:hAnsi="Arial"/>
                <w:sz w:val="14"/>
                <w:szCs w:val="14"/>
                <w:color w:val="auto"/>
              </w:rPr>
              <w:t>Taxation charge</w:t>
            </w:r>
          </w:p>
        </w:tc>
        <w:tc>
          <w:tcPr>
            <w:tcW w:w="1100" w:type="dxa"/>
            <w:vAlign w:val="bottom"/>
            <w:tcBorders>
              <w:bottom w:val="single" w:sz="8" w:color="auto"/>
            </w:tcBorders>
          </w:tcPr>
          <w:p>
            <w:pPr>
              <w:jc w:val="right"/>
              <w:ind w:right="89"/>
              <w:spacing w:after="0" w:line="157" w:lineRule="exact"/>
              <w:rPr>
                <w:sz w:val="20"/>
                <w:szCs w:val="20"/>
                <w:color w:val="auto"/>
              </w:rPr>
            </w:pPr>
            <w:r>
              <w:rPr>
                <w:rFonts w:ascii="Arial" w:cs="Arial" w:eastAsia="Arial" w:hAnsi="Arial"/>
                <w:sz w:val="14"/>
                <w:szCs w:val="14"/>
                <w:color w:val="auto"/>
              </w:rPr>
              <w:t>608</w:t>
            </w:r>
          </w:p>
        </w:tc>
        <w:tc>
          <w:tcPr>
            <w:tcW w:w="680" w:type="dxa"/>
            <w:vAlign w:val="bottom"/>
            <w:tcBorders>
              <w:bottom w:val="single" w:sz="8" w:color="auto"/>
            </w:tcBorders>
            <w:gridSpan w:val="2"/>
          </w:tcPr>
          <w:p>
            <w:pPr>
              <w:jc w:val="right"/>
              <w:ind w:right="200"/>
              <w:spacing w:after="0" w:line="157" w:lineRule="exact"/>
              <w:rPr>
                <w:sz w:val="20"/>
                <w:szCs w:val="20"/>
                <w:color w:val="auto"/>
              </w:rPr>
            </w:pPr>
            <w:r>
              <w:rPr>
                <w:rFonts w:ascii="Arial" w:cs="Arial" w:eastAsia="Arial" w:hAnsi="Arial"/>
                <w:sz w:val="14"/>
                <w:szCs w:val="14"/>
                <w:color w:val="auto"/>
              </w:rPr>
              <w:t>1,256</w:t>
            </w:r>
          </w:p>
        </w:tc>
        <w:tc>
          <w:tcPr>
            <w:tcW w:w="1080" w:type="dxa"/>
            <w:vAlign w:val="bottom"/>
            <w:tcBorders>
              <w:bottom w:val="single" w:sz="8" w:color="auto"/>
            </w:tcBorders>
          </w:tcPr>
          <w:p>
            <w:pPr>
              <w:jc w:val="right"/>
              <w:ind w:right="311"/>
              <w:spacing w:after="0" w:line="157" w:lineRule="exact"/>
              <w:rPr>
                <w:sz w:val="20"/>
                <w:szCs w:val="20"/>
                <w:color w:val="auto"/>
              </w:rPr>
            </w:pPr>
            <w:r>
              <w:rPr>
                <w:rFonts w:ascii="Arial" w:cs="Arial" w:eastAsia="Arial" w:hAnsi="Arial"/>
                <w:sz w:val="14"/>
                <w:szCs w:val="14"/>
                <w:color w:val="auto"/>
              </w:rPr>
              <w:t>190</w:t>
            </w:r>
          </w:p>
        </w:tc>
        <w:tc>
          <w:tcPr>
            <w:tcW w:w="660" w:type="dxa"/>
            <w:vAlign w:val="bottom"/>
            <w:tcBorders>
              <w:bottom w:val="single" w:sz="8" w:color="auto"/>
            </w:tcBorders>
          </w:tcPr>
          <w:p>
            <w:pPr>
              <w:jc w:val="right"/>
              <w:ind w:right="29"/>
              <w:spacing w:after="0" w:line="157" w:lineRule="exact"/>
              <w:rPr>
                <w:sz w:val="20"/>
                <w:szCs w:val="20"/>
                <w:color w:val="auto"/>
              </w:rPr>
            </w:pPr>
            <w:r>
              <w:rPr>
                <w:rFonts w:ascii="Arial" w:cs="Arial" w:eastAsia="Arial" w:hAnsi="Arial"/>
                <w:sz w:val="14"/>
                <w:szCs w:val="14"/>
                <w:color w:val="auto"/>
              </w:rPr>
              <w:t>–</w:t>
            </w:r>
          </w:p>
        </w:tc>
        <w:tc>
          <w:tcPr>
            <w:tcW w:w="580" w:type="dxa"/>
            <w:vAlign w:val="bottom"/>
            <w:tcBorders>
              <w:bottom w:val="single" w:sz="8" w:color="auto"/>
            </w:tcBorders>
          </w:tcPr>
          <w:p>
            <w:pPr>
              <w:jc w:val="right"/>
              <w:ind w:right="69"/>
              <w:spacing w:after="0" w:line="157" w:lineRule="exact"/>
              <w:rPr>
                <w:sz w:val="20"/>
                <w:szCs w:val="20"/>
                <w:color w:val="auto"/>
              </w:rPr>
            </w:pPr>
            <w:r>
              <w:rPr>
                <w:rFonts w:ascii="Arial" w:cs="Arial" w:eastAsia="Arial" w:hAnsi="Arial"/>
                <w:sz w:val="14"/>
                <w:szCs w:val="14"/>
                <w:color w:val="auto"/>
              </w:rPr>
              <w:t>–</w:t>
            </w:r>
          </w:p>
        </w:tc>
        <w:tc>
          <w:tcPr>
            <w:tcW w:w="1300" w:type="dxa"/>
            <w:vAlign w:val="bottom"/>
            <w:tcBorders>
              <w:bottom w:val="single" w:sz="8" w:color="auto"/>
            </w:tcBorders>
            <w:gridSpan w:val="2"/>
          </w:tcPr>
          <w:p>
            <w:pPr>
              <w:jc w:val="right"/>
              <w:ind w:right="340"/>
              <w:spacing w:after="0" w:line="157" w:lineRule="exact"/>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gridSpan w:val="2"/>
          </w:tcPr>
          <w:p>
            <w:pPr>
              <w:jc w:val="right"/>
              <w:ind w:right="120"/>
              <w:spacing w:after="0" w:line="157" w:lineRule="exact"/>
              <w:rPr>
                <w:sz w:val="20"/>
                <w:szCs w:val="20"/>
                <w:color w:val="auto"/>
              </w:rPr>
            </w:pPr>
            <w:r>
              <w:rPr>
                <w:rFonts w:ascii="Arial" w:cs="Arial" w:eastAsia="Arial" w:hAnsi="Arial"/>
                <w:sz w:val="14"/>
                <w:szCs w:val="14"/>
                <w:color w:val="auto"/>
              </w:rPr>
              <w:t>–</w:t>
            </w:r>
          </w:p>
        </w:tc>
        <w:tc>
          <w:tcPr>
            <w:tcW w:w="1260" w:type="dxa"/>
            <w:vAlign w:val="bottom"/>
            <w:tcBorders>
              <w:bottom w:val="single" w:sz="8" w:color="auto"/>
            </w:tcBorders>
          </w:tcPr>
          <w:p>
            <w:pPr>
              <w:jc w:val="right"/>
              <w:ind w:right="150"/>
              <w:spacing w:after="0" w:line="157" w:lineRule="exact"/>
              <w:rPr>
                <w:sz w:val="20"/>
                <w:szCs w:val="20"/>
                <w:color w:val="auto"/>
              </w:rPr>
            </w:pPr>
            <w:r>
              <w:rPr>
                <w:rFonts w:ascii="Arial" w:cs="Arial" w:eastAsia="Arial" w:hAnsi="Arial"/>
                <w:sz w:val="14"/>
                <w:szCs w:val="14"/>
                <w:color w:val="auto"/>
              </w:rPr>
              <w:t>2,054</w:t>
            </w:r>
          </w:p>
        </w:tc>
        <w:tc>
          <w:tcPr>
            <w:tcW w:w="0" w:type="dxa"/>
            <w:vAlign w:val="bottom"/>
          </w:tcPr>
          <w:p>
            <w:pPr>
              <w:spacing w:after="0"/>
              <w:rPr>
                <w:sz w:val="1"/>
                <w:szCs w:val="1"/>
                <w:color w:val="auto"/>
              </w:rPr>
            </w:pPr>
          </w:p>
        </w:tc>
      </w:tr>
      <w:tr>
        <w:trPr>
          <w:trHeight w:val="156"/>
        </w:trPr>
        <w:tc>
          <w:tcPr>
            <w:tcW w:w="4020" w:type="dxa"/>
            <w:vAlign w:val="bottom"/>
            <w:tcBorders>
              <w:bottom w:val="single" w:sz="8" w:color="auto"/>
            </w:tcBorders>
            <w:gridSpan w:val="2"/>
          </w:tcPr>
          <w:p>
            <w:pPr>
              <w:spacing w:after="0" w:line="155" w:lineRule="exact"/>
              <w:rPr>
                <w:sz w:val="20"/>
                <w:szCs w:val="20"/>
                <w:color w:val="auto"/>
              </w:rPr>
            </w:pPr>
            <w:r>
              <w:rPr>
                <w:rFonts w:ascii="Arial" w:cs="Arial" w:eastAsia="Arial" w:hAnsi="Arial"/>
                <w:sz w:val="14"/>
                <w:szCs w:val="14"/>
                <w:color w:val="auto"/>
              </w:rPr>
              <w:t>Earnings after taxation</w:t>
            </w:r>
          </w:p>
        </w:tc>
        <w:tc>
          <w:tcPr>
            <w:tcW w:w="1100" w:type="dxa"/>
            <w:vAlign w:val="bottom"/>
            <w:tcBorders>
              <w:bottom w:val="single" w:sz="8" w:color="auto"/>
            </w:tcBorders>
          </w:tcPr>
          <w:p>
            <w:pPr>
              <w:jc w:val="right"/>
              <w:ind w:right="89"/>
              <w:spacing w:after="0" w:line="155" w:lineRule="exact"/>
              <w:rPr>
                <w:sz w:val="20"/>
                <w:szCs w:val="20"/>
                <w:color w:val="auto"/>
              </w:rPr>
            </w:pPr>
            <w:r>
              <w:rPr>
                <w:rFonts w:ascii="Arial" w:cs="Arial" w:eastAsia="Arial" w:hAnsi="Arial"/>
                <w:sz w:val="14"/>
                <w:szCs w:val="14"/>
                <w:color w:val="auto"/>
              </w:rPr>
              <w:t>1,076</w:t>
            </w:r>
          </w:p>
        </w:tc>
        <w:tc>
          <w:tcPr>
            <w:tcW w:w="680" w:type="dxa"/>
            <w:vAlign w:val="bottom"/>
            <w:tcBorders>
              <w:bottom w:val="single" w:sz="8" w:color="auto"/>
            </w:tcBorders>
            <w:gridSpan w:val="2"/>
          </w:tcPr>
          <w:p>
            <w:pPr>
              <w:jc w:val="right"/>
              <w:ind w:right="200"/>
              <w:spacing w:after="0" w:line="155" w:lineRule="exact"/>
              <w:rPr>
                <w:sz w:val="20"/>
                <w:szCs w:val="20"/>
                <w:color w:val="auto"/>
              </w:rPr>
            </w:pPr>
            <w:r>
              <w:rPr>
                <w:rFonts w:ascii="Arial" w:cs="Arial" w:eastAsia="Arial" w:hAnsi="Arial"/>
                <w:sz w:val="14"/>
                <w:szCs w:val="14"/>
                <w:color w:val="auto"/>
              </w:rPr>
              <w:t>2,365</w:t>
            </w:r>
          </w:p>
        </w:tc>
        <w:tc>
          <w:tcPr>
            <w:tcW w:w="1080" w:type="dxa"/>
            <w:vAlign w:val="bottom"/>
            <w:tcBorders>
              <w:bottom w:val="single" w:sz="8" w:color="auto"/>
            </w:tcBorders>
          </w:tcPr>
          <w:p>
            <w:pPr>
              <w:jc w:val="right"/>
              <w:ind w:right="311"/>
              <w:spacing w:after="0" w:line="155" w:lineRule="exact"/>
              <w:rPr>
                <w:sz w:val="20"/>
                <w:szCs w:val="20"/>
                <w:color w:val="auto"/>
              </w:rPr>
            </w:pPr>
            <w:r>
              <w:rPr>
                <w:rFonts w:ascii="Arial" w:cs="Arial" w:eastAsia="Arial" w:hAnsi="Arial"/>
                <w:sz w:val="14"/>
                <w:szCs w:val="14"/>
                <w:color w:val="auto"/>
              </w:rPr>
              <w:t>271</w:t>
            </w:r>
          </w:p>
        </w:tc>
        <w:tc>
          <w:tcPr>
            <w:tcW w:w="660" w:type="dxa"/>
            <w:vAlign w:val="bottom"/>
            <w:tcBorders>
              <w:bottom w:val="single" w:sz="8" w:color="auto"/>
            </w:tcBorders>
          </w:tcPr>
          <w:p>
            <w:pPr>
              <w:jc w:val="right"/>
              <w:ind w:right="29"/>
              <w:spacing w:after="0" w:line="155" w:lineRule="exact"/>
              <w:rPr>
                <w:sz w:val="20"/>
                <w:szCs w:val="20"/>
                <w:color w:val="auto"/>
              </w:rPr>
            </w:pPr>
            <w:r>
              <w:rPr>
                <w:rFonts w:ascii="Arial" w:cs="Arial" w:eastAsia="Arial" w:hAnsi="Arial"/>
                <w:sz w:val="14"/>
                <w:szCs w:val="14"/>
                <w:color w:val="auto"/>
              </w:rPr>
              <w:t>–</w:t>
            </w:r>
          </w:p>
        </w:tc>
        <w:tc>
          <w:tcPr>
            <w:tcW w:w="580" w:type="dxa"/>
            <w:vAlign w:val="bottom"/>
            <w:tcBorders>
              <w:bottom w:val="single" w:sz="8" w:color="auto"/>
            </w:tcBorders>
          </w:tcPr>
          <w:p>
            <w:pPr>
              <w:jc w:val="right"/>
              <w:ind w:right="69"/>
              <w:spacing w:after="0" w:line="155" w:lineRule="exact"/>
              <w:rPr>
                <w:sz w:val="20"/>
                <w:szCs w:val="20"/>
                <w:color w:val="auto"/>
              </w:rPr>
            </w:pPr>
            <w:r>
              <w:rPr>
                <w:rFonts w:ascii="Arial" w:cs="Arial" w:eastAsia="Arial" w:hAnsi="Arial"/>
                <w:sz w:val="14"/>
                <w:szCs w:val="14"/>
                <w:color w:val="auto"/>
              </w:rPr>
              <w:t>–</w:t>
            </w:r>
          </w:p>
        </w:tc>
        <w:tc>
          <w:tcPr>
            <w:tcW w:w="1300" w:type="dxa"/>
            <w:vAlign w:val="bottom"/>
            <w:tcBorders>
              <w:bottom w:val="single" w:sz="8" w:color="auto"/>
            </w:tcBorders>
            <w:gridSpan w:val="2"/>
          </w:tcPr>
          <w:p>
            <w:pPr>
              <w:jc w:val="right"/>
              <w:ind w:right="340"/>
              <w:spacing w:after="0" w:line="155" w:lineRule="exact"/>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gridSpan w:val="2"/>
          </w:tcPr>
          <w:p>
            <w:pPr>
              <w:jc w:val="right"/>
              <w:ind w:right="60"/>
              <w:spacing w:after="0" w:line="155" w:lineRule="exact"/>
              <w:rPr>
                <w:sz w:val="20"/>
                <w:szCs w:val="20"/>
                <w:color w:val="auto"/>
              </w:rPr>
            </w:pPr>
            <w:r>
              <w:rPr>
                <w:rFonts w:ascii="Arial" w:cs="Arial" w:eastAsia="Arial" w:hAnsi="Arial"/>
                <w:sz w:val="14"/>
                <w:szCs w:val="14"/>
                <w:color w:val="auto"/>
              </w:rPr>
              <w:t>(276)</w:t>
            </w:r>
          </w:p>
        </w:tc>
        <w:tc>
          <w:tcPr>
            <w:tcW w:w="1260" w:type="dxa"/>
            <w:vAlign w:val="bottom"/>
            <w:tcBorders>
              <w:bottom w:val="single" w:sz="8" w:color="auto"/>
            </w:tcBorders>
          </w:tcPr>
          <w:p>
            <w:pPr>
              <w:jc w:val="right"/>
              <w:ind w:right="150"/>
              <w:spacing w:after="0" w:line="155" w:lineRule="exact"/>
              <w:rPr>
                <w:sz w:val="20"/>
                <w:szCs w:val="20"/>
                <w:color w:val="auto"/>
              </w:rPr>
            </w:pPr>
            <w:r>
              <w:rPr>
                <w:rFonts w:ascii="Arial" w:cs="Arial" w:eastAsia="Arial" w:hAnsi="Arial"/>
                <w:sz w:val="14"/>
                <w:szCs w:val="14"/>
                <w:color w:val="auto"/>
              </w:rPr>
              <w:t>3,436</w:t>
            </w:r>
          </w:p>
        </w:tc>
        <w:tc>
          <w:tcPr>
            <w:tcW w:w="0" w:type="dxa"/>
            <w:vAlign w:val="bottom"/>
          </w:tcPr>
          <w:p>
            <w:pPr>
              <w:spacing w:after="0"/>
              <w:rPr>
                <w:sz w:val="1"/>
                <w:szCs w:val="1"/>
                <w:color w:val="auto"/>
              </w:rPr>
            </w:pPr>
          </w:p>
        </w:tc>
      </w:tr>
    </w:tbl>
    <w:p>
      <w:pPr>
        <w:spacing w:after="0" w:line="32" w:lineRule="exact"/>
        <w:rPr>
          <w:sz w:val="20"/>
          <w:szCs w:val="20"/>
          <w:color w:val="auto"/>
        </w:rPr>
      </w:pPr>
    </w:p>
    <w:p>
      <w:pPr>
        <w:ind w:left="180" w:hanging="172"/>
        <w:spacing w:after="0"/>
        <w:tabs>
          <w:tab w:leader="none" w:pos="180" w:val="left"/>
        </w:tabs>
        <w:numPr>
          <w:ilvl w:val="0"/>
          <w:numId w:val="159"/>
        </w:numPr>
        <w:rPr>
          <w:rFonts w:ascii="Arial" w:cs="Arial" w:eastAsia="Arial" w:hAnsi="Arial"/>
          <w:sz w:val="11"/>
          <w:szCs w:val="11"/>
          <w:color w:val="auto"/>
        </w:rPr>
      </w:pPr>
      <w:r>
        <w:rPr>
          <w:rFonts w:ascii="Arial" w:cs="Arial" w:eastAsia="Arial" w:hAnsi="Arial"/>
          <w:sz w:val="11"/>
          <w:szCs w:val="11"/>
          <w:color w:val="auto"/>
        </w:rPr>
        <w:t>Includes Shell’s 14% share of Woodside as from June 2014 (previously: 23%), a publicly listed company on the Australian Securities Exchange. We have limited access to data; accordingly, the numbers are estimated.</w:t>
      </w:r>
    </w:p>
    <w:p>
      <w:pPr>
        <w:ind w:left="180" w:hanging="172"/>
        <w:spacing w:after="0"/>
        <w:tabs>
          <w:tab w:leader="none" w:pos="180" w:val="left"/>
        </w:tabs>
        <w:numPr>
          <w:ilvl w:val="0"/>
          <w:numId w:val="159"/>
        </w:numPr>
        <w:rPr>
          <w:rFonts w:ascii="Arial" w:cs="Arial" w:eastAsia="Arial" w:hAnsi="Arial"/>
          <w:sz w:val="11"/>
          <w:szCs w:val="11"/>
          <w:color w:val="auto"/>
        </w:rPr>
      </w:pPr>
      <w:r>
        <w:rPr>
          <w:rFonts w:ascii="Arial" w:cs="Arial" w:eastAsia="Arial" w:hAnsi="Arial"/>
          <w:sz w:val="11"/>
          <w:szCs w:val="11"/>
          <w:color w:val="auto"/>
        </w:rPr>
        <w:t>Includes cash-paid royalties to governments outside North America.</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3900" w:type="dxa"/>
            <w:vAlign w:val="bottom"/>
            <w:shd w:val="clear" w:color="auto" w:fill="333333"/>
          </w:tcPr>
          <w:p>
            <w:pPr>
              <w:ind w:left="80"/>
              <w:spacing w:after="0"/>
              <w:rPr>
                <w:sz w:val="20"/>
                <w:szCs w:val="20"/>
                <w:color w:val="auto"/>
              </w:rPr>
            </w:pPr>
            <w:r>
              <w:rPr>
                <w:rFonts w:ascii="Arial" w:cs="Arial" w:eastAsia="Arial" w:hAnsi="Arial"/>
                <w:sz w:val="15"/>
                <w:szCs w:val="15"/>
                <w:b w:val="1"/>
                <w:bCs w:val="1"/>
                <w:color w:val="FFFFFF"/>
              </w:rPr>
              <w:t>2013</w:t>
            </w:r>
          </w:p>
        </w:tc>
        <w:tc>
          <w:tcPr>
            <w:tcW w:w="1900" w:type="dxa"/>
            <w:vAlign w:val="bottom"/>
            <w:shd w:val="clear" w:color="auto" w:fill="333333"/>
          </w:tcPr>
          <w:p>
            <w:pPr>
              <w:spacing w:after="0"/>
              <w:rPr>
                <w:sz w:val="14"/>
                <w:szCs w:val="14"/>
                <w:color w:val="auto"/>
              </w:rPr>
            </w:pPr>
          </w:p>
        </w:tc>
        <w:tc>
          <w:tcPr>
            <w:tcW w:w="720" w:type="dxa"/>
            <w:vAlign w:val="bottom"/>
            <w:shd w:val="clear" w:color="auto" w:fill="333333"/>
          </w:tcPr>
          <w:p>
            <w:pPr>
              <w:spacing w:after="0"/>
              <w:rPr>
                <w:sz w:val="14"/>
                <w:szCs w:val="14"/>
                <w:color w:val="auto"/>
              </w:rPr>
            </w:pPr>
          </w:p>
        </w:tc>
        <w:tc>
          <w:tcPr>
            <w:tcW w:w="940" w:type="dxa"/>
            <w:vAlign w:val="bottom"/>
            <w:shd w:val="clear" w:color="auto" w:fill="333333"/>
          </w:tcPr>
          <w:p>
            <w:pPr>
              <w:spacing w:after="0"/>
              <w:rPr>
                <w:sz w:val="14"/>
                <w:szCs w:val="14"/>
                <w:color w:val="auto"/>
              </w:rPr>
            </w:pPr>
          </w:p>
        </w:tc>
        <w:tc>
          <w:tcPr>
            <w:tcW w:w="560" w:type="dxa"/>
            <w:vAlign w:val="bottom"/>
            <w:shd w:val="clear" w:color="auto" w:fill="333333"/>
          </w:tcPr>
          <w:p>
            <w:pPr>
              <w:spacing w:after="0"/>
              <w:rPr>
                <w:sz w:val="14"/>
                <w:szCs w:val="14"/>
                <w:color w:val="auto"/>
              </w:rPr>
            </w:pPr>
          </w:p>
        </w:tc>
        <w:tc>
          <w:tcPr>
            <w:tcW w:w="480" w:type="dxa"/>
            <w:vAlign w:val="bottom"/>
            <w:shd w:val="clear" w:color="auto" w:fill="333333"/>
          </w:tcPr>
          <w:p>
            <w:pPr>
              <w:spacing w:after="0"/>
              <w:rPr>
                <w:sz w:val="14"/>
                <w:szCs w:val="14"/>
                <w:color w:val="auto"/>
              </w:rPr>
            </w:pPr>
          </w:p>
        </w:tc>
        <w:tc>
          <w:tcPr>
            <w:tcW w:w="900" w:type="dxa"/>
            <w:vAlign w:val="bottom"/>
            <w:shd w:val="clear" w:color="auto" w:fill="333333"/>
          </w:tcPr>
          <w:p>
            <w:pPr>
              <w:spacing w:after="0"/>
              <w:rPr>
                <w:sz w:val="14"/>
                <w:szCs w:val="14"/>
                <w:color w:val="auto"/>
              </w:rPr>
            </w:pPr>
          </w:p>
        </w:tc>
        <w:tc>
          <w:tcPr>
            <w:tcW w:w="760" w:type="dxa"/>
            <w:vAlign w:val="bottom"/>
            <w:shd w:val="clear" w:color="auto" w:fill="333333"/>
          </w:tcPr>
          <w:p>
            <w:pPr>
              <w:spacing w:after="0"/>
              <w:rPr>
                <w:sz w:val="14"/>
                <w:szCs w:val="14"/>
                <w:color w:val="auto"/>
              </w:rPr>
            </w:pPr>
          </w:p>
        </w:tc>
        <w:tc>
          <w:tcPr>
            <w:tcW w:w="120" w:type="dxa"/>
            <w:vAlign w:val="bottom"/>
            <w:shd w:val="clear" w:color="auto" w:fill="333333"/>
          </w:tcPr>
          <w:p>
            <w:pPr>
              <w:spacing w:after="0"/>
              <w:rPr>
                <w:sz w:val="14"/>
                <w:szCs w:val="14"/>
                <w:color w:val="auto"/>
              </w:rPr>
            </w:pPr>
          </w:p>
        </w:tc>
        <w:tc>
          <w:tcPr>
            <w:tcW w:w="1140" w:type="dxa"/>
            <w:vAlign w:val="bottom"/>
            <w:shd w:val="clear" w:color="auto" w:fill="333333"/>
          </w:tcPr>
          <w:p>
            <w:pPr>
              <w:jc w:val="right"/>
              <w:ind w:right="28"/>
              <w:spacing w:after="0"/>
              <w:rPr>
                <w:sz w:val="20"/>
                <w:szCs w:val="20"/>
                <w:color w:val="auto"/>
              </w:rPr>
            </w:pPr>
            <w:r>
              <w:rPr>
                <w:rFonts w:ascii="Arial" w:cs="Arial" w:eastAsia="Arial" w:hAnsi="Arial"/>
                <w:sz w:val="15"/>
                <w:szCs w:val="15"/>
                <w:color w:val="FFFFFF"/>
              </w:rPr>
              <w:t>$ MILLION</w:t>
            </w:r>
          </w:p>
        </w:tc>
      </w:tr>
      <w:tr>
        <w:trPr>
          <w:trHeight w:val="135"/>
        </w:trPr>
        <w:tc>
          <w:tcPr>
            <w:tcW w:w="3900" w:type="dxa"/>
            <w:vAlign w:val="bottom"/>
          </w:tcPr>
          <w:p>
            <w:pPr>
              <w:spacing w:after="0"/>
              <w:rPr>
                <w:sz w:val="11"/>
                <w:szCs w:val="11"/>
                <w:color w:val="auto"/>
              </w:rPr>
            </w:pPr>
          </w:p>
        </w:tc>
        <w:tc>
          <w:tcPr>
            <w:tcW w:w="19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tcPr>
          <w:p>
            <w:pPr>
              <w:jc w:val="right"/>
              <w:ind w:right="10"/>
              <w:spacing w:after="0" w:line="115" w:lineRule="exact"/>
              <w:rPr>
                <w:sz w:val="20"/>
                <w:szCs w:val="20"/>
                <w:color w:val="auto"/>
              </w:rPr>
            </w:pPr>
            <w:r>
              <w:rPr>
                <w:rFonts w:ascii="Arial" w:cs="Arial" w:eastAsia="Arial" w:hAnsi="Arial"/>
                <w:sz w:val="13"/>
                <w:szCs w:val="13"/>
                <w:color w:val="auto"/>
                <w:w w:val="96"/>
              </w:rPr>
              <w:t>North America</w:t>
            </w:r>
          </w:p>
        </w:tc>
        <w:tc>
          <w:tcPr>
            <w:tcW w:w="880" w:type="dxa"/>
            <w:vAlign w:val="bottom"/>
            <w:gridSpan w:val="2"/>
          </w:tcPr>
          <w:p>
            <w:pPr>
              <w:jc w:val="right"/>
              <w:ind w:right="120"/>
              <w:spacing w:after="0" w:line="115" w:lineRule="exact"/>
              <w:rPr>
                <w:sz w:val="20"/>
                <w:szCs w:val="20"/>
                <w:color w:val="auto"/>
              </w:rPr>
            </w:pPr>
            <w:r>
              <w:rPr>
                <w:rFonts w:ascii="Arial" w:cs="Arial" w:eastAsia="Arial" w:hAnsi="Arial"/>
                <w:sz w:val="13"/>
                <w:szCs w:val="13"/>
                <w:color w:val="auto"/>
              </w:rPr>
              <w:t>South</w:t>
            </w:r>
          </w:p>
        </w:tc>
        <w:tc>
          <w:tcPr>
            <w:tcW w:w="1140" w:type="dxa"/>
            <w:vAlign w:val="bottom"/>
          </w:tcPr>
          <w:p>
            <w:pPr>
              <w:spacing w:after="0"/>
              <w:rPr>
                <w:sz w:val="11"/>
                <w:szCs w:val="11"/>
                <w:color w:val="auto"/>
              </w:rPr>
            </w:pPr>
          </w:p>
        </w:tc>
      </w:tr>
      <w:tr>
        <w:trPr>
          <w:trHeight w:val="156"/>
        </w:trPr>
        <w:tc>
          <w:tcPr>
            <w:tcW w:w="3900" w:type="dxa"/>
            <w:vAlign w:val="bottom"/>
          </w:tcPr>
          <w:p>
            <w:pPr>
              <w:spacing w:after="0"/>
              <w:rPr>
                <w:sz w:val="13"/>
                <w:szCs w:val="13"/>
                <w:color w:val="auto"/>
              </w:rPr>
            </w:pPr>
          </w:p>
        </w:tc>
        <w:tc>
          <w:tcPr>
            <w:tcW w:w="1900" w:type="dxa"/>
            <w:vAlign w:val="bottom"/>
          </w:tcPr>
          <w:p>
            <w:pPr>
              <w:jc w:val="right"/>
              <w:ind w:right="109"/>
              <w:spacing w:after="0"/>
              <w:rPr>
                <w:sz w:val="20"/>
                <w:szCs w:val="20"/>
                <w:color w:val="auto"/>
              </w:rPr>
            </w:pPr>
            <w:r>
              <w:rPr>
                <w:rFonts w:ascii="Arial" w:cs="Arial" w:eastAsia="Arial" w:hAnsi="Arial"/>
                <w:sz w:val="13"/>
                <w:szCs w:val="13"/>
                <w:color w:val="auto"/>
              </w:rPr>
              <w:t>Europe</w:t>
            </w:r>
          </w:p>
        </w:tc>
        <w:tc>
          <w:tcPr>
            <w:tcW w:w="720" w:type="dxa"/>
            <w:vAlign w:val="bottom"/>
          </w:tcPr>
          <w:p>
            <w:pPr>
              <w:jc w:val="right"/>
              <w:ind w:right="89"/>
              <w:spacing w:after="0"/>
              <w:rPr>
                <w:sz w:val="20"/>
                <w:szCs w:val="20"/>
                <w:color w:val="auto"/>
              </w:rPr>
            </w:pPr>
            <w:r>
              <w:rPr>
                <w:rFonts w:ascii="Arial" w:cs="Arial" w:eastAsia="Arial" w:hAnsi="Arial"/>
                <w:sz w:val="13"/>
                <w:szCs w:val="13"/>
                <w:color w:val="auto"/>
              </w:rPr>
              <w:t>Asia</w:t>
            </w:r>
          </w:p>
        </w:tc>
        <w:tc>
          <w:tcPr>
            <w:tcW w:w="940" w:type="dxa"/>
            <w:vAlign w:val="bottom"/>
          </w:tcPr>
          <w:p>
            <w:pPr>
              <w:jc w:val="right"/>
              <w:ind w:right="89"/>
              <w:spacing w:after="0"/>
              <w:rPr>
                <w:sz w:val="20"/>
                <w:szCs w:val="20"/>
                <w:color w:val="auto"/>
              </w:rPr>
            </w:pPr>
            <w:r>
              <w:rPr>
                <w:rFonts w:ascii="Arial" w:cs="Arial" w:eastAsia="Arial" w:hAnsi="Arial"/>
                <w:sz w:val="13"/>
                <w:szCs w:val="13"/>
                <w:color w:val="auto"/>
              </w:rPr>
              <w:t>Oceania[A]</w:t>
            </w:r>
          </w:p>
        </w:tc>
        <w:tc>
          <w:tcPr>
            <w:tcW w:w="560" w:type="dxa"/>
            <w:vAlign w:val="bottom"/>
          </w:tcPr>
          <w:p>
            <w:pPr>
              <w:jc w:val="right"/>
              <w:ind w:right="9"/>
              <w:spacing w:after="0"/>
              <w:rPr>
                <w:sz w:val="20"/>
                <w:szCs w:val="20"/>
                <w:color w:val="auto"/>
              </w:rPr>
            </w:pPr>
            <w:r>
              <w:rPr>
                <w:rFonts w:ascii="Arial" w:cs="Arial" w:eastAsia="Arial" w:hAnsi="Arial"/>
                <w:sz w:val="13"/>
                <w:szCs w:val="13"/>
                <w:color w:val="auto"/>
              </w:rPr>
              <w:t>Africa</w:t>
            </w:r>
          </w:p>
        </w:tc>
        <w:tc>
          <w:tcPr>
            <w:tcW w:w="480" w:type="dxa"/>
            <w:vAlign w:val="bottom"/>
          </w:tcPr>
          <w:p>
            <w:pPr>
              <w:jc w:val="right"/>
              <w:spacing w:after="0"/>
              <w:rPr>
                <w:sz w:val="20"/>
                <w:szCs w:val="20"/>
                <w:color w:val="auto"/>
              </w:rPr>
            </w:pPr>
            <w:r>
              <w:rPr>
                <w:rFonts w:ascii="Arial" w:cs="Arial" w:eastAsia="Arial" w:hAnsi="Arial"/>
                <w:sz w:val="13"/>
                <w:szCs w:val="13"/>
                <w:color w:val="auto"/>
              </w:rPr>
              <w:t>USA</w:t>
            </w:r>
          </w:p>
        </w:tc>
        <w:tc>
          <w:tcPr>
            <w:tcW w:w="900" w:type="dxa"/>
            <w:vAlign w:val="bottom"/>
          </w:tcPr>
          <w:p>
            <w:pPr>
              <w:jc w:val="right"/>
              <w:ind w:right="10"/>
              <w:spacing w:after="0"/>
              <w:rPr>
                <w:sz w:val="20"/>
                <w:szCs w:val="20"/>
                <w:color w:val="auto"/>
              </w:rPr>
            </w:pPr>
            <w:r>
              <w:rPr>
                <w:rFonts w:ascii="Arial" w:cs="Arial" w:eastAsia="Arial" w:hAnsi="Arial"/>
                <w:sz w:val="13"/>
                <w:szCs w:val="13"/>
                <w:color w:val="auto"/>
              </w:rPr>
              <w:t>Canada</w:t>
            </w:r>
          </w:p>
        </w:tc>
        <w:tc>
          <w:tcPr>
            <w:tcW w:w="880" w:type="dxa"/>
            <w:vAlign w:val="bottom"/>
            <w:gridSpan w:val="2"/>
          </w:tcPr>
          <w:p>
            <w:pPr>
              <w:jc w:val="right"/>
              <w:ind w:right="120"/>
              <w:spacing w:after="0"/>
              <w:rPr>
                <w:sz w:val="20"/>
                <w:szCs w:val="20"/>
                <w:color w:val="auto"/>
              </w:rPr>
            </w:pPr>
            <w:r>
              <w:rPr>
                <w:rFonts w:ascii="Arial" w:cs="Arial" w:eastAsia="Arial" w:hAnsi="Arial"/>
                <w:sz w:val="13"/>
                <w:szCs w:val="13"/>
                <w:color w:val="auto"/>
              </w:rPr>
              <w:t>America</w:t>
            </w:r>
          </w:p>
        </w:tc>
        <w:tc>
          <w:tcPr>
            <w:tcW w:w="1140" w:type="dxa"/>
            <w:vAlign w:val="bottom"/>
          </w:tcPr>
          <w:p>
            <w:pPr>
              <w:jc w:val="right"/>
              <w:ind w:right="28"/>
              <w:spacing w:after="0"/>
              <w:rPr>
                <w:sz w:val="20"/>
                <w:szCs w:val="20"/>
                <w:color w:val="auto"/>
              </w:rPr>
            </w:pPr>
            <w:r>
              <w:rPr>
                <w:rFonts w:ascii="Arial" w:cs="Arial" w:eastAsia="Arial" w:hAnsi="Arial"/>
                <w:sz w:val="13"/>
                <w:szCs w:val="13"/>
                <w:color w:val="auto"/>
              </w:rPr>
              <w:t>Total</w:t>
            </w:r>
          </w:p>
        </w:tc>
      </w:tr>
      <w:tr>
        <w:trPr>
          <w:trHeight w:val="20"/>
        </w:trPr>
        <w:tc>
          <w:tcPr>
            <w:tcW w:w="3900" w:type="dxa"/>
            <w:vAlign w:val="bottom"/>
            <w:shd w:val="clear" w:color="auto" w:fill="000000"/>
          </w:tcPr>
          <w:p>
            <w:pPr>
              <w:spacing w:after="0" w:line="20" w:lineRule="exact"/>
              <w:rPr>
                <w:sz w:val="1"/>
                <w:szCs w:val="1"/>
                <w:color w:val="auto"/>
              </w:rPr>
            </w:pPr>
          </w:p>
        </w:tc>
        <w:tc>
          <w:tcPr>
            <w:tcW w:w="19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r>
      <w:tr>
        <w:trPr>
          <w:trHeight w:val="156"/>
        </w:trPr>
        <w:tc>
          <w:tcPr>
            <w:tcW w:w="3900" w:type="dxa"/>
            <w:vAlign w:val="bottom"/>
            <w:tcBorders>
              <w:bottom w:val="single" w:sz="8" w:color="auto"/>
            </w:tcBorders>
          </w:tcPr>
          <w:p>
            <w:pPr>
              <w:spacing w:after="0" w:line="155" w:lineRule="exact"/>
              <w:rPr>
                <w:sz w:val="20"/>
                <w:szCs w:val="20"/>
                <w:color w:val="auto"/>
              </w:rPr>
            </w:pPr>
            <w:r>
              <w:rPr>
                <w:rFonts w:ascii="Arial" w:cs="Arial" w:eastAsia="Arial" w:hAnsi="Arial"/>
                <w:sz w:val="14"/>
                <w:szCs w:val="14"/>
                <w:color w:val="auto"/>
              </w:rPr>
              <w:t>Third party revenue</w:t>
            </w:r>
          </w:p>
        </w:tc>
        <w:tc>
          <w:tcPr>
            <w:tcW w:w="1900" w:type="dxa"/>
            <w:vAlign w:val="bottom"/>
            <w:tcBorders>
              <w:bottom w:val="single" w:sz="8" w:color="auto"/>
            </w:tcBorders>
          </w:tcPr>
          <w:p>
            <w:pPr>
              <w:jc w:val="right"/>
              <w:ind w:right="109"/>
              <w:spacing w:after="0" w:line="155" w:lineRule="exact"/>
              <w:rPr>
                <w:sz w:val="20"/>
                <w:szCs w:val="20"/>
                <w:color w:val="auto"/>
              </w:rPr>
            </w:pPr>
            <w:r>
              <w:rPr>
                <w:rFonts w:ascii="Arial" w:cs="Arial" w:eastAsia="Arial" w:hAnsi="Arial"/>
                <w:sz w:val="14"/>
                <w:szCs w:val="14"/>
                <w:color w:val="auto"/>
              </w:rPr>
              <w:t>6,825</w:t>
            </w:r>
          </w:p>
        </w:tc>
        <w:tc>
          <w:tcPr>
            <w:tcW w:w="720" w:type="dxa"/>
            <w:vAlign w:val="bottom"/>
            <w:tcBorders>
              <w:bottom w:val="single" w:sz="8" w:color="auto"/>
            </w:tcBorders>
          </w:tcPr>
          <w:p>
            <w:pPr>
              <w:jc w:val="right"/>
              <w:ind w:right="89"/>
              <w:spacing w:after="0" w:line="155" w:lineRule="exact"/>
              <w:rPr>
                <w:sz w:val="20"/>
                <w:szCs w:val="20"/>
                <w:color w:val="auto"/>
              </w:rPr>
            </w:pPr>
            <w:r>
              <w:rPr>
                <w:rFonts w:ascii="Arial" w:cs="Arial" w:eastAsia="Arial" w:hAnsi="Arial"/>
                <w:sz w:val="14"/>
                <w:szCs w:val="14"/>
                <w:color w:val="auto"/>
              </w:rPr>
              <w:t>11,040</w:t>
            </w:r>
          </w:p>
        </w:tc>
        <w:tc>
          <w:tcPr>
            <w:tcW w:w="940" w:type="dxa"/>
            <w:vAlign w:val="bottom"/>
            <w:tcBorders>
              <w:bottom w:val="single" w:sz="8" w:color="auto"/>
            </w:tcBorders>
          </w:tcPr>
          <w:p>
            <w:pPr>
              <w:jc w:val="right"/>
              <w:ind w:right="249"/>
              <w:spacing w:after="0" w:line="155" w:lineRule="exact"/>
              <w:rPr>
                <w:sz w:val="20"/>
                <w:szCs w:val="20"/>
                <w:color w:val="auto"/>
              </w:rPr>
            </w:pPr>
            <w:r>
              <w:rPr>
                <w:rFonts w:ascii="Arial" w:cs="Arial" w:eastAsia="Arial" w:hAnsi="Arial"/>
                <w:sz w:val="14"/>
                <w:szCs w:val="14"/>
                <w:color w:val="auto"/>
              </w:rPr>
              <w:t>1,334</w:t>
            </w:r>
          </w:p>
        </w:tc>
        <w:tc>
          <w:tcPr>
            <w:tcW w:w="560" w:type="dxa"/>
            <w:vAlign w:val="bottom"/>
            <w:tcBorders>
              <w:bottom w:val="single" w:sz="8" w:color="auto"/>
            </w:tcBorders>
          </w:tcPr>
          <w:p>
            <w:pPr>
              <w:jc w:val="right"/>
              <w:ind w:right="9"/>
              <w:spacing w:after="0" w:line="155" w:lineRule="exact"/>
              <w:rPr>
                <w:sz w:val="20"/>
                <w:szCs w:val="20"/>
                <w:color w:val="auto"/>
              </w:rPr>
            </w:pPr>
            <w:r>
              <w:rPr>
                <w:rFonts w:ascii="Arial" w:cs="Arial" w:eastAsia="Arial" w:hAnsi="Arial"/>
                <w:sz w:val="14"/>
                <w:szCs w:val="14"/>
                <w:color w:val="auto"/>
              </w:rPr>
              <w:t>–</w:t>
            </w:r>
          </w:p>
        </w:tc>
        <w:tc>
          <w:tcPr>
            <w:tcW w:w="4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right"/>
              <w:ind w:right="10"/>
              <w:spacing w:after="0" w:line="155" w:lineRule="exact"/>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gridSpan w:val="2"/>
          </w:tcPr>
          <w:p>
            <w:pPr>
              <w:jc w:val="right"/>
              <w:ind w:right="120"/>
              <w:spacing w:after="0" w:line="155" w:lineRule="exact"/>
              <w:rPr>
                <w:sz w:val="20"/>
                <w:szCs w:val="20"/>
                <w:color w:val="auto"/>
              </w:rPr>
            </w:pPr>
            <w:r>
              <w:rPr>
                <w:rFonts w:ascii="Arial" w:cs="Arial" w:eastAsia="Arial" w:hAnsi="Arial"/>
                <w:sz w:val="14"/>
                <w:szCs w:val="14"/>
                <w:color w:val="auto"/>
              </w:rPr>
              <w:t>313</w:t>
            </w:r>
          </w:p>
        </w:tc>
        <w:tc>
          <w:tcPr>
            <w:tcW w:w="1140" w:type="dxa"/>
            <w:vAlign w:val="bottom"/>
            <w:tcBorders>
              <w:bottom w:val="single" w:sz="8" w:color="auto"/>
            </w:tcBorders>
          </w:tcPr>
          <w:p>
            <w:pPr>
              <w:jc w:val="right"/>
              <w:ind w:right="28"/>
              <w:spacing w:after="0" w:line="155" w:lineRule="exact"/>
              <w:rPr>
                <w:sz w:val="20"/>
                <w:szCs w:val="20"/>
                <w:color w:val="auto"/>
              </w:rPr>
            </w:pPr>
            <w:r>
              <w:rPr>
                <w:rFonts w:ascii="Arial" w:cs="Arial" w:eastAsia="Arial" w:hAnsi="Arial"/>
                <w:sz w:val="14"/>
                <w:szCs w:val="14"/>
                <w:color w:val="auto"/>
              </w:rPr>
              <w:t>19,512</w:t>
            </w:r>
          </w:p>
        </w:tc>
      </w:tr>
      <w:tr>
        <w:trPr>
          <w:trHeight w:val="156"/>
        </w:trPr>
        <w:tc>
          <w:tcPr>
            <w:tcW w:w="3900" w:type="dxa"/>
            <w:vAlign w:val="bottom"/>
            <w:tcBorders>
              <w:bottom w:val="single" w:sz="8" w:color="auto"/>
            </w:tcBorders>
          </w:tcPr>
          <w:p>
            <w:pPr>
              <w:spacing w:after="0" w:line="155" w:lineRule="exact"/>
              <w:rPr>
                <w:sz w:val="20"/>
                <w:szCs w:val="20"/>
                <w:color w:val="auto"/>
              </w:rPr>
            </w:pPr>
            <w:r>
              <w:rPr>
                <w:rFonts w:ascii="Arial" w:cs="Arial" w:eastAsia="Arial" w:hAnsi="Arial"/>
                <w:sz w:val="14"/>
                <w:szCs w:val="14"/>
                <w:color w:val="auto"/>
              </w:rPr>
              <w:t>Total</w:t>
            </w:r>
          </w:p>
        </w:tc>
        <w:tc>
          <w:tcPr>
            <w:tcW w:w="1900" w:type="dxa"/>
            <w:vAlign w:val="bottom"/>
            <w:tcBorders>
              <w:bottom w:val="single" w:sz="8" w:color="auto"/>
            </w:tcBorders>
          </w:tcPr>
          <w:p>
            <w:pPr>
              <w:jc w:val="right"/>
              <w:ind w:right="109"/>
              <w:spacing w:after="0" w:line="155" w:lineRule="exact"/>
              <w:rPr>
                <w:sz w:val="20"/>
                <w:szCs w:val="20"/>
                <w:color w:val="auto"/>
              </w:rPr>
            </w:pPr>
            <w:r>
              <w:rPr>
                <w:rFonts w:ascii="Arial" w:cs="Arial" w:eastAsia="Arial" w:hAnsi="Arial"/>
                <w:sz w:val="14"/>
                <w:szCs w:val="14"/>
                <w:color w:val="auto"/>
              </w:rPr>
              <w:t>6,825</w:t>
            </w:r>
          </w:p>
        </w:tc>
        <w:tc>
          <w:tcPr>
            <w:tcW w:w="720" w:type="dxa"/>
            <w:vAlign w:val="bottom"/>
            <w:tcBorders>
              <w:bottom w:val="single" w:sz="8" w:color="auto"/>
            </w:tcBorders>
          </w:tcPr>
          <w:p>
            <w:pPr>
              <w:jc w:val="right"/>
              <w:ind w:right="89"/>
              <w:spacing w:after="0" w:line="155" w:lineRule="exact"/>
              <w:rPr>
                <w:sz w:val="20"/>
                <w:szCs w:val="20"/>
                <w:color w:val="auto"/>
              </w:rPr>
            </w:pPr>
            <w:r>
              <w:rPr>
                <w:rFonts w:ascii="Arial" w:cs="Arial" w:eastAsia="Arial" w:hAnsi="Arial"/>
                <w:sz w:val="14"/>
                <w:szCs w:val="14"/>
                <w:color w:val="auto"/>
              </w:rPr>
              <w:t>11,040</w:t>
            </w:r>
          </w:p>
        </w:tc>
        <w:tc>
          <w:tcPr>
            <w:tcW w:w="940" w:type="dxa"/>
            <w:vAlign w:val="bottom"/>
            <w:tcBorders>
              <w:bottom w:val="single" w:sz="8" w:color="auto"/>
            </w:tcBorders>
          </w:tcPr>
          <w:p>
            <w:pPr>
              <w:jc w:val="right"/>
              <w:ind w:right="249"/>
              <w:spacing w:after="0" w:line="155" w:lineRule="exact"/>
              <w:rPr>
                <w:sz w:val="20"/>
                <w:szCs w:val="20"/>
                <w:color w:val="auto"/>
              </w:rPr>
            </w:pPr>
            <w:r>
              <w:rPr>
                <w:rFonts w:ascii="Arial" w:cs="Arial" w:eastAsia="Arial" w:hAnsi="Arial"/>
                <w:sz w:val="14"/>
                <w:szCs w:val="14"/>
                <w:color w:val="auto"/>
              </w:rPr>
              <w:t>1,334</w:t>
            </w:r>
          </w:p>
        </w:tc>
        <w:tc>
          <w:tcPr>
            <w:tcW w:w="560" w:type="dxa"/>
            <w:vAlign w:val="bottom"/>
            <w:tcBorders>
              <w:bottom w:val="single" w:sz="8" w:color="auto"/>
            </w:tcBorders>
          </w:tcPr>
          <w:p>
            <w:pPr>
              <w:jc w:val="right"/>
              <w:ind w:right="9"/>
              <w:spacing w:after="0" w:line="155" w:lineRule="exact"/>
              <w:rPr>
                <w:sz w:val="20"/>
                <w:szCs w:val="20"/>
                <w:color w:val="auto"/>
              </w:rPr>
            </w:pPr>
            <w:r>
              <w:rPr>
                <w:rFonts w:ascii="Arial" w:cs="Arial" w:eastAsia="Arial" w:hAnsi="Arial"/>
                <w:sz w:val="14"/>
                <w:szCs w:val="14"/>
                <w:color w:val="auto"/>
              </w:rPr>
              <w:t>–</w:t>
            </w:r>
          </w:p>
        </w:tc>
        <w:tc>
          <w:tcPr>
            <w:tcW w:w="4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right"/>
              <w:ind w:right="10"/>
              <w:spacing w:after="0" w:line="155" w:lineRule="exact"/>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gridSpan w:val="2"/>
          </w:tcPr>
          <w:p>
            <w:pPr>
              <w:jc w:val="right"/>
              <w:ind w:right="120"/>
              <w:spacing w:after="0" w:line="155" w:lineRule="exact"/>
              <w:rPr>
                <w:sz w:val="20"/>
                <w:szCs w:val="20"/>
                <w:color w:val="auto"/>
              </w:rPr>
            </w:pPr>
            <w:r>
              <w:rPr>
                <w:rFonts w:ascii="Arial" w:cs="Arial" w:eastAsia="Arial" w:hAnsi="Arial"/>
                <w:sz w:val="14"/>
                <w:szCs w:val="14"/>
                <w:color w:val="auto"/>
              </w:rPr>
              <w:t>313</w:t>
            </w:r>
          </w:p>
        </w:tc>
        <w:tc>
          <w:tcPr>
            <w:tcW w:w="1140" w:type="dxa"/>
            <w:vAlign w:val="bottom"/>
            <w:tcBorders>
              <w:bottom w:val="single" w:sz="8" w:color="auto"/>
            </w:tcBorders>
          </w:tcPr>
          <w:p>
            <w:pPr>
              <w:jc w:val="right"/>
              <w:ind w:right="28"/>
              <w:spacing w:after="0" w:line="155" w:lineRule="exact"/>
              <w:rPr>
                <w:sz w:val="20"/>
                <w:szCs w:val="20"/>
                <w:color w:val="auto"/>
              </w:rPr>
            </w:pPr>
            <w:r>
              <w:rPr>
                <w:rFonts w:ascii="Arial" w:cs="Arial" w:eastAsia="Arial" w:hAnsi="Arial"/>
                <w:sz w:val="14"/>
                <w:szCs w:val="14"/>
                <w:color w:val="auto"/>
              </w:rPr>
              <w:t>19,512</w:t>
            </w:r>
          </w:p>
        </w:tc>
      </w:tr>
      <w:tr>
        <w:trPr>
          <w:trHeight w:val="160"/>
        </w:trPr>
        <w:tc>
          <w:tcPr>
            <w:tcW w:w="3900" w:type="dxa"/>
            <w:vAlign w:val="bottom"/>
          </w:tcPr>
          <w:p>
            <w:pPr>
              <w:spacing w:after="0"/>
              <w:rPr>
                <w:sz w:val="20"/>
                <w:szCs w:val="20"/>
                <w:color w:val="auto"/>
              </w:rPr>
            </w:pPr>
            <w:r>
              <w:rPr>
                <w:rFonts w:ascii="Arial" w:cs="Arial" w:eastAsia="Arial" w:hAnsi="Arial"/>
                <w:sz w:val="14"/>
                <w:szCs w:val="14"/>
                <w:color w:val="auto"/>
              </w:rPr>
              <w:t>Production costs excluding taxes</w:t>
            </w:r>
          </w:p>
        </w:tc>
        <w:tc>
          <w:tcPr>
            <w:tcW w:w="1900" w:type="dxa"/>
            <w:vAlign w:val="bottom"/>
          </w:tcPr>
          <w:p>
            <w:pPr>
              <w:jc w:val="right"/>
              <w:ind w:right="109"/>
              <w:spacing w:after="0"/>
              <w:rPr>
                <w:sz w:val="20"/>
                <w:szCs w:val="20"/>
                <w:color w:val="auto"/>
              </w:rPr>
            </w:pPr>
            <w:r>
              <w:rPr>
                <w:rFonts w:ascii="Arial" w:cs="Arial" w:eastAsia="Arial" w:hAnsi="Arial"/>
                <w:sz w:val="14"/>
                <w:szCs w:val="14"/>
                <w:color w:val="auto"/>
              </w:rPr>
              <w:t>451</w:t>
            </w:r>
          </w:p>
        </w:tc>
        <w:tc>
          <w:tcPr>
            <w:tcW w:w="720" w:type="dxa"/>
            <w:vAlign w:val="bottom"/>
          </w:tcPr>
          <w:p>
            <w:pPr>
              <w:jc w:val="right"/>
              <w:ind w:right="89"/>
              <w:spacing w:after="0"/>
              <w:rPr>
                <w:sz w:val="20"/>
                <w:szCs w:val="20"/>
                <w:color w:val="auto"/>
              </w:rPr>
            </w:pPr>
            <w:r>
              <w:rPr>
                <w:rFonts w:ascii="Arial" w:cs="Arial" w:eastAsia="Arial" w:hAnsi="Arial"/>
                <w:sz w:val="14"/>
                <w:szCs w:val="14"/>
                <w:color w:val="auto"/>
              </w:rPr>
              <w:t>958</w:t>
            </w:r>
          </w:p>
        </w:tc>
        <w:tc>
          <w:tcPr>
            <w:tcW w:w="940" w:type="dxa"/>
            <w:vAlign w:val="bottom"/>
          </w:tcPr>
          <w:p>
            <w:pPr>
              <w:jc w:val="right"/>
              <w:ind w:right="249"/>
              <w:spacing w:after="0"/>
              <w:rPr>
                <w:sz w:val="20"/>
                <w:szCs w:val="20"/>
                <w:color w:val="auto"/>
              </w:rPr>
            </w:pPr>
            <w:r>
              <w:rPr>
                <w:rFonts w:ascii="Arial" w:cs="Arial" w:eastAsia="Arial" w:hAnsi="Arial"/>
                <w:sz w:val="14"/>
                <w:szCs w:val="14"/>
                <w:color w:val="auto"/>
              </w:rPr>
              <w:t>291</w:t>
            </w:r>
          </w:p>
        </w:tc>
        <w:tc>
          <w:tcPr>
            <w:tcW w:w="56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480" w:type="dxa"/>
            <w:vAlign w:val="bottom"/>
          </w:tcPr>
          <w:p>
            <w:pPr>
              <w:jc w:val="right"/>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10"/>
              <w:spacing w:after="0"/>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120"/>
              <w:spacing w:after="0"/>
              <w:rPr>
                <w:sz w:val="20"/>
                <w:szCs w:val="20"/>
                <w:color w:val="auto"/>
              </w:rPr>
            </w:pPr>
            <w:r>
              <w:rPr>
                <w:rFonts w:ascii="Arial" w:cs="Arial" w:eastAsia="Arial" w:hAnsi="Arial"/>
                <w:sz w:val="14"/>
                <w:szCs w:val="14"/>
                <w:color w:val="auto"/>
              </w:rPr>
              <w:t>58</w:t>
            </w: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1,758</w:t>
            </w:r>
          </w:p>
        </w:tc>
      </w:tr>
      <w:tr>
        <w:trPr>
          <w:trHeight w:val="162"/>
        </w:trPr>
        <w:tc>
          <w:tcPr>
            <w:tcW w:w="3900" w:type="dxa"/>
            <w:vAlign w:val="bottom"/>
          </w:tcPr>
          <w:p>
            <w:pPr>
              <w:spacing w:after="0"/>
              <w:rPr>
                <w:sz w:val="20"/>
                <w:szCs w:val="20"/>
                <w:color w:val="auto"/>
              </w:rPr>
            </w:pPr>
            <w:r>
              <w:rPr>
                <w:rFonts w:ascii="Arial" w:cs="Arial" w:eastAsia="Arial" w:hAnsi="Arial"/>
                <w:sz w:val="14"/>
                <w:szCs w:val="14"/>
                <w:color w:val="auto"/>
              </w:rPr>
              <w:t>Taxes other than income tax [B]</w:t>
            </w:r>
          </w:p>
        </w:tc>
        <w:tc>
          <w:tcPr>
            <w:tcW w:w="1900" w:type="dxa"/>
            <w:vAlign w:val="bottom"/>
          </w:tcPr>
          <w:p>
            <w:pPr>
              <w:jc w:val="right"/>
              <w:ind w:right="109"/>
              <w:spacing w:after="0"/>
              <w:rPr>
                <w:sz w:val="20"/>
                <w:szCs w:val="20"/>
                <w:color w:val="auto"/>
              </w:rPr>
            </w:pPr>
            <w:r>
              <w:rPr>
                <w:rFonts w:ascii="Arial" w:cs="Arial" w:eastAsia="Arial" w:hAnsi="Arial"/>
                <w:sz w:val="14"/>
                <w:szCs w:val="14"/>
                <w:color w:val="auto"/>
              </w:rPr>
              <w:t>3,989</w:t>
            </w:r>
          </w:p>
        </w:tc>
        <w:tc>
          <w:tcPr>
            <w:tcW w:w="720" w:type="dxa"/>
            <w:vAlign w:val="bottom"/>
          </w:tcPr>
          <w:p>
            <w:pPr>
              <w:jc w:val="right"/>
              <w:ind w:right="89"/>
              <w:spacing w:after="0"/>
              <w:rPr>
                <w:sz w:val="20"/>
                <w:szCs w:val="20"/>
                <w:color w:val="auto"/>
              </w:rPr>
            </w:pPr>
            <w:r>
              <w:rPr>
                <w:rFonts w:ascii="Arial" w:cs="Arial" w:eastAsia="Arial" w:hAnsi="Arial"/>
                <w:sz w:val="14"/>
                <w:szCs w:val="14"/>
                <w:color w:val="auto"/>
              </w:rPr>
              <w:t>3,907</w:t>
            </w:r>
          </w:p>
        </w:tc>
        <w:tc>
          <w:tcPr>
            <w:tcW w:w="940" w:type="dxa"/>
            <w:vAlign w:val="bottom"/>
          </w:tcPr>
          <w:p>
            <w:pPr>
              <w:jc w:val="right"/>
              <w:ind w:right="249"/>
              <w:spacing w:after="0"/>
              <w:rPr>
                <w:sz w:val="20"/>
                <w:szCs w:val="20"/>
                <w:color w:val="auto"/>
              </w:rPr>
            </w:pPr>
            <w:r>
              <w:rPr>
                <w:rFonts w:ascii="Arial" w:cs="Arial" w:eastAsia="Arial" w:hAnsi="Arial"/>
                <w:sz w:val="14"/>
                <w:szCs w:val="14"/>
                <w:color w:val="auto"/>
              </w:rPr>
              <w:t>58</w:t>
            </w:r>
          </w:p>
        </w:tc>
        <w:tc>
          <w:tcPr>
            <w:tcW w:w="56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480" w:type="dxa"/>
            <w:vAlign w:val="bottom"/>
          </w:tcPr>
          <w:p>
            <w:pPr>
              <w:jc w:val="right"/>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10"/>
              <w:spacing w:after="0"/>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120"/>
              <w:spacing w:after="0"/>
              <w:rPr>
                <w:sz w:val="20"/>
                <w:szCs w:val="20"/>
                <w:color w:val="auto"/>
              </w:rPr>
            </w:pPr>
            <w:r>
              <w:rPr>
                <w:rFonts w:ascii="Arial" w:cs="Arial" w:eastAsia="Arial" w:hAnsi="Arial"/>
                <w:sz w:val="14"/>
                <w:szCs w:val="14"/>
                <w:color w:val="auto"/>
              </w:rPr>
              <w:t>86</w:t>
            </w: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8,040</w:t>
            </w:r>
          </w:p>
        </w:tc>
      </w:tr>
      <w:tr>
        <w:trPr>
          <w:trHeight w:val="162"/>
        </w:trPr>
        <w:tc>
          <w:tcPr>
            <w:tcW w:w="3900" w:type="dxa"/>
            <w:vAlign w:val="bottom"/>
          </w:tcPr>
          <w:p>
            <w:pPr>
              <w:spacing w:after="0"/>
              <w:rPr>
                <w:sz w:val="20"/>
                <w:szCs w:val="20"/>
                <w:color w:val="auto"/>
              </w:rPr>
            </w:pPr>
            <w:r>
              <w:rPr>
                <w:rFonts w:ascii="Arial" w:cs="Arial" w:eastAsia="Arial" w:hAnsi="Arial"/>
                <w:sz w:val="14"/>
                <w:szCs w:val="14"/>
                <w:color w:val="auto"/>
              </w:rPr>
              <w:t>Exploration</w:t>
            </w:r>
          </w:p>
        </w:tc>
        <w:tc>
          <w:tcPr>
            <w:tcW w:w="1900" w:type="dxa"/>
            <w:vAlign w:val="bottom"/>
          </w:tcPr>
          <w:p>
            <w:pPr>
              <w:jc w:val="right"/>
              <w:ind w:right="109"/>
              <w:spacing w:after="0"/>
              <w:rPr>
                <w:sz w:val="20"/>
                <w:szCs w:val="20"/>
                <w:color w:val="auto"/>
              </w:rPr>
            </w:pPr>
            <w:r>
              <w:rPr>
                <w:rFonts w:ascii="Arial" w:cs="Arial" w:eastAsia="Arial" w:hAnsi="Arial"/>
                <w:sz w:val="14"/>
                <w:szCs w:val="14"/>
                <w:color w:val="auto"/>
              </w:rPr>
              <w:t>16</w:t>
            </w:r>
          </w:p>
        </w:tc>
        <w:tc>
          <w:tcPr>
            <w:tcW w:w="720" w:type="dxa"/>
            <w:vAlign w:val="bottom"/>
          </w:tcPr>
          <w:p>
            <w:pPr>
              <w:jc w:val="right"/>
              <w:ind w:right="89"/>
              <w:spacing w:after="0"/>
              <w:rPr>
                <w:sz w:val="20"/>
                <w:szCs w:val="20"/>
                <w:color w:val="auto"/>
              </w:rPr>
            </w:pPr>
            <w:r>
              <w:rPr>
                <w:rFonts w:ascii="Arial" w:cs="Arial" w:eastAsia="Arial" w:hAnsi="Arial"/>
                <w:sz w:val="14"/>
                <w:szCs w:val="14"/>
                <w:color w:val="auto"/>
              </w:rPr>
              <w:t>162</w:t>
            </w:r>
          </w:p>
        </w:tc>
        <w:tc>
          <w:tcPr>
            <w:tcW w:w="940" w:type="dxa"/>
            <w:vAlign w:val="bottom"/>
          </w:tcPr>
          <w:p>
            <w:pPr>
              <w:jc w:val="right"/>
              <w:ind w:right="249"/>
              <w:spacing w:after="0"/>
              <w:rPr>
                <w:sz w:val="20"/>
                <w:szCs w:val="20"/>
                <w:color w:val="auto"/>
              </w:rPr>
            </w:pPr>
            <w:r>
              <w:rPr>
                <w:rFonts w:ascii="Arial" w:cs="Arial" w:eastAsia="Arial" w:hAnsi="Arial"/>
                <w:sz w:val="14"/>
                <w:szCs w:val="14"/>
                <w:color w:val="auto"/>
              </w:rPr>
              <w:t>165</w:t>
            </w:r>
          </w:p>
        </w:tc>
        <w:tc>
          <w:tcPr>
            <w:tcW w:w="56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480" w:type="dxa"/>
            <w:vAlign w:val="bottom"/>
          </w:tcPr>
          <w:p>
            <w:pPr>
              <w:jc w:val="right"/>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10"/>
              <w:spacing w:after="0"/>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120"/>
              <w:spacing w:after="0"/>
              <w:rPr>
                <w:sz w:val="20"/>
                <w:szCs w:val="20"/>
                <w:color w:val="auto"/>
              </w:rPr>
            </w:pPr>
            <w:r>
              <w:rPr>
                <w:rFonts w:ascii="Arial" w:cs="Arial" w:eastAsia="Arial" w:hAnsi="Arial"/>
                <w:sz w:val="14"/>
                <w:szCs w:val="14"/>
                <w:color w:val="auto"/>
              </w:rPr>
              <w:t>13</w:t>
            </w: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356</w:t>
            </w:r>
          </w:p>
        </w:tc>
      </w:tr>
      <w:tr>
        <w:trPr>
          <w:trHeight w:val="162"/>
        </w:trPr>
        <w:tc>
          <w:tcPr>
            <w:tcW w:w="3900" w:type="dxa"/>
            <w:vAlign w:val="bottom"/>
          </w:tcPr>
          <w:p>
            <w:pPr>
              <w:spacing w:after="0"/>
              <w:rPr>
                <w:sz w:val="20"/>
                <w:szCs w:val="20"/>
                <w:color w:val="auto"/>
              </w:rPr>
            </w:pPr>
            <w:r>
              <w:rPr>
                <w:rFonts w:ascii="Arial" w:cs="Arial" w:eastAsia="Arial" w:hAnsi="Arial"/>
                <w:sz w:val="14"/>
                <w:szCs w:val="14"/>
                <w:color w:val="auto"/>
              </w:rPr>
              <w:t>Depreciation, depletion and amortisation</w:t>
            </w:r>
          </w:p>
        </w:tc>
        <w:tc>
          <w:tcPr>
            <w:tcW w:w="1900" w:type="dxa"/>
            <w:vAlign w:val="bottom"/>
          </w:tcPr>
          <w:p>
            <w:pPr>
              <w:jc w:val="right"/>
              <w:ind w:right="109"/>
              <w:spacing w:after="0"/>
              <w:rPr>
                <w:sz w:val="20"/>
                <w:szCs w:val="20"/>
                <w:color w:val="auto"/>
              </w:rPr>
            </w:pPr>
            <w:r>
              <w:rPr>
                <w:rFonts w:ascii="Arial" w:cs="Arial" w:eastAsia="Arial" w:hAnsi="Arial"/>
                <w:sz w:val="14"/>
                <w:szCs w:val="14"/>
                <w:color w:val="auto"/>
              </w:rPr>
              <w:t>188</w:t>
            </w:r>
          </w:p>
        </w:tc>
        <w:tc>
          <w:tcPr>
            <w:tcW w:w="720" w:type="dxa"/>
            <w:vAlign w:val="bottom"/>
          </w:tcPr>
          <w:p>
            <w:pPr>
              <w:jc w:val="right"/>
              <w:ind w:right="89"/>
              <w:spacing w:after="0"/>
              <w:rPr>
                <w:sz w:val="20"/>
                <w:szCs w:val="20"/>
                <w:color w:val="auto"/>
              </w:rPr>
            </w:pPr>
            <w:r>
              <w:rPr>
                <w:rFonts w:ascii="Arial" w:cs="Arial" w:eastAsia="Arial" w:hAnsi="Arial"/>
                <w:sz w:val="14"/>
                <w:szCs w:val="14"/>
                <w:color w:val="auto"/>
              </w:rPr>
              <w:t>1,335</w:t>
            </w:r>
          </w:p>
        </w:tc>
        <w:tc>
          <w:tcPr>
            <w:tcW w:w="940" w:type="dxa"/>
            <w:vAlign w:val="bottom"/>
          </w:tcPr>
          <w:p>
            <w:pPr>
              <w:jc w:val="right"/>
              <w:ind w:right="249"/>
              <w:spacing w:after="0"/>
              <w:rPr>
                <w:sz w:val="20"/>
                <w:szCs w:val="20"/>
                <w:color w:val="auto"/>
              </w:rPr>
            </w:pPr>
            <w:r>
              <w:rPr>
                <w:rFonts w:ascii="Arial" w:cs="Arial" w:eastAsia="Arial" w:hAnsi="Arial"/>
                <w:sz w:val="14"/>
                <w:szCs w:val="14"/>
                <w:color w:val="auto"/>
              </w:rPr>
              <w:t>578</w:t>
            </w:r>
          </w:p>
        </w:tc>
        <w:tc>
          <w:tcPr>
            <w:tcW w:w="56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480" w:type="dxa"/>
            <w:vAlign w:val="bottom"/>
          </w:tcPr>
          <w:p>
            <w:pPr>
              <w:jc w:val="right"/>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10"/>
              <w:spacing w:after="0"/>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120"/>
              <w:spacing w:after="0"/>
              <w:rPr>
                <w:sz w:val="20"/>
                <w:szCs w:val="20"/>
                <w:color w:val="auto"/>
              </w:rPr>
            </w:pPr>
            <w:r>
              <w:rPr>
                <w:rFonts w:ascii="Arial" w:cs="Arial" w:eastAsia="Arial" w:hAnsi="Arial"/>
                <w:sz w:val="14"/>
                <w:szCs w:val="14"/>
                <w:color w:val="auto"/>
              </w:rPr>
              <w:t>37</w:t>
            </w: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2,138</w:t>
            </w:r>
          </w:p>
        </w:tc>
      </w:tr>
      <w:tr>
        <w:trPr>
          <w:trHeight w:val="157"/>
        </w:trPr>
        <w:tc>
          <w:tcPr>
            <w:tcW w:w="3900" w:type="dxa"/>
            <w:vAlign w:val="bottom"/>
            <w:tcBorders>
              <w:bottom w:val="single" w:sz="8" w:color="auto"/>
            </w:tcBorders>
          </w:tcPr>
          <w:p>
            <w:pPr>
              <w:spacing w:after="0" w:line="157" w:lineRule="exact"/>
              <w:rPr>
                <w:sz w:val="20"/>
                <w:szCs w:val="20"/>
                <w:color w:val="auto"/>
              </w:rPr>
            </w:pPr>
            <w:r>
              <w:rPr>
                <w:rFonts w:ascii="Arial" w:cs="Arial" w:eastAsia="Arial" w:hAnsi="Arial"/>
                <w:sz w:val="14"/>
                <w:szCs w:val="14"/>
                <w:color w:val="auto"/>
              </w:rPr>
              <w:t>Other costs/(income)</w:t>
            </w:r>
          </w:p>
        </w:tc>
        <w:tc>
          <w:tcPr>
            <w:tcW w:w="1900" w:type="dxa"/>
            <w:vAlign w:val="bottom"/>
            <w:tcBorders>
              <w:bottom w:val="single" w:sz="8" w:color="auto"/>
            </w:tcBorders>
          </w:tcPr>
          <w:p>
            <w:pPr>
              <w:jc w:val="right"/>
              <w:ind w:right="49"/>
              <w:spacing w:after="0" w:line="157" w:lineRule="exact"/>
              <w:rPr>
                <w:sz w:val="20"/>
                <w:szCs w:val="20"/>
                <w:color w:val="auto"/>
              </w:rPr>
            </w:pPr>
            <w:r>
              <w:rPr>
                <w:rFonts w:ascii="Arial" w:cs="Arial" w:eastAsia="Arial" w:hAnsi="Arial"/>
                <w:sz w:val="14"/>
                <w:szCs w:val="14"/>
                <w:color w:val="auto"/>
              </w:rPr>
              <w:t>(151)</w:t>
            </w:r>
          </w:p>
        </w:tc>
        <w:tc>
          <w:tcPr>
            <w:tcW w:w="720" w:type="dxa"/>
            <w:vAlign w:val="bottom"/>
            <w:tcBorders>
              <w:bottom w:val="single" w:sz="8" w:color="auto"/>
            </w:tcBorders>
          </w:tcPr>
          <w:p>
            <w:pPr>
              <w:jc w:val="right"/>
              <w:ind w:right="89"/>
              <w:spacing w:after="0" w:line="157" w:lineRule="exact"/>
              <w:rPr>
                <w:sz w:val="20"/>
                <w:szCs w:val="20"/>
                <w:color w:val="auto"/>
              </w:rPr>
            </w:pPr>
            <w:r>
              <w:rPr>
                <w:rFonts w:ascii="Arial" w:cs="Arial" w:eastAsia="Arial" w:hAnsi="Arial"/>
                <w:sz w:val="14"/>
                <w:szCs w:val="14"/>
                <w:color w:val="auto"/>
              </w:rPr>
              <w:t>694</w:t>
            </w:r>
          </w:p>
        </w:tc>
        <w:tc>
          <w:tcPr>
            <w:tcW w:w="940" w:type="dxa"/>
            <w:vAlign w:val="bottom"/>
            <w:tcBorders>
              <w:bottom w:val="single" w:sz="8" w:color="auto"/>
            </w:tcBorders>
          </w:tcPr>
          <w:p>
            <w:pPr>
              <w:jc w:val="right"/>
              <w:ind w:right="249"/>
              <w:spacing w:after="0" w:line="157" w:lineRule="exact"/>
              <w:rPr>
                <w:sz w:val="20"/>
                <w:szCs w:val="20"/>
                <w:color w:val="auto"/>
              </w:rPr>
            </w:pPr>
            <w:r>
              <w:rPr>
                <w:rFonts w:ascii="Arial" w:cs="Arial" w:eastAsia="Arial" w:hAnsi="Arial"/>
                <w:sz w:val="14"/>
                <w:szCs w:val="14"/>
                <w:color w:val="auto"/>
              </w:rPr>
              <w:t>310</w:t>
            </w:r>
          </w:p>
        </w:tc>
        <w:tc>
          <w:tcPr>
            <w:tcW w:w="560" w:type="dxa"/>
            <w:vAlign w:val="bottom"/>
            <w:tcBorders>
              <w:bottom w:val="single" w:sz="8" w:color="auto"/>
            </w:tcBorders>
          </w:tcPr>
          <w:p>
            <w:pPr>
              <w:jc w:val="right"/>
              <w:ind w:right="9"/>
              <w:spacing w:after="0" w:line="157" w:lineRule="exact"/>
              <w:rPr>
                <w:sz w:val="20"/>
                <w:szCs w:val="20"/>
                <w:color w:val="auto"/>
              </w:rPr>
            </w:pPr>
            <w:r>
              <w:rPr>
                <w:rFonts w:ascii="Arial" w:cs="Arial" w:eastAsia="Arial" w:hAnsi="Arial"/>
                <w:sz w:val="14"/>
                <w:szCs w:val="14"/>
                <w:color w:val="auto"/>
              </w:rPr>
              <w:t>–</w:t>
            </w:r>
          </w:p>
        </w:tc>
        <w:tc>
          <w:tcPr>
            <w:tcW w:w="480" w:type="dxa"/>
            <w:vAlign w:val="bottom"/>
            <w:tcBorders>
              <w:bottom w:val="single" w:sz="8" w:color="auto"/>
            </w:tcBorders>
          </w:tcPr>
          <w:p>
            <w:pPr>
              <w:jc w:val="right"/>
              <w:spacing w:after="0" w:line="157" w:lineRule="exact"/>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right"/>
              <w:ind w:right="10"/>
              <w:spacing w:after="0" w:line="157" w:lineRule="exact"/>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gridSpan w:val="2"/>
          </w:tcPr>
          <w:p>
            <w:pPr>
              <w:jc w:val="right"/>
              <w:ind w:right="120"/>
              <w:spacing w:after="0" w:line="157" w:lineRule="exact"/>
              <w:rPr>
                <w:sz w:val="20"/>
                <w:szCs w:val="20"/>
                <w:color w:val="auto"/>
              </w:rPr>
            </w:pPr>
            <w:r>
              <w:rPr>
                <w:rFonts w:ascii="Arial" w:cs="Arial" w:eastAsia="Arial" w:hAnsi="Arial"/>
                <w:sz w:val="14"/>
                <w:szCs w:val="14"/>
                <w:color w:val="auto"/>
              </w:rPr>
              <w:t>40</w:t>
            </w:r>
          </w:p>
        </w:tc>
        <w:tc>
          <w:tcPr>
            <w:tcW w:w="1140" w:type="dxa"/>
            <w:vAlign w:val="bottom"/>
            <w:tcBorders>
              <w:bottom w:val="single" w:sz="8" w:color="auto"/>
            </w:tcBorders>
          </w:tcPr>
          <w:p>
            <w:pPr>
              <w:jc w:val="right"/>
              <w:ind w:right="28"/>
              <w:spacing w:after="0" w:line="157" w:lineRule="exact"/>
              <w:rPr>
                <w:sz w:val="20"/>
                <w:szCs w:val="20"/>
                <w:color w:val="auto"/>
              </w:rPr>
            </w:pPr>
            <w:r>
              <w:rPr>
                <w:rFonts w:ascii="Arial" w:cs="Arial" w:eastAsia="Arial" w:hAnsi="Arial"/>
                <w:sz w:val="14"/>
                <w:szCs w:val="14"/>
                <w:color w:val="auto"/>
              </w:rPr>
              <w:t>893</w:t>
            </w:r>
          </w:p>
        </w:tc>
      </w:tr>
      <w:tr>
        <w:trPr>
          <w:trHeight w:val="160"/>
        </w:trPr>
        <w:tc>
          <w:tcPr>
            <w:tcW w:w="3900" w:type="dxa"/>
            <w:vAlign w:val="bottom"/>
          </w:tcPr>
          <w:p>
            <w:pPr>
              <w:spacing w:after="0"/>
              <w:rPr>
                <w:sz w:val="20"/>
                <w:szCs w:val="20"/>
                <w:color w:val="auto"/>
              </w:rPr>
            </w:pPr>
            <w:r>
              <w:rPr>
                <w:rFonts w:ascii="Arial" w:cs="Arial" w:eastAsia="Arial" w:hAnsi="Arial"/>
                <w:sz w:val="14"/>
                <w:szCs w:val="14"/>
                <w:color w:val="auto"/>
              </w:rPr>
              <w:t>Earnings before taxation</w:t>
            </w:r>
          </w:p>
        </w:tc>
        <w:tc>
          <w:tcPr>
            <w:tcW w:w="1900" w:type="dxa"/>
            <w:vAlign w:val="bottom"/>
          </w:tcPr>
          <w:p>
            <w:pPr>
              <w:jc w:val="right"/>
              <w:ind w:right="109"/>
              <w:spacing w:after="0"/>
              <w:rPr>
                <w:sz w:val="20"/>
                <w:szCs w:val="20"/>
                <w:color w:val="auto"/>
              </w:rPr>
            </w:pPr>
            <w:r>
              <w:rPr>
                <w:rFonts w:ascii="Arial" w:cs="Arial" w:eastAsia="Arial" w:hAnsi="Arial"/>
                <w:sz w:val="14"/>
                <w:szCs w:val="14"/>
                <w:color w:val="auto"/>
              </w:rPr>
              <w:t>2,332</w:t>
            </w:r>
          </w:p>
        </w:tc>
        <w:tc>
          <w:tcPr>
            <w:tcW w:w="720" w:type="dxa"/>
            <w:vAlign w:val="bottom"/>
          </w:tcPr>
          <w:p>
            <w:pPr>
              <w:jc w:val="right"/>
              <w:ind w:right="89"/>
              <w:spacing w:after="0"/>
              <w:rPr>
                <w:sz w:val="20"/>
                <w:szCs w:val="20"/>
                <w:color w:val="auto"/>
              </w:rPr>
            </w:pPr>
            <w:r>
              <w:rPr>
                <w:rFonts w:ascii="Arial" w:cs="Arial" w:eastAsia="Arial" w:hAnsi="Arial"/>
                <w:sz w:val="14"/>
                <w:szCs w:val="14"/>
                <w:color w:val="auto"/>
              </w:rPr>
              <w:t>3,984</w:t>
            </w:r>
          </w:p>
        </w:tc>
        <w:tc>
          <w:tcPr>
            <w:tcW w:w="940" w:type="dxa"/>
            <w:vAlign w:val="bottom"/>
          </w:tcPr>
          <w:p>
            <w:pPr>
              <w:jc w:val="right"/>
              <w:ind w:right="209"/>
              <w:spacing w:after="0"/>
              <w:rPr>
                <w:sz w:val="20"/>
                <w:szCs w:val="20"/>
                <w:color w:val="auto"/>
              </w:rPr>
            </w:pPr>
            <w:r>
              <w:rPr>
                <w:rFonts w:ascii="Arial" w:cs="Arial" w:eastAsia="Arial" w:hAnsi="Arial"/>
                <w:sz w:val="14"/>
                <w:szCs w:val="14"/>
                <w:color w:val="auto"/>
              </w:rPr>
              <w:t>(68)</w:t>
            </w:r>
          </w:p>
        </w:tc>
        <w:tc>
          <w:tcPr>
            <w:tcW w:w="56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480" w:type="dxa"/>
            <w:vAlign w:val="bottom"/>
          </w:tcPr>
          <w:p>
            <w:pPr>
              <w:jc w:val="right"/>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10"/>
              <w:spacing w:after="0"/>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120"/>
              <w:spacing w:after="0"/>
              <w:rPr>
                <w:sz w:val="20"/>
                <w:szCs w:val="20"/>
                <w:color w:val="auto"/>
              </w:rPr>
            </w:pPr>
            <w:r>
              <w:rPr>
                <w:rFonts w:ascii="Arial" w:cs="Arial" w:eastAsia="Arial" w:hAnsi="Arial"/>
                <w:sz w:val="14"/>
                <w:szCs w:val="14"/>
                <w:color w:val="auto"/>
              </w:rPr>
              <w:t>79</w:t>
            </w: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6,327</w:t>
            </w:r>
          </w:p>
        </w:tc>
      </w:tr>
      <w:tr>
        <w:trPr>
          <w:trHeight w:val="157"/>
        </w:trPr>
        <w:tc>
          <w:tcPr>
            <w:tcW w:w="3900" w:type="dxa"/>
            <w:vAlign w:val="bottom"/>
            <w:tcBorders>
              <w:bottom w:val="single" w:sz="8" w:color="auto"/>
            </w:tcBorders>
          </w:tcPr>
          <w:p>
            <w:pPr>
              <w:spacing w:after="0" w:line="157" w:lineRule="exact"/>
              <w:rPr>
                <w:sz w:val="20"/>
                <w:szCs w:val="20"/>
                <w:color w:val="auto"/>
              </w:rPr>
            </w:pPr>
            <w:r>
              <w:rPr>
                <w:rFonts w:ascii="Arial" w:cs="Arial" w:eastAsia="Arial" w:hAnsi="Arial"/>
                <w:sz w:val="14"/>
                <w:szCs w:val="14"/>
                <w:color w:val="auto"/>
              </w:rPr>
              <w:t>Taxation charge/(credit)</w:t>
            </w:r>
          </w:p>
        </w:tc>
        <w:tc>
          <w:tcPr>
            <w:tcW w:w="1900" w:type="dxa"/>
            <w:vAlign w:val="bottom"/>
            <w:tcBorders>
              <w:bottom w:val="single" w:sz="8" w:color="auto"/>
            </w:tcBorders>
          </w:tcPr>
          <w:p>
            <w:pPr>
              <w:jc w:val="right"/>
              <w:ind w:right="109"/>
              <w:spacing w:after="0" w:line="157" w:lineRule="exact"/>
              <w:rPr>
                <w:sz w:val="20"/>
                <w:szCs w:val="20"/>
                <w:color w:val="auto"/>
              </w:rPr>
            </w:pPr>
            <w:r>
              <w:rPr>
                <w:rFonts w:ascii="Arial" w:cs="Arial" w:eastAsia="Arial" w:hAnsi="Arial"/>
                <w:sz w:val="14"/>
                <w:szCs w:val="14"/>
                <w:color w:val="auto"/>
              </w:rPr>
              <w:t>879</w:t>
            </w:r>
          </w:p>
        </w:tc>
        <w:tc>
          <w:tcPr>
            <w:tcW w:w="720" w:type="dxa"/>
            <w:vAlign w:val="bottom"/>
            <w:tcBorders>
              <w:bottom w:val="single" w:sz="8" w:color="auto"/>
            </w:tcBorders>
          </w:tcPr>
          <w:p>
            <w:pPr>
              <w:jc w:val="right"/>
              <w:ind w:right="89"/>
              <w:spacing w:after="0" w:line="157" w:lineRule="exact"/>
              <w:rPr>
                <w:sz w:val="20"/>
                <w:szCs w:val="20"/>
                <w:color w:val="auto"/>
              </w:rPr>
            </w:pPr>
            <w:r>
              <w:rPr>
                <w:rFonts w:ascii="Arial" w:cs="Arial" w:eastAsia="Arial" w:hAnsi="Arial"/>
                <w:sz w:val="14"/>
                <w:szCs w:val="14"/>
                <w:color w:val="auto"/>
              </w:rPr>
              <w:t>1,655</w:t>
            </w:r>
          </w:p>
        </w:tc>
        <w:tc>
          <w:tcPr>
            <w:tcW w:w="940" w:type="dxa"/>
            <w:vAlign w:val="bottom"/>
            <w:tcBorders>
              <w:bottom w:val="single" w:sz="8" w:color="auto"/>
            </w:tcBorders>
          </w:tcPr>
          <w:p>
            <w:pPr>
              <w:jc w:val="right"/>
              <w:ind w:right="209"/>
              <w:spacing w:after="0" w:line="157" w:lineRule="exact"/>
              <w:rPr>
                <w:sz w:val="20"/>
                <w:szCs w:val="20"/>
                <w:color w:val="auto"/>
              </w:rPr>
            </w:pPr>
            <w:r>
              <w:rPr>
                <w:rFonts w:ascii="Arial" w:cs="Arial" w:eastAsia="Arial" w:hAnsi="Arial"/>
                <w:sz w:val="14"/>
                <w:szCs w:val="14"/>
                <w:color w:val="auto"/>
              </w:rPr>
              <w:t>(185)</w:t>
            </w:r>
          </w:p>
        </w:tc>
        <w:tc>
          <w:tcPr>
            <w:tcW w:w="560" w:type="dxa"/>
            <w:vAlign w:val="bottom"/>
            <w:tcBorders>
              <w:bottom w:val="single" w:sz="8" w:color="auto"/>
            </w:tcBorders>
          </w:tcPr>
          <w:p>
            <w:pPr>
              <w:jc w:val="right"/>
              <w:ind w:right="9"/>
              <w:spacing w:after="0" w:line="157" w:lineRule="exact"/>
              <w:rPr>
                <w:sz w:val="20"/>
                <w:szCs w:val="20"/>
                <w:color w:val="auto"/>
              </w:rPr>
            </w:pPr>
            <w:r>
              <w:rPr>
                <w:rFonts w:ascii="Arial" w:cs="Arial" w:eastAsia="Arial" w:hAnsi="Arial"/>
                <w:sz w:val="14"/>
                <w:szCs w:val="14"/>
                <w:color w:val="auto"/>
              </w:rPr>
              <w:t>–</w:t>
            </w:r>
          </w:p>
        </w:tc>
        <w:tc>
          <w:tcPr>
            <w:tcW w:w="480" w:type="dxa"/>
            <w:vAlign w:val="bottom"/>
            <w:tcBorders>
              <w:bottom w:val="single" w:sz="8" w:color="auto"/>
            </w:tcBorders>
          </w:tcPr>
          <w:p>
            <w:pPr>
              <w:jc w:val="right"/>
              <w:spacing w:after="0" w:line="157" w:lineRule="exact"/>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right"/>
              <w:ind w:right="10"/>
              <w:spacing w:after="0" w:line="157" w:lineRule="exact"/>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gridSpan w:val="2"/>
          </w:tcPr>
          <w:p>
            <w:pPr>
              <w:jc w:val="right"/>
              <w:ind w:right="120"/>
              <w:spacing w:after="0" w:line="157" w:lineRule="exact"/>
              <w:rPr>
                <w:sz w:val="20"/>
                <w:szCs w:val="20"/>
                <w:color w:val="auto"/>
              </w:rPr>
            </w:pPr>
            <w:r>
              <w:rPr>
                <w:rFonts w:ascii="Arial" w:cs="Arial" w:eastAsia="Arial" w:hAnsi="Arial"/>
                <w:sz w:val="14"/>
                <w:szCs w:val="14"/>
                <w:color w:val="auto"/>
              </w:rPr>
              <w:t>93</w:t>
            </w:r>
          </w:p>
        </w:tc>
        <w:tc>
          <w:tcPr>
            <w:tcW w:w="1140" w:type="dxa"/>
            <w:vAlign w:val="bottom"/>
            <w:tcBorders>
              <w:bottom w:val="single" w:sz="8" w:color="auto"/>
            </w:tcBorders>
          </w:tcPr>
          <w:p>
            <w:pPr>
              <w:jc w:val="right"/>
              <w:ind w:right="28"/>
              <w:spacing w:after="0" w:line="157" w:lineRule="exact"/>
              <w:rPr>
                <w:sz w:val="20"/>
                <w:szCs w:val="20"/>
                <w:color w:val="auto"/>
              </w:rPr>
            </w:pPr>
            <w:r>
              <w:rPr>
                <w:rFonts w:ascii="Arial" w:cs="Arial" w:eastAsia="Arial" w:hAnsi="Arial"/>
                <w:sz w:val="14"/>
                <w:szCs w:val="14"/>
                <w:color w:val="auto"/>
              </w:rPr>
              <w:t>2,442</w:t>
            </w:r>
          </w:p>
        </w:tc>
      </w:tr>
      <w:tr>
        <w:trPr>
          <w:trHeight w:val="156"/>
        </w:trPr>
        <w:tc>
          <w:tcPr>
            <w:tcW w:w="3900" w:type="dxa"/>
            <w:vAlign w:val="bottom"/>
            <w:tcBorders>
              <w:bottom w:val="single" w:sz="8" w:color="auto"/>
            </w:tcBorders>
          </w:tcPr>
          <w:p>
            <w:pPr>
              <w:spacing w:after="0" w:line="155" w:lineRule="exact"/>
              <w:rPr>
                <w:sz w:val="20"/>
                <w:szCs w:val="20"/>
                <w:color w:val="auto"/>
              </w:rPr>
            </w:pPr>
            <w:r>
              <w:rPr>
                <w:rFonts w:ascii="Arial" w:cs="Arial" w:eastAsia="Arial" w:hAnsi="Arial"/>
                <w:sz w:val="14"/>
                <w:szCs w:val="14"/>
                <w:color w:val="auto"/>
              </w:rPr>
              <w:t>Earnings after taxation</w:t>
            </w:r>
          </w:p>
        </w:tc>
        <w:tc>
          <w:tcPr>
            <w:tcW w:w="1900" w:type="dxa"/>
            <w:vAlign w:val="bottom"/>
            <w:tcBorders>
              <w:bottom w:val="single" w:sz="8" w:color="auto"/>
            </w:tcBorders>
          </w:tcPr>
          <w:p>
            <w:pPr>
              <w:jc w:val="right"/>
              <w:ind w:right="109"/>
              <w:spacing w:after="0" w:line="155" w:lineRule="exact"/>
              <w:rPr>
                <w:sz w:val="20"/>
                <w:szCs w:val="20"/>
                <w:color w:val="auto"/>
              </w:rPr>
            </w:pPr>
            <w:r>
              <w:rPr>
                <w:rFonts w:ascii="Arial" w:cs="Arial" w:eastAsia="Arial" w:hAnsi="Arial"/>
                <w:sz w:val="14"/>
                <w:szCs w:val="14"/>
                <w:color w:val="auto"/>
              </w:rPr>
              <w:t>1,453</w:t>
            </w:r>
          </w:p>
        </w:tc>
        <w:tc>
          <w:tcPr>
            <w:tcW w:w="720" w:type="dxa"/>
            <w:vAlign w:val="bottom"/>
            <w:tcBorders>
              <w:bottom w:val="single" w:sz="8" w:color="auto"/>
            </w:tcBorders>
          </w:tcPr>
          <w:p>
            <w:pPr>
              <w:jc w:val="right"/>
              <w:ind w:right="89"/>
              <w:spacing w:after="0" w:line="155" w:lineRule="exact"/>
              <w:rPr>
                <w:sz w:val="20"/>
                <w:szCs w:val="20"/>
                <w:color w:val="auto"/>
              </w:rPr>
            </w:pPr>
            <w:r>
              <w:rPr>
                <w:rFonts w:ascii="Arial" w:cs="Arial" w:eastAsia="Arial" w:hAnsi="Arial"/>
                <w:sz w:val="14"/>
                <w:szCs w:val="14"/>
                <w:color w:val="auto"/>
              </w:rPr>
              <w:t>2,329</w:t>
            </w:r>
          </w:p>
        </w:tc>
        <w:tc>
          <w:tcPr>
            <w:tcW w:w="940" w:type="dxa"/>
            <w:vAlign w:val="bottom"/>
            <w:tcBorders>
              <w:bottom w:val="single" w:sz="8" w:color="auto"/>
            </w:tcBorders>
          </w:tcPr>
          <w:p>
            <w:pPr>
              <w:jc w:val="right"/>
              <w:ind w:right="249"/>
              <w:spacing w:after="0" w:line="155" w:lineRule="exact"/>
              <w:rPr>
                <w:sz w:val="20"/>
                <w:szCs w:val="20"/>
                <w:color w:val="auto"/>
              </w:rPr>
            </w:pPr>
            <w:r>
              <w:rPr>
                <w:rFonts w:ascii="Arial" w:cs="Arial" w:eastAsia="Arial" w:hAnsi="Arial"/>
                <w:sz w:val="14"/>
                <w:szCs w:val="14"/>
                <w:color w:val="auto"/>
              </w:rPr>
              <w:t>117</w:t>
            </w:r>
          </w:p>
        </w:tc>
        <w:tc>
          <w:tcPr>
            <w:tcW w:w="560" w:type="dxa"/>
            <w:vAlign w:val="bottom"/>
            <w:tcBorders>
              <w:bottom w:val="single" w:sz="8" w:color="auto"/>
            </w:tcBorders>
          </w:tcPr>
          <w:p>
            <w:pPr>
              <w:jc w:val="right"/>
              <w:ind w:right="9"/>
              <w:spacing w:after="0" w:line="155" w:lineRule="exact"/>
              <w:rPr>
                <w:sz w:val="20"/>
                <w:szCs w:val="20"/>
                <w:color w:val="auto"/>
              </w:rPr>
            </w:pPr>
            <w:r>
              <w:rPr>
                <w:rFonts w:ascii="Arial" w:cs="Arial" w:eastAsia="Arial" w:hAnsi="Arial"/>
                <w:sz w:val="14"/>
                <w:szCs w:val="14"/>
                <w:color w:val="auto"/>
              </w:rPr>
              <w:t>–</w:t>
            </w:r>
          </w:p>
        </w:tc>
        <w:tc>
          <w:tcPr>
            <w:tcW w:w="4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right"/>
              <w:ind w:right="10"/>
              <w:spacing w:after="0" w:line="155" w:lineRule="exact"/>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gridSpan w:val="2"/>
          </w:tcPr>
          <w:p>
            <w:pPr>
              <w:jc w:val="right"/>
              <w:ind w:right="60"/>
              <w:spacing w:after="0" w:line="155" w:lineRule="exact"/>
              <w:rPr>
                <w:sz w:val="20"/>
                <w:szCs w:val="20"/>
                <w:color w:val="auto"/>
              </w:rPr>
            </w:pPr>
            <w:r>
              <w:rPr>
                <w:rFonts w:ascii="Arial" w:cs="Arial" w:eastAsia="Arial" w:hAnsi="Arial"/>
                <w:sz w:val="14"/>
                <w:szCs w:val="14"/>
                <w:color w:val="auto"/>
              </w:rPr>
              <w:t>(14)</w:t>
            </w:r>
          </w:p>
        </w:tc>
        <w:tc>
          <w:tcPr>
            <w:tcW w:w="1140" w:type="dxa"/>
            <w:vAlign w:val="bottom"/>
            <w:tcBorders>
              <w:bottom w:val="single" w:sz="8" w:color="auto"/>
            </w:tcBorders>
          </w:tcPr>
          <w:p>
            <w:pPr>
              <w:jc w:val="right"/>
              <w:ind w:right="28"/>
              <w:spacing w:after="0" w:line="155" w:lineRule="exact"/>
              <w:rPr>
                <w:sz w:val="20"/>
                <w:szCs w:val="20"/>
                <w:color w:val="auto"/>
              </w:rPr>
            </w:pPr>
            <w:r>
              <w:rPr>
                <w:rFonts w:ascii="Arial" w:cs="Arial" w:eastAsia="Arial" w:hAnsi="Arial"/>
                <w:sz w:val="14"/>
                <w:szCs w:val="14"/>
                <w:color w:val="auto"/>
              </w:rPr>
              <w:t>3,885</w:t>
            </w:r>
          </w:p>
        </w:tc>
      </w:tr>
    </w:tbl>
    <w:p>
      <w:pPr>
        <w:spacing w:after="0" w:line="32" w:lineRule="exact"/>
        <w:rPr>
          <w:sz w:val="20"/>
          <w:szCs w:val="20"/>
          <w:color w:val="auto"/>
        </w:rPr>
      </w:pPr>
    </w:p>
    <w:p>
      <w:pPr>
        <w:ind w:left="180" w:hanging="172"/>
        <w:spacing w:after="0"/>
        <w:tabs>
          <w:tab w:leader="none" w:pos="180" w:val="left"/>
        </w:tabs>
        <w:numPr>
          <w:ilvl w:val="0"/>
          <w:numId w:val="160"/>
        </w:numPr>
        <w:rPr>
          <w:rFonts w:ascii="Arial" w:cs="Arial" w:eastAsia="Arial" w:hAnsi="Arial"/>
          <w:sz w:val="11"/>
          <w:szCs w:val="11"/>
          <w:color w:val="auto"/>
        </w:rPr>
      </w:pPr>
      <w:r>
        <w:rPr>
          <w:rFonts w:ascii="Arial" w:cs="Arial" w:eastAsia="Arial" w:hAnsi="Arial"/>
          <w:sz w:val="11"/>
          <w:szCs w:val="11"/>
          <w:color w:val="auto"/>
        </w:rPr>
        <w:t>Includes Shell’s 23% share of Woodside, a publicly listed company on the Australian Securities Exchange. We have limited access to data; accordingly, the numbers are estimated.</w:t>
      </w:r>
    </w:p>
    <w:p>
      <w:pPr>
        <w:ind w:left="180" w:hanging="172"/>
        <w:spacing w:after="0"/>
        <w:tabs>
          <w:tab w:leader="none" w:pos="180" w:val="left"/>
        </w:tabs>
        <w:numPr>
          <w:ilvl w:val="0"/>
          <w:numId w:val="160"/>
        </w:numPr>
        <w:rPr>
          <w:rFonts w:ascii="Arial" w:cs="Arial" w:eastAsia="Arial" w:hAnsi="Arial"/>
          <w:sz w:val="11"/>
          <w:szCs w:val="11"/>
          <w:color w:val="auto"/>
        </w:rPr>
      </w:pPr>
      <w:r>
        <w:rPr>
          <w:rFonts w:ascii="Arial" w:cs="Arial" w:eastAsia="Arial" w:hAnsi="Arial"/>
          <w:sz w:val="11"/>
          <w:szCs w:val="11"/>
          <w:color w:val="auto"/>
        </w:rPr>
        <w:t>Includes cash-paid royalties to governments outside North America.</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3740" w:type="dxa"/>
            <w:vAlign w:val="bottom"/>
            <w:shd w:val="clear" w:color="auto" w:fill="333333"/>
          </w:tcPr>
          <w:p>
            <w:pPr>
              <w:ind w:left="80"/>
              <w:spacing w:after="0"/>
              <w:rPr>
                <w:sz w:val="20"/>
                <w:szCs w:val="20"/>
                <w:color w:val="auto"/>
              </w:rPr>
            </w:pPr>
            <w:r>
              <w:rPr>
                <w:rFonts w:ascii="Arial" w:cs="Arial" w:eastAsia="Arial" w:hAnsi="Arial"/>
                <w:sz w:val="15"/>
                <w:szCs w:val="15"/>
                <w:b w:val="1"/>
                <w:bCs w:val="1"/>
                <w:color w:val="FFFFFF"/>
              </w:rPr>
              <w:t>2012</w:t>
            </w:r>
          </w:p>
        </w:tc>
        <w:tc>
          <w:tcPr>
            <w:tcW w:w="1760" w:type="dxa"/>
            <w:vAlign w:val="bottom"/>
            <w:shd w:val="clear" w:color="auto" w:fill="333333"/>
          </w:tcPr>
          <w:p>
            <w:pPr>
              <w:spacing w:after="0"/>
              <w:rPr>
                <w:sz w:val="15"/>
                <w:szCs w:val="15"/>
                <w:color w:val="auto"/>
              </w:rPr>
            </w:pPr>
          </w:p>
        </w:tc>
        <w:tc>
          <w:tcPr>
            <w:tcW w:w="740" w:type="dxa"/>
            <w:vAlign w:val="bottom"/>
            <w:shd w:val="clear" w:color="auto" w:fill="333333"/>
          </w:tcPr>
          <w:p>
            <w:pPr>
              <w:spacing w:after="0"/>
              <w:rPr>
                <w:sz w:val="15"/>
                <w:szCs w:val="15"/>
                <w:color w:val="auto"/>
              </w:rPr>
            </w:pPr>
          </w:p>
        </w:tc>
        <w:tc>
          <w:tcPr>
            <w:tcW w:w="980" w:type="dxa"/>
            <w:vAlign w:val="bottom"/>
            <w:shd w:val="clear" w:color="auto" w:fill="333333"/>
          </w:tcPr>
          <w:p>
            <w:pPr>
              <w:spacing w:after="0"/>
              <w:rPr>
                <w:sz w:val="15"/>
                <w:szCs w:val="15"/>
                <w:color w:val="auto"/>
              </w:rPr>
            </w:pPr>
          </w:p>
        </w:tc>
        <w:tc>
          <w:tcPr>
            <w:tcW w:w="580" w:type="dxa"/>
            <w:vAlign w:val="bottom"/>
            <w:shd w:val="clear" w:color="auto" w:fill="333333"/>
          </w:tcPr>
          <w:p>
            <w:pPr>
              <w:spacing w:after="0"/>
              <w:rPr>
                <w:sz w:val="15"/>
                <w:szCs w:val="15"/>
                <w:color w:val="auto"/>
              </w:rPr>
            </w:pPr>
          </w:p>
        </w:tc>
        <w:tc>
          <w:tcPr>
            <w:tcW w:w="620" w:type="dxa"/>
            <w:vAlign w:val="bottom"/>
            <w:shd w:val="clear" w:color="auto" w:fill="333333"/>
          </w:tcPr>
          <w:p>
            <w:pPr>
              <w:spacing w:after="0"/>
              <w:rPr>
                <w:sz w:val="15"/>
                <w:szCs w:val="15"/>
                <w:color w:val="auto"/>
              </w:rPr>
            </w:pPr>
          </w:p>
        </w:tc>
        <w:tc>
          <w:tcPr>
            <w:tcW w:w="940" w:type="dxa"/>
            <w:vAlign w:val="bottom"/>
            <w:shd w:val="clear" w:color="auto" w:fill="333333"/>
          </w:tcPr>
          <w:p>
            <w:pPr>
              <w:spacing w:after="0"/>
              <w:rPr>
                <w:sz w:val="15"/>
                <w:szCs w:val="15"/>
                <w:color w:val="auto"/>
              </w:rPr>
            </w:pPr>
          </w:p>
        </w:tc>
        <w:tc>
          <w:tcPr>
            <w:tcW w:w="760" w:type="dxa"/>
            <w:vAlign w:val="bottom"/>
            <w:shd w:val="clear" w:color="auto" w:fill="333333"/>
          </w:tcPr>
          <w:p>
            <w:pPr>
              <w:spacing w:after="0"/>
              <w:rPr>
                <w:sz w:val="15"/>
                <w:szCs w:val="15"/>
                <w:color w:val="auto"/>
              </w:rPr>
            </w:pPr>
          </w:p>
        </w:tc>
        <w:tc>
          <w:tcPr>
            <w:tcW w:w="120" w:type="dxa"/>
            <w:vAlign w:val="bottom"/>
            <w:shd w:val="clear" w:color="auto" w:fill="333333"/>
          </w:tcPr>
          <w:p>
            <w:pPr>
              <w:spacing w:after="0"/>
              <w:rPr>
                <w:sz w:val="15"/>
                <w:szCs w:val="15"/>
                <w:color w:val="auto"/>
              </w:rPr>
            </w:pPr>
          </w:p>
        </w:tc>
        <w:tc>
          <w:tcPr>
            <w:tcW w:w="1180" w:type="dxa"/>
            <w:vAlign w:val="bottom"/>
            <w:shd w:val="clear" w:color="auto" w:fill="333333"/>
          </w:tcPr>
          <w:p>
            <w:pPr>
              <w:jc w:val="right"/>
              <w:ind w:right="28"/>
              <w:spacing w:after="0"/>
              <w:rPr>
                <w:sz w:val="20"/>
                <w:szCs w:val="20"/>
                <w:color w:val="auto"/>
              </w:rPr>
            </w:pPr>
            <w:r>
              <w:rPr>
                <w:rFonts w:ascii="Arial" w:cs="Arial" w:eastAsia="Arial" w:hAnsi="Arial"/>
                <w:sz w:val="15"/>
                <w:szCs w:val="15"/>
                <w:color w:val="FFFFFF"/>
              </w:rPr>
              <w:t>$ MILLION</w:t>
            </w:r>
          </w:p>
        </w:tc>
      </w:tr>
      <w:tr>
        <w:trPr>
          <w:trHeight w:val="135"/>
        </w:trPr>
        <w:tc>
          <w:tcPr>
            <w:tcW w:w="374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tcPr>
          <w:p>
            <w:pPr>
              <w:jc w:val="right"/>
              <w:ind w:right="30"/>
              <w:spacing w:after="0" w:line="115" w:lineRule="exact"/>
              <w:rPr>
                <w:sz w:val="20"/>
                <w:szCs w:val="20"/>
                <w:color w:val="auto"/>
              </w:rPr>
            </w:pPr>
            <w:r>
              <w:rPr>
                <w:rFonts w:ascii="Arial" w:cs="Arial" w:eastAsia="Arial" w:hAnsi="Arial"/>
                <w:sz w:val="13"/>
                <w:szCs w:val="13"/>
                <w:color w:val="auto"/>
                <w:w w:val="98"/>
              </w:rPr>
              <w:t>North America</w:t>
            </w:r>
          </w:p>
        </w:tc>
        <w:tc>
          <w:tcPr>
            <w:tcW w:w="880" w:type="dxa"/>
            <w:vAlign w:val="bottom"/>
            <w:gridSpan w:val="2"/>
          </w:tcPr>
          <w:p>
            <w:pPr>
              <w:jc w:val="right"/>
              <w:ind w:right="120"/>
              <w:spacing w:after="0" w:line="115" w:lineRule="exact"/>
              <w:rPr>
                <w:sz w:val="20"/>
                <w:szCs w:val="20"/>
                <w:color w:val="auto"/>
              </w:rPr>
            </w:pPr>
            <w:r>
              <w:rPr>
                <w:rFonts w:ascii="Arial" w:cs="Arial" w:eastAsia="Arial" w:hAnsi="Arial"/>
                <w:sz w:val="13"/>
                <w:szCs w:val="13"/>
                <w:color w:val="auto"/>
              </w:rPr>
              <w:t>South</w:t>
            </w:r>
          </w:p>
        </w:tc>
        <w:tc>
          <w:tcPr>
            <w:tcW w:w="1180" w:type="dxa"/>
            <w:vAlign w:val="bottom"/>
          </w:tcPr>
          <w:p>
            <w:pPr>
              <w:spacing w:after="0"/>
              <w:rPr>
                <w:sz w:val="11"/>
                <w:szCs w:val="11"/>
                <w:color w:val="auto"/>
              </w:rPr>
            </w:pPr>
          </w:p>
        </w:tc>
      </w:tr>
      <w:tr>
        <w:trPr>
          <w:trHeight w:val="156"/>
        </w:trPr>
        <w:tc>
          <w:tcPr>
            <w:tcW w:w="3740" w:type="dxa"/>
            <w:vAlign w:val="bottom"/>
          </w:tcPr>
          <w:p>
            <w:pPr>
              <w:spacing w:after="0"/>
              <w:rPr>
                <w:sz w:val="13"/>
                <w:szCs w:val="13"/>
                <w:color w:val="auto"/>
              </w:rPr>
            </w:pPr>
          </w:p>
        </w:tc>
        <w:tc>
          <w:tcPr>
            <w:tcW w:w="1760" w:type="dxa"/>
            <w:vAlign w:val="bottom"/>
          </w:tcPr>
          <w:p>
            <w:pPr>
              <w:jc w:val="right"/>
              <w:ind w:right="109"/>
              <w:spacing w:after="0"/>
              <w:rPr>
                <w:sz w:val="20"/>
                <w:szCs w:val="20"/>
                <w:color w:val="auto"/>
              </w:rPr>
            </w:pPr>
            <w:r>
              <w:rPr>
                <w:rFonts w:ascii="Arial" w:cs="Arial" w:eastAsia="Arial" w:hAnsi="Arial"/>
                <w:sz w:val="13"/>
                <w:szCs w:val="13"/>
                <w:color w:val="auto"/>
              </w:rPr>
              <w:t>Europe</w:t>
            </w:r>
          </w:p>
        </w:tc>
        <w:tc>
          <w:tcPr>
            <w:tcW w:w="740" w:type="dxa"/>
            <w:vAlign w:val="bottom"/>
          </w:tcPr>
          <w:p>
            <w:pPr>
              <w:jc w:val="right"/>
              <w:ind w:right="89"/>
              <w:spacing w:after="0"/>
              <w:rPr>
                <w:sz w:val="20"/>
                <w:szCs w:val="20"/>
                <w:color w:val="auto"/>
              </w:rPr>
            </w:pPr>
            <w:r>
              <w:rPr>
                <w:rFonts w:ascii="Arial" w:cs="Arial" w:eastAsia="Arial" w:hAnsi="Arial"/>
                <w:sz w:val="13"/>
                <w:szCs w:val="13"/>
                <w:color w:val="auto"/>
              </w:rPr>
              <w:t>Asia</w:t>
            </w:r>
          </w:p>
        </w:tc>
        <w:tc>
          <w:tcPr>
            <w:tcW w:w="980" w:type="dxa"/>
            <w:vAlign w:val="bottom"/>
          </w:tcPr>
          <w:p>
            <w:pPr>
              <w:jc w:val="right"/>
              <w:ind w:right="109"/>
              <w:spacing w:after="0"/>
              <w:rPr>
                <w:sz w:val="20"/>
                <w:szCs w:val="20"/>
                <w:color w:val="auto"/>
              </w:rPr>
            </w:pPr>
            <w:r>
              <w:rPr>
                <w:rFonts w:ascii="Arial" w:cs="Arial" w:eastAsia="Arial" w:hAnsi="Arial"/>
                <w:sz w:val="13"/>
                <w:szCs w:val="13"/>
                <w:color w:val="auto"/>
              </w:rPr>
              <w:t>Oceania[A]</w:t>
            </w:r>
          </w:p>
        </w:tc>
        <w:tc>
          <w:tcPr>
            <w:tcW w:w="580" w:type="dxa"/>
            <w:vAlign w:val="bottom"/>
          </w:tcPr>
          <w:p>
            <w:pPr>
              <w:jc w:val="right"/>
              <w:ind w:right="29"/>
              <w:spacing w:after="0"/>
              <w:rPr>
                <w:sz w:val="20"/>
                <w:szCs w:val="20"/>
                <w:color w:val="auto"/>
              </w:rPr>
            </w:pPr>
            <w:r>
              <w:rPr>
                <w:rFonts w:ascii="Arial" w:cs="Arial" w:eastAsia="Arial" w:hAnsi="Arial"/>
                <w:sz w:val="13"/>
                <w:szCs w:val="13"/>
                <w:color w:val="auto"/>
              </w:rPr>
              <w:t>Africa</w:t>
            </w:r>
          </w:p>
        </w:tc>
        <w:tc>
          <w:tcPr>
            <w:tcW w:w="620" w:type="dxa"/>
            <w:vAlign w:val="bottom"/>
          </w:tcPr>
          <w:p>
            <w:pPr>
              <w:jc w:val="right"/>
              <w:spacing w:after="0"/>
              <w:rPr>
                <w:sz w:val="20"/>
                <w:szCs w:val="20"/>
                <w:color w:val="auto"/>
              </w:rPr>
            </w:pPr>
            <w:r>
              <w:rPr>
                <w:rFonts w:ascii="Arial" w:cs="Arial" w:eastAsia="Arial" w:hAnsi="Arial"/>
                <w:sz w:val="13"/>
                <w:szCs w:val="13"/>
                <w:color w:val="auto"/>
              </w:rPr>
              <w:t>USA</w:t>
            </w:r>
          </w:p>
        </w:tc>
        <w:tc>
          <w:tcPr>
            <w:tcW w:w="940" w:type="dxa"/>
            <w:vAlign w:val="bottom"/>
          </w:tcPr>
          <w:p>
            <w:pPr>
              <w:jc w:val="right"/>
              <w:ind w:right="30"/>
              <w:spacing w:after="0"/>
              <w:rPr>
                <w:sz w:val="20"/>
                <w:szCs w:val="20"/>
                <w:color w:val="auto"/>
              </w:rPr>
            </w:pPr>
            <w:r>
              <w:rPr>
                <w:rFonts w:ascii="Arial" w:cs="Arial" w:eastAsia="Arial" w:hAnsi="Arial"/>
                <w:sz w:val="13"/>
                <w:szCs w:val="13"/>
                <w:color w:val="auto"/>
              </w:rPr>
              <w:t>Canada</w:t>
            </w:r>
          </w:p>
        </w:tc>
        <w:tc>
          <w:tcPr>
            <w:tcW w:w="880" w:type="dxa"/>
            <w:vAlign w:val="bottom"/>
            <w:gridSpan w:val="2"/>
          </w:tcPr>
          <w:p>
            <w:pPr>
              <w:jc w:val="right"/>
              <w:ind w:right="120"/>
              <w:spacing w:after="0"/>
              <w:rPr>
                <w:sz w:val="20"/>
                <w:szCs w:val="20"/>
                <w:color w:val="auto"/>
              </w:rPr>
            </w:pPr>
            <w:r>
              <w:rPr>
                <w:rFonts w:ascii="Arial" w:cs="Arial" w:eastAsia="Arial" w:hAnsi="Arial"/>
                <w:sz w:val="13"/>
                <w:szCs w:val="13"/>
                <w:color w:val="auto"/>
              </w:rPr>
              <w:t>America</w:t>
            </w:r>
          </w:p>
        </w:tc>
        <w:tc>
          <w:tcPr>
            <w:tcW w:w="1180" w:type="dxa"/>
            <w:vAlign w:val="bottom"/>
          </w:tcPr>
          <w:p>
            <w:pPr>
              <w:jc w:val="right"/>
              <w:ind w:right="28"/>
              <w:spacing w:after="0"/>
              <w:rPr>
                <w:sz w:val="20"/>
                <w:szCs w:val="20"/>
                <w:color w:val="auto"/>
              </w:rPr>
            </w:pPr>
            <w:r>
              <w:rPr>
                <w:rFonts w:ascii="Arial" w:cs="Arial" w:eastAsia="Arial" w:hAnsi="Arial"/>
                <w:sz w:val="13"/>
                <w:szCs w:val="13"/>
                <w:color w:val="auto"/>
              </w:rPr>
              <w:t>Total</w:t>
            </w:r>
          </w:p>
        </w:tc>
      </w:tr>
      <w:tr>
        <w:trPr>
          <w:trHeight w:val="20"/>
        </w:trPr>
        <w:tc>
          <w:tcPr>
            <w:tcW w:w="3740" w:type="dxa"/>
            <w:vAlign w:val="bottom"/>
            <w:shd w:val="clear" w:color="auto" w:fill="000000"/>
          </w:tcPr>
          <w:p>
            <w:pPr>
              <w:spacing w:after="0" w:line="20" w:lineRule="exact"/>
              <w:rPr>
                <w:sz w:val="1"/>
                <w:szCs w:val="1"/>
                <w:color w:val="auto"/>
              </w:rPr>
            </w:pPr>
          </w:p>
        </w:tc>
        <w:tc>
          <w:tcPr>
            <w:tcW w:w="17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r>
      <w:tr>
        <w:trPr>
          <w:trHeight w:val="156"/>
        </w:trPr>
        <w:tc>
          <w:tcPr>
            <w:tcW w:w="3740" w:type="dxa"/>
            <w:vAlign w:val="bottom"/>
            <w:tcBorders>
              <w:bottom w:val="single" w:sz="8" w:color="auto"/>
            </w:tcBorders>
          </w:tcPr>
          <w:p>
            <w:pPr>
              <w:spacing w:after="0" w:line="155" w:lineRule="exact"/>
              <w:rPr>
                <w:sz w:val="20"/>
                <w:szCs w:val="20"/>
                <w:color w:val="auto"/>
              </w:rPr>
            </w:pPr>
            <w:r>
              <w:rPr>
                <w:rFonts w:ascii="Arial" w:cs="Arial" w:eastAsia="Arial" w:hAnsi="Arial"/>
                <w:sz w:val="14"/>
                <w:szCs w:val="14"/>
                <w:color w:val="auto"/>
              </w:rPr>
              <w:t>Third party revenue</w:t>
            </w:r>
          </w:p>
        </w:tc>
        <w:tc>
          <w:tcPr>
            <w:tcW w:w="1760" w:type="dxa"/>
            <w:vAlign w:val="bottom"/>
            <w:tcBorders>
              <w:bottom w:val="single" w:sz="8" w:color="auto"/>
            </w:tcBorders>
          </w:tcPr>
          <w:p>
            <w:pPr>
              <w:jc w:val="right"/>
              <w:ind w:right="109"/>
              <w:spacing w:after="0" w:line="155" w:lineRule="exact"/>
              <w:rPr>
                <w:sz w:val="20"/>
                <w:szCs w:val="20"/>
                <w:color w:val="auto"/>
              </w:rPr>
            </w:pPr>
            <w:r>
              <w:rPr>
                <w:rFonts w:ascii="Arial" w:cs="Arial" w:eastAsia="Arial" w:hAnsi="Arial"/>
                <w:sz w:val="14"/>
                <w:szCs w:val="14"/>
                <w:color w:val="auto"/>
              </w:rPr>
              <w:t>6,448</w:t>
            </w:r>
          </w:p>
        </w:tc>
        <w:tc>
          <w:tcPr>
            <w:tcW w:w="740" w:type="dxa"/>
            <w:vAlign w:val="bottom"/>
            <w:tcBorders>
              <w:bottom w:val="single" w:sz="8" w:color="auto"/>
            </w:tcBorders>
          </w:tcPr>
          <w:p>
            <w:pPr>
              <w:jc w:val="right"/>
              <w:ind w:right="89"/>
              <w:spacing w:after="0" w:line="155" w:lineRule="exact"/>
              <w:rPr>
                <w:sz w:val="20"/>
                <w:szCs w:val="20"/>
                <w:color w:val="auto"/>
              </w:rPr>
            </w:pPr>
            <w:r>
              <w:rPr>
                <w:rFonts w:ascii="Arial" w:cs="Arial" w:eastAsia="Arial" w:hAnsi="Arial"/>
                <w:sz w:val="14"/>
                <w:szCs w:val="14"/>
                <w:color w:val="auto"/>
              </w:rPr>
              <w:t>12,592</w:t>
            </w:r>
          </w:p>
        </w:tc>
        <w:tc>
          <w:tcPr>
            <w:tcW w:w="980" w:type="dxa"/>
            <w:vAlign w:val="bottom"/>
            <w:tcBorders>
              <w:bottom w:val="single" w:sz="8" w:color="auto"/>
            </w:tcBorders>
          </w:tcPr>
          <w:p>
            <w:pPr>
              <w:jc w:val="right"/>
              <w:ind w:right="269"/>
              <w:spacing w:after="0" w:line="155" w:lineRule="exact"/>
              <w:rPr>
                <w:sz w:val="20"/>
                <w:szCs w:val="20"/>
                <w:color w:val="auto"/>
              </w:rPr>
            </w:pPr>
            <w:r>
              <w:rPr>
                <w:rFonts w:ascii="Arial" w:cs="Arial" w:eastAsia="Arial" w:hAnsi="Arial"/>
                <w:sz w:val="14"/>
                <w:szCs w:val="14"/>
                <w:color w:val="auto"/>
              </w:rPr>
              <w:t>1,441</w:t>
            </w:r>
          </w:p>
        </w:tc>
        <w:tc>
          <w:tcPr>
            <w:tcW w:w="580" w:type="dxa"/>
            <w:vAlign w:val="bottom"/>
            <w:tcBorders>
              <w:bottom w:val="single" w:sz="8" w:color="auto"/>
            </w:tcBorders>
          </w:tcPr>
          <w:p>
            <w:pPr>
              <w:jc w:val="right"/>
              <w:ind w:right="29"/>
              <w:spacing w:after="0" w:line="155" w:lineRule="exact"/>
              <w:rPr>
                <w:sz w:val="20"/>
                <w:szCs w:val="20"/>
                <w:color w:val="auto"/>
              </w:rPr>
            </w:pPr>
            <w:r>
              <w:rPr>
                <w:rFonts w:ascii="Arial" w:cs="Arial" w:eastAsia="Arial" w:hAnsi="Arial"/>
                <w:sz w:val="14"/>
                <w:szCs w:val="14"/>
                <w:color w:val="auto"/>
              </w:rPr>
              <w:t>–</w:t>
            </w:r>
          </w:p>
        </w:tc>
        <w:tc>
          <w:tcPr>
            <w:tcW w:w="6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2,715</w:t>
            </w:r>
          </w:p>
        </w:tc>
        <w:tc>
          <w:tcPr>
            <w:tcW w:w="940" w:type="dxa"/>
            <w:vAlign w:val="bottom"/>
            <w:tcBorders>
              <w:bottom w:val="single" w:sz="8" w:color="auto"/>
            </w:tcBorders>
          </w:tcPr>
          <w:p>
            <w:pPr>
              <w:jc w:val="right"/>
              <w:ind w:right="30"/>
              <w:spacing w:after="0" w:line="155" w:lineRule="exact"/>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gridSpan w:val="2"/>
          </w:tcPr>
          <w:p>
            <w:pPr>
              <w:jc w:val="right"/>
              <w:ind w:right="120"/>
              <w:spacing w:after="0" w:line="155" w:lineRule="exact"/>
              <w:rPr>
                <w:sz w:val="20"/>
                <w:szCs w:val="20"/>
                <w:color w:val="auto"/>
              </w:rPr>
            </w:pPr>
            <w:r>
              <w:rPr>
                <w:rFonts w:ascii="Arial" w:cs="Arial" w:eastAsia="Arial" w:hAnsi="Arial"/>
                <w:sz w:val="14"/>
                <w:szCs w:val="14"/>
                <w:color w:val="auto"/>
              </w:rPr>
              <w:t>341</w:t>
            </w:r>
          </w:p>
        </w:tc>
        <w:tc>
          <w:tcPr>
            <w:tcW w:w="1180" w:type="dxa"/>
            <w:vAlign w:val="bottom"/>
            <w:tcBorders>
              <w:bottom w:val="single" w:sz="8" w:color="auto"/>
            </w:tcBorders>
          </w:tcPr>
          <w:p>
            <w:pPr>
              <w:jc w:val="right"/>
              <w:ind w:right="28"/>
              <w:spacing w:after="0" w:line="155" w:lineRule="exact"/>
              <w:rPr>
                <w:sz w:val="20"/>
                <w:szCs w:val="20"/>
                <w:color w:val="auto"/>
              </w:rPr>
            </w:pPr>
            <w:r>
              <w:rPr>
                <w:rFonts w:ascii="Arial" w:cs="Arial" w:eastAsia="Arial" w:hAnsi="Arial"/>
                <w:sz w:val="14"/>
                <w:szCs w:val="14"/>
                <w:color w:val="auto"/>
              </w:rPr>
              <w:t>23,537</w:t>
            </w:r>
          </w:p>
        </w:tc>
      </w:tr>
      <w:tr>
        <w:trPr>
          <w:trHeight w:val="156"/>
        </w:trPr>
        <w:tc>
          <w:tcPr>
            <w:tcW w:w="3740" w:type="dxa"/>
            <w:vAlign w:val="bottom"/>
            <w:tcBorders>
              <w:bottom w:val="single" w:sz="8" w:color="auto"/>
            </w:tcBorders>
          </w:tcPr>
          <w:p>
            <w:pPr>
              <w:spacing w:after="0" w:line="155" w:lineRule="exact"/>
              <w:rPr>
                <w:sz w:val="20"/>
                <w:szCs w:val="20"/>
                <w:color w:val="auto"/>
              </w:rPr>
            </w:pPr>
            <w:r>
              <w:rPr>
                <w:rFonts w:ascii="Arial" w:cs="Arial" w:eastAsia="Arial" w:hAnsi="Arial"/>
                <w:sz w:val="14"/>
                <w:szCs w:val="14"/>
                <w:color w:val="auto"/>
              </w:rPr>
              <w:t>Total</w:t>
            </w:r>
          </w:p>
        </w:tc>
        <w:tc>
          <w:tcPr>
            <w:tcW w:w="1760" w:type="dxa"/>
            <w:vAlign w:val="bottom"/>
            <w:tcBorders>
              <w:bottom w:val="single" w:sz="8" w:color="auto"/>
            </w:tcBorders>
          </w:tcPr>
          <w:p>
            <w:pPr>
              <w:jc w:val="right"/>
              <w:ind w:right="109"/>
              <w:spacing w:after="0" w:line="155" w:lineRule="exact"/>
              <w:rPr>
                <w:sz w:val="20"/>
                <w:szCs w:val="20"/>
                <w:color w:val="auto"/>
              </w:rPr>
            </w:pPr>
            <w:r>
              <w:rPr>
                <w:rFonts w:ascii="Arial" w:cs="Arial" w:eastAsia="Arial" w:hAnsi="Arial"/>
                <w:sz w:val="14"/>
                <w:szCs w:val="14"/>
                <w:color w:val="auto"/>
              </w:rPr>
              <w:t>6,448</w:t>
            </w:r>
          </w:p>
        </w:tc>
        <w:tc>
          <w:tcPr>
            <w:tcW w:w="740" w:type="dxa"/>
            <w:vAlign w:val="bottom"/>
            <w:tcBorders>
              <w:bottom w:val="single" w:sz="8" w:color="auto"/>
            </w:tcBorders>
          </w:tcPr>
          <w:p>
            <w:pPr>
              <w:jc w:val="right"/>
              <w:ind w:right="89"/>
              <w:spacing w:after="0" w:line="155" w:lineRule="exact"/>
              <w:rPr>
                <w:sz w:val="20"/>
                <w:szCs w:val="20"/>
                <w:color w:val="auto"/>
              </w:rPr>
            </w:pPr>
            <w:r>
              <w:rPr>
                <w:rFonts w:ascii="Arial" w:cs="Arial" w:eastAsia="Arial" w:hAnsi="Arial"/>
                <w:sz w:val="14"/>
                <w:szCs w:val="14"/>
                <w:color w:val="auto"/>
              </w:rPr>
              <w:t>12,592</w:t>
            </w:r>
          </w:p>
        </w:tc>
        <w:tc>
          <w:tcPr>
            <w:tcW w:w="980" w:type="dxa"/>
            <w:vAlign w:val="bottom"/>
            <w:tcBorders>
              <w:bottom w:val="single" w:sz="8" w:color="auto"/>
            </w:tcBorders>
          </w:tcPr>
          <w:p>
            <w:pPr>
              <w:jc w:val="right"/>
              <w:ind w:right="269"/>
              <w:spacing w:after="0" w:line="155" w:lineRule="exact"/>
              <w:rPr>
                <w:sz w:val="20"/>
                <w:szCs w:val="20"/>
                <w:color w:val="auto"/>
              </w:rPr>
            </w:pPr>
            <w:r>
              <w:rPr>
                <w:rFonts w:ascii="Arial" w:cs="Arial" w:eastAsia="Arial" w:hAnsi="Arial"/>
                <w:sz w:val="14"/>
                <w:szCs w:val="14"/>
                <w:color w:val="auto"/>
              </w:rPr>
              <w:t>1,441</w:t>
            </w:r>
          </w:p>
        </w:tc>
        <w:tc>
          <w:tcPr>
            <w:tcW w:w="580" w:type="dxa"/>
            <w:vAlign w:val="bottom"/>
            <w:tcBorders>
              <w:bottom w:val="single" w:sz="8" w:color="auto"/>
            </w:tcBorders>
          </w:tcPr>
          <w:p>
            <w:pPr>
              <w:jc w:val="right"/>
              <w:ind w:right="29"/>
              <w:spacing w:after="0" w:line="155" w:lineRule="exact"/>
              <w:rPr>
                <w:sz w:val="20"/>
                <w:szCs w:val="20"/>
                <w:color w:val="auto"/>
              </w:rPr>
            </w:pPr>
            <w:r>
              <w:rPr>
                <w:rFonts w:ascii="Arial" w:cs="Arial" w:eastAsia="Arial" w:hAnsi="Arial"/>
                <w:sz w:val="14"/>
                <w:szCs w:val="14"/>
                <w:color w:val="auto"/>
              </w:rPr>
              <w:t>–</w:t>
            </w:r>
          </w:p>
        </w:tc>
        <w:tc>
          <w:tcPr>
            <w:tcW w:w="6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2,715</w:t>
            </w:r>
          </w:p>
        </w:tc>
        <w:tc>
          <w:tcPr>
            <w:tcW w:w="940" w:type="dxa"/>
            <w:vAlign w:val="bottom"/>
            <w:tcBorders>
              <w:bottom w:val="single" w:sz="8" w:color="auto"/>
            </w:tcBorders>
          </w:tcPr>
          <w:p>
            <w:pPr>
              <w:jc w:val="right"/>
              <w:ind w:right="30"/>
              <w:spacing w:after="0" w:line="155" w:lineRule="exact"/>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gridSpan w:val="2"/>
          </w:tcPr>
          <w:p>
            <w:pPr>
              <w:jc w:val="right"/>
              <w:ind w:right="120"/>
              <w:spacing w:after="0" w:line="155" w:lineRule="exact"/>
              <w:rPr>
                <w:sz w:val="20"/>
                <w:szCs w:val="20"/>
                <w:color w:val="auto"/>
              </w:rPr>
            </w:pPr>
            <w:r>
              <w:rPr>
                <w:rFonts w:ascii="Arial" w:cs="Arial" w:eastAsia="Arial" w:hAnsi="Arial"/>
                <w:sz w:val="14"/>
                <w:szCs w:val="14"/>
                <w:color w:val="auto"/>
              </w:rPr>
              <w:t>341</w:t>
            </w:r>
          </w:p>
        </w:tc>
        <w:tc>
          <w:tcPr>
            <w:tcW w:w="1180" w:type="dxa"/>
            <w:vAlign w:val="bottom"/>
            <w:tcBorders>
              <w:bottom w:val="single" w:sz="8" w:color="auto"/>
            </w:tcBorders>
          </w:tcPr>
          <w:p>
            <w:pPr>
              <w:jc w:val="right"/>
              <w:ind w:right="28"/>
              <w:spacing w:after="0" w:line="155" w:lineRule="exact"/>
              <w:rPr>
                <w:sz w:val="20"/>
                <w:szCs w:val="20"/>
                <w:color w:val="auto"/>
              </w:rPr>
            </w:pPr>
            <w:r>
              <w:rPr>
                <w:rFonts w:ascii="Arial" w:cs="Arial" w:eastAsia="Arial" w:hAnsi="Arial"/>
                <w:sz w:val="14"/>
                <w:szCs w:val="14"/>
                <w:color w:val="auto"/>
              </w:rPr>
              <w:t>23,537</w:t>
            </w:r>
          </w:p>
        </w:tc>
      </w:tr>
      <w:tr>
        <w:trPr>
          <w:trHeight w:val="160"/>
        </w:trPr>
        <w:tc>
          <w:tcPr>
            <w:tcW w:w="3740" w:type="dxa"/>
            <w:vAlign w:val="bottom"/>
          </w:tcPr>
          <w:p>
            <w:pPr>
              <w:spacing w:after="0"/>
              <w:rPr>
                <w:sz w:val="20"/>
                <w:szCs w:val="20"/>
                <w:color w:val="auto"/>
              </w:rPr>
            </w:pPr>
            <w:r>
              <w:rPr>
                <w:rFonts w:ascii="Arial" w:cs="Arial" w:eastAsia="Arial" w:hAnsi="Arial"/>
                <w:sz w:val="14"/>
                <w:szCs w:val="14"/>
                <w:color w:val="auto"/>
              </w:rPr>
              <w:t>Production costs excluding taxes</w:t>
            </w:r>
          </w:p>
        </w:tc>
        <w:tc>
          <w:tcPr>
            <w:tcW w:w="1760" w:type="dxa"/>
            <w:vAlign w:val="bottom"/>
          </w:tcPr>
          <w:p>
            <w:pPr>
              <w:jc w:val="right"/>
              <w:ind w:right="109"/>
              <w:spacing w:after="0"/>
              <w:rPr>
                <w:sz w:val="20"/>
                <w:szCs w:val="20"/>
                <w:color w:val="auto"/>
              </w:rPr>
            </w:pPr>
            <w:r>
              <w:rPr>
                <w:rFonts w:ascii="Arial" w:cs="Arial" w:eastAsia="Arial" w:hAnsi="Arial"/>
                <w:sz w:val="14"/>
                <w:szCs w:val="14"/>
                <w:color w:val="auto"/>
              </w:rPr>
              <w:t>411</w:t>
            </w:r>
          </w:p>
        </w:tc>
        <w:tc>
          <w:tcPr>
            <w:tcW w:w="740" w:type="dxa"/>
            <w:vAlign w:val="bottom"/>
          </w:tcPr>
          <w:p>
            <w:pPr>
              <w:jc w:val="right"/>
              <w:ind w:right="89"/>
              <w:spacing w:after="0"/>
              <w:rPr>
                <w:sz w:val="20"/>
                <w:szCs w:val="20"/>
                <w:color w:val="auto"/>
              </w:rPr>
            </w:pPr>
            <w:r>
              <w:rPr>
                <w:rFonts w:ascii="Arial" w:cs="Arial" w:eastAsia="Arial" w:hAnsi="Arial"/>
                <w:sz w:val="14"/>
                <w:szCs w:val="14"/>
                <w:color w:val="auto"/>
              </w:rPr>
              <w:t>952</w:t>
            </w:r>
          </w:p>
        </w:tc>
        <w:tc>
          <w:tcPr>
            <w:tcW w:w="980" w:type="dxa"/>
            <w:vAlign w:val="bottom"/>
          </w:tcPr>
          <w:p>
            <w:pPr>
              <w:jc w:val="right"/>
              <w:ind w:right="269"/>
              <w:spacing w:after="0"/>
              <w:rPr>
                <w:sz w:val="20"/>
                <w:szCs w:val="20"/>
                <w:color w:val="auto"/>
              </w:rPr>
            </w:pPr>
            <w:r>
              <w:rPr>
                <w:rFonts w:ascii="Arial" w:cs="Arial" w:eastAsia="Arial" w:hAnsi="Arial"/>
                <w:sz w:val="14"/>
                <w:szCs w:val="14"/>
                <w:color w:val="auto"/>
              </w:rPr>
              <w:t>372</w:t>
            </w:r>
          </w:p>
        </w:tc>
        <w:tc>
          <w:tcPr>
            <w:tcW w:w="58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453</w:t>
            </w:r>
          </w:p>
        </w:tc>
        <w:tc>
          <w:tcPr>
            <w:tcW w:w="940" w:type="dxa"/>
            <w:vAlign w:val="bottom"/>
          </w:tcPr>
          <w:p>
            <w:pPr>
              <w:jc w:val="right"/>
              <w:ind w:right="30"/>
              <w:spacing w:after="0"/>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120"/>
              <w:spacing w:after="0"/>
              <w:rPr>
                <w:sz w:val="20"/>
                <w:szCs w:val="20"/>
                <w:color w:val="auto"/>
              </w:rPr>
            </w:pPr>
            <w:r>
              <w:rPr>
                <w:rFonts w:ascii="Arial" w:cs="Arial" w:eastAsia="Arial" w:hAnsi="Arial"/>
                <w:sz w:val="14"/>
                <w:szCs w:val="14"/>
                <w:color w:val="auto"/>
              </w:rPr>
              <w:t>41</w:t>
            </w:r>
          </w:p>
        </w:tc>
        <w:tc>
          <w:tcPr>
            <w:tcW w:w="1180" w:type="dxa"/>
            <w:vAlign w:val="bottom"/>
          </w:tcPr>
          <w:p>
            <w:pPr>
              <w:jc w:val="right"/>
              <w:ind w:right="28"/>
              <w:spacing w:after="0"/>
              <w:rPr>
                <w:sz w:val="20"/>
                <w:szCs w:val="20"/>
                <w:color w:val="auto"/>
              </w:rPr>
            </w:pPr>
            <w:r>
              <w:rPr>
                <w:rFonts w:ascii="Arial" w:cs="Arial" w:eastAsia="Arial" w:hAnsi="Arial"/>
                <w:sz w:val="14"/>
                <w:szCs w:val="14"/>
                <w:color w:val="auto"/>
              </w:rPr>
              <w:t>2,229</w:t>
            </w:r>
          </w:p>
        </w:tc>
      </w:tr>
      <w:tr>
        <w:trPr>
          <w:trHeight w:val="162"/>
        </w:trPr>
        <w:tc>
          <w:tcPr>
            <w:tcW w:w="3740" w:type="dxa"/>
            <w:vAlign w:val="bottom"/>
          </w:tcPr>
          <w:p>
            <w:pPr>
              <w:spacing w:after="0"/>
              <w:rPr>
                <w:sz w:val="20"/>
                <w:szCs w:val="20"/>
                <w:color w:val="auto"/>
              </w:rPr>
            </w:pPr>
            <w:r>
              <w:rPr>
                <w:rFonts w:ascii="Arial" w:cs="Arial" w:eastAsia="Arial" w:hAnsi="Arial"/>
                <w:sz w:val="14"/>
                <w:szCs w:val="14"/>
                <w:color w:val="auto"/>
              </w:rPr>
              <w:t>Taxes other than income tax [B]</w:t>
            </w:r>
          </w:p>
        </w:tc>
        <w:tc>
          <w:tcPr>
            <w:tcW w:w="1760" w:type="dxa"/>
            <w:vAlign w:val="bottom"/>
          </w:tcPr>
          <w:p>
            <w:pPr>
              <w:jc w:val="right"/>
              <w:ind w:right="109"/>
              <w:spacing w:after="0"/>
              <w:rPr>
                <w:sz w:val="20"/>
                <w:szCs w:val="20"/>
                <w:color w:val="auto"/>
              </w:rPr>
            </w:pPr>
            <w:r>
              <w:rPr>
                <w:rFonts w:ascii="Arial" w:cs="Arial" w:eastAsia="Arial" w:hAnsi="Arial"/>
                <w:sz w:val="14"/>
                <w:szCs w:val="14"/>
                <w:color w:val="auto"/>
              </w:rPr>
              <w:t>3,574</w:t>
            </w:r>
          </w:p>
        </w:tc>
        <w:tc>
          <w:tcPr>
            <w:tcW w:w="740" w:type="dxa"/>
            <w:vAlign w:val="bottom"/>
          </w:tcPr>
          <w:p>
            <w:pPr>
              <w:jc w:val="right"/>
              <w:ind w:right="89"/>
              <w:spacing w:after="0"/>
              <w:rPr>
                <w:sz w:val="20"/>
                <w:szCs w:val="20"/>
                <w:color w:val="auto"/>
              </w:rPr>
            </w:pPr>
            <w:r>
              <w:rPr>
                <w:rFonts w:ascii="Arial" w:cs="Arial" w:eastAsia="Arial" w:hAnsi="Arial"/>
                <w:sz w:val="14"/>
                <w:szCs w:val="14"/>
                <w:color w:val="auto"/>
              </w:rPr>
              <w:t>4,861</w:t>
            </w:r>
          </w:p>
        </w:tc>
        <w:tc>
          <w:tcPr>
            <w:tcW w:w="980" w:type="dxa"/>
            <w:vAlign w:val="bottom"/>
          </w:tcPr>
          <w:p>
            <w:pPr>
              <w:jc w:val="right"/>
              <w:ind w:right="269"/>
              <w:spacing w:after="0"/>
              <w:rPr>
                <w:sz w:val="20"/>
                <w:szCs w:val="20"/>
                <w:color w:val="auto"/>
              </w:rPr>
            </w:pPr>
            <w:r>
              <w:rPr>
                <w:rFonts w:ascii="Arial" w:cs="Arial" w:eastAsia="Arial" w:hAnsi="Arial"/>
                <w:sz w:val="14"/>
                <w:szCs w:val="14"/>
                <w:color w:val="auto"/>
              </w:rPr>
              <w:t>111</w:t>
            </w:r>
          </w:p>
        </w:tc>
        <w:tc>
          <w:tcPr>
            <w:tcW w:w="58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157</w:t>
            </w:r>
          </w:p>
        </w:tc>
        <w:tc>
          <w:tcPr>
            <w:tcW w:w="940" w:type="dxa"/>
            <w:vAlign w:val="bottom"/>
          </w:tcPr>
          <w:p>
            <w:pPr>
              <w:jc w:val="right"/>
              <w:ind w:right="30"/>
              <w:spacing w:after="0"/>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120"/>
              <w:spacing w:after="0"/>
              <w:rPr>
                <w:sz w:val="20"/>
                <w:szCs w:val="20"/>
                <w:color w:val="auto"/>
              </w:rPr>
            </w:pPr>
            <w:r>
              <w:rPr>
                <w:rFonts w:ascii="Arial" w:cs="Arial" w:eastAsia="Arial" w:hAnsi="Arial"/>
                <w:sz w:val="14"/>
                <w:szCs w:val="14"/>
                <w:color w:val="auto"/>
              </w:rPr>
              <w:t>118</w:t>
            </w:r>
          </w:p>
        </w:tc>
        <w:tc>
          <w:tcPr>
            <w:tcW w:w="1180" w:type="dxa"/>
            <w:vAlign w:val="bottom"/>
          </w:tcPr>
          <w:p>
            <w:pPr>
              <w:jc w:val="right"/>
              <w:ind w:right="28"/>
              <w:spacing w:after="0"/>
              <w:rPr>
                <w:sz w:val="20"/>
                <w:szCs w:val="20"/>
                <w:color w:val="auto"/>
              </w:rPr>
            </w:pPr>
            <w:r>
              <w:rPr>
                <w:rFonts w:ascii="Arial" w:cs="Arial" w:eastAsia="Arial" w:hAnsi="Arial"/>
                <w:sz w:val="14"/>
                <w:szCs w:val="14"/>
                <w:color w:val="auto"/>
              </w:rPr>
              <w:t>8,821</w:t>
            </w:r>
          </w:p>
        </w:tc>
      </w:tr>
      <w:tr>
        <w:trPr>
          <w:trHeight w:val="162"/>
        </w:trPr>
        <w:tc>
          <w:tcPr>
            <w:tcW w:w="3740" w:type="dxa"/>
            <w:vAlign w:val="bottom"/>
          </w:tcPr>
          <w:p>
            <w:pPr>
              <w:spacing w:after="0"/>
              <w:rPr>
                <w:sz w:val="20"/>
                <w:szCs w:val="20"/>
                <w:color w:val="auto"/>
              </w:rPr>
            </w:pPr>
            <w:r>
              <w:rPr>
                <w:rFonts w:ascii="Arial" w:cs="Arial" w:eastAsia="Arial" w:hAnsi="Arial"/>
                <w:sz w:val="14"/>
                <w:szCs w:val="14"/>
                <w:color w:val="auto"/>
              </w:rPr>
              <w:t>Exploration</w:t>
            </w:r>
          </w:p>
        </w:tc>
        <w:tc>
          <w:tcPr>
            <w:tcW w:w="1760" w:type="dxa"/>
            <w:vAlign w:val="bottom"/>
          </w:tcPr>
          <w:p>
            <w:pPr>
              <w:jc w:val="right"/>
              <w:ind w:right="109"/>
              <w:spacing w:after="0"/>
              <w:rPr>
                <w:sz w:val="20"/>
                <w:szCs w:val="20"/>
                <w:color w:val="auto"/>
              </w:rPr>
            </w:pPr>
            <w:r>
              <w:rPr>
                <w:rFonts w:ascii="Arial" w:cs="Arial" w:eastAsia="Arial" w:hAnsi="Arial"/>
                <w:sz w:val="14"/>
                <w:szCs w:val="14"/>
                <w:color w:val="auto"/>
              </w:rPr>
              <w:t>17</w:t>
            </w:r>
          </w:p>
        </w:tc>
        <w:tc>
          <w:tcPr>
            <w:tcW w:w="740" w:type="dxa"/>
            <w:vAlign w:val="bottom"/>
          </w:tcPr>
          <w:p>
            <w:pPr>
              <w:jc w:val="right"/>
              <w:ind w:right="89"/>
              <w:spacing w:after="0"/>
              <w:rPr>
                <w:sz w:val="20"/>
                <w:szCs w:val="20"/>
                <w:color w:val="auto"/>
              </w:rPr>
            </w:pPr>
            <w:r>
              <w:rPr>
                <w:rFonts w:ascii="Arial" w:cs="Arial" w:eastAsia="Arial" w:hAnsi="Arial"/>
                <w:sz w:val="14"/>
                <w:szCs w:val="14"/>
                <w:color w:val="auto"/>
              </w:rPr>
              <w:t>391</w:t>
            </w:r>
          </w:p>
        </w:tc>
        <w:tc>
          <w:tcPr>
            <w:tcW w:w="980" w:type="dxa"/>
            <w:vAlign w:val="bottom"/>
          </w:tcPr>
          <w:p>
            <w:pPr>
              <w:jc w:val="right"/>
              <w:ind w:right="269"/>
              <w:spacing w:after="0"/>
              <w:rPr>
                <w:sz w:val="20"/>
                <w:szCs w:val="20"/>
                <w:color w:val="auto"/>
              </w:rPr>
            </w:pPr>
            <w:r>
              <w:rPr>
                <w:rFonts w:ascii="Arial" w:cs="Arial" w:eastAsia="Arial" w:hAnsi="Arial"/>
                <w:sz w:val="14"/>
                <w:szCs w:val="14"/>
                <w:color w:val="auto"/>
              </w:rPr>
              <w:t>155</w:t>
            </w:r>
          </w:p>
        </w:tc>
        <w:tc>
          <w:tcPr>
            <w:tcW w:w="58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10</w:t>
            </w:r>
          </w:p>
        </w:tc>
        <w:tc>
          <w:tcPr>
            <w:tcW w:w="940" w:type="dxa"/>
            <w:vAlign w:val="bottom"/>
          </w:tcPr>
          <w:p>
            <w:pPr>
              <w:jc w:val="right"/>
              <w:ind w:right="30"/>
              <w:spacing w:after="0"/>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180" w:type="dxa"/>
            <w:vAlign w:val="bottom"/>
          </w:tcPr>
          <w:p>
            <w:pPr>
              <w:jc w:val="right"/>
              <w:ind w:right="28"/>
              <w:spacing w:after="0"/>
              <w:rPr>
                <w:sz w:val="20"/>
                <w:szCs w:val="20"/>
                <w:color w:val="auto"/>
              </w:rPr>
            </w:pPr>
            <w:r>
              <w:rPr>
                <w:rFonts w:ascii="Arial" w:cs="Arial" w:eastAsia="Arial" w:hAnsi="Arial"/>
                <w:sz w:val="14"/>
                <w:szCs w:val="14"/>
                <w:color w:val="auto"/>
              </w:rPr>
              <w:t>573</w:t>
            </w:r>
          </w:p>
        </w:tc>
      </w:tr>
      <w:tr>
        <w:trPr>
          <w:trHeight w:val="162"/>
        </w:trPr>
        <w:tc>
          <w:tcPr>
            <w:tcW w:w="3740" w:type="dxa"/>
            <w:vAlign w:val="bottom"/>
          </w:tcPr>
          <w:p>
            <w:pPr>
              <w:spacing w:after="0"/>
              <w:rPr>
                <w:sz w:val="20"/>
                <w:szCs w:val="20"/>
                <w:color w:val="auto"/>
              </w:rPr>
            </w:pPr>
            <w:r>
              <w:rPr>
                <w:rFonts w:ascii="Arial" w:cs="Arial" w:eastAsia="Arial" w:hAnsi="Arial"/>
                <w:sz w:val="14"/>
                <w:szCs w:val="14"/>
                <w:color w:val="auto"/>
              </w:rPr>
              <w:t>Depreciation, depletion and amortisation</w:t>
            </w:r>
          </w:p>
        </w:tc>
        <w:tc>
          <w:tcPr>
            <w:tcW w:w="1760" w:type="dxa"/>
            <w:vAlign w:val="bottom"/>
          </w:tcPr>
          <w:p>
            <w:pPr>
              <w:jc w:val="right"/>
              <w:ind w:right="109"/>
              <w:spacing w:after="0"/>
              <w:rPr>
                <w:sz w:val="20"/>
                <w:szCs w:val="20"/>
                <w:color w:val="auto"/>
              </w:rPr>
            </w:pPr>
            <w:r>
              <w:rPr>
                <w:rFonts w:ascii="Arial" w:cs="Arial" w:eastAsia="Arial" w:hAnsi="Arial"/>
                <w:sz w:val="14"/>
                <w:szCs w:val="14"/>
                <w:color w:val="auto"/>
              </w:rPr>
              <w:t>209</w:t>
            </w:r>
          </w:p>
        </w:tc>
        <w:tc>
          <w:tcPr>
            <w:tcW w:w="740" w:type="dxa"/>
            <w:vAlign w:val="bottom"/>
          </w:tcPr>
          <w:p>
            <w:pPr>
              <w:jc w:val="right"/>
              <w:ind w:right="89"/>
              <w:spacing w:after="0"/>
              <w:rPr>
                <w:sz w:val="20"/>
                <w:szCs w:val="20"/>
                <w:color w:val="auto"/>
              </w:rPr>
            </w:pPr>
            <w:r>
              <w:rPr>
                <w:rFonts w:ascii="Arial" w:cs="Arial" w:eastAsia="Arial" w:hAnsi="Arial"/>
                <w:sz w:val="14"/>
                <w:szCs w:val="14"/>
                <w:color w:val="auto"/>
              </w:rPr>
              <w:t>1,310</w:t>
            </w:r>
          </w:p>
        </w:tc>
        <w:tc>
          <w:tcPr>
            <w:tcW w:w="980" w:type="dxa"/>
            <w:vAlign w:val="bottom"/>
          </w:tcPr>
          <w:p>
            <w:pPr>
              <w:jc w:val="right"/>
              <w:ind w:right="269"/>
              <w:spacing w:after="0"/>
              <w:rPr>
                <w:sz w:val="20"/>
                <w:szCs w:val="20"/>
                <w:color w:val="auto"/>
              </w:rPr>
            </w:pPr>
            <w:r>
              <w:rPr>
                <w:rFonts w:ascii="Arial" w:cs="Arial" w:eastAsia="Arial" w:hAnsi="Arial"/>
                <w:sz w:val="14"/>
                <w:szCs w:val="14"/>
                <w:color w:val="auto"/>
              </w:rPr>
              <w:t>335</w:t>
            </w:r>
          </w:p>
        </w:tc>
        <w:tc>
          <w:tcPr>
            <w:tcW w:w="58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269</w:t>
            </w:r>
          </w:p>
        </w:tc>
        <w:tc>
          <w:tcPr>
            <w:tcW w:w="940" w:type="dxa"/>
            <w:vAlign w:val="bottom"/>
          </w:tcPr>
          <w:p>
            <w:pPr>
              <w:jc w:val="right"/>
              <w:ind w:right="30"/>
              <w:spacing w:after="0"/>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120"/>
              <w:spacing w:after="0"/>
              <w:rPr>
                <w:sz w:val="20"/>
                <w:szCs w:val="20"/>
                <w:color w:val="auto"/>
              </w:rPr>
            </w:pPr>
            <w:r>
              <w:rPr>
                <w:rFonts w:ascii="Arial" w:cs="Arial" w:eastAsia="Arial" w:hAnsi="Arial"/>
                <w:sz w:val="14"/>
                <w:szCs w:val="14"/>
                <w:color w:val="auto"/>
              </w:rPr>
              <w:t>41</w:t>
            </w:r>
          </w:p>
        </w:tc>
        <w:tc>
          <w:tcPr>
            <w:tcW w:w="1180" w:type="dxa"/>
            <w:vAlign w:val="bottom"/>
          </w:tcPr>
          <w:p>
            <w:pPr>
              <w:jc w:val="right"/>
              <w:ind w:right="28"/>
              <w:spacing w:after="0"/>
              <w:rPr>
                <w:sz w:val="20"/>
                <w:szCs w:val="20"/>
                <w:color w:val="auto"/>
              </w:rPr>
            </w:pPr>
            <w:r>
              <w:rPr>
                <w:rFonts w:ascii="Arial" w:cs="Arial" w:eastAsia="Arial" w:hAnsi="Arial"/>
                <w:sz w:val="14"/>
                <w:szCs w:val="14"/>
                <w:color w:val="auto"/>
              </w:rPr>
              <w:t>2,164</w:t>
            </w:r>
          </w:p>
        </w:tc>
      </w:tr>
      <w:tr>
        <w:trPr>
          <w:trHeight w:val="157"/>
        </w:trPr>
        <w:tc>
          <w:tcPr>
            <w:tcW w:w="3740" w:type="dxa"/>
            <w:vAlign w:val="bottom"/>
            <w:tcBorders>
              <w:bottom w:val="single" w:sz="8" w:color="auto"/>
            </w:tcBorders>
          </w:tcPr>
          <w:p>
            <w:pPr>
              <w:spacing w:after="0" w:line="157" w:lineRule="exact"/>
              <w:rPr>
                <w:sz w:val="20"/>
                <w:szCs w:val="20"/>
                <w:color w:val="auto"/>
              </w:rPr>
            </w:pPr>
            <w:r>
              <w:rPr>
                <w:rFonts w:ascii="Arial" w:cs="Arial" w:eastAsia="Arial" w:hAnsi="Arial"/>
                <w:sz w:val="14"/>
                <w:szCs w:val="14"/>
                <w:color w:val="auto"/>
              </w:rPr>
              <w:t>Other costs/(income)</w:t>
            </w:r>
          </w:p>
        </w:tc>
        <w:tc>
          <w:tcPr>
            <w:tcW w:w="1760" w:type="dxa"/>
            <w:vAlign w:val="bottom"/>
            <w:tcBorders>
              <w:bottom w:val="single" w:sz="8" w:color="auto"/>
            </w:tcBorders>
          </w:tcPr>
          <w:p>
            <w:pPr>
              <w:jc w:val="right"/>
              <w:ind w:right="69"/>
              <w:spacing w:after="0" w:line="157" w:lineRule="exact"/>
              <w:rPr>
                <w:sz w:val="20"/>
                <w:szCs w:val="20"/>
                <w:color w:val="auto"/>
              </w:rPr>
            </w:pPr>
            <w:r>
              <w:rPr>
                <w:rFonts w:ascii="Arial" w:cs="Arial" w:eastAsia="Arial" w:hAnsi="Arial"/>
                <w:sz w:val="14"/>
                <w:szCs w:val="14"/>
                <w:color w:val="auto"/>
              </w:rPr>
              <w:t>(390)</w:t>
            </w:r>
          </w:p>
        </w:tc>
        <w:tc>
          <w:tcPr>
            <w:tcW w:w="740" w:type="dxa"/>
            <w:vAlign w:val="bottom"/>
            <w:tcBorders>
              <w:bottom w:val="single" w:sz="8" w:color="auto"/>
            </w:tcBorders>
          </w:tcPr>
          <w:p>
            <w:pPr>
              <w:jc w:val="right"/>
              <w:ind w:right="89"/>
              <w:spacing w:after="0" w:line="157" w:lineRule="exact"/>
              <w:rPr>
                <w:sz w:val="20"/>
                <w:szCs w:val="20"/>
                <w:color w:val="auto"/>
              </w:rPr>
            </w:pPr>
            <w:r>
              <w:rPr>
                <w:rFonts w:ascii="Arial" w:cs="Arial" w:eastAsia="Arial" w:hAnsi="Arial"/>
                <w:sz w:val="14"/>
                <w:szCs w:val="14"/>
                <w:color w:val="auto"/>
              </w:rPr>
              <w:t>128</w:t>
            </w:r>
          </w:p>
        </w:tc>
        <w:tc>
          <w:tcPr>
            <w:tcW w:w="980" w:type="dxa"/>
            <w:vAlign w:val="bottom"/>
            <w:tcBorders>
              <w:bottom w:val="single" w:sz="8" w:color="auto"/>
            </w:tcBorders>
          </w:tcPr>
          <w:p>
            <w:pPr>
              <w:jc w:val="right"/>
              <w:ind w:right="209"/>
              <w:spacing w:after="0" w:line="157" w:lineRule="exact"/>
              <w:rPr>
                <w:sz w:val="20"/>
                <w:szCs w:val="20"/>
                <w:color w:val="auto"/>
              </w:rPr>
            </w:pPr>
            <w:r>
              <w:rPr>
                <w:rFonts w:ascii="Arial" w:cs="Arial" w:eastAsia="Arial" w:hAnsi="Arial"/>
                <w:sz w:val="14"/>
                <w:szCs w:val="14"/>
                <w:color w:val="auto"/>
              </w:rPr>
              <w:t>(80)</w:t>
            </w:r>
          </w:p>
        </w:tc>
        <w:tc>
          <w:tcPr>
            <w:tcW w:w="580" w:type="dxa"/>
            <w:vAlign w:val="bottom"/>
            <w:tcBorders>
              <w:bottom w:val="single" w:sz="8" w:color="auto"/>
            </w:tcBorders>
          </w:tcPr>
          <w:p>
            <w:pPr>
              <w:jc w:val="right"/>
              <w:ind w:right="29"/>
              <w:spacing w:after="0" w:line="157" w:lineRule="exact"/>
              <w:rPr>
                <w:sz w:val="20"/>
                <w:szCs w:val="20"/>
                <w:color w:val="auto"/>
              </w:rPr>
            </w:pPr>
            <w:r>
              <w:rPr>
                <w:rFonts w:ascii="Arial" w:cs="Arial" w:eastAsia="Arial" w:hAnsi="Arial"/>
                <w:sz w:val="14"/>
                <w:szCs w:val="14"/>
                <w:color w:val="auto"/>
              </w:rPr>
              <w:t>–</w:t>
            </w:r>
          </w:p>
        </w:tc>
        <w:tc>
          <w:tcPr>
            <w:tcW w:w="620" w:type="dxa"/>
            <w:vAlign w:val="bottom"/>
            <w:tcBorders>
              <w:bottom w:val="single" w:sz="8" w:color="auto"/>
            </w:tcBorders>
          </w:tcPr>
          <w:p>
            <w:pPr>
              <w:jc w:val="right"/>
              <w:spacing w:after="0" w:line="157" w:lineRule="exact"/>
              <w:rPr>
                <w:sz w:val="20"/>
                <w:szCs w:val="20"/>
                <w:color w:val="auto"/>
              </w:rPr>
            </w:pPr>
            <w:r>
              <w:rPr>
                <w:rFonts w:ascii="Arial" w:cs="Arial" w:eastAsia="Arial" w:hAnsi="Arial"/>
                <w:sz w:val="14"/>
                <w:szCs w:val="14"/>
                <w:color w:val="auto"/>
              </w:rPr>
              <w:t>13</w:t>
            </w:r>
          </w:p>
        </w:tc>
        <w:tc>
          <w:tcPr>
            <w:tcW w:w="940" w:type="dxa"/>
            <w:vAlign w:val="bottom"/>
            <w:tcBorders>
              <w:bottom w:val="single" w:sz="8" w:color="auto"/>
            </w:tcBorders>
          </w:tcPr>
          <w:p>
            <w:pPr>
              <w:jc w:val="right"/>
              <w:ind w:right="30"/>
              <w:spacing w:after="0" w:line="157" w:lineRule="exact"/>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gridSpan w:val="2"/>
          </w:tcPr>
          <w:p>
            <w:pPr>
              <w:jc w:val="right"/>
              <w:ind w:right="120"/>
              <w:spacing w:after="0" w:line="157" w:lineRule="exact"/>
              <w:rPr>
                <w:sz w:val="20"/>
                <w:szCs w:val="20"/>
                <w:color w:val="auto"/>
              </w:rPr>
            </w:pPr>
            <w:r>
              <w:rPr>
                <w:rFonts w:ascii="Arial" w:cs="Arial" w:eastAsia="Arial" w:hAnsi="Arial"/>
                <w:sz w:val="14"/>
                <w:szCs w:val="14"/>
                <w:color w:val="auto"/>
              </w:rPr>
              <w:t>252</w:t>
            </w:r>
          </w:p>
        </w:tc>
        <w:tc>
          <w:tcPr>
            <w:tcW w:w="1180" w:type="dxa"/>
            <w:vAlign w:val="bottom"/>
            <w:tcBorders>
              <w:bottom w:val="single" w:sz="8" w:color="auto"/>
            </w:tcBorders>
          </w:tcPr>
          <w:p>
            <w:pPr>
              <w:jc w:val="right"/>
              <w:spacing w:after="0" w:line="157" w:lineRule="exact"/>
              <w:rPr>
                <w:sz w:val="20"/>
                <w:szCs w:val="20"/>
                <w:color w:val="auto"/>
              </w:rPr>
            </w:pPr>
            <w:r>
              <w:rPr>
                <w:rFonts w:ascii="Arial" w:cs="Arial" w:eastAsia="Arial" w:hAnsi="Arial"/>
                <w:sz w:val="14"/>
                <w:szCs w:val="14"/>
                <w:color w:val="auto"/>
              </w:rPr>
              <w:t>(77)</w:t>
            </w:r>
          </w:p>
        </w:tc>
      </w:tr>
      <w:tr>
        <w:trPr>
          <w:trHeight w:val="160"/>
        </w:trPr>
        <w:tc>
          <w:tcPr>
            <w:tcW w:w="3740" w:type="dxa"/>
            <w:vAlign w:val="bottom"/>
          </w:tcPr>
          <w:p>
            <w:pPr>
              <w:spacing w:after="0"/>
              <w:rPr>
                <w:sz w:val="20"/>
                <w:szCs w:val="20"/>
                <w:color w:val="auto"/>
              </w:rPr>
            </w:pPr>
            <w:r>
              <w:rPr>
                <w:rFonts w:ascii="Arial" w:cs="Arial" w:eastAsia="Arial" w:hAnsi="Arial"/>
                <w:sz w:val="14"/>
                <w:szCs w:val="14"/>
                <w:color w:val="auto"/>
              </w:rPr>
              <w:t>Earnings before taxation</w:t>
            </w:r>
          </w:p>
        </w:tc>
        <w:tc>
          <w:tcPr>
            <w:tcW w:w="1760" w:type="dxa"/>
            <w:vAlign w:val="bottom"/>
          </w:tcPr>
          <w:p>
            <w:pPr>
              <w:jc w:val="right"/>
              <w:ind w:right="109"/>
              <w:spacing w:after="0"/>
              <w:rPr>
                <w:sz w:val="20"/>
                <w:szCs w:val="20"/>
                <w:color w:val="auto"/>
              </w:rPr>
            </w:pPr>
            <w:r>
              <w:rPr>
                <w:rFonts w:ascii="Arial" w:cs="Arial" w:eastAsia="Arial" w:hAnsi="Arial"/>
                <w:sz w:val="14"/>
                <w:szCs w:val="14"/>
                <w:color w:val="auto"/>
              </w:rPr>
              <w:t>2,627</w:t>
            </w:r>
          </w:p>
        </w:tc>
        <w:tc>
          <w:tcPr>
            <w:tcW w:w="740" w:type="dxa"/>
            <w:vAlign w:val="bottom"/>
          </w:tcPr>
          <w:p>
            <w:pPr>
              <w:jc w:val="right"/>
              <w:ind w:right="89"/>
              <w:spacing w:after="0"/>
              <w:rPr>
                <w:sz w:val="20"/>
                <w:szCs w:val="20"/>
                <w:color w:val="auto"/>
              </w:rPr>
            </w:pPr>
            <w:r>
              <w:rPr>
                <w:rFonts w:ascii="Arial" w:cs="Arial" w:eastAsia="Arial" w:hAnsi="Arial"/>
                <w:sz w:val="14"/>
                <w:szCs w:val="14"/>
                <w:color w:val="auto"/>
              </w:rPr>
              <w:t>4,950</w:t>
            </w:r>
          </w:p>
        </w:tc>
        <w:tc>
          <w:tcPr>
            <w:tcW w:w="980" w:type="dxa"/>
            <w:vAlign w:val="bottom"/>
          </w:tcPr>
          <w:p>
            <w:pPr>
              <w:jc w:val="right"/>
              <w:ind w:right="269"/>
              <w:spacing w:after="0"/>
              <w:rPr>
                <w:sz w:val="20"/>
                <w:szCs w:val="20"/>
                <w:color w:val="auto"/>
              </w:rPr>
            </w:pPr>
            <w:r>
              <w:rPr>
                <w:rFonts w:ascii="Arial" w:cs="Arial" w:eastAsia="Arial" w:hAnsi="Arial"/>
                <w:sz w:val="14"/>
                <w:szCs w:val="14"/>
                <w:color w:val="auto"/>
              </w:rPr>
              <w:t>548</w:t>
            </w:r>
          </w:p>
        </w:tc>
        <w:tc>
          <w:tcPr>
            <w:tcW w:w="58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1,813</w:t>
            </w:r>
          </w:p>
        </w:tc>
        <w:tc>
          <w:tcPr>
            <w:tcW w:w="940" w:type="dxa"/>
            <w:vAlign w:val="bottom"/>
          </w:tcPr>
          <w:p>
            <w:pPr>
              <w:jc w:val="right"/>
              <w:ind w:right="30"/>
              <w:spacing w:after="0"/>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60"/>
              <w:spacing w:after="0"/>
              <w:rPr>
                <w:sz w:val="20"/>
                <w:szCs w:val="20"/>
                <w:color w:val="auto"/>
              </w:rPr>
            </w:pPr>
            <w:r>
              <w:rPr>
                <w:rFonts w:ascii="Arial" w:cs="Arial" w:eastAsia="Arial" w:hAnsi="Arial"/>
                <w:sz w:val="14"/>
                <w:szCs w:val="14"/>
                <w:color w:val="auto"/>
              </w:rPr>
              <w:t>(111)</w:t>
            </w:r>
          </w:p>
        </w:tc>
        <w:tc>
          <w:tcPr>
            <w:tcW w:w="1180" w:type="dxa"/>
            <w:vAlign w:val="bottom"/>
          </w:tcPr>
          <w:p>
            <w:pPr>
              <w:jc w:val="right"/>
              <w:ind w:right="28"/>
              <w:spacing w:after="0"/>
              <w:rPr>
                <w:sz w:val="20"/>
                <w:szCs w:val="20"/>
                <w:color w:val="auto"/>
              </w:rPr>
            </w:pPr>
            <w:r>
              <w:rPr>
                <w:rFonts w:ascii="Arial" w:cs="Arial" w:eastAsia="Arial" w:hAnsi="Arial"/>
                <w:sz w:val="14"/>
                <w:szCs w:val="14"/>
                <w:color w:val="auto"/>
              </w:rPr>
              <w:t>9,827</w:t>
            </w:r>
          </w:p>
        </w:tc>
      </w:tr>
      <w:tr>
        <w:trPr>
          <w:trHeight w:val="157"/>
        </w:trPr>
        <w:tc>
          <w:tcPr>
            <w:tcW w:w="3740" w:type="dxa"/>
            <w:vAlign w:val="bottom"/>
            <w:tcBorders>
              <w:bottom w:val="single" w:sz="8" w:color="auto"/>
            </w:tcBorders>
          </w:tcPr>
          <w:p>
            <w:pPr>
              <w:spacing w:after="0" w:line="157" w:lineRule="exact"/>
              <w:rPr>
                <w:sz w:val="20"/>
                <w:szCs w:val="20"/>
                <w:color w:val="auto"/>
              </w:rPr>
            </w:pPr>
            <w:r>
              <w:rPr>
                <w:rFonts w:ascii="Arial" w:cs="Arial" w:eastAsia="Arial" w:hAnsi="Arial"/>
                <w:sz w:val="14"/>
                <w:szCs w:val="14"/>
                <w:color w:val="auto"/>
              </w:rPr>
              <w:t>Taxation charge</w:t>
            </w:r>
          </w:p>
        </w:tc>
        <w:tc>
          <w:tcPr>
            <w:tcW w:w="1760" w:type="dxa"/>
            <w:vAlign w:val="bottom"/>
            <w:tcBorders>
              <w:bottom w:val="single" w:sz="8" w:color="auto"/>
            </w:tcBorders>
          </w:tcPr>
          <w:p>
            <w:pPr>
              <w:jc w:val="right"/>
              <w:ind w:right="109"/>
              <w:spacing w:after="0" w:line="157" w:lineRule="exact"/>
              <w:rPr>
                <w:sz w:val="20"/>
                <w:szCs w:val="20"/>
                <w:color w:val="auto"/>
              </w:rPr>
            </w:pPr>
            <w:r>
              <w:rPr>
                <w:rFonts w:ascii="Arial" w:cs="Arial" w:eastAsia="Arial" w:hAnsi="Arial"/>
                <w:sz w:val="14"/>
                <w:szCs w:val="14"/>
                <w:color w:val="auto"/>
              </w:rPr>
              <w:t>969</w:t>
            </w:r>
          </w:p>
        </w:tc>
        <w:tc>
          <w:tcPr>
            <w:tcW w:w="740" w:type="dxa"/>
            <w:vAlign w:val="bottom"/>
            <w:tcBorders>
              <w:bottom w:val="single" w:sz="8" w:color="auto"/>
            </w:tcBorders>
          </w:tcPr>
          <w:p>
            <w:pPr>
              <w:jc w:val="right"/>
              <w:ind w:right="89"/>
              <w:spacing w:after="0" w:line="157" w:lineRule="exact"/>
              <w:rPr>
                <w:sz w:val="20"/>
                <w:szCs w:val="20"/>
                <w:color w:val="auto"/>
              </w:rPr>
            </w:pPr>
            <w:r>
              <w:rPr>
                <w:rFonts w:ascii="Arial" w:cs="Arial" w:eastAsia="Arial" w:hAnsi="Arial"/>
                <w:sz w:val="14"/>
                <w:szCs w:val="14"/>
                <w:color w:val="auto"/>
              </w:rPr>
              <w:t>1,971</w:t>
            </w:r>
          </w:p>
        </w:tc>
        <w:tc>
          <w:tcPr>
            <w:tcW w:w="980" w:type="dxa"/>
            <w:vAlign w:val="bottom"/>
            <w:tcBorders>
              <w:bottom w:val="single" w:sz="8" w:color="auto"/>
            </w:tcBorders>
          </w:tcPr>
          <w:p>
            <w:pPr>
              <w:jc w:val="right"/>
              <w:ind w:right="269"/>
              <w:spacing w:after="0" w:line="157" w:lineRule="exact"/>
              <w:rPr>
                <w:sz w:val="20"/>
                <w:szCs w:val="20"/>
                <w:color w:val="auto"/>
              </w:rPr>
            </w:pPr>
            <w:r>
              <w:rPr>
                <w:rFonts w:ascii="Arial" w:cs="Arial" w:eastAsia="Arial" w:hAnsi="Arial"/>
                <w:sz w:val="14"/>
                <w:szCs w:val="14"/>
                <w:color w:val="auto"/>
              </w:rPr>
              <w:t>136</w:t>
            </w:r>
          </w:p>
        </w:tc>
        <w:tc>
          <w:tcPr>
            <w:tcW w:w="580" w:type="dxa"/>
            <w:vAlign w:val="bottom"/>
            <w:tcBorders>
              <w:bottom w:val="single" w:sz="8" w:color="auto"/>
            </w:tcBorders>
          </w:tcPr>
          <w:p>
            <w:pPr>
              <w:jc w:val="right"/>
              <w:ind w:right="29"/>
              <w:spacing w:after="0" w:line="157" w:lineRule="exact"/>
              <w:rPr>
                <w:sz w:val="20"/>
                <w:szCs w:val="20"/>
                <w:color w:val="auto"/>
              </w:rPr>
            </w:pPr>
            <w:r>
              <w:rPr>
                <w:rFonts w:ascii="Arial" w:cs="Arial" w:eastAsia="Arial" w:hAnsi="Arial"/>
                <w:sz w:val="14"/>
                <w:szCs w:val="14"/>
                <w:color w:val="auto"/>
              </w:rPr>
              <w:t>–</w:t>
            </w:r>
          </w:p>
        </w:tc>
        <w:tc>
          <w:tcPr>
            <w:tcW w:w="620" w:type="dxa"/>
            <w:vAlign w:val="bottom"/>
            <w:tcBorders>
              <w:bottom w:val="single" w:sz="8" w:color="auto"/>
            </w:tcBorders>
          </w:tcPr>
          <w:p>
            <w:pPr>
              <w:jc w:val="right"/>
              <w:spacing w:after="0" w:line="157" w:lineRule="exact"/>
              <w:rPr>
                <w:sz w:val="20"/>
                <w:szCs w:val="20"/>
                <w:color w:val="auto"/>
              </w:rPr>
            </w:pPr>
            <w:r>
              <w:rPr>
                <w:rFonts w:ascii="Arial" w:cs="Arial" w:eastAsia="Arial" w:hAnsi="Arial"/>
                <w:sz w:val="14"/>
                <w:szCs w:val="14"/>
                <w:color w:val="auto"/>
              </w:rPr>
              <w:t>658</w:t>
            </w:r>
          </w:p>
        </w:tc>
        <w:tc>
          <w:tcPr>
            <w:tcW w:w="940" w:type="dxa"/>
            <w:vAlign w:val="bottom"/>
            <w:tcBorders>
              <w:bottom w:val="single" w:sz="8" w:color="auto"/>
            </w:tcBorders>
          </w:tcPr>
          <w:p>
            <w:pPr>
              <w:jc w:val="right"/>
              <w:ind w:right="30"/>
              <w:spacing w:after="0" w:line="157" w:lineRule="exact"/>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gridSpan w:val="2"/>
          </w:tcPr>
          <w:p>
            <w:pPr>
              <w:jc w:val="right"/>
              <w:ind w:right="120"/>
              <w:spacing w:after="0" w:line="157" w:lineRule="exact"/>
              <w:rPr>
                <w:sz w:val="20"/>
                <w:szCs w:val="20"/>
                <w:color w:val="auto"/>
              </w:rPr>
            </w:pPr>
            <w:r>
              <w:rPr>
                <w:rFonts w:ascii="Arial" w:cs="Arial" w:eastAsia="Arial" w:hAnsi="Arial"/>
                <w:sz w:val="14"/>
                <w:szCs w:val="14"/>
                <w:color w:val="auto"/>
              </w:rPr>
              <w:t>26</w:t>
            </w:r>
          </w:p>
        </w:tc>
        <w:tc>
          <w:tcPr>
            <w:tcW w:w="1180" w:type="dxa"/>
            <w:vAlign w:val="bottom"/>
            <w:tcBorders>
              <w:bottom w:val="single" w:sz="8" w:color="auto"/>
            </w:tcBorders>
          </w:tcPr>
          <w:p>
            <w:pPr>
              <w:jc w:val="right"/>
              <w:ind w:right="28"/>
              <w:spacing w:after="0" w:line="157" w:lineRule="exact"/>
              <w:rPr>
                <w:sz w:val="20"/>
                <w:szCs w:val="20"/>
                <w:color w:val="auto"/>
              </w:rPr>
            </w:pPr>
            <w:r>
              <w:rPr>
                <w:rFonts w:ascii="Arial" w:cs="Arial" w:eastAsia="Arial" w:hAnsi="Arial"/>
                <w:sz w:val="14"/>
                <w:szCs w:val="14"/>
                <w:color w:val="auto"/>
              </w:rPr>
              <w:t>3,760</w:t>
            </w:r>
          </w:p>
        </w:tc>
      </w:tr>
      <w:tr>
        <w:trPr>
          <w:trHeight w:val="156"/>
        </w:trPr>
        <w:tc>
          <w:tcPr>
            <w:tcW w:w="3740" w:type="dxa"/>
            <w:vAlign w:val="bottom"/>
            <w:tcBorders>
              <w:bottom w:val="single" w:sz="8" w:color="auto"/>
            </w:tcBorders>
          </w:tcPr>
          <w:p>
            <w:pPr>
              <w:spacing w:after="0" w:line="155" w:lineRule="exact"/>
              <w:rPr>
                <w:sz w:val="20"/>
                <w:szCs w:val="20"/>
                <w:color w:val="auto"/>
              </w:rPr>
            </w:pPr>
            <w:r>
              <w:rPr>
                <w:rFonts w:ascii="Arial" w:cs="Arial" w:eastAsia="Arial" w:hAnsi="Arial"/>
                <w:sz w:val="14"/>
                <w:szCs w:val="14"/>
                <w:color w:val="auto"/>
              </w:rPr>
              <w:t>Earnings after taxation</w:t>
            </w:r>
          </w:p>
        </w:tc>
        <w:tc>
          <w:tcPr>
            <w:tcW w:w="1760" w:type="dxa"/>
            <w:vAlign w:val="bottom"/>
            <w:tcBorders>
              <w:bottom w:val="single" w:sz="8" w:color="auto"/>
            </w:tcBorders>
          </w:tcPr>
          <w:p>
            <w:pPr>
              <w:jc w:val="right"/>
              <w:ind w:right="109"/>
              <w:spacing w:after="0" w:line="155" w:lineRule="exact"/>
              <w:rPr>
                <w:sz w:val="20"/>
                <w:szCs w:val="20"/>
                <w:color w:val="auto"/>
              </w:rPr>
            </w:pPr>
            <w:r>
              <w:rPr>
                <w:rFonts w:ascii="Arial" w:cs="Arial" w:eastAsia="Arial" w:hAnsi="Arial"/>
                <w:sz w:val="14"/>
                <w:szCs w:val="14"/>
                <w:color w:val="auto"/>
              </w:rPr>
              <w:t>1,658</w:t>
            </w:r>
          </w:p>
        </w:tc>
        <w:tc>
          <w:tcPr>
            <w:tcW w:w="740" w:type="dxa"/>
            <w:vAlign w:val="bottom"/>
            <w:tcBorders>
              <w:bottom w:val="single" w:sz="8" w:color="auto"/>
            </w:tcBorders>
          </w:tcPr>
          <w:p>
            <w:pPr>
              <w:jc w:val="right"/>
              <w:ind w:right="89"/>
              <w:spacing w:after="0" w:line="155" w:lineRule="exact"/>
              <w:rPr>
                <w:sz w:val="20"/>
                <w:szCs w:val="20"/>
                <w:color w:val="auto"/>
              </w:rPr>
            </w:pPr>
            <w:r>
              <w:rPr>
                <w:rFonts w:ascii="Arial" w:cs="Arial" w:eastAsia="Arial" w:hAnsi="Arial"/>
                <w:sz w:val="14"/>
                <w:szCs w:val="14"/>
                <w:color w:val="auto"/>
              </w:rPr>
              <w:t>2,979</w:t>
            </w:r>
          </w:p>
        </w:tc>
        <w:tc>
          <w:tcPr>
            <w:tcW w:w="980" w:type="dxa"/>
            <w:vAlign w:val="bottom"/>
            <w:tcBorders>
              <w:bottom w:val="single" w:sz="8" w:color="auto"/>
            </w:tcBorders>
          </w:tcPr>
          <w:p>
            <w:pPr>
              <w:jc w:val="right"/>
              <w:ind w:right="269"/>
              <w:spacing w:after="0" w:line="155" w:lineRule="exact"/>
              <w:rPr>
                <w:sz w:val="20"/>
                <w:szCs w:val="20"/>
                <w:color w:val="auto"/>
              </w:rPr>
            </w:pPr>
            <w:r>
              <w:rPr>
                <w:rFonts w:ascii="Arial" w:cs="Arial" w:eastAsia="Arial" w:hAnsi="Arial"/>
                <w:sz w:val="14"/>
                <w:szCs w:val="14"/>
                <w:color w:val="auto"/>
              </w:rPr>
              <w:t>412</w:t>
            </w:r>
          </w:p>
        </w:tc>
        <w:tc>
          <w:tcPr>
            <w:tcW w:w="580" w:type="dxa"/>
            <w:vAlign w:val="bottom"/>
            <w:tcBorders>
              <w:bottom w:val="single" w:sz="8" w:color="auto"/>
            </w:tcBorders>
          </w:tcPr>
          <w:p>
            <w:pPr>
              <w:jc w:val="right"/>
              <w:ind w:right="29"/>
              <w:spacing w:after="0" w:line="155" w:lineRule="exact"/>
              <w:rPr>
                <w:sz w:val="20"/>
                <w:szCs w:val="20"/>
                <w:color w:val="auto"/>
              </w:rPr>
            </w:pPr>
            <w:r>
              <w:rPr>
                <w:rFonts w:ascii="Arial" w:cs="Arial" w:eastAsia="Arial" w:hAnsi="Arial"/>
                <w:sz w:val="14"/>
                <w:szCs w:val="14"/>
                <w:color w:val="auto"/>
              </w:rPr>
              <w:t>–</w:t>
            </w:r>
          </w:p>
        </w:tc>
        <w:tc>
          <w:tcPr>
            <w:tcW w:w="6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1,155</w:t>
            </w:r>
          </w:p>
        </w:tc>
        <w:tc>
          <w:tcPr>
            <w:tcW w:w="940" w:type="dxa"/>
            <w:vAlign w:val="bottom"/>
            <w:tcBorders>
              <w:bottom w:val="single" w:sz="8" w:color="auto"/>
            </w:tcBorders>
          </w:tcPr>
          <w:p>
            <w:pPr>
              <w:jc w:val="right"/>
              <w:ind w:right="30"/>
              <w:spacing w:after="0" w:line="155" w:lineRule="exact"/>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gridSpan w:val="2"/>
          </w:tcPr>
          <w:p>
            <w:pPr>
              <w:jc w:val="right"/>
              <w:ind w:right="60"/>
              <w:spacing w:after="0" w:line="155" w:lineRule="exact"/>
              <w:rPr>
                <w:sz w:val="20"/>
                <w:szCs w:val="20"/>
                <w:color w:val="auto"/>
              </w:rPr>
            </w:pPr>
            <w:r>
              <w:rPr>
                <w:rFonts w:ascii="Arial" w:cs="Arial" w:eastAsia="Arial" w:hAnsi="Arial"/>
                <w:sz w:val="14"/>
                <w:szCs w:val="14"/>
                <w:color w:val="auto"/>
              </w:rPr>
              <w:t>(137)</w:t>
            </w:r>
          </w:p>
        </w:tc>
        <w:tc>
          <w:tcPr>
            <w:tcW w:w="1180" w:type="dxa"/>
            <w:vAlign w:val="bottom"/>
            <w:tcBorders>
              <w:bottom w:val="single" w:sz="8" w:color="auto"/>
            </w:tcBorders>
          </w:tcPr>
          <w:p>
            <w:pPr>
              <w:jc w:val="right"/>
              <w:ind w:right="28"/>
              <w:spacing w:after="0" w:line="155" w:lineRule="exact"/>
              <w:rPr>
                <w:sz w:val="20"/>
                <w:szCs w:val="20"/>
                <w:color w:val="auto"/>
              </w:rPr>
            </w:pPr>
            <w:r>
              <w:rPr>
                <w:rFonts w:ascii="Arial" w:cs="Arial" w:eastAsia="Arial" w:hAnsi="Arial"/>
                <w:sz w:val="14"/>
                <w:szCs w:val="14"/>
                <w:color w:val="auto"/>
              </w:rPr>
              <w:t>6,067</w:t>
            </w:r>
          </w:p>
        </w:tc>
      </w:tr>
    </w:tbl>
    <w:p>
      <w:pPr>
        <w:spacing w:after="0" w:line="19" w:lineRule="exact"/>
        <w:rPr>
          <w:sz w:val="20"/>
          <w:szCs w:val="20"/>
          <w:color w:val="auto"/>
        </w:rPr>
      </w:pPr>
    </w:p>
    <w:p>
      <w:pPr>
        <w:ind w:left="180" w:hanging="172"/>
        <w:spacing w:after="0"/>
        <w:tabs>
          <w:tab w:leader="none" w:pos="180" w:val="left"/>
        </w:tabs>
        <w:numPr>
          <w:ilvl w:val="0"/>
          <w:numId w:val="161"/>
        </w:numPr>
        <w:rPr>
          <w:rFonts w:ascii="Arial" w:cs="Arial" w:eastAsia="Arial" w:hAnsi="Arial"/>
          <w:sz w:val="11"/>
          <w:szCs w:val="11"/>
          <w:color w:val="auto"/>
        </w:rPr>
      </w:pPr>
      <w:r>
        <w:rPr>
          <w:rFonts w:ascii="Arial" w:cs="Arial" w:eastAsia="Arial" w:hAnsi="Arial"/>
          <w:sz w:val="11"/>
          <w:szCs w:val="11"/>
          <w:color w:val="auto"/>
        </w:rPr>
        <w:t>Includes Shell’s 23% share of Woodside as from April 2012 (previously: 24%), a publicly listed company on the Australian Securities Exchange. We have limited access to data; accordingly, the numbers are estimated.</w:t>
      </w:r>
    </w:p>
    <w:p>
      <w:pPr>
        <w:ind w:left="180" w:hanging="172"/>
        <w:spacing w:after="0"/>
        <w:tabs>
          <w:tab w:leader="none" w:pos="180" w:val="left"/>
        </w:tabs>
        <w:numPr>
          <w:ilvl w:val="0"/>
          <w:numId w:val="161"/>
        </w:numPr>
        <w:rPr>
          <w:rFonts w:ascii="Arial" w:cs="Arial" w:eastAsia="Arial" w:hAnsi="Arial"/>
          <w:sz w:val="11"/>
          <w:szCs w:val="11"/>
          <w:color w:val="auto"/>
        </w:rPr>
      </w:pPr>
      <w:r>
        <w:rPr>
          <w:rFonts w:ascii="Arial" w:cs="Arial" w:eastAsia="Arial" w:hAnsi="Arial"/>
          <w:sz w:val="11"/>
          <w:szCs w:val="11"/>
          <w:color w:val="auto"/>
        </w:rPr>
        <w:t>Includes cash-paid royalties to governments outside North America.</w:t>
      </w:r>
    </w:p>
    <w:p>
      <w:pPr>
        <w:sectPr>
          <w:pgSz w:w="11900" w:h="16838" w:orient="portrait"/>
          <w:cols w:equalWidth="0" w:num="1">
            <w:col w:w="11420"/>
          </w:cols>
          <w:pgMar w:left="240" w:top="460" w:right="239" w:bottom="1440" w:gutter="0" w:footer="0" w:header="0"/>
        </w:sectPr>
      </w:pPr>
    </w:p>
    <w:bookmarkStart w:id="159" w:name="page160"/>
    <w:bookmarkEnd w:id="1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300355</wp:posOffset>
            </wp:positionV>
            <wp:extent cx="8890" cy="462915"/>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extLst>
                        <a:ext uri="{28A0092B-C50C-407E-A947-70E740481C1C}"/>
                      </a:extLst>
                    </a:blip>
                    <a:srcRect/>
                    <a:stretch>
                      <a:fillRect/>
                    </a:stretch>
                  </pic:blipFill>
                  <pic:spPr bwMode="auto">
                    <a:xfrm>
                      <a:off x="0" y="0"/>
                      <a:ext cx="8890" cy="462915"/>
                    </a:xfrm>
                    <a:prstGeom prst="rect">
                      <a:avLst/>
                    </a:prstGeom>
                    <a:noFill/>
                  </pic:spPr>
                </pic:pic>
              </a:graphicData>
            </a:graphic>
          </wp:anchor>
        </w:drawing>
      </w:r>
    </w:p>
    <w:p>
      <w:pPr>
        <w:spacing w:after="0" w:line="200" w:lineRule="exact"/>
        <w:rPr>
          <w:sz w:val="20"/>
          <w:szCs w:val="20"/>
          <w:color w:val="auto"/>
        </w:rPr>
      </w:pP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565"/>
        </w:trPr>
        <w:tc>
          <w:tcPr>
            <w:tcW w:w="700" w:type="dxa"/>
            <w:vAlign w:val="bottom"/>
            <w:shd w:val="clear" w:color="auto" w:fill="FF8B00"/>
          </w:tcPr>
          <w:p>
            <w:pPr>
              <w:jc w:val="right"/>
              <w:ind w:right="206"/>
              <w:spacing w:after="0"/>
              <w:rPr>
                <w:sz w:val="20"/>
                <w:szCs w:val="20"/>
                <w:color w:val="auto"/>
              </w:rPr>
            </w:pPr>
            <w:r>
              <w:rPr>
                <w:rFonts w:ascii="Arial" w:cs="Arial" w:eastAsia="Arial" w:hAnsi="Arial"/>
                <w:sz w:val="11"/>
                <w:szCs w:val="11"/>
                <w:b w:val="1"/>
                <w:bCs w:val="1"/>
                <w:color w:val="333333"/>
              </w:rPr>
              <w:t>158</w:t>
            </w:r>
          </w:p>
        </w:tc>
        <w:tc>
          <w:tcPr>
            <w:tcW w:w="4880" w:type="dxa"/>
            <w:vAlign w:val="bottom"/>
            <w:shd w:val="clear" w:color="auto" w:fill="FF8B00"/>
          </w:tcPr>
          <w:p>
            <w:pPr>
              <w:jc w:val="right"/>
              <w:ind w:right="741"/>
              <w:spacing w:after="0"/>
              <w:rPr>
                <w:sz w:val="20"/>
                <w:szCs w:val="20"/>
                <w:color w:val="auto"/>
              </w:rPr>
            </w:pPr>
            <w:r>
              <w:rPr>
                <w:rFonts w:ascii="Arial" w:cs="Arial" w:eastAsia="Arial" w:hAnsi="Arial"/>
                <w:sz w:val="13"/>
                <w:szCs w:val="13"/>
                <w:color w:val="333333"/>
              </w:rPr>
              <w:t>FINANCIAL STATEMENTS AND SUPPLEMENTS</w:t>
            </w:r>
          </w:p>
        </w:tc>
        <w:tc>
          <w:tcPr>
            <w:tcW w:w="5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5"/>
        </w:trPr>
        <w:tc>
          <w:tcPr>
            <w:tcW w:w="700" w:type="dxa"/>
            <w:vAlign w:val="bottom"/>
            <w:shd w:val="clear" w:color="auto" w:fill="FF8B00"/>
          </w:tcPr>
          <w:p>
            <w:pPr>
              <w:spacing w:after="0"/>
              <w:rPr>
                <w:sz w:val="14"/>
                <w:szCs w:val="14"/>
                <w:color w:val="auto"/>
              </w:rPr>
            </w:pPr>
          </w:p>
        </w:tc>
        <w:tc>
          <w:tcPr>
            <w:tcW w:w="4880" w:type="dxa"/>
            <w:vAlign w:val="bottom"/>
            <w:shd w:val="clear" w:color="auto" w:fill="FF8B00"/>
          </w:tcPr>
          <w:p>
            <w:pPr>
              <w:spacing w:after="0"/>
              <w:rPr>
                <w:sz w:val="14"/>
                <w:szCs w:val="14"/>
                <w:color w:val="auto"/>
              </w:rPr>
            </w:pPr>
          </w:p>
        </w:tc>
        <w:tc>
          <w:tcPr>
            <w:tcW w:w="5840" w:type="dxa"/>
            <w:vAlign w:val="bottom"/>
            <w:vMerge w:val="restart"/>
          </w:tcPr>
          <w:p>
            <w:pPr>
              <w:ind w:left="3440"/>
              <w:spacing w:after="0"/>
              <w:rPr>
                <w:sz w:val="20"/>
                <w:szCs w:val="20"/>
                <w:color w:val="auto"/>
              </w:rPr>
            </w:pPr>
            <w:r>
              <w:rPr>
                <w:rFonts w:ascii="Arial" w:cs="Arial" w:eastAsia="Arial" w:hAnsi="Arial"/>
                <w:sz w:val="11"/>
                <w:szCs w:val="11"/>
                <w:color w:val="auto"/>
                <w:w w:val="96"/>
              </w:rPr>
              <w:t>SHELL ANNUAL REPORT AND FORM 20-F 2014</w:t>
            </w:r>
          </w:p>
        </w:tc>
        <w:tc>
          <w:tcPr>
            <w:tcW w:w="0" w:type="dxa"/>
            <w:vAlign w:val="bottom"/>
          </w:tcPr>
          <w:p>
            <w:pPr>
              <w:spacing w:after="0"/>
              <w:rPr>
                <w:sz w:val="1"/>
                <w:szCs w:val="1"/>
                <w:color w:val="auto"/>
              </w:rPr>
            </w:pPr>
          </w:p>
        </w:tc>
      </w:tr>
      <w:tr>
        <w:trPr>
          <w:trHeight w:val="121"/>
        </w:trPr>
        <w:tc>
          <w:tcPr>
            <w:tcW w:w="700" w:type="dxa"/>
            <w:vAlign w:val="bottom"/>
          </w:tcPr>
          <w:p>
            <w:pPr>
              <w:spacing w:after="0"/>
              <w:rPr>
                <w:sz w:val="10"/>
                <w:szCs w:val="10"/>
                <w:color w:val="auto"/>
              </w:rPr>
            </w:pPr>
          </w:p>
        </w:tc>
        <w:tc>
          <w:tcPr>
            <w:tcW w:w="4880" w:type="dxa"/>
            <w:vAlign w:val="bottom"/>
          </w:tcPr>
          <w:p>
            <w:pPr>
              <w:jc w:val="right"/>
              <w:ind w:right="741"/>
              <w:spacing w:after="0" w:line="121" w:lineRule="exact"/>
              <w:rPr>
                <w:sz w:val="20"/>
                <w:szCs w:val="20"/>
                <w:color w:val="auto"/>
              </w:rPr>
            </w:pPr>
            <w:r>
              <w:rPr>
                <w:rFonts w:ascii="Arial" w:cs="Arial" w:eastAsia="Arial" w:hAnsi="Arial"/>
                <w:sz w:val="11"/>
                <w:szCs w:val="11"/>
                <w:color w:val="auto"/>
              </w:rPr>
              <w:t>SUPPLEMENTARY INFORMATION – OIL AND GAS (UNAUDITED)</w:t>
            </w:r>
          </w:p>
        </w:tc>
        <w:tc>
          <w:tcPr>
            <w:tcW w:w="58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rPr>
          <w:sz w:val="20"/>
          <w:szCs w:val="20"/>
          <w:color w:val="auto"/>
        </w:rPr>
      </w:pPr>
      <w:r>
        <w:rPr>
          <w:rFonts w:ascii="Arial" w:cs="Arial" w:eastAsia="Arial" w:hAnsi="Arial"/>
          <w:sz w:val="18"/>
          <w:szCs w:val="18"/>
          <w:color w:val="auto"/>
        </w:rPr>
        <w:t>ACREAGE AND WELLS</w:t>
      </w:r>
    </w:p>
    <w:p>
      <w:pPr>
        <w:spacing w:after="0" w:line="1" w:lineRule="exact"/>
        <w:rPr>
          <w:sz w:val="20"/>
          <w:szCs w:val="20"/>
          <w:color w:val="auto"/>
        </w:rPr>
      </w:pPr>
    </w:p>
    <w:p>
      <w:pPr>
        <w:ind w:right="40"/>
        <w:spacing w:after="0" w:line="250" w:lineRule="auto"/>
        <w:rPr>
          <w:sz w:val="20"/>
          <w:szCs w:val="20"/>
          <w:color w:val="auto"/>
        </w:rPr>
      </w:pPr>
      <w:r>
        <w:rPr>
          <w:rFonts w:ascii="Arial" w:cs="Arial" w:eastAsia="Arial" w:hAnsi="Arial"/>
          <w:sz w:val="14"/>
          <w:szCs w:val="14"/>
          <w:color w:val="auto"/>
        </w:rPr>
        <w:t>The tables below reflect acreage and wells of Shell subsidiaries, joint ventures and associates. The term “gross” refers to the total activity in which Shell subsidiaries, joint ventures and associates have an interest. The term “net” refers to the sum of the fractional interests owned by Shell subsidiaries plus the Shell share of joint ventures and associates’ fractional interests. Net data below are rounded to the nearest whole number.</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3340" w:type="dxa"/>
            <w:vAlign w:val="bottom"/>
            <w:gridSpan w:val="5"/>
            <w:shd w:val="clear" w:color="auto" w:fill="333333"/>
          </w:tcPr>
          <w:p>
            <w:pPr>
              <w:ind w:left="60"/>
              <w:spacing w:after="0"/>
              <w:rPr>
                <w:sz w:val="20"/>
                <w:szCs w:val="20"/>
                <w:color w:val="auto"/>
              </w:rPr>
            </w:pPr>
            <w:r>
              <w:rPr>
                <w:rFonts w:ascii="Arial" w:cs="Arial" w:eastAsia="Arial" w:hAnsi="Arial"/>
                <w:sz w:val="15"/>
                <w:szCs w:val="15"/>
                <w:b w:val="1"/>
                <w:bCs w:val="1"/>
                <w:color w:val="FFFFFF"/>
              </w:rPr>
              <w:t xml:space="preserve">OIL AND GAS ACREAGE </w:t>
            </w:r>
            <w:r>
              <w:rPr>
                <w:rFonts w:ascii="Arial" w:cs="Arial" w:eastAsia="Arial" w:hAnsi="Arial"/>
                <w:sz w:val="15"/>
                <w:szCs w:val="15"/>
                <w:color w:val="FFFFFF"/>
              </w:rPr>
              <w:t>(AT DECEMBER 31)</w:t>
            </w:r>
          </w:p>
        </w:tc>
        <w:tc>
          <w:tcPr>
            <w:tcW w:w="480" w:type="dxa"/>
            <w:vAlign w:val="bottom"/>
            <w:shd w:val="clear" w:color="auto" w:fill="333333"/>
          </w:tcPr>
          <w:p>
            <w:pPr>
              <w:spacing w:after="0"/>
              <w:rPr>
                <w:sz w:val="14"/>
                <w:szCs w:val="14"/>
                <w:color w:val="auto"/>
              </w:rPr>
            </w:pPr>
          </w:p>
        </w:tc>
        <w:tc>
          <w:tcPr>
            <w:tcW w:w="80" w:type="dxa"/>
            <w:vAlign w:val="bottom"/>
            <w:shd w:val="clear" w:color="auto" w:fill="333333"/>
          </w:tcPr>
          <w:p>
            <w:pPr>
              <w:spacing w:after="0"/>
              <w:rPr>
                <w:sz w:val="14"/>
                <w:szCs w:val="14"/>
                <w:color w:val="auto"/>
              </w:rPr>
            </w:pPr>
          </w:p>
        </w:tc>
        <w:tc>
          <w:tcPr>
            <w:tcW w:w="660" w:type="dxa"/>
            <w:vAlign w:val="bottom"/>
            <w:tcBorders>
              <w:right w:val="single" w:sz="8" w:color="333333"/>
            </w:tcBorders>
            <w:shd w:val="clear" w:color="auto" w:fill="333333"/>
          </w:tcPr>
          <w:p>
            <w:pPr>
              <w:spacing w:after="0"/>
              <w:rPr>
                <w:sz w:val="14"/>
                <w:szCs w:val="14"/>
                <w:color w:val="auto"/>
              </w:rPr>
            </w:pPr>
          </w:p>
        </w:tc>
        <w:tc>
          <w:tcPr>
            <w:tcW w:w="160" w:type="dxa"/>
            <w:vAlign w:val="bottom"/>
            <w:shd w:val="clear" w:color="auto" w:fill="333333"/>
          </w:tcPr>
          <w:p>
            <w:pPr>
              <w:spacing w:after="0"/>
              <w:rPr>
                <w:sz w:val="14"/>
                <w:szCs w:val="14"/>
                <w:color w:val="auto"/>
              </w:rPr>
            </w:pPr>
          </w:p>
        </w:tc>
        <w:tc>
          <w:tcPr>
            <w:tcW w:w="300" w:type="dxa"/>
            <w:vAlign w:val="bottom"/>
            <w:shd w:val="clear" w:color="auto" w:fill="333333"/>
          </w:tcPr>
          <w:p>
            <w:pPr>
              <w:spacing w:after="0"/>
              <w:rPr>
                <w:sz w:val="14"/>
                <w:szCs w:val="14"/>
                <w:color w:val="auto"/>
              </w:rPr>
            </w:pPr>
          </w:p>
        </w:tc>
        <w:tc>
          <w:tcPr>
            <w:tcW w:w="140" w:type="dxa"/>
            <w:vAlign w:val="bottom"/>
            <w:shd w:val="clear" w:color="auto" w:fill="333333"/>
          </w:tcPr>
          <w:p>
            <w:pPr>
              <w:spacing w:after="0"/>
              <w:rPr>
                <w:sz w:val="14"/>
                <w:szCs w:val="14"/>
                <w:color w:val="auto"/>
              </w:rPr>
            </w:pPr>
          </w:p>
        </w:tc>
        <w:tc>
          <w:tcPr>
            <w:tcW w:w="100" w:type="dxa"/>
            <w:vAlign w:val="bottom"/>
            <w:shd w:val="clear" w:color="auto" w:fill="333333"/>
          </w:tcPr>
          <w:p>
            <w:pPr>
              <w:spacing w:after="0"/>
              <w:rPr>
                <w:sz w:val="14"/>
                <w:szCs w:val="14"/>
                <w:color w:val="auto"/>
              </w:rPr>
            </w:pPr>
          </w:p>
        </w:tc>
        <w:tc>
          <w:tcPr>
            <w:tcW w:w="380" w:type="dxa"/>
            <w:vAlign w:val="bottom"/>
            <w:shd w:val="clear" w:color="auto" w:fill="333333"/>
          </w:tcPr>
          <w:p>
            <w:pPr>
              <w:spacing w:after="0"/>
              <w:rPr>
                <w:sz w:val="14"/>
                <w:szCs w:val="14"/>
                <w:color w:val="auto"/>
              </w:rPr>
            </w:pPr>
          </w:p>
        </w:tc>
        <w:tc>
          <w:tcPr>
            <w:tcW w:w="320" w:type="dxa"/>
            <w:vAlign w:val="bottom"/>
            <w:shd w:val="clear" w:color="auto" w:fill="333333"/>
          </w:tcPr>
          <w:p>
            <w:pPr>
              <w:spacing w:after="0"/>
              <w:rPr>
                <w:sz w:val="14"/>
                <w:szCs w:val="14"/>
                <w:color w:val="auto"/>
              </w:rPr>
            </w:pPr>
          </w:p>
        </w:tc>
        <w:tc>
          <w:tcPr>
            <w:tcW w:w="140" w:type="dxa"/>
            <w:vAlign w:val="bottom"/>
            <w:shd w:val="clear" w:color="auto" w:fill="333333"/>
          </w:tcPr>
          <w:p>
            <w:pPr>
              <w:spacing w:after="0"/>
              <w:rPr>
                <w:sz w:val="14"/>
                <w:szCs w:val="14"/>
                <w:color w:val="auto"/>
              </w:rPr>
            </w:pPr>
          </w:p>
        </w:tc>
        <w:tc>
          <w:tcPr>
            <w:tcW w:w="120" w:type="dxa"/>
            <w:vAlign w:val="bottom"/>
            <w:shd w:val="clear" w:color="auto" w:fill="333333"/>
          </w:tcPr>
          <w:p>
            <w:pPr>
              <w:spacing w:after="0"/>
              <w:rPr>
                <w:sz w:val="14"/>
                <w:szCs w:val="14"/>
                <w:color w:val="auto"/>
              </w:rPr>
            </w:pPr>
          </w:p>
        </w:tc>
        <w:tc>
          <w:tcPr>
            <w:tcW w:w="140" w:type="dxa"/>
            <w:vAlign w:val="bottom"/>
            <w:shd w:val="clear" w:color="auto" w:fill="333333"/>
          </w:tcPr>
          <w:p>
            <w:pPr>
              <w:spacing w:after="0"/>
              <w:rPr>
                <w:sz w:val="14"/>
                <w:szCs w:val="14"/>
                <w:color w:val="auto"/>
              </w:rPr>
            </w:pPr>
          </w:p>
        </w:tc>
        <w:tc>
          <w:tcPr>
            <w:tcW w:w="560" w:type="dxa"/>
            <w:vAlign w:val="bottom"/>
            <w:shd w:val="clear" w:color="auto" w:fill="333333"/>
          </w:tcPr>
          <w:p>
            <w:pPr>
              <w:spacing w:after="0"/>
              <w:rPr>
                <w:sz w:val="14"/>
                <w:szCs w:val="14"/>
                <w:color w:val="auto"/>
              </w:rPr>
            </w:pPr>
          </w:p>
        </w:tc>
        <w:tc>
          <w:tcPr>
            <w:tcW w:w="600" w:type="dxa"/>
            <w:vAlign w:val="bottom"/>
            <w:shd w:val="clear" w:color="auto" w:fill="333333"/>
          </w:tcPr>
          <w:p>
            <w:pPr>
              <w:spacing w:after="0"/>
              <w:rPr>
                <w:sz w:val="14"/>
                <w:szCs w:val="14"/>
                <w:color w:val="auto"/>
              </w:rPr>
            </w:pPr>
          </w:p>
        </w:tc>
        <w:tc>
          <w:tcPr>
            <w:tcW w:w="60" w:type="dxa"/>
            <w:vAlign w:val="bottom"/>
            <w:shd w:val="clear" w:color="auto" w:fill="333333"/>
          </w:tcPr>
          <w:p>
            <w:pPr>
              <w:spacing w:after="0"/>
              <w:rPr>
                <w:sz w:val="14"/>
                <w:szCs w:val="14"/>
                <w:color w:val="auto"/>
              </w:rPr>
            </w:pPr>
          </w:p>
        </w:tc>
        <w:tc>
          <w:tcPr>
            <w:tcW w:w="100" w:type="dxa"/>
            <w:vAlign w:val="bottom"/>
            <w:shd w:val="clear" w:color="auto" w:fill="333333"/>
          </w:tcPr>
          <w:p>
            <w:pPr>
              <w:spacing w:after="0"/>
              <w:rPr>
                <w:sz w:val="14"/>
                <w:szCs w:val="14"/>
                <w:color w:val="auto"/>
              </w:rPr>
            </w:pPr>
          </w:p>
        </w:tc>
        <w:tc>
          <w:tcPr>
            <w:tcW w:w="40" w:type="dxa"/>
            <w:vAlign w:val="bottom"/>
            <w:shd w:val="clear" w:color="auto" w:fill="333333"/>
          </w:tcPr>
          <w:p>
            <w:pPr>
              <w:spacing w:after="0"/>
              <w:rPr>
                <w:sz w:val="14"/>
                <w:szCs w:val="14"/>
                <w:color w:val="auto"/>
              </w:rPr>
            </w:pPr>
          </w:p>
        </w:tc>
        <w:tc>
          <w:tcPr>
            <w:tcW w:w="500" w:type="dxa"/>
            <w:vAlign w:val="bottom"/>
            <w:shd w:val="clear" w:color="auto" w:fill="333333"/>
          </w:tcPr>
          <w:p>
            <w:pPr>
              <w:spacing w:after="0"/>
              <w:rPr>
                <w:sz w:val="14"/>
                <w:szCs w:val="14"/>
                <w:color w:val="auto"/>
              </w:rPr>
            </w:pPr>
          </w:p>
        </w:tc>
        <w:tc>
          <w:tcPr>
            <w:tcW w:w="560" w:type="dxa"/>
            <w:vAlign w:val="bottom"/>
            <w:shd w:val="clear" w:color="auto" w:fill="333333"/>
          </w:tcPr>
          <w:p>
            <w:pPr>
              <w:spacing w:after="0"/>
              <w:rPr>
                <w:sz w:val="14"/>
                <w:szCs w:val="14"/>
                <w:color w:val="auto"/>
              </w:rPr>
            </w:pPr>
          </w:p>
        </w:tc>
        <w:tc>
          <w:tcPr>
            <w:tcW w:w="140" w:type="dxa"/>
            <w:vAlign w:val="bottom"/>
            <w:shd w:val="clear" w:color="auto" w:fill="333333"/>
          </w:tcPr>
          <w:p>
            <w:pPr>
              <w:spacing w:after="0"/>
              <w:rPr>
                <w:sz w:val="14"/>
                <w:szCs w:val="14"/>
                <w:color w:val="auto"/>
              </w:rPr>
            </w:pPr>
          </w:p>
        </w:tc>
        <w:tc>
          <w:tcPr>
            <w:tcW w:w="140" w:type="dxa"/>
            <w:vAlign w:val="bottom"/>
            <w:shd w:val="clear" w:color="auto" w:fill="333333"/>
          </w:tcPr>
          <w:p>
            <w:pPr>
              <w:spacing w:after="0"/>
              <w:rPr>
                <w:sz w:val="14"/>
                <w:szCs w:val="14"/>
                <w:color w:val="auto"/>
              </w:rPr>
            </w:pPr>
          </w:p>
        </w:tc>
        <w:tc>
          <w:tcPr>
            <w:tcW w:w="500" w:type="dxa"/>
            <w:vAlign w:val="bottom"/>
            <w:shd w:val="clear" w:color="auto" w:fill="333333"/>
          </w:tcPr>
          <w:p>
            <w:pPr>
              <w:spacing w:after="0"/>
              <w:rPr>
                <w:sz w:val="14"/>
                <w:szCs w:val="14"/>
                <w:color w:val="auto"/>
              </w:rPr>
            </w:pPr>
          </w:p>
        </w:tc>
        <w:tc>
          <w:tcPr>
            <w:tcW w:w="1840" w:type="dxa"/>
            <w:vAlign w:val="bottom"/>
            <w:gridSpan w:val="4"/>
            <w:shd w:val="clear" w:color="auto" w:fill="333333"/>
          </w:tcPr>
          <w:p>
            <w:pPr>
              <w:jc w:val="right"/>
              <w:ind w:right="37"/>
              <w:spacing w:after="0"/>
              <w:rPr>
                <w:sz w:val="20"/>
                <w:szCs w:val="20"/>
                <w:color w:val="auto"/>
              </w:rPr>
            </w:pPr>
            <w:r>
              <w:rPr>
                <w:rFonts w:ascii="Arial" w:cs="Arial" w:eastAsia="Arial" w:hAnsi="Arial"/>
                <w:sz w:val="15"/>
                <w:szCs w:val="15"/>
                <w:color w:val="FFFFFF"/>
              </w:rPr>
              <w:t>THOUSAND ACRES</w:t>
            </w:r>
          </w:p>
        </w:tc>
      </w:tr>
      <w:tr>
        <w:trPr>
          <w:trHeight w:val="162"/>
        </w:trPr>
        <w:tc>
          <w:tcPr>
            <w:tcW w:w="2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540" w:type="dxa"/>
            <w:vAlign w:val="bottom"/>
            <w:tcBorders>
              <w:bottom w:val="single" w:sz="8" w:color="auto"/>
            </w:tcBorders>
            <w:shd w:val="clear" w:color="auto" w:fill="D8D8D8"/>
          </w:tcPr>
          <w:p>
            <w:pPr>
              <w:spacing w:after="0"/>
              <w:rPr>
                <w:sz w:val="14"/>
                <w:szCs w:val="14"/>
                <w:color w:val="auto"/>
              </w:rPr>
            </w:pPr>
          </w:p>
        </w:tc>
        <w:tc>
          <w:tcPr>
            <w:tcW w:w="680" w:type="dxa"/>
            <w:vAlign w:val="bottom"/>
            <w:tcBorders>
              <w:bottom w:val="single" w:sz="8" w:color="auto"/>
            </w:tcBorders>
            <w:shd w:val="clear" w:color="auto" w:fill="D8D8D8"/>
          </w:tcPr>
          <w:p>
            <w:pPr>
              <w:spacing w:after="0"/>
              <w:rPr>
                <w:sz w:val="14"/>
                <w:szCs w:val="14"/>
                <w:color w:val="auto"/>
              </w:rPr>
            </w:pPr>
          </w:p>
        </w:tc>
        <w:tc>
          <w:tcPr>
            <w:tcW w:w="140" w:type="dxa"/>
            <w:vAlign w:val="bottom"/>
            <w:tcBorders>
              <w:bottom w:val="single" w:sz="8" w:color="auto"/>
            </w:tcBorders>
            <w:shd w:val="clear" w:color="auto" w:fill="D8D8D8"/>
          </w:tcPr>
          <w:p>
            <w:pPr>
              <w:spacing w:after="0"/>
              <w:rPr>
                <w:sz w:val="14"/>
                <w:szCs w:val="14"/>
                <w:color w:val="auto"/>
              </w:rPr>
            </w:pPr>
          </w:p>
        </w:tc>
        <w:tc>
          <w:tcPr>
            <w:tcW w:w="80" w:type="dxa"/>
            <w:vAlign w:val="bottom"/>
            <w:tcBorders>
              <w:bottom w:val="single" w:sz="8" w:color="auto"/>
            </w:tcBorders>
            <w:shd w:val="clear" w:color="auto" w:fill="D8D8D8"/>
          </w:tcPr>
          <w:p>
            <w:pPr>
              <w:spacing w:after="0"/>
              <w:rPr>
                <w:sz w:val="14"/>
                <w:szCs w:val="14"/>
                <w:color w:val="auto"/>
              </w:rPr>
            </w:pPr>
          </w:p>
        </w:tc>
        <w:tc>
          <w:tcPr>
            <w:tcW w:w="480" w:type="dxa"/>
            <w:vAlign w:val="bottom"/>
            <w:tcBorders>
              <w:bottom w:val="single" w:sz="8" w:color="auto"/>
            </w:tcBorders>
            <w:shd w:val="clear" w:color="auto" w:fill="D8D8D8"/>
          </w:tcPr>
          <w:p>
            <w:pPr>
              <w:spacing w:after="0"/>
              <w:rPr>
                <w:sz w:val="14"/>
                <w:szCs w:val="14"/>
                <w:color w:val="auto"/>
              </w:rPr>
            </w:pPr>
          </w:p>
        </w:tc>
        <w:tc>
          <w:tcPr>
            <w:tcW w:w="80" w:type="dxa"/>
            <w:vAlign w:val="bottom"/>
            <w:tcBorders>
              <w:bottom w:val="single" w:sz="8" w:color="auto"/>
            </w:tcBorders>
            <w:shd w:val="clear" w:color="auto" w:fill="D8D8D8"/>
          </w:tcPr>
          <w:p>
            <w:pPr>
              <w:spacing w:after="0"/>
              <w:rPr>
                <w:sz w:val="14"/>
                <w:szCs w:val="14"/>
                <w:color w:val="auto"/>
              </w:rPr>
            </w:pPr>
          </w:p>
        </w:tc>
        <w:tc>
          <w:tcPr>
            <w:tcW w:w="660" w:type="dxa"/>
            <w:vAlign w:val="bottom"/>
            <w:tcBorders>
              <w:bottom w:val="single" w:sz="8" w:color="auto"/>
              <w:right w:val="single" w:sz="8" w:color="D8D8D8"/>
            </w:tcBorders>
            <w:shd w:val="clear" w:color="auto" w:fill="D8D8D8"/>
          </w:tcPr>
          <w:p>
            <w:pPr>
              <w:jc w:val="right"/>
              <w:ind w:right="37"/>
              <w:spacing w:after="0"/>
              <w:rPr>
                <w:sz w:val="20"/>
                <w:szCs w:val="20"/>
                <w:color w:val="auto"/>
              </w:rPr>
            </w:pPr>
            <w:r>
              <w:rPr>
                <w:rFonts w:ascii="Arial" w:cs="Arial" w:eastAsia="Arial" w:hAnsi="Arial"/>
                <w:sz w:val="13"/>
                <w:szCs w:val="13"/>
                <w:color w:val="auto"/>
              </w:rPr>
              <w:t>2014</w:t>
            </w:r>
          </w:p>
        </w:tc>
        <w:tc>
          <w:tcPr>
            <w:tcW w:w="16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2013</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color w:val="auto"/>
              </w:rPr>
              <w:t>2012</w:t>
            </w:r>
          </w:p>
        </w:tc>
      </w:tr>
      <w:tr>
        <w:trPr>
          <w:trHeight w:val="129"/>
        </w:trPr>
        <w:tc>
          <w:tcPr>
            <w:tcW w:w="20" w:type="dxa"/>
            <w:vAlign w:val="bottom"/>
          </w:tcPr>
          <w:p>
            <w:pPr>
              <w:spacing w:after="0"/>
              <w:rPr>
                <w:sz w:val="11"/>
                <w:szCs w:val="11"/>
                <w:color w:val="auto"/>
              </w:rPr>
            </w:pPr>
          </w:p>
        </w:tc>
        <w:tc>
          <w:tcPr>
            <w:tcW w:w="1900" w:type="dxa"/>
            <w:vAlign w:val="bottom"/>
          </w:tcPr>
          <w:p>
            <w:pPr>
              <w:spacing w:after="0"/>
              <w:rPr>
                <w:sz w:val="11"/>
                <w:szCs w:val="11"/>
                <w:color w:val="auto"/>
              </w:rPr>
            </w:pPr>
          </w:p>
        </w:tc>
        <w:tc>
          <w:tcPr>
            <w:tcW w:w="540" w:type="dxa"/>
            <w:vAlign w:val="bottom"/>
            <w:shd w:val="clear" w:color="auto" w:fill="D8D8D8"/>
          </w:tcPr>
          <w:p>
            <w:pPr>
              <w:spacing w:after="0"/>
              <w:rPr>
                <w:sz w:val="11"/>
                <w:szCs w:val="11"/>
                <w:color w:val="auto"/>
              </w:rPr>
            </w:pPr>
          </w:p>
        </w:tc>
        <w:tc>
          <w:tcPr>
            <w:tcW w:w="900" w:type="dxa"/>
            <w:vAlign w:val="bottom"/>
            <w:gridSpan w:val="3"/>
            <w:shd w:val="clear" w:color="auto" w:fill="D8D8D8"/>
          </w:tcPr>
          <w:p>
            <w:pPr>
              <w:jc w:val="right"/>
              <w:ind w:right="300"/>
              <w:spacing w:after="0" w:line="129" w:lineRule="exact"/>
              <w:rPr>
                <w:sz w:val="20"/>
                <w:szCs w:val="20"/>
                <w:color w:val="auto"/>
              </w:rPr>
            </w:pPr>
            <w:r>
              <w:rPr>
                <w:rFonts w:ascii="Arial" w:cs="Arial" w:eastAsia="Arial" w:hAnsi="Arial"/>
                <w:sz w:val="13"/>
                <w:szCs w:val="13"/>
                <w:color w:val="auto"/>
                <w:w w:val="93"/>
              </w:rPr>
              <w:t>Developed</w:t>
            </w:r>
          </w:p>
        </w:tc>
        <w:tc>
          <w:tcPr>
            <w:tcW w:w="1220" w:type="dxa"/>
            <w:vAlign w:val="bottom"/>
            <w:tcBorders>
              <w:right w:val="single" w:sz="8" w:color="D8D8D8"/>
            </w:tcBorders>
            <w:gridSpan w:val="3"/>
            <w:shd w:val="clear" w:color="auto" w:fill="D8D8D8"/>
          </w:tcPr>
          <w:p>
            <w:pPr>
              <w:jc w:val="right"/>
              <w:ind w:right="37"/>
              <w:spacing w:after="0" w:line="129" w:lineRule="exact"/>
              <w:rPr>
                <w:sz w:val="20"/>
                <w:szCs w:val="20"/>
                <w:color w:val="auto"/>
              </w:rPr>
            </w:pPr>
            <w:r>
              <w:rPr>
                <w:rFonts w:ascii="Arial" w:cs="Arial" w:eastAsia="Arial" w:hAnsi="Arial"/>
                <w:sz w:val="13"/>
                <w:szCs w:val="13"/>
                <w:color w:val="auto"/>
              </w:rPr>
              <w:t>Undeveloped</w:t>
            </w:r>
          </w:p>
        </w:tc>
        <w:tc>
          <w:tcPr>
            <w:tcW w:w="1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gridSpan w:val="4"/>
          </w:tcPr>
          <w:p>
            <w:pPr>
              <w:jc w:val="right"/>
              <w:ind w:right="340"/>
              <w:spacing w:after="0" w:line="129" w:lineRule="exact"/>
              <w:rPr>
                <w:sz w:val="20"/>
                <w:szCs w:val="20"/>
                <w:color w:val="auto"/>
              </w:rPr>
            </w:pPr>
            <w:r>
              <w:rPr>
                <w:rFonts w:ascii="Arial" w:cs="Arial" w:eastAsia="Arial" w:hAnsi="Arial"/>
                <w:sz w:val="13"/>
                <w:szCs w:val="13"/>
                <w:color w:val="auto"/>
                <w:w w:val="96"/>
              </w:rPr>
              <w:t>Developed</w:t>
            </w:r>
          </w:p>
        </w:tc>
        <w:tc>
          <w:tcPr>
            <w:tcW w:w="140" w:type="dxa"/>
            <w:vAlign w:val="bottom"/>
          </w:tcPr>
          <w:p>
            <w:pPr>
              <w:spacing w:after="0"/>
              <w:rPr>
                <w:sz w:val="11"/>
                <w:szCs w:val="11"/>
                <w:color w:val="auto"/>
              </w:rPr>
            </w:pPr>
          </w:p>
        </w:tc>
        <w:tc>
          <w:tcPr>
            <w:tcW w:w="1160" w:type="dxa"/>
            <w:vAlign w:val="bottom"/>
            <w:gridSpan w:val="2"/>
          </w:tcPr>
          <w:p>
            <w:pPr>
              <w:jc w:val="right"/>
              <w:ind w:right="37"/>
              <w:spacing w:after="0" w:line="129" w:lineRule="exact"/>
              <w:rPr>
                <w:sz w:val="20"/>
                <w:szCs w:val="20"/>
                <w:color w:val="auto"/>
              </w:rPr>
            </w:pPr>
            <w:r>
              <w:rPr>
                <w:rFonts w:ascii="Arial" w:cs="Arial" w:eastAsia="Arial" w:hAnsi="Arial"/>
                <w:sz w:val="13"/>
                <w:szCs w:val="13"/>
                <w:color w:val="auto"/>
              </w:rPr>
              <w:t>Undeveloped</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00" w:type="dxa"/>
            <w:vAlign w:val="bottom"/>
            <w:gridSpan w:val="2"/>
          </w:tcPr>
          <w:p>
            <w:pPr>
              <w:jc w:val="right"/>
              <w:ind w:right="80"/>
              <w:spacing w:after="0" w:line="129" w:lineRule="exact"/>
              <w:rPr>
                <w:sz w:val="20"/>
                <w:szCs w:val="20"/>
                <w:color w:val="auto"/>
              </w:rPr>
            </w:pPr>
            <w:r>
              <w:rPr>
                <w:rFonts w:ascii="Arial" w:cs="Arial" w:eastAsia="Arial" w:hAnsi="Arial"/>
                <w:sz w:val="13"/>
                <w:szCs w:val="13"/>
                <w:color w:val="auto"/>
                <w:w w:val="96"/>
              </w:rPr>
              <w:t>Developed</w:t>
            </w: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20" w:type="dxa"/>
            <w:vAlign w:val="bottom"/>
            <w:gridSpan w:val="2"/>
          </w:tcPr>
          <w:p>
            <w:pPr>
              <w:jc w:val="right"/>
              <w:ind w:right="77"/>
              <w:spacing w:after="0" w:line="129" w:lineRule="exact"/>
              <w:rPr>
                <w:sz w:val="20"/>
                <w:szCs w:val="20"/>
                <w:color w:val="auto"/>
              </w:rPr>
            </w:pPr>
            <w:r>
              <w:rPr>
                <w:rFonts w:ascii="Arial" w:cs="Arial" w:eastAsia="Arial" w:hAnsi="Arial"/>
                <w:sz w:val="13"/>
                <w:szCs w:val="13"/>
                <w:color w:val="auto"/>
              </w:rPr>
              <w:t>Undeveloped</w:t>
            </w:r>
          </w:p>
        </w:tc>
      </w:tr>
      <w:tr>
        <w:trPr>
          <w:trHeight w:val="129"/>
        </w:trPr>
        <w:tc>
          <w:tcPr>
            <w:tcW w:w="20" w:type="dxa"/>
            <w:vAlign w:val="bottom"/>
          </w:tcPr>
          <w:p>
            <w:pPr>
              <w:spacing w:after="0"/>
              <w:rPr>
                <w:sz w:val="11"/>
                <w:szCs w:val="11"/>
                <w:color w:val="auto"/>
              </w:rPr>
            </w:pPr>
          </w:p>
        </w:tc>
        <w:tc>
          <w:tcPr>
            <w:tcW w:w="1900" w:type="dxa"/>
            <w:vAlign w:val="bottom"/>
            <w:tcBorders>
              <w:bottom w:val="single" w:sz="8" w:color="auto"/>
            </w:tcBorders>
          </w:tcPr>
          <w:p>
            <w:pPr>
              <w:spacing w:after="0"/>
              <w:rPr>
                <w:sz w:val="11"/>
                <w:szCs w:val="11"/>
                <w:color w:val="auto"/>
              </w:rPr>
            </w:pPr>
          </w:p>
        </w:tc>
        <w:tc>
          <w:tcPr>
            <w:tcW w:w="540" w:type="dxa"/>
            <w:vAlign w:val="bottom"/>
            <w:tcBorders>
              <w:top w:val="single" w:sz="8" w:color="auto"/>
              <w:bottom w:val="single" w:sz="8" w:color="auto"/>
            </w:tcBorders>
            <w:shd w:val="clear" w:color="auto" w:fill="D8D8D8"/>
          </w:tcPr>
          <w:p>
            <w:pPr>
              <w:jc w:val="right"/>
              <w:spacing w:after="0" w:line="129" w:lineRule="exact"/>
              <w:rPr>
                <w:sz w:val="20"/>
                <w:szCs w:val="20"/>
                <w:color w:val="auto"/>
              </w:rPr>
            </w:pPr>
            <w:r>
              <w:rPr>
                <w:rFonts w:ascii="Arial" w:cs="Arial" w:eastAsia="Arial" w:hAnsi="Arial"/>
                <w:sz w:val="13"/>
                <w:szCs w:val="13"/>
                <w:color w:val="auto"/>
              </w:rPr>
              <w:t>Gross</w:t>
            </w:r>
          </w:p>
        </w:tc>
        <w:tc>
          <w:tcPr>
            <w:tcW w:w="680" w:type="dxa"/>
            <w:vAlign w:val="bottom"/>
            <w:tcBorders>
              <w:top w:val="single" w:sz="8" w:color="auto"/>
              <w:bottom w:val="single" w:sz="8" w:color="auto"/>
            </w:tcBorders>
            <w:shd w:val="clear" w:color="auto" w:fill="D8D8D8"/>
          </w:tcPr>
          <w:p>
            <w:pPr>
              <w:jc w:val="right"/>
              <w:ind w:right="17"/>
              <w:spacing w:after="0" w:line="129" w:lineRule="exact"/>
              <w:rPr>
                <w:sz w:val="20"/>
                <w:szCs w:val="20"/>
                <w:color w:val="auto"/>
              </w:rPr>
            </w:pPr>
            <w:r>
              <w:rPr>
                <w:rFonts w:ascii="Arial" w:cs="Arial" w:eastAsia="Arial" w:hAnsi="Arial"/>
                <w:sz w:val="13"/>
                <w:szCs w:val="13"/>
                <w:color w:val="auto"/>
              </w:rPr>
              <w:t>Net</w:t>
            </w:r>
          </w:p>
        </w:tc>
        <w:tc>
          <w:tcPr>
            <w:tcW w:w="140" w:type="dxa"/>
            <w:vAlign w:val="bottom"/>
            <w:tcBorders>
              <w:top w:val="single" w:sz="8" w:color="D8D8D8"/>
              <w:bottom w:val="single" w:sz="8" w:color="auto"/>
            </w:tcBorders>
            <w:shd w:val="clear" w:color="auto" w:fill="D8D8D8"/>
          </w:tcPr>
          <w:p>
            <w:pPr>
              <w:spacing w:after="0"/>
              <w:rPr>
                <w:sz w:val="11"/>
                <w:szCs w:val="11"/>
                <w:color w:val="auto"/>
              </w:rPr>
            </w:pPr>
          </w:p>
        </w:tc>
        <w:tc>
          <w:tcPr>
            <w:tcW w:w="80" w:type="dxa"/>
            <w:vAlign w:val="bottom"/>
            <w:tcBorders>
              <w:top w:val="single" w:sz="8" w:color="auto"/>
              <w:bottom w:val="single" w:sz="8" w:color="auto"/>
            </w:tcBorders>
            <w:shd w:val="clear" w:color="auto" w:fill="D8D8D8"/>
          </w:tcPr>
          <w:p>
            <w:pPr>
              <w:spacing w:after="0"/>
              <w:rPr>
                <w:sz w:val="11"/>
                <w:szCs w:val="11"/>
                <w:color w:val="auto"/>
              </w:rPr>
            </w:pPr>
          </w:p>
        </w:tc>
        <w:tc>
          <w:tcPr>
            <w:tcW w:w="560" w:type="dxa"/>
            <w:vAlign w:val="bottom"/>
            <w:tcBorders>
              <w:top w:val="single" w:sz="8" w:color="auto"/>
              <w:bottom w:val="single" w:sz="8" w:color="auto"/>
            </w:tcBorders>
            <w:gridSpan w:val="2"/>
            <w:shd w:val="clear" w:color="auto" w:fill="D8D8D8"/>
          </w:tcPr>
          <w:p>
            <w:pPr>
              <w:ind w:left="140"/>
              <w:spacing w:after="0" w:line="129" w:lineRule="exact"/>
              <w:rPr>
                <w:sz w:val="20"/>
                <w:szCs w:val="20"/>
                <w:color w:val="auto"/>
              </w:rPr>
            </w:pPr>
            <w:r>
              <w:rPr>
                <w:rFonts w:ascii="Arial" w:cs="Arial" w:eastAsia="Arial" w:hAnsi="Arial"/>
                <w:sz w:val="13"/>
                <w:szCs w:val="13"/>
                <w:color w:val="auto"/>
              </w:rPr>
              <w:t>Gross</w:t>
            </w:r>
          </w:p>
        </w:tc>
        <w:tc>
          <w:tcPr>
            <w:tcW w:w="660" w:type="dxa"/>
            <w:vAlign w:val="bottom"/>
            <w:tcBorders>
              <w:top w:val="single" w:sz="8" w:color="auto"/>
              <w:bottom w:val="single" w:sz="8" w:color="auto"/>
              <w:right w:val="single" w:sz="8" w:color="D8D8D8"/>
            </w:tcBorders>
            <w:shd w:val="clear" w:color="auto" w:fill="D8D8D8"/>
          </w:tcPr>
          <w:p>
            <w:pPr>
              <w:jc w:val="right"/>
              <w:ind w:right="37"/>
              <w:spacing w:after="0" w:line="129" w:lineRule="exact"/>
              <w:rPr>
                <w:sz w:val="20"/>
                <w:szCs w:val="20"/>
                <w:color w:val="auto"/>
              </w:rPr>
            </w:pPr>
            <w:r>
              <w:rPr>
                <w:rFonts w:ascii="Arial" w:cs="Arial" w:eastAsia="Arial" w:hAnsi="Arial"/>
                <w:sz w:val="13"/>
                <w:szCs w:val="13"/>
                <w:color w:val="auto"/>
              </w:rPr>
              <w:t>Net</w:t>
            </w:r>
          </w:p>
        </w:tc>
        <w:tc>
          <w:tcPr>
            <w:tcW w:w="160" w:type="dxa"/>
            <w:vAlign w:val="bottom"/>
            <w:tcBorders>
              <w:bottom w:val="single" w:sz="8" w:color="auto"/>
            </w:tcBorders>
          </w:tcPr>
          <w:p>
            <w:pPr>
              <w:spacing w:after="0"/>
              <w:rPr>
                <w:sz w:val="11"/>
                <w:szCs w:val="11"/>
                <w:color w:val="auto"/>
              </w:rPr>
            </w:pPr>
          </w:p>
        </w:tc>
        <w:tc>
          <w:tcPr>
            <w:tcW w:w="540" w:type="dxa"/>
            <w:vAlign w:val="bottom"/>
            <w:tcBorders>
              <w:top w:val="single" w:sz="8" w:color="auto"/>
              <w:bottom w:val="single" w:sz="8" w:color="auto"/>
            </w:tcBorders>
            <w:gridSpan w:val="3"/>
          </w:tcPr>
          <w:p>
            <w:pPr>
              <w:jc w:val="right"/>
              <w:spacing w:after="0" w:line="129" w:lineRule="exact"/>
              <w:rPr>
                <w:sz w:val="20"/>
                <w:szCs w:val="20"/>
                <w:color w:val="auto"/>
              </w:rPr>
            </w:pPr>
            <w:r>
              <w:rPr>
                <w:rFonts w:ascii="Arial" w:cs="Arial" w:eastAsia="Arial" w:hAnsi="Arial"/>
                <w:sz w:val="13"/>
                <w:szCs w:val="13"/>
                <w:color w:val="auto"/>
              </w:rPr>
              <w:t>Gross</w:t>
            </w:r>
          </w:p>
        </w:tc>
        <w:tc>
          <w:tcPr>
            <w:tcW w:w="380" w:type="dxa"/>
            <w:vAlign w:val="bottom"/>
            <w:tcBorders>
              <w:top w:val="single" w:sz="8" w:color="auto"/>
              <w:bottom w:val="single" w:sz="8" w:color="auto"/>
            </w:tcBorders>
          </w:tcPr>
          <w:p>
            <w:pPr>
              <w:spacing w:after="0"/>
              <w:rPr>
                <w:sz w:val="11"/>
                <w:szCs w:val="11"/>
                <w:color w:val="auto"/>
              </w:rPr>
            </w:pPr>
          </w:p>
        </w:tc>
        <w:tc>
          <w:tcPr>
            <w:tcW w:w="320" w:type="dxa"/>
            <w:vAlign w:val="bottom"/>
            <w:tcBorders>
              <w:top w:val="single" w:sz="8" w:color="auto"/>
              <w:bottom w:val="single" w:sz="8" w:color="auto"/>
            </w:tcBorders>
          </w:tcPr>
          <w:p>
            <w:pPr>
              <w:jc w:val="right"/>
              <w:ind w:right="17"/>
              <w:spacing w:after="0" w:line="129" w:lineRule="exact"/>
              <w:rPr>
                <w:sz w:val="20"/>
                <w:szCs w:val="20"/>
                <w:color w:val="auto"/>
              </w:rPr>
            </w:pPr>
            <w:r>
              <w:rPr>
                <w:rFonts w:ascii="Arial" w:cs="Arial" w:eastAsia="Arial" w:hAnsi="Arial"/>
                <w:sz w:val="13"/>
                <w:szCs w:val="13"/>
                <w:color w:val="auto"/>
              </w:rPr>
              <w:t>Net</w:t>
            </w:r>
          </w:p>
        </w:tc>
        <w:tc>
          <w:tcPr>
            <w:tcW w:w="140" w:type="dxa"/>
            <w:vAlign w:val="bottom"/>
            <w:tcBorders>
              <w:bottom w:val="single" w:sz="8" w:color="auto"/>
            </w:tcBorders>
          </w:tcPr>
          <w:p>
            <w:pPr>
              <w:spacing w:after="0"/>
              <w:rPr>
                <w:sz w:val="11"/>
                <w:szCs w:val="11"/>
                <w:color w:val="auto"/>
              </w:rPr>
            </w:pPr>
          </w:p>
        </w:tc>
        <w:tc>
          <w:tcPr>
            <w:tcW w:w="120" w:type="dxa"/>
            <w:vAlign w:val="bottom"/>
            <w:tcBorders>
              <w:top w:val="single" w:sz="8" w:color="auto"/>
              <w:bottom w:val="single" w:sz="8" w:color="auto"/>
            </w:tcBorders>
          </w:tcPr>
          <w:p>
            <w:pPr>
              <w:spacing w:after="0"/>
              <w:rPr>
                <w:sz w:val="11"/>
                <w:szCs w:val="11"/>
                <w:color w:val="auto"/>
              </w:rPr>
            </w:pPr>
          </w:p>
        </w:tc>
        <w:tc>
          <w:tcPr>
            <w:tcW w:w="140" w:type="dxa"/>
            <w:vAlign w:val="bottom"/>
            <w:tcBorders>
              <w:top w:val="single" w:sz="8" w:color="auto"/>
              <w:bottom w:val="single" w:sz="8" w:color="auto"/>
            </w:tcBorders>
          </w:tcPr>
          <w:p>
            <w:pPr>
              <w:spacing w:after="0"/>
              <w:rPr>
                <w:sz w:val="11"/>
                <w:szCs w:val="11"/>
                <w:color w:val="auto"/>
              </w:rPr>
            </w:pPr>
          </w:p>
        </w:tc>
        <w:tc>
          <w:tcPr>
            <w:tcW w:w="560" w:type="dxa"/>
            <w:vAlign w:val="bottom"/>
            <w:tcBorders>
              <w:top w:val="single" w:sz="8" w:color="auto"/>
              <w:bottom w:val="single" w:sz="8" w:color="auto"/>
            </w:tcBorders>
          </w:tcPr>
          <w:p>
            <w:pPr>
              <w:jc w:val="right"/>
              <w:ind w:right="137"/>
              <w:spacing w:after="0" w:line="129" w:lineRule="exact"/>
              <w:rPr>
                <w:sz w:val="20"/>
                <w:szCs w:val="20"/>
                <w:color w:val="auto"/>
              </w:rPr>
            </w:pPr>
            <w:r>
              <w:rPr>
                <w:rFonts w:ascii="Arial" w:cs="Arial" w:eastAsia="Arial" w:hAnsi="Arial"/>
                <w:sz w:val="13"/>
                <w:szCs w:val="13"/>
                <w:color w:val="auto"/>
                <w:w w:val="97"/>
              </w:rPr>
              <w:t>Gross</w:t>
            </w:r>
          </w:p>
        </w:tc>
        <w:tc>
          <w:tcPr>
            <w:tcW w:w="600" w:type="dxa"/>
            <w:vAlign w:val="bottom"/>
            <w:tcBorders>
              <w:top w:val="single" w:sz="8" w:color="auto"/>
              <w:bottom w:val="single" w:sz="8" w:color="auto"/>
            </w:tcBorders>
          </w:tcPr>
          <w:p>
            <w:pPr>
              <w:jc w:val="right"/>
              <w:ind w:right="37"/>
              <w:spacing w:after="0" w:line="129" w:lineRule="exact"/>
              <w:rPr>
                <w:sz w:val="20"/>
                <w:szCs w:val="20"/>
                <w:color w:val="auto"/>
              </w:rPr>
            </w:pPr>
            <w:r>
              <w:rPr>
                <w:rFonts w:ascii="Arial" w:cs="Arial" w:eastAsia="Arial" w:hAnsi="Arial"/>
                <w:sz w:val="13"/>
                <w:szCs w:val="13"/>
                <w:color w:val="auto"/>
              </w:rPr>
              <w:t>Net</w:t>
            </w:r>
          </w:p>
        </w:tc>
        <w:tc>
          <w:tcPr>
            <w:tcW w:w="6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0" w:type="dxa"/>
            <w:vAlign w:val="bottom"/>
            <w:tcBorders>
              <w:top w:val="single" w:sz="8" w:color="auto"/>
              <w:bottom w:val="single" w:sz="8" w:color="auto"/>
            </w:tcBorders>
          </w:tcPr>
          <w:p>
            <w:pPr>
              <w:spacing w:after="0"/>
              <w:rPr>
                <w:sz w:val="11"/>
                <w:szCs w:val="11"/>
                <w:color w:val="auto"/>
              </w:rPr>
            </w:pPr>
          </w:p>
        </w:tc>
        <w:tc>
          <w:tcPr>
            <w:tcW w:w="50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Gross</w:t>
            </w:r>
          </w:p>
        </w:tc>
        <w:tc>
          <w:tcPr>
            <w:tcW w:w="700" w:type="dxa"/>
            <w:vAlign w:val="bottom"/>
            <w:tcBorders>
              <w:top w:val="single" w:sz="8" w:color="auto"/>
              <w:bottom w:val="single" w:sz="8" w:color="auto"/>
            </w:tcBorders>
            <w:gridSpan w:val="2"/>
          </w:tcPr>
          <w:p>
            <w:pPr>
              <w:jc w:val="right"/>
              <w:ind w:right="80"/>
              <w:spacing w:after="0" w:line="129" w:lineRule="exact"/>
              <w:rPr>
                <w:sz w:val="20"/>
                <w:szCs w:val="20"/>
                <w:color w:val="auto"/>
              </w:rPr>
            </w:pPr>
            <w:r>
              <w:rPr>
                <w:rFonts w:ascii="Arial" w:cs="Arial" w:eastAsia="Arial" w:hAnsi="Arial"/>
                <w:sz w:val="13"/>
                <w:szCs w:val="13"/>
                <w:color w:val="auto"/>
              </w:rPr>
              <w:t>Net</w:t>
            </w:r>
          </w:p>
        </w:tc>
        <w:tc>
          <w:tcPr>
            <w:tcW w:w="140" w:type="dxa"/>
            <w:vAlign w:val="bottom"/>
            <w:tcBorders>
              <w:bottom w:val="single" w:sz="8" w:color="auto"/>
            </w:tcBorders>
          </w:tcPr>
          <w:p>
            <w:pPr>
              <w:spacing w:after="0"/>
              <w:rPr>
                <w:sz w:val="11"/>
                <w:szCs w:val="11"/>
                <w:color w:val="auto"/>
              </w:rPr>
            </w:pPr>
          </w:p>
        </w:tc>
        <w:tc>
          <w:tcPr>
            <w:tcW w:w="1220" w:type="dxa"/>
            <w:vAlign w:val="bottom"/>
            <w:tcBorders>
              <w:top w:val="single" w:sz="8" w:color="auto"/>
              <w:bottom w:val="single" w:sz="8" w:color="auto"/>
            </w:tcBorders>
            <w:gridSpan w:val="3"/>
          </w:tcPr>
          <w:p>
            <w:pPr>
              <w:ind w:left="280"/>
              <w:spacing w:after="0" w:line="129" w:lineRule="exact"/>
              <w:rPr>
                <w:sz w:val="20"/>
                <w:szCs w:val="20"/>
                <w:color w:val="auto"/>
              </w:rPr>
            </w:pPr>
            <w:r>
              <w:rPr>
                <w:rFonts w:ascii="Arial" w:cs="Arial" w:eastAsia="Arial" w:hAnsi="Arial"/>
                <w:sz w:val="13"/>
                <w:szCs w:val="13"/>
                <w:color w:val="auto"/>
              </w:rPr>
              <w:t>Gross</w:t>
            </w:r>
          </w:p>
        </w:tc>
        <w:tc>
          <w:tcPr>
            <w:tcW w:w="520" w:type="dxa"/>
            <w:vAlign w:val="bottom"/>
            <w:tcBorders>
              <w:top w:val="single" w:sz="8" w:color="auto"/>
              <w:bottom w:val="single" w:sz="8" w:color="auto"/>
            </w:tcBorders>
          </w:tcPr>
          <w:p>
            <w:pPr>
              <w:spacing w:after="0"/>
              <w:rPr>
                <w:sz w:val="11"/>
                <w:szCs w:val="11"/>
                <w:color w:val="auto"/>
              </w:rPr>
            </w:pPr>
          </w:p>
        </w:tc>
        <w:tc>
          <w:tcPr>
            <w:tcW w:w="600" w:type="dxa"/>
            <w:vAlign w:val="bottom"/>
            <w:tcBorders>
              <w:top w:val="single" w:sz="8" w:color="auto"/>
              <w:bottom w:val="single" w:sz="8" w:color="auto"/>
            </w:tcBorders>
          </w:tcPr>
          <w:p>
            <w:pPr>
              <w:jc w:val="right"/>
              <w:ind w:right="77"/>
              <w:spacing w:after="0" w:line="129" w:lineRule="exact"/>
              <w:rPr>
                <w:sz w:val="20"/>
                <w:szCs w:val="20"/>
                <w:color w:val="auto"/>
              </w:rPr>
            </w:pPr>
            <w:r>
              <w:rPr>
                <w:rFonts w:ascii="Arial" w:cs="Arial" w:eastAsia="Arial" w:hAnsi="Arial"/>
                <w:sz w:val="13"/>
                <w:szCs w:val="13"/>
                <w:color w:val="auto"/>
              </w:rPr>
              <w:t>Net</w:t>
            </w:r>
          </w:p>
        </w:tc>
      </w:tr>
      <w:tr>
        <w:trPr>
          <w:trHeight w:val="123"/>
        </w:trPr>
        <w:tc>
          <w:tcPr>
            <w:tcW w:w="20" w:type="dxa"/>
            <w:vAlign w:val="bottom"/>
          </w:tcPr>
          <w:p>
            <w:pPr>
              <w:spacing w:after="0"/>
              <w:rPr>
                <w:sz w:val="10"/>
                <w:szCs w:val="10"/>
                <w:color w:val="auto"/>
              </w:rPr>
            </w:pPr>
          </w:p>
        </w:tc>
        <w:tc>
          <w:tcPr>
            <w:tcW w:w="1900" w:type="dxa"/>
            <w:vAlign w:val="bottom"/>
          </w:tcPr>
          <w:p>
            <w:pPr>
              <w:spacing w:after="0" w:line="123" w:lineRule="exact"/>
              <w:rPr>
                <w:sz w:val="20"/>
                <w:szCs w:val="20"/>
                <w:color w:val="auto"/>
              </w:rPr>
            </w:pPr>
            <w:r>
              <w:rPr>
                <w:rFonts w:ascii="Arial" w:cs="Arial" w:eastAsia="Arial" w:hAnsi="Arial"/>
                <w:sz w:val="13"/>
                <w:szCs w:val="13"/>
                <w:color w:val="auto"/>
              </w:rPr>
              <w:t>Europe [A]</w:t>
            </w:r>
          </w:p>
        </w:tc>
        <w:tc>
          <w:tcPr>
            <w:tcW w:w="540" w:type="dxa"/>
            <w:vAlign w:val="bottom"/>
            <w:shd w:val="clear" w:color="auto" w:fill="D8D8D8"/>
          </w:tcPr>
          <w:p>
            <w:pPr>
              <w:jc w:val="right"/>
              <w:spacing w:after="0" w:line="123" w:lineRule="exact"/>
              <w:rPr>
                <w:sz w:val="20"/>
                <w:szCs w:val="20"/>
                <w:color w:val="auto"/>
              </w:rPr>
            </w:pPr>
            <w:r>
              <w:rPr>
                <w:rFonts w:ascii="Arial" w:cs="Arial" w:eastAsia="Arial" w:hAnsi="Arial"/>
                <w:sz w:val="13"/>
                <w:szCs w:val="13"/>
                <w:color w:val="auto"/>
              </w:rPr>
              <w:t>9,603</w:t>
            </w:r>
          </w:p>
        </w:tc>
        <w:tc>
          <w:tcPr>
            <w:tcW w:w="680" w:type="dxa"/>
            <w:vAlign w:val="bottom"/>
            <w:shd w:val="clear" w:color="auto" w:fill="D8D8D8"/>
          </w:tcPr>
          <w:p>
            <w:pPr>
              <w:jc w:val="right"/>
              <w:ind w:right="17"/>
              <w:spacing w:after="0" w:line="123" w:lineRule="exact"/>
              <w:rPr>
                <w:sz w:val="20"/>
                <w:szCs w:val="20"/>
                <w:color w:val="auto"/>
              </w:rPr>
            </w:pPr>
            <w:r>
              <w:rPr>
                <w:rFonts w:ascii="Arial" w:cs="Arial" w:eastAsia="Arial" w:hAnsi="Arial"/>
                <w:sz w:val="13"/>
                <w:szCs w:val="13"/>
                <w:color w:val="auto"/>
              </w:rPr>
              <w:t>2,693</w:t>
            </w:r>
          </w:p>
        </w:tc>
        <w:tc>
          <w:tcPr>
            <w:tcW w:w="140" w:type="dxa"/>
            <w:vAlign w:val="bottom"/>
            <w:shd w:val="clear" w:color="auto" w:fill="D8D8D8"/>
          </w:tcPr>
          <w:p>
            <w:pPr>
              <w:spacing w:after="0"/>
              <w:rPr>
                <w:sz w:val="10"/>
                <w:szCs w:val="10"/>
                <w:color w:val="auto"/>
              </w:rPr>
            </w:pPr>
          </w:p>
        </w:tc>
        <w:tc>
          <w:tcPr>
            <w:tcW w:w="80" w:type="dxa"/>
            <w:vAlign w:val="bottom"/>
            <w:shd w:val="clear" w:color="auto" w:fill="D8D8D8"/>
          </w:tcPr>
          <w:p>
            <w:pPr>
              <w:spacing w:after="0"/>
              <w:rPr>
                <w:sz w:val="10"/>
                <w:szCs w:val="10"/>
                <w:color w:val="auto"/>
              </w:rPr>
            </w:pPr>
          </w:p>
        </w:tc>
        <w:tc>
          <w:tcPr>
            <w:tcW w:w="560" w:type="dxa"/>
            <w:vAlign w:val="bottom"/>
            <w:gridSpan w:val="2"/>
            <w:shd w:val="clear" w:color="auto" w:fill="D8D8D8"/>
          </w:tcPr>
          <w:p>
            <w:pPr>
              <w:jc w:val="right"/>
              <w:ind w:right="80"/>
              <w:spacing w:after="0" w:line="123" w:lineRule="exact"/>
              <w:rPr>
                <w:sz w:val="20"/>
                <w:szCs w:val="20"/>
                <w:color w:val="auto"/>
              </w:rPr>
            </w:pPr>
            <w:r>
              <w:rPr>
                <w:rFonts w:ascii="Arial" w:cs="Arial" w:eastAsia="Arial" w:hAnsi="Arial"/>
                <w:sz w:val="13"/>
                <w:szCs w:val="13"/>
                <w:color w:val="auto"/>
              </w:rPr>
              <w:t>16,161</w:t>
            </w:r>
          </w:p>
        </w:tc>
        <w:tc>
          <w:tcPr>
            <w:tcW w:w="660" w:type="dxa"/>
            <w:vAlign w:val="bottom"/>
            <w:tcBorders>
              <w:right w:val="single" w:sz="8" w:color="D8D8D8"/>
            </w:tcBorders>
            <w:shd w:val="clear" w:color="auto" w:fill="D8D8D8"/>
          </w:tcPr>
          <w:p>
            <w:pPr>
              <w:jc w:val="right"/>
              <w:ind w:right="37"/>
              <w:spacing w:after="0" w:line="123" w:lineRule="exact"/>
              <w:rPr>
                <w:sz w:val="20"/>
                <w:szCs w:val="20"/>
                <w:color w:val="auto"/>
              </w:rPr>
            </w:pPr>
            <w:r>
              <w:rPr>
                <w:rFonts w:ascii="Arial" w:cs="Arial" w:eastAsia="Arial" w:hAnsi="Arial"/>
                <w:sz w:val="13"/>
                <w:szCs w:val="13"/>
                <w:color w:val="auto"/>
              </w:rPr>
              <w:t>8,563</w:t>
            </w:r>
          </w:p>
        </w:tc>
        <w:tc>
          <w:tcPr>
            <w:tcW w:w="700" w:type="dxa"/>
            <w:vAlign w:val="bottom"/>
            <w:gridSpan w:val="4"/>
          </w:tcPr>
          <w:p>
            <w:pPr>
              <w:jc w:val="right"/>
              <w:spacing w:after="0" w:line="123" w:lineRule="exact"/>
              <w:rPr>
                <w:sz w:val="20"/>
                <w:szCs w:val="20"/>
                <w:color w:val="auto"/>
              </w:rPr>
            </w:pPr>
            <w:r>
              <w:rPr>
                <w:rFonts w:ascii="Arial" w:cs="Arial" w:eastAsia="Arial" w:hAnsi="Arial"/>
                <w:sz w:val="13"/>
                <w:szCs w:val="13"/>
                <w:color w:val="auto"/>
              </w:rPr>
              <w:t>9,614</w:t>
            </w:r>
          </w:p>
        </w:tc>
        <w:tc>
          <w:tcPr>
            <w:tcW w:w="700" w:type="dxa"/>
            <w:vAlign w:val="bottom"/>
            <w:gridSpan w:val="2"/>
          </w:tcPr>
          <w:p>
            <w:pPr>
              <w:jc w:val="right"/>
              <w:ind w:right="17"/>
              <w:spacing w:after="0" w:line="123" w:lineRule="exact"/>
              <w:rPr>
                <w:sz w:val="20"/>
                <w:szCs w:val="20"/>
                <w:color w:val="auto"/>
              </w:rPr>
            </w:pPr>
            <w:r>
              <w:rPr>
                <w:rFonts w:ascii="Arial" w:cs="Arial" w:eastAsia="Arial" w:hAnsi="Arial"/>
                <w:sz w:val="13"/>
                <w:szCs w:val="13"/>
                <w:color w:val="auto"/>
              </w:rPr>
              <w:t>2,698</w:t>
            </w: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gridSpan w:val="2"/>
          </w:tcPr>
          <w:p>
            <w:pPr>
              <w:jc w:val="right"/>
              <w:ind w:right="137"/>
              <w:spacing w:after="0" w:line="123" w:lineRule="exact"/>
              <w:rPr>
                <w:sz w:val="20"/>
                <w:szCs w:val="20"/>
                <w:color w:val="auto"/>
              </w:rPr>
            </w:pPr>
            <w:r>
              <w:rPr>
                <w:rFonts w:ascii="Arial" w:cs="Arial" w:eastAsia="Arial" w:hAnsi="Arial"/>
                <w:sz w:val="13"/>
                <w:szCs w:val="13"/>
                <w:color w:val="auto"/>
              </w:rPr>
              <w:t>15,978</w:t>
            </w:r>
          </w:p>
        </w:tc>
        <w:tc>
          <w:tcPr>
            <w:tcW w:w="600" w:type="dxa"/>
            <w:vAlign w:val="bottom"/>
          </w:tcPr>
          <w:p>
            <w:pPr>
              <w:jc w:val="right"/>
              <w:ind w:right="37"/>
              <w:spacing w:after="0" w:line="123" w:lineRule="exact"/>
              <w:rPr>
                <w:sz w:val="20"/>
                <w:szCs w:val="20"/>
                <w:color w:val="auto"/>
              </w:rPr>
            </w:pPr>
            <w:r>
              <w:rPr>
                <w:rFonts w:ascii="Arial" w:cs="Arial" w:eastAsia="Arial" w:hAnsi="Arial"/>
                <w:sz w:val="13"/>
                <w:szCs w:val="13"/>
                <w:color w:val="auto"/>
              </w:rPr>
              <w:t>6,225</w:t>
            </w: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gridSpan w:val="2"/>
          </w:tcPr>
          <w:p>
            <w:pPr>
              <w:jc w:val="right"/>
              <w:spacing w:after="0" w:line="123" w:lineRule="exact"/>
              <w:rPr>
                <w:sz w:val="20"/>
                <w:szCs w:val="20"/>
                <w:color w:val="auto"/>
              </w:rPr>
            </w:pPr>
            <w:r>
              <w:rPr>
                <w:rFonts w:ascii="Arial" w:cs="Arial" w:eastAsia="Arial" w:hAnsi="Arial"/>
                <w:sz w:val="13"/>
                <w:szCs w:val="13"/>
                <w:color w:val="auto"/>
              </w:rPr>
              <w:t>9,091</w:t>
            </w:r>
          </w:p>
        </w:tc>
        <w:tc>
          <w:tcPr>
            <w:tcW w:w="700" w:type="dxa"/>
            <w:vAlign w:val="bottom"/>
            <w:gridSpan w:val="2"/>
          </w:tcPr>
          <w:p>
            <w:pPr>
              <w:jc w:val="right"/>
              <w:ind w:right="80"/>
              <w:spacing w:after="0" w:line="123" w:lineRule="exact"/>
              <w:rPr>
                <w:sz w:val="20"/>
                <w:szCs w:val="20"/>
                <w:color w:val="auto"/>
              </w:rPr>
            </w:pPr>
            <w:r>
              <w:rPr>
                <w:rFonts w:ascii="Arial" w:cs="Arial" w:eastAsia="Arial" w:hAnsi="Arial"/>
                <w:sz w:val="13"/>
                <w:szCs w:val="13"/>
                <w:color w:val="auto"/>
              </w:rPr>
              <w:t>2,659</w:t>
            </w:r>
          </w:p>
        </w:tc>
        <w:tc>
          <w:tcPr>
            <w:tcW w:w="1220" w:type="dxa"/>
            <w:vAlign w:val="bottom"/>
            <w:gridSpan w:val="3"/>
          </w:tcPr>
          <w:p>
            <w:pPr>
              <w:jc w:val="right"/>
              <w:ind w:right="396"/>
              <w:spacing w:after="0" w:line="123" w:lineRule="exact"/>
              <w:rPr>
                <w:sz w:val="20"/>
                <w:szCs w:val="20"/>
                <w:color w:val="auto"/>
              </w:rPr>
            </w:pPr>
            <w:r>
              <w:rPr>
                <w:rFonts w:ascii="Arial" w:cs="Arial" w:eastAsia="Arial" w:hAnsi="Arial"/>
                <w:sz w:val="13"/>
                <w:szCs w:val="13"/>
                <w:color w:val="auto"/>
              </w:rPr>
              <w:t>10,937</w:t>
            </w: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0" w:type="dxa"/>
            <w:vAlign w:val="bottom"/>
          </w:tcPr>
          <w:p>
            <w:pPr>
              <w:jc w:val="right"/>
              <w:ind w:right="37"/>
              <w:spacing w:after="0" w:line="123" w:lineRule="exact"/>
              <w:rPr>
                <w:sz w:val="20"/>
                <w:szCs w:val="20"/>
                <w:color w:val="auto"/>
              </w:rPr>
            </w:pPr>
            <w:r>
              <w:rPr>
                <w:rFonts w:ascii="Arial" w:cs="Arial" w:eastAsia="Arial" w:hAnsi="Arial"/>
                <w:sz w:val="13"/>
                <w:szCs w:val="13"/>
                <w:color w:val="auto"/>
              </w:rPr>
              <w:t>4,196</w:t>
            </w:r>
          </w:p>
        </w:tc>
      </w:tr>
      <w:tr>
        <w:trPr>
          <w:trHeight w:val="135"/>
        </w:trPr>
        <w:tc>
          <w:tcPr>
            <w:tcW w:w="1920" w:type="dxa"/>
            <w:vAlign w:val="bottom"/>
            <w:gridSpan w:val="2"/>
          </w:tcPr>
          <w:p>
            <w:pPr>
              <w:spacing w:after="0" w:line="135" w:lineRule="exact"/>
              <w:rPr>
                <w:sz w:val="20"/>
                <w:szCs w:val="20"/>
                <w:color w:val="auto"/>
              </w:rPr>
            </w:pPr>
            <w:r>
              <w:rPr>
                <w:rFonts w:ascii="Arial" w:cs="Arial" w:eastAsia="Arial" w:hAnsi="Arial"/>
                <w:sz w:val="13"/>
                <w:szCs w:val="13"/>
                <w:color w:val="auto"/>
              </w:rPr>
              <w:t>Asia</w:t>
            </w:r>
          </w:p>
        </w:tc>
        <w:tc>
          <w:tcPr>
            <w:tcW w:w="540" w:type="dxa"/>
            <w:vAlign w:val="bottom"/>
            <w:shd w:val="clear" w:color="auto" w:fill="D8D8D8"/>
          </w:tcPr>
          <w:p>
            <w:pPr>
              <w:jc w:val="right"/>
              <w:spacing w:after="0" w:line="135" w:lineRule="exact"/>
              <w:rPr>
                <w:sz w:val="20"/>
                <w:szCs w:val="20"/>
                <w:color w:val="auto"/>
              </w:rPr>
            </w:pPr>
            <w:r>
              <w:rPr>
                <w:rFonts w:ascii="Arial" w:cs="Arial" w:eastAsia="Arial" w:hAnsi="Arial"/>
                <w:sz w:val="13"/>
                <w:szCs w:val="13"/>
                <w:color w:val="auto"/>
              </w:rPr>
              <w:t>25,724</w:t>
            </w:r>
          </w:p>
        </w:tc>
        <w:tc>
          <w:tcPr>
            <w:tcW w:w="680" w:type="dxa"/>
            <w:vAlign w:val="bottom"/>
            <w:shd w:val="clear" w:color="auto" w:fill="D8D8D8"/>
          </w:tcPr>
          <w:p>
            <w:pPr>
              <w:jc w:val="right"/>
              <w:ind w:right="17"/>
              <w:spacing w:after="0" w:line="135" w:lineRule="exact"/>
              <w:rPr>
                <w:sz w:val="20"/>
                <w:szCs w:val="20"/>
                <w:color w:val="auto"/>
              </w:rPr>
            </w:pPr>
            <w:r>
              <w:rPr>
                <w:rFonts w:ascii="Arial" w:cs="Arial" w:eastAsia="Arial" w:hAnsi="Arial"/>
                <w:sz w:val="13"/>
                <w:szCs w:val="13"/>
                <w:color w:val="auto"/>
              </w:rPr>
              <w:t>9,252</w:t>
            </w:r>
          </w:p>
        </w:tc>
        <w:tc>
          <w:tcPr>
            <w:tcW w:w="140" w:type="dxa"/>
            <w:vAlign w:val="bottom"/>
            <w:shd w:val="clear" w:color="auto" w:fill="D8D8D8"/>
          </w:tcPr>
          <w:p>
            <w:pPr>
              <w:spacing w:after="0"/>
              <w:rPr>
                <w:sz w:val="11"/>
                <w:szCs w:val="11"/>
                <w:color w:val="auto"/>
              </w:rPr>
            </w:pPr>
          </w:p>
        </w:tc>
        <w:tc>
          <w:tcPr>
            <w:tcW w:w="80" w:type="dxa"/>
            <w:vAlign w:val="bottom"/>
            <w:shd w:val="clear" w:color="auto" w:fill="D8D8D8"/>
          </w:tcPr>
          <w:p>
            <w:pPr>
              <w:spacing w:after="0"/>
              <w:rPr>
                <w:sz w:val="11"/>
                <w:szCs w:val="11"/>
                <w:color w:val="auto"/>
              </w:rPr>
            </w:pPr>
          </w:p>
        </w:tc>
        <w:tc>
          <w:tcPr>
            <w:tcW w:w="560" w:type="dxa"/>
            <w:vAlign w:val="bottom"/>
            <w:gridSpan w:val="2"/>
            <w:shd w:val="clear" w:color="auto" w:fill="D8D8D8"/>
          </w:tcPr>
          <w:p>
            <w:pPr>
              <w:jc w:val="right"/>
              <w:ind w:right="80"/>
              <w:spacing w:after="0" w:line="135" w:lineRule="exact"/>
              <w:rPr>
                <w:sz w:val="20"/>
                <w:szCs w:val="20"/>
                <w:color w:val="auto"/>
              </w:rPr>
            </w:pPr>
            <w:r>
              <w:rPr>
                <w:rFonts w:ascii="Arial" w:cs="Arial" w:eastAsia="Arial" w:hAnsi="Arial"/>
                <w:sz w:val="13"/>
                <w:szCs w:val="13"/>
                <w:color w:val="auto"/>
              </w:rPr>
              <w:t>46,487</w:t>
            </w:r>
          </w:p>
        </w:tc>
        <w:tc>
          <w:tcPr>
            <w:tcW w:w="660" w:type="dxa"/>
            <w:vAlign w:val="bottom"/>
            <w:tcBorders>
              <w:right w:val="single" w:sz="8" w:color="D8D8D8"/>
            </w:tcBorders>
            <w:shd w:val="clear" w:color="auto" w:fill="D8D8D8"/>
          </w:tcPr>
          <w:p>
            <w:pPr>
              <w:jc w:val="right"/>
              <w:ind w:right="37"/>
              <w:spacing w:after="0" w:line="135" w:lineRule="exact"/>
              <w:rPr>
                <w:sz w:val="20"/>
                <w:szCs w:val="20"/>
                <w:color w:val="auto"/>
              </w:rPr>
            </w:pPr>
            <w:r>
              <w:rPr>
                <w:rFonts w:ascii="Arial" w:cs="Arial" w:eastAsia="Arial" w:hAnsi="Arial"/>
                <w:sz w:val="13"/>
                <w:szCs w:val="13"/>
                <w:color w:val="auto"/>
              </w:rPr>
              <w:t>25,155</w:t>
            </w:r>
          </w:p>
        </w:tc>
        <w:tc>
          <w:tcPr>
            <w:tcW w:w="700" w:type="dxa"/>
            <w:vAlign w:val="bottom"/>
            <w:gridSpan w:val="4"/>
          </w:tcPr>
          <w:p>
            <w:pPr>
              <w:jc w:val="right"/>
              <w:spacing w:after="0" w:line="135" w:lineRule="exact"/>
              <w:rPr>
                <w:sz w:val="20"/>
                <w:szCs w:val="20"/>
                <w:color w:val="auto"/>
              </w:rPr>
            </w:pPr>
            <w:r>
              <w:rPr>
                <w:rFonts w:ascii="Arial" w:cs="Arial" w:eastAsia="Arial" w:hAnsi="Arial"/>
                <w:sz w:val="13"/>
                <w:szCs w:val="13"/>
                <w:color w:val="auto"/>
              </w:rPr>
              <w:t>26,349</w:t>
            </w:r>
          </w:p>
        </w:tc>
        <w:tc>
          <w:tcPr>
            <w:tcW w:w="700" w:type="dxa"/>
            <w:vAlign w:val="bottom"/>
            <w:gridSpan w:val="2"/>
          </w:tcPr>
          <w:p>
            <w:pPr>
              <w:jc w:val="right"/>
              <w:ind w:right="17"/>
              <w:spacing w:after="0" w:line="135" w:lineRule="exact"/>
              <w:rPr>
                <w:sz w:val="20"/>
                <w:szCs w:val="20"/>
                <w:color w:val="auto"/>
              </w:rPr>
            </w:pPr>
            <w:r>
              <w:rPr>
                <w:rFonts w:ascii="Arial" w:cs="Arial" w:eastAsia="Arial" w:hAnsi="Arial"/>
                <w:sz w:val="13"/>
                <w:szCs w:val="13"/>
                <w:color w:val="auto"/>
              </w:rPr>
              <w:t>9,275</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gridSpan w:val="2"/>
          </w:tcPr>
          <w:p>
            <w:pPr>
              <w:jc w:val="right"/>
              <w:ind w:right="137"/>
              <w:spacing w:after="0" w:line="135" w:lineRule="exact"/>
              <w:rPr>
                <w:sz w:val="20"/>
                <w:szCs w:val="20"/>
                <w:color w:val="auto"/>
              </w:rPr>
            </w:pPr>
            <w:r>
              <w:rPr>
                <w:rFonts w:ascii="Arial" w:cs="Arial" w:eastAsia="Arial" w:hAnsi="Arial"/>
                <w:sz w:val="13"/>
                <w:szCs w:val="13"/>
                <w:color w:val="auto"/>
              </w:rPr>
              <w:t>56,373</w:t>
            </w:r>
          </w:p>
        </w:tc>
        <w:tc>
          <w:tcPr>
            <w:tcW w:w="600" w:type="dxa"/>
            <w:vAlign w:val="bottom"/>
          </w:tcPr>
          <w:p>
            <w:pPr>
              <w:jc w:val="right"/>
              <w:ind w:right="37"/>
              <w:spacing w:after="0" w:line="135" w:lineRule="exact"/>
              <w:rPr>
                <w:sz w:val="20"/>
                <w:szCs w:val="20"/>
                <w:color w:val="auto"/>
              </w:rPr>
            </w:pPr>
            <w:r>
              <w:rPr>
                <w:rFonts w:ascii="Arial" w:cs="Arial" w:eastAsia="Arial" w:hAnsi="Arial"/>
                <w:sz w:val="13"/>
                <w:szCs w:val="13"/>
                <w:color w:val="auto"/>
              </w:rPr>
              <w:t>27,791</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26,989</w:t>
            </w:r>
          </w:p>
        </w:tc>
        <w:tc>
          <w:tcPr>
            <w:tcW w:w="70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9,400</w:t>
            </w:r>
          </w:p>
        </w:tc>
        <w:tc>
          <w:tcPr>
            <w:tcW w:w="1220" w:type="dxa"/>
            <w:vAlign w:val="bottom"/>
            <w:gridSpan w:val="3"/>
          </w:tcPr>
          <w:p>
            <w:pPr>
              <w:jc w:val="right"/>
              <w:ind w:right="396"/>
              <w:spacing w:after="0" w:line="135" w:lineRule="exact"/>
              <w:rPr>
                <w:sz w:val="20"/>
                <w:szCs w:val="20"/>
                <w:color w:val="auto"/>
              </w:rPr>
            </w:pPr>
            <w:r>
              <w:rPr>
                <w:rFonts w:ascii="Arial" w:cs="Arial" w:eastAsia="Arial" w:hAnsi="Arial"/>
                <w:sz w:val="13"/>
                <w:szCs w:val="13"/>
                <w:color w:val="auto"/>
              </w:rPr>
              <w:t>53,460</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0" w:type="dxa"/>
            <w:vAlign w:val="bottom"/>
          </w:tcPr>
          <w:p>
            <w:pPr>
              <w:jc w:val="right"/>
              <w:ind w:right="37"/>
              <w:spacing w:after="0" w:line="135" w:lineRule="exact"/>
              <w:rPr>
                <w:sz w:val="20"/>
                <w:szCs w:val="20"/>
                <w:color w:val="auto"/>
              </w:rPr>
            </w:pPr>
            <w:r>
              <w:rPr>
                <w:rFonts w:ascii="Arial" w:cs="Arial" w:eastAsia="Arial" w:hAnsi="Arial"/>
                <w:sz w:val="13"/>
                <w:szCs w:val="13"/>
                <w:color w:val="auto"/>
              </w:rPr>
              <w:t>26,604</w:t>
            </w:r>
          </w:p>
        </w:tc>
      </w:tr>
      <w:tr>
        <w:trPr>
          <w:trHeight w:val="135"/>
        </w:trPr>
        <w:tc>
          <w:tcPr>
            <w:tcW w:w="1920" w:type="dxa"/>
            <w:vAlign w:val="bottom"/>
            <w:gridSpan w:val="2"/>
          </w:tcPr>
          <w:p>
            <w:pPr>
              <w:spacing w:after="0" w:line="135" w:lineRule="exact"/>
              <w:rPr>
                <w:sz w:val="20"/>
                <w:szCs w:val="20"/>
                <w:color w:val="auto"/>
              </w:rPr>
            </w:pPr>
            <w:r>
              <w:rPr>
                <w:rFonts w:ascii="Arial" w:cs="Arial" w:eastAsia="Arial" w:hAnsi="Arial"/>
                <w:sz w:val="13"/>
                <w:szCs w:val="13"/>
                <w:color w:val="auto"/>
              </w:rPr>
              <w:t>Oceania</w:t>
            </w:r>
          </w:p>
        </w:tc>
        <w:tc>
          <w:tcPr>
            <w:tcW w:w="540" w:type="dxa"/>
            <w:vAlign w:val="bottom"/>
            <w:shd w:val="clear" w:color="auto" w:fill="D8D8D8"/>
          </w:tcPr>
          <w:p>
            <w:pPr>
              <w:jc w:val="right"/>
              <w:spacing w:after="0" w:line="135" w:lineRule="exact"/>
              <w:rPr>
                <w:sz w:val="20"/>
                <w:szCs w:val="20"/>
                <w:color w:val="auto"/>
              </w:rPr>
            </w:pPr>
            <w:r>
              <w:rPr>
                <w:rFonts w:ascii="Arial" w:cs="Arial" w:eastAsia="Arial" w:hAnsi="Arial"/>
                <w:sz w:val="13"/>
                <w:szCs w:val="13"/>
                <w:color w:val="auto"/>
              </w:rPr>
              <w:t>1,657</w:t>
            </w:r>
          </w:p>
        </w:tc>
        <w:tc>
          <w:tcPr>
            <w:tcW w:w="680" w:type="dxa"/>
            <w:vAlign w:val="bottom"/>
            <w:shd w:val="clear" w:color="auto" w:fill="D8D8D8"/>
          </w:tcPr>
          <w:p>
            <w:pPr>
              <w:jc w:val="right"/>
              <w:ind w:right="17"/>
              <w:spacing w:after="0" w:line="135" w:lineRule="exact"/>
              <w:rPr>
                <w:sz w:val="20"/>
                <w:szCs w:val="20"/>
                <w:color w:val="auto"/>
              </w:rPr>
            </w:pPr>
            <w:r>
              <w:rPr>
                <w:rFonts w:ascii="Arial" w:cs="Arial" w:eastAsia="Arial" w:hAnsi="Arial"/>
                <w:sz w:val="13"/>
                <w:szCs w:val="13"/>
                <w:color w:val="auto"/>
              </w:rPr>
              <w:t>433</w:t>
            </w:r>
          </w:p>
        </w:tc>
        <w:tc>
          <w:tcPr>
            <w:tcW w:w="140" w:type="dxa"/>
            <w:vAlign w:val="bottom"/>
            <w:shd w:val="clear" w:color="auto" w:fill="D8D8D8"/>
          </w:tcPr>
          <w:p>
            <w:pPr>
              <w:spacing w:after="0"/>
              <w:rPr>
                <w:sz w:val="11"/>
                <w:szCs w:val="11"/>
                <w:color w:val="auto"/>
              </w:rPr>
            </w:pPr>
          </w:p>
        </w:tc>
        <w:tc>
          <w:tcPr>
            <w:tcW w:w="80" w:type="dxa"/>
            <w:vAlign w:val="bottom"/>
            <w:shd w:val="clear" w:color="auto" w:fill="D8D8D8"/>
          </w:tcPr>
          <w:p>
            <w:pPr>
              <w:spacing w:after="0"/>
              <w:rPr>
                <w:sz w:val="11"/>
                <w:szCs w:val="11"/>
                <w:color w:val="auto"/>
              </w:rPr>
            </w:pPr>
          </w:p>
        </w:tc>
        <w:tc>
          <w:tcPr>
            <w:tcW w:w="560" w:type="dxa"/>
            <w:vAlign w:val="bottom"/>
            <w:gridSpan w:val="2"/>
            <w:shd w:val="clear" w:color="auto" w:fill="D8D8D8"/>
          </w:tcPr>
          <w:p>
            <w:pPr>
              <w:jc w:val="right"/>
              <w:ind w:right="80"/>
              <w:spacing w:after="0" w:line="135" w:lineRule="exact"/>
              <w:rPr>
                <w:sz w:val="20"/>
                <w:szCs w:val="20"/>
                <w:color w:val="auto"/>
              </w:rPr>
            </w:pPr>
            <w:r>
              <w:rPr>
                <w:rFonts w:ascii="Arial" w:cs="Arial" w:eastAsia="Arial" w:hAnsi="Arial"/>
                <w:sz w:val="13"/>
                <w:szCs w:val="13"/>
                <w:color w:val="auto"/>
              </w:rPr>
              <w:t>71,941</w:t>
            </w:r>
          </w:p>
        </w:tc>
        <w:tc>
          <w:tcPr>
            <w:tcW w:w="660" w:type="dxa"/>
            <w:vAlign w:val="bottom"/>
            <w:tcBorders>
              <w:right w:val="single" w:sz="8" w:color="D8D8D8"/>
            </w:tcBorders>
            <w:shd w:val="clear" w:color="auto" w:fill="D8D8D8"/>
          </w:tcPr>
          <w:p>
            <w:pPr>
              <w:jc w:val="right"/>
              <w:ind w:right="37"/>
              <w:spacing w:after="0" w:line="135" w:lineRule="exact"/>
              <w:rPr>
                <w:sz w:val="20"/>
                <w:szCs w:val="20"/>
                <w:color w:val="auto"/>
              </w:rPr>
            </w:pPr>
            <w:r>
              <w:rPr>
                <w:rFonts w:ascii="Arial" w:cs="Arial" w:eastAsia="Arial" w:hAnsi="Arial"/>
                <w:sz w:val="13"/>
                <w:szCs w:val="13"/>
                <w:color w:val="auto"/>
              </w:rPr>
              <w:t>25,992</w:t>
            </w:r>
          </w:p>
        </w:tc>
        <w:tc>
          <w:tcPr>
            <w:tcW w:w="700" w:type="dxa"/>
            <w:vAlign w:val="bottom"/>
            <w:gridSpan w:val="4"/>
          </w:tcPr>
          <w:p>
            <w:pPr>
              <w:jc w:val="right"/>
              <w:spacing w:after="0" w:line="135" w:lineRule="exact"/>
              <w:rPr>
                <w:sz w:val="20"/>
                <w:szCs w:val="20"/>
                <w:color w:val="auto"/>
              </w:rPr>
            </w:pPr>
            <w:r>
              <w:rPr>
                <w:rFonts w:ascii="Arial" w:cs="Arial" w:eastAsia="Arial" w:hAnsi="Arial"/>
                <w:sz w:val="13"/>
                <w:szCs w:val="13"/>
                <w:color w:val="auto"/>
              </w:rPr>
              <w:t>1,659</w:t>
            </w:r>
          </w:p>
        </w:tc>
        <w:tc>
          <w:tcPr>
            <w:tcW w:w="380" w:type="dxa"/>
            <w:vAlign w:val="bottom"/>
          </w:tcPr>
          <w:p>
            <w:pPr>
              <w:spacing w:after="0"/>
              <w:rPr>
                <w:sz w:val="11"/>
                <w:szCs w:val="11"/>
                <w:color w:val="auto"/>
              </w:rPr>
            </w:pPr>
          </w:p>
        </w:tc>
        <w:tc>
          <w:tcPr>
            <w:tcW w:w="320" w:type="dxa"/>
            <w:vAlign w:val="bottom"/>
          </w:tcPr>
          <w:p>
            <w:pPr>
              <w:jc w:val="right"/>
              <w:ind w:right="17"/>
              <w:spacing w:after="0" w:line="135" w:lineRule="exact"/>
              <w:rPr>
                <w:sz w:val="20"/>
                <w:szCs w:val="20"/>
                <w:color w:val="auto"/>
              </w:rPr>
            </w:pPr>
            <w:r>
              <w:rPr>
                <w:rFonts w:ascii="Arial" w:cs="Arial" w:eastAsia="Arial" w:hAnsi="Arial"/>
                <w:sz w:val="13"/>
                <w:szCs w:val="13"/>
                <w:color w:val="auto"/>
              </w:rPr>
              <w:t>466</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gridSpan w:val="2"/>
          </w:tcPr>
          <w:p>
            <w:pPr>
              <w:jc w:val="right"/>
              <w:ind w:right="137"/>
              <w:spacing w:after="0" w:line="135" w:lineRule="exact"/>
              <w:rPr>
                <w:sz w:val="20"/>
                <w:szCs w:val="20"/>
                <w:color w:val="auto"/>
              </w:rPr>
            </w:pPr>
            <w:r>
              <w:rPr>
                <w:rFonts w:ascii="Arial" w:cs="Arial" w:eastAsia="Arial" w:hAnsi="Arial"/>
                <w:sz w:val="13"/>
                <w:szCs w:val="13"/>
                <w:color w:val="auto"/>
              </w:rPr>
              <w:t>74,055</w:t>
            </w:r>
          </w:p>
        </w:tc>
        <w:tc>
          <w:tcPr>
            <w:tcW w:w="600" w:type="dxa"/>
            <w:vAlign w:val="bottom"/>
          </w:tcPr>
          <w:p>
            <w:pPr>
              <w:jc w:val="right"/>
              <w:ind w:right="37"/>
              <w:spacing w:after="0" w:line="135" w:lineRule="exact"/>
              <w:rPr>
                <w:sz w:val="20"/>
                <w:szCs w:val="20"/>
                <w:color w:val="auto"/>
              </w:rPr>
            </w:pPr>
            <w:r>
              <w:rPr>
                <w:rFonts w:ascii="Arial" w:cs="Arial" w:eastAsia="Arial" w:hAnsi="Arial"/>
                <w:sz w:val="13"/>
                <w:szCs w:val="13"/>
                <w:color w:val="auto"/>
              </w:rPr>
              <w:t>29,811</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1,703</w:t>
            </w:r>
          </w:p>
        </w:tc>
        <w:tc>
          <w:tcPr>
            <w:tcW w:w="70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467</w:t>
            </w:r>
          </w:p>
        </w:tc>
        <w:tc>
          <w:tcPr>
            <w:tcW w:w="1220" w:type="dxa"/>
            <w:vAlign w:val="bottom"/>
            <w:gridSpan w:val="3"/>
          </w:tcPr>
          <w:p>
            <w:pPr>
              <w:jc w:val="right"/>
              <w:ind w:right="396"/>
              <w:spacing w:after="0" w:line="135" w:lineRule="exact"/>
              <w:rPr>
                <w:sz w:val="20"/>
                <w:szCs w:val="20"/>
                <w:color w:val="auto"/>
              </w:rPr>
            </w:pPr>
            <w:r>
              <w:rPr>
                <w:rFonts w:ascii="Arial" w:cs="Arial" w:eastAsia="Arial" w:hAnsi="Arial"/>
                <w:sz w:val="13"/>
                <w:szCs w:val="13"/>
                <w:color w:val="auto"/>
              </w:rPr>
              <w:t>70,575</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0" w:type="dxa"/>
            <w:vAlign w:val="bottom"/>
          </w:tcPr>
          <w:p>
            <w:pPr>
              <w:jc w:val="right"/>
              <w:ind w:right="37"/>
              <w:spacing w:after="0" w:line="135" w:lineRule="exact"/>
              <w:rPr>
                <w:sz w:val="20"/>
                <w:szCs w:val="20"/>
                <w:color w:val="auto"/>
              </w:rPr>
            </w:pPr>
            <w:r>
              <w:rPr>
                <w:rFonts w:ascii="Arial" w:cs="Arial" w:eastAsia="Arial" w:hAnsi="Arial"/>
                <w:sz w:val="13"/>
                <w:szCs w:val="13"/>
                <w:color w:val="auto"/>
              </w:rPr>
              <w:t>26,469</w:t>
            </w:r>
          </w:p>
        </w:tc>
      </w:tr>
      <w:tr>
        <w:trPr>
          <w:trHeight w:val="135"/>
        </w:trPr>
        <w:tc>
          <w:tcPr>
            <w:tcW w:w="1920" w:type="dxa"/>
            <w:vAlign w:val="bottom"/>
            <w:gridSpan w:val="2"/>
          </w:tcPr>
          <w:p>
            <w:pPr>
              <w:spacing w:after="0" w:line="135" w:lineRule="exact"/>
              <w:rPr>
                <w:sz w:val="20"/>
                <w:szCs w:val="20"/>
                <w:color w:val="auto"/>
              </w:rPr>
            </w:pPr>
            <w:r>
              <w:rPr>
                <w:rFonts w:ascii="Arial" w:cs="Arial" w:eastAsia="Arial" w:hAnsi="Arial"/>
                <w:sz w:val="13"/>
                <w:szCs w:val="13"/>
                <w:color w:val="auto"/>
              </w:rPr>
              <w:t>Africa</w:t>
            </w:r>
          </w:p>
        </w:tc>
        <w:tc>
          <w:tcPr>
            <w:tcW w:w="540" w:type="dxa"/>
            <w:vAlign w:val="bottom"/>
            <w:shd w:val="clear" w:color="auto" w:fill="D8D8D8"/>
          </w:tcPr>
          <w:p>
            <w:pPr>
              <w:jc w:val="right"/>
              <w:spacing w:after="0" w:line="135" w:lineRule="exact"/>
              <w:rPr>
                <w:sz w:val="20"/>
                <w:szCs w:val="20"/>
                <w:color w:val="auto"/>
              </w:rPr>
            </w:pPr>
            <w:r>
              <w:rPr>
                <w:rFonts w:ascii="Arial" w:cs="Arial" w:eastAsia="Arial" w:hAnsi="Arial"/>
                <w:sz w:val="13"/>
                <w:szCs w:val="13"/>
                <w:color w:val="auto"/>
              </w:rPr>
              <w:t>5,174</w:t>
            </w:r>
          </w:p>
        </w:tc>
        <w:tc>
          <w:tcPr>
            <w:tcW w:w="680" w:type="dxa"/>
            <w:vAlign w:val="bottom"/>
            <w:shd w:val="clear" w:color="auto" w:fill="D8D8D8"/>
          </w:tcPr>
          <w:p>
            <w:pPr>
              <w:jc w:val="right"/>
              <w:ind w:right="17"/>
              <w:spacing w:after="0" w:line="135" w:lineRule="exact"/>
              <w:rPr>
                <w:sz w:val="20"/>
                <w:szCs w:val="20"/>
                <w:color w:val="auto"/>
              </w:rPr>
            </w:pPr>
            <w:r>
              <w:rPr>
                <w:rFonts w:ascii="Arial" w:cs="Arial" w:eastAsia="Arial" w:hAnsi="Arial"/>
                <w:sz w:val="13"/>
                <w:szCs w:val="13"/>
                <w:color w:val="auto"/>
              </w:rPr>
              <w:t>2,232</w:t>
            </w:r>
          </w:p>
        </w:tc>
        <w:tc>
          <w:tcPr>
            <w:tcW w:w="140" w:type="dxa"/>
            <w:vAlign w:val="bottom"/>
            <w:shd w:val="clear" w:color="auto" w:fill="D8D8D8"/>
          </w:tcPr>
          <w:p>
            <w:pPr>
              <w:spacing w:after="0"/>
              <w:rPr>
                <w:sz w:val="11"/>
                <w:szCs w:val="11"/>
                <w:color w:val="auto"/>
              </w:rPr>
            </w:pPr>
          </w:p>
        </w:tc>
        <w:tc>
          <w:tcPr>
            <w:tcW w:w="80" w:type="dxa"/>
            <w:vAlign w:val="bottom"/>
            <w:shd w:val="clear" w:color="auto" w:fill="D8D8D8"/>
          </w:tcPr>
          <w:p>
            <w:pPr>
              <w:spacing w:after="0"/>
              <w:rPr>
                <w:sz w:val="11"/>
                <w:szCs w:val="11"/>
                <w:color w:val="auto"/>
              </w:rPr>
            </w:pPr>
          </w:p>
        </w:tc>
        <w:tc>
          <w:tcPr>
            <w:tcW w:w="560" w:type="dxa"/>
            <w:vAlign w:val="bottom"/>
            <w:gridSpan w:val="2"/>
            <w:shd w:val="clear" w:color="auto" w:fill="D8D8D8"/>
          </w:tcPr>
          <w:p>
            <w:pPr>
              <w:jc w:val="right"/>
              <w:ind w:right="80"/>
              <w:spacing w:after="0" w:line="135" w:lineRule="exact"/>
              <w:rPr>
                <w:sz w:val="20"/>
                <w:szCs w:val="20"/>
                <w:color w:val="auto"/>
              </w:rPr>
            </w:pPr>
            <w:r>
              <w:rPr>
                <w:rFonts w:ascii="Arial" w:cs="Arial" w:eastAsia="Arial" w:hAnsi="Arial"/>
                <w:sz w:val="13"/>
                <w:szCs w:val="13"/>
                <w:color w:val="auto"/>
              </w:rPr>
              <w:t>39,297</w:t>
            </w:r>
          </w:p>
        </w:tc>
        <w:tc>
          <w:tcPr>
            <w:tcW w:w="660" w:type="dxa"/>
            <w:vAlign w:val="bottom"/>
            <w:tcBorders>
              <w:right w:val="single" w:sz="8" w:color="D8D8D8"/>
            </w:tcBorders>
            <w:shd w:val="clear" w:color="auto" w:fill="D8D8D8"/>
          </w:tcPr>
          <w:p>
            <w:pPr>
              <w:jc w:val="right"/>
              <w:ind w:right="37"/>
              <w:spacing w:after="0" w:line="135" w:lineRule="exact"/>
              <w:rPr>
                <w:sz w:val="20"/>
                <w:szCs w:val="20"/>
                <w:color w:val="auto"/>
              </w:rPr>
            </w:pPr>
            <w:r>
              <w:rPr>
                <w:rFonts w:ascii="Arial" w:cs="Arial" w:eastAsia="Arial" w:hAnsi="Arial"/>
                <w:sz w:val="13"/>
                <w:szCs w:val="13"/>
                <w:color w:val="auto"/>
              </w:rPr>
              <w:t>26,409</w:t>
            </w:r>
          </w:p>
        </w:tc>
        <w:tc>
          <w:tcPr>
            <w:tcW w:w="700" w:type="dxa"/>
            <w:vAlign w:val="bottom"/>
            <w:gridSpan w:val="4"/>
          </w:tcPr>
          <w:p>
            <w:pPr>
              <w:jc w:val="right"/>
              <w:spacing w:after="0" w:line="135" w:lineRule="exact"/>
              <w:rPr>
                <w:sz w:val="20"/>
                <w:szCs w:val="20"/>
                <w:color w:val="auto"/>
              </w:rPr>
            </w:pPr>
            <w:r>
              <w:rPr>
                <w:rFonts w:ascii="Arial" w:cs="Arial" w:eastAsia="Arial" w:hAnsi="Arial"/>
                <w:sz w:val="13"/>
                <w:szCs w:val="13"/>
                <w:color w:val="auto"/>
              </w:rPr>
              <w:t>5,217</w:t>
            </w:r>
          </w:p>
        </w:tc>
        <w:tc>
          <w:tcPr>
            <w:tcW w:w="700" w:type="dxa"/>
            <w:vAlign w:val="bottom"/>
            <w:gridSpan w:val="2"/>
          </w:tcPr>
          <w:p>
            <w:pPr>
              <w:jc w:val="right"/>
              <w:ind w:right="17"/>
              <w:spacing w:after="0" w:line="135" w:lineRule="exact"/>
              <w:rPr>
                <w:sz w:val="20"/>
                <w:szCs w:val="20"/>
                <w:color w:val="auto"/>
              </w:rPr>
            </w:pPr>
            <w:r>
              <w:rPr>
                <w:rFonts w:ascii="Arial" w:cs="Arial" w:eastAsia="Arial" w:hAnsi="Arial"/>
                <w:sz w:val="13"/>
                <w:szCs w:val="13"/>
                <w:color w:val="auto"/>
              </w:rPr>
              <w:t>2,245</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gridSpan w:val="2"/>
          </w:tcPr>
          <w:p>
            <w:pPr>
              <w:jc w:val="right"/>
              <w:ind w:right="137"/>
              <w:spacing w:after="0" w:line="135" w:lineRule="exact"/>
              <w:rPr>
                <w:sz w:val="20"/>
                <w:szCs w:val="20"/>
                <w:color w:val="auto"/>
              </w:rPr>
            </w:pPr>
            <w:r>
              <w:rPr>
                <w:rFonts w:ascii="Arial" w:cs="Arial" w:eastAsia="Arial" w:hAnsi="Arial"/>
                <w:sz w:val="13"/>
                <w:szCs w:val="13"/>
                <w:color w:val="auto"/>
              </w:rPr>
              <w:t>37,811</w:t>
            </w:r>
          </w:p>
        </w:tc>
        <w:tc>
          <w:tcPr>
            <w:tcW w:w="600" w:type="dxa"/>
            <w:vAlign w:val="bottom"/>
          </w:tcPr>
          <w:p>
            <w:pPr>
              <w:jc w:val="right"/>
              <w:ind w:right="37"/>
              <w:spacing w:after="0" w:line="135" w:lineRule="exact"/>
              <w:rPr>
                <w:sz w:val="20"/>
                <w:szCs w:val="20"/>
                <w:color w:val="auto"/>
              </w:rPr>
            </w:pPr>
            <w:r>
              <w:rPr>
                <w:rFonts w:ascii="Arial" w:cs="Arial" w:eastAsia="Arial" w:hAnsi="Arial"/>
                <w:sz w:val="13"/>
                <w:szCs w:val="13"/>
                <w:color w:val="auto"/>
              </w:rPr>
              <w:t>24,553</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5,428</w:t>
            </w:r>
          </w:p>
        </w:tc>
        <w:tc>
          <w:tcPr>
            <w:tcW w:w="70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2,299</w:t>
            </w:r>
          </w:p>
        </w:tc>
        <w:tc>
          <w:tcPr>
            <w:tcW w:w="1220" w:type="dxa"/>
            <w:vAlign w:val="bottom"/>
            <w:gridSpan w:val="3"/>
          </w:tcPr>
          <w:p>
            <w:pPr>
              <w:jc w:val="right"/>
              <w:ind w:right="396"/>
              <w:spacing w:after="0" w:line="135" w:lineRule="exact"/>
              <w:rPr>
                <w:sz w:val="20"/>
                <w:szCs w:val="20"/>
                <w:color w:val="auto"/>
              </w:rPr>
            </w:pPr>
            <w:r>
              <w:rPr>
                <w:rFonts w:ascii="Arial" w:cs="Arial" w:eastAsia="Arial" w:hAnsi="Arial"/>
                <w:sz w:val="13"/>
                <w:szCs w:val="13"/>
                <w:color w:val="auto"/>
              </w:rPr>
              <w:t>45,315</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0" w:type="dxa"/>
            <w:vAlign w:val="bottom"/>
          </w:tcPr>
          <w:p>
            <w:pPr>
              <w:jc w:val="right"/>
              <w:ind w:right="37"/>
              <w:spacing w:after="0" w:line="135" w:lineRule="exact"/>
              <w:rPr>
                <w:sz w:val="20"/>
                <w:szCs w:val="20"/>
                <w:color w:val="auto"/>
              </w:rPr>
            </w:pPr>
            <w:r>
              <w:rPr>
                <w:rFonts w:ascii="Arial" w:cs="Arial" w:eastAsia="Arial" w:hAnsi="Arial"/>
                <w:sz w:val="13"/>
                <w:szCs w:val="13"/>
                <w:color w:val="auto"/>
              </w:rPr>
              <w:t>30,916</w:t>
            </w:r>
          </w:p>
        </w:tc>
      </w:tr>
      <w:tr>
        <w:trPr>
          <w:trHeight w:val="135"/>
        </w:trPr>
        <w:tc>
          <w:tcPr>
            <w:tcW w:w="1920" w:type="dxa"/>
            <w:vAlign w:val="bottom"/>
            <w:gridSpan w:val="2"/>
          </w:tcPr>
          <w:p>
            <w:pPr>
              <w:spacing w:after="0" w:line="135" w:lineRule="exact"/>
              <w:rPr>
                <w:sz w:val="20"/>
                <w:szCs w:val="20"/>
                <w:color w:val="auto"/>
              </w:rPr>
            </w:pPr>
            <w:r>
              <w:rPr>
                <w:rFonts w:ascii="Arial" w:cs="Arial" w:eastAsia="Arial" w:hAnsi="Arial"/>
                <w:sz w:val="13"/>
                <w:szCs w:val="13"/>
                <w:color w:val="auto"/>
              </w:rPr>
              <w:t>North America – USA</w:t>
            </w:r>
          </w:p>
        </w:tc>
        <w:tc>
          <w:tcPr>
            <w:tcW w:w="540" w:type="dxa"/>
            <w:vAlign w:val="bottom"/>
            <w:shd w:val="clear" w:color="auto" w:fill="D8D8D8"/>
          </w:tcPr>
          <w:p>
            <w:pPr>
              <w:jc w:val="right"/>
              <w:spacing w:after="0" w:line="135" w:lineRule="exact"/>
              <w:rPr>
                <w:sz w:val="20"/>
                <w:szCs w:val="20"/>
                <w:color w:val="auto"/>
              </w:rPr>
            </w:pPr>
            <w:r>
              <w:rPr>
                <w:rFonts w:ascii="Arial" w:cs="Arial" w:eastAsia="Arial" w:hAnsi="Arial"/>
                <w:sz w:val="13"/>
                <w:szCs w:val="13"/>
                <w:color w:val="auto"/>
              </w:rPr>
              <w:t>1,635</w:t>
            </w:r>
          </w:p>
        </w:tc>
        <w:tc>
          <w:tcPr>
            <w:tcW w:w="680" w:type="dxa"/>
            <w:vAlign w:val="bottom"/>
            <w:shd w:val="clear" w:color="auto" w:fill="D8D8D8"/>
          </w:tcPr>
          <w:p>
            <w:pPr>
              <w:jc w:val="right"/>
              <w:ind w:right="17"/>
              <w:spacing w:after="0" w:line="135" w:lineRule="exact"/>
              <w:rPr>
                <w:sz w:val="20"/>
                <w:szCs w:val="20"/>
                <w:color w:val="auto"/>
              </w:rPr>
            </w:pPr>
            <w:r>
              <w:rPr>
                <w:rFonts w:ascii="Arial" w:cs="Arial" w:eastAsia="Arial" w:hAnsi="Arial"/>
                <w:sz w:val="13"/>
                <w:szCs w:val="13"/>
                <w:color w:val="auto"/>
              </w:rPr>
              <w:t>1,131</w:t>
            </w:r>
          </w:p>
        </w:tc>
        <w:tc>
          <w:tcPr>
            <w:tcW w:w="140" w:type="dxa"/>
            <w:vAlign w:val="bottom"/>
            <w:shd w:val="clear" w:color="auto" w:fill="D8D8D8"/>
          </w:tcPr>
          <w:p>
            <w:pPr>
              <w:spacing w:after="0"/>
              <w:rPr>
                <w:sz w:val="11"/>
                <w:szCs w:val="11"/>
                <w:color w:val="auto"/>
              </w:rPr>
            </w:pPr>
          </w:p>
        </w:tc>
        <w:tc>
          <w:tcPr>
            <w:tcW w:w="80" w:type="dxa"/>
            <w:vAlign w:val="bottom"/>
            <w:shd w:val="clear" w:color="auto" w:fill="D8D8D8"/>
          </w:tcPr>
          <w:p>
            <w:pPr>
              <w:spacing w:after="0"/>
              <w:rPr>
                <w:sz w:val="11"/>
                <w:szCs w:val="11"/>
                <w:color w:val="auto"/>
              </w:rPr>
            </w:pPr>
          </w:p>
        </w:tc>
        <w:tc>
          <w:tcPr>
            <w:tcW w:w="560" w:type="dxa"/>
            <w:vAlign w:val="bottom"/>
            <w:gridSpan w:val="2"/>
            <w:shd w:val="clear" w:color="auto" w:fill="D8D8D8"/>
          </w:tcPr>
          <w:p>
            <w:pPr>
              <w:jc w:val="right"/>
              <w:ind w:right="80"/>
              <w:spacing w:after="0" w:line="135" w:lineRule="exact"/>
              <w:rPr>
                <w:sz w:val="20"/>
                <w:szCs w:val="20"/>
                <w:color w:val="auto"/>
              </w:rPr>
            </w:pPr>
            <w:r>
              <w:rPr>
                <w:rFonts w:ascii="Arial" w:cs="Arial" w:eastAsia="Arial" w:hAnsi="Arial"/>
                <w:sz w:val="13"/>
                <w:szCs w:val="13"/>
                <w:color w:val="auto"/>
              </w:rPr>
              <w:t>6,133</w:t>
            </w:r>
          </w:p>
        </w:tc>
        <w:tc>
          <w:tcPr>
            <w:tcW w:w="660" w:type="dxa"/>
            <w:vAlign w:val="bottom"/>
            <w:tcBorders>
              <w:right w:val="single" w:sz="8" w:color="D8D8D8"/>
            </w:tcBorders>
            <w:shd w:val="clear" w:color="auto" w:fill="D8D8D8"/>
          </w:tcPr>
          <w:p>
            <w:pPr>
              <w:jc w:val="right"/>
              <w:ind w:right="37"/>
              <w:spacing w:after="0" w:line="135" w:lineRule="exact"/>
              <w:rPr>
                <w:sz w:val="20"/>
                <w:szCs w:val="20"/>
                <w:color w:val="auto"/>
              </w:rPr>
            </w:pPr>
            <w:r>
              <w:rPr>
                <w:rFonts w:ascii="Arial" w:cs="Arial" w:eastAsia="Arial" w:hAnsi="Arial"/>
                <w:sz w:val="13"/>
                <w:szCs w:val="13"/>
                <w:color w:val="auto"/>
              </w:rPr>
              <w:t>5,047</w:t>
            </w:r>
          </w:p>
        </w:tc>
        <w:tc>
          <w:tcPr>
            <w:tcW w:w="700" w:type="dxa"/>
            <w:vAlign w:val="bottom"/>
            <w:gridSpan w:val="4"/>
          </w:tcPr>
          <w:p>
            <w:pPr>
              <w:jc w:val="right"/>
              <w:spacing w:after="0" w:line="135" w:lineRule="exact"/>
              <w:rPr>
                <w:sz w:val="20"/>
                <w:szCs w:val="20"/>
                <w:color w:val="auto"/>
              </w:rPr>
            </w:pPr>
            <w:r>
              <w:rPr>
                <w:rFonts w:ascii="Arial" w:cs="Arial" w:eastAsia="Arial" w:hAnsi="Arial"/>
                <w:sz w:val="13"/>
                <w:szCs w:val="13"/>
                <w:color w:val="auto"/>
              </w:rPr>
              <w:t>1,901</w:t>
            </w:r>
          </w:p>
        </w:tc>
        <w:tc>
          <w:tcPr>
            <w:tcW w:w="700" w:type="dxa"/>
            <w:vAlign w:val="bottom"/>
            <w:gridSpan w:val="2"/>
          </w:tcPr>
          <w:p>
            <w:pPr>
              <w:jc w:val="right"/>
              <w:ind w:right="17"/>
              <w:spacing w:after="0" w:line="135" w:lineRule="exact"/>
              <w:rPr>
                <w:sz w:val="20"/>
                <w:szCs w:val="20"/>
                <w:color w:val="auto"/>
              </w:rPr>
            </w:pPr>
            <w:r>
              <w:rPr>
                <w:rFonts w:ascii="Arial" w:cs="Arial" w:eastAsia="Arial" w:hAnsi="Arial"/>
                <w:sz w:val="13"/>
                <w:szCs w:val="13"/>
                <w:color w:val="auto"/>
              </w:rPr>
              <w:t>1,213</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gridSpan w:val="2"/>
          </w:tcPr>
          <w:p>
            <w:pPr>
              <w:jc w:val="right"/>
              <w:ind w:right="137"/>
              <w:spacing w:after="0" w:line="135" w:lineRule="exact"/>
              <w:rPr>
                <w:sz w:val="20"/>
                <w:szCs w:val="20"/>
                <w:color w:val="auto"/>
              </w:rPr>
            </w:pPr>
            <w:r>
              <w:rPr>
                <w:rFonts w:ascii="Arial" w:cs="Arial" w:eastAsia="Arial" w:hAnsi="Arial"/>
                <w:sz w:val="13"/>
                <w:szCs w:val="13"/>
                <w:color w:val="auto"/>
              </w:rPr>
              <w:t>8,432</w:t>
            </w:r>
          </w:p>
        </w:tc>
        <w:tc>
          <w:tcPr>
            <w:tcW w:w="600" w:type="dxa"/>
            <w:vAlign w:val="bottom"/>
          </w:tcPr>
          <w:p>
            <w:pPr>
              <w:jc w:val="right"/>
              <w:ind w:right="37"/>
              <w:spacing w:after="0" w:line="135" w:lineRule="exact"/>
              <w:rPr>
                <w:sz w:val="20"/>
                <w:szCs w:val="20"/>
                <w:color w:val="auto"/>
              </w:rPr>
            </w:pPr>
            <w:r>
              <w:rPr>
                <w:rFonts w:ascii="Arial" w:cs="Arial" w:eastAsia="Arial" w:hAnsi="Arial"/>
                <w:sz w:val="13"/>
                <w:szCs w:val="13"/>
                <w:color w:val="auto"/>
              </w:rPr>
              <w:t>6,613</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1,837</w:t>
            </w:r>
          </w:p>
        </w:tc>
        <w:tc>
          <w:tcPr>
            <w:tcW w:w="70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1,176</w:t>
            </w:r>
          </w:p>
        </w:tc>
        <w:tc>
          <w:tcPr>
            <w:tcW w:w="1220" w:type="dxa"/>
            <w:vAlign w:val="bottom"/>
            <w:gridSpan w:val="3"/>
          </w:tcPr>
          <w:p>
            <w:pPr>
              <w:jc w:val="right"/>
              <w:ind w:right="396"/>
              <w:spacing w:after="0" w:line="135" w:lineRule="exact"/>
              <w:rPr>
                <w:sz w:val="20"/>
                <w:szCs w:val="20"/>
                <w:color w:val="auto"/>
              </w:rPr>
            </w:pPr>
            <w:r>
              <w:rPr>
                <w:rFonts w:ascii="Arial" w:cs="Arial" w:eastAsia="Arial" w:hAnsi="Arial"/>
                <w:sz w:val="13"/>
                <w:szCs w:val="13"/>
                <w:color w:val="auto"/>
              </w:rPr>
              <w:t>8,878</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0" w:type="dxa"/>
            <w:vAlign w:val="bottom"/>
          </w:tcPr>
          <w:p>
            <w:pPr>
              <w:jc w:val="right"/>
              <w:ind w:right="37"/>
              <w:spacing w:after="0" w:line="135" w:lineRule="exact"/>
              <w:rPr>
                <w:sz w:val="20"/>
                <w:szCs w:val="20"/>
                <w:color w:val="auto"/>
              </w:rPr>
            </w:pPr>
            <w:r>
              <w:rPr>
                <w:rFonts w:ascii="Arial" w:cs="Arial" w:eastAsia="Arial" w:hAnsi="Arial"/>
                <w:sz w:val="13"/>
                <w:szCs w:val="13"/>
                <w:color w:val="auto"/>
              </w:rPr>
              <w:t>6,990</w:t>
            </w:r>
          </w:p>
        </w:tc>
      </w:tr>
      <w:tr>
        <w:trPr>
          <w:trHeight w:val="135"/>
        </w:trPr>
        <w:tc>
          <w:tcPr>
            <w:tcW w:w="1920" w:type="dxa"/>
            <w:vAlign w:val="bottom"/>
            <w:gridSpan w:val="2"/>
          </w:tcPr>
          <w:p>
            <w:pPr>
              <w:spacing w:after="0" w:line="135" w:lineRule="exact"/>
              <w:rPr>
                <w:sz w:val="20"/>
                <w:szCs w:val="20"/>
                <w:color w:val="auto"/>
              </w:rPr>
            </w:pPr>
            <w:r>
              <w:rPr>
                <w:rFonts w:ascii="Arial" w:cs="Arial" w:eastAsia="Arial" w:hAnsi="Arial"/>
                <w:sz w:val="13"/>
                <w:szCs w:val="13"/>
                <w:color w:val="auto"/>
              </w:rPr>
              <w:t>North America – Canada</w:t>
            </w:r>
          </w:p>
        </w:tc>
        <w:tc>
          <w:tcPr>
            <w:tcW w:w="540" w:type="dxa"/>
            <w:vAlign w:val="bottom"/>
            <w:shd w:val="clear" w:color="auto" w:fill="D8D8D8"/>
          </w:tcPr>
          <w:p>
            <w:pPr>
              <w:jc w:val="right"/>
              <w:spacing w:after="0" w:line="135" w:lineRule="exact"/>
              <w:rPr>
                <w:sz w:val="20"/>
                <w:szCs w:val="20"/>
                <w:color w:val="auto"/>
              </w:rPr>
            </w:pPr>
            <w:r>
              <w:rPr>
                <w:rFonts w:ascii="Arial" w:cs="Arial" w:eastAsia="Arial" w:hAnsi="Arial"/>
                <w:sz w:val="13"/>
                <w:szCs w:val="13"/>
                <w:color w:val="auto"/>
              </w:rPr>
              <w:t>1,132</w:t>
            </w:r>
          </w:p>
        </w:tc>
        <w:tc>
          <w:tcPr>
            <w:tcW w:w="680" w:type="dxa"/>
            <w:vAlign w:val="bottom"/>
            <w:shd w:val="clear" w:color="auto" w:fill="D8D8D8"/>
          </w:tcPr>
          <w:p>
            <w:pPr>
              <w:jc w:val="right"/>
              <w:ind w:right="17"/>
              <w:spacing w:after="0" w:line="135" w:lineRule="exact"/>
              <w:rPr>
                <w:sz w:val="20"/>
                <w:szCs w:val="20"/>
                <w:color w:val="auto"/>
              </w:rPr>
            </w:pPr>
            <w:r>
              <w:rPr>
                <w:rFonts w:ascii="Arial" w:cs="Arial" w:eastAsia="Arial" w:hAnsi="Arial"/>
                <w:sz w:val="13"/>
                <w:szCs w:val="13"/>
                <w:color w:val="auto"/>
              </w:rPr>
              <w:t>748</w:t>
            </w:r>
          </w:p>
        </w:tc>
        <w:tc>
          <w:tcPr>
            <w:tcW w:w="140" w:type="dxa"/>
            <w:vAlign w:val="bottom"/>
            <w:shd w:val="clear" w:color="auto" w:fill="D8D8D8"/>
          </w:tcPr>
          <w:p>
            <w:pPr>
              <w:spacing w:after="0"/>
              <w:rPr>
                <w:sz w:val="11"/>
                <w:szCs w:val="11"/>
                <w:color w:val="auto"/>
              </w:rPr>
            </w:pPr>
          </w:p>
        </w:tc>
        <w:tc>
          <w:tcPr>
            <w:tcW w:w="80" w:type="dxa"/>
            <w:vAlign w:val="bottom"/>
            <w:shd w:val="clear" w:color="auto" w:fill="D8D8D8"/>
          </w:tcPr>
          <w:p>
            <w:pPr>
              <w:spacing w:after="0"/>
              <w:rPr>
                <w:sz w:val="11"/>
                <w:szCs w:val="11"/>
                <w:color w:val="auto"/>
              </w:rPr>
            </w:pPr>
          </w:p>
        </w:tc>
        <w:tc>
          <w:tcPr>
            <w:tcW w:w="560" w:type="dxa"/>
            <w:vAlign w:val="bottom"/>
            <w:gridSpan w:val="2"/>
            <w:shd w:val="clear" w:color="auto" w:fill="D8D8D8"/>
          </w:tcPr>
          <w:p>
            <w:pPr>
              <w:jc w:val="right"/>
              <w:ind w:right="80"/>
              <w:spacing w:after="0" w:line="135" w:lineRule="exact"/>
              <w:rPr>
                <w:sz w:val="20"/>
                <w:szCs w:val="20"/>
                <w:color w:val="auto"/>
              </w:rPr>
            </w:pPr>
            <w:r>
              <w:rPr>
                <w:rFonts w:ascii="Arial" w:cs="Arial" w:eastAsia="Arial" w:hAnsi="Arial"/>
                <w:sz w:val="13"/>
                <w:szCs w:val="13"/>
                <w:color w:val="auto"/>
              </w:rPr>
              <w:t>33,094</w:t>
            </w:r>
          </w:p>
        </w:tc>
        <w:tc>
          <w:tcPr>
            <w:tcW w:w="660" w:type="dxa"/>
            <w:vAlign w:val="bottom"/>
            <w:tcBorders>
              <w:right w:val="single" w:sz="8" w:color="D8D8D8"/>
            </w:tcBorders>
            <w:shd w:val="clear" w:color="auto" w:fill="D8D8D8"/>
          </w:tcPr>
          <w:p>
            <w:pPr>
              <w:jc w:val="right"/>
              <w:ind w:right="37"/>
              <w:spacing w:after="0" w:line="135" w:lineRule="exact"/>
              <w:rPr>
                <w:sz w:val="20"/>
                <w:szCs w:val="20"/>
                <w:color w:val="auto"/>
              </w:rPr>
            </w:pPr>
            <w:r>
              <w:rPr>
                <w:rFonts w:ascii="Arial" w:cs="Arial" w:eastAsia="Arial" w:hAnsi="Arial"/>
                <w:sz w:val="13"/>
                <w:szCs w:val="13"/>
                <w:color w:val="auto"/>
              </w:rPr>
              <w:t>27,223</w:t>
            </w:r>
          </w:p>
        </w:tc>
        <w:tc>
          <w:tcPr>
            <w:tcW w:w="700" w:type="dxa"/>
            <w:vAlign w:val="bottom"/>
            <w:gridSpan w:val="4"/>
          </w:tcPr>
          <w:p>
            <w:pPr>
              <w:jc w:val="right"/>
              <w:spacing w:after="0" w:line="135" w:lineRule="exact"/>
              <w:rPr>
                <w:sz w:val="20"/>
                <w:szCs w:val="20"/>
                <w:color w:val="auto"/>
              </w:rPr>
            </w:pPr>
            <w:r>
              <w:rPr>
                <w:rFonts w:ascii="Arial" w:cs="Arial" w:eastAsia="Arial" w:hAnsi="Arial"/>
                <w:sz w:val="13"/>
                <w:szCs w:val="13"/>
                <w:color w:val="auto"/>
              </w:rPr>
              <w:t>1,259</w:t>
            </w:r>
          </w:p>
        </w:tc>
        <w:tc>
          <w:tcPr>
            <w:tcW w:w="380" w:type="dxa"/>
            <w:vAlign w:val="bottom"/>
          </w:tcPr>
          <w:p>
            <w:pPr>
              <w:spacing w:after="0"/>
              <w:rPr>
                <w:sz w:val="11"/>
                <w:szCs w:val="11"/>
                <w:color w:val="auto"/>
              </w:rPr>
            </w:pPr>
          </w:p>
        </w:tc>
        <w:tc>
          <w:tcPr>
            <w:tcW w:w="320" w:type="dxa"/>
            <w:vAlign w:val="bottom"/>
          </w:tcPr>
          <w:p>
            <w:pPr>
              <w:jc w:val="right"/>
              <w:ind w:right="17"/>
              <w:spacing w:after="0" w:line="135" w:lineRule="exact"/>
              <w:rPr>
                <w:sz w:val="20"/>
                <w:szCs w:val="20"/>
                <w:color w:val="auto"/>
              </w:rPr>
            </w:pPr>
            <w:r>
              <w:rPr>
                <w:rFonts w:ascii="Arial" w:cs="Arial" w:eastAsia="Arial" w:hAnsi="Arial"/>
                <w:sz w:val="13"/>
                <w:szCs w:val="13"/>
                <w:color w:val="auto"/>
              </w:rPr>
              <w:t>832</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gridSpan w:val="2"/>
          </w:tcPr>
          <w:p>
            <w:pPr>
              <w:jc w:val="right"/>
              <w:ind w:right="137"/>
              <w:spacing w:after="0" w:line="135" w:lineRule="exact"/>
              <w:rPr>
                <w:sz w:val="20"/>
                <w:szCs w:val="20"/>
                <w:color w:val="auto"/>
              </w:rPr>
            </w:pPr>
            <w:r>
              <w:rPr>
                <w:rFonts w:ascii="Arial" w:cs="Arial" w:eastAsia="Arial" w:hAnsi="Arial"/>
                <w:sz w:val="13"/>
                <w:szCs w:val="13"/>
                <w:color w:val="auto"/>
              </w:rPr>
              <w:t>33,307</w:t>
            </w:r>
          </w:p>
        </w:tc>
        <w:tc>
          <w:tcPr>
            <w:tcW w:w="600" w:type="dxa"/>
            <w:vAlign w:val="bottom"/>
          </w:tcPr>
          <w:p>
            <w:pPr>
              <w:jc w:val="right"/>
              <w:ind w:right="37"/>
              <w:spacing w:after="0" w:line="135" w:lineRule="exact"/>
              <w:rPr>
                <w:sz w:val="20"/>
                <w:szCs w:val="20"/>
                <w:color w:val="auto"/>
              </w:rPr>
            </w:pPr>
            <w:r>
              <w:rPr>
                <w:rFonts w:ascii="Arial" w:cs="Arial" w:eastAsia="Arial" w:hAnsi="Arial"/>
                <w:sz w:val="13"/>
                <w:szCs w:val="13"/>
                <w:color w:val="auto"/>
              </w:rPr>
              <w:t>28,677</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1,181</w:t>
            </w:r>
          </w:p>
        </w:tc>
        <w:tc>
          <w:tcPr>
            <w:tcW w:w="70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785</w:t>
            </w:r>
          </w:p>
        </w:tc>
        <w:tc>
          <w:tcPr>
            <w:tcW w:w="1220" w:type="dxa"/>
            <w:vAlign w:val="bottom"/>
            <w:gridSpan w:val="3"/>
          </w:tcPr>
          <w:p>
            <w:pPr>
              <w:jc w:val="right"/>
              <w:ind w:right="396"/>
              <w:spacing w:after="0" w:line="135" w:lineRule="exact"/>
              <w:rPr>
                <w:sz w:val="20"/>
                <w:szCs w:val="20"/>
                <w:color w:val="auto"/>
              </w:rPr>
            </w:pPr>
            <w:r>
              <w:rPr>
                <w:rFonts w:ascii="Arial" w:cs="Arial" w:eastAsia="Arial" w:hAnsi="Arial"/>
                <w:sz w:val="13"/>
                <w:szCs w:val="13"/>
                <w:color w:val="auto"/>
              </w:rPr>
              <w:t>31,086</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0" w:type="dxa"/>
            <w:vAlign w:val="bottom"/>
          </w:tcPr>
          <w:p>
            <w:pPr>
              <w:jc w:val="right"/>
              <w:ind w:right="37"/>
              <w:spacing w:after="0" w:line="135" w:lineRule="exact"/>
              <w:rPr>
                <w:sz w:val="20"/>
                <w:szCs w:val="20"/>
                <w:color w:val="auto"/>
              </w:rPr>
            </w:pPr>
            <w:r>
              <w:rPr>
                <w:rFonts w:ascii="Arial" w:cs="Arial" w:eastAsia="Arial" w:hAnsi="Arial"/>
                <w:sz w:val="13"/>
                <w:szCs w:val="13"/>
                <w:color w:val="auto"/>
              </w:rPr>
              <w:t>25,117</w:t>
            </w:r>
          </w:p>
        </w:tc>
      </w:tr>
      <w:tr>
        <w:trPr>
          <w:trHeight w:val="155"/>
        </w:trPr>
        <w:tc>
          <w:tcPr>
            <w:tcW w:w="1920" w:type="dxa"/>
            <w:vAlign w:val="bottom"/>
            <w:gridSpan w:val="2"/>
          </w:tcPr>
          <w:p>
            <w:pPr>
              <w:spacing w:after="0"/>
              <w:rPr>
                <w:sz w:val="20"/>
                <w:szCs w:val="20"/>
                <w:color w:val="auto"/>
              </w:rPr>
            </w:pPr>
            <w:r>
              <w:rPr>
                <w:rFonts w:ascii="Arial" w:cs="Arial" w:eastAsia="Arial" w:hAnsi="Arial"/>
                <w:sz w:val="13"/>
                <w:szCs w:val="13"/>
                <w:color w:val="auto"/>
              </w:rPr>
              <w:t>South America</w:t>
            </w:r>
          </w:p>
        </w:tc>
        <w:tc>
          <w:tcPr>
            <w:tcW w:w="540" w:type="dxa"/>
            <w:vAlign w:val="bottom"/>
            <w:shd w:val="clear" w:color="auto" w:fill="D8D8D8"/>
          </w:tcPr>
          <w:p>
            <w:pPr>
              <w:jc w:val="right"/>
              <w:spacing w:after="0"/>
              <w:rPr>
                <w:sz w:val="20"/>
                <w:szCs w:val="20"/>
                <w:color w:val="auto"/>
              </w:rPr>
            </w:pPr>
            <w:r>
              <w:rPr>
                <w:rFonts w:ascii="Arial" w:cs="Arial" w:eastAsia="Arial" w:hAnsi="Arial"/>
                <w:sz w:val="13"/>
                <w:szCs w:val="13"/>
                <w:color w:val="auto"/>
              </w:rPr>
              <w:t>100</w:t>
            </w:r>
          </w:p>
        </w:tc>
        <w:tc>
          <w:tcPr>
            <w:tcW w:w="680" w:type="dxa"/>
            <w:vAlign w:val="bottom"/>
            <w:shd w:val="clear" w:color="auto" w:fill="D8D8D8"/>
          </w:tcPr>
          <w:p>
            <w:pPr>
              <w:jc w:val="right"/>
              <w:ind w:right="17"/>
              <w:spacing w:after="0"/>
              <w:rPr>
                <w:sz w:val="20"/>
                <w:szCs w:val="20"/>
                <w:color w:val="auto"/>
              </w:rPr>
            </w:pPr>
            <w:r>
              <w:rPr>
                <w:rFonts w:ascii="Arial" w:cs="Arial" w:eastAsia="Arial" w:hAnsi="Arial"/>
                <w:sz w:val="13"/>
                <w:szCs w:val="13"/>
                <w:color w:val="auto"/>
              </w:rPr>
              <w:t>52</w:t>
            </w:r>
          </w:p>
        </w:tc>
        <w:tc>
          <w:tcPr>
            <w:tcW w:w="140" w:type="dxa"/>
            <w:vAlign w:val="bottom"/>
            <w:shd w:val="clear" w:color="auto" w:fill="D8D8D8"/>
          </w:tcPr>
          <w:p>
            <w:pPr>
              <w:spacing w:after="0"/>
              <w:rPr>
                <w:sz w:val="13"/>
                <w:szCs w:val="13"/>
                <w:color w:val="auto"/>
              </w:rPr>
            </w:pPr>
          </w:p>
        </w:tc>
        <w:tc>
          <w:tcPr>
            <w:tcW w:w="80" w:type="dxa"/>
            <w:vAlign w:val="bottom"/>
            <w:shd w:val="clear" w:color="auto" w:fill="D8D8D8"/>
          </w:tcPr>
          <w:p>
            <w:pPr>
              <w:spacing w:after="0"/>
              <w:rPr>
                <w:sz w:val="13"/>
                <w:szCs w:val="13"/>
                <w:color w:val="auto"/>
              </w:rPr>
            </w:pPr>
          </w:p>
        </w:tc>
        <w:tc>
          <w:tcPr>
            <w:tcW w:w="560" w:type="dxa"/>
            <w:vAlign w:val="bottom"/>
            <w:gridSpan w:val="2"/>
            <w:shd w:val="clear" w:color="auto" w:fill="D8D8D8"/>
          </w:tcPr>
          <w:p>
            <w:pPr>
              <w:jc w:val="right"/>
              <w:ind w:right="80"/>
              <w:spacing w:after="0"/>
              <w:rPr>
                <w:sz w:val="20"/>
                <w:szCs w:val="20"/>
                <w:color w:val="auto"/>
              </w:rPr>
            </w:pPr>
            <w:r>
              <w:rPr>
                <w:rFonts w:ascii="Arial" w:cs="Arial" w:eastAsia="Arial" w:hAnsi="Arial"/>
                <w:sz w:val="13"/>
                <w:szCs w:val="13"/>
                <w:color w:val="auto"/>
              </w:rPr>
              <w:t>8,637</w:t>
            </w:r>
          </w:p>
        </w:tc>
        <w:tc>
          <w:tcPr>
            <w:tcW w:w="660" w:type="dxa"/>
            <w:vAlign w:val="bottom"/>
            <w:tcBorders>
              <w:right w:val="single" w:sz="8" w:color="D8D8D8"/>
            </w:tcBorders>
            <w:shd w:val="clear" w:color="auto" w:fill="D8D8D8"/>
          </w:tcPr>
          <w:p>
            <w:pPr>
              <w:jc w:val="right"/>
              <w:ind w:right="37"/>
              <w:spacing w:after="0"/>
              <w:rPr>
                <w:sz w:val="20"/>
                <w:szCs w:val="20"/>
                <w:color w:val="auto"/>
              </w:rPr>
            </w:pPr>
            <w:r>
              <w:rPr>
                <w:rFonts w:ascii="Arial" w:cs="Arial" w:eastAsia="Arial" w:hAnsi="Arial"/>
                <w:sz w:val="13"/>
                <w:szCs w:val="13"/>
                <w:color w:val="auto"/>
              </w:rPr>
              <w:t>4,081</w:t>
            </w:r>
          </w:p>
        </w:tc>
        <w:tc>
          <w:tcPr>
            <w:tcW w:w="700" w:type="dxa"/>
            <w:vAlign w:val="bottom"/>
            <w:gridSpan w:val="4"/>
          </w:tcPr>
          <w:p>
            <w:pPr>
              <w:jc w:val="right"/>
              <w:spacing w:after="0"/>
              <w:rPr>
                <w:sz w:val="20"/>
                <w:szCs w:val="20"/>
                <w:color w:val="auto"/>
              </w:rPr>
            </w:pPr>
            <w:r>
              <w:rPr>
                <w:rFonts w:ascii="Arial" w:cs="Arial" w:eastAsia="Arial" w:hAnsi="Arial"/>
                <w:sz w:val="13"/>
                <w:szCs w:val="13"/>
                <w:color w:val="auto"/>
              </w:rPr>
              <w:t>162</w:t>
            </w:r>
          </w:p>
        </w:tc>
        <w:tc>
          <w:tcPr>
            <w:tcW w:w="380" w:type="dxa"/>
            <w:vAlign w:val="bottom"/>
          </w:tcPr>
          <w:p>
            <w:pPr>
              <w:spacing w:after="0"/>
              <w:rPr>
                <w:sz w:val="13"/>
                <w:szCs w:val="13"/>
                <w:color w:val="auto"/>
              </w:rPr>
            </w:pPr>
          </w:p>
        </w:tc>
        <w:tc>
          <w:tcPr>
            <w:tcW w:w="320" w:type="dxa"/>
            <w:vAlign w:val="bottom"/>
          </w:tcPr>
          <w:p>
            <w:pPr>
              <w:jc w:val="right"/>
              <w:ind w:right="17"/>
              <w:spacing w:after="0"/>
              <w:rPr>
                <w:sz w:val="20"/>
                <w:szCs w:val="20"/>
                <w:color w:val="auto"/>
              </w:rPr>
            </w:pPr>
            <w:r>
              <w:rPr>
                <w:rFonts w:ascii="Arial" w:cs="Arial" w:eastAsia="Arial" w:hAnsi="Arial"/>
                <w:sz w:val="13"/>
                <w:szCs w:val="13"/>
                <w:color w:val="auto"/>
              </w:rPr>
              <w:t>89</w:t>
            </w: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gridSpan w:val="2"/>
          </w:tcPr>
          <w:p>
            <w:pPr>
              <w:jc w:val="right"/>
              <w:ind w:right="137"/>
              <w:spacing w:after="0"/>
              <w:rPr>
                <w:sz w:val="20"/>
                <w:szCs w:val="20"/>
                <w:color w:val="auto"/>
              </w:rPr>
            </w:pPr>
            <w:r>
              <w:rPr>
                <w:rFonts w:ascii="Arial" w:cs="Arial" w:eastAsia="Arial" w:hAnsi="Arial"/>
                <w:sz w:val="13"/>
                <w:szCs w:val="13"/>
                <w:color w:val="auto"/>
              </w:rPr>
              <w:t>15,116</w:t>
            </w:r>
          </w:p>
        </w:tc>
        <w:tc>
          <w:tcPr>
            <w:tcW w:w="600" w:type="dxa"/>
            <w:vAlign w:val="bottom"/>
          </w:tcPr>
          <w:p>
            <w:pPr>
              <w:jc w:val="right"/>
              <w:ind w:right="37"/>
              <w:spacing w:after="0"/>
              <w:rPr>
                <w:sz w:val="20"/>
                <w:szCs w:val="20"/>
                <w:color w:val="auto"/>
              </w:rPr>
            </w:pPr>
            <w:r>
              <w:rPr>
                <w:rFonts w:ascii="Arial" w:cs="Arial" w:eastAsia="Arial" w:hAnsi="Arial"/>
                <w:sz w:val="13"/>
                <w:szCs w:val="13"/>
                <w:color w:val="auto"/>
              </w:rPr>
              <w:t>7,210</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gridSpan w:val="2"/>
          </w:tcPr>
          <w:p>
            <w:pPr>
              <w:jc w:val="right"/>
              <w:spacing w:after="0"/>
              <w:rPr>
                <w:sz w:val="20"/>
                <w:szCs w:val="20"/>
                <w:color w:val="auto"/>
              </w:rPr>
            </w:pPr>
            <w:r>
              <w:rPr>
                <w:rFonts w:ascii="Arial" w:cs="Arial" w:eastAsia="Arial" w:hAnsi="Arial"/>
                <w:sz w:val="13"/>
                <w:szCs w:val="13"/>
                <w:color w:val="auto"/>
              </w:rPr>
              <w:t>162</w:t>
            </w:r>
          </w:p>
        </w:tc>
        <w:tc>
          <w:tcPr>
            <w:tcW w:w="700" w:type="dxa"/>
            <w:vAlign w:val="bottom"/>
            <w:gridSpan w:val="2"/>
          </w:tcPr>
          <w:p>
            <w:pPr>
              <w:jc w:val="right"/>
              <w:ind w:right="80"/>
              <w:spacing w:after="0"/>
              <w:rPr>
                <w:sz w:val="20"/>
                <w:szCs w:val="20"/>
                <w:color w:val="auto"/>
              </w:rPr>
            </w:pPr>
            <w:r>
              <w:rPr>
                <w:rFonts w:ascii="Arial" w:cs="Arial" w:eastAsia="Arial" w:hAnsi="Arial"/>
                <w:sz w:val="13"/>
                <w:szCs w:val="13"/>
                <w:color w:val="auto"/>
              </w:rPr>
              <w:t>76</w:t>
            </w:r>
          </w:p>
        </w:tc>
        <w:tc>
          <w:tcPr>
            <w:tcW w:w="1220" w:type="dxa"/>
            <w:vAlign w:val="bottom"/>
            <w:gridSpan w:val="3"/>
          </w:tcPr>
          <w:p>
            <w:pPr>
              <w:jc w:val="right"/>
              <w:ind w:right="396"/>
              <w:spacing w:after="0"/>
              <w:rPr>
                <w:sz w:val="20"/>
                <w:szCs w:val="20"/>
                <w:color w:val="auto"/>
              </w:rPr>
            </w:pPr>
            <w:r>
              <w:rPr>
                <w:rFonts w:ascii="Arial" w:cs="Arial" w:eastAsia="Arial" w:hAnsi="Arial"/>
                <w:sz w:val="13"/>
                <w:szCs w:val="13"/>
                <w:color w:val="auto"/>
              </w:rPr>
              <w:t>17,242</w:t>
            </w:r>
          </w:p>
        </w:tc>
        <w:tc>
          <w:tcPr>
            <w:tcW w:w="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0" w:type="dxa"/>
            <w:vAlign w:val="bottom"/>
          </w:tcPr>
          <w:p>
            <w:pPr>
              <w:jc w:val="right"/>
              <w:ind w:right="37"/>
              <w:spacing w:after="0"/>
              <w:rPr>
                <w:sz w:val="20"/>
                <w:szCs w:val="20"/>
                <w:color w:val="auto"/>
              </w:rPr>
            </w:pPr>
            <w:r>
              <w:rPr>
                <w:rFonts w:ascii="Arial" w:cs="Arial" w:eastAsia="Arial" w:hAnsi="Arial"/>
                <w:sz w:val="13"/>
                <w:szCs w:val="13"/>
                <w:color w:val="auto"/>
              </w:rPr>
              <w:t>9,668</w:t>
            </w:r>
          </w:p>
        </w:tc>
      </w:tr>
      <w:tr>
        <w:trPr>
          <w:trHeight w:val="142"/>
        </w:trPr>
        <w:tc>
          <w:tcPr>
            <w:tcW w:w="20" w:type="dxa"/>
            <w:vAlign w:val="bottom"/>
          </w:tcPr>
          <w:p>
            <w:pPr>
              <w:spacing w:after="0"/>
              <w:rPr>
                <w:sz w:val="12"/>
                <w:szCs w:val="12"/>
                <w:color w:val="auto"/>
              </w:rPr>
            </w:pPr>
          </w:p>
        </w:tc>
        <w:tc>
          <w:tcPr>
            <w:tcW w:w="1900" w:type="dxa"/>
            <w:vAlign w:val="bottom"/>
            <w:tcBorders>
              <w:top w:val="single" w:sz="8" w:color="auto"/>
              <w:bottom w:val="single" w:sz="8" w:color="auto"/>
            </w:tcBorders>
          </w:tcPr>
          <w:p>
            <w:pPr>
              <w:spacing w:after="0" w:line="143" w:lineRule="exact"/>
              <w:rPr>
                <w:sz w:val="20"/>
                <w:szCs w:val="20"/>
                <w:color w:val="auto"/>
              </w:rPr>
            </w:pPr>
            <w:r>
              <w:rPr>
                <w:rFonts w:ascii="Arial" w:cs="Arial" w:eastAsia="Arial" w:hAnsi="Arial"/>
                <w:sz w:val="13"/>
                <w:szCs w:val="13"/>
                <w:color w:val="auto"/>
              </w:rPr>
              <w:t>Total</w:t>
            </w:r>
          </w:p>
        </w:tc>
        <w:tc>
          <w:tcPr>
            <w:tcW w:w="540" w:type="dxa"/>
            <w:vAlign w:val="bottom"/>
            <w:tcBorders>
              <w:top w:val="single" w:sz="8" w:color="auto"/>
              <w:bottom w:val="single" w:sz="8" w:color="auto"/>
            </w:tcBorders>
            <w:shd w:val="clear" w:color="auto" w:fill="D8D8D8"/>
          </w:tcPr>
          <w:p>
            <w:pPr>
              <w:jc w:val="right"/>
              <w:spacing w:after="0" w:line="143" w:lineRule="exact"/>
              <w:rPr>
                <w:sz w:val="20"/>
                <w:szCs w:val="20"/>
                <w:color w:val="auto"/>
              </w:rPr>
            </w:pPr>
            <w:r>
              <w:rPr>
                <w:rFonts w:ascii="Arial" w:cs="Arial" w:eastAsia="Arial" w:hAnsi="Arial"/>
                <w:sz w:val="13"/>
                <w:szCs w:val="13"/>
                <w:color w:val="auto"/>
              </w:rPr>
              <w:t>45,025</w:t>
            </w:r>
          </w:p>
        </w:tc>
        <w:tc>
          <w:tcPr>
            <w:tcW w:w="680" w:type="dxa"/>
            <w:vAlign w:val="bottom"/>
            <w:tcBorders>
              <w:top w:val="single" w:sz="8" w:color="auto"/>
              <w:bottom w:val="single" w:sz="8" w:color="auto"/>
            </w:tcBorders>
            <w:shd w:val="clear" w:color="auto" w:fill="D8D8D8"/>
          </w:tcPr>
          <w:p>
            <w:pPr>
              <w:jc w:val="right"/>
              <w:ind w:right="17"/>
              <w:spacing w:after="0" w:line="143" w:lineRule="exact"/>
              <w:rPr>
                <w:sz w:val="20"/>
                <w:szCs w:val="20"/>
                <w:color w:val="auto"/>
              </w:rPr>
            </w:pPr>
            <w:r>
              <w:rPr>
                <w:rFonts w:ascii="Arial" w:cs="Arial" w:eastAsia="Arial" w:hAnsi="Arial"/>
                <w:sz w:val="13"/>
                <w:szCs w:val="13"/>
                <w:color w:val="auto"/>
              </w:rPr>
              <w:t>16,541</w:t>
            </w:r>
          </w:p>
        </w:tc>
        <w:tc>
          <w:tcPr>
            <w:tcW w:w="140" w:type="dxa"/>
            <w:vAlign w:val="bottom"/>
            <w:tcBorders>
              <w:top w:val="single" w:sz="8" w:color="auto"/>
              <w:bottom w:val="single" w:sz="8" w:color="auto"/>
            </w:tcBorders>
            <w:shd w:val="clear" w:color="auto" w:fill="D8D8D8"/>
          </w:tcPr>
          <w:p>
            <w:pPr>
              <w:spacing w:after="0"/>
              <w:rPr>
                <w:sz w:val="12"/>
                <w:szCs w:val="12"/>
                <w:color w:val="auto"/>
              </w:rPr>
            </w:pPr>
          </w:p>
        </w:tc>
        <w:tc>
          <w:tcPr>
            <w:tcW w:w="80" w:type="dxa"/>
            <w:vAlign w:val="bottom"/>
            <w:tcBorders>
              <w:top w:val="single" w:sz="8" w:color="auto"/>
              <w:bottom w:val="single" w:sz="8" w:color="auto"/>
            </w:tcBorders>
            <w:shd w:val="clear" w:color="auto" w:fill="D8D8D8"/>
          </w:tcPr>
          <w:p>
            <w:pPr>
              <w:spacing w:after="0"/>
              <w:rPr>
                <w:sz w:val="12"/>
                <w:szCs w:val="12"/>
                <w:color w:val="auto"/>
              </w:rPr>
            </w:pPr>
          </w:p>
        </w:tc>
        <w:tc>
          <w:tcPr>
            <w:tcW w:w="480" w:type="dxa"/>
            <w:vAlign w:val="bottom"/>
            <w:tcBorders>
              <w:top w:val="single" w:sz="8" w:color="auto"/>
              <w:bottom w:val="single" w:sz="8" w:color="auto"/>
            </w:tcBorders>
            <w:shd w:val="clear" w:color="auto" w:fill="D8D8D8"/>
          </w:tcPr>
          <w:p>
            <w:pPr>
              <w:jc w:val="right"/>
              <w:spacing w:after="0" w:line="143" w:lineRule="exact"/>
              <w:rPr>
                <w:sz w:val="20"/>
                <w:szCs w:val="20"/>
                <w:color w:val="auto"/>
              </w:rPr>
            </w:pPr>
            <w:r>
              <w:rPr>
                <w:rFonts w:ascii="Arial" w:cs="Arial" w:eastAsia="Arial" w:hAnsi="Arial"/>
                <w:sz w:val="13"/>
                <w:szCs w:val="13"/>
                <w:color w:val="auto"/>
                <w:w w:val="97"/>
              </w:rPr>
              <w:t>221,750</w:t>
            </w:r>
          </w:p>
        </w:tc>
        <w:tc>
          <w:tcPr>
            <w:tcW w:w="80" w:type="dxa"/>
            <w:vAlign w:val="bottom"/>
            <w:tcBorders>
              <w:top w:val="single" w:sz="8" w:color="auto"/>
              <w:bottom w:val="single" w:sz="8" w:color="auto"/>
            </w:tcBorders>
            <w:shd w:val="clear" w:color="auto" w:fill="D8D8D8"/>
          </w:tcPr>
          <w:p>
            <w:pPr>
              <w:spacing w:after="0"/>
              <w:rPr>
                <w:sz w:val="12"/>
                <w:szCs w:val="12"/>
                <w:color w:val="auto"/>
              </w:rPr>
            </w:pPr>
          </w:p>
        </w:tc>
        <w:tc>
          <w:tcPr>
            <w:tcW w:w="660" w:type="dxa"/>
            <w:vAlign w:val="bottom"/>
            <w:tcBorders>
              <w:top w:val="single" w:sz="8" w:color="auto"/>
              <w:bottom w:val="single" w:sz="8" w:color="auto"/>
              <w:right w:val="single" w:sz="8" w:color="D8D8D8"/>
            </w:tcBorders>
            <w:shd w:val="clear" w:color="auto" w:fill="D8D8D8"/>
          </w:tcPr>
          <w:p>
            <w:pPr>
              <w:jc w:val="right"/>
              <w:ind w:right="37"/>
              <w:spacing w:after="0" w:line="143" w:lineRule="exact"/>
              <w:rPr>
                <w:sz w:val="20"/>
                <w:szCs w:val="20"/>
                <w:color w:val="auto"/>
              </w:rPr>
            </w:pPr>
            <w:r>
              <w:rPr>
                <w:rFonts w:ascii="Arial" w:cs="Arial" w:eastAsia="Arial" w:hAnsi="Arial"/>
                <w:sz w:val="13"/>
                <w:szCs w:val="13"/>
                <w:color w:val="auto"/>
              </w:rPr>
              <w:t>122,470</w:t>
            </w:r>
          </w:p>
        </w:tc>
        <w:tc>
          <w:tcPr>
            <w:tcW w:w="700" w:type="dxa"/>
            <w:vAlign w:val="bottom"/>
            <w:tcBorders>
              <w:top w:val="single" w:sz="8" w:color="auto"/>
              <w:bottom w:val="single" w:sz="8" w:color="auto"/>
            </w:tcBorders>
            <w:gridSpan w:val="4"/>
          </w:tcPr>
          <w:p>
            <w:pPr>
              <w:jc w:val="right"/>
              <w:spacing w:after="0" w:line="143" w:lineRule="exact"/>
              <w:rPr>
                <w:sz w:val="20"/>
                <w:szCs w:val="20"/>
                <w:color w:val="auto"/>
              </w:rPr>
            </w:pPr>
            <w:r>
              <w:rPr>
                <w:rFonts w:ascii="Arial" w:cs="Arial" w:eastAsia="Arial" w:hAnsi="Arial"/>
                <w:sz w:val="13"/>
                <w:szCs w:val="13"/>
                <w:color w:val="auto"/>
              </w:rPr>
              <w:t>46,161</w:t>
            </w:r>
          </w:p>
        </w:tc>
        <w:tc>
          <w:tcPr>
            <w:tcW w:w="700" w:type="dxa"/>
            <w:vAlign w:val="bottom"/>
            <w:tcBorders>
              <w:top w:val="single" w:sz="8" w:color="auto"/>
              <w:bottom w:val="single" w:sz="8" w:color="auto"/>
            </w:tcBorders>
            <w:gridSpan w:val="2"/>
          </w:tcPr>
          <w:p>
            <w:pPr>
              <w:jc w:val="right"/>
              <w:ind w:right="17"/>
              <w:spacing w:after="0" w:line="143" w:lineRule="exact"/>
              <w:rPr>
                <w:sz w:val="20"/>
                <w:szCs w:val="20"/>
                <w:color w:val="auto"/>
              </w:rPr>
            </w:pPr>
            <w:r>
              <w:rPr>
                <w:rFonts w:ascii="Arial" w:cs="Arial" w:eastAsia="Arial" w:hAnsi="Arial"/>
                <w:sz w:val="13"/>
                <w:szCs w:val="13"/>
                <w:color w:val="auto"/>
              </w:rPr>
              <w:t>16,818</w:t>
            </w:r>
          </w:p>
        </w:tc>
        <w:tc>
          <w:tcPr>
            <w:tcW w:w="140" w:type="dxa"/>
            <w:vAlign w:val="bottom"/>
            <w:tcBorders>
              <w:top w:val="single" w:sz="8" w:color="auto"/>
              <w:bottom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gridSpan w:val="2"/>
          </w:tcPr>
          <w:p>
            <w:pPr>
              <w:jc w:val="right"/>
              <w:ind w:right="137"/>
              <w:spacing w:after="0" w:line="143" w:lineRule="exact"/>
              <w:rPr>
                <w:sz w:val="20"/>
                <w:szCs w:val="20"/>
                <w:color w:val="auto"/>
              </w:rPr>
            </w:pPr>
            <w:r>
              <w:rPr>
                <w:rFonts w:ascii="Arial" w:cs="Arial" w:eastAsia="Arial" w:hAnsi="Arial"/>
                <w:sz w:val="13"/>
                <w:szCs w:val="13"/>
                <w:color w:val="auto"/>
              </w:rPr>
              <w:t>241,072</w:t>
            </w:r>
          </w:p>
        </w:tc>
        <w:tc>
          <w:tcPr>
            <w:tcW w:w="600" w:type="dxa"/>
            <w:vAlign w:val="bottom"/>
            <w:tcBorders>
              <w:top w:val="single" w:sz="8" w:color="auto"/>
              <w:bottom w:val="single" w:sz="8" w:color="auto"/>
            </w:tcBorders>
          </w:tcPr>
          <w:p>
            <w:pPr>
              <w:jc w:val="right"/>
              <w:ind w:right="37"/>
              <w:spacing w:after="0" w:line="143" w:lineRule="exact"/>
              <w:rPr>
                <w:sz w:val="20"/>
                <w:szCs w:val="20"/>
                <w:color w:val="auto"/>
              </w:rPr>
            </w:pPr>
            <w:r>
              <w:rPr>
                <w:rFonts w:ascii="Arial" w:cs="Arial" w:eastAsia="Arial" w:hAnsi="Arial"/>
                <w:sz w:val="13"/>
                <w:szCs w:val="13"/>
                <w:color w:val="auto"/>
              </w:rPr>
              <w:t>130,880</w:t>
            </w:r>
          </w:p>
        </w:tc>
        <w:tc>
          <w:tcPr>
            <w:tcW w:w="6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gridSpan w:val="2"/>
          </w:tcPr>
          <w:p>
            <w:pPr>
              <w:jc w:val="right"/>
              <w:spacing w:after="0" w:line="143" w:lineRule="exact"/>
              <w:rPr>
                <w:sz w:val="20"/>
                <w:szCs w:val="20"/>
                <w:color w:val="auto"/>
              </w:rPr>
            </w:pPr>
            <w:r>
              <w:rPr>
                <w:rFonts w:ascii="Arial" w:cs="Arial" w:eastAsia="Arial" w:hAnsi="Arial"/>
                <w:sz w:val="13"/>
                <w:szCs w:val="13"/>
                <w:color w:val="auto"/>
              </w:rPr>
              <w:t>46,391</w:t>
            </w:r>
          </w:p>
        </w:tc>
        <w:tc>
          <w:tcPr>
            <w:tcW w:w="700" w:type="dxa"/>
            <w:vAlign w:val="bottom"/>
            <w:tcBorders>
              <w:top w:val="single" w:sz="8" w:color="auto"/>
              <w:bottom w:val="single" w:sz="8" w:color="auto"/>
            </w:tcBorders>
            <w:gridSpan w:val="2"/>
          </w:tcPr>
          <w:p>
            <w:pPr>
              <w:jc w:val="right"/>
              <w:ind w:right="80"/>
              <w:spacing w:after="0" w:line="143" w:lineRule="exact"/>
              <w:rPr>
                <w:sz w:val="20"/>
                <w:szCs w:val="20"/>
                <w:color w:val="auto"/>
              </w:rPr>
            </w:pPr>
            <w:r>
              <w:rPr>
                <w:rFonts w:ascii="Arial" w:cs="Arial" w:eastAsia="Arial" w:hAnsi="Arial"/>
                <w:sz w:val="13"/>
                <w:szCs w:val="13"/>
                <w:color w:val="auto"/>
              </w:rPr>
              <w:t>16,862</w:t>
            </w:r>
          </w:p>
        </w:tc>
        <w:tc>
          <w:tcPr>
            <w:tcW w:w="1220" w:type="dxa"/>
            <w:vAlign w:val="bottom"/>
            <w:tcBorders>
              <w:top w:val="single" w:sz="8" w:color="auto"/>
              <w:bottom w:val="single" w:sz="8" w:color="auto"/>
            </w:tcBorders>
            <w:gridSpan w:val="3"/>
          </w:tcPr>
          <w:p>
            <w:pPr>
              <w:jc w:val="right"/>
              <w:ind w:right="396"/>
              <w:spacing w:after="0" w:line="143" w:lineRule="exact"/>
              <w:rPr>
                <w:sz w:val="20"/>
                <w:szCs w:val="20"/>
                <w:color w:val="auto"/>
              </w:rPr>
            </w:pPr>
            <w:r>
              <w:rPr>
                <w:rFonts w:ascii="Arial" w:cs="Arial" w:eastAsia="Arial" w:hAnsi="Arial"/>
                <w:sz w:val="13"/>
                <w:szCs w:val="13"/>
                <w:color w:val="auto"/>
              </w:rPr>
              <w:t>237,493</w:t>
            </w:r>
          </w:p>
        </w:tc>
        <w:tc>
          <w:tcPr>
            <w:tcW w:w="140" w:type="dxa"/>
            <w:vAlign w:val="bottom"/>
            <w:tcBorders>
              <w:top w:val="single" w:sz="8" w:color="auto"/>
              <w:bottom w:val="single" w:sz="8" w:color="auto"/>
            </w:tcBorders>
          </w:tcPr>
          <w:p>
            <w:pPr>
              <w:spacing w:after="0"/>
              <w:rPr>
                <w:sz w:val="12"/>
                <w:szCs w:val="12"/>
                <w:color w:val="auto"/>
              </w:rPr>
            </w:pPr>
          </w:p>
        </w:tc>
        <w:tc>
          <w:tcPr>
            <w:tcW w:w="52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37"/>
              <w:spacing w:after="0" w:line="143" w:lineRule="exact"/>
              <w:rPr>
                <w:sz w:val="20"/>
                <w:szCs w:val="20"/>
                <w:color w:val="auto"/>
              </w:rPr>
            </w:pPr>
            <w:r>
              <w:rPr>
                <w:rFonts w:ascii="Arial" w:cs="Arial" w:eastAsia="Arial" w:hAnsi="Arial"/>
                <w:sz w:val="13"/>
                <w:szCs w:val="13"/>
                <w:color w:val="auto"/>
              </w:rPr>
              <w:t>129,960</w:t>
            </w:r>
          </w:p>
        </w:tc>
      </w:tr>
      <w:tr>
        <w:trPr>
          <w:trHeight w:val="161"/>
        </w:trPr>
        <w:tc>
          <w:tcPr>
            <w:tcW w:w="1920" w:type="dxa"/>
            <w:vAlign w:val="bottom"/>
            <w:gridSpan w:val="2"/>
          </w:tcPr>
          <w:p>
            <w:pPr>
              <w:spacing w:after="0"/>
              <w:rPr>
                <w:sz w:val="20"/>
                <w:szCs w:val="20"/>
                <w:color w:val="auto"/>
              </w:rPr>
            </w:pPr>
            <w:r>
              <w:rPr>
                <w:rFonts w:ascii="Arial" w:cs="Arial" w:eastAsia="Arial" w:hAnsi="Arial"/>
                <w:sz w:val="11"/>
                <w:szCs w:val="11"/>
                <w:color w:val="auto"/>
              </w:rPr>
              <w:t>[A] Includes Greenland.</w:t>
            </w: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0" w:type="dxa"/>
            <w:vAlign w:val="bottom"/>
          </w:tcPr>
          <w:p>
            <w:pPr>
              <w:spacing w:after="0"/>
              <w:rPr>
                <w:sz w:val="13"/>
                <w:szCs w:val="13"/>
                <w:color w:val="auto"/>
              </w:rPr>
            </w:pPr>
          </w:p>
        </w:tc>
      </w:tr>
      <w:tr>
        <w:trPr>
          <w:trHeight w:val="211"/>
        </w:trPr>
        <w:tc>
          <w:tcPr>
            <w:tcW w:w="20" w:type="dxa"/>
            <w:vAlign w:val="bottom"/>
          </w:tcPr>
          <w:p>
            <w:pPr>
              <w:spacing w:after="0"/>
              <w:rPr>
                <w:sz w:val="18"/>
                <w:szCs w:val="18"/>
                <w:color w:val="auto"/>
              </w:rPr>
            </w:pPr>
          </w:p>
        </w:tc>
        <w:tc>
          <w:tcPr>
            <w:tcW w:w="3820" w:type="dxa"/>
            <w:vAlign w:val="bottom"/>
            <w:gridSpan w:val="6"/>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0" w:type="dxa"/>
            <w:vAlign w:val="bottom"/>
          </w:tcPr>
          <w:p>
            <w:pPr>
              <w:spacing w:after="0"/>
              <w:rPr>
                <w:sz w:val="18"/>
                <w:szCs w:val="18"/>
                <w:color w:val="auto"/>
              </w:rPr>
            </w:pPr>
          </w:p>
        </w:tc>
      </w:tr>
      <w:tr>
        <w:trPr>
          <w:trHeight w:val="162"/>
        </w:trPr>
        <w:tc>
          <w:tcPr>
            <w:tcW w:w="20" w:type="dxa"/>
            <w:vAlign w:val="bottom"/>
          </w:tcPr>
          <w:p>
            <w:pPr>
              <w:spacing w:after="0"/>
              <w:rPr>
                <w:sz w:val="14"/>
                <w:szCs w:val="14"/>
                <w:color w:val="auto"/>
              </w:rPr>
            </w:pPr>
          </w:p>
        </w:tc>
        <w:tc>
          <w:tcPr>
            <w:tcW w:w="4560" w:type="dxa"/>
            <w:vAlign w:val="bottom"/>
            <w:tcBorders>
              <w:right w:val="single" w:sz="8" w:color="333333"/>
            </w:tcBorders>
            <w:gridSpan w:val="8"/>
            <w:shd w:val="clear" w:color="auto" w:fill="333333"/>
          </w:tcPr>
          <w:p>
            <w:pPr>
              <w:ind w:left="60"/>
              <w:spacing w:after="0" w:line="162" w:lineRule="exact"/>
              <w:rPr>
                <w:sz w:val="20"/>
                <w:szCs w:val="20"/>
                <w:color w:val="auto"/>
              </w:rPr>
            </w:pPr>
            <w:r>
              <w:rPr>
                <w:rFonts w:ascii="Arial" w:cs="Arial" w:eastAsia="Arial" w:hAnsi="Arial"/>
                <w:sz w:val="15"/>
                <w:szCs w:val="15"/>
                <w:b w:val="1"/>
                <w:bCs w:val="1"/>
                <w:color w:val="FFFFFF"/>
              </w:rPr>
              <w:t xml:space="preserve">NUMBER OF PRODUCTIVE WELLS </w:t>
            </w:r>
            <w:r>
              <w:rPr>
                <w:rFonts w:ascii="Arial" w:cs="Arial" w:eastAsia="Arial" w:hAnsi="Arial"/>
                <w:sz w:val="15"/>
                <w:szCs w:val="15"/>
                <w:color w:val="FFFFFF"/>
              </w:rPr>
              <w:t>[A] (AT DECEMBER 31)</w:t>
            </w:r>
          </w:p>
        </w:tc>
        <w:tc>
          <w:tcPr>
            <w:tcW w:w="160" w:type="dxa"/>
            <w:vAlign w:val="bottom"/>
            <w:shd w:val="clear" w:color="auto" w:fill="333333"/>
          </w:tcPr>
          <w:p>
            <w:pPr>
              <w:spacing w:after="0"/>
              <w:rPr>
                <w:sz w:val="14"/>
                <w:szCs w:val="14"/>
                <w:color w:val="auto"/>
              </w:rPr>
            </w:pPr>
          </w:p>
        </w:tc>
        <w:tc>
          <w:tcPr>
            <w:tcW w:w="300" w:type="dxa"/>
            <w:vAlign w:val="bottom"/>
            <w:shd w:val="clear" w:color="auto" w:fill="333333"/>
          </w:tcPr>
          <w:p>
            <w:pPr>
              <w:spacing w:after="0"/>
              <w:rPr>
                <w:sz w:val="14"/>
                <w:szCs w:val="14"/>
                <w:color w:val="auto"/>
              </w:rPr>
            </w:pPr>
          </w:p>
        </w:tc>
        <w:tc>
          <w:tcPr>
            <w:tcW w:w="140" w:type="dxa"/>
            <w:vAlign w:val="bottom"/>
            <w:shd w:val="clear" w:color="auto" w:fill="333333"/>
          </w:tcPr>
          <w:p>
            <w:pPr>
              <w:spacing w:after="0"/>
              <w:rPr>
                <w:sz w:val="14"/>
                <w:szCs w:val="14"/>
                <w:color w:val="auto"/>
              </w:rPr>
            </w:pPr>
          </w:p>
        </w:tc>
        <w:tc>
          <w:tcPr>
            <w:tcW w:w="100" w:type="dxa"/>
            <w:vAlign w:val="bottom"/>
            <w:shd w:val="clear" w:color="auto" w:fill="333333"/>
          </w:tcPr>
          <w:p>
            <w:pPr>
              <w:spacing w:after="0"/>
              <w:rPr>
                <w:sz w:val="14"/>
                <w:szCs w:val="14"/>
                <w:color w:val="auto"/>
              </w:rPr>
            </w:pPr>
          </w:p>
        </w:tc>
        <w:tc>
          <w:tcPr>
            <w:tcW w:w="380" w:type="dxa"/>
            <w:vAlign w:val="bottom"/>
            <w:shd w:val="clear" w:color="auto" w:fill="333333"/>
          </w:tcPr>
          <w:p>
            <w:pPr>
              <w:spacing w:after="0"/>
              <w:rPr>
                <w:sz w:val="14"/>
                <w:szCs w:val="14"/>
                <w:color w:val="auto"/>
              </w:rPr>
            </w:pPr>
          </w:p>
        </w:tc>
        <w:tc>
          <w:tcPr>
            <w:tcW w:w="320" w:type="dxa"/>
            <w:vAlign w:val="bottom"/>
            <w:shd w:val="clear" w:color="auto" w:fill="333333"/>
          </w:tcPr>
          <w:p>
            <w:pPr>
              <w:spacing w:after="0"/>
              <w:rPr>
                <w:sz w:val="14"/>
                <w:szCs w:val="14"/>
                <w:color w:val="auto"/>
              </w:rPr>
            </w:pPr>
          </w:p>
        </w:tc>
        <w:tc>
          <w:tcPr>
            <w:tcW w:w="140" w:type="dxa"/>
            <w:vAlign w:val="bottom"/>
            <w:shd w:val="clear" w:color="auto" w:fill="333333"/>
          </w:tcPr>
          <w:p>
            <w:pPr>
              <w:spacing w:after="0"/>
              <w:rPr>
                <w:sz w:val="14"/>
                <w:szCs w:val="14"/>
                <w:color w:val="auto"/>
              </w:rPr>
            </w:pPr>
          </w:p>
        </w:tc>
        <w:tc>
          <w:tcPr>
            <w:tcW w:w="120" w:type="dxa"/>
            <w:vAlign w:val="bottom"/>
            <w:shd w:val="clear" w:color="auto" w:fill="333333"/>
          </w:tcPr>
          <w:p>
            <w:pPr>
              <w:spacing w:after="0"/>
              <w:rPr>
                <w:sz w:val="14"/>
                <w:szCs w:val="14"/>
                <w:color w:val="auto"/>
              </w:rPr>
            </w:pPr>
          </w:p>
        </w:tc>
        <w:tc>
          <w:tcPr>
            <w:tcW w:w="140" w:type="dxa"/>
            <w:vAlign w:val="bottom"/>
            <w:shd w:val="clear" w:color="auto" w:fill="333333"/>
          </w:tcPr>
          <w:p>
            <w:pPr>
              <w:spacing w:after="0"/>
              <w:rPr>
                <w:sz w:val="14"/>
                <w:szCs w:val="14"/>
                <w:color w:val="auto"/>
              </w:rPr>
            </w:pPr>
          </w:p>
        </w:tc>
        <w:tc>
          <w:tcPr>
            <w:tcW w:w="560" w:type="dxa"/>
            <w:vAlign w:val="bottom"/>
            <w:shd w:val="clear" w:color="auto" w:fill="333333"/>
          </w:tcPr>
          <w:p>
            <w:pPr>
              <w:spacing w:after="0"/>
              <w:rPr>
                <w:sz w:val="14"/>
                <w:szCs w:val="14"/>
                <w:color w:val="auto"/>
              </w:rPr>
            </w:pPr>
          </w:p>
        </w:tc>
        <w:tc>
          <w:tcPr>
            <w:tcW w:w="600" w:type="dxa"/>
            <w:vAlign w:val="bottom"/>
            <w:shd w:val="clear" w:color="auto" w:fill="333333"/>
          </w:tcPr>
          <w:p>
            <w:pPr>
              <w:spacing w:after="0"/>
              <w:rPr>
                <w:sz w:val="14"/>
                <w:szCs w:val="14"/>
                <w:color w:val="auto"/>
              </w:rPr>
            </w:pPr>
          </w:p>
        </w:tc>
        <w:tc>
          <w:tcPr>
            <w:tcW w:w="60" w:type="dxa"/>
            <w:vAlign w:val="bottom"/>
            <w:shd w:val="clear" w:color="auto" w:fill="333333"/>
          </w:tcPr>
          <w:p>
            <w:pPr>
              <w:spacing w:after="0"/>
              <w:rPr>
                <w:sz w:val="14"/>
                <w:szCs w:val="14"/>
                <w:color w:val="auto"/>
              </w:rPr>
            </w:pPr>
          </w:p>
        </w:tc>
        <w:tc>
          <w:tcPr>
            <w:tcW w:w="100" w:type="dxa"/>
            <w:vAlign w:val="bottom"/>
            <w:shd w:val="clear" w:color="auto" w:fill="333333"/>
          </w:tcPr>
          <w:p>
            <w:pPr>
              <w:spacing w:after="0"/>
              <w:rPr>
                <w:sz w:val="14"/>
                <w:szCs w:val="14"/>
                <w:color w:val="auto"/>
              </w:rPr>
            </w:pPr>
          </w:p>
        </w:tc>
        <w:tc>
          <w:tcPr>
            <w:tcW w:w="40" w:type="dxa"/>
            <w:vAlign w:val="bottom"/>
            <w:shd w:val="clear" w:color="auto" w:fill="333333"/>
          </w:tcPr>
          <w:p>
            <w:pPr>
              <w:spacing w:after="0"/>
              <w:rPr>
                <w:sz w:val="14"/>
                <w:szCs w:val="14"/>
                <w:color w:val="auto"/>
              </w:rPr>
            </w:pPr>
          </w:p>
        </w:tc>
        <w:tc>
          <w:tcPr>
            <w:tcW w:w="500" w:type="dxa"/>
            <w:vAlign w:val="bottom"/>
            <w:shd w:val="clear" w:color="auto" w:fill="333333"/>
          </w:tcPr>
          <w:p>
            <w:pPr>
              <w:spacing w:after="0"/>
              <w:rPr>
                <w:sz w:val="14"/>
                <w:szCs w:val="14"/>
                <w:color w:val="auto"/>
              </w:rPr>
            </w:pPr>
          </w:p>
        </w:tc>
        <w:tc>
          <w:tcPr>
            <w:tcW w:w="560" w:type="dxa"/>
            <w:vAlign w:val="bottom"/>
            <w:shd w:val="clear" w:color="auto" w:fill="333333"/>
          </w:tcPr>
          <w:p>
            <w:pPr>
              <w:spacing w:after="0"/>
              <w:rPr>
                <w:sz w:val="14"/>
                <w:szCs w:val="14"/>
                <w:color w:val="auto"/>
              </w:rPr>
            </w:pPr>
          </w:p>
        </w:tc>
        <w:tc>
          <w:tcPr>
            <w:tcW w:w="140" w:type="dxa"/>
            <w:vAlign w:val="bottom"/>
            <w:shd w:val="clear" w:color="auto" w:fill="333333"/>
          </w:tcPr>
          <w:p>
            <w:pPr>
              <w:spacing w:after="0"/>
              <w:rPr>
                <w:sz w:val="14"/>
                <w:szCs w:val="14"/>
                <w:color w:val="auto"/>
              </w:rPr>
            </w:pPr>
          </w:p>
        </w:tc>
        <w:tc>
          <w:tcPr>
            <w:tcW w:w="140" w:type="dxa"/>
            <w:vAlign w:val="bottom"/>
            <w:shd w:val="clear" w:color="auto" w:fill="333333"/>
          </w:tcPr>
          <w:p>
            <w:pPr>
              <w:spacing w:after="0"/>
              <w:rPr>
                <w:sz w:val="14"/>
                <w:szCs w:val="14"/>
                <w:color w:val="auto"/>
              </w:rPr>
            </w:pPr>
          </w:p>
        </w:tc>
        <w:tc>
          <w:tcPr>
            <w:tcW w:w="500" w:type="dxa"/>
            <w:vAlign w:val="bottom"/>
            <w:shd w:val="clear" w:color="auto" w:fill="333333"/>
          </w:tcPr>
          <w:p>
            <w:pPr>
              <w:spacing w:after="0"/>
              <w:rPr>
                <w:sz w:val="14"/>
                <w:szCs w:val="14"/>
                <w:color w:val="auto"/>
              </w:rPr>
            </w:pPr>
          </w:p>
        </w:tc>
        <w:tc>
          <w:tcPr>
            <w:tcW w:w="580" w:type="dxa"/>
            <w:vAlign w:val="bottom"/>
            <w:shd w:val="clear" w:color="auto" w:fill="333333"/>
          </w:tcPr>
          <w:p>
            <w:pPr>
              <w:spacing w:after="0"/>
              <w:rPr>
                <w:sz w:val="14"/>
                <w:szCs w:val="14"/>
                <w:color w:val="auto"/>
              </w:rPr>
            </w:pPr>
          </w:p>
        </w:tc>
        <w:tc>
          <w:tcPr>
            <w:tcW w:w="140" w:type="dxa"/>
            <w:vAlign w:val="bottom"/>
            <w:shd w:val="clear" w:color="auto" w:fill="333333"/>
          </w:tcPr>
          <w:p>
            <w:pPr>
              <w:spacing w:after="0"/>
              <w:rPr>
                <w:sz w:val="14"/>
                <w:szCs w:val="14"/>
                <w:color w:val="auto"/>
              </w:rPr>
            </w:pPr>
          </w:p>
        </w:tc>
        <w:tc>
          <w:tcPr>
            <w:tcW w:w="520" w:type="dxa"/>
            <w:vAlign w:val="bottom"/>
            <w:shd w:val="clear" w:color="auto" w:fill="333333"/>
          </w:tcPr>
          <w:p>
            <w:pPr>
              <w:spacing w:after="0"/>
              <w:rPr>
                <w:sz w:val="14"/>
                <w:szCs w:val="14"/>
                <w:color w:val="auto"/>
              </w:rPr>
            </w:pPr>
          </w:p>
        </w:tc>
        <w:tc>
          <w:tcPr>
            <w:tcW w:w="600" w:type="dxa"/>
            <w:vAlign w:val="bottom"/>
            <w:shd w:val="clear" w:color="auto" w:fill="333333"/>
          </w:tcPr>
          <w:p>
            <w:pPr>
              <w:spacing w:after="0"/>
              <w:rPr>
                <w:sz w:val="14"/>
                <w:szCs w:val="14"/>
                <w:color w:val="auto"/>
              </w:rPr>
            </w:pPr>
          </w:p>
        </w:tc>
      </w:tr>
      <w:tr>
        <w:trPr>
          <w:trHeight w:val="162"/>
        </w:trPr>
        <w:tc>
          <w:tcPr>
            <w:tcW w:w="2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Borders>
              <w:bottom w:val="single" w:sz="8" w:color="auto"/>
            </w:tcBorders>
            <w:shd w:val="clear" w:color="auto" w:fill="D8D8D8"/>
          </w:tcPr>
          <w:p>
            <w:pPr>
              <w:spacing w:after="0"/>
              <w:rPr>
                <w:sz w:val="14"/>
                <w:szCs w:val="14"/>
                <w:color w:val="auto"/>
              </w:rPr>
            </w:pPr>
          </w:p>
        </w:tc>
        <w:tc>
          <w:tcPr>
            <w:tcW w:w="660" w:type="dxa"/>
            <w:vAlign w:val="bottom"/>
            <w:tcBorders>
              <w:bottom w:val="single" w:sz="8" w:color="auto"/>
              <w:right w:val="single" w:sz="8" w:color="D8D8D8"/>
            </w:tcBorders>
            <w:shd w:val="clear" w:color="auto" w:fill="D8D8D8"/>
          </w:tcPr>
          <w:p>
            <w:pPr>
              <w:spacing w:after="0"/>
              <w:rPr>
                <w:sz w:val="14"/>
                <w:szCs w:val="14"/>
                <w:color w:val="auto"/>
              </w:rPr>
            </w:pPr>
          </w:p>
        </w:tc>
        <w:tc>
          <w:tcPr>
            <w:tcW w:w="160" w:type="dxa"/>
            <w:vAlign w:val="bottom"/>
            <w:tcBorders>
              <w:bottom w:val="single" w:sz="8" w:color="auto"/>
            </w:tcBorders>
            <w:shd w:val="clear" w:color="auto" w:fill="D8D8D8"/>
          </w:tcPr>
          <w:p>
            <w:pPr>
              <w:spacing w:after="0"/>
              <w:rPr>
                <w:sz w:val="14"/>
                <w:szCs w:val="14"/>
                <w:color w:val="auto"/>
              </w:rPr>
            </w:pPr>
          </w:p>
        </w:tc>
        <w:tc>
          <w:tcPr>
            <w:tcW w:w="300" w:type="dxa"/>
            <w:vAlign w:val="bottom"/>
            <w:tcBorders>
              <w:bottom w:val="single" w:sz="8" w:color="auto"/>
            </w:tcBorders>
            <w:shd w:val="clear" w:color="auto" w:fill="D8D8D8"/>
          </w:tcPr>
          <w:p>
            <w:pPr>
              <w:spacing w:after="0"/>
              <w:rPr>
                <w:sz w:val="14"/>
                <w:szCs w:val="14"/>
                <w:color w:val="auto"/>
              </w:rPr>
            </w:pPr>
          </w:p>
        </w:tc>
        <w:tc>
          <w:tcPr>
            <w:tcW w:w="140" w:type="dxa"/>
            <w:vAlign w:val="bottom"/>
            <w:tcBorders>
              <w:bottom w:val="single" w:sz="8" w:color="auto"/>
            </w:tcBorders>
            <w:shd w:val="clear" w:color="auto" w:fill="D8D8D8"/>
          </w:tcPr>
          <w:p>
            <w:pPr>
              <w:spacing w:after="0"/>
              <w:rPr>
                <w:sz w:val="14"/>
                <w:szCs w:val="14"/>
                <w:color w:val="auto"/>
              </w:rPr>
            </w:pPr>
          </w:p>
        </w:tc>
        <w:tc>
          <w:tcPr>
            <w:tcW w:w="100" w:type="dxa"/>
            <w:vAlign w:val="bottom"/>
            <w:tcBorders>
              <w:bottom w:val="single" w:sz="8" w:color="auto"/>
            </w:tcBorders>
            <w:shd w:val="clear" w:color="auto" w:fill="D8D8D8"/>
          </w:tcPr>
          <w:p>
            <w:pPr>
              <w:spacing w:after="0"/>
              <w:rPr>
                <w:sz w:val="14"/>
                <w:szCs w:val="14"/>
                <w:color w:val="auto"/>
              </w:rPr>
            </w:pPr>
          </w:p>
        </w:tc>
        <w:tc>
          <w:tcPr>
            <w:tcW w:w="380" w:type="dxa"/>
            <w:vAlign w:val="bottom"/>
            <w:tcBorders>
              <w:bottom w:val="single" w:sz="8" w:color="auto"/>
            </w:tcBorders>
            <w:shd w:val="clear" w:color="auto" w:fill="D8D8D8"/>
          </w:tcPr>
          <w:p>
            <w:pPr>
              <w:spacing w:after="0"/>
              <w:rPr>
                <w:sz w:val="14"/>
                <w:szCs w:val="14"/>
                <w:color w:val="auto"/>
              </w:rPr>
            </w:pPr>
          </w:p>
        </w:tc>
        <w:tc>
          <w:tcPr>
            <w:tcW w:w="580" w:type="dxa"/>
            <w:vAlign w:val="bottom"/>
            <w:tcBorders>
              <w:bottom w:val="single" w:sz="8" w:color="auto"/>
            </w:tcBorders>
            <w:gridSpan w:val="3"/>
            <w:shd w:val="clear" w:color="auto" w:fill="D8D8D8"/>
          </w:tcPr>
          <w:p>
            <w:pPr>
              <w:jc w:val="right"/>
              <w:ind w:right="100"/>
              <w:spacing w:after="0"/>
              <w:rPr>
                <w:sz w:val="20"/>
                <w:szCs w:val="20"/>
                <w:color w:val="auto"/>
              </w:rPr>
            </w:pPr>
            <w:r>
              <w:rPr>
                <w:rFonts w:ascii="Arial" w:cs="Arial" w:eastAsia="Arial" w:hAnsi="Arial"/>
                <w:sz w:val="13"/>
                <w:szCs w:val="13"/>
                <w:color w:val="auto"/>
              </w:rPr>
              <w:t>2014</w:t>
            </w:r>
          </w:p>
        </w:tc>
        <w:tc>
          <w:tcPr>
            <w:tcW w:w="140" w:type="dxa"/>
            <w:vAlign w:val="bottom"/>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2013</w:t>
            </w:r>
          </w:p>
        </w:tc>
        <w:tc>
          <w:tcPr>
            <w:tcW w:w="1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17"/>
              <w:spacing w:after="0"/>
              <w:rPr>
                <w:sz w:val="20"/>
                <w:szCs w:val="20"/>
                <w:color w:val="auto"/>
              </w:rPr>
            </w:pPr>
            <w:r>
              <w:rPr>
                <w:rFonts w:ascii="Arial" w:cs="Arial" w:eastAsia="Arial" w:hAnsi="Arial"/>
                <w:sz w:val="13"/>
                <w:szCs w:val="13"/>
                <w:color w:val="auto"/>
              </w:rPr>
              <w:t>2012</w:t>
            </w:r>
          </w:p>
        </w:tc>
      </w:tr>
      <w:tr>
        <w:trPr>
          <w:trHeight w:val="129"/>
        </w:trPr>
        <w:tc>
          <w:tcPr>
            <w:tcW w:w="20" w:type="dxa"/>
            <w:vAlign w:val="bottom"/>
          </w:tcPr>
          <w:p>
            <w:pPr>
              <w:spacing w:after="0"/>
              <w:rPr>
                <w:sz w:val="11"/>
                <w:szCs w:val="11"/>
                <w:color w:val="auto"/>
              </w:rPr>
            </w:pPr>
          </w:p>
        </w:tc>
        <w:tc>
          <w:tcPr>
            <w:tcW w:w="19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shd w:val="clear" w:color="auto" w:fill="D8D8D8"/>
          </w:tcPr>
          <w:p>
            <w:pPr>
              <w:spacing w:after="0"/>
              <w:rPr>
                <w:sz w:val="11"/>
                <w:szCs w:val="11"/>
                <w:color w:val="auto"/>
              </w:rPr>
            </w:pPr>
          </w:p>
        </w:tc>
        <w:tc>
          <w:tcPr>
            <w:tcW w:w="660" w:type="dxa"/>
            <w:vAlign w:val="bottom"/>
            <w:tcBorders>
              <w:right w:val="single" w:sz="8" w:color="D8D8D8"/>
            </w:tcBorders>
            <w:shd w:val="clear" w:color="auto" w:fill="D8D8D8"/>
          </w:tcPr>
          <w:p>
            <w:pPr>
              <w:spacing w:after="0"/>
              <w:rPr>
                <w:sz w:val="11"/>
                <w:szCs w:val="11"/>
                <w:color w:val="auto"/>
              </w:rPr>
            </w:pPr>
          </w:p>
        </w:tc>
        <w:tc>
          <w:tcPr>
            <w:tcW w:w="160" w:type="dxa"/>
            <w:vAlign w:val="bottom"/>
            <w:shd w:val="clear" w:color="auto" w:fill="D8D8D8"/>
          </w:tcPr>
          <w:p>
            <w:pPr>
              <w:spacing w:after="0"/>
              <w:rPr>
                <w:sz w:val="11"/>
                <w:szCs w:val="11"/>
                <w:color w:val="auto"/>
              </w:rPr>
            </w:pPr>
          </w:p>
        </w:tc>
        <w:tc>
          <w:tcPr>
            <w:tcW w:w="540" w:type="dxa"/>
            <w:vAlign w:val="bottom"/>
            <w:gridSpan w:val="3"/>
            <w:shd w:val="clear" w:color="auto" w:fill="D8D8D8"/>
          </w:tcPr>
          <w:p>
            <w:pPr>
              <w:jc w:val="right"/>
              <w:ind w:right="320"/>
              <w:spacing w:after="0" w:line="129" w:lineRule="exact"/>
              <w:rPr>
                <w:sz w:val="20"/>
                <w:szCs w:val="20"/>
                <w:color w:val="auto"/>
              </w:rPr>
            </w:pPr>
            <w:r>
              <w:rPr>
                <w:rFonts w:ascii="Arial" w:cs="Arial" w:eastAsia="Arial" w:hAnsi="Arial"/>
                <w:sz w:val="13"/>
                <w:szCs w:val="13"/>
                <w:color w:val="auto"/>
              </w:rPr>
              <w:t>Oil</w:t>
            </w:r>
          </w:p>
        </w:tc>
        <w:tc>
          <w:tcPr>
            <w:tcW w:w="380" w:type="dxa"/>
            <w:vAlign w:val="bottom"/>
            <w:shd w:val="clear" w:color="auto" w:fill="D8D8D8"/>
          </w:tcPr>
          <w:p>
            <w:pPr>
              <w:spacing w:after="0"/>
              <w:rPr>
                <w:sz w:val="11"/>
                <w:szCs w:val="11"/>
                <w:color w:val="auto"/>
              </w:rPr>
            </w:pPr>
          </w:p>
        </w:tc>
        <w:tc>
          <w:tcPr>
            <w:tcW w:w="580" w:type="dxa"/>
            <w:vAlign w:val="bottom"/>
            <w:gridSpan w:val="3"/>
            <w:shd w:val="clear" w:color="auto" w:fill="D8D8D8"/>
          </w:tcPr>
          <w:p>
            <w:pPr>
              <w:jc w:val="right"/>
              <w:ind w:right="100"/>
              <w:spacing w:after="0" w:line="129" w:lineRule="exact"/>
              <w:rPr>
                <w:sz w:val="20"/>
                <w:szCs w:val="20"/>
                <w:color w:val="auto"/>
              </w:rPr>
            </w:pPr>
            <w:r>
              <w:rPr>
                <w:rFonts w:ascii="Arial" w:cs="Arial" w:eastAsia="Arial" w:hAnsi="Arial"/>
                <w:sz w:val="13"/>
                <w:szCs w:val="13"/>
                <w:color w:val="auto"/>
              </w:rPr>
              <w:t>Gas</w:t>
            </w: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60" w:type="dxa"/>
            <w:vAlign w:val="bottom"/>
            <w:gridSpan w:val="3"/>
          </w:tcPr>
          <w:p>
            <w:pPr>
              <w:jc w:val="right"/>
              <w:ind w:right="180"/>
              <w:spacing w:after="0" w:line="129" w:lineRule="exact"/>
              <w:rPr>
                <w:sz w:val="20"/>
                <w:szCs w:val="20"/>
                <w:color w:val="auto"/>
              </w:rPr>
            </w:pPr>
            <w:r>
              <w:rPr>
                <w:rFonts w:ascii="Arial" w:cs="Arial" w:eastAsia="Arial" w:hAnsi="Arial"/>
                <w:sz w:val="13"/>
                <w:szCs w:val="13"/>
                <w:color w:val="auto"/>
              </w:rPr>
              <w:t>Oil</w:t>
            </w: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jc w:val="right"/>
              <w:ind w:right="37"/>
              <w:spacing w:after="0" w:line="129" w:lineRule="exact"/>
              <w:rPr>
                <w:sz w:val="20"/>
                <w:szCs w:val="20"/>
                <w:color w:val="auto"/>
              </w:rPr>
            </w:pPr>
            <w:r>
              <w:rPr>
                <w:rFonts w:ascii="Arial" w:cs="Arial" w:eastAsia="Arial" w:hAnsi="Arial"/>
                <w:sz w:val="13"/>
                <w:szCs w:val="13"/>
                <w:color w:val="auto"/>
              </w:rPr>
              <w:t>Gas</w:t>
            </w: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20" w:type="dxa"/>
            <w:vAlign w:val="bottom"/>
            <w:gridSpan w:val="2"/>
          </w:tcPr>
          <w:p>
            <w:pPr>
              <w:jc w:val="right"/>
              <w:ind w:right="240"/>
              <w:spacing w:after="0" w:line="129" w:lineRule="exact"/>
              <w:rPr>
                <w:sz w:val="20"/>
                <w:szCs w:val="20"/>
                <w:color w:val="auto"/>
              </w:rPr>
            </w:pPr>
            <w:r>
              <w:rPr>
                <w:rFonts w:ascii="Arial" w:cs="Arial" w:eastAsia="Arial" w:hAnsi="Arial"/>
                <w:sz w:val="13"/>
                <w:szCs w:val="13"/>
                <w:color w:val="auto"/>
              </w:rPr>
              <w:t>Oil</w:t>
            </w:r>
          </w:p>
        </w:tc>
        <w:tc>
          <w:tcPr>
            <w:tcW w:w="520" w:type="dxa"/>
            <w:vAlign w:val="bottom"/>
          </w:tcPr>
          <w:p>
            <w:pPr>
              <w:spacing w:after="0"/>
              <w:rPr>
                <w:sz w:val="11"/>
                <w:szCs w:val="11"/>
                <w:color w:val="auto"/>
              </w:rPr>
            </w:pPr>
          </w:p>
        </w:tc>
        <w:tc>
          <w:tcPr>
            <w:tcW w:w="600" w:type="dxa"/>
            <w:vAlign w:val="bottom"/>
          </w:tcPr>
          <w:p>
            <w:pPr>
              <w:jc w:val="right"/>
              <w:ind w:right="117"/>
              <w:spacing w:after="0" w:line="129" w:lineRule="exact"/>
              <w:rPr>
                <w:sz w:val="20"/>
                <w:szCs w:val="20"/>
                <w:color w:val="auto"/>
              </w:rPr>
            </w:pPr>
            <w:r>
              <w:rPr>
                <w:rFonts w:ascii="Arial" w:cs="Arial" w:eastAsia="Arial" w:hAnsi="Arial"/>
                <w:sz w:val="13"/>
                <w:szCs w:val="13"/>
                <w:color w:val="auto"/>
              </w:rPr>
              <w:t>Gas</w:t>
            </w:r>
          </w:p>
        </w:tc>
      </w:tr>
      <w:tr>
        <w:trPr>
          <w:trHeight w:val="129"/>
        </w:trPr>
        <w:tc>
          <w:tcPr>
            <w:tcW w:w="20" w:type="dxa"/>
            <w:vAlign w:val="bottom"/>
          </w:tcPr>
          <w:p>
            <w:pPr>
              <w:spacing w:after="0"/>
              <w:rPr>
                <w:sz w:val="11"/>
                <w:szCs w:val="11"/>
                <w:color w:val="auto"/>
              </w:rPr>
            </w:pPr>
          </w:p>
        </w:tc>
        <w:tc>
          <w:tcPr>
            <w:tcW w:w="190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80" w:type="dxa"/>
            <w:vAlign w:val="bottom"/>
            <w:tcBorders>
              <w:top w:val="single" w:sz="8" w:color="auto"/>
              <w:bottom w:val="single" w:sz="8" w:color="auto"/>
            </w:tcBorders>
            <w:shd w:val="clear" w:color="auto" w:fill="D8D8D8"/>
          </w:tcPr>
          <w:p>
            <w:pPr>
              <w:spacing w:after="0"/>
              <w:rPr>
                <w:sz w:val="11"/>
                <w:szCs w:val="11"/>
                <w:color w:val="auto"/>
              </w:rPr>
            </w:pPr>
          </w:p>
        </w:tc>
        <w:tc>
          <w:tcPr>
            <w:tcW w:w="660" w:type="dxa"/>
            <w:vAlign w:val="bottom"/>
            <w:tcBorders>
              <w:top w:val="single" w:sz="8" w:color="auto"/>
              <w:bottom w:val="single" w:sz="8" w:color="auto"/>
              <w:right w:val="single" w:sz="8" w:color="D8D8D8"/>
            </w:tcBorders>
            <w:shd w:val="clear" w:color="auto" w:fill="D8D8D8"/>
          </w:tcPr>
          <w:p>
            <w:pPr>
              <w:jc w:val="right"/>
              <w:ind w:right="157"/>
              <w:spacing w:after="0" w:line="129" w:lineRule="exact"/>
              <w:rPr>
                <w:sz w:val="20"/>
                <w:szCs w:val="20"/>
                <w:color w:val="auto"/>
              </w:rPr>
            </w:pPr>
            <w:r>
              <w:rPr>
                <w:rFonts w:ascii="Arial" w:cs="Arial" w:eastAsia="Arial" w:hAnsi="Arial"/>
                <w:sz w:val="13"/>
                <w:szCs w:val="13"/>
                <w:color w:val="auto"/>
              </w:rPr>
              <w:t>Gross</w:t>
            </w:r>
          </w:p>
        </w:tc>
        <w:tc>
          <w:tcPr>
            <w:tcW w:w="160" w:type="dxa"/>
            <w:vAlign w:val="bottom"/>
            <w:tcBorders>
              <w:top w:val="single" w:sz="8" w:color="auto"/>
              <w:bottom w:val="single" w:sz="8" w:color="auto"/>
            </w:tcBorders>
            <w:shd w:val="clear" w:color="auto" w:fill="D8D8D8"/>
          </w:tcPr>
          <w:p>
            <w:pPr>
              <w:spacing w:after="0"/>
              <w:rPr>
                <w:sz w:val="11"/>
                <w:szCs w:val="11"/>
                <w:color w:val="auto"/>
              </w:rPr>
            </w:pPr>
          </w:p>
        </w:tc>
        <w:tc>
          <w:tcPr>
            <w:tcW w:w="300" w:type="dxa"/>
            <w:vAlign w:val="bottom"/>
            <w:tcBorders>
              <w:top w:val="single" w:sz="8" w:color="auto"/>
              <w:bottom w:val="single" w:sz="8" w:color="auto"/>
            </w:tcBorders>
            <w:shd w:val="clear" w:color="auto" w:fill="D8D8D8"/>
          </w:tcPr>
          <w:p>
            <w:pPr>
              <w:jc w:val="right"/>
              <w:ind w:right="17"/>
              <w:spacing w:after="0" w:line="129" w:lineRule="exact"/>
              <w:rPr>
                <w:sz w:val="20"/>
                <w:szCs w:val="20"/>
                <w:color w:val="auto"/>
              </w:rPr>
            </w:pPr>
            <w:r>
              <w:rPr>
                <w:rFonts w:ascii="Arial" w:cs="Arial" w:eastAsia="Arial" w:hAnsi="Arial"/>
                <w:sz w:val="13"/>
                <w:szCs w:val="13"/>
                <w:color w:val="auto"/>
                <w:w w:val="98"/>
              </w:rPr>
              <w:t>Net</w:t>
            </w:r>
          </w:p>
        </w:tc>
        <w:tc>
          <w:tcPr>
            <w:tcW w:w="140" w:type="dxa"/>
            <w:vAlign w:val="bottom"/>
            <w:tcBorders>
              <w:top w:val="single" w:sz="8" w:color="D8D8D8"/>
              <w:bottom w:val="single" w:sz="8" w:color="auto"/>
            </w:tcBorders>
            <w:shd w:val="clear" w:color="auto" w:fill="D8D8D8"/>
          </w:tcPr>
          <w:p>
            <w:pPr>
              <w:spacing w:after="0"/>
              <w:rPr>
                <w:sz w:val="11"/>
                <w:szCs w:val="11"/>
                <w:color w:val="auto"/>
              </w:rPr>
            </w:pPr>
          </w:p>
        </w:tc>
        <w:tc>
          <w:tcPr>
            <w:tcW w:w="100" w:type="dxa"/>
            <w:vAlign w:val="bottom"/>
            <w:tcBorders>
              <w:top w:val="single" w:sz="8" w:color="auto"/>
              <w:bottom w:val="single" w:sz="8" w:color="auto"/>
            </w:tcBorders>
            <w:shd w:val="clear" w:color="auto" w:fill="D8D8D8"/>
          </w:tcPr>
          <w:p>
            <w:pPr>
              <w:spacing w:after="0"/>
              <w:rPr>
                <w:sz w:val="11"/>
                <w:szCs w:val="11"/>
                <w:color w:val="auto"/>
              </w:rPr>
            </w:pPr>
          </w:p>
        </w:tc>
        <w:tc>
          <w:tcPr>
            <w:tcW w:w="380" w:type="dxa"/>
            <w:vAlign w:val="bottom"/>
            <w:tcBorders>
              <w:top w:val="single" w:sz="8" w:color="auto"/>
              <w:bottom w:val="single" w:sz="8" w:color="auto"/>
            </w:tcBorders>
            <w:shd w:val="clear" w:color="auto" w:fill="D8D8D8"/>
          </w:tcPr>
          <w:p>
            <w:pPr>
              <w:jc w:val="right"/>
              <w:spacing w:after="0" w:line="129" w:lineRule="exact"/>
              <w:rPr>
                <w:sz w:val="20"/>
                <w:szCs w:val="20"/>
                <w:color w:val="auto"/>
              </w:rPr>
            </w:pPr>
            <w:r>
              <w:rPr>
                <w:rFonts w:ascii="Arial" w:cs="Arial" w:eastAsia="Arial" w:hAnsi="Arial"/>
                <w:sz w:val="13"/>
                <w:szCs w:val="13"/>
                <w:color w:val="auto"/>
              </w:rPr>
              <w:t>Gross</w:t>
            </w:r>
          </w:p>
        </w:tc>
        <w:tc>
          <w:tcPr>
            <w:tcW w:w="580" w:type="dxa"/>
            <w:vAlign w:val="bottom"/>
            <w:tcBorders>
              <w:top w:val="single" w:sz="8" w:color="auto"/>
              <w:bottom w:val="single" w:sz="8" w:color="auto"/>
            </w:tcBorders>
            <w:gridSpan w:val="3"/>
            <w:shd w:val="clear" w:color="auto" w:fill="D8D8D8"/>
          </w:tcPr>
          <w:p>
            <w:pPr>
              <w:jc w:val="right"/>
              <w:ind w:right="100"/>
              <w:spacing w:after="0" w:line="129" w:lineRule="exact"/>
              <w:rPr>
                <w:sz w:val="20"/>
                <w:szCs w:val="20"/>
                <w:color w:val="auto"/>
              </w:rPr>
            </w:pPr>
            <w:r>
              <w:rPr>
                <w:rFonts w:ascii="Arial" w:cs="Arial" w:eastAsia="Arial" w:hAnsi="Arial"/>
                <w:sz w:val="13"/>
                <w:szCs w:val="13"/>
                <w:color w:val="auto"/>
              </w:rPr>
              <w:t>Net</w:t>
            </w:r>
          </w:p>
        </w:tc>
        <w:tc>
          <w:tcPr>
            <w:tcW w:w="140" w:type="dxa"/>
            <w:vAlign w:val="bottom"/>
            <w:tcBorders>
              <w:bottom w:val="single" w:sz="8" w:color="auto"/>
            </w:tcBorders>
          </w:tcPr>
          <w:p>
            <w:pPr>
              <w:spacing w:after="0"/>
              <w:rPr>
                <w:sz w:val="11"/>
                <w:szCs w:val="11"/>
                <w:color w:val="auto"/>
              </w:rPr>
            </w:pPr>
          </w:p>
        </w:tc>
        <w:tc>
          <w:tcPr>
            <w:tcW w:w="56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Gross</w:t>
            </w:r>
          </w:p>
        </w:tc>
        <w:tc>
          <w:tcPr>
            <w:tcW w:w="660" w:type="dxa"/>
            <w:vAlign w:val="bottom"/>
            <w:tcBorders>
              <w:top w:val="single" w:sz="8" w:color="auto"/>
              <w:bottom w:val="single" w:sz="8" w:color="auto"/>
            </w:tcBorders>
            <w:gridSpan w:val="2"/>
          </w:tcPr>
          <w:p>
            <w:pPr>
              <w:jc w:val="right"/>
              <w:ind w:right="80"/>
              <w:spacing w:after="0" w:line="129" w:lineRule="exact"/>
              <w:rPr>
                <w:sz w:val="20"/>
                <w:szCs w:val="20"/>
                <w:color w:val="auto"/>
              </w:rPr>
            </w:pPr>
            <w:r>
              <w:rPr>
                <w:rFonts w:ascii="Arial" w:cs="Arial" w:eastAsia="Arial" w:hAnsi="Arial"/>
                <w:sz w:val="13"/>
                <w:szCs w:val="13"/>
                <w:color w:val="auto"/>
              </w:rPr>
              <w:t>Net</w:t>
            </w:r>
          </w:p>
        </w:tc>
        <w:tc>
          <w:tcPr>
            <w:tcW w:w="10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50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Gross</w:t>
            </w:r>
          </w:p>
        </w:tc>
        <w:tc>
          <w:tcPr>
            <w:tcW w:w="560" w:type="dxa"/>
            <w:vAlign w:val="bottom"/>
            <w:tcBorders>
              <w:top w:val="single" w:sz="8" w:color="auto"/>
              <w:bottom w:val="single" w:sz="8" w:color="auto"/>
            </w:tcBorders>
          </w:tcPr>
          <w:p>
            <w:pPr>
              <w:jc w:val="right"/>
              <w:ind w:right="37"/>
              <w:spacing w:after="0" w:line="129" w:lineRule="exact"/>
              <w:rPr>
                <w:sz w:val="20"/>
                <w:szCs w:val="20"/>
                <w:color w:val="auto"/>
              </w:rPr>
            </w:pPr>
            <w:r>
              <w:rPr>
                <w:rFonts w:ascii="Arial" w:cs="Arial" w:eastAsia="Arial" w:hAnsi="Arial"/>
                <w:sz w:val="13"/>
                <w:szCs w:val="13"/>
                <w:color w:val="auto"/>
              </w:rPr>
              <w:t>Net</w:t>
            </w:r>
          </w:p>
        </w:tc>
        <w:tc>
          <w:tcPr>
            <w:tcW w:w="140" w:type="dxa"/>
            <w:vAlign w:val="bottom"/>
            <w:tcBorders>
              <w:bottom w:val="single" w:sz="8" w:color="auto"/>
            </w:tcBorders>
          </w:tcPr>
          <w:p>
            <w:pPr>
              <w:spacing w:after="0"/>
              <w:rPr>
                <w:sz w:val="11"/>
                <w:szCs w:val="11"/>
                <w:color w:val="auto"/>
              </w:rPr>
            </w:pPr>
          </w:p>
        </w:tc>
        <w:tc>
          <w:tcPr>
            <w:tcW w:w="140" w:type="dxa"/>
            <w:vAlign w:val="bottom"/>
            <w:tcBorders>
              <w:top w:val="single" w:sz="8" w:color="auto"/>
              <w:bottom w:val="single" w:sz="8" w:color="auto"/>
            </w:tcBorders>
          </w:tcPr>
          <w:p>
            <w:pPr>
              <w:spacing w:after="0"/>
              <w:rPr>
                <w:sz w:val="11"/>
                <w:szCs w:val="11"/>
                <w:color w:val="auto"/>
              </w:rPr>
            </w:pPr>
          </w:p>
        </w:tc>
        <w:tc>
          <w:tcPr>
            <w:tcW w:w="500" w:type="dxa"/>
            <w:vAlign w:val="bottom"/>
            <w:tcBorders>
              <w:top w:val="single" w:sz="8" w:color="auto"/>
              <w:bottom w:val="single" w:sz="8" w:color="auto"/>
            </w:tcBorders>
          </w:tcPr>
          <w:p>
            <w:pPr>
              <w:jc w:val="right"/>
              <w:ind w:right="57"/>
              <w:spacing w:after="0" w:line="129" w:lineRule="exact"/>
              <w:rPr>
                <w:sz w:val="20"/>
                <w:szCs w:val="20"/>
                <w:color w:val="auto"/>
              </w:rPr>
            </w:pPr>
            <w:r>
              <w:rPr>
                <w:rFonts w:ascii="Arial" w:cs="Arial" w:eastAsia="Arial" w:hAnsi="Arial"/>
                <w:sz w:val="13"/>
                <w:szCs w:val="13"/>
                <w:color w:val="auto"/>
              </w:rPr>
              <w:t>Gross</w:t>
            </w:r>
          </w:p>
        </w:tc>
        <w:tc>
          <w:tcPr>
            <w:tcW w:w="580" w:type="dxa"/>
            <w:vAlign w:val="bottom"/>
            <w:tcBorders>
              <w:top w:val="single" w:sz="8" w:color="auto"/>
              <w:bottom w:val="single" w:sz="8" w:color="auto"/>
            </w:tcBorders>
          </w:tcPr>
          <w:p>
            <w:pPr>
              <w:jc w:val="right"/>
              <w:ind w:right="36"/>
              <w:spacing w:after="0" w:line="129" w:lineRule="exact"/>
              <w:rPr>
                <w:sz w:val="20"/>
                <w:szCs w:val="20"/>
                <w:color w:val="auto"/>
              </w:rPr>
            </w:pPr>
            <w:r>
              <w:rPr>
                <w:rFonts w:ascii="Arial" w:cs="Arial" w:eastAsia="Arial" w:hAnsi="Arial"/>
                <w:sz w:val="13"/>
                <w:szCs w:val="13"/>
                <w:color w:val="auto"/>
              </w:rPr>
              <w:t>Net</w:t>
            </w:r>
          </w:p>
        </w:tc>
        <w:tc>
          <w:tcPr>
            <w:tcW w:w="140" w:type="dxa"/>
            <w:vAlign w:val="bottom"/>
            <w:tcBorders>
              <w:bottom w:val="single" w:sz="8" w:color="auto"/>
            </w:tcBorders>
          </w:tcPr>
          <w:p>
            <w:pPr>
              <w:spacing w:after="0"/>
              <w:rPr>
                <w:sz w:val="11"/>
                <w:szCs w:val="11"/>
                <w:color w:val="auto"/>
              </w:rPr>
            </w:pPr>
          </w:p>
        </w:tc>
        <w:tc>
          <w:tcPr>
            <w:tcW w:w="52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Gross</w:t>
            </w:r>
          </w:p>
        </w:tc>
        <w:tc>
          <w:tcPr>
            <w:tcW w:w="600" w:type="dxa"/>
            <w:vAlign w:val="bottom"/>
            <w:tcBorders>
              <w:top w:val="single" w:sz="8" w:color="auto"/>
              <w:bottom w:val="single" w:sz="8" w:color="auto"/>
            </w:tcBorders>
          </w:tcPr>
          <w:p>
            <w:pPr>
              <w:jc w:val="right"/>
              <w:ind w:right="117"/>
              <w:spacing w:after="0" w:line="129" w:lineRule="exact"/>
              <w:rPr>
                <w:sz w:val="20"/>
                <w:szCs w:val="20"/>
                <w:color w:val="auto"/>
              </w:rPr>
            </w:pPr>
            <w:r>
              <w:rPr>
                <w:rFonts w:ascii="Arial" w:cs="Arial" w:eastAsia="Arial" w:hAnsi="Arial"/>
                <w:sz w:val="13"/>
                <w:szCs w:val="13"/>
                <w:color w:val="auto"/>
              </w:rPr>
              <w:t>Net</w:t>
            </w:r>
          </w:p>
        </w:tc>
      </w:tr>
      <w:tr>
        <w:trPr>
          <w:trHeight w:val="123"/>
        </w:trPr>
        <w:tc>
          <w:tcPr>
            <w:tcW w:w="20" w:type="dxa"/>
            <w:vAlign w:val="bottom"/>
          </w:tcPr>
          <w:p>
            <w:pPr>
              <w:spacing w:after="0"/>
              <w:rPr>
                <w:sz w:val="10"/>
                <w:szCs w:val="10"/>
                <w:color w:val="auto"/>
              </w:rPr>
            </w:pPr>
          </w:p>
        </w:tc>
        <w:tc>
          <w:tcPr>
            <w:tcW w:w="1900" w:type="dxa"/>
            <w:vAlign w:val="bottom"/>
          </w:tcPr>
          <w:p>
            <w:pPr>
              <w:spacing w:after="0" w:line="123" w:lineRule="exact"/>
              <w:rPr>
                <w:sz w:val="20"/>
                <w:szCs w:val="20"/>
                <w:color w:val="auto"/>
              </w:rPr>
            </w:pPr>
            <w:r>
              <w:rPr>
                <w:rFonts w:ascii="Arial" w:cs="Arial" w:eastAsia="Arial" w:hAnsi="Arial"/>
                <w:sz w:val="13"/>
                <w:szCs w:val="13"/>
                <w:color w:val="auto"/>
              </w:rPr>
              <w:t>Europe</w:t>
            </w:r>
          </w:p>
        </w:tc>
        <w:tc>
          <w:tcPr>
            <w:tcW w:w="5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 w:type="dxa"/>
            <w:vAlign w:val="bottom"/>
            <w:shd w:val="clear" w:color="auto" w:fill="D8D8D8"/>
          </w:tcPr>
          <w:p>
            <w:pPr>
              <w:spacing w:after="0"/>
              <w:rPr>
                <w:sz w:val="10"/>
                <w:szCs w:val="10"/>
                <w:color w:val="auto"/>
              </w:rPr>
            </w:pPr>
          </w:p>
        </w:tc>
        <w:tc>
          <w:tcPr>
            <w:tcW w:w="660" w:type="dxa"/>
            <w:vAlign w:val="bottom"/>
            <w:tcBorders>
              <w:right w:val="single" w:sz="8" w:color="D8D8D8"/>
            </w:tcBorders>
            <w:shd w:val="clear" w:color="auto" w:fill="D8D8D8"/>
          </w:tcPr>
          <w:p>
            <w:pPr>
              <w:jc w:val="right"/>
              <w:ind w:right="157"/>
              <w:spacing w:after="0" w:line="123" w:lineRule="exact"/>
              <w:rPr>
                <w:sz w:val="20"/>
                <w:szCs w:val="20"/>
                <w:color w:val="auto"/>
              </w:rPr>
            </w:pPr>
            <w:r>
              <w:rPr>
                <w:rFonts w:ascii="Arial" w:cs="Arial" w:eastAsia="Arial" w:hAnsi="Arial"/>
                <w:sz w:val="13"/>
                <w:szCs w:val="13"/>
                <w:color w:val="auto"/>
              </w:rPr>
              <w:t>1,269</w:t>
            </w:r>
          </w:p>
        </w:tc>
        <w:tc>
          <w:tcPr>
            <w:tcW w:w="460" w:type="dxa"/>
            <w:vAlign w:val="bottom"/>
            <w:gridSpan w:val="2"/>
            <w:shd w:val="clear" w:color="auto" w:fill="D8D8D8"/>
          </w:tcPr>
          <w:p>
            <w:pPr>
              <w:jc w:val="right"/>
              <w:ind w:right="17"/>
              <w:spacing w:after="0" w:line="123" w:lineRule="exact"/>
              <w:rPr>
                <w:sz w:val="20"/>
                <w:szCs w:val="20"/>
                <w:color w:val="auto"/>
              </w:rPr>
            </w:pPr>
            <w:r>
              <w:rPr>
                <w:rFonts w:ascii="Arial" w:cs="Arial" w:eastAsia="Arial" w:hAnsi="Arial"/>
                <w:sz w:val="13"/>
                <w:szCs w:val="13"/>
                <w:color w:val="auto"/>
              </w:rPr>
              <w:t>333</w:t>
            </w:r>
          </w:p>
        </w:tc>
        <w:tc>
          <w:tcPr>
            <w:tcW w:w="140" w:type="dxa"/>
            <w:vAlign w:val="bottom"/>
            <w:shd w:val="clear" w:color="auto" w:fill="D8D8D8"/>
          </w:tcPr>
          <w:p>
            <w:pPr>
              <w:spacing w:after="0"/>
              <w:rPr>
                <w:sz w:val="10"/>
                <w:szCs w:val="10"/>
                <w:color w:val="auto"/>
              </w:rPr>
            </w:pPr>
          </w:p>
        </w:tc>
        <w:tc>
          <w:tcPr>
            <w:tcW w:w="100" w:type="dxa"/>
            <w:vAlign w:val="bottom"/>
            <w:shd w:val="clear" w:color="auto" w:fill="D8D8D8"/>
          </w:tcPr>
          <w:p>
            <w:pPr>
              <w:spacing w:after="0"/>
              <w:rPr>
                <w:sz w:val="10"/>
                <w:szCs w:val="10"/>
                <w:color w:val="auto"/>
              </w:rPr>
            </w:pPr>
          </w:p>
        </w:tc>
        <w:tc>
          <w:tcPr>
            <w:tcW w:w="380" w:type="dxa"/>
            <w:vAlign w:val="bottom"/>
            <w:shd w:val="clear" w:color="auto" w:fill="D8D8D8"/>
          </w:tcPr>
          <w:p>
            <w:pPr>
              <w:jc w:val="right"/>
              <w:spacing w:after="0" w:line="123" w:lineRule="exact"/>
              <w:rPr>
                <w:sz w:val="20"/>
                <w:szCs w:val="20"/>
                <w:color w:val="auto"/>
              </w:rPr>
            </w:pPr>
            <w:r>
              <w:rPr>
                <w:rFonts w:ascii="Arial" w:cs="Arial" w:eastAsia="Arial" w:hAnsi="Arial"/>
                <w:sz w:val="13"/>
                <w:szCs w:val="13"/>
                <w:color w:val="auto"/>
              </w:rPr>
              <w:t>1,311</w:t>
            </w:r>
          </w:p>
        </w:tc>
        <w:tc>
          <w:tcPr>
            <w:tcW w:w="580" w:type="dxa"/>
            <w:vAlign w:val="bottom"/>
            <w:gridSpan w:val="3"/>
            <w:shd w:val="clear" w:color="auto" w:fill="D8D8D8"/>
          </w:tcPr>
          <w:p>
            <w:pPr>
              <w:jc w:val="right"/>
              <w:ind w:right="100"/>
              <w:spacing w:after="0" w:line="123" w:lineRule="exact"/>
              <w:rPr>
                <w:sz w:val="20"/>
                <w:szCs w:val="20"/>
                <w:color w:val="auto"/>
              </w:rPr>
            </w:pPr>
            <w:r>
              <w:rPr>
                <w:rFonts w:ascii="Arial" w:cs="Arial" w:eastAsia="Arial" w:hAnsi="Arial"/>
                <w:sz w:val="13"/>
                <w:szCs w:val="13"/>
                <w:color w:val="auto"/>
              </w:rPr>
              <w:t>410</w:t>
            </w:r>
          </w:p>
        </w:tc>
        <w:tc>
          <w:tcPr>
            <w:tcW w:w="700" w:type="dxa"/>
            <w:vAlign w:val="bottom"/>
            <w:gridSpan w:val="2"/>
          </w:tcPr>
          <w:p>
            <w:pPr>
              <w:jc w:val="right"/>
              <w:spacing w:after="0" w:line="123" w:lineRule="exact"/>
              <w:rPr>
                <w:sz w:val="20"/>
                <w:szCs w:val="20"/>
                <w:color w:val="auto"/>
              </w:rPr>
            </w:pPr>
            <w:r>
              <w:rPr>
                <w:rFonts w:ascii="Arial" w:cs="Arial" w:eastAsia="Arial" w:hAnsi="Arial"/>
                <w:sz w:val="13"/>
                <w:szCs w:val="13"/>
                <w:color w:val="auto"/>
              </w:rPr>
              <w:t>1,315</w:t>
            </w:r>
          </w:p>
        </w:tc>
        <w:tc>
          <w:tcPr>
            <w:tcW w:w="600" w:type="dxa"/>
            <w:vAlign w:val="bottom"/>
          </w:tcPr>
          <w:p>
            <w:pPr>
              <w:jc w:val="right"/>
              <w:spacing w:after="0" w:line="123" w:lineRule="exact"/>
              <w:rPr>
                <w:sz w:val="20"/>
                <w:szCs w:val="20"/>
                <w:color w:val="auto"/>
              </w:rPr>
            </w:pPr>
            <w:r>
              <w:rPr>
                <w:rFonts w:ascii="Arial" w:cs="Arial" w:eastAsia="Arial" w:hAnsi="Arial"/>
                <w:sz w:val="13"/>
                <w:szCs w:val="13"/>
                <w:color w:val="auto"/>
              </w:rPr>
              <w:t>349</w:t>
            </w: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gridSpan w:val="2"/>
          </w:tcPr>
          <w:p>
            <w:pPr>
              <w:jc w:val="right"/>
              <w:spacing w:after="0" w:line="123" w:lineRule="exact"/>
              <w:rPr>
                <w:sz w:val="20"/>
                <w:szCs w:val="20"/>
                <w:color w:val="auto"/>
              </w:rPr>
            </w:pPr>
            <w:r>
              <w:rPr>
                <w:rFonts w:ascii="Arial" w:cs="Arial" w:eastAsia="Arial" w:hAnsi="Arial"/>
                <w:sz w:val="13"/>
                <w:szCs w:val="13"/>
                <w:color w:val="auto"/>
              </w:rPr>
              <w:t>1,295</w:t>
            </w:r>
          </w:p>
        </w:tc>
        <w:tc>
          <w:tcPr>
            <w:tcW w:w="560" w:type="dxa"/>
            <w:vAlign w:val="bottom"/>
          </w:tcPr>
          <w:p>
            <w:pPr>
              <w:jc w:val="right"/>
              <w:ind w:right="37"/>
              <w:spacing w:after="0" w:line="123" w:lineRule="exact"/>
              <w:rPr>
                <w:sz w:val="20"/>
                <w:szCs w:val="20"/>
                <w:color w:val="auto"/>
              </w:rPr>
            </w:pPr>
            <w:r>
              <w:rPr>
                <w:rFonts w:ascii="Arial" w:cs="Arial" w:eastAsia="Arial" w:hAnsi="Arial"/>
                <w:sz w:val="13"/>
                <w:szCs w:val="13"/>
                <w:color w:val="auto"/>
              </w:rPr>
              <w:t>411</w:t>
            </w:r>
          </w:p>
        </w:tc>
        <w:tc>
          <w:tcPr>
            <w:tcW w:w="140" w:type="dxa"/>
            <w:vAlign w:val="bottom"/>
          </w:tcPr>
          <w:p>
            <w:pPr>
              <w:spacing w:after="0"/>
              <w:rPr>
                <w:sz w:val="10"/>
                <w:szCs w:val="10"/>
                <w:color w:val="auto"/>
              </w:rPr>
            </w:pPr>
          </w:p>
        </w:tc>
        <w:tc>
          <w:tcPr>
            <w:tcW w:w="640" w:type="dxa"/>
            <w:vAlign w:val="bottom"/>
            <w:gridSpan w:val="2"/>
          </w:tcPr>
          <w:p>
            <w:pPr>
              <w:jc w:val="right"/>
              <w:ind w:right="57"/>
              <w:spacing w:after="0" w:line="123" w:lineRule="exact"/>
              <w:rPr>
                <w:sz w:val="20"/>
                <w:szCs w:val="20"/>
                <w:color w:val="auto"/>
              </w:rPr>
            </w:pPr>
            <w:r>
              <w:rPr>
                <w:rFonts w:ascii="Arial" w:cs="Arial" w:eastAsia="Arial" w:hAnsi="Arial"/>
                <w:sz w:val="13"/>
                <w:szCs w:val="13"/>
                <w:color w:val="auto"/>
              </w:rPr>
              <w:t>1,431</w:t>
            </w:r>
          </w:p>
        </w:tc>
        <w:tc>
          <w:tcPr>
            <w:tcW w:w="580" w:type="dxa"/>
            <w:vAlign w:val="bottom"/>
          </w:tcPr>
          <w:p>
            <w:pPr>
              <w:jc w:val="right"/>
              <w:ind w:right="36"/>
              <w:spacing w:after="0" w:line="123" w:lineRule="exact"/>
              <w:rPr>
                <w:sz w:val="20"/>
                <w:szCs w:val="20"/>
                <w:color w:val="auto"/>
              </w:rPr>
            </w:pPr>
            <w:r>
              <w:rPr>
                <w:rFonts w:ascii="Arial" w:cs="Arial" w:eastAsia="Arial" w:hAnsi="Arial"/>
                <w:sz w:val="13"/>
                <w:szCs w:val="13"/>
                <w:color w:val="auto"/>
              </w:rPr>
              <w:t>425</w:t>
            </w:r>
          </w:p>
        </w:tc>
        <w:tc>
          <w:tcPr>
            <w:tcW w:w="140" w:type="dxa"/>
            <w:vAlign w:val="bottom"/>
          </w:tcPr>
          <w:p>
            <w:pPr>
              <w:spacing w:after="0"/>
              <w:rPr>
                <w:sz w:val="10"/>
                <w:szCs w:val="10"/>
                <w:color w:val="auto"/>
              </w:rPr>
            </w:pPr>
          </w:p>
        </w:tc>
        <w:tc>
          <w:tcPr>
            <w:tcW w:w="520" w:type="dxa"/>
            <w:vAlign w:val="bottom"/>
          </w:tcPr>
          <w:p>
            <w:pPr>
              <w:jc w:val="right"/>
              <w:spacing w:after="0" w:line="123" w:lineRule="exact"/>
              <w:rPr>
                <w:sz w:val="20"/>
                <w:szCs w:val="20"/>
                <w:color w:val="auto"/>
              </w:rPr>
            </w:pPr>
            <w:r>
              <w:rPr>
                <w:rFonts w:ascii="Arial" w:cs="Arial" w:eastAsia="Arial" w:hAnsi="Arial"/>
                <w:sz w:val="13"/>
                <w:szCs w:val="13"/>
                <w:color w:val="auto"/>
              </w:rPr>
              <w:t>1,266</w:t>
            </w:r>
          </w:p>
        </w:tc>
        <w:tc>
          <w:tcPr>
            <w:tcW w:w="600" w:type="dxa"/>
            <w:vAlign w:val="bottom"/>
          </w:tcPr>
          <w:p>
            <w:pPr>
              <w:jc w:val="right"/>
              <w:ind w:right="77"/>
              <w:spacing w:after="0" w:line="123" w:lineRule="exact"/>
              <w:rPr>
                <w:sz w:val="20"/>
                <w:szCs w:val="20"/>
                <w:color w:val="auto"/>
              </w:rPr>
            </w:pPr>
            <w:r>
              <w:rPr>
                <w:rFonts w:ascii="Arial" w:cs="Arial" w:eastAsia="Arial" w:hAnsi="Arial"/>
                <w:sz w:val="13"/>
                <w:szCs w:val="13"/>
                <w:color w:val="auto"/>
              </w:rPr>
              <w:t>398</w:t>
            </w:r>
          </w:p>
        </w:tc>
      </w:tr>
      <w:tr>
        <w:trPr>
          <w:trHeight w:val="135"/>
        </w:trPr>
        <w:tc>
          <w:tcPr>
            <w:tcW w:w="1920" w:type="dxa"/>
            <w:vAlign w:val="bottom"/>
            <w:gridSpan w:val="2"/>
          </w:tcPr>
          <w:p>
            <w:pPr>
              <w:spacing w:after="0" w:line="135" w:lineRule="exact"/>
              <w:rPr>
                <w:sz w:val="20"/>
                <w:szCs w:val="20"/>
                <w:color w:val="auto"/>
              </w:rPr>
            </w:pPr>
            <w:r>
              <w:rPr>
                <w:rFonts w:ascii="Arial" w:cs="Arial" w:eastAsia="Arial" w:hAnsi="Arial"/>
                <w:sz w:val="13"/>
                <w:szCs w:val="13"/>
                <w:color w:val="auto"/>
              </w:rPr>
              <w:t>Asia</w:t>
            </w: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shd w:val="clear" w:color="auto" w:fill="D8D8D8"/>
          </w:tcPr>
          <w:p>
            <w:pPr>
              <w:spacing w:after="0"/>
              <w:rPr>
                <w:sz w:val="11"/>
                <w:szCs w:val="11"/>
                <w:color w:val="auto"/>
              </w:rPr>
            </w:pPr>
          </w:p>
        </w:tc>
        <w:tc>
          <w:tcPr>
            <w:tcW w:w="660" w:type="dxa"/>
            <w:vAlign w:val="bottom"/>
            <w:tcBorders>
              <w:right w:val="single" w:sz="8" w:color="D8D8D8"/>
            </w:tcBorders>
            <w:shd w:val="clear" w:color="auto" w:fill="D8D8D8"/>
          </w:tcPr>
          <w:p>
            <w:pPr>
              <w:jc w:val="right"/>
              <w:ind w:right="157"/>
              <w:spacing w:after="0" w:line="135" w:lineRule="exact"/>
              <w:rPr>
                <w:sz w:val="20"/>
                <w:szCs w:val="20"/>
                <w:color w:val="auto"/>
              </w:rPr>
            </w:pPr>
            <w:r>
              <w:rPr>
                <w:rFonts w:ascii="Arial" w:cs="Arial" w:eastAsia="Arial" w:hAnsi="Arial"/>
                <w:sz w:val="13"/>
                <w:szCs w:val="13"/>
                <w:color w:val="auto"/>
              </w:rPr>
              <w:t>7,529</w:t>
            </w:r>
          </w:p>
        </w:tc>
        <w:tc>
          <w:tcPr>
            <w:tcW w:w="460" w:type="dxa"/>
            <w:vAlign w:val="bottom"/>
            <w:gridSpan w:val="2"/>
            <w:shd w:val="clear" w:color="auto" w:fill="D8D8D8"/>
          </w:tcPr>
          <w:p>
            <w:pPr>
              <w:jc w:val="right"/>
              <w:ind w:right="17"/>
              <w:spacing w:after="0" w:line="135" w:lineRule="exact"/>
              <w:rPr>
                <w:sz w:val="20"/>
                <w:szCs w:val="20"/>
                <w:color w:val="auto"/>
              </w:rPr>
            </w:pPr>
            <w:r>
              <w:rPr>
                <w:rFonts w:ascii="Arial" w:cs="Arial" w:eastAsia="Arial" w:hAnsi="Arial"/>
                <w:sz w:val="13"/>
                <w:szCs w:val="13"/>
                <w:color w:val="auto"/>
              </w:rPr>
              <w:t>2,643</w:t>
            </w:r>
          </w:p>
        </w:tc>
        <w:tc>
          <w:tcPr>
            <w:tcW w:w="140" w:type="dxa"/>
            <w:vAlign w:val="bottom"/>
            <w:shd w:val="clear" w:color="auto" w:fill="D8D8D8"/>
          </w:tcPr>
          <w:p>
            <w:pPr>
              <w:spacing w:after="0"/>
              <w:rPr>
                <w:sz w:val="11"/>
                <w:szCs w:val="11"/>
                <w:color w:val="auto"/>
              </w:rPr>
            </w:pPr>
          </w:p>
        </w:tc>
        <w:tc>
          <w:tcPr>
            <w:tcW w:w="100" w:type="dxa"/>
            <w:vAlign w:val="bottom"/>
            <w:shd w:val="clear" w:color="auto" w:fill="D8D8D8"/>
          </w:tcPr>
          <w:p>
            <w:pPr>
              <w:spacing w:after="0"/>
              <w:rPr>
                <w:sz w:val="11"/>
                <w:szCs w:val="11"/>
                <w:color w:val="auto"/>
              </w:rPr>
            </w:pPr>
          </w:p>
        </w:tc>
        <w:tc>
          <w:tcPr>
            <w:tcW w:w="380" w:type="dxa"/>
            <w:vAlign w:val="bottom"/>
            <w:shd w:val="clear" w:color="auto" w:fill="D8D8D8"/>
          </w:tcPr>
          <w:p>
            <w:pPr>
              <w:jc w:val="right"/>
              <w:spacing w:after="0" w:line="135" w:lineRule="exact"/>
              <w:rPr>
                <w:sz w:val="20"/>
                <w:szCs w:val="20"/>
                <w:color w:val="auto"/>
              </w:rPr>
            </w:pPr>
            <w:r>
              <w:rPr>
                <w:rFonts w:ascii="Arial" w:cs="Arial" w:eastAsia="Arial" w:hAnsi="Arial"/>
                <w:sz w:val="13"/>
                <w:szCs w:val="13"/>
                <w:color w:val="auto"/>
              </w:rPr>
              <w:t>353</w:t>
            </w:r>
          </w:p>
        </w:tc>
        <w:tc>
          <w:tcPr>
            <w:tcW w:w="580" w:type="dxa"/>
            <w:vAlign w:val="bottom"/>
            <w:gridSpan w:val="3"/>
            <w:shd w:val="clear" w:color="auto" w:fill="D8D8D8"/>
          </w:tcPr>
          <w:p>
            <w:pPr>
              <w:jc w:val="right"/>
              <w:ind w:right="100"/>
              <w:spacing w:after="0" w:line="135" w:lineRule="exact"/>
              <w:rPr>
                <w:sz w:val="20"/>
                <w:szCs w:val="20"/>
                <w:color w:val="auto"/>
              </w:rPr>
            </w:pPr>
            <w:r>
              <w:rPr>
                <w:rFonts w:ascii="Arial" w:cs="Arial" w:eastAsia="Arial" w:hAnsi="Arial"/>
                <w:sz w:val="13"/>
                <w:szCs w:val="13"/>
                <w:color w:val="auto"/>
              </w:rPr>
              <w:t>198</w:t>
            </w:r>
          </w:p>
        </w:tc>
        <w:tc>
          <w:tcPr>
            <w:tcW w:w="70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8,187</w:t>
            </w:r>
          </w:p>
        </w:tc>
        <w:tc>
          <w:tcPr>
            <w:tcW w:w="600" w:type="dxa"/>
            <w:vAlign w:val="bottom"/>
          </w:tcPr>
          <w:p>
            <w:pPr>
              <w:jc w:val="right"/>
              <w:spacing w:after="0" w:line="135" w:lineRule="exact"/>
              <w:rPr>
                <w:sz w:val="20"/>
                <w:szCs w:val="20"/>
                <w:color w:val="auto"/>
              </w:rPr>
            </w:pPr>
            <w:r>
              <w:rPr>
                <w:rFonts w:ascii="Arial" w:cs="Arial" w:eastAsia="Arial" w:hAnsi="Arial"/>
                <w:sz w:val="13"/>
                <w:szCs w:val="13"/>
                <w:color w:val="auto"/>
              </w:rPr>
              <w:t>2,578</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340</w:t>
            </w:r>
          </w:p>
        </w:tc>
        <w:tc>
          <w:tcPr>
            <w:tcW w:w="560" w:type="dxa"/>
            <w:vAlign w:val="bottom"/>
          </w:tcPr>
          <w:p>
            <w:pPr>
              <w:jc w:val="right"/>
              <w:ind w:right="37"/>
              <w:spacing w:after="0" w:line="135" w:lineRule="exact"/>
              <w:rPr>
                <w:sz w:val="20"/>
                <w:szCs w:val="20"/>
                <w:color w:val="auto"/>
              </w:rPr>
            </w:pPr>
            <w:r>
              <w:rPr>
                <w:rFonts w:ascii="Arial" w:cs="Arial" w:eastAsia="Arial" w:hAnsi="Arial"/>
                <w:sz w:val="13"/>
                <w:szCs w:val="13"/>
                <w:color w:val="auto"/>
              </w:rPr>
              <w:t>192</w:t>
            </w:r>
          </w:p>
        </w:tc>
        <w:tc>
          <w:tcPr>
            <w:tcW w:w="140" w:type="dxa"/>
            <w:vAlign w:val="bottom"/>
          </w:tcPr>
          <w:p>
            <w:pPr>
              <w:spacing w:after="0"/>
              <w:rPr>
                <w:sz w:val="11"/>
                <w:szCs w:val="11"/>
                <w:color w:val="auto"/>
              </w:rPr>
            </w:pPr>
          </w:p>
        </w:tc>
        <w:tc>
          <w:tcPr>
            <w:tcW w:w="640" w:type="dxa"/>
            <w:vAlign w:val="bottom"/>
            <w:gridSpan w:val="2"/>
          </w:tcPr>
          <w:p>
            <w:pPr>
              <w:jc w:val="right"/>
              <w:ind w:right="57"/>
              <w:spacing w:after="0" w:line="135" w:lineRule="exact"/>
              <w:rPr>
                <w:sz w:val="20"/>
                <w:szCs w:val="20"/>
                <w:color w:val="auto"/>
              </w:rPr>
            </w:pPr>
            <w:r>
              <w:rPr>
                <w:rFonts w:ascii="Arial" w:cs="Arial" w:eastAsia="Arial" w:hAnsi="Arial"/>
                <w:sz w:val="13"/>
                <w:szCs w:val="13"/>
                <w:color w:val="auto"/>
              </w:rPr>
              <w:t>7,392</w:t>
            </w:r>
          </w:p>
        </w:tc>
        <w:tc>
          <w:tcPr>
            <w:tcW w:w="580" w:type="dxa"/>
            <w:vAlign w:val="bottom"/>
          </w:tcPr>
          <w:p>
            <w:pPr>
              <w:jc w:val="right"/>
              <w:ind w:right="36"/>
              <w:spacing w:after="0" w:line="135" w:lineRule="exact"/>
              <w:rPr>
                <w:sz w:val="20"/>
                <w:szCs w:val="20"/>
                <w:color w:val="auto"/>
              </w:rPr>
            </w:pPr>
            <w:r>
              <w:rPr>
                <w:rFonts w:ascii="Arial" w:cs="Arial" w:eastAsia="Arial" w:hAnsi="Arial"/>
                <w:sz w:val="13"/>
                <w:szCs w:val="13"/>
                <w:color w:val="auto"/>
              </w:rPr>
              <w:t>2,345</w:t>
            </w:r>
          </w:p>
        </w:tc>
        <w:tc>
          <w:tcPr>
            <w:tcW w:w="140" w:type="dxa"/>
            <w:vAlign w:val="bottom"/>
          </w:tcPr>
          <w:p>
            <w:pPr>
              <w:spacing w:after="0"/>
              <w:rPr>
                <w:sz w:val="11"/>
                <w:szCs w:val="11"/>
                <w:color w:val="auto"/>
              </w:rPr>
            </w:pPr>
          </w:p>
        </w:tc>
        <w:tc>
          <w:tcPr>
            <w:tcW w:w="520" w:type="dxa"/>
            <w:vAlign w:val="bottom"/>
          </w:tcPr>
          <w:p>
            <w:pPr>
              <w:jc w:val="right"/>
              <w:spacing w:after="0" w:line="135" w:lineRule="exact"/>
              <w:rPr>
                <w:sz w:val="20"/>
                <w:szCs w:val="20"/>
                <w:color w:val="auto"/>
              </w:rPr>
            </w:pPr>
            <w:r>
              <w:rPr>
                <w:rFonts w:ascii="Arial" w:cs="Arial" w:eastAsia="Arial" w:hAnsi="Arial"/>
                <w:sz w:val="13"/>
                <w:szCs w:val="13"/>
                <w:color w:val="auto"/>
              </w:rPr>
              <w:t>248</w:t>
            </w:r>
          </w:p>
        </w:tc>
        <w:tc>
          <w:tcPr>
            <w:tcW w:w="600" w:type="dxa"/>
            <w:vAlign w:val="bottom"/>
          </w:tcPr>
          <w:p>
            <w:pPr>
              <w:jc w:val="right"/>
              <w:ind w:right="77"/>
              <w:spacing w:after="0" w:line="135" w:lineRule="exact"/>
              <w:rPr>
                <w:sz w:val="20"/>
                <w:szCs w:val="20"/>
                <w:color w:val="auto"/>
              </w:rPr>
            </w:pPr>
            <w:r>
              <w:rPr>
                <w:rFonts w:ascii="Arial" w:cs="Arial" w:eastAsia="Arial" w:hAnsi="Arial"/>
                <w:sz w:val="13"/>
                <w:szCs w:val="13"/>
                <w:color w:val="auto"/>
              </w:rPr>
              <w:t>118</w:t>
            </w:r>
          </w:p>
        </w:tc>
      </w:tr>
      <w:tr>
        <w:trPr>
          <w:trHeight w:val="135"/>
        </w:trPr>
        <w:tc>
          <w:tcPr>
            <w:tcW w:w="1920" w:type="dxa"/>
            <w:vAlign w:val="bottom"/>
            <w:gridSpan w:val="2"/>
          </w:tcPr>
          <w:p>
            <w:pPr>
              <w:spacing w:after="0" w:line="135" w:lineRule="exact"/>
              <w:rPr>
                <w:sz w:val="20"/>
                <w:szCs w:val="20"/>
                <w:color w:val="auto"/>
              </w:rPr>
            </w:pPr>
            <w:r>
              <w:rPr>
                <w:rFonts w:ascii="Arial" w:cs="Arial" w:eastAsia="Arial" w:hAnsi="Arial"/>
                <w:sz w:val="13"/>
                <w:szCs w:val="13"/>
                <w:color w:val="auto"/>
              </w:rPr>
              <w:t>Oceania</w:t>
            </w: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shd w:val="clear" w:color="auto" w:fill="D8D8D8"/>
          </w:tcPr>
          <w:p>
            <w:pPr>
              <w:spacing w:after="0"/>
              <w:rPr>
                <w:sz w:val="11"/>
                <w:szCs w:val="11"/>
                <w:color w:val="auto"/>
              </w:rPr>
            </w:pPr>
          </w:p>
        </w:tc>
        <w:tc>
          <w:tcPr>
            <w:tcW w:w="660" w:type="dxa"/>
            <w:vAlign w:val="bottom"/>
            <w:tcBorders>
              <w:right w:val="single" w:sz="8" w:color="D8D8D8"/>
            </w:tcBorders>
            <w:shd w:val="clear" w:color="auto" w:fill="D8D8D8"/>
          </w:tcPr>
          <w:p>
            <w:pPr>
              <w:jc w:val="right"/>
              <w:ind w:right="157"/>
              <w:spacing w:after="0" w:line="135" w:lineRule="exact"/>
              <w:rPr>
                <w:sz w:val="20"/>
                <w:szCs w:val="20"/>
                <w:color w:val="auto"/>
              </w:rPr>
            </w:pPr>
            <w:r>
              <w:rPr>
                <w:rFonts w:ascii="Arial" w:cs="Arial" w:eastAsia="Arial" w:hAnsi="Arial"/>
                <w:sz w:val="13"/>
                <w:szCs w:val="13"/>
                <w:color w:val="auto"/>
              </w:rPr>
              <w:t>44</w:t>
            </w:r>
          </w:p>
        </w:tc>
        <w:tc>
          <w:tcPr>
            <w:tcW w:w="460" w:type="dxa"/>
            <w:vAlign w:val="bottom"/>
            <w:gridSpan w:val="2"/>
            <w:shd w:val="clear" w:color="auto" w:fill="D8D8D8"/>
          </w:tcPr>
          <w:p>
            <w:pPr>
              <w:jc w:val="right"/>
              <w:ind w:right="17"/>
              <w:spacing w:after="0" w:line="135" w:lineRule="exact"/>
              <w:rPr>
                <w:sz w:val="20"/>
                <w:szCs w:val="20"/>
                <w:color w:val="auto"/>
              </w:rPr>
            </w:pPr>
            <w:r>
              <w:rPr>
                <w:rFonts w:ascii="Arial" w:cs="Arial" w:eastAsia="Arial" w:hAnsi="Arial"/>
                <w:sz w:val="13"/>
                <w:szCs w:val="13"/>
                <w:color w:val="auto"/>
              </w:rPr>
              <w:t>3</w:t>
            </w:r>
          </w:p>
        </w:tc>
        <w:tc>
          <w:tcPr>
            <w:tcW w:w="140" w:type="dxa"/>
            <w:vAlign w:val="bottom"/>
            <w:shd w:val="clear" w:color="auto" w:fill="D8D8D8"/>
          </w:tcPr>
          <w:p>
            <w:pPr>
              <w:spacing w:after="0"/>
              <w:rPr>
                <w:sz w:val="11"/>
                <w:szCs w:val="11"/>
                <w:color w:val="auto"/>
              </w:rPr>
            </w:pPr>
          </w:p>
        </w:tc>
        <w:tc>
          <w:tcPr>
            <w:tcW w:w="100" w:type="dxa"/>
            <w:vAlign w:val="bottom"/>
            <w:shd w:val="clear" w:color="auto" w:fill="D8D8D8"/>
          </w:tcPr>
          <w:p>
            <w:pPr>
              <w:spacing w:after="0"/>
              <w:rPr>
                <w:sz w:val="11"/>
                <w:szCs w:val="11"/>
                <w:color w:val="auto"/>
              </w:rPr>
            </w:pPr>
          </w:p>
        </w:tc>
        <w:tc>
          <w:tcPr>
            <w:tcW w:w="380" w:type="dxa"/>
            <w:vAlign w:val="bottom"/>
            <w:shd w:val="clear" w:color="auto" w:fill="D8D8D8"/>
          </w:tcPr>
          <w:p>
            <w:pPr>
              <w:jc w:val="right"/>
              <w:spacing w:after="0" w:line="135" w:lineRule="exact"/>
              <w:rPr>
                <w:sz w:val="20"/>
                <w:szCs w:val="20"/>
                <w:color w:val="auto"/>
              </w:rPr>
            </w:pPr>
            <w:r>
              <w:rPr>
                <w:rFonts w:ascii="Arial" w:cs="Arial" w:eastAsia="Arial" w:hAnsi="Arial"/>
                <w:sz w:val="13"/>
                <w:szCs w:val="13"/>
                <w:color w:val="auto"/>
              </w:rPr>
              <w:t>625</w:t>
            </w:r>
          </w:p>
        </w:tc>
        <w:tc>
          <w:tcPr>
            <w:tcW w:w="580" w:type="dxa"/>
            <w:vAlign w:val="bottom"/>
            <w:gridSpan w:val="3"/>
            <w:shd w:val="clear" w:color="auto" w:fill="D8D8D8"/>
          </w:tcPr>
          <w:p>
            <w:pPr>
              <w:jc w:val="right"/>
              <w:ind w:right="100"/>
              <w:spacing w:after="0" w:line="135" w:lineRule="exact"/>
              <w:rPr>
                <w:sz w:val="20"/>
                <w:szCs w:val="20"/>
                <w:color w:val="auto"/>
              </w:rPr>
            </w:pPr>
            <w:r>
              <w:rPr>
                <w:rFonts w:ascii="Arial" w:cs="Arial" w:eastAsia="Arial" w:hAnsi="Arial"/>
                <w:sz w:val="13"/>
                <w:szCs w:val="13"/>
                <w:color w:val="auto"/>
              </w:rPr>
              <w:t>235</w:t>
            </w:r>
          </w:p>
        </w:tc>
        <w:tc>
          <w:tcPr>
            <w:tcW w:w="70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44</w:t>
            </w:r>
          </w:p>
        </w:tc>
        <w:tc>
          <w:tcPr>
            <w:tcW w:w="600" w:type="dxa"/>
            <w:vAlign w:val="bottom"/>
          </w:tcPr>
          <w:p>
            <w:pPr>
              <w:jc w:val="right"/>
              <w:spacing w:after="0" w:line="135" w:lineRule="exact"/>
              <w:rPr>
                <w:sz w:val="20"/>
                <w:szCs w:val="20"/>
                <w:color w:val="auto"/>
              </w:rPr>
            </w:pPr>
            <w:r>
              <w:rPr>
                <w:rFonts w:ascii="Arial" w:cs="Arial" w:eastAsia="Arial" w:hAnsi="Arial"/>
                <w:sz w:val="13"/>
                <w:szCs w:val="13"/>
                <w:color w:val="auto"/>
              </w:rPr>
              <w:t>5</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655</w:t>
            </w:r>
          </w:p>
        </w:tc>
        <w:tc>
          <w:tcPr>
            <w:tcW w:w="560" w:type="dxa"/>
            <w:vAlign w:val="bottom"/>
          </w:tcPr>
          <w:p>
            <w:pPr>
              <w:jc w:val="right"/>
              <w:ind w:right="37"/>
              <w:spacing w:after="0" w:line="135" w:lineRule="exact"/>
              <w:rPr>
                <w:sz w:val="20"/>
                <w:szCs w:val="20"/>
                <w:color w:val="auto"/>
              </w:rPr>
            </w:pPr>
            <w:r>
              <w:rPr>
                <w:rFonts w:ascii="Arial" w:cs="Arial" w:eastAsia="Arial" w:hAnsi="Arial"/>
                <w:sz w:val="13"/>
                <w:szCs w:val="13"/>
                <w:color w:val="auto"/>
              </w:rPr>
              <w:t>244</w:t>
            </w:r>
          </w:p>
        </w:tc>
        <w:tc>
          <w:tcPr>
            <w:tcW w:w="140" w:type="dxa"/>
            <w:vAlign w:val="bottom"/>
          </w:tcPr>
          <w:p>
            <w:pPr>
              <w:spacing w:after="0"/>
              <w:rPr>
                <w:sz w:val="11"/>
                <w:szCs w:val="11"/>
                <w:color w:val="auto"/>
              </w:rPr>
            </w:pPr>
          </w:p>
        </w:tc>
        <w:tc>
          <w:tcPr>
            <w:tcW w:w="640" w:type="dxa"/>
            <w:vAlign w:val="bottom"/>
            <w:gridSpan w:val="2"/>
          </w:tcPr>
          <w:p>
            <w:pPr>
              <w:jc w:val="right"/>
              <w:ind w:right="57"/>
              <w:spacing w:after="0" w:line="135" w:lineRule="exact"/>
              <w:rPr>
                <w:sz w:val="20"/>
                <w:szCs w:val="20"/>
                <w:color w:val="auto"/>
              </w:rPr>
            </w:pPr>
            <w:r>
              <w:rPr>
                <w:rFonts w:ascii="Arial" w:cs="Arial" w:eastAsia="Arial" w:hAnsi="Arial"/>
                <w:sz w:val="13"/>
                <w:szCs w:val="13"/>
                <w:color w:val="auto"/>
              </w:rPr>
              <w:t>48</w:t>
            </w:r>
          </w:p>
        </w:tc>
        <w:tc>
          <w:tcPr>
            <w:tcW w:w="580" w:type="dxa"/>
            <w:vAlign w:val="bottom"/>
          </w:tcPr>
          <w:p>
            <w:pPr>
              <w:jc w:val="right"/>
              <w:ind w:right="36"/>
              <w:spacing w:after="0" w:line="135" w:lineRule="exact"/>
              <w:rPr>
                <w:sz w:val="20"/>
                <w:szCs w:val="20"/>
                <w:color w:val="auto"/>
              </w:rPr>
            </w:pPr>
            <w:r>
              <w:rPr>
                <w:rFonts w:ascii="Arial" w:cs="Arial" w:eastAsia="Arial" w:hAnsi="Arial"/>
                <w:sz w:val="13"/>
                <w:szCs w:val="13"/>
                <w:color w:val="auto"/>
              </w:rPr>
              <w:t>5</w:t>
            </w:r>
          </w:p>
        </w:tc>
        <w:tc>
          <w:tcPr>
            <w:tcW w:w="140" w:type="dxa"/>
            <w:vAlign w:val="bottom"/>
          </w:tcPr>
          <w:p>
            <w:pPr>
              <w:spacing w:after="0"/>
              <w:rPr>
                <w:sz w:val="11"/>
                <w:szCs w:val="11"/>
                <w:color w:val="auto"/>
              </w:rPr>
            </w:pPr>
          </w:p>
        </w:tc>
        <w:tc>
          <w:tcPr>
            <w:tcW w:w="520" w:type="dxa"/>
            <w:vAlign w:val="bottom"/>
          </w:tcPr>
          <w:p>
            <w:pPr>
              <w:jc w:val="right"/>
              <w:spacing w:after="0" w:line="135" w:lineRule="exact"/>
              <w:rPr>
                <w:sz w:val="20"/>
                <w:szCs w:val="20"/>
                <w:color w:val="auto"/>
              </w:rPr>
            </w:pPr>
            <w:r>
              <w:rPr>
                <w:rFonts w:ascii="Arial" w:cs="Arial" w:eastAsia="Arial" w:hAnsi="Arial"/>
                <w:sz w:val="13"/>
                <w:szCs w:val="13"/>
                <w:color w:val="auto"/>
              </w:rPr>
              <w:t>574</w:t>
            </w:r>
          </w:p>
        </w:tc>
        <w:tc>
          <w:tcPr>
            <w:tcW w:w="600" w:type="dxa"/>
            <w:vAlign w:val="bottom"/>
          </w:tcPr>
          <w:p>
            <w:pPr>
              <w:jc w:val="right"/>
              <w:ind w:right="77"/>
              <w:spacing w:after="0" w:line="135" w:lineRule="exact"/>
              <w:rPr>
                <w:sz w:val="20"/>
                <w:szCs w:val="20"/>
                <w:color w:val="auto"/>
              </w:rPr>
            </w:pPr>
            <w:r>
              <w:rPr>
                <w:rFonts w:ascii="Arial" w:cs="Arial" w:eastAsia="Arial" w:hAnsi="Arial"/>
                <w:sz w:val="13"/>
                <w:szCs w:val="13"/>
                <w:color w:val="auto"/>
              </w:rPr>
              <w:t>217</w:t>
            </w:r>
          </w:p>
        </w:tc>
      </w:tr>
      <w:tr>
        <w:trPr>
          <w:trHeight w:val="135"/>
        </w:trPr>
        <w:tc>
          <w:tcPr>
            <w:tcW w:w="1920" w:type="dxa"/>
            <w:vAlign w:val="bottom"/>
            <w:gridSpan w:val="2"/>
          </w:tcPr>
          <w:p>
            <w:pPr>
              <w:spacing w:after="0" w:line="135" w:lineRule="exact"/>
              <w:rPr>
                <w:sz w:val="20"/>
                <w:szCs w:val="20"/>
                <w:color w:val="auto"/>
              </w:rPr>
            </w:pPr>
            <w:r>
              <w:rPr>
                <w:rFonts w:ascii="Arial" w:cs="Arial" w:eastAsia="Arial" w:hAnsi="Arial"/>
                <w:sz w:val="13"/>
                <w:szCs w:val="13"/>
                <w:color w:val="auto"/>
              </w:rPr>
              <w:t>Africa</w:t>
            </w: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shd w:val="clear" w:color="auto" w:fill="D8D8D8"/>
          </w:tcPr>
          <w:p>
            <w:pPr>
              <w:spacing w:after="0"/>
              <w:rPr>
                <w:sz w:val="11"/>
                <w:szCs w:val="11"/>
                <w:color w:val="auto"/>
              </w:rPr>
            </w:pPr>
          </w:p>
        </w:tc>
        <w:tc>
          <w:tcPr>
            <w:tcW w:w="660" w:type="dxa"/>
            <w:vAlign w:val="bottom"/>
            <w:tcBorders>
              <w:right w:val="single" w:sz="8" w:color="D8D8D8"/>
            </w:tcBorders>
            <w:shd w:val="clear" w:color="auto" w:fill="D8D8D8"/>
          </w:tcPr>
          <w:p>
            <w:pPr>
              <w:jc w:val="right"/>
              <w:ind w:right="157"/>
              <w:spacing w:after="0" w:line="135" w:lineRule="exact"/>
              <w:rPr>
                <w:sz w:val="20"/>
                <w:szCs w:val="20"/>
                <w:color w:val="auto"/>
              </w:rPr>
            </w:pPr>
            <w:r>
              <w:rPr>
                <w:rFonts w:ascii="Arial" w:cs="Arial" w:eastAsia="Arial" w:hAnsi="Arial"/>
                <w:sz w:val="13"/>
                <w:szCs w:val="13"/>
                <w:color w:val="auto"/>
              </w:rPr>
              <w:t>891</w:t>
            </w:r>
          </w:p>
        </w:tc>
        <w:tc>
          <w:tcPr>
            <w:tcW w:w="460" w:type="dxa"/>
            <w:vAlign w:val="bottom"/>
            <w:gridSpan w:val="2"/>
            <w:shd w:val="clear" w:color="auto" w:fill="D8D8D8"/>
          </w:tcPr>
          <w:p>
            <w:pPr>
              <w:jc w:val="right"/>
              <w:ind w:right="17"/>
              <w:spacing w:after="0" w:line="135" w:lineRule="exact"/>
              <w:rPr>
                <w:sz w:val="20"/>
                <w:szCs w:val="20"/>
                <w:color w:val="auto"/>
              </w:rPr>
            </w:pPr>
            <w:r>
              <w:rPr>
                <w:rFonts w:ascii="Arial" w:cs="Arial" w:eastAsia="Arial" w:hAnsi="Arial"/>
                <w:sz w:val="13"/>
                <w:szCs w:val="13"/>
                <w:color w:val="auto"/>
              </w:rPr>
              <w:t>352</w:t>
            </w:r>
          </w:p>
        </w:tc>
        <w:tc>
          <w:tcPr>
            <w:tcW w:w="140" w:type="dxa"/>
            <w:vAlign w:val="bottom"/>
            <w:shd w:val="clear" w:color="auto" w:fill="D8D8D8"/>
          </w:tcPr>
          <w:p>
            <w:pPr>
              <w:spacing w:after="0"/>
              <w:rPr>
                <w:sz w:val="11"/>
                <w:szCs w:val="11"/>
                <w:color w:val="auto"/>
              </w:rPr>
            </w:pPr>
          </w:p>
        </w:tc>
        <w:tc>
          <w:tcPr>
            <w:tcW w:w="100" w:type="dxa"/>
            <w:vAlign w:val="bottom"/>
            <w:shd w:val="clear" w:color="auto" w:fill="D8D8D8"/>
          </w:tcPr>
          <w:p>
            <w:pPr>
              <w:spacing w:after="0"/>
              <w:rPr>
                <w:sz w:val="11"/>
                <w:szCs w:val="11"/>
                <w:color w:val="auto"/>
              </w:rPr>
            </w:pPr>
          </w:p>
        </w:tc>
        <w:tc>
          <w:tcPr>
            <w:tcW w:w="380" w:type="dxa"/>
            <w:vAlign w:val="bottom"/>
            <w:shd w:val="clear" w:color="auto" w:fill="D8D8D8"/>
          </w:tcPr>
          <w:p>
            <w:pPr>
              <w:jc w:val="right"/>
              <w:spacing w:after="0" w:line="135" w:lineRule="exact"/>
              <w:rPr>
                <w:sz w:val="20"/>
                <w:szCs w:val="20"/>
                <w:color w:val="auto"/>
              </w:rPr>
            </w:pPr>
            <w:r>
              <w:rPr>
                <w:rFonts w:ascii="Arial" w:cs="Arial" w:eastAsia="Arial" w:hAnsi="Arial"/>
                <w:sz w:val="13"/>
                <w:szCs w:val="13"/>
                <w:color w:val="auto"/>
              </w:rPr>
              <w:t>116</w:t>
            </w:r>
          </w:p>
        </w:tc>
        <w:tc>
          <w:tcPr>
            <w:tcW w:w="580" w:type="dxa"/>
            <w:vAlign w:val="bottom"/>
            <w:gridSpan w:val="3"/>
            <w:shd w:val="clear" w:color="auto" w:fill="D8D8D8"/>
          </w:tcPr>
          <w:p>
            <w:pPr>
              <w:jc w:val="right"/>
              <w:ind w:right="100"/>
              <w:spacing w:after="0" w:line="135" w:lineRule="exact"/>
              <w:rPr>
                <w:sz w:val="20"/>
                <w:szCs w:val="20"/>
                <w:color w:val="auto"/>
              </w:rPr>
            </w:pPr>
            <w:r>
              <w:rPr>
                <w:rFonts w:ascii="Arial" w:cs="Arial" w:eastAsia="Arial" w:hAnsi="Arial"/>
                <w:sz w:val="13"/>
                <w:szCs w:val="13"/>
                <w:color w:val="auto"/>
              </w:rPr>
              <w:t>79</w:t>
            </w:r>
          </w:p>
        </w:tc>
        <w:tc>
          <w:tcPr>
            <w:tcW w:w="70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920</w:t>
            </w:r>
          </w:p>
        </w:tc>
        <w:tc>
          <w:tcPr>
            <w:tcW w:w="600" w:type="dxa"/>
            <w:vAlign w:val="bottom"/>
          </w:tcPr>
          <w:p>
            <w:pPr>
              <w:jc w:val="right"/>
              <w:spacing w:after="0" w:line="135" w:lineRule="exact"/>
              <w:rPr>
                <w:sz w:val="20"/>
                <w:szCs w:val="20"/>
                <w:color w:val="auto"/>
              </w:rPr>
            </w:pPr>
            <w:r>
              <w:rPr>
                <w:rFonts w:ascii="Arial" w:cs="Arial" w:eastAsia="Arial" w:hAnsi="Arial"/>
                <w:sz w:val="13"/>
                <w:szCs w:val="13"/>
                <w:color w:val="auto"/>
              </w:rPr>
              <w:t>351</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109</w:t>
            </w:r>
          </w:p>
        </w:tc>
        <w:tc>
          <w:tcPr>
            <w:tcW w:w="560" w:type="dxa"/>
            <w:vAlign w:val="bottom"/>
          </w:tcPr>
          <w:p>
            <w:pPr>
              <w:jc w:val="right"/>
              <w:ind w:right="37"/>
              <w:spacing w:after="0" w:line="135" w:lineRule="exact"/>
              <w:rPr>
                <w:sz w:val="20"/>
                <w:szCs w:val="20"/>
                <w:color w:val="auto"/>
              </w:rPr>
            </w:pPr>
            <w:r>
              <w:rPr>
                <w:rFonts w:ascii="Arial" w:cs="Arial" w:eastAsia="Arial" w:hAnsi="Arial"/>
                <w:sz w:val="13"/>
                <w:szCs w:val="13"/>
                <w:color w:val="auto"/>
              </w:rPr>
              <w:t>71</w:t>
            </w:r>
          </w:p>
        </w:tc>
        <w:tc>
          <w:tcPr>
            <w:tcW w:w="140" w:type="dxa"/>
            <w:vAlign w:val="bottom"/>
          </w:tcPr>
          <w:p>
            <w:pPr>
              <w:spacing w:after="0"/>
              <w:rPr>
                <w:sz w:val="11"/>
                <w:szCs w:val="11"/>
                <w:color w:val="auto"/>
              </w:rPr>
            </w:pPr>
          </w:p>
        </w:tc>
        <w:tc>
          <w:tcPr>
            <w:tcW w:w="640" w:type="dxa"/>
            <w:vAlign w:val="bottom"/>
            <w:gridSpan w:val="2"/>
          </w:tcPr>
          <w:p>
            <w:pPr>
              <w:jc w:val="right"/>
              <w:ind w:right="57"/>
              <w:spacing w:after="0" w:line="135" w:lineRule="exact"/>
              <w:rPr>
                <w:sz w:val="20"/>
                <w:szCs w:val="20"/>
                <w:color w:val="auto"/>
              </w:rPr>
            </w:pPr>
            <w:r>
              <w:rPr>
                <w:rFonts w:ascii="Arial" w:cs="Arial" w:eastAsia="Arial" w:hAnsi="Arial"/>
                <w:sz w:val="13"/>
                <w:szCs w:val="13"/>
                <w:color w:val="auto"/>
              </w:rPr>
              <w:t>837</w:t>
            </w:r>
          </w:p>
        </w:tc>
        <w:tc>
          <w:tcPr>
            <w:tcW w:w="580" w:type="dxa"/>
            <w:vAlign w:val="bottom"/>
          </w:tcPr>
          <w:p>
            <w:pPr>
              <w:jc w:val="right"/>
              <w:ind w:right="36"/>
              <w:spacing w:after="0" w:line="135" w:lineRule="exact"/>
              <w:rPr>
                <w:sz w:val="20"/>
                <w:szCs w:val="20"/>
                <w:color w:val="auto"/>
              </w:rPr>
            </w:pPr>
            <w:r>
              <w:rPr>
                <w:rFonts w:ascii="Arial" w:cs="Arial" w:eastAsia="Arial" w:hAnsi="Arial"/>
                <w:sz w:val="13"/>
                <w:szCs w:val="13"/>
                <w:color w:val="auto"/>
              </w:rPr>
              <w:t>324</w:t>
            </w:r>
          </w:p>
        </w:tc>
        <w:tc>
          <w:tcPr>
            <w:tcW w:w="140" w:type="dxa"/>
            <w:vAlign w:val="bottom"/>
          </w:tcPr>
          <w:p>
            <w:pPr>
              <w:spacing w:after="0"/>
              <w:rPr>
                <w:sz w:val="11"/>
                <w:szCs w:val="11"/>
                <w:color w:val="auto"/>
              </w:rPr>
            </w:pPr>
          </w:p>
        </w:tc>
        <w:tc>
          <w:tcPr>
            <w:tcW w:w="520" w:type="dxa"/>
            <w:vAlign w:val="bottom"/>
          </w:tcPr>
          <w:p>
            <w:pPr>
              <w:jc w:val="right"/>
              <w:spacing w:after="0" w:line="135" w:lineRule="exact"/>
              <w:rPr>
                <w:sz w:val="20"/>
                <w:szCs w:val="20"/>
                <w:color w:val="auto"/>
              </w:rPr>
            </w:pPr>
            <w:r>
              <w:rPr>
                <w:rFonts w:ascii="Arial" w:cs="Arial" w:eastAsia="Arial" w:hAnsi="Arial"/>
                <w:sz w:val="13"/>
                <w:szCs w:val="13"/>
                <w:color w:val="auto"/>
              </w:rPr>
              <w:t>95</w:t>
            </w:r>
          </w:p>
        </w:tc>
        <w:tc>
          <w:tcPr>
            <w:tcW w:w="600" w:type="dxa"/>
            <w:vAlign w:val="bottom"/>
          </w:tcPr>
          <w:p>
            <w:pPr>
              <w:jc w:val="right"/>
              <w:ind w:right="77"/>
              <w:spacing w:after="0" w:line="135" w:lineRule="exact"/>
              <w:rPr>
                <w:sz w:val="20"/>
                <w:szCs w:val="20"/>
                <w:color w:val="auto"/>
              </w:rPr>
            </w:pPr>
            <w:r>
              <w:rPr>
                <w:rFonts w:ascii="Arial" w:cs="Arial" w:eastAsia="Arial" w:hAnsi="Arial"/>
                <w:sz w:val="13"/>
                <w:szCs w:val="13"/>
                <w:color w:val="auto"/>
              </w:rPr>
              <w:t>62</w:t>
            </w:r>
          </w:p>
        </w:tc>
      </w:tr>
      <w:tr>
        <w:trPr>
          <w:trHeight w:val="135"/>
        </w:trPr>
        <w:tc>
          <w:tcPr>
            <w:tcW w:w="1920" w:type="dxa"/>
            <w:vAlign w:val="bottom"/>
            <w:gridSpan w:val="2"/>
          </w:tcPr>
          <w:p>
            <w:pPr>
              <w:spacing w:after="0" w:line="135" w:lineRule="exact"/>
              <w:rPr>
                <w:sz w:val="20"/>
                <w:szCs w:val="20"/>
                <w:color w:val="auto"/>
              </w:rPr>
            </w:pPr>
            <w:r>
              <w:rPr>
                <w:rFonts w:ascii="Arial" w:cs="Arial" w:eastAsia="Arial" w:hAnsi="Arial"/>
                <w:sz w:val="13"/>
                <w:szCs w:val="13"/>
                <w:color w:val="auto"/>
              </w:rPr>
              <w:t>North America – USA</w:t>
            </w: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shd w:val="clear" w:color="auto" w:fill="D8D8D8"/>
          </w:tcPr>
          <w:p>
            <w:pPr>
              <w:spacing w:after="0"/>
              <w:rPr>
                <w:sz w:val="11"/>
                <w:szCs w:val="11"/>
                <w:color w:val="auto"/>
              </w:rPr>
            </w:pPr>
          </w:p>
        </w:tc>
        <w:tc>
          <w:tcPr>
            <w:tcW w:w="660" w:type="dxa"/>
            <w:vAlign w:val="bottom"/>
            <w:tcBorders>
              <w:right w:val="single" w:sz="8" w:color="D8D8D8"/>
            </w:tcBorders>
            <w:shd w:val="clear" w:color="auto" w:fill="D8D8D8"/>
          </w:tcPr>
          <w:p>
            <w:pPr>
              <w:jc w:val="right"/>
              <w:ind w:right="157"/>
              <w:spacing w:after="0" w:line="135" w:lineRule="exact"/>
              <w:rPr>
                <w:sz w:val="20"/>
                <w:szCs w:val="20"/>
                <w:color w:val="auto"/>
              </w:rPr>
            </w:pPr>
            <w:r>
              <w:rPr>
                <w:rFonts w:ascii="Arial" w:cs="Arial" w:eastAsia="Arial" w:hAnsi="Arial"/>
                <w:sz w:val="13"/>
                <w:szCs w:val="13"/>
                <w:color w:val="auto"/>
              </w:rPr>
              <w:t>15,313</w:t>
            </w:r>
          </w:p>
        </w:tc>
        <w:tc>
          <w:tcPr>
            <w:tcW w:w="460" w:type="dxa"/>
            <w:vAlign w:val="bottom"/>
            <w:gridSpan w:val="2"/>
            <w:shd w:val="clear" w:color="auto" w:fill="D8D8D8"/>
          </w:tcPr>
          <w:p>
            <w:pPr>
              <w:jc w:val="right"/>
              <w:ind w:right="17"/>
              <w:spacing w:after="0" w:line="135" w:lineRule="exact"/>
              <w:rPr>
                <w:sz w:val="20"/>
                <w:szCs w:val="20"/>
                <w:color w:val="auto"/>
              </w:rPr>
            </w:pPr>
            <w:r>
              <w:rPr>
                <w:rFonts w:ascii="Arial" w:cs="Arial" w:eastAsia="Arial" w:hAnsi="Arial"/>
                <w:sz w:val="13"/>
                <w:szCs w:val="13"/>
                <w:color w:val="auto"/>
              </w:rPr>
              <w:t>7,760</w:t>
            </w:r>
          </w:p>
        </w:tc>
        <w:tc>
          <w:tcPr>
            <w:tcW w:w="140" w:type="dxa"/>
            <w:vAlign w:val="bottom"/>
            <w:shd w:val="clear" w:color="auto" w:fill="D8D8D8"/>
          </w:tcPr>
          <w:p>
            <w:pPr>
              <w:spacing w:after="0"/>
              <w:rPr>
                <w:sz w:val="11"/>
                <w:szCs w:val="11"/>
                <w:color w:val="auto"/>
              </w:rPr>
            </w:pPr>
          </w:p>
        </w:tc>
        <w:tc>
          <w:tcPr>
            <w:tcW w:w="100" w:type="dxa"/>
            <w:vAlign w:val="bottom"/>
            <w:shd w:val="clear" w:color="auto" w:fill="D8D8D8"/>
          </w:tcPr>
          <w:p>
            <w:pPr>
              <w:spacing w:after="0"/>
              <w:rPr>
                <w:sz w:val="11"/>
                <w:szCs w:val="11"/>
                <w:color w:val="auto"/>
              </w:rPr>
            </w:pPr>
          </w:p>
        </w:tc>
        <w:tc>
          <w:tcPr>
            <w:tcW w:w="380" w:type="dxa"/>
            <w:vAlign w:val="bottom"/>
            <w:shd w:val="clear" w:color="auto" w:fill="D8D8D8"/>
          </w:tcPr>
          <w:p>
            <w:pPr>
              <w:jc w:val="right"/>
              <w:spacing w:after="0" w:line="135" w:lineRule="exact"/>
              <w:rPr>
                <w:sz w:val="20"/>
                <w:szCs w:val="20"/>
                <w:color w:val="auto"/>
              </w:rPr>
            </w:pPr>
            <w:r>
              <w:rPr>
                <w:rFonts w:ascii="Arial" w:cs="Arial" w:eastAsia="Arial" w:hAnsi="Arial"/>
                <w:sz w:val="13"/>
                <w:szCs w:val="13"/>
                <w:color w:val="auto"/>
              </w:rPr>
              <w:t>2,555</w:t>
            </w:r>
          </w:p>
        </w:tc>
        <w:tc>
          <w:tcPr>
            <w:tcW w:w="580" w:type="dxa"/>
            <w:vAlign w:val="bottom"/>
            <w:gridSpan w:val="3"/>
            <w:shd w:val="clear" w:color="auto" w:fill="D8D8D8"/>
          </w:tcPr>
          <w:p>
            <w:pPr>
              <w:jc w:val="right"/>
              <w:ind w:right="100"/>
              <w:spacing w:after="0" w:line="135" w:lineRule="exact"/>
              <w:rPr>
                <w:sz w:val="20"/>
                <w:szCs w:val="20"/>
                <w:color w:val="auto"/>
              </w:rPr>
            </w:pPr>
            <w:r>
              <w:rPr>
                <w:rFonts w:ascii="Arial" w:cs="Arial" w:eastAsia="Arial" w:hAnsi="Arial"/>
                <w:sz w:val="13"/>
                <w:szCs w:val="13"/>
                <w:color w:val="auto"/>
              </w:rPr>
              <w:t>1,849</w:t>
            </w:r>
          </w:p>
        </w:tc>
        <w:tc>
          <w:tcPr>
            <w:tcW w:w="70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15,347</w:t>
            </w:r>
          </w:p>
        </w:tc>
        <w:tc>
          <w:tcPr>
            <w:tcW w:w="600" w:type="dxa"/>
            <w:vAlign w:val="bottom"/>
          </w:tcPr>
          <w:p>
            <w:pPr>
              <w:jc w:val="right"/>
              <w:spacing w:after="0" w:line="135" w:lineRule="exact"/>
              <w:rPr>
                <w:sz w:val="20"/>
                <w:szCs w:val="20"/>
                <w:color w:val="auto"/>
              </w:rPr>
            </w:pPr>
            <w:r>
              <w:rPr>
                <w:rFonts w:ascii="Arial" w:cs="Arial" w:eastAsia="Arial" w:hAnsi="Arial"/>
                <w:sz w:val="13"/>
                <w:szCs w:val="13"/>
                <w:color w:val="auto"/>
              </w:rPr>
              <w:t>8,150</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4,316</w:t>
            </w:r>
          </w:p>
        </w:tc>
        <w:tc>
          <w:tcPr>
            <w:tcW w:w="560" w:type="dxa"/>
            <w:vAlign w:val="bottom"/>
          </w:tcPr>
          <w:p>
            <w:pPr>
              <w:jc w:val="right"/>
              <w:ind w:right="37"/>
              <w:spacing w:after="0" w:line="135" w:lineRule="exact"/>
              <w:rPr>
                <w:sz w:val="20"/>
                <w:szCs w:val="20"/>
                <w:color w:val="auto"/>
              </w:rPr>
            </w:pPr>
            <w:r>
              <w:rPr>
                <w:rFonts w:ascii="Arial" w:cs="Arial" w:eastAsia="Arial" w:hAnsi="Arial"/>
                <w:sz w:val="13"/>
                <w:szCs w:val="13"/>
                <w:color w:val="auto"/>
              </w:rPr>
              <w:t>2,878</w:t>
            </w:r>
          </w:p>
        </w:tc>
        <w:tc>
          <w:tcPr>
            <w:tcW w:w="140" w:type="dxa"/>
            <w:vAlign w:val="bottom"/>
          </w:tcPr>
          <w:p>
            <w:pPr>
              <w:spacing w:after="0"/>
              <w:rPr>
                <w:sz w:val="11"/>
                <w:szCs w:val="11"/>
                <w:color w:val="auto"/>
              </w:rPr>
            </w:pPr>
          </w:p>
        </w:tc>
        <w:tc>
          <w:tcPr>
            <w:tcW w:w="640" w:type="dxa"/>
            <w:vAlign w:val="bottom"/>
            <w:gridSpan w:val="2"/>
          </w:tcPr>
          <w:p>
            <w:pPr>
              <w:jc w:val="right"/>
              <w:ind w:right="57"/>
              <w:spacing w:after="0" w:line="135" w:lineRule="exact"/>
              <w:rPr>
                <w:sz w:val="20"/>
                <w:szCs w:val="20"/>
                <w:color w:val="auto"/>
              </w:rPr>
            </w:pPr>
            <w:r>
              <w:rPr>
                <w:rFonts w:ascii="Arial" w:cs="Arial" w:eastAsia="Arial" w:hAnsi="Arial"/>
                <w:sz w:val="13"/>
                <w:szCs w:val="13"/>
                <w:color w:val="auto"/>
              </w:rPr>
              <w:t>15,108</w:t>
            </w:r>
          </w:p>
        </w:tc>
        <w:tc>
          <w:tcPr>
            <w:tcW w:w="580" w:type="dxa"/>
            <w:vAlign w:val="bottom"/>
          </w:tcPr>
          <w:p>
            <w:pPr>
              <w:jc w:val="right"/>
              <w:ind w:right="36"/>
              <w:spacing w:after="0" w:line="135" w:lineRule="exact"/>
              <w:rPr>
                <w:sz w:val="20"/>
                <w:szCs w:val="20"/>
                <w:color w:val="auto"/>
              </w:rPr>
            </w:pPr>
            <w:r>
              <w:rPr>
                <w:rFonts w:ascii="Arial" w:cs="Arial" w:eastAsia="Arial" w:hAnsi="Arial"/>
                <w:sz w:val="13"/>
                <w:szCs w:val="13"/>
                <w:color w:val="auto"/>
              </w:rPr>
              <w:t>7,630</w:t>
            </w:r>
          </w:p>
        </w:tc>
        <w:tc>
          <w:tcPr>
            <w:tcW w:w="140" w:type="dxa"/>
            <w:vAlign w:val="bottom"/>
          </w:tcPr>
          <w:p>
            <w:pPr>
              <w:spacing w:after="0"/>
              <w:rPr>
                <w:sz w:val="11"/>
                <w:szCs w:val="11"/>
                <w:color w:val="auto"/>
              </w:rPr>
            </w:pPr>
          </w:p>
        </w:tc>
        <w:tc>
          <w:tcPr>
            <w:tcW w:w="520" w:type="dxa"/>
            <w:vAlign w:val="bottom"/>
          </w:tcPr>
          <w:p>
            <w:pPr>
              <w:jc w:val="right"/>
              <w:spacing w:after="0" w:line="135" w:lineRule="exact"/>
              <w:rPr>
                <w:sz w:val="20"/>
                <w:szCs w:val="20"/>
                <w:color w:val="auto"/>
              </w:rPr>
            </w:pPr>
            <w:r>
              <w:rPr>
                <w:rFonts w:ascii="Arial" w:cs="Arial" w:eastAsia="Arial" w:hAnsi="Arial"/>
                <w:sz w:val="13"/>
                <w:szCs w:val="13"/>
                <w:color w:val="auto"/>
              </w:rPr>
              <w:t>4,618</w:t>
            </w:r>
          </w:p>
        </w:tc>
        <w:tc>
          <w:tcPr>
            <w:tcW w:w="600" w:type="dxa"/>
            <w:vAlign w:val="bottom"/>
          </w:tcPr>
          <w:p>
            <w:pPr>
              <w:jc w:val="right"/>
              <w:ind w:right="77"/>
              <w:spacing w:after="0" w:line="135" w:lineRule="exact"/>
              <w:rPr>
                <w:sz w:val="20"/>
                <w:szCs w:val="20"/>
                <w:color w:val="auto"/>
              </w:rPr>
            </w:pPr>
            <w:r>
              <w:rPr>
                <w:rFonts w:ascii="Arial" w:cs="Arial" w:eastAsia="Arial" w:hAnsi="Arial"/>
                <w:sz w:val="13"/>
                <w:szCs w:val="13"/>
                <w:color w:val="auto"/>
              </w:rPr>
              <w:t>2,808</w:t>
            </w:r>
          </w:p>
        </w:tc>
      </w:tr>
      <w:tr>
        <w:trPr>
          <w:trHeight w:val="135"/>
        </w:trPr>
        <w:tc>
          <w:tcPr>
            <w:tcW w:w="1920" w:type="dxa"/>
            <w:vAlign w:val="bottom"/>
            <w:gridSpan w:val="2"/>
          </w:tcPr>
          <w:p>
            <w:pPr>
              <w:spacing w:after="0" w:line="135" w:lineRule="exact"/>
              <w:rPr>
                <w:sz w:val="20"/>
                <w:szCs w:val="20"/>
                <w:color w:val="auto"/>
              </w:rPr>
            </w:pPr>
            <w:r>
              <w:rPr>
                <w:rFonts w:ascii="Arial" w:cs="Arial" w:eastAsia="Arial" w:hAnsi="Arial"/>
                <w:sz w:val="13"/>
                <w:szCs w:val="13"/>
                <w:color w:val="auto"/>
              </w:rPr>
              <w:t>North America – Canada</w:t>
            </w: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shd w:val="clear" w:color="auto" w:fill="D8D8D8"/>
          </w:tcPr>
          <w:p>
            <w:pPr>
              <w:spacing w:after="0"/>
              <w:rPr>
                <w:sz w:val="11"/>
                <w:szCs w:val="11"/>
                <w:color w:val="auto"/>
              </w:rPr>
            </w:pPr>
          </w:p>
        </w:tc>
        <w:tc>
          <w:tcPr>
            <w:tcW w:w="660" w:type="dxa"/>
            <w:vAlign w:val="bottom"/>
            <w:tcBorders>
              <w:right w:val="single" w:sz="8" w:color="D8D8D8"/>
            </w:tcBorders>
            <w:shd w:val="clear" w:color="auto" w:fill="D8D8D8"/>
          </w:tcPr>
          <w:p>
            <w:pPr>
              <w:jc w:val="right"/>
              <w:ind w:right="157"/>
              <w:spacing w:after="0" w:line="135" w:lineRule="exact"/>
              <w:rPr>
                <w:sz w:val="20"/>
                <w:szCs w:val="20"/>
                <w:color w:val="auto"/>
              </w:rPr>
            </w:pPr>
            <w:r>
              <w:rPr>
                <w:rFonts w:ascii="Arial" w:cs="Arial" w:eastAsia="Arial" w:hAnsi="Arial"/>
                <w:sz w:val="13"/>
                <w:szCs w:val="13"/>
                <w:color w:val="auto"/>
              </w:rPr>
              <w:t>325</w:t>
            </w:r>
          </w:p>
        </w:tc>
        <w:tc>
          <w:tcPr>
            <w:tcW w:w="460" w:type="dxa"/>
            <w:vAlign w:val="bottom"/>
            <w:gridSpan w:val="2"/>
            <w:shd w:val="clear" w:color="auto" w:fill="D8D8D8"/>
          </w:tcPr>
          <w:p>
            <w:pPr>
              <w:jc w:val="right"/>
              <w:ind w:right="17"/>
              <w:spacing w:after="0" w:line="135" w:lineRule="exact"/>
              <w:rPr>
                <w:sz w:val="20"/>
                <w:szCs w:val="20"/>
                <w:color w:val="auto"/>
              </w:rPr>
            </w:pPr>
            <w:r>
              <w:rPr>
                <w:rFonts w:ascii="Arial" w:cs="Arial" w:eastAsia="Arial" w:hAnsi="Arial"/>
                <w:sz w:val="13"/>
                <w:szCs w:val="13"/>
                <w:color w:val="auto"/>
              </w:rPr>
              <w:t>320</w:t>
            </w:r>
          </w:p>
        </w:tc>
        <w:tc>
          <w:tcPr>
            <w:tcW w:w="140" w:type="dxa"/>
            <w:vAlign w:val="bottom"/>
            <w:shd w:val="clear" w:color="auto" w:fill="D8D8D8"/>
          </w:tcPr>
          <w:p>
            <w:pPr>
              <w:spacing w:after="0"/>
              <w:rPr>
                <w:sz w:val="11"/>
                <w:szCs w:val="11"/>
                <w:color w:val="auto"/>
              </w:rPr>
            </w:pPr>
          </w:p>
        </w:tc>
        <w:tc>
          <w:tcPr>
            <w:tcW w:w="100" w:type="dxa"/>
            <w:vAlign w:val="bottom"/>
            <w:shd w:val="clear" w:color="auto" w:fill="D8D8D8"/>
          </w:tcPr>
          <w:p>
            <w:pPr>
              <w:spacing w:after="0"/>
              <w:rPr>
                <w:sz w:val="11"/>
                <w:szCs w:val="11"/>
                <w:color w:val="auto"/>
              </w:rPr>
            </w:pPr>
          </w:p>
        </w:tc>
        <w:tc>
          <w:tcPr>
            <w:tcW w:w="380" w:type="dxa"/>
            <w:vAlign w:val="bottom"/>
            <w:shd w:val="clear" w:color="auto" w:fill="D8D8D8"/>
          </w:tcPr>
          <w:p>
            <w:pPr>
              <w:jc w:val="right"/>
              <w:spacing w:after="0" w:line="135" w:lineRule="exact"/>
              <w:rPr>
                <w:sz w:val="20"/>
                <w:szCs w:val="20"/>
                <w:color w:val="auto"/>
              </w:rPr>
            </w:pPr>
            <w:r>
              <w:rPr>
                <w:rFonts w:ascii="Arial" w:cs="Arial" w:eastAsia="Arial" w:hAnsi="Arial"/>
                <w:sz w:val="13"/>
                <w:szCs w:val="13"/>
                <w:color w:val="auto"/>
              </w:rPr>
              <w:t>1,125</w:t>
            </w:r>
          </w:p>
        </w:tc>
        <w:tc>
          <w:tcPr>
            <w:tcW w:w="580" w:type="dxa"/>
            <w:vAlign w:val="bottom"/>
            <w:gridSpan w:val="3"/>
            <w:shd w:val="clear" w:color="auto" w:fill="D8D8D8"/>
          </w:tcPr>
          <w:p>
            <w:pPr>
              <w:jc w:val="right"/>
              <w:ind w:right="100"/>
              <w:spacing w:after="0" w:line="135" w:lineRule="exact"/>
              <w:rPr>
                <w:sz w:val="20"/>
                <w:szCs w:val="20"/>
                <w:color w:val="auto"/>
              </w:rPr>
            </w:pPr>
            <w:r>
              <w:rPr>
                <w:rFonts w:ascii="Arial" w:cs="Arial" w:eastAsia="Arial" w:hAnsi="Arial"/>
                <w:sz w:val="13"/>
                <w:szCs w:val="13"/>
                <w:color w:val="auto"/>
              </w:rPr>
              <w:t>878</w:t>
            </w:r>
          </w:p>
        </w:tc>
        <w:tc>
          <w:tcPr>
            <w:tcW w:w="70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337</w:t>
            </w:r>
          </w:p>
        </w:tc>
        <w:tc>
          <w:tcPr>
            <w:tcW w:w="600" w:type="dxa"/>
            <w:vAlign w:val="bottom"/>
          </w:tcPr>
          <w:p>
            <w:pPr>
              <w:jc w:val="right"/>
              <w:spacing w:after="0" w:line="135" w:lineRule="exact"/>
              <w:rPr>
                <w:sz w:val="20"/>
                <w:szCs w:val="20"/>
                <w:color w:val="auto"/>
              </w:rPr>
            </w:pPr>
            <w:r>
              <w:rPr>
                <w:rFonts w:ascii="Arial" w:cs="Arial" w:eastAsia="Arial" w:hAnsi="Arial"/>
                <w:sz w:val="13"/>
                <w:szCs w:val="13"/>
                <w:color w:val="auto"/>
              </w:rPr>
              <w:t>331</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1,238</w:t>
            </w:r>
          </w:p>
        </w:tc>
        <w:tc>
          <w:tcPr>
            <w:tcW w:w="560" w:type="dxa"/>
            <w:vAlign w:val="bottom"/>
          </w:tcPr>
          <w:p>
            <w:pPr>
              <w:jc w:val="right"/>
              <w:ind w:right="37"/>
              <w:spacing w:after="0" w:line="135" w:lineRule="exact"/>
              <w:rPr>
                <w:sz w:val="20"/>
                <w:szCs w:val="20"/>
                <w:color w:val="auto"/>
              </w:rPr>
            </w:pPr>
            <w:r>
              <w:rPr>
                <w:rFonts w:ascii="Arial" w:cs="Arial" w:eastAsia="Arial" w:hAnsi="Arial"/>
                <w:sz w:val="13"/>
                <w:szCs w:val="13"/>
                <w:color w:val="auto"/>
              </w:rPr>
              <w:t>949</w:t>
            </w:r>
          </w:p>
        </w:tc>
        <w:tc>
          <w:tcPr>
            <w:tcW w:w="140" w:type="dxa"/>
            <w:vAlign w:val="bottom"/>
          </w:tcPr>
          <w:p>
            <w:pPr>
              <w:spacing w:after="0"/>
              <w:rPr>
                <w:sz w:val="11"/>
                <w:szCs w:val="11"/>
                <w:color w:val="auto"/>
              </w:rPr>
            </w:pPr>
          </w:p>
        </w:tc>
        <w:tc>
          <w:tcPr>
            <w:tcW w:w="640" w:type="dxa"/>
            <w:vAlign w:val="bottom"/>
            <w:gridSpan w:val="2"/>
          </w:tcPr>
          <w:p>
            <w:pPr>
              <w:jc w:val="right"/>
              <w:ind w:right="57"/>
              <w:spacing w:after="0" w:line="135" w:lineRule="exact"/>
              <w:rPr>
                <w:sz w:val="20"/>
                <w:szCs w:val="20"/>
                <w:color w:val="auto"/>
              </w:rPr>
            </w:pPr>
            <w:r>
              <w:rPr>
                <w:rFonts w:ascii="Arial" w:cs="Arial" w:eastAsia="Arial" w:hAnsi="Arial"/>
                <w:sz w:val="13"/>
                <w:szCs w:val="13"/>
                <w:color w:val="auto"/>
              </w:rPr>
              <w:t>460</w:t>
            </w:r>
          </w:p>
        </w:tc>
        <w:tc>
          <w:tcPr>
            <w:tcW w:w="580" w:type="dxa"/>
            <w:vAlign w:val="bottom"/>
          </w:tcPr>
          <w:p>
            <w:pPr>
              <w:jc w:val="right"/>
              <w:ind w:right="36"/>
              <w:spacing w:after="0" w:line="135" w:lineRule="exact"/>
              <w:rPr>
                <w:sz w:val="20"/>
                <w:szCs w:val="20"/>
                <w:color w:val="auto"/>
              </w:rPr>
            </w:pPr>
            <w:r>
              <w:rPr>
                <w:rFonts w:ascii="Arial" w:cs="Arial" w:eastAsia="Arial" w:hAnsi="Arial"/>
                <w:sz w:val="13"/>
                <w:szCs w:val="13"/>
                <w:color w:val="auto"/>
              </w:rPr>
              <w:t>393</w:t>
            </w:r>
          </w:p>
        </w:tc>
        <w:tc>
          <w:tcPr>
            <w:tcW w:w="140" w:type="dxa"/>
            <w:vAlign w:val="bottom"/>
          </w:tcPr>
          <w:p>
            <w:pPr>
              <w:spacing w:after="0"/>
              <w:rPr>
                <w:sz w:val="11"/>
                <w:szCs w:val="11"/>
                <w:color w:val="auto"/>
              </w:rPr>
            </w:pPr>
          </w:p>
        </w:tc>
        <w:tc>
          <w:tcPr>
            <w:tcW w:w="520" w:type="dxa"/>
            <w:vAlign w:val="bottom"/>
          </w:tcPr>
          <w:p>
            <w:pPr>
              <w:jc w:val="right"/>
              <w:spacing w:after="0" w:line="135" w:lineRule="exact"/>
              <w:rPr>
                <w:sz w:val="20"/>
                <w:szCs w:val="20"/>
                <w:color w:val="auto"/>
              </w:rPr>
            </w:pPr>
            <w:r>
              <w:rPr>
                <w:rFonts w:ascii="Arial" w:cs="Arial" w:eastAsia="Arial" w:hAnsi="Arial"/>
                <w:sz w:val="13"/>
                <w:szCs w:val="13"/>
                <w:color w:val="auto"/>
              </w:rPr>
              <w:t>1,165</w:t>
            </w:r>
          </w:p>
        </w:tc>
        <w:tc>
          <w:tcPr>
            <w:tcW w:w="600" w:type="dxa"/>
            <w:vAlign w:val="bottom"/>
          </w:tcPr>
          <w:p>
            <w:pPr>
              <w:jc w:val="right"/>
              <w:ind w:right="77"/>
              <w:spacing w:after="0" w:line="135" w:lineRule="exact"/>
              <w:rPr>
                <w:sz w:val="20"/>
                <w:szCs w:val="20"/>
                <w:color w:val="auto"/>
              </w:rPr>
            </w:pPr>
            <w:r>
              <w:rPr>
                <w:rFonts w:ascii="Arial" w:cs="Arial" w:eastAsia="Arial" w:hAnsi="Arial"/>
                <w:sz w:val="13"/>
                <w:szCs w:val="13"/>
                <w:color w:val="auto"/>
              </w:rPr>
              <w:t>880</w:t>
            </w:r>
          </w:p>
        </w:tc>
      </w:tr>
      <w:tr>
        <w:trPr>
          <w:trHeight w:val="155"/>
        </w:trPr>
        <w:tc>
          <w:tcPr>
            <w:tcW w:w="1920" w:type="dxa"/>
            <w:vAlign w:val="bottom"/>
            <w:gridSpan w:val="2"/>
          </w:tcPr>
          <w:p>
            <w:pPr>
              <w:spacing w:after="0"/>
              <w:rPr>
                <w:sz w:val="20"/>
                <w:szCs w:val="20"/>
                <w:color w:val="auto"/>
              </w:rPr>
            </w:pPr>
            <w:r>
              <w:rPr>
                <w:rFonts w:ascii="Arial" w:cs="Arial" w:eastAsia="Arial" w:hAnsi="Arial"/>
                <w:sz w:val="13"/>
                <w:szCs w:val="13"/>
                <w:color w:val="auto"/>
              </w:rPr>
              <w:t>South America</w:t>
            </w: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 w:type="dxa"/>
            <w:vAlign w:val="bottom"/>
            <w:shd w:val="clear" w:color="auto" w:fill="D8D8D8"/>
          </w:tcPr>
          <w:p>
            <w:pPr>
              <w:spacing w:after="0"/>
              <w:rPr>
                <w:sz w:val="13"/>
                <w:szCs w:val="13"/>
                <w:color w:val="auto"/>
              </w:rPr>
            </w:pPr>
          </w:p>
        </w:tc>
        <w:tc>
          <w:tcPr>
            <w:tcW w:w="660" w:type="dxa"/>
            <w:vAlign w:val="bottom"/>
            <w:tcBorders>
              <w:right w:val="single" w:sz="8" w:color="D8D8D8"/>
            </w:tcBorders>
            <w:shd w:val="clear" w:color="auto" w:fill="D8D8D8"/>
          </w:tcPr>
          <w:p>
            <w:pPr>
              <w:jc w:val="right"/>
              <w:ind w:right="157"/>
              <w:spacing w:after="0"/>
              <w:rPr>
                <w:sz w:val="20"/>
                <w:szCs w:val="20"/>
                <w:color w:val="auto"/>
              </w:rPr>
            </w:pPr>
            <w:r>
              <w:rPr>
                <w:rFonts w:ascii="Arial" w:cs="Arial" w:eastAsia="Arial" w:hAnsi="Arial"/>
                <w:sz w:val="13"/>
                <w:szCs w:val="13"/>
                <w:color w:val="auto"/>
              </w:rPr>
              <w:t>25</w:t>
            </w:r>
          </w:p>
        </w:tc>
        <w:tc>
          <w:tcPr>
            <w:tcW w:w="460" w:type="dxa"/>
            <w:vAlign w:val="bottom"/>
            <w:gridSpan w:val="2"/>
            <w:shd w:val="clear" w:color="auto" w:fill="D8D8D8"/>
          </w:tcPr>
          <w:p>
            <w:pPr>
              <w:jc w:val="right"/>
              <w:ind w:right="17"/>
              <w:spacing w:after="0"/>
              <w:rPr>
                <w:sz w:val="20"/>
                <w:szCs w:val="20"/>
                <w:color w:val="auto"/>
              </w:rPr>
            </w:pPr>
            <w:r>
              <w:rPr>
                <w:rFonts w:ascii="Arial" w:cs="Arial" w:eastAsia="Arial" w:hAnsi="Arial"/>
                <w:sz w:val="13"/>
                <w:szCs w:val="13"/>
                <w:color w:val="auto"/>
              </w:rPr>
              <w:t>15</w:t>
            </w:r>
          </w:p>
        </w:tc>
        <w:tc>
          <w:tcPr>
            <w:tcW w:w="140" w:type="dxa"/>
            <w:vAlign w:val="bottom"/>
            <w:shd w:val="clear" w:color="auto" w:fill="D8D8D8"/>
          </w:tcPr>
          <w:p>
            <w:pPr>
              <w:spacing w:after="0"/>
              <w:rPr>
                <w:sz w:val="13"/>
                <w:szCs w:val="13"/>
                <w:color w:val="auto"/>
              </w:rPr>
            </w:pPr>
          </w:p>
        </w:tc>
        <w:tc>
          <w:tcPr>
            <w:tcW w:w="100" w:type="dxa"/>
            <w:vAlign w:val="bottom"/>
            <w:shd w:val="clear" w:color="auto" w:fill="D8D8D8"/>
          </w:tcPr>
          <w:p>
            <w:pPr>
              <w:spacing w:after="0"/>
              <w:rPr>
                <w:sz w:val="13"/>
                <w:szCs w:val="13"/>
                <w:color w:val="auto"/>
              </w:rPr>
            </w:pPr>
          </w:p>
        </w:tc>
        <w:tc>
          <w:tcPr>
            <w:tcW w:w="380" w:type="dxa"/>
            <w:vAlign w:val="bottom"/>
            <w:shd w:val="clear" w:color="auto" w:fill="D8D8D8"/>
          </w:tcPr>
          <w:p>
            <w:pPr>
              <w:jc w:val="right"/>
              <w:spacing w:after="0"/>
              <w:rPr>
                <w:sz w:val="20"/>
                <w:szCs w:val="20"/>
                <w:color w:val="auto"/>
              </w:rPr>
            </w:pPr>
            <w:r>
              <w:rPr>
                <w:rFonts w:ascii="Arial" w:cs="Arial" w:eastAsia="Arial" w:hAnsi="Arial"/>
                <w:sz w:val="13"/>
                <w:szCs w:val="13"/>
                <w:color w:val="auto"/>
              </w:rPr>
              <w:t>7</w:t>
            </w:r>
          </w:p>
        </w:tc>
        <w:tc>
          <w:tcPr>
            <w:tcW w:w="580" w:type="dxa"/>
            <w:vAlign w:val="bottom"/>
            <w:gridSpan w:val="3"/>
            <w:shd w:val="clear" w:color="auto" w:fill="D8D8D8"/>
          </w:tcPr>
          <w:p>
            <w:pPr>
              <w:jc w:val="right"/>
              <w:ind w:right="100"/>
              <w:spacing w:after="0"/>
              <w:rPr>
                <w:sz w:val="20"/>
                <w:szCs w:val="20"/>
                <w:color w:val="auto"/>
              </w:rPr>
            </w:pPr>
            <w:r>
              <w:rPr>
                <w:rFonts w:ascii="Arial" w:cs="Arial" w:eastAsia="Arial" w:hAnsi="Arial"/>
                <w:sz w:val="13"/>
                <w:szCs w:val="13"/>
                <w:color w:val="auto"/>
              </w:rPr>
              <w:t>2</w:t>
            </w:r>
          </w:p>
        </w:tc>
        <w:tc>
          <w:tcPr>
            <w:tcW w:w="700" w:type="dxa"/>
            <w:vAlign w:val="bottom"/>
            <w:gridSpan w:val="2"/>
          </w:tcPr>
          <w:p>
            <w:pPr>
              <w:jc w:val="right"/>
              <w:spacing w:after="0"/>
              <w:rPr>
                <w:sz w:val="20"/>
                <w:szCs w:val="20"/>
                <w:color w:val="auto"/>
              </w:rPr>
            </w:pPr>
            <w:r>
              <w:rPr>
                <w:rFonts w:ascii="Arial" w:cs="Arial" w:eastAsia="Arial" w:hAnsi="Arial"/>
                <w:sz w:val="13"/>
                <w:szCs w:val="13"/>
                <w:color w:val="auto"/>
              </w:rPr>
              <w:t>74</w:t>
            </w:r>
          </w:p>
        </w:tc>
        <w:tc>
          <w:tcPr>
            <w:tcW w:w="600" w:type="dxa"/>
            <w:vAlign w:val="bottom"/>
          </w:tcPr>
          <w:p>
            <w:pPr>
              <w:jc w:val="right"/>
              <w:spacing w:after="0"/>
              <w:rPr>
                <w:sz w:val="20"/>
                <w:szCs w:val="20"/>
                <w:color w:val="auto"/>
              </w:rPr>
            </w:pPr>
            <w:r>
              <w:rPr>
                <w:rFonts w:ascii="Arial" w:cs="Arial" w:eastAsia="Arial" w:hAnsi="Arial"/>
                <w:sz w:val="13"/>
                <w:szCs w:val="13"/>
                <w:color w:val="auto"/>
              </w:rPr>
              <w:t>31</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gridSpan w:val="2"/>
          </w:tcPr>
          <w:p>
            <w:pPr>
              <w:jc w:val="right"/>
              <w:spacing w:after="0"/>
              <w:rPr>
                <w:sz w:val="20"/>
                <w:szCs w:val="20"/>
                <w:color w:val="auto"/>
              </w:rPr>
            </w:pPr>
            <w:r>
              <w:rPr>
                <w:rFonts w:ascii="Arial" w:cs="Arial" w:eastAsia="Arial" w:hAnsi="Arial"/>
                <w:sz w:val="13"/>
                <w:szCs w:val="13"/>
                <w:color w:val="auto"/>
              </w:rPr>
              <w:t>7</w:t>
            </w:r>
          </w:p>
        </w:tc>
        <w:tc>
          <w:tcPr>
            <w:tcW w:w="560" w:type="dxa"/>
            <w:vAlign w:val="bottom"/>
          </w:tcPr>
          <w:p>
            <w:pPr>
              <w:jc w:val="right"/>
              <w:ind w:right="37"/>
              <w:spacing w:after="0"/>
              <w:rPr>
                <w:sz w:val="20"/>
                <w:szCs w:val="20"/>
                <w:color w:val="auto"/>
              </w:rPr>
            </w:pPr>
            <w:r>
              <w:rPr>
                <w:rFonts w:ascii="Arial" w:cs="Arial" w:eastAsia="Arial" w:hAnsi="Arial"/>
                <w:sz w:val="13"/>
                <w:szCs w:val="13"/>
                <w:color w:val="auto"/>
              </w:rPr>
              <w:t>2</w:t>
            </w:r>
          </w:p>
        </w:tc>
        <w:tc>
          <w:tcPr>
            <w:tcW w:w="140" w:type="dxa"/>
            <w:vAlign w:val="bottom"/>
          </w:tcPr>
          <w:p>
            <w:pPr>
              <w:spacing w:after="0"/>
              <w:rPr>
                <w:sz w:val="13"/>
                <w:szCs w:val="13"/>
                <w:color w:val="auto"/>
              </w:rPr>
            </w:pPr>
          </w:p>
        </w:tc>
        <w:tc>
          <w:tcPr>
            <w:tcW w:w="640" w:type="dxa"/>
            <w:vAlign w:val="bottom"/>
            <w:gridSpan w:val="2"/>
          </w:tcPr>
          <w:p>
            <w:pPr>
              <w:jc w:val="right"/>
              <w:ind w:right="57"/>
              <w:spacing w:after="0"/>
              <w:rPr>
                <w:sz w:val="20"/>
                <w:szCs w:val="20"/>
                <w:color w:val="auto"/>
              </w:rPr>
            </w:pPr>
            <w:r>
              <w:rPr>
                <w:rFonts w:ascii="Arial" w:cs="Arial" w:eastAsia="Arial" w:hAnsi="Arial"/>
                <w:sz w:val="13"/>
                <w:szCs w:val="13"/>
                <w:color w:val="auto"/>
              </w:rPr>
              <w:t>73</w:t>
            </w:r>
          </w:p>
        </w:tc>
        <w:tc>
          <w:tcPr>
            <w:tcW w:w="580" w:type="dxa"/>
            <w:vAlign w:val="bottom"/>
          </w:tcPr>
          <w:p>
            <w:pPr>
              <w:jc w:val="right"/>
              <w:ind w:right="36"/>
              <w:spacing w:after="0"/>
              <w:rPr>
                <w:sz w:val="20"/>
                <w:szCs w:val="20"/>
                <w:color w:val="auto"/>
              </w:rPr>
            </w:pPr>
            <w:r>
              <w:rPr>
                <w:rFonts w:ascii="Arial" w:cs="Arial" w:eastAsia="Arial" w:hAnsi="Arial"/>
                <w:sz w:val="13"/>
                <w:szCs w:val="13"/>
                <w:color w:val="auto"/>
              </w:rPr>
              <w:t>29</w:t>
            </w:r>
          </w:p>
        </w:tc>
        <w:tc>
          <w:tcPr>
            <w:tcW w:w="14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7</w:t>
            </w:r>
          </w:p>
        </w:tc>
        <w:tc>
          <w:tcPr>
            <w:tcW w:w="600" w:type="dxa"/>
            <w:vAlign w:val="bottom"/>
          </w:tcPr>
          <w:p>
            <w:pPr>
              <w:jc w:val="right"/>
              <w:ind w:right="77"/>
              <w:spacing w:after="0"/>
              <w:rPr>
                <w:sz w:val="20"/>
                <w:szCs w:val="20"/>
                <w:color w:val="auto"/>
              </w:rPr>
            </w:pPr>
            <w:r>
              <w:rPr>
                <w:rFonts w:ascii="Arial" w:cs="Arial" w:eastAsia="Arial" w:hAnsi="Arial"/>
                <w:sz w:val="13"/>
                <w:szCs w:val="13"/>
                <w:color w:val="auto"/>
              </w:rPr>
              <w:t>2</w:t>
            </w:r>
          </w:p>
        </w:tc>
      </w:tr>
      <w:tr>
        <w:trPr>
          <w:trHeight w:val="142"/>
        </w:trPr>
        <w:tc>
          <w:tcPr>
            <w:tcW w:w="20" w:type="dxa"/>
            <w:vAlign w:val="bottom"/>
          </w:tcPr>
          <w:p>
            <w:pPr>
              <w:spacing w:after="0"/>
              <w:rPr>
                <w:sz w:val="12"/>
                <w:szCs w:val="12"/>
                <w:color w:val="auto"/>
              </w:rPr>
            </w:pPr>
          </w:p>
        </w:tc>
        <w:tc>
          <w:tcPr>
            <w:tcW w:w="1900" w:type="dxa"/>
            <w:vAlign w:val="bottom"/>
            <w:tcBorders>
              <w:top w:val="single" w:sz="8" w:color="auto"/>
              <w:bottom w:val="single" w:sz="8" w:color="auto"/>
            </w:tcBorders>
          </w:tcPr>
          <w:p>
            <w:pPr>
              <w:spacing w:after="0" w:line="143" w:lineRule="exact"/>
              <w:rPr>
                <w:sz w:val="20"/>
                <w:szCs w:val="20"/>
                <w:color w:val="auto"/>
              </w:rPr>
            </w:pPr>
            <w:r>
              <w:rPr>
                <w:rFonts w:ascii="Arial" w:cs="Arial" w:eastAsia="Arial" w:hAnsi="Arial"/>
                <w:sz w:val="13"/>
                <w:szCs w:val="13"/>
                <w:color w:val="auto"/>
              </w:rPr>
              <w:t>Total</w:t>
            </w:r>
          </w:p>
        </w:tc>
        <w:tc>
          <w:tcPr>
            <w:tcW w:w="54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spacing w:after="0"/>
              <w:rPr>
                <w:sz w:val="12"/>
                <w:szCs w:val="12"/>
                <w:color w:val="auto"/>
              </w:rPr>
            </w:pPr>
          </w:p>
        </w:tc>
        <w:tc>
          <w:tcPr>
            <w:tcW w:w="80" w:type="dxa"/>
            <w:vAlign w:val="bottom"/>
            <w:tcBorders>
              <w:top w:val="single" w:sz="8" w:color="auto"/>
              <w:bottom w:val="single" w:sz="8" w:color="auto"/>
            </w:tcBorders>
            <w:shd w:val="clear" w:color="auto" w:fill="D8D8D8"/>
          </w:tcPr>
          <w:p>
            <w:pPr>
              <w:spacing w:after="0"/>
              <w:rPr>
                <w:sz w:val="12"/>
                <w:szCs w:val="12"/>
                <w:color w:val="auto"/>
              </w:rPr>
            </w:pPr>
          </w:p>
        </w:tc>
        <w:tc>
          <w:tcPr>
            <w:tcW w:w="660" w:type="dxa"/>
            <w:vAlign w:val="bottom"/>
            <w:tcBorders>
              <w:top w:val="single" w:sz="8" w:color="auto"/>
              <w:bottom w:val="single" w:sz="8" w:color="auto"/>
              <w:right w:val="single" w:sz="8" w:color="D8D8D8"/>
            </w:tcBorders>
            <w:shd w:val="clear" w:color="auto" w:fill="D8D8D8"/>
          </w:tcPr>
          <w:p>
            <w:pPr>
              <w:jc w:val="right"/>
              <w:ind w:right="157"/>
              <w:spacing w:after="0" w:line="143" w:lineRule="exact"/>
              <w:rPr>
                <w:sz w:val="20"/>
                <w:szCs w:val="20"/>
                <w:color w:val="auto"/>
              </w:rPr>
            </w:pPr>
            <w:r>
              <w:rPr>
                <w:rFonts w:ascii="Arial" w:cs="Arial" w:eastAsia="Arial" w:hAnsi="Arial"/>
                <w:sz w:val="13"/>
                <w:szCs w:val="13"/>
                <w:color w:val="auto"/>
              </w:rPr>
              <w:t>25,396</w:t>
            </w:r>
          </w:p>
        </w:tc>
        <w:tc>
          <w:tcPr>
            <w:tcW w:w="460" w:type="dxa"/>
            <w:vAlign w:val="bottom"/>
            <w:tcBorders>
              <w:top w:val="single" w:sz="8" w:color="auto"/>
              <w:bottom w:val="single" w:sz="8" w:color="auto"/>
            </w:tcBorders>
            <w:gridSpan w:val="2"/>
            <w:shd w:val="clear" w:color="auto" w:fill="D8D8D8"/>
          </w:tcPr>
          <w:p>
            <w:pPr>
              <w:jc w:val="right"/>
              <w:ind w:right="17"/>
              <w:spacing w:after="0" w:line="143" w:lineRule="exact"/>
              <w:rPr>
                <w:sz w:val="20"/>
                <w:szCs w:val="20"/>
                <w:color w:val="auto"/>
              </w:rPr>
            </w:pPr>
            <w:r>
              <w:rPr>
                <w:rFonts w:ascii="Arial" w:cs="Arial" w:eastAsia="Arial" w:hAnsi="Arial"/>
                <w:sz w:val="13"/>
                <w:szCs w:val="13"/>
                <w:color w:val="auto"/>
                <w:w w:val="90"/>
              </w:rPr>
              <w:t>11,426</w:t>
            </w:r>
          </w:p>
        </w:tc>
        <w:tc>
          <w:tcPr>
            <w:tcW w:w="140" w:type="dxa"/>
            <w:vAlign w:val="bottom"/>
            <w:tcBorders>
              <w:top w:val="single" w:sz="8" w:color="auto"/>
              <w:bottom w:val="single" w:sz="8" w:color="auto"/>
            </w:tcBorders>
            <w:shd w:val="clear" w:color="auto" w:fill="D8D8D8"/>
          </w:tcPr>
          <w:p>
            <w:pPr>
              <w:spacing w:after="0"/>
              <w:rPr>
                <w:sz w:val="12"/>
                <w:szCs w:val="12"/>
                <w:color w:val="auto"/>
              </w:rPr>
            </w:pPr>
          </w:p>
        </w:tc>
        <w:tc>
          <w:tcPr>
            <w:tcW w:w="100" w:type="dxa"/>
            <w:vAlign w:val="bottom"/>
            <w:tcBorders>
              <w:top w:val="single" w:sz="8" w:color="auto"/>
              <w:bottom w:val="single" w:sz="8" w:color="auto"/>
            </w:tcBorders>
            <w:shd w:val="clear" w:color="auto" w:fill="D8D8D8"/>
          </w:tcPr>
          <w:p>
            <w:pPr>
              <w:spacing w:after="0"/>
              <w:rPr>
                <w:sz w:val="12"/>
                <w:szCs w:val="12"/>
                <w:color w:val="auto"/>
              </w:rPr>
            </w:pPr>
          </w:p>
        </w:tc>
        <w:tc>
          <w:tcPr>
            <w:tcW w:w="380" w:type="dxa"/>
            <w:vAlign w:val="bottom"/>
            <w:tcBorders>
              <w:top w:val="single" w:sz="8" w:color="auto"/>
              <w:bottom w:val="single" w:sz="8" w:color="auto"/>
            </w:tcBorders>
            <w:shd w:val="clear" w:color="auto" w:fill="D8D8D8"/>
          </w:tcPr>
          <w:p>
            <w:pPr>
              <w:jc w:val="right"/>
              <w:spacing w:after="0" w:line="143" w:lineRule="exact"/>
              <w:rPr>
                <w:sz w:val="20"/>
                <w:szCs w:val="20"/>
                <w:color w:val="auto"/>
              </w:rPr>
            </w:pPr>
            <w:r>
              <w:rPr>
                <w:rFonts w:ascii="Arial" w:cs="Arial" w:eastAsia="Arial" w:hAnsi="Arial"/>
                <w:sz w:val="13"/>
                <w:szCs w:val="13"/>
                <w:color w:val="auto"/>
              </w:rPr>
              <w:t>6,092</w:t>
            </w:r>
          </w:p>
        </w:tc>
        <w:tc>
          <w:tcPr>
            <w:tcW w:w="580" w:type="dxa"/>
            <w:vAlign w:val="bottom"/>
            <w:tcBorders>
              <w:top w:val="single" w:sz="8" w:color="auto"/>
              <w:bottom w:val="single" w:sz="8" w:color="auto"/>
            </w:tcBorders>
            <w:gridSpan w:val="3"/>
            <w:shd w:val="clear" w:color="auto" w:fill="D8D8D8"/>
          </w:tcPr>
          <w:p>
            <w:pPr>
              <w:jc w:val="right"/>
              <w:ind w:right="100"/>
              <w:spacing w:after="0" w:line="143" w:lineRule="exact"/>
              <w:rPr>
                <w:sz w:val="20"/>
                <w:szCs w:val="20"/>
                <w:color w:val="auto"/>
              </w:rPr>
            </w:pPr>
            <w:r>
              <w:rPr>
                <w:rFonts w:ascii="Arial" w:cs="Arial" w:eastAsia="Arial" w:hAnsi="Arial"/>
                <w:sz w:val="13"/>
                <w:szCs w:val="13"/>
                <w:color w:val="auto"/>
              </w:rPr>
              <w:t>3,651</w:t>
            </w:r>
          </w:p>
        </w:tc>
        <w:tc>
          <w:tcPr>
            <w:tcW w:w="700" w:type="dxa"/>
            <w:vAlign w:val="bottom"/>
            <w:tcBorders>
              <w:top w:val="single" w:sz="8" w:color="auto"/>
              <w:bottom w:val="single" w:sz="8" w:color="auto"/>
            </w:tcBorders>
            <w:gridSpan w:val="2"/>
          </w:tcPr>
          <w:p>
            <w:pPr>
              <w:jc w:val="right"/>
              <w:spacing w:after="0" w:line="143" w:lineRule="exact"/>
              <w:rPr>
                <w:sz w:val="20"/>
                <w:szCs w:val="20"/>
                <w:color w:val="auto"/>
              </w:rPr>
            </w:pPr>
            <w:r>
              <w:rPr>
                <w:rFonts w:ascii="Arial" w:cs="Arial" w:eastAsia="Arial" w:hAnsi="Arial"/>
                <w:sz w:val="13"/>
                <w:szCs w:val="13"/>
                <w:color w:val="auto"/>
              </w:rPr>
              <w:t>26,224</w:t>
            </w:r>
          </w:p>
        </w:tc>
        <w:tc>
          <w:tcPr>
            <w:tcW w:w="60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3"/>
                <w:szCs w:val="13"/>
                <w:color w:val="auto"/>
              </w:rPr>
              <w:t>11,795</w:t>
            </w:r>
          </w:p>
        </w:tc>
        <w:tc>
          <w:tcPr>
            <w:tcW w:w="6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gridSpan w:val="2"/>
          </w:tcPr>
          <w:p>
            <w:pPr>
              <w:jc w:val="right"/>
              <w:spacing w:after="0" w:line="143" w:lineRule="exact"/>
              <w:rPr>
                <w:sz w:val="20"/>
                <w:szCs w:val="20"/>
                <w:color w:val="auto"/>
              </w:rPr>
            </w:pPr>
            <w:r>
              <w:rPr>
                <w:rFonts w:ascii="Arial" w:cs="Arial" w:eastAsia="Arial" w:hAnsi="Arial"/>
                <w:sz w:val="13"/>
                <w:szCs w:val="13"/>
                <w:color w:val="auto"/>
              </w:rPr>
              <w:t>7,960</w:t>
            </w:r>
          </w:p>
        </w:tc>
        <w:tc>
          <w:tcPr>
            <w:tcW w:w="560" w:type="dxa"/>
            <w:vAlign w:val="bottom"/>
            <w:tcBorders>
              <w:top w:val="single" w:sz="8" w:color="auto"/>
              <w:bottom w:val="single" w:sz="8" w:color="auto"/>
            </w:tcBorders>
          </w:tcPr>
          <w:p>
            <w:pPr>
              <w:jc w:val="right"/>
              <w:ind w:right="37"/>
              <w:spacing w:after="0" w:line="143" w:lineRule="exact"/>
              <w:rPr>
                <w:sz w:val="20"/>
                <w:szCs w:val="20"/>
                <w:color w:val="auto"/>
              </w:rPr>
            </w:pPr>
            <w:r>
              <w:rPr>
                <w:rFonts w:ascii="Arial" w:cs="Arial" w:eastAsia="Arial" w:hAnsi="Arial"/>
                <w:sz w:val="13"/>
                <w:szCs w:val="13"/>
                <w:color w:val="auto"/>
              </w:rPr>
              <w:t>4,747</w:t>
            </w:r>
          </w:p>
        </w:tc>
        <w:tc>
          <w:tcPr>
            <w:tcW w:w="14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gridSpan w:val="2"/>
          </w:tcPr>
          <w:p>
            <w:pPr>
              <w:jc w:val="right"/>
              <w:ind w:right="57"/>
              <w:spacing w:after="0" w:line="143" w:lineRule="exact"/>
              <w:rPr>
                <w:sz w:val="20"/>
                <w:szCs w:val="20"/>
                <w:color w:val="auto"/>
              </w:rPr>
            </w:pPr>
            <w:r>
              <w:rPr>
                <w:rFonts w:ascii="Arial" w:cs="Arial" w:eastAsia="Arial" w:hAnsi="Arial"/>
                <w:sz w:val="13"/>
                <w:szCs w:val="13"/>
                <w:color w:val="auto"/>
              </w:rPr>
              <w:t>25,349</w:t>
            </w:r>
          </w:p>
        </w:tc>
        <w:tc>
          <w:tcPr>
            <w:tcW w:w="580" w:type="dxa"/>
            <w:vAlign w:val="bottom"/>
            <w:tcBorders>
              <w:top w:val="single" w:sz="8" w:color="auto"/>
              <w:bottom w:val="single" w:sz="8" w:color="auto"/>
            </w:tcBorders>
          </w:tcPr>
          <w:p>
            <w:pPr>
              <w:jc w:val="right"/>
              <w:ind w:right="36"/>
              <w:spacing w:after="0" w:line="143" w:lineRule="exact"/>
              <w:rPr>
                <w:sz w:val="20"/>
                <w:szCs w:val="20"/>
                <w:color w:val="auto"/>
              </w:rPr>
            </w:pPr>
            <w:r>
              <w:rPr>
                <w:rFonts w:ascii="Arial" w:cs="Arial" w:eastAsia="Arial" w:hAnsi="Arial"/>
                <w:sz w:val="13"/>
                <w:szCs w:val="13"/>
                <w:color w:val="auto"/>
              </w:rPr>
              <w:t>11,151</w:t>
            </w:r>
          </w:p>
        </w:tc>
        <w:tc>
          <w:tcPr>
            <w:tcW w:w="140" w:type="dxa"/>
            <w:vAlign w:val="bottom"/>
            <w:tcBorders>
              <w:top w:val="single" w:sz="8" w:color="auto"/>
              <w:bottom w:val="single" w:sz="8" w:color="auto"/>
            </w:tcBorders>
          </w:tcPr>
          <w:p>
            <w:pPr>
              <w:spacing w:after="0"/>
              <w:rPr>
                <w:sz w:val="12"/>
                <w:szCs w:val="12"/>
                <w:color w:val="auto"/>
              </w:rPr>
            </w:pPr>
          </w:p>
        </w:tc>
        <w:tc>
          <w:tcPr>
            <w:tcW w:w="52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3"/>
                <w:szCs w:val="13"/>
                <w:color w:val="auto"/>
              </w:rPr>
              <w:t>7,973</w:t>
            </w:r>
          </w:p>
        </w:tc>
        <w:tc>
          <w:tcPr>
            <w:tcW w:w="600" w:type="dxa"/>
            <w:vAlign w:val="bottom"/>
            <w:tcBorders>
              <w:top w:val="single" w:sz="8" w:color="auto"/>
              <w:bottom w:val="single" w:sz="8" w:color="auto"/>
            </w:tcBorders>
          </w:tcPr>
          <w:p>
            <w:pPr>
              <w:jc w:val="right"/>
              <w:ind w:right="77"/>
              <w:spacing w:after="0" w:line="143" w:lineRule="exact"/>
              <w:rPr>
                <w:sz w:val="20"/>
                <w:szCs w:val="20"/>
                <w:color w:val="auto"/>
              </w:rPr>
            </w:pPr>
            <w:r>
              <w:rPr>
                <w:rFonts w:ascii="Arial" w:cs="Arial" w:eastAsia="Arial" w:hAnsi="Arial"/>
                <w:sz w:val="13"/>
                <w:szCs w:val="13"/>
                <w:color w:val="auto"/>
              </w:rPr>
              <w:t>4,485</w:t>
            </w:r>
          </w:p>
        </w:tc>
      </w:tr>
    </w:tbl>
    <w:p>
      <w:pPr>
        <w:spacing w:after="0" w:line="37" w:lineRule="exact"/>
        <w:rPr>
          <w:sz w:val="20"/>
          <w:szCs w:val="20"/>
          <w:color w:val="auto"/>
        </w:rPr>
      </w:pPr>
    </w:p>
    <w:p>
      <w:pPr>
        <w:spacing w:after="0"/>
        <w:rPr>
          <w:sz w:val="20"/>
          <w:szCs w:val="20"/>
          <w:color w:val="auto"/>
        </w:rPr>
      </w:pPr>
      <w:r>
        <w:rPr>
          <w:rFonts w:ascii="Arial" w:cs="Arial" w:eastAsia="Arial" w:hAnsi="Arial"/>
          <w:sz w:val="11"/>
          <w:szCs w:val="11"/>
          <w:color w:val="auto"/>
        </w:rPr>
        <w:t>[A] The number of productive wells with multiple completions (more than one formation producing into the same well bore) at December 31, 2014, was 1,815 gross (763 net); 2013: 2,200 gross (805 net); 2012: 1,918 gross (694 net).</w:t>
      </w:r>
    </w:p>
    <w:p>
      <w:pPr>
        <w:spacing w:after="0" w:line="193" w:lineRule="exact"/>
        <w:rPr>
          <w:sz w:val="20"/>
          <w:szCs w:val="20"/>
          <w:color w:val="auto"/>
        </w:rPr>
      </w:pPr>
    </w:p>
    <w:p>
      <w:pPr>
        <w:ind w:left="80"/>
        <w:spacing w:after="0"/>
        <w:rPr>
          <w:sz w:val="20"/>
          <w:szCs w:val="20"/>
          <w:color w:val="auto"/>
        </w:rPr>
      </w:pPr>
      <w:r>
        <w:rPr>
          <w:rFonts w:ascii="Arial" w:cs="Arial" w:eastAsia="Arial" w:hAnsi="Arial"/>
          <w:sz w:val="15"/>
          <w:szCs w:val="15"/>
          <w:b w:val="1"/>
          <w:bCs w:val="1"/>
          <w:color w:val="FFFFFF"/>
        </w:rPr>
        <w:t>NUMBER OF NET PRODUCTIVE WELLS AND DRY HOLES DRILLED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-95250</wp:posOffset>
            </wp:positionV>
            <wp:extent cx="7246620" cy="102870"/>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extLst>
                        <a:ext uri="{28A0092B-C50C-407E-A947-70E740481C1C}"/>
                      </a:extLst>
                    </a:blip>
                    <a:srcRect/>
                    <a:stretch>
                      <a:fillRect/>
                    </a:stretch>
                  </pic:blipFill>
                  <pic:spPr bwMode="auto">
                    <a:xfrm>
                      <a:off x="0" y="0"/>
                      <a:ext cx="7246620" cy="10287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46"/>
        </w:trPr>
        <w:tc>
          <w:tcPr>
            <w:tcW w:w="20" w:type="dxa"/>
            <w:vAlign w:val="bottom"/>
          </w:tcPr>
          <w:p>
            <w:pPr>
              <w:spacing w:after="0"/>
              <w:rPr>
                <w:sz w:val="12"/>
                <w:szCs w:val="12"/>
                <w:color w:val="auto"/>
              </w:rPr>
            </w:pPr>
          </w:p>
        </w:tc>
        <w:tc>
          <w:tcPr>
            <w:tcW w:w="2940" w:type="dxa"/>
            <w:vAlign w:val="bottom"/>
          </w:tcPr>
          <w:p>
            <w:pPr>
              <w:spacing w:after="0"/>
              <w:rPr>
                <w:sz w:val="12"/>
                <w:szCs w:val="12"/>
                <w:color w:val="auto"/>
              </w:rPr>
            </w:pPr>
          </w:p>
        </w:tc>
        <w:tc>
          <w:tcPr>
            <w:tcW w:w="1460" w:type="dxa"/>
            <w:vAlign w:val="bottom"/>
            <w:tcBorders>
              <w:bottom w:val="single" w:sz="8" w:color="auto"/>
            </w:tcBorders>
            <w:shd w:val="clear" w:color="auto" w:fill="D8D8D8"/>
          </w:tcPr>
          <w:p>
            <w:pPr>
              <w:spacing w:after="0"/>
              <w:rPr>
                <w:sz w:val="12"/>
                <w:szCs w:val="12"/>
                <w:color w:val="auto"/>
              </w:rPr>
            </w:pPr>
          </w:p>
        </w:tc>
        <w:tc>
          <w:tcPr>
            <w:tcW w:w="940" w:type="dxa"/>
            <w:vAlign w:val="bottom"/>
            <w:tcBorders>
              <w:bottom w:val="single" w:sz="8" w:color="auto"/>
            </w:tcBorders>
            <w:gridSpan w:val="2"/>
            <w:shd w:val="clear" w:color="auto" w:fill="D8D8D8"/>
          </w:tcPr>
          <w:p>
            <w:pPr>
              <w:jc w:val="right"/>
              <w:ind w:right="377"/>
              <w:spacing w:after="0" w:line="146" w:lineRule="exact"/>
              <w:rPr>
                <w:sz w:val="20"/>
                <w:szCs w:val="20"/>
                <w:color w:val="auto"/>
              </w:rPr>
            </w:pPr>
            <w:r>
              <w:rPr>
                <w:rFonts w:ascii="Arial" w:cs="Arial" w:eastAsia="Arial" w:hAnsi="Arial"/>
                <w:sz w:val="13"/>
                <w:szCs w:val="13"/>
                <w:color w:val="auto"/>
              </w:rPr>
              <w:t>2014</w:t>
            </w:r>
          </w:p>
        </w:tc>
        <w:tc>
          <w:tcPr>
            <w:tcW w:w="720" w:type="dxa"/>
            <w:vAlign w:val="bottom"/>
          </w:tcPr>
          <w:p>
            <w:pPr>
              <w:spacing w:after="0"/>
              <w:rPr>
                <w:sz w:val="12"/>
                <w:szCs w:val="12"/>
                <w:color w:val="auto"/>
              </w:rPr>
            </w:pPr>
          </w:p>
        </w:tc>
        <w:tc>
          <w:tcPr>
            <w:tcW w:w="132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ind w:right="377"/>
              <w:spacing w:after="0" w:line="146" w:lineRule="exact"/>
              <w:rPr>
                <w:sz w:val="20"/>
                <w:szCs w:val="20"/>
                <w:color w:val="auto"/>
              </w:rPr>
            </w:pPr>
            <w:r>
              <w:rPr>
                <w:rFonts w:ascii="Arial" w:cs="Arial" w:eastAsia="Arial" w:hAnsi="Arial"/>
                <w:sz w:val="13"/>
                <w:szCs w:val="13"/>
                <w:color w:val="auto"/>
              </w:rPr>
              <w:t>2013</w:t>
            </w:r>
          </w:p>
        </w:tc>
        <w:tc>
          <w:tcPr>
            <w:tcW w:w="720" w:type="dxa"/>
            <w:vAlign w:val="bottom"/>
          </w:tcPr>
          <w:p>
            <w:pPr>
              <w:spacing w:after="0"/>
              <w:rPr>
                <w:sz w:val="12"/>
                <w:szCs w:val="12"/>
                <w:color w:val="auto"/>
              </w:rPr>
            </w:pPr>
          </w:p>
        </w:tc>
        <w:tc>
          <w:tcPr>
            <w:tcW w:w="136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ind w:right="377"/>
              <w:spacing w:after="0" w:line="146" w:lineRule="exact"/>
              <w:rPr>
                <w:sz w:val="20"/>
                <w:szCs w:val="20"/>
                <w:color w:val="auto"/>
              </w:rPr>
            </w:pPr>
            <w:r>
              <w:rPr>
                <w:rFonts w:ascii="Arial" w:cs="Arial" w:eastAsia="Arial" w:hAnsi="Arial"/>
                <w:sz w:val="13"/>
                <w:szCs w:val="13"/>
                <w:color w:val="auto"/>
              </w:rPr>
              <w:t>2012</w:t>
            </w:r>
          </w:p>
        </w:tc>
      </w:tr>
      <w:tr>
        <w:trPr>
          <w:trHeight w:val="129"/>
        </w:trPr>
        <w:tc>
          <w:tcPr>
            <w:tcW w:w="20" w:type="dxa"/>
            <w:vAlign w:val="bottom"/>
          </w:tcPr>
          <w:p>
            <w:pPr>
              <w:spacing w:after="0"/>
              <w:rPr>
                <w:sz w:val="11"/>
                <w:szCs w:val="11"/>
                <w:color w:val="auto"/>
              </w:rPr>
            </w:pPr>
          </w:p>
        </w:tc>
        <w:tc>
          <w:tcPr>
            <w:tcW w:w="2940" w:type="dxa"/>
            <w:vAlign w:val="bottom"/>
            <w:tcBorders>
              <w:bottom w:val="single" w:sz="8" w:color="auto"/>
            </w:tcBorders>
          </w:tcPr>
          <w:p>
            <w:pPr>
              <w:spacing w:after="0"/>
              <w:rPr>
                <w:sz w:val="11"/>
                <w:szCs w:val="11"/>
                <w:color w:val="auto"/>
              </w:rPr>
            </w:pPr>
          </w:p>
        </w:tc>
        <w:tc>
          <w:tcPr>
            <w:tcW w:w="1460" w:type="dxa"/>
            <w:vAlign w:val="bottom"/>
            <w:tcBorders>
              <w:bottom w:val="single" w:sz="8" w:color="auto"/>
            </w:tcBorders>
            <w:shd w:val="clear" w:color="auto" w:fill="D8D8D8"/>
          </w:tcPr>
          <w:p>
            <w:pPr>
              <w:jc w:val="right"/>
              <w:ind w:right="17"/>
              <w:spacing w:after="0" w:line="129" w:lineRule="exact"/>
              <w:rPr>
                <w:sz w:val="20"/>
                <w:szCs w:val="20"/>
                <w:color w:val="auto"/>
              </w:rPr>
            </w:pPr>
            <w:r>
              <w:rPr>
                <w:rFonts w:ascii="Arial" w:cs="Arial" w:eastAsia="Arial" w:hAnsi="Arial"/>
                <w:sz w:val="13"/>
                <w:szCs w:val="13"/>
                <w:color w:val="auto"/>
              </w:rPr>
              <w:t>Productive</w:t>
            </w:r>
          </w:p>
        </w:tc>
        <w:tc>
          <w:tcPr>
            <w:tcW w:w="260" w:type="dxa"/>
            <w:vAlign w:val="bottom"/>
            <w:tcBorders>
              <w:bottom w:val="single" w:sz="8" w:color="auto"/>
            </w:tcBorders>
            <w:shd w:val="clear" w:color="auto" w:fill="D8D8D8"/>
          </w:tcPr>
          <w:p>
            <w:pPr>
              <w:spacing w:after="0"/>
              <w:rPr>
                <w:sz w:val="11"/>
                <w:szCs w:val="11"/>
                <w:color w:val="auto"/>
              </w:rPr>
            </w:pPr>
          </w:p>
        </w:tc>
        <w:tc>
          <w:tcPr>
            <w:tcW w:w="680" w:type="dxa"/>
            <w:vAlign w:val="bottom"/>
            <w:tcBorders>
              <w:bottom w:val="single" w:sz="8" w:color="auto"/>
            </w:tcBorders>
            <w:shd w:val="clear" w:color="auto" w:fill="D8D8D8"/>
          </w:tcPr>
          <w:p>
            <w:pPr>
              <w:jc w:val="right"/>
              <w:ind w:right="377"/>
              <w:spacing w:after="0" w:line="129" w:lineRule="exact"/>
              <w:rPr>
                <w:sz w:val="20"/>
                <w:szCs w:val="20"/>
                <w:color w:val="auto"/>
              </w:rPr>
            </w:pPr>
            <w:r>
              <w:rPr>
                <w:rFonts w:ascii="Arial" w:cs="Arial" w:eastAsia="Arial" w:hAnsi="Arial"/>
                <w:sz w:val="13"/>
                <w:szCs w:val="13"/>
                <w:color w:val="auto"/>
              </w:rPr>
              <w:t>Dry</w:t>
            </w:r>
          </w:p>
        </w:tc>
        <w:tc>
          <w:tcPr>
            <w:tcW w:w="720" w:type="dxa"/>
            <w:vAlign w:val="bottom"/>
            <w:tcBorders>
              <w:bottom w:val="single" w:sz="8" w:color="auto"/>
            </w:tcBorders>
          </w:tcPr>
          <w:p>
            <w:pPr>
              <w:spacing w:after="0"/>
              <w:rPr>
                <w:sz w:val="11"/>
                <w:szCs w:val="11"/>
                <w:color w:val="auto"/>
              </w:rPr>
            </w:pPr>
          </w:p>
        </w:tc>
        <w:tc>
          <w:tcPr>
            <w:tcW w:w="1320" w:type="dxa"/>
            <w:vAlign w:val="bottom"/>
            <w:tcBorders>
              <w:bottom w:val="single" w:sz="8" w:color="auto"/>
            </w:tcBorders>
          </w:tcPr>
          <w:p>
            <w:pPr>
              <w:jc w:val="right"/>
              <w:ind w:right="337"/>
              <w:spacing w:after="0" w:line="129" w:lineRule="exact"/>
              <w:rPr>
                <w:sz w:val="20"/>
                <w:szCs w:val="20"/>
                <w:color w:val="auto"/>
              </w:rPr>
            </w:pPr>
            <w:r>
              <w:rPr>
                <w:rFonts w:ascii="Arial" w:cs="Arial" w:eastAsia="Arial" w:hAnsi="Arial"/>
                <w:sz w:val="13"/>
                <w:szCs w:val="13"/>
                <w:color w:val="auto"/>
              </w:rPr>
              <w:t>Productive</w:t>
            </w:r>
          </w:p>
        </w:tc>
        <w:tc>
          <w:tcPr>
            <w:tcW w:w="960" w:type="dxa"/>
            <w:vAlign w:val="bottom"/>
            <w:tcBorders>
              <w:bottom w:val="single" w:sz="8" w:color="auto"/>
            </w:tcBorders>
          </w:tcPr>
          <w:p>
            <w:pPr>
              <w:jc w:val="right"/>
              <w:ind w:right="377"/>
              <w:spacing w:after="0" w:line="129" w:lineRule="exact"/>
              <w:rPr>
                <w:sz w:val="20"/>
                <w:szCs w:val="20"/>
                <w:color w:val="auto"/>
              </w:rPr>
            </w:pPr>
            <w:r>
              <w:rPr>
                <w:rFonts w:ascii="Arial" w:cs="Arial" w:eastAsia="Arial" w:hAnsi="Arial"/>
                <w:sz w:val="13"/>
                <w:szCs w:val="13"/>
                <w:color w:val="auto"/>
              </w:rPr>
              <w:t>Dry</w:t>
            </w:r>
          </w:p>
        </w:tc>
        <w:tc>
          <w:tcPr>
            <w:tcW w:w="720" w:type="dxa"/>
            <w:vAlign w:val="bottom"/>
            <w:tcBorders>
              <w:bottom w:val="single" w:sz="8" w:color="auto"/>
            </w:tcBorders>
          </w:tcPr>
          <w:p>
            <w:pPr>
              <w:spacing w:after="0"/>
              <w:rPr>
                <w:sz w:val="11"/>
                <w:szCs w:val="11"/>
                <w:color w:val="auto"/>
              </w:rPr>
            </w:pPr>
          </w:p>
        </w:tc>
        <w:tc>
          <w:tcPr>
            <w:tcW w:w="1360" w:type="dxa"/>
            <w:vAlign w:val="bottom"/>
            <w:tcBorders>
              <w:bottom w:val="single" w:sz="8" w:color="auto"/>
            </w:tcBorders>
          </w:tcPr>
          <w:p>
            <w:pPr>
              <w:jc w:val="right"/>
              <w:ind w:right="357"/>
              <w:spacing w:after="0" w:line="129" w:lineRule="exact"/>
              <w:rPr>
                <w:sz w:val="20"/>
                <w:szCs w:val="20"/>
                <w:color w:val="auto"/>
              </w:rPr>
            </w:pPr>
            <w:r>
              <w:rPr>
                <w:rFonts w:ascii="Arial" w:cs="Arial" w:eastAsia="Arial" w:hAnsi="Arial"/>
                <w:sz w:val="13"/>
                <w:szCs w:val="13"/>
                <w:color w:val="auto"/>
              </w:rPr>
              <w:t>Productive</w:t>
            </w:r>
          </w:p>
        </w:tc>
        <w:tc>
          <w:tcPr>
            <w:tcW w:w="980" w:type="dxa"/>
            <w:vAlign w:val="bottom"/>
            <w:tcBorders>
              <w:bottom w:val="single" w:sz="8" w:color="auto"/>
            </w:tcBorders>
          </w:tcPr>
          <w:p>
            <w:pPr>
              <w:jc w:val="right"/>
              <w:ind w:right="377"/>
              <w:spacing w:after="0" w:line="129" w:lineRule="exact"/>
              <w:rPr>
                <w:sz w:val="20"/>
                <w:szCs w:val="20"/>
                <w:color w:val="auto"/>
              </w:rPr>
            </w:pPr>
            <w:r>
              <w:rPr>
                <w:rFonts w:ascii="Arial" w:cs="Arial" w:eastAsia="Arial" w:hAnsi="Arial"/>
                <w:sz w:val="13"/>
                <w:szCs w:val="13"/>
                <w:color w:val="auto"/>
              </w:rPr>
              <w:t>Dry</w:t>
            </w:r>
          </w:p>
        </w:tc>
      </w:tr>
      <w:tr>
        <w:trPr>
          <w:trHeight w:val="123"/>
        </w:trPr>
        <w:tc>
          <w:tcPr>
            <w:tcW w:w="20" w:type="dxa"/>
            <w:vAlign w:val="bottom"/>
          </w:tcPr>
          <w:p>
            <w:pPr>
              <w:spacing w:after="0"/>
              <w:rPr>
                <w:sz w:val="10"/>
                <w:szCs w:val="10"/>
                <w:color w:val="auto"/>
              </w:rPr>
            </w:pPr>
          </w:p>
        </w:tc>
        <w:tc>
          <w:tcPr>
            <w:tcW w:w="2940" w:type="dxa"/>
            <w:vAlign w:val="bottom"/>
          </w:tcPr>
          <w:p>
            <w:pPr>
              <w:spacing w:after="0" w:line="123" w:lineRule="exact"/>
              <w:rPr>
                <w:sz w:val="20"/>
                <w:szCs w:val="20"/>
                <w:color w:val="auto"/>
              </w:rPr>
            </w:pPr>
            <w:r>
              <w:rPr>
                <w:rFonts w:ascii="Arial" w:cs="Arial" w:eastAsia="Arial" w:hAnsi="Arial"/>
                <w:sz w:val="13"/>
                <w:szCs w:val="13"/>
                <w:color w:val="auto"/>
              </w:rPr>
              <w:t>Exploratory [A]</w:t>
            </w:r>
          </w:p>
        </w:tc>
        <w:tc>
          <w:tcPr>
            <w:tcW w:w="1460" w:type="dxa"/>
            <w:vAlign w:val="bottom"/>
            <w:shd w:val="clear" w:color="auto" w:fill="D8D8D8"/>
          </w:tcPr>
          <w:p>
            <w:pPr>
              <w:spacing w:after="0"/>
              <w:rPr>
                <w:sz w:val="10"/>
                <w:szCs w:val="10"/>
                <w:color w:val="auto"/>
              </w:rPr>
            </w:pPr>
          </w:p>
        </w:tc>
        <w:tc>
          <w:tcPr>
            <w:tcW w:w="260" w:type="dxa"/>
            <w:vAlign w:val="bottom"/>
            <w:shd w:val="clear" w:color="auto" w:fill="D8D8D8"/>
          </w:tcPr>
          <w:p>
            <w:pPr>
              <w:spacing w:after="0"/>
              <w:rPr>
                <w:sz w:val="10"/>
                <w:szCs w:val="10"/>
                <w:color w:val="auto"/>
              </w:rPr>
            </w:pPr>
          </w:p>
        </w:tc>
        <w:tc>
          <w:tcPr>
            <w:tcW w:w="680" w:type="dxa"/>
            <w:vAlign w:val="bottom"/>
            <w:shd w:val="clear" w:color="auto" w:fill="D8D8D8"/>
          </w:tcPr>
          <w:p>
            <w:pPr>
              <w:spacing w:after="0"/>
              <w:rPr>
                <w:sz w:val="10"/>
                <w:szCs w:val="10"/>
                <w:color w:val="auto"/>
              </w:rPr>
            </w:pPr>
          </w:p>
        </w:tc>
        <w:tc>
          <w:tcPr>
            <w:tcW w:w="72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980" w:type="dxa"/>
            <w:vAlign w:val="bottom"/>
          </w:tcPr>
          <w:p>
            <w:pPr>
              <w:spacing w:after="0"/>
              <w:rPr>
                <w:sz w:val="10"/>
                <w:szCs w:val="10"/>
                <w:color w:val="auto"/>
              </w:rPr>
            </w:pPr>
          </w:p>
        </w:tc>
      </w:tr>
      <w:tr>
        <w:trPr>
          <w:trHeight w:val="135"/>
        </w:trPr>
        <w:tc>
          <w:tcPr>
            <w:tcW w:w="20" w:type="dxa"/>
            <w:vAlign w:val="bottom"/>
          </w:tcPr>
          <w:p>
            <w:pPr>
              <w:spacing w:after="0"/>
              <w:rPr>
                <w:sz w:val="11"/>
                <w:szCs w:val="11"/>
                <w:color w:val="auto"/>
              </w:rPr>
            </w:pPr>
          </w:p>
        </w:tc>
        <w:tc>
          <w:tcPr>
            <w:tcW w:w="2940" w:type="dxa"/>
            <w:vAlign w:val="bottom"/>
          </w:tcPr>
          <w:p>
            <w:pPr>
              <w:ind w:left="120"/>
              <w:spacing w:after="0" w:line="135" w:lineRule="exact"/>
              <w:rPr>
                <w:sz w:val="20"/>
                <w:szCs w:val="20"/>
                <w:color w:val="auto"/>
              </w:rPr>
            </w:pPr>
            <w:r>
              <w:rPr>
                <w:rFonts w:ascii="Arial" w:cs="Arial" w:eastAsia="Arial" w:hAnsi="Arial"/>
                <w:sz w:val="13"/>
                <w:szCs w:val="13"/>
                <w:color w:val="auto"/>
              </w:rPr>
              <w:t>Europe</w:t>
            </w:r>
          </w:p>
        </w:tc>
        <w:tc>
          <w:tcPr>
            <w:tcW w:w="1460" w:type="dxa"/>
            <w:vAlign w:val="bottom"/>
            <w:shd w:val="clear" w:color="auto" w:fill="D8D8D8"/>
          </w:tcPr>
          <w:p>
            <w:pPr>
              <w:jc w:val="right"/>
              <w:ind w:right="17"/>
              <w:spacing w:after="0" w:line="135" w:lineRule="exact"/>
              <w:rPr>
                <w:sz w:val="20"/>
                <w:szCs w:val="20"/>
                <w:color w:val="auto"/>
              </w:rPr>
            </w:pPr>
            <w:r>
              <w:rPr>
                <w:rFonts w:ascii="Arial" w:cs="Arial" w:eastAsia="Arial" w:hAnsi="Arial"/>
                <w:sz w:val="13"/>
                <w:szCs w:val="13"/>
                <w:color w:val="auto"/>
              </w:rPr>
              <w:t>1</w:t>
            </w:r>
          </w:p>
        </w:tc>
        <w:tc>
          <w:tcPr>
            <w:tcW w:w="940" w:type="dxa"/>
            <w:vAlign w:val="bottom"/>
            <w:gridSpan w:val="2"/>
            <w:shd w:val="clear" w:color="auto" w:fill="D8D8D8"/>
          </w:tcPr>
          <w:p>
            <w:pPr>
              <w:jc w:val="right"/>
              <w:ind w:right="377"/>
              <w:spacing w:after="0" w:line="135" w:lineRule="exact"/>
              <w:rPr>
                <w:sz w:val="20"/>
                <w:szCs w:val="20"/>
                <w:color w:val="auto"/>
              </w:rPr>
            </w:pPr>
            <w:r>
              <w:rPr>
                <w:rFonts w:ascii="Arial" w:cs="Arial" w:eastAsia="Arial" w:hAnsi="Arial"/>
                <w:sz w:val="13"/>
                <w:szCs w:val="13"/>
                <w:color w:val="auto"/>
              </w:rPr>
              <w:t>2</w:t>
            </w:r>
          </w:p>
        </w:tc>
        <w:tc>
          <w:tcPr>
            <w:tcW w:w="2040" w:type="dxa"/>
            <w:vAlign w:val="bottom"/>
            <w:gridSpan w:val="2"/>
          </w:tcPr>
          <w:p>
            <w:pPr>
              <w:jc w:val="right"/>
              <w:ind w:right="337"/>
              <w:spacing w:after="0" w:line="135" w:lineRule="exact"/>
              <w:rPr>
                <w:sz w:val="20"/>
                <w:szCs w:val="20"/>
                <w:color w:val="auto"/>
              </w:rPr>
            </w:pPr>
            <w:r>
              <w:rPr>
                <w:rFonts w:ascii="Arial" w:cs="Arial" w:eastAsia="Arial" w:hAnsi="Arial"/>
                <w:sz w:val="13"/>
                <w:szCs w:val="13"/>
                <w:color w:val="auto"/>
              </w:rPr>
              <w:t>1</w:t>
            </w:r>
          </w:p>
        </w:tc>
        <w:tc>
          <w:tcPr>
            <w:tcW w:w="960" w:type="dxa"/>
            <w:vAlign w:val="bottom"/>
          </w:tcPr>
          <w:p>
            <w:pPr>
              <w:jc w:val="right"/>
              <w:ind w:right="377"/>
              <w:spacing w:after="0" w:line="135" w:lineRule="exact"/>
              <w:rPr>
                <w:sz w:val="20"/>
                <w:szCs w:val="20"/>
                <w:color w:val="auto"/>
              </w:rPr>
            </w:pPr>
            <w:r>
              <w:rPr>
                <w:rFonts w:ascii="Arial" w:cs="Arial" w:eastAsia="Arial" w:hAnsi="Arial"/>
                <w:sz w:val="13"/>
                <w:szCs w:val="13"/>
                <w:color w:val="auto"/>
              </w:rPr>
              <w:t>3</w:t>
            </w:r>
          </w:p>
        </w:tc>
        <w:tc>
          <w:tcPr>
            <w:tcW w:w="720" w:type="dxa"/>
            <w:vAlign w:val="bottom"/>
          </w:tcPr>
          <w:p>
            <w:pPr>
              <w:spacing w:after="0"/>
              <w:rPr>
                <w:sz w:val="11"/>
                <w:szCs w:val="11"/>
                <w:color w:val="auto"/>
              </w:rPr>
            </w:pPr>
          </w:p>
        </w:tc>
        <w:tc>
          <w:tcPr>
            <w:tcW w:w="1360" w:type="dxa"/>
            <w:vAlign w:val="bottom"/>
          </w:tcPr>
          <w:p>
            <w:pPr>
              <w:jc w:val="right"/>
              <w:ind w:right="357"/>
              <w:spacing w:after="0" w:line="135" w:lineRule="exact"/>
              <w:rPr>
                <w:sz w:val="20"/>
                <w:szCs w:val="20"/>
                <w:color w:val="auto"/>
              </w:rPr>
            </w:pPr>
            <w:r>
              <w:rPr>
                <w:rFonts w:ascii="Arial" w:cs="Arial" w:eastAsia="Arial" w:hAnsi="Arial"/>
                <w:sz w:val="13"/>
                <w:szCs w:val="13"/>
                <w:color w:val="auto"/>
              </w:rPr>
              <w:t>1</w:t>
            </w:r>
          </w:p>
        </w:tc>
        <w:tc>
          <w:tcPr>
            <w:tcW w:w="980" w:type="dxa"/>
            <w:vAlign w:val="bottom"/>
          </w:tcPr>
          <w:p>
            <w:pPr>
              <w:jc w:val="right"/>
              <w:ind w:right="377"/>
              <w:spacing w:after="0" w:line="135" w:lineRule="exact"/>
              <w:rPr>
                <w:sz w:val="20"/>
                <w:szCs w:val="20"/>
                <w:color w:val="auto"/>
              </w:rPr>
            </w:pPr>
            <w:r>
              <w:rPr>
                <w:rFonts w:ascii="Arial" w:cs="Arial" w:eastAsia="Arial" w:hAnsi="Arial"/>
                <w:sz w:val="13"/>
                <w:szCs w:val="13"/>
                <w:color w:val="auto"/>
              </w:rPr>
              <w:t>1</w:t>
            </w:r>
          </w:p>
        </w:tc>
      </w:tr>
      <w:tr>
        <w:trPr>
          <w:trHeight w:val="135"/>
        </w:trPr>
        <w:tc>
          <w:tcPr>
            <w:tcW w:w="20" w:type="dxa"/>
            <w:vAlign w:val="bottom"/>
          </w:tcPr>
          <w:p>
            <w:pPr>
              <w:spacing w:after="0"/>
              <w:rPr>
                <w:sz w:val="11"/>
                <w:szCs w:val="11"/>
                <w:color w:val="auto"/>
              </w:rPr>
            </w:pPr>
          </w:p>
        </w:tc>
        <w:tc>
          <w:tcPr>
            <w:tcW w:w="2940" w:type="dxa"/>
            <w:vAlign w:val="bottom"/>
          </w:tcPr>
          <w:p>
            <w:pPr>
              <w:ind w:left="120"/>
              <w:spacing w:after="0" w:line="135" w:lineRule="exact"/>
              <w:rPr>
                <w:sz w:val="20"/>
                <w:szCs w:val="20"/>
                <w:color w:val="auto"/>
              </w:rPr>
            </w:pPr>
            <w:r>
              <w:rPr>
                <w:rFonts w:ascii="Arial" w:cs="Arial" w:eastAsia="Arial" w:hAnsi="Arial"/>
                <w:sz w:val="13"/>
                <w:szCs w:val="13"/>
                <w:color w:val="auto"/>
              </w:rPr>
              <w:t>Asia</w:t>
            </w:r>
          </w:p>
        </w:tc>
        <w:tc>
          <w:tcPr>
            <w:tcW w:w="1460" w:type="dxa"/>
            <w:vAlign w:val="bottom"/>
            <w:shd w:val="clear" w:color="auto" w:fill="D8D8D8"/>
          </w:tcPr>
          <w:p>
            <w:pPr>
              <w:jc w:val="right"/>
              <w:ind w:right="17"/>
              <w:spacing w:after="0" w:line="135" w:lineRule="exact"/>
              <w:rPr>
                <w:sz w:val="20"/>
                <w:szCs w:val="20"/>
                <w:color w:val="auto"/>
              </w:rPr>
            </w:pPr>
            <w:r>
              <w:rPr>
                <w:rFonts w:ascii="Arial" w:cs="Arial" w:eastAsia="Arial" w:hAnsi="Arial"/>
                <w:sz w:val="13"/>
                <w:szCs w:val="13"/>
                <w:color w:val="auto"/>
              </w:rPr>
              <w:t>2</w:t>
            </w:r>
          </w:p>
        </w:tc>
        <w:tc>
          <w:tcPr>
            <w:tcW w:w="940" w:type="dxa"/>
            <w:vAlign w:val="bottom"/>
            <w:gridSpan w:val="2"/>
            <w:shd w:val="clear" w:color="auto" w:fill="D8D8D8"/>
          </w:tcPr>
          <w:p>
            <w:pPr>
              <w:jc w:val="right"/>
              <w:ind w:right="377"/>
              <w:spacing w:after="0" w:line="135" w:lineRule="exact"/>
              <w:rPr>
                <w:sz w:val="20"/>
                <w:szCs w:val="20"/>
                <w:color w:val="auto"/>
              </w:rPr>
            </w:pPr>
            <w:r>
              <w:rPr>
                <w:rFonts w:ascii="Arial" w:cs="Arial" w:eastAsia="Arial" w:hAnsi="Arial"/>
                <w:sz w:val="13"/>
                <w:szCs w:val="13"/>
                <w:color w:val="auto"/>
              </w:rPr>
              <w:t>10</w:t>
            </w:r>
          </w:p>
        </w:tc>
        <w:tc>
          <w:tcPr>
            <w:tcW w:w="2040" w:type="dxa"/>
            <w:vAlign w:val="bottom"/>
            <w:gridSpan w:val="2"/>
          </w:tcPr>
          <w:p>
            <w:pPr>
              <w:jc w:val="right"/>
              <w:ind w:right="337"/>
              <w:spacing w:after="0" w:line="135" w:lineRule="exact"/>
              <w:rPr>
                <w:sz w:val="20"/>
                <w:szCs w:val="20"/>
                <w:color w:val="auto"/>
              </w:rPr>
            </w:pPr>
            <w:r>
              <w:rPr>
                <w:rFonts w:ascii="Arial" w:cs="Arial" w:eastAsia="Arial" w:hAnsi="Arial"/>
                <w:sz w:val="13"/>
                <w:szCs w:val="13"/>
                <w:color w:val="auto"/>
              </w:rPr>
              <w:t>2</w:t>
            </w:r>
          </w:p>
        </w:tc>
        <w:tc>
          <w:tcPr>
            <w:tcW w:w="960" w:type="dxa"/>
            <w:vAlign w:val="bottom"/>
          </w:tcPr>
          <w:p>
            <w:pPr>
              <w:jc w:val="right"/>
              <w:ind w:right="377"/>
              <w:spacing w:after="0" w:line="135" w:lineRule="exact"/>
              <w:rPr>
                <w:sz w:val="20"/>
                <w:szCs w:val="20"/>
                <w:color w:val="auto"/>
              </w:rPr>
            </w:pPr>
            <w:r>
              <w:rPr>
                <w:rFonts w:ascii="Arial" w:cs="Arial" w:eastAsia="Arial" w:hAnsi="Arial"/>
                <w:sz w:val="13"/>
                <w:szCs w:val="13"/>
                <w:color w:val="auto"/>
              </w:rPr>
              <w:t>9</w:t>
            </w:r>
          </w:p>
        </w:tc>
        <w:tc>
          <w:tcPr>
            <w:tcW w:w="720" w:type="dxa"/>
            <w:vAlign w:val="bottom"/>
          </w:tcPr>
          <w:p>
            <w:pPr>
              <w:spacing w:after="0"/>
              <w:rPr>
                <w:sz w:val="11"/>
                <w:szCs w:val="11"/>
                <w:color w:val="auto"/>
              </w:rPr>
            </w:pPr>
          </w:p>
        </w:tc>
        <w:tc>
          <w:tcPr>
            <w:tcW w:w="1360" w:type="dxa"/>
            <w:vAlign w:val="bottom"/>
          </w:tcPr>
          <w:p>
            <w:pPr>
              <w:jc w:val="right"/>
              <w:ind w:right="357"/>
              <w:spacing w:after="0" w:line="135" w:lineRule="exact"/>
              <w:rPr>
                <w:sz w:val="20"/>
                <w:szCs w:val="20"/>
                <w:color w:val="auto"/>
              </w:rPr>
            </w:pPr>
            <w:r>
              <w:rPr>
                <w:rFonts w:ascii="Arial" w:cs="Arial" w:eastAsia="Arial" w:hAnsi="Arial"/>
                <w:sz w:val="13"/>
                <w:szCs w:val="13"/>
                <w:color w:val="auto"/>
              </w:rPr>
              <w:t>3</w:t>
            </w:r>
          </w:p>
        </w:tc>
        <w:tc>
          <w:tcPr>
            <w:tcW w:w="980" w:type="dxa"/>
            <w:vAlign w:val="bottom"/>
          </w:tcPr>
          <w:p>
            <w:pPr>
              <w:jc w:val="right"/>
              <w:ind w:right="377"/>
              <w:spacing w:after="0" w:line="135" w:lineRule="exact"/>
              <w:rPr>
                <w:sz w:val="20"/>
                <w:szCs w:val="20"/>
                <w:color w:val="auto"/>
              </w:rPr>
            </w:pPr>
            <w:r>
              <w:rPr>
                <w:rFonts w:ascii="Arial" w:cs="Arial" w:eastAsia="Arial" w:hAnsi="Arial"/>
                <w:sz w:val="13"/>
                <w:szCs w:val="13"/>
                <w:color w:val="auto"/>
              </w:rPr>
              <w:t>4</w:t>
            </w:r>
          </w:p>
        </w:tc>
      </w:tr>
      <w:tr>
        <w:trPr>
          <w:trHeight w:val="135"/>
        </w:trPr>
        <w:tc>
          <w:tcPr>
            <w:tcW w:w="20" w:type="dxa"/>
            <w:vAlign w:val="bottom"/>
          </w:tcPr>
          <w:p>
            <w:pPr>
              <w:spacing w:after="0"/>
              <w:rPr>
                <w:sz w:val="11"/>
                <w:szCs w:val="11"/>
                <w:color w:val="auto"/>
              </w:rPr>
            </w:pPr>
          </w:p>
        </w:tc>
        <w:tc>
          <w:tcPr>
            <w:tcW w:w="2940" w:type="dxa"/>
            <w:vAlign w:val="bottom"/>
          </w:tcPr>
          <w:p>
            <w:pPr>
              <w:ind w:left="120"/>
              <w:spacing w:after="0" w:line="135" w:lineRule="exact"/>
              <w:rPr>
                <w:sz w:val="20"/>
                <w:szCs w:val="20"/>
                <w:color w:val="auto"/>
              </w:rPr>
            </w:pPr>
            <w:r>
              <w:rPr>
                <w:rFonts w:ascii="Arial" w:cs="Arial" w:eastAsia="Arial" w:hAnsi="Arial"/>
                <w:sz w:val="13"/>
                <w:szCs w:val="13"/>
                <w:color w:val="auto"/>
              </w:rPr>
              <w:t>Oceania</w:t>
            </w:r>
          </w:p>
        </w:tc>
        <w:tc>
          <w:tcPr>
            <w:tcW w:w="1460" w:type="dxa"/>
            <w:vAlign w:val="bottom"/>
            <w:shd w:val="clear" w:color="auto" w:fill="D8D8D8"/>
          </w:tcPr>
          <w:p>
            <w:pPr>
              <w:jc w:val="right"/>
              <w:ind w:right="17"/>
              <w:spacing w:after="0" w:line="135" w:lineRule="exact"/>
              <w:rPr>
                <w:sz w:val="20"/>
                <w:szCs w:val="20"/>
                <w:color w:val="auto"/>
              </w:rPr>
            </w:pPr>
            <w:r>
              <w:rPr>
                <w:rFonts w:ascii="Arial" w:cs="Arial" w:eastAsia="Arial" w:hAnsi="Arial"/>
                <w:sz w:val="13"/>
                <w:szCs w:val="13"/>
                <w:color w:val="auto"/>
              </w:rPr>
              <w:t>–</w:t>
            </w:r>
          </w:p>
        </w:tc>
        <w:tc>
          <w:tcPr>
            <w:tcW w:w="260" w:type="dxa"/>
            <w:vAlign w:val="bottom"/>
            <w:shd w:val="clear" w:color="auto" w:fill="D8D8D8"/>
          </w:tcPr>
          <w:p>
            <w:pPr>
              <w:spacing w:after="0"/>
              <w:rPr>
                <w:sz w:val="11"/>
                <w:szCs w:val="11"/>
                <w:color w:val="auto"/>
              </w:rPr>
            </w:pPr>
          </w:p>
        </w:tc>
        <w:tc>
          <w:tcPr>
            <w:tcW w:w="680" w:type="dxa"/>
            <w:vAlign w:val="bottom"/>
            <w:shd w:val="clear" w:color="auto" w:fill="D8D8D8"/>
          </w:tcPr>
          <w:p>
            <w:pPr>
              <w:jc w:val="right"/>
              <w:ind w:right="377"/>
              <w:spacing w:after="0" w:line="135" w:lineRule="exact"/>
              <w:rPr>
                <w:sz w:val="20"/>
                <w:szCs w:val="20"/>
                <w:color w:val="auto"/>
              </w:rPr>
            </w:pPr>
            <w:r>
              <w:rPr>
                <w:rFonts w:ascii="Arial" w:cs="Arial" w:eastAsia="Arial" w:hAnsi="Arial"/>
                <w:sz w:val="13"/>
                <w:szCs w:val="13"/>
                <w:color w:val="auto"/>
              </w:rPr>
              <w:t>1</w:t>
            </w:r>
          </w:p>
        </w:tc>
        <w:tc>
          <w:tcPr>
            <w:tcW w:w="720" w:type="dxa"/>
            <w:vAlign w:val="bottom"/>
          </w:tcPr>
          <w:p>
            <w:pPr>
              <w:spacing w:after="0"/>
              <w:rPr>
                <w:sz w:val="11"/>
                <w:szCs w:val="11"/>
                <w:color w:val="auto"/>
              </w:rPr>
            </w:pPr>
          </w:p>
        </w:tc>
        <w:tc>
          <w:tcPr>
            <w:tcW w:w="1320" w:type="dxa"/>
            <w:vAlign w:val="bottom"/>
          </w:tcPr>
          <w:p>
            <w:pPr>
              <w:jc w:val="right"/>
              <w:ind w:right="337"/>
              <w:spacing w:after="0" w:line="135" w:lineRule="exact"/>
              <w:rPr>
                <w:sz w:val="20"/>
                <w:szCs w:val="20"/>
                <w:color w:val="auto"/>
              </w:rPr>
            </w:pPr>
            <w:r>
              <w:rPr>
                <w:rFonts w:ascii="Arial" w:cs="Arial" w:eastAsia="Arial" w:hAnsi="Arial"/>
                <w:sz w:val="13"/>
                <w:szCs w:val="13"/>
                <w:color w:val="auto"/>
              </w:rPr>
              <w:t>–</w:t>
            </w:r>
          </w:p>
        </w:tc>
        <w:tc>
          <w:tcPr>
            <w:tcW w:w="960" w:type="dxa"/>
            <w:vAlign w:val="bottom"/>
          </w:tcPr>
          <w:p>
            <w:pPr>
              <w:jc w:val="right"/>
              <w:ind w:right="377"/>
              <w:spacing w:after="0" w:line="135" w:lineRule="exact"/>
              <w:rPr>
                <w:sz w:val="20"/>
                <w:szCs w:val="20"/>
                <w:color w:val="auto"/>
              </w:rPr>
            </w:pPr>
            <w:r>
              <w:rPr>
                <w:rFonts w:ascii="Arial" w:cs="Arial" w:eastAsia="Arial" w:hAnsi="Arial"/>
                <w:sz w:val="13"/>
                <w:szCs w:val="13"/>
                <w:color w:val="auto"/>
              </w:rPr>
              <w:t>1</w:t>
            </w:r>
          </w:p>
        </w:tc>
        <w:tc>
          <w:tcPr>
            <w:tcW w:w="720" w:type="dxa"/>
            <w:vAlign w:val="bottom"/>
          </w:tcPr>
          <w:p>
            <w:pPr>
              <w:spacing w:after="0"/>
              <w:rPr>
                <w:sz w:val="11"/>
                <w:szCs w:val="11"/>
                <w:color w:val="auto"/>
              </w:rPr>
            </w:pPr>
          </w:p>
        </w:tc>
        <w:tc>
          <w:tcPr>
            <w:tcW w:w="1360" w:type="dxa"/>
            <w:vAlign w:val="bottom"/>
          </w:tcPr>
          <w:p>
            <w:pPr>
              <w:jc w:val="right"/>
              <w:ind w:right="357"/>
              <w:spacing w:after="0" w:line="135" w:lineRule="exact"/>
              <w:rPr>
                <w:sz w:val="20"/>
                <w:szCs w:val="20"/>
                <w:color w:val="auto"/>
              </w:rPr>
            </w:pPr>
            <w:r>
              <w:rPr>
                <w:rFonts w:ascii="Arial" w:cs="Arial" w:eastAsia="Arial" w:hAnsi="Arial"/>
                <w:sz w:val="13"/>
                <w:szCs w:val="13"/>
                <w:color w:val="auto"/>
              </w:rPr>
              <w:t>–</w:t>
            </w:r>
          </w:p>
        </w:tc>
        <w:tc>
          <w:tcPr>
            <w:tcW w:w="980" w:type="dxa"/>
            <w:vAlign w:val="bottom"/>
          </w:tcPr>
          <w:p>
            <w:pPr>
              <w:jc w:val="right"/>
              <w:ind w:right="377"/>
              <w:spacing w:after="0" w:line="135" w:lineRule="exact"/>
              <w:rPr>
                <w:sz w:val="20"/>
                <w:szCs w:val="20"/>
                <w:color w:val="auto"/>
              </w:rPr>
            </w:pPr>
            <w:r>
              <w:rPr>
                <w:rFonts w:ascii="Arial" w:cs="Arial" w:eastAsia="Arial" w:hAnsi="Arial"/>
                <w:sz w:val="13"/>
                <w:szCs w:val="13"/>
                <w:color w:val="auto"/>
              </w:rPr>
              <w:t>1</w:t>
            </w:r>
          </w:p>
        </w:tc>
      </w:tr>
      <w:tr>
        <w:trPr>
          <w:trHeight w:val="141"/>
        </w:trPr>
        <w:tc>
          <w:tcPr>
            <w:tcW w:w="20" w:type="dxa"/>
            <w:vAlign w:val="bottom"/>
          </w:tcPr>
          <w:p>
            <w:pPr>
              <w:spacing w:after="0"/>
              <w:rPr>
                <w:sz w:val="12"/>
                <w:szCs w:val="12"/>
                <w:color w:val="auto"/>
              </w:rPr>
            </w:pPr>
          </w:p>
        </w:tc>
        <w:tc>
          <w:tcPr>
            <w:tcW w:w="2940" w:type="dxa"/>
            <w:vAlign w:val="bottom"/>
          </w:tcPr>
          <w:p>
            <w:pPr>
              <w:ind w:left="120"/>
              <w:spacing w:after="0" w:line="135" w:lineRule="exact"/>
              <w:rPr>
                <w:sz w:val="20"/>
                <w:szCs w:val="20"/>
                <w:color w:val="auto"/>
              </w:rPr>
            </w:pPr>
            <w:r>
              <w:rPr>
                <w:rFonts w:ascii="Arial" w:cs="Arial" w:eastAsia="Arial" w:hAnsi="Arial"/>
                <w:sz w:val="13"/>
                <w:szCs w:val="13"/>
                <w:color w:val="auto"/>
              </w:rPr>
              <w:t>Africa</w:t>
            </w:r>
          </w:p>
        </w:tc>
        <w:tc>
          <w:tcPr>
            <w:tcW w:w="1460" w:type="dxa"/>
            <w:vAlign w:val="bottom"/>
            <w:shd w:val="clear" w:color="auto" w:fill="D8D8D8"/>
          </w:tcPr>
          <w:p>
            <w:pPr>
              <w:jc w:val="right"/>
              <w:ind w:right="17"/>
              <w:spacing w:after="0" w:line="135" w:lineRule="exact"/>
              <w:rPr>
                <w:sz w:val="20"/>
                <w:szCs w:val="20"/>
                <w:color w:val="auto"/>
              </w:rPr>
            </w:pPr>
            <w:r>
              <w:rPr>
                <w:rFonts w:ascii="Arial" w:cs="Arial" w:eastAsia="Arial" w:hAnsi="Arial"/>
                <w:sz w:val="13"/>
                <w:szCs w:val="13"/>
                <w:color w:val="auto"/>
              </w:rPr>
              <w:t>4</w:t>
            </w:r>
          </w:p>
        </w:tc>
        <w:tc>
          <w:tcPr>
            <w:tcW w:w="260" w:type="dxa"/>
            <w:vAlign w:val="bottom"/>
            <w:shd w:val="clear" w:color="auto" w:fill="D8D8D8"/>
          </w:tcPr>
          <w:p>
            <w:pPr>
              <w:spacing w:after="0"/>
              <w:rPr>
                <w:sz w:val="12"/>
                <w:szCs w:val="12"/>
                <w:color w:val="auto"/>
              </w:rPr>
            </w:pPr>
          </w:p>
        </w:tc>
        <w:tc>
          <w:tcPr>
            <w:tcW w:w="680" w:type="dxa"/>
            <w:vAlign w:val="bottom"/>
            <w:shd w:val="clear" w:color="auto" w:fill="D8D8D8"/>
          </w:tcPr>
          <w:p>
            <w:pPr>
              <w:jc w:val="right"/>
              <w:ind w:right="377"/>
              <w:spacing w:after="0" w:line="135" w:lineRule="exact"/>
              <w:rPr>
                <w:sz w:val="20"/>
                <w:szCs w:val="20"/>
                <w:color w:val="auto"/>
              </w:rPr>
            </w:pPr>
            <w:r>
              <w:rPr>
                <w:rFonts w:ascii="Arial" w:cs="Arial" w:eastAsia="Arial" w:hAnsi="Arial"/>
                <w:sz w:val="13"/>
                <w:szCs w:val="13"/>
                <w:color w:val="auto"/>
              </w:rPr>
              <w:t>4</w:t>
            </w:r>
          </w:p>
        </w:tc>
        <w:tc>
          <w:tcPr>
            <w:tcW w:w="2040" w:type="dxa"/>
            <w:vAlign w:val="bottom"/>
            <w:gridSpan w:val="2"/>
          </w:tcPr>
          <w:p>
            <w:pPr>
              <w:jc w:val="right"/>
              <w:ind w:right="337"/>
              <w:spacing w:after="0" w:line="135" w:lineRule="exact"/>
              <w:rPr>
                <w:sz w:val="20"/>
                <w:szCs w:val="20"/>
                <w:color w:val="auto"/>
              </w:rPr>
            </w:pPr>
            <w:r>
              <w:rPr>
                <w:rFonts w:ascii="Arial" w:cs="Arial" w:eastAsia="Arial" w:hAnsi="Arial"/>
                <w:sz w:val="13"/>
                <w:szCs w:val="13"/>
                <w:color w:val="auto"/>
              </w:rPr>
              <w:t>6</w:t>
            </w:r>
          </w:p>
        </w:tc>
        <w:tc>
          <w:tcPr>
            <w:tcW w:w="960" w:type="dxa"/>
            <w:vAlign w:val="bottom"/>
          </w:tcPr>
          <w:p>
            <w:pPr>
              <w:jc w:val="right"/>
              <w:ind w:right="377"/>
              <w:spacing w:after="0" w:line="135" w:lineRule="exact"/>
              <w:rPr>
                <w:sz w:val="20"/>
                <w:szCs w:val="20"/>
                <w:color w:val="auto"/>
              </w:rPr>
            </w:pPr>
            <w:r>
              <w:rPr>
                <w:rFonts w:ascii="Arial" w:cs="Arial" w:eastAsia="Arial" w:hAnsi="Arial"/>
                <w:sz w:val="13"/>
                <w:szCs w:val="13"/>
                <w:color w:val="auto"/>
              </w:rPr>
              <w:t>3</w:t>
            </w:r>
          </w:p>
        </w:tc>
        <w:tc>
          <w:tcPr>
            <w:tcW w:w="720" w:type="dxa"/>
            <w:vAlign w:val="bottom"/>
          </w:tcPr>
          <w:p>
            <w:pPr>
              <w:spacing w:after="0"/>
              <w:rPr>
                <w:sz w:val="12"/>
                <w:szCs w:val="12"/>
                <w:color w:val="auto"/>
              </w:rPr>
            </w:pPr>
          </w:p>
        </w:tc>
        <w:tc>
          <w:tcPr>
            <w:tcW w:w="1360" w:type="dxa"/>
            <w:vAlign w:val="bottom"/>
          </w:tcPr>
          <w:p>
            <w:pPr>
              <w:jc w:val="right"/>
              <w:ind w:right="357"/>
              <w:spacing w:after="0" w:line="135" w:lineRule="exact"/>
              <w:rPr>
                <w:sz w:val="20"/>
                <w:szCs w:val="20"/>
                <w:color w:val="auto"/>
              </w:rPr>
            </w:pPr>
            <w:r>
              <w:rPr>
                <w:rFonts w:ascii="Arial" w:cs="Arial" w:eastAsia="Arial" w:hAnsi="Arial"/>
                <w:sz w:val="13"/>
                <w:szCs w:val="13"/>
                <w:color w:val="auto"/>
              </w:rPr>
              <w:t>3</w:t>
            </w:r>
          </w:p>
        </w:tc>
        <w:tc>
          <w:tcPr>
            <w:tcW w:w="980" w:type="dxa"/>
            <w:vAlign w:val="bottom"/>
          </w:tcPr>
          <w:p>
            <w:pPr>
              <w:jc w:val="right"/>
              <w:ind w:right="377"/>
              <w:spacing w:after="0" w:line="135" w:lineRule="exact"/>
              <w:rPr>
                <w:sz w:val="20"/>
                <w:szCs w:val="20"/>
                <w:color w:val="auto"/>
              </w:rPr>
            </w:pPr>
            <w:r>
              <w:rPr>
                <w:rFonts w:ascii="Arial" w:cs="Arial" w:eastAsia="Arial" w:hAnsi="Arial"/>
                <w:sz w:val="13"/>
                <w:szCs w:val="13"/>
                <w:color w:val="auto"/>
              </w:rPr>
              <w:t>7</w:t>
            </w:r>
          </w:p>
        </w:tc>
      </w:tr>
      <w:tr>
        <w:trPr>
          <w:trHeight w:val="129"/>
        </w:trPr>
        <w:tc>
          <w:tcPr>
            <w:tcW w:w="20" w:type="dxa"/>
            <w:vAlign w:val="bottom"/>
          </w:tcPr>
          <w:p>
            <w:pPr>
              <w:spacing w:after="0"/>
              <w:rPr>
                <w:sz w:val="11"/>
                <w:szCs w:val="11"/>
                <w:color w:val="auto"/>
              </w:rPr>
            </w:pPr>
          </w:p>
        </w:tc>
        <w:tc>
          <w:tcPr>
            <w:tcW w:w="2940" w:type="dxa"/>
            <w:vAlign w:val="bottom"/>
          </w:tcPr>
          <w:p>
            <w:pPr>
              <w:ind w:left="120"/>
              <w:spacing w:after="0" w:line="129" w:lineRule="exact"/>
              <w:rPr>
                <w:sz w:val="20"/>
                <w:szCs w:val="20"/>
                <w:color w:val="auto"/>
              </w:rPr>
            </w:pPr>
            <w:r>
              <w:rPr>
                <w:rFonts w:ascii="Arial" w:cs="Arial" w:eastAsia="Arial" w:hAnsi="Arial"/>
                <w:sz w:val="13"/>
                <w:szCs w:val="13"/>
                <w:color w:val="auto"/>
              </w:rPr>
              <w:t>North America – USA</w:t>
            </w:r>
          </w:p>
        </w:tc>
        <w:tc>
          <w:tcPr>
            <w:tcW w:w="1460" w:type="dxa"/>
            <w:vAlign w:val="bottom"/>
            <w:shd w:val="clear" w:color="auto" w:fill="D8D8D8"/>
          </w:tcPr>
          <w:p>
            <w:pPr>
              <w:jc w:val="right"/>
              <w:ind w:right="17"/>
              <w:spacing w:after="0" w:line="129" w:lineRule="exact"/>
              <w:rPr>
                <w:sz w:val="20"/>
                <w:szCs w:val="20"/>
                <w:color w:val="auto"/>
              </w:rPr>
            </w:pPr>
            <w:r>
              <w:rPr>
                <w:rFonts w:ascii="Arial" w:cs="Arial" w:eastAsia="Arial" w:hAnsi="Arial"/>
                <w:sz w:val="13"/>
                <w:szCs w:val="13"/>
                <w:color w:val="auto"/>
              </w:rPr>
              <w:t>53</w:t>
            </w:r>
          </w:p>
        </w:tc>
        <w:tc>
          <w:tcPr>
            <w:tcW w:w="260" w:type="dxa"/>
            <w:vAlign w:val="bottom"/>
            <w:shd w:val="clear" w:color="auto" w:fill="D8D8D8"/>
          </w:tcPr>
          <w:p>
            <w:pPr>
              <w:spacing w:after="0"/>
              <w:rPr>
                <w:sz w:val="11"/>
                <w:szCs w:val="11"/>
                <w:color w:val="auto"/>
              </w:rPr>
            </w:pPr>
          </w:p>
        </w:tc>
        <w:tc>
          <w:tcPr>
            <w:tcW w:w="680" w:type="dxa"/>
            <w:vAlign w:val="bottom"/>
          </w:tcPr>
          <w:p>
            <w:pPr>
              <w:jc w:val="right"/>
              <w:ind w:right="377"/>
              <w:spacing w:after="0" w:line="129" w:lineRule="exact"/>
              <w:rPr>
                <w:sz w:val="20"/>
                <w:szCs w:val="20"/>
                <w:color w:val="auto"/>
              </w:rPr>
            </w:pPr>
            <w:r>
              <w:rPr>
                <w:rFonts w:ascii="Arial" w:cs="Arial" w:eastAsia="Arial" w:hAnsi="Arial"/>
                <w:sz w:val="13"/>
                <w:szCs w:val="13"/>
                <w:color w:val="auto"/>
              </w:rPr>
              <w:t>89</w:t>
            </w:r>
          </w:p>
        </w:tc>
        <w:tc>
          <w:tcPr>
            <w:tcW w:w="720" w:type="dxa"/>
            <w:vAlign w:val="bottom"/>
          </w:tcPr>
          <w:p>
            <w:pPr>
              <w:spacing w:after="0"/>
              <w:rPr>
                <w:sz w:val="11"/>
                <w:szCs w:val="11"/>
                <w:color w:val="auto"/>
              </w:rPr>
            </w:pPr>
          </w:p>
        </w:tc>
        <w:tc>
          <w:tcPr>
            <w:tcW w:w="1320" w:type="dxa"/>
            <w:vAlign w:val="bottom"/>
          </w:tcPr>
          <w:p>
            <w:pPr>
              <w:jc w:val="right"/>
              <w:ind w:right="177"/>
              <w:spacing w:after="0" w:line="129" w:lineRule="exact"/>
              <w:rPr>
                <w:sz w:val="20"/>
                <w:szCs w:val="20"/>
                <w:color w:val="auto"/>
              </w:rPr>
            </w:pPr>
            <w:r>
              <w:rPr>
                <w:rFonts w:ascii="Arial" w:cs="Arial" w:eastAsia="Arial" w:hAnsi="Arial"/>
                <w:sz w:val="13"/>
                <w:szCs w:val="13"/>
                <w:color w:val="auto"/>
              </w:rPr>
              <w:t>173[B]</w:t>
            </w:r>
          </w:p>
        </w:tc>
        <w:tc>
          <w:tcPr>
            <w:tcW w:w="1680" w:type="dxa"/>
            <w:vAlign w:val="bottom"/>
            <w:gridSpan w:val="2"/>
          </w:tcPr>
          <w:p>
            <w:pPr>
              <w:ind w:left="380"/>
              <w:spacing w:after="0" w:line="129" w:lineRule="exact"/>
              <w:rPr>
                <w:sz w:val="20"/>
                <w:szCs w:val="20"/>
                <w:color w:val="auto"/>
              </w:rPr>
            </w:pPr>
            <w:r>
              <w:rPr>
                <w:rFonts w:ascii="Arial" w:cs="Arial" w:eastAsia="Arial" w:hAnsi="Arial"/>
                <w:sz w:val="13"/>
                <w:szCs w:val="13"/>
                <w:color w:val="auto"/>
              </w:rPr>
              <w:t>33[B]</w:t>
            </w:r>
          </w:p>
        </w:tc>
        <w:tc>
          <w:tcPr>
            <w:tcW w:w="1360" w:type="dxa"/>
            <w:vAlign w:val="bottom"/>
          </w:tcPr>
          <w:p>
            <w:pPr>
              <w:jc w:val="right"/>
              <w:ind w:right="197"/>
              <w:spacing w:after="0" w:line="129" w:lineRule="exact"/>
              <w:rPr>
                <w:sz w:val="20"/>
                <w:szCs w:val="20"/>
                <w:color w:val="auto"/>
              </w:rPr>
            </w:pPr>
            <w:r>
              <w:rPr>
                <w:rFonts w:ascii="Arial" w:cs="Arial" w:eastAsia="Arial" w:hAnsi="Arial"/>
                <w:sz w:val="13"/>
                <w:szCs w:val="13"/>
                <w:color w:val="auto"/>
              </w:rPr>
              <w:t>127[B]</w:t>
            </w:r>
          </w:p>
        </w:tc>
        <w:tc>
          <w:tcPr>
            <w:tcW w:w="980" w:type="dxa"/>
            <w:vAlign w:val="bottom"/>
          </w:tcPr>
          <w:p>
            <w:pPr>
              <w:jc w:val="right"/>
              <w:ind w:right="237"/>
              <w:spacing w:after="0" w:line="129" w:lineRule="exact"/>
              <w:rPr>
                <w:sz w:val="20"/>
                <w:szCs w:val="20"/>
                <w:color w:val="auto"/>
              </w:rPr>
            </w:pPr>
            <w:r>
              <w:rPr>
                <w:rFonts w:ascii="Arial" w:cs="Arial" w:eastAsia="Arial" w:hAnsi="Arial"/>
                <w:sz w:val="13"/>
                <w:szCs w:val="13"/>
                <w:color w:val="auto"/>
              </w:rPr>
              <w:t>11[B]</w:t>
            </w:r>
          </w:p>
        </w:tc>
      </w:tr>
      <w:tr>
        <w:trPr>
          <w:trHeight w:val="135"/>
        </w:trPr>
        <w:tc>
          <w:tcPr>
            <w:tcW w:w="20" w:type="dxa"/>
            <w:vAlign w:val="bottom"/>
          </w:tcPr>
          <w:p>
            <w:pPr>
              <w:spacing w:after="0"/>
              <w:rPr>
                <w:sz w:val="11"/>
                <w:szCs w:val="11"/>
                <w:color w:val="auto"/>
              </w:rPr>
            </w:pPr>
          </w:p>
        </w:tc>
        <w:tc>
          <w:tcPr>
            <w:tcW w:w="2940" w:type="dxa"/>
            <w:vAlign w:val="bottom"/>
          </w:tcPr>
          <w:p>
            <w:pPr>
              <w:ind w:left="120"/>
              <w:spacing w:after="0" w:line="135" w:lineRule="exact"/>
              <w:rPr>
                <w:sz w:val="20"/>
                <w:szCs w:val="20"/>
                <w:color w:val="auto"/>
              </w:rPr>
            </w:pPr>
            <w:r>
              <w:rPr>
                <w:rFonts w:ascii="Arial" w:cs="Arial" w:eastAsia="Arial" w:hAnsi="Arial"/>
                <w:sz w:val="13"/>
                <w:szCs w:val="13"/>
                <w:color w:val="auto"/>
              </w:rPr>
              <w:t>North America – Canada</w:t>
            </w:r>
          </w:p>
        </w:tc>
        <w:tc>
          <w:tcPr>
            <w:tcW w:w="1460" w:type="dxa"/>
            <w:vAlign w:val="bottom"/>
            <w:shd w:val="clear" w:color="auto" w:fill="D8D8D8"/>
          </w:tcPr>
          <w:p>
            <w:pPr>
              <w:jc w:val="right"/>
              <w:ind w:right="17"/>
              <w:spacing w:after="0" w:line="135" w:lineRule="exact"/>
              <w:rPr>
                <w:sz w:val="20"/>
                <w:szCs w:val="20"/>
                <w:color w:val="auto"/>
              </w:rPr>
            </w:pPr>
            <w:r>
              <w:rPr>
                <w:rFonts w:ascii="Arial" w:cs="Arial" w:eastAsia="Arial" w:hAnsi="Arial"/>
                <w:sz w:val="13"/>
                <w:szCs w:val="13"/>
                <w:color w:val="auto"/>
              </w:rPr>
              <w:t>39</w:t>
            </w:r>
          </w:p>
        </w:tc>
        <w:tc>
          <w:tcPr>
            <w:tcW w:w="260" w:type="dxa"/>
            <w:vAlign w:val="bottom"/>
            <w:shd w:val="clear" w:color="auto" w:fill="D8D8D8"/>
          </w:tcPr>
          <w:p>
            <w:pPr>
              <w:spacing w:after="0"/>
              <w:rPr>
                <w:sz w:val="11"/>
                <w:szCs w:val="11"/>
                <w:color w:val="auto"/>
              </w:rPr>
            </w:pPr>
          </w:p>
        </w:tc>
        <w:tc>
          <w:tcPr>
            <w:tcW w:w="680" w:type="dxa"/>
            <w:vAlign w:val="bottom"/>
          </w:tcPr>
          <w:p>
            <w:pPr>
              <w:jc w:val="right"/>
              <w:ind w:right="377"/>
              <w:spacing w:after="0" w:line="135" w:lineRule="exact"/>
              <w:rPr>
                <w:sz w:val="20"/>
                <w:szCs w:val="20"/>
                <w:color w:val="auto"/>
              </w:rPr>
            </w:pPr>
            <w:r>
              <w:rPr>
                <w:rFonts w:ascii="Arial" w:cs="Arial" w:eastAsia="Arial" w:hAnsi="Arial"/>
                <w:sz w:val="13"/>
                <w:szCs w:val="13"/>
                <w:color w:val="auto"/>
              </w:rPr>
              <w:t>2</w:t>
            </w:r>
          </w:p>
        </w:tc>
        <w:tc>
          <w:tcPr>
            <w:tcW w:w="720" w:type="dxa"/>
            <w:vAlign w:val="bottom"/>
          </w:tcPr>
          <w:p>
            <w:pPr>
              <w:spacing w:after="0"/>
              <w:rPr>
                <w:sz w:val="11"/>
                <w:szCs w:val="11"/>
                <w:color w:val="auto"/>
              </w:rPr>
            </w:pPr>
          </w:p>
        </w:tc>
        <w:tc>
          <w:tcPr>
            <w:tcW w:w="1320" w:type="dxa"/>
            <w:vAlign w:val="bottom"/>
          </w:tcPr>
          <w:p>
            <w:pPr>
              <w:jc w:val="right"/>
              <w:ind w:right="177"/>
              <w:spacing w:after="0" w:line="135" w:lineRule="exact"/>
              <w:rPr>
                <w:sz w:val="20"/>
                <w:szCs w:val="20"/>
                <w:color w:val="auto"/>
              </w:rPr>
            </w:pPr>
            <w:r>
              <w:rPr>
                <w:rFonts w:ascii="Arial" w:cs="Arial" w:eastAsia="Arial" w:hAnsi="Arial"/>
                <w:sz w:val="13"/>
                <w:szCs w:val="13"/>
                <w:color w:val="auto"/>
              </w:rPr>
              <w:t>17[C]</w:t>
            </w:r>
          </w:p>
        </w:tc>
        <w:tc>
          <w:tcPr>
            <w:tcW w:w="960" w:type="dxa"/>
            <w:vAlign w:val="bottom"/>
          </w:tcPr>
          <w:p>
            <w:pPr>
              <w:jc w:val="right"/>
              <w:ind w:right="377"/>
              <w:spacing w:after="0" w:line="135" w:lineRule="exact"/>
              <w:rPr>
                <w:sz w:val="20"/>
                <w:szCs w:val="20"/>
                <w:color w:val="auto"/>
              </w:rPr>
            </w:pPr>
            <w:r>
              <w:rPr>
                <w:rFonts w:ascii="Arial" w:cs="Arial" w:eastAsia="Arial" w:hAnsi="Arial"/>
                <w:sz w:val="13"/>
                <w:szCs w:val="13"/>
                <w:color w:val="auto"/>
              </w:rPr>
              <w:t>2</w:t>
            </w:r>
          </w:p>
        </w:tc>
        <w:tc>
          <w:tcPr>
            <w:tcW w:w="720" w:type="dxa"/>
            <w:vAlign w:val="bottom"/>
          </w:tcPr>
          <w:p>
            <w:pPr>
              <w:spacing w:after="0"/>
              <w:rPr>
                <w:sz w:val="11"/>
                <w:szCs w:val="11"/>
                <w:color w:val="auto"/>
              </w:rPr>
            </w:pPr>
          </w:p>
        </w:tc>
        <w:tc>
          <w:tcPr>
            <w:tcW w:w="1360" w:type="dxa"/>
            <w:vAlign w:val="bottom"/>
          </w:tcPr>
          <w:p>
            <w:pPr>
              <w:jc w:val="right"/>
              <w:ind w:right="357"/>
              <w:spacing w:after="0" w:line="135" w:lineRule="exact"/>
              <w:rPr>
                <w:sz w:val="20"/>
                <w:szCs w:val="20"/>
                <w:color w:val="auto"/>
              </w:rPr>
            </w:pPr>
            <w:r>
              <w:rPr>
                <w:rFonts w:ascii="Arial" w:cs="Arial" w:eastAsia="Arial" w:hAnsi="Arial"/>
                <w:sz w:val="13"/>
                <w:szCs w:val="13"/>
                <w:color w:val="auto"/>
              </w:rPr>
              <w:t>37</w:t>
            </w:r>
          </w:p>
        </w:tc>
        <w:tc>
          <w:tcPr>
            <w:tcW w:w="980" w:type="dxa"/>
            <w:vAlign w:val="bottom"/>
          </w:tcPr>
          <w:p>
            <w:pPr>
              <w:jc w:val="right"/>
              <w:ind w:right="377"/>
              <w:spacing w:after="0" w:line="135" w:lineRule="exact"/>
              <w:rPr>
                <w:sz w:val="20"/>
                <w:szCs w:val="20"/>
                <w:color w:val="auto"/>
              </w:rPr>
            </w:pPr>
            <w:r>
              <w:rPr>
                <w:rFonts w:ascii="Arial" w:cs="Arial" w:eastAsia="Arial" w:hAnsi="Arial"/>
                <w:sz w:val="13"/>
                <w:szCs w:val="13"/>
                <w:color w:val="auto"/>
              </w:rPr>
              <w:t>9</w:t>
            </w:r>
          </w:p>
        </w:tc>
      </w:tr>
      <w:tr>
        <w:trPr>
          <w:trHeight w:val="155"/>
        </w:trPr>
        <w:tc>
          <w:tcPr>
            <w:tcW w:w="20" w:type="dxa"/>
            <w:vAlign w:val="bottom"/>
          </w:tcPr>
          <w:p>
            <w:pPr>
              <w:spacing w:after="0"/>
              <w:rPr>
                <w:sz w:val="13"/>
                <w:szCs w:val="13"/>
                <w:color w:val="auto"/>
              </w:rPr>
            </w:pPr>
          </w:p>
        </w:tc>
        <w:tc>
          <w:tcPr>
            <w:tcW w:w="2940" w:type="dxa"/>
            <w:vAlign w:val="bottom"/>
            <w:tcBorders>
              <w:bottom w:val="single" w:sz="8" w:color="auto"/>
            </w:tcBorders>
          </w:tcPr>
          <w:p>
            <w:pPr>
              <w:ind w:left="120"/>
              <w:spacing w:after="0"/>
              <w:rPr>
                <w:sz w:val="20"/>
                <w:szCs w:val="20"/>
                <w:color w:val="auto"/>
              </w:rPr>
            </w:pPr>
            <w:r>
              <w:rPr>
                <w:rFonts w:ascii="Arial" w:cs="Arial" w:eastAsia="Arial" w:hAnsi="Arial"/>
                <w:sz w:val="13"/>
                <w:szCs w:val="13"/>
                <w:color w:val="auto"/>
              </w:rPr>
              <w:t>South America</w:t>
            </w:r>
          </w:p>
        </w:tc>
        <w:tc>
          <w:tcPr>
            <w:tcW w:w="1460" w:type="dxa"/>
            <w:vAlign w:val="bottom"/>
            <w:tcBorders>
              <w:bottom w:val="single" w:sz="8" w:color="auto"/>
            </w:tcBorders>
            <w:shd w:val="clear" w:color="auto" w:fill="D8D8D8"/>
          </w:tcPr>
          <w:p>
            <w:pPr>
              <w:jc w:val="right"/>
              <w:ind w:right="17"/>
              <w:spacing w:after="0"/>
              <w:rPr>
                <w:sz w:val="20"/>
                <w:szCs w:val="20"/>
                <w:color w:val="auto"/>
              </w:rPr>
            </w:pPr>
            <w:r>
              <w:rPr>
                <w:rFonts w:ascii="Arial" w:cs="Arial" w:eastAsia="Arial" w:hAnsi="Arial"/>
                <w:sz w:val="13"/>
                <w:szCs w:val="13"/>
                <w:color w:val="auto"/>
              </w:rPr>
              <w:t>–</w:t>
            </w:r>
          </w:p>
        </w:tc>
        <w:tc>
          <w:tcPr>
            <w:tcW w:w="260" w:type="dxa"/>
            <w:vAlign w:val="bottom"/>
            <w:tcBorders>
              <w:bottom w:val="single" w:sz="8" w:color="auto"/>
            </w:tcBorders>
            <w:shd w:val="clear" w:color="auto" w:fill="D8D8D8"/>
          </w:tcPr>
          <w:p>
            <w:pPr>
              <w:spacing w:after="0"/>
              <w:rPr>
                <w:sz w:val="13"/>
                <w:szCs w:val="13"/>
                <w:color w:val="auto"/>
              </w:rPr>
            </w:pPr>
          </w:p>
        </w:tc>
        <w:tc>
          <w:tcPr>
            <w:tcW w:w="680" w:type="dxa"/>
            <w:vAlign w:val="bottom"/>
            <w:tcBorders>
              <w:bottom w:val="single" w:sz="8" w:color="auto"/>
            </w:tcBorders>
          </w:tcPr>
          <w:p>
            <w:pPr>
              <w:jc w:val="right"/>
              <w:ind w:right="377"/>
              <w:spacing w:after="0"/>
              <w:rPr>
                <w:sz w:val="20"/>
                <w:szCs w:val="20"/>
                <w:color w:val="auto"/>
              </w:rPr>
            </w:pPr>
            <w:r>
              <w:rPr>
                <w:rFonts w:ascii="Arial" w:cs="Arial" w:eastAsia="Arial" w:hAnsi="Arial"/>
                <w:sz w:val="13"/>
                <w:szCs w:val="13"/>
                <w:color w:val="auto"/>
              </w:rPr>
              <w:t>1</w:t>
            </w:r>
          </w:p>
        </w:tc>
        <w:tc>
          <w:tcPr>
            <w:tcW w:w="72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tcPr>
          <w:p>
            <w:pPr>
              <w:jc w:val="right"/>
              <w:ind w:right="337"/>
              <w:spacing w:after="0"/>
              <w:rPr>
                <w:sz w:val="20"/>
                <w:szCs w:val="20"/>
                <w:color w:val="auto"/>
              </w:rPr>
            </w:pPr>
            <w:r>
              <w:rPr>
                <w:rFonts w:ascii="Arial" w:cs="Arial" w:eastAsia="Arial" w:hAnsi="Arial"/>
                <w:sz w:val="13"/>
                <w:szCs w:val="13"/>
                <w:color w:val="auto"/>
              </w:rPr>
              <w:t>–</w:t>
            </w:r>
          </w:p>
        </w:tc>
        <w:tc>
          <w:tcPr>
            <w:tcW w:w="960" w:type="dxa"/>
            <w:vAlign w:val="bottom"/>
            <w:tcBorders>
              <w:bottom w:val="single" w:sz="8" w:color="auto"/>
            </w:tcBorders>
          </w:tcPr>
          <w:p>
            <w:pPr>
              <w:jc w:val="right"/>
              <w:ind w:right="377"/>
              <w:spacing w:after="0"/>
              <w:rPr>
                <w:sz w:val="20"/>
                <w:szCs w:val="20"/>
                <w:color w:val="auto"/>
              </w:rPr>
            </w:pPr>
            <w:r>
              <w:rPr>
                <w:rFonts w:ascii="Arial" w:cs="Arial" w:eastAsia="Arial" w:hAnsi="Arial"/>
                <w:sz w:val="13"/>
                <w:szCs w:val="13"/>
                <w:color w:val="auto"/>
              </w:rPr>
              <w:t>5</w:t>
            </w:r>
          </w:p>
        </w:tc>
        <w:tc>
          <w:tcPr>
            <w:tcW w:w="72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tcPr>
          <w:p>
            <w:pPr>
              <w:jc w:val="right"/>
              <w:ind w:right="357"/>
              <w:spacing w:after="0"/>
              <w:rPr>
                <w:sz w:val="20"/>
                <w:szCs w:val="20"/>
                <w:color w:val="auto"/>
              </w:rPr>
            </w:pPr>
            <w:r>
              <w:rPr>
                <w:rFonts w:ascii="Arial" w:cs="Arial" w:eastAsia="Arial" w:hAnsi="Arial"/>
                <w:sz w:val="13"/>
                <w:szCs w:val="13"/>
                <w:color w:val="auto"/>
              </w:rPr>
              <w:t>–</w:t>
            </w:r>
          </w:p>
        </w:tc>
        <w:tc>
          <w:tcPr>
            <w:tcW w:w="980" w:type="dxa"/>
            <w:vAlign w:val="bottom"/>
            <w:tcBorders>
              <w:bottom w:val="single" w:sz="8" w:color="auto"/>
            </w:tcBorders>
          </w:tcPr>
          <w:p>
            <w:pPr>
              <w:jc w:val="right"/>
              <w:ind w:right="377"/>
              <w:spacing w:after="0"/>
              <w:rPr>
                <w:sz w:val="20"/>
                <w:szCs w:val="20"/>
                <w:color w:val="auto"/>
              </w:rPr>
            </w:pPr>
            <w:r>
              <w:rPr>
                <w:rFonts w:ascii="Arial" w:cs="Arial" w:eastAsia="Arial" w:hAnsi="Arial"/>
                <w:sz w:val="13"/>
                <w:szCs w:val="13"/>
                <w:color w:val="auto"/>
              </w:rPr>
              <w:t>1</w:t>
            </w:r>
          </w:p>
        </w:tc>
      </w:tr>
      <w:tr>
        <w:trPr>
          <w:trHeight w:val="142"/>
        </w:trPr>
        <w:tc>
          <w:tcPr>
            <w:tcW w:w="20" w:type="dxa"/>
            <w:vAlign w:val="bottom"/>
            <w:tcBorders>
              <w:bottom w:val="single" w:sz="8" w:color="auto"/>
            </w:tcBorders>
          </w:tcPr>
          <w:p>
            <w:pPr>
              <w:spacing w:after="0"/>
              <w:rPr>
                <w:sz w:val="12"/>
                <w:szCs w:val="12"/>
                <w:color w:val="auto"/>
              </w:rPr>
            </w:pPr>
          </w:p>
        </w:tc>
        <w:tc>
          <w:tcPr>
            <w:tcW w:w="2940" w:type="dxa"/>
            <w:vAlign w:val="bottom"/>
            <w:tcBorders>
              <w:bottom w:val="single" w:sz="8" w:color="auto"/>
            </w:tcBorders>
          </w:tcPr>
          <w:p>
            <w:pPr>
              <w:spacing w:after="0" w:line="143" w:lineRule="exact"/>
              <w:rPr>
                <w:sz w:val="20"/>
                <w:szCs w:val="20"/>
                <w:color w:val="auto"/>
              </w:rPr>
            </w:pPr>
            <w:r>
              <w:rPr>
                <w:rFonts w:ascii="Arial" w:cs="Arial" w:eastAsia="Arial" w:hAnsi="Arial"/>
                <w:sz w:val="13"/>
                <w:szCs w:val="13"/>
                <w:color w:val="auto"/>
              </w:rPr>
              <w:t>Total</w:t>
            </w:r>
          </w:p>
        </w:tc>
        <w:tc>
          <w:tcPr>
            <w:tcW w:w="1460" w:type="dxa"/>
            <w:vAlign w:val="bottom"/>
            <w:tcBorders>
              <w:bottom w:val="single" w:sz="8" w:color="auto"/>
            </w:tcBorders>
            <w:shd w:val="clear" w:color="auto" w:fill="D8D8D8"/>
          </w:tcPr>
          <w:p>
            <w:pPr>
              <w:jc w:val="right"/>
              <w:ind w:right="17"/>
              <w:spacing w:after="0" w:line="143" w:lineRule="exact"/>
              <w:rPr>
                <w:sz w:val="20"/>
                <w:szCs w:val="20"/>
                <w:color w:val="auto"/>
              </w:rPr>
            </w:pPr>
            <w:r>
              <w:rPr>
                <w:rFonts w:ascii="Arial" w:cs="Arial" w:eastAsia="Arial" w:hAnsi="Arial"/>
                <w:sz w:val="13"/>
                <w:szCs w:val="13"/>
                <w:color w:val="auto"/>
              </w:rPr>
              <w:t>99</w:t>
            </w:r>
          </w:p>
        </w:tc>
        <w:tc>
          <w:tcPr>
            <w:tcW w:w="260" w:type="dxa"/>
            <w:vAlign w:val="bottom"/>
            <w:tcBorders>
              <w:bottom w:val="single" w:sz="8" w:color="auto"/>
            </w:tcBorders>
            <w:shd w:val="clear" w:color="auto" w:fill="D8D8D8"/>
          </w:tcPr>
          <w:p>
            <w:pPr>
              <w:spacing w:after="0"/>
              <w:rPr>
                <w:sz w:val="12"/>
                <w:szCs w:val="12"/>
                <w:color w:val="auto"/>
              </w:rPr>
            </w:pPr>
          </w:p>
        </w:tc>
        <w:tc>
          <w:tcPr>
            <w:tcW w:w="680" w:type="dxa"/>
            <w:vAlign w:val="bottom"/>
            <w:tcBorders>
              <w:bottom w:val="single" w:sz="8" w:color="auto"/>
            </w:tcBorders>
          </w:tcPr>
          <w:p>
            <w:pPr>
              <w:jc w:val="right"/>
              <w:ind w:right="217"/>
              <w:spacing w:after="0" w:line="143" w:lineRule="exact"/>
              <w:rPr>
                <w:sz w:val="20"/>
                <w:szCs w:val="20"/>
                <w:color w:val="auto"/>
              </w:rPr>
            </w:pPr>
            <w:r>
              <w:rPr>
                <w:rFonts w:ascii="Arial" w:cs="Arial" w:eastAsia="Arial" w:hAnsi="Arial"/>
                <w:sz w:val="13"/>
                <w:szCs w:val="13"/>
                <w:color w:val="auto"/>
                <w:w w:val="99"/>
              </w:rPr>
              <w:t>109[D]</w:t>
            </w:r>
          </w:p>
        </w:tc>
        <w:tc>
          <w:tcPr>
            <w:tcW w:w="2040" w:type="dxa"/>
            <w:vAlign w:val="bottom"/>
            <w:tcBorders>
              <w:bottom w:val="single" w:sz="8" w:color="auto"/>
            </w:tcBorders>
            <w:gridSpan w:val="2"/>
          </w:tcPr>
          <w:p>
            <w:pPr>
              <w:jc w:val="right"/>
              <w:ind w:right="337"/>
              <w:spacing w:after="0" w:line="143" w:lineRule="exact"/>
              <w:rPr>
                <w:sz w:val="20"/>
                <w:szCs w:val="20"/>
                <w:color w:val="auto"/>
              </w:rPr>
            </w:pPr>
            <w:r>
              <w:rPr>
                <w:rFonts w:ascii="Arial" w:cs="Arial" w:eastAsia="Arial" w:hAnsi="Arial"/>
                <w:sz w:val="13"/>
                <w:szCs w:val="13"/>
                <w:color w:val="auto"/>
              </w:rPr>
              <w:t>199</w:t>
            </w:r>
          </w:p>
        </w:tc>
        <w:tc>
          <w:tcPr>
            <w:tcW w:w="960" w:type="dxa"/>
            <w:vAlign w:val="bottom"/>
            <w:tcBorders>
              <w:bottom w:val="single" w:sz="8" w:color="auto"/>
            </w:tcBorders>
          </w:tcPr>
          <w:p>
            <w:pPr>
              <w:jc w:val="right"/>
              <w:ind w:right="377"/>
              <w:spacing w:after="0" w:line="143" w:lineRule="exact"/>
              <w:rPr>
                <w:sz w:val="20"/>
                <w:szCs w:val="20"/>
                <w:color w:val="auto"/>
              </w:rPr>
            </w:pPr>
            <w:r>
              <w:rPr>
                <w:rFonts w:ascii="Arial" w:cs="Arial" w:eastAsia="Arial" w:hAnsi="Arial"/>
                <w:sz w:val="13"/>
                <w:szCs w:val="13"/>
                <w:color w:val="auto"/>
              </w:rPr>
              <w:t>56</w:t>
            </w:r>
          </w:p>
        </w:tc>
        <w:tc>
          <w:tcPr>
            <w:tcW w:w="720" w:type="dxa"/>
            <w:vAlign w:val="bottom"/>
            <w:tcBorders>
              <w:bottom w:val="single" w:sz="8" w:color="auto"/>
            </w:tcBorders>
          </w:tcPr>
          <w:p>
            <w:pPr>
              <w:spacing w:after="0"/>
              <w:rPr>
                <w:sz w:val="12"/>
                <w:szCs w:val="12"/>
                <w:color w:val="auto"/>
              </w:rPr>
            </w:pPr>
          </w:p>
        </w:tc>
        <w:tc>
          <w:tcPr>
            <w:tcW w:w="1360" w:type="dxa"/>
            <w:vAlign w:val="bottom"/>
            <w:tcBorders>
              <w:bottom w:val="single" w:sz="8" w:color="auto"/>
            </w:tcBorders>
          </w:tcPr>
          <w:p>
            <w:pPr>
              <w:jc w:val="right"/>
              <w:ind w:right="357"/>
              <w:spacing w:after="0" w:line="143" w:lineRule="exact"/>
              <w:rPr>
                <w:sz w:val="20"/>
                <w:szCs w:val="20"/>
                <w:color w:val="auto"/>
              </w:rPr>
            </w:pPr>
            <w:r>
              <w:rPr>
                <w:rFonts w:ascii="Arial" w:cs="Arial" w:eastAsia="Arial" w:hAnsi="Arial"/>
                <w:sz w:val="13"/>
                <w:szCs w:val="13"/>
                <w:color w:val="auto"/>
              </w:rPr>
              <w:t>171</w:t>
            </w:r>
          </w:p>
        </w:tc>
        <w:tc>
          <w:tcPr>
            <w:tcW w:w="980" w:type="dxa"/>
            <w:vAlign w:val="bottom"/>
            <w:tcBorders>
              <w:bottom w:val="single" w:sz="8" w:color="auto"/>
            </w:tcBorders>
          </w:tcPr>
          <w:p>
            <w:pPr>
              <w:jc w:val="right"/>
              <w:ind w:right="377"/>
              <w:spacing w:after="0" w:line="143" w:lineRule="exact"/>
              <w:rPr>
                <w:sz w:val="20"/>
                <w:szCs w:val="20"/>
                <w:color w:val="auto"/>
              </w:rPr>
            </w:pPr>
            <w:r>
              <w:rPr>
                <w:rFonts w:ascii="Arial" w:cs="Arial" w:eastAsia="Arial" w:hAnsi="Arial"/>
                <w:sz w:val="13"/>
                <w:szCs w:val="13"/>
                <w:color w:val="auto"/>
              </w:rPr>
              <w:t>34</w:t>
            </w:r>
          </w:p>
        </w:tc>
      </w:tr>
      <w:tr>
        <w:trPr>
          <w:trHeight w:val="123"/>
        </w:trPr>
        <w:tc>
          <w:tcPr>
            <w:tcW w:w="2960" w:type="dxa"/>
            <w:vAlign w:val="bottom"/>
            <w:gridSpan w:val="2"/>
          </w:tcPr>
          <w:p>
            <w:pPr>
              <w:spacing w:after="0" w:line="123" w:lineRule="exact"/>
              <w:rPr>
                <w:sz w:val="20"/>
                <w:szCs w:val="20"/>
                <w:color w:val="auto"/>
              </w:rPr>
            </w:pPr>
            <w:r>
              <w:rPr>
                <w:rFonts w:ascii="Arial" w:cs="Arial" w:eastAsia="Arial" w:hAnsi="Arial"/>
                <w:sz w:val="13"/>
                <w:szCs w:val="13"/>
                <w:color w:val="auto"/>
              </w:rPr>
              <w:t>Development</w:t>
            </w:r>
          </w:p>
        </w:tc>
        <w:tc>
          <w:tcPr>
            <w:tcW w:w="1460" w:type="dxa"/>
            <w:vAlign w:val="bottom"/>
            <w:shd w:val="clear" w:color="auto" w:fill="D8D8D8"/>
          </w:tcPr>
          <w:p>
            <w:pPr>
              <w:spacing w:after="0"/>
              <w:rPr>
                <w:sz w:val="10"/>
                <w:szCs w:val="10"/>
                <w:color w:val="auto"/>
              </w:rPr>
            </w:pPr>
          </w:p>
        </w:tc>
        <w:tc>
          <w:tcPr>
            <w:tcW w:w="260" w:type="dxa"/>
            <w:vAlign w:val="bottom"/>
            <w:shd w:val="clear" w:color="auto" w:fill="D8D8D8"/>
          </w:tcPr>
          <w:p>
            <w:pPr>
              <w:spacing w:after="0"/>
              <w:rPr>
                <w:sz w:val="10"/>
                <w:szCs w:val="10"/>
                <w:color w:val="auto"/>
              </w:rPr>
            </w:pPr>
          </w:p>
        </w:tc>
        <w:tc>
          <w:tcPr>
            <w:tcW w:w="6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980" w:type="dxa"/>
            <w:vAlign w:val="bottom"/>
          </w:tcPr>
          <w:p>
            <w:pPr>
              <w:spacing w:after="0"/>
              <w:rPr>
                <w:sz w:val="10"/>
                <w:szCs w:val="10"/>
                <w:color w:val="auto"/>
              </w:rPr>
            </w:pPr>
          </w:p>
        </w:tc>
      </w:tr>
      <w:tr>
        <w:trPr>
          <w:trHeight w:val="135"/>
        </w:trPr>
        <w:tc>
          <w:tcPr>
            <w:tcW w:w="20" w:type="dxa"/>
            <w:vAlign w:val="bottom"/>
          </w:tcPr>
          <w:p>
            <w:pPr>
              <w:spacing w:after="0"/>
              <w:rPr>
                <w:sz w:val="11"/>
                <w:szCs w:val="11"/>
                <w:color w:val="auto"/>
              </w:rPr>
            </w:pPr>
          </w:p>
        </w:tc>
        <w:tc>
          <w:tcPr>
            <w:tcW w:w="2940" w:type="dxa"/>
            <w:vAlign w:val="bottom"/>
          </w:tcPr>
          <w:p>
            <w:pPr>
              <w:ind w:left="120"/>
              <w:spacing w:after="0" w:line="135" w:lineRule="exact"/>
              <w:rPr>
                <w:sz w:val="20"/>
                <w:szCs w:val="20"/>
                <w:color w:val="auto"/>
              </w:rPr>
            </w:pPr>
            <w:r>
              <w:rPr>
                <w:rFonts w:ascii="Arial" w:cs="Arial" w:eastAsia="Arial" w:hAnsi="Arial"/>
                <w:sz w:val="13"/>
                <w:szCs w:val="13"/>
                <w:color w:val="auto"/>
              </w:rPr>
              <w:t>Europe</w:t>
            </w:r>
          </w:p>
        </w:tc>
        <w:tc>
          <w:tcPr>
            <w:tcW w:w="1460" w:type="dxa"/>
            <w:vAlign w:val="bottom"/>
            <w:shd w:val="clear" w:color="auto" w:fill="D8D8D8"/>
          </w:tcPr>
          <w:p>
            <w:pPr>
              <w:jc w:val="right"/>
              <w:ind w:right="17"/>
              <w:spacing w:after="0" w:line="135" w:lineRule="exact"/>
              <w:rPr>
                <w:sz w:val="20"/>
                <w:szCs w:val="20"/>
                <w:color w:val="auto"/>
              </w:rPr>
            </w:pPr>
            <w:r>
              <w:rPr>
                <w:rFonts w:ascii="Arial" w:cs="Arial" w:eastAsia="Arial" w:hAnsi="Arial"/>
                <w:sz w:val="13"/>
                <w:szCs w:val="13"/>
                <w:color w:val="auto"/>
              </w:rPr>
              <w:t>8</w:t>
            </w:r>
          </w:p>
        </w:tc>
        <w:tc>
          <w:tcPr>
            <w:tcW w:w="260" w:type="dxa"/>
            <w:vAlign w:val="bottom"/>
            <w:shd w:val="clear" w:color="auto" w:fill="D8D8D8"/>
          </w:tcPr>
          <w:p>
            <w:pPr>
              <w:spacing w:after="0"/>
              <w:rPr>
                <w:sz w:val="11"/>
                <w:szCs w:val="11"/>
                <w:color w:val="auto"/>
              </w:rPr>
            </w:pPr>
          </w:p>
        </w:tc>
        <w:tc>
          <w:tcPr>
            <w:tcW w:w="680" w:type="dxa"/>
            <w:vAlign w:val="bottom"/>
          </w:tcPr>
          <w:p>
            <w:pPr>
              <w:jc w:val="right"/>
              <w:ind w:right="377"/>
              <w:spacing w:after="0" w:line="135" w:lineRule="exact"/>
              <w:rPr>
                <w:sz w:val="20"/>
                <w:szCs w:val="20"/>
                <w:color w:val="auto"/>
              </w:rPr>
            </w:pPr>
            <w:r>
              <w:rPr>
                <w:rFonts w:ascii="Arial" w:cs="Arial" w:eastAsia="Arial" w:hAnsi="Arial"/>
                <w:sz w:val="13"/>
                <w:szCs w:val="13"/>
                <w:color w:val="auto"/>
              </w:rPr>
              <w:t>1</w:t>
            </w:r>
          </w:p>
        </w:tc>
        <w:tc>
          <w:tcPr>
            <w:tcW w:w="2040" w:type="dxa"/>
            <w:vAlign w:val="bottom"/>
            <w:gridSpan w:val="2"/>
          </w:tcPr>
          <w:p>
            <w:pPr>
              <w:jc w:val="right"/>
              <w:ind w:right="337"/>
              <w:spacing w:after="0" w:line="135" w:lineRule="exact"/>
              <w:rPr>
                <w:sz w:val="20"/>
                <w:szCs w:val="20"/>
                <w:color w:val="auto"/>
              </w:rPr>
            </w:pPr>
            <w:r>
              <w:rPr>
                <w:rFonts w:ascii="Arial" w:cs="Arial" w:eastAsia="Arial" w:hAnsi="Arial"/>
                <w:sz w:val="13"/>
                <w:szCs w:val="13"/>
                <w:color w:val="auto"/>
              </w:rPr>
              <w:t>6</w:t>
            </w:r>
          </w:p>
        </w:tc>
        <w:tc>
          <w:tcPr>
            <w:tcW w:w="960" w:type="dxa"/>
            <w:vAlign w:val="bottom"/>
          </w:tcPr>
          <w:p>
            <w:pPr>
              <w:jc w:val="right"/>
              <w:ind w:right="377"/>
              <w:spacing w:after="0" w:line="135" w:lineRule="exact"/>
              <w:rPr>
                <w:sz w:val="20"/>
                <w:szCs w:val="20"/>
                <w:color w:val="auto"/>
              </w:rPr>
            </w:pPr>
            <w:r>
              <w:rPr>
                <w:rFonts w:ascii="Arial" w:cs="Arial" w:eastAsia="Arial" w:hAnsi="Arial"/>
                <w:sz w:val="13"/>
                <w:szCs w:val="13"/>
                <w:color w:val="auto"/>
              </w:rPr>
              <w:t>2</w:t>
            </w:r>
          </w:p>
        </w:tc>
        <w:tc>
          <w:tcPr>
            <w:tcW w:w="720" w:type="dxa"/>
            <w:vAlign w:val="bottom"/>
          </w:tcPr>
          <w:p>
            <w:pPr>
              <w:spacing w:after="0"/>
              <w:rPr>
                <w:sz w:val="11"/>
                <w:szCs w:val="11"/>
                <w:color w:val="auto"/>
              </w:rPr>
            </w:pPr>
          </w:p>
        </w:tc>
        <w:tc>
          <w:tcPr>
            <w:tcW w:w="1360" w:type="dxa"/>
            <w:vAlign w:val="bottom"/>
          </w:tcPr>
          <w:p>
            <w:pPr>
              <w:jc w:val="right"/>
              <w:ind w:right="357"/>
              <w:spacing w:after="0" w:line="135" w:lineRule="exact"/>
              <w:rPr>
                <w:sz w:val="20"/>
                <w:szCs w:val="20"/>
                <w:color w:val="auto"/>
              </w:rPr>
            </w:pPr>
            <w:r>
              <w:rPr>
                <w:rFonts w:ascii="Arial" w:cs="Arial" w:eastAsia="Arial" w:hAnsi="Arial"/>
                <w:sz w:val="13"/>
                <w:szCs w:val="13"/>
                <w:color w:val="auto"/>
              </w:rPr>
              <w:t>9</w:t>
            </w:r>
          </w:p>
        </w:tc>
        <w:tc>
          <w:tcPr>
            <w:tcW w:w="980" w:type="dxa"/>
            <w:vAlign w:val="bottom"/>
          </w:tcPr>
          <w:p>
            <w:pPr>
              <w:jc w:val="right"/>
              <w:ind w:right="377"/>
              <w:spacing w:after="0" w:line="135" w:lineRule="exact"/>
              <w:rPr>
                <w:sz w:val="20"/>
                <w:szCs w:val="20"/>
                <w:color w:val="auto"/>
              </w:rPr>
            </w:pPr>
            <w:r>
              <w:rPr>
                <w:rFonts w:ascii="Arial" w:cs="Arial" w:eastAsia="Arial" w:hAnsi="Arial"/>
                <w:sz w:val="13"/>
                <w:szCs w:val="13"/>
                <w:color w:val="auto"/>
              </w:rPr>
              <w:t>–</w:t>
            </w:r>
          </w:p>
        </w:tc>
      </w:tr>
      <w:tr>
        <w:trPr>
          <w:trHeight w:val="135"/>
        </w:trPr>
        <w:tc>
          <w:tcPr>
            <w:tcW w:w="20" w:type="dxa"/>
            <w:vAlign w:val="bottom"/>
          </w:tcPr>
          <w:p>
            <w:pPr>
              <w:spacing w:after="0"/>
              <w:rPr>
                <w:sz w:val="11"/>
                <w:szCs w:val="11"/>
                <w:color w:val="auto"/>
              </w:rPr>
            </w:pPr>
          </w:p>
        </w:tc>
        <w:tc>
          <w:tcPr>
            <w:tcW w:w="2940" w:type="dxa"/>
            <w:vAlign w:val="bottom"/>
          </w:tcPr>
          <w:p>
            <w:pPr>
              <w:ind w:left="120"/>
              <w:spacing w:after="0" w:line="135" w:lineRule="exact"/>
              <w:rPr>
                <w:sz w:val="20"/>
                <w:szCs w:val="20"/>
                <w:color w:val="auto"/>
              </w:rPr>
            </w:pPr>
            <w:r>
              <w:rPr>
                <w:rFonts w:ascii="Arial" w:cs="Arial" w:eastAsia="Arial" w:hAnsi="Arial"/>
                <w:sz w:val="13"/>
                <w:szCs w:val="13"/>
                <w:color w:val="auto"/>
              </w:rPr>
              <w:t>Asia</w:t>
            </w:r>
          </w:p>
        </w:tc>
        <w:tc>
          <w:tcPr>
            <w:tcW w:w="1460" w:type="dxa"/>
            <w:vAlign w:val="bottom"/>
            <w:shd w:val="clear" w:color="auto" w:fill="D8D8D8"/>
          </w:tcPr>
          <w:p>
            <w:pPr>
              <w:jc w:val="right"/>
              <w:ind w:right="17"/>
              <w:spacing w:after="0" w:line="135" w:lineRule="exact"/>
              <w:rPr>
                <w:sz w:val="20"/>
                <w:szCs w:val="20"/>
                <w:color w:val="auto"/>
              </w:rPr>
            </w:pPr>
            <w:r>
              <w:rPr>
                <w:rFonts w:ascii="Arial" w:cs="Arial" w:eastAsia="Arial" w:hAnsi="Arial"/>
                <w:sz w:val="13"/>
                <w:szCs w:val="13"/>
                <w:color w:val="auto"/>
              </w:rPr>
              <w:t>243</w:t>
            </w:r>
          </w:p>
        </w:tc>
        <w:tc>
          <w:tcPr>
            <w:tcW w:w="260" w:type="dxa"/>
            <w:vAlign w:val="bottom"/>
            <w:shd w:val="clear" w:color="auto" w:fill="D8D8D8"/>
          </w:tcPr>
          <w:p>
            <w:pPr>
              <w:spacing w:after="0"/>
              <w:rPr>
                <w:sz w:val="11"/>
                <w:szCs w:val="11"/>
                <w:color w:val="auto"/>
              </w:rPr>
            </w:pPr>
          </w:p>
        </w:tc>
        <w:tc>
          <w:tcPr>
            <w:tcW w:w="680" w:type="dxa"/>
            <w:vAlign w:val="bottom"/>
          </w:tcPr>
          <w:p>
            <w:pPr>
              <w:jc w:val="right"/>
              <w:ind w:right="377"/>
              <w:spacing w:after="0" w:line="135" w:lineRule="exact"/>
              <w:rPr>
                <w:sz w:val="20"/>
                <w:szCs w:val="20"/>
                <w:color w:val="auto"/>
              </w:rPr>
            </w:pPr>
            <w:r>
              <w:rPr>
                <w:rFonts w:ascii="Arial" w:cs="Arial" w:eastAsia="Arial" w:hAnsi="Arial"/>
                <w:sz w:val="13"/>
                <w:szCs w:val="13"/>
                <w:color w:val="auto"/>
              </w:rPr>
              <w:t>9</w:t>
            </w:r>
          </w:p>
        </w:tc>
        <w:tc>
          <w:tcPr>
            <w:tcW w:w="2040" w:type="dxa"/>
            <w:vAlign w:val="bottom"/>
            <w:gridSpan w:val="2"/>
          </w:tcPr>
          <w:p>
            <w:pPr>
              <w:jc w:val="right"/>
              <w:ind w:right="337"/>
              <w:spacing w:after="0" w:line="135" w:lineRule="exact"/>
              <w:rPr>
                <w:sz w:val="20"/>
                <w:szCs w:val="20"/>
                <w:color w:val="auto"/>
              </w:rPr>
            </w:pPr>
            <w:r>
              <w:rPr>
                <w:rFonts w:ascii="Arial" w:cs="Arial" w:eastAsia="Arial" w:hAnsi="Arial"/>
                <w:sz w:val="13"/>
                <w:szCs w:val="13"/>
                <w:color w:val="auto"/>
              </w:rPr>
              <w:t>218</w:t>
            </w:r>
          </w:p>
        </w:tc>
        <w:tc>
          <w:tcPr>
            <w:tcW w:w="960" w:type="dxa"/>
            <w:vAlign w:val="bottom"/>
          </w:tcPr>
          <w:p>
            <w:pPr>
              <w:jc w:val="right"/>
              <w:ind w:right="377"/>
              <w:spacing w:after="0" w:line="135" w:lineRule="exact"/>
              <w:rPr>
                <w:sz w:val="20"/>
                <w:szCs w:val="20"/>
                <w:color w:val="auto"/>
              </w:rPr>
            </w:pPr>
            <w:r>
              <w:rPr>
                <w:rFonts w:ascii="Arial" w:cs="Arial" w:eastAsia="Arial" w:hAnsi="Arial"/>
                <w:sz w:val="13"/>
                <w:szCs w:val="13"/>
                <w:color w:val="auto"/>
              </w:rPr>
              <w:t>6</w:t>
            </w:r>
          </w:p>
        </w:tc>
        <w:tc>
          <w:tcPr>
            <w:tcW w:w="720" w:type="dxa"/>
            <w:vAlign w:val="bottom"/>
          </w:tcPr>
          <w:p>
            <w:pPr>
              <w:spacing w:after="0"/>
              <w:rPr>
                <w:sz w:val="11"/>
                <w:szCs w:val="11"/>
                <w:color w:val="auto"/>
              </w:rPr>
            </w:pPr>
          </w:p>
        </w:tc>
        <w:tc>
          <w:tcPr>
            <w:tcW w:w="1360" w:type="dxa"/>
            <w:vAlign w:val="bottom"/>
          </w:tcPr>
          <w:p>
            <w:pPr>
              <w:jc w:val="right"/>
              <w:ind w:right="357"/>
              <w:spacing w:after="0" w:line="135" w:lineRule="exact"/>
              <w:rPr>
                <w:sz w:val="20"/>
                <w:szCs w:val="20"/>
                <w:color w:val="auto"/>
              </w:rPr>
            </w:pPr>
            <w:r>
              <w:rPr>
                <w:rFonts w:ascii="Arial" w:cs="Arial" w:eastAsia="Arial" w:hAnsi="Arial"/>
                <w:sz w:val="13"/>
                <w:szCs w:val="13"/>
                <w:color w:val="auto"/>
              </w:rPr>
              <w:t>255</w:t>
            </w:r>
          </w:p>
        </w:tc>
        <w:tc>
          <w:tcPr>
            <w:tcW w:w="980" w:type="dxa"/>
            <w:vAlign w:val="bottom"/>
          </w:tcPr>
          <w:p>
            <w:pPr>
              <w:jc w:val="right"/>
              <w:ind w:right="377"/>
              <w:spacing w:after="0" w:line="135" w:lineRule="exact"/>
              <w:rPr>
                <w:sz w:val="20"/>
                <w:szCs w:val="20"/>
                <w:color w:val="auto"/>
              </w:rPr>
            </w:pPr>
            <w:r>
              <w:rPr>
                <w:rFonts w:ascii="Arial" w:cs="Arial" w:eastAsia="Arial" w:hAnsi="Arial"/>
                <w:sz w:val="13"/>
                <w:szCs w:val="13"/>
                <w:color w:val="auto"/>
              </w:rPr>
              <w:t>4</w:t>
            </w:r>
          </w:p>
        </w:tc>
      </w:tr>
      <w:tr>
        <w:trPr>
          <w:trHeight w:val="135"/>
        </w:trPr>
        <w:tc>
          <w:tcPr>
            <w:tcW w:w="20" w:type="dxa"/>
            <w:vAlign w:val="bottom"/>
          </w:tcPr>
          <w:p>
            <w:pPr>
              <w:spacing w:after="0"/>
              <w:rPr>
                <w:sz w:val="11"/>
                <w:szCs w:val="11"/>
                <w:color w:val="auto"/>
              </w:rPr>
            </w:pPr>
          </w:p>
        </w:tc>
        <w:tc>
          <w:tcPr>
            <w:tcW w:w="2940" w:type="dxa"/>
            <w:vAlign w:val="bottom"/>
          </w:tcPr>
          <w:p>
            <w:pPr>
              <w:ind w:left="120"/>
              <w:spacing w:after="0" w:line="135" w:lineRule="exact"/>
              <w:rPr>
                <w:sz w:val="20"/>
                <w:szCs w:val="20"/>
                <w:color w:val="auto"/>
              </w:rPr>
            </w:pPr>
            <w:r>
              <w:rPr>
                <w:rFonts w:ascii="Arial" w:cs="Arial" w:eastAsia="Arial" w:hAnsi="Arial"/>
                <w:sz w:val="13"/>
                <w:szCs w:val="13"/>
                <w:color w:val="auto"/>
              </w:rPr>
              <w:t>Oceania</w:t>
            </w:r>
          </w:p>
        </w:tc>
        <w:tc>
          <w:tcPr>
            <w:tcW w:w="1460" w:type="dxa"/>
            <w:vAlign w:val="bottom"/>
            <w:shd w:val="clear" w:color="auto" w:fill="D8D8D8"/>
          </w:tcPr>
          <w:p>
            <w:pPr>
              <w:jc w:val="right"/>
              <w:ind w:right="17"/>
              <w:spacing w:after="0" w:line="135" w:lineRule="exact"/>
              <w:rPr>
                <w:sz w:val="20"/>
                <w:szCs w:val="20"/>
                <w:color w:val="auto"/>
              </w:rPr>
            </w:pPr>
            <w:r>
              <w:rPr>
                <w:rFonts w:ascii="Arial" w:cs="Arial" w:eastAsia="Arial" w:hAnsi="Arial"/>
                <w:sz w:val="13"/>
                <w:szCs w:val="13"/>
                <w:color w:val="auto"/>
              </w:rPr>
              <w:t>6</w:t>
            </w:r>
          </w:p>
        </w:tc>
        <w:tc>
          <w:tcPr>
            <w:tcW w:w="260" w:type="dxa"/>
            <w:vAlign w:val="bottom"/>
            <w:shd w:val="clear" w:color="auto" w:fill="D8D8D8"/>
          </w:tcPr>
          <w:p>
            <w:pPr>
              <w:spacing w:after="0"/>
              <w:rPr>
                <w:sz w:val="11"/>
                <w:szCs w:val="11"/>
                <w:color w:val="auto"/>
              </w:rPr>
            </w:pPr>
          </w:p>
        </w:tc>
        <w:tc>
          <w:tcPr>
            <w:tcW w:w="680" w:type="dxa"/>
            <w:vAlign w:val="bottom"/>
          </w:tcPr>
          <w:p>
            <w:pPr>
              <w:jc w:val="right"/>
              <w:ind w:right="377"/>
              <w:spacing w:after="0" w:line="135" w:lineRule="exact"/>
              <w:rPr>
                <w:sz w:val="20"/>
                <w:szCs w:val="20"/>
                <w:color w:val="auto"/>
              </w:rPr>
            </w:pPr>
            <w:r>
              <w:rPr>
                <w:rFonts w:ascii="Arial" w:cs="Arial" w:eastAsia="Arial" w:hAnsi="Arial"/>
                <w:sz w:val="13"/>
                <w:szCs w:val="13"/>
                <w:color w:val="auto"/>
              </w:rPr>
              <w:t>1</w:t>
            </w:r>
          </w:p>
        </w:tc>
        <w:tc>
          <w:tcPr>
            <w:tcW w:w="2040" w:type="dxa"/>
            <w:vAlign w:val="bottom"/>
            <w:gridSpan w:val="2"/>
          </w:tcPr>
          <w:p>
            <w:pPr>
              <w:jc w:val="right"/>
              <w:ind w:right="337"/>
              <w:spacing w:after="0" w:line="135" w:lineRule="exact"/>
              <w:rPr>
                <w:sz w:val="20"/>
                <w:szCs w:val="20"/>
                <w:color w:val="auto"/>
              </w:rPr>
            </w:pPr>
            <w:r>
              <w:rPr>
                <w:rFonts w:ascii="Arial" w:cs="Arial" w:eastAsia="Arial" w:hAnsi="Arial"/>
                <w:sz w:val="13"/>
                <w:szCs w:val="13"/>
                <w:color w:val="auto"/>
              </w:rPr>
              <w:t>12</w:t>
            </w:r>
          </w:p>
        </w:tc>
        <w:tc>
          <w:tcPr>
            <w:tcW w:w="1680" w:type="dxa"/>
            <w:vAlign w:val="bottom"/>
            <w:gridSpan w:val="2"/>
          </w:tcPr>
          <w:p>
            <w:pPr>
              <w:jc w:val="right"/>
              <w:ind w:right="1160"/>
              <w:spacing w:after="0" w:line="135" w:lineRule="exact"/>
              <w:rPr>
                <w:sz w:val="20"/>
                <w:szCs w:val="20"/>
                <w:color w:val="auto"/>
              </w:rPr>
            </w:pPr>
            <w:r>
              <w:rPr>
                <w:rFonts w:ascii="Arial" w:cs="Arial" w:eastAsia="Arial" w:hAnsi="Arial"/>
                <w:sz w:val="13"/>
                <w:szCs w:val="13"/>
                <w:color w:val="auto"/>
              </w:rPr>
              <w:t>–</w:t>
            </w:r>
          </w:p>
        </w:tc>
        <w:tc>
          <w:tcPr>
            <w:tcW w:w="1360" w:type="dxa"/>
            <w:vAlign w:val="bottom"/>
          </w:tcPr>
          <w:p>
            <w:pPr>
              <w:jc w:val="right"/>
              <w:ind w:right="357"/>
              <w:spacing w:after="0" w:line="135" w:lineRule="exact"/>
              <w:rPr>
                <w:sz w:val="20"/>
                <w:szCs w:val="20"/>
                <w:color w:val="auto"/>
              </w:rPr>
            </w:pPr>
            <w:r>
              <w:rPr>
                <w:rFonts w:ascii="Arial" w:cs="Arial" w:eastAsia="Arial" w:hAnsi="Arial"/>
                <w:sz w:val="13"/>
                <w:szCs w:val="13"/>
                <w:color w:val="auto"/>
              </w:rPr>
              <w:t>7</w:t>
            </w:r>
          </w:p>
        </w:tc>
        <w:tc>
          <w:tcPr>
            <w:tcW w:w="980" w:type="dxa"/>
            <w:vAlign w:val="bottom"/>
          </w:tcPr>
          <w:p>
            <w:pPr>
              <w:jc w:val="right"/>
              <w:ind w:right="377"/>
              <w:spacing w:after="0" w:line="135" w:lineRule="exact"/>
              <w:rPr>
                <w:sz w:val="20"/>
                <w:szCs w:val="20"/>
                <w:color w:val="auto"/>
              </w:rPr>
            </w:pPr>
            <w:r>
              <w:rPr>
                <w:rFonts w:ascii="Arial" w:cs="Arial" w:eastAsia="Arial" w:hAnsi="Arial"/>
                <w:sz w:val="13"/>
                <w:szCs w:val="13"/>
                <w:color w:val="auto"/>
              </w:rPr>
              <w:t>–</w:t>
            </w:r>
          </w:p>
        </w:tc>
      </w:tr>
      <w:tr>
        <w:trPr>
          <w:trHeight w:val="135"/>
        </w:trPr>
        <w:tc>
          <w:tcPr>
            <w:tcW w:w="20" w:type="dxa"/>
            <w:vAlign w:val="bottom"/>
          </w:tcPr>
          <w:p>
            <w:pPr>
              <w:spacing w:after="0"/>
              <w:rPr>
                <w:sz w:val="11"/>
                <w:szCs w:val="11"/>
                <w:color w:val="auto"/>
              </w:rPr>
            </w:pPr>
          </w:p>
        </w:tc>
        <w:tc>
          <w:tcPr>
            <w:tcW w:w="2940" w:type="dxa"/>
            <w:vAlign w:val="bottom"/>
          </w:tcPr>
          <w:p>
            <w:pPr>
              <w:ind w:left="120"/>
              <w:spacing w:after="0" w:line="135" w:lineRule="exact"/>
              <w:rPr>
                <w:sz w:val="20"/>
                <w:szCs w:val="20"/>
                <w:color w:val="auto"/>
              </w:rPr>
            </w:pPr>
            <w:r>
              <w:rPr>
                <w:rFonts w:ascii="Arial" w:cs="Arial" w:eastAsia="Arial" w:hAnsi="Arial"/>
                <w:sz w:val="13"/>
                <w:szCs w:val="13"/>
                <w:color w:val="auto"/>
              </w:rPr>
              <w:t>Africa</w:t>
            </w:r>
          </w:p>
        </w:tc>
        <w:tc>
          <w:tcPr>
            <w:tcW w:w="1460" w:type="dxa"/>
            <w:vAlign w:val="bottom"/>
            <w:shd w:val="clear" w:color="auto" w:fill="D8D8D8"/>
          </w:tcPr>
          <w:p>
            <w:pPr>
              <w:jc w:val="right"/>
              <w:ind w:right="17"/>
              <w:spacing w:after="0" w:line="135" w:lineRule="exact"/>
              <w:rPr>
                <w:sz w:val="20"/>
                <w:szCs w:val="20"/>
                <w:color w:val="auto"/>
              </w:rPr>
            </w:pPr>
            <w:r>
              <w:rPr>
                <w:rFonts w:ascii="Arial" w:cs="Arial" w:eastAsia="Arial" w:hAnsi="Arial"/>
                <w:sz w:val="13"/>
                <w:szCs w:val="13"/>
                <w:color w:val="auto"/>
              </w:rPr>
              <w:t>25</w:t>
            </w:r>
          </w:p>
        </w:tc>
        <w:tc>
          <w:tcPr>
            <w:tcW w:w="260" w:type="dxa"/>
            <w:vAlign w:val="bottom"/>
            <w:shd w:val="clear" w:color="auto" w:fill="D8D8D8"/>
          </w:tcPr>
          <w:p>
            <w:pPr>
              <w:spacing w:after="0"/>
              <w:rPr>
                <w:sz w:val="11"/>
                <w:szCs w:val="11"/>
                <w:color w:val="auto"/>
              </w:rPr>
            </w:pPr>
          </w:p>
        </w:tc>
        <w:tc>
          <w:tcPr>
            <w:tcW w:w="680" w:type="dxa"/>
            <w:vAlign w:val="bottom"/>
          </w:tcPr>
          <w:p>
            <w:pPr>
              <w:jc w:val="right"/>
              <w:ind w:right="377"/>
              <w:spacing w:after="0" w:line="135" w:lineRule="exact"/>
              <w:rPr>
                <w:sz w:val="20"/>
                <w:szCs w:val="20"/>
                <w:color w:val="auto"/>
              </w:rPr>
            </w:pPr>
            <w:r>
              <w:rPr>
                <w:rFonts w:ascii="Arial" w:cs="Arial" w:eastAsia="Arial" w:hAnsi="Arial"/>
                <w:sz w:val="13"/>
                <w:szCs w:val="13"/>
                <w:color w:val="auto"/>
              </w:rPr>
              <w:t>2</w:t>
            </w:r>
          </w:p>
        </w:tc>
        <w:tc>
          <w:tcPr>
            <w:tcW w:w="2040" w:type="dxa"/>
            <w:vAlign w:val="bottom"/>
            <w:gridSpan w:val="2"/>
          </w:tcPr>
          <w:p>
            <w:pPr>
              <w:jc w:val="right"/>
              <w:ind w:right="337"/>
              <w:spacing w:after="0" w:line="135" w:lineRule="exact"/>
              <w:rPr>
                <w:sz w:val="20"/>
                <w:szCs w:val="20"/>
                <w:color w:val="auto"/>
              </w:rPr>
            </w:pPr>
            <w:r>
              <w:rPr>
                <w:rFonts w:ascii="Arial" w:cs="Arial" w:eastAsia="Arial" w:hAnsi="Arial"/>
                <w:sz w:val="13"/>
                <w:szCs w:val="13"/>
                <w:color w:val="auto"/>
              </w:rPr>
              <w:t>25</w:t>
            </w:r>
          </w:p>
        </w:tc>
        <w:tc>
          <w:tcPr>
            <w:tcW w:w="1680" w:type="dxa"/>
            <w:vAlign w:val="bottom"/>
            <w:gridSpan w:val="2"/>
          </w:tcPr>
          <w:p>
            <w:pPr>
              <w:jc w:val="right"/>
              <w:ind w:right="1160"/>
              <w:spacing w:after="0" w:line="135" w:lineRule="exact"/>
              <w:rPr>
                <w:sz w:val="20"/>
                <w:szCs w:val="20"/>
                <w:color w:val="auto"/>
              </w:rPr>
            </w:pPr>
            <w:r>
              <w:rPr>
                <w:rFonts w:ascii="Arial" w:cs="Arial" w:eastAsia="Arial" w:hAnsi="Arial"/>
                <w:sz w:val="13"/>
                <w:szCs w:val="13"/>
                <w:color w:val="auto"/>
              </w:rPr>
              <w:t>–</w:t>
            </w:r>
          </w:p>
        </w:tc>
        <w:tc>
          <w:tcPr>
            <w:tcW w:w="1360" w:type="dxa"/>
            <w:vAlign w:val="bottom"/>
          </w:tcPr>
          <w:p>
            <w:pPr>
              <w:jc w:val="right"/>
              <w:ind w:right="357"/>
              <w:spacing w:after="0" w:line="135" w:lineRule="exact"/>
              <w:rPr>
                <w:sz w:val="20"/>
                <w:szCs w:val="20"/>
                <w:color w:val="auto"/>
              </w:rPr>
            </w:pPr>
            <w:r>
              <w:rPr>
                <w:rFonts w:ascii="Arial" w:cs="Arial" w:eastAsia="Arial" w:hAnsi="Arial"/>
                <w:sz w:val="13"/>
                <w:szCs w:val="13"/>
                <w:color w:val="auto"/>
              </w:rPr>
              <w:t>25</w:t>
            </w:r>
          </w:p>
        </w:tc>
        <w:tc>
          <w:tcPr>
            <w:tcW w:w="980" w:type="dxa"/>
            <w:vAlign w:val="bottom"/>
          </w:tcPr>
          <w:p>
            <w:pPr>
              <w:jc w:val="right"/>
              <w:ind w:right="377"/>
              <w:spacing w:after="0" w:line="135" w:lineRule="exact"/>
              <w:rPr>
                <w:sz w:val="20"/>
                <w:szCs w:val="20"/>
                <w:color w:val="auto"/>
              </w:rPr>
            </w:pPr>
            <w:r>
              <w:rPr>
                <w:rFonts w:ascii="Arial" w:cs="Arial" w:eastAsia="Arial" w:hAnsi="Arial"/>
                <w:sz w:val="13"/>
                <w:szCs w:val="13"/>
                <w:color w:val="auto"/>
              </w:rPr>
              <w:t>–</w:t>
            </w:r>
          </w:p>
        </w:tc>
      </w:tr>
      <w:tr>
        <w:trPr>
          <w:trHeight w:val="135"/>
        </w:trPr>
        <w:tc>
          <w:tcPr>
            <w:tcW w:w="20" w:type="dxa"/>
            <w:vAlign w:val="bottom"/>
          </w:tcPr>
          <w:p>
            <w:pPr>
              <w:spacing w:after="0"/>
              <w:rPr>
                <w:sz w:val="11"/>
                <w:szCs w:val="11"/>
                <w:color w:val="auto"/>
              </w:rPr>
            </w:pPr>
          </w:p>
        </w:tc>
        <w:tc>
          <w:tcPr>
            <w:tcW w:w="2940" w:type="dxa"/>
            <w:vAlign w:val="bottom"/>
          </w:tcPr>
          <w:p>
            <w:pPr>
              <w:ind w:left="120"/>
              <w:spacing w:after="0" w:line="135" w:lineRule="exact"/>
              <w:rPr>
                <w:sz w:val="20"/>
                <w:szCs w:val="20"/>
                <w:color w:val="auto"/>
              </w:rPr>
            </w:pPr>
            <w:r>
              <w:rPr>
                <w:rFonts w:ascii="Arial" w:cs="Arial" w:eastAsia="Arial" w:hAnsi="Arial"/>
                <w:sz w:val="13"/>
                <w:szCs w:val="13"/>
                <w:color w:val="auto"/>
              </w:rPr>
              <w:t>North America – USA</w:t>
            </w:r>
          </w:p>
        </w:tc>
        <w:tc>
          <w:tcPr>
            <w:tcW w:w="1460" w:type="dxa"/>
            <w:vAlign w:val="bottom"/>
            <w:shd w:val="clear" w:color="auto" w:fill="D8D8D8"/>
          </w:tcPr>
          <w:p>
            <w:pPr>
              <w:jc w:val="right"/>
              <w:ind w:right="17"/>
              <w:spacing w:after="0" w:line="135" w:lineRule="exact"/>
              <w:rPr>
                <w:sz w:val="20"/>
                <w:szCs w:val="20"/>
                <w:color w:val="auto"/>
              </w:rPr>
            </w:pPr>
            <w:r>
              <w:rPr>
                <w:rFonts w:ascii="Arial" w:cs="Arial" w:eastAsia="Arial" w:hAnsi="Arial"/>
                <w:sz w:val="13"/>
                <w:szCs w:val="13"/>
                <w:color w:val="auto"/>
              </w:rPr>
              <w:t>392</w:t>
            </w:r>
          </w:p>
        </w:tc>
        <w:tc>
          <w:tcPr>
            <w:tcW w:w="260" w:type="dxa"/>
            <w:vAlign w:val="bottom"/>
            <w:shd w:val="clear" w:color="auto" w:fill="D8D8D8"/>
          </w:tcPr>
          <w:p>
            <w:pPr>
              <w:spacing w:after="0"/>
              <w:rPr>
                <w:sz w:val="11"/>
                <w:szCs w:val="11"/>
                <w:color w:val="auto"/>
              </w:rPr>
            </w:pPr>
          </w:p>
        </w:tc>
        <w:tc>
          <w:tcPr>
            <w:tcW w:w="680" w:type="dxa"/>
            <w:vAlign w:val="bottom"/>
          </w:tcPr>
          <w:p>
            <w:pPr>
              <w:jc w:val="right"/>
              <w:ind w:right="377"/>
              <w:spacing w:after="0" w:line="135" w:lineRule="exact"/>
              <w:rPr>
                <w:sz w:val="20"/>
                <w:szCs w:val="20"/>
                <w:color w:val="auto"/>
              </w:rPr>
            </w:pPr>
            <w:r>
              <w:rPr>
                <w:rFonts w:ascii="Arial" w:cs="Arial" w:eastAsia="Arial" w:hAnsi="Arial"/>
                <w:sz w:val="13"/>
                <w:szCs w:val="13"/>
                <w:color w:val="auto"/>
              </w:rPr>
              <w:t>3</w:t>
            </w:r>
          </w:p>
        </w:tc>
        <w:tc>
          <w:tcPr>
            <w:tcW w:w="2040" w:type="dxa"/>
            <w:vAlign w:val="bottom"/>
            <w:gridSpan w:val="2"/>
          </w:tcPr>
          <w:p>
            <w:pPr>
              <w:jc w:val="right"/>
              <w:ind w:right="337"/>
              <w:spacing w:after="0" w:line="135" w:lineRule="exact"/>
              <w:rPr>
                <w:sz w:val="20"/>
                <w:szCs w:val="20"/>
                <w:color w:val="auto"/>
              </w:rPr>
            </w:pPr>
            <w:r>
              <w:rPr>
                <w:rFonts w:ascii="Arial" w:cs="Arial" w:eastAsia="Arial" w:hAnsi="Arial"/>
                <w:sz w:val="13"/>
                <w:szCs w:val="13"/>
                <w:color w:val="auto"/>
              </w:rPr>
              <w:t>447</w:t>
            </w:r>
          </w:p>
        </w:tc>
        <w:tc>
          <w:tcPr>
            <w:tcW w:w="960" w:type="dxa"/>
            <w:vAlign w:val="bottom"/>
          </w:tcPr>
          <w:p>
            <w:pPr>
              <w:jc w:val="right"/>
              <w:ind w:right="377"/>
              <w:spacing w:after="0" w:line="135" w:lineRule="exact"/>
              <w:rPr>
                <w:sz w:val="20"/>
                <w:szCs w:val="20"/>
                <w:color w:val="auto"/>
              </w:rPr>
            </w:pPr>
            <w:r>
              <w:rPr>
                <w:rFonts w:ascii="Arial" w:cs="Arial" w:eastAsia="Arial" w:hAnsi="Arial"/>
                <w:sz w:val="13"/>
                <w:szCs w:val="13"/>
                <w:color w:val="auto"/>
              </w:rPr>
              <w:t>2</w:t>
            </w:r>
          </w:p>
        </w:tc>
        <w:tc>
          <w:tcPr>
            <w:tcW w:w="720" w:type="dxa"/>
            <w:vAlign w:val="bottom"/>
          </w:tcPr>
          <w:p>
            <w:pPr>
              <w:spacing w:after="0"/>
              <w:rPr>
                <w:sz w:val="11"/>
                <w:szCs w:val="11"/>
                <w:color w:val="auto"/>
              </w:rPr>
            </w:pPr>
          </w:p>
        </w:tc>
        <w:tc>
          <w:tcPr>
            <w:tcW w:w="1360" w:type="dxa"/>
            <w:vAlign w:val="bottom"/>
          </w:tcPr>
          <w:p>
            <w:pPr>
              <w:jc w:val="right"/>
              <w:ind w:right="357"/>
              <w:spacing w:after="0" w:line="135" w:lineRule="exact"/>
              <w:rPr>
                <w:sz w:val="20"/>
                <w:szCs w:val="20"/>
                <w:color w:val="auto"/>
              </w:rPr>
            </w:pPr>
            <w:r>
              <w:rPr>
                <w:rFonts w:ascii="Arial" w:cs="Arial" w:eastAsia="Arial" w:hAnsi="Arial"/>
                <w:sz w:val="13"/>
                <w:szCs w:val="13"/>
                <w:color w:val="auto"/>
              </w:rPr>
              <w:t>352</w:t>
            </w:r>
          </w:p>
        </w:tc>
        <w:tc>
          <w:tcPr>
            <w:tcW w:w="980" w:type="dxa"/>
            <w:vAlign w:val="bottom"/>
          </w:tcPr>
          <w:p>
            <w:pPr>
              <w:jc w:val="right"/>
              <w:ind w:right="377"/>
              <w:spacing w:after="0" w:line="135" w:lineRule="exact"/>
              <w:rPr>
                <w:sz w:val="20"/>
                <w:szCs w:val="20"/>
                <w:color w:val="auto"/>
              </w:rPr>
            </w:pPr>
            <w:r>
              <w:rPr>
                <w:rFonts w:ascii="Arial" w:cs="Arial" w:eastAsia="Arial" w:hAnsi="Arial"/>
                <w:sz w:val="13"/>
                <w:szCs w:val="13"/>
                <w:color w:val="auto"/>
              </w:rPr>
              <w:t>–</w:t>
            </w:r>
          </w:p>
        </w:tc>
      </w:tr>
      <w:tr>
        <w:trPr>
          <w:trHeight w:val="135"/>
        </w:trPr>
        <w:tc>
          <w:tcPr>
            <w:tcW w:w="20" w:type="dxa"/>
            <w:vAlign w:val="bottom"/>
          </w:tcPr>
          <w:p>
            <w:pPr>
              <w:spacing w:after="0"/>
              <w:rPr>
                <w:sz w:val="11"/>
                <w:szCs w:val="11"/>
                <w:color w:val="auto"/>
              </w:rPr>
            </w:pPr>
          </w:p>
        </w:tc>
        <w:tc>
          <w:tcPr>
            <w:tcW w:w="2940" w:type="dxa"/>
            <w:vAlign w:val="bottom"/>
          </w:tcPr>
          <w:p>
            <w:pPr>
              <w:ind w:left="120"/>
              <w:spacing w:after="0" w:line="135" w:lineRule="exact"/>
              <w:rPr>
                <w:sz w:val="20"/>
                <w:szCs w:val="20"/>
                <w:color w:val="auto"/>
              </w:rPr>
            </w:pPr>
            <w:r>
              <w:rPr>
                <w:rFonts w:ascii="Arial" w:cs="Arial" w:eastAsia="Arial" w:hAnsi="Arial"/>
                <w:sz w:val="13"/>
                <w:szCs w:val="13"/>
                <w:color w:val="auto"/>
              </w:rPr>
              <w:t>North America – Canada</w:t>
            </w:r>
          </w:p>
        </w:tc>
        <w:tc>
          <w:tcPr>
            <w:tcW w:w="1460" w:type="dxa"/>
            <w:vAlign w:val="bottom"/>
            <w:shd w:val="clear" w:color="auto" w:fill="D8D8D8"/>
          </w:tcPr>
          <w:p>
            <w:pPr>
              <w:jc w:val="right"/>
              <w:ind w:right="17"/>
              <w:spacing w:after="0" w:line="135" w:lineRule="exact"/>
              <w:rPr>
                <w:sz w:val="20"/>
                <w:szCs w:val="20"/>
                <w:color w:val="auto"/>
              </w:rPr>
            </w:pPr>
            <w:r>
              <w:rPr>
                <w:rFonts w:ascii="Arial" w:cs="Arial" w:eastAsia="Arial" w:hAnsi="Arial"/>
                <w:sz w:val="13"/>
                <w:szCs w:val="13"/>
                <w:color w:val="auto"/>
              </w:rPr>
              <w:t>22</w:t>
            </w:r>
          </w:p>
        </w:tc>
        <w:tc>
          <w:tcPr>
            <w:tcW w:w="260" w:type="dxa"/>
            <w:vAlign w:val="bottom"/>
            <w:shd w:val="clear" w:color="auto" w:fill="D8D8D8"/>
          </w:tcPr>
          <w:p>
            <w:pPr>
              <w:spacing w:after="0"/>
              <w:rPr>
                <w:sz w:val="11"/>
                <w:szCs w:val="11"/>
                <w:color w:val="auto"/>
              </w:rPr>
            </w:pPr>
          </w:p>
        </w:tc>
        <w:tc>
          <w:tcPr>
            <w:tcW w:w="680" w:type="dxa"/>
            <w:vAlign w:val="bottom"/>
          </w:tcPr>
          <w:p>
            <w:pPr>
              <w:jc w:val="right"/>
              <w:ind w:right="377"/>
              <w:spacing w:after="0" w:line="135" w:lineRule="exact"/>
              <w:rPr>
                <w:sz w:val="20"/>
                <w:szCs w:val="20"/>
                <w:color w:val="auto"/>
              </w:rPr>
            </w:pPr>
            <w:r>
              <w:rPr>
                <w:rFonts w:ascii="Arial" w:cs="Arial" w:eastAsia="Arial" w:hAnsi="Arial"/>
                <w:sz w:val="13"/>
                <w:szCs w:val="13"/>
                <w:color w:val="auto"/>
              </w:rPr>
              <w:t>–</w:t>
            </w:r>
          </w:p>
        </w:tc>
        <w:tc>
          <w:tcPr>
            <w:tcW w:w="2040" w:type="dxa"/>
            <w:vAlign w:val="bottom"/>
            <w:gridSpan w:val="2"/>
          </w:tcPr>
          <w:p>
            <w:pPr>
              <w:jc w:val="right"/>
              <w:ind w:right="337"/>
              <w:spacing w:after="0" w:line="135" w:lineRule="exact"/>
              <w:rPr>
                <w:sz w:val="20"/>
                <w:szCs w:val="20"/>
                <w:color w:val="auto"/>
              </w:rPr>
            </w:pPr>
            <w:r>
              <w:rPr>
                <w:rFonts w:ascii="Arial" w:cs="Arial" w:eastAsia="Arial" w:hAnsi="Arial"/>
                <w:sz w:val="13"/>
                <w:szCs w:val="13"/>
                <w:color w:val="auto"/>
              </w:rPr>
              <w:t>57</w:t>
            </w:r>
          </w:p>
        </w:tc>
        <w:tc>
          <w:tcPr>
            <w:tcW w:w="960" w:type="dxa"/>
            <w:vAlign w:val="bottom"/>
          </w:tcPr>
          <w:p>
            <w:pPr>
              <w:jc w:val="right"/>
              <w:ind w:right="377"/>
              <w:spacing w:after="0" w:line="135" w:lineRule="exact"/>
              <w:rPr>
                <w:sz w:val="20"/>
                <w:szCs w:val="20"/>
                <w:color w:val="auto"/>
              </w:rPr>
            </w:pPr>
            <w:r>
              <w:rPr>
                <w:rFonts w:ascii="Arial" w:cs="Arial" w:eastAsia="Arial" w:hAnsi="Arial"/>
                <w:sz w:val="13"/>
                <w:szCs w:val="13"/>
                <w:color w:val="auto"/>
              </w:rPr>
              <w:t>1</w:t>
            </w:r>
          </w:p>
        </w:tc>
        <w:tc>
          <w:tcPr>
            <w:tcW w:w="720" w:type="dxa"/>
            <w:vAlign w:val="bottom"/>
          </w:tcPr>
          <w:p>
            <w:pPr>
              <w:spacing w:after="0"/>
              <w:rPr>
                <w:sz w:val="11"/>
                <w:szCs w:val="11"/>
                <w:color w:val="auto"/>
              </w:rPr>
            </w:pPr>
          </w:p>
        </w:tc>
        <w:tc>
          <w:tcPr>
            <w:tcW w:w="1360" w:type="dxa"/>
            <w:vAlign w:val="bottom"/>
          </w:tcPr>
          <w:p>
            <w:pPr>
              <w:jc w:val="right"/>
              <w:ind w:right="357"/>
              <w:spacing w:after="0" w:line="135" w:lineRule="exact"/>
              <w:rPr>
                <w:sz w:val="20"/>
                <w:szCs w:val="20"/>
                <w:color w:val="auto"/>
              </w:rPr>
            </w:pPr>
            <w:r>
              <w:rPr>
                <w:rFonts w:ascii="Arial" w:cs="Arial" w:eastAsia="Arial" w:hAnsi="Arial"/>
                <w:sz w:val="13"/>
                <w:szCs w:val="13"/>
                <w:color w:val="auto"/>
              </w:rPr>
              <w:t>49</w:t>
            </w:r>
          </w:p>
        </w:tc>
        <w:tc>
          <w:tcPr>
            <w:tcW w:w="980" w:type="dxa"/>
            <w:vAlign w:val="bottom"/>
          </w:tcPr>
          <w:p>
            <w:pPr>
              <w:jc w:val="right"/>
              <w:ind w:right="377"/>
              <w:spacing w:after="0" w:line="135" w:lineRule="exact"/>
              <w:rPr>
                <w:sz w:val="20"/>
                <w:szCs w:val="20"/>
                <w:color w:val="auto"/>
              </w:rPr>
            </w:pPr>
            <w:r>
              <w:rPr>
                <w:rFonts w:ascii="Arial" w:cs="Arial" w:eastAsia="Arial" w:hAnsi="Arial"/>
                <w:sz w:val="13"/>
                <w:szCs w:val="13"/>
                <w:color w:val="auto"/>
              </w:rPr>
              <w:t>2</w:t>
            </w:r>
          </w:p>
        </w:tc>
      </w:tr>
      <w:tr>
        <w:trPr>
          <w:trHeight w:val="155"/>
        </w:trPr>
        <w:tc>
          <w:tcPr>
            <w:tcW w:w="20" w:type="dxa"/>
            <w:vAlign w:val="bottom"/>
          </w:tcPr>
          <w:p>
            <w:pPr>
              <w:spacing w:after="0"/>
              <w:rPr>
                <w:sz w:val="13"/>
                <w:szCs w:val="13"/>
                <w:color w:val="auto"/>
              </w:rPr>
            </w:pPr>
          </w:p>
        </w:tc>
        <w:tc>
          <w:tcPr>
            <w:tcW w:w="2940" w:type="dxa"/>
            <w:vAlign w:val="bottom"/>
            <w:tcBorders>
              <w:bottom w:val="single" w:sz="8" w:color="auto"/>
            </w:tcBorders>
          </w:tcPr>
          <w:p>
            <w:pPr>
              <w:ind w:left="120"/>
              <w:spacing w:after="0"/>
              <w:rPr>
                <w:sz w:val="20"/>
                <w:szCs w:val="20"/>
                <w:color w:val="auto"/>
              </w:rPr>
            </w:pPr>
            <w:r>
              <w:rPr>
                <w:rFonts w:ascii="Arial" w:cs="Arial" w:eastAsia="Arial" w:hAnsi="Arial"/>
                <w:sz w:val="13"/>
                <w:szCs w:val="13"/>
                <w:color w:val="auto"/>
              </w:rPr>
              <w:t>South America</w:t>
            </w:r>
          </w:p>
        </w:tc>
        <w:tc>
          <w:tcPr>
            <w:tcW w:w="1460" w:type="dxa"/>
            <w:vAlign w:val="bottom"/>
            <w:tcBorders>
              <w:bottom w:val="single" w:sz="8" w:color="auto"/>
            </w:tcBorders>
            <w:shd w:val="clear" w:color="auto" w:fill="D8D8D8"/>
          </w:tcPr>
          <w:p>
            <w:pPr>
              <w:jc w:val="right"/>
              <w:ind w:right="17"/>
              <w:spacing w:after="0"/>
              <w:rPr>
                <w:sz w:val="20"/>
                <w:szCs w:val="20"/>
                <w:color w:val="auto"/>
              </w:rPr>
            </w:pPr>
            <w:r>
              <w:rPr>
                <w:rFonts w:ascii="Arial" w:cs="Arial" w:eastAsia="Arial" w:hAnsi="Arial"/>
                <w:sz w:val="13"/>
                <w:szCs w:val="13"/>
                <w:color w:val="auto"/>
              </w:rPr>
              <w:t>3</w:t>
            </w:r>
          </w:p>
        </w:tc>
        <w:tc>
          <w:tcPr>
            <w:tcW w:w="260" w:type="dxa"/>
            <w:vAlign w:val="bottom"/>
            <w:tcBorders>
              <w:bottom w:val="single" w:sz="8" w:color="auto"/>
            </w:tcBorders>
            <w:shd w:val="clear" w:color="auto" w:fill="D8D8D8"/>
          </w:tcPr>
          <w:p>
            <w:pPr>
              <w:spacing w:after="0"/>
              <w:rPr>
                <w:sz w:val="13"/>
                <w:szCs w:val="13"/>
                <w:color w:val="auto"/>
              </w:rPr>
            </w:pPr>
          </w:p>
        </w:tc>
        <w:tc>
          <w:tcPr>
            <w:tcW w:w="680" w:type="dxa"/>
            <w:vAlign w:val="bottom"/>
            <w:tcBorders>
              <w:bottom w:val="single" w:sz="8" w:color="auto"/>
            </w:tcBorders>
          </w:tcPr>
          <w:p>
            <w:pPr>
              <w:jc w:val="right"/>
              <w:ind w:right="377"/>
              <w:spacing w:after="0"/>
              <w:rPr>
                <w:sz w:val="20"/>
                <w:szCs w:val="20"/>
                <w:color w:val="auto"/>
              </w:rPr>
            </w:pPr>
            <w:r>
              <w:rPr>
                <w:rFonts w:ascii="Arial" w:cs="Arial" w:eastAsia="Arial" w:hAnsi="Arial"/>
                <w:sz w:val="13"/>
                <w:szCs w:val="13"/>
                <w:color w:val="auto"/>
              </w:rPr>
              <w:t>–</w:t>
            </w:r>
          </w:p>
        </w:tc>
        <w:tc>
          <w:tcPr>
            <w:tcW w:w="2040" w:type="dxa"/>
            <w:vAlign w:val="bottom"/>
            <w:tcBorders>
              <w:bottom w:val="single" w:sz="8" w:color="auto"/>
            </w:tcBorders>
            <w:gridSpan w:val="2"/>
          </w:tcPr>
          <w:p>
            <w:pPr>
              <w:jc w:val="right"/>
              <w:ind w:right="337"/>
              <w:spacing w:after="0"/>
              <w:rPr>
                <w:sz w:val="20"/>
                <w:szCs w:val="20"/>
                <w:color w:val="auto"/>
              </w:rPr>
            </w:pPr>
            <w:r>
              <w:rPr>
                <w:rFonts w:ascii="Arial" w:cs="Arial" w:eastAsia="Arial" w:hAnsi="Arial"/>
                <w:sz w:val="13"/>
                <w:szCs w:val="13"/>
                <w:color w:val="auto"/>
              </w:rPr>
              <w:t>4</w:t>
            </w:r>
          </w:p>
        </w:tc>
        <w:tc>
          <w:tcPr>
            <w:tcW w:w="1680" w:type="dxa"/>
            <w:vAlign w:val="bottom"/>
            <w:tcBorders>
              <w:bottom w:val="single" w:sz="8" w:color="auto"/>
            </w:tcBorders>
            <w:gridSpan w:val="2"/>
          </w:tcPr>
          <w:p>
            <w:pPr>
              <w:jc w:val="right"/>
              <w:ind w:right="1160"/>
              <w:spacing w:after="0"/>
              <w:rPr>
                <w:sz w:val="20"/>
                <w:szCs w:val="20"/>
                <w:color w:val="auto"/>
              </w:rPr>
            </w:pPr>
            <w:r>
              <w:rPr>
                <w:rFonts w:ascii="Arial" w:cs="Arial" w:eastAsia="Arial" w:hAnsi="Arial"/>
                <w:sz w:val="13"/>
                <w:szCs w:val="13"/>
                <w:color w:val="auto"/>
              </w:rPr>
              <w:t>–</w:t>
            </w:r>
          </w:p>
        </w:tc>
        <w:tc>
          <w:tcPr>
            <w:tcW w:w="1360" w:type="dxa"/>
            <w:vAlign w:val="bottom"/>
            <w:tcBorders>
              <w:bottom w:val="single" w:sz="8" w:color="auto"/>
            </w:tcBorders>
          </w:tcPr>
          <w:p>
            <w:pPr>
              <w:jc w:val="right"/>
              <w:ind w:right="357"/>
              <w:spacing w:after="0"/>
              <w:rPr>
                <w:sz w:val="20"/>
                <w:szCs w:val="20"/>
                <w:color w:val="auto"/>
              </w:rPr>
            </w:pPr>
            <w:r>
              <w:rPr>
                <w:rFonts w:ascii="Arial" w:cs="Arial" w:eastAsia="Arial" w:hAnsi="Arial"/>
                <w:sz w:val="13"/>
                <w:szCs w:val="13"/>
                <w:color w:val="auto"/>
              </w:rPr>
              <w:t>1</w:t>
            </w:r>
          </w:p>
        </w:tc>
        <w:tc>
          <w:tcPr>
            <w:tcW w:w="980" w:type="dxa"/>
            <w:vAlign w:val="bottom"/>
            <w:tcBorders>
              <w:bottom w:val="single" w:sz="8" w:color="auto"/>
            </w:tcBorders>
          </w:tcPr>
          <w:p>
            <w:pPr>
              <w:jc w:val="right"/>
              <w:ind w:right="377"/>
              <w:spacing w:after="0"/>
              <w:rPr>
                <w:sz w:val="20"/>
                <w:szCs w:val="20"/>
                <w:color w:val="auto"/>
              </w:rPr>
            </w:pPr>
            <w:r>
              <w:rPr>
                <w:rFonts w:ascii="Arial" w:cs="Arial" w:eastAsia="Arial" w:hAnsi="Arial"/>
                <w:sz w:val="13"/>
                <w:szCs w:val="13"/>
                <w:color w:val="auto"/>
              </w:rPr>
              <w:t>–</w:t>
            </w:r>
          </w:p>
        </w:tc>
      </w:tr>
      <w:tr>
        <w:trPr>
          <w:trHeight w:val="142"/>
        </w:trPr>
        <w:tc>
          <w:tcPr>
            <w:tcW w:w="20" w:type="dxa"/>
            <w:vAlign w:val="bottom"/>
          </w:tcPr>
          <w:p>
            <w:pPr>
              <w:spacing w:after="0"/>
              <w:rPr>
                <w:sz w:val="12"/>
                <w:szCs w:val="12"/>
                <w:color w:val="auto"/>
              </w:rPr>
            </w:pPr>
          </w:p>
        </w:tc>
        <w:tc>
          <w:tcPr>
            <w:tcW w:w="2940" w:type="dxa"/>
            <w:vAlign w:val="bottom"/>
            <w:tcBorders>
              <w:bottom w:val="single" w:sz="8" w:color="auto"/>
            </w:tcBorders>
          </w:tcPr>
          <w:p>
            <w:pPr>
              <w:spacing w:after="0" w:line="143" w:lineRule="exact"/>
              <w:rPr>
                <w:sz w:val="20"/>
                <w:szCs w:val="20"/>
                <w:color w:val="auto"/>
              </w:rPr>
            </w:pPr>
            <w:r>
              <w:rPr>
                <w:rFonts w:ascii="Arial" w:cs="Arial" w:eastAsia="Arial" w:hAnsi="Arial"/>
                <w:sz w:val="13"/>
                <w:szCs w:val="13"/>
                <w:color w:val="auto"/>
              </w:rPr>
              <w:t>Total</w:t>
            </w:r>
          </w:p>
        </w:tc>
        <w:tc>
          <w:tcPr>
            <w:tcW w:w="1460" w:type="dxa"/>
            <w:vAlign w:val="bottom"/>
            <w:tcBorders>
              <w:bottom w:val="single" w:sz="8" w:color="auto"/>
            </w:tcBorders>
            <w:shd w:val="clear" w:color="auto" w:fill="D8D8D8"/>
          </w:tcPr>
          <w:p>
            <w:pPr>
              <w:jc w:val="right"/>
              <w:ind w:right="17"/>
              <w:spacing w:after="0" w:line="143" w:lineRule="exact"/>
              <w:rPr>
                <w:sz w:val="20"/>
                <w:szCs w:val="20"/>
                <w:color w:val="auto"/>
              </w:rPr>
            </w:pPr>
            <w:r>
              <w:rPr>
                <w:rFonts w:ascii="Arial" w:cs="Arial" w:eastAsia="Arial" w:hAnsi="Arial"/>
                <w:sz w:val="13"/>
                <w:szCs w:val="13"/>
                <w:color w:val="auto"/>
              </w:rPr>
              <w:t>699</w:t>
            </w:r>
          </w:p>
        </w:tc>
        <w:tc>
          <w:tcPr>
            <w:tcW w:w="260" w:type="dxa"/>
            <w:vAlign w:val="bottom"/>
            <w:tcBorders>
              <w:bottom w:val="single" w:sz="8" w:color="auto"/>
            </w:tcBorders>
            <w:shd w:val="clear" w:color="auto" w:fill="D8D8D8"/>
          </w:tcPr>
          <w:p>
            <w:pPr>
              <w:spacing w:after="0"/>
              <w:rPr>
                <w:sz w:val="12"/>
                <w:szCs w:val="12"/>
                <w:color w:val="auto"/>
              </w:rPr>
            </w:pPr>
          </w:p>
        </w:tc>
        <w:tc>
          <w:tcPr>
            <w:tcW w:w="680" w:type="dxa"/>
            <w:vAlign w:val="bottom"/>
            <w:tcBorders>
              <w:bottom w:val="single" w:sz="8" w:color="auto"/>
            </w:tcBorders>
          </w:tcPr>
          <w:p>
            <w:pPr>
              <w:jc w:val="right"/>
              <w:ind w:right="377"/>
              <w:spacing w:after="0" w:line="143" w:lineRule="exact"/>
              <w:rPr>
                <w:sz w:val="20"/>
                <w:szCs w:val="20"/>
                <w:color w:val="auto"/>
              </w:rPr>
            </w:pPr>
            <w:r>
              <w:rPr>
                <w:rFonts w:ascii="Arial" w:cs="Arial" w:eastAsia="Arial" w:hAnsi="Arial"/>
                <w:sz w:val="13"/>
                <w:szCs w:val="13"/>
                <w:color w:val="auto"/>
              </w:rPr>
              <w:t>16</w:t>
            </w:r>
          </w:p>
        </w:tc>
        <w:tc>
          <w:tcPr>
            <w:tcW w:w="2040" w:type="dxa"/>
            <w:vAlign w:val="bottom"/>
            <w:tcBorders>
              <w:bottom w:val="single" w:sz="8" w:color="auto"/>
            </w:tcBorders>
            <w:gridSpan w:val="2"/>
          </w:tcPr>
          <w:p>
            <w:pPr>
              <w:jc w:val="right"/>
              <w:ind w:right="337"/>
              <w:spacing w:after="0" w:line="143" w:lineRule="exact"/>
              <w:rPr>
                <w:sz w:val="20"/>
                <w:szCs w:val="20"/>
                <w:color w:val="auto"/>
              </w:rPr>
            </w:pPr>
            <w:r>
              <w:rPr>
                <w:rFonts w:ascii="Arial" w:cs="Arial" w:eastAsia="Arial" w:hAnsi="Arial"/>
                <w:sz w:val="13"/>
                <w:szCs w:val="13"/>
                <w:color w:val="auto"/>
              </w:rPr>
              <w:t>769</w:t>
            </w:r>
          </w:p>
        </w:tc>
        <w:tc>
          <w:tcPr>
            <w:tcW w:w="960" w:type="dxa"/>
            <w:vAlign w:val="bottom"/>
            <w:tcBorders>
              <w:bottom w:val="single" w:sz="8" w:color="auto"/>
            </w:tcBorders>
          </w:tcPr>
          <w:p>
            <w:pPr>
              <w:jc w:val="right"/>
              <w:ind w:right="377"/>
              <w:spacing w:after="0" w:line="143" w:lineRule="exact"/>
              <w:rPr>
                <w:sz w:val="20"/>
                <w:szCs w:val="20"/>
                <w:color w:val="auto"/>
              </w:rPr>
            </w:pPr>
            <w:r>
              <w:rPr>
                <w:rFonts w:ascii="Arial" w:cs="Arial" w:eastAsia="Arial" w:hAnsi="Arial"/>
                <w:sz w:val="13"/>
                <w:szCs w:val="13"/>
                <w:color w:val="auto"/>
              </w:rPr>
              <w:t>11</w:t>
            </w:r>
          </w:p>
        </w:tc>
        <w:tc>
          <w:tcPr>
            <w:tcW w:w="720" w:type="dxa"/>
            <w:vAlign w:val="bottom"/>
            <w:tcBorders>
              <w:bottom w:val="single" w:sz="8" w:color="auto"/>
            </w:tcBorders>
          </w:tcPr>
          <w:p>
            <w:pPr>
              <w:spacing w:after="0"/>
              <w:rPr>
                <w:sz w:val="12"/>
                <w:szCs w:val="12"/>
                <w:color w:val="auto"/>
              </w:rPr>
            </w:pPr>
          </w:p>
        </w:tc>
        <w:tc>
          <w:tcPr>
            <w:tcW w:w="1360" w:type="dxa"/>
            <w:vAlign w:val="bottom"/>
            <w:tcBorders>
              <w:bottom w:val="single" w:sz="8" w:color="auto"/>
            </w:tcBorders>
          </w:tcPr>
          <w:p>
            <w:pPr>
              <w:jc w:val="right"/>
              <w:ind w:right="357"/>
              <w:spacing w:after="0" w:line="143" w:lineRule="exact"/>
              <w:rPr>
                <w:sz w:val="20"/>
                <w:szCs w:val="20"/>
                <w:color w:val="auto"/>
              </w:rPr>
            </w:pPr>
            <w:r>
              <w:rPr>
                <w:rFonts w:ascii="Arial" w:cs="Arial" w:eastAsia="Arial" w:hAnsi="Arial"/>
                <w:sz w:val="13"/>
                <w:szCs w:val="13"/>
                <w:color w:val="auto"/>
              </w:rPr>
              <w:t>698</w:t>
            </w:r>
          </w:p>
        </w:tc>
        <w:tc>
          <w:tcPr>
            <w:tcW w:w="980" w:type="dxa"/>
            <w:vAlign w:val="bottom"/>
            <w:tcBorders>
              <w:bottom w:val="single" w:sz="8" w:color="auto"/>
            </w:tcBorders>
          </w:tcPr>
          <w:p>
            <w:pPr>
              <w:jc w:val="right"/>
              <w:ind w:right="377"/>
              <w:spacing w:after="0" w:line="143" w:lineRule="exact"/>
              <w:rPr>
                <w:sz w:val="20"/>
                <w:szCs w:val="20"/>
                <w:color w:val="auto"/>
              </w:rPr>
            </w:pPr>
            <w:r>
              <w:rPr>
                <w:rFonts w:ascii="Arial" w:cs="Arial" w:eastAsia="Arial" w:hAnsi="Arial"/>
                <w:sz w:val="13"/>
                <w:szCs w:val="13"/>
                <w:color w:val="auto"/>
              </w:rPr>
              <w:t>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2972435</wp:posOffset>
            </wp:positionH>
            <wp:positionV relativeFrom="paragraph">
              <wp:posOffset>-1268730</wp:posOffset>
            </wp:positionV>
            <wp:extent cx="428625" cy="1260475"/>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7">
                      <a:extLst>
                        <a:ext uri="{28A0092B-C50C-407E-A947-70E740481C1C}"/>
                      </a:extLst>
                    </a:blip>
                    <a:srcRect/>
                    <a:stretch>
                      <a:fillRect/>
                    </a:stretch>
                  </pic:blipFill>
                  <pic:spPr bwMode="auto">
                    <a:xfrm>
                      <a:off x="0" y="0"/>
                      <a:ext cx="428625" cy="1260475"/>
                    </a:xfrm>
                    <a:prstGeom prst="rect">
                      <a:avLst/>
                    </a:prstGeom>
                    <a:noFill/>
                  </pic:spPr>
                </pic:pic>
              </a:graphicData>
            </a:graphic>
          </wp:anchor>
        </w:drawing>
      </w:r>
    </w:p>
    <w:p>
      <w:pPr>
        <w:ind w:left="180" w:hanging="172"/>
        <w:spacing w:after="0"/>
        <w:tabs>
          <w:tab w:leader="none" w:pos="180" w:val="left"/>
        </w:tabs>
        <w:numPr>
          <w:ilvl w:val="0"/>
          <w:numId w:val="162"/>
        </w:numPr>
        <w:rPr>
          <w:rFonts w:ascii="Arial" w:cs="Arial" w:eastAsia="Arial" w:hAnsi="Arial"/>
          <w:sz w:val="11"/>
          <w:szCs w:val="11"/>
          <w:color w:val="auto"/>
        </w:rPr>
      </w:pPr>
      <w:r>
        <w:rPr>
          <w:rFonts w:ascii="Arial" w:cs="Arial" w:eastAsia="Arial" w:hAnsi="Arial"/>
          <w:sz w:val="11"/>
          <w:szCs w:val="11"/>
          <w:color w:val="auto"/>
        </w:rPr>
        <w:t>Productive wells are wells with proved reserves allocated. Exploratory wells in the process of drilling are excluded and presented separately on page 159.</w:t>
      </w:r>
    </w:p>
    <w:p>
      <w:pPr>
        <w:ind w:left="180" w:hanging="172"/>
        <w:spacing w:after="0" w:line="230" w:lineRule="auto"/>
        <w:tabs>
          <w:tab w:leader="none" w:pos="180" w:val="left"/>
        </w:tabs>
        <w:numPr>
          <w:ilvl w:val="0"/>
          <w:numId w:val="162"/>
        </w:numPr>
        <w:rPr>
          <w:rFonts w:ascii="Arial" w:cs="Arial" w:eastAsia="Arial" w:hAnsi="Arial"/>
          <w:sz w:val="11"/>
          <w:szCs w:val="11"/>
          <w:color w:val="auto"/>
        </w:rPr>
      </w:pPr>
      <w:r>
        <w:rPr>
          <w:rFonts w:ascii="Arial" w:cs="Arial" w:eastAsia="Arial" w:hAnsi="Arial"/>
          <w:sz w:val="11"/>
          <w:szCs w:val="11"/>
          <w:color w:val="auto"/>
        </w:rPr>
        <w:t>The number of net productive wells and dry holes drilled has been corrected from 175 and 34 respectively in 2013 and from 124 and 3 respectively in 2012.</w:t>
      </w:r>
    </w:p>
    <w:p>
      <w:pPr>
        <w:ind w:left="180" w:hanging="172"/>
        <w:spacing w:after="0" w:line="230" w:lineRule="auto"/>
        <w:tabs>
          <w:tab w:leader="none" w:pos="180" w:val="left"/>
        </w:tabs>
        <w:numPr>
          <w:ilvl w:val="0"/>
          <w:numId w:val="162"/>
        </w:numPr>
        <w:rPr>
          <w:rFonts w:ascii="Arial" w:cs="Arial" w:eastAsia="Arial" w:hAnsi="Arial"/>
          <w:sz w:val="11"/>
          <w:szCs w:val="11"/>
          <w:color w:val="auto"/>
        </w:rPr>
      </w:pPr>
      <w:r>
        <w:rPr>
          <w:rFonts w:ascii="Arial" w:cs="Arial" w:eastAsia="Arial" w:hAnsi="Arial"/>
          <w:sz w:val="11"/>
          <w:szCs w:val="11"/>
          <w:color w:val="auto"/>
        </w:rPr>
        <w:t>The number of net productive wells has been corrected from 16.</w:t>
      </w:r>
    </w:p>
    <w:p>
      <w:pPr>
        <w:ind w:left="180" w:hanging="172"/>
        <w:spacing w:after="0"/>
        <w:tabs>
          <w:tab w:leader="none" w:pos="180" w:val="left"/>
        </w:tabs>
        <w:numPr>
          <w:ilvl w:val="0"/>
          <w:numId w:val="162"/>
        </w:numPr>
        <w:rPr>
          <w:rFonts w:ascii="Arial" w:cs="Arial" w:eastAsia="Arial" w:hAnsi="Arial"/>
          <w:sz w:val="11"/>
          <w:szCs w:val="11"/>
          <w:color w:val="auto"/>
        </w:rPr>
      </w:pPr>
      <w:r>
        <w:rPr>
          <w:rFonts w:ascii="Arial" w:cs="Arial" w:eastAsia="Arial" w:hAnsi="Arial"/>
          <w:sz w:val="11"/>
          <w:szCs w:val="11"/>
          <w:color w:val="auto"/>
        </w:rPr>
        <w:t>Includes 50 net exploratory wells sold in North and South America.</w:t>
      </w:r>
    </w:p>
    <w:p>
      <w:pPr>
        <w:sectPr>
          <w:pgSz w:w="11900" w:h="16838" w:orient="portrait"/>
          <w:cols w:equalWidth="0" w:num="1">
            <w:col w:w="11420"/>
          </w:cols>
          <w:pgMar w:left="240" w:top="460" w:right="239" w:bottom="1440" w:gutter="0" w:footer="0" w:header="0"/>
        </w:sectPr>
      </w:pPr>
    </w:p>
    <w:bookmarkStart w:id="160" w:name="page161"/>
    <w:bookmarkEnd w:id="1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6428105</wp:posOffset>
            </wp:positionH>
            <wp:positionV relativeFrom="paragraph">
              <wp:posOffset>300355</wp:posOffset>
            </wp:positionV>
            <wp:extent cx="8890" cy="462915"/>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89">
                      <a:extLst>
                        <a:ext uri="{28A0092B-C50C-407E-A947-70E740481C1C}"/>
                      </a:extLst>
                    </a:blip>
                    <a:srcRect/>
                    <a:stretch>
                      <a:fillRect/>
                    </a:stretch>
                  </pic:blipFill>
                  <pic:spPr bwMode="auto">
                    <a:xfrm>
                      <a:off x="0" y="0"/>
                      <a:ext cx="8890" cy="462915"/>
                    </a:xfrm>
                    <a:prstGeom prst="rect">
                      <a:avLst/>
                    </a:prstGeom>
                    <a:noFill/>
                  </pic:spPr>
                </pic:pic>
              </a:graphicData>
            </a:graphic>
          </wp:anchor>
        </w:drawing>
      </w:r>
    </w:p>
    <w:p>
      <w:pPr>
        <w:spacing w:after="0" w:line="200" w:lineRule="exact"/>
        <w:rPr>
          <w:sz w:val="20"/>
          <w:szCs w:val="20"/>
          <w:color w:val="auto"/>
        </w:rPr>
      </w:pP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565"/>
        </w:trPr>
        <w:tc>
          <w:tcPr>
            <w:tcW w:w="5600" w:type="dxa"/>
            <w:vAlign w:val="bottom"/>
          </w:tcPr>
          <w:p>
            <w:pPr>
              <w:spacing w:after="0"/>
              <w:rPr>
                <w:sz w:val="24"/>
                <w:szCs w:val="24"/>
                <w:color w:val="auto"/>
              </w:rPr>
            </w:pPr>
          </w:p>
        </w:tc>
        <w:tc>
          <w:tcPr>
            <w:tcW w:w="4680" w:type="dxa"/>
            <w:vAlign w:val="bottom"/>
            <w:shd w:val="clear" w:color="auto" w:fill="FF8B00"/>
          </w:tcPr>
          <w:p>
            <w:pPr>
              <w:ind w:left="880"/>
              <w:spacing w:after="0"/>
              <w:rPr>
                <w:sz w:val="20"/>
                <w:szCs w:val="20"/>
                <w:color w:val="auto"/>
              </w:rPr>
            </w:pPr>
            <w:r>
              <w:rPr>
                <w:rFonts w:ascii="Arial" w:cs="Arial" w:eastAsia="Arial" w:hAnsi="Arial"/>
                <w:sz w:val="13"/>
                <w:szCs w:val="13"/>
                <w:color w:val="333333"/>
              </w:rPr>
              <w:t>FINANCIAL STATEMENTS AND SUPPLEMENTS</w:t>
            </w:r>
          </w:p>
        </w:tc>
        <w:tc>
          <w:tcPr>
            <w:tcW w:w="1140" w:type="dxa"/>
            <w:vAlign w:val="bottom"/>
            <w:shd w:val="clear" w:color="auto" w:fill="FF8B00"/>
          </w:tcPr>
          <w:p>
            <w:pPr>
              <w:jc w:val="right"/>
              <w:ind w:right="366"/>
              <w:spacing w:after="0"/>
              <w:rPr>
                <w:sz w:val="20"/>
                <w:szCs w:val="20"/>
                <w:color w:val="auto"/>
              </w:rPr>
            </w:pPr>
            <w:r>
              <w:rPr>
                <w:rFonts w:ascii="Arial" w:cs="Arial" w:eastAsia="Arial" w:hAnsi="Arial"/>
                <w:sz w:val="11"/>
                <w:szCs w:val="11"/>
                <w:b w:val="1"/>
                <w:bCs w:val="1"/>
                <w:color w:val="333333"/>
              </w:rPr>
              <w:t>159</w:t>
            </w:r>
          </w:p>
        </w:tc>
        <w:tc>
          <w:tcPr>
            <w:tcW w:w="0" w:type="dxa"/>
            <w:vAlign w:val="bottom"/>
          </w:tcPr>
          <w:p>
            <w:pPr>
              <w:spacing w:after="0"/>
              <w:rPr>
                <w:sz w:val="1"/>
                <w:szCs w:val="1"/>
                <w:color w:val="auto"/>
              </w:rPr>
            </w:pPr>
          </w:p>
        </w:tc>
      </w:tr>
      <w:tr>
        <w:trPr>
          <w:trHeight w:val="165"/>
        </w:trPr>
        <w:tc>
          <w:tcPr>
            <w:tcW w:w="5600" w:type="dxa"/>
            <w:vAlign w:val="bottom"/>
            <w:vMerge w:val="restart"/>
          </w:tcPr>
          <w:p>
            <w:pPr>
              <w:spacing w:after="0"/>
              <w:rPr>
                <w:sz w:val="20"/>
                <w:szCs w:val="20"/>
                <w:color w:val="auto"/>
              </w:rPr>
            </w:pPr>
            <w:r>
              <w:rPr>
                <w:rFonts w:ascii="Arial" w:cs="Arial" w:eastAsia="Arial" w:hAnsi="Arial"/>
                <w:sz w:val="11"/>
                <w:szCs w:val="11"/>
                <w:color w:val="auto"/>
              </w:rPr>
              <w:t>SHELL ANNUAL REPORT AND FORM 20-F 2014</w:t>
            </w:r>
          </w:p>
        </w:tc>
        <w:tc>
          <w:tcPr>
            <w:tcW w:w="4680" w:type="dxa"/>
            <w:vAlign w:val="bottom"/>
            <w:shd w:val="clear" w:color="auto" w:fill="FF8B00"/>
          </w:tcPr>
          <w:p>
            <w:pPr>
              <w:spacing w:after="0"/>
              <w:rPr>
                <w:sz w:val="14"/>
                <w:szCs w:val="14"/>
                <w:color w:val="auto"/>
              </w:rPr>
            </w:pPr>
          </w:p>
        </w:tc>
        <w:tc>
          <w:tcPr>
            <w:tcW w:w="1140" w:type="dxa"/>
            <w:vAlign w:val="bottom"/>
            <w:shd w:val="clear" w:color="auto" w:fill="FF8B00"/>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5600" w:type="dxa"/>
            <w:vAlign w:val="bottom"/>
            <w:vMerge w:val="continue"/>
          </w:tcPr>
          <w:p>
            <w:pPr>
              <w:spacing w:after="0"/>
              <w:rPr>
                <w:sz w:val="11"/>
                <w:szCs w:val="11"/>
                <w:color w:val="auto"/>
              </w:rPr>
            </w:pPr>
          </w:p>
        </w:tc>
        <w:tc>
          <w:tcPr>
            <w:tcW w:w="4680" w:type="dxa"/>
            <w:vAlign w:val="bottom"/>
          </w:tcPr>
          <w:p>
            <w:pPr>
              <w:ind w:left="880"/>
              <w:spacing w:after="0"/>
              <w:rPr>
                <w:sz w:val="20"/>
                <w:szCs w:val="20"/>
                <w:color w:val="auto"/>
              </w:rPr>
            </w:pPr>
            <w:r>
              <w:rPr>
                <w:rFonts w:ascii="Arial" w:cs="Arial" w:eastAsia="Arial" w:hAnsi="Arial"/>
                <w:sz w:val="11"/>
                <w:szCs w:val="11"/>
                <w:color w:val="auto"/>
              </w:rPr>
              <w:t>SUPPLEMENTARY INFORMATION – OIL AND GAS (UNAUDITED)</w:t>
            </w:r>
          </w:p>
        </w:tc>
        <w:tc>
          <w:tcPr>
            <w:tcW w:w="114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5660" w:type="dxa"/>
            <w:vAlign w:val="bottom"/>
            <w:gridSpan w:val="4"/>
            <w:shd w:val="clear" w:color="auto" w:fill="333333"/>
          </w:tcPr>
          <w:p>
            <w:pPr>
              <w:ind w:left="80"/>
              <w:spacing w:after="0"/>
              <w:rPr>
                <w:sz w:val="20"/>
                <w:szCs w:val="20"/>
                <w:color w:val="auto"/>
              </w:rPr>
            </w:pPr>
            <w:r>
              <w:rPr>
                <w:rFonts w:ascii="Arial" w:cs="Arial" w:eastAsia="Arial" w:hAnsi="Arial"/>
                <w:sz w:val="15"/>
                <w:szCs w:val="15"/>
                <w:b w:val="1"/>
                <w:bCs w:val="1"/>
                <w:color w:val="FFFFFF"/>
              </w:rPr>
              <w:t xml:space="preserve">NUMBER OF WELLS IN THE PROCESS OF EXPLORATORY DRILLING </w:t>
            </w:r>
            <w:r>
              <w:rPr>
                <w:rFonts w:ascii="Arial" w:cs="Arial" w:eastAsia="Arial" w:hAnsi="Arial"/>
                <w:sz w:val="15"/>
                <w:szCs w:val="15"/>
                <w:color w:val="FFFFFF"/>
              </w:rPr>
              <w:t>[A]</w:t>
            </w:r>
          </w:p>
        </w:tc>
        <w:tc>
          <w:tcPr>
            <w:tcW w:w="640" w:type="dxa"/>
            <w:vAlign w:val="bottom"/>
            <w:shd w:val="clear" w:color="auto" w:fill="333333"/>
          </w:tcPr>
          <w:p>
            <w:pPr>
              <w:spacing w:after="0"/>
              <w:rPr>
                <w:sz w:val="14"/>
                <w:szCs w:val="14"/>
                <w:color w:val="auto"/>
              </w:rPr>
            </w:pPr>
          </w:p>
        </w:tc>
        <w:tc>
          <w:tcPr>
            <w:tcW w:w="640" w:type="dxa"/>
            <w:vAlign w:val="bottom"/>
            <w:shd w:val="clear" w:color="auto" w:fill="333333"/>
          </w:tcPr>
          <w:p>
            <w:pPr>
              <w:spacing w:after="0"/>
              <w:rPr>
                <w:sz w:val="14"/>
                <w:szCs w:val="14"/>
                <w:color w:val="auto"/>
              </w:rPr>
            </w:pPr>
          </w:p>
        </w:tc>
        <w:tc>
          <w:tcPr>
            <w:tcW w:w="220" w:type="dxa"/>
            <w:vAlign w:val="bottom"/>
            <w:shd w:val="clear" w:color="auto" w:fill="333333"/>
          </w:tcPr>
          <w:p>
            <w:pPr>
              <w:spacing w:after="0"/>
              <w:rPr>
                <w:sz w:val="14"/>
                <w:szCs w:val="14"/>
                <w:color w:val="auto"/>
              </w:rPr>
            </w:pPr>
          </w:p>
        </w:tc>
        <w:tc>
          <w:tcPr>
            <w:tcW w:w="620" w:type="dxa"/>
            <w:vAlign w:val="bottom"/>
            <w:shd w:val="clear" w:color="auto" w:fill="333333"/>
          </w:tcPr>
          <w:p>
            <w:pPr>
              <w:spacing w:after="0"/>
              <w:rPr>
                <w:sz w:val="14"/>
                <w:szCs w:val="14"/>
                <w:color w:val="auto"/>
              </w:rPr>
            </w:pPr>
          </w:p>
        </w:tc>
        <w:tc>
          <w:tcPr>
            <w:tcW w:w="660" w:type="dxa"/>
            <w:vAlign w:val="bottom"/>
            <w:shd w:val="clear" w:color="auto" w:fill="333333"/>
          </w:tcPr>
          <w:p>
            <w:pPr>
              <w:spacing w:after="0"/>
              <w:rPr>
                <w:sz w:val="14"/>
                <w:szCs w:val="14"/>
                <w:color w:val="auto"/>
              </w:rPr>
            </w:pPr>
          </w:p>
        </w:tc>
        <w:tc>
          <w:tcPr>
            <w:tcW w:w="240" w:type="dxa"/>
            <w:vAlign w:val="bottom"/>
            <w:shd w:val="clear" w:color="auto" w:fill="333333"/>
          </w:tcPr>
          <w:p>
            <w:pPr>
              <w:spacing w:after="0"/>
              <w:rPr>
                <w:sz w:val="14"/>
                <w:szCs w:val="14"/>
                <w:color w:val="auto"/>
              </w:rPr>
            </w:pPr>
          </w:p>
        </w:tc>
        <w:tc>
          <w:tcPr>
            <w:tcW w:w="620" w:type="dxa"/>
            <w:vAlign w:val="bottom"/>
            <w:shd w:val="clear" w:color="auto" w:fill="333333"/>
          </w:tcPr>
          <w:p>
            <w:pPr>
              <w:spacing w:after="0"/>
              <w:rPr>
                <w:sz w:val="14"/>
                <w:szCs w:val="14"/>
                <w:color w:val="auto"/>
              </w:rPr>
            </w:pPr>
          </w:p>
        </w:tc>
        <w:tc>
          <w:tcPr>
            <w:tcW w:w="580" w:type="dxa"/>
            <w:vAlign w:val="bottom"/>
            <w:shd w:val="clear" w:color="auto" w:fill="333333"/>
          </w:tcPr>
          <w:p>
            <w:pPr>
              <w:spacing w:after="0"/>
              <w:rPr>
                <w:sz w:val="14"/>
                <w:szCs w:val="14"/>
                <w:color w:val="auto"/>
              </w:rPr>
            </w:pPr>
          </w:p>
        </w:tc>
        <w:tc>
          <w:tcPr>
            <w:tcW w:w="220" w:type="dxa"/>
            <w:vAlign w:val="bottom"/>
            <w:shd w:val="clear" w:color="auto" w:fill="333333"/>
          </w:tcPr>
          <w:p>
            <w:pPr>
              <w:spacing w:after="0"/>
              <w:rPr>
                <w:sz w:val="14"/>
                <w:szCs w:val="14"/>
                <w:color w:val="auto"/>
              </w:rPr>
            </w:pPr>
          </w:p>
        </w:tc>
        <w:tc>
          <w:tcPr>
            <w:tcW w:w="760" w:type="dxa"/>
            <w:vAlign w:val="bottom"/>
            <w:shd w:val="clear" w:color="auto" w:fill="333333"/>
          </w:tcPr>
          <w:p>
            <w:pPr>
              <w:spacing w:after="0"/>
              <w:rPr>
                <w:sz w:val="14"/>
                <w:szCs w:val="14"/>
                <w:color w:val="auto"/>
              </w:rPr>
            </w:pPr>
          </w:p>
        </w:tc>
        <w:tc>
          <w:tcPr>
            <w:tcW w:w="560" w:type="dxa"/>
            <w:vAlign w:val="bottom"/>
            <w:shd w:val="clear" w:color="auto" w:fill="333333"/>
          </w:tcPr>
          <w:p>
            <w:pPr>
              <w:jc w:val="right"/>
              <w:ind w:right="28"/>
              <w:spacing w:after="0"/>
              <w:rPr>
                <w:sz w:val="20"/>
                <w:szCs w:val="20"/>
                <w:color w:val="auto"/>
              </w:rPr>
            </w:pPr>
            <w:r>
              <w:rPr>
                <w:rFonts w:ascii="Arial" w:cs="Arial" w:eastAsia="Arial" w:hAnsi="Arial"/>
                <w:sz w:val="15"/>
                <w:szCs w:val="15"/>
                <w:color w:val="FFFFFF"/>
              </w:rPr>
              <w:t>2014</w:t>
            </w:r>
          </w:p>
        </w:tc>
      </w:tr>
      <w:tr>
        <w:trPr>
          <w:trHeight w:val="129"/>
        </w:trPr>
        <w:tc>
          <w:tcPr>
            <w:tcW w:w="42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500" w:type="dxa"/>
            <w:vAlign w:val="bottom"/>
            <w:gridSpan w:val="3"/>
          </w:tcPr>
          <w:p>
            <w:pPr>
              <w:jc w:val="right"/>
              <w:ind w:right="320"/>
              <w:spacing w:after="0" w:line="129" w:lineRule="exact"/>
              <w:rPr>
                <w:sz w:val="20"/>
                <w:szCs w:val="20"/>
                <w:color w:val="auto"/>
              </w:rPr>
            </w:pPr>
            <w:r>
              <w:rPr>
                <w:rFonts w:ascii="Arial" w:cs="Arial" w:eastAsia="Arial" w:hAnsi="Arial"/>
                <w:sz w:val="13"/>
                <w:szCs w:val="13"/>
                <w:color w:val="auto"/>
              </w:rPr>
              <w:t>Wells in the</w:t>
            </w:r>
          </w:p>
        </w:tc>
        <w:tc>
          <w:tcPr>
            <w:tcW w:w="1520" w:type="dxa"/>
            <w:vAlign w:val="bottom"/>
            <w:gridSpan w:val="3"/>
          </w:tcPr>
          <w:p>
            <w:pPr>
              <w:jc w:val="right"/>
              <w:ind w:right="320"/>
              <w:spacing w:after="0" w:line="129" w:lineRule="exact"/>
              <w:rPr>
                <w:sz w:val="20"/>
                <w:szCs w:val="20"/>
                <w:color w:val="auto"/>
              </w:rPr>
            </w:pPr>
            <w:r>
              <w:rPr>
                <w:rFonts w:ascii="Arial" w:cs="Arial" w:eastAsia="Arial" w:hAnsi="Arial"/>
                <w:sz w:val="13"/>
                <w:szCs w:val="13"/>
                <w:color w:val="auto"/>
              </w:rPr>
              <w:t>Wells in the</w:t>
            </w: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r>
      <w:tr>
        <w:trPr>
          <w:trHeight w:val="135"/>
        </w:trPr>
        <w:tc>
          <w:tcPr>
            <w:tcW w:w="42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500" w:type="dxa"/>
            <w:vAlign w:val="bottom"/>
            <w:gridSpan w:val="3"/>
          </w:tcPr>
          <w:p>
            <w:pPr>
              <w:jc w:val="right"/>
              <w:ind w:right="320"/>
              <w:spacing w:after="0" w:line="135" w:lineRule="exact"/>
              <w:rPr>
                <w:sz w:val="20"/>
                <w:szCs w:val="20"/>
                <w:color w:val="auto"/>
              </w:rPr>
            </w:pPr>
            <w:r>
              <w:rPr>
                <w:rFonts w:ascii="Arial" w:cs="Arial" w:eastAsia="Arial" w:hAnsi="Arial"/>
                <w:sz w:val="13"/>
                <w:szCs w:val="13"/>
                <w:color w:val="auto"/>
              </w:rPr>
              <w:t>process of</w:t>
            </w:r>
          </w:p>
        </w:tc>
        <w:tc>
          <w:tcPr>
            <w:tcW w:w="1520" w:type="dxa"/>
            <w:vAlign w:val="bottom"/>
            <w:gridSpan w:val="3"/>
          </w:tcPr>
          <w:p>
            <w:pPr>
              <w:jc w:val="right"/>
              <w:ind w:right="320"/>
              <w:spacing w:after="0" w:line="135" w:lineRule="exact"/>
              <w:rPr>
                <w:sz w:val="20"/>
                <w:szCs w:val="20"/>
                <w:color w:val="auto"/>
              </w:rPr>
            </w:pPr>
            <w:r>
              <w:rPr>
                <w:rFonts w:ascii="Arial" w:cs="Arial" w:eastAsia="Arial" w:hAnsi="Arial"/>
                <w:sz w:val="13"/>
                <w:szCs w:val="13"/>
                <w:color w:val="auto"/>
              </w:rPr>
              <w:t>process of</w:t>
            </w: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r>
      <w:tr>
        <w:trPr>
          <w:trHeight w:val="135"/>
        </w:trPr>
        <w:tc>
          <w:tcPr>
            <w:tcW w:w="42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gridSpan w:val="2"/>
          </w:tcPr>
          <w:p>
            <w:pPr>
              <w:jc w:val="right"/>
              <w:ind w:right="320"/>
              <w:spacing w:after="0" w:line="135" w:lineRule="exact"/>
              <w:rPr>
                <w:sz w:val="20"/>
                <w:szCs w:val="20"/>
                <w:color w:val="auto"/>
              </w:rPr>
            </w:pPr>
            <w:r>
              <w:rPr>
                <w:rFonts w:ascii="Arial" w:cs="Arial" w:eastAsia="Arial" w:hAnsi="Arial"/>
                <w:sz w:val="13"/>
                <w:szCs w:val="13"/>
                <w:color w:val="auto"/>
                <w:w w:val="99"/>
              </w:rPr>
              <w:t>drilling at</w:t>
            </w:r>
          </w:p>
        </w:tc>
        <w:tc>
          <w:tcPr>
            <w:tcW w:w="620" w:type="dxa"/>
            <w:vAlign w:val="bottom"/>
          </w:tcPr>
          <w:p>
            <w:pPr>
              <w:spacing w:after="0"/>
              <w:rPr>
                <w:sz w:val="11"/>
                <w:szCs w:val="11"/>
                <w:color w:val="auto"/>
              </w:rPr>
            </w:pPr>
          </w:p>
        </w:tc>
        <w:tc>
          <w:tcPr>
            <w:tcW w:w="900" w:type="dxa"/>
            <w:vAlign w:val="bottom"/>
            <w:gridSpan w:val="2"/>
          </w:tcPr>
          <w:p>
            <w:pPr>
              <w:jc w:val="right"/>
              <w:ind w:right="320"/>
              <w:spacing w:after="0" w:line="135" w:lineRule="exact"/>
              <w:rPr>
                <w:sz w:val="20"/>
                <w:szCs w:val="20"/>
                <w:color w:val="auto"/>
              </w:rPr>
            </w:pPr>
            <w:r>
              <w:rPr>
                <w:rFonts w:ascii="Arial" w:cs="Arial" w:eastAsia="Arial" w:hAnsi="Arial"/>
                <w:sz w:val="13"/>
                <w:szCs w:val="13"/>
                <w:color w:val="auto"/>
              </w:rPr>
              <w:t>drilling at</w:t>
            </w: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r>
      <w:tr>
        <w:trPr>
          <w:trHeight w:val="135"/>
        </w:trPr>
        <w:tc>
          <w:tcPr>
            <w:tcW w:w="42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500" w:type="dxa"/>
            <w:vAlign w:val="bottom"/>
            <w:gridSpan w:val="3"/>
          </w:tcPr>
          <w:p>
            <w:pPr>
              <w:jc w:val="right"/>
              <w:ind w:right="320"/>
              <w:spacing w:after="0" w:line="135" w:lineRule="exact"/>
              <w:rPr>
                <w:sz w:val="20"/>
                <w:szCs w:val="20"/>
                <w:color w:val="auto"/>
              </w:rPr>
            </w:pPr>
            <w:r>
              <w:rPr>
                <w:rFonts w:ascii="Arial" w:cs="Arial" w:eastAsia="Arial" w:hAnsi="Arial"/>
                <w:sz w:val="13"/>
                <w:szCs w:val="13"/>
                <w:color w:val="auto"/>
              </w:rPr>
              <w:t>January 1 and</w:t>
            </w:r>
          </w:p>
        </w:tc>
        <w:tc>
          <w:tcPr>
            <w:tcW w:w="1520" w:type="dxa"/>
            <w:vAlign w:val="bottom"/>
            <w:gridSpan w:val="3"/>
          </w:tcPr>
          <w:p>
            <w:pPr>
              <w:jc w:val="right"/>
              <w:ind w:right="320"/>
              <w:spacing w:after="0" w:line="135" w:lineRule="exact"/>
              <w:rPr>
                <w:sz w:val="20"/>
                <w:szCs w:val="20"/>
                <w:color w:val="auto"/>
              </w:rPr>
            </w:pPr>
            <w:r>
              <w:rPr>
                <w:rFonts w:ascii="Arial" w:cs="Arial" w:eastAsia="Arial" w:hAnsi="Arial"/>
                <w:sz w:val="13"/>
                <w:szCs w:val="13"/>
                <w:color w:val="auto"/>
              </w:rPr>
              <w:t>January 1 and</w:t>
            </w:r>
          </w:p>
        </w:tc>
        <w:tc>
          <w:tcPr>
            <w:tcW w:w="1420" w:type="dxa"/>
            <w:vAlign w:val="bottom"/>
            <w:gridSpan w:val="3"/>
          </w:tcPr>
          <w:p>
            <w:pPr>
              <w:jc w:val="right"/>
              <w:ind w:right="300"/>
              <w:spacing w:after="0" w:line="135" w:lineRule="exact"/>
              <w:rPr>
                <w:sz w:val="20"/>
                <w:szCs w:val="20"/>
                <w:color w:val="auto"/>
              </w:rPr>
            </w:pPr>
            <w:r>
              <w:rPr>
                <w:rFonts w:ascii="Arial" w:cs="Arial" w:eastAsia="Arial" w:hAnsi="Arial"/>
                <w:sz w:val="13"/>
                <w:szCs w:val="13"/>
                <w:color w:val="auto"/>
              </w:rPr>
              <w:t>New wells in the</w:t>
            </w: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r>
      <w:tr>
        <w:trPr>
          <w:trHeight w:val="135"/>
        </w:trPr>
        <w:tc>
          <w:tcPr>
            <w:tcW w:w="42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500" w:type="dxa"/>
            <w:vAlign w:val="bottom"/>
            <w:gridSpan w:val="3"/>
          </w:tcPr>
          <w:p>
            <w:pPr>
              <w:jc w:val="right"/>
              <w:ind w:right="320"/>
              <w:spacing w:after="0" w:line="135" w:lineRule="exact"/>
              <w:rPr>
                <w:sz w:val="20"/>
                <w:szCs w:val="20"/>
                <w:color w:val="auto"/>
              </w:rPr>
            </w:pPr>
            <w:r>
              <w:rPr>
                <w:rFonts w:ascii="Arial" w:cs="Arial" w:eastAsia="Arial" w:hAnsi="Arial"/>
                <w:sz w:val="13"/>
                <w:szCs w:val="13"/>
                <w:color w:val="auto"/>
              </w:rPr>
              <w:t>allocated proved</w:t>
            </w:r>
          </w:p>
        </w:tc>
        <w:tc>
          <w:tcPr>
            <w:tcW w:w="1520" w:type="dxa"/>
            <w:vAlign w:val="bottom"/>
            <w:gridSpan w:val="3"/>
          </w:tcPr>
          <w:p>
            <w:pPr>
              <w:jc w:val="right"/>
              <w:ind w:right="320"/>
              <w:spacing w:after="0" w:line="135" w:lineRule="exact"/>
              <w:rPr>
                <w:sz w:val="20"/>
                <w:szCs w:val="20"/>
                <w:color w:val="auto"/>
              </w:rPr>
            </w:pPr>
            <w:r>
              <w:rPr>
                <w:rFonts w:ascii="Arial" w:cs="Arial" w:eastAsia="Arial" w:hAnsi="Arial"/>
                <w:sz w:val="13"/>
                <w:szCs w:val="13"/>
                <w:color w:val="auto"/>
              </w:rPr>
              <w:t>determined as</w:t>
            </w:r>
          </w:p>
        </w:tc>
        <w:tc>
          <w:tcPr>
            <w:tcW w:w="620" w:type="dxa"/>
            <w:vAlign w:val="bottom"/>
          </w:tcPr>
          <w:p>
            <w:pPr>
              <w:spacing w:after="0"/>
              <w:rPr>
                <w:sz w:val="11"/>
                <w:szCs w:val="11"/>
                <w:color w:val="auto"/>
              </w:rPr>
            </w:pPr>
          </w:p>
        </w:tc>
        <w:tc>
          <w:tcPr>
            <w:tcW w:w="800" w:type="dxa"/>
            <w:vAlign w:val="bottom"/>
            <w:gridSpan w:val="2"/>
          </w:tcPr>
          <w:p>
            <w:pPr>
              <w:jc w:val="right"/>
              <w:ind w:right="300"/>
              <w:spacing w:after="0" w:line="135" w:lineRule="exact"/>
              <w:rPr>
                <w:sz w:val="20"/>
                <w:szCs w:val="20"/>
                <w:color w:val="auto"/>
              </w:rPr>
            </w:pPr>
            <w:r>
              <w:rPr>
                <w:rFonts w:ascii="Arial" w:cs="Arial" w:eastAsia="Arial" w:hAnsi="Arial"/>
                <w:sz w:val="13"/>
                <w:szCs w:val="13"/>
                <w:color w:val="auto"/>
              </w:rPr>
              <w:t>process</w:t>
            </w: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r>
      <w:tr>
        <w:trPr>
          <w:trHeight w:val="135"/>
        </w:trPr>
        <w:tc>
          <w:tcPr>
            <w:tcW w:w="42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500" w:type="dxa"/>
            <w:vAlign w:val="bottom"/>
            <w:gridSpan w:val="3"/>
          </w:tcPr>
          <w:p>
            <w:pPr>
              <w:jc w:val="right"/>
              <w:ind w:right="320"/>
              <w:spacing w:after="0" w:line="135" w:lineRule="exact"/>
              <w:rPr>
                <w:sz w:val="20"/>
                <w:szCs w:val="20"/>
                <w:color w:val="auto"/>
              </w:rPr>
            </w:pPr>
            <w:r>
              <w:rPr>
                <w:rFonts w:ascii="Arial" w:cs="Arial" w:eastAsia="Arial" w:hAnsi="Arial"/>
                <w:sz w:val="13"/>
                <w:szCs w:val="13"/>
                <w:color w:val="auto"/>
              </w:rPr>
              <w:t>reserves during</w:t>
            </w:r>
          </w:p>
        </w:tc>
        <w:tc>
          <w:tcPr>
            <w:tcW w:w="620" w:type="dxa"/>
            <w:vAlign w:val="bottom"/>
          </w:tcPr>
          <w:p>
            <w:pPr>
              <w:spacing w:after="0"/>
              <w:rPr>
                <w:sz w:val="11"/>
                <w:szCs w:val="11"/>
                <w:color w:val="auto"/>
              </w:rPr>
            </w:pPr>
          </w:p>
        </w:tc>
        <w:tc>
          <w:tcPr>
            <w:tcW w:w="900" w:type="dxa"/>
            <w:vAlign w:val="bottom"/>
            <w:gridSpan w:val="2"/>
          </w:tcPr>
          <w:p>
            <w:pPr>
              <w:jc w:val="right"/>
              <w:ind w:right="320"/>
              <w:spacing w:after="0" w:line="135" w:lineRule="exact"/>
              <w:rPr>
                <w:sz w:val="20"/>
                <w:szCs w:val="20"/>
                <w:color w:val="auto"/>
              </w:rPr>
            </w:pPr>
            <w:r>
              <w:rPr>
                <w:rFonts w:ascii="Arial" w:cs="Arial" w:eastAsia="Arial" w:hAnsi="Arial"/>
                <w:sz w:val="13"/>
                <w:szCs w:val="13"/>
                <w:color w:val="auto"/>
                <w:w w:val="96"/>
              </w:rPr>
              <w:t>dry during</w:t>
            </w:r>
          </w:p>
        </w:tc>
        <w:tc>
          <w:tcPr>
            <w:tcW w:w="1420" w:type="dxa"/>
            <w:vAlign w:val="bottom"/>
            <w:gridSpan w:val="3"/>
          </w:tcPr>
          <w:p>
            <w:pPr>
              <w:jc w:val="right"/>
              <w:ind w:right="300"/>
              <w:spacing w:after="0" w:line="135" w:lineRule="exact"/>
              <w:rPr>
                <w:sz w:val="20"/>
                <w:szCs w:val="20"/>
                <w:color w:val="auto"/>
              </w:rPr>
            </w:pPr>
            <w:r>
              <w:rPr>
                <w:rFonts w:ascii="Arial" w:cs="Arial" w:eastAsia="Arial" w:hAnsi="Arial"/>
                <w:sz w:val="13"/>
                <w:szCs w:val="13"/>
                <w:color w:val="auto"/>
              </w:rPr>
              <w:t>of drilling at</w:t>
            </w: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r>
      <w:tr>
        <w:trPr>
          <w:trHeight w:val="141"/>
        </w:trPr>
        <w:tc>
          <w:tcPr>
            <w:tcW w:w="4200" w:type="dxa"/>
            <w:vAlign w:val="bottom"/>
          </w:tcPr>
          <w:p>
            <w:pPr>
              <w:spacing w:after="0"/>
              <w:rPr>
                <w:sz w:val="12"/>
                <w:szCs w:val="12"/>
                <w:color w:val="auto"/>
              </w:rPr>
            </w:pPr>
          </w:p>
        </w:tc>
        <w:tc>
          <w:tcPr>
            <w:tcW w:w="1460" w:type="dxa"/>
            <w:vAlign w:val="bottom"/>
            <w:gridSpan w:val="3"/>
          </w:tcPr>
          <w:p>
            <w:pPr>
              <w:jc w:val="right"/>
              <w:ind w:right="460"/>
              <w:spacing w:after="0" w:line="141" w:lineRule="exact"/>
              <w:rPr>
                <w:sz w:val="20"/>
                <w:szCs w:val="20"/>
                <w:color w:val="auto"/>
              </w:rPr>
            </w:pPr>
            <w:r>
              <w:rPr>
                <w:rFonts w:ascii="Arial" w:cs="Arial" w:eastAsia="Arial" w:hAnsi="Arial"/>
                <w:sz w:val="13"/>
                <w:szCs w:val="13"/>
                <w:color w:val="auto"/>
              </w:rPr>
              <w:t>At January 1</w:t>
            </w:r>
          </w:p>
        </w:tc>
        <w:tc>
          <w:tcPr>
            <w:tcW w:w="640" w:type="dxa"/>
            <w:vAlign w:val="bottom"/>
          </w:tcPr>
          <w:p>
            <w:pPr>
              <w:spacing w:after="0"/>
              <w:rPr>
                <w:sz w:val="12"/>
                <w:szCs w:val="12"/>
                <w:color w:val="auto"/>
              </w:rPr>
            </w:pPr>
          </w:p>
        </w:tc>
        <w:tc>
          <w:tcPr>
            <w:tcW w:w="860" w:type="dxa"/>
            <w:vAlign w:val="bottom"/>
            <w:gridSpan w:val="2"/>
          </w:tcPr>
          <w:p>
            <w:pPr>
              <w:jc w:val="right"/>
              <w:ind w:right="320"/>
              <w:spacing w:after="0" w:line="141" w:lineRule="exact"/>
              <w:rPr>
                <w:sz w:val="20"/>
                <w:szCs w:val="20"/>
                <w:color w:val="auto"/>
              </w:rPr>
            </w:pPr>
            <w:r>
              <w:rPr>
                <w:rFonts w:ascii="Arial" w:cs="Arial" w:eastAsia="Arial" w:hAnsi="Arial"/>
                <w:sz w:val="13"/>
                <w:szCs w:val="13"/>
                <w:color w:val="auto"/>
              </w:rPr>
              <w:t>the year</w:t>
            </w:r>
          </w:p>
        </w:tc>
        <w:tc>
          <w:tcPr>
            <w:tcW w:w="620" w:type="dxa"/>
            <w:vAlign w:val="bottom"/>
          </w:tcPr>
          <w:p>
            <w:pPr>
              <w:spacing w:after="0"/>
              <w:rPr>
                <w:sz w:val="12"/>
                <w:szCs w:val="12"/>
                <w:color w:val="auto"/>
              </w:rPr>
            </w:pPr>
          </w:p>
        </w:tc>
        <w:tc>
          <w:tcPr>
            <w:tcW w:w="900" w:type="dxa"/>
            <w:vAlign w:val="bottom"/>
            <w:gridSpan w:val="2"/>
          </w:tcPr>
          <w:p>
            <w:pPr>
              <w:jc w:val="right"/>
              <w:ind w:right="320"/>
              <w:spacing w:after="0" w:line="141" w:lineRule="exact"/>
              <w:rPr>
                <w:sz w:val="20"/>
                <w:szCs w:val="20"/>
                <w:color w:val="auto"/>
              </w:rPr>
            </w:pPr>
            <w:r>
              <w:rPr>
                <w:rFonts w:ascii="Arial" w:cs="Arial" w:eastAsia="Arial" w:hAnsi="Arial"/>
                <w:sz w:val="13"/>
                <w:szCs w:val="13"/>
                <w:color w:val="auto"/>
              </w:rPr>
              <w:t>the year</w:t>
            </w:r>
          </w:p>
        </w:tc>
        <w:tc>
          <w:tcPr>
            <w:tcW w:w="1420" w:type="dxa"/>
            <w:vAlign w:val="bottom"/>
            <w:gridSpan w:val="3"/>
          </w:tcPr>
          <w:p>
            <w:pPr>
              <w:jc w:val="right"/>
              <w:ind w:right="300"/>
              <w:spacing w:after="0" w:line="141" w:lineRule="exact"/>
              <w:rPr>
                <w:sz w:val="20"/>
                <w:szCs w:val="20"/>
                <w:color w:val="auto"/>
              </w:rPr>
            </w:pPr>
            <w:r>
              <w:rPr>
                <w:rFonts w:ascii="Arial" w:cs="Arial" w:eastAsia="Arial" w:hAnsi="Arial"/>
                <w:sz w:val="13"/>
                <w:szCs w:val="13"/>
                <w:color w:val="auto"/>
              </w:rPr>
              <w:t>December 31</w:t>
            </w:r>
          </w:p>
        </w:tc>
        <w:tc>
          <w:tcPr>
            <w:tcW w:w="1320" w:type="dxa"/>
            <w:vAlign w:val="bottom"/>
            <w:gridSpan w:val="2"/>
          </w:tcPr>
          <w:p>
            <w:pPr>
              <w:jc w:val="right"/>
              <w:ind w:right="128"/>
              <w:spacing w:after="0" w:line="141" w:lineRule="exact"/>
              <w:rPr>
                <w:sz w:val="20"/>
                <w:szCs w:val="20"/>
                <w:color w:val="auto"/>
              </w:rPr>
            </w:pPr>
            <w:r>
              <w:rPr>
                <w:rFonts w:ascii="Arial" w:cs="Arial" w:eastAsia="Arial" w:hAnsi="Arial"/>
                <w:sz w:val="13"/>
                <w:szCs w:val="13"/>
                <w:color w:val="auto"/>
              </w:rPr>
              <w:t>At December 31</w:t>
            </w:r>
          </w:p>
        </w:tc>
      </w:tr>
      <w:tr>
        <w:trPr>
          <w:trHeight w:val="129"/>
        </w:trPr>
        <w:tc>
          <w:tcPr>
            <w:tcW w:w="4200" w:type="dxa"/>
            <w:vAlign w:val="bottom"/>
            <w:tcBorders>
              <w:bottom w:val="single" w:sz="8" w:color="auto"/>
            </w:tcBorders>
          </w:tcPr>
          <w:p>
            <w:pPr>
              <w:spacing w:after="0"/>
              <w:rPr>
                <w:sz w:val="11"/>
                <w:szCs w:val="11"/>
                <w:color w:val="auto"/>
              </w:rPr>
            </w:pPr>
          </w:p>
        </w:tc>
        <w:tc>
          <w:tcPr>
            <w:tcW w:w="680" w:type="dxa"/>
            <w:vAlign w:val="bottom"/>
            <w:tcBorders>
              <w:top w:val="single" w:sz="8" w:color="auto"/>
              <w:bottom w:val="single" w:sz="8" w:color="auto"/>
            </w:tcBorders>
          </w:tcPr>
          <w:p>
            <w:pPr>
              <w:jc w:val="right"/>
              <w:ind w:right="170"/>
              <w:spacing w:after="0" w:line="129" w:lineRule="exact"/>
              <w:rPr>
                <w:sz w:val="20"/>
                <w:szCs w:val="20"/>
                <w:color w:val="auto"/>
              </w:rPr>
            </w:pPr>
            <w:r>
              <w:rPr>
                <w:rFonts w:ascii="Arial" w:cs="Arial" w:eastAsia="Arial" w:hAnsi="Arial"/>
                <w:sz w:val="13"/>
                <w:szCs w:val="13"/>
                <w:color w:val="auto"/>
              </w:rPr>
              <w:t>Gross</w:t>
            </w:r>
          </w:p>
        </w:tc>
        <w:tc>
          <w:tcPr>
            <w:tcW w:w="540" w:type="dxa"/>
            <w:vAlign w:val="bottom"/>
            <w:tcBorders>
              <w:top w:val="single" w:sz="8" w:color="auto"/>
              <w:bottom w:val="single" w:sz="8" w:color="auto"/>
            </w:tcBorders>
          </w:tcPr>
          <w:p>
            <w:pPr>
              <w:jc w:val="right"/>
              <w:ind w:right="149"/>
              <w:spacing w:after="0" w:line="129" w:lineRule="exact"/>
              <w:rPr>
                <w:sz w:val="20"/>
                <w:szCs w:val="20"/>
                <w:color w:val="auto"/>
              </w:rPr>
            </w:pPr>
            <w:r>
              <w:rPr>
                <w:rFonts w:ascii="Arial" w:cs="Arial" w:eastAsia="Arial" w:hAnsi="Arial"/>
                <w:sz w:val="13"/>
                <w:szCs w:val="13"/>
                <w:color w:val="auto"/>
              </w:rPr>
              <w:t>Net</w:t>
            </w:r>
          </w:p>
        </w:tc>
        <w:tc>
          <w:tcPr>
            <w:tcW w:w="240" w:type="dxa"/>
            <w:vAlign w:val="bottom"/>
            <w:tcBorders>
              <w:bottom w:val="single" w:sz="8" w:color="auto"/>
            </w:tcBorders>
          </w:tcPr>
          <w:p>
            <w:pPr>
              <w:spacing w:after="0"/>
              <w:rPr>
                <w:sz w:val="11"/>
                <w:szCs w:val="11"/>
                <w:color w:val="auto"/>
              </w:rPr>
            </w:pPr>
          </w:p>
        </w:tc>
        <w:tc>
          <w:tcPr>
            <w:tcW w:w="640" w:type="dxa"/>
            <w:vAlign w:val="bottom"/>
            <w:tcBorders>
              <w:top w:val="single" w:sz="8" w:color="auto"/>
              <w:bottom w:val="single" w:sz="8" w:color="auto"/>
            </w:tcBorders>
          </w:tcPr>
          <w:p>
            <w:pPr>
              <w:jc w:val="right"/>
              <w:ind w:right="12"/>
              <w:spacing w:after="0" w:line="129" w:lineRule="exact"/>
              <w:rPr>
                <w:sz w:val="20"/>
                <w:szCs w:val="20"/>
                <w:color w:val="auto"/>
              </w:rPr>
            </w:pPr>
            <w:r>
              <w:rPr>
                <w:rFonts w:ascii="Arial" w:cs="Arial" w:eastAsia="Arial" w:hAnsi="Arial"/>
                <w:sz w:val="13"/>
                <w:szCs w:val="13"/>
                <w:color w:val="auto"/>
              </w:rPr>
              <w:t>Gross</w:t>
            </w:r>
          </w:p>
        </w:tc>
        <w:tc>
          <w:tcPr>
            <w:tcW w:w="640" w:type="dxa"/>
            <w:vAlign w:val="bottom"/>
            <w:tcBorders>
              <w:top w:val="single" w:sz="8" w:color="auto"/>
              <w:bottom w:val="single" w:sz="8" w:color="auto"/>
            </w:tcBorders>
          </w:tcPr>
          <w:p>
            <w:pPr>
              <w:jc w:val="right"/>
              <w:ind w:right="30"/>
              <w:spacing w:after="0" w:line="129" w:lineRule="exact"/>
              <w:rPr>
                <w:sz w:val="20"/>
                <w:szCs w:val="20"/>
                <w:color w:val="auto"/>
              </w:rPr>
            </w:pPr>
            <w:r>
              <w:rPr>
                <w:rFonts w:ascii="Arial" w:cs="Arial" w:eastAsia="Arial" w:hAnsi="Arial"/>
                <w:sz w:val="13"/>
                <w:szCs w:val="13"/>
                <w:color w:val="auto"/>
              </w:rPr>
              <w:t>Net</w:t>
            </w:r>
          </w:p>
        </w:tc>
        <w:tc>
          <w:tcPr>
            <w:tcW w:w="220" w:type="dxa"/>
            <w:vAlign w:val="bottom"/>
            <w:tcBorders>
              <w:bottom w:val="single" w:sz="8" w:color="auto"/>
            </w:tcBorders>
          </w:tcPr>
          <w:p>
            <w:pPr>
              <w:spacing w:after="0"/>
              <w:rPr>
                <w:sz w:val="11"/>
                <w:szCs w:val="11"/>
                <w:color w:val="auto"/>
              </w:rPr>
            </w:pPr>
          </w:p>
        </w:tc>
        <w:tc>
          <w:tcPr>
            <w:tcW w:w="62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Gross</w:t>
            </w:r>
          </w:p>
        </w:tc>
        <w:tc>
          <w:tcPr>
            <w:tcW w:w="660" w:type="dxa"/>
            <w:vAlign w:val="bottom"/>
            <w:tcBorders>
              <w:top w:val="single" w:sz="8" w:color="auto"/>
              <w:bottom w:val="single" w:sz="8" w:color="auto"/>
            </w:tcBorders>
          </w:tcPr>
          <w:p>
            <w:pPr>
              <w:jc w:val="right"/>
              <w:ind w:right="11"/>
              <w:spacing w:after="0" w:line="129" w:lineRule="exact"/>
              <w:rPr>
                <w:sz w:val="20"/>
                <w:szCs w:val="20"/>
                <w:color w:val="auto"/>
              </w:rPr>
            </w:pPr>
            <w:r>
              <w:rPr>
                <w:rFonts w:ascii="Arial" w:cs="Arial" w:eastAsia="Arial" w:hAnsi="Arial"/>
                <w:sz w:val="13"/>
                <w:szCs w:val="13"/>
                <w:color w:val="auto"/>
              </w:rPr>
              <w:t>Net</w:t>
            </w:r>
          </w:p>
        </w:tc>
        <w:tc>
          <w:tcPr>
            <w:tcW w:w="240" w:type="dxa"/>
            <w:vAlign w:val="bottom"/>
            <w:tcBorders>
              <w:bottom w:val="single" w:sz="8" w:color="auto"/>
            </w:tcBorders>
          </w:tcPr>
          <w:p>
            <w:pPr>
              <w:spacing w:after="0"/>
              <w:rPr>
                <w:sz w:val="11"/>
                <w:szCs w:val="11"/>
                <w:color w:val="auto"/>
              </w:rPr>
            </w:pPr>
          </w:p>
        </w:tc>
        <w:tc>
          <w:tcPr>
            <w:tcW w:w="62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Gross</w:t>
            </w:r>
          </w:p>
        </w:tc>
        <w:tc>
          <w:tcPr>
            <w:tcW w:w="580" w:type="dxa"/>
            <w:vAlign w:val="bottom"/>
            <w:tcBorders>
              <w:top w:val="single" w:sz="8" w:color="auto"/>
              <w:bottom w:val="single" w:sz="8" w:color="auto"/>
            </w:tcBorders>
          </w:tcPr>
          <w:p>
            <w:pPr>
              <w:jc w:val="right"/>
              <w:ind w:right="10"/>
              <w:spacing w:after="0" w:line="129" w:lineRule="exact"/>
              <w:rPr>
                <w:sz w:val="20"/>
                <w:szCs w:val="20"/>
                <w:color w:val="auto"/>
              </w:rPr>
            </w:pPr>
            <w:r>
              <w:rPr>
                <w:rFonts w:ascii="Arial" w:cs="Arial" w:eastAsia="Arial" w:hAnsi="Arial"/>
                <w:sz w:val="13"/>
                <w:szCs w:val="13"/>
                <w:color w:val="auto"/>
              </w:rPr>
              <w:t>Net</w:t>
            </w:r>
          </w:p>
        </w:tc>
        <w:tc>
          <w:tcPr>
            <w:tcW w:w="220" w:type="dxa"/>
            <w:vAlign w:val="bottom"/>
            <w:tcBorders>
              <w:bottom w:val="single" w:sz="8" w:color="auto"/>
            </w:tcBorders>
          </w:tcPr>
          <w:p>
            <w:pPr>
              <w:spacing w:after="0"/>
              <w:rPr>
                <w:sz w:val="11"/>
                <w:szCs w:val="11"/>
                <w:color w:val="auto"/>
              </w:rPr>
            </w:pPr>
          </w:p>
        </w:tc>
        <w:tc>
          <w:tcPr>
            <w:tcW w:w="760" w:type="dxa"/>
            <w:vAlign w:val="bottom"/>
            <w:tcBorders>
              <w:top w:val="single" w:sz="8" w:color="auto"/>
              <w:bottom w:val="single" w:sz="8" w:color="auto"/>
            </w:tcBorders>
          </w:tcPr>
          <w:p>
            <w:pPr>
              <w:jc w:val="right"/>
              <w:ind w:right="50"/>
              <w:spacing w:after="0" w:line="129" w:lineRule="exact"/>
              <w:rPr>
                <w:sz w:val="20"/>
                <w:szCs w:val="20"/>
                <w:color w:val="auto"/>
              </w:rPr>
            </w:pPr>
            <w:r>
              <w:rPr>
                <w:rFonts w:ascii="Arial" w:cs="Arial" w:eastAsia="Arial" w:hAnsi="Arial"/>
                <w:sz w:val="13"/>
                <w:szCs w:val="13"/>
                <w:color w:val="auto"/>
              </w:rPr>
              <w:t>Gross</w:t>
            </w:r>
          </w:p>
        </w:tc>
        <w:tc>
          <w:tcPr>
            <w:tcW w:w="560" w:type="dxa"/>
            <w:vAlign w:val="bottom"/>
            <w:tcBorders>
              <w:top w:val="single" w:sz="8" w:color="auto"/>
              <w:bottom w:val="single" w:sz="8" w:color="auto"/>
            </w:tcBorders>
          </w:tcPr>
          <w:p>
            <w:pPr>
              <w:jc w:val="right"/>
              <w:ind w:right="128"/>
              <w:spacing w:after="0" w:line="129" w:lineRule="exact"/>
              <w:rPr>
                <w:sz w:val="20"/>
                <w:szCs w:val="20"/>
                <w:color w:val="auto"/>
              </w:rPr>
            </w:pPr>
            <w:r>
              <w:rPr>
                <w:rFonts w:ascii="Arial" w:cs="Arial" w:eastAsia="Arial" w:hAnsi="Arial"/>
                <w:sz w:val="13"/>
                <w:szCs w:val="13"/>
                <w:color w:val="auto"/>
              </w:rPr>
              <w:t>Net</w:t>
            </w:r>
          </w:p>
        </w:tc>
      </w:tr>
      <w:tr>
        <w:trPr>
          <w:trHeight w:val="160"/>
        </w:trPr>
        <w:tc>
          <w:tcPr>
            <w:tcW w:w="4200" w:type="dxa"/>
            <w:vAlign w:val="bottom"/>
          </w:tcPr>
          <w:p>
            <w:pPr>
              <w:spacing w:after="0"/>
              <w:rPr>
                <w:sz w:val="20"/>
                <w:szCs w:val="20"/>
                <w:color w:val="auto"/>
              </w:rPr>
            </w:pPr>
            <w:r>
              <w:rPr>
                <w:rFonts w:ascii="Arial" w:cs="Arial" w:eastAsia="Arial" w:hAnsi="Arial"/>
                <w:sz w:val="14"/>
                <w:szCs w:val="14"/>
                <w:color w:val="auto"/>
              </w:rPr>
              <w:t>Europe</w:t>
            </w:r>
          </w:p>
        </w:tc>
        <w:tc>
          <w:tcPr>
            <w:tcW w:w="680" w:type="dxa"/>
            <w:vAlign w:val="bottom"/>
          </w:tcPr>
          <w:p>
            <w:pPr>
              <w:jc w:val="right"/>
              <w:ind w:right="170"/>
              <w:spacing w:after="0"/>
              <w:rPr>
                <w:sz w:val="20"/>
                <w:szCs w:val="20"/>
                <w:color w:val="auto"/>
              </w:rPr>
            </w:pPr>
            <w:r>
              <w:rPr>
                <w:rFonts w:ascii="Arial" w:cs="Arial" w:eastAsia="Arial" w:hAnsi="Arial"/>
                <w:sz w:val="14"/>
                <w:szCs w:val="14"/>
                <w:color w:val="auto"/>
              </w:rPr>
              <w:t>27</w:t>
            </w:r>
          </w:p>
        </w:tc>
        <w:tc>
          <w:tcPr>
            <w:tcW w:w="540" w:type="dxa"/>
            <w:vAlign w:val="bottom"/>
          </w:tcPr>
          <w:p>
            <w:pPr>
              <w:jc w:val="right"/>
              <w:ind w:right="149"/>
              <w:spacing w:after="0"/>
              <w:rPr>
                <w:sz w:val="20"/>
                <w:szCs w:val="20"/>
                <w:color w:val="auto"/>
              </w:rPr>
            </w:pPr>
            <w:r>
              <w:rPr>
                <w:rFonts w:ascii="Arial" w:cs="Arial" w:eastAsia="Arial" w:hAnsi="Arial"/>
                <w:sz w:val="14"/>
                <w:szCs w:val="14"/>
                <w:color w:val="auto"/>
              </w:rPr>
              <w:t>9</w:t>
            </w:r>
          </w:p>
        </w:tc>
        <w:tc>
          <w:tcPr>
            <w:tcW w:w="24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(2)</w:t>
            </w:r>
          </w:p>
        </w:tc>
        <w:tc>
          <w:tcPr>
            <w:tcW w:w="640" w:type="dxa"/>
            <w:vAlign w:val="bottom"/>
          </w:tcPr>
          <w:p>
            <w:pPr>
              <w:jc w:val="right"/>
              <w:spacing w:after="0"/>
              <w:rPr>
                <w:sz w:val="20"/>
                <w:szCs w:val="20"/>
                <w:color w:val="auto"/>
              </w:rPr>
            </w:pPr>
            <w:r>
              <w:rPr>
                <w:rFonts w:ascii="Arial" w:cs="Arial" w:eastAsia="Arial" w:hAnsi="Arial"/>
                <w:sz w:val="14"/>
                <w:szCs w:val="14"/>
                <w:color w:val="auto"/>
              </w:rPr>
              <w:t>(1)</w:t>
            </w:r>
          </w:p>
        </w:tc>
        <w:tc>
          <w:tcPr>
            <w:tcW w:w="22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(3)</w:t>
            </w:r>
          </w:p>
        </w:tc>
        <w:tc>
          <w:tcPr>
            <w:tcW w:w="660" w:type="dxa"/>
            <w:vAlign w:val="bottom"/>
          </w:tcPr>
          <w:p>
            <w:pPr>
              <w:jc w:val="right"/>
              <w:spacing w:after="0"/>
              <w:rPr>
                <w:sz w:val="20"/>
                <w:szCs w:val="20"/>
                <w:color w:val="auto"/>
              </w:rPr>
            </w:pPr>
            <w:r>
              <w:rPr>
                <w:rFonts w:ascii="Arial" w:cs="Arial" w:eastAsia="Arial" w:hAnsi="Arial"/>
                <w:sz w:val="14"/>
                <w:szCs w:val="14"/>
                <w:color w:val="auto"/>
              </w:rPr>
              <w:t>(2)</w:t>
            </w:r>
          </w:p>
        </w:tc>
        <w:tc>
          <w:tcPr>
            <w:tcW w:w="24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5</w:t>
            </w:r>
          </w:p>
        </w:tc>
        <w:tc>
          <w:tcPr>
            <w:tcW w:w="580" w:type="dxa"/>
            <w:vAlign w:val="bottom"/>
          </w:tcPr>
          <w:p>
            <w:pPr>
              <w:jc w:val="right"/>
              <w:ind w:right="10"/>
              <w:spacing w:after="0"/>
              <w:rPr>
                <w:sz w:val="20"/>
                <w:szCs w:val="20"/>
                <w:color w:val="auto"/>
              </w:rPr>
            </w:pPr>
            <w:r>
              <w:rPr>
                <w:rFonts w:ascii="Arial" w:cs="Arial" w:eastAsia="Arial" w:hAnsi="Arial"/>
                <w:sz w:val="14"/>
                <w:szCs w:val="14"/>
                <w:color w:val="auto"/>
              </w:rPr>
              <w:t>2</w:t>
            </w:r>
          </w:p>
        </w:tc>
        <w:tc>
          <w:tcPr>
            <w:tcW w:w="220" w:type="dxa"/>
            <w:vAlign w:val="bottom"/>
          </w:tcPr>
          <w:p>
            <w:pPr>
              <w:spacing w:after="0"/>
              <w:rPr>
                <w:sz w:val="13"/>
                <w:szCs w:val="13"/>
                <w:color w:val="auto"/>
              </w:rPr>
            </w:pPr>
          </w:p>
        </w:tc>
        <w:tc>
          <w:tcPr>
            <w:tcW w:w="760" w:type="dxa"/>
            <w:vAlign w:val="bottom"/>
          </w:tcPr>
          <w:p>
            <w:pPr>
              <w:jc w:val="right"/>
              <w:ind w:right="50"/>
              <w:spacing w:after="0"/>
              <w:rPr>
                <w:sz w:val="20"/>
                <w:szCs w:val="20"/>
                <w:color w:val="auto"/>
              </w:rPr>
            </w:pPr>
            <w:r>
              <w:rPr>
                <w:rFonts w:ascii="Arial" w:cs="Arial" w:eastAsia="Arial" w:hAnsi="Arial"/>
                <w:sz w:val="14"/>
                <w:szCs w:val="14"/>
                <w:color w:val="auto"/>
              </w:rPr>
              <w:t>27</w:t>
            </w:r>
          </w:p>
        </w:tc>
        <w:tc>
          <w:tcPr>
            <w:tcW w:w="560" w:type="dxa"/>
            <w:vAlign w:val="bottom"/>
          </w:tcPr>
          <w:p>
            <w:pPr>
              <w:jc w:val="right"/>
              <w:ind w:right="128"/>
              <w:spacing w:after="0"/>
              <w:rPr>
                <w:sz w:val="20"/>
                <w:szCs w:val="20"/>
                <w:color w:val="auto"/>
              </w:rPr>
            </w:pPr>
            <w:r>
              <w:rPr>
                <w:rFonts w:ascii="Arial" w:cs="Arial" w:eastAsia="Arial" w:hAnsi="Arial"/>
                <w:sz w:val="14"/>
                <w:szCs w:val="14"/>
                <w:color w:val="auto"/>
              </w:rPr>
              <w:t>8</w:t>
            </w:r>
          </w:p>
        </w:tc>
      </w:tr>
      <w:tr>
        <w:trPr>
          <w:trHeight w:val="162"/>
        </w:trPr>
        <w:tc>
          <w:tcPr>
            <w:tcW w:w="4200" w:type="dxa"/>
            <w:vAlign w:val="bottom"/>
          </w:tcPr>
          <w:p>
            <w:pPr>
              <w:spacing w:after="0"/>
              <w:rPr>
                <w:sz w:val="20"/>
                <w:szCs w:val="20"/>
                <w:color w:val="auto"/>
              </w:rPr>
            </w:pPr>
            <w:r>
              <w:rPr>
                <w:rFonts w:ascii="Arial" w:cs="Arial" w:eastAsia="Arial" w:hAnsi="Arial"/>
                <w:sz w:val="14"/>
                <w:szCs w:val="14"/>
                <w:color w:val="auto"/>
              </w:rPr>
              <w:t>Asia</w:t>
            </w:r>
          </w:p>
        </w:tc>
        <w:tc>
          <w:tcPr>
            <w:tcW w:w="680" w:type="dxa"/>
            <w:vAlign w:val="bottom"/>
          </w:tcPr>
          <w:p>
            <w:pPr>
              <w:jc w:val="right"/>
              <w:spacing w:after="0"/>
              <w:rPr>
                <w:sz w:val="20"/>
                <w:szCs w:val="20"/>
                <w:color w:val="auto"/>
              </w:rPr>
            </w:pPr>
            <w:r>
              <w:rPr>
                <w:rFonts w:ascii="Arial" w:cs="Arial" w:eastAsia="Arial" w:hAnsi="Arial"/>
                <w:sz w:val="14"/>
                <w:szCs w:val="14"/>
                <w:color w:val="auto"/>
              </w:rPr>
              <w:t>105[B]</w:t>
            </w:r>
          </w:p>
        </w:tc>
        <w:tc>
          <w:tcPr>
            <w:tcW w:w="780" w:type="dxa"/>
            <w:vAlign w:val="bottom"/>
            <w:gridSpan w:val="2"/>
          </w:tcPr>
          <w:p>
            <w:pPr>
              <w:ind w:left="160"/>
              <w:spacing w:after="0"/>
              <w:rPr>
                <w:sz w:val="20"/>
                <w:szCs w:val="20"/>
                <w:color w:val="auto"/>
              </w:rPr>
            </w:pPr>
            <w:r>
              <w:rPr>
                <w:rFonts w:ascii="Arial" w:cs="Arial" w:eastAsia="Arial" w:hAnsi="Arial"/>
                <w:sz w:val="14"/>
                <w:szCs w:val="14"/>
                <w:color w:val="auto"/>
              </w:rPr>
              <w:t>65[B]</w:t>
            </w:r>
          </w:p>
        </w:tc>
        <w:tc>
          <w:tcPr>
            <w:tcW w:w="640" w:type="dxa"/>
            <w:vAlign w:val="bottom"/>
          </w:tcPr>
          <w:p>
            <w:pPr>
              <w:jc w:val="right"/>
              <w:spacing w:after="0"/>
              <w:rPr>
                <w:sz w:val="20"/>
                <w:szCs w:val="20"/>
                <w:color w:val="auto"/>
              </w:rPr>
            </w:pPr>
            <w:r>
              <w:rPr>
                <w:rFonts w:ascii="Arial" w:cs="Arial" w:eastAsia="Arial" w:hAnsi="Arial"/>
                <w:sz w:val="14"/>
                <w:szCs w:val="14"/>
                <w:color w:val="auto"/>
              </w:rPr>
              <w:t>(1)</w:t>
            </w:r>
          </w:p>
        </w:tc>
        <w:tc>
          <w:tcPr>
            <w:tcW w:w="640" w:type="dxa"/>
            <w:vAlign w:val="bottom"/>
          </w:tcPr>
          <w:p>
            <w:pPr>
              <w:jc w:val="right"/>
              <w:spacing w:after="0"/>
              <w:rPr>
                <w:sz w:val="20"/>
                <w:szCs w:val="20"/>
                <w:color w:val="auto"/>
              </w:rPr>
            </w:pPr>
            <w:r>
              <w:rPr>
                <w:rFonts w:ascii="Arial" w:cs="Arial" w:eastAsia="Arial" w:hAnsi="Arial"/>
                <w:sz w:val="14"/>
                <w:szCs w:val="14"/>
                <w:color w:val="auto"/>
              </w:rPr>
              <w:t>(1)</w:t>
            </w:r>
          </w:p>
        </w:tc>
        <w:tc>
          <w:tcPr>
            <w:tcW w:w="22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(17)</w:t>
            </w:r>
          </w:p>
        </w:tc>
        <w:tc>
          <w:tcPr>
            <w:tcW w:w="660" w:type="dxa"/>
            <w:vAlign w:val="bottom"/>
          </w:tcPr>
          <w:p>
            <w:pPr>
              <w:jc w:val="right"/>
              <w:spacing w:after="0"/>
              <w:rPr>
                <w:sz w:val="20"/>
                <w:szCs w:val="20"/>
                <w:color w:val="auto"/>
              </w:rPr>
            </w:pPr>
            <w:r>
              <w:rPr>
                <w:rFonts w:ascii="Arial" w:cs="Arial" w:eastAsia="Arial" w:hAnsi="Arial"/>
                <w:sz w:val="14"/>
                <w:szCs w:val="14"/>
                <w:color w:val="auto"/>
              </w:rPr>
              <w:t>(16)</w:t>
            </w:r>
          </w:p>
        </w:tc>
        <w:tc>
          <w:tcPr>
            <w:tcW w:w="24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35</w:t>
            </w:r>
          </w:p>
        </w:tc>
        <w:tc>
          <w:tcPr>
            <w:tcW w:w="580" w:type="dxa"/>
            <w:vAlign w:val="bottom"/>
          </w:tcPr>
          <w:p>
            <w:pPr>
              <w:jc w:val="right"/>
              <w:ind w:right="10"/>
              <w:spacing w:after="0"/>
              <w:rPr>
                <w:sz w:val="20"/>
                <w:szCs w:val="20"/>
                <w:color w:val="auto"/>
              </w:rPr>
            </w:pPr>
            <w:r>
              <w:rPr>
                <w:rFonts w:ascii="Arial" w:cs="Arial" w:eastAsia="Arial" w:hAnsi="Arial"/>
                <w:sz w:val="14"/>
                <w:szCs w:val="14"/>
                <w:color w:val="auto"/>
              </w:rPr>
              <w:t>15</w:t>
            </w:r>
          </w:p>
        </w:tc>
        <w:tc>
          <w:tcPr>
            <w:tcW w:w="220" w:type="dxa"/>
            <w:vAlign w:val="bottom"/>
          </w:tcPr>
          <w:p>
            <w:pPr>
              <w:spacing w:after="0"/>
              <w:rPr>
                <w:sz w:val="14"/>
                <w:szCs w:val="14"/>
                <w:color w:val="auto"/>
              </w:rPr>
            </w:pPr>
          </w:p>
        </w:tc>
        <w:tc>
          <w:tcPr>
            <w:tcW w:w="760" w:type="dxa"/>
            <w:vAlign w:val="bottom"/>
          </w:tcPr>
          <w:p>
            <w:pPr>
              <w:jc w:val="right"/>
              <w:ind w:right="50"/>
              <w:spacing w:after="0"/>
              <w:rPr>
                <w:sz w:val="20"/>
                <w:szCs w:val="20"/>
                <w:color w:val="auto"/>
              </w:rPr>
            </w:pPr>
            <w:r>
              <w:rPr>
                <w:rFonts w:ascii="Arial" w:cs="Arial" w:eastAsia="Arial" w:hAnsi="Arial"/>
                <w:sz w:val="14"/>
                <w:szCs w:val="14"/>
                <w:color w:val="auto"/>
              </w:rPr>
              <w:t>122</w:t>
            </w:r>
          </w:p>
        </w:tc>
        <w:tc>
          <w:tcPr>
            <w:tcW w:w="560" w:type="dxa"/>
            <w:vAlign w:val="bottom"/>
          </w:tcPr>
          <w:p>
            <w:pPr>
              <w:jc w:val="right"/>
              <w:ind w:right="128"/>
              <w:spacing w:after="0"/>
              <w:rPr>
                <w:sz w:val="20"/>
                <w:szCs w:val="20"/>
                <w:color w:val="auto"/>
              </w:rPr>
            </w:pPr>
            <w:r>
              <w:rPr>
                <w:rFonts w:ascii="Arial" w:cs="Arial" w:eastAsia="Arial" w:hAnsi="Arial"/>
                <w:sz w:val="14"/>
                <w:szCs w:val="14"/>
                <w:color w:val="auto"/>
              </w:rPr>
              <w:t>63</w:t>
            </w:r>
          </w:p>
        </w:tc>
      </w:tr>
      <w:tr>
        <w:trPr>
          <w:trHeight w:val="162"/>
        </w:trPr>
        <w:tc>
          <w:tcPr>
            <w:tcW w:w="4200" w:type="dxa"/>
            <w:vAlign w:val="bottom"/>
          </w:tcPr>
          <w:p>
            <w:pPr>
              <w:spacing w:after="0"/>
              <w:rPr>
                <w:sz w:val="20"/>
                <w:szCs w:val="20"/>
                <w:color w:val="auto"/>
              </w:rPr>
            </w:pPr>
            <w:r>
              <w:rPr>
                <w:rFonts w:ascii="Arial" w:cs="Arial" w:eastAsia="Arial" w:hAnsi="Arial"/>
                <w:sz w:val="14"/>
                <w:szCs w:val="14"/>
                <w:color w:val="auto"/>
              </w:rPr>
              <w:t>Oceania</w:t>
            </w:r>
          </w:p>
        </w:tc>
        <w:tc>
          <w:tcPr>
            <w:tcW w:w="680" w:type="dxa"/>
            <w:vAlign w:val="bottom"/>
          </w:tcPr>
          <w:p>
            <w:pPr>
              <w:jc w:val="right"/>
              <w:ind w:right="170"/>
              <w:spacing w:after="0"/>
              <w:rPr>
                <w:sz w:val="20"/>
                <w:szCs w:val="20"/>
                <w:color w:val="auto"/>
              </w:rPr>
            </w:pPr>
            <w:r>
              <w:rPr>
                <w:rFonts w:ascii="Arial" w:cs="Arial" w:eastAsia="Arial" w:hAnsi="Arial"/>
                <w:sz w:val="14"/>
                <w:szCs w:val="14"/>
                <w:color w:val="auto"/>
              </w:rPr>
              <w:t>526</w:t>
            </w:r>
          </w:p>
        </w:tc>
        <w:tc>
          <w:tcPr>
            <w:tcW w:w="780" w:type="dxa"/>
            <w:vAlign w:val="bottom"/>
            <w:gridSpan w:val="2"/>
          </w:tcPr>
          <w:p>
            <w:pPr>
              <w:ind w:left="80"/>
              <w:spacing w:after="0"/>
              <w:rPr>
                <w:sz w:val="20"/>
                <w:szCs w:val="20"/>
                <w:color w:val="auto"/>
              </w:rPr>
            </w:pPr>
            <w:r>
              <w:rPr>
                <w:rFonts w:ascii="Arial" w:cs="Arial" w:eastAsia="Arial" w:hAnsi="Arial"/>
                <w:sz w:val="14"/>
                <w:szCs w:val="14"/>
                <w:color w:val="auto"/>
              </w:rPr>
              <w:t>182[C]</w:t>
            </w:r>
          </w:p>
        </w:tc>
        <w:tc>
          <w:tcPr>
            <w:tcW w:w="640" w:type="dxa"/>
            <w:vAlign w:val="bottom"/>
          </w:tcPr>
          <w:p>
            <w:pPr>
              <w:jc w:val="right"/>
              <w:ind w:right="12"/>
              <w:spacing w:after="0"/>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320"/>
              <w:spacing w:after="0"/>
              <w:rPr>
                <w:sz w:val="20"/>
                <w:szCs w:val="20"/>
                <w:color w:val="auto"/>
              </w:rPr>
            </w:pPr>
            <w:r>
              <w:rPr>
                <w:rFonts w:ascii="Arial" w:cs="Arial" w:eastAsia="Arial" w:hAnsi="Arial"/>
                <w:sz w:val="14"/>
                <w:szCs w:val="14"/>
                <w:color w:val="auto"/>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(1)</w:t>
            </w:r>
          </w:p>
        </w:tc>
        <w:tc>
          <w:tcPr>
            <w:tcW w:w="900" w:type="dxa"/>
            <w:vAlign w:val="bottom"/>
            <w:gridSpan w:val="2"/>
          </w:tcPr>
          <w:p>
            <w:pPr>
              <w:jc w:val="right"/>
              <w:ind w:right="320"/>
              <w:spacing w:after="0"/>
              <w:rPr>
                <w:sz w:val="20"/>
                <w:szCs w:val="20"/>
                <w:color w:val="auto"/>
              </w:rPr>
            </w:pPr>
            <w:r>
              <w:rPr>
                <w:rFonts w:ascii="Arial" w:cs="Arial" w:eastAsia="Arial" w:hAnsi="Arial"/>
                <w:sz w:val="14"/>
                <w:szCs w:val="14"/>
                <w:color w:val="auto"/>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23</w:t>
            </w:r>
          </w:p>
        </w:tc>
        <w:tc>
          <w:tcPr>
            <w:tcW w:w="580" w:type="dxa"/>
            <w:vAlign w:val="bottom"/>
          </w:tcPr>
          <w:p>
            <w:pPr>
              <w:jc w:val="right"/>
              <w:ind w:right="10"/>
              <w:spacing w:after="0"/>
              <w:rPr>
                <w:sz w:val="20"/>
                <w:szCs w:val="20"/>
                <w:color w:val="auto"/>
              </w:rPr>
            </w:pPr>
            <w:r>
              <w:rPr>
                <w:rFonts w:ascii="Arial" w:cs="Arial" w:eastAsia="Arial" w:hAnsi="Arial"/>
                <w:sz w:val="14"/>
                <w:szCs w:val="14"/>
                <w:color w:val="auto"/>
              </w:rPr>
              <w:t>10</w:t>
            </w:r>
          </w:p>
        </w:tc>
        <w:tc>
          <w:tcPr>
            <w:tcW w:w="220" w:type="dxa"/>
            <w:vAlign w:val="bottom"/>
          </w:tcPr>
          <w:p>
            <w:pPr>
              <w:spacing w:after="0"/>
              <w:rPr>
                <w:sz w:val="14"/>
                <w:szCs w:val="14"/>
                <w:color w:val="auto"/>
              </w:rPr>
            </w:pPr>
          </w:p>
        </w:tc>
        <w:tc>
          <w:tcPr>
            <w:tcW w:w="760" w:type="dxa"/>
            <w:vAlign w:val="bottom"/>
          </w:tcPr>
          <w:p>
            <w:pPr>
              <w:jc w:val="right"/>
              <w:ind w:right="50"/>
              <w:spacing w:after="0"/>
              <w:rPr>
                <w:sz w:val="20"/>
                <w:szCs w:val="20"/>
                <w:color w:val="auto"/>
              </w:rPr>
            </w:pPr>
            <w:r>
              <w:rPr>
                <w:rFonts w:ascii="Arial" w:cs="Arial" w:eastAsia="Arial" w:hAnsi="Arial"/>
                <w:sz w:val="14"/>
                <w:szCs w:val="14"/>
                <w:color w:val="auto"/>
              </w:rPr>
              <w:t>548</w:t>
            </w:r>
          </w:p>
        </w:tc>
        <w:tc>
          <w:tcPr>
            <w:tcW w:w="560" w:type="dxa"/>
            <w:vAlign w:val="bottom"/>
          </w:tcPr>
          <w:p>
            <w:pPr>
              <w:jc w:val="right"/>
              <w:ind w:right="128"/>
              <w:spacing w:after="0"/>
              <w:rPr>
                <w:sz w:val="20"/>
                <w:szCs w:val="20"/>
                <w:color w:val="auto"/>
              </w:rPr>
            </w:pPr>
            <w:r>
              <w:rPr>
                <w:rFonts w:ascii="Arial" w:cs="Arial" w:eastAsia="Arial" w:hAnsi="Arial"/>
                <w:sz w:val="14"/>
                <w:szCs w:val="14"/>
                <w:color w:val="auto"/>
              </w:rPr>
              <w:t>192</w:t>
            </w:r>
          </w:p>
        </w:tc>
      </w:tr>
      <w:tr>
        <w:trPr>
          <w:trHeight w:val="162"/>
        </w:trPr>
        <w:tc>
          <w:tcPr>
            <w:tcW w:w="4200" w:type="dxa"/>
            <w:vAlign w:val="bottom"/>
          </w:tcPr>
          <w:p>
            <w:pPr>
              <w:spacing w:after="0"/>
              <w:rPr>
                <w:sz w:val="20"/>
                <w:szCs w:val="20"/>
                <w:color w:val="auto"/>
              </w:rPr>
            </w:pPr>
            <w:r>
              <w:rPr>
                <w:rFonts w:ascii="Arial" w:cs="Arial" w:eastAsia="Arial" w:hAnsi="Arial"/>
                <w:sz w:val="14"/>
                <w:szCs w:val="14"/>
                <w:color w:val="auto"/>
              </w:rPr>
              <w:t>Africa</w:t>
            </w:r>
          </w:p>
        </w:tc>
        <w:tc>
          <w:tcPr>
            <w:tcW w:w="680" w:type="dxa"/>
            <w:vAlign w:val="bottom"/>
          </w:tcPr>
          <w:p>
            <w:pPr>
              <w:jc w:val="right"/>
              <w:ind w:right="170"/>
              <w:spacing w:after="0"/>
              <w:rPr>
                <w:sz w:val="20"/>
                <w:szCs w:val="20"/>
                <w:color w:val="auto"/>
              </w:rPr>
            </w:pPr>
            <w:r>
              <w:rPr>
                <w:rFonts w:ascii="Arial" w:cs="Arial" w:eastAsia="Arial" w:hAnsi="Arial"/>
                <w:sz w:val="14"/>
                <w:szCs w:val="14"/>
                <w:color w:val="auto"/>
              </w:rPr>
              <w:t>36</w:t>
            </w:r>
          </w:p>
        </w:tc>
        <w:tc>
          <w:tcPr>
            <w:tcW w:w="540" w:type="dxa"/>
            <w:vAlign w:val="bottom"/>
          </w:tcPr>
          <w:p>
            <w:pPr>
              <w:ind w:left="160"/>
              <w:spacing w:after="0"/>
              <w:rPr>
                <w:sz w:val="20"/>
                <w:szCs w:val="20"/>
                <w:color w:val="auto"/>
              </w:rPr>
            </w:pPr>
            <w:r>
              <w:rPr>
                <w:rFonts w:ascii="Arial" w:cs="Arial" w:eastAsia="Arial" w:hAnsi="Arial"/>
                <w:sz w:val="14"/>
                <w:szCs w:val="14"/>
                <w:color w:val="auto"/>
              </w:rPr>
              <w:t>19</w:t>
            </w:r>
          </w:p>
        </w:tc>
        <w:tc>
          <w:tcPr>
            <w:tcW w:w="24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(9)</w:t>
            </w:r>
          </w:p>
        </w:tc>
        <w:tc>
          <w:tcPr>
            <w:tcW w:w="640" w:type="dxa"/>
            <w:vAlign w:val="bottom"/>
          </w:tcPr>
          <w:p>
            <w:pPr>
              <w:jc w:val="right"/>
              <w:spacing w:after="0"/>
              <w:rPr>
                <w:sz w:val="20"/>
                <w:szCs w:val="20"/>
                <w:color w:val="auto"/>
              </w:rPr>
            </w:pPr>
            <w:r>
              <w:rPr>
                <w:rFonts w:ascii="Arial" w:cs="Arial" w:eastAsia="Arial" w:hAnsi="Arial"/>
                <w:sz w:val="14"/>
                <w:szCs w:val="14"/>
                <w:color w:val="auto"/>
              </w:rPr>
              <w:t>(6)</w:t>
            </w:r>
          </w:p>
        </w:tc>
        <w:tc>
          <w:tcPr>
            <w:tcW w:w="22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(4)</w:t>
            </w:r>
          </w:p>
        </w:tc>
        <w:tc>
          <w:tcPr>
            <w:tcW w:w="660" w:type="dxa"/>
            <w:vAlign w:val="bottom"/>
          </w:tcPr>
          <w:p>
            <w:pPr>
              <w:jc w:val="right"/>
              <w:spacing w:after="0"/>
              <w:rPr>
                <w:sz w:val="20"/>
                <w:szCs w:val="20"/>
                <w:color w:val="auto"/>
              </w:rPr>
            </w:pPr>
            <w:r>
              <w:rPr>
                <w:rFonts w:ascii="Arial" w:cs="Arial" w:eastAsia="Arial" w:hAnsi="Arial"/>
                <w:sz w:val="14"/>
                <w:szCs w:val="14"/>
                <w:color w:val="auto"/>
              </w:rPr>
              <w:t>(2)</w:t>
            </w:r>
          </w:p>
        </w:tc>
        <w:tc>
          <w:tcPr>
            <w:tcW w:w="24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4</w:t>
            </w:r>
          </w:p>
        </w:tc>
        <w:tc>
          <w:tcPr>
            <w:tcW w:w="580" w:type="dxa"/>
            <w:vAlign w:val="bottom"/>
          </w:tcPr>
          <w:p>
            <w:pPr>
              <w:jc w:val="right"/>
              <w:ind w:right="10"/>
              <w:spacing w:after="0"/>
              <w:rPr>
                <w:sz w:val="20"/>
                <w:szCs w:val="20"/>
                <w:color w:val="auto"/>
              </w:rPr>
            </w:pPr>
            <w:r>
              <w:rPr>
                <w:rFonts w:ascii="Arial" w:cs="Arial" w:eastAsia="Arial" w:hAnsi="Arial"/>
                <w:sz w:val="14"/>
                <w:szCs w:val="14"/>
                <w:color w:val="auto"/>
              </w:rPr>
              <w:t>2</w:t>
            </w:r>
          </w:p>
        </w:tc>
        <w:tc>
          <w:tcPr>
            <w:tcW w:w="220" w:type="dxa"/>
            <w:vAlign w:val="bottom"/>
          </w:tcPr>
          <w:p>
            <w:pPr>
              <w:spacing w:after="0"/>
              <w:rPr>
                <w:sz w:val="14"/>
                <w:szCs w:val="14"/>
                <w:color w:val="auto"/>
              </w:rPr>
            </w:pPr>
          </w:p>
        </w:tc>
        <w:tc>
          <w:tcPr>
            <w:tcW w:w="760" w:type="dxa"/>
            <w:vAlign w:val="bottom"/>
          </w:tcPr>
          <w:p>
            <w:pPr>
              <w:jc w:val="right"/>
              <w:ind w:right="50"/>
              <w:spacing w:after="0"/>
              <w:rPr>
                <w:sz w:val="20"/>
                <w:szCs w:val="20"/>
                <w:color w:val="auto"/>
              </w:rPr>
            </w:pPr>
            <w:r>
              <w:rPr>
                <w:rFonts w:ascii="Arial" w:cs="Arial" w:eastAsia="Arial" w:hAnsi="Arial"/>
                <w:sz w:val="14"/>
                <w:szCs w:val="14"/>
                <w:color w:val="auto"/>
              </w:rPr>
              <w:t>27</w:t>
            </w:r>
          </w:p>
        </w:tc>
        <w:tc>
          <w:tcPr>
            <w:tcW w:w="560" w:type="dxa"/>
            <w:vAlign w:val="bottom"/>
          </w:tcPr>
          <w:p>
            <w:pPr>
              <w:jc w:val="right"/>
              <w:ind w:right="128"/>
              <w:spacing w:after="0"/>
              <w:rPr>
                <w:sz w:val="20"/>
                <w:szCs w:val="20"/>
                <w:color w:val="auto"/>
              </w:rPr>
            </w:pPr>
            <w:r>
              <w:rPr>
                <w:rFonts w:ascii="Arial" w:cs="Arial" w:eastAsia="Arial" w:hAnsi="Arial"/>
                <w:sz w:val="14"/>
                <w:szCs w:val="14"/>
                <w:color w:val="auto"/>
              </w:rPr>
              <w:t>13</w:t>
            </w:r>
          </w:p>
        </w:tc>
      </w:tr>
      <w:tr>
        <w:trPr>
          <w:trHeight w:val="162"/>
        </w:trPr>
        <w:tc>
          <w:tcPr>
            <w:tcW w:w="4200" w:type="dxa"/>
            <w:vAlign w:val="bottom"/>
          </w:tcPr>
          <w:p>
            <w:pPr>
              <w:spacing w:after="0"/>
              <w:rPr>
                <w:sz w:val="20"/>
                <w:szCs w:val="20"/>
                <w:color w:val="auto"/>
              </w:rPr>
            </w:pPr>
            <w:r>
              <w:rPr>
                <w:rFonts w:ascii="Arial" w:cs="Arial" w:eastAsia="Arial" w:hAnsi="Arial"/>
                <w:sz w:val="14"/>
                <w:szCs w:val="14"/>
                <w:color w:val="auto"/>
              </w:rPr>
              <w:t>North America – USA</w:t>
            </w:r>
          </w:p>
        </w:tc>
        <w:tc>
          <w:tcPr>
            <w:tcW w:w="680" w:type="dxa"/>
            <w:vAlign w:val="bottom"/>
          </w:tcPr>
          <w:p>
            <w:pPr>
              <w:jc w:val="right"/>
              <w:spacing w:after="0"/>
              <w:rPr>
                <w:sz w:val="20"/>
                <w:szCs w:val="20"/>
                <w:color w:val="auto"/>
              </w:rPr>
            </w:pPr>
            <w:r>
              <w:rPr>
                <w:rFonts w:ascii="Arial" w:cs="Arial" w:eastAsia="Arial" w:hAnsi="Arial"/>
                <w:sz w:val="14"/>
                <w:szCs w:val="14"/>
                <w:color w:val="auto"/>
              </w:rPr>
              <w:t>255[D]</w:t>
            </w:r>
          </w:p>
        </w:tc>
        <w:tc>
          <w:tcPr>
            <w:tcW w:w="780" w:type="dxa"/>
            <w:vAlign w:val="bottom"/>
            <w:gridSpan w:val="2"/>
          </w:tcPr>
          <w:p>
            <w:pPr>
              <w:ind w:left="80"/>
              <w:spacing w:after="0"/>
              <w:rPr>
                <w:sz w:val="20"/>
                <w:szCs w:val="20"/>
                <w:color w:val="auto"/>
              </w:rPr>
            </w:pPr>
            <w:r>
              <w:rPr>
                <w:rFonts w:ascii="Arial" w:cs="Arial" w:eastAsia="Arial" w:hAnsi="Arial"/>
                <w:sz w:val="14"/>
                <w:szCs w:val="14"/>
                <w:color w:val="auto"/>
              </w:rPr>
              <w:t>220[D]</w:t>
            </w:r>
          </w:p>
        </w:tc>
        <w:tc>
          <w:tcPr>
            <w:tcW w:w="640" w:type="dxa"/>
            <w:vAlign w:val="bottom"/>
          </w:tcPr>
          <w:p>
            <w:pPr>
              <w:jc w:val="right"/>
              <w:spacing w:after="0"/>
              <w:rPr>
                <w:sz w:val="20"/>
                <w:szCs w:val="20"/>
                <w:color w:val="auto"/>
              </w:rPr>
            </w:pPr>
            <w:r>
              <w:rPr>
                <w:rFonts w:ascii="Arial" w:cs="Arial" w:eastAsia="Arial" w:hAnsi="Arial"/>
                <w:sz w:val="14"/>
                <w:szCs w:val="14"/>
                <w:color w:val="auto"/>
              </w:rPr>
              <w:t>(51)</w:t>
            </w:r>
          </w:p>
        </w:tc>
        <w:tc>
          <w:tcPr>
            <w:tcW w:w="640" w:type="dxa"/>
            <w:vAlign w:val="bottom"/>
          </w:tcPr>
          <w:p>
            <w:pPr>
              <w:jc w:val="right"/>
              <w:spacing w:after="0"/>
              <w:rPr>
                <w:sz w:val="20"/>
                <w:szCs w:val="20"/>
                <w:color w:val="auto"/>
              </w:rPr>
            </w:pPr>
            <w:r>
              <w:rPr>
                <w:rFonts w:ascii="Arial" w:cs="Arial" w:eastAsia="Arial" w:hAnsi="Arial"/>
                <w:sz w:val="14"/>
                <w:szCs w:val="14"/>
                <w:color w:val="auto"/>
              </w:rPr>
              <w:t>(36)</w:t>
            </w:r>
          </w:p>
        </w:tc>
        <w:tc>
          <w:tcPr>
            <w:tcW w:w="22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(116)</w:t>
            </w:r>
          </w:p>
        </w:tc>
        <w:tc>
          <w:tcPr>
            <w:tcW w:w="660" w:type="dxa"/>
            <w:vAlign w:val="bottom"/>
          </w:tcPr>
          <w:p>
            <w:pPr>
              <w:jc w:val="right"/>
              <w:spacing w:after="0"/>
              <w:rPr>
                <w:sz w:val="20"/>
                <w:szCs w:val="20"/>
                <w:color w:val="auto"/>
              </w:rPr>
            </w:pPr>
            <w:r>
              <w:rPr>
                <w:rFonts w:ascii="Arial" w:cs="Arial" w:eastAsia="Arial" w:hAnsi="Arial"/>
                <w:sz w:val="14"/>
                <w:szCs w:val="14"/>
                <w:color w:val="auto"/>
              </w:rPr>
              <w:t>(103)</w:t>
            </w:r>
          </w:p>
        </w:tc>
        <w:tc>
          <w:tcPr>
            <w:tcW w:w="24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55</w:t>
            </w:r>
          </w:p>
        </w:tc>
        <w:tc>
          <w:tcPr>
            <w:tcW w:w="580" w:type="dxa"/>
            <w:vAlign w:val="bottom"/>
          </w:tcPr>
          <w:p>
            <w:pPr>
              <w:jc w:val="right"/>
              <w:ind w:right="10"/>
              <w:spacing w:after="0"/>
              <w:rPr>
                <w:sz w:val="20"/>
                <w:szCs w:val="20"/>
                <w:color w:val="auto"/>
              </w:rPr>
            </w:pPr>
            <w:r>
              <w:rPr>
                <w:rFonts w:ascii="Arial" w:cs="Arial" w:eastAsia="Arial" w:hAnsi="Arial"/>
                <w:sz w:val="14"/>
                <w:szCs w:val="14"/>
                <w:color w:val="auto"/>
              </w:rPr>
              <w:t>32</w:t>
            </w:r>
          </w:p>
        </w:tc>
        <w:tc>
          <w:tcPr>
            <w:tcW w:w="220" w:type="dxa"/>
            <w:vAlign w:val="bottom"/>
          </w:tcPr>
          <w:p>
            <w:pPr>
              <w:spacing w:after="0"/>
              <w:rPr>
                <w:sz w:val="14"/>
                <w:szCs w:val="14"/>
                <w:color w:val="auto"/>
              </w:rPr>
            </w:pPr>
          </w:p>
        </w:tc>
        <w:tc>
          <w:tcPr>
            <w:tcW w:w="760" w:type="dxa"/>
            <w:vAlign w:val="bottom"/>
          </w:tcPr>
          <w:p>
            <w:pPr>
              <w:jc w:val="right"/>
              <w:ind w:right="50"/>
              <w:spacing w:after="0"/>
              <w:rPr>
                <w:sz w:val="20"/>
                <w:szCs w:val="20"/>
                <w:color w:val="auto"/>
              </w:rPr>
            </w:pPr>
            <w:r>
              <w:rPr>
                <w:rFonts w:ascii="Arial" w:cs="Arial" w:eastAsia="Arial" w:hAnsi="Arial"/>
                <w:sz w:val="14"/>
                <w:szCs w:val="14"/>
                <w:color w:val="auto"/>
              </w:rPr>
              <w:t>143</w:t>
            </w:r>
          </w:p>
        </w:tc>
        <w:tc>
          <w:tcPr>
            <w:tcW w:w="560" w:type="dxa"/>
            <w:vAlign w:val="bottom"/>
          </w:tcPr>
          <w:p>
            <w:pPr>
              <w:jc w:val="right"/>
              <w:ind w:right="128"/>
              <w:spacing w:after="0"/>
              <w:rPr>
                <w:sz w:val="20"/>
                <w:szCs w:val="20"/>
                <w:color w:val="auto"/>
              </w:rPr>
            </w:pPr>
            <w:r>
              <w:rPr>
                <w:rFonts w:ascii="Arial" w:cs="Arial" w:eastAsia="Arial" w:hAnsi="Arial"/>
                <w:sz w:val="14"/>
                <w:szCs w:val="14"/>
                <w:color w:val="auto"/>
              </w:rPr>
              <w:t>113</w:t>
            </w:r>
          </w:p>
        </w:tc>
      </w:tr>
      <w:tr>
        <w:trPr>
          <w:trHeight w:val="162"/>
        </w:trPr>
        <w:tc>
          <w:tcPr>
            <w:tcW w:w="4200" w:type="dxa"/>
            <w:vAlign w:val="bottom"/>
          </w:tcPr>
          <w:p>
            <w:pPr>
              <w:spacing w:after="0"/>
              <w:rPr>
                <w:sz w:val="20"/>
                <w:szCs w:val="20"/>
                <w:color w:val="auto"/>
              </w:rPr>
            </w:pPr>
            <w:r>
              <w:rPr>
                <w:rFonts w:ascii="Arial" w:cs="Arial" w:eastAsia="Arial" w:hAnsi="Arial"/>
                <w:sz w:val="14"/>
                <w:szCs w:val="14"/>
                <w:color w:val="auto"/>
              </w:rPr>
              <w:t>North America – Canada</w:t>
            </w:r>
          </w:p>
        </w:tc>
        <w:tc>
          <w:tcPr>
            <w:tcW w:w="680" w:type="dxa"/>
            <w:vAlign w:val="bottom"/>
          </w:tcPr>
          <w:p>
            <w:pPr>
              <w:jc w:val="right"/>
              <w:ind w:right="170"/>
              <w:spacing w:after="0"/>
              <w:rPr>
                <w:sz w:val="20"/>
                <w:szCs w:val="20"/>
                <w:color w:val="auto"/>
              </w:rPr>
            </w:pPr>
            <w:r>
              <w:rPr>
                <w:rFonts w:ascii="Arial" w:cs="Arial" w:eastAsia="Arial" w:hAnsi="Arial"/>
                <w:sz w:val="14"/>
                <w:szCs w:val="14"/>
                <w:color w:val="auto"/>
              </w:rPr>
              <w:t>231</w:t>
            </w:r>
          </w:p>
        </w:tc>
        <w:tc>
          <w:tcPr>
            <w:tcW w:w="780" w:type="dxa"/>
            <w:vAlign w:val="bottom"/>
            <w:gridSpan w:val="2"/>
          </w:tcPr>
          <w:p>
            <w:pPr>
              <w:ind w:left="80"/>
              <w:spacing w:after="0"/>
              <w:rPr>
                <w:sz w:val="20"/>
                <w:szCs w:val="20"/>
                <w:color w:val="auto"/>
              </w:rPr>
            </w:pPr>
            <w:r>
              <w:rPr>
                <w:rFonts w:ascii="Arial" w:cs="Arial" w:eastAsia="Arial" w:hAnsi="Arial"/>
                <w:sz w:val="14"/>
                <w:szCs w:val="14"/>
                <w:color w:val="auto"/>
              </w:rPr>
              <w:t>211[C]</w:t>
            </w:r>
          </w:p>
        </w:tc>
        <w:tc>
          <w:tcPr>
            <w:tcW w:w="640" w:type="dxa"/>
            <w:vAlign w:val="bottom"/>
          </w:tcPr>
          <w:p>
            <w:pPr>
              <w:jc w:val="right"/>
              <w:spacing w:after="0"/>
              <w:rPr>
                <w:sz w:val="20"/>
                <w:szCs w:val="20"/>
                <w:color w:val="auto"/>
              </w:rPr>
            </w:pPr>
            <w:r>
              <w:rPr>
                <w:rFonts w:ascii="Arial" w:cs="Arial" w:eastAsia="Arial" w:hAnsi="Arial"/>
                <w:sz w:val="14"/>
                <w:szCs w:val="14"/>
                <w:color w:val="auto"/>
              </w:rPr>
              <w:t>(113)</w:t>
            </w:r>
          </w:p>
        </w:tc>
        <w:tc>
          <w:tcPr>
            <w:tcW w:w="640" w:type="dxa"/>
            <w:vAlign w:val="bottom"/>
          </w:tcPr>
          <w:p>
            <w:pPr>
              <w:jc w:val="right"/>
              <w:spacing w:after="0"/>
              <w:rPr>
                <w:sz w:val="20"/>
                <w:szCs w:val="20"/>
                <w:color w:val="auto"/>
              </w:rPr>
            </w:pPr>
            <w:r>
              <w:rPr>
                <w:rFonts w:ascii="Arial" w:cs="Arial" w:eastAsia="Arial" w:hAnsi="Arial"/>
                <w:sz w:val="14"/>
                <w:szCs w:val="14"/>
                <w:color w:val="auto"/>
              </w:rPr>
              <w:t>(99)</w:t>
            </w:r>
          </w:p>
        </w:tc>
        <w:tc>
          <w:tcPr>
            <w:tcW w:w="22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(12)</w:t>
            </w:r>
          </w:p>
        </w:tc>
        <w:tc>
          <w:tcPr>
            <w:tcW w:w="660" w:type="dxa"/>
            <w:vAlign w:val="bottom"/>
          </w:tcPr>
          <w:p>
            <w:pPr>
              <w:jc w:val="right"/>
              <w:spacing w:after="0"/>
              <w:rPr>
                <w:sz w:val="20"/>
                <w:szCs w:val="20"/>
                <w:color w:val="auto"/>
              </w:rPr>
            </w:pPr>
            <w:r>
              <w:rPr>
                <w:rFonts w:ascii="Arial" w:cs="Arial" w:eastAsia="Arial" w:hAnsi="Arial"/>
                <w:sz w:val="14"/>
                <w:szCs w:val="14"/>
                <w:color w:val="auto"/>
              </w:rPr>
              <w:t>(11)</w:t>
            </w:r>
          </w:p>
        </w:tc>
        <w:tc>
          <w:tcPr>
            <w:tcW w:w="24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81</w:t>
            </w:r>
          </w:p>
        </w:tc>
        <w:tc>
          <w:tcPr>
            <w:tcW w:w="580" w:type="dxa"/>
            <w:vAlign w:val="bottom"/>
          </w:tcPr>
          <w:p>
            <w:pPr>
              <w:jc w:val="right"/>
              <w:ind w:right="10"/>
              <w:spacing w:after="0"/>
              <w:rPr>
                <w:sz w:val="20"/>
                <w:szCs w:val="20"/>
                <w:color w:val="auto"/>
              </w:rPr>
            </w:pPr>
            <w:r>
              <w:rPr>
                <w:rFonts w:ascii="Arial" w:cs="Arial" w:eastAsia="Arial" w:hAnsi="Arial"/>
                <w:sz w:val="14"/>
                <w:szCs w:val="14"/>
                <w:color w:val="auto"/>
              </w:rPr>
              <w:t>69</w:t>
            </w:r>
          </w:p>
        </w:tc>
        <w:tc>
          <w:tcPr>
            <w:tcW w:w="220" w:type="dxa"/>
            <w:vAlign w:val="bottom"/>
          </w:tcPr>
          <w:p>
            <w:pPr>
              <w:spacing w:after="0"/>
              <w:rPr>
                <w:sz w:val="14"/>
                <w:szCs w:val="14"/>
                <w:color w:val="auto"/>
              </w:rPr>
            </w:pPr>
          </w:p>
        </w:tc>
        <w:tc>
          <w:tcPr>
            <w:tcW w:w="760" w:type="dxa"/>
            <w:vAlign w:val="bottom"/>
          </w:tcPr>
          <w:p>
            <w:pPr>
              <w:jc w:val="right"/>
              <w:ind w:right="50"/>
              <w:spacing w:after="0"/>
              <w:rPr>
                <w:sz w:val="20"/>
                <w:szCs w:val="20"/>
                <w:color w:val="auto"/>
              </w:rPr>
            </w:pPr>
            <w:r>
              <w:rPr>
                <w:rFonts w:ascii="Arial" w:cs="Arial" w:eastAsia="Arial" w:hAnsi="Arial"/>
                <w:sz w:val="14"/>
                <w:szCs w:val="14"/>
                <w:color w:val="auto"/>
              </w:rPr>
              <w:t>187</w:t>
            </w:r>
          </w:p>
        </w:tc>
        <w:tc>
          <w:tcPr>
            <w:tcW w:w="560" w:type="dxa"/>
            <w:vAlign w:val="bottom"/>
          </w:tcPr>
          <w:p>
            <w:pPr>
              <w:jc w:val="right"/>
              <w:ind w:right="128"/>
              <w:spacing w:after="0"/>
              <w:rPr>
                <w:sz w:val="20"/>
                <w:szCs w:val="20"/>
                <w:color w:val="auto"/>
              </w:rPr>
            </w:pPr>
            <w:r>
              <w:rPr>
                <w:rFonts w:ascii="Arial" w:cs="Arial" w:eastAsia="Arial" w:hAnsi="Arial"/>
                <w:sz w:val="14"/>
                <w:szCs w:val="14"/>
                <w:color w:val="auto"/>
              </w:rPr>
              <w:t>170</w:t>
            </w:r>
          </w:p>
        </w:tc>
      </w:tr>
      <w:tr>
        <w:trPr>
          <w:trHeight w:val="157"/>
        </w:trPr>
        <w:tc>
          <w:tcPr>
            <w:tcW w:w="4200" w:type="dxa"/>
            <w:vAlign w:val="bottom"/>
            <w:tcBorders>
              <w:bottom w:val="single" w:sz="8" w:color="auto"/>
            </w:tcBorders>
          </w:tcPr>
          <w:p>
            <w:pPr>
              <w:spacing w:after="0" w:line="157" w:lineRule="exact"/>
              <w:rPr>
                <w:sz w:val="20"/>
                <w:szCs w:val="20"/>
                <w:color w:val="auto"/>
              </w:rPr>
            </w:pPr>
            <w:r>
              <w:rPr>
                <w:rFonts w:ascii="Arial" w:cs="Arial" w:eastAsia="Arial" w:hAnsi="Arial"/>
                <w:sz w:val="14"/>
                <w:szCs w:val="14"/>
                <w:color w:val="auto"/>
              </w:rPr>
              <w:t>South America</w:t>
            </w:r>
          </w:p>
        </w:tc>
        <w:tc>
          <w:tcPr>
            <w:tcW w:w="680" w:type="dxa"/>
            <w:vAlign w:val="bottom"/>
            <w:tcBorders>
              <w:bottom w:val="single" w:sz="8" w:color="auto"/>
            </w:tcBorders>
          </w:tcPr>
          <w:p>
            <w:pPr>
              <w:jc w:val="right"/>
              <w:spacing w:after="0" w:line="157" w:lineRule="exact"/>
              <w:rPr>
                <w:sz w:val="20"/>
                <w:szCs w:val="20"/>
                <w:color w:val="auto"/>
              </w:rPr>
            </w:pPr>
            <w:r>
              <w:rPr>
                <w:rFonts w:ascii="Arial" w:cs="Arial" w:eastAsia="Arial" w:hAnsi="Arial"/>
                <w:sz w:val="14"/>
                <w:szCs w:val="14"/>
                <w:color w:val="auto"/>
              </w:rPr>
              <w:t>20[B]</w:t>
            </w:r>
          </w:p>
        </w:tc>
        <w:tc>
          <w:tcPr>
            <w:tcW w:w="780" w:type="dxa"/>
            <w:vAlign w:val="bottom"/>
            <w:tcBorders>
              <w:bottom w:val="single" w:sz="8" w:color="auto"/>
            </w:tcBorders>
            <w:gridSpan w:val="2"/>
          </w:tcPr>
          <w:p>
            <w:pPr>
              <w:ind w:left="160"/>
              <w:spacing w:after="0" w:line="157" w:lineRule="exact"/>
              <w:rPr>
                <w:sz w:val="20"/>
                <w:szCs w:val="20"/>
                <w:color w:val="auto"/>
              </w:rPr>
            </w:pPr>
            <w:r>
              <w:rPr>
                <w:rFonts w:ascii="Arial" w:cs="Arial" w:eastAsia="Arial" w:hAnsi="Arial"/>
                <w:sz w:val="14"/>
                <w:szCs w:val="14"/>
                <w:color w:val="auto"/>
              </w:rPr>
              <w:t>12[B]</w:t>
            </w:r>
          </w:p>
        </w:tc>
        <w:tc>
          <w:tcPr>
            <w:tcW w:w="640" w:type="dxa"/>
            <w:vAlign w:val="bottom"/>
            <w:tcBorders>
              <w:bottom w:val="single" w:sz="8" w:color="auto"/>
            </w:tcBorders>
          </w:tcPr>
          <w:p>
            <w:pPr>
              <w:jc w:val="right"/>
              <w:spacing w:after="0" w:line="157" w:lineRule="exact"/>
              <w:rPr>
                <w:sz w:val="20"/>
                <w:szCs w:val="20"/>
                <w:color w:val="auto"/>
              </w:rPr>
            </w:pPr>
            <w:r>
              <w:rPr>
                <w:rFonts w:ascii="Arial" w:cs="Arial" w:eastAsia="Arial" w:hAnsi="Arial"/>
                <w:sz w:val="14"/>
                <w:szCs w:val="14"/>
                <w:color w:val="auto"/>
              </w:rPr>
              <w:t>(2)</w:t>
            </w:r>
          </w:p>
        </w:tc>
        <w:tc>
          <w:tcPr>
            <w:tcW w:w="640" w:type="dxa"/>
            <w:vAlign w:val="bottom"/>
            <w:tcBorders>
              <w:bottom w:val="single" w:sz="8" w:color="auto"/>
            </w:tcBorders>
          </w:tcPr>
          <w:p>
            <w:pPr>
              <w:jc w:val="right"/>
              <w:spacing w:after="0" w:line="157" w:lineRule="exact"/>
              <w:rPr>
                <w:sz w:val="20"/>
                <w:szCs w:val="20"/>
                <w:color w:val="auto"/>
              </w:rPr>
            </w:pPr>
            <w:r>
              <w:rPr>
                <w:rFonts w:ascii="Arial" w:cs="Arial" w:eastAsia="Arial" w:hAnsi="Arial"/>
                <w:sz w:val="14"/>
                <w:szCs w:val="14"/>
                <w:color w:val="auto"/>
              </w:rPr>
              <w:t>(1)</w:t>
            </w:r>
          </w:p>
        </w:tc>
        <w:tc>
          <w:tcPr>
            <w:tcW w:w="22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spacing w:after="0" w:line="157" w:lineRule="exact"/>
              <w:rPr>
                <w:sz w:val="20"/>
                <w:szCs w:val="20"/>
                <w:color w:val="auto"/>
              </w:rPr>
            </w:pPr>
            <w:r>
              <w:rPr>
                <w:rFonts w:ascii="Arial" w:cs="Arial" w:eastAsia="Arial" w:hAnsi="Arial"/>
                <w:sz w:val="14"/>
                <w:szCs w:val="14"/>
                <w:color w:val="auto"/>
              </w:rPr>
              <w:t>(5)</w:t>
            </w:r>
          </w:p>
        </w:tc>
        <w:tc>
          <w:tcPr>
            <w:tcW w:w="660" w:type="dxa"/>
            <w:vAlign w:val="bottom"/>
            <w:tcBorders>
              <w:bottom w:val="single" w:sz="8" w:color="auto"/>
            </w:tcBorders>
          </w:tcPr>
          <w:p>
            <w:pPr>
              <w:jc w:val="right"/>
              <w:spacing w:after="0" w:line="157" w:lineRule="exact"/>
              <w:rPr>
                <w:sz w:val="20"/>
                <w:szCs w:val="20"/>
                <w:color w:val="auto"/>
              </w:rPr>
            </w:pPr>
            <w:r>
              <w:rPr>
                <w:rFonts w:ascii="Arial" w:cs="Arial" w:eastAsia="Arial" w:hAnsi="Arial"/>
                <w:sz w:val="14"/>
                <w:szCs w:val="14"/>
                <w:color w:val="auto"/>
              </w:rPr>
              <w:t>(2)</w:t>
            </w:r>
          </w:p>
        </w:tc>
        <w:tc>
          <w:tcPr>
            <w:tcW w:w="24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spacing w:after="0" w:line="157" w:lineRule="exact"/>
              <w:rPr>
                <w:sz w:val="20"/>
                <w:szCs w:val="20"/>
                <w:color w:val="auto"/>
              </w:rPr>
            </w:pPr>
            <w:r>
              <w:rPr>
                <w:rFonts w:ascii="Arial" w:cs="Arial" w:eastAsia="Arial" w:hAnsi="Arial"/>
                <w:sz w:val="14"/>
                <w:szCs w:val="14"/>
                <w:color w:val="auto"/>
              </w:rPr>
              <w:t>8</w:t>
            </w:r>
          </w:p>
        </w:tc>
        <w:tc>
          <w:tcPr>
            <w:tcW w:w="580" w:type="dxa"/>
            <w:vAlign w:val="bottom"/>
            <w:tcBorders>
              <w:bottom w:val="single" w:sz="8" w:color="auto"/>
            </w:tcBorders>
          </w:tcPr>
          <w:p>
            <w:pPr>
              <w:jc w:val="right"/>
              <w:ind w:right="10"/>
              <w:spacing w:after="0" w:line="157" w:lineRule="exact"/>
              <w:rPr>
                <w:sz w:val="20"/>
                <w:szCs w:val="20"/>
                <w:color w:val="auto"/>
              </w:rPr>
            </w:pPr>
            <w:r>
              <w:rPr>
                <w:rFonts w:ascii="Arial" w:cs="Arial" w:eastAsia="Arial" w:hAnsi="Arial"/>
                <w:sz w:val="14"/>
                <w:szCs w:val="14"/>
                <w:color w:val="auto"/>
              </w:rPr>
              <w:t>5</w:t>
            </w:r>
          </w:p>
        </w:tc>
        <w:tc>
          <w:tcPr>
            <w:tcW w:w="22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50"/>
              <w:spacing w:after="0" w:line="157" w:lineRule="exact"/>
              <w:rPr>
                <w:sz w:val="20"/>
                <w:szCs w:val="20"/>
                <w:color w:val="auto"/>
              </w:rPr>
            </w:pPr>
            <w:r>
              <w:rPr>
                <w:rFonts w:ascii="Arial" w:cs="Arial" w:eastAsia="Arial" w:hAnsi="Arial"/>
                <w:sz w:val="14"/>
                <w:szCs w:val="14"/>
                <w:color w:val="auto"/>
              </w:rPr>
              <w:t>21</w:t>
            </w:r>
          </w:p>
        </w:tc>
        <w:tc>
          <w:tcPr>
            <w:tcW w:w="560" w:type="dxa"/>
            <w:vAlign w:val="bottom"/>
            <w:tcBorders>
              <w:bottom w:val="single" w:sz="8" w:color="auto"/>
            </w:tcBorders>
          </w:tcPr>
          <w:p>
            <w:pPr>
              <w:jc w:val="right"/>
              <w:ind w:right="128"/>
              <w:spacing w:after="0" w:line="157" w:lineRule="exact"/>
              <w:rPr>
                <w:sz w:val="20"/>
                <w:szCs w:val="20"/>
                <w:color w:val="auto"/>
              </w:rPr>
            </w:pPr>
            <w:r>
              <w:rPr>
                <w:rFonts w:ascii="Arial" w:cs="Arial" w:eastAsia="Arial" w:hAnsi="Arial"/>
                <w:sz w:val="14"/>
                <w:szCs w:val="14"/>
                <w:color w:val="auto"/>
              </w:rPr>
              <w:t>14</w:t>
            </w:r>
          </w:p>
        </w:tc>
      </w:tr>
      <w:tr>
        <w:trPr>
          <w:trHeight w:val="156"/>
        </w:trPr>
        <w:tc>
          <w:tcPr>
            <w:tcW w:w="4200" w:type="dxa"/>
            <w:vAlign w:val="bottom"/>
            <w:tcBorders>
              <w:bottom w:val="single" w:sz="8" w:color="auto"/>
            </w:tcBorders>
          </w:tcPr>
          <w:p>
            <w:pPr>
              <w:spacing w:after="0" w:line="155" w:lineRule="exact"/>
              <w:rPr>
                <w:sz w:val="20"/>
                <w:szCs w:val="20"/>
                <w:color w:val="auto"/>
              </w:rPr>
            </w:pPr>
            <w:r>
              <w:rPr>
                <w:rFonts w:ascii="Arial" w:cs="Arial" w:eastAsia="Arial" w:hAnsi="Arial"/>
                <w:sz w:val="14"/>
                <w:szCs w:val="14"/>
                <w:color w:val="auto"/>
              </w:rPr>
              <w:t>Total</w:t>
            </w:r>
          </w:p>
        </w:tc>
        <w:tc>
          <w:tcPr>
            <w:tcW w:w="680" w:type="dxa"/>
            <w:vAlign w:val="bottom"/>
            <w:tcBorders>
              <w:bottom w:val="single" w:sz="8" w:color="auto"/>
            </w:tcBorders>
          </w:tcPr>
          <w:p>
            <w:pPr>
              <w:jc w:val="right"/>
              <w:ind w:right="170"/>
              <w:spacing w:after="0" w:line="155" w:lineRule="exact"/>
              <w:rPr>
                <w:sz w:val="20"/>
                <w:szCs w:val="20"/>
                <w:color w:val="auto"/>
              </w:rPr>
            </w:pPr>
            <w:r>
              <w:rPr>
                <w:rFonts w:ascii="Arial" w:cs="Arial" w:eastAsia="Arial" w:hAnsi="Arial"/>
                <w:sz w:val="14"/>
                <w:szCs w:val="14"/>
                <w:color w:val="auto"/>
              </w:rPr>
              <w:t>1,200</w:t>
            </w:r>
          </w:p>
        </w:tc>
        <w:tc>
          <w:tcPr>
            <w:tcW w:w="540" w:type="dxa"/>
            <w:vAlign w:val="bottom"/>
            <w:tcBorders>
              <w:bottom w:val="single" w:sz="8" w:color="auto"/>
            </w:tcBorders>
          </w:tcPr>
          <w:p>
            <w:pPr>
              <w:ind w:left="80"/>
              <w:spacing w:after="0" w:line="155" w:lineRule="exact"/>
              <w:rPr>
                <w:sz w:val="20"/>
                <w:szCs w:val="20"/>
                <w:color w:val="auto"/>
              </w:rPr>
            </w:pPr>
            <w:r>
              <w:rPr>
                <w:rFonts w:ascii="Arial" w:cs="Arial" w:eastAsia="Arial" w:hAnsi="Arial"/>
                <w:sz w:val="14"/>
                <w:szCs w:val="14"/>
                <w:color w:val="auto"/>
              </w:rPr>
              <w:t>718</w:t>
            </w:r>
          </w:p>
        </w:tc>
        <w:tc>
          <w:tcPr>
            <w:tcW w:w="24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(178)</w:t>
            </w:r>
          </w:p>
        </w:tc>
        <w:tc>
          <w:tcPr>
            <w:tcW w:w="6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(144)</w:t>
            </w:r>
          </w:p>
        </w:tc>
        <w:tc>
          <w:tcPr>
            <w:tcW w:w="22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(158)</w:t>
            </w:r>
          </w:p>
        </w:tc>
        <w:tc>
          <w:tcPr>
            <w:tcW w:w="6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(136)</w:t>
            </w:r>
          </w:p>
        </w:tc>
        <w:tc>
          <w:tcPr>
            <w:tcW w:w="24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211</w:t>
            </w:r>
          </w:p>
        </w:tc>
        <w:tc>
          <w:tcPr>
            <w:tcW w:w="580" w:type="dxa"/>
            <w:vAlign w:val="bottom"/>
            <w:tcBorders>
              <w:bottom w:val="single" w:sz="8" w:color="auto"/>
            </w:tcBorders>
          </w:tcPr>
          <w:p>
            <w:pPr>
              <w:jc w:val="right"/>
              <w:ind w:right="10"/>
              <w:spacing w:after="0" w:line="155" w:lineRule="exact"/>
              <w:rPr>
                <w:sz w:val="20"/>
                <w:szCs w:val="20"/>
                <w:color w:val="auto"/>
              </w:rPr>
            </w:pPr>
            <w:r>
              <w:rPr>
                <w:rFonts w:ascii="Arial" w:cs="Arial" w:eastAsia="Arial" w:hAnsi="Arial"/>
                <w:sz w:val="14"/>
                <w:szCs w:val="14"/>
                <w:color w:val="auto"/>
              </w:rPr>
              <w:t>135</w:t>
            </w:r>
          </w:p>
        </w:tc>
        <w:tc>
          <w:tcPr>
            <w:tcW w:w="22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50"/>
              <w:spacing w:after="0" w:line="155" w:lineRule="exact"/>
              <w:rPr>
                <w:sz w:val="20"/>
                <w:szCs w:val="20"/>
                <w:color w:val="auto"/>
              </w:rPr>
            </w:pPr>
            <w:r>
              <w:rPr>
                <w:rFonts w:ascii="Arial" w:cs="Arial" w:eastAsia="Arial" w:hAnsi="Arial"/>
                <w:sz w:val="14"/>
                <w:szCs w:val="14"/>
                <w:color w:val="auto"/>
              </w:rPr>
              <w:t>1,075</w:t>
            </w:r>
          </w:p>
        </w:tc>
        <w:tc>
          <w:tcPr>
            <w:tcW w:w="560" w:type="dxa"/>
            <w:vAlign w:val="bottom"/>
            <w:tcBorders>
              <w:bottom w:val="single" w:sz="8" w:color="auto"/>
            </w:tcBorders>
          </w:tcPr>
          <w:p>
            <w:pPr>
              <w:jc w:val="right"/>
              <w:ind w:right="128"/>
              <w:spacing w:after="0" w:line="155" w:lineRule="exact"/>
              <w:rPr>
                <w:sz w:val="20"/>
                <w:szCs w:val="20"/>
                <w:color w:val="auto"/>
              </w:rPr>
            </w:pPr>
            <w:r>
              <w:rPr>
                <w:rFonts w:ascii="Arial" w:cs="Arial" w:eastAsia="Arial" w:hAnsi="Arial"/>
                <w:sz w:val="14"/>
                <w:szCs w:val="14"/>
                <w:color w:val="auto"/>
              </w:rPr>
              <w:t>573</w:t>
            </w:r>
          </w:p>
        </w:tc>
      </w:tr>
    </w:tbl>
    <w:p>
      <w:pPr>
        <w:spacing w:after="0" w:line="32" w:lineRule="exact"/>
        <w:rPr>
          <w:sz w:val="20"/>
          <w:szCs w:val="20"/>
          <w:color w:val="auto"/>
        </w:rPr>
      </w:pPr>
    </w:p>
    <w:p>
      <w:pPr>
        <w:ind w:left="180" w:hanging="172"/>
        <w:spacing w:after="0"/>
        <w:tabs>
          <w:tab w:leader="none" w:pos="180" w:val="left"/>
        </w:tabs>
        <w:numPr>
          <w:ilvl w:val="0"/>
          <w:numId w:val="163"/>
        </w:numPr>
        <w:rPr>
          <w:rFonts w:ascii="Arial" w:cs="Arial" w:eastAsia="Arial" w:hAnsi="Arial"/>
          <w:sz w:val="11"/>
          <w:szCs w:val="11"/>
          <w:color w:val="auto"/>
        </w:rPr>
      </w:pPr>
      <w:r>
        <w:rPr>
          <w:rFonts w:ascii="Arial" w:cs="Arial" w:eastAsia="Arial" w:hAnsi="Arial"/>
          <w:sz w:val="11"/>
          <w:szCs w:val="11"/>
          <w:color w:val="auto"/>
        </w:rPr>
        <w:t>Wells in the process of drilling includes exploratory wells temporarily suspended.</w:t>
      </w:r>
    </w:p>
    <w:p>
      <w:pPr>
        <w:ind w:left="180" w:hanging="172"/>
        <w:spacing w:after="0" w:line="230" w:lineRule="auto"/>
        <w:tabs>
          <w:tab w:leader="none" w:pos="180" w:val="left"/>
        </w:tabs>
        <w:numPr>
          <w:ilvl w:val="0"/>
          <w:numId w:val="163"/>
        </w:numPr>
        <w:rPr>
          <w:rFonts w:ascii="Arial" w:cs="Arial" w:eastAsia="Arial" w:hAnsi="Arial"/>
          <w:sz w:val="11"/>
          <w:szCs w:val="11"/>
          <w:color w:val="auto"/>
        </w:rPr>
      </w:pPr>
      <w:r>
        <w:rPr>
          <w:rFonts w:ascii="Arial" w:cs="Arial" w:eastAsia="Arial" w:hAnsi="Arial"/>
          <w:sz w:val="11"/>
          <w:szCs w:val="11"/>
          <w:color w:val="auto"/>
        </w:rPr>
        <w:t>Corrected from 103 gross (63 net) for Asia and 16 gross (9 net) for South America.</w:t>
      </w:r>
    </w:p>
    <w:p>
      <w:pPr>
        <w:ind w:left="180" w:hanging="172"/>
        <w:spacing w:after="0" w:line="230" w:lineRule="auto"/>
        <w:tabs>
          <w:tab w:leader="none" w:pos="180" w:val="left"/>
        </w:tabs>
        <w:numPr>
          <w:ilvl w:val="0"/>
          <w:numId w:val="163"/>
        </w:numPr>
        <w:rPr>
          <w:rFonts w:ascii="Arial" w:cs="Arial" w:eastAsia="Arial" w:hAnsi="Arial"/>
          <w:sz w:val="11"/>
          <w:szCs w:val="11"/>
          <w:color w:val="auto"/>
        </w:rPr>
      </w:pPr>
      <w:r>
        <w:rPr>
          <w:rFonts w:ascii="Arial" w:cs="Arial" w:eastAsia="Arial" w:hAnsi="Arial"/>
          <w:sz w:val="11"/>
          <w:szCs w:val="11"/>
          <w:color w:val="auto"/>
        </w:rPr>
        <w:t>Amended from 186 and 210 for Oceania and Canada respectively to reflect Shell’s working interest effective from January 1, 2014.</w:t>
      </w:r>
    </w:p>
    <w:p>
      <w:pPr>
        <w:ind w:left="180" w:hanging="172"/>
        <w:spacing w:after="0"/>
        <w:tabs>
          <w:tab w:leader="none" w:pos="180" w:val="left"/>
        </w:tabs>
        <w:numPr>
          <w:ilvl w:val="0"/>
          <w:numId w:val="163"/>
        </w:numPr>
        <w:rPr>
          <w:rFonts w:ascii="Arial" w:cs="Arial" w:eastAsia="Arial" w:hAnsi="Arial"/>
          <w:sz w:val="11"/>
          <w:szCs w:val="11"/>
          <w:color w:val="auto"/>
        </w:rPr>
      </w:pPr>
      <w:r>
        <w:rPr>
          <w:rFonts w:ascii="Arial" w:cs="Arial" w:eastAsia="Arial" w:hAnsi="Arial"/>
          <w:sz w:val="11"/>
          <w:szCs w:val="11"/>
          <w:color w:val="auto"/>
        </w:rPr>
        <w:t>Gross reduced from 256 due to a correction and net reduced from 221 due to the combined effect of this correction and a change in Shell’s working interest effective from January 1, 2014.</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7980" w:type="dxa"/>
            <w:vAlign w:val="bottom"/>
            <w:shd w:val="clear" w:color="auto" w:fill="333333"/>
          </w:tcPr>
          <w:p>
            <w:pPr>
              <w:ind w:left="80"/>
              <w:spacing w:after="0"/>
              <w:rPr>
                <w:sz w:val="20"/>
                <w:szCs w:val="20"/>
                <w:color w:val="auto"/>
              </w:rPr>
            </w:pPr>
            <w:r>
              <w:rPr>
                <w:rFonts w:ascii="Arial" w:cs="Arial" w:eastAsia="Arial" w:hAnsi="Arial"/>
                <w:sz w:val="15"/>
                <w:szCs w:val="15"/>
                <w:b w:val="1"/>
                <w:bCs w:val="1"/>
                <w:color w:val="FFFFFF"/>
              </w:rPr>
              <w:t xml:space="preserve">NUMBER OF WELLS IN THE PROCESS OF DEVELOPMENT DRILLING </w:t>
            </w:r>
            <w:r>
              <w:rPr>
                <w:rFonts w:ascii="Arial" w:cs="Arial" w:eastAsia="Arial" w:hAnsi="Arial"/>
                <w:sz w:val="15"/>
                <w:szCs w:val="15"/>
                <w:color w:val="FFFFFF"/>
              </w:rPr>
              <w:t>[A]</w:t>
            </w:r>
          </w:p>
        </w:tc>
        <w:tc>
          <w:tcPr>
            <w:tcW w:w="940" w:type="dxa"/>
            <w:vAlign w:val="bottom"/>
            <w:shd w:val="clear" w:color="auto" w:fill="333333"/>
          </w:tcPr>
          <w:p>
            <w:pPr>
              <w:spacing w:after="0"/>
              <w:rPr>
                <w:sz w:val="14"/>
                <w:szCs w:val="14"/>
                <w:color w:val="auto"/>
              </w:rPr>
            </w:pPr>
          </w:p>
        </w:tc>
        <w:tc>
          <w:tcPr>
            <w:tcW w:w="540" w:type="dxa"/>
            <w:vAlign w:val="bottom"/>
            <w:shd w:val="clear" w:color="auto" w:fill="333333"/>
          </w:tcPr>
          <w:p>
            <w:pPr>
              <w:spacing w:after="0"/>
              <w:rPr>
                <w:sz w:val="14"/>
                <w:szCs w:val="14"/>
                <w:color w:val="auto"/>
              </w:rPr>
            </w:pPr>
          </w:p>
        </w:tc>
        <w:tc>
          <w:tcPr>
            <w:tcW w:w="360" w:type="dxa"/>
            <w:vAlign w:val="bottom"/>
            <w:shd w:val="clear" w:color="auto" w:fill="333333"/>
          </w:tcPr>
          <w:p>
            <w:pPr>
              <w:spacing w:after="0"/>
              <w:rPr>
                <w:sz w:val="14"/>
                <w:szCs w:val="14"/>
                <w:color w:val="auto"/>
              </w:rPr>
            </w:pPr>
          </w:p>
        </w:tc>
        <w:tc>
          <w:tcPr>
            <w:tcW w:w="920" w:type="dxa"/>
            <w:vAlign w:val="bottom"/>
            <w:shd w:val="clear" w:color="auto" w:fill="333333"/>
          </w:tcPr>
          <w:p>
            <w:pPr>
              <w:spacing w:after="0"/>
              <w:rPr>
                <w:sz w:val="14"/>
                <w:szCs w:val="14"/>
                <w:color w:val="auto"/>
              </w:rPr>
            </w:pPr>
          </w:p>
        </w:tc>
        <w:tc>
          <w:tcPr>
            <w:tcW w:w="680" w:type="dxa"/>
            <w:vAlign w:val="bottom"/>
            <w:shd w:val="clear" w:color="auto" w:fill="333333"/>
          </w:tcPr>
          <w:p>
            <w:pPr>
              <w:jc w:val="right"/>
              <w:ind w:right="148"/>
              <w:spacing w:after="0"/>
              <w:rPr>
                <w:sz w:val="20"/>
                <w:szCs w:val="20"/>
                <w:color w:val="auto"/>
              </w:rPr>
            </w:pPr>
            <w:r>
              <w:rPr>
                <w:rFonts w:ascii="Arial" w:cs="Arial" w:eastAsia="Arial" w:hAnsi="Arial"/>
                <w:sz w:val="15"/>
                <w:szCs w:val="15"/>
                <w:color w:val="FFFFFF"/>
              </w:rPr>
              <w:t>2014</w:t>
            </w:r>
          </w:p>
        </w:tc>
      </w:tr>
      <w:tr>
        <w:trPr>
          <w:trHeight w:val="135"/>
        </w:trPr>
        <w:tc>
          <w:tcPr>
            <w:tcW w:w="7980" w:type="dxa"/>
            <w:vAlign w:val="bottom"/>
          </w:tcPr>
          <w:p>
            <w:pPr>
              <w:spacing w:after="0"/>
              <w:rPr>
                <w:sz w:val="11"/>
                <w:szCs w:val="11"/>
                <w:color w:val="auto"/>
              </w:rPr>
            </w:pPr>
          </w:p>
        </w:tc>
        <w:tc>
          <w:tcPr>
            <w:tcW w:w="1840" w:type="dxa"/>
            <w:vAlign w:val="bottom"/>
            <w:gridSpan w:val="3"/>
          </w:tcPr>
          <w:p>
            <w:pPr>
              <w:jc w:val="right"/>
              <w:ind w:right="440"/>
              <w:spacing w:after="0" w:line="135" w:lineRule="exact"/>
              <w:rPr>
                <w:sz w:val="20"/>
                <w:szCs w:val="20"/>
                <w:color w:val="auto"/>
              </w:rPr>
            </w:pPr>
            <w:r>
              <w:rPr>
                <w:rFonts w:ascii="Arial" w:cs="Arial" w:eastAsia="Arial" w:hAnsi="Arial"/>
                <w:sz w:val="13"/>
                <w:szCs w:val="13"/>
                <w:color w:val="auto"/>
              </w:rPr>
              <w:t>At January 1</w:t>
            </w:r>
          </w:p>
        </w:tc>
        <w:tc>
          <w:tcPr>
            <w:tcW w:w="1600" w:type="dxa"/>
            <w:vAlign w:val="bottom"/>
            <w:gridSpan w:val="2"/>
          </w:tcPr>
          <w:p>
            <w:pPr>
              <w:jc w:val="right"/>
              <w:ind w:right="148"/>
              <w:spacing w:after="0" w:line="135" w:lineRule="exact"/>
              <w:rPr>
                <w:sz w:val="20"/>
                <w:szCs w:val="20"/>
                <w:color w:val="auto"/>
              </w:rPr>
            </w:pPr>
            <w:r>
              <w:rPr>
                <w:rFonts w:ascii="Arial" w:cs="Arial" w:eastAsia="Arial" w:hAnsi="Arial"/>
                <w:sz w:val="13"/>
                <w:szCs w:val="13"/>
                <w:color w:val="auto"/>
              </w:rPr>
              <w:t>At December 31</w:t>
            </w:r>
          </w:p>
        </w:tc>
      </w:tr>
      <w:tr>
        <w:trPr>
          <w:trHeight w:val="129"/>
        </w:trPr>
        <w:tc>
          <w:tcPr>
            <w:tcW w:w="7980" w:type="dxa"/>
            <w:vAlign w:val="bottom"/>
            <w:tcBorders>
              <w:bottom w:val="single" w:sz="8" w:color="auto"/>
            </w:tcBorders>
          </w:tcPr>
          <w:p>
            <w:pPr>
              <w:spacing w:after="0"/>
              <w:rPr>
                <w:sz w:val="11"/>
                <w:szCs w:val="11"/>
                <w:color w:val="auto"/>
              </w:rPr>
            </w:pPr>
          </w:p>
        </w:tc>
        <w:tc>
          <w:tcPr>
            <w:tcW w:w="940" w:type="dxa"/>
            <w:vAlign w:val="bottom"/>
            <w:tcBorders>
              <w:top w:val="single" w:sz="8" w:color="auto"/>
              <w:bottom w:val="single" w:sz="8" w:color="auto"/>
            </w:tcBorders>
          </w:tcPr>
          <w:p>
            <w:pPr>
              <w:jc w:val="right"/>
              <w:ind w:right="150"/>
              <w:spacing w:after="0" w:line="129" w:lineRule="exact"/>
              <w:rPr>
                <w:sz w:val="20"/>
                <w:szCs w:val="20"/>
                <w:color w:val="auto"/>
              </w:rPr>
            </w:pPr>
            <w:r>
              <w:rPr>
                <w:rFonts w:ascii="Arial" w:cs="Arial" w:eastAsia="Arial" w:hAnsi="Arial"/>
                <w:sz w:val="13"/>
                <w:szCs w:val="13"/>
                <w:color w:val="auto"/>
              </w:rPr>
              <w:t>Gross</w:t>
            </w:r>
          </w:p>
        </w:tc>
        <w:tc>
          <w:tcPr>
            <w:tcW w:w="540" w:type="dxa"/>
            <w:vAlign w:val="bottom"/>
            <w:tcBorders>
              <w:top w:val="single" w:sz="8" w:color="auto"/>
              <w:bottom w:val="single" w:sz="8" w:color="auto"/>
            </w:tcBorders>
          </w:tcPr>
          <w:p>
            <w:pPr>
              <w:jc w:val="right"/>
              <w:ind w:right="9"/>
              <w:spacing w:after="0" w:line="129" w:lineRule="exact"/>
              <w:rPr>
                <w:sz w:val="20"/>
                <w:szCs w:val="20"/>
                <w:color w:val="auto"/>
              </w:rPr>
            </w:pPr>
            <w:r>
              <w:rPr>
                <w:rFonts w:ascii="Arial" w:cs="Arial" w:eastAsia="Arial" w:hAnsi="Arial"/>
                <w:sz w:val="13"/>
                <w:szCs w:val="13"/>
                <w:color w:val="auto"/>
              </w:rPr>
              <w:t>Net</w:t>
            </w:r>
          </w:p>
        </w:tc>
        <w:tc>
          <w:tcPr>
            <w:tcW w:w="360" w:type="dxa"/>
            <w:vAlign w:val="bottom"/>
            <w:tcBorders>
              <w:bottom w:val="single" w:sz="8" w:color="auto"/>
            </w:tcBorders>
          </w:tcPr>
          <w:p>
            <w:pPr>
              <w:spacing w:after="0"/>
              <w:rPr>
                <w:sz w:val="11"/>
                <w:szCs w:val="11"/>
                <w:color w:val="auto"/>
              </w:rPr>
            </w:pPr>
          </w:p>
        </w:tc>
        <w:tc>
          <w:tcPr>
            <w:tcW w:w="920" w:type="dxa"/>
            <w:vAlign w:val="bottom"/>
            <w:tcBorders>
              <w:top w:val="single" w:sz="8" w:color="auto"/>
              <w:bottom w:val="single" w:sz="8" w:color="auto"/>
            </w:tcBorders>
          </w:tcPr>
          <w:p>
            <w:pPr>
              <w:jc w:val="right"/>
              <w:ind w:right="70"/>
              <w:spacing w:after="0" w:line="129" w:lineRule="exact"/>
              <w:rPr>
                <w:sz w:val="20"/>
                <w:szCs w:val="20"/>
                <w:color w:val="auto"/>
              </w:rPr>
            </w:pPr>
            <w:r>
              <w:rPr>
                <w:rFonts w:ascii="Arial" w:cs="Arial" w:eastAsia="Arial" w:hAnsi="Arial"/>
                <w:sz w:val="13"/>
                <w:szCs w:val="13"/>
                <w:color w:val="auto"/>
              </w:rPr>
              <w:t>Gross</w:t>
            </w:r>
          </w:p>
        </w:tc>
        <w:tc>
          <w:tcPr>
            <w:tcW w:w="680" w:type="dxa"/>
            <w:vAlign w:val="bottom"/>
            <w:tcBorders>
              <w:top w:val="single" w:sz="8" w:color="auto"/>
              <w:bottom w:val="single" w:sz="8" w:color="auto"/>
            </w:tcBorders>
          </w:tcPr>
          <w:p>
            <w:pPr>
              <w:jc w:val="right"/>
              <w:ind w:right="148"/>
              <w:spacing w:after="0" w:line="129" w:lineRule="exact"/>
              <w:rPr>
                <w:sz w:val="20"/>
                <w:szCs w:val="20"/>
                <w:color w:val="auto"/>
              </w:rPr>
            </w:pPr>
            <w:r>
              <w:rPr>
                <w:rFonts w:ascii="Arial" w:cs="Arial" w:eastAsia="Arial" w:hAnsi="Arial"/>
                <w:sz w:val="13"/>
                <w:szCs w:val="13"/>
                <w:color w:val="auto"/>
              </w:rPr>
              <w:t>Net</w:t>
            </w:r>
          </w:p>
        </w:tc>
      </w:tr>
      <w:tr>
        <w:trPr>
          <w:trHeight w:val="160"/>
        </w:trPr>
        <w:tc>
          <w:tcPr>
            <w:tcW w:w="7980" w:type="dxa"/>
            <w:vAlign w:val="bottom"/>
          </w:tcPr>
          <w:p>
            <w:pPr>
              <w:spacing w:after="0"/>
              <w:rPr>
                <w:sz w:val="20"/>
                <w:szCs w:val="20"/>
                <w:color w:val="auto"/>
              </w:rPr>
            </w:pPr>
            <w:r>
              <w:rPr>
                <w:rFonts w:ascii="Arial" w:cs="Arial" w:eastAsia="Arial" w:hAnsi="Arial"/>
                <w:sz w:val="14"/>
                <w:szCs w:val="14"/>
                <w:color w:val="auto"/>
              </w:rPr>
              <w:t>Europe</w:t>
            </w:r>
          </w:p>
        </w:tc>
        <w:tc>
          <w:tcPr>
            <w:tcW w:w="940" w:type="dxa"/>
            <w:vAlign w:val="bottom"/>
          </w:tcPr>
          <w:p>
            <w:pPr>
              <w:jc w:val="right"/>
              <w:ind w:right="150"/>
              <w:spacing w:after="0"/>
              <w:rPr>
                <w:sz w:val="20"/>
                <w:szCs w:val="20"/>
                <w:color w:val="auto"/>
              </w:rPr>
            </w:pPr>
            <w:r>
              <w:rPr>
                <w:rFonts w:ascii="Arial" w:cs="Arial" w:eastAsia="Arial" w:hAnsi="Arial"/>
                <w:sz w:val="14"/>
                <w:szCs w:val="14"/>
                <w:color w:val="auto"/>
              </w:rPr>
              <w:t>13</w:t>
            </w:r>
          </w:p>
        </w:tc>
        <w:tc>
          <w:tcPr>
            <w:tcW w:w="540" w:type="dxa"/>
            <w:vAlign w:val="bottom"/>
          </w:tcPr>
          <w:p>
            <w:pPr>
              <w:jc w:val="right"/>
              <w:ind w:right="9"/>
              <w:spacing w:after="0"/>
              <w:rPr>
                <w:sz w:val="20"/>
                <w:szCs w:val="20"/>
                <w:color w:val="auto"/>
              </w:rPr>
            </w:pPr>
            <w:r>
              <w:rPr>
                <w:rFonts w:ascii="Arial" w:cs="Arial" w:eastAsia="Arial" w:hAnsi="Arial"/>
                <w:sz w:val="14"/>
                <w:szCs w:val="14"/>
                <w:color w:val="auto"/>
              </w:rPr>
              <w:t>3</w:t>
            </w:r>
          </w:p>
        </w:tc>
        <w:tc>
          <w:tcPr>
            <w:tcW w:w="360" w:type="dxa"/>
            <w:vAlign w:val="bottom"/>
          </w:tcPr>
          <w:p>
            <w:pPr>
              <w:spacing w:after="0"/>
              <w:rPr>
                <w:sz w:val="13"/>
                <w:szCs w:val="13"/>
                <w:color w:val="auto"/>
              </w:rPr>
            </w:pPr>
          </w:p>
        </w:tc>
        <w:tc>
          <w:tcPr>
            <w:tcW w:w="920" w:type="dxa"/>
            <w:vAlign w:val="bottom"/>
          </w:tcPr>
          <w:p>
            <w:pPr>
              <w:jc w:val="right"/>
              <w:ind w:right="70"/>
              <w:spacing w:after="0"/>
              <w:rPr>
                <w:sz w:val="20"/>
                <w:szCs w:val="20"/>
                <w:color w:val="auto"/>
              </w:rPr>
            </w:pPr>
            <w:r>
              <w:rPr>
                <w:rFonts w:ascii="Arial" w:cs="Arial" w:eastAsia="Arial" w:hAnsi="Arial"/>
                <w:sz w:val="14"/>
                <w:szCs w:val="14"/>
                <w:color w:val="auto"/>
              </w:rPr>
              <w:t>13</w:t>
            </w:r>
          </w:p>
        </w:tc>
        <w:tc>
          <w:tcPr>
            <w:tcW w:w="680" w:type="dxa"/>
            <w:vAlign w:val="bottom"/>
          </w:tcPr>
          <w:p>
            <w:pPr>
              <w:jc w:val="right"/>
              <w:ind w:right="148"/>
              <w:spacing w:after="0"/>
              <w:rPr>
                <w:sz w:val="20"/>
                <w:szCs w:val="20"/>
                <w:color w:val="auto"/>
              </w:rPr>
            </w:pPr>
            <w:r>
              <w:rPr>
                <w:rFonts w:ascii="Arial" w:cs="Arial" w:eastAsia="Arial" w:hAnsi="Arial"/>
                <w:sz w:val="14"/>
                <w:szCs w:val="14"/>
                <w:color w:val="auto"/>
              </w:rPr>
              <w:t>3</w:t>
            </w:r>
          </w:p>
        </w:tc>
      </w:tr>
      <w:tr>
        <w:trPr>
          <w:trHeight w:val="162"/>
        </w:trPr>
        <w:tc>
          <w:tcPr>
            <w:tcW w:w="7980" w:type="dxa"/>
            <w:vAlign w:val="bottom"/>
          </w:tcPr>
          <w:p>
            <w:pPr>
              <w:spacing w:after="0"/>
              <w:rPr>
                <w:sz w:val="20"/>
                <w:szCs w:val="20"/>
                <w:color w:val="auto"/>
              </w:rPr>
            </w:pPr>
            <w:r>
              <w:rPr>
                <w:rFonts w:ascii="Arial" w:cs="Arial" w:eastAsia="Arial" w:hAnsi="Arial"/>
                <w:sz w:val="14"/>
                <w:szCs w:val="14"/>
                <w:color w:val="auto"/>
              </w:rPr>
              <w:t>Asia</w:t>
            </w:r>
          </w:p>
        </w:tc>
        <w:tc>
          <w:tcPr>
            <w:tcW w:w="940" w:type="dxa"/>
            <w:vAlign w:val="bottom"/>
          </w:tcPr>
          <w:p>
            <w:pPr>
              <w:jc w:val="right"/>
              <w:ind w:right="150"/>
              <w:spacing w:after="0"/>
              <w:rPr>
                <w:sz w:val="20"/>
                <w:szCs w:val="20"/>
                <w:color w:val="auto"/>
              </w:rPr>
            </w:pPr>
            <w:r>
              <w:rPr>
                <w:rFonts w:ascii="Arial" w:cs="Arial" w:eastAsia="Arial" w:hAnsi="Arial"/>
                <w:sz w:val="14"/>
                <w:szCs w:val="14"/>
                <w:color w:val="auto"/>
              </w:rPr>
              <w:t>56</w:t>
            </w:r>
          </w:p>
        </w:tc>
        <w:tc>
          <w:tcPr>
            <w:tcW w:w="540" w:type="dxa"/>
            <w:vAlign w:val="bottom"/>
          </w:tcPr>
          <w:p>
            <w:pPr>
              <w:jc w:val="right"/>
              <w:ind w:right="9"/>
              <w:spacing w:after="0"/>
              <w:rPr>
                <w:sz w:val="20"/>
                <w:szCs w:val="20"/>
                <w:color w:val="auto"/>
              </w:rPr>
            </w:pPr>
            <w:r>
              <w:rPr>
                <w:rFonts w:ascii="Arial" w:cs="Arial" w:eastAsia="Arial" w:hAnsi="Arial"/>
                <w:sz w:val="14"/>
                <w:szCs w:val="14"/>
                <w:color w:val="auto"/>
              </w:rPr>
              <w:t>18</w:t>
            </w:r>
          </w:p>
        </w:tc>
        <w:tc>
          <w:tcPr>
            <w:tcW w:w="360" w:type="dxa"/>
            <w:vAlign w:val="bottom"/>
          </w:tcPr>
          <w:p>
            <w:pPr>
              <w:spacing w:after="0"/>
              <w:rPr>
                <w:sz w:val="14"/>
                <w:szCs w:val="14"/>
                <w:color w:val="auto"/>
              </w:rPr>
            </w:pPr>
          </w:p>
        </w:tc>
        <w:tc>
          <w:tcPr>
            <w:tcW w:w="920" w:type="dxa"/>
            <w:vAlign w:val="bottom"/>
          </w:tcPr>
          <w:p>
            <w:pPr>
              <w:jc w:val="right"/>
              <w:ind w:right="70"/>
              <w:spacing w:after="0"/>
              <w:rPr>
                <w:sz w:val="20"/>
                <w:szCs w:val="20"/>
                <w:color w:val="auto"/>
              </w:rPr>
            </w:pPr>
            <w:r>
              <w:rPr>
                <w:rFonts w:ascii="Arial" w:cs="Arial" w:eastAsia="Arial" w:hAnsi="Arial"/>
                <w:sz w:val="14"/>
                <w:szCs w:val="14"/>
                <w:color w:val="auto"/>
              </w:rPr>
              <w:t>60</w:t>
            </w:r>
          </w:p>
        </w:tc>
        <w:tc>
          <w:tcPr>
            <w:tcW w:w="680" w:type="dxa"/>
            <w:vAlign w:val="bottom"/>
          </w:tcPr>
          <w:p>
            <w:pPr>
              <w:jc w:val="right"/>
              <w:ind w:right="148"/>
              <w:spacing w:after="0"/>
              <w:rPr>
                <w:sz w:val="20"/>
                <w:szCs w:val="20"/>
                <w:color w:val="auto"/>
              </w:rPr>
            </w:pPr>
            <w:r>
              <w:rPr>
                <w:rFonts w:ascii="Arial" w:cs="Arial" w:eastAsia="Arial" w:hAnsi="Arial"/>
                <w:sz w:val="14"/>
                <w:szCs w:val="14"/>
                <w:color w:val="auto"/>
              </w:rPr>
              <w:t>18</w:t>
            </w:r>
          </w:p>
        </w:tc>
      </w:tr>
      <w:tr>
        <w:trPr>
          <w:trHeight w:val="162"/>
        </w:trPr>
        <w:tc>
          <w:tcPr>
            <w:tcW w:w="7980" w:type="dxa"/>
            <w:vAlign w:val="bottom"/>
          </w:tcPr>
          <w:p>
            <w:pPr>
              <w:spacing w:after="0"/>
              <w:rPr>
                <w:sz w:val="20"/>
                <w:szCs w:val="20"/>
                <w:color w:val="auto"/>
              </w:rPr>
            </w:pPr>
            <w:r>
              <w:rPr>
                <w:rFonts w:ascii="Arial" w:cs="Arial" w:eastAsia="Arial" w:hAnsi="Arial"/>
                <w:sz w:val="14"/>
                <w:szCs w:val="14"/>
                <w:color w:val="auto"/>
              </w:rPr>
              <w:t>Oceania</w:t>
            </w:r>
          </w:p>
        </w:tc>
        <w:tc>
          <w:tcPr>
            <w:tcW w:w="940" w:type="dxa"/>
            <w:vAlign w:val="bottom"/>
          </w:tcPr>
          <w:p>
            <w:pPr>
              <w:jc w:val="right"/>
              <w:ind w:right="150"/>
              <w:spacing w:after="0"/>
              <w:rPr>
                <w:sz w:val="20"/>
                <w:szCs w:val="20"/>
                <w:color w:val="auto"/>
              </w:rPr>
            </w:pPr>
            <w:r>
              <w:rPr>
                <w:rFonts w:ascii="Arial" w:cs="Arial" w:eastAsia="Arial" w:hAnsi="Arial"/>
                <w:sz w:val="14"/>
                <w:szCs w:val="14"/>
                <w:color w:val="auto"/>
              </w:rPr>
              <w:t>27</w:t>
            </w:r>
          </w:p>
        </w:tc>
        <w:tc>
          <w:tcPr>
            <w:tcW w:w="540" w:type="dxa"/>
            <w:vAlign w:val="bottom"/>
          </w:tcPr>
          <w:p>
            <w:pPr>
              <w:jc w:val="right"/>
              <w:ind w:right="9"/>
              <w:spacing w:after="0"/>
              <w:rPr>
                <w:sz w:val="20"/>
                <w:szCs w:val="20"/>
                <w:color w:val="auto"/>
              </w:rPr>
            </w:pPr>
            <w:r>
              <w:rPr>
                <w:rFonts w:ascii="Arial" w:cs="Arial" w:eastAsia="Arial" w:hAnsi="Arial"/>
                <w:sz w:val="14"/>
                <w:szCs w:val="14"/>
                <w:color w:val="auto"/>
              </w:rPr>
              <w:t>10</w:t>
            </w:r>
          </w:p>
        </w:tc>
        <w:tc>
          <w:tcPr>
            <w:tcW w:w="360" w:type="dxa"/>
            <w:vAlign w:val="bottom"/>
          </w:tcPr>
          <w:p>
            <w:pPr>
              <w:spacing w:after="0"/>
              <w:rPr>
                <w:sz w:val="14"/>
                <w:szCs w:val="14"/>
                <w:color w:val="auto"/>
              </w:rPr>
            </w:pPr>
          </w:p>
        </w:tc>
        <w:tc>
          <w:tcPr>
            <w:tcW w:w="920" w:type="dxa"/>
            <w:vAlign w:val="bottom"/>
          </w:tcPr>
          <w:p>
            <w:pPr>
              <w:jc w:val="right"/>
              <w:ind w:right="70"/>
              <w:spacing w:after="0"/>
              <w:rPr>
                <w:sz w:val="20"/>
                <w:szCs w:val="20"/>
                <w:color w:val="auto"/>
              </w:rPr>
            </w:pPr>
            <w:r>
              <w:rPr>
                <w:rFonts w:ascii="Arial" w:cs="Arial" w:eastAsia="Arial" w:hAnsi="Arial"/>
                <w:sz w:val="14"/>
                <w:szCs w:val="14"/>
                <w:color w:val="auto"/>
              </w:rPr>
              <w:t>19</w:t>
            </w:r>
          </w:p>
        </w:tc>
        <w:tc>
          <w:tcPr>
            <w:tcW w:w="680" w:type="dxa"/>
            <w:vAlign w:val="bottom"/>
          </w:tcPr>
          <w:p>
            <w:pPr>
              <w:jc w:val="right"/>
              <w:ind w:right="148"/>
              <w:spacing w:after="0"/>
              <w:rPr>
                <w:sz w:val="20"/>
                <w:szCs w:val="20"/>
                <w:color w:val="auto"/>
              </w:rPr>
            </w:pPr>
            <w:r>
              <w:rPr>
                <w:rFonts w:ascii="Arial" w:cs="Arial" w:eastAsia="Arial" w:hAnsi="Arial"/>
                <w:sz w:val="14"/>
                <w:szCs w:val="14"/>
                <w:color w:val="auto"/>
              </w:rPr>
              <w:t>9</w:t>
            </w:r>
          </w:p>
        </w:tc>
      </w:tr>
      <w:tr>
        <w:trPr>
          <w:trHeight w:val="162"/>
        </w:trPr>
        <w:tc>
          <w:tcPr>
            <w:tcW w:w="7980" w:type="dxa"/>
            <w:vAlign w:val="bottom"/>
          </w:tcPr>
          <w:p>
            <w:pPr>
              <w:spacing w:after="0"/>
              <w:rPr>
                <w:sz w:val="20"/>
                <w:szCs w:val="20"/>
                <w:color w:val="auto"/>
              </w:rPr>
            </w:pPr>
            <w:r>
              <w:rPr>
                <w:rFonts w:ascii="Arial" w:cs="Arial" w:eastAsia="Arial" w:hAnsi="Arial"/>
                <w:sz w:val="14"/>
                <w:szCs w:val="14"/>
                <w:color w:val="auto"/>
              </w:rPr>
              <w:t>Africa</w:t>
            </w:r>
          </w:p>
        </w:tc>
        <w:tc>
          <w:tcPr>
            <w:tcW w:w="940" w:type="dxa"/>
            <w:vAlign w:val="bottom"/>
          </w:tcPr>
          <w:p>
            <w:pPr>
              <w:jc w:val="right"/>
              <w:ind w:right="150"/>
              <w:spacing w:after="0"/>
              <w:rPr>
                <w:sz w:val="20"/>
                <w:szCs w:val="20"/>
                <w:color w:val="auto"/>
              </w:rPr>
            </w:pPr>
            <w:r>
              <w:rPr>
                <w:rFonts w:ascii="Arial" w:cs="Arial" w:eastAsia="Arial" w:hAnsi="Arial"/>
                <w:sz w:val="14"/>
                <w:szCs w:val="14"/>
                <w:color w:val="auto"/>
              </w:rPr>
              <w:t>9</w:t>
            </w:r>
          </w:p>
        </w:tc>
        <w:tc>
          <w:tcPr>
            <w:tcW w:w="540" w:type="dxa"/>
            <w:vAlign w:val="bottom"/>
          </w:tcPr>
          <w:p>
            <w:pPr>
              <w:jc w:val="right"/>
              <w:ind w:right="9"/>
              <w:spacing w:after="0"/>
              <w:rPr>
                <w:sz w:val="20"/>
                <w:szCs w:val="20"/>
                <w:color w:val="auto"/>
              </w:rPr>
            </w:pPr>
            <w:r>
              <w:rPr>
                <w:rFonts w:ascii="Arial" w:cs="Arial" w:eastAsia="Arial" w:hAnsi="Arial"/>
                <w:sz w:val="14"/>
                <w:szCs w:val="14"/>
                <w:color w:val="auto"/>
              </w:rPr>
              <w:t>5</w:t>
            </w:r>
          </w:p>
        </w:tc>
        <w:tc>
          <w:tcPr>
            <w:tcW w:w="360" w:type="dxa"/>
            <w:vAlign w:val="bottom"/>
          </w:tcPr>
          <w:p>
            <w:pPr>
              <w:spacing w:after="0"/>
              <w:rPr>
                <w:sz w:val="14"/>
                <w:szCs w:val="14"/>
                <w:color w:val="auto"/>
              </w:rPr>
            </w:pPr>
          </w:p>
        </w:tc>
        <w:tc>
          <w:tcPr>
            <w:tcW w:w="920" w:type="dxa"/>
            <w:vAlign w:val="bottom"/>
          </w:tcPr>
          <w:p>
            <w:pPr>
              <w:jc w:val="right"/>
              <w:ind w:right="70"/>
              <w:spacing w:after="0"/>
              <w:rPr>
                <w:sz w:val="20"/>
                <w:szCs w:val="20"/>
                <w:color w:val="auto"/>
              </w:rPr>
            </w:pPr>
            <w:r>
              <w:rPr>
                <w:rFonts w:ascii="Arial" w:cs="Arial" w:eastAsia="Arial" w:hAnsi="Arial"/>
                <w:sz w:val="14"/>
                <w:szCs w:val="14"/>
                <w:color w:val="auto"/>
              </w:rPr>
              <w:t>10</w:t>
            </w:r>
          </w:p>
        </w:tc>
        <w:tc>
          <w:tcPr>
            <w:tcW w:w="680" w:type="dxa"/>
            <w:vAlign w:val="bottom"/>
          </w:tcPr>
          <w:p>
            <w:pPr>
              <w:jc w:val="right"/>
              <w:ind w:right="148"/>
              <w:spacing w:after="0"/>
              <w:rPr>
                <w:sz w:val="20"/>
                <w:szCs w:val="20"/>
                <w:color w:val="auto"/>
              </w:rPr>
            </w:pPr>
            <w:r>
              <w:rPr>
                <w:rFonts w:ascii="Arial" w:cs="Arial" w:eastAsia="Arial" w:hAnsi="Arial"/>
                <w:sz w:val="14"/>
                <w:szCs w:val="14"/>
                <w:color w:val="auto"/>
              </w:rPr>
              <w:t>5</w:t>
            </w:r>
          </w:p>
        </w:tc>
      </w:tr>
      <w:tr>
        <w:trPr>
          <w:trHeight w:val="162"/>
        </w:trPr>
        <w:tc>
          <w:tcPr>
            <w:tcW w:w="7980" w:type="dxa"/>
            <w:vAlign w:val="bottom"/>
          </w:tcPr>
          <w:p>
            <w:pPr>
              <w:spacing w:after="0"/>
              <w:rPr>
                <w:sz w:val="20"/>
                <w:szCs w:val="20"/>
                <w:color w:val="auto"/>
              </w:rPr>
            </w:pPr>
            <w:r>
              <w:rPr>
                <w:rFonts w:ascii="Arial" w:cs="Arial" w:eastAsia="Arial" w:hAnsi="Arial"/>
                <w:sz w:val="14"/>
                <w:szCs w:val="14"/>
                <w:color w:val="auto"/>
              </w:rPr>
              <w:t>North America – USA</w:t>
            </w:r>
          </w:p>
        </w:tc>
        <w:tc>
          <w:tcPr>
            <w:tcW w:w="940" w:type="dxa"/>
            <w:vAlign w:val="bottom"/>
          </w:tcPr>
          <w:p>
            <w:pPr>
              <w:jc w:val="right"/>
              <w:ind w:right="150"/>
              <w:spacing w:after="0"/>
              <w:rPr>
                <w:sz w:val="20"/>
                <w:szCs w:val="20"/>
                <w:color w:val="auto"/>
              </w:rPr>
            </w:pPr>
            <w:r>
              <w:rPr>
                <w:rFonts w:ascii="Arial" w:cs="Arial" w:eastAsia="Arial" w:hAnsi="Arial"/>
                <w:sz w:val="14"/>
                <w:szCs w:val="14"/>
                <w:color w:val="auto"/>
              </w:rPr>
              <w:t>175</w:t>
            </w:r>
          </w:p>
        </w:tc>
        <w:tc>
          <w:tcPr>
            <w:tcW w:w="540" w:type="dxa"/>
            <w:vAlign w:val="bottom"/>
          </w:tcPr>
          <w:p>
            <w:pPr>
              <w:jc w:val="right"/>
              <w:ind w:right="9"/>
              <w:spacing w:after="0"/>
              <w:rPr>
                <w:sz w:val="20"/>
                <w:szCs w:val="20"/>
                <w:color w:val="auto"/>
              </w:rPr>
            </w:pPr>
            <w:r>
              <w:rPr>
                <w:rFonts w:ascii="Arial" w:cs="Arial" w:eastAsia="Arial" w:hAnsi="Arial"/>
                <w:sz w:val="14"/>
                <w:szCs w:val="14"/>
                <w:color w:val="auto"/>
              </w:rPr>
              <w:t>102</w:t>
            </w:r>
          </w:p>
        </w:tc>
        <w:tc>
          <w:tcPr>
            <w:tcW w:w="360" w:type="dxa"/>
            <w:vAlign w:val="bottom"/>
          </w:tcPr>
          <w:p>
            <w:pPr>
              <w:spacing w:after="0"/>
              <w:rPr>
                <w:sz w:val="14"/>
                <w:szCs w:val="14"/>
                <w:color w:val="auto"/>
              </w:rPr>
            </w:pPr>
          </w:p>
        </w:tc>
        <w:tc>
          <w:tcPr>
            <w:tcW w:w="920" w:type="dxa"/>
            <w:vAlign w:val="bottom"/>
          </w:tcPr>
          <w:p>
            <w:pPr>
              <w:jc w:val="right"/>
              <w:ind w:right="70"/>
              <w:spacing w:after="0"/>
              <w:rPr>
                <w:sz w:val="20"/>
                <w:szCs w:val="20"/>
                <w:color w:val="auto"/>
              </w:rPr>
            </w:pPr>
            <w:r>
              <w:rPr>
                <w:rFonts w:ascii="Arial" w:cs="Arial" w:eastAsia="Arial" w:hAnsi="Arial"/>
                <w:sz w:val="14"/>
                <w:szCs w:val="14"/>
                <w:color w:val="auto"/>
              </w:rPr>
              <w:t>47</w:t>
            </w:r>
          </w:p>
        </w:tc>
        <w:tc>
          <w:tcPr>
            <w:tcW w:w="680" w:type="dxa"/>
            <w:vAlign w:val="bottom"/>
          </w:tcPr>
          <w:p>
            <w:pPr>
              <w:jc w:val="right"/>
              <w:ind w:right="148"/>
              <w:spacing w:after="0"/>
              <w:rPr>
                <w:sz w:val="20"/>
                <w:szCs w:val="20"/>
                <w:color w:val="auto"/>
              </w:rPr>
            </w:pPr>
            <w:r>
              <w:rPr>
                <w:rFonts w:ascii="Arial" w:cs="Arial" w:eastAsia="Arial" w:hAnsi="Arial"/>
                <w:sz w:val="14"/>
                <w:szCs w:val="14"/>
                <w:color w:val="auto"/>
              </w:rPr>
              <w:t>37</w:t>
            </w:r>
          </w:p>
        </w:tc>
      </w:tr>
      <w:tr>
        <w:trPr>
          <w:trHeight w:val="162"/>
        </w:trPr>
        <w:tc>
          <w:tcPr>
            <w:tcW w:w="7980" w:type="dxa"/>
            <w:vAlign w:val="bottom"/>
          </w:tcPr>
          <w:p>
            <w:pPr>
              <w:spacing w:after="0"/>
              <w:rPr>
                <w:sz w:val="20"/>
                <w:szCs w:val="20"/>
                <w:color w:val="auto"/>
              </w:rPr>
            </w:pPr>
            <w:r>
              <w:rPr>
                <w:rFonts w:ascii="Arial" w:cs="Arial" w:eastAsia="Arial" w:hAnsi="Arial"/>
                <w:sz w:val="14"/>
                <w:szCs w:val="14"/>
                <w:color w:val="auto"/>
              </w:rPr>
              <w:t>North America – Canada</w:t>
            </w:r>
          </w:p>
        </w:tc>
        <w:tc>
          <w:tcPr>
            <w:tcW w:w="940" w:type="dxa"/>
            <w:vAlign w:val="bottom"/>
          </w:tcPr>
          <w:p>
            <w:pPr>
              <w:jc w:val="right"/>
              <w:ind w:right="150"/>
              <w:spacing w:after="0"/>
              <w:rPr>
                <w:sz w:val="20"/>
                <w:szCs w:val="20"/>
                <w:color w:val="auto"/>
              </w:rPr>
            </w:pPr>
            <w:r>
              <w:rPr>
                <w:rFonts w:ascii="Arial" w:cs="Arial" w:eastAsia="Arial" w:hAnsi="Arial"/>
                <w:sz w:val="14"/>
                <w:szCs w:val="14"/>
                <w:color w:val="auto"/>
              </w:rPr>
              <w:t>8</w:t>
            </w:r>
          </w:p>
        </w:tc>
        <w:tc>
          <w:tcPr>
            <w:tcW w:w="540" w:type="dxa"/>
            <w:vAlign w:val="bottom"/>
          </w:tcPr>
          <w:p>
            <w:pPr>
              <w:jc w:val="right"/>
              <w:ind w:right="9"/>
              <w:spacing w:after="0"/>
              <w:rPr>
                <w:sz w:val="20"/>
                <w:szCs w:val="20"/>
                <w:color w:val="auto"/>
              </w:rPr>
            </w:pPr>
            <w:r>
              <w:rPr>
                <w:rFonts w:ascii="Arial" w:cs="Arial" w:eastAsia="Arial" w:hAnsi="Arial"/>
                <w:sz w:val="14"/>
                <w:szCs w:val="14"/>
                <w:color w:val="auto"/>
              </w:rPr>
              <w:t>6</w:t>
            </w:r>
          </w:p>
        </w:tc>
        <w:tc>
          <w:tcPr>
            <w:tcW w:w="360" w:type="dxa"/>
            <w:vAlign w:val="bottom"/>
          </w:tcPr>
          <w:p>
            <w:pPr>
              <w:spacing w:after="0"/>
              <w:rPr>
                <w:sz w:val="14"/>
                <w:szCs w:val="14"/>
                <w:color w:val="auto"/>
              </w:rPr>
            </w:pPr>
          </w:p>
        </w:tc>
        <w:tc>
          <w:tcPr>
            <w:tcW w:w="920" w:type="dxa"/>
            <w:vAlign w:val="bottom"/>
          </w:tcPr>
          <w:p>
            <w:pPr>
              <w:jc w:val="right"/>
              <w:ind w:right="70"/>
              <w:spacing w:after="0"/>
              <w:rPr>
                <w:sz w:val="20"/>
                <w:szCs w:val="20"/>
                <w:color w:val="auto"/>
              </w:rPr>
            </w:pPr>
            <w:r>
              <w:rPr>
                <w:rFonts w:ascii="Arial" w:cs="Arial" w:eastAsia="Arial" w:hAnsi="Arial"/>
                <w:sz w:val="14"/>
                <w:szCs w:val="14"/>
                <w:color w:val="auto"/>
              </w:rPr>
              <w:t>11</w:t>
            </w:r>
          </w:p>
        </w:tc>
        <w:tc>
          <w:tcPr>
            <w:tcW w:w="680" w:type="dxa"/>
            <w:vAlign w:val="bottom"/>
          </w:tcPr>
          <w:p>
            <w:pPr>
              <w:jc w:val="right"/>
              <w:ind w:right="148"/>
              <w:spacing w:after="0"/>
              <w:rPr>
                <w:sz w:val="20"/>
                <w:szCs w:val="20"/>
                <w:color w:val="auto"/>
              </w:rPr>
            </w:pPr>
            <w:r>
              <w:rPr>
                <w:rFonts w:ascii="Arial" w:cs="Arial" w:eastAsia="Arial" w:hAnsi="Arial"/>
                <w:sz w:val="14"/>
                <w:szCs w:val="14"/>
                <w:color w:val="auto"/>
              </w:rPr>
              <w:t>11</w:t>
            </w:r>
          </w:p>
        </w:tc>
      </w:tr>
      <w:tr>
        <w:trPr>
          <w:trHeight w:val="157"/>
        </w:trPr>
        <w:tc>
          <w:tcPr>
            <w:tcW w:w="7980" w:type="dxa"/>
            <w:vAlign w:val="bottom"/>
            <w:tcBorders>
              <w:bottom w:val="single" w:sz="8" w:color="auto"/>
            </w:tcBorders>
          </w:tcPr>
          <w:p>
            <w:pPr>
              <w:spacing w:after="0" w:line="157" w:lineRule="exact"/>
              <w:rPr>
                <w:sz w:val="20"/>
                <w:szCs w:val="20"/>
                <w:color w:val="auto"/>
              </w:rPr>
            </w:pPr>
            <w:r>
              <w:rPr>
                <w:rFonts w:ascii="Arial" w:cs="Arial" w:eastAsia="Arial" w:hAnsi="Arial"/>
                <w:sz w:val="14"/>
                <w:szCs w:val="14"/>
                <w:color w:val="auto"/>
              </w:rPr>
              <w:t>South America</w:t>
            </w:r>
          </w:p>
        </w:tc>
        <w:tc>
          <w:tcPr>
            <w:tcW w:w="940" w:type="dxa"/>
            <w:vAlign w:val="bottom"/>
            <w:tcBorders>
              <w:bottom w:val="single" w:sz="8" w:color="auto"/>
            </w:tcBorders>
          </w:tcPr>
          <w:p>
            <w:pPr>
              <w:jc w:val="right"/>
              <w:ind w:right="150"/>
              <w:spacing w:after="0" w:line="157" w:lineRule="exact"/>
              <w:rPr>
                <w:sz w:val="20"/>
                <w:szCs w:val="20"/>
                <w:color w:val="auto"/>
              </w:rPr>
            </w:pPr>
            <w:r>
              <w:rPr>
                <w:rFonts w:ascii="Arial" w:cs="Arial" w:eastAsia="Arial" w:hAnsi="Arial"/>
                <w:sz w:val="14"/>
                <w:szCs w:val="14"/>
                <w:color w:val="auto"/>
              </w:rPr>
              <w:t>8</w:t>
            </w:r>
          </w:p>
        </w:tc>
        <w:tc>
          <w:tcPr>
            <w:tcW w:w="540" w:type="dxa"/>
            <w:vAlign w:val="bottom"/>
            <w:tcBorders>
              <w:bottom w:val="single" w:sz="8" w:color="auto"/>
            </w:tcBorders>
          </w:tcPr>
          <w:p>
            <w:pPr>
              <w:jc w:val="right"/>
              <w:ind w:right="9"/>
              <w:spacing w:after="0" w:line="157" w:lineRule="exact"/>
              <w:rPr>
                <w:sz w:val="20"/>
                <w:szCs w:val="20"/>
                <w:color w:val="auto"/>
              </w:rPr>
            </w:pPr>
            <w:r>
              <w:rPr>
                <w:rFonts w:ascii="Arial" w:cs="Arial" w:eastAsia="Arial" w:hAnsi="Arial"/>
                <w:sz w:val="14"/>
                <w:szCs w:val="14"/>
                <w:color w:val="auto"/>
              </w:rPr>
              <w:t>6</w:t>
            </w:r>
          </w:p>
        </w:tc>
        <w:tc>
          <w:tcPr>
            <w:tcW w:w="36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70"/>
              <w:spacing w:after="0" w:line="157" w:lineRule="exact"/>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tcPr>
          <w:p>
            <w:pPr>
              <w:jc w:val="right"/>
              <w:ind w:right="148"/>
              <w:spacing w:after="0" w:line="157" w:lineRule="exact"/>
              <w:rPr>
                <w:sz w:val="20"/>
                <w:szCs w:val="20"/>
                <w:color w:val="auto"/>
              </w:rPr>
            </w:pPr>
            <w:r>
              <w:rPr>
                <w:rFonts w:ascii="Arial" w:cs="Arial" w:eastAsia="Arial" w:hAnsi="Arial"/>
                <w:sz w:val="14"/>
                <w:szCs w:val="14"/>
                <w:color w:val="auto"/>
              </w:rPr>
              <w:t>–</w:t>
            </w:r>
          </w:p>
        </w:tc>
      </w:tr>
      <w:tr>
        <w:trPr>
          <w:trHeight w:val="156"/>
        </w:trPr>
        <w:tc>
          <w:tcPr>
            <w:tcW w:w="7980" w:type="dxa"/>
            <w:vAlign w:val="bottom"/>
            <w:tcBorders>
              <w:bottom w:val="single" w:sz="8" w:color="auto"/>
            </w:tcBorders>
          </w:tcPr>
          <w:p>
            <w:pPr>
              <w:spacing w:after="0" w:line="155" w:lineRule="exact"/>
              <w:rPr>
                <w:sz w:val="20"/>
                <w:szCs w:val="20"/>
                <w:color w:val="auto"/>
              </w:rPr>
            </w:pPr>
            <w:r>
              <w:rPr>
                <w:rFonts w:ascii="Arial" w:cs="Arial" w:eastAsia="Arial" w:hAnsi="Arial"/>
                <w:sz w:val="14"/>
                <w:szCs w:val="14"/>
                <w:color w:val="auto"/>
              </w:rPr>
              <w:t>Total</w:t>
            </w:r>
          </w:p>
        </w:tc>
        <w:tc>
          <w:tcPr>
            <w:tcW w:w="940" w:type="dxa"/>
            <w:vAlign w:val="bottom"/>
            <w:tcBorders>
              <w:bottom w:val="single" w:sz="8" w:color="auto"/>
            </w:tcBorders>
          </w:tcPr>
          <w:p>
            <w:pPr>
              <w:jc w:val="right"/>
              <w:ind w:right="150"/>
              <w:spacing w:after="0" w:line="155" w:lineRule="exact"/>
              <w:rPr>
                <w:sz w:val="20"/>
                <w:szCs w:val="20"/>
                <w:color w:val="auto"/>
              </w:rPr>
            </w:pPr>
            <w:r>
              <w:rPr>
                <w:rFonts w:ascii="Arial" w:cs="Arial" w:eastAsia="Arial" w:hAnsi="Arial"/>
                <w:sz w:val="14"/>
                <w:szCs w:val="14"/>
                <w:color w:val="auto"/>
              </w:rPr>
              <w:t>296</w:t>
            </w:r>
          </w:p>
        </w:tc>
        <w:tc>
          <w:tcPr>
            <w:tcW w:w="540" w:type="dxa"/>
            <w:vAlign w:val="bottom"/>
            <w:tcBorders>
              <w:bottom w:val="single" w:sz="8" w:color="auto"/>
            </w:tcBorders>
          </w:tcPr>
          <w:p>
            <w:pPr>
              <w:jc w:val="right"/>
              <w:ind w:right="9"/>
              <w:spacing w:after="0" w:line="155" w:lineRule="exact"/>
              <w:rPr>
                <w:sz w:val="20"/>
                <w:szCs w:val="20"/>
                <w:color w:val="auto"/>
              </w:rPr>
            </w:pPr>
            <w:r>
              <w:rPr>
                <w:rFonts w:ascii="Arial" w:cs="Arial" w:eastAsia="Arial" w:hAnsi="Arial"/>
                <w:sz w:val="14"/>
                <w:szCs w:val="14"/>
                <w:color w:val="auto"/>
              </w:rPr>
              <w:t>150</w:t>
            </w:r>
          </w:p>
        </w:tc>
        <w:tc>
          <w:tcPr>
            <w:tcW w:w="36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70"/>
              <w:spacing w:after="0" w:line="155" w:lineRule="exact"/>
              <w:rPr>
                <w:sz w:val="20"/>
                <w:szCs w:val="20"/>
                <w:color w:val="auto"/>
              </w:rPr>
            </w:pPr>
            <w:r>
              <w:rPr>
                <w:rFonts w:ascii="Arial" w:cs="Arial" w:eastAsia="Arial" w:hAnsi="Arial"/>
                <w:sz w:val="14"/>
                <w:szCs w:val="14"/>
                <w:color w:val="auto"/>
              </w:rPr>
              <w:t>160</w:t>
            </w:r>
          </w:p>
        </w:tc>
        <w:tc>
          <w:tcPr>
            <w:tcW w:w="680" w:type="dxa"/>
            <w:vAlign w:val="bottom"/>
            <w:tcBorders>
              <w:bottom w:val="single" w:sz="8" w:color="auto"/>
            </w:tcBorders>
          </w:tcPr>
          <w:p>
            <w:pPr>
              <w:jc w:val="right"/>
              <w:ind w:right="148"/>
              <w:spacing w:after="0" w:line="155" w:lineRule="exact"/>
              <w:rPr>
                <w:sz w:val="20"/>
                <w:szCs w:val="20"/>
                <w:color w:val="auto"/>
              </w:rPr>
            </w:pPr>
            <w:r>
              <w:rPr>
                <w:rFonts w:ascii="Arial" w:cs="Arial" w:eastAsia="Arial" w:hAnsi="Arial"/>
                <w:sz w:val="14"/>
                <w:szCs w:val="14"/>
                <w:color w:val="auto"/>
              </w:rPr>
              <w:t>83</w:t>
            </w:r>
          </w:p>
        </w:tc>
      </w:tr>
    </w:tbl>
    <w:p>
      <w:pPr>
        <w:spacing w:after="0" w:line="37" w:lineRule="exact"/>
        <w:rPr>
          <w:sz w:val="20"/>
          <w:szCs w:val="20"/>
          <w:color w:val="auto"/>
        </w:rPr>
      </w:pPr>
    </w:p>
    <w:p>
      <w:pPr>
        <w:ind w:right="200" w:firstLine="8"/>
        <w:spacing w:after="0" w:line="238" w:lineRule="auto"/>
        <w:tabs>
          <w:tab w:leader="none" w:pos="162" w:val="left"/>
        </w:tabs>
        <w:numPr>
          <w:ilvl w:val="0"/>
          <w:numId w:val="164"/>
        </w:numPr>
        <w:rPr>
          <w:rFonts w:ascii="Arial" w:cs="Arial" w:eastAsia="Arial" w:hAnsi="Arial"/>
          <w:sz w:val="11"/>
          <w:szCs w:val="11"/>
          <w:color w:val="auto"/>
        </w:rPr>
      </w:pPr>
      <w:r>
        <w:rPr>
          <w:rFonts w:ascii="Arial" w:cs="Arial" w:eastAsia="Arial" w:hAnsi="Arial"/>
          <w:sz w:val="11"/>
          <w:szCs w:val="11"/>
          <w:color w:val="auto"/>
        </w:rPr>
        <w:t>In addition to the present activities mentioned above, Shell has ongoing activities related to the installation of water flood projects in Europe, Asia and Africa. Activities related to steam floods are in progress in Europe, Asia and North America, and gas compression is being installed in Europe and Asia.</w:t>
      </w:r>
    </w:p>
    <w:p>
      <w:pPr>
        <w:sectPr>
          <w:pgSz w:w="11900" w:h="16838" w:orient="portrait"/>
          <w:cols w:equalWidth="0" w:num="1">
            <w:col w:w="11420"/>
          </w:cols>
          <w:pgMar w:left="240" w:top="460" w:right="239" w:bottom="1440" w:gutter="0" w:footer="0" w:header="0"/>
        </w:sectPr>
      </w:pPr>
    </w:p>
    <w:bookmarkStart w:id="161" w:name="page162"/>
    <w:bookmarkEnd w:id="161"/>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314960</wp:posOffset>
            </wp:positionV>
            <wp:extent cx="3627755" cy="462915"/>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1">
                      <a:extLst>
                        <a:ext uri="{28A0092B-C50C-407E-A947-70E740481C1C}"/>
                      </a:extLst>
                    </a:blip>
                    <a:srcRect/>
                    <a:stretch>
                      <a:fillRect/>
                    </a:stretch>
                  </pic:blipFill>
                  <pic:spPr bwMode="auto">
                    <a:xfrm>
                      <a:off x="0" y="0"/>
                      <a:ext cx="3627755" cy="462915"/>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p>
      <w:pPr>
        <w:spacing w:after="0" w:line="200" w:lineRule="exact"/>
        <w:rPr>
          <w:sz w:val="20"/>
          <w:szCs w:val="20"/>
          <w:color w:val="auto"/>
        </w:rPr>
      </w:pP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419"/>
        </w:trPr>
        <w:tc>
          <w:tcPr>
            <w:tcW w:w="1320" w:type="dxa"/>
            <w:vAlign w:val="bottom"/>
            <w:shd w:val="clear" w:color="auto" w:fill="FF8B00"/>
          </w:tcPr>
          <w:p>
            <w:pPr>
              <w:spacing w:after="0"/>
              <w:rPr>
                <w:sz w:val="24"/>
                <w:szCs w:val="24"/>
                <w:color w:val="auto"/>
              </w:rPr>
            </w:pPr>
          </w:p>
        </w:tc>
        <w:tc>
          <w:tcPr>
            <w:tcW w:w="4400" w:type="dxa"/>
            <w:vAlign w:val="bottom"/>
            <w:shd w:val="clear" w:color="auto" w:fill="FF8B00"/>
          </w:tcPr>
          <w:p>
            <w:pPr>
              <w:spacing w:after="0"/>
              <w:rPr>
                <w:sz w:val="24"/>
                <w:szCs w:val="24"/>
                <w:color w:val="auto"/>
              </w:rPr>
            </w:pPr>
          </w:p>
        </w:tc>
      </w:tr>
      <w:tr>
        <w:trPr>
          <w:trHeight w:val="152"/>
        </w:trPr>
        <w:tc>
          <w:tcPr>
            <w:tcW w:w="1320" w:type="dxa"/>
            <w:vAlign w:val="bottom"/>
          </w:tcPr>
          <w:p>
            <w:pPr>
              <w:jc w:val="right"/>
              <w:ind w:right="746"/>
              <w:spacing w:after="0"/>
              <w:rPr>
                <w:sz w:val="20"/>
                <w:szCs w:val="20"/>
                <w:color w:val="auto"/>
              </w:rPr>
            </w:pPr>
            <w:r>
              <w:rPr>
                <w:rFonts w:ascii="Arial" w:cs="Arial" w:eastAsia="Arial" w:hAnsi="Arial"/>
                <w:sz w:val="11"/>
                <w:szCs w:val="11"/>
                <w:b w:val="1"/>
                <w:bCs w:val="1"/>
                <w:color w:val="333333"/>
              </w:rPr>
              <w:t>160</w:t>
            </w:r>
          </w:p>
        </w:tc>
        <w:tc>
          <w:tcPr>
            <w:tcW w:w="4400" w:type="dxa"/>
            <w:vAlign w:val="bottom"/>
          </w:tcPr>
          <w:p>
            <w:pPr>
              <w:ind w:left="820"/>
              <w:spacing w:after="0"/>
              <w:rPr>
                <w:sz w:val="20"/>
                <w:szCs w:val="20"/>
                <w:color w:val="auto"/>
              </w:rPr>
            </w:pPr>
            <w:r>
              <w:rPr>
                <w:rFonts w:ascii="Arial" w:cs="Arial" w:eastAsia="Arial" w:hAnsi="Arial"/>
                <w:sz w:val="13"/>
                <w:szCs w:val="13"/>
                <w:color w:val="333333"/>
              </w:rPr>
              <w:t>FINANCIAL STATEMENTS AND SUPPLEMENTS</w:t>
            </w:r>
          </w:p>
        </w:tc>
      </w:tr>
    </w:tbl>
    <w:p>
      <w:pPr>
        <w:spacing w:after="0" w:line="155" w:lineRule="exact"/>
        <w:rPr>
          <w:sz w:val="20"/>
          <w:szCs w:val="20"/>
          <w:color w:val="auto"/>
        </w:rPr>
      </w:pPr>
    </w:p>
    <w:p>
      <w:pPr>
        <w:ind w:left="2600"/>
        <w:spacing w:after="0"/>
        <w:rPr>
          <w:sz w:val="20"/>
          <w:szCs w:val="20"/>
          <w:color w:val="auto"/>
        </w:rPr>
      </w:pPr>
      <w:r>
        <w:rPr>
          <w:rFonts w:ascii="Arial" w:cs="Arial" w:eastAsia="Arial" w:hAnsi="Arial"/>
          <w:sz w:val="11"/>
          <w:szCs w:val="11"/>
          <w:color w:val="auto"/>
        </w:rPr>
        <w:t>PARENT COMPANY FINANCIAL STATEMENTS</w:t>
      </w:r>
    </w:p>
    <w:p>
      <w:pPr>
        <w:spacing w:after="0" w:line="59" w:lineRule="exact"/>
        <w:rPr>
          <w:sz w:val="20"/>
          <w:szCs w:val="20"/>
          <w:color w:val="auto"/>
        </w:rPr>
      </w:pPr>
    </w:p>
    <w:p>
      <w:pPr>
        <w:ind w:right="1100"/>
        <w:spacing w:after="0" w:line="249" w:lineRule="auto"/>
        <w:rPr>
          <w:sz w:val="20"/>
          <w:szCs w:val="20"/>
          <w:color w:val="auto"/>
        </w:rPr>
      </w:pPr>
      <w:r>
        <w:rPr>
          <w:rFonts w:ascii="Arial" w:cs="Arial" w:eastAsia="Arial" w:hAnsi="Arial"/>
          <w:sz w:val="31"/>
          <w:szCs w:val="31"/>
          <w:color w:val="auto"/>
        </w:rPr>
        <w:t>INDEPENDENT AUDITORS’ REPORT TO THE MEMBERS OF ROYAL DUTCH SHELL PLC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3473450" cy="8890"/>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2">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spacing w:after="0" w:line="173" w:lineRule="exact"/>
        <w:rPr>
          <w:sz w:val="20"/>
          <w:szCs w:val="20"/>
          <w:color w:val="auto"/>
        </w:rPr>
      </w:pPr>
    </w:p>
    <w:p>
      <w:pPr>
        <w:ind w:right="300"/>
        <w:spacing w:after="0" w:line="339" w:lineRule="auto"/>
        <w:rPr>
          <w:sz w:val="20"/>
          <w:szCs w:val="20"/>
          <w:color w:val="auto"/>
        </w:rPr>
      </w:pPr>
      <w:r>
        <w:rPr>
          <w:rFonts w:ascii="Arial" w:cs="Arial" w:eastAsia="Arial" w:hAnsi="Arial"/>
          <w:sz w:val="18"/>
          <w:szCs w:val="18"/>
          <w:color w:val="auto"/>
        </w:rPr>
        <w:t>REPORT ON THE PARENT COMPANY FINANCIAL STATEMENTS Our opinion</w:t>
      </w:r>
    </w:p>
    <w:p>
      <w:pPr>
        <w:spacing w:after="0" w:line="2" w:lineRule="exact"/>
        <w:rPr>
          <w:sz w:val="20"/>
          <w:szCs w:val="20"/>
          <w:color w:val="auto"/>
        </w:rPr>
      </w:pPr>
    </w:p>
    <w:p>
      <w:pPr>
        <w:spacing w:after="0"/>
        <w:rPr>
          <w:sz w:val="20"/>
          <w:szCs w:val="20"/>
          <w:color w:val="auto"/>
        </w:rPr>
      </w:pPr>
      <w:r>
        <w:rPr>
          <w:rFonts w:ascii="Arial" w:cs="Arial" w:eastAsia="Arial" w:hAnsi="Arial"/>
          <w:sz w:val="14"/>
          <w:szCs w:val="14"/>
          <w:color w:val="auto"/>
        </w:rPr>
        <w:t>In our opinion the Parent Company Financial Statements of Royal Dutch Shell plc (the</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Company):</w:t>
      </w:r>
    </w:p>
    <w:p>
      <w:pPr>
        <w:spacing w:after="0" w:line="217" w:lineRule="exact"/>
        <w:rPr>
          <w:sz w:val="20"/>
          <w:szCs w:val="20"/>
          <w:color w:val="auto"/>
        </w:rPr>
      </w:pPr>
    </w:p>
    <w:p>
      <w:pPr>
        <w:ind w:left="180" w:right="400" w:hanging="172"/>
        <w:spacing w:after="0" w:line="182" w:lineRule="auto"/>
        <w:tabs>
          <w:tab w:leader="none" w:pos="180" w:val="left"/>
        </w:tabs>
        <w:numPr>
          <w:ilvl w:val="0"/>
          <w:numId w:val="165"/>
        </w:numPr>
        <w:rPr>
          <w:rFonts w:ascii="Arial" w:cs="Arial" w:eastAsia="Arial" w:hAnsi="Arial"/>
          <w:sz w:val="23"/>
          <w:szCs w:val="23"/>
          <w:color w:val="auto"/>
          <w:vertAlign w:val="superscript"/>
        </w:rPr>
      </w:pPr>
      <w:r>
        <w:rPr>
          <w:rFonts w:ascii="Arial" w:cs="Arial" w:eastAsia="Arial" w:hAnsi="Arial"/>
          <w:sz w:val="14"/>
          <w:szCs w:val="14"/>
          <w:color w:val="auto"/>
        </w:rPr>
        <w:t>give a true and fair view of the state of the Company’s affairs as at December 31, 2014, and of its income and cash flows for the year then ended;</w:t>
      </w:r>
    </w:p>
    <w:p>
      <w:pPr>
        <w:spacing w:after="0" w:line="1" w:lineRule="exact"/>
        <w:rPr>
          <w:rFonts w:ascii="Arial" w:cs="Arial" w:eastAsia="Arial" w:hAnsi="Arial"/>
          <w:sz w:val="23"/>
          <w:szCs w:val="23"/>
          <w:color w:val="auto"/>
          <w:vertAlign w:val="superscript"/>
        </w:rPr>
      </w:pPr>
    </w:p>
    <w:p>
      <w:pPr>
        <w:ind w:left="180" w:right="360" w:hanging="172"/>
        <w:spacing w:after="0" w:line="182" w:lineRule="auto"/>
        <w:tabs>
          <w:tab w:leader="none" w:pos="180" w:val="left"/>
        </w:tabs>
        <w:numPr>
          <w:ilvl w:val="0"/>
          <w:numId w:val="165"/>
        </w:numPr>
        <w:rPr>
          <w:rFonts w:ascii="Arial" w:cs="Arial" w:eastAsia="Arial" w:hAnsi="Arial"/>
          <w:sz w:val="23"/>
          <w:szCs w:val="23"/>
          <w:color w:val="auto"/>
          <w:vertAlign w:val="superscript"/>
        </w:rPr>
      </w:pPr>
      <w:r>
        <w:rPr>
          <w:rFonts w:ascii="Arial" w:cs="Arial" w:eastAsia="Arial" w:hAnsi="Arial"/>
          <w:sz w:val="14"/>
          <w:szCs w:val="14"/>
          <w:color w:val="auto"/>
        </w:rPr>
        <w:t>have been properly prepared in accordance with International Financial Reporting Standards (IFRS) as adopted by the European Union; and</w:t>
      </w:r>
    </w:p>
    <w:p>
      <w:pPr>
        <w:spacing w:after="0" w:line="1" w:lineRule="exact"/>
        <w:rPr>
          <w:rFonts w:ascii="Arial" w:cs="Arial" w:eastAsia="Arial" w:hAnsi="Arial"/>
          <w:sz w:val="23"/>
          <w:szCs w:val="23"/>
          <w:color w:val="auto"/>
          <w:vertAlign w:val="superscript"/>
        </w:rPr>
      </w:pPr>
    </w:p>
    <w:p>
      <w:pPr>
        <w:ind w:left="180" w:right="500" w:hanging="172"/>
        <w:spacing w:after="0" w:line="183" w:lineRule="auto"/>
        <w:tabs>
          <w:tab w:leader="none" w:pos="180" w:val="left"/>
        </w:tabs>
        <w:numPr>
          <w:ilvl w:val="0"/>
          <w:numId w:val="165"/>
        </w:numPr>
        <w:rPr>
          <w:rFonts w:ascii="Arial" w:cs="Arial" w:eastAsia="Arial" w:hAnsi="Arial"/>
          <w:sz w:val="24"/>
          <w:szCs w:val="24"/>
          <w:color w:val="auto"/>
          <w:vertAlign w:val="superscript"/>
        </w:rPr>
      </w:pPr>
      <w:r>
        <w:rPr>
          <w:rFonts w:ascii="Arial" w:cs="Arial" w:eastAsia="Arial" w:hAnsi="Arial"/>
          <w:sz w:val="14"/>
          <w:szCs w:val="14"/>
          <w:color w:val="auto"/>
        </w:rPr>
        <w:t>have been prepared in accordance with the requirements of the Companies Act 2006.</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right"/>
        <w:spacing w:after="0"/>
        <w:rPr>
          <w:sz w:val="20"/>
          <w:szCs w:val="20"/>
          <w:color w:val="auto"/>
        </w:rPr>
      </w:pPr>
      <w:r>
        <w:rPr>
          <w:rFonts w:ascii="Arial" w:cs="Arial" w:eastAsia="Arial" w:hAnsi="Arial"/>
          <w:sz w:val="11"/>
          <w:szCs w:val="11"/>
          <w:color w:val="auto"/>
        </w:rPr>
        <w:t>SHELL ANNUAL REPORT AND FORM 20-F 2014</w:t>
      </w:r>
    </w:p>
    <w:p>
      <w:pPr>
        <w:spacing w:after="0" w:line="51" w:lineRule="exact"/>
        <w:rPr>
          <w:sz w:val="20"/>
          <w:szCs w:val="20"/>
          <w:color w:val="auto"/>
        </w:rPr>
      </w:pPr>
    </w:p>
    <w:p>
      <w:pPr>
        <w:spacing w:after="0"/>
        <w:rPr>
          <w:sz w:val="20"/>
          <w:szCs w:val="20"/>
          <w:color w:val="auto"/>
        </w:rPr>
      </w:pPr>
      <w:r>
        <w:rPr>
          <w:rFonts w:ascii="Arial" w:cs="Arial" w:eastAsia="Arial" w:hAnsi="Arial"/>
          <w:sz w:val="18"/>
          <w:szCs w:val="18"/>
          <w:color w:val="auto"/>
        </w:rPr>
        <w:t>OTHER REQUIRED REPORTING</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Consistency of other information</w:t>
      </w:r>
    </w:p>
    <w:p>
      <w:pPr>
        <w:spacing w:after="0" w:line="162" w:lineRule="exact"/>
        <w:rPr>
          <w:sz w:val="20"/>
          <w:szCs w:val="20"/>
          <w:color w:val="auto"/>
        </w:rPr>
      </w:pPr>
    </w:p>
    <w:p>
      <w:pPr>
        <w:spacing w:after="0"/>
        <w:rPr>
          <w:sz w:val="20"/>
          <w:szCs w:val="20"/>
          <w:color w:val="auto"/>
        </w:rPr>
      </w:pPr>
      <w:r>
        <w:rPr>
          <w:rFonts w:ascii="Arial" w:cs="Arial" w:eastAsia="Arial" w:hAnsi="Arial"/>
          <w:sz w:val="13"/>
          <w:szCs w:val="13"/>
          <w:color w:val="auto"/>
        </w:rPr>
        <w:t>COMPANIES ACT 2006 OPINION</w:t>
      </w:r>
    </w:p>
    <w:p>
      <w:pPr>
        <w:ind w:right="240"/>
        <w:spacing w:after="0" w:line="250" w:lineRule="auto"/>
        <w:rPr>
          <w:sz w:val="20"/>
          <w:szCs w:val="20"/>
          <w:color w:val="auto"/>
        </w:rPr>
      </w:pPr>
      <w:r>
        <w:rPr>
          <w:rFonts w:ascii="Arial" w:cs="Arial" w:eastAsia="Arial" w:hAnsi="Arial"/>
          <w:sz w:val="14"/>
          <w:szCs w:val="14"/>
          <w:color w:val="auto"/>
        </w:rPr>
        <w:t>In our opinion, the information given in the Strategic Report and the Directors’ Report for the financial year for which the Parent Company Financial Statements are prepared is consistent with the Parent Company Financial Statements.</w:t>
      </w:r>
    </w:p>
    <w:p>
      <w:pPr>
        <w:spacing w:after="0" w:line="144" w:lineRule="exact"/>
        <w:rPr>
          <w:sz w:val="20"/>
          <w:szCs w:val="20"/>
          <w:color w:val="auto"/>
        </w:rPr>
      </w:pPr>
    </w:p>
    <w:p>
      <w:pPr>
        <w:spacing w:after="0"/>
        <w:rPr>
          <w:sz w:val="20"/>
          <w:szCs w:val="20"/>
          <w:color w:val="auto"/>
        </w:rPr>
      </w:pPr>
      <w:r>
        <w:rPr>
          <w:rFonts w:ascii="Arial" w:cs="Arial" w:eastAsia="Arial" w:hAnsi="Arial"/>
          <w:sz w:val="13"/>
          <w:szCs w:val="13"/>
          <w:color w:val="auto"/>
        </w:rPr>
        <w:t>ISAS (UK AND IRELAND) REPORTING</w:t>
      </w:r>
    </w:p>
    <w:p>
      <w:pPr>
        <w:spacing w:after="0"/>
        <w:rPr>
          <w:sz w:val="20"/>
          <w:szCs w:val="20"/>
          <w:color w:val="auto"/>
        </w:rPr>
      </w:pPr>
      <w:r>
        <w:rPr>
          <w:rFonts w:ascii="Arial" w:cs="Arial" w:eastAsia="Arial" w:hAnsi="Arial"/>
          <w:sz w:val="14"/>
          <w:szCs w:val="14"/>
          <w:color w:val="auto"/>
        </w:rPr>
        <w:t>Under International Standards on Auditing (UK and Ireland) (ISAs (UK and Ireland))</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we are required to report to you if, in our opinion, information in the Annual Report is:</w:t>
      </w:r>
    </w:p>
    <w:p>
      <w:pPr>
        <w:spacing w:after="0" w:line="217" w:lineRule="exact"/>
        <w:rPr>
          <w:sz w:val="20"/>
          <w:szCs w:val="20"/>
          <w:color w:val="auto"/>
        </w:rPr>
      </w:pPr>
    </w:p>
    <w:p>
      <w:pPr>
        <w:ind w:left="160" w:right="740" w:hanging="160"/>
        <w:spacing w:after="0" w:line="182" w:lineRule="auto"/>
        <w:tabs>
          <w:tab w:leader="none" w:pos="160" w:val="left"/>
        </w:tabs>
        <w:numPr>
          <w:ilvl w:val="0"/>
          <w:numId w:val="166"/>
        </w:numPr>
        <w:rPr>
          <w:rFonts w:ascii="Arial" w:cs="Arial" w:eastAsia="Arial" w:hAnsi="Arial"/>
          <w:sz w:val="23"/>
          <w:szCs w:val="23"/>
          <w:color w:val="auto"/>
          <w:vertAlign w:val="superscript"/>
        </w:rPr>
      </w:pPr>
      <w:r>
        <w:rPr>
          <w:rFonts w:ascii="Arial" w:cs="Arial" w:eastAsia="Arial" w:hAnsi="Arial"/>
          <w:sz w:val="14"/>
          <w:szCs w:val="14"/>
          <w:color w:val="auto"/>
        </w:rPr>
        <w:t>materially inconsistent with the information in the audited Parent Company Financial Statements; or</w:t>
      </w:r>
    </w:p>
    <w:p>
      <w:pPr>
        <w:spacing w:after="0" w:line="1" w:lineRule="exact"/>
        <w:rPr>
          <w:rFonts w:ascii="Arial" w:cs="Arial" w:eastAsia="Arial" w:hAnsi="Arial"/>
          <w:sz w:val="23"/>
          <w:szCs w:val="23"/>
          <w:color w:val="auto"/>
          <w:vertAlign w:val="superscript"/>
        </w:rPr>
      </w:pPr>
    </w:p>
    <w:p>
      <w:pPr>
        <w:ind w:left="160" w:right="580" w:hanging="160"/>
        <w:spacing w:after="0" w:line="182" w:lineRule="auto"/>
        <w:tabs>
          <w:tab w:leader="none" w:pos="160" w:val="left"/>
        </w:tabs>
        <w:numPr>
          <w:ilvl w:val="0"/>
          <w:numId w:val="166"/>
        </w:numPr>
        <w:rPr>
          <w:rFonts w:ascii="Arial" w:cs="Arial" w:eastAsia="Arial" w:hAnsi="Arial"/>
          <w:sz w:val="23"/>
          <w:szCs w:val="23"/>
          <w:color w:val="auto"/>
          <w:vertAlign w:val="superscript"/>
        </w:rPr>
      </w:pPr>
      <w:r>
        <w:rPr>
          <w:rFonts w:ascii="Arial" w:cs="Arial" w:eastAsia="Arial" w:hAnsi="Arial"/>
          <w:sz w:val="14"/>
          <w:szCs w:val="14"/>
          <w:color w:val="auto"/>
        </w:rPr>
        <w:t>apparently materially incorrect based on, or materially inconsistent with, our knowledge of the Company acquired in the course of performing our audit; or</w:t>
      </w:r>
    </w:p>
    <w:p>
      <w:pPr>
        <w:spacing w:after="0" w:line="1" w:lineRule="exact"/>
        <w:rPr>
          <w:rFonts w:ascii="Arial" w:cs="Arial" w:eastAsia="Arial" w:hAnsi="Arial"/>
          <w:sz w:val="23"/>
          <w:szCs w:val="23"/>
          <w:color w:val="auto"/>
          <w:vertAlign w:val="superscript"/>
        </w:rPr>
      </w:pPr>
    </w:p>
    <w:p>
      <w:pPr>
        <w:ind w:left="160" w:hanging="160"/>
        <w:spacing w:after="0" w:line="189" w:lineRule="auto"/>
        <w:tabs>
          <w:tab w:leader="none" w:pos="160" w:val="left"/>
        </w:tabs>
        <w:numPr>
          <w:ilvl w:val="0"/>
          <w:numId w:val="166"/>
        </w:numPr>
        <w:rPr>
          <w:rFonts w:ascii="Arial" w:cs="Arial" w:eastAsia="Arial" w:hAnsi="Arial"/>
          <w:sz w:val="19"/>
          <w:szCs w:val="19"/>
          <w:color w:val="auto"/>
          <w:vertAlign w:val="superscript"/>
        </w:rPr>
      </w:pPr>
      <w:r>
        <w:rPr>
          <w:rFonts w:ascii="Arial" w:cs="Arial" w:eastAsia="Arial" w:hAnsi="Arial"/>
          <w:sz w:val="12"/>
          <w:szCs w:val="12"/>
          <w:color w:val="auto"/>
        </w:rPr>
        <w:t>otherwise misleading.</w:t>
      </w:r>
    </w:p>
    <w:p>
      <w:pPr>
        <w:spacing w:after="0" w:line="179" w:lineRule="exact"/>
        <w:rPr>
          <w:sz w:val="20"/>
          <w:szCs w:val="20"/>
          <w:color w:val="auto"/>
        </w:rPr>
      </w:pPr>
    </w:p>
    <w:p>
      <w:pPr>
        <w:spacing w:after="0"/>
        <w:rPr>
          <w:sz w:val="20"/>
          <w:szCs w:val="20"/>
          <w:color w:val="auto"/>
        </w:rPr>
      </w:pPr>
      <w:r>
        <w:rPr>
          <w:rFonts w:ascii="Arial" w:cs="Arial" w:eastAsia="Arial" w:hAnsi="Arial"/>
          <w:sz w:val="14"/>
          <w:szCs w:val="14"/>
          <w:color w:val="auto"/>
        </w:rPr>
        <w:t>We have no exceptions to report arising from this responsibility.</w:t>
      </w:r>
    </w:p>
    <w:p>
      <w:pPr>
        <w:spacing w:after="0" w:line="171" w:lineRule="exact"/>
        <w:rPr>
          <w:sz w:val="20"/>
          <w:szCs w:val="20"/>
          <w:color w:val="auto"/>
        </w:rPr>
      </w:pPr>
    </w:p>
    <w:p>
      <w:pPr>
        <w:sectPr>
          <w:pgSz w:w="11900" w:h="16838" w:orient="portrait"/>
          <w:cols w:equalWidth="0" w:num="2">
            <w:col w:w="5720" w:space="60"/>
            <w:col w:w="5640"/>
          </w:cols>
          <w:pgMar w:left="240" w:top="459" w:right="239" w:bottom="1440" w:gutter="0" w:footer="0" w:header="0"/>
          <w:type w:val="continuous"/>
        </w:sectPr>
      </w:pPr>
    </w:p>
    <w:p>
      <w:pPr>
        <w:ind w:right="220"/>
        <w:spacing w:after="0" w:line="238" w:lineRule="auto"/>
        <w:rPr>
          <w:sz w:val="20"/>
          <w:szCs w:val="20"/>
          <w:color w:val="auto"/>
        </w:rPr>
      </w:pPr>
      <w:r>
        <w:rPr>
          <w:rFonts w:ascii="Arial" w:cs="Arial" w:eastAsia="Arial" w:hAnsi="Arial"/>
          <w:sz w:val="18"/>
          <w:szCs w:val="18"/>
          <w:color w:val="auto"/>
        </w:rPr>
        <w:t>Separate opinion in relation to IFRS as issued by the International Accounting Standards Board (IASB)</w:t>
      </w:r>
    </w:p>
    <w:p>
      <w:pPr>
        <w:ind w:right="20"/>
        <w:spacing w:after="0" w:line="250" w:lineRule="auto"/>
        <w:rPr>
          <w:sz w:val="20"/>
          <w:szCs w:val="20"/>
          <w:color w:val="auto"/>
        </w:rPr>
      </w:pPr>
      <w:r>
        <w:rPr>
          <w:rFonts w:ascii="Arial" w:cs="Arial" w:eastAsia="Arial" w:hAnsi="Arial"/>
          <w:sz w:val="14"/>
          <w:szCs w:val="14"/>
          <w:color w:val="auto"/>
        </w:rPr>
        <w:t>As explained in Note 1 to the Parent Company Financial Statements, the Company, in addition to complying with its legal obligation to apply IFRS as adopted by the European Union, has also applied IFRS as issued by IASB.</w:t>
      </w:r>
    </w:p>
    <w:p>
      <w:pPr>
        <w:spacing w:after="0" w:line="172" w:lineRule="exact"/>
        <w:rPr>
          <w:sz w:val="20"/>
          <w:szCs w:val="20"/>
          <w:color w:val="auto"/>
        </w:rPr>
      </w:pPr>
    </w:p>
    <w:p>
      <w:pPr>
        <w:spacing w:after="0" w:line="258" w:lineRule="auto"/>
        <w:rPr>
          <w:sz w:val="20"/>
          <w:szCs w:val="20"/>
          <w:color w:val="auto"/>
        </w:rPr>
      </w:pPr>
      <w:r>
        <w:rPr>
          <w:rFonts w:ascii="Arial" w:cs="Arial" w:eastAsia="Arial" w:hAnsi="Arial"/>
          <w:sz w:val="14"/>
          <w:szCs w:val="14"/>
          <w:color w:val="auto"/>
        </w:rPr>
        <w:t>In our opinion, the Parent Company Financial Statements comply with IFRS as issued by the IASB.</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What we have audited</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The Parent Company Financial Statements comprise:</w:t>
      </w:r>
    </w:p>
    <w:p>
      <w:pPr>
        <w:spacing w:after="0" w:line="217" w:lineRule="exact"/>
        <w:rPr>
          <w:sz w:val="20"/>
          <w:szCs w:val="20"/>
          <w:color w:val="auto"/>
        </w:rPr>
      </w:pPr>
    </w:p>
    <w:p>
      <w:pPr>
        <w:ind w:left="180" w:right="360" w:hanging="172"/>
        <w:spacing w:after="0" w:line="182" w:lineRule="auto"/>
        <w:tabs>
          <w:tab w:leader="none" w:pos="180" w:val="left"/>
        </w:tabs>
        <w:numPr>
          <w:ilvl w:val="0"/>
          <w:numId w:val="167"/>
        </w:numPr>
        <w:rPr>
          <w:rFonts w:ascii="Arial" w:cs="Arial" w:eastAsia="Arial" w:hAnsi="Arial"/>
          <w:sz w:val="23"/>
          <w:szCs w:val="23"/>
          <w:color w:val="auto"/>
          <w:vertAlign w:val="superscript"/>
        </w:rPr>
      </w:pPr>
      <w:r>
        <w:rPr>
          <w:rFonts w:ascii="Arial" w:cs="Arial" w:eastAsia="Arial" w:hAnsi="Arial"/>
          <w:sz w:val="14"/>
          <w:szCs w:val="14"/>
          <w:color w:val="auto"/>
        </w:rPr>
        <w:t>the Parent Company Statement of Income and Parent Company Statement of Comprehensive Income for the year ended December 31, 2014;</w:t>
      </w:r>
    </w:p>
    <w:p>
      <w:pPr>
        <w:spacing w:after="0" w:line="1" w:lineRule="exact"/>
        <w:rPr>
          <w:rFonts w:ascii="Arial" w:cs="Arial" w:eastAsia="Arial" w:hAnsi="Arial"/>
          <w:sz w:val="23"/>
          <w:szCs w:val="23"/>
          <w:color w:val="auto"/>
          <w:vertAlign w:val="superscript"/>
        </w:rPr>
      </w:pPr>
    </w:p>
    <w:p>
      <w:pPr>
        <w:ind w:left="180" w:hanging="172"/>
        <w:spacing w:after="0" w:line="187" w:lineRule="auto"/>
        <w:tabs>
          <w:tab w:leader="none" w:pos="180" w:val="left"/>
        </w:tabs>
        <w:numPr>
          <w:ilvl w:val="0"/>
          <w:numId w:val="167"/>
        </w:numPr>
        <w:rPr>
          <w:rFonts w:ascii="Arial" w:cs="Arial" w:eastAsia="Arial" w:hAnsi="Arial"/>
          <w:sz w:val="18"/>
          <w:szCs w:val="18"/>
          <w:color w:val="auto"/>
          <w:vertAlign w:val="superscript"/>
        </w:rPr>
      </w:pPr>
      <w:r>
        <w:rPr>
          <w:rFonts w:ascii="Arial" w:cs="Arial" w:eastAsia="Arial" w:hAnsi="Arial"/>
          <w:sz w:val="11"/>
          <w:szCs w:val="11"/>
          <w:color w:val="auto"/>
        </w:rPr>
        <w:t>the Parent Company Balance Sheet as at December 31, 2014;</w:t>
      </w:r>
    </w:p>
    <w:p>
      <w:pPr>
        <w:ind w:left="180" w:right="20" w:hanging="172"/>
        <w:spacing w:after="0" w:line="182" w:lineRule="auto"/>
        <w:tabs>
          <w:tab w:leader="none" w:pos="180" w:val="left"/>
        </w:tabs>
        <w:numPr>
          <w:ilvl w:val="0"/>
          <w:numId w:val="167"/>
        </w:numPr>
        <w:rPr>
          <w:rFonts w:ascii="Arial" w:cs="Arial" w:eastAsia="Arial" w:hAnsi="Arial"/>
          <w:sz w:val="23"/>
          <w:szCs w:val="23"/>
          <w:color w:val="auto"/>
          <w:vertAlign w:val="superscript"/>
        </w:rPr>
      </w:pPr>
      <w:r>
        <w:rPr>
          <w:rFonts w:ascii="Arial" w:cs="Arial" w:eastAsia="Arial" w:hAnsi="Arial"/>
          <w:sz w:val="14"/>
          <w:szCs w:val="14"/>
          <w:color w:val="auto"/>
        </w:rPr>
        <w:t>the Parent Company Statement of Changes in Equity for the year ended December 31, 2014;</w:t>
      </w:r>
    </w:p>
    <w:p>
      <w:pPr>
        <w:spacing w:after="0" w:line="1" w:lineRule="exact"/>
        <w:rPr>
          <w:rFonts w:ascii="Arial" w:cs="Arial" w:eastAsia="Arial" w:hAnsi="Arial"/>
          <w:sz w:val="23"/>
          <w:szCs w:val="23"/>
          <w:color w:val="auto"/>
          <w:vertAlign w:val="superscript"/>
        </w:rPr>
      </w:pPr>
    </w:p>
    <w:p>
      <w:pPr>
        <w:ind w:left="180" w:right="200" w:hanging="172"/>
        <w:spacing w:after="0" w:line="182" w:lineRule="auto"/>
        <w:tabs>
          <w:tab w:leader="none" w:pos="180" w:val="left"/>
        </w:tabs>
        <w:numPr>
          <w:ilvl w:val="0"/>
          <w:numId w:val="167"/>
        </w:numPr>
        <w:rPr>
          <w:rFonts w:ascii="Arial" w:cs="Arial" w:eastAsia="Arial" w:hAnsi="Arial"/>
          <w:sz w:val="23"/>
          <w:szCs w:val="23"/>
          <w:color w:val="auto"/>
          <w:vertAlign w:val="superscript"/>
        </w:rPr>
      </w:pPr>
      <w:r>
        <w:rPr>
          <w:rFonts w:ascii="Arial" w:cs="Arial" w:eastAsia="Arial" w:hAnsi="Arial"/>
          <w:sz w:val="14"/>
          <w:szCs w:val="14"/>
          <w:color w:val="auto"/>
        </w:rPr>
        <w:t>the Parent Company Statement of Cash Flows for the year ended December 31, 2014; and</w:t>
      </w:r>
    </w:p>
    <w:p>
      <w:pPr>
        <w:spacing w:after="0" w:line="1" w:lineRule="exact"/>
        <w:rPr>
          <w:rFonts w:ascii="Arial" w:cs="Arial" w:eastAsia="Arial" w:hAnsi="Arial"/>
          <w:sz w:val="23"/>
          <w:szCs w:val="23"/>
          <w:color w:val="auto"/>
          <w:vertAlign w:val="superscript"/>
        </w:rPr>
      </w:pPr>
    </w:p>
    <w:p>
      <w:pPr>
        <w:ind w:left="180" w:right="100" w:hanging="172"/>
        <w:spacing w:after="0" w:line="183" w:lineRule="auto"/>
        <w:tabs>
          <w:tab w:leader="none" w:pos="180" w:val="left"/>
        </w:tabs>
        <w:numPr>
          <w:ilvl w:val="0"/>
          <w:numId w:val="167"/>
        </w:numPr>
        <w:rPr>
          <w:rFonts w:ascii="Arial" w:cs="Arial" w:eastAsia="Arial" w:hAnsi="Arial"/>
          <w:sz w:val="24"/>
          <w:szCs w:val="24"/>
          <w:color w:val="auto"/>
          <w:vertAlign w:val="superscript"/>
        </w:rPr>
      </w:pPr>
      <w:r>
        <w:rPr>
          <w:rFonts w:ascii="Arial" w:cs="Arial" w:eastAsia="Arial" w:hAnsi="Arial"/>
          <w:sz w:val="14"/>
          <w:szCs w:val="14"/>
          <w:color w:val="auto"/>
        </w:rPr>
        <w:t>the Notes to the Parent Company Financial Statements, which include a summary of significant accounting policies and other explanatory information.</w:t>
      </w:r>
    </w:p>
    <w:p>
      <w:pPr>
        <w:spacing w:after="0" w:line="167" w:lineRule="exact"/>
        <w:rPr>
          <w:sz w:val="20"/>
          <w:szCs w:val="20"/>
          <w:color w:val="auto"/>
        </w:rPr>
      </w:pPr>
    </w:p>
    <w:p>
      <w:pPr>
        <w:ind w:right="240"/>
        <w:spacing w:after="0" w:line="247" w:lineRule="auto"/>
        <w:rPr>
          <w:sz w:val="20"/>
          <w:szCs w:val="20"/>
          <w:color w:val="auto"/>
        </w:rPr>
      </w:pPr>
      <w:r>
        <w:rPr>
          <w:rFonts w:ascii="Arial" w:cs="Arial" w:eastAsia="Arial" w:hAnsi="Arial"/>
          <w:sz w:val="14"/>
          <w:szCs w:val="14"/>
          <w:color w:val="auto"/>
        </w:rPr>
        <w:t>Certain required disclosures have been presented elsewhere in the Annual Report and Form 20-F (the Annual Report), rather than in the Parent Company Financial Statements. These are cross-referenced from the Parent Company Financial Statements and are identified as audited.</w:t>
      </w:r>
    </w:p>
    <w:p>
      <w:pPr>
        <w:spacing w:after="0" w:line="175" w:lineRule="exact"/>
        <w:rPr>
          <w:sz w:val="20"/>
          <w:szCs w:val="20"/>
          <w:color w:val="auto"/>
        </w:rPr>
      </w:pPr>
    </w:p>
    <w:p>
      <w:pPr>
        <w:ind w:right="80"/>
        <w:spacing w:after="0" w:line="250" w:lineRule="auto"/>
        <w:rPr>
          <w:sz w:val="20"/>
          <w:szCs w:val="20"/>
          <w:color w:val="auto"/>
        </w:rPr>
      </w:pPr>
      <w:r>
        <w:rPr>
          <w:rFonts w:ascii="Arial" w:cs="Arial" w:eastAsia="Arial" w:hAnsi="Arial"/>
          <w:sz w:val="14"/>
          <w:szCs w:val="14"/>
          <w:color w:val="auto"/>
        </w:rPr>
        <w:t>The financial reporting framework that has been applied in the preparation of the Parent Company Financial Statements is applicable law and IFRS as adopted by the European Union.</w:t>
      </w:r>
    </w:p>
    <w:p>
      <w:pPr>
        <w:spacing w:after="0" w:line="20" w:lineRule="exact"/>
        <w:rPr>
          <w:sz w:val="20"/>
          <w:szCs w:val="20"/>
          <w:color w:val="auto"/>
        </w:rPr>
      </w:pPr>
      <w:r>
        <w:rPr>
          <w:sz w:val="20"/>
          <w:szCs w:val="20"/>
          <w:color w:val="auto"/>
        </w:rPr>
        <w:br w:type="column"/>
      </w:r>
    </w:p>
    <w:p>
      <w:pPr>
        <w:ind w:right="360"/>
        <w:spacing w:after="0" w:line="238" w:lineRule="auto"/>
        <w:rPr>
          <w:sz w:val="20"/>
          <w:szCs w:val="20"/>
          <w:color w:val="auto"/>
        </w:rPr>
      </w:pPr>
      <w:r>
        <w:rPr>
          <w:rFonts w:ascii="Arial" w:cs="Arial" w:eastAsia="Arial" w:hAnsi="Arial"/>
          <w:sz w:val="18"/>
          <w:szCs w:val="18"/>
          <w:color w:val="auto"/>
        </w:rPr>
        <w:t>Adequacy of accounting records and information and explanations received</w:t>
      </w:r>
    </w:p>
    <w:p>
      <w:pPr>
        <w:spacing w:after="0"/>
        <w:rPr>
          <w:sz w:val="20"/>
          <w:szCs w:val="20"/>
          <w:color w:val="auto"/>
        </w:rPr>
      </w:pPr>
      <w:r>
        <w:rPr>
          <w:rFonts w:ascii="Arial" w:cs="Arial" w:eastAsia="Arial" w:hAnsi="Arial"/>
          <w:sz w:val="14"/>
          <w:szCs w:val="14"/>
          <w:color w:val="auto"/>
        </w:rPr>
        <w:t>Under the Companies Act 2006 we are required to report to you if, in our opinion:</w:t>
      </w:r>
    </w:p>
    <w:p>
      <w:pPr>
        <w:spacing w:after="0" w:line="217" w:lineRule="exact"/>
        <w:rPr>
          <w:sz w:val="20"/>
          <w:szCs w:val="20"/>
          <w:color w:val="auto"/>
        </w:rPr>
      </w:pPr>
    </w:p>
    <w:p>
      <w:pPr>
        <w:ind w:left="160" w:right="260" w:hanging="160"/>
        <w:spacing w:after="0" w:line="182" w:lineRule="auto"/>
        <w:tabs>
          <w:tab w:leader="none" w:pos="160" w:val="left"/>
        </w:tabs>
        <w:numPr>
          <w:ilvl w:val="0"/>
          <w:numId w:val="168"/>
        </w:numPr>
        <w:rPr>
          <w:rFonts w:ascii="Arial" w:cs="Arial" w:eastAsia="Arial" w:hAnsi="Arial"/>
          <w:sz w:val="23"/>
          <w:szCs w:val="23"/>
          <w:color w:val="auto"/>
          <w:vertAlign w:val="superscript"/>
        </w:rPr>
      </w:pPr>
      <w:r>
        <w:rPr>
          <w:rFonts w:ascii="Arial" w:cs="Arial" w:eastAsia="Arial" w:hAnsi="Arial"/>
          <w:sz w:val="14"/>
          <w:szCs w:val="14"/>
          <w:color w:val="auto"/>
        </w:rPr>
        <w:t>we have not received all the information and explanations we require for our audit; or</w:t>
      </w:r>
    </w:p>
    <w:p>
      <w:pPr>
        <w:spacing w:after="0" w:line="1" w:lineRule="exact"/>
        <w:rPr>
          <w:rFonts w:ascii="Arial" w:cs="Arial" w:eastAsia="Arial" w:hAnsi="Arial"/>
          <w:sz w:val="23"/>
          <w:szCs w:val="23"/>
          <w:color w:val="auto"/>
          <w:vertAlign w:val="superscript"/>
        </w:rPr>
      </w:pPr>
    </w:p>
    <w:p>
      <w:pPr>
        <w:ind w:left="160" w:right="300" w:hanging="160"/>
        <w:spacing w:after="0" w:line="182" w:lineRule="auto"/>
        <w:tabs>
          <w:tab w:leader="none" w:pos="160" w:val="left"/>
        </w:tabs>
        <w:numPr>
          <w:ilvl w:val="0"/>
          <w:numId w:val="168"/>
        </w:numPr>
        <w:rPr>
          <w:rFonts w:ascii="Arial" w:cs="Arial" w:eastAsia="Arial" w:hAnsi="Arial"/>
          <w:sz w:val="23"/>
          <w:szCs w:val="23"/>
          <w:color w:val="auto"/>
          <w:vertAlign w:val="superscript"/>
        </w:rPr>
      </w:pPr>
      <w:r>
        <w:rPr>
          <w:rFonts w:ascii="Arial" w:cs="Arial" w:eastAsia="Arial" w:hAnsi="Arial"/>
          <w:sz w:val="14"/>
          <w:szCs w:val="14"/>
          <w:color w:val="auto"/>
        </w:rPr>
        <w:t>adequate accounting records have not been kept by the Company, or returns adequate for our audit have not been received from branches not visited by us; or</w:t>
      </w:r>
    </w:p>
    <w:p>
      <w:pPr>
        <w:spacing w:after="0" w:line="1" w:lineRule="exact"/>
        <w:rPr>
          <w:rFonts w:ascii="Arial" w:cs="Arial" w:eastAsia="Arial" w:hAnsi="Arial"/>
          <w:sz w:val="23"/>
          <w:szCs w:val="23"/>
          <w:color w:val="auto"/>
          <w:vertAlign w:val="superscript"/>
        </w:rPr>
      </w:pPr>
    </w:p>
    <w:p>
      <w:pPr>
        <w:ind w:left="160" w:right="580" w:hanging="160"/>
        <w:spacing w:after="0" w:line="199" w:lineRule="auto"/>
        <w:tabs>
          <w:tab w:leader="none" w:pos="160" w:val="left"/>
        </w:tabs>
        <w:numPr>
          <w:ilvl w:val="0"/>
          <w:numId w:val="168"/>
        </w:numPr>
        <w:rPr>
          <w:rFonts w:ascii="Arial" w:cs="Arial" w:eastAsia="Arial" w:hAnsi="Arial"/>
          <w:sz w:val="24"/>
          <w:szCs w:val="24"/>
          <w:color w:val="auto"/>
          <w:vertAlign w:val="superscript"/>
        </w:rPr>
      </w:pPr>
      <w:r>
        <w:rPr>
          <w:rFonts w:ascii="Arial" w:cs="Arial" w:eastAsia="Arial" w:hAnsi="Arial"/>
          <w:sz w:val="14"/>
          <w:szCs w:val="14"/>
          <w:color w:val="auto"/>
        </w:rPr>
        <w:t>the Parent Company Financial Statements and the part of the Directors’ Remuneration Report to be audited are not in agreement with the accounting records and returns.</w:t>
      </w:r>
    </w:p>
    <w:p>
      <w:pPr>
        <w:spacing w:after="0" w:line="166" w:lineRule="exact"/>
        <w:rPr>
          <w:sz w:val="20"/>
          <w:szCs w:val="20"/>
          <w:color w:val="auto"/>
        </w:rPr>
      </w:pPr>
    </w:p>
    <w:p>
      <w:pPr>
        <w:spacing w:after="0"/>
        <w:rPr>
          <w:sz w:val="20"/>
          <w:szCs w:val="20"/>
          <w:color w:val="auto"/>
        </w:rPr>
      </w:pPr>
      <w:r>
        <w:rPr>
          <w:rFonts w:ascii="Arial" w:cs="Arial" w:eastAsia="Arial" w:hAnsi="Arial"/>
          <w:sz w:val="14"/>
          <w:szCs w:val="14"/>
          <w:color w:val="auto"/>
        </w:rPr>
        <w:t>We have no exceptions to report arising from this responsibility.</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Directors’ remuneration</w:t>
      </w:r>
    </w:p>
    <w:p>
      <w:pPr>
        <w:spacing w:after="0" w:line="162" w:lineRule="exact"/>
        <w:rPr>
          <w:sz w:val="20"/>
          <w:szCs w:val="20"/>
          <w:color w:val="auto"/>
        </w:rPr>
      </w:pPr>
    </w:p>
    <w:p>
      <w:pPr>
        <w:spacing w:after="0"/>
        <w:rPr>
          <w:sz w:val="20"/>
          <w:szCs w:val="20"/>
          <w:color w:val="auto"/>
        </w:rPr>
      </w:pPr>
      <w:r>
        <w:rPr>
          <w:rFonts w:ascii="Arial" w:cs="Arial" w:eastAsia="Arial" w:hAnsi="Arial"/>
          <w:sz w:val="13"/>
          <w:szCs w:val="13"/>
          <w:color w:val="auto"/>
        </w:rPr>
        <w:t>DIRECTORS’ REMUNERATION REPORT – COMPANIES ACT 2006 OPINION</w:t>
      </w:r>
    </w:p>
    <w:p>
      <w:pPr>
        <w:ind w:right="240"/>
        <w:spacing w:after="0" w:line="258" w:lineRule="auto"/>
        <w:rPr>
          <w:sz w:val="20"/>
          <w:szCs w:val="20"/>
          <w:color w:val="auto"/>
        </w:rPr>
      </w:pPr>
      <w:r>
        <w:rPr>
          <w:rFonts w:ascii="Arial" w:cs="Arial" w:eastAsia="Arial" w:hAnsi="Arial"/>
          <w:sz w:val="14"/>
          <w:szCs w:val="14"/>
          <w:color w:val="auto"/>
        </w:rPr>
        <w:t>In our opinion, the part of the Directors’ Remuneration Report to be audited has been properly prepared in accordance with the Companies Act 2006.</w:t>
      </w:r>
    </w:p>
    <w:p>
      <w:pPr>
        <w:spacing w:after="0" w:line="139" w:lineRule="exact"/>
        <w:rPr>
          <w:sz w:val="20"/>
          <w:szCs w:val="20"/>
          <w:color w:val="auto"/>
        </w:rPr>
      </w:pPr>
    </w:p>
    <w:p>
      <w:pPr>
        <w:spacing w:after="0"/>
        <w:rPr>
          <w:sz w:val="20"/>
          <w:szCs w:val="20"/>
          <w:color w:val="auto"/>
        </w:rPr>
      </w:pPr>
      <w:r>
        <w:rPr>
          <w:rFonts w:ascii="Arial" w:cs="Arial" w:eastAsia="Arial" w:hAnsi="Arial"/>
          <w:sz w:val="13"/>
          <w:szCs w:val="13"/>
          <w:color w:val="auto"/>
        </w:rPr>
        <w:t>OTHER COMPANIES ACT 2006 REPORTING</w:t>
      </w:r>
    </w:p>
    <w:p>
      <w:pPr>
        <w:ind w:right="160"/>
        <w:spacing w:after="0" w:line="250" w:lineRule="auto"/>
        <w:rPr>
          <w:sz w:val="20"/>
          <w:szCs w:val="20"/>
          <w:color w:val="auto"/>
        </w:rPr>
      </w:pPr>
      <w:r>
        <w:rPr>
          <w:rFonts w:ascii="Arial" w:cs="Arial" w:eastAsia="Arial" w:hAnsi="Arial"/>
          <w:sz w:val="14"/>
          <w:szCs w:val="14"/>
          <w:color w:val="auto"/>
        </w:rPr>
        <w:t>Under the Companies Act 2006 we are required to report to you if, in our opinion, certain disclosures of Directors’ remuneration specified by law are not made. We have no exceptions to report arising from this responsibility.</w:t>
      </w:r>
    </w:p>
    <w:p>
      <w:pPr>
        <w:spacing w:after="0" w:line="167" w:lineRule="exact"/>
        <w:rPr>
          <w:sz w:val="20"/>
          <w:szCs w:val="20"/>
          <w:color w:val="auto"/>
        </w:rPr>
      </w:pPr>
    </w:p>
    <w:p>
      <w:pPr>
        <w:ind w:right="440"/>
        <w:spacing w:after="0" w:line="246" w:lineRule="auto"/>
        <w:rPr>
          <w:sz w:val="20"/>
          <w:szCs w:val="20"/>
          <w:color w:val="auto"/>
        </w:rPr>
      </w:pPr>
      <w:r>
        <w:rPr>
          <w:rFonts w:ascii="Arial" w:cs="Arial" w:eastAsia="Arial" w:hAnsi="Arial"/>
          <w:sz w:val="18"/>
          <w:szCs w:val="18"/>
          <w:color w:val="auto"/>
        </w:rPr>
        <w:t>RESPONSIBILITIES FOR THE PARENT COMPANY FINANCIAL STATEMENTS AND THE AUDIT</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color w:val="auto"/>
        </w:rPr>
        <w:t>Our responsibilities and those of the Directors</w:t>
      </w:r>
    </w:p>
    <w:p>
      <w:pPr>
        <w:spacing w:after="0" w:line="1" w:lineRule="exact"/>
        <w:rPr>
          <w:sz w:val="20"/>
          <w:szCs w:val="20"/>
          <w:color w:val="auto"/>
        </w:rPr>
      </w:pPr>
    </w:p>
    <w:p>
      <w:pPr>
        <w:jc w:val="both"/>
        <w:ind w:right="280"/>
        <w:spacing w:after="0" w:line="250" w:lineRule="auto"/>
        <w:rPr>
          <w:sz w:val="20"/>
          <w:szCs w:val="20"/>
          <w:color w:val="auto"/>
        </w:rPr>
      </w:pPr>
      <w:r>
        <w:rPr>
          <w:rFonts w:ascii="Arial" w:cs="Arial" w:eastAsia="Arial" w:hAnsi="Arial"/>
          <w:sz w:val="14"/>
          <w:szCs w:val="14"/>
          <w:color w:val="auto"/>
        </w:rPr>
        <w:t>As explained more fully in the Directors’ Responsibilities Statement set out on pages 62 and 63, the Directors are responsible for the preparation of the Parent Company Financial Statements and for being satisfied that they give a true and fair view.</w:t>
      </w:r>
    </w:p>
    <w:p>
      <w:pPr>
        <w:spacing w:after="0" w:line="159" w:lineRule="exact"/>
        <w:rPr>
          <w:sz w:val="20"/>
          <w:szCs w:val="20"/>
          <w:color w:val="auto"/>
        </w:rPr>
      </w:pPr>
    </w:p>
    <w:p>
      <w:pPr>
        <w:ind w:right="160"/>
        <w:spacing w:after="0" w:line="247" w:lineRule="auto"/>
        <w:rPr>
          <w:sz w:val="20"/>
          <w:szCs w:val="20"/>
          <w:color w:val="auto"/>
        </w:rPr>
      </w:pPr>
      <w:r>
        <w:rPr>
          <w:rFonts w:ascii="Arial" w:cs="Arial" w:eastAsia="Arial" w:hAnsi="Arial"/>
          <w:sz w:val="14"/>
          <w:szCs w:val="14"/>
          <w:color w:val="auto"/>
        </w:rPr>
        <w:t>Our responsibility is to audit and express an opinion on the Parent Company Financial Statements in accordance with applicable law and ISAs (UK and Ireland). Those standards require us to comply with the Auditing Practices Board’s Ethical Standards for Auditors.</w:t>
      </w:r>
    </w:p>
    <w:p>
      <w:pPr>
        <w:sectPr>
          <w:pgSz w:w="11900" w:h="16838" w:orient="portrait"/>
          <w:cols w:equalWidth="0" w:num="2">
            <w:col w:w="5480" w:space="300"/>
            <w:col w:w="5640"/>
          </w:cols>
          <w:pgMar w:left="240" w:top="459" w:right="239" w:bottom="1440" w:gutter="0" w:footer="0" w:header="0"/>
          <w:type w:val="continuous"/>
        </w:sectPr>
      </w:pPr>
    </w:p>
    <w:bookmarkStart w:id="162" w:name="page163"/>
    <w:bookmarkEnd w:id="162"/>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3555365</wp:posOffset>
            </wp:positionH>
            <wp:positionV relativeFrom="paragraph">
              <wp:posOffset>314960</wp:posOffset>
            </wp:positionV>
            <wp:extent cx="3696335" cy="462915"/>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4">
                      <a:extLst>
                        <a:ext uri="{28A0092B-C50C-407E-A947-70E740481C1C}"/>
                      </a:extLst>
                    </a:blip>
                    <a:srcRect/>
                    <a:stretch>
                      <a:fillRect/>
                    </a:stretch>
                  </pic:blipFill>
                  <pic:spPr bwMode="auto">
                    <a:xfrm>
                      <a:off x="0" y="0"/>
                      <a:ext cx="3696335" cy="462915"/>
                    </a:xfrm>
                    <a:prstGeom prst="rect">
                      <a:avLst/>
                    </a:prstGeom>
                    <a:noFill/>
                  </pic:spPr>
                </pic:pic>
              </a:graphicData>
            </a:graphic>
          </wp:anchor>
        </w:drawing>
      </w:r>
    </w:p>
    <w:p>
      <w:pPr>
        <w:sectPr>
          <w:pgSz w:w="11900" w:h="16838" w:orient="portrait"/>
          <w:cols w:equalWidth="0" w:num="1">
            <w:col w:w="11220"/>
          </w:cols>
          <w:pgMar w:left="240" w:top="460" w:right="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11"/>
          <w:szCs w:val="11"/>
          <w:color w:val="auto"/>
        </w:rPr>
        <w:t>SHELL ANNUAL REPORT AND FORM 20-F 2014</w:t>
      </w:r>
    </w:p>
    <w:p>
      <w:pPr>
        <w:spacing w:after="0" w:line="57" w:lineRule="exact"/>
        <w:rPr>
          <w:sz w:val="20"/>
          <w:szCs w:val="20"/>
          <w:color w:val="auto"/>
        </w:rPr>
      </w:pPr>
    </w:p>
    <w:p>
      <w:pPr>
        <w:spacing w:after="0" w:line="244" w:lineRule="auto"/>
        <w:rPr>
          <w:sz w:val="20"/>
          <w:szCs w:val="20"/>
          <w:color w:val="auto"/>
        </w:rPr>
      </w:pPr>
      <w:r>
        <w:rPr>
          <w:rFonts w:ascii="Arial" w:cs="Arial" w:eastAsia="Arial" w:hAnsi="Arial"/>
          <w:sz w:val="14"/>
          <w:szCs w:val="14"/>
          <w:color w:val="auto"/>
        </w:rPr>
        <w:t>This report, including the opinions, has been prepared for and only for the Company’s members as a body in accordance with Chapter 3 of Part 16 of the Companies Act 2006 and for no other purpose. We do not, in giving these opinions, accept or assume responsibility for any other purpose or to any other person to whom this report is shown or into whose hands it may come save where expressly agreed by our prior consent in writing.</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spacing w:after="0" w:line="1" w:lineRule="exact"/>
        <w:rPr>
          <w:sz w:val="1"/>
          <w:szCs w:val="1"/>
          <w:color w:val="auto"/>
        </w:rPr>
      </w:pPr>
    </w:p>
    <w:tbl>
      <w:tblPr>
        <w:tblLayout w:type="fixed"/>
        <w:tblInd w:w="660" w:type="dxa"/>
        <w:tblCellMar>
          <w:top w:w="0" w:type="dxa"/>
          <w:left w:w="0" w:type="dxa"/>
          <w:bottom w:w="0" w:type="dxa"/>
          <w:right w:w="0" w:type="dxa"/>
        </w:tblCellMar>
      </w:tblPr>
      <w:tr>
        <w:trPr>
          <w:trHeight w:val="161"/>
        </w:trPr>
        <w:tc>
          <w:tcPr>
            <w:tcW w:w="3520" w:type="dxa"/>
            <w:vAlign w:val="bottom"/>
          </w:tcPr>
          <w:p>
            <w:pPr>
              <w:spacing w:after="0"/>
              <w:rPr>
                <w:sz w:val="20"/>
                <w:szCs w:val="20"/>
                <w:color w:val="auto"/>
              </w:rPr>
            </w:pPr>
            <w:r>
              <w:rPr>
                <w:rFonts w:ascii="Arial" w:cs="Arial" w:eastAsia="Arial" w:hAnsi="Arial"/>
                <w:sz w:val="13"/>
                <w:szCs w:val="13"/>
                <w:color w:val="333333"/>
              </w:rPr>
              <w:t>FINANCIAL STATEMENTS AND SUPPLEMENTS</w:t>
            </w:r>
          </w:p>
        </w:tc>
        <w:tc>
          <w:tcPr>
            <w:tcW w:w="920" w:type="dxa"/>
            <w:vAlign w:val="bottom"/>
          </w:tcPr>
          <w:p>
            <w:pPr>
              <w:jc w:val="right"/>
              <w:spacing w:after="0"/>
              <w:rPr>
                <w:sz w:val="20"/>
                <w:szCs w:val="20"/>
                <w:color w:val="auto"/>
              </w:rPr>
            </w:pPr>
            <w:r>
              <w:rPr>
                <w:rFonts w:ascii="Arial" w:cs="Arial" w:eastAsia="Arial" w:hAnsi="Arial"/>
                <w:sz w:val="11"/>
                <w:szCs w:val="11"/>
                <w:b w:val="1"/>
                <w:bCs w:val="1"/>
                <w:color w:val="333333"/>
              </w:rPr>
              <w:t>161</w:t>
            </w:r>
          </w:p>
        </w:tc>
      </w:tr>
    </w:tbl>
    <w:p>
      <w:pPr>
        <w:spacing w:after="0" w:line="161" w:lineRule="exact"/>
        <w:rPr>
          <w:sz w:val="20"/>
          <w:szCs w:val="20"/>
          <w:color w:val="auto"/>
        </w:rPr>
      </w:pPr>
    </w:p>
    <w:p>
      <w:pPr>
        <w:ind w:left="660"/>
        <w:spacing w:after="0"/>
        <w:rPr>
          <w:sz w:val="20"/>
          <w:szCs w:val="20"/>
          <w:color w:val="auto"/>
        </w:rPr>
      </w:pPr>
      <w:r>
        <w:rPr>
          <w:rFonts w:ascii="Arial" w:cs="Arial" w:eastAsia="Arial" w:hAnsi="Arial"/>
          <w:sz w:val="11"/>
          <w:szCs w:val="11"/>
          <w:color w:val="auto"/>
        </w:rPr>
        <w:t>PARENT COMPANY FINANCIAL STATEMENTS</w:t>
      </w:r>
    </w:p>
    <w:p>
      <w:pPr>
        <w:spacing w:after="0" w:line="57" w:lineRule="exact"/>
        <w:rPr>
          <w:sz w:val="20"/>
          <w:szCs w:val="20"/>
          <w:color w:val="auto"/>
        </w:rPr>
      </w:pPr>
    </w:p>
    <w:p>
      <w:pPr>
        <w:spacing w:after="0" w:line="244" w:lineRule="auto"/>
        <w:rPr>
          <w:sz w:val="20"/>
          <w:szCs w:val="20"/>
          <w:color w:val="auto"/>
        </w:rPr>
      </w:pPr>
      <w:r>
        <w:rPr>
          <w:rFonts w:ascii="Arial" w:cs="Arial" w:eastAsia="Arial" w:hAnsi="Arial"/>
          <w:sz w:val="14"/>
          <w:szCs w:val="14"/>
          <w:color w:val="auto"/>
        </w:rPr>
        <w:t>In addition, we read all the financial and non-financial information in the Annual Report to identify material inconsistencies with the audited Parent Company Financial Statements and to identify any information that is apparently materially incorrect based on, or materially inconsistent with, the knowledge acquired by us in the course of performing the audit. If we become aware of any apparent material misstatements or inconsistencies we consider the implications for our report.</w:t>
      </w:r>
    </w:p>
    <w:p>
      <w:pPr>
        <w:spacing w:after="0" w:line="174" w:lineRule="exact"/>
        <w:rPr>
          <w:sz w:val="20"/>
          <w:szCs w:val="20"/>
          <w:color w:val="auto"/>
        </w:rPr>
      </w:pPr>
    </w:p>
    <w:p>
      <w:pPr>
        <w:sectPr>
          <w:pgSz w:w="11900" w:h="16838" w:orient="portrait"/>
          <w:cols w:equalWidth="0" w:num="2">
            <w:col w:w="5460" w:space="320"/>
            <w:col w:w="5440"/>
          </w:cols>
          <w:pgMar w:left="240" w:top="460" w:right="439" w:bottom="1440" w:gutter="0" w:footer="0" w:header="0"/>
          <w:type w:val="continuous"/>
        </w:sectPr>
      </w:pPr>
    </w:p>
    <w:p>
      <w:pPr>
        <w:spacing w:after="0"/>
        <w:rPr>
          <w:sz w:val="20"/>
          <w:szCs w:val="20"/>
          <w:color w:val="auto"/>
        </w:rPr>
      </w:pPr>
      <w:r>
        <w:rPr>
          <w:rFonts w:ascii="Arial" w:cs="Arial" w:eastAsia="Arial" w:hAnsi="Arial"/>
          <w:sz w:val="18"/>
          <w:szCs w:val="18"/>
          <w:color w:val="auto"/>
        </w:rPr>
        <w:t>What an audit of financial statements involves</w:t>
      </w:r>
    </w:p>
    <w:p>
      <w:pPr>
        <w:spacing w:after="0" w:line="1" w:lineRule="exact"/>
        <w:rPr>
          <w:sz w:val="20"/>
          <w:szCs w:val="20"/>
          <w:color w:val="auto"/>
        </w:rPr>
      </w:pPr>
    </w:p>
    <w:p>
      <w:pPr>
        <w:spacing w:after="0" w:line="245" w:lineRule="auto"/>
        <w:rPr>
          <w:sz w:val="20"/>
          <w:szCs w:val="20"/>
          <w:color w:val="auto"/>
        </w:rPr>
      </w:pPr>
      <w:r>
        <w:rPr>
          <w:rFonts w:ascii="Arial" w:cs="Arial" w:eastAsia="Arial" w:hAnsi="Arial"/>
          <w:sz w:val="14"/>
          <w:szCs w:val="14"/>
          <w:color w:val="auto"/>
        </w:rPr>
        <w:t>We conducted our audit in accordance with ISAs (UK and Ireland). An audit involves obtaining evidence about the amounts and disclosures in the Parent Company Financial Statements sufficient to give reasonable assurance that the Parent Company Financial Statements are free from material misstatement, whether caused by fraud or error. This includes an assessment of:</w:t>
      </w:r>
    </w:p>
    <w:p>
      <w:pPr>
        <w:spacing w:after="0" w:line="205" w:lineRule="exact"/>
        <w:rPr>
          <w:sz w:val="20"/>
          <w:szCs w:val="20"/>
          <w:color w:val="auto"/>
        </w:rPr>
      </w:pPr>
    </w:p>
    <w:p>
      <w:pPr>
        <w:ind w:left="180" w:right="100" w:hanging="172"/>
        <w:spacing w:after="0" w:line="182" w:lineRule="auto"/>
        <w:tabs>
          <w:tab w:leader="none" w:pos="180" w:val="left"/>
        </w:tabs>
        <w:numPr>
          <w:ilvl w:val="0"/>
          <w:numId w:val="169"/>
        </w:numPr>
        <w:rPr>
          <w:rFonts w:ascii="Arial" w:cs="Arial" w:eastAsia="Arial" w:hAnsi="Arial"/>
          <w:sz w:val="23"/>
          <w:szCs w:val="23"/>
          <w:color w:val="auto"/>
          <w:vertAlign w:val="superscript"/>
        </w:rPr>
      </w:pPr>
      <w:r>
        <w:rPr>
          <w:rFonts w:ascii="Arial" w:cs="Arial" w:eastAsia="Arial" w:hAnsi="Arial"/>
          <w:sz w:val="14"/>
          <w:szCs w:val="14"/>
          <w:color w:val="auto"/>
        </w:rPr>
        <w:t>whether the accounting policies are appropriate to the Company’s circumstances and have been consistently applied and adequately disclosed;</w:t>
      </w:r>
    </w:p>
    <w:p>
      <w:pPr>
        <w:spacing w:after="0" w:line="1" w:lineRule="exact"/>
        <w:rPr>
          <w:rFonts w:ascii="Arial" w:cs="Arial" w:eastAsia="Arial" w:hAnsi="Arial"/>
          <w:sz w:val="23"/>
          <w:szCs w:val="23"/>
          <w:color w:val="auto"/>
          <w:vertAlign w:val="superscript"/>
        </w:rPr>
      </w:pPr>
    </w:p>
    <w:p>
      <w:pPr>
        <w:ind w:left="180" w:hanging="172"/>
        <w:spacing w:after="0" w:line="187" w:lineRule="auto"/>
        <w:tabs>
          <w:tab w:leader="none" w:pos="180" w:val="left"/>
        </w:tabs>
        <w:numPr>
          <w:ilvl w:val="0"/>
          <w:numId w:val="169"/>
        </w:numPr>
        <w:rPr>
          <w:rFonts w:ascii="Arial" w:cs="Arial" w:eastAsia="Arial" w:hAnsi="Arial"/>
          <w:sz w:val="18"/>
          <w:szCs w:val="18"/>
          <w:color w:val="auto"/>
          <w:vertAlign w:val="superscript"/>
        </w:rPr>
      </w:pPr>
      <w:r>
        <w:rPr>
          <w:rFonts w:ascii="Arial" w:cs="Arial" w:eastAsia="Arial" w:hAnsi="Arial"/>
          <w:sz w:val="11"/>
          <w:szCs w:val="11"/>
          <w:color w:val="auto"/>
        </w:rPr>
        <w:t>the reasonableness of significant accounting estimates made by the Directors; and</w:t>
      </w:r>
    </w:p>
    <w:p>
      <w:pPr>
        <w:ind w:left="180" w:hanging="172"/>
        <w:spacing w:after="0" w:line="189" w:lineRule="auto"/>
        <w:tabs>
          <w:tab w:leader="none" w:pos="180" w:val="left"/>
        </w:tabs>
        <w:numPr>
          <w:ilvl w:val="0"/>
          <w:numId w:val="169"/>
        </w:numPr>
        <w:rPr>
          <w:rFonts w:ascii="Arial" w:cs="Arial" w:eastAsia="Arial" w:hAnsi="Arial"/>
          <w:sz w:val="19"/>
          <w:szCs w:val="19"/>
          <w:color w:val="auto"/>
          <w:vertAlign w:val="superscript"/>
        </w:rPr>
      </w:pPr>
      <w:r>
        <w:rPr>
          <w:rFonts w:ascii="Arial" w:cs="Arial" w:eastAsia="Arial" w:hAnsi="Arial"/>
          <w:sz w:val="12"/>
          <w:szCs w:val="12"/>
          <w:color w:val="auto"/>
        </w:rPr>
        <w:t>the overall presentation of the Parent Company Financial Statements.</w:t>
      </w:r>
    </w:p>
    <w:p>
      <w:pPr>
        <w:spacing w:after="0" w:line="166" w:lineRule="exact"/>
        <w:rPr>
          <w:sz w:val="20"/>
          <w:szCs w:val="20"/>
          <w:color w:val="auto"/>
        </w:rPr>
      </w:pPr>
    </w:p>
    <w:p>
      <w:pPr>
        <w:ind w:right="160"/>
        <w:spacing w:after="0" w:line="250" w:lineRule="auto"/>
        <w:rPr>
          <w:sz w:val="20"/>
          <w:szCs w:val="20"/>
          <w:color w:val="auto"/>
        </w:rPr>
      </w:pPr>
      <w:r>
        <w:rPr>
          <w:rFonts w:ascii="Arial" w:cs="Arial" w:eastAsia="Arial" w:hAnsi="Arial"/>
          <w:sz w:val="14"/>
          <w:szCs w:val="14"/>
          <w:color w:val="auto"/>
        </w:rPr>
        <w:t>We primarily focus our work in these areas by assessing the Directors’ judgements against available evidence, forming our own judgements and evaluating the disclosures in the Parent Company Financial Statements.</w:t>
      </w:r>
    </w:p>
    <w:p>
      <w:pPr>
        <w:spacing w:after="0" w:line="159" w:lineRule="exact"/>
        <w:rPr>
          <w:sz w:val="20"/>
          <w:szCs w:val="20"/>
          <w:color w:val="auto"/>
        </w:rPr>
      </w:pPr>
    </w:p>
    <w:p>
      <w:pPr>
        <w:ind w:right="120"/>
        <w:spacing w:after="0" w:line="247" w:lineRule="auto"/>
        <w:rPr>
          <w:sz w:val="20"/>
          <w:szCs w:val="20"/>
          <w:color w:val="auto"/>
        </w:rPr>
      </w:pPr>
      <w:r>
        <w:rPr>
          <w:rFonts w:ascii="Arial" w:cs="Arial" w:eastAsia="Arial" w:hAnsi="Arial"/>
          <w:sz w:val="14"/>
          <w:szCs w:val="14"/>
          <w:color w:val="auto"/>
        </w:rPr>
        <w:t>We test and examine information, using sampling and other auditing techniques, to the extent we consider necessary to provide a reasonable basis for us to draw conclusions. We obtain audit evidence through testing the effectiveness of controls, substantive procedures or a combination of both.</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OTHER MATTER</w:t>
      </w:r>
    </w:p>
    <w:p>
      <w:pPr>
        <w:spacing w:after="0" w:line="1" w:lineRule="exact"/>
        <w:rPr>
          <w:sz w:val="20"/>
          <w:szCs w:val="20"/>
          <w:color w:val="auto"/>
        </w:rPr>
      </w:pPr>
    </w:p>
    <w:p>
      <w:pPr>
        <w:ind w:right="320"/>
        <w:spacing w:after="0" w:line="258" w:lineRule="auto"/>
        <w:rPr>
          <w:sz w:val="20"/>
          <w:szCs w:val="20"/>
          <w:color w:val="auto"/>
        </w:rPr>
      </w:pPr>
      <w:r>
        <w:rPr>
          <w:rFonts w:ascii="Arial" w:cs="Arial" w:eastAsia="Arial" w:hAnsi="Arial"/>
          <w:sz w:val="14"/>
          <w:szCs w:val="14"/>
          <w:color w:val="auto"/>
        </w:rPr>
        <w:t>We have reported separately on the Consolidated Financial Statements of Royal Dutch Shell plc for the year ended December 31, 2014.</w:t>
      </w: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Ross Hunter (Senior Statutory Auditor)</w:t>
      </w:r>
    </w:p>
    <w:p>
      <w:pPr>
        <w:spacing w:after="0" w:line="19" w:lineRule="exact"/>
        <w:rPr>
          <w:sz w:val="20"/>
          <w:szCs w:val="20"/>
          <w:color w:val="auto"/>
        </w:rPr>
      </w:pPr>
    </w:p>
    <w:p>
      <w:pPr>
        <w:spacing w:after="0"/>
        <w:rPr>
          <w:sz w:val="20"/>
          <w:szCs w:val="20"/>
          <w:color w:val="auto"/>
        </w:rPr>
      </w:pPr>
      <w:r>
        <w:rPr>
          <w:rFonts w:ascii="Arial" w:cs="Arial" w:eastAsia="Arial" w:hAnsi="Arial"/>
          <w:sz w:val="14"/>
          <w:szCs w:val="14"/>
          <w:color w:val="auto"/>
        </w:rPr>
        <w:t>for and on behalf of PricewaterhouseCoopers LLP</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Chartered Accountants and Statutory Auditors</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London, United Kingdom</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March 11, 2015</w:t>
      </w:r>
    </w:p>
    <w:p>
      <w:pPr>
        <w:spacing w:after="0" w:line="190" w:lineRule="exact"/>
        <w:rPr>
          <w:sz w:val="20"/>
          <w:szCs w:val="20"/>
          <w:color w:val="auto"/>
        </w:rPr>
      </w:pPr>
    </w:p>
    <w:p>
      <w:pPr>
        <w:ind w:right="160"/>
        <w:spacing w:after="0" w:line="250" w:lineRule="auto"/>
        <w:rPr>
          <w:sz w:val="20"/>
          <w:szCs w:val="20"/>
          <w:color w:val="auto"/>
        </w:rPr>
      </w:pPr>
      <w:r>
        <w:rPr>
          <w:rFonts w:ascii="Arial" w:cs="Arial" w:eastAsia="Arial" w:hAnsi="Arial"/>
          <w:sz w:val="14"/>
          <w:szCs w:val="14"/>
          <w:color w:val="auto"/>
        </w:rPr>
        <w:t>Note that the report set out above is included for the purposes of Royal Dutch Shell plc’s Annual Report and Accounts for 2014 only and does not form part of Royal Dutch Shell plc’s Annual Report on Form 20-F for 2014.</w:t>
      </w:r>
    </w:p>
    <w:p>
      <w:pPr>
        <w:sectPr>
          <w:pgSz w:w="11900" w:h="16838" w:orient="portrait"/>
          <w:cols w:equalWidth="0" w:num="2">
            <w:col w:w="5420" w:space="360"/>
            <w:col w:w="5440"/>
          </w:cols>
          <w:pgMar w:left="240" w:top="460" w:right="439" w:bottom="1440" w:gutter="0" w:footer="0" w:header="0"/>
          <w:type w:val="continuous"/>
        </w:sectPr>
      </w:pPr>
    </w:p>
    <w:bookmarkStart w:id="163" w:name="page164"/>
    <w:bookmarkEnd w:id="1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300355</wp:posOffset>
            </wp:positionV>
            <wp:extent cx="8890" cy="462915"/>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6">
                      <a:extLst>
                        <a:ext uri="{28A0092B-C50C-407E-A947-70E740481C1C}"/>
                      </a:extLst>
                    </a:blip>
                    <a:srcRect/>
                    <a:stretch>
                      <a:fillRect/>
                    </a:stretch>
                  </pic:blipFill>
                  <pic:spPr bwMode="auto">
                    <a:xfrm>
                      <a:off x="0" y="0"/>
                      <a:ext cx="8890" cy="462915"/>
                    </a:xfrm>
                    <a:prstGeom prst="rect">
                      <a:avLst/>
                    </a:prstGeom>
                    <a:noFill/>
                  </pic:spPr>
                </pic:pic>
              </a:graphicData>
            </a:graphic>
          </wp:anchor>
        </w:drawing>
      </w:r>
    </w:p>
    <w:p>
      <w:pPr>
        <w:spacing w:after="0" w:line="200" w:lineRule="exact"/>
        <w:rPr>
          <w:sz w:val="20"/>
          <w:szCs w:val="20"/>
          <w:color w:val="auto"/>
        </w:rPr>
      </w:pP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565"/>
        </w:trPr>
        <w:tc>
          <w:tcPr>
            <w:tcW w:w="700" w:type="dxa"/>
            <w:vAlign w:val="bottom"/>
            <w:shd w:val="clear" w:color="auto" w:fill="FF8B00"/>
          </w:tcPr>
          <w:p>
            <w:pPr>
              <w:jc w:val="right"/>
              <w:ind w:right="206"/>
              <w:spacing w:after="0"/>
              <w:rPr>
                <w:sz w:val="20"/>
                <w:szCs w:val="20"/>
                <w:color w:val="auto"/>
              </w:rPr>
            </w:pPr>
            <w:r>
              <w:rPr>
                <w:rFonts w:ascii="Arial" w:cs="Arial" w:eastAsia="Arial" w:hAnsi="Arial"/>
                <w:sz w:val="11"/>
                <w:szCs w:val="11"/>
                <w:b w:val="1"/>
                <w:bCs w:val="1"/>
                <w:color w:val="333333"/>
              </w:rPr>
              <w:t>162</w:t>
            </w:r>
          </w:p>
        </w:tc>
        <w:tc>
          <w:tcPr>
            <w:tcW w:w="4880" w:type="dxa"/>
            <w:vAlign w:val="bottom"/>
            <w:shd w:val="clear" w:color="auto" w:fill="FF8B00"/>
          </w:tcPr>
          <w:p>
            <w:pPr>
              <w:jc w:val="right"/>
              <w:ind w:right="741"/>
              <w:spacing w:after="0"/>
              <w:rPr>
                <w:sz w:val="20"/>
                <w:szCs w:val="20"/>
                <w:color w:val="auto"/>
              </w:rPr>
            </w:pPr>
            <w:r>
              <w:rPr>
                <w:rFonts w:ascii="Arial" w:cs="Arial" w:eastAsia="Arial" w:hAnsi="Arial"/>
                <w:sz w:val="13"/>
                <w:szCs w:val="13"/>
                <w:color w:val="333333"/>
              </w:rPr>
              <w:t>FINANCIAL STATEMENTS AND SUPPLEMENTS</w:t>
            </w:r>
          </w:p>
        </w:tc>
        <w:tc>
          <w:tcPr>
            <w:tcW w:w="5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5"/>
        </w:trPr>
        <w:tc>
          <w:tcPr>
            <w:tcW w:w="700" w:type="dxa"/>
            <w:vAlign w:val="bottom"/>
            <w:shd w:val="clear" w:color="auto" w:fill="FF8B00"/>
          </w:tcPr>
          <w:p>
            <w:pPr>
              <w:spacing w:after="0"/>
              <w:rPr>
                <w:sz w:val="14"/>
                <w:szCs w:val="14"/>
                <w:color w:val="auto"/>
              </w:rPr>
            </w:pPr>
          </w:p>
        </w:tc>
        <w:tc>
          <w:tcPr>
            <w:tcW w:w="4880" w:type="dxa"/>
            <w:vAlign w:val="bottom"/>
            <w:shd w:val="clear" w:color="auto" w:fill="FF8B00"/>
          </w:tcPr>
          <w:p>
            <w:pPr>
              <w:spacing w:after="0"/>
              <w:rPr>
                <w:sz w:val="14"/>
                <w:szCs w:val="14"/>
                <w:color w:val="auto"/>
              </w:rPr>
            </w:pPr>
          </w:p>
        </w:tc>
        <w:tc>
          <w:tcPr>
            <w:tcW w:w="5840" w:type="dxa"/>
            <w:vAlign w:val="bottom"/>
            <w:vMerge w:val="restart"/>
          </w:tcPr>
          <w:p>
            <w:pPr>
              <w:ind w:left="3440"/>
              <w:spacing w:after="0"/>
              <w:rPr>
                <w:sz w:val="20"/>
                <w:szCs w:val="20"/>
                <w:color w:val="auto"/>
              </w:rPr>
            </w:pPr>
            <w:r>
              <w:rPr>
                <w:rFonts w:ascii="Arial" w:cs="Arial" w:eastAsia="Arial" w:hAnsi="Arial"/>
                <w:sz w:val="11"/>
                <w:szCs w:val="11"/>
                <w:color w:val="auto"/>
                <w:w w:val="96"/>
              </w:rPr>
              <w:t>SHELL ANNUAL REPORT AND FORM 20-F 2014</w:t>
            </w:r>
          </w:p>
        </w:tc>
        <w:tc>
          <w:tcPr>
            <w:tcW w:w="0" w:type="dxa"/>
            <w:vAlign w:val="bottom"/>
          </w:tcPr>
          <w:p>
            <w:pPr>
              <w:spacing w:after="0"/>
              <w:rPr>
                <w:sz w:val="1"/>
                <w:szCs w:val="1"/>
                <w:color w:val="auto"/>
              </w:rPr>
            </w:pPr>
          </w:p>
        </w:tc>
      </w:tr>
      <w:tr>
        <w:trPr>
          <w:trHeight w:val="128"/>
        </w:trPr>
        <w:tc>
          <w:tcPr>
            <w:tcW w:w="700" w:type="dxa"/>
            <w:vAlign w:val="bottom"/>
          </w:tcPr>
          <w:p>
            <w:pPr>
              <w:spacing w:after="0"/>
              <w:rPr>
                <w:sz w:val="11"/>
                <w:szCs w:val="11"/>
                <w:color w:val="auto"/>
              </w:rPr>
            </w:pPr>
          </w:p>
        </w:tc>
        <w:tc>
          <w:tcPr>
            <w:tcW w:w="4880" w:type="dxa"/>
            <w:vAlign w:val="bottom"/>
          </w:tcPr>
          <w:p>
            <w:pPr>
              <w:jc w:val="right"/>
              <w:ind w:right="741"/>
              <w:spacing w:after="0"/>
              <w:rPr>
                <w:sz w:val="20"/>
                <w:szCs w:val="20"/>
                <w:color w:val="auto"/>
              </w:rPr>
            </w:pPr>
            <w:r>
              <w:rPr>
                <w:rFonts w:ascii="Arial" w:cs="Arial" w:eastAsia="Arial" w:hAnsi="Arial"/>
                <w:sz w:val="11"/>
                <w:szCs w:val="11"/>
                <w:color w:val="auto"/>
              </w:rPr>
              <w:t>PARENT COMPANY FINANCIAL STATEMENTS</w:t>
            </w:r>
          </w:p>
        </w:tc>
        <w:tc>
          <w:tcPr>
            <w:tcW w:w="58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bl>
    <w:p>
      <w:pPr>
        <w:spacing w:after="0"/>
        <w:rPr>
          <w:sz w:val="20"/>
          <w:szCs w:val="20"/>
          <w:color w:val="auto"/>
        </w:rPr>
      </w:pPr>
      <w:r>
        <w:rPr>
          <w:rFonts w:ascii="Arial" w:cs="Arial" w:eastAsia="Arial" w:hAnsi="Arial"/>
          <w:sz w:val="31"/>
          <w:szCs w:val="31"/>
          <w:color w:val="auto"/>
        </w:rPr>
        <w:t>PARENT COMPANY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9525</wp:posOffset>
            </wp:positionV>
            <wp:extent cx="7246620" cy="8890"/>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9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97" w:lineRule="exact"/>
        <w:rPr>
          <w:sz w:val="20"/>
          <w:szCs w:val="20"/>
          <w:color w:val="auto"/>
        </w:rPr>
      </w:pPr>
    </w:p>
    <w:p>
      <w:pPr>
        <w:spacing w:after="0"/>
        <w:rPr>
          <w:sz w:val="20"/>
          <w:szCs w:val="20"/>
          <w:color w:val="auto"/>
        </w:rPr>
      </w:pPr>
      <w:r>
        <w:rPr>
          <w:rFonts w:ascii="Arial" w:cs="Arial" w:eastAsia="Arial" w:hAnsi="Arial"/>
          <w:sz w:val="14"/>
          <w:szCs w:val="14"/>
          <w:color w:val="auto"/>
        </w:rPr>
        <w:t>The Parent Company Financial Statements have not been audited in accordance with</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the standards of the Public Company Accounting Oversight Board (United States).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520" w:hanging="460"/>
        <w:spacing w:after="0"/>
        <w:tabs>
          <w:tab w:leader="none" w:pos="520" w:val="left"/>
        </w:tabs>
        <w:numPr>
          <w:ilvl w:val="0"/>
          <w:numId w:val="170"/>
        </w:numPr>
        <w:rPr>
          <w:rFonts w:ascii="Arial" w:cs="Arial" w:eastAsia="Arial" w:hAnsi="Arial"/>
          <w:sz w:val="14"/>
          <w:szCs w:val="14"/>
          <w:u w:val="single" w:color="auto"/>
          <w:color w:val="0000EE"/>
        </w:rPr>
      </w:pPr>
      <w:hyperlink w:anchor="page165">
        <w:r>
          <w:rPr>
            <w:rFonts w:ascii="Arial" w:cs="Arial" w:eastAsia="Arial" w:hAnsi="Arial"/>
            <w:sz w:val="14"/>
            <w:szCs w:val="14"/>
            <w:u w:val="single" w:color="auto"/>
            <w:color w:val="0000EE"/>
          </w:rPr>
          <w:t>Statement of Income</w:t>
        </w:r>
      </w:hyperlink>
    </w:p>
    <w:p>
      <w:pPr>
        <w:spacing w:after="0" w:line="1" w:lineRule="exact"/>
        <w:rPr>
          <w:sz w:val="20"/>
          <w:szCs w:val="20"/>
          <w:color w:val="auto"/>
        </w:rPr>
      </w:pPr>
    </w:p>
    <w:p>
      <w:pPr>
        <w:ind w:left="520" w:hanging="460"/>
        <w:spacing w:after="0"/>
        <w:tabs>
          <w:tab w:leader="none" w:pos="520" w:val="left"/>
        </w:tabs>
        <w:numPr>
          <w:ilvl w:val="0"/>
          <w:numId w:val="171"/>
        </w:numPr>
        <w:rPr>
          <w:rFonts w:ascii="Arial" w:cs="Arial" w:eastAsia="Arial" w:hAnsi="Arial"/>
          <w:sz w:val="14"/>
          <w:szCs w:val="14"/>
          <w:u w:val="single" w:color="auto"/>
          <w:color w:val="0000EE"/>
        </w:rPr>
      </w:pPr>
      <w:hyperlink w:anchor="page165">
        <w:r>
          <w:rPr>
            <w:rFonts w:ascii="Arial" w:cs="Arial" w:eastAsia="Arial" w:hAnsi="Arial"/>
            <w:sz w:val="14"/>
            <w:szCs w:val="14"/>
            <w:u w:val="single" w:color="auto"/>
            <w:color w:val="0000EE"/>
          </w:rPr>
          <w:t>Statement of Comprehensive Income</w:t>
        </w:r>
      </w:hyperlink>
    </w:p>
    <w:p>
      <w:pPr>
        <w:spacing w:after="0" w:line="1" w:lineRule="exact"/>
        <w:rPr>
          <w:rFonts w:ascii="Arial" w:cs="Arial" w:eastAsia="Arial" w:hAnsi="Arial"/>
          <w:sz w:val="14"/>
          <w:szCs w:val="14"/>
          <w:u w:val="single" w:color="auto"/>
          <w:color w:val="0000EE"/>
        </w:rPr>
      </w:pPr>
    </w:p>
    <w:p>
      <w:pPr>
        <w:ind w:left="520" w:hanging="460"/>
        <w:spacing w:after="0"/>
        <w:tabs>
          <w:tab w:leader="none" w:pos="520" w:val="left"/>
        </w:tabs>
        <w:numPr>
          <w:ilvl w:val="0"/>
          <w:numId w:val="172"/>
        </w:numPr>
        <w:rPr>
          <w:rFonts w:ascii="Arial" w:cs="Arial" w:eastAsia="Arial" w:hAnsi="Arial"/>
          <w:sz w:val="14"/>
          <w:szCs w:val="14"/>
          <w:u w:val="single" w:color="auto"/>
          <w:color w:val="0000EE"/>
        </w:rPr>
      </w:pPr>
      <w:hyperlink w:anchor="page165">
        <w:r>
          <w:rPr>
            <w:rFonts w:ascii="Arial" w:cs="Arial" w:eastAsia="Arial" w:hAnsi="Arial"/>
            <w:sz w:val="14"/>
            <w:szCs w:val="14"/>
            <w:u w:val="single" w:color="auto"/>
            <w:color w:val="0000EE"/>
          </w:rPr>
          <w:t>Balance Sheet</w:t>
        </w:r>
      </w:hyperlink>
    </w:p>
    <w:p>
      <w:pPr>
        <w:spacing w:after="0" w:line="1" w:lineRule="exact"/>
        <w:rPr>
          <w:rFonts w:ascii="Arial" w:cs="Arial" w:eastAsia="Arial" w:hAnsi="Arial"/>
          <w:sz w:val="14"/>
          <w:szCs w:val="14"/>
          <w:u w:val="single" w:color="auto"/>
          <w:color w:val="0000EE"/>
        </w:rPr>
      </w:pPr>
    </w:p>
    <w:p>
      <w:pPr>
        <w:ind w:left="520" w:hanging="460"/>
        <w:spacing w:after="0"/>
        <w:tabs>
          <w:tab w:leader="none" w:pos="520" w:val="left"/>
        </w:tabs>
        <w:numPr>
          <w:ilvl w:val="0"/>
          <w:numId w:val="172"/>
        </w:numPr>
        <w:rPr>
          <w:rFonts w:ascii="Arial" w:cs="Arial" w:eastAsia="Arial" w:hAnsi="Arial"/>
          <w:sz w:val="14"/>
          <w:szCs w:val="14"/>
          <w:u w:val="single" w:color="auto"/>
          <w:color w:val="0000EE"/>
        </w:rPr>
      </w:pPr>
      <w:hyperlink w:anchor="page166">
        <w:r>
          <w:rPr>
            <w:rFonts w:ascii="Arial" w:cs="Arial" w:eastAsia="Arial" w:hAnsi="Arial"/>
            <w:sz w:val="14"/>
            <w:szCs w:val="14"/>
            <w:u w:val="single" w:color="auto"/>
            <w:color w:val="0000EE"/>
          </w:rPr>
          <w:t>Statement of Changes in Equity</w:t>
        </w:r>
      </w:hyperlink>
    </w:p>
    <w:p>
      <w:pPr>
        <w:spacing w:after="0" w:line="1" w:lineRule="exact"/>
        <w:rPr>
          <w:rFonts w:ascii="Arial" w:cs="Arial" w:eastAsia="Arial" w:hAnsi="Arial"/>
          <w:sz w:val="14"/>
          <w:szCs w:val="14"/>
          <w:color w:val="auto"/>
        </w:rPr>
      </w:pPr>
    </w:p>
    <w:p>
      <w:pPr>
        <w:ind w:left="520" w:hanging="460"/>
        <w:spacing w:after="0"/>
        <w:tabs>
          <w:tab w:leader="none" w:pos="520" w:val="left"/>
        </w:tabs>
        <w:numPr>
          <w:ilvl w:val="0"/>
          <w:numId w:val="173"/>
        </w:numPr>
        <w:rPr>
          <w:rFonts w:ascii="Arial" w:cs="Arial" w:eastAsia="Arial" w:hAnsi="Arial"/>
          <w:sz w:val="14"/>
          <w:szCs w:val="14"/>
          <w:u w:val="single" w:color="auto"/>
          <w:color w:val="0000EE"/>
        </w:rPr>
      </w:pPr>
      <w:hyperlink w:anchor="page166">
        <w:r>
          <w:rPr>
            <w:rFonts w:ascii="Arial" w:cs="Arial" w:eastAsia="Arial" w:hAnsi="Arial"/>
            <w:sz w:val="14"/>
            <w:szCs w:val="14"/>
            <w:u w:val="single" w:color="auto"/>
            <w:color w:val="0000EE"/>
          </w:rPr>
          <w:t>Statement of Cash Flows</w:t>
        </w:r>
      </w:hyperlink>
    </w:p>
    <w:p>
      <w:pPr>
        <w:spacing w:after="0" w:line="1" w:lineRule="exact"/>
        <w:rPr>
          <w:rFonts w:ascii="Arial" w:cs="Arial" w:eastAsia="Arial" w:hAnsi="Arial"/>
          <w:sz w:val="14"/>
          <w:szCs w:val="14"/>
          <w:u w:val="single" w:color="auto"/>
          <w:color w:val="0000EE"/>
        </w:rPr>
      </w:pPr>
    </w:p>
    <w:p>
      <w:pPr>
        <w:ind w:left="520" w:hanging="460"/>
        <w:spacing w:after="0"/>
        <w:tabs>
          <w:tab w:leader="none" w:pos="520" w:val="left"/>
        </w:tabs>
        <w:numPr>
          <w:ilvl w:val="0"/>
          <w:numId w:val="173"/>
        </w:numPr>
        <w:rPr>
          <w:rFonts w:ascii="Arial" w:cs="Arial" w:eastAsia="Arial" w:hAnsi="Arial"/>
          <w:sz w:val="14"/>
          <w:szCs w:val="14"/>
          <w:u w:val="single" w:color="auto"/>
          <w:color w:val="0000EE"/>
        </w:rPr>
      </w:pPr>
      <w:hyperlink w:anchor="page167">
        <w:r>
          <w:rPr>
            <w:rFonts w:ascii="Arial" w:cs="Arial" w:eastAsia="Arial" w:hAnsi="Arial"/>
            <w:sz w:val="14"/>
            <w:szCs w:val="14"/>
            <w:u w:val="single" w:color="auto"/>
            <w:color w:val="0000EE"/>
          </w:rPr>
          <w:t>Notes to the Parent Company Financial Statements</w:t>
        </w:r>
      </w:hyperlink>
    </w:p>
    <w:p>
      <w:pPr>
        <w:spacing w:after="0" w:line="1" w:lineRule="exact"/>
        <w:rPr>
          <w:rFonts w:ascii="Arial" w:cs="Arial" w:eastAsia="Arial" w:hAnsi="Arial"/>
          <w:sz w:val="14"/>
          <w:szCs w:val="14"/>
          <w:u w:val="single" w:color="auto"/>
          <w:color w:val="0000EE"/>
        </w:rPr>
      </w:pPr>
    </w:p>
    <w:p>
      <w:pPr>
        <w:ind w:left="520" w:hanging="460"/>
        <w:spacing w:after="0"/>
        <w:tabs>
          <w:tab w:leader="none" w:pos="520" w:val="left"/>
        </w:tabs>
        <w:numPr>
          <w:ilvl w:val="0"/>
          <w:numId w:val="174"/>
        </w:numPr>
        <w:rPr>
          <w:rFonts w:ascii="Arial" w:cs="Arial" w:eastAsia="Arial" w:hAnsi="Arial"/>
          <w:sz w:val="14"/>
          <w:szCs w:val="14"/>
          <w:u w:val="single" w:color="auto"/>
          <w:color w:val="0000EE"/>
        </w:rPr>
      </w:pPr>
      <w:hyperlink w:anchor="page167">
        <w:r>
          <w:rPr>
            <w:rFonts w:ascii="Arial" w:cs="Arial" w:eastAsia="Arial" w:hAnsi="Arial"/>
            <w:sz w:val="14"/>
            <w:szCs w:val="14"/>
            <w:u w:val="single" w:color="auto"/>
            <w:color w:val="0000EE"/>
          </w:rPr>
          <w:t>Note 1 Basis of preparation</w:t>
        </w:r>
      </w:hyperlink>
    </w:p>
    <w:p>
      <w:pPr>
        <w:spacing w:after="0" w:line="1" w:lineRule="exact"/>
        <w:rPr>
          <w:rFonts w:ascii="Arial" w:cs="Arial" w:eastAsia="Arial" w:hAnsi="Arial"/>
          <w:sz w:val="14"/>
          <w:szCs w:val="14"/>
          <w:u w:val="single" w:color="auto"/>
          <w:color w:val="0000EE"/>
        </w:rPr>
      </w:pPr>
    </w:p>
    <w:p>
      <w:pPr>
        <w:ind w:left="520" w:hanging="460"/>
        <w:spacing w:after="0"/>
        <w:tabs>
          <w:tab w:leader="none" w:pos="520" w:val="left"/>
        </w:tabs>
        <w:numPr>
          <w:ilvl w:val="0"/>
          <w:numId w:val="175"/>
        </w:numPr>
        <w:rPr>
          <w:rFonts w:ascii="Arial" w:cs="Arial" w:eastAsia="Arial" w:hAnsi="Arial"/>
          <w:sz w:val="14"/>
          <w:szCs w:val="14"/>
          <w:u w:val="single" w:color="auto"/>
          <w:color w:val="0000EE"/>
        </w:rPr>
      </w:pPr>
      <w:hyperlink w:anchor="page167">
        <w:r>
          <w:rPr>
            <w:rFonts w:ascii="Arial" w:cs="Arial" w:eastAsia="Arial" w:hAnsi="Arial"/>
            <w:sz w:val="14"/>
            <w:szCs w:val="14"/>
            <w:u w:val="single" w:color="auto"/>
            <w:color w:val="0000EE"/>
          </w:rPr>
          <w:t>Note 2 Accounting policies</w:t>
        </w:r>
      </w:hyperlink>
    </w:p>
    <w:p>
      <w:pPr>
        <w:spacing w:after="0" w:line="1" w:lineRule="exact"/>
        <w:rPr>
          <w:rFonts w:ascii="Arial" w:cs="Arial" w:eastAsia="Arial" w:hAnsi="Arial"/>
          <w:sz w:val="14"/>
          <w:szCs w:val="14"/>
          <w:u w:val="single" w:color="auto"/>
          <w:color w:val="0000EE"/>
        </w:rPr>
      </w:pPr>
    </w:p>
    <w:p>
      <w:pPr>
        <w:ind w:left="520" w:hanging="460"/>
        <w:spacing w:after="0"/>
        <w:tabs>
          <w:tab w:leader="none" w:pos="520" w:val="left"/>
        </w:tabs>
        <w:numPr>
          <w:ilvl w:val="0"/>
          <w:numId w:val="175"/>
        </w:numPr>
        <w:rPr>
          <w:rFonts w:ascii="Arial" w:cs="Arial" w:eastAsia="Arial" w:hAnsi="Arial"/>
          <w:sz w:val="14"/>
          <w:szCs w:val="14"/>
          <w:u w:val="single" w:color="auto"/>
          <w:color w:val="0000EE"/>
        </w:rPr>
      </w:pPr>
      <w:hyperlink w:anchor="page168">
        <w:r>
          <w:rPr>
            <w:rFonts w:ascii="Arial" w:cs="Arial" w:eastAsia="Arial" w:hAnsi="Arial"/>
            <w:sz w:val="14"/>
            <w:szCs w:val="14"/>
            <w:u w:val="single" w:color="auto"/>
            <w:color w:val="0000EE"/>
          </w:rPr>
          <w:t>Note 3 Finance income and expense</w:t>
        </w:r>
      </w:hyperlink>
    </w:p>
    <w:p>
      <w:pPr>
        <w:spacing w:after="0" w:line="1" w:lineRule="exact"/>
        <w:rPr>
          <w:rFonts w:ascii="Arial" w:cs="Arial" w:eastAsia="Arial" w:hAnsi="Arial"/>
          <w:sz w:val="14"/>
          <w:szCs w:val="14"/>
          <w:color w:val="666666"/>
        </w:rPr>
      </w:pPr>
    </w:p>
    <w:p>
      <w:pPr>
        <w:ind w:left="520" w:hanging="460"/>
        <w:spacing w:after="0"/>
        <w:tabs>
          <w:tab w:leader="none" w:pos="520" w:val="left"/>
        </w:tabs>
        <w:numPr>
          <w:ilvl w:val="0"/>
          <w:numId w:val="176"/>
        </w:numPr>
        <w:rPr>
          <w:rFonts w:ascii="Arial" w:cs="Arial" w:eastAsia="Arial" w:hAnsi="Arial"/>
          <w:sz w:val="14"/>
          <w:szCs w:val="14"/>
          <w:u w:val="single" w:color="auto"/>
          <w:color w:val="0000EE"/>
        </w:rPr>
      </w:pPr>
      <w:hyperlink w:anchor="page168">
        <w:r>
          <w:rPr>
            <w:rFonts w:ascii="Arial" w:cs="Arial" w:eastAsia="Arial" w:hAnsi="Arial"/>
            <w:sz w:val="14"/>
            <w:szCs w:val="14"/>
            <w:u w:val="single" w:color="auto"/>
            <w:color w:val="0000EE"/>
          </w:rPr>
          <w:t>Note 4 Investments in subsidiaries</w:t>
        </w:r>
      </w:hyperlink>
    </w:p>
    <w:p>
      <w:pPr>
        <w:spacing w:after="0" w:line="1" w:lineRule="exact"/>
        <w:rPr>
          <w:rFonts w:ascii="Arial" w:cs="Arial" w:eastAsia="Arial" w:hAnsi="Arial"/>
          <w:sz w:val="14"/>
          <w:szCs w:val="14"/>
          <w:u w:val="single" w:color="auto"/>
          <w:color w:val="0000EE"/>
        </w:rPr>
      </w:pPr>
    </w:p>
    <w:p>
      <w:pPr>
        <w:ind w:left="520" w:hanging="460"/>
        <w:spacing w:after="0"/>
        <w:tabs>
          <w:tab w:leader="none" w:pos="520" w:val="left"/>
        </w:tabs>
        <w:numPr>
          <w:ilvl w:val="0"/>
          <w:numId w:val="177"/>
        </w:numPr>
        <w:rPr>
          <w:rFonts w:ascii="Arial" w:cs="Arial" w:eastAsia="Arial" w:hAnsi="Arial"/>
          <w:sz w:val="14"/>
          <w:szCs w:val="14"/>
          <w:u w:val="single" w:color="auto"/>
          <w:color w:val="0000EE"/>
        </w:rPr>
      </w:pPr>
      <w:hyperlink w:anchor="page168">
        <w:r>
          <w:rPr>
            <w:rFonts w:ascii="Arial" w:cs="Arial" w:eastAsia="Arial" w:hAnsi="Arial"/>
            <w:sz w:val="14"/>
            <w:szCs w:val="14"/>
            <w:u w:val="single" w:color="auto"/>
            <w:color w:val="0000EE"/>
          </w:rPr>
          <w:t>Note 5 Accounts receivable</w:t>
        </w:r>
      </w:hyperlink>
    </w:p>
    <w:p>
      <w:pPr>
        <w:spacing w:after="0" w:line="1" w:lineRule="exact"/>
        <w:rPr>
          <w:rFonts w:ascii="Arial" w:cs="Arial" w:eastAsia="Arial" w:hAnsi="Arial"/>
          <w:sz w:val="14"/>
          <w:szCs w:val="14"/>
          <w:u w:val="single" w:color="auto"/>
          <w:color w:val="0000EE"/>
        </w:rPr>
      </w:pPr>
    </w:p>
    <w:p>
      <w:pPr>
        <w:ind w:left="520" w:hanging="460"/>
        <w:spacing w:after="0"/>
        <w:tabs>
          <w:tab w:leader="none" w:pos="520" w:val="left"/>
        </w:tabs>
        <w:numPr>
          <w:ilvl w:val="0"/>
          <w:numId w:val="178"/>
        </w:numPr>
        <w:rPr>
          <w:rFonts w:ascii="Arial" w:cs="Arial" w:eastAsia="Arial" w:hAnsi="Arial"/>
          <w:sz w:val="14"/>
          <w:szCs w:val="14"/>
          <w:u w:val="single" w:color="auto"/>
          <w:color w:val="0000EE"/>
        </w:rPr>
      </w:pPr>
      <w:hyperlink w:anchor="page168">
        <w:r>
          <w:rPr>
            <w:rFonts w:ascii="Arial" w:cs="Arial" w:eastAsia="Arial" w:hAnsi="Arial"/>
            <w:sz w:val="14"/>
            <w:szCs w:val="14"/>
            <w:u w:val="single" w:color="auto"/>
            <w:color w:val="0000EE"/>
          </w:rPr>
          <w:t>Note 6 Cash and cash equivalents</w:t>
        </w:r>
      </w:hyperlink>
    </w:p>
    <w:p>
      <w:pPr>
        <w:spacing w:after="0" w:line="1" w:lineRule="exact"/>
        <w:rPr>
          <w:rFonts w:ascii="Arial" w:cs="Arial" w:eastAsia="Arial" w:hAnsi="Arial"/>
          <w:sz w:val="14"/>
          <w:szCs w:val="14"/>
          <w:u w:val="single" w:color="auto"/>
          <w:color w:val="0000EE"/>
        </w:rPr>
      </w:pPr>
    </w:p>
    <w:p>
      <w:pPr>
        <w:ind w:left="520" w:hanging="460"/>
        <w:spacing w:after="0"/>
        <w:tabs>
          <w:tab w:leader="none" w:pos="520" w:val="left"/>
        </w:tabs>
        <w:numPr>
          <w:ilvl w:val="0"/>
          <w:numId w:val="179"/>
        </w:numPr>
        <w:rPr>
          <w:rFonts w:ascii="Arial" w:cs="Arial" w:eastAsia="Arial" w:hAnsi="Arial"/>
          <w:sz w:val="14"/>
          <w:szCs w:val="14"/>
          <w:u w:val="single" w:color="auto"/>
          <w:color w:val="0000EE"/>
        </w:rPr>
      </w:pPr>
      <w:hyperlink w:anchor="page168">
        <w:r>
          <w:rPr>
            <w:rFonts w:ascii="Arial" w:cs="Arial" w:eastAsia="Arial" w:hAnsi="Arial"/>
            <w:sz w:val="14"/>
            <w:szCs w:val="14"/>
            <w:u w:val="single" w:color="auto"/>
            <w:color w:val="0000EE"/>
          </w:rPr>
          <w:t>Note 7 Accounts payable and accrued liabilities</w:t>
        </w:r>
      </w:hyperlink>
    </w:p>
    <w:p>
      <w:pPr>
        <w:spacing w:after="0" w:line="1" w:lineRule="exact"/>
        <w:rPr>
          <w:rFonts w:ascii="Arial" w:cs="Arial" w:eastAsia="Arial" w:hAnsi="Arial"/>
          <w:sz w:val="14"/>
          <w:szCs w:val="14"/>
          <w:u w:val="single" w:color="auto"/>
          <w:color w:val="0000EE"/>
        </w:rPr>
      </w:pPr>
    </w:p>
    <w:p>
      <w:pPr>
        <w:ind w:left="520" w:hanging="460"/>
        <w:spacing w:after="0"/>
        <w:tabs>
          <w:tab w:leader="none" w:pos="520" w:val="left"/>
        </w:tabs>
        <w:numPr>
          <w:ilvl w:val="0"/>
          <w:numId w:val="179"/>
        </w:numPr>
        <w:rPr>
          <w:rFonts w:ascii="Arial" w:cs="Arial" w:eastAsia="Arial" w:hAnsi="Arial"/>
          <w:sz w:val="14"/>
          <w:szCs w:val="14"/>
          <w:u w:val="single" w:color="auto"/>
          <w:color w:val="0000EE"/>
        </w:rPr>
      </w:pPr>
      <w:hyperlink w:anchor="page169">
        <w:r>
          <w:rPr>
            <w:rFonts w:ascii="Arial" w:cs="Arial" w:eastAsia="Arial" w:hAnsi="Arial"/>
            <w:sz w:val="14"/>
            <w:szCs w:val="14"/>
            <w:u w:val="single" w:color="auto"/>
            <w:color w:val="0000EE"/>
          </w:rPr>
          <w:t>Note 8 Taxation</w:t>
        </w:r>
      </w:hyperlink>
    </w:p>
    <w:p>
      <w:pPr>
        <w:spacing w:after="0" w:line="1" w:lineRule="exact"/>
        <w:rPr>
          <w:rFonts w:ascii="Arial" w:cs="Arial" w:eastAsia="Arial" w:hAnsi="Arial"/>
          <w:sz w:val="14"/>
          <w:szCs w:val="14"/>
          <w:color w:val="666666"/>
        </w:rPr>
      </w:pPr>
    </w:p>
    <w:p>
      <w:pPr>
        <w:ind w:left="520" w:hanging="460"/>
        <w:spacing w:after="0"/>
        <w:tabs>
          <w:tab w:leader="none" w:pos="520" w:val="left"/>
        </w:tabs>
        <w:numPr>
          <w:ilvl w:val="0"/>
          <w:numId w:val="180"/>
        </w:numPr>
        <w:rPr>
          <w:rFonts w:ascii="Arial" w:cs="Arial" w:eastAsia="Arial" w:hAnsi="Arial"/>
          <w:sz w:val="14"/>
          <w:szCs w:val="14"/>
          <w:u w:val="single" w:color="auto"/>
          <w:color w:val="0000EE"/>
        </w:rPr>
      </w:pPr>
      <w:hyperlink w:anchor="page169">
        <w:r>
          <w:rPr>
            <w:rFonts w:ascii="Arial" w:cs="Arial" w:eastAsia="Arial" w:hAnsi="Arial"/>
            <w:sz w:val="14"/>
            <w:szCs w:val="14"/>
            <w:u w:val="single" w:color="auto"/>
            <w:color w:val="0000EE"/>
          </w:rPr>
          <w:t>Note 9 Financial instruments</w:t>
        </w:r>
      </w:hyperlink>
    </w:p>
    <w:p>
      <w:pPr>
        <w:spacing w:after="0" w:line="1" w:lineRule="exact"/>
        <w:rPr>
          <w:rFonts w:ascii="Arial" w:cs="Arial" w:eastAsia="Arial" w:hAnsi="Arial"/>
          <w:sz w:val="14"/>
          <w:szCs w:val="14"/>
          <w:u w:val="single" w:color="auto"/>
          <w:color w:val="0000EE"/>
        </w:rPr>
      </w:pPr>
    </w:p>
    <w:p>
      <w:pPr>
        <w:ind w:left="520" w:hanging="460"/>
        <w:spacing w:after="0"/>
        <w:tabs>
          <w:tab w:leader="none" w:pos="520" w:val="left"/>
        </w:tabs>
        <w:numPr>
          <w:ilvl w:val="0"/>
          <w:numId w:val="181"/>
        </w:numPr>
        <w:rPr>
          <w:rFonts w:ascii="Arial" w:cs="Arial" w:eastAsia="Arial" w:hAnsi="Arial"/>
          <w:sz w:val="14"/>
          <w:szCs w:val="14"/>
          <w:u w:val="single" w:color="auto"/>
          <w:color w:val="0000EE"/>
        </w:rPr>
      </w:pPr>
      <w:hyperlink w:anchor="page169">
        <w:r>
          <w:rPr>
            <w:rFonts w:ascii="Arial" w:cs="Arial" w:eastAsia="Arial" w:hAnsi="Arial"/>
            <w:sz w:val="14"/>
            <w:szCs w:val="14"/>
            <w:u w:val="single" w:color="auto"/>
            <w:color w:val="0000EE"/>
          </w:rPr>
          <w:t>Note 10 Share capital</w:t>
        </w:r>
      </w:hyperlink>
    </w:p>
    <w:p>
      <w:pPr>
        <w:spacing w:after="0" w:line="1" w:lineRule="exact"/>
        <w:rPr>
          <w:rFonts w:ascii="Arial" w:cs="Arial" w:eastAsia="Arial" w:hAnsi="Arial"/>
          <w:sz w:val="14"/>
          <w:szCs w:val="14"/>
          <w:u w:val="single" w:color="auto"/>
          <w:color w:val="0000EE"/>
        </w:rPr>
      </w:pPr>
    </w:p>
    <w:p>
      <w:pPr>
        <w:ind w:left="520" w:hanging="460"/>
        <w:spacing w:after="0"/>
        <w:tabs>
          <w:tab w:leader="none" w:pos="520" w:val="left"/>
        </w:tabs>
        <w:numPr>
          <w:ilvl w:val="0"/>
          <w:numId w:val="182"/>
        </w:numPr>
        <w:rPr>
          <w:rFonts w:ascii="Arial" w:cs="Arial" w:eastAsia="Arial" w:hAnsi="Arial"/>
          <w:sz w:val="14"/>
          <w:szCs w:val="14"/>
          <w:u w:val="single" w:color="auto"/>
          <w:color w:val="0000EE"/>
        </w:rPr>
      </w:pPr>
      <w:hyperlink w:anchor="page171">
        <w:r>
          <w:rPr>
            <w:rFonts w:ascii="Arial" w:cs="Arial" w:eastAsia="Arial" w:hAnsi="Arial"/>
            <w:sz w:val="14"/>
            <w:szCs w:val="14"/>
            <w:u w:val="single" w:color="auto"/>
            <w:color w:val="0000EE"/>
          </w:rPr>
          <w:t>Note 11 Other reserves</w:t>
        </w:r>
      </w:hyperlink>
    </w:p>
    <w:p>
      <w:pPr>
        <w:spacing w:after="0" w:line="1" w:lineRule="exact"/>
        <w:rPr>
          <w:rFonts w:ascii="Arial" w:cs="Arial" w:eastAsia="Arial" w:hAnsi="Arial"/>
          <w:sz w:val="14"/>
          <w:szCs w:val="14"/>
          <w:u w:val="single" w:color="auto"/>
          <w:color w:val="0000EE"/>
        </w:rPr>
      </w:pPr>
    </w:p>
    <w:p>
      <w:pPr>
        <w:ind w:left="520" w:hanging="460"/>
        <w:spacing w:after="0"/>
        <w:tabs>
          <w:tab w:leader="none" w:pos="520" w:val="left"/>
        </w:tabs>
        <w:numPr>
          <w:ilvl w:val="0"/>
          <w:numId w:val="183"/>
        </w:numPr>
        <w:rPr>
          <w:rFonts w:ascii="Arial" w:cs="Arial" w:eastAsia="Arial" w:hAnsi="Arial"/>
          <w:sz w:val="14"/>
          <w:szCs w:val="14"/>
          <w:u w:val="single" w:color="auto"/>
          <w:color w:val="0000EE"/>
        </w:rPr>
      </w:pPr>
      <w:hyperlink w:anchor="page171">
        <w:r>
          <w:rPr>
            <w:rFonts w:ascii="Arial" w:cs="Arial" w:eastAsia="Arial" w:hAnsi="Arial"/>
            <w:sz w:val="14"/>
            <w:szCs w:val="14"/>
            <w:u w:val="single" w:color="auto"/>
            <w:color w:val="0000EE"/>
          </w:rPr>
          <w:t>Note 12 Dividends</w:t>
        </w:r>
      </w:hyperlink>
    </w:p>
    <w:p>
      <w:pPr>
        <w:spacing w:after="0" w:line="1" w:lineRule="exact"/>
        <w:rPr>
          <w:rFonts w:ascii="Arial" w:cs="Arial" w:eastAsia="Arial" w:hAnsi="Arial"/>
          <w:sz w:val="14"/>
          <w:szCs w:val="14"/>
          <w:u w:val="single" w:color="auto"/>
          <w:color w:val="0000EE"/>
        </w:rPr>
      </w:pPr>
    </w:p>
    <w:p>
      <w:pPr>
        <w:ind w:left="520" w:hanging="460"/>
        <w:spacing w:after="0"/>
        <w:tabs>
          <w:tab w:leader="none" w:pos="520" w:val="left"/>
        </w:tabs>
        <w:numPr>
          <w:ilvl w:val="0"/>
          <w:numId w:val="184"/>
        </w:numPr>
        <w:rPr>
          <w:rFonts w:ascii="Arial" w:cs="Arial" w:eastAsia="Arial" w:hAnsi="Arial"/>
          <w:sz w:val="14"/>
          <w:szCs w:val="14"/>
          <w:u w:val="single" w:color="auto"/>
          <w:color w:val="0000EE"/>
        </w:rPr>
      </w:pPr>
      <w:hyperlink w:anchor="page171">
        <w:r>
          <w:rPr>
            <w:rFonts w:ascii="Arial" w:cs="Arial" w:eastAsia="Arial" w:hAnsi="Arial"/>
            <w:sz w:val="14"/>
            <w:szCs w:val="14"/>
            <w:u w:val="single" w:color="auto"/>
            <w:color w:val="0000EE"/>
          </w:rPr>
          <w:t>Note 13 Legal proceedings and other contingencies</w:t>
        </w:r>
      </w:hyperlink>
    </w:p>
    <w:p>
      <w:pPr>
        <w:spacing w:after="0" w:line="1" w:lineRule="exact"/>
        <w:rPr>
          <w:rFonts w:ascii="Arial" w:cs="Arial" w:eastAsia="Arial" w:hAnsi="Arial"/>
          <w:sz w:val="14"/>
          <w:szCs w:val="14"/>
          <w:u w:val="single" w:color="auto"/>
          <w:color w:val="0000EE"/>
        </w:rPr>
      </w:pPr>
    </w:p>
    <w:p>
      <w:pPr>
        <w:ind w:left="520" w:hanging="460"/>
        <w:spacing w:after="0"/>
        <w:tabs>
          <w:tab w:leader="none" w:pos="520" w:val="left"/>
        </w:tabs>
        <w:numPr>
          <w:ilvl w:val="0"/>
          <w:numId w:val="185"/>
        </w:numPr>
        <w:rPr>
          <w:rFonts w:ascii="Arial" w:cs="Arial" w:eastAsia="Arial" w:hAnsi="Arial"/>
          <w:sz w:val="14"/>
          <w:szCs w:val="14"/>
          <w:u w:val="single" w:color="auto"/>
          <w:color w:val="0000EE"/>
        </w:rPr>
      </w:pPr>
      <w:hyperlink w:anchor="page171">
        <w:r>
          <w:rPr>
            <w:rFonts w:ascii="Arial" w:cs="Arial" w:eastAsia="Arial" w:hAnsi="Arial"/>
            <w:sz w:val="14"/>
            <w:szCs w:val="14"/>
            <w:u w:val="single" w:color="auto"/>
            <w:color w:val="0000EE"/>
          </w:rPr>
          <w:t>Note 14 Directors and Senior Management</w:t>
        </w:r>
      </w:hyperlink>
    </w:p>
    <w:p>
      <w:pPr>
        <w:spacing w:after="0" w:line="1" w:lineRule="exact"/>
        <w:rPr>
          <w:rFonts w:ascii="Arial" w:cs="Arial" w:eastAsia="Arial" w:hAnsi="Arial"/>
          <w:sz w:val="14"/>
          <w:szCs w:val="14"/>
          <w:u w:val="single" w:color="auto"/>
          <w:color w:val="0000EE"/>
        </w:rPr>
      </w:pPr>
    </w:p>
    <w:p>
      <w:pPr>
        <w:ind w:left="520" w:hanging="460"/>
        <w:spacing w:after="0"/>
        <w:tabs>
          <w:tab w:leader="none" w:pos="520" w:val="left"/>
        </w:tabs>
        <w:numPr>
          <w:ilvl w:val="0"/>
          <w:numId w:val="186"/>
        </w:numPr>
        <w:rPr>
          <w:rFonts w:ascii="Arial" w:cs="Arial" w:eastAsia="Arial" w:hAnsi="Arial"/>
          <w:sz w:val="14"/>
          <w:szCs w:val="14"/>
          <w:u w:val="single" w:color="auto"/>
          <w:color w:val="0000EE"/>
        </w:rPr>
      </w:pPr>
      <w:hyperlink w:anchor="page171">
        <w:r>
          <w:rPr>
            <w:rFonts w:ascii="Arial" w:cs="Arial" w:eastAsia="Arial" w:hAnsi="Arial"/>
            <w:sz w:val="14"/>
            <w:szCs w:val="14"/>
            <w:u w:val="single" w:color="auto"/>
            <w:color w:val="0000EE"/>
          </w:rPr>
          <w:t>Note 15 Related parties</w:t>
        </w:r>
      </w:hyperlink>
    </w:p>
    <w:p>
      <w:pPr>
        <w:spacing w:after="0" w:line="1" w:lineRule="exact"/>
        <w:rPr>
          <w:rFonts w:ascii="Arial" w:cs="Arial" w:eastAsia="Arial" w:hAnsi="Arial"/>
          <w:sz w:val="14"/>
          <w:szCs w:val="14"/>
          <w:u w:val="single" w:color="auto"/>
          <w:color w:val="0000EE"/>
        </w:rPr>
      </w:pPr>
    </w:p>
    <w:p>
      <w:pPr>
        <w:ind w:left="520" w:hanging="460"/>
        <w:spacing w:after="0"/>
        <w:tabs>
          <w:tab w:leader="none" w:pos="520" w:val="left"/>
        </w:tabs>
        <w:numPr>
          <w:ilvl w:val="0"/>
          <w:numId w:val="186"/>
        </w:numPr>
        <w:rPr>
          <w:rFonts w:ascii="Arial" w:cs="Arial" w:eastAsia="Arial" w:hAnsi="Arial"/>
          <w:sz w:val="14"/>
          <w:szCs w:val="14"/>
          <w:u w:val="single" w:color="auto"/>
          <w:color w:val="0000EE"/>
        </w:rPr>
      </w:pPr>
      <w:hyperlink w:anchor="page172">
        <w:r>
          <w:rPr>
            <w:rFonts w:ascii="Arial" w:cs="Arial" w:eastAsia="Arial" w:hAnsi="Arial"/>
            <w:sz w:val="14"/>
            <w:szCs w:val="14"/>
            <w:u w:val="single" w:color="auto"/>
            <w:color w:val="0000EE"/>
          </w:rPr>
          <w:t>Note 16 Auditor’s remuneration</w:t>
        </w:r>
      </w:hyperlink>
    </w:p>
    <w:p>
      <w:pPr>
        <w:sectPr>
          <w:pgSz w:w="11900" w:h="16838" w:orient="portrait"/>
          <w:cols w:equalWidth="0" w:num="1">
            <w:col w:w="11420"/>
          </w:cols>
          <w:pgMar w:left="240" w:top="460" w:right="239" w:bottom="1440" w:gutter="0" w:footer="0" w:header="0"/>
        </w:sectPr>
      </w:pPr>
    </w:p>
    <w:bookmarkStart w:id="164" w:name="page165"/>
    <w:bookmarkEnd w:id="1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4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6428105</wp:posOffset>
            </wp:positionH>
            <wp:positionV relativeFrom="paragraph">
              <wp:posOffset>300355</wp:posOffset>
            </wp:positionV>
            <wp:extent cx="8890" cy="462915"/>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499">
                      <a:extLst>
                        <a:ext uri="{28A0092B-C50C-407E-A947-70E740481C1C}"/>
                      </a:extLst>
                    </a:blip>
                    <a:srcRect/>
                    <a:stretch>
                      <a:fillRect/>
                    </a:stretch>
                  </pic:blipFill>
                  <pic:spPr bwMode="auto">
                    <a:xfrm>
                      <a:off x="0" y="0"/>
                      <a:ext cx="8890" cy="462915"/>
                    </a:xfrm>
                    <a:prstGeom prst="rect">
                      <a:avLst/>
                    </a:prstGeom>
                    <a:noFill/>
                  </pic:spPr>
                </pic:pic>
              </a:graphicData>
            </a:graphic>
          </wp:anchor>
        </w:drawing>
      </w:r>
    </w:p>
    <w:p>
      <w:pPr>
        <w:spacing w:after="0" w:line="200" w:lineRule="exact"/>
        <w:rPr>
          <w:sz w:val="20"/>
          <w:szCs w:val="20"/>
          <w:color w:val="auto"/>
        </w:rPr>
      </w:pP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565"/>
        </w:trPr>
        <w:tc>
          <w:tcPr>
            <w:tcW w:w="5600" w:type="dxa"/>
            <w:vAlign w:val="bottom"/>
          </w:tcPr>
          <w:p>
            <w:pPr>
              <w:spacing w:after="0"/>
              <w:rPr>
                <w:sz w:val="24"/>
                <w:szCs w:val="24"/>
                <w:color w:val="auto"/>
              </w:rPr>
            </w:pPr>
          </w:p>
        </w:tc>
        <w:tc>
          <w:tcPr>
            <w:tcW w:w="4440" w:type="dxa"/>
            <w:vAlign w:val="bottom"/>
            <w:shd w:val="clear" w:color="auto" w:fill="FF8B00"/>
          </w:tcPr>
          <w:p>
            <w:pPr>
              <w:ind w:left="880"/>
              <w:spacing w:after="0"/>
              <w:rPr>
                <w:sz w:val="20"/>
                <w:szCs w:val="20"/>
                <w:color w:val="auto"/>
              </w:rPr>
            </w:pPr>
            <w:r>
              <w:rPr>
                <w:rFonts w:ascii="Arial" w:cs="Arial" w:eastAsia="Arial" w:hAnsi="Arial"/>
                <w:sz w:val="13"/>
                <w:szCs w:val="13"/>
                <w:color w:val="333333"/>
              </w:rPr>
              <w:t>FINANCIAL STATEMENTS AND SUPPLEMENTS</w:t>
            </w:r>
          </w:p>
        </w:tc>
        <w:tc>
          <w:tcPr>
            <w:tcW w:w="1380" w:type="dxa"/>
            <w:vAlign w:val="bottom"/>
            <w:shd w:val="clear" w:color="auto" w:fill="FF8B00"/>
          </w:tcPr>
          <w:p>
            <w:pPr>
              <w:jc w:val="right"/>
              <w:ind w:right="366"/>
              <w:spacing w:after="0"/>
              <w:rPr>
                <w:sz w:val="20"/>
                <w:szCs w:val="20"/>
                <w:color w:val="auto"/>
              </w:rPr>
            </w:pPr>
            <w:r>
              <w:rPr>
                <w:rFonts w:ascii="Arial" w:cs="Arial" w:eastAsia="Arial" w:hAnsi="Arial"/>
                <w:sz w:val="11"/>
                <w:szCs w:val="11"/>
                <w:b w:val="1"/>
                <w:bCs w:val="1"/>
                <w:color w:val="333333"/>
              </w:rPr>
              <w:t>163</w:t>
            </w:r>
          </w:p>
        </w:tc>
        <w:tc>
          <w:tcPr>
            <w:tcW w:w="0" w:type="dxa"/>
            <w:vAlign w:val="bottom"/>
          </w:tcPr>
          <w:p>
            <w:pPr>
              <w:spacing w:after="0"/>
              <w:rPr>
                <w:sz w:val="1"/>
                <w:szCs w:val="1"/>
                <w:color w:val="auto"/>
              </w:rPr>
            </w:pPr>
          </w:p>
        </w:tc>
      </w:tr>
      <w:tr>
        <w:trPr>
          <w:trHeight w:val="165"/>
        </w:trPr>
        <w:tc>
          <w:tcPr>
            <w:tcW w:w="5600" w:type="dxa"/>
            <w:vAlign w:val="bottom"/>
            <w:vMerge w:val="restart"/>
          </w:tcPr>
          <w:p>
            <w:pPr>
              <w:spacing w:after="0"/>
              <w:rPr>
                <w:sz w:val="20"/>
                <w:szCs w:val="20"/>
                <w:color w:val="auto"/>
              </w:rPr>
            </w:pPr>
            <w:r>
              <w:rPr>
                <w:rFonts w:ascii="Arial" w:cs="Arial" w:eastAsia="Arial" w:hAnsi="Arial"/>
                <w:sz w:val="11"/>
                <w:szCs w:val="11"/>
                <w:color w:val="auto"/>
              </w:rPr>
              <w:t>SHELL ANNUAL REPORT AND FORM 20-F 2014</w:t>
            </w:r>
          </w:p>
        </w:tc>
        <w:tc>
          <w:tcPr>
            <w:tcW w:w="4440" w:type="dxa"/>
            <w:vAlign w:val="bottom"/>
            <w:shd w:val="clear" w:color="auto" w:fill="FF8B00"/>
          </w:tcPr>
          <w:p>
            <w:pPr>
              <w:spacing w:after="0"/>
              <w:rPr>
                <w:sz w:val="14"/>
                <w:szCs w:val="14"/>
                <w:color w:val="auto"/>
              </w:rPr>
            </w:pPr>
          </w:p>
        </w:tc>
        <w:tc>
          <w:tcPr>
            <w:tcW w:w="1380" w:type="dxa"/>
            <w:vAlign w:val="bottom"/>
            <w:shd w:val="clear" w:color="auto" w:fill="FF8B00"/>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5600" w:type="dxa"/>
            <w:vAlign w:val="bottom"/>
            <w:vMerge w:val="continue"/>
          </w:tcPr>
          <w:p>
            <w:pPr>
              <w:spacing w:after="0"/>
              <w:rPr>
                <w:sz w:val="11"/>
                <w:szCs w:val="11"/>
                <w:color w:val="auto"/>
              </w:rPr>
            </w:pPr>
          </w:p>
        </w:tc>
        <w:tc>
          <w:tcPr>
            <w:tcW w:w="4440" w:type="dxa"/>
            <w:vAlign w:val="bottom"/>
          </w:tcPr>
          <w:p>
            <w:pPr>
              <w:ind w:left="880"/>
              <w:spacing w:after="0"/>
              <w:rPr>
                <w:sz w:val="20"/>
                <w:szCs w:val="20"/>
                <w:color w:val="auto"/>
              </w:rPr>
            </w:pPr>
            <w:r>
              <w:rPr>
                <w:rFonts w:ascii="Arial" w:cs="Arial" w:eastAsia="Arial" w:hAnsi="Arial"/>
                <w:sz w:val="11"/>
                <w:szCs w:val="11"/>
                <w:color w:val="auto"/>
              </w:rPr>
              <w:t>PARENT COMPANY FINANCIAL STATEMENTS</w:t>
            </w:r>
          </w:p>
        </w:tc>
        <w:tc>
          <w:tcPr>
            <w:tcW w:w="138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5360" w:type="dxa"/>
            <w:vAlign w:val="bottom"/>
            <w:shd w:val="clear" w:color="auto" w:fill="333333"/>
          </w:tcPr>
          <w:p>
            <w:pPr>
              <w:ind w:left="60"/>
              <w:spacing w:after="0"/>
              <w:rPr>
                <w:sz w:val="20"/>
                <w:szCs w:val="20"/>
                <w:color w:val="auto"/>
              </w:rPr>
            </w:pPr>
            <w:r>
              <w:rPr>
                <w:rFonts w:ascii="Arial" w:cs="Arial" w:eastAsia="Arial" w:hAnsi="Arial"/>
                <w:sz w:val="15"/>
                <w:szCs w:val="15"/>
                <w:b w:val="1"/>
                <w:bCs w:val="1"/>
                <w:color w:val="FFFFFF"/>
              </w:rPr>
              <w:t>STATEMENT OF INCOME</w:t>
            </w:r>
          </w:p>
        </w:tc>
        <w:tc>
          <w:tcPr>
            <w:tcW w:w="2900" w:type="dxa"/>
            <w:vAlign w:val="bottom"/>
            <w:shd w:val="clear" w:color="auto" w:fill="333333"/>
          </w:tcPr>
          <w:p>
            <w:pPr>
              <w:spacing w:after="0"/>
              <w:rPr>
                <w:sz w:val="14"/>
                <w:szCs w:val="14"/>
                <w:color w:val="auto"/>
              </w:rPr>
            </w:pPr>
          </w:p>
        </w:tc>
        <w:tc>
          <w:tcPr>
            <w:tcW w:w="1540" w:type="dxa"/>
            <w:vAlign w:val="bottom"/>
            <w:shd w:val="clear" w:color="auto" w:fill="333333"/>
          </w:tcPr>
          <w:p>
            <w:pPr>
              <w:spacing w:after="0"/>
              <w:rPr>
                <w:sz w:val="14"/>
                <w:szCs w:val="14"/>
                <w:color w:val="auto"/>
              </w:rPr>
            </w:pPr>
          </w:p>
        </w:tc>
        <w:tc>
          <w:tcPr>
            <w:tcW w:w="1600" w:type="dxa"/>
            <w:vAlign w:val="bottom"/>
            <w:shd w:val="clear" w:color="auto" w:fill="333333"/>
          </w:tcPr>
          <w:p>
            <w:pPr>
              <w:jc w:val="right"/>
              <w:ind w:right="268"/>
              <w:spacing w:after="0"/>
              <w:rPr>
                <w:sz w:val="20"/>
                <w:szCs w:val="20"/>
                <w:color w:val="auto"/>
              </w:rPr>
            </w:pPr>
            <w:r>
              <w:rPr>
                <w:rFonts w:ascii="Arial" w:cs="Arial" w:eastAsia="Arial" w:hAnsi="Arial"/>
                <w:sz w:val="15"/>
                <w:szCs w:val="15"/>
                <w:color w:val="FFFFFF"/>
              </w:rPr>
              <w:t>$ MILLION</w:t>
            </w:r>
          </w:p>
        </w:tc>
      </w:tr>
      <w:tr>
        <w:trPr>
          <w:trHeight w:val="149"/>
        </w:trPr>
        <w:tc>
          <w:tcPr>
            <w:tcW w:w="20" w:type="dxa"/>
            <w:vAlign w:val="bottom"/>
          </w:tcPr>
          <w:p>
            <w:pPr>
              <w:spacing w:after="0"/>
              <w:rPr>
                <w:sz w:val="12"/>
                <w:szCs w:val="12"/>
                <w:color w:val="auto"/>
              </w:rPr>
            </w:pPr>
          </w:p>
        </w:tc>
        <w:tc>
          <w:tcPr>
            <w:tcW w:w="5360" w:type="dxa"/>
            <w:vAlign w:val="bottom"/>
            <w:tcBorders>
              <w:bottom w:val="single" w:sz="8" w:color="auto"/>
            </w:tcBorders>
          </w:tcPr>
          <w:p>
            <w:pPr>
              <w:spacing w:after="0"/>
              <w:rPr>
                <w:sz w:val="12"/>
                <w:szCs w:val="12"/>
                <w:color w:val="auto"/>
              </w:rPr>
            </w:pPr>
          </w:p>
        </w:tc>
        <w:tc>
          <w:tcPr>
            <w:tcW w:w="2900" w:type="dxa"/>
            <w:vAlign w:val="bottom"/>
            <w:tcBorders>
              <w:bottom w:val="single" w:sz="8" w:color="auto"/>
            </w:tcBorders>
          </w:tcPr>
          <w:p>
            <w:pPr>
              <w:jc w:val="right"/>
              <w:ind w:right="269"/>
              <w:spacing w:after="0"/>
              <w:rPr>
                <w:sz w:val="20"/>
                <w:szCs w:val="20"/>
                <w:color w:val="auto"/>
              </w:rPr>
            </w:pPr>
            <w:r>
              <w:rPr>
                <w:rFonts w:ascii="Arial" w:cs="Arial" w:eastAsia="Arial" w:hAnsi="Arial"/>
                <w:sz w:val="13"/>
                <w:szCs w:val="13"/>
                <w:color w:val="auto"/>
              </w:rPr>
              <w:t>NOTES</w:t>
            </w:r>
          </w:p>
        </w:tc>
        <w:tc>
          <w:tcPr>
            <w:tcW w:w="1540" w:type="dxa"/>
            <w:vAlign w:val="bottom"/>
            <w:tcBorders>
              <w:bottom w:val="single" w:sz="8" w:color="auto"/>
            </w:tcBorders>
            <w:shd w:val="clear" w:color="auto" w:fill="D8D8D8"/>
          </w:tcPr>
          <w:p>
            <w:pPr>
              <w:jc w:val="right"/>
              <w:ind w:right="269"/>
              <w:spacing w:after="0"/>
              <w:rPr>
                <w:sz w:val="20"/>
                <w:szCs w:val="20"/>
                <w:color w:val="auto"/>
              </w:rPr>
            </w:pPr>
            <w:r>
              <w:rPr>
                <w:rFonts w:ascii="Arial" w:cs="Arial" w:eastAsia="Arial" w:hAnsi="Arial"/>
                <w:sz w:val="13"/>
                <w:szCs w:val="13"/>
                <w:color w:val="auto"/>
              </w:rPr>
              <w:t>2014</w:t>
            </w:r>
          </w:p>
        </w:tc>
        <w:tc>
          <w:tcPr>
            <w:tcW w:w="1600" w:type="dxa"/>
            <w:vAlign w:val="bottom"/>
            <w:tcBorders>
              <w:bottom w:val="single" w:sz="8" w:color="auto"/>
            </w:tcBorders>
          </w:tcPr>
          <w:p>
            <w:pPr>
              <w:jc w:val="right"/>
              <w:ind w:right="268"/>
              <w:spacing w:after="0"/>
              <w:rPr>
                <w:sz w:val="20"/>
                <w:szCs w:val="20"/>
                <w:color w:val="auto"/>
              </w:rPr>
            </w:pPr>
            <w:r>
              <w:rPr>
                <w:rFonts w:ascii="Arial" w:cs="Arial" w:eastAsia="Arial" w:hAnsi="Arial"/>
                <w:sz w:val="13"/>
                <w:szCs w:val="13"/>
                <w:color w:val="auto"/>
              </w:rPr>
              <w:t>2013</w:t>
            </w:r>
          </w:p>
        </w:tc>
      </w:tr>
      <w:tr>
        <w:trPr>
          <w:trHeight w:val="156"/>
        </w:trPr>
        <w:tc>
          <w:tcPr>
            <w:tcW w:w="5380" w:type="dxa"/>
            <w:vAlign w:val="bottom"/>
            <w:gridSpan w:val="2"/>
          </w:tcPr>
          <w:p>
            <w:pPr>
              <w:spacing w:after="0" w:line="155" w:lineRule="exact"/>
              <w:rPr>
                <w:sz w:val="20"/>
                <w:szCs w:val="20"/>
                <w:color w:val="auto"/>
              </w:rPr>
            </w:pPr>
            <w:r>
              <w:rPr>
                <w:rFonts w:ascii="Arial" w:cs="Arial" w:eastAsia="Arial" w:hAnsi="Arial"/>
                <w:sz w:val="14"/>
                <w:szCs w:val="14"/>
                <w:color w:val="auto"/>
              </w:rPr>
              <w:t>Dividend income</w:t>
            </w:r>
          </w:p>
        </w:tc>
        <w:tc>
          <w:tcPr>
            <w:tcW w:w="2900" w:type="dxa"/>
            <w:vAlign w:val="bottom"/>
          </w:tcPr>
          <w:p>
            <w:pPr>
              <w:spacing w:after="0"/>
              <w:rPr>
                <w:sz w:val="13"/>
                <w:szCs w:val="13"/>
                <w:color w:val="auto"/>
              </w:rPr>
            </w:pPr>
          </w:p>
        </w:tc>
        <w:tc>
          <w:tcPr>
            <w:tcW w:w="1540" w:type="dxa"/>
            <w:vAlign w:val="bottom"/>
            <w:shd w:val="clear" w:color="auto" w:fill="D8D8D8"/>
          </w:tcPr>
          <w:p>
            <w:pPr>
              <w:jc w:val="right"/>
              <w:ind w:right="269"/>
              <w:spacing w:after="0" w:line="155" w:lineRule="exact"/>
              <w:rPr>
                <w:sz w:val="20"/>
                <w:szCs w:val="20"/>
                <w:color w:val="auto"/>
              </w:rPr>
            </w:pPr>
            <w:r>
              <w:rPr>
                <w:rFonts w:ascii="Arial" w:cs="Arial" w:eastAsia="Arial" w:hAnsi="Arial"/>
                <w:sz w:val="14"/>
                <w:szCs w:val="14"/>
                <w:color w:val="auto"/>
              </w:rPr>
              <w:t>18,031</w:t>
            </w:r>
          </w:p>
        </w:tc>
        <w:tc>
          <w:tcPr>
            <w:tcW w:w="1600" w:type="dxa"/>
            <w:vAlign w:val="bottom"/>
          </w:tcPr>
          <w:p>
            <w:pPr>
              <w:jc w:val="right"/>
              <w:ind w:right="268"/>
              <w:spacing w:after="0" w:line="155" w:lineRule="exact"/>
              <w:rPr>
                <w:sz w:val="20"/>
                <w:szCs w:val="20"/>
                <w:color w:val="auto"/>
              </w:rPr>
            </w:pPr>
            <w:r>
              <w:rPr>
                <w:rFonts w:ascii="Arial" w:cs="Arial" w:eastAsia="Arial" w:hAnsi="Arial"/>
                <w:sz w:val="14"/>
                <w:szCs w:val="14"/>
                <w:color w:val="auto"/>
              </w:rPr>
              <w:t>13,693</w:t>
            </w:r>
          </w:p>
        </w:tc>
      </w:tr>
      <w:tr>
        <w:trPr>
          <w:trHeight w:val="162"/>
        </w:trPr>
        <w:tc>
          <w:tcPr>
            <w:tcW w:w="5380" w:type="dxa"/>
            <w:vAlign w:val="bottom"/>
            <w:gridSpan w:val="2"/>
          </w:tcPr>
          <w:p>
            <w:pPr>
              <w:spacing w:after="0"/>
              <w:rPr>
                <w:sz w:val="20"/>
                <w:szCs w:val="20"/>
                <w:color w:val="auto"/>
              </w:rPr>
            </w:pPr>
            <w:r>
              <w:rPr>
                <w:rFonts w:ascii="Arial" w:cs="Arial" w:eastAsia="Arial" w:hAnsi="Arial"/>
                <w:sz w:val="14"/>
                <w:szCs w:val="14"/>
                <w:color w:val="auto"/>
              </w:rPr>
              <w:t>Finance income</w:t>
            </w:r>
          </w:p>
        </w:tc>
        <w:tc>
          <w:tcPr>
            <w:tcW w:w="2900" w:type="dxa"/>
            <w:vAlign w:val="bottom"/>
          </w:tcPr>
          <w:p>
            <w:pPr>
              <w:jc w:val="right"/>
              <w:ind w:right="269"/>
              <w:spacing w:after="0"/>
              <w:rPr>
                <w:sz w:val="20"/>
                <w:szCs w:val="20"/>
                <w:color w:val="auto"/>
              </w:rPr>
            </w:pPr>
            <w:r>
              <w:rPr>
                <w:rFonts w:ascii="Arial" w:cs="Arial" w:eastAsia="Arial" w:hAnsi="Arial"/>
                <w:sz w:val="14"/>
                <w:szCs w:val="14"/>
                <w:color w:val="auto"/>
              </w:rPr>
              <w:t>3</w:t>
            </w:r>
          </w:p>
        </w:tc>
        <w:tc>
          <w:tcPr>
            <w:tcW w:w="1540" w:type="dxa"/>
            <w:vAlign w:val="bottom"/>
            <w:shd w:val="clear" w:color="auto" w:fill="D8D8D8"/>
          </w:tcPr>
          <w:p>
            <w:pPr>
              <w:jc w:val="right"/>
              <w:ind w:right="269"/>
              <w:spacing w:after="0"/>
              <w:rPr>
                <w:sz w:val="20"/>
                <w:szCs w:val="20"/>
                <w:color w:val="auto"/>
              </w:rPr>
            </w:pPr>
            <w:r>
              <w:rPr>
                <w:rFonts w:ascii="Arial" w:cs="Arial" w:eastAsia="Arial" w:hAnsi="Arial"/>
                <w:sz w:val="14"/>
                <w:szCs w:val="14"/>
                <w:color w:val="auto"/>
              </w:rPr>
              <w:t>49</w:t>
            </w:r>
          </w:p>
        </w:tc>
        <w:tc>
          <w:tcPr>
            <w:tcW w:w="1600" w:type="dxa"/>
            <w:vAlign w:val="bottom"/>
          </w:tcPr>
          <w:p>
            <w:pPr>
              <w:jc w:val="right"/>
              <w:ind w:right="268"/>
              <w:spacing w:after="0"/>
              <w:rPr>
                <w:sz w:val="20"/>
                <w:szCs w:val="20"/>
                <w:color w:val="auto"/>
              </w:rPr>
            </w:pPr>
            <w:r>
              <w:rPr>
                <w:rFonts w:ascii="Arial" w:cs="Arial" w:eastAsia="Arial" w:hAnsi="Arial"/>
                <w:sz w:val="14"/>
                <w:szCs w:val="14"/>
                <w:color w:val="auto"/>
              </w:rPr>
              <w:t>620</w:t>
            </w:r>
          </w:p>
        </w:tc>
      </w:tr>
      <w:tr>
        <w:trPr>
          <w:trHeight w:val="167"/>
        </w:trPr>
        <w:tc>
          <w:tcPr>
            <w:tcW w:w="5380" w:type="dxa"/>
            <w:vAlign w:val="bottom"/>
            <w:gridSpan w:val="2"/>
          </w:tcPr>
          <w:p>
            <w:pPr>
              <w:spacing w:after="0"/>
              <w:rPr>
                <w:sz w:val="20"/>
                <w:szCs w:val="20"/>
                <w:color w:val="auto"/>
              </w:rPr>
            </w:pPr>
            <w:r>
              <w:rPr>
                <w:rFonts w:ascii="Arial" w:cs="Arial" w:eastAsia="Arial" w:hAnsi="Arial"/>
                <w:sz w:val="14"/>
                <w:szCs w:val="14"/>
                <w:color w:val="auto"/>
              </w:rPr>
              <w:t>Administrative expenses</w:t>
            </w:r>
          </w:p>
        </w:tc>
        <w:tc>
          <w:tcPr>
            <w:tcW w:w="2900" w:type="dxa"/>
            <w:vAlign w:val="bottom"/>
          </w:tcPr>
          <w:p>
            <w:pPr>
              <w:spacing w:after="0"/>
              <w:rPr>
                <w:sz w:val="14"/>
                <w:szCs w:val="14"/>
                <w:color w:val="auto"/>
              </w:rPr>
            </w:pPr>
          </w:p>
        </w:tc>
        <w:tc>
          <w:tcPr>
            <w:tcW w:w="1540" w:type="dxa"/>
            <w:vAlign w:val="bottom"/>
            <w:shd w:val="clear" w:color="auto" w:fill="D8D8D8"/>
          </w:tcPr>
          <w:p>
            <w:pPr>
              <w:jc w:val="right"/>
              <w:ind w:right="269"/>
              <w:spacing w:after="0"/>
              <w:rPr>
                <w:sz w:val="20"/>
                <w:szCs w:val="20"/>
                <w:color w:val="auto"/>
              </w:rPr>
            </w:pPr>
            <w:r>
              <w:rPr>
                <w:rFonts w:ascii="Arial" w:cs="Arial" w:eastAsia="Arial" w:hAnsi="Arial"/>
                <w:sz w:val="14"/>
                <w:szCs w:val="14"/>
                <w:color w:val="auto"/>
              </w:rPr>
              <w:t>(57)</w:t>
            </w:r>
          </w:p>
        </w:tc>
        <w:tc>
          <w:tcPr>
            <w:tcW w:w="1600" w:type="dxa"/>
            <w:vAlign w:val="bottom"/>
          </w:tcPr>
          <w:p>
            <w:pPr>
              <w:jc w:val="right"/>
              <w:ind w:right="208"/>
              <w:spacing w:after="0"/>
              <w:rPr>
                <w:sz w:val="20"/>
                <w:szCs w:val="20"/>
                <w:color w:val="auto"/>
              </w:rPr>
            </w:pPr>
            <w:r>
              <w:rPr>
                <w:rFonts w:ascii="Arial" w:cs="Arial" w:eastAsia="Arial" w:hAnsi="Arial"/>
                <w:sz w:val="14"/>
                <w:szCs w:val="14"/>
                <w:color w:val="auto"/>
              </w:rPr>
              <w:t>(73)</w:t>
            </w:r>
          </w:p>
        </w:tc>
      </w:tr>
      <w:tr>
        <w:trPr>
          <w:trHeight w:val="157"/>
        </w:trPr>
        <w:tc>
          <w:tcPr>
            <w:tcW w:w="5380" w:type="dxa"/>
            <w:vAlign w:val="bottom"/>
            <w:tcBorders>
              <w:bottom w:val="single" w:sz="8" w:color="auto"/>
            </w:tcBorders>
            <w:gridSpan w:val="2"/>
          </w:tcPr>
          <w:p>
            <w:pPr>
              <w:spacing w:after="0" w:line="157" w:lineRule="exact"/>
              <w:rPr>
                <w:sz w:val="20"/>
                <w:szCs w:val="20"/>
                <w:color w:val="auto"/>
              </w:rPr>
            </w:pPr>
            <w:r>
              <w:rPr>
                <w:rFonts w:ascii="Arial" w:cs="Arial" w:eastAsia="Arial" w:hAnsi="Arial"/>
                <w:sz w:val="14"/>
                <w:szCs w:val="14"/>
                <w:color w:val="auto"/>
              </w:rPr>
              <w:t>Finance expense</w:t>
            </w:r>
          </w:p>
        </w:tc>
        <w:tc>
          <w:tcPr>
            <w:tcW w:w="2900" w:type="dxa"/>
            <w:vAlign w:val="bottom"/>
            <w:tcBorders>
              <w:bottom w:val="single" w:sz="8" w:color="auto"/>
            </w:tcBorders>
          </w:tcPr>
          <w:p>
            <w:pPr>
              <w:jc w:val="right"/>
              <w:ind w:right="269"/>
              <w:spacing w:after="0" w:line="157" w:lineRule="exact"/>
              <w:rPr>
                <w:sz w:val="20"/>
                <w:szCs w:val="20"/>
                <w:color w:val="auto"/>
              </w:rPr>
            </w:pPr>
            <w:r>
              <w:rPr>
                <w:rFonts w:ascii="Arial" w:cs="Arial" w:eastAsia="Arial" w:hAnsi="Arial"/>
                <w:sz w:val="14"/>
                <w:szCs w:val="14"/>
                <w:color w:val="auto"/>
              </w:rPr>
              <w:t>3</w:t>
            </w:r>
          </w:p>
        </w:tc>
        <w:tc>
          <w:tcPr>
            <w:tcW w:w="1540" w:type="dxa"/>
            <w:vAlign w:val="bottom"/>
            <w:tcBorders>
              <w:bottom w:val="single" w:sz="8" w:color="auto"/>
            </w:tcBorders>
            <w:shd w:val="clear" w:color="auto" w:fill="D8D8D8"/>
          </w:tcPr>
          <w:p>
            <w:pPr>
              <w:jc w:val="right"/>
              <w:ind w:right="269"/>
              <w:spacing w:after="0" w:line="157" w:lineRule="exact"/>
              <w:rPr>
                <w:sz w:val="20"/>
                <w:szCs w:val="20"/>
                <w:color w:val="auto"/>
              </w:rPr>
            </w:pPr>
            <w:r>
              <w:rPr>
                <w:rFonts w:ascii="Arial" w:cs="Arial" w:eastAsia="Arial" w:hAnsi="Arial"/>
                <w:sz w:val="14"/>
                <w:szCs w:val="14"/>
                <w:color w:val="auto"/>
              </w:rPr>
              <w:t>(1,956)</w:t>
            </w:r>
          </w:p>
        </w:tc>
        <w:tc>
          <w:tcPr>
            <w:tcW w:w="1600" w:type="dxa"/>
            <w:vAlign w:val="bottom"/>
            <w:tcBorders>
              <w:bottom w:val="single" w:sz="8" w:color="auto"/>
            </w:tcBorders>
          </w:tcPr>
          <w:p>
            <w:pPr>
              <w:jc w:val="right"/>
              <w:ind w:right="208"/>
              <w:spacing w:after="0" w:line="157" w:lineRule="exact"/>
              <w:rPr>
                <w:sz w:val="20"/>
                <w:szCs w:val="20"/>
                <w:color w:val="auto"/>
              </w:rPr>
            </w:pPr>
            <w:r>
              <w:rPr>
                <w:rFonts w:ascii="Arial" w:cs="Arial" w:eastAsia="Arial" w:hAnsi="Arial"/>
                <w:sz w:val="14"/>
                <w:szCs w:val="14"/>
                <w:color w:val="auto"/>
              </w:rPr>
              <w:t>(19)</w:t>
            </w:r>
          </w:p>
        </w:tc>
      </w:tr>
      <w:tr>
        <w:trPr>
          <w:trHeight w:val="160"/>
        </w:trPr>
        <w:tc>
          <w:tcPr>
            <w:tcW w:w="5380" w:type="dxa"/>
            <w:vAlign w:val="bottom"/>
            <w:gridSpan w:val="2"/>
          </w:tcPr>
          <w:p>
            <w:pPr>
              <w:spacing w:after="0"/>
              <w:rPr>
                <w:sz w:val="20"/>
                <w:szCs w:val="20"/>
                <w:color w:val="auto"/>
              </w:rPr>
            </w:pPr>
            <w:r>
              <w:rPr>
                <w:rFonts w:ascii="Arial" w:cs="Arial" w:eastAsia="Arial" w:hAnsi="Arial"/>
                <w:sz w:val="14"/>
                <w:szCs w:val="14"/>
                <w:color w:val="auto"/>
              </w:rPr>
              <w:t>Income before taxation</w:t>
            </w:r>
          </w:p>
        </w:tc>
        <w:tc>
          <w:tcPr>
            <w:tcW w:w="2900" w:type="dxa"/>
            <w:vAlign w:val="bottom"/>
          </w:tcPr>
          <w:p>
            <w:pPr>
              <w:spacing w:after="0"/>
              <w:rPr>
                <w:sz w:val="13"/>
                <w:szCs w:val="13"/>
                <w:color w:val="auto"/>
              </w:rPr>
            </w:pPr>
          </w:p>
        </w:tc>
        <w:tc>
          <w:tcPr>
            <w:tcW w:w="1540" w:type="dxa"/>
            <w:vAlign w:val="bottom"/>
            <w:shd w:val="clear" w:color="auto" w:fill="D8D8D8"/>
          </w:tcPr>
          <w:p>
            <w:pPr>
              <w:jc w:val="right"/>
              <w:ind w:right="269"/>
              <w:spacing w:after="0"/>
              <w:rPr>
                <w:sz w:val="20"/>
                <w:szCs w:val="20"/>
                <w:color w:val="auto"/>
              </w:rPr>
            </w:pPr>
            <w:r>
              <w:rPr>
                <w:rFonts w:ascii="Arial" w:cs="Arial" w:eastAsia="Arial" w:hAnsi="Arial"/>
                <w:sz w:val="14"/>
                <w:szCs w:val="14"/>
                <w:color w:val="auto"/>
              </w:rPr>
              <w:t>16,067</w:t>
            </w:r>
          </w:p>
        </w:tc>
        <w:tc>
          <w:tcPr>
            <w:tcW w:w="1600" w:type="dxa"/>
            <w:vAlign w:val="bottom"/>
          </w:tcPr>
          <w:p>
            <w:pPr>
              <w:jc w:val="right"/>
              <w:ind w:right="268"/>
              <w:spacing w:after="0"/>
              <w:rPr>
                <w:sz w:val="20"/>
                <w:szCs w:val="20"/>
                <w:color w:val="auto"/>
              </w:rPr>
            </w:pPr>
            <w:r>
              <w:rPr>
                <w:rFonts w:ascii="Arial" w:cs="Arial" w:eastAsia="Arial" w:hAnsi="Arial"/>
                <w:sz w:val="14"/>
                <w:szCs w:val="14"/>
                <w:color w:val="auto"/>
              </w:rPr>
              <w:t>14,221</w:t>
            </w:r>
          </w:p>
        </w:tc>
      </w:tr>
      <w:tr>
        <w:trPr>
          <w:trHeight w:val="157"/>
        </w:trPr>
        <w:tc>
          <w:tcPr>
            <w:tcW w:w="5380" w:type="dxa"/>
            <w:vAlign w:val="bottom"/>
            <w:tcBorders>
              <w:bottom w:val="single" w:sz="8" w:color="auto"/>
            </w:tcBorders>
            <w:gridSpan w:val="2"/>
          </w:tcPr>
          <w:p>
            <w:pPr>
              <w:spacing w:after="0" w:line="157" w:lineRule="exact"/>
              <w:rPr>
                <w:sz w:val="20"/>
                <w:szCs w:val="20"/>
                <w:color w:val="auto"/>
              </w:rPr>
            </w:pPr>
            <w:r>
              <w:rPr>
                <w:rFonts w:ascii="Arial" w:cs="Arial" w:eastAsia="Arial" w:hAnsi="Arial"/>
                <w:sz w:val="14"/>
                <w:szCs w:val="14"/>
                <w:color w:val="auto"/>
              </w:rPr>
              <w:t>Taxation</w:t>
            </w:r>
          </w:p>
        </w:tc>
        <w:tc>
          <w:tcPr>
            <w:tcW w:w="2900" w:type="dxa"/>
            <w:vAlign w:val="bottom"/>
            <w:tcBorders>
              <w:bottom w:val="single" w:sz="8" w:color="auto"/>
            </w:tcBorders>
          </w:tcPr>
          <w:p>
            <w:pPr>
              <w:jc w:val="right"/>
              <w:ind w:right="269"/>
              <w:spacing w:after="0" w:line="157" w:lineRule="exact"/>
              <w:rPr>
                <w:sz w:val="20"/>
                <w:szCs w:val="20"/>
                <w:color w:val="auto"/>
              </w:rPr>
            </w:pPr>
            <w:r>
              <w:rPr>
                <w:rFonts w:ascii="Arial" w:cs="Arial" w:eastAsia="Arial" w:hAnsi="Arial"/>
                <w:sz w:val="14"/>
                <w:szCs w:val="14"/>
                <w:color w:val="auto"/>
              </w:rPr>
              <w:t>8</w:t>
            </w:r>
          </w:p>
        </w:tc>
        <w:tc>
          <w:tcPr>
            <w:tcW w:w="1540" w:type="dxa"/>
            <w:vAlign w:val="bottom"/>
            <w:tcBorders>
              <w:bottom w:val="single" w:sz="8" w:color="auto"/>
            </w:tcBorders>
            <w:shd w:val="clear" w:color="auto" w:fill="D8D8D8"/>
          </w:tcPr>
          <w:p>
            <w:pPr>
              <w:jc w:val="right"/>
              <w:ind w:right="269"/>
              <w:spacing w:after="0" w:line="157" w:lineRule="exact"/>
              <w:rPr>
                <w:sz w:val="20"/>
                <w:szCs w:val="20"/>
                <w:color w:val="auto"/>
              </w:rPr>
            </w:pPr>
            <w:r>
              <w:rPr>
                <w:rFonts w:ascii="Arial" w:cs="Arial" w:eastAsia="Arial" w:hAnsi="Arial"/>
                <w:sz w:val="14"/>
                <w:szCs w:val="14"/>
                <w:color w:val="auto"/>
              </w:rPr>
              <w:t>12</w:t>
            </w:r>
          </w:p>
        </w:tc>
        <w:tc>
          <w:tcPr>
            <w:tcW w:w="1600" w:type="dxa"/>
            <w:vAlign w:val="bottom"/>
            <w:tcBorders>
              <w:bottom w:val="single" w:sz="8" w:color="auto"/>
            </w:tcBorders>
          </w:tcPr>
          <w:p>
            <w:pPr>
              <w:jc w:val="right"/>
              <w:ind w:right="268"/>
              <w:spacing w:after="0" w:line="157" w:lineRule="exact"/>
              <w:rPr>
                <w:sz w:val="20"/>
                <w:szCs w:val="20"/>
                <w:color w:val="auto"/>
              </w:rPr>
            </w:pPr>
            <w:r>
              <w:rPr>
                <w:rFonts w:ascii="Arial" w:cs="Arial" w:eastAsia="Arial" w:hAnsi="Arial"/>
                <w:sz w:val="14"/>
                <w:szCs w:val="14"/>
                <w:color w:val="auto"/>
              </w:rPr>
              <w:t>28</w:t>
            </w:r>
          </w:p>
        </w:tc>
      </w:tr>
      <w:tr>
        <w:trPr>
          <w:trHeight w:val="156"/>
        </w:trPr>
        <w:tc>
          <w:tcPr>
            <w:tcW w:w="5380" w:type="dxa"/>
            <w:vAlign w:val="bottom"/>
            <w:gridSpan w:val="2"/>
          </w:tcPr>
          <w:p>
            <w:pPr>
              <w:spacing w:after="0" w:line="155" w:lineRule="exact"/>
              <w:rPr>
                <w:sz w:val="20"/>
                <w:szCs w:val="20"/>
                <w:color w:val="auto"/>
              </w:rPr>
            </w:pPr>
            <w:r>
              <w:rPr>
                <w:rFonts w:ascii="Arial" w:cs="Arial" w:eastAsia="Arial" w:hAnsi="Arial"/>
                <w:sz w:val="14"/>
                <w:szCs w:val="14"/>
                <w:color w:val="auto"/>
              </w:rPr>
              <w:t>Income for the period</w:t>
            </w:r>
          </w:p>
        </w:tc>
        <w:tc>
          <w:tcPr>
            <w:tcW w:w="2900" w:type="dxa"/>
            <w:vAlign w:val="bottom"/>
          </w:tcPr>
          <w:p>
            <w:pPr>
              <w:spacing w:after="0"/>
              <w:rPr>
                <w:sz w:val="13"/>
                <w:szCs w:val="13"/>
                <w:color w:val="auto"/>
              </w:rPr>
            </w:pPr>
          </w:p>
        </w:tc>
        <w:tc>
          <w:tcPr>
            <w:tcW w:w="1540" w:type="dxa"/>
            <w:vAlign w:val="bottom"/>
            <w:shd w:val="clear" w:color="auto" w:fill="D8D8D8"/>
          </w:tcPr>
          <w:p>
            <w:pPr>
              <w:jc w:val="right"/>
              <w:ind w:right="269"/>
              <w:spacing w:after="0" w:line="155" w:lineRule="exact"/>
              <w:rPr>
                <w:sz w:val="20"/>
                <w:szCs w:val="20"/>
                <w:color w:val="auto"/>
              </w:rPr>
            </w:pPr>
            <w:r>
              <w:rPr>
                <w:rFonts w:ascii="Arial" w:cs="Arial" w:eastAsia="Arial" w:hAnsi="Arial"/>
                <w:sz w:val="14"/>
                <w:szCs w:val="14"/>
                <w:color w:val="auto"/>
              </w:rPr>
              <w:t>16,079</w:t>
            </w:r>
          </w:p>
        </w:tc>
        <w:tc>
          <w:tcPr>
            <w:tcW w:w="1600" w:type="dxa"/>
            <w:vAlign w:val="bottom"/>
          </w:tcPr>
          <w:p>
            <w:pPr>
              <w:jc w:val="right"/>
              <w:ind w:right="268"/>
              <w:spacing w:after="0" w:line="155" w:lineRule="exact"/>
              <w:rPr>
                <w:sz w:val="20"/>
                <w:szCs w:val="20"/>
                <w:color w:val="auto"/>
              </w:rPr>
            </w:pPr>
            <w:r>
              <w:rPr>
                <w:rFonts w:ascii="Arial" w:cs="Arial" w:eastAsia="Arial" w:hAnsi="Arial"/>
                <w:sz w:val="14"/>
                <w:szCs w:val="14"/>
                <w:color w:val="auto"/>
              </w:rPr>
              <w:t>14,249</w:t>
            </w:r>
          </w:p>
        </w:tc>
      </w:tr>
      <w:tr>
        <w:trPr>
          <w:trHeight w:val="156"/>
        </w:trPr>
        <w:tc>
          <w:tcPr>
            <w:tcW w:w="20" w:type="dxa"/>
            <w:vAlign w:val="bottom"/>
          </w:tcPr>
          <w:p>
            <w:pPr>
              <w:spacing w:after="0"/>
              <w:rPr>
                <w:sz w:val="13"/>
                <w:szCs w:val="13"/>
                <w:color w:val="auto"/>
              </w:rPr>
            </w:pPr>
          </w:p>
        </w:tc>
        <w:tc>
          <w:tcPr>
            <w:tcW w:w="5360" w:type="dxa"/>
            <w:vAlign w:val="bottom"/>
            <w:tcBorders>
              <w:top w:val="single" w:sz="8" w:color="auto"/>
            </w:tcBorders>
            <w:shd w:val="clear" w:color="auto" w:fill="333333"/>
          </w:tcPr>
          <w:p>
            <w:pPr>
              <w:ind w:left="60"/>
              <w:spacing w:after="0" w:line="156" w:lineRule="exact"/>
              <w:rPr>
                <w:sz w:val="20"/>
                <w:szCs w:val="20"/>
                <w:color w:val="auto"/>
              </w:rPr>
            </w:pPr>
            <w:r>
              <w:rPr>
                <w:rFonts w:ascii="Arial" w:cs="Arial" w:eastAsia="Arial" w:hAnsi="Arial"/>
                <w:sz w:val="15"/>
                <w:szCs w:val="15"/>
                <w:b w:val="1"/>
                <w:bCs w:val="1"/>
                <w:color w:val="FFFFFF"/>
              </w:rPr>
              <w:t>STATEMENT OF COMPREHENSIVE INCOME</w:t>
            </w:r>
          </w:p>
        </w:tc>
        <w:tc>
          <w:tcPr>
            <w:tcW w:w="2900" w:type="dxa"/>
            <w:vAlign w:val="bottom"/>
            <w:tcBorders>
              <w:top w:val="single" w:sz="8" w:color="auto"/>
            </w:tcBorders>
            <w:shd w:val="clear" w:color="auto" w:fill="333333"/>
          </w:tcPr>
          <w:p>
            <w:pPr>
              <w:spacing w:after="0"/>
              <w:rPr>
                <w:sz w:val="13"/>
                <w:szCs w:val="13"/>
                <w:color w:val="auto"/>
              </w:rPr>
            </w:pPr>
          </w:p>
        </w:tc>
        <w:tc>
          <w:tcPr>
            <w:tcW w:w="1540" w:type="dxa"/>
            <w:vAlign w:val="bottom"/>
            <w:tcBorders>
              <w:top w:val="single" w:sz="8" w:color="auto"/>
            </w:tcBorders>
            <w:shd w:val="clear" w:color="auto" w:fill="333333"/>
          </w:tcPr>
          <w:p>
            <w:pPr>
              <w:spacing w:after="0"/>
              <w:rPr>
                <w:sz w:val="13"/>
                <w:szCs w:val="13"/>
                <w:color w:val="auto"/>
              </w:rPr>
            </w:pPr>
          </w:p>
        </w:tc>
        <w:tc>
          <w:tcPr>
            <w:tcW w:w="1600" w:type="dxa"/>
            <w:vAlign w:val="bottom"/>
            <w:tcBorders>
              <w:top w:val="single" w:sz="8" w:color="auto"/>
            </w:tcBorders>
            <w:shd w:val="clear" w:color="auto" w:fill="333333"/>
          </w:tcPr>
          <w:p>
            <w:pPr>
              <w:jc w:val="right"/>
              <w:ind w:right="268"/>
              <w:spacing w:after="0" w:line="156" w:lineRule="exact"/>
              <w:rPr>
                <w:sz w:val="20"/>
                <w:szCs w:val="20"/>
                <w:color w:val="auto"/>
              </w:rPr>
            </w:pPr>
            <w:r>
              <w:rPr>
                <w:rFonts w:ascii="Arial" w:cs="Arial" w:eastAsia="Arial" w:hAnsi="Arial"/>
                <w:sz w:val="15"/>
                <w:szCs w:val="15"/>
                <w:color w:val="FFFFFF"/>
              </w:rPr>
              <w:t>$ MILLION</w:t>
            </w:r>
          </w:p>
        </w:tc>
      </w:tr>
      <w:tr>
        <w:trPr>
          <w:trHeight w:val="149"/>
        </w:trPr>
        <w:tc>
          <w:tcPr>
            <w:tcW w:w="20" w:type="dxa"/>
            <w:vAlign w:val="bottom"/>
          </w:tcPr>
          <w:p>
            <w:pPr>
              <w:spacing w:after="0"/>
              <w:rPr>
                <w:sz w:val="12"/>
                <w:szCs w:val="12"/>
                <w:color w:val="auto"/>
              </w:rPr>
            </w:pPr>
          </w:p>
        </w:tc>
        <w:tc>
          <w:tcPr>
            <w:tcW w:w="5360" w:type="dxa"/>
            <w:vAlign w:val="bottom"/>
            <w:tcBorders>
              <w:bottom w:val="single" w:sz="8" w:color="auto"/>
            </w:tcBorders>
          </w:tcPr>
          <w:p>
            <w:pPr>
              <w:spacing w:after="0"/>
              <w:rPr>
                <w:sz w:val="12"/>
                <w:szCs w:val="12"/>
                <w:color w:val="auto"/>
              </w:rPr>
            </w:pPr>
          </w:p>
        </w:tc>
        <w:tc>
          <w:tcPr>
            <w:tcW w:w="2900" w:type="dxa"/>
            <w:vAlign w:val="bottom"/>
            <w:tcBorders>
              <w:bottom w:val="single" w:sz="8" w:color="auto"/>
            </w:tcBorders>
          </w:tcPr>
          <w:p>
            <w:pPr>
              <w:spacing w:after="0"/>
              <w:rPr>
                <w:sz w:val="12"/>
                <w:szCs w:val="12"/>
                <w:color w:val="auto"/>
              </w:rPr>
            </w:pPr>
          </w:p>
        </w:tc>
        <w:tc>
          <w:tcPr>
            <w:tcW w:w="1540" w:type="dxa"/>
            <w:vAlign w:val="bottom"/>
            <w:tcBorders>
              <w:bottom w:val="single" w:sz="8" w:color="auto"/>
            </w:tcBorders>
            <w:shd w:val="clear" w:color="auto" w:fill="D8D8D8"/>
          </w:tcPr>
          <w:p>
            <w:pPr>
              <w:jc w:val="right"/>
              <w:ind w:right="269"/>
              <w:spacing w:after="0"/>
              <w:rPr>
                <w:sz w:val="20"/>
                <w:szCs w:val="20"/>
                <w:color w:val="auto"/>
              </w:rPr>
            </w:pPr>
            <w:r>
              <w:rPr>
                <w:rFonts w:ascii="Arial" w:cs="Arial" w:eastAsia="Arial" w:hAnsi="Arial"/>
                <w:sz w:val="13"/>
                <w:szCs w:val="13"/>
                <w:color w:val="auto"/>
              </w:rPr>
              <w:t>2014</w:t>
            </w:r>
          </w:p>
        </w:tc>
        <w:tc>
          <w:tcPr>
            <w:tcW w:w="1600" w:type="dxa"/>
            <w:vAlign w:val="bottom"/>
            <w:tcBorders>
              <w:bottom w:val="single" w:sz="8" w:color="auto"/>
            </w:tcBorders>
          </w:tcPr>
          <w:p>
            <w:pPr>
              <w:jc w:val="right"/>
              <w:ind w:right="268"/>
              <w:spacing w:after="0"/>
              <w:rPr>
                <w:sz w:val="20"/>
                <w:szCs w:val="20"/>
                <w:color w:val="auto"/>
              </w:rPr>
            </w:pPr>
            <w:r>
              <w:rPr>
                <w:rFonts w:ascii="Arial" w:cs="Arial" w:eastAsia="Arial" w:hAnsi="Arial"/>
                <w:sz w:val="13"/>
                <w:szCs w:val="13"/>
                <w:color w:val="auto"/>
              </w:rPr>
              <w:t>2013</w:t>
            </w:r>
          </w:p>
        </w:tc>
      </w:tr>
      <w:tr>
        <w:trPr>
          <w:trHeight w:val="156"/>
        </w:trPr>
        <w:tc>
          <w:tcPr>
            <w:tcW w:w="5380" w:type="dxa"/>
            <w:vAlign w:val="bottom"/>
            <w:gridSpan w:val="2"/>
          </w:tcPr>
          <w:p>
            <w:pPr>
              <w:spacing w:after="0" w:line="155" w:lineRule="exact"/>
              <w:rPr>
                <w:sz w:val="20"/>
                <w:szCs w:val="20"/>
                <w:color w:val="auto"/>
              </w:rPr>
            </w:pPr>
            <w:r>
              <w:rPr>
                <w:rFonts w:ascii="Arial" w:cs="Arial" w:eastAsia="Arial" w:hAnsi="Arial"/>
                <w:sz w:val="14"/>
                <w:szCs w:val="14"/>
                <w:color w:val="auto"/>
              </w:rPr>
              <w:t>Income for the period</w:t>
            </w:r>
          </w:p>
        </w:tc>
        <w:tc>
          <w:tcPr>
            <w:tcW w:w="2900" w:type="dxa"/>
            <w:vAlign w:val="bottom"/>
          </w:tcPr>
          <w:p>
            <w:pPr>
              <w:spacing w:after="0"/>
              <w:rPr>
                <w:sz w:val="13"/>
                <w:szCs w:val="13"/>
                <w:color w:val="auto"/>
              </w:rPr>
            </w:pPr>
          </w:p>
        </w:tc>
        <w:tc>
          <w:tcPr>
            <w:tcW w:w="1540" w:type="dxa"/>
            <w:vAlign w:val="bottom"/>
            <w:shd w:val="clear" w:color="auto" w:fill="D8D8D8"/>
          </w:tcPr>
          <w:p>
            <w:pPr>
              <w:jc w:val="right"/>
              <w:ind w:right="269"/>
              <w:spacing w:after="0" w:line="155" w:lineRule="exact"/>
              <w:rPr>
                <w:sz w:val="20"/>
                <w:szCs w:val="20"/>
                <w:color w:val="auto"/>
              </w:rPr>
            </w:pPr>
            <w:r>
              <w:rPr>
                <w:rFonts w:ascii="Arial" w:cs="Arial" w:eastAsia="Arial" w:hAnsi="Arial"/>
                <w:sz w:val="14"/>
                <w:szCs w:val="14"/>
                <w:color w:val="auto"/>
              </w:rPr>
              <w:t>16,079</w:t>
            </w:r>
          </w:p>
        </w:tc>
        <w:tc>
          <w:tcPr>
            <w:tcW w:w="1600" w:type="dxa"/>
            <w:vAlign w:val="bottom"/>
          </w:tcPr>
          <w:p>
            <w:pPr>
              <w:jc w:val="right"/>
              <w:ind w:right="268"/>
              <w:spacing w:after="0" w:line="155" w:lineRule="exact"/>
              <w:rPr>
                <w:sz w:val="20"/>
                <w:szCs w:val="20"/>
                <w:color w:val="auto"/>
              </w:rPr>
            </w:pPr>
            <w:r>
              <w:rPr>
                <w:rFonts w:ascii="Arial" w:cs="Arial" w:eastAsia="Arial" w:hAnsi="Arial"/>
                <w:sz w:val="14"/>
                <w:szCs w:val="14"/>
                <w:color w:val="auto"/>
              </w:rPr>
              <w:t>14,249</w:t>
            </w:r>
          </w:p>
        </w:tc>
      </w:tr>
      <w:tr>
        <w:trPr>
          <w:trHeight w:val="20"/>
        </w:trPr>
        <w:tc>
          <w:tcPr>
            <w:tcW w:w="20" w:type="dxa"/>
            <w:vAlign w:val="bottom"/>
          </w:tcPr>
          <w:p>
            <w:pPr>
              <w:spacing w:after="0" w:line="20" w:lineRule="exact"/>
              <w:rPr>
                <w:sz w:val="1"/>
                <w:szCs w:val="1"/>
                <w:color w:val="auto"/>
              </w:rPr>
            </w:pPr>
          </w:p>
        </w:tc>
        <w:tc>
          <w:tcPr>
            <w:tcW w:w="5360" w:type="dxa"/>
            <w:vAlign w:val="bottom"/>
            <w:shd w:val="clear" w:color="auto" w:fill="000000"/>
          </w:tcPr>
          <w:p>
            <w:pPr>
              <w:spacing w:after="0" w:line="20" w:lineRule="exact"/>
              <w:rPr>
                <w:sz w:val="1"/>
                <w:szCs w:val="1"/>
                <w:color w:val="auto"/>
              </w:rPr>
            </w:pPr>
          </w:p>
        </w:tc>
        <w:tc>
          <w:tcPr>
            <w:tcW w:w="2900" w:type="dxa"/>
            <w:vAlign w:val="bottom"/>
            <w:shd w:val="clear" w:color="auto" w:fill="000000"/>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1600" w:type="dxa"/>
            <w:vAlign w:val="bottom"/>
            <w:shd w:val="clear" w:color="auto" w:fill="000000"/>
          </w:tcPr>
          <w:p>
            <w:pPr>
              <w:spacing w:after="0" w:line="20" w:lineRule="exact"/>
              <w:rPr>
                <w:sz w:val="1"/>
                <w:szCs w:val="1"/>
                <w:color w:val="auto"/>
              </w:rPr>
            </w:pPr>
          </w:p>
        </w:tc>
      </w:tr>
      <w:tr>
        <w:trPr>
          <w:trHeight w:val="156"/>
        </w:trPr>
        <w:tc>
          <w:tcPr>
            <w:tcW w:w="5380" w:type="dxa"/>
            <w:vAlign w:val="bottom"/>
            <w:gridSpan w:val="2"/>
          </w:tcPr>
          <w:p>
            <w:pPr>
              <w:spacing w:after="0" w:line="155" w:lineRule="exact"/>
              <w:rPr>
                <w:sz w:val="20"/>
                <w:szCs w:val="20"/>
                <w:color w:val="auto"/>
              </w:rPr>
            </w:pPr>
            <w:r>
              <w:rPr>
                <w:rFonts w:ascii="Arial" w:cs="Arial" w:eastAsia="Arial" w:hAnsi="Arial"/>
                <w:sz w:val="14"/>
                <w:szCs w:val="14"/>
                <w:color w:val="auto"/>
              </w:rPr>
              <w:t>Comprehensive income for the period</w:t>
            </w:r>
          </w:p>
        </w:tc>
        <w:tc>
          <w:tcPr>
            <w:tcW w:w="2900" w:type="dxa"/>
            <w:vAlign w:val="bottom"/>
          </w:tcPr>
          <w:p>
            <w:pPr>
              <w:spacing w:after="0"/>
              <w:rPr>
                <w:sz w:val="13"/>
                <w:szCs w:val="13"/>
                <w:color w:val="auto"/>
              </w:rPr>
            </w:pPr>
          </w:p>
        </w:tc>
        <w:tc>
          <w:tcPr>
            <w:tcW w:w="1540" w:type="dxa"/>
            <w:vAlign w:val="bottom"/>
            <w:shd w:val="clear" w:color="auto" w:fill="D8D8D8"/>
          </w:tcPr>
          <w:p>
            <w:pPr>
              <w:jc w:val="right"/>
              <w:ind w:right="269"/>
              <w:spacing w:after="0" w:line="155" w:lineRule="exact"/>
              <w:rPr>
                <w:sz w:val="20"/>
                <w:szCs w:val="20"/>
                <w:color w:val="auto"/>
              </w:rPr>
            </w:pPr>
            <w:r>
              <w:rPr>
                <w:rFonts w:ascii="Arial" w:cs="Arial" w:eastAsia="Arial" w:hAnsi="Arial"/>
                <w:sz w:val="14"/>
                <w:szCs w:val="14"/>
                <w:color w:val="auto"/>
              </w:rPr>
              <w:t>16,079</w:t>
            </w:r>
          </w:p>
        </w:tc>
        <w:tc>
          <w:tcPr>
            <w:tcW w:w="1600" w:type="dxa"/>
            <w:vAlign w:val="bottom"/>
          </w:tcPr>
          <w:p>
            <w:pPr>
              <w:jc w:val="right"/>
              <w:ind w:right="268"/>
              <w:spacing w:after="0" w:line="155" w:lineRule="exact"/>
              <w:rPr>
                <w:sz w:val="20"/>
                <w:szCs w:val="20"/>
                <w:color w:val="auto"/>
              </w:rPr>
            </w:pPr>
            <w:r>
              <w:rPr>
                <w:rFonts w:ascii="Arial" w:cs="Arial" w:eastAsia="Arial" w:hAnsi="Arial"/>
                <w:sz w:val="14"/>
                <w:szCs w:val="14"/>
                <w:color w:val="auto"/>
              </w:rPr>
              <w:t>14,249</w:t>
            </w:r>
          </w:p>
        </w:tc>
      </w:tr>
      <w:tr>
        <w:trPr>
          <w:trHeight w:val="196"/>
        </w:trPr>
        <w:tc>
          <w:tcPr>
            <w:tcW w:w="20" w:type="dxa"/>
            <w:vAlign w:val="bottom"/>
          </w:tcPr>
          <w:p>
            <w:pPr>
              <w:spacing w:after="0"/>
              <w:rPr>
                <w:sz w:val="17"/>
                <w:szCs w:val="17"/>
                <w:color w:val="auto"/>
              </w:rPr>
            </w:pPr>
          </w:p>
        </w:tc>
        <w:tc>
          <w:tcPr>
            <w:tcW w:w="5360" w:type="dxa"/>
            <w:vAlign w:val="bottom"/>
            <w:tcBorders>
              <w:top w:val="single" w:sz="8" w:color="auto"/>
            </w:tcBorders>
          </w:tcPr>
          <w:p>
            <w:pPr>
              <w:spacing w:after="0"/>
              <w:rPr>
                <w:sz w:val="17"/>
                <w:szCs w:val="17"/>
                <w:color w:val="auto"/>
              </w:rPr>
            </w:pPr>
          </w:p>
        </w:tc>
        <w:tc>
          <w:tcPr>
            <w:tcW w:w="2900" w:type="dxa"/>
            <w:vAlign w:val="bottom"/>
            <w:tcBorders>
              <w:top w:val="single" w:sz="8" w:color="auto"/>
            </w:tcBorders>
          </w:tcPr>
          <w:p>
            <w:pPr>
              <w:spacing w:after="0"/>
              <w:rPr>
                <w:sz w:val="17"/>
                <w:szCs w:val="17"/>
                <w:color w:val="auto"/>
              </w:rPr>
            </w:pPr>
          </w:p>
        </w:tc>
        <w:tc>
          <w:tcPr>
            <w:tcW w:w="1540" w:type="dxa"/>
            <w:vAlign w:val="bottom"/>
            <w:tcBorders>
              <w:top w:val="single" w:sz="8" w:color="auto"/>
            </w:tcBorders>
          </w:tcPr>
          <w:p>
            <w:pPr>
              <w:spacing w:after="0"/>
              <w:rPr>
                <w:sz w:val="17"/>
                <w:szCs w:val="17"/>
                <w:color w:val="auto"/>
              </w:rPr>
            </w:pPr>
          </w:p>
        </w:tc>
        <w:tc>
          <w:tcPr>
            <w:tcW w:w="1600" w:type="dxa"/>
            <w:vAlign w:val="bottom"/>
            <w:tcBorders>
              <w:top w:val="single" w:sz="8" w:color="auto"/>
            </w:tcBorders>
          </w:tcPr>
          <w:p>
            <w:pPr>
              <w:spacing w:after="0"/>
              <w:rPr>
                <w:sz w:val="17"/>
                <w:szCs w:val="17"/>
                <w:color w:val="auto"/>
              </w:rPr>
            </w:pPr>
          </w:p>
        </w:tc>
      </w:tr>
      <w:tr>
        <w:trPr>
          <w:trHeight w:val="162"/>
        </w:trPr>
        <w:tc>
          <w:tcPr>
            <w:tcW w:w="20" w:type="dxa"/>
            <w:vAlign w:val="bottom"/>
          </w:tcPr>
          <w:p>
            <w:pPr>
              <w:spacing w:after="0"/>
              <w:rPr>
                <w:sz w:val="14"/>
                <w:szCs w:val="14"/>
                <w:color w:val="auto"/>
              </w:rPr>
            </w:pPr>
          </w:p>
        </w:tc>
        <w:tc>
          <w:tcPr>
            <w:tcW w:w="5360" w:type="dxa"/>
            <w:vAlign w:val="bottom"/>
            <w:shd w:val="clear" w:color="auto" w:fill="333333"/>
          </w:tcPr>
          <w:p>
            <w:pPr>
              <w:ind w:left="60"/>
              <w:spacing w:after="0" w:line="162" w:lineRule="exact"/>
              <w:rPr>
                <w:sz w:val="20"/>
                <w:szCs w:val="20"/>
                <w:color w:val="auto"/>
              </w:rPr>
            </w:pPr>
            <w:r>
              <w:rPr>
                <w:rFonts w:ascii="Arial" w:cs="Arial" w:eastAsia="Arial" w:hAnsi="Arial"/>
                <w:sz w:val="15"/>
                <w:szCs w:val="15"/>
                <w:b w:val="1"/>
                <w:bCs w:val="1"/>
                <w:color w:val="FFFFFF"/>
              </w:rPr>
              <w:t>BALANCE SHEET</w:t>
            </w:r>
          </w:p>
        </w:tc>
        <w:tc>
          <w:tcPr>
            <w:tcW w:w="2900" w:type="dxa"/>
            <w:vAlign w:val="bottom"/>
            <w:shd w:val="clear" w:color="auto" w:fill="333333"/>
          </w:tcPr>
          <w:p>
            <w:pPr>
              <w:spacing w:after="0"/>
              <w:rPr>
                <w:sz w:val="14"/>
                <w:szCs w:val="14"/>
                <w:color w:val="auto"/>
              </w:rPr>
            </w:pPr>
          </w:p>
        </w:tc>
        <w:tc>
          <w:tcPr>
            <w:tcW w:w="1540" w:type="dxa"/>
            <w:vAlign w:val="bottom"/>
            <w:shd w:val="clear" w:color="auto" w:fill="333333"/>
          </w:tcPr>
          <w:p>
            <w:pPr>
              <w:spacing w:after="0"/>
              <w:rPr>
                <w:sz w:val="14"/>
                <w:szCs w:val="14"/>
                <w:color w:val="auto"/>
              </w:rPr>
            </w:pPr>
          </w:p>
        </w:tc>
        <w:tc>
          <w:tcPr>
            <w:tcW w:w="1600" w:type="dxa"/>
            <w:vAlign w:val="bottom"/>
            <w:shd w:val="clear" w:color="auto" w:fill="333333"/>
          </w:tcPr>
          <w:p>
            <w:pPr>
              <w:jc w:val="right"/>
              <w:ind w:right="268"/>
              <w:spacing w:after="0" w:line="162" w:lineRule="exact"/>
              <w:rPr>
                <w:sz w:val="20"/>
                <w:szCs w:val="20"/>
                <w:color w:val="auto"/>
              </w:rPr>
            </w:pPr>
            <w:r>
              <w:rPr>
                <w:rFonts w:ascii="Arial" w:cs="Arial" w:eastAsia="Arial" w:hAnsi="Arial"/>
                <w:sz w:val="15"/>
                <w:szCs w:val="15"/>
                <w:color w:val="FFFFFF"/>
              </w:rPr>
              <w:t>$ MILLION</w:t>
            </w:r>
          </w:p>
        </w:tc>
      </w:tr>
      <w:tr>
        <w:trPr>
          <w:trHeight w:val="149"/>
        </w:trPr>
        <w:tc>
          <w:tcPr>
            <w:tcW w:w="20" w:type="dxa"/>
            <w:vAlign w:val="bottom"/>
          </w:tcPr>
          <w:p>
            <w:pPr>
              <w:spacing w:after="0"/>
              <w:rPr>
                <w:sz w:val="12"/>
                <w:szCs w:val="12"/>
                <w:color w:val="auto"/>
              </w:rPr>
            </w:pPr>
          </w:p>
        </w:tc>
        <w:tc>
          <w:tcPr>
            <w:tcW w:w="5360" w:type="dxa"/>
            <w:vAlign w:val="bottom"/>
            <w:tcBorders>
              <w:bottom w:val="single" w:sz="8" w:color="auto"/>
            </w:tcBorders>
          </w:tcPr>
          <w:p>
            <w:pPr>
              <w:spacing w:after="0"/>
              <w:rPr>
                <w:sz w:val="12"/>
                <w:szCs w:val="12"/>
                <w:color w:val="auto"/>
              </w:rPr>
            </w:pPr>
          </w:p>
        </w:tc>
        <w:tc>
          <w:tcPr>
            <w:tcW w:w="2900" w:type="dxa"/>
            <w:vAlign w:val="bottom"/>
            <w:tcBorders>
              <w:bottom w:val="single" w:sz="8" w:color="auto"/>
            </w:tcBorders>
          </w:tcPr>
          <w:p>
            <w:pPr>
              <w:jc w:val="right"/>
              <w:ind w:right="269"/>
              <w:spacing w:after="0"/>
              <w:rPr>
                <w:sz w:val="20"/>
                <w:szCs w:val="20"/>
                <w:color w:val="auto"/>
              </w:rPr>
            </w:pPr>
            <w:r>
              <w:rPr>
                <w:rFonts w:ascii="Arial" w:cs="Arial" w:eastAsia="Arial" w:hAnsi="Arial"/>
                <w:sz w:val="13"/>
                <w:szCs w:val="13"/>
                <w:color w:val="auto"/>
              </w:rPr>
              <w:t>NOTES</w:t>
            </w:r>
          </w:p>
        </w:tc>
        <w:tc>
          <w:tcPr>
            <w:tcW w:w="1540" w:type="dxa"/>
            <w:vAlign w:val="bottom"/>
            <w:tcBorders>
              <w:bottom w:val="single" w:sz="8" w:color="auto"/>
            </w:tcBorders>
            <w:shd w:val="clear" w:color="auto" w:fill="D8D8D8"/>
          </w:tcPr>
          <w:p>
            <w:pPr>
              <w:jc w:val="right"/>
              <w:ind w:right="269"/>
              <w:spacing w:after="0"/>
              <w:rPr>
                <w:sz w:val="20"/>
                <w:szCs w:val="20"/>
                <w:color w:val="auto"/>
              </w:rPr>
            </w:pPr>
            <w:r>
              <w:rPr>
                <w:rFonts w:ascii="Arial" w:cs="Arial" w:eastAsia="Arial" w:hAnsi="Arial"/>
                <w:sz w:val="13"/>
                <w:szCs w:val="13"/>
                <w:color w:val="auto"/>
              </w:rPr>
              <w:t>Dec 31, 2014</w:t>
            </w:r>
          </w:p>
        </w:tc>
        <w:tc>
          <w:tcPr>
            <w:tcW w:w="1600" w:type="dxa"/>
            <w:vAlign w:val="bottom"/>
            <w:tcBorders>
              <w:bottom w:val="single" w:sz="8" w:color="auto"/>
            </w:tcBorders>
          </w:tcPr>
          <w:p>
            <w:pPr>
              <w:jc w:val="right"/>
              <w:ind w:right="268"/>
              <w:spacing w:after="0"/>
              <w:rPr>
                <w:sz w:val="20"/>
                <w:szCs w:val="20"/>
                <w:color w:val="auto"/>
              </w:rPr>
            </w:pPr>
            <w:r>
              <w:rPr>
                <w:rFonts w:ascii="Arial" w:cs="Arial" w:eastAsia="Arial" w:hAnsi="Arial"/>
                <w:sz w:val="13"/>
                <w:szCs w:val="13"/>
                <w:color w:val="auto"/>
              </w:rPr>
              <w:t>Dec 31, 2013</w:t>
            </w:r>
          </w:p>
        </w:tc>
      </w:tr>
      <w:tr>
        <w:trPr>
          <w:trHeight w:val="156"/>
        </w:trPr>
        <w:tc>
          <w:tcPr>
            <w:tcW w:w="20" w:type="dxa"/>
            <w:vAlign w:val="bottom"/>
          </w:tcPr>
          <w:p>
            <w:pPr>
              <w:spacing w:after="0"/>
              <w:rPr>
                <w:sz w:val="13"/>
                <w:szCs w:val="13"/>
                <w:color w:val="auto"/>
              </w:rPr>
            </w:pPr>
          </w:p>
        </w:tc>
        <w:tc>
          <w:tcPr>
            <w:tcW w:w="5360" w:type="dxa"/>
            <w:vAlign w:val="bottom"/>
          </w:tcPr>
          <w:p>
            <w:pPr>
              <w:spacing w:after="0" w:line="155" w:lineRule="exact"/>
              <w:rPr>
                <w:sz w:val="20"/>
                <w:szCs w:val="20"/>
                <w:color w:val="auto"/>
              </w:rPr>
            </w:pPr>
            <w:r>
              <w:rPr>
                <w:rFonts w:ascii="Arial" w:cs="Arial" w:eastAsia="Arial" w:hAnsi="Arial"/>
                <w:sz w:val="14"/>
                <w:szCs w:val="14"/>
                <w:b w:val="1"/>
                <w:bCs w:val="1"/>
                <w:color w:val="auto"/>
              </w:rPr>
              <w:t>Assets</w:t>
            </w:r>
          </w:p>
        </w:tc>
        <w:tc>
          <w:tcPr>
            <w:tcW w:w="2900" w:type="dxa"/>
            <w:vAlign w:val="bottom"/>
          </w:tcPr>
          <w:p>
            <w:pPr>
              <w:spacing w:after="0"/>
              <w:rPr>
                <w:sz w:val="13"/>
                <w:szCs w:val="13"/>
                <w:color w:val="auto"/>
              </w:rPr>
            </w:pPr>
          </w:p>
        </w:tc>
        <w:tc>
          <w:tcPr>
            <w:tcW w:w="1540" w:type="dxa"/>
            <w:vAlign w:val="bottom"/>
            <w:shd w:val="clear" w:color="auto" w:fill="D8D8D8"/>
          </w:tcPr>
          <w:p>
            <w:pPr>
              <w:spacing w:after="0"/>
              <w:rPr>
                <w:sz w:val="13"/>
                <w:szCs w:val="13"/>
                <w:color w:val="auto"/>
              </w:rPr>
            </w:pPr>
          </w:p>
        </w:tc>
        <w:tc>
          <w:tcPr>
            <w:tcW w:w="1600" w:type="dxa"/>
            <w:vAlign w:val="bottom"/>
          </w:tcPr>
          <w:p>
            <w:pPr>
              <w:spacing w:after="0"/>
              <w:rPr>
                <w:sz w:val="13"/>
                <w:szCs w:val="13"/>
                <w:color w:val="auto"/>
              </w:rPr>
            </w:pPr>
          </w:p>
        </w:tc>
      </w:tr>
      <w:tr>
        <w:trPr>
          <w:trHeight w:val="162"/>
        </w:trPr>
        <w:tc>
          <w:tcPr>
            <w:tcW w:w="5380" w:type="dxa"/>
            <w:vAlign w:val="bottom"/>
            <w:gridSpan w:val="2"/>
          </w:tcPr>
          <w:p>
            <w:pPr>
              <w:spacing w:after="0"/>
              <w:rPr>
                <w:sz w:val="20"/>
                <w:szCs w:val="20"/>
                <w:color w:val="auto"/>
              </w:rPr>
            </w:pPr>
            <w:r>
              <w:rPr>
                <w:rFonts w:ascii="Arial" w:cs="Arial" w:eastAsia="Arial" w:hAnsi="Arial"/>
                <w:sz w:val="14"/>
                <w:szCs w:val="14"/>
                <w:color w:val="auto"/>
              </w:rPr>
              <w:t>Non-current assets</w:t>
            </w:r>
          </w:p>
        </w:tc>
        <w:tc>
          <w:tcPr>
            <w:tcW w:w="2900" w:type="dxa"/>
            <w:vAlign w:val="bottom"/>
          </w:tcPr>
          <w:p>
            <w:pPr>
              <w:spacing w:after="0"/>
              <w:rPr>
                <w:sz w:val="14"/>
                <w:szCs w:val="14"/>
                <w:color w:val="auto"/>
              </w:rPr>
            </w:pPr>
          </w:p>
        </w:tc>
        <w:tc>
          <w:tcPr>
            <w:tcW w:w="1540" w:type="dxa"/>
            <w:vAlign w:val="bottom"/>
            <w:shd w:val="clear" w:color="auto" w:fill="D8D8D8"/>
          </w:tcPr>
          <w:p>
            <w:pPr>
              <w:spacing w:after="0"/>
              <w:rPr>
                <w:sz w:val="14"/>
                <w:szCs w:val="14"/>
                <w:color w:val="auto"/>
              </w:rPr>
            </w:pPr>
          </w:p>
        </w:tc>
        <w:tc>
          <w:tcPr>
            <w:tcW w:w="1600" w:type="dxa"/>
            <w:vAlign w:val="bottom"/>
          </w:tcPr>
          <w:p>
            <w:pPr>
              <w:spacing w:after="0"/>
              <w:rPr>
                <w:sz w:val="14"/>
                <w:szCs w:val="14"/>
                <w:color w:val="auto"/>
              </w:rPr>
            </w:pPr>
          </w:p>
        </w:tc>
      </w:tr>
      <w:tr>
        <w:trPr>
          <w:trHeight w:val="167"/>
        </w:trPr>
        <w:tc>
          <w:tcPr>
            <w:tcW w:w="5380" w:type="dxa"/>
            <w:vAlign w:val="bottom"/>
            <w:gridSpan w:val="2"/>
          </w:tcPr>
          <w:p>
            <w:pPr>
              <w:spacing w:after="0"/>
              <w:rPr>
                <w:sz w:val="20"/>
                <w:szCs w:val="20"/>
                <w:color w:val="auto"/>
              </w:rPr>
            </w:pPr>
            <w:r>
              <w:rPr>
                <w:rFonts w:ascii="Arial" w:cs="Arial" w:eastAsia="Arial" w:hAnsi="Arial"/>
                <w:sz w:val="14"/>
                <w:szCs w:val="14"/>
                <w:color w:val="auto"/>
              </w:rPr>
              <w:t>Investments in subsidiaries</w:t>
            </w:r>
          </w:p>
        </w:tc>
        <w:tc>
          <w:tcPr>
            <w:tcW w:w="2900" w:type="dxa"/>
            <w:vAlign w:val="bottom"/>
          </w:tcPr>
          <w:p>
            <w:pPr>
              <w:jc w:val="right"/>
              <w:ind w:right="269"/>
              <w:spacing w:after="0"/>
              <w:rPr>
                <w:sz w:val="20"/>
                <w:szCs w:val="20"/>
                <w:color w:val="auto"/>
              </w:rPr>
            </w:pPr>
            <w:r>
              <w:rPr>
                <w:rFonts w:ascii="Arial" w:cs="Arial" w:eastAsia="Arial" w:hAnsi="Arial"/>
                <w:sz w:val="14"/>
                <w:szCs w:val="14"/>
                <w:color w:val="auto"/>
              </w:rPr>
              <w:t>4</w:t>
            </w:r>
          </w:p>
        </w:tc>
        <w:tc>
          <w:tcPr>
            <w:tcW w:w="1540" w:type="dxa"/>
            <w:vAlign w:val="bottom"/>
            <w:shd w:val="clear" w:color="auto" w:fill="D8D8D8"/>
          </w:tcPr>
          <w:p>
            <w:pPr>
              <w:jc w:val="right"/>
              <w:ind w:right="269"/>
              <w:spacing w:after="0"/>
              <w:rPr>
                <w:sz w:val="20"/>
                <w:szCs w:val="20"/>
                <w:color w:val="auto"/>
              </w:rPr>
            </w:pPr>
            <w:r>
              <w:rPr>
                <w:rFonts w:ascii="Arial" w:cs="Arial" w:eastAsia="Arial" w:hAnsi="Arial"/>
                <w:sz w:val="14"/>
                <w:szCs w:val="14"/>
                <w:color w:val="auto"/>
              </w:rPr>
              <w:t>202,791</w:t>
            </w:r>
          </w:p>
        </w:tc>
        <w:tc>
          <w:tcPr>
            <w:tcW w:w="1600" w:type="dxa"/>
            <w:vAlign w:val="bottom"/>
          </w:tcPr>
          <w:p>
            <w:pPr>
              <w:jc w:val="right"/>
              <w:ind w:right="268"/>
              <w:spacing w:after="0"/>
              <w:rPr>
                <w:sz w:val="20"/>
                <w:szCs w:val="20"/>
                <w:color w:val="auto"/>
              </w:rPr>
            </w:pPr>
            <w:r>
              <w:rPr>
                <w:rFonts w:ascii="Arial" w:cs="Arial" w:eastAsia="Arial" w:hAnsi="Arial"/>
                <w:sz w:val="14"/>
                <w:szCs w:val="14"/>
                <w:color w:val="auto"/>
              </w:rPr>
              <w:t>202,458</w:t>
            </w:r>
          </w:p>
        </w:tc>
      </w:tr>
      <w:tr>
        <w:trPr>
          <w:trHeight w:val="157"/>
        </w:trPr>
        <w:tc>
          <w:tcPr>
            <w:tcW w:w="5380" w:type="dxa"/>
            <w:vAlign w:val="bottom"/>
            <w:gridSpan w:val="2"/>
          </w:tcPr>
          <w:p>
            <w:pPr>
              <w:spacing w:after="0" w:line="157" w:lineRule="exact"/>
              <w:rPr>
                <w:sz w:val="20"/>
                <w:szCs w:val="20"/>
                <w:color w:val="auto"/>
              </w:rPr>
            </w:pPr>
            <w:r>
              <w:rPr>
                <w:rFonts w:ascii="Arial" w:cs="Arial" w:eastAsia="Arial" w:hAnsi="Arial"/>
                <w:sz w:val="14"/>
                <w:szCs w:val="14"/>
                <w:color w:val="auto"/>
              </w:rPr>
              <w:t>Deferred tax</w:t>
            </w:r>
          </w:p>
        </w:tc>
        <w:tc>
          <w:tcPr>
            <w:tcW w:w="2900" w:type="dxa"/>
            <w:vAlign w:val="bottom"/>
          </w:tcPr>
          <w:p>
            <w:pPr>
              <w:jc w:val="right"/>
              <w:ind w:right="269"/>
              <w:spacing w:after="0" w:line="157" w:lineRule="exact"/>
              <w:rPr>
                <w:sz w:val="20"/>
                <w:szCs w:val="20"/>
                <w:color w:val="auto"/>
              </w:rPr>
            </w:pPr>
            <w:r>
              <w:rPr>
                <w:rFonts w:ascii="Arial" w:cs="Arial" w:eastAsia="Arial" w:hAnsi="Arial"/>
                <w:sz w:val="14"/>
                <w:szCs w:val="14"/>
                <w:color w:val="auto"/>
              </w:rPr>
              <w:t>8</w:t>
            </w:r>
          </w:p>
        </w:tc>
        <w:tc>
          <w:tcPr>
            <w:tcW w:w="1540" w:type="dxa"/>
            <w:vAlign w:val="bottom"/>
            <w:shd w:val="clear" w:color="auto" w:fill="D8D8D8"/>
          </w:tcPr>
          <w:p>
            <w:pPr>
              <w:jc w:val="right"/>
              <w:ind w:right="269"/>
              <w:spacing w:after="0" w:line="157" w:lineRule="exact"/>
              <w:rPr>
                <w:sz w:val="20"/>
                <w:szCs w:val="20"/>
                <w:color w:val="auto"/>
              </w:rPr>
            </w:pPr>
            <w:r>
              <w:rPr>
                <w:rFonts w:ascii="Arial" w:cs="Arial" w:eastAsia="Arial" w:hAnsi="Arial"/>
                <w:sz w:val="14"/>
                <w:szCs w:val="14"/>
                <w:color w:val="auto"/>
              </w:rPr>
              <w:t>493</w:t>
            </w:r>
          </w:p>
        </w:tc>
        <w:tc>
          <w:tcPr>
            <w:tcW w:w="1600" w:type="dxa"/>
            <w:vAlign w:val="bottom"/>
          </w:tcPr>
          <w:p>
            <w:pPr>
              <w:jc w:val="right"/>
              <w:ind w:right="268"/>
              <w:spacing w:after="0" w:line="157" w:lineRule="exact"/>
              <w:rPr>
                <w:sz w:val="20"/>
                <w:szCs w:val="20"/>
                <w:color w:val="auto"/>
              </w:rPr>
            </w:pPr>
            <w:r>
              <w:rPr>
                <w:rFonts w:ascii="Arial" w:cs="Arial" w:eastAsia="Arial" w:hAnsi="Arial"/>
                <w:sz w:val="14"/>
                <w:szCs w:val="14"/>
                <w:color w:val="auto"/>
              </w:rPr>
              <w:t>565</w:t>
            </w:r>
          </w:p>
        </w:tc>
      </w:tr>
      <w:tr>
        <w:trPr>
          <w:trHeight w:val="156"/>
        </w:trPr>
        <w:tc>
          <w:tcPr>
            <w:tcW w:w="20" w:type="dxa"/>
            <w:vAlign w:val="bottom"/>
          </w:tcPr>
          <w:p>
            <w:pPr>
              <w:spacing w:after="0"/>
              <w:rPr>
                <w:sz w:val="13"/>
                <w:szCs w:val="13"/>
                <w:color w:val="auto"/>
              </w:rPr>
            </w:pPr>
          </w:p>
        </w:tc>
        <w:tc>
          <w:tcPr>
            <w:tcW w:w="5360" w:type="dxa"/>
            <w:vAlign w:val="bottom"/>
            <w:tcBorders>
              <w:top w:val="single" w:sz="8" w:color="auto"/>
              <w:bottom w:val="single" w:sz="8" w:color="auto"/>
            </w:tcBorders>
          </w:tcPr>
          <w:p>
            <w:pPr>
              <w:spacing w:after="0"/>
              <w:rPr>
                <w:sz w:val="13"/>
                <w:szCs w:val="13"/>
                <w:color w:val="auto"/>
              </w:rPr>
            </w:pPr>
          </w:p>
        </w:tc>
        <w:tc>
          <w:tcPr>
            <w:tcW w:w="2900" w:type="dxa"/>
            <w:vAlign w:val="bottom"/>
            <w:tcBorders>
              <w:top w:val="single" w:sz="8" w:color="auto"/>
              <w:bottom w:val="single" w:sz="8" w:color="auto"/>
            </w:tcBorders>
          </w:tcPr>
          <w:p>
            <w:pPr>
              <w:spacing w:after="0"/>
              <w:rPr>
                <w:sz w:val="13"/>
                <w:szCs w:val="13"/>
                <w:color w:val="auto"/>
              </w:rPr>
            </w:pPr>
          </w:p>
        </w:tc>
        <w:tc>
          <w:tcPr>
            <w:tcW w:w="1540" w:type="dxa"/>
            <w:vAlign w:val="bottom"/>
            <w:tcBorders>
              <w:top w:val="single" w:sz="8" w:color="auto"/>
              <w:bottom w:val="single" w:sz="8" w:color="auto"/>
            </w:tcBorders>
            <w:shd w:val="clear" w:color="auto" w:fill="D8D8D8"/>
          </w:tcPr>
          <w:p>
            <w:pPr>
              <w:jc w:val="right"/>
              <w:ind w:right="269"/>
              <w:spacing w:after="0" w:line="155" w:lineRule="exact"/>
              <w:rPr>
                <w:sz w:val="20"/>
                <w:szCs w:val="20"/>
                <w:color w:val="auto"/>
              </w:rPr>
            </w:pPr>
            <w:r>
              <w:rPr>
                <w:rFonts w:ascii="Arial" w:cs="Arial" w:eastAsia="Arial" w:hAnsi="Arial"/>
                <w:sz w:val="14"/>
                <w:szCs w:val="14"/>
                <w:color w:val="auto"/>
              </w:rPr>
              <w:t>203,284</w:t>
            </w:r>
          </w:p>
        </w:tc>
        <w:tc>
          <w:tcPr>
            <w:tcW w:w="1600" w:type="dxa"/>
            <w:vAlign w:val="bottom"/>
            <w:tcBorders>
              <w:top w:val="single" w:sz="8" w:color="auto"/>
              <w:bottom w:val="single" w:sz="8" w:color="auto"/>
            </w:tcBorders>
          </w:tcPr>
          <w:p>
            <w:pPr>
              <w:jc w:val="right"/>
              <w:ind w:right="268"/>
              <w:spacing w:after="0" w:line="155" w:lineRule="exact"/>
              <w:rPr>
                <w:sz w:val="20"/>
                <w:szCs w:val="20"/>
                <w:color w:val="auto"/>
              </w:rPr>
            </w:pPr>
            <w:r>
              <w:rPr>
                <w:rFonts w:ascii="Arial" w:cs="Arial" w:eastAsia="Arial" w:hAnsi="Arial"/>
                <w:sz w:val="14"/>
                <w:szCs w:val="14"/>
                <w:color w:val="auto"/>
              </w:rPr>
              <w:t>203,023</w:t>
            </w:r>
          </w:p>
        </w:tc>
      </w:tr>
      <w:tr>
        <w:trPr>
          <w:trHeight w:val="160"/>
        </w:trPr>
        <w:tc>
          <w:tcPr>
            <w:tcW w:w="5380" w:type="dxa"/>
            <w:vAlign w:val="bottom"/>
            <w:gridSpan w:val="2"/>
          </w:tcPr>
          <w:p>
            <w:pPr>
              <w:spacing w:after="0"/>
              <w:rPr>
                <w:sz w:val="20"/>
                <w:szCs w:val="20"/>
                <w:color w:val="auto"/>
              </w:rPr>
            </w:pPr>
            <w:r>
              <w:rPr>
                <w:rFonts w:ascii="Arial" w:cs="Arial" w:eastAsia="Arial" w:hAnsi="Arial"/>
                <w:sz w:val="14"/>
                <w:szCs w:val="14"/>
                <w:color w:val="auto"/>
              </w:rPr>
              <w:t>Current assets</w:t>
            </w:r>
          </w:p>
        </w:tc>
        <w:tc>
          <w:tcPr>
            <w:tcW w:w="2900" w:type="dxa"/>
            <w:vAlign w:val="bottom"/>
          </w:tcPr>
          <w:p>
            <w:pPr>
              <w:spacing w:after="0"/>
              <w:rPr>
                <w:sz w:val="13"/>
                <w:szCs w:val="13"/>
                <w:color w:val="auto"/>
              </w:rPr>
            </w:pPr>
          </w:p>
        </w:tc>
        <w:tc>
          <w:tcPr>
            <w:tcW w:w="1540" w:type="dxa"/>
            <w:vAlign w:val="bottom"/>
            <w:shd w:val="clear" w:color="auto" w:fill="D8D8D8"/>
          </w:tcPr>
          <w:p>
            <w:pPr>
              <w:spacing w:after="0"/>
              <w:rPr>
                <w:sz w:val="13"/>
                <w:szCs w:val="13"/>
                <w:color w:val="auto"/>
              </w:rPr>
            </w:pPr>
          </w:p>
        </w:tc>
        <w:tc>
          <w:tcPr>
            <w:tcW w:w="1600" w:type="dxa"/>
            <w:vAlign w:val="bottom"/>
          </w:tcPr>
          <w:p>
            <w:pPr>
              <w:spacing w:after="0"/>
              <w:rPr>
                <w:sz w:val="13"/>
                <w:szCs w:val="13"/>
                <w:color w:val="auto"/>
              </w:rPr>
            </w:pPr>
          </w:p>
        </w:tc>
      </w:tr>
      <w:tr>
        <w:trPr>
          <w:trHeight w:val="162"/>
        </w:trPr>
        <w:tc>
          <w:tcPr>
            <w:tcW w:w="5380" w:type="dxa"/>
            <w:vAlign w:val="bottom"/>
            <w:gridSpan w:val="2"/>
          </w:tcPr>
          <w:p>
            <w:pPr>
              <w:spacing w:after="0"/>
              <w:rPr>
                <w:sz w:val="20"/>
                <w:szCs w:val="20"/>
                <w:color w:val="auto"/>
              </w:rPr>
            </w:pPr>
            <w:r>
              <w:rPr>
                <w:rFonts w:ascii="Arial" w:cs="Arial" w:eastAsia="Arial" w:hAnsi="Arial"/>
                <w:sz w:val="14"/>
                <w:szCs w:val="14"/>
                <w:color w:val="auto"/>
              </w:rPr>
              <w:t>Accounts receivable</w:t>
            </w:r>
          </w:p>
        </w:tc>
        <w:tc>
          <w:tcPr>
            <w:tcW w:w="2900" w:type="dxa"/>
            <w:vAlign w:val="bottom"/>
          </w:tcPr>
          <w:p>
            <w:pPr>
              <w:jc w:val="right"/>
              <w:ind w:right="269"/>
              <w:spacing w:after="0"/>
              <w:rPr>
                <w:sz w:val="20"/>
                <w:szCs w:val="20"/>
                <w:color w:val="auto"/>
              </w:rPr>
            </w:pPr>
            <w:r>
              <w:rPr>
                <w:rFonts w:ascii="Arial" w:cs="Arial" w:eastAsia="Arial" w:hAnsi="Arial"/>
                <w:sz w:val="14"/>
                <w:szCs w:val="14"/>
                <w:color w:val="auto"/>
              </w:rPr>
              <w:t>5</w:t>
            </w:r>
          </w:p>
        </w:tc>
        <w:tc>
          <w:tcPr>
            <w:tcW w:w="1540" w:type="dxa"/>
            <w:vAlign w:val="bottom"/>
            <w:shd w:val="clear" w:color="auto" w:fill="D8D8D8"/>
          </w:tcPr>
          <w:p>
            <w:pPr>
              <w:jc w:val="right"/>
              <w:ind w:right="269"/>
              <w:spacing w:after="0"/>
              <w:rPr>
                <w:sz w:val="20"/>
                <w:szCs w:val="20"/>
                <w:color w:val="auto"/>
              </w:rPr>
            </w:pPr>
            <w:r>
              <w:rPr>
                <w:rFonts w:ascii="Arial" w:cs="Arial" w:eastAsia="Arial" w:hAnsi="Arial"/>
                <w:sz w:val="14"/>
                <w:szCs w:val="14"/>
                <w:color w:val="auto"/>
              </w:rPr>
              <w:t>20,652</w:t>
            </w:r>
          </w:p>
        </w:tc>
        <w:tc>
          <w:tcPr>
            <w:tcW w:w="1600" w:type="dxa"/>
            <w:vAlign w:val="bottom"/>
          </w:tcPr>
          <w:p>
            <w:pPr>
              <w:jc w:val="right"/>
              <w:ind w:right="268"/>
              <w:spacing w:after="0"/>
              <w:rPr>
                <w:sz w:val="20"/>
                <w:szCs w:val="20"/>
                <w:color w:val="auto"/>
              </w:rPr>
            </w:pPr>
            <w:r>
              <w:rPr>
                <w:rFonts w:ascii="Arial" w:cs="Arial" w:eastAsia="Arial" w:hAnsi="Arial"/>
                <w:sz w:val="14"/>
                <w:szCs w:val="14"/>
                <w:color w:val="auto"/>
              </w:rPr>
              <w:t>15,032</w:t>
            </w:r>
          </w:p>
        </w:tc>
      </w:tr>
      <w:tr>
        <w:trPr>
          <w:trHeight w:val="157"/>
        </w:trPr>
        <w:tc>
          <w:tcPr>
            <w:tcW w:w="5380" w:type="dxa"/>
            <w:vAlign w:val="bottom"/>
            <w:gridSpan w:val="2"/>
          </w:tcPr>
          <w:p>
            <w:pPr>
              <w:spacing w:after="0" w:line="157" w:lineRule="exact"/>
              <w:rPr>
                <w:sz w:val="20"/>
                <w:szCs w:val="20"/>
                <w:color w:val="auto"/>
              </w:rPr>
            </w:pPr>
            <w:r>
              <w:rPr>
                <w:rFonts w:ascii="Arial" w:cs="Arial" w:eastAsia="Arial" w:hAnsi="Arial"/>
                <w:sz w:val="14"/>
                <w:szCs w:val="14"/>
                <w:color w:val="auto"/>
              </w:rPr>
              <w:t>Cash and cash equivalents</w:t>
            </w:r>
          </w:p>
        </w:tc>
        <w:tc>
          <w:tcPr>
            <w:tcW w:w="2900" w:type="dxa"/>
            <w:vAlign w:val="bottom"/>
          </w:tcPr>
          <w:p>
            <w:pPr>
              <w:jc w:val="right"/>
              <w:ind w:right="269"/>
              <w:spacing w:after="0" w:line="157" w:lineRule="exact"/>
              <w:rPr>
                <w:sz w:val="20"/>
                <w:szCs w:val="20"/>
                <w:color w:val="auto"/>
              </w:rPr>
            </w:pPr>
            <w:r>
              <w:rPr>
                <w:rFonts w:ascii="Arial" w:cs="Arial" w:eastAsia="Arial" w:hAnsi="Arial"/>
                <w:sz w:val="14"/>
                <w:szCs w:val="14"/>
                <w:color w:val="auto"/>
              </w:rPr>
              <w:t>6</w:t>
            </w:r>
          </w:p>
        </w:tc>
        <w:tc>
          <w:tcPr>
            <w:tcW w:w="1540" w:type="dxa"/>
            <w:vAlign w:val="bottom"/>
            <w:shd w:val="clear" w:color="auto" w:fill="D8D8D8"/>
          </w:tcPr>
          <w:p>
            <w:pPr>
              <w:jc w:val="right"/>
              <w:ind w:right="269"/>
              <w:spacing w:after="0" w:line="157" w:lineRule="exact"/>
              <w:rPr>
                <w:sz w:val="20"/>
                <w:szCs w:val="20"/>
                <w:color w:val="auto"/>
              </w:rPr>
            </w:pPr>
            <w:r>
              <w:rPr>
                <w:rFonts w:ascii="Arial" w:cs="Arial" w:eastAsia="Arial" w:hAnsi="Arial"/>
                <w:sz w:val="14"/>
                <w:szCs w:val="14"/>
                <w:color w:val="auto"/>
              </w:rPr>
              <w:t>168</w:t>
            </w:r>
          </w:p>
        </w:tc>
        <w:tc>
          <w:tcPr>
            <w:tcW w:w="1600" w:type="dxa"/>
            <w:vAlign w:val="bottom"/>
          </w:tcPr>
          <w:p>
            <w:pPr>
              <w:jc w:val="right"/>
              <w:ind w:right="268"/>
              <w:spacing w:after="0" w:line="157" w:lineRule="exact"/>
              <w:rPr>
                <w:sz w:val="20"/>
                <w:szCs w:val="20"/>
                <w:color w:val="auto"/>
              </w:rPr>
            </w:pPr>
            <w:r>
              <w:rPr>
                <w:rFonts w:ascii="Arial" w:cs="Arial" w:eastAsia="Arial" w:hAnsi="Arial"/>
                <w:sz w:val="14"/>
                <w:szCs w:val="14"/>
                <w:color w:val="auto"/>
              </w:rPr>
              <w:t>215</w:t>
            </w:r>
          </w:p>
        </w:tc>
      </w:tr>
      <w:tr>
        <w:trPr>
          <w:trHeight w:val="156"/>
        </w:trPr>
        <w:tc>
          <w:tcPr>
            <w:tcW w:w="20" w:type="dxa"/>
            <w:vAlign w:val="bottom"/>
          </w:tcPr>
          <w:p>
            <w:pPr>
              <w:spacing w:after="0"/>
              <w:rPr>
                <w:sz w:val="13"/>
                <w:szCs w:val="13"/>
                <w:color w:val="auto"/>
              </w:rPr>
            </w:pPr>
          </w:p>
        </w:tc>
        <w:tc>
          <w:tcPr>
            <w:tcW w:w="5360" w:type="dxa"/>
            <w:vAlign w:val="bottom"/>
            <w:tcBorders>
              <w:top w:val="single" w:sz="8" w:color="auto"/>
              <w:bottom w:val="single" w:sz="8" w:color="auto"/>
            </w:tcBorders>
          </w:tcPr>
          <w:p>
            <w:pPr>
              <w:spacing w:after="0"/>
              <w:rPr>
                <w:sz w:val="13"/>
                <w:szCs w:val="13"/>
                <w:color w:val="auto"/>
              </w:rPr>
            </w:pPr>
          </w:p>
        </w:tc>
        <w:tc>
          <w:tcPr>
            <w:tcW w:w="2900" w:type="dxa"/>
            <w:vAlign w:val="bottom"/>
            <w:tcBorders>
              <w:top w:val="single" w:sz="8" w:color="auto"/>
              <w:bottom w:val="single" w:sz="8" w:color="auto"/>
            </w:tcBorders>
          </w:tcPr>
          <w:p>
            <w:pPr>
              <w:spacing w:after="0"/>
              <w:rPr>
                <w:sz w:val="13"/>
                <w:szCs w:val="13"/>
                <w:color w:val="auto"/>
              </w:rPr>
            </w:pPr>
          </w:p>
        </w:tc>
        <w:tc>
          <w:tcPr>
            <w:tcW w:w="1540" w:type="dxa"/>
            <w:vAlign w:val="bottom"/>
            <w:tcBorders>
              <w:top w:val="single" w:sz="8" w:color="auto"/>
              <w:bottom w:val="single" w:sz="8" w:color="auto"/>
            </w:tcBorders>
            <w:shd w:val="clear" w:color="auto" w:fill="D8D8D8"/>
          </w:tcPr>
          <w:p>
            <w:pPr>
              <w:jc w:val="right"/>
              <w:ind w:right="269"/>
              <w:spacing w:after="0" w:line="155" w:lineRule="exact"/>
              <w:rPr>
                <w:sz w:val="20"/>
                <w:szCs w:val="20"/>
                <w:color w:val="auto"/>
              </w:rPr>
            </w:pPr>
            <w:r>
              <w:rPr>
                <w:rFonts w:ascii="Arial" w:cs="Arial" w:eastAsia="Arial" w:hAnsi="Arial"/>
                <w:sz w:val="14"/>
                <w:szCs w:val="14"/>
                <w:color w:val="auto"/>
              </w:rPr>
              <w:t>20,820</w:t>
            </w:r>
          </w:p>
        </w:tc>
        <w:tc>
          <w:tcPr>
            <w:tcW w:w="1600" w:type="dxa"/>
            <w:vAlign w:val="bottom"/>
            <w:tcBorders>
              <w:top w:val="single" w:sz="8" w:color="auto"/>
              <w:bottom w:val="single" w:sz="8" w:color="auto"/>
            </w:tcBorders>
          </w:tcPr>
          <w:p>
            <w:pPr>
              <w:jc w:val="right"/>
              <w:ind w:right="268"/>
              <w:spacing w:after="0" w:line="155" w:lineRule="exact"/>
              <w:rPr>
                <w:sz w:val="20"/>
                <w:szCs w:val="20"/>
                <w:color w:val="auto"/>
              </w:rPr>
            </w:pPr>
            <w:r>
              <w:rPr>
                <w:rFonts w:ascii="Arial" w:cs="Arial" w:eastAsia="Arial" w:hAnsi="Arial"/>
                <w:sz w:val="14"/>
                <w:szCs w:val="14"/>
                <w:color w:val="auto"/>
              </w:rPr>
              <w:t>15,247</w:t>
            </w:r>
          </w:p>
        </w:tc>
      </w:tr>
      <w:tr>
        <w:trPr>
          <w:trHeight w:val="156"/>
        </w:trPr>
        <w:tc>
          <w:tcPr>
            <w:tcW w:w="5380" w:type="dxa"/>
            <w:vAlign w:val="bottom"/>
            <w:tcBorders>
              <w:bottom w:val="single" w:sz="8" w:color="auto"/>
            </w:tcBorders>
            <w:gridSpan w:val="2"/>
          </w:tcPr>
          <w:p>
            <w:pPr>
              <w:spacing w:after="0" w:line="155" w:lineRule="exact"/>
              <w:rPr>
                <w:sz w:val="20"/>
                <w:szCs w:val="20"/>
                <w:color w:val="auto"/>
              </w:rPr>
            </w:pPr>
            <w:r>
              <w:rPr>
                <w:rFonts w:ascii="Arial" w:cs="Arial" w:eastAsia="Arial" w:hAnsi="Arial"/>
                <w:sz w:val="14"/>
                <w:szCs w:val="14"/>
                <w:color w:val="auto"/>
              </w:rPr>
              <w:t>Total assets</w:t>
            </w:r>
          </w:p>
        </w:tc>
        <w:tc>
          <w:tcPr>
            <w:tcW w:w="2900" w:type="dxa"/>
            <w:vAlign w:val="bottom"/>
            <w:tcBorders>
              <w:bottom w:val="single" w:sz="8" w:color="auto"/>
            </w:tcBorders>
          </w:tcPr>
          <w:p>
            <w:pPr>
              <w:spacing w:after="0"/>
              <w:rPr>
                <w:sz w:val="13"/>
                <w:szCs w:val="13"/>
                <w:color w:val="auto"/>
              </w:rPr>
            </w:pPr>
          </w:p>
        </w:tc>
        <w:tc>
          <w:tcPr>
            <w:tcW w:w="1540" w:type="dxa"/>
            <w:vAlign w:val="bottom"/>
            <w:tcBorders>
              <w:bottom w:val="single" w:sz="8" w:color="auto"/>
            </w:tcBorders>
            <w:shd w:val="clear" w:color="auto" w:fill="D8D8D8"/>
          </w:tcPr>
          <w:p>
            <w:pPr>
              <w:jc w:val="right"/>
              <w:ind w:right="269"/>
              <w:spacing w:after="0" w:line="155" w:lineRule="exact"/>
              <w:rPr>
                <w:sz w:val="20"/>
                <w:szCs w:val="20"/>
                <w:color w:val="auto"/>
              </w:rPr>
            </w:pPr>
            <w:r>
              <w:rPr>
                <w:rFonts w:ascii="Arial" w:cs="Arial" w:eastAsia="Arial" w:hAnsi="Arial"/>
                <w:sz w:val="14"/>
                <w:szCs w:val="14"/>
                <w:color w:val="auto"/>
              </w:rPr>
              <w:t>224,104</w:t>
            </w:r>
          </w:p>
        </w:tc>
        <w:tc>
          <w:tcPr>
            <w:tcW w:w="1600" w:type="dxa"/>
            <w:vAlign w:val="bottom"/>
            <w:tcBorders>
              <w:bottom w:val="single" w:sz="8" w:color="auto"/>
            </w:tcBorders>
          </w:tcPr>
          <w:p>
            <w:pPr>
              <w:jc w:val="right"/>
              <w:ind w:right="268"/>
              <w:spacing w:after="0" w:line="155" w:lineRule="exact"/>
              <w:rPr>
                <w:sz w:val="20"/>
                <w:szCs w:val="20"/>
                <w:color w:val="auto"/>
              </w:rPr>
            </w:pPr>
            <w:r>
              <w:rPr>
                <w:rFonts w:ascii="Arial" w:cs="Arial" w:eastAsia="Arial" w:hAnsi="Arial"/>
                <w:sz w:val="14"/>
                <w:szCs w:val="14"/>
                <w:color w:val="auto"/>
              </w:rPr>
              <w:t>218,270</w:t>
            </w:r>
          </w:p>
        </w:tc>
      </w:tr>
      <w:tr>
        <w:trPr>
          <w:trHeight w:val="160"/>
        </w:trPr>
        <w:tc>
          <w:tcPr>
            <w:tcW w:w="5380" w:type="dxa"/>
            <w:vAlign w:val="bottom"/>
            <w:gridSpan w:val="2"/>
          </w:tcPr>
          <w:p>
            <w:pPr>
              <w:spacing w:after="0"/>
              <w:rPr>
                <w:sz w:val="20"/>
                <w:szCs w:val="20"/>
                <w:color w:val="auto"/>
              </w:rPr>
            </w:pPr>
            <w:r>
              <w:rPr>
                <w:rFonts w:ascii="Arial" w:cs="Arial" w:eastAsia="Arial" w:hAnsi="Arial"/>
                <w:sz w:val="14"/>
                <w:szCs w:val="14"/>
                <w:b w:val="1"/>
                <w:bCs w:val="1"/>
                <w:color w:val="auto"/>
              </w:rPr>
              <w:t>Liabilities</w:t>
            </w:r>
          </w:p>
        </w:tc>
        <w:tc>
          <w:tcPr>
            <w:tcW w:w="2900" w:type="dxa"/>
            <w:vAlign w:val="bottom"/>
          </w:tcPr>
          <w:p>
            <w:pPr>
              <w:spacing w:after="0"/>
              <w:rPr>
                <w:sz w:val="13"/>
                <w:szCs w:val="13"/>
                <w:color w:val="auto"/>
              </w:rPr>
            </w:pPr>
          </w:p>
        </w:tc>
        <w:tc>
          <w:tcPr>
            <w:tcW w:w="1540" w:type="dxa"/>
            <w:vAlign w:val="bottom"/>
            <w:shd w:val="clear" w:color="auto" w:fill="D8D8D8"/>
          </w:tcPr>
          <w:p>
            <w:pPr>
              <w:spacing w:after="0"/>
              <w:rPr>
                <w:sz w:val="13"/>
                <w:szCs w:val="13"/>
                <w:color w:val="auto"/>
              </w:rPr>
            </w:pPr>
          </w:p>
        </w:tc>
        <w:tc>
          <w:tcPr>
            <w:tcW w:w="1600" w:type="dxa"/>
            <w:vAlign w:val="bottom"/>
          </w:tcPr>
          <w:p>
            <w:pPr>
              <w:spacing w:after="0"/>
              <w:rPr>
                <w:sz w:val="13"/>
                <w:szCs w:val="13"/>
                <w:color w:val="auto"/>
              </w:rPr>
            </w:pPr>
          </w:p>
        </w:tc>
      </w:tr>
      <w:tr>
        <w:trPr>
          <w:trHeight w:val="162"/>
        </w:trPr>
        <w:tc>
          <w:tcPr>
            <w:tcW w:w="5380" w:type="dxa"/>
            <w:vAlign w:val="bottom"/>
            <w:gridSpan w:val="2"/>
          </w:tcPr>
          <w:p>
            <w:pPr>
              <w:spacing w:after="0"/>
              <w:rPr>
                <w:sz w:val="20"/>
                <w:szCs w:val="20"/>
                <w:color w:val="auto"/>
              </w:rPr>
            </w:pPr>
            <w:r>
              <w:rPr>
                <w:rFonts w:ascii="Arial" w:cs="Arial" w:eastAsia="Arial" w:hAnsi="Arial"/>
                <w:sz w:val="14"/>
                <w:szCs w:val="14"/>
                <w:color w:val="auto"/>
              </w:rPr>
              <w:t>Non-current liabilities</w:t>
            </w:r>
          </w:p>
        </w:tc>
        <w:tc>
          <w:tcPr>
            <w:tcW w:w="2900" w:type="dxa"/>
            <w:vAlign w:val="bottom"/>
          </w:tcPr>
          <w:p>
            <w:pPr>
              <w:spacing w:after="0"/>
              <w:rPr>
                <w:sz w:val="14"/>
                <w:szCs w:val="14"/>
                <w:color w:val="auto"/>
              </w:rPr>
            </w:pPr>
          </w:p>
        </w:tc>
        <w:tc>
          <w:tcPr>
            <w:tcW w:w="1540" w:type="dxa"/>
            <w:vAlign w:val="bottom"/>
            <w:shd w:val="clear" w:color="auto" w:fill="D8D8D8"/>
          </w:tcPr>
          <w:p>
            <w:pPr>
              <w:spacing w:after="0"/>
              <w:rPr>
                <w:sz w:val="14"/>
                <w:szCs w:val="14"/>
                <w:color w:val="auto"/>
              </w:rPr>
            </w:pPr>
          </w:p>
        </w:tc>
        <w:tc>
          <w:tcPr>
            <w:tcW w:w="1600" w:type="dxa"/>
            <w:vAlign w:val="bottom"/>
          </w:tcPr>
          <w:p>
            <w:pPr>
              <w:spacing w:after="0"/>
              <w:rPr>
                <w:sz w:val="14"/>
                <w:szCs w:val="14"/>
                <w:color w:val="auto"/>
              </w:rPr>
            </w:pPr>
          </w:p>
        </w:tc>
      </w:tr>
      <w:tr>
        <w:trPr>
          <w:trHeight w:val="157"/>
        </w:trPr>
        <w:tc>
          <w:tcPr>
            <w:tcW w:w="5380" w:type="dxa"/>
            <w:vAlign w:val="bottom"/>
            <w:gridSpan w:val="2"/>
          </w:tcPr>
          <w:p>
            <w:pPr>
              <w:spacing w:after="0" w:line="157" w:lineRule="exact"/>
              <w:rPr>
                <w:sz w:val="20"/>
                <w:szCs w:val="20"/>
                <w:color w:val="auto"/>
              </w:rPr>
            </w:pPr>
            <w:r>
              <w:rPr>
                <w:rFonts w:ascii="Arial" w:cs="Arial" w:eastAsia="Arial" w:hAnsi="Arial"/>
                <w:sz w:val="14"/>
                <w:szCs w:val="14"/>
                <w:color w:val="auto"/>
              </w:rPr>
              <w:t>Accounts payable and accrued liabilities</w:t>
            </w:r>
          </w:p>
        </w:tc>
        <w:tc>
          <w:tcPr>
            <w:tcW w:w="2900" w:type="dxa"/>
            <w:vAlign w:val="bottom"/>
          </w:tcPr>
          <w:p>
            <w:pPr>
              <w:jc w:val="right"/>
              <w:ind w:right="269"/>
              <w:spacing w:after="0" w:line="157" w:lineRule="exact"/>
              <w:rPr>
                <w:sz w:val="20"/>
                <w:szCs w:val="20"/>
                <w:color w:val="auto"/>
              </w:rPr>
            </w:pPr>
            <w:r>
              <w:rPr>
                <w:rFonts w:ascii="Arial" w:cs="Arial" w:eastAsia="Arial" w:hAnsi="Arial"/>
                <w:sz w:val="14"/>
                <w:szCs w:val="14"/>
                <w:color w:val="auto"/>
              </w:rPr>
              <w:t>7</w:t>
            </w:r>
          </w:p>
        </w:tc>
        <w:tc>
          <w:tcPr>
            <w:tcW w:w="1540" w:type="dxa"/>
            <w:vAlign w:val="bottom"/>
            <w:shd w:val="clear" w:color="auto" w:fill="D8D8D8"/>
          </w:tcPr>
          <w:p>
            <w:pPr>
              <w:jc w:val="right"/>
              <w:ind w:right="269"/>
              <w:spacing w:after="0" w:line="157" w:lineRule="exact"/>
              <w:rPr>
                <w:sz w:val="20"/>
                <w:szCs w:val="20"/>
                <w:color w:val="auto"/>
              </w:rPr>
            </w:pPr>
            <w:r>
              <w:rPr>
                <w:rFonts w:ascii="Arial" w:cs="Arial" w:eastAsia="Arial" w:hAnsi="Arial"/>
                <w:sz w:val="14"/>
                <w:szCs w:val="14"/>
                <w:color w:val="auto"/>
              </w:rPr>
              <w:t>260</w:t>
            </w:r>
          </w:p>
        </w:tc>
        <w:tc>
          <w:tcPr>
            <w:tcW w:w="1600" w:type="dxa"/>
            <w:vAlign w:val="bottom"/>
          </w:tcPr>
          <w:p>
            <w:pPr>
              <w:jc w:val="right"/>
              <w:ind w:right="268"/>
              <w:spacing w:after="0" w:line="157" w:lineRule="exact"/>
              <w:rPr>
                <w:sz w:val="20"/>
                <w:szCs w:val="20"/>
                <w:color w:val="auto"/>
              </w:rPr>
            </w:pPr>
            <w:r>
              <w:rPr>
                <w:rFonts w:ascii="Arial" w:cs="Arial" w:eastAsia="Arial" w:hAnsi="Arial"/>
                <w:sz w:val="14"/>
                <w:szCs w:val="14"/>
                <w:color w:val="auto"/>
              </w:rPr>
              <w:t>15</w:t>
            </w:r>
          </w:p>
        </w:tc>
      </w:tr>
      <w:tr>
        <w:trPr>
          <w:trHeight w:val="156"/>
        </w:trPr>
        <w:tc>
          <w:tcPr>
            <w:tcW w:w="20" w:type="dxa"/>
            <w:vAlign w:val="bottom"/>
          </w:tcPr>
          <w:p>
            <w:pPr>
              <w:spacing w:after="0"/>
              <w:rPr>
                <w:sz w:val="13"/>
                <w:szCs w:val="13"/>
                <w:color w:val="auto"/>
              </w:rPr>
            </w:pPr>
          </w:p>
        </w:tc>
        <w:tc>
          <w:tcPr>
            <w:tcW w:w="5360" w:type="dxa"/>
            <w:vAlign w:val="bottom"/>
            <w:tcBorders>
              <w:top w:val="single" w:sz="8" w:color="auto"/>
              <w:bottom w:val="single" w:sz="8" w:color="auto"/>
            </w:tcBorders>
          </w:tcPr>
          <w:p>
            <w:pPr>
              <w:spacing w:after="0"/>
              <w:rPr>
                <w:sz w:val="13"/>
                <w:szCs w:val="13"/>
                <w:color w:val="auto"/>
              </w:rPr>
            </w:pPr>
          </w:p>
        </w:tc>
        <w:tc>
          <w:tcPr>
            <w:tcW w:w="2900" w:type="dxa"/>
            <w:vAlign w:val="bottom"/>
            <w:tcBorders>
              <w:top w:val="single" w:sz="8" w:color="auto"/>
              <w:bottom w:val="single" w:sz="8" w:color="auto"/>
            </w:tcBorders>
          </w:tcPr>
          <w:p>
            <w:pPr>
              <w:spacing w:after="0"/>
              <w:rPr>
                <w:sz w:val="13"/>
                <w:szCs w:val="13"/>
                <w:color w:val="auto"/>
              </w:rPr>
            </w:pPr>
          </w:p>
        </w:tc>
        <w:tc>
          <w:tcPr>
            <w:tcW w:w="1540" w:type="dxa"/>
            <w:vAlign w:val="bottom"/>
            <w:tcBorders>
              <w:top w:val="single" w:sz="8" w:color="auto"/>
              <w:bottom w:val="single" w:sz="8" w:color="auto"/>
            </w:tcBorders>
            <w:shd w:val="clear" w:color="auto" w:fill="D8D8D8"/>
          </w:tcPr>
          <w:p>
            <w:pPr>
              <w:jc w:val="right"/>
              <w:ind w:right="269"/>
              <w:spacing w:after="0" w:line="155" w:lineRule="exact"/>
              <w:rPr>
                <w:sz w:val="20"/>
                <w:szCs w:val="20"/>
                <w:color w:val="auto"/>
              </w:rPr>
            </w:pPr>
            <w:r>
              <w:rPr>
                <w:rFonts w:ascii="Arial" w:cs="Arial" w:eastAsia="Arial" w:hAnsi="Arial"/>
                <w:sz w:val="14"/>
                <w:szCs w:val="14"/>
                <w:color w:val="auto"/>
              </w:rPr>
              <w:t>260</w:t>
            </w:r>
          </w:p>
        </w:tc>
        <w:tc>
          <w:tcPr>
            <w:tcW w:w="1600" w:type="dxa"/>
            <w:vAlign w:val="bottom"/>
            <w:tcBorders>
              <w:top w:val="single" w:sz="8" w:color="auto"/>
              <w:bottom w:val="single" w:sz="8" w:color="auto"/>
            </w:tcBorders>
          </w:tcPr>
          <w:p>
            <w:pPr>
              <w:jc w:val="right"/>
              <w:ind w:right="268"/>
              <w:spacing w:after="0" w:line="155" w:lineRule="exact"/>
              <w:rPr>
                <w:sz w:val="20"/>
                <w:szCs w:val="20"/>
                <w:color w:val="auto"/>
              </w:rPr>
            </w:pPr>
            <w:r>
              <w:rPr>
                <w:rFonts w:ascii="Arial" w:cs="Arial" w:eastAsia="Arial" w:hAnsi="Arial"/>
                <w:sz w:val="14"/>
                <w:szCs w:val="14"/>
                <w:color w:val="auto"/>
              </w:rPr>
              <w:t>15</w:t>
            </w:r>
          </w:p>
        </w:tc>
      </w:tr>
      <w:tr>
        <w:trPr>
          <w:trHeight w:val="160"/>
        </w:trPr>
        <w:tc>
          <w:tcPr>
            <w:tcW w:w="5380" w:type="dxa"/>
            <w:vAlign w:val="bottom"/>
            <w:gridSpan w:val="2"/>
          </w:tcPr>
          <w:p>
            <w:pPr>
              <w:spacing w:after="0"/>
              <w:rPr>
                <w:sz w:val="20"/>
                <w:szCs w:val="20"/>
                <w:color w:val="auto"/>
              </w:rPr>
            </w:pPr>
            <w:r>
              <w:rPr>
                <w:rFonts w:ascii="Arial" w:cs="Arial" w:eastAsia="Arial" w:hAnsi="Arial"/>
                <w:sz w:val="14"/>
                <w:szCs w:val="14"/>
                <w:color w:val="auto"/>
              </w:rPr>
              <w:t>Current liabilities</w:t>
            </w:r>
          </w:p>
        </w:tc>
        <w:tc>
          <w:tcPr>
            <w:tcW w:w="2900" w:type="dxa"/>
            <w:vAlign w:val="bottom"/>
          </w:tcPr>
          <w:p>
            <w:pPr>
              <w:spacing w:after="0"/>
              <w:rPr>
                <w:sz w:val="13"/>
                <w:szCs w:val="13"/>
                <w:color w:val="auto"/>
              </w:rPr>
            </w:pPr>
          </w:p>
        </w:tc>
        <w:tc>
          <w:tcPr>
            <w:tcW w:w="1540" w:type="dxa"/>
            <w:vAlign w:val="bottom"/>
            <w:shd w:val="clear" w:color="auto" w:fill="D8D8D8"/>
          </w:tcPr>
          <w:p>
            <w:pPr>
              <w:spacing w:after="0"/>
              <w:rPr>
                <w:sz w:val="13"/>
                <w:szCs w:val="13"/>
                <w:color w:val="auto"/>
              </w:rPr>
            </w:pPr>
          </w:p>
        </w:tc>
        <w:tc>
          <w:tcPr>
            <w:tcW w:w="1600" w:type="dxa"/>
            <w:vAlign w:val="bottom"/>
          </w:tcPr>
          <w:p>
            <w:pPr>
              <w:spacing w:after="0"/>
              <w:rPr>
                <w:sz w:val="13"/>
                <w:szCs w:val="13"/>
                <w:color w:val="auto"/>
              </w:rPr>
            </w:pPr>
          </w:p>
        </w:tc>
      </w:tr>
      <w:tr>
        <w:trPr>
          <w:trHeight w:val="157"/>
        </w:trPr>
        <w:tc>
          <w:tcPr>
            <w:tcW w:w="5380" w:type="dxa"/>
            <w:vAlign w:val="bottom"/>
            <w:gridSpan w:val="2"/>
          </w:tcPr>
          <w:p>
            <w:pPr>
              <w:spacing w:after="0" w:line="157" w:lineRule="exact"/>
              <w:rPr>
                <w:sz w:val="20"/>
                <w:szCs w:val="20"/>
                <w:color w:val="auto"/>
              </w:rPr>
            </w:pPr>
            <w:r>
              <w:rPr>
                <w:rFonts w:ascii="Arial" w:cs="Arial" w:eastAsia="Arial" w:hAnsi="Arial"/>
                <w:sz w:val="14"/>
                <w:szCs w:val="14"/>
                <w:color w:val="auto"/>
              </w:rPr>
              <w:t>Accounts payable and accrued liabilities</w:t>
            </w:r>
          </w:p>
        </w:tc>
        <w:tc>
          <w:tcPr>
            <w:tcW w:w="2900" w:type="dxa"/>
            <w:vAlign w:val="bottom"/>
          </w:tcPr>
          <w:p>
            <w:pPr>
              <w:jc w:val="right"/>
              <w:ind w:right="269"/>
              <w:spacing w:after="0" w:line="157" w:lineRule="exact"/>
              <w:rPr>
                <w:sz w:val="20"/>
                <w:szCs w:val="20"/>
                <w:color w:val="auto"/>
              </w:rPr>
            </w:pPr>
            <w:r>
              <w:rPr>
                <w:rFonts w:ascii="Arial" w:cs="Arial" w:eastAsia="Arial" w:hAnsi="Arial"/>
                <w:sz w:val="14"/>
                <w:szCs w:val="14"/>
                <w:color w:val="auto"/>
              </w:rPr>
              <w:t>7</w:t>
            </w:r>
          </w:p>
        </w:tc>
        <w:tc>
          <w:tcPr>
            <w:tcW w:w="1540" w:type="dxa"/>
            <w:vAlign w:val="bottom"/>
            <w:shd w:val="clear" w:color="auto" w:fill="D8D8D8"/>
          </w:tcPr>
          <w:p>
            <w:pPr>
              <w:jc w:val="right"/>
              <w:ind w:right="269"/>
              <w:spacing w:after="0" w:line="157" w:lineRule="exact"/>
              <w:rPr>
                <w:sz w:val="20"/>
                <w:szCs w:val="20"/>
                <w:color w:val="auto"/>
              </w:rPr>
            </w:pPr>
            <w:r>
              <w:rPr>
                <w:rFonts w:ascii="Arial" w:cs="Arial" w:eastAsia="Arial" w:hAnsi="Arial"/>
                <w:sz w:val="14"/>
                <w:szCs w:val="14"/>
                <w:color w:val="auto"/>
              </w:rPr>
              <w:t>2,856</w:t>
            </w:r>
          </w:p>
        </w:tc>
        <w:tc>
          <w:tcPr>
            <w:tcW w:w="1600" w:type="dxa"/>
            <w:vAlign w:val="bottom"/>
          </w:tcPr>
          <w:p>
            <w:pPr>
              <w:jc w:val="right"/>
              <w:ind w:right="268"/>
              <w:spacing w:after="0" w:line="157" w:lineRule="exact"/>
              <w:rPr>
                <w:sz w:val="20"/>
                <w:szCs w:val="20"/>
                <w:color w:val="auto"/>
              </w:rPr>
            </w:pPr>
            <w:r>
              <w:rPr>
                <w:rFonts w:ascii="Arial" w:cs="Arial" w:eastAsia="Arial" w:hAnsi="Arial"/>
                <w:sz w:val="14"/>
                <w:szCs w:val="14"/>
                <w:color w:val="auto"/>
              </w:rPr>
              <w:t>1,632</w:t>
            </w:r>
          </w:p>
        </w:tc>
      </w:tr>
      <w:tr>
        <w:trPr>
          <w:trHeight w:val="156"/>
        </w:trPr>
        <w:tc>
          <w:tcPr>
            <w:tcW w:w="20" w:type="dxa"/>
            <w:vAlign w:val="bottom"/>
          </w:tcPr>
          <w:p>
            <w:pPr>
              <w:spacing w:after="0"/>
              <w:rPr>
                <w:sz w:val="13"/>
                <w:szCs w:val="13"/>
                <w:color w:val="auto"/>
              </w:rPr>
            </w:pPr>
          </w:p>
        </w:tc>
        <w:tc>
          <w:tcPr>
            <w:tcW w:w="5360" w:type="dxa"/>
            <w:vAlign w:val="bottom"/>
            <w:tcBorders>
              <w:top w:val="single" w:sz="8" w:color="auto"/>
              <w:bottom w:val="single" w:sz="8" w:color="auto"/>
            </w:tcBorders>
          </w:tcPr>
          <w:p>
            <w:pPr>
              <w:spacing w:after="0"/>
              <w:rPr>
                <w:sz w:val="13"/>
                <w:szCs w:val="13"/>
                <w:color w:val="auto"/>
              </w:rPr>
            </w:pPr>
          </w:p>
        </w:tc>
        <w:tc>
          <w:tcPr>
            <w:tcW w:w="2900" w:type="dxa"/>
            <w:vAlign w:val="bottom"/>
            <w:tcBorders>
              <w:top w:val="single" w:sz="8" w:color="auto"/>
              <w:bottom w:val="single" w:sz="8" w:color="auto"/>
            </w:tcBorders>
          </w:tcPr>
          <w:p>
            <w:pPr>
              <w:spacing w:after="0"/>
              <w:rPr>
                <w:sz w:val="13"/>
                <w:szCs w:val="13"/>
                <w:color w:val="auto"/>
              </w:rPr>
            </w:pPr>
          </w:p>
        </w:tc>
        <w:tc>
          <w:tcPr>
            <w:tcW w:w="1540" w:type="dxa"/>
            <w:vAlign w:val="bottom"/>
            <w:tcBorders>
              <w:top w:val="single" w:sz="8" w:color="auto"/>
              <w:bottom w:val="single" w:sz="8" w:color="auto"/>
            </w:tcBorders>
            <w:shd w:val="clear" w:color="auto" w:fill="D8D8D8"/>
          </w:tcPr>
          <w:p>
            <w:pPr>
              <w:jc w:val="right"/>
              <w:ind w:right="269"/>
              <w:spacing w:after="0" w:line="155" w:lineRule="exact"/>
              <w:rPr>
                <w:sz w:val="20"/>
                <w:szCs w:val="20"/>
                <w:color w:val="auto"/>
              </w:rPr>
            </w:pPr>
            <w:r>
              <w:rPr>
                <w:rFonts w:ascii="Arial" w:cs="Arial" w:eastAsia="Arial" w:hAnsi="Arial"/>
                <w:sz w:val="14"/>
                <w:szCs w:val="14"/>
                <w:color w:val="auto"/>
              </w:rPr>
              <w:t>2,856</w:t>
            </w:r>
          </w:p>
        </w:tc>
        <w:tc>
          <w:tcPr>
            <w:tcW w:w="1600" w:type="dxa"/>
            <w:vAlign w:val="bottom"/>
            <w:tcBorders>
              <w:top w:val="single" w:sz="8" w:color="auto"/>
              <w:bottom w:val="single" w:sz="8" w:color="auto"/>
            </w:tcBorders>
          </w:tcPr>
          <w:p>
            <w:pPr>
              <w:jc w:val="right"/>
              <w:ind w:right="268"/>
              <w:spacing w:after="0" w:line="155" w:lineRule="exact"/>
              <w:rPr>
                <w:sz w:val="20"/>
                <w:szCs w:val="20"/>
                <w:color w:val="auto"/>
              </w:rPr>
            </w:pPr>
            <w:r>
              <w:rPr>
                <w:rFonts w:ascii="Arial" w:cs="Arial" w:eastAsia="Arial" w:hAnsi="Arial"/>
                <w:sz w:val="14"/>
                <w:szCs w:val="14"/>
                <w:color w:val="auto"/>
              </w:rPr>
              <w:t>1,632</w:t>
            </w:r>
          </w:p>
        </w:tc>
      </w:tr>
      <w:tr>
        <w:trPr>
          <w:trHeight w:val="156"/>
        </w:trPr>
        <w:tc>
          <w:tcPr>
            <w:tcW w:w="5380" w:type="dxa"/>
            <w:vAlign w:val="bottom"/>
            <w:tcBorders>
              <w:bottom w:val="single" w:sz="8" w:color="auto"/>
            </w:tcBorders>
            <w:gridSpan w:val="2"/>
          </w:tcPr>
          <w:p>
            <w:pPr>
              <w:spacing w:after="0" w:line="155" w:lineRule="exact"/>
              <w:rPr>
                <w:sz w:val="20"/>
                <w:szCs w:val="20"/>
                <w:color w:val="auto"/>
              </w:rPr>
            </w:pPr>
            <w:r>
              <w:rPr>
                <w:rFonts w:ascii="Arial" w:cs="Arial" w:eastAsia="Arial" w:hAnsi="Arial"/>
                <w:sz w:val="14"/>
                <w:szCs w:val="14"/>
                <w:color w:val="auto"/>
              </w:rPr>
              <w:t>Total liabilities</w:t>
            </w:r>
          </w:p>
        </w:tc>
        <w:tc>
          <w:tcPr>
            <w:tcW w:w="2900" w:type="dxa"/>
            <w:vAlign w:val="bottom"/>
            <w:tcBorders>
              <w:bottom w:val="single" w:sz="8" w:color="auto"/>
            </w:tcBorders>
          </w:tcPr>
          <w:p>
            <w:pPr>
              <w:spacing w:after="0"/>
              <w:rPr>
                <w:sz w:val="13"/>
                <w:szCs w:val="13"/>
                <w:color w:val="auto"/>
              </w:rPr>
            </w:pPr>
          </w:p>
        </w:tc>
        <w:tc>
          <w:tcPr>
            <w:tcW w:w="1540" w:type="dxa"/>
            <w:vAlign w:val="bottom"/>
            <w:tcBorders>
              <w:bottom w:val="single" w:sz="8" w:color="auto"/>
            </w:tcBorders>
            <w:shd w:val="clear" w:color="auto" w:fill="D8D8D8"/>
          </w:tcPr>
          <w:p>
            <w:pPr>
              <w:jc w:val="right"/>
              <w:ind w:right="269"/>
              <w:spacing w:after="0" w:line="155" w:lineRule="exact"/>
              <w:rPr>
                <w:sz w:val="20"/>
                <w:szCs w:val="20"/>
                <w:color w:val="auto"/>
              </w:rPr>
            </w:pPr>
            <w:r>
              <w:rPr>
                <w:rFonts w:ascii="Arial" w:cs="Arial" w:eastAsia="Arial" w:hAnsi="Arial"/>
                <w:sz w:val="14"/>
                <w:szCs w:val="14"/>
                <w:color w:val="auto"/>
              </w:rPr>
              <w:t>3,116</w:t>
            </w:r>
          </w:p>
        </w:tc>
        <w:tc>
          <w:tcPr>
            <w:tcW w:w="1600" w:type="dxa"/>
            <w:vAlign w:val="bottom"/>
            <w:tcBorders>
              <w:bottom w:val="single" w:sz="8" w:color="auto"/>
            </w:tcBorders>
          </w:tcPr>
          <w:p>
            <w:pPr>
              <w:jc w:val="right"/>
              <w:ind w:right="268"/>
              <w:spacing w:after="0" w:line="155" w:lineRule="exact"/>
              <w:rPr>
                <w:sz w:val="20"/>
                <w:szCs w:val="20"/>
                <w:color w:val="auto"/>
              </w:rPr>
            </w:pPr>
            <w:r>
              <w:rPr>
                <w:rFonts w:ascii="Arial" w:cs="Arial" w:eastAsia="Arial" w:hAnsi="Arial"/>
                <w:sz w:val="14"/>
                <w:szCs w:val="14"/>
                <w:color w:val="auto"/>
              </w:rPr>
              <w:t>1,647</w:t>
            </w:r>
          </w:p>
        </w:tc>
      </w:tr>
      <w:tr>
        <w:trPr>
          <w:trHeight w:val="160"/>
        </w:trPr>
        <w:tc>
          <w:tcPr>
            <w:tcW w:w="5380" w:type="dxa"/>
            <w:vAlign w:val="bottom"/>
            <w:gridSpan w:val="2"/>
          </w:tcPr>
          <w:p>
            <w:pPr>
              <w:spacing w:after="0"/>
              <w:rPr>
                <w:sz w:val="20"/>
                <w:szCs w:val="20"/>
                <w:color w:val="auto"/>
              </w:rPr>
            </w:pPr>
            <w:r>
              <w:rPr>
                <w:rFonts w:ascii="Arial" w:cs="Arial" w:eastAsia="Arial" w:hAnsi="Arial"/>
                <w:sz w:val="14"/>
                <w:szCs w:val="14"/>
                <w:b w:val="1"/>
                <w:bCs w:val="1"/>
                <w:color w:val="auto"/>
              </w:rPr>
              <w:t>Equity</w:t>
            </w:r>
          </w:p>
        </w:tc>
        <w:tc>
          <w:tcPr>
            <w:tcW w:w="2900" w:type="dxa"/>
            <w:vAlign w:val="bottom"/>
          </w:tcPr>
          <w:p>
            <w:pPr>
              <w:spacing w:after="0"/>
              <w:rPr>
                <w:sz w:val="13"/>
                <w:szCs w:val="13"/>
                <w:color w:val="auto"/>
              </w:rPr>
            </w:pPr>
          </w:p>
        </w:tc>
        <w:tc>
          <w:tcPr>
            <w:tcW w:w="1540" w:type="dxa"/>
            <w:vAlign w:val="bottom"/>
            <w:shd w:val="clear" w:color="auto" w:fill="D8D8D8"/>
          </w:tcPr>
          <w:p>
            <w:pPr>
              <w:spacing w:after="0"/>
              <w:rPr>
                <w:sz w:val="13"/>
                <w:szCs w:val="13"/>
                <w:color w:val="auto"/>
              </w:rPr>
            </w:pPr>
          </w:p>
        </w:tc>
        <w:tc>
          <w:tcPr>
            <w:tcW w:w="1600" w:type="dxa"/>
            <w:vAlign w:val="bottom"/>
          </w:tcPr>
          <w:p>
            <w:pPr>
              <w:spacing w:after="0"/>
              <w:rPr>
                <w:sz w:val="13"/>
                <w:szCs w:val="13"/>
                <w:color w:val="auto"/>
              </w:rPr>
            </w:pPr>
          </w:p>
        </w:tc>
      </w:tr>
      <w:tr>
        <w:trPr>
          <w:trHeight w:val="162"/>
        </w:trPr>
        <w:tc>
          <w:tcPr>
            <w:tcW w:w="5380" w:type="dxa"/>
            <w:vAlign w:val="bottom"/>
            <w:gridSpan w:val="2"/>
          </w:tcPr>
          <w:p>
            <w:pPr>
              <w:spacing w:after="0"/>
              <w:rPr>
                <w:sz w:val="20"/>
                <w:szCs w:val="20"/>
                <w:color w:val="auto"/>
              </w:rPr>
            </w:pPr>
            <w:r>
              <w:rPr>
                <w:rFonts w:ascii="Arial" w:cs="Arial" w:eastAsia="Arial" w:hAnsi="Arial"/>
                <w:sz w:val="14"/>
                <w:szCs w:val="14"/>
                <w:color w:val="auto"/>
              </w:rPr>
              <w:t>Share capital</w:t>
            </w:r>
          </w:p>
        </w:tc>
        <w:tc>
          <w:tcPr>
            <w:tcW w:w="2900" w:type="dxa"/>
            <w:vAlign w:val="bottom"/>
          </w:tcPr>
          <w:p>
            <w:pPr>
              <w:jc w:val="right"/>
              <w:ind w:right="269"/>
              <w:spacing w:after="0"/>
              <w:rPr>
                <w:sz w:val="20"/>
                <w:szCs w:val="20"/>
                <w:color w:val="auto"/>
              </w:rPr>
            </w:pPr>
            <w:r>
              <w:rPr>
                <w:rFonts w:ascii="Arial" w:cs="Arial" w:eastAsia="Arial" w:hAnsi="Arial"/>
                <w:sz w:val="14"/>
                <w:szCs w:val="14"/>
                <w:color w:val="auto"/>
              </w:rPr>
              <w:t>10</w:t>
            </w:r>
          </w:p>
        </w:tc>
        <w:tc>
          <w:tcPr>
            <w:tcW w:w="1540" w:type="dxa"/>
            <w:vAlign w:val="bottom"/>
            <w:shd w:val="clear" w:color="auto" w:fill="D8D8D8"/>
          </w:tcPr>
          <w:p>
            <w:pPr>
              <w:jc w:val="right"/>
              <w:ind w:right="269"/>
              <w:spacing w:after="0"/>
              <w:rPr>
                <w:sz w:val="20"/>
                <w:szCs w:val="20"/>
                <w:color w:val="auto"/>
              </w:rPr>
            </w:pPr>
            <w:r>
              <w:rPr>
                <w:rFonts w:ascii="Arial" w:cs="Arial" w:eastAsia="Arial" w:hAnsi="Arial"/>
                <w:sz w:val="14"/>
                <w:szCs w:val="14"/>
                <w:color w:val="auto"/>
              </w:rPr>
              <w:t>540</w:t>
            </w:r>
          </w:p>
        </w:tc>
        <w:tc>
          <w:tcPr>
            <w:tcW w:w="1600" w:type="dxa"/>
            <w:vAlign w:val="bottom"/>
          </w:tcPr>
          <w:p>
            <w:pPr>
              <w:jc w:val="right"/>
              <w:ind w:right="268"/>
              <w:spacing w:after="0"/>
              <w:rPr>
                <w:sz w:val="20"/>
                <w:szCs w:val="20"/>
                <w:color w:val="auto"/>
              </w:rPr>
            </w:pPr>
            <w:r>
              <w:rPr>
                <w:rFonts w:ascii="Arial" w:cs="Arial" w:eastAsia="Arial" w:hAnsi="Arial"/>
                <w:sz w:val="14"/>
                <w:szCs w:val="14"/>
                <w:color w:val="auto"/>
              </w:rPr>
              <w:t>542</w:t>
            </w:r>
          </w:p>
        </w:tc>
      </w:tr>
      <w:tr>
        <w:trPr>
          <w:trHeight w:val="162"/>
        </w:trPr>
        <w:tc>
          <w:tcPr>
            <w:tcW w:w="5380" w:type="dxa"/>
            <w:vAlign w:val="bottom"/>
            <w:gridSpan w:val="2"/>
          </w:tcPr>
          <w:p>
            <w:pPr>
              <w:spacing w:after="0"/>
              <w:rPr>
                <w:sz w:val="20"/>
                <w:szCs w:val="20"/>
                <w:color w:val="auto"/>
              </w:rPr>
            </w:pPr>
            <w:r>
              <w:rPr>
                <w:rFonts w:ascii="Arial" w:cs="Arial" w:eastAsia="Arial" w:hAnsi="Arial"/>
                <w:sz w:val="14"/>
                <w:szCs w:val="14"/>
                <w:color w:val="auto"/>
              </w:rPr>
              <w:t>Other reserves</w:t>
            </w:r>
          </w:p>
        </w:tc>
        <w:tc>
          <w:tcPr>
            <w:tcW w:w="2900" w:type="dxa"/>
            <w:vAlign w:val="bottom"/>
          </w:tcPr>
          <w:p>
            <w:pPr>
              <w:jc w:val="right"/>
              <w:ind w:right="269"/>
              <w:spacing w:after="0"/>
              <w:rPr>
                <w:sz w:val="20"/>
                <w:szCs w:val="20"/>
                <w:color w:val="auto"/>
              </w:rPr>
            </w:pPr>
            <w:r>
              <w:rPr>
                <w:rFonts w:ascii="Arial" w:cs="Arial" w:eastAsia="Arial" w:hAnsi="Arial"/>
                <w:sz w:val="14"/>
                <w:szCs w:val="14"/>
                <w:color w:val="auto"/>
              </w:rPr>
              <w:t>11</w:t>
            </w:r>
          </w:p>
        </w:tc>
        <w:tc>
          <w:tcPr>
            <w:tcW w:w="1540" w:type="dxa"/>
            <w:vAlign w:val="bottom"/>
            <w:shd w:val="clear" w:color="auto" w:fill="D8D8D8"/>
          </w:tcPr>
          <w:p>
            <w:pPr>
              <w:jc w:val="right"/>
              <w:ind w:right="269"/>
              <w:spacing w:after="0"/>
              <w:rPr>
                <w:sz w:val="20"/>
                <w:szCs w:val="20"/>
                <w:color w:val="auto"/>
              </w:rPr>
            </w:pPr>
            <w:r>
              <w:rPr>
                <w:rFonts w:ascii="Arial" w:cs="Arial" w:eastAsia="Arial" w:hAnsi="Arial"/>
                <w:sz w:val="14"/>
                <w:szCs w:val="14"/>
                <w:color w:val="auto"/>
              </w:rPr>
              <w:t>201,745</w:t>
            </w:r>
          </w:p>
        </w:tc>
        <w:tc>
          <w:tcPr>
            <w:tcW w:w="1600" w:type="dxa"/>
            <w:vAlign w:val="bottom"/>
          </w:tcPr>
          <w:p>
            <w:pPr>
              <w:jc w:val="right"/>
              <w:ind w:right="268"/>
              <w:spacing w:after="0"/>
              <w:rPr>
                <w:sz w:val="20"/>
                <w:szCs w:val="20"/>
                <w:color w:val="auto"/>
              </w:rPr>
            </w:pPr>
            <w:r>
              <w:rPr>
                <w:rFonts w:ascii="Arial" w:cs="Arial" w:eastAsia="Arial" w:hAnsi="Arial"/>
                <w:sz w:val="14"/>
                <w:szCs w:val="14"/>
                <w:color w:val="auto"/>
              </w:rPr>
              <w:t>201,898</w:t>
            </w:r>
          </w:p>
        </w:tc>
      </w:tr>
      <w:tr>
        <w:trPr>
          <w:trHeight w:val="157"/>
        </w:trPr>
        <w:tc>
          <w:tcPr>
            <w:tcW w:w="5380" w:type="dxa"/>
            <w:vAlign w:val="bottom"/>
            <w:tcBorders>
              <w:bottom w:val="single" w:sz="8" w:color="auto"/>
            </w:tcBorders>
            <w:gridSpan w:val="2"/>
          </w:tcPr>
          <w:p>
            <w:pPr>
              <w:spacing w:after="0" w:line="157" w:lineRule="exact"/>
              <w:rPr>
                <w:sz w:val="20"/>
                <w:szCs w:val="20"/>
                <w:color w:val="auto"/>
              </w:rPr>
            </w:pPr>
            <w:r>
              <w:rPr>
                <w:rFonts w:ascii="Arial" w:cs="Arial" w:eastAsia="Arial" w:hAnsi="Arial"/>
                <w:sz w:val="14"/>
                <w:szCs w:val="14"/>
                <w:color w:val="auto"/>
              </w:rPr>
              <w:t>Retained earnings</w:t>
            </w:r>
          </w:p>
        </w:tc>
        <w:tc>
          <w:tcPr>
            <w:tcW w:w="2900" w:type="dxa"/>
            <w:vAlign w:val="bottom"/>
            <w:tcBorders>
              <w:bottom w:val="single" w:sz="8" w:color="auto"/>
            </w:tcBorders>
          </w:tcPr>
          <w:p>
            <w:pPr>
              <w:spacing w:after="0"/>
              <w:rPr>
                <w:sz w:val="13"/>
                <w:szCs w:val="13"/>
                <w:color w:val="auto"/>
              </w:rPr>
            </w:pPr>
          </w:p>
        </w:tc>
        <w:tc>
          <w:tcPr>
            <w:tcW w:w="1540" w:type="dxa"/>
            <w:vAlign w:val="bottom"/>
            <w:tcBorders>
              <w:bottom w:val="single" w:sz="8" w:color="auto"/>
            </w:tcBorders>
            <w:shd w:val="clear" w:color="auto" w:fill="D8D8D8"/>
          </w:tcPr>
          <w:p>
            <w:pPr>
              <w:jc w:val="right"/>
              <w:ind w:right="269"/>
              <w:spacing w:after="0" w:line="157" w:lineRule="exact"/>
              <w:rPr>
                <w:sz w:val="20"/>
                <w:szCs w:val="20"/>
                <w:color w:val="auto"/>
              </w:rPr>
            </w:pPr>
            <w:r>
              <w:rPr>
                <w:rFonts w:ascii="Arial" w:cs="Arial" w:eastAsia="Arial" w:hAnsi="Arial"/>
                <w:sz w:val="14"/>
                <w:szCs w:val="14"/>
                <w:color w:val="auto"/>
              </w:rPr>
              <w:t>18,703</w:t>
            </w:r>
          </w:p>
        </w:tc>
        <w:tc>
          <w:tcPr>
            <w:tcW w:w="1600" w:type="dxa"/>
            <w:vAlign w:val="bottom"/>
            <w:tcBorders>
              <w:bottom w:val="single" w:sz="8" w:color="auto"/>
            </w:tcBorders>
          </w:tcPr>
          <w:p>
            <w:pPr>
              <w:jc w:val="right"/>
              <w:ind w:right="268"/>
              <w:spacing w:after="0" w:line="157" w:lineRule="exact"/>
              <w:rPr>
                <w:sz w:val="20"/>
                <w:szCs w:val="20"/>
                <w:color w:val="auto"/>
              </w:rPr>
            </w:pPr>
            <w:r>
              <w:rPr>
                <w:rFonts w:ascii="Arial" w:cs="Arial" w:eastAsia="Arial" w:hAnsi="Arial"/>
                <w:sz w:val="14"/>
                <w:szCs w:val="14"/>
                <w:color w:val="auto"/>
              </w:rPr>
              <w:t>14,183</w:t>
            </w:r>
          </w:p>
        </w:tc>
      </w:tr>
      <w:tr>
        <w:trPr>
          <w:trHeight w:val="156"/>
        </w:trPr>
        <w:tc>
          <w:tcPr>
            <w:tcW w:w="5380" w:type="dxa"/>
            <w:vAlign w:val="bottom"/>
            <w:tcBorders>
              <w:bottom w:val="single" w:sz="8" w:color="auto"/>
            </w:tcBorders>
            <w:gridSpan w:val="2"/>
          </w:tcPr>
          <w:p>
            <w:pPr>
              <w:spacing w:after="0" w:line="155" w:lineRule="exact"/>
              <w:rPr>
                <w:sz w:val="20"/>
                <w:szCs w:val="20"/>
                <w:color w:val="auto"/>
              </w:rPr>
            </w:pPr>
            <w:r>
              <w:rPr>
                <w:rFonts w:ascii="Arial" w:cs="Arial" w:eastAsia="Arial" w:hAnsi="Arial"/>
                <w:sz w:val="14"/>
                <w:szCs w:val="14"/>
                <w:color w:val="auto"/>
              </w:rPr>
              <w:t>Total equity</w:t>
            </w:r>
          </w:p>
        </w:tc>
        <w:tc>
          <w:tcPr>
            <w:tcW w:w="2900" w:type="dxa"/>
            <w:vAlign w:val="bottom"/>
            <w:tcBorders>
              <w:bottom w:val="single" w:sz="8" w:color="auto"/>
            </w:tcBorders>
          </w:tcPr>
          <w:p>
            <w:pPr>
              <w:spacing w:after="0"/>
              <w:rPr>
                <w:sz w:val="13"/>
                <w:szCs w:val="13"/>
                <w:color w:val="auto"/>
              </w:rPr>
            </w:pPr>
          </w:p>
        </w:tc>
        <w:tc>
          <w:tcPr>
            <w:tcW w:w="1540" w:type="dxa"/>
            <w:vAlign w:val="bottom"/>
            <w:tcBorders>
              <w:bottom w:val="single" w:sz="8" w:color="auto"/>
            </w:tcBorders>
            <w:shd w:val="clear" w:color="auto" w:fill="D8D8D8"/>
          </w:tcPr>
          <w:p>
            <w:pPr>
              <w:jc w:val="right"/>
              <w:ind w:right="269"/>
              <w:spacing w:after="0" w:line="155" w:lineRule="exact"/>
              <w:rPr>
                <w:sz w:val="20"/>
                <w:szCs w:val="20"/>
                <w:color w:val="auto"/>
              </w:rPr>
            </w:pPr>
            <w:r>
              <w:rPr>
                <w:rFonts w:ascii="Arial" w:cs="Arial" w:eastAsia="Arial" w:hAnsi="Arial"/>
                <w:sz w:val="14"/>
                <w:szCs w:val="14"/>
                <w:color w:val="auto"/>
              </w:rPr>
              <w:t>220,988</w:t>
            </w:r>
          </w:p>
        </w:tc>
        <w:tc>
          <w:tcPr>
            <w:tcW w:w="1600" w:type="dxa"/>
            <w:vAlign w:val="bottom"/>
            <w:tcBorders>
              <w:bottom w:val="single" w:sz="8" w:color="auto"/>
            </w:tcBorders>
          </w:tcPr>
          <w:p>
            <w:pPr>
              <w:jc w:val="right"/>
              <w:ind w:right="268"/>
              <w:spacing w:after="0" w:line="155" w:lineRule="exact"/>
              <w:rPr>
                <w:sz w:val="20"/>
                <w:szCs w:val="20"/>
                <w:color w:val="auto"/>
              </w:rPr>
            </w:pPr>
            <w:r>
              <w:rPr>
                <w:rFonts w:ascii="Arial" w:cs="Arial" w:eastAsia="Arial" w:hAnsi="Arial"/>
                <w:sz w:val="14"/>
                <w:szCs w:val="14"/>
                <w:color w:val="auto"/>
              </w:rPr>
              <w:t>216,623</w:t>
            </w:r>
          </w:p>
        </w:tc>
      </w:tr>
      <w:tr>
        <w:trPr>
          <w:trHeight w:val="156"/>
        </w:trPr>
        <w:tc>
          <w:tcPr>
            <w:tcW w:w="5380" w:type="dxa"/>
            <w:vAlign w:val="bottom"/>
            <w:gridSpan w:val="2"/>
          </w:tcPr>
          <w:p>
            <w:pPr>
              <w:spacing w:after="0" w:line="155" w:lineRule="exact"/>
              <w:rPr>
                <w:sz w:val="20"/>
                <w:szCs w:val="20"/>
                <w:color w:val="auto"/>
              </w:rPr>
            </w:pPr>
            <w:r>
              <w:rPr>
                <w:rFonts w:ascii="Arial" w:cs="Arial" w:eastAsia="Arial" w:hAnsi="Arial"/>
                <w:sz w:val="14"/>
                <w:szCs w:val="14"/>
                <w:color w:val="auto"/>
              </w:rPr>
              <w:t>Total liabilities and equity</w:t>
            </w:r>
          </w:p>
        </w:tc>
        <w:tc>
          <w:tcPr>
            <w:tcW w:w="2900" w:type="dxa"/>
            <w:vAlign w:val="bottom"/>
          </w:tcPr>
          <w:p>
            <w:pPr>
              <w:spacing w:after="0"/>
              <w:rPr>
                <w:sz w:val="13"/>
                <w:szCs w:val="13"/>
                <w:color w:val="auto"/>
              </w:rPr>
            </w:pPr>
          </w:p>
        </w:tc>
        <w:tc>
          <w:tcPr>
            <w:tcW w:w="1540" w:type="dxa"/>
            <w:vAlign w:val="bottom"/>
            <w:shd w:val="clear" w:color="auto" w:fill="D8D8D8"/>
          </w:tcPr>
          <w:p>
            <w:pPr>
              <w:jc w:val="right"/>
              <w:ind w:right="269"/>
              <w:spacing w:after="0" w:line="155" w:lineRule="exact"/>
              <w:rPr>
                <w:sz w:val="20"/>
                <w:szCs w:val="20"/>
                <w:color w:val="auto"/>
              </w:rPr>
            </w:pPr>
            <w:r>
              <w:rPr>
                <w:rFonts w:ascii="Arial" w:cs="Arial" w:eastAsia="Arial" w:hAnsi="Arial"/>
                <w:sz w:val="14"/>
                <w:szCs w:val="14"/>
                <w:color w:val="auto"/>
              </w:rPr>
              <w:t>224,104</w:t>
            </w:r>
          </w:p>
        </w:tc>
        <w:tc>
          <w:tcPr>
            <w:tcW w:w="1600" w:type="dxa"/>
            <w:vAlign w:val="bottom"/>
          </w:tcPr>
          <w:p>
            <w:pPr>
              <w:jc w:val="right"/>
              <w:ind w:right="268"/>
              <w:spacing w:after="0" w:line="155" w:lineRule="exact"/>
              <w:rPr>
                <w:sz w:val="20"/>
                <w:szCs w:val="20"/>
                <w:color w:val="auto"/>
              </w:rPr>
            </w:pPr>
            <w:r>
              <w:rPr>
                <w:rFonts w:ascii="Arial" w:cs="Arial" w:eastAsia="Arial" w:hAnsi="Arial"/>
                <w:sz w:val="14"/>
                <w:szCs w:val="14"/>
                <w:color w:val="auto"/>
              </w:rPr>
              <w:t>218,270</w:t>
            </w:r>
          </w:p>
        </w:tc>
      </w:tr>
      <w:tr>
        <w:trPr>
          <w:trHeight w:val="20"/>
        </w:trPr>
        <w:tc>
          <w:tcPr>
            <w:tcW w:w="20" w:type="dxa"/>
            <w:vAlign w:val="bottom"/>
          </w:tcPr>
          <w:p>
            <w:pPr>
              <w:spacing w:after="0" w:line="20" w:lineRule="exact"/>
              <w:rPr>
                <w:sz w:val="1"/>
                <w:szCs w:val="1"/>
                <w:color w:val="auto"/>
              </w:rPr>
            </w:pPr>
          </w:p>
        </w:tc>
        <w:tc>
          <w:tcPr>
            <w:tcW w:w="5360" w:type="dxa"/>
            <w:vAlign w:val="bottom"/>
            <w:shd w:val="clear" w:color="auto" w:fill="000000"/>
          </w:tcPr>
          <w:p>
            <w:pPr>
              <w:spacing w:after="0" w:line="20" w:lineRule="exact"/>
              <w:rPr>
                <w:sz w:val="1"/>
                <w:szCs w:val="1"/>
                <w:color w:val="auto"/>
              </w:rPr>
            </w:pPr>
          </w:p>
        </w:tc>
        <w:tc>
          <w:tcPr>
            <w:tcW w:w="2900" w:type="dxa"/>
            <w:vAlign w:val="bottom"/>
            <w:shd w:val="clear" w:color="auto" w:fill="000000"/>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1600" w:type="dxa"/>
            <w:vAlign w:val="bottom"/>
            <w:shd w:val="clear" w:color="auto" w:fill="000000"/>
          </w:tcPr>
          <w:p>
            <w:pPr>
              <w:spacing w:after="0" w:line="20" w:lineRule="exact"/>
              <w:rPr>
                <w:sz w:val="1"/>
                <w:szCs w:val="1"/>
                <w:color w:val="auto"/>
              </w:rPr>
            </w:pPr>
          </w:p>
        </w:tc>
      </w:tr>
    </w:tbl>
    <w:p>
      <w:pPr>
        <w:spacing w:after="0" w:line="275" w:lineRule="exact"/>
        <w:rPr>
          <w:sz w:val="20"/>
          <w:szCs w:val="20"/>
          <w:color w:val="auto"/>
        </w:rPr>
      </w:pPr>
    </w:p>
    <w:p>
      <w:pPr>
        <w:spacing w:after="0"/>
        <w:rPr>
          <w:sz w:val="20"/>
          <w:szCs w:val="20"/>
          <w:color w:val="auto"/>
        </w:rPr>
      </w:pPr>
      <w:r>
        <w:rPr>
          <w:rFonts w:ascii="Arial" w:cs="Arial" w:eastAsia="Arial" w:hAnsi="Arial"/>
          <w:sz w:val="14"/>
          <w:szCs w:val="14"/>
          <w:color w:val="auto"/>
        </w:rPr>
        <w:t>Signed on behalf of the Board</w:t>
      </w:r>
    </w:p>
    <w:p>
      <w:pPr>
        <w:spacing w:after="0" w:line="204" w:lineRule="exact"/>
        <w:rPr>
          <w:sz w:val="20"/>
          <w:szCs w:val="20"/>
          <w:color w:val="auto"/>
        </w:rPr>
      </w:pPr>
    </w:p>
    <w:p>
      <w:pPr>
        <w:spacing w:after="0"/>
        <w:rPr>
          <w:sz w:val="20"/>
          <w:szCs w:val="20"/>
          <w:color w:val="auto"/>
        </w:rPr>
      </w:pPr>
      <w:r>
        <w:rPr>
          <w:rFonts w:ascii="Arial" w:cs="Arial" w:eastAsia="Arial" w:hAnsi="Arial"/>
          <w:sz w:val="14"/>
          <w:szCs w:val="14"/>
          <w:color w:val="auto"/>
        </w:rPr>
        <w:t>/s/ Simon Henry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3473450" cy="8890"/>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0">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spacing w:after="0" w:line="19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Simon Henry</w:t>
      </w:r>
    </w:p>
    <w:p>
      <w:pPr>
        <w:spacing w:after="0" w:line="19" w:lineRule="exact"/>
        <w:rPr>
          <w:sz w:val="20"/>
          <w:szCs w:val="20"/>
          <w:color w:val="auto"/>
        </w:rPr>
      </w:pPr>
    </w:p>
    <w:p>
      <w:pPr>
        <w:spacing w:after="0"/>
        <w:rPr>
          <w:sz w:val="20"/>
          <w:szCs w:val="20"/>
          <w:color w:val="auto"/>
        </w:rPr>
      </w:pPr>
      <w:r>
        <w:rPr>
          <w:rFonts w:ascii="Arial" w:cs="Arial" w:eastAsia="Arial" w:hAnsi="Arial"/>
          <w:sz w:val="14"/>
          <w:szCs w:val="14"/>
          <w:color w:val="auto"/>
        </w:rPr>
        <w:t>Chief Financial Officer</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March 11, 2015</w:t>
      </w:r>
    </w:p>
    <w:p>
      <w:pPr>
        <w:sectPr>
          <w:pgSz w:w="11900" w:h="16838" w:orient="portrait"/>
          <w:cols w:equalWidth="0" w:num="1">
            <w:col w:w="11420"/>
          </w:cols>
          <w:pgMar w:left="240" w:top="459" w:right="239" w:bottom="1440" w:gutter="0" w:footer="0" w:header="0"/>
        </w:sectPr>
      </w:pPr>
    </w:p>
    <w:bookmarkStart w:id="165" w:name="page166"/>
    <w:bookmarkEnd w:id="1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300355</wp:posOffset>
            </wp:positionV>
            <wp:extent cx="8890" cy="462915"/>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2">
                      <a:extLst>
                        <a:ext uri="{28A0092B-C50C-407E-A947-70E740481C1C}"/>
                      </a:extLst>
                    </a:blip>
                    <a:srcRect/>
                    <a:stretch>
                      <a:fillRect/>
                    </a:stretch>
                  </pic:blipFill>
                  <pic:spPr bwMode="auto">
                    <a:xfrm>
                      <a:off x="0" y="0"/>
                      <a:ext cx="8890" cy="462915"/>
                    </a:xfrm>
                    <a:prstGeom prst="rect">
                      <a:avLst/>
                    </a:prstGeom>
                    <a:noFill/>
                  </pic:spPr>
                </pic:pic>
              </a:graphicData>
            </a:graphic>
          </wp:anchor>
        </w:drawing>
      </w:r>
    </w:p>
    <w:p>
      <w:pPr>
        <w:spacing w:after="0" w:line="200" w:lineRule="exact"/>
        <w:rPr>
          <w:sz w:val="20"/>
          <w:szCs w:val="20"/>
          <w:color w:val="auto"/>
        </w:rPr>
      </w:pP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565"/>
        </w:trPr>
        <w:tc>
          <w:tcPr>
            <w:tcW w:w="20" w:type="dxa"/>
            <w:vAlign w:val="bottom"/>
          </w:tcPr>
          <w:p>
            <w:pPr>
              <w:spacing w:after="0"/>
              <w:rPr>
                <w:sz w:val="24"/>
                <w:szCs w:val="24"/>
                <w:color w:val="auto"/>
              </w:rPr>
            </w:pPr>
          </w:p>
        </w:tc>
        <w:tc>
          <w:tcPr>
            <w:tcW w:w="1920" w:type="dxa"/>
            <w:vAlign w:val="bottom"/>
            <w:shd w:val="clear" w:color="auto" w:fill="FF8B00"/>
          </w:tcPr>
          <w:p>
            <w:pPr>
              <w:ind w:left="240"/>
              <w:spacing w:after="0"/>
              <w:rPr>
                <w:sz w:val="20"/>
                <w:szCs w:val="20"/>
                <w:color w:val="auto"/>
              </w:rPr>
            </w:pPr>
            <w:r>
              <w:rPr>
                <w:rFonts w:ascii="Arial" w:cs="Arial" w:eastAsia="Arial" w:hAnsi="Arial"/>
                <w:sz w:val="11"/>
                <w:szCs w:val="11"/>
                <w:b w:val="1"/>
                <w:bCs w:val="1"/>
                <w:color w:val="333333"/>
              </w:rPr>
              <w:t>164</w:t>
            </w:r>
          </w:p>
        </w:tc>
        <w:tc>
          <w:tcPr>
            <w:tcW w:w="3640" w:type="dxa"/>
            <w:vAlign w:val="bottom"/>
            <w:shd w:val="clear" w:color="auto" w:fill="FF8B00"/>
          </w:tcPr>
          <w:p>
            <w:pPr>
              <w:jc w:val="right"/>
              <w:ind w:right="731"/>
              <w:spacing w:after="0"/>
              <w:rPr>
                <w:sz w:val="20"/>
                <w:szCs w:val="20"/>
                <w:color w:val="auto"/>
              </w:rPr>
            </w:pPr>
            <w:r>
              <w:rPr>
                <w:rFonts w:ascii="Arial" w:cs="Arial" w:eastAsia="Arial" w:hAnsi="Arial"/>
                <w:sz w:val="13"/>
                <w:szCs w:val="13"/>
                <w:color w:val="333333"/>
                <w:w w:val="97"/>
              </w:rPr>
              <w:t>FINANCIAL STATEMENTS AND SUPPLEMENTS</w:t>
            </w:r>
          </w:p>
        </w:tc>
        <w:tc>
          <w:tcPr>
            <w:tcW w:w="7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920" w:type="dxa"/>
            <w:vAlign w:val="bottom"/>
            <w:shd w:val="clear" w:color="auto" w:fill="FF8B00"/>
          </w:tcPr>
          <w:p>
            <w:pPr>
              <w:spacing w:after="0"/>
              <w:rPr>
                <w:sz w:val="14"/>
                <w:szCs w:val="14"/>
                <w:color w:val="auto"/>
              </w:rPr>
            </w:pPr>
          </w:p>
        </w:tc>
        <w:tc>
          <w:tcPr>
            <w:tcW w:w="3640" w:type="dxa"/>
            <w:vAlign w:val="bottom"/>
            <w:shd w:val="clear" w:color="auto" w:fill="FF8B00"/>
          </w:tcPr>
          <w:p>
            <w:pPr>
              <w:spacing w:after="0"/>
              <w:rPr>
                <w:sz w:val="14"/>
                <w:szCs w:val="14"/>
                <w:color w:val="auto"/>
              </w:rPr>
            </w:pPr>
          </w:p>
        </w:tc>
        <w:tc>
          <w:tcPr>
            <w:tcW w:w="720" w:type="dxa"/>
            <w:vAlign w:val="bottom"/>
            <w:vMerge w:val="restart"/>
          </w:tcPr>
          <w:p>
            <w:pPr>
              <w:spacing w:after="0"/>
              <w:rPr>
                <w:sz w:val="14"/>
                <w:szCs w:val="14"/>
                <w:color w:val="auto"/>
              </w:rPr>
            </w:pPr>
          </w:p>
        </w:tc>
        <w:tc>
          <w:tcPr>
            <w:tcW w:w="9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620" w:type="dxa"/>
            <w:vAlign w:val="bottom"/>
            <w:gridSpan w:val="3"/>
            <w:vMerge w:val="restart"/>
          </w:tcPr>
          <w:p>
            <w:pPr>
              <w:ind w:left="200"/>
              <w:spacing w:after="0"/>
              <w:rPr>
                <w:sz w:val="20"/>
                <w:szCs w:val="20"/>
                <w:color w:val="auto"/>
              </w:rPr>
            </w:pPr>
            <w:r>
              <w:rPr>
                <w:rFonts w:ascii="Arial" w:cs="Arial" w:eastAsia="Arial" w:hAnsi="Arial"/>
                <w:sz w:val="11"/>
                <w:szCs w:val="11"/>
                <w:color w:val="auto"/>
                <w:w w:val="97"/>
              </w:rPr>
              <w:t>SHELL ANNUAL REPORT AND FORM 20-F 2014</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920" w:type="dxa"/>
            <w:vAlign w:val="bottom"/>
          </w:tcPr>
          <w:p>
            <w:pPr>
              <w:spacing w:after="0"/>
              <w:rPr>
                <w:sz w:val="10"/>
                <w:szCs w:val="10"/>
                <w:color w:val="auto"/>
              </w:rPr>
            </w:pPr>
          </w:p>
        </w:tc>
        <w:tc>
          <w:tcPr>
            <w:tcW w:w="3640" w:type="dxa"/>
            <w:vAlign w:val="bottom"/>
          </w:tcPr>
          <w:p>
            <w:pPr>
              <w:jc w:val="right"/>
              <w:ind w:right="731"/>
              <w:spacing w:after="0" w:line="122" w:lineRule="exact"/>
              <w:rPr>
                <w:sz w:val="20"/>
                <w:szCs w:val="20"/>
                <w:color w:val="auto"/>
              </w:rPr>
            </w:pPr>
            <w:r>
              <w:rPr>
                <w:rFonts w:ascii="Arial" w:cs="Arial" w:eastAsia="Arial" w:hAnsi="Arial"/>
                <w:sz w:val="11"/>
                <w:szCs w:val="11"/>
                <w:color w:val="auto"/>
              </w:rPr>
              <w:t>PARENT COMPANY FINANCIAL STATEMENTS</w:t>
            </w:r>
          </w:p>
        </w:tc>
        <w:tc>
          <w:tcPr>
            <w:tcW w:w="720" w:type="dxa"/>
            <w:vAlign w:val="bottom"/>
            <w:vMerge w:val="continue"/>
          </w:tcPr>
          <w:p>
            <w:pPr>
              <w:spacing w:after="0"/>
              <w:rPr>
                <w:sz w:val="10"/>
                <w:szCs w:val="10"/>
                <w:color w:val="auto"/>
              </w:rPr>
            </w:pPr>
          </w:p>
        </w:tc>
        <w:tc>
          <w:tcPr>
            <w:tcW w:w="9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6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280" w:type="dxa"/>
            <w:vAlign w:val="bottom"/>
            <w:gridSpan w:val="3"/>
            <w:shd w:val="clear" w:color="auto" w:fill="333333"/>
          </w:tcPr>
          <w:p>
            <w:pPr>
              <w:ind w:left="60"/>
              <w:spacing w:after="0" w:line="162" w:lineRule="exact"/>
              <w:rPr>
                <w:sz w:val="20"/>
                <w:szCs w:val="20"/>
                <w:color w:val="auto"/>
              </w:rPr>
            </w:pPr>
            <w:r>
              <w:rPr>
                <w:rFonts w:ascii="Arial" w:cs="Arial" w:eastAsia="Arial" w:hAnsi="Arial"/>
                <w:sz w:val="15"/>
                <w:szCs w:val="15"/>
                <w:b w:val="1"/>
                <w:bCs w:val="1"/>
                <w:color w:val="FFFFFF"/>
              </w:rPr>
              <w:t>STATEMENT OF CHANGES IN EQUITY</w:t>
            </w:r>
          </w:p>
        </w:tc>
        <w:tc>
          <w:tcPr>
            <w:tcW w:w="980" w:type="dxa"/>
            <w:vAlign w:val="bottom"/>
            <w:shd w:val="clear" w:color="auto" w:fill="333333"/>
          </w:tcPr>
          <w:p>
            <w:pPr>
              <w:spacing w:after="0"/>
              <w:rPr>
                <w:sz w:val="14"/>
                <w:szCs w:val="14"/>
                <w:color w:val="auto"/>
              </w:rPr>
            </w:pPr>
          </w:p>
        </w:tc>
        <w:tc>
          <w:tcPr>
            <w:tcW w:w="1040" w:type="dxa"/>
            <w:vAlign w:val="bottom"/>
            <w:shd w:val="clear" w:color="auto" w:fill="333333"/>
          </w:tcPr>
          <w:p>
            <w:pPr>
              <w:spacing w:after="0"/>
              <w:rPr>
                <w:sz w:val="14"/>
                <w:szCs w:val="14"/>
                <w:color w:val="auto"/>
              </w:rPr>
            </w:pPr>
          </w:p>
        </w:tc>
        <w:tc>
          <w:tcPr>
            <w:tcW w:w="500" w:type="dxa"/>
            <w:vAlign w:val="bottom"/>
            <w:tcBorders>
              <w:right w:val="single" w:sz="8" w:color="333333"/>
            </w:tcBorders>
            <w:shd w:val="clear" w:color="auto" w:fill="333333"/>
          </w:tcPr>
          <w:p>
            <w:pPr>
              <w:spacing w:after="0"/>
              <w:rPr>
                <w:sz w:val="14"/>
                <w:szCs w:val="14"/>
                <w:color w:val="auto"/>
              </w:rPr>
            </w:pPr>
          </w:p>
        </w:tc>
        <w:tc>
          <w:tcPr>
            <w:tcW w:w="1040" w:type="dxa"/>
            <w:vAlign w:val="bottom"/>
            <w:shd w:val="clear" w:color="auto" w:fill="333333"/>
          </w:tcPr>
          <w:p>
            <w:pPr>
              <w:spacing w:after="0"/>
              <w:rPr>
                <w:sz w:val="14"/>
                <w:szCs w:val="14"/>
                <w:color w:val="auto"/>
              </w:rPr>
            </w:pPr>
          </w:p>
        </w:tc>
        <w:tc>
          <w:tcPr>
            <w:tcW w:w="1560" w:type="dxa"/>
            <w:vAlign w:val="bottom"/>
            <w:shd w:val="clear" w:color="auto" w:fill="333333"/>
          </w:tcPr>
          <w:p>
            <w:pPr>
              <w:jc w:val="right"/>
              <w:ind w:right="488"/>
              <w:spacing w:after="0" w:line="162" w:lineRule="exact"/>
              <w:rPr>
                <w:sz w:val="20"/>
                <w:szCs w:val="20"/>
                <w:color w:val="auto"/>
              </w:rPr>
            </w:pPr>
            <w:r>
              <w:rPr>
                <w:rFonts w:ascii="Arial" w:cs="Arial" w:eastAsia="Arial" w:hAnsi="Arial"/>
                <w:sz w:val="15"/>
                <w:szCs w:val="15"/>
                <w:color w:val="FFFFFF"/>
              </w:rPr>
              <w:t>$ MILLION</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920" w:type="dxa"/>
            <w:vAlign w:val="bottom"/>
          </w:tcPr>
          <w:p>
            <w:pPr>
              <w:spacing w:after="0"/>
              <w:rPr>
                <w:sz w:val="11"/>
                <w:szCs w:val="11"/>
                <w:color w:val="auto"/>
              </w:rPr>
            </w:pPr>
          </w:p>
        </w:tc>
        <w:tc>
          <w:tcPr>
            <w:tcW w:w="36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jc w:val="right"/>
              <w:ind w:right="169"/>
              <w:spacing w:after="0" w:line="129" w:lineRule="exact"/>
              <w:rPr>
                <w:sz w:val="20"/>
                <w:szCs w:val="20"/>
                <w:color w:val="auto"/>
              </w:rPr>
            </w:pPr>
            <w:r>
              <w:rPr>
                <w:rFonts w:ascii="Arial" w:cs="Arial" w:eastAsia="Arial" w:hAnsi="Arial"/>
                <w:sz w:val="13"/>
                <w:szCs w:val="13"/>
                <w:color w:val="auto"/>
              </w:rPr>
              <w:t>Share</w:t>
            </w:r>
          </w:p>
        </w:tc>
        <w:tc>
          <w:tcPr>
            <w:tcW w:w="1540" w:type="dxa"/>
            <w:vAlign w:val="bottom"/>
            <w:gridSpan w:val="2"/>
          </w:tcPr>
          <w:p>
            <w:pPr>
              <w:jc w:val="right"/>
              <w:ind w:right="440"/>
              <w:spacing w:after="0" w:line="129" w:lineRule="exact"/>
              <w:rPr>
                <w:sz w:val="20"/>
                <w:szCs w:val="20"/>
                <w:color w:val="auto"/>
              </w:rPr>
            </w:pPr>
            <w:r>
              <w:rPr>
                <w:rFonts w:ascii="Arial" w:cs="Arial" w:eastAsia="Arial" w:hAnsi="Arial"/>
                <w:sz w:val="13"/>
                <w:szCs w:val="13"/>
                <w:color w:val="auto"/>
              </w:rPr>
              <w:t>Other</w:t>
            </w:r>
          </w:p>
        </w:tc>
        <w:tc>
          <w:tcPr>
            <w:tcW w:w="1040" w:type="dxa"/>
            <w:vAlign w:val="bottom"/>
          </w:tcPr>
          <w:p>
            <w:pPr>
              <w:jc w:val="right"/>
              <w:ind w:right="69"/>
              <w:spacing w:after="0" w:line="129" w:lineRule="exact"/>
              <w:rPr>
                <w:sz w:val="20"/>
                <w:szCs w:val="20"/>
                <w:color w:val="auto"/>
              </w:rPr>
            </w:pPr>
            <w:r>
              <w:rPr>
                <w:rFonts w:ascii="Arial" w:cs="Arial" w:eastAsia="Arial" w:hAnsi="Arial"/>
                <w:sz w:val="13"/>
                <w:szCs w:val="13"/>
                <w:color w:val="auto"/>
              </w:rPr>
              <w:t>Retained</w:t>
            </w:r>
          </w:p>
        </w:tc>
        <w:tc>
          <w:tcPr>
            <w:tcW w:w="1580" w:type="dxa"/>
            <w:vAlign w:val="bottom"/>
            <w:gridSpan w:val="2"/>
          </w:tcPr>
          <w:p>
            <w:pPr>
              <w:jc w:val="right"/>
              <w:ind w:right="360"/>
              <w:spacing w:after="0" w:line="129" w:lineRule="exact"/>
              <w:rPr>
                <w:sz w:val="20"/>
                <w:szCs w:val="20"/>
                <w:color w:val="auto"/>
              </w:rPr>
            </w:pPr>
            <w:r>
              <w:rPr>
                <w:rFonts w:ascii="Arial" w:cs="Arial" w:eastAsia="Arial" w:hAnsi="Arial"/>
                <w:sz w:val="13"/>
                <w:szCs w:val="13"/>
                <w:color w:val="auto"/>
              </w:rPr>
              <w:t>Total</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920" w:type="dxa"/>
            <w:vAlign w:val="bottom"/>
          </w:tcPr>
          <w:p>
            <w:pPr>
              <w:spacing w:after="0"/>
              <w:rPr>
                <w:sz w:val="13"/>
                <w:szCs w:val="13"/>
                <w:color w:val="auto"/>
              </w:rPr>
            </w:pPr>
          </w:p>
        </w:tc>
        <w:tc>
          <w:tcPr>
            <w:tcW w:w="4360" w:type="dxa"/>
            <w:vAlign w:val="bottom"/>
            <w:gridSpan w:val="2"/>
          </w:tcPr>
          <w:p>
            <w:pPr>
              <w:jc w:val="right"/>
              <w:ind w:right="380"/>
              <w:spacing w:after="0"/>
              <w:rPr>
                <w:sz w:val="20"/>
                <w:szCs w:val="20"/>
                <w:color w:val="auto"/>
              </w:rPr>
            </w:pPr>
            <w:r>
              <w:rPr>
                <w:rFonts w:ascii="Arial" w:cs="Arial" w:eastAsia="Arial" w:hAnsi="Arial"/>
                <w:sz w:val="13"/>
                <w:szCs w:val="13"/>
                <w:color w:val="auto"/>
              </w:rPr>
              <w:t>NOTES</w:t>
            </w:r>
          </w:p>
        </w:tc>
        <w:tc>
          <w:tcPr>
            <w:tcW w:w="980" w:type="dxa"/>
            <w:vAlign w:val="bottom"/>
          </w:tcPr>
          <w:p>
            <w:pPr>
              <w:jc w:val="right"/>
              <w:ind w:right="169"/>
              <w:spacing w:after="0"/>
              <w:rPr>
                <w:sz w:val="20"/>
                <w:szCs w:val="20"/>
                <w:color w:val="auto"/>
              </w:rPr>
            </w:pPr>
            <w:r>
              <w:rPr>
                <w:rFonts w:ascii="Arial" w:cs="Arial" w:eastAsia="Arial" w:hAnsi="Arial"/>
                <w:sz w:val="13"/>
                <w:szCs w:val="13"/>
                <w:color w:val="auto"/>
              </w:rPr>
              <w:t>capital</w:t>
            </w:r>
          </w:p>
        </w:tc>
        <w:tc>
          <w:tcPr>
            <w:tcW w:w="1540" w:type="dxa"/>
            <w:vAlign w:val="bottom"/>
            <w:gridSpan w:val="2"/>
          </w:tcPr>
          <w:p>
            <w:pPr>
              <w:jc w:val="right"/>
              <w:ind w:right="440"/>
              <w:spacing w:after="0"/>
              <w:rPr>
                <w:sz w:val="20"/>
                <w:szCs w:val="20"/>
                <w:color w:val="auto"/>
              </w:rPr>
            </w:pPr>
            <w:r>
              <w:rPr>
                <w:rFonts w:ascii="Arial" w:cs="Arial" w:eastAsia="Arial" w:hAnsi="Arial"/>
                <w:sz w:val="13"/>
                <w:szCs w:val="13"/>
                <w:color w:val="auto"/>
              </w:rPr>
              <w:t>reserves</w:t>
            </w:r>
          </w:p>
        </w:tc>
        <w:tc>
          <w:tcPr>
            <w:tcW w:w="1040" w:type="dxa"/>
            <w:vAlign w:val="bottom"/>
          </w:tcPr>
          <w:p>
            <w:pPr>
              <w:jc w:val="right"/>
              <w:ind w:right="69"/>
              <w:spacing w:after="0"/>
              <w:rPr>
                <w:sz w:val="20"/>
                <w:szCs w:val="20"/>
                <w:color w:val="auto"/>
              </w:rPr>
            </w:pPr>
            <w:r>
              <w:rPr>
                <w:rFonts w:ascii="Arial" w:cs="Arial" w:eastAsia="Arial" w:hAnsi="Arial"/>
                <w:sz w:val="13"/>
                <w:szCs w:val="13"/>
                <w:color w:val="auto"/>
              </w:rPr>
              <w:t>earnings</w:t>
            </w:r>
          </w:p>
        </w:tc>
        <w:tc>
          <w:tcPr>
            <w:tcW w:w="1580" w:type="dxa"/>
            <w:vAlign w:val="bottom"/>
            <w:gridSpan w:val="2"/>
          </w:tcPr>
          <w:p>
            <w:pPr>
              <w:jc w:val="right"/>
              <w:ind w:right="360"/>
              <w:spacing w:after="0"/>
              <w:rPr>
                <w:sz w:val="20"/>
                <w:szCs w:val="20"/>
                <w:color w:val="auto"/>
              </w:rPr>
            </w:pPr>
            <w:r>
              <w:rPr>
                <w:rFonts w:ascii="Arial" w:cs="Arial" w:eastAsia="Arial" w:hAnsi="Arial"/>
                <w:sz w:val="13"/>
                <w:szCs w:val="13"/>
                <w:color w:val="auto"/>
              </w:rPr>
              <w:t>equity</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920" w:type="dxa"/>
            <w:vAlign w:val="bottom"/>
            <w:tcBorders>
              <w:top w:val="single" w:sz="8" w:color="auto"/>
            </w:tcBorders>
          </w:tcPr>
          <w:p>
            <w:pPr>
              <w:spacing w:after="0"/>
              <w:rPr>
                <w:sz w:val="20"/>
                <w:szCs w:val="20"/>
                <w:color w:val="auto"/>
              </w:rPr>
            </w:pPr>
            <w:r>
              <w:rPr>
                <w:rFonts w:ascii="Arial" w:cs="Arial" w:eastAsia="Arial" w:hAnsi="Arial"/>
                <w:sz w:val="14"/>
                <w:szCs w:val="14"/>
                <w:b w:val="1"/>
                <w:bCs w:val="1"/>
                <w:color w:val="auto"/>
              </w:rPr>
              <w:t>At January 1, 2014</w:t>
            </w:r>
          </w:p>
        </w:tc>
        <w:tc>
          <w:tcPr>
            <w:tcW w:w="364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spacing w:after="0"/>
              <w:rPr>
                <w:sz w:val="13"/>
                <w:szCs w:val="13"/>
                <w:color w:val="auto"/>
              </w:rPr>
            </w:pPr>
          </w:p>
        </w:tc>
        <w:tc>
          <w:tcPr>
            <w:tcW w:w="980" w:type="dxa"/>
            <w:vAlign w:val="bottom"/>
            <w:tcBorders>
              <w:top w:val="single" w:sz="8" w:color="auto"/>
            </w:tcBorders>
          </w:tcPr>
          <w:p>
            <w:pPr>
              <w:jc w:val="right"/>
              <w:ind w:right="169"/>
              <w:spacing w:after="0"/>
              <w:rPr>
                <w:sz w:val="20"/>
                <w:szCs w:val="20"/>
                <w:color w:val="auto"/>
              </w:rPr>
            </w:pPr>
            <w:r>
              <w:rPr>
                <w:rFonts w:ascii="Arial" w:cs="Arial" w:eastAsia="Arial" w:hAnsi="Arial"/>
                <w:sz w:val="14"/>
                <w:szCs w:val="14"/>
                <w:color w:val="auto"/>
              </w:rPr>
              <w:t>542</w:t>
            </w:r>
          </w:p>
        </w:tc>
        <w:tc>
          <w:tcPr>
            <w:tcW w:w="1540" w:type="dxa"/>
            <w:vAlign w:val="bottom"/>
            <w:tcBorders>
              <w:top w:val="single" w:sz="8" w:color="auto"/>
            </w:tcBorders>
            <w:gridSpan w:val="2"/>
          </w:tcPr>
          <w:p>
            <w:pPr>
              <w:jc w:val="right"/>
              <w:ind w:right="440"/>
              <w:spacing w:after="0"/>
              <w:rPr>
                <w:sz w:val="20"/>
                <w:szCs w:val="20"/>
                <w:color w:val="auto"/>
              </w:rPr>
            </w:pPr>
            <w:r>
              <w:rPr>
                <w:rFonts w:ascii="Arial" w:cs="Arial" w:eastAsia="Arial" w:hAnsi="Arial"/>
                <w:sz w:val="14"/>
                <w:szCs w:val="14"/>
                <w:color w:val="auto"/>
              </w:rPr>
              <w:t>201,898</w:t>
            </w:r>
          </w:p>
        </w:tc>
        <w:tc>
          <w:tcPr>
            <w:tcW w:w="1040" w:type="dxa"/>
            <w:vAlign w:val="bottom"/>
            <w:tcBorders>
              <w:top w:val="single" w:sz="8" w:color="auto"/>
            </w:tcBorders>
          </w:tcPr>
          <w:p>
            <w:pPr>
              <w:jc w:val="right"/>
              <w:ind w:right="69"/>
              <w:spacing w:after="0"/>
              <w:rPr>
                <w:sz w:val="20"/>
                <w:szCs w:val="20"/>
                <w:color w:val="auto"/>
              </w:rPr>
            </w:pPr>
            <w:r>
              <w:rPr>
                <w:rFonts w:ascii="Arial" w:cs="Arial" w:eastAsia="Arial" w:hAnsi="Arial"/>
                <w:sz w:val="14"/>
                <w:szCs w:val="14"/>
                <w:color w:val="auto"/>
              </w:rPr>
              <w:t>14,183</w:t>
            </w:r>
          </w:p>
        </w:tc>
        <w:tc>
          <w:tcPr>
            <w:tcW w:w="1560" w:type="dxa"/>
            <w:vAlign w:val="bottom"/>
            <w:tcBorders>
              <w:top w:val="single" w:sz="8" w:color="auto"/>
            </w:tcBorders>
          </w:tcPr>
          <w:p>
            <w:pPr>
              <w:jc w:val="right"/>
              <w:ind w:right="268"/>
              <w:spacing w:after="0"/>
              <w:rPr>
                <w:sz w:val="20"/>
                <w:szCs w:val="20"/>
                <w:color w:val="auto"/>
              </w:rPr>
            </w:pPr>
            <w:r>
              <w:rPr>
                <w:rFonts w:ascii="Arial" w:cs="Arial" w:eastAsia="Arial" w:hAnsi="Arial"/>
                <w:sz w:val="14"/>
                <w:szCs w:val="14"/>
                <w:color w:val="auto"/>
              </w:rPr>
              <w:t>216,623</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6300" w:type="dxa"/>
            <w:vAlign w:val="bottom"/>
            <w:gridSpan w:val="4"/>
          </w:tcPr>
          <w:p>
            <w:pPr>
              <w:spacing w:after="0"/>
              <w:rPr>
                <w:sz w:val="20"/>
                <w:szCs w:val="20"/>
                <w:color w:val="auto"/>
              </w:rPr>
            </w:pPr>
            <w:r>
              <w:rPr>
                <w:rFonts w:ascii="Arial" w:cs="Arial" w:eastAsia="Arial" w:hAnsi="Arial"/>
                <w:sz w:val="14"/>
                <w:szCs w:val="14"/>
                <w:color w:val="auto"/>
              </w:rPr>
              <w:t>Comprehensive income for the period</w:t>
            </w:r>
          </w:p>
        </w:tc>
        <w:tc>
          <w:tcPr>
            <w:tcW w:w="980" w:type="dxa"/>
            <w:vAlign w:val="bottom"/>
          </w:tcPr>
          <w:p>
            <w:pPr>
              <w:jc w:val="right"/>
              <w:ind w:right="169"/>
              <w:spacing w:after="0"/>
              <w:rPr>
                <w:sz w:val="20"/>
                <w:szCs w:val="20"/>
                <w:color w:val="auto"/>
              </w:rPr>
            </w:pPr>
            <w:r>
              <w:rPr>
                <w:rFonts w:ascii="Arial" w:cs="Arial" w:eastAsia="Arial" w:hAnsi="Arial"/>
                <w:sz w:val="14"/>
                <w:szCs w:val="14"/>
                <w:color w:val="auto"/>
              </w:rPr>
              <w:t>–</w:t>
            </w:r>
          </w:p>
        </w:tc>
        <w:tc>
          <w:tcPr>
            <w:tcW w:w="1540" w:type="dxa"/>
            <w:vAlign w:val="bottom"/>
            <w:gridSpan w:val="2"/>
          </w:tcPr>
          <w:p>
            <w:pPr>
              <w:jc w:val="right"/>
              <w:ind w:right="440"/>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69"/>
              <w:spacing w:after="0"/>
              <w:rPr>
                <w:sz w:val="20"/>
                <w:szCs w:val="20"/>
                <w:color w:val="auto"/>
              </w:rPr>
            </w:pPr>
            <w:r>
              <w:rPr>
                <w:rFonts w:ascii="Arial" w:cs="Arial" w:eastAsia="Arial" w:hAnsi="Arial"/>
                <w:sz w:val="14"/>
                <w:szCs w:val="14"/>
                <w:color w:val="auto"/>
              </w:rPr>
              <w:t>16,079</w:t>
            </w:r>
          </w:p>
        </w:tc>
        <w:tc>
          <w:tcPr>
            <w:tcW w:w="1560" w:type="dxa"/>
            <w:vAlign w:val="bottom"/>
          </w:tcPr>
          <w:p>
            <w:pPr>
              <w:jc w:val="right"/>
              <w:ind w:right="268"/>
              <w:spacing w:after="0"/>
              <w:rPr>
                <w:sz w:val="20"/>
                <w:szCs w:val="20"/>
                <w:color w:val="auto"/>
              </w:rPr>
            </w:pPr>
            <w:r>
              <w:rPr>
                <w:rFonts w:ascii="Arial" w:cs="Arial" w:eastAsia="Arial" w:hAnsi="Arial"/>
                <w:sz w:val="14"/>
                <w:szCs w:val="14"/>
                <w:color w:val="auto"/>
              </w:rPr>
              <w:t>16,079</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940" w:type="dxa"/>
            <w:vAlign w:val="bottom"/>
            <w:gridSpan w:val="2"/>
          </w:tcPr>
          <w:p>
            <w:pPr>
              <w:spacing w:after="0"/>
              <w:rPr>
                <w:sz w:val="20"/>
                <w:szCs w:val="20"/>
                <w:color w:val="auto"/>
              </w:rPr>
            </w:pPr>
            <w:r>
              <w:rPr>
                <w:rFonts w:ascii="Arial" w:cs="Arial" w:eastAsia="Arial" w:hAnsi="Arial"/>
                <w:sz w:val="14"/>
                <w:szCs w:val="14"/>
                <w:color w:val="auto"/>
              </w:rPr>
              <w:t>Dividends paid</w:t>
            </w:r>
          </w:p>
        </w:tc>
        <w:tc>
          <w:tcPr>
            <w:tcW w:w="4360" w:type="dxa"/>
            <w:vAlign w:val="bottom"/>
            <w:gridSpan w:val="2"/>
          </w:tcPr>
          <w:p>
            <w:pPr>
              <w:jc w:val="right"/>
              <w:ind w:right="380"/>
              <w:spacing w:after="0"/>
              <w:rPr>
                <w:sz w:val="20"/>
                <w:szCs w:val="20"/>
                <w:color w:val="auto"/>
              </w:rPr>
            </w:pPr>
            <w:r>
              <w:rPr>
                <w:rFonts w:ascii="Arial" w:cs="Arial" w:eastAsia="Arial" w:hAnsi="Arial"/>
                <w:sz w:val="14"/>
                <w:szCs w:val="14"/>
                <w:color w:val="auto"/>
              </w:rPr>
              <w:t>12</w:t>
            </w:r>
          </w:p>
        </w:tc>
        <w:tc>
          <w:tcPr>
            <w:tcW w:w="980" w:type="dxa"/>
            <w:vAlign w:val="bottom"/>
          </w:tcPr>
          <w:p>
            <w:pPr>
              <w:jc w:val="right"/>
              <w:ind w:right="169"/>
              <w:spacing w:after="0"/>
              <w:rPr>
                <w:sz w:val="20"/>
                <w:szCs w:val="20"/>
                <w:color w:val="auto"/>
              </w:rPr>
            </w:pPr>
            <w:r>
              <w:rPr>
                <w:rFonts w:ascii="Arial" w:cs="Arial" w:eastAsia="Arial" w:hAnsi="Arial"/>
                <w:sz w:val="14"/>
                <w:szCs w:val="14"/>
                <w:color w:val="auto"/>
              </w:rPr>
              <w:t>–</w:t>
            </w:r>
          </w:p>
        </w:tc>
        <w:tc>
          <w:tcPr>
            <w:tcW w:w="1540" w:type="dxa"/>
            <w:vAlign w:val="bottom"/>
            <w:gridSpan w:val="2"/>
          </w:tcPr>
          <w:p>
            <w:pPr>
              <w:jc w:val="right"/>
              <w:ind w:right="440"/>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29"/>
              <w:spacing w:after="0"/>
              <w:rPr>
                <w:sz w:val="20"/>
                <w:szCs w:val="20"/>
                <w:color w:val="auto"/>
              </w:rPr>
            </w:pPr>
            <w:r>
              <w:rPr>
                <w:rFonts w:ascii="Arial" w:cs="Arial" w:eastAsia="Arial" w:hAnsi="Arial"/>
                <w:sz w:val="14"/>
                <w:szCs w:val="14"/>
                <w:color w:val="auto"/>
              </w:rPr>
              <w:t>(11,843)</w:t>
            </w:r>
          </w:p>
        </w:tc>
        <w:tc>
          <w:tcPr>
            <w:tcW w:w="1560" w:type="dxa"/>
            <w:vAlign w:val="bottom"/>
          </w:tcPr>
          <w:p>
            <w:pPr>
              <w:jc w:val="right"/>
              <w:ind w:right="208"/>
              <w:spacing w:after="0"/>
              <w:rPr>
                <w:sz w:val="20"/>
                <w:szCs w:val="20"/>
                <w:color w:val="auto"/>
              </w:rPr>
            </w:pPr>
            <w:r>
              <w:rPr>
                <w:rFonts w:ascii="Arial" w:cs="Arial" w:eastAsia="Arial" w:hAnsi="Arial"/>
                <w:sz w:val="14"/>
                <w:szCs w:val="14"/>
                <w:color w:val="auto"/>
              </w:rPr>
              <w:t>(11,843)</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940" w:type="dxa"/>
            <w:vAlign w:val="bottom"/>
            <w:gridSpan w:val="2"/>
          </w:tcPr>
          <w:p>
            <w:pPr>
              <w:spacing w:after="0"/>
              <w:rPr>
                <w:sz w:val="20"/>
                <w:szCs w:val="20"/>
                <w:color w:val="auto"/>
              </w:rPr>
            </w:pPr>
            <w:r>
              <w:rPr>
                <w:rFonts w:ascii="Arial" w:cs="Arial" w:eastAsia="Arial" w:hAnsi="Arial"/>
                <w:sz w:val="14"/>
                <w:szCs w:val="14"/>
                <w:color w:val="auto"/>
              </w:rPr>
              <w:t>Scrip dividends</w:t>
            </w:r>
          </w:p>
        </w:tc>
        <w:tc>
          <w:tcPr>
            <w:tcW w:w="4360" w:type="dxa"/>
            <w:vAlign w:val="bottom"/>
            <w:gridSpan w:val="2"/>
          </w:tcPr>
          <w:p>
            <w:pPr>
              <w:jc w:val="right"/>
              <w:ind w:right="380"/>
              <w:spacing w:after="0"/>
              <w:rPr>
                <w:sz w:val="20"/>
                <w:szCs w:val="20"/>
                <w:color w:val="auto"/>
              </w:rPr>
            </w:pPr>
            <w:r>
              <w:rPr>
                <w:rFonts w:ascii="Arial" w:cs="Arial" w:eastAsia="Arial" w:hAnsi="Arial"/>
                <w:sz w:val="14"/>
                <w:szCs w:val="14"/>
                <w:color w:val="auto"/>
              </w:rPr>
              <w:t>12</w:t>
            </w:r>
          </w:p>
        </w:tc>
        <w:tc>
          <w:tcPr>
            <w:tcW w:w="980" w:type="dxa"/>
            <w:vAlign w:val="bottom"/>
          </w:tcPr>
          <w:p>
            <w:pPr>
              <w:jc w:val="right"/>
              <w:ind w:right="169"/>
              <w:spacing w:after="0"/>
              <w:rPr>
                <w:sz w:val="20"/>
                <w:szCs w:val="20"/>
                <w:color w:val="auto"/>
              </w:rPr>
            </w:pPr>
            <w:r>
              <w:rPr>
                <w:rFonts w:ascii="Arial" w:cs="Arial" w:eastAsia="Arial" w:hAnsi="Arial"/>
                <w:sz w:val="14"/>
                <w:szCs w:val="14"/>
                <w:color w:val="auto"/>
              </w:rPr>
              <w:t>6</w:t>
            </w:r>
          </w:p>
        </w:tc>
        <w:tc>
          <w:tcPr>
            <w:tcW w:w="1540" w:type="dxa"/>
            <w:vAlign w:val="bottom"/>
            <w:gridSpan w:val="2"/>
          </w:tcPr>
          <w:p>
            <w:pPr>
              <w:jc w:val="right"/>
              <w:ind w:right="400"/>
              <w:spacing w:after="0"/>
              <w:rPr>
                <w:sz w:val="20"/>
                <w:szCs w:val="20"/>
                <w:color w:val="auto"/>
              </w:rPr>
            </w:pPr>
            <w:r>
              <w:rPr>
                <w:rFonts w:ascii="Arial" w:cs="Arial" w:eastAsia="Arial" w:hAnsi="Arial"/>
                <w:sz w:val="14"/>
                <w:szCs w:val="14"/>
                <w:color w:val="auto"/>
              </w:rPr>
              <w:t>(6)</w:t>
            </w:r>
          </w:p>
        </w:tc>
        <w:tc>
          <w:tcPr>
            <w:tcW w:w="1040" w:type="dxa"/>
            <w:vAlign w:val="bottom"/>
          </w:tcPr>
          <w:p>
            <w:pPr>
              <w:jc w:val="right"/>
              <w:ind w:right="69"/>
              <w:spacing w:after="0"/>
              <w:rPr>
                <w:sz w:val="20"/>
                <w:szCs w:val="20"/>
                <w:color w:val="auto"/>
              </w:rPr>
            </w:pPr>
            <w:r>
              <w:rPr>
                <w:rFonts w:ascii="Arial" w:cs="Arial" w:eastAsia="Arial" w:hAnsi="Arial"/>
                <w:sz w:val="14"/>
                <w:szCs w:val="14"/>
                <w:color w:val="auto"/>
              </w:rPr>
              <w:t>2,399</w:t>
            </w:r>
          </w:p>
        </w:tc>
        <w:tc>
          <w:tcPr>
            <w:tcW w:w="1560" w:type="dxa"/>
            <w:vAlign w:val="bottom"/>
          </w:tcPr>
          <w:p>
            <w:pPr>
              <w:jc w:val="right"/>
              <w:ind w:right="268"/>
              <w:spacing w:after="0"/>
              <w:rPr>
                <w:sz w:val="20"/>
                <w:szCs w:val="20"/>
                <w:color w:val="auto"/>
              </w:rPr>
            </w:pPr>
            <w:r>
              <w:rPr>
                <w:rFonts w:ascii="Arial" w:cs="Arial" w:eastAsia="Arial" w:hAnsi="Arial"/>
                <w:sz w:val="14"/>
                <w:szCs w:val="14"/>
                <w:color w:val="auto"/>
              </w:rPr>
              <w:t>2,399</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940" w:type="dxa"/>
            <w:vAlign w:val="bottom"/>
            <w:gridSpan w:val="2"/>
          </w:tcPr>
          <w:p>
            <w:pPr>
              <w:spacing w:after="0"/>
              <w:rPr>
                <w:sz w:val="20"/>
                <w:szCs w:val="20"/>
                <w:color w:val="auto"/>
              </w:rPr>
            </w:pPr>
            <w:r>
              <w:rPr>
                <w:rFonts w:ascii="Arial" w:cs="Arial" w:eastAsia="Arial" w:hAnsi="Arial"/>
                <w:sz w:val="14"/>
                <w:szCs w:val="14"/>
                <w:color w:val="auto"/>
              </w:rPr>
              <w:t>Repurchases of shares</w:t>
            </w:r>
          </w:p>
        </w:tc>
        <w:tc>
          <w:tcPr>
            <w:tcW w:w="4360" w:type="dxa"/>
            <w:vAlign w:val="bottom"/>
            <w:gridSpan w:val="2"/>
          </w:tcPr>
          <w:p>
            <w:pPr>
              <w:jc w:val="right"/>
              <w:ind w:right="380"/>
              <w:spacing w:after="0"/>
              <w:rPr>
                <w:sz w:val="20"/>
                <w:szCs w:val="20"/>
                <w:color w:val="auto"/>
              </w:rPr>
            </w:pPr>
            <w:r>
              <w:rPr>
                <w:rFonts w:ascii="Arial" w:cs="Arial" w:eastAsia="Arial" w:hAnsi="Arial"/>
                <w:sz w:val="14"/>
                <w:szCs w:val="14"/>
                <w:color w:val="auto"/>
              </w:rPr>
              <w:t>11</w:t>
            </w:r>
          </w:p>
        </w:tc>
        <w:tc>
          <w:tcPr>
            <w:tcW w:w="980" w:type="dxa"/>
            <w:vAlign w:val="bottom"/>
          </w:tcPr>
          <w:p>
            <w:pPr>
              <w:jc w:val="right"/>
              <w:ind w:right="109"/>
              <w:spacing w:after="0"/>
              <w:rPr>
                <w:sz w:val="20"/>
                <w:szCs w:val="20"/>
                <w:color w:val="auto"/>
              </w:rPr>
            </w:pPr>
            <w:r>
              <w:rPr>
                <w:rFonts w:ascii="Arial" w:cs="Arial" w:eastAsia="Arial" w:hAnsi="Arial"/>
                <w:sz w:val="14"/>
                <w:szCs w:val="14"/>
                <w:color w:val="auto"/>
              </w:rPr>
              <w:t>(8)</w:t>
            </w:r>
          </w:p>
        </w:tc>
        <w:tc>
          <w:tcPr>
            <w:tcW w:w="1540" w:type="dxa"/>
            <w:vAlign w:val="bottom"/>
            <w:gridSpan w:val="2"/>
          </w:tcPr>
          <w:p>
            <w:pPr>
              <w:jc w:val="right"/>
              <w:ind w:right="440"/>
              <w:spacing w:after="0"/>
              <w:rPr>
                <w:sz w:val="20"/>
                <w:szCs w:val="20"/>
                <w:color w:val="auto"/>
              </w:rPr>
            </w:pPr>
            <w:r>
              <w:rPr>
                <w:rFonts w:ascii="Arial" w:cs="Arial" w:eastAsia="Arial" w:hAnsi="Arial"/>
                <w:sz w:val="14"/>
                <w:szCs w:val="14"/>
                <w:color w:val="auto"/>
              </w:rPr>
              <w:t>8</w:t>
            </w:r>
          </w:p>
        </w:tc>
        <w:tc>
          <w:tcPr>
            <w:tcW w:w="1040" w:type="dxa"/>
            <w:vAlign w:val="bottom"/>
          </w:tcPr>
          <w:p>
            <w:pPr>
              <w:jc w:val="right"/>
              <w:ind w:right="29"/>
              <w:spacing w:after="0"/>
              <w:rPr>
                <w:sz w:val="20"/>
                <w:szCs w:val="20"/>
                <w:color w:val="auto"/>
              </w:rPr>
            </w:pPr>
            <w:r>
              <w:rPr>
                <w:rFonts w:ascii="Arial" w:cs="Arial" w:eastAsia="Arial" w:hAnsi="Arial"/>
                <w:sz w:val="14"/>
                <w:szCs w:val="14"/>
                <w:color w:val="auto"/>
              </w:rPr>
              <w:t>(2,787)</w:t>
            </w:r>
          </w:p>
        </w:tc>
        <w:tc>
          <w:tcPr>
            <w:tcW w:w="1560" w:type="dxa"/>
            <w:vAlign w:val="bottom"/>
          </w:tcPr>
          <w:p>
            <w:pPr>
              <w:jc w:val="right"/>
              <w:ind w:right="208"/>
              <w:spacing w:after="0"/>
              <w:rPr>
                <w:sz w:val="20"/>
                <w:szCs w:val="20"/>
                <w:color w:val="auto"/>
              </w:rPr>
            </w:pPr>
            <w:r>
              <w:rPr>
                <w:rFonts w:ascii="Arial" w:cs="Arial" w:eastAsia="Arial" w:hAnsi="Arial"/>
                <w:sz w:val="14"/>
                <w:szCs w:val="14"/>
                <w:color w:val="auto"/>
              </w:rPr>
              <w:t>(2,787)</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1940" w:type="dxa"/>
            <w:vAlign w:val="bottom"/>
            <w:tcBorders>
              <w:bottom w:val="single" w:sz="8" w:color="auto"/>
            </w:tcBorders>
            <w:gridSpan w:val="2"/>
          </w:tcPr>
          <w:p>
            <w:pPr>
              <w:spacing w:after="0" w:line="157" w:lineRule="exact"/>
              <w:rPr>
                <w:sz w:val="20"/>
                <w:szCs w:val="20"/>
                <w:color w:val="auto"/>
              </w:rPr>
            </w:pPr>
            <w:r>
              <w:rPr>
                <w:rFonts w:ascii="Arial" w:cs="Arial" w:eastAsia="Arial" w:hAnsi="Arial"/>
                <w:sz w:val="14"/>
                <w:szCs w:val="14"/>
                <w:color w:val="auto"/>
              </w:rPr>
              <w:t>Share-based compensation</w:t>
            </w:r>
          </w:p>
        </w:tc>
        <w:tc>
          <w:tcPr>
            <w:tcW w:w="4360" w:type="dxa"/>
            <w:vAlign w:val="bottom"/>
            <w:tcBorders>
              <w:bottom w:val="single" w:sz="8" w:color="auto"/>
            </w:tcBorders>
            <w:gridSpan w:val="2"/>
          </w:tcPr>
          <w:p>
            <w:pPr>
              <w:jc w:val="right"/>
              <w:ind w:right="380"/>
              <w:spacing w:after="0" w:line="157" w:lineRule="exact"/>
              <w:rPr>
                <w:sz w:val="20"/>
                <w:szCs w:val="20"/>
                <w:color w:val="auto"/>
              </w:rPr>
            </w:pPr>
            <w:r>
              <w:rPr>
                <w:rFonts w:ascii="Arial" w:cs="Arial" w:eastAsia="Arial" w:hAnsi="Arial"/>
                <w:sz w:val="14"/>
                <w:szCs w:val="14"/>
                <w:color w:val="auto"/>
              </w:rPr>
              <w:t>11</w:t>
            </w:r>
          </w:p>
        </w:tc>
        <w:tc>
          <w:tcPr>
            <w:tcW w:w="980" w:type="dxa"/>
            <w:vAlign w:val="bottom"/>
            <w:tcBorders>
              <w:bottom w:val="single" w:sz="8" w:color="auto"/>
            </w:tcBorders>
          </w:tcPr>
          <w:p>
            <w:pPr>
              <w:jc w:val="right"/>
              <w:ind w:right="169"/>
              <w:spacing w:after="0" w:line="157" w:lineRule="exact"/>
              <w:rPr>
                <w:sz w:val="20"/>
                <w:szCs w:val="20"/>
                <w:color w:val="auto"/>
              </w:rPr>
            </w:pPr>
            <w:r>
              <w:rPr>
                <w:rFonts w:ascii="Arial" w:cs="Arial" w:eastAsia="Arial" w:hAnsi="Arial"/>
                <w:sz w:val="14"/>
                <w:szCs w:val="14"/>
                <w:color w:val="auto"/>
              </w:rPr>
              <w:t>–</w:t>
            </w:r>
          </w:p>
        </w:tc>
        <w:tc>
          <w:tcPr>
            <w:tcW w:w="1540" w:type="dxa"/>
            <w:vAlign w:val="bottom"/>
            <w:tcBorders>
              <w:bottom w:val="single" w:sz="8" w:color="auto"/>
            </w:tcBorders>
            <w:gridSpan w:val="2"/>
          </w:tcPr>
          <w:p>
            <w:pPr>
              <w:jc w:val="right"/>
              <w:ind w:right="400"/>
              <w:spacing w:after="0" w:line="157" w:lineRule="exact"/>
              <w:rPr>
                <w:sz w:val="20"/>
                <w:szCs w:val="20"/>
                <w:color w:val="auto"/>
              </w:rPr>
            </w:pPr>
            <w:r>
              <w:rPr>
                <w:rFonts w:ascii="Arial" w:cs="Arial" w:eastAsia="Arial" w:hAnsi="Arial"/>
                <w:sz w:val="14"/>
                <w:szCs w:val="14"/>
                <w:color w:val="auto"/>
              </w:rPr>
              <w:t>(155)</w:t>
            </w:r>
          </w:p>
        </w:tc>
        <w:tc>
          <w:tcPr>
            <w:tcW w:w="1040" w:type="dxa"/>
            <w:vAlign w:val="bottom"/>
            <w:tcBorders>
              <w:bottom w:val="single" w:sz="8" w:color="auto"/>
            </w:tcBorders>
          </w:tcPr>
          <w:p>
            <w:pPr>
              <w:jc w:val="right"/>
              <w:ind w:right="69"/>
              <w:spacing w:after="0" w:line="157" w:lineRule="exact"/>
              <w:rPr>
                <w:sz w:val="20"/>
                <w:szCs w:val="20"/>
                <w:color w:val="auto"/>
              </w:rPr>
            </w:pPr>
            <w:r>
              <w:rPr>
                <w:rFonts w:ascii="Arial" w:cs="Arial" w:eastAsia="Arial" w:hAnsi="Arial"/>
                <w:sz w:val="14"/>
                <w:szCs w:val="14"/>
                <w:color w:val="auto"/>
              </w:rPr>
              <w:t>672</w:t>
            </w:r>
          </w:p>
        </w:tc>
        <w:tc>
          <w:tcPr>
            <w:tcW w:w="1560" w:type="dxa"/>
            <w:vAlign w:val="bottom"/>
            <w:tcBorders>
              <w:bottom w:val="single" w:sz="8" w:color="auto"/>
            </w:tcBorders>
          </w:tcPr>
          <w:p>
            <w:pPr>
              <w:jc w:val="right"/>
              <w:ind w:right="268"/>
              <w:spacing w:after="0" w:line="157" w:lineRule="exact"/>
              <w:rPr>
                <w:sz w:val="20"/>
                <w:szCs w:val="20"/>
                <w:color w:val="auto"/>
              </w:rPr>
            </w:pPr>
            <w:r>
              <w:rPr>
                <w:rFonts w:ascii="Arial" w:cs="Arial" w:eastAsia="Arial" w:hAnsi="Arial"/>
                <w:sz w:val="14"/>
                <w:szCs w:val="14"/>
                <w:color w:val="auto"/>
              </w:rPr>
              <w:t>517</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940" w:type="dxa"/>
            <w:vAlign w:val="bottom"/>
            <w:tcBorders>
              <w:bottom w:val="single" w:sz="8" w:color="auto"/>
            </w:tcBorders>
            <w:gridSpan w:val="2"/>
          </w:tcPr>
          <w:p>
            <w:pPr>
              <w:spacing w:after="0" w:line="155" w:lineRule="exact"/>
              <w:rPr>
                <w:sz w:val="20"/>
                <w:szCs w:val="20"/>
                <w:color w:val="auto"/>
              </w:rPr>
            </w:pPr>
            <w:r>
              <w:rPr>
                <w:rFonts w:ascii="Arial" w:cs="Arial" w:eastAsia="Arial" w:hAnsi="Arial"/>
                <w:sz w:val="14"/>
                <w:szCs w:val="14"/>
                <w:b w:val="1"/>
                <w:bCs w:val="1"/>
                <w:color w:val="auto"/>
              </w:rPr>
              <w:t>At December 31, 2014</w:t>
            </w:r>
          </w:p>
        </w:tc>
        <w:tc>
          <w:tcPr>
            <w:tcW w:w="364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169"/>
              <w:spacing w:after="0" w:line="155" w:lineRule="exact"/>
              <w:rPr>
                <w:sz w:val="20"/>
                <w:szCs w:val="20"/>
                <w:color w:val="auto"/>
              </w:rPr>
            </w:pPr>
            <w:r>
              <w:rPr>
                <w:rFonts w:ascii="Arial" w:cs="Arial" w:eastAsia="Arial" w:hAnsi="Arial"/>
                <w:sz w:val="14"/>
                <w:szCs w:val="14"/>
                <w:color w:val="auto"/>
              </w:rPr>
              <w:t>540</w:t>
            </w:r>
          </w:p>
        </w:tc>
        <w:tc>
          <w:tcPr>
            <w:tcW w:w="1540" w:type="dxa"/>
            <w:vAlign w:val="bottom"/>
            <w:tcBorders>
              <w:bottom w:val="single" w:sz="8" w:color="auto"/>
            </w:tcBorders>
            <w:gridSpan w:val="2"/>
          </w:tcPr>
          <w:p>
            <w:pPr>
              <w:jc w:val="right"/>
              <w:ind w:right="440"/>
              <w:spacing w:after="0" w:line="155" w:lineRule="exact"/>
              <w:rPr>
                <w:sz w:val="20"/>
                <w:szCs w:val="20"/>
                <w:color w:val="auto"/>
              </w:rPr>
            </w:pPr>
            <w:r>
              <w:rPr>
                <w:rFonts w:ascii="Arial" w:cs="Arial" w:eastAsia="Arial" w:hAnsi="Arial"/>
                <w:sz w:val="14"/>
                <w:szCs w:val="14"/>
                <w:color w:val="auto"/>
              </w:rPr>
              <w:t>201,745</w:t>
            </w:r>
          </w:p>
        </w:tc>
        <w:tc>
          <w:tcPr>
            <w:tcW w:w="1040" w:type="dxa"/>
            <w:vAlign w:val="bottom"/>
            <w:tcBorders>
              <w:bottom w:val="single" w:sz="8" w:color="auto"/>
            </w:tcBorders>
          </w:tcPr>
          <w:p>
            <w:pPr>
              <w:jc w:val="right"/>
              <w:ind w:right="69"/>
              <w:spacing w:after="0" w:line="155" w:lineRule="exact"/>
              <w:rPr>
                <w:sz w:val="20"/>
                <w:szCs w:val="20"/>
                <w:color w:val="auto"/>
              </w:rPr>
            </w:pPr>
            <w:r>
              <w:rPr>
                <w:rFonts w:ascii="Arial" w:cs="Arial" w:eastAsia="Arial" w:hAnsi="Arial"/>
                <w:sz w:val="14"/>
                <w:szCs w:val="14"/>
                <w:color w:val="auto"/>
              </w:rPr>
              <w:t>18,703</w:t>
            </w:r>
          </w:p>
        </w:tc>
        <w:tc>
          <w:tcPr>
            <w:tcW w:w="1560" w:type="dxa"/>
            <w:vAlign w:val="bottom"/>
            <w:tcBorders>
              <w:bottom w:val="single" w:sz="8" w:color="auto"/>
            </w:tcBorders>
          </w:tcPr>
          <w:p>
            <w:pPr>
              <w:jc w:val="right"/>
              <w:ind w:right="268"/>
              <w:spacing w:after="0" w:line="155" w:lineRule="exact"/>
              <w:rPr>
                <w:sz w:val="20"/>
                <w:szCs w:val="20"/>
                <w:color w:val="auto"/>
              </w:rPr>
            </w:pPr>
            <w:r>
              <w:rPr>
                <w:rFonts w:ascii="Arial" w:cs="Arial" w:eastAsia="Arial" w:hAnsi="Arial"/>
                <w:sz w:val="14"/>
                <w:szCs w:val="14"/>
                <w:color w:val="auto"/>
              </w:rPr>
              <w:t>220,988</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1940" w:type="dxa"/>
            <w:vAlign w:val="bottom"/>
            <w:gridSpan w:val="2"/>
          </w:tcPr>
          <w:p>
            <w:pPr>
              <w:spacing w:after="0"/>
              <w:rPr>
                <w:sz w:val="20"/>
                <w:szCs w:val="20"/>
                <w:color w:val="auto"/>
              </w:rPr>
            </w:pPr>
            <w:r>
              <w:rPr>
                <w:rFonts w:ascii="Arial" w:cs="Arial" w:eastAsia="Arial" w:hAnsi="Arial"/>
                <w:sz w:val="14"/>
                <w:szCs w:val="14"/>
                <w:b w:val="1"/>
                <w:bCs w:val="1"/>
                <w:color w:val="auto"/>
              </w:rPr>
              <w:t>At January 1, 2013</w:t>
            </w:r>
          </w:p>
        </w:tc>
        <w:tc>
          <w:tcPr>
            <w:tcW w:w="36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80" w:type="dxa"/>
            <w:vAlign w:val="bottom"/>
          </w:tcPr>
          <w:p>
            <w:pPr>
              <w:jc w:val="right"/>
              <w:ind w:right="169"/>
              <w:spacing w:after="0"/>
              <w:rPr>
                <w:sz w:val="20"/>
                <w:szCs w:val="20"/>
                <w:color w:val="auto"/>
              </w:rPr>
            </w:pPr>
            <w:r>
              <w:rPr>
                <w:rFonts w:ascii="Arial" w:cs="Arial" w:eastAsia="Arial" w:hAnsi="Arial"/>
                <w:sz w:val="14"/>
                <w:szCs w:val="14"/>
                <w:color w:val="auto"/>
              </w:rPr>
              <w:t>542</w:t>
            </w:r>
          </w:p>
        </w:tc>
        <w:tc>
          <w:tcPr>
            <w:tcW w:w="1540" w:type="dxa"/>
            <w:vAlign w:val="bottom"/>
            <w:gridSpan w:val="2"/>
          </w:tcPr>
          <w:p>
            <w:pPr>
              <w:jc w:val="right"/>
              <w:ind w:right="440"/>
              <w:spacing w:after="0"/>
              <w:rPr>
                <w:sz w:val="20"/>
                <w:szCs w:val="20"/>
                <w:color w:val="auto"/>
              </w:rPr>
            </w:pPr>
            <w:r>
              <w:rPr>
                <w:rFonts w:ascii="Arial" w:cs="Arial" w:eastAsia="Arial" w:hAnsi="Arial"/>
                <w:sz w:val="14"/>
                <w:szCs w:val="14"/>
                <w:color w:val="auto"/>
              </w:rPr>
              <w:t>202,052</w:t>
            </w:r>
          </w:p>
        </w:tc>
        <w:tc>
          <w:tcPr>
            <w:tcW w:w="1040" w:type="dxa"/>
            <w:vAlign w:val="bottom"/>
          </w:tcPr>
          <w:p>
            <w:pPr>
              <w:jc w:val="right"/>
              <w:ind w:right="69"/>
              <w:spacing w:after="0"/>
              <w:rPr>
                <w:sz w:val="20"/>
                <w:szCs w:val="20"/>
                <w:color w:val="auto"/>
              </w:rPr>
            </w:pPr>
            <w:r>
              <w:rPr>
                <w:rFonts w:ascii="Arial" w:cs="Arial" w:eastAsia="Arial" w:hAnsi="Arial"/>
                <w:sz w:val="14"/>
                <w:szCs w:val="14"/>
                <w:color w:val="auto"/>
              </w:rPr>
              <w:t>12,254</w:t>
            </w:r>
          </w:p>
        </w:tc>
        <w:tc>
          <w:tcPr>
            <w:tcW w:w="1560" w:type="dxa"/>
            <w:vAlign w:val="bottom"/>
          </w:tcPr>
          <w:p>
            <w:pPr>
              <w:jc w:val="right"/>
              <w:ind w:right="268"/>
              <w:spacing w:after="0"/>
              <w:rPr>
                <w:sz w:val="20"/>
                <w:szCs w:val="20"/>
                <w:color w:val="auto"/>
              </w:rPr>
            </w:pPr>
            <w:r>
              <w:rPr>
                <w:rFonts w:ascii="Arial" w:cs="Arial" w:eastAsia="Arial" w:hAnsi="Arial"/>
                <w:sz w:val="14"/>
                <w:szCs w:val="14"/>
                <w:color w:val="auto"/>
              </w:rPr>
              <w:t>214,848</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6300" w:type="dxa"/>
            <w:vAlign w:val="bottom"/>
            <w:gridSpan w:val="4"/>
          </w:tcPr>
          <w:p>
            <w:pPr>
              <w:spacing w:after="0"/>
              <w:rPr>
                <w:sz w:val="20"/>
                <w:szCs w:val="20"/>
                <w:color w:val="auto"/>
              </w:rPr>
            </w:pPr>
            <w:r>
              <w:rPr>
                <w:rFonts w:ascii="Arial" w:cs="Arial" w:eastAsia="Arial" w:hAnsi="Arial"/>
                <w:sz w:val="14"/>
                <w:szCs w:val="14"/>
                <w:color w:val="auto"/>
              </w:rPr>
              <w:t>Comprehensive income for the period</w:t>
            </w:r>
          </w:p>
        </w:tc>
        <w:tc>
          <w:tcPr>
            <w:tcW w:w="980" w:type="dxa"/>
            <w:vAlign w:val="bottom"/>
          </w:tcPr>
          <w:p>
            <w:pPr>
              <w:jc w:val="right"/>
              <w:ind w:right="169"/>
              <w:spacing w:after="0"/>
              <w:rPr>
                <w:sz w:val="20"/>
                <w:szCs w:val="20"/>
                <w:color w:val="auto"/>
              </w:rPr>
            </w:pPr>
            <w:r>
              <w:rPr>
                <w:rFonts w:ascii="Arial" w:cs="Arial" w:eastAsia="Arial" w:hAnsi="Arial"/>
                <w:sz w:val="14"/>
                <w:szCs w:val="14"/>
                <w:color w:val="auto"/>
              </w:rPr>
              <w:t>–</w:t>
            </w:r>
          </w:p>
        </w:tc>
        <w:tc>
          <w:tcPr>
            <w:tcW w:w="1540" w:type="dxa"/>
            <w:vAlign w:val="bottom"/>
            <w:gridSpan w:val="2"/>
          </w:tcPr>
          <w:p>
            <w:pPr>
              <w:jc w:val="right"/>
              <w:ind w:right="440"/>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69"/>
              <w:spacing w:after="0"/>
              <w:rPr>
                <w:sz w:val="20"/>
                <w:szCs w:val="20"/>
                <w:color w:val="auto"/>
              </w:rPr>
            </w:pPr>
            <w:r>
              <w:rPr>
                <w:rFonts w:ascii="Arial" w:cs="Arial" w:eastAsia="Arial" w:hAnsi="Arial"/>
                <w:sz w:val="14"/>
                <w:szCs w:val="14"/>
                <w:color w:val="auto"/>
              </w:rPr>
              <w:t>14,249</w:t>
            </w:r>
          </w:p>
        </w:tc>
        <w:tc>
          <w:tcPr>
            <w:tcW w:w="1560" w:type="dxa"/>
            <w:vAlign w:val="bottom"/>
          </w:tcPr>
          <w:p>
            <w:pPr>
              <w:jc w:val="right"/>
              <w:ind w:right="268"/>
              <w:spacing w:after="0"/>
              <w:rPr>
                <w:sz w:val="20"/>
                <w:szCs w:val="20"/>
                <w:color w:val="auto"/>
              </w:rPr>
            </w:pPr>
            <w:r>
              <w:rPr>
                <w:rFonts w:ascii="Arial" w:cs="Arial" w:eastAsia="Arial" w:hAnsi="Arial"/>
                <w:sz w:val="14"/>
                <w:szCs w:val="14"/>
                <w:color w:val="auto"/>
              </w:rPr>
              <w:t>14,249</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940" w:type="dxa"/>
            <w:vAlign w:val="bottom"/>
            <w:gridSpan w:val="2"/>
          </w:tcPr>
          <w:p>
            <w:pPr>
              <w:spacing w:after="0"/>
              <w:rPr>
                <w:sz w:val="20"/>
                <w:szCs w:val="20"/>
                <w:color w:val="auto"/>
              </w:rPr>
            </w:pPr>
            <w:r>
              <w:rPr>
                <w:rFonts w:ascii="Arial" w:cs="Arial" w:eastAsia="Arial" w:hAnsi="Arial"/>
                <w:sz w:val="14"/>
                <w:szCs w:val="14"/>
                <w:color w:val="auto"/>
              </w:rPr>
              <w:t>Dividends paid</w:t>
            </w:r>
          </w:p>
        </w:tc>
        <w:tc>
          <w:tcPr>
            <w:tcW w:w="4360" w:type="dxa"/>
            <w:vAlign w:val="bottom"/>
            <w:gridSpan w:val="2"/>
          </w:tcPr>
          <w:p>
            <w:pPr>
              <w:jc w:val="right"/>
              <w:ind w:right="380"/>
              <w:spacing w:after="0"/>
              <w:rPr>
                <w:sz w:val="20"/>
                <w:szCs w:val="20"/>
                <w:color w:val="auto"/>
              </w:rPr>
            </w:pPr>
            <w:r>
              <w:rPr>
                <w:rFonts w:ascii="Arial" w:cs="Arial" w:eastAsia="Arial" w:hAnsi="Arial"/>
                <w:sz w:val="14"/>
                <w:szCs w:val="14"/>
                <w:color w:val="auto"/>
              </w:rPr>
              <w:t>12</w:t>
            </w:r>
          </w:p>
        </w:tc>
        <w:tc>
          <w:tcPr>
            <w:tcW w:w="980" w:type="dxa"/>
            <w:vAlign w:val="bottom"/>
          </w:tcPr>
          <w:p>
            <w:pPr>
              <w:jc w:val="right"/>
              <w:ind w:right="169"/>
              <w:spacing w:after="0"/>
              <w:rPr>
                <w:sz w:val="20"/>
                <w:szCs w:val="20"/>
                <w:color w:val="auto"/>
              </w:rPr>
            </w:pPr>
            <w:r>
              <w:rPr>
                <w:rFonts w:ascii="Arial" w:cs="Arial" w:eastAsia="Arial" w:hAnsi="Arial"/>
                <w:sz w:val="14"/>
                <w:szCs w:val="14"/>
                <w:color w:val="auto"/>
              </w:rPr>
              <w:t>–</w:t>
            </w:r>
          </w:p>
        </w:tc>
        <w:tc>
          <w:tcPr>
            <w:tcW w:w="1540" w:type="dxa"/>
            <w:vAlign w:val="bottom"/>
            <w:gridSpan w:val="2"/>
          </w:tcPr>
          <w:p>
            <w:pPr>
              <w:jc w:val="right"/>
              <w:ind w:right="440"/>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29"/>
              <w:spacing w:after="0"/>
              <w:rPr>
                <w:sz w:val="20"/>
                <w:szCs w:val="20"/>
                <w:color w:val="auto"/>
              </w:rPr>
            </w:pPr>
            <w:r>
              <w:rPr>
                <w:rFonts w:ascii="Arial" w:cs="Arial" w:eastAsia="Arial" w:hAnsi="Arial"/>
                <w:sz w:val="14"/>
                <w:szCs w:val="14"/>
                <w:color w:val="auto"/>
              </w:rPr>
              <w:t>(11,338)</w:t>
            </w:r>
          </w:p>
        </w:tc>
        <w:tc>
          <w:tcPr>
            <w:tcW w:w="1560" w:type="dxa"/>
            <w:vAlign w:val="bottom"/>
          </w:tcPr>
          <w:p>
            <w:pPr>
              <w:jc w:val="right"/>
              <w:ind w:right="208"/>
              <w:spacing w:after="0"/>
              <w:rPr>
                <w:sz w:val="20"/>
                <w:szCs w:val="20"/>
                <w:color w:val="auto"/>
              </w:rPr>
            </w:pPr>
            <w:r>
              <w:rPr>
                <w:rFonts w:ascii="Arial" w:cs="Arial" w:eastAsia="Arial" w:hAnsi="Arial"/>
                <w:sz w:val="14"/>
                <w:szCs w:val="14"/>
                <w:color w:val="auto"/>
              </w:rPr>
              <w:t>(11,338)</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940" w:type="dxa"/>
            <w:vAlign w:val="bottom"/>
            <w:gridSpan w:val="2"/>
          </w:tcPr>
          <w:p>
            <w:pPr>
              <w:spacing w:after="0"/>
              <w:rPr>
                <w:sz w:val="20"/>
                <w:szCs w:val="20"/>
                <w:color w:val="auto"/>
              </w:rPr>
            </w:pPr>
            <w:r>
              <w:rPr>
                <w:rFonts w:ascii="Arial" w:cs="Arial" w:eastAsia="Arial" w:hAnsi="Arial"/>
                <w:sz w:val="14"/>
                <w:szCs w:val="14"/>
                <w:color w:val="auto"/>
              </w:rPr>
              <w:t>Scrip dividends</w:t>
            </w:r>
          </w:p>
        </w:tc>
        <w:tc>
          <w:tcPr>
            <w:tcW w:w="4360" w:type="dxa"/>
            <w:vAlign w:val="bottom"/>
            <w:gridSpan w:val="2"/>
          </w:tcPr>
          <w:p>
            <w:pPr>
              <w:jc w:val="right"/>
              <w:ind w:right="380"/>
              <w:spacing w:after="0"/>
              <w:rPr>
                <w:sz w:val="20"/>
                <w:szCs w:val="20"/>
                <w:color w:val="auto"/>
              </w:rPr>
            </w:pPr>
            <w:r>
              <w:rPr>
                <w:rFonts w:ascii="Arial" w:cs="Arial" w:eastAsia="Arial" w:hAnsi="Arial"/>
                <w:sz w:val="14"/>
                <w:szCs w:val="14"/>
                <w:color w:val="auto"/>
              </w:rPr>
              <w:t>12</w:t>
            </w:r>
          </w:p>
        </w:tc>
        <w:tc>
          <w:tcPr>
            <w:tcW w:w="980" w:type="dxa"/>
            <w:vAlign w:val="bottom"/>
          </w:tcPr>
          <w:p>
            <w:pPr>
              <w:jc w:val="right"/>
              <w:ind w:right="169"/>
              <w:spacing w:after="0"/>
              <w:rPr>
                <w:sz w:val="20"/>
                <w:szCs w:val="20"/>
                <w:color w:val="auto"/>
              </w:rPr>
            </w:pPr>
            <w:r>
              <w:rPr>
                <w:rFonts w:ascii="Arial" w:cs="Arial" w:eastAsia="Arial" w:hAnsi="Arial"/>
                <w:sz w:val="14"/>
                <w:szCs w:val="14"/>
                <w:color w:val="auto"/>
              </w:rPr>
              <w:t>12</w:t>
            </w:r>
          </w:p>
        </w:tc>
        <w:tc>
          <w:tcPr>
            <w:tcW w:w="1540" w:type="dxa"/>
            <w:vAlign w:val="bottom"/>
            <w:gridSpan w:val="2"/>
          </w:tcPr>
          <w:p>
            <w:pPr>
              <w:jc w:val="right"/>
              <w:ind w:right="400"/>
              <w:spacing w:after="0"/>
              <w:rPr>
                <w:sz w:val="20"/>
                <w:szCs w:val="20"/>
                <w:color w:val="auto"/>
              </w:rPr>
            </w:pPr>
            <w:r>
              <w:rPr>
                <w:rFonts w:ascii="Arial" w:cs="Arial" w:eastAsia="Arial" w:hAnsi="Arial"/>
                <w:sz w:val="14"/>
                <w:szCs w:val="14"/>
                <w:color w:val="auto"/>
              </w:rPr>
              <w:t>(12)</w:t>
            </w:r>
          </w:p>
        </w:tc>
        <w:tc>
          <w:tcPr>
            <w:tcW w:w="1040" w:type="dxa"/>
            <w:vAlign w:val="bottom"/>
          </w:tcPr>
          <w:p>
            <w:pPr>
              <w:jc w:val="right"/>
              <w:ind w:right="69"/>
              <w:spacing w:after="0"/>
              <w:rPr>
                <w:sz w:val="20"/>
                <w:szCs w:val="20"/>
                <w:color w:val="auto"/>
              </w:rPr>
            </w:pPr>
            <w:r>
              <w:rPr>
                <w:rFonts w:ascii="Arial" w:cs="Arial" w:eastAsia="Arial" w:hAnsi="Arial"/>
                <w:sz w:val="14"/>
                <w:szCs w:val="14"/>
                <w:color w:val="auto"/>
              </w:rPr>
              <w:t>4,140</w:t>
            </w:r>
          </w:p>
        </w:tc>
        <w:tc>
          <w:tcPr>
            <w:tcW w:w="1560" w:type="dxa"/>
            <w:vAlign w:val="bottom"/>
          </w:tcPr>
          <w:p>
            <w:pPr>
              <w:jc w:val="right"/>
              <w:ind w:right="268"/>
              <w:spacing w:after="0"/>
              <w:rPr>
                <w:sz w:val="20"/>
                <w:szCs w:val="20"/>
                <w:color w:val="auto"/>
              </w:rPr>
            </w:pPr>
            <w:r>
              <w:rPr>
                <w:rFonts w:ascii="Arial" w:cs="Arial" w:eastAsia="Arial" w:hAnsi="Arial"/>
                <w:sz w:val="14"/>
                <w:szCs w:val="14"/>
                <w:color w:val="auto"/>
              </w:rPr>
              <w:t>4,140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940" w:type="dxa"/>
            <w:vAlign w:val="bottom"/>
            <w:gridSpan w:val="2"/>
          </w:tcPr>
          <w:p>
            <w:pPr>
              <w:spacing w:after="0"/>
              <w:rPr>
                <w:sz w:val="20"/>
                <w:szCs w:val="20"/>
                <w:color w:val="auto"/>
              </w:rPr>
            </w:pPr>
            <w:r>
              <w:rPr>
                <w:rFonts w:ascii="Arial" w:cs="Arial" w:eastAsia="Arial" w:hAnsi="Arial"/>
                <w:sz w:val="14"/>
                <w:szCs w:val="14"/>
                <w:color w:val="auto"/>
              </w:rPr>
              <w:t>Repurchases of shares</w:t>
            </w:r>
          </w:p>
        </w:tc>
        <w:tc>
          <w:tcPr>
            <w:tcW w:w="4360" w:type="dxa"/>
            <w:vAlign w:val="bottom"/>
            <w:gridSpan w:val="2"/>
          </w:tcPr>
          <w:p>
            <w:pPr>
              <w:jc w:val="right"/>
              <w:ind w:right="380"/>
              <w:spacing w:after="0"/>
              <w:rPr>
                <w:sz w:val="20"/>
                <w:szCs w:val="20"/>
                <w:color w:val="auto"/>
              </w:rPr>
            </w:pPr>
            <w:r>
              <w:rPr>
                <w:rFonts w:ascii="Arial" w:cs="Arial" w:eastAsia="Arial" w:hAnsi="Arial"/>
                <w:sz w:val="14"/>
                <w:szCs w:val="14"/>
                <w:color w:val="auto"/>
              </w:rPr>
              <w:t>11</w:t>
            </w:r>
          </w:p>
        </w:tc>
        <w:tc>
          <w:tcPr>
            <w:tcW w:w="980" w:type="dxa"/>
            <w:vAlign w:val="bottom"/>
          </w:tcPr>
          <w:p>
            <w:pPr>
              <w:jc w:val="right"/>
              <w:ind w:right="109"/>
              <w:spacing w:after="0"/>
              <w:rPr>
                <w:sz w:val="20"/>
                <w:szCs w:val="20"/>
                <w:color w:val="auto"/>
              </w:rPr>
            </w:pPr>
            <w:r>
              <w:rPr>
                <w:rFonts w:ascii="Arial" w:cs="Arial" w:eastAsia="Arial" w:hAnsi="Arial"/>
                <w:sz w:val="14"/>
                <w:szCs w:val="14"/>
                <w:color w:val="auto"/>
              </w:rPr>
              <w:t>(12)</w:t>
            </w:r>
          </w:p>
        </w:tc>
        <w:tc>
          <w:tcPr>
            <w:tcW w:w="1540" w:type="dxa"/>
            <w:vAlign w:val="bottom"/>
            <w:gridSpan w:val="2"/>
          </w:tcPr>
          <w:p>
            <w:pPr>
              <w:jc w:val="right"/>
              <w:ind w:right="440"/>
              <w:spacing w:after="0"/>
              <w:rPr>
                <w:sz w:val="20"/>
                <w:szCs w:val="20"/>
                <w:color w:val="auto"/>
              </w:rPr>
            </w:pPr>
            <w:r>
              <w:rPr>
                <w:rFonts w:ascii="Arial" w:cs="Arial" w:eastAsia="Arial" w:hAnsi="Arial"/>
                <w:sz w:val="14"/>
                <w:szCs w:val="14"/>
                <w:color w:val="auto"/>
              </w:rPr>
              <w:t>12</w:t>
            </w:r>
          </w:p>
        </w:tc>
        <w:tc>
          <w:tcPr>
            <w:tcW w:w="1040" w:type="dxa"/>
            <w:vAlign w:val="bottom"/>
          </w:tcPr>
          <w:p>
            <w:pPr>
              <w:jc w:val="right"/>
              <w:ind w:right="29"/>
              <w:spacing w:after="0"/>
              <w:rPr>
                <w:sz w:val="20"/>
                <w:szCs w:val="20"/>
                <w:color w:val="auto"/>
              </w:rPr>
            </w:pPr>
            <w:r>
              <w:rPr>
                <w:rFonts w:ascii="Arial" w:cs="Arial" w:eastAsia="Arial" w:hAnsi="Arial"/>
                <w:sz w:val="14"/>
                <w:szCs w:val="14"/>
                <w:color w:val="auto"/>
              </w:rPr>
              <w:t>(5,757)</w:t>
            </w:r>
          </w:p>
        </w:tc>
        <w:tc>
          <w:tcPr>
            <w:tcW w:w="1560" w:type="dxa"/>
            <w:vAlign w:val="bottom"/>
          </w:tcPr>
          <w:p>
            <w:pPr>
              <w:jc w:val="right"/>
              <w:ind w:right="208"/>
              <w:spacing w:after="0"/>
              <w:rPr>
                <w:sz w:val="20"/>
                <w:szCs w:val="20"/>
                <w:color w:val="auto"/>
              </w:rPr>
            </w:pPr>
            <w:r>
              <w:rPr>
                <w:rFonts w:ascii="Arial" w:cs="Arial" w:eastAsia="Arial" w:hAnsi="Arial"/>
                <w:sz w:val="14"/>
                <w:szCs w:val="14"/>
                <w:color w:val="auto"/>
              </w:rPr>
              <w:t>(5,757)</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1940" w:type="dxa"/>
            <w:vAlign w:val="bottom"/>
            <w:tcBorders>
              <w:bottom w:val="single" w:sz="8" w:color="auto"/>
            </w:tcBorders>
            <w:gridSpan w:val="2"/>
          </w:tcPr>
          <w:p>
            <w:pPr>
              <w:spacing w:after="0" w:line="157" w:lineRule="exact"/>
              <w:rPr>
                <w:sz w:val="20"/>
                <w:szCs w:val="20"/>
                <w:color w:val="auto"/>
              </w:rPr>
            </w:pPr>
            <w:r>
              <w:rPr>
                <w:rFonts w:ascii="Arial" w:cs="Arial" w:eastAsia="Arial" w:hAnsi="Arial"/>
                <w:sz w:val="14"/>
                <w:szCs w:val="14"/>
                <w:color w:val="auto"/>
              </w:rPr>
              <w:t>Share-based compensation</w:t>
            </w:r>
          </w:p>
        </w:tc>
        <w:tc>
          <w:tcPr>
            <w:tcW w:w="4360" w:type="dxa"/>
            <w:vAlign w:val="bottom"/>
            <w:tcBorders>
              <w:bottom w:val="single" w:sz="8" w:color="auto"/>
            </w:tcBorders>
            <w:gridSpan w:val="2"/>
          </w:tcPr>
          <w:p>
            <w:pPr>
              <w:jc w:val="right"/>
              <w:ind w:right="380"/>
              <w:spacing w:after="0" w:line="157" w:lineRule="exact"/>
              <w:rPr>
                <w:sz w:val="20"/>
                <w:szCs w:val="20"/>
                <w:color w:val="auto"/>
              </w:rPr>
            </w:pPr>
            <w:r>
              <w:rPr>
                <w:rFonts w:ascii="Arial" w:cs="Arial" w:eastAsia="Arial" w:hAnsi="Arial"/>
                <w:sz w:val="14"/>
                <w:szCs w:val="14"/>
                <w:color w:val="auto"/>
              </w:rPr>
              <w:t>11</w:t>
            </w:r>
          </w:p>
        </w:tc>
        <w:tc>
          <w:tcPr>
            <w:tcW w:w="980" w:type="dxa"/>
            <w:vAlign w:val="bottom"/>
            <w:tcBorders>
              <w:bottom w:val="single" w:sz="8" w:color="auto"/>
            </w:tcBorders>
          </w:tcPr>
          <w:p>
            <w:pPr>
              <w:jc w:val="right"/>
              <w:ind w:right="169"/>
              <w:spacing w:after="0" w:line="157" w:lineRule="exact"/>
              <w:rPr>
                <w:sz w:val="20"/>
                <w:szCs w:val="20"/>
                <w:color w:val="auto"/>
              </w:rPr>
            </w:pPr>
            <w:r>
              <w:rPr>
                <w:rFonts w:ascii="Arial" w:cs="Arial" w:eastAsia="Arial" w:hAnsi="Arial"/>
                <w:sz w:val="14"/>
                <w:szCs w:val="14"/>
                <w:color w:val="auto"/>
              </w:rPr>
              <w:t>–</w:t>
            </w:r>
          </w:p>
        </w:tc>
        <w:tc>
          <w:tcPr>
            <w:tcW w:w="1540" w:type="dxa"/>
            <w:vAlign w:val="bottom"/>
            <w:tcBorders>
              <w:bottom w:val="single" w:sz="8" w:color="auto"/>
            </w:tcBorders>
            <w:gridSpan w:val="2"/>
          </w:tcPr>
          <w:p>
            <w:pPr>
              <w:jc w:val="right"/>
              <w:ind w:right="400"/>
              <w:spacing w:after="0" w:line="157" w:lineRule="exact"/>
              <w:rPr>
                <w:sz w:val="20"/>
                <w:szCs w:val="20"/>
                <w:color w:val="auto"/>
              </w:rPr>
            </w:pPr>
            <w:r>
              <w:rPr>
                <w:rFonts w:ascii="Arial" w:cs="Arial" w:eastAsia="Arial" w:hAnsi="Arial"/>
                <w:sz w:val="14"/>
                <w:szCs w:val="14"/>
                <w:color w:val="auto"/>
              </w:rPr>
              <w:t>(154)</w:t>
            </w:r>
          </w:p>
        </w:tc>
        <w:tc>
          <w:tcPr>
            <w:tcW w:w="1040" w:type="dxa"/>
            <w:vAlign w:val="bottom"/>
            <w:tcBorders>
              <w:bottom w:val="single" w:sz="8" w:color="auto"/>
            </w:tcBorders>
          </w:tcPr>
          <w:p>
            <w:pPr>
              <w:jc w:val="right"/>
              <w:ind w:right="69"/>
              <w:spacing w:after="0" w:line="157" w:lineRule="exact"/>
              <w:rPr>
                <w:sz w:val="20"/>
                <w:szCs w:val="20"/>
                <w:color w:val="auto"/>
              </w:rPr>
            </w:pPr>
            <w:r>
              <w:rPr>
                <w:rFonts w:ascii="Arial" w:cs="Arial" w:eastAsia="Arial" w:hAnsi="Arial"/>
                <w:sz w:val="14"/>
                <w:szCs w:val="14"/>
                <w:color w:val="auto"/>
              </w:rPr>
              <w:t>635</w:t>
            </w:r>
          </w:p>
        </w:tc>
        <w:tc>
          <w:tcPr>
            <w:tcW w:w="1560" w:type="dxa"/>
            <w:vAlign w:val="bottom"/>
            <w:tcBorders>
              <w:bottom w:val="single" w:sz="8" w:color="auto"/>
            </w:tcBorders>
          </w:tcPr>
          <w:p>
            <w:pPr>
              <w:jc w:val="right"/>
              <w:ind w:right="268"/>
              <w:spacing w:after="0" w:line="157" w:lineRule="exact"/>
              <w:rPr>
                <w:sz w:val="20"/>
                <w:szCs w:val="20"/>
                <w:color w:val="auto"/>
              </w:rPr>
            </w:pPr>
            <w:r>
              <w:rPr>
                <w:rFonts w:ascii="Arial" w:cs="Arial" w:eastAsia="Arial" w:hAnsi="Arial"/>
                <w:sz w:val="14"/>
                <w:szCs w:val="14"/>
                <w:color w:val="auto"/>
              </w:rPr>
              <w:t>481</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940" w:type="dxa"/>
            <w:vAlign w:val="bottom"/>
            <w:gridSpan w:val="2"/>
          </w:tcPr>
          <w:p>
            <w:pPr>
              <w:spacing w:after="0" w:line="155" w:lineRule="exact"/>
              <w:rPr>
                <w:sz w:val="20"/>
                <w:szCs w:val="20"/>
                <w:color w:val="auto"/>
              </w:rPr>
            </w:pPr>
            <w:r>
              <w:rPr>
                <w:rFonts w:ascii="Arial" w:cs="Arial" w:eastAsia="Arial" w:hAnsi="Arial"/>
                <w:sz w:val="14"/>
                <w:szCs w:val="14"/>
                <w:b w:val="1"/>
                <w:bCs w:val="1"/>
                <w:color w:val="auto"/>
              </w:rPr>
              <w:t>At December 31, 2013</w:t>
            </w:r>
          </w:p>
        </w:tc>
        <w:tc>
          <w:tcPr>
            <w:tcW w:w="36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80" w:type="dxa"/>
            <w:vAlign w:val="bottom"/>
          </w:tcPr>
          <w:p>
            <w:pPr>
              <w:jc w:val="right"/>
              <w:ind w:right="169"/>
              <w:spacing w:after="0" w:line="155" w:lineRule="exact"/>
              <w:rPr>
                <w:sz w:val="20"/>
                <w:szCs w:val="20"/>
                <w:color w:val="auto"/>
              </w:rPr>
            </w:pPr>
            <w:r>
              <w:rPr>
                <w:rFonts w:ascii="Arial" w:cs="Arial" w:eastAsia="Arial" w:hAnsi="Arial"/>
                <w:sz w:val="14"/>
                <w:szCs w:val="14"/>
                <w:color w:val="auto"/>
              </w:rPr>
              <w:t>542</w:t>
            </w:r>
          </w:p>
        </w:tc>
        <w:tc>
          <w:tcPr>
            <w:tcW w:w="1540" w:type="dxa"/>
            <w:vAlign w:val="bottom"/>
            <w:gridSpan w:val="2"/>
          </w:tcPr>
          <w:p>
            <w:pPr>
              <w:jc w:val="right"/>
              <w:ind w:right="440"/>
              <w:spacing w:after="0" w:line="155" w:lineRule="exact"/>
              <w:rPr>
                <w:sz w:val="20"/>
                <w:szCs w:val="20"/>
                <w:color w:val="auto"/>
              </w:rPr>
            </w:pPr>
            <w:r>
              <w:rPr>
                <w:rFonts w:ascii="Arial" w:cs="Arial" w:eastAsia="Arial" w:hAnsi="Arial"/>
                <w:sz w:val="14"/>
                <w:szCs w:val="14"/>
                <w:color w:val="auto"/>
              </w:rPr>
              <w:t>201,898</w:t>
            </w:r>
          </w:p>
        </w:tc>
        <w:tc>
          <w:tcPr>
            <w:tcW w:w="1040" w:type="dxa"/>
            <w:vAlign w:val="bottom"/>
          </w:tcPr>
          <w:p>
            <w:pPr>
              <w:jc w:val="right"/>
              <w:ind w:right="69"/>
              <w:spacing w:after="0" w:line="155" w:lineRule="exact"/>
              <w:rPr>
                <w:sz w:val="20"/>
                <w:szCs w:val="20"/>
                <w:color w:val="auto"/>
              </w:rPr>
            </w:pPr>
            <w:r>
              <w:rPr>
                <w:rFonts w:ascii="Arial" w:cs="Arial" w:eastAsia="Arial" w:hAnsi="Arial"/>
                <w:sz w:val="14"/>
                <w:szCs w:val="14"/>
                <w:color w:val="auto"/>
              </w:rPr>
              <w:t>14,183</w:t>
            </w:r>
          </w:p>
        </w:tc>
        <w:tc>
          <w:tcPr>
            <w:tcW w:w="1560" w:type="dxa"/>
            <w:vAlign w:val="bottom"/>
          </w:tcPr>
          <w:p>
            <w:pPr>
              <w:jc w:val="right"/>
              <w:ind w:right="268"/>
              <w:spacing w:after="0" w:line="155" w:lineRule="exact"/>
              <w:rPr>
                <w:sz w:val="20"/>
                <w:szCs w:val="20"/>
                <w:color w:val="auto"/>
              </w:rPr>
            </w:pPr>
            <w:r>
              <w:rPr>
                <w:rFonts w:ascii="Arial" w:cs="Arial" w:eastAsia="Arial" w:hAnsi="Arial"/>
                <w:sz w:val="14"/>
                <w:szCs w:val="14"/>
                <w:color w:val="auto"/>
              </w:rPr>
              <w:t>216,623</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280" w:type="dxa"/>
            <w:vAlign w:val="bottom"/>
            <w:tcBorders>
              <w:top w:val="single" w:sz="8" w:color="auto"/>
            </w:tcBorders>
            <w:gridSpan w:val="3"/>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560" w:type="dxa"/>
            <w:vAlign w:val="bottom"/>
            <w:tcBorders>
              <w:top w:val="single" w:sz="8" w:color="auto"/>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280" w:type="dxa"/>
            <w:vAlign w:val="bottom"/>
            <w:gridSpan w:val="3"/>
            <w:shd w:val="clear" w:color="auto" w:fill="333333"/>
          </w:tcPr>
          <w:p>
            <w:pPr>
              <w:ind w:left="60"/>
              <w:spacing w:after="0" w:line="162" w:lineRule="exact"/>
              <w:rPr>
                <w:sz w:val="20"/>
                <w:szCs w:val="20"/>
                <w:color w:val="auto"/>
              </w:rPr>
            </w:pPr>
            <w:r>
              <w:rPr>
                <w:rFonts w:ascii="Arial" w:cs="Arial" w:eastAsia="Arial" w:hAnsi="Arial"/>
                <w:sz w:val="15"/>
                <w:szCs w:val="15"/>
                <w:b w:val="1"/>
                <w:bCs w:val="1"/>
                <w:color w:val="FFFFFF"/>
              </w:rPr>
              <w:t>STATEMENT OF CASH FLOWS</w:t>
            </w:r>
          </w:p>
        </w:tc>
        <w:tc>
          <w:tcPr>
            <w:tcW w:w="980" w:type="dxa"/>
            <w:vAlign w:val="bottom"/>
            <w:shd w:val="clear" w:color="auto" w:fill="333333"/>
          </w:tcPr>
          <w:p>
            <w:pPr>
              <w:spacing w:after="0"/>
              <w:rPr>
                <w:sz w:val="14"/>
                <w:szCs w:val="14"/>
                <w:color w:val="auto"/>
              </w:rPr>
            </w:pPr>
          </w:p>
        </w:tc>
        <w:tc>
          <w:tcPr>
            <w:tcW w:w="1040" w:type="dxa"/>
            <w:vAlign w:val="bottom"/>
            <w:shd w:val="clear" w:color="auto" w:fill="333333"/>
          </w:tcPr>
          <w:p>
            <w:pPr>
              <w:spacing w:after="0"/>
              <w:rPr>
                <w:sz w:val="14"/>
                <w:szCs w:val="14"/>
                <w:color w:val="auto"/>
              </w:rPr>
            </w:pPr>
          </w:p>
        </w:tc>
        <w:tc>
          <w:tcPr>
            <w:tcW w:w="500" w:type="dxa"/>
            <w:vAlign w:val="bottom"/>
            <w:tcBorders>
              <w:right w:val="single" w:sz="8" w:color="333333"/>
            </w:tcBorders>
            <w:shd w:val="clear" w:color="auto" w:fill="333333"/>
          </w:tcPr>
          <w:p>
            <w:pPr>
              <w:spacing w:after="0"/>
              <w:rPr>
                <w:sz w:val="14"/>
                <w:szCs w:val="14"/>
                <w:color w:val="auto"/>
              </w:rPr>
            </w:pPr>
          </w:p>
        </w:tc>
        <w:tc>
          <w:tcPr>
            <w:tcW w:w="1040" w:type="dxa"/>
            <w:vAlign w:val="bottom"/>
            <w:shd w:val="clear" w:color="auto" w:fill="333333"/>
          </w:tcPr>
          <w:p>
            <w:pPr>
              <w:spacing w:after="0"/>
              <w:rPr>
                <w:sz w:val="14"/>
                <w:szCs w:val="14"/>
                <w:color w:val="auto"/>
              </w:rPr>
            </w:pPr>
          </w:p>
        </w:tc>
        <w:tc>
          <w:tcPr>
            <w:tcW w:w="1560" w:type="dxa"/>
            <w:vAlign w:val="bottom"/>
            <w:shd w:val="clear" w:color="auto" w:fill="333333"/>
          </w:tcPr>
          <w:p>
            <w:pPr>
              <w:jc w:val="right"/>
              <w:ind w:right="608"/>
              <w:spacing w:after="0" w:line="162" w:lineRule="exact"/>
              <w:rPr>
                <w:sz w:val="20"/>
                <w:szCs w:val="20"/>
                <w:color w:val="auto"/>
              </w:rPr>
            </w:pPr>
            <w:r>
              <w:rPr>
                <w:rFonts w:ascii="Arial" w:cs="Arial" w:eastAsia="Arial" w:hAnsi="Arial"/>
                <w:sz w:val="15"/>
                <w:szCs w:val="15"/>
                <w:color w:val="FFFFFF"/>
              </w:rPr>
              <w:t>$ MILLION</w:t>
            </w: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20" w:type="dxa"/>
            <w:vAlign w:val="bottom"/>
            <w:tcBorders>
              <w:bottom w:val="single" w:sz="8" w:color="auto"/>
            </w:tcBorders>
          </w:tcPr>
          <w:p>
            <w:pPr>
              <w:spacing w:after="0"/>
              <w:rPr>
                <w:sz w:val="12"/>
                <w:szCs w:val="12"/>
                <w:color w:val="auto"/>
              </w:rPr>
            </w:pPr>
          </w:p>
        </w:tc>
        <w:tc>
          <w:tcPr>
            <w:tcW w:w="364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369"/>
              <w:spacing w:after="0"/>
              <w:rPr>
                <w:sz w:val="20"/>
                <w:szCs w:val="20"/>
                <w:color w:val="auto"/>
              </w:rPr>
            </w:pPr>
            <w:r>
              <w:rPr>
                <w:rFonts w:ascii="Arial" w:cs="Arial" w:eastAsia="Arial" w:hAnsi="Arial"/>
                <w:sz w:val="13"/>
                <w:szCs w:val="13"/>
                <w:color w:val="auto"/>
              </w:rPr>
              <w:t>NOTES</w:t>
            </w:r>
          </w:p>
        </w:tc>
        <w:tc>
          <w:tcPr>
            <w:tcW w:w="500" w:type="dxa"/>
            <w:vAlign w:val="bottom"/>
            <w:tcBorders>
              <w:bottom w:val="single" w:sz="8" w:color="auto"/>
              <w:right w:val="single" w:sz="8" w:color="D8D8D8"/>
            </w:tcBorders>
            <w:shd w:val="clear" w:color="auto" w:fill="D8D8D8"/>
          </w:tcPr>
          <w:p>
            <w:pPr>
              <w:spacing w:after="0"/>
              <w:rPr>
                <w:sz w:val="12"/>
                <w:szCs w:val="12"/>
                <w:color w:val="auto"/>
              </w:rPr>
            </w:pPr>
          </w:p>
        </w:tc>
        <w:tc>
          <w:tcPr>
            <w:tcW w:w="1040" w:type="dxa"/>
            <w:vAlign w:val="bottom"/>
            <w:tcBorders>
              <w:bottom w:val="single" w:sz="8" w:color="auto"/>
            </w:tcBorders>
            <w:shd w:val="clear" w:color="auto" w:fill="D8D8D8"/>
          </w:tcPr>
          <w:p>
            <w:pPr>
              <w:jc w:val="right"/>
              <w:ind w:right="369"/>
              <w:spacing w:after="0"/>
              <w:rPr>
                <w:sz w:val="20"/>
                <w:szCs w:val="20"/>
                <w:color w:val="auto"/>
              </w:rPr>
            </w:pPr>
            <w:r>
              <w:rPr>
                <w:rFonts w:ascii="Arial" w:cs="Arial" w:eastAsia="Arial" w:hAnsi="Arial"/>
                <w:sz w:val="13"/>
                <w:szCs w:val="13"/>
                <w:color w:val="auto"/>
              </w:rPr>
              <w:t>2014</w:t>
            </w:r>
          </w:p>
        </w:tc>
        <w:tc>
          <w:tcPr>
            <w:tcW w:w="1560" w:type="dxa"/>
            <w:vAlign w:val="bottom"/>
            <w:tcBorders>
              <w:bottom w:val="single" w:sz="8" w:color="auto"/>
            </w:tcBorders>
          </w:tcPr>
          <w:p>
            <w:pPr>
              <w:jc w:val="right"/>
              <w:ind w:right="368"/>
              <w:spacing w:after="0"/>
              <w:rPr>
                <w:sz w:val="20"/>
                <w:szCs w:val="20"/>
                <w:color w:val="auto"/>
              </w:rPr>
            </w:pPr>
            <w:r>
              <w:rPr>
                <w:rFonts w:ascii="Arial" w:cs="Arial" w:eastAsia="Arial" w:hAnsi="Arial"/>
                <w:sz w:val="13"/>
                <w:szCs w:val="13"/>
                <w:color w:val="auto"/>
              </w:rPr>
              <w:t>2013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280" w:type="dxa"/>
            <w:vAlign w:val="bottom"/>
            <w:gridSpan w:val="3"/>
          </w:tcPr>
          <w:p>
            <w:pPr>
              <w:spacing w:after="0" w:line="155" w:lineRule="exact"/>
              <w:rPr>
                <w:sz w:val="20"/>
                <w:szCs w:val="20"/>
                <w:color w:val="auto"/>
              </w:rPr>
            </w:pPr>
            <w:r>
              <w:rPr>
                <w:rFonts w:ascii="Arial" w:cs="Arial" w:eastAsia="Arial" w:hAnsi="Arial"/>
                <w:sz w:val="14"/>
                <w:szCs w:val="14"/>
                <w:b w:val="1"/>
                <w:bCs w:val="1"/>
                <w:color w:val="auto"/>
              </w:rPr>
              <w:t>Cash flow from operating activities</w:t>
            </w:r>
          </w:p>
        </w:tc>
        <w:tc>
          <w:tcPr>
            <w:tcW w:w="9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500" w:type="dxa"/>
            <w:vAlign w:val="bottom"/>
            <w:tcBorders>
              <w:right w:val="single" w:sz="8" w:color="D8D8D8"/>
            </w:tcBorders>
            <w:shd w:val="clear" w:color="auto" w:fill="D8D8D8"/>
          </w:tcPr>
          <w:p>
            <w:pPr>
              <w:spacing w:after="0"/>
              <w:rPr>
                <w:sz w:val="13"/>
                <w:szCs w:val="13"/>
                <w:color w:val="auto"/>
              </w:rPr>
            </w:pPr>
          </w:p>
        </w:tc>
        <w:tc>
          <w:tcPr>
            <w:tcW w:w="1040" w:type="dxa"/>
            <w:vAlign w:val="bottom"/>
            <w:shd w:val="clear" w:color="auto" w:fill="D8D8D8"/>
          </w:tcPr>
          <w:p>
            <w:pPr>
              <w:spacing w:after="0"/>
              <w:rPr>
                <w:sz w:val="13"/>
                <w:szCs w:val="13"/>
                <w:color w:val="auto"/>
              </w:rPr>
            </w:pPr>
          </w:p>
        </w:tc>
        <w:tc>
          <w:tcPr>
            <w:tcW w:w="15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1940" w:type="dxa"/>
            <w:vAlign w:val="bottom"/>
            <w:gridSpan w:val="2"/>
          </w:tcPr>
          <w:p>
            <w:pPr>
              <w:spacing w:after="0"/>
              <w:rPr>
                <w:sz w:val="20"/>
                <w:szCs w:val="20"/>
                <w:color w:val="auto"/>
              </w:rPr>
            </w:pPr>
            <w:r>
              <w:rPr>
                <w:rFonts w:ascii="Arial" w:cs="Arial" w:eastAsia="Arial" w:hAnsi="Arial"/>
                <w:sz w:val="14"/>
                <w:szCs w:val="14"/>
                <w:color w:val="auto"/>
              </w:rPr>
              <w:t>Income for the period</w:t>
            </w:r>
          </w:p>
        </w:tc>
        <w:tc>
          <w:tcPr>
            <w:tcW w:w="36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500" w:type="dxa"/>
            <w:vAlign w:val="bottom"/>
            <w:tcBorders>
              <w:right w:val="single" w:sz="8" w:color="D8D8D8"/>
            </w:tcBorders>
            <w:shd w:val="clear" w:color="auto" w:fill="D8D8D8"/>
          </w:tcPr>
          <w:p>
            <w:pPr>
              <w:spacing w:after="0"/>
              <w:rPr>
                <w:sz w:val="14"/>
                <w:szCs w:val="14"/>
                <w:color w:val="auto"/>
              </w:rPr>
            </w:pPr>
          </w:p>
        </w:tc>
        <w:tc>
          <w:tcPr>
            <w:tcW w:w="1040" w:type="dxa"/>
            <w:vAlign w:val="bottom"/>
            <w:shd w:val="clear" w:color="auto" w:fill="D8D8D8"/>
          </w:tcPr>
          <w:p>
            <w:pPr>
              <w:jc w:val="right"/>
              <w:ind w:right="369"/>
              <w:spacing w:after="0"/>
              <w:rPr>
                <w:sz w:val="20"/>
                <w:szCs w:val="20"/>
                <w:color w:val="auto"/>
              </w:rPr>
            </w:pPr>
            <w:r>
              <w:rPr>
                <w:rFonts w:ascii="Arial" w:cs="Arial" w:eastAsia="Arial" w:hAnsi="Arial"/>
                <w:sz w:val="14"/>
                <w:szCs w:val="14"/>
                <w:color w:val="auto"/>
              </w:rPr>
              <w:t>16,079</w:t>
            </w:r>
          </w:p>
        </w:tc>
        <w:tc>
          <w:tcPr>
            <w:tcW w:w="1560" w:type="dxa"/>
            <w:vAlign w:val="bottom"/>
          </w:tcPr>
          <w:p>
            <w:pPr>
              <w:jc w:val="right"/>
              <w:ind w:right="368"/>
              <w:spacing w:after="0"/>
              <w:rPr>
                <w:sz w:val="20"/>
                <w:szCs w:val="20"/>
                <w:color w:val="auto"/>
              </w:rPr>
            </w:pPr>
            <w:r>
              <w:rPr>
                <w:rFonts w:ascii="Arial" w:cs="Arial" w:eastAsia="Arial" w:hAnsi="Arial"/>
                <w:sz w:val="14"/>
                <w:szCs w:val="14"/>
                <w:color w:val="auto"/>
              </w:rPr>
              <w:t>14,249</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1940" w:type="dxa"/>
            <w:vAlign w:val="bottom"/>
            <w:gridSpan w:val="2"/>
          </w:tcPr>
          <w:p>
            <w:pPr>
              <w:spacing w:after="0"/>
              <w:rPr>
                <w:sz w:val="20"/>
                <w:szCs w:val="20"/>
                <w:color w:val="auto"/>
              </w:rPr>
            </w:pPr>
            <w:r>
              <w:rPr>
                <w:rFonts w:ascii="Arial" w:cs="Arial" w:eastAsia="Arial" w:hAnsi="Arial"/>
                <w:sz w:val="14"/>
                <w:szCs w:val="14"/>
                <w:color w:val="auto"/>
              </w:rPr>
              <w:t>Adjustment for:</w:t>
            </w:r>
          </w:p>
        </w:tc>
        <w:tc>
          <w:tcPr>
            <w:tcW w:w="36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500" w:type="dxa"/>
            <w:vAlign w:val="bottom"/>
            <w:tcBorders>
              <w:right w:val="single" w:sz="8" w:color="D8D8D8"/>
            </w:tcBorders>
            <w:shd w:val="clear" w:color="auto" w:fill="D8D8D8"/>
          </w:tcPr>
          <w:p>
            <w:pPr>
              <w:spacing w:after="0"/>
              <w:rPr>
                <w:sz w:val="14"/>
                <w:szCs w:val="14"/>
                <w:color w:val="auto"/>
              </w:rPr>
            </w:pPr>
          </w:p>
        </w:tc>
        <w:tc>
          <w:tcPr>
            <w:tcW w:w="104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920" w:type="dxa"/>
            <w:vAlign w:val="bottom"/>
          </w:tcPr>
          <w:p>
            <w:pPr>
              <w:ind w:left="120"/>
              <w:spacing w:after="0"/>
              <w:rPr>
                <w:sz w:val="20"/>
                <w:szCs w:val="20"/>
                <w:color w:val="auto"/>
              </w:rPr>
            </w:pPr>
            <w:r>
              <w:rPr>
                <w:rFonts w:ascii="Arial" w:cs="Arial" w:eastAsia="Arial" w:hAnsi="Arial"/>
                <w:sz w:val="14"/>
                <w:szCs w:val="14"/>
                <w:color w:val="auto"/>
              </w:rPr>
              <w:t>Dividend income</w:t>
            </w:r>
          </w:p>
        </w:tc>
        <w:tc>
          <w:tcPr>
            <w:tcW w:w="36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500" w:type="dxa"/>
            <w:vAlign w:val="bottom"/>
            <w:tcBorders>
              <w:right w:val="single" w:sz="8" w:color="D8D8D8"/>
            </w:tcBorders>
            <w:shd w:val="clear" w:color="auto" w:fill="D8D8D8"/>
          </w:tcPr>
          <w:p>
            <w:pPr>
              <w:spacing w:after="0"/>
              <w:rPr>
                <w:sz w:val="14"/>
                <w:szCs w:val="14"/>
                <w:color w:val="auto"/>
              </w:rPr>
            </w:pPr>
          </w:p>
        </w:tc>
        <w:tc>
          <w:tcPr>
            <w:tcW w:w="1040" w:type="dxa"/>
            <w:vAlign w:val="bottom"/>
          </w:tcPr>
          <w:p>
            <w:pPr>
              <w:jc w:val="right"/>
              <w:ind w:right="369"/>
              <w:spacing w:after="0"/>
              <w:rPr>
                <w:sz w:val="20"/>
                <w:szCs w:val="20"/>
                <w:color w:val="auto"/>
              </w:rPr>
            </w:pPr>
            <w:r>
              <w:rPr>
                <w:rFonts w:ascii="Arial" w:cs="Arial" w:eastAsia="Arial" w:hAnsi="Arial"/>
                <w:sz w:val="14"/>
                <w:szCs w:val="14"/>
                <w:color w:val="auto"/>
              </w:rPr>
              <w:t>(18,031)</w:t>
            </w:r>
          </w:p>
        </w:tc>
        <w:tc>
          <w:tcPr>
            <w:tcW w:w="1560" w:type="dxa"/>
            <w:vAlign w:val="bottom"/>
          </w:tcPr>
          <w:p>
            <w:pPr>
              <w:jc w:val="right"/>
              <w:ind w:right="328"/>
              <w:spacing w:after="0"/>
              <w:rPr>
                <w:sz w:val="20"/>
                <w:szCs w:val="20"/>
                <w:color w:val="auto"/>
              </w:rPr>
            </w:pPr>
            <w:r>
              <w:rPr>
                <w:rFonts w:ascii="Arial" w:cs="Arial" w:eastAsia="Arial" w:hAnsi="Arial"/>
                <w:sz w:val="14"/>
                <w:szCs w:val="14"/>
                <w:color w:val="auto"/>
              </w:rPr>
              <w:t>(13,693)</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920" w:type="dxa"/>
            <w:vAlign w:val="bottom"/>
          </w:tcPr>
          <w:p>
            <w:pPr>
              <w:ind w:left="120"/>
              <w:spacing w:after="0"/>
              <w:rPr>
                <w:sz w:val="20"/>
                <w:szCs w:val="20"/>
                <w:color w:val="auto"/>
              </w:rPr>
            </w:pPr>
            <w:r>
              <w:rPr>
                <w:rFonts w:ascii="Arial" w:cs="Arial" w:eastAsia="Arial" w:hAnsi="Arial"/>
                <w:sz w:val="14"/>
                <w:szCs w:val="14"/>
                <w:color w:val="auto"/>
              </w:rPr>
              <w:t>Taxation</w:t>
            </w:r>
          </w:p>
        </w:tc>
        <w:tc>
          <w:tcPr>
            <w:tcW w:w="36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500" w:type="dxa"/>
            <w:vAlign w:val="bottom"/>
            <w:tcBorders>
              <w:right w:val="single" w:sz="8" w:color="D8D8D8"/>
            </w:tcBorders>
            <w:shd w:val="clear" w:color="auto" w:fill="D8D8D8"/>
          </w:tcPr>
          <w:p>
            <w:pPr>
              <w:spacing w:after="0"/>
              <w:rPr>
                <w:sz w:val="14"/>
                <w:szCs w:val="14"/>
                <w:color w:val="auto"/>
              </w:rPr>
            </w:pPr>
          </w:p>
        </w:tc>
        <w:tc>
          <w:tcPr>
            <w:tcW w:w="1040" w:type="dxa"/>
            <w:vAlign w:val="bottom"/>
          </w:tcPr>
          <w:p>
            <w:pPr>
              <w:jc w:val="right"/>
              <w:ind w:right="369"/>
              <w:spacing w:after="0"/>
              <w:rPr>
                <w:sz w:val="20"/>
                <w:szCs w:val="20"/>
                <w:color w:val="auto"/>
              </w:rPr>
            </w:pPr>
            <w:r>
              <w:rPr>
                <w:rFonts w:ascii="Arial" w:cs="Arial" w:eastAsia="Arial" w:hAnsi="Arial"/>
                <w:sz w:val="14"/>
                <w:szCs w:val="14"/>
                <w:color w:val="auto"/>
              </w:rPr>
              <w:t>(12)</w:t>
            </w:r>
          </w:p>
        </w:tc>
        <w:tc>
          <w:tcPr>
            <w:tcW w:w="1560" w:type="dxa"/>
            <w:vAlign w:val="bottom"/>
          </w:tcPr>
          <w:p>
            <w:pPr>
              <w:jc w:val="right"/>
              <w:ind w:right="328"/>
              <w:spacing w:after="0"/>
              <w:rPr>
                <w:sz w:val="20"/>
                <w:szCs w:val="20"/>
                <w:color w:val="auto"/>
              </w:rPr>
            </w:pPr>
            <w:r>
              <w:rPr>
                <w:rFonts w:ascii="Arial" w:cs="Arial" w:eastAsia="Arial" w:hAnsi="Arial"/>
                <w:sz w:val="14"/>
                <w:szCs w:val="14"/>
                <w:color w:val="auto"/>
              </w:rPr>
              <w:t>(28)</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920" w:type="dxa"/>
            <w:vAlign w:val="bottom"/>
          </w:tcPr>
          <w:p>
            <w:pPr>
              <w:ind w:left="120"/>
              <w:spacing w:after="0"/>
              <w:rPr>
                <w:sz w:val="20"/>
                <w:szCs w:val="20"/>
                <w:color w:val="auto"/>
              </w:rPr>
            </w:pPr>
            <w:r>
              <w:rPr>
                <w:rFonts w:ascii="Arial" w:cs="Arial" w:eastAsia="Arial" w:hAnsi="Arial"/>
                <w:sz w:val="14"/>
                <w:szCs w:val="14"/>
                <w:color w:val="auto"/>
              </w:rPr>
              <w:t>Interest income</w:t>
            </w:r>
          </w:p>
        </w:tc>
        <w:tc>
          <w:tcPr>
            <w:tcW w:w="36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500" w:type="dxa"/>
            <w:vAlign w:val="bottom"/>
            <w:tcBorders>
              <w:right w:val="single" w:sz="8" w:color="D8D8D8"/>
            </w:tcBorders>
            <w:shd w:val="clear" w:color="auto" w:fill="D8D8D8"/>
          </w:tcPr>
          <w:p>
            <w:pPr>
              <w:spacing w:after="0"/>
              <w:rPr>
                <w:sz w:val="14"/>
                <w:szCs w:val="14"/>
                <w:color w:val="auto"/>
              </w:rPr>
            </w:pPr>
          </w:p>
        </w:tc>
        <w:tc>
          <w:tcPr>
            <w:tcW w:w="1040" w:type="dxa"/>
            <w:vAlign w:val="bottom"/>
          </w:tcPr>
          <w:p>
            <w:pPr>
              <w:jc w:val="right"/>
              <w:ind w:right="329"/>
              <w:spacing w:after="0"/>
              <w:rPr>
                <w:sz w:val="20"/>
                <w:szCs w:val="20"/>
                <w:color w:val="auto"/>
              </w:rPr>
            </w:pPr>
            <w:r>
              <w:rPr>
                <w:rFonts w:ascii="Arial" w:cs="Arial" w:eastAsia="Arial" w:hAnsi="Arial"/>
                <w:sz w:val="14"/>
                <w:szCs w:val="14"/>
                <w:color w:val="auto"/>
              </w:rPr>
              <w:t>(7)</w:t>
            </w:r>
          </w:p>
        </w:tc>
        <w:tc>
          <w:tcPr>
            <w:tcW w:w="1560" w:type="dxa"/>
            <w:vAlign w:val="bottom"/>
          </w:tcPr>
          <w:p>
            <w:pPr>
              <w:jc w:val="right"/>
              <w:ind w:right="328"/>
              <w:spacing w:after="0"/>
              <w:rPr>
                <w:sz w:val="20"/>
                <w:szCs w:val="20"/>
                <w:color w:val="auto"/>
              </w:rPr>
            </w:pPr>
            <w:r>
              <w:rPr>
                <w:rFonts w:ascii="Arial" w:cs="Arial" w:eastAsia="Arial" w:hAnsi="Arial"/>
                <w:sz w:val="14"/>
                <w:szCs w:val="14"/>
                <w:color w:val="auto"/>
              </w:rPr>
              <w:t>(2)</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920" w:type="dxa"/>
            <w:vAlign w:val="bottom"/>
          </w:tcPr>
          <w:p>
            <w:pPr>
              <w:ind w:left="120"/>
              <w:spacing w:after="0"/>
              <w:rPr>
                <w:sz w:val="20"/>
                <w:szCs w:val="20"/>
                <w:color w:val="auto"/>
              </w:rPr>
            </w:pPr>
            <w:r>
              <w:rPr>
                <w:rFonts w:ascii="Arial" w:cs="Arial" w:eastAsia="Arial" w:hAnsi="Arial"/>
                <w:sz w:val="14"/>
                <w:szCs w:val="14"/>
                <w:color w:val="auto"/>
              </w:rPr>
              <w:t>Interest expense</w:t>
            </w:r>
          </w:p>
        </w:tc>
        <w:tc>
          <w:tcPr>
            <w:tcW w:w="36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500" w:type="dxa"/>
            <w:vAlign w:val="bottom"/>
            <w:tcBorders>
              <w:right w:val="single" w:sz="8" w:color="D8D8D8"/>
            </w:tcBorders>
            <w:shd w:val="clear" w:color="auto" w:fill="D8D8D8"/>
          </w:tcPr>
          <w:p>
            <w:pPr>
              <w:spacing w:after="0"/>
              <w:rPr>
                <w:sz w:val="14"/>
                <w:szCs w:val="14"/>
                <w:color w:val="auto"/>
              </w:rPr>
            </w:pPr>
          </w:p>
        </w:tc>
        <w:tc>
          <w:tcPr>
            <w:tcW w:w="1040" w:type="dxa"/>
            <w:vAlign w:val="bottom"/>
          </w:tcPr>
          <w:p>
            <w:pPr>
              <w:jc w:val="right"/>
              <w:ind w:right="369"/>
              <w:spacing w:after="0"/>
              <w:rPr>
                <w:sz w:val="20"/>
                <w:szCs w:val="20"/>
                <w:color w:val="auto"/>
              </w:rPr>
            </w:pPr>
            <w:r>
              <w:rPr>
                <w:rFonts w:ascii="Arial" w:cs="Arial" w:eastAsia="Arial" w:hAnsi="Arial"/>
                <w:sz w:val="14"/>
                <w:szCs w:val="14"/>
                <w:color w:val="auto"/>
              </w:rPr>
              <w:t>14</w:t>
            </w:r>
          </w:p>
        </w:tc>
        <w:tc>
          <w:tcPr>
            <w:tcW w:w="1560" w:type="dxa"/>
            <w:vAlign w:val="bottom"/>
          </w:tcPr>
          <w:p>
            <w:pPr>
              <w:jc w:val="right"/>
              <w:ind w:right="368"/>
              <w:spacing w:after="0"/>
              <w:rPr>
                <w:sz w:val="20"/>
                <w:szCs w:val="20"/>
                <w:color w:val="auto"/>
              </w:rPr>
            </w:pPr>
            <w:r>
              <w:rPr>
                <w:rFonts w:ascii="Arial" w:cs="Arial" w:eastAsia="Arial" w:hAnsi="Arial"/>
                <w:sz w:val="14"/>
                <w:szCs w:val="14"/>
                <w:color w:val="auto"/>
              </w:rPr>
              <w:t>19</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920" w:type="dxa"/>
            <w:vAlign w:val="bottom"/>
          </w:tcPr>
          <w:p>
            <w:pPr>
              <w:ind w:left="120"/>
              <w:spacing w:after="0"/>
              <w:rPr>
                <w:sz w:val="20"/>
                <w:szCs w:val="20"/>
                <w:color w:val="auto"/>
              </w:rPr>
            </w:pPr>
            <w:r>
              <w:rPr>
                <w:rFonts w:ascii="Arial" w:cs="Arial" w:eastAsia="Arial" w:hAnsi="Arial"/>
                <w:sz w:val="14"/>
                <w:szCs w:val="14"/>
                <w:color w:val="auto"/>
              </w:rPr>
              <w:t>Share-based compensation</w:t>
            </w:r>
          </w:p>
        </w:tc>
        <w:tc>
          <w:tcPr>
            <w:tcW w:w="36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500" w:type="dxa"/>
            <w:vAlign w:val="bottom"/>
            <w:tcBorders>
              <w:right w:val="single" w:sz="8" w:color="D8D8D8"/>
            </w:tcBorders>
            <w:shd w:val="clear" w:color="auto" w:fill="D8D8D8"/>
          </w:tcPr>
          <w:p>
            <w:pPr>
              <w:spacing w:after="0"/>
              <w:rPr>
                <w:sz w:val="14"/>
                <w:szCs w:val="14"/>
                <w:color w:val="auto"/>
              </w:rPr>
            </w:pPr>
          </w:p>
        </w:tc>
        <w:tc>
          <w:tcPr>
            <w:tcW w:w="1040" w:type="dxa"/>
            <w:vAlign w:val="bottom"/>
          </w:tcPr>
          <w:p>
            <w:pPr>
              <w:jc w:val="right"/>
              <w:ind w:right="369"/>
              <w:spacing w:after="0"/>
              <w:rPr>
                <w:sz w:val="20"/>
                <w:szCs w:val="20"/>
                <w:color w:val="auto"/>
              </w:rPr>
            </w:pPr>
            <w:r>
              <w:rPr>
                <w:rFonts w:ascii="Arial" w:cs="Arial" w:eastAsia="Arial" w:hAnsi="Arial"/>
                <w:sz w:val="14"/>
                <w:szCs w:val="14"/>
                <w:color w:val="auto"/>
              </w:rPr>
              <w:t>27</w:t>
            </w:r>
          </w:p>
        </w:tc>
        <w:tc>
          <w:tcPr>
            <w:tcW w:w="1560" w:type="dxa"/>
            <w:vAlign w:val="bottom"/>
          </w:tcPr>
          <w:p>
            <w:pPr>
              <w:jc w:val="right"/>
              <w:ind w:right="368"/>
              <w:spacing w:after="0"/>
              <w:rPr>
                <w:sz w:val="20"/>
                <w:szCs w:val="20"/>
                <w:color w:val="auto"/>
              </w:rPr>
            </w:pPr>
            <w:r>
              <w:rPr>
                <w:rFonts w:ascii="Arial" w:cs="Arial" w:eastAsia="Arial" w:hAnsi="Arial"/>
                <w:sz w:val="14"/>
                <w:szCs w:val="14"/>
                <w:color w:val="auto"/>
              </w:rPr>
              <w:t>27</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1920" w:type="dxa"/>
            <w:vAlign w:val="bottom"/>
            <w:tcBorders>
              <w:bottom w:val="single" w:sz="8" w:color="auto"/>
            </w:tcBorders>
          </w:tcPr>
          <w:p>
            <w:pPr>
              <w:ind w:left="120"/>
              <w:spacing w:after="0" w:line="157" w:lineRule="exact"/>
              <w:rPr>
                <w:sz w:val="20"/>
                <w:szCs w:val="20"/>
                <w:color w:val="auto"/>
              </w:rPr>
            </w:pPr>
            <w:r>
              <w:rPr>
                <w:rFonts w:ascii="Arial" w:cs="Arial" w:eastAsia="Arial" w:hAnsi="Arial"/>
                <w:sz w:val="14"/>
                <w:szCs w:val="14"/>
                <w:color w:val="auto"/>
              </w:rPr>
              <w:t>Increase in working capital</w:t>
            </w:r>
          </w:p>
        </w:tc>
        <w:tc>
          <w:tcPr>
            <w:tcW w:w="364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spacing w:after="0"/>
              <w:rPr>
                <w:sz w:val="13"/>
                <w:szCs w:val="13"/>
                <w:color w:val="auto"/>
              </w:rPr>
            </w:pPr>
          </w:p>
        </w:tc>
        <w:tc>
          <w:tcPr>
            <w:tcW w:w="500" w:type="dxa"/>
            <w:vAlign w:val="bottom"/>
            <w:tcBorders>
              <w:bottom w:val="single" w:sz="8" w:color="auto"/>
              <w:right w:val="single" w:sz="8" w:color="D8D8D8"/>
            </w:tcBorders>
            <w:shd w:val="clear" w:color="auto" w:fill="D8D8D8"/>
          </w:tcPr>
          <w:p>
            <w:pPr>
              <w:spacing w:after="0"/>
              <w:rPr>
                <w:sz w:val="13"/>
                <w:szCs w:val="13"/>
                <w:color w:val="auto"/>
              </w:rPr>
            </w:pPr>
          </w:p>
        </w:tc>
        <w:tc>
          <w:tcPr>
            <w:tcW w:w="1040" w:type="dxa"/>
            <w:vAlign w:val="bottom"/>
            <w:tcBorders>
              <w:bottom w:val="single" w:sz="8" w:color="auto"/>
            </w:tcBorders>
          </w:tcPr>
          <w:p>
            <w:pPr>
              <w:jc w:val="right"/>
              <w:ind w:right="329"/>
              <w:spacing w:after="0" w:line="157" w:lineRule="exact"/>
              <w:rPr>
                <w:sz w:val="20"/>
                <w:szCs w:val="20"/>
                <w:color w:val="auto"/>
              </w:rPr>
            </w:pPr>
            <w:r>
              <w:rPr>
                <w:rFonts w:ascii="Arial" w:cs="Arial" w:eastAsia="Arial" w:hAnsi="Arial"/>
                <w:sz w:val="14"/>
                <w:szCs w:val="14"/>
                <w:color w:val="auto"/>
              </w:rPr>
              <w:t>(3,771)</w:t>
            </w:r>
          </w:p>
        </w:tc>
        <w:tc>
          <w:tcPr>
            <w:tcW w:w="1560" w:type="dxa"/>
            <w:vAlign w:val="bottom"/>
            <w:tcBorders>
              <w:bottom w:val="single" w:sz="8" w:color="auto"/>
            </w:tcBorders>
          </w:tcPr>
          <w:p>
            <w:pPr>
              <w:jc w:val="right"/>
              <w:ind w:right="328"/>
              <w:spacing w:after="0" w:line="157" w:lineRule="exact"/>
              <w:rPr>
                <w:sz w:val="20"/>
                <w:szCs w:val="20"/>
                <w:color w:val="auto"/>
              </w:rPr>
            </w:pPr>
            <w:r>
              <w:rPr>
                <w:rFonts w:ascii="Arial" w:cs="Arial" w:eastAsia="Arial" w:hAnsi="Arial"/>
                <w:sz w:val="14"/>
                <w:szCs w:val="14"/>
                <w:color w:val="auto"/>
              </w:rPr>
              <w:t>(2,472)</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6300" w:type="dxa"/>
            <w:vAlign w:val="bottom"/>
            <w:tcBorders>
              <w:bottom w:val="single" w:sz="8" w:color="auto"/>
            </w:tcBorders>
            <w:gridSpan w:val="4"/>
          </w:tcPr>
          <w:p>
            <w:pPr>
              <w:spacing w:after="0" w:line="155" w:lineRule="exact"/>
              <w:rPr>
                <w:sz w:val="20"/>
                <w:szCs w:val="20"/>
                <w:color w:val="auto"/>
              </w:rPr>
            </w:pPr>
            <w:r>
              <w:rPr>
                <w:rFonts w:ascii="Arial" w:cs="Arial" w:eastAsia="Arial" w:hAnsi="Arial"/>
                <w:sz w:val="14"/>
                <w:szCs w:val="14"/>
                <w:color w:val="auto"/>
              </w:rPr>
              <w:t>Net cash used in operating activities</w:t>
            </w:r>
          </w:p>
        </w:tc>
        <w:tc>
          <w:tcPr>
            <w:tcW w:w="98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spacing w:after="0"/>
              <w:rPr>
                <w:sz w:val="13"/>
                <w:szCs w:val="13"/>
                <w:color w:val="auto"/>
              </w:rPr>
            </w:pPr>
          </w:p>
        </w:tc>
        <w:tc>
          <w:tcPr>
            <w:tcW w:w="500" w:type="dxa"/>
            <w:vAlign w:val="bottom"/>
            <w:tcBorders>
              <w:bottom w:val="single" w:sz="8" w:color="auto"/>
              <w:right w:val="single" w:sz="8" w:color="D8D8D8"/>
            </w:tcBorders>
            <w:shd w:val="clear" w:color="auto" w:fill="D8D8D8"/>
          </w:tcPr>
          <w:p>
            <w:pPr>
              <w:spacing w:after="0"/>
              <w:rPr>
                <w:sz w:val="13"/>
                <w:szCs w:val="13"/>
                <w:color w:val="auto"/>
              </w:rPr>
            </w:pPr>
          </w:p>
        </w:tc>
        <w:tc>
          <w:tcPr>
            <w:tcW w:w="1040" w:type="dxa"/>
            <w:vAlign w:val="bottom"/>
            <w:tcBorders>
              <w:bottom w:val="single" w:sz="8" w:color="auto"/>
            </w:tcBorders>
          </w:tcPr>
          <w:p>
            <w:pPr>
              <w:jc w:val="right"/>
              <w:ind w:right="329"/>
              <w:spacing w:after="0" w:line="155" w:lineRule="exact"/>
              <w:rPr>
                <w:sz w:val="20"/>
                <w:szCs w:val="20"/>
                <w:color w:val="auto"/>
              </w:rPr>
            </w:pPr>
            <w:r>
              <w:rPr>
                <w:rFonts w:ascii="Arial" w:cs="Arial" w:eastAsia="Arial" w:hAnsi="Arial"/>
                <w:sz w:val="14"/>
                <w:szCs w:val="14"/>
                <w:color w:val="auto"/>
              </w:rPr>
              <w:t>(5,701)</w:t>
            </w:r>
          </w:p>
        </w:tc>
        <w:tc>
          <w:tcPr>
            <w:tcW w:w="1560" w:type="dxa"/>
            <w:vAlign w:val="bottom"/>
            <w:tcBorders>
              <w:bottom w:val="single" w:sz="8" w:color="auto"/>
            </w:tcBorders>
          </w:tcPr>
          <w:p>
            <w:pPr>
              <w:jc w:val="right"/>
              <w:ind w:right="328"/>
              <w:spacing w:after="0" w:line="155" w:lineRule="exact"/>
              <w:rPr>
                <w:sz w:val="20"/>
                <w:szCs w:val="20"/>
                <w:color w:val="auto"/>
              </w:rPr>
            </w:pPr>
            <w:r>
              <w:rPr>
                <w:rFonts w:ascii="Arial" w:cs="Arial" w:eastAsia="Arial" w:hAnsi="Arial"/>
                <w:sz w:val="14"/>
                <w:szCs w:val="14"/>
                <w:color w:val="auto"/>
              </w:rPr>
              <w:t>(1,900)</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6300" w:type="dxa"/>
            <w:vAlign w:val="bottom"/>
            <w:gridSpan w:val="4"/>
          </w:tcPr>
          <w:p>
            <w:pPr>
              <w:spacing w:after="0"/>
              <w:rPr>
                <w:sz w:val="20"/>
                <w:szCs w:val="20"/>
                <w:color w:val="auto"/>
              </w:rPr>
            </w:pPr>
            <w:r>
              <w:rPr>
                <w:rFonts w:ascii="Arial" w:cs="Arial" w:eastAsia="Arial" w:hAnsi="Arial"/>
                <w:sz w:val="14"/>
                <w:szCs w:val="14"/>
                <w:b w:val="1"/>
                <w:bCs w:val="1"/>
                <w:color w:val="auto"/>
              </w:rPr>
              <w:t>Cash flow from investing activities</w:t>
            </w:r>
          </w:p>
        </w:tc>
        <w:tc>
          <w:tcPr>
            <w:tcW w:w="9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500" w:type="dxa"/>
            <w:vAlign w:val="bottom"/>
            <w:tcBorders>
              <w:right w:val="single" w:sz="8" w:color="D8D8D8"/>
            </w:tcBorders>
            <w:shd w:val="clear" w:color="auto" w:fill="D8D8D8"/>
          </w:tcPr>
          <w:p>
            <w:pPr>
              <w:spacing w:after="0"/>
              <w:rPr>
                <w:sz w:val="13"/>
                <w:szCs w:val="13"/>
                <w:color w:val="auto"/>
              </w:rPr>
            </w:pPr>
          </w:p>
        </w:tc>
        <w:tc>
          <w:tcPr>
            <w:tcW w:w="104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1940" w:type="dxa"/>
            <w:vAlign w:val="bottom"/>
            <w:gridSpan w:val="2"/>
          </w:tcPr>
          <w:p>
            <w:pPr>
              <w:spacing w:after="0"/>
              <w:rPr>
                <w:sz w:val="20"/>
                <w:szCs w:val="20"/>
                <w:color w:val="auto"/>
              </w:rPr>
            </w:pPr>
            <w:r>
              <w:rPr>
                <w:rFonts w:ascii="Arial" w:cs="Arial" w:eastAsia="Arial" w:hAnsi="Arial"/>
                <w:sz w:val="14"/>
                <w:szCs w:val="14"/>
                <w:color w:val="auto"/>
              </w:rPr>
              <w:t>Dividends received</w:t>
            </w:r>
          </w:p>
        </w:tc>
        <w:tc>
          <w:tcPr>
            <w:tcW w:w="36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500" w:type="dxa"/>
            <w:vAlign w:val="bottom"/>
            <w:tcBorders>
              <w:right w:val="single" w:sz="8" w:color="D8D8D8"/>
            </w:tcBorders>
            <w:shd w:val="clear" w:color="auto" w:fill="D8D8D8"/>
          </w:tcPr>
          <w:p>
            <w:pPr>
              <w:spacing w:after="0"/>
              <w:rPr>
                <w:sz w:val="14"/>
                <w:szCs w:val="14"/>
                <w:color w:val="auto"/>
              </w:rPr>
            </w:pPr>
          </w:p>
        </w:tc>
        <w:tc>
          <w:tcPr>
            <w:tcW w:w="1040" w:type="dxa"/>
            <w:vAlign w:val="bottom"/>
          </w:tcPr>
          <w:p>
            <w:pPr>
              <w:jc w:val="right"/>
              <w:ind w:right="369"/>
              <w:spacing w:after="0"/>
              <w:rPr>
                <w:sz w:val="20"/>
                <w:szCs w:val="20"/>
                <w:color w:val="auto"/>
              </w:rPr>
            </w:pPr>
            <w:r>
              <w:rPr>
                <w:rFonts w:ascii="Arial" w:cs="Arial" w:eastAsia="Arial" w:hAnsi="Arial"/>
                <w:sz w:val="14"/>
                <w:szCs w:val="14"/>
                <w:color w:val="auto"/>
              </w:rPr>
              <w:t>18,031</w:t>
            </w:r>
          </w:p>
        </w:tc>
        <w:tc>
          <w:tcPr>
            <w:tcW w:w="1560" w:type="dxa"/>
            <w:vAlign w:val="bottom"/>
          </w:tcPr>
          <w:p>
            <w:pPr>
              <w:jc w:val="right"/>
              <w:ind w:right="368"/>
              <w:spacing w:after="0"/>
              <w:rPr>
                <w:sz w:val="20"/>
                <w:szCs w:val="20"/>
                <w:color w:val="auto"/>
              </w:rPr>
            </w:pPr>
            <w:r>
              <w:rPr>
                <w:rFonts w:ascii="Arial" w:cs="Arial" w:eastAsia="Arial" w:hAnsi="Arial"/>
                <w:sz w:val="14"/>
                <w:szCs w:val="14"/>
                <w:color w:val="auto"/>
              </w:rPr>
              <w:t>13,693</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940" w:type="dxa"/>
            <w:vAlign w:val="bottom"/>
            <w:gridSpan w:val="2"/>
          </w:tcPr>
          <w:p>
            <w:pPr>
              <w:spacing w:after="0"/>
              <w:rPr>
                <w:sz w:val="20"/>
                <w:szCs w:val="20"/>
                <w:color w:val="auto"/>
              </w:rPr>
            </w:pPr>
            <w:r>
              <w:rPr>
                <w:rFonts w:ascii="Arial" w:cs="Arial" w:eastAsia="Arial" w:hAnsi="Arial"/>
                <w:sz w:val="14"/>
                <w:szCs w:val="14"/>
                <w:color w:val="auto"/>
              </w:rPr>
              <w:t>Interest received</w:t>
            </w:r>
          </w:p>
        </w:tc>
        <w:tc>
          <w:tcPr>
            <w:tcW w:w="36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500" w:type="dxa"/>
            <w:vAlign w:val="bottom"/>
            <w:tcBorders>
              <w:right w:val="single" w:sz="8" w:color="D8D8D8"/>
            </w:tcBorders>
            <w:shd w:val="clear" w:color="auto" w:fill="D8D8D8"/>
          </w:tcPr>
          <w:p>
            <w:pPr>
              <w:spacing w:after="0"/>
              <w:rPr>
                <w:sz w:val="14"/>
                <w:szCs w:val="14"/>
                <w:color w:val="auto"/>
              </w:rPr>
            </w:pPr>
          </w:p>
        </w:tc>
        <w:tc>
          <w:tcPr>
            <w:tcW w:w="1040" w:type="dxa"/>
            <w:vAlign w:val="bottom"/>
          </w:tcPr>
          <w:p>
            <w:pPr>
              <w:jc w:val="right"/>
              <w:ind w:right="369"/>
              <w:spacing w:after="0"/>
              <w:rPr>
                <w:sz w:val="20"/>
                <w:szCs w:val="20"/>
                <w:color w:val="auto"/>
              </w:rPr>
            </w:pPr>
            <w:r>
              <w:rPr>
                <w:rFonts w:ascii="Arial" w:cs="Arial" w:eastAsia="Arial" w:hAnsi="Arial"/>
                <w:sz w:val="14"/>
                <w:szCs w:val="14"/>
                <w:color w:val="auto"/>
              </w:rPr>
              <w:t>7</w:t>
            </w:r>
          </w:p>
        </w:tc>
        <w:tc>
          <w:tcPr>
            <w:tcW w:w="1560" w:type="dxa"/>
            <w:vAlign w:val="bottom"/>
          </w:tcPr>
          <w:p>
            <w:pPr>
              <w:jc w:val="right"/>
              <w:ind w:right="368"/>
              <w:spacing w:after="0"/>
              <w:rPr>
                <w:sz w:val="20"/>
                <w:szCs w:val="20"/>
                <w:color w:val="auto"/>
              </w:rPr>
            </w:pPr>
            <w:r>
              <w:rPr>
                <w:rFonts w:ascii="Arial" w:cs="Arial" w:eastAsia="Arial" w:hAnsi="Arial"/>
                <w:sz w:val="14"/>
                <w:szCs w:val="14"/>
                <w:color w:val="auto"/>
              </w:rPr>
              <w:t>2</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1940" w:type="dxa"/>
            <w:vAlign w:val="bottom"/>
            <w:tcBorders>
              <w:bottom w:val="single" w:sz="8" w:color="auto"/>
            </w:tcBorders>
            <w:gridSpan w:val="2"/>
          </w:tcPr>
          <w:p>
            <w:pPr>
              <w:spacing w:after="0" w:line="157" w:lineRule="exact"/>
              <w:rPr>
                <w:sz w:val="20"/>
                <w:szCs w:val="20"/>
                <w:color w:val="auto"/>
              </w:rPr>
            </w:pPr>
            <w:r>
              <w:rPr>
                <w:rFonts w:ascii="Arial" w:cs="Arial" w:eastAsia="Arial" w:hAnsi="Arial"/>
                <w:sz w:val="14"/>
                <w:szCs w:val="14"/>
                <w:color w:val="auto"/>
              </w:rPr>
              <w:t>Share-based compensation</w:t>
            </w:r>
          </w:p>
        </w:tc>
        <w:tc>
          <w:tcPr>
            <w:tcW w:w="364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spacing w:after="0"/>
              <w:rPr>
                <w:sz w:val="13"/>
                <w:szCs w:val="13"/>
                <w:color w:val="auto"/>
              </w:rPr>
            </w:pPr>
          </w:p>
        </w:tc>
        <w:tc>
          <w:tcPr>
            <w:tcW w:w="500" w:type="dxa"/>
            <w:vAlign w:val="bottom"/>
            <w:tcBorders>
              <w:bottom w:val="single" w:sz="8" w:color="auto"/>
              <w:right w:val="single" w:sz="8" w:color="D8D8D8"/>
            </w:tcBorders>
            <w:shd w:val="clear" w:color="auto" w:fill="D8D8D8"/>
          </w:tcPr>
          <w:p>
            <w:pPr>
              <w:spacing w:after="0"/>
              <w:rPr>
                <w:sz w:val="13"/>
                <w:szCs w:val="13"/>
                <w:color w:val="auto"/>
              </w:rPr>
            </w:pPr>
          </w:p>
        </w:tc>
        <w:tc>
          <w:tcPr>
            <w:tcW w:w="1040" w:type="dxa"/>
            <w:vAlign w:val="bottom"/>
            <w:tcBorders>
              <w:bottom w:val="single" w:sz="8" w:color="auto"/>
            </w:tcBorders>
          </w:tcPr>
          <w:p>
            <w:pPr>
              <w:jc w:val="right"/>
              <w:ind w:right="369"/>
              <w:spacing w:after="0" w:line="157" w:lineRule="exact"/>
              <w:rPr>
                <w:sz w:val="20"/>
                <w:szCs w:val="20"/>
                <w:color w:val="auto"/>
              </w:rPr>
            </w:pPr>
            <w:r>
              <w:rPr>
                <w:rFonts w:ascii="Arial" w:cs="Arial" w:eastAsia="Arial" w:hAnsi="Arial"/>
                <w:sz w:val="14"/>
                <w:szCs w:val="14"/>
                <w:color w:val="auto"/>
              </w:rPr>
              <w:t>402</w:t>
            </w:r>
          </w:p>
        </w:tc>
        <w:tc>
          <w:tcPr>
            <w:tcW w:w="1560" w:type="dxa"/>
            <w:vAlign w:val="bottom"/>
            <w:tcBorders>
              <w:bottom w:val="single" w:sz="8" w:color="auto"/>
            </w:tcBorders>
          </w:tcPr>
          <w:p>
            <w:pPr>
              <w:jc w:val="right"/>
              <w:ind w:right="368"/>
              <w:spacing w:after="0" w:line="157" w:lineRule="exact"/>
              <w:rPr>
                <w:sz w:val="20"/>
                <w:szCs w:val="20"/>
                <w:color w:val="auto"/>
              </w:rPr>
            </w:pPr>
            <w:r>
              <w:rPr>
                <w:rFonts w:ascii="Arial" w:cs="Arial" w:eastAsia="Arial" w:hAnsi="Arial"/>
                <w:sz w:val="14"/>
                <w:szCs w:val="14"/>
                <w:color w:val="auto"/>
              </w:rPr>
              <w:t>517</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6300" w:type="dxa"/>
            <w:vAlign w:val="bottom"/>
            <w:tcBorders>
              <w:bottom w:val="single" w:sz="8" w:color="auto"/>
            </w:tcBorders>
            <w:gridSpan w:val="4"/>
          </w:tcPr>
          <w:p>
            <w:pPr>
              <w:spacing w:after="0" w:line="155" w:lineRule="exact"/>
              <w:rPr>
                <w:sz w:val="20"/>
                <w:szCs w:val="20"/>
                <w:color w:val="auto"/>
              </w:rPr>
            </w:pPr>
            <w:r>
              <w:rPr>
                <w:rFonts w:ascii="Arial" w:cs="Arial" w:eastAsia="Arial" w:hAnsi="Arial"/>
                <w:sz w:val="14"/>
                <w:szCs w:val="14"/>
                <w:color w:val="auto"/>
              </w:rPr>
              <w:t>Net cash from investing activities</w:t>
            </w:r>
          </w:p>
        </w:tc>
        <w:tc>
          <w:tcPr>
            <w:tcW w:w="98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spacing w:after="0"/>
              <w:rPr>
                <w:sz w:val="13"/>
                <w:szCs w:val="13"/>
                <w:color w:val="auto"/>
              </w:rPr>
            </w:pPr>
          </w:p>
        </w:tc>
        <w:tc>
          <w:tcPr>
            <w:tcW w:w="500" w:type="dxa"/>
            <w:vAlign w:val="bottom"/>
            <w:tcBorders>
              <w:bottom w:val="single" w:sz="8" w:color="auto"/>
              <w:right w:val="single" w:sz="8" w:color="D8D8D8"/>
            </w:tcBorders>
            <w:shd w:val="clear" w:color="auto" w:fill="D8D8D8"/>
          </w:tcPr>
          <w:p>
            <w:pPr>
              <w:spacing w:after="0"/>
              <w:rPr>
                <w:sz w:val="13"/>
                <w:szCs w:val="13"/>
                <w:color w:val="auto"/>
              </w:rPr>
            </w:pPr>
          </w:p>
        </w:tc>
        <w:tc>
          <w:tcPr>
            <w:tcW w:w="1040" w:type="dxa"/>
            <w:vAlign w:val="bottom"/>
            <w:tcBorders>
              <w:bottom w:val="single" w:sz="8" w:color="auto"/>
            </w:tcBorders>
          </w:tcPr>
          <w:p>
            <w:pPr>
              <w:jc w:val="right"/>
              <w:ind w:right="369"/>
              <w:spacing w:after="0" w:line="155" w:lineRule="exact"/>
              <w:rPr>
                <w:sz w:val="20"/>
                <w:szCs w:val="20"/>
                <w:color w:val="auto"/>
              </w:rPr>
            </w:pPr>
            <w:r>
              <w:rPr>
                <w:rFonts w:ascii="Arial" w:cs="Arial" w:eastAsia="Arial" w:hAnsi="Arial"/>
                <w:sz w:val="14"/>
                <w:szCs w:val="14"/>
                <w:color w:val="auto"/>
              </w:rPr>
              <w:t>18,440</w:t>
            </w:r>
          </w:p>
        </w:tc>
        <w:tc>
          <w:tcPr>
            <w:tcW w:w="1560" w:type="dxa"/>
            <w:vAlign w:val="bottom"/>
            <w:tcBorders>
              <w:bottom w:val="single" w:sz="8" w:color="auto"/>
            </w:tcBorders>
          </w:tcPr>
          <w:p>
            <w:pPr>
              <w:jc w:val="right"/>
              <w:ind w:right="368"/>
              <w:spacing w:after="0" w:line="155" w:lineRule="exact"/>
              <w:rPr>
                <w:sz w:val="20"/>
                <w:szCs w:val="20"/>
                <w:color w:val="auto"/>
              </w:rPr>
            </w:pPr>
            <w:r>
              <w:rPr>
                <w:rFonts w:ascii="Arial" w:cs="Arial" w:eastAsia="Arial" w:hAnsi="Arial"/>
                <w:sz w:val="14"/>
                <w:szCs w:val="14"/>
                <w:color w:val="auto"/>
              </w:rPr>
              <w:t>14,212</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6300" w:type="dxa"/>
            <w:vAlign w:val="bottom"/>
            <w:gridSpan w:val="4"/>
          </w:tcPr>
          <w:p>
            <w:pPr>
              <w:spacing w:after="0"/>
              <w:rPr>
                <w:sz w:val="20"/>
                <w:szCs w:val="20"/>
                <w:color w:val="auto"/>
              </w:rPr>
            </w:pPr>
            <w:r>
              <w:rPr>
                <w:rFonts w:ascii="Arial" w:cs="Arial" w:eastAsia="Arial" w:hAnsi="Arial"/>
                <w:sz w:val="14"/>
                <w:szCs w:val="14"/>
                <w:b w:val="1"/>
                <w:bCs w:val="1"/>
                <w:color w:val="auto"/>
              </w:rPr>
              <w:t>Cash flow from financing activities</w:t>
            </w:r>
          </w:p>
        </w:tc>
        <w:tc>
          <w:tcPr>
            <w:tcW w:w="9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500" w:type="dxa"/>
            <w:vAlign w:val="bottom"/>
            <w:tcBorders>
              <w:right w:val="single" w:sz="8" w:color="D8D8D8"/>
            </w:tcBorders>
            <w:shd w:val="clear" w:color="auto" w:fill="D8D8D8"/>
          </w:tcPr>
          <w:p>
            <w:pPr>
              <w:spacing w:after="0"/>
              <w:rPr>
                <w:sz w:val="13"/>
                <w:szCs w:val="13"/>
                <w:color w:val="auto"/>
              </w:rPr>
            </w:pPr>
          </w:p>
        </w:tc>
        <w:tc>
          <w:tcPr>
            <w:tcW w:w="104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1940" w:type="dxa"/>
            <w:vAlign w:val="bottom"/>
            <w:gridSpan w:val="2"/>
          </w:tcPr>
          <w:p>
            <w:pPr>
              <w:spacing w:after="0"/>
              <w:rPr>
                <w:sz w:val="20"/>
                <w:szCs w:val="20"/>
                <w:color w:val="auto"/>
              </w:rPr>
            </w:pPr>
            <w:r>
              <w:rPr>
                <w:rFonts w:ascii="Arial" w:cs="Arial" w:eastAsia="Arial" w:hAnsi="Arial"/>
                <w:sz w:val="14"/>
                <w:szCs w:val="14"/>
                <w:color w:val="auto"/>
              </w:rPr>
              <w:t>Cash dividends paid</w:t>
            </w:r>
          </w:p>
        </w:tc>
        <w:tc>
          <w:tcPr>
            <w:tcW w:w="36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40" w:type="dxa"/>
            <w:vAlign w:val="bottom"/>
          </w:tcPr>
          <w:p>
            <w:pPr>
              <w:jc w:val="right"/>
              <w:ind w:right="369"/>
              <w:spacing w:after="0"/>
              <w:rPr>
                <w:sz w:val="20"/>
                <w:szCs w:val="20"/>
                <w:color w:val="auto"/>
              </w:rPr>
            </w:pPr>
            <w:r>
              <w:rPr>
                <w:rFonts w:ascii="Arial" w:cs="Arial" w:eastAsia="Arial" w:hAnsi="Arial"/>
                <w:sz w:val="14"/>
                <w:szCs w:val="14"/>
                <w:color w:val="auto"/>
              </w:rPr>
              <w:t>12</w:t>
            </w:r>
          </w:p>
        </w:tc>
        <w:tc>
          <w:tcPr>
            <w:tcW w:w="500" w:type="dxa"/>
            <w:vAlign w:val="bottom"/>
            <w:tcBorders>
              <w:right w:val="single" w:sz="8" w:color="D8D8D8"/>
            </w:tcBorders>
            <w:shd w:val="clear" w:color="auto" w:fill="D8D8D8"/>
          </w:tcPr>
          <w:p>
            <w:pPr>
              <w:spacing w:after="0"/>
              <w:rPr>
                <w:sz w:val="14"/>
                <w:szCs w:val="14"/>
                <w:color w:val="auto"/>
              </w:rPr>
            </w:pPr>
          </w:p>
        </w:tc>
        <w:tc>
          <w:tcPr>
            <w:tcW w:w="1040" w:type="dxa"/>
            <w:vAlign w:val="bottom"/>
          </w:tcPr>
          <w:p>
            <w:pPr>
              <w:jc w:val="right"/>
              <w:ind w:right="329"/>
              <w:spacing w:after="0"/>
              <w:rPr>
                <w:sz w:val="20"/>
                <w:szCs w:val="20"/>
                <w:color w:val="auto"/>
              </w:rPr>
            </w:pPr>
            <w:r>
              <w:rPr>
                <w:rFonts w:ascii="Arial" w:cs="Arial" w:eastAsia="Arial" w:hAnsi="Arial"/>
                <w:sz w:val="14"/>
                <w:szCs w:val="14"/>
                <w:color w:val="auto"/>
              </w:rPr>
              <w:t>(9,444)</w:t>
            </w:r>
          </w:p>
        </w:tc>
        <w:tc>
          <w:tcPr>
            <w:tcW w:w="1560" w:type="dxa"/>
            <w:vAlign w:val="bottom"/>
          </w:tcPr>
          <w:p>
            <w:pPr>
              <w:jc w:val="right"/>
              <w:ind w:right="328"/>
              <w:spacing w:after="0"/>
              <w:rPr>
                <w:sz w:val="20"/>
                <w:szCs w:val="20"/>
                <w:color w:val="auto"/>
              </w:rPr>
            </w:pPr>
            <w:r>
              <w:rPr>
                <w:rFonts w:ascii="Arial" w:cs="Arial" w:eastAsia="Arial" w:hAnsi="Arial"/>
                <w:sz w:val="14"/>
                <w:szCs w:val="14"/>
                <w:color w:val="auto"/>
              </w:rPr>
              <w:t>(7,198)</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940" w:type="dxa"/>
            <w:vAlign w:val="bottom"/>
            <w:gridSpan w:val="2"/>
          </w:tcPr>
          <w:p>
            <w:pPr>
              <w:spacing w:after="0"/>
              <w:rPr>
                <w:sz w:val="20"/>
                <w:szCs w:val="20"/>
                <w:color w:val="auto"/>
              </w:rPr>
            </w:pPr>
            <w:r>
              <w:rPr>
                <w:rFonts w:ascii="Arial" w:cs="Arial" w:eastAsia="Arial" w:hAnsi="Arial"/>
                <w:sz w:val="14"/>
                <w:szCs w:val="14"/>
                <w:color w:val="auto"/>
              </w:rPr>
              <w:t>Repurchases of shares</w:t>
            </w:r>
          </w:p>
        </w:tc>
        <w:tc>
          <w:tcPr>
            <w:tcW w:w="36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500" w:type="dxa"/>
            <w:vAlign w:val="bottom"/>
            <w:tcBorders>
              <w:right w:val="single" w:sz="8" w:color="D8D8D8"/>
            </w:tcBorders>
            <w:shd w:val="clear" w:color="auto" w:fill="D8D8D8"/>
          </w:tcPr>
          <w:p>
            <w:pPr>
              <w:spacing w:after="0"/>
              <w:rPr>
                <w:sz w:val="14"/>
                <w:szCs w:val="14"/>
                <w:color w:val="auto"/>
              </w:rPr>
            </w:pPr>
          </w:p>
        </w:tc>
        <w:tc>
          <w:tcPr>
            <w:tcW w:w="1040" w:type="dxa"/>
            <w:vAlign w:val="bottom"/>
          </w:tcPr>
          <w:p>
            <w:pPr>
              <w:jc w:val="right"/>
              <w:ind w:right="329"/>
              <w:spacing w:after="0"/>
              <w:rPr>
                <w:sz w:val="20"/>
                <w:szCs w:val="20"/>
                <w:color w:val="auto"/>
              </w:rPr>
            </w:pPr>
            <w:r>
              <w:rPr>
                <w:rFonts w:ascii="Arial" w:cs="Arial" w:eastAsia="Arial" w:hAnsi="Arial"/>
                <w:sz w:val="14"/>
                <w:szCs w:val="14"/>
                <w:color w:val="auto"/>
              </w:rPr>
              <w:t>(3,328)</w:t>
            </w:r>
          </w:p>
        </w:tc>
        <w:tc>
          <w:tcPr>
            <w:tcW w:w="1560" w:type="dxa"/>
            <w:vAlign w:val="bottom"/>
          </w:tcPr>
          <w:p>
            <w:pPr>
              <w:jc w:val="right"/>
              <w:ind w:right="328"/>
              <w:spacing w:after="0"/>
              <w:rPr>
                <w:sz w:val="20"/>
                <w:szCs w:val="20"/>
                <w:color w:val="auto"/>
              </w:rPr>
            </w:pPr>
            <w:r>
              <w:rPr>
                <w:rFonts w:ascii="Arial" w:cs="Arial" w:eastAsia="Arial" w:hAnsi="Arial"/>
                <w:sz w:val="14"/>
                <w:szCs w:val="14"/>
                <w:color w:val="auto"/>
              </w:rPr>
              <w:t>(5,000)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1940" w:type="dxa"/>
            <w:vAlign w:val="bottom"/>
            <w:tcBorders>
              <w:bottom w:val="single" w:sz="8" w:color="auto"/>
            </w:tcBorders>
            <w:gridSpan w:val="2"/>
          </w:tcPr>
          <w:p>
            <w:pPr>
              <w:spacing w:after="0" w:line="157" w:lineRule="exact"/>
              <w:rPr>
                <w:sz w:val="20"/>
                <w:szCs w:val="20"/>
                <w:color w:val="auto"/>
              </w:rPr>
            </w:pPr>
            <w:r>
              <w:rPr>
                <w:rFonts w:ascii="Arial" w:cs="Arial" w:eastAsia="Arial" w:hAnsi="Arial"/>
                <w:sz w:val="14"/>
                <w:szCs w:val="14"/>
                <w:color w:val="auto"/>
              </w:rPr>
              <w:t>Interest paid</w:t>
            </w:r>
          </w:p>
        </w:tc>
        <w:tc>
          <w:tcPr>
            <w:tcW w:w="364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spacing w:after="0"/>
              <w:rPr>
                <w:sz w:val="13"/>
                <w:szCs w:val="13"/>
                <w:color w:val="auto"/>
              </w:rPr>
            </w:pPr>
          </w:p>
        </w:tc>
        <w:tc>
          <w:tcPr>
            <w:tcW w:w="500" w:type="dxa"/>
            <w:vAlign w:val="bottom"/>
            <w:tcBorders>
              <w:bottom w:val="single" w:sz="8" w:color="auto"/>
              <w:right w:val="single" w:sz="8" w:color="D8D8D8"/>
            </w:tcBorders>
            <w:shd w:val="clear" w:color="auto" w:fill="D8D8D8"/>
          </w:tcPr>
          <w:p>
            <w:pPr>
              <w:spacing w:after="0"/>
              <w:rPr>
                <w:sz w:val="13"/>
                <w:szCs w:val="13"/>
                <w:color w:val="auto"/>
              </w:rPr>
            </w:pPr>
          </w:p>
        </w:tc>
        <w:tc>
          <w:tcPr>
            <w:tcW w:w="1040" w:type="dxa"/>
            <w:vAlign w:val="bottom"/>
            <w:tcBorders>
              <w:bottom w:val="single" w:sz="8" w:color="auto"/>
            </w:tcBorders>
          </w:tcPr>
          <w:p>
            <w:pPr>
              <w:jc w:val="right"/>
              <w:ind w:right="329"/>
              <w:spacing w:after="0" w:line="157" w:lineRule="exact"/>
              <w:rPr>
                <w:sz w:val="20"/>
                <w:szCs w:val="20"/>
                <w:color w:val="auto"/>
              </w:rPr>
            </w:pPr>
            <w:r>
              <w:rPr>
                <w:rFonts w:ascii="Arial" w:cs="Arial" w:eastAsia="Arial" w:hAnsi="Arial"/>
                <w:sz w:val="14"/>
                <w:szCs w:val="14"/>
                <w:color w:val="auto"/>
              </w:rPr>
              <w:t>(14)</w:t>
            </w:r>
          </w:p>
        </w:tc>
        <w:tc>
          <w:tcPr>
            <w:tcW w:w="1560" w:type="dxa"/>
            <w:vAlign w:val="bottom"/>
            <w:tcBorders>
              <w:bottom w:val="single" w:sz="8" w:color="auto"/>
            </w:tcBorders>
          </w:tcPr>
          <w:p>
            <w:pPr>
              <w:jc w:val="right"/>
              <w:ind w:right="328"/>
              <w:spacing w:after="0" w:line="157" w:lineRule="exact"/>
              <w:rPr>
                <w:sz w:val="20"/>
                <w:szCs w:val="20"/>
                <w:color w:val="auto"/>
              </w:rPr>
            </w:pPr>
            <w:r>
              <w:rPr>
                <w:rFonts w:ascii="Arial" w:cs="Arial" w:eastAsia="Arial" w:hAnsi="Arial"/>
                <w:sz w:val="14"/>
                <w:szCs w:val="14"/>
                <w:color w:val="auto"/>
              </w:rPr>
              <w:t>(19)</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6300" w:type="dxa"/>
            <w:vAlign w:val="bottom"/>
            <w:tcBorders>
              <w:bottom w:val="single" w:sz="8" w:color="auto"/>
            </w:tcBorders>
            <w:gridSpan w:val="4"/>
          </w:tcPr>
          <w:p>
            <w:pPr>
              <w:spacing w:after="0" w:line="155" w:lineRule="exact"/>
              <w:rPr>
                <w:sz w:val="20"/>
                <w:szCs w:val="20"/>
                <w:color w:val="auto"/>
              </w:rPr>
            </w:pPr>
            <w:r>
              <w:rPr>
                <w:rFonts w:ascii="Arial" w:cs="Arial" w:eastAsia="Arial" w:hAnsi="Arial"/>
                <w:sz w:val="14"/>
                <w:szCs w:val="14"/>
                <w:color w:val="auto"/>
              </w:rPr>
              <w:t>Net cash used in financing activities</w:t>
            </w:r>
          </w:p>
        </w:tc>
        <w:tc>
          <w:tcPr>
            <w:tcW w:w="98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spacing w:after="0"/>
              <w:rPr>
                <w:sz w:val="13"/>
                <w:szCs w:val="13"/>
                <w:color w:val="auto"/>
              </w:rPr>
            </w:pPr>
          </w:p>
        </w:tc>
        <w:tc>
          <w:tcPr>
            <w:tcW w:w="500" w:type="dxa"/>
            <w:vAlign w:val="bottom"/>
            <w:tcBorders>
              <w:bottom w:val="single" w:sz="8" w:color="auto"/>
              <w:right w:val="single" w:sz="8" w:color="D8D8D8"/>
            </w:tcBorders>
            <w:shd w:val="clear" w:color="auto" w:fill="D8D8D8"/>
          </w:tcPr>
          <w:p>
            <w:pPr>
              <w:spacing w:after="0"/>
              <w:rPr>
                <w:sz w:val="13"/>
                <w:szCs w:val="13"/>
                <w:color w:val="auto"/>
              </w:rPr>
            </w:pPr>
          </w:p>
        </w:tc>
        <w:tc>
          <w:tcPr>
            <w:tcW w:w="1040" w:type="dxa"/>
            <w:vAlign w:val="bottom"/>
            <w:tcBorders>
              <w:bottom w:val="single" w:sz="8" w:color="auto"/>
            </w:tcBorders>
          </w:tcPr>
          <w:p>
            <w:pPr>
              <w:jc w:val="right"/>
              <w:ind w:right="329"/>
              <w:spacing w:after="0" w:line="155" w:lineRule="exact"/>
              <w:rPr>
                <w:sz w:val="20"/>
                <w:szCs w:val="20"/>
                <w:color w:val="auto"/>
              </w:rPr>
            </w:pPr>
            <w:r>
              <w:rPr>
                <w:rFonts w:ascii="Arial" w:cs="Arial" w:eastAsia="Arial" w:hAnsi="Arial"/>
                <w:sz w:val="14"/>
                <w:szCs w:val="14"/>
                <w:color w:val="auto"/>
              </w:rPr>
              <w:t>(12,786)</w:t>
            </w:r>
          </w:p>
        </w:tc>
        <w:tc>
          <w:tcPr>
            <w:tcW w:w="1560" w:type="dxa"/>
            <w:vAlign w:val="bottom"/>
            <w:tcBorders>
              <w:bottom w:val="single" w:sz="8" w:color="auto"/>
            </w:tcBorders>
          </w:tcPr>
          <w:p>
            <w:pPr>
              <w:jc w:val="right"/>
              <w:ind w:right="328"/>
              <w:spacing w:after="0" w:line="155" w:lineRule="exact"/>
              <w:rPr>
                <w:sz w:val="20"/>
                <w:szCs w:val="20"/>
                <w:color w:val="auto"/>
              </w:rPr>
            </w:pPr>
            <w:r>
              <w:rPr>
                <w:rFonts w:ascii="Arial" w:cs="Arial" w:eastAsia="Arial" w:hAnsi="Arial"/>
                <w:sz w:val="14"/>
                <w:szCs w:val="14"/>
                <w:color w:val="auto"/>
              </w:rPr>
              <w:t>(12,217)</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6300" w:type="dxa"/>
            <w:vAlign w:val="bottom"/>
            <w:gridSpan w:val="4"/>
          </w:tcPr>
          <w:p>
            <w:pPr>
              <w:spacing w:after="0"/>
              <w:rPr>
                <w:sz w:val="20"/>
                <w:szCs w:val="20"/>
                <w:color w:val="auto"/>
              </w:rPr>
            </w:pPr>
            <w:r>
              <w:rPr>
                <w:rFonts w:ascii="Arial" w:cs="Arial" w:eastAsia="Arial" w:hAnsi="Arial"/>
                <w:sz w:val="14"/>
                <w:szCs w:val="14"/>
                <w:color w:val="auto"/>
              </w:rPr>
              <w:t>(Decrease)/increase in cash and cash equivalents</w:t>
            </w:r>
          </w:p>
        </w:tc>
        <w:tc>
          <w:tcPr>
            <w:tcW w:w="9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500" w:type="dxa"/>
            <w:vAlign w:val="bottom"/>
            <w:tcBorders>
              <w:right w:val="single" w:sz="8" w:color="D8D8D8"/>
            </w:tcBorders>
            <w:shd w:val="clear" w:color="auto" w:fill="D8D8D8"/>
          </w:tcPr>
          <w:p>
            <w:pPr>
              <w:spacing w:after="0"/>
              <w:rPr>
                <w:sz w:val="13"/>
                <w:szCs w:val="13"/>
                <w:color w:val="auto"/>
              </w:rPr>
            </w:pPr>
          </w:p>
        </w:tc>
        <w:tc>
          <w:tcPr>
            <w:tcW w:w="1040" w:type="dxa"/>
            <w:vAlign w:val="bottom"/>
          </w:tcPr>
          <w:p>
            <w:pPr>
              <w:jc w:val="right"/>
              <w:ind w:right="329"/>
              <w:spacing w:after="0"/>
              <w:rPr>
                <w:sz w:val="20"/>
                <w:szCs w:val="20"/>
                <w:color w:val="auto"/>
              </w:rPr>
            </w:pPr>
            <w:r>
              <w:rPr>
                <w:rFonts w:ascii="Arial" w:cs="Arial" w:eastAsia="Arial" w:hAnsi="Arial"/>
                <w:sz w:val="14"/>
                <w:szCs w:val="14"/>
                <w:color w:val="auto"/>
              </w:rPr>
              <w:t>(47)</w:t>
            </w:r>
          </w:p>
        </w:tc>
        <w:tc>
          <w:tcPr>
            <w:tcW w:w="1560" w:type="dxa"/>
            <w:vAlign w:val="bottom"/>
          </w:tcPr>
          <w:p>
            <w:pPr>
              <w:jc w:val="right"/>
              <w:ind w:right="368"/>
              <w:spacing w:after="0"/>
              <w:rPr>
                <w:sz w:val="20"/>
                <w:szCs w:val="20"/>
                <w:color w:val="auto"/>
              </w:rPr>
            </w:pPr>
            <w:r>
              <w:rPr>
                <w:rFonts w:ascii="Arial" w:cs="Arial" w:eastAsia="Arial" w:hAnsi="Arial"/>
                <w:sz w:val="14"/>
                <w:szCs w:val="14"/>
                <w:color w:val="auto"/>
              </w:rPr>
              <w:t>95</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300" w:type="dxa"/>
            <w:vAlign w:val="bottom"/>
            <w:tcBorders>
              <w:bottom w:val="single" w:sz="8" w:color="auto"/>
            </w:tcBorders>
            <w:gridSpan w:val="4"/>
          </w:tcPr>
          <w:p>
            <w:pPr>
              <w:spacing w:after="0" w:line="157" w:lineRule="exact"/>
              <w:rPr>
                <w:sz w:val="20"/>
                <w:szCs w:val="20"/>
                <w:color w:val="auto"/>
              </w:rPr>
            </w:pPr>
            <w:r>
              <w:rPr>
                <w:rFonts w:ascii="Arial" w:cs="Arial" w:eastAsia="Arial" w:hAnsi="Arial"/>
                <w:sz w:val="14"/>
                <w:szCs w:val="14"/>
                <w:color w:val="auto"/>
              </w:rPr>
              <w:t>Cash and cash equivalents at January 1</w:t>
            </w:r>
          </w:p>
        </w:tc>
        <w:tc>
          <w:tcPr>
            <w:tcW w:w="98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spacing w:after="0"/>
              <w:rPr>
                <w:sz w:val="13"/>
                <w:szCs w:val="13"/>
                <w:color w:val="auto"/>
              </w:rPr>
            </w:pPr>
          </w:p>
        </w:tc>
        <w:tc>
          <w:tcPr>
            <w:tcW w:w="500" w:type="dxa"/>
            <w:vAlign w:val="bottom"/>
            <w:tcBorders>
              <w:bottom w:val="single" w:sz="8" w:color="auto"/>
              <w:right w:val="single" w:sz="8" w:color="D8D8D8"/>
            </w:tcBorders>
            <w:shd w:val="clear" w:color="auto" w:fill="D8D8D8"/>
          </w:tcPr>
          <w:p>
            <w:pPr>
              <w:spacing w:after="0"/>
              <w:rPr>
                <w:sz w:val="13"/>
                <w:szCs w:val="13"/>
                <w:color w:val="auto"/>
              </w:rPr>
            </w:pPr>
          </w:p>
        </w:tc>
        <w:tc>
          <w:tcPr>
            <w:tcW w:w="1040" w:type="dxa"/>
            <w:vAlign w:val="bottom"/>
            <w:tcBorders>
              <w:bottom w:val="single" w:sz="8" w:color="auto"/>
            </w:tcBorders>
          </w:tcPr>
          <w:p>
            <w:pPr>
              <w:jc w:val="right"/>
              <w:ind w:right="369"/>
              <w:spacing w:after="0" w:line="157" w:lineRule="exact"/>
              <w:rPr>
                <w:sz w:val="20"/>
                <w:szCs w:val="20"/>
                <w:color w:val="auto"/>
              </w:rPr>
            </w:pPr>
            <w:r>
              <w:rPr>
                <w:rFonts w:ascii="Arial" w:cs="Arial" w:eastAsia="Arial" w:hAnsi="Arial"/>
                <w:sz w:val="14"/>
                <w:szCs w:val="14"/>
                <w:color w:val="auto"/>
              </w:rPr>
              <w:t>215</w:t>
            </w:r>
          </w:p>
        </w:tc>
        <w:tc>
          <w:tcPr>
            <w:tcW w:w="1560" w:type="dxa"/>
            <w:vAlign w:val="bottom"/>
            <w:tcBorders>
              <w:bottom w:val="single" w:sz="8" w:color="auto"/>
            </w:tcBorders>
          </w:tcPr>
          <w:p>
            <w:pPr>
              <w:jc w:val="right"/>
              <w:ind w:right="368"/>
              <w:spacing w:after="0" w:line="157" w:lineRule="exact"/>
              <w:rPr>
                <w:sz w:val="20"/>
                <w:szCs w:val="20"/>
                <w:color w:val="auto"/>
              </w:rPr>
            </w:pPr>
            <w:r>
              <w:rPr>
                <w:rFonts w:ascii="Arial" w:cs="Arial" w:eastAsia="Arial" w:hAnsi="Arial"/>
                <w:sz w:val="14"/>
                <w:szCs w:val="14"/>
                <w:color w:val="auto"/>
              </w:rPr>
              <w:t>120</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6300" w:type="dxa"/>
            <w:vAlign w:val="bottom"/>
            <w:gridSpan w:val="4"/>
          </w:tcPr>
          <w:p>
            <w:pPr>
              <w:spacing w:after="0" w:line="155" w:lineRule="exact"/>
              <w:rPr>
                <w:sz w:val="20"/>
                <w:szCs w:val="20"/>
                <w:color w:val="auto"/>
              </w:rPr>
            </w:pPr>
            <w:r>
              <w:rPr>
                <w:rFonts w:ascii="Arial" w:cs="Arial" w:eastAsia="Arial" w:hAnsi="Arial"/>
                <w:sz w:val="14"/>
                <w:szCs w:val="14"/>
                <w:color w:val="auto"/>
              </w:rPr>
              <w:t>Cash and cash equivalents at December 31</w:t>
            </w:r>
          </w:p>
        </w:tc>
        <w:tc>
          <w:tcPr>
            <w:tcW w:w="980" w:type="dxa"/>
            <w:vAlign w:val="bottom"/>
          </w:tcPr>
          <w:p>
            <w:pPr>
              <w:spacing w:after="0"/>
              <w:rPr>
                <w:sz w:val="13"/>
                <w:szCs w:val="13"/>
                <w:color w:val="auto"/>
              </w:rPr>
            </w:pPr>
          </w:p>
        </w:tc>
        <w:tc>
          <w:tcPr>
            <w:tcW w:w="1040" w:type="dxa"/>
            <w:vAlign w:val="bottom"/>
          </w:tcPr>
          <w:p>
            <w:pPr>
              <w:jc w:val="right"/>
              <w:ind w:right="369"/>
              <w:spacing w:after="0" w:line="155" w:lineRule="exact"/>
              <w:rPr>
                <w:sz w:val="20"/>
                <w:szCs w:val="20"/>
                <w:color w:val="auto"/>
              </w:rPr>
            </w:pPr>
            <w:r>
              <w:rPr>
                <w:rFonts w:ascii="Arial" w:cs="Arial" w:eastAsia="Arial" w:hAnsi="Arial"/>
                <w:sz w:val="14"/>
                <w:szCs w:val="14"/>
                <w:color w:val="auto"/>
              </w:rPr>
              <w:t>6</w:t>
            </w:r>
          </w:p>
        </w:tc>
        <w:tc>
          <w:tcPr>
            <w:tcW w:w="500" w:type="dxa"/>
            <w:vAlign w:val="bottom"/>
            <w:tcBorders>
              <w:right w:val="single" w:sz="8" w:color="D8D8D8"/>
            </w:tcBorders>
            <w:shd w:val="clear" w:color="auto" w:fill="D8D8D8"/>
          </w:tcPr>
          <w:p>
            <w:pPr>
              <w:spacing w:after="0"/>
              <w:rPr>
                <w:sz w:val="13"/>
                <w:szCs w:val="13"/>
                <w:color w:val="auto"/>
              </w:rPr>
            </w:pPr>
          </w:p>
        </w:tc>
        <w:tc>
          <w:tcPr>
            <w:tcW w:w="1040" w:type="dxa"/>
            <w:vAlign w:val="bottom"/>
          </w:tcPr>
          <w:p>
            <w:pPr>
              <w:jc w:val="right"/>
              <w:ind w:right="369"/>
              <w:spacing w:after="0" w:line="155" w:lineRule="exact"/>
              <w:rPr>
                <w:sz w:val="20"/>
                <w:szCs w:val="20"/>
                <w:color w:val="auto"/>
              </w:rPr>
            </w:pPr>
            <w:r>
              <w:rPr>
                <w:rFonts w:ascii="Arial" w:cs="Arial" w:eastAsia="Arial" w:hAnsi="Arial"/>
                <w:sz w:val="14"/>
                <w:szCs w:val="14"/>
                <w:color w:val="auto"/>
              </w:rPr>
              <w:t>168</w:t>
            </w:r>
          </w:p>
        </w:tc>
        <w:tc>
          <w:tcPr>
            <w:tcW w:w="1560" w:type="dxa"/>
            <w:vAlign w:val="bottom"/>
          </w:tcPr>
          <w:p>
            <w:pPr>
              <w:jc w:val="right"/>
              <w:ind w:right="368"/>
              <w:spacing w:after="0" w:line="155" w:lineRule="exact"/>
              <w:rPr>
                <w:sz w:val="20"/>
                <w:szCs w:val="20"/>
                <w:color w:val="auto"/>
              </w:rPr>
            </w:pPr>
            <w:r>
              <w:rPr>
                <w:rFonts w:ascii="Arial" w:cs="Arial" w:eastAsia="Arial" w:hAnsi="Arial"/>
                <w:sz w:val="14"/>
                <w:szCs w:val="14"/>
                <w:color w:val="auto"/>
              </w:rPr>
              <w:t>215</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920" w:type="dxa"/>
            <w:vAlign w:val="bottom"/>
            <w:shd w:val="clear" w:color="auto" w:fill="000000"/>
          </w:tcPr>
          <w:p>
            <w:pPr>
              <w:spacing w:after="0" w:line="20" w:lineRule="exact"/>
              <w:rPr>
                <w:sz w:val="1"/>
                <w:szCs w:val="1"/>
                <w:color w:val="auto"/>
              </w:rPr>
            </w:pPr>
          </w:p>
        </w:tc>
        <w:tc>
          <w:tcPr>
            <w:tcW w:w="36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500" w:type="dxa"/>
            <w:vAlign w:val="bottom"/>
            <w:tcBorders>
              <w:right w:val="single" w:sz="8" w:color="auto"/>
            </w:tcBorders>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5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5596255</wp:posOffset>
            </wp:positionH>
            <wp:positionV relativeFrom="paragraph">
              <wp:posOffset>-2331720</wp:posOffset>
            </wp:positionV>
            <wp:extent cx="668655" cy="2324100"/>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3">
                      <a:extLst>
                        <a:ext uri="{28A0092B-C50C-407E-A947-70E740481C1C}"/>
                      </a:extLst>
                    </a:blip>
                    <a:srcRect/>
                    <a:stretch>
                      <a:fillRect/>
                    </a:stretch>
                  </pic:blipFill>
                  <pic:spPr bwMode="auto">
                    <a:xfrm>
                      <a:off x="0" y="0"/>
                      <a:ext cx="668655" cy="2324100"/>
                    </a:xfrm>
                    <a:prstGeom prst="rect">
                      <a:avLst/>
                    </a:prstGeom>
                    <a:noFill/>
                  </pic:spPr>
                </pic:pic>
              </a:graphicData>
            </a:graphic>
          </wp:anchor>
        </w:drawing>
      </w:r>
    </w:p>
    <w:p>
      <w:pPr>
        <w:sectPr>
          <w:pgSz w:w="11900" w:h="16838" w:orient="portrait"/>
          <w:cols w:equalWidth="0" w:num="1">
            <w:col w:w="11420"/>
          </w:cols>
          <w:pgMar w:left="240" w:top="460" w:right="239" w:bottom="1440" w:gutter="0" w:footer="0" w:header="0"/>
        </w:sectPr>
      </w:pPr>
    </w:p>
    <w:bookmarkStart w:id="166" w:name="page167"/>
    <w:bookmarkEnd w:id="1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6402705</wp:posOffset>
            </wp:positionH>
            <wp:positionV relativeFrom="paragraph">
              <wp:posOffset>300355</wp:posOffset>
            </wp:positionV>
            <wp:extent cx="8890" cy="462915"/>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05">
                      <a:extLst>
                        <a:ext uri="{28A0092B-C50C-407E-A947-70E740481C1C}"/>
                      </a:extLst>
                    </a:blip>
                    <a:srcRect/>
                    <a:stretch>
                      <a:fillRect/>
                    </a:stretch>
                  </pic:blipFill>
                  <pic:spPr bwMode="auto">
                    <a:xfrm>
                      <a:off x="0" y="0"/>
                      <a:ext cx="8890" cy="462915"/>
                    </a:xfrm>
                    <a:prstGeom prst="rect">
                      <a:avLst/>
                    </a:prstGeom>
                    <a:noFill/>
                  </pic:spPr>
                </pic:pic>
              </a:graphicData>
            </a:graphic>
          </wp:anchor>
        </w:drawing>
      </w:r>
    </w:p>
    <w:p>
      <w:pPr>
        <w:spacing w:after="0" w:line="200" w:lineRule="exact"/>
        <w:rPr>
          <w:sz w:val="20"/>
          <w:szCs w:val="20"/>
          <w:color w:val="auto"/>
        </w:rPr>
      </w:pP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565"/>
        </w:trPr>
        <w:tc>
          <w:tcPr>
            <w:tcW w:w="5600" w:type="dxa"/>
            <w:vAlign w:val="bottom"/>
          </w:tcPr>
          <w:p>
            <w:pPr>
              <w:spacing w:after="0"/>
              <w:rPr>
                <w:sz w:val="24"/>
                <w:szCs w:val="24"/>
                <w:color w:val="auto"/>
              </w:rPr>
            </w:pPr>
          </w:p>
        </w:tc>
        <w:tc>
          <w:tcPr>
            <w:tcW w:w="4360" w:type="dxa"/>
            <w:vAlign w:val="bottom"/>
            <w:shd w:val="clear" w:color="auto" w:fill="FF8B00"/>
          </w:tcPr>
          <w:p>
            <w:pPr>
              <w:ind w:left="840"/>
              <w:spacing w:after="0"/>
              <w:rPr>
                <w:sz w:val="20"/>
                <w:szCs w:val="20"/>
                <w:color w:val="auto"/>
              </w:rPr>
            </w:pPr>
            <w:r>
              <w:rPr>
                <w:rFonts w:ascii="Arial" w:cs="Arial" w:eastAsia="Arial" w:hAnsi="Arial"/>
                <w:sz w:val="13"/>
                <w:szCs w:val="13"/>
                <w:color w:val="333333"/>
              </w:rPr>
              <w:t>FINANCIAL STATEMENTS AND SUPPLEMENTS</w:t>
            </w:r>
          </w:p>
        </w:tc>
        <w:tc>
          <w:tcPr>
            <w:tcW w:w="1460" w:type="dxa"/>
            <w:vAlign w:val="bottom"/>
            <w:shd w:val="clear" w:color="auto" w:fill="FF8B00"/>
          </w:tcPr>
          <w:p>
            <w:pPr>
              <w:jc w:val="right"/>
              <w:ind w:right="486"/>
              <w:spacing w:after="0"/>
              <w:rPr>
                <w:sz w:val="20"/>
                <w:szCs w:val="20"/>
                <w:color w:val="auto"/>
              </w:rPr>
            </w:pPr>
            <w:r>
              <w:rPr>
                <w:rFonts w:ascii="Arial" w:cs="Arial" w:eastAsia="Arial" w:hAnsi="Arial"/>
                <w:sz w:val="11"/>
                <w:szCs w:val="11"/>
                <w:b w:val="1"/>
                <w:bCs w:val="1"/>
                <w:color w:val="333333"/>
              </w:rPr>
              <w:t>165</w:t>
            </w:r>
          </w:p>
        </w:tc>
        <w:tc>
          <w:tcPr>
            <w:tcW w:w="0" w:type="dxa"/>
            <w:vAlign w:val="bottom"/>
          </w:tcPr>
          <w:p>
            <w:pPr>
              <w:spacing w:after="0"/>
              <w:rPr>
                <w:sz w:val="1"/>
                <w:szCs w:val="1"/>
                <w:color w:val="auto"/>
              </w:rPr>
            </w:pPr>
          </w:p>
        </w:tc>
      </w:tr>
      <w:tr>
        <w:trPr>
          <w:trHeight w:val="165"/>
        </w:trPr>
        <w:tc>
          <w:tcPr>
            <w:tcW w:w="5600" w:type="dxa"/>
            <w:vAlign w:val="bottom"/>
            <w:vMerge w:val="restart"/>
          </w:tcPr>
          <w:p>
            <w:pPr>
              <w:spacing w:after="0"/>
              <w:rPr>
                <w:sz w:val="20"/>
                <w:szCs w:val="20"/>
                <w:color w:val="auto"/>
              </w:rPr>
            </w:pPr>
            <w:r>
              <w:rPr>
                <w:rFonts w:ascii="Arial" w:cs="Arial" w:eastAsia="Arial" w:hAnsi="Arial"/>
                <w:sz w:val="11"/>
                <w:szCs w:val="11"/>
                <w:color w:val="auto"/>
              </w:rPr>
              <w:t>SHELL ANNUAL REPORT AND FORM 20-F 2014</w:t>
            </w:r>
          </w:p>
        </w:tc>
        <w:tc>
          <w:tcPr>
            <w:tcW w:w="4360" w:type="dxa"/>
            <w:vAlign w:val="bottom"/>
            <w:shd w:val="clear" w:color="auto" w:fill="FF8B00"/>
          </w:tcPr>
          <w:p>
            <w:pPr>
              <w:spacing w:after="0"/>
              <w:rPr>
                <w:sz w:val="14"/>
                <w:szCs w:val="14"/>
                <w:color w:val="auto"/>
              </w:rPr>
            </w:pPr>
          </w:p>
        </w:tc>
        <w:tc>
          <w:tcPr>
            <w:tcW w:w="1460" w:type="dxa"/>
            <w:vAlign w:val="bottom"/>
            <w:shd w:val="clear" w:color="auto" w:fill="FF8B00"/>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5600" w:type="dxa"/>
            <w:vAlign w:val="bottom"/>
            <w:vMerge w:val="continue"/>
          </w:tcPr>
          <w:p>
            <w:pPr>
              <w:spacing w:after="0"/>
              <w:rPr>
                <w:sz w:val="11"/>
                <w:szCs w:val="11"/>
                <w:color w:val="auto"/>
              </w:rPr>
            </w:pPr>
          </w:p>
        </w:tc>
        <w:tc>
          <w:tcPr>
            <w:tcW w:w="4360" w:type="dxa"/>
            <w:vAlign w:val="bottom"/>
          </w:tcPr>
          <w:p>
            <w:pPr>
              <w:ind w:left="840"/>
              <w:spacing w:after="0"/>
              <w:rPr>
                <w:sz w:val="20"/>
                <w:szCs w:val="20"/>
                <w:color w:val="auto"/>
              </w:rPr>
            </w:pPr>
            <w:r>
              <w:rPr>
                <w:rFonts w:ascii="Arial" w:cs="Arial" w:eastAsia="Arial" w:hAnsi="Arial"/>
                <w:sz w:val="11"/>
                <w:szCs w:val="11"/>
                <w:color w:val="auto"/>
              </w:rPr>
              <w:t>PARENT COMPANY FINANCIAL STATEMENTS</w:t>
            </w:r>
          </w:p>
        </w:tc>
        <w:tc>
          <w:tcPr>
            <w:tcW w:w="14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rPr>
          <w:sz w:val="20"/>
          <w:szCs w:val="20"/>
          <w:color w:val="auto"/>
        </w:rPr>
      </w:pPr>
      <w:r>
        <w:rPr>
          <w:rFonts w:ascii="Arial" w:cs="Arial" w:eastAsia="Arial" w:hAnsi="Arial"/>
          <w:sz w:val="31"/>
          <w:szCs w:val="31"/>
          <w:color w:val="auto"/>
        </w:rPr>
        <w:t>NOTES TO THE PARENT COMPANY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wp:posOffset>
            </wp:positionV>
            <wp:extent cx="7246620" cy="8890"/>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0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color w:val="auto"/>
        </w:rPr>
        <w:t>1 BASIS OF PREPARATION</w:t>
      </w:r>
    </w:p>
    <w:p>
      <w:pPr>
        <w:spacing w:after="0" w:line="1" w:lineRule="exact"/>
        <w:rPr>
          <w:sz w:val="20"/>
          <w:szCs w:val="20"/>
          <w:color w:val="auto"/>
        </w:rPr>
      </w:pPr>
    </w:p>
    <w:p>
      <w:pPr>
        <w:ind w:right="200"/>
        <w:spacing w:after="0" w:line="250" w:lineRule="auto"/>
        <w:rPr>
          <w:sz w:val="20"/>
          <w:szCs w:val="20"/>
          <w:color w:val="auto"/>
        </w:rPr>
      </w:pPr>
      <w:r>
        <w:rPr>
          <w:rFonts w:ascii="Arial" w:cs="Arial" w:eastAsia="Arial" w:hAnsi="Arial"/>
          <w:sz w:val="14"/>
          <w:szCs w:val="14"/>
          <w:color w:val="auto"/>
        </w:rPr>
        <w:t>The Financial Statements of Royal Dutch Shell plc (the Company) have been prepared in accordance with the provisions of the Companies Act 2006 and with International Financial Reporting Standards (IFRS) as adopted by the European Union. As applied to the Company, there are no material differences from IFRS as issued by the International Accounting Standards Board (IASB); therefore, the Financial Statements have been prepared in accordance with IFRS as issued by the IASB.</w:t>
      </w:r>
    </w:p>
    <w:p>
      <w:pPr>
        <w:spacing w:after="0" w:line="172" w:lineRule="exact"/>
        <w:rPr>
          <w:sz w:val="20"/>
          <w:szCs w:val="20"/>
          <w:color w:val="auto"/>
        </w:rPr>
      </w:pPr>
    </w:p>
    <w:p>
      <w:pPr>
        <w:ind w:right="420"/>
        <w:spacing w:after="0" w:line="258" w:lineRule="auto"/>
        <w:rPr>
          <w:sz w:val="20"/>
          <w:szCs w:val="20"/>
          <w:color w:val="auto"/>
        </w:rPr>
      </w:pPr>
      <w:r>
        <w:rPr>
          <w:rFonts w:ascii="Arial" w:cs="Arial" w:eastAsia="Arial" w:hAnsi="Arial"/>
          <w:sz w:val="14"/>
          <w:szCs w:val="14"/>
          <w:color w:val="auto"/>
        </w:rPr>
        <w:t>As described in the accounting policies in Note 2, the Financial Statements have been prepared under the historical cost convention except for certain items measured at fair value. Those accounting policies have been applied consistently in all periods presented.</w:t>
      </w:r>
    </w:p>
    <w:p>
      <w:pPr>
        <w:spacing w:after="0" w:line="154" w:lineRule="exact"/>
        <w:rPr>
          <w:sz w:val="20"/>
          <w:szCs w:val="20"/>
          <w:color w:val="auto"/>
        </w:rPr>
      </w:pPr>
    </w:p>
    <w:p>
      <w:pPr>
        <w:spacing w:after="0"/>
        <w:rPr>
          <w:sz w:val="20"/>
          <w:szCs w:val="20"/>
          <w:color w:val="auto"/>
        </w:rPr>
      </w:pPr>
      <w:r>
        <w:rPr>
          <w:rFonts w:ascii="Arial" w:cs="Arial" w:eastAsia="Arial" w:hAnsi="Arial"/>
          <w:sz w:val="14"/>
          <w:szCs w:val="14"/>
          <w:color w:val="auto"/>
        </w:rPr>
        <w:t>The Financial Statements were approved and authorised for issue by the Board of Directors on March 11, 2015.</w:t>
      </w:r>
    </w:p>
    <w:p>
      <w:pPr>
        <w:spacing w:after="0" w:line="177" w:lineRule="exact"/>
        <w:rPr>
          <w:sz w:val="20"/>
          <w:szCs w:val="20"/>
          <w:color w:val="auto"/>
        </w:rPr>
      </w:pPr>
    </w:p>
    <w:p>
      <w:pPr>
        <w:ind w:right="380"/>
        <w:spacing w:after="0" w:line="258" w:lineRule="auto"/>
        <w:rPr>
          <w:sz w:val="20"/>
          <w:szCs w:val="20"/>
          <w:color w:val="auto"/>
        </w:rPr>
      </w:pPr>
      <w:r>
        <w:rPr>
          <w:rFonts w:ascii="Arial" w:cs="Arial" w:eastAsia="Arial" w:hAnsi="Arial"/>
          <w:sz w:val="14"/>
          <w:szCs w:val="14"/>
          <w:color w:val="auto"/>
        </w:rPr>
        <w:t>The preparation of financial statements in conformity with IFRS requires the use of certain accounting estimates. It also requires management to exercise its judgement in the process of applying the Company’s accounting policies. Actual results may differ from these estimates.</w:t>
      </w:r>
    </w:p>
    <w:p>
      <w:pPr>
        <w:spacing w:after="0" w:line="167" w:lineRule="exact"/>
        <w:rPr>
          <w:sz w:val="20"/>
          <w:szCs w:val="20"/>
          <w:color w:val="auto"/>
        </w:rPr>
      </w:pPr>
    </w:p>
    <w:p>
      <w:pPr>
        <w:ind w:right="120"/>
        <w:spacing w:after="0" w:line="258" w:lineRule="auto"/>
        <w:rPr>
          <w:sz w:val="20"/>
          <w:szCs w:val="20"/>
          <w:color w:val="auto"/>
        </w:rPr>
      </w:pPr>
      <w:r>
        <w:rPr>
          <w:rFonts w:ascii="Arial" w:cs="Arial" w:eastAsia="Arial" w:hAnsi="Arial"/>
          <w:sz w:val="14"/>
          <w:szCs w:val="14"/>
          <w:color w:val="auto"/>
        </w:rPr>
        <w:t>The financial results of the Company are included in the Consolidated Financial Statements on pages 106-141. The financial results of the Company incorporate the results of the Dividend Access Trust (the Trust), the financial statements for which are presented on pages 174-178.</w:t>
      </w:r>
    </w:p>
    <w:p>
      <w:pPr>
        <w:spacing w:after="0" w:line="154" w:lineRule="exact"/>
        <w:rPr>
          <w:sz w:val="20"/>
          <w:szCs w:val="20"/>
          <w:color w:val="auto"/>
        </w:rPr>
      </w:pPr>
    </w:p>
    <w:p>
      <w:pPr>
        <w:spacing w:after="0"/>
        <w:rPr>
          <w:sz w:val="20"/>
          <w:szCs w:val="20"/>
          <w:color w:val="auto"/>
        </w:rPr>
      </w:pPr>
      <w:r>
        <w:rPr>
          <w:rFonts w:ascii="Arial" w:cs="Arial" w:eastAsia="Arial" w:hAnsi="Arial"/>
          <w:sz w:val="14"/>
          <w:szCs w:val="14"/>
          <w:color w:val="auto"/>
        </w:rPr>
        <w:t>The Company’s principal activity is being the parent company for Shell, as described in Note 1 to the Consolidated Financial Statements.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2 ACCOUNTING POLICIES</w:t>
      </w:r>
    </w:p>
    <w:p>
      <w:pPr>
        <w:spacing w:after="0" w:line="1" w:lineRule="exact"/>
        <w:rPr>
          <w:sz w:val="20"/>
          <w:szCs w:val="20"/>
          <w:color w:val="auto"/>
        </w:rPr>
      </w:pPr>
    </w:p>
    <w:p>
      <w:pPr>
        <w:ind w:right="40"/>
        <w:spacing w:after="0" w:line="258" w:lineRule="auto"/>
        <w:rPr>
          <w:sz w:val="20"/>
          <w:szCs w:val="20"/>
          <w:color w:val="auto"/>
        </w:rPr>
      </w:pPr>
      <w:r>
        <w:rPr>
          <w:rFonts w:ascii="Arial" w:cs="Arial" w:eastAsia="Arial" w:hAnsi="Arial"/>
          <w:sz w:val="14"/>
          <w:szCs w:val="14"/>
          <w:color w:val="auto"/>
        </w:rPr>
        <w:t>Except for the following accounting policies that specifically relate to the Company, the Company’s accounting policies follow those of Shell as set out in Note 2 to the Consolidated Financial Statements.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auto"/>
        </w:rPr>
        <w:t>Presentation currency</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The Company’s presentation and functional currency is US dollars (dollars).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Investments</w:t>
      </w:r>
    </w:p>
    <w:p>
      <w:pPr>
        <w:spacing w:after="0" w:line="1" w:lineRule="exact"/>
        <w:rPr>
          <w:sz w:val="20"/>
          <w:szCs w:val="20"/>
          <w:color w:val="auto"/>
        </w:rPr>
      </w:pPr>
    </w:p>
    <w:p>
      <w:pPr>
        <w:ind w:right="140"/>
        <w:spacing w:after="0" w:line="258" w:lineRule="auto"/>
        <w:rPr>
          <w:sz w:val="20"/>
          <w:szCs w:val="20"/>
          <w:color w:val="auto"/>
        </w:rPr>
      </w:pPr>
      <w:r>
        <w:rPr>
          <w:rFonts w:ascii="Arial" w:cs="Arial" w:eastAsia="Arial" w:hAnsi="Arial"/>
          <w:sz w:val="14"/>
          <w:szCs w:val="14"/>
          <w:color w:val="auto"/>
        </w:rPr>
        <w:t>Investments in subsidiaries are stated at cost, net of any impairment. Key accounting estimates and judgements affecting the assessment and measurement of impairment follow those set out in Note 3 to the Consolidated Financial Statements.</w:t>
      </w:r>
    </w:p>
    <w:p>
      <w:pPr>
        <w:spacing w:after="0" w:line="154" w:lineRule="exact"/>
        <w:rPr>
          <w:sz w:val="20"/>
          <w:szCs w:val="20"/>
          <w:color w:val="auto"/>
        </w:rPr>
      </w:pPr>
    </w:p>
    <w:p>
      <w:pPr>
        <w:ind w:right="260"/>
        <w:spacing w:after="0" w:line="244" w:lineRule="auto"/>
        <w:rPr>
          <w:sz w:val="20"/>
          <w:szCs w:val="20"/>
          <w:color w:val="auto"/>
        </w:rPr>
      </w:pPr>
      <w:r>
        <w:rPr>
          <w:rFonts w:ascii="Arial" w:cs="Arial" w:eastAsia="Arial" w:hAnsi="Arial"/>
          <w:sz w:val="14"/>
          <w:szCs w:val="14"/>
          <w:color w:val="auto"/>
        </w:rPr>
        <w:t>The original cost of the Company’s investment in Royal Dutch Petroleum Company (Royal Dutch) was based on the fair value of the shares transferred to the Company by the former shareholders of Royal Dutch in exchange for A shares in the Company during the public exchange offer in 2005. The original cost of the Company’s investment in The “Shell” Transport and Trading Company, p.l.c., now The Shell Transport and Trading Company Limited (Shell Transport), was the fair value of the shares held by the former shareholders of The “Shell” Transport and Trading Company, p.l.c. transferred in consideration for the issuance of B shares as part of the Scheme of Arrangement in 2005. The Company’s investments in Royal Dutch and Shell Transport now represent an investment in Shell Petroleum N.V. (Shell Petroleum); this change had no impact on the cost of investments in subsidiaries.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color w:val="auto"/>
        </w:rPr>
        <w:t>Dividend income</w:t>
      </w:r>
    </w:p>
    <w:p>
      <w:pPr>
        <w:spacing w:after="0" w:line="1" w:lineRule="exact"/>
        <w:rPr>
          <w:sz w:val="20"/>
          <w:szCs w:val="20"/>
          <w:color w:val="auto"/>
        </w:rPr>
      </w:pPr>
    </w:p>
    <w:p>
      <w:pPr>
        <w:ind w:right="220"/>
        <w:spacing w:after="0" w:line="258" w:lineRule="auto"/>
        <w:rPr>
          <w:sz w:val="20"/>
          <w:szCs w:val="20"/>
          <w:color w:val="auto"/>
        </w:rPr>
      </w:pPr>
      <w:r>
        <w:rPr>
          <w:rFonts w:ascii="Arial" w:cs="Arial" w:eastAsia="Arial" w:hAnsi="Arial"/>
          <w:sz w:val="14"/>
          <w:szCs w:val="14"/>
          <w:color w:val="auto"/>
        </w:rPr>
        <w:t>Interim dividends are recognised on a paid basis unless the dividend has been confirmed by a general meeting of Shell Transport or of Shell Petroleum, in which case income is recognised on the date at which receipt is deemed virtually certain.</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Share-based compensation plans</w:t>
      </w:r>
    </w:p>
    <w:p>
      <w:pPr>
        <w:spacing w:after="0" w:line="1" w:lineRule="exact"/>
        <w:rPr>
          <w:sz w:val="20"/>
          <w:szCs w:val="20"/>
          <w:color w:val="auto"/>
        </w:rPr>
      </w:pPr>
    </w:p>
    <w:p>
      <w:pPr>
        <w:ind w:right="20"/>
        <w:spacing w:after="0" w:line="245" w:lineRule="auto"/>
        <w:rPr>
          <w:sz w:val="20"/>
          <w:szCs w:val="20"/>
          <w:color w:val="auto"/>
        </w:rPr>
      </w:pPr>
      <w:r>
        <w:rPr>
          <w:rFonts w:ascii="Arial" w:cs="Arial" w:eastAsia="Arial" w:hAnsi="Arial"/>
          <w:sz w:val="14"/>
          <w:szCs w:val="14"/>
          <w:color w:val="auto"/>
        </w:rPr>
        <w:t>The fair value of share-based compensation for equity-settled plans granted to employees of subsidiaries under the Company’s plans is recognised as an investment in subsidiaries from the date of grant over the vesting period with a corresponding increase in equity. The change in the fair value of share-based compensation for cash-settled plans relating to employees of subsidiaries is recognised as an investment in subsidiaries with a corresponding change in liabilities. In the year of vesting of a plan, the costs for the actual deliveries are charged to the relevant employing subsidiaries. This is recognised as a realisation of the investment originally booked. If the actual vesting costs are higher than the cumulatively recognised share-based compensation charge, the difference is recognised in income.</w:t>
      </w:r>
    </w:p>
    <w:p>
      <w:pPr>
        <w:spacing w:after="0" w:line="164" w:lineRule="exact"/>
        <w:rPr>
          <w:sz w:val="20"/>
          <w:szCs w:val="20"/>
          <w:color w:val="auto"/>
        </w:rPr>
      </w:pPr>
    </w:p>
    <w:p>
      <w:pPr>
        <w:spacing w:after="0"/>
        <w:rPr>
          <w:sz w:val="20"/>
          <w:szCs w:val="20"/>
          <w:color w:val="auto"/>
        </w:rPr>
      </w:pPr>
      <w:r>
        <w:rPr>
          <w:rFonts w:ascii="Arial" w:cs="Arial" w:eastAsia="Arial" w:hAnsi="Arial"/>
          <w:sz w:val="14"/>
          <w:szCs w:val="14"/>
          <w:color w:val="auto"/>
        </w:rPr>
        <w:t>Refer to Note 21 to the Consolidated Financial Statements for information on the Company’s principal plan.</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Taxation</w:t>
      </w:r>
    </w:p>
    <w:p>
      <w:pPr>
        <w:spacing w:after="0" w:line="1" w:lineRule="exact"/>
        <w:rPr>
          <w:sz w:val="20"/>
          <w:szCs w:val="20"/>
          <w:color w:val="auto"/>
        </w:rPr>
      </w:pPr>
    </w:p>
    <w:p>
      <w:pPr>
        <w:ind w:right="160"/>
        <w:spacing w:after="0" w:line="258" w:lineRule="auto"/>
        <w:rPr>
          <w:sz w:val="20"/>
          <w:szCs w:val="20"/>
          <w:color w:val="auto"/>
        </w:rPr>
      </w:pPr>
      <w:r>
        <w:rPr>
          <w:rFonts w:ascii="Arial" w:cs="Arial" w:eastAsia="Arial" w:hAnsi="Arial"/>
          <w:sz w:val="14"/>
          <w:szCs w:val="14"/>
          <w:color w:val="auto"/>
        </w:rPr>
        <w:t>The Company is tax-resident in the Netherlands. For the assessment of corporate income tax in the Netherlands, the Company and certain of its subsidiaries form a fiscal unit, in respect of which the Company recognises any current tax receivable or payable (or deferred tax asset or liability) for the fiscal unit as a whole.</w:t>
      </w:r>
    </w:p>
    <w:p>
      <w:pPr>
        <w:spacing w:after="0" w:line="154" w:lineRule="exact"/>
        <w:rPr>
          <w:sz w:val="20"/>
          <w:szCs w:val="20"/>
          <w:color w:val="auto"/>
        </w:rPr>
      </w:pPr>
    </w:p>
    <w:p>
      <w:pPr>
        <w:spacing w:after="0"/>
        <w:rPr>
          <w:sz w:val="20"/>
          <w:szCs w:val="20"/>
          <w:color w:val="auto"/>
        </w:rPr>
      </w:pPr>
      <w:r>
        <w:rPr>
          <w:rFonts w:ascii="Arial" w:cs="Arial" w:eastAsia="Arial" w:hAnsi="Arial"/>
          <w:sz w:val="14"/>
          <w:szCs w:val="14"/>
          <w:color w:val="auto"/>
        </w:rPr>
        <w:t>The Company’s tax charge or credit recognised in income is calculated at the statutory tax rate prevailing in the Netherlands.</w:t>
      </w:r>
    </w:p>
    <w:p>
      <w:pPr>
        <w:sectPr>
          <w:pgSz w:w="11900" w:h="16838" w:orient="portrait"/>
          <w:cols w:equalWidth="0" w:num="1">
            <w:col w:w="11420"/>
          </w:cols>
          <w:pgMar w:left="240" w:top="459" w:right="239" w:bottom="1440" w:gutter="0" w:footer="0" w:header="0"/>
        </w:sectPr>
      </w:pPr>
    </w:p>
    <w:bookmarkStart w:id="167" w:name="page168"/>
    <w:bookmarkEnd w:id="1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300355</wp:posOffset>
            </wp:positionV>
            <wp:extent cx="8890" cy="462915"/>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08">
                      <a:extLst>
                        <a:ext uri="{28A0092B-C50C-407E-A947-70E740481C1C}"/>
                      </a:extLst>
                    </a:blip>
                    <a:srcRect/>
                    <a:stretch>
                      <a:fillRect/>
                    </a:stretch>
                  </pic:blipFill>
                  <pic:spPr bwMode="auto">
                    <a:xfrm>
                      <a:off x="0" y="0"/>
                      <a:ext cx="8890" cy="462915"/>
                    </a:xfrm>
                    <a:prstGeom prst="rect">
                      <a:avLst/>
                    </a:prstGeom>
                    <a:noFill/>
                  </pic:spPr>
                </pic:pic>
              </a:graphicData>
            </a:graphic>
          </wp:anchor>
        </w:drawing>
      </w:r>
    </w:p>
    <w:p>
      <w:pPr>
        <w:spacing w:after="0" w:line="200" w:lineRule="exact"/>
        <w:rPr>
          <w:sz w:val="20"/>
          <w:szCs w:val="20"/>
          <w:color w:val="auto"/>
        </w:rPr>
      </w:pP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565"/>
        </w:trPr>
        <w:tc>
          <w:tcPr>
            <w:tcW w:w="1880" w:type="dxa"/>
            <w:vAlign w:val="bottom"/>
            <w:shd w:val="clear" w:color="auto" w:fill="FF8B00"/>
          </w:tcPr>
          <w:p>
            <w:pPr>
              <w:ind w:left="260"/>
              <w:spacing w:after="0"/>
              <w:rPr>
                <w:sz w:val="20"/>
                <w:szCs w:val="20"/>
                <w:color w:val="auto"/>
              </w:rPr>
            </w:pPr>
            <w:r>
              <w:rPr>
                <w:rFonts w:ascii="Arial" w:cs="Arial" w:eastAsia="Arial" w:hAnsi="Arial"/>
                <w:sz w:val="11"/>
                <w:szCs w:val="11"/>
                <w:b w:val="1"/>
                <w:bCs w:val="1"/>
                <w:color w:val="333333"/>
              </w:rPr>
              <w:t>166</w:t>
            </w:r>
          </w:p>
        </w:tc>
        <w:tc>
          <w:tcPr>
            <w:tcW w:w="3700" w:type="dxa"/>
            <w:vAlign w:val="bottom"/>
            <w:shd w:val="clear" w:color="auto" w:fill="FF8B00"/>
          </w:tcPr>
          <w:p>
            <w:pPr>
              <w:jc w:val="right"/>
              <w:ind w:right="741"/>
              <w:spacing w:after="0"/>
              <w:rPr>
                <w:sz w:val="20"/>
                <w:szCs w:val="20"/>
                <w:color w:val="auto"/>
              </w:rPr>
            </w:pPr>
            <w:r>
              <w:rPr>
                <w:rFonts w:ascii="Arial" w:cs="Arial" w:eastAsia="Arial" w:hAnsi="Arial"/>
                <w:sz w:val="13"/>
                <w:szCs w:val="13"/>
                <w:color w:val="333333"/>
                <w:w w:val="99"/>
              </w:rPr>
              <w:t>FINANCIAL STATEMENTS AND SUPPLEMENTS</w:t>
            </w:r>
          </w:p>
        </w:tc>
        <w:tc>
          <w:tcPr>
            <w:tcW w:w="2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5"/>
        </w:trPr>
        <w:tc>
          <w:tcPr>
            <w:tcW w:w="1880" w:type="dxa"/>
            <w:vAlign w:val="bottom"/>
            <w:shd w:val="clear" w:color="auto" w:fill="FF8B00"/>
          </w:tcPr>
          <w:p>
            <w:pPr>
              <w:spacing w:after="0"/>
              <w:rPr>
                <w:sz w:val="14"/>
                <w:szCs w:val="14"/>
                <w:color w:val="auto"/>
              </w:rPr>
            </w:pPr>
          </w:p>
        </w:tc>
        <w:tc>
          <w:tcPr>
            <w:tcW w:w="3700" w:type="dxa"/>
            <w:vAlign w:val="bottom"/>
            <w:shd w:val="clear" w:color="auto" w:fill="FF8B00"/>
          </w:tcPr>
          <w:p>
            <w:pPr>
              <w:spacing w:after="0"/>
              <w:rPr>
                <w:sz w:val="14"/>
                <w:szCs w:val="14"/>
                <w:color w:val="auto"/>
              </w:rPr>
            </w:pPr>
          </w:p>
        </w:tc>
        <w:tc>
          <w:tcPr>
            <w:tcW w:w="2740" w:type="dxa"/>
            <w:vAlign w:val="bottom"/>
            <w:vMerge w:val="restart"/>
          </w:tcPr>
          <w:p>
            <w:pPr>
              <w:spacing w:after="0"/>
              <w:rPr>
                <w:sz w:val="14"/>
                <w:szCs w:val="14"/>
                <w:color w:val="auto"/>
              </w:rPr>
            </w:pPr>
          </w:p>
        </w:tc>
        <w:tc>
          <w:tcPr>
            <w:tcW w:w="120" w:type="dxa"/>
            <w:vAlign w:val="bottom"/>
            <w:vMerge w:val="restart"/>
          </w:tcPr>
          <w:p>
            <w:pPr>
              <w:spacing w:after="0"/>
              <w:rPr>
                <w:sz w:val="14"/>
                <w:szCs w:val="14"/>
                <w:color w:val="auto"/>
              </w:rPr>
            </w:pPr>
          </w:p>
        </w:tc>
        <w:tc>
          <w:tcPr>
            <w:tcW w:w="3000" w:type="dxa"/>
            <w:vAlign w:val="bottom"/>
            <w:gridSpan w:val="6"/>
            <w:vMerge w:val="restart"/>
          </w:tcPr>
          <w:p>
            <w:pPr>
              <w:ind w:left="580"/>
              <w:spacing w:after="0"/>
              <w:rPr>
                <w:sz w:val="20"/>
                <w:szCs w:val="20"/>
                <w:color w:val="auto"/>
              </w:rPr>
            </w:pPr>
            <w:r>
              <w:rPr>
                <w:rFonts w:ascii="Arial" w:cs="Arial" w:eastAsia="Arial" w:hAnsi="Arial"/>
                <w:sz w:val="11"/>
                <w:szCs w:val="11"/>
                <w:color w:val="auto"/>
                <w:w w:val="97"/>
              </w:rPr>
              <w:t>SHELL ANNUAL REPORT AND FORM 20-F 2014</w:t>
            </w:r>
          </w:p>
        </w:tc>
        <w:tc>
          <w:tcPr>
            <w:tcW w:w="0" w:type="dxa"/>
            <w:vAlign w:val="bottom"/>
          </w:tcPr>
          <w:p>
            <w:pPr>
              <w:spacing w:after="0"/>
              <w:rPr>
                <w:sz w:val="1"/>
                <w:szCs w:val="1"/>
                <w:color w:val="auto"/>
              </w:rPr>
            </w:pPr>
          </w:p>
        </w:tc>
      </w:tr>
      <w:tr>
        <w:trPr>
          <w:trHeight w:val="121"/>
        </w:trPr>
        <w:tc>
          <w:tcPr>
            <w:tcW w:w="1880" w:type="dxa"/>
            <w:vAlign w:val="bottom"/>
          </w:tcPr>
          <w:p>
            <w:pPr>
              <w:spacing w:after="0"/>
              <w:rPr>
                <w:sz w:val="10"/>
                <w:szCs w:val="10"/>
                <w:color w:val="auto"/>
              </w:rPr>
            </w:pPr>
          </w:p>
        </w:tc>
        <w:tc>
          <w:tcPr>
            <w:tcW w:w="3700" w:type="dxa"/>
            <w:vAlign w:val="bottom"/>
          </w:tcPr>
          <w:p>
            <w:pPr>
              <w:jc w:val="right"/>
              <w:ind w:right="741"/>
              <w:spacing w:after="0" w:line="121" w:lineRule="exact"/>
              <w:rPr>
                <w:sz w:val="20"/>
                <w:szCs w:val="20"/>
                <w:color w:val="auto"/>
              </w:rPr>
            </w:pPr>
            <w:r>
              <w:rPr>
                <w:rFonts w:ascii="Arial" w:cs="Arial" w:eastAsia="Arial" w:hAnsi="Arial"/>
                <w:sz w:val="11"/>
                <w:szCs w:val="11"/>
                <w:color w:val="auto"/>
              </w:rPr>
              <w:t>PARENT COMPANY FINANCIAL STATEMENTS</w:t>
            </w:r>
          </w:p>
        </w:tc>
        <w:tc>
          <w:tcPr>
            <w:tcW w:w="2740" w:type="dxa"/>
            <w:vAlign w:val="bottom"/>
            <w:vMerge w:val="continue"/>
          </w:tcPr>
          <w:p>
            <w:pPr>
              <w:spacing w:after="0"/>
              <w:rPr>
                <w:sz w:val="10"/>
                <w:szCs w:val="10"/>
                <w:color w:val="auto"/>
              </w:rPr>
            </w:pPr>
          </w:p>
        </w:tc>
        <w:tc>
          <w:tcPr>
            <w:tcW w:w="120" w:type="dxa"/>
            <w:vAlign w:val="bottom"/>
            <w:vMerge w:val="continue"/>
          </w:tcPr>
          <w:p>
            <w:pPr>
              <w:spacing w:after="0"/>
              <w:rPr>
                <w:sz w:val="10"/>
                <w:szCs w:val="10"/>
                <w:color w:val="auto"/>
              </w:rPr>
            </w:pPr>
          </w:p>
        </w:tc>
        <w:tc>
          <w:tcPr>
            <w:tcW w:w="3000" w:type="dxa"/>
            <w:vAlign w:val="bottom"/>
            <w:gridSpan w:val="6"/>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7"/>
        </w:trPr>
        <w:tc>
          <w:tcPr>
            <w:tcW w:w="5580" w:type="dxa"/>
            <w:vAlign w:val="bottom"/>
            <w:gridSpan w:val="2"/>
          </w:tcPr>
          <w:p>
            <w:pPr>
              <w:spacing w:after="0"/>
              <w:rPr>
                <w:sz w:val="20"/>
                <w:szCs w:val="20"/>
                <w:color w:val="auto"/>
              </w:rPr>
            </w:pPr>
            <w:r>
              <w:rPr>
                <w:rFonts w:ascii="Arial" w:cs="Arial" w:eastAsia="Arial" w:hAnsi="Arial"/>
                <w:sz w:val="18"/>
                <w:szCs w:val="18"/>
                <w:color w:val="auto"/>
              </w:rPr>
              <w:t>3 FINANCE INCOME AND EXPENSE</w:t>
            </w:r>
          </w:p>
        </w:tc>
        <w:tc>
          <w:tcPr>
            <w:tcW w:w="2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1880" w:type="dxa"/>
            <w:vAlign w:val="bottom"/>
          </w:tcPr>
          <w:p>
            <w:pPr>
              <w:spacing w:after="0"/>
              <w:rPr>
                <w:sz w:val="17"/>
                <w:szCs w:val="17"/>
                <w:color w:val="auto"/>
              </w:rPr>
            </w:pPr>
          </w:p>
        </w:tc>
        <w:tc>
          <w:tcPr>
            <w:tcW w:w="3700" w:type="dxa"/>
            <w:vAlign w:val="bottom"/>
          </w:tcPr>
          <w:p>
            <w:pPr>
              <w:spacing w:after="0"/>
              <w:rPr>
                <w:sz w:val="17"/>
                <w:szCs w:val="17"/>
                <w:color w:val="auto"/>
              </w:rPr>
            </w:pPr>
          </w:p>
        </w:tc>
        <w:tc>
          <w:tcPr>
            <w:tcW w:w="2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1880" w:type="dxa"/>
            <w:vAlign w:val="bottom"/>
            <w:shd w:val="clear" w:color="auto" w:fill="333333"/>
          </w:tcPr>
          <w:p>
            <w:pPr>
              <w:spacing w:after="0"/>
              <w:rPr>
                <w:sz w:val="14"/>
                <w:szCs w:val="14"/>
                <w:color w:val="auto"/>
              </w:rPr>
            </w:pPr>
          </w:p>
        </w:tc>
        <w:tc>
          <w:tcPr>
            <w:tcW w:w="3700" w:type="dxa"/>
            <w:vAlign w:val="bottom"/>
            <w:shd w:val="clear" w:color="auto" w:fill="333333"/>
          </w:tcPr>
          <w:p>
            <w:pPr>
              <w:spacing w:after="0"/>
              <w:rPr>
                <w:sz w:val="14"/>
                <w:szCs w:val="14"/>
                <w:color w:val="auto"/>
              </w:rPr>
            </w:pPr>
          </w:p>
        </w:tc>
        <w:tc>
          <w:tcPr>
            <w:tcW w:w="2740" w:type="dxa"/>
            <w:vAlign w:val="bottom"/>
            <w:shd w:val="clear" w:color="auto" w:fill="333333"/>
          </w:tcPr>
          <w:p>
            <w:pPr>
              <w:spacing w:after="0"/>
              <w:rPr>
                <w:sz w:val="14"/>
                <w:szCs w:val="14"/>
                <w:color w:val="auto"/>
              </w:rPr>
            </w:pPr>
          </w:p>
        </w:tc>
        <w:tc>
          <w:tcPr>
            <w:tcW w:w="120" w:type="dxa"/>
            <w:vAlign w:val="bottom"/>
            <w:shd w:val="clear" w:color="auto" w:fill="333333"/>
          </w:tcPr>
          <w:p>
            <w:pPr>
              <w:spacing w:after="0"/>
              <w:rPr>
                <w:sz w:val="14"/>
                <w:szCs w:val="14"/>
                <w:color w:val="auto"/>
              </w:rPr>
            </w:pPr>
          </w:p>
        </w:tc>
        <w:tc>
          <w:tcPr>
            <w:tcW w:w="1000" w:type="dxa"/>
            <w:vAlign w:val="bottom"/>
            <w:shd w:val="clear" w:color="auto" w:fill="333333"/>
          </w:tcPr>
          <w:p>
            <w:pPr>
              <w:spacing w:after="0"/>
              <w:rPr>
                <w:sz w:val="14"/>
                <w:szCs w:val="14"/>
                <w:color w:val="auto"/>
              </w:rPr>
            </w:pPr>
          </w:p>
        </w:tc>
        <w:tc>
          <w:tcPr>
            <w:tcW w:w="220" w:type="dxa"/>
            <w:vAlign w:val="bottom"/>
            <w:shd w:val="clear" w:color="auto" w:fill="333333"/>
          </w:tcPr>
          <w:p>
            <w:pPr>
              <w:spacing w:after="0"/>
              <w:rPr>
                <w:sz w:val="14"/>
                <w:szCs w:val="14"/>
                <w:color w:val="auto"/>
              </w:rPr>
            </w:pPr>
          </w:p>
        </w:tc>
        <w:tc>
          <w:tcPr>
            <w:tcW w:w="120" w:type="dxa"/>
            <w:vAlign w:val="bottom"/>
            <w:shd w:val="clear" w:color="auto" w:fill="333333"/>
          </w:tcPr>
          <w:p>
            <w:pPr>
              <w:spacing w:after="0"/>
              <w:rPr>
                <w:sz w:val="14"/>
                <w:szCs w:val="14"/>
                <w:color w:val="auto"/>
              </w:rPr>
            </w:pPr>
          </w:p>
        </w:tc>
        <w:tc>
          <w:tcPr>
            <w:tcW w:w="140" w:type="dxa"/>
            <w:vAlign w:val="bottom"/>
            <w:shd w:val="clear" w:color="auto" w:fill="333333"/>
          </w:tcPr>
          <w:p>
            <w:pPr>
              <w:spacing w:after="0"/>
              <w:rPr>
                <w:sz w:val="14"/>
                <w:szCs w:val="14"/>
                <w:color w:val="auto"/>
              </w:rPr>
            </w:pPr>
          </w:p>
        </w:tc>
        <w:tc>
          <w:tcPr>
            <w:tcW w:w="1500" w:type="dxa"/>
            <w:vAlign w:val="bottom"/>
            <w:shd w:val="clear" w:color="auto" w:fill="333333"/>
          </w:tcPr>
          <w:p>
            <w:pPr>
              <w:jc w:val="right"/>
              <w:ind w:right="368"/>
              <w:spacing w:after="0" w:line="162" w:lineRule="exact"/>
              <w:rPr>
                <w:sz w:val="20"/>
                <w:szCs w:val="20"/>
                <w:color w:val="auto"/>
              </w:rPr>
            </w:pPr>
            <w:r>
              <w:rPr>
                <w:rFonts w:ascii="Arial" w:cs="Arial" w:eastAsia="Arial" w:hAnsi="Arial"/>
                <w:sz w:val="15"/>
                <w:szCs w:val="15"/>
                <w:color w:val="FFFFFF"/>
              </w:rPr>
              <w:t>$ MILLION</w:t>
            </w: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880" w:type="dxa"/>
            <w:vAlign w:val="bottom"/>
            <w:tcBorders>
              <w:bottom w:val="single" w:sz="8" w:color="auto"/>
            </w:tcBorders>
          </w:tcPr>
          <w:p>
            <w:pPr>
              <w:spacing w:after="0"/>
              <w:rPr>
                <w:sz w:val="12"/>
                <w:szCs w:val="12"/>
                <w:color w:val="auto"/>
              </w:rPr>
            </w:pPr>
          </w:p>
        </w:tc>
        <w:tc>
          <w:tcPr>
            <w:tcW w:w="3700" w:type="dxa"/>
            <w:vAlign w:val="bottom"/>
            <w:tcBorders>
              <w:bottom w:val="single" w:sz="8" w:color="auto"/>
            </w:tcBorders>
          </w:tcPr>
          <w:p>
            <w:pPr>
              <w:spacing w:after="0"/>
              <w:rPr>
                <w:sz w:val="12"/>
                <w:szCs w:val="12"/>
                <w:color w:val="auto"/>
              </w:rPr>
            </w:pPr>
          </w:p>
        </w:tc>
        <w:tc>
          <w:tcPr>
            <w:tcW w:w="274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shd w:val="clear" w:color="auto" w:fill="D8D8D8"/>
          </w:tcPr>
          <w:p>
            <w:pPr>
              <w:spacing w:after="0"/>
              <w:rPr>
                <w:sz w:val="12"/>
                <w:szCs w:val="12"/>
                <w:color w:val="auto"/>
              </w:rPr>
            </w:pPr>
          </w:p>
        </w:tc>
        <w:tc>
          <w:tcPr>
            <w:tcW w:w="1000" w:type="dxa"/>
            <w:vAlign w:val="bottom"/>
            <w:tcBorders>
              <w:bottom w:val="single" w:sz="8" w:color="auto"/>
            </w:tcBorders>
            <w:shd w:val="clear" w:color="auto" w:fill="D8D8D8"/>
          </w:tcPr>
          <w:p>
            <w:pPr>
              <w:jc w:val="right"/>
              <w:ind w:right="171"/>
              <w:spacing w:after="0"/>
              <w:rPr>
                <w:sz w:val="20"/>
                <w:szCs w:val="20"/>
                <w:color w:val="auto"/>
              </w:rPr>
            </w:pPr>
            <w:r>
              <w:rPr>
                <w:rFonts w:ascii="Arial" w:cs="Arial" w:eastAsia="Arial" w:hAnsi="Arial"/>
                <w:sz w:val="13"/>
                <w:szCs w:val="13"/>
                <w:color w:val="auto"/>
              </w:rPr>
              <w:t>2014</w:t>
            </w:r>
          </w:p>
        </w:tc>
        <w:tc>
          <w:tcPr>
            <w:tcW w:w="220" w:type="dxa"/>
            <w:vAlign w:val="bottom"/>
            <w:tcBorders>
              <w:bottom w:val="single" w:sz="8" w:color="auto"/>
            </w:tcBorders>
            <w:shd w:val="clear" w:color="auto" w:fill="D8D8D8"/>
          </w:tcPr>
          <w:p>
            <w:pPr>
              <w:spacing w:after="0"/>
              <w:rPr>
                <w:sz w:val="12"/>
                <w:szCs w:val="12"/>
                <w:color w:val="auto"/>
              </w:rPr>
            </w:pPr>
          </w:p>
        </w:tc>
        <w:tc>
          <w:tcPr>
            <w:tcW w:w="1760" w:type="dxa"/>
            <w:vAlign w:val="bottom"/>
            <w:tcBorders>
              <w:bottom w:val="single" w:sz="8" w:color="auto"/>
            </w:tcBorders>
            <w:gridSpan w:val="3"/>
          </w:tcPr>
          <w:p>
            <w:pPr>
              <w:jc w:val="right"/>
              <w:ind w:right="368"/>
              <w:spacing w:after="0"/>
              <w:rPr>
                <w:sz w:val="20"/>
                <w:szCs w:val="20"/>
                <w:color w:val="auto"/>
              </w:rPr>
            </w:pPr>
            <w:r>
              <w:rPr>
                <w:rFonts w:ascii="Arial" w:cs="Arial" w:eastAsia="Arial" w:hAnsi="Arial"/>
                <w:sz w:val="13"/>
                <w:szCs w:val="13"/>
                <w:color w:val="auto"/>
              </w:rPr>
              <w:t>2013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1880" w:type="dxa"/>
            <w:vAlign w:val="bottom"/>
          </w:tcPr>
          <w:p>
            <w:pPr>
              <w:spacing w:after="0" w:line="155" w:lineRule="exact"/>
              <w:rPr>
                <w:sz w:val="20"/>
                <w:szCs w:val="20"/>
                <w:color w:val="auto"/>
              </w:rPr>
            </w:pPr>
            <w:r>
              <w:rPr>
                <w:rFonts w:ascii="Arial" w:cs="Arial" w:eastAsia="Arial" w:hAnsi="Arial"/>
                <w:sz w:val="14"/>
                <w:szCs w:val="14"/>
                <w:color w:val="auto"/>
              </w:rPr>
              <w:t>Finance income</w:t>
            </w:r>
          </w:p>
        </w:tc>
        <w:tc>
          <w:tcPr>
            <w:tcW w:w="3700" w:type="dxa"/>
            <w:vAlign w:val="bottom"/>
          </w:tcPr>
          <w:p>
            <w:pPr>
              <w:spacing w:after="0"/>
              <w:rPr>
                <w:sz w:val="13"/>
                <w:szCs w:val="13"/>
                <w:color w:val="auto"/>
              </w:rPr>
            </w:pPr>
          </w:p>
        </w:tc>
        <w:tc>
          <w:tcPr>
            <w:tcW w:w="2740" w:type="dxa"/>
            <w:vAlign w:val="bottom"/>
          </w:tcPr>
          <w:p>
            <w:pPr>
              <w:spacing w:after="0"/>
              <w:rPr>
                <w:sz w:val="13"/>
                <w:szCs w:val="13"/>
                <w:color w:val="auto"/>
              </w:rPr>
            </w:pPr>
          </w:p>
        </w:tc>
        <w:tc>
          <w:tcPr>
            <w:tcW w:w="120" w:type="dxa"/>
            <w:vAlign w:val="bottom"/>
            <w:shd w:val="clear" w:color="auto" w:fill="D8D8D8"/>
          </w:tcPr>
          <w:p>
            <w:pPr>
              <w:spacing w:after="0"/>
              <w:rPr>
                <w:sz w:val="13"/>
                <w:szCs w:val="13"/>
                <w:color w:val="auto"/>
              </w:rPr>
            </w:pPr>
          </w:p>
        </w:tc>
        <w:tc>
          <w:tcPr>
            <w:tcW w:w="1000" w:type="dxa"/>
            <w:vAlign w:val="bottom"/>
            <w:shd w:val="clear" w:color="auto" w:fill="D8D8D8"/>
          </w:tcPr>
          <w:p>
            <w:pPr>
              <w:spacing w:after="0"/>
              <w:rPr>
                <w:sz w:val="13"/>
                <w:szCs w:val="13"/>
                <w:color w:val="auto"/>
              </w:rPr>
            </w:pPr>
          </w:p>
        </w:tc>
        <w:tc>
          <w:tcPr>
            <w:tcW w:w="220" w:type="dxa"/>
            <w:vAlign w:val="bottom"/>
            <w:shd w:val="clear" w:color="auto" w:fill="D8D8D8"/>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1880" w:type="dxa"/>
            <w:vAlign w:val="bottom"/>
          </w:tcPr>
          <w:p>
            <w:pPr>
              <w:ind w:left="140"/>
              <w:spacing w:after="0"/>
              <w:rPr>
                <w:sz w:val="20"/>
                <w:szCs w:val="20"/>
                <w:color w:val="auto"/>
              </w:rPr>
            </w:pPr>
            <w:r>
              <w:rPr>
                <w:rFonts w:ascii="Arial" w:cs="Arial" w:eastAsia="Arial" w:hAnsi="Arial"/>
                <w:sz w:val="14"/>
                <w:szCs w:val="14"/>
                <w:color w:val="auto"/>
              </w:rPr>
              <w:t>Interest income</w:t>
            </w:r>
          </w:p>
        </w:tc>
        <w:tc>
          <w:tcPr>
            <w:tcW w:w="370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120" w:type="dxa"/>
            <w:vAlign w:val="bottom"/>
            <w:shd w:val="clear" w:color="auto" w:fill="D8D8D8"/>
          </w:tcPr>
          <w:p>
            <w:pPr>
              <w:spacing w:after="0"/>
              <w:rPr>
                <w:sz w:val="14"/>
                <w:szCs w:val="14"/>
                <w:color w:val="auto"/>
              </w:rPr>
            </w:pPr>
          </w:p>
        </w:tc>
        <w:tc>
          <w:tcPr>
            <w:tcW w:w="1000" w:type="dxa"/>
            <w:vAlign w:val="bottom"/>
            <w:shd w:val="clear" w:color="auto" w:fill="D8D8D8"/>
          </w:tcPr>
          <w:p>
            <w:pPr>
              <w:jc w:val="right"/>
              <w:ind w:right="171"/>
              <w:spacing w:after="0"/>
              <w:rPr>
                <w:sz w:val="20"/>
                <w:szCs w:val="20"/>
                <w:color w:val="auto"/>
              </w:rPr>
            </w:pPr>
            <w:r>
              <w:rPr>
                <w:rFonts w:ascii="Arial" w:cs="Arial" w:eastAsia="Arial" w:hAnsi="Arial"/>
                <w:sz w:val="14"/>
                <w:szCs w:val="14"/>
                <w:color w:val="auto"/>
              </w:rPr>
              <w:t>7</w:t>
            </w:r>
          </w:p>
        </w:tc>
        <w:tc>
          <w:tcPr>
            <w:tcW w:w="220" w:type="dxa"/>
            <w:vAlign w:val="bottom"/>
            <w:shd w:val="clear" w:color="auto" w:fill="D8D8D8"/>
          </w:tcPr>
          <w:p>
            <w:pPr>
              <w:spacing w:after="0"/>
              <w:rPr>
                <w:sz w:val="14"/>
                <w:szCs w:val="14"/>
                <w:color w:val="auto"/>
              </w:rPr>
            </w:pPr>
          </w:p>
        </w:tc>
        <w:tc>
          <w:tcPr>
            <w:tcW w:w="1760" w:type="dxa"/>
            <w:vAlign w:val="bottom"/>
            <w:gridSpan w:val="3"/>
          </w:tcPr>
          <w:p>
            <w:pPr>
              <w:jc w:val="right"/>
              <w:ind w:right="368"/>
              <w:spacing w:after="0"/>
              <w:rPr>
                <w:sz w:val="20"/>
                <w:szCs w:val="20"/>
                <w:color w:val="auto"/>
              </w:rPr>
            </w:pPr>
            <w:r>
              <w:rPr>
                <w:rFonts w:ascii="Arial" w:cs="Arial" w:eastAsia="Arial" w:hAnsi="Arial"/>
                <w:sz w:val="14"/>
                <w:szCs w:val="14"/>
                <w:color w:val="auto"/>
              </w:rPr>
              <w:t>2</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1880" w:type="dxa"/>
            <w:vAlign w:val="bottom"/>
          </w:tcPr>
          <w:p>
            <w:pPr>
              <w:ind w:left="140"/>
              <w:spacing w:after="0"/>
              <w:rPr>
                <w:sz w:val="20"/>
                <w:szCs w:val="20"/>
                <w:color w:val="auto"/>
              </w:rPr>
            </w:pPr>
            <w:r>
              <w:rPr>
                <w:rFonts w:ascii="Arial" w:cs="Arial" w:eastAsia="Arial" w:hAnsi="Arial"/>
                <w:sz w:val="14"/>
                <w:szCs w:val="14"/>
                <w:color w:val="auto"/>
              </w:rPr>
              <w:t>Other income</w:t>
            </w:r>
          </w:p>
        </w:tc>
        <w:tc>
          <w:tcPr>
            <w:tcW w:w="370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120" w:type="dxa"/>
            <w:vAlign w:val="bottom"/>
            <w:shd w:val="clear" w:color="auto" w:fill="D8D8D8"/>
          </w:tcPr>
          <w:p>
            <w:pPr>
              <w:spacing w:after="0"/>
              <w:rPr>
                <w:sz w:val="14"/>
                <w:szCs w:val="14"/>
                <w:color w:val="auto"/>
              </w:rPr>
            </w:pPr>
          </w:p>
        </w:tc>
        <w:tc>
          <w:tcPr>
            <w:tcW w:w="1000" w:type="dxa"/>
            <w:vAlign w:val="bottom"/>
            <w:shd w:val="clear" w:color="auto" w:fill="D8D8D8"/>
          </w:tcPr>
          <w:p>
            <w:pPr>
              <w:jc w:val="right"/>
              <w:ind w:right="171"/>
              <w:spacing w:after="0"/>
              <w:rPr>
                <w:sz w:val="20"/>
                <w:szCs w:val="20"/>
                <w:color w:val="auto"/>
              </w:rPr>
            </w:pPr>
            <w:r>
              <w:rPr>
                <w:rFonts w:ascii="Arial" w:cs="Arial" w:eastAsia="Arial" w:hAnsi="Arial"/>
                <w:sz w:val="14"/>
                <w:szCs w:val="14"/>
                <w:color w:val="auto"/>
              </w:rPr>
              <w:t>42</w:t>
            </w:r>
          </w:p>
        </w:tc>
        <w:tc>
          <w:tcPr>
            <w:tcW w:w="220" w:type="dxa"/>
            <w:vAlign w:val="bottom"/>
            <w:shd w:val="clear" w:color="auto" w:fill="D8D8D8"/>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20" w:type="dxa"/>
            <w:vAlign w:val="bottom"/>
            <w:gridSpan w:val="2"/>
          </w:tcPr>
          <w:p>
            <w:pPr>
              <w:jc w:val="right"/>
              <w:ind w:right="4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7"/>
        </w:trPr>
        <w:tc>
          <w:tcPr>
            <w:tcW w:w="1880" w:type="dxa"/>
            <w:vAlign w:val="bottom"/>
            <w:tcBorders>
              <w:bottom w:val="single" w:sz="8" w:color="auto"/>
            </w:tcBorders>
          </w:tcPr>
          <w:p>
            <w:pPr>
              <w:ind w:left="140"/>
              <w:spacing w:after="0" w:line="157" w:lineRule="exact"/>
              <w:rPr>
                <w:sz w:val="20"/>
                <w:szCs w:val="20"/>
                <w:color w:val="auto"/>
              </w:rPr>
            </w:pPr>
            <w:r>
              <w:rPr>
                <w:rFonts w:ascii="Arial" w:cs="Arial" w:eastAsia="Arial" w:hAnsi="Arial"/>
                <w:sz w:val="14"/>
                <w:szCs w:val="14"/>
                <w:color w:val="auto"/>
              </w:rPr>
              <w:t>Foreign exchange gains</w:t>
            </w:r>
          </w:p>
        </w:tc>
        <w:tc>
          <w:tcPr>
            <w:tcW w:w="3700" w:type="dxa"/>
            <w:vAlign w:val="bottom"/>
            <w:tcBorders>
              <w:bottom w:val="single" w:sz="8" w:color="auto"/>
            </w:tcBorders>
          </w:tcPr>
          <w:p>
            <w:pPr>
              <w:spacing w:after="0"/>
              <w:rPr>
                <w:sz w:val="13"/>
                <w:szCs w:val="13"/>
                <w:color w:val="auto"/>
              </w:rPr>
            </w:pPr>
          </w:p>
        </w:tc>
        <w:tc>
          <w:tcPr>
            <w:tcW w:w="274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shd w:val="clear" w:color="auto" w:fill="D8D8D8"/>
          </w:tcPr>
          <w:p>
            <w:pPr>
              <w:spacing w:after="0"/>
              <w:rPr>
                <w:sz w:val="13"/>
                <w:szCs w:val="13"/>
                <w:color w:val="auto"/>
              </w:rPr>
            </w:pPr>
          </w:p>
        </w:tc>
        <w:tc>
          <w:tcPr>
            <w:tcW w:w="1000" w:type="dxa"/>
            <w:vAlign w:val="bottom"/>
            <w:tcBorders>
              <w:bottom w:val="single" w:sz="8" w:color="auto"/>
            </w:tcBorders>
            <w:shd w:val="clear" w:color="auto" w:fill="D8D8D8"/>
          </w:tcPr>
          <w:p>
            <w:pPr>
              <w:jc w:val="right"/>
              <w:ind w:right="171"/>
              <w:spacing w:after="0" w:line="157" w:lineRule="exact"/>
              <w:rPr>
                <w:sz w:val="20"/>
                <w:szCs w:val="20"/>
                <w:color w:val="auto"/>
              </w:rPr>
            </w:pPr>
            <w:r>
              <w:rPr>
                <w:rFonts w:ascii="Arial" w:cs="Arial" w:eastAsia="Arial" w:hAnsi="Arial"/>
                <w:sz w:val="14"/>
                <w:szCs w:val="14"/>
                <w:color w:val="auto"/>
              </w:rPr>
              <w:t>–</w:t>
            </w:r>
          </w:p>
        </w:tc>
        <w:tc>
          <w:tcPr>
            <w:tcW w:w="220" w:type="dxa"/>
            <w:vAlign w:val="bottom"/>
            <w:tcBorders>
              <w:bottom w:val="single" w:sz="8" w:color="auto"/>
            </w:tcBorders>
            <w:shd w:val="clear" w:color="auto" w:fill="D8D8D8"/>
          </w:tcPr>
          <w:p>
            <w:pPr>
              <w:spacing w:after="0"/>
              <w:rPr>
                <w:sz w:val="13"/>
                <w:szCs w:val="13"/>
                <w:color w:val="auto"/>
              </w:rPr>
            </w:pPr>
          </w:p>
        </w:tc>
        <w:tc>
          <w:tcPr>
            <w:tcW w:w="1760" w:type="dxa"/>
            <w:vAlign w:val="bottom"/>
            <w:tcBorders>
              <w:bottom w:val="single" w:sz="8" w:color="auto"/>
            </w:tcBorders>
            <w:gridSpan w:val="3"/>
          </w:tcPr>
          <w:p>
            <w:pPr>
              <w:jc w:val="right"/>
              <w:ind w:right="368"/>
              <w:spacing w:after="0" w:line="157" w:lineRule="exact"/>
              <w:rPr>
                <w:sz w:val="20"/>
                <w:szCs w:val="20"/>
                <w:color w:val="auto"/>
              </w:rPr>
            </w:pPr>
            <w:r>
              <w:rPr>
                <w:rFonts w:ascii="Arial" w:cs="Arial" w:eastAsia="Arial" w:hAnsi="Arial"/>
                <w:sz w:val="14"/>
                <w:szCs w:val="14"/>
                <w:color w:val="auto"/>
              </w:rPr>
              <w:t>618</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880" w:type="dxa"/>
            <w:vAlign w:val="bottom"/>
            <w:tcBorders>
              <w:bottom w:val="single" w:sz="8" w:color="auto"/>
            </w:tcBorders>
          </w:tcPr>
          <w:p>
            <w:pPr>
              <w:spacing w:after="0" w:line="155" w:lineRule="exact"/>
              <w:rPr>
                <w:sz w:val="20"/>
                <w:szCs w:val="20"/>
                <w:color w:val="auto"/>
              </w:rPr>
            </w:pPr>
            <w:r>
              <w:rPr>
                <w:rFonts w:ascii="Arial" w:cs="Arial" w:eastAsia="Arial" w:hAnsi="Arial"/>
                <w:sz w:val="14"/>
                <w:szCs w:val="14"/>
                <w:color w:val="auto"/>
              </w:rPr>
              <w:t>Total</w:t>
            </w:r>
          </w:p>
        </w:tc>
        <w:tc>
          <w:tcPr>
            <w:tcW w:w="3700" w:type="dxa"/>
            <w:vAlign w:val="bottom"/>
            <w:tcBorders>
              <w:bottom w:val="single" w:sz="8" w:color="auto"/>
            </w:tcBorders>
          </w:tcPr>
          <w:p>
            <w:pPr>
              <w:spacing w:after="0"/>
              <w:rPr>
                <w:sz w:val="13"/>
                <w:szCs w:val="13"/>
                <w:color w:val="auto"/>
              </w:rPr>
            </w:pPr>
          </w:p>
        </w:tc>
        <w:tc>
          <w:tcPr>
            <w:tcW w:w="274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shd w:val="clear" w:color="auto" w:fill="D8D8D8"/>
          </w:tcPr>
          <w:p>
            <w:pPr>
              <w:spacing w:after="0"/>
              <w:rPr>
                <w:sz w:val="13"/>
                <w:szCs w:val="13"/>
                <w:color w:val="auto"/>
              </w:rPr>
            </w:pPr>
          </w:p>
        </w:tc>
        <w:tc>
          <w:tcPr>
            <w:tcW w:w="1000" w:type="dxa"/>
            <w:vAlign w:val="bottom"/>
            <w:tcBorders>
              <w:bottom w:val="single" w:sz="8" w:color="auto"/>
            </w:tcBorders>
            <w:shd w:val="clear" w:color="auto" w:fill="D8D8D8"/>
          </w:tcPr>
          <w:p>
            <w:pPr>
              <w:jc w:val="right"/>
              <w:ind w:right="171"/>
              <w:spacing w:after="0" w:line="155" w:lineRule="exact"/>
              <w:rPr>
                <w:sz w:val="20"/>
                <w:szCs w:val="20"/>
                <w:color w:val="auto"/>
              </w:rPr>
            </w:pPr>
            <w:r>
              <w:rPr>
                <w:rFonts w:ascii="Arial" w:cs="Arial" w:eastAsia="Arial" w:hAnsi="Arial"/>
                <w:sz w:val="14"/>
                <w:szCs w:val="14"/>
                <w:color w:val="auto"/>
              </w:rPr>
              <w:t>49</w:t>
            </w:r>
          </w:p>
        </w:tc>
        <w:tc>
          <w:tcPr>
            <w:tcW w:w="220" w:type="dxa"/>
            <w:vAlign w:val="bottom"/>
            <w:tcBorders>
              <w:bottom w:val="single" w:sz="8" w:color="auto"/>
            </w:tcBorders>
            <w:shd w:val="clear" w:color="auto" w:fill="D8D8D8"/>
          </w:tcPr>
          <w:p>
            <w:pPr>
              <w:spacing w:after="0"/>
              <w:rPr>
                <w:sz w:val="13"/>
                <w:szCs w:val="13"/>
                <w:color w:val="auto"/>
              </w:rPr>
            </w:pPr>
          </w:p>
        </w:tc>
        <w:tc>
          <w:tcPr>
            <w:tcW w:w="1760" w:type="dxa"/>
            <w:vAlign w:val="bottom"/>
            <w:tcBorders>
              <w:bottom w:val="single" w:sz="8" w:color="auto"/>
            </w:tcBorders>
            <w:gridSpan w:val="3"/>
          </w:tcPr>
          <w:p>
            <w:pPr>
              <w:jc w:val="right"/>
              <w:ind w:right="368"/>
              <w:spacing w:after="0" w:line="155" w:lineRule="exact"/>
              <w:rPr>
                <w:sz w:val="20"/>
                <w:szCs w:val="20"/>
                <w:color w:val="auto"/>
              </w:rPr>
            </w:pPr>
            <w:r>
              <w:rPr>
                <w:rFonts w:ascii="Arial" w:cs="Arial" w:eastAsia="Arial" w:hAnsi="Arial"/>
                <w:sz w:val="14"/>
                <w:szCs w:val="14"/>
                <w:color w:val="auto"/>
              </w:rPr>
              <w:t>620</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1880" w:type="dxa"/>
            <w:vAlign w:val="bottom"/>
          </w:tcPr>
          <w:p>
            <w:pPr>
              <w:spacing w:after="0"/>
              <w:rPr>
                <w:sz w:val="20"/>
                <w:szCs w:val="20"/>
                <w:color w:val="auto"/>
              </w:rPr>
            </w:pPr>
            <w:r>
              <w:rPr>
                <w:rFonts w:ascii="Arial" w:cs="Arial" w:eastAsia="Arial" w:hAnsi="Arial"/>
                <w:sz w:val="14"/>
                <w:szCs w:val="14"/>
                <w:color w:val="auto"/>
              </w:rPr>
              <w:t>Finance expense</w:t>
            </w:r>
          </w:p>
        </w:tc>
        <w:tc>
          <w:tcPr>
            <w:tcW w:w="3700" w:type="dxa"/>
            <w:vAlign w:val="bottom"/>
          </w:tcPr>
          <w:p>
            <w:pPr>
              <w:spacing w:after="0"/>
              <w:rPr>
                <w:sz w:val="13"/>
                <w:szCs w:val="13"/>
                <w:color w:val="auto"/>
              </w:rPr>
            </w:pPr>
          </w:p>
        </w:tc>
        <w:tc>
          <w:tcPr>
            <w:tcW w:w="2740" w:type="dxa"/>
            <w:vAlign w:val="bottom"/>
          </w:tcPr>
          <w:p>
            <w:pPr>
              <w:spacing w:after="0"/>
              <w:rPr>
                <w:sz w:val="13"/>
                <w:szCs w:val="13"/>
                <w:color w:val="auto"/>
              </w:rPr>
            </w:pPr>
          </w:p>
        </w:tc>
        <w:tc>
          <w:tcPr>
            <w:tcW w:w="120" w:type="dxa"/>
            <w:vAlign w:val="bottom"/>
            <w:shd w:val="clear" w:color="auto" w:fill="D8D8D8"/>
          </w:tcPr>
          <w:p>
            <w:pPr>
              <w:spacing w:after="0"/>
              <w:rPr>
                <w:sz w:val="13"/>
                <w:szCs w:val="13"/>
                <w:color w:val="auto"/>
              </w:rPr>
            </w:pPr>
          </w:p>
        </w:tc>
        <w:tc>
          <w:tcPr>
            <w:tcW w:w="1000" w:type="dxa"/>
            <w:vAlign w:val="bottom"/>
            <w:shd w:val="clear" w:color="auto" w:fill="D8D8D8"/>
          </w:tcPr>
          <w:p>
            <w:pPr>
              <w:spacing w:after="0"/>
              <w:rPr>
                <w:sz w:val="13"/>
                <w:szCs w:val="13"/>
                <w:color w:val="auto"/>
              </w:rPr>
            </w:pPr>
          </w:p>
        </w:tc>
        <w:tc>
          <w:tcPr>
            <w:tcW w:w="220" w:type="dxa"/>
            <w:vAlign w:val="bottom"/>
            <w:shd w:val="clear" w:color="auto" w:fill="D8D8D8"/>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1880" w:type="dxa"/>
            <w:vAlign w:val="bottom"/>
          </w:tcPr>
          <w:p>
            <w:pPr>
              <w:ind w:left="140"/>
              <w:spacing w:after="0"/>
              <w:rPr>
                <w:sz w:val="20"/>
                <w:szCs w:val="20"/>
                <w:color w:val="auto"/>
              </w:rPr>
            </w:pPr>
            <w:r>
              <w:rPr>
                <w:rFonts w:ascii="Arial" w:cs="Arial" w:eastAsia="Arial" w:hAnsi="Arial"/>
                <w:sz w:val="14"/>
                <w:szCs w:val="14"/>
                <w:color w:val="auto"/>
              </w:rPr>
              <w:t>Interest expense</w:t>
            </w:r>
          </w:p>
        </w:tc>
        <w:tc>
          <w:tcPr>
            <w:tcW w:w="370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120" w:type="dxa"/>
            <w:vAlign w:val="bottom"/>
            <w:shd w:val="clear" w:color="auto" w:fill="D8D8D8"/>
          </w:tcPr>
          <w:p>
            <w:pPr>
              <w:spacing w:after="0"/>
              <w:rPr>
                <w:sz w:val="14"/>
                <w:szCs w:val="14"/>
                <w:color w:val="auto"/>
              </w:rPr>
            </w:pPr>
          </w:p>
        </w:tc>
        <w:tc>
          <w:tcPr>
            <w:tcW w:w="1000" w:type="dxa"/>
            <w:vAlign w:val="bottom"/>
            <w:shd w:val="clear" w:color="auto" w:fill="D8D8D8"/>
          </w:tcPr>
          <w:p>
            <w:pPr>
              <w:jc w:val="right"/>
              <w:ind w:right="171"/>
              <w:spacing w:after="0"/>
              <w:rPr>
                <w:sz w:val="20"/>
                <w:szCs w:val="20"/>
                <w:color w:val="auto"/>
              </w:rPr>
            </w:pPr>
            <w:r>
              <w:rPr>
                <w:rFonts w:ascii="Arial" w:cs="Arial" w:eastAsia="Arial" w:hAnsi="Arial"/>
                <w:sz w:val="14"/>
                <w:szCs w:val="14"/>
                <w:color w:val="auto"/>
              </w:rPr>
              <w:t>(14)</w:t>
            </w:r>
          </w:p>
        </w:tc>
        <w:tc>
          <w:tcPr>
            <w:tcW w:w="220" w:type="dxa"/>
            <w:vAlign w:val="bottom"/>
            <w:shd w:val="clear" w:color="auto" w:fill="D8D8D8"/>
          </w:tcPr>
          <w:p>
            <w:pPr>
              <w:spacing w:after="0"/>
              <w:rPr>
                <w:sz w:val="14"/>
                <w:szCs w:val="14"/>
                <w:color w:val="auto"/>
              </w:rPr>
            </w:pPr>
          </w:p>
        </w:tc>
        <w:tc>
          <w:tcPr>
            <w:tcW w:w="1760" w:type="dxa"/>
            <w:vAlign w:val="bottom"/>
            <w:gridSpan w:val="3"/>
          </w:tcPr>
          <w:p>
            <w:pPr>
              <w:jc w:val="right"/>
              <w:ind w:right="328"/>
              <w:spacing w:after="0"/>
              <w:rPr>
                <w:sz w:val="20"/>
                <w:szCs w:val="20"/>
                <w:color w:val="auto"/>
              </w:rPr>
            </w:pPr>
            <w:r>
              <w:rPr>
                <w:rFonts w:ascii="Arial" w:cs="Arial" w:eastAsia="Arial" w:hAnsi="Arial"/>
                <w:sz w:val="14"/>
                <w:szCs w:val="14"/>
                <w:color w:val="auto"/>
              </w:rPr>
              <w:t>(19)</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1880" w:type="dxa"/>
            <w:vAlign w:val="bottom"/>
          </w:tcPr>
          <w:p>
            <w:pPr>
              <w:ind w:left="140"/>
              <w:spacing w:after="0" w:line="157" w:lineRule="exact"/>
              <w:rPr>
                <w:sz w:val="20"/>
                <w:szCs w:val="20"/>
                <w:color w:val="auto"/>
              </w:rPr>
            </w:pPr>
            <w:r>
              <w:rPr>
                <w:rFonts w:ascii="Arial" w:cs="Arial" w:eastAsia="Arial" w:hAnsi="Arial"/>
                <w:sz w:val="14"/>
                <w:szCs w:val="14"/>
                <w:color w:val="auto"/>
              </w:rPr>
              <w:t>Foreign exchange losses</w:t>
            </w:r>
          </w:p>
        </w:tc>
        <w:tc>
          <w:tcPr>
            <w:tcW w:w="3700" w:type="dxa"/>
            <w:vAlign w:val="bottom"/>
          </w:tcPr>
          <w:p>
            <w:pPr>
              <w:spacing w:after="0"/>
              <w:rPr>
                <w:sz w:val="13"/>
                <w:szCs w:val="13"/>
                <w:color w:val="auto"/>
              </w:rPr>
            </w:pPr>
          </w:p>
        </w:tc>
        <w:tc>
          <w:tcPr>
            <w:tcW w:w="2740" w:type="dxa"/>
            <w:vAlign w:val="bottom"/>
          </w:tcPr>
          <w:p>
            <w:pPr>
              <w:spacing w:after="0"/>
              <w:rPr>
                <w:sz w:val="13"/>
                <w:szCs w:val="13"/>
                <w:color w:val="auto"/>
              </w:rPr>
            </w:pPr>
          </w:p>
        </w:tc>
        <w:tc>
          <w:tcPr>
            <w:tcW w:w="120" w:type="dxa"/>
            <w:vAlign w:val="bottom"/>
            <w:shd w:val="clear" w:color="auto" w:fill="D8D8D8"/>
          </w:tcPr>
          <w:p>
            <w:pPr>
              <w:spacing w:after="0"/>
              <w:rPr>
                <w:sz w:val="13"/>
                <w:szCs w:val="13"/>
                <w:color w:val="auto"/>
              </w:rPr>
            </w:pPr>
          </w:p>
        </w:tc>
        <w:tc>
          <w:tcPr>
            <w:tcW w:w="1000" w:type="dxa"/>
            <w:vAlign w:val="bottom"/>
            <w:shd w:val="clear" w:color="auto" w:fill="D8D8D8"/>
          </w:tcPr>
          <w:p>
            <w:pPr>
              <w:jc w:val="right"/>
              <w:ind w:right="171"/>
              <w:spacing w:after="0" w:line="157" w:lineRule="exact"/>
              <w:rPr>
                <w:sz w:val="20"/>
                <w:szCs w:val="20"/>
                <w:color w:val="auto"/>
              </w:rPr>
            </w:pPr>
            <w:r>
              <w:rPr>
                <w:rFonts w:ascii="Arial" w:cs="Arial" w:eastAsia="Arial" w:hAnsi="Arial"/>
                <w:sz w:val="14"/>
                <w:szCs w:val="14"/>
                <w:color w:val="auto"/>
              </w:rPr>
              <w:t>(1,942)</w:t>
            </w:r>
          </w:p>
        </w:tc>
        <w:tc>
          <w:tcPr>
            <w:tcW w:w="220" w:type="dxa"/>
            <w:vAlign w:val="bottom"/>
            <w:shd w:val="clear" w:color="auto" w:fill="D8D8D8"/>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520" w:type="dxa"/>
            <w:vAlign w:val="bottom"/>
            <w:gridSpan w:val="2"/>
          </w:tcPr>
          <w:p>
            <w:pPr>
              <w:jc w:val="right"/>
              <w:ind w:right="460"/>
              <w:spacing w:after="0" w:line="157"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6"/>
        </w:trPr>
        <w:tc>
          <w:tcPr>
            <w:tcW w:w="188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color w:val="auto"/>
              </w:rPr>
              <w:t>Total</w:t>
            </w:r>
          </w:p>
        </w:tc>
        <w:tc>
          <w:tcPr>
            <w:tcW w:w="3700" w:type="dxa"/>
            <w:vAlign w:val="bottom"/>
            <w:tcBorders>
              <w:top w:val="single" w:sz="8" w:color="auto"/>
              <w:bottom w:val="single" w:sz="8" w:color="auto"/>
            </w:tcBorders>
          </w:tcPr>
          <w:p>
            <w:pPr>
              <w:spacing w:after="0"/>
              <w:rPr>
                <w:sz w:val="13"/>
                <w:szCs w:val="13"/>
                <w:color w:val="auto"/>
              </w:rPr>
            </w:pPr>
          </w:p>
        </w:tc>
        <w:tc>
          <w:tcPr>
            <w:tcW w:w="2740" w:type="dxa"/>
            <w:vAlign w:val="bottom"/>
            <w:tcBorders>
              <w:top w:val="single" w:sz="8" w:color="auto"/>
              <w:bottom w:val="single" w:sz="8" w:color="auto"/>
            </w:tcBorders>
          </w:tcPr>
          <w:p>
            <w:pPr>
              <w:spacing w:after="0"/>
              <w:rPr>
                <w:sz w:val="13"/>
                <w:szCs w:val="13"/>
                <w:color w:val="auto"/>
              </w:rPr>
            </w:pPr>
          </w:p>
        </w:tc>
        <w:tc>
          <w:tcPr>
            <w:tcW w:w="120" w:type="dxa"/>
            <w:vAlign w:val="bottom"/>
            <w:tcBorders>
              <w:top w:val="single" w:sz="8" w:color="auto"/>
              <w:bottom w:val="single" w:sz="8" w:color="auto"/>
            </w:tcBorders>
            <w:shd w:val="clear" w:color="auto" w:fill="D8D8D8"/>
          </w:tcPr>
          <w:p>
            <w:pPr>
              <w:spacing w:after="0"/>
              <w:rPr>
                <w:sz w:val="13"/>
                <w:szCs w:val="13"/>
                <w:color w:val="auto"/>
              </w:rPr>
            </w:pPr>
          </w:p>
        </w:tc>
        <w:tc>
          <w:tcPr>
            <w:tcW w:w="1000" w:type="dxa"/>
            <w:vAlign w:val="bottom"/>
            <w:tcBorders>
              <w:top w:val="single" w:sz="8" w:color="auto"/>
              <w:bottom w:val="single" w:sz="8" w:color="auto"/>
            </w:tcBorders>
            <w:shd w:val="clear" w:color="auto" w:fill="D8D8D8"/>
          </w:tcPr>
          <w:p>
            <w:pPr>
              <w:jc w:val="right"/>
              <w:ind w:right="171"/>
              <w:spacing w:after="0" w:line="155" w:lineRule="exact"/>
              <w:rPr>
                <w:sz w:val="20"/>
                <w:szCs w:val="20"/>
                <w:color w:val="auto"/>
              </w:rPr>
            </w:pPr>
            <w:r>
              <w:rPr>
                <w:rFonts w:ascii="Arial" w:cs="Arial" w:eastAsia="Arial" w:hAnsi="Arial"/>
                <w:sz w:val="14"/>
                <w:szCs w:val="14"/>
                <w:color w:val="auto"/>
              </w:rPr>
              <w:t>(1,956)</w:t>
            </w:r>
          </w:p>
        </w:tc>
        <w:tc>
          <w:tcPr>
            <w:tcW w:w="220" w:type="dxa"/>
            <w:vAlign w:val="bottom"/>
            <w:tcBorders>
              <w:top w:val="single" w:sz="8" w:color="auto"/>
              <w:bottom w:val="single" w:sz="8" w:color="auto"/>
            </w:tcBorders>
            <w:shd w:val="clear" w:color="auto" w:fill="D8D8D8"/>
          </w:tcPr>
          <w:p>
            <w:pPr>
              <w:spacing w:after="0"/>
              <w:rPr>
                <w:sz w:val="13"/>
                <w:szCs w:val="13"/>
                <w:color w:val="auto"/>
              </w:rPr>
            </w:pPr>
          </w:p>
        </w:tc>
        <w:tc>
          <w:tcPr>
            <w:tcW w:w="1760" w:type="dxa"/>
            <w:vAlign w:val="bottom"/>
            <w:tcBorders>
              <w:top w:val="single" w:sz="8" w:color="auto"/>
              <w:bottom w:val="single" w:sz="8" w:color="auto"/>
            </w:tcBorders>
            <w:gridSpan w:val="3"/>
          </w:tcPr>
          <w:p>
            <w:pPr>
              <w:jc w:val="right"/>
              <w:ind w:right="328"/>
              <w:spacing w:after="0" w:line="155" w:lineRule="exact"/>
              <w:rPr>
                <w:sz w:val="20"/>
                <w:szCs w:val="20"/>
                <w:color w:val="auto"/>
              </w:rPr>
            </w:pPr>
            <w:r>
              <w:rPr>
                <w:rFonts w:ascii="Arial" w:cs="Arial" w:eastAsia="Arial" w:hAnsi="Arial"/>
                <w:sz w:val="14"/>
                <w:szCs w:val="14"/>
                <w:color w:val="auto"/>
              </w:rPr>
              <w:t>(19)</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99"/>
        </w:trPr>
        <w:tc>
          <w:tcPr>
            <w:tcW w:w="5580" w:type="dxa"/>
            <w:vAlign w:val="bottom"/>
            <w:gridSpan w:val="2"/>
          </w:tcPr>
          <w:p>
            <w:pPr>
              <w:spacing w:after="0"/>
              <w:rPr>
                <w:sz w:val="20"/>
                <w:szCs w:val="20"/>
                <w:color w:val="auto"/>
              </w:rPr>
            </w:pPr>
            <w:r>
              <w:rPr>
                <w:rFonts w:ascii="Arial" w:cs="Arial" w:eastAsia="Arial" w:hAnsi="Arial"/>
                <w:sz w:val="18"/>
                <w:szCs w:val="18"/>
                <w:color w:val="auto"/>
              </w:rPr>
              <w:t>4 INVESTMENTS IN SUBSIDIARIES</w:t>
            </w:r>
          </w:p>
        </w:tc>
        <w:tc>
          <w:tcPr>
            <w:tcW w:w="2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1880" w:type="dxa"/>
            <w:vAlign w:val="bottom"/>
          </w:tcPr>
          <w:p>
            <w:pPr>
              <w:spacing w:after="0"/>
              <w:rPr>
                <w:sz w:val="17"/>
                <w:szCs w:val="17"/>
                <w:color w:val="auto"/>
              </w:rPr>
            </w:pPr>
          </w:p>
        </w:tc>
        <w:tc>
          <w:tcPr>
            <w:tcW w:w="3700" w:type="dxa"/>
            <w:vAlign w:val="bottom"/>
          </w:tcPr>
          <w:p>
            <w:pPr>
              <w:spacing w:after="0"/>
              <w:rPr>
                <w:sz w:val="17"/>
                <w:szCs w:val="17"/>
                <w:color w:val="auto"/>
              </w:rPr>
            </w:pPr>
          </w:p>
        </w:tc>
        <w:tc>
          <w:tcPr>
            <w:tcW w:w="2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1880" w:type="dxa"/>
            <w:vAlign w:val="bottom"/>
            <w:shd w:val="clear" w:color="auto" w:fill="333333"/>
          </w:tcPr>
          <w:p>
            <w:pPr>
              <w:spacing w:after="0"/>
              <w:rPr>
                <w:sz w:val="14"/>
                <w:szCs w:val="14"/>
                <w:color w:val="auto"/>
              </w:rPr>
            </w:pPr>
          </w:p>
        </w:tc>
        <w:tc>
          <w:tcPr>
            <w:tcW w:w="3700" w:type="dxa"/>
            <w:vAlign w:val="bottom"/>
            <w:shd w:val="clear" w:color="auto" w:fill="333333"/>
          </w:tcPr>
          <w:p>
            <w:pPr>
              <w:spacing w:after="0"/>
              <w:rPr>
                <w:sz w:val="14"/>
                <w:szCs w:val="14"/>
                <w:color w:val="auto"/>
              </w:rPr>
            </w:pPr>
          </w:p>
        </w:tc>
        <w:tc>
          <w:tcPr>
            <w:tcW w:w="2740" w:type="dxa"/>
            <w:vAlign w:val="bottom"/>
            <w:shd w:val="clear" w:color="auto" w:fill="333333"/>
          </w:tcPr>
          <w:p>
            <w:pPr>
              <w:spacing w:after="0"/>
              <w:rPr>
                <w:sz w:val="14"/>
                <w:szCs w:val="14"/>
                <w:color w:val="auto"/>
              </w:rPr>
            </w:pPr>
          </w:p>
        </w:tc>
        <w:tc>
          <w:tcPr>
            <w:tcW w:w="120" w:type="dxa"/>
            <w:vAlign w:val="bottom"/>
            <w:shd w:val="clear" w:color="auto" w:fill="333333"/>
          </w:tcPr>
          <w:p>
            <w:pPr>
              <w:spacing w:after="0"/>
              <w:rPr>
                <w:sz w:val="14"/>
                <w:szCs w:val="14"/>
                <w:color w:val="auto"/>
              </w:rPr>
            </w:pPr>
          </w:p>
        </w:tc>
        <w:tc>
          <w:tcPr>
            <w:tcW w:w="1000" w:type="dxa"/>
            <w:vAlign w:val="bottom"/>
            <w:shd w:val="clear" w:color="auto" w:fill="333333"/>
          </w:tcPr>
          <w:p>
            <w:pPr>
              <w:spacing w:after="0"/>
              <w:rPr>
                <w:sz w:val="14"/>
                <w:szCs w:val="14"/>
                <w:color w:val="auto"/>
              </w:rPr>
            </w:pPr>
          </w:p>
        </w:tc>
        <w:tc>
          <w:tcPr>
            <w:tcW w:w="220" w:type="dxa"/>
            <w:vAlign w:val="bottom"/>
            <w:shd w:val="clear" w:color="auto" w:fill="333333"/>
          </w:tcPr>
          <w:p>
            <w:pPr>
              <w:spacing w:after="0"/>
              <w:rPr>
                <w:sz w:val="14"/>
                <w:szCs w:val="14"/>
                <w:color w:val="auto"/>
              </w:rPr>
            </w:pPr>
          </w:p>
        </w:tc>
        <w:tc>
          <w:tcPr>
            <w:tcW w:w="120" w:type="dxa"/>
            <w:vAlign w:val="bottom"/>
            <w:shd w:val="clear" w:color="auto" w:fill="333333"/>
          </w:tcPr>
          <w:p>
            <w:pPr>
              <w:spacing w:after="0"/>
              <w:rPr>
                <w:sz w:val="14"/>
                <w:szCs w:val="14"/>
                <w:color w:val="auto"/>
              </w:rPr>
            </w:pPr>
          </w:p>
        </w:tc>
        <w:tc>
          <w:tcPr>
            <w:tcW w:w="140" w:type="dxa"/>
            <w:vAlign w:val="bottom"/>
            <w:shd w:val="clear" w:color="auto" w:fill="333333"/>
          </w:tcPr>
          <w:p>
            <w:pPr>
              <w:spacing w:after="0"/>
              <w:rPr>
                <w:sz w:val="14"/>
                <w:szCs w:val="14"/>
                <w:color w:val="auto"/>
              </w:rPr>
            </w:pPr>
          </w:p>
        </w:tc>
        <w:tc>
          <w:tcPr>
            <w:tcW w:w="1500" w:type="dxa"/>
            <w:vAlign w:val="bottom"/>
            <w:shd w:val="clear" w:color="auto" w:fill="333333"/>
          </w:tcPr>
          <w:p>
            <w:pPr>
              <w:jc w:val="right"/>
              <w:ind w:right="268"/>
              <w:spacing w:after="0" w:line="162" w:lineRule="exact"/>
              <w:rPr>
                <w:sz w:val="20"/>
                <w:szCs w:val="20"/>
                <w:color w:val="auto"/>
              </w:rPr>
            </w:pPr>
            <w:r>
              <w:rPr>
                <w:rFonts w:ascii="Arial" w:cs="Arial" w:eastAsia="Arial" w:hAnsi="Arial"/>
                <w:sz w:val="15"/>
                <w:szCs w:val="15"/>
                <w:color w:val="FFFFFF"/>
              </w:rPr>
              <w:t>$ MILLION</w:t>
            </w: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880" w:type="dxa"/>
            <w:vAlign w:val="bottom"/>
            <w:tcBorders>
              <w:bottom w:val="single" w:sz="8" w:color="auto"/>
            </w:tcBorders>
          </w:tcPr>
          <w:p>
            <w:pPr>
              <w:spacing w:after="0"/>
              <w:rPr>
                <w:sz w:val="12"/>
                <w:szCs w:val="12"/>
                <w:color w:val="auto"/>
              </w:rPr>
            </w:pPr>
          </w:p>
        </w:tc>
        <w:tc>
          <w:tcPr>
            <w:tcW w:w="3700" w:type="dxa"/>
            <w:vAlign w:val="bottom"/>
            <w:tcBorders>
              <w:bottom w:val="single" w:sz="8" w:color="auto"/>
            </w:tcBorders>
          </w:tcPr>
          <w:p>
            <w:pPr>
              <w:spacing w:after="0"/>
              <w:rPr>
                <w:sz w:val="12"/>
                <w:szCs w:val="12"/>
                <w:color w:val="auto"/>
              </w:rPr>
            </w:pPr>
          </w:p>
        </w:tc>
        <w:tc>
          <w:tcPr>
            <w:tcW w:w="2860" w:type="dxa"/>
            <w:vAlign w:val="bottom"/>
            <w:tcBorders>
              <w:bottom w:val="single" w:sz="8" w:color="auto"/>
            </w:tcBorders>
            <w:gridSpan w:val="2"/>
          </w:tcPr>
          <w:p>
            <w:pPr>
              <w:spacing w:after="0"/>
              <w:rPr>
                <w:sz w:val="12"/>
                <w:szCs w:val="12"/>
                <w:color w:val="auto"/>
              </w:rPr>
            </w:pPr>
          </w:p>
        </w:tc>
        <w:tc>
          <w:tcPr>
            <w:tcW w:w="1220" w:type="dxa"/>
            <w:vAlign w:val="bottom"/>
            <w:tcBorders>
              <w:bottom w:val="single" w:sz="8" w:color="auto"/>
            </w:tcBorders>
            <w:gridSpan w:val="2"/>
            <w:shd w:val="clear" w:color="auto" w:fill="D8D8D8"/>
          </w:tcPr>
          <w:p>
            <w:pPr>
              <w:jc w:val="right"/>
              <w:ind w:right="148"/>
              <w:spacing w:after="0"/>
              <w:rPr>
                <w:sz w:val="20"/>
                <w:szCs w:val="20"/>
                <w:color w:val="auto"/>
              </w:rPr>
            </w:pPr>
            <w:r>
              <w:rPr>
                <w:rFonts w:ascii="Arial" w:cs="Arial" w:eastAsia="Arial" w:hAnsi="Arial"/>
                <w:sz w:val="13"/>
                <w:szCs w:val="13"/>
                <w:color w:val="auto"/>
              </w:rPr>
              <w:t>2014</w:t>
            </w:r>
          </w:p>
        </w:tc>
        <w:tc>
          <w:tcPr>
            <w:tcW w:w="120" w:type="dxa"/>
            <w:vAlign w:val="bottom"/>
            <w:tcBorders>
              <w:bottom w:val="single" w:sz="8" w:color="auto"/>
            </w:tcBorders>
            <w:shd w:val="clear" w:color="auto" w:fill="D8D8D8"/>
          </w:tcPr>
          <w:p>
            <w:pPr>
              <w:spacing w:after="0"/>
              <w:rPr>
                <w:sz w:val="12"/>
                <w:szCs w:val="12"/>
                <w:color w:val="auto"/>
              </w:rPr>
            </w:pPr>
          </w:p>
        </w:tc>
        <w:tc>
          <w:tcPr>
            <w:tcW w:w="1640" w:type="dxa"/>
            <w:vAlign w:val="bottom"/>
            <w:tcBorders>
              <w:bottom w:val="single" w:sz="8" w:color="auto"/>
            </w:tcBorders>
            <w:gridSpan w:val="2"/>
          </w:tcPr>
          <w:p>
            <w:pPr>
              <w:jc w:val="right"/>
              <w:ind w:right="268"/>
              <w:spacing w:after="0"/>
              <w:rPr>
                <w:sz w:val="20"/>
                <w:szCs w:val="20"/>
                <w:color w:val="auto"/>
              </w:rPr>
            </w:pPr>
            <w:r>
              <w:rPr>
                <w:rFonts w:ascii="Arial" w:cs="Arial" w:eastAsia="Arial" w:hAnsi="Arial"/>
                <w:sz w:val="13"/>
                <w:szCs w:val="13"/>
                <w:color w:val="auto"/>
              </w:rPr>
              <w:t>2013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1880" w:type="dxa"/>
            <w:vAlign w:val="bottom"/>
          </w:tcPr>
          <w:p>
            <w:pPr>
              <w:spacing w:after="0" w:line="155" w:lineRule="exact"/>
              <w:rPr>
                <w:sz w:val="20"/>
                <w:szCs w:val="20"/>
                <w:color w:val="auto"/>
              </w:rPr>
            </w:pPr>
            <w:r>
              <w:rPr>
                <w:rFonts w:ascii="Arial" w:cs="Arial" w:eastAsia="Arial" w:hAnsi="Arial"/>
                <w:sz w:val="14"/>
                <w:szCs w:val="14"/>
                <w:color w:val="auto"/>
              </w:rPr>
              <w:t>At January 1</w:t>
            </w:r>
          </w:p>
        </w:tc>
        <w:tc>
          <w:tcPr>
            <w:tcW w:w="3700" w:type="dxa"/>
            <w:vAlign w:val="bottom"/>
          </w:tcPr>
          <w:p>
            <w:pPr>
              <w:spacing w:after="0"/>
              <w:rPr>
                <w:sz w:val="13"/>
                <w:szCs w:val="13"/>
                <w:color w:val="auto"/>
              </w:rPr>
            </w:pPr>
          </w:p>
        </w:tc>
        <w:tc>
          <w:tcPr>
            <w:tcW w:w="2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20" w:type="dxa"/>
            <w:vAlign w:val="bottom"/>
            <w:gridSpan w:val="2"/>
            <w:shd w:val="clear" w:color="auto" w:fill="D8D8D8"/>
          </w:tcPr>
          <w:p>
            <w:pPr>
              <w:jc w:val="right"/>
              <w:ind w:right="148"/>
              <w:spacing w:after="0" w:line="155" w:lineRule="exact"/>
              <w:rPr>
                <w:sz w:val="20"/>
                <w:szCs w:val="20"/>
                <w:color w:val="auto"/>
              </w:rPr>
            </w:pPr>
            <w:r>
              <w:rPr>
                <w:rFonts w:ascii="Arial" w:cs="Arial" w:eastAsia="Arial" w:hAnsi="Arial"/>
                <w:sz w:val="14"/>
                <w:szCs w:val="14"/>
                <w:color w:val="auto"/>
              </w:rPr>
              <w:t>202,458</w:t>
            </w:r>
          </w:p>
        </w:tc>
        <w:tc>
          <w:tcPr>
            <w:tcW w:w="120" w:type="dxa"/>
            <w:vAlign w:val="bottom"/>
            <w:shd w:val="clear" w:color="auto" w:fill="D8D8D8"/>
          </w:tcPr>
          <w:p>
            <w:pPr>
              <w:spacing w:after="0"/>
              <w:rPr>
                <w:sz w:val="13"/>
                <w:szCs w:val="13"/>
                <w:color w:val="auto"/>
              </w:rPr>
            </w:pPr>
          </w:p>
        </w:tc>
        <w:tc>
          <w:tcPr>
            <w:tcW w:w="1640" w:type="dxa"/>
            <w:vAlign w:val="bottom"/>
            <w:gridSpan w:val="2"/>
          </w:tcPr>
          <w:p>
            <w:pPr>
              <w:jc w:val="right"/>
              <w:ind w:right="268"/>
              <w:spacing w:after="0" w:line="155" w:lineRule="exact"/>
              <w:rPr>
                <w:sz w:val="20"/>
                <w:szCs w:val="20"/>
                <w:color w:val="auto"/>
              </w:rPr>
            </w:pPr>
            <w:r>
              <w:rPr>
                <w:rFonts w:ascii="Arial" w:cs="Arial" w:eastAsia="Arial" w:hAnsi="Arial"/>
                <w:sz w:val="14"/>
                <w:szCs w:val="14"/>
                <w:color w:val="auto"/>
              </w:rPr>
              <w:t>202,490</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1880" w:type="dxa"/>
            <w:vAlign w:val="bottom"/>
          </w:tcPr>
          <w:p>
            <w:pPr>
              <w:spacing w:after="0"/>
              <w:rPr>
                <w:sz w:val="20"/>
                <w:szCs w:val="20"/>
                <w:color w:val="auto"/>
              </w:rPr>
            </w:pPr>
            <w:r>
              <w:rPr>
                <w:rFonts w:ascii="Arial" w:cs="Arial" w:eastAsia="Arial" w:hAnsi="Arial"/>
                <w:sz w:val="14"/>
                <w:szCs w:val="14"/>
                <w:color w:val="auto"/>
              </w:rPr>
              <w:t>Share-based compensation</w:t>
            </w:r>
          </w:p>
        </w:tc>
        <w:tc>
          <w:tcPr>
            <w:tcW w:w="3700" w:type="dxa"/>
            <w:vAlign w:val="bottom"/>
          </w:tcPr>
          <w:p>
            <w:pPr>
              <w:spacing w:after="0"/>
              <w:rPr>
                <w:sz w:val="14"/>
                <w:szCs w:val="14"/>
                <w:color w:val="auto"/>
              </w:rPr>
            </w:pPr>
          </w:p>
        </w:tc>
        <w:tc>
          <w:tcPr>
            <w:tcW w:w="2860" w:type="dxa"/>
            <w:vAlign w:val="bottom"/>
            <w:gridSpan w:val="2"/>
          </w:tcPr>
          <w:p>
            <w:pPr>
              <w:spacing w:after="0"/>
              <w:rPr>
                <w:sz w:val="14"/>
                <w:szCs w:val="14"/>
                <w:color w:val="auto"/>
              </w:rPr>
            </w:pPr>
          </w:p>
        </w:tc>
        <w:tc>
          <w:tcPr>
            <w:tcW w:w="1000" w:type="dxa"/>
            <w:vAlign w:val="bottom"/>
            <w:shd w:val="clear" w:color="auto" w:fill="D8D8D8"/>
          </w:tcPr>
          <w:p>
            <w:pPr>
              <w:jc w:val="right"/>
              <w:spacing w:after="0"/>
              <w:rPr>
                <w:sz w:val="20"/>
                <w:szCs w:val="20"/>
                <w:color w:val="auto"/>
              </w:rPr>
            </w:pPr>
            <w:r>
              <w:rPr>
                <w:rFonts w:ascii="Arial" w:cs="Arial" w:eastAsia="Arial" w:hAnsi="Arial"/>
                <w:sz w:val="14"/>
                <w:szCs w:val="14"/>
                <w:color w:val="auto"/>
              </w:rPr>
              <w:t>753</w:t>
            </w:r>
          </w:p>
        </w:tc>
        <w:tc>
          <w:tcPr>
            <w:tcW w:w="220" w:type="dxa"/>
            <w:vAlign w:val="bottom"/>
            <w:shd w:val="clear" w:color="auto" w:fill="D8D8D8"/>
          </w:tcPr>
          <w:p>
            <w:pPr>
              <w:spacing w:after="0"/>
              <w:rPr>
                <w:sz w:val="14"/>
                <w:szCs w:val="14"/>
                <w:color w:val="auto"/>
              </w:rPr>
            </w:pPr>
          </w:p>
        </w:tc>
        <w:tc>
          <w:tcPr>
            <w:tcW w:w="120" w:type="dxa"/>
            <w:vAlign w:val="bottom"/>
            <w:shd w:val="clear" w:color="auto" w:fill="D8D8D8"/>
          </w:tcPr>
          <w:p>
            <w:pPr>
              <w:spacing w:after="0"/>
              <w:rPr>
                <w:sz w:val="14"/>
                <w:szCs w:val="14"/>
                <w:color w:val="auto"/>
              </w:rPr>
            </w:pPr>
          </w:p>
        </w:tc>
        <w:tc>
          <w:tcPr>
            <w:tcW w:w="1640" w:type="dxa"/>
            <w:vAlign w:val="bottom"/>
            <w:gridSpan w:val="2"/>
          </w:tcPr>
          <w:p>
            <w:pPr>
              <w:jc w:val="right"/>
              <w:ind w:right="268"/>
              <w:spacing w:after="0"/>
              <w:rPr>
                <w:sz w:val="20"/>
                <w:szCs w:val="20"/>
                <w:color w:val="auto"/>
              </w:rPr>
            </w:pPr>
            <w:r>
              <w:rPr>
                <w:rFonts w:ascii="Arial" w:cs="Arial" w:eastAsia="Arial" w:hAnsi="Arial"/>
                <w:sz w:val="14"/>
                <w:szCs w:val="14"/>
                <w:color w:val="auto"/>
              </w:rPr>
              <w:t>520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580" w:type="dxa"/>
            <w:vAlign w:val="bottom"/>
            <w:tcBorders>
              <w:bottom w:val="single" w:sz="8" w:color="auto"/>
            </w:tcBorders>
            <w:gridSpan w:val="2"/>
          </w:tcPr>
          <w:p>
            <w:pPr>
              <w:spacing w:after="0"/>
              <w:rPr>
                <w:sz w:val="20"/>
                <w:szCs w:val="20"/>
                <w:color w:val="auto"/>
              </w:rPr>
            </w:pPr>
            <w:r>
              <w:rPr>
                <w:rFonts w:ascii="Arial" w:cs="Arial" w:eastAsia="Arial" w:hAnsi="Arial"/>
                <w:sz w:val="14"/>
                <w:szCs w:val="14"/>
                <w:color w:val="auto"/>
              </w:rPr>
              <w:t>Recovery of vested share-based compensation</w:t>
            </w:r>
          </w:p>
        </w:tc>
        <w:tc>
          <w:tcPr>
            <w:tcW w:w="2860" w:type="dxa"/>
            <w:vAlign w:val="bottom"/>
            <w:tcBorders>
              <w:bottom w:val="single" w:sz="8" w:color="auto"/>
            </w:tcBorders>
            <w:gridSpan w:val="2"/>
          </w:tcPr>
          <w:p>
            <w:pPr>
              <w:spacing w:after="0"/>
              <w:rPr>
                <w:sz w:val="14"/>
                <w:szCs w:val="14"/>
                <w:color w:val="auto"/>
              </w:rPr>
            </w:pPr>
          </w:p>
        </w:tc>
        <w:tc>
          <w:tcPr>
            <w:tcW w:w="1000" w:type="dxa"/>
            <w:vAlign w:val="bottom"/>
            <w:tcBorders>
              <w:bottom w:val="single" w:sz="8" w:color="auto"/>
            </w:tcBorders>
            <w:shd w:val="clear" w:color="auto" w:fill="D8D8D8"/>
          </w:tcPr>
          <w:p>
            <w:pPr>
              <w:jc w:val="right"/>
              <w:spacing w:after="0"/>
              <w:rPr>
                <w:sz w:val="20"/>
                <w:szCs w:val="20"/>
                <w:color w:val="auto"/>
              </w:rPr>
            </w:pPr>
            <w:r>
              <w:rPr>
                <w:rFonts w:ascii="Arial" w:cs="Arial" w:eastAsia="Arial" w:hAnsi="Arial"/>
                <w:sz w:val="14"/>
                <w:szCs w:val="14"/>
                <w:color w:val="auto"/>
              </w:rPr>
              <w:t>(420)</w:t>
            </w:r>
          </w:p>
        </w:tc>
        <w:tc>
          <w:tcPr>
            <w:tcW w:w="220" w:type="dxa"/>
            <w:vAlign w:val="bottom"/>
            <w:tcBorders>
              <w:bottom w:val="single" w:sz="8" w:color="auto"/>
            </w:tcBorders>
            <w:shd w:val="clear" w:color="auto" w:fill="D8D8D8"/>
          </w:tcPr>
          <w:p>
            <w:pPr>
              <w:spacing w:after="0"/>
              <w:rPr>
                <w:sz w:val="14"/>
                <w:szCs w:val="14"/>
                <w:color w:val="auto"/>
              </w:rPr>
            </w:pPr>
          </w:p>
        </w:tc>
        <w:tc>
          <w:tcPr>
            <w:tcW w:w="120" w:type="dxa"/>
            <w:vAlign w:val="bottom"/>
            <w:tcBorders>
              <w:bottom w:val="single" w:sz="8" w:color="auto"/>
            </w:tcBorders>
            <w:shd w:val="clear" w:color="auto" w:fill="D8D8D8"/>
          </w:tcPr>
          <w:p>
            <w:pPr>
              <w:spacing w:after="0"/>
              <w:rPr>
                <w:sz w:val="14"/>
                <w:szCs w:val="14"/>
                <w:color w:val="auto"/>
              </w:rPr>
            </w:pPr>
          </w:p>
        </w:tc>
        <w:tc>
          <w:tcPr>
            <w:tcW w:w="1640" w:type="dxa"/>
            <w:vAlign w:val="bottom"/>
            <w:tcBorders>
              <w:bottom w:val="single" w:sz="8" w:color="auto"/>
            </w:tcBorders>
            <w:gridSpan w:val="2"/>
          </w:tcPr>
          <w:p>
            <w:pPr>
              <w:jc w:val="right"/>
              <w:ind w:right="208"/>
              <w:spacing w:after="0"/>
              <w:rPr>
                <w:sz w:val="20"/>
                <w:szCs w:val="20"/>
                <w:color w:val="auto"/>
              </w:rPr>
            </w:pPr>
            <w:r>
              <w:rPr>
                <w:rFonts w:ascii="Arial" w:cs="Arial" w:eastAsia="Arial" w:hAnsi="Arial"/>
                <w:sz w:val="14"/>
                <w:szCs w:val="14"/>
                <w:color w:val="auto"/>
              </w:rPr>
              <w:t>(552)</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1880" w:type="dxa"/>
            <w:vAlign w:val="bottom"/>
            <w:tcBorders>
              <w:bottom w:val="single" w:sz="8" w:color="auto"/>
            </w:tcBorders>
          </w:tcPr>
          <w:p>
            <w:pPr>
              <w:spacing w:after="0" w:line="155" w:lineRule="exact"/>
              <w:rPr>
                <w:sz w:val="20"/>
                <w:szCs w:val="20"/>
                <w:color w:val="auto"/>
              </w:rPr>
            </w:pPr>
            <w:r>
              <w:rPr>
                <w:rFonts w:ascii="Arial" w:cs="Arial" w:eastAsia="Arial" w:hAnsi="Arial"/>
                <w:sz w:val="14"/>
                <w:szCs w:val="14"/>
                <w:color w:val="auto"/>
              </w:rPr>
              <w:t>At December 31</w:t>
            </w:r>
          </w:p>
        </w:tc>
        <w:tc>
          <w:tcPr>
            <w:tcW w:w="3700" w:type="dxa"/>
            <w:vAlign w:val="bottom"/>
            <w:tcBorders>
              <w:bottom w:val="single" w:sz="8" w:color="auto"/>
            </w:tcBorders>
          </w:tcPr>
          <w:p>
            <w:pPr>
              <w:spacing w:after="0"/>
              <w:rPr>
                <w:sz w:val="13"/>
                <w:szCs w:val="13"/>
                <w:color w:val="auto"/>
              </w:rPr>
            </w:pPr>
          </w:p>
        </w:tc>
        <w:tc>
          <w:tcPr>
            <w:tcW w:w="274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shd w:val="clear" w:color="auto" w:fill="D8D8D8"/>
          </w:tcPr>
          <w:p>
            <w:pPr>
              <w:jc w:val="right"/>
              <w:spacing w:after="0" w:line="155" w:lineRule="exact"/>
              <w:rPr>
                <w:sz w:val="20"/>
                <w:szCs w:val="20"/>
                <w:color w:val="auto"/>
              </w:rPr>
            </w:pPr>
            <w:r>
              <w:rPr>
                <w:rFonts w:ascii="Arial" w:cs="Arial" w:eastAsia="Arial" w:hAnsi="Arial"/>
                <w:sz w:val="14"/>
                <w:szCs w:val="14"/>
                <w:color w:val="auto"/>
              </w:rPr>
              <w:t>202,791</w:t>
            </w:r>
          </w:p>
        </w:tc>
        <w:tc>
          <w:tcPr>
            <w:tcW w:w="220" w:type="dxa"/>
            <w:vAlign w:val="bottom"/>
            <w:tcBorders>
              <w:bottom w:val="single" w:sz="8" w:color="auto"/>
            </w:tcBorders>
            <w:shd w:val="clear" w:color="auto" w:fill="D8D8D8"/>
          </w:tcPr>
          <w:p>
            <w:pPr>
              <w:spacing w:after="0"/>
              <w:rPr>
                <w:sz w:val="13"/>
                <w:szCs w:val="13"/>
                <w:color w:val="auto"/>
              </w:rPr>
            </w:pPr>
          </w:p>
        </w:tc>
        <w:tc>
          <w:tcPr>
            <w:tcW w:w="120" w:type="dxa"/>
            <w:vAlign w:val="bottom"/>
            <w:tcBorders>
              <w:bottom w:val="single" w:sz="8" w:color="auto"/>
            </w:tcBorders>
            <w:shd w:val="clear" w:color="auto" w:fill="D8D8D8"/>
          </w:tcPr>
          <w:p>
            <w:pPr>
              <w:spacing w:after="0"/>
              <w:rPr>
                <w:sz w:val="13"/>
                <w:szCs w:val="13"/>
                <w:color w:val="auto"/>
              </w:rPr>
            </w:pPr>
          </w:p>
        </w:tc>
        <w:tc>
          <w:tcPr>
            <w:tcW w:w="1640" w:type="dxa"/>
            <w:vAlign w:val="bottom"/>
            <w:tcBorders>
              <w:bottom w:val="single" w:sz="8" w:color="auto"/>
            </w:tcBorders>
            <w:gridSpan w:val="2"/>
          </w:tcPr>
          <w:p>
            <w:pPr>
              <w:jc w:val="right"/>
              <w:ind w:right="268"/>
              <w:spacing w:after="0" w:line="155" w:lineRule="exact"/>
              <w:rPr>
                <w:sz w:val="20"/>
                <w:szCs w:val="20"/>
                <w:color w:val="auto"/>
              </w:rPr>
            </w:pPr>
            <w:r>
              <w:rPr>
                <w:rFonts w:ascii="Arial" w:cs="Arial" w:eastAsia="Arial" w:hAnsi="Arial"/>
                <w:sz w:val="14"/>
                <w:szCs w:val="14"/>
                <w:color w:val="auto"/>
              </w:rPr>
              <w:t>202,458</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85"/>
        </w:trPr>
        <w:tc>
          <w:tcPr>
            <w:tcW w:w="5580" w:type="dxa"/>
            <w:vAlign w:val="bottom"/>
            <w:gridSpan w:val="2"/>
          </w:tcPr>
          <w:p>
            <w:pPr>
              <w:spacing w:after="0"/>
              <w:rPr>
                <w:sz w:val="20"/>
                <w:szCs w:val="20"/>
                <w:color w:val="auto"/>
              </w:rPr>
            </w:pPr>
            <w:r>
              <w:rPr>
                <w:rFonts w:ascii="Arial" w:cs="Arial" w:eastAsia="Arial" w:hAnsi="Arial"/>
                <w:sz w:val="18"/>
                <w:szCs w:val="18"/>
                <w:color w:val="auto"/>
              </w:rPr>
              <w:t>5 ACCOUNTS RECEIVABLE</w:t>
            </w:r>
          </w:p>
        </w:tc>
        <w:tc>
          <w:tcPr>
            <w:tcW w:w="2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1880" w:type="dxa"/>
            <w:vAlign w:val="bottom"/>
          </w:tcPr>
          <w:p>
            <w:pPr>
              <w:spacing w:after="0"/>
              <w:rPr>
                <w:sz w:val="17"/>
                <w:szCs w:val="17"/>
                <w:color w:val="auto"/>
              </w:rPr>
            </w:pPr>
          </w:p>
        </w:tc>
        <w:tc>
          <w:tcPr>
            <w:tcW w:w="3700" w:type="dxa"/>
            <w:vAlign w:val="bottom"/>
          </w:tcPr>
          <w:p>
            <w:pPr>
              <w:spacing w:after="0"/>
              <w:rPr>
                <w:sz w:val="17"/>
                <w:szCs w:val="17"/>
                <w:color w:val="auto"/>
              </w:rPr>
            </w:pPr>
          </w:p>
        </w:tc>
        <w:tc>
          <w:tcPr>
            <w:tcW w:w="2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1880" w:type="dxa"/>
            <w:vAlign w:val="bottom"/>
            <w:shd w:val="clear" w:color="auto" w:fill="333333"/>
          </w:tcPr>
          <w:p>
            <w:pPr>
              <w:spacing w:after="0"/>
              <w:rPr>
                <w:sz w:val="14"/>
                <w:szCs w:val="14"/>
                <w:color w:val="auto"/>
              </w:rPr>
            </w:pPr>
          </w:p>
        </w:tc>
        <w:tc>
          <w:tcPr>
            <w:tcW w:w="3700" w:type="dxa"/>
            <w:vAlign w:val="bottom"/>
            <w:shd w:val="clear" w:color="auto" w:fill="333333"/>
          </w:tcPr>
          <w:p>
            <w:pPr>
              <w:spacing w:after="0"/>
              <w:rPr>
                <w:sz w:val="14"/>
                <w:szCs w:val="14"/>
                <w:color w:val="auto"/>
              </w:rPr>
            </w:pPr>
          </w:p>
        </w:tc>
        <w:tc>
          <w:tcPr>
            <w:tcW w:w="2740" w:type="dxa"/>
            <w:vAlign w:val="bottom"/>
            <w:shd w:val="clear" w:color="auto" w:fill="333333"/>
          </w:tcPr>
          <w:p>
            <w:pPr>
              <w:spacing w:after="0"/>
              <w:rPr>
                <w:sz w:val="14"/>
                <w:szCs w:val="14"/>
                <w:color w:val="auto"/>
              </w:rPr>
            </w:pPr>
          </w:p>
        </w:tc>
        <w:tc>
          <w:tcPr>
            <w:tcW w:w="120" w:type="dxa"/>
            <w:vAlign w:val="bottom"/>
            <w:shd w:val="clear" w:color="auto" w:fill="333333"/>
          </w:tcPr>
          <w:p>
            <w:pPr>
              <w:spacing w:after="0"/>
              <w:rPr>
                <w:sz w:val="14"/>
                <w:szCs w:val="14"/>
                <w:color w:val="auto"/>
              </w:rPr>
            </w:pPr>
          </w:p>
        </w:tc>
        <w:tc>
          <w:tcPr>
            <w:tcW w:w="1000" w:type="dxa"/>
            <w:vAlign w:val="bottom"/>
            <w:shd w:val="clear" w:color="auto" w:fill="333333"/>
          </w:tcPr>
          <w:p>
            <w:pPr>
              <w:spacing w:after="0"/>
              <w:rPr>
                <w:sz w:val="14"/>
                <w:szCs w:val="14"/>
                <w:color w:val="auto"/>
              </w:rPr>
            </w:pPr>
          </w:p>
        </w:tc>
        <w:tc>
          <w:tcPr>
            <w:tcW w:w="220" w:type="dxa"/>
            <w:vAlign w:val="bottom"/>
            <w:shd w:val="clear" w:color="auto" w:fill="333333"/>
          </w:tcPr>
          <w:p>
            <w:pPr>
              <w:spacing w:after="0"/>
              <w:rPr>
                <w:sz w:val="14"/>
                <w:szCs w:val="14"/>
                <w:color w:val="auto"/>
              </w:rPr>
            </w:pPr>
          </w:p>
        </w:tc>
        <w:tc>
          <w:tcPr>
            <w:tcW w:w="120" w:type="dxa"/>
            <w:vAlign w:val="bottom"/>
            <w:shd w:val="clear" w:color="auto" w:fill="333333"/>
          </w:tcPr>
          <w:p>
            <w:pPr>
              <w:spacing w:after="0"/>
              <w:rPr>
                <w:sz w:val="14"/>
                <w:szCs w:val="14"/>
                <w:color w:val="auto"/>
              </w:rPr>
            </w:pPr>
          </w:p>
        </w:tc>
        <w:tc>
          <w:tcPr>
            <w:tcW w:w="140" w:type="dxa"/>
            <w:vAlign w:val="bottom"/>
            <w:shd w:val="clear" w:color="auto" w:fill="333333"/>
          </w:tcPr>
          <w:p>
            <w:pPr>
              <w:spacing w:after="0"/>
              <w:rPr>
                <w:sz w:val="14"/>
                <w:szCs w:val="14"/>
                <w:color w:val="auto"/>
              </w:rPr>
            </w:pPr>
          </w:p>
        </w:tc>
        <w:tc>
          <w:tcPr>
            <w:tcW w:w="1500" w:type="dxa"/>
            <w:vAlign w:val="bottom"/>
            <w:shd w:val="clear" w:color="auto" w:fill="333333"/>
          </w:tcPr>
          <w:p>
            <w:pPr>
              <w:jc w:val="right"/>
              <w:ind w:right="268"/>
              <w:spacing w:after="0" w:line="162" w:lineRule="exact"/>
              <w:rPr>
                <w:sz w:val="20"/>
                <w:szCs w:val="20"/>
                <w:color w:val="auto"/>
              </w:rPr>
            </w:pPr>
            <w:r>
              <w:rPr>
                <w:rFonts w:ascii="Arial" w:cs="Arial" w:eastAsia="Arial" w:hAnsi="Arial"/>
                <w:sz w:val="15"/>
                <w:szCs w:val="15"/>
                <w:color w:val="FFFFFF"/>
              </w:rPr>
              <w:t>$ MILLION</w:t>
            </w: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880" w:type="dxa"/>
            <w:vAlign w:val="bottom"/>
          </w:tcPr>
          <w:p>
            <w:pPr>
              <w:spacing w:after="0"/>
              <w:rPr>
                <w:sz w:val="12"/>
                <w:szCs w:val="12"/>
                <w:color w:val="auto"/>
              </w:rPr>
            </w:pPr>
          </w:p>
        </w:tc>
        <w:tc>
          <w:tcPr>
            <w:tcW w:w="3700" w:type="dxa"/>
            <w:vAlign w:val="bottom"/>
          </w:tcPr>
          <w:p>
            <w:pPr>
              <w:spacing w:after="0"/>
              <w:rPr>
                <w:sz w:val="12"/>
                <w:szCs w:val="12"/>
                <w:color w:val="auto"/>
              </w:rPr>
            </w:pPr>
          </w:p>
        </w:tc>
        <w:tc>
          <w:tcPr>
            <w:tcW w:w="2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gridSpan w:val="2"/>
            <w:shd w:val="clear" w:color="auto" w:fill="D8D8D8"/>
          </w:tcPr>
          <w:p>
            <w:pPr>
              <w:jc w:val="right"/>
              <w:ind w:right="8"/>
              <w:spacing w:after="0"/>
              <w:rPr>
                <w:sz w:val="20"/>
                <w:szCs w:val="20"/>
                <w:color w:val="auto"/>
              </w:rPr>
            </w:pPr>
            <w:r>
              <w:rPr>
                <w:rFonts w:ascii="Arial" w:cs="Arial" w:eastAsia="Arial" w:hAnsi="Arial"/>
                <w:sz w:val="13"/>
                <w:szCs w:val="13"/>
                <w:color w:val="auto"/>
              </w:rPr>
              <w:t>Dec 31, 2014</w:t>
            </w:r>
          </w:p>
        </w:tc>
        <w:tc>
          <w:tcPr>
            <w:tcW w:w="120" w:type="dxa"/>
            <w:vAlign w:val="bottom"/>
            <w:shd w:val="clear" w:color="auto" w:fill="D8D8D8"/>
          </w:tcPr>
          <w:p>
            <w:pPr>
              <w:spacing w:after="0"/>
              <w:rPr>
                <w:sz w:val="12"/>
                <w:szCs w:val="12"/>
                <w:color w:val="auto"/>
              </w:rPr>
            </w:pPr>
          </w:p>
        </w:tc>
        <w:tc>
          <w:tcPr>
            <w:tcW w:w="140" w:type="dxa"/>
            <w:vAlign w:val="bottom"/>
            <w:shd w:val="clear" w:color="auto" w:fill="D8D8D8"/>
          </w:tcPr>
          <w:p>
            <w:pPr>
              <w:spacing w:after="0"/>
              <w:rPr>
                <w:sz w:val="12"/>
                <w:szCs w:val="12"/>
                <w:color w:val="auto"/>
              </w:rPr>
            </w:pPr>
          </w:p>
        </w:tc>
        <w:tc>
          <w:tcPr>
            <w:tcW w:w="1520" w:type="dxa"/>
            <w:vAlign w:val="bottom"/>
            <w:gridSpan w:val="2"/>
          </w:tcPr>
          <w:p>
            <w:pPr>
              <w:jc w:val="right"/>
              <w:ind w:right="360"/>
              <w:spacing w:after="0"/>
              <w:rPr>
                <w:sz w:val="20"/>
                <w:szCs w:val="20"/>
                <w:color w:val="auto"/>
              </w:rPr>
            </w:pPr>
            <w:r>
              <w:rPr>
                <w:rFonts w:ascii="Arial" w:cs="Arial" w:eastAsia="Arial" w:hAnsi="Arial"/>
                <w:sz w:val="13"/>
                <w:szCs w:val="13"/>
                <w:color w:val="auto"/>
              </w:rPr>
              <w:t>Dec 31, 2013</w:t>
            </w:r>
          </w:p>
        </w:tc>
        <w:tc>
          <w:tcPr>
            <w:tcW w:w="0" w:type="dxa"/>
            <w:vAlign w:val="bottom"/>
          </w:tcPr>
          <w:p>
            <w:pPr>
              <w:spacing w:after="0"/>
              <w:rPr>
                <w:sz w:val="1"/>
                <w:szCs w:val="1"/>
                <w:color w:val="auto"/>
              </w:rPr>
            </w:pPr>
          </w:p>
        </w:tc>
      </w:tr>
      <w:tr>
        <w:trPr>
          <w:trHeight w:val="156"/>
        </w:trPr>
        <w:tc>
          <w:tcPr>
            <w:tcW w:w="5580" w:type="dxa"/>
            <w:vAlign w:val="bottom"/>
            <w:tcBorders>
              <w:top w:val="single" w:sz="8" w:color="auto"/>
            </w:tcBorders>
            <w:gridSpan w:val="2"/>
          </w:tcPr>
          <w:p>
            <w:pPr>
              <w:spacing w:after="0" w:line="155" w:lineRule="exact"/>
              <w:rPr>
                <w:sz w:val="20"/>
                <w:szCs w:val="20"/>
                <w:color w:val="auto"/>
              </w:rPr>
            </w:pPr>
            <w:r>
              <w:rPr>
                <w:rFonts w:ascii="Arial" w:cs="Arial" w:eastAsia="Arial" w:hAnsi="Arial"/>
                <w:sz w:val="14"/>
                <w:szCs w:val="14"/>
                <w:color w:val="auto"/>
              </w:rPr>
              <w:t>Amounts due from subsidiaries (see Note 15)</w:t>
            </w:r>
          </w:p>
        </w:tc>
        <w:tc>
          <w:tcPr>
            <w:tcW w:w="274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220" w:type="dxa"/>
            <w:vAlign w:val="bottom"/>
            <w:tcBorders>
              <w:top w:val="single" w:sz="8" w:color="auto"/>
            </w:tcBorders>
            <w:gridSpan w:val="2"/>
            <w:shd w:val="clear" w:color="auto" w:fill="D8D8D8"/>
          </w:tcPr>
          <w:p>
            <w:pPr>
              <w:jc w:val="right"/>
              <w:ind w:right="8"/>
              <w:spacing w:after="0" w:line="155" w:lineRule="exact"/>
              <w:rPr>
                <w:sz w:val="20"/>
                <w:szCs w:val="20"/>
                <w:color w:val="auto"/>
              </w:rPr>
            </w:pPr>
            <w:r>
              <w:rPr>
                <w:rFonts w:ascii="Arial" w:cs="Arial" w:eastAsia="Arial" w:hAnsi="Arial"/>
                <w:sz w:val="14"/>
                <w:szCs w:val="14"/>
                <w:color w:val="auto"/>
              </w:rPr>
              <w:t>20,652</w:t>
            </w:r>
          </w:p>
        </w:tc>
        <w:tc>
          <w:tcPr>
            <w:tcW w:w="120" w:type="dxa"/>
            <w:vAlign w:val="bottom"/>
            <w:tcBorders>
              <w:top w:val="single" w:sz="8" w:color="auto"/>
            </w:tcBorders>
            <w:shd w:val="clear" w:color="auto" w:fill="D8D8D8"/>
          </w:tcPr>
          <w:p>
            <w:pPr>
              <w:spacing w:after="0"/>
              <w:rPr>
                <w:sz w:val="13"/>
                <w:szCs w:val="13"/>
                <w:color w:val="auto"/>
              </w:rPr>
            </w:pPr>
          </w:p>
        </w:tc>
        <w:tc>
          <w:tcPr>
            <w:tcW w:w="140" w:type="dxa"/>
            <w:vAlign w:val="bottom"/>
            <w:tcBorders>
              <w:top w:val="single" w:sz="8" w:color="auto"/>
            </w:tcBorders>
            <w:shd w:val="clear" w:color="auto" w:fill="D8D8D8"/>
          </w:tcPr>
          <w:p>
            <w:pPr>
              <w:spacing w:after="0"/>
              <w:rPr>
                <w:sz w:val="13"/>
                <w:szCs w:val="13"/>
                <w:color w:val="auto"/>
              </w:rPr>
            </w:pPr>
          </w:p>
        </w:tc>
        <w:tc>
          <w:tcPr>
            <w:tcW w:w="1500" w:type="dxa"/>
            <w:vAlign w:val="bottom"/>
            <w:tcBorders>
              <w:top w:val="single" w:sz="8" w:color="auto"/>
            </w:tcBorders>
          </w:tcPr>
          <w:p>
            <w:pPr>
              <w:jc w:val="right"/>
              <w:ind w:right="268"/>
              <w:spacing w:after="0" w:line="155" w:lineRule="exact"/>
              <w:rPr>
                <w:sz w:val="20"/>
                <w:szCs w:val="20"/>
                <w:color w:val="auto"/>
              </w:rPr>
            </w:pPr>
            <w:r>
              <w:rPr>
                <w:rFonts w:ascii="Arial" w:cs="Arial" w:eastAsia="Arial" w:hAnsi="Arial"/>
                <w:sz w:val="14"/>
                <w:szCs w:val="14"/>
                <w:color w:val="auto"/>
              </w:rPr>
              <w:t>15,027</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188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Other receivables</w:t>
            </w:r>
          </w:p>
        </w:tc>
        <w:tc>
          <w:tcPr>
            <w:tcW w:w="3700" w:type="dxa"/>
            <w:vAlign w:val="bottom"/>
            <w:tcBorders>
              <w:bottom w:val="single" w:sz="8" w:color="auto"/>
            </w:tcBorders>
          </w:tcPr>
          <w:p>
            <w:pPr>
              <w:spacing w:after="0"/>
              <w:rPr>
                <w:sz w:val="14"/>
                <w:szCs w:val="14"/>
                <w:color w:val="auto"/>
              </w:rPr>
            </w:pPr>
          </w:p>
        </w:tc>
        <w:tc>
          <w:tcPr>
            <w:tcW w:w="27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shd w:val="clear" w:color="auto" w:fill="D8D8D8"/>
          </w:tcPr>
          <w:p>
            <w:pPr>
              <w:spacing w:after="0"/>
              <w:rPr>
                <w:sz w:val="14"/>
                <w:szCs w:val="14"/>
                <w:color w:val="auto"/>
              </w:rPr>
            </w:pPr>
          </w:p>
        </w:tc>
        <w:tc>
          <w:tcPr>
            <w:tcW w:w="220" w:type="dxa"/>
            <w:vAlign w:val="bottom"/>
            <w:tcBorders>
              <w:bottom w:val="single" w:sz="8" w:color="auto"/>
            </w:tcBorders>
            <w:shd w:val="clear" w:color="auto" w:fill="D8D8D8"/>
          </w:tcPr>
          <w:p>
            <w:pPr>
              <w:jc w:val="right"/>
              <w:ind w:right="8"/>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auto"/>
            </w:tcBorders>
            <w:gridSpan w:val="2"/>
            <w:shd w:val="clear" w:color="auto" w:fill="D8D8D8"/>
          </w:tcPr>
          <w:p>
            <w:pPr>
              <w:spacing w:after="0"/>
              <w:rPr>
                <w:sz w:val="14"/>
                <w:szCs w:val="14"/>
                <w:color w:val="auto"/>
              </w:rPr>
            </w:pPr>
          </w:p>
        </w:tc>
        <w:tc>
          <w:tcPr>
            <w:tcW w:w="150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color w:val="auto"/>
              </w:rPr>
              <w:t>5</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1880" w:type="dxa"/>
            <w:vAlign w:val="bottom"/>
            <w:tcBorders>
              <w:bottom w:val="single" w:sz="8" w:color="auto"/>
            </w:tcBorders>
          </w:tcPr>
          <w:p>
            <w:pPr>
              <w:spacing w:after="0" w:line="155" w:lineRule="exact"/>
              <w:rPr>
                <w:sz w:val="20"/>
                <w:szCs w:val="20"/>
                <w:color w:val="auto"/>
              </w:rPr>
            </w:pPr>
            <w:r>
              <w:rPr>
                <w:rFonts w:ascii="Arial" w:cs="Arial" w:eastAsia="Arial" w:hAnsi="Arial"/>
                <w:sz w:val="14"/>
                <w:szCs w:val="14"/>
                <w:color w:val="auto"/>
              </w:rPr>
              <w:t>Total</w:t>
            </w:r>
          </w:p>
        </w:tc>
        <w:tc>
          <w:tcPr>
            <w:tcW w:w="3700" w:type="dxa"/>
            <w:vAlign w:val="bottom"/>
            <w:tcBorders>
              <w:bottom w:val="single" w:sz="8" w:color="auto"/>
            </w:tcBorders>
          </w:tcPr>
          <w:p>
            <w:pPr>
              <w:spacing w:after="0"/>
              <w:rPr>
                <w:sz w:val="13"/>
                <w:szCs w:val="13"/>
                <w:color w:val="auto"/>
              </w:rPr>
            </w:pPr>
          </w:p>
        </w:tc>
        <w:tc>
          <w:tcPr>
            <w:tcW w:w="274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gridSpan w:val="2"/>
            <w:shd w:val="clear" w:color="auto" w:fill="D8D8D8"/>
          </w:tcPr>
          <w:p>
            <w:pPr>
              <w:jc w:val="right"/>
              <w:ind w:right="8"/>
              <w:spacing w:after="0" w:line="155" w:lineRule="exact"/>
              <w:rPr>
                <w:sz w:val="20"/>
                <w:szCs w:val="20"/>
                <w:color w:val="auto"/>
              </w:rPr>
            </w:pPr>
            <w:r>
              <w:rPr>
                <w:rFonts w:ascii="Arial" w:cs="Arial" w:eastAsia="Arial" w:hAnsi="Arial"/>
                <w:sz w:val="14"/>
                <w:szCs w:val="14"/>
                <w:color w:val="auto"/>
              </w:rPr>
              <w:t>20,652</w:t>
            </w:r>
          </w:p>
        </w:tc>
        <w:tc>
          <w:tcPr>
            <w:tcW w:w="120" w:type="dxa"/>
            <w:vAlign w:val="bottom"/>
            <w:tcBorders>
              <w:bottom w:val="single" w:sz="8" w:color="auto"/>
            </w:tcBorders>
            <w:shd w:val="clear" w:color="auto" w:fill="D8D8D8"/>
          </w:tcPr>
          <w:p>
            <w:pPr>
              <w:spacing w:after="0"/>
              <w:rPr>
                <w:sz w:val="13"/>
                <w:szCs w:val="13"/>
                <w:color w:val="auto"/>
              </w:rPr>
            </w:pPr>
          </w:p>
        </w:tc>
        <w:tc>
          <w:tcPr>
            <w:tcW w:w="140" w:type="dxa"/>
            <w:vAlign w:val="bottom"/>
            <w:tcBorders>
              <w:bottom w:val="single" w:sz="8" w:color="auto"/>
            </w:tcBorders>
            <w:shd w:val="clear" w:color="auto" w:fill="D8D8D8"/>
          </w:tcPr>
          <w:p>
            <w:pPr>
              <w:spacing w:after="0"/>
              <w:rPr>
                <w:sz w:val="13"/>
                <w:szCs w:val="13"/>
                <w:color w:val="auto"/>
              </w:rPr>
            </w:pPr>
          </w:p>
        </w:tc>
        <w:tc>
          <w:tcPr>
            <w:tcW w:w="1500" w:type="dxa"/>
            <w:vAlign w:val="bottom"/>
            <w:tcBorders>
              <w:bottom w:val="single" w:sz="8" w:color="auto"/>
            </w:tcBorders>
          </w:tcPr>
          <w:p>
            <w:pPr>
              <w:jc w:val="right"/>
              <w:ind w:right="268"/>
              <w:spacing w:after="0" w:line="155" w:lineRule="exact"/>
              <w:rPr>
                <w:sz w:val="20"/>
                <w:szCs w:val="20"/>
                <w:color w:val="auto"/>
              </w:rPr>
            </w:pPr>
            <w:r>
              <w:rPr>
                <w:rFonts w:ascii="Arial" w:cs="Arial" w:eastAsia="Arial" w:hAnsi="Arial"/>
                <w:sz w:val="14"/>
                <w:szCs w:val="14"/>
                <w:color w:val="auto"/>
              </w:rPr>
              <w:t>15,032</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6 CASH AND CASH EQUIVALENTS</w:t>
      </w:r>
    </w:p>
    <w:p>
      <w:pPr>
        <w:spacing w:after="0" w:line="1" w:lineRule="exact"/>
        <w:rPr>
          <w:sz w:val="20"/>
          <w:szCs w:val="20"/>
          <w:color w:val="auto"/>
        </w:rPr>
      </w:pPr>
    </w:p>
    <w:p>
      <w:pPr>
        <w:ind w:right="120"/>
        <w:spacing w:after="0" w:line="258" w:lineRule="auto"/>
        <w:rPr>
          <w:sz w:val="20"/>
          <w:szCs w:val="20"/>
          <w:color w:val="auto"/>
        </w:rPr>
      </w:pPr>
      <w:r>
        <w:rPr>
          <w:rFonts w:ascii="Arial" w:cs="Arial" w:eastAsia="Arial" w:hAnsi="Arial"/>
          <w:sz w:val="14"/>
          <w:szCs w:val="14"/>
          <w:color w:val="auto"/>
        </w:rPr>
        <w:t>Cash and cash equivalents comprise call deposits in euros, sterling and dollars with Shell Treasury Centre Limited, a subsidiary. The Company earned interest on these balances of less than $1 million in 2014 (2013: less than $1 million).</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auto"/>
        </w:rPr>
        <w:t>7 ACCOUNTS PAYABLE AND ACCRUED LIABILITIES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5380" w:type="dxa"/>
            <w:vAlign w:val="bottom"/>
            <w:shd w:val="clear" w:color="auto" w:fill="333333"/>
          </w:tcPr>
          <w:p>
            <w:pPr>
              <w:spacing w:after="0"/>
              <w:rPr>
                <w:sz w:val="15"/>
                <w:szCs w:val="15"/>
                <w:color w:val="auto"/>
              </w:rPr>
            </w:pPr>
          </w:p>
        </w:tc>
        <w:tc>
          <w:tcPr>
            <w:tcW w:w="1240" w:type="dxa"/>
            <w:vAlign w:val="bottom"/>
            <w:shd w:val="clear" w:color="auto" w:fill="333333"/>
          </w:tcPr>
          <w:p>
            <w:pPr>
              <w:spacing w:after="0"/>
              <w:rPr>
                <w:sz w:val="15"/>
                <w:szCs w:val="15"/>
                <w:color w:val="auto"/>
              </w:rPr>
            </w:pPr>
          </w:p>
        </w:tc>
        <w:tc>
          <w:tcPr>
            <w:tcW w:w="1380" w:type="dxa"/>
            <w:vAlign w:val="bottom"/>
            <w:shd w:val="clear" w:color="auto" w:fill="333333"/>
          </w:tcPr>
          <w:p>
            <w:pPr>
              <w:spacing w:after="0"/>
              <w:rPr>
                <w:sz w:val="15"/>
                <w:szCs w:val="15"/>
                <w:color w:val="auto"/>
              </w:rPr>
            </w:pPr>
          </w:p>
        </w:tc>
        <w:tc>
          <w:tcPr>
            <w:tcW w:w="720" w:type="dxa"/>
            <w:vAlign w:val="bottom"/>
            <w:shd w:val="clear" w:color="auto" w:fill="333333"/>
          </w:tcPr>
          <w:p>
            <w:pPr>
              <w:spacing w:after="0"/>
              <w:rPr>
                <w:sz w:val="15"/>
                <w:szCs w:val="15"/>
                <w:color w:val="auto"/>
              </w:rPr>
            </w:pPr>
          </w:p>
        </w:tc>
        <w:tc>
          <w:tcPr>
            <w:tcW w:w="1380" w:type="dxa"/>
            <w:vAlign w:val="bottom"/>
            <w:shd w:val="clear" w:color="auto" w:fill="333333"/>
          </w:tcPr>
          <w:p>
            <w:pPr>
              <w:spacing w:after="0"/>
              <w:rPr>
                <w:sz w:val="15"/>
                <w:szCs w:val="15"/>
                <w:color w:val="auto"/>
              </w:rPr>
            </w:pPr>
          </w:p>
        </w:tc>
        <w:tc>
          <w:tcPr>
            <w:tcW w:w="1320" w:type="dxa"/>
            <w:vAlign w:val="bottom"/>
            <w:shd w:val="clear" w:color="auto" w:fill="333333"/>
          </w:tcPr>
          <w:p>
            <w:pPr>
              <w:jc w:val="right"/>
              <w:ind w:right="270"/>
              <w:spacing w:after="0"/>
              <w:rPr>
                <w:sz w:val="20"/>
                <w:szCs w:val="20"/>
                <w:color w:val="auto"/>
              </w:rPr>
            </w:pPr>
            <w:r>
              <w:rPr>
                <w:rFonts w:ascii="Arial" w:cs="Arial" w:eastAsia="Arial" w:hAnsi="Arial"/>
                <w:sz w:val="15"/>
                <w:szCs w:val="15"/>
                <w:color w:val="FFFFFF"/>
              </w:rPr>
              <w:t>$ MILLION</w:t>
            </w:r>
          </w:p>
        </w:tc>
      </w:tr>
      <w:tr>
        <w:trPr>
          <w:trHeight w:val="135"/>
        </w:trPr>
        <w:tc>
          <w:tcPr>
            <w:tcW w:w="5380" w:type="dxa"/>
            <w:vAlign w:val="bottom"/>
          </w:tcPr>
          <w:p>
            <w:pPr>
              <w:spacing w:after="0"/>
              <w:rPr>
                <w:sz w:val="11"/>
                <w:szCs w:val="11"/>
                <w:color w:val="auto"/>
              </w:rPr>
            </w:pPr>
          </w:p>
        </w:tc>
        <w:tc>
          <w:tcPr>
            <w:tcW w:w="1240" w:type="dxa"/>
            <w:vAlign w:val="bottom"/>
            <w:tcBorders>
              <w:bottom w:val="single" w:sz="8" w:color="auto"/>
            </w:tcBorders>
            <w:shd w:val="clear" w:color="auto" w:fill="D8D8D8"/>
          </w:tcPr>
          <w:p>
            <w:pPr>
              <w:spacing w:after="0"/>
              <w:rPr>
                <w:sz w:val="11"/>
                <w:szCs w:val="11"/>
                <w:color w:val="auto"/>
              </w:rPr>
            </w:pPr>
          </w:p>
        </w:tc>
        <w:tc>
          <w:tcPr>
            <w:tcW w:w="1380" w:type="dxa"/>
            <w:vAlign w:val="bottom"/>
            <w:tcBorders>
              <w:bottom w:val="single" w:sz="8" w:color="auto"/>
            </w:tcBorders>
            <w:shd w:val="clear" w:color="auto" w:fill="D8D8D8"/>
          </w:tcPr>
          <w:p>
            <w:pPr>
              <w:jc w:val="right"/>
              <w:ind w:right="271"/>
              <w:spacing w:after="0" w:line="135" w:lineRule="exact"/>
              <w:rPr>
                <w:sz w:val="20"/>
                <w:szCs w:val="20"/>
                <w:color w:val="auto"/>
              </w:rPr>
            </w:pPr>
            <w:r>
              <w:rPr>
                <w:rFonts w:ascii="Arial" w:cs="Arial" w:eastAsia="Arial" w:hAnsi="Arial"/>
                <w:sz w:val="13"/>
                <w:szCs w:val="13"/>
                <w:color w:val="auto"/>
              </w:rPr>
              <w:t>Dec 31, 2014</w:t>
            </w:r>
          </w:p>
        </w:tc>
        <w:tc>
          <w:tcPr>
            <w:tcW w:w="720" w:type="dxa"/>
            <w:vAlign w:val="bottom"/>
          </w:tcPr>
          <w:p>
            <w:pPr>
              <w:spacing w:after="0"/>
              <w:rPr>
                <w:sz w:val="11"/>
                <w:szCs w:val="11"/>
                <w:color w:val="auto"/>
              </w:rPr>
            </w:pPr>
          </w:p>
        </w:tc>
        <w:tc>
          <w:tcPr>
            <w:tcW w:w="1380" w:type="dxa"/>
            <w:vAlign w:val="bottom"/>
            <w:tcBorders>
              <w:bottom w:val="single" w:sz="8" w:color="auto"/>
            </w:tcBorders>
          </w:tcPr>
          <w:p>
            <w:pPr>
              <w:spacing w:after="0"/>
              <w:rPr>
                <w:sz w:val="11"/>
                <w:szCs w:val="11"/>
                <w:color w:val="auto"/>
              </w:rPr>
            </w:pPr>
          </w:p>
        </w:tc>
        <w:tc>
          <w:tcPr>
            <w:tcW w:w="1320" w:type="dxa"/>
            <w:vAlign w:val="bottom"/>
            <w:tcBorders>
              <w:bottom w:val="single" w:sz="8" w:color="auto"/>
            </w:tcBorders>
          </w:tcPr>
          <w:p>
            <w:pPr>
              <w:jc w:val="right"/>
              <w:ind w:right="270"/>
              <w:spacing w:after="0" w:line="135" w:lineRule="exact"/>
              <w:rPr>
                <w:sz w:val="20"/>
                <w:szCs w:val="20"/>
                <w:color w:val="auto"/>
              </w:rPr>
            </w:pPr>
            <w:r>
              <w:rPr>
                <w:rFonts w:ascii="Arial" w:cs="Arial" w:eastAsia="Arial" w:hAnsi="Arial"/>
                <w:sz w:val="13"/>
                <w:szCs w:val="13"/>
                <w:color w:val="auto"/>
              </w:rPr>
              <w:t>Dec 31, 2013</w:t>
            </w:r>
          </w:p>
        </w:tc>
      </w:tr>
      <w:tr>
        <w:trPr>
          <w:trHeight w:val="129"/>
        </w:trPr>
        <w:tc>
          <w:tcPr>
            <w:tcW w:w="5380" w:type="dxa"/>
            <w:vAlign w:val="bottom"/>
            <w:tcBorders>
              <w:bottom w:val="single" w:sz="8" w:color="auto"/>
            </w:tcBorders>
          </w:tcPr>
          <w:p>
            <w:pPr>
              <w:spacing w:after="0"/>
              <w:rPr>
                <w:sz w:val="11"/>
                <w:szCs w:val="11"/>
                <w:color w:val="auto"/>
              </w:rPr>
            </w:pPr>
          </w:p>
        </w:tc>
        <w:tc>
          <w:tcPr>
            <w:tcW w:w="1240" w:type="dxa"/>
            <w:vAlign w:val="bottom"/>
            <w:tcBorders>
              <w:bottom w:val="single" w:sz="8" w:color="auto"/>
            </w:tcBorders>
            <w:shd w:val="clear" w:color="auto" w:fill="D8D8D8"/>
          </w:tcPr>
          <w:p>
            <w:pPr>
              <w:jc w:val="right"/>
              <w:ind w:right="10"/>
              <w:spacing w:after="0" w:line="129" w:lineRule="exact"/>
              <w:rPr>
                <w:sz w:val="20"/>
                <w:szCs w:val="20"/>
                <w:color w:val="auto"/>
              </w:rPr>
            </w:pPr>
            <w:r>
              <w:rPr>
                <w:rFonts w:ascii="Arial" w:cs="Arial" w:eastAsia="Arial" w:hAnsi="Arial"/>
                <w:sz w:val="13"/>
                <w:szCs w:val="13"/>
                <w:color w:val="auto"/>
              </w:rPr>
              <w:t>Current</w:t>
            </w:r>
          </w:p>
        </w:tc>
        <w:tc>
          <w:tcPr>
            <w:tcW w:w="1380" w:type="dxa"/>
            <w:vAlign w:val="bottom"/>
            <w:tcBorders>
              <w:bottom w:val="single" w:sz="8" w:color="auto"/>
            </w:tcBorders>
            <w:shd w:val="clear" w:color="auto" w:fill="D8D8D8"/>
          </w:tcPr>
          <w:p>
            <w:pPr>
              <w:jc w:val="right"/>
              <w:ind w:right="271"/>
              <w:spacing w:after="0" w:line="129" w:lineRule="exact"/>
              <w:rPr>
                <w:sz w:val="20"/>
                <w:szCs w:val="20"/>
                <w:color w:val="auto"/>
              </w:rPr>
            </w:pPr>
            <w:r>
              <w:rPr>
                <w:rFonts w:ascii="Arial" w:cs="Arial" w:eastAsia="Arial" w:hAnsi="Arial"/>
                <w:sz w:val="13"/>
                <w:szCs w:val="13"/>
                <w:color w:val="auto"/>
              </w:rPr>
              <w:t>Non-current</w:t>
            </w:r>
          </w:p>
        </w:tc>
        <w:tc>
          <w:tcPr>
            <w:tcW w:w="720" w:type="dxa"/>
            <w:vAlign w:val="bottom"/>
            <w:tcBorders>
              <w:bottom w:val="single" w:sz="8" w:color="auto"/>
            </w:tcBorders>
          </w:tcPr>
          <w:p>
            <w:pPr>
              <w:spacing w:after="0"/>
              <w:rPr>
                <w:sz w:val="11"/>
                <w:szCs w:val="11"/>
                <w:color w:val="auto"/>
              </w:rPr>
            </w:pPr>
          </w:p>
        </w:tc>
        <w:tc>
          <w:tcPr>
            <w:tcW w:w="1380" w:type="dxa"/>
            <w:vAlign w:val="bottom"/>
            <w:tcBorders>
              <w:bottom w:val="single" w:sz="8" w:color="auto"/>
            </w:tcBorders>
          </w:tcPr>
          <w:p>
            <w:pPr>
              <w:jc w:val="right"/>
              <w:ind w:right="177"/>
              <w:spacing w:after="0" w:line="129" w:lineRule="exact"/>
              <w:rPr>
                <w:sz w:val="20"/>
                <w:szCs w:val="20"/>
                <w:color w:val="auto"/>
              </w:rPr>
            </w:pPr>
            <w:r>
              <w:rPr>
                <w:rFonts w:ascii="Arial" w:cs="Arial" w:eastAsia="Arial" w:hAnsi="Arial"/>
                <w:sz w:val="13"/>
                <w:szCs w:val="13"/>
                <w:color w:val="auto"/>
              </w:rPr>
              <w:t>Current</w:t>
            </w:r>
          </w:p>
        </w:tc>
        <w:tc>
          <w:tcPr>
            <w:tcW w:w="1320" w:type="dxa"/>
            <w:vAlign w:val="bottom"/>
            <w:tcBorders>
              <w:bottom w:val="single" w:sz="8" w:color="auto"/>
            </w:tcBorders>
          </w:tcPr>
          <w:p>
            <w:pPr>
              <w:jc w:val="right"/>
              <w:ind w:right="270"/>
              <w:spacing w:after="0" w:line="129" w:lineRule="exact"/>
              <w:rPr>
                <w:sz w:val="20"/>
                <w:szCs w:val="20"/>
                <w:color w:val="auto"/>
              </w:rPr>
            </w:pPr>
            <w:r>
              <w:rPr>
                <w:rFonts w:ascii="Arial" w:cs="Arial" w:eastAsia="Arial" w:hAnsi="Arial"/>
                <w:sz w:val="13"/>
                <w:szCs w:val="13"/>
                <w:color w:val="auto"/>
              </w:rPr>
              <w:t>Non-current</w:t>
            </w:r>
          </w:p>
        </w:tc>
      </w:tr>
      <w:tr>
        <w:trPr>
          <w:trHeight w:val="156"/>
        </w:trPr>
        <w:tc>
          <w:tcPr>
            <w:tcW w:w="5380" w:type="dxa"/>
            <w:vAlign w:val="bottom"/>
          </w:tcPr>
          <w:p>
            <w:pPr>
              <w:spacing w:after="0" w:line="155" w:lineRule="exact"/>
              <w:rPr>
                <w:sz w:val="20"/>
                <w:szCs w:val="20"/>
                <w:color w:val="auto"/>
              </w:rPr>
            </w:pPr>
            <w:r>
              <w:rPr>
                <w:rFonts w:ascii="Arial" w:cs="Arial" w:eastAsia="Arial" w:hAnsi="Arial"/>
                <w:sz w:val="14"/>
                <w:szCs w:val="14"/>
                <w:color w:val="auto"/>
              </w:rPr>
              <w:t>Amounts due to subsidiaries (see Note 15)</w:t>
            </w:r>
          </w:p>
        </w:tc>
        <w:tc>
          <w:tcPr>
            <w:tcW w:w="1240" w:type="dxa"/>
            <w:vAlign w:val="bottom"/>
            <w:shd w:val="clear" w:color="auto" w:fill="D8D8D8"/>
          </w:tcPr>
          <w:p>
            <w:pPr>
              <w:jc w:val="right"/>
              <w:ind w:right="10"/>
              <w:spacing w:after="0" w:line="155" w:lineRule="exact"/>
              <w:rPr>
                <w:sz w:val="20"/>
                <w:szCs w:val="20"/>
                <w:color w:val="auto"/>
              </w:rPr>
            </w:pPr>
            <w:r>
              <w:rPr>
                <w:rFonts w:ascii="Arial" w:cs="Arial" w:eastAsia="Arial" w:hAnsi="Arial"/>
                <w:sz w:val="14"/>
                <w:szCs w:val="14"/>
                <w:color w:val="auto"/>
              </w:rPr>
              <w:t>2,179</w:t>
            </w:r>
          </w:p>
        </w:tc>
        <w:tc>
          <w:tcPr>
            <w:tcW w:w="1380" w:type="dxa"/>
            <w:vAlign w:val="bottom"/>
            <w:shd w:val="clear" w:color="auto" w:fill="D8D8D8"/>
          </w:tcPr>
          <w:p>
            <w:pPr>
              <w:jc w:val="right"/>
              <w:ind w:right="271"/>
              <w:spacing w:after="0" w:line="155" w:lineRule="exact"/>
              <w:rPr>
                <w:sz w:val="20"/>
                <w:szCs w:val="20"/>
                <w:color w:val="auto"/>
              </w:rPr>
            </w:pPr>
            <w:r>
              <w:rPr>
                <w:rFonts w:ascii="Arial" w:cs="Arial" w:eastAsia="Arial" w:hAnsi="Arial"/>
                <w:sz w:val="14"/>
                <w:szCs w:val="14"/>
                <w:color w:val="auto"/>
              </w:rPr>
              <w:t>–</w:t>
            </w:r>
          </w:p>
        </w:tc>
        <w:tc>
          <w:tcPr>
            <w:tcW w:w="2100" w:type="dxa"/>
            <w:vAlign w:val="bottom"/>
            <w:gridSpan w:val="2"/>
          </w:tcPr>
          <w:p>
            <w:pPr>
              <w:jc w:val="right"/>
              <w:ind w:right="177"/>
              <w:spacing w:after="0" w:line="155" w:lineRule="exact"/>
              <w:rPr>
                <w:sz w:val="20"/>
                <w:szCs w:val="20"/>
                <w:color w:val="auto"/>
              </w:rPr>
            </w:pPr>
            <w:r>
              <w:rPr>
                <w:rFonts w:ascii="Arial" w:cs="Arial" w:eastAsia="Arial" w:hAnsi="Arial"/>
                <w:sz w:val="14"/>
                <w:szCs w:val="14"/>
                <w:color w:val="auto"/>
              </w:rPr>
              <w:t>497</w:t>
            </w:r>
          </w:p>
        </w:tc>
        <w:tc>
          <w:tcPr>
            <w:tcW w:w="1320" w:type="dxa"/>
            <w:vAlign w:val="bottom"/>
          </w:tcPr>
          <w:p>
            <w:pPr>
              <w:jc w:val="right"/>
              <w:ind w:right="270"/>
              <w:spacing w:after="0" w:line="155" w:lineRule="exact"/>
              <w:rPr>
                <w:sz w:val="20"/>
                <w:szCs w:val="20"/>
                <w:color w:val="auto"/>
              </w:rPr>
            </w:pPr>
            <w:r>
              <w:rPr>
                <w:rFonts w:ascii="Arial" w:cs="Arial" w:eastAsia="Arial" w:hAnsi="Arial"/>
                <w:sz w:val="14"/>
                <w:szCs w:val="14"/>
                <w:color w:val="auto"/>
              </w:rPr>
              <w:t>–</w:t>
            </w:r>
          </w:p>
        </w:tc>
      </w:tr>
      <w:tr>
        <w:trPr>
          <w:trHeight w:val="162"/>
        </w:trPr>
        <w:tc>
          <w:tcPr>
            <w:tcW w:w="5380" w:type="dxa"/>
            <w:vAlign w:val="bottom"/>
          </w:tcPr>
          <w:p>
            <w:pPr>
              <w:spacing w:after="0"/>
              <w:rPr>
                <w:sz w:val="20"/>
                <w:szCs w:val="20"/>
                <w:color w:val="auto"/>
              </w:rPr>
            </w:pPr>
            <w:r>
              <w:rPr>
                <w:rFonts w:ascii="Arial" w:cs="Arial" w:eastAsia="Arial" w:hAnsi="Arial"/>
                <w:sz w:val="14"/>
                <w:szCs w:val="14"/>
                <w:color w:val="auto"/>
              </w:rPr>
              <w:t>Withholding tax payable</w:t>
            </w:r>
          </w:p>
        </w:tc>
        <w:tc>
          <w:tcPr>
            <w:tcW w:w="1240" w:type="dxa"/>
            <w:vAlign w:val="bottom"/>
            <w:shd w:val="clear" w:color="auto" w:fill="D8D8D8"/>
          </w:tcPr>
          <w:p>
            <w:pPr>
              <w:jc w:val="right"/>
              <w:ind w:right="10"/>
              <w:spacing w:after="0"/>
              <w:rPr>
                <w:sz w:val="20"/>
                <w:szCs w:val="20"/>
                <w:color w:val="auto"/>
              </w:rPr>
            </w:pPr>
            <w:r>
              <w:rPr>
                <w:rFonts w:ascii="Arial" w:cs="Arial" w:eastAsia="Arial" w:hAnsi="Arial"/>
                <w:sz w:val="14"/>
                <w:szCs w:val="14"/>
                <w:color w:val="auto"/>
              </w:rPr>
              <w:t>249</w:t>
            </w:r>
          </w:p>
        </w:tc>
        <w:tc>
          <w:tcPr>
            <w:tcW w:w="1380" w:type="dxa"/>
            <w:vAlign w:val="bottom"/>
            <w:shd w:val="clear" w:color="auto" w:fill="D8D8D8"/>
          </w:tcPr>
          <w:p>
            <w:pPr>
              <w:jc w:val="right"/>
              <w:ind w:right="271"/>
              <w:spacing w:after="0"/>
              <w:rPr>
                <w:sz w:val="20"/>
                <w:szCs w:val="20"/>
                <w:color w:val="auto"/>
              </w:rPr>
            </w:pPr>
            <w:r>
              <w:rPr>
                <w:rFonts w:ascii="Arial" w:cs="Arial" w:eastAsia="Arial" w:hAnsi="Arial"/>
                <w:sz w:val="14"/>
                <w:szCs w:val="14"/>
                <w:color w:val="auto"/>
              </w:rPr>
              <w:t>–</w:t>
            </w:r>
          </w:p>
        </w:tc>
        <w:tc>
          <w:tcPr>
            <w:tcW w:w="2100" w:type="dxa"/>
            <w:vAlign w:val="bottom"/>
            <w:gridSpan w:val="2"/>
          </w:tcPr>
          <w:p>
            <w:pPr>
              <w:jc w:val="right"/>
              <w:ind w:right="177"/>
              <w:spacing w:after="0"/>
              <w:rPr>
                <w:sz w:val="20"/>
                <w:szCs w:val="20"/>
                <w:color w:val="auto"/>
              </w:rPr>
            </w:pPr>
            <w:r>
              <w:rPr>
                <w:rFonts w:ascii="Arial" w:cs="Arial" w:eastAsia="Arial" w:hAnsi="Arial"/>
                <w:sz w:val="14"/>
                <w:szCs w:val="14"/>
                <w:color w:val="auto"/>
              </w:rPr>
              <w:t>121</w:t>
            </w:r>
          </w:p>
        </w:tc>
        <w:tc>
          <w:tcPr>
            <w:tcW w:w="1320" w:type="dxa"/>
            <w:vAlign w:val="bottom"/>
          </w:tcPr>
          <w:p>
            <w:pPr>
              <w:jc w:val="right"/>
              <w:ind w:right="270"/>
              <w:spacing w:after="0"/>
              <w:rPr>
                <w:sz w:val="20"/>
                <w:szCs w:val="20"/>
                <w:color w:val="auto"/>
              </w:rPr>
            </w:pPr>
            <w:r>
              <w:rPr>
                <w:rFonts w:ascii="Arial" w:cs="Arial" w:eastAsia="Arial" w:hAnsi="Arial"/>
                <w:sz w:val="14"/>
                <w:szCs w:val="14"/>
                <w:color w:val="auto"/>
              </w:rPr>
              <w:t>–</w:t>
            </w:r>
          </w:p>
        </w:tc>
      </w:tr>
      <w:tr>
        <w:trPr>
          <w:trHeight w:val="162"/>
        </w:trPr>
        <w:tc>
          <w:tcPr>
            <w:tcW w:w="5380" w:type="dxa"/>
            <w:vAlign w:val="bottom"/>
          </w:tcPr>
          <w:p>
            <w:pPr>
              <w:spacing w:after="0"/>
              <w:rPr>
                <w:sz w:val="20"/>
                <w:szCs w:val="20"/>
                <w:color w:val="auto"/>
              </w:rPr>
            </w:pPr>
            <w:r>
              <w:rPr>
                <w:rFonts w:ascii="Arial" w:cs="Arial" w:eastAsia="Arial" w:hAnsi="Arial"/>
                <w:sz w:val="14"/>
                <w:szCs w:val="14"/>
                <w:color w:val="auto"/>
              </w:rPr>
              <w:t>Accruals and other liabilities</w:t>
            </w:r>
          </w:p>
        </w:tc>
        <w:tc>
          <w:tcPr>
            <w:tcW w:w="1240" w:type="dxa"/>
            <w:vAlign w:val="bottom"/>
            <w:shd w:val="clear" w:color="auto" w:fill="D8D8D8"/>
          </w:tcPr>
          <w:p>
            <w:pPr>
              <w:jc w:val="right"/>
              <w:ind w:right="10"/>
              <w:spacing w:after="0"/>
              <w:rPr>
                <w:sz w:val="20"/>
                <w:szCs w:val="20"/>
                <w:color w:val="auto"/>
              </w:rPr>
            </w:pPr>
            <w:r>
              <w:rPr>
                <w:rFonts w:ascii="Arial" w:cs="Arial" w:eastAsia="Arial" w:hAnsi="Arial"/>
                <w:sz w:val="14"/>
                <w:szCs w:val="14"/>
                <w:color w:val="auto"/>
              </w:rPr>
              <w:t>426</w:t>
            </w:r>
          </w:p>
        </w:tc>
        <w:tc>
          <w:tcPr>
            <w:tcW w:w="1380" w:type="dxa"/>
            <w:vAlign w:val="bottom"/>
            <w:shd w:val="clear" w:color="auto" w:fill="D8D8D8"/>
          </w:tcPr>
          <w:p>
            <w:pPr>
              <w:jc w:val="right"/>
              <w:ind w:right="271"/>
              <w:spacing w:after="0"/>
              <w:rPr>
                <w:sz w:val="20"/>
                <w:szCs w:val="20"/>
                <w:color w:val="auto"/>
              </w:rPr>
            </w:pPr>
            <w:r>
              <w:rPr>
                <w:rFonts w:ascii="Arial" w:cs="Arial" w:eastAsia="Arial" w:hAnsi="Arial"/>
                <w:sz w:val="14"/>
                <w:szCs w:val="14"/>
                <w:color w:val="auto"/>
              </w:rPr>
              <w:t>260</w:t>
            </w:r>
          </w:p>
        </w:tc>
        <w:tc>
          <w:tcPr>
            <w:tcW w:w="2100" w:type="dxa"/>
            <w:vAlign w:val="bottom"/>
            <w:gridSpan w:val="2"/>
          </w:tcPr>
          <w:p>
            <w:pPr>
              <w:jc w:val="right"/>
              <w:ind w:right="177"/>
              <w:spacing w:after="0"/>
              <w:rPr>
                <w:sz w:val="20"/>
                <w:szCs w:val="20"/>
                <w:color w:val="auto"/>
              </w:rPr>
            </w:pPr>
            <w:r>
              <w:rPr>
                <w:rFonts w:ascii="Arial" w:cs="Arial" w:eastAsia="Arial" w:hAnsi="Arial"/>
                <w:sz w:val="14"/>
                <w:szCs w:val="14"/>
                <w:color w:val="auto"/>
              </w:rPr>
              <w:t>1,012</w:t>
            </w:r>
          </w:p>
        </w:tc>
        <w:tc>
          <w:tcPr>
            <w:tcW w:w="1320" w:type="dxa"/>
            <w:vAlign w:val="bottom"/>
          </w:tcPr>
          <w:p>
            <w:pPr>
              <w:jc w:val="right"/>
              <w:ind w:right="270"/>
              <w:spacing w:after="0"/>
              <w:rPr>
                <w:sz w:val="20"/>
                <w:szCs w:val="20"/>
                <w:color w:val="auto"/>
              </w:rPr>
            </w:pPr>
            <w:r>
              <w:rPr>
                <w:rFonts w:ascii="Arial" w:cs="Arial" w:eastAsia="Arial" w:hAnsi="Arial"/>
                <w:sz w:val="14"/>
                <w:szCs w:val="14"/>
                <w:color w:val="auto"/>
              </w:rPr>
              <w:t>15</w:t>
            </w:r>
          </w:p>
        </w:tc>
      </w:tr>
      <w:tr>
        <w:trPr>
          <w:trHeight w:val="162"/>
        </w:trPr>
        <w:tc>
          <w:tcPr>
            <w:tcW w:w="538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Unclaimed dividends</w:t>
            </w:r>
          </w:p>
        </w:tc>
        <w:tc>
          <w:tcPr>
            <w:tcW w:w="1240" w:type="dxa"/>
            <w:vAlign w:val="bottom"/>
            <w:tcBorders>
              <w:bottom w:val="single" w:sz="8" w:color="auto"/>
            </w:tcBorders>
            <w:shd w:val="clear" w:color="auto" w:fill="D8D8D8"/>
          </w:tcPr>
          <w:p>
            <w:pPr>
              <w:jc w:val="right"/>
              <w:ind w:right="10"/>
              <w:spacing w:after="0"/>
              <w:rPr>
                <w:sz w:val="20"/>
                <w:szCs w:val="20"/>
                <w:color w:val="auto"/>
              </w:rPr>
            </w:pPr>
            <w:r>
              <w:rPr>
                <w:rFonts w:ascii="Arial" w:cs="Arial" w:eastAsia="Arial" w:hAnsi="Arial"/>
                <w:sz w:val="14"/>
                <w:szCs w:val="14"/>
                <w:color w:val="auto"/>
              </w:rPr>
              <w:t>2</w:t>
            </w:r>
          </w:p>
        </w:tc>
        <w:tc>
          <w:tcPr>
            <w:tcW w:w="1380" w:type="dxa"/>
            <w:vAlign w:val="bottom"/>
            <w:tcBorders>
              <w:bottom w:val="single" w:sz="8" w:color="auto"/>
            </w:tcBorders>
            <w:shd w:val="clear" w:color="auto" w:fill="D8D8D8"/>
          </w:tcPr>
          <w:p>
            <w:pPr>
              <w:jc w:val="right"/>
              <w:ind w:right="271"/>
              <w:spacing w:after="0"/>
              <w:rPr>
                <w:sz w:val="20"/>
                <w:szCs w:val="20"/>
                <w:color w:val="auto"/>
              </w:rPr>
            </w:pPr>
            <w:r>
              <w:rPr>
                <w:rFonts w:ascii="Arial" w:cs="Arial" w:eastAsia="Arial" w:hAnsi="Arial"/>
                <w:sz w:val="14"/>
                <w:szCs w:val="14"/>
                <w:color w:val="auto"/>
              </w:rPr>
              <w:t>–</w:t>
            </w:r>
          </w:p>
        </w:tc>
        <w:tc>
          <w:tcPr>
            <w:tcW w:w="2100" w:type="dxa"/>
            <w:vAlign w:val="bottom"/>
            <w:tcBorders>
              <w:bottom w:val="single" w:sz="8" w:color="auto"/>
            </w:tcBorders>
            <w:gridSpan w:val="2"/>
          </w:tcPr>
          <w:p>
            <w:pPr>
              <w:jc w:val="right"/>
              <w:ind w:right="177"/>
              <w:spacing w:after="0"/>
              <w:rPr>
                <w:sz w:val="20"/>
                <w:szCs w:val="20"/>
                <w:color w:val="auto"/>
              </w:rPr>
            </w:pPr>
            <w:r>
              <w:rPr>
                <w:rFonts w:ascii="Arial" w:cs="Arial" w:eastAsia="Arial" w:hAnsi="Arial"/>
                <w:sz w:val="14"/>
                <w:szCs w:val="14"/>
                <w:color w:val="auto"/>
              </w:rPr>
              <w:t>2</w:t>
            </w:r>
          </w:p>
        </w:tc>
        <w:tc>
          <w:tcPr>
            <w:tcW w:w="1320" w:type="dxa"/>
            <w:vAlign w:val="bottom"/>
            <w:tcBorders>
              <w:bottom w:val="single" w:sz="8" w:color="auto"/>
            </w:tcBorders>
          </w:tcPr>
          <w:p>
            <w:pPr>
              <w:jc w:val="right"/>
              <w:ind w:right="270"/>
              <w:spacing w:after="0"/>
              <w:rPr>
                <w:sz w:val="20"/>
                <w:szCs w:val="20"/>
                <w:color w:val="auto"/>
              </w:rPr>
            </w:pPr>
            <w:r>
              <w:rPr>
                <w:rFonts w:ascii="Arial" w:cs="Arial" w:eastAsia="Arial" w:hAnsi="Arial"/>
                <w:sz w:val="14"/>
                <w:szCs w:val="14"/>
                <w:color w:val="auto"/>
              </w:rPr>
              <w:t>–</w:t>
            </w:r>
          </w:p>
        </w:tc>
      </w:tr>
      <w:tr>
        <w:trPr>
          <w:trHeight w:val="156"/>
        </w:trPr>
        <w:tc>
          <w:tcPr>
            <w:tcW w:w="5380" w:type="dxa"/>
            <w:vAlign w:val="bottom"/>
            <w:tcBorders>
              <w:bottom w:val="single" w:sz="8" w:color="auto"/>
            </w:tcBorders>
          </w:tcPr>
          <w:p>
            <w:pPr>
              <w:spacing w:after="0" w:line="155" w:lineRule="exact"/>
              <w:rPr>
                <w:sz w:val="20"/>
                <w:szCs w:val="20"/>
                <w:color w:val="auto"/>
              </w:rPr>
            </w:pPr>
            <w:r>
              <w:rPr>
                <w:rFonts w:ascii="Arial" w:cs="Arial" w:eastAsia="Arial" w:hAnsi="Arial"/>
                <w:sz w:val="14"/>
                <w:szCs w:val="14"/>
                <w:color w:val="auto"/>
              </w:rPr>
              <w:t>Total</w:t>
            </w:r>
          </w:p>
        </w:tc>
        <w:tc>
          <w:tcPr>
            <w:tcW w:w="1240" w:type="dxa"/>
            <w:vAlign w:val="bottom"/>
            <w:tcBorders>
              <w:bottom w:val="single" w:sz="8" w:color="auto"/>
            </w:tcBorders>
            <w:shd w:val="clear" w:color="auto" w:fill="D8D8D8"/>
          </w:tcPr>
          <w:p>
            <w:pPr>
              <w:jc w:val="right"/>
              <w:ind w:right="10"/>
              <w:spacing w:after="0" w:line="155" w:lineRule="exact"/>
              <w:rPr>
                <w:sz w:val="20"/>
                <w:szCs w:val="20"/>
                <w:color w:val="auto"/>
              </w:rPr>
            </w:pPr>
            <w:r>
              <w:rPr>
                <w:rFonts w:ascii="Arial" w:cs="Arial" w:eastAsia="Arial" w:hAnsi="Arial"/>
                <w:sz w:val="14"/>
                <w:szCs w:val="14"/>
                <w:color w:val="auto"/>
              </w:rPr>
              <w:t>2,856</w:t>
            </w:r>
          </w:p>
        </w:tc>
        <w:tc>
          <w:tcPr>
            <w:tcW w:w="1380" w:type="dxa"/>
            <w:vAlign w:val="bottom"/>
            <w:tcBorders>
              <w:bottom w:val="single" w:sz="8" w:color="auto"/>
            </w:tcBorders>
            <w:shd w:val="clear" w:color="auto" w:fill="D8D8D8"/>
          </w:tcPr>
          <w:p>
            <w:pPr>
              <w:jc w:val="right"/>
              <w:ind w:right="271"/>
              <w:spacing w:after="0" w:line="155" w:lineRule="exact"/>
              <w:rPr>
                <w:sz w:val="20"/>
                <w:szCs w:val="20"/>
                <w:color w:val="auto"/>
              </w:rPr>
            </w:pPr>
            <w:r>
              <w:rPr>
                <w:rFonts w:ascii="Arial" w:cs="Arial" w:eastAsia="Arial" w:hAnsi="Arial"/>
                <w:sz w:val="14"/>
                <w:szCs w:val="14"/>
                <w:color w:val="auto"/>
              </w:rPr>
              <w:t>260</w:t>
            </w:r>
          </w:p>
        </w:tc>
        <w:tc>
          <w:tcPr>
            <w:tcW w:w="2100" w:type="dxa"/>
            <w:vAlign w:val="bottom"/>
            <w:tcBorders>
              <w:bottom w:val="single" w:sz="8" w:color="auto"/>
            </w:tcBorders>
            <w:gridSpan w:val="2"/>
          </w:tcPr>
          <w:p>
            <w:pPr>
              <w:jc w:val="right"/>
              <w:ind w:right="177"/>
              <w:spacing w:after="0" w:line="155" w:lineRule="exact"/>
              <w:rPr>
                <w:sz w:val="20"/>
                <w:szCs w:val="20"/>
                <w:color w:val="auto"/>
              </w:rPr>
            </w:pPr>
            <w:r>
              <w:rPr>
                <w:rFonts w:ascii="Arial" w:cs="Arial" w:eastAsia="Arial" w:hAnsi="Arial"/>
                <w:sz w:val="14"/>
                <w:szCs w:val="14"/>
                <w:color w:val="auto"/>
              </w:rPr>
              <w:t>1,632</w:t>
            </w:r>
          </w:p>
        </w:tc>
        <w:tc>
          <w:tcPr>
            <w:tcW w:w="1320" w:type="dxa"/>
            <w:vAlign w:val="bottom"/>
            <w:tcBorders>
              <w:bottom w:val="single" w:sz="8" w:color="auto"/>
            </w:tcBorders>
          </w:tcPr>
          <w:p>
            <w:pPr>
              <w:jc w:val="right"/>
              <w:ind w:right="270"/>
              <w:spacing w:after="0" w:line="155" w:lineRule="exact"/>
              <w:rPr>
                <w:sz w:val="20"/>
                <w:szCs w:val="20"/>
                <w:color w:val="auto"/>
              </w:rPr>
            </w:pPr>
            <w:r>
              <w:rPr>
                <w:rFonts w:ascii="Arial" w:cs="Arial" w:eastAsia="Arial" w:hAnsi="Arial"/>
                <w:sz w:val="14"/>
                <w:szCs w:val="14"/>
                <w:color w:val="auto"/>
              </w:rPr>
              <w:t>15</w:t>
            </w:r>
          </w:p>
        </w:tc>
      </w:tr>
    </w:tbl>
    <w:p>
      <w:pPr>
        <w:spacing w:after="0" w:line="180" w:lineRule="exact"/>
        <w:rPr>
          <w:sz w:val="20"/>
          <w:szCs w:val="20"/>
          <w:color w:val="auto"/>
        </w:rPr>
      </w:pPr>
    </w:p>
    <w:p>
      <w:pPr>
        <w:ind w:right="60"/>
        <w:spacing w:after="0" w:line="258" w:lineRule="auto"/>
        <w:rPr>
          <w:sz w:val="20"/>
          <w:szCs w:val="20"/>
          <w:color w:val="auto"/>
        </w:rPr>
      </w:pPr>
      <w:r>
        <w:rPr>
          <w:rFonts w:ascii="Arial" w:cs="Arial" w:eastAsia="Arial" w:hAnsi="Arial"/>
          <w:sz w:val="14"/>
          <w:szCs w:val="14"/>
          <w:color w:val="auto"/>
        </w:rPr>
        <w:t>Accruals and other liabilities principally comprise commitments for share repurchases undertaken on the Company’s behalf under irrevocable, non-discretionary arrangements and liabilities in respect of cash-settled share-based compensation.</w:t>
      </w:r>
    </w:p>
    <w:p>
      <w:pPr>
        <w:sectPr>
          <w:pgSz w:w="11900" w:h="16838" w:orient="portrait"/>
          <w:cols w:equalWidth="0" w:num="1">
            <w:col w:w="11420"/>
          </w:cols>
          <w:pgMar w:left="240" w:top="460" w:right="239" w:bottom="1440" w:gutter="0" w:footer="0" w:header="0"/>
        </w:sectPr>
      </w:pPr>
    </w:p>
    <w:bookmarkStart w:id="168" w:name="page169"/>
    <w:bookmarkEnd w:id="1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0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6428105</wp:posOffset>
            </wp:positionH>
            <wp:positionV relativeFrom="paragraph">
              <wp:posOffset>300355</wp:posOffset>
            </wp:positionV>
            <wp:extent cx="8890" cy="462915"/>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0">
                      <a:extLst>
                        <a:ext uri="{28A0092B-C50C-407E-A947-70E740481C1C}"/>
                      </a:extLst>
                    </a:blip>
                    <a:srcRect/>
                    <a:stretch>
                      <a:fillRect/>
                    </a:stretch>
                  </pic:blipFill>
                  <pic:spPr bwMode="auto">
                    <a:xfrm>
                      <a:off x="0" y="0"/>
                      <a:ext cx="8890" cy="462915"/>
                    </a:xfrm>
                    <a:prstGeom prst="rect">
                      <a:avLst/>
                    </a:prstGeom>
                    <a:noFill/>
                  </pic:spPr>
                </pic:pic>
              </a:graphicData>
            </a:graphic>
          </wp:anchor>
        </w:drawing>
      </w:r>
    </w:p>
    <w:p>
      <w:pPr>
        <w:spacing w:after="0" w:line="200" w:lineRule="exact"/>
        <w:rPr>
          <w:sz w:val="20"/>
          <w:szCs w:val="20"/>
          <w:color w:val="auto"/>
        </w:rPr>
      </w:pP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565"/>
        </w:trPr>
        <w:tc>
          <w:tcPr>
            <w:tcW w:w="5600" w:type="dxa"/>
            <w:vAlign w:val="bottom"/>
          </w:tcPr>
          <w:p>
            <w:pPr>
              <w:spacing w:after="0"/>
              <w:rPr>
                <w:sz w:val="24"/>
                <w:szCs w:val="24"/>
                <w:color w:val="auto"/>
              </w:rPr>
            </w:pPr>
          </w:p>
        </w:tc>
        <w:tc>
          <w:tcPr>
            <w:tcW w:w="200" w:type="dxa"/>
            <w:vAlign w:val="bottom"/>
            <w:shd w:val="clear" w:color="auto" w:fill="FF8B00"/>
          </w:tcPr>
          <w:p>
            <w:pPr>
              <w:spacing w:after="0"/>
              <w:rPr>
                <w:sz w:val="24"/>
                <w:szCs w:val="24"/>
                <w:color w:val="auto"/>
              </w:rPr>
            </w:pPr>
          </w:p>
        </w:tc>
        <w:tc>
          <w:tcPr>
            <w:tcW w:w="3780" w:type="dxa"/>
            <w:vAlign w:val="bottom"/>
            <w:gridSpan w:val="4"/>
            <w:shd w:val="clear" w:color="auto" w:fill="FF8B00"/>
          </w:tcPr>
          <w:p>
            <w:pPr>
              <w:ind w:left="680"/>
              <w:spacing w:after="0"/>
              <w:rPr>
                <w:sz w:val="20"/>
                <w:szCs w:val="20"/>
                <w:color w:val="auto"/>
              </w:rPr>
            </w:pPr>
            <w:r>
              <w:rPr>
                <w:rFonts w:ascii="Arial" w:cs="Arial" w:eastAsia="Arial" w:hAnsi="Arial"/>
                <w:sz w:val="13"/>
                <w:szCs w:val="13"/>
                <w:color w:val="333333"/>
              </w:rPr>
              <w:t>FINANCIAL STATEMENTS AND SUPPLEMENTS</w:t>
            </w:r>
          </w:p>
        </w:tc>
        <w:tc>
          <w:tcPr>
            <w:tcW w:w="1840" w:type="dxa"/>
            <w:vAlign w:val="bottom"/>
            <w:gridSpan w:val="3"/>
            <w:shd w:val="clear" w:color="auto" w:fill="FF8B00"/>
          </w:tcPr>
          <w:p>
            <w:pPr>
              <w:jc w:val="right"/>
              <w:ind w:right="348"/>
              <w:spacing w:after="0"/>
              <w:rPr>
                <w:sz w:val="20"/>
                <w:szCs w:val="20"/>
                <w:color w:val="auto"/>
              </w:rPr>
            </w:pPr>
            <w:r>
              <w:rPr>
                <w:rFonts w:ascii="Arial" w:cs="Arial" w:eastAsia="Arial" w:hAnsi="Arial"/>
                <w:sz w:val="11"/>
                <w:szCs w:val="11"/>
                <w:b w:val="1"/>
                <w:bCs w:val="1"/>
                <w:color w:val="333333"/>
              </w:rPr>
              <w:t>167</w:t>
            </w:r>
          </w:p>
        </w:tc>
        <w:tc>
          <w:tcPr>
            <w:tcW w:w="0" w:type="dxa"/>
            <w:vAlign w:val="bottom"/>
          </w:tcPr>
          <w:p>
            <w:pPr>
              <w:spacing w:after="0"/>
              <w:rPr>
                <w:sz w:val="1"/>
                <w:szCs w:val="1"/>
                <w:color w:val="auto"/>
              </w:rPr>
            </w:pPr>
          </w:p>
        </w:tc>
      </w:tr>
      <w:tr>
        <w:trPr>
          <w:trHeight w:val="165"/>
        </w:trPr>
        <w:tc>
          <w:tcPr>
            <w:tcW w:w="5600" w:type="dxa"/>
            <w:vAlign w:val="bottom"/>
            <w:vMerge w:val="restart"/>
          </w:tcPr>
          <w:p>
            <w:pPr>
              <w:spacing w:after="0"/>
              <w:rPr>
                <w:sz w:val="20"/>
                <w:szCs w:val="20"/>
                <w:color w:val="auto"/>
              </w:rPr>
            </w:pPr>
            <w:r>
              <w:rPr>
                <w:rFonts w:ascii="Arial" w:cs="Arial" w:eastAsia="Arial" w:hAnsi="Arial"/>
                <w:sz w:val="11"/>
                <w:szCs w:val="11"/>
                <w:color w:val="auto"/>
              </w:rPr>
              <w:t>SHELL ANNUAL REPORT AND FORM 20-F 2014</w:t>
            </w:r>
          </w:p>
        </w:tc>
        <w:tc>
          <w:tcPr>
            <w:tcW w:w="200" w:type="dxa"/>
            <w:vAlign w:val="bottom"/>
            <w:shd w:val="clear" w:color="auto" w:fill="FF8B00"/>
          </w:tcPr>
          <w:p>
            <w:pPr>
              <w:spacing w:after="0"/>
              <w:rPr>
                <w:sz w:val="14"/>
                <w:szCs w:val="14"/>
                <w:color w:val="auto"/>
              </w:rPr>
            </w:pPr>
          </w:p>
        </w:tc>
        <w:tc>
          <w:tcPr>
            <w:tcW w:w="2520" w:type="dxa"/>
            <w:vAlign w:val="bottom"/>
            <w:shd w:val="clear" w:color="auto" w:fill="FF8B00"/>
          </w:tcPr>
          <w:p>
            <w:pPr>
              <w:spacing w:after="0"/>
              <w:rPr>
                <w:sz w:val="14"/>
                <w:szCs w:val="14"/>
                <w:color w:val="auto"/>
              </w:rPr>
            </w:pPr>
          </w:p>
        </w:tc>
        <w:tc>
          <w:tcPr>
            <w:tcW w:w="120" w:type="dxa"/>
            <w:vAlign w:val="bottom"/>
            <w:shd w:val="clear" w:color="auto" w:fill="FF8B00"/>
          </w:tcPr>
          <w:p>
            <w:pPr>
              <w:spacing w:after="0"/>
              <w:rPr>
                <w:sz w:val="14"/>
                <w:szCs w:val="14"/>
                <w:color w:val="auto"/>
              </w:rPr>
            </w:pPr>
          </w:p>
        </w:tc>
        <w:tc>
          <w:tcPr>
            <w:tcW w:w="380" w:type="dxa"/>
            <w:vAlign w:val="bottom"/>
            <w:shd w:val="clear" w:color="auto" w:fill="FF8B00"/>
          </w:tcPr>
          <w:p>
            <w:pPr>
              <w:spacing w:after="0"/>
              <w:rPr>
                <w:sz w:val="14"/>
                <w:szCs w:val="14"/>
                <w:color w:val="auto"/>
              </w:rPr>
            </w:pPr>
          </w:p>
        </w:tc>
        <w:tc>
          <w:tcPr>
            <w:tcW w:w="760" w:type="dxa"/>
            <w:vAlign w:val="bottom"/>
            <w:tcBorders>
              <w:left w:val="single" w:sz="8" w:color="FF8B00"/>
            </w:tcBorders>
            <w:shd w:val="clear" w:color="auto" w:fill="FF8B00"/>
          </w:tcPr>
          <w:p>
            <w:pPr>
              <w:spacing w:after="0"/>
              <w:rPr>
                <w:sz w:val="14"/>
                <w:szCs w:val="14"/>
                <w:color w:val="auto"/>
              </w:rPr>
            </w:pPr>
          </w:p>
        </w:tc>
        <w:tc>
          <w:tcPr>
            <w:tcW w:w="100" w:type="dxa"/>
            <w:vAlign w:val="bottom"/>
            <w:shd w:val="clear" w:color="auto" w:fill="FF8B00"/>
          </w:tcPr>
          <w:p>
            <w:pPr>
              <w:spacing w:after="0"/>
              <w:rPr>
                <w:sz w:val="14"/>
                <w:szCs w:val="14"/>
                <w:color w:val="auto"/>
              </w:rPr>
            </w:pPr>
          </w:p>
        </w:tc>
        <w:tc>
          <w:tcPr>
            <w:tcW w:w="180" w:type="dxa"/>
            <w:vAlign w:val="bottom"/>
            <w:shd w:val="clear" w:color="auto" w:fill="FF8B00"/>
          </w:tcPr>
          <w:p>
            <w:pPr>
              <w:spacing w:after="0"/>
              <w:rPr>
                <w:sz w:val="14"/>
                <w:szCs w:val="14"/>
                <w:color w:val="auto"/>
              </w:rPr>
            </w:pPr>
          </w:p>
        </w:tc>
        <w:tc>
          <w:tcPr>
            <w:tcW w:w="1560" w:type="dxa"/>
            <w:vAlign w:val="bottom"/>
            <w:shd w:val="clear" w:color="auto" w:fill="FF8B00"/>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5600" w:type="dxa"/>
            <w:vAlign w:val="bottom"/>
            <w:vMerge w:val="continue"/>
          </w:tcPr>
          <w:p>
            <w:pPr>
              <w:spacing w:after="0"/>
              <w:rPr>
                <w:sz w:val="10"/>
                <w:szCs w:val="10"/>
                <w:color w:val="auto"/>
              </w:rPr>
            </w:pPr>
          </w:p>
        </w:tc>
        <w:tc>
          <w:tcPr>
            <w:tcW w:w="200" w:type="dxa"/>
            <w:vAlign w:val="bottom"/>
          </w:tcPr>
          <w:p>
            <w:pPr>
              <w:spacing w:after="0"/>
              <w:rPr>
                <w:sz w:val="10"/>
                <w:szCs w:val="10"/>
                <w:color w:val="auto"/>
              </w:rPr>
            </w:pPr>
          </w:p>
        </w:tc>
        <w:tc>
          <w:tcPr>
            <w:tcW w:w="3780" w:type="dxa"/>
            <w:vAlign w:val="bottom"/>
            <w:gridSpan w:val="4"/>
          </w:tcPr>
          <w:p>
            <w:pPr>
              <w:ind w:left="680"/>
              <w:spacing w:after="0" w:line="121" w:lineRule="exact"/>
              <w:rPr>
                <w:sz w:val="20"/>
                <w:szCs w:val="20"/>
                <w:color w:val="auto"/>
              </w:rPr>
            </w:pPr>
            <w:r>
              <w:rPr>
                <w:rFonts w:ascii="Arial" w:cs="Arial" w:eastAsia="Arial" w:hAnsi="Arial"/>
                <w:sz w:val="11"/>
                <w:szCs w:val="11"/>
                <w:color w:val="auto"/>
              </w:rPr>
              <w:t>PARENT COMPANY FINANCIAL STATEMENTS</w:t>
            </w: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5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7"/>
        </w:trPr>
        <w:tc>
          <w:tcPr>
            <w:tcW w:w="5800" w:type="dxa"/>
            <w:vAlign w:val="bottom"/>
            <w:gridSpan w:val="2"/>
          </w:tcPr>
          <w:p>
            <w:pPr>
              <w:spacing w:after="0"/>
              <w:rPr>
                <w:sz w:val="20"/>
                <w:szCs w:val="20"/>
                <w:color w:val="auto"/>
              </w:rPr>
            </w:pPr>
            <w:r>
              <w:rPr>
                <w:rFonts w:ascii="Arial" w:cs="Arial" w:eastAsia="Arial" w:hAnsi="Arial"/>
                <w:sz w:val="18"/>
                <w:szCs w:val="18"/>
                <w:color w:val="auto"/>
              </w:rPr>
              <w:t>8 TAXATION</w:t>
            </w:r>
          </w:p>
        </w:tc>
        <w:tc>
          <w:tcPr>
            <w:tcW w:w="2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5800" w:type="dxa"/>
            <w:vAlign w:val="bottom"/>
            <w:gridSpan w:val="2"/>
          </w:tcPr>
          <w:p>
            <w:pPr>
              <w:spacing w:after="0"/>
              <w:rPr>
                <w:sz w:val="17"/>
                <w:szCs w:val="17"/>
                <w:color w:val="auto"/>
              </w:rPr>
            </w:pPr>
          </w:p>
        </w:tc>
        <w:tc>
          <w:tcPr>
            <w:tcW w:w="2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5800" w:type="dxa"/>
            <w:vAlign w:val="bottom"/>
            <w:gridSpan w:val="2"/>
            <w:shd w:val="clear" w:color="auto" w:fill="333333"/>
          </w:tcPr>
          <w:p>
            <w:pPr>
              <w:ind w:left="80"/>
              <w:spacing w:after="0" w:line="162" w:lineRule="exact"/>
              <w:rPr>
                <w:sz w:val="20"/>
                <w:szCs w:val="20"/>
                <w:color w:val="auto"/>
              </w:rPr>
            </w:pPr>
            <w:r>
              <w:rPr>
                <w:rFonts w:ascii="Arial" w:cs="Arial" w:eastAsia="Arial" w:hAnsi="Arial"/>
                <w:sz w:val="15"/>
                <w:szCs w:val="15"/>
                <w:b w:val="1"/>
                <w:bCs w:val="1"/>
                <w:color w:val="FFFFFF"/>
              </w:rPr>
              <w:t>TAXATION CREDIT</w:t>
            </w:r>
          </w:p>
        </w:tc>
        <w:tc>
          <w:tcPr>
            <w:tcW w:w="2520" w:type="dxa"/>
            <w:vAlign w:val="bottom"/>
            <w:shd w:val="clear" w:color="auto" w:fill="333333"/>
          </w:tcPr>
          <w:p>
            <w:pPr>
              <w:spacing w:after="0"/>
              <w:rPr>
                <w:sz w:val="14"/>
                <w:szCs w:val="14"/>
                <w:color w:val="auto"/>
              </w:rPr>
            </w:pPr>
          </w:p>
        </w:tc>
        <w:tc>
          <w:tcPr>
            <w:tcW w:w="120" w:type="dxa"/>
            <w:vAlign w:val="bottom"/>
            <w:shd w:val="clear" w:color="auto" w:fill="333333"/>
          </w:tcPr>
          <w:p>
            <w:pPr>
              <w:spacing w:after="0"/>
              <w:rPr>
                <w:sz w:val="14"/>
                <w:szCs w:val="14"/>
                <w:color w:val="auto"/>
              </w:rPr>
            </w:pPr>
          </w:p>
        </w:tc>
        <w:tc>
          <w:tcPr>
            <w:tcW w:w="380" w:type="dxa"/>
            <w:vAlign w:val="bottom"/>
            <w:shd w:val="clear" w:color="auto" w:fill="333333"/>
          </w:tcPr>
          <w:p>
            <w:pPr>
              <w:spacing w:after="0"/>
              <w:rPr>
                <w:sz w:val="14"/>
                <w:szCs w:val="14"/>
                <w:color w:val="auto"/>
              </w:rPr>
            </w:pPr>
          </w:p>
        </w:tc>
        <w:tc>
          <w:tcPr>
            <w:tcW w:w="760" w:type="dxa"/>
            <w:vAlign w:val="bottom"/>
            <w:tcBorders>
              <w:left w:val="single" w:sz="8" w:color="333333"/>
            </w:tcBorders>
            <w:shd w:val="clear" w:color="auto" w:fill="333333"/>
          </w:tcPr>
          <w:p>
            <w:pPr>
              <w:spacing w:after="0"/>
              <w:rPr>
                <w:sz w:val="14"/>
                <w:szCs w:val="14"/>
                <w:color w:val="auto"/>
              </w:rPr>
            </w:pPr>
          </w:p>
        </w:tc>
        <w:tc>
          <w:tcPr>
            <w:tcW w:w="100" w:type="dxa"/>
            <w:vAlign w:val="bottom"/>
            <w:shd w:val="clear" w:color="auto" w:fill="333333"/>
          </w:tcPr>
          <w:p>
            <w:pPr>
              <w:spacing w:after="0"/>
              <w:rPr>
                <w:sz w:val="14"/>
                <w:szCs w:val="14"/>
                <w:color w:val="auto"/>
              </w:rPr>
            </w:pPr>
          </w:p>
        </w:tc>
        <w:tc>
          <w:tcPr>
            <w:tcW w:w="180" w:type="dxa"/>
            <w:vAlign w:val="bottom"/>
            <w:shd w:val="clear" w:color="auto" w:fill="333333"/>
          </w:tcPr>
          <w:p>
            <w:pPr>
              <w:spacing w:after="0"/>
              <w:rPr>
                <w:sz w:val="14"/>
                <w:szCs w:val="14"/>
                <w:color w:val="auto"/>
              </w:rPr>
            </w:pPr>
          </w:p>
        </w:tc>
        <w:tc>
          <w:tcPr>
            <w:tcW w:w="1560" w:type="dxa"/>
            <w:vAlign w:val="bottom"/>
            <w:shd w:val="clear" w:color="auto" w:fill="333333"/>
          </w:tcPr>
          <w:p>
            <w:pPr>
              <w:jc w:val="right"/>
              <w:ind w:right="368"/>
              <w:spacing w:after="0" w:line="162" w:lineRule="exact"/>
              <w:rPr>
                <w:sz w:val="20"/>
                <w:szCs w:val="20"/>
                <w:color w:val="auto"/>
              </w:rPr>
            </w:pPr>
            <w:r>
              <w:rPr>
                <w:rFonts w:ascii="Arial" w:cs="Arial" w:eastAsia="Arial" w:hAnsi="Arial"/>
                <w:sz w:val="15"/>
                <w:szCs w:val="15"/>
                <w:color w:val="FFFFFF"/>
              </w:rPr>
              <w:t>$ MILLION</w:t>
            </w:r>
          </w:p>
        </w:tc>
        <w:tc>
          <w:tcPr>
            <w:tcW w:w="0" w:type="dxa"/>
            <w:vAlign w:val="bottom"/>
          </w:tcPr>
          <w:p>
            <w:pPr>
              <w:spacing w:after="0"/>
              <w:rPr>
                <w:sz w:val="1"/>
                <w:szCs w:val="1"/>
                <w:color w:val="auto"/>
              </w:rPr>
            </w:pPr>
          </w:p>
        </w:tc>
      </w:tr>
      <w:tr>
        <w:trPr>
          <w:trHeight w:val="149"/>
        </w:trPr>
        <w:tc>
          <w:tcPr>
            <w:tcW w:w="560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252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shd w:val="clear" w:color="auto" w:fill="D8D8D8"/>
          </w:tcPr>
          <w:p>
            <w:pPr>
              <w:spacing w:after="0"/>
              <w:rPr>
                <w:sz w:val="12"/>
                <w:szCs w:val="12"/>
                <w:color w:val="auto"/>
              </w:rPr>
            </w:pPr>
          </w:p>
        </w:tc>
        <w:tc>
          <w:tcPr>
            <w:tcW w:w="1140" w:type="dxa"/>
            <w:vAlign w:val="bottom"/>
            <w:tcBorders>
              <w:bottom w:val="single" w:sz="8" w:color="auto"/>
            </w:tcBorders>
            <w:gridSpan w:val="2"/>
            <w:shd w:val="clear" w:color="auto" w:fill="D8D8D8"/>
          </w:tcPr>
          <w:p>
            <w:pPr>
              <w:jc w:val="right"/>
              <w:ind w:right="369"/>
              <w:spacing w:after="0"/>
              <w:rPr>
                <w:sz w:val="20"/>
                <w:szCs w:val="20"/>
                <w:color w:val="auto"/>
              </w:rPr>
            </w:pPr>
            <w:r>
              <w:rPr>
                <w:rFonts w:ascii="Arial" w:cs="Arial" w:eastAsia="Arial" w:hAnsi="Arial"/>
                <w:sz w:val="13"/>
                <w:szCs w:val="13"/>
                <w:color w:val="auto"/>
              </w:rPr>
              <w:t>2014</w:t>
            </w:r>
          </w:p>
        </w:tc>
        <w:tc>
          <w:tcPr>
            <w:tcW w:w="1840" w:type="dxa"/>
            <w:vAlign w:val="bottom"/>
            <w:tcBorders>
              <w:bottom w:val="single" w:sz="8" w:color="auto"/>
            </w:tcBorders>
            <w:gridSpan w:val="3"/>
          </w:tcPr>
          <w:p>
            <w:pPr>
              <w:jc w:val="right"/>
              <w:ind w:right="368"/>
              <w:spacing w:after="0"/>
              <w:rPr>
                <w:sz w:val="20"/>
                <w:szCs w:val="20"/>
                <w:color w:val="auto"/>
              </w:rPr>
            </w:pPr>
            <w:r>
              <w:rPr>
                <w:rFonts w:ascii="Arial" w:cs="Arial" w:eastAsia="Arial" w:hAnsi="Arial"/>
                <w:sz w:val="13"/>
                <w:szCs w:val="13"/>
                <w:color w:val="auto"/>
              </w:rPr>
              <w:t>2013</w:t>
            </w:r>
          </w:p>
        </w:tc>
        <w:tc>
          <w:tcPr>
            <w:tcW w:w="0" w:type="dxa"/>
            <w:vAlign w:val="bottom"/>
          </w:tcPr>
          <w:p>
            <w:pPr>
              <w:spacing w:after="0"/>
              <w:rPr>
                <w:sz w:val="1"/>
                <w:szCs w:val="1"/>
                <w:color w:val="auto"/>
              </w:rPr>
            </w:pPr>
          </w:p>
        </w:tc>
      </w:tr>
      <w:tr>
        <w:trPr>
          <w:trHeight w:val="156"/>
        </w:trPr>
        <w:tc>
          <w:tcPr>
            <w:tcW w:w="5800" w:type="dxa"/>
            <w:vAlign w:val="bottom"/>
            <w:gridSpan w:val="2"/>
          </w:tcPr>
          <w:p>
            <w:pPr>
              <w:spacing w:after="0" w:line="155" w:lineRule="exact"/>
              <w:rPr>
                <w:sz w:val="20"/>
                <w:szCs w:val="20"/>
                <w:color w:val="auto"/>
              </w:rPr>
            </w:pPr>
            <w:r>
              <w:rPr>
                <w:rFonts w:ascii="Arial" w:cs="Arial" w:eastAsia="Arial" w:hAnsi="Arial"/>
                <w:sz w:val="14"/>
                <w:szCs w:val="14"/>
                <w:color w:val="auto"/>
              </w:rPr>
              <w:t>Current taxation</w:t>
            </w:r>
          </w:p>
        </w:tc>
        <w:tc>
          <w:tcPr>
            <w:tcW w:w="2520" w:type="dxa"/>
            <w:vAlign w:val="bottom"/>
          </w:tcPr>
          <w:p>
            <w:pPr>
              <w:spacing w:after="0"/>
              <w:rPr>
                <w:sz w:val="13"/>
                <w:szCs w:val="13"/>
                <w:color w:val="auto"/>
              </w:rPr>
            </w:pPr>
          </w:p>
        </w:tc>
        <w:tc>
          <w:tcPr>
            <w:tcW w:w="120" w:type="dxa"/>
            <w:vAlign w:val="bottom"/>
            <w:shd w:val="clear" w:color="auto" w:fill="D8D8D8"/>
          </w:tcPr>
          <w:p>
            <w:pPr>
              <w:spacing w:after="0"/>
              <w:rPr>
                <w:sz w:val="13"/>
                <w:szCs w:val="13"/>
                <w:color w:val="auto"/>
              </w:rPr>
            </w:pPr>
          </w:p>
        </w:tc>
        <w:tc>
          <w:tcPr>
            <w:tcW w:w="380" w:type="dxa"/>
            <w:vAlign w:val="bottom"/>
            <w:shd w:val="clear" w:color="auto" w:fill="D8D8D8"/>
          </w:tcPr>
          <w:p>
            <w:pPr>
              <w:spacing w:after="0"/>
              <w:rPr>
                <w:sz w:val="13"/>
                <w:szCs w:val="13"/>
                <w:color w:val="auto"/>
              </w:rPr>
            </w:pPr>
          </w:p>
        </w:tc>
        <w:tc>
          <w:tcPr>
            <w:tcW w:w="760" w:type="dxa"/>
            <w:vAlign w:val="bottom"/>
            <w:tcBorders>
              <w:left w:val="single" w:sz="8" w:color="D8D8D8"/>
            </w:tcBorders>
            <w:shd w:val="clear" w:color="auto" w:fill="D8D8D8"/>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5800" w:type="dxa"/>
            <w:vAlign w:val="bottom"/>
            <w:tcBorders>
              <w:bottom w:val="single" w:sz="8" w:color="auto"/>
            </w:tcBorders>
            <w:gridSpan w:val="2"/>
          </w:tcPr>
          <w:p>
            <w:pPr>
              <w:ind w:left="140"/>
              <w:spacing w:after="0"/>
              <w:rPr>
                <w:sz w:val="20"/>
                <w:szCs w:val="20"/>
                <w:color w:val="auto"/>
              </w:rPr>
            </w:pPr>
            <w:r>
              <w:rPr>
                <w:rFonts w:ascii="Arial" w:cs="Arial" w:eastAsia="Arial" w:hAnsi="Arial"/>
                <w:sz w:val="14"/>
                <w:szCs w:val="14"/>
                <w:color w:val="auto"/>
              </w:rPr>
              <w:t>Credit in respect of current period</w:t>
            </w:r>
          </w:p>
        </w:tc>
        <w:tc>
          <w:tcPr>
            <w:tcW w:w="25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shd w:val="clear" w:color="auto" w:fill="D8D8D8"/>
          </w:tcPr>
          <w:p>
            <w:pPr>
              <w:spacing w:after="0"/>
              <w:rPr>
                <w:sz w:val="14"/>
                <w:szCs w:val="14"/>
                <w:color w:val="auto"/>
              </w:rPr>
            </w:pPr>
          </w:p>
        </w:tc>
        <w:tc>
          <w:tcPr>
            <w:tcW w:w="380" w:type="dxa"/>
            <w:vAlign w:val="bottom"/>
            <w:tcBorders>
              <w:bottom w:val="single" w:sz="8" w:color="auto"/>
            </w:tcBorders>
            <w:shd w:val="clear" w:color="auto" w:fill="D8D8D8"/>
          </w:tcPr>
          <w:p>
            <w:pPr>
              <w:spacing w:after="0"/>
              <w:rPr>
                <w:sz w:val="14"/>
                <w:szCs w:val="14"/>
                <w:color w:val="auto"/>
              </w:rPr>
            </w:pPr>
          </w:p>
        </w:tc>
        <w:tc>
          <w:tcPr>
            <w:tcW w:w="760" w:type="dxa"/>
            <w:vAlign w:val="bottom"/>
            <w:tcBorders>
              <w:left w:val="single" w:sz="8" w:color="D8D8D8"/>
              <w:bottom w:val="single" w:sz="8" w:color="auto"/>
            </w:tcBorders>
            <w:shd w:val="clear" w:color="auto" w:fill="D8D8D8"/>
          </w:tcPr>
          <w:p>
            <w:pPr>
              <w:jc w:val="right"/>
              <w:ind w:right="369"/>
              <w:spacing w:after="0"/>
              <w:rPr>
                <w:sz w:val="20"/>
                <w:szCs w:val="20"/>
                <w:color w:val="auto"/>
              </w:rPr>
            </w:pPr>
            <w:r>
              <w:rPr>
                <w:rFonts w:ascii="Arial" w:cs="Arial" w:eastAsia="Arial" w:hAnsi="Arial"/>
                <w:sz w:val="14"/>
                <w:szCs w:val="14"/>
                <w:color w:val="auto"/>
              </w:rPr>
              <w:t>–</w:t>
            </w:r>
          </w:p>
        </w:tc>
        <w:tc>
          <w:tcPr>
            <w:tcW w:w="1840" w:type="dxa"/>
            <w:vAlign w:val="bottom"/>
            <w:tcBorders>
              <w:bottom w:val="single" w:sz="8" w:color="auto"/>
            </w:tcBorders>
            <w:gridSpan w:val="3"/>
          </w:tcPr>
          <w:p>
            <w:pPr>
              <w:jc w:val="right"/>
              <w:ind w:right="328"/>
              <w:spacing w:after="0"/>
              <w:rPr>
                <w:sz w:val="20"/>
                <w:szCs w:val="20"/>
                <w:color w:val="auto"/>
              </w:rPr>
            </w:pPr>
            <w:r>
              <w:rPr>
                <w:rFonts w:ascii="Arial" w:cs="Arial" w:eastAsia="Arial" w:hAnsi="Arial"/>
                <w:sz w:val="14"/>
                <w:szCs w:val="14"/>
                <w:color w:val="auto"/>
              </w:rPr>
              <w:t>(13)</w:t>
            </w:r>
          </w:p>
        </w:tc>
        <w:tc>
          <w:tcPr>
            <w:tcW w:w="0" w:type="dxa"/>
            <w:vAlign w:val="bottom"/>
          </w:tcPr>
          <w:p>
            <w:pPr>
              <w:spacing w:after="0"/>
              <w:rPr>
                <w:sz w:val="1"/>
                <w:szCs w:val="1"/>
                <w:color w:val="auto"/>
              </w:rPr>
            </w:pPr>
          </w:p>
        </w:tc>
      </w:tr>
      <w:tr>
        <w:trPr>
          <w:trHeight w:val="156"/>
        </w:trPr>
        <w:tc>
          <w:tcPr>
            <w:tcW w:w="5800" w:type="dxa"/>
            <w:vAlign w:val="bottom"/>
            <w:tcBorders>
              <w:bottom w:val="single" w:sz="8" w:color="auto"/>
            </w:tcBorders>
            <w:gridSpan w:val="2"/>
          </w:tcPr>
          <w:p>
            <w:pPr>
              <w:spacing w:after="0" w:line="155" w:lineRule="exact"/>
              <w:rPr>
                <w:sz w:val="20"/>
                <w:szCs w:val="20"/>
                <w:color w:val="auto"/>
              </w:rPr>
            </w:pPr>
            <w:r>
              <w:rPr>
                <w:rFonts w:ascii="Arial" w:cs="Arial" w:eastAsia="Arial" w:hAnsi="Arial"/>
                <w:sz w:val="14"/>
                <w:szCs w:val="14"/>
                <w:color w:val="auto"/>
              </w:rPr>
              <w:t>Total</w:t>
            </w:r>
          </w:p>
        </w:tc>
        <w:tc>
          <w:tcPr>
            <w:tcW w:w="25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shd w:val="clear" w:color="auto" w:fill="D8D8D8"/>
          </w:tcPr>
          <w:p>
            <w:pPr>
              <w:spacing w:after="0"/>
              <w:rPr>
                <w:sz w:val="13"/>
                <w:szCs w:val="13"/>
                <w:color w:val="auto"/>
              </w:rPr>
            </w:pPr>
          </w:p>
        </w:tc>
        <w:tc>
          <w:tcPr>
            <w:tcW w:w="380" w:type="dxa"/>
            <w:vAlign w:val="bottom"/>
            <w:tcBorders>
              <w:bottom w:val="single" w:sz="8" w:color="auto"/>
            </w:tcBorders>
            <w:shd w:val="clear" w:color="auto" w:fill="D8D8D8"/>
          </w:tcPr>
          <w:p>
            <w:pPr>
              <w:spacing w:after="0"/>
              <w:rPr>
                <w:sz w:val="13"/>
                <w:szCs w:val="13"/>
                <w:color w:val="auto"/>
              </w:rPr>
            </w:pPr>
          </w:p>
        </w:tc>
        <w:tc>
          <w:tcPr>
            <w:tcW w:w="760" w:type="dxa"/>
            <w:vAlign w:val="bottom"/>
            <w:tcBorders>
              <w:bottom w:val="single" w:sz="8" w:color="auto"/>
            </w:tcBorders>
          </w:tcPr>
          <w:p>
            <w:pPr>
              <w:jc w:val="right"/>
              <w:ind w:right="369"/>
              <w:spacing w:after="0" w:line="155" w:lineRule="exact"/>
              <w:rPr>
                <w:sz w:val="20"/>
                <w:szCs w:val="20"/>
                <w:color w:val="auto"/>
              </w:rPr>
            </w:pPr>
            <w:r>
              <w:rPr>
                <w:rFonts w:ascii="Arial" w:cs="Arial" w:eastAsia="Arial" w:hAnsi="Arial"/>
                <w:sz w:val="14"/>
                <w:szCs w:val="14"/>
                <w:color w:val="auto"/>
              </w:rPr>
              <w:t>–</w:t>
            </w:r>
          </w:p>
        </w:tc>
        <w:tc>
          <w:tcPr>
            <w:tcW w:w="1840" w:type="dxa"/>
            <w:vAlign w:val="bottom"/>
            <w:tcBorders>
              <w:bottom w:val="single" w:sz="8" w:color="auto"/>
            </w:tcBorders>
            <w:gridSpan w:val="3"/>
          </w:tcPr>
          <w:p>
            <w:pPr>
              <w:jc w:val="right"/>
              <w:ind w:right="328"/>
              <w:spacing w:after="0" w:line="155" w:lineRule="exact"/>
              <w:rPr>
                <w:sz w:val="20"/>
                <w:szCs w:val="20"/>
                <w:color w:val="auto"/>
              </w:rPr>
            </w:pPr>
            <w:r>
              <w:rPr>
                <w:rFonts w:ascii="Arial" w:cs="Arial" w:eastAsia="Arial" w:hAnsi="Arial"/>
                <w:sz w:val="14"/>
                <w:szCs w:val="14"/>
                <w:color w:val="auto"/>
              </w:rPr>
              <w:t>(13)</w:t>
            </w:r>
          </w:p>
        </w:tc>
        <w:tc>
          <w:tcPr>
            <w:tcW w:w="0" w:type="dxa"/>
            <w:vAlign w:val="bottom"/>
          </w:tcPr>
          <w:p>
            <w:pPr>
              <w:spacing w:after="0"/>
              <w:rPr>
                <w:sz w:val="1"/>
                <w:szCs w:val="1"/>
                <w:color w:val="auto"/>
              </w:rPr>
            </w:pPr>
          </w:p>
        </w:tc>
      </w:tr>
      <w:tr>
        <w:trPr>
          <w:trHeight w:val="160"/>
        </w:trPr>
        <w:tc>
          <w:tcPr>
            <w:tcW w:w="5800" w:type="dxa"/>
            <w:vAlign w:val="bottom"/>
            <w:gridSpan w:val="2"/>
          </w:tcPr>
          <w:p>
            <w:pPr>
              <w:spacing w:after="0"/>
              <w:rPr>
                <w:sz w:val="20"/>
                <w:szCs w:val="20"/>
                <w:color w:val="auto"/>
              </w:rPr>
            </w:pPr>
            <w:r>
              <w:rPr>
                <w:rFonts w:ascii="Arial" w:cs="Arial" w:eastAsia="Arial" w:hAnsi="Arial"/>
                <w:sz w:val="14"/>
                <w:szCs w:val="14"/>
                <w:color w:val="auto"/>
              </w:rPr>
              <w:t>Deferred taxation</w:t>
            </w:r>
          </w:p>
        </w:tc>
        <w:tc>
          <w:tcPr>
            <w:tcW w:w="2520" w:type="dxa"/>
            <w:vAlign w:val="bottom"/>
          </w:tcPr>
          <w:p>
            <w:pPr>
              <w:spacing w:after="0"/>
              <w:rPr>
                <w:sz w:val="13"/>
                <w:szCs w:val="13"/>
                <w:color w:val="auto"/>
              </w:rPr>
            </w:pPr>
          </w:p>
        </w:tc>
        <w:tc>
          <w:tcPr>
            <w:tcW w:w="120" w:type="dxa"/>
            <w:vAlign w:val="bottom"/>
            <w:shd w:val="clear" w:color="auto" w:fill="D8D8D8"/>
          </w:tcPr>
          <w:p>
            <w:pPr>
              <w:spacing w:after="0"/>
              <w:rPr>
                <w:sz w:val="13"/>
                <w:szCs w:val="13"/>
                <w:color w:val="auto"/>
              </w:rPr>
            </w:pPr>
          </w:p>
        </w:tc>
        <w:tc>
          <w:tcPr>
            <w:tcW w:w="380" w:type="dxa"/>
            <w:vAlign w:val="bottom"/>
            <w:shd w:val="clear" w:color="auto" w:fill="D8D8D8"/>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5800" w:type="dxa"/>
            <w:vAlign w:val="bottom"/>
            <w:gridSpan w:val="2"/>
          </w:tcPr>
          <w:p>
            <w:pPr>
              <w:ind w:left="140"/>
              <w:spacing w:after="0"/>
              <w:rPr>
                <w:sz w:val="20"/>
                <w:szCs w:val="20"/>
                <w:color w:val="auto"/>
              </w:rPr>
            </w:pPr>
            <w:r>
              <w:rPr>
                <w:rFonts w:ascii="Arial" w:cs="Arial" w:eastAsia="Arial" w:hAnsi="Arial"/>
                <w:sz w:val="14"/>
                <w:szCs w:val="14"/>
                <w:color w:val="auto"/>
              </w:rPr>
              <w:t>Relating to the origination and reversal of temporary differences</w:t>
            </w:r>
          </w:p>
        </w:tc>
        <w:tc>
          <w:tcPr>
            <w:tcW w:w="2520" w:type="dxa"/>
            <w:vAlign w:val="bottom"/>
          </w:tcPr>
          <w:p>
            <w:pPr>
              <w:spacing w:after="0"/>
              <w:rPr>
                <w:sz w:val="14"/>
                <w:szCs w:val="14"/>
                <w:color w:val="auto"/>
              </w:rPr>
            </w:pPr>
          </w:p>
        </w:tc>
        <w:tc>
          <w:tcPr>
            <w:tcW w:w="120" w:type="dxa"/>
            <w:vAlign w:val="bottom"/>
            <w:shd w:val="clear" w:color="auto" w:fill="D8D8D8"/>
          </w:tcPr>
          <w:p>
            <w:pPr>
              <w:spacing w:after="0"/>
              <w:rPr>
                <w:sz w:val="14"/>
                <w:szCs w:val="14"/>
                <w:color w:val="auto"/>
              </w:rPr>
            </w:pPr>
          </w:p>
        </w:tc>
        <w:tc>
          <w:tcPr>
            <w:tcW w:w="380" w:type="dxa"/>
            <w:vAlign w:val="bottom"/>
            <w:shd w:val="clear" w:color="auto" w:fill="D8D8D8"/>
          </w:tcPr>
          <w:p>
            <w:pPr>
              <w:spacing w:after="0"/>
              <w:rPr>
                <w:sz w:val="14"/>
                <w:szCs w:val="14"/>
                <w:color w:val="auto"/>
              </w:rPr>
            </w:pPr>
          </w:p>
        </w:tc>
        <w:tc>
          <w:tcPr>
            <w:tcW w:w="760" w:type="dxa"/>
            <w:vAlign w:val="bottom"/>
          </w:tcPr>
          <w:p>
            <w:pPr>
              <w:jc w:val="right"/>
              <w:ind w:right="329"/>
              <w:spacing w:after="0"/>
              <w:rPr>
                <w:sz w:val="20"/>
                <w:szCs w:val="20"/>
                <w:color w:val="auto"/>
              </w:rPr>
            </w:pPr>
            <w:r>
              <w:rPr>
                <w:rFonts w:ascii="Arial" w:cs="Arial" w:eastAsia="Arial" w:hAnsi="Arial"/>
                <w:sz w:val="14"/>
                <w:szCs w:val="14"/>
                <w:color w:val="auto"/>
              </w:rPr>
              <w:t>(6)</w:t>
            </w:r>
          </w:p>
        </w:tc>
        <w:tc>
          <w:tcPr>
            <w:tcW w:w="1840" w:type="dxa"/>
            <w:vAlign w:val="bottom"/>
            <w:gridSpan w:val="3"/>
          </w:tcPr>
          <w:p>
            <w:pPr>
              <w:jc w:val="right"/>
              <w:ind w:right="328"/>
              <w:spacing w:after="0"/>
              <w:rPr>
                <w:sz w:val="20"/>
                <w:szCs w:val="20"/>
                <w:color w:val="auto"/>
              </w:rPr>
            </w:pPr>
            <w:r>
              <w:rPr>
                <w:rFonts w:ascii="Arial" w:cs="Arial" w:eastAsia="Arial" w:hAnsi="Arial"/>
                <w:sz w:val="14"/>
                <w:szCs w:val="14"/>
                <w:color w:val="auto"/>
              </w:rPr>
              <w:t>(19)</w:t>
            </w:r>
          </w:p>
        </w:tc>
        <w:tc>
          <w:tcPr>
            <w:tcW w:w="0" w:type="dxa"/>
            <w:vAlign w:val="bottom"/>
          </w:tcPr>
          <w:p>
            <w:pPr>
              <w:spacing w:after="0"/>
              <w:rPr>
                <w:sz w:val="1"/>
                <w:szCs w:val="1"/>
                <w:color w:val="auto"/>
              </w:rPr>
            </w:pPr>
          </w:p>
        </w:tc>
      </w:tr>
      <w:tr>
        <w:trPr>
          <w:trHeight w:val="171"/>
        </w:trPr>
        <w:tc>
          <w:tcPr>
            <w:tcW w:w="5800" w:type="dxa"/>
            <w:vAlign w:val="bottom"/>
            <w:tcBorders>
              <w:bottom w:val="single" w:sz="8" w:color="auto"/>
            </w:tcBorders>
            <w:gridSpan w:val="2"/>
          </w:tcPr>
          <w:p>
            <w:pPr>
              <w:ind w:left="140"/>
              <w:spacing w:after="0"/>
              <w:rPr>
                <w:sz w:val="20"/>
                <w:szCs w:val="20"/>
                <w:color w:val="auto"/>
              </w:rPr>
            </w:pPr>
            <w:r>
              <w:rPr>
                <w:rFonts w:ascii="Arial" w:cs="Arial" w:eastAsia="Arial" w:hAnsi="Arial"/>
                <w:sz w:val="14"/>
                <w:szCs w:val="14"/>
                <w:color w:val="auto"/>
              </w:rPr>
              <w:t>Adjustment in respect of prior periods</w:t>
            </w:r>
          </w:p>
        </w:tc>
        <w:tc>
          <w:tcPr>
            <w:tcW w:w="25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shd w:val="clear" w:color="auto" w:fill="D8D8D8"/>
          </w:tcPr>
          <w:p>
            <w:pPr>
              <w:spacing w:after="0"/>
              <w:rPr>
                <w:sz w:val="14"/>
                <w:szCs w:val="14"/>
                <w:color w:val="auto"/>
              </w:rPr>
            </w:pPr>
          </w:p>
        </w:tc>
        <w:tc>
          <w:tcPr>
            <w:tcW w:w="380" w:type="dxa"/>
            <w:vAlign w:val="bottom"/>
            <w:tcBorders>
              <w:bottom w:val="single" w:sz="8" w:color="auto"/>
            </w:tcBorders>
            <w:shd w:val="clear" w:color="auto" w:fill="D8D8D8"/>
          </w:tcPr>
          <w:p>
            <w:pPr>
              <w:spacing w:after="0"/>
              <w:rPr>
                <w:sz w:val="14"/>
                <w:szCs w:val="14"/>
                <w:color w:val="auto"/>
              </w:rPr>
            </w:pPr>
          </w:p>
        </w:tc>
        <w:tc>
          <w:tcPr>
            <w:tcW w:w="760" w:type="dxa"/>
            <w:vAlign w:val="bottom"/>
            <w:tcBorders>
              <w:bottom w:val="single" w:sz="8" w:color="auto"/>
            </w:tcBorders>
          </w:tcPr>
          <w:p>
            <w:pPr>
              <w:jc w:val="right"/>
              <w:ind w:right="329"/>
              <w:spacing w:after="0"/>
              <w:rPr>
                <w:sz w:val="20"/>
                <w:szCs w:val="20"/>
                <w:color w:val="auto"/>
              </w:rPr>
            </w:pPr>
            <w:r>
              <w:rPr>
                <w:rFonts w:ascii="Arial" w:cs="Arial" w:eastAsia="Arial" w:hAnsi="Arial"/>
                <w:sz w:val="14"/>
                <w:szCs w:val="14"/>
                <w:color w:val="auto"/>
              </w:rPr>
              <w:t>(6)</w:t>
            </w:r>
          </w:p>
        </w:tc>
        <w:tc>
          <w:tcPr>
            <w:tcW w:w="1840" w:type="dxa"/>
            <w:vAlign w:val="bottom"/>
            <w:tcBorders>
              <w:bottom w:val="single" w:sz="8" w:color="auto"/>
            </w:tcBorders>
            <w:gridSpan w:val="3"/>
          </w:tcPr>
          <w:p>
            <w:pPr>
              <w:jc w:val="right"/>
              <w:ind w:right="368"/>
              <w:spacing w:after="0"/>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156"/>
        </w:trPr>
        <w:tc>
          <w:tcPr>
            <w:tcW w:w="5800" w:type="dxa"/>
            <w:vAlign w:val="bottom"/>
            <w:tcBorders>
              <w:bottom w:val="single" w:sz="8" w:color="auto"/>
            </w:tcBorders>
            <w:gridSpan w:val="2"/>
          </w:tcPr>
          <w:p>
            <w:pPr>
              <w:spacing w:after="0" w:line="155" w:lineRule="exact"/>
              <w:rPr>
                <w:sz w:val="20"/>
                <w:szCs w:val="20"/>
                <w:color w:val="auto"/>
              </w:rPr>
            </w:pPr>
            <w:r>
              <w:rPr>
                <w:rFonts w:ascii="Arial" w:cs="Arial" w:eastAsia="Arial" w:hAnsi="Arial"/>
                <w:sz w:val="14"/>
                <w:szCs w:val="14"/>
                <w:color w:val="auto"/>
              </w:rPr>
              <w:t>Total</w:t>
            </w:r>
          </w:p>
        </w:tc>
        <w:tc>
          <w:tcPr>
            <w:tcW w:w="25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shd w:val="clear" w:color="auto" w:fill="D8D8D8"/>
          </w:tcPr>
          <w:p>
            <w:pPr>
              <w:spacing w:after="0"/>
              <w:rPr>
                <w:sz w:val="13"/>
                <w:szCs w:val="13"/>
                <w:color w:val="auto"/>
              </w:rPr>
            </w:pPr>
          </w:p>
        </w:tc>
        <w:tc>
          <w:tcPr>
            <w:tcW w:w="380" w:type="dxa"/>
            <w:vAlign w:val="bottom"/>
            <w:tcBorders>
              <w:bottom w:val="single" w:sz="8" w:color="auto"/>
            </w:tcBorders>
            <w:shd w:val="clear" w:color="auto" w:fill="D8D8D8"/>
          </w:tcPr>
          <w:p>
            <w:pPr>
              <w:spacing w:after="0"/>
              <w:rPr>
                <w:sz w:val="13"/>
                <w:szCs w:val="13"/>
                <w:color w:val="auto"/>
              </w:rPr>
            </w:pPr>
          </w:p>
        </w:tc>
        <w:tc>
          <w:tcPr>
            <w:tcW w:w="760" w:type="dxa"/>
            <w:vAlign w:val="bottom"/>
            <w:tcBorders>
              <w:bottom w:val="single" w:sz="8" w:color="auto"/>
            </w:tcBorders>
          </w:tcPr>
          <w:p>
            <w:pPr>
              <w:jc w:val="right"/>
              <w:ind w:right="329"/>
              <w:spacing w:after="0" w:line="155" w:lineRule="exact"/>
              <w:rPr>
                <w:sz w:val="20"/>
                <w:szCs w:val="20"/>
                <w:color w:val="auto"/>
              </w:rPr>
            </w:pPr>
            <w:r>
              <w:rPr>
                <w:rFonts w:ascii="Arial" w:cs="Arial" w:eastAsia="Arial" w:hAnsi="Arial"/>
                <w:sz w:val="14"/>
                <w:szCs w:val="14"/>
                <w:color w:val="auto"/>
              </w:rPr>
              <w:t>(12)</w:t>
            </w:r>
          </w:p>
        </w:tc>
        <w:tc>
          <w:tcPr>
            <w:tcW w:w="1840" w:type="dxa"/>
            <w:vAlign w:val="bottom"/>
            <w:tcBorders>
              <w:bottom w:val="single" w:sz="8" w:color="auto"/>
            </w:tcBorders>
            <w:gridSpan w:val="3"/>
          </w:tcPr>
          <w:p>
            <w:pPr>
              <w:jc w:val="right"/>
              <w:ind w:right="328"/>
              <w:spacing w:after="0" w:line="155" w:lineRule="exact"/>
              <w:rPr>
                <w:sz w:val="20"/>
                <w:szCs w:val="20"/>
                <w:color w:val="auto"/>
              </w:rPr>
            </w:pPr>
            <w:r>
              <w:rPr>
                <w:rFonts w:ascii="Arial" w:cs="Arial" w:eastAsia="Arial" w:hAnsi="Arial"/>
                <w:sz w:val="14"/>
                <w:szCs w:val="14"/>
                <w:color w:val="auto"/>
              </w:rPr>
              <w:t>(15)</w:t>
            </w:r>
          </w:p>
        </w:tc>
        <w:tc>
          <w:tcPr>
            <w:tcW w:w="0" w:type="dxa"/>
            <w:vAlign w:val="bottom"/>
          </w:tcPr>
          <w:p>
            <w:pPr>
              <w:spacing w:after="0"/>
              <w:rPr>
                <w:sz w:val="1"/>
                <w:szCs w:val="1"/>
                <w:color w:val="auto"/>
              </w:rPr>
            </w:pPr>
          </w:p>
        </w:tc>
      </w:tr>
      <w:tr>
        <w:trPr>
          <w:trHeight w:val="156"/>
        </w:trPr>
        <w:tc>
          <w:tcPr>
            <w:tcW w:w="5800" w:type="dxa"/>
            <w:vAlign w:val="bottom"/>
            <w:tcBorders>
              <w:bottom w:val="single" w:sz="8" w:color="auto"/>
            </w:tcBorders>
            <w:gridSpan w:val="2"/>
          </w:tcPr>
          <w:p>
            <w:pPr>
              <w:spacing w:after="0" w:line="155" w:lineRule="exact"/>
              <w:rPr>
                <w:sz w:val="20"/>
                <w:szCs w:val="20"/>
                <w:color w:val="auto"/>
              </w:rPr>
            </w:pPr>
            <w:r>
              <w:rPr>
                <w:rFonts w:ascii="Arial" w:cs="Arial" w:eastAsia="Arial" w:hAnsi="Arial"/>
                <w:sz w:val="14"/>
                <w:szCs w:val="14"/>
                <w:color w:val="auto"/>
              </w:rPr>
              <w:t>Total taxation credit</w:t>
            </w:r>
          </w:p>
        </w:tc>
        <w:tc>
          <w:tcPr>
            <w:tcW w:w="25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shd w:val="clear" w:color="auto" w:fill="D8D8D8"/>
          </w:tcPr>
          <w:p>
            <w:pPr>
              <w:spacing w:after="0"/>
              <w:rPr>
                <w:sz w:val="13"/>
                <w:szCs w:val="13"/>
                <w:color w:val="auto"/>
              </w:rPr>
            </w:pPr>
          </w:p>
        </w:tc>
        <w:tc>
          <w:tcPr>
            <w:tcW w:w="380" w:type="dxa"/>
            <w:vAlign w:val="bottom"/>
            <w:tcBorders>
              <w:bottom w:val="single" w:sz="8" w:color="auto"/>
            </w:tcBorders>
            <w:shd w:val="clear" w:color="auto" w:fill="D8D8D8"/>
          </w:tcPr>
          <w:p>
            <w:pPr>
              <w:spacing w:after="0"/>
              <w:rPr>
                <w:sz w:val="13"/>
                <w:szCs w:val="13"/>
                <w:color w:val="auto"/>
              </w:rPr>
            </w:pPr>
          </w:p>
        </w:tc>
        <w:tc>
          <w:tcPr>
            <w:tcW w:w="760" w:type="dxa"/>
            <w:vAlign w:val="bottom"/>
            <w:tcBorders>
              <w:bottom w:val="single" w:sz="8" w:color="auto"/>
            </w:tcBorders>
          </w:tcPr>
          <w:p>
            <w:pPr>
              <w:jc w:val="right"/>
              <w:ind w:right="329"/>
              <w:spacing w:after="0" w:line="155" w:lineRule="exact"/>
              <w:rPr>
                <w:sz w:val="20"/>
                <w:szCs w:val="20"/>
                <w:color w:val="auto"/>
              </w:rPr>
            </w:pPr>
            <w:r>
              <w:rPr>
                <w:rFonts w:ascii="Arial" w:cs="Arial" w:eastAsia="Arial" w:hAnsi="Arial"/>
                <w:sz w:val="14"/>
                <w:szCs w:val="14"/>
                <w:color w:val="auto"/>
              </w:rPr>
              <w:t>(12)</w:t>
            </w:r>
          </w:p>
        </w:tc>
        <w:tc>
          <w:tcPr>
            <w:tcW w:w="1840" w:type="dxa"/>
            <w:vAlign w:val="bottom"/>
            <w:tcBorders>
              <w:bottom w:val="single" w:sz="8" w:color="auto"/>
            </w:tcBorders>
            <w:gridSpan w:val="3"/>
          </w:tcPr>
          <w:p>
            <w:pPr>
              <w:jc w:val="right"/>
              <w:ind w:right="328"/>
              <w:spacing w:after="0" w:line="155" w:lineRule="exact"/>
              <w:rPr>
                <w:sz w:val="20"/>
                <w:szCs w:val="20"/>
                <w:color w:val="auto"/>
              </w:rPr>
            </w:pPr>
            <w:r>
              <w:rPr>
                <w:rFonts w:ascii="Arial" w:cs="Arial" w:eastAsia="Arial" w:hAnsi="Arial"/>
                <w:sz w:val="14"/>
                <w:szCs w:val="14"/>
                <w:color w:val="auto"/>
              </w:rPr>
              <w:t>(28)</w:t>
            </w:r>
          </w:p>
        </w:tc>
        <w:tc>
          <w:tcPr>
            <w:tcW w:w="0" w:type="dxa"/>
            <w:vAlign w:val="bottom"/>
          </w:tcPr>
          <w:p>
            <w:pPr>
              <w:spacing w:after="0"/>
              <w:rPr>
                <w:sz w:val="1"/>
                <w:szCs w:val="1"/>
                <w:color w:val="auto"/>
              </w:rPr>
            </w:pPr>
          </w:p>
        </w:tc>
      </w:tr>
      <w:tr>
        <w:trPr>
          <w:trHeight w:val="210"/>
        </w:trPr>
        <w:tc>
          <w:tcPr>
            <w:tcW w:w="8440" w:type="dxa"/>
            <w:vAlign w:val="bottom"/>
            <w:gridSpan w:val="4"/>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9580" w:type="dxa"/>
            <w:vAlign w:val="bottom"/>
            <w:gridSpan w:val="6"/>
            <w:shd w:val="clear" w:color="auto" w:fill="333333"/>
          </w:tcPr>
          <w:p>
            <w:pPr>
              <w:ind w:left="80"/>
              <w:spacing w:after="0" w:line="162" w:lineRule="exact"/>
              <w:rPr>
                <w:sz w:val="20"/>
                <w:szCs w:val="20"/>
                <w:color w:val="auto"/>
              </w:rPr>
            </w:pPr>
            <w:r>
              <w:rPr>
                <w:rFonts w:ascii="Arial" w:cs="Arial" w:eastAsia="Arial" w:hAnsi="Arial"/>
                <w:sz w:val="15"/>
                <w:szCs w:val="15"/>
                <w:b w:val="1"/>
                <w:bCs w:val="1"/>
                <w:color w:val="FFFFFF"/>
              </w:rPr>
              <w:t>RECONCILIATION OF APPLICABLE TAX CHARGE AT STATUTORY RATE TO TAXATION CREDIT</w:t>
            </w:r>
          </w:p>
        </w:tc>
        <w:tc>
          <w:tcPr>
            <w:tcW w:w="100" w:type="dxa"/>
            <w:vAlign w:val="bottom"/>
            <w:shd w:val="clear" w:color="auto" w:fill="333333"/>
          </w:tcPr>
          <w:p>
            <w:pPr>
              <w:spacing w:after="0"/>
              <w:rPr>
                <w:sz w:val="14"/>
                <w:szCs w:val="14"/>
                <w:color w:val="auto"/>
              </w:rPr>
            </w:pPr>
          </w:p>
        </w:tc>
        <w:tc>
          <w:tcPr>
            <w:tcW w:w="180" w:type="dxa"/>
            <w:vAlign w:val="bottom"/>
            <w:shd w:val="clear" w:color="auto" w:fill="333333"/>
          </w:tcPr>
          <w:p>
            <w:pPr>
              <w:spacing w:after="0"/>
              <w:rPr>
                <w:sz w:val="14"/>
                <w:szCs w:val="14"/>
                <w:color w:val="auto"/>
              </w:rPr>
            </w:pPr>
          </w:p>
        </w:tc>
        <w:tc>
          <w:tcPr>
            <w:tcW w:w="1560" w:type="dxa"/>
            <w:vAlign w:val="bottom"/>
            <w:shd w:val="clear" w:color="auto" w:fill="333333"/>
          </w:tcPr>
          <w:p>
            <w:pPr>
              <w:jc w:val="right"/>
              <w:ind w:right="268"/>
              <w:spacing w:after="0" w:line="162" w:lineRule="exact"/>
              <w:rPr>
                <w:sz w:val="20"/>
                <w:szCs w:val="20"/>
                <w:color w:val="auto"/>
              </w:rPr>
            </w:pPr>
            <w:r>
              <w:rPr>
                <w:rFonts w:ascii="Arial" w:cs="Arial" w:eastAsia="Arial" w:hAnsi="Arial"/>
                <w:sz w:val="15"/>
                <w:szCs w:val="15"/>
                <w:color w:val="FFFFFF"/>
              </w:rPr>
              <w:t>$ MILLION</w:t>
            </w:r>
          </w:p>
        </w:tc>
        <w:tc>
          <w:tcPr>
            <w:tcW w:w="0" w:type="dxa"/>
            <w:vAlign w:val="bottom"/>
          </w:tcPr>
          <w:p>
            <w:pPr>
              <w:spacing w:after="0"/>
              <w:rPr>
                <w:sz w:val="1"/>
                <w:szCs w:val="1"/>
                <w:color w:val="auto"/>
              </w:rPr>
            </w:pPr>
          </w:p>
        </w:tc>
      </w:tr>
      <w:tr>
        <w:trPr>
          <w:trHeight w:val="149"/>
        </w:trPr>
        <w:tc>
          <w:tcPr>
            <w:tcW w:w="560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2640" w:type="dxa"/>
            <w:vAlign w:val="bottom"/>
            <w:tcBorders>
              <w:bottom w:val="single" w:sz="8" w:color="auto"/>
            </w:tcBorders>
            <w:gridSpan w:val="2"/>
          </w:tcPr>
          <w:p>
            <w:pPr>
              <w:spacing w:after="0"/>
              <w:rPr>
                <w:sz w:val="12"/>
                <w:szCs w:val="12"/>
                <w:color w:val="auto"/>
              </w:rPr>
            </w:pPr>
          </w:p>
        </w:tc>
        <w:tc>
          <w:tcPr>
            <w:tcW w:w="1140" w:type="dxa"/>
            <w:vAlign w:val="bottom"/>
            <w:tcBorders>
              <w:bottom w:val="single" w:sz="8" w:color="auto"/>
            </w:tcBorders>
            <w:gridSpan w:val="2"/>
            <w:shd w:val="clear" w:color="auto" w:fill="D8D8D8"/>
          </w:tcPr>
          <w:p>
            <w:pPr>
              <w:jc w:val="right"/>
              <w:spacing w:after="0"/>
              <w:rPr>
                <w:sz w:val="20"/>
                <w:szCs w:val="20"/>
                <w:color w:val="auto"/>
              </w:rPr>
            </w:pPr>
            <w:r>
              <w:rPr>
                <w:rFonts w:ascii="Arial" w:cs="Arial" w:eastAsia="Arial" w:hAnsi="Arial"/>
                <w:sz w:val="13"/>
                <w:szCs w:val="13"/>
                <w:color w:val="auto"/>
              </w:rPr>
              <w:t>2014</w:t>
            </w:r>
          </w:p>
        </w:tc>
        <w:tc>
          <w:tcPr>
            <w:tcW w:w="100" w:type="dxa"/>
            <w:vAlign w:val="bottom"/>
            <w:tcBorders>
              <w:bottom w:val="single" w:sz="8" w:color="auto"/>
            </w:tcBorders>
            <w:shd w:val="clear" w:color="auto" w:fill="D8D8D8"/>
          </w:tcPr>
          <w:p>
            <w:pPr>
              <w:spacing w:after="0"/>
              <w:rPr>
                <w:sz w:val="12"/>
                <w:szCs w:val="12"/>
                <w:color w:val="auto"/>
              </w:rPr>
            </w:pPr>
          </w:p>
        </w:tc>
        <w:tc>
          <w:tcPr>
            <w:tcW w:w="180" w:type="dxa"/>
            <w:vAlign w:val="bottom"/>
            <w:tcBorders>
              <w:bottom w:val="single" w:sz="8" w:color="auto"/>
            </w:tcBorders>
            <w:shd w:val="clear" w:color="auto" w:fill="D8D8D8"/>
          </w:tcPr>
          <w:p>
            <w:pPr>
              <w:spacing w:after="0"/>
              <w:rPr>
                <w:sz w:val="12"/>
                <w:szCs w:val="12"/>
                <w:color w:val="auto"/>
              </w:rPr>
            </w:pPr>
          </w:p>
        </w:tc>
        <w:tc>
          <w:tcPr>
            <w:tcW w:w="1560" w:type="dxa"/>
            <w:vAlign w:val="bottom"/>
            <w:tcBorders>
              <w:bottom w:val="single" w:sz="8" w:color="auto"/>
            </w:tcBorders>
          </w:tcPr>
          <w:p>
            <w:pPr>
              <w:jc w:val="right"/>
              <w:ind w:right="268"/>
              <w:spacing w:after="0"/>
              <w:rPr>
                <w:sz w:val="20"/>
                <w:szCs w:val="20"/>
                <w:color w:val="auto"/>
              </w:rPr>
            </w:pPr>
            <w:r>
              <w:rPr>
                <w:rFonts w:ascii="Arial" w:cs="Arial" w:eastAsia="Arial" w:hAnsi="Arial"/>
                <w:sz w:val="13"/>
                <w:szCs w:val="13"/>
                <w:color w:val="auto"/>
              </w:rPr>
              <w:t>2013</w:t>
            </w:r>
          </w:p>
        </w:tc>
        <w:tc>
          <w:tcPr>
            <w:tcW w:w="0" w:type="dxa"/>
            <w:vAlign w:val="bottom"/>
          </w:tcPr>
          <w:p>
            <w:pPr>
              <w:spacing w:after="0"/>
              <w:rPr>
                <w:sz w:val="1"/>
                <w:szCs w:val="1"/>
                <w:color w:val="auto"/>
              </w:rPr>
            </w:pPr>
          </w:p>
        </w:tc>
      </w:tr>
      <w:tr>
        <w:trPr>
          <w:trHeight w:val="156"/>
        </w:trPr>
        <w:tc>
          <w:tcPr>
            <w:tcW w:w="5800" w:type="dxa"/>
            <w:vAlign w:val="bottom"/>
            <w:tcBorders>
              <w:bottom w:val="single" w:sz="8" w:color="auto"/>
            </w:tcBorders>
            <w:gridSpan w:val="2"/>
          </w:tcPr>
          <w:p>
            <w:pPr>
              <w:spacing w:after="0" w:line="155" w:lineRule="exact"/>
              <w:rPr>
                <w:sz w:val="20"/>
                <w:szCs w:val="20"/>
                <w:color w:val="auto"/>
              </w:rPr>
            </w:pPr>
            <w:r>
              <w:rPr>
                <w:rFonts w:ascii="Arial" w:cs="Arial" w:eastAsia="Arial" w:hAnsi="Arial"/>
                <w:sz w:val="14"/>
                <w:szCs w:val="14"/>
                <w:color w:val="auto"/>
              </w:rPr>
              <w:t>Income before taxation</w:t>
            </w:r>
          </w:p>
        </w:tc>
        <w:tc>
          <w:tcPr>
            <w:tcW w:w="25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shd w:val="clear" w:color="auto" w:fill="D8D8D8"/>
          </w:tcPr>
          <w:p>
            <w:pPr>
              <w:spacing w:after="0"/>
              <w:rPr>
                <w:sz w:val="13"/>
                <w:szCs w:val="13"/>
                <w:color w:val="auto"/>
              </w:rPr>
            </w:pPr>
          </w:p>
        </w:tc>
        <w:tc>
          <w:tcPr>
            <w:tcW w:w="760" w:type="dxa"/>
            <w:vAlign w:val="bottom"/>
            <w:tcBorders>
              <w:left w:val="single" w:sz="8" w:color="D8D8D8"/>
              <w:bottom w:val="single" w:sz="8" w:color="auto"/>
            </w:tcBorders>
            <w:shd w:val="clear" w:color="auto" w:fill="D8D8D8"/>
          </w:tcPr>
          <w:p>
            <w:pPr>
              <w:jc w:val="right"/>
              <w:spacing w:after="0" w:line="155" w:lineRule="exact"/>
              <w:rPr>
                <w:sz w:val="20"/>
                <w:szCs w:val="20"/>
                <w:color w:val="auto"/>
              </w:rPr>
            </w:pPr>
            <w:r>
              <w:rPr>
                <w:rFonts w:ascii="Arial" w:cs="Arial" w:eastAsia="Arial" w:hAnsi="Arial"/>
                <w:sz w:val="14"/>
                <w:szCs w:val="14"/>
                <w:color w:val="auto"/>
              </w:rPr>
              <w:t>16,067</w:t>
            </w:r>
          </w:p>
        </w:tc>
        <w:tc>
          <w:tcPr>
            <w:tcW w:w="100" w:type="dxa"/>
            <w:vAlign w:val="bottom"/>
            <w:tcBorders>
              <w:bottom w:val="single" w:sz="8" w:color="auto"/>
            </w:tcBorders>
            <w:shd w:val="clear" w:color="auto" w:fill="D8D8D8"/>
          </w:tcPr>
          <w:p>
            <w:pPr>
              <w:spacing w:after="0"/>
              <w:rPr>
                <w:sz w:val="13"/>
                <w:szCs w:val="13"/>
                <w:color w:val="auto"/>
              </w:rPr>
            </w:pPr>
          </w:p>
        </w:tc>
        <w:tc>
          <w:tcPr>
            <w:tcW w:w="180" w:type="dxa"/>
            <w:vAlign w:val="bottom"/>
            <w:tcBorders>
              <w:bottom w:val="single" w:sz="8" w:color="auto"/>
            </w:tcBorders>
            <w:shd w:val="clear" w:color="auto" w:fill="D8D8D8"/>
          </w:tcPr>
          <w:p>
            <w:pPr>
              <w:spacing w:after="0"/>
              <w:rPr>
                <w:sz w:val="13"/>
                <w:szCs w:val="13"/>
                <w:color w:val="auto"/>
              </w:rPr>
            </w:pPr>
          </w:p>
        </w:tc>
        <w:tc>
          <w:tcPr>
            <w:tcW w:w="1560" w:type="dxa"/>
            <w:vAlign w:val="bottom"/>
            <w:tcBorders>
              <w:bottom w:val="single" w:sz="8" w:color="auto"/>
            </w:tcBorders>
          </w:tcPr>
          <w:p>
            <w:pPr>
              <w:jc w:val="right"/>
              <w:ind w:right="268"/>
              <w:spacing w:after="0" w:line="155" w:lineRule="exact"/>
              <w:rPr>
                <w:sz w:val="20"/>
                <w:szCs w:val="20"/>
                <w:color w:val="auto"/>
              </w:rPr>
            </w:pPr>
            <w:r>
              <w:rPr>
                <w:rFonts w:ascii="Arial" w:cs="Arial" w:eastAsia="Arial" w:hAnsi="Arial"/>
                <w:sz w:val="14"/>
                <w:szCs w:val="14"/>
                <w:color w:val="auto"/>
              </w:rPr>
              <w:t>14,221</w:t>
            </w:r>
          </w:p>
        </w:tc>
        <w:tc>
          <w:tcPr>
            <w:tcW w:w="0" w:type="dxa"/>
            <w:vAlign w:val="bottom"/>
          </w:tcPr>
          <w:p>
            <w:pPr>
              <w:spacing w:after="0"/>
              <w:rPr>
                <w:sz w:val="1"/>
                <w:szCs w:val="1"/>
                <w:color w:val="auto"/>
              </w:rPr>
            </w:pPr>
          </w:p>
        </w:tc>
      </w:tr>
      <w:tr>
        <w:trPr>
          <w:trHeight w:val="156"/>
        </w:trPr>
        <w:tc>
          <w:tcPr>
            <w:tcW w:w="5800" w:type="dxa"/>
            <w:vAlign w:val="bottom"/>
            <w:gridSpan w:val="2"/>
          </w:tcPr>
          <w:p>
            <w:pPr>
              <w:spacing w:after="0" w:line="155" w:lineRule="exact"/>
              <w:rPr>
                <w:sz w:val="20"/>
                <w:szCs w:val="20"/>
                <w:color w:val="auto"/>
              </w:rPr>
            </w:pPr>
            <w:r>
              <w:rPr>
                <w:rFonts w:ascii="Arial" w:cs="Arial" w:eastAsia="Arial" w:hAnsi="Arial"/>
                <w:sz w:val="14"/>
                <w:szCs w:val="14"/>
                <w:color w:val="auto"/>
              </w:rPr>
              <w:t>Applicable tax charge at the statutory tax rate of 25.0% (2013: 25.0%)</w:t>
            </w:r>
          </w:p>
        </w:tc>
        <w:tc>
          <w:tcPr>
            <w:tcW w:w="2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80" w:type="dxa"/>
            <w:vAlign w:val="bottom"/>
            <w:shd w:val="clear" w:color="auto" w:fill="D8D8D8"/>
          </w:tcPr>
          <w:p>
            <w:pPr>
              <w:spacing w:after="0"/>
              <w:rPr>
                <w:sz w:val="13"/>
                <w:szCs w:val="13"/>
                <w:color w:val="auto"/>
              </w:rPr>
            </w:pPr>
          </w:p>
        </w:tc>
        <w:tc>
          <w:tcPr>
            <w:tcW w:w="760" w:type="dxa"/>
            <w:vAlign w:val="bottom"/>
            <w:tcBorders>
              <w:left w:val="single" w:sz="8" w:color="D8D8D8"/>
            </w:tcBorders>
            <w:shd w:val="clear" w:color="auto" w:fill="D8D8D8"/>
          </w:tcPr>
          <w:p>
            <w:pPr>
              <w:jc w:val="right"/>
              <w:spacing w:after="0" w:line="155" w:lineRule="exact"/>
              <w:rPr>
                <w:sz w:val="20"/>
                <w:szCs w:val="20"/>
                <w:color w:val="auto"/>
              </w:rPr>
            </w:pPr>
            <w:r>
              <w:rPr>
                <w:rFonts w:ascii="Arial" w:cs="Arial" w:eastAsia="Arial" w:hAnsi="Arial"/>
                <w:sz w:val="14"/>
                <w:szCs w:val="14"/>
                <w:color w:val="auto"/>
              </w:rPr>
              <w:t>4,017</w:t>
            </w:r>
          </w:p>
        </w:tc>
        <w:tc>
          <w:tcPr>
            <w:tcW w:w="100" w:type="dxa"/>
            <w:vAlign w:val="bottom"/>
            <w:shd w:val="clear" w:color="auto" w:fill="D8D8D8"/>
          </w:tcPr>
          <w:p>
            <w:pPr>
              <w:spacing w:after="0"/>
              <w:rPr>
                <w:sz w:val="13"/>
                <w:szCs w:val="13"/>
                <w:color w:val="auto"/>
              </w:rPr>
            </w:pPr>
          </w:p>
        </w:tc>
        <w:tc>
          <w:tcPr>
            <w:tcW w:w="180" w:type="dxa"/>
            <w:vAlign w:val="bottom"/>
            <w:shd w:val="clear" w:color="auto" w:fill="D8D8D8"/>
          </w:tcPr>
          <w:p>
            <w:pPr>
              <w:spacing w:after="0"/>
              <w:rPr>
                <w:sz w:val="13"/>
                <w:szCs w:val="13"/>
                <w:color w:val="auto"/>
              </w:rPr>
            </w:pPr>
          </w:p>
        </w:tc>
        <w:tc>
          <w:tcPr>
            <w:tcW w:w="1560" w:type="dxa"/>
            <w:vAlign w:val="bottom"/>
          </w:tcPr>
          <w:p>
            <w:pPr>
              <w:jc w:val="right"/>
              <w:ind w:right="268"/>
              <w:spacing w:after="0" w:line="155" w:lineRule="exact"/>
              <w:rPr>
                <w:sz w:val="20"/>
                <w:szCs w:val="20"/>
                <w:color w:val="auto"/>
              </w:rPr>
            </w:pPr>
            <w:r>
              <w:rPr>
                <w:rFonts w:ascii="Arial" w:cs="Arial" w:eastAsia="Arial" w:hAnsi="Arial"/>
                <w:sz w:val="14"/>
                <w:szCs w:val="14"/>
                <w:color w:val="auto"/>
              </w:rPr>
              <w:t>3,555</w:t>
            </w:r>
          </w:p>
        </w:tc>
        <w:tc>
          <w:tcPr>
            <w:tcW w:w="0" w:type="dxa"/>
            <w:vAlign w:val="bottom"/>
          </w:tcPr>
          <w:p>
            <w:pPr>
              <w:spacing w:after="0"/>
              <w:rPr>
                <w:sz w:val="1"/>
                <w:szCs w:val="1"/>
                <w:color w:val="auto"/>
              </w:rPr>
            </w:pPr>
          </w:p>
        </w:tc>
      </w:tr>
      <w:tr>
        <w:trPr>
          <w:trHeight w:val="167"/>
        </w:trPr>
        <w:tc>
          <w:tcPr>
            <w:tcW w:w="5800" w:type="dxa"/>
            <w:vAlign w:val="bottom"/>
            <w:gridSpan w:val="2"/>
          </w:tcPr>
          <w:p>
            <w:pPr>
              <w:spacing w:after="0"/>
              <w:rPr>
                <w:sz w:val="20"/>
                <w:szCs w:val="20"/>
                <w:color w:val="auto"/>
              </w:rPr>
            </w:pPr>
            <w:r>
              <w:rPr>
                <w:rFonts w:ascii="Arial" w:cs="Arial" w:eastAsia="Arial" w:hAnsi="Arial"/>
                <w:sz w:val="14"/>
                <w:szCs w:val="14"/>
                <w:color w:val="auto"/>
              </w:rPr>
              <w:t>Adjustments in respect of prior periods</w:t>
            </w:r>
          </w:p>
        </w:tc>
        <w:tc>
          <w:tcPr>
            <w:tcW w:w="2640" w:type="dxa"/>
            <w:vAlign w:val="bottom"/>
            <w:gridSpan w:val="2"/>
          </w:tcPr>
          <w:p>
            <w:pPr>
              <w:spacing w:after="0"/>
              <w:rPr>
                <w:sz w:val="14"/>
                <w:szCs w:val="14"/>
                <w:color w:val="auto"/>
              </w:rPr>
            </w:pPr>
          </w:p>
        </w:tc>
        <w:tc>
          <w:tcPr>
            <w:tcW w:w="380" w:type="dxa"/>
            <w:vAlign w:val="bottom"/>
            <w:shd w:val="clear" w:color="auto" w:fill="D8D8D8"/>
          </w:tcPr>
          <w:p>
            <w:pPr>
              <w:spacing w:after="0"/>
              <w:rPr>
                <w:sz w:val="14"/>
                <w:szCs w:val="14"/>
                <w:color w:val="auto"/>
              </w:rPr>
            </w:pPr>
          </w:p>
        </w:tc>
        <w:tc>
          <w:tcPr>
            <w:tcW w:w="760" w:type="dxa"/>
            <w:vAlign w:val="bottom"/>
            <w:tcBorders>
              <w:left w:val="single" w:sz="8" w:color="D8D8D8"/>
            </w:tcBorders>
          </w:tcPr>
          <w:p>
            <w:pPr>
              <w:jc w:val="right"/>
              <w:spacing w:after="0"/>
              <w:rPr>
                <w:sz w:val="20"/>
                <w:szCs w:val="20"/>
                <w:color w:val="auto"/>
              </w:rPr>
            </w:pPr>
            <w:r>
              <w:rPr>
                <w:rFonts w:ascii="Arial" w:cs="Arial" w:eastAsia="Arial" w:hAnsi="Arial"/>
                <w:sz w:val="14"/>
                <w:szCs w:val="14"/>
                <w:color w:val="auto"/>
              </w:rPr>
              <w:t>(6)</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60" w:type="dxa"/>
            <w:vAlign w:val="bottom"/>
          </w:tcPr>
          <w:p>
            <w:pPr>
              <w:jc w:val="right"/>
              <w:ind w:right="268"/>
              <w:spacing w:after="0"/>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162"/>
        </w:trPr>
        <w:tc>
          <w:tcPr>
            <w:tcW w:w="5800" w:type="dxa"/>
            <w:vAlign w:val="bottom"/>
            <w:gridSpan w:val="2"/>
          </w:tcPr>
          <w:p>
            <w:pPr>
              <w:spacing w:after="0"/>
              <w:rPr>
                <w:sz w:val="20"/>
                <w:szCs w:val="20"/>
                <w:color w:val="auto"/>
              </w:rPr>
            </w:pPr>
            <w:r>
              <w:rPr>
                <w:rFonts w:ascii="Arial" w:cs="Arial" w:eastAsia="Arial" w:hAnsi="Arial"/>
                <w:sz w:val="14"/>
                <w:szCs w:val="14"/>
                <w:color w:val="auto"/>
              </w:rPr>
              <w:t>Tax effects of:</w:t>
            </w:r>
          </w:p>
        </w:tc>
        <w:tc>
          <w:tcPr>
            <w:tcW w:w="2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shd w:val="clear" w:color="auto" w:fill="D8D8D8"/>
          </w:tcPr>
          <w:p>
            <w:pPr>
              <w:spacing w:after="0"/>
              <w:rPr>
                <w:sz w:val="14"/>
                <w:szCs w:val="14"/>
                <w:color w:val="auto"/>
              </w:rPr>
            </w:pPr>
          </w:p>
        </w:tc>
        <w:tc>
          <w:tcPr>
            <w:tcW w:w="760" w:type="dxa"/>
            <w:vAlign w:val="bottom"/>
            <w:tcBorders>
              <w:left w:val="single" w:sz="8" w:color="D8D8D8"/>
            </w:tcBorders>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800" w:type="dxa"/>
            <w:vAlign w:val="bottom"/>
            <w:gridSpan w:val="2"/>
          </w:tcPr>
          <w:p>
            <w:pPr>
              <w:ind w:left="140"/>
              <w:spacing w:after="0"/>
              <w:rPr>
                <w:sz w:val="20"/>
                <w:szCs w:val="20"/>
                <w:color w:val="auto"/>
              </w:rPr>
            </w:pPr>
            <w:r>
              <w:rPr>
                <w:rFonts w:ascii="Arial" w:cs="Arial" w:eastAsia="Arial" w:hAnsi="Arial"/>
                <w:sz w:val="14"/>
                <w:szCs w:val="14"/>
                <w:color w:val="auto"/>
              </w:rPr>
              <w:t>Income not subject to tax</w:t>
            </w:r>
          </w:p>
        </w:tc>
        <w:tc>
          <w:tcPr>
            <w:tcW w:w="2640" w:type="dxa"/>
            <w:vAlign w:val="bottom"/>
            <w:gridSpan w:val="2"/>
          </w:tcPr>
          <w:p>
            <w:pPr>
              <w:spacing w:after="0"/>
              <w:rPr>
                <w:sz w:val="14"/>
                <w:szCs w:val="14"/>
                <w:color w:val="auto"/>
              </w:rPr>
            </w:pPr>
          </w:p>
        </w:tc>
        <w:tc>
          <w:tcPr>
            <w:tcW w:w="380" w:type="dxa"/>
            <w:vAlign w:val="bottom"/>
            <w:shd w:val="clear" w:color="auto" w:fill="D8D8D8"/>
          </w:tcPr>
          <w:p>
            <w:pPr>
              <w:spacing w:after="0"/>
              <w:rPr>
                <w:sz w:val="14"/>
                <w:szCs w:val="14"/>
                <w:color w:val="auto"/>
              </w:rPr>
            </w:pPr>
          </w:p>
        </w:tc>
        <w:tc>
          <w:tcPr>
            <w:tcW w:w="760" w:type="dxa"/>
            <w:vAlign w:val="bottom"/>
            <w:tcBorders>
              <w:left w:val="single" w:sz="8" w:color="D8D8D8"/>
            </w:tcBorders>
          </w:tcPr>
          <w:p>
            <w:pPr>
              <w:jc w:val="right"/>
              <w:spacing w:after="0"/>
              <w:rPr>
                <w:sz w:val="20"/>
                <w:szCs w:val="20"/>
                <w:color w:val="auto"/>
              </w:rPr>
            </w:pPr>
            <w:r>
              <w:rPr>
                <w:rFonts w:ascii="Arial" w:cs="Arial" w:eastAsia="Arial" w:hAnsi="Arial"/>
                <w:sz w:val="14"/>
                <w:szCs w:val="14"/>
                <w:color w:val="auto"/>
              </w:rPr>
              <w:t>(4,038)</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60" w:type="dxa"/>
            <w:vAlign w:val="bottom"/>
          </w:tcPr>
          <w:p>
            <w:pPr>
              <w:jc w:val="right"/>
              <w:ind w:right="208"/>
              <w:spacing w:after="0"/>
              <w:rPr>
                <w:sz w:val="20"/>
                <w:szCs w:val="20"/>
                <w:color w:val="auto"/>
              </w:rPr>
            </w:pPr>
            <w:r>
              <w:rPr>
                <w:rFonts w:ascii="Arial" w:cs="Arial" w:eastAsia="Arial" w:hAnsi="Arial"/>
                <w:sz w:val="14"/>
                <w:szCs w:val="14"/>
                <w:color w:val="auto"/>
              </w:rPr>
              <w:t>(3,582)</w:t>
            </w:r>
          </w:p>
        </w:tc>
        <w:tc>
          <w:tcPr>
            <w:tcW w:w="0" w:type="dxa"/>
            <w:vAlign w:val="bottom"/>
          </w:tcPr>
          <w:p>
            <w:pPr>
              <w:spacing w:after="0"/>
              <w:rPr>
                <w:sz w:val="1"/>
                <w:szCs w:val="1"/>
                <w:color w:val="auto"/>
              </w:rPr>
            </w:pPr>
          </w:p>
        </w:tc>
      </w:tr>
      <w:tr>
        <w:trPr>
          <w:trHeight w:val="162"/>
        </w:trPr>
        <w:tc>
          <w:tcPr>
            <w:tcW w:w="5800" w:type="dxa"/>
            <w:vAlign w:val="bottom"/>
            <w:gridSpan w:val="2"/>
          </w:tcPr>
          <w:p>
            <w:pPr>
              <w:ind w:left="140"/>
              <w:spacing w:after="0"/>
              <w:rPr>
                <w:sz w:val="20"/>
                <w:szCs w:val="20"/>
                <w:color w:val="auto"/>
              </w:rPr>
            </w:pPr>
            <w:r>
              <w:rPr>
                <w:rFonts w:ascii="Arial" w:cs="Arial" w:eastAsia="Arial" w:hAnsi="Arial"/>
                <w:sz w:val="14"/>
                <w:szCs w:val="14"/>
                <w:color w:val="auto"/>
              </w:rPr>
              <w:t>Expenses not deductible for tax purposes</w:t>
            </w:r>
          </w:p>
        </w:tc>
        <w:tc>
          <w:tcPr>
            <w:tcW w:w="2640" w:type="dxa"/>
            <w:vAlign w:val="bottom"/>
            <w:gridSpan w:val="2"/>
          </w:tcPr>
          <w:p>
            <w:pPr>
              <w:spacing w:after="0"/>
              <w:rPr>
                <w:sz w:val="14"/>
                <w:szCs w:val="14"/>
                <w:color w:val="auto"/>
              </w:rPr>
            </w:pPr>
          </w:p>
        </w:tc>
        <w:tc>
          <w:tcPr>
            <w:tcW w:w="380" w:type="dxa"/>
            <w:vAlign w:val="bottom"/>
            <w:shd w:val="clear" w:color="auto" w:fill="D8D8D8"/>
          </w:tcPr>
          <w:p>
            <w:pPr>
              <w:spacing w:after="0"/>
              <w:rPr>
                <w:sz w:val="14"/>
                <w:szCs w:val="14"/>
                <w:color w:val="auto"/>
              </w:rPr>
            </w:pPr>
          </w:p>
        </w:tc>
        <w:tc>
          <w:tcPr>
            <w:tcW w:w="760" w:type="dxa"/>
            <w:vAlign w:val="bottom"/>
            <w:tcBorders>
              <w:left w:val="single" w:sz="8" w:color="D8D8D8"/>
            </w:tcBorders>
          </w:tcPr>
          <w:p>
            <w:pPr>
              <w:jc w:val="right"/>
              <w:spacing w:after="0"/>
              <w:rPr>
                <w:sz w:val="20"/>
                <w:szCs w:val="20"/>
                <w:color w:val="auto"/>
              </w:rPr>
            </w:pPr>
            <w:r>
              <w:rPr>
                <w:rFonts w:ascii="Arial" w:cs="Arial" w:eastAsia="Arial" w:hAnsi="Arial"/>
                <w:sz w:val="14"/>
                <w:szCs w:val="14"/>
                <w:color w:val="auto"/>
              </w:rPr>
              <w:t>7</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60" w:type="dxa"/>
            <w:vAlign w:val="bottom"/>
          </w:tcPr>
          <w:p>
            <w:pPr>
              <w:jc w:val="right"/>
              <w:ind w:right="268"/>
              <w:spacing w:after="0"/>
              <w:rPr>
                <w:sz w:val="20"/>
                <w:szCs w:val="20"/>
                <w:color w:val="auto"/>
              </w:rPr>
            </w:pPr>
            <w:r>
              <w:rPr>
                <w:rFonts w:ascii="Arial" w:cs="Arial" w:eastAsia="Arial" w:hAnsi="Arial"/>
                <w:sz w:val="14"/>
                <w:szCs w:val="14"/>
                <w:color w:val="auto"/>
              </w:rPr>
              <w:t>8</w:t>
            </w:r>
          </w:p>
        </w:tc>
        <w:tc>
          <w:tcPr>
            <w:tcW w:w="0" w:type="dxa"/>
            <w:vAlign w:val="bottom"/>
          </w:tcPr>
          <w:p>
            <w:pPr>
              <w:spacing w:after="0"/>
              <w:rPr>
                <w:sz w:val="1"/>
                <w:szCs w:val="1"/>
                <w:color w:val="auto"/>
              </w:rPr>
            </w:pPr>
          </w:p>
        </w:tc>
      </w:tr>
      <w:tr>
        <w:trPr>
          <w:trHeight w:val="157"/>
        </w:trPr>
        <w:tc>
          <w:tcPr>
            <w:tcW w:w="5800" w:type="dxa"/>
            <w:vAlign w:val="bottom"/>
            <w:tcBorders>
              <w:bottom w:val="single" w:sz="8" w:color="auto"/>
            </w:tcBorders>
            <w:gridSpan w:val="2"/>
          </w:tcPr>
          <w:p>
            <w:pPr>
              <w:spacing w:after="0" w:line="157" w:lineRule="exact"/>
              <w:rPr>
                <w:sz w:val="20"/>
                <w:szCs w:val="20"/>
                <w:color w:val="auto"/>
              </w:rPr>
            </w:pPr>
            <w:r>
              <w:rPr>
                <w:rFonts w:ascii="Arial" w:cs="Arial" w:eastAsia="Arial" w:hAnsi="Arial"/>
                <w:sz w:val="14"/>
                <w:szCs w:val="14"/>
                <w:color w:val="auto"/>
              </w:rPr>
              <w:t>Other reconciling items</w:t>
            </w:r>
          </w:p>
        </w:tc>
        <w:tc>
          <w:tcPr>
            <w:tcW w:w="2640" w:type="dxa"/>
            <w:vAlign w:val="bottom"/>
            <w:tcBorders>
              <w:bottom w:val="single" w:sz="8" w:color="auto"/>
            </w:tcBorders>
            <w:gridSpan w:val="2"/>
          </w:tcPr>
          <w:p>
            <w:pPr>
              <w:spacing w:after="0"/>
              <w:rPr>
                <w:sz w:val="13"/>
                <w:szCs w:val="13"/>
                <w:color w:val="auto"/>
              </w:rPr>
            </w:pPr>
          </w:p>
        </w:tc>
        <w:tc>
          <w:tcPr>
            <w:tcW w:w="380" w:type="dxa"/>
            <w:vAlign w:val="bottom"/>
            <w:tcBorders>
              <w:bottom w:val="single" w:sz="8" w:color="auto"/>
            </w:tcBorders>
            <w:shd w:val="clear" w:color="auto" w:fill="D8D8D8"/>
          </w:tcPr>
          <w:p>
            <w:pPr>
              <w:spacing w:after="0"/>
              <w:rPr>
                <w:sz w:val="13"/>
                <w:szCs w:val="13"/>
                <w:color w:val="auto"/>
              </w:rPr>
            </w:pPr>
          </w:p>
        </w:tc>
        <w:tc>
          <w:tcPr>
            <w:tcW w:w="760" w:type="dxa"/>
            <w:vAlign w:val="bottom"/>
            <w:tcBorders>
              <w:left w:val="single" w:sz="8" w:color="D8D8D8"/>
              <w:bottom w:val="single" w:sz="8" w:color="auto"/>
            </w:tcBorders>
          </w:tcPr>
          <w:p>
            <w:pPr>
              <w:jc w:val="right"/>
              <w:spacing w:after="0" w:line="157" w:lineRule="exact"/>
              <w:rPr>
                <w:sz w:val="20"/>
                <w:szCs w:val="20"/>
                <w:color w:val="auto"/>
              </w:rPr>
            </w:pPr>
            <w:r>
              <w:rPr>
                <w:rFonts w:ascii="Arial" w:cs="Arial" w:eastAsia="Arial" w:hAnsi="Arial"/>
                <w:sz w:val="14"/>
                <w:szCs w:val="14"/>
                <w:color w:val="auto"/>
              </w:rPr>
              <w:t>8</w:t>
            </w:r>
          </w:p>
        </w:tc>
        <w:tc>
          <w:tcPr>
            <w:tcW w:w="10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560" w:type="dxa"/>
            <w:vAlign w:val="bottom"/>
            <w:tcBorders>
              <w:bottom w:val="single" w:sz="8" w:color="auto"/>
            </w:tcBorders>
          </w:tcPr>
          <w:p>
            <w:pPr>
              <w:jc w:val="right"/>
              <w:ind w:right="208"/>
              <w:spacing w:after="0" w:line="157" w:lineRule="exact"/>
              <w:rPr>
                <w:sz w:val="20"/>
                <w:szCs w:val="20"/>
                <w:color w:val="auto"/>
              </w:rPr>
            </w:pPr>
            <w:r>
              <w:rPr>
                <w:rFonts w:ascii="Arial" w:cs="Arial" w:eastAsia="Arial" w:hAnsi="Arial"/>
                <w:sz w:val="14"/>
                <w:szCs w:val="14"/>
                <w:color w:val="auto"/>
              </w:rPr>
              <w:t>(13)</w:t>
            </w:r>
          </w:p>
        </w:tc>
        <w:tc>
          <w:tcPr>
            <w:tcW w:w="0" w:type="dxa"/>
            <w:vAlign w:val="bottom"/>
          </w:tcPr>
          <w:p>
            <w:pPr>
              <w:spacing w:after="0"/>
              <w:rPr>
                <w:sz w:val="1"/>
                <w:szCs w:val="1"/>
                <w:color w:val="auto"/>
              </w:rPr>
            </w:pPr>
          </w:p>
        </w:tc>
      </w:tr>
      <w:tr>
        <w:trPr>
          <w:trHeight w:val="156"/>
        </w:trPr>
        <w:tc>
          <w:tcPr>
            <w:tcW w:w="5800" w:type="dxa"/>
            <w:vAlign w:val="bottom"/>
            <w:tcBorders>
              <w:bottom w:val="single" w:sz="8" w:color="auto"/>
            </w:tcBorders>
            <w:gridSpan w:val="2"/>
          </w:tcPr>
          <w:p>
            <w:pPr>
              <w:spacing w:after="0" w:line="155" w:lineRule="exact"/>
              <w:rPr>
                <w:sz w:val="20"/>
                <w:szCs w:val="20"/>
                <w:color w:val="auto"/>
              </w:rPr>
            </w:pPr>
            <w:r>
              <w:rPr>
                <w:rFonts w:ascii="Arial" w:cs="Arial" w:eastAsia="Arial" w:hAnsi="Arial"/>
                <w:sz w:val="14"/>
                <w:szCs w:val="14"/>
                <w:color w:val="auto"/>
              </w:rPr>
              <w:t>Taxation credit</w:t>
            </w:r>
          </w:p>
        </w:tc>
        <w:tc>
          <w:tcPr>
            <w:tcW w:w="25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shd w:val="clear" w:color="auto" w:fill="D8D8D8"/>
          </w:tcPr>
          <w:p>
            <w:pPr>
              <w:spacing w:after="0"/>
              <w:rPr>
                <w:sz w:val="13"/>
                <w:szCs w:val="13"/>
                <w:color w:val="auto"/>
              </w:rPr>
            </w:pPr>
          </w:p>
        </w:tc>
        <w:tc>
          <w:tcPr>
            <w:tcW w:w="760" w:type="dxa"/>
            <w:vAlign w:val="bottom"/>
            <w:tcBorders>
              <w:left w:val="single" w:sz="8" w:color="D8D8D8"/>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(12)</w:t>
            </w:r>
          </w:p>
        </w:tc>
        <w:tc>
          <w:tcPr>
            <w:tcW w:w="10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560" w:type="dxa"/>
            <w:vAlign w:val="bottom"/>
            <w:tcBorders>
              <w:bottom w:val="single" w:sz="8" w:color="auto"/>
            </w:tcBorders>
          </w:tcPr>
          <w:p>
            <w:pPr>
              <w:jc w:val="right"/>
              <w:ind w:right="208"/>
              <w:spacing w:after="0" w:line="155" w:lineRule="exact"/>
              <w:rPr>
                <w:sz w:val="20"/>
                <w:szCs w:val="20"/>
                <w:color w:val="auto"/>
              </w:rPr>
            </w:pPr>
            <w:r>
              <w:rPr>
                <w:rFonts w:ascii="Arial" w:cs="Arial" w:eastAsia="Arial" w:hAnsi="Arial"/>
                <w:sz w:val="14"/>
                <w:szCs w:val="14"/>
                <w:color w:val="auto"/>
              </w:rPr>
              <w:t>(28)</w:t>
            </w:r>
          </w:p>
        </w:tc>
        <w:tc>
          <w:tcPr>
            <w:tcW w:w="0" w:type="dxa"/>
            <w:vAlign w:val="bottom"/>
          </w:tcPr>
          <w:p>
            <w:pPr>
              <w:spacing w:after="0"/>
              <w:rPr>
                <w:sz w:val="1"/>
                <w:szCs w:val="1"/>
                <w:color w:val="auto"/>
              </w:rPr>
            </w:pPr>
          </w:p>
        </w:tc>
      </w:tr>
      <w:tr>
        <w:trPr>
          <w:trHeight w:val="360"/>
        </w:trPr>
        <w:tc>
          <w:tcPr>
            <w:tcW w:w="5800" w:type="dxa"/>
            <w:vAlign w:val="bottom"/>
            <w:gridSpan w:val="2"/>
          </w:tcPr>
          <w:p>
            <w:pPr>
              <w:spacing w:after="0"/>
              <w:rPr>
                <w:sz w:val="20"/>
                <w:szCs w:val="20"/>
                <w:color w:val="auto"/>
              </w:rPr>
            </w:pPr>
            <w:r>
              <w:rPr>
                <w:rFonts w:ascii="Arial" w:cs="Arial" w:eastAsia="Arial" w:hAnsi="Arial"/>
                <w:sz w:val="14"/>
                <w:szCs w:val="14"/>
                <w:color w:val="auto"/>
              </w:rPr>
              <w:t>Taxes payable are reported within accounts payable and accrued liabilities (see Note 7).</w:t>
            </w:r>
          </w:p>
        </w:tc>
        <w:tc>
          <w:tcPr>
            <w:tcW w:w="2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1"/>
        </w:trPr>
        <w:tc>
          <w:tcPr>
            <w:tcW w:w="5800" w:type="dxa"/>
            <w:vAlign w:val="bottom"/>
            <w:gridSpan w:val="2"/>
          </w:tcPr>
          <w:p>
            <w:pPr>
              <w:spacing w:after="0"/>
              <w:rPr>
                <w:sz w:val="17"/>
                <w:szCs w:val="17"/>
                <w:color w:val="auto"/>
              </w:rPr>
            </w:pPr>
          </w:p>
        </w:tc>
        <w:tc>
          <w:tcPr>
            <w:tcW w:w="2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5800" w:type="dxa"/>
            <w:vAlign w:val="bottom"/>
            <w:gridSpan w:val="2"/>
            <w:shd w:val="clear" w:color="auto" w:fill="333333"/>
          </w:tcPr>
          <w:p>
            <w:pPr>
              <w:ind w:left="80"/>
              <w:spacing w:after="0" w:line="162" w:lineRule="exact"/>
              <w:rPr>
                <w:sz w:val="20"/>
                <w:szCs w:val="20"/>
                <w:color w:val="auto"/>
              </w:rPr>
            </w:pPr>
            <w:r>
              <w:rPr>
                <w:rFonts w:ascii="Arial" w:cs="Arial" w:eastAsia="Arial" w:hAnsi="Arial"/>
                <w:sz w:val="15"/>
                <w:szCs w:val="15"/>
                <w:b w:val="1"/>
                <w:bCs w:val="1"/>
                <w:color w:val="FFFFFF"/>
              </w:rPr>
              <w:t>DEFERRED TAX ASSETS</w:t>
            </w:r>
          </w:p>
        </w:tc>
        <w:tc>
          <w:tcPr>
            <w:tcW w:w="2520" w:type="dxa"/>
            <w:vAlign w:val="bottom"/>
            <w:shd w:val="clear" w:color="auto" w:fill="333333"/>
          </w:tcPr>
          <w:p>
            <w:pPr>
              <w:spacing w:after="0"/>
              <w:rPr>
                <w:sz w:val="14"/>
                <w:szCs w:val="14"/>
                <w:color w:val="auto"/>
              </w:rPr>
            </w:pPr>
          </w:p>
        </w:tc>
        <w:tc>
          <w:tcPr>
            <w:tcW w:w="120" w:type="dxa"/>
            <w:vAlign w:val="bottom"/>
            <w:shd w:val="clear" w:color="auto" w:fill="333333"/>
          </w:tcPr>
          <w:p>
            <w:pPr>
              <w:spacing w:after="0"/>
              <w:rPr>
                <w:sz w:val="14"/>
                <w:szCs w:val="14"/>
                <w:color w:val="auto"/>
              </w:rPr>
            </w:pPr>
          </w:p>
        </w:tc>
        <w:tc>
          <w:tcPr>
            <w:tcW w:w="380" w:type="dxa"/>
            <w:vAlign w:val="bottom"/>
            <w:shd w:val="clear" w:color="auto" w:fill="333333"/>
          </w:tcPr>
          <w:p>
            <w:pPr>
              <w:spacing w:after="0"/>
              <w:rPr>
                <w:sz w:val="14"/>
                <w:szCs w:val="14"/>
                <w:color w:val="auto"/>
              </w:rPr>
            </w:pPr>
          </w:p>
        </w:tc>
        <w:tc>
          <w:tcPr>
            <w:tcW w:w="760" w:type="dxa"/>
            <w:vAlign w:val="bottom"/>
            <w:tcBorders>
              <w:left w:val="single" w:sz="8" w:color="333333"/>
            </w:tcBorders>
            <w:shd w:val="clear" w:color="auto" w:fill="333333"/>
          </w:tcPr>
          <w:p>
            <w:pPr>
              <w:spacing w:after="0"/>
              <w:rPr>
                <w:sz w:val="14"/>
                <w:szCs w:val="14"/>
                <w:color w:val="auto"/>
              </w:rPr>
            </w:pPr>
          </w:p>
        </w:tc>
        <w:tc>
          <w:tcPr>
            <w:tcW w:w="100" w:type="dxa"/>
            <w:vAlign w:val="bottom"/>
            <w:shd w:val="clear" w:color="auto" w:fill="333333"/>
          </w:tcPr>
          <w:p>
            <w:pPr>
              <w:spacing w:after="0"/>
              <w:rPr>
                <w:sz w:val="14"/>
                <w:szCs w:val="14"/>
                <w:color w:val="auto"/>
              </w:rPr>
            </w:pPr>
          </w:p>
        </w:tc>
        <w:tc>
          <w:tcPr>
            <w:tcW w:w="180" w:type="dxa"/>
            <w:vAlign w:val="bottom"/>
            <w:shd w:val="clear" w:color="auto" w:fill="333333"/>
          </w:tcPr>
          <w:p>
            <w:pPr>
              <w:spacing w:after="0"/>
              <w:rPr>
                <w:sz w:val="14"/>
                <w:szCs w:val="14"/>
                <w:color w:val="auto"/>
              </w:rPr>
            </w:pPr>
          </w:p>
        </w:tc>
        <w:tc>
          <w:tcPr>
            <w:tcW w:w="1560" w:type="dxa"/>
            <w:vAlign w:val="bottom"/>
            <w:shd w:val="clear" w:color="auto" w:fill="333333"/>
          </w:tcPr>
          <w:p>
            <w:pPr>
              <w:jc w:val="right"/>
              <w:ind w:right="368"/>
              <w:spacing w:after="0" w:line="162" w:lineRule="exact"/>
              <w:rPr>
                <w:sz w:val="20"/>
                <w:szCs w:val="20"/>
                <w:color w:val="auto"/>
              </w:rPr>
            </w:pPr>
            <w:r>
              <w:rPr>
                <w:rFonts w:ascii="Arial" w:cs="Arial" w:eastAsia="Arial" w:hAnsi="Arial"/>
                <w:sz w:val="15"/>
                <w:szCs w:val="15"/>
                <w:color w:val="FFFFFF"/>
              </w:rPr>
              <w:t>$ MILLION</w:t>
            </w:r>
          </w:p>
        </w:tc>
        <w:tc>
          <w:tcPr>
            <w:tcW w:w="0" w:type="dxa"/>
            <w:vAlign w:val="bottom"/>
          </w:tcPr>
          <w:p>
            <w:pPr>
              <w:spacing w:after="0"/>
              <w:rPr>
                <w:sz w:val="1"/>
                <w:szCs w:val="1"/>
                <w:color w:val="auto"/>
              </w:rPr>
            </w:pPr>
          </w:p>
        </w:tc>
      </w:tr>
      <w:tr>
        <w:trPr>
          <w:trHeight w:val="149"/>
        </w:trPr>
        <w:tc>
          <w:tcPr>
            <w:tcW w:w="560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2640" w:type="dxa"/>
            <w:vAlign w:val="bottom"/>
            <w:tcBorders>
              <w:bottom w:val="single" w:sz="8" w:color="auto"/>
            </w:tcBorders>
            <w:gridSpan w:val="2"/>
          </w:tcPr>
          <w:p>
            <w:pPr>
              <w:spacing w:after="0"/>
              <w:rPr>
                <w:sz w:val="12"/>
                <w:szCs w:val="12"/>
                <w:color w:val="auto"/>
              </w:rPr>
            </w:pPr>
          </w:p>
        </w:tc>
        <w:tc>
          <w:tcPr>
            <w:tcW w:w="380" w:type="dxa"/>
            <w:vAlign w:val="bottom"/>
            <w:tcBorders>
              <w:bottom w:val="single" w:sz="8" w:color="auto"/>
            </w:tcBorders>
            <w:shd w:val="clear" w:color="auto" w:fill="D8D8D8"/>
          </w:tcPr>
          <w:p>
            <w:pPr>
              <w:spacing w:after="0"/>
              <w:rPr>
                <w:sz w:val="12"/>
                <w:szCs w:val="12"/>
                <w:color w:val="auto"/>
              </w:rPr>
            </w:pPr>
          </w:p>
        </w:tc>
        <w:tc>
          <w:tcPr>
            <w:tcW w:w="760" w:type="dxa"/>
            <w:vAlign w:val="bottom"/>
            <w:tcBorders>
              <w:left w:val="single" w:sz="8" w:color="D8D8D8"/>
              <w:bottom w:val="single" w:sz="8" w:color="auto"/>
            </w:tcBorders>
            <w:shd w:val="clear" w:color="auto" w:fill="D8D8D8"/>
          </w:tcPr>
          <w:p>
            <w:pPr>
              <w:jc w:val="right"/>
              <w:ind w:right="269"/>
              <w:spacing w:after="0"/>
              <w:rPr>
                <w:sz w:val="20"/>
                <w:szCs w:val="20"/>
                <w:color w:val="auto"/>
              </w:rPr>
            </w:pPr>
            <w:r>
              <w:rPr>
                <w:rFonts w:ascii="Arial" w:cs="Arial" w:eastAsia="Arial" w:hAnsi="Arial"/>
                <w:sz w:val="13"/>
                <w:szCs w:val="13"/>
                <w:color w:val="auto"/>
              </w:rPr>
              <w:t>2014</w:t>
            </w:r>
          </w:p>
        </w:tc>
        <w:tc>
          <w:tcPr>
            <w:tcW w:w="100" w:type="dxa"/>
            <w:vAlign w:val="bottom"/>
            <w:tcBorders>
              <w:bottom w:val="single" w:sz="8" w:color="auto"/>
            </w:tcBorders>
            <w:shd w:val="clear" w:color="auto" w:fill="D8D8D8"/>
          </w:tcPr>
          <w:p>
            <w:pPr>
              <w:spacing w:after="0"/>
              <w:rPr>
                <w:sz w:val="12"/>
                <w:szCs w:val="12"/>
                <w:color w:val="auto"/>
              </w:rPr>
            </w:pPr>
          </w:p>
        </w:tc>
        <w:tc>
          <w:tcPr>
            <w:tcW w:w="1740" w:type="dxa"/>
            <w:vAlign w:val="bottom"/>
            <w:tcBorders>
              <w:bottom w:val="single" w:sz="8" w:color="auto"/>
            </w:tcBorders>
            <w:gridSpan w:val="2"/>
          </w:tcPr>
          <w:p>
            <w:pPr>
              <w:jc w:val="right"/>
              <w:ind w:right="368"/>
              <w:spacing w:after="0"/>
              <w:rPr>
                <w:sz w:val="20"/>
                <w:szCs w:val="20"/>
                <w:color w:val="auto"/>
              </w:rPr>
            </w:pPr>
            <w:r>
              <w:rPr>
                <w:rFonts w:ascii="Arial" w:cs="Arial" w:eastAsia="Arial" w:hAnsi="Arial"/>
                <w:sz w:val="13"/>
                <w:szCs w:val="13"/>
                <w:color w:val="auto"/>
              </w:rPr>
              <w:t>2013</w:t>
            </w:r>
          </w:p>
        </w:tc>
        <w:tc>
          <w:tcPr>
            <w:tcW w:w="0" w:type="dxa"/>
            <w:vAlign w:val="bottom"/>
          </w:tcPr>
          <w:p>
            <w:pPr>
              <w:spacing w:after="0"/>
              <w:rPr>
                <w:sz w:val="1"/>
                <w:szCs w:val="1"/>
                <w:color w:val="auto"/>
              </w:rPr>
            </w:pPr>
          </w:p>
        </w:tc>
      </w:tr>
      <w:tr>
        <w:trPr>
          <w:trHeight w:val="156"/>
        </w:trPr>
        <w:tc>
          <w:tcPr>
            <w:tcW w:w="5800" w:type="dxa"/>
            <w:vAlign w:val="bottom"/>
            <w:gridSpan w:val="2"/>
          </w:tcPr>
          <w:p>
            <w:pPr>
              <w:spacing w:after="0" w:line="155" w:lineRule="exact"/>
              <w:rPr>
                <w:sz w:val="20"/>
                <w:szCs w:val="20"/>
                <w:color w:val="auto"/>
              </w:rPr>
            </w:pPr>
            <w:r>
              <w:rPr>
                <w:rFonts w:ascii="Arial" w:cs="Arial" w:eastAsia="Arial" w:hAnsi="Arial"/>
                <w:sz w:val="14"/>
                <w:szCs w:val="14"/>
                <w:color w:val="auto"/>
              </w:rPr>
              <w:t>At January 1</w:t>
            </w:r>
          </w:p>
        </w:tc>
        <w:tc>
          <w:tcPr>
            <w:tcW w:w="2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80" w:type="dxa"/>
            <w:vAlign w:val="bottom"/>
            <w:shd w:val="clear" w:color="auto" w:fill="D8D8D8"/>
          </w:tcPr>
          <w:p>
            <w:pPr>
              <w:spacing w:after="0"/>
              <w:rPr>
                <w:sz w:val="13"/>
                <w:szCs w:val="13"/>
                <w:color w:val="auto"/>
              </w:rPr>
            </w:pPr>
          </w:p>
        </w:tc>
        <w:tc>
          <w:tcPr>
            <w:tcW w:w="760" w:type="dxa"/>
            <w:vAlign w:val="bottom"/>
            <w:tcBorders>
              <w:left w:val="single" w:sz="8" w:color="D8D8D8"/>
            </w:tcBorders>
            <w:shd w:val="clear" w:color="auto" w:fill="D8D8D8"/>
          </w:tcPr>
          <w:p>
            <w:pPr>
              <w:jc w:val="right"/>
              <w:ind w:right="269"/>
              <w:spacing w:after="0" w:line="155" w:lineRule="exact"/>
              <w:rPr>
                <w:sz w:val="20"/>
                <w:szCs w:val="20"/>
                <w:color w:val="auto"/>
              </w:rPr>
            </w:pPr>
            <w:r>
              <w:rPr>
                <w:rFonts w:ascii="Arial" w:cs="Arial" w:eastAsia="Arial" w:hAnsi="Arial"/>
                <w:sz w:val="14"/>
                <w:szCs w:val="14"/>
                <w:color w:val="auto"/>
              </w:rPr>
              <w:t>565</w:t>
            </w:r>
          </w:p>
        </w:tc>
        <w:tc>
          <w:tcPr>
            <w:tcW w:w="100" w:type="dxa"/>
            <w:vAlign w:val="bottom"/>
            <w:shd w:val="clear" w:color="auto" w:fill="D8D8D8"/>
          </w:tcPr>
          <w:p>
            <w:pPr>
              <w:spacing w:after="0"/>
              <w:rPr>
                <w:sz w:val="13"/>
                <w:szCs w:val="13"/>
                <w:color w:val="auto"/>
              </w:rPr>
            </w:pPr>
          </w:p>
        </w:tc>
        <w:tc>
          <w:tcPr>
            <w:tcW w:w="1740" w:type="dxa"/>
            <w:vAlign w:val="bottom"/>
            <w:gridSpan w:val="2"/>
          </w:tcPr>
          <w:p>
            <w:pPr>
              <w:jc w:val="right"/>
              <w:ind w:right="368"/>
              <w:spacing w:after="0" w:line="155" w:lineRule="exact"/>
              <w:rPr>
                <w:sz w:val="20"/>
                <w:szCs w:val="20"/>
                <w:color w:val="auto"/>
              </w:rPr>
            </w:pPr>
            <w:r>
              <w:rPr>
                <w:rFonts w:ascii="Arial" w:cs="Arial" w:eastAsia="Arial" w:hAnsi="Arial"/>
                <w:sz w:val="14"/>
                <w:szCs w:val="14"/>
                <w:color w:val="auto"/>
              </w:rPr>
              <w:t>351</w:t>
            </w:r>
          </w:p>
        </w:tc>
        <w:tc>
          <w:tcPr>
            <w:tcW w:w="0" w:type="dxa"/>
            <w:vAlign w:val="bottom"/>
          </w:tcPr>
          <w:p>
            <w:pPr>
              <w:spacing w:after="0"/>
              <w:rPr>
                <w:sz w:val="1"/>
                <w:szCs w:val="1"/>
                <w:color w:val="auto"/>
              </w:rPr>
            </w:pPr>
          </w:p>
        </w:tc>
      </w:tr>
      <w:tr>
        <w:trPr>
          <w:trHeight w:val="162"/>
        </w:trPr>
        <w:tc>
          <w:tcPr>
            <w:tcW w:w="5800" w:type="dxa"/>
            <w:vAlign w:val="bottom"/>
            <w:gridSpan w:val="2"/>
          </w:tcPr>
          <w:p>
            <w:pPr>
              <w:spacing w:after="0"/>
              <w:rPr>
                <w:sz w:val="20"/>
                <w:szCs w:val="20"/>
                <w:color w:val="auto"/>
              </w:rPr>
            </w:pPr>
            <w:r>
              <w:rPr>
                <w:rFonts w:ascii="Arial" w:cs="Arial" w:eastAsia="Arial" w:hAnsi="Arial"/>
                <w:sz w:val="14"/>
                <w:szCs w:val="14"/>
                <w:color w:val="auto"/>
              </w:rPr>
              <w:t>Recognised in income</w:t>
            </w:r>
          </w:p>
        </w:tc>
        <w:tc>
          <w:tcPr>
            <w:tcW w:w="2640" w:type="dxa"/>
            <w:vAlign w:val="bottom"/>
            <w:gridSpan w:val="2"/>
          </w:tcPr>
          <w:p>
            <w:pPr>
              <w:spacing w:after="0"/>
              <w:rPr>
                <w:sz w:val="14"/>
                <w:szCs w:val="14"/>
                <w:color w:val="auto"/>
              </w:rPr>
            </w:pPr>
          </w:p>
        </w:tc>
        <w:tc>
          <w:tcPr>
            <w:tcW w:w="380" w:type="dxa"/>
            <w:vAlign w:val="bottom"/>
            <w:shd w:val="clear" w:color="auto" w:fill="D8D8D8"/>
          </w:tcPr>
          <w:p>
            <w:pPr>
              <w:spacing w:after="0"/>
              <w:rPr>
                <w:sz w:val="14"/>
                <w:szCs w:val="14"/>
                <w:color w:val="auto"/>
              </w:rPr>
            </w:pPr>
          </w:p>
        </w:tc>
        <w:tc>
          <w:tcPr>
            <w:tcW w:w="760" w:type="dxa"/>
            <w:vAlign w:val="bottom"/>
            <w:tcBorders>
              <w:left w:val="single" w:sz="8" w:color="D8D8D8"/>
            </w:tcBorders>
            <w:shd w:val="clear" w:color="auto" w:fill="D8D8D8"/>
          </w:tcPr>
          <w:p>
            <w:pPr>
              <w:jc w:val="right"/>
              <w:ind w:right="269"/>
              <w:spacing w:after="0"/>
              <w:rPr>
                <w:sz w:val="20"/>
                <w:szCs w:val="20"/>
                <w:color w:val="auto"/>
              </w:rPr>
            </w:pPr>
            <w:r>
              <w:rPr>
                <w:rFonts w:ascii="Arial" w:cs="Arial" w:eastAsia="Arial" w:hAnsi="Arial"/>
                <w:sz w:val="14"/>
                <w:szCs w:val="14"/>
                <w:color w:val="auto"/>
              </w:rPr>
              <w:t>12</w:t>
            </w:r>
          </w:p>
        </w:tc>
        <w:tc>
          <w:tcPr>
            <w:tcW w:w="100" w:type="dxa"/>
            <w:vAlign w:val="bottom"/>
            <w:shd w:val="clear" w:color="auto" w:fill="D8D8D8"/>
          </w:tcPr>
          <w:p>
            <w:pPr>
              <w:spacing w:after="0"/>
              <w:rPr>
                <w:sz w:val="14"/>
                <w:szCs w:val="14"/>
                <w:color w:val="auto"/>
              </w:rPr>
            </w:pPr>
          </w:p>
        </w:tc>
        <w:tc>
          <w:tcPr>
            <w:tcW w:w="1740" w:type="dxa"/>
            <w:vAlign w:val="bottom"/>
            <w:gridSpan w:val="2"/>
          </w:tcPr>
          <w:p>
            <w:pPr>
              <w:jc w:val="right"/>
              <w:ind w:right="368"/>
              <w:spacing w:after="0"/>
              <w:rPr>
                <w:sz w:val="20"/>
                <w:szCs w:val="20"/>
                <w:color w:val="auto"/>
              </w:rPr>
            </w:pPr>
            <w:r>
              <w:rPr>
                <w:rFonts w:ascii="Arial" w:cs="Arial" w:eastAsia="Arial" w:hAnsi="Arial"/>
                <w:sz w:val="14"/>
                <w:szCs w:val="14"/>
                <w:color w:val="auto"/>
              </w:rPr>
              <w:t>15</w:t>
            </w:r>
          </w:p>
        </w:tc>
        <w:tc>
          <w:tcPr>
            <w:tcW w:w="0" w:type="dxa"/>
            <w:vAlign w:val="bottom"/>
          </w:tcPr>
          <w:p>
            <w:pPr>
              <w:spacing w:after="0"/>
              <w:rPr>
                <w:sz w:val="1"/>
                <w:szCs w:val="1"/>
                <w:color w:val="auto"/>
              </w:rPr>
            </w:pPr>
          </w:p>
        </w:tc>
      </w:tr>
      <w:tr>
        <w:trPr>
          <w:trHeight w:val="162"/>
        </w:trPr>
        <w:tc>
          <w:tcPr>
            <w:tcW w:w="5800" w:type="dxa"/>
            <w:vAlign w:val="bottom"/>
            <w:tcBorders>
              <w:bottom w:val="single" w:sz="8" w:color="auto"/>
            </w:tcBorders>
            <w:gridSpan w:val="2"/>
          </w:tcPr>
          <w:p>
            <w:pPr>
              <w:spacing w:after="0"/>
              <w:rPr>
                <w:sz w:val="20"/>
                <w:szCs w:val="20"/>
                <w:color w:val="auto"/>
              </w:rPr>
            </w:pPr>
            <w:r>
              <w:rPr>
                <w:rFonts w:ascii="Arial" w:cs="Arial" w:eastAsia="Arial" w:hAnsi="Arial"/>
                <w:sz w:val="14"/>
                <w:szCs w:val="14"/>
                <w:color w:val="auto"/>
              </w:rPr>
              <w:t>Other movements</w:t>
            </w:r>
          </w:p>
        </w:tc>
        <w:tc>
          <w:tcPr>
            <w:tcW w:w="2640" w:type="dxa"/>
            <w:vAlign w:val="bottom"/>
            <w:tcBorders>
              <w:bottom w:val="single" w:sz="8" w:color="auto"/>
            </w:tcBorders>
            <w:gridSpan w:val="2"/>
          </w:tcPr>
          <w:p>
            <w:pPr>
              <w:spacing w:after="0"/>
              <w:rPr>
                <w:sz w:val="14"/>
                <w:szCs w:val="14"/>
                <w:color w:val="auto"/>
              </w:rPr>
            </w:pPr>
          </w:p>
        </w:tc>
        <w:tc>
          <w:tcPr>
            <w:tcW w:w="380" w:type="dxa"/>
            <w:vAlign w:val="bottom"/>
            <w:tcBorders>
              <w:bottom w:val="single" w:sz="8" w:color="auto"/>
            </w:tcBorders>
            <w:shd w:val="clear" w:color="auto" w:fill="D8D8D8"/>
          </w:tcPr>
          <w:p>
            <w:pPr>
              <w:spacing w:after="0"/>
              <w:rPr>
                <w:sz w:val="14"/>
                <w:szCs w:val="14"/>
                <w:color w:val="auto"/>
              </w:rPr>
            </w:pPr>
          </w:p>
        </w:tc>
        <w:tc>
          <w:tcPr>
            <w:tcW w:w="760" w:type="dxa"/>
            <w:vAlign w:val="bottom"/>
            <w:tcBorders>
              <w:left w:val="single" w:sz="8" w:color="D8D8D8"/>
              <w:bottom w:val="single" w:sz="8" w:color="auto"/>
            </w:tcBorders>
            <w:shd w:val="clear" w:color="auto" w:fill="D8D8D8"/>
          </w:tcPr>
          <w:p>
            <w:pPr>
              <w:jc w:val="right"/>
              <w:ind w:right="269"/>
              <w:spacing w:after="0"/>
              <w:rPr>
                <w:sz w:val="20"/>
                <w:szCs w:val="20"/>
                <w:color w:val="auto"/>
              </w:rPr>
            </w:pPr>
            <w:r>
              <w:rPr>
                <w:rFonts w:ascii="Arial" w:cs="Arial" w:eastAsia="Arial" w:hAnsi="Arial"/>
                <w:sz w:val="14"/>
                <w:szCs w:val="14"/>
                <w:color w:val="auto"/>
              </w:rPr>
              <w:t>(84)</w:t>
            </w:r>
          </w:p>
        </w:tc>
        <w:tc>
          <w:tcPr>
            <w:tcW w:w="100" w:type="dxa"/>
            <w:vAlign w:val="bottom"/>
            <w:tcBorders>
              <w:bottom w:val="single" w:sz="8" w:color="auto"/>
            </w:tcBorders>
            <w:shd w:val="clear" w:color="auto" w:fill="D8D8D8"/>
          </w:tcPr>
          <w:p>
            <w:pPr>
              <w:spacing w:after="0"/>
              <w:rPr>
                <w:sz w:val="14"/>
                <w:szCs w:val="14"/>
                <w:color w:val="auto"/>
              </w:rPr>
            </w:pPr>
          </w:p>
        </w:tc>
        <w:tc>
          <w:tcPr>
            <w:tcW w:w="1740" w:type="dxa"/>
            <w:vAlign w:val="bottom"/>
            <w:tcBorders>
              <w:bottom w:val="single" w:sz="8" w:color="auto"/>
            </w:tcBorders>
            <w:gridSpan w:val="2"/>
          </w:tcPr>
          <w:p>
            <w:pPr>
              <w:jc w:val="right"/>
              <w:ind w:right="368"/>
              <w:spacing w:after="0"/>
              <w:rPr>
                <w:sz w:val="20"/>
                <w:szCs w:val="20"/>
                <w:color w:val="auto"/>
              </w:rPr>
            </w:pPr>
            <w:r>
              <w:rPr>
                <w:rFonts w:ascii="Arial" w:cs="Arial" w:eastAsia="Arial" w:hAnsi="Arial"/>
                <w:sz w:val="14"/>
                <w:szCs w:val="14"/>
                <w:color w:val="auto"/>
              </w:rPr>
              <w:t>199</w:t>
            </w:r>
          </w:p>
        </w:tc>
        <w:tc>
          <w:tcPr>
            <w:tcW w:w="0" w:type="dxa"/>
            <w:vAlign w:val="bottom"/>
          </w:tcPr>
          <w:p>
            <w:pPr>
              <w:spacing w:after="0"/>
              <w:rPr>
                <w:sz w:val="1"/>
                <w:szCs w:val="1"/>
                <w:color w:val="auto"/>
              </w:rPr>
            </w:pPr>
          </w:p>
        </w:tc>
      </w:tr>
      <w:tr>
        <w:trPr>
          <w:trHeight w:val="156"/>
        </w:trPr>
        <w:tc>
          <w:tcPr>
            <w:tcW w:w="5800" w:type="dxa"/>
            <w:vAlign w:val="bottom"/>
            <w:tcBorders>
              <w:bottom w:val="single" w:sz="8" w:color="auto"/>
            </w:tcBorders>
            <w:gridSpan w:val="2"/>
          </w:tcPr>
          <w:p>
            <w:pPr>
              <w:spacing w:after="0" w:line="155" w:lineRule="exact"/>
              <w:rPr>
                <w:sz w:val="20"/>
                <w:szCs w:val="20"/>
                <w:color w:val="auto"/>
              </w:rPr>
            </w:pPr>
            <w:r>
              <w:rPr>
                <w:rFonts w:ascii="Arial" w:cs="Arial" w:eastAsia="Arial" w:hAnsi="Arial"/>
                <w:sz w:val="14"/>
                <w:szCs w:val="14"/>
                <w:color w:val="auto"/>
              </w:rPr>
              <w:t>At December 31</w:t>
            </w:r>
          </w:p>
        </w:tc>
        <w:tc>
          <w:tcPr>
            <w:tcW w:w="25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shd w:val="clear" w:color="auto" w:fill="D8D8D8"/>
          </w:tcPr>
          <w:p>
            <w:pPr>
              <w:spacing w:after="0"/>
              <w:rPr>
                <w:sz w:val="13"/>
                <w:szCs w:val="13"/>
                <w:color w:val="auto"/>
              </w:rPr>
            </w:pPr>
          </w:p>
        </w:tc>
        <w:tc>
          <w:tcPr>
            <w:tcW w:w="760" w:type="dxa"/>
            <w:vAlign w:val="bottom"/>
            <w:tcBorders>
              <w:left w:val="single" w:sz="8" w:color="D8D8D8"/>
              <w:bottom w:val="single" w:sz="8" w:color="auto"/>
            </w:tcBorders>
            <w:shd w:val="clear" w:color="auto" w:fill="D8D8D8"/>
          </w:tcPr>
          <w:p>
            <w:pPr>
              <w:jc w:val="right"/>
              <w:ind w:right="269"/>
              <w:spacing w:after="0" w:line="155" w:lineRule="exact"/>
              <w:rPr>
                <w:sz w:val="20"/>
                <w:szCs w:val="20"/>
                <w:color w:val="auto"/>
              </w:rPr>
            </w:pPr>
            <w:r>
              <w:rPr>
                <w:rFonts w:ascii="Arial" w:cs="Arial" w:eastAsia="Arial" w:hAnsi="Arial"/>
                <w:sz w:val="14"/>
                <w:szCs w:val="14"/>
                <w:color w:val="auto"/>
              </w:rPr>
              <w:t>493</w:t>
            </w:r>
          </w:p>
        </w:tc>
        <w:tc>
          <w:tcPr>
            <w:tcW w:w="100" w:type="dxa"/>
            <w:vAlign w:val="bottom"/>
            <w:tcBorders>
              <w:bottom w:val="single" w:sz="8" w:color="auto"/>
            </w:tcBorders>
            <w:shd w:val="clear" w:color="auto" w:fill="D8D8D8"/>
          </w:tcPr>
          <w:p>
            <w:pPr>
              <w:spacing w:after="0"/>
              <w:rPr>
                <w:sz w:val="13"/>
                <w:szCs w:val="13"/>
                <w:color w:val="auto"/>
              </w:rPr>
            </w:pPr>
          </w:p>
        </w:tc>
        <w:tc>
          <w:tcPr>
            <w:tcW w:w="1740" w:type="dxa"/>
            <w:vAlign w:val="bottom"/>
            <w:tcBorders>
              <w:bottom w:val="single" w:sz="8" w:color="auto"/>
            </w:tcBorders>
            <w:gridSpan w:val="2"/>
          </w:tcPr>
          <w:p>
            <w:pPr>
              <w:jc w:val="right"/>
              <w:ind w:right="368"/>
              <w:spacing w:after="0" w:line="155" w:lineRule="exact"/>
              <w:rPr>
                <w:sz w:val="20"/>
                <w:szCs w:val="20"/>
                <w:color w:val="auto"/>
              </w:rPr>
            </w:pPr>
            <w:r>
              <w:rPr>
                <w:rFonts w:ascii="Arial" w:cs="Arial" w:eastAsia="Arial" w:hAnsi="Arial"/>
                <w:sz w:val="14"/>
                <w:szCs w:val="14"/>
                <w:color w:val="auto"/>
              </w:rPr>
              <w:t>565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5596255</wp:posOffset>
            </wp:positionH>
            <wp:positionV relativeFrom="paragraph">
              <wp:posOffset>-2957830</wp:posOffset>
            </wp:positionV>
            <wp:extent cx="488950" cy="763270"/>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11">
                      <a:extLst>
                        <a:ext uri="{28A0092B-C50C-407E-A947-70E740481C1C}"/>
                      </a:extLst>
                    </a:blip>
                    <a:srcRect/>
                    <a:stretch>
                      <a:fillRect/>
                    </a:stretch>
                  </pic:blipFill>
                  <pic:spPr bwMode="auto">
                    <a:xfrm>
                      <a:off x="0" y="0"/>
                      <a:ext cx="488950" cy="763270"/>
                    </a:xfrm>
                    <a:prstGeom prst="rect">
                      <a:avLst/>
                    </a:prstGeom>
                    <a:noFill/>
                  </pic:spPr>
                </pic:pic>
              </a:graphicData>
            </a:graphic>
          </wp:anchor>
        </w:drawing>
        <w:drawing>
          <wp:anchor simplePos="0" relativeHeight="251657728" behindDoc="1" locked="0" layoutInCell="0" allowOverlap="1">
            <wp:simplePos x="0" y="0"/>
            <wp:positionH relativeFrom="column">
              <wp:posOffset>5613400</wp:posOffset>
            </wp:positionH>
            <wp:positionV relativeFrom="paragraph">
              <wp:posOffset>-1740535</wp:posOffset>
            </wp:positionV>
            <wp:extent cx="651510" cy="737235"/>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12">
                      <a:extLst>
                        <a:ext uri="{28A0092B-C50C-407E-A947-70E740481C1C}"/>
                      </a:extLst>
                    </a:blip>
                    <a:srcRect/>
                    <a:stretch>
                      <a:fillRect/>
                    </a:stretch>
                  </pic:blipFill>
                  <pic:spPr bwMode="auto">
                    <a:xfrm>
                      <a:off x="0" y="0"/>
                      <a:ext cx="651510" cy="737235"/>
                    </a:xfrm>
                    <a:prstGeom prst="rect">
                      <a:avLst/>
                    </a:prstGeom>
                    <a:noFill/>
                  </pic:spPr>
                </pic:pic>
              </a:graphicData>
            </a:graphic>
          </wp:anchor>
        </w:drawing>
      </w:r>
    </w:p>
    <w:p>
      <w:pPr>
        <w:spacing w:after="0" w:line="160" w:lineRule="exact"/>
        <w:rPr>
          <w:sz w:val="20"/>
          <w:szCs w:val="20"/>
          <w:color w:val="auto"/>
        </w:rPr>
      </w:pPr>
    </w:p>
    <w:p>
      <w:pPr>
        <w:ind w:right="320"/>
        <w:spacing w:after="0" w:line="258" w:lineRule="auto"/>
        <w:rPr>
          <w:sz w:val="20"/>
          <w:szCs w:val="20"/>
          <w:color w:val="auto"/>
        </w:rPr>
      </w:pPr>
      <w:r>
        <w:rPr>
          <w:rFonts w:ascii="Arial" w:cs="Arial" w:eastAsia="Arial" w:hAnsi="Arial"/>
          <w:sz w:val="14"/>
          <w:szCs w:val="14"/>
          <w:color w:val="auto"/>
        </w:rPr>
        <w:t>Deferred tax assets are principally recognised in respect of tax losses, which are available for relief against future taxable profits for up to nine years from the year in which the losses were incurred.</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9 FINANCIAL INSTRUMENTS</w:t>
      </w:r>
    </w:p>
    <w:p>
      <w:pPr>
        <w:spacing w:after="0" w:line="1" w:lineRule="exact"/>
        <w:rPr>
          <w:sz w:val="20"/>
          <w:szCs w:val="20"/>
          <w:color w:val="auto"/>
        </w:rPr>
      </w:pPr>
    </w:p>
    <w:p>
      <w:pPr>
        <w:ind w:right="100"/>
        <w:spacing w:after="0" w:line="258" w:lineRule="auto"/>
        <w:rPr>
          <w:sz w:val="20"/>
          <w:szCs w:val="20"/>
          <w:color w:val="auto"/>
        </w:rPr>
      </w:pPr>
      <w:r>
        <w:rPr>
          <w:rFonts w:ascii="Arial" w:cs="Arial" w:eastAsia="Arial" w:hAnsi="Arial"/>
          <w:sz w:val="14"/>
          <w:szCs w:val="14"/>
          <w:color w:val="auto"/>
        </w:rPr>
        <w:t>Financial assets and liabilities in the Company’s Balance Sheet comprise cash and cash equivalents (see Note 6), accounts receivable (see Note 5) and certain amounts reported within accounts payable and accrued liabilities (see Note 7).</w:t>
      </w:r>
    </w:p>
    <w:p>
      <w:pPr>
        <w:spacing w:after="0" w:line="167" w:lineRule="exact"/>
        <w:rPr>
          <w:sz w:val="20"/>
          <w:szCs w:val="20"/>
          <w:color w:val="auto"/>
        </w:rPr>
      </w:pPr>
    </w:p>
    <w:p>
      <w:pPr>
        <w:ind w:right="220"/>
        <w:spacing w:after="0" w:line="258" w:lineRule="auto"/>
        <w:rPr>
          <w:sz w:val="20"/>
          <w:szCs w:val="20"/>
          <w:color w:val="auto"/>
        </w:rPr>
      </w:pPr>
      <w:r>
        <w:rPr>
          <w:rFonts w:ascii="Arial" w:cs="Arial" w:eastAsia="Arial" w:hAnsi="Arial"/>
          <w:sz w:val="14"/>
          <w:szCs w:val="14"/>
          <w:color w:val="auto"/>
        </w:rPr>
        <w:t>Foreign currency derivatives are used by the Company to manage foreign exchange risk. Foreign exchange risk arises when certain transactions are denominated in a currency that is not the Company’s functional currency. There were no derivative financial instruments held at December 31, 2014 or 2013.</w:t>
      </w:r>
    </w:p>
    <w:p>
      <w:pPr>
        <w:spacing w:after="0" w:line="154" w:lineRule="exact"/>
        <w:rPr>
          <w:sz w:val="20"/>
          <w:szCs w:val="20"/>
          <w:color w:val="auto"/>
        </w:rPr>
      </w:pPr>
    </w:p>
    <w:p>
      <w:pPr>
        <w:spacing w:after="0"/>
        <w:rPr>
          <w:sz w:val="20"/>
          <w:szCs w:val="20"/>
          <w:color w:val="auto"/>
        </w:rPr>
      </w:pPr>
      <w:r>
        <w:rPr>
          <w:rFonts w:ascii="Arial" w:cs="Arial" w:eastAsia="Arial" w:hAnsi="Arial"/>
          <w:sz w:val="14"/>
          <w:szCs w:val="14"/>
          <w:color w:val="auto"/>
        </w:rPr>
        <w:t>The fair value of financial assets and liabilities at December 31, 2014 and 2013 approximates their carrying amount.</w:t>
      </w:r>
    </w:p>
    <w:p>
      <w:pPr>
        <w:spacing w:after="0" w:line="177" w:lineRule="exact"/>
        <w:rPr>
          <w:sz w:val="20"/>
          <w:szCs w:val="20"/>
          <w:color w:val="auto"/>
        </w:rPr>
      </w:pPr>
    </w:p>
    <w:p>
      <w:pPr>
        <w:spacing w:after="0"/>
        <w:rPr>
          <w:sz w:val="20"/>
          <w:szCs w:val="20"/>
          <w:color w:val="auto"/>
        </w:rPr>
      </w:pPr>
      <w:r>
        <w:rPr>
          <w:rFonts w:ascii="Arial" w:cs="Arial" w:eastAsia="Arial" w:hAnsi="Arial"/>
          <w:sz w:val="14"/>
          <w:szCs w:val="14"/>
          <w:color w:val="auto"/>
        </w:rPr>
        <w:t>Information on financial risk management is presented in Note 19 to the Consolidated Financial Statements.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10 SHARE CAPITAL</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6160" w:type="dxa"/>
            <w:vAlign w:val="bottom"/>
            <w:shd w:val="clear" w:color="auto" w:fill="333333"/>
          </w:tcPr>
          <w:p>
            <w:pPr>
              <w:ind w:left="80"/>
              <w:spacing w:after="0"/>
              <w:rPr>
                <w:sz w:val="20"/>
                <w:szCs w:val="20"/>
                <w:color w:val="auto"/>
              </w:rPr>
            </w:pPr>
            <w:r>
              <w:rPr>
                <w:rFonts w:ascii="Arial" w:cs="Arial" w:eastAsia="Arial" w:hAnsi="Arial"/>
                <w:sz w:val="15"/>
                <w:szCs w:val="15"/>
                <w:b w:val="1"/>
                <w:bCs w:val="1"/>
                <w:color w:val="FFFFFF"/>
              </w:rPr>
              <w:t>ISSUED AND FULLY PAID</w:t>
            </w:r>
          </w:p>
        </w:tc>
        <w:tc>
          <w:tcPr>
            <w:tcW w:w="1760" w:type="dxa"/>
            <w:vAlign w:val="bottom"/>
            <w:shd w:val="clear" w:color="auto" w:fill="333333"/>
          </w:tcPr>
          <w:p>
            <w:pPr>
              <w:spacing w:after="0"/>
              <w:rPr>
                <w:sz w:val="15"/>
                <w:szCs w:val="15"/>
                <w:color w:val="auto"/>
              </w:rPr>
            </w:pPr>
          </w:p>
        </w:tc>
        <w:tc>
          <w:tcPr>
            <w:tcW w:w="1280" w:type="dxa"/>
            <w:vAlign w:val="bottom"/>
            <w:shd w:val="clear" w:color="auto" w:fill="333333"/>
          </w:tcPr>
          <w:p>
            <w:pPr>
              <w:spacing w:after="0"/>
              <w:rPr>
                <w:sz w:val="15"/>
                <w:szCs w:val="15"/>
                <w:color w:val="auto"/>
              </w:rPr>
            </w:pPr>
          </w:p>
        </w:tc>
        <w:tc>
          <w:tcPr>
            <w:tcW w:w="2220" w:type="dxa"/>
            <w:vAlign w:val="bottom"/>
            <w:shd w:val="clear" w:color="auto" w:fill="333333"/>
          </w:tcPr>
          <w:p>
            <w:pPr>
              <w:jc w:val="right"/>
              <w:ind w:right="149"/>
              <w:spacing w:after="0"/>
              <w:rPr>
                <w:sz w:val="20"/>
                <w:szCs w:val="20"/>
                <w:color w:val="auto"/>
              </w:rPr>
            </w:pPr>
            <w:r>
              <w:rPr>
                <w:rFonts w:ascii="Arial" w:cs="Arial" w:eastAsia="Arial" w:hAnsi="Arial"/>
                <w:sz w:val="15"/>
                <w:szCs w:val="15"/>
                <w:color w:val="FFFFFF"/>
              </w:rPr>
              <w:t>NUMBER OF SHARES</w:t>
            </w:r>
          </w:p>
        </w:tc>
      </w:tr>
      <w:tr>
        <w:trPr>
          <w:trHeight w:val="149"/>
        </w:trPr>
        <w:tc>
          <w:tcPr>
            <w:tcW w:w="6160" w:type="dxa"/>
            <w:vAlign w:val="bottom"/>
          </w:tcPr>
          <w:p>
            <w:pPr>
              <w:spacing w:after="0"/>
              <w:rPr>
                <w:sz w:val="12"/>
                <w:szCs w:val="12"/>
                <w:color w:val="auto"/>
              </w:rPr>
            </w:pPr>
          </w:p>
        </w:tc>
        <w:tc>
          <w:tcPr>
            <w:tcW w:w="3040" w:type="dxa"/>
            <w:vAlign w:val="bottom"/>
            <w:tcBorders>
              <w:bottom w:val="single" w:sz="8" w:color="auto"/>
            </w:tcBorders>
            <w:gridSpan w:val="2"/>
          </w:tcPr>
          <w:p>
            <w:pPr>
              <w:jc w:val="right"/>
              <w:ind w:right="9"/>
              <w:spacing w:after="0" w:line="149" w:lineRule="exact"/>
              <w:rPr>
                <w:sz w:val="20"/>
                <w:szCs w:val="20"/>
                <w:color w:val="auto"/>
              </w:rPr>
            </w:pPr>
            <w:r>
              <w:rPr>
                <w:rFonts w:ascii="Arial" w:cs="Arial" w:eastAsia="Arial" w:hAnsi="Arial"/>
                <w:sz w:val="13"/>
                <w:szCs w:val="13"/>
                <w:color w:val="auto"/>
              </w:rPr>
              <w:t xml:space="preserve">Ordinary shares of </w:t>
            </w:r>
            <w:r>
              <w:rPr>
                <w:rFonts w:ascii="Arial" w:cs="Arial" w:eastAsia="Arial" w:hAnsi="Arial"/>
                <w:sz w:val="14"/>
                <w:szCs w:val="14"/>
                <w:color w:val="auto"/>
              </w:rPr>
              <w:t>€</w:t>
            </w:r>
            <w:r>
              <w:rPr>
                <w:rFonts w:ascii="Arial" w:cs="Arial" w:eastAsia="Arial" w:hAnsi="Arial"/>
                <w:sz w:val="13"/>
                <w:szCs w:val="13"/>
                <w:color w:val="auto"/>
              </w:rPr>
              <w:t>0.07 each</w:t>
            </w:r>
          </w:p>
        </w:tc>
        <w:tc>
          <w:tcPr>
            <w:tcW w:w="2220" w:type="dxa"/>
            <w:vAlign w:val="bottom"/>
          </w:tcPr>
          <w:p>
            <w:pPr>
              <w:jc w:val="right"/>
              <w:ind w:right="149"/>
              <w:spacing w:after="0"/>
              <w:rPr>
                <w:sz w:val="20"/>
                <w:szCs w:val="20"/>
                <w:color w:val="auto"/>
              </w:rPr>
            </w:pPr>
            <w:r>
              <w:rPr>
                <w:rFonts w:ascii="Arial" w:cs="Arial" w:eastAsia="Arial" w:hAnsi="Arial"/>
                <w:sz w:val="13"/>
                <w:szCs w:val="13"/>
                <w:color w:val="auto"/>
              </w:rPr>
              <w:t>Sterling deferred</w:t>
            </w:r>
          </w:p>
        </w:tc>
      </w:tr>
      <w:tr>
        <w:trPr>
          <w:trHeight w:val="129"/>
        </w:trPr>
        <w:tc>
          <w:tcPr>
            <w:tcW w:w="6160" w:type="dxa"/>
            <w:vAlign w:val="bottom"/>
            <w:tcBorders>
              <w:bottom w:val="single" w:sz="8" w:color="auto"/>
            </w:tcBorders>
          </w:tcPr>
          <w:p>
            <w:pPr>
              <w:spacing w:after="0"/>
              <w:rPr>
                <w:sz w:val="11"/>
                <w:szCs w:val="11"/>
                <w:color w:val="auto"/>
              </w:rPr>
            </w:pPr>
          </w:p>
        </w:tc>
        <w:tc>
          <w:tcPr>
            <w:tcW w:w="1760" w:type="dxa"/>
            <w:vAlign w:val="bottom"/>
            <w:tcBorders>
              <w:bottom w:val="single" w:sz="8" w:color="auto"/>
            </w:tcBorders>
          </w:tcPr>
          <w:p>
            <w:pPr>
              <w:jc w:val="right"/>
              <w:ind w:right="270"/>
              <w:spacing w:after="0" w:line="129" w:lineRule="exact"/>
              <w:rPr>
                <w:sz w:val="20"/>
                <w:szCs w:val="20"/>
                <w:color w:val="auto"/>
              </w:rPr>
            </w:pPr>
            <w:r>
              <w:rPr>
                <w:rFonts w:ascii="Arial" w:cs="Arial" w:eastAsia="Arial" w:hAnsi="Arial"/>
                <w:sz w:val="13"/>
                <w:szCs w:val="13"/>
                <w:color w:val="auto"/>
              </w:rPr>
              <w:t>A</w:t>
            </w:r>
          </w:p>
        </w:tc>
        <w:tc>
          <w:tcPr>
            <w:tcW w:w="1280" w:type="dxa"/>
            <w:vAlign w:val="bottom"/>
            <w:tcBorders>
              <w:bottom w:val="single" w:sz="8" w:color="auto"/>
            </w:tcBorders>
          </w:tcPr>
          <w:p>
            <w:pPr>
              <w:jc w:val="right"/>
              <w:ind w:right="9"/>
              <w:spacing w:after="0" w:line="129" w:lineRule="exact"/>
              <w:rPr>
                <w:sz w:val="20"/>
                <w:szCs w:val="20"/>
                <w:color w:val="auto"/>
              </w:rPr>
            </w:pPr>
            <w:r>
              <w:rPr>
                <w:rFonts w:ascii="Arial" w:cs="Arial" w:eastAsia="Arial" w:hAnsi="Arial"/>
                <w:sz w:val="13"/>
                <w:szCs w:val="13"/>
                <w:color w:val="auto"/>
              </w:rPr>
              <w:t>B</w:t>
            </w:r>
          </w:p>
        </w:tc>
        <w:tc>
          <w:tcPr>
            <w:tcW w:w="2220" w:type="dxa"/>
            <w:vAlign w:val="bottom"/>
            <w:tcBorders>
              <w:bottom w:val="single" w:sz="8" w:color="auto"/>
            </w:tcBorders>
          </w:tcPr>
          <w:p>
            <w:pPr>
              <w:jc w:val="right"/>
              <w:ind w:right="149"/>
              <w:spacing w:after="0" w:line="129" w:lineRule="exact"/>
              <w:rPr>
                <w:sz w:val="20"/>
                <w:szCs w:val="20"/>
                <w:color w:val="auto"/>
              </w:rPr>
            </w:pPr>
            <w:r>
              <w:rPr>
                <w:rFonts w:ascii="Arial" w:cs="Arial" w:eastAsia="Arial" w:hAnsi="Arial"/>
                <w:sz w:val="13"/>
                <w:szCs w:val="13"/>
                <w:color w:val="auto"/>
              </w:rPr>
              <w:t>shares of £1 each</w:t>
            </w:r>
          </w:p>
        </w:tc>
      </w:tr>
      <w:tr>
        <w:trPr>
          <w:trHeight w:val="160"/>
        </w:trPr>
        <w:tc>
          <w:tcPr>
            <w:tcW w:w="6160" w:type="dxa"/>
            <w:vAlign w:val="bottom"/>
          </w:tcPr>
          <w:p>
            <w:pPr>
              <w:spacing w:after="0"/>
              <w:rPr>
                <w:sz w:val="20"/>
                <w:szCs w:val="20"/>
                <w:color w:val="auto"/>
              </w:rPr>
            </w:pPr>
            <w:r>
              <w:rPr>
                <w:rFonts w:ascii="Arial" w:cs="Arial" w:eastAsia="Arial" w:hAnsi="Arial"/>
                <w:sz w:val="14"/>
                <w:szCs w:val="14"/>
                <w:color w:val="auto"/>
              </w:rPr>
              <w:t>At January 1, 2014</w:t>
            </w:r>
          </w:p>
        </w:tc>
        <w:tc>
          <w:tcPr>
            <w:tcW w:w="1760" w:type="dxa"/>
            <w:vAlign w:val="bottom"/>
          </w:tcPr>
          <w:p>
            <w:pPr>
              <w:jc w:val="right"/>
              <w:ind w:right="270"/>
              <w:spacing w:after="0"/>
              <w:rPr>
                <w:sz w:val="20"/>
                <w:szCs w:val="20"/>
                <w:color w:val="auto"/>
              </w:rPr>
            </w:pPr>
            <w:r>
              <w:rPr>
                <w:rFonts w:ascii="Arial" w:cs="Arial" w:eastAsia="Arial" w:hAnsi="Arial"/>
                <w:sz w:val="14"/>
                <w:szCs w:val="14"/>
                <w:color w:val="auto"/>
              </w:rPr>
              <w:t>3,898,011,213</w:t>
            </w:r>
          </w:p>
        </w:tc>
        <w:tc>
          <w:tcPr>
            <w:tcW w:w="1280" w:type="dxa"/>
            <w:vAlign w:val="bottom"/>
          </w:tcPr>
          <w:p>
            <w:pPr>
              <w:jc w:val="right"/>
              <w:ind w:right="9"/>
              <w:spacing w:after="0"/>
              <w:rPr>
                <w:sz w:val="20"/>
                <w:szCs w:val="20"/>
                <w:color w:val="auto"/>
              </w:rPr>
            </w:pPr>
            <w:r>
              <w:rPr>
                <w:rFonts w:ascii="Arial" w:cs="Arial" w:eastAsia="Arial" w:hAnsi="Arial"/>
                <w:sz w:val="14"/>
                <w:szCs w:val="14"/>
                <w:color w:val="auto"/>
              </w:rPr>
              <w:t>2,472,839,187</w:t>
            </w:r>
          </w:p>
        </w:tc>
        <w:tc>
          <w:tcPr>
            <w:tcW w:w="2220" w:type="dxa"/>
            <w:vAlign w:val="bottom"/>
          </w:tcPr>
          <w:p>
            <w:pPr>
              <w:jc w:val="right"/>
              <w:ind w:right="149"/>
              <w:spacing w:after="0"/>
              <w:rPr>
                <w:sz w:val="20"/>
                <w:szCs w:val="20"/>
                <w:color w:val="auto"/>
              </w:rPr>
            </w:pPr>
            <w:r>
              <w:rPr>
                <w:rFonts w:ascii="Arial" w:cs="Arial" w:eastAsia="Arial" w:hAnsi="Arial"/>
                <w:sz w:val="14"/>
                <w:szCs w:val="14"/>
                <w:color w:val="auto"/>
              </w:rPr>
              <w:t>50,000</w:t>
            </w:r>
          </w:p>
        </w:tc>
      </w:tr>
      <w:tr>
        <w:trPr>
          <w:trHeight w:val="162"/>
        </w:trPr>
        <w:tc>
          <w:tcPr>
            <w:tcW w:w="6160" w:type="dxa"/>
            <w:vAlign w:val="bottom"/>
          </w:tcPr>
          <w:p>
            <w:pPr>
              <w:spacing w:after="0"/>
              <w:rPr>
                <w:sz w:val="20"/>
                <w:szCs w:val="20"/>
                <w:color w:val="auto"/>
              </w:rPr>
            </w:pPr>
            <w:r>
              <w:rPr>
                <w:rFonts w:ascii="Arial" w:cs="Arial" w:eastAsia="Arial" w:hAnsi="Arial"/>
                <w:sz w:val="14"/>
                <w:szCs w:val="14"/>
                <w:color w:val="auto"/>
              </w:rPr>
              <w:t>Scrip dividends</w:t>
            </w:r>
          </w:p>
        </w:tc>
        <w:tc>
          <w:tcPr>
            <w:tcW w:w="1760" w:type="dxa"/>
            <w:vAlign w:val="bottom"/>
          </w:tcPr>
          <w:p>
            <w:pPr>
              <w:jc w:val="right"/>
              <w:ind w:right="270"/>
              <w:spacing w:after="0"/>
              <w:rPr>
                <w:sz w:val="20"/>
                <w:szCs w:val="20"/>
                <w:color w:val="auto"/>
              </w:rPr>
            </w:pPr>
            <w:r>
              <w:rPr>
                <w:rFonts w:ascii="Arial" w:cs="Arial" w:eastAsia="Arial" w:hAnsi="Arial"/>
                <w:sz w:val="14"/>
                <w:szCs w:val="14"/>
                <w:color w:val="auto"/>
              </w:rPr>
              <w:t>64,568,758</w:t>
            </w:r>
          </w:p>
        </w:tc>
        <w:tc>
          <w:tcPr>
            <w:tcW w:w="128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2220" w:type="dxa"/>
            <w:vAlign w:val="bottom"/>
          </w:tcPr>
          <w:p>
            <w:pPr>
              <w:jc w:val="right"/>
              <w:ind w:right="149"/>
              <w:spacing w:after="0"/>
              <w:rPr>
                <w:sz w:val="20"/>
                <w:szCs w:val="20"/>
                <w:color w:val="auto"/>
              </w:rPr>
            </w:pPr>
            <w:r>
              <w:rPr>
                <w:rFonts w:ascii="Arial" w:cs="Arial" w:eastAsia="Arial" w:hAnsi="Arial"/>
                <w:sz w:val="14"/>
                <w:szCs w:val="14"/>
                <w:color w:val="auto"/>
              </w:rPr>
              <w:t>–</w:t>
            </w:r>
          </w:p>
        </w:tc>
      </w:tr>
      <w:tr>
        <w:trPr>
          <w:trHeight w:val="157"/>
        </w:trPr>
        <w:tc>
          <w:tcPr>
            <w:tcW w:w="6160" w:type="dxa"/>
            <w:vAlign w:val="bottom"/>
            <w:tcBorders>
              <w:bottom w:val="single" w:sz="8" w:color="auto"/>
            </w:tcBorders>
          </w:tcPr>
          <w:p>
            <w:pPr>
              <w:spacing w:after="0" w:line="157" w:lineRule="exact"/>
              <w:rPr>
                <w:sz w:val="20"/>
                <w:szCs w:val="20"/>
                <w:color w:val="auto"/>
              </w:rPr>
            </w:pPr>
            <w:r>
              <w:rPr>
                <w:rFonts w:ascii="Arial" w:cs="Arial" w:eastAsia="Arial" w:hAnsi="Arial"/>
                <w:sz w:val="14"/>
                <w:szCs w:val="14"/>
                <w:color w:val="auto"/>
              </w:rPr>
              <w:t>Repurchases of shares</w:t>
            </w:r>
          </w:p>
        </w:tc>
        <w:tc>
          <w:tcPr>
            <w:tcW w:w="1760" w:type="dxa"/>
            <w:vAlign w:val="bottom"/>
            <w:tcBorders>
              <w:bottom w:val="single" w:sz="8" w:color="auto"/>
            </w:tcBorders>
          </w:tcPr>
          <w:p>
            <w:pPr>
              <w:jc w:val="right"/>
              <w:ind w:right="210"/>
              <w:spacing w:after="0" w:line="157" w:lineRule="exact"/>
              <w:rPr>
                <w:sz w:val="20"/>
                <w:szCs w:val="20"/>
                <w:color w:val="auto"/>
              </w:rPr>
            </w:pPr>
            <w:r>
              <w:rPr>
                <w:rFonts w:ascii="Arial" w:cs="Arial" w:eastAsia="Arial" w:hAnsi="Arial"/>
                <w:sz w:val="14"/>
                <w:szCs w:val="14"/>
                <w:color w:val="auto"/>
              </w:rPr>
              <w:t>(55,277,578)</w:t>
            </w:r>
          </w:p>
        </w:tc>
        <w:tc>
          <w:tcPr>
            <w:tcW w:w="1280" w:type="dxa"/>
            <w:vAlign w:val="bottom"/>
            <w:tcBorders>
              <w:bottom w:val="single" w:sz="8" w:color="auto"/>
            </w:tcBorders>
          </w:tcPr>
          <w:p>
            <w:pPr>
              <w:jc w:val="right"/>
              <w:spacing w:after="0" w:line="157" w:lineRule="exact"/>
              <w:rPr>
                <w:sz w:val="20"/>
                <w:szCs w:val="20"/>
                <w:color w:val="auto"/>
              </w:rPr>
            </w:pPr>
            <w:r>
              <w:rPr>
                <w:rFonts w:ascii="Arial" w:cs="Arial" w:eastAsia="Arial" w:hAnsi="Arial"/>
                <w:sz w:val="14"/>
                <w:szCs w:val="14"/>
                <w:color w:val="auto"/>
              </w:rPr>
              <w:t>(32,428,573)</w:t>
            </w:r>
          </w:p>
        </w:tc>
        <w:tc>
          <w:tcPr>
            <w:tcW w:w="2220" w:type="dxa"/>
            <w:vAlign w:val="bottom"/>
            <w:tcBorders>
              <w:bottom w:val="single" w:sz="8" w:color="auto"/>
            </w:tcBorders>
          </w:tcPr>
          <w:p>
            <w:pPr>
              <w:jc w:val="right"/>
              <w:ind w:right="149"/>
              <w:spacing w:after="0" w:line="157" w:lineRule="exact"/>
              <w:rPr>
                <w:sz w:val="20"/>
                <w:szCs w:val="20"/>
                <w:color w:val="auto"/>
              </w:rPr>
            </w:pPr>
            <w:r>
              <w:rPr>
                <w:rFonts w:ascii="Arial" w:cs="Arial" w:eastAsia="Arial" w:hAnsi="Arial"/>
                <w:sz w:val="14"/>
                <w:szCs w:val="14"/>
                <w:color w:val="auto"/>
              </w:rPr>
              <w:t>–</w:t>
            </w:r>
          </w:p>
        </w:tc>
      </w:tr>
      <w:tr>
        <w:trPr>
          <w:trHeight w:val="156"/>
        </w:trPr>
        <w:tc>
          <w:tcPr>
            <w:tcW w:w="6160" w:type="dxa"/>
            <w:vAlign w:val="bottom"/>
            <w:tcBorders>
              <w:bottom w:val="single" w:sz="8" w:color="auto"/>
            </w:tcBorders>
          </w:tcPr>
          <w:p>
            <w:pPr>
              <w:spacing w:after="0" w:line="155" w:lineRule="exact"/>
              <w:rPr>
                <w:sz w:val="20"/>
                <w:szCs w:val="20"/>
                <w:color w:val="auto"/>
              </w:rPr>
            </w:pPr>
            <w:r>
              <w:rPr>
                <w:rFonts w:ascii="Arial" w:cs="Arial" w:eastAsia="Arial" w:hAnsi="Arial"/>
                <w:sz w:val="14"/>
                <w:szCs w:val="14"/>
                <w:color w:val="auto"/>
              </w:rPr>
              <w:t>At December 31, 2014</w:t>
            </w:r>
          </w:p>
        </w:tc>
        <w:tc>
          <w:tcPr>
            <w:tcW w:w="1760" w:type="dxa"/>
            <w:vAlign w:val="bottom"/>
            <w:tcBorders>
              <w:bottom w:val="single" w:sz="8" w:color="auto"/>
            </w:tcBorders>
          </w:tcPr>
          <w:p>
            <w:pPr>
              <w:jc w:val="right"/>
              <w:ind w:right="270"/>
              <w:spacing w:after="0" w:line="155" w:lineRule="exact"/>
              <w:rPr>
                <w:sz w:val="20"/>
                <w:szCs w:val="20"/>
                <w:color w:val="auto"/>
              </w:rPr>
            </w:pPr>
            <w:r>
              <w:rPr>
                <w:rFonts w:ascii="Arial" w:cs="Arial" w:eastAsia="Arial" w:hAnsi="Arial"/>
                <w:sz w:val="14"/>
                <w:szCs w:val="14"/>
                <w:color w:val="auto"/>
              </w:rPr>
              <w:t>3,907,302,393</w:t>
            </w:r>
          </w:p>
        </w:tc>
        <w:tc>
          <w:tcPr>
            <w:tcW w:w="1280" w:type="dxa"/>
            <w:vAlign w:val="bottom"/>
            <w:tcBorders>
              <w:bottom w:val="single" w:sz="8" w:color="auto"/>
            </w:tcBorders>
          </w:tcPr>
          <w:p>
            <w:pPr>
              <w:jc w:val="right"/>
              <w:ind w:right="9"/>
              <w:spacing w:after="0" w:line="155" w:lineRule="exact"/>
              <w:rPr>
                <w:sz w:val="20"/>
                <w:szCs w:val="20"/>
                <w:color w:val="auto"/>
              </w:rPr>
            </w:pPr>
            <w:r>
              <w:rPr>
                <w:rFonts w:ascii="Arial" w:cs="Arial" w:eastAsia="Arial" w:hAnsi="Arial"/>
                <w:sz w:val="14"/>
                <w:szCs w:val="14"/>
                <w:color w:val="auto"/>
              </w:rPr>
              <w:t>2,440,410,614</w:t>
            </w:r>
          </w:p>
        </w:tc>
        <w:tc>
          <w:tcPr>
            <w:tcW w:w="2220" w:type="dxa"/>
            <w:vAlign w:val="bottom"/>
            <w:tcBorders>
              <w:bottom w:val="single" w:sz="8" w:color="auto"/>
            </w:tcBorders>
          </w:tcPr>
          <w:p>
            <w:pPr>
              <w:jc w:val="right"/>
              <w:ind w:right="149"/>
              <w:spacing w:after="0" w:line="155" w:lineRule="exact"/>
              <w:rPr>
                <w:sz w:val="20"/>
                <w:szCs w:val="20"/>
                <w:color w:val="auto"/>
              </w:rPr>
            </w:pPr>
            <w:r>
              <w:rPr>
                <w:rFonts w:ascii="Arial" w:cs="Arial" w:eastAsia="Arial" w:hAnsi="Arial"/>
                <w:sz w:val="14"/>
                <w:szCs w:val="14"/>
                <w:color w:val="auto"/>
              </w:rPr>
              <w:t>50,000</w:t>
            </w:r>
          </w:p>
        </w:tc>
      </w:tr>
      <w:tr>
        <w:trPr>
          <w:trHeight w:val="160"/>
        </w:trPr>
        <w:tc>
          <w:tcPr>
            <w:tcW w:w="6160" w:type="dxa"/>
            <w:vAlign w:val="bottom"/>
          </w:tcPr>
          <w:p>
            <w:pPr>
              <w:spacing w:after="0"/>
              <w:rPr>
                <w:sz w:val="20"/>
                <w:szCs w:val="20"/>
                <w:color w:val="auto"/>
              </w:rPr>
            </w:pPr>
            <w:r>
              <w:rPr>
                <w:rFonts w:ascii="Arial" w:cs="Arial" w:eastAsia="Arial" w:hAnsi="Arial"/>
                <w:sz w:val="14"/>
                <w:szCs w:val="14"/>
                <w:color w:val="auto"/>
              </w:rPr>
              <w:t>At January 1, 2013</w:t>
            </w:r>
          </w:p>
        </w:tc>
        <w:tc>
          <w:tcPr>
            <w:tcW w:w="1760" w:type="dxa"/>
            <w:vAlign w:val="bottom"/>
          </w:tcPr>
          <w:p>
            <w:pPr>
              <w:jc w:val="right"/>
              <w:ind w:right="270"/>
              <w:spacing w:after="0"/>
              <w:rPr>
                <w:sz w:val="20"/>
                <w:szCs w:val="20"/>
                <w:color w:val="auto"/>
              </w:rPr>
            </w:pPr>
            <w:r>
              <w:rPr>
                <w:rFonts w:ascii="Arial" w:cs="Arial" w:eastAsia="Arial" w:hAnsi="Arial"/>
                <w:sz w:val="14"/>
                <w:szCs w:val="14"/>
                <w:color w:val="auto"/>
              </w:rPr>
              <w:t>3,772,388,687</w:t>
            </w:r>
          </w:p>
        </w:tc>
        <w:tc>
          <w:tcPr>
            <w:tcW w:w="1280" w:type="dxa"/>
            <w:vAlign w:val="bottom"/>
          </w:tcPr>
          <w:p>
            <w:pPr>
              <w:jc w:val="right"/>
              <w:ind w:right="9"/>
              <w:spacing w:after="0"/>
              <w:rPr>
                <w:sz w:val="20"/>
                <w:szCs w:val="20"/>
                <w:color w:val="auto"/>
              </w:rPr>
            </w:pPr>
            <w:r>
              <w:rPr>
                <w:rFonts w:ascii="Arial" w:cs="Arial" w:eastAsia="Arial" w:hAnsi="Arial"/>
                <w:sz w:val="14"/>
                <w:szCs w:val="14"/>
                <w:color w:val="auto"/>
              </w:rPr>
              <w:t>2,617,715,189</w:t>
            </w:r>
          </w:p>
        </w:tc>
        <w:tc>
          <w:tcPr>
            <w:tcW w:w="2220" w:type="dxa"/>
            <w:vAlign w:val="bottom"/>
          </w:tcPr>
          <w:p>
            <w:pPr>
              <w:jc w:val="right"/>
              <w:ind w:right="149"/>
              <w:spacing w:after="0"/>
              <w:rPr>
                <w:sz w:val="20"/>
                <w:szCs w:val="20"/>
                <w:color w:val="auto"/>
              </w:rPr>
            </w:pPr>
            <w:r>
              <w:rPr>
                <w:rFonts w:ascii="Arial" w:cs="Arial" w:eastAsia="Arial" w:hAnsi="Arial"/>
                <w:sz w:val="14"/>
                <w:szCs w:val="14"/>
                <w:color w:val="auto"/>
              </w:rPr>
              <w:t>50,000</w:t>
            </w:r>
          </w:p>
        </w:tc>
      </w:tr>
      <w:tr>
        <w:trPr>
          <w:trHeight w:val="162"/>
        </w:trPr>
        <w:tc>
          <w:tcPr>
            <w:tcW w:w="6160" w:type="dxa"/>
            <w:vAlign w:val="bottom"/>
          </w:tcPr>
          <w:p>
            <w:pPr>
              <w:spacing w:after="0"/>
              <w:rPr>
                <w:sz w:val="20"/>
                <w:szCs w:val="20"/>
                <w:color w:val="auto"/>
              </w:rPr>
            </w:pPr>
            <w:r>
              <w:rPr>
                <w:rFonts w:ascii="Arial" w:cs="Arial" w:eastAsia="Arial" w:hAnsi="Arial"/>
                <w:sz w:val="14"/>
                <w:szCs w:val="14"/>
                <w:color w:val="auto"/>
              </w:rPr>
              <w:t>Scrip dividends</w:t>
            </w:r>
          </w:p>
        </w:tc>
        <w:tc>
          <w:tcPr>
            <w:tcW w:w="1760" w:type="dxa"/>
            <w:vAlign w:val="bottom"/>
          </w:tcPr>
          <w:p>
            <w:pPr>
              <w:jc w:val="right"/>
              <w:ind w:right="270"/>
              <w:spacing w:after="0"/>
              <w:rPr>
                <w:sz w:val="20"/>
                <w:szCs w:val="20"/>
                <w:color w:val="auto"/>
              </w:rPr>
            </w:pPr>
            <w:r>
              <w:rPr>
                <w:rFonts w:ascii="Arial" w:cs="Arial" w:eastAsia="Arial" w:hAnsi="Arial"/>
                <w:sz w:val="14"/>
                <w:szCs w:val="14"/>
                <w:color w:val="auto"/>
              </w:rPr>
              <w:t>125,622,526</w:t>
            </w:r>
          </w:p>
        </w:tc>
        <w:tc>
          <w:tcPr>
            <w:tcW w:w="128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2220" w:type="dxa"/>
            <w:vAlign w:val="bottom"/>
          </w:tcPr>
          <w:p>
            <w:pPr>
              <w:jc w:val="right"/>
              <w:ind w:right="149"/>
              <w:spacing w:after="0"/>
              <w:rPr>
                <w:sz w:val="20"/>
                <w:szCs w:val="20"/>
                <w:color w:val="auto"/>
              </w:rPr>
            </w:pPr>
            <w:r>
              <w:rPr>
                <w:rFonts w:ascii="Arial" w:cs="Arial" w:eastAsia="Arial" w:hAnsi="Arial"/>
                <w:sz w:val="14"/>
                <w:szCs w:val="14"/>
                <w:color w:val="auto"/>
              </w:rPr>
              <w:t>–</w:t>
            </w:r>
          </w:p>
        </w:tc>
      </w:tr>
      <w:tr>
        <w:trPr>
          <w:trHeight w:val="157"/>
        </w:trPr>
        <w:tc>
          <w:tcPr>
            <w:tcW w:w="6160" w:type="dxa"/>
            <w:vAlign w:val="bottom"/>
            <w:tcBorders>
              <w:bottom w:val="single" w:sz="8" w:color="auto"/>
            </w:tcBorders>
          </w:tcPr>
          <w:p>
            <w:pPr>
              <w:spacing w:after="0" w:line="157" w:lineRule="exact"/>
              <w:rPr>
                <w:sz w:val="20"/>
                <w:szCs w:val="20"/>
                <w:color w:val="auto"/>
              </w:rPr>
            </w:pPr>
            <w:r>
              <w:rPr>
                <w:rFonts w:ascii="Arial" w:cs="Arial" w:eastAsia="Arial" w:hAnsi="Arial"/>
                <w:sz w:val="14"/>
                <w:szCs w:val="14"/>
                <w:color w:val="auto"/>
              </w:rPr>
              <w:t>Repurchases of shares</w:t>
            </w:r>
          </w:p>
        </w:tc>
        <w:tc>
          <w:tcPr>
            <w:tcW w:w="1760" w:type="dxa"/>
            <w:vAlign w:val="bottom"/>
            <w:tcBorders>
              <w:bottom w:val="single" w:sz="8" w:color="auto"/>
            </w:tcBorders>
          </w:tcPr>
          <w:p>
            <w:pPr>
              <w:jc w:val="right"/>
              <w:ind w:right="270"/>
              <w:spacing w:after="0" w:line="157" w:lineRule="exact"/>
              <w:rPr>
                <w:sz w:val="20"/>
                <w:szCs w:val="20"/>
                <w:color w:val="auto"/>
              </w:rPr>
            </w:pPr>
            <w:r>
              <w:rPr>
                <w:rFonts w:ascii="Arial" w:cs="Arial" w:eastAsia="Arial" w:hAnsi="Arial"/>
                <w:sz w:val="14"/>
                <w:szCs w:val="14"/>
                <w:color w:val="auto"/>
              </w:rPr>
              <w:t>–</w:t>
            </w:r>
          </w:p>
        </w:tc>
        <w:tc>
          <w:tcPr>
            <w:tcW w:w="1280" w:type="dxa"/>
            <w:vAlign w:val="bottom"/>
            <w:tcBorders>
              <w:bottom w:val="single" w:sz="8" w:color="auto"/>
            </w:tcBorders>
          </w:tcPr>
          <w:p>
            <w:pPr>
              <w:jc w:val="right"/>
              <w:spacing w:after="0" w:line="157" w:lineRule="exact"/>
              <w:rPr>
                <w:sz w:val="20"/>
                <w:szCs w:val="20"/>
                <w:color w:val="auto"/>
              </w:rPr>
            </w:pPr>
            <w:r>
              <w:rPr>
                <w:rFonts w:ascii="Arial" w:cs="Arial" w:eastAsia="Arial" w:hAnsi="Arial"/>
                <w:sz w:val="14"/>
                <w:szCs w:val="14"/>
                <w:color w:val="auto"/>
              </w:rPr>
              <w:t>(144,876,002)</w:t>
            </w:r>
          </w:p>
        </w:tc>
        <w:tc>
          <w:tcPr>
            <w:tcW w:w="2220" w:type="dxa"/>
            <w:vAlign w:val="bottom"/>
            <w:tcBorders>
              <w:bottom w:val="single" w:sz="8" w:color="auto"/>
            </w:tcBorders>
          </w:tcPr>
          <w:p>
            <w:pPr>
              <w:jc w:val="right"/>
              <w:ind w:right="149"/>
              <w:spacing w:after="0" w:line="157" w:lineRule="exact"/>
              <w:rPr>
                <w:sz w:val="20"/>
                <w:szCs w:val="20"/>
                <w:color w:val="auto"/>
              </w:rPr>
            </w:pPr>
            <w:r>
              <w:rPr>
                <w:rFonts w:ascii="Arial" w:cs="Arial" w:eastAsia="Arial" w:hAnsi="Arial"/>
                <w:sz w:val="14"/>
                <w:szCs w:val="14"/>
                <w:color w:val="auto"/>
              </w:rPr>
              <w:t>–</w:t>
            </w:r>
          </w:p>
        </w:tc>
      </w:tr>
      <w:tr>
        <w:trPr>
          <w:trHeight w:val="156"/>
        </w:trPr>
        <w:tc>
          <w:tcPr>
            <w:tcW w:w="6160" w:type="dxa"/>
            <w:vAlign w:val="bottom"/>
            <w:tcBorders>
              <w:bottom w:val="single" w:sz="8" w:color="auto"/>
            </w:tcBorders>
          </w:tcPr>
          <w:p>
            <w:pPr>
              <w:spacing w:after="0" w:line="155" w:lineRule="exact"/>
              <w:rPr>
                <w:sz w:val="20"/>
                <w:szCs w:val="20"/>
                <w:color w:val="auto"/>
              </w:rPr>
            </w:pPr>
            <w:r>
              <w:rPr>
                <w:rFonts w:ascii="Arial" w:cs="Arial" w:eastAsia="Arial" w:hAnsi="Arial"/>
                <w:sz w:val="14"/>
                <w:szCs w:val="14"/>
                <w:color w:val="auto"/>
              </w:rPr>
              <w:t>At December 31, 2013</w:t>
            </w:r>
          </w:p>
        </w:tc>
        <w:tc>
          <w:tcPr>
            <w:tcW w:w="1760" w:type="dxa"/>
            <w:vAlign w:val="bottom"/>
            <w:tcBorders>
              <w:bottom w:val="single" w:sz="8" w:color="auto"/>
            </w:tcBorders>
          </w:tcPr>
          <w:p>
            <w:pPr>
              <w:jc w:val="right"/>
              <w:ind w:right="270"/>
              <w:spacing w:after="0" w:line="155" w:lineRule="exact"/>
              <w:rPr>
                <w:sz w:val="20"/>
                <w:szCs w:val="20"/>
                <w:color w:val="auto"/>
              </w:rPr>
            </w:pPr>
            <w:r>
              <w:rPr>
                <w:rFonts w:ascii="Arial" w:cs="Arial" w:eastAsia="Arial" w:hAnsi="Arial"/>
                <w:sz w:val="14"/>
                <w:szCs w:val="14"/>
                <w:color w:val="auto"/>
              </w:rPr>
              <w:t>3,898,011,213</w:t>
            </w:r>
          </w:p>
        </w:tc>
        <w:tc>
          <w:tcPr>
            <w:tcW w:w="1280" w:type="dxa"/>
            <w:vAlign w:val="bottom"/>
            <w:tcBorders>
              <w:bottom w:val="single" w:sz="8" w:color="auto"/>
            </w:tcBorders>
          </w:tcPr>
          <w:p>
            <w:pPr>
              <w:jc w:val="right"/>
              <w:ind w:right="9"/>
              <w:spacing w:after="0" w:line="155" w:lineRule="exact"/>
              <w:rPr>
                <w:sz w:val="20"/>
                <w:szCs w:val="20"/>
                <w:color w:val="auto"/>
              </w:rPr>
            </w:pPr>
            <w:r>
              <w:rPr>
                <w:rFonts w:ascii="Arial" w:cs="Arial" w:eastAsia="Arial" w:hAnsi="Arial"/>
                <w:sz w:val="14"/>
                <w:szCs w:val="14"/>
                <w:color w:val="auto"/>
              </w:rPr>
              <w:t>2,472,839,187</w:t>
            </w:r>
          </w:p>
        </w:tc>
        <w:tc>
          <w:tcPr>
            <w:tcW w:w="2220" w:type="dxa"/>
            <w:vAlign w:val="bottom"/>
            <w:tcBorders>
              <w:bottom w:val="single" w:sz="8" w:color="auto"/>
            </w:tcBorders>
          </w:tcPr>
          <w:p>
            <w:pPr>
              <w:jc w:val="right"/>
              <w:ind w:right="149"/>
              <w:spacing w:after="0" w:line="155" w:lineRule="exact"/>
              <w:rPr>
                <w:sz w:val="20"/>
                <w:szCs w:val="20"/>
                <w:color w:val="auto"/>
              </w:rPr>
            </w:pPr>
            <w:r>
              <w:rPr>
                <w:rFonts w:ascii="Arial" w:cs="Arial" w:eastAsia="Arial" w:hAnsi="Arial"/>
                <w:sz w:val="14"/>
                <w:szCs w:val="14"/>
                <w:color w:val="auto"/>
              </w:rPr>
              <w:t>50,000</w:t>
            </w:r>
          </w:p>
        </w:tc>
      </w:tr>
    </w:tbl>
    <w:p>
      <w:pPr>
        <w:sectPr>
          <w:pgSz w:w="11900" w:h="16838" w:orient="portrait"/>
          <w:cols w:equalWidth="0" w:num="1">
            <w:col w:w="11420"/>
          </w:cols>
          <w:pgMar w:left="240" w:top="460" w:right="239" w:bottom="1440" w:gutter="0" w:footer="0" w:header="0"/>
        </w:sectPr>
      </w:pPr>
    </w:p>
    <w:bookmarkStart w:id="169" w:name="page170"/>
    <w:bookmarkEnd w:id="1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300355</wp:posOffset>
            </wp:positionV>
            <wp:extent cx="8890" cy="462915"/>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14">
                      <a:extLst>
                        <a:ext uri="{28A0092B-C50C-407E-A947-70E740481C1C}"/>
                      </a:extLst>
                    </a:blip>
                    <a:srcRect/>
                    <a:stretch>
                      <a:fillRect/>
                    </a:stretch>
                  </pic:blipFill>
                  <pic:spPr bwMode="auto">
                    <a:xfrm>
                      <a:off x="0" y="0"/>
                      <a:ext cx="8890" cy="462915"/>
                    </a:xfrm>
                    <a:prstGeom prst="rect">
                      <a:avLst/>
                    </a:prstGeom>
                    <a:noFill/>
                  </pic:spPr>
                </pic:pic>
              </a:graphicData>
            </a:graphic>
          </wp:anchor>
        </w:drawing>
      </w:r>
    </w:p>
    <w:p>
      <w:pPr>
        <w:spacing w:after="0" w:line="200" w:lineRule="exact"/>
        <w:rPr>
          <w:sz w:val="20"/>
          <w:szCs w:val="20"/>
          <w:color w:val="auto"/>
        </w:rPr>
      </w:pP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565"/>
        </w:trPr>
        <w:tc>
          <w:tcPr>
            <w:tcW w:w="1460" w:type="dxa"/>
            <w:vAlign w:val="bottom"/>
            <w:shd w:val="clear" w:color="auto" w:fill="FF8B00"/>
          </w:tcPr>
          <w:p>
            <w:pPr>
              <w:jc w:val="right"/>
              <w:ind w:right="966"/>
              <w:spacing w:after="0"/>
              <w:rPr>
                <w:sz w:val="20"/>
                <w:szCs w:val="20"/>
                <w:color w:val="auto"/>
              </w:rPr>
            </w:pPr>
            <w:r>
              <w:rPr>
                <w:rFonts w:ascii="Arial" w:cs="Arial" w:eastAsia="Arial" w:hAnsi="Arial"/>
                <w:sz w:val="11"/>
                <w:szCs w:val="11"/>
                <w:b w:val="1"/>
                <w:bCs w:val="1"/>
                <w:color w:val="333333"/>
              </w:rPr>
              <w:t>168</w:t>
            </w:r>
          </w:p>
        </w:tc>
        <w:tc>
          <w:tcPr>
            <w:tcW w:w="4120" w:type="dxa"/>
            <w:vAlign w:val="bottom"/>
            <w:shd w:val="clear" w:color="auto" w:fill="FF8B00"/>
          </w:tcPr>
          <w:p>
            <w:pPr>
              <w:jc w:val="right"/>
              <w:ind w:right="741"/>
              <w:spacing w:after="0"/>
              <w:rPr>
                <w:sz w:val="20"/>
                <w:szCs w:val="20"/>
                <w:color w:val="auto"/>
              </w:rPr>
            </w:pPr>
            <w:r>
              <w:rPr>
                <w:rFonts w:ascii="Arial" w:cs="Arial" w:eastAsia="Arial" w:hAnsi="Arial"/>
                <w:sz w:val="13"/>
                <w:szCs w:val="13"/>
                <w:color w:val="333333"/>
              </w:rPr>
              <w:t>FINANCIAL STATEMENTS AND SUPPLEMENTS</w:t>
            </w:r>
          </w:p>
        </w:tc>
        <w:tc>
          <w:tcPr>
            <w:tcW w:w="5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5"/>
        </w:trPr>
        <w:tc>
          <w:tcPr>
            <w:tcW w:w="1460" w:type="dxa"/>
            <w:vAlign w:val="bottom"/>
            <w:shd w:val="clear" w:color="auto" w:fill="FF8B00"/>
          </w:tcPr>
          <w:p>
            <w:pPr>
              <w:spacing w:after="0"/>
              <w:rPr>
                <w:sz w:val="14"/>
                <w:szCs w:val="14"/>
                <w:color w:val="auto"/>
              </w:rPr>
            </w:pPr>
          </w:p>
        </w:tc>
        <w:tc>
          <w:tcPr>
            <w:tcW w:w="4120" w:type="dxa"/>
            <w:vAlign w:val="bottom"/>
            <w:shd w:val="clear" w:color="auto" w:fill="FF8B00"/>
          </w:tcPr>
          <w:p>
            <w:pPr>
              <w:spacing w:after="0"/>
              <w:rPr>
                <w:sz w:val="14"/>
                <w:szCs w:val="14"/>
                <w:color w:val="auto"/>
              </w:rPr>
            </w:pPr>
          </w:p>
        </w:tc>
        <w:tc>
          <w:tcPr>
            <w:tcW w:w="5840" w:type="dxa"/>
            <w:vAlign w:val="bottom"/>
            <w:vMerge w:val="restart"/>
          </w:tcPr>
          <w:p>
            <w:pPr>
              <w:ind w:left="3440"/>
              <w:spacing w:after="0"/>
              <w:rPr>
                <w:sz w:val="20"/>
                <w:szCs w:val="20"/>
                <w:color w:val="auto"/>
              </w:rPr>
            </w:pPr>
            <w:r>
              <w:rPr>
                <w:rFonts w:ascii="Arial" w:cs="Arial" w:eastAsia="Arial" w:hAnsi="Arial"/>
                <w:sz w:val="11"/>
                <w:szCs w:val="11"/>
                <w:color w:val="auto"/>
                <w:w w:val="96"/>
              </w:rPr>
              <w:t>SHELL ANNUAL REPORT AND FORM 20-F 2014</w:t>
            </w:r>
          </w:p>
        </w:tc>
        <w:tc>
          <w:tcPr>
            <w:tcW w:w="0" w:type="dxa"/>
            <w:vAlign w:val="bottom"/>
          </w:tcPr>
          <w:p>
            <w:pPr>
              <w:spacing w:after="0"/>
              <w:rPr>
                <w:sz w:val="1"/>
                <w:szCs w:val="1"/>
                <w:color w:val="auto"/>
              </w:rPr>
            </w:pPr>
          </w:p>
        </w:tc>
      </w:tr>
      <w:tr>
        <w:trPr>
          <w:trHeight w:val="130"/>
        </w:trPr>
        <w:tc>
          <w:tcPr>
            <w:tcW w:w="1460" w:type="dxa"/>
            <w:vAlign w:val="bottom"/>
            <w:vMerge w:val="restart"/>
          </w:tcPr>
          <w:p>
            <w:pPr>
              <w:jc w:val="right"/>
              <w:ind w:right="466"/>
              <w:spacing w:after="0"/>
              <w:rPr>
                <w:sz w:val="20"/>
                <w:szCs w:val="20"/>
                <w:color w:val="auto"/>
              </w:rPr>
            </w:pPr>
            <w:r>
              <w:rPr>
                <w:rFonts w:ascii="Arial" w:cs="Arial" w:eastAsia="Arial" w:hAnsi="Arial"/>
                <w:sz w:val="11"/>
                <w:szCs w:val="11"/>
                <w:color w:val="auto"/>
                <w:w w:val="96"/>
              </w:rPr>
              <w:t>[Note 10 continued]</w:t>
            </w:r>
          </w:p>
        </w:tc>
        <w:tc>
          <w:tcPr>
            <w:tcW w:w="4120" w:type="dxa"/>
            <w:vAlign w:val="bottom"/>
          </w:tcPr>
          <w:p>
            <w:pPr>
              <w:jc w:val="right"/>
              <w:ind w:right="741"/>
              <w:spacing w:after="0"/>
              <w:rPr>
                <w:sz w:val="20"/>
                <w:szCs w:val="20"/>
                <w:color w:val="auto"/>
              </w:rPr>
            </w:pPr>
            <w:r>
              <w:rPr>
                <w:rFonts w:ascii="Arial" w:cs="Arial" w:eastAsia="Arial" w:hAnsi="Arial"/>
                <w:sz w:val="11"/>
                <w:szCs w:val="11"/>
                <w:color w:val="auto"/>
              </w:rPr>
              <w:t>PARENT COMPANY FINANCIAL STATEMENTS</w:t>
            </w:r>
          </w:p>
        </w:tc>
        <w:tc>
          <w:tcPr>
            <w:tcW w:w="58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18"/>
        </w:trPr>
        <w:tc>
          <w:tcPr>
            <w:tcW w:w="1460" w:type="dxa"/>
            <w:vAlign w:val="bottom"/>
            <w:vMerge w:val="continue"/>
          </w:tcPr>
          <w:p>
            <w:pPr>
              <w:spacing w:after="0"/>
              <w:rPr>
                <w:sz w:val="10"/>
                <w:szCs w:val="10"/>
                <w:color w:val="auto"/>
              </w:rPr>
            </w:pPr>
          </w:p>
        </w:tc>
        <w:tc>
          <w:tcPr>
            <w:tcW w:w="4120" w:type="dxa"/>
            <w:vAlign w:val="bottom"/>
          </w:tcPr>
          <w:p>
            <w:pPr>
              <w:spacing w:after="0"/>
              <w:rPr>
                <w:sz w:val="10"/>
                <w:szCs w:val="10"/>
                <w:color w:val="auto"/>
              </w:rPr>
            </w:pPr>
          </w:p>
        </w:tc>
        <w:tc>
          <w:tcPr>
            <w:tcW w:w="584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6940" w:type="dxa"/>
            <w:vAlign w:val="bottom"/>
            <w:shd w:val="clear" w:color="auto" w:fill="333333"/>
          </w:tcPr>
          <w:p>
            <w:pPr>
              <w:ind w:left="80"/>
              <w:spacing w:after="0"/>
              <w:rPr>
                <w:sz w:val="20"/>
                <w:szCs w:val="20"/>
                <w:color w:val="auto"/>
              </w:rPr>
            </w:pPr>
            <w:r>
              <w:rPr>
                <w:rFonts w:ascii="Arial" w:cs="Arial" w:eastAsia="Arial" w:hAnsi="Arial"/>
                <w:sz w:val="15"/>
                <w:szCs w:val="15"/>
                <w:b w:val="1"/>
                <w:bCs w:val="1"/>
                <w:color w:val="FFFFFF"/>
              </w:rPr>
              <w:t>NOMINAL VALUE</w:t>
            </w:r>
          </w:p>
        </w:tc>
        <w:tc>
          <w:tcPr>
            <w:tcW w:w="2040" w:type="dxa"/>
            <w:vAlign w:val="bottom"/>
            <w:shd w:val="clear" w:color="auto" w:fill="333333"/>
          </w:tcPr>
          <w:p>
            <w:pPr>
              <w:spacing w:after="0"/>
              <w:rPr>
                <w:sz w:val="14"/>
                <w:szCs w:val="14"/>
                <w:color w:val="auto"/>
              </w:rPr>
            </w:pPr>
          </w:p>
        </w:tc>
        <w:tc>
          <w:tcPr>
            <w:tcW w:w="760" w:type="dxa"/>
            <w:vAlign w:val="bottom"/>
            <w:shd w:val="clear" w:color="auto" w:fill="333333"/>
          </w:tcPr>
          <w:p>
            <w:pPr>
              <w:spacing w:after="0"/>
              <w:rPr>
                <w:sz w:val="14"/>
                <w:szCs w:val="14"/>
                <w:color w:val="auto"/>
              </w:rPr>
            </w:pPr>
          </w:p>
        </w:tc>
        <w:tc>
          <w:tcPr>
            <w:tcW w:w="1680" w:type="dxa"/>
            <w:vAlign w:val="bottom"/>
            <w:shd w:val="clear" w:color="auto" w:fill="333333"/>
          </w:tcPr>
          <w:p>
            <w:pPr>
              <w:jc w:val="right"/>
              <w:ind w:right="368"/>
              <w:spacing w:after="0"/>
              <w:rPr>
                <w:sz w:val="20"/>
                <w:szCs w:val="20"/>
                <w:color w:val="auto"/>
              </w:rPr>
            </w:pPr>
            <w:r>
              <w:rPr>
                <w:rFonts w:ascii="Arial" w:cs="Arial" w:eastAsia="Arial" w:hAnsi="Arial"/>
                <w:sz w:val="15"/>
                <w:szCs w:val="15"/>
                <w:color w:val="FFFFFF"/>
              </w:rPr>
              <w:t>$ MILLION</w:t>
            </w:r>
          </w:p>
        </w:tc>
        <w:tc>
          <w:tcPr>
            <w:tcW w:w="0" w:type="dxa"/>
            <w:vAlign w:val="bottom"/>
          </w:tcPr>
          <w:p>
            <w:pPr>
              <w:spacing w:after="0"/>
              <w:rPr>
                <w:sz w:val="1"/>
                <w:szCs w:val="1"/>
                <w:color w:val="auto"/>
              </w:rPr>
            </w:pPr>
          </w:p>
        </w:tc>
      </w:tr>
      <w:tr>
        <w:trPr>
          <w:trHeight w:val="149"/>
        </w:trPr>
        <w:tc>
          <w:tcPr>
            <w:tcW w:w="6940" w:type="dxa"/>
            <w:vAlign w:val="bottom"/>
          </w:tcPr>
          <w:p>
            <w:pPr>
              <w:spacing w:after="0"/>
              <w:rPr>
                <w:sz w:val="12"/>
                <w:szCs w:val="12"/>
                <w:color w:val="auto"/>
              </w:rPr>
            </w:pPr>
          </w:p>
        </w:tc>
        <w:tc>
          <w:tcPr>
            <w:tcW w:w="20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Ordinary shares of</w:t>
            </w:r>
          </w:p>
        </w:tc>
        <w:tc>
          <w:tcPr>
            <w:tcW w:w="760" w:type="dxa"/>
            <w:vAlign w:val="bottom"/>
            <w:tcBorders>
              <w:bottom w:val="single" w:sz="8" w:color="auto"/>
            </w:tcBorders>
          </w:tcPr>
          <w:p>
            <w:pPr>
              <w:jc w:val="right"/>
              <w:ind w:right="29"/>
              <w:spacing w:after="0" w:line="149" w:lineRule="exact"/>
              <w:rPr>
                <w:sz w:val="20"/>
                <w:szCs w:val="20"/>
                <w:color w:val="auto"/>
              </w:rPr>
            </w:pPr>
            <w:r>
              <w:rPr>
                <w:rFonts w:ascii="Arial" w:cs="Arial" w:eastAsia="Arial" w:hAnsi="Arial"/>
                <w:sz w:val="14"/>
                <w:szCs w:val="14"/>
                <w:color w:val="auto"/>
              </w:rPr>
              <w:t>€</w:t>
            </w:r>
            <w:r>
              <w:rPr>
                <w:rFonts w:ascii="Arial" w:cs="Arial" w:eastAsia="Arial" w:hAnsi="Arial"/>
                <w:sz w:val="12"/>
                <w:szCs w:val="12"/>
                <w:color w:val="auto"/>
              </w:rPr>
              <w:t>0.07 each</w:t>
            </w:r>
          </w:p>
        </w:tc>
        <w:tc>
          <w:tcPr>
            <w:tcW w:w="1680" w:type="dxa"/>
            <w:vAlign w:val="bottom"/>
            <w:vMerge w:val="restart"/>
          </w:tcPr>
          <w:p>
            <w:pPr>
              <w:jc w:val="right"/>
              <w:ind w:right="368"/>
              <w:spacing w:after="0"/>
              <w:rPr>
                <w:sz w:val="20"/>
                <w:szCs w:val="20"/>
                <w:color w:val="auto"/>
              </w:rPr>
            </w:pPr>
            <w:r>
              <w:rPr>
                <w:rFonts w:ascii="Arial" w:cs="Arial" w:eastAsia="Arial" w:hAnsi="Arial"/>
                <w:sz w:val="13"/>
                <w:szCs w:val="13"/>
                <w:color w:val="auto"/>
              </w:rPr>
              <w:t>Total</w:t>
            </w:r>
          </w:p>
        </w:tc>
        <w:tc>
          <w:tcPr>
            <w:tcW w:w="0" w:type="dxa"/>
            <w:vAlign w:val="bottom"/>
          </w:tcPr>
          <w:p>
            <w:pPr>
              <w:spacing w:after="0"/>
              <w:rPr>
                <w:sz w:val="1"/>
                <w:szCs w:val="1"/>
                <w:color w:val="auto"/>
              </w:rPr>
            </w:pPr>
          </w:p>
        </w:tc>
      </w:tr>
      <w:tr>
        <w:trPr>
          <w:trHeight w:val="129"/>
        </w:trPr>
        <w:tc>
          <w:tcPr>
            <w:tcW w:w="6940" w:type="dxa"/>
            <w:vAlign w:val="bottom"/>
            <w:tcBorders>
              <w:bottom w:val="single" w:sz="8" w:color="auto"/>
            </w:tcBorders>
          </w:tcPr>
          <w:p>
            <w:pPr>
              <w:spacing w:after="0"/>
              <w:rPr>
                <w:sz w:val="11"/>
                <w:szCs w:val="11"/>
                <w:color w:val="auto"/>
              </w:rPr>
            </w:pPr>
          </w:p>
        </w:tc>
        <w:tc>
          <w:tcPr>
            <w:tcW w:w="2040" w:type="dxa"/>
            <w:vAlign w:val="bottom"/>
            <w:tcBorders>
              <w:bottom w:val="single" w:sz="8" w:color="auto"/>
            </w:tcBorders>
          </w:tcPr>
          <w:p>
            <w:pPr>
              <w:jc w:val="right"/>
              <w:ind w:right="1090"/>
              <w:spacing w:after="0" w:line="129" w:lineRule="exact"/>
              <w:rPr>
                <w:sz w:val="20"/>
                <w:szCs w:val="20"/>
                <w:color w:val="auto"/>
              </w:rPr>
            </w:pPr>
            <w:r>
              <w:rPr>
                <w:rFonts w:ascii="Arial" w:cs="Arial" w:eastAsia="Arial" w:hAnsi="Arial"/>
                <w:sz w:val="13"/>
                <w:szCs w:val="13"/>
                <w:color w:val="auto"/>
              </w:rPr>
              <w:t>A</w:t>
            </w:r>
          </w:p>
        </w:tc>
        <w:tc>
          <w:tcPr>
            <w:tcW w:w="760" w:type="dxa"/>
            <w:vAlign w:val="bottom"/>
            <w:tcBorders>
              <w:bottom w:val="single" w:sz="8" w:color="auto"/>
            </w:tcBorders>
          </w:tcPr>
          <w:p>
            <w:pPr>
              <w:jc w:val="right"/>
              <w:ind w:right="29"/>
              <w:spacing w:after="0" w:line="129" w:lineRule="exact"/>
              <w:rPr>
                <w:sz w:val="20"/>
                <w:szCs w:val="20"/>
                <w:color w:val="auto"/>
              </w:rPr>
            </w:pPr>
            <w:r>
              <w:rPr>
                <w:rFonts w:ascii="Arial" w:cs="Arial" w:eastAsia="Arial" w:hAnsi="Arial"/>
                <w:sz w:val="13"/>
                <w:szCs w:val="13"/>
                <w:color w:val="auto"/>
              </w:rPr>
              <w:t>B</w:t>
            </w:r>
          </w:p>
        </w:tc>
        <w:tc>
          <w:tcPr>
            <w:tcW w:w="1680" w:type="dxa"/>
            <w:vAlign w:val="bottom"/>
            <w:tcBorders>
              <w:bottom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6940" w:type="dxa"/>
            <w:vAlign w:val="bottom"/>
          </w:tcPr>
          <w:p>
            <w:pPr>
              <w:spacing w:after="0"/>
              <w:rPr>
                <w:sz w:val="20"/>
                <w:szCs w:val="20"/>
                <w:color w:val="auto"/>
              </w:rPr>
            </w:pPr>
            <w:r>
              <w:rPr>
                <w:rFonts w:ascii="Arial" w:cs="Arial" w:eastAsia="Arial" w:hAnsi="Arial"/>
                <w:sz w:val="14"/>
                <w:szCs w:val="14"/>
                <w:color w:val="auto"/>
              </w:rPr>
              <w:t>At January 1, 2014</w:t>
            </w:r>
          </w:p>
        </w:tc>
        <w:tc>
          <w:tcPr>
            <w:tcW w:w="2040" w:type="dxa"/>
            <w:vAlign w:val="bottom"/>
          </w:tcPr>
          <w:p>
            <w:pPr>
              <w:jc w:val="right"/>
              <w:ind w:right="1090"/>
              <w:spacing w:after="0"/>
              <w:rPr>
                <w:sz w:val="20"/>
                <w:szCs w:val="20"/>
                <w:color w:val="auto"/>
              </w:rPr>
            </w:pPr>
            <w:r>
              <w:rPr>
                <w:rFonts w:ascii="Arial" w:cs="Arial" w:eastAsia="Arial" w:hAnsi="Arial"/>
                <w:sz w:val="14"/>
                <w:szCs w:val="14"/>
                <w:color w:val="auto"/>
              </w:rPr>
              <w:t>333</w:t>
            </w:r>
          </w:p>
        </w:tc>
        <w:tc>
          <w:tcPr>
            <w:tcW w:w="760" w:type="dxa"/>
            <w:vAlign w:val="bottom"/>
          </w:tcPr>
          <w:p>
            <w:pPr>
              <w:jc w:val="right"/>
              <w:ind w:right="29"/>
              <w:spacing w:after="0"/>
              <w:rPr>
                <w:sz w:val="20"/>
                <w:szCs w:val="20"/>
                <w:color w:val="auto"/>
              </w:rPr>
            </w:pPr>
            <w:r>
              <w:rPr>
                <w:rFonts w:ascii="Arial" w:cs="Arial" w:eastAsia="Arial" w:hAnsi="Arial"/>
                <w:sz w:val="14"/>
                <w:szCs w:val="14"/>
                <w:color w:val="auto"/>
              </w:rPr>
              <w:t>209</w:t>
            </w:r>
          </w:p>
        </w:tc>
        <w:tc>
          <w:tcPr>
            <w:tcW w:w="1680" w:type="dxa"/>
            <w:vAlign w:val="bottom"/>
          </w:tcPr>
          <w:p>
            <w:pPr>
              <w:jc w:val="right"/>
              <w:ind w:right="368"/>
              <w:spacing w:after="0"/>
              <w:rPr>
                <w:sz w:val="20"/>
                <w:szCs w:val="20"/>
                <w:color w:val="auto"/>
              </w:rPr>
            </w:pPr>
            <w:r>
              <w:rPr>
                <w:rFonts w:ascii="Arial" w:cs="Arial" w:eastAsia="Arial" w:hAnsi="Arial"/>
                <w:sz w:val="14"/>
                <w:szCs w:val="14"/>
                <w:color w:val="auto"/>
              </w:rPr>
              <w:t>542</w:t>
            </w:r>
          </w:p>
        </w:tc>
        <w:tc>
          <w:tcPr>
            <w:tcW w:w="0" w:type="dxa"/>
            <w:vAlign w:val="bottom"/>
          </w:tcPr>
          <w:p>
            <w:pPr>
              <w:spacing w:after="0"/>
              <w:rPr>
                <w:sz w:val="1"/>
                <w:szCs w:val="1"/>
                <w:color w:val="auto"/>
              </w:rPr>
            </w:pPr>
          </w:p>
        </w:tc>
      </w:tr>
      <w:tr>
        <w:trPr>
          <w:trHeight w:val="162"/>
        </w:trPr>
        <w:tc>
          <w:tcPr>
            <w:tcW w:w="6940" w:type="dxa"/>
            <w:vAlign w:val="bottom"/>
          </w:tcPr>
          <w:p>
            <w:pPr>
              <w:spacing w:after="0"/>
              <w:rPr>
                <w:sz w:val="20"/>
                <w:szCs w:val="20"/>
                <w:color w:val="auto"/>
              </w:rPr>
            </w:pPr>
            <w:r>
              <w:rPr>
                <w:rFonts w:ascii="Arial" w:cs="Arial" w:eastAsia="Arial" w:hAnsi="Arial"/>
                <w:sz w:val="14"/>
                <w:szCs w:val="14"/>
                <w:color w:val="auto"/>
              </w:rPr>
              <w:t>Scrip dividends</w:t>
            </w:r>
          </w:p>
        </w:tc>
        <w:tc>
          <w:tcPr>
            <w:tcW w:w="2040" w:type="dxa"/>
            <w:vAlign w:val="bottom"/>
          </w:tcPr>
          <w:p>
            <w:pPr>
              <w:jc w:val="right"/>
              <w:ind w:right="1090"/>
              <w:spacing w:after="0"/>
              <w:rPr>
                <w:sz w:val="20"/>
                <w:szCs w:val="20"/>
                <w:color w:val="auto"/>
              </w:rPr>
            </w:pPr>
            <w:r>
              <w:rPr>
                <w:rFonts w:ascii="Arial" w:cs="Arial" w:eastAsia="Arial" w:hAnsi="Arial"/>
                <w:sz w:val="14"/>
                <w:szCs w:val="14"/>
                <w:color w:val="auto"/>
              </w:rPr>
              <w:t>6</w:t>
            </w:r>
          </w:p>
        </w:tc>
        <w:tc>
          <w:tcPr>
            <w:tcW w:w="76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1680" w:type="dxa"/>
            <w:vAlign w:val="bottom"/>
          </w:tcPr>
          <w:p>
            <w:pPr>
              <w:jc w:val="right"/>
              <w:ind w:right="368"/>
              <w:spacing w:after="0"/>
              <w:rPr>
                <w:sz w:val="20"/>
                <w:szCs w:val="20"/>
                <w:color w:val="auto"/>
              </w:rPr>
            </w:pPr>
            <w:r>
              <w:rPr>
                <w:rFonts w:ascii="Arial" w:cs="Arial" w:eastAsia="Arial" w:hAnsi="Arial"/>
                <w:sz w:val="14"/>
                <w:szCs w:val="14"/>
                <w:color w:val="auto"/>
              </w:rPr>
              <w:t>6</w:t>
            </w:r>
          </w:p>
        </w:tc>
        <w:tc>
          <w:tcPr>
            <w:tcW w:w="0" w:type="dxa"/>
            <w:vAlign w:val="bottom"/>
          </w:tcPr>
          <w:p>
            <w:pPr>
              <w:spacing w:after="0"/>
              <w:rPr>
                <w:sz w:val="1"/>
                <w:szCs w:val="1"/>
                <w:color w:val="auto"/>
              </w:rPr>
            </w:pPr>
          </w:p>
        </w:tc>
      </w:tr>
      <w:tr>
        <w:trPr>
          <w:trHeight w:val="157"/>
        </w:trPr>
        <w:tc>
          <w:tcPr>
            <w:tcW w:w="6940" w:type="dxa"/>
            <w:vAlign w:val="bottom"/>
            <w:tcBorders>
              <w:bottom w:val="single" w:sz="8" w:color="auto"/>
            </w:tcBorders>
          </w:tcPr>
          <w:p>
            <w:pPr>
              <w:spacing w:after="0" w:line="157" w:lineRule="exact"/>
              <w:rPr>
                <w:sz w:val="20"/>
                <w:szCs w:val="20"/>
                <w:color w:val="auto"/>
              </w:rPr>
            </w:pPr>
            <w:r>
              <w:rPr>
                <w:rFonts w:ascii="Arial" w:cs="Arial" w:eastAsia="Arial" w:hAnsi="Arial"/>
                <w:sz w:val="14"/>
                <w:szCs w:val="14"/>
                <w:color w:val="auto"/>
              </w:rPr>
              <w:t>Repurchases of shares</w:t>
            </w:r>
          </w:p>
        </w:tc>
        <w:tc>
          <w:tcPr>
            <w:tcW w:w="2040" w:type="dxa"/>
            <w:vAlign w:val="bottom"/>
            <w:tcBorders>
              <w:bottom w:val="single" w:sz="8" w:color="auto"/>
            </w:tcBorders>
          </w:tcPr>
          <w:p>
            <w:pPr>
              <w:jc w:val="right"/>
              <w:ind w:right="1030"/>
              <w:spacing w:after="0" w:line="157" w:lineRule="exact"/>
              <w:rPr>
                <w:sz w:val="20"/>
                <w:szCs w:val="20"/>
                <w:color w:val="auto"/>
              </w:rPr>
            </w:pPr>
            <w:r>
              <w:rPr>
                <w:rFonts w:ascii="Arial" w:cs="Arial" w:eastAsia="Arial" w:hAnsi="Arial"/>
                <w:sz w:val="14"/>
                <w:szCs w:val="14"/>
                <w:color w:val="auto"/>
              </w:rPr>
              <w:t>(5)</w:t>
            </w:r>
          </w:p>
        </w:tc>
        <w:tc>
          <w:tcPr>
            <w:tcW w:w="760" w:type="dxa"/>
            <w:vAlign w:val="bottom"/>
            <w:tcBorders>
              <w:bottom w:val="single" w:sz="8" w:color="auto"/>
            </w:tcBorders>
          </w:tcPr>
          <w:p>
            <w:pPr>
              <w:jc w:val="right"/>
              <w:spacing w:after="0" w:line="157" w:lineRule="exact"/>
              <w:rPr>
                <w:sz w:val="20"/>
                <w:szCs w:val="20"/>
                <w:color w:val="auto"/>
              </w:rPr>
            </w:pPr>
            <w:r>
              <w:rPr>
                <w:rFonts w:ascii="Arial" w:cs="Arial" w:eastAsia="Arial" w:hAnsi="Arial"/>
                <w:sz w:val="14"/>
                <w:szCs w:val="14"/>
                <w:color w:val="auto"/>
              </w:rPr>
              <w:t>(3)</w:t>
            </w:r>
          </w:p>
        </w:tc>
        <w:tc>
          <w:tcPr>
            <w:tcW w:w="1680" w:type="dxa"/>
            <w:vAlign w:val="bottom"/>
            <w:tcBorders>
              <w:bottom w:val="single" w:sz="8" w:color="auto"/>
            </w:tcBorders>
          </w:tcPr>
          <w:p>
            <w:pPr>
              <w:jc w:val="right"/>
              <w:ind w:right="328"/>
              <w:spacing w:after="0" w:line="157" w:lineRule="exact"/>
              <w:rPr>
                <w:sz w:val="20"/>
                <w:szCs w:val="20"/>
                <w:color w:val="auto"/>
              </w:rPr>
            </w:pPr>
            <w:r>
              <w:rPr>
                <w:rFonts w:ascii="Arial" w:cs="Arial" w:eastAsia="Arial" w:hAnsi="Arial"/>
                <w:sz w:val="14"/>
                <w:szCs w:val="14"/>
                <w:color w:val="auto"/>
              </w:rPr>
              <w:t>(8)</w:t>
            </w:r>
          </w:p>
        </w:tc>
        <w:tc>
          <w:tcPr>
            <w:tcW w:w="0" w:type="dxa"/>
            <w:vAlign w:val="bottom"/>
          </w:tcPr>
          <w:p>
            <w:pPr>
              <w:spacing w:after="0"/>
              <w:rPr>
                <w:sz w:val="1"/>
                <w:szCs w:val="1"/>
                <w:color w:val="auto"/>
              </w:rPr>
            </w:pPr>
          </w:p>
        </w:tc>
      </w:tr>
      <w:tr>
        <w:trPr>
          <w:trHeight w:val="156"/>
        </w:trPr>
        <w:tc>
          <w:tcPr>
            <w:tcW w:w="6940" w:type="dxa"/>
            <w:vAlign w:val="bottom"/>
            <w:tcBorders>
              <w:bottom w:val="single" w:sz="8" w:color="auto"/>
            </w:tcBorders>
          </w:tcPr>
          <w:p>
            <w:pPr>
              <w:spacing w:after="0" w:line="155" w:lineRule="exact"/>
              <w:rPr>
                <w:sz w:val="20"/>
                <w:szCs w:val="20"/>
                <w:color w:val="auto"/>
              </w:rPr>
            </w:pPr>
            <w:r>
              <w:rPr>
                <w:rFonts w:ascii="Arial" w:cs="Arial" w:eastAsia="Arial" w:hAnsi="Arial"/>
                <w:sz w:val="14"/>
                <w:szCs w:val="14"/>
                <w:color w:val="auto"/>
              </w:rPr>
              <w:t>At December 31, 2014</w:t>
            </w:r>
          </w:p>
        </w:tc>
        <w:tc>
          <w:tcPr>
            <w:tcW w:w="2040" w:type="dxa"/>
            <w:vAlign w:val="bottom"/>
            <w:tcBorders>
              <w:bottom w:val="single" w:sz="8" w:color="auto"/>
            </w:tcBorders>
          </w:tcPr>
          <w:p>
            <w:pPr>
              <w:jc w:val="right"/>
              <w:ind w:right="1090"/>
              <w:spacing w:after="0" w:line="155" w:lineRule="exact"/>
              <w:rPr>
                <w:sz w:val="20"/>
                <w:szCs w:val="20"/>
                <w:color w:val="auto"/>
              </w:rPr>
            </w:pPr>
            <w:r>
              <w:rPr>
                <w:rFonts w:ascii="Arial" w:cs="Arial" w:eastAsia="Arial" w:hAnsi="Arial"/>
                <w:sz w:val="14"/>
                <w:szCs w:val="14"/>
                <w:color w:val="auto"/>
              </w:rPr>
              <w:t>334</w:t>
            </w:r>
          </w:p>
        </w:tc>
        <w:tc>
          <w:tcPr>
            <w:tcW w:w="760" w:type="dxa"/>
            <w:vAlign w:val="bottom"/>
            <w:tcBorders>
              <w:bottom w:val="single" w:sz="8" w:color="auto"/>
            </w:tcBorders>
          </w:tcPr>
          <w:p>
            <w:pPr>
              <w:jc w:val="right"/>
              <w:ind w:right="29"/>
              <w:spacing w:after="0" w:line="155" w:lineRule="exact"/>
              <w:rPr>
                <w:sz w:val="20"/>
                <w:szCs w:val="20"/>
                <w:color w:val="auto"/>
              </w:rPr>
            </w:pPr>
            <w:r>
              <w:rPr>
                <w:rFonts w:ascii="Arial" w:cs="Arial" w:eastAsia="Arial" w:hAnsi="Arial"/>
                <w:sz w:val="14"/>
                <w:szCs w:val="14"/>
                <w:color w:val="auto"/>
              </w:rPr>
              <w:t>206</w:t>
            </w:r>
          </w:p>
        </w:tc>
        <w:tc>
          <w:tcPr>
            <w:tcW w:w="1680" w:type="dxa"/>
            <w:vAlign w:val="bottom"/>
            <w:tcBorders>
              <w:bottom w:val="single" w:sz="8" w:color="auto"/>
            </w:tcBorders>
          </w:tcPr>
          <w:p>
            <w:pPr>
              <w:jc w:val="right"/>
              <w:ind w:right="368"/>
              <w:spacing w:after="0" w:line="155" w:lineRule="exact"/>
              <w:rPr>
                <w:sz w:val="20"/>
                <w:szCs w:val="20"/>
                <w:color w:val="auto"/>
              </w:rPr>
            </w:pPr>
            <w:r>
              <w:rPr>
                <w:rFonts w:ascii="Arial" w:cs="Arial" w:eastAsia="Arial" w:hAnsi="Arial"/>
                <w:sz w:val="14"/>
                <w:szCs w:val="14"/>
                <w:color w:val="auto"/>
              </w:rPr>
              <w:t>540</w:t>
            </w:r>
          </w:p>
        </w:tc>
        <w:tc>
          <w:tcPr>
            <w:tcW w:w="0" w:type="dxa"/>
            <w:vAlign w:val="bottom"/>
          </w:tcPr>
          <w:p>
            <w:pPr>
              <w:spacing w:after="0"/>
              <w:rPr>
                <w:sz w:val="1"/>
                <w:szCs w:val="1"/>
                <w:color w:val="auto"/>
              </w:rPr>
            </w:pPr>
          </w:p>
        </w:tc>
      </w:tr>
      <w:tr>
        <w:trPr>
          <w:trHeight w:val="160"/>
        </w:trPr>
        <w:tc>
          <w:tcPr>
            <w:tcW w:w="6940" w:type="dxa"/>
            <w:vAlign w:val="bottom"/>
          </w:tcPr>
          <w:p>
            <w:pPr>
              <w:spacing w:after="0"/>
              <w:rPr>
                <w:sz w:val="20"/>
                <w:szCs w:val="20"/>
                <w:color w:val="auto"/>
              </w:rPr>
            </w:pPr>
            <w:r>
              <w:rPr>
                <w:rFonts w:ascii="Arial" w:cs="Arial" w:eastAsia="Arial" w:hAnsi="Arial"/>
                <w:sz w:val="14"/>
                <w:szCs w:val="14"/>
                <w:color w:val="auto"/>
              </w:rPr>
              <w:t>At January 1, 2013</w:t>
            </w:r>
          </w:p>
        </w:tc>
        <w:tc>
          <w:tcPr>
            <w:tcW w:w="2040" w:type="dxa"/>
            <w:vAlign w:val="bottom"/>
          </w:tcPr>
          <w:p>
            <w:pPr>
              <w:jc w:val="right"/>
              <w:ind w:right="1090"/>
              <w:spacing w:after="0"/>
              <w:rPr>
                <w:sz w:val="20"/>
                <w:szCs w:val="20"/>
                <w:color w:val="auto"/>
              </w:rPr>
            </w:pPr>
            <w:r>
              <w:rPr>
                <w:rFonts w:ascii="Arial" w:cs="Arial" w:eastAsia="Arial" w:hAnsi="Arial"/>
                <w:sz w:val="14"/>
                <w:szCs w:val="14"/>
                <w:color w:val="auto"/>
              </w:rPr>
              <w:t>321</w:t>
            </w:r>
          </w:p>
        </w:tc>
        <w:tc>
          <w:tcPr>
            <w:tcW w:w="760" w:type="dxa"/>
            <w:vAlign w:val="bottom"/>
          </w:tcPr>
          <w:p>
            <w:pPr>
              <w:jc w:val="right"/>
              <w:ind w:right="29"/>
              <w:spacing w:after="0"/>
              <w:rPr>
                <w:sz w:val="20"/>
                <w:szCs w:val="20"/>
                <w:color w:val="auto"/>
              </w:rPr>
            </w:pPr>
            <w:r>
              <w:rPr>
                <w:rFonts w:ascii="Arial" w:cs="Arial" w:eastAsia="Arial" w:hAnsi="Arial"/>
                <w:sz w:val="14"/>
                <w:szCs w:val="14"/>
                <w:color w:val="auto"/>
              </w:rPr>
              <w:t>221</w:t>
            </w:r>
          </w:p>
        </w:tc>
        <w:tc>
          <w:tcPr>
            <w:tcW w:w="1680" w:type="dxa"/>
            <w:vAlign w:val="bottom"/>
          </w:tcPr>
          <w:p>
            <w:pPr>
              <w:jc w:val="right"/>
              <w:ind w:right="368"/>
              <w:spacing w:after="0"/>
              <w:rPr>
                <w:sz w:val="20"/>
                <w:szCs w:val="20"/>
                <w:color w:val="auto"/>
              </w:rPr>
            </w:pPr>
            <w:r>
              <w:rPr>
                <w:rFonts w:ascii="Arial" w:cs="Arial" w:eastAsia="Arial" w:hAnsi="Arial"/>
                <w:sz w:val="14"/>
                <w:szCs w:val="14"/>
                <w:color w:val="auto"/>
              </w:rPr>
              <w:t>542</w:t>
            </w:r>
          </w:p>
        </w:tc>
        <w:tc>
          <w:tcPr>
            <w:tcW w:w="0" w:type="dxa"/>
            <w:vAlign w:val="bottom"/>
          </w:tcPr>
          <w:p>
            <w:pPr>
              <w:spacing w:after="0"/>
              <w:rPr>
                <w:sz w:val="1"/>
                <w:szCs w:val="1"/>
                <w:color w:val="auto"/>
              </w:rPr>
            </w:pPr>
          </w:p>
        </w:tc>
      </w:tr>
      <w:tr>
        <w:trPr>
          <w:trHeight w:val="162"/>
        </w:trPr>
        <w:tc>
          <w:tcPr>
            <w:tcW w:w="6940" w:type="dxa"/>
            <w:vAlign w:val="bottom"/>
          </w:tcPr>
          <w:p>
            <w:pPr>
              <w:spacing w:after="0"/>
              <w:rPr>
                <w:sz w:val="20"/>
                <w:szCs w:val="20"/>
                <w:color w:val="auto"/>
              </w:rPr>
            </w:pPr>
            <w:r>
              <w:rPr>
                <w:rFonts w:ascii="Arial" w:cs="Arial" w:eastAsia="Arial" w:hAnsi="Arial"/>
                <w:sz w:val="14"/>
                <w:szCs w:val="14"/>
                <w:color w:val="auto"/>
              </w:rPr>
              <w:t>Scrip dividends</w:t>
            </w:r>
          </w:p>
        </w:tc>
        <w:tc>
          <w:tcPr>
            <w:tcW w:w="2040" w:type="dxa"/>
            <w:vAlign w:val="bottom"/>
          </w:tcPr>
          <w:p>
            <w:pPr>
              <w:jc w:val="right"/>
              <w:ind w:right="1090"/>
              <w:spacing w:after="0"/>
              <w:rPr>
                <w:sz w:val="20"/>
                <w:szCs w:val="20"/>
                <w:color w:val="auto"/>
              </w:rPr>
            </w:pPr>
            <w:r>
              <w:rPr>
                <w:rFonts w:ascii="Arial" w:cs="Arial" w:eastAsia="Arial" w:hAnsi="Arial"/>
                <w:sz w:val="14"/>
                <w:szCs w:val="14"/>
                <w:color w:val="auto"/>
              </w:rPr>
              <w:t>12</w:t>
            </w:r>
          </w:p>
        </w:tc>
        <w:tc>
          <w:tcPr>
            <w:tcW w:w="76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1680" w:type="dxa"/>
            <w:vAlign w:val="bottom"/>
          </w:tcPr>
          <w:p>
            <w:pPr>
              <w:jc w:val="right"/>
              <w:ind w:right="368"/>
              <w:spacing w:after="0"/>
              <w:rPr>
                <w:sz w:val="20"/>
                <w:szCs w:val="20"/>
                <w:color w:val="auto"/>
              </w:rPr>
            </w:pPr>
            <w:r>
              <w:rPr>
                <w:rFonts w:ascii="Arial" w:cs="Arial" w:eastAsia="Arial" w:hAnsi="Arial"/>
                <w:sz w:val="14"/>
                <w:szCs w:val="14"/>
                <w:color w:val="auto"/>
              </w:rPr>
              <w:t>12</w:t>
            </w:r>
          </w:p>
        </w:tc>
        <w:tc>
          <w:tcPr>
            <w:tcW w:w="0" w:type="dxa"/>
            <w:vAlign w:val="bottom"/>
          </w:tcPr>
          <w:p>
            <w:pPr>
              <w:spacing w:after="0"/>
              <w:rPr>
                <w:sz w:val="1"/>
                <w:szCs w:val="1"/>
                <w:color w:val="auto"/>
              </w:rPr>
            </w:pPr>
          </w:p>
        </w:tc>
      </w:tr>
      <w:tr>
        <w:trPr>
          <w:trHeight w:val="157"/>
        </w:trPr>
        <w:tc>
          <w:tcPr>
            <w:tcW w:w="6940" w:type="dxa"/>
            <w:vAlign w:val="bottom"/>
            <w:tcBorders>
              <w:bottom w:val="single" w:sz="8" w:color="auto"/>
            </w:tcBorders>
          </w:tcPr>
          <w:p>
            <w:pPr>
              <w:spacing w:after="0" w:line="157" w:lineRule="exact"/>
              <w:rPr>
                <w:sz w:val="20"/>
                <w:szCs w:val="20"/>
                <w:color w:val="auto"/>
              </w:rPr>
            </w:pPr>
            <w:r>
              <w:rPr>
                <w:rFonts w:ascii="Arial" w:cs="Arial" w:eastAsia="Arial" w:hAnsi="Arial"/>
                <w:sz w:val="14"/>
                <w:szCs w:val="14"/>
                <w:color w:val="auto"/>
              </w:rPr>
              <w:t>Repurchases of shares</w:t>
            </w:r>
          </w:p>
        </w:tc>
        <w:tc>
          <w:tcPr>
            <w:tcW w:w="2040" w:type="dxa"/>
            <w:vAlign w:val="bottom"/>
            <w:tcBorders>
              <w:bottom w:val="single" w:sz="8" w:color="auto"/>
            </w:tcBorders>
          </w:tcPr>
          <w:p>
            <w:pPr>
              <w:jc w:val="right"/>
              <w:ind w:right="1090"/>
              <w:spacing w:after="0" w:line="157" w:lineRule="exact"/>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tcPr>
          <w:p>
            <w:pPr>
              <w:jc w:val="right"/>
              <w:spacing w:after="0" w:line="157" w:lineRule="exact"/>
              <w:rPr>
                <w:sz w:val="20"/>
                <w:szCs w:val="20"/>
                <w:color w:val="auto"/>
              </w:rPr>
            </w:pPr>
            <w:r>
              <w:rPr>
                <w:rFonts w:ascii="Arial" w:cs="Arial" w:eastAsia="Arial" w:hAnsi="Arial"/>
                <w:sz w:val="14"/>
                <w:szCs w:val="14"/>
                <w:color w:val="auto"/>
              </w:rPr>
              <w:t>(12)</w:t>
            </w:r>
          </w:p>
        </w:tc>
        <w:tc>
          <w:tcPr>
            <w:tcW w:w="1680" w:type="dxa"/>
            <w:vAlign w:val="bottom"/>
            <w:tcBorders>
              <w:bottom w:val="single" w:sz="8" w:color="auto"/>
            </w:tcBorders>
          </w:tcPr>
          <w:p>
            <w:pPr>
              <w:jc w:val="right"/>
              <w:ind w:right="328"/>
              <w:spacing w:after="0" w:line="157" w:lineRule="exact"/>
              <w:rPr>
                <w:sz w:val="20"/>
                <w:szCs w:val="20"/>
                <w:color w:val="auto"/>
              </w:rPr>
            </w:pPr>
            <w:r>
              <w:rPr>
                <w:rFonts w:ascii="Arial" w:cs="Arial" w:eastAsia="Arial" w:hAnsi="Arial"/>
                <w:sz w:val="14"/>
                <w:szCs w:val="14"/>
                <w:color w:val="auto"/>
              </w:rPr>
              <w:t>(12)</w:t>
            </w:r>
          </w:p>
        </w:tc>
        <w:tc>
          <w:tcPr>
            <w:tcW w:w="0" w:type="dxa"/>
            <w:vAlign w:val="bottom"/>
          </w:tcPr>
          <w:p>
            <w:pPr>
              <w:spacing w:after="0"/>
              <w:rPr>
                <w:sz w:val="1"/>
                <w:szCs w:val="1"/>
                <w:color w:val="auto"/>
              </w:rPr>
            </w:pPr>
          </w:p>
        </w:tc>
      </w:tr>
      <w:tr>
        <w:trPr>
          <w:trHeight w:val="156"/>
        </w:trPr>
        <w:tc>
          <w:tcPr>
            <w:tcW w:w="6940" w:type="dxa"/>
            <w:vAlign w:val="bottom"/>
            <w:tcBorders>
              <w:bottom w:val="single" w:sz="8" w:color="auto"/>
            </w:tcBorders>
          </w:tcPr>
          <w:p>
            <w:pPr>
              <w:spacing w:after="0" w:line="155" w:lineRule="exact"/>
              <w:rPr>
                <w:sz w:val="20"/>
                <w:szCs w:val="20"/>
                <w:color w:val="auto"/>
              </w:rPr>
            </w:pPr>
            <w:r>
              <w:rPr>
                <w:rFonts w:ascii="Arial" w:cs="Arial" w:eastAsia="Arial" w:hAnsi="Arial"/>
                <w:sz w:val="14"/>
                <w:szCs w:val="14"/>
                <w:color w:val="auto"/>
              </w:rPr>
              <w:t>At December 31, 2013</w:t>
            </w:r>
          </w:p>
        </w:tc>
        <w:tc>
          <w:tcPr>
            <w:tcW w:w="2040" w:type="dxa"/>
            <w:vAlign w:val="bottom"/>
            <w:tcBorders>
              <w:bottom w:val="single" w:sz="8" w:color="auto"/>
            </w:tcBorders>
          </w:tcPr>
          <w:p>
            <w:pPr>
              <w:jc w:val="right"/>
              <w:ind w:right="1090"/>
              <w:spacing w:after="0" w:line="155" w:lineRule="exact"/>
              <w:rPr>
                <w:sz w:val="20"/>
                <w:szCs w:val="20"/>
                <w:color w:val="auto"/>
              </w:rPr>
            </w:pPr>
            <w:r>
              <w:rPr>
                <w:rFonts w:ascii="Arial" w:cs="Arial" w:eastAsia="Arial" w:hAnsi="Arial"/>
                <w:sz w:val="14"/>
                <w:szCs w:val="14"/>
                <w:color w:val="auto"/>
              </w:rPr>
              <w:t>333</w:t>
            </w:r>
          </w:p>
        </w:tc>
        <w:tc>
          <w:tcPr>
            <w:tcW w:w="760" w:type="dxa"/>
            <w:vAlign w:val="bottom"/>
            <w:tcBorders>
              <w:bottom w:val="single" w:sz="8" w:color="auto"/>
            </w:tcBorders>
          </w:tcPr>
          <w:p>
            <w:pPr>
              <w:jc w:val="right"/>
              <w:ind w:right="29"/>
              <w:spacing w:after="0" w:line="155" w:lineRule="exact"/>
              <w:rPr>
                <w:sz w:val="20"/>
                <w:szCs w:val="20"/>
                <w:color w:val="auto"/>
              </w:rPr>
            </w:pPr>
            <w:r>
              <w:rPr>
                <w:rFonts w:ascii="Arial" w:cs="Arial" w:eastAsia="Arial" w:hAnsi="Arial"/>
                <w:sz w:val="14"/>
                <w:szCs w:val="14"/>
                <w:color w:val="auto"/>
              </w:rPr>
              <w:t>209</w:t>
            </w:r>
          </w:p>
        </w:tc>
        <w:tc>
          <w:tcPr>
            <w:tcW w:w="1680" w:type="dxa"/>
            <w:vAlign w:val="bottom"/>
            <w:tcBorders>
              <w:bottom w:val="single" w:sz="8" w:color="auto"/>
            </w:tcBorders>
          </w:tcPr>
          <w:p>
            <w:pPr>
              <w:jc w:val="right"/>
              <w:ind w:right="368"/>
              <w:spacing w:after="0" w:line="155" w:lineRule="exact"/>
              <w:rPr>
                <w:sz w:val="20"/>
                <w:szCs w:val="20"/>
                <w:color w:val="auto"/>
              </w:rPr>
            </w:pPr>
            <w:r>
              <w:rPr>
                <w:rFonts w:ascii="Arial" w:cs="Arial" w:eastAsia="Arial" w:hAnsi="Arial"/>
                <w:sz w:val="14"/>
                <w:szCs w:val="14"/>
                <w:color w:val="auto"/>
              </w:rPr>
              <w:t>542</w:t>
            </w:r>
          </w:p>
        </w:tc>
        <w:tc>
          <w:tcPr>
            <w:tcW w:w="0" w:type="dxa"/>
            <w:vAlign w:val="bottom"/>
          </w:tcPr>
          <w:p>
            <w:pPr>
              <w:spacing w:after="0"/>
              <w:rPr>
                <w:sz w:val="1"/>
                <w:szCs w:val="1"/>
                <w:color w:val="auto"/>
              </w:rPr>
            </w:pPr>
          </w:p>
        </w:tc>
      </w:tr>
    </w:tbl>
    <w:p>
      <w:pPr>
        <w:spacing w:after="0" w:line="140" w:lineRule="exact"/>
        <w:rPr>
          <w:sz w:val="20"/>
          <w:szCs w:val="20"/>
          <w:color w:val="auto"/>
        </w:rPr>
      </w:pPr>
    </w:p>
    <w:p>
      <w:pPr>
        <w:spacing w:after="0"/>
        <w:rPr>
          <w:sz w:val="20"/>
          <w:szCs w:val="20"/>
          <w:color w:val="auto"/>
        </w:rPr>
      </w:pPr>
      <w:r>
        <w:rPr>
          <w:rFonts w:ascii="Arial" w:cs="Arial" w:eastAsia="Arial" w:hAnsi="Arial"/>
          <w:sz w:val="14"/>
          <w:szCs w:val="14"/>
          <w:color w:val="auto"/>
        </w:rPr>
        <w:t>The total nominal value of sterling deferred shares is less than $1 million.</w:t>
      </w:r>
    </w:p>
    <w:p>
      <w:pPr>
        <w:spacing w:after="0" w:line="177" w:lineRule="exact"/>
        <w:rPr>
          <w:sz w:val="20"/>
          <w:szCs w:val="20"/>
          <w:color w:val="auto"/>
        </w:rPr>
      </w:pPr>
    </w:p>
    <w:p>
      <w:pPr>
        <w:spacing w:after="0"/>
        <w:rPr>
          <w:sz w:val="20"/>
          <w:szCs w:val="20"/>
          <w:color w:val="auto"/>
        </w:rPr>
      </w:pPr>
      <w:r>
        <w:rPr>
          <w:rFonts w:ascii="Arial" w:cs="Arial" w:eastAsia="Arial" w:hAnsi="Arial"/>
          <w:sz w:val="14"/>
          <w:szCs w:val="14"/>
          <w:color w:val="auto"/>
        </w:rPr>
        <w:t>A and B shares repurchased in 2014 and 2013 under the Company’s share buyback programme were all cancelled.</w:t>
      </w:r>
    </w:p>
    <w:p>
      <w:pPr>
        <w:spacing w:after="0" w:line="177" w:lineRule="exact"/>
        <w:rPr>
          <w:sz w:val="20"/>
          <w:szCs w:val="20"/>
          <w:color w:val="auto"/>
        </w:rPr>
      </w:pPr>
    </w:p>
    <w:p>
      <w:pPr>
        <w:ind w:right="40"/>
        <w:spacing w:after="0" w:line="247" w:lineRule="auto"/>
        <w:rPr>
          <w:sz w:val="20"/>
          <w:szCs w:val="20"/>
          <w:color w:val="auto"/>
        </w:rPr>
      </w:pPr>
      <w:r>
        <w:rPr>
          <w:rFonts w:ascii="Arial" w:cs="Arial" w:eastAsia="Arial" w:hAnsi="Arial"/>
          <w:sz w:val="14"/>
          <w:szCs w:val="14"/>
          <w:color w:val="auto"/>
        </w:rPr>
        <w:t>At the Company’s Annual General Meeting (AGM) on May 20, 2014, the Board was authorised to allot ordinary shares in the Company and to grant rights to subscribe for or to convert any security into ordinary shares in the Company, up to an aggregate nominal amount of €147 million (representing 2,100 million ordinary shares of €0.07 each), and to list such shares or rights on any stock exchange. This authority expires at the earlier of the close of business on August 20, 2015, and the end of the AGM to be held in 2015, unless previously renewed, revoked or varied by the Company in a general meeting.</w:t>
      </w:r>
    </w:p>
    <w:p>
      <w:pPr>
        <w:spacing w:after="0" w:line="175" w:lineRule="exact"/>
        <w:rPr>
          <w:sz w:val="20"/>
          <w:szCs w:val="20"/>
          <w:color w:val="auto"/>
        </w:rPr>
      </w:pPr>
    </w:p>
    <w:p>
      <w:pPr>
        <w:ind w:right="100"/>
        <w:spacing w:after="0" w:line="250" w:lineRule="auto"/>
        <w:rPr>
          <w:sz w:val="20"/>
          <w:szCs w:val="20"/>
          <w:color w:val="auto"/>
        </w:rPr>
      </w:pPr>
      <w:r>
        <w:rPr>
          <w:rFonts w:ascii="Arial" w:cs="Arial" w:eastAsia="Arial" w:hAnsi="Arial"/>
          <w:sz w:val="14"/>
          <w:szCs w:val="14"/>
          <w:color w:val="auto"/>
        </w:rPr>
        <w:t>B shares rank pari passu in all respects with A shares except for the dividend access mechanism described below. The Company and Shell Transport can procure the termination of the dividend access mechanism at any time. Upon such termination, B shares will form one class with A shares ranking pari passu in all respects and A and B shares will be known as ordinary shares without further distinction.</w:t>
      </w:r>
    </w:p>
    <w:p>
      <w:pPr>
        <w:spacing w:after="0" w:line="159" w:lineRule="exact"/>
        <w:rPr>
          <w:sz w:val="20"/>
          <w:szCs w:val="20"/>
          <w:color w:val="auto"/>
        </w:rPr>
      </w:pPr>
    </w:p>
    <w:p>
      <w:pPr>
        <w:ind w:right="220"/>
        <w:spacing w:after="0" w:line="258" w:lineRule="auto"/>
        <w:rPr>
          <w:sz w:val="20"/>
          <w:szCs w:val="20"/>
          <w:color w:val="auto"/>
        </w:rPr>
      </w:pPr>
      <w:r>
        <w:rPr>
          <w:rFonts w:ascii="Arial" w:cs="Arial" w:eastAsia="Arial" w:hAnsi="Arial"/>
          <w:sz w:val="14"/>
          <w:szCs w:val="14"/>
          <w:color w:val="auto"/>
        </w:rPr>
        <w:t>The sterling deferred shares are redeemable only at the discretion of the Company for £1 each and carry no voting rights. There are no further rights to participate in profits or assets, including the right to receive dividends. Upon winding up or liquidation, the shares carry a right to repayment of paid-up nominal value, ranking ahead of A and B shares.</w:t>
      </w:r>
    </w:p>
    <w:p>
      <w:pPr>
        <w:spacing w:after="0" w:line="154" w:lineRule="exact"/>
        <w:rPr>
          <w:sz w:val="20"/>
          <w:szCs w:val="20"/>
          <w:color w:val="auto"/>
        </w:rPr>
      </w:pPr>
    </w:p>
    <w:p>
      <w:pPr>
        <w:ind w:right="400"/>
        <w:spacing w:after="0" w:line="258" w:lineRule="auto"/>
        <w:rPr>
          <w:sz w:val="20"/>
          <w:szCs w:val="20"/>
          <w:color w:val="auto"/>
        </w:rPr>
      </w:pPr>
      <w:r>
        <w:rPr>
          <w:rFonts w:ascii="Arial" w:cs="Arial" w:eastAsia="Arial" w:hAnsi="Arial"/>
          <w:sz w:val="14"/>
          <w:szCs w:val="14"/>
          <w:color w:val="auto"/>
        </w:rPr>
        <w:t>For information on the number of shares in the Company held by Shell employee share ownership trusts and trust-like entities to meet delivery commitments under employee share plans, refer to Note 21 to the Consolidated Financial Statements.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auto"/>
        </w:rPr>
        <w:t>Dividend access mechanism for B shares</w:t>
      </w:r>
    </w:p>
    <w:p>
      <w:pPr>
        <w:spacing w:after="0" w:line="162" w:lineRule="exact"/>
        <w:rPr>
          <w:sz w:val="20"/>
          <w:szCs w:val="20"/>
          <w:color w:val="auto"/>
        </w:rPr>
      </w:pPr>
    </w:p>
    <w:p>
      <w:pPr>
        <w:spacing w:after="0"/>
        <w:rPr>
          <w:sz w:val="20"/>
          <w:szCs w:val="20"/>
          <w:color w:val="auto"/>
        </w:rPr>
      </w:pPr>
      <w:r>
        <w:rPr>
          <w:rFonts w:ascii="Arial" w:cs="Arial" w:eastAsia="Arial" w:hAnsi="Arial"/>
          <w:sz w:val="13"/>
          <w:szCs w:val="13"/>
          <w:color w:val="auto"/>
        </w:rPr>
        <w:t>GENERAL</w:t>
      </w:r>
    </w:p>
    <w:p>
      <w:pPr>
        <w:spacing w:after="0"/>
        <w:rPr>
          <w:sz w:val="20"/>
          <w:szCs w:val="20"/>
          <w:color w:val="auto"/>
        </w:rPr>
      </w:pPr>
      <w:r>
        <w:rPr>
          <w:rFonts w:ascii="Arial" w:cs="Arial" w:eastAsia="Arial" w:hAnsi="Arial"/>
          <w:sz w:val="14"/>
          <w:szCs w:val="14"/>
          <w:color w:val="auto"/>
        </w:rPr>
        <w:t>Dividends paid on A shares have a Dutch source for tax purposes and are subject to Dutch withholding tax.</w:t>
      </w:r>
    </w:p>
    <w:p>
      <w:pPr>
        <w:spacing w:after="0" w:line="177" w:lineRule="exact"/>
        <w:rPr>
          <w:sz w:val="20"/>
          <w:szCs w:val="20"/>
          <w:color w:val="auto"/>
        </w:rPr>
      </w:pPr>
    </w:p>
    <w:p>
      <w:pPr>
        <w:jc w:val="both"/>
        <w:ind w:right="40"/>
        <w:spacing w:after="0" w:line="250" w:lineRule="auto"/>
        <w:rPr>
          <w:sz w:val="20"/>
          <w:szCs w:val="20"/>
          <w:color w:val="auto"/>
        </w:rPr>
      </w:pPr>
      <w:r>
        <w:rPr>
          <w:rFonts w:ascii="Arial" w:cs="Arial" w:eastAsia="Arial" w:hAnsi="Arial"/>
          <w:sz w:val="14"/>
          <w:szCs w:val="14"/>
          <w:color w:val="auto"/>
        </w:rPr>
        <w:t>It is the expectation and the intention, although there can be no certainty, that holders of B shares will receive dividends via the dividend access mechanism. Any dividends paid on the dividend access share will have a UK source for Dutch and UK tax purposes; there will be no UK or Dutch withholding tax on such dividends and certain holders (not including US holders) of B shares or B American Depositary Shares (ADSs) will be entitled to a UK tax credit in respect of their proportional share of such dividends.</w:t>
      </w:r>
    </w:p>
    <w:p>
      <w:pPr>
        <w:spacing w:after="0" w:line="158" w:lineRule="exact"/>
        <w:rPr>
          <w:sz w:val="20"/>
          <w:szCs w:val="20"/>
          <w:color w:val="auto"/>
        </w:rPr>
      </w:pPr>
    </w:p>
    <w:p>
      <w:pPr>
        <w:spacing w:after="0"/>
        <w:rPr>
          <w:sz w:val="20"/>
          <w:szCs w:val="20"/>
          <w:color w:val="auto"/>
        </w:rPr>
      </w:pPr>
      <w:r>
        <w:rPr>
          <w:rFonts w:ascii="Arial" w:cs="Arial" w:eastAsia="Arial" w:hAnsi="Arial"/>
          <w:sz w:val="13"/>
          <w:szCs w:val="13"/>
          <w:color w:val="auto"/>
        </w:rPr>
        <w:t>DESCRIPTION OF DIVIDEND ACCESS MECHANISM</w:t>
      </w:r>
    </w:p>
    <w:p>
      <w:pPr>
        <w:spacing w:after="0" w:line="245" w:lineRule="auto"/>
        <w:rPr>
          <w:sz w:val="20"/>
          <w:szCs w:val="20"/>
          <w:color w:val="auto"/>
        </w:rPr>
      </w:pPr>
      <w:r>
        <w:rPr>
          <w:rFonts w:ascii="Arial" w:cs="Arial" w:eastAsia="Arial" w:hAnsi="Arial"/>
          <w:sz w:val="14"/>
          <w:szCs w:val="14"/>
          <w:color w:val="auto"/>
        </w:rPr>
        <w:t>A dividend access share has been issued by Shell Transport to Computershare Trustees (Jersey) Limited as dividend access trustee (the Trustee). Pursuant to a declaration of trust, the Trustee will hold any dividends paid in respect of the dividend access share on trust for the holders of B shares from time to time and will arrange for prompt disbursement of such dividends to holders of B shares. Interest and other income earned on unclaimed dividends will be for the account of Shell Transport and any dividends that are unclaimed after 12 years will revert to Shell Transport. Holders of B shares will not have any interest in the dividend access share and will not have any rights against Shell Transport as issuer of the dividend access share. The only assets held on trust for the benefit of the holders of B shares will be dividends paid to the Trustee in respect of the dividend access share.</w:t>
      </w:r>
    </w:p>
    <w:p>
      <w:pPr>
        <w:spacing w:after="0" w:line="326" w:lineRule="exact"/>
        <w:rPr>
          <w:sz w:val="20"/>
          <w:szCs w:val="20"/>
          <w:color w:val="auto"/>
        </w:rPr>
      </w:pPr>
    </w:p>
    <w:p>
      <w:pPr>
        <w:ind w:right="40"/>
        <w:spacing w:after="0" w:line="250" w:lineRule="auto"/>
        <w:rPr>
          <w:sz w:val="20"/>
          <w:szCs w:val="20"/>
          <w:color w:val="auto"/>
        </w:rPr>
      </w:pPr>
      <w:r>
        <w:rPr>
          <w:rFonts w:ascii="Arial" w:cs="Arial" w:eastAsia="Arial" w:hAnsi="Arial"/>
          <w:sz w:val="14"/>
          <w:szCs w:val="14"/>
          <w:color w:val="auto"/>
        </w:rPr>
        <w:t>The declaration and payment of dividends on the dividend access share will require Board action by Shell Transport and will be subject to any applicable legal or articles limitations in effect from time to time. In no event will the aggregate amount of the dividend paid by Shell Transport under the dividend access mechanism for a particular period exceed the aggregate amount of the dividend declared by the Company’s Board on B shares in respect of the same period.</w:t>
      </w:r>
    </w:p>
    <w:p>
      <w:pPr>
        <w:spacing w:after="0" w:line="144" w:lineRule="exact"/>
        <w:rPr>
          <w:sz w:val="20"/>
          <w:szCs w:val="20"/>
          <w:color w:val="auto"/>
        </w:rPr>
      </w:pPr>
    </w:p>
    <w:p>
      <w:pPr>
        <w:spacing w:after="0"/>
        <w:rPr>
          <w:sz w:val="20"/>
          <w:szCs w:val="20"/>
          <w:color w:val="auto"/>
        </w:rPr>
      </w:pPr>
      <w:r>
        <w:rPr>
          <w:rFonts w:ascii="Arial" w:cs="Arial" w:eastAsia="Arial" w:hAnsi="Arial"/>
          <w:sz w:val="13"/>
          <w:szCs w:val="13"/>
          <w:color w:val="auto"/>
        </w:rPr>
        <w:t>OPERATION OF THE DIVIDEND ACCESS MECHANISM</w:t>
      </w:r>
    </w:p>
    <w:p>
      <w:pPr>
        <w:jc w:val="both"/>
        <w:ind w:right="80"/>
        <w:spacing w:after="0" w:line="250" w:lineRule="auto"/>
        <w:rPr>
          <w:sz w:val="20"/>
          <w:szCs w:val="20"/>
          <w:color w:val="auto"/>
        </w:rPr>
      </w:pPr>
      <w:r>
        <w:rPr>
          <w:rFonts w:ascii="Arial" w:cs="Arial" w:eastAsia="Arial" w:hAnsi="Arial"/>
          <w:sz w:val="14"/>
          <w:szCs w:val="14"/>
          <w:color w:val="auto"/>
        </w:rPr>
        <w:t>If, in connection with the declaration of a dividend by the Company on B shares, the Board of Shell Transport elects to declare and pay a dividend on the dividend access share to the Trustee, the holders of B shares will be beneficially entitled to receive their share of that dividend pursuant to the declaration of trust (and arrangements will be made to ensure that the dividend is paid in the same currency in which they would have received a dividend from the Company).</w:t>
      </w:r>
    </w:p>
    <w:p>
      <w:pPr>
        <w:sectPr>
          <w:pgSz w:w="11900" w:h="16838" w:orient="portrait"/>
          <w:cols w:equalWidth="0" w:num="1">
            <w:col w:w="11420"/>
          </w:cols>
          <w:pgMar w:left="240" w:top="459" w:right="239" w:bottom="1440" w:gutter="0" w:footer="0" w:header="0"/>
        </w:sectPr>
      </w:pPr>
    </w:p>
    <w:bookmarkStart w:id="170" w:name="page171"/>
    <w:bookmarkEnd w:id="1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6428105</wp:posOffset>
            </wp:positionH>
            <wp:positionV relativeFrom="paragraph">
              <wp:posOffset>300355</wp:posOffset>
            </wp:positionV>
            <wp:extent cx="8890" cy="462915"/>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16">
                      <a:extLst>
                        <a:ext uri="{28A0092B-C50C-407E-A947-70E740481C1C}"/>
                      </a:extLst>
                    </a:blip>
                    <a:srcRect/>
                    <a:stretch>
                      <a:fillRect/>
                    </a:stretch>
                  </pic:blipFill>
                  <pic:spPr bwMode="auto">
                    <a:xfrm>
                      <a:off x="0" y="0"/>
                      <a:ext cx="8890" cy="462915"/>
                    </a:xfrm>
                    <a:prstGeom prst="rect">
                      <a:avLst/>
                    </a:prstGeom>
                    <a:noFill/>
                  </pic:spPr>
                </pic:pic>
              </a:graphicData>
            </a:graphic>
          </wp:anchor>
        </w:drawing>
      </w:r>
    </w:p>
    <w:p>
      <w:pPr>
        <w:spacing w:after="0" w:line="200" w:lineRule="exact"/>
        <w:rPr>
          <w:sz w:val="20"/>
          <w:szCs w:val="20"/>
          <w:color w:val="auto"/>
        </w:rPr>
      </w:pP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565"/>
        </w:trPr>
        <w:tc>
          <w:tcPr>
            <w:tcW w:w="5600" w:type="dxa"/>
            <w:vAlign w:val="bottom"/>
          </w:tcPr>
          <w:p>
            <w:pPr>
              <w:spacing w:after="0"/>
              <w:rPr>
                <w:sz w:val="24"/>
                <w:szCs w:val="24"/>
                <w:color w:val="auto"/>
              </w:rPr>
            </w:pPr>
          </w:p>
        </w:tc>
        <w:tc>
          <w:tcPr>
            <w:tcW w:w="4440" w:type="dxa"/>
            <w:vAlign w:val="bottom"/>
            <w:shd w:val="clear" w:color="auto" w:fill="FF8B00"/>
          </w:tcPr>
          <w:p>
            <w:pPr>
              <w:ind w:left="880"/>
              <w:spacing w:after="0"/>
              <w:rPr>
                <w:sz w:val="20"/>
                <w:szCs w:val="20"/>
                <w:color w:val="auto"/>
              </w:rPr>
            </w:pPr>
            <w:r>
              <w:rPr>
                <w:rFonts w:ascii="Arial" w:cs="Arial" w:eastAsia="Arial" w:hAnsi="Arial"/>
                <w:sz w:val="13"/>
                <w:szCs w:val="13"/>
                <w:color w:val="333333"/>
              </w:rPr>
              <w:t>FINANCIAL STATEMENTS AND SUPPLEMENTS</w:t>
            </w:r>
          </w:p>
        </w:tc>
        <w:tc>
          <w:tcPr>
            <w:tcW w:w="1380" w:type="dxa"/>
            <w:vAlign w:val="bottom"/>
            <w:shd w:val="clear" w:color="auto" w:fill="FF8B00"/>
          </w:tcPr>
          <w:p>
            <w:pPr>
              <w:jc w:val="right"/>
              <w:ind w:right="366"/>
              <w:spacing w:after="0"/>
              <w:rPr>
                <w:sz w:val="20"/>
                <w:szCs w:val="20"/>
                <w:color w:val="auto"/>
              </w:rPr>
            </w:pPr>
            <w:r>
              <w:rPr>
                <w:rFonts w:ascii="Arial" w:cs="Arial" w:eastAsia="Arial" w:hAnsi="Arial"/>
                <w:sz w:val="11"/>
                <w:szCs w:val="11"/>
                <w:b w:val="1"/>
                <w:bCs w:val="1"/>
                <w:color w:val="333333"/>
              </w:rPr>
              <w:t>169</w:t>
            </w:r>
          </w:p>
        </w:tc>
        <w:tc>
          <w:tcPr>
            <w:tcW w:w="0" w:type="dxa"/>
            <w:vAlign w:val="bottom"/>
          </w:tcPr>
          <w:p>
            <w:pPr>
              <w:spacing w:after="0"/>
              <w:rPr>
                <w:sz w:val="1"/>
                <w:szCs w:val="1"/>
                <w:color w:val="auto"/>
              </w:rPr>
            </w:pPr>
          </w:p>
        </w:tc>
      </w:tr>
      <w:tr>
        <w:trPr>
          <w:trHeight w:val="165"/>
        </w:trPr>
        <w:tc>
          <w:tcPr>
            <w:tcW w:w="5600" w:type="dxa"/>
            <w:vAlign w:val="bottom"/>
            <w:vMerge w:val="restart"/>
          </w:tcPr>
          <w:p>
            <w:pPr>
              <w:spacing w:after="0"/>
              <w:rPr>
                <w:sz w:val="20"/>
                <w:szCs w:val="20"/>
                <w:color w:val="auto"/>
              </w:rPr>
            </w:pPr>
            <w:r>
              <w:rPr>
                <w:rFonts w:ascii="Arial" w:cs="Arial" w:eastAsia="Arial" w:hAnsi="Arial"/>
                <w:sz w:val="11"/>
                <w:szCs w:val="11"/>
                <w:color w:val="auto"/>
              </w:rPr>
              <w:t>SHELL ANNUAL REPORT AND FORM 20-F 2014</w:t>
            </w:r>
          </w:p>
        </w:tc>
        <w:tc>
          <w:tcPr>
            <w:tcW w:w="4440" w:type="dxa"/>
            <w:vAlign w:val="bottom"/>
            <w:shd w:val="clear" w:color="auto" w:fill="FF8B00"/>
          </w:tcPr>
          <w:p>
            <w:pPr>
              <w:spacing w:after="0"/>
              <w:rPr>
                <w:sz w:val="14"/>
                <w:szCs w:val="14"/>
                <w:color w:val="auto"/>
              </w:rPr>
            </w:pPr>
          </w:p>
        </w:tc>
        <w:tc>
          <w:tcPr>
            <w:tcW w:w="1380" w:type="dxa"/>
            <w:vAlign w:val="bottom"/>
            <w:shd w:val="clear" w:color="auto" w:fill="FF8B00"/>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5600" w:type="dxa"/>
            <w:vAlign w:val="bottom"/>
            <w:vMerge w:val="continue"/>
          </w:tcPr>
          <w:p>
            <w:pPr>
              <w:spacing w:after="0"/>
              <w:rPr>
                <w:sz w:val="10"/>
                <w:szCs w:val="10"/>
                <w:color w:val="auto"/>
              </w:rPr>
            </w:pPr>
          </w:p>
        </w:tc>
        <w:tc>
          <w:tcPr>
            <w:tcW w:w="4440" w:type="dxa"/>
            <w:vAlign w:val="bottom"/>
          </w:tcPr>
          <w:p>
            <w:pPr>
              <w:ind w:left="880"/>
              <w:spacing w:after="0"/>
              <w:rPr>
                <w:sz w:val="20"/>
                <w:szCs w:val="20"/>
                <w:color w:val="auto"/>
              </w:rPr>
            </w:pPr>
            <w:r>
              <w:rPr>
                <w:rFonts w:ascii="Arial" w:cs="Arial" w:eastAsia="Arial" w:hAnsi="Arial"/>
                <w:sz w:val="11"/>
                <w:szCs w:val="11"/>
                <w:color w:val="auto"/>
              </w:rPr>
              <w:t>PARENT COMPANY FINANCIAL STATEMENTS</w:t>
            </w:r>
          </w:p>
        </w:tc>
        <w:tc>
          <w:tcPr>
            <w:tcW w:w="1380" w:type="dxa"/>
            <w:vAlign w:val="bottom"/>
          </w:tcPr>
          <w:p>
            <w:pPr>
              <w:spacing w:after="0"/>
              <w:rPr>
                <w:sz w:val="10"/>
                <w:szCs w:val="10"/>
                <w:color w:val="auto"/>
              </w:rPr>
            </w:pPr>
          </w:p>
        </w:tc>
        <w:tc>
          <w:tcPr>
            <w:tcW w:w="0" w:type="dxa"/>
            <w:vAlign w:val="bottom"/>
          </w:tcPr>
          <w:p>
            <w:pPr>
              <w:spacing w:after="0"/>
              <w:rPr>
                <w:sz w:val="1"/>
                <w:szCs w:val="1"/>
                <w:color w:val="auto"/>
              </w:rPr>
            </w:pPr>
          </w:p>
        </w:tc>
      </w:tr>
    </w:tbl>
    <w:p>
      <w:pPr>
        <w:ind w:right="280"/>
        <w:spacing w:after="0" w:line="258" w:lineRule="auto"/>
        <w:rPr>
          <w:sz w:val="20"/>
          <w:szCs w:val="20"/>
          <w:color w:val="auto"/>
        </w:rPr>
      </w:pPr>
      <w:r>
        <w:rPr>
          <w:rFonts w:ascii="Arial" w:cs="Arial" w:eastAsia="Arial" w:hAnsi="Arial"/>
          <w:sz w:val="14"/>
          <w:szCs w:val="14"/>
          <w:color w:val="auto"/>
        </w:rPr>
        <w:t>If any amount is paid by Shell Transport by way of a dividend on the dividend access share and paid by the Trustee to any holder of B shares, the dividend which the Company would otherwise pay on B shares will be reduced by an amount equal to the amount paid to such holders of B shares by the Trustee.</w:t>
      </w:r>
    </w:p>
    <w:p>
      <w:pPr>
        <w:spacing w:after="0" w:line="167" w:lineRule="exact"/>
        <w:rPr>
          <w:sz w:val="20"/>
          <w:szCs w:val="20"/>
          <w:color w:val="auto"/>
        </w:rPr>
      </w:pPr>
    </w:p>
    <w:p>
      <w:pPr>
        <w:jc w:val="both"/>
        <w:ind w:right="160"/>
        <w:spacing w:after="0" w:line="250" w:lineRule="auto"/>
        <w:rPr>
          <w:sz w:val="20"/>
          <w:szCs w:val="20"/>
          <w:color w:val="auto"/>
        </w:rPr>
      </w:pPr>
      <w:r>
        <w:rPr>
          <w:rFonts w:ascii="Arial" w:cs="Arial" w:eastAsia="Arial" w:hAnsi="Arial"/>
          <w:sz w:val="14"/>
          <w:szCs w:val="14"/>
          <w:color w:val="auto"/>
        </w:rPr>
        <w:t>The Company will have a full and unconditional obligation, in the event that the Trustee does not pay an amount to holders of B shares on a cash dividend payment date (even if that amount has been paid to the Trustee), to pay immediately the dividend declared on B shares. The right of holders of B shares to receive distributions from the Trustee will be reduced by an amount equal to the amount of any payment actually made by the Company on account of any dividend on B shares.</w:t>
      </w:r>
    </w:p>
    <w:p>
      <w:pPr>
        <w:spacing w:after="0" w:line="159" w:lineRule="exact"/>
        <w:rPr>
          <w:sz w:val="20"/>
          <w:szCs w:val="20"/>
          <w:color w:val="auto"/>
        </w:rPr>
      </w:pPr>
    </w:p>
    <w:p>
      <w:pPr>
        <w:ind w:right="100"/>
        <w:spacing w:after="0" w:line="258" w:lineRule="auto"/>
        <w:rPr>
          <w:sz w:val="20"/>
          <w:szCs w:val="20"/>
          <w:color w:val="auto"/>
        </w:rPr>
      </w:pPr>
      <w:r>
        <w:rPr>
          <w:rFonts w:ascii="Arial" w:cs="Arial" w:eastAsia="Arial" w:hAnsi="Arial"/>
          <w:sz w:val="14"/>
          <w:szCs w:val="14"/>
          <w:color w:val="auto"/>
        </w:rPr>
        <w:t>The dividend access mechanism may be suspended or terminated at any time by the Company’s Directors or the Directors of Shell Transport, for any reason and without financial recompense. This might, for instance, occur in response to changes in relevant tax legislation.</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11 OTHER RESERVES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3240" w:type="dxa"/>
            <w:vAlign w:val="bottom"/>
            <w:shd w:val="clear" w:color="auto" w:fill="333333"/>
          </w:tcPr>
          <w:p>
            <w:pPr>
              <w:spacing w:after="0"/>
              <w:rPr>
                <w:sz w:val="14"/>
                <w:szCs w:val="14"/>
                <w:color w:val="auto"/>
              </w:rPr>
            </w:pPr>
          </w:p>
        </w:tc>
        <w:tc>
          <w:tcPr>
            <w:tcW w:w="2400" w:type="dxa"/>
            <w:vAlign w:val="bottom"/>
            <w:shd w:val="clear" w:color="auto" w:fill="333333"/>
          </w:tcPr>
          <w:p>
            <w:pPr>
              <w:spacing w:after="0"/>
              <w:rPr>
                <w:sz w:val="14"/>
                <w:szCs w:val="14"/>
                <w:color w:val="auto"/>
              </w:rPr>
            </w:pPr>
          </w:p>
        </w:tc>
        <w:tc>
          <w:tcPr>
            <w:tcW w:w="1560" w:type="dxa"/>
            <w:vAlign w:val="bottom"/>
            <w:shd w:val="clear" w:color="auto" w:fill="333333"/>
          </w:tcPr>
          <w:p>
            <w:pPr>
              <w:spacing w:after="0"/>
              <w:rPr>
                <w:sz w:val="14"/>
                <w:szCs w:val="14"/>
                <w:color w:val="auto"/>
              </w:rPr>
            </w:pPr>
          </w:p>
        </w:tc>
        <w:tc>
          <w:tcPr>
            <w:tcW w:w="1760" w:type="dxa"/>
            <w:vAlign w:val="bottom"/>
            <w:shd w:val="clear" w:color="auto" w:fill="333333"/>
          </w:tcPr>
          <w:p>
            <w:pPr>
              <w:spacing w:after="0"/>
              <w:rPr>
                <w:sz w:val="14"/>
                <w:szCs w:val="14"/>
                <w:color w:val="auto"/>
              </w:rPr>
            </w:pPr>
          </w:p>
        </w:tc>
        <w:tc>
          <w:tcPr>
            <w:tcW w:w="1200" w:type="dxa"/>
            <w:vAlign w:val="bottom"/>
            <w:shd w:val="clear" w:color="auto" w:fill="333333"/>
          </w:tcPr>
          <w:p>
            <w:pPr>
              <w:spacing w:after="0"/>
              <w:rPr>
                <w:sz w:val="14"/>
                <w:szCs w:val="14"/>
                <w:color w:val="auto"/>
              </w:rPr>
            </w:pPr>
          </w:p>
        </w:tc>
        <w:tc>
          <w:tcPr>
            <w:tcW w:w="1260" w:type="dxa"/>
            <w:vAlign w:val="bottom"/>
            <w:shd w:val="clear" w:color="auto" w:fill="333333"/>
          </w:tcPr>
          <w:p>
            <w:pPr>
              <w:jc w:val="right"/>
              <w:ind w:right="268"/>
              <w:spacing w:after="0"/>
              <w:rPr>
                <w:sz w:val="20"/>
                <w:szCs w:val="20"/>
                <w:color w:val="auto"/>
              </w:rPr>
            </w:pPr>
            <w:r>
              <w:rPr>
                <w:rFonts w:ascii="Arial" w:cs="Arial" w:eastAsia="Arial" w:hAnsi="Arial"/>
                <w:sz w:val="15"/>
                <w:szCs w:val="15"/>
                <w:color w:val="FFFFFF"/>
              </w:rPr>
              <w:t>$ MILLION</w:t>
            </w:r>
          </w:p>
        </w:tc>
      </w:tr>
      <w:tr>
        <w:trPr>
          <w:trHeight w:val="129"/>
        </w:trPr>
        <w:tc>
          <w:tcPr>
            <w:tcW w:w="3240" w:type="dxa"/>
            <w:vAlign w:val="bottom"/>
          </w:tcPr>
          <w:p>
            <w:pPr>
              <w:spacing w:after="0"/>
              <w:rPr>
                <w:sz w:val="11"/>
                <w:szCs w:val="11"/>
                <w:color w:val="auto"/>
              </w:rPr>
            </w:pPr>
          </w:p>
        </w:tc>
        <w:tc>
          <w:tcPr>
            <w:tcW w:w="2400" w:type="dxa"/>
            <w:vAlign w:val="bottom"/>
          </w:tcPr>
          <w:p>
            <w:pPr>
              <w:jc w:val="right"/>
              <w:ind w:right="330"/>
              <w:spacing w:after="0" w:line="129" w:lineRule="exact"/>
              <w:rPr>
                <w:sz w:val="20"/>
                <w:szCs w:val="20"/>
                <w:color w:val="auto"/>
              </w:rPr>
            </w:pPr>
            <w:r>
              <w:rPr>
                <w:rFonts w:ascii="Arial" w:cs="Arial" w:eastAsia="Arial" w:hAnsi="Arial"/>
                <w:sz w:val="13"/>
                <w:szCs w:val="13"/>
                <w:color w:val="auto"/>
              </w:rPr>
              <w:t>Merger</w:t>
            </w:r>
          </w:p>
        </w:tc>
        <w:tc>
          <w:tcPr>
            <w:tcW w:w="1560" w:type="dxa"/>
            <w:vAlign w:val="bottom"/>
          </w:tcPr>
          <w:p>
            <w:pPr>
              <w:jc w:val="right"/>
              <w:ind w:right="310"/>
              <w:spacing w:after="0" w:line="129" w:lineRule="exact"/>
              <w:rPr>
                <w:sz w:val="20"/>
                <w:szCs w:val="20"/>
                <w:color w:val="auto"/>
              </w:rPr>
            </w:pPr>
            <w:r>
              <w:rPr>
                <w:rFonts w:ascii="Arial" w:cs="Arial" w:eastAsia="Arial" w:hAnsi="Arial"/>
                <w:sz w:val="13"/>
                <w:szCs w:val="13"/>
                <w:color w:val="auto"/>
              </w:rPr>
              <w:t>Share premium</w:t>
            </w:r>
          </w:p>
        </w:tc>
        <w:tc>
          <w:tcPr>
            <w:tcW w:w="1760" w:type="dxa"/>
            <w:vAlign w:val="bottom"/>
          </w:tcPr>
          <w:p>
            <w:pPr>
              <w:jc w:val="right"/>
              <w:ind w:right="270"/>
              <w:spacing w:after="0" w:line="129" w:lineRule="exact"/>
              <w:rPr>
                <w:sz w:val="20"/>
                <w:szCs w:val="20"/>
                <w:color w:val="auto"/>
              </w:rPr>
            </w:pPr>
            <w:r>
              <w:rPr>
                <w:rFonts w:ascii="Arial" w:cs="Arial" w:eastAsia="Arial" w:hAnsi="Arial"/>
                <w:sz w:val="13"/>
                <w:szCs w:val="13"/>
                <w:color w:val="auto"/>
              </w:rPr>
              <w:t>Capital redemption</w:t>
            </w:r>
          </w:p>
        </w:tc>
        <w:tc>
          <w:tcPr>
            <w:tcW w:w="1200" w:type="dxa"/>
            <w:vAlign w:val="bottom"/>
          </w:tcPr>
          <w:p>
            <w:pPr>
              <w:jc w:val="right"/>
              <w:ind w:right="150"/>
              <w:spacing w:after="0" w:line="129" w:lineRule="exact"/>
              <w:rPr>
                <w:sz w:val="20"/>
                <w:szCs w:val="20"/>
                <w:color w:val="auto"/>
              </w:rPr>
            </w:pPr>
            <w:r>
              <w:rPr>
                <w:rFonts w:ascii="Arial" w:cs="Arial" w:eastAsia="Arial" w:hAnsi="Arial"/>
                <w:sz w:val="13"/>
                <w:szCs w:val="13"/>
                <w:color w:val="auto"/>
              </w:rPr>
              <w:t>Share plan</w:t>
            </w:r>
          </w:p>
        </w:tc>
        <w:tc>
          <w:tcPr>
            <w:tcW w:w="1260" w:type="dxa"/>
            <w:vAlign w:val="bottom"/>
          </w:tcPr>
          <w:p>
            <w:pPr>
              <w:spacing w:after="0"/>
              <w:rPr>
                <w:sz w:val="11"/>
                <w:szCs w:val="11"/>
                <w:color w:val="auto"/>
              </w:rPr>
            </w:pPr>
          </w:p>
        </w:tc>
      </w:tr>
      <w:tr>
        <w:trPr>
          <w:trHeight w:val="155"/>
        </w:trPr>
        <w:tc>
          <w:tcPr>
            <w:tcW w:w="3240" w:type="dxa"/>
            <w:vAlign w:val="bottom"/>
            <w:tcBorders>
              <w:bottom w:val="single" w:sz="8" w:color="auto"/>
            </w:tcBorders>
          </w:tcPr>
          <w:p>
            <w:pPr>
              <w:spacing w:after="0"/>
              <w:rPr>
                <w:sz w:val="13"/>
                <w:szCs w:val="13"/>
                <w:color w:val="auto"/>
              </w:rPr>
            </w:pPr>
          </w:p>
        </w:tc>
        <w:tc>
          <w:tcPr>
            <w:tcW w:w="2400" w:type="dxa"/>
            <w:vAlign w:val="bottom"/>
            <w:tcBorders>
              <w:bottom w:val="single" w:sz="8" w:color="auto"/>
            </w:tcBorders>
          </w:tcPr>
          <w:p>
            <w:pPr>
              <w:jc w:val="right"/>
              <w:ind w:right="330"/>
              <w:spacing w:after="0"/>
              <w:rPr>
                <w:sz w:val="20"/>
                <w:szCs w:val="20"/>
                <w:color w:val="auto"/>
              </w:rPr>
            </w:pPr>
            <w:r>
              <w:rPr>
                <w:rFonts w:ascii="Arial" w:cs="Arial" w:eastAsia="Arial" w:hAnsi="Arial"/>
                <w:sz w:val="13"/>
                <w:szCs w:val="13"/>
                <w:color w:val="auto"/>
              </w:rPr>
              <w:t>reserve</w:t>
            </w:r>
          </w:p>
        </w:tc>
        <w:tc>
          <w:tcPr>
            <w:tcW w:w="1560" w:type="dxa"/>
            <w:vAlign w:val="bottom"/>
            <w:tcBorders>
              <w:bottom w:val="single" w:sz="8" w:color="auto"/>
            </w:tcBorders>
          </w:tcPr>
          <w:p>
            <w:pPr>
              <w:jc w:val="right"/>
              <w:ind w:right="310"/>
              <w:spacing w:after="0"/>
              <w:rPr>
                <w:sz w:val="20"/>
                <w:szCs w:val="20"/>
                <w:color w:val="auto"/>
              </w:rPr>
            </w:pPr>
            <w:r>
              <w:rPr>
                <w:rFonts w:ascii="Arial" w:cs="Arial" w:eastAsia="Arial" w:hAnsi="Arial"/>
                <w:sz w:val="13"/>
                <w:szCs w:val="13"/>
                <w:color w:val="auto"/>
              </w:rPr>
              <w:t>reserve</w:t>
            </w:r>
          </w:p>
        </w:tc>
        <w:tc>
          <w:tcPr>
            <w:tcW w:w="1760" w:type="dxa"/>
            <w:vAlign w:val="bottom"/>
            <w:tcBorders>
              <w:bottom w:val="single" w:sz="8" w:color="auto"/>
            </w:tcBorders>
          </w:tcPr>
          <w:p>
            <w:pPr>
              <w:jc w:val="right"/>
              <w:ind w:right="270"/>
              <w:spacing w:after="0"/>
              <w:rPr>
                <w:sz w:val="20"/>
                <w:szCs w:val="20"/>
                <w:color w:val="auto"/>
              </w:rPr>
            </w:pPr>
            <w:r>
              <w:rPr>
                <w:rFonts w:ascii="Arial" w:cs="Arial" w:eastAsia="Arial" w:hAnsi="Arial"/>
                <w:sz w:val="13"/>
                <w:szCs w:val="13"/>
                <w:color w:val="auto"/>
              </w:rPr>
              <w:t>reserve</w:t>
            </w:r>
          </w:p>
        </w:tc>
        <w:tc>
          <w:tcPr>
            <w:tcW w:w="1200" w:type="dxa"/>
            <w:vAlign w:val="bottom"/>
            <w:tcBorders>
              <w:bottom w:val="single" w:sz="8" w:color="auto"/>
            </w:tcBorders>
          </w:tcPr>
          <w:p>
            <w:pPr>
              <w:jc w:val="right"/>
              <w:ind w:right="150"/>
              <w:spacing w:after="0"/>
              <w:rPr>
                <w:sz w:val="20"/>
                <w:szCs w:val="20"/>
                <w:color w:val="auto"/>
              </w:rPr>
            </w:pPr>
            <w:r>
              <w:rPr>
                <w:rFonts w:ascii="Arial" w:cs="Arial" w:eastAsia="Arial" w:hAnsi="Arial"/>
                <w:sz w:val="13"/>
                <w:szCs w:val="13"/>
                <w:color w:val="auto"/>
              </w:rPr>
              <w:t>reserve</w:t>
            </w:r>
          </w:p>
        </w:tc>
        <w:tc>
          <w:tcPr>
            <w:tcW w:w="1260" w:type="dxa"/>
            <w:vAlign w:val="bottom"/>
            <w:tcBorders>
              <w:bottom w:val="single" w:sz="8" w:color="auto"/>
            </w:tcBorders>
          </w:tcPr>
          <w:p>
            <w:pPr>
              <w:jc w:val="right"/>
              <w:ind w:right="268"/>
              <w:spacing w:after="0"/>
              <w:rPr>
                <w:sz w:val="20"/>
                <w:szCs w:val="20"/>
                <w:color w:val="auto"/>
              </w:rPr>
            </w:pPr>
            <w:r>
              <w:rPr>
                <w:rFonts w:ascii="Arial" w:cs="Arial" w:eastAsia="Arial" w:hAnsi="Arial"/>
                <w:sz w:val="13"/>
                <w:szCs w:val="13"/>
                <w:color w:val="auto"/>
              </w:rPr>
              <w:t>Total</w:t>
            </w:r>
          </w:p>
        </w:tc>
      </w:tr>
      <w:tr>
        <w:trPr>
          <w:trHeight w:val="160"/>
        </w:trPr>
        <w:tc>
          <w:tcPr>
            <w:tcW w:w="3240" w:type="dxa"/>
            <w:vAlign w:val="bottom"/>
          </w:tcPr>
          <w:p>
            <w:pPr>
              <w:spacing w:after="0"/>
              <w:rPr>
                <w:sz w:val="20"/>
                <w:szCs w:val="20"/>
                <w:color w:val="auto"/>
              </w:rPr>
            </w:pPr>
            <w:r>
              <w:rPr>
                <w:rFonts w:ascii="Arial" w:cs="Arial" w:eastAsia="Arial" w:hAnsi="Arial"/>
                <w:sz w:val="14"/>
                <w:szCs w:val="14"/>
                <w:color w:val="auto"/>
              </w:rPr>
              <w:t>At January 1, 2014</w:t>
            </w:r>
          </w:p>
        </w:tc>
        <w:tc>
          <w:tcPr>
            <w:tcW w:w="2400" w:type="dxa"/>
            <w:vAlign w:val="bottom"/>
          </w:tcPr>
          <w:p>
            <w:pPr>
              <w:jc w:val="right"/>
              <w:ind w:right="330"/>
              <w:spacing w:after="0"/>
              <w:rPr>
                <w:sz w:val="20"/>
                <w:szCs w:val="20"/>
                <w:color w:val="auto"/>
              </w:rPr>
            </w:pPr>
            <w:r>
              <w:rPr>
                <w:rFonts w:ascii="Arial" w:cs="Arial" w:eastAsia="Arial" w:hAnsi="Arial"/>
                <w:sz w:val="14"/>
                <w:szCs w:val="14"/>
                <w:color w:val="auto"/>
              </w:rPr>
              <w:t>200,344</w:t>
            </w:r>
          </w:p>
        </w:tc>
        <w:tc>
          <w:tcPr>
            <w:tcW w:w="1560" w:type="dxa"/>
            <w:vAlign w:val="bottom"/>
          </w:tcPr>
          <w:p>
            <w:pPr>
              <w:jc w:val="right"/>
              <w:ind w:right="310"/>
              <w:spacing w:after="0"/>
              <w:rPr>
                <w:sz w:val="20"/>
                <w:szCs w:val="20"/>
                <w:color w:val="auto"/>
              </w:rPr>
            </w:pPr>
            <w:r>
              <w:rPr>
                <w:rFonts w:ascii="Arial" w:cs="Arial" w:eastAsia="Arial" w:hAnsi="Arial"/>
                <w:sz w:val="14"/>
                <w:szCs w:val="14"/>
                <w:color w:val="auto"/>
              </w:rPr>
              <w:t>154</w:t>
            </w:r>
          </w:p>
        </w:tc>
        <w:tc>
          <w:tcPr>
            <w:tcW w:w="1760" w:type="dxa"/>
            <w:vAlign w:val="bottom"/>
          </w:tcPr>
          <w:p>
            <w:pPr>
              <w:jc w:val="right"/>
              <w:ind w:right="270"/>
              <w:spacing w:after="0"/>
              <w:rPr>
                <w:sz w:val="20"/>
                <w:szCs w:val="20"/>
                <w:color w:val="auto"/>
              </w:rPr>
            </w:pPr>
            <w:r>
              <w:rPr>
                <w:rFonts w:ascii="Arial" w:cs="Arial" w:eastAsia="Arial" w:hAnsi="Arial"/>
                <w:sz w:val="14"/>
                <w:szCs w:val="14"/>
                <w:color w:val="auto"/>
              </w:rPr>
              <w:t>75</w:t>
            </w:r>
          </w:p>
        </w:tc>
        <w:tc>
          <w:tcPr>
            <w:tcW w:w="1200" w:type="dxa"/>
            <w:vAlign w:val="bottom"/>
          </w:tcPr>
          <w:p>
            <w:pPr>
              <w:jc w:val="right"/>
              <w:ind w:right="150"/>
              <w:spacing w:after="0"/>
              <w:rPr>
                <w:sz w:val="20"/>
                <w:szCs w:val="20"/>
                <w:color w:val="auto"/>
              </w:rPr>
            </w:pPr>
            <w:r>
              <w:rPr>
                <w:rFonts w:ascii="Arial" w:cs="Arial" w:eastAsia="Arial" w:hAnsi="Arial"/>
                <w:sz w:val="14"/>
                <w:szCs w:val="14"/>
                <w:color w:val="auto"/>
              </w:rPr>
              <w:t>1,325</w:t>
            </w:r>
          </w:p>
        </w:tc>
        <w:tc>
          <w:tcPr>
            <w:tcW w:w="1260" w:type="dxa"/>
            <w:vAlign w:val="bottom"/>
          </w:tcPr>
          <w:p>
            <w:pPr>
              <w:jc w:val="right"/>
              <w:ind w:right="268"/>
              <w:spacing w:after="0"/>
              <w:rPr>
                <w:sz w:val="20"/>
                <w:szCs w:val="20"/>
                <w:color w:val="auto"/>
              </w:rPr>
            </w:pPr>
            <w:r>
              <w:rPr>
                <w:rFonts w:ascii="Arial" w:cs="Arial" w:eastAsia="Arial" w:hAnsi="Arial"/>
                <w:sz w:val="14"/>
                <w:szCs w:val="14"/>
                <w:color w:val="auto"/>
              </w:rPr>
              <w:t>201,898</w:t>
            </w:r>
          </w:p>
        </w:tc>
      </w:tr>
      <w:tr>
        <w:trPr>
          <w:trHeight w:val="162"/>
        </w:trPr>
        <w:tc>
          <w:tcPr>
            <w:tcW w:w="3240" w:type="dxa"/>
            <w:vAlign w:val="bottom"/>
          </w:tcPr>
          <w:p>
            <w:pPr>
              <w:spacing w:after="0"/>
              <w:rPr>
                <w:sz w:val="20"/>
                <w:szCs w:val="20"/>
                <w:color w:val="auto"/>
              </w:rPr>
            </w:pPr>
            <w:r>
              <w:rPr>
                <w:rFonts w:ascii="Arial" w:cs="Arial" w:eastAsia="Arial" w:hAnsi="Arial"/>
                <w:sz w:val="14"/>
                <w:szCs w:val="14"/>
                <w:color w:val="auto"/>
              </w:rPr>
              <w:t>Scrip dividends</w:t>
            </w:r>
          </w:p>
        </w:tc>
        <w:tc>
          <w:tcPr>
            <w:tcW w:w="2400" w:type="dxa"/>
            <w:vAlign w:val="bottom"/>
          </w:tcPr>
          <w:p>
            <w:pPr>
              <w:jc w:val="right"/>
              <w:ind w:right="270"/>
              <w:spacing w:after="0"/>
              <w:rPr>
                <w:sz w:val="20"/>
                <w:szCs w:val="20"/>
                <w:color w:val="auto"/>
              </w:rPr>
            </w:pPr>
            <w:r>
              <w:rPr>
                <w:rFonts w:ascii="Arial" w:cs="Arial" w:eastAsia="Arial" w:hAnsi="Arial"/>
                <w:sz w:val="14"/>
                <w:szCs w:val="14"/>
                <w:color w:val="auto"/>
              </w:rPr>
              <w:t>(6)</w:t>
            </w:r>
          </w:p>
        </w:tc>
        <w:tc>
          <w:tcPr>
            <w:tcW w:w="1560" w:type="dxa"/>
            <w:vAlign w:val="bottom"/>
          </w:tcPr>
          <w:p>
            <w:pPr>
              <w:jc w:val="right"/>
              <w:ind w:right="310"/>
              <w:spacing w:after="0"/>
              <w:rPr>
                <w:sz w:val="20"/>
                <w:szCs w:val="20"/>
                <w:color w:val="auto"/>
              </w:rPr>
            </w:pPr>
            <w:r>
              <w:rPr>
                <w:rFonts w:ascii="Arial" w:cs="Arial" w:eastAsia="Arial" w:hAnsi="Arial"/>
                <w:sz w:val="14"/>
                <w:szCs w:val="14"/>
                <w:color w:val="auto"/>
              </w:rPr>
              <w:t>–</w:t>
            </w:r>
          </w:p>
        </w:tc>
        <w:tc>
          <w:tcPr>
            <w:tcW w:w="1760" w:type="dxa"/>
            <w:vAlign w:val="bottom"/>
          </w:tcPr>
          <w:p>
            <w:pPr>
              <w:jc w:val="right"/>
              <w:ind w:right="270"/>
              <w:spacing w:after="0"/>
              <w:rPr>
                <w:sz w:val="20"/>
                <w:szCs w:val="20"/>
                <w:color w:val="auto"/>
              </w:rPr>
            </w:pPr>
            <w:r>
              <w:rPr>
                <w:rFonts w:ascii="Arial" w:cs="Arial" w:eastAsia="Arial" w:hAnsi="Arial"/>
                <w:sz w:val="14"/>
                <w:szCs w:val="14"/>
                <w:color w:val="auto"/>
              </w:rPr>
              <w:t>–</w:t>
            </w:r>
          </w:p>
        </w:tc>
        <w:tc>
          <w:tcPr>
            <w:tcW w:w="1200" w:type="dxa"/>
            <w:vAlign w:val="bottom"/>
          </w:tcPr>
          <w:p>
            <w:pPr>
              <w:jc w:val="right"/>
              <w:ind w:right="150"/>
              <w:spacing w:after="0"/>
              <w:rPr>
                <w:sz w:val="20"/>
                <w:szCs w:val="20"/>
                <w:color w:val="auto"/>
              </w:rPr>
            </w:pPr>
            <w:r>
              <w:rPr>
                <w:rFonts w:ascii="Arial" w:cs="Arial" w:eastAsia="Arial" w:hAnsi="Arial"/>
                <w:sz w:val="14"/>
                <w:szCs w:val="14"/>
                <w:color w:val="auto"/>
              </w:rPr>
              <w:t>–</w:t>
            </w:r>
          </w:p>
        </w:tc>
        <w:tc>
          <w:tcPr>
            <w:tcW w:w="1260" w:type="dxa"/>
            <w:vAlign w:val="bottom"/>
          </w:tcPr>
          <w:p>
            <w:pPr>
              <w:jc w:val="right"/>
              <w:ind w:right="208"/>
              <w:spacing w:after="0"/>
              <w:rPr>
                <w:sz w:val="20"/>
                <w:szCs w:val="20"/>
                <w:color w:val="auto"/>
              </w:rPr>
            </w:pPr>
            <w:r>
              <w:rPr>
                <w:rFonts w:ascii="Arial" w:cs="Arial" w:eastAsia="Arial" w:hAnsi="Arial"/>
                <w:sz w:val="14"/>
                <w:szCs w:val="14"/>
                <w:color w:val="auto"/>
              </w:rPr>
              <w:t>(6)</w:t>
            </w:r>
          </w:p>
        </w:tc>
      </w:tr>
      <w:tr>
        <w:trPr>
          <w:trHeight w:val="162"/>
        </w:trPr>
        <w:tc>
          <w:tcPr>
            <w:tcW w:w="3240" w:type="dxa"/>
            <w:vAlign w:val="bottom"/>
          </w:tcPr>
          <w:p>
            <w:pPr>
              <w:spacing w:after="0"/>
              <w:rPr>
                <w:sz w:val="20"/>
                <w:szCs w:val="20"/>
                <w:color w:val="auto"/>
              </w:rPr>
            </w:pPr>
            <w:r>
              <w:rPr>
                <w:rFonts w:ascii="Arial" w:cs="Arial" w:eastAsia="Arial" w:hAnsi="Arial"/>
                <w:sz w:val="14"/>
                <w:szCs w:val="14"/>
                <w:color w:val="auto"/>
              </w:rPr>
              <w:t>Repurchases of shares</w:t>
            </w:r>
          </w:p>
        </w:tc>
        <w:tc>
          <w:tcPr>
            <w:tcW w:w="2400" w:type="dxa"/>
            <w:vAlign w:val="bottom"/>
          </w:tcPr>
          <w:p>
            <w:pPr>
              <w:jc w:val="right"/>
              <w:ind w:right="330"/>
              <w:spacing w:after="0"/>
              <w:rPr>
                <w:sz w:val="20"/>
                <w:szCs w:val="20"/>
                <w:color w:val="auto"/>
              </w:rPr>
            </w:pPr>
            <w:r>
              <w:rPr>
                <w:rFonts w:ascii="Arial" w:cs="Arial" w:eastAsia="Arial" w:hAnsi="Arial"/>
                <w:sz w:val="14"/>
                <w:szCs w:val="14"/>
                <w:color w:val="auto"/>
              </w:rPr>
              <w:t>–</w:t>
            </w:r>
          </w:p>
        </w:tc>
        <w:tc>
          <w:tcPr>
            <w:tcW w:w="1560" w:type="dxa"/>
            <w:vAlign w:val="bottom"/>
          </w:tcPr>
          <w:p>
            <w:pPr>
              <w:jc w:val="right"/>
              <w:ind w:right="310"/>
              <w:spacing w:after="0"/>
              <w:rPr>
                <w:sz w:val="20"/>
                <w:szCs w:val="20"/>
                <w:color w:val="auto"/>
              </w:rPr>
            </w:pPr>
            <w:r>
              <w:rPr>
                <w:rFonts w:ascii="Arial" w:cs="Arial" w:eastAsia="Arial" w:hAnsi="Arial"/>
                <w:sz w:val="14"/>
                <w:szCs w:val="14"/>
                <w:color w:val="auto"/>
              </w:rPr>
              <w:t>–</w:t>
            </w:r>
          </w:p>
        </w:tc>
        <w:tc>
          <w:tcPr>
            <w:tcW w:w="1760" w:type="dxa"/>
            <w:vAlign w:val="bottom"/>
          </w:tcPr>
          <w:p>
            <w:pPr>
              <w:jc w:val="right"/>
              <w:ind w:right="270"/>
              <w:spacing w:after="0"/>
              <w:rPr>
                <w:sz w:val="20"/>
                <w:szCs w:val="20"/>
                <w:color w:val="auto"/>
              </w:rPr>
            </w:pPr>
            <w:r>
              <w:rPr>
                <w:rFonts w:ascii="Arial" w:cs="Arial" w:eastAsia="Arial" w:hAnsi="Arial"/>
                <w:sz w:val="14"/>
                <w:szCs w:val="14"/>
                <w:color w:val="auto"/>
              </w:rPr>
              <w:t>8</w:t>
            </w:r>
          </w:p>
        </w:tc>
        <w:tc>
          <w:tcPr>
            <w:tcW w:w="1200" w:type="dxa"/>
            <w:vAlign w:val="bottom"/>
          </w:tcPr>
          <w:p>
            <w:pPr>
              <w:jc w:val="right"/>
              <w:ind w:right="150"/>
              <w:spacing w:after="0"/>
              <w:rPr>
                <w:sz w:val="20"/>
                <w:szCs w:val="20"/>
                <w:color w:val="auto"/>
              </w:rPr>
            </w:pPr>
            <w:r>
              <w:rPr>
                <w:rFonts w:ascii="Arial" w:cs="Arial" w:eastAsia="Arial" w:hAnsi="Arial"/>
                <w:sz w:val="14"/>
                <w:szCs w:val="14"/>
                <w:color w:val="auto"/>
              </w:rPr>
              <w:t>–</w:t>
            </w:r>
          </w:p>
        </w:tc>
        <w:tc>
          <w:tcPr>
            <w:tcW w:w="1260" w:type="dxa"/>
            <w:vAlign w:val="bottom"/>
          </w:tcPr>
          <w:p>
            <w:pPr>
              <w:jc w:val="right"/>
              <w:ind w:right="268"/>
              <w:spacing w:after="0"/>
              <w:rPr>
                <w:sz w:val="20"/>
                <w:szCs w:val="20"/>
                <w:color w:val="auto"/>
              </w:rPr>
            </w:pPr>
            <w:r>
              <w:rPr>
                <w:rFonts w:ascii="Arial" w:cs="Arial" w:eastAsia="Arial" w:hAnsi="Arial"/>
                <w:sz w:val="14"/>
                <w:szCs w:val="14"/>
                <w:color w:val="auto"/>
              </w:rPr>
              <w:t>8</w:t>
            </w:r>
          </w:p>
        </w:tc>
      </w:tr>
      <w:tr>
        <w:trPr>
          <w:trHeight w:val="157"/>
        </w:trPr>
        <w:tc>
          <w:tcPr>
            <w:tcW w:w="3240" w:type="dxa"/>
            <w:vAlign w:val="bottom"/>
            <w:tcBorders>
              <w:bottom w:val="single" w:sz="8" w:color="auto"/>
            </w:tcBorders>
          </w:tcPr>
          <w:p>
            <w:pPr>
              <w:spacing w:after="0" w:line="157" w:lineRule="exact"/>
              <w:rPr>
                <w:sz w:val="20"/>
                <w:szCs w:val="20"/>
                <w:color w:val="auto"/>
              </w:rPr>
            </w:pPr>
            <w:r>
              <w:rPr>
                <w:rFonts w:ascii="Arial" w:cs="Arial" w:eastAsia="Arial" w:hAnsi="Arial"/>
                <w:sz w:val="14"/>
                <w:szCs w:val="14"/>
                <w:color w:val="auto"/>
              </w:rPr>
              <w:t>Share-based compensation</w:t>
            </w:r>
          </w:p>
        </w:tc>
        <w:tc>
          <w:tcPr>
            <w:tcW w:w="2400" w:type="dxa"/>
            <w:vAlign w:val="bottom"/>
            <w:tcBorders>
              <w:bottom w:val="single" w:sz="8" w:color="auto"/>
            </w:tcBorders>
          </w:tcPr>
          <w:p>
            <w:pPr>
              <w:jc w:val="right"/>
              <w:ind w:right="330"/>
              <w:spacing w:after="0" w:line="157" w:lineRule="exact"/>
              <w:rPr>
                <w:sz w:val="20"/>
                <w:szCs w:val="20"/>
                <w:color w:val="auto"/>
              </w:rPr>
            </w:pPr>
            <w:r>
              <w:rPr>
                <w:rFonts w:ascii="Arial" w:cs="Arial" w:eastAsia="Arial" w:hAnsi="Arial"/>
                <w:sz w:val="14"/>
                <w:szCs w:val="14"/>
                <w:color w:val="auto"/>
              </w:rPr>
              <w:t>–</w:t>
            </w:r>
          </w:p>
        </w:tc>
        <w:tc>
          <w:tcPr>
            <w:tcW w:w="1560" w:type="dxa"/>
            <w:vAlign w:val="bottom"/>
            <w:tcBorders>
              <w:bottom w:val="single" w:sz="8" w:color="auto"/>
            </w:tcBorders>
          </w:tcPr>
          <w:p>
            <w:pPr>
              <w:jc w:val="right"/>
              <w:ind w:right="310"/>
              <w:spacing w:after="0" w:line="157" w:lineRule="exact"/>
              <w:rPr>
                <w:sz w:val="20"/>
                <w:szCs w:val="20"/>
                <w:color w:val="auto"/>
              </w:rPr>
            </w:pPr>
            <w:r>
              <w:rPr>
                <w:rFonts w:ascii="Arial" w:cs="Arial" w:eastAsia="Arial" w:hAnsi="Arial"/>
                <w:sz w:val="14"/>
                <w:szCs w:val="14"/>
                <w:color w:val="auto"/>
              </w:rPr>
              <w:t>–</w:t>
            </w:r>
          </w:p>
        </w:tc>
        <w:tc>
          <w:tcPr>
            <w:tcW w:w="1760" w:type="dxa"/>
            <w:vAlign w:val="bottom"/>
            <w:tcBorders>
              <w:bottom w:val="single" w:sz="8" w:color="auto"/>
            </w:tcBorders>
          </w:tcPr>
          <w:p>
            <w:pPr>
              <w:jc w:val="right"/>
              <w:ind w:right="270"/>
              <w:spacing w:after="0" w:line="157" w:lineRule="exact"/>
              <w:rPr>
                <w:sz w:val="20"/>
                <w:szCs w:val="20"/>
                <w:color w:val="auto"/>
              </w:rPr>
            </w:pPr>
            <w:r>
              <w:rPr>
                <w:rFonts w:ascii="Arial" w:cs="Arial" w:eastAsia="Arial" w:hAnsi="Arial"/>
                <w:sz w:val="14"/>
                <w:szCs w:val="14"/>
                <w:color w:val="auto"/>
              </w:rPr>
              <w:t>–</w:t>
            </w:r>
          </w:p>
        </w:tc>
        <w:tc>
          <w:tcPr>
            <w:tcW w:w="1200" w:type="dxa"/>
            <w:vAlign w:val="bottom"/>
            <w:tcBorders>
              <w:bottom w:val="single" w:sz="8" w:color="auto"/>
            </w:tcBorders>
          </w:tcPr>
          <w:p>
            <w:pPr>
              <w:jc w:val="right"/>
              <w:ind w:right="110"/>
              <w:spacing w:after="0" w:line="157" w:lineRule="exact"/>
              <w:rPr>
                <w:sz w:val="20"/>
                <w:szCs w:val="20"/>
                <w:color w:val="auto"/>
              </w:rPr>
            </w:pPr>
            <w:r>
              <w:rPr>
                <w:rFonts w:ascii="Arial" w:cs="Arial" w:eastAsia="Arial" w:hAnsi="Arial"/>
                <w:sz w:val="14"/>
                <w:szCs w:val="14"/>
                <w:color w:val="auto"/>
              </w:rPr>
              <w:t>(155)</w:t>
            </w:r>
          </w:p>
        </w:tc>
        <w:tc>
          <w:tcPr>
            <w:tcW w:w="1260" w:type="dxa"/>
            <w:vAlign w:val="bottom"/>
            <w:tcBorders>
              <w:bottom w:val="single" w:sz="8" w:color="auto"/>
            </w:tcBorders>
          </w:tcPr>
          <w:p>
            <w:pPr>
              <w:jc w:val="right"/>
              <w:ind w:right="208"/>
              <w:spacing w:after="0" w:line="157" w:lineRule="exact"/>
              <w:rPr>
                <w:sz w:val="20"/>
                <w:szCs w:val="20"/>
                <w:color w:val="auto"/>
              </w:rPr>
            </w:pPr>
            <w:r>
              <w:rPr>
                <w:rFonts w:ascii="Arial" w:cs="Arial" w:eastAsia="Arial" w:hAnsi="Arial"/>
                <w:sz w:val="14"/>
                <w:szCs w:val="14"/>
                <w:color w:val="auto"/>
              </w:rPr>
              <w:t>(155)</w:t>
            </w:r>
          </w:p>
        </w:tc>
      </w:tr>
      <w:tr>
        <w:trPr>
          <w:trHeight w:val="156"/>
        </w:trPr>
        <w:tc>
          <w:tcPr>
            <w:tcW w:w="3240" w:type="dxa"/>
            <w:vAlign w:val="bottom"/>
            <w:tcBorders>
              <w:bottom w:val="single" w:sz="8" w:color="auto"/>
            </w:tcBorders>
          </w:tcPr>
          <w:p>
            <w:pPr>
              <w:spacing w:after="0" w:line="155" w:lineRule="exact"/>
              <w:rPr>
                <w:sz w:val="20"/>
                <w:szCs w:val="20"/>
                <w:color w:val="auto"/>
              </w:rPr>
            </w:pPr>
            <w:r>
              <w:rPr>
                <w:rFonts w:ascii="Arial" w:cs="Arial" w:eastAsia="Arial" w:hAnsi="Arial"/>
                <w:sz w:val="14"/>
                <w:szCs w:val="14"/>
                <w:color w:val="auto"/>
              </w:rPr>
              <w:t>At December 31, 2014</w:t>
            </w:r>
          </w:p>
        </w:tc>
        <w:tc>
          <w:tcPr>
            <w:tcW w:w="2400" w:type="dxa"/>
            <w:vAlign w:val="bottom"/>
            <w:tcBorders>
              <w:bottom w:val="single" w:sz="8" w:color="auto"/>
            </w:tcBorders>
          </w:tcPr>
          <w:p>
            <w:pPr>
              <w:jc w:val="right"/>
              <w:ind w:right="330"/>
              <w:spacing w:after="0" w:line="155" w:lineRule="exact"/>
              <w:rPr>
                <w:sz w:val="20"/>
                <w:szCs w:val="20"/>
                <w:color w:val="auto"/>
              </w:rPr>
            </w:pPr>
            <w:r>
              <w:rPr>
                <w:rFonts w:ascii="Arial" w:cs="Arial" w:eastAsia="Arial" w:hAnsi="Arial"/>
                <w:sz w:val="14"/>
                <w:szCs w:val="14"/>
                <w:color w:val="auto"/>
              </w:rPr>
              <w:t>200,338</w:t>
            </w:r>
          </w:p>
        </w:tc>
        <w:tc>
          <w:tcPr>
            <w:tcW w:w="1560" w:type="dxa"/>
            <w:vAlign w:val="bottom"/>
            <w:tcBorders>
              <w:bottom w:val="single" w:sz="8" w:color="auto"/>
            </w:tcBorders>
          </w:tcPr>
          <w:p>
            <w:pPr>
              <w:jc w:val="right"/>
              <w:ind w:right="310"/>
              <w:spacing w:after="0" w:line="155" w:lineRule="exact"/>
              <w:rPr>
                <w:sz w:val="20"/>
                <w:szCs w:val="20"/>
                <w:color w:val="auto"/>
              </w:rPr>
            </w:pPr>
            <w:r>
              <w:rPr>
                <w:rFonts w:ascii="Arial" w:cs="Arial" w:eastAsia="Arial" w:hAnsi="Arial"/>
                <w:sz w:val="14"/>
                <w:szCs w:val="14"/>
                <w:color w:val="auto"/>
              </w:rPr>
              <w:t>154</w:t>
            </w:r>
          </w:p>
        </w:tc>
        <w:tc>
          <w:tcPr>
            <w:tcW w:w="1760" w:type="dxa"/>
            <w:vAlign w:val="bottom"/>
            <w:tcBorders>
              <w:bottom w:val="single" w:sz="8" w:color="auto"/>
            </w:tcBorders>
          </w:tcPr>
          <w:p>
            <w:pPr>
              <w:jc w:val="right"/>
              <w:ind w:right="270"/>
              <w:spacing w:after="0" w:line="155" w:lineRule="exact"/>
              <w:rPr>
                <w:sz w:val="20"/>
                <w:szCs w:val="20"/>
                <w:color w:val="auto"/>
              </w:rPr>
            </w:pPr>
            <w:r>
              <w:rPr>
                <w:rFonts w:ascii="Arial" w:cs="Arial" w:eastAsia="Arial" w:hAnsi="Arial"/>
                <w:sz w:val="14"/>
                <w:szCs w:val="14"/>
                <w:color w:val="auto"/>
              </w:rPr>
              <w:t>83</w:t>
            </w:r>
          </w:p>
        </w:tc>
        <w:tc>
          <w:tcPr>
            <w:tcW w:w="1200" w:type="dxa"/>
            <w:vAlign w:val="bottom"/>
            <w:tcBorders>
              <w:bottom w:val="single" w:sz="8" w:color="auto"/>
            </w:tcBorders>
          </w:tcPr>
          <w:p>
            <w:pPr>
              <w:jc w:val="right"/>
              <w:ind w:right="150"/>
              <w:spacing w:after="0" w:line="155" w:lineRule="exact"/>
              <w:rPr>
                <w:sz w:val="20"/>
                <w:szCs w:val="20"/>
                <w:color w:val="auto"/>
              </w:rPr>
            </w:pPr>
            <w:r>
              <w:rPr>
                <w:rFonts w:ascii="Arial" w:cs="Arial" w:eastAsia="Arial" w:hAnsi="Arial"/>
                <w:sz w:val="14"/>
                <w:szCs w:val="14"/>
                <w:color w:val="auto"/>
              </w:rPr>
              <w:t>1,170</w:t>
            </w:r>
          </w:p>
        </w:tc>
        <w:tc>
          <w:tcPr>
            <w:tcW w:w="1260" w:type="dxa"/>
            <w:vAlign w:val="bottom"/>
            <w:tcBorders>
              <w:bottom w:val="single" w:sz="8" w:color="auto"/>
            </w:tcBorders>
          </w:tcPr>
          <w:p>
            <w:pPr>
              <w:jc w:val="right"/>
              <w:ind w:right="268"/>
              <w:spacing w:after="0" w:line="155" w:lineRule="exact"/>
              <w:rPr>
                <w:sz w:val="20"/>
                <w:szCs w:val="20"/>
                <w:color w:val="auto"/>
              </w:rPr>
            </w:pPr>
            <w:r>
              <w:rPr>
                <w:rFonts w:ascii="Arial" w:cs="Arial" w:eastAsia="Arial" w:hAnsi="Arial"/>
                <w:sz w:val="14"/>
                <w:szCs w:val="14"/>
                <w:color w:val="auto"/>
              </w:rPr>
              <w:t>201,745</w:t>
            </w:r>
          </w:p>
        </w:tc>
      </w:tr>
      <w:tr>
        <w:trPr>
          <w:trHeight w:val="160"/>
        </w:trPr>
        <w:tc>
          <w:tcPr>
            <w:tcW w:w="3240" w:type="dxa"/>
            <w:vAlign w:val="bottom"/>
          </w:tcPr>
          <w:p>
            <w:pPr>
              <w:spacing w:after="0"/>
              <w:rPr>
                <w:sz w:val="20"/>
                <w:szCs w:val="20"/>
                <w:color w:val="auto"/>
              </w:rPr>
            </w:pPr>
            <w:r>
              <w:rPr>
                <w:rFonts w:ascii="Arial" w:cs="Arial" w:eastAsia="Arial" w:hAnsi="Arial"/>
                <w:sz w:val="14"/>
                <w:szCs w:val="14"/>
                <w:color w:val="auto"/>
              </w:rPr>
              <w:t>At January 1, 2013</w:t>
            </w:r>
          </w:p>
        </w:tc>
        <w:tc>
          <w:tcPr>
            <w:tcW w:w="2400" w:type="dxa"/>
            <w:vAlign w:val="bottom"/>
          </w:tcPr>
          <w:p>
            <w:pPr>
              <w:jc w:val="right"/>
              <w:ind w:right="330"/>
              <w:spacing w:after="0"/>
              <w:rPr>
                <w:sz w:val="20"/>
                <w:szCs w:val="20"/>
                <w:color w:val="auto"/>
              </w:rPr>
            </w:pPr>
            <w:r>
              <w:rPr>
                <w:rFonts w:ascii="Arial" w:cs="Arial" w:eastAsia="Arial" w:hAnsi="Arial"/>
                <w:sz w:val="14"/>
                <w:szCs w:val="14"/>
                <w:color w:val="auto"/>
              </w:rPr>
              <w:t>200,356</w:t>
            </w:r>
          </w:p>
        </w:tc>
        <w:tc>
          <w:tcPr>
            <w:tcW w:w="1560" w:type="dxa"/>
            <w:vAlign w:val="bottom"/>
          </w:tcPr>
          <w:p>
            <w:pPr>
              <w:jc w:val="right"/>
              <w:ind w:right="310"/>
              <w:spacing w:after="0"/>
              <w:rPr>
                <w:sz w:val="20"/>
                <w:szCs w:val="20"/>
                <w:color w:val="auto"/>
              </w:rPr>
            </w:pPr>
            <w:r>
              <w:rPr>
                <w:rFonts w:ascii="Arial" w:cs="Arial" w:eastAsia="Arial" w:hAnsi="Arial"/>
                <w:sz w:val="14"/>
                <w:szCs w:val="14"/>
                <w:color w:val="auto"/>
              </w:rPr>
              <w:t>154</w:t>
            </w:r>
          </w:p>
        </w:tc>
        <w:tc>
          <w:tcPr>
            <w:tcW w:w="1760" w:type="dxa"/>
            <w:vAlign w:val="bottom"/>
          </w:tcPr>
          <w:p>
            <w:pPr>
              <w:jc w:val="right"/>
              <w:ind w:right="270"/>
              <w:spacing w:after="0"/>
              <w:rPr>
                <w:sz w:val="20"/>
                <w:szCs w:val="20"/>
                <w:color w:val="auto"/>
              </w:rPr>
            </w:pPr>
            <w:r>
              <w:rPr>
                <w:rFonts w:ascii="Arial" w:cs="Arial" w:eastAsia="Arial" w:hAnsi="Arial"/>
                <w:sz w:val="14"/>
                <w:szCs w:val="14"/>
                <w:color w:val="auto"/>
              </w:rPr>
              <w:t>63</w:t>
            </w:r>
          </w:p>
        </w:tc>
        <w:tc>
          <w:tcPr>
            <w:tcW w:w="1200" w:type="dxa"/>
            <w:vAlign w:val="bottom"/>
          </w:tcPr>
          <w:p>
            <w:pPr>
              <w:jc w:val="right"/>
              <w:ind w:right="150"/>
              <w:spacing w:after="0"/>
              <w:rPr>
                <w:sz w:val="20"/>
                <w:szCs w:val="20"/>
                <w:color w:val="auto"/>
              </w:rPr>
            </w:pPr>
            <w:r>
              <w:rPr>
                <w:rFonts w:ascii="Arial" w:cs="Arial" w:eastAsia="Arial" w:hAnsi="Arial"/>
                <w:sz w:val="14"/>
                <w:szCs w:val="14"/>
                <w:color w:val="auto"/>
              </w:rPr>
              <w:t>1,479</w:t>
            </w:r>
          </w:p>
        </w:tc>
        <w:tc>
          <w:tcPr>
            <w:tcW w:w="1260" w:type="dxa"/>
            <w:vAlign w:val="bottom"/>
          </w:tcPr>
          <w:p>
            <w:pPr>
              <w:jc w:val="right"/>
              <w:ind w:right="268"/>
              <w:spacing w:after="0"/>
              <w:rPr>
                <w:sz w:val="20"/>
                <w:szCs w:val="20"/>
                <w:color w:val="auto"/>
              </w:rPr>
            </w:pPr>
            <w:r>
              <w:rPr>
                <w:rFonts w:ascii="Arial" w:cs="Arial" w:eastAsia="Arial" w:hAnsi="Arial"/>
                <w:sz w:val="14"/>
                <w:szCs w:val="14"/>
                <w:color w:val="auto"/>
              </w:rPr>
              <w:t>202,052</w:t>
            </w:r>
          </w:p>
        </w:tc>
      </w:tr>
      <w:tr>
        <w:trPr>
          <w:trHeight w:val="162"/>
        </w:trPr>
        <w:tc>
          <w:tcPr>
            <w:tcW w:w="3240" w:type="dxa"/>
            <w:vAlign w:val="bottom"/>
          </w:tcPr>
          <w:p>
            <w:pPr>
              <w:spacing w:after="0"/>
              <w:rPr>
                <w:sz w:val="20"/>
                <w:szCs w:val="20"/>
                <w:color w:val="auto"/>
              </w:rPr>
            </w:pPr>
            <w:r>
              <w:rPr>
                <w:rFonts w:ascii="Arial" w:cs="Arial" w:eastAsia="Arial" w:hAnsi="Arial"/>
                <w:sz w:val="14"/>
                <w:szCs w:val="14"/>
                <w:color w:val="auto"/>
              </w:rPr>
              <w:t>Scrip dividends</w:t>
            </w:r>
          </w:p>
        </w:tc>
        <w:tc>
          <w:tcPr>
            <w:tcW w:w="2400" w:type="dxa"/>
            <w:vAlign w:val="bottom"/>
          </w:tcPr>
          <w:p>
            <w:pPr>
              <w:jc w:val="right"/>
              <w:ind w:right="270"/>
              <w:spacing w:after="0"/>
              <w:rPr>
                <w:sz w:val="20"/>
                <w:szCs w:val="20"/>
                <w:color w:val="auto"/>
              </w:rPr>
            </w:pPr>
            <w:r>
              <w:rPr>
                <w:rFonts w:ascii="Arial" w:cs="Arial" w:eastAsia="Arial" w:hAnsi="Arial"/>
                <w:sz w:val="14"/>
                <w:szCs w:val="14"/>
                <w:color w:val="auto"/>
              </w:rPr>
              <w:t>(12)</w:t>
            </w:r>
          </w:p>
        </w:tc>
        <w:tc>
          <w:tcPr>
            <w:tcW w:w="1560" w:type="dxa"/>
            <w:vAlign w:val="bottom"/>
          </w:tcPr>
          <w:p>
            <w:pPr>
              <w:jc w:val="right"/>
              <w:ind w:right="310"/>
              <w:spacing w:after="0"/>
              <w:rPr>
                <w:sz w:val="20"/>
                <w:szCs w:val="20"/>
                <w:color w:val="auto"/>
              </w:rPr>
            </w:pPr>
            <w:r>
              <w:rPr>
                <w:rFonts w:ascii="Arial" w:cs="Arial" w:eastAsia="Arial" w:hAnsi="Arial"/>
                <w:sz w:val="14"/>
                <w:szCs w:val="14"/>
                <w:color w:val="auto"/>
              </w:rPr>
              <w:t>–</w:t>
            </w:r>
          </w:p>
        </w:tc>
        <w:tc>
          <w:tcPr>
            <w:tcW w:w="1760" w:type="dxa"/>
            <w:vAlign w:val="bottom"/>
          </w:tcPr>
          <w:p>
            <w:pPr>
              <w:jc w:val="right"/>
              <w:ind w:right="270"/>
              <w:spacing w:after="0"/>
              <w:rPr>
                <w:sz w:val="20"/>
                <w:szCs w:val="20"/>
                <w:color w:val="auto"/>
              </w:rPr>
            </w:pPr>
            <w:r>
              <w:rPr>
                <w:rFonts w:ascii="Arial" w:cs="Arial" w:eastAsia="Arial" w:hAnsi="Arial"/>
                <w:sz w:val="14"/>
                <w:szCs w:val="14"/>
                <w:color w:val="auto"/>
              </w:rPr>
              <w:t>–</w:t>
            </w:r>
          </w:p>
        </w:tc>
        <w:tc>
          <w:tcPr>
            <w:tcW w:w="1200" w:type="dxa"/>
            <w:vAlign w:val="bottom"/>
          </w:tcPr>
          <w:p>
            <w:pPr>
              <w:jc w:val="right"/>
              <w:ind w:right="150"/>
              <w:spacing w:after="0"/>
              <w:rPr>
                <w:sz w:val="20"/>
                <w:szCs w:val="20"/>
                <w:color w:val="auto"/>
              </w:rPr>
            </w:pPr>
            <w:r>
              <w:rPr>
                <w:rFonts w:ascii="Arial" w:cs="Arial" w:eastAsia="Arial" w:hAnsi="Arial"/>
                <w:sz w:val="14"/>
                <w:szCs w:val="14"/>
                <w:color w:val="auto"/>
              </w:rPr>
              <w:t>–</w:t>
            </w:r>
          </w:p>
        </w:tc>
        <w:tc>
          <w:tcPr>
            <w:tcW w:w="1260" w:type="dxa"/>
            <w:vAlign w:val="bottom"/>
          </w:tcPr>
          <w:p>
            <w:pPr>
              <w:jc w:val="right"/>
              <w:ind w:right="208"/>
              <w:spacing w:after="0"/>
              <w:rPr>
                <w:sz w:val="20"/>
                <w:szCs w:val="20"/>
                <w:color w:val="auto"/>
              </w:rPr>
            </w:pPr>
            <w:r>
              <w:rPr>
                <w:rFonts w:ascii="Arial" w:cs="Arial" w:eastAsia="Arial" w:hAnsi="Arial"/>
                <w:sz w:val="14"/>
                <w:szCs w:val="14"/>
                <w:color w:val="auto"/>
              </w:rPr>
              <w:t>(12)</w:t>
            </w:r>
          </w:p>
        </w:tc>
      </w:tr>
      <w:tr>
        <w:trPr>
          <w:trHeight w:val="162"/>
        </w:trPr>
        <w:tc>
          <w:tcPr>
            <w:tcW w:w="3240" w:type="dxa"/>
            <w:vAlign w:val="bottom"/>
          </w:tcPr>
          <w:p>
            <w:pPr>
              <w:spacing w:after="0"/>
              <w:rPr>
                <w:sz w:val="20"/>
                <w:szCs w:val="20"/>
                <w:color w:val="auto"/>
              </w:rPr>
            </w:pPr>
            <w:r>
              <w:rPr>
                <w:rFonts w:ascii="Arial" w:cs="Arial" w:eastAsia="Arial" w:hAnsi="Arial"/>
                <w:sz w:val="14"/>
                <w:szCs w:val="14"/>
                <w:color w:val="auto"/>
              </w:rPr>
              <w:t>Repurchases of shares</w:t>
            </w:r>
          </w:p>
        </w:tc>
        <w:tc>
          <w:tcPr>
            <w:tcW w:w="2400" w:type="dxa"/>
            <w:vAlign w:val="bottom"/>
          </w:tcPr>
          <w:p>
            <w:pPr>
              <w:jc w:val="right"/>
              <w:ind w:right="330"/>
              <w:spacing w:after="0"/>
              <w:rPr>
                <w:sz w:val="20"/>
                <w:szCs w:val="20"/>
                <w:color w:val="auto"/>
              </w:rPr>
            </w:pPr>
            <w:r>
              <w:rPr>
                <w:rFonts w:ascii="Arial" w:cs="Arial" w:eastAsia="Arial" w:hAnsi="Arial"/>
                <w:sz w:val="14"/>
                <w:szCs w:val="14"/>
                <w:color w:val="auto"/>
              </w:rPr>
              <w:t>–</w:t>
            </w:r>
          </w:p>
        </w:tc>
        <w:tc>
          <w:tcPr>
            <w:tcW w:w="1560" w:type="dxa"/>
            <w:vAlign w:val="bottom"/>
          </w:tcPr>
          <w:p>
            <w:pPr>
              <w:jc w:val="right"/>
              <w:ind w:right="310"/>
              <w:spacing w:after="0"/>
              <w:rPr>
                <w:sz w:val="20"/>
                <w:szCs w:val="20"/>
                <w:color w:val="auto"/>
              </w:rPr>
            </w:pPr>
            <w:r>
              <w:rPr>
                <w:rFonts w:ascii="Arial" w:cs="Arial" w:eastAsia="Arial" w:hAnsi="Arial"/>
                <w:sz w:val="14"/>
                <w:szCs w:val="14"/>
                <w:color w:val="auto"/>
              </w:rPr>
              <w:t>–</w:t>
            </w:r>
          </w:p>
        </w:tc>
        <w:tc>
          <w:tcPr>
            <w:tcW w:w="1760" w:type="dxa"/>
            <w:vAlign w:val="bottom"/>
          </w:tcPr>
          <w:p>
            <w:pPr>
              <w:jc w:val="right"/>
              <w:ind w:right="270"/>
              <w:spacing w:after="0"/>
              <w:rPr>
                <w:sz w:val="20"/>
                <w:szCs w:val="20"/>
                <w:color w:val="auto"/>
              </w:rPr>
            </w:pPr>
            <w:r>
              <w:rPr>
                <w:rFonts w:ascii="Arial" w:cs="Arial" w:eastAsia="Arial" w:hAnsi="Arial"/>
                <w:sz w:val="14"/>
                <w:szCs w:val="14"/>
                <w:color w:val="auto"/>
              </w:rPr>
              <w:t>12</w:t>
            </w:r>
          </w:p>
        </w:tc>
        <w:tc>
          <w:tcPr>
            <w:tcW w:w="1200" w:type="dxa"/>
            <w:vAlign w:val="bottom"/>
          </w:tcPr>
          <w:p>
            <w:pPr>
              <w:jc w:val="right"/>
              <w:ind w:right="150"/>
              <w:spacing w:after="0"/>
              <w:rPr>
                <w:sz w:val="20"/>
                <w:szCs w:val="20"/>
                <w:color w:val="auto"/>
              </w:rPr>
            </w:pPr>
            <w:r>
              <w:rPr>
                <w:rFonts w:ascii="Arial" w:cs="Arial" w:eastAsia="Arial" w:hAnsi="Arial"/>
                <w:sz w:val="14"/>
                <w:szCs w:val="14"/>
                <w:color w:val="auto"/>
              </w:rPr>
              <w:t>–</w:t>
            </w:r>
          </w:p>
        </w:tc>
        <w:tc>
          <w:tcPr>
            <w:tcW w:w="1260" w:type="dxa"/>
            <w:vAlign w:val="bottom"/>
          </w:tcPr>
          <w:p>
            <w:pPr>
              <w:jc w:val="right"/>
              <w:ind w:right="268"/>
              <w:spacing w:after="0"/>
              <w:rPr>
                <w:sz w:val="20"/>
                <w:szCs w:val="20"/>
                <w:color w:val="auto"/>
              </w:rPr>
            </w:pPr>
            <w:r>
              <w:rPr>
                <w:rFonts w:ascii="Arial" w:cs="Arial" w:eastAsia="Arial" w:hAnsi="Arial"/>
                <w:sz w:val="14"/>
                <w:szCs w:val="14"/>
                <w:color w:val="auto"/>
              </w:rPr>
              <w:t>12</w:t>
            </w:r>
          </w:p>
        </w:tc>
      </w:tr>
      <w:tr>
        <w:trPr>
          <w:trHeight w:val="157"/>
        </w:trPr>
        <w:tc>
          <w:tcPr>
            <w:tcW w:w="3240" w:type="dxa"/>
            <w:vAlign w:val="bottom"/>
            <w:tcBorders>
              <w:bottom w:val="single" w:sz="8" w:color="auto"/>
            </w:tcBorders>
          </w:tcPr>
          <w:p>
            <w:pPr>
              <w:spacing w:after="0" w:line="157" w:lineRule="exact"/>
              <w:rPr>
                <w:sz w:val="20"/>
                <w:szCs w:val="20"/>
                <w:color w:val="auto"/>
              </w:rPr>
            </w:pPr>
            <w:r>
              <w:rPr>
                <w:rFonts w:ascii="Arial" w:cs="Arial" w:eastAsia="Arial" w:hAnsi="Arial"/>
                <w:sz w:val="14"/>
                <w:szCs w:val="14"/>
                <w:color w:val="auto"/>
              </w:rPr>
              <w:t>Share-based compensation</w:t>
            </w:r>
          </w:p>
        </w:tc>
        <w:tc>
          <w:tcPr>
            <w:tcW w:w="2400" w:type="dxa"/>
            <w:vAlign w:val="bottom"/>
            <w:tcBorders>
              <w:bottom w:val="single" w:sz="8" w:color="auto"/>
            </w:tcBorders>
          </w:tcPr>
          <w:p>
            <w:pPr>
              <w:jc w:val="right"/>
              <w:ind w:right="330"/>
              <w:spacing w:after="0" w:line="157" w:lineRule="exact"/>
              <w:rPr>
                <w:sz w:val="20"/>
                <w:szCs w:val="20"/>
                <w:color w:val="auto"/>
              </w:rPr>
            </w:pPr>
            <w:r>
              <w:rPr>
                <w:rFonts w:ascii="Arial" w:cs="Arial" w:eastAsia="Arial" w:hAnsi="Arial"/>
                <w:sz w:val="14"/>
                <w:szCs w:val="14"/>
                <w:color w:val="auto"/>
              </w:rPr>
              <w:t>–</w:t>
            </w:r>
          </w:p>
        </w:tc>
        <w:tc>
          <w:tcPr>
            <w:tcW w:w="1560" w:type="dxa"/>
            <w:vAlign w:val="bottom"/>
            <w:tcBorders>
              <w:bottom w:val="single" w:sz="8" w:color="auto"/>
            </w:tcBorders>
          </w:tcPr>
          <w:p>
            <w:pPr>
              <w:jc w:val="right"/>
              <w:ind w:right="310"/>
              <w:spacing w:after="0" w:line="157" w:lineRule="exact"/>
              <w:rPr>
                <w:sz w:val="20"/>
                <w:szCs w:val="20"/>
                <w:color w:val="auto"/>
              </w:rPr>
            </w:pPr>
            <w:r>
              <w:rPr>
                <w:rFonts w:ascii="Arial" w:cs="Arial" w:eastAsia="Arial" w:hAnsi="Arial"/>
                <w:sz w:val="14"/>
                <w:szCs w:val="14"/>
                <w:color w:val="auto"/>
              </w:rPr>
              <w:t>–</w:t>
            </w:r>
          </w:p>
        </w:tc>
        <w:tc>
          <w:tcPr>
            <w:tcW w:w="1760" w:type="dxa"/>
            <w:vAlign w:val="bottom"/>
            <w:tcBorders>
              <w:bottom w:val="single" w:sz="8" w:color="auto"/>
            </w:tcBorders>
          </w:tcPr>
          <w:p>
            <w:pPr>
              <w:jc w:val="right"/>
              <w:ind w:right="270"/>
              <w:spacing w:after="0" w:line="157" w:lineRule="exact"/>
              <w:rPr>
                <w:sz w:val="20"/>
                <w:szCs w:val="20"/>
                <w:color w:val="auto"/>
              </w:rPr>
            </w:pPr>
            <w:r>
              <w:rPr>
                <w:rFonts w:ascii="Arial" w:cs="Arial" w:eastAsia="Arial" w:hAnsi="Arial"/>
                <w:sz w:val="14"/>
                <w:szCs w:val="14"/>
                <w:color w:val="auto"/>
              </w:rPr>
              <w:t>–</w:t>
            </w:r>
          </w:p>
        </w:tc>
        <w:tc>
          <w:tcPr>
            <w:tcW w:w="1200" w:type="dxa"/>
            <w:vAlign w:val="bottom"/>
            <w:tcBorders>
              <w:bottom w:val="single" w:sz="8" w:color="auto"/>
            </w:tcBorders>
          </w:tcPr>
          <w:p>
            <w:pPr>
              <w:jc w:val="right"/>
              <w:ind w:right="110"/>
              <w:spacing w:after="0" w:line="157" w:lineRule="exact"/>
              <w:rPr>
                <w:sz w:val="20"/>
                <w:szCs w:val="20"/>
                <w:color w:val="auto"/>
              </w:rPr>
            </w:pPr>
            <w:r>
              <w:rPr>
                <w:rFonts w:ascii="Arial" w:cs="Arial" w:eastAsia="Arial" w:hAnsi="Arial"/>
                <w:sz w:val="14"/>
                <w:szCs w:val="14"/>
                <w:color w:val="auto"/>
              </w:rPr>
              <w:t>(154)</w:t>
            </w:r>
          </w:p>
        </w:tc>
        <w:tc>
          <w:tcPr>
            <w:tcW w:w="1260" w:type="dxa"/>
            <w:vAlign w:val="bottom"/>
            <w:tcBorders>
              <w:bottom w:val="single" w:sz="8" w:color="auto"/>
            </w:tcBorders>
          </w:tcPr>
          <w:p>
            <w:pPr>
              <w:jc w:val="right"/>
              <w:ind w:right="208"/>
              <w:spacing w:after="0" w:line="157" w:lineRule="exact"/>
              <w:rPr>
                <w:sz w:val="20"/>
                <w:szCs w:val="20"/>
                <w:color w:val="auto"/>
              </w:rPr>
            </w:pPr>
            <w:r>
              <w:rPr>
                <w:rFonts w:ascii="Arial" w:cs="Arial" w:eastAsia="Arial" w:hAnsi="Arial"/>
                <w:sz w:val="14"/>
                <w:szCs w:val="14"/>
                <w:color w:val="auto"/>
              </w:rPr>
              <w:t>(154)</w:t>
            </w:r>
          </w:p>
        </w:tc>
      </w:tr>
      <w:tr>
        <w:trPr>
          <w:trHeight w:val="156"/>
        </w:trPr>
        <w:tc>
          <w:tcPr>
            <w:tcW w:w="3240" w:type="dxa"/>
            <w:vAlign w:val="bottom"/>
            <w:tcBorders>
              <w:bottom w:val="single" w:sz="8" w:color="auto"/>
            </w:tcBorders>
          </w:tcPr>
          <w:p>
            <w:pPr>
              <w:spacing w:after="0" w:line="155" w:lineRule="exact"/>
              <w:rPr>
                <w:sz w:val="20"/>
                <w:szCs w:val="20"/>
                <w:color w:val="auto"/>
              </w:rPr>
            </w:pPr>
            <w:r>
              <w:rPr>
                <w:rFonts w:ascii="Arial" w:cs="Arial" w:eastAsia="Arial" w:hAnsi="Arial"/>
                <w:sz w:val="14"/>
                <w:szCs w:val="14"/>
                <w:color w:val="auto"/>
              </w:rPr>
              <w:t>At December 31, 2013</w:t>
            </w:r>
          </w:p>
        </w:tc>
        <w:tc>
          <w:tcPr>
            <w:tcW w:w="2400" w:type="dxa"/>
            <w:vAlign w:val="bottom"/>
            <w:tcBorders>
              <w:bottom w:val="single" w:sz="8" w:color="auto"/>
            </w:tcBorders>
          </w:tcPr>
          <w:p>
            <w:pPr>
              <w:jc w:val="right"/>
              <w:ind w:right="330"/>
              <w:spacing w:after="0" w:line="155" w:lineRule="exact"/>
              <w:rPr>
                <w:sz w:val="20"/>
                <w:szCs w:val="20"/>
                <w:color w:val="auto"/>
              </w:rPr>
            </w:pPr>
            <w:r>
              <w:rPr>
                <w:rFonts w:ascii="Arial" w:cs="Arial" w:eastAsia="Arial" w:hAnsi="Arial"/>
                <w:sz w:val="14"/>
                <w:szCs w:val="14"/>
                <w:color w:val="auto"/>
              </w:rPr>
              <w:t>200,344</w:t>
            </w:r>
          </w:p>
        </w:tc>
        <w:tc>
          <w:tcPr>
            <w:tcW w:w="1560" w:type="dxa"/>
            <w:vAlign w:val="bottom"/>
            <w:tcBorders>
              <w:bottom w:val="single" w:sz="8" w:color="auto"/>
            </w:tcBorders>
          </w:tcPr>
          <w:p>
            <w:pPr>
              <w:jc w:val="right"/>
              <w:ind w:right="310"/>
              <w:spacing w:after="0" w:line="155" w:lineRule="exact"/>
              <w:rPr>
                <w:sz w:val="20"/>
                <w:szCs w:val="20"/>
                <w:color w:val="auto"/>
              </w:rPr>
            </w:pPr>
            <w:r>
              <w:rPr>
                <w:rFonts w:ascii="Arial" w:cs="Arial" w:eastAsia="Arial" w:hAnsi="Arial"/>
                <w:sz w:val="14"/>
                <w:szCs w:val="14"/>
                <w:color w:val="auto"/>
              </w:rPr>
              <w:t>154</w:t>
            </w:r>
          </w:p>
        </w:tc>
        <w:tc>
          <w:tcPr>
            <w:tcW w:w="1760" w:type="dxa"/>
            <w:vAlign w:val="bottom"/>
            <w:tcBorders>
              <w:bottom w:val="single" w:sz="8" w:color="auto"/>
            </w:tcBorders>
          </w:tcPr>
          <w:p>
            <w:pPr>
              <w:jc w:val="right"/>
              <w:ind w:right="270"/>
              <w:spacing w:after="0" w:line="155" w:lineRule="exact"/>
              <w:rPr>
                <w:sz w:val="20"/>
                <w:szCs w:val="20"/>
                <w:color w:val="auto"/>
              </w:rPr>
            </w:pPr>
            <w:r>
              <w:rPr>
                <w:rFonts w:ascii="Arial" w:cs="Arial" w:eastAsia="Arial" w:hAnsi="Arial"/>
                <w:sz w:val="14"/>
                <w:szCs w:val="14"/>
                <w:color w:val="auto"/>
              </w:rPr>
              <w:t>75</w:t>
            </w:r>
          </w:p>
        </w:tc>
        <w:tc>
          <w:tcPr>
            <w:tcW w:w="1200" w:type="dxa"/>
            <w:vAlign w:val="bottom"/>
            <w:tcBorders>
              <w:bottom w:val="single" w:sz="8" w:color="auto"/>
            </w:tcBorders>
          </w:tcPr>
          <w:p>
            <w:pPr>
              <w:jc w:val="right"/>
              <w:ind w:right="150"/>
              <w:spacing w:after="0" w:line="155" w:lineRule="exact"/>
              <w:rPr>
                <w:sz w:val="20"/>
                <w:szCs w:val="20"/>
                <w:color w:val="auto"/>
              </w:rPr>
            </w:pPr>
            <w:r>
              <w:rPr>
                <w:rFonts w:ascii="Arial" w:cs="Arial" w:eastAsia="Arial" w:hAnsi="Arial"/>
                <w:sz w:val="14"/>
                <w:szCs w:val="14"/>
                <w:color w:val="auto"/>
              </w:rPr>
              <w:t>1,325</w:t>
            </w:r>
          </w:p>
        </w:tc>
        <w:tc>
          <w:tcPr>
            <w:tcW w:w="1260" w:type="dxa"/>
            <w:vAlign w:val="bottom"/>
            <w:tcBorders>
              <w:bottom w:val="single" w:sz="8" w:color="auto"/>
            </w:tcBorders>
          </w:tcPr>
          <w:p>
            <w:pPr>
              <w:jc w:val="right"/>
              <w:ind w:right="268"/>
              <w:spacing w:after="0" w:line="155" w:lineRule="exact"/>
              <w:rPr>
                <w:sz w:val="20"/>
                <w:szCs w:val="20"/>
                <w:color w:val="auto"/>
              </w:rPr>
            </w:pPr>
            <w:r>
              <w:rPr>
                <w:rFonts w:ascii="Arial" w:cs="Arial" w:eastAsia="Arial" w:hAnsi="Arial"/>
                <w:sz w:val="14"/>
                <w:szCs w:val="14"/>
                <w:color w:val="auto"/>
              </w:rPr>
              <w:t>201,898</w:t>
            </w:r>
          </w:p>
        </w:tc>
      </w:tr>
    </w:tbl>
    <w:p>
      <w:pPr>
        <w:spacing w:after="0" w:line="194" w:lineRule="exact"/>
        <w:rPr>
          <w:sz w:val="20"/>
          <w:szCs w:val="20"/>
          <w:color w:val="auto"/>
        </w:rPr>
      </w:pPr>
    </w:p>
    <w:p>
      <w:pPr>
        <w:jc w:val="both"/>
        <w:ind w:right="160"/>
        <w:spacing w:after="0" w:line="250" w:lineRule="auto"/>
        <w:rPr>
          <w:sz w:val="20"/>
          <w:szCs w:val="20"/>
          <w:color w:val="auto"/>
        </w:rPr>
      </w:pPr>
      <w:r>
        <w:rPr>
          <w:rFonts w:ascii="Arial" w:cs="Arial" w:eastAsia="Arial" w:hAnsi="Arial"/>
          <w:sz w:val="14"/>
          <w:szCs w:val="14"/>
          <w:color w:val="auto"/>
        </w:rPr>
        <w:t>The merger reserve was established as a consequence of the Company becoming the single parent company of Royal Dutch and Shell Transport and represented the difference between the cost of the investment in those companies and the nominal value of shares issued in exchange for those investments as required by the prevailing legislation at that time, section 131 of the Companies Act 1985.</w:t>
      </w:r>
    </w:p>
    <w:p>
      <w:pPr>
        <w:spacing w:after="0" w:line="159" w:lineRule="exact"/>
        <w:rPr>
          <w:sz w:val="20"/>
          <w:szCs w:val="20"/>
          <w:color w:val="auto"/>
        </w:rPr>
      </w:pPr>
    </w:p>
    <w:p>
      <w:pPr>
        <w:jc w:val="both"/>
        <w:ind w:right="340"/>
        <w:spacing w:after="0" w:line="250" w:lineRule="auto"/>
        <w:rPr>
          <w:sz w:val="20"/>
          <w:szCs w:val="20"/>
          <w:color w:val="auto"/>
        </w:rPr>
      </w:pPr>
      <w:r>
        <w:rPr>
          <w:rFonts w:ascii="Arial" w:cs="Arial" w:eastAsia="Arial" w:hAnsi="Arial"/>
          <w:sz w:val="14"/>
          <w:szCs w:val="14"/>
          <w:color w:val="auto"/>
        </w:rPr>
        <w:t>On January 6, 2006, loan notes were converted into 4,827,974 A shares. The difference between the carrying value of the loan notes and the nominal value of the new shares issued was credited to the share premium reserve. The capital redemption reserve was established in connection with repurchases of shares of the Company. The share plan reserve represents the fair value of share-based compensation granted to employees of subsidiaries under the Company’s equity-settled plans.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color w:val="auto"/>
        </w:rPr>
        <w:t>12 DIVIDENDS</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Refer to Note 23 to the Consolidated Financial Statements.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13 LEGAL PROCEEDINGS AND OTHER CONTINGENCIES</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Refer to Note 25 to the Consolidated Financial Statements.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14 DIRECTORS AND SENIOR MANAGEMENT</w:t>
      </w:r>
    </w:p>
    <w:p>
      <w:pPr>
        <w:spacing w:after="0" w:line="1" w:lineRule="exact"/>
        <w:rPr>
          <w:sz w:val="20"/>
          <w:szCs w:val="20"/>
          <w:color w:val="auto"/>
        </w:rPr>
      </w:pPr>
    </w:p>
    <w:p>
      <w:pPr>
        <w:ind w:right="200"/>
        <w:spacing w:after="0" w:line="258" w:lineRule="auto"/>
        <w:rPr>
          <w:sz w:val="20"/>
          <w:szCs w:val="20"/>
          <w:color w:val="auto"/>
        </w:rPr>
      </w:pPr>
      <w:r>
        <w:rPr>
          <w:rFonts w:ascii="Arial" w:cs="Arial" w:eastAsia="Arial" w:hAnsi="Arial"/>
          <w:sz w:val="14"/>
          <w:szCs w:val="14"/>
          <w:color w:val="auto"/>
        </w:rPr>
        <w:t>Refer to Note 27 to the Consolidated Financial Statements for the remuneration of Directors of the Company. In 2014, the Company recognised $25 million (2013: $30 million) in administrative expenses for the compensation of Directors and Senior Management.</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15 RELATED PARTIES</w:t>
      </w:r>
    </w:p>
    <w:p>
      <w:pPr>
        <w:spacing w:after="0" w:line="1" w:lineRule="exact"/>
        <w:rPr>
          <w:sz w:val="20"/>
          <w:szCs w:val="20"/>
          <w:color w:val="auto"/>
        </w:rPr>
      </w:pPr>
    </w:p>
    <w:p>
      <w:pPr>
        <w:ind w:right="120"/>
        <w:spacing w:after="0" w:line="258" w:lineRule="auto"/>
        <w:rPr>
          <w:sz w:val="20"/>
          <w:szCs w:val="20"/>
          <w:color w:val="auto"/>
        </w:rPr>
      </w:pPr>
      <w:r>
        <w:rPr>
          <w:rFonts w:ascii="Arial" w:cs="Arial" w:eastAsia="Arial" w:hAnsi="Arial"/>
          <w:sz w:val="14"/>
          <w:szCs w:val="14"/>
          <w:color w:val="auto"/>
        </w:rPr>
        <w:t>Information about significant subsidiaries at December 31, 2014, is set out in Exhibit 8. The Company has no direct interest in incorporated joint arrangements and associates. A complete list of investments in subsidiaries, incorporated joint arrangements and associates will be attached to the Company’s annual return made to the Registrar of Companies.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5600" w:type="dxa"/>
            <w:vAlign w:val="bottom"/>
            <w:shd w:val="clear" w:color="auto" w:fill="333333"/>
          </w:tcPr>
          <w:p>
            <w:pPr>
              <w:spacing w:after="0"/>
              <w:rPr>
                <w:sz w:val="15"/>
                <w:szCs w:val="15"/>
                <w:color w:val="auto"/>
              </w:rPr>
            </w:pPr>
          </w:p>
        </w:tc>
        <w:tc>
          <w:tcPr>
            <w:tcW w:w="1220" w:type="dxa"/>
            <w:vAlign w:val="bottom"/>
            <w:shd w:val="clear" w:color="auto" w:fill="333333"/>
          </w:tcPr>
          <w:p>
            <w:pPr>
              <w:spacing w:after="0"/>
              <w:rPr>
                <w:sz w:val="15"/>
                <w:szCs w:val="15"/>
                <w:color w:val="auto"/>
              </w:rPr>
            </w:pPr>
          </w:p>
        </w:tc>
        <w:tc>
          <w:tcPr>
            <w:tcW w:w="1340" w:type="dxa"/>
            <w:vAlign w:val="bottom"/>
            <w:shd w:val="clear" w:color="auto" w:fill="333333"/>
          </w:tcPr>
          <w:p>
            <w:pPr>
              <w:spacing w:after="0"/>
              <w:rPr>
                <w:sz w:val="15"/>
                <w:szCs w:val="15"/>
                <w:color w:val="auto"/>
              </w:rPr>
            </w:pPr>
          </w:p>
        </w:tc>
        <w:tc>
          <w:tcPr>
            <w:tcW w:w="700" w:type="dxa"/>
            <w:vAlign w:val="bottom"/>
            <w:shd w:val="clear" w:color="auto" w:fill="333333"/>
          </w:tcPr>
          <w:p>
            <w:pPr>
              <w:spacing w:after="0"/>
              <w:rPr>
                <w:sz w:val="15"/>
                <w:szCs w:val="15"/>
                <w:color w:val="auto"/>
              </w:rPr>
            </w:pPr>
          </w:p>
        </w:tc>
        <w:tc>
          <w:tcPr>
            <w:tcW w:w="1080" w:type="dxa"/>
            <w:vAlign w:val="bottom"/>
            <w:shd w:val="clear" w:color="auto" w:fill="333333"/>
          </w:tcPr>
          <w:p>
            <w:pPr>
              <w:spacing w:after="0"/>
              <w:rPr>
                <w:sz w:val="15"/>
                <w:szCs w:val="15"/>
                <w:color w:val="auto"/>
              </w:rPr>
            </w:pPr>
          </w:p>
        </w:tc>
        <w:tc>
          <w:tcPr>
            <w:tcW w:w="1480" w:type="dxa"/>
            <w:vAlign w:val="bottom"/>
            <w:shd w:val="clear" w:color="auto" w:fill="333333"/>
          </w:tcPr>
          <w:p>
            <w:pPr>
              <w:jc w:val="right"/>
              <w:ind w:right="270"/>
              <w:spacing w:after="0"/>
              <w:rPr>
                <w:sz w:val="20"/>
                <w:szCs w:val="20"/>
                <w:color w:val="auto"/>
              </w:rPr>
            </w:pPr>
            <w:r>
              <w:rPr>
                <w:rFonts w:ascii="Arial" w:cs="Arial" w:eastAsia="Arial" w:hAnsi="Arial"/>
                <w:sz w:val="15"/>
                <w:szCs w:val="15"/>
                <w:color w:val="FFFFFF"/>
              </w:rPr>
              <w:t>$ MILLION</w:t>
            </w:r>
          </w:p>
        </w:tc>
      </w:tr>
      <w:tr>
        <w:trPr>
          <w:trHeight w:val="129"/>
        </w:trPr>
        <w:tc>
          <w:tcPr>
            <w:tcW w:w="5600" w:type="dxa"/>
            <w:vAlign w:val="bottom"/>
          </w:tcPr>
          <w:p>
            <w:pPr>
              <w:spacing w:after="0"/>
              <w:rPr>
                <w:sz w:val="11"/>
                <w:szCs w:val="11"/>
                <w:color w:val="auto"/>
              </w:rPr>
            </w:pPr>
          </w:p>
        </w:tc>
        <w:tc>
          <w:tcPr>
            <w:tcW w:w="3260" w:type="dxa"/>
            <w:vAlign w:val="bottom"/>
            <w:gridSpan w:val="3"/>
          </w:tcPr>
          <w:p>
            <w:pPr>
              <w:jc w:val="right"/>
              <w:ind w:right="780"/>
              <w:spacing w:after="0" w:line="129" w:lineRule="exact"/>
              <w:rPr>
                <w:sz w:val="20"/>
                <w:szCs w:val="20"/>
                <w:color w:val="auto"/>
              </w:rPr>
            </w:pPr>
            <w:r>
              <w:rPr>
                <w:rFonts w:ascii="Arial" w:cs="Arial" w:eastAsia="Arial" w:hAnsi="Arial"/>
                <w:sz w:val="13"/>
                <w:szCs w:val="13"/>
                <w:color w:val="auto"/>
              </w:rPr>
              <w:t>Amounts due from subsidiaries</w:t>
            </w:r>
          </w:p>
        </w:tc>
        <w:tc>
          <w:tcPr>
            <w:tcW w:w="2560" w:type="dxa"/>
            <w:vAlign w:val="bottom"/>
            <w:gridSpan w:val="2"/>
          </w:tcPr>
          <w:p>
            <w:pPr>
              <w:jc w:val="right"/>
              <w:ind w:right="270"/>
              <w:spacing w:after="0" w:line="129" w:lineRule="exact"/>
              <w:rPr>
                <w:sz w:val="20"/>
                <w:szCs w:val="20"/>
                <w:color w:val="auto"/>
              </w:rPr>
            </w:pPr>
            <w:r>
              <w:rPr>
                <w:rFonts w:ascii="Arial" w:cs="Arial" w:eastAsia="Arial" w:hAnsi="Arial"/>
                <w:sz w:val="13"/>
                <w:szCs w:val="13"/>
                <w:color w:val="auto"/>
              </w:rPr>
              <w:t>Amounts due to subsidiaries</w:t>
            </w:r>
          </w:p>
        </w:tc>
      </w:tr>
      <w:tr>
        <w:trPr>
          <w:trHeight w:val="141"/>
        </w:trPr>
        <w:tc>
          <w:tcPr>
            <w:tcW w:w="56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2040" w:type="dxa"/>
            <w:vAlign w:val="bottom"/>
            <w:gridSpan w:val="2"/>
          </w:tcPr>
          <w:p>
            <w:pPr>
              <w:jc w:val="right"/>
              <w:ind w:right="780"/>
              <w:spacing w:after="0" w:line="141" w:lineRule="exact"/>
              <w:rPr>
                <w:sz w:val="20"/>
                <w:szCs w:val="20"/>
                <w:color w:val="auto"/>
              </w:rPr>
            </w:pPr>
            <w:r>
              <w:rPr>
                <w:rFonts w:ascii="Arial" w:cs="Arial" w:eastAsia="Arial" w:hAnsi="Arial"/>
                <w:sz w:val="13"/>
                <w:szCs w:val="13"/>
                <w:color w:val="auto"/>
              </w:rPr>
              <w:t>(See Note 5)</w:t>
            </w:r>
          </w:p>
        </w:tc>
        <w:tc>
          <w:tcPr>
            <w:tcW w:w="1080" w:type="dxa"/>
            <w:vAlign w:val="bottom"/>
          </w:tcPr>
          <w:p>
            <w:pPr>
              <w:spacing w:after="0"/>
              <w:rPr>
                <w:sz w:val="12"/>
                <w:szCs w:val="12"/>
                <w:color w:val="auto"/>
              </w:rPr>
            </w:pPr>
          </w:p>
        </w:tc>
        <w:tc>
          <w:tcPr>
            <w:tcW w:w="1480" w:type="dxa"/>
            <w:vAlign w:val="bottom"/>
          </w:tcPr>
          <w:p>
            <w:pPr>
              <w:jc w:val="right"/>
              <w:ind w:right="270"/>
              <w:spacing w:after="0" w:line="141" w:lineRule="exact"/>
              <w:rPr>
                <w:sz w:val="20"/>
                <w:szCs w:val="20"/>
                <w:color w:val="auto"/>
              </w:rPr>
            </w:pPr>
            <w:r>
              <w:rPr>
                <w:rFonts w:ascii="Arial" w:cs="Arial" w:eastAsia="Arial" w:hAnsi="Arial"/>
                <w:sz w:val="13"/>
                <w:szCs w:val="13"/>
                <w:color w:val="auto"/>
              </w:rPr>
              <w:t>(See Note 7)</w:t>
            </w:r>
          </w:p>
        </w:tc>
      </w:tr>
      <w:tr>
        <w:trPr>
          <w:trHeight w:val="129"/>
        </w:trPr>
        <w:tc>
          <w:tcPr>
            <w:tcW w:w="5600" w:type="dxa"/>
            <w:vAlign w:val="bottom"/>
            <w:tcBorders>
              <w:bottom w:val="single" w:sz="8" w:color="auto"/>
            </w:tcBorders>
          </w:tcPr>
          <w:p>
            <w:pPr>
              <w:spacing w:after="0"/>
              <w:rPr>
                <w:sz w:val="11"/>
                <w:szCs w:val="11"/>
                <w:color w:val="auto"/>
              </w:rPr>
            </w:pPr>
          </w:p>
        </w:tc>
        <w:tc>
          <w:tcPr>
            <w:tcW w:w="1220" w:type="dxa"/>
            <w:vAlign w:val="bottom"/>
            <w:tcBorders>
              <w:top w:val="single" w:sz="8" w:color="auto"/>
              <w:bottom w:val="single" w:sz="8" w:color="auto"/>
            </w:tcBorders>
            <w:shd w:val="clear" w:color="auto" w:fill="D8D8D8"/>
          </w:tcPr>
          <w:p>
            <w:pPr>
              <w:jc w:val="right"/>
              <w:ind w:right="271"/>
              <w:spacing w:after="0" w:line="129" w:lineRule="exact"/>
              <w:rPr>
                <w:sz w:val="20"/>
                <w:szCs w:val="20"/>
                <w:color w:val="auto"/>
              </w:rPr>
            </w:pPr>
            <w:r>
              <w:rPr>
                <w:rFonts w:ascii="Arial" w:cs="Arial" w:eastAsia="Arial" w:hAnsi="Arial"/>
                <w:sz w:val="13"/>
                <w:szCs w:val="13"/>
                <w:color w:val="auto"/>
              </w:rPr>
              <w:t>2014</w:t>
            </w:r>
          </w:p>
        </w:tc>
        <w:tc>
          <w:tcPr>
            <w:tcW w:w="1340" w:type="dxa"/>
            <w:vAlign w:val="bottom"/>
            <w:tcBorders>
              <w:top w:val="single" w:sz="8" w:color="auto"/>
              <w:bottom w:val="single" w:sz="8" w:color="auto"/>
            </w:tcBorders>
          </w:tcPr>
          <w:p>
            <w:pPr>
              <w:jc w:val="right"/>
              <w:ind w:right="11"/>
              <w:spacing w:after="0" w:line="129" w:lineRule="exact"/>
              <w:rPr>
                <w:sz w:val="20"/>
                <w:szCs w:val="20"/>
                <w:color w:val="auto"/>
              </w:rPr>
            </w:pPr>
            <w:r>
              <w:rPr>
                <w:rFonts w:ascii="Arial" w:cs="Arial" w:eastAsia="Arial" w:hAnsi="Arial"/>
                <w:sz w:val="13"/>
                <w:szCs w:val="13"/>
                <w:color w:val="auto"/>
              </w:rPr>
              <w:t>2013</w:t>
            </w:r>
          </w:p>
        </w:tc>
        <w:tc>
          <w:tcPr>
            <w:tcW w:w="700" w:type="dxa"/>
            <w:vAlign w:val="bottom"/>
            <w:tcBorders>
              <w:bottom w:val="single" w:sz="8" w:color="auto"/>
            </w:tcBorders>
          </w:tcPr>
          <w:p>
            <w:pPr>
              <w:spacing w:after="0"/>
              <w:rPr>
                <w:sz w:val="11"/>
                <w:szCs w:val="11"/>
                <w:color w:val="auto"/>
              </w:rPr>
            </w:pPr>
          </w:p>
        </w:tc>
        <w:tc>
          <w:tcPr>
            <w:tcW w:w="1080" w:type="dxa"/>
            <w:vAlign w:val="bottom"/>
            <w:tcBorders>
              <w:top w:val="single" w:sz="8" w:color="auto"/>
              <w:bottom w:val="single" w:sz="8" w:color="auto"/>
            </w:tcBorders>
            <w:shd w:val="clear" w:color="auto" w:fill="D8D8D8"/>
          </w:tcPr>
          <w:p>
            <w:pPr>
              <w:jc w:val="right"/>
              <w:ind w:right="251"/>
              <w:spacing w:after="0" w:line="129" w:lineRule="exact"/>
              <w:rPr>
                <w:sz w:val="20"/>
                <w:szCs w:val="20"/>
                <w:color w:val="auto"/>
              </w:rPr>
            </w:pPr>
            <w:r>
              <w:rPr>
                <w:rFonts w:ascii="Arial" w:cs="Arial" w:eastAsia="Arial" w:hAnsi="Arial"/>
                <w:sz w:val="13"/>
                <w:szCs w:val="13"/>
                <w:color w:val="auto"/>
              </w:rPr>
              <w:t>2014</w:t>
            </w:r>
          </w:p>
        </w:tc>
        <w:tc>
          <w:tcPr>
            <w:tcW w:w="1480" w:type="dxa"/>
            <w:vAlign w:val="bottom"/>
            <w:tcBorders>
              <w:top w:val="single" w:sz="8" w:color="auto"/>
              <w:bottom w:val="single" w:sz="8" w:color="auto"/>
            </w:tcBorders>
          </w:tcPr>
          <w:p>
            <w:pPr>
              <w:jc w:val="right"/>
              <w:ind w:right="270"/>
              <w:spacing w:after="0" w:line="129" w:lineRule="exact"/>
              <w:rPr>
                <w:sz w:val="20"/>
                <w:szCs w:val="20"/>
                <w:color w:val="auto"/>
              </w:rPr>
            </w:pPr>
            <w:r>
              <w:rPr>
                <w:rFonts w:ascii="Arial" w:cs="Arial" w:eastAsia="Arial" w:hAnsi="Arial"/>
                <w:sz w:val="13"/>
                <w:szCs w:val="13"/>
                <w:color w:val="auto"/>
              </w:rPr>
              <w:t>2013</w:t>
            </w:r>
          </w:p>
        </w:tc>
      </w:tr>
      <w:tr>
        <w:trPr>
          <w:trHeight w:val="156"/>
        </w:trPr>
        <w:tc>
          <w:tcPr>
            <w:tcW w:w="5600" w:type="dxa"/>
            <w:vAlign w:val="bottom"/>
          </w:tcPr>
          <w:p>
            <w:pPr>
              <w:spacing w:after="0" w:line="155" w:lineRule="exact"/>
              <w:rPr>
                <w:sz w:val="20"/>
                <w:szCs w:val="20"/>
                <w:color w:val="auto"/>
              </w:rPr>
            </w:pPr>
            <w:r>
              <w:rPr>
                <w:rFonts w:ascii="Arial" w:cs="Arial" w:eastAsia="Arial" w:hAnsi="Arial"/>
                <w:sz w:val="14"/>
                <w:szCs w:val="14"/>
                <w:color w:val="auto"/>
              </w:rPr>
              <w:t>Shell Petroleum</w:t>
            </w:r>
          </w:p>
        </w:tc>
        <w:tc>
          <w:tcPr>
            <w:tcW w:w="1220" w:type="dxa"/>
            <w:vAlign w:val="bottom"/>
            <w:shd w:val="clear" w:color="auto" w:fill="D8D8D8"/>
          </w:tcPr>
          <w:p>
            <w:pPr>
              <w:jc w:val="right"/>
              <w:ind w:right="271"/>
              <w:spacing w:after="0" w:line="155" w:lineRule="exact"/>
              <w:rPr>
                <w:sz w:val="20"/>
                <w:szCs w:val="20"/>
                <w:color w:val="auto"/>
              </w:rPr>
            </w:pPr>
            <w:r>
              <w:rPr>
                <w:rFonts w:ascii="Arial" w:cs="Arial" w:eastAsia="Arial" w:hAnsi="Arial"/>
                <w:sz w:val="14"/>
                <w:szCs w:val="14"/>
                <w:color w:val="auto"/>
              </w:rPr>
              <w:t>20,650</w:t>
            </w:r>
          </w:p>
        </w:tc>
        <w:tc>
          <w:tcPr>
            <w:tcW w:w="1340" w:type="dxa"/>
            <w:vAlign w:val="bottom"/>
          </w:tcPr>
          <w:p>
            <w:pPr>
              <w:jc w:val="right"/>
              <w:ind w:right="11"/>
              <w:spacing w:after="0" w:line="155" w:lineRule="exact"/>
              <w:rPr>
                <w:sz w:val="20"/>
                <w:szCs w:val="20"/>
                <w:color w:val="auto"/>
              </w:rPr>
            </w:pPr>
            <w:r>
              <w:rPr>
                <w:rFonts w:ascii="Arial" w:cs="Arial" w:eastAsia="Arial" w:hAnsi="Arial"/>
                <w:sz w:val="14"/>
                <w:szCs w:val="14"/>
                <w:color w:val="auto"/>
              </w:rPr>
              <w:t>14,800</w:t>
            </w:r>
          </w:p>
        </w:tc>
        <w:tc>
          <w:tcPr>
            <w:tcW w:w="700" w:type="dxa"/>
            <w:vAlign w:val="bottom"/>
          </w:tcPr>
          <w:p>
            <w:pPr>
              <w:spacing w:after="0"/>
              <w:rPr>
                <w:sz w:val="13"/>
                <w:szCs w:val="13"/>
                <w:color w:val="auto"/>
              </w:rPr>
            </w:pPr>
          </w:p>
        </w:tc>
        <w:tc>
          <w:tcPr>
            <w:tcW w:w="1080" w:type="dxa"/>
            <w:vAlign w:val="bottom"/>
            <w:shd w:val="clear" w:color="auto" w:fill="D8D8D8"/>
          </w:tcPr>
          <w:p>
            <w:pPr>
              <w:jc w:val="right"/>
              <w:ind w:right="251"/>
              <w:spacing w:after="0" w:line="155" w:lineRule="exact"/>
              <w:rPr>
                <w:sz w:val="20"/>
                <w:szCs w:val="20"/>
                <w:color w:val="auto"/>
              </w:rPr>
            </w:pPr>
            <w:r>
              <w:rPr>
                <w:rFonts w:ascii="Arial" w:cs="Arial" w:eastAsia="Arial" w:hAnsi="Arial"/>
                <w:sz w:val="14"/>
                <w:szCs w:val="14"/>
                <w:color w:val="auto"/>
              </w:rPr>
              <w:t>455</w:t>
            </w:r>
          </w:p>
        </w:tc>
        <w:tc>
          <w:tcPr>
            <w:tcW w:w="1480" w:type="dxa"/>
            <w:vAlign w:val="bottom"/>
          </w:tcPr>
          <w:p>
            <w:pPr>
              <w:jc w:val="right"/>
              <w:ind w:right="270"/>
              <w:spacing w:after="0" w:line="155" w:lineRule="exact"/>
              <w:rPr>
                <w:sz w:val="20"/>
                <w:szCs w:val="20"/>
                <w:color w:val="auto"/>
              </w:rPr>
            </w:pPr>
            <w:r>
              <w:rPr>
                <w:rFonts w:ascii="Arial" w:cs="Arial" w:eastAsia="Arial" w:hAnsi="Arial"/>
                <w:sz w:val="14"/>
                <w:szCs w:val="14"/>
                <w:color w:val="auto"/>
              </w:rPr>
              <w:t>497</w:t>
            </w:r>
          </w:p>
        </w:tc>
      </w:tr>
      <w:tr>
        <w:trPr>
          <w:trHeight w:val="162"/>
        </w:trPr>
        <w:tc>
          <w:tcPr>
            <w:tcW w:w="5600" w:type="dxa"/>
            <w:vAlign w:val="bottom"/>
          </w:tcPr>
          <w:p>
            <w:pPr>
              <w:spacing w:after="0"/>
              <w:rPr>
                <w:sz w:val="20"/>
                <w:szCs w:val="20"/>
                <w:color w:val="auto"/>
              </w:rPr>
            </w:pPr>
            <w:r>
              <w:rPr>
                <w:rFonts w:ascii="Arial" w:cs="Arial" w:eastAsia="Arial" w:hAnsi="Arial"/>
                <w:sz w:val="14"/>
                <w:szCs w:val="14"/>
                <w:color w:val="auto"/>
              </w:rPr>
              <w:t>Shell Treasury Luxembourg Sarl</w:t>
            </w:r>
          </w:p>
        </w:tc>
        <w:tc>
          <w:tcPr>
            <w:tcW w:w="1220" w:type="dxa"/>
            <w:vAlign w:val="bottom"/>
            <w:shd w:val="clear" w:color="auto" w:fill="D8D8D8"/>
          </w:tcPr>
          <w:p>
            <w:pPr>
              <w:jc w:val="right"/>
              <w:ind w:right="271"/>
              <w:spacing w:after="0"/>
              <w:rPr>
                <w:sz w:val="20"/>
                <w:szCs w:val="20"/>
                <w:color w:val="auto"/>
              </w:rPr>
            </w:pPr>
            <w:r>
              <w:rPr>
                <w:rFonts w:ascii="Arial" w:cs="Arial" w:eastAsia="Arial" w:hAnsi="Arial"/>
                <w:sz w:val="14"/>
                <w:szCs w:val="14"/>
                <w:color w:val="auto"/>
              </w:rPr>
              <w:t>–</w:t>
            </w:r>
          </w:p>
        </w:tc>
        <w:tc>
          <w:tcPr>
            <w:tcW w:w="1340" w:type="dxa"/>
            <w:vAlign w:val="bottom"/>
          </w:tcPr>
          <w:p>
            <w:pPr>
              <w:jc w:val="right"/>
              <w:ind w:right="11"/>
              <w:spacing w:after="0"/>
              <w:rPr>
                <w:sz w:val="20"/>
                <w:szCs w:val="20"/>
                <w:color w:val="auto"/>
              </w:rPr>
            </w:pPr>
            <w:r>
              <w:rPr>
                <w:rFonts w:ascii="Arial" w:cs="Arial" w:eastAsia="Arial" w:hAnsi="Arial"/>
                <w:sz w:val="14"/>
                <w:szCs w:val="14"/>
                <w:color w:val="auto"/>
              </w:rPr>
              <w:t>227</w:t>
            </w:r>
          </w:p>
        </w:tc>
        <w:tc>
          <w:tcPr>
            <w:tcW w:w="700" w:type="dxa"/>
            <w:vAlign w:val="bottom"/>
          </w:tcPr>
          <w:p>
            <w:pPr>
              <w:spacing w:after="0"/>
              <w:rPr>
                <w:sz w:val="14"/>
                <w:szCs w:val="14"/>
                <w:color w:val="auto"/>
              </w:rPr>
            </w:pPr>
          </w:p>
        </w:tc>
        <w:tc>
          <w:tcPr>
            <w:tcW w:w="1080" w:type="dxa"/>
            <w:vAlign w:val="bottom"/>
            <w:shd w:val="clear" w:color="auto" w:fill="D8D8D8"/>
          </w:tcPr>
          <w:p>
            <w:pPr>
              <w:jc w:val="right"/>
              <w:ind w:right="251"/>
              <w:spacing w:after="0"/>
              <w:rPr>
                <w:sz w:val="20"/>
                <w:szCs w:val="20"/>
                <w:color w:val="auto"/>
              </w:rPr>
            </w:pPr>
            <w:r>
              <w:rPr>
                <w:rFonts w:ascii="Arial" w:cs="Arial" w:eastAsia="Arial" w:hAnsi="Arial"/>
                <w:sz w:val="14"/>
                <w:szCs w:val="14"/>
                <w:color w:val="auto"/>
              </w:rPr>
              <w:t>1,724</w:t>
            </w:r>
          </w:p>
        </w:tc>
        <w:tc>
          <w:tcPr>
            <w:tcW w:w="1480" w:type="dxa"/>
            <w:vAlign w:val="bottom"/>
          </w:tcPr>
          <w:p>
            <w:pPr>
              <w:jc w:val="right"/>
              <w:ind w:right="270"/>
              <w:spacing w:after="0"/>
              <w:rPr>
                <w:sz w:val="20"/>
                <w:szCs w:val="20"/>
                <w:color w:val="auto"/>
              </w:rPr>
            </w:pPr>
            <w:r>
              <w:rPr>
                <w:rFonts w:ascii="Arial" w:cs="Arial" w:eastAsia="Arial" w:hAnsi="Arial"/>
                <w:sz w:val="14"/>
                <w:szCs w:val="14"/>
                <w:color w:val="auto"/>
              </w:rPr>
              <w:t>–</w:t>
            </w:r>
          </w:p>
        </w:tc>
      </w:tr>
      <w:tr>
        <w:trPr>
          <w:trHeight w:val="162"/>
        </w:trPr>
        <w:tc>
          <w:tcPr>
            <w:tcW w:w="560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Shell International Finance B.V.</w:t>
            </w:r>
          </w:p>
        </w:tc>
        <w:tc>
          <w:tcPr>
            <w:tcW w:w="1220" w:type="dxa"/>
            <w:vAlign w:val="bottom"/>
            <w:tcBorders>
              <w:bottom w:val="single" w:sz="8" w:color="auto"/>
            </w:tcBorders>
            <w:shd w:val="clear" w:color="auto" w:fill="D8D8D8"/>
          </w:tcPr>
          <w:p>
            <w:pPr>
              <w:jc w:val="right"/>
              <w:ind w:right="271"/>
              <w:spacing w:after="0"/>
              <w:rPr>
                <w:sz w:val="20"/>
                <w:szCs w:val="20"/>
                <w:color w:val="auto"/>
              </w:rPr>
            </w:pPr>
            <w:r>
              <w:rPr>
                <w:rFonts w:ascii="Arial" w:cs="Arial" w:eastAsia="Arial" w:hAnsi="Arial"/>
                <w:sz w:val="14"/>
                <w:szCs w:val="14"/>
                <w:color w:val="auto"/>
              </w:rPr>
              <w:t>2</w:t>
            </w:r>
          </w:p>
        </w:tc>
        <w:tc>
          <w:tcPr>
            <w:tcW w:w="2040" w:type="dxa"/>
            <w:vAlign w:val="bottom"/>
            <w:tcBorders>
              <w:bottom w:val="single" w:sz="8" w:color="auto"/>
            </w:tcBorders>
            <w:gridSpan w:val="2"/>
          </w:tcPr>
          <w:p>
            <w:pPr>
              <w:jc w:val="right"/>
              <w:ind w:right="780"/>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shd w:val="clear" w:color="auto" w:fill="D8D8D8"/>
          </w:tcPr>
          <w:p>
            <w:pPr>
              <w:jc w:val="right"/>
              <w:ind w:right="251"/>
              <w:spacing w:after="0"/>
              <w:rPr>
                <w:sz w:val="20"/>
                <w:szCs w:val="20"/>
                <w:color w:val="auto"/>
              </w:rPr>
            </w:pPr>
            <w:r>
              <w:rPr>
                <w:rFonts w:ascii="Arial" w:cs="Arial" w:eastAsia="Arial" w:hAnsi="Arial"/>
                <w:sz w:val="14"/>
                <w:szCs w:val="14"/>
                <w:color w:val="auto"/>
              </w:rPr>
              <w:t>–</w:t>
            </w:r>
          </w:p>
        </w:tc>
        <w:tc>
          <w:tcPr>
            <w:tcW w:w="1480" w:type="dxa"/>
            <w:vAlign w:val="bottom"/>
            <w:tcBorders>
              <w:bottom w:val="single" w:sz="8" w:color="auto"/>
            </w:tcBorders>
          </w:tcPr>
          <w:p>
            <w:pPr>
              <w:jc w:val="right"/>
              <w:ind w:right="270"/>
              <w:spacing w:after="0"/>
              <w:rPr>
                <w:sz w:val="20"/>
                <w:szCs w:val="20"/>
                <w:color w:val="auto"/>
              </w:rPr>
            </w:pPr>
            <w:r>
              <w:rPr>
                <w:rFonts w:ascii="Arial" w:cs="Arial" w:eastAsia="Arial" w:hAnsi="Arial"/>
                <w:sz w:val="14"/>
                <w:szCs w:val="14"/>
                <w:color w:val="auto"/>
              </w:rPr>
              <w:t>–</w:t>
            </w:r>
          </w:p>
        </w:tc>
      </w:tr>
      <w:tr>
        <w:trPr>
          <w:trHeight w:val="156"/>
        </w:trPr>
        <w:tc>
          <w:tcPr>
            <w:tcW w:w="5600" w:type="dxa"/>
            <w:vAlign w:val="bottom"/>
            <w:tcBorders>
              <w:bottom w:val="single" w:sz="8" w:color="auto"/>
            </w:tcBorders>
          </w:tcPr>
          <w:p>
            <w:pPr>
              <w:spacing w:after="0" w:line="155" w:lineRule="exact"/>
              <w:rPr>
                <w:sz w:val="20"/>
                <w:szCs w:val="20"/>
                <w:color w:val="auto"/>
              </w:rPr>
            </w:pPr>
            <w:r>
              <w:rPr>
                <w:rFonts w:ascii="Arial" w:cs="Arial" w:eastAsia="Arial" w:hAnsi="Arial"/>
                <w:sz w:val="14"/>
                <w:szCs w:val="14"/>
                <w:color w:val="auto"/>
              </w:rPr>
              <w:t>Total</w:t>
            </w:r>
          </w:p>
        </w:tc>
        <w:tc>
          <w:tcPr>
            <w:tcW w:w="1220" w:type="dxa"/>
            <w:vAlign w:val="bottom"/>
            <w:tcBorders>
              <w:bottom w:val="single" w:sz="8" w:color="auto"/>
            </w:tcBorders>
            <w:shd w:val="clear" w:color="auto" w:fill="D8D8D8"/>
          </w:tcPr>
          <w:p>
            <w:pPr>
              <w:jc w:val="right"/>
              <w:ind w:right="271"/>
              <w:spacing w:after="0" w:line="155" w:lineRule="exact"/>
              <w:rPr>
                <w:sz w:val="20"/>
                <w:szCs w:val="20"/>
                <w:color w:val="auto"/>
              </w:rPr>
            </w:pPr>
            <w:r>
              <w:rPr>
                <w:rFonts w:ascii="Arial" w:cs="Arial" w:eastAsia="Arial" w:hAnsi="Arial"/>
                <w:sz w:val="14"/>
                <w:szCs w:val="14"/>
                <w:color w:val="auto"/>
              </w:rPr>
              <w:t>20,652</w:t>
            </w:r>
          </w:p>
        </w:tc>
        <w:tc>
          <w:tcPr>
            <w:tcW w:w="1340" w:type="dxa"/>
            <w:vAlign w:val="bottom"/>
            <w:tcBorders>
              <w:bottom w:val="single" w:sz="8" w:color="auto"/>
            </w:tcBorders>
          </w:tcPr>
          <w:p>
            <w:pPr>
              <w:jc w:val="right"/>
              <w:ind w:right="11"/>
              <w:spacing w:after="0" w:line="155" w:lineRule="exact"/>
              <w:rPr>
                <w:sz w:val="20"/>
                <w:szCs w:val="20"/>
                <w:color w:val="auto"/>
              </w:rPr>
            </w:pPr>
            <w:r>
              <w:rPr>
                <w:rFonts w:ascii="Arial" w:cs="Arial" w:eastAsia="Arial" w:hAnsi="Arial"/>
                <w:sz w:val="14"/>
                <w:szCs w:val="14"/>
                <w:color w:val="auto"/>
              </w:rPr>
              <w:t>15,027</w:t>
            </w:r>
          </w:p>
        </w:tc>
        <w:tc>
          <w:tcPr>
            <w:tcW w:w="70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shd w:val="clear" w:color="auto" w:fill="D8D8D8"/>
          </w:tcPr>
          <w:p>
            <w:pPr>
              <w:jc w:val="right"/>
              <w:ind w:right="251"/>
              <w:spacing w:after="0" w:line="155" w:lineRule="exact"/>
              <w:rPr>
                <w:sz w:val="20"/>
                <w:szCs w:val="20"/>
                <w:color w:val="auto"/>
              </w:rPr>
            </w:pPr>
            <w:r>
              <w:rPr>
                <w:rFonts w:ascii="Arial" w:cs="Arial" w:eastAsia="Arial" w:hAnsi="Arial"/>
                <w:sz w:val="14"/>
                <w:szCs w:val="14"/>
                <w:color w:val="auto"/>
              </w:rPr>
              <w:t>2,179</w:t>
            </w:r>
          </w:p>
        </w:tc>
        <w:tc>
          <w:tcPr>
            <w:tcW w:w="1480" w:type="dxa"/>
            <w:vAlign w:val="bottom"/>
            <w:tcBorders>
              <w:bottom w:val="single" w:sz="8" w:color="auto"/>
            </w:tcBorders>
          </w:tcPr>
          <w:p>
            <w:pPr>
              <w:jc w:val="right"/>
              <w:ind w:right="270"/>
              <w:spacing w:after="0" w:line="155" w:lineRule="exact"/>
              <w:rPr>
                <w:sz w:val="20"/>
                <w:szCs w:val="20"/>
                <w:color w:val="auto"/>
              </w:rPr>
            </w:pPr>
            <w:r>
              <w:rPr>
                <w:rFonts w:ascii="Arial" w:cs="Arial" w:eastAsia="Arial" w:hAnsi="Arial"/>
                <w:sz w:val="14"/>
                <w:szCs w:val="14"/>
                <w:color w:val="auto"/>
              </w:rPr>
              <w:t>497</w:t>
            </w:r>
          </w:p>
        </w:tc>
      </w:tr>
    </w:tbl>
    <w:p>
      <w:pPr>
        <w:spacing w:after="0" w:line="194" w:lineRule="exact"/>
        <w:rPr>
          <w:sz w:val="20"/>
          <w:szCs w:val="20"/>
          <w:color w:val="auto"/>
        </w:rPr>
      </w:pPr>
    </w:p>
    <w:p>
      <w:pPr>
        <w:ind w:right="100"/>
        <w:spacing w:after="0" w:line="258" w:lineRule="auto"/>
        <w:rPr>
          <w:sz w:val="20"/>
          <w:szCs w:val="20"/>
          <w:color w:val="auto"/>
        </w:rPr>
      </w:pPr>
      <w:r>
        <w:rPr>
          <w:rFonts w:ascii="Arial" w:cs="Arial" w:eastAsia="Arial" w:hAnsi="Arial"/>
          <w:sz w:val="14"/>
          <w:szCs w:val="14"/>
          <w:color w:val="auto"/>
        </w:rPr>
        <w:t>The amount due from Shell Petroleum, which is denominated in dollars, is repayable on demand. Interest is calculated at US LIBOR less 0.125% and interest income in 2014 was less than $1 million (2013: $1 million).</w:t>
      </w:r>
    </w:p>
    <w:p>
      <w:pPr>
        <w:sectPr>
          <w:pgSz w:w="11900" w:h="16838" w:orient="portrait"/>
          <w:cols w:equalWidth="0" w:num="1">
            <w:col w:w="11420"/>
          </w:cols>
          <w:pgMar w:left="240" w:top="460" w:right="239" w:bottom="1440" w:gutter="0" w:footer="0" w:header="0"/>
        </w:sectPr>
      </w:pPr>
    </w:p>
    <w:bookmarkStart w:id="171" w:name="page172"/>
    <w:bookmarkEnd w:id="1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536575</wp:posOffset>
            </wp:positionH>
            <wp:positionV relativeFrom="paragraph">
              <wp:posOffset>300355</wp:posOffset>
            </wp:positionV>
            <wp:extent cx="8890" cy="462915"/>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18">
                      <a:extLst>
                        <a:ext uri="{28A0092B-C50C-407E-A947-70E740481C1C}"/>
                      </a:extLst>
                    </a:blip>
                    <a:srcRect/>
                    <a:stretch>
                      <a:fillRect/>
                    </a:stretch>
                  </pic:blipFill>
                  <pic:spPr bwMode="auto">
                    <a:xfrm>
                      <a:off x="0" y="0"/>
                      <a:ext cx="8890" cy="462915"/>
                    </a:xfrm>
                    <a:prstGeom prst="rect">
                      <a:avLst/>
                    </a:prstGeom>
                    <a:noFill/>
                  </pic:spPr>
                </pic:pic>
              </a:graphicData>
            </a:graphic>
          </wp:anchor>
        </w:drawing>
      </w:r>
    </w:p>
    <w:p>
      <w:pPr>
        <w:spacing w:after="0" w:line="200" w:lineRule="exact"/>
        <w:rPr>
          <w:sz w:val="20"/>
          <w:szCs w:val="20"/>
          <w:color w:val="auto"/>
        </w:rPr>
      </w:pP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565"/>
        </w:trPr>
        <w:tc>
          <w:tcPr>
            <w:tcW w:w="1540" w:type="dxa"/>
            <w:vAlign w:val="bottom"/>
            <w:shd w:val="clear" w:color="auto" w:fill="FF8B00"/>
          </w:tcPr>
          <w:p>
            <w:pPr>
              <w:jc w:val="right"/>
              <w:ind w:right="966"/>
              <w:spacing w:after="0"/>
              <w:rPr>
                <w:sz w:val="20"/>
                <w:szCs w:val="20"/>
                <w:color w:val="auto"/>
              </w:rPr>
            </w:pPr>
            <w:r>
              <w:rPr>
                <w:rFonts w:ascii="Arial" w:cs="Arial" w:eastAsia="Arial" w:hAnsi="Arial"/>
                <w:sz w:val="11"/>
                <w:szCs w:val="11"/>
                <w:b w:val="1"/>
                <w:bCs w:val="1"/>
                <w:color w:val="333333"/>
              </w:rPr>
              <w:t>170</w:t>
            </w:r>
          </w:p>
        </w:tc>
        <w:tc>
          <w:tcPr>
            <w:tcW w:w="4180" w:type="dxa"/>
            <w:vAlign w:val="bottom"/>
            <w:shd w:val="clear" w:color="auto" w:fill="FF8B00"/>
          </w:tcPr>
          <w:p>
            <w:pPr>
              <w:jc w:val="right"/>
              <w:ind w:right="721"/>
              <w:spacing w:after="0"/>
              <w:rPr>
                <w:sz w:val="20"/>
                <w:szCs w:val="20"/>
                <w:color w:val="auto"/>
              </w:rPr>
            </w:pPr>
            <w:r>
              <w:rPr>
                <w:rFonts w:ascii="Arial" w:cs="Arial" w:eastAsia="Arial" w:hAnsi="Arial"/>
                <w:sz w:val="13"/>
                <w:szCs w:val="13"/>
                <w:color w:val="333333"/>
              </w:rPr>
              <w:t>FINANCIAL STATEMENTS AND SUPPLEMENTS</w:t>
            </w:r>
          </w:p>
        </w:tc>
        <w:tc>
          <w:tcPr>
            <w:tcW w:w="5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5"/>
        </w:trPr>
        <w:tc>
          <w:tcPr>
            <w:tcW w:w="1540" w:type="dxa"/>
            <w:vAlign w:val="bottom"/>
            <w:shd w:val="clear" w:color="auto" w:fill="FF8B00"/>
          </w:tcPr>
          <w:p>
            <w:pPr>
              <w:spacing w:after="0"/>
              <w:rPr>
                <w:sz w:val="14"/>
                <w:szCs w:val="14"/>
                <w:color w:val="auto"/>
              </w:rPr>
            </w:pPr>
          </w:p>
        </w:tc>
        <w:tc>
          <w:tcPr>
            <w:tcW w:w="4180" w:type="dxa"/>
            <w:vAlign w:val="bottom"/>
            <w:shd w:val="clear" w:color="auto" w:fill="FF8B00"/>
          </w:tcPr>
          <w:p>
            <w:pPr>
              <w:spacing w:after="0"/>
              <w:rPr>
                <w:sz w:val="14"/>
                <w:szCs w:val="14"/>
                <w:color w:val="auto"/>
              </w:rPr>
            </w:pPr>
          </w:p>
        </w:tc>
        <w:tc>
          <w:tcPr>
            <w:tcW w:w="5700" w:type="dxa"/>
            <w:vAlign w:val="bottom"/>
            <w:vMerge w:val="restart"/>
          </w:tcPr>
          <w:p>
            <w:pPr>
              <w:ind w:left="3300"/>
              <w:spacing w:after="0"/>
              <w:rPr>
                <w:sz w:val="20"/>
                <w:szCs w:val="20"/>
                <w:color w:val="auto"/>
              </w:rPr>
            </w:pPr>
            <w:r>
              <w:rPr>
                <w:rFonts w:ascii="Arial" w:cs="Arial" w:eastAsia="Arial" w:hAnsi="Arial"/>
                <w:sz w:val="11"/>
                <w:szCs w:val="11"/>
                <w:color w:val="auto"/>
                <w:w w:val="96"/>
              </w:rPr>
              <w:t>SHELL ANNUAL REPORT AND FORM 20-F 2014</w:t>
            </w:r>
          </w:p>
        </w:tc>
        <w:tc>
          <w:tcPr>
            <w:tcW w:w="0" w:type="dxa"/>
            <w:vAlign w:val="bottom"/>
          </w:tcPr>
          <w:p>
            <w:pPr>
              <w:spacing w:after="0"/>
              <w:rPr>
                <w:sz w:val="1"/>
                <w:szCs w:val="1"/>
                <w:color w:val="auto"/>
              </w:rPr>
            </w:pPr>
          </w:p>
        </w:tc>
      </w:tr>
      <w:tr>
        <w:trPr>
          <w:trHeight w:val="130"/>
        </w:trPr>
        <w:tc>
          <w:tcPr>
            <w:tcW w:w="1540" w:type="dxa"/>
            <w:vAlign w:val="bottom"/>
            <w:vMerge w:val="restart"/>
          </w:tcPr>
          <w:p>
            <w:pPr>
              <w:jc w:val="right"/>
              <w:ind w:right="546"/>
              <w:spacing w:after="0"/>
              <w:rPr>
                <w:sz w:val="20"/>
                <w:szCs w:val="20"/>
                <w:color w:val="auto"/>
              </w:rPr>
            </w:pPr>
            <w:r>
              <w:rPr>
                <w:rFonts w:ascii="Arial" w:cs="Arial" w:eastAsia="Arial" w:hAnsi="Arial"/>
                <w:sz w:val="11"/>
                <w:szCs w:val="11"/>
                <w:color w:val="auto"/>
                <w:w w:val="96"/>
              </w:rPr>
              <w:t>[Note 15 continued]</w:t>
            </w:r>
          </w:p>
        </w:tc>
        <w:tc>
          <w:tcPr>
            <w:tcW w:w="4180" w:type="dxa"/>
            <w:vAlign w:val="bottom"/>
          </w:tcPr>
          <w:p>
            <w:pPr>
              <w:jc w:val="right"/>
              <w:ind w:right="721"/>
              <w:spacing w:after="0"/>
              <w:rPr>
                <w:sz w:val="20"/>
                <w:szCs w:val="20"/>
                <w:color w:val="auto"/>
              </w:rPr>
            </w:pPr>
            <w:r>
              <w:rPr>
                <w:rFonts w:ascii="Arial" w:cs="Arial" w:eastAsia="Arial" w:hAnsi="Arial"/>
                <w:sz w:val="11"/>
                <w:szCs w:val="11"/>
                <w:color w:val="auto"/>
              </w:rPr>
              <w:t>PARENT COMPANY FINANCIAL STATEMENTS</w:t>
            </w:r>
          </w:p>
        </w:tc>
        <w:tc>
          <w:tcPr>
            <w:tcW w:w="57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18"/>
        </w:trPr>
        <w:tc>
          <w:tcPr>
            <w:tcW w:w="1540" w:type="dxa"/>
            <w:vAlign w:val="bottom"/>
            <w:vMerge w:val="continue"/>
          </w:tcPr>
          <w:p>
            <w:pPr>
              <w:spacing w:after="0"/>
              <w:rPr>
                <w:sz w:val="10"/>
                <w:szCs w:val="10"/>
                <w:color w:val="auto"/>
              </w:rPr>
            </w:pPr>
          </w:p>
        </w:tc>
        <w:tc>
          <w:tcPr>
            <w:tcW w:w="4180" w:type="dxa"/>
            <w:vAlign w:val="bottom"/>
          </w:tcPr>
          <w:p>
            <w:pPr>
              <w:spacing w:after="0"/>
              <w:rPr>
                <w:sz w:val="10"/>
                <w:szCs w:val="10"/>
                <w:color w:val="auto"/>
              </w:rPr>
            </w:pPr>
          </w:p>
        </w:tc>
        <w:tc>
          <w:tcPr>
            <w:tcW w:w="570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rPr>
          <w:sz w:val="20"/>
          <w:szCs w:val="20"/>
          <w:color w:val="auto"/>
        </w:rPr>
      </w:pPr>
      <w:r>
        <w:rPr>
          <w:rFonts w:ascii="Arial" w:cs="Arial" w:eastAsia="Arial" w:hAnsi="Arial"/>
          <w:sz w:val="14"/>
          <w:szCs w:val="14"/>
          <w:color w:val="auto"/>
        </w:rPr>
        <w:t>The net amount due to (2013: due from) Shell Treasury Luxembourg Sarl at December 31, 2014, comprises an interest-bearing receivable of €15,537 million (2013: €11,014</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million) and an interest-bearing payable of $20,610 million (2013: $14,939 million). Interest on euro balances is calculated at EONIA less 0.1% (2013: EONIA less 0.125%) and on</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dollar balances at US LIBOR (2013: US LIBOR). Net interest expense on these balances in 2014 was $7 million (2013: $18 million).</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Other transactions and balances</w:t>
      </w:r>
    </w:p>
    <w:p>
      <w:pPr>
        <w:spacing w:after="0" w:line="1" w:lineRule="exact"/>
        <w:rPr>
          <w:sz w:val="20"/>
          <w:szCs w:val="20"/>
          <w:color w:val="auto"/>
        </w:rPr>
      </w:pPr>
    </w:p>
    <w:p>
      <w:pPr>
        <w:ind w:right="640"/>
        <w:spacing w:after="0" w:line="258" w:lineRule="auto"/>
        <w:rPr>
          <w:sz w:val="20"/>
          <w:szCs w:val="20"/>
          <w:color w:val="auto"/>
        </w:rPr>
      </w:pPr>
      <w:r>
        <w:rPr>
          <w:rFonts w:ascii="Arial" w:cs="Arial" w:eastAsia="Arial" w:hAnsi="Arial"/>
          <w:sz w:val="14"/>
          <w:szCs w:val="14"/>
          <w:color w:val="auto"/>
        </w:rPr>
        <w:t>The Company enters into forward and spot foreign currency contracts with Treasury companies, which are subsidiaries. There were no open foreign currency contracts at December 31, 2014 or 2013.</w:t>
      </w:r>
    </w:p>
    <w:p>
      <w:pPr>
        <w:spacing w:after="0" w:line="167" w:lineRule="exact"/>
        <w:rPr>
          <w:sz w:val="20"/>
          <w:szCs w:val="20"/>
          <w:color w:val="auto"/>
        </w:rPr>
      </w:pPr>
    </w:p>
    <w:p>
      <w:pPr>
        <w:spacing w:after="0"/>
        <w:rPr>
          <w:sz w:val="20"/>
          <w:szCs w:val="20"/>
          <w:color w:val="auto"/>
        </w:rPr>
      </w:pPr>
      <w:r>
        <w:rPr>
          <w:rFonts w:ascii="Arial" w:cs="Arial" w:eastAsia="Arial" w:hAnsi="Arial"/>
          <w:sz w:val="14"/>
          <w:szCs w:val="14"/>
          <w:color w:val="auto"/>
        </w:rPr>
        <w:t>The Company settles general and administrative expenses of the Trust, including the auditor’s remuneration.</w:t>
      </w:r>
    </w:p>
    <w:p>
      <w:pPr>
        <w:spacing w:after="0" w:line="177" w:lineRule="exact"/>
        <w:rPr>
          <w:sz w:val="20"/>
          <w:szCs w:val="20"/>
          <w:color w:val="auto"/>
        </w:rPr>
      </w:pPr>
    </w:p>
    <w:p>
      <w:pPr>
        <w:ind w:right="20"/>
        <w:spacing w:after="0" w:line="258" w:lineRule="auto"/>
        <w:rPr>
          <w:sz w:val="20"/>
          <w:szCs w:val="20"/>
          <w:color w:val="auto"/>
        </w:rPr>
      </w:pPr>
      <w:r>
        <w:rPr>
          <w:rFonts w:ascii="Arial" w:cs="Arial" w:eastAsia="Arial" w:hAnsi="Arial"/>
          <w:sz w:val="14"/>
          <w:szCs w:val="14"/>
          <w:color w:val="auto"/>
        </w:rPr>
        <w:t>The Company has guaranteed contractual payments totalling $34,826 million at December 31, 2014 (2013: $35,230 million), and related interest in respect of listed debt issued by Shell International Finance B.V.</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16 AUDITOR’S REMUNERATION</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Refer to Note 28 to the Consolidated Financial Statements.</w:t>
      </w:r>
    </w:p>
    <w:p>
      <w:pPr>
        <w:sectPr>
          <w:pgSz w:w="11900" w:h="16838" w:orient="portrait"/>
          <w:cols w:equalWidth="0" w:num="1">
            <w:col w:w="11420"/>
          </w:cols>
          <w:pgMar w:left="240" w:top="459" w:right="239" w:bottom="1440" w:gutter="0" w:footer="0" w:header="0"/>
        </w:sectPr>
      </w:pPr>
    </w:p>
    <w:bookmarkStart w:id="172" w:name="page173"/>
    <w:bookmarkEnd w:id="17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1"/>
          <w:szCs w:val="11"/>
          <w:color w:val="auto"/>
        </w:rPr>
        <w:t>SHELL ANNUAL REPORT AND FORM 20-F 2014</w:t>
      </w:r>
    </w:p>
    <w:p>
      <w:pPr>
        <w:spacing w:after="0" w:line="181" w:lineRule="exact"/>
        <w:rPr>
          <w:sz w:val="20"/>
          <w:szCs w:val="20"/>
          <w:color w:val="auto"/>
        </w:rPr>
      </w:pPr>
    </w:p>
    <w:p>
      <w:pPr>
        <w:spacing w:after="0" w:line="247" w:lineRule="auto"/>
        <w:rPr>
          <w:sz w:val="20"/>
          <w:szCs w:val="20"/>
          <w:color w:val="auto"/>
        </w:rPr>
      </w:pPr>
      <w:r>
        <w:rPr>
          <w:rFonts w:ascii="Arial" w:cs="Arial" w:eastAsia="Arial" w:hAnsi="Arial"/>
          <w:sz w:val="31"/>
          <w:szCs w:val="31"/>
          <w:color w:val="auto"/>
        </w:rPr>
        <w:t>INDEPENDENT AUDITORS’ REPORT TO COMPUTERSHARE TRUSTEES (JERSEY) LIMITED AS TRUSTEE OF THE ROYAL DUTCH SHELL DIVIDEND ACCESS TRUST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3473450" cy="8890"/>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19">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spacing w:after="0" w:line="137" w:lineRule="exact"/>
        <w:rPr>
          <w:sz w:val="20"/>
          <w:szCs w:val="20"/>
          <w:color w:val="auto"/>
        </w:rPr>
      </w:pPr>
    </w:p>
    <w:p>
      <w:pPr>
        <w:ind w:right="1780"/>
        <w:spacing w:after="0" w:line="347" w:lineRule="auto"/>
        <w:rPr>
          <w:sz w:val="20"/>
          <w:szCs w:val="20"/>
          <w:color w:val="auto"/>
        </w:rPr>
      </w:pPr>
      <w:r>
        <w:rPr>
          <w:rFonts w:ascii="Arial" w:cs="Arial" w:eastAsia="Arial" w:hAnsi="Arial"/>
          <w:sz w:val="18"/>
          <w:szCs w:val="18"/>
          <w:color w:val="auto"/>
        </w:rPr>
        <w:t>REPORT ON THE FINANCIAL STATEMENTS Our opinion</w:t>
      </w:r>
    </w:p>
    <w:p>
      <w:pPr>
        <w:spacing w:after="0" w:line="1" w:lineRule="exact"/>
        <w:rPr>
          <w:sz w:val="20"/>
          <w:szCs w:val="20"/>
          <w:color w:val="auto"/>
        </w:rPr>
      </w:pPr>
    </w:p>
    <w:p>
      <w:pPr>
        <w:ind w:right="280"/>
        <w:spacing w:after="0" w:line="258" w:lineRule="auto"/>
        <w:rPr>
          <w:sz w:val="20"/>
          <w:szCs w:val="20"/>
          <w:color w:val="auto"/>
        </w:rPr>
      </w:pPr>
      <w:r>
        <w:rPr>
          <w:rFonts w:ascii="Arial" w:cs="Arial" w:eastAsia="Arial" w:hAnsi="Arial"/>
          <w:sz w:val="14"/>
          <w:szCs w:val="14"/>
          <w:color w:val="auto"/>
        </w:rPr>
        <w:t>In our opinion the Financial Statements of the Royal Dutch Shell Dividend Access Trust (the Trust):</w:t>
      </w:r>
    </w:p>
    <w:p>
      <w:pPr>
        <w:spacing w:after="0" w:line="194" w:lineRule="exact"/>
        <w:rPr>
          <w:sz w:val="20"/>
          <w:szCs w:val="20"/>
          <w:color w:val="auto"/>
        </w:rPr>
      </w:pPr>
    </w:p>
    <w:p>
      <w:pPr>
        <w:ind w:left="180" w:right="40" w:hanging="172"/>
        <w:spacing w:after="0" w:line="182" w:lineRule="auto"/>
        <w:tabs>
          <w:tab w:leader="none" w:pos="180" w:val="left"/>
        </w:tabs>
        <w:numPr>
          <w:ilvl w:val="0"/>
          <w:numId w:val="187"/>
        </w:numPr>
        <w:rPr>
          <w:rFonts w:ascii="Arial" w:cs="Arial" w:eastAsia="Arial" w:hAnsi="Arial"/>
          <w:sz w:val="23"/>
          <w:szCs w:val="23"/>
          <w:color w:val="auto"/>
          <w:vertAlign w:val="superscript"/>
        </w:rPr>
      </w:pPr>
      <w:r>
        <w:rPr>
          <w:rFonts w:ascii="Arial" w:cs="Arial" w:eastAsia="Arial" w:hAnsi="Arial"/>
          <w:sz w:val="14"/>
          <w:szCs w:val="14"/>
          <w:color w:val="auto"/>
        </w:rPr>
        <w:t>give a true and fair view of the state of the Trust’s affairs as at December 31, 2014, and of its income and cash flows for the year then ended; and</w:t>
      </w:r>
    </w:p>
    <w:p>
      <w:pPr>
        <w:spacing w:after="0" w:line="1" w:lineRule="exact"/>
        <w:rPr>
          <w:rFonts w:ascii="Arial" w:cs="Arial" w:eastAsia="Arial" w:hAnsi="Arial"/>
          <w:sz w:val="23"/>
          <w:szCs w:val="23"/>
          <w:color w:val="auto"/>
          <w:vertAlign w:val="superscript"/>
        </w:rPr>
      </w:pPr>
    </w:p>
    <w:p>
      <w:pPr>
        <w:ind w:left="180" w:right="120" w:hanging="172"/>
        <w:spacing w:after="0" w:line="183" w:lineRule="auto"/>
        <w:tabs>
          <w:tab w:leader="none" w:pos="180" w:val="left"/>
        </w:tabs>
        <w:numPr>
          <w:ilvl w:val="0"/>
          <w:numId w:val="187"/>
        </w:numPr>
        <w:rPr>
          <w:rFonts w:ascii="Arial" w:cs="Arial" w:eastAsia="Arial" w:hAnsi="Arial"/>
          <w:sz w:val="24"/>
          <w:szCs w:val="24"/>
          <w:color w:val="auto"/>
          <w:vertAlign w:val="superscript"/>
        </w:rPr>
      </w:pPr>
      <w:r>
        <w:rPr>
          <w:rFonts w:ascii="Arial" w:cs="Arial" w:eastAsia="Arial" w:hAnsi="Arial"/>
          <w:sz w:val="14"/>
          <w:szCs w:val="14"/>
          <w:color w:val="auto"/>
        </w:rPr>
        <w:t>have been properly prepared in accordance with International Financial Reporting Standards (IFRS) as adopted by the European Union.</w:t>
      </w:r>
    </w:p>
    <w:p>
      <w:pPr>
        <w:spacing w:after="0" w:line="161" w:lineRule="exact"/>
        <w:rPr>
          <w:sz w:val="20"/>
          <w:szCs w:val="20"/>
          <w:color w:val="auto"/>
        </w:rPr>
      </w:pPr>
    </w:p>
    <w:p>
      <w:pPr>
        <w:ind w:right="220"/>
        <w:spacing w:after="0" w:line="238" w:lineRule="auto"/>
        <w:rPr>
          <w:sz w:val="20"/>
          <w:szCs w:val="20"/>
          <w:color w:val="auto"/>
        </w:rPr>
      </w:pPr>
      <w:r>
        <w:rPr>
          <w:rFonts w:ascii="Arial" w:cs="Arial" w:eastAsia="Arial" w:hAnsi="Arial"/>
          <w:sz w:val="18"/>
          <w:szCs w:val="18"/>
          <w:color w:val="auto"/>
        </w:rPr>
        <w:t>Separate opinion in relation to IFRS as issued by the International Accounting Standards Board (IASB)</w:t>
      </w:r>
    </w:p>
    <w:p>
      <w:pPr>
        <w:ind w:right="120"/>
        <w:spacing w:after="0" w:line="250" w:lineRule="auto"/>
        <w:rPr>
          <w:sz w:val="20"/>
          <w:szCs w:val="20"/>
          <w:color w:val="auto"/>
        </w:rPr>
      </w:pPr>
      <w:r>
        <w:rPr>
          <w:rFonts w:ascii="Arial" w:cs="Arial" w:eastAsia="Arial" w:hAnsi="Arial"/>
          <w:sz w:val="14"/>
          <w:szCs w:val="14"/>
          <w:color w:val="auto"/>
        </w:rPr>
        <w:t>As explained in Note 2 to the Royal Dutch Shell Dividend Access Trust Financial Statements, the Trust, in addition to complying with its legal obligation to apply IFRS as adopted by the European Union, has also applied IFRS as issued by the IASB.</w:t>
      </w:r>
    </w:p>
    <w:p>
      <w:pPr>
        <w:spacing w:after="0" w:line="159" w:lineRule="exact"/>
        <w:rPr>
          <w:sz w:val="20"/>
          <w:szCs w:val="20"/>
          <w:color w:val="auto"/>
        </w:rPr>
      </w:pPr>
    </w:p>
    <w:p>
      <w:pPr>
        <w:ind w:right="320"/>
        <w:spacing w:after="0" w:line="258" w:lineRule="auto"/>
        <w:rPr>
          <w:sz w:val="20"/>
          <w:szCs w:val="20"/>
          <w:color w:val="auto"/>
        </w:rPr>
      </w:pPr>
      <w:r>
        <w:rPr>
          <w:rFonts w:ascii="Arial" w:cs="Arial" w:eastAsia="Arial" w:hAnsi="Arial"/>
          <w:sz w:val="14"/>
          <w:szCs w:val="14"/>
          <w:color w:val="auto"/>
        </w:rPr>
        <w:t>In our opinion the Royal Dutch Shell Dividend Access Trust Financial Statements comply with IFRS as issued by the IASB.</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auto"/>
        </w:rPr>
        <w:t>What we have audited</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The Royal Dutch Shell Dividend Access Trust Financial Statements comprise:</w:t>
      </w:r>
    </w:p>
    <w:p>
      <w:pPr>
        <w:spacing w:after="0" w:line="217" w:lineRule="exact"/>
        <w:rPr>
          <w:sz w:val="20"/>
          <w:szCs w:val="20"/>
          <w:color w:val="auto"/>
        </w:rPr>
      </w:pPr>
    </w:p>
    <w:p>
      <w:pPr>
        <w:ind w:left="180" w:right="160" w:hanging="172"/>
        <w:spacing w:after="0" w:line="195" w:lineRule="auto"/>
        <w:tabs>
          <w:tab w:leader="none" w:pos="180" w:val="left"/>
        </w:tabs>
        <w:numPr>
          <w:ilvl w:val="0"/>
          <w:numId w:val="188"/>
        </w:numPr>
        <w:rPr>
          <w:rFonts w:ascii="Arial" w:cs="Arial" w:eastAsia="Arial" w:hAnsi="Arial"/>
          <w:sz w:val="24"/>
          <w:szCs w:val="24"/>
          <w:color w:val="auto"/>
          <w:vertAlign w:val="superscript"/>
        </w:rPr>
      </w:pPr>
      <w:r>
        <w:rPr>
          <w:rFonts w:ascii="Arial" w:cs="Arial" w:eastAsia="Arial" w:hAnsi="Arial"/>
          <w:sz w:val="14"/>
          <w:szCs w:val="14"/>
          <w:color w:val="auto"/>
        </w:rPr>
        <w:t>the Royal Dutch Shell Dividend Access Trust Statement of Income and the Royal Dutch Shell Dividend Access Trust Statement of Comprehensive Income for the year ended December 31, 2014;</w:t>
      </w:r>
    </w:p>
    <w:p>
      <w:pPr>
        <w:ind w:left="180" w:right="180" w:hanging="172"/>
        <w:spacing w:after="0" w:line="182" w:lineRule="auto"/>
        <w:tabs>
          <w:tab w:leader="none" w:pos="180" w:val="left"/>
        </w:tabs>
        <w:numPr>
          <w:ilvl w:val="0"/>
          <w:numId w:val="188"/>
        </w:numPr>
        <w:rPr>
          <w:rFonts w:ascii="Arial" w:cs="Arial" w:eastAsia="Arial" w:hAnsi="Arial"/>
          <w:sz w:val="23"/>
          <w:szCs w:val="23"/>
          <w:color w:val="auto"/>
          <w:vertAlign w:val="superscript"/>
        </w:rPr>
      </w:pPr>
      <w:r>
        <w:rPr>
          <w:rFonts w:ascii="Arial" w:cs="Arial" w:eastAsia="Arial" w:hAnsi="Arial"/>
          <w:sz w:val="14"/>
          <w:szCs w:val="14"/>
          <w:color w:val="auto"/>
        </w:rPr>
        <w:t>the Royal Dutch Shell Dividend Access Trust Balance Sheet as at December 31, 2014;</w:t>
      </w:r>
    </w:p>
    <w:p>
      <w:pPr>
        <w:spacing w:after="0" w:line="1" w:lineRule="exact"/>
        <w:rPr>
          <w:rFonts w:ascii="Arial" w:cs="Arial" w:eastAsia="Arial" w:hAnsi="Arial"/>
          <w:sz w:val="23"/>
          <w:szCs w:val="23"/>
          <w:color w:val="auto"/>
          <w:vertAlign w:val="superscript"/>
        </w:rPr>
      </w:pPr>
    </w:p>
    <w:p>
      <w:pPr>
        <w:ind w:left="180" w:right="180" w:hanging="172"/>
        <w:spacing w:after="0" w:line="182" w:lineRule="auto"/>
        <w:tabs>
          <w:tab w:leader="none" w:pos="180" w:val="left"/>
        </w:tabs>
        <w:numPr>
          <w:ilvl w:val="0"/>
          <w:numId w:val="188"/>
        </w:numPr>
        <w:rPr>
          <w:rFonts w:ascii="Arial" w:cs="Arial" w:eastAsia="Arial" w:hAnsi="Arial"/>
          <w:sz w:val="23"/>
          <w:szCs w:val="23"/>
          <w:color w:val="auto"/>
          <w:vertAlign w:val="superscript"/>
        </w:rPr>
      </w:pPr>
      <w:r>
        <w:rPr>
          <w:rFonts w:ascii="Arial" w:cs="Arial" w:eastAsia="Arial" w:hAnsi="Arial"/>
          <w:sz w:val="14"/>
          <w:szCs w:val="14"/>
          <w:color w:val="auto"/>
        </w:rPr>
        <w:t>the Royal Dutch Shell Dividend Access Trust Statement of Changes in Equity for the year ended December 31, 2014;</w:t>
      </w:r>
    </w:p>
    <w:p>
      <w:pPr>
        <w:spacing w:after="0" w:line="1" w:lineRule="exact"/>
        <w:rPr>
          <w:rFonts w:ascii="Arial" w:cs="Arial" w:eastAsia="Arial" w:hAnsi="Arial"/>
          <w:sz w:val="23"/>
          <w:szCs w:val="23"/>
          <w:color w:val="auto"/>
          <w:vertAlign w:val="superscript"/>
        </w:rPr>
      </w:pPr>
    </w:p>
    <w:p>
      <w:pPr>
        <w:ind w:left="180" w:right="40" w:hanging="172"/>
        <w:spacing w:after="0" w:line="182" w:lineRule="auto"/>
        <w:tabs>
          <w:tab w:leader="none" w:pos="180" w:val="left"/>
        </w:tabs>
        <w:numPr>
          <w:ilvl w:val="0"/>
          <w:numId w:val="188"/>
        </w:numPr>
        <w:rPr>
          <w:rFonts w:ascii="Arial" w:cs="Arial" w:eastAsia="Arial" w:hAnsi="Arial"/>
          <w:sz w:val="23"/>
          <w:szCs w:val="23"/>
          <w:color w:val="auto"/>
          <w:vertAlign w:val="superscript"/>
        </w:rPr>
      </w:pPr>
      <w:r>
        <w:rPr>
          <w:rFonts w:ascii="Arial" w:cs="Arial" w:eastAsia="Arial" w:hAnsi="Arial"/>
          <w:sz w:val="14"/>
          <w:szCs w:val="14"/>
          <w:color w:val="auto"/>
        </w:rPr>
        <w:t>the Royal Dutch Shell Dividend Access Trust Statement of Cash Flows for the year ended December 31, 2014; and</w:t>
      </w:r>
    </w:p>
    <w:p>
      <w:pPr>
        <w:spacing w:after="0" w:line="1" w:lineRule="exact"/>
        <w:rPr>
          <w:rFonts w:ascii="Arial" w:cs="Arial" w:eastAsia="Arial" w:hAnsi="Arial"/>
          <w:sz w:val="23"/>
          <w:szCs w:val="23"/>
          <w:color w:val="auto"/>
          <w:vertAlign w:val="superscript"/>
        </w:rPr>
      </w:pPr>
    </w:p>
    <w:p>
      <w:pPr>
        <w:ind w:left="180" w:right="160" w:hanging="172"/>
        <w:spacing w:after="0" w:line="199" w:lineRule="auto"/>
        <w:tabs>
          <w:tab w:leader="none" w:pos="180" w:val="left"/>
        </w:tabs>
        <w:numPr>
          <w:ilvl w:val="0"/>
          <w:numId w:val="188"/>
        </w:numPr>
        <w:rPr>
          <w:rFonts w:ascii="Arial" w:cs="Arial" w:eastAsia="Arial" w:hAnsi="Arial"/>
          <w:sz w:val="24"/>
          <w:szCs w:val="24"/>
          <w:color w:val="auto"/>
          <w:vertAlign w:val="superscript"/>
        </w:rPr>
      </w:pPr>
      <w:r>
        <w:rPr>
          <w:rFonts w:ascii="Arial" w:cs="Arial" w:eastAsia="Arial" w:hAnsi="Arial"/>
          <w:sz w:val="14"/>
          <w:szCs w:val="14"/>
          <w:color w:val="auto"/>
        </w:rPr>
        <w:t>the Notes to the Royal Dutch Shell Dividend Access Trust Financial Statements, which include a summary of significant accounting policies and other explanatory information.</w:t>
      </w:r>
    </w:p>
    <w:p>
      <w:pPr>
        <w:spacing w:after="0" w:line="166" w:lineRule="exact"/>
        <w:rPr>
          <w:sz w:val="20"/>
          <w:szCs w:val="20"/>
          <w:color w:val="auto"/>
        </w:rPr>
      </w:pPr>
    </w:p>
    <w:p>
      <w:pPr>
        <w:ind w:right="20"/>
        <w:spacing w:after="0" w:line="245" w:lineRule="auto"/>
        <w:rPr>
          <w:sz w:val="20"/>
          <w:szCs w:val="20"/>
          <w:color w:val="auto"/>
        </w:rPr>
      </w:pPr>
      <w:r>
        <w:rPr>
          <w:rFonts w:ascii="Arial" w:cs="Arial" w:eastAsia="Arial" w:hAnsi="Arial"/>
          <w:sz w:val="14"/>
          <w:szCs w:val="14"/>
          <w:color w:val="auto"/>
        </w:rPr>
        <w:t>Certain required disclosures have been presented elsewhere in the Royal Dutch Shell plc Annual Report and Form 20-F (the Annual Report), rather than in the Royal Dutch Shell Dividend Access Trust Financial Statements. These are cross-referenced from the Royal Dutch Shell Dividend Access Trust Financial Statements and are identified as audited.</w:t>
      </w:r>
    </w:p>
    <w:p>
      <w:pPr>
        <w:spacing w:after="0" w:line="164" w:lineRule="exact"/>
        <w:rPr>
          <w:sz w:val="20"/>
          <w:szCs w:val="20"/>
          <w:color w:val="auto"/>
        </w:rPr>
      </w:pPr>
    </w:p>
    <w:p>
      <w:pPr>
        <w:ind w:right="100"/>
        <w:spacing w:after="0" w:line="250" w:lineRule="auto"/>
        <w:rPr>
          <w:sz w:val="20"/>
          <w:szCs w:val="20"/>
          <w:color w:val="auto"/>
        </w:rPr>
      </w:pPr>
      <w:r>
        <w:rPr>
          <w:rFonts w:ascii="Arial" w:cs="Arial" w:eastAsia="Arial" w:hAnsi="Arial"/>
          <w:sz w:val="14"/>
          <w:szCs w:val="14"/>
          <w:color w:val="auto"/>
        </w:rPr>
        <w:t>The financial reporting framework that has been applied in the preparation of the Royal Dutch Shell Dividend Access Trust Financial Statements is applicable law and IFRS as adopted by the European Union.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spacing w:after="0" w:line="1" w:lineRule="exact"/>
        <w:rPr>
          <w:sz w:val="1"/>
          <w:szCs w:val="1"/>
          <w:color w:val="auto"/>
        </w:rPr>
      </w:pPr>
    </w:p>
    <w:tbl>
      <w:tblPr>
        <w:tblLayout w:type="fixed"/>
        <w:tblInd w:w="660" w:type="dxa"/>
        <w:tblCellMar>
          <w:top w:w="0" w:type="dxa"/>
          <w:left w:w="0" w:type="dxa"/>
          <w:bottom w:w="0" w:type="dxa"/>
          <w:right w:w="0" w:type="dxa"/>
        </w:tblCellMar>
      </w:tblPr>
      <w:tr>
        <w:trPr>
          <w:trHeight w:val="161"/>
        </w:trPr>
        <w:tc>
          <w:tcPr>
            <w:tcW w:w="3520" w:type="dxa"/>
            <w:vAlign w:val="bottom"/>
          </w:tcPr>
          <w:p>
            <w:pPr>
              <w:spacing w:after="0"/>
              <w:rPr>
                <w:sz w:val="20"/>
                <w:szCs w:val="20"/>
                <w:color w:val="auto"/>
              </w:rPr>
            </w:pPr>
            <w:r>
              <w:rPr>
                <w:rFonts w:ascii="Arial" w:cs="Arial" w:eastAsia="Arial" w:hAnsi="Arial"/>
                <w:sz w:val="13"/>
                <w:szCs w:val="13"/>
                <w:color w:val="333333"/>
              </w:rPr>
              <w:t>FINANCIAL STATEMENTS AND SUPPLEMENTS</w:t>
            </w:r>
          </w:p>
        </w:tc>
        <w:tc>
          <w:tcPr>
            <w:tcW w:w="920" w:type="dxa"/>
            <w:vAlign w:val="bottom"/>
          </w:tcPr>
          <w:p>
            <w:pPr>
              <w:jc w:val="right"/>
              <w:spacing w:after="0"/>
              <w:rPr>
                <w:sz w:val="20"/>
                <w:szCs w:val="20"/>
                <w:color w:val="auto"/>
              </w:rPr>
            </w:pPr>
            <w:r>
              <w:rPr>
                <w:rFonts w:ascii="Arial" w:cs="Arial" w:eastAsia="Arial" w:hAnsi="Arial"/>
                <w:sz w:val="11"/>
                <w:szCs w:val="11"/>
                <w:b w:val="1"/>
                <w:bCs w:val="1"/>
                <w:color w:val="333333"/>
              </w:rPr>
              <w:t>171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-3677285</wp:posOffset>
            </wp:positionH>
            <wp:positionV relativeFrom="paragraph">
              <wp:posOffset>-992505</wp:posOffset>
            </wp:positionV>
            <wp:extent cx="7289165" cy="38100"/>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20">
                      <a:extLst>
                        <a:ext uri="{28A0092B-C50C-407E-A947-70E740481C1C}"/>
                      </a:extLst>
                    </a:blip>
                    <a:srcRect/>
                    <a:stretch>
                      <a:fillRect/>
                    </a:stretch>
                  </pic:blipFill>
                  <pic:spPr bwMode="auto">
                    <a:xfrm>
                      <a:off x="0" y="0"/>
                      <a:ext cx="7289165" cy="38100"/>
                    </a:xfrm>
                    <a:prstGeom prst="rect">
                      <a:avLst/>
                    </a:prstGeom>
                    <a:noFill/>
                  </pic:spPr>
                </pic:pic>
              </a:graphicData>
            </a:graphic>
          </wp:anchor>
        </w:drawing>
        <w:drawing>
          <wp:anchor simplePos="0" relativeHeight="251657728" behindDoc="1" locked="0" layoutInCell="0" allowOverlap="1">
            <wp:simplePos x="0" y="0"/>
            <wp:positionH relativeFrom="column">
              <wp:posOffset>-114300</wp:posOffset>
            </wp:positionH>
            <wp:positionV relativeFrom="paragraph">
              <wp:posOffset>-358140</wp:posOffset>
            </wp:positionV>
            <wp:extent cx="3696335" cy="462915"/>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21">
                      <a:extLst>
                        <a:ext uri="{28A0092B-C50C-407E-A947-70E740481C1C}"/>
                      </a:extLst>
                    </a:blip>
                    <a:srcRect/>
                    <a:stretch>
                      <a:fillRect/>
                    </a:stretch>
                  </pic:blipFill>
                  <pic:spPr bwMode="auto">
                    <a:xfrm>
                      <a:off x="0" y="0"/>
                      <a:ext cx="3696335" cy="462915"/>
                    </a:xfrm>
                    <a:prstGeom prst="rect">
                      <a:avLst/>
                    </a:prstGeom>
                    <a:noFill/>
                  </pic:spPr>
                </pic:pic>
              </a:graphicData>
            </a:graphic>
          </wp:anchor>
        </w:drawing>
      </w:r>
    </w:p>
    <w:p>
      <w:pPr>
        <w:spacing w:after="0" w:line="136" w:lineRule="exact"/>
        <w:rPr>
          <w:sz w:val="20"/>
          <w:szCs w:val="20"/>
          <w:color w:val="auto"/>
        </w:rPr>
      </w:pPr>
    </w:p>
    <w:p>
      <w:pPr>
        <w:ind w:left="660"/>
        <w:spacing w:after="0"/>
        <w:rPr>
          <w:sz w:val="20"/>
          <w:szCs w:val="20"/>
          <w:color w:val="auto"/>
        </w:rPr>
      </w:pPr>
      <w:r>
        <w:rPr>
          <w:rFonts w:ascii="Arial" w:cs="Arial" w:eastAsia="Arial" w:hAnsi="Arial"/>
          <w:sz w:val="11"/>
          <w:szCs w:val="11"/>
          <w:color w:val="auto"/>
        </w:rPr>
        <w:t>ROYAL DUTCH SHELL DIVIDEND ACCESS TRUST</w:t>
      </w:r>
    </w:p>
    <w:p>
      <w:pPr>
        <w:ind w:left="660"/>
        <w:spacing w:after="0"/>
        <w:rPr>
          <w:sz w:val="20"/>
          <w:szCs w:val="20"/>
          <w:color w:val="auto"/>
        </w:rPr>
      </w:pPr>
      <w:r>
        <w:rPr>
          <w:rFonts w:ascii="Arial" w:cs="Arial" w:eastAsia="Arial" w:hAnsi="Arial"/>
          <w:sz w:val="11"/>
          <w:szCs w:val="11"/>
          <w:color w:val="auto"/>
        </w:rPr>
        <w:t>FINANCIAL STATEMENTS</w:t>
      </w:r>
    </w:p>
    <w:p>
      <w:pPr>
        <w:spacing w:after="0" w:line="51" w:lineRule="exact"/>
        <w:rPr>
          <w:sz w:val="20"/>
          <w:szCs w:val="20"/>
          <w:color w:val="auto"/>
        </w:rPr>
      </w:pPr>
    </w:p>
    <w:p>
      <w:pPr>
        <w:spacing w:after="0"/>
        <w:rPr>
          <w:sz w:val="20"/>
          <w:szCs w:val="20"/>
          <w:color w:val="auto"/>
        </w:rPr>
      </w:pPr>
      <w:r>
        <w:rPr>
          <w:rFonts w:ascii="Arial" w:cs="Arial" w:eastAsia="Arial" w:hAnsi="Arial"/>
          <w:sz w:val="18"/>
          <w:szCs w:val="18"/>
          <w:color w:val="auto"/>
        </w:rPr>
        <w:t>What an audit of financial statements involves</w:t>
      </w:r>
    </w:p>
    <w:p>
      <w:pPr>
        <w:spacing w:after="0" w:line="1" w:lineRule="exact"/>
        <w:rPr>
          <w:sz w:val="20"/>
          <w:szCs w:val="20"/>
          <w:color w:val="auto"/>
        </w:rPr>
      </w:pPr>
    </w:p>
    <w:p>
      <w:pPr>
        <w:ind w:right="20"/>
        <w:spacing w:after="0" w:line="244" w:lineRule="auto"/>
        <w:rPr>
          <w:sz w:val="20"/>
          <w:szCs w:val="20"/>
          <w:color w:val="auto"/>
        </w:rPr>
      </w:pPr>
      <w:r>
        <w:rPr>
          <w:rFonts w:ascii="Arial" w:cs="Arial" w:eastAsia="Arial" w:hAnsi="Arial"/>
          <w:sz w:val="14"/>
          <w:szCs w:val="14"/>
          <w:color w:val="auto"/>
        </w:rPr>
        <w:t>We conducted our audit in accordance with International Standards on Auditing (UK and Ireland) (ISAs (UK and Ireland)). An audit involves obtaining evidence about the amounts and disclosures in the Royal Dutch Shell Dividend Access Trust Financial Statements sufficient to give reasonable assurance that the Royal Dutch Shell Dividend Access Trust Financial Statements are free from material misstatement, whether caused by fraud or error. This includes an assessment of:</w:t>
      </w:r>
    </w:p>
    <w:p>
      <w:pPr>
        <w:spacing w:after="0" w:line="206" w:lineRule="exact"/>
        <w:rPr>
          <w:sz w:val="20"/>
          <w:szCs w:val="20"/>
          <w:color w:val="auto"/>
        </w:rPr>
      </w:pPr>
    </w:p>
    <w:p>
      <w:pPr>
        <w:ind w:left="160" w:right="80" w:hanging="160"/>
        <w:spacing w:after="0" w:line="182" w:lineRule="auto"/>
        <w:tabs>
          <w:tab w:leader="none" w:pos="160" w:val="left"/>
        </w:tabs>
        <w:numPr>
          <w:ilvl w:val="0"/>
          <w:numId w:val="189"/>
        </w:numPr>
        <w:rPr>
          <w:rFonts w:ascii="Arial" w:cs="Arial" w:eastAsia="Arial" w:hAnsi="Arial"/>
          <w:sz w:val="23"/>
          <w:szCs w:val="23"/>
          <w:color w:val="auto"/>
          <w:vertAlign w:val="superscript"/>
        </w:rPr>
      </w:pPr>
      <w:r>
        <w:rPr>
          <w:rFonts w:ascii="Arial" w:cs="Arial" w:eastAsia="Arial" w:hAnsi="Arial"/>
          <w:sz w:val="14"/>
          <w:szCs w:val="14"/>
          <w:color w:val="auto"/>
        </w:rPr>
        <w:t>whether the accounting policies are appropriate to the Trust’s circumstances and have been consistently applied and adequately disclosed;</w:t>
      </w:r>
    </w:p>
    <w:p>
      <w:pPr>
        <w:spacing w:after="0" w:line="1" w:lineRule="exact"/>
        <w:rPr>
          <w:rFonts w:ascii="Arial" w:cs="Arial" w:eastAsia="Arial" w:hAnsi="Arial"/>
          <w:sz w:val="23"/>
          <w:szCs w:val="23"/>
          <w:color w:val="auto"/>
          <w:vertAlign w:val="superscript"/>
        </w:rPr>
      </w:pPr>
    </w:p>
    <w:p>
      <w:pPr>
        <w:ind w:left="160" w:hanging="160"/>
        <w:spacing w:after="0" w:line="187" w:lineRule="auto"/>
        <w:tabs>
          <w:tab w:leader="none" w:pos="160" w:val="left"/>
        </w:tabs>
        <w:numPr>
          <w:ilvl w:val="0"/>
          <w:numId w:val="189"/>
        </w:numPr>
        <w:rPr>
          <w:rFonts w:ascii="Arial" w:cs="Arial" w:eastAsia="Arial" w:hAnsi="Arial"/>
          <w:sz w:val="18"/>
          <w:szCs w:val="18"/>
          <w:color w:val="auto"/>
          <w:vertAlign w:val="superscript"/>
        </w:rPr>
      </w:pPr>
      <w:r>
        <w:rPr>
          <w:rFonts w:ascii="Arial" w:cs="Arial" w:eastAsia="Arial" w:hAnsi="Arial"/>
          <w:sz w:val="11"/>
          <w:szCs w:val="11"/>
          <w:color w:val="auto"/>
        </w:rPr>
        <w:t>the reasonableness of significant accounting estimates made by the Trustee; and</w:t>
      </w:r>
    </w:p>
    <w:p>
      <w:pPr>
        <w:ind w:left="160" w:right="60" w:hanging="160"/>
        <w:spacing w:after="0" w:line="183" w:lineRule="auto"/>
        <w:tabs>
          <w:tab w:leader="none" w:pos="160" w:val="left"/>
        </w:tabs>
        <w:numPr>
          <w:ilvl w:val="0"/>
          <w:numId w:val="189"/>
        </w:numPr>
        <w:rPr>
          <w:rFonts w:ascii="Arial" w:cs="Arial" w:eastAsia="Arial" w:hAnsi="Arial"/>
          <w:sz w:val="24"/>
          <w:szCs w:val="24"/>
          <w:color w:val="auto"/>
          <w:vertAlign w:val="superscript"/>
        </w:rPr>
      </w:pPr>
      <w:r>
        <w:rPr>
          <w:rFonts w:ascii="Arial" w:cs="Arial" w:eastAsia="Arial" w:hAnsi="Arial"/>
          <w:sz w:val="14"/>
          <w:szCs w:val="14"/>
          <w:color w:val="auto"/>
        </w:rPr>
        <w:t>the overall presentation of the Royal Dutch Shell Dividend Access Trust Financial Statements.</w:t>
      </w:r>
    </w:p>
    <w:p>
      <w:pPr>
        <w:spacing w:after="0" w:line="180" w:lineRule="exact"/>
        <w:rPr>
          <w:sz w:val="20"/>
          <w:szCs w:val="20"/>
          <w:color w:val="auto"/>
        </w:rPr>
      </w:pPr>
    </w:p>
    <w:p>
      <w:pPr>
        <w:ind w:right="140"/>
        <w:spacing w:after="0" w:line="250" w:lineRule="auto"/>
        <w:rPr>
          <w:sz w:val="20"/>
          <w:szCs w:val="20"/>
          <w:color w:val="auto"/>
        </w:rPr>
      </w:pPr>
      <w:r>
        <w:rPr>
          <w:rFonts w:ascii="Arial" w:cs="Arial" w:eastAsia="Arial" w:hAnsi="Arial"/>
          <w:sz w:val="14"/>
          <w:szCs w:val="14"/>
          <w:color w:val="auto"/>
        </w:rPr>
        <w:t>We primarily focus our work in these areas by assessing the Trustee’s judgements against available evidence, forming our own judgements and evaluating the disclosures in the Royal Dutch Shell Dividend Access Trust Financial Statements.</w:t>
      </w:r>
    </w:p>
    <w:p>
      <w:pPr>
        <w:spacing w:after="0" w:line="159" w:lineRule="exact"/>
        <w:rPr>
          <w:sz w:val="20"/>
          <w:szCs w:val="20"/>
          <w:color w:val="auto"/>
        </w:rPr>
      </w:pPr>
    </w:p>
    <w:p>
      <w:pPr>
        <w:ind w:right="80"/>
        <w:spacing w:after="0" w:line="247" w:lineRule="auto"/>
        <w:rPr>
          <w:sz w:val="20"/>
          <w:szCs w:val="20"/>
          <w:color w:val="auto"/>
        </w:rPr>
      </w:pPr>
      <w:r>
        <w:rPr>
          <w:rFonts w:ascii="Arial" w:cs="Arial" w:eastAsia="Arial" w:hAnsi="Arial"/>
          <w:sz w:val="14"/>
          <w:szCs w:val="14"/>
          <w:color w:val="auto"/>
        </w:rPr>
        <w:t>We test and examine information, using sampling and other auditing techniques, to the extent we consider necessary to provide a reasonable basis for us to draw conclusions. We obtain audit evidence through testing the effectiveness of controls, substantive procedures or a combination of both.</w:t>
      </w:r>
    </w:p>
    <w:p>
      <w:pPr>
        <w:spacing w:after="0" w:line="161" w:lineRule="exact"/>
        <w:rPr>
          <w:sz w:val="20"/>
          <w:szCs w:val="20"/>
          <w:color w:val="auto"/>
        </w:rPr>
      </w:pPr>
    </w:p>
    <w:p>
      <w:pPr>
        <w:spacing w:after="0" w:line="244" w:lineRule="auto"/>
        <w:rPr>
          <w:sz w:val="20"/>
          <w:szCs w:val="20"/>
          <w:color w:val="auto"/>
        </w:rPr>
      </w:pPr>
      <w:r>
        <w:rPr>
          <w:rFonts w:ascii="Arial" w:cs="Arial" w:eastAsia="Arial" w:hAnsi="Arial"/>
          <w:sz w:val="14"/>
          <w:szCs w:val="14"/>
          <w:color w:val="auto"/>
        </w:rPr>
        <w:t>In addition, we read all the financial and non-financial information in the Annual Report to identify material inconsistencies with the audited Royal Dutch Shell Dividend Access Trust Financial Statements and to identify any information that is apparently materially incorrect based on, or materially inconsistent with, the knowledge acquired by us in the course of performing the audit. If we become aware of any apparent material misstatements or inconsistencies we consider the implications for our report.</w:t>
      </w:r>
    </w:p>
    <w:p>
      <w:pPr>
        <w:spacing w:after="0" w:line="336" w:lineRule="exact"/>
        <w:rPr>
          <w:sz w:val="20"/>
          <w:szCs w:val="20"/>
          <w:color w:val="auto"/>
        </w:rPr>
      </w:pPr>
    </w:p>
    <w:p>
      <w:pPr>
        <w:spacing w:after="0"/>
        <w:rPr>
          <w:sz w:val="20"/>
          <w:szCs w:val="20"/>
          <w:color w:val="auto"/>
        </w:rPr>
      </w:pPr>
      <w:r>
        <w:rPr>
          <w:rFonts w:ascii="Arial" w:cs="Arial" w:eastAsia="Arial" w:hAnsi="Arial"/>
          <w:sz w:val="18"/>
          <w:szCs w:val="18"/>
          <w:color w:val="auto"/>
        </w:rPr>
        <w:t>OPINION ON OTHER MATTER</w:t>
      </w:r>
    </w:p>
    <w:p>
      <w:pPr>
        <w:spacing w:after="0" w:line="1" w:lineRule="exact"/>
        <w:rPr>
          <w:sz w:val="20"/>
          <w:szCs w:val="20"/>
          <w:color w:val="auto"/>
        </w:rPr>
      </w:pPr>
    </w:p>
    <w:p>
      <w:pPr>
        <w:ind w:right="160"/>
        <w:spacing w:after="0" w:line="247" w:lineRule="auto"/>
        <w:rPr>
          <w:sz w:val="20"/>
          <w:szCs w:val="20"/>
          <w:color w:val="auto"/>
        </w:rPr>
      </w:pPr>
      <w:r>
        <w:rPr>
          <w:rFonts w:ascii="Arial" w:cs="Arial" w:eastAsia="Arial" w:hAnsi="Arial"/>
          <w:sz w:val="14"/>
          <w:szCs w:val="14"/>
          <w:color w:val="auto"/>
        </w:rPr>
        <w:t>In our opinion the information given in the Annual Report for the financial year for which the Royal Dutch Shell Dividend Access Trust Financial Statements are prepared is consistent with the Royal Dutch Shell Dividend Access Trust Financial Statements.</w:t>
      </w:r>
    </w:p>
    <w:p>
      <w:pPr>
        <w:spacing w:after="0" w:line="155" w:lineRule="exact"/>
        <w:rPr>
          <w:sz w:val="20"/>
          <w:szCs w:val="20"/>
          <w:color w:val="auto"/>
        </w:rPr>
      </w:pPr>
    </w:p>
    <w:p>
      <w:pPr>
        <w:ind w:right="500"/>
        <w:spacing w:after="0" w:line="238" w:lineRule="auto"/>
        <w:rPr>
          <w:sz w:val="20"/>
          <w:szCs w:val="20"/>
          <w:color w:val="auto"/>
        </w:rPr>
      </w:pPr>
      <w:r>
        <w:rPr>
          <w:rFonts w:ascii="Arial" w:cs="Arial" w:eastAsia="Arial" w:hAnsi="Arial"/>
          <w:sz w:val="18"/>
          <w:szCs w:val="18"/>
          <w:color w:val="auto"/>
        </w:rPr>
        <w:t>MATTERS ON WHICH WE HAVE AGREED TO REPORT BY EXCEPTION</w:t>
      </w:r>
    </w:p>
    <w:p>
      <w:pPr>
        <w:spacing w:after="0"/>
        <w:rPr>
          <w:sz w:val="20"/>
          <w:szCs w:val="20"/>
          <w:color w:val="auto"/>
        </w:rPr>
      </w:pPr>
      <w:r>
        <w:rPr>
          <w:rFonts w:ascii="Arial" w:cs="Arial" w:eastAsia="Arial" w:hAnsi="Arial"/>
          <w:sz w:val="14"/>
          <w:szCs w:val="14"/>
          <w:color w:val="auto"/>
        </w:rPr>
        <w:t>We have agreed to report to you if, in our opinion:</w:t>
      </w:r>
    </w:p>
    <w:p>
      <w:pPr>
        <w:spacing w:after="0" w:line="217" w:lineRule="exact"/>
        <w:rPr>
          <w:sz w:val="20"/>
          <w:szCs w:val="20"/>
          <w:color w:val="auto"/>
        </w:rPr>
      </w:pPr>
    </w:p>
    <w:p>
      <w:pPr>
        <w:ind w:left="160" w:hanging="160"/>
        <w:spacing w:after="0" w:line="182" w:lineRule="auto"/>
        <w:tabs>
          <w:tab w:leader="none" w:pos="160" w:val="left"/>
        </w:tabs>
        <w:numPr>
          <w:ilvl w:val="0"/>
          <w:numId w:val="190"/>
        </w:numPr>
        <w:rPr>
          <w:rFonts w:ascii="Arial" w:cs="Arial" w:eastAsia="Arial" w:hAnsi="Arial"/>
          <w:sz w:val="23"/>
          <w:szCs w:val="23"/>
          <w:color w:val="auto"/>
          <w:vertAlign w:val="superscript"/>
        </w:rPr>
      </w:pPr>
      <w:r>
        <w:rPr>
          <w:rFonts w:ascii="Arial" w:cs="Arial" w:eastAsia="Arial" w:hAnsi="Arial"/>
          <w:sz w:val="14"/>
          <w:szCs w:val="14"/>
          <w:color w:val="auto"/>
        </w:rPr>
        <w:t>we have not received all the information and explanations we require for our audit; or</w:t>
      </w:r>
    </w:p>
    <w:p>
      <w:pPr>
        <w:spacing w:after="0" w:line="1" w:lineRule="exact"/>
        <w:rPr>
          <w:rFonts w:ascii="Arial" w:cs="Arial" w:eastAsia="Arial" w:hAnsi="Arial"/>
          <w:sz w:val="23"/>
          <w:szCs w:val="23"/>
          <w:color w:val="auto"/>
          <w:vertAlign w:val="superscript"/>
        </w:rPr>
      </w:pPr>
    </w:p>
    <w:p>
      <w:pPr>
        <w:ind w:left="160" w:hanging="160"/>
        <w:spacing w:after="0" w:line="187" w:lineRule="auto"/>
        <w:tabs>
          <w:tab w:leader="none" w:pos="160" w:val="left"/>
        </w:tabs>
        <w:numPr>
          <w:ilvl w:val="0"/>
          <w:numId w:val="190"/>
        </w:numPr>
        <w:rPr>
          <w:rFonts w:ascii="Arial" w:cs="Arial" w:eastAsia="Arial" w:hAnsi="Arial"/>
          <w:sz w:val="18"/>
          <w:szCs w:val="18"/>
          <w:color w:val="auto"/>
          <w:vertAlign w:val="superscript"/>
        </w:rPr>
      </w:pPr>
      <w:r>
        <w:rPr>
          <w:rFonts w:ascii="Arial" w:cs="Arial" w:eastAsia="Arial" w:hAnsi="Arial"/>
          <w:sz w:val="11"/>
          <w:szCs w:val="11"/>
          <w:color w:val="auto"/>
        </w:rPr>
        <w:t>adequate accounting records have not been kept; or</w:t>
      </w:r>
    </w:p>
    <w:p>
      <w:pPr>
        <w:ind w:left="160" w:right="340" w:hanging="160"/>
        <w:spacing w:after="0" w:line="183" w:lineRule="auto"/>
        <w:tabs>
          <w:tab w:leader="none" w:pos="160" w:val="left"/>
        </w:tabs>
        <w:numPr>
          <w:ilvl w:val="0"/>
          <w:numId w:val="190"/>
        </w:numPr>
        <w:rPr>
          <w:rFonts w:ascii="Arial" w:cs="Arial" w:eastAsia="Arial" w:hAnsi="Arial"/>
          <w:sz w:val="24"/>
          <w:szCs w:val="24"/>
          <w:color w:val="auto"/>
          <w:vertAlign w:val="superscript"/>
        </w:rPr>
      </w:pPr>
      <w:r>
        <w:rPr>
          <w:rFonts w:ascii="Arial" w:cs="Arial" w:eastAsia="Arial" w:hAnsi="Arial"/>
          <w:sz w:val="14"/>
          <w:szCs w:val="14"/>
          <w:color w:val="auto"/>
        </w:rPr>
        <w:t>the Royal Dutch Shell Dividend Access Trust Financial Statements are not in agreement with the accounting records.</w:t>
      </w:r>
    </w:p>
    <w:p>
      <w:pPr>
        <w:spacing w:after="0" w:line="167" w:lineRule="exact"/>
        <w:rPr>
          <w:sz w:val="20"/>
          <w:szCs w:val="20"/>
          <w:color w:val="auto"/>
        </w:rPr>
      </w:pPr>
    </w:p>
    <w:p>
      <w:pPr>
        <w:spacing w:after="0"/>
        <w:rPr>
          <w:sz w:val="20"/>
          <w:szCs w:val="20"/>
          <w:color w:val="auto"/>
        </w:rPr>
      </w:pPr>
      <w:r>
        <w:rPr>
          <w:rFonts w:ascii="Arial" w:cs="Arial" w:eastAsia="Arial" w:hAnsi="Arial"/>
          <w:sz w:val="14"/>
          <w:szCs w:val="14"/>
          <w:color w:val="auto"/>
        </w:rPr>
        <w:t>We have no exceptions to report arising from this responsibility.</w:t>
      </w:r>
    </w:p>
    <w:p>
      <w:pPr>
        <w:spacing w:after="0" w:line="185" w:lineRule="exact"/>
        <w:rPr>
          <w:sz w:val="20"/>
          <w:szCs w:val="20"/>
          <w:color w:val="auto"/>
        </w:rPr>
      </w:pPr>
    </w:p>
    <w:p>
      <w:pPr>
        <w:ind w:right="240"/>
        <w:spacing w:after="0" w:line="246" w:lineRule="auto"/>
        <w:rPr>
          <w:sz w:val="20"/>
          <w:szCs w:val="20"/>
          <w:color w:val="auto"/>
        </w:rPr>
      </w:pPr>
      <w:r>
        <w:rPr>
          <w:rFonts w:ascii="Arial" w:cs="Arial" w:eastAsia="Arial" w:hAnsi="Arial"/>
          <w:sz w:val="18"/>
          <w:szCs w:val="18"/>
          <w:color w:val="auto"/>
        </w:rPr>
        <w:t>RESPONSIBILITIES FOR THE FINANCIAL STATEMENTS AND THE AUDIT</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color w:val="auto"/>
        </w:rPr>
        <w:t>Our responsibilities and those of the Trustee</w:t>
      </w:r>
    </w:p>
    <w:p>
      <w:pPr>
        <w:spacing w:after="0" w:line="1" w:lineRule="exact"/>
        <w:rPr>
          <w:sz w:val="20"/>
          <w:szCs w:val="20"/>
          <w:color w:val="auto"/>
        </w:rPr>
      </w:pPr>
    </w:p>
    <w:p>
      <w:pPr>
        <w:ind w:right="140"/>
        <w:spacing w:after="0" w:line="250" w:lineRule="auto"/>
        <w:rPr>
          <w:sz w:val="20"/>
          <w:szCs w:val="20"/>
          <w:color w:val="auto"/>
        </w:rPr>
      </w:pPr>
      <w:r>
        <w:rPr>
          <w:rFonts w:ascii="Arial" w:cs="Arial" w:eastAsia="Arial" w:hAnsi="Arial"/>
          <w:sz w:val="14"/>
          <w:szCs w:val="14"/>
          <w:color w:val="auto"/>
        </w:rPr>
        <w:t>The Trustee is responsible for the preparation of the Royal Dutch Shell Dividend Access Trust Financial Statements and for being satisfied that they give a true and fair view.</w:t>
      </w:r>
    </w:p>
    <w:p>
      <w:pPr>
        <w:spacing w:after="0" w:line="159" w:lineRule="exact"/>
        <w:rPr>
          <w:sz w:val="20"/>
          <w:szCs w:val="20"/>
          <w:color w:val="auto"/>
        </w:rPr>
      </w:pPr>
    </w:p>
    <w:p>
      <w:pPr>
        <w:ind w:right="120"/>
        <w:spacing w:after="0" w:line="247" w:lineRule="auto"/>
        <w:rPr>
          <w:sz w:val="20"/>
          <w:szCs w:val="20"/>
          <w:color w:val="auto"/>
        </w:rPr>
      </w:pPr>
      <w:r>
        <w:rPr>
          <w:rFonts w:ascii="Arial" w:cs="Arial" w:eastAsia="Arial" w:hAnsi="Arial"/>
          <w:sz w:val="14"/>
          <w:szCs w:val="14"/>
          <w:color w:val="auto"/>
        </w:rPr>
        <w:t>Our responsibility is to audit and express an opinion on the Royal Dutch Shell Dividend Access Trust Financial Statements in accordance with applicable law and ISAs (UK and Ireland). Those standards require us to comply with the Auditing Practices Board’s Ethical Standards for Auditors.</w:t>
      </w:r>
    </w:p>
    <w:p>
      <w:pPr>
        <w:sectPr>
          <w:pgSz w:w="11900" w:h="16838" w:orient="portrait"/>
          <w:cols w:equalWidth="0" w:num="2">
            <w:col w:w="5480" w:space="300"/>
            <w:col w:w="5380"/>
          </w:cols>
          <w:pgMar w:left="240" w:top="460" w:right="499" w:bottom="1440" w:gutter="0" w:footer="0" w:header="0"/>
        </w:sectPr>
      </w:pPr>
    </w:p>
    <w:bookmarkStart w:id="173" w:name="page174"/>
    <w:bookmarkEnd w:id="1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300355</wp:posOffset>
            </wp:positionV>
            <wp:extent cx="3627755" cy="462915"/>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23">
                      <a:extLst>
                        <a:ext uri="{28A0092B-C50C-407E-A947-70E740481C1C}"/>
                      </a:extLst>
                    </a:blip>
                    <a:srcRect/>
                    <a:stretch>
                      <a:fillRect/>
                    </a:stretch>
                  </pic:blipFill>
                  <pic:spPr bwMode="auto">
                    <a:xfrm>
                      <a:off x="0" y="0"/>
                      <a:ext cx="3627755" cy="462915"/>
                    </a:xfrm>
                    <a:prstGeom prst="rect">
                      <a:avLst/>
                    </a:prstGeom>
                    <a:noFill/>
                  </pic:spPr>
                </pic:pic>
              </a:graphicData>
            </a:graphic>
          </wp:anchor>
        </w:drawing>
      </w:r>
    </w:p>
    <w:p>
      <w:pPr>
        <w:spacing w:after="0" w:line="200" w:lineRule="exact"/>
        <w:rPr>
          <w:sz w:val="20"/>
          <w:szCs w:val="20"/>
          <w:color w:val="auto"/>
        </w:rPr>
      </w:pP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419"/>
        </w:trPr>
        <w:tc>
          <w:tcPr>
            <w:tcW w:w="1320" w:type="dxa"/>
            <w:vAlign w:val="bottom"/>
            <w:shd w:val="clear" w:color="auto" w:fill="FF8B00"/>
          </w:tcPr>
          <w:p>
            <w:pPr>
              <w:spacing w:after="0"/>
              <w:rPr>
                <w:sz w:val="24"/>
                <w:szCs w:val="24"/>
                <w:color w:val="auto"/>
              </w:rPr>
            </w:pPr>
          </w:p>
        </w:tc>
        <w:tc>
          <w:tcPr>
            <w:tcW w:w="4400" w:type="dxa"/>
            <w:vAlign w:val="bottom"/>
            <w:shd w:val="clear" w:color="auto" w:fill="FF8B00"/>
          </w:tcPr>
          <w:p>
            <w:pPr>
              <w:spacing w:after="0"/>
              <w:rPr>
                <w:sz w:val="24"/>
                <w:szCs w:val="24"/>
                <w:color w:val="auto"/>
              </w:rPr>
            </w:pPr>
          </w:p>
        </w:tc>
      </w:tr>
      <w:tr>
        <w:trPr>
          <w:trHeight w:val="152"/>
        </w:trPr>
        <w:tc>
          <w:tcPr>
            <w:tcW w:w="1320" w:type="dxa"/>
            <w:vAlign w:val="bottom"/>
          </w:tcPr>
          <w:p>
            <w:pPr>
              <w:jc w:val="right"/>
              <w:ind w:right="746"/>
              <w:spacing w:after="0"/>
              <w:rPr>
                <w:sz w:val="20"/>
                <w:szCs w:val="20"/>
                <w:color w:val="auto"/>
              </w:rPr>
            </w:pPr>
            <w:r>
              <w:rPr>
                <w:rFonts w:ascii="Arial" w:cs="Arial" w:eastAsia="Arial" w:hAnsi="Arial"/>
                <w:sz w:val="11"/>
                <w:szCs w:val="11"/>
                <w:b w:val="1"/>
                <w:bCs w:val="1"/>
                <w:color w:val="333333"/>
              </w:rPr>
              <w:t>172</w:t>
            </w:r>
          </w:p>
        </w:tc>
        <w:tc>
          <w:tcPr>
            <w:tcW w:w="4400" w:type="dxa"/>
            <w:vAlign w:val="bottom"/>
          </w:tcPr>
          <w:p>
            <w:pPr>
              <w:ind w:left="820"/>
              <w:spacing w:after="0"/>
              <w:rPr>
                <w:sz w:val="20"/>
                <w:szCs w:val="20"/>
                <w:color w:val="auto"/>
              </w:rPr>
            </w:pPr>
            <w:r>
              <w:rPr>
                <w:rFonts w:ascii="Arial" w:cs="Arial" w:eastAsia="Arial" w:hAnsi="Arial"/>
                <w:sz w:val="13"/>
                <w:szCs w:val="13"/>
                <w:color w:val="333333"/>
              </w:rPr>
              <w:t>FINANCIAL STATEMENTS AND SUPPLEMENTS</w:t>
            </w:r>
          </w:p>
        </w:tc>
      </w:tr>
    </w:tbl>
    <w:p>
      <w:pPr>
        <w:spacing w:after="0" w:line="150" w:lineRule="exact"/>
        <w:rPr>
          <w:sz w:val="20"/>
          <w:szCs w:val="20"/>
          <w:color w:val="auto"/>
        </w:rPr>
      </w:pPr>
    </w:p>
    <w:p>
      <w:pPr>
        <w:jc w:val="right"/>
        <w:ind w:right="3360"/>
        <w:spacing w:after="0"/>
        <w:rPr>
          <w:sz w:val="20"/>
          <w:szCs w:val="20"/>
          <w:color w:val="auto"/>
        </w:rPr>
      </w:pPr>
      <w:r>
        <w:rPr>
          <w:rFonts w:ascii="Arial" w:cs="Arial" w:eastAsia="Arial" w:hAnsi="Arial"/>
          <w:sz w:val="11"/>
          <w:szCs w:val="11"/>
          <w:color w:val="auto"/>
        </w:rPr>
        <w:t>ROYAL DUTCH SHELL DIVIDEND ACCESS TRUST</w:t>
      </w:r>
    </w:p>
    <w:p>
      <w:pPr>
        <w:jc w:val="right"/>
        <w:ind w:right="3360"/>
        <w:spacing w:after="0"/>
        <w:rPr>
          <w:sz w:val="20"/>
          <w:szCs w:val="20"/>
          <w:color w:val="auto"/>
        </w:rPr>
      </w:pPr>
      <w:r>
        <w:rPr>
          <w:rFonts w:ascii="Arial" w:cs="Arial" w:eastAsia="Arial" w:hAnsi="Arial"/>
          <w:sz w:val="11"/>
          <w:szCs w:val="11"/>
          <w:color w:val="auto"/>
        </w:rPr>
        <w:t>FINANCIAL STATEMENTS</w:t>
      </w:r>
    </w:p>
    <w:p>
      <w:pPr>
        <w:spacing w:after="0" w:line="57" w:lineRule="exact"/>
        <w:rPr>
          <w:sz w:val="20"/>
          <w:szCs w:val="20"/>
          <w:color w:val="auto"/>
        </w:rPr>
      </w:pPr>
    </w:p>
    <w:p>
      <w:pPr>
        <w:ind w:right="2820"/>
        <w:spacing w:after="0" w:line="245" w:lineRule="auto"/>
        <w:rPr>
          <w:sz w:val="20"/>
          <w:szCs w:val="20"/>
          <w:color w:val="auto"/>
        </w:rPr>
      </w:pPr>
      <w:r>
        <w:rPr>
          <w:rFonts w:ascii="Arial" w:cs="Arial" w:eastAsia="Arial" w:hAnsi="Arial"/>
          <w:sz w:val="14"/>
          <w:szCs w:val="14"/>
          <w:color w:val="auto"/>
        </w:rPr>
        <w:t>This report, including the opinions, has been prepared for and only for the Trustee as a body and for no other purpose. We do not, in giving these opinions, accept or assume responsibility for any other purpose or to any other person to whom this report is shown or into whose hands it may come save where expressly agreed by our prior consent in writing.</w:t>
      </w:r>
    </w:p>
    <w:p>
      <w:pPr>
        <w:spacing w:after="0" w:line="200" w:lineRule="exact"/>
        <w:rPr>
          <w:sz w:val="20"/>
          <w:szCs w:val="20"/>
          <w:color w:val="auto"/>
        </w:rPr>
      </w:pPr>
    </w:p>
    <w:p>
      <w:pPr>
        <w:spacing w:after="0" w:line="35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PricewaterhouseCoopers CI LLP</w:t>
      </w:r>
    </w:p>
    <w:p>
      <w:pPr>
        <w:spacing w:after="0" w:line="19" w:lineRule="exact"/>
        <w:rPr>
          <w:sz w:val="20"/>
          <w:szCs w:val="20"/>
          <w:color w:val="auto"/>
        </w:rPr>
      </w:pPr>
    </w:p>
    <w:p>
      <w:pPr>
        <w:spacing w:after="0"/>
        <w:rPr>
          <w:sz w:val="20"/>
          <w:szCs w:val="20"/>
          <w:color w:val="auto"/>
        </w:rPr>
      </w:pPr>
      <w:r>
        <w:rPr>
          <w:rFonts w:ascii="Arial" w:cs="Arial" w:eastAsia="Arial" w:hAnsi="Arial"/>
          <w:sz w:val="14"/>
          <w:szCs w:val="14"/>
          <w:color w:val="auto"/>
        </w:rPr>
        <w:t>Chartered Accountants</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Jersey, Channel Islands</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March 11, 2015</w:t>
      </w:r>
    </w:p>
    <w:p>
      <w:pPr>
        <w:spacing w:after="0" w:line="177" w:lineRule="exact"/>
        <w:rPr>
          <w:sz w:val="20"/>
          <w:szCs w:val="20"/>
          <w:color w:val="auto"/>
        </w:rPr>
      </w:pPr>
    </w:p>
    <w:p>
      <w:pPr>
        <w:ind w:right="3000"/>
        <w:spacing w:after="0" w:line="250" w:lineRule="auto"/>
        <w:rPr>
          <w:sz w:val="20"/>
          <w:szCs w:val="20"/>
          <w:color w:val="auto"/>
        </w:rPr>
      </w:pPr>
      <w:r>
        <w:rPr>
          <w:rFonts w:ascii="Arial" w:cs="Arial" w:eastAsia="Arial" w:hAnsi="Arial"/>
          <w:sz w:val="14"/>
          <w:szCs w:val="14"/>
          <w:color w:val="auto"/>
        </w:rPr>
        <w:t>Note that the report set out above is included for the purposes of Royal Dutch Shell plc’s Annual Report and Accounts for 2014 only and does not form part of Royal Dutch Shell plc’s Annual Report on Form 20-F for 2014.</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Arial" w:cs="Arial" w:eastAsia="Arial" w:hAnsi="Arial"/>
          <w:sz w:val="10"/>
          <w:szCs w:val="10"/>
          <w:color w:val="auto"/>
        </w:rPr>
        <w:t>SHELL ANNUAL REPORT AND FORM 20-F 2014</w:t>
      </w:r>
    </w:p>
    <w:p>
      <w:pPr>
        <w:sectPr>
          <w:pgSz w:w="11900" w:h="16838" w:orient="portrait"/>
          <w:cols w:equalWidth="0" w:num="2">
            <w:col w:w="8300" w:space="720"/>
            <w:col w:w="2400"/>
          </w:cols>
          <w:pgMar w:left="240" w:top="460" w:right="239" w:bottom="1440" w:gutter="0" w:footer="0" w:header="0"/>
        </w:sectPr>
      </w:pPr>
    </w:p>
    <w:bookmarkStart w:id="174" w:name="page175"/>
    <w:bookmarkEnd w:id="17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1"/>
          <w:szCs w:val="11"/>
          <w:color w:val="auto"/>
        </w:rPr>
        <w:t>SHELL ANNUAL REPORT AND FORM 20-F 2014</w:t>
      </w:r>
    </w:p>
    <w:p>
      <w:pPr>
        <w:spacing w:after="0" w:line="181" w:lineRule="exact"/>
        <w:rPr>
          <w:sz w:val="20"/>
          <w:szCs w:val="20"/>
          <w:color w:val="auto"/>
        </w:rPr>
      </w:pPr>
    </w:p>
    <w:p>
      <w:pPr>
        <w:ind w:right="120"/>
        <w:spacing w:after="0" w:line="249" w:lineRule="auto"/>
        <w:rPr>
          <w:sz w:val="20"/>
          <w:szCs w:val="20"/>
          <w:color w:val="auto"/>
        </w:rPr>
      </w:pPr>
      <w:r>
        <w:rPr>
          <w:rFonts w:ascii="Arial" w:cs="Arial" w:eastAsia="Arial" w:hAnsi="Arial"/>
          <w:sz w:val="31"/>
          <w:szCs w:val="31"/>
          <w:color w:val="auto"/>
        </w:rPr>
        <w:t>REPORT OF INDEPENDENT REGISTERED PUBLIC ACCOUNTING FIRM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wp:posOffset>
            </wp:positionV>
            <wp:extent cx="3473450" cy="8890"/>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24">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spacing w:after="0" w:line="159" w:lineRule="exact"/>
        <w:rPr>
          <w:sz w:val="20"/>
          <w:szCs w:val="20"/>
          <w:color w:val="auto"/>
        </w:rPr>
      </w:pPr>
    </w:p>
    <w:p>
      <w:pPr>
        <w:ind w:right="240"/>
        <w:spacing w:after="0" w:line="239" w:lineRule="auto"/>
        <w:rPr>
          <w:sz w:val="20"/>
          <w:szCs w:val="20"/>
          <w:color w:val="auto"/>
        </w:rPr>
      </w:pPr>
      <w:r>
        <w:rPr>
          <w:rFonts w:ascii="Arial" w:cs="Arial" w:eastAsia="Arial" w:hAnsi="Arial"/>
          <w:sz w:val="18"/>
          <w:szCs w:val="18"/>
          <w:color w:val="auto"/>
        </w:rPr>
        <w:t>TO COMPUTERSHARE TRUSTEES (JERSEY) LIMITED AS TRUSTEE OF THE ROYAL DUTCH SHELL DIVIDEND ACCESS TRUST AND THE BOARD OF DIRECTORS AND SHAREHOLDERS OF ROYAL DUTCH SHELL PLC</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auto"/>
        </w:rPr>
        <w:t>Our opinion</w:t>
      </w:r>
    </w:p>
    <w:p>
      <w:pPr>
        <w:spacing w:after="0" w:line="1" w:lineRule="exact"/>
        <w:rPr>
          <w:sz w:val="20"/>
          <w:szCs w:val="20"/>
          <w:color w:val="auto"/>
        </w:rPr>
      </w:pPr>
    </w:p>
    <w:p>
      <w:pPr>
        <w:spacing w:after="0" w:line="242" w:lineRule="auto"/>
        <w:rPr>
          <w:sz w:val="20"/>
          <w:szCs w:val="20"/>
          <w:color w:val="auto"/>
        </w:rPr>
      </w:pPr>
      <w:r>
        <w:rPr>
          <w:rFonts w:ascii="Arial" w:cs="Arial" w:eastAsia="Arial" w:hAnsi="Arial"/>
          <w:sz w:val="14"/>
          <w:szCs w:val="14"/>
          <w:color w:val="auto"/>
        </w:rPr>
        <w:t xml:space="preserve">In our opinion, the accompanying Statement of Income, the Statement of Comprehensive Income, the Balance Sheet, the Statement of Changes in Equity, the Statement of Cash Flows, and the related Notes to the Royal Dutch Shell Dividend Access Trust Financial Statements present fairly, in all material respects, the financial position of the Royal Dutch Shell Dividend Access Trust (the Trust) at December 31, 2014 and December 31, 2013, and the results of its operations and its cash flows for each of the three years in the period ended December 31, 2014 in conformity with International Financial Reporting Standards as issued by the International Accounting Standards Board and in conformity with International Financial Reporting Standards as adopted by the European Union. Also in our opinion, the Trust maintained, in all material respects, effective internal control over financial reporting as of December 31, 2014, based on criteria established in </w:t>
      </w:r>
      <w:r>
        <w:rPr>
          <w:rFonts w:ascii="Arial" w:cs="Arial" w:eastAsia="Arial" w:hAnsi="Arial"/>
          <w:sz w:val="14"/>
          <w:szCs w:val="14"/>
          <w:i w:val="1"/>
          <w:iCs w:val="1"/>
          <w:color w:val="auto"/>
        </w:rPr>
        <w:t>Internal Control – Integrated Framework</w:t>
      </w:r>
      <w:r>
        <w:rPr>
          <w:rFonts w:ascii="Arial" w:cs="Arial" w:eastAsia="Arial" w:hAnsi="Arial"/>
          <w:sz w:val="14"/>
          <w:szCs w:val="14"/>
          <w:color w:val="auto"/>
        </w:rPr>
        <w:t xml:space="preserve"> </w:t>
      </w:r>
      <w:r>
        <w:rPr>
          <w:rFonts w:ascii="Arial" w:cs="Arial" w:eastAsia="Arial" w:hAnsi="Arial"/>
          <w:sz w:val="14"/>
          <w:szCs w:val="14"/>
          <w:i w:val="1"/>
          <w:iCs w:val="1"/>
          <w:color w:val="auto"/>
        </w:rPr>
        <w:t xml:space="preserve">(2013) </w:t>
      </w:r>
      <w:r>
        <w:rPr>
          <w:rFonts w:ascii="Arial" w:cs="Arial" w:eastAsia="Arial" w:hAnsi="Arial"/>
          <w:sz w:val="14"/>
          <w:szCs w:val="14"/>
          <w:color w:val="auto"/>
        </w:rPr>
        <w:t>issued by the Committee of Sponsoring Organizations of the Treadway</w:t>
      </w:r>
      <w:r>
        <w:rPr>
          <w:rFonts w:ascii="Arial" w:cs="Arial" w:eastAsia="Arial" w:hAnsi="Arial"/>
          <w:sz w:val="14"/>
          <w:szCs w:val="14"/>
          <w:i w:val="1"/>
          <w:iCs w:val="1"/>
          <w:color w:val="auto"/>
        </w:rPr>
        <w:t xml:space="preserve"> </w:t>
      </w:r>
      <w:r>
        <w:rPr>
          <w:rFonts w:ascii="Arial" w:cs="Arial" w:eastAsia="Arial" w:hAnsi="Arial"/>
          <w:sz w:val="14"/>
          <w:szCs w:val="14"/>
          <w:color w:val="auto"/>
        </w:rPr>
        <w:t>Commission (COSO). The Trustee and the management of Royal Dutch Shell plc are responsible for these Financial Statements, for maintaining effective internal control over financial reporting and for its assessment of the effectiveness of internal control over financial reporting, included in the Trustee’s and Management’s Report on Internal Control over Financial Reporting of the Royal Dutch Shell Dividend Access Trust set out on page 71. Our responsibility is to express opinions on these Financial Statements and on the Trust’s internal control over financial reporting based on our integrated audits. We conducted our audits in accordance with the standards of the Public Company Accounting Oversight Board (United States). Those standards require that we plan and perform the audits to obtain reasonable assurance about whether the Financial Statements are free of material misstatement and whether effective internal control over financial reporting was maintained in all material respects. Our audits of the Financial Statements included examining, on a test basis, evidence supporting the amounts and disclosures in the Financial Statements, assessing the accounting</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spacing w:after="0" w:line="1" w:lineRule="exact"/>
        <w:rPr>
          <w:sz w:val="1"/>
          <w:szCs w:val="1"/>
          <w:color w:val="auto"/>
        </w:rPr>
      </w:pPr>
    </w:p>
    <w:tbl>
      <w:tblPr>
        <w:tblLayout w:type="fixed"/>
        <w:tblInd w:w="660" w:type="dxa"/>
        <w:tblCellMar>
          <w:top w:w="0" w:type="dxa"/>
          <w:left w:w="0" w:type="dxa"/>
          <w:bottom w:w="0" w:type="dxa"/>
          <w:right w:w="0" w:type="dxa"/>
        </w:tblCellMar>
      </w:tblPr>
      <w:tr>
        <w:trPr>
          <w:trHeight w:val="161"/>
        </w:trPr>
        <w:tc>
          <w:tcPr>
            <w:tcW w:w="3520" w:type="dxa"/>
            <w:vAlign w:val="bottom"/>
          </w:tcPr>
          <w:p>
            <w:pPr>
              <w:spacing w:after="0"/>
              <w:rPr>
                <w:sz w:val="20"/>
                <w:szCs w:val="20"/>
                <w:color w:val="auto"/>
              </w:rPr>
            </w:pPr>
            <w:r>
              <w:rPr>
                <w:rFonts w:ascii="Arial" w:cs="Arial" w:eastAsia="Arial" w:hAnsi="Arial"/>
                <w:sz w:val="13"/>
                <w:szCs w:val="13"/>
                <w:color w:val="333333"/>
              </w:rPr>
              <w:t>FINANCIAL STATEMENTS AND SUPPLEMENTS</w:t>
            </w:r>
          </w:p>
        </w:tc>
        <w:tc>
          <w:tcPr>
            <w:tcW w:w="920" w:type="dxa"/>
            <w:vAlign w:val="bottom"/>
          </w:tcPr>
          <w:p>
            <w:pPr>
              <w:jc w:val="right"/>
              <w:spacing w:after="0"/>
              <w:rPr>
                <w:sz w:val="20"/>
                <w:szCs w:val="20"/>
                <w:color w:val="auto"/>
              </w:rPr>
            </w:pPr>
            <w:r>
              <w:rPr>
                <w:rFonts w:ascii="Arial" w:cs="Arial" w:eastAsia="Arial" w:hAnsi="Arial"/>
                <w:sz w:val="11"/>
                <w:szCs w:val="11"/>
                <w:b w:val="1"/>
                <w:bCs w:val="1"/>
                <w:color w:val="333333"/>
              </w:rPr>
              <w:t>173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-3677285</wp:posOffset>
            </wp:positionH>
            <wp:positionV relativeFrom="paragraph">
              <wp:posOffset>-992505</wp:posOffset>
            </wp:positionV>
            <wp:extent cx="7289165" cy="38100"/>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25">
                      <a:extLst>
                        <a:ext uri="{28A0092B-C50C-407E-A947-70E740481C1C}"/>
                      </a:extLst>
                    </a:blip>
                    <a:srcRect/>
                    <a:stretch>
                      <a:fillRect/>
                    </a:stretch>
                  </pic:blipFill>
                  <pic:spPr bwMode="auto">
                    <a:xfrm>
                      <a:off x="0" y="0"/>
                      <a:ext cx="7289165" cy="38100"/>
                    </a:xfrm>
                    <a:prstGeom prst="rect">
                      <a:avLst/>
                    </a:prstGeom>
                    <a:noFill/>
                  </pic:spPr>
                </pic:pic>
              </a:graphicData>
            </a:graphic>
          </wp:anchor>
        </w:drawing>
        <w:drawing>
          <wp:anchor simplePos="0" relativeHeight="251657728" behindDoc="1" locked="0" layoutInCell="0" allowOverlap="1">
            <wp:simplePos x="0" y="0"/>
            <wp:positionH relativeFrom="column">
              <wp:posOffset>-114300</wp:posOffset>
            </wp:positionH>
            <wp:positionV relativeFrom="paragraph">
              <wp:posOffset>-358140</wp:posOffset>
            </wp:positionV>
            <wp:extent cx="3696335" cy="462915"/>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26">
                      <a:extLst>
                        <a:ext uri="{28A0092B-C50C-407E-A947-70E740481C1C}"/>
                      </a:extLst>
                    </a:blip>
                    <a:srcRect/>
                    <a:stretch>
                      <a:fillRect/>
                    </a:stretch>
                  </pic:blipFill>
                  <pic:spPr bwMode="auto">
                    <a:xfrm>
                      <a:off x="0" y="0"/>
                      <a:ext cx="3696335" cy="462915"/>
                    </a:xfrm>
                    <a:prstGeom prst="rect">
                      <a:avLst/>
                    </a:prstGeom>
                    <a:noFill/>
                  </pic:spPr>
                </pic:pic>
              </a:graphicData>
            </a:graphic>
          </wp:anchor>
        </w:drawing>
      </w:r>
    </w:p>
    <w:p>
      <w:pPr>
        <w:spacing w:after="0" w:line="136" w:lineRule="exact"/>
        <w:rPr>
          <w:sz w:val="20"/>
          <w:szCs w:val="20"/>
          <w:color w:val="auto"/>
        </w:rPr>
      </w:pPr>
    </w:p>
    <w:p>
      <w:pPr>
        <w:ind w:left="660"/>
        <w:spacing w:after="0"/>
        <w:rPr>
          <w:sz w:val="20"/>
          <w:szCs w:val="20"/>
          <w:color w:val="auto"/>
        </w:rPr>
      </w:pPr>
      <w:r>
        <w:rPr>
          <w:rFonts w:ascii="Arial" w:cs="Arial" w:eastAsia="Arial" w:hAnsi="Arial"/>
          <w:sz w:val="11"/>
          <w:szCs w:val="11"/>
          <w:color w:val="auto"/>
        </w:rPr>
        <w:t>ROYAL DUTCH SHELL DIVIDEND ACCESS TRUST</w:t>
      </w:r>
    </w:p>
    <w:p>
      <w:pPr>
        <w:ind w:left="660"/>
        <w:spacing w:after="0"/>
        <w:rPr>
          <w:sz w:val="20"/>
          <w:szCs w:val="20"/>
          <w:color w:val="auto"/>
        </w:rPr>
      </w:pPr>
      <w:r>
        <w:rPr>
          <w:rFonts w:ascii="Arial" w:cs="Arial" w:eastAsia="Arial" w:hAnsi="Arial"/>
          <w:sz w:val="11"/>
          <w:szCs w:val="11"/>
          <w:color w:val="auto"/>
        </w:rPr>
        <w:t>FINANCIAL STATEMENTS</w:t>
      </w:r>
    </w:p>
    <w:p>
      <w:pPr>
        <w:spacing w:after="0" w:line="57" w:lineRule="exact"/>
        <w:rPr>
          <w:sz w:val="20"/>
          <w:szCs w:val="20"/>
          <w:color w:val="auto"/>
        </w:rPr>
      </w:pPr>
    </w:p>
    <w:p>
      <w:pPr>
        <w:ind w:right="180"/>
        <w:spacing w:after="0" w:line="243" w:lineRule="auto"/>
        <w:rPr>
          <w:sz w:val="20"/>
          <w:szCs w:val="20"/>
          <w:color w:val="auto"/>
        </w:rPr>
      </w:pPr>
      <w:r>
        <w:rPr>
          <w:rFonts w:ascii="Arial" w:cs="Arial" w:eastAsia="Arial" w:hAnsi="Arial"/>
          <w:sz w:val="14"/>
          <w:szCs w:val="14"/>
          <w:color w:val="auto"/>
        </w:rPr>
        <w:t>principles used and significant estimates made by management, and evaluating the overall financial statement presentation.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182" w:lineRule="exact"/>
        <w:rPr>
          <w:sz w:val="20"/>
          <w:szCs w:val="20"/>
          <w:color w:val="auto"/>
        </w:rPr>
      </w:pPr>
    </w:p>
    <w:p>
      <w:pPr>
        <w:ind w:right="40"/>
        <w:spacing w:after="0" w:line="242" w:lineRule="auto"/>
        <w:rPr>
          <w:sz w:val="20"/>
          <w:szCs w:val="20"/>
          <w:color w:val="auto"/>
        </w:rPr>
      </w:pPr>
      <w:r>
        <w:rPr>
          <w:rFonts w:ascii="Arial" w:cs="Arial" w:eastAsia="Arial" w:hAnsi="Arial"/>
          <w:sz w:val="14"/>
          <w:szCs w:val="14"/>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authorisations of management and directors of the company; and (iii) provide reasonable assurance regarding prevention or timely detection of unauthorised acquisition, use, or disposition of the company’s assets that could have a material effect on the financial statements.</w:t>
      </w:r>
    </w:p>
    <w:p>
      <w:pPr>
        <w:spacing w:after="0" w:line="334" w:lineRule="exact"/>
        <w:rPr>
          <w:sz w:val="20"/>
          <w:szCs w:val="20"/>
          <w:color w:val="auto"/>
        </w:rPr>
      </w:pPr>
    </w:p>
    <w:p>
      <w:pPr>
        <w:spacing w:after="0" w:line="245" w:lineRule="auto"/>
        <w:rPr>
          <w:sz w:val="20"/>
          <w:szCs w:val="20"/>
          <w:color w:val="auto"/>
        </w:rPr>
      </w:pPr>
      <w:r>
        <w:rPr>
          <w:rFonts w:ascii="Arial" w:cs="Arial" w:eastAsia="Arial" w:hAnsi="Arial"/>
          <w:sz w:val="14"/>
          <w:szCs w:val="14"/>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0" w:lineRule="exact"/>
        <w:rPr>
          <w:sz w:val="20"/>
          <w:szCs w:val="20"/>
          <w:color w:val="auto"/>
        </w:rPr>
      </w:pPr>
    </w:p>
    <w:p>
      <w:pPr>
        <w:spacing w:after="0" w:line="35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PricewaterhouseCoopers CI LLP</w:t>
      </w:r>
    </w:p>
    <w:p>
      <w:pPr>
        <w:spacing w:after="0" w:line="19" w:lineRule="exact"/>
        <w:rPr>
          <w:sz w:val="20"/>
          <w:szCs w:val="20"/>
          <w:color w:val="auto"/>
        </w:rPr>
      </w:pPr>
    </w:p>
    <w:p>
      <w:pPr>
        <w:spacing w:after="0"/>
        <w:rPr>
          <w:sz w:val="20"/>
          <w:szCs w:val="20"/>
          <w:color w:val="auto"/>
        </w:rPr>
      </w:pPr>
      <w:r>
        <w:rPr>
          <w:rFonts w:ascii="Arial" w:cs="Arial" w:eastAsia="Arial" w:hAnsi="Arial"/>
          <w:sz w:val="14"/>
          <w:szCs w:val="14"/>
          <w:color w:val="auto"/>
        </w:rPr>
        <w:t>Jersey, Channel Islands</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March 11, 2015</w:t>
      </w:r>
    </w:p>
    <w:p>
      <w:pPr>
        <w:spacing w:after="0" w:line="177" w:lineRule="exact"/>
        <w:rPr>
          <w:sz w:val="20"/>
          <w:szCs w:val="20"/>
          <w:color w:val="auto"/>
        </w:rPr>
      </w:pPr>
    </w:p>
    <w:p>
      <w:pPr>
        <w:ind w:right="200"/>
        <w:spacing w:after="0" w:line="250" w:lineRule="auto"/>
        <w:rPr>
          <w:sz w:val="20"/>
          <w:szCs w:val="20"/>
          <w:color w:val="auto"/>
        </w:rPr>
      </w:pPr>
      <w:r>
        <w:rPr>
          <w:rFonts w:ascii="Arial" w:cs="Arial" w:eastAsia="Arial" w:hAnsi="Arial"/>
          <w:sz w:val="14"/>
          <w:szCs w:val="14"/>
          <w:color w:val="auto"/>
        </w:rPr>
        <w:t>Note that the report set out above is included for the purposes of Royal Dutch Shell plc’s Annual Report on Form 20-F for 2014 only and does not form part of Royal Dutch Shell plc’s Annual Report and Accounts for 2014.</w:t>
      </w:r>
    </w:p>
    <w:p>
      <w:pPr>
        <w:sectPr>
          <w:pgSz w:w="11900" w:h="16838" w:orient="portrait"/>
          <w:cols w:equalWidth="0" w:num="2">
            <w:col w:w="5440" w:space="340"/>
            <w:col w:w="5480"/>
          </w:cols>
          <w:pgMar w:left="240" w:top="460" w:right="399" w:bottom="1440" w:gutter="0" w:footer="0" w:header="0"/>
        </w:sectPr>
      </w:pPr>
    </w:p>
    <w:bookmarkStart w:id="175" w:name="page176"/>
    <w:bookmarkEnd w:id="1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2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300355</wp:posOffset>
            </wp:positionV>
            <wp:extent cx="8890" cy="462915"/>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28">
                      <a:extLst>
                        <a:ext uri="{28A0092B-C50C-407E-A947-70E740481C1C}"/>
                      </a:extLst>
                    </a:blip>
                    <a:srcRect/>
                    <a:stretch>
                      <a:fillRect/>
                    </a:stretch>
                  </pic:blipFill>
                  <pic:spPr bwMode="auto">
                    <a:xfrm>
                      <a:off x="0" y="0"/>
                      <a:ext cx="8890" cy="462915"/>
                    </a:xfrm>
                    <a:prstGeom prst="rect">
                      <a:avLst/>
                    </a:prstGeom>
                    <a:noFill/>
                  </pic:spPr>
                </pic:pic>
              </a:graphicData>
            </a:graphic>
          </wp:anchor>
        </w:drawing>
      </w:r>
    </w:p>
    <w:p>
      <w:pPr>
        <w:spacing w:after="0" w:line="200" w:lineRule="exact"/>
        <w:rPr>
          <w:sz w:val="20"/>
          <w:szCs w:val="20"/>
          <w:color w:val="auto"/>
        </w:rPr>
      </w:pP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565"/>
        </w:trPr>
        <w:tc>
          <w:tcPr>
            <w:tcW w:w="700" w:type="dxa"/>
            <w:vAlign w:val="bottom"/>
            <w:shd w:val="clear" w:color="auto" w:fill="FF8B00"/>
          </w:tcPr>
          <w:p>
            <w:pPr>
              <w:jc w:val="right"/>
              <w:ind w:right="206"/>
              <w:spacing w:after="0"/>
              <w:rPr>
                <w:sz w:val="20"/>
                <w:szCs w:val="20"/>
                <w:color w:val="auto"/>
              </w:rPr>
            </w:pPr>
            <w:r>
              <w:rPr>
                <w:rFonts w:ascii="Arial" w:cs="Arial" w:eastAsia="Arial" w:hAnsi="Arial"/>
                <w:sz w:val="11"/>
                <w:szCs w:val="11"/>
                <w:b w:val="1"/>
                <w:bCs w:val="1"/>
                <w:color w:val="333333"/>
              </w:rPr>
              <w:t>174</w:t>
            </w:r>
          </w:p>
        </w:tc>
        <w:tc>
          <w:tcPr>
            <w:tcW w:w="4880" w:type="dxa"/>
            <w:vAlign w:val="bottom"/>
            <w:shd w:val="clear" w:color="auto" w:fill="FF8B00"/>
          </w:tcPr>
          <w:p>
            <w:pPr>
              <w:jc w:val="right"/>
              <w:ind w:right="743"/>
              <w:spacing w:after="0"/>
              <w:rPr>
                <w:sz w:val="20"/>
                <w:szCs w:val="20"/>
                <w:color w:val="auto"/>
              </w:rPr>
            </w:pPr>
            <w:r>
              <w:rPr>
                <w:rFonts w:ascii="Arial" w:cs="Arial" w:eastAsia="Arial" w:hAnsi="Arial"/>
                <w:sz w:val="13"/>
                <w:szCs w:val="13"/>
                <w:color w:val="333333"/>
              </w:rPr>
              <w:t>FINANCIAL STATEMENTS AND SUPPLEMENTS</w:t>
            </w:r>
          </w:p>
        </w:tc>
        <w:tc>
          <w:tcPr>
            <w:tcW w:w="5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5"/>
        </w:trPr>
        <w:tc>
          <w:tcPr>
            <w:tcW w:w="700" w:type="dxa"/>
            <w:vAlign w:val="bottom"/>
            <w:shd w:val="clear" w:color="auto" w:fill="FF8B00"/>
          </w:tcPr>
          <w:p>
            <w:pPr>
              <w:spacing w:after="0"/>
              <w:rPr>
                <w:sz w:val="14"/>
                <w:szCs w:val="14"/>
                <w:color w:val="auto"/>
              </w:rPr>
            </w:pPr>
          </w:p>
        </w:tc>
        <w:tc>
          <w:tcPr>
            <w:tcW w:w="4880" w:type="dxa"/>
            <w:vAlign w:val="bottom"/>
            <w:shd w:val="clear" w:color="auto" w:fill="FF8B00"/>
          </w:tcPr>
          <w:p>
            <w:pPr>
              <w:spacing w:after="0"/>
              <w:rPr>
                <w:sz w:val="14"/>
                <w:szCs w:val="14"/>
                <w:color w:val="auto"/>
              </w:rPr>
            </w:pPr>
          </w:p>
        </w:tc>
        <w:tc>
          <w:tcPr>
            <w:tcW w:w="5840" w:type="dxa"/>
            <w:vAlign w:val="bottom"/>
            <w:vMerge w:val="restart"/>
          </w:tcPr>
          <w:p>
            <w:pPr>
              <w:ind w:left="3440"/>
              <w:spacing w:after="0"/>
              <w:rPr>
                <w:sz w:val="20"/>
                <w:szCs w:val="20"/>
                <w:color w:val="auto"/>
              </w:rPr>
            </w:pPr>
            <w:r>
              <w:rPr>
                <w:rFonts w:ascii="Arial" w:cs="Arial" w:eastAsia="Arial" w:hAnsi="Arial"/>
                <w:sz w:val="11"/>
                <w:szCs w:val="11"/>
                <w:color w:val="auto"/>
                <w:w w:val="96"/>
              </w:rPr>
              <w:t>SHELL ANNUAL REPORT AND FORM 20-F 2014</w:t>
            </w:r>
          </w:p>
        </w:tc>
        <w:tc>
          <w:tcPr>
            <w:tcW w:w="0" w:type="dxa"/>
            <w:vAlign w:val="bottom"/>
          </w:tcPr>
          <w:p>
            <w:pPr>
              <w:spacing w:after="0"/>
              <w:rPr>
                <w:sz w:val="1"/>
                <w:szCs w:val="1"/>
                <w:color w:val="auto"/>
              </w:rPr>
            </w:pPr>
          </w:p>
        </w:tc>
      </w:tr>
      <w:tr>
        <w:trPr>
          <w:trHeight w:val="118"/>
        </w:trPr>
        <w:tc>
          <w:tcPr>
            <w:tcW w:w="700" w:type="dxa"/>
            <w:vAlign w:val="bottom"/>
          </w:tcPr>
          <w:p>
            <w:pPr>
              <w:spacing w:after="0"/>
              <w:rPr>
                <w:sz w:val="10"/>
                <w:szCs w:val="10"/>
                <w:color w:val="auto"/>
              </w:rPr>
            </w:pPr>
          </w:p>
        </w:tc>
        <w:tc>
          <w:tcPr>
            <w:tcW w:w="4880" w:type="dxa"/>
            <w:vAlign w:val="bottom"/>
          </w:tcPr>
          <w:p>
            <w:pPr>
              <w:jc w:val="right"/>
              <w:ind w:right="743"/>
              <w:spacing w:after="0" w:line="119" w:lineRule="exact"/>
              <w:rPr>
                <w:sz w:val="20"/>
                <w:szCs w:val="20"/>
                <w:color w:val="auto"/>
              </w:rPr>
            </w:pPr>
            <w:r>
              <w:rPr>
                <w:rFonts w:ascii="Arial" w:cs="Arial" w:eastAsia="Arial" w:hAnsi="Arial"/>
                <w:sz w:val="11"/>
                <w:szCs w:val="11"/>
                <w:color w:val="auto"/>
              </w:rPr>
              <w:t>ROYAL DUTCH SHELL DIVIDEND ACCESS TRUST</w:t>
            </w:r>
          </w:p>
        </w:tc>
        <w:tc>
          <w:tcPr>
            <w:tcW w:w="58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4880" w:type="dxa"/>
            <w:vAlign w:val="bottom"/>
          </w:tcPr>
          <w:p>
            <w:pPr>
              <w:jc w:val="right"/>
              <w:ind w:right="743"/>
              <w:spacing w:after="0"/>
              <w:rPr>
                <w:sz w:val="20"/>
                <w:szCs w:val="20"/>
                <w:color w:val="auto"/>
              </w:rPr>
            </w:pPr>
            <w:r>
              <w:rPr>
                <w:rFonts w:ascii="Arial" w:cs="Arial" w:eastAsia="Arial" w:hAnsi="Arial"/>
                <w:sz w:val="11"/>
                <w:szCs w:val="11"/>
                <w:color w:val="auto"/>
              </w:rPr>
              <w:t>FINANCIAL STATEMENTS</w:t>
            </w:r>
          </w:p>
        </w:tc>
        <w:tc>
          <w:tcPr>
            <w:tcW w:w="584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56" w:lineRule="exact"/>
        <w:rPr>
          <w:sz w:val="20"/>
          <w:szCs w:val="20"/>
          <w:color w:val="auto"/>
        </w:rPr>
      </w:pPr>
    </w:p>
    <w:p>
      <w:pPr>
        <w:spacing w:after="0"/>
        <w:rPr>
          <w:sz w:val="20"/>
          <w:szCs w:val="20"/>
          <w:color w:val="auto"/>
        </w:rPr>
      </w:pPr>
      <w:r>
        <w:rPr>
          <w:rFonts w:ascii="Arial" w:cs="Arial" w:eastAsia="Arial" w:hAnsi="Arial"/>
          <w:sz w:val="31"/>
          <w:szCs w:val="31"/>
          <w:color w:val="auto"/>
        </w:rPr>
        <w:t>ROYAL DUTCH SHELL</w:t>
      </w:r>
    </w:p>
    <w:p>
      <w:pPr>
        <w:spacing w:after="0" w:line="8" w:lineRule="exact"/>
        <w:rPr>
          <w:sz w:val="20"/>
          <w:szCs w:val="20"/>
          <w:color w:val="auto"/>
        </w:rPr>
      </w:pPr>
    </w:p>
    <w:p>
      <w:pPr>
        <w:spacing w:after="0"/>
        <w:rPr>
          <w:sz w:val="20"/>
          <w:szCs w:val="20"/>
          <w:color w:val="auto"/>
        </w:rPr>
      </w:pPr>
      <w:r>
        <w:rPr>
          <w:rFonts w:ascii="Arial" w:cs="Arial" w:eastAsia="Arial" w:hAnsi="Arial"/>
          <w:sz w:val="31"/>
          <w:szCs w:val="31"/>
          <w:color w:val="auto"/>
        </w:rPr>
        <w:t>DIVIDEND ACCESS TRUST</w:t>
      </w:r>
    </w:p>
    <w:p>
      <w:pPr>
        <w:spacing w:after="0" w:line="8" w:lineRule="exact"/>
        <w:rPr>
          <w:sz w:val="20"/>
          <w:szCs w:val="20"/>
          <w:color w:val="auto"/>
        </w:rPr>
      </w:pPr>
    </w:p>
    <w:p>
      <w:pPr>
        <w:spacing w:after="0"/>
        <w:rPr>
          <w:sz w:val="20"/>
          <w:szCs w:val="20"/>
          <w:color w:val="auto"/>
        </w:rPr>
      </w:pPr>
      <w:r>
        <w:rPr>
          <w:rFonts w:ascii="Arial" w:cs="Arial" w:eastAsia="Arial" w:hAnsi="Arial"/>
          <w:sz w:val="31"/>
          <w:szCs w:val="31"/>
          <w:color w:val="auto"/>
        </w:rPr>
        <w:t>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wp:posOffset>
            </wp:positionV>
            <wp:extent cx="3473450" cy="8890"/>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29">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spacing w:after="0" w:line="200" w:lineRule="exact"/>
        <w:rPr>
          <w:sz w:val="20"/>
          <w:szCs w:val="20"/>
          <w:color w:val="auto"/>
        </w:rPr>
      </w:pPr>
    </w:p>
    <w:p>
      <w:pPr>
        <w:spacing w:after="0" w:line="218" w:lineRule="exact"/>
        <w:rPr>
          <w:sz w:val="20"/>
          <w:szCs w:val="20"/>
          <w:color w:val="auto"/>
        </w:rPr>
      </w:pPr>
    </w:p>
    <w:p>
      <w:pPr>
        <w:ind w:left="460" w:hanging="444"/>
        <w:spacing w:after="0"/>
        <w:tabs>
          <w:tab w:leader="none" w:pos="460" w:val="left"/>
        </w:tabs>
        <w:numPr>
          <w:ilvl w:val="0"/>
          <w:numId w:val="191"/>
        </w:numPr>
        <w:rPr>
          <w:rFonts w:ascii="Arial" w:cs="Arial" w:eastAsia="Arial" w:hAnsi="Arial"/>
          <w:sz w:val="14"/>
          <w:szCs w:val="14"/>
          <w:u w:val="single" w:color="auto"/>
          <w:color w:val="0000EE"/>
        </w:rPr>
      </w:pPr>
      <w:hyperlink w:anchor="page177">
        <w:r>
          <w:rPr>
            <w:rFonts w:ascii="Arial" w:cs="Arial" w:eastAsia="Arial" w:hAnsi="Arial"/>
            <w:sz w:val="14"/>
            <w:szCs w:val="14"/>
            <w:u w:val="single" w:color="auto"/>
            <w:color w:val="0000EE"/>
          </w:rPr>
          <w:t>Statement of Income</w:t>
        </w:r>
      </w:hyperlink>
    </w:p>
    <w:p>
      <w:pPr>
        <w:spacing w:after="0" w:line="1" w:lineRule="exact"/>
        <w:rPr>
          <w:sz w:val="20"/>
          <w:szCs w:val="20"/>
          <w:color w:val="auto"/>
        </w:rPr>
      </w:pPr>
    </w:p>
    <w:p>
      <w:pPr>
        <w:ind w:left="460" w:hanging="444"/>
        <w:spacing w:after="0"/>
        <w:tabs>
          <w:tab w:leader="none" w:pos="460" w:val="left"/>
        </w:tabs>
        <w:numPr>
          <w:ilvl w:val="0"/>
          <w:numId w:val="192"/>
        </w:numPr>
        <w:rPr>
          <w:rFonts w:ascii="Arial" w:cs="Arial" w:eastAsia="Arial" w:hAnsi="Arial"/>
          <w:sz w:val="14"/>
          <w:szCs w:val="14"/>
          <w:u w:val="single" w:color="auto"/>
          <w:color w:val="0000EE"/>
        </w:rPr>
      </w:pPr>
      <w:hyperlink w:anchor="page177">
        <w:r>
          <w:rPr>
            <w:rFonts w:ascii="Arial" w:cs="Arial" w:eastAsia="Arial" w:hAnsi="Arial"/>
            <w:sz w:val="14"/>
            <w:szCs w:val="14"/>
            <w:u w:val="single" w:color="auto"/>
            <w:color w:val="0000EE"/>
          </w:rPr>
          <w:t>Statement of Comprehensive Income</w:t>
        </w:r>
      </w:hyperlink>
    </w:p>
    <w:p>
      <w:pPr>
        <w:spacing w:after="0" w:line="1" w:lineRule="exact"/>
        <w:rPr>
          <w:rFonts w:ascii="Arial" w:cs="Arial" w:eastAsia="Arial" w:hAnsi="Arial"/>
          <w:sz w:val="14"/>
          <w:szCs w:val="14"/>
          <w:u w:val="single" w:color="auto"/>
          <w:color w:val="0000EE"/>
        </w:rPr>
      </w:pPr>
    </w:p>
    <w:p>
      <w:pPr>
        <w:ind w:left="460" w:hanging="444"/>
        <w:spacing w:after="0"/>
        <w:tabs>
          <w:tab w:leader="none" w:pos="460" w:val="left"/>
        </w:tabs>
        <w:numPr>
          <w:ilvl w:val="0"/>
          <w:numId w:val="193"/>
        </w:numPr>
        <w:rPr>
          <w:rFonts w:ascii="Arial" w:cs="Arial" w:eastAsia="Arial" w:hAnsi="Arial"/>
          <w:sz w:val="14"/>
          <w:szCs w:val="14"/>
          <w:u w:val="single" w:color="auto"/>
          <w:color w:val="0000EE"/>
        </w:rPr>
      </w:pPr>
      <w:hyperlink w:anchor="page177">
        <w:r>
          <w:rPr>
            <w:rFonts w:ascii="Arial" w:cs="Arial" w:eastAsia="Arial" w:hAnsi="Arial"/>
            <w:sz w:val="14"/>
            <w:szCs w:val="14"/>
            <w:u w:val="single" w:color="auto"/>
            <w:color w:val="0000EE"/>
          </w:rPr>
          <w:t>Balance Sheet</w:t>
        </w:r>
      </w:hyperlink>
    </w:p>
    <w:p>
      <w:pPr>
        <w:spacing w:after="0" w:line="1" w:lineRule="exact"/>
        <w:rPr>
          <w:rFonts w:ascii="Arial" w:cs="Arial" w:eastAsia="Arial" w:hAnsi="Arial"/>
          <w:sz w:val="14"/>
          <w:szCs w:val="14"/>
          <w:u w:val="single" w:color="auto"/>
          <w:color w:val="0000EE"/>
        </w:rPr>
      </w:pPr>
    </w:p>
    <w:p>
      <w:pPr>
        <w:ind w:left="460" w:hanging="444"/>
        <w:spacing w:after="0"/>
        <w:tabs>
          <w:tab w:leader="none" w:pos="460" w:val="left"/>
        </w:tabs>
        <w:numPr>
          <w:ilvl w:val="0"/>
          <w:numId w:val="193"/>
        </w:numPr>
        <w:rPr>
          <w:rFonts w:ascii="Arial" w:cs="Arial" w:eastAsia="Arial" w:hAnsi="Arial"/>
          <w:sz w:val="14"/>
          <w:szCs w:val="14"/>
          <w:u w:val="single" w:color="auto"/>
          <w:color w:val="0000EE"/>
        </w:rPr>
      </w:pPr>
      <w:hyperlink w:anchor="page178">
        <w:r>
          <w:rPr>
            <w:rFonts w:ascii="Arial" w:cs="Arial" w:eastAsia="Arial" w:hAnsi="Arial"/>
            <w:sz w:val="14"/>
            <w:szCs w:val="14"/>
            <w:u w:val="single" w:color="auto"/>
            <w:color w:val="0000EE"/>
          </w:rPr>
          <w:t>Statement of Changes in Equity</w:t>
        </w:r>
      </w:hyperlink>
    </w:p>
    <w:p>
      <w:pPr>
        <w:spacing w:after="0" w:line="1" w:lineRule="exact"/>
        <w:rPr>
          <w:rFonts w:ascii="Arial" w:cs="Arial" w:eastAsia="Arial" w:hAnsi="Arial"/>
          <w:sz w:val="14"/>
          <w:szCs w:val="14"/>
          <w:color w:val="auto"/>
        </w:rPr>
      </w:pPr>
    </w:p>
    <w:p>
      <w:pPr>
        <w:ind w:left="460" w:hanging="444"/>
        <w:spacing w:after="0"/>
        <w:tabs>
          <w:tab w:leader="none" w:pos="460" w:val="left"/>
        </w:tabs>
        <w:numPr>
          <w:ilvl w:val="0"/>
          <w:numId w:val="194"/>
        </w:numPr>
        <w:rPr>
          <w:rFonts w:ascii="Arial" w:cs="Arial" w:eastAsia="Arial" w:hAnsi="Arial"/>
          <w:sz w:val="14"/>
          <w:szCs w:val="14"/>
          <w:u w:val="single" w:color="auto"/>
          <w:color w:val="0000EE"/>
        </w:rPr>
      </w:pPr>
      <w:hyperlink w:anchor="page178">
        <w:r>
          <w:rPr>
            <w:rFonts w:ascii="Arial" w:cs="Arial" w:eastAsia="Arial" w:hAnsi="Arial"/>
            <w:sz w:val="14"/>
            <w:szCs w:val="14"/>
            <w:u w:val="single" w:color="auto"/>
            <w:color w:val="0000EE"/>
          </w:rPr>
          <w:t>Statement of Cash Flows</w:t>
        </w:r>
      </w:hyperlink>
    </w:p>
    <w:p>
      <w:pPr>
        <w:spacing w:after="0" w:line="1" w:lineRule="exact"/>
        <w:rPr>
          <w:rFonts w:ascii="Arial" w:cs="Arial" w:eastAsia="Arial" w:hAnsi="Arial"/>
          <w:sz w:val="14"/>
          <w:szCs w:val="14"/>
          <w:u w:val="single" w:color="auto"/>
          <w:color w:val="0000EE"/>
        </w:rPr>
      </w:pPr>
    </w:p>
    <w:p>
      <w:pPr>
        <w:ind w:left="460" w:hanging="444"/>
        <w:spacing w:after="0"/>
        <w:tabs>
          <w:tab w:leader="none" w:pos="460" w:val="left"/>
        </w:tabs>
        <w:numPr>
          <w:ilvl w:val="0"/>
          <w:numId w:val="194"/>
        </w:numPr>
        <w:rPr>
          <w:rFonts w:ascii="Arial" w:cs="Arial" w:eastAsia="Arial" w:hAnsi="Arial"/>
          <w:sz w:val="14"/>
          <w:szCs w:val="14"/>
          <w:u w:val="single" w:color="auto"/>
          <w:color w:val="0000EE"/>
        </w:rPr>
      </w:pPr>
      <w:hyperlink w:anchor="page179">
        <w:r>
          <w:rPr>
            <w:rFonts w:ascii="Arial" w:cs="Arial" w:eastAsia="Arial" w:hAnsi="Arial"/>
            <w:sz w:val="14"/>
            <w:szCs w:val="14"/>
            <w:u w:val="single" w:color="auto"/>
            <w:color w:val="0000EE"/>
          </w:rPr>
          <w:t>Notes to the Royal Dutch Shell Dividend Access Trust Financial Statements</w:t>
        </w:r>
      </w:hyperlink>
    </w:p>
    <w:p>
      <w:pPr>
        <w:spacing w:after="0" w:line="1" w:lineRule="exact"/>
        <w:rPr>
          <w:rFonts w:ascii="Arial" w:cs="Arial" w:eastAsia="Arial" w:hAnsi="Arial"/>
          <w:sz w:val="14"/>
          <w:szCs w:val="14"/>
          <w:u w:val="single" w:color="auto"/>
          <w:color w:val="0000EE"/>
        </w:rPr>
      </w:pPr>
    </w:p>
    <w:p>
      <w:pPr>
        <w:ind w:left="460" w:hanging="444"/>
        <w:spacing w:after="0"/>
        <w:tabs>
          <w:tab w:leader="none" w:pos="460" w:val="left"/>
        </w:tabs>
        <w:numPr>
          <w:ilvl w:val="0"/>
          <w:numId w:val="195"/>
        </w:numPr>
        <w:rPr>
          <w:rFonts w:ascii="Arial" w:cs="Arial" w:eastAsia="Arial" w:hAnsi="Arial"/>
          <w:sz w:val="14"/>
          <w:szCs w:val="14"/>
          <w:u w:val="single" w:color="auto"/>
          <w:color w:val="0000EE"/>
        </w:rPr>
      </w:pPr>
      <w:hyperlink w:anchor="page179">
        <w:r>
          <w:rPr>
            <w:rFonts w:ascii="Arial" w:cs="Arial" w:eastAsia="Arial" w:hAnsi="Arial"/>
            <w:sz w:val="14"/>
            <w:szCs w:val="14"/>
            <w:u w:val="single" w:color="auto"/>
            <w:color w:val="0000EE"/>
          </w:rPr>
          <w:t>Note 1 The Trust</w:t>
        </w:r>
      </w:hyperlink>
    </w:p>
    <w:p>
      <w:pPr>
        <w:spacing w:after="0" w:line="1" w:lineRule="exact"/>
        <w:rPr>
          <w:rFonts w:ascii="Arial" w:cs="Arial" w:eastAsia="Arial" w:hAnsi="Arial"/>
          <w:sz w:val="14"/>
          <w:szCs w:val="14"/>
          <w:u w:val="single" w:color="auto"/>
          <w:color w:val="0000EE"/>
        </w:rPr>
      </w:pPr>
    </w:p>
    <w:p>
      <w:pPr>
        <w:ind w:left="460" w:hanging="444"/>
        <w:spacing w:after="0"/>
        <w:tabs>
          <w:tab w:leader="none" w:pos="460" w:val="left"/>
        </w:tabs>
        <w:numPr>
          <w:ilvl w:val="0"/>
          <w:numId w:val="196"/>
        </w:numPr>
        <w:rPr>
          <w:rFonts w:ascii="Arial" w:cs="Arial" w:eastAsia="Arial" w:hAnsi="Arial"/>
          <w:sz w:val="14"/>
          <w:szCs w:val="14"/>
          <w:u w:val="single" w:color="auto"/>
          <w:color w:val="0000EE"/>
        </w:rPr>
      </w:pPr>
      <w:hyperlink w:anchor="page179">
        <w:r>
          <w:rPr>
            <w:rFonts w:ascii="Arial" w:cs="Arial" w:eastAsia="Arial" w:hAnsi="Arial"/>
            <w:sz w:val="14"/>
            <w:szCs w:val="14"/>
            <w:u w:val="single" w:color="auto"/>
            <w:color w:val="0000EE"/>
          </w:rPr>
          <w:t>Note 2 Basis of preparation</w:t>
        </w:r>
      </w:hyperlink>
    </w:p>
    <w:p>
      <w:pPr>
        <w:spacing w:after="0" w:line="1" w:lineRule="exact"/>
        <w:rPr>
          <w:rFonts w:ascii="Arial" w:cs="Arial" w:eastAsia="Arial" w:hAnsi="Arial"/>
          <w:sz w:val="14"/>
          <w:szCs w:val="14"/>
          <w:u w:val="single" w:color="auto"/>
          <w:color w:val="0000EE"/>
        </w:rPr>
      </w:pPr>
    </w:p>
    <w:p>
      <w:pPr>
        <w:ind w:left="460" w:hanging="444"/>
        <w:spacing w:after="0"/>
        <w:tabs>
          <w:tab w:leader="none" w:pos="460" w:val="left"/>
        </w:tabs>
        <w:numPr>
          <w:ilvl w:val="0"/>
          <w:numId w:val="197"/>
        </w:numPr>
        <w:rPr>
          <w:rFonts w:ascii="Arial" w:cs="Arial" w:eastAsia="Arial" w:hAnsi="Arial"/>
          <w:sz w:val="14"/>
          <w:szCs w:val="14"/>
          <w:u w:val="single" w:color="auto"/>
          <w:color w:val="0000EE"/>
        </w:rPr>
      </w:pPr>
      <w:hyperlink w:anchor="page179">
        <w:r>
          <w:rPr>
            <w:rFonts w:ascii="Arial" w:cs="Arial" w:eastAsia="Arial" w:hAnsi="Arial"/>
            <w:sz w:val="14"/>
            <w:szCs w:val="14"/>
            <w:u w:val="single" w:color="auto"/>
            <w:color w:val="0000EE"/>
          </w:rPr>
          <w:t>Note 3 Accounting policies</w:t>
        </w:r>
      </w:hyperlink>
    </w:p>
    <w:p>
      <w:pPr>
        <w:spacing w:after="0" w:line="1" w:lineRule="exact"/>
        <w:rPr>
          <w:rFonts w:ascii="Arial" w:cs="Arial" w:eastAsia="Arial" w:hAnsi="Arial"/>
          <w:sz w:val="14"/>
          <w:szCs w:val="14"/>
          <w:u w:val="single" w:color="auto"/>
          <w:color w:val="0000EE"/>
        </w:rPr>
      </w:pPr>
    </w:p>
    <w:p>
      <w:pPr>
        <w:ind w:left="460" w:hanging="444"/>
        <w:spacing w:after="0"/>
        <w:tabs>
          <w:tab w:leader="none" w:pos="460" w:val="left"/>
        </w:tabs>
        <w:numPr>
          <w:ilvl w:val="0"/>
          <w:numId w:val="198"/>
        </w:numPr>
        <w:rPr>
          <w:rFonts w:ascii="Arial" w:cs="Arial" w:eastAsia="Arial" w:hAnsi="Arial"/>
          <w:sz w:val="14"/>
          <w:szCs w:val="14"/>
          <w:u w:val="single" w:color="auto"/>
          <w:color w:val="0000EE"/>
        </w:rPr>
      </w:pPr>
      <w:hyperlink w:anchor="page179">
        <w:r>
          <w:rPr>
            <w:rFonts w:ascii="Arial" w:cs="Arial" w:eastAsia="Arial" w:hAnsi="Arial"/>
            <w:sz w:val="14"/>
            <w:szCs w:val="14"/>
            <w:u w:val="single" w:color="auto"/>
            <w:color w:val="0000EE"/>
          </w:rPr>
          <w:t>Note 4 Other liabilities</w:t>
        </w:r>
      </w:hyperlink>
    </w:p>
    <w:p>
      <w:pPr>
        <w:spacing w:after="0" w:line="1" w:lineRule="exact"/>
        <w:rPr>
          <w:rFonts w:ascii="Arial" w:cs="Arial" w:eastAsia="Arial" w:hAnsi="Arial"/>
          <w:sz w:val="14"/>
          <w:szCs w:val="14"/>
          <w:u w:val="single" w:color="auto"/>
          <w:color w:val="0000EE"/>
        </w:rPr>
      </w:pPr>
    </w:p>
    <w:p>
      <w:pPr>
        <w:ind w:left="460" w:hanging="444"/>
        <w:spacing w:after="0"/>
        <w:tabs>
          <w:tab w:leader="none" w:pos="460" w:val="left"/>
        </w:tabs>
        <w:numPr>
          <w:ilvl w:val="0"/>
          <w:numId w:val="199"/>
        </w:numPr>
        <w:rPr>
          <w:rFonts w:ascii="Arial" w:cs="Arial" w:eastAsia="Arial" w:hAnsi="Arial"/>
          <w:sz w:val="14"/>
          <w:szCs w:val="14"/>
          <w:u w:val="single" w:color="auto"/>
          <w:color w:val="0000EE"/>
        </w:rPr>
      </w:pPr>
      <w:hyperlink w:anchor="page179">
        <w:r>
          <w:rPr>
            <w:rFonts w:ascii="Arial" w:cs="Arial" w:eastAsia="Arial" w:hAnsi="Arial"/>
            <w:sz w:val="14"/>
            <w:szCs w:val="14"/>
            <w:u w:val="single" w:color="auto"/>
            <w:color w:val="0000EE"/>
          </w:rPr>
          <w:t>Note 5 Capital account</w:t>
        </w:r>
      </w:hyperlink>
    </w:p>
    <w:p>
      <w:pPr>
        <w:spacing w:after="0" w:line="1" w:lineRule="exact"/>
        <w:rPr>
          <w:rFonts w:ascii="Arial" w:cs="Arial" w:eastAsia="Arial" w:hAnsi="Arial"/>
          <w:sz w:val="14"/>
          <w:szCs w:val="14"/>
          <w:u w:val="single" w:color="auto"/>
          <w:color w:val="0000EE"/>
        </w:rPr>
      </w:pPr>
    </w:p>
    <w:p>
      <w:pPr>
        <w:ind w:left="460" w:hanging="444"/>
        <w:spacing w:after="0"/>
        <w:tabs>
          <w:tab w:leader="none" w:pos="460" w:val="left"/>
        </w:tabs>
        <w:numPr>
          <w:ilvl w:val="0"/>
          <w:numId w:val="200"/>
        </w:numPr>
        <w:rPr>
          <w:rFonts w:ascii="Arial" w:cs="Arial" w:eastAsia="Arial" w:hAnsi="Arial"/>
          <w:sz w:val="14"/>
          <w:szCs w:val="14"/>
          <w:u w:val="single" w:color="auto"/>
          <w:color w:val="0000EE"/>
        </w:rPr>
      </w:pPr>
      <w:hyperlink w:anchor="page179">
        <w:r>
          <w:rPr>
            <w:rFonts w:ascii="Arial" w:cs="Arial" w:eastAsia="Arial" w:hAnsi="Arial"/>
            <w:sz w:val="14"/>
            <w:szCs w:val="14"/>
            <w:u w:val="single" w:color="auto"/>
            <w:color w:val="0000EE"/>
          </w:rPr>
          <w:t>Note 6 Distributions made</w:t>
        </w:r>
      </w:hyperlink>
    </w:p>
    <w:p>
      <w:pPr>
        <w:spacing w:after="0" w:line="1" w:lineRule="exact"/>
        <w:rPr>
          <w:rFonts w:ascii="Arial" w:cs="Arial" w:eastAsia="Arial" w:hAnsi="Arial"/>
          <w:sz w:val="14"/>
          <w:szCs w:val="14"/>
          <w:u w:val="single" w:color="auto"/>
          <w:color w:val="0000EE"/>
        </w:rPr>
      </w:pPr>
    </w:p>
    <w:p>
      <w:pPr>
        <w:ind w:left="460" w:hanging="444"/>
        <w:spacing w:after="0"/>
        <w:tabs>
          <w:tab w:leader="none" w:pos="460" w:val="left"/>
        </w:tabs>
        <w:numPr>
          <w:ilvl w:val="0"/>
          <w:numId w:val="201"/>
        </w:numPr>
        <w:rPr>
          <w:rFonts w:ascii="Arial" w:cs="Arial" w:eastAsia="Arial" w:hAnsi="Arial"/>
          <w:sz w:val="14"/>
          <w:szCs w:val="14"/>
          <w:u w:val="single" w:color="auto"/>
          <w:color w:val="0000EE"/>
        </w:rPr>
      </w:pPr>
      <w:hyperlink w:anchor="page179">
        <w:r>
          <w:rPr>
            <w:rFonts w:ascii="Arial" w:cs="Arial" w:eastAsia="Arial" w:hAnsi="Arial"/>
            <w:sz w:val="14"/>
            <w:szCs w:val="14"/>
            <w:u w:val="single" w:color="auto"/>
            <w:color w:val="0000EE"/>
          </w:rPr>
          <w:t>Note 7 Financial instruments</w:t>
        </w:r>
      </w:hyperlink>
    </w:p>
    <w:p>
      <w:pPr>
        <w:spacing w:after="0" w:line="1" w:lineRule="exact"/>
        <w:rPr>
          <w:rFonts w:ascii="Arial" w:cs="Arial" w:eastAsia="Arial" w:hAnsi="Arial"/>
          <w:sz w:val="14"/>
          <w:szCs w:val="14"/>
          <w:u w:val="single" w:color="auto"/>
          <w:color w:val="0000EE"/>
        </w:rPr>
      </w:pPr>
    </w:p>
    <w:p>
      <w:pPr>
        <w:ind w:left="460" w:hanging="444"/>
        <w:spacing w:after="0"/>
        <w:tabs>
          <w:tab w:leader="none" w:pos="460" w:val="left"/>
        </w:tabs>
        <w:numPr>
          <w:ilvl w:val="0"/>
          <w:numId w:val="201"/>
        </w:numPr>
        <w:rPr>
          <w:rFonts w:ascii="Arial" w:cs="Arial" w:eastAsia="Arial" w:hAnsi="Arial"/>
          <w:sz w:val="14"/>
          <w:szCs w:val="14"/>
          <w:u w:val="single" w:color="auto"/>
          <w:color w:val="0000EE"/>
        </w:rPr>
      </w:pPr>
      <w:hyperlink w:anchor="page180">
        <w:r>
          <w:rPr>
            <w:rFonts w:ascii="Arial" w:cs="Arial" w:eastAsia="Arial" w:hAnsi="Arial"/>
            <w:sz w:val="14"/>
            <w:szCs w:val="14"/>
            <w:u w:val="single" w:color="auto"/>
            <w:color w:val="0000EE"/>
          </w:rPr>
          <w:t>Note 8 Related parties</w:t>
        </w:r>
      </w:hyperlink>
    </w:p>
    <w:p>
      <w:pPr>
        <w:spacing w:after="0" w:line="1" w:lineRule="exact"/>
        <w:rPr>
          <w:rFonts w:ascii="Arial" w:cs="Arial" w:eastAsia="Arial" w:hAnsi="Arial"/>
          <w:sz w:val="14"/>
          <w:szCs w:val="14"/>
          <w:color w:val="666666"/>
        </w:rPr>
      </w:pPr>
    </w:p>
    <w:p>
      <w:pPr>
        <w:ind w:left="460" w:hanging="444"/>
        <w:spacing w:after="0"/>
        <w:tabs>
          <w:tab w:leader="none" w:pos="460" w:val="left"/>
        </w:tabs>
        <w:numPr>
          <w:ilvl w:val="0"/>
          <w:numId w:val="202"/>
        </w:numPr>
        <w:rPr>
          <w:rFonts w:ascii="Arial" w:cs="Arial" w:eastAsia="Arial" w:hAnsi="Arial"/>
          <w:sz w:val="14"/>
          <w:szCs w:val="14"/>
          <w:u w:val="single" w:color="auto"/>
          <w:color w:val="0000EE"/>
        </w:rPr>
      </w:pPr>
      <w:hyperlink w:anchor="page180">
        <w:r>
          <w:rPr>
            <w:rFonts w:ascii="Arial" w:cs="Arial" w:eastAsia="Arial" w:hAnsi="Arial"/>
            <w:sz w:val="14"/>
            <w:szCs w:val="14"/>
            <w:u w:val="single" w:color="auto"/>
            <w:color w:val="0000EE"/>
          </w:rPr>
          <w:t>Note 9 Auditor’s remuneration</w:t>
        </w:r>
      </w:hyperlink>
    </w:p>
    <w:p>
      <w:pPr>
        <w:sectPr>
          <w:pgSz w:w="11900" w:h="16838" w:orient="portrait"/>
          <w:cols w:equalWidth="0" w:num="1">
            <w:col w:w="11420"/>
          </w:cols>
          <w:pgMar w:left="240" w:top="459" w:right="239" w:bottom="1440" w:gutter="0" w:footer="0" w:header="0"/>
        </w:sectPr>
      </w:pPr>
    </w:p>
    <w:bookmarkStart w:id="176" w:name="page177"/>
    <w:bookmarkEnd w:id="1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6428105</wp:posOffset>
            </wp:positionH>
            <wp:positionV relativeFrom="paragraph">
              <wp:posOffset>300355</wp:posOffset>
            </wp:positionV>
            <wp:extent cx="8890" cy="462915"/>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31">
                      <a:extLst>
                        <a:ext uri="{28A0092B-C50C-407E-A947-70E740481C1C}"/>
                      </a:extLst>
                    </a:blip>
                    <a:srcRect/>
                    <a:stretch>
                      <a:fillRect/>
                    </a:stretch>
                  </pic:blipFill>
                  <pic:spPr bwMode="auto">
                    <a:xfrm>
                      <a:off x="0" y="0"/>
                      <a:ext cx="8890" cy="462915"/>
                    </a:xfrm>
                    <a:prstGeom prst="rect">
                      <a:avLst/>
                    </a:prstGeom>
                    <a:noFill/>
                  </pic:spPr>
                </pic:pic>
              </a:graphicData>
            </a:graphic>
          </wp:anchor>
        </w:drawing>
      </w:r>
    </w:p>
    <w:p>
      <w:pPr>
        <w:spacing w:after="0" w:line="200" w:lineRule="exact"/>
        <w:rPr>
          <w:sz w:val="20"/>
          <w:szCs w:val="20"/>
          <w:color w:val="auto"/>
        </w:rPr>
      </w:pP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565"/>
        </w:trPr>
        <w:tc>
          <w:tcPr>
            <w:tcW w:w="20" w:type="dxa"/>
            <w:vAlign w:val="bottom"/>
          </w:tcPr>
          <w:p>
            <w:pPr>
              <w:spacing w:after="0"/>
              <w:rPr>
                <w:sz w:val="24"/>
                <w:szCs w:val="24"/>
                <w:color w:val="auto"/>
              </w:rPr>
            </w:pPr>
          </w:p>
        </w:tc>
        <w:tc>
          <w:tcPr>
            <w:tcW w:w="5580" w:type="dxa"/>
            <w:vAlign w:val="bottom"/>
          </w:tcPr>
          <w:p>
            <w:pPr>
              <w:spacing w:after="0"/>
              <w:rPr>
                <w:sz w:val="24"/>
                <w:szCs w:val="24"/>
                <w:color w:val="auto"/>
              </w:rPr>
            </w:pPr>
          </w:p>
        </w:tc>
        <w:tc>
          <w:tcPr>
            <w:tcW w:w="4240" w:type="dxa"/>
            <w:vAlign w:val="bottom"/>
            <w:gridSpan w:val="4"/>
            <w:shd w:val="clear" w:color="auto" w:fill="FF8B00"/>
          </w:tcPr>
          <w:p>
            <w:pPr>
              <w:ind w:left="880"/>
              <w:spacing w:after="0"/>
              <w:rPr>
                <w:sz w:val="20"/>
                <w:szCs w:val="20"/>
                <w:color w:val="auto"/>
              </w:rPr>
            </w:pPr>
            <w:r>
              <w:rPr>
                <w:rFonts w:ascii="Arial" w:cs="Arial" w:eastAsia="Arial" w:hAnsi="Arial"/>
                <w:sz w:val="13"/>
                <w:szCs w:val="13"/>
                <w:color w:val="333333"/>
              </w:rPr>
              <w:t>FINANCIAL STATEMENTS AND SUPPLEMENTS</w:t>
            </w:r>
          </w:p>
        </w:tc>
        <w:tc>
          <w:tcPr>
            <w:tcW w:w="1580" w:type="dxa"/>
            <w:vAlign w:val="bottom"/>
            <w:shd w:val="clear" w:color="auto" w:fill="FF8B00"/>
          </w:tcPr>
          <w:p>
            <w:pPr>
              <w:jc w:val="right"/>
              <w:ind w:right="350"/>
              <w:spacing w:after="0"/>
              <w:rPr>
                <w:sz w:val="20"/>
                <w:szCs w:val="20"/>
                <w:color w:val="auto"/>
              </w:rPr>
            </w:pPr>
            <w:r>
              <w:rPr>
                <w:rFonts w:ascii="Arial" w:cs="Arial" w:eastAsia="Arial" w:hAnsi="Arial"/>
                <w:sz w:val="11"/>
                <w:szCs w:val="11"/>
                <w:b w:val="1"/>
                <w:bCs w:val="1"/>
                <w:color w:val="333333"/>
              </w:rPr>
              <w:t>175</w:t>
            </w:r>
          </w:p>
        </w:tc>
        <w:tc>
          <w:tcPr>
            <w:tcW w:w="0" w:type="dxa"/>
            <w:vAlign w:val="bottom"/>
          </w:tcPr>
          <w:p>
            <w:pPr>
              <w:spacing w:after="0"/>
              <w:rPr>
                <w:sz w:val="1"/>
                <w:szCs w:val="1"/>
                <w:color w:val="auto"/>
              </w:rPr>
            </w:pPr>
          </w:p>
        </w:tc>
      </w:tr>
      <w:tr>
        <w:trPr>
          <w:trHeight w:val="165"/>
        </w:trPr>
        <w:tc>
          <w:tcPr>
            <w:tcW w:w="5600" w:type="dxa"/>
            <w:vAlign w:val="bottom"/>
            <w:gridSpan w:val="2"/>
            <w:vMerge w:val="restart"/>
          </w:tcPr>
          <w:p>
            <w:pPr>
              <w:spacing w:after="0"/>
              <w:rPr>
                <w:sz w:val="20"/>
                <w:szCs w:val="20"/>
                <w:color w:val="auto"/>
              </w:rPr>
            </w:pPr>
            <w:r>
              <w:rPr>
                <w:rFonts w:ascii="Arial" w:cs="Arial" w:eastAsia="Arial" w:hAnsi="Arial"/>
                <w:sz w:val="11"/>
                <w:szCs w:val="11"/>
                <w:color w:val="auto"/>
              </w:rPr>
              <w:t>SHELL ANNUAL REPORT AND FORM 20-F 2014</w:t>
            </w:r>
          </w:p>
        </w:tc>
        <w:tc>
          <w:tcPr>
            <w:tcW w:w="1360" w:type="dxa"/>
            <w:vAlign w:val="bottom"/>
            <w:shd w:val="clear" w:color="auto" w:fill="FF8B00"/>
          </w:tcPr>
          <w:p>
            <w:pPr>
              <w:spacing w:after="0"/>
              <w:rPr>
                <w:sz w:val="14"/>
                <w:szCs w:val="14"/>
                <w:color w:val="auto"/>
              </w:rPr>
            </w:pPr>
          </w:p>
        </w:tc>
        <w:tc>
          <w:tcPr>
            <w:tcW w:w="1320" w:type="dxa"/>
            <w:vAlign w:val="bottom"/>
            <w:shd w:val="clear" w:color="auto" w:fill="FF8B00"/>
          </w:tcPr>
          <w:p>
            <w:pPr>
              <w:spacing w:after="0"/>
              <w:rPr>
                <w:sz w:val="14"/>
                <w:szCs w:val="14"/>
                <w:color w:val="auto"/>
              </w:rPr>
            </w:pPr>
          </w:p>
        </w:tc>
        <w:tc>
          <w:tcPr>
            <w:tcW w:w="160" w:type="dxa"/>
            <w:vAlign w:val="bottom"/>
            <w:shd w:val="clear" w:color="auto" w:fill="FF8B00"/>
          </w:tcPr>
          <w:p>
            <w:pPr>
              <w:spacing w:after="0"/>
              <w:rPr>
                <w:sz w:val="14"/>
                <w:szCs w:val="14"/>
                <w:color w:val="auto"/>
              </w:rPr>
            </w:pPr>
          </w:p>
        </w:tc>
        <w:tc>
          <w:tcPr>
            <w:tcW w:w="1400" w:type="dxa"/>
            <w:vAlign w:val="bottom"/>
            <w:shd w:val="clear" w:color="auto" w:fill="FF8B00"/>
          </w:tcPr>
          <w:p>
            <w:pPr>
              <w:spacing w:after="0"/>
              <w:rPr>
                <w:sz w:val="14"/>
                <w:szCs w:val="14"/>
                <w:color w:val="auto"/>
              </w:rPr>
            </w:pPr>
          </w:p>
        </w:tc>
        <w:tc>
          <w:tcPr>
            <w:tcW w:w="1580" w:type="dxa"/>
            <w:vAlign w:val="bottom"/>
            <w:shd w:val="clear" w:color="auto" w:fill="FF8B00"/>
          </w:tcPr>
          <w:p>
            <w:pPr>
              <w:spacing w:after="0"/>
              <w:rPr>
                <w:sz w:val="14"/>
                <w:szCs w:val="14"/>
                <w:color w:val="auto"/>
              </w:rPr>
            </w:pPr>
          </w:p>
        </w:tc>
        <w:tc>
          <w:tcPr>
            <w:tcW w:w="0" w:type="dxa"/>
            <w:vAlign w:val="bottom"/>
          </w:tcPr>
          <w:p>
            <w:pPr>
              <w:spacing w:after="0"/>
              <w:rPr>
                <w:sz w:val="1"/>
                <w:szCs w:val="1"/>
                <w:color w:val="auto"/>
              </w:rPr>
            </w:pPr>
          </w:p>
        </w:tc>
      </w:tr>
      <w:tr>
        <w:trPr>
          <w:trHeight w:val="118"/>
        </w:trPr>
        <w:tc>
          <w:tcPr>
            <w:tcW w:w="5600" w:type="dxa"/>
            <w:vAlign w:val="bottom"/>
            <w:gridSpan w:val="2"/>
            <w:vMerge w:val="continue"/>
          </w:tcPr>
          <w:p>
            <w:pPr>
              <w:spacing w:after="0"/>
              <w:rPr>
                <w:sz w:val="10"/>
                <w:szCs w:val="10"/>
                <w:color w:val="auto"/>
              </w:rPr>
            </w:pPr>
          </w:p>
        </w:tc>
        <w:tc>
          <w:tcPr>
            <w:tcW w:w="4240" w:type="dxa"/>
            <w:vAlign w:val="bottom"/>
            <w:gridSpan w:val="4"/>
          </w:tcPr>
          <w:p>
            <w:pPr>
              <w:ind w:left="880"/>
              <w:spacing w:after="0" w:line="119" w:lineRule="exact"/>
              <w:rPr>
                <w:sz w:val="20"/>
                <w:szCs w:val="20"/>
                <w:color w:val="auto"/>
              </w:rPr>
            </w:pPr>
            <w:r>
              <w:rPr>
                <w:rFonts w:ascii="Arial" w:cs="Arial" w:eastAsia="Arial" w:hAnsi="Arial"/>
                <w:sz w:val="11"/>
                <w:szCs w:val="11"/>
                <w:color w:val="auto"/>
              </w:rPr>
              <w:t>ROYAL DUTCH SHELL DIVIDEND ACCESS TRUST</w:t>
            </w: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5580" w:type="dxa"/>
            <w:vAlign w:val="bottom"/>
          </w:tcPr>
          <w:p>
            <w:pPr>
              <w:spacing w:after="0"/>
              <w:rPr>
                <w:sz w:val="10"/>
                <w:szCs w:val="10"/>
                <w:color w:val="auto"/>
              </w:rPr>
            </w:pPr>
          </w:p>
        </w:tc>
        <w:tc>
          <w:tcPr>
            <w:tcW w:w="2840" w:type="dxa"/>
            <w:vAlign w:val="bottom"/>
            <w:gridSpan w:val="3"/>
          </w:tcPr>
          <w:p>
            <w:pPr>
              <w:ind w:left="880"/>
              <w:spacing w:after="0" w:line="125" w:lineRule="exact"/>
              <w:rPr>
                <w:sz w:val="20"/>
                <w:szCs w:val="20"/>
                <w:color w:val="auto"/>
              </w:rPr>
            </w:pPr>
            <w:r>
              <w:rPr>
                <w:rFonts w:ascii="Arial" w:cs="Arial" w:eastAsia="Arial" w:hAnsi="Arial"/>
                <w:sz w:val="11"/>
                <w:szCs w:val="11"/>
                <w:color w:val="auto"/>
              </w:rPr>
              <w:t>FINANCIAL STATEMENTS</w:t>
            </w:r>
          </w:p>
        </w:tc>
        <w:tc>
          <w:tcPr>
            <w:tcW w:w="1400" w:type="dxa"/>
            <w:vAlign w:val="bottom"/>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580" w:type="dxa"/>
            <w:vAlign w:val="bottom"/>
            <w:shd w:val="clear" w:color="auto" w:fill="333333"/>
          </w:tcPr>
          <w:p>
            <w:pPr>
              <w:ind w:left="60"/>
              <w:spacing w:after="0" w:line="162" w:lineRule="exact"/>
              <w:rPr>
                <w:sz w:val="20"/>
                <w:szCs w:val="20"/>
                <w:color w:val="auto"/>
              </w:rPr>
            </w:pPr>
            <w:r>
              <w:rPr>
                <w:rFonts w:ascii="Arial" w:cs="Arial" w:eastAsia="Arial" w:hAnsi="Arial"/>
                <w:sz w:val="15"/>
                <w:szCs w:val="15"/>
                <w:b w:val="1"/>
                <w:bCs w:val="1"/>
                <w:color w:val="FFFFFF"/>
              </w:rPr>
              <w:t>STATEMENT OF INCOME</w:t>
            </w:r>
          </w:p>
        </w:tc>
        <w:tc>
          <w:tcPr>
            <w:tcW w:w="1360" w:type="dxa"/>
            <w:vAlign w:val="bottom"/>
            <w:shd w:val="clear" w:color="auto" w:fill="333333"/>
          </w:tcPr>
          <w:p>
            <w:pPr>
              <w:spacing w:after="0"/>
              <w:rPr>
                <w:sz w:val="14"/>
                <w:szCs w:val="14"/>
                <w:color w:val="auto"/>
              </w:rPr>
            </w:pPr>
          </w:p>
        </w:tc>
        <w:tc>
          <w:tcPr>
            <w:tcW w:w="1320" w:type="dxa"/>
            <w:vAlign w:val="bottom"/>
            <w:shd w:val="clear" w:color="auto" w:fill="333333"/>
          </w:tcPr>
          <w:p>
            <w:pPr>
              <w:spacing w:after="0"/>
              <w:rPr>
                <w:sz w:val="14"/>
                <w:szCs w:val="14"/>
                <w:color w:val="auto"/>
              </w:rPr>
            </w:pPr>
          </w:p>
        </w:tc>
        <w:tc>
          <w:tcPr>
            <w:tcW w:w="160" w:type="dxa"/>
            <w:vAlign w:val="bottom"/>
            <w:shd w:val="clear" w:color="auto" w:fill="333333"/>
          </w:tcPr>
          <w:p>
            <w:pPr>
              <w:spacing w:after="0"/>
              <w:rPr>
                <w:sz w:val="14"/>
                <w:szCs w:val="14"/>
                <w:color w:val="auto"/>
              </w:rPr>
            </w:pPr>
          </w:p>
        </w:tc>
        <w:tc>
          <w:tcPr>
            <w:tcW w:w="1400" w:type="dxa"/>
            <w:vAlign w:val="bottom"/>
            <w:shd w:val="clear" w:color="auto" w:fill="333333"/>
          </w:tcPr>
          <w:p>
            <w:pPr>
              <w:spacing w:after="0"/>
              <w:rPr>
                <w:sz w:val="14"/>
                <w:szCs w:val="14"/>
                <w:color w:val="auto"/>
              </w:rPr>
            </w:pPr>
          </w:p>
        </w:tc>
        <w:tc>
          <w:tcPr>
            <w:tcW w:w="1580" w:type="dxa"/>
            <w:vAlign w:val="bottom"/>
            <w:shd w:val="clear" w:color="auto" w:fill="333333"/>
          </w:tcPr>
          <w:p>
            <w:pPr>
              <w:jc w:val="right"/>
              <w:ind w:right="490"/>
              <w:spacing w:after="0" w:line="162" w:lineRule="exact"/>
              <w:rPr>
                <w:sz w:val="20"/>
                <w:szCs w:val="20"/>
                <w:color w:val="auto"/>
              </w:rPr>
            </w:pPr>
            <w:r>
              <w:rPr>
                <w:rFonts w:ascii="Arial" w:cs="Arial" w:eastAsia="Arial" w:hAnsi="Arial"/>
                <w:sz w:val="15"/>
                <w:szCs w:val="15"/>
                <w:color w:val="FFFFFF"/>
              </w:rPr>
              <w:t>£ MILLION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580" w:type="dxa"/>
            <w:vAlign w:val="bottom"/>
            <w:tcBorders>
              <w:bottom w:val="single" w:sz="8" w:color="auto"/>
            </w:tcBorders>
          </w:tcPr>
          <w:p>
            <w:pPr>
              <w:spacing w:after="0"/>
              <w:rPr>
                <w:sz w:val="12"/>
                <w:szCs w:val="12"/>
                <w:color w:val="auto"/>
              </w:rPr>
            </w:pPr>
          </w:p>
        </w:tc>
        <w:tc>
          <w:tcPr>
            <w:tcW w:w="1360" w:type="dxa"/>
            <w:vAlign w:val="bottom"/>
            <w:tcBorders>
              <w:bottom w:val="single" w:sz="8" w:color="auto"/>
            </w:tcBorders>
          </w:tcPr>
          <w:p>
            <w:pPr>
              <w:spacing w:after="0"/>
              <w:rPr>
                <w:sz w:val="12"/>
                <w:szCs w:val="12"/>
                <w:color w:val="auto"/>
              </w:rPr>
            </w:pPr>
          </w:p>
        </w:tc>
        <w:tc>
          <w:tcPr>
            <w:tcW w:w="1320" w:type="dxa"/>
            <w:vAlign w:val="bottom"/>
            <w:tcBorders>
              <w:bottom w:val="single" w:sz="8" w:color="auto"/>
            </w:tcBorders>
            <w:shd w:val="clear" w:color="auto" w:fill="D8D8D8"/>
          </w:tcPr>
          <w:p>
            <w:pPr>
              <w:jc w:val="right"/>
              <w:ind w:right="352"/>
              <w:spacing w:after="0"/>
              <w:rPr>
                <w:sz w:val="20"/>
                <w:szCs w:val="20"/>
                <w:color w:val="auto"/>
              </w:rPr>
            </w:pPr>
            <w:r>
              <w:rPr>
                <w:rFonts w:ascii="Arial" w:cs="Arial" w:eastAsia="Arial" w:hAnsi="Arial"/>
                <w:sz w:val="13"/>
                <w:szCs w:val="13"/>
                <w:color w:val="auto"/>
              </w:rPr>
              <w:t>2014</w:t>
            </w:r>
          </w:p>
        </w:tc>
        <w:tc>
          <w:tcPr>
            <w:tcW w:w="160" w:type="dxa"/>
            <w:vAlign w:val="bottom"/>
            <w:tcBorders>
              <w:bottom w:val="single" w:sz="8" w:color="auto"/>
            </w:tcBorders>
            <w:shd w:val="clear" w:color="auto" w:fill="D8D8D8"/>
          </w:tcPr>
          <w:p>
            <w:pPr>
              <w:spacing w:after="0"/>
              <w:rPr>
                <w:sz w:val="12"/>
                <w:szCs w:val="12"/>
                <w:color w:val="auto"/>
              </w:rPr>
            </w:pPr>
          </w:p>
        </w:tc>
        <w:tc>
          <w:tcPr>
            <w:tcW w:w="1400" w:type="dxa"/>
            <w:vAlign w:val="bottom"/>
            <w:tcBorders>
              <w:bottom w:val="single" w:sz="8" w:color="auto"/>
            </w:tcBorders>
          </w:tcPr>
          <w:p>
            <w:pPr>
              <w:jc w:val="right"/>
              <w:ind w:right="410"/>
              <w:spacing w:after="0"/>
              <w:rPr>
                <w:sz w:val="20"/>
                <w:szCs w:val="20"/>
                <w:color w:val="auto"/>
              </w:rPr>
            </w:pPr>
            <w:r>
              <w:rPr>
                <w:rFonts w:ascii="Arial" w:cs="Arial" w:eastAsia="Arial" w:hAnsi="Arial"/>
                <w:sz w:val="13"/>
                <w:szCs w:val="13"/>
                <w:color w:val="auto"/>
              </w:rPr>
              <w:t>2013</w:t>
            </w:r>
          </w:p>
        </w:tc>
        <w:tc>
          <w:tcPr>
            <w:tcW w:w="1580" w:type="dxa"/>
            <w:vAlign w:val="bottom"/>
            <w:tcBorders>
              <w:bottom w:val="single" w:sz="8" w:color="auto"/>
            </w:tcBorders>
          </w:tcPr>
          <w:p>
            <w:pPr>
              <w:jc w:val="right"/>
              <w:ind w:right="490"/>
              <w:spacing w:after="0"/>
              <w:rPr>
                <w:sz w:val="20"/>
                <w:szCs w:val="20"/>
                <w:color w:val="auto"/>
              </w:rPr>
            </w:pPr>
            <w:r>
              <w:rPr>
                <w:rFonts w:ascii="Arial" w:cs="Arial" w:eastAsia="Arial" w:hAnsi="Arial"/>
                <w:sz w:val="13"/>
                <w:szCs w:val="13"/>
                <w:color w:val="auto"/>
              </w:rPr>
              <w:t>2012</w:t>
            </w:r>
          </w:p>
        </w:tc>
        <w:tc>
          <w:tcPr>
            <w:tcW w:w="0" w:type="dxa"/>
            <w:vAlign w:val="bottom"/>
          </w:tcPr>
          <w:p>
            <w:pPr>
              <w:spacing w:after="0"/>
              <w:rPr>
                <w:sz w:val="1"/>
                <w:szCs w:val="1"/>
                <w:color w:val="auto"/>
              </w:rPr>
            </w:pPr>
          </w:p>
        </w:tc>
      </w:tr>
      <w:tr>
        <w:trPr>
          <w:trHeight w:val="156"/>
        </w:trPr>
        <w:tc>
          <w:tcPr>
            <w:tcW w:w="5600" w:type="dxa"/>
            <w:vAlign w:val="bottom"/>
            <w:gridSpan w:val="2"/>
          </w:tcPr>
          <w:p>
            <w:pPr>
              <w:spacing w:after="0" w:line="155" w:lineRule="exact"/>
              <w:rPr>
                <w:sz w:val="20"/>
                <w:szCs w:val="20"/>
                <w:color w:val="auto"/>
              </w:rPr>
            </w:pPr>
            <w:r>
              <w:rPr>
                <w:rFonts w:ascii="Arial" w:cs="Arial" w:eastAsia="Arial" w:hAnsi="Arial"/>
                <w:sz w:val="14"/>
                <w:szCs w:val="14"/>
                <w:color w:val="auto"/>
              </w:rPr>
              <w:t>Dividend income</w:t>
            </w:r>
          </w:p>
        </w:tc>
        <w:tc>
          <w:tcPr>
            <w:tcW w:w="1360" w:type="dxa"/>
            <w:vAlign w:val="bottom"/>
          </w:tcPr>
          <w:p>
            <w:pPr>
              <w:spacing w:after="0"/>
              <w:rPr>
                <w:sz w:val="13"/>
                <w:szCs w:val="13"/>
                <w:color w:val="auto"/>
              </w:rPr>
            </w:pPr>
          </w:p>
        </w:tc>
        <w:tc>
          <w:tcPr>
            <w:tcW w:w="1320" w:type="dxa"/>
            <w:vAlign w:val="bottom"/>
            <w:shd w:val="clear" w:color="auto" w:fill="D8D8D8"/>
          </w:tcPr>
          <w:p>
            <w:pPr>
              <w:jc w:val="right"/>
              <w:ind w:right="352"/>
              <w:spacing w:after="0" w:line="155" w:lineRule="exact"/>
              <w:rPr>
                <w:sz w:val="20"/>
                <w:szCs w:val="20"/>
                <w:color w:val="auto"/>
              </w:rPr>
            </w:pPr>
            <w:r>
              <w:rPr>
                <w:rFonts w:ascii="Arial" w:cs="Arial" w:eastAsia="Arial" w:hAnsi="Arial"/>
                <w:sz w:val="14"/>
                <w:szCs w:val="14"/>
                <w:color w:val="auto"/>
              </w:rPr>
              <w:t>2,470</w:t>
            </w:r>
          </w:p>
        </w:tc>
        <w:tc>
          <w:tcPr>
            <w:tcW w:w="160" w:type="dxa"/>
            <w:vAlign w:val="bottom"/>
            <w:shd w:val="clear" w:color="auto" w:fill="D8D8D8"/>
          </w:tcPr>
          <w:p>
            <w:pPr>
              <w:spacing w:after="0"/>
              <w:rPr>
                <w:sz w:val="13"/>
                <w:szCs w:val="13"/>
                <w:color w:val="auto"/>
              </w:rPr>
            </w:pPr>
          </w:p>
        </w:tc>
        <w:tc>
          <w:tcPr>
            <w:tcW w:w="1400" w:type="dxa"/>
            <w:vAlign w:val="bottom"/>
          </w:tcPr>
          <w:p>
            <w:pPr>
              <w:jc w:val="right"/>
              <w:ind w:right="410"/>
              <w:spacing w:after="0" w:line="155" w:lineRule="exact"/>
              <w:rPr>
                <w:sz w:val="20"/>
                <w:szCs w:val="20"/>
                <w:color w:val="auto"/>
              </w:rPr>
            </w:pPr>
            <w:r>
              <w:rPr>
                <w:rFonts w:ascii="Arial" w:cs="Arial" w:eastAsia="Arial" w:hAnsi="Arial"/>
                <w:sz w:val="14"/>
                <w:szCs w:val="14"/>
                <w:color w:val="auto"/>
              </w:rPr>
              <w:t>2,361</w:t>
            </w:r>
          </w:p>
        </w:tc>
        <w:tc>
          <w:tcPr>
            <w:tcW w:w="1580" w:type="dxa"/>
            <w:vAlign w:val="bottom"/>
          </w:tcPr>
          <w:p>
            <w:pPr>
              <w:jc w:val="right"/>
              <w:ind w:right="490"/>
              <w:spacing w:after="0" w:line="155" w:lineRule="exact"/>
              <w:rPr>
                <w:sz w:val="20"/>
                <w:szCs w:val="20"/>
                <w:color w:val="auto"/>
              </w:rPr>
            </w:pPr>
            <w:r>
              <w:rPr>
                <w:rFonts w:ascii="Arial" w:cs="Arial" w:eastAsia="Arial" w:hAnsi="Arial"/>
                <w:sz w:val="14"/>
                <w:szCs w:val="14"/>
                <w:color w:val="auto"/>
              </w:rPr>
              <w:t>2,383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8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15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5600" w:type="dxa"/>
            <w:vAlign w:val="bottom"/>
            <w:gridSpan w:val="2"/>
          </w:tcPr>
          <w:p>
            <w:pPr>
              <w:spacing w:after="0" w:line="155" w:lineRule="exact"/>
              <w:rPr>
                <w:sz w:val="20"/>
                <w:szCs w:val="20"/>
                <w:color w:val="auto"/>
              </w:rPr>
            </w:pPr>
            <w:r>
              <w:rPr>
                <w:rFonts w:ascii="Arial" w:cs="Arial" w:eastAsia="Arial" w:hAnsi="Arial"/>
                <w:sz w:val="14"/>
                <w:szCs w:val="14"/>
                <w:color w:val="auto"/>
              </w:rPr>
              <w:t>Income before and after taxation and for the period</w:t>
            </w:r>
          </w:p>
        </w:tc>
        <w:tc>
          <w:tcPr>
            <w:tcW w:w="1360" w:type="dxa"/>
            <w:vAlign w:val="bottom"/>
          </w:tcPr>
          <w:p>
            <w:pPr>
              <w:spacing w:after="0"/>
              <w:rPr>
                <w:sz w:val="13"/>
                <w:szCs w:val="13"/>
                <w:color w:val="auto"/>
              </w:rPr>
            </w:pPr>
          </w:p>
        </w:tc>
        <w:tc>
          <w:tcPr>
            <w:tcW w:w="1320" w:type="dxa"/>
            <w:vAlign w:val="bottom"/>
            <w:shd w:val="clear" w:color="auto" w:fill="D8D8D8"/>
          </w:tcPr>
          <w:p>
            <w:pPr>
              <w:jc w:val="right"/>
              <w:ind w:right="352"/>
              <w:spacing w:after="0" w:line="155" w:lineRule="exact"/>
              <w:rPr>
                <w:sz w:val="20"/>
                <w:szCs w:val="20"/>
                <w:color w:val="auto"/>
              </w:rPr>
            </w:pPr>
            <w:r>
              <w:rPr>
                <w:rFonts w:ascii="Arial" w:cs="Arial" w:eastAsia="Arial" w:hAnsi="Arial"/>
                <w:sz w:val="14"/>
                <w:szCs w:val="14"/>
                <w:color w:val="auto"/>
              </w:rPr>
              <w:t>2,470</w:t>
            </w:r>
          </w:p>
        </w:tc>
        <w:tc>
          <w:tcPr>
            <w:tcW w:w="160" w:type="dxa"/>
            <w:vAlign w:val="bottom"/>
            <w:shd w:val="clear" w:color="auto" w:fill="D8D8D8"/>
          </w:tcPr>
          <w:p>
            <w:pPr>
              <w:spacing w:after="0"/>
              <w:rPr>
                <w:sz w:val="13"/>
                <w:szCs w:val="13"/>
                <w:color w:val="auto"/>
              </w:rPr>
            </w:pPr>
          </w:p>
        </w:tc>
        <w:tc>
          <w:tcPr>
            <w:tcW w:w="1400" w:type="dxa"/>
            <w:vAlign w:val="bottom"/>
          </w:tcPr>
          <w:p>
            <w:pPr>
              <w:jc w:val="right"/>
              <w:ind w:right="410"/>
              <w:spacing w:after="0" w:line="155" w:lineRule="exact"/>
              <w:rPr>
                <w:sz w:val="20"/>
                <w:szCs w:val="20"/>
                <w:color w:val="auto"/>
              </w:rPr>
            </w:pPr>
            <w:r>
              <w:rPr>
                <w:rFonts w:ascii="Arial" w:cs="Arial" w:eastAsia="Arial" w:hAnsi="Arial"/>
                <w:sz w:val="14"/>
                <w:szCs w:val="14"/>
                <w:color w:val="auto"/>
              </w:rPr>
              <w:t>2,361</w:t>
            </w:r>
          </w:p>
        </w:tc>
        <w:tc>
          <w:tcPr>
            <w:tcW w:w="1580" w:type="dxa"/>
            <w:vAlign w:val="bottom"/>
          </w:tcPr>
          <w:p>
            <w:pPr>
              <w:jc w:val="right"/>
              <w:ind w:right="490"/>
              <w:spacing w:after="0" w:line="155" w:lineRule="exact"/>
              <w:rPr>
                <w:sz w:val="20"/>
                <w:szCs w:val="20"/>
                <w:color w:val="auto"/>
              </w:rPr>
            </w:pPr>
            <w:r>
              <w:rPr>
                <w:rFonts w:ascii="Arial" w:cs="Arial" w:eastAsia="Arial" w:hAnsi="Arial"/>
                <w:sz w:val="14"/>
                <w:szCs w:val="14"/>
                <w:color w:val="auto"/>
              </w:rPr>
              <w:t>2,383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58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400" w:type="dxa"/>
            <w:vAlign w:val="bottom"/>
            <w:tcBorders>
              <w:top w:val="single" w:sz="8" w:color="auto"/>
            </w:tcBorders>
          </w:tcPr>
          <w:p>
            <w:pPr>
              <w:spacing w:after="0"/>
              <w:rPr>
                <w:sz w:val="18"/>
                <w:szCs w:val="18"/>
                <w:color w:val="auto"/>
              </w:rPr>
            </w:pPr>
          </w:p>
        </w:tc>
        <w:tc>
          <w:tcPr>
            <w:tcW w:w="158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580" w:type="dxa"/>
            <w:vAlign w:val="bottom"/>
            <w:shd w:val="clear" w:color="auto" w:fill="333333"/>
          </w:tcPr>
          <w:p>
            <w:pPr>
              <w:ind w:left="60"/>
              <w:spacing w:after="0" w:line="162" w:lineRule="exact"/>
              <w:rPr>
                <w:sz w:val="20"/>
                <w:szCs w:val="20"/>
                <w:color w:val="auto"/>
              </w:rPr>
            </w:pPr>
            <w:r>
              <w:rPr>
                <w:rFonts w:ascii="Arial" w:cs="Arial" w:eastAsia="Arial" w:hAnsi="Arial"/>
                <w:sz w:val="15"/>
                <w:szCs w:val="15"/>
                <w:b w:val="1"/>
                <w:bCs w:val="1"/>
                <w:color w:val="FFFFFF"/>
              </w:rPr>
              <w:t>STATEMENT OF COMPREHENSIVE INCOME</w:t>
            </w:r>
          </w:p>
        </w:tc>
        <w:tc>
          <w:tcPr>
            <w:tcW w:w="1360" w:type="dxa"/>
            <w:vAlign w:val="bottom"/>
            <w:shd w:val="clear" w:color="auto" w:fill="333333"/>
          </w:tcPr>
          <w:p>
            <w:pPr>
              <w:spacing w:after="0"/>
              <w:rPr>
                <w:sz w:val="14"/>
                <w:szCs w:val="14"/>
                <w:color w:val="auto"/>
              </w:rPr>
            </w:pPr>
          </w:p>
        </w:tc>
        <w:tc>
          <w:tcPr>
            <w:tcW w:w="1320" w:type="dxa"/>
            <w:vAlign w:val="bottom"/>
            <w:shd w:val="clear" w:color="auto" w:fill="333333"/>
          </w:tcPr>
          <w:p>
            <w:pPr>
              <w:spacing w:after="0"/>
              <w:rPr>
                <w:sz w:val="14"/>
                <w:szCs w:val="14"/>
                <w:color w:val="auto"/>
              </w:rPr>
            </w:pPr>
          </w:p>
        </w:tc>
        <w:tc>
          <w:tcPr>
            <w:tcW w:w="160" w:type="dxa"/>
            <w:vAlign w:val="bottom"/>
            <w:shd w:val="clear" w:color="auto" w:fill="333333"/>
          </w:tcPr>
          <w:p>
            <w:pPr>
              <w:spacing w:after="0"/>
              <w:rPr>
                <w:sz w:val="14"/>
                <w:szCs w:val="14"/>
                <w:color w:val="auto"/>
              </w:rPr>
            </w:pPr>
          </w:p>
        </w:tc>
        <w:tc>
          <w:tcPr>
            <w:tcW w:w="1400" w:type="dxa"/>
            <w:vAlign w:val="bottom"/>
            <w:shd w:val="clear" w:color="auto" w:fill="333333"/>
          </w:tcPr>
          <w:p>
            <w:pPr>
              <w:spacing w:after="0"/>
              <w:rPr>
                <w:sz w:val="14"/>
                <w:szCs w:val="14"/>
                <w:color w:val="auto"/>
              </w:rPr>
            </w:pPr>
          </w:p>
        </w:tc>
        <w:tc>
          <w:tcPr>
            <w:tcW w:w="1580" w:type="dxa"/>
            <w:vAlign w:val="bottom"/>
            <w:shd w:val="clear" w:color="auto" w:fill="333333"/>
          </w:tcPr>
          <w:p>
            <w:pPr>
              <w:jc w:val="right"/>
              <w:ind w:right="490"/>
              <w:spacing w:after="0" w:line="162" w:lineRule="exact"/>
              <w:rPr>
                <w:sz w:val="20"/>
                <w:szCs w:val="20"/>
                <w:color w:val="auto"/>
              </w:rPr>
            </w:pPr>
            <w:r>
              <w:rPr>
                <w:rFonts w:ascii="Arial" w:cs="Arial" w:eastAsia="Arial" w:hAnsi="Arial"/>
                <w:sz w:val="15"/>
                <w:szCs w:val="15"/>
                <w:color w:val="FFFFFF"/>
              </w:rPr>
              <w:t>£ MILLION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580" w:type="dxa"/>
            <w:vAlign w:val="bottom"/>
            <w:tcBorders>
              <w:bottom w:val="single" w:sz="8" w:color="auto"/>
            </w:tcBorders>
          </w:tcPr>
          <w:p>
            <w:pPr>
              <w:spacing w:after="0"/>
              <w:rPr>
                <w:sz w:val="12"/>
                <w:szCs w:val="12"/>
                <w:color w:val="auto"/>
              </w:rPr>
            </w:pPr>
          </w:p>
        </w:tc>
        <w:tc>
          <w:tcPr>
            <w:tcW w:w="1360" w:type="dxa"/>
            <w:vAlign w:val="bottom"/>
            <w:tcBorders>
              <w:bottom w:val="single" w:sz="8" w:color="auto"/>
            </w:tcBorders>
          </w:tcPr>
          <w:p>
            <w:pPr>
              <w:spacing w:after="0"/>
              <w:rPr>
                <w:sz w:val="12"/>
                <w:szCs w:val="12"/>
                <w:color w:val="auto"/>
              </w:rPr>
            </w:pPr>
          </w:p>
        </w:tc>
        <w:tc>
          <w:tcPr>
            <w:tcW w:w="1320" w:type="dxa"/>
            <w:vAlign w:val="bottom"/>
            <w:tcBorders>
              <w:bottom w:val="single" w:sz="8" w:color="auto"/>
            </w:tcBorders>
            <w:shd w:val="clear" w:color="auto" w:fill="D8D8D8"/>
          </w:tcPr>
          <w:p>
            <w:pPr>
              <w:jc w:val="right"/>
              <w:ind w:right="352"/>
              <w:spacing w:after="0"/>
              <w:rPr>
                <w:sz w:val="20"/>
                <w:szCs w:val="20"/>
                <w:color w:val="auto"/>
              </w:rPr>
            </w:pPr>
            <w:r>
              <w:rPr>
                <w:rFonts w:ascii="Arial" w:cs="Arial" w:eastAsia="Arial" w:hAnsi="Arial"/>
                <w:sz w:val="13"/>
                <w:szCs w:val="13"/>
                <w:color w:val="auto"/>
              </w:rPr>
              <w:t>2014</w:t>
            </w:r>
          </w:p>
        </w:tc>
        <w:tc>
          <w:tcPr>
            <w:tcW w:w="160" w:type="dxa"/>
            <w:vAlign w:val="bottom"/>
            <w:tcBorders>
              <w:bottom w:val="single" w:sz="8" w:color="auto"/>
            </w:tcBorders>
            <w:shd w:val="clear" w:color="auto" w:fill="D8D8D8"/>
          </w:tcPr>
          <w:p>
            <w:pPr>
              <w:spacing w:after="0"/>
              <w:rPr>
                <w:sz w:val="12"/>
                <w:szCs w:val="12"/>
                <w:color w:val="auto"/>
              </w:rPr>
            </w:pPr>
          </w:p>
        </w:tc>
        <w:tc>
          <w:tcPr>
            <w:tcW w:w="1400" w:type="dxa"/>
            <w:vAlign w:val="bottom"/>
            <w:tcBorders>
              <w:bottom w:val="single" w:sz="8" w:color="auto"/>
            </w:tcBorders>
          </w:tcPr>
          <w:p>
            <w:pPr>
              <w:jc w:val="right"/>
              <w:ind w:right="410"/>
              <w:spacing w:after="0"/>
              <w:rPr>
                <w:sz w:val="20"/>
                <w:szCs w:val="20"/>
                <w:color w:val="auto"/>
              </w:rPr>
            </w:pPr>
            <w:r>
              <w:rPr>
                <w:rFonts w:ascii="Arial" w:cs="Arial" w:eastAsia="Arial" w:hAnsi="Arial"/>
                <w:sz w:val="13"/>
                <w:szCs w:val="13"/>
                <w:color w:val="auto"/>
              </w:rPr>
              <w:t>2013</w:t>
            </w:r>
          </w:p>
        </w:tc>
        <w:tc>
          <w:tcPr>
            <w:tcW w:w="1580" w:type="dxa"/>
            <w:vAlign w:val="bottom"/>
            <w:tcBorders>
              <w:bottom w:val="single" w:sz="8" w:color="auto"/>
            </w:tcBorders>
          </w:tcPr>
          <w:p>
            <w:pPr>
              <w:jc w:val="right"/>
              <w:ind w:right="490"/>
              <w:spacing w:after="0"/>
              <w:rPr>
                <w:sz w:val="20"/>
                <w:szCs w:val="20"/>
                <w:color w:val="auto"/>
              </w:rPr>
            </w:pPr>
            <w:r>
              <w:rPr>
                <w:rFonts w:ascii="Arial" w:cs="Arial" w:eastAsia="Arial" w:hAnsi="Arial"/>
                <w:sz w:val="13"/>
                <w:szCs w:val="13"/>
                <w:color w:val="auto"/>
              </w:rPr>
              <w:t>2012</w:t>
            </w:r>
          </w:p>
        </w:tc>
        <w:tc>
          <w:tcPr>
            <w:tcW w:w="0" w:type="dxa"/>
            <w:vAlign w:val="bottom"/>
          </w:tcPr>
          <w:p>
            <w:pPr>
              <w:spacing w:after="0"/>
              <w:rPr>
                <w:sz w:val="1"/>
                <w:szCs w:val="1"/>
                <w:color w:val="auto"/>
              </w:rPr>
            </w:pPr>
          </w:p>
        </w:tc>
      </w:tr>
      <w:tr>
        <w:trPr>
          <w:trHeight w:val="156"/>
        </w:trPr>
        <w:tc>
          <w:tcPr>
            <w:tcW w:w="5600" w:type="dxa"/>
            <w:vAlign w:val="bottom"/>
            <w:gridSpan w:val="2"/>
          </w:tcPr>
          <w:p>
            <w:pPr>
              <w:spacing w:after="0" w:line="155" w:lineRule="exact"/>
              <w:rPr>
                <w:sz w:val="20"/>
                <w:szCs w:val="20"/>
                <w:color w:val="auto"/>
              </w:rPr>
            </w:pPr>
            <w:r>
              <w:rPr>
                <w:rFonts w:ascii="Arial" w:cs="Arial" w:eastAsia="Arial" w:hAnsi="Arial"/>
                <w:sz w:val="14"/>
                <w:szCs w:val="14"/>
                <w:color w:val="auto"/>
              </w:rPr>
              <w:t>Income for the period</w:t>
            </w:r>
          </w:p>
        </w:tc>
        <w:tc>
          <w:tcPr>
            <w:tcW w:w="1360" w:type="dxa"/>
            <w:vAlign w:val="bottom"/>
          </w:tcPr>
          <w:p>
            <w:pPr>
              <w:spacing w:after="0"/>
              <w:rPr>
                <w:sz w:val="13"/>
                <w:szCs w:val="13"/>
                <w:color w:val="auto"/>
              </w:rPr>
            </w:pPr>
          </w:p>
        </w:tc>
        <w:tc>
          <w:tcPr>
            <w:tcW w:w="1320" w:type="dxa"/>
            <w:vAlign w:val="bottom"/>
            <w:shd w:val="clear" w:color="auto" w:fill="D8D8D8"/>
          </w:tcPr>
          <w:p>
            <w:pPr>
              <w:jc w:val="right"/>
              <w:ind w:right="352"/>
              <w:spacing w:after="0" w:line="155" w:lineRule="exact"/>
              <w:rPr>
                <w:sz w:val="20"/>
                <w:szCs w:val="20"/>
                <w:color w:val="auto"/>
              </w:rPr>
            </w:pPr>
            <w:r>
              <w:rPr>
                <w:rFonts w:ascii="Arial" w:cs="Arial" w:eastAsia="Arial" w:hAnsi="Arial"/>
                <w:sz w:val="14"/>
                <w:szCs w:val="14"/>
                <w:color w:val="auto"/>
              </w:rPr>
              <w:t>2,470</w:t>
            </w:r>
          </w:p>
        </w:tc>
        <w:tc>
          <w:tcPr>
            <w:tcW w:w="160" w:type="dxa"/>
            <w:vAlign w:val="bottom"/>
            <w:shd w:val="clear" w:color="auto" w:fill="D8D8D8"/>
          </w:tcPr>
          <w:p>
            <w:pPr>
              <w:spacing w:after="0"/>
              <w:rPr>
                <w:sz w:val="13"/>
                <w:szCs w:val="13"/>
                <w:color w:val="auto"/>
              </w:rPr>
            </w:pPr>
          </w:p>
        </w:tc>
        <w:tc>
          <w:tcPr>
            <w:tcW w:w="1400" w:type="dxa"/>
            <w:vAlign w:val="bottom"/>
          </w:tcPr>
          <w:p>
            <w:pPr>
              <w:jc w:val="right"/>
              <w:ind w:right="410"/>
              <w:spacing w:after="0" w:line="155" w:lineRule="exact"/>
              <w:rPr>
                <w:sz w:val="20"/>
                <w:szCs w:val="20"/>
                <w:color w:val="auto"/>
              </w:rPr>
            </w:pPr>
            <w:r>
              <w:rPr>
                <w:rFonts w:ascii="Arial" w:cs="Arial" w:eastAsia="Arial" w:hAnsi="Arial"/>
                <w:sz w:val="14"/>
                <w:szCs w:val="14"/>
                <w:color w:val="auto"/>
              </w:rPr>
              <w:t>2,361</w:t>
            </w:r>
          </w:p>
        </w:tc>
        <w:tc>
          <w:tcPr>
            <w:tcW w:w="1580" w:type="dxa"/>
            <w:vAlign w:val="bottom"/>
          </w:tcPr>
          <w:p>
            <w:pPr>
              <w:jc w:val="right"/>
              <w:ind w:right="490"/>
              <w:spacing w:after="0" w:line="155" w:lineRule="exact"/>
              <w:rPr>
                <w:sz w:val="20"/>
                <w:szCs w:val="20"/>
                <w:color w:val="auto"/>
              </w:rPr>
            </w:pPr>
            <w:r>
              <w:rPr>
                <w:rFonts w:ascii="Arial" w:cs="Arial" w:eastAsia="Arial" w:hAnsi="Arial"/>
                <w:sz w:val="14"/>
                <w:szCs w:val="14"/>
                <w:color w:val="auto"/>
              </w:rPr>
              <w:t>2,383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8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15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5600" w:type="dxa"/>
            <w:vAlign w:val="bottom"/>
            <w:gridSpan w:val="2"/>
          </w:tcPr>
          <w:p>
            <w:pPr>
              <w:spacing w:after="0" w:line="155" w:lineRule="exact"/>
              <w:rPr>
                <w:sz w:val="20"/>
                <w:szCs w:val="20"/>
                <w:color w:val="auto"/>
              </w:rPr>
            </w:pPr>
            <w:r>
              <w:rPr>
                <w:rFonts w:ascii="Arial" w:cs="Arial" w:eastAsia="Arial" w:hAnsi="Arial"/>
                <w:sz w:val="14"/>
                <w:szCs w:val="14"/>
                <w:color w:val="auto"/>
              </w:rPr>
              <w:t>Comprehensive income for the period</w:t>
            </w:r>
          </w:p>
        </w:tc>
        <w:tc>
          <w:tcPr>
            <w:tcW w:w="1360" w:type="dxa"/>
            <w:vAlign w:val="bottom"/>
          </w:tcPr>
          <w:p>
            <w:pPr>
              <w:spacing w:after="0"/>
              <w:rPr>
                <w:sz w:val="13"/>
                <w:szCs w:val="13"/>
                <w:color w:val="auto"/>
              </w:rPr>
            </w:pPr>
          </w:p>
        </w:tc>
        <w:tc>
          <w:tcPr>
            <w:tcW w:w="1320" w:type="dxa"/>
            <w:vAlign w:val="bottom"/>
            <w:shd w:val="clear" w:color="auto" w:fill="D8D8D8"/>
          </w:tcPr>
          <w:p>
            <w:pPr>
              <w:jc w:val="right"/>
              <w:ind w:right="352"/>
              <w:spacing w:after="0" w:line="155" w:lineRule="exact"/>
              <w:rPr>
                <w:sz w:val="20"/>
                <w:szCs w:val="20"/>
                <w:color w:val="auto"/>
              </w:rPr>
            </w:pPr>
            <w:r>
              <w:rPr>
                <w:rFonts w:ascii="Arial" w:cs="Arial" w:eastAsia="Arial" w:hAnsi="Arial"/>
                <w:sz w:val="14"/>
                <w:szCs w:val="14"/>
                <w:color w:val="auto"/>
              </w:rPr>
              <w:t>2,470</w:t>
            </w:r>
          </w:p>
        </w:tc>
        <w:tc>
          <w:tcPr>
            <w:tcW w:w="160" w:type="dxa"/>
            <w:vAlign w:val="bottom"/>
            <w:shd w:val="clear" w:color="auto" w:fill="D8D8D8"/>
          </w:tcPr>
          <w:p>
            <w:pPr>
              <w:spacing w:after="0"/>
              <w:rPr>
                <w:sz w:val="13"/>
                <w:szCs w:val="13"/>
                <w:color w:val="auto"/>
              </w:rPr>
            </w:pPr>
          </w:p>
        </w:tc>
        <w:tc>
          <w:tcPr>
            <w:tcW w:w="1400" w:type="dxa"/>
            <w:vAlign w:val="bottom"/>
          </w:tcPr>
          <w:p>
            <w:pPr>
              <w:jc w:val="right"/>
              <w:ind w:right="410"/>
              <w:spacing w:after="0" w:line="155" w:lineRule="exact"/>
              <w:rPr>
                <w:sz w:val="20"/>
                <w:szCs w:val="20"/>
                <w:color w:val="auto"/>
              </w:rPr>
            </w:pPr>
            <w:r>
              <w:rPr>
                <w:rFonts w:ascii="Arial" w:cs="Arial" w:eastAsia="Arial" w:hAnsi="Arial"/>
                <w:sz w:val="14"/>
                <w:szCs w:val="14"/>
                <w:color w:val="auto"/>
              </w:rPr>
              <w:t>2,361</w:t>
            </w:r>
          </w:p>
        </w:tc>
        <w:tc>
          <w:tcPr>
            <w:tcW w:w="1580" w:type="dxa"/>
            <w:vAlign w:val="bottom"/>
          </w:tcPr>
          <w:p>
            <w:pPr>
              <w:jc w:val="right"/>
              <w:ind w:right="490"/>
              <w:spacing w:after="0" w:line="155" w:lineRule="exact"/>
              <w:rPr>
                <w:sz w:val="20"/>
                <w:szCs w:val="20"/>
                <w:color w:val="auto"/>
              </w:rPr>
            </w:pPr>
            <w:r>
              <w:rPr>
                <w:rFonts w:ascii="Arial" w:cs="Arial" w:eastAsia="Arial" w:hAnsi="Arial"/>
                <w:sz w:val="14"/>
                <w:szCs w:val="14"/>
                <w:color w:val="auto"/>
              </w:rPr>
              <w:t>2,383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58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400" w:type="dxa"/>
            <w:vAlign w:val="bottom"/>
            <w:tcBorders>
              <w:top w:val="single" w:sz="8" w:color="auto"/>
            </w:tcBorders>
          </w:tcPr>
          <w:p>
            <w:pPr>
              <w:spacing w:after="0"/>
              <w:rPr>
                <w:sz w:val="18"/>
                <w:szCs w:val="18"/>
                <w:color w:val="auto"/>
              </w:rPr>
            </w:pPr>
          </w:p>
        </w:tc>
        <w:tc>
          <w:tcPr>
            <w:tcW w:w="158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580" w:type="dxa"/>
            <w:vAlign w:val="bottom"/>
            <w:shd w:val="clear" w:color="auto" w:fill="333333"/>
          </w:tcPr>
          <w:p>
            <w:pPr>
              <w:ind w:left="60"/>
              <w:spacing w:after="0" w:line="162" w:lineRule="exact"/>
              <w:rPr>
                <w:sz w:val="20"/>
                <w:szCs w:val="20"/>
                <w:color w:val="auto"/>
              </w:rPr>
            </w:pPr>
            <w:r>
              <w:rPr>
                <w:rFonts w:ascii="Arial" w:cs="Arial" w:eastAsia="Arial" w:hAnsi="Arial"/>
                <w:sz w:val="15"/>
                <w:szCs w:val="15"/>
                <w:b w:val="1"/>
                <w:bCs w:val="1"/>
                <w:color w:val="FFFFFF"/>
              </w:rPr>
              <w:t>BALANCE SHEET</w:t>
            </w:r>
          </w:p>
        </w:tc>
        <w:tc>
          <w:tcPr>
            <w:tcW w:w="1360" w:type="dxa"/>
            <w:vAlign w:val="bottom"/>
            <w:shd w:val="clear" w:color="auto" w:fill="333333"/>
          </w:tcPr>
          <w:p>
            <w:pPr>
              <w:spacing w:after="0"/>
              <w:rPr>
                <w:sz w:val="14"/>
                <w:szCs w:val="14"/>
                <w:color w:val="auto"/>
              </w:rPr>
            </w:pPr>
          </w:p>
        </w:tc>
        <w:tc>
          <w:tcPr>
            <w:tcW w:w="1320" w:type="dxa"/>
            <w:vAlign w:val="bottom"/>
            <w:shd w:val="clear" w:color="auto" w:fill="333333"/>
          </w:tcPr>
          <w:p>
            <w:pPr>
              <w:spacing w:after="0"/>
              <w:rPr>
                <w:sz w:val="14"/>
                <w:szCs w:val="14"/>
                <w:color w:val="auto"/>
              </w:rPr>
            </w:pPr>
          </w:p>
        </w:tc>
        <w:tc>
          <w:tcPr>
            <w:tcW w:w="160" w:type="dxa"/>
            <w:vAlign w:val="bottom"/>
            <w:shd w:val="clear" w:color="auto" w:fill="333333"/>
          </w:tcPr>
          <w:p>
            <w:pPr>
              <w:spacing w:after="0"/>
              <w:rPr>
                <w:sz w:val="14"/>
                <w:szCs w:val="14"/>
                <w:color w:val="auto"/>
              </w:rPr>
            </w:pPr>
          </w:p>
        </w:tc>
        <w:tc>
          <w:tcPr>
            <w:tcW w:w="1400" w:type="dxa"/>
            <w:vAlign w:val="bottom"/>
            <w:shd w:val="clear" w:color="auto" w:fill="333333"/>
          </w:tcPr>
          <w:p>
            <w:pPr>
              <w:spacing w:after="0"/>
              <w:rPr>
                <w:sz w:val="14"/>
                <w:szCs w:val="14"/>
                <w:color w:val="auto"/>
              </w:rPr>
            </w:pPr>
          </w:p>
        </w:tc>
        <w:tc>
          <w:tcPr>
            <w:tcW w:w="1580" w:type="dxa"/>
            <w:vAlign w:val="bottom"/>
            <w:shd w:val="clear" w:color="auto" w:fill="333333"/>
          </w:tcPr>
          <w:p>
            <w:pPr>
              <w:jc w:val="right"/>
              <w:ind w:right="490"/>
              <w:spacing w:after="0" w:line="162" w:lineRule="exact"/>
              <w:rPr>
                <w:sz w:val="20"/>
                <w:szCs w:val="20"/>
                <w:color w:val="auto"/>
              </w:rPr>
            </w:pPr>
            <w:r>
              <w:rPr>
                <w:rFonts w:ascii="Arial" w:cs="Arial" w:eastAsia="Arial" w:hAnsi="Arial"/>
                <w:sz w:val="15"/>
                <w:szCs w:val="15"/>
                <w:color w:val="FFFFFF"/>
              </w:rPr>
              <w:t>£ MILLION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580" w:type="dxa"/>
            <w:vAlign w:val="bottom"/>
            <w:tcBorders>
              <w:bottom w:val="single" w:sz="8" w:color="auto"/>
            </w:tcBorders>
          </w:tcPr>
          <w:p>
            <w:pPr>
              <w:spacing w:after="0"/>
              <w:rPr>
                <w:sz w:val="12"/>
                <w:szCs w:val="12"/>
                <w:color w:val="auto"/>
              </w:rPr>
            </w:pPr>
          </w:p>
        </w:tc>
        <w:tc>
          <w:tcPr>
            <w:tcW w:w="1360" w:type="dxa"/>
            <w:vAlign w:val="bottom"/>
            <w:tcBorders>
              <w:bottom w:val="single" w:sz="8" w:color="auto"/>
            </w:tcBorders>
          </w:tcPr>
          <w:p>
            <w:pPr>
              <w:spacing w:after="0"/>
              <w:rPr>
                <w:sz w:val="12"/>
                <w:szCs w:val="12"/>
                <w:color w:val="auto"/>
              </w:rPr>
            </w:pPr>
          </w:p>
        </w:tc>
        <w:tc>
          <w:tcPr>
            <w:tcW w:w="1320" w:type="dxa"/>
            <w:vAlign w:val="bottom"/>
            <w:tcBorders>
              <w:bottom w:val="single" w:sz="8" w:color="auto"/>
            </w:tcBorders>
          </w:tcPr>
          <w:p>
            <w:pPr>
              <w:jc w:val="right"/>
              <w:ind w:right="272"/>
              <w:spacing w:after="0"/>
              <w:rPr>
                <w:sz w:val="20"/>
                <w:szCs w:val="20"/>
                <w:color w:val="auto"/>
              </w:rPr>
            </w:pPr>
            <w:r>
              <w:rPr>
                <w:rFonts w:ascii="Arial" w:cs="Arial" w:eastAsia="Arial" w:hAnsi="Arial"/>
                <w:sz w:val="13"/>
                <w:szCs w:val="13"/>
                <w:color w:val="auto"/>
              </w:rPr>
              <w:t>NOTES</w:t>
            </w:r>
          </w:p>
        </w:tc>
        <w:tc>
          <w:tcPr>
            <w:tcW w:w="160" w:type="dxa"/>
            <w:vAlign w:val="bottom"/>
            <w:tcBorders>
              <w:bottom w:val="single" w:sz="8" w:color="auto"/>
            </w:tcBorders>
            <w:shd w:val="clear" w:color="auto" w:fill="D8D8D8"/>
          </w:tcPr>
          <w:p>
            <w:pPr>
              <w:spacing w:after="0"/>
              <w:rPr>
                <w:sz w:val="12"/>
                <w:szCs w:val="12"/>
                <w:color w:val="auto"/>
              </w:rPr>
            </w:pPr>
          </w:p>
        </w:tc>
        <w:tc>
          <w:tcPr>
            <w:tcW w:w="1400" w:type="dxa"/>
            <w:vAlign w:val="bottom"/>
            <w:tcBorders>
              <w:bottom w:val="single" w:sz="8" w:color="auto"/>
            </w:tcBorders>
            <w:shd w:val="clear" w:color="auto" w:fill="D8D8D8"/>
          </w:tcPr>
          <w:p>
            <w:pPr>
              <w:jc w:val="right"/>
              <w:ind w:right="270"/>
              <w:spacing w:after="0"/>
              <w:rPr>
                <w:sz w:val="20"/>
                <w:szCs w:val="20"/>
                <w:color w:val="auto"/>
              </w:rPr>
            </w:pPr>
            <w:r>
              <w:rPr>
                <w:rFonts w:ascii="Arial" w:cs="Arial" w:eastAsia="Arial" w:hAnsi="Arial"/>
                <w:sz w:val="13"/>
                <w:szCs w:val="13"/>
                <w:color w:val="auto"/>
              </w:rPr>
              <w:t>Dec 31, 2014</w:t>
            </w:r>
          </w:p>
        </w:tc>
        <w:tc>
          <w:tcPr>
            <w:tcW w:w="1580" w:type="dxa"/>
            <w:vAlign w:val="bottom"/>
            <w:tcBorders>
              <w:bottom w:val="single" w:sz="8" w:color="auto"/>
            </w:tcBorders>
          </w:tcPr>
          <w:p>
            <w:pPr>
              <w:jc w:val="right"/>
              <w:ind w:right="270"/>
              <w:spacing w:after="0"/>
              <w:rPr>
                <w:sz w:val="20"/>
                <w:szCs w:val="20"/>
                <w:color w:val="auto"/>
              </w:rPr>
            </w:pPr>
            <w:r>
              <w:rPr>
                <w:rFonts w:ascii="Arial" w:cs="Arial" w:eastAsia="Arial" w:hAnsi="Arial"/>
                <w:sz w:val="13"/>
                <w:szCs w:val="13"/>
                <w:color w:val="auto"/>
              </w:rPr>
              <w:t>Dec 31, 2013</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580" w:type="dxa"/>
            <w:vAlign w:val="bottom"/>
          </w:tcPr>
          <w:p>
            <w:pPr>
              <w:spacing w:after="0" w:line="155" w:lineRule="exact"/>
              <w:rPr>
                <w:sz w:val="20"/>
                <w:szCs w:val="20"/>
                <w:color w:val="auto"/>
              </w:rPr>
            </w:pPr>
            <w:r>
              <w:rPr>
                <w:rFonts w:ascii="Arial" w:cs="Arial" w:eastAsia="Arial" w:hAnsi="Arial"/>
                <w:sz w:val="14"/>
                <w:szCs w:val="14"/>
                <w:b w:val="1"/>
                <w:bCs w:val="1"/>
                <w:color w:val="auto"/>
              </w:rPr>
              <w:t>Assets</w:t>
            </w:r>
          </w:p>
        </w:tc>
        <w:tc>
          <w:tcPr>
            <w:tcW w:w="136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60" w:type="dxa"/>
            <w:vAlign w:val="bottom"/>
            <w:shd w:val="clear" w:color="auto" w:fill="D8D8D8"/>
          </w:tcPr>
          <w:p>
            <w:pPr>
              <w:spacing w:after="0"/>
              <w:rPr>
                <w:sz w:val="13"/>
                <w:szCs w:val="13"/>
                <w:color w:val="auto"/>
              </w:rPr>
            </w:pPr>
          </w:p>
        </w:tc>
        <w:tc>
          <w:tcPr>
            <w:tcW w:w="1400" w:type="dxa"/>
            <w:vAlign w:val="bottom"/>
            <w:shd w:val="clear" w:color="auto" w:fill="D8D8D8"/>
          </w:tcPr>
          <w:p>
            <w:pPr>
              <w:spacing w:after="0"/>
              <w:rPr>
                <w:sz w:val="13"/>
                <w:szCs w:val="13"/>
                <w:color w:val="auto"/>
              </w:rPr>
            </w:pPr>
          </w:p>
        </w:tc>
        <w:tc>
          <w:tcPr>
            <w:tcW w:w="1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5600" w:type="dxa"/>
            <w:vAlign w:val="bottom"/>
            <w:gridSpan w:val="2"/>
          </w:tcPr>
          <w:p>
            <w:pPr>
              <w:spacing w:after="0"/>
              <w:rPr>
                <w:sz w:val="20"/>
                <w:szCs w:val="20"/>
                <w:color w:val="auto"/>
              </w:rPr>
            </w:pPr>
            <w:r>
              <w:rPr>
                <w:rFonts w:ascii="Arial" w:cs="Arial" w:eastAsia="Arial" w:hAnsi="Arial"/>
                <w:sz w:val="14"/>
                <w:szCs w:val="14"/>
                <w:color w:val="auto"/>
              </w:rPr>
              <w:t>Current assets</w:t>
            </w:r>
          </w:p>
        </w:tc>
        <w:tc>
          <w:tcPr>
            <w:tcW w:w="13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60" w:type="dxa"/>
            <w:vAlign w:val="bottom"/>
            <w:shd w:val="clear" w:color="auto" w:fill="D8D8D8"/>
          </w:tcPr>
          <w:p>
            <w:pPr>
              <w:spacing w:after="0"/>
              <w:rPr>
                <w:sz w:val="14"/>
                <w:szCs w:val="14"/>
                <w:color w:val="auto"/>
              </w:rPr>
            </w:pPr>
          </w:p>
        </w:tc>
        <w:tc>
          <w:tcPr>
            <w:tcW w:w="1400" w:type="dxa"/>
            <w:vAlign w:val="bottom"/>
            <w:shd w:val="clear" w:color="auto" w:fill="D8D8D8"/>
          </w:tcPr>
          <w:p>
            <w:pPr>
              <w:spacing w:after="0"/>
              <w:rPr>
                <w:sz w:val="14"/>
                <w:szCs w:val="14"/>
                <w:color w:val="auto"/>
              </w:rPr>
            </w:pP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600" w:type="dxa"/>
            <w:vAlign w:val="bottom"/>
            <w:tcBorders>
              <w:bottom w:val="single" w:sz="8" w:color="auto"/>
            </w:tcBorders>
            <w:gridSpan w:val="2"/>
          </w:tcPr>
          <w:p>
            <w:pPr>
              <w:spacing w:after="0"/>
              <w:rPr>
                <w:sz w:val="20"/>
                <w:szCs w:val="20"/>
                <w:color w:val="auto"/>
              </w:rPr>
            </w:pPr>
            <w:r>
              <w:rPr>
                <w:rFonts w:ascii="Arial" w:cs="Arial" w:eastAsia="Arial" w:hAnsi="Arial"/>
                <w:sz w:val="14"/>
                <w:szCs w:val="14"/>
                <w:color w:val="auto"/>
              </w:rPr>
              <w:t>Cash and cash equivalents</w:t>
            </w:r>
          </w:p>
        </w:tc>
        <w:tc>
          <w:tcPr>
            <w:tcW w:w="136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shd w:val="clear" w:color="auto" w:fill="D8D8D8"/>
          </w:tcPr>
          <w:p>
            <w:pPr>
              <w:spacing w:after="0"/>
              <w:rPr>
                <w:sz w:val="14"/>
                <w:szCs w:val="14"/>
                <w:color w:val="auto"/>
              </w:rPr>
            </w:pPr>
          </w:p>
        </w:tc>
        <w:tc>
          <w:tcPr>
            <w:tcW w:w="1400" w:type="dxa"/>
            <w:vAlign w:val="bottom"/>
            <w:tcBorders>
              <w:bottom w:val="single" w:sz="8" w:color="auto"/>
            </w:tcBorders>
            <w:shd w:val="clear" w:color="auto" w:fill="D8D8D8"/>
          </w:tcPr>
          <w:p>
            <w:pPr>
              <w:jc w:val="right"/>
              <w:ind w:right="270"/>
              <w:spacing w:after="0"/>
              <w:rPr>
                <w:sz w:val="20"/>
                <w:szCs w:val="20"/>
                <w:color w:val="auto"/>
              </w:rPr>
            </w:pPr>
            <w:r>
              <w:rPr>
                <w:rFonts w:ascii="Arial" w:cs="Arial" w:eastAsia="Arial" w:hAnsi="Arial"/>
                <w:sz w:val="14"/>
                <w:szCs w:val="14"/>
                <w:color w:val="auto"/>
              </w:rPr>
              <w:t>1</w:t>
            </w:r>
          </w:p>
        </w:tc>
        <w:tc>
          <w:tcPr>
            <w:tcW w:w="1580" w:type="dxa"/>
            <w:vAlign w:val="bottom"/>
            <w:tcBorders>
              <w:bottom w:val="single" w:sz="8" w:color="auto"/>
            </w:tcBorders>
          </w:tcPr>
          <w:p>
            <w:pPr>
              <w:jc w:val="right"/>
              <w:ind w:right="270"/>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56"/>
        </w:trPr>
        <w:tc>
          <w:tcPr>
            <w:tcW w:w="5600" w:type="dxa"/>
            <w:vAlign w:val="bottom"/>
            <w:tcBorders>
              <w:bottom w:val="single" w:sz="8" w:color="auto"/>
            </w:tcBorders>
            <w:gridSpan w:val="2"/>
          </w:tcPr>
          <w:p>
            <w:pPr>
              <w:spacing w:after="0" w:line="155" w:lineRule="exact"/>
              <w:rPr>
                <w:sz w:val="20"/>
                <w:szCs w:val="20"/>
                <w:color w:val="auto"/>
              </w:rPr>
            </w:pPr>
            <w:r>
              <w:rPr>
                <w:rFonts w:ascii="Arial" w:cs="Arial" w:eastAsia="Arial" w:hAnsi="Arial"/>
                <w:sz w:val="14"/>
                <w:szCs w:val="14"/>
                <w:color w:val="auto"/>
              </w:rPr>
              <w:t>Total assets</w:t>
            </w:r>
          </w:p>
        </w:tc>
        <w:tc>
          <w:tcPr>
            <w:tcW w:w="136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shd w:val="clear" w:color="auto" w:fill="D8D8D8"/>
          </w:tcPr>
          <w:p>
            <w:pPr>
              <w:spacing w:after="0"/>
              <w:rPr>
                <w:sz w:val="13"/>
                <w:szCs w:val="13"/>
                <w:color w:val="auto"/>
              </w:rPr>
            </w:pPr>
          </w:p>
        </w:tc>
        <w:tc>
          <w:tcPr>
            <w:tcW w:w="1400" w:type="dxa"/>
            <w:vAlign w:val="bottom"/>
            <w:tcBorders>
              <w:bottom w:val="single" w:sz="8" w:color="auto"/>
            </w:tcBorders>
            <w:shd w:val="clear" w:color="auto" w:fill="D8D8D8"/>
          </w:tcPr>
          <w:p>
            <w:pPr>
              <w:jc w:val="right"/>
              <w:ind w:right="270"/>
              <w:spacing w:after="0" w:line="155" w:lineRule="exact"/>
              <w:rPr>
                <w:sz w:val="20"/>
                <w:szCs w:val="20"/>
                <w:color w:val="auto"/>
              </w:rPr>
            </w:pPr>
            <w:r>
              <w:rPr>
                <w:rFonts w:ascii="Arial" w:cs="Arial" w:eastAsia="Arial" w:hAnsi="Arial"/>
                <w:sz w:val="14"/>
                <w:szCs w:val="14"/>
                <w:color w:val="auto"/>
              </w:rPr>
              <w:t>1</w:t>
            </w:r>
          </w:p>
        </w:tc>
        <w:tc>
          <w:tcPr>
            <w:tcW w:w="1580" w:type="dxa"/>
            <w:vAlign w:val="bottom"/>
            <w:tcBorders>
              <w:bottom w:val="single" w:sz="8" w:color="auto"/>
            </w:tcBorders>
          </w:tcPr>
          <w:p>
            <w:pPr>
              <w:jc w:val="right"/>
              <w:ind w:right="270"/>
              <w:spacing w:after="0" w:line="155" w:lineRule="exact"/>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60"/>
        </w:trPr>
        <w:tc>
          <w:tcPr>
            <w:tcW w:w="5600" w:type="dxa"/>
            <w:vAlign w:val="bottom"/>
            <w:gridSpan w:val="2"/>
          </w:tcPr>
          <w:p>
            <w:pPr>
              <w:spacing w:after="0"/>
              <w:rPr>
                <w:sz w:val="20"/>
                <w:szCs w:val="20"/>
                <w:color w:val="auto"/>
              </w:rPr>
            </w:pPr>
            <w:r>
              <w:rPr>
                <w:rFonts w:ascii="Arial" w:cs="Arial" w:eastAsia="Arial" w:hAnsi="Arial"/>
                <w:sz w:val="14"/>
                <w:szCs w:val="14"/>
                <w:b w:val="1"/>
                <w:bCs w:val="1"/>
                <w:color w:val="auto"/>
              </w:rPr>
              <w:t>Liabilities</w:t>
            </w:r>
          </w:p>
        </w:tc>
        <w:tc>
          <w:tcPr>
            <w:tcW w:w="136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60" w:type="dxa"/>
            <w:vAlign w:val="bottom"/>
            <w:shd w:val="clear" w:color="auto" w:fill="D8D8D8"/>
          </w:tcPr>
          <w:p>
            <w:pPr>
              <w:spacing w:after="0"/>
              <w:rPr>
                <w:sz w:val="13"/>
                <w:szCs w:val="13"/>
                <w:color w:val="auto"/>
              </w:rPr>
            </w:pPr>
          </w:p>
        </w:tc>
        <w:tc>
          <w:tcPr>
            <w:tcW w:w="1400" w:type="dxa"/>
            <w:vAlign w:val="bottom"/>
            <w:shd w:val="clear" w:color="auto" w:fill="D8D8D8"/>
          </w:tcPr>
          <w:p>
            <w:pPr>
              <w:spacing w:after="0"/>
              <w:rPr>
                <w:sz w:val="13"/>
                <w:szCs w:val="13"/>
                <w:color w:val="auto"/>
              </w:rPr>
            </w:pPr>
          </w:p>
        </w:tc>
        <w:tc>
          <w:tcPr>
            <w:tcW w:w="1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5600" w:type="dxa"/>
            <w:vAlign w:val="bottom"/>
            <w:gridSpan w:val="2"/>
          </w:tcPr>
          <w:p>
            <w:pPr>
              <w:spacing w:after="0"/>
              <w:rPr>
                <w:sz w:val="20"/>
                <w:szCs w:val="20"/>
                <w:color w:val="auto"/>
              </w:rPr>
            </w:pPr>
            <w:r>
              <w:rPr>
                <w:rFonts w:ascii="Arial" w:cs="Arial" w:eastAsia="Arial" w:hAnsi="Arial"/>
                <w:sz w:val="14"/>
                <w:szCs w:val="14"/>
                <w:color w:val="auto"/>
              </w:rPr>
              <w:t>Current liabilities</w:t>
            </w:r>
          </w:p>
        </w:tc>
        <w:tc>
          <w:tcPr>
            <w:tcW w:w="13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60" w:type="dxa"/>
            <w:vAlign w:val="bottom"/>
            <w:shd w:val="clear" w:color="auto" w:fill="D8D8D8"/>
          </w:tcPr>
          <w:p>
            <w:pPr>
              <w:spacing w:after="0"/>
              <w:rPr>
                <w:sz w:val="14"/>
                <w:szCs w:val="14"/>
                <w:color w:val="auto"/>
              </w:rPr>
            </w:pPr>
          </w:p>
        </w:tc>
        <w:tc>
          <w:tcPr>
            <w:tcW w:w="1400" w:type="dxa"/>
            <w:vAlign w:val="bottom"/>
            <w:shd w:val="clear" w:color="auto" w:fill="D8D8D8"/>
          </w:tcPr>
          <w:p>
            <w:pPr>
              <w:spacing w:after="0"/>
              <w:rPr>
                <w:sz w:val="14"/>
                <w:szCs w:val="14"/>
                <w:color w:val="auto"/>
              </w:rPr>
            </w:pP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5600" w:type="dxa"/>
            <w:vAlign w:val="bottom"/>
            <w:tcBorders>
              <w:bottom w:val="single" w:sz="8" w:color="auto"/>
            </w:tcBorders>
            <w:gridSpan w:val="2"/>
          </w:tcPr>
          <w:p>
            <w:pPr>
              <w:spacing w:after="0" w:line="157" w:lineRule="exact"/>
              <w:rPr>
                <w:sz w:val="20"/>
                <w:szCs w:val="20"/>
                <w:color w:val="auto"/>
              </w:rPr>
            </w:pPr>
            <w:r>
              <w:rPr>
                <w:rFonts w:ascii="Arial" w:cs="Arial" w:eastAsia="Arial" w:hAnsi="Arial"/>
                <w:sz w:val="14"/>
                <w:szCs w:val="14"/>
                <w:color w:val="auto"/>
              </w:rPr>
              <w:t>Other liabilities</w:t>
            </w:r>
          </w:p>
        </w:tc>
        <w:tc>
          <w:tcPr>
            <w:tcW w:w="2680" w:type="dxa"/>
            <w:vAlign w:val="bottom"/>
            <w:tcBorders>
              <w:bottom w:val="single" w:sz="8" w:color="auto"/>
            </w:tcBorders>
            <w:gridSpan w:val="2"/>
          </w:tcPr>
          <w:p>
            <w:pPr>
              <w:jc w:val="right"/>
              <w:ind w:right="272"/>
              <w:spacing w:after="0" w:line="157" w:lineRule="exact"/>
              <w:rPr>
                <w:sz w:val="20"/>
                <w:szCs w:val="20"/>
                <w:color w:val="auto"/>
              </w:rPr>
            </w:pPr>
            <w:r>
              <w:rPr>
                <w:rFonts w:ascii="Arial" w:cs="Arial" w:eastAsia="Arial" w:hAnsi="Arial"/>
                <w:sz w:val="14"/>
                <w:szCs w:val="14"/>
                <w:color w:val="auto"/>
              </w:rPr>
              <w:t>4</w:t>
            </w:r>
          </w:p>
        </w:tc>
        <w:tc>
          <w:tcPr>
            <w:tcW w:w="160" w:type="dxa"/>
            <w:vAlign w:val="bottom"/>
            <w:tcBorders>
              <w:bottom w:val="single" w:sz="8" w:color="auto"/>
            </w:tcBorders>
            <w:shd w:val="clear" w:color="auto" w:fill="D8D8D8"/>
          </w:tcPr>
          <w:p>
            <w:pPr>
              <w:spacing w:after="0"/>
              <w:rPr>
                <w:sz w:val="13"/>
                <w:szCs w:val="13"/>
                <w:color w:val="auto"/>
              </w:rPr>
            </w:pPr>
          </w:p>
        </w:tc>
        <w:tc>
          <w:tcPr>
            <w:tcW w:w="1400" w:type="dxa"/>
            <w:vAlign w:val="bottom"/>
            <w:tcBorders>
              <w:bottom w:val="single" w:sz="8" w:color="auto"/>
            </w:tcBorders>
            <w:shd w:val="clear" w:color="auto" w:fill="D8D8D8"/>
          </w:tcPr>
          <w:p>
            <w:pPr>
              <w:jc w:val="right"/>
              <w:ind w:right="270"/>
              <w:spacing w:after="0" w:line="157" w:lineRule="exact"/>
              <w:rPr>
                <w:sz w:val="20"/>
                <w:szCs w:val="20"/>
                <w:color w:val="auto"/>
              </w:rPr>
            </w:pPr>
            <w:r>
              <w:rPr>
                <w:rFonts w:ascii="Arial" w:cs="Arial" w:eastAsia="Arial" w:hAnsi="Arial"/>
                <w:sz w:val="14"/>
                <w:szCs w:val="14"/>
                <w:color w:val="auto"/>
              </w:rPr>
              <w:t>1</w:t>
            </w:r>
          </w:p>
        </w:tc>
        <w:tc>
          <w:tcPr>
            <w:tcW w:w="1580" w:type="dxa"/>
            <w:vAlign w:val="bottom"/>
            <w:tcBorders>
              <w:bottom w:val="single" w:sz="8" w:color="auto"/>
            </w:tcBorders>
          </w:tcPr>
          <w:p>
            <w:pPr>
              <w:jc w:val="right"/>
              <w:ind w:right="270"/>
              <w:spacing w:after="0" w:line="157" w:lineRule="exact"/>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56"/>
        </w:trPr>
        <w:tc>
          <w:tcPr>
            <w:tcW w:w="5600" w:type="dxa"/>
            <w:vAlign w:val="bottom"/>
            <w:tcBorders>
              <w:bottom w:val="single" w:sz="8" w:color="auto"/>
            </w:tcBorders>
            <w:gridSpan w:val="2"/>
          </w:tcPr>
          <w:p>
            <w:pPr>
              <w:spacing w:after="0" w:line="155" w:lineRule="exact"/>
              <w:rPr>
                <w:sz w:val="20"/>
                <w:szCs w:val="20"/>
                <w:color w:val="auto"/>
              </w:rPr>
            </w:pPr>
            <w:r>
              <w:rPr>
                <w:rFonts w:ascii="Arial" w:cs="Arial" w:eastAsia="Arial" w:hAnsi="Arial"/>
                <w:sz w:val="14"/>
                <w:szCs w:val="14"/>
                <w:color w:val="auto"/>
              </w:rPr>
              <w:t>Total liabilities</w:t>
            </w:r>
          </w:p>
        </w:tc>
        <w:tc>
          <w:tcPr>
            <w:tcW w:w="136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shd w:val="clear" w:color="auto" w:fill="D8D8D8"/>
          </w:tcPr>
          <w:p>
            <w:pPr>
              <w:spacing w:after="0"/>
              <w:rPr>
                <w:sz w:val="13"/>
                <w:szCs w:val="13"/>
                <w:color w:val="auto"/>
              </w:rPr>
            </w:pPr>
          </w:p>
        </w:tc>
        <w:tc>
          <w:tcPr>
            <w:tcW w:w="1400" w:type="dxa"/>
            <w:vAlign w:val="bottom"/>
            <w:tcBorders>
              <w:bottom w:val="single" w:sz="8" w:color="auto"/>
            </w:tcBorders>
            <w:shd w:val="clear" w:color="auto" w:fill="D8D8D8"/>
          </w:tcPr>
          <w:p>
            <w:pPr>
              <w:jc w:val="right"/>
              <w:ind w:right="270"/>
              <w:spacing w:after="0" w:line="155" w:lineRule="exact"/>
              <w:rPr>
                <w:sz w:val="20"/>
                <w:szCs w:val="20"/>
                <w:color w:val="auto"/>
              </w:rPr>
            </w:pPr>
            <w:r>
              <w:rPr>
                <w:rFonts w:ascii="Arial" w:cs="Arial" w:eastAsia="Arial" w:hAnsi="Arial"/>
                <w:sz w:val="14"/>
                <w:szCs w:val="14"/>
                <w:color w:val="auto"/>
              </w:rPr>
              <w:t>1</w:t>
            </w:r>
          </w:p>
        </w:tc>
        <w:tc>
          <w:tcPr>
            <w:tcW w:w="1580" w:type="dxa"/>
            <w:vAlign w:val="bottom"/>
            <w:tcBorders>
              <w:bottom w:val="single" w:sz="8" w:color="auto"/>
            </w:tcBorders>
          </w:tcPr>
          <w:p>
            <w:pPr>
              <w:jc w:val="right"/>
              <w:ind w:right="270"/>
              <w:spacing w:after="0" w:line="155" w:lineRule="exact"/>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60"/>
        </w:trPr>
        <w:tc>
          <w:tcPr>
            <w:tcW w:w="5600" w:type="dxa"/>
            <w:vAlign w:val="bottom"/>
            <w:gridSpan w:val="2"/>
          </w:tcPr>
          <w:p>
            <w:pPr>
              <w:spacing w:after="0"/>
              <w:rPr>
                <w:sz w:val="20"/>
                <w:szCs w:val="20"/>
                <w:color w:val="auto"/>
              </w:rPr>
            </w:pPr>
            <w:r>
              <w:rPr>
                <w:rFonts w:ascii="Arial" w:cs="Arial" w:eastAsia="Arial" w:hAnsi="Arial"/>
                <w:sz w:val="14"/>
                <w:szCs w:val="14"/>
                <w:b w:val="1"/>
                <w:bCs w:val="1"/>
                <w:color w:val="auto"/>
              </w:rPr>
              <w:t>Equity</w:t>
            </w:r>
          </w:p>
        </w:tc>
        <w:tc>
          <w:tcPr>
            <w:tcW w:w="136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60" w:type="dxa"/>
            <w:vAlign w:val="bottom"/>
            <w:shd w:val="clear" w:color="auto" w:fill="D8D8D8"/>
          </w:tcPr>
          <w:p>
            <w:pPr>
              <w:spacing w:after="0"/>
              <w:rPr>
                <w:sz w:val="13"/>
                <w:szCs w:val="13"/>
                <w:color w:val="auto"/>
              </w:rPr>
            </w:pPr>
          </w:p>
        </w:tc>
        <w:tc>
          <w:tcPr>
            <w:tcW w:w="1400" w:type="dxa"/>
            <w:vAlign w:val="bottom"/>
            <w:shd w:val="clear" w:color="auto" w:fill="D8D8D8"/>
          </w:tcPr>
          <w:p>
            <w:pPr>
              <w:spacing w:after="0"/>
              <w:rPr>
                <w:sz w:val="13"/>
                <w:szCs w:val="13"/>
                <w:color w:val="auto"/>
              </w:rPr>
            </w:pPr>
          </w:p>
        </w:tc>
        <w:tc>
          <w:tcPr>
            <w:tcW w:w="1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5600" w:type="dxa"/>
            <w:vAlign w:val="bottom"/>
            <w:gridSpan w:val="2"/>
          </w:tcPr>
          <w:p>
            <w:pPr>
              <w:spacing w:after="0"/>
              <w:rPr>
                <w:sz w:val="20"/>
                <w:szCs w:val="20"/>
                <w:color w:val="auto"/>
              </w:rPr>
            </w:pPr>
            <w:r>
              <w:rPr>
                <w:rFonts w:ascii="Arial" w:cs="Arial" w:eastAsia="Arial" w:hAnsi="Arial"/>
                <w:sz w:val="14"/>
                <w:szCs w:val="14"/>
                <w:color w:val="auto"/>
              </w:rPr>
              <w:t>Capital account</w:t>
            </w:r>
          </w:p>
        </w:tc>
        <w:tc>
          <w:tcPr>
            <w:tcW w:w="2680" w:type="dxa"/>
            <w:vAlign w:val="bottom"/>
            <w:gridSpan w:val="2"/>
          </w:tcPr>
          <w:p>
            <w:pPr>
              <w:jc w:val="right"/>
              <w:ind w:right="272"/>
              <w:spacing w:after="0"/>
              <w:rPr>
                <w:sz w:val="20"/>
                <w:szCs w:val="20"/>
                <w:color w:val="auto"/>
              </w:rPr>
            </w:pPr>
            <w:r>
              <w:rPr>
                <w:rFonts w:ascii="Arial" w:cs="Arial" w:eastAsia="Arial" w:hAnsi="Arial"/>
                <w:sz w:val="14"/>
                <w:szCs w:val="14"/>
                <w:color w:val="auto"/>
              </w:rPr>
              <w:t>5</w:t>
            </w:r>
          </w:p>
        </w:tc>
        <w:tc>
          <w:tcPr>
            <w:tcW w:w="160" w:type="dxa"/>
            <w:vAlign w:val="bottom"/>
            <w:shd w:val="clear" w:color="auto" w:fill="D8D8D8"/>
          </w:tcPr>
          <w:p>
            <w:pPr>
              <w:spacing w:after="0"/>
              <w:rPr>
                <w:sz w:val="14"/>
                <w:szCs w:val="14"/>
                <w:color w:val="auto"/>
              </w:rPr>
            </w:pPr>
          </w:p>
        </w:tc>
        <w:tc>
          <w:tcPr>
            <w:tcW w:w="1400" w:type="dxa"/>
            <w:vAlign w:val="bottom"/>
            <w:shd w:val="clear" w:color="auto" w:fill="D8D8D8"/>
          </w:tcPr>
          <w:p>
            <w:pPr>
              <w:jc w:val="right"/>
              <w:ind w:right="270"/>
              <w:spacing w:after="0"/>
              <w:rPr>
                <w:sz w:val="20"/>
                <w:szCs w:val="20"/>
                <w:color w:val="auto"/>
              </w:rPr>
            </w:pPr>
            <w:r>
              <w:rPr>
                <w:rFonts w:ascii="Arial" w:cs="Arial" w:eastAsia="Arial" w:hAnsi="Arial"/>
                <w:sz w:val="14"/>
                <w:szCs w:val="14"/>
                <w:color w:val="auto"/>
              </w:rPr>
              <w:t>–</w:t>
            </w:r>
          </w:p>
        </w:tc>
        <w:tc>
          <w:tcPr>
            <w:tcW w:w="1580" w:type="dxa"/>
            <w:vAlign w:val="bottom"/>
          </w:tcPr>
          <w:p>
            <w:pPr>
              <w:jc w:val="right"/>
              <w:ind w:right="27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7"/>
        </w:trPr>
        <w:tc>
          <w:tcPr>
            <w:tcW w:w="5600" w:type="dxa"/>
            <w:vAlign w:val="bottom"/>
            <w:tcBorders>
              <w:bottom w:val="single" w:sz="8" w:color="auto"/>
            </w:tcBorders>
            <w:gridSpan w:val="2"/>
          </w:tcPr>
          <w:p>
            <w:pPr>
              <w:spacing w:after="0" w:line="157" w:lineRule="exact"/>
              <w:rPr>
                <w:sz w:val="20"/>
                <w:szCs w:val="20"/>
                <w:color w:val="auto"/>
              </w:rPr>
            </w:pPr>
            <w:r>
              <w:rPr>
                <w:rFonts w:ascii="Arial" w:cs="Arial" w:eastAsia="Arial" w:hAnsi="Arial"/>
                <w:sz w:val="14"/>
                <w:szCs w:val="14"/>
                <w:color w:val="auto"/>
              </w:rPr>
              <w:t>Revenue account</w:t>
            </w:r>
          </w:p>
        </w:tc>
        <w:tc>
          <w:tcPr>
            <w:tcW w:w="136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shd w:val="clear" w:color="auto" w:fill="D8D8D8"/>
          </w:tcPr>
          <w:p>
            <w:pPr>
              <w:spacing w:after="0"/>
              <w:rPr>
                <w:sz w:val="13"/>
                <w:szCs w:val="13"/>
                <w:color w:val="auto"/>
              </w:rPr>
            </w:pPr>
          </w:p>
        </w:tc>
        <w:tc>
          <w:tcPr>
            <w:tcW w:w="1400" w:type="dxa"/>
            <w:vAlign w:val="bottom"/>
            <w:tcBorders>
              <w:bottom w:val="single" w:sz="8" w:color="auto"/>
            </w:tcBorders>
            <w:shd w:val="clear" w:color="auto" w:fill="D8D8D8"/>
          </w:tcPr>
          <w:p>
            <w:pPr>
              <w:jc w:val="right"/>
              <w:ind w:right="270"/>
              <w:spacing w:after="0" w:line="157" w:lineRule="exact"/>
              <w:rPr>
                <w:sz w:val="20"/>
                <w:szCs w:val="20"/>
                <w:color w:val="auto"/>
              </w:rPr>
            </w:pPr>
            <w:r>
              <w:rPr>
                <w:rFonts w:ascii="Arial" w:cs="Arial" w:eastAsia="Arial" w:hAnsi="Arial"/>
                <w:sz w:val="14"/>
                <w:szCs w:val="14"/>
                <w:color w:val="auto"/>
              </w:rPr>
              <w:t>–</w:t>
            </w:r>
          </w:p>
        </w:tc>
        <w:tc>
          <w:tcPr>
            <w:tcW w:w="1580" w:type="dxa"/>
            <w:vAlign w:val="bottom"/>
            <w:tcBorders>
              <w:bottom w:val="single" w:sz="8" w:color="auto"/>
            </w:tcBorders>
          </w:tcPr>
          <w:p>
            <w:pPr>
              <w:jc w:val="right"/>
              <w:ind w:right="270"/>
              <w:spacing w:after="0" w:line="157"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6"/>
        </w:trPr>
        <w:tc>
          <w:tcPr>
            <w:tcW w:w="5600" w:type="dxa"/>
            <w:vAlign w:val="bottom"/>
            <w:tcBorders>
              <w:bottom w:val="single" w:sz="8" w:color="auto"/>
            </w:tcBorders>
            <w:gridSpan w:val="2"/>
          </w:tcPr>
          <w:p>
            <w:pPr>
              <w:spacing w:after="0" w:line="155" w:lineRule="exact"/>
              <w:rPr>
                <w:sz w:val="20"/>
                <w:szCs w:val="20"/>
                <w:color w:val="auto"/>
              </w:rPr>
            </w:pPr>
            <w:r>
              <w:rPr>
                <w:rFonts w:ascii="Arial" w:cs="Arial" w:eastAsia="Arial" w:hAnsi="Arial"/>
                <w:sz w:val="14"/>
                <w:szCs w:val="14"/>
                <w:color w:val="auto"/>
              </w:rPr>
              <w:t>Total equity</w:t>
            </w:r>
          </w:p>
        </w:tc>
        <w:tc>
          <w:tcPr>
            <w:tcW w:w="136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shd w:val="clear" w:color="auto" w:fill="D8D8D8"/>
          </w:tcPr>
          <w:p>
            <w:pPr>
              <w:spacing w:after="0"/>
              <w:rPr>
                <w:sz w:val="13"/>
                <w:szCs w:val="13"/>
                <w:color w:val="auto"/>
              </w:rPr>
            </w:pPr>
          </w:p>
        </w:tc>
        <w:tc>
          <w:tcPr>
            <w:tcW w:w="1400" w:type="dxa"/>
            <w:vAlign w:val="bottom"/>
            <w:tcBorders>
              <w:bottom w:val="single" w:sz="8" w:color="auto"/>
            </w:tcBorders>
            <w:shd w:val="clear" w:color="auto" w:fill="D8D8D8"/>
          </w:tcPr>
          <w:p>
            <w:pPr>
              <w:jc w:val="right"/>
              <w:ind w:right="270"/>
              <w:spacing w:after="0" w:line="155" w:lineRule="exact"/>
              <w:rPr>
                <w:sz w:val="20"/>
                <w:szCs w:val="20"/>
                <w:color w:val="auto"/>
              </w:rPr>
            </w:pPr>
            <w:r>
              <w:rPr>
                <w:rFonts w:ascii="Arial" w:cs="Arial" w:eastAsia="Arial" w:hAnsi="Arial"/>
                <w:sz w:val="14"/>
                <w:szCs w:val="14"/>
                <w:color w:val="auto"/>
              </w:rPr>
              <w:t>–</w:t>
            </w:r>
          </w:p>
        </w:tc>
        <w:tc>
          <w:tcPr>
            <w:tcW w:w="1580" w:type="dxa"/>
            <w:vAlign w:val="bottom"/>
            <w:tcBorders>
              <w:bottom w:val="single" w:sz="8" w:color="auto"/>
            </w:tcBorders>
          </w:tcPr>
          <w:p>
            <w:pPr>
              <w:jc w:val="right"/>
              <w:ind w:right="270"/>
              <w:spacing w:after="0" w:line="155"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6"/>
        </w:trPr>
        <w:tc>
          <w:tcPr>
            <w:tcW w:w="5600" w:type="dxa"/>
            <w:vAlign w:val="bottom"/>
            <w:gridSpan w:val="2"/>
          </w:tcPr>
          <w:p>
            <w:pPr>
              <w:spacing w:after="0" w:line="155" w:lineRule="exact"/>
              <w:rPr>
                <w:sz w:val="20"/>
                <w:szCs w:val="20"/>
                <w:color w:val="auto"/>
              </w:rPr>
            </w:pPr>
            <w:r>
              <w:rPr>
                <w:rFonts w:ascii="Arial" w:cs="Arial" w:eastAsia="Arial" w:hAnsi="Arial"/>
                <w:sz w:val="14"/>
                <w:szCs w:val="14"/>
                <w:color w:val="auto"/>
              </w:rPr>
              <w:t>Total liabilities and equity</w:t>
            </w:r>
          </w:p>
        </w:tc>
        <w:tc>
          <w:tcPr>
            <w:tcW w:w="136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60" w:type="dxa"/>
            <w:vAlign w:val="bottom"/>
            <w:shd w:val="clear" w:color="auto" w:fill="D8D8D8"/>
          </w:tcPr>
          <w:p>
            <w:pPr>
              <w:spacing w:after="0"/>
              <w:rPr>
                <w:sz w:val="13"/>
                <w:szCs w:val="13"/>
                <w:color w:val="auto"/>
              </w:rPr>
            </w:pPr>
          </w:p>
        </w:tc>
        <w:tc>
          <w:tcPr>
            <w:tcW w:w="1400" w:type="dxa"/>
            <w:vAlign w:val="bottom"/>
            <w:shd w:val="clear" w:color="auto" w:fill="D8D8D8"/>
          </w:tcPr>
          <w:p>
            <w:pPr>
              <w:jc w:val="right"/>
              <w:ind w:right="270"/>
              <w:spacing w:after="0" w:line="155" w:lineRule="exact"/>
              <w:rPr>
                <w:sz w:val="20"/>
                <w:szCs w:val="20"/>
                <w:color w:val="auto"/>
              </w:rPr>
            </w:pPr>
            <w:r>
              <w:rPr>
                <w:rFonts w:ascii="Arial" w:cs="Arial" w:eastAsia="Arial" w:hAnsi="Arial"/>
                <w:sz w:val="14"/>
                <w:szCs w:val="14"/>
                <w:color w:val="auto"/>
              </w:rPr>
              <w:t>1</w:t>
            </w:r>
          </w:p>
        </w:tc>
        <w:tc>
          <w:tcPr>
            <w:tcW w:w="1580" w:type="dxa"/>
            <w:vAlign w:val="bottom"/>
          </w:tcPr>
          <w:p>
            <w:pPr>
              <w:jc w:val="right"/>
              <w:ind w:right="270"/>
              <w:spacing w:after="0" w:line="155" w:lineRule="exact"/>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8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15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1" w:lineRule="exact"/>
        <w:rPr>
          <w:sz w:val="20"/>
          <w:szCs w:val="20"/>
          <w:color w:val="auto"/>
        </w:rPr>
      </w:pPr>
    </w:p>
    <w:p>
      <w:pPr>
        <w:spacing w:after="0"/>
        <w:rPr>
          <w:sz w:val="20"/>
          <w:szCs w:val="20"/>
          <w:color w:val="auto"/>
        </w:rPr>
      </w:pPr>
      <w:r>
        <w:rPr>
          <w:rFonts w:ascii="Arial" w:cs="Arial" w:eastAsia="Arial" w:hAnsi="Arial"/>
          <w:sz w:val="14"/>
          <w:szCs w:val="14"/>
          <w:color w:val="auto"/>
        </w:rPr>
        <w:t>Signed on behalf of Computershare Trustees (Jersey) Limited</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as Trustee of the Royal Dutch Shell Dividend Access Trust</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500" w:type="dxa"/>
            <w:vAlign w:val="bottom"/>
          </w:tcPr>
          <w:p>
            <w:pPr>
              <w:spacing w:after="0"/>
              <w:rPr>
                <w:sz w:val="20"/>
                <w:szCs w:val="20"/>
                <w:color w:val="auto"/>
              </w:rPr>
            </w:pPr>
            <w:r>
              <w:rPr>
                <w:rFonts w:ascii="Arial" w:cs="Arial" w:eastAsia="Arial" w:hAnsi="Arial"/>
                <w:sz w:val="14"/>
                <w:szCs w:val="14"/>
                <w:color w:val="auto"/>
              </w:rPr>
              <w:t>/s/ Lisa Knowles</w:t>
            </w:r>
          </w:p>
        </w:tc>
        <w:tc>
          <w:tcPr>
            <w:tcW w:w="2460" w:type="dxa"/>
            <w:vAlign w:val="bottom"/>
          </w:tcPr>
          <w:p>
            <w:pPr>
              <w:spacing w:after="0"/>
              <w:rPr>
                <w:sz w:val="16"/>
                <w:szCs w:val="16"/>
                <w:color w:val="auto"/>
              </w:rPr>
            </w:pPr>
          </w:p>
        </w:tc>
        <w:tc>
          <w:tcPr>
            <w:tcW w:w="5460" w:type="dxa"/>
            <w:vAlign w:val="bottom"/>
          </w:tcPr>
          <w:p>
            <w:pPr>
              <w:spacing w:after="0"/>
              <w:rPr>
                <w:sz w:val="20"/>
                <w:szCs w:val="20"/>
                <w:color w:val="auto"/>
              </w:rPr>
            </w:pPr>
            <w:r>
              <w:rPr>
                <w:rFonts w:ascii="Arial" w:cs="Arial" w:eastAsia="Arial" w:hAnsi="Arial"/>
                <w:sz w:val="14"/>
                <w:szCs w:val="14"/>
                <w:color w:val="auto"/>
              </w:rPr>
              <w:t>/s/ Martin Fish</w:t>
            </w:r>
          </w:p>
        </w:tc>
        <w:tc>
          <w:tcPr>
            <w:tcW w:w="0" w:type="dxa"/>
            <w:vAlign w:val="bottom"/>
          </w:tcPr>
          <w:p>
            <w:pPr>
              <w:spacing w:after="0"/>
              <w:rPr>
                <w:sz w:val="1"/>
                <w:szCs w:val="1"/>
                <w:color w:val="auto"/>
              </w:rPr>
            </w:pPr>
          </w:p>
        </w:tc>
      </w:tr>
      <w:tr>
        <w:trPr>
          <w:trHeight w:val="93"/>
        </w:trPr>
        <w:tc>
          <w:tcPr>
            <w:tcW w:w="3500" w:type="dxa"/>
            <w:vAlign w:val="bottom"/>
            <w:tcBorders>
              <w:bottom w:val="single" w:sz="8" w:color="auto"/>
            </w:tcBorders>
          </w:tcPr>
          <w:p>
            <w:pPr>
              <w:spacing w:after="0"/>
              <w:rPr>
                <w:sz w:val="8"/>
                <w:szCs w:val="8"/>
                <w:color w:val="auto"/>
              </w:rPr>
            </w:pPr>
          </w:p>
        </w:tc>
        <w:tc>
          <w:tcPr>
            <w:tcW w:w="2460" w:type="dxa"/>
            <w:vAlign w:val="bottom"/>
          </w:tcPr>
          <w:p>
            <w:pPr>
              <w:spacing w:after="0"/>
              <w:rPr>
                <w:sz w:val="8"/>
                <w:szCs w:val="8"/>
                <w:color w:val="auto"/>
              </w:rPr>
            </w:pPr>
          </w:p>
        </w:tc>
        <w:tc>
          <w:tcPr>
            <w:tcW w:w="54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3500" w:type="dxa"/>
            <w:vAlign w:val="bottom"/>
            <w:vMerge w:val="restart"/>
          </w:tcPr>
          <w:p>
            <w:pPr>
              <w:spacing w:after="0"/>
              <w:rPr>
                <w:sz w:val="20"/>
                <w:szCs w:val="20"/>
                <w:color w:val="auto"/>
              </w:rPr>
            </w:pPr>
            <w:r>
              <w:rPr>
                <w:rFonts w:ascii="Arial" w:cs="Arial" w:eastAsia="Arial" w:hAnsi="Arial"/>
                <w:sz w:val="14"/>
                <w:szCs w:val="14"/>
                <w:b w:val="1"/>
                <w:bCs w:val="1"/>
                <w:color w:val="auto"/>
              </w:rPr>
              <w:t>Lisa Knowles</w:t>
            </w:r>
          </w:p>
        </w:tc>
        <w:tc>
          <w:tcPr>
            <w:tcW w:w="2460" w:type="dxa"/>
            <w:vAlign w:val="bottom"/>
          </w:tcPr>
          <w:p>
            <w:pPr>
              <w:spacing w:after="0" w:line="20" w:lineRule="exact"/>
              <w:rPr>
                <w:sz w:val="1"/>
                <w:szCs w:val="1"/>
                <w:color w:val="auto"/>
              </w:rPr>
            </w:pPr>
          </w:p>
        </w:tc>
        <w:tc>
          <w:tcPr>
            <w:tcW w:w="5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3500" w:type="dxa"/>
            <w:vAlign w:val="bottom"/>
            <w:vMerge w:val="continue"/>
          </w:tcPr>
          <w:p>
            <w:pPr>
              <w:spacing w:after="0"/>
              <w:rPr>
                <w:sz w:val="12"/>
                <w:szCs w:val="12"/>
                <w:color w:val="auto"/>
              </w:rPr>
            </w:pPr>
          </w:p>
        </w:tc>
        <w:tc>
          <w:tcPr>
            <w:tcW w:w="2460" w:type="dxa"/>
            <w:vAlign w:val="bottom"/>
          </w:tcPr>
          <w:p>
            <w:pPr>
              <w:spacing w:after="0"/>
              <w:rPr>
                <w:sz w:val="12"/>
                <w:szCs w:val="12"/>
                <w:color w:val="auto"/>
              </w:rPr>
            </w:pPr>
          </w:p>
        </w:tc>
        <w:tc>
          <w:tcPr>
            <w:tcW w:w="5460" w:type="dxa"/>
            <w:vAlign w:val="bottom"/>
          </w:tcPr>
          <w:p>
            <w:pPr>
              <w:spacing w:after="0" w:line="147" w:lineRule="exact"/>
              <w:rPr>
                <w:sz w:val="20"/>
                <w:szCs w:val="20"/>
                <w:color w:val="auto"/>
              </w:rPr>
            </w:pPr>
            <w:r>
              <w:rPr>
                <w:rFonts w:ascii="Arial" w:cs="Arial" w:eastAsia="Arial" w:hAnsi="Arial"/>
                <w:sz w:val="14"/>
                <w:szCs w:val="14"/>
                <w:b w:val="1"/>
                <w:bCs w:val="1"/>
                <w:color w:val="auto"/>
              </w:rPr>
              <w:t>Martin Fish</w:t>
            </w:r>
          </w:p>
        </w:tc>
        <w:tc>
          <w:tcPr>
            <w:tcW w:w="0" w:type="dxa"/>
            <w:vAlign w:val="bottom"/>
          </w:tcPr>
          <w:p>
            <w:pPr>
              <w:spacing w:after="0"/>
              <w:rPr>
                <w:sz w:val="1"/>
                <w:szCs w:val="1"/>
                <w:color w:val="auto"/>
              </w:rPr>
            </w:pPr>
          </w:p>
        </w:tc>
      </w:tr>
      <w:tr>
        <w:trPr>
          <w:trHeight w:val="172"/>
        </w:trPr>
        <w:tc>
          <w:tcPr>
            <w:tcW w:w="3500" w:type="dxa"/>
            <w:vAlign w:val="bottom"/>
          </w:tcPr>
          <w:p>
            <w:pPr>
              <w:spacing w:after="0"/>
              <w:rPr>
                <w:sz w:val="20"/>
                <w:szCs w:val="20"/>
                <w:color w:val="auto"/>
              </w:rPr>
            </w:pPr>
            <w:r>
              <w:rPr>
                <w:rFonts w:ascii="Arial" w:cs="Arial" w:eastAsia="Arial" w:hAnsi="Arial"/>
                <w:sz w:val="14"/>
                <w:szCs w:val="14"/>
                <w:color w:val="auto"/>
              </w:rPr>
              <w:t>March 11, 2015</w:t>
            </w:r>
          </w:p>
        </w:tc>
        <w:tc>
          <w:tcPr>
            <w:tcW w:w="2460" w:type="dxa"/>
            <w:vAlign w:val="bottom"/>
          </w:tcPr>
          <w:p>
            <w:pPr>
              <w:spacing w:after="0"/>
              <w:rPr>
                <w:sz w:val="14"/>
                <w:szCs w:val="14"/>
                <w:color w:val="auto"/>
              </w:rPr>
            </w:pPr>
          </w:p>
        </w:tc>
        <w:tc>
          <w:tcPr>
            <w:tcW w:w="546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77" w:name="page178"/>
    <w:bookmarkEnd w:id="1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300355</wp:posOffset>
            </wp:positionV>
            <wp:extent cx="8890" cy="462915"/>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33">
                      <a:extLst>
                        <a:ext uri="{28A0092B-C50C-407E-A947-70E740481C1C}"/>
                      </a:extLst>
                    </a:blip>
                    <a:srcRect/>
                    <a:stretch>
                      <a:fillRect/>
                    </a:stretch>
                  </pic:blipFill>
                  <pic:spPr bwMode="auto">
                    <a:xfrm>
                      <a:off x="0" y="0"/>
                      <a:ext cx="8890" cy="462915"/>
                    </a:xfrm>
                    <a:prstGeom prst="rect">
                      <a:avLst/>
                    </a:prstGeom>
                    <a:noFill/>
                  </pic:spPr>
                </pic:pic>
              </a:graphicData>
            </a:graphic>
          </wp:anchor>
        </w:drawing>
      </w:r>
    </w:p>
    <w:p>
      <w:pPr>
        <w:spacing w:after="0" w:line="200" w:lineRule="exact"/>
        <w:rPr>
          <w:sz w:val="20"/>
          <w:szCs w:val="20"/>
          <w:color w:val="auto"/>
        </w:rPr>
      </w:pP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565"/>
        </w:trPr>
        <w:tc>
          <w:tcPr>
            <w:tcW w:w="20" w:type="dxa"/>
            <w:vAlign w:val="bottom"/>
          </w:tcPr>
          <w:p>
            <w:pPr>
              <w:spacing w:after="0"/>
              <w:rPr>
                <w:sz w:val="24"/>
                <w:szCs w:val="24"/>
                <w:color w:val="auto"/>
              </w:rPr>
            </w:pPr>
          </w:p>
        </w:tc>
        <w:tc>
          <w:tcPr>
            <w:tcW w:w="1720" w:type="dxa"/>
            <w:vAlign w:val="bottom"/>
            <w:shd w:val="clear" w:color="auto" w:fill="FF8B00"/>
          </w:tcPr>
          <w:p>
            <w:pPr>
              <w:jc w:val="right"/>
              <w:ind w:right="1230"/>
              <w:spacing w:after="0"/>
              <w:rPr>
                <w:sz w:val="20"/>
                <w:szCs w:val="20"/>
                <w:color w:val="auto"/>
              </w:rPr>
            </w:pPr>
            <w:r>
              <w:rPr>
                <w:rFonts w:ascii="Arial" w:cs="Arial" w:eastAsia="Arial" w:hAnsi="Arial"/>
                <w:sz w:val="11"/>
                <w:szCs w:val="11"/>
                <w:b w:val="1"/>
                <w:bCs w:val="1"/>
                <w:color w:val="333333"/>
              </w:rPr>
              <w:t>176</w:t>
            </w:r>
          </w:p>
        </w:tc>
        <w:tc>
          <w:tcPr>
            <w:tcW w:w="3840" w:type="dxa"/>
            <w:vAlign w:val="bottom"/>
            <w:shd w:val="clear" w:color="auto" w:fill="FF8B00"/>
          </w:tcPr>
          <w:p>
            <w:pPr>
              <w:jc w:val="right"/>
              <w:ind w:right="736"/>
              <w:spacing w:after="0"/>
              <w:rPr>
                <w:sz w:val="20"/>
                <w:szCs w:val="20"/>
                <w:color w:val="auto"/>
              </w:rPr>
            </w:pPr>
            <w:r>
              <w:rPr>
                <w:rFonts w:ascii="Arial" w:cs="Arial" w:eastAsia="Arial" w:hAnsi="Arial"/>
                <w:sz w:val="13"/>
                <w:szCs w:val="13"/>
                <w:color w:val="333333"/>
              </w:rPr>
              <w:t>FINANCIAL STATEMENTS AND SUPPLEMENTS</w:t>
            </w:r>
          </w:p>
        </w:tc>
        <w:tc>
          <w:tcPr>
            <w:tcW w:w="13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720" w:type="dxa"/>
            <w:vAlign w:val="bottom"/>
            <w:shd w:val="clear" w:color="auto" w:fill="FF8B00"/>
          </w:tcPr>
          <w:p>
            <w:pPr>
              <w:spacing w:after="0"/>
              <w:rPr>
                <w:sz w:val="14"/>
                <w:szCs w:val="14"/>
                <w:color w:val="auto"/>
              </w:rPr>
            </w:pPr>
          </w:p>
        </w:tc>
        <w:tc>
          <w:tcPr>
            <w:tcW w:w="3840" w:type="dxa"/>
            <w:vAlign w:val="bottom"/>
            <w:shd w:val="clear" w:color="auto" w:fill="FF8B00"/>
          </w:tcPr>
          <w:p>
            <w:pPr>
              <w:spacing w:after="0"/>
              <w:rPr>
                <w:sz w:val="14"/>
                <w:szCs w:val="14"/>
                <w:color w:val="auto"/>
              </w:rPr>
            </w:pPr>
          </w:p>
        </w:tc>
        <w:tc>
          <w:tcPr>
            <w:tcW w:w="1380" w:type="dxa"/>
            <w:vAlign w:val="bottom"/>
            <w:vMerge w:val="restart"/>
          </w:tcPr>
          <w:p>
            <w:pPr>
              <w:spacing w:after="0"/>
              <w:rPr>
                <w:sz w:val="14"/>
                <w:szCs w:val="14"/>
                <w:color w:val="auto"/>
              </w:rPr>
            </w:pPr>
          </w:p>
        </w:tc>
        <w:tc>
          <w:tcPr>
            <w:tcW w:w="1340" w:type="dxa"/>
            <w:vAlign w:val="bottom"/>
          </w:tcPr>
          <w:p>
            <w:pPr>
              <w:spacing w:after="0"/>
              <w:rPr>
                <w:sz w:val="14"/>
                <w:szCs w:val="14"/>
                <w:color w:val="auto"/>
              </w:rPr>
            </w:pPr>
          </w:p>
        </w:tc>
        <w:tc>
          <w:tcPr>
            <w:tcW w:w="3140" w:type="dxa"/>
            <w:vAlign w:val="bottom"/>
            <w:gridSpan w:val="3"/>
            <w:vMerge w:val="restart"/>
          </w:tcPr>
          <w:p>
            <w:pPr>
              <w:ind w:left="720"/>
              <w:spacing w:after="0"/>
              <w:rPr>
                <w:sz w:val="20"/>
                <w:szCs w:val="20"/>
                <w:color w:val="auto"/>
              </w:rPr>
            </w:pPr>
            <w:r>
              <w:rPr>
                <w:rFonts w:ascii="Arial" w:cs="Arial" w:eastAsia="Arial" w:hAnsi="Arial"/>
                <w:sz w:val="11"/>
                <w:szCs w:val="11"/>
                <w:color w:val="auto"/>
                <w:w w:val="97"/>
              </w:rPr>
              <w:t>SHELL ANNUAL REPORT AND FORM 20-F 2014</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1720" w:type="dxa"/>
            <w:vAlign w:val="bottom"/>
          </w:tcPr>
          <w:p>
            <w:pPr>
              <w:spacing w:after="0"/>
              <w:rPr>
                <w:sz w:val="10"/>
                <w:szCs w:val="10"/>
                <w:color w:val="auto"/>
              </w:rPr>
            </w:pPr>
          </w:p>
        </w:tc>
        <w:tc>
          <w:tcPr>
            <w:tcW w:w="3840" w:type="dxa"/>
            <w:vAlign w:val="bottom"/>
          </w:tcPr>
          <w:p>
            <w:pPr>
              <w:jc w:val="right"/>
              <w:ind w:right="736"/>
              <w:spacing w:after="0" w:line="119" w:lineRule="exact"/>
              <w:rPr>
                <w:sz w:val="20"/>
                <w:szCs w:val="20"/>
                <w:color w:val="auto"/>
              </w:rPr>
            </w:pPr>
            <w:r>
              <w:rPr>
                <w:rFonts w:ascii="Arial" w:cs="Arial" w:eastAsia="Arial" w:hAnsi="Arial"/>
                <w:sz w:val="11"/>
                <w:szCs w:val="11"/>
                <w:color w:val="auto"/>
              </w:rPr>
              <w:t>ROYAL DUTCH SHELL DIVIDEND ACCESS TRUST</w:t>
            </w:r>
          </w:p>
        </w:tc>
        <w:tc>
          <w:tcPr>
            <w:tcW w:w="1380" w:type="dxa"/>
            <w:vAlign w:val="bottom"/>
            <w:vMerge w:val="continue"/>
          </w:tcPr>
          <w:p>
            <w:pPr>
              <w:spacing w:after="0"/>
              <w:rPr>
                <w:sz w:val="10"/>
                <w:szCs w:val="10"/>
                <w:color w:val="auto"/>
              </w:rPr>
            </w:pPr>
          </w:p>
        </w:tc>
        <w:tc>
          <w:tcPr>
            <w:tcW w:w="1340" w:type="dxa"/>
            <w:vAlign w:val="bottom"/>
          </w:tcPr>
          <w:p>
            <w:pPr>
              <w:spacing w:after="0"/>
              <w:rPr>
                <w:sz w:val="10"/>
                <w:szCs w:val="10"/>
                <w:color w:val="auto"/>
              </w:rPr>
            </w:pPr>
          </w:p>
        </w:tc>
        <w:tc>
          <w:tcPr>
            <w:tcW w:w="31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1720" w:type="dxa"/>
            <w:vAlign w:val="bottom"/>
          </w:tcPr>
          <w:p>
            <w:pPr>
              <w:spacing w:after="0"/>
              <w:rPr>
                <w:sz w:val="10"/>
                <w:szCs w:val="10"/>
                <w:color w:val="auto"/>
              </w:rPr>
            </w:pPr>
          </w:p>
        </w:tc>
        <w:tc>
          <w:tcPr>
            <w:tcW w:w="5220" w:type="dxa"/>
            <w:vAlign w:val="bottom"/>
            <w:gridSpan w:val="2"/>
          </w:tcPr>
          <w:p>
            <w:pPr>
              <w:jc w:val="right"/>
              <w:ind w:right="2117"/>
              <w:spacing w:after="0" w:line="125" w:lineRule="exact"/>
              <w:rPr>
                <w:sz w:val="20"/>
                <w:szCs w:val="20"/>
                <w:color w:val="auto"/>
              </w:rPr>
            </w:pPr>
            <w:r>
              <w:rPr>
                <w:rFonts w:ascii="Arial" w:cs="Arial" w:eastAsia="Arial" w:hAnsi="Arial"/>
                <w:sz w:val="11"/>
                <w:szCs w:val="11"/>
                <w:color w:val="auto"/>
              </w:rPr>
              <w:t>FINANCIAL STATEMENTS</w:t>
            </w:r>
          </w:p>
        </w:tc>
        <w:tc>
          <w:tcPr>
            <w:tcW w:w="134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1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940" w:type="dxa"/>
            <w:vAlign w:val="bottom"/>
            <w:gridSpan w:val="3"/>
            <w:shd w:val="clear" w:color="auto" w:fill="333333"/>
          </w:tcPr>
          <w:p>
            <w:pPr>
              <w:ind w:left="60"/>
              <w:spacing w:after="0" w:line="162" w:lineRule="exact"/>
              <w:rPr>
                <w:sz w:val="20"/>
                <w:szCs w:val="20"/>
                <w:color w:val="auto"/>
              </w:rPr>
            </w:pPr>
            <w:r>
              <w:rPr>
                <w:rFonts w:ascii="Arial" w:cs="Arial" w:eastAsia="Arial" w:hAnsi="Arial"/>
                <w:sz w:val="15"/>
                <w:szCs w:val="15"/>
                <w:b w:val="1"/>
                <w:bCs w:val="1"/>
                <w:color w:val="FFFFFF"/>
              </w:rPr>
              <w:t>STATEMENT OF CHANGES IN EQUITY</w:t>
            </w:r>
          </w:p>
        </w:tc>
        <w:tc>
          <w:tcPr>
            <w:tcW w:w="1340" w:type="dxa"/>
            <w:vAlign w:val="bottom"/>
            <w:shd w:val="clear" w:color="auto" w:fill="333333"/>
          </w:tcPr>
          <w:p>
            <w:pPr>
              <w:spacing w:after="0"/>
              <w:rPr>
                <w:sz w:val="14"/>
                <w:szCs w:val="14"/>
                <w:color w:val="auto"/>
              </w:rPr>
            </w:pPr>
          </w:p>
        </w:tc>
        <w:tc>
          <w:tcPr>
            <w:tcW w:w="1460" w:type="dxa"/>
            <w:vAlign w:val="bottom"/>
            <w:shd w:val="clear" w:color="auto" w:fill="333333"/>
          </w:tcPr>
          <w:p>
            <w:pPr>
              <w:spacing w:after="0"/>
              <w:rPr>
                <w:sz w:val="14"/>
                <w:szCs w:val="14"/>
                <w:color w:val="auto"/>
              </w:rPr>
            </w:pPr>
          </w:p>
        </w:tc>
        <w:tc>
          <w:tcPr>
            <w:tcW w:w="1660" w:type="dxa"/>
            <w:vAlign w:val="bottom"/>
            <w:shd w:val="clear" w:color="auto" w:fill="333333"/>
          </w:tcPr>
          <w:p>
            <w:pPr>
              <w:jc w:val="right"/>
              <w:ind w:right="369"/>
              <w:spacing w:after="0" w:line="162" w:lineRule="exact"/>
              <w:rPr>
                <w:sz w:val="20"/>
                <w:szCs w:val="20"/>
                <w:color w:val="auto"/>
              </w:rPr>
            </w:pPr>
            <w:r>
              <w:rPr>
                <w:rFonts w:ascii="Arial" w:cs="Arial" w:eastAsia="Arial" w:hAnsi="Arial"/>
                <w:sz w:val="15"/>
                <w:szCs w:val="15"/>
                <w:color w:val="FFFFFF"/>
              </w:rPr>
              <w:t>£ MILLION</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720" w:type="dxa"/>
            <w:vAlign w:val="bottom"/>
          </w:tcPr>
          <w:p>
            <w:pPr>
              <w:spacing w:after="0"/>
              <w:rPr>
                <w:sz w:val="11"/>
                <w:szCs w:val="11"/>
                <w:color w:val="auto"/>
              </w:rPr>
            </w:pPr>
          </w:p>
        </w:tc>
        <w:tc>
          <w:tcPr>
            <w:tcW w:w="384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1340" w:type="dxa"/>
            <w:vAlign w:val="bottom"/>
          </w:tcPr>
          <w:p>
            <w:pPr>
              <w:jc w:val="right"/>
              <w:ind w:right="489"/>
              <w:spacing w:after="0" w:line="129" w:lineRule="exact"/>
              <w:rPr>
                <w:sz w:val="20"/>
                <w:szCs w:val="20"/>
                <w:color w:val="auto"/>
              </w:rPr>
            </w:pPr>
            <w:r>
              <w:rPr>
                <w:rFonts w:ascii="Arial" w:cs="Arial" w:eastAsia="Arial" w:hAnsi="Arial"/>
                <w:sz w:val="13"/>
                <w:szCs w:val="13"/>
                <w:color w:val="auto"/>
              </w:rPr>
              <w:t>Capital</w:t>
            </w:r>
          </w:p>
        </w:tc>
        <w:tc>
          <w:tcPr>
            <w:tcW w:w="1460" w:type="dxa"/>
            <w:vAlign w:val="bottom"/>
          </w:tcPr>
          <w:p>
            <w:pPr>
              <w:jc w:val="right"/>
              <w:ind w:right="470"/>
              <w:spacing w:after="0" w:line="129" w:lineRule="exact"/>
              <w:rPr>
                <w:sz w:val="20"/>
                <w:szCs w:val="20"/>
                <w:color w:val="auto"/>
              </w:rPr>
            </w:pPr>
            <w:r>
              <w:rPr>
                <w:rFonts w:ascii="Arial" w:cs="Arial" w:eastAsia="Arial" w:hAnsi="Arial"/>
                <w:sz w:val="13"/>
                <w:szCs w:val="13"/>
                <w:color w:val="auto"/>
              </w:rPr>
              <w:t>Revenue</w:t>
            </w:r>
          </w:p>
        </w:tc>
        <w:tc>
          <w:tcPr>
            <w:tcW w:w="1680" w:type="dxa"/>
            <w:vAlign w:val="bottom"/>
            <w:gridSpan w:val="2"/>
          </w:tcPr>
          <w:p>
            <w:pPr>
              <w:jc w:val="right"/>
              <w:ind w:right="460"/>
              <w:spacing w:after="0" w:line="129" w:lineRule="exact"/>
              <w:rPr>
                <w:sz w:val="20"/>
                <w:szCs w:val="20"/>
                <w:color w:val="auto"/>
              </w:rPr>
            </w:pPr>
            <w:r>
              <w:rPr>
                <w:rFonts w:ascii="Arial" w:cs="Arial" w:eastAsia="Arial" w:hAnsi="Arial"/>
                <w:sz w:val="13"/>
                <w:szCs w:val="13"/>
                <w:color w:val="auto"/>
              </w:rPr>
              <w:t>Total</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720" w:type="dxa"/>
            <w:vAlign w:val="bottom"/>
            <w:tcBorders>
              <w:bottom w:val="single" w:sz="8" w:color="auto"/>
            </w:tcBorders>
          </w:tcPr>
          <w:p>
            <w:pPr>
              <w:spacing w:after="0"/>
              <w:rPr>
                <w:sz w:val="13"/>
                <w:szCs w:val="13"/>
                <w:color w:val="auto"/>
              </w:rPr>
            </w:pPr>
          </w:p>
        </w:tc>
        <w:tc>
          <w:tcPr>
            <w:tcW w:w="3840" w:type="dxa"/>
            <w:vAlign w:val="bottom"/>
            <w:tcBorders>
              <w:bottom w:val="single" w:sz="8" w:color="auto"/>
            </w:tcBorders>
          </w:tcPr>
          <w:p>
            <w:pPr>
              <w:spacing w:after="0"/>
              <w:rPr>
                <w:sz w:val="13"/>
                <w:szCs w:val="13"/>
                <w:color w:val="auto"/>
              </w:rPr>
            </w:pPr>
          </w:p>
        </w:tc>
        <w:tc>
          <w:tcPr>
            <w:tcW w:w="1380" w:type="dxa"/>
            <w:vAlign w:val="bottom"/>
            <w:tcBorders>
              <w:bottom w:val="single" w:sz="8" w:color="auto"/>
            </w:tcBorders>
          </w:tcPr>
          <w:p>
            <w:pPr>
              <w:jc w:val="right"/>
              <w:ind w:right="577"/>
              <w:spacing w:after="0"/>
              <w:rPr>
                <w:sz w:val="20"/>
                <w:szCs w:val="20"/>
                <w:color w:val="auto"/>
              </w:rPr>
            </w:pPr>
            <w:r>
              <w:rPr>
                <w:rFonts w:ascii="Arial" w:cs="Arial" w:eastAsia="Arial" w:hAnsi="Arial"/>
                <w:sz w:val="13"/>
                <w:szCs w:val="13"/>
                <w:color w:val="auto"/>
              </w:rPr>
              <w:t>NOTES</w:t>
            </w:r>
          </w:p>
        </w:tc>
        <w:tc>
          <w:tcPr>
            <w:tcW w:w="1340" w:type="dxa"/>
            <w:vAlign w:val="bottom"/>
            <w:tcBorders>
              <w:bottom w:val="single" w:sz="8" w:color="auto"/>
            </w:tcBorders>
          </w:tcPr>
          <w:p>
            <w:pPr>
              <w:jc w:val="right"/>
              <w:ind w:right="489"/>
              <w:spacing w:after="0"/>
              <w:rPr>
                <w:sz w:val="20"/>
                <w:szCs w:val="20"/>
                <w:color w:val="auto"/>
              </w:rPr>
            </w:pPr>
            <w:r>
              <w:rPr>
                <w:rFonts w:ascii="Arial" w:cs="Arial" w:eastAsia="Arial" w:hAnsi="Arial"/>
                <w:sz w:val="13"/>
                <w:szCs w:val="13"/>
                <w:color w:val="auto"/>
              </w:rPr>
              <w:t>account</w:t>
            </w:r>
          </w:p>
        </w:tc>
        <w:tc>
          <w:tcPr>
            <w:tcW w:w="1460" w:type="dxa"/>
            <w:vAlign w:val="bottom"/>
            <w:tcBorders>
              <w:bottom w:val="single" w:sz="8" w:color="auto"/>
            </w:tcBorders>
          </w:tcPr>
          <w:p>
            <w:pPr>
              <w:jc w:val="right"/>
              <w:ind w:right="470"/>
              <w:spacing w:after="0"/>
              <w:rPr>
                <w:sz w:val="20"/>
                <w:szCs w:val="20"/>
                <w:color w:val="auto"/>
              </w:rPr>
            </w:pPr>
            <w:r>
              <w:rPr>
                <w:rFonts w:ascii="Arial" w:cs="Arial" w:eastAsia="Arial" w:hAnsi="Arial"/>
                <w:sz w:val="13"/>
                <w:szCs w:val="13"/>
                <w:color w:val="auto"/>
              </w:rPr>
              <w:t>account</w:t>
            </w:r>
          </w:p>
        </w:tc>
        <w:tc>
          <w:tcPr>
            <w:tcW w:w="1660" w:type="dxa"/>
            <w:vAlign w:val="bottom"/>
            <w:tcBorders>
              <w:bottom w:val="single" w:sz="8" w:color="auto"/>
            </w:tcBorders>
          </w:tcPr>
          <w:p>
            <w:pPr>
              <w:jc w:val="right"/>
              <w:ind w:right="369"/>
              <w:spacing w:after="0"/>
              <w:rPr>
                <w:sz w:val="20"/>
                <w:szCs w:val="20"/>
                <w:color w:val="auto"/>
              </w:rPr>
            </w:pPr>
            <w:r>
              <w:rPr>
                <w:rFonts w:ascii="Arial" w:cs="Arial" w:eastAsia="Arial" w:hAnsi="Arial"/>
                <w:sz w:val="13"/>
                <w:szCs w:val="13"/>
                <w:color w:val="auto"/>
              </w:rPr>
              <w:t>equity</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720" w:type="dxa"/>
            <w:vAlign w:val="bottom"/>
          </w:tcPr>
          <w:p>
            <w:pPr>
              <w:spacing w:after="0"/>
              <w:rPr>
                <w:sz w:val="20"/>
                <w:szCs w:val="20"/>
                <w:color w:val="auto"/>
              </w:rPr>
            </w:pPr>
            <w:r>
              <w:rPr>
                <w:rFonts w:ascii="Arial" w:cs="Arial" w:eastAsia="Arial" w:hAnsi="Arial"/>
                <w:sz w:val="14"/>
                <w:szCs w:val="14"/>
                <w:b w:val="1"/>
                <w:bCs w:val="1"/>
                <w:color w:val="auto"/>
              </w:rPr>
              <w:t>At January 1, 2014</w:t>
            </w:r>
          </w:p>
        </w:tc>
        <w:tc>
          <w:tcPr>
            <w:tcW w:w="384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340" w:type="dxa"/>
            <w:vAlign w:val="bottom"/>
          </w:tcPr>
          <w:p>
            <w:pPr>
              <w:jc w:val="right"/>
              <w:ind w:right="489"/>
              <w:spacing w:after="0"/>
              <w:rPr>
                <w:sz w:val="20"/>
                <w:szCs w:val="20"/>
                <w:color w:val="auto"/>
              </w:rPr>
            </w:pPr>
            <w:r>
              <w:rPr>
                <w:rFonts w:ascii="Arial" w:cs="Arial" w:eastAsia="Arial" w:hAnsi="Arial"/>
                <w:sz w:val="14"/>
                <w:szCs w:val="14"/>
                <w:color w:val="auto"/>
              </w:rPr>
              <w:t>–</w:t>
            </w:r>
          </w:p>
        </w:tc>
        <w:tc>
          <w:tcPr>
            <w:tcW w:w="1460" w:type="dxa"/>
            <w:vAlign w:val="bottom"/>
          </w:tcPr>
          <w:p>
            <w:pPr>
              <w:jc w:val="right"/>
              <w:ind w:right="470"/>
              <w:spacing w:after="0"/>
              <w:rPr>
                <w:sz w:val="20"/>
                <w:szCs w:val="20"/>
                <w:color w:val="auto"/>
              </w:rPr>
            </w:pPr>
            <w:r>
              <w:rPr>
                <w:rFonts w:ascii="Arial" w:cs="Arial" w:eastAsia="Arial" w:hAnsi="Arial"/>
                <w:sz w:val="14"/>
                <w:szCs w:val="14"/>
                <w:color w:val="auto"/>
              </w:rPr>
              <w:t>–</w:t>
            </w:r>
          </w:p>
        </w:tc>
        <w:tc>
          <w:tcPr>
            <w:tcW w:w="1680" w:type="dxa"/>
            <w:vAlign w:val="bottom"/>
            <w:gridSpan w:val="2"/>
          </w:tcPr>
          <w:p>
            <w:pPr>
              <w:jc w:val="right"/>
              <w:ind w:right="4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6960" w:type="dxa"/>
            <w:vAlign w:val="bottom"/>
            <w:gridSpan w:val="4"/>
          </w:tcPr>
          <w:p>
            <w:pPr>
              <w:spacing w:after="0"/>
              <w:rPr>
                <w:sz w:val="20"/>
                <w:szCs w:val="20"/>
                <w:color w:val="auto"/>
              </w:rPr>
            </w:pPr>
            <w:r>
              <w:rPr>
                <w:rFonts w:ascii="Arial" w:cs="Arial" w:eastAsia="Arial" w:hAnsi="Arial"/>
                <w:sz w:val="14"/>
                <w:szCs w:val="14"/>
                <w:color w:val="auto"/>
              </w:rPr>
              <w:t>Comprehensive income for the period</w:t>
            </w:r>
          </w:p>
        </w:tc>
        <w:tc>
          <w:tcPr>
            <w:tcW w:w="1340" w:type="dxa"/>
            <w:vAlign w:val="bottom"/>
          </w:tcPr>
          <w:p>
            <w:pPr>
              <w:jc w:val="right"/>
              <w:ind w:right="489"/>
              <w:spacing w:after="0"/>
              <w:rPr>
                <w:sz w:val="20"/>
                <w:szCs w:val="20"/>
                <w:color w:val="auto"/>
              </w:rPr>
            </w:pPr>
            <w:r>
              <w:rPr>
                <w:rFonts w:ascii="Arial" w:cs="Arial" w:eastAsia="Arial" w:hAnsi="Arial"/>
                <w:sz w:val="14"/>
                <w:szCs w:val="14"/>
                <w:color w:val="auto"/>
              </w:rPr>
              <w:t>–</w:t>
            </w:r>
          </w:p>
        </w:tc>
        <w:tc>
          <w:tcPr>
            <w:tcW w:w="1460" w:type="dxa"/>
            <w:vAlign w:val="bottom"/>
          </w:tcPr>
          <w:p>
            <w:pPr>
              <w:jc w:val="right"/>
              <w:ind w:right="470"/>
              <w:spacing w:after="0"/>
              <w:rPr>
                <w:sz w:val="20"/>
                <w:szCs w:val="20"/>
                <w:color w:val="auto"/>
              </w:rPr>
            </w:pPr>
            <w:r>
              <w:rPr>
                <w:rFonts w:ascii="Arial" w:cs="Arial" w:eastAsia="Arial" w:hAnsi="Arial"/>
                <w:sz w:val="14"/>
                <w:szCs w:val="14"/>
                <w:color w:val="auto"/>
              </w:rPr>
              <w:t>2,470</w:t>
            </w:r>
          </w:p>
        </w:tc>
        <w:tc>
          <w:tcPr>
            <w:tcW w:w="1660" w:type="dxa"/>
            <w:vAlign w:val="bottom"/>
          </w:tcPr>
          <w:p>
            <w:pPr>
              <w:jc w:val="right"/>
              <w:ind w:right="369"/>
              <w:spacing w:after="0"/>
              <w:rPr>
                <w:sz w:val="20"/>
                <w:szCs w:val="20"/>
                <w:color w:val="auto"/>
              </w:rPr>
            </w:pPr>
            <w:r>
              <w:rPr>
                <w:rFonts w:ascii="Arial" w:cs="Arial" w:eastAsia="Arial" w:hAnsi="Arial"/>
                <w:sz w:val="14"/>
                <w:szCs w:val="14"/>
                <w:color w:val="auto"/>
              </w:rPr>
              <w:t>2,470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1740" w:type="dxa"/>
            <w:vAlign w:val="bottom"/>
            <w:tcBorders>
              <w:bottom w:val="single" w:sz="8" w:color="auto"/>
            </w:tcBorders>
            <w:gridSpan w:val="2"/>
          </w:tcPr>
          <w:p>
            <w:pPr>
              <w:spacing w:after="0" w:line="157" w:lineRule="exact"/>
              <w:rPr>
                <w:sz w:val="20"/>
                <w:szCs w:val="20"/>
                <w:color w:val="auto"/>
              </w:rPr>
            </w:pPr>
            <w:r>
              <w:rPr>
                <w:rFonts w:ascii="Arial" w:cs="Arial" w:eastAsia="Arial" w:hAnsi="Arial"/>
                <w:sz w:val="14"/>
                <w:szCs w:val="14"/>
                <w:color w:val="auto"/>
              </w:rPr>
              <w:t>Distributions made</w:t>
            </w:r>
          </w:p>
        </w:tc>
        <w:tc>
          <w:tcPr>
            <w:tcW w:w="5220" w:type="dxa"/>
            <w:vAlign w:val="bottom"/>
            <w:tcBorders>
              <w:bottom w:val="single" w:sz="8" w:color="auto"/>
            </w:tcBorders>
            <w:gridSpan w:val="2"/>
          </w:tcPr>
          <w:p>
            <w:pPr>
              <w:jc w:val="right"/>
              <w:ind w:right="577"/>
              <w:spacing w:after="0" w:line="157" w:lineRule="exact"/>
              <w:rPr>
                <w:sz w:val="20"/>
                <w:szCs w:val="20"/>
                <w:color w:val="auto"/>
              </w:rPr>
            </w:pPr>
            <w:r>
              <w:rPr>
                <w:rFonts w:ascii="Arial" w:cs="Arial" w:eastAsia="Arial" w:hAnsi="Arial"/>
                <w:sz w:val="14"/>
                <w:szCs w:val="14"/>
                <w:color w:val="auto"/>
              </w:rPr>
              <w:t>6</w:t>
            </w:r>
          </w:p>
        </w:tc>
        <w:tc>
          <w:tcPr>
            <w:tcW w:w="1340" w:type="dxa"/>
            <w:vAlign w:val="bottom"/>
            <w:tcBorders>
              <w:bottom w:val="single" w:sz="8" w:color="auto"/>
            </w:tcBorders>
          </w:tcPr>
          <w:p>
            <w:pPr>
              <w:jc w:val="right"/>
              <w:ind w:right="489"/>
              <w:spacing w:after="0" w:line="157" w:lineRule="exact"/>
              <w:rPr>
                <w:sz w:val="20"/>
                <w:szCs w:val="20"/>
                <w:color w:val="auto"/>
              </w:rPr>
            </w:pPr>
            <w:r>
              <w:rPr>
                <w:rFonts w:ascii="Arial" w:cs="Arial" w:eastAsia="Arial" w:hAnsi="Arial"/>
                <w:sz w:val="14"/>
                <w:szCs w:val="14"/>
                <w:color w:val="auto"/>
              </w:rPr>
              <w:t>–</w:t>
            </w:r>
          </w:p>
        </w:tc>
        <w:tc>
          <w:tcPr>
            <w:tcW w:w="1460" w:type="dxa"/>
            <w:vAlign w:val="bottom"/>
            <w:tcBorders>
              <w:bottom w:val="single" w:sz="8" w:color="auto"/>
            </w:tcBorders>
          </w:tcPr>
          <w:p>
            <w:pPr>
              <w:jc w:val="right"/>
              <w:ind w:right="430"/>
              <w:spacing w:after="0" w:line="157" w:lineRule="exact"/>
              <w:rPr>
                <w:sz w:val="20"/>
                <w:szCs w:val="20"/>
                <w:color w:val="auto"/>
              </w:rPr>
            </w:pPr>
            <w:r>
              <w:rPr>
                <w:rFonts w:ascii="Arial" w:cs="Arial" w:eastAsia="Arial" w:hAnsi="Arial"/>
                <w:sz w:val="14"/>
                <w:szCs w:val="14"/>
                <w:color w:val="auto"/>
              </w:rPr>
              <w:t>(2,470)</w:t>
            </w:r>
          </w:p>
        </w:tc>
        <w:tc>
          <w:tcPr>
            <w:tcW w:w="1660" w:type="dxa"/>
            <w:vAlign w:val="bottom"/>
            <w:tcBorders>
              <w:bottom w:val="single" w:sz="8" w:color="auto"/>
            </w:tcBorders>
          </w:tcPr>
          <w:p>
            <w:pPr>
              <w:jc w:val="right"/>
              <w:ind w:right="329"/>
              <w:spacing w:after="0" w:line="157" w:lineRule="exact"/>
              <w:rPr>
                <w:sz w:val="20"/>
                <w:szCs w:val="20"/>
                <w:color w:val="auto"/>
              </w:rPr>
            </w:pPr>
            <w:r>
              <w:rPr>
                <w:rFonts w:ascii="Arial" w:cs="Arial" w:eastAsia="Arial" w:hAnsi="Arial"/>
                <w:sz w:val="14"/>
                <w:szCs w:val="14"/>
                <w:color w:val="auto"/>
              </w:rPr>
              <w:t>(2,470)</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740" w:type="dxa"/>
            <w:vAlign w:val="bottom"/>
            <w:tcBorders>
              <w:bottom w:val="single" w:sz="8" w:color="auto"/>
            </w:tcBorders>
            <w:gridSpan w:val="2"/>
          </w:tcPr>
          <w:p>
            <w:pPr>
              <w:spacing w:after="0" w:line="155" w:lineRule="exact"/>
              <w:rPr>
                <w:sz w:val="20"/>
                <w:szCs w:val="20"/>
                <w:color w:val="auto"/>
              </w:rPr>
            </w:pPr>
            <w:r>
              <w:rPr>
                <w:rFonts w:ascii="Arial" w:cs="Arial" w:eastAsia="Arial" w:hAnsi="Arial"/>
                <w:sz w:val="14"/>
                <w:szCs w:val="14"/>
                <w:b w:val="1"/>
                <w:bCs w:val="1"/>
                <w:color w:val="auto"/>
              </w:rPr>
              <w:t>At December 31, 2014</w:t>
            </w:r>
          </w:p>
        </w:tc>
        <w:tc>
          <w:tcPr>
            <w:tcW w:w="3840" w:type="dxa"/>
            <w:vAlign w:val="bottom"/>
            <w:tcBorders>
              <w:bottom w:val="single" w:sz="8" w:color="auto"/>
            </w:tcBorders>
          </w:tcPr>
          <w:p>
            <w:pPr>
              <w:spacing w:after="0"/>
              <w:rPr>
                <w:sz w:val="13"/>
                <w:szCs w:val="13"/>
                <w:color w:val="auto"/>
              </w:rPr>
            </w:pPr>
          </w:p>
        </w:tc>
        <w:tc>
          <w:tcPr>
            <w:tcW w:w="138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tcPr>
          <w:p>
            <w:pPr>
              <w:jc w:val="right"/>
              <w:ind w:right="489"/>
              <w:spacing w:after="0" w:line="155" w:lineRule="exact"/>
              <w:rPr>
                <w:sz w:val="20"/>
                <w:szCs w:val="20"/>
                <w:color w:val="auto"/>
              </w:rPr>
            </w:pPr>
            <w:r>
              <w:rPr>
                <w:rFonts w:ascii="Arial" w:cs="Arial" w:eastAsia="Arial" w:hAnsi="Arial"/>
                <w:sz w:val="14"/>
                <w:szCs w:val="14"/>
                <w:color w:val="auto"/>
              </w:rPr>
              <w:t>–</w:t>
            </w:r>
          </w:p>
        </w:tc>
        <w:tc>
          <w:tcPr>
            <w:tcW w:w="1460" w:type="dxa"/>
            <w:vAlign w:val="bottom"/>
            <w:tcBorders>
              <w:bottom w:val="single" w:sz="8" w:color="auto"/>
            </w:tcBorders>
          </w:tcPr>
          <w:p>
            <w:pPr>
              <w:jc w:val="right"/>
              <w:ind w:right="470"/>
              <w:spacing w:after="0" w:line="155" w:lineRule="exact"/>
              <w:rPr>
                <w:sz w:val="20"/>
                <w:szCs w:val="20"/>
                <w:color w:val="auto"/>
              </w:rPr>
            </w:pPr>
            <w:r>
              <w:rPr>
                <w:rFonts w:ascii="Arial" w:cs="Arial" w:eastAsia="Arial" w:hAnsi="Arial"/>
                <w:sz w:val="14"/>
                <w:szCs w:val="14"/>
                <w:color w:val="auto"/>
              </w:rPr>
              <w:t>–</w:t>
            </w:r>
          </w:p>
        </w:tc>
        <w:tc>
          <w:tcPr>
            <w:tcW w:w="1660" w:type="dxa"/>
            <w:vAlign w:val="bottom"/>
            <w:tcBorders>
              <w:bottom w:val="single" w:sz="8" w:color="auto"/>
            </w:tcBorders>
          </w:tcPr>
          <w:p>
            <w:pPr>
              <w:jc w:val="right"/>
              <w:ind w:right="369"/>
              <w:spacing w:after="0" w:line="155"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1740" w:type="dxa"/>
            <w:vAlign w:val="bottom"/>
            <w:gridSpan w:val="2"/>
          </w:tcPr>
          <w:p>
            <w:pPr>
              <w:spacing w:after="0"/>
              <w:rPr>
                <w:sz w:val="20"/>
                <w:szCs w:val="20"/>
                <w:color w:val="auto"/>
              </w:rPr>
            </w:pPr>
            <w:r>
              <w:rPr>
                <w:rFonts w:ascii="Arial" w:cs="Arial" w:eastAsia="Arial" w:hAnsi="Arial"/>
                <w:sz w:val="14"/>
                <w:szCs w:val="14"/>
                <w:b w:val="1"/>
                <w:bCs w:val="1"/>
                <w:color w:val="auto"/>
              </w:rPr>
              <w:t>At January 1, 2013</w:t>
            </w:r>
          </w:p>
        </w:tc>
        <w:tc>
          <w:tcPr>
            <w:tcW w:w="384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340" w:type="dxa"/>
            <w:vAlign w:val="bottom"/>
          </w:tcPr>
          <w:p>
            <w:pPr>
              <w:jc w:val="right"/>
              <w:ind w:right="489"/>
              <w:spacing w:after="0"/>
              <w:rPr>
                <w:sz w:val="20"/>
                <w:szCs w:val="20"/>
                <w:color w:val="auto"/>
              </w:rPr>
            </w:pPr>
            <w:r>
              <w:rPr>
                <w:rFonts w:ascii="Arial" w:cs="Arial" w:eastAsia="Arial" w:hAnsi="Arial"/>
                <w:sz w:val="14"/>
                <w:szCs w:val="14"/>
                <w:color w:val="auto"/>
              </w:rPr>
              <w:t>–</w:t>
            </w:r>
          </w:p>
        </w:tc>
        <w:tc>
          <w:tcPr>
            <w:tcW w:w="1460" w:type="dxa"/>
            <w:vAlign w:val="bottom"/>
          </w:tcPr>
          <w:p>
            <w:pPr>
              <w:jc w:val="right"/>
              <w:ind w:right="470"/>
              <w:spacing w:after="0"/>
              <w:rPr>
                <w:sz w:val="20"/>
                <w:szCs w:val="20"/>
                <w:color w:val="auto"/>
              </w:rPr>
            </w:pPr>
            <w:r>
              <w:rPr>
                <w:rFonts w:ascii="Arial" w:cs="Arial" w:eastAsia="Arial" w:hAnsi="Arial"/>
                <w:sz w:val="14"/>
                <w:szCs w:val="14"/>
                <w:color w:val="auto"/>
              </w:rPr>
              <w:t>–</w:t>
            </w:r>
          </w:p>
        </w:tc>
        <w:tc>
          <w:tcPr>
            <w:tcW w:w="1680" w:type="dxa"/>
            <w:vAlign w:val="bottom"/>
            <w:gridSpan w:val="2"/>
          </w:tcPr>
          <w:p>
            <w:pPr>
              <w:jc w:val="right"/>
              <w:ind w:right="4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6960" w:type="dxa"/>
            <w:vAlign w:val="bottom"/>
            <w:gridSpan w:val="4"/>
          </w:tcPr>
          <w:p>
            <w:pPr>
              <w:spacing w:after="0"/>
              <w:rPr>
                <w:sz w:val="20"/>
                <w:szCs w:val="20"/>
                <w:color w:val="auto"/>
              </w:rPr>
            </w:pPr>
            <w:r>
              <w:rPr>
                <w:rFonts w:ascii="Arial" w:cs="Arial" w:eastAsia="Arial" w:hAnsi="Arial"/>
                <w:sz w:val="14"/>
                <w:szCs w:val="14"/>
                <w:color w:val="auto"/>
              </w:rPr>
              <w:t>Comprehensive income for the period</w:t>
            </w:r>
          </w:p>
        </w:tc>
        <w:tc>
          <w:tcPr>
            <w:tcW w:w="1340" w:type="dxa"/>
            <w:vAlign w:val="bottom"/>
          </w:tcPr>
          <w:p>
            <w:pPr>
              <w:jc w:val="right"/>
              <w:ind w:right="489"/>
              <w:spacing w:after="0"/>
              <w:rPr>
                <w:sz w:val="20"/>
                <w:szCs w:val="20"/>
                <w:color w:val="auto"/>
              </w:rPr>
            </w:pPr>
            <w:r>
              <w:rPr>
                <w:rFonts w:ascii="Arial" w:cs="Arial" w:eastAsia="Arial" w:hAnsi="Arial"/>
                <w:sz w:val="14"/>
                <w:szCs w:val="14"/>
                <w:color w:val="auto"/>
              </w:rPr>
              <w:t>–</w:t>
            </w:r>
          </w:p>
        </w:tc>
        <w:tc>
          <w:tcPr>
            <w:tcW w:w="1460" w:type="dxa"/>
            <w:vAlign w:val="bottom"/>
          </w:tcPr>
          <w:p>
            <w:pPr>
              <w:jc w:val="right"/>
              <w:ind w:right="470"/>
              <w:spacing w:after="0"/>
              <w:rPr>
                <w:sz w:val="20"/>
                <w:szCs w:val="20"/>
                <w:color w:val="auto"/>
              </w:rPr>
            </w:pPr>
            <w:r>
              <w:rPr>
                <w:rFonts w:ascii="Arial" w:cs="Arial" w:eastAsia="Arial" w:hAnsi="Arial"/>
                <w:sz w:val="14"/>
                <w:szCs w:val="14"/>
                <w:color w:val="auto"/>
              </w:rPr>
              <w:t>2,361</w:t>
            </w:r>
          </w:p>
        </w:tc>
        <w:tc>
          <w:tcPr>
            <w:tcW w:w="1660" w:type="dxa"/>
            <w:vAlign w:val="bottom"/>
          </w:tcPr>
          <w:p>
            <w:pPr>
              <w:jc w:val="right"/>
              <w:ind w:right="369"/>
              <w:spacing w:after="0"/>
              <w:rPr>
                <w:sz w:val="20"/>
                <w:szCs w:val="20"/>
                <w:color w:val="auto"/>
              </w:rPr>
            </w:pPr>
            <w:r>
              <w:rPr>
                <w:rFonts w:ascii="Arial" w:cs="Arial" w:eastAsia="Arial" w:hAnsi="Arial"/>
                <w:sz w:val="14"/>
                <w:szCs w:val="14"/>
                <w:color w:val="auto"/>
              </w:rPr>
              <w:t>2,361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1740" w:type="dxa"/>
            <w:vAlign w:val="bottom"/>
            <w:tcBorders>
              <w:bottom w:val="single" w:sz="8" w:color="auto"/>
            </w:tcBorders>
            <w:gridSpan w:val="2"/>
          </w:tcPr>
          <w:p>
            <w:pPr>
              <w:spacing w:after="0" w:line="157" w:lineRule="exact"/>
              <w:rPr>
                <w:sz w:val="20"/>
                <w:szCs w:val="20"/>
                <w:color w:val="auto"/>
              </w:rPr>
            </w:pPr>
            <w:r>
              <w:rPr>
                <w:rFonts w:ascii="Arial" w:cs="Arial" w:eastAsia="Arial" w:hAnsi="Arial"/>
                <w:sz w:val="14"/>
                <w:szCs w:val="14"/>
                <w:color w:val="auto"/>
              </w:rPr>
              <w:t>Distributions made</w:t>
            </w:r>
          </w:p>
        </w:tc>
        <w:tc>
          <w:tcPr>
            <w:tcW w:w="5220" w:type="dxa"/>
            <w:vAlign w:val="bottom"/>
            <w:tcBorders>
              <w:bottom w:val="single" w:sz="8" w:color="auto"/>
            </w:tcBorders>
            <w:gridSpan w:val="2"/>
          </w:tcPr>
          <w:p>
            <w:pPr>
              <w:jc w:val="right"/>
              <w:ind w:right="577"/>
              <w:spacing w:after="0" w:line="157" w:lineRule="exact"/>
              <w:rPr>
                <w:sz w:val="20"/>
                <w:szCs w:val="20"/>
                <w:color w:val="auto"/>
              </w:rPr>
            </w:pPr>
            <w:r>
              <w:rPr>
                <w:rFonts w:ascii="Arial" w:cs="Arial" w:eastAsia="Arial" w:hAnsi="Arial"/>
                <w:sz w:val="14"/>
                <w:szCs w:val="14"/>
                <w:color w:val="auto"/>
              </w:rPr>
              <w:t>6</w:t>
            </w:r>
          </w:p>
        </w:tc>
        <w:tc>
          <w:tcPr>
            <w:tcW w:w="1340" w:type="dxa"/>
            <w:vAlign w:val="bottom"/>
            <w:tcBorders>
              <w:bottom w:val="single" w:sz="8" w:color="auto"/>
            </w:tcBorders>
          </w:tcPr>
          <w:p>
            <w:pPr>
              <w:jc w:val="right"/>
              <w:ind w:right="489"/>
              <w:spacing w:after="0" w:line="157" w:lineRule="exact"/>
              <w:rPr>
                <w:sz w:val="20"/>
                <w:szCs w:val="20"/>
                <w:color w:val="auto"/>
              </w:rPr>
            </w:pPr>
            <w:r>
              <w:rPr>
                <w:rFonts w:ascii="Arial" w:cs="Arial" w:eastAsia="Arial" w:hAnsi="Arial"/>
                <w:sz w:val="14"/>
                <w:szCs w:val="14"/>
                <w:color w:val="auto"/>
              </w:rPr>
              <w:t>–</w:t>
            </w:r>
          </w:p>
        </w:tc>
        <w:tc>
          <w:tcPr>
            <w:tcW w:w="1460" w:type="dxa"/>
            <w:vAlign w:val="bottom"/>
            <w:tcBorders>
              <w:bottom w:val="single" w:sz="8" w:color="auto"/>
            </w:tcBorders>
          </w:tcPr>
          <w:p>
            <w:pPr>
              <w:jc w:val="right"/>
              <w:ind w:right="430"/>
              <w:spacing w:after="0" w:line="157" w:lineRule="exact"/>
              <w:rPr>
                <w:sz w:val="20"/>
                <w:szCs w:val="20"/>
                <w:color w:val="auto"/>
              </w:rPr>
            </w:pPr>
            <w:r>
              <w:rPr>
                <w:rFonts w:ascii="Arial" w:cs="Arial" w:eastAsia="Arial" w:hAnsi="Arial"/>
                <w:sz w:val="14"/>
                <w:szCs w:val="14"/>
                <w:color w:val="auto"/>
              </w:rPr>
              <w:t>(2,361)</w:t>
            </w:r>
          </w:p>
        </w:tc>
        <w:tc>
          <w:tcPr>
            <w:tcW w:w="1660" w:type="dxa"/>
            <w:vAlign w:val="bottom"/>
            <w:tcBorders>
              <w:bottom w:val="single" w:sz="8" w:color="auto"/>
            </w:tcBorders>
          </w:tcPr>
          <w:p>
            <w:pPr>
              <w:jc w:val="right"/>
              <w:ind w:right="329"/>
              <w:spacing w:after="0" w:line="157" w:lineRule="exact"/>
              <w:rPr>
                <w:sz w:val="20"/>
                <w:szCs w:val="20"/>
                <w:color w:val="auto"/>
              </w:rPr>
            </w:pPr>
            <w:r>
              <w:rPr>
                <w:rFonts w:ascii="Arial" w:cs="Arial" w:eastAsia="Arial" w:hAnsi="Arial"/>
                <w:sz w:val="14"/>
                <w:szCs w:val="14"/>
                <w:color w:val="auto"/>
              </w:rPr>
              <w:t>(2,361)</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740" w:type="dxa"/>
            <w:vAlign w:val="bottom"/>
            <w:tcBorders>
              <w:bottom w:val="single" w:sz="8" w:color="auto"/>
            </w:tcBorders>
            <w:gridSpan w:val="2"/>
          </w:tcPr>
          <w:p>
            <w:pPr>
              <w:spacing w:after="0" w:line="155" w:lineRule="exact"/>
              <w:rPr>
                <w:sz w:val="20"/>
                <w:szCs w:val="20"/>
                <w:color w:val="auto"/>
              </w:rPr>
            </w:pPr>
            <w:r>
              <w:rPr>
                <w:rFonts w:ascii="Arial" w:cs="Arial" w:eastAsia="Arial" w:hAnsi="Arial"/>
                <w:sz w:val="14"/>
                <w:szCs w:val="14"/>
                <w:b w:val="1"/>
                <w:bCs w:val="1"/>
                <w:color w:val="auto"/>
              </w:rPr>
              <w:t>At December 31, 2013</w:t>
            </w:r>
          </w:p>
        </w:tc>
        <w:tc>
          <w:tcPr>
            <w:tcW w:w="3840" w:type="dxa"/>
            <w:vAlign w:val="bottom"/>
            <w:tcBorders>
              <w:bottom w:val="single" w:sz="8" w:color="auto"/>
            </w:tcBorders>
          </w:tcPr>
          <w:p>
            <w:pPr>
              <w:spacing w:after="0"/>
              <w:rPr>
                <w:sz w:val="13"/>
                <w:szCs w:val="13"/>
                <w:color w:val="auto"/>
              </w:rPr>
            </w:pPr>
          </w:p>
        </w:tc>
        <w:tc>
          <w:tcPr>
            <w:tcW w:w="138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tcPr>
          <w:p>
            <w:pPr>
              <w:jc w:val="right"/>
              <w:ind w:right="489"/>
              <w:spacing w:after="0" w:line="155" w:lineRule="exact"/>
              <w:rPr>
                <w:sz w:val="20"/>
                <w:szCs w:val="20"/>
                <w:color w:val="auto"/>
              </w:rPr>
            </w:pPr>
            <w:r>
              <w:rPr>
                <w:rFonts w:ascii="Arial" w:cs="Arial" w:eastAsia="Arial" w:hAnsi="Arial"/>
                <w:sz w:val="14"/>
                <w:szCs w:val="14"/>
                <w:color w:val="auto"/>
              </w:rPr>
              <w:t>–</w:t>
            </w:r>
          </w:p>
        </w:tc>
        <w:tc>
          <w:tcPr>
            <w:tcW w:w="1460" w:type="dxa"/>
            <w:vAlign w:val="bottom"/>
            <w:tcBorders>
              <w:bottom w:val="single" w:sz="8" w:color="auto"/>
            </w:tcBorders>
          </w:tcPr>
          <w:p>
            <w:pPr>
              <w:jc w:val="right"/>
              <w:ind w:right="470"/>
              <w:spacing w:after="0" w:line="155" w:lineRule="exact"/>
              <w:rPr>
                <w:sz w:val="20"/>
                <w:szCs w:val="20"/>
                <w:color w:val="auto"/>
              </w:rPr>
            </w:pPr>
            <w:r>
              <w:rPr>
                <w:rFonts w:ascii="Arial" w:cs="Arial" w:eastAsia="Arial" w:hAnsi="Arial"/>
                <w:sz w:val="14"/>
                <w:szCs w:val="14"/>
                <w:color w:val="auto"/>
              </w:rPr>
              <w:t>–</w:t>
            </w:r>
          </w:p>
        </w:tc>
        <w:tc>
          <w:tcPr>
            <w:tcW w:w="1660" w:type="dxa"/>
            <w:vAlign w:val="bottom"/>
            <w:tcBorders>
              <w:bottom w:val="single" w:sz="8" w:color="auto"/>
            </w:tcBorders>
          </w:tcPr>
          <w:p>
            <w:pPr>
              <w:jc w:val="right"/>
              <w:ind w:right="369"/>
              <w:spacing w:after="0" w:line="155"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1740" w:type="dxa"/>
            <w:vAlign w:val="bottom"/>
            <w:gridSpan w:val="2"/>
          </w:tcPr>
          <w:p>
            <w:pPr>
              <w:spacing w:after="0"/>
              <w:rPr>
                <w:sz w:val="20"/>
                <w:szCs w:val="20"/>
                <w:color w:val="auto"/>
              </w:rPr>
            </w:pPr>
            <w:r>
              <w:rPr>
                <w:rFonts w:ascii="Arial" w:cs="Arial" w:eastAsia="Arial" w:hAnsi="Arial"/>
                <w:sz w:val="14"/>
                <w:szCs w:val="14"/>
                <w:b w:val="1"/>
                <w:bCs w:val="1"/>
                <w:color w:val="auto"/>
              </w:rPr>
              <w:t>At January 1, 2012</w:t>
            </w:r>
          </w:p>
        </w:tc>
        <w:tc>
          <w:tcPr>
            <w:tcW w:w="384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340" w:type="dxa"/>
            <w:vAlign w:val="bottom"/>
          </w:tcPr>
          <w:p>
            <w:pPr>
              <w:jc w:val="right"/>
              <w:ind w:right="489"/>
              <w:spacing w:after="0"/>
              <w:rPr>
                <w:sz w:val="20"/>
                <w:szCs w:val="20"/>
                <w:color w:val="auto"/>
              </w:rPr>
            </w:pPr>
            <w:r>
              <w:rPr>
                <w:rFonts w:ascii="Arial" w:cs="Arial" w:eastAsia="Arial" w:hAnsi="Arial"/>
                <w:sz w:val="14"/>
                <w:szCs w:val="14"/>
                <w:color w:val="auto"/>
              </w:rPr>
              <w:t>–</w:t>
            </w:r>
          </w:p>
        </w:tc>
        <w:tc>
          <w:tcPr>
            <w:tcW w:w="1460" w:type="dxa"/>
            <w:vAlign w:val="bottom"/>
          </w:tcPr>
          <w:p>
            <w:pPr>
              <w:jc w:val="right"/>
              <w:ind w:right="470"/>
              <w:spacing w:after="0"/>
              <w:rPr>
                <w:sz w:val="20"/>
                <w:szCs w:val="20"/>
                <w:color w:val="auto"/>
              </w:rPr>
            </w:pPr>
            <w:r>
              <w:rPr>
                <w:rFonts w:ascii="Arial" w:cs="Arial" w:eastAsia="Arial" w:hAnsi="Arial"/>
                <w:sz w:val="14"/>
                <w:szCs w:val="14"/>
                <w:color w:val="auto"/>
              </w:rPr>
              <w:t>–</w:t>
            </w:r>
          </w:p>
        </w:tc>
        <w:tc>
          <w:tcPr>
            <w:tcW w:w="1680" w:type="dxa"/>
            <w:vAlign w:val="bottom"/>
            <w:gridSpan w:val="2"/>
          </w:tcPr>
          <w:p>
            <w:pPr>
              <w:jc w:val="right"/>
              <w:ind w:right="4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6960" w:type="dxa"/>
            <w:vAlign w:val="bottom"/>
            <w:gridSpan w:val="4"/>
          </w:tcPr>
          <w:p>
            <w:pPr>
              <w:spacing w:after="0"/>
              <w:rPr>
                <w:sz w:val="20"/>
                <w:szCs w:val="20"/>
                <w:color w:val="auto"/>
              </w:rPr>
            </w:pPr>
            <w:r>
              <w:rPr>
                <w:rFonts w:ascii="Arial" w:cs="Arial" w:eastAsia="Arial" w:hAnsi="Arial"/>
                <w:sz w:val="14"/>
                <w:szCs w:val="14"/>
                <w:color w:val="auto"/>
              </w:rPr>
              <w:t>Comprehensive income for the period</w:t>
            </w:r>
          </w:p>
        </w:tc>
        <w:tc>
          <w:tcPr>
            <w:tcW w:w="1340" w:type="dxa"/>
            <w:vAlign w:val="bottom"/>
          </w:tcPr>
          <w:p>
            <w:pPr>
              <w:jc w:val="right"/>
              <w:ind w:right="489"/>
              <w:spacing w:after="0"/>
              <w:rPr>
                <w:sz w:val="20"/>
                <w:szCs w:val="20"/>
                <w:color w:val="auto"/>
              </w:rPr>
            </w:pPr>
            <w:r>
              <w:rPr>
                <w:rFonts w:ascii="Arial" w:cs="Arial" w:eastAsia="Arial" w:hAnsi="Arial"/>
                <w:sz w:val="14"/>
                <w:szCs w:val="14"/>
                <w:color w:val="auto"/>
              </w:rPr>
              <w:t>–</w:t>
            </w:r>
          </w:p>
        </w:tc>
        <w:tc>
          <w:tcPr>
            <w:tcW w:w="1460" w:type="dxa"/>
            <w:vAlign w:val="bottom"/>
          </w:tcPr>
          <w:p>
            <w:pPr>
              <w:jc w:val="right"/>
              <w:ind w:right="470"/>
              <w:spacing w:after="0"/>
              <w:rPr>
                <w:sz w:val="20"/>
                <w:szCs w:val="20"/>
                <w:color w:val="auto"/>
              </w:rPr>
            </w:pPr>
            <w:r>
              <w:rPr>
                <w:rFonts w:ascii="Arial" w:cs="Arial" w:eastAsia="Arial" w:hAnsi="Arial"/>
                <w:sz w:val="14"/>
                <w:szCs w:val="14"/>
                <w:color w:val="auto"/>
              </w:rPr>
              <w:t>2,383</w:t>
            </w:r>
          </w:p>
        </w:tc>
        <w:tc>
          <w:tcPr>
            <w:tcW w:w="1660" w:type="dxa"/>
            <w:vAlign w:val="bottom"/>
          </w:tcPr>
          <w:p>
            <w:pPr>
              <w:jc w:val="right"/>
              <w:ind w:right="369"/>
              <w:spacing w:after="0"/>
              <w:rPr>
                <w:sz w:val="20"/>
                <w:szCs w:val="20"/>
                <w:color w:val="auto"/>
              </w:rPr>
            </w:pPr>
            <w:r>
              <w:rPr>
                <w:rFonts w:ascii="Arial" w:cs="Arial" w:eastAsia="Arial" w:hAnsi="Arial"/>
                <w:sz w:val="14"/>
                <w:szCs w:val="14"/>
                <w:color w:val="auto"/>
              </w:rPr>
              <w:t>2,383</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1740" w:type="dxa"/>
            <w:vAlign w:val="bottom"/>
            <w:tcBorders>
              <w:bottom w:val="single" w:sz="8" w:color="auto"/>
            </w:tcBorders>
            <w:gridSpan w:val="2"/>
          </w:tcPr>
          <w:p>
            <w:pPr>
              <w:spacing w:after="0" w:line="157" w:lineRule="exact"/>
              <w:rPr>
                <w:sz w:val="20"/>
                <w:szCs w:val="20"/>
                <w:color w:val="auto"/>
              </w:rPr>
            </w:pPr>
            <w:r>
              <w:rPr>
                <w:rFonts w:ascii="Arial" w:cs="Arial" w:eastAsia="Arial" w:hAnsi="Arial"/>
                <w:sz w:val="14"/>
                <w:szCs w:val="14"/>
                <w:color w:val="auto"/>
              </w:rPr>
              <w:t>Distributions made</w:t>
            </w:r>
          </w:p>
        </w:tc>
        <w:tc>
          <w:tcPr>
            <w:tcW w:w="5220" w:type="dxa"/>
            <w:vAlign w:val="bottom"/>
            <w:tcBorders>
              <w:bottom w:val="single" w:sz="8" w:color="auto"/>
            </w:tcBorders>
            <w:gridSpan w:val="2"/>
          </w:tcPr>
          <w:p>
            <w:pPr>
              <w:jc w:val="right"/>
              <w:ind w:right="577"/>
              <w:spacing w:after="0" w:line="157" w:lineRule="exact"/>
              <w:rPr>
                <w:sz w:val="20"/>
                <w:szCs w:val="20"/>
                <w:color w:val="auto"/>
              </w:rPr>
            </w:pPr>
            <w:r>
              <w:rPr>
                <w:rFonts w:ascii="Arial" w:cs="Arial" w:eastAsia="Arial" w:hAnsi="Arial"/>
                <w:sz w:val="14"/>
                <w:szCs w:val="14"/>
                <w:color w:val="auto"/>
              </w:rPr>
              <w:t>6</w:t>
            </w:r>
          </w:p>
        </w:tc>
        <w:tc>
          <w:tcPr>
            <w:tcW w:w="1340" w:type="dxa"/>
            <w:vAlign w:val="bottom"/>
            <w:tcBorders>
              <w:bottom w:val="single" w:sz="8" w:color="auto"/>
            </w:tcBorders>
          </w:tcPr>
          <w:p>
            <w:pPr>
              <w:jc w:val="right"/>
              <w:ind w:right="489"/>
              <w:spacing w:after="0" w:line="157" w:lineRule="exact"/>
              <w:rPr>
                <w:sz w:val="20"/>
                <w:szCs w:val="20"/>
                <w:color w:val="auto"/>
              </w:rPr>
            </w:pPr>
            <w:r>
              <w:rPr>
                <w:rFonts w:ascii="Arial" w:cs="Arial" w:eastAsia="Arial" w:hAnsi="Arial"/>
                <w:sz w:val="14"/>
                <w:szCs w:val="14"/>
                <w:color w:val="auto"/>
              </w:rPr>
              <w:t>–</w:t>
            </w:r>
          </w:p>
        </w:tc>
        <w:tc>
          <w:tcPr>
            <w:tcW w:w="1460" w:type="dxa"/>
            <w:vAlign w:val="bottom"/>
            <w:tcBorders>
              <w:bottom w:val="single" w:sz="8" w:color="auto"/>
            </w:tcBorders>
          </w:tcPr>
          <w:p>
            <w:pPr>
              <w:jc w:val="right"/>
              <w:ind w:right="430"/>
              <w:spacing w:after="0" w:line="157" w:lineRule="exact"/>
              <w:rPr>
                <w:sz w:val="20"/>
                <w:szCs w:val="20"/>
                <w:color w:val="auto"/>
              </w:rPr>
            </w:pPr>
            <w:r>
              <w:rPr>
                <w:rFonts w:ascii="Arial" w:cs="Arial" w:eastAsia="Arial" w:hAnsi="Arial"/>
                <w:sz w:val="14"/>
                <w:szCs w:val="14"/>
                <w:color w:val="auto"/>
              </w:rPr>
              <w:t>(2,383)</w:t>
            </w:r>
          </w:p>
        </w:tc>
        <w:tc>
          <w:tcPr>
            <w:tcW w:w="1660" w:type="dxa"/>
            <w:vAlign w:val="bottom"/>
            <w:tcBorders>
              <w:bottom w:val="single" w:sz="8" w:color="auto"/>
            </w:tcBorders>
          </w:tcPr>
          <w:p>
            <w:pPr>
              <w:jc w:val="right"/>
              <w:ind w:right="329"/>
              <w:spacing w:after="0" w:line="157" w:lineRule="exact"/>
              <w:rPr>
                <w:sz w:val="20"/>
                <w:szCs w:val="20"/>
                <w:color w:val="auto"/>
              </w:rPr>
            </w:pPr>
            <w:r>
              <w:rPr>
                <w:rFonts w:ascii="Arial" w:cs="Arial" w:eastAsia="Arial" w:hAnsi="Arial"/>
                <w:sz w:val="14"/>
                <w:szCs w:val="14"/>
                <w:color w:val="auto"/>
              </w:rPr>
              <w:t>(2,383)</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740" w:type="dxa"/>
            <w:vAlign w:val="bottom"/>
            <w:gridSpan w:val="2"/>
          </w:tcPr>
          <w:p>
            <w:pPr>
              <w:spacing w:after="0" w:line="155" w:lineRule="exact"/>
              <w:rPr>
                <w:sz w:val="20"/>
                <w:szCs w:val="20"/>
                <w:color w:val="auto"/>
              </w:rPr>
            </w:pPr>
            <w:r>
              <w:rPr>
                <w:rFonts w:ascii="Arial" w:cs="Arial" w:eastAsia="Arial" w:hAnsi="Arial"/>
                <w:sz w:val="14"/>
                <w:szCs w:val="14"/>
                <w:b w:val="1"/>
                <w:bCs w:val="1"/>
                <w:color w:val="auto"/>
              </w:rPr>
              <w:t>At December 31, 2012</w:t>
            </w:r>
          </w:p>
        </w:tc>
        <w:tc>
          <w:tcPr>
            <w:tcW w:w="384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340" w:type="dxa"/>
            <w:vAlign w:val="bottom"/>
          </w:tcPr>
          <w:p>
            <w:pPr>
              <w:jc w:val="right"/>
              <w:ind w:right="489"/>
              <w:spacing w:after="0" w:line="155" w:lineRule="exact"/>
              <w:rPr>
                <w:sz w:val="20"/>
                <w:szCs w:val="20"/>
                <w:color w:val="auto"/>
              </w:rPr>
            </w:pPr>
            <w:r>
              <w:rPr>
                <w:rFonts w:ascii="Arial" w:cs="Arial" w:eastAsia="Arial" w:hAnsi="Arial"/>
                <w:sz w:val="14"/>
                <w:szCs w:val="14"/>
                <w:color w:val="auto"/>
              </w:rPr>
              <w:t>–</w:t>
            </w:r>
          </w:p>
        </w:tc>
        <w:tc>
          <w:tcPr>
            <w:tcW w:w="1460" w:type="dxa"/>
            <w:vAlign w:val="bottom"/>
          </w:tcPr>
          <w:p>
            <w:pPr>
              <w:jc w:val="right"/>
              <w:ind w:right="470"/>
              <w:spacing w:after="0" w:line="155" w:lineRule="exact"/>
              <w:rPr>
                <w:sz w:val="20"/>
                <w:szCs w:val="20"/>
                <w:color w:val="auto"/>
              </w:rPr>
            </w:pPr>
            <w:r>
              <w:rPr>
                <w:rFonts w:ascii="Arial" w:cs="Arial" w:eastAsia="Arial" w:hAnsi="Arial"/>
                <w:sz w:val="14"/>
                <w:szCs w:val="14"/>
                <w:color w:val="auto"/>
              </w:rPr>
              <w:t>–</w:t>
            </w:r>
          </w:p>
        </w:tc>
        <w:tc>
          <w:tcPr>
            <w:tcW w:w="1680" w:type="dxa"/>
            <w:vAlign w:val="bottom"/>
            <w:gridSpan w:val="2"/>
          </w:tcPr>
          <w:p>
            <w:pPr>
              <w:jc w:val="right"/>
              <w:ind w:right="460"/>
              <w:spacing w:after="0" w:line="155"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940" w:type="dxa"/>
            <w:vAlign w:val="bottom"/>
            <w:tcBorders>
              <w:top w:val="single" w:sz="8" w:color="auto"/>
            </w:tcBorders>
            <w:gridSpan w:val="3"/>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1460" w:type="dxa"/>
            <w:vAlign w:val="bottom"/>
            <w:tcBorders>
              <w:top w:val="single" w:sz="8" w:color="auto"/>
            </w:tcBorders>
          </w:tcPr>
          <w:p>
            <w:pPr>
              <w:spacing w:after="0"/>
              <w:rPr>
                <w:sz w:val="18"/>
                <w:szCs w:val="18"/>
                <w:color w:val="auto"/>
              </w:rPr>
            </w:pPr>
          </w:p>
        </w:tc>
        <w:tc>
          <w:tcPr>
            <w:tcW w:w="1660" w:type="dxa"/>
            <w:vAlign w:val="bottom"/>
            <w:tcBorders>
              <w:top w:val="single" w:sz="8" w:color="auto"/>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940" w:type="dxa"/>
            <w:vAlign w:val="bottom"/>
            <w:gridSpan w:val="3"/>
            <w:shd w:val="clear" w:color="auto" w:fill="333333"/>
          </w:tcPr>
          <w:p>
            <w:pPr>
              <w:ind w:left="60"/>
              <w:spacing w:after="0" w:line="162" w:lineRule="exact"/>
              <w:rPr>
                <w:sz w:val="20"/>
                <w:szCs w:val="20"/>
                <w:color w:val="auto"/>
              </w:rPr>
            </w:pPr>
            <w:r>
              <w:rPr>
                <w:rFonts w:ascii="Arial" w:cs="Arial" w:eastAsia="Arial" w:hAnsi="Arial"/>
                <w:sz w:val="15"/>
                <w:szCs w:val="15"/>
                <w:b w:val="1"/>
                <w:bCs w:val="1"/>
                <w:color w:val="FFFFFF"/>
              </w:rPr>
              <w:t>STATEMENT OF CASH FLOWS</w:t>
            </w:r>
          </w:p>
        </w:tc>
        <w:tc>
          <w:tcPr>
            <w:tcW w:w="1340" w:type="dxa"/>
            <w:vAlign w:val="bottom"/>
            <w:shd w:val="clear" w:color="auto" w:fill="333333"/>
          </w:tcPr>
          <w:p>
            <w:pPr>
              <w:spacing w:after="0"/>
              <w:rPr>
                <w:sz w:val="14"/>
                <w:szCs w:val="14"/>
                <w:color w:val="auto"/>
              </w:rPr>
            </w:pPr>
          </w:p>
        </w:tc>
        <w:tc>
          <w:tcPr>
            <w:tcW w:w="1460" w:type="dxa"/>
            <w:vAlign w:val="bottom"/>
            <w:shd w:val="clear" w:color="auto" w:fill="333333"/>
          </w:tcPr>
          <w:p>
            <w:pPr>
              <w:spacing w:after="0"/>
              <w:rPr>
                <w:sz w:val="14"/>
                <w:szCs w:val="14"/>
                <w:color w:val="auto"/>
              </w:rPr>
            </w:pPr>
          </w:p>
        </w:tc>
        <w:tc>
          <w:tcPr>
            <w:tcW w:w="1660" w:type="dxa"/>
            <w:vAlign w:val="bottom"/>
            <w:shd w:val="clear" w:color="auto" w:fill="333333"/>
          </w:tcPr>
          <w:p>
            <w:pPr>
              <w:jc w:val="right"/>
              <w:ind w:right="369"/>
              <w:spacing w:after="0" w:line="162" w:lineRule="exact"/>
              <w:rPr>
                <w:sz w:val="20"/>
                <w:szCs w:val="20"/>
                <w:color w:val="auto"/>
              </w:rPr>
            </w:pPr>
            <w:r>
              <w:rPr>
                <w:rFonts w:ascii="Arial" w:cs="Arial" w:eastAsia="Arial" w:hAnsi="Arial"/>
                <w:sz w:val="15"/>
                <w:szCs w:val="15"/>
                <w:color w:val="FFFFFF"/>
              </w:rPr>
              <w:t>£ MILLION</w:t>
            </w: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20" w:type="dxa"/>
            <w:vAlign w:val="bottom"/>
            <w:tcBorders>
              <w:bottom w:val="single" w:sz="8" w:color="auto"/>
            </w:tcBorders>
          </w:tcPr>
          <w:p>
            <w:pPr>
              <w:spacing w:after="0"/>
              <w:rPr>
                <w:sz w:val="12"/>
                <w:szCs w:val="12"/>
                <w:color w:val="auto"/>
              </w:rPr>
            </w:pPr>
          </w:p>
        </w:tc>
        <w:tc>
          <w:tcPr>
            <w:tcW w:w="3840" w:type="dxa"/>
            <w:vAlign w:val="bottom"/>
            <w:tcBorders>
              <w:bottom w:val="single" w:sz="8" w:color="auto"/>
            </w:tcBorders>
          </w:tcPr>
          <w:p>
            <w:pPr>
              <w:spacing w:after="0"/>
              <w:rPr>
                <w:sz w:val="12"/>
                <w:szCs w:val="12"/>
                <w:color w:val="auto"/>
              </w:rPr>
            </w:pPr>
          </w:p>
        </w:tc>
        <w:tc>
          <w:tcPr>
            <w:tcW w:w="1380" w:type="dxa"/>
            <w:vAlign w:val="bottom"/>
            <w:tcBorders>
              <w:bottom w:val="single" w:sz="8" w:color="auto"/>
            </w:tcBorders>
          </w:tcPr>
          <w:p>
            <w:pPr>
              <w:spacing w:after="0"/>
              <w:rPr>
                <w:sz w:val="12"/>
                <w:szCs w:val="12"/>
                <w:color w:val="auto"/>
              </w:rPr>
            </w:pPr>
          </w:p>
        </w:tc>
        <w:tc>
          <w:tcPr>
            <w:tcW w:w="1340" w:type="dxa"/>
            <w:vAlign w:val="bottom"/>
            <w:tcBorders>
              <w:bottom w:val="single" w:sz="8" w:color="auto"/>
            </w:tcBorders>
            <w:shd w:val="clear" w:color="auto" w:fill="D8D8D8"/>
          </w:tcPr>
          <w:p>
            <w:pPr>
              <w:jc w:val="right"/>
              <w:ind w:right="369"/>
              <w:spacing w:after="0"/>
              <w:rPr>
                <w:sz w:val="20"/>
                <w:szCs w:val="20"/>
                <w:color w:val="auto"/>
              </w:rPr>
            </w:pPr>
            <w:r>
              <w:rPr>
                <w:rFonts w:ascii="Arial" w:cs="Arial" w:eastAsia="Arial" w:hAnsi="Arial"/>
                <w:sz w:val="13"/>
                <w:szCs w:val="13"/>
                <w:color w:val="auto"/>
              </w:rPr>
              <w:t>2014</w:t>
            </w:r>
          </w:p>
        </w:tc>
        <w:tc>
          <w:tcPr>
            <w:tcW w:w="1460" w:type="dxa"/>
            <w:vAlign w:val="bottom"/>
            <w:tcBorders>
              <w:bottom w:val="single" w:sz="8" w:color="auto"/>
            </w:tcBorders>
          </w:tcPr>
          <w:p>
            <w:pPr>
              <w:jc w:val="right"/>
              <w:ind w:right="490"/>
              <w:spacing w:after="0"/>
              <w:rPr>
                <w:sz w:val="20"/>
                <w:szCs w:val="20"/>
                <w:color w:val="auto"/>
              </w:rPr>
            </w:pPr>
            <w:r>
              <w:rPr>
                <w:rFonts w:ascii="Arial" w:cs="Arial" w:eastAsia="Arial" w:hAnsi="Arial"/>
                <w:sz w:val="13"/>
                <w:szCs w:val="13"/>
                <w:color w:val="auto"/>
              </w:rPr>
              <w:t>2013</w:t>
            </w:r>
          </w:p>
        </w:tc>
        <w:tc>
          <w:tcPr>
            <w:tcW w:w="1660" w:type="dxa"/>
            <w:vAlign w:val="bottom"/>
            <w:tcBorders>
              <w:bottom w:val="single" w:sz="8" w:color="auto"/>
            </w:tcBorders>
          </w:tcPr>
          <w:p>
            <w:pPr>
              <w:jc w:val="right"/>
              <w:ind w:right="369"/>
              <w:spacing w:after="0"/>
              <w:rPr>
                <w:sz w:val="20"/>
                <w:szCs w:val="20"/>
                <w:color w:val="auto"/>
              </w:rPr>
            </w:pPr>
            <w:r>
              <w:rPr>
                <w:rFonts w:ascii="Arial" w:cs="Arial" w:eastAsia="Arial" w:hAnsi="Arial"/>
                <w:sz w:val="13"/>
                <w:szCs w:val="13"/>
                <w:color w:val="auto"/>
              </w:rPr>
              <w:t>2012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940" w:type="dxa"/>
            <w:vAlign w:val="bottom"/>
            <w:gridSpan w:val="3"/>
          </w:tcPr>
          <w:p>
            <w:pPr>
              <w:spacing w:after="0" w:line="155" w:lineRule="exact"/>
              <w:rPr>
                <w:sz w:val="20"/>
                <w:szCs w:val="20"/>
                <w:color w:val="auto"/>
              </w:rPr>
            </w:pPr>
            <w:r>
              <w:rPr>
                <w:rFonts w:ascii="Arial" w:cs="Arial" w:eastAsia="Arial" w:hAnsi="Arial"/>
                <w:sz w:val="14"/>
                <w:szCs w:val="14"/>
                <w:b w:val="1"/>
                <w:bCs w:val="1"/>
                <w:color w:val="auto"/>
              </w:rPr>
              <w:t>Cash flow from operating activities</w:t>
            </w:r>
          </w:p>
        </w:tc>
        <w:tc>
          <w:tcPr>
            <w:tcW w:w="1340" w:type="dxa"/>
            <w:vAlign w:val="bottom"/>
            <w:shd w:val="clear" w:color="auto" w:fill="D8D8D8"/>
          </w:tcPr>
          <w:p>
            <w:pPr>
              <w:spacing w:after="0"/>
              <w:rPr>
                <w:sz w:val="13"/>
                <w:szCs w:val="13"/>
                <w:color w:val="auto"/>
              </w:rPr>
            </w:pPr>
          </w:p>
        </w:tc>
        <w:tc>
          <w:tcPr>
            <w:tcW w:w="146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1740" w:type="dxa"/>
            <w:vAlign w:val="bottom"/>
            <w:gridSpan w:val="2"/>
          </w:tcPr>
          <w:p>
            <w:pPr>
              <w:spacing w:after="0"/>
              <w:rPr>
                <w:sz w:val="20"/>
                <w:szCs w:val="20"/>
                <w:color w:val="auto"/>
              </w:rPr>
            </w:pPr>
            <w:r>
              <w:rPr>
                <w:rFonts w:ascii="Arial" w:cs="Arial" w:eastAsia="Arial" w:hAnsi="Arial"/>
                <w:sz w:val="14"/>
                <w:szCs w:val="14"/>
                <w:color w:val="auto"/>
              </w:rPr>
              <w:t>Income for the period</w:t>
            </w:r>
          </w:p>
        </w:tc>
        <w:tc>
          <w:tcPr>
            <w:tcW w:w="38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340" w:type="dxa"/>
            <w:vAlign w:val="bottom"/>
            <w:shd w:val="clear" w:color="auto" w:fill="D8D8D8"/>
          </w:tcPr>
          <w:p>
            <w:pPr>
              <w:jc w:val="right"/>
              <w:ind w:right="369"/>
              <w:spacing w:after="0"/>
              <w:rPr>
                <w:sz w:val="20"/>
                <w:szCs w:val="20"/>
                <w:color w:val="auto"/>
              </w:rPr>
            </w:pPr>
            <w:r>
              <w:rPr>
                <w:rFonts w:ascii="Arial" w:cs="Arial" w:eastAsia="Arial" w:hAnsi="Arial"/>
                <w:sz w:val="14"/>
                <w:szCs w:val="14"/>
                <w:color w:val="auto"/>
              </w:rPr>
              <w:t>2,470</w:t>
            </w:r>
          </w:p>
        </w:tc>
        <w:tc>
          <w:tcPr>
            <w:tcW w:w="1460" w:type="dxa"/>
            <w:vAlign w:val="bottom"/>
          </w:tcPr>
          <w:p>
            <w:pPr>
              <w:jc w:val="right"/>
              <w:ind w:right="490"/>
              <w:spacing w:after="0"/>
              <w:rPr>
                <w:sz w:val="20"/>
                <w:szCs w:val="20"/>
                <w:color w:val="auto"/>
              </w:rPr>
            </w:pPr>
            <w:r>
              <w:rPr>
                <w:rFonts w:ascii="Arial" w:cs="Arial" w:eastAsia="Arial" w:hAnsi="Arial"/>
                <w:sz w:val="14"/>
                <w:szCs w:val="14"/>
                <w:color w:val="auto"/>
              </w:rPr>
              <w:t>2,361</w:t>
            </w:r>
          </w:p>
        </w:tc>
        <w:tc>
          <w:tcPr>
            <w:tcW w:w="1660" w:type="dxa"/>
            <w:vAlign w:val="bottom"/>
          </w:tcPr>
          <w:p>
            <w:pPr>
              <w:jc w:val="right"/>
              <w:ind w:right="369"/>
              <w:spacing w:after="0"/>
              <w:rPr>
                <w:sz w:val="20"/>
                <w:szCs w:val="20"/>
                <w:color w:val="auto"/>
              </w:rPr>
            </w:pPr>
            <w:r>
              <w:rPr>
                <w:rFonts w:ascii="Arial" w:cs="Arial" w:eastAsia="Arial" w:hAnsi="Arial"/>
                <w:sz w:val="14"/>
                <w:szCs w:val="14"/>
                <w:color w:val="auto"/>
              </w:rPr>
              <w:t>2,383</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1740" w:type="dxa"/>
            <w:vAlign w:val="bottom"/>
            <w:gridSpan w:val="2"/>
          </w:tcPr>
          <w:p>
            <w:pPr>
              <w:spacing w:after="0"/>
              <w:rPr>
                <w:sz w:val="20"/>
                <w:szCs w:val="20"/>
                <w:color w:val="auto"/>
              </w:rPr>
            </w:pPr>
            <w:r>
              <w:rPr>
                <w:rFonts w:ascii="Arial" w:cs="Arial" w:eastAsia="Arial" w:hAnsi="Arial"/>
                <w:sz w:val="14"/>
                <w:szCs w:val="14"/>
                <w:color w:val="auto"/>
              </w:rPr>
              <w:t>Adjustment for:</w:t>
            </w:r>
          </w:p>
        </w:tc>
        <w:tc>
          <w:tcPr>
            <w:tcW w:w="38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340" w:type="dxa"/>
            <w:vAlign w:val="bottom"/>
            <w:shd w:val="clear" w:color="auto" w:fill="D8D8D8"/>
          </w:tcPr>
          <w:p>
            <w:pPr>
              <w:spacing w:after="0"/>
              <w:rPr>
                <w:sz w:val="14"/>
                <w:szCs w:val="14"/>
                <w:color w:val="auto"/>
              </w:rPr>
            </w:pPr>
          </w:p>
        </w:tc>
        <w:tc>
          <w:tcPr>
            <w:tcW w:w="146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1720" w:type="dxa"/>
            <w:vAlign w:val="bottom"/>
            <w:tcBorders>
              <w:bottom w:val="single" w:sz="8" w:color="auto"/>
            </w:tcBorders>
          </w:tcPr>
          <w:p>
            <w:pPr>
              <w:ind w:left="120"/>
              <w:spacing w:after="0" w:line="157" w:lineRule="exact"/>
              <w:rPr>
                <w:sz w:val="20"/>
                <w:szCs w:val="20"/>
                <w:color w:val="auto"/>
              </w:rPr>
            </w:pPr>
            <w:r>
              <w:rPr>
                <w:rFonts w:ascii="Arial" w:cs="Arial" w:eastAsia="Arial" w:hAnsi="Arial"/>
                <w:sz w:val="14"/>
                <w:szCs w:val="14"/>
                <w:color w:val="auto"/>
              </w:rPr>
              <w:t>Dividends received</w:t>
            </w:r>
          </w:p>
        </w:tc>
        <w:tc>
          <w:tcPr>
            <w:tcW w:w="3840" w:type="dxa"/>
            <w:vAlign w:val="bottom"/>
            <w:tcBorders>
              <w:bottom w:val="single" w:sz="8" w:color="auto"/>
            </w:tcBorders>
          </w:tcPr>
          <w:p>
            <w:pPr>
              <w:spacing w:after="0"/>
              <w:rPr>
                <w:sz w:val="13"/>
                <w:szCs w:val="13"/>
                <w:color w:val="auto"/>
              </w:rPr>
            </w:pPr>
          </w:p>
        </w:tc>
        <w:tc>
          <w:tcPr>
            <w:tcW w:w="138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shd w:val="clear" w:color="auto" w:fill="D8D8D8"/>
          </w:tcPr>
          <w:p>
            <w:pPr>
              <w:jc w:val="right"/>
              <w:ind w:right="369"/>
              <w:spacing w:after="0" w:line="157" w:lineRule="exact"/>
              <w:rPr>
                <w:sz w:val="20"/>
                <w:szCs w:val="20"/>
                <w:color w:val="auto"/>
              </w:rPr>
            </w:pPr>
            <w:r>
              <w:rPr>
                <w:rFonts w:ascii="Arial" w:cs="Arial" w:eastAsia="Arial" w:hAnsi="Arial"/>
                <w:sz w:val="14"/>
                <w:szCs w:val="14"/>
                <w:color w:val="auto"/>
              </w:rPr>
              <w:t>(2,470)</w:t>
            </w:r>
          </w:p>
        </w:tc>
        <w:tc>
          <w:tcPr>
            <w:tcW w:w="1460" w:type="dxa"/>
            <w:vAlign w:val="bottom"/>
            <w:tcBorders>
              <w:bottom w:val="single" w:sz="8" w:color="auto"/>
            </w:tcBorders>
          </w:tcPr>
          <w:p>
            <w:pPr>
              <w:jc w:val="right"/>
              <w:ind w:right="450"/>
              <w:spacing w:after="0" w:line="157" w:lineRule="exact"/>
              <w:rPr>
                <w:sz w:val="20"/>
                <w:szCs w:val="20"/>
                <w:color w:val="auto"/>
              </w:rPr>
            </w:pPr>
            <w:r>
              <w:rPr>
                <w:rFonts w:ascii="Arial" w:cs="Arial" w:eastAsia="Arial" w:hAnsi="Arial"/>
                <w:sz w:val="14"/>
                <w:szCs w:val="14"/>
                <w:color w:val="auto"/>
              </w:rPr>
              <w:t>(2,361)</w:t>
            </w:r>
          </w:p>
        </w:tc>
        <w:tc>
          <w:tcPr>
            <w:tcW w:w="1660" w:type="dxa"/>
            <w:vAlign w:val="bottom"/>
            <w:tcBorders>
              <w:bottom w:val="single" w:sz="8" w:color="auto"/>
            </w:tcBorders>
          </w:tcPr>
          <w:p>
            <w:pPr>
              <w:jc w:val="right"/>
              <w:ind w:right="329"/>
              <w:spacing w:after="0" w:line="157" w:lineRule="exact"/>
              <w:rPr>
                <w:sz w:val="20"/>
                <w:szCs w:val="20"/>
                <w:color w:val="auto"/>
              </w:rPr>
            </w:pPr>
            <w:r>
              <w:rPr>
                <w:rFonts w:ascii="Arial" w:cs="Arial" w:eastAsia="Arial" w:hAnsi="Arial"/>
                <w:sz w:val="14"/>
                <w:szCs w:val="14"/>
                <w:color w:val="auto"/>
              </w:rPr>
              <w:t>(2,383)</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6960" w:type="dxa"/>
            <w:vAlign w:val="bottom"/>
            <w:gridSpan w:val="4"/>
          </w:tcPr>
          <w:p>
            <w:pPr>
              <w:spacing w:after="0" w:line="155" w:lineRule="exact"/>
              <w:rPr>
                <w:sz w:val="20"/>
                <w:szCs w:val="20"/>
                <w:color w:val="auto"/>
              </w:rPr>
            </w:pPr>
            <w:r>
              <w:rPr>
                <w:rFonts w:ascii="Arial" w:cs="Arial" w:eastAsia="Arial" w:hAnsi="Arial"/>
                <w:sz w:val="14"/>
                <w:szCs w:val="14"/>
                <w:color w:val="auto"/>
              </w:rPr>
              <w:t>Net cash from operating activities</w:t>
            </w:r>
          </w:p>
        </w:tc>
        <w:tc>
          <w:tcPr>
            <w:tcW w:w="1340" w:type="dxa"/>
            <w:vAlign w:val="bottom"/>
            <w:shd w:val="clear" w:color="auto" w:fill="D8D8D8"/>
          </w:tcPr>
          <w:p>
            <w:pPr>
              <w:jc w:val="right"/>
              <w:ind w:right="369"/>
              <w:spacing w:after="0" w:line="155" w:lineRule="exact"/>
              <w:rPr>
                <w:sz w:val="20"/>
                <w:szCs w:val="20"/>
                <w:color w:val="auto"/>
              </w:rPr>
            </w:pPr>
            <w:r>
              <w:rPr>
                <w:rFonts w:ascii="Arial" w:cs="Arial" w:eastAsia="Arial" w:hAnsi="Arial"/>
                <w:sz w:val="14"/>
                <w:szCs w:val="14"/>
                <w:color w:val="auto"/>
              </w:rPr>
              <w:t>–</w:t>
            </w:r>
          </w:p>
        </w:tc>
        <w:tc>
          <w:tcPr>
            <w:tcW w:w="1460" w:type="dxa"/>
            <w:vAlign w:val="bottom"/>
          </w:tcPr>
          <w:p>
            <w:pPr>
              <w:jc w:val="right"/>
              <w:ind w:right="490"/>
              <w:spacing w:after="0" w:line="155" w:lineRule="exact"/>
              <w:rPr>
                <w:sz w:val="20"/>
                <w:szCs w:val="20"/>
                <w:color w:val="auto"/>
              </w:rPr>
            </w:pPr>
            <w:r>
              <w:rPr>
                <w:rFonts w:ascii="Arial" w:cs="Arial" w:eastAsia="Arial" w:hAnsi="Arial"/>
                <w:sz w:val="14"/>
                <w:szCs w:val="14"/>
                <w:color w:val="auto"/>
              </w:rPr>
              <w:t>–</w:t>
            </w:r>
          </w:p>
        </w:tc>
        <w:tc>
          <w:tcPr>
            <w:tcW w:w="1680" w:type="dxa"/>
            <w:vAlign w:val="bottom"/>
            <w:gridSpan w:val="2"/>
          </w:tcPr>
          <w:p>
            <w:pPr>
              <w:jc w:val="right"/>
              <w:ind w:right="460"/>
              <w:spacing w:after="0" w:line="155"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0"/>
        </w:trPr>
        <w:tc>
          <w:tcPr>
            <w:tcW w:w="6960" w:type="dxa"/>
            <w:vAlign w:val="bottom"/>
            <w:tcBorders>
              <w:top w:val="single" w:sz="8" w:color="auto"/>
            </w:tcBorders>
            <w:gridSpan w:val="4"/>
          </w:tcPr>
          <w:p>
            <w:pPr>
              <w:spacing w:after="0"/>
              <w:rPr>
                <w:sz w:val="20"/>
                <w:szCs w:val="20"/>
                <w:color w:val="auto"/>
              </w:rPr>
            </w:pPr>
            <w:r>
              <w:rPr>
                <w:rFonts w:ascii="Arial" w:cs="Arial" w:eastAsia="Arial" w:hAnsi="Arial"/>
                <w:sz w:val="14"/>
                <w:szCs w:val="14"/>
                <w:b w:val="1"/>
                <w:bCs w:val="1"/>
                <w:color w:val="auto"/>
              </w:rPr>
              <w:t>Cash flow from investing activities</w:t>
            </w:r>
          </w:p>
        </w:tc>
        <w:tc>
          <w:tcPr>
            <w:tcW w:w="1340" w:type="dxa"/>
            <w:vAlign w:val="bottom"/>
            <w:tcBorders>
              <w:top w:val="single" w:sz="8" w:color="auto"/>
            </w:tcBorders>
            <w:shd w:val="clear" w:color="auto" w:fill="D8D8D8"/>
          </w:tcPr>
          <w:p>
            <w:pPr>
              <w:spacing w:after="0"/>
              <w:rPr>
                <w:sz w:val="13"/>
                <w:szCs w:val="13"/>
                <w:color w:val="auto"/>
              </w:rPr>
            </w:pPr>
          </w:p>
        </w:tc>
        <w:tc>
          <w:tcPr>
            <w:tcW w:w="1460" w:type="dxa"/>
            <w:vAlign w:val="bottom"/>
            <w:tcBorders>
              <w:top w:val="single" w:sz="8" w:color="auto"/>
            </w:tcBorders>
          </w:tcPr>
          <w:p>
            <w:pPr>
              <w:spacing w:after="0"/>
              <w:rPr>
                <w:sz w:val="13"/>
                <w:szCs w:val="13"/>
                <w:color w:val="auto"/>
              </w:rPr>
            </w:pPr>
          </w:p>
        </w:tc>
        <w:tc>
          <w:tcPr>
            <w:tcW w:w="1660" w:type="dxa"/>
            <w:vAlign w:val="bottom"/>
            <w:tcBorders>
              <w:top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1740" w:type="dxa"/>
            <w:vAlign w:val="bottom"/>
            <w:tcBorders>
              <w:bottom w:val="single" w:sz="8" w:color="auto"/>
            </w:tcBorders>
            <w:gridSpan w:val="2"/>
          </w:tcPr>
          <w:p>
            <w:pPr>
              <w:spacing w:after="0" w:line="157" w:lineRule="exact"/>
              <w:rPr>
                <w:sz w:val="20"/>
                <w:szCs w:val="20"/>
                <w:color w:val="auto"/>
              </w:rPr>
            </w:pPr>
            <w:r>
              <w:rPr>
                <w:rFonts w:ascii="Arial" w:cs="Arial" w:eastAsia="Arial" w:hAnsi="Arial"/>
                <w:sz w:val="14"/>
                <w:szCs w:val="14"/>
                <w:color w:val="auto"/>
              </w:rPr>
              <w:t>Dividends received</w:t>
            </w:r>
          </w:p>
        </w:tc>
        <w:tc>
          <w:tcPr>
            <w:tcW w:w="3840" w:type="dxa"/>
            <w:vAlign w:val="bottom"/>
            <w:tcBorders>
              <w:bottom w:val="single" w:sz="8" w:color="auto"/>
            </w:tcBorders>
          </w:tcPr>
          <w:p>
            <w:pPr>
              <w:spacing w:after="0"/>
              <w:rPr>
                <w:sz w:val="13"/>
                <w:szCs w:val="13"/>
                <w:color w:val="auto"/>
              </w:rPr>
            </w:pPr>
          </w:p>
        </w:tc>
        <w:tc>
          <w:tcPr>
            <w:tcW w:w="138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shd w:val="clear" w:color="auto" w:fill="D8D8D8"/>
          </w:tcPr>
          <w:p>
            <w:pPr>
              <w:jc w:val="right"/>
              <w:ind w:right="369"/>
              <w:spacing w:after="0" w:line="157" w:lineRule="exact"/>
              <w:rPr>
                <w:sz w:val="20"/>
                <w:szCs w:val="20"/>
                <w:color w:val="auto"/>
              </w:rPr>
            </w:pPr>
            <w:r>
              <w:rPr>
                <w:rFonts w:ascii="Arial" w:cs="Arial" w:eastAsia="Arial" w:hAnsi="Arial"/>
                <w:sz w:val="14"/>
                <w:szCs w:val="14"/>
                <w:color w:val="auto"/>
              </w:rPr>
              <w:t>2,470</w:t>
            </w:r>
          </w:p>
        </w:tc>
        <w:tc>
          <w:tcPr>
            <w:tcW w:w="1460" w:type="dxa"/>
            <w:vAlign w:val="bottom"/>
            <w:tcBorders>
              <w:bottom w:val="single" w:sz="8" w:color="auto"/>
            </w:tcBorders>
          </w:tcPr>
          <w:p>
            <w:pPr>
              <w:jc w:val="right"/>
              <w:ind w:right="490"/>
              <w:spacing w:after="0" w:line="157" w:lineRule="exact"/>
              <w:rPr>
                <w:sz w:val="20"/>
                <w:szCs w:val="20"/>
                <w:color w:val="auto"/>
              </w:rPr>
            </w:pPr>
            <w:r>
              <w:rPr>
                <w:rFonts w:ascii="Arial" w:cs="Arial" w:eastAsia="Arial" w:hAnsi="Arial"/>
                <w:sz w:val="14"/>
                <w:szCs w:val="14"/>
                <w:color w:val="auto"/>
              </w:rPr>
              <w:t>2,361</w:t>
            </w:r>
          </w:p>
        </w:tc>
        <w:tc>
          <w:tcPr>
            <w:tcW w:w="1660" w:type="dxa"/>
            <w:vAlign w:val="bottom"/>
            <w:tcBorders>
              <w:bottom w:val="single" w:sz="8" w:color="auto"/>
            </w:tcBorders>
          </w:tcPr>
          <w:p>
            <w:pPr>
              <w:jc w:val="right"/>
              <w:ind w:right="369"/>
              <w:spacing w:after="0" w:line="157" w:lineRule="exact"/>
              <w:rPr>
                <w:sz w:val="20"/>
                <w:szCs w:val="20"/>
                <w:color w:val="auto"/>
              </w:rPr>
            </w:pPr>
            <w:r>
              <w:rPr>
                <w:rFonts w:ascii="Arial" w:cs="Arial" w:eastAsia="Arial" w:hAnsi="Arial"/>
                <w:sz w:val="14"/>
                <w:szCs w:val="14"/>
                <w:color w:val="auto"/>
              </w:rPr>
              <w:t>2,383</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6960" w:type="dxa"/>
            <w:vAlign w:val="bottom"/>
            <w:tcBorders>
              <w:bottom w:val="single" w:sz="8" w:color="auto"/>
            </w:tcBorders>
            <w:gridSpan w:val="4"/>
          </w:tcPr>
          <w:p>
            <w:pPr>
              <w:spacing w:after="0" w:line="155" w:lineRule="exact"/>
              <w:rPr>
                <w:sz w:val="20"/>
                <w:szCs w:val="20"/>
                <w:color w:val="auto"/>
              </w:rPr>
            </w:pPr>
            <w:r>
              <w:rPr>
                <w:rFonts w:ascii="Arial" w:cs="Arial" w:eastAsia="Arial" w:hAnsi="Arial"/>
                <w:sz w:val="14"/>
                <w:szCs w:val="14"/>
                <w:color w:val="auto"/>
              </w:rPr>
              <w:t>Net cash from investing activities</w:t>
            </w:r>
          </w:p>
        </w:tc>
        <w:tc>
          <w:tcPr>
            <w:tcW w:w="1340" w:type="dxa"/>
            <w:vAlign w:val="bottom"/>
            <w:tcBorders>
              <w:bottom w:val="single" w:sz="8" w:color="auto"/>
            </w:tcBorders>
            <w:shd w:val="clear" w:color="auto" w:fill="D8D8D8"/>
          </w:tcPr>
          <w:p>
            <w:pPr>
              <w:jc w:val="right"/>
              <w:ind w:right="369"/>
              <w:spacing w:after="0" w:line="155" w:lineRule="exact"/>
              <w:rPr>
                <w:sz w:val="20"/>
                <w:szCs w:val="20"/>
                <w:color w:val="auto"/>
              </w:rPr>
            </w:pPr>
            <w:r>
              <w:rPr>
                <w:rFonts w:ascii="Arial" w:cs="Arial" w:eastAsia="Arial" w:hAnsi="Arial"/>
                <w:sz w:val="14"/>
                <w:szCs w:val="14"/>
                <w:color w:val="auto"/>
              </w:rPr>
              <w:t>2,470</w:t>
            </w:r>
          </w:p>
        </w:tc>
        <w:tc>
          <w:tcPr>
            <w:tcW w:w="1460" w:type="dxa"/>
            <w:vAlign w:val="bottom"/>
            <w:tcBorders>
              <w:bottom w:val="single" w:sz="8" w:color="auto"/>
            </w:tcBorders>
          </w:tcPr>
          <w:p>
            <w:pPr>
              <w:jc w:val="right"/>
              <w:ind w:right="490"/>
              <w:spacing w:after="0" w:line="155" w:lineRule="exact"/>
              <w:rPr>
                <w:sz w:val="20"/>
                <w:szCs w:val="20"/>
                <w:color w:val="auto"/>
              </w:rPr>
            </w:pPr>
            <w:r>
              <w:rPr>
                <w:rFonts w:ascii="Arial" w:cs="Arial" w:eastAsia="Arial" w:hAnsi="Arial"/>
                <w:sz w:val="14"/>
                <w:szCs w:val="14"/>
                <w:color w:val="auto"/>
              </w:rPr>
              <w:t>2,361</w:t>
            </w:r>
          </w:p>
        </w:tc>
        <w:tc>
          <w:tcPr>
            <w:tcW w:w="1660" w:type="dxa"/>
            <w:vAlign w:val="bottom"/>
            <w:tcBorders>
              <w:bottom w:val="single" w:sz="8" w:color="auto"/>
            </w:tcBorders>
          </w:tcPr>
          <w:p>
            <w:pPr>
              <w:jc w:val="right"/>
              <w:ind w:right="369"/>
              <w:spacing w:after="0" w:line="155" w:lineRule="exact"/>
              <w:rPr>
                <w:sz w:val="20"/>
                <w:szCs w:val="20"/>
                <w:color w:val="auto"/>
              </w:rPr>
            </w:pPr>
            <w:r>
              <w:rPr>
                <w:rFonts w:ascii="Arial" w:cs="Arial" w:eastAsia="Arial" w:hAnsi="Arial"/>
                <w:sz w:val="14"/>
                <w:szCs w:val="14"/>
                <w:color w:val="auto"/>
              </w:rPr>
              <w:t>2,383</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6960" w:type="dxa"/>
            <w:vAlign w:val="bottom"/>
            <w:gridSpan w:val="4"/>
          </w:tcPr>
          <w:p>
            <w:pPr>
              <w:spacing w:after="0"/>
              <w:rPr>
                <w:sz w:val="20"/>
                <w:szCs w:val="20"/>
                <w:color w:val="auto"/>
              </w:rPr>
            </w:pPr>
            <w:r>
              <w:rPr>
                <w:rFonts w:ascii="Arial" w:cs="Arial" w:eastAsia="Arial" w:hAnsi="Arial"/>
                <w:sz w:val="14"/>
                <w:szCs w:val="14"/>
                <w:b w:val="1"/>
                <w:bCs w:val="1"/>
                <w:color w:val="auto"/>
              </w:rPr>
              <w:t>Cash flow from financing activities</w:t>
            </w:r>
          </w:p>
        </w:tc>
        <w:tc>
          <w:tcPr>
            <w:tcW w:w="1340" w:type="dxa"/>
            <w:vAlign w:val="bottom"/>
            <w:shd w:val="clear" w:color="auto" w:fill="D8D8D8"/>
          </w:tcPr>
          <w:p>
            <w:pPr>
              <w:spacing w:after="0"/>
              <w:rPr>
                <w:sz w:val="13"/>
                <w:szCs w:val="13"/>
                <w:color w:val="auto"/>
              </w:rPr>
            </w:pPr>
          </w:p>
        </w:tc>
        <w:tc>
          <w:tcPr>
            <w:tcW w:w="146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1740" w:type="dxa"/>
            <w:vAlign w:val="bottom"/>
            <w:tcBorders>
              <w:bottom w:val="single" w:sz="8" w:color="auto"/>
            </w:tcBorders>
            <w:gridSpan w:val="2"/>
          </w:tcPr>
          <w:p>
            <w:pPr>
              <w:spacing w:after="0" w:line="157" w:lineRule="exact"/>
              <w:rPr>
                <w:sz w:val="20"/>
                <w:szCs w:val="20"/>
                <w:color w:val="auto"/>
              </w:rPr>
            </w:pPr>
            <w:r>
              <w:rPr>
                <w:rFonts w:ascii="Arial" w:cs="Arial" w:eastAsia="Arial" w:hAnsi="Arial"/>
                <w:sz w:val="14"/>
                <w:szCs w:val="14"/>
                <w:color w:val="auto"/>
              </w:rPr>
              <w:t>Distributions made</w:t>
            </w:r>
          </w:p>
        </w:tc>
        <w:tc>
          <w:tcPr>
            <w:tcW w:w="3840" w:type="dxa"/>
            <w:vAlign w:val="bottom"/>
            <w:tcBorders>
              <w:bottom w:val="single" w:sz="8" w:color="auto"/>
            </w:tcBorders>
          </w:tcPr>
          <w:p>
            <w:pPr>
              <w:spacing w:after="0"/>
              <w:rPr>
                <w:sz w:val="13"/>
                <w:szCs w:val="13"/>
                <w:color w:val="auto"/>
              </w:rPr>
            </w:pPr>
          </w:p>
        </w:tc>
        <w:tc>
          <w:tcPr>
            <w:tcW w:w="138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shd w:val="clear" w:color="auto" w:fill="D8D8D8"/>
          </w:tcPr>
          <w:p>
            <w:pPr>
              <w:jc w:val="right"/>
              <w:ind w:right="369"/>
              <w:spacing w:after="0" w:line="157" w:lineRule="exact"/>
              <w:rPr>
                <w:sz w:val="20"/>
                <w:szCs w:val="20"/>
                <w:color w:val="auto"/>
              </w:rPr>
            </w:pPr>
            <w:r>
              <w:rPr>
                <w:rFonts w:ascii="Arial" w:cs="Arial" w:eastAsia="Arial" w:hAnsi="Arial"/>
                <w:sz w:val="14"/>
                <w:szCs w:val="14"/>
                <w:color w:val="auto"/>
              </w:rPr>
              <w:t>(2,470)</w:t>
            </w:r>
          </w:p>
        </w:tc>
        <w:tc>
          <w:tcPr>
            <w:tcW w:w="1460" w:type="dxa"/>
            <w:vAlign w:val="bottom"/>
            <w:tcBorders>
              <w:bottom w:val="single" w:sz="8" w:color="auto"/>
            </w:tcBorders>
          </w:tcPr>
          <w:p>
            <w:pPr>
              <w:jc w:val="right"/>
              <w:ind w:right="450"/>
              <w:spacing w:after="0" w:line="157" w:lineRule="exact"/>
              <w:rPr>
                <w:sz w:val="20"/>
                <w:szCs w:val="20"/>
                <w:color w:val="auto"/>
              </w:rPr>
            </w:pPr>
            <w:r>
              <w:rPr>
                <w:rFonts w:ascii="Arial" w:cs="Arial" w:eastAsia="Arial" w:hAnsi="Arial"/>
                <w:sz w:val="14"/>
                <w:szCs w:val="14"/>
                <w:color w:val="auto"/>
              </w:rPr>
              <w:t>(2,361)</w:t>
            </w:r>
          </w:p>
        </w:tc>
        <w:tc>
          <w:tcPr>
            <w:tcW w:w="1660" w:type="dxa"/>
            <w:vAlign w:val="bottom"/>
            <w:tcBorders>
              <w:bottom w:val="single" w:sz="8" w:color="auto"/>
            </w:tcBorders>
          </w:tcPr>
          <w:p>
            <w:pPr>
              <w:jc w:val="right"/>
              <w:ind w:right="329"/>
              <w:spacing w:after="0" w:line="157" w:lineRule="exact"/>
              <w:rPr>
                <w:sz w:val="20"/>
                <w:szCs w:val="20"/>
                <w:color w:val="auto"/>
              </w:rPr>
            </w:pPr>
            <w:r>
              <w:rPr>
                <w:rFonts w:ascii="Arial" w:cs="Arial" w:eastAsia="Arial" w:hAnsi="Arial"/>
                <w:sz w:val="14"/>
                <w:szCs w:val="14"/>
                <w:color w:val="auto"/>
              </w:rPr>
              <w:t>(2,383)</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6960" w:type="dxa"/>
            <w:vAlign w:val="bottom"/>
            <w:tcBorders>
              <w:bottom w:val="single" w:sz="8" w:color="auto"/>
            </w:tcBorders>
            <w:gridSpan w:val="4"/>
          </w:tcPr>
          <w:p>
            <w:pPr>
              <w:spacing w:after="0" w:line="155" w:lineRule="exact"/>
              <w:rPr>
                <w:sz w:val="20"/>
                <w:szCs w:val="20"/>
                <w:color w:val="auto"/>
              </w:rPr>
            </w:pPr>
            <w:r>
              <w:rPr>
                <w:rFonts w:ascii="Arial" w:cs="Arial" w:eastAsia="Arial" w:hAnsi="Arial"/>
                <w:sz w:val="14"/>
                <w:szCs w:val="14"/>
                <w:color w:val="auto"/>
              </w:rPr>
              <w:t>Net cash used in financing activities</w:t>
            </w:r>
          </w:p>
        </w:tc>
        <w:tc>
          <w:tcPr>
            <w:tcW w:w="1340" w:type="dxa"/>
            <w:vAlign w:val="bottom"/>
            <w:tcBorders>
              <w:bottom w:val="single" w:sz="8" w:color="auto"/>
            </w:tcBorders>
            <w:shd w:val="clear" w:color="auto" w:fill="D8D8D8"/>
          </w:tcPr>
          <w:p>
            <w:pPr>
              <w:jc w:val="right"/>
              <w:ind w:right="369"/>
              <w:spacing w:after="0" w:line="155" w:lineRule="exact"/>
              <w:rPr>
                <w:sz w:val="20"/>
                <w:szCs w:val="20"/>
                <w:color w:val="auto"/>
              </w:rPr>
            </w:pPr>
            <w:r>
              <w:rPr>
                <w:rFonts w:ascii="Arial" w:cs="Arial" w:eastAsia="Arial" w:hAnsi="Arial"/>
                <w:sz w:val="14"/>
                <w:szCs w:val="14"/>
                <w:color w:val="auto"/>
              </w:rPr>
              <w:t>(2,470)</w:t>
            </w:r>
          </w:p>
        </w:tc>
        <w:tc>
          <w:tcPr>
            <w:tcW w:w="1460" w:type="dxa"/>
            <w:vAlign w:val="bottom"/>
            <w:tcBorders>
              <w:bottom w:val="single" w:sz="8" w:color="auto"/>
            </w:tcBorders>
          </w:tcPr>
          <w:p>
            <w:pPr>
              <w:jc w:val="right"/>
              <w:ind w:right="450"/>
              <w:spacing w:after="0" w:line="155" w:lineRule="exact"/>
              <w:rPr>
                <w:sz w:val="20"/>
                <w:szCs w:val="20"/>
                <w:color w:val="auto"/>
              </w:rPr>
            </w:pPr>
            <w:r>
              <w:rPr>
                <w:rFonts w:ascii="Arial" w:cs="Arial" w:eastAsia="Arial" w:hAnsi="Arial"/>
                <w:sz w:val="14"/>
                <w:szCs w:val="14"/>
                <w:color w:val="auto"/>
              </w:rPr>
              <w:t>(2,361)</w:t>
            </w:r>
          </w:p>
        </w:tc>
        <w:tc>
          <w:tcPr>
            <w:tcW w:w="1660" w:type="dxa"/>
            <w:vAlign w:val="bottom"/>
            <w:tcBorders>
              <w:bottom w:val="single" w:sz="8" w:color="auto"/>
            </w:tcBorders>
          </w:tcPr>
          <w:p>
            <w:pPr>
              <w:jc w:val="right"/>
              <w:ind w:right="329"/>
              <w:spacing w:after="0" w:line="155" w:lineRule="exact"/>
              <w:rPr>
                <w:sz w:val="20"/>
                <w:szCs w:val="20"/>
                <w:color w:val="auto"/>
              </w:rPr>
            </w:pPr>
            <w:r>
              <w:rPr>
                <w:rFonts w:ascii="Arial" w:cs="Arial" w:eastAsia="Arial" w:hAnsi="Arial"/>
                <w:sz w:val="14"/>
                <w:szCs w:val="14"/>
                <w:color w:val="auto"/>
              </w:rPr>
              <w:t>(2,383)</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6960" w:type="dxa"/>
            <w:vAlign w:val="bottom"/>
            <w:gridSpan w:val="4"/>
          </w:tcPr>
          <w:p>
            <w:pPr>
              <w:spacing w:after="0"/>
              <w:rPr>
                <w:sz w:val="20"/>
                <w:szCs w:val="20"/>
                <w:color w:val="auto"/>
              </w:rPr>
            </w:pPr>
            <w:r>
              <w:rPr>
                <w:rFonts w:ascii="Arial" w:cs="Arial" w:eastAsia="Arial" w:hAnsi="Arial"/>
                <w:sz w:val="14"/>
                <w:szCs w:val="14"/>
                <w:color w:val="auto"/>
              </w:rPr>
              <w:t>Change in cash and cash equivalents</w:t>
            </w:r>
          </w:p>
        </w:tc>
        <w:tc>
          <w:tcPr>
            <w:tcW w:w="1340" w:type="dxa"/>
            <w:vAlign w:val="bottom"/>
            <w:shd w:val="clear" w:color="auto" w:fill="D8D8D8"/>
          </w:tcPr>
          <w:p>
            <w:pPr>
              <w:jc w:val="right"/>
              <w:ind w:right="369"/>
              <w:spacing w:after="0"/>
              <w:rPr>
                <w:sz w:val="20"/>
                <w:szCs w:val="20"/>
                <w:color w:val="auto"/>
              </w:rPr>
            </w:pPr>
            <w:r>
              <w:rPr>
                <w:rFonts w:ascii="Arial" w:cs="Arial" w:eastAsia="Arial" w:hAnsi="Arial"/>
                <w:sz w:val="14"/>
                <w:szCs w:val="14"/>
                <w:color w:val="auto"/>
              </w:rPr>
              <w:t>–</w:t>
            </w:r>
          </w:p>
        </w:tc>
        <w:tc>
          <w:tcPr>
            <w:tcW w:w="1460" w:type="dxa"/>
            <w:vAlign w:val="bottom"/>
          </w:tcPr>
          <w:p>
            <w:pPr>
              <w:jc w:val="right"/>
              <w:ind w:right="490"/>
              <w:spacing w:after="0"/>
              <w:rPr>
                <w:sz w:val="20"/>
                <w:szCs w:val="20"/>
                <w:color w:val="auto"/>
              </w:rPr>
            </w:pPr>
            <w:r>
              <w:rPr>
                <w:rFonts w:ascii="Arial" w:cs="Arial" w:eastAsia="Arial" w:hAnsi="Arial"/>
                <w:sz w:val="14"/>
                <w:szCs w:val="14"/>
                <w:color w:val="auto"/>
              </w:rPr>
              <w:t>–</w:t>
            </w:r>
          </w:p>
        </w:tc>
        <w:tc>
          <w:tcPr>
            <w:tcW w:w="1680" w:type="dxa"/>
            <w:vAlign w:val="bottom"/>
            <w:gridSpan w:val="2"/>
          </w:tcPr>
          <w:p>
            <w:pPr>
              <w:jc w:val="right"/>
              <w:ind w:right="4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7"/>
        </w:trPr>
        <w:tc>
          <w:tcPr>
            <w:tcW w:w="6960" w:type="dxa"/>
            <w:vAlign w:val="bottom"/>
            <w:tcBorders>
              <w:bottom w:val="single" w:sz="8" w:color="auto"/>
            </w:tcBorders>
            <w:gridSpan w:val="4"/>
          </w:tcPr>
          <w:p>
            <w:pPr>
              <w:spacing w:after="0" w:line="157" w:lineRule="exact"/>
              <w:rPr>
                <w:sz w:val="20"/>
                <w:szCs w:val="20"/>
                <w:color w:val="auto"/>
              </w:rPr>
            </w:pPr>
            <w:r>
              <w:rPr>
                <w:rFonts w:ascii="Arial" w:cs="Arial" w:eastAsia="Arial" w:hAnsi="Arial"/>
                <w:sz w:val="14"/>
                <w:szCs w:val="14"/>
                <w:color w:val="auto"/>
              </w:rPr>
              <w:t>Cash and cash equivalents at January 1</w:t>
            </w:r>
          </w:p>
        </w:tc>
        <w:tc>
          <w:tcPr>
            <w:tcW w:w="1340" w:type="dxa"/>
            <w:vAlign w:val="bottom"/>
            <w:tcBorders>
              <w:bottom w:val="single" w:sz="8" w:color="auto"/>
            </w:tcBorders>
            <w:shd w:val="clear" w:color="auto" w:fill="D8D8D8"/>
          </w:tcPr>
          <w:p>
            <w:pPr>
              <w:jc w:val="right"/>
              <w:ind w:right="369"/>
              <w:spacing w:after="0" w:line="157" w:lineRule="exact"/>
              <w:rPr>
                <w:sz w:val="20"/>
                <w:szCs w:val="20"/>
                <w:color w:val="auto"/>
              </w:rPr>
            </w:pPr>
            <w:r>
              <w:rPr>
                <w:rFonts w:ascii="Arial" w:cs="Arial" w:eastAsia="Arial" w:hAnsi="Arial"/>
                <w:sz w:val="14"/>
                <w:szCs w:val="14"/>
                <w:color w:val="auto"/>
              </w:rPr>
              <w:t>1</w:t>
            </w:r>
          </w:p>
        </w:tc>
        <w:tc>
          <w:tcPr>
            <w:tcW w:w="1460" w:type="dxa"/>
            <w:vAlign w:val="bottom"/>
            <w:tcBorders>
              <w:bottom w:val="single" w:sz="8" w:color="auto"/>
            </w:tcBorders>
          </w:tcPr>
          <w:p>
            <w:pPr>
              <w:jc w:val="right"/>
              <w:ind w:right="490"/>
              <w:spacing w:after="0" w:line="157" w:lineRule="exact"/>
              <w:rPr>
                <w:sz w:val="20"/>
                <w:szCs w:val="20"/>
                <w:color w:val="auto"/>
              </w:rPr>
            </w:pPr>
            <w:r>
              <w:rPr>
                <w:rFonts w:ascii="Arial" w:cs="Arial" w:eastAsia="Arial" w:hAnsi="Arial"/>
                <w:sz w:val="14"/>
                <w:szCs w:val="14"/>
                <w:color w:val="auto"/>
              </w:rPr>
              <w:t>1</w:t>
            </w:r>
          </w:p>
        </w:tc>
        <w:tc>
          <w:tcPr>
            <w:tcW w:w="1660" w:type="dxa"/>
            <w:vAlign w:val="bottom"/>
            <w:tcBorders>
              <w:bottom w:val="single" w:sz="8" w:color="auto"/>
            </w:tcBorders>
          </w:tcPr>
          <w:p>
            <w:pPr>
              <w:jc w:val="right"/>
              <w:ind w:right="369"/>
              <w:spacing w:after="0" w:line="157" w:lineRule="exact"/>
              <w:rPr>
                <w:sz w:val="20"/>
                <w:szCs w:val="20"/>
                <w:color w:val="auto"/>
              </w:rPr>
            </w:pPr>
            <w:r>
              <w:rPr>
                <w:rFonts w:ascii="Arial" w:cs="Arial" w:eastAsia="Arial" w:hAnsi="Arial"/>
                <w:sz w:val="14"/>
                <w:szCs w:val="14"/>
                <w:color w:val="auto"/>
              </w:rPr>
              <w:t>1</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6960" w:type="dxa"/>
            <w:vAlign w:val="bottom"/>
            <w:gridSpan w:val="4"/>
          </w:tcPr>
          <w:p>
            <w:pPr>
              <w:spacing w:after="0" w:line="155" w:lineRule="exact"/>
              <w:rPr>
                <w:sz w:val="20"/>
                <w:szCs w:val="20"/>
                <w:color w:val="auto"/>
              </w:rPr>
            </w:pPr>
            <w:r>
              <w:rPr>
                <w:rFonts w:ascii="Arial" w:cs="Arial" w:eastAsia="Arial" w:hAnsi="Arial"/>
                <w:sz w:val="14"/>
                <w:szCs w:val="14"/>
                <w:color w:val="auto"/>
              </w:rPr>
              <w:t>Cash and cash equivalents at December 31</w:t>
            </w:r>
          </w:p>
        </w:tc>
        <w:tc>
          <w:tcPr>
            <w:tcW w:w="1340" w:type="dxa"/>
            <w:vAlign w:val="bottom"/>
            <w:shd w:val="clear" w:color="auto" w:fill="D8D8D8"/>
          </w:tcPr>
          <w:p>
            <w:pPr>
              <w:jc w:val="right"/>
              <w:ind w:right="369"/>
              <w:spacing w:after="0" w:line="155" w:lineRule="exact"/>
              <w:rPr>
                <w:sz w:val="20"/>
                <w:szCs w:val="20"/>
                <w:color w:val="auto"/>
              </w:rPr>
            </w:pPr>
            <w:r>
              <w:rPr>
                <w:rFonts w:ascii="Arial" w:cs="Arial" w:eastAsia="Arial" w:hAnsi="Arial"/>
                <w:sz w:val="14"/>
                <w:szCs w:val="14"/>
                <w:color w:val="auto"/>
              </w:rPr>
              <w:t>1</w:t>
            </w:r>
          </w:p>
        </w:tc>
        <w:tc>
          <w:tcPr>
            <w:tcW w:w="1460" w:type="dxa"/>
            <w:vAlign w:val="bottom"/>
          </w:tcPr>
          <w:p>
            <w:pPr>
              <w:jc w:val="right"/>
              <w:ind w:right="490"/>
              <w:spacing w:after="0" w:line="155" w:lineRule="exact"/>
              <w:rPr>
                <w:sz w:val="20"/>
                <w:szCs w:val="20"/>
                <w:color w:val="auto"/>
              </w:rPr>
            </w:pPr>
            <w:r>
              <w:rPr>
                <w:rFonts w:ascii="Arial" w:cs="Arial" w:eastAsia="Arial" w:hAnsi="Arial"/>
                <w:sz w:val="14"/>
                <w:szCs w:val="14"/>
                <w:color w:val="auto"/>
              </w:rPr>
              <w:t>1</w:t>
            </w:r>
          </w:p>
        </w:tc>
        <w:tc>
          <w:tcPr>
            <w:tcW w:w="1660" w:type="dxa"/>
            <w:vAlign w:val="bottom"/>
          </w:tcPr>
          <w:p>
            <w:pPr>
              <w:jc w:val="right"/>
              <w:ind w:right="369"/>
              <w:spacing w:after="0" w:line="155" w:lineRule="exact"/>
              <w:rPr>
                <w:sz w:val="20"/>
                <w:szCs w:val="20"/>
                <w:color w:val="auto"/>
              </w:rPr>
            </w:pPr>
            <w:r>
              <w:rPr>
                <w:rFonts w:ascii="Arial" w:cs="Arial" w:eastAsia="Arial" w:hAnsi="Arial"/>
                <w:sz w:val="14"/>
                <w:szCs w:val="14"/>
                <w:color w:val="auto"/>
              </w:rPr>
              <w:t>1</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720" w:type="dxa"/>
            <w:vAlign w:val="bottom"/>
            <w:shd w:val="clear" w:color="auto" w:fill="000000"/>
          </w:tcPr>
          <w:p>
            <w:pPr>
              <w:spacing w:after="0" w:line="20" w:lineRule="exact"/>
              <w:rPr>
                <w:sz w:val="1"/>
                <w:szCs w:val="1"/>
                <w:color w:val="auto"/>
              </w:rPr>
            </w:pPr>
          </w:p>
        </w:tc>
        <w:tc>
          <w:tcPr>
            <w:tcW w:w="384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16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420"/>
          </w:cols>
          <w:pgMar w:left="240" w:top="460" w:right="239" w:bottom="1440" w:gutter="0" w:footer="0" w:header="0"/>
        </w:sectPr>
      </w:pPr>
    </w:p>
    <w:bookmarkStart w:id="178" w:name="page179"/>
    <w:bookmarkEnd w:id="1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6402705</wp:posOffset>
            </wp:positionH>
            <wp:positionV relativeFrom="paragraph">
              <wp:posOffset>300355</wp:posOffset>
            </wp:positionV>
            <wp:extent cx="8890" cy="462915"/>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35">
                      <a:extLst>
                        <a:ext uri="{28A0092B-C50C-407E-A947-70E740481C1C}"/>
                      </a:extLst>
                    </a:blip>
                    <a:srcRect/>
                    <a:stretch>
                      <a:fillRect/>
                    </a:stretch>
                  </pic:blipFill>
                  <pic:spPr bwMode="auto">
                    <a:xfrm>
                      <a:off x="0" y="0"/>
                      <a:ext cx="8890" cy="462915"/>
                    </a:xfrm>
                    <a:prstGeom prst="rect">
                      <a:avLst/>
                    </a:prstGeom>
                    <a:noFill/>
                  </pic:spPr>
                </pic:pic>
              </a:graphicData>
            </a:graphic>
          </wp:anchor>
        </w:drawing>
      </w:r>
    </w:p>
    <w:p>
      <w:pPr>
        <w:spacing w:after="0" w:line="200" w:lineRule="exact"/>
        <w:rPr>
          <w:sz w:val="20"/>
          <w:szCs w:val="20"/>
          <w:color w:val="auto"/>
        </w:rPr>
      </w:pP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565"/>
        </w:trPr>
        <w:tc>
          <w:tcPr>
            <w:tcW w:w="5600" w:type="dxa"/>
            <w:vAlign w:val="bottom"/>
          </w:tcPr>
          <w:p>
            <w:pPr>
              <w:spacing w:after="0"/>
              <w:rPr>
                <w:sz w:val="24"/>
                <w:szCs w:val="24"/>
                <w:color w:val="auto"/>
              </w:rPr>
            </w:pPr>
          </w:p>
        </w:tc>
        <w:tc>
          <w:tcPr>
            <w:tcW w:w="4360" w:type="dxa"/>
            <w:vAlign w:val="bottom"/>
            <w:shd w:val="clear" w:color="auto" w:fill="FF8B00"/>
          </w:tcPr>
          <w:p>
            <w:pPr>
              <w:ind w:left="840"/>
              <w:spacing w:after="0"/>
              <w:rPr>
                <w:sz w:val="20"/>
                <w:szCs w:val="20"/>
                <w:color w:val="auto"/>
              </w:rPr>
            </w:pPr>
            <w:r>
              <w:rPr>
                <w:rFonts w:ascii="Arial" w:cs="Arial" w:eastAsia="Arial" w:hAnsi="Arial"/>
                <w:sz w:val="13"/>
                <w:szCs w:val="13"/>
                <w:color w:val="333333"/>
              </w:rPr>
              <w:t>FINANCIAL STATEMENTS AND SUPPLEMENTS</w:t>
            </w:r>
          </w:p>
        </w:tc>
        <w:tc>
          <w:tcPr>
            <w:tcW w:w="1460" w:type="dxa"/>
            <w:vAlign w:val="bottom"/>
            <w:shd w:val="clear" w:color="auto" w:fill="FF8B00"/>
          </w:tcPr>
          <w:p>
            <w:pPr>
              <w:jc w:val="right"/>
              <w:ind w:right="486"/>
              <w:spacing w:after="0"/>
              <w:rPr>
                <w:sz w:val="20"/>
                <w:szCs w:val="20"/>
                <w:color w:val="auto"/>
              </w:rPr>
            </w:pPr>
            <w:r>
              <w:rPr>
                <w:rFonts w:ascii="Arial" w:cs="Arial" w:eastAsia="Arial" w:hAnsi="Arial"/>
                <w:sz w:val="11"/>
                <w:szCs w:val="11"/>
                <w:b w:val="1"/>
                <w:bCs w:val="1"/>
                <w:color w:val="333333"/>
              </w:rPr>
              <w:t>177</w:t>
            </w:r>
          </w:p>
        </w:tc>
        <w:tc>
          <w:tcPr>
            <w:tcW w:w="0" w:type="dxa"/>
            <w:vAlign w:val="bottom"/>
          </w:tcPr>
          <w:p>
            <w:pPr>
              <w:spacing w:after="0"/>
              <w:rPr>
                <w:sz w:val="1"/>
                <w:szCs w:val="1"/>
                <w:color w:val="auto"/>
              </w:rPr>
            </w:pPr>
          </w:p>
        </w:tc>
      </w:tr>
      <w:tr>
        <w:trPr>
          <w:trHeight w:val="165"/>
        </w:trPr>
        <w:tc>
          <w:tcPr>
            <w:tcW w:w="5600" w:type="dxa"/>
            <w:vAlign w:val="bottom"/>
            <w:vMerge w:val="restart"/>
          </w:tcPr>
          <w:p>
            <w:pPr>
              <w:spacing w:after="0"/>
              <w:rPr>
                <w:sz w:val="20"/>
                <w:szCs w:val="20"/>
                <w:color w:val="auto"/>
              </w:rPr>
            </w:pPr>
            <w:r>
              <w:rPr>
                <w:rFonts w:ascii="Arial" w:cs="Arial" w:eastAsia="Arial" w:hAnsi="Arial"/>
                <w:sz w:val="11"/>
                <w:szCs w:val="11"/>
                <w:color w:val="auto"/>
              </w:rPr>
              <w:t>SHELL ANNUAL REPORT AND FORM 20-F 2014</w:t>
            </w:r>
          </w:p>
        </w:tc>
        <w:tc>
          <w:tcPr>
            <w:tcW w:w="4360" w:type="dxa"/>
            <w:vAlign w:val="bottom"/>
            <w:shd w:val="clear" w:color="auto" w:fill="FF8B00"/>
          </w:tcPr>
          <w:p>
            <w:pPr>
              <w:spacing w:after="0"/>
              <w:rPr>
                <w:sz w:val="14"/>
                <w:szCs w:val="14"/>
                <w:color w:val="auto"/>
              </w:rPr>
            </w:pPr>
          </w:p>
        </w:tc>
        <w:tc>
          <w:tcPr>
            <w:tcW w:w="1460" w:type="dxa"/>
            <w:vAlign w:val="bottom"/>
            <w:shd w:val="clear" w:color="auto" w:fill="FF8B00"/>
          </w:tcPr>
          <w:p>
            <w:pPr>
              <w:spacing w:after="0"/>
              <w:rPr>
                <w:sz w:val="14"/>
                <w:szCs w:val="14"/>
                <w:color w:val="auto"/>
              </w:rPr>
            </w:pPr>
          </w:p>
        </w:tc>
        <w:tc>
          <w:tcPr>
            <w:tcW w:w="0" w:type="dxa"/>
            <w:vAlign w:val="bottom"/>
          </w:tcPr>
          <w:p>
            <w:pPr>
              <w:spacing w:after="0"/>
              <w:rPr>
                <w:sz w:val="1"/>
                <w:szCs w:val="1"/>
                <w:color w:val="auto"/>
              </w:rPr>
            </w:pPr>
          </w:p>
        </w:tc>
      </w:tr>
      <w:tr>
        <w:trPr>
          <w:trHeight w:val="118"/>
        </w:trPr>
        <w:tc>
          <w:tcPr>
            <w:tcW w:w="5600" w:type="dxa"/>
            <w:vAlign w:val="bottom"/>
            <w:vMerge w:val="continue"/>
          </w:tcPr>
          <w:p>
            <w:pPr>
              <w:spacing w:after="0"/>
              <w:rPr>
                <w:sz w:val="10"/>
                <w:szCs w:val="10"/>
                <w:color w:val="auto"/>
              </w:rPr>
            </w:pPr>
          </w:p>
        </w:tc>
        <w:tc>
          <w:tcPr>
            <w:tcW w:w="4360" w:type="dxa"/>
            <w:vAlign w:val="bottom"/>
          </w:tcPr>
          <w:p>
            <w:pPr>
              <w:ind w:left="840"/>
              <w:spacing w:after="0" w:line="119" w:lineRule="exact"/>
              <w:rPr>
                <w:sz w:val="20"/>
                <w:szCs w:val="20"/>
                <w:color w:val="auto"/>
              </w:rPr>
            </w:pPr>
            <w:r>
              <w:rPr>
                <w:rFonts w:ascii="Arial" w:cs="Arial" w:eastAsia="Arial" w:hAnsi="Arial"/>
                <w:sz w:val="11"/>
                <w:szCs w:val="11"/>
                <w:color w:val="auto"/>
              </w:rPr>
              <w:t>ROYAL DUTCH SHELL DIVIDEND ACCESS TRUST</w:t>
            </w:r>
          </w:p>
        </w:tc>
        <w:tc>
          <w:tcPr>
            <w:tcW w:w="1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0"/>
        </w:trPr>
        <w:tc>
          <w:tcPr>
            <w:tcW w:w="5600" w:type="dxa"/>
            <w:vAlign w:val="bottom"/>
          </w:tcPr>
          <w:p>
            <w:pPr>
              <w:spacing w:after="0"/>
              <w:rPr>
                <w:sz w:val="11"/>
                <w:szCs w:val="11"/>
                <w:color w:val="auto"/>
              </w:rPr>
            </w:pPr>
          </w:p>
        </w:tc>
        <w:tc>
          <w:tcPr>
            <w:tcW w:w="4360" w:type="dxa"/>
            <w:vAlign w:val="bottom"/>
          </w:tcPr>
          <w:p>
            <w:pPr>
              <w:ind w:left="840"/>
              <w:spacing w:after="0"/>
              <w:rPr>
                <w:sz w:val="20"/>
                <w:szCs w:val="20"/>
                <w:color w:val="auto"/>
              </w:rPr>
            </w:pPr>
            <w:r>
              <w:rPr>
                <w:rFonts w:ascii="Arial" w:cs="Arial" w:eastAsia="Arial" w:hAnsi="Arial"/>
                <w:sz w:val="11"/>
                <w:szCs w:val="11"/>
                <w:color w:val="auto"/>
              </w:rPr>
              <w:t>FINANCIAL STATEMENTS</w:t>
            </w:r>
          </w:p>
        </w:tc>
        <w:tc>
          <w:tcPr>
            <w:tcW w:w="14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366" w:lineRule="exact"/>
        <w:rPr>
          <w:sz w:val="20"/>
          <w:szCs w:val="20"/>
          <w:color w:val="auto"/>
        </w:rPr>
      </w:pPr>
    </w:p>
    <w:p>
      <w:pPr>
        <w:ind w:right="3000"/>
        <w:spacing w:after="0" w:line="253" w:lineRule="auto"/>
        <w:rPr>
          <w:sz w:val="20"/>
          <w:szCs w:val="20"/>
          <w:color w:val="auto"/>
        </w:rPr>
      </w:pPr>
      <w:r>
        <w:rPr>
          <w:rFonts w:ascii="Arial" w:cs="Arial" w:eastAsia="Arial" w:hAnsi="Arial"/>
          <w:sz w:val="31"/>
          <w:szCs w:val="31"/>
          <w:color w:val="auto"/>
        </w:rPr>
        <w:t>NOTES TO THE ROYAL DUTCH SHELL DIVIDEND ACCESS TRUST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246620" cy="8890"/>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3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1 THE TRUST</w:t>
      </w:r>
    </w:p>
    <w:p>
      <w:pPr>
        <w:spacing w:after="0" w:line="1" w:lineRule="exact"/>
        <w:rPr>
          <w:sz w:val="20"/>
          <w:szCs w:val="20"/>
          <w:color w:val="auto"/>
        </w:rPr>
      </w:pPr>
    </w:p>
    <w:p>
      <w:pPr>
        <w:ind w:right="140"/>
        <w:spacing w:after="0" w:line="247" w:lineRule="auto"/>
        <w:rPr>
          <w:sz w:val="20"/>
          <w:szCs w:val="20"/>
          <w:color w:val="auto"/>
        </w:rPr>
      </w:pPr>
      <w:r>
        <w:rPr>
          <w:rFonts w:ascii="Arial" w:cs="Arial" w:eastAsia="Arial" w:hAnsi="Arial"/>
          <w:sz w:val="14"/>
          <w:szCs w:val="14"/>
          <w:color w:val="auto"/>
        </w:rPr>
        <w:t>The Royal Dutch Shell Dividend Access Trust (the Trust) was established on May 19, 2005, by The “Shell” Transport and Trading Company, p.l.c., now The Shell Transport and Trading Company Limited (Shell Transport), and Royal Dutch Shell plc (the Company). The Trust is governed by the applicable laws of England and Wales and is resident and domiciled in Jersey. The Trustee of the Trust is Computershare Trustees (Jersey) Limited, registration number 92182 (the Trustee), Queensway House, Hilgrove Street, St Helier, Jersey, JE1 1ES. The Trust was established as part of a dividend access mechanism.</w:t>
      </w:r>
    </w:p>
    <w:p>
      <w:pPr>
        <w:spacing w:after="0" w:line="161" w:lineRule="exact"/>
        <w:rPr>
          <w:sz w:val="20"/>
          <w:szCs w:val="20"/>
          <w:color w:val="auto"/>
        </w:rPr>
      </w:pPr>
    </w:p>
    <w:p>
      <w:pPr>
        <w:ind w:right="360"/>
        <w:spacing w:after="0" w:line="258" w:lineRule="auto"/>
        <w:rPr>
          <w:sz w:val="20"/>
          <w:szCs w:val="20"/>
          <w:color w:val="auto"/>
        </w:rPr>
      </w:pPr>
      <w:r>
        <w:rPr>
          <w:rFonts w:ascii="Arial" w:cs="Arial" w:eastAsia="Arial" w:hAnsi="Arial"/>
          <w:sz w:val="14"/>
          <w:szCs w:val="14"/>
          <w:color w:val="auto"/>
        </w:rPr>
        <w:t>A dividend access share has been issued by Shell Transport to the Trustee. Following the announcement of a dividend by the Company on the B shares, Shell Transport may declare a dividend on the dividend access share.</w:t>
      </w:r>
    </w:p>
    <w:p>
      <w:pPr>
        <w:spacing w:after="0" w:line="154" w:lineRule="exact"/>
        <w:rPr>
          <w:sz w:val="20"/>
          <w:szCs w:val="20"/>
          <w:color w:val="auto"/>
        </w:rPr>
      </w:pPr>
    </w:p>
    <w:p>
      <w:pPr>
        <w:ind w:right="260"/>
        <w:spacing w:after="0" w:line="258" w:lineRule="auto"/>
        <w:rPr>
          <w:sz w:val="20"/>
          <w:szCs w:val="20"/>
          <w:color w:val="auto"/>
        </w:rPr>
      </w:pPr>
      <w:r>
        <w:rPr>
          <w:rFonts w:ascii="Arial" w:cs="Arial" w:eastAsia="Arial" w:hAnsi="Arial"/>
          <w:sz w:val="14"/>
          <w:szCs w:val="14"/>
          <w:color w:val="auto"/>
        </w:rPr>
        <w:t>The primary purposes of the Trust are to receive, on behalf of the B shareholders of the Company and in accordance with their respective holdings of B shares in the Company, any amounts paid by way of dividend on the dividend access share and to pay such amounts to the B shareholders on the same pro-rata basis.</w:t>
      </w:r>
    </w:p>
    <w:p>
      <w:pPr>
        <w:spacing w:after="0" w:line="167" w:lineRule="exact"/>
        <w:rPr>
          <w:sz w:val="20"/>
          <w:szCs w:val="20"/>
          <w:color w:val="auto"/>
        </w:rPr>
      </w:pPr>
    </w:p>
    <w:p>
      <w:pPr>
        <w:spacing w:after="0"/>
        <w:rPr>
          <w:sz w:val="20"/>
          <w:szCs w:val="20"/>
          <w:color w:val="auto"/>
        </w:rPr>
      </w:pPr>
      <w:r>
        <w:rPr>
          <w:rFonts w:ascii="Arial" w:cs="Arial" w:eastAsia="Arial" w:hAnsi="Arial"/>
          <w:sz w:val="14"/>
          <w:szCs w:val="14"/>
          <w:color w:val="auto"/>
        </w:rPr>
        <w:t>The Trust shall not endure for a period in excess of 80 years from May 19, 2005, being the date on which the Trust Deed was executed.</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2 BASIS OF PREPARATION</w:t>
      </w:r>
    </w:p>
    <w:p>
      <w:pPr>
        <w:spacing w:after="0" w:line="1" w:lineRule="exact"/>
        <w:rPr>
          <w:sz w:val="20"/>
          <w:szCs w:val="20"/>
          <w:color w:val="auto"/>
        </w:rPr>
      </w:pPr>
    </w:p>
    <w:p>
      <w:pPr>
        <w:spacing w:after="0" w:line="250" w:lineRule="auto"/>
        <w:rPr>
          <w:sz w:val="20"/>
          <w:szCs w:val="20"/>
          <w:color w:val="auto"/>
        </w:rPr>
      </w:pPr>
      <w:r>
        <w:rPr>
          <w:rFonts w:ascii="Arial" w:cs="Arial" w:eastAsia="Arial" w:hAnsi="Arial"/>
          <w:sz w:val="14"/>
          <w:szCs w:val="14"/>
          <w:color w:val="auto"/>
        </w:rPr>
        <w:t>The Financial Statements of the Trust have been prepared in accordance with International Financial Reporting Standards (IFRS) as adopted by the European Union. As applied to the Trust, there are no material differences from IFRS as issued by the International Accounting Standards Board (IASB), therefore, the Financial Statements have been prepared in accordance with IFRS as issued by the IASB.</w:t>
      </w:r>
    </w:p>
    <w:p>
      <w:pPr>
        <w:spacing w:after="0" w:line="159" w:lineRule="exact"/>
        <w:rPr>
          <w:sz w:val="20"/>
          <w:szCs w:val="20"/>
          <w:color w:val="auto"/>
        </w:rPr>
      </w:pPr>
    </w:p>
    <w:p>
      <w:pPr>
        <w:ind w:right="80"/>
        <w:spacing w:after="0" w:line="258" w:lineRule="auto"/>
        <w:rPr>
          <w:sz w:val="20"/>
          <w:szCs w:val="20"/>
          <w:color w:val="auto"/>
        </w:rPr>
      </w:pPr>
      <w:r>
        <w:rPr>
          <w:rFonts w:ascii="Arial" w:cs="Arial" w:eastAsia="Arial" w:hAnsi="Arial"/>
          <w:sz w:val="14"/>
          <w:szCs w:val="14"/>
          <w:color w:val="auto"/>
        </w:rPr>
        <w:t>As described in the accounting policies in Note 3, the Financial Statements have been prepared under the historical cost convention. Those accounting policies have been applied consistently in all periods presented.</w:t>
      </w:r>
    </w:p>
    <w:p>
      <w:pPr>
        <w:spacing w:after="0" w:line="167" w:lineRule="exact"/>
        <w:rPr>
          <w:sz w:val="20"/>
          <w:szCs w:val="20"/>
          <w:color w:val="auto"/>
        </w:rPr>
      </w:pPr>
    </w:p>
    <w:p>
      <w:pPr>
        <w:spacing w:after="0"/>
        <w:rPr>
          <w:sz w:val="20"/>
          <w:szCs w:val="20"/>
          <w:color w:val="auto"/>
        </w:rPr>
      </w:pPr>
      <w:r>
        <w:rPr>
          <w:rFonts w:ascii="Arial" w:cs="Arial" w:eastAsia="Arial" w:hAnsi="Arial"/>
          <w:sz w:val="14"/>
          <w:szCs w:val="14"/>
          <w:color w:val="auto"/>
        </w:rPr>
        <w:t>The Financial Statements were approved and authorised for issue by the Trustee on March 11, 2015.</w:t>
      </w:r>
    </w:p>
    <w:p>
      <w:pPr>
        <w:spacing w:after="0" w:line="177" w:lineRule="exact"/>
        <w:rPr>
          <w:sz w:val="20"/>
          <w:szCs w:val="20"/>
          <w:color w:val="auto"/>
        </w:rPr>
      </w:pPr>
    </w:p>
    <w:p>
      <w:pPr>
        <w:ind w:right="260"/>
        <w:spacing w:after="0" w:line="250" w:lineRule="auto"/>
        <w:rPr>
          <w:sz w:val="20"/>
          <w:szCs w:val="20"/>
          <w:color w:val="auto"/>
        </w:rPr>
      </w:pPr>
      <w:r>
        <w:rPr>
          <w:rFonts w:ascii="Arial" w:cs="Arial" w:eastAsia="Arial" w:hAnsi="Arial"/>
          <w:sz w:val="14"/>
          <w:szCs w:val="14"/>
          <w:color w:val="auto"/>
        </w:rPr>
        <w:t>The preparation of financial statements in conformity with IFRS requires the use of certain accounting estimates. It also requires management to exercise its judgement in the process of applying the Trust’s accounting policies. Actual results may differ from these estimates. The financial results of the Trust are included in the Consolidated and Parent Company Financial Statements on pages 106-141 and pages 162-170 respectively.</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color w:val="auto"/>
        </w:rPr>
        <w:t>3 ACCOUNTING POLICIES</w:t>
      </w:r>
    </w:p>
    <w:p>
      <w:pPr>
        <w:spacing w:after="0" w:line="1" w:lineRule="exact"/>
        <w:rPr>
          <w:sz w:val="20"/>
          <w:szCs w:val="20"/>
          <w:color w:val="auto"/>
        </w:rPr>
      </w:pPr>
    </w:p>
    <w:p>
      <w:pPr>
        <w:ind w:right="600"/>
        <w:spacing w:after="0" w:line="258" w:lineRule="auto"/>
        <w:rPr>
          <w:sz w:val="20"/>
          <w:szCs w:val="20"/>
          <w:color w:val="auto"/>
        </w:rPr>
      </w:pPr>
      <w:r>
        <w:rPr>
          <w:rFonts w:ascii="Arial" w:cs="Arial" w:eastAsia="Arial" w:hAnsi="Arial"/>
          <w:sz w:val="14"/>
          <w:szCs w:val="14"/>
          <w:color w:val="auto"/>
        </w:rPr>
        <w:t>Except for the following accounting policies that relate specifically to the Trust, the Trust’s accounting policies follow those of Shell as set out in Note 2 to the Consolidated Financial Statements.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auto"/>
        </w:rPr>
        <w:t>Presentation currency</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The Trust’s presentation and functional currency is sterling. The Trust’s dividend income and dividends paid are principally in sterling.</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Dividend income</w:t>
      </w:r>
    </w:p>
    <w:p>
      <w:pPr>
        <w:spacing w:after="0" w:line="1" w:lineRule="exact"/>
        <w:rPr>
          <w:sz w:val="20"/>
          <w:szCs w:val="20"/>
          <w:color w:val="auto"/>
        </w:rPr>
      </w:pPr>
    </w:p>
    <w:p>
      <w:pPr>
        <w:ind w:right="340"/>
        <w:spacing w:after="0" w:line="258" w:lineRule="auto"/>
        <w:rPr>
          <w:sz w:val="20"/>
          <w:szCs w:val="20"/>
          <w:color w:val="auto"/>
        </w:rPr>
      </w:pPr>
      <w:r>
        <w:rPr>
          <w:rFonts w:ascii="Arial" w:cs="Arial" w:eastAsia="Arial" w:hAnsi="Arial"/>
          <w:sz w:val="14"/>
          <w:szCs w:val="14"/>
          <w:color w:val="auto"/>
        </w:rPr>
        <w:t>Interim dividends on the dividend access share are recognised on a paid basis unless the dividend has been confirmed by a general meeting of Shell Transport, in which case income is recognised on the date on which receipt is deemed virtually certain.</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Taxation</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The Trust is not subject to taxation.</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4 OTHER LIABILITIES</w:t>
      </w:r>
    </w:p>
    <w:p>
      <w:pPr>
        <w:spacing w:after="0" w:line="1" w:lineRule="exact"/>
        <w:rPr>
          <w:sz w:val="20"/>
          <w:szCs w:val="20"/>
          <w:color w:val="auto"/>
        </w:rPr>
      </w:pPr>
    </w:p>
    <w:p>
      <w:pPr>
        <w:ind w:right="520"/>
        <w:spacing w:after="0" w:line="258" w:lineRule="auto"/>
        <w:rPr>
          <w:sz w:val="20"/>
          <w:szCs w:val="20"/>
          <w:color w:val="auto"/>
        </w:rPr>
      </w:pPr>
      <w:r>
        <w:rPr>
          <w:rFonts w:ascii="Arial" w:cs="Arial" w:eastAsia="Arial" w:hAnsi="Arial"/>
          <w:sz w:val="14"/>
          <w:szCs w:val="14"/>
          <w:color w:val="auto"/>
        </w:rPr>
        <w:t>Other liabilities consist of £1,497,815 (2013: £1,333,658) relating to unclaimed dividends, including any dividend cheque payments that have expired or have been returned unpresented.</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5 CAPITAL ACCOUNT</w:t>
      </w:r>
    </w:p>
    <w:p>
      <w:pPr>
        <w:spacing w:after="0" w:line="1" w:lineRule="exact"/>
        <w:rPr>
          <w:sz w:val="20"/>
          <w:szCs w:val="20"/>
          <w:color w:val="auto"/>
        </w:rPr>
      </w:pPr>
    </w:p>
    <w:p>
      <w:pPr>
        <w:ind w:right="160"/>
        <w:spacing w:after="0" w:line="258" w:lineRule="auto"/>
        <w:rPr>
          <w:sz w:val="20"/>
          <w:szCs w:val="20"/>
          <w:color w:val="auto"/>
        </w:rPr>
      </w:pPr>
      <w:r>
        <w:rPr>
          <w:rFonts w:ascii="Arial" w:cs="Arial" w:eastAsia="Arial" w:hAnsi="Arial"/>
          <w:sz w:val="14"/>
          <w:szCs w:val="14"/>
          <w:color w:val="auto"/>
        </w:rPr>
        <w:t>The capital account is represented by the dividend access share of 25 pence settled in the Trust by Shell Transport, which also represents an asset in the Trust. This is classified as equity in the balance sheet.</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6 DISTRIBUTIONS MADE</w:t>
      </w:r>
    </w:p>
    <w:p>
      <w:pPr>
        <w:spacing w:after="0" w:line="1" w:lineRule="exact"/>
        <w:rPr>
          <w:sz w:val="20"/>
          <w:szCs w:val="20"/>
          <w:color w:val="auto"/>
        </w:rPr>
      </w:pPr>
    </w:p>
    <w:p>
      <w:pPr>
        <w:ind w:right="120"/>
        <w:spacing w:after="0" w:line="247" w:lineRule="auto"/>
        <w:rPr>
          <w:sz w:val="20"/>
          <w:szCs w:val="20"/>
          <w:color w:val="auto"/>
        </w:rPr>
      </w:pPr>
      <w:r>
        <w:rPr>
          <w:rFonts w:ascii="Arial" w:cs="Arial" w:eastAsia="Arial" w:hAnsi="Arial"/>
          <w:sz w:val="14"/>
          <w:szCs w:val="14"/>
          <w:color w:val="auto"/>
        </w:rPr>
        <w:t>Distributions are made to the B shareholders of the Company in accordance with the Trust Deed. Refer to Note 23 to the Consolidated Financial Statements for information about dividends per share. Cumulative unclaimed dividends as at December 31, 2014, amounted to £1,497,815 (2013: £1,333,658). Amounts are recorded as distributed once a wire transfer or cheque is issued. All cheques are valid for one year from the date of issue. Any wire transfers that are not completed are replaced by cheques. To the extent that cheques expire or are returned unpresented, the Trust records a liability for unclaimed dividends and a corresponding amount of cash.</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color w:val="auto"/>
        </w:rPr>
        <w:t>7 FINANCIAL INSTRUMENTS</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Financial risk management is carried out by the Trustee and the Company to ensure that relevant policies and procedures are in place to minimise risk.</w:t>
      </w:r>
    </w:p>
    <w:p>
      <w:pPr>
        <w:sectPr>
          <w:pgSz w:w="11900" w:h="16838" w:orient="portrait"/>
          <w:cols w:equalWidth="0" w:num="1">
            <w:col w:w="11420"/>
          </w:cols>
          <w:pgMar w:left="240" w:top="460" w:right="239" w:bottom="1440" w:gutter="0" w:footer="0" w:header="0"/>
        </w:sectPr>
      </w:pPr>
    </w:p>
    <w:bookmarkStart w:id="179" w:name="page180"/>
    <w:bookmarkEnd w:id="1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536575</wp:posOffset>
            </wp:positionH>
            <wp:positionV relativeFrom="paragraph">
              <wp:posOffset>300355</wp:posOffset>
            </wp:positionV>
            <wp:extent cx="8890" cy="462915"/>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38">
                      <a:extLst>
                        <a:ext uri="{28A0092B-C50C-407E-A947-70E740481C1C}"/>
                      </a:extLst>
                    </a:blip>
                    <a:srcRect/>
                    <a:stretch>
                      <a:fillRect/>
                    </a:stretch>
                  </pic:blipFill>
                  <pic:spPr bwMode="auto">
                    <a:xfrm>
                      <a:off x="0" y="0"/>
                      <a:ext cx="8890" cy="462915"/>
                    </a:xfrm>
                    <a:prstGeom prst="rect">
                      <a:avLst/>
                    </a:prstGeom>
                    <a:noFill/>
                  </pic:spPr>
                </pic:pic>
              </a:graphicData>
            </a:graphic>
          </wp:anchor>
        </w:drawing>
      </w:r>
    </w:p>
    <w:p>
      <w:pPr>
        <w:spacing w:after="0" w:line="200" w:lineRule="exact"/>
        <w:rPr>
          <w:sz w:val="20"/>
          <w:szCs w:val="20"/>
          <w:color w:val="auto"/>
        </w:rPr>
      </w:pP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565"/>
        </w:trPr>
        <w:tc>
          <w:tcPr>
            <w:tcW w:w="1520" w:type="dxa"/>
            <w:vAlign w:val="bottom"/>
            <w:shd w:val="clear" w:color="auto" w:fill="FF8B00"/>
          </w:tcPr>
          <w:p>
            <w:pPr>
              <w:jc w:val="right"/>
              <w:ind w:right="946"/>
              <w:spacing w:after="0"/>
              <w:rPr>
                <w:sz w:val="20"/>
                <w:szCs w:val="20"/>
                <w:color w:val="auto"/>
              </w:rPr>
            </w:pPr>
            <w:r>
              <w:rPr>
                <w:rFonts w:ascii="Arial" w:cs="Arial" w:eastAsia="Arial" w:hAnsi="Arial"/>
                <w:sz w:val="11"/>
                <w:szCs w:val="11"/>
                <w:b w:val="1"/>
                <w:bCs w:val="1"/>
                <w:color w:val="333333"/>
              </w:rPr>
              <w:t>178</w:t>
            </w:r>
          </w:p>
        </w:tc>
        <w:tc>
          <w:tcPr>
            <w:tcW w:w="4200" w:type="dxa"/>
            <w:vAlign w:val="bottom"/>
            <w:shd w:val="clear" w:color="auto" w:fill="FF8B00"/>
          </w:tcPr>
          <w:p>
            <w:pPr>
              <w:jc w:val="right"/>
              <w:ind w:right="723"/>
              <w:spacing w:after="0"/>
              <w:rPr>
                <w:sz w:val="20"/>
                <w:szCs w:val="20"/>
                <w:color w:val="auto"/>
              </w:rPr>
            </w:pPr>
            <w:r>
              <w:rPr>
                <w:rFonts w:ascii="Arial" w:cs="Arial" w:eastAsia="Arial" w:hAnsi="Arial"/>
                <w:sz w:val="13"/>
                <w:szCs w:val="13"/>
                <w:color w:val="333333"/>
              </w:rPr>
              <w:t>FINANCIAL STATEMENTS AND SUPPLEMENTS</w:t>
            </w:r>
          </w:p>
        </w:tc>
        <w:tc>
          <w:tcPr>
            <w:tcW w:w="5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5"/>
        </w:trPr>
        <w:tc>
          <w:tcPr>
            <w:tcW w:w="1520" w:type="dxa"/>
            <w:vAlign w:val="bottom"/>
            <w:shd w:val="clear" w:color="auto" w:fill="FF8B00"/>
          </w:tcPr>
          <w:p>
            <w:pPr>
              <w:spacing w:after="0"/>
              <w:rPr>
                <w:sz w:val="14"/>
                <w:szCs w:val="14"/>
                <w:color w:val="auto"/>
              </w:rPr>
            </w:pPr>
          </w:p>
        </w:tc>
        <w:tc>
          <w:tcPr>
            <w:tcW w:w="4200" w:type="dxa"/>
            <w:vAlign w:val="bottom"/>
            <w:shd w:val="clear" w:color="auto" w:fill="FF8B00"/>
          </w:tcPr>
          <w:p>
            <w:pPr>
              <w:spacing w:after="0"/>
              <w:rPr>
                <w:sz w:val="14"/>
                <w:szCs w:val="14"/>
                <w:color w:val="auto"/>
              </w:rPr>
            </w:pPr>
          </w:p>
        </w:tc>
        <w:tc>
          <w:tcPr>
            <w:tcW w:w="5700" w:type="dxa"/>
            <w:vAlign w:val="bottom"/>
            <w:vMerge w:val="restart"/>
          </w:tcPr>
          <w:p>
            <w:pPr>
              <w:ind w:left="3300"/>
              <w:spacing w:after="0"/>
              <w:rPr>
                <w:sz w:val="20"/>
                <w:szCs w:val="20"/>
                <w:color w:val="auto"/>
              </w:rPr>
            </w:pPr>
            <w:r>
              <w:rPr>
                <w:rFonts w:ascii="Arial" w:cs="Arial" w:eastAsia="Arial" w:hAnsi="Arial"/>
                <w:sz w:val="11"/>
                <w:szCs w:val="11"/>
                <w:color w:val="auto"/>
                <w:w w:val="96"/>
              </w:rPr>
              <w:t>SHELL ANNUAL REPORT AND FORM 20-F 2014</w:t>
            </w:r>
          </w:p>
        </w:tc>
        <w:tc>
          <w:tcPr>
            <w:tcW w:w="0" w:type="dxa"/>
            <w:vAlign w:val="bottom"/>
          </w:tcPr>
          <w:p>
            <w:pPr>
              <w:spacing w:after="0"/>
              <w:rPr>
                <w:sz w:val="1"/>
                <w:szCs w:val="1"/>
                <w:color w:val="auto"/>
              </w:rPr>
            </w:pPr>
          </w:p>
        </w:tc>
      </w:tr>
      <w:tr>
        <w:trPr>
          <w:trHeight w:val="118"/>
        </w:trPr>
        <w:tc>
          <w:tcPr>
            <w:tcW w:w="1520" w:type="dxa"/>
            <w:vAlign w:val="bottom"/>
          </w:tcPr>
          <w:p>
            <w:pPr>
              <w:spacing w:after="0"/>
              <w:rPr>
                <w:sz w:val="10"/>
                <w:szCs w:val="10"/>
                <w:color w:val="auto"/>
              </w:rPr>
            </w:pPr>
          </w:p>
        </w:tc>
        <w:tc>
          <w:tcPr>
            <w:tcW w:w="4200" w:type="dxa"/>
            <w:vAlign w:val="bottom"/>
          </w:tcPr>
          <w:p>
            <w:pPr>
              <w:jc w:val="right"/>
              <w:ind w:right="723"/>
              <w:spacing w:after="0" w:line="119" w:lineRule="exact"/>
              <w:rPr>
                <w:sz w:val="20"/>
                <w:szCs w:val="20"/>
                <w:color w:val="auto"/>
              </w:rPr>
            </w:pPr>
            <w:r>
              <w:rPr>
                <w:rFonts w:ascii="Arial" w:cs="Arial" w:eastAsia="Arial" w:hAnsi="Arial"/>
                <w:sz w:val="11"/>
                <w:szCs w:val="11"/>
                <w:color w:val="auto"/>
              </w:rPr>
              <w:t>ROYAL DUTCH SHELL DIVIDEND ACCESS TRUST</w:t>
            </w:r>
          </w:p>
        </w:tc>
        <w:tc>
          <w:tcPr>
            <w:tcW w:w="57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0"/>
        </w:trPr>
        <w:tc>
          <w:tcPr>
            <w:tcW w:w="1520" w:type="dxa"/>
            <w:vAlign w:val="bottom"/>
            <w:vMerge w:val="restart"/>
          </w:tcPr>
          <w:p>
            <w:pPr>
              <w:jc w:val="center"/>
              <w:ind w:right="586"/>
              <w:spacing w:after="0"/>
              <w:rPr>
                <w:sz w:val="20"/>
                <w:szCs w:val="20"/>
                <w:color w:val="auto"/>
              </w:rPr>
            </w:pPr>
            <w:r>
              <w:rPr>
                <w:rFonts w:ascii="Arial" w:cs="Arial" w:eastAsia="Arial" w:hAnsi="Arial"/>
                <w:sz w:val="11"/>
                <w:szCs w:val="11"/>
                <w:color w:val="auto"/>
                <w:w w:val="98"/>
              </w:rPr>
              <w:t>[Note 7 continued]</w:t>
            </w:r>
          </w:p>
        </w:tc>
        <w:tc>
          <w:tcPr>
            <w:tcW w:w="4200" w:type="dxa"/>
            <w:vAlign w:val="bottom"/>
          </w:tcPr>
          <w:p>
            <w:pPr>
              <w:jc w:val="right"/>
              <w:ind w:right="723"/>
              <w:spacing w:after="0"/>
              <w:rPr>
                <w:sz w:val="20"/>
                <w:szCs w:val="20"/>
                <w:color w:val="auto"/>
              </w:rPr>
            </w:pPr>
            <w:r>
              <w:rPr>
                <w:rFonts w:ascii="Arial" w:cs="Arial" w:eastAsia="Arial" w:hAnsi="Arial"/>
                <w:sz w:val="11"/>
                <w:szCs w:val="11"/>
                <w:color w:val="auto"/>
              </w:rPr>
              <w:t>FINANCIAL STATEMENTS</w:t>
            </w:r>
          </w:p>
        </w:tc>
        <w:tc>
          <w:tcPr>
            <w:tcW w:w="5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1520" w:type="dxa"/>
            <w:vAlign w:val="bottom"/>
            <w:vMerge w:val="continue"/>
          </w:tcPr>
          <w:p>
            <w:pPr>
              <w:spacing w:after="0"/>
              <w:rPr>
                <w:sz w:val="10"/>
                <w:szCs w:val="10"/>
                <w:color w:val="auto"/>
              </w:rPr>
            </w:pPr>
          </w:p>
        </w:tc>
        <w:tc>
          <w:tcPr>
            <w:tcW w:w="4200" w:type="dxa"/>
            <w:vAlign w:val="bottom"/>
          </w:tcPr>
          <w:p>
            <w:pPr>
              <w:spacing w:after="0"/>
              <w:rPr>
                <w:sz w:val="10"/>
                <w:szCs w:val="10"/>
                <w:color w:val="auto"/>
              </w:rPr>
            </w:pPr>
          </w:p>
        </w:tc>
        <w:tc>
          <w:tcPr>
            <w:tcW w:w="5700" w:type="dxa"/>
            <w:vAlign w:val="bottom"/>
          </w:tcPr>
          <w:p>
            <w:pPr>
              <w:spacing w:after="0"/>
              <w:rPr>
                <w:sz w:val="10"/>
                <w:szCs w:val="10"/>
                <w:color w:val="auto"/>
              </w:rPr>
            </w:pPr>
          </w:p>
        </w:tc>
        <w:tc>
          <w:tcPr>
            <w:tcW w:w="0" w:type="dxa"/>
            <w:vAlign w:val="bottom"/>
          </w:tcPr>
          <w:p>
            <w:pPr>
              <w:spacing w:after="0"/>
              <w:rPr>
                <w:sz w:val="1"/>
                <w:szCs w:val="1"/>
                <w:color w:val="auto"/>
              </w:rPr>
            </w:pPr>
          </w:p>
        </w:tc>
      </w:tr>
    </w:tbl>
    <w:p>
      <w:pPr>
        <w:ind w:right="120"/>
        <w:spacing w:after="0" w:line="258" w:lineRule="auto"/>
        <w:rPr>
          <w:sz w:val="20"/>
          <w:szCs w:val="20"/>
          <w:color w:val="auto"/>
        </w:rPr>
      </w:pPr>
      <w:r>
        <w:rPr>
          <w:rFonts w:ascii="Arial" w:cs="Arial" w:eastAsia="Arial" w:hAnsi="Arial"/>
          <w:sz w:val="14"/>
          <w:szCs w:val="14"/>
          <w:color w:val="auto"/>
        </w:rPr>
        <w:t>The Trust, in its normal course of business, is not subject to significant market risk, credit risk or liquidity risk. The Trustee does not consider that any foreign exchange exposures will materially affect the operations of the Trust.</w:t>
      </w:r>
    </w:p>
    <w:p>
      <w:pPr>
        <w:spacing w:after="0" w:line="167" w:lineRule="exact"/>
        <w:rPr>
          <w:sz w:val="20"/>
          <w:szCs w:val="20"/>
          <w:color w:val="auto"/>
        </w:rPr>
      </w:pPr>
    </w:p>
    <w:p>
      <w:pPr>
        <w:spacing w:after="0"/>
        <w:rPr>
          <w:sz w:val="20"/>
          <w:szCs w:val="20"/>
          <w:color w:val="auto"/>
        </w:rPr>
      </w:pPr>
      <w:r>
        <w:rPr>
          <w:rFonts w:ascii="Arial" w:cs="Arial" w:eastAsia="Arial" w:hAnsi="Arial"/>
          <w:sz w:val="14"/>
          <w:szCs w:val="14"/>
          <w:color w:val="auto"/>
        </w:rPr>
        <w:t>The fair value of financial assets and liabilities at December 31, 2014 and 2013 approximates their carrying amount.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8 RELATED PARTIES</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The Trust received dividend income of £2,470 million (2013: £2,361 million; 2012: £2,383 million) in respect of the dividend access share. The Trust made distributions of £2,470</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million (2013: £2,361 million; 2012: £2,383 million) to the B shareholders of the Company.</w:t>
      </w:r>
    </w:p>
    <w:p>
      <w:pPr>
        <w:spacing w:after="0" w:line="177" w:lineRule="exact"/>
        <w:rPr>
          <w:sz w:val="20"/>
          <w:szCs w:val="20"/>
          <w:color w:val="auto"/>
        </w:rPr>
      </w:pPr>
    </w:p>
    <w:p>
      <w:pPr>
        <w:spacing w:after="0"/>
        <w:rPr>
          <w:sz w:val="20"/>
          <w:szCs w:val="20"/>
          <w:color w:val="auto"/>
        </w:rPr>
      </w:pPr>
      <w:r>
        <w:rPr>
          <w:rFonts w:ascii="Arial" w:cs="Arial" w:eastAsia="Arial" w:hAnsi="Arial"/>
          <w:sz w:val="14"/>
          <w:szCs w:val="14"/>
          <w:color w:val="auto"/>
        </w:rPr>
        <w:t>The Company pays the general and administrative expenses of the Trust, including the auditor’s remuneration.</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9 AUDITOR’S REMUNERATION</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Auditor’s remuneration for 2014 audit services was £33,750 (2013: £33,750; 2012: £33,750).</w:t>
      </w:r>
    </w:p>
    <w:p>
      <w:pPr>
        <w:sectPr>
          <w:pgSz w:w="11900" w:h="16838" w:orient="portrait"/>
          <w:cols w:equalWidth="0" w:num="1">
            <w:col w:w="11420"/>
          </w:cols>
          <w:pgMar w:left="240" w:top="460" w:right="239" w:bottom="1440" w:gutter="0" w:footer="0" w:header="0"/>
        </w:sectPr>
      </w:pPr>
    </w:p>
    <w:bookmarkStart w:id="180" w:name="page181"/>
    <w:bookmarkEnd w:id="180"/>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3555365</wp:posOffset>
            </wp:positionH>
            <wp:positionV relativeFrom="paragraph">
              <wp:posOffset>314960</wp:posOffset>
            </wp:positionV>
            <wp:extent cx="3696335" cy="462915"/>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40">
                      <a:extLst>
                        <a:ext uri="{28A0092B-C50C-407E-A947-70E740481C1C}"/>
                      </a:extLst>
                    </a:blip>
                    <a:srcRect/>
                    <a:stretch>
                      <a:fillRect/>
                    </a:stretch>
                  </pic:blipFill>
                  <pic:spPr bwMode="auto">
                    <a:xfrm>
                      <a:off x="0" y="0"/>
                      <a:ext cx="3696335" cy="462915"/>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11"/>
          <w:szCs w:val="11"/>
          <w:color w:val="auto"/>
        </w:rPr>
        <w:t>SHELL ANNUAL REPORT AND FORM 20-F 2014</w:t>
      </w:r>
    </w:p>
    <w:p>
      <w:pPr>
        <w:spacing w:after="0" w:line="2" w:lineRule="exact"/>
        <w:rPr>
          <w:sz w:val="20"/>
          <w:szCs w:val="20"/>
          <w:color w:val="auto"/>
        </w:rPr>
      </w:pPr>
    </w:p>
    <w:p>
      <w:pPr>
        <w:spacing w:after="0"/>
        <w:rPr>
          <w:sz w:val="20"/>
          <w:szCs w:val="20"/>
          <w:color w:val="auto"/>
        </w:rPr>
      </w:pPr>
      <w:r>
        <w:rPr>
          <w:rFonts w:ascii="Arial" w:cs="Arial" w:eastAsia="Arial" w:hAnsi="Arial"/>
          <w:sz w:val="41"/>
          <w:szCs w:val="41"/>
          <w:b w:val="1"/>
          <w:bCs w:val="1"/>
          <w:color w:val="auto"/>
        </w:rPr>
        <w:t>ADDITIONAL INFORMATION</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31"/>
          <w:szCs w:val="31"/>
          <w:color w:val="auto"/>
        </w:rPr>
        <w:t>SHAREHOLDER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wp:posOffset>
            </wp:positionV>
            <wp:extent cx="3473450" cy="8890"/>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41">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spacing w:after="0" w:line="189" w:lineRule="exact"/>
        <w:rPr>
          <w:sz w:val="20"/>
          <w:szCs w:val="20"/>
          <w:color w:val="auto"/>
        </w:rPr>
      </w:pPr>
    </w:p>
    <w:p>
      <w:pPr>
        <w:ind w:right="80"/>
        <w:spacing w:after="0" w:line="243" w:lineRule="auto"/>
        <w:rPr>
          <w:sz w:val="20"/>
          <w:szCs w:val="20"/>
          <w:color w:val="auto"/>
        </w:rPr>
      </w:pPr>
      <w:r>
        <w:rPr>
          <w:rFonts w:ascii="Arial" w:cs="Arial" w:eastAsia="Arial" w:hAnsi="Arial"/>
          <w:sz w:val="14"/>
          <w:szCs w:val="14"/>
          <w:color w:val="auto"/>
        </w:rPr>
        <w:t>Royal Dutch Shell plc (the Company) was incorporated in England and Wales on February 5, 2002, as a private company under the Companies Act 1985, as amended. On October 27, 2004, the Company was re-registered as a public company limited by shares and changed its name from Forthdeal Limited to Royal Dutch Shell plc. The Company is registered at Companies House, Cardiff, under company number 4366849, and at the Chamber of Commerce, The Hague, under company number 34179503. The business address for the Directors and Senior Management is: Carel van Bylandtlaan 30, 2596 HR, The Hague, The Netherlands.</w:t>
      </w:r>
    </w:p>
    <w:p>
      <w:pPr>
        <w:spacing w:after="0" w:line="168" w:lineRule="exact"/>
        <w:rPr>
          <w:sz w:val="20"/>
          <w:szCs w:val="20"/>
          <w:color w:val="auto"/>
        </w:rPr>
      </w:pPr>
    </w:p>
    <w:p>
      <w:pPr>
        <w:ind w:right="140"/>
        <w:spacing w:after="0" w:line="247" w:lineRule="auto"/>
        <w:rPr>
          <w:sz w:val="20"/>
          <w:szCs w:val="20"/>
          <w:color w:val="auto"/>
        </w:rPr>
      </w:pPr>
      <w:r>
        <w:rPr>
          <w:rFonts w:ascii="Arial" w:cs="Arial" w:eastAsia="Arial" w:hAnsi="Arial"/>
          <w:sz w:val="14"/>
          <w:szCs w:val="14"/>
          <w:color w:val="auto"/>
        </w:rPr>
        <w:t>The Company is resident in the Netherlands for Dutch and UK tax purposes and its primary objective is to carry on the business of a holding company. It is not directly or indirectly owned or controlled by another corporation or by any government and does not know of any arrangements that may result in a change of control of the Company.</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color w:val="auto"/>
        </w:rPr>
        <w:t>NATURE OF TRADING MARKET</w:t>
      </w:r>
    </w:p>
    <w:p>
      <w:pPr>
        <w:spacing w:after="0" w:line="1" w:lineRule="exact"/>
        <w:rPr>
          <w:sz w:val="20"/>
          <w:szCs w:val="20"/>
          <w:color w:val="auto"/>
        </w:rPr>
      </w:pPr>
    </w:p>
    <w:p>
      <w:pPr>
        <w:ind w:right="160"/>
        <w:spacing w:after="0" w:line="247" w:lineRule="auto"/>
        <w:rPr>
          <w:sz w:val="20"/>
          <w:szCs w:val="20"/>
          <w:color w:val="auto"/>
        </w:rPr>
      </w:pPr>
      <w:r>
        <w:rPr>
          <w:rFonts w:ascii="Arial" w:cs="Arial" w:eastAsia="Arial" w:hAnsi="Arial"/>
          <w:sz w:val="14"/>
          <w:szCs w:val="14"/>
          <w:color w:val="auto"/>
        </w:rPr>
        <w:t>The Company has two classes of ordinary shares: A and B shares. The principal trading market for A shares is Euronext Amsterdam and the principal trading market for B shares is the London Stock Exchange. Ordinary shares are traded in registered form.</w:t>
      </w:r>
    </w:p>
    <w:p>
      <w:pPr>
        <w:spacing w:after="0" w:line="175" w:lineRule="exact"/>
        <w:rPr>
          <w:sz w:val="20"/>
          <w:szCs w:val="20"/>
          <w:color w:val="auto"/>
        </w:rPr>
      </w:pPr>
    </w:p>
    <w:p>
      <w:pPr>
        <w:ind w:right="80"/>
        <w:spacing w:after="0" w:line="244" w:lineRule="auto"/>
        <w:rPr>
          <w:sz w:val="20"/>
          <w:szCs w:val="20"/>
          <w:color w:val="auto"/>
        </w:rPr>
      </w:pPr>
      <w:r>
        <w:rPr>
          <w:rFonts w:ascii="Arial" w:cs="Arial" w:eastAsia="Arial" w:hAnsi="Arial"/>
          <w:sz w:val="14"/>
          <w:szCs w:val="14"/>
          <w:color w:val="auto"/>
        </w:rPr>
        <w:t>A and B American Depositary Shares (ADSs) are listed on the New York Stock Exchange [A]. A depositary receipt is a certificate that evidences ADSs. Depositary receipts are issued, cancelled and exchanged at the office of The Bank of New York Mellon, 101 Barclay Street, New York, NY 10286, USA, as depositary (the Depositary) under a deposit agreement between the Company, the Depositary and the holders of ADSs. Each ADS represents two €0.07 shares of Royal Dutch Shell plc deposited under the agreement. More information relating to ADSs is given on page 183.</w:t>
      </w:r>
    </w:p>
    <w:p>
      <w:pPr>
        <w:spacing w:after="0" w:line="8" w:lineRule="exact"/>
        <w:rPr>
          <w:sz w:val="20"/>
          <w:szCs w:val="20"/>
          <w:color w:val="auto"/>
        </w:rPr>
      </w:pPr>
    </w:p>
    <w:p>
      <w:pPr>
        <w:ind w:right="80" w:firstLine="8"/>
        <w:spacing w:after="0" w:line="233" w:lineRule="auto"/>
        <w:tabs>
          <w:tab w:leader="none" w:pos="162" w:val="left"/>
        </w:tabs>
        <w:numPr>
          <w:ilvl w:val="0"/>
          <w:numId w:val="203"/>
        </w:numPr>
        <w:rPr>
          <w:rFonts w:ascii="Arial" w:cs="Arial" w:eastAsia="Arial" w:hAnsi="Arial"/>
          <w:sz w:val="11"/>
          <w:szCs w:val="11"/>
          <w:color w:val="auto"/>
        </w:rPr>
      </w:pPr>
      <w:r>
        <w:rPr>
          <w:rFonts w:ascii="Arial" w:cs="Arial" w:eastAsia="Arial" w:hAnsi="Arial"/>
          <w:sz w:val="11"/>
          <w:szCs w:val="11"/>
          <w:color w:val="auto"/>
        </w:rPr>
        <w:t>At February 17, 2015, there were outstanding 439,365,883 A ADSs and 166,317,323 B ADSs, representing 22% and 13% of the respective share capital class, held by 6,556 and 873 holders of record with an address in the USA, respectively. In addition to holders of ADSs, as at February 17, 2015, there were 72,688 A shares and 695,727 B shares of €0.07 each representing 0.002% and 0.029% of the respective share capital class, held by 105 and 842 holders of record registered with an address in the USA respectively.</w:t>
      </w:r>
    </w:p>
    <w:p>
      <w:pPr>
        <w:spacing w:after="0" w:line="219" w:lineRule="exact"/>
        <w:rPr>
          <w:sz w:val="20"/>
          <w:szCs w:val="20"/>
          <w:color w:val="auto"/>
        </w:rPr>
      </w:pPr>
    </w:p>
    <w:p>
      <w:pPr>
        <w:ind w:left="80"/>
        <w:spacing w:after="0"/>
        <w:rPr>
          <w:sz w:val="20"/>
          <w:szCs w:val="20"/>
          <w:color w:val="auto"/>
        </w:rPr>
      </w:pPr>
      <w:r>
        <w:rPr>
          <w:rFonts w:ascii="Arial" w:cs="Arial" w:eastAsia="Arial" w:hAnsi="Arial"/>
          <w:sz w:val="15"/>
          <w:szCs w:val="15"/>
          <w:b w:val="1"/>
          <w:bCs w:val="1"/>
          <w:color w:val="FFFFFF"/>
        </w:rPr>
        <w:t>LISTING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-95250</wp:posOffset>
            </wp:positionV>
            <wp:extent cx="3473450" cy="102870"/>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42">
                      <a:extLst>
                        <a:ext uri="{28A0092B-C50C-407E-A947-70E740481C1C}"/>
                      </a:extLst>
                    </a:blip>
                    <a:srcRect/>
                    <a:stretch>
                      <a:fillRect/>
                    </a:stretch>
                  </pic:blipFill>
                  <pic:spPr bwMode="auto">
                    <a:xfrm>
                      <a:off x="0" y="0"/>
                      <a:ext cx="3473450" cy="10287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49"/>
        </w:trPr>
        <w:tc>
          <w:tcPr>
            <w:tcW w:w="2420" w:type="dxa"/>
            <w:vAlign w:val="bottom"/>
            <w:tcBorders>
              <w:bottom w:val="single" w:sz="8" w:color="auto"/>
            </w:tcBorders>
          </w:tcPr>
          <w:p>
            <w:pPr>
              <w:spacing w:after="0"/>
              <w:rPr>
                <w:sz w:val="12"/>
                <w:szCs w:val="12"/>
                <w:color w:val="auto"/>
              </w:rPr>
            </w:pPr>
          </w:p>
        </w:tc>
        <w:tc>
          <w:tcPr>
            <w:tcW w:w="1540" w:type="dxa"/>
            <w:vAlign w:val="bottom"/>
            <w:tcBorders>
              <w:bottom w:val="single" w:sz="8" w:color="auto"/>
            </w:tcBorders>
          </w:tcPr>
          <w:p>
            <w:pPr>
              <w:jc w:val="right"/>
              <w:ind w:right="189"/>
              <w:spacing w:after="0"/>
              <w:rPr>
                <w:sz w:val="20"/>
                <w:szCs w:val="20"/>
                <w:color w:val="auto"/>
              </w:rPr>
            </w:pPr>
            <w:r>
              <w:rPr>
                <w:rFonts w:ascii="Arial" w:cs="Arial" w:eastAsia="Arial" w:hAnsi="Arial"/>
                <w:sz w:val="13"/>
                <w:szCs w:val="13"/>
                <w:color w:val="auto"/>
              </w:rPr>
              <w:t>A shares</w:t>
            </w:r>
          </w:p>
        </w:tc>
        <w:tc>
          <w:tcPr>
            <w:tcW w:w="1520" w:type="dxa"/>
            <w:vAlign w:val="bottom"/>
            <w:tcBorders>
              <w:bottom w:val="single" w:sz="8" w:color="auto"/>
            </w:tcBorders>
          </w:tcPr>
          <w:p>
            <w:pPr>
              <w:jc w:val="right"/>
              <w:ind w:right="89"/>
              <w:spacing w:after="0"/>
              <w:rPr>
                <w:sz w:val="20"/>
                <w:szCs w:val="20"/>
                <w:color w:val="auto"/>
              </w:rPr>
            </w:pPr>
            <w:r>
              <w:rPr>
                <w:rFonts w:ascii="Arial" w:cs="Arial" w:eastAsia="Arial" w:hAnsi="Arial"/>
                <w:sz w:val="13"/>
                <w:szCs w:val="13"/>
                <w:color w:val="auto"/>
              </w:rPr>
              <w:t>B shares</w:t>
            </w:r>
          </w:p>
        </w:tc>
      </w:tr>
      <w:tr>
        <w:trPr>
          <w:trHeight w:val="160"/>
        </w:trPr>
        <w:tc>
          <w:tcPr>
            <w:tcW w:w="2420" w:type="dxa"/>
            <w:vAlign w:val="bottom"/>
          </w:tcPr>
          <w:p>
            <w:pPr>
              <w:spacing w:after="0"/>
              <w:rPr>
                <w:sz w:val="20"/>
                <w:szCs w:val="20"/>
                <w:color w:val="auto"/>
              </w:rPr>
            </w:pPr>
            <w:r>
              <w:rPr>
                <w:rFonts w:ascii="Arial" w:cs="Arial" w:eastAsia="Arial" w:hAnsi="Arial"/>
                <w:sz w:val="14"/>
                <w:szCs w:val="14"/>
                <w:color w:val="auto"/>
              </w:rPr>
              <w:t>Ticker symbol London</w:t>
            </w:r>
          </w:p>
        </w:tc>
        <w:tc>
          <w:tcPr>
            <w:tcW w:w="1540" w:type="dxa"/>
            <w:vAlign w:val="bottom"/>
          </w:tcPr>
          <w:p>
            <w:pPr>
              <w:jc w:val="right"/>
              <w:ind w:right="189"/>
              <w:spacing w:after="0"/>
              <w:rPr>
                <w:sz w:val="20"/>
                <w:szCs w:val="20"/>
                <w:color w:val="auto"/>
              </w:rPr>
            </w:pPr>
            <w:r>
              <w:rPr>
                <w:rFonts w:ascii="Arial" w:cs="Arial" w:eastAsia="Arial" w:hAnsi="Arial"/>
                <w:sz w:val="14"/>
                <w:szCs w:val="14"/>
                <w:color w:val="auto"/>
              </w:rPr>
              <w:t>RDSA</w:t>
            </w:r>
          </w:p>
        </w:tc>
        <w:tc>
          <w:tcPr>
            <w:tcW w:w="1520" w:type="dxa"/>
            <w:vAlign w:val="bottom"/>
          </w:tcPr>
          <w:p>
            <w:pPr>
              <w:jc w:val="right"/>
              <w:ind w:right="89"/>
              <w:spacing w:after="0"/>
              <w:rPr>
                <w:sz w:val="20"/>
                <w:szCs w:val="20"/>
                <w:color w:val="auto"/>
              </w:rPr>
            </w:pPr>
            <w:r>
              <w:rPr>
                <w:rFonts w:ascii="Arial" w:cs="Arial" w:eastAsia="Arial" w:hAnsi="Arial"/>
                <w:sz w:val="14"/>
                <w:szCs w:val="14"/>
                <w:color w:val="auto"/>
              </w:rPr>
              <w:t>RDSB</w:t>
            </w:r>
          </w:p>
        </w:tc>
      </w:tr>
      <w:tr>
        <w:trPr>
          <w:trHeight w:val="162"/>
        </w:trPr>
        <w:tc>
          <w:tcPr>
            <w:tcW w:w="2420" w:type="dxa"/>
            <w:vAlign w:val="bottom"/>
          </w:tcPr>
          <w:p>
            <w:pPr>
              <w:spacing w:after="0"/>
              <w:rPr>
                <w:sz w:val="20"/>
                <w:szCs w:val="20"/>
                <w:color w:val="auto"/>
              </w:rPr>
            </w:pPr>
            <w:r>
              <w:rPr>
                <w:rFonts w:ascii="Arial" w:cs="Arial" w:eastAsia="Arial" w:hAnsi="Arial"/>
                <w:sz w:val="14"/>
                <w:szCs w:val="14"/>
                <w:color w:val="auto"/>
              </w:rPr>
              <w:t>Ticker symbol Amsterdam</w:t>
            </w:r>
          </w:p>
        </w:tc>
        <w:tc>
          <w:tcPr>
            <w:tcW w:w="1540" w:type="dxa"/>
            <w:vAlign w:val="bottom"/>
          </w:tcPr>
          <w:p>
            <w:pPr>
              <w:jc w:val="right"/>
              <w:ind w:right="189"/>
              <w:spacing w:after="0"/>
              <w:rPr>
                <w:sz w:val="20"/>
                <w:szCs w:val="20"/>
                <w:color w:val="auto"/>
              </w:rPr>
            </w:pPr>
            <w:r>
              <w:rPr>
                <w:rFonts w:ascii="Arial" w:cs="Arial" w:eastAsia="Arial" w:hAnsi="Arial"/>
                <w:sz w:val="14"/>
                <w:szCs w:val="14"/>
                <w:color w:val="auto"/>
              </w:rPr>
              <w:t>RDSA</w:t>
            </w:r>
          </w:p>
        </w:tc>
        <w:tc>
          <w:tcPr>
            <w:tcW w:w="1520" w:type="dxa"/>
            <w:vAlign w:val="bottom"/>
          </w:tcPr>
          <w:p>
            <w:pPr>
              <w:jc w:val="right"/>
              <w:ind w:right="89"/>
              <w:spacing w:after="0"/>
              <w:rPr>
                <w:sz w:val="20"/>
                <w:szCs w:val="20"/>
                <w:color w:val="auto"/>
              </w:rPr>
            </w:pPr>
            <w:r>
              <w:rPr>
                <w:rFonts w:ascii="Arial" w:cs="Arial" w:eastAsia="Arial" w:hAnsi="Arial"/>
                <w:sz w:val="14"/>
                <w:szCs w:val="14"/>
                <w:color w:val="auto"/>
              </w:rPr>
              <w:t>RDSB</w:t>
            </w:r>
          </w:p>
        </w:tc>
      </w:tr>
      <w:tr>
        <w:trPr>
          <w:trHeight w:val="162"/>
        </w:trPr>
        <w:tc>
          <w:tcPr>
            <w:tcW w:w="2420" w:type="dxa"/>
            <w:vAlign w:val="bottom"/>
          </w:tcPr>
          <w:p>
            <w:pPr>
              <w:spacing w:after="0"/>
              <w:rPr>
                <w:sz w:val="20"/>
                <w:szCs w:val="20"/>
                <w:color w:val="auto"/>
              </w:rPr>
            </w:pPr>
            <w:r>
              <w:rPr>
                <w:rFonts w:ascii="Arial" w:cs="Arial" w:eastAsia="Arial" w:hAnsi="Arial"/>
                <w:sz w:val="14"/>
                <w:szCs w:val="14"/>
                <w:color w:val="auto"/>
              </w:rPr>
              <w:t>Ticker symbol New York</w:t>
            </w:r>
          </w:p>
        </w:tc>
        <w:tc>
          <w:tcPr>
            <w:tcW w:w="1540" w:type="dxa"/>
            <w:vAlign w:val="bottom"/>
          </w:tcPr>
          <w:p>
            <w:pPr>
              <w:spacing w:after="0"/>
              <w:rPr>
                <w:sz w:val="14"/>
                <w:szCs w:val="14"/>
                <w:color w:val="auto"/>
              </w:rPr>
            </w:pPr>
          </w:p>
        </w:tc>
        <w:tc>
          <w:tcPr>
            <w:tcW w:w="1520" w:type="dxa"/>
            <w:vAlign w:val="bottom"/>
          </w:tcPr>
          <w:p>
            <w:pPr>
              <w:spacing w:after="0"/>
              <w:rPr>
                <w:sz w:val="14"/>
                <w:szCs w:val="14"/>
                <w:color w:val="auto"/>
              </w:rPr>
            </w:pPr>
          </w:p>
        </w:tc>
      </w:tr>
      <w:tr>
        <w:trPr>
          <w:trHeight w:val="162"/>
        </w:trPr>
        <w:tc>
          <w:tcPr>
            <w:tcW w:w="2420" w:type="dxa"/>
            <w:vAlign w:val="bottom"/>
          </w:tcPr>
          <w:p>
            <w:pPr>
              <w:ind w:left="160"/>
              <w:spacing w:after="0"/>
              <w:rPr>
                <w:sz w:val="20"/>
                <w:szCs w:val="20"/>
                <w:color w:val="auto"/>
              </w:rPr>
            </w:pPr>
            <w:r>
              <w:rPr>
                <w:rFonts w:ascii="Arial" w:cs="Arial" w:eastAsia="Arial" w:hAnsi="Arial"/>
                <w:sz w:val="14"/>
                <w:szCs w:val="14"/>
                <w:color w:val="auto"/>
              </w:rPr>
              <w:t>(ADS [A])</w:t>
            </w:r>
          </w:p>
        </w:tc>
        <w:tc>
          <w:tcPr>
            <w:tcW w:w="1540" w:type="dxa"/>
            <w:vAlign w:val="bottom"/>
          </w:tcPr>
          <w:p>
            <w:pPr>
              <w:jc w:val="right"/>
              <w:ind w:right="189"/>
              <w:spacing w:after="0"/>
              <w:rPr>
                <w:sz w:val="20"/>
                <w:szCs w:val="20"/>
                <w:color w:val="auto"/>
              </w:rPr>
            </w:pPr>
            <w:r>
              <w:rPr>
                <w:rFonts w:ascii="Arial" w:cs="Arial" w:eastAsia="Arial" w:hAnsi="Arial"/>
                <w:sz w:val="14"/>
                <w:szCs w:val="14"/>
                <w:color w:val="auto"/>
              </w:rPr>
              <w:t>RDS.A</w:t>
            </w:r>
          </w:p>
        </w:tc>
        <w:tc>
          <w:tcPr>
            <w:tcW w:w="1520" w:type="dxa"/>
            <w:vAlign w:val="bottom"/>
          </w:tcPr>
          <w:p>
            <w:pPr>
              <w:jc w:val="right"/>
              <w:ind w:right="89"/>
              <w:spacing w:after="0"/>
              <w:rPr>
                <w:sz w:val="20"/>
                <w:szCs w:val="20"/>
                <w:color w:val="auto"/>
              </w:rPr>
            </w:pPr>
            <w:r>
              <w:rPr>
                <w:rFonts w:ascii="Arial" w:cs="Arial" w:eastAsia="Arial" w:hAnsi="Arial"/>
                <w:sz w:val="14"/>
                <w:szCs w:val="14"/>
                <w:color w:val="auto"/>
              </w:rPr>
              <w:t>RDS.B</w:t>
            </w:r>
          </w:p>
        </w:tc>
      </w:tr>
      <w:tr>
        <w:trPr>
          <w:trHeight w:val="162"/>
        </w:trPr>
        <w:tc>
          <w:tcPr>
            <w:tcW w:w="2420" w:type="dxa"/>
            <w:vAlign w:val="bottom"/>
          </w:tcPr>
          <w:p>
            <w:pPr>
              <w:spacing w:after="0"/>
              <w:rPr>
                <w:sz w:val="20"/>
                <w:szCs w:val="20"/>
                <w:color w:val="auto"/>
              </w:rPr>
            </w:pPr>
            <w:r>
              <w:rPr>
                <w:rFonts w:ascii="Arial" w:cs="Arial" w:eastAsia="Arial" w:hAnsi="Arial"/>
                <w:sz w:val="14"/>
                <w:szCs w:val="14"/>
                <w:color w:val="auto"/>
              </w:rPr>
              <w:t>ISIN Code</w:t>
            </w:r>
          </w:p>
        </w:tc>
        <w:tc>
          <w:tcPr>
            <w:tcW w:w="1540" w:type="dxa"/>
            <w:vAlign w:val="bottom"/>
          </w:tcPr>
          <w:p>
            <w:pPr>
              <w:jc w:val="right"/>
              <w:ind w:right="189"/>
              <w:spacing w:after="0"/>
              <w:rPr>
                <w:sz w:val="20"/>
                <w:szCs w:val="20"/>
                <w:color w:val="auto"/>
              </w:rPr>
            </w:pPr>
            <w:r>
              <w:rPr>
                <w:rFonts w:ascii="Arial" w:cs="Arial" w:eastAsia="Arial" w:hAnsi="Arial"/>
                <w:sz w:val="14"/>
                <w:szCs w:val="14"/>
                <w:color w:val="auto"/>
              </w:rPr>
              <w:t>GB00B03MLX29</w:t>
            </w:r>
          </w:p>
        </w:tc>
        <w:tc>
          <w:tcPr>
            <w:tcW w:w="1520" w:type="dxa"/>
            <w:vAlign w:val="bottom"/>
          </w:tcPr>
          <w:p>
            <w:pPr>
              <w:jc w:val="right"/>
              <w:ind w:right="89"/>
              <w:spacing w:after="0"/>
              <w:rPr>
                <w:sz w:val="20"/>
                <w:szCs w:val="20"/>
                <w:color w:val="auto"/>
              </w:rPr>
            </w:pPr>
            <w:r>
              <w:rPr>
                <w:rFonts w:ascii="Arial" w:cs="Arial" w:eastAsia="Arial" w:hAnsi="Arial"/>
                <w:sz w:val="14"/>
                <w:szCs w:val="14"/>
                <w:color w:val="auto"/>
              </w:rPr>
              <w:t>GB00B03MM408</w:t>
            </w:r>
          </w:p>
        </w:tc>
      </w:tr>
      <w:tr>
        <w:trPr>
          <w:trHeight w:val="162"/>
        </w:trPr>
        <w:tc>
          <w:tcPr>
            <w:tcW w:w="2420" w:type="dxa"/>
            <w:vAlign w:val="bottom"/>
          </w:tcPr>
          <w:p>
            <w:pPr>
              <w:spacing w:after="0"/>
              <w:rPr>
                <w:sz w:val="20"/>
                <w:szCs w:val="20"/>
                <w:color w:val="auto"/>
              </w:rPr>
            </w:pPr>
            <w:r>
              <w:rPr>
                <w:rFonts w:ascii="Arial" w:cs="Arial" w:eastAsia="Arial" w:hAnsi="Arial"/>
                <w:sz w:val="14"/>
                <w:szCs w:val="14"/>
                <w:color w:val="auto"/>
              </w:rPr>
              <w:t>CUSIP</w:t>
            </w:r>
          </w:p>
        </w:tc>
        <w:tc>
          <w:tcPr>
            <w:tcW w:w="1540" w:type="dxa"/>
            <w:vAlign w:val="bottom"/>
          </w:tcPr>
          <w:p>
            <w:pPr>
              <w:jc w:val="right"/>
              <w:ind w:right="189"/>
              <w:spacing w:after="0"/>
              <w:rPr>
                <w:sz w:val="20"/>
                <w:szCs w:val="20"/>
                <w:color w:val="auto"/>
              </w:rPr>
            </w:pPr>
            <w:r>
              <w:rPr>
                <w:rFonts w:ascii="Arial" w:cs="Arial" w:eastAsia="Arial" w:hAnsi="Arial"/>
                <w:sz w:val="14"/>
                <w:szCs w:val="14"/>
                <w:color w:val="auto"/>
              </w:rPr>
              <w:t>G7690A100</w:t>
            </w:r>
          </w:p>
        </w:tc>
        <w:tc>
          <w:tcPr>
            <w:tcW w:w="1520" w:type="dxa"/>
            <w:vAlign w:val="bottom"/>
          </w:tcPr>
          <w:p>
            <w:pPr>
              <w:jc w:val="right"/>
              <w:ind w:right="89"/>
              <w:spacing w:after="0"/>
              <w:rPr>
                <w:sz w:val="20"/>
                <w:szCs w:val="20"/>
                <w:color w:val="auto"/>
              </w:rPr>
            </w:pPr>
            <w:r>
              <w:rPr>
                <w:rFonts w:ascii="Arial" w:cs="Arial" w:eastAsia="Arial" w:hAnsi="Arial"/>
                <w:sz w:val="14"/>
                <w:szCs w:val="14"/>
                <w:color w:val="auto"/>
              </w:rPr>
              <w:t>G7690A118</w:t>
            </w:r>
          </w:p>
        </w:tc>
      </w:tr>
      <w:tr>
        <w:trPr>
          <w:trHeight w:val="162"/>
        </w:trPr>
        <w:tc>
          <w:tcPr>
            <w:tcW w:w="2420" w:type="dxa"/>
            <w:vAlign w:val="bottom"/>
          </w:tcPr>
          <w:p>
            <w:pPr>
              <w:spacing w:after="0"/>
              <w:rPr>
                <w:sz w:val="20"/>
                <w:szCs w:val="20"/>
                <w:color w:val="auto"/>
              </w:rPr>
            </w:pPr>
            <w:r>
              <w:rPr>
                <w:rFonts w:ascii="Arial" w:cs="Arial" w:eastAsia="Arial" w:hAnsi="Arial"/>
                <w:sz w:val="14"/>
                <w:szCs w:val="14"/>
                <w:color w:val="auto"/>
              </w:rPr>
              <w:t>SEDOL Number London</w:t>
            </w:r>
          </w:p>
        </w:tc>
        <w:tc>
          <w:tcPr>
            <w:tcW w:w="1540" w:type="dxa"/>
            <w:vAlign w:val="bottom"/>
          </w:tcPr>
          <w:p>
            <w:pPr>
              <w:jc w:val="right"/>
              <w:ind w:right="189"/>
              <w:spacing w:after="0"/>
              <w:rPr>
                <w:sz w:val="20"/>
                <w:szCs w:val="20"/>
                <w:color w:val="auto"/>
              </w:rPr>
            </w:pPr>
            <w:r>
              <w:rPr>
                <w:rFonts w:ascii="Arial" w:cs="Arial" w:eastAsia="Arial" w:hAnsi="Arial"/>
                <w:sz w:val="14"/>
                <w:szCs w:val="14"/>
                <w:color w:val="auto"/>
              </w:rPr>
              <w:t>B03MLX2</w:t>
            </w:r>
          </w:p>
        </w:tc>
        <w:tc>
          <w:tcPr>
            <w:tcW w:w="1520" w:type="dxa"/>
            <w:vAlign w:val="bottom"/>
          </w:tcPr>
          <w:p>
            <w:pPr>
              <w:jc w:val="right"/>
              <w:ind w:right="89"/>
              <w:spacing w:after="0"/>
              <w:rPr>
                <w:sz w:val="20"/>
                <w:szCs w:val="20"/>
                <w:color w:val="auto"/>
              </w:rPr>
            </w:pPr>
            <w:r>
              <w:rPr>
                <w:rFonts w:ascii="Arial" w:cs="Arial" w:eastAsia="Arial" w:hAnsi="Arial"/>
                <w:sz w:val="14"/>
                <w:szCs w:val="14"/>
                <w:color w:val="auto"/>
              </w:rPr>
              <w:t>B03MM40</w:t>
            </w:r>
          </w:p>
        </w:tc>
      </w:tr>
      <w:tr>
        <w:trPr>
          <w:trHeight w:val="162"/>
        </w:trPr>
        <w:tc>
          <w:tcPr>
            <w:tcW w:w="2420" w:type="dxa"/>
            <w:vAlign w:val="bottom"/>
          </w:tcPr>
          <w:p>
            <w:pPr>
              <w:spacing w:after="0"/>
              <w:rPr>
                <w:sz w:val="20"/>
                <w:szCs w:val="20"/>
                <w:color w:val="auto"/>
              </w:rPr>
            </w:pPr>
            <w:r>
              <w:rPr>
                <w:rFonts w:ascii="Arial" w:cs="Arial" w:eastAsia="Arial" w:hAnsi="Arial"/>
                <w:sz w:val="14"/>
                <w:szCs w:val="14"/>
                <w:color w:val="auto"/>
              </w:rPr>
              <w:t>SEDOL Number Euronext</w:t>
            </w:r>
          </w:p>
        </w:tc>
        <w:tc>
          <w:tcPr>
            <w:tcW w:w="1540" w:type="dxa"/>
            <w:vAlign w:val="bottom"/>
          </w:tcPr>
          <w:p>
            <w:pPr>
              <w:jc w:val="right"/>
              <w:ind w:right="189"/>
              <w:spacing w:after="0"/>
              <w:rPr>
                <w:sz w:val="20"/>
                <w:szCs w:val="20"/>
                <w:color w:val="auto"/>
              </w:rPr>
            </w:pPr>
            <w:r>
              <w:rPr>
                <w:rFonts w:ascii="Arial" w:cs="Arial" w:eastAsia="Arial" w:hAnsi="Arial"/>
                <w:sz w:val="14"/>
                <w:szCs w:val="14"/>
                <w:color w:val="auto"/>
              </w:rPr>
              <w:t>B09CBL4</w:t>
            </w:r>
          </w:p>
        </w:tc>
        <w:tc>
          <w:tcPr>
            <w:tcW w:w="1520" w:type="dxa"/>
            <w:vAlign w:val="bottom"/>
          </w:tcPr>
          <w:p>
            <w:pPr>
              <w:jc w:val="right"/>
              <w:ind w:right="89"/>
              <w:spacing w:after="0"/>
              <w:rPr>
                <w:sz w:val="20"/>
                <w:szCs w:val="20"/>
                <w:color w:val="auto"/>
              </w:rPr>
            </w:pPr>
            <w:r>
              <w:rPr>
                <w:rFonts w:ascii="Arial" w:cs="Arial" w:eastAsia="Arial" w:hAnsi="Arial"/>
                <w:sz w:val="14"/>
                <w:szCs w:val="14"/>
                <w:color w:val="auto"/>
              </w:rPr>
              <w:t>B09CBN6</w:t>
            </w:r>
          </w:p>
        </w:tc>
      </w:tr>
      <w:tr>
        <w:trPr>
          <w:trHeight w:val="162"/>
        </w:trPr>
        <w:tc>
          <w:tcPr>
            <w:tcW w:w="2420" w:type="dxa"/>
            <w:vAlign w:val="bottom"/>
          </w:tcPr>
          <w:p>
            <w:pPr>
              <w:spacing w:after="0"/>
              <w:rPr>
                <w:sz w:val="20"/>
                <w:szCs w:val="20"/>
                <w:color w:val="auto"/>
              </w:rPr>
            </w:pPr>
            <w:r>
              <w:rPr>
                <w:rFonts w:ascii="Arial" w:cs="Arial" w:eastAsia="Arial" w:hAnsi="Arial"/>
                <w:sz w:val="14"/>
                <w:szCs w:val="14"/>
                <w:color w:val="auto"/>
              </w:rPr>
              <w:t>Weighting on FTSE as at 31/12/14</w:t>
            </w:r>
          </w:p>
        </w:tc>
        <w:tc>
          <w:tcPr>
            <w:tcW w:w="1540" w:type="dxa"/>
            <w:vAlign w:val="bottom"/>
          </w:tcPr>
          <w:p>
            <w:pPr>
              <w:jc w:val="right"/>
              <w:ind w:right="189"/>
              <w:spacing w:after="0"/>
              <w:rPr>
                <w:sz w:val="20"/>
                <w:szCs w:val="20"/>
                <w:color w:val="auto"/>
              </w:rPr>
            </w:pPr>
            <w:r>
              <w:rPr>
                <w:rFonts w:ascii="Arial" w:cs="Arial" w:eastAsia="Arial" w:hAnsi="Arial"/>
                <w:sz w:val="14"/>
                <w:szCs w:val="14"/>
                <w:color w:val="auto"/>
              </w:rPr>
              <w:t>5.08%</w:t>
            </w:r>
          </w:p>
        </w:tc>
        <w:tc>
          <w:tcPr>
            <w:tcW w:w="1520" w:type="dxa"/>
            <w:vAlign w:val="bottom"/>
          </w:tcPr>
          <w:p>
            <w:pPr>
              <w:jc w:val="right"/>
              <w:ind w:right="89"/>
              <w:spacing w:after="0"/>
              <w:rPr>
                <w:sz w:val="20"/>
                <w:szCs w:val="20"/>
                <w:color w:val="auto"/>
              </w:rPr>
            </w:pPr>
            <w:r>
              <w:rPr>
                <w:rFonts w:ascii="Arial" w:cs="Arial" w:eastAsia="Arial" w:hAnsi="Arial"/>
                <w:sz w:val="14"/>
                <w:szCs w:val="14"/>
                <w:color w:val="auto"/>
              </w:rPr>
              <w:t>3.28%</w:t>
            </w:r>
          </w:p>
        </w:tc>
      </w:tr>
      <w:tr>
        <w:trPr>
          <w:trHeight w:val="157"/>
        </w:trPr>
        <w:tc>
          <w:tcPr>
            <w:tcW w:w="2420" w:type="dxa"/>
            <w:vAlign w:val="bottom"/>
            <w:tcBorders>
              <w:bottom w:val="single" w:sz="8" w:color="auto"/>
            </w:tcBorders>
          </w:tcPr>
          <w:p>
            <w:pPr>
              <w:spacing w:after="0" w:line="157" w:lineRule="exact"/>
              <w:rPr>
                <w:sz w:val="20"/>
                <w:szCs w:val="20"/>
                <w:color w:val="auto"/>
              </w:rPr>
            </w:pPr>
            <w:r>
              <w:rPr>
                <w:rFonts w:ascii="Arial" w:cs="Arial" w:eastAsia="Arial" w:hAnsi="Arial"/>
                <w:sz w:val="14"/>
                <w:szCs w:val="14"/>
                <w:color w:val="auto"/>
              </w:rPr>
              <w:t>Weighting on AEX as at 31/12/14</w:t>
            </w:r>
          </w:p>
        </w:tc>
        <w:tc>
          <w:tcPr>
            <w:tcW w:w="1540" w:type="dxa"/>
            <w:vAlign w:val="bottom"/>
            <w:tcBorders>
              <w:bottom w:val="single" w:sz="8" w:color="auto"/>
            </w:tcBorders>
          </w:tcPr>
          <w:p>
            <w:pPr>
              <w:jc w:val="right"/>
              <w:ind w:right="189"/>
              <w:spacing w:after="0" w:line="157" w:lineRule="exact"/>
              <w:rPr>
                <w:sz w:val="20"/>
                <w:szCs w:val="20"/>
                <w:color w:val="auto"/>
              </w:rPr>
            </w:pPr>
            <w:r>
              <w:rPr>
                <w:rFonts w:ascii="Arial" w:cs="Arial" w:eastAsia="Arial" w:hAnsi="Arial"/>
                <w:sz w:val="14"/>
                <w:szCs w:val="14"/>
                <w:color w:val="auto"/>
              </w:rPr>
              <w:t>14.71%</w:t>
            </w:r>
          </w:p>
        </w:tc>
        <w:tc>
          <w:tcPr>
            <w:tcW w:w="1520" w:type="dxa"/>
            <w:vAlign w:val="bottom"/>
            <w:tcBorders>
              <w:bottom w:val="single" w:sz="8" w:color="auto"/>
            </w:tcBorders>
          </w:tcPr>
          <w:p>
            <w:pPr>
              <w:jc w:val="right"/>
              <w:ind w:right="89"/>
              <w:spacing w:after="0" w:line="157" w:lineRule="exact"/>
              <w:rPr>
                <w:sz w:val="20"/>
                <w:szCs w:val="20"/>
                <w:color w:val="auto"/>
              </w:rPr>
            </w:pPr>
            <w:r>
              <w:rPr>
                <w:rFonts w:ascii="Arial" w:cs="Arial" w:eastAsia="Arial" w:hAnsi="Arial"/>
                <w:sz w:val="14"/>
                <w:szCs w:val="14"/>
                <w:color w:val="auto"/>
              </w:rPr>
              <w:t>not included</w:t>
            </w:r>
          </w:p>
        </w:tc>
      </w:tr>
    </w:tbl>
    <w:p>
      <w:pPr>
        <w:spacing w:after="0" w:line="37" w:lineRule="exact"/>
        <w:rPr>
          <w:sz w:val="20"/>
          <w:szCs w:val="20"/>
          <w:color w:val="auto"/>
        </w:rPr>
      </w:pPr>
    </w:p>
    <w:p>
      <w:pPr>
        <w:spacing w:after="0"/>
        <w:rPr>
          <w:sz w:val="20"/>
          <w:szCs w:val="20"/>
          <w:color w:val="auto"/>
        </w:rPr>
      </w:pPr>
      <w:r>
        <w:rPr>
          <w:rFonts w:ascii="Arial" w:cs="Arial" w:eastAsia="Arial" w:hAnsi="Arial"/>
          <w:sz w:val="11"/>
          <w:szCs w:val="11"/>
          <w:color w:val="auto"/>
        </w:rPr>
        <w:t>[A] Each A ADS represents two A shares of €0.07 each and each B ADS represents two B shares of €0.07 each.</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419"/>
        </w:trPr>
        <w:tc>
          <w:tcPr>
            <w:tcW w:w="3880" w:type="dxa"/>
            <w:vAlign w:val="bottom"/>
            <w:shd w:val="clear" w:color="auto" w:fill="FF8B00"/>
          </w:tcPr>
          <w:p>
            <w:pPr>
              <w:spacing w:after="0"/>
              <w:rPr>
                <w:sz w:val="24"/>
                <w:szCs w:val="24"/>
                <w:color w:val="auto"/>
              </w:rPr>
            </w:pPr>
          </w:p>
        </w:tc>
        <w:tc>
          <w:tcPr>
            <w:tcW w:w="1940" w:type="dxa"/>
            <w:vAlign w:val="bottom"/>
            <w:shd w:val="clear" w:color="auto" w:fill="FF8B00"/>
          </w:tcPr>
          <w:p>
            <w:pPr>
              <w:spacing w:after="0"/>
              <w:rPr>
                <w:sz w:val="24"/>
                <w:szCs w:val="24"/>
                <w:color w:val="auto"/>
              </w:rPr>
            </w:pPr>
          </w:p>
        </w:tc>
      </w:tr>
      <w:tr>
        <w:trPr>
          <w:trHeight w:val="152"/>
        </w:trPr>
        <w:tc>
          <w:tcPr>
            <w:tcW w:w="3880" w:type="dxa"/>
            <w:vAlign w:val="bottom"/>
          </w:tcPr>
          <w:p>
            <w:pPr>
              <w:ind w:left="880"/>
              <w:spacing w:after="0"/>
              <w:rPr>
                <w:sz w:val="20"/>
                <w:szCs w:val="20"/>
                <w:color w:val="auto"/>
              </w:rPr>
            </w:pPr>
            <w:r>
              <w:rPr>
                <w:rFonts w:ascii="Arial" w:cs="Arial" w:eastAsia="Arial" w:hAnsi="Arial"/>
                <w:sz w:val="13"/>
                <w:szCs w:val="13"/>
                <w:color w:val="333333"/>
              </w:rPr>
              <w:t>ADDITIONAL INFORMATION</w:t>
            </w:r>
          </w:p>
        </w:tc>
        <w:tc>
          <w:tcPr>
            <w:tcW w:w="1940" w:type="dxa"/>
            <w:vAlign w:val="bottom"/>
          </w:tcPr>
          <w:p>
            <w:pPr>
              <w:jc w:val="right"/>
              <w:ind w:right="366"/>
              <w:spacing w:after="0"/>
              <w:rPr>
                <w:sz w:val="20"/>
                <w:szCs w:val="20"/>
                <w:color w:val="auto"/>
              </w:rPr>
            </w:pPr>
            <w:r>
              <w:rPr>
                <w:rFonts w:ascii="Arial" w:cs="Arial" w:eastAsia="Arial" w:hAnsi="Arial"/>
                <w:sz w:val="11"/>
                <w:szCs w:val="11"/>
                <w:b w:val="1"/>
                <w:bCs w:val="1"/>
                <w:color w:val="333333"/>
              </w:rPr>
              <w:t>179</w:t>
            </w:r>
          </w:p>
        </w:tc>
      </w:tr>
    </w:tbl>
    <w:p>
      <w:pPr>
        <w:spacing w:after="0" w:line="155" w:lineRule="exact"/>
        <w:rPr>
          <w:sz w:val="20"/>
          <w:szCs w:val="20"/>
          <w:color w:val="auto"/>
        </w:rPr>
      </w:pPr>
    </w:p>
    <w:p>
      <w:pPr>
        <w:ind w:left="880"/>
        <w:spacing w:after="0"/>
        <w:rPr>
          <w:sz w:val="20"/>
          <w:szCs w:val="20"/>
          <w:color w:val="auto"/>
        </w:rPr>
      </w:pPr>
      <w:r>
        <w:rPr>
          <w:rFonts w:ascii="Arial" w:cs="Arial" w:eastAsia="Arial" w:hAnsi="Arial"/>
          <w:sz w:val="11"/>
          <w:szCs w:val="11"/>
          <w:color w:val="auto"/>
        </w:rPr>
        <w:t>SHAREHOLDER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180"/>
        <w:spacing w:after="0"/>
        <w:rPr>
          <w:sz w:val="20"/>
          <w:szCs w:val="20"/>
          <w:color w:val="auto"/>
        </w:rPr>
      </w:pPr>
      <w:r>
        <w:rPr>
          <w:rFonts w:ascii="Arial" w:cs="Arial" w:eastAsia="Arial" w:hAnsi="Arial"/>
          <w:sz w:val="18"/>
          <w:szCs w:val="18"/>
          <w:color w:val="auto"/>
        </w:rPr>
        <w:t>SHARE CAPITAL</w:t>
      </w:r>
    </w:p>
    <w:p>
      <w:pPr>
        <w:spacing w:after="0" w:line="1" w:lineRule="exact"/>
        <w:rPr>
          <w:sz w:val="20"/>
          <w:szCs w:val="20"/>
          <w:color w:val="auto"/>
        </w:rPr>
      </w:pPr>
    </w:p>
    <w:p>
      <w:pPr>
        <w:ind w:left="180" w:right="240"/>
        <w:spacing w:after="0" w:line="258" w:lineRule="auto"/>
        <w:rPr>
          <w:sz w:val="20"/>
          <w:szCs w:val="20"/>
          <w:color w:val="auto"/>
        </w:rPr>
      </w:pPr>
      <w:r>
        <w:rPr>
          <w:rFonts w:ascii="Arial" w:cs="Arial" w:eastAsia="Arial" w:hAnsi="Arial"/>
          <w:sz w:val="14"/>
          <w:szCs w:val="14"/>
          <w:color w:val="auto"/>
        </w:rPr>
        <w:t>The issued and fully paid share capital of the Company as at February 17, 2015, was as follows:</w:t>
      </w:r>
    </w:p>
    <w:p>
      <w:pPr>
        <w:spacing w:after="0" w:line="168" w:lineRule="exact"/>
        <w:rPr>
          <w:sz w:val="20"/>
          <w:szCs w:val="20"/>
          <w:color w:val="auto"/>
        </w:rPr>
      </w:pPr>
    </w:p>
    <w:p>
      <w:pPr>
        <w:ind w:left="240"/>
        <w:spacing w:after="0"/>
        <w:rPr>
          <w:sz w:val="20"/>
          <w:szCs w:val="20"/>
          <w:color w:val="auto"/>
        </w:rPr>
      </w:pPr>
      <w:r>
        <w:rPr>
          <w:rFonts w:ascii="Arial" w:cs="Arial" w:eastAsia="Arial" w:hAnsi="Arial"/>
          <w:sz w:val="15"/>
          <w:szCs w:val="15"/>
          <w:b w:val="1"/>
          <w:bCs w:val="1"/>
          <w:color w:val="FFFFFF"/>
        </w:rPr>
        <w:t>SHARE CAPITAL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111125</wp:posOffset>
            </wp:positionH>
            <wp:positionV relativeFrom="paragraph">
              <wp:posOffset>-95250</wp:posOffset>
            </wp:positionV>
            <wp:extent cx="3473450" cy="102870"/>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43">
                      <a:extLst>
                        <a:ext uri="{28A0092B-C50C-407E-A947-70E740481C1C}"/>
                      </a:extLst>
                    </a:blip>
                    <a:srcRect/>
                    <a:stretch>
                      <a:fillRect/>
                    </a:stretch>
                  </pic:blipFill>
                  <pic:spPr bwMode="auto">
                    <a:xfrm>
                      <a:off x="0" y="0"/>
                      <a:ext cx="3473450" cy="102870"/>
                    </a:xfrm>
                    <a:prstGeom prst="rect">
                      <a:avLst/>
                    </a:prstGeom>
                    <a:noFill/>
                  </pic:spPr>
                </pic:pic>
              </a:graphicData>
            </a:graphic>
          </wp:anchor>
        </w:drawing>
      </w:r>
    </w:p>
    <w:tbl>
      <w:tblPr>
        <w:tblLayout w:type="fixed"/>
        <w:tblInd w:w="180" w:type="dxa"/>
        <w:tblCellMar>
          <w:top w:w="0" w:type="dxa"/>
          <w:left w:w="0" w:type="dxa"/>
          <w:bottom w:w="0" w:type="dxa"/>
          <w:right w:w="0" w:type="dxa"/>
        </w:tblCellMar>
      </w:tblPr>
      <w:tr>
        <w:trPr>
          <w:trHeight w:val="146"/>
        </w:trPr>
        <w:tc>
          <w:tcPr>
            <w:tcW w:w="2660" w:type="dxa"/>
            <w:vAlign w:val="bottom"/>
          </w:tcPr>
          <w:p>
            <w:pPr>
              <w:spacing w:after="0"/>
              <w:rPr>
                <w:sz w:val="12"/>
                <w:szCs w:val="12"/>
                <w:color w:val="auto"/>
              </w:rPr>
            </w:pPr>
          </w:p>
        </w:tc>
        <w:tc>
          <w:tcPr>
            <w:tcW w:w="1440" w:type="dxa"/>
            <w:vAlign w:val="bottom"/>
            <w:tcBorders>
              <w:bottom w:val="single" w:sz="8" w:color="auto"/>
            </w:tcBorders>
          </w:tcPr>
          <w:p>
            <w:pPr>
              <w:spacing w:after="0"/>
              <w:rPr>
                <w:sz w:val="12"/>
                <w:szCs w:val="12"/>
                <w:color w:val="auto"/>
              </w:rPr>
            </w:pPr>
          </w:p>
        </w:tc>
        <w:tc>
          <w:tcPr>
            <w:tcW w:w="1360" w:type="dxa"/>
            <w:vAlign w:val="bottom"/>
            <w:tcBorders>
              <w:bottom w:val="single" w:sz="8" w:color="auto"/>
            </w:tcBorders>
          </w:tcPr>
          <w:p>
            <w:pPr>
              <w:jc w:val="right"/>
              <w:ind w:right="32"/>
              <w:spacing w:after="0" w:line="146" w:lineRule="exact"/>
              <w:rPr>
                <w:sz w:val="20"/>
                <w:szCs w:val="20"/>
                <w:color w:val="auto"/>
              </w:rPr>
            </w:pPr>
            <w:r>
              <w:rPr>
                <w:rFonts w:ascii="Arial" w:cs="Arial" w:eastAsia="Arial" w:hAnsi="Arial"/>
                <w:sz w:val="13"/>
                <w:szCs w:val="13"/>
                <w:color w:val="auto"/>
              </w:rPr>
              <w:t>Issued and fully paid</w:t>
            </w:r>
          </w:p>
        </w:tc>
      </w:tr>
      <w:tr>
        <w:trPr>
          <w:trHeight w:val="129"/>
        </w:trPr>
        <w:tc>
          <w:tcPr>
            <w:tcW w:w="2660" w:type="dxa"/>
            <w:vAlign w:val="bottom"/>
            <w:tcBorders>
              <w:bottom w:val="single" w:sz="8" w:color="auto"/>
            </w:tcBorders>
          </w:tcPr>
          <w:p>
            <w:pPr>
              <w:spacing w:after="0"/>
              <w:rPr>
                <w:sz w:val="11"/>
                <w:szCs w:val="11"/>
                <w:color w:val="auto"/>
              </w:rPr>
            </w:pPr>
          </w:p>
        </w:tc>
        <w:tc>
          <w:tcPr>
            <w:tcW w:w="1440" w:type="dxa"/>
            <w:vAlign w:val="bottom"/>
            <w:tcBorders>
              <w:bottom w:val="single" w:sz="8" w:color="auto"/>
            </w:tcBorders>
          </w:tcPr>
          <w:p>
            <w:pPr>
              <w:jc w:val="right"/>
              <w:ind w:right="50"/>
              <w:spacing w:after="0" w:line="129" w:lineRule="exact"/>
              <w:rPr>
                <w:sz w:val="20"/>
                <w:szCs w:val="20"/>
                <w:color w:val="auto"/>
              </w:rPr>
            </w:pPr>
            <w:r>
              <w:rPr>
                <w:rFonts w:ascii="Arial" w:cs="Arial" w:eastAsia="Arial" w:hAnsi="Arial"/>
                <w:sz w:val="13"/>
                <w:szCs w:val="13"/>
                <w:color w:val="auto"/>
              </w:rPr>
              <w:t>Number</w:t>
            </w:r>
          </w:p>
        </w:tc>
        <w:tc>
          <w:tcPr>
            <w:tcW w:w="1360" w:type="dxa"/>
            <w:vAlign w:val="bottom"/>
            <w:tcBorders>
              <w:bottom w:val="single" w:sz="8" w:color="auto"/>
            </w:tcBorders>
          </w:tcPr>
          <w:p>
            <w:pPr>
              <w:jc w:val="right"/>
              <w:ind w:right="32"/>
              <w:spacing w:after="0" w:line="129" w:lineRule="exact"/>
              <w:rPr>
                <w:sz w:val="20"/>
                <w:szCs w:val="20"/>
                <w:color w:val="auto"/>
              </w:rPr>
            </w:pPr>
            <w:r>
              <w:rPr>
                <w:rFonts w:ascii="Arial" w:cs="Arial" w:eastAsia="Arial" w:hAnsi="Arial"/>
                <w:sz w:val="13"/>
                <w:szCs w:val="13"/>
                <w:color w:val="auto"/>
              </w:rPr>
              <w:t>Nominal value</w:t>
            </w:r>
          </w:p>
        </w:tc>
      </w:tr>
      <w:tr>
        <w:trPr>
          <w:trHeight w:val="200"/>
        </w:trPr>
        <w:tc>
          <w:tcPr>
            <w:tcW w:w="2660" w:type="dxa"/>
            <w:vAlign w:val="bottom"/>
          </w:tcPr>
          <w:p>
            <w:pPr>
              <w:spacing w:after="0"/>
              <w:rPr>
                <w:sz w:val="20"/>
                <w:szCs w:val="20"/>
                <w:color w:val="auto"/>
              </w:rPr>
            </w:pPr>
            <w:r>
              <w:rPr>
                <w:rFonts w:ascii="Arial" w:cs="Arial" w:eastAsia="Arial" w:hAnsi="Arial"/>
                <w:sz w:val="14"/>
                <w:szCs w:val="14"/>
                <w:color w:val="auto"/>
              </w:rPr>
              <w:t xml:space="preserve">Ordinary shares of </w:t>
            </w:r>
            <w:r>
              <w:rPr>
                <w:rFonts w:ascii="Arial" w:cs="Arial" w:eastAsia="Arial" w:hAnsi="Arial"/>
                <w:sz w:val="16"/>
                <w:szCs w:val="16"/>
                <w:color w:val="auto"/>
              </w:rPr>
              <w:t>€</w:t>
            </w:r>
            <w:r>
              <w:rPr>
                <w:rFonts w:ascii="Arial" w:cs="Arial" w:eastAsia="Arial" w:hAnsi="Arial"/>
                <w:sz w:val="14"/>
                <w:szCs w:val="14"/>
                <w:color w:val="auto"/>
              </w:rPr>
              <w:t>0.07 each</w:t>
            </w:r>
          </w:p>
        </w:tc>
        <w:tc>
          <w:tcPr>
            <w:tcW w:w="144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163"/>
        </w:trPr>
        <w:tc>
          <w:tcPr>
            <w:tcW w:w="2660" w:type="dxa"/>
            <w:vAlign w:val="bottom"/>
          </w:tcPr>
          <w:p>
            <w:pPr>
              <w:ind w:left="120"/>
              <w:spacing w:after="0"/>
              <w:rPr>
                <w:sz w:val="20"/>
                <w:szCs w:val="20"/>
                <w:color w:val="auto"/>
              </w:rPr>
            </w:pPr>
            <w:r>
              <w:rPr>
                <w:rFonts w:ascii="Arial" w:cs="Arial" w:eastAsia="Arial" w:hAnsi="Arial"/>
                <w:sz w:val="14"/>
                <w:szCs w:val="14"/>
                <w:color w:val="auto"/>
              </w:rPr>
              <w:t>A shares</w:t>
            </w:r>
          </w:p>
        </w:tc>
        <w:tc>
          <w:tcPr>
            <w:tcW w:w="1440" w:type="dxa"/>
            <w:vAlign w:val="bottom"/>
          </w:tcPr>
          <w:p>
            <w:pPr>
              <w:jc w:val="right"/>
              <w:ind w:right="50"/>
              <w:spacing w:after="0"/>
              <w:rPr>
                <w:sz w:val="20"/>
                <w:szCs w:val="20"/>
                <w:color w:val="auto"/>
              </w:rPr>
            </w:pPr>
            <w:r>
              <w:rPr>
                <w:rFonts w:ascii="Arial" w:cs="Arial" w:eastAsia="Arial" w:hAnsi="Arial"/>
                <w:sz w:val="14"/>
                <w:szCs w:val="14"/>
                <w:color w:val="auto"/>
              </w:rPr>
              <w:t>3,894,584,881</w:t>
            </w:r>
          </w:p>
        </w:tc>
        <w:tc>
          <w:tcPr>
            <w:tcW w:w="1360" w:type="dxa"/>
            <w:vAlign w:val="bottom"/>
          </w:tcPr>
          <w:p>
            <w:pPr>
              <w:jc w:val="right"/>
              <w:ind w:right="32"/>
              <w:spacing w:after="0"/>
              <w:rPr>
                <w:sz w:val="20"/>
                <w:szCs w:val="20"/>
                <w:color w:val="auto"/>
              </w:rPr>
            </w:pPr>
            <w:r>
              <w:rPr>
                <w:rFonts w:ascii="Arial" w:cs="Arial" w:eastAsia="Arial" w:hAnsi="Arial"/>
                <w:sz w:val="14"/>
                <w:szCs w:val="14"/>
                <w:color w:val="auto"/>
              </w:rPr>
              <w:t>€272,620,942</w:t>
            </w:r>
          </w:p>
        </w:tc>
      </w:tr>
      <w:tr>
        <w:trPr>
          <w:trHeight w:val="162"/>
        </w:trPr>
        <w:tc>
          <w:tcPr>
            <w:tcW w:w="2660" w:type="dxa"/>
            <w:vAlign w:val="bottom"/>
          </w:tcPr>
          <w:p>
            <w:pPr>
              <w:ind w:left="120"/>
              <w:spacing w:after="0"/>
              <w:rPr>
                <w:sz w:val="20"/>
                <w:szCs w:val="20"/>
                <w:color w:val="auto"/>
              </w:rPr>
            </w:pPr>
            <w:r>
              <w:rPr>
                <w:rFonts w:ascii="Arial" w:cs="Arial" w:eastAsia="Arial" w:hAnsi="Arial"/>
                <w:sz w:val="14"/>
                <w:szCs w:val="14"/>
                <w:color w:val="auto"/>
              </w:rPr>
              <w:t>B shares</w:t>
            </w:r>
          </w:p>
        </w:tc>
        <w:tc>
          <w:tcPr>
            <w:tcW w:w="1440" w:type="dxa"/>
            <w:vAlign w:val="bottom"/>
          </w:tcPr>
          <w:p>
            <w:pPr>
              <w:jc w:val="right"/>
              <w:ind w:right="50"/>
              <w:spacing w:after="0"/>
              <w:rPr>
                <w:sz w:val="20"/>
                <w:szCs w:val="20"/>
                <w:color w:val="auto"/>
              </w:rPr>
            </w:pPr>
            <w:r>
              <w:rPr>
                <w:rFonts w:ascii="Arial" w:cs="Arial" w:eastAsia="Arial" w:hAnsi="Arial"/>
                <w:sz w:val="14"/>
                <w:szCs w:val="14"/>
                <w:color w:val="auto"/>
              </w:rPr>
              <w:t>2,440,410,614</w:t>
            </w:r>
          </w:p>
        </w:tc>
        <w:tc>
          <w:tcPr>
            <w:tcW w:w="1360" w:type="dxa"/>
            <w:vAlign w:val="bottom"/>
          </w:tcPr>
          <w:p>
            <w:pPr>
              <w:jc w:val="right"/>
              <w:ind w:right="32"/>
              <w:spacing w:after="0"/>
              <w:rPr>
                <w:sz w:val="20"/>
                <w:szCs w:val="20"/>
                <w:color w:val="auto"/>
              </w:rPr>
            </w:pPr>
            <w:r>
              <w:rPr>
                <w:rFonts w:ascii="Arial" w:cs="Arial" w:eastAsia="Arial" w:hAnsi="Arial"/>
                <w:sz w:val="14"/>
                <w:szCs w:val="14"/>
                <w:color w:val="auto"/>
              </w:rPr>
              <w:t>€170,828,743</w:t>
            </w:r>
          </w:p>
        </w:tc>
      </w:tr>
      <w:tr>
        <w:trPr>
          <w:trHeight w:val="157"/>
        </w:trPr>
        <w:tc>
          <w:tcPr>
            <w:tcW w:w="2660" w:type="dxa"/>
            <w:vAlign w:val="bottom"/>
            <w:tcBorders>
              <w:bottom w:val="single" w:sz="8" w:color="auto"/>
            </w:tcBorders>
          </w:tcPr>
          <w:p>
            <w:pPr>
              <w:spacing w:after="0" w:line="157" w:lineRule="exact"/>
              <w:rPr>
                <w:sz w:val="20"/>
                <w:szCs w:val="20"/>
                <w:color w:val="auto"/>
              </w:rPr>
            </w:pPr>
            <w:r>
              <w:rPr>
                <w:rFonts w:ascii="Arial" w:cs="Arial" w:eastAsia="Arial" w:hAnsi="Arial"/>
                <w:sz w:val="14"/>
                <w:szCs w:val="14"/>
                <w:color w:val="auto"/>
              </w:rPr>
              <w:t>Sterling deferred shares of £1 each</w:t>
            </w:r>
          </w:p>
        </w:tc>
        <w:tc>
          <w:tcPr>
            <w:tcW w:w="1440" w:type="dxa"/>
            <w:vAlign w:val="bottom"/>
            <w:tcBorders>
              <w:bottom w:val="single" w:sz="8" w:color="auto"/>
            </w:tcBorders>
          </w:tcPr>
          <w:p>
            <w:pPr>
              <w:jc w:val="right"/>
              <w:ind w:right="50"/>
              <w:spacing w:after="0" w:line="157" w:lineRule="exact"/>
              <w:rPr>
                <w:sz w:val="20"/>
                <w:szCs w:val="20"/>
                <w:color w:val="auto"/>
              </w:rPr>
            </w:pPr>
            <w:r>
              <w:rPr>
                <w:rFonts w:ascii="Arial" w:cs="Arial" w:eastAsia="Arial" w:hAnsi="Arial"/>
                <w:sz w:val="14"/>
                <w:szCs w:val="14"/>
                <w:color w:val="auto"/>
              </w:rPr>
              <w:t>50,000</w:t>
            </w:r>
          </w:p>
        </w:tc>
        <w:tc>
          <w:tcPr>
            <w:tcW w:w="1360" w:type="dxa"/>
            <w:vAlign w:val="bottom"/>
            <w:tcBorders>
              <w:bottom w:val="single" w:sz="8" w:color="auto"/>
            </w:tcBorders>
          </w:tcPr>
          <w:p>
            <w:pPr>
              <w:jc w:val="right"/>
              <w:ind w:right="32"/>
              <w:spacing w:after="0" w:line="157" w:lineRule="exact"/>
              <w:rPr>
                <w:sz w:val="20"/>
                <w:szCs w:val="20"/>
                <w:color w:val="auto"/>
              </w:rPr>
            </w:pPr>
            <w:r>
              <w:rPr>
                <w:rFonts w:ascii="Arial" w:cs="Arial" w:eastAsia="Arial" w:hAnsi="Arial"/>
                <w:sz w:val="14"/>
                <w:szCs w:val="14"/>
                <w:color w:val="auto"/>
              </w:rPr>
              <w:t>£50,000</w:t>
            </w:r>
          </w:p>
        </w:tc>
      </w:tr>
    </w:tbl>
    <w:p>
      <w:pPr>
        <w:spacing w:after="0" w:line="207" w:lineRule="exact"/>
        <w:rPr>
          <w:sz w:val="20"/>
          <w:szCs w:val="20"/>
          <w:color w:val="auto"/>
        </w:rPr>
      </w:pPr>
    </w:p>
    <w:p>
      <w:pPr>
        <w:ind w:left="180" w:right="200"/>
        <w:spacing w:after="0" w:line="244" w:lineRule="auto"/>
        <w:rPr>
          <w:sz w:val="20"/>
          <w:szCs w:val="20"/>
          <w:color w:val="auto"/>
        </w:rPr>
      </w:pPr>
      <w:r>
        <w:rPr>
          <w:rFonts w:ascii="Arial" w:cs="Arial" w:eastAsia="Arial" w:hAnsi="Arial"/>
          <w:sz w:val="14"/>
          <w:szCs w:val="14"/>
          <w:color w:val="auto"/>
        </w:rPr>
        <w:t>The Directors may only allot new ordinary shares if they have authority from shareholders to do so. The Company seeks to renew this authority annually at its Annual General Meeting (AGM). Under the resolution passed at the Company’s 2014 AGM, the Directors were granted authority to allot ordinary shares up to an aggregate nominal amount equivalent to approximately one-third of the issued ordinary share capital of the Company (in line with the guidelines issued by institutional investors).</w:t>
      </w:r>
    </w:p>
    <w:p>
      <w:pPr>
        <w:spacing w:after="0" w:line="166" w:lineRule="exact"/>
        <w:rPr>
          <w:sz w:val="20"/>
          <w:szCs w:val="20"/>
          <w:color w:val="auto"/>
        </w:rPr>
      </w:pPr>
    </w:p>
    <w:p>
      <w:pPr>
        <w:jc w:val="both"/>
        <w:ind w:left="180" w:right="320"/>
        <w:spacing w:after="0" w:line="245" w:lineRule="auto"/>
        <w:rPr>
          <w:sz w:val="20"/>
          <w:szCs w:val="20"/>
          <w:color w:val="auto"/>
        </w:rPr>
      </w:pPr>
      <w:r>
        <w:rPr>
          <w:rFonts w:ascii="Arial" w:cs="Arial" w:eastAsia="Arial" w:hAnsi="Arial"/>
          <w:sz w:val="14"/>
          <w:szCs w:val="14"/>
          <w:color w:val="auto"/>
        </w:rPr>
        <w:t>The following is a summary of the material terms of the Company’s ordinary shares, including brief descriptions of the provisions contained in the Articles of Association (the Articles) and applicable laws of England and Wales in effect on the date of this document. This summary does not purport to include complete statements of these provisions:</w:t>
      </w:r>
    </w:p>
    <w:p>
      <w:pPr>
        <w:spacing w:after="0" w:line="205" w:lineRule="exact"/>
        <w:rPr>
          <w:sz w:val="20"/>
          <w:szCs w:val="20"/>
          <w:color w:val="auto"/>
        </w:rPr>
      </w:pPr>
    </w:p>
    <w:p>
      <w:pPr>
        <w:ind w:left="340" w:right="220" w:hanging="160"/>
        <w:spacing w:after="0" w:line="195" w:lineRule="auto"/>
        <w:tabs>
          <w:tab w:leader="none" w:pos="340" w:val="left"/>
        </w:tabs>
        <w:numPr>
          <w:ilvl w:val="0"/>
          <w:numId w:val="204"/>
        </w:numPr>
        <w:rPr>
          <w:rFonts w:ascii="Arial" w:cs="Arial" w:eastAsia="Arial" w:hAnsi="Arial"/>
          <w:sz w:val="24"/>
          <w:szCs w:val="24"/>
          <w:color w:val="auto"/>
          <w:vertAlign w:val="superscript"/>
        </w:rPr>
      </w:pPr>
      <w:r>
        <w:rPr>
          <w:rFonts w:ascii="Arial" w:cs="Arial" w:eastAsia="Arial" w:hAnsi="Arial"/>
          <w:sz w:val="14"/>
          <w:szCs w:val="14"/>
          <w:color w:val="auto"/>
        </w:rPr>
        <w:t>upon issuance, A and B shares are fully paid and free from all liens, equities, charges, encumbrances and other interest of the Company and not subject to calls of any kind;</w:t>
      </w:r>
    </w:p>
    <w:p>
      <w:pPr>
        <w:ind w:left="340" w:right="200" w:hanging="160"/>
        <w:spacing w:after="0" w:line="182" w:lineRule="auto"/>
        <w:tabs>
          <w:tab w:leader="none" w:pos="340" w:val="left"/>
        </w:tabs>
        <w:numPr>
          <w:ilvl w:val="0"/>
          <w:numId w:val="204"/>
        </w:numPr>
        <w:rPr>
          <w:rFonts w:ascii="Arial" w:cs="Arial" w:eastAsia="Arial" w:hAnsi="Arial"/>
          <w:sz w:val="23"/>
          <w:szCs w:val="23"/>
          <w:color w:val="auto"/>
          <w:vertAlign w:val="superscript"/>
        </w:rPr>
      </w:pPr>
      <w:r>
        <w:rPr>
          <w:rFonts w:ascii="Arial" w:cs="Arial" w:eastAsia="Arial" w:hAnsi="Arial"/>
          <w:sz w:val="14"/>
          <w:szCs w:val="14"/>
          <w:color w:val="auto"/>
        </w:rPr>
        <w:t>all A and B shares rank equally for all dividends and distributions on ordinary share capital; and</w:t>
      </w:r>
    </w:p>
    <w:p>
      <w:pPr>
        <w:spacing w:after="0" w:line="1" w:lineRule="exact"/>
        <w:rPr>
          <w:rFonts w:ascii="Arial" w:cs="Arial" w:eastAsia="Arial" w:hAnsi="Arial"/>
          <w:sz w:val="23"/>
          <w:szCs w:val="23"/>
          <w:color w:val="auto"/>
          <w:vertAlign w:val="superscript"/>
        </w:rPr>
      </w:pPr>
    </w:p>
    <w:p>
      <w:pPr>
        <w:ind w:left="340" w:right="300" w:hanging="160"/>
        <w:spacing w:after="0" w:line="208" w:lineRule="auto"/>
        <w:tabs>
          <w:tab w:leader="none" w:pos="340" w:val="left"/>
        </w:tabs>
        <w:numPr>
          <w:ilvl w:val="0"/>
          <w:numId w:val="204"/>
        </w:numPr>
        <w:rPr>
          <w:rFonts w:ascii="Arial" w:cs="Arial" w:eastAsia="Arial" w:hAnsi="Arial"/>
          <w:sz w:val="24"/>
          <w:szCs w:val="24"/>
          <w:color w:val="auto"/>
          <w:vertAlign w:val="superscript"/>
        </w:rPr>
      </w:pPr>
      <w:r>
        <w:rPr>
          <w:rFonts w:ascii="Arial" w:cs="Arial" w:eastAsia="Arial" w:hAnsi="Arial"/>
          <w:sz w:val="14"/>
          <w:szCs w:val="14"/>
          <w:color w:val="auto"/>
        </w:rPr>
        <w:t>A and B shares are admitted to the Official List of the UK Listing Authority and to trading on the market for listed securities of the London Stock Exchange. A and B shares are also admitted to trading on Euronext Amsterdam. A and B ADSs are listed on the New York Stock Exchange.</w:t>
      </w:r>
    </w:p>
    <w:p>
      <w:pPr>
        <w:spacing w:after="0" w:line="180" w:lineRule="exact"/>
        <w:rPr>
          <w:sz w:val="20"/>
          <w:szCs w:val="20"/>
          <w:color w:val="auto"/>
        </w:rPr>
      </w:pPr>
    </w:p>
    <w:p>
      <w:pPr>
        <w:ind w:left="180" w:right="320"/>
        <w:spacing w:after="0" w:line="247" w:lineRule="auto"/>
        <w:rPr>
          <w:sz w:val="20"/>
          <w:szCs w:val="20"/>
          <w:color w:val="auto"/>
        </w:rPr>
      </w:pPr>
      <w:r>
        <w:rPr>
          <w:rFonts w:ascii="Arial" w:cs="Arial" w:eastAsia="Arial" w:hAnsi="Arial"/>
          <w:sz w:val="14"/>
          <w:szCs w:val="14"/>
          <w:color w:val="auto"/>
        </w:rPr>
        <w:t>As at December 31, 2014, trusts and trust-like entities holding shares for the benefit of employee share plans of Shell held (directly and indirectly) 52.7 million shares of the Company with an aggregate market value of $1,777 million and an aggregate nominal value of €3.7 million.</w:t>
      </w:r>
    </w:p>
    <w:p>
      <w:pPr>
        <w:sectPr>
          <w:pgSz w:w="11900" w:h="16838" w:orient="portrait"/>
          <w:cols w:equalWidth="0" w:num="2">
            <w:col w:w="5560" w:space="40"/>
            <w:col w:w="5820"/>
          </w:cols>
          <w:pgMar w:left="240" w:top="459" w:right="239" w:bottom="1440" w:gutter="0" w:footer="0" w:header="0"/>
          <w:type w:val="continuous"/>
        </w:sectPr>
      </w:pPr>
    </w:p>
    <w:bookmarkStart w:id="181" w:name="page182"/>
    <w:bookmarkEnd w:id="1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300355</wp:posOffset>
            </wp:positionV>
            <wp:extent cx="3533140" cy="462915"/>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45">
                      <a:extLst>
                        <a:ext uri="{28A0092B-C50C-407E-A947-70E740481C1C}"/>
                      </a:extLst>
                    </a:blip>
                    <a:srcRect/>
                    <a:stretch>
                      <a:fillRect/>
                    </a:stretch>
                  </pic:blipFill>
                  <pic:spPr bwMode="auto">
                    <a:xfrm>
                      <a:off x="0" y="0"/>
                      <a:ext cx="3533140" cy="462915"/>
                    </a:xfrm>
                    <a:prstGeom prst="rect">
                      <a:avLst/>
                    </a:prstGeom>
                    <a:noFill/>
                  </pic:spPr>
                </pic:pic>
              </a:graphicData>
            </a:graphic>
          </wp:anchor>
        </w:drawing>
      </w:r>
    </w:p>
    <w:p>
      <w:pPr>
        <w:spacing w:after="0" w:line="200" w:lineRule="exact"/>
        <w:rPr>
          <w:sz w:val="20"/>
          <w:szCs w:val="20"/>
          <w:color w:val="auto"/>
        </w:rPr>
      </w:pP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419"/>
        </w:trPr>
        <w:tc>
          <w:tcPr>
            <w:tcW w:w="1780" w:type="dxa"/>
            <w:vAlign w:val="bottom"/>
            <w:shd w:val="clear" w:color="auto" w:fill="FF8B00"/>
          </w:tcPr>
          <w:p>
            <w:pPr>
              <w:spacing w:after="0"/>
              <w:rPr>
                <w:sz w:val="24"/>
                <w:szCs w:val="24"/>
                <w:color w:val="auto"/>
              </w:rPr>
            </w:pPr>
          </w:p>
        </w:tc>
        <w:tc>
          <w:tcPr>
            <w:tcW w:w="3800" w:type="dxa"/>
            <w:vAlign w:val="bottom"/>
            <w:shd w:val="clear" w:color="auto" w:fill="FF8B00"/>
          </w:tcPr>
          <w:p>
            <w:pPr>
              <w:spacing w:after="0"/>
              <w:rPr>
                <w:sz w:val="24"/>
                <w:szCs w:val="24"/>
                <w:color w:val="auto"/>
              </w:rPr>
            </w:pPr>
          </w:p>
        </w:tc>
      </w:tr>
      <w:tr>
        <w:trPr>
          <w:trHeight w:val="152"/>
        </w:trPr>
        <w:tc>
          <w:tcPr>
            <w:tcW w:w="1780" w:type="dxa"/>
            <w:vAlign w:val="bottom"/>
          </w:tcPr>
          <w:p>
            <w:pPr>
              <w:jc w:val="right"/>
              <w:ind w:right="1286"/>
              <w:spacing w:after="0"/>
              <w:rPr>
                <w:sz w:val="20"/>
                <w:szCs w:val="20"/>
                <w:color w:val="auto"/>
              </w:rPr>
            </w:pPr>
            <w:r>
              <w:rPr>
                <w:rFonts w:ascii="Arial" w:cs="Arial" w:eastAsia="Arial" w:hAnsi="Arial"/>
                <w:sz w:val="11"/>
                <w:szCs w:val="11"/>
                <w:b w:val="1"/>
                <w:bCs w:val="1"/>
                <w:color w:val="333333"/>
              </w:rPr>
              <w:t>180</w:t>
            </w:r>
          </w:p>
        </w:tc>
        <w:tc>
          <w:tcPr>
            <w:tcW w:w="3800" w:type="dxa"/>
            <w:vAlign w:val="bottom"/>
          </w:tcPr>
          <w:p>
            <w:pPr>
              <w:ind w:left="1340"/>
              <w:spacing w:after="0"/>
              <w:rPr>
                <w:sz w:val="20"/>
                <w:szCs w:val="20"/>
                <w:color w:val="auto"/>
              </w:rPr>
            </w:pPr>
            <w:r>
              <w:rPr>
                <w:rFonts w:ascii="Arial" w:cs="Arial" w:eastAsia="Arial" w:hAnsi="Arial"/>
                <w:sz w:val="13"/>
                <w:szCs w:val="13"/>
                <w:color w:val="333333"/>
              </w:rPr>
              <w:t>ADDITIONAL INFORMATION</w:t>
            </w:r>
          </w:p>
        </w:tc>
      </w:tr>
    </w:tbl>
    <w:p>
      <w:pPr>
        <w:spacing w:after="0" w:line="155" w:lineRule="exact"/>
        <w:rPr>
          <w:sz w:val="20"/>
          <w:szCs w:val="20"/>
          <w:color w:val="auto"/>
        </w:rPr>
      </w:pPr>
    </w:p>
    <w:p>
      <w:pPr>
        <w:jc w:val="right"/>
        <w:spacing w:after="0"/>
        <w:tabs>
          <w:tab w:leader="none" w:pos="2380" w:val="left"/>
        </w:tabs>
        <w:rPr>
          <w:sz w:val="20"/>
          <w:szCs w:val="20"/>
          <w:color w:val="auto"/>
        </w:rPr>
      </w:pPr>
      <w:r>
        <w:rPr>
          <w:rFonts w:ascii="Arial" w:cs="Arial" w:eastAsia="Arial" w:hAnsi="Arial"/>
          <w:sz w:val="11"/>
          <w:szCs w:val="11"/>
          <w:color w:val="auto"/>
        </w:rPr>
        <w:t>SHAREHOLDER INFORMATION</w:t>
      </w:r>
      <w:r>
        <w:rPr>
          <w:sz w:val="20"/>
          <w:szCs w:val="20"/>
          <w:color w:val="auto"/>
        </w:rPr>
        <w:tab/>
      </w:r>
      <w:r>
        <w:rPr>
          <w:rFonts w:ascii="Arial" w:cs="Arial" w:eastAsia="Arial" w:hAnsi="Arial"/>
          <w:sz w:val="10"/>
          <w:szCs w:val="10"/>
          <w:color w:val="auto"/>
        </w:rPr>
        <w:t>SHELL ANNUAL REPORT AND FORM 20-F 2014</w:t>
      </w:r>
    </w:p>
    <w:p>
      <w:pPr>
        <w:spacing w:after="0" w:line="48" w:lineRule="exact"/>
        <w:rPr>
          <w:sz w:val="20"/>
          <w:szCs w:val="20"/>
          <w:color w:val="auto"/>
        </w:rPr>
      </w:pPr>
    </w:p>
    <w:p>
      <w:pPr>
        <w:spacing w:after="0"/>
        <w:rPr>
          <w:sz w:val="20"/>
          <w:szCs w:val="20"/>
          <w:color w:val="auto"/>
        </w:rPr>
      </w:pPr>
      <w:r>
        <w:rPr>
          <w:rFonts w:ascii="Arial" w:cs="Arial" w:eastAsia="Arial" w:hAnsi="Arial"/>
          <w:sz w:val="24"/>
          <w:szCs w:val="24"/>
          <w:color w:val="auto"/>
        </w:rPr>
        <w:t xml:space="preserve">SHAREHOLDER INFORMATION </w:t>
      </w:r>
      <w:r>
        <w:rPr>
          <w:rFonts w:ascii="Arial" w:cs="Arial" w:eastAsia="Arial" w:hAnsi="Arial"/>
          <w:sz w:val="24"/>
          <w:szCs w:val="24"/>
          <w:color w:val="666666"/>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3473450" cy="8890"/>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46">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SIGNIFICANT SHAREHOLDINGS</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The Company’s A and B shares have identical voting rights, and accordingly the</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Company’s major shareholders do not have different voting rights.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Significant direct shareholdings</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As at February 17, 2015, direct holdings of 3% or more of either class of the</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Company’s shares held by registered members representing the interests of</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underlying investors is given below.</w:t>
      </w:r>
    </w:p>
    <w:p>
      <w:pPr>
        <w:spacing w:after="0" w:line="340" w:lineRule="exact"/>
        <w:rPr>
          <w:sz w:val="20"/>
          <w:szCs w:val="20"/>
          <w:color w:val="auto"/>
        </w:rPr>
      </w:pPr>
    </w:p>
    <w:p>
      <w:pPr>
        <w:ind w:left="80"/>
        <w:spacing w:after="0"/>
        <w:rPr>
          <w:sz w:val="20"/>
          <w:szCs w:val="20"/>
          <w:color w:val="auto"/>
        </w:rPr>
      </w:pPr>
      <w:r>
        <w:rPr>
          <w:rFonts w:ascii="Arial" w:cs="Arial" w:eastAsia="Arial" w:hAnsi="Arial"/>
          <w:sz w:val="15"/>
          <w:szCs w:val="15"/>
          <w:b w:val="1"/>
          <w:bCs w:val="1"/>
          <w:color w:val="FFFFFF"/>
        </w:rPr>
        <w:t>DIRECT SHAREHOLDINGS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-95250</wp:posOffset>
            </wp:positionV>
            <wp:extent cx="7246620" cy="102870"/>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47">
                      <a:extLst>
                        <a:ext uri="{28A0092B-C50C-407E-A947-70E740481C1C}"/>
                      </a:extLst>
                    </a:blip>
                    <a:srcRect/>
                    <a:stretch>
                      <a:fillRect/>
                    </a:stretch>
                  </pic:blipFill>
                  <pic:spPr bwMode="auto">
                    <a:xfrm>
                      <a:off x="0" y="0"/>
                      <a:ext cx="7246620" cy="10287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46"/>
        </w:trPr>
        <w:tc>
          <w:tcPr>
            <w:tcW w:w="468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980" w:type="dxa"/>
            <w:vAlign w:val="bottom"/>
            <w:gridSpan w:val="2"/>
          </w:tcPr>
          <w:p>
            <w:pPr>
              <w:ind w:left="100"/>
              <w:spacing w:after="0" w:line="146" w:lineRule="exact"/>
              <w:rPr>
                <w:sz w:val="20"/>
                <w:szCs w:val="20"/>
                <w:color w:val="auto"/>
              </w:rPr>
            </w:pPr>
            <w:r>
              <w:rPr>
                <w:rFonts w:ascii="Arial" w:cs="Arial" w:eastAsia="Arial" w:hAnsi="Arial"/>
                <w:sz w:val="13"/>
                <w:szCs w:val="13"/>
                <w:color w:val="auto"/>
              </w:rPr>
              <w:t>A shares</w:t>
            </w:r>
          </w:p>
        </w:tc>
        <w:tc>
          <w:tcPr>
            <w:tcW w:w="1240" w:type="dxa"/>
            <w:vAlign w:val="bottom"/>
          </w:tcPr>
          <w:p>
            <w:pPr>
              <w:spacing w:after="0"/>
              <w:rPr>
                <w:sz w:val="12"/>
                <w:szCs w:val="12"/>
                <w:color w:val="auto"/>
              </w:rPr>
            </w:pPr>
          </w:p>
        </w:tc>
        <w:tc>
          <w:tcPr>
            <w:tcW w:w="960" w:type="dxa"/>
            <w:vAlign w:val="bottom"/>
            <w:gridSpan w:val="2"/>
          </w:tcPr>
          <w:p>
            <w:pPr>
              <w:ind w:left="100"/>
              <w:spacing w:after="0" w:line="146" w:lineRule="exact"/>
              <w:rPr>
                <w:sz w:val="20"/>
                <w:szCs w:val="20"/>
                <w:color w:val="auto"/>
              </w:rPr>
            </w:pPr>
            <w:r>
              <w:rPr>
                <w:rFonts w:ascii="Arial" w:cs="Arial" w:eastAsia="Arial" w:hAnsi="Arial"/>
                <w:sz w:val="13"/>
                <w:szCs w:val="13"/>
                <w:color w:val="auto"/>
              </w:rPr>
              <w:t>B shares</w:t>
            </w:r>
          </w:p>
        </w:tc>
        <w:tc>
          <w:tcPr>
            <w:tcW w:w="1520" w:type="dxa"/>
            <w:vAlign w:val="bottom"/>
          </w:tcPr>
          <w:p>
            <w:pPr>
              <w:spacing w:after="0"/>
              <w:rPr>
                <w:sz w:val="12"/>
                <w:szCs w:val="12"/>
                <w:color w:val="auto"/>
              </w:rPr>
            </w:pPr>
          </w:p>
        </w:tc>
        <w:tc>
          <w:tcPr>
            <w:tcW w:w="660" w:type="dxa"/>
            <w:vAlign w:val="bottom"/>
          </w:tcPr>
          <w:p>
            <w:pPr>
              <w:jc w:val="right"/>
              <w:ind w:right="30"/>
              <w:spacing w:after="0" w:line="146" w:lineRule="exact"/>
              <w:rPr>
                <w:sz w:val="20"/>
                <w:szCs w:val="20"/>
                <w:color w:val="auto"/>
              </w:rPr>
            </w:pPr>
            <w:r>
              <w:rPr>
                <w:rFonts w:ascii="Arial" w:cs="Arial" w:eastAsia="Arial" w:hAnsi="Arial"/>
                <w:sz w:val="13"/>
                <w:szCs w:val="13"/>
                <w:color w:val="auto"/>
              </w:rPr>
              <w:t>Total</w:t>
            </w:r>
          </w:p>
        </w:tc>
      </w:tr>
      <w:tr>
        <w:trPr>
          <w:trHeight w:val="129"/>
        </w:trPr>
        <w:tc>
          <w:tcPr>
            <w:tcW w:w="4680" w:type="dxa"/>
            <w:vAlign w:val="bottom"/>
            <w:tcBorders>
              <w:bottom w:val="single" w:sz="8" w:color="auto"/>
            </w:tcBorders>
          </w:tcPr>
          <w:p>
            <w:pPr>
              <w:spacing w:after="0"/>
              <w:rPr>
                <w:sz w:val="11"/>
                <w:szCs w:val="11"/>
                <w:color w:val="auto"/>
              </w:rPr>
            </w:pPr>
          </w:p>
        </w:tc>
        <w:tc>
          <w:tcPr>
            <w:tcW w:w="1380" w:type="dxa"/>
            <w:vAlign w:val="bottom"/>
            <w:tcBorders>
              <w:top w:val="single" w:sz="8" w:color="auto"/>
              <w:bottom w:val="single" w:sz="8" w:color="auto"/>
            </w:tcBorders>
          </w:tcPr>
          <w:p>
            <w:pPr>
              <w:jc w:val="right"/>
              <w:ind w:right="29"/>
              <w:spacing w:after="0" w:line="129" w:lineRule="exact"/>
              <w:rPr>
                <w:sz w:val="20"/>
                <w:szCs w:val="20"/>
                <w:color w:val="auto"/>
              </w:rPr>
            </w:pPr>
            <w:r>
              <w:rPr>
                <w:rFonts w:ascii="Arial" w:cs="Arial" w:eastAsia="Arial" w:hAnsi="Arial"/>
                <w:sz w:val="13"/>
                <w:szCs w:val="13"/>
                <w:color w:val="auto"/>
              </w:rPr>
              <w:t>Number</w:t>
            </w:r>
          </w:p>
        </w:tc>
        <w:tc>
          <w:tcPr>
            <w:tcW w:w="720" w:type="dxa"/>
            <w:vAlign w:val="bottom"/>
            <w:tcBorders>
              <w:top w:val="single" w:sz="8" w:color="auto"/>
              <w:bottom w:val="single" w:sz="8" w:color="auto"/>
            </w:tcBorders>
          </w:tcPr>
          <w:p>
            <w:pPr>
              <w:jc w:val="right"/>
              <w:ind w:right="50"/>
              <w:spacing w:after="0" w:line="129" w:lineRule="exact"/>
              <w:rPr>
                <w:sz w:val="20"/>
                <w:szCs w:val="20"/>
                <w:color w:val="auto"/>
              </w:rPr>
            </w:pPr>
            <w:r>
              <w:rPr>
                <w:rFonts w:ascii="Arial" w:cs="Arial" w:eastAsia="Arial" w:hAnsi="Arial"/>
                <w:sz w:val="13"/>
                <w:szCs w:val="13"/>
                <w:color w:val="auto"/>
              </w:rPr>
              <w:t>%</w:t>
            </w:r>
          </w:p>
        </w:tc>
        <w:tc>
          <w:tcPr>
            <w:tcW w:w="260" w:type="dxa"/>
            <w:vAlign w:val="bottom"/>
            <w:tcBorders>
              <w:bottom w:val="single" w:sz="8" w:color="auto"/>
            </w:tcBorders>
          </w:tcPr>
          <w:p>
            <w:pPr>
              <w:spacing w:after="0"/>
              <w:rPr>
                <w:sz w:val="11"/>
                <w:szCs w:val="11"/>
                <w:color w:val="auto"/>
              </w:rPr>
            </w:pPr>
          </w:p>
        </w:tc>
        <w:tc>
          <w:tcPr>
            <w:tcW w:w="1240" w:type="dxa"/>
            <w:vAlign w:val="bottom"/>
            <w:tcBorders>
              <w:top w:val="single" w:sz="8" w:color="auto"/>
              <w:bottom w:val="single" w:sz="8" w:color="auto"/>
            </w:tcBorders>
          </w:tcPr>
          <w:p>
            <w:pPr>
              <w:jc w:val="right"/>
              <w:ind w:right="29"/>
              <w:spacing w:after="0" w:line="129" w:lineRule="exact"/>
              <w:rPr>
                <w:sz w:val="20"/>
                <w:szCs w:val="20"/>
                <w:color w:val="auto"/>
              </w:rPr>
            </w:pPr>
            <w:r>
              <w:rPr>
                <w:rFonts w:ascii="Arial" w:cs="Arial" w:eastAsia="Arial" w:hAnsi="Arial"/>
                <w:sz w:val="13"/>
                <w:szCs w:val="13"/>
                <w:color w:val="auto"/>
              </w:rPr>
              <w:t>Number</w:t>
            </w:r>
          </w:p>
        </w:tc>
        <w:tc>
          <w:tcPr>
            <w:tcW w:w="700" w:type="dxa"/>
            <w:vAlign w:val="bottom"/>
            <w:tcBorders>
              <w:top w:val="single" w:sz="8" w:color="auto"/>
              <w:bottom w:val="single" w:sz="8" w:color="auto"/>
            </w:tcBorders>
          </w:tcPr>
          <w:p>
            <w:pPr>
              <w:jc w:val="right"/>
              <w:ind w:right="30"/>
              <w:spacing w:after="0" w:line="129" w:lineRule="exact"/>
              <w:rPr>
                <w:sz w:val="20"/>
                <w:szCs w:val="20"/>
                <w:color w:val="auto"/>
              </w:rPr>
            </w:pPr>
            <w:r>
              <w:rPr>
                <w:rFonts w:ascii="Arial" w:cs="Arial" w:eastAsia="Arial" w:hAnsi="Arial"/>
                <w:sz w:val="13"/>
                <w:szCs w:val="13"/>
                <w:color w:val="auto"/>
              </w:rPr>
              <w:t>%</w:t>
            </w:r>
          </w:p>
        </w:tc>
        <w:tc>
          <w:tcPr>
            <w:tcW w:w="260" w:type="dxa"/>
            <w:vAlign w:val="bottom"/>
            <w:tcBorders>
              <w:bottom w:val="single" w:sz="8" w:color="auto"/>
            </w:tcBorders>
          </w:tcPr>
          <w:p>
            <w:pPr>
              <w:spacing w:after="0"/>
              <w:rPr>
                <w:sz w:val="11"/>
                <w:szCs w:val="11"/>
                <w:color w:val="auto"/>
              </w:rPr>
            </w:pPr>
          </w:p>
        </w:tc>
        <w:tc>
          <w:tcPr>
            <w:tcW w:w="1520" w:type="dxa"/>
            <w:vAlign w:val="bottom"/>
            <w:tcBorders>
              <w:top w:val="single" w:sz="8" w:color="auto"/>
              <w:bottom w:val="single" w:sz="8" w:color="auto"/>
            </w:tcBorders>
          </w:tcPr>
          <w:p>
            <w:pPr>
              <w:jc w:val="right"/>
              <w:ind w:right="129"/>
              <w:spacing w:after="0" w:line="129" w:lineRule="exact"/>
              <w:rPr>
                <w:sz w:val="20"/>
                <w:szCs w:val="20"/>
                <w:color w:val="auto"/>
              </w:rPr>
            </w:pPr>
            <w:r>
              <w:rPr>
                <w:rFonts w:ascii="Arial" w:cs="Arial" w:eastAsia="Arial" w:hAnsi="Arial"/>
                <w:sz w:val="13"/>
                <w:szCs w:val="13"/>
                <w:color w:val="auto"/>
              </w:rPr>
              <w:t>Number</w:t>
            </w:r>
          </w:p>
        </w:tc>
        <w:tc>
          <w:tcPr>
            <w:tcW w:w="660" w:type="dxa"/>
            <w:vAlign w:val="bottom"/>
            <w:tcBorders>
              <w:top w:val="single" w:sz="8" w:color="auto"/>
              <w:bottom w:val="single" w:sz="8" w:color="auto"/>
            </w:tcBorders>
          </w:tcPr>
          <w:p>
            <w:pPr>
              <w:jc w:val="right"/>
              <w:ind w:right="30"/>
              <w:spacing w:after="0" w:line="129" w:lineRule="exact"/>
              <w:rPr>
                <w:sz w:val="20"/>
                <w:szCs w:val="20"/>
                <w:color w:val="auto"/>
              </w:rPr>
            </w:pPr>
            <w:r>
              <w:rPr>
                <w:rFonts w:ascii="Arial" w:cs="Arial" w:eastAsia="Arial" w:hAnsi="Arial"/>
                <w:sz w:val="13"/>
                <w:szCs w:val="13"/>
                <w:color w:val="auto"/>
              </w:rPr>
              <w:t>%</w:t>
            </w:r>
          </w:p>
        </w:tc>
      </w:tr>
      <w:tr>
        <w:trPr>
          <w:trHeight w:val="160"/>
        </w:trPr>
        <w:tc>
          <w:tcPr>
            <w:tcW w:w="4680" w:type="dxa"/>
            <w:vAlign w:val="bottom"/>
          </w:tcPr>
          <w:p>
            <w:pPr>
              <w:spacing w:after="0"/>
              <w:rPr>
                <w:sz w:val="20"/>
                <w:szCs w:val="20"/>
                <w:color w:val="auto"/>
              </w:rPr>
            </w:pPr>
            <w:r>
              <w:rPr>
                <w:rFonts w:ascii="Arial" w:cs="Arial" w:eastAsia="Arial" w:hAnsi="Arial"/>
                <w:sz w:val="14"/>
                <w:szCs w:val="14"/>
                <w:color w:val="auto"/>
              </w:rPr>
              <w:t>BNY (Nominees) Limited</w:t>
            </w:r>
          </w:p>
        </w:tc>
        <w:tc>
          <w:tcPr>
            <w:tcW w:w="1380" w:type="dxa"/>
            <w:vAlign w:val="bottom"/>
          </w:tcPr>
          <w:p>
            <w:pPr>
              <w:jc w:val="right"/>
              <w:ind w:right="29"/>
              <w:spacing w:after="0"/>
              <w:rPr>
                <w:sz w:val="20"/>
                <w:szCs w:val="20"/>
                <w:color w:val="auto"/>
              </w:rPr>
            </w:pPr>
            <w:r>
              <w:rPr>
                <w:rFonts w:ascii="Arial" w:cs="Arial" w:eastAsia="Arial" w:hAnsi="Arial"/>
                <w:sz w:val="14"/>
                <w:szCs w:val="14"/>
                <w:color w:val="auto"/>
              </w:rPr>
              <w:t>704,621,530</w:t>
            </w:r>
          </w:p>
        </w:tc>
        <w:tc>
          <w:tcPr>
            <w:tcW w:w="720" w:type="dxa"/>
            <w:vAlign w:val="bottom"/>
          </w:tcPr>
          <w:p>
            <w:pPr>
              <w:jc w:val="right"/>
              <w:ind w:right="50"/>
              <w:spacing w:after="0"/>
              <w:rPr>
                <w:sz w:val="20"/>
                <w:szCs w:val="20"/>
                <w:color w:val="auto"/>
              </w:rPr>
            </w:pPr>
            <w:r>
              <w:rPr>
                <w:rFonts w:ascii="Arial" w:cs="Arial" w:eastAsia="Arial" w:hAnsi="Arial"/>
                <w:sz w:val="14"/>
                <w:szCs w:val="14"/>
                <w:color w:val="auto"/>
              </w:rPr>
              <w:t>18.09</w:t>
            </w:r>
          </w:p>
        </w:tc>
        <w:tc>
          <w:tcPr>
            <w:tcW w:w="260" w:type="dxa"/>
            <w:vAlign w:val="bottom"/>
          </w:tcPr>
          <w:p>
            <w:pPr>
              <w:spacing w:after="0"/>
              <w:rPr>
                <w:sz w:val="13"/>
                <w:szCs w:val="13"/>
                <w:color w:val="auto"/>
              </w:rPr>
            </w:pPr>
          </w:p>
        </w:tc>
        <w:tc>
          <w:tcPr>
            <w:tcW w:w="1240" w:type="dxa"/>
            <w:vAlign w:val="bottom"/>
          </w:tcPr>
          <w:p>
            <w:pPr>
              <w:jc w:val="right"/>
              <w:ind w:right="29"/>
              <w:spacing w:after="0"/>
              <w:rPr>
                <w:sz w:val="20"/>
                <w:szCs w:val="20"/>
                <w:color w:val="auto"/>
              </w:rPr>
            </w:pPr>
            <w:r>
              <w:rPr>
                <w:rFonts w:ascii="Arial" w:cs="Arial" w:eastAsia="Arial" w:hAnsi="Arial"/>
                <w:sz w:val="14"/>
                <w:szCs w:val="14"/>
                <w:color w:val="auto"/>
              </w:rPr>
              <w:t>320,698,288</w:t>
            </w:r>
          </w:p>
        </w:tc>
        <w:tc>
          <w:tcPr>
            <w:tcW w:w="700" w:type="dxa"/>
            <w:vAlign w:val="bottom"/>
          </w:tcPr>
          <w:p>
            <w:pPr>
              <w:jc w:val="right"/>
              <w:ind w:right="30"/>
              <w:spacing w:after="0"/>
              <w:rPr>
                <w:sz w:val="20"/>
                <w:szCs w:val="20"/>
                <w:color w:val="auto"/>
              </w:rPr>
            </w:pPr>
            <w:r>
              <w:rPr>
                <w:rFonts w:ascii="Arial" w:cs="Arial" w:eastAsia="Arial" w:hAnsi="Arial"/>
                <w:sz w:val="14"/>
                <w:szCs w:val="14"/>
                <w:color w:val="auto"/>
              </w:rPr>
              <w:t>13.14</w:t>
            </w:r>
          </w:p>
        </w:tc>
        <w:tc>
          <w:tcPr>
            <w:tcW w:w="260" w:type="dxa"/>
            <w:vAlign w:val="bottom"/>
          </w:tcPr>
          <w:p>
            <w:pPr>
              <w:spacing w:after="0"/>
              <w:rPr>
                <w:sz w:val="13"/>
                <w:szCs w:val="13"/>
                <w:color w:val="auto"/>
              </w:rPr>
            </w:pPr>
          </w:p>
        </w:tc>
        <w:tc>
          <w:tcPr>
            <w:tcW w:w="1520" w:type="dxa"/>
            <w:vAlign w:val="bottom"/>
          </w:tcPr>
          <w:p>
            <w:pPr>
              <w:jc w:val="right"/>
              <w:ind w:right="129"/>
              <w:spacing w:after="0"/>
              <w:rPr>
                <w:sz w:val="20"/>
                <w:szCs w:val="20"/>
                <w:color w:val="auto"/>
              </w:rPr>
            </w:pPr>
            <w:r>
              <w:rPr>
                <w:rFonts w:ascii="Arial" w:cs="Arial" w:eastAsia="Arial" w:hAnsi="Arial"/>
                <w:sz w:val="14"/>
                <w:szCs w:val="14"/>
                <w:color w:val="auto"/>
              </w:rPr>
              <w:t>1,025,319,818</w:t>
            </w:r>
          </w:p>
        </w:tc>
        <w:tc>
          <w:tcPr>
            <w:tcW w:w="660" w:type="dxa"/>
            <w:vAlign w:val="bottom"/>
          </w:tcPr>
          <w:p>
            <w:pPr>
              <w:jc w:val="right"/>
              <w:ind w:right="30"/>
              <w:spacing w:after="0"/>
              <w:rPr>
                <w:sz w:val="20"/>
                <w:szCs w:val="20"/>
                <w:color w:val="auto"/>
              </w:rPr>
            </w:pPr>
            <w:r>
              <w:rPr>
                <w:rFonts w:ascii="Arial" w:cs="Arial" w:eastAsia="Arial" w:hAnsi="Arial"/>
                <w:sz w:val="14"/>
                <w:szCs w:val="14"/>
                <w:color w:val="auto"/>
              </w:rPr>
              <w:t>16.19</w:t>
            </w:r>
          </w:p>
        </w:tc>
      </w:tr>
      <w:tr>
        <w:trPr>
          <w:trHeight w:val="162"/>
        </w:trPr>
        <w:tc>
          <w:tcPr>
            <w:tcW w:w="4680" w:type="dxa"/>
            <w:vAlign w:val="bottom"/>
          </w:tcPr>
          <w:p>
            <w:pPr>
              <w:spacing w:after="0"/>
              <w:rPr>
                <w:sz w:val="20"/>
                <w:szCs w:val="20"/>
                <w:color w:val="auto"/>
              </w:rPr>
            </w:pPr>
            <w:r>
              <w:rPr>
                <w:rFonts w:ascii="Arial" w:cs="Arial" w:eastAsia="Arial" w:hAnsi="Arial"/>
                <w:sz w:val="14"/>
                <w:szCs w:val="14"/>
                <w:color w:val="auto"/>
              </w:rPr>
              <w:t>Chase Nominees Limited</w:t>
            </w:r>
          </w:p>
        </w:tc>
        <w:tc>
          <w:tcPr>
            <w:tcW w:w="1380" w:type="dxa"/>
            <w:vAlign w:val="bottom"/>
          </w:tcPr>
          <w:p>
            <w:pPr>
              <w:jc w:val="right"/>
              <w:ind w:right="29"/>
              <w:spacing w:after="0"/>
              <w:rPr>
                <w:sz w:val="20"/>
                <w:szCs w:val="20"/>
                <w:color w:val="auto"/>
              </w:rPr>
            </w:pPr>
            <w:r>
              <w:rPr>
                <w:rFonts w:ascii="Arial" w:cs="Arial" w:eastAsia="Arial" w:hAnsi="Arial"/>
                <w:sz w:val="14"/>
                <w:szCs w:val="14"/>
                <w:color w:val="auto"/>
              </w:rPr>
              <w:t>45,999,727</w:t>
            </w:r>
          </w:p>
        </w:tc>
        <w:tc>
          <w:tcPr>
            <w:tcW w:w="720" w:type="dxa"/>
            <w:vAlign w:val="bottom"/>
          </w:tcPr>
          <w:p>
            <w:pPr>
              <w:jc w:val="right"/>
              <w:ind w:right="50"/>
              <w:spacing w:after="0"/>
              <w:rPr>
                <w:sz w:val="20"/>
                <w:szCs w:val="20"/>
                <w:color w:val="auto"/>
              </w:rPr>
            </w:pPr>
            <w:r>
              <w:rPr>
                <w:rFonts w:ascii="Arial" w:cs="Arial" w:eastAsia="Arial" w:hAnsi="Arial"/>
                <w:sz w:val="14"/>
                <w:szCs w:val="14"/>
                <w:color w:val="auto"/>
              </w:rPr>
              <w:t>1.18</w:t>
            </w:r>
          </w:p>
        </w:tc>
        <w:tc>
          <w:tcPr>
            <w:tcW w:w="260" w:type="dxa"/>
            <w:vAlign w:val="bottom"/>
          </w:tcPr>
          <w:p>
            <w:pPr>
              <w:spacing w:after="0"/>
              <w:rPr>
                <w:sz w:val="14"/>
                <w:szCs w:val="14"/>
                <w:color w:val="auto"/>
              </w:rPr>
            </w:pPr>
          </w:p>
        </w:tc>
        <w:tc>
          <w:tcPr>
            <w:tcW w:w="1240" w:type="dxa"/>
            <w:vAlign w:val="bottom"/>
          </w:tcPr>
          <w:p>
            <w:pPr>
              <w:jc w:val="right"/>
              <w:ind w:right="29"/>
              <w:spacing w:after="0"/>
              <w:rPr>
                <w:sz w:val="20"/>
                <w:szCs w:val="20"/>
                <w:color w:val="auto"/>
              </w:rPr>
            </w:pPr>
            <w:r>
              <w:rPr>
                <w:rFonts w:ascii="Arial" w:cs="Arial" w:eastAsia="Arial" w:hAnsi="Arial"/>
                <w:sz w:val="14"/>
                <w:szCs w:val="14"/>
                <w:color w:val="auto"/>
              </w:rPr>
              <w:t>159,215,995</w:t>
            </w:r>
          </w:p>
        </w:tc>
        <w:tc>
          <w:tcPr>
            <w:tcW w:w="700" w:type="dxa"/>
            <w:vAlign w:val="bottom"/>
          </w:tcPr>
          <w:p>
            <w:pPr>
              <w:jc w:val="right"/>
              <w:ind w:right="30"/>
              <w:spacing w:after="0"/>
              <w:rPr>
                <w:sz w:val="20"/>
                <w:szCs w:val="20"/>
                <w:color w:val="auto"/>
              </w:rPr>
            </w:pPr>
            <w:r>
              <w:rPr>
                <w:rFonts w:ascii="Arial" w:cs="Arial" w:eastAsia="Arial" w:hAnsi="Arial"/>
                <w:sz w:val="14"/>
                <w:szCs w:val="14"/>
                <w:color w:val="auto"/>
              </w:rPr>
              <w:t>6.52</w:t>
            </w:r>
          </w:p>
        </w:tc>
        <w:tc>
          <w:tcPr>
            <w:tcW w:w="260" w:type="dxa"/>
            <w:vAlign w:val="bottom"/>
          </w:tcPr>
          <w:p>
            <w:pPr>
              <w:spacing w:after="0"/>
              <w:rPr>
                <w:sz w:val="14"/>
                <w:szCs w:val="14"/>
                <w:color w:val="auto"/>
              </w:rPr>
            </w:pPr>
          </w:p>
        </w:tc>
        <w:tc>
          <w:tcPr>
            <w:tcW w:w="1520" w:type="dxa"/>
            <w:vAlign w:val="bottom"/>
          </w:tcPr>
          <w:p>
            <w:pPr>
              <w:jc w:val="right"/>
              <w:ind w:right="129"/>
              <w:spacing w:after="0"/>
              <w:rPr>
                <w:sz w:val="20"/>
                <w:szCs w:val="20"/>
                <w:color w:val="auto"/>
              </w:rPr>
            </w:pPr>
            <w:r>
              <w:rPr>
                <w:rFonts w:ascii="Arial" w:cs="Arial" w:eastAsia="Arial" w:hAnsi="Arial"/>
                <w:sz w:val="14"/>
                <w:szCs w:val="14"/>
                <w:color w:val="auto"/>
              </w:rPr>
              <w:t>205,215,722</w:t>
            </w:r>
          </w:p>
        </w:tc>
        <w:tc>
          <w:tcPr>
            <w:tcW w:w="660" w:type="dxa"/>
            <w:vAlign w:val="bottom"/>
          </w:tcPr>
          <w:p>
            <w:pPr>
              <w:jc w:val="right"/>
              <w:ind w:right="30"/>
              <w:spacing w:after="0"/>
              <w:rPr>
                <w:sz w:val="20"/>
                <w:szCs w:val="20"/>
                <w:color w:val="auto"/>
              </w:rPr>
            </w:pPr>
            <w:r>
              <w:rPr>
                <w:rFonts w:ascii="Arial" w:cs="Arial" w:eastAsia="Arial" w:hAnsi="Arial"/>
                <w:sz w:val="14"/>
                <w:szCs w:val="14"/>
                <w:color w:val="auto"/>
              </w:rPr>
              <w:t>3.24</w:t>
            </w:r>
          </w:p>
        </w:tc>
      </w:tr>
      <w:tr>
        <w:trPr>
          <w:trHeight w:val="162"/>
        </w:trPr>
        <w:tc>
          <w:tcPr>
            <w:tcW w:w="4680" w:type="dxa"/>
            <w:vAlign w:val="bottom"/>
          </w:tcPr>
          <w:p>
            <w:pPr>
              <w:spacing w:after="0"/>
              <w:rPr>
                <w:sz w:val="20"/>
                <w:szCs w:val="20"/>
                <w:color w:val="auto"/>
              </w:rPr>
            </w:pPr>
            <w:r>
              <w:rPr>
                <w:rFonts w:ascii="Arial" w:cs="Arial" w:eastAsia="Arial" w:hAnsi="Arial"/>
                <w:sz w:val="14"/>
                <w:szCs w:val="14"/>
                <w:color w:val="auto"/>
              </w:rPr>
              <w:t>Euroclear Nederland</w:t>
            </w:r>
          </w:p>
        </w:tc>
        <w:tc>
          <w:tcPr>
            <w:tcW w:w="1380" w:type="dxa"/>
            <w:vAlign w:val="bottom"/>
          </w:tcPr>
          <w:p>
            <w:pPr>
              <w:jc w:val="right"/>
              <w:ind w:right="29"/>
              <w:spacing w:after="0"/>
              <w:rPr>
                <w:sz w:val="20"/>
                <w:szCs w:val="20"/>
                <w:color w:val="auto"/>
              </w:rPr>
            </w:pPr>
            <w:r>
              <w:rPr>
                <w:rFonts w:ascii="Arial" w:cs="Arial" w:eastAsia="Arial" w:hAnsi="Arial"/>
                <w:sz w:val="14"/>
                <w:szCs w:val="14"/>
                <w:color w:val="auto"/>
              </w:rPr>
              <w:t>1,680,524,979</w:t>
            </w:r>
          </w:p>
        </w:tc>
        <w:tc>
          <w:tcPr>
            <w:tcW w:w="720" w:type="dxa"/>
            <w:vAlign w:val="bottom"/>
          </w:tcPr>
          <w:p>
            <w:pPr>
              <w:jc w:val="right"/>
              <w:ind w:right="50"/>
              <w:spacing w:after="0"/>
              <w:rPr>
                <w:sz w:val="20"/>
                <w:szCs w:val="20"/>
                <w:color w:val="auto"/>
              </w:rPr>
            </w:pPr>
            <w:r>
              <w:rPr>
                <w:rFonts w:ascii="Arial" w:cs="Arial" w:eastAsia="Arial" w:hAnsi="Arial"/>
                <w:sz w:val="14"/>
                <w:szCs w:val="14"/>
                <w:color w:val="auto"/>
              </w:rPr>
              <w:t>43.15</w:t>
            </w:r>
          </w:p>
        </w:tc>
        <w:tc>
          <w:tcPr>
            <w:tcW w:w="260" w:type="dxa"/>
            <w:vAlign w:val="bottom"/>
          </w:tcPr>
          <w:p>
            <w:pPr>
              <w:spacing w:after="0"/>
              <w:rPr>
                <w:sz w:val="14"/>
                <w:szCs w:val="14"/>
                <w:color w:val="auto"/>
              </w:rPr>
            </w:pPr>
          </w:p>
        </w:tc>
        <w:tc>
          <w:tcPr>
            <w:tcW w:w="1240" w:type="dxa"/>
            <w:vAlign w:val="bottom"/>
          </w:tcPr>
          <w:p>
            <w:pPr>
              <w:jc w:val="right"/>
              <w:ind w:right="29"/>
              <w:spacing w:after="0"/>
              <w:rPr>
                <w:sz w:val="20"/>
                <w:szCs w:val="20"/>
                <w:color w:val="auto"/>
              </w:rPr>
            </w:pPr>
            <w:r>
              <w:rPr>
                <w:rFonts w:ascii="Arial" w:cs="Arial" w:eastAsia="Arial" w:hAnsi="Arial"/>
                <w:sz w:val="14"/>
                <w:szCs w:val="14"/>
                <w:color w:val="auto"/>
              </w:rPr>
              <w:t>13,753,435</w:t>
            </w:r>
          </w:p>
        </w:tc>
        <w:tc>
          <w:tcPr>
            <w:tcW w:w="700" w:type="dxa"/>
            <w:vAlign w:val="bottom"/>
          </w:tcPr>
          <w:p>
            <w:pPr>
              <w:jc w:val="right"/>
              <w:ind w:right="30"/>
              <w:spacing w:after="0"/>
              <w:rPr>
                <w:sz w:val="20"/>
                <w:szCs w:val="20"/>
                <w:color w:val="auto"/>
              </w:rPr>
            </w:pPr>
            <w:r>
              <w:rPr>
                <w:rFonts w:ascii="Arial" w:cs="Arial" w:eastAsia="Arial" w:hAnsi="Arial"/>
                <w:sz w:val="14"/>
                <w:szCs w:val="14"/>
                <w:color w:val="auto"/>
              </w:rPr>
              <w:t>0.56</w:t>
            </w:r>
          </w:p>
        </w:tc>
        <w:tc>
          <w:tcPr>
            <w:tcW w:w="260" w:type="dxa"/>
            <w:vAlign w:val="bottom"/>
          </w:tcPr>
          <w:p>
            <w:pPr>
              <w:spacing w:after="0"/>
              <w:rPr>
                <w:sz w:val="14"/>
                <w:szCs w:val="14"/>
                <w:color w:val="auto"/>
              </w:rPr>
            </w:pPr>
          </w:p>
        </w:tc>
        <w:tc>
          <w:tcPr>
            <w:tcW w:w="1520" w:type="dxa"/>
            <w:vAlign w:val="bottom"/>
          </w:tcPr>
          <w:p>
            <w:pPr>
              <w:jc w:val="right"/>
              <w:ind w:right="129"/>
              <w:spacing w:after="0"/>
              <w:rPr>
                <w:sz w:val="20"/>
                <w:szCs w:val="20"/>
                <w:color w:val="auto"/>
              </w:rPr>
            </w:pPr>
            <w:r>
              <w:rPr>
                <w:rFonts w:ascii="Arial" w:cs="Arial" w:eastAsia="Arial" w:hAnsi="Arial"/>
                <w:sz w:val="14"/>
                <w:szCs w:val="14"/>
                <w:color w:val="auto"/>
              </w:rPr>
              <w:t>1,694,278,414</w:t>
            </w:r>
          </w:p>
        </w:tc>
        <w:tc>
          <w:tcPr>
            <w:tcW w:w="660" w:type="dxa"/>
            <w:vAlign w:val="bottom"/>
          </w:tcPr>
          <w:p>
            <w:pPr>
              <w:jc w:val="right"/>
              <w:ind w:right="30"/>
              <w:spacing w:after="0"/>
              <w:rPr>
                <w:sz w:val="20"/>
                <w:szCs w:val="20"/>
                <w:color w:val="auto"/>
              </w:rPr>
            </w:pPr>
            <w:r>
              <w:rPr>
                <w:rFonts w:ascii="Arial" w:cs="Arial" w:eastAsia="Arial" w:hAnsi="Arial"/>
                <w:sz w:val="14"/>
                <w:szCs w:val="14"/>
                <w:color w:val="auto"/>
              </w:rPr>
              <w:t>26.75</w:t>
            </w:r>
          </w:p>
        </w:tc>
      </w:tr>
      <w:tr>
        <w:trPr>
          <w:trHeight w:val="162"/>
        </w:trPr>
        <w:tc>
          <w:tcPr>
            <w:tcW w:w="4680" w:type="dxa"/>
            <w:vAlign w:val="bottom"/>
          </w:tcPr>
          <w:p>
            <w:pPr>
              <w:spacing w:after="0"/>
              <w:rPr>
                <w:sz w:val="20"/>
                <w:szCs w:val="20"/>
                <w:color w:val="auto"/>
              </w:rPr>
            </w:pPr>
            <w:r>
              <w:rPr>
                <w:rFonts w:ascii="Arial" w:cs="Arial" w:eastAsia="Arial" w:hAnsi="Arial"/>
                <w:sz w:val="14"/>
                <w:szCs w:val="14"/>
                <w:color w:val="auto"/>
              </w:rPr>
              <w:t>Lynchwood Nominees Limited</w:t>
            </w:r>
          </w:p>
        </w:tc>
        <w:tc>
          <w:tcPr>
            <w:tcW w:w="13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76"/>
        </w:trPr>
        <w:tc>
          <w:tcPr>
            <w:tcW w:w="4680" w:type="dxa"/>
            <w:vAlign w:val="bottom"/>
          </w:tcPr>
          <w:p>
            <w:pPr>
              <w:spacing w:after="0"/>
              <w:rPr>
                <w:sz w:val="20"/>
                <w:szCs w:val="20"/>
                <w:color w:val="auto"/>
              </w:rPr>
            </w:pPr>
            <w:r>
              <w:rPr>
                <w:rFonts w:ascii="Arial" w:cs="Arial" w:eastAsia="Arial" w:hAnsi="Arial"/>
                <w:sz w:val="14"/>
                <w:szCs w:val="14"/>
                <w:color w:val="auto"/>
              </w:rPr>
              <w:t>(2006420)</w:t>
            </w:r>
          </w:p>
        </w:tc>
        <w:tc>
          <w:tcPr>
            <w:tcW w:w="1380" w:type="dxa"/>
            <w:vAlign w:val="bottom"/>
          </w:tcPr>
          <w:p>
            <w:pPr>
              <w:jc w:val="right"/>
              <w:ind w:right="29"/>
              <w:spacing w:after="0"/>
              <w:rPr>
                <w:sz w:val="20"/>
                <w:szCs w:val="20"/>
                <w:color w:val="auto"/>
              </w:rPr>
            </w:pPr>
            <w:r>
              <w:rPr>
                <w:rFonts w:ascii="Arial" w:cs="Arial" w:eastAsia="Arial" w:hAnsi="Arial"/>
                <w:sz w:val="14"/>
                <w:szCs w:val="14"/>
                <w:color w:val="auto"/>
              </w:rPr>
              <w:t>34,374,601</w:t>
            </w:r>
          </w:p>
        </w:tc>
        <w:tc>
          <w:tcPr>
            <w:tcW w:w="720" w:type="dxa"/>
            <w:vAlign w:val="bottom"/>
          </w:tcPr>
          <w:p>
            <w:pPr>
              <w:jc w:val="right"/>
              <w:ind w:right="50"/>
              <w:spacing w:after="0"/>
              <w:rPr>
                <w:sz w:val="20"/>
                <w:szCs w:val="20"/>
                <w:color w:val="auto"/>
              </w:rPr>
            </w:pPr>
            <w:r>
              <w:rPr>
                <w:rFonts w:ascii="Arial" w:cs="Arial" w:eastAsia="Arial" w:hAnsi="Arial"/>
                <w:sz w:val="14"/>
                <w:szCs w:val="14"/>
                <w:color w:val="auto"/>
              </w:rPr>
              <w:t>0.88</w:t>
            </w:r>
          </w:p>
        </w:tc>
        <w:tc>
          <w:tcPr>
            <w:tcW w:w="260" w:type="dxa"/>
            <w:vAlign w:val="bottom"/>
          </w:tcPr>
          <w:p>
            <w:pPr>
              <w:spacing w:after="0"/>
              <w:rPr>
                <w:sz w:val="15"/>
                <w:szCs w:val="15"/>
                <w:color w:val="auto"/>
              </w:rPr>
            </w:pPr>
          </w:p>
        </w:tc>
        <w:tc>
          <w:tcPr>
            <w:tcW w:w="1240" w:type="dxa"/>
            <w:vAlign w:val="bottom"/>
          </w:tcPr>
          <w:p>
            <w:pPr>
              <w:jc w:val="right"/>
              <w:ind w:right="29"/>
              <w:spacing w:after="0"/>
              <w:rPr>
                <w:sz w:val="20"/>
                <w:szCs w:val="20"/>
                <w:color w:val="auto"/>
              </w:rPr>
            </w:pPr>
            <w:r>
              <w:rPr>
                <w:rFonts w:ascii="Arial" w:cs="Arial" w:eastAsia="Arial" w:hAnsi="Arial"/>
                <w:sz w:val="14"/>
                <w:szCs w:val="14"/>
                <w:color w:val="auto"/>
              </w:rPr>
              <w:t>103,730,090</w:t>
            </w:r>
          </w:p>
        </w:tc>
        <w:tc>
          <w:tcPr>
            <w:tcW w:w="700" w:type="dxa"/>
            <w:vAlign w:val="bottom"/>
          </w:tcPr>
          <w:p>
            <w:pPr>
              <w:jc w:val="right"/>
              <w:ind w:right="30"/>
              <w:spacing w:after="0"/>
              <w:rPr>
                <w:sz w:val="20"/>
                <w:szCs w:val="20"/>
                <w:color w:val="auto"/>
              </w:rPr>
            </w:pPr>
            <w:r>
              <w:rPr>
                <w:rFonts w:ascii="Arial" w:cs="Arial" w:eastAsia="Arial" w:hAnsi="Arial"/>
                <w:sz w:val="14"/>
                <w:szCs w:val="14"/>
                <w:color w:val="auto"/>
              </w:rPr>
              <w:t>4.25</w:t>
            </w:r>
          </w:p>
        </w:tc>
        <w:tc>
          <w:tcPr>
            <w:tcW w:w="260" w:type="dxa"/>
            <w:vAlign w:val="bottom"/>
          </w:tcPr>
          <w:p>
            <w:pPr>
              <w:spacing w:after="0"/>
              <w:rPr>
                <w:sz w:val="15"/>
                <w:szCs w:val="15"/>
                <w:color w:val="auto"/>
              </w:rPr>
            </w:pPr>
          </w:p>
        </w:tc>
        <w:tc>
          <w:tcPr>
            <w:tcW w:w="1520" w:type="dxa"/>
            <w:vAlign w:val="bottom"/>
          </w:tcPr>
          <w:p>
            <w:pPr>
              <w:jc w:val="right"/>
              <w:ind w:right="129"/>
              <w:spacing w:after="0"/>
              <w:rPr>
                <w:sz w:val="20"/>
                <w:szCs w:val="20"/>
                <w:color w:val="auto"/>
              </w:rPr>
            </w:pPr>
            <w:r>
              <w:rPr>
                <w:rFonts w:ascii="Arial" w:cs="Arial" w:eastAsia="Arial" w:hAnsi="Arial"/>
                <w:sz w:val="14"/>
                <w:szCs w:val="14"/>
                <w:color w:val="auto"/>
              </w:rPr>
              <w:t>138,104,691</w:t>
            </w:r>
          </w:p>
        </w:tc>
        <w:tc>
          <w:tcPr>
            <w:tcW w:w="660" w:type="dxa"/>
            <w:vAlign w:val="bottom"/>
          </w:tcPr>
          <w:p>
            <w:pPr>
              <w:jc w:val="right"/>
              <w:ind w:right="30"/>
              <w:spacing w:after="0"/>
              <w:rPr>
                <w:sz w:val="20"/>
                <w:szCs w:val="20"/>
                <w:color w:val="auto"/>
              </w:rPr>
            </w:pPr>
            <w:r>
              <w:rPr>
                <w:rFonts w:ascii="Arial" w:cs="Arial" w:eastAsia="Arial" w:hAnsi="Arial"/>
                <w:sz w:val="14"/>
                <w:szCs w:val="14"/>
                <w:color w:val="auto"/>
              </w:rPr>
              <w:t>2.18</w:t>
            </w:r>
          </w:p>
        </w:tc>
      </w:tr>
      <w:tr>
        <w:trPr>
          <w:trHeight w:val="162"/>
        </w:trPr>
        <w:tc>
          <w:tcPr>
            <w:tcW w:w="4680" w:type="dxa"/>
            <w:vAlign w:val="bottom"/>
          </w:tcPr>
          <w:p>
            <w:pPr>
              <w:spacing w:after="0"/>
              <w:rPr>
                <w:sz w:val="20"/>
                <w:szCs w:val="20"/>
                <w:color w:val="auto"/>
              </w:rPr>
            </w:pPr>
            <w:r>
              <w:rPr>
                <w:rFonts w:ascii="Arial" w:cs="Arial" w:eastAsia="Arial" w:hAnsi="Arial"/>
                <w:sz w:val="14"/>
                <w:szCs w:val="14"/>
                <w:color w:val="auto"/>
              </w:rPr>
              <w:t>State Street Nominees Limited</w:t>
            </w:r>
          </w:p>
        </w:tc>
        <w:tc>
          <w:tcPr>
            <w:tcW w:w="13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76"/>
        </w:trPr>
        <w:tc>
          <w:tcPr>
            <w:tcW w:w="4680" w:type="dxa"/>
            <w:vAlign w:val="bottom"/>
          </w:tcPr>
          <w:p>
            <w:pPr>
              <w:spacing w:after="0"/>
              <w:rPr>
                <w:sz w:val="20"/>
                <w:szCs w:val="20"/>
                <w:color w:val="auto"/>
              </w:rPr>
            </w:pPr>
            <w:r>
              <w:rPr>
                <w:rFonts w:ascii="Arial" w:cs="Arial" w:eastAsia="Arial" w:hAnsi="Arial"/>
                <w:sz w:val="14"/>
                <w:szCs w:val="14"/>
                <w:color w:val="auto"/>
              </w:rPr>
              <w:t>(OM02)</w:t>
            </w:r>
          </w:p>
        </w:tc>
        <w:tc>
          <w:tcPr>
            <w:tcW w:w="1380" w:type="dxa"/>
            <w:vAlign w:val="bottom"/>
          </w:tcPr>
          <w:p>
            <w:pPr>
              <w:jc w:val="right"/>
              <w:ind w:right="29"/>
              <w:spacing w:after="0"/>
              <w:rPr>
                <w:sz w:val="20"/>
                <w:szCs w:val="20"/>
                <w:color w:val="auto"/>
              </w:rPr>
            </w:pPr>
            <w:r>
              <w:rPr>
                <w:rFonts w:ascii="Arial" w:cs="Arial" w:eastAsia="Arial" w:hAnsi="Arial"/>
                <w:sz w:val="14"/>
                <w:szCs w:val="14"/>
                <w:color w:val="auto"/>
              </w:rPr>
              <w:t>95,009,879</w:t>
            </w:r>
          </w:p>
        </w:tc>
        <w:tc>
          <w:tcPr>
            <w:tcW w:w="720" w:type="dxa"/>
            <w:vAlign w:val="bottom"/>
          </w:tcPr>
          <w:p>
            <w:pPr>
              <w:jc w:val="right"/>
              <w:ind w:right="50"/>
              <w:spacing w:after="0"/>
              <w:rPr>
                <w:sz w:val="20"/>
                <w:szCs w:val="20"/>
                <w:color w:val="auto"/>
              </w:rPr>
            </w:pPr>
            <w:r>
              <w:rPr>
                <w:rFonts w:ascii="Arial" w:cs="Arial" w:eastAsia="Arial" w:hAnsi="Arial"/>
                <w:sz w:val="14"/>
                <w:szCs w:val="14"/>
                <w:color w:val="auto"/>
              </w:rPr>
              <w:t>2.44</w:t>
            </w:r>
          </w:p>
        </w:tc>
        <w:tc>
          <w:tcPr>
            <w:tcW w:w="260" w:type="dxa"/>
            <w:vAlign w:val="bottom"/>
          </w:tcPr>
          <w:p>
            <w:pPr>
              <w:spacing w:after="0"/>
              <w:rPr>
                <w:sz w:val="15"/>
                <w:szCs w:val="15"/>
                <w:color w:val="auto"/>
              </w:rPr>
            </w:pPr>
          </w:p>
        </w:tc>
        <w:tc>
          <w:tcPr>
            <w:tcW w:w="1240" w:type="dxa"/>
            <w:vAlign w:val="bottom"/>
          </w:tcPr>
          <w:p>
            <w:pPr>
              <w:jc w:val="right"/>
              <w:ind w:right="29"/>
              <w:spacing w:after="0"/>
              <w:rPr>
                <w:sz w:val="20"/>
                <w:szCs w:val="20"/>
                <w:color w:val="auto"/>
              </w:rPr>
            </w:pPr>
            <w:r>
              <w:rPr>
                <w:rFonts w:ascii="Arial" w:cs="Arial" w:eastAsia="Arial" w:hAnsi="Arial"/>
                <w:sz w:val="14"/>
                <w:szCs w:val="14"/>
                <w:color w:val="auto"/>
              </w:rPr>
              <w:t>107,174,920</w:t>
            </w:r>
          </w:p>
        </w:tc>
        <w:tc>
          <w:tcPr>
            <w:tcW w:w="700" w:type="dxa"/>
            <w:vAlign w:val="bottom"/>
          </w:tcPr>
          <w:p>
            <w:pPr>
              <w:jc w:val="right"/>
              <w:ind w:right="30"/>
              <w:spacing w:after="0"/>
              <w:rPr>
                <w:sz w:val="20"/>
                <w:szCs w:val="20"/>
                <w:color w:val="auto"/>
              </w:rPr>
            </w:pPr>
            <w:r>
              <w:rPr>
                <w:rFonts w:ascii="Arial" w:cs="Arial" w:eastAsia="Arial" w:hAnsi="Arial"/>
                <w:sz w:val="14"/>
                <w:szCs w:val="14"/>
                <w:color w:val="auto"/>
              </w:rPr>
              <w:t>4.39</w:t>
            </w:r>
          </w:p>
        </w:tc>
        <w:tc>
          <w:tcPr>
            <w:tcW w:w="260" w:type="dxa"/>
            <w:vAlign w:val="bottom"/>
          </w:tcPr>
          <w:p>
            <w:pPr>
              <w:spacing w:after="0"/>
              <w:rPr>
                <w:sz w:val="15"/>
                <w:szCs w:val="15"/>
                <w:color w:val="auto"/>
              </w:rPr>
            </w:pPr>
          </w:p>
        </w:tc>
        <w:tc>
          <w:tcPr>
            <w:tcW w:w="1520" w:type="dxa"/>
            <w:vAlign w:val="bottom"/>
          </w:tcPr>
          <w:p>
            <w:pPr>
              <w:jc w:val="right"/>
              <w:ind w:right="129"/>
              <w:spacing w:after="0"/>
              <w:rPr>
                <w:sz w:val="20"/>
                <w:szCs w:val="20"/>
                <w:color w:val="auto"/>
              </w:rPr>
            </w:pPr>
            <w:r>
              <w:rPr>
                <w:rFonts w:ascii="Arial" w:cs="Arial" w:eastAsia="Arial" w:hAnsi="Arial"/>
                <w:sz w:val="14"/>
                <w:szCs w:val="14"/>
                <w:color w:val="auto"/>
              </w:rPr>
              <w:t>202,184,799</w:t>
            </w:r>
          </w:p>
        </w:tc>
        <w:tc>
          <w:tcPr>
            <w:tcW w:w="660" w:type="dxa"/>
            <w:vAlign w:val="bottom"/>
          </w:tcPr>
          <w:p>
            <w:pPr>
              <w:jc w:val="right"/>
              <w:ind w:right="30"/>
              <w:spacing w:after="0"/>
              <w:rPr>
                <w:sz w:val="20"/>
                <w:szCs w:val="20"/>
                <w:color w:val="auto"/>
              </w:rPr>
            </w:pPr>
            <w:r>
              <w:rPr>
                <w:rFonts w:ascii="Arial" w:cs="Arial" w:eastAsia="Arial" w:hAnsi="Arial"/>
                <w:sz w:val="14"/>
                <w:szCs w:val="14"/>
                <w:color w:val="auto"/>
              </w:rPr>
              <w:t>3.19</w:t>
            </w:r>
          </w:p>
        </w:tc>
      </w:tr>
      <w:tr>
        <w:trPr>
          <w:trHeight w:val="162"/>
        </w:trPr>
        <w:tc>
          <w:tcPr>
            <w:tcW w:w="4680" w:type="dxa"/>
            <w:vAlign w:val="bottom"/>
          </w:tcPr>
          <w:p>
            <w:pPr>
              <w:spacing w:after="0"/>
              <w:rPr>
                <w:sz w:val="20"/>
                <w:szCs w:val="20"/>
                <w:color w:val="auto"/>
              </w:rPr>
            </w:pPr>
            <w:r>
              <w:rPr>
                <w:rFonts w:ascii="Arial" w:cs="Arial" w:eastAsia="Arial" w:hAnsi="Arial"/>
                <w:sz w:val="14"/>
                <w:szCs w:val="14"/>
                <w:color w:val="auto"/>
              </w:rPr>
              <w:t>State Street Nominees Limited</w:t>
            </w:r>
          </w:p>
        </w:tc>
        <w:tc>
          <w:tcPr>
            <w:tcW w:w="13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71"/>
        </w:trPr>
        <w:tc>
          <w:tcPr>
            <w:tcW w:w="468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(OM04)</w:t>
            </w:r>
          </w:p>
        </w:tc>
        <w:tc>
          <w:tcPr>
            <w:tcW w:w="138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59,716,534</w:t>
            </w:r>
          </w:p>
        </w:tc>
        <w:tc>
          <w:tcPr>
            <w:tcW w:w="72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color w:val="auto"/>
              </w:rPr>
              <w:t>1.53</w:t>
            </w:r>
          </w:p>
        </w:tc>
        <w:tc>
          <w:tcPr>
            <w:tcW w:w="26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125,815,712</w:t>
            </w:r>
          </w:p>
        </w:tc>
        <w:tc>
          <w:tcPr>
            <w:tcW w:w="70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5.16</w:t>
            </w:r>
          </w:p>
        </w:tc>
        <w:tc>
          <w:tcPr>
            <w:tcW w:w="26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tcPr>
          <w:p>
            <w:pPr>
              <w:jc w:val="right"/>
              <w:ind w:right="129"/>
              <w:spacing w:after="0"/>
              <w:rPr>
                <w:sz w:val="20"/>
                <w:szCs w:val="20"/>
                <w:color w:val="auto"/>
              </w:rPr>
            </w:pPr>
            <w:r>
              <w:rPr>
                <w:rFonts w:ascii="Arial" w:cs="Arial" w:eastAsia="Arial" w:hAnsi="Arial"/>
                <w:sz w:val="14"/>
                <w:szCs w:val="14"/>
                <w:color w:val="auto"/>
              </w:rPr>
              <w:t>185,532,246</w:t>
            </w:r>
          </w:p>
        </w:tc>
        <w:tc>
          <w:tcPr>
            <w:tcW w:w="66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2.93</w:t>
            </w:r>
          </w:p>
        </w:tc>
      </w:tr>
    </w:tbl>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Significant indirect shareholdings</w:t>
      </w:r>
    </w:p>
    <w:p>
      <w:pPr>
        <w:spacing w:after="0" w:line="55" w:lineRule="exact"/>
        <w:rPr>
          <w:sz w:val="20"/>
          <w:szCs w:val="20"/>
          <w:color w:val="auto"/>
        </w:rPr>
      </w:pPr>
    </w:p>
    <w:p>
      <w:pPr>
        <w:spacing w:after="0"/>
        <w:rPr>
          <w:sz w:val="20"/>
          <w:szCs w:val="20"/>
          <w:color w:val="auto"/>
        </w:rPr>
      </w:pPr>
      <w:r>
        <w:rPr>
          <w:rFonts w:ascii="Arial" w:cs="Arial" w:eastAsia="Arial" w:hAnsi="Arial"/>
          <w:sz w:val="14"/>
          <w:szCs w:val="14"/>
          <w:color w:val="auto"/>
        </w:rPr>
        <w:t>As at February 17, 2015, interests of investors with 3% or more of either class of the</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Company’s shares is given below.</w:t>
      </w:r>
    </w:p>
    <w:p>
      <w:pPr>
        <w:spacing w:after="0" w:line="340" w:lineRule="exact"/>
        <w:rPr>
          <w:sz w:val="20"/>
          <w:szCs w:val="20"/>
          <w:color w:val="auto"/>
        </w:rPr>
      </w:pPr>
    </w:p>
    <w:p>
      <w:pPr>
        <w:ind w:left="80"/>
        <w:spacing w:after="0"/>
        <w:rPr>
          <w:sz w:val="20"/>
          <w:szCs w:val="20"/>
          <w:color w:val="auto"/>
        </w:rPr>
      </w:pPr>
      <w:r>
        <w:rPr>
          <w:rFonts w:ascii="Arial" w:cs="Arial" w:eastAsia="Arial" w:hAnsi="Arial"/>
          <w:sz w:val="15"/>
          <w:szCs w:val="15"/>
          <w:b w:val="1"/>
          <w:bCs w:val="1"/>
          <w:color w:val="FFFFFF"/>
        </w:rPr>
        <w:t>INDIRECT SHAREHOLDINGS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-95250</wp:posOffset>
            </wp:positionV>
            <wp:extent cx="7246620" cy="102870"/>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48">
                      <a:extLst>
                        <a:ext uri="{28A0092B-C50C-407E-A947-70E740481C1C}"/>
                      </a:extLst>
                    </a:blip>
                    <a:srcRect/>
                    <a:stretch>
                      <a:fillRect/>
                    </a:stretch>
                  </pic:blipFill>
                  <pic:spPr bwMode="auto">
                    <a:xfrm>
                      <a:off x="0" y="0"/>
                      <a:ext cx="7246620" cy="10287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46"/>
        </w:trPr>
        <w:tc>
          <w:tcPr>
            <w:tcW w:w="458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960" w:type="dxa"/>
            <w:vAlign w:val="bottom"/>
            <w:gridSpan w:val="2"/>
          </w:tcPr>
          <w:p>
            <w:pPr>
              <w:ind w:left="80"/>
              <w:spacing w:after="0" w:line="146" w:lineRule="exact"/>
              <w:rPr>
                <w:sz w:val="20"/>
                <w:szCs w:val="20"/>
                <w:color w:val="auto"/>
              </w:rPr>
            </w:pPr>
            <w:r>
              <w:rPr>
                <w:rFonts w:ascii="Arial" w:cs="Arial" w:eastAsia="Arial" w:hAnsi="Arial"/>
                <w:sz w:val="13"/>
                <w:szCs w:val="13"/>
                <w:color w:val="auto"/>
              </w:rPr>
              <w:t>A shares</w:t>
            </w:r>
          </w:p>
        </w:tc>
        <w:tc>
          <w:tcPr>
            <w:tcW w:w="1400" w:type="dxa"/>
            <w:vAlign w:val="bottom"/>
          </w:tcPr>
          <w:p>
            <w:pPr>
              <w:spacing w:after="0"/>
              <w:rPr>
                <w:sz w:val="12"/>
                <w:szCs w:val="12"/>
                <w:color w:val="auto"/>
              </w:rPr>
            </w:pPr>
          </w:p>
        </w:tc>
        <w:tc>
          <w:tcPr>
            <w:tcW w:w="960" w:type="dxa"/>
            <w:vAlign w:val="bottom"/>
            <w:gridSpan w:val="2"/>
          </w:tcPr>
          <w:p>
            <w:pPr>
              <w:ind w:left="100"/>
              <w:spacing w:after="0" w:line="146" w:lineRule="exact"/>
              <w:rPr>
                <w:sz w:val="20"/>
                <w:szCs w:val="20"/>
                <w:color w:val="auto"/>
              </w:rPr>
            </w:pPr>
            <w:r>
              <w:rPr>
                <w:rFonts w:ascii="Arial" w:cs="Arial" w:eastAsia="Arial" w:hAnsi="Arial"/>
                <w:sz w:val="13"/>
                <w:szCs w:val="13"/>
                <w:color w:val="auto"/>
              </w:rPr>
              <w:t>B shares</w:t>
            </w:r>
          </w:p>
        </w:tc>
        <w:tc>
          <w:tcPr>
            <w:tcW w:w="1540" w:type="dxa"/>
            <w:vAlign w:val="bottom"/>
          </w:tcPr>
          <w:p>
            <w:pPr>
              <w:spacing w:after="0"/>
              <w:rPr>
                <w:sz w:val="12"/>
                <w:szCs w:val="12"/>
                <w:color w:val="auto"/>
              </w:rPr>
            </w:pPr>
          </w:p>
        </w:tc>
        <w:tc>
          <w:tcPr>
            <w:tcW w:w="600" w:type="dxa"/>
            <w:vAlign w:val="bottom"/>
          </w:tcPr>
          <w:p>
            <w:pPr>
              <w:jc w:val="right"/>
              <w:ind w:right="33"/>
              <w:spacing w:after="0" w:line="146" w:lineRule="exact"/>
              <w:rPr>
                <w:sz w:val="20"/>
                <w:szCs w:val="20"/>
                <w:color w:val="auto"/>
              </w:rPr>
            </w:pPr>
            <w:r>
              <w:rPr>
                <w:rFonts w:ascii="Arial" w:cs="Arial" w:eastAsia="Arial" w:hAnsi="Arial"/>
                <w:sz w:val="13"/>
                <w:szCs w:val="13"/>
                <w:color w:val="auto"/>
              </w:rPr>
              <w:t>Total</w:t>
            </w:r>
          </w:p>
        </w:tc>
      </w:tr>
      <w:tr>
        <w:trPr>
          <w:trHeight w:val="129"/>
        </w:trPr>
        <w:tc>
          <w:tcPr>
            <w:tcW w:w="4580" w:type="dxa"/>
            <w:vAlign w:val="bottom"/>
            <w:tcBorders>
              <w:bottom w:val="single" w:sz="8" w:color="auto"/>
            </w:tcBorders>
          </w:tcPr>
          <w:p>
            <w:pPr>
              <w:spacing w:after="0"/>
              <w:rPr>
                <w:sz w:val="11"/>
                <w:szCs w:val="11"/>
                <w:color w:val="auto"/>
              </w:rPr>
            </w:pPr>
          </w:p>
        </w:tc>
        <w:tc>
          <w:tcPr>
            <w:tcW w:w="1380" w:type="dxa"/>
            <w:vAlign w:val="bottom"/>
            <w:tcBorders>
              <w:top w:val="single" w:sz="8" w:color="auto"/>
              <w:bottom w:val="single" w:sz="8" w:color="auto"/>
            </w:tcBorders>
          </w:tcPr>
          <w:p>
            <w:pPr>
              <w:jc w:val="right"/>
              <w:ind w:right="11"/>
              <w:spacing w:after="0" w:line="129" w:lineRule="exact"/>
              <w:rPr>
                <w:sz w:val="20"/>
                <w:szCs w:val="20"/>
                <w:color w:val="auto"/>
              </w:rPr>
            </w:pPr>
            <w:r>
              <w:rPr>
                <w:rFonts w:ascii="Arial" w:cs="Arial" w:eastAsia="Arial" w:hAnsi="Arial"/>
                <w:sz w:val="13"/>
                <w:szCs w:val="13"/>
                <w:color w:val="auto"/>
              </w:rPr>
              <w:t>Number</w:t>
            </w:r>
          </w:p>
        </w:tc>
        <w:tc>
          <w:tcPr>
            <w:tcW w:w="700" w:type="dxa"/>
            <w:vAlign w:val="bottom"/>
            <w:tcBorders>
              <w:top w:val="single" w:sz="8" w:color="auto"/>
              <w:bottom w:val="single" w:sz="8" w:color="auto"/>
            </w:tcBorders>
          </w:tcPr>
          <w:p>
            <w:pPr>
              <w:jc w:val="right"/>
              <w:ind w:right="53"/>
              <w:spacing w:after="0" w:line="129" w:lineRule="exact"/>
              <w:rPr>
                <w:sz w:val="20"/>
                <w:szCs w:val="20"/>
                <w:color w:val="auto"/>
              </w:rPr>
            </w:pPr>
            <w:r>
              <w:rPr>
                <w:rFonts w:ascii="Arial" w:cs="Arial" w:eastAsia="Arial" w:hAnsi="Arial"/>
                <w:sz w:val="13"/>
                <w:szCs w:val="13"/>
                <w:color w:val="auto"/>
              </w:rPr>
              <w:t>%</w:t>
            </w:r>
          </w:p>
        </w:tc>
        <w:tc>
          <w:tcPr>
            <w:tcW w:w="260" w:type="dxa"/>
            <w:vAlign w:val="bottom"/>
            <w:tcBorders>
              <w:bottom w:val="single" w:sz="8" w:color="auto"/>
            </w:tcBorders>
          </w:tcPr>
          <w:p>
            <w:pPr>
              <w:spacing w:after="0"/>
              <w:rPr>
                <w:sz w:val="11"/>
                <w:szCs w:val="11"/>
                <w:color w:val="auto"/>
              </w:rPr>
            </w:pPr>
          </w:p>
        </w:tc>
        <w:tc>
          <w:tcPr>
            <w:tcW w:w="1400" w:type="dxa"/>
            <w:vAlign w:val="bottom"/>
            <w:tcBorders>
              <w:top w:val="single" w:sz="8" w:color="auto"/>
              <w:bottom w:val="single" w:sz="8" w:color="auto"/>
            </w:tcBorders>
          </w:tcPr>
          <w:p>
            <w:pPr>
              <w:jc w:val="right"/>
              <w:ind w:right="11"/>
              <w:spacing w:after="0" w:line="129" w:lineRule="exact"/>
              <w:rPr>
                <w:sz w:val="20"/>
                <w:szCs w:val="20"/>
                <w:color w:val="auto"/>
              </w:rPr>
            </w:pPr>
            <w:r>
              <w:rPr>
                <w:rFonts w:ascii="Arial" w:cs="Arial" w:eastAsia="Arial" w:hAnsi="Arial"/>
                <w:sz w:val="13"/>
                <w:szCs w:val="13"/>
                <w:color w:val="auto"/>
              </w:rPr>
              <w:t>Number</w:t>
            </w:r>
          </w:p>
        </w:tc>
        <w:tc>
          <w:tcPr>
            <w:tcW w:w="700" w:type="dxa"/>
            <w:vAlign w:val="bottom"/>
            <w:tcBorders>
              <w:top w:val="single" w:sz="8" w:color="auto"/>
              <w:bottom w:val="single" w:sz="8" w:color="auto"/>
            </w:tcBorders>
          </w:tcPr>
          <w:p>
            <w:pPr>
              <w:jc w:val="right"/>
              <w:ind w:right="53"/>
              <w:spacing w:after="0" w:line="129" w:lineRule="exact"/>
              <w:rPr>
                <w:sz w:val="20"/>
                <w:szCs w:val="20"/>
                <w:color w:val="auto"/>
              </w:rPr>
            </w:pPr>
            <w:r>
              <w:rPr>
                <w:rFonts w:ascii="Arial" w:cs="Arial" w:eastAsia="Arial" w:hAnsi="Arial"/>
                <w:sz w:val="13"/>
                <w:szCs w:val="13"/>
                <w:color w:val="auto"/>
              </w:rPr>
              <w:t>%</w:t>
            </w:r>
          </w:p>
        </w:tc>
        <w:tc>
          <w:tcPr>
            <w:tcW w:w="260" w:type="dxa"/>
            <w:vAlign w:val="bottom"/>
            <w:tcBorders>
              <w:bottom w:val="single" w:sz="8" w:color="auto"/>
            </w:tcBorders>
          </w:tcPr>
          <w:p>
            <w:pPr>
              <w:spacing w:after="0"/>
              <w:rPr>
                <w:sz w:val="11"/>
                <w:szCs w:val="11"/>
                <w:color w:val="auto"/>
              </w:rPr>
            </w:pPr>
          </w:p>
        </w:tc>
        <w:tc>
          <w:tcPr>
            <w:tcW w:w="1540" w:type="dxa"/>
            <w:vAlign w:val="bottom"/>
            <w:tcBorders>
              <w:top w:val="single" w:sz="8" w:color="auto"/>
              <w:bottom w:val="single" w:sz="8" w:color="auto"/>
            </w:tcBorders>
          </w:tcPr>
          <w:p>
            <w:pPr>
              <w:jc w:val="right"/>
              <w:ind w:right="131"/>
              <w:spacing w:after="0" w:line="129" w:lineRule="exact"/>
              <w:rPr>
                <w:sz w:val="20"/>
                <w:szCs w:val="20"/>
                <w:color w:val="auto"/>
              </w:rPr>
            </w:pPr>
            <w:r>
              <w:rPr>
                <w:rFonts w:ascii="Arial" w:cs="Arial" w:eastAsia="Arial" w:hAnsi="Arial"/>
                <w:sz w:val="13"/>
                <w:szCs w:val="13"/>
                <w:color w:val="auto"/>
              </w:rPr>
              <w:t>Number</w:t>
            </w:r>
          </w:p>
        </w:tc>
        <w:tc>
          <w:tcPr>
            <w:tcW w:w="600" w:type="dxa"/>
            <w:vAlign w:val="bottom"/>
            <w:tcBorders>
              <w:top w:val="single" w:sz="8" w:color="auto"/>
              <w:bottom w:val="single" w:sz="8" w:color="auto"/>
            </w:tcBorders>
          </w:tcPr>
          <w:p>
            <w:pPr>
              <w:jc w:val="right"/>
              <w:ind w:right="33"/>
              <w:spacing w:after="0" w:line="129" w:lineRule="exact"/>
              <w:rPr>
                <w:sz w:val="20"/>
                <w:szCs w:val="20"/>
                <w:color w:val="auto"/>
              </w:rPr>
            </w:pPr>
            <w:r>
              <w:rPr>
                <w:rFonts w:ascii="Arial" w:cs="Arial" w:eastAsia="Arial" w:hAnsi="Arial"/>
                <w:sz w:val="13"/>
                <w:szCs w:val="13"/>
                <w:color w:val="auto"/>
              </w:rPr>
              <w:t>%</w:t>
            </w:r>
          </w:p>
        </w:tc>
      </w:tr>
      <w:tr>
        <w:trPr>
          <w:trHeight w:val="160"/>
        </w:trPr>
        <w:tc>
          <w:tcPr>
            <w:tcW w:w="4580" w:type="dxa"/>
            <w:vAlign w:val="bottom"/>
          </w:tcPr>
          <w:p>
            <w:pPr>
              <w:spacing w:after="0"/>
              <w:rPr>
                <w:sz w:val="20"/>
                <w:szCs w:val="20"/>
                <w:color w:val="auto"/>
              </w:rPr>
            </w:pPr>
            <w:r>
              <w:rPr>
                <w:rFonts w:ascii="Arial" w:cs="Arial" w:eastAsia="Arial" w:hAnsi="Arial"/>
                <w:sz w:val="14"/>
                <w:szCs w:val="14"/>
                <w:color w:val="auto"/>
              </w:rPr>
              <w:t>BlackRock, Inc.</w:t>
            </w:r>
          </w:p>
        </w:tc>
        <w:tc>
          <w:tcPr>
            <w:tcW w:w="1380" w:type="dxa"/>
            <w:vAlign w:val="bottom"/>
          </w:tcPr>
          <w:p>
            <w:pPr>
              <w:jc w:val="right"/>
              <w:ind w:right="11"/>
              <w:spacing w:after="0"/>
              <w:rPr>
                <w:sz w:val="20"/>
                <w:szCs w:val="20"/>
                <w:color w:val="auto"/>
              </w:rPr>
            </w:pPr>
            <w:r>
              <w:rPr>
                <w:rFonts w:ascii="Arial" w:cs="Arial" w:eastAsia="Arial" w:hAnsi="Arial"/>
                <w:sz w:val="14"/>
                <w:szCs w:val="14"/>
                <w:color w:val="auto"/>
              </w:rPr>
              <w:t>265,897,706</w:t>
            </w:r>
          </w:p>
        </w:tc>
        <w:tc>
          <w:tcPr>
            <w:tcW w:w="700" w:type="dxa"/>
            <w:vAlign w:val="bottom"/>
          </w:tcPr>
          <w:p>
            <w:pPr>
              <w:jc w:val="right"/>
              <w:ind w:right="53"/>
              <w:spacing w:after="0"/>
              <w:rPr>
                <w:sz w:val="20"/>
                <w:szCs w:val="20"/>
                <w:color w:val="auto"/>
              </w:rPr>
            </w:pPr>
            <w:r>
              <w:rPr>
                <w:rFonts w:ascii="Arial" w:cs="Arial" w:eastAsia="Arial" w:hAnsi="Arial"/>
                <w:sz w:val="14"/>
                <w:szCs w:val="14"/>
                <w:color w:val="auto"/>
              </w:rPr>
              <w:t>6.83</w:t>
            </w:r>
          </w:p>
        </w:tc>
        <w:tc>
          <w:tcPr>
            <w:tcW w:w="260" w:type="dxa"/>
            <w:vAlign w:val="bottom"/>
          </w:tcPr>
          <w:p>
            <w:pPr>
              <w:spacing w:after="0"/>
              <w:rPr>
                <w:sz w:val="13"/>
                <w:szCs w:val="13"/>
                <w:color w:val="auto"/>
              </w:rPr>
            </w:pPr>
          </w:p>
        </w:tc>
        <w:tc>
          <w:tcPr>
            <w:tcW w:w="1400" w:type="dxa"/>
            <w:vAlign w:val="bottom"/>
          </w:tcPr>
          <w:p>
            <w:pPr>
              <w:jc w:val="right"/>
              <w:ind w:right="11"/>
              <w:spacing w:after="0"/>
              <w:rPr>
                <w:sz w:val="20"/>
                <w:szCs w:val="20"/>
                <w:color w:val="auto"/>
              </w:rPr>
            </w:pPr>
            <w:r>
              <w:rPr>
                <w:rFonts w:ascii="Arial" w:cs="Arial" w:eastAsia="Arial" w:hAnsi="Arial"/>
                <w:sz w:val="14"/>
                <w:szCs w:val="14"/>
                <w:color w:val="auto"/>
              </w:rPr>
              <w:t>194,802,203</w:t>
            </w:r>
          </w:p>
        </w:tc>
        <w:tc>
          <w:tcPr>
            <w:tcW w:w="700" w:type="dxa"/>
            <w:vAlign w:val="bottom"/>
          </w:tcPr>
          <w:p>
            <w:pPr>
              <w:jc w:val="right"/>
              <w:ind w:right="53"/>
              <w:spacing w:after="0"/>
              <w:rPr>
                <w:sz w:val="20"/>
                <w:szCs w:val="20"/>
                <w:color w:val="auto"/>
              </w:rPr>
            </w:pPr>
            <w:r>
              <w:rPr>
                <w:rFonts w:ascii="Arial" w:cs="Arial" w:eastAsia="Arial" w:hAnsi="Arial"/>
                <w:sz w:val="14"/>
                <w:szCs w:val="14"/>
                <w:color w:val="auto"/>
              </w:rPr>
              <w:t>7.98</w:t>
            </w:r>
          </w:p>
        </w:tc>
        <w:tc>
          <w:tcPr>
            <w:tcW w:w="260" w:type="dxa"/>
            <w:vAlign w:val="bottom"/>
          </w:tcPr>
          <w:p>
            <w:pPr>
              <w:spacing w:after="0"/>
              <w:rPr>
                <w:sz w:val="13"/>
                <w:szCs w:val="13"/>
                <w:color w:val="auto"/>
              </w:rPr>
            </w:pPr>
          </w:p>
        </w:tc>
        <w:tc>
          <w:tcPr>
            <w:tcW w:w="1540" w:type="dxa"/>
            <w:vAlign w:val="bottom"/>
          </w:tcPr>
          <w:p>
            <w:pPr>
              <w:jc w:val="right"/>
              <w:ind w:right="131"/>
              <w:spacing w:after="0"/>
              <w:rPr>
                <w:sz w:val="20"/>
                <w:szCs w:val="20"/>
                <w:color w:val="auto"/>
              </w:rPr>
            </w:pPr>
            <w:r>
              <w:rPr>
                <w:rFonts w:ascii="Arial" w:cs="Arial" w:eastAsia="Arial" w:hAnsi="Arial"/>
                <w:sz w:val="14"/>
                <w:szCs w:val="14"/>
                <w:color w:val="auto"/>
              </w:rPr>
              <w:t>460,699,909</w:t>
            </w:r>
          </w:p>
        </w:tc>
        <w:tc>
          <w:tcPr>
            <w:tcW w:w="600" w:type="dxa"/>
            <w:vAlign w:val="bottom"/>
          </w:tcPr>
          <w:p>
            <w:pPr>
              <w:jc w:val="right"/>
              <w:ind w:right="33"/>
              <w:spacing w:after="0"/>
              <w:rPr>
                <w:sz w:val="20"/>
                <w:szCs w:val="20"/>
                <w:color w:val="auto"/>
              </w:rPr>
            </w:pPr>
            <w:r>
              <w:rPr>
                <w:rFonts w:ascii="Arial" w:cs="Arial" w:eastAsia="Arial" w:hAnsi="Arial"/>
                <w:sz w:val="14"/>
                <w:szCs w:val="14"/>
                <w:color w:val="auto"/>
              </w:rPr>
              <w:t>7.27</w:t>
            </w:r>
          </w:p>
        </w:tc>
      </w:tr>
      <w:tr>
        <w:trPr>
          <w:trHeight w:val="157"/>
        </w:trPr>
        <w:tc>
          <w:tcPr>
            <w:tcW w:w="4580" w:type="dxa"/>
            <w:vAlign w:val="bottom"/>
            <w:tcBorders>
              <w:bottom w:val="single" w:sz="8" w:color="auto"/>
            </w:tcBorders>
          </w:tcPr>
          <w:p>
            <w:pPr>
              <w:spacing w:after="0" w:line="157" w:lineRule="exact"/>
              <w:rPr>
                <w:sz w:val="20"/>
                <w:szCs w:val="20"/>
                <w:color w:val="auto"/>
              </w:rPr>
            </w:pPr>
            <w:r>
              <w:rPr>
                <w:rFonts w:ascii="Arial" w:cs="Arial" w:eastAsia="Arial" w:hAnsi="Arial"/>
                <w:sz w:val="14"/>
                <w:szCs w:val="14"/>
                <w:color w:val="auto"/>
              </w:rPr>
              <w:t>The Capital Group Companies, Inc.</w:t>
            </w:r>
          </w:p>
        </w:tc>
        <w:tc>
          <w:tcPr>
            <w:tcW w:w="1380" w:type="dxa"/>
            <w:vAlign w:val="bottom"/>
            <w:tcBorders>
              <w:bottom w:val="single" w:sz="8" w:color="auto"/>
            </w:tcBorders>
          </w:tcPr>
          <w:p>
            <w:pPr>
              <w:jc w:val="right"/>
              <w:ind w:right="11"/>
              <w:spacing w:after="0" w:line="157" w:lineRule="exact"/>
              <w:rPr>
                <w:sz w:val="20"/>
                <w:szCs w:val="20"/>
                <w:color w:val="auto"/>
              </w:rPr>
            </w:pPr>
            <w:r>
              <w:rPr>
                <w:rFonts w:ascii="Arial" w:cs="Arial" w:eastAsia="Arial" w:hAnsi="Arial"/>
                <w:sz w:val="14"/>
                <w:szCs w:val="14"/>
                <w:color w:val="auto"/>
              </w:rPr>
              <w:t>66,318,448</w:t>
            </w:r>
          </w:p>
        </w:tc>
        <w:tc>
          <w:tcPr>
            <w:tcW w:w="700" w:type="dxa"/>
            <w:vAlign w:val="bottom"/>
            <w:tcBorders>
              <w:bottom w:val="single" w:sz="8" w:color="auto"/>
            </w:tcBorders>
          </w:tcPr>
          <w:p>
            <w:pPr>
              <w:jc w:val="right"/>
              <w:ind w:right="53"/>
              <w:spacing w:after="0" w:line="157" w:lineRule="exact"/>
              <w:rPr>
                <w:sz w:val="20"/>
                <w:szCs w:val="20"/>
                <w:color w:val="auto"/>
              </w:rPr>
            </w:pPr>
            <w:r>
              <w:rPr>
                <w:rFonts w:ascii="Arial" w:cs="Arial" w:eastAsia="Arial" w:hAnsi="Arial"/>
                <w:sz w:val="14"/>
                <w:szCs w:val="14"/>
                <w:color w:val="auto"/>
              </w:rPr>
              <w:t>1.70</w:t>
            </w:r>
          </w:p>
        </w:tc>
        <w:tc>
          <w:tcPr>
            <w:tcW w:w="260" w:type="dxa"/>
            <w:vAlign w:val="bottom"/>
            <w:tcBorders>
              <w:bottom w:val="single" w:sz="8" w:color="auto"/>
            </w:tcBorders>
          </w:tcPr>
          <w:p>
            <w:pPr>
              <w:spacing w:after="0"/>
              <w:rPr>
                <w:sz w:val="13"/>
                <w:szCs w:val="13"/>
                <w:color w:val="auto"/>
              </w:rPr>
            </w:pPr>
          </w:p>
        </w:tc>
        <w:tc>
          <w:tcPr>
            <w:tcW w:w="1400" w:type="dxa"/>
            <w:vAlign w:val="bottom"/>
            <w:tcBorders>
              <w:bottom w:val="single" w:sz="8" w:color="auto"/>
            </w:tcBorders>
          </w:tcPr>
          <w:p>
            <w:pPr>
              <w:jc w:val="right"/>
              <w:ind w:right="11"/>
              <w:spacing w:after="0" w:line="157" w:lineRule="exact"/>
              <w:rPr>
                <w:sz w:val="20"/>
                <w:szCs w:val="20"/>
                <w:color w:val="auto"/>
              </w:rPr>
            </w:pPr>
            <w:r>
              <w:rPr>
                <w:rFonts w:ascii="Arial" w:cs="Arial" w:eastAsia="Arial" w:hAnsi="Arial"/>
                <w:sz w:val="14"/>
                <w:szCs w:val="14"/>
                <w:color w:val="auto"/>
              </w:rPr>
              <w:t>188,647,986</w:t>
            </w:r>
          </w:p>
        </w:tc>
        <w:tc>
          <w:tcPr>
            <w:tcW w:w="700" w:type="dxa"/>
            <w:vAlign w:val="bottom"/>
            <w:tcBorders>
              <w:bottom w:val="single" w:sz="8" w:color="auto"/>
            </w:tcBorders>
          </w:tcPr>
          <w:p>
            <w:pPr>
              <w:jc w:val="right"/>
              <w:ind w:right="53"/>
              <w:spacing w:after="0" w:line="157" w:lineRule="exact"/>
              <w:rPr>
                <w:sz w:val="20"/>
                <w:szCs w:val="20"/>
                <w:color w:val="auto"/>
              </w:rPr>
            </w:pPr>
            <w:r>
              <w:rPr>
                <w:rFonts w:ascii="Arial" w:cs="Arial" w:eastAsia="Arial" w:hAnsi="Arial"/>
                <w:sz w:val="14"/>
                <w:szCs w:val="14"/>
                <w:color w:val="auto"/>
              </w:rPr>
              <w:t>7.73</w:t>
            </w:r>
          </w:p>
        </w:tc>
        <w:tc>
          <w:tcPr>
            <w:tcW w:w="260" w:type="dxa"/>
            <w:vAlign w:val="bottom"/>
            <w:tcBorders>
              <w:bottom w:val="single" w:sz="8" w:color="auto"/>
            </w:tcBorders>
          </w:tcPr>
          <w:p>
            <w:pPr>
              <w:spacing w:after="0"/>
              <w:rPr>
                <w:sz w:val="13"/>
                <w:szCs w:val="13"/>
                <w:color w:val="auto"/>
              </w:rPr>
            </w:pPr>
          </w:p>
        </w:tc>
        <w:tc>
          <w:tcPr>
            <w:tcW w:w="1540" w:type="dxa"/>
            <w:vAlign w:val="bottom"/>
            <w:tcBorders>
              <w:bottom w:val="single" w:sz="8" w:color="auto"/>
            </w:tcBorders>
          </w:tcPr>
          <w:p>
            <w:pPr>
              <w:jc w:val="right"/>
              <w:ind w:right="131"/>
              <w:spacing w:after="0" w:line="157" w:lineRule="exact"/>
              <w:rPr>
                <w:sz w:val="20"/>
                <w:szCs w:val="20"/>
                <w:color w:val="auto"/>
              </w:rPr>
            </w:pPr>
            <w:r>
              <w:rPr>
                <w:rFonts w:ascii="Arial" w:cs="Arial" w:eastAsia="Arial" w:hAnsi="Arial"/>
                <w:sz w:val="14"/>
                <w:szCs w:val="14"/>
                <w:color w:val="auto"/>
              </w:rPr>
              <w:t>254,966,434</w:t>
            </w:r>
          </w:p>
        </w:tc>
        <w:tc>
          <w:tcPr>
            <w:tcW w:w="600" w:type="dxa"/>
            <w:vAlign w:val="bottom"/>
            <w:tcBorders>
              <w:bottom w:val="single" w:sz="8" w:color="auto"/>
            </w:tcBorders>
          </w:tcPr>
          <w:p>
            <w:pPr>
              <w:jc w:val="right"/>
              <w:ind w:right="33"/>
              <w:spacing w:after="0" w:line="157" w:lineRule="exact"/>
              <w:rPr>
                <w:sz w:val="20"/>
                <w:szCs w:val="20"/>
                <w:color w:val="auto"/>
              </w:rPr>
            </w:pPr>
            <w:r>
              <w:rPr>
                <w:rFonts w:ascii="Arial" w:cs="Arial" w:eastAsia="Arial" w:hAnsi="Arial"/>
                <w:sz w:val="14"/>
                <w:szCs w:val="14"/>
                <w:color w:val="auto"/>
              </w:rPr>
              <w:t>4.02</w:t>
            </w:r>
          </w:p>
        </w:tc>
      </w:tr>
    </w:tbl>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NOTIFICATION OF MAJOR SHAREHOLDINGS</w:t>
      </w:r>
    </w:p>
    <w:p>
      <w:pPr>
        <w:spacing w:after="0" w:line="55" w:lineRule="exact"/>
        <w:rPr>
          <w:sz w:val="20"/>
          <w:szCs w:val="20"/>
          <w:color w:val="auto"/>
        </w:rPr>
      </w:pPr>
    </w:p>
    <w:p>
      <w:pPr>
        <w:spacing w:after="0"/>
        <w:rPr>
          <w:sz w:val="20"/>
          <w:szCs w:val="20"/>
          <w:color w:val="auto"/>
        </w:rPr>
      </w:pPr>
      <w:r>
        <w:rPr>
          <w:rFonts w:ascii="Arial" w:cs="Arial" w:eastAsia="Arial" w:hAnsi="Arial"/>
          <w:sz w:val="14"/>
          <w:szCs w:val="14"/>
          <w:color w:val="auto"/>
        </w:rPr>
        <w:t>During the year ended December 31, 2014, the Company was notified by the</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following investor of its interests in the Company’s shares pursuant to Disclosure and</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Transparency Rule 5.</w:t>
      </w:r>
    </w:p>
    <w:p>
      <w:pPr>
        <w:spacing w:after="0" w:line="340" w:lineRule="exact"/>
        <w:rPr>
          <w:sz w:val="20"/>
          <w:szCs w:val="20"/>
          <w:color w:val="auto"/>
        </w:rPr>
      </w:pPr>
    </w:p>
    <w:p>
      <w:pPr>
        <w:ind w:left="80"/>
        <w:spacing w:after="0"/>
        <w:rPr>
          <w:sz w:val="20"/>
          <w:szCs w:val="20"/>
          <w:color w:val="auto"/>
        </w:rPr>
      </w:pPr>
      <w:r>
        <w:rPr>
          <w:rFonts w:ascii="Arial" w:cs="Arial" w:eastAsia="Arial" w:hAnsi="Arial"/>
          <w:sz w:val="15"/>
          <w:szCs w:val="15"/>
          <w:b w:val="1"/>
          <w:bCs w:val="1"/>
          <w:color w:val="FFFFFF"/>
        </w:rPr>
        <w:t>INVESTOR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-95250</wp:posOffset>
            </wp:positionV>
            <wp:extent cx="7246620" cy="102870"/>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49">
                      <a:extLst>
                        <a:ext uri="{28A0092B-C50C-407E-A947-70E740481C1C}"/>
                      </a:extLst>
                    </a:blip>
                    <a:srcRect/>
                    <a:stretch>
                      <a:fillRect/>
                    </a:stretch>
                  </pic:blipFill>
                  <pic:spPr bwMode="auto">
                    <a:xfrm>
                      <a:off x="0" y="0"/>
                      <a:ext cx="7246620" cy="10287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46"/>
        </w:trPr>
        <w:tc>
          <w:tcPr>
            <w:tcW w:w="3640" w:type="dxa"/>
            <w:vAlign w:val="bottom"/>
          </w:tcPr>
          <w:p>
            <w:pPr>
              <w:spacing w:after="0"/>
              <w:rPr>
                <w:sz w:val="12"/>
                <w:szCs w:val="12"/>
                <w:color w:val="auto"/>
              </w:rPr>
            </w:pPr>
          </w:p>
        </w:tc>
        <w:tc>
          <w:tcPr>
            <w:tcW w:w="2720" w:type="dxa"/>
            <w:vAlign w:val="bottom"/>
          </w:tcPr>
          <w:p>
            <w:pPr>
              <w:jc w:val="right"/>
              <w:ind w:right="31"/>
              <w:spacing w:after="0" w:line="146" w:lineRule="exact"/>
              <w:rPr>
                <w:sz w:val="20"/>
                <w:szCs w:val="20"/>
                <w:color w:val="auto"/>
              </w:rPr>
            </w:pPr>
            <w:r>
              <w:rPr>
                <w:rFonts w:ascii="Arial" w:cs="Arial" w:eastAsia="Arial" w:hAnsi="Arial"/>
                <w:sz w:val="13"/>
                <w:szCs w:val="13"/>
                <w:color w:val="auto"/>
              </w:rPr>
              <w:t>Date of</w:t>
            </w:r>
          </w:p>
        </w:tc>
        <w:tc>
          <w:tcPr>
            <w:tcW w:w="900" w:type="dxa"/>
            <w:vAlign w:val="bottom"/>
          </w:tcPr>
          <w:p>
            <w:pPr>
              <w:spacing w:after="0"/>
              <w:rPr>
                <w:sz w:val="12"/>
                <w:szCs w:val="12"/>
                <w:color w:val="auto"/>
              </w:rPr>
            </w:pPr>
          </w:p>
        </w:tc>
        <w:tc>
          <w:tcPr>
            <w:tcW w:w="760" w:type="dxa"/>
            <w:vAlign w:val="bottom"/>
            <w:gridSpan w:val="2"/>
          </w:tcPr>
          <w:p>
            <w:pPr>
              <w:spacing w:after="0" w:line="146" w:lineRule="exact"/>
              <w:rPr>
                <w:sz w:val="20"/>
                <w:szCs w:val="20"/>
                <w:color w:val="auto"/>
              </w:rPr>
            </w:pPr>
            <w:r>
              <w:rPr>
                <w:rFonts w:ascii="Arial" w:cs="Arial" w:eastAsia="Arial" w:hAnsi="Arial"/>
                <w:sz w:val="13"/>
                <w:szCs w:val="13"/>
                <w:color w:val="auto"/>
              </w:rPr>
              <w:t>A shares</w:t>
            </w:r>
          </w:p>
        </w:tc>
        <w:tc>
          <w:tcPr>
            <w:tcW w:w="1000" w:type="dxa"/>
            <w:vAlign w:val="bottom"/>
          </w:tcPr>
          <w:p>
            <w:pPr>
              <w:spacing w:after="0"/>
              <w:rPr>
                <w:sz w:val="12"/>
                <w:szCs w:val="12"/>
                <w:color w:val="auto"/>
              </w:rPr>
            </w:pPr>
          </w:p>
        </w:tc>
        <w:tc>
          <w:tcPr>
            <w:tcW w:w="760" w:type="dxa"/>
            <w:vAlign w:val="bottom"/>
            <w:gridSpan w:val="2"/>
          </w:tcPr>
          <w:p>
            <w:pPr>
              <w:spacing w:after="0" w:line="146" w:lineRule="exact"/>
              <w:rPr>
                <w:sz w:val="20"/>
                <w:szCs w:val="20"/>
                <w:color w:val="auto"/>
              </w:rPr>
            </w:pPr>
            <w:r>
              <w:rPr>
                <w:rFonts w:ascii="Arial" w:cs="Arial" w:eastAsia="Arial" w:hAnsi="Arial"/>
                <w:sz w:val="13"/>
                <w:szCs w:val="13"/>
                <w:color w:val="auto"/>
              </w:rPr>
              <w:t>B shares</w:t>
            </w:r>
          </w:p>
        </w:tc>
        <w:tc>
          <w:tcPr>
            <w:tcW w:w="1120" w:type="dxa"/>
            <w:vAlign w:val="bottom"/>
          </w:tcPr>
          <w:p>
            <w:pPr>
              <w:spacing w:after="0"/>
              <w:rPr>
                <w:sz w:val="12"/>
                <w:szCs w:val="12"/>
                <w:color w:val="auto"/>
              </w:rPr>
            </w:pPr>
          </w:p>
        </w:tc>
        <w:tc>
          <w:tcPr>
            <w:tcW w:w="520" w:type="dxa"/>
            <w:vAlign w:val="bottom"/>
          </w:tcPr>
          <w:p>
            <w:pPr>
              <w:jc w:val="right"/>
              <w:ind w:right="31"/>
              <w:spacing w:after="0" w:line="146" w:lineRule="exact"/>
              <w:rPr>
                <w:sz w:val="20"/>
                <w:szCs w:val="20"/>
                <w:color w:val="auto"/>
              </w:rPr>
            </w:pPr>
            <w:r>
              <w:rPr>
                <w:rFonts w:ascii="Arial" w:cs="Arial" w:eastAsia="Arial" w:hAnsi="Arial"/>
                <w:sz w:val="13"/>
                <w:szCs w:val="13"/>
                <w:color w:val="auto"/>
              </w:rPr>
              <w:t>Total</w:t>
            </w:r>
          </w:p>
        </w:tc>
      </w:tr>
      <w:tr>
        <w:trPr>
          <w:trHeight w:val="129"/>
        </w:trPr>
        <w:tc>
          <w:tcPr>
            <w:tcW w:w="3640" w:type="dxa"/>
            <w:vAlign w:val="bottom"/>
            <w:tcBorders>
              <w:bottom w:val="single" w:sz="8" w:color="auto"/>
            </w:tcBorders>
          </w:tcPr>
          <w:p>
            <w:pPr>
              <w:spacing w:after="0"/>
              <w:rPr>
                <w:sz w:val="11"/>
                <w:szCs w:val="11"/>
                <w:color w:val="auto"/>
              </w:rPr>
            </w:pPr>
          </w:p>
        </w:tc>
        <w:tc>
          <w:tcPr>
            <w:tcW w:w="2720" w:type="dxa"/>
            <w:vAlign w:val="bottom"/>
            <w:tcBorders>
              <w:bottom w:val="single" w:sz="8" w:color="auto"/>
            </w:tcBorders>
          </w:tcPr>
          <w:p>
            <w:pPr>
              <w:jc w:val="right"/>
              <w:ind w:right="31"/>
              <w:spacing w:after="0" w:line="129" w:lineRule="exact"/>
              <w:rPr>
                <w:sz w:val="20"/>
                <w:szCs w:val="20"/>
                <w:color w:val="auto"/>
              </w:rPr>
            </w:pPr>
            <w:r>
              <w:rPr>
                <w:rFonts w:ascii="Arial" w:cs="Arial" w:eastAsia="Arial" w:hAnsi="Arial"/>
                <w:sz w:val="13"/>
                <w:szCs w:val="13"/>
                <w:color w:val="auto"/>
              </w:rPr>
              <w:t>notification</w:t>
            </w:r>
          </w:p>
        </w:tc>
        <w:tc>
          <w:tcPr>
            <w:tcW w:w="90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Number</w:t>
            </w:r>
          </w:p>
        </w:tc>
        <w:tc>
          <w:tcPr>
            <w:tcW w:w="600" w:type="dxa"/>
            <w:vAlign w:val="bottom"/>
            <w:tcBorders>
              <w:top w:val="single" w:sz="8" w:color="auto"/>
              <w:bottom w:val="single" w:sz="8" w:color="auto"/>
            </w:tcBorders>
          </w:tcPr>
          <w:p>
            <w:pPr>
              <w:jc w:val="right"/>
              <w:ind w:right="31"/>
              <w:spacing w:after="0" w:line="129" w:lineRule="exact"/>
              <w:rPr>
                <w:sz w:val="20"/>
                <w:szCs w:val="20"/>
                <w:color w:val="auto"/>
              </w:rPr>
            </w:pPr>
            <w:r>
              <w:rPr>
                <w:rFonts w:ascii="Arial" w:cs="Arial" w:eastAsia="Arial" w:hAnsi="Arial"/>
                <w:sz w:val="13"/>
                <w:szCs w:val="13"/>
                <w:color w:val="auto"/>
              </w:rPr>
              <w:t>%</w:t>
            </w:r>
          </w:p>
        </w:tc>
        <w:tc>
          <w:tcPr>
            <w:tcW w:w="160" w:type="dxa"/>
            <w:vAlign w:val="bottom"/>
            <w:tcBorders>
              <w:bottom w:val="single" w:sz="8" w:color="auto"/>
            </w:tcBorders>
          </w:tcPr>
          <w:p>
            <w:pPr>
              <w:spacing w:after="0"/>
              <w:rPr>
                <w:sz w:val="11"/>
                <w:szCs w:val="11"/>
                <w:color w:val="auto"/>
              </w:rPr>
            </w:pPr>
          </w:p>
        </w:tc>
        <w:tc>
          <w:tcPr>
            <w:tcW w:w="100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Number</w:t>
            </w:r>
          </w:p>
        </w:tc>
        <w:tc>
          <w:tcPr>
            <w:tcW w:w="600" w:type="dxa"/>
            <w:vAlign w:val="bottom"/>
            <w:tcBorders>
              <w:top w:val="single" w:sz="8" w:color="auto"/>
              <w:bottom w:val="single" w:sz="8" w:color="auto"/>
            </w:tcBorders>
          </w:tcPr>
          <w:p>
            <w:pPr>
              <w:jc w:val="right"/>
              <w:ind w:right="31"/>
              <w:spacing w:after="0" w:line="129" w:lineRule="exact"/>
              <w:rPr>
                <w:sz w:val="20"/>
                <w:szCs w:val="20"/>
                <w:color w:val="auto"/>
              </w:rPr>
            </w:pPr>
            <w:r>
              <w:rPr>
                <w:rFonts w:ascii="Arial" w:cs="Arial" w:eastAsia="Arial" w:hAnsi="Arial"/>
                <w:sz w:val="13"/>
                <w:szCs w:val="13"/>
                <w:color w:val="auto"/>
              </w:rPr>
              <w:t>%</w:t>
            </w:r>
          </w:p>
        </w:tc>
        <w:tc>
          <w:tcPr>
            <w:tcW w:w="160" w:type="dxa"/>
            <w:vAlign w:val="bottom"/>
            <w:tcBorders>
              <w:bottom w:val="single" w:sz="8" w:color="auto"/>
            </w:tcBorders>
          </w:tcPr>
          <w:p>
            <w:pPr>
              <w:spacing w:after="0"/>
              <w:rPr>
                <w:sz w:val="11"/>
                <w:szCs w:val="11"/>
                <w:color w:val="auto"/>
              </w:rPr>
            </w:pPr>
          </w:p>
        </w:tc>
        <w:tc>
          <w:tcPr>
            <w:tcW w:w="1120" w:type="dxa"/>
            <w:vAlign w:val="bottom"/>
            <w:tcBorders>
              <w:top w:val="single" w:sz="8" w:color="auto"/>
              <w:bottom w:val="single" w:sz="8" w:color="auto"/>
            </w:tcBorders>
          </w:tcPr>
          <w:p>
            <w:pPr>
              <w:jc w:val="right"/>
              <w:ind w:right="50"/>
              <w:spacing w:after="0" w:line="129" w:lineRule="exact"/>
              <w:rPr>
                <w:sz w:val="20"/>
                <w:szCs w:val="20"/>
                <w:color w:val="auto"/>
              </w:rPr>
            </w:pPr>
            <w:r>
              <w:rPr>
                <w:rFonts w:ascii="Arial" w:cs="Arial" w:eastAsia="Arial" w:hAnsi="Arial"/>
                <w:sz w:val="13"/>
                <w:szCs w:val="13"/>
                <w:color w:val="auto"/>
              </w:rPr>
              <w:t>Number</w:t>
            </w:r>
          </w:p>
        </w:tc>
        <w:tc>
          <w:tcPr>
            <w:tcW w:w="520" w:type="dxa"/>
            <w:vAlign w:val="bottom"/>
            <w:tcBorders>
              <w:top w:val="single" w:sz="8" w:color="auto"/>
              <w:bottom w:val="single" w:sz="8" w:color="auto"/>
            </w:tcBorders>
          </w:tcPr>
          <w:p>
            <w:pPr>
              <w:jc w:val="right"/>
              <w:ind w:right="31"/>
              <w:spacing w:after="0" w:line="129" w:lineRule="exact"/>
              <w:rPr>
                <w:sz w:val="20"/>
                <w:szCs w:val="20"/>
                <w:color w:val="auto"/>
              </w:rPr>
            </w:pPr>
            <w:r>
              <w:rPr>
                <w:rFonts w:ascii="Arial" w:cs="Arial" w:eastAsia="Arial" w:hAnsi="Arial"/>
                <w:sz w:val="13"/>
                <w:szCs w:val="13"/>
                <w:color w:val="auto"/>
              </w:rPr>
              <w:t>%</w:t>
            </w:r>
          </w:p>
        </w:tc>
      </w:tr>
      <w:tr>
        <w:trPr>
          <w:trHeight w:val="160"/>
        </w:trPr>
        <w:tc>
          <w:tcPr>
            <w:tcW w:w="3640" w:type="dxa"/>
            <w:vAlign w:val="bottom"/>
          </w:tcPr>
          <w:p>
            <w:pPr>
              <w:spacing w:after="0"/>
              <w:rPr>
                <w:sz w:val="20"/>
                <w:szCs w:val="20"/>
                <w:color w:val="auto"/>
              </w:rPr>
            </w:pPr>
            <w:r>
              <w:rPr>
                <w:rFonts w:ascii="Arial" w:cs="Arial" w:eastAsia="Arial" w:hAnsi="Arial"/>
                <w:sz w:val="14"/>
                <w:szCs w:val="14"/>
                <w:color w:val="auto"/>
              </w:rPr>
              <w:t>The Capital Group Companies, Inc.</w:t>
            </w:r>
          </w:p>
        </w:tc>
        <w:tc>
          <w:tcPr>
            <w:tcW w:w="2720" w:type="dxa"/>
            <w:vAlign w:val="bottom"/>
          </w:tcPr>
          <w:p>
            <w:pPr>
              <w:jc w:val="right"/>
              <w:ind w:right="31"/>
              <w:spacing w:after="0"/>
              <w:rPr>
                <w:sz w:val="20"/>
                <w:szCs w:val="20"/>
                <w:color w:val="auto"/>
              </w:rPr>
            </w:pPr>
            <w:r>
              <w:rPr>
                <w:rFonts w:ascii="Arial" w:cs="Arial" w:eastAsia="Arial" w:hAnsi="Arial"/>
                <w:sz w:val="14"/>
                <w:szCs w:val="14"/>
                <w:color w:val="auto"/>
              </w:rPr>
              <w:t>August 18, 2014</w:t>
            </w:r>
          </w:p>
        </w:tc>
        <w:tc>
          <w:tcPr>
            <w:tcW w:w="900" w:type="dxa"/>
            <w:vAlign w:val="bottom"/>
          </w:tcPr>
          <w:p>
            <w:pPr>
              <w:jc w:val="right"/>
              <w:spacing w:after="0"/>
              <w:rPr>
                <w:sz w:val="20"/>
                <w:szCs w:val="20"/>
                <w:color w:val="auto"/>
              </w:rPr>
            </w:pPr>
            <w:r>
              <w:rPr>
                <w:rFonts w:ascii="Arial" w:cs="Arial" w:eastAsia="Arial" w:hAnsi="Arial"/>
                <w:sz w:val="14"/>
                <w:szCs w:val="14"/>
                <w:color w:val="auto"/>
              </w:rPr>
              <w:t>63,793,188</w:t>
            </w:r>
          </w:p>
        </w:tc>
        <w:tc>
          <w:tcPr>
            <w:tcW w:w="600" w:type="dxa"/>
            <w:vAlign w:val="bottom"/>
          </w:tcPr>
          <w:p>
            <w:pPr>
              <w:jc w:val="right"/>
              <w:ind w:right="31"/>
              <w:spacing w:after="0"/>
              <w:rPr>
                <w:sz w:val="20"/>
                <w:szCs w:val="20"/>
                <w:color w:val="auto"/>
              </w:rPr>
            </w:pPr>
            <w:r>
              <w:rPr>
                <w:rFonts w:ascii="Arial" w:cs="Arial" w:eastAsia="Arial" w:hAnsi="Arial"/>
                <w:sz w:val="14"/>
                <w:szCs w:val="14"/>
                <w:color w:val="auto"/>
              </w:rPr>
              <w:t>1.62</w:t>
            </w:r>
          </w:p>
        </w:tc>
        <w:tc>
          <w:tcPr>
            <w:tcW w:w="16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191,671,894</w:t>
            </w:r>
          </w:p>
        </w:tc>
        <w:tc>
          <w:tcPr>
            <w:tcW w:w="600" w:type="dxa"/>
            <w:vAlign w:val="bottom"/>
          </w:tcPr>
          <w:p>
            <w:pPr>
              <w:jc w:val="right"/>
              <w:ind w:right="31"/>
              <w:spacing w:after="0"/>
              <w:rPr>
                <w:sz w:val="20"/>
                <w:szCs w:val="20"/>
                <w:color w:val="auto"/>
              </w:rPr>
            </w:pPr>
            <w:r>
              <w:rPr>
                <w:rFonts w:ascii="Arial" w:cs="Arial" w:eastAsia="Arial" w:hAnsi="Arial"/>
                <w:sz w:val="14"/>
                <w:szCs w:val="14"/>
                <w:color w:val="auto"/>
              </w:rPr>
              <w:t>7.85</w:t>
            </w:r>
          </w:p>
        </w:tc>
        <w:tc>
          <w:tcPr>
            <w:tcW w:w="160" w:type="dxa"/>
            <w:vAlign w:val="bottom"/>
          </w:tcPr>
          <w:p>
            <w:pPr>
              <w:spacing w:after="0"/>
              <w:rPr>
                <w:sz w:val="13"/>
                <w:szCs w:val="13"/>
                <w:color w:val="auto"/>
              </w:rPr>
            </w:pPr>
          </w:p>
        </w:tc>
        <w:tc>
          <w:tcPr>
            <w:tcW w:w="1120" w:type="dxa"/>
            <w:vAlign w:val="bottom"/>
          </w:tcPr>
          <w:p>
            <w:pPr>
              <w:jc w:val="right"/>
              <w:ind w:right="50"/>
              <w:spacing w:after="0"/>
              <w:rPr>
                <w:sz w:val="20"/>
                <w:szCs w:val="20"/>
                <w:color w:val="auto"/>
              </w:rPr>
            </w:pPr>
            <w:r>
              <w:rPr>
                <w:rFonts w:ascii="Arial" w:cs="Arial" w:eastAsia="Arial" w:hAnsi="Arial"/>
                <w:sz w:val="14"/>
                <w:szCs w:val="14"/>
                <w:color w:val="auto"/>
              </w:rPr>
              <w:t>255,465,082</w:t>
            </w:r>
          </w:p>
        </w:tc>
        <w:tc>
          <w:tcPr>
            <w:tcW w:w="520" w:type="dxa"/>
            <w:vAlign w:val="bottom"/>
          </w:tcPr>
          <w:p>
            <w:pPr>
              <w:jc w:val="right"/>
              <w:ind w:right="31"/>
              <w:spacing w:after="0"/>
              <w:rPr>
                <w:sz w:val="20"/>
                <w:szCs w:val="20"/>
                <w:color w:val="auto"/>
              </w:rPr>
            </w:pPr>
            <w:r>
              <w:rPr>
                <w:rFonts w:ascii="Arial" w:cs="Arial" w:eastAsia="Arial" w:hAnsi="Arial"/>
                <w:sz w:val="14"/>
                <w:szCs w:val="14"/>
                <w:color w:val="auto"/>
              </w:rPr>
              <w:t>4.00</w:t>
            </w:r>
          </w:p>
        </w:tc>
      </w:tr>
      <w:tr>
        <w:trPr>
          <w:trHeight w:val="162"/>
        </w:trPr>
        <w:tc>
          <w:tcPr>
            <w:tcW w:w="3640" w:type="dxa"/>
            <w:vAlign w:val="bottom"/>
          </w:tcPr>
          <w:p>
            <w:pPr>
              <w:spacing w:after="0"/>
              <w:rPr>
                <w:sz w:val="20"/>
                <w:szCs w:val="20"/>
                <w:color w:val="auto"/>
              </w:rPr>
            </w:pPr>
            <w:r>
              <w:rPr>
                <w:rFonts w:ascii="Arial" w:cs="Arial" w:eastAsia="Arial" w:hAnsi="Arial"/>
                <w:sz w:val="14"/>
                <w:szCs w:val="14"/>
                <w:color w:val="auto"/>
              </w:rPr>
              <w:t>The Capital Group Companies, Inc.</w:t>
            </w:r>
          </w:p>
        </w:tc>
        <w:tc>
          <w:tcPr>
            <w:tcW w:w="2720" w:type="dxa"/>
            <w:vAlign w:val="bottom"/>
          </w:tcPr>
          <w:p>
            <w:pPr>
              <w:jc w:val="right"/>
              <w:ind w:right="31"/>
              <w:spacing w:after="0"/>
              <w:rPr>
                <w:sz w:val="20"/>
                <w:szCs w:val="20"/>
                <w:color w:val="auto"/>
              </w:rPr>
            </w:pPr>
            <w:r>
              <w:rPr>
                <w:rFonts w:ascii="Arial" w:cs="Arial" w:eastAsia="Arial" w:hAnsi="Arial"/>
                <w:sz w:val="14"/>
                <w:szCs w:val="14"/>
                <w:color w:val="auto"/>
              </w:rPr>
              <w:t>October 1, 2014</w:t>
            </w:r>
          </w:p>
        </w:tc>
        <w:tc>
          <w:tcPr>
            <w:tcW w:w="900" w:type="dxa"/>
            <w:vAlign w:val="bottom"/>
          </w:tcPr>
          <w:p>
            <w:pPr>
              <w:jc w:val="right"/>
              <w:spacing w:after="0"/>
              <w:rPr>
                <w:sz w:val="20"/>
                <w:szCs w:val="20"/>
                <w:color w:val="auto"/>
              </w:rPr>
            </w:pPr>
            <w:r>
              <w:rPr>
                <w:rFonts w:ascii="Arial" w:cs="Arial" w:eastAsia="Arial" w:hAnsi="Arial"/>
                <w:sz w:val="14"/>
                <w:szCs w:val="14"/>
                <w:color w:val="auto"/>
              </w:rPr>
              <w:t>63,802,898</w:t>
            </w:r>
          </w:p>
        </w:tc>
        <w:tc>
          <w:tcPr>
            <w:tcW w:w="600" w:type="dxa"/>
            <w:vAlign w:val="bottom"/>
          </w:tcPr>
          <w:p>
            <w:pPr>
              <w:jc w:val="right"/>
              <w:ind w:right="31"/>
              <w:spacing w:after="0"/>
              <w:rPr>
                <w:sz w:val="20"/>
                <w:szCs w:val="20"/>
                <w:color w:val="auto"/>
              </w:rPr>
            </w:pPr>
            <w:r>
              <w:rPr>
                <w:rFonts w:ascii="Arial" w:cs="Arial" w:eastAsia="Arial" w:hAnsi="Arial"/>
                <w:sz w:val="14"/>
                <w:szCs w:val="14"/>
                <w:color w:val="auto"/>
              </w:rPr>
              <w:t>1.62</w:t>
            </w:r>
          </w:p>
        </w:tc>
        <w:tc>
          <w:tcPr>
            <w:tcW w:w="16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188,028,184</w:t>
            </w:r>
          </w:p>
        </w:tc>
        <w:tc>
          <w:tcPr>
            <w:tcW w:w="600" w:type="dxa"/>
            <w:vAlign w:val="bottom"/>
          </w:tcPr>
          <w:p>
            <w:pPr>
              <w:jc w:val="right"/>
              <w:ind w:right="31"/>
              <w:spacing w:after="0"/>
              <w:rPr>
                <w:sz w:val="20"/>
                <w:szCs w:val="20"/>
                <w:color w:val="auto"/>
              </w:rPr>
            </w:pPr>
            <w:r>
              <w:rPr>
                <w:rFonts w:ascii="Arial" w:cs="Arial" w:eastAsia="Arial" w:hAnsi="Arial"/>
                <w:sz w:val="14"/>
                <w:szCs w:val="14"/>
                <w:color w:val="auto"/>
              </w:rPr>
              <w:t>7.70</w:t>
            </w:r>
          </w:p>
        </w:tc>
        <w:tc>
          <w:tcPr>
            <w:tcW w:w="160" w:type="dxa"/>
            <w:vAlign w:val="bottom"/>
          </w:tcPr>
          <w:p>
            <w:pPr>
              <w:spacing w:after="0"/>
              <w:rPr>
                <w:sz w:val="14"/>
                <w:szCs w:val="14"/>
                <w:color w:val="auto"/>
              </w:rPr>
            </w:pPr>
          </w:p>
        </w:tc>
        <w:tc>
          <w:tcPr>
            <w:tcW w:w="1120" w:type="dxa"/>
            <w:vAlign w:val="bottom"/>
          </w:tcPr>
          <w:p>
            <w:pPr>
              <w:jc w:val="right"/>
              <w:ind w:right="50"/>
              <w:spacing w:after="0"/>
              <w:rPr>
                <w:sz w:val="20"/>
                <w:szCs w:val="20"/>
                <w:color w:val="auto"/>
              </w:rPr>
            </w:pPr>
            <w:r>
              <w:rPr>
                <w:rFonts w:ascii="Arial" w:cs="Arial" w:eastAsia="Arial" w:hAnsi="Arial"/>
                <w:sz w:val="14"/>
                <w:szCs w:val="14"/>
                <w:color w:val="auto"/>
              </w:rPr>
              <w:t>251,831,082</w:t>
            </w:r>
          </w:p>
        </w:tc>
        <w:tc>
          <w:tcPr>
            <w:tcW w:w="520" w:type="dxa"/>
            <w:vAlign w:val="bottom"/>
          </w:tcPr>
          <w:p>
            <w:pPr>
              <w:jc w:val="right"/>
              <w:ind w:right="31"/>
              <w:spacing w:after="0"/>
              <w:rPr>
                <w:sz w:val="20"/>
                <w:szCs w:val="20"/>
                <w:color w:val="auto"/>
              </w:rPr>
            </w:pPr>
            <w:r>
              <w:rPr>
                <w:rFonts w:ascii="Arial" w:cs="Arial" w:eastAsia="Arial" w:hAnsi="Arial"/>
                <w:sz w:val="14"/>
                <w:szCs w:val="14"/>
                <w:color w:val="auto"/>
              </w:rPr>
              <w:t>3.95</w:t>
            </w:r>
          </w:p>
        </w:tc>
      </w:tr>
      <w:tr>
        <w:trPr>
          <w:trHeight w:val="162"/>
        </w:trPr>
        <w:tc>
          <w:tcPr>
            <w:tcW w:w="3640" w:type="dxa"/>
            <w:vAlign w:val="bottom"/>
          </w:tcPr>
          <w:p>
            <w:pPr>
              <w:spacing w:after="0"/>
              <w:rPr>
                <w:sz w:val="20"/>
                <w:szCs w:val="20"/>
                <w:color w:val="auto"/>
              </w:rPr>
            </w:pPr>
            <w:r>
              <w:rPr>
                <w:rFonts w:ascii="Arial" w:cs="Arial" w:eastAsia="Arial" w:hAnsi="Arial"/>
                <w:sz w:val="14"/>
                <w:szCs w:val="14"/>
                <w:color w:val="auto"/>
              </w:rPr>
              <w:t>The Capital Group Companies, Inc.</w:t>
            </w:r>
          </w:p>
        </w:tc>
        <w:tc>
          <w:tcPr>
            <w:tcW w:w="2720" w:type="dxa"/>
            <w:vAlign w:val="bottom"/>
          </w:tcPr>
          <w:p>
            <w:pPr>
              <w:jc w:val="right"/>
              <w:ind w:right="31"/>
              <w:spacing w:after="0"/>
              <w:rPr>
                <w:sz w:val="20"/>
                <w:szCs w:val="20"/>
                <w:color w:val="auto"/>
              </w:rPr>
            </w:pPr>
            <w:r>
              <w:rPr>
                <w:rFonts w:ascii="Arial" w:cs="Arial" w:eastAsia="Arial" w:hAnsi="Arial"/>
                <w:sz w:val="14"/>
                <w:szCs w:val="14"/>
                <w:color w:val="auto"/>
              </w:rPr>
              <w:t>November 12, 2014</w:t>
            </w:r>
          </w:p>
        </w:tc>
        <w:tc>
          <w:tcPr>
            <w:tcW w:w="900" w:type="dxa"/>
            <w:vAlign w:val="bottom"/>
          </w:tcPr>
          <w:p>
            <w:pPr>
              <w:jc w:val="right"/>
              <w:spacing w:after="0"/>
              <w:rPr>
                <w:sz w:val="20"/>
                <w:szCs w:val="20"/>
                <w:color w:val="auto"/>
              </w:rPr>
            </w:pPr>
            <w:r>
              <w:rPr>
                <w:rFonts w:ascii="Arial" w:cs="Arial" w:eastAsia="Arial" w:hAnsi="Arial"/>
                <w:sz w:val="14"/>
                <w:szCs w:val="14"/>
                <w:color w:val="auto"/>
              </w:rPr>
              <w:t>64,538,348</w:t>
            </w:r>
          </w:p>
        </w:tc>
        <w:tc>
          <w:tcPr>
            <w:tcW w:w="600" w:type="dxa"/>
            <w:vAlign w:val="bottom"/>
          </w:tcPr>
          <w:p>
            <w:pPr>
              <w:jc w:val="right"/>
              <w:ind w:right="31"/>
              <w:spacing w:after="0"/>
              <w:rPr>
                <w:sz w:val="20"/>
                <w:szCs w:val="20"/>
                <w:color w:val="auto"/>
              </w:rPr>
            </w:pPr>
            <w:r>
              <w:rPr>
                <w:rFonts w:ascii="Arial" w:cs="Arial" w:eastAsia="Arial" w:hAnsi="Arial"/>
                <w:sz w:val="14"/>
                <w:szCs w:val="14"/>
                <w:color w:val="auto"/>
              </w:rPr>
              <w:t>1.65</w:t>
            </w:r>
          </w:p>
        </w:tc>
        <w:tc>
          <w:tcPr>
            <w:tcW w:w="16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189,544,083</w:t>
            </w:r>
          </w:p>
        </w:tc>
        <w:tc>
          <w:tcPr>
            <w:tcW w:w="600" w:type="dxa"/>
            <w:vAlign w:val="bottom"/>
          </w:tcPr>
          <w:p>
            <w:pPr>
              <w:jc w:val="right"/>
              <w:ind w:right="31"/>
              <w:spacing w:after="0"/>
              <w:rPr>
                <w:sz w:val="20"/>
                <w:szCs w:val="20"/>
                <w:color w:val="auto"/>
              </w:rPr>
            </w:pPr>
            <w:r>
              <w:rPr>
                <w:rFonts w:ascii="Arial" w:cs="Arial" w:eastAsia="Arial" w:hAnsi="Arial"/>
                <w:sz w:val="14"/>
                <w:szCs w:val="14"/>
                <w:color w:val="auto"/>
              </w:rPr>
              <w:t>7.77</w:t>
            </w:r>
          </w:p>
        </w:tc>
        <w:tc>
          <w:tcPr>
            <w:tcW w:w="160" w:type="dxa"/>
            <w:vAlign w:val="bottom"/>
          </w:tcPr>
          <w:p>
            <w:pPr>
              <w:spacing w:after="0"/>
              <w:rPr>
                <w:sz w:val="14"/>
                <w:szCs w:val="14"/>
                <w:color w:val="auto"/>
              </w:rPr>
            </w:pPr>
          </w:p>
        </w:tc>
        <w:tc>
          <w:tcPr>
            <w:tcW w:w="1120" w:type="dxa"/>
            <w:vAlign w:val="bottom"/>
          </w:tcPr>
          <w:p>
            <w:pPr>
              <w:jc w:val="right"/>
              <w:ind w:right="50"/>
              <w:spacing w:after="0"/>
              <w:rPr>
                <w:sz w:val="20"/>
                <w:szCs w:val="20"/>
                <w:color w:val="auto"/>
              </w:rPr>
            </w:pPr>
            <w:r>
              <w:rPr>
                <w:rFonts w:ascii="Arial" w:cs="Arial" w:eastAsia="Arial" w:hAnsi="Arial"/>
                <w:sz w:val="14"/>
                <w:szCs w:val="14"/>
                <w:color w:val="auto"/>
              </w:rPr>
              <w:t>254,082,431</w:t>
            </w:r>
          </w:p>
        </w:tc>
        <w:tc>
          <w:tcPr>
            <w:tcW w:w="520" w:type="dxa"/>
            <w:vAlign w:val="bottom"/>
          </w:tcPr>
          <w:p>
            <w:pPr>
              <w:jc w:val="right"/>
              <w:ind w:right="31"/>
              <w:spacing w:after="0"/>
              <w:rPr>
                <w:sz w:val="20"/>
                <w:szCs w:val="20"/>
                <w:color w:val="auto"/>
              </w:rPr>
            </w:pPr>
            <w:r>
              <w:rPr>
                <w:rFonts w:ascii="Arial" w:cs="Arial" w:eastAsia="Arial" w:hAnsi="Arial"/>
                <w:sz w:val="14"/>
                <w:szCs w:val="14"/>
                <w:color w:val="auto"/>
              </w:rPr>
              <w:t>4.00</w:t>
            </w:r>
          </w:p>
        </w:tc>
      </w:tr>
      <w:tr>
        <w:trPr>
          <w:trHeight w:val="157"/>
        </w:trPr>
        <w:tc>
          <w:tcPr>
            <w:tcW w:w="3640" w:type="dxa"/>
            <w:vAlign w:val="bottom"/>
            <w:tcBorders>
              <w:bottom w:val="single" w:sz="8" w:color="auto"/>
            </w:tcBorders>
          </w:tcPr>
          <w:p>
            <w:pPr>
              <w:spacing w:after="0" w:line="157" w:lineRule="exact"/>
              <w:rPr>
                <w:sz w:val="20"/>
                <w:szCs w:val="20"/>
                <w:color w:val="auto"/>
              </w:rPr>
            </w:pPr>
            <w:r>
              <w:rPr>
                <w:rFonts w:ascii="Arial" w:cs="Arial" w:eastAsia="Arial" w:hAnsi="Arial"/>
                <w:sz w:val="14"/>
                <w:szCs w:val="14"/>
                <w:color w:val="auto"/>
              </w:rPr>
              <w:t>The Capital Group Companies, Inc.</w:t>
            </w:r>
          </w:p>
        </w:tc>
        <w:tc>
          <w:tcPr>
            <w:tcW w:w="2720" w:type="dxa"/>
            <w:vAlign w:val="bottom"/>
            <w:tcBorders>
              <w:bottom w:val="single" w:sz="8" w:color="auto"/>
            </w:tcBorders>
          </w:tcPr>
          <w:p>
            <w:pPr>
              <w:jc w:val="right"/>
              <w:ind w:right="31"/>
              <w:spacing w:after="0" w:line="157" w:lineRule="exact"/>
              <w:rPr>
                <w:sz w:val="20"/>
                <w:szCs w:val="20"/>
                <w:color w:val="auto"/>
              </w:rPr>
            </w:pPr>
            <w:r>
              <w:rPr>
                <w:rFonts w:ascii="Arial" w:cs="Arial" w:eastAsia="Arial" w:hAnsi="Arial"/>
                <w:sz w:val="14"/>
                <w:szCs w:val="14"/>
                <w:color w:val="auto"/>
              </w:rPr>
              <w:t>November 15, 2014</w:t>
            </w:r>
          </w:p>
        </w:tc>
        <w:tc>
          <w:tcPr>
            <w:tcW w:w="900" w:type="dxa"/>
            <w:vAlign w:val="bottom"/>
            <w:tcBorders>
              <w:bottom w:val="single" w:sz="8" w:color="auto"/>
            </w:tcBorders>
          </w:tcPr>
          <w:p>
            <w:pPr>
              <w:jc w:val="right"/>
              <w:spacing w:after="0" w:line="157" w:lineRule="exact"/>
              <w:rPr>
                <w:sz w:val="20"/>
                <w:szCs w:val="20"/>
                <w:color w:val="auto"/>
              </w:rPr>
            </w:pPr>
            <w:r>
              <w:rPr>
                <w:rFonts w:ascii="Arial" w:cs="Arial" w:eastAsia="Arial" w:hAnsi="Arial"/>
                <w:sz w:val="14"/>
                <w:szCs w:val="14"/>
                <w:color w:val="auto"/>
              </w:rPr>
              <w:t>63,408,815</w:t>
            </w:r>
          </w:p>
        </w:tc>
        <w:tc>
          <w:tcPr>
            <w:tcW w:w="600" w:type="dxa"/>
            <w:vAlign w:val="bottom"/>
            <w:tcBorders>
              <w:bottom w:val="single" w:sz="8" w:color="auto"/>
            </w:tcBorders>
          </w:tcPr>
          <w:p>
            <w:pPr>
              <w:jc w:val="right"/>
              <w:ind w:right="31"/>
              <w:spacing w:after="0" w:line="157" w:lineRule="exact"/>
              <w:rPr>
                <w:sz w:val="20"/>
                <w:szCs w:val="20"/>
                <w:color w:val="auto"/>
              </w:rPr>
            </w:pPr>
            <w:r>
              <w:rPr>
                <w:rFonts w:ascii="Arial" w:cs="Arial" w:eastAsia="Arial" w:hAnsi="Arial"/>
                <w:sz w:val="14"/>
                <w:szCs w:val="14"/>
                <w:color w:val="auto"/>
              </w:rPr>
              <w:t>1.62</w:t>
            </w:r>
          </w:p>
        </w:tc>
        <w:tc>
          <w:tcPr>
            <w:tcW w:w="16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spacing w:after="0" w:line="157" w:lineRule="exact"/>
              <w:rPr>
                <w:sz w:val="20"/>
                <w:szCs w:val="20"/>
                <w:color w:val="auto"/>
              </w:rPr>
            </w:pPr>
            <w:r>
              <w:rPr>
                <w:rFonts w:ascii="Arial" w:cs="Arial" w:eastAsia="Arial" w:hAnsi="Arial"/>
                <w:sz w:val="14"/>
                <w:szCs w:val="14"/>
                <w:color w:val="auto"/>
              </w:rPr>
              <w:t>189,534,684</w:t>
            </w:r>
          </w:p>
        </w:tc>
        <w:tc>
          <w:tcPr>
            <w:tcW w:w="600" w:type="dxa"/>
            <w:vAlign w:val="bottom"/>
            <w:tcBorders>
              <w:bottom w:val="single" w:sz="8" w:color="auto"/>
            </w:tcBorders>
          </w:tcPr>
          <w:p>
            <w:pPr>
              <w:jc w:val="right"/>
              <w:ind w:right="31"/>
              <w:spacing w:after="0" w:line="157" w:lineRule="exact"/>
              <w:rPr>
                <w:sz w:val="20"/>
                <w:szCs w:val="20"/>
                <w:color w:val="auto"/>
              </w:rPr>
            </w:pPr>
            <w:r>
              <w:rPr>
                <w:rFonts w:ascii="Arial" w:cs="Arial" w:eastAsia="Arial" w:hAnsi="Arial"/>
                <w:sz w:val="14"/>
                <w:szCs w:val="14"/>
                <w:color w:val="auto"/>
              </w:rPr>
              <w:t>7.77</w:t>
            </w:r>
          </w:p>
        </w:tc>
        <w:tc>
          <w:tcPr>
            <w:tcW w:w="16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50"/>
              <w:spacing w:after="0" w:line="157" w:lineRule="exact"/>
              <w:rPr>
                <w:sz w:val="20"/>
                <w:szCs w:val="20"/>
                <w:color w:val="auto"/>
              </w:rPr>
            </w:pPr>
            <w:r>
              <w:rPr>
                <w:rFonts w:ascii="Arial" w:cs="Arial" w:eastAsia="Arial" w:hAnsi="Arial"/>
                <w:sz w:val="14"/>
                <w:szCs w:val="14"/>
                <w:color w:val="auto"/>
              </w:rPr>
              <w:t>252,943,499</w:t>
            </w:r>
          </w:p>
        </w:tc>
        <w:tc>
          <w:tcPr>
            <w:tcW w:w="520" w:type="dxa"/>
            <w:vAlign w:val="bottom"/>
            <w:tcBorders>
              <w:bottom w:val="single" w:sz="8" w:color="auto"/>
            </w:tcBorders>
          </w:tcPr>
          <w:p>
            <w:pPr>
              <w:jc w:val="right"/>
              <w:ind w:right="31"/>
              <w:spacing w:after="0" w:line="157" w:lineRule="exact"/>
              <w:rPr>
                <w:sz w:val="20"/>
                <w:szCs w:val="20"/>
                <w:color w:val="auto"/>
              </w:rPr>
            </w:pPr>
            <w:r>
              <w:rPr>
                <w:rFonts w:ascii="Arial" w:cs="Arial" w:eastAsia="Arial" w:hAnsi="Arial"/>
                <w:sz w:val="14"/>
                <w:szCs w:val="14"/>
                <w:color w:val="auto"/>
              </w:rPr>
              <w:t>3.98</w:t>
            </w:r>
          </w:p>
        </w:tc>
      </w:tr>
    </w:tbl>
    <w:p>
      <w:pPr>
        <w:spacing w:after="0" w:line="275" w:lineRule="exact"/>
        <w:rPr>
          <w:sz w:val="20"/>
          <w:szCs w:val="20"/>
          <w:color w:val="auto"/>
        </w:rPr>
      </w:pPr>
    </w:p>
    <w:p>
      <w:pPr>
        <w:spacing w:after="0"/>
        <w:rPr>
          <w:sz w:val="20"/>
          <w:szCs w:val="20"/>
          <w:color w:val="auto"/>
        </w:rPr>
      </w:pPr>
      <w:r>
        <w:rPr>
          <w:rFonts w:ascii="Arial" w:cs="Arial" w:eastAsia="Arial" w:hAnsi="Arial"/>
          <w:sz w:val="14"/>
          <w:szCs w:val="14"/>
          <w:color w:val="auto"/>
        </w:rPr>
        <w:t>The Company received the following notification pursuant to Disclosure and</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Transparency Rule 5 in the period from December 31, 2014, to February 17, 2015</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(being a date not more than one month prior to the date of the Company’s Notice of</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Annual General Meeting).</w:t>
      </w:r>
    </w:p>
    <w:p>
      <w:pPr>
        <w:spacing w:after="0" w:line="326" w:lineRule="exact"/>
        <w:rPr>
          <w:sz w:val="20"/>
          <w:szCs w:val="20"/>
          <w:color w:val="auto"/>
        </w:rPr>
      </w:pPr>
    </w:p>
    <w:p>
      <w:pPr>
        <w:ind w:left="80"/>
        <w:spacing w:after="0"/>
        <w:rPr>
          <w:sz w:val="20"/>
          <w:szCs w:val="20"/>
          <w:color w:val="auto"/>
        </w:rPr>
      </w:pPr>
      <w:r>
        <w:rPr>
          <w:rFonts w:ascii="Arial" w:cs="Arial" w:eastAsia="Arial" w:hAnsi="Arial"/>
          <w:sz w:val="15"/>
          <w:szCs w:val="15"/>
          <w:b w:val="1"/>
          <w:bCs w:val="1"/>
          <w:color w:val="FFFFFF"/>
        </w:rPr>
        <w:t>INVESTOR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-95250</wp:posOffset>
            </wp:positionV>
            <wp:extent cx="7246620" cy="102870"/>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50">
                      <a:extLst>
                        <a:ext uri="{28A0092B-C50C-407E-A947-70E740481C1C}"/>
                      </a:extLst>
                    </a:blip>
                    <a:srcRect/>
                    <a:stretch>
                      <a:fillRect/>
                    </a:stretch>
                  </pic:blipFill>
                  <pic:spPr bwMode="auto">
                    <a:xfrm>
                      <a:off x="0" y="0"/>
                      <a:ext cx="7246620" cy="10287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46"/>
        </w:trPr>
        <w:tc>
          <w:tcPr>
            <w:tcW w:w="3740" w:type="dxa"/>
            <w:vAlign w:val="bottom"/>
          </w:tcPr>
          <w:p>
            <w:pPr>
              <w:spacing w:after="0"/>
              <w:rPr>
                <w:sz w:val="12"/>
                <w:szCs w:val="12"/>
                <w:color w:val="auto"/>
              </w:rPr>
            </w:pPr>
          </w:p>
        </w:tc>
        <w:tc>
          <w:tcPr>
            <w:tcW w:w="2680" w:type="dxa"/>
            <w:vAlign w:val="bottom"/>
          </w:tcPr>
          <w:p>
            <w:pPr>
              <w:jc w:val="right"/>
              <w:ind w:right="34"/>
              <w:spacing w:after="0" w:line="146" w:lineRule="exact"/>
              <w:rPr>
                <w:sz w:val="20"/>
                <w:szCs w:val="20"/>
                <w:color w:val="auto"/>
              </w:rPr>
            </w:pPr>
            <w:r>
              <w:rPr>
                <w:rFonts w:ascii="Arial" w:cs="Arial" w:eastAsia="Arial" w:hAnsi="Arial"/>
                <w:sz w:val="13"/>
                <w:szCs w:val="13"/>
                <w:color w:val="auto"/>
              </w:rPr>
              <w:t>Date of</w:t>
            </w:r>
          </w:p>
        </w:tc>
        <w:tc>
          <w:tcPr>
            <w:tcW w:w="880" w:type="dxa"/>
            <w:vAlign w:val="bottom"/>
          </w:tcPr>
          <w:p>
            <w:pPr>
              <w:spacing w:after="0"/>
              <w:rPr>
                <w:sz w:val="12"/>
                <w:szCs w:val="12"/>
                <w:color w:val="auto"/>
              </w:rPr>
            </w:pPr>
          </w:p>
        </w:tc>
        <w:tc>
          <w:tcPr>
            <w:tcW w:w="760" w:type="dxa"/>
            <w:vAlign w:val="bottom"/>
            <w:gridSpan w:val="2"/>
          </w:tcPr>
          <w:p>
            <w:pPr>
              <w:spacing w:after="0" w:line="146" w:lineRule="exact"/>
              <w:rPr>
                <w:sz w:val="20"/>
                <w:szCs w:val="20"/>
                <w:color w:val="auto"/>
              </w:rPr>
            </w:pPr>
            <w:r>
              <w:rPr>
                <w:rFonts w:ascii="Arial" w:cs="Arial" w:eastAsia="Arial" w:hAnsi="Arial"/>
                <w:sz w:val="13"/>
                <w:szCs w:val="13"/>
                <w:color w:val="auto"/>
              </w:rPr>
              <w:t>A shares</w:t>
            </w:r>
          </w:p>
        </w:tc>
        <w:tc>
          <w:tcPr>
            <w:tcW w:w="980" w:type="dxa"/>
            <w:vAlign w:val="bottom"/>
          </w:tcPr>
          <w:p>
            <w:pPr>
              <w:spacing w:after="0"/>
              <w:rPr>
                <w:sz w:val="12"/>
                <w:szCs w:val="12"/>
                <w:color w:val="auto"/>
              </w:rPr>
            </w:pPr>
          </w:p>
        </w:tc>
        <w:tc>
          <w:tcPr>
            <w:tcW w:w="740" w:type="dxa"/>
            <w:vAlign w:val="bottom"/>
            <w:gridSpan w:val="2"/>
          </w:tcPr>
          <w:p>
            <w:pPr>
              <w:spacing w:after="0" w:line="146" w:lineRule="exact"/>
              <w:rPr>
                <w:sz w:val="20"/>
                <w:szCs w:val="20"/>
                <w:color w:val="auto"/>
              </w:rPr>
            </w:pPr>
            <w:r>
              <w:rPr>
                <w:rFonts w:ascii="Arial" w:cs="Arial" w:eastAsia="Arial" w:hAnsi="Arial"/>
                <w:sz w:val="13"/>
                <w:szCs w:val="13"/>
                <w:color w:val="auto"/>
              </w:rPr>
              <w:t>B shares</w:t>
            </w:r>
          </w:p>
        </w:tc>
        <w:tc>
          <w:tcPr>
            <w:tcW w:w="1120" w:type="dxa"/>
            <w:vAlign w:val="bottom"/>
          </w:tcPr>
          <w:p>
            <w:pPr>
              <w:spacing w:after="0"/>
              <w:rPr>
                <w:sz w:val="12"/>
                <w:szCs w:val="12"/>
                <w:color w:val="auto"/>
              </w:rPr>
            </w:pPr>
          </w:p>
        </w:tc>
        <w:tc>
          <w:tcPr>
            <w:tcW w:w="520" w:type="dxa"/>
            <w:vAlign w:val="bottom"/>
          </w:tcPr>
          <w:p>
            <w:pPr>
              <w:jc w:val="right"/>
              <w:ind w:right="34"/>
              <w:spacing w:after="0" w:line="146" w:lineRule="exact"/>
              <w:rPr>
                <w:sz w:val="20"/>
                <w:szCs w:val="20"/>
                <w:color w:val="auto"/>
              </w:rPr>
            </w:pPr>
            <w:r>
              <w:rPr>
                <w:rFonts w:ascii="Arial" w:cs="Arial" w:eastAsia="Arial" w:hAnsi="Arial"/>
                <w:sz w:val="13"/>
                <w:szCs w:val="13"/>
                <w:color w:val="auto"/>
              </w:rPr>
              <w:t>Total</w:t>
            </w:r>
          </w:p>
        </w:tc>
      </w:tr>
      <w:tr>
        <w:trPr>
          <w:trHeight w:val="129"/>
        </w:trPr>
        <w:tc>
          <w:tcPr>
            <w:tcW w:w="3740" w:type="dxa"/>
            <w:vAlign w:val="bottom"/>
            <w:tcBorders>
              <w:bottom w:val="single" w:sz="8" w:color="auto"/>
            </w:tcBorders>
          </w:tcPr>
          <w:p>
            <w:pPr>
              <w:spacing w:after="0"/>
              <w:rPr>
                <w:sz w:val="11"/>
                <w:szCs w:val="11"/>
                <w:color w:val="auto"/>
              </w:rPr>
            </w:pPr>
          </w:p>
        </w:tc>
        <w:tc>
          <w:tcPr>
            <w:tcW w:w="2680" w:type="dxa"/>
            <w:vAlign w:val="bottom"/>
            <w:tcBorders>
              <w:bottom w:val="single" w:sz="8" w:color="auto"/>
            </w:tcBorders>
          </w:tcPr>
          <w:p>
            <w:pPr>
              <w:jc w:val="right"/>
              <w:ind w:right="34"/>
              <w:spacing w:after="0" w:line="129" w:lineRule="exact"/>
              <w:rPr>
                <w:sz w:val="20"/>
                <w:szCs w:val="20"/>
                <w:color w:val="auto"/>
              </w:rPr>
            </w:pPr>
            <w:r>
              <w:rPr>
                <w:rFonts w:ascii="Arial" w:cs="Arial" w:eastAsia="Arial" w:hAnsi="Arial"/>
                <w:sz w:val="13"/>
                <w:szCs w:val="13"/>
                <w:color w:val="auto"/>
              </w:rPr>
              <w:t>notification</w:t>
            </w:r>
          </w:p>
        </w:tc>
        <w:tc>
          <w:tcPr>
            <w:tcW w:w="88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Number</w:t>
            </w:r>
          </w:p>
        </w:tc>
        <w:tc>
          <w:tcPr>
            <w:tcW w:w="600" w:type="dxa"/>
            <w:vAlign w:val="bottom"/>
            <w:tcBorders>
              <w:top w:val="single" w:sz="8" w:color="auto"/>
              <w:bottom w:val="single" w:sz="8" w:color="auto"/>
            </w:tcBorders>
          </w:tcPr>
          <w:p>
            <w:pPr>
              <w:jc w:val="right"/>
              <w:ind w:right="34"/>
              <w:spacing w:after="0" w:line="129" w:lineRule="exact"/>
              <w:rPr>
                <w:sz w:val="20"/>
                <w:szCs w:val="20"/>
                <w:color w:val="auto"/>
              </w:rPr>
            </w:pPr>
            <w:r>
              <w:rPr>
                <w:rFonts w:ascii="Arial" w:cs="Arial" w:eastAsia="Arial" w:hAnsi="Arial"/>
                <w:sz w:val="13"/>
                <w:szCs w:val="13"/>
                <w:color w:val="auto"/>
              </w:rPr>
              <w:t>%</w:t>
            </w:r>
          </w:p>
        </w:tc>
        <w:tc>
          <w:tcPr>
            <w:tcW w:w="160" w:type="dxa"/>
            <w:vAlign w:val="bottom"/>
            <w:tcBorders>
              <w:bottom w:val="single" w:sz="8" w:color="auto"/>
            </w:tcBorders>
          </w:tcPr>
          <w:p>
            <w:pPr>
              <w:spacing w:after="0"/>
              <w:rPr>
                <w:sz w:val="11"/>
                <w:szCs w:val="11"/>
                <w:color w:val="auto"/>
              </w:rPr>
            </w:pPr>
          </w:p>
        </w:tc>
        <w:tc>
          <w:tcPr>
            <w:tcW w:w="98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Number</w:t>
            </w:r>
          </w:p>
        </w:tc>
        <w:tc>
          <w:tcPr>
            <w:tcW w:w="600" w:type="dxa"/>
            <w:vAlign w:val="bottom"/>
            <w:tcBorders>
              <w:top w:val="single" w:sz="8" w:color="auto"/>
              <w:bottom w:val="single" w:sz="8" w:color="auto"/>
            </w:tcBorders>
          </w:tcPr>
          <w:p>
            <w:pPr>
              <w:jc w:val="right"/>
              <w:ind w:right="54"/>
              <w:spacing w:after="0" w:line="129" w:lineRule="exact"/>
              <w:rPr>
                <w:sz w:val="20"/>
                <w:szCs w:val="20"/>
                <w:color w:val="auto"/>
              </w:rPr>
            </w:pPr>
            <w:r>
              <w:rPr>
                <w:rFonts w:ascii="Arial" w:cs="Arial" w:eastAsia="Arial" w:hAnsi="Arial"/>
                <w:sz w:val="13"/>
                <w:szCs w:val="13"/>
                <w:color w:val="auto"/>
              </w:rPr>
              <w:t>%</w:t>
            </w:r>
          </w:p>
        </w:tc>
        <w:tc>
          <w:tcPr>
            <w:tcW w:w="140" w:type="dxa"/>
            <w:vAlign w:val="bottom"/>
            <w:tcBorders>
              <w:bottom w:val="single" w:sz="8" w:color="auto"/>
            </w:tcBorders>
          </w:tcPr>
          <w:p>
            <w:pPr>
              <w:spacing w:after="0"/>
              <w:rPr>
                <w:sz w:val="11"/>
                <w:szCs w:val="11"/>
                <w:color w:val="auto"/>
              </w:rPr>
            </w:pPr>
          </w:p>
        </w:tc>
        <w:tc>
          <w:tcPr>
            <w:tcW w:w="1120" w:type="dxa"/>
            <w:vAlign w:val="bottom"/>
            <w:tcBorders>
              <w:top w:val="single" w:sz="8" w:color="auto"/>
              <w:bottom w:val="single" w:sz="8" w:color="auto"/>
            </w:tcBorders>
          </w:tcPr>
          <w:p>
            <w:pPr>
              <w:jc w:val="right"/>
              <w:ind w:right="53"/>
              <w:spacing w:after="0" w:line="129" w:lineRule="exact"/>
              <w:rPr>
                <w:sz w:val="20"/>
                <w:szCs w:val="20"/>
                <w:color w:val="auto"/>
              </w:rPr>
            </w:pPr>
            <w:r>
              <w:rPr>
                <w:rFonts w:ascii="Arial" w:cs="Arial" w:eastAsia="Arial" w:hAnsi="Arial"/>
                <w:sz w:val="13"/>
                <w:szCs w:val="13"/>
                <w:color w:val="auto"/>
              </w:rPr>
              <w:t>Number</w:t>
            </w:r>
          </w:p>
        </w:tc>
        <w:tc>
          <w:tcPr>
            <w:tcW w:w="520" w:type="dxa"/>
            <w:vAlign w:val="bottom"/>
            <w:tcBorders>
              <w:top w:val="single" w:sz="8" w:color="auto"/>
              <w:bottom w:val="single" w:sz="8" w:color="auto"/>
            </w:tcBorders>
          </w:tcPr>
          <w:p>
            <w:pPr>
              <w:jc w:val="right"/>
              <w:ind w:right="34"/>
              <w:spacing w:after="0" w:line="129" w:lineRule="exact"/>
              <w:rPr>
                <w:sz w:val="20"/>
                <w:szCs w:val="20"/>
                <w:color w:val="auto"/>
              </w:rPr>
            </w:pPr>
            <w:r>
              <w:rPr>
                <w:rFonts w:ascii="Arial" w:cs="Arial" w:eastAsia="Arial" w:hAnsi="Arial"/>
                <w:sz w:val="13"/>
                <w:szCs w:val="13"/>
                <w:color w:val="auto"/>
              </w:rPr>
              <w:t>%</w:t>
            </w:r>
          </w:p>
        </w:tc>
      </w:tr>
      <w:tr>
        <w:trPr>
          <w:trHeight w:val="156"/>
        </w:trPr>
        <w:tc>
          <w:tcPr>
            <w:tcW w:w="3740" w:type="dxa"/>
            <w:vAlign w:val="bottom"/>
            <w:tcBorders>
              <w:bottom w:val="single" w:sz="8" w:color="auto"/>
            </w:tcBorders>
          </w:tcPr>
          <w:p>
            <w:pPr>
              <w:spacing w:after="0" w:line="155" w:lineRule="exact"/>
              <w:rPr>
                <w:sz w:val="20"/>
                <w:szCs w:val="20"/>
                <w:color w:val="auto"/>
              </w:rPr>
            </w:pPr>
            <w:r>
              <w:rPr>
                <w:rFonts w:ascii="Arial" w:cs="Arial" w:eastAsia="Arial" w:hAnsi="Arial"/>
                <w:sz w:val="14"/>
                <w:szCs w:val="14"/>
                <w:color w:val="auto"/>
              </w:rPr>
              <w:t>The Capital Group Companies, Inc.</w:t>
            </w:r>
          </w:p>
        </w:tc>
        <w:tc>
          <w:tcPr>
            <w:tcW w:w="2680" w:type="dxa"/>
            <w:vAlign w:val="bottom"/>
            <w:tcBorders>
              <w:bottom w:val="single" w:sz="8" w:color="auto"/>
            </w:tcBorders>
          </w:tcPr>
          <w:p>
            <w:pPr>
              <w:jc w:val="right"/>
              <w:ind w:right="34"/>
              <w:spacing w:after="0" w:line="155" w:lineRule="exact"/>
              <w:rPr>
                <w:sz w:val="20"/>
                <w:szCs w:val="20"/>
                <w:color w:val="auto"/>
              </w:rPr>
            </w:pPr>
            <w:r>
              <w:rPr>
                <w:rFonts w:ascii="Arial" w:cs="Arial" w:eastAsia="Arial" w:hAnsi="Arial"/>
                <w:sz w:val="14"/>
                <w:szCs w:val="14"/>
                <w:color w:val="auto"/>
              </w:rPr>
              <w:t>January 13, 2015</w:t>
            </w:r>
          </w:p>
        </w:tc>
        <w:tc>
          <w:tcPr>
            <w:tcW w:w="8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66,253,448</w:t>
            </w:r>
          </w:p>
        </w:tc>
        <w:tc>
          <w:tcPr>
            <w:tcW w:w="600" w:type="dxa"/>
            <w:vAlign w:val="bottom"/>
            <w:tcBorders>
              <w:bottom w:val="single" w:sz="8" w:color="auto"/>
            </w:tcBorders>
          </w:tcPr>
          <w:p>
            <w:pPr>
              <w:jc w:val="right"/>
              <w:ind w:right="34"/>
              <w:spacing w:after="0" w:line="155" w:lineRule="exact"/>
              <w:rPr>
                <w:sz w:val="20"/>
                <w:szCs w:val="20"/>
                <w:color w:val="auto"/>
              </w:rPr>
            </w:pPr>
            <w:r>
              <w:rPr>
                <w:rFonts w:ascii="Arial" w:cs="Arial" w:eastAsia="Arial" w:hAnsi="Arial"/>
                <w:sz w:val="14"/>
                <w:szCs w:val="14"/>
                <w:color w:val="auto"/>
              </w:rPr>
              <w:t>1.70</w:t>
            </w:r>
          </w:p>
        </w:tc>
        <w:tc>
          <w:tcPr>
            <w:tcW w:w="16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187,698,386</w:t>
            </w:r>
          </w:p>
        </w:tc>
        <w:tc>
          <w:tcPr>
            <w:tcW w:w="600" w:type="dxa"/>
            <w:vAlign w:val="bottom"/>
            <w:tcBorders>
              <w:bottom w:val="single" w:sz="8" w:color="auto"/>
            </w:tcBorders>
          </w:tcPr>
          <w:p>
            <w:pPr>
              <w:jc w:val="right"/>
              <w:ind w:right="54"/>
              <w:spacing w:after="0" w:line="155" w:lineRule="exact"/>
              <w:rPr>
                <w:sz w:val="20"/>
                <w:szCs w:val="20"/>
                <w:color w:val="auto"/>
              </w:rPr>
            </w:pPr>
            <w:r>
              <w:rPr>
                <w:rFonts w:ascii="Arial" w:cs="Arial" w:eastAsia="Arial" w:hAnsi="Arial"/>
                <w:sz w:val="14"/>
                <w:szCs w:val="14"/>
                <w:color w:val="auto"/>
              </w:rPr>
              <w:t>7.69</w:t>
            </w:r>
          </w:p>
        </w:tc>
        <w:tc>
          <w:tcPr>
            <w:tcW w:w="14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53"/>
              <w:spacing w:after="0" w:line="155" w:lineRule="exact"/>
              <w:rPr>
                <w:sz w:val="20"/>
                <w:szCs w:val="20"/>
                <w:color w:val="auto"/>
              </w:rPr>
            </w:pPr>
            <w:r>
              <w:rPr>
                <w:rFonts w:ascii="Arial" w:cs="Arial" w:eastAsia="Arial" w:hAnsi="Arial"/>
                <w:sz w:val="14"/>
                <w:szCs w:val="14"/>
                <w:color w:val="auto"/>
              </w:rPr>
              <w:t>253,951,834</w:t>
            </w:r>
          </w:p>
        </w:tc>
        <w:tc>
          <w:tcPr>
            <w:tcW w:w="520" w:type="dxa"/>
            <w:vAlign w:val="bottom"/>
            <w:tcBorders>
              <w:bottom w:val="single" w:sz="8" w:color="auto"/>
            </w:tcBorders>
          </w:tcPr>
          <w:p>
            <w:pPr>
              <w:jc w:val="right"/>
              <w:ind w:right="34"/>
              <w:spacing w:after="0" w:line="155" w:lineRule="exact"/>
              <w:rPr>
                <w:sz w:val="20"/>
                <w:szCs w:val="20"/>
                <w:color w:val="auto"/>
              </w:rPr>
            </w:pPr>
            <w:r>
              <w:rPr>
                <w:rFonts w:ascii="Arial" w:cs="Arial" w:eastAsia="Arial" w:hAnsi="Arial"/>
                <w:sz w:val="14"/>
                <w:szCs w:val="14"/>
                <w:color w:val="auto"/>
              </w:rPr>
              <w:t>4.00</w:t>
            </w:r>
          </w:p>
        </w:tc>
      </w:tr>
    </w:tbl>
    <w:p>
      <w:pPr>
        <w:sectPr>
          <w:pgSz w:w="11900" w:h="16838" w:orient="portrait"/>
          <w:cols w:equalWidth="0" w:num="1">
            <w:col w:w="11420"/>
          </w:cols>
          <w:pgMar w:left="240" w:top="460" w:right="239" w:bottom="1440" w:gutter="0" w:footer="0" w:header="0"/>
        </w:sectPr>
      </w:pPr>
    </w:p>
    <w:bookmarkStart w:id="182" w:name="page183"/>
    <w:bookmarkEnd w:id="1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5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3555365</wp:posOffset>
            </wp:positionH>
            <wp:positionV relativeFrom="paragraph">
              <wp:posOffset>300355</wp:posOffset>
            </wp:positionV>
            <wp:extent cx="3696335" cy="462915"/>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52">
                      <a:extLst>
                        <a:ext uri="{28A0092B-C50C-407E-A947-70E740481C1C}"/>
                      </a:extLst>
                    </a:blip>
                    <a:srcRect/>
                    <a:stretch>
                      <a:fillRect/>
                    </a:stretch>
                  </pic:blipFill>
                  <pic:spPr bwMode="auto">
                    <a:xfrm>
                      <a:off x="0" y="0"/>
                      <a:ext cx="3696335" cy="462915"/>
                    </a:xfrm>
                    <a:prstGeom prst="rect">
                      <a:avLst/>
                    </a:prstGeom>
                    <a:noFill/>
                  </pic:spPr>
                </pic:pic>
              </a:graphicData>
            </a:graphic>
          </wp:anchor>
        </w:drawing>
      </w:r>
    </w:p>
    <w:p>
      <w:pPr>
        <w:spacing w:after="0" w:line="200" w:lineRule="exact"/>
        <w:rPr>
          <w:sz w:val="20"/>
          <w:szCs w:val="20"/>
          <w:color w:val="auto"/>
        </w:rPr>
      </w:pPr>
    </w:p>
    <w:p>
      <w:pPr>
        <w:spacing w:after="0" w:line="253" w:lineRule="exact"/>
        <w:rPr>
          <w:sz w:val="20"/>
          <w:szCs w:val="20"/>
          <w:color w:val="auto"/>
        </w:rPr>
      </w:pPr>
    </w:p>
    <w:tbl>
      <w:tblPr>
        <w:tblLayout w:type="fixed"/>
        <w:tblInd w:w="5600" w:type="dxa"/>
        <w:tblCellMar>
          <w:top w:w="0" w:type="dxa"/>
          <w:left w:w="0" w:type="dxa"/>
          <w:bottom w:w="0" w:type="dxa"/>
          <w:right w:w="0" w:type="dxa"/>
        </w:tblCellMar>
      </w:tblPr>
      <w:tr>
        <w:trPr>
          <w:trHeight w:val="419"/>
        </w:trPr>
        <w:tc>
          <w:tcPr>
            <w:tcW w:w="3880" w:type="dxa"/>
            <w:vAlign w:val="bottom"/>
            <w:shd w:val="clear" w:color="auto" w:fill="FF8B00"/>
          </w:tcPr>
          <w:p>
            <w:pPr>
              <w:spacing w:after="0"/>
              <w:rPr>
                <w:sz w:val="24"/>
                <w:szCs w:val="24"/>
                <w:color w:val="auto"/>
              </w:rPr>
            </w:pPr>
          </w:p>
        </w:tc>
        <w:tc>
          <w:tcPr>
            <w:tcW w:w="1940" w:type="dxa"/>
            <w:vAlign w:val="bottom"/>
            <w:shd w:val="clear" w:color="auto" w:fill="FF8B00"/>
          </w:tcPr>
          <w:p>
            <w:pPr>
              <w:spacing w:after="0"/>
              <w:rPr>
                <w:sz w:val="24"/>
                <w:szCs w:val="24"/>
                <w:color w:val="auto"/>
              </w:rPr>
            </w:pPr>
          </w:p>
        </w:tc>
      </w:tr>
      <w:tr>
        <w:trPr>
          <w:trHeight w:val="152"/>
        </w:trPr>
        <w:tc>
          <w:tcPr>
            <w:tcW w:w="3880" w:type="dxa"/>
            <w:vAlign w:val="bottom"/>
          </w:tcPr>
          <w:p>
            <w:pPr>
              <w:ind w:left="880"/>
              <w:spacing w:after="0"/>
              <w:rPr>
                <w:sz w:val="20"/>
                <w:szCs w:val="20"/>
                <w:color w:val="auto"/>
              </w:rPr>
            </w:pPr>
            <w:r>
              <w:rPr>
                <w:rFonts w:ascii="Arial" w:cs="Arial" w:eastAsia="Arial" w:hAnsi="Arial"/>
                <w:sz w:val="13"/>
                <w:szCs w:val="13"/>
                <w:color w:val="333333"/>
              </w:rPr>
              <w:t>ADDITIONAL INFORMATION</w:t>
            </w:r>
          </w:p>
        </w:tc>
        <w:tc>
          <w:tcPr>
            <w:tcW w:w="1940" w:type="dxa"/>
            <w:vAlign w:val="bottom"/>
          </w:tcPr>
          <w:p>
            <w:pPr>
              <w:jc w:val="right"/>
              <w:ind w:right="366"/>
              <w:spacing w:after="0"/>
              <w:rPr>
                <w:sz w:val="20"/>
                <w:szCs w:val="20"/>
                <w:color w:val="auto"/>
              </w:rPr>
            </w:pPr>
            <w:r>
              <w:rPr>
                <w:rFonts w:ascii="Arial" w:cs="Arial" w:eastAsia="Arial" w:hAnsi="Arial"/>
                <w:sz w:val="11"/>
                <w:szCs w:val="11"/>
                <w:b w:val="1"/>
                <w:bCs w:val="1"/>
                <w:color w:val="333333"/>
              </w:rPr>
              <w:t>181</w:t>
            </w:r>
          </w:p>
        </w:tc>
      </w:tr>
    </w:tbl>
    <w:p>
      <w:pPr>
        <w:spacing w:after="0" w:line="155" w:lineRule="exact"/>
        <w:rPr>
          <w:sz w:val="20"/>
          <w:szCs w:val="20"/>
          <w:color w:val="auto"/>
        </w:rPr>
      </w:pPr>
    </w:p>
    <w:p>
      <w:pPr>
        <w:spacing w:after="0"/>
        <w:tabs>
          <w:tab w:leader="none" w:pos="6460" w:val="left"/>
        </w:tabs>
        <w:rPr>
          <w:sz w:val="20"/>
          <w:szCs w:val="20"/>
          <w:color w:val="auto"/>
        </w:rPr>
      </w:pPr>
      <w:r>
        <w:rPr>
          <w:rFonts w:ascii="Arial" w:cs="Arial" w:eastAsia="Arial" w:hAnsi="Arial"/>
          <w:sz w:val="11"/>
          <w:szCs w:val="11"/>
          <w:color w:val="auto"/>
        </w:rPr>
        <w:t>SHELL ANNUAL REPORT AND FORM 20-F 2014</w:t>
      </w:r>
      <w:r>
        <w:rPr>
          <w:sz w:val="20"/>
          <w:szCs w:val="20"/>
          <w:color w:val="auto"/>
        </w:rPr>
        <w:tab/>
      </w:r>
      <w:r>
        <w:rPr>
          <w:rFonts w:ascii="Arial" w:cs="Arial" w:eastAsia="Arial" w:hAnsi="Arial"/>
          <w:sz w:val="10"/>
          <w:szCs w:val="10"/>
          <w:color w:val="auto"/>
        </w:rPr>
        <w:t>SHAREHOLDER INFORMATION</w:t>
      </w:r>
    </w:p>
    <w:p>
      <w:pPr>
        <w:spacing w:after="0" w:line="51" w:lineRule="exact"/>
        <w:rPr>
          <w:sz w:val="20"/>
          <w:szCs w:val="20"/>
          <w:color w:val="auto"/>
        </w:rPr>
      </w:pPr>
    </w:p>
    <w:p>
      <w:pPr>
        <w:spacing w:after="0"/>
        <w:rPr>
          <w:sz w:val="20"/>
          <w:szCs w:val="20"/>
          <w:color w:val="auto"/>
        </w:rPr>
      </w:pPr>
      <w:r>
        <w:rPr>
          <w:rFonts w:ascii="Arial" w:cs="Arial" w:eastAsia="Arial" w:hAnsi="Arial"/>
          <w:sz w:val="18"/>
          <w:szCs w:val="18"/>
          <w:color w:val="auto"/>
        </w:rPr>
        <w:t>DIVIDENDS</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The following tables show the dividends on each class of share and each class of</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ADS for the years 2010-2014.</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1800" w:type="dxa"/>
            <w:vAlign w:val="bottom"/>
            <w:shd w:val="clear" w:color="auto" w:fill="333333"/>
          </w:tcPr>
          <w:p>
            <w:pPr>
              <w:ind w:left="80"/>
              <w:spacing w:after="0"/>
              <w:rPr>
                <w:sz w:val="20"/>
                <w:szCs w:val="20"/>
                <w:color w:val="auto"/>
              </w:rPr>
            </w:pPr>
            <w:r>
              <w:rPr>
                <w:rFonts w:ascii="Arial" w:cs="Arial" w:eastAsia="Arial" w:hAnsi="Arial"/>
                <w:sz w:val="15"/>
                <w:szCs w:val="15"/>
                <w:b w:val="1"/>
                <w:bCs w:val="1"/>
                <w:color w:val="FFFFFF"/>
              </w:rPr>
              <w:t>A AND B SHARES</w:t>
            </w:r>
          </w:p>
        </w:tc>
        <w:tc>
          <w:tcPr>
            <w:tcW w:w="660" w:type="dxa"/>
            <w:vAlign w:val="bottom"/>
            <w:shd w:val="clear" w:color="auto" w:fill="333333"/>
          </w:tcPr>
          <w:p>
            <w:pPr>
              <w:spacing w:after="0"/>
              <w:rPr>
                <w:sz w:val="14"/>
                <w:szCs w:val="14"/>
                <w:color w:val="auto"/>
              </w:rPr>
            </w:pPr>
          </w:p>
        </w:tc>
        <w:tc>
          <w:tcPr>
            <w:tcW w:w="800" w:type="dxa"/>
            <w:vAlign w:val="bottom"/>
            <w:shd w:val="clear" w:color="auto" w:fill="333333"/>
          </w:tcPr>
          <w:p>
            <w:pPr>
              <w:spacing w:after="0"/>
              <w:rPr>
                <w:sz w:val="14"/>
                <w:szCs w:val="14"/>
                <w:color w:val="auto"/>
              </w:rPr>
            </w:pPr>
          </w:p>
        </w:tc>
        <w:tc>
          <w:tcPr>
            <w:tcW w:w="760" w:type="dxa"/>
            <w:vAlign w:val="bottom"/>
            <w:shd w:val="clear" w:color="auto" w:fill="333333"/>
          </w:tcPr>
          <w:p>
            <w:pPr>
              <w:spacing w:after="0"/>
              <w:rPr>
                <w:sz w:val="14"/>
                <w:szCs w:val="14"/>
                <w:color w:val="auto"/>
              </w:rPr>
            </w:pPr>
          </w:p>
        </w:tc>
        <w:tc>
          <w:tcPr>
            <w:tcW w:w="820" w:type="dxa"/>
            <w:vAlign w:val="bottom"/>
            <w:shd w:val="clear" w:color="auto" w:fill="333333"/>
          </w:tcPr>
          <w:p>
            <w:pPr>
              <w:spacing w:after="0"/>
              <w:rPr>
                <w:sz w:val="14"/>
                <w:szCs w:val="14"/>
                <w:color w:val="auto"/>
              </w:rPr>
            </w:pPr>
          </w:p>
        </w:tc>
        <w:tc>
          <w:tcPr>
            <w:tcW w:w="640" w:type="dxa"/>
            <w:vAlign w:val="bottom"/>
            <w:shd w:val="clear" w:color="auto" w:fill="333333"/>
          </w:tcPr>
          <w:p>
            <w:pPr>
              <w:jc w:val="right"/>
              <w:ind w:right="49"/>
              <w:spacing w:after="0"/>
              <w:rPr>
                <w:sz w:val="20"/>
                <w:szCs w:val="20"/>
                <w:color w:val="auto"/>
              </w:rPr>
            </w:pPr>
            <w:r>
              <w:rPr>
                <w:rFonts w:ascii="Arial" w:cs="Arial" w:eastAsia="Arial" w:hAnsi="Arial"/>
                <w:sz w:val="15"/>
                <w:szCs w:val="15"/>
                <w:color w:val="FFFFFF"/>
              </w:rPr>
              <w:t>$</w:t>
            </w:r>
          </w:p>
        </w:tc>
      </w:tr>
      <w:tr>
        <w:trPr>
          <w:trHeight w:val="149"/>
        </w:trPr>
        <w:tc>
          <w:tcPr>
            <w:tcW w:w="180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shd w:val="clear" w:color="auto" w:fill="D8D8D8"/>
          </w:tcPr>
          <w:p>
            <w:pPr>
              <w:jc w:val="right"/>
              <w:ind w:right="10"/>
              <w:spacing w:after="0"/>
              <w:rPr>
                <w:sz w:val="20"/>
                <w:szCs w:val="20"/>
                <w:color w:val="auto"/>
              </w:rPr>
            </w:pPr>
            <w:r>
              <w:rPr>
                <w:rFonts w:ascii="Arial" w:cs="Arial" w:eastAsia="Arial" w:hAnsi="Arial"/>
                <w:sz w:val="13"/>
                <w:szCs w:val="13"/>
                <w:color w:val="auto"/>
              </w:rPr>
              <w:t>2014</w:t>
            </w:r>
          </w:p>
        </w:tc>
        <w:tc>
          <w:tcPr>
            <w:tcW w:w="800" w:type="dxa"/>
            <w:vAlign w:val="bottom"/>
            <w:tcBorders>
              <w:bottom w:val="single" w:sz="8" w:color="auto"/>
            </w:tcBorders>
          </w:tcPr>
          <w:p>
            <w:pPr>
              <w:jc w:val="right"/>
              <w:ind w:right="150"/>
              <w:spacing w:after="0"/>
              <w:rPr>
                <w:sz w:val="20"/>
                <w:szCs w:val="20"/>
                <w:color w:val="auto"/>
              </w:rPr>
            </w:pPr>
            <w:r>
              <w:rPr>
                <w:rFonts w:ascii="Arial" w:cs="Arial" w:eastAsia="Arial" w:hAnsi="Arial"/>
                <w:sz w:val="13"/>
                <w:szCs w:val="13"/>
                <w:color w:val="auto"/>
              </w:rPr>
              <w:t>2013</w:t>
            </w:r>
          </w:p>
        </w:tc>
        <w:tc>
          <w:tcPr>
            <w:tcW w:w="760" w:type="dxa"/>
            <w:vAlign w:val="bottom"/>
            <w:tcBorders>
              <w:bottom w:val="single" w:sz="8" w:color="auto"/>
            </w:tcBorders>
          </w:tcPr>
          <w:p>
            <w:pPr>
              <w:jc w:val="right"/>
              <w:ind w:right="210"/>
              <w:spacing w:after="0"/>
              <w:rPr>
                <w:sz w:val="20"/>
                <w:szCs w:val="20"/>
                <w:color w:val="auto"/>
              </w:rPr>
            </w:pPr>
            <w:r>
              <w:rPr>
                <w:rFonts w:ascii="Arial" w:cs="Arial" w:eastAsia="Arial" w:hAnsi="Arial"/>
                <w:sz w:val="13"/>
                <w:szCs w:val="13"/>
                <w:color w:val="auto"/>
              </w:rPr>
              <w:t>2012</w:t>
            </w:r>
          </w:p>
        </w:tc>
        <w:tc>
          <w:tcPr>
            <w:tcW w:w="820" w:type="dxa"/>
            <w:vAlign w:val="bottom"/>
            <w:tcBorders>
              <w:bottom w:val="single" w:sz="8" w:color="auto"/>
            </w:tcBorders>
          </w:tcPr>
          <w:p>
            <w:pPr>
              <w:jc w:val="right"/>
              <w:ind w:right="190"/>
              <w:spacing w:after="0"/>
              <w:rPr>
                <w:sz w:val="20"/>
                <w:szCs w:val="20"/>
                <w:color w:val="auto"/>
              </w:rPr>
            </w:pPr>
            <w:r>
              <w:rPr>
                <w:rFonts w:ascii="Arial" w:cs="Arial" w:eastAsia="Arial" w:hAnsi="Arial"/>
                <w:sz w:val="13"/>
                <w:szCs w:val="13"/>
                <w:color w:val="auto"/>
              </w:rPr>
              <w:t>2011</w:t>
            </w:r>
          </w:p>
        </w:tc>
        <w:tc>
          <w:tcPr>
            <w:tcW w:w="640" w:type="dxa"/>
            <w:vAlign w:val="bottom"/>
            <w:tcBorders>
              <w:bottom w:val="single" w:sz="8" w:color="auto"/>
            </w:tcBorders>
          </w:tcPr>
          <w:p>
            <w:pPr>
              <w:jc w:val="right"/>
              <w:ind w:right="49"/>
              <w:spacing w:after="0"/>
              <w:rPr>
                <w:sz w:val="20"/>
                <w:szCs w:val="20"/>
                <w:color w:val="auto"/>
              </w:rPr>
            </w:pPr>
            <w:r>
              <w:rPr>
                <w:rFonts w:ascii="Arial" w:cs="Arial" w:eastAsia="Arial" w:hAnsi="Arial"/>
                <w:sz w:val="13"/>
                <w:szCs w:val="13"/>
                <w:color w:val="auto"/>
              </w:rPr>
              <w:t>2010</w:t>
            </w:r>
          </w:p>
        </w:tc>
      </w:tr>
      <w:tr>
        <w:trPr>
          <w:trHeight w:val="156"/>
        </w:trPr>
        <w:tc>
          <w:tcPr>
            <w:tcW w:w="1800" w:type="dxa"/>
            <w:vAlign w:val="bottom"/>
          </w:tcPr>
          <w:p>
            <w:pPr>
              <w:spacing w:after="0" w:line="155" w:lineRule="exact"/>
              <w:rPr>
                <w:sz w:val="20"/>
                <w:szCs w:val="20"/>
                <w:color w:val="auto"/>
              </w:rPr>
            </w:pPr>
            <w:r>
              <w:rPr>
                <w:rFonts w:ascii="Arial" w:cs="Arial" w:eastAsia="Arial" w:hAnsi="Arial"/>
                <w:sz w:val="14"/>
                <w:szCs w:val="14"/>
                <w:color w:val="auto"/>
              </w:rPr>
              <w:t>Q1</w:t>
            </w:r>
          </w:p>
        </w:tc>
        <w:tc>
          <w:tcPr>
            <w:tcW w:w="660" w:type="dxa"/>
            <w:vAlign w:val="bottom"/>
            <w:shd w:val="clear" w:color="auto" w:fill="D8D8D8"/>
          </w:tcPr>
          <w:p>
            <w:pPr>
              <w:jc w:val="right"/>
              <w:ind w:right="10"/>
              <w:spacing w:after="0" w:line="155" w:lineRule="exact"/>
              <w:rPr>
                <w:sz w:val="20"/>
                <w:szCs w:val="20"/>
                <w:color w:val="auto"/>
              </w:rPr>
            </w:pPr>
            <w:r>
              <w:rPr>
                <w:rFonts w:ascii="Arial" w:cs="Arial" w:eastAsia="Arial" w:hAnsi="Arial"/>
                <w:sz w:val="14"/>
                <w:szCs w:val="14"/>
                <w:color w:val="auto"/>
                <w:highlight w:val="lightGray"/>
              </w:rPr>
              <w:t>0.47</w:t>
            </w:r>
          </w:p>
        </w:tc>
        <w:tc>
          <w:tcPr>
            <w:tcW w:w="800" w:type="dxa"/>
            <w:vAlign w:val="bottom"/>
          </w:tcPr>
          <w:p>
            <w:pPr>
              <w:jc w:val="right"/>
              <w:ind w:right="150"/>
              <w:spacing w:after="0" w:line="155" w:lineRule="exact"/>
              <w:rPr>
                <w:sz w:val="20"/>
                <w:szCs w:val="20"/>
                <w:color w:val="auto"/>
              </w:rPr>
            </w:pPr>
            <w:r>
              <w:rPr>
                <w:rFonts w:ascii="Arial" w:cs="Arial" w:eastAsia="Arial" w:hAnsi="Arial"/>
                <w:sz w:val="14"/>
                <w:szCs w:val="14"/>
                <w:color w:val="auto"/>
              </w:rPr>
              <w:t>0.45</w:t>
            </w:r>
          </w:p>
        </w:tc>
        <w:tc>
          <w:tcPr>
            <w:tcW w:w="760" w:type="dxa"/>
            <w:vAlign w:val="bottom"/>
          </w:tcPr>
          <w:p>
            <w:pPr>
              <w:jc w:val="right"/>
              <w:ind w:right="210"/>
              <w:spacing w:after="0" w:line="155" w:lineRule="exact"/>
              <w:rPr>
                <w:sz w:val="20"/>
                <w:szCs w:val="20"/>
                <w:color w:val="auto"/>
              </w:rPr>
            </w:pPr>
            <w:r>
              <w:rPr>
                <w:rFonts w:ascii="Arial" w:cs="Arial" w:eastAsia="Arial" w:hAnsi="Arial"/>
                <w:sz w:val="14"/>
                <w:szCs w:val="14"/>
                <w:color w:val="auto"/>
              </w:rPr>
              <w:t>0.43</w:t>
            </w:r>
          </w:p>
        </w:tc>
        <w:tc>
          <w:tcPr>
            <w:tcW w:w="820" w:type="dxa"/>
            <w:vAlign w:val="bottom"/>
          </w:tcPr>
          <w:p>
            <w:pPr>
              <w:jc w:val="right"/>
              <w:ind w:right="190"/>
              <w:spacing w:after="0" w:line="155" w:lineRule="exact"/>
              <w:rPr>
                <w:sz w:val="20"/>
                <w:szCs w:val="20"/>
                <w:color w:val="auto"/>
              </w:rPr>
            </w:pPr>
            <w:r>
              <w:rPr>
                <w:rFonts w:ascii="Arial" w:cs="Arial" w:eastAsia="Arial" w:hAnsi="Arial"/>
                <w:sz w:val="14"/>
                <w:szCs w:val="14"/>
                <w:color w:val="auto"/>
              </w:rPr>
              <w:t>0.42</w:t>
            </w:r>
          </w:p>
        </w:tc>
        <w:tc>
          <w:tcPr>
            <w:tcW w:w="640" w:type="dxa"/>
            <w:vAlign w:val="bottom"/>
          </w:tcPr>
          <w:p>
            <w:pPr>
              <w:jc w:val="right"/>
              <w:ind w:right="49"/>
              <w:spacing w:after="0" w:line="155" w:lineRule="exact"/>
              <w:rPr>
                <w:sz w:val="20"/>
                <w:szCs w:val="20"/>
                <w:color w:val="auto"/>
              </w:rPr>
            </w:pPr>
            <w:r>
              <w:rPr>
                <w:rFonts w:ascii="Arial" w:cs="Arial" w:eastAsia="Arial" w:hAnsi="Arial"/>
                <w:sz w:val="14"/>
                <w:szCs w:val="14"/>
                <w:color w:val="auto"/>
              </w:rPr>
              <w:t>0.42</w:t>
            </w:r>
          </w:p>
        </w:tc>
      </w:tr>
      <w:tr>
        <w:trPr>
          <w:trHeight w:val="162"/>
        </w:trPr>
        <w:tc>
          <w:tcPr>
            <w:tcW w:w="1800" w:type="dxa"/>
            <w:vAlign w:val="bottom"/>
          </w:tcPr>
          <w:p>
            <w:pPr>
              <w:spacing w:after="0"/>
              <w:rPr>
                <w:sz w:val="20"/>
                <w:szCs w:val="20"/>
                <w:color w:val="auto"/>
              </w:rPr>
            </w:pPr>
            <w:r>
              <w:rPr>
                <w:rFonts w:ascii="Arial" w:cs="Arial" w:eastAsia="Arial" w:hAnsi="Arial"/>
                <w:sz w:val="14"/>
                <w:szCs w:val="14"/>
                <w:color w:val="auto"/>
              </w:rPr>
              <w:t>Q2</w:t>
            </w:r>
          </w:p>
        </w:tc>
        <w:tc>
          <w:tcPr>
            <w:tcW w:w="660" w:type="dxa"/>
            <w:vAlign w:val="bottom"/>
            <w:shd w:val="clear" w:color="auto" w:fill="D8D8D8"/>
          </w:tcPr>
          <w:p>
            <w:pPr>
              <w:jc w:val="right"/>
              <w:ind w:right="10"/>
              <w:spacing w:after="0"/>
              <w:rPr>
                <w:sz w:val="20"/>
                <w:szCs w:val="20"/>
                <w:color w:val="auto"/>
              </w:rPr>
            </w:pPr>
            <w:r>
              <w:rPr>
                <w:rFonts w:ascii="Arial" w:cs="Arial" w:eastAsia="Arial" w:hAnsi="Arial"/>
                <w:sz w:val="14"/>
                <w:szCs w:val="14"/>
                <w:color w:val="auto"/>
              </w:rPr>
              <w:t>0.47</w:t>
            </w:r>
          </w:p>
        </w:tc>
        <w:tc>
          <w:tcPr>
            <w:tcW w:w="800" w:type="dxa"/>
            <w:vAlign w:val="bottom"/>
          </w:tcPr>
          <w:p>
            <w:pPr>
              <w:jc w:val="right"/>
              <w:ind w:right="150"/>
              <w:spacing w:after="0"/>
              <w:rPr>
                <w:sz w:val="20"/>
                <w:szCs w:val="20"/>
                <w:color w:val="auto"/>
              </w:rPr>
            </w:pPr>
            <w:r>
              <w:rPr>
                <w:rFonts w:ascii="Arial" w:cs="Arial" w:eastAsia="Arial" w:hAnsi="Arial"/>
                <w:sz w:val="14"/>
                <w:szCs w:val="14"/>
                <w:color w:val="auto"/>
              </w:rPr>
              <w:t>0.45</w:t>
            </w:r>
          </w:p>
        </w:tc>
        <w:tc>
          <w:tcPr>
            <w:tcW w:w="760" w:type="dxa"/>
            <w:vAlign w:val="bottom"/>
          </w:tcPr>
          <w:p>
            <w:pPr>
              <w:jc w:val="right"/>
              <w:ind w:right="210"/>
              <w:spacing w:after="0"/>
              <w:rPr>
                <w:sz w:val="20"/>
                <w:szCs w:val="20"/>
                <w:color w:val="auto"/>
              </w:rPr>
            </w:pPr>
            <w:r>
              <w:rPr>
                <w:rFonts w:ascii="Arial" w:cs="Arial" w:eastAsia="Arial" w:hAnsi="Arial"/>
                <w:sz w:val="14"/>
                <w:szCs w:val="14"/>
                <w:color w:val="auto"/>
              </w:rPr>
              <w:t>0.43</w:t>
            </w:r>
          </w:p>
        </w:tc>
        <w:tc>
          <w:tcPr>
            <w:tcW w:w="820" w:type="dxa"/>
            <w:vAlign w:val="bottom"/>
          </w:tcPr>
          <w:p>
            <w:pPr>
              <w:jc w:val="right"/>
              <w:ind w:right="190"/>
              <w:spacing w:after="0"/>
              <w:rPr>
                <w:sz w:val="20"/>
                <w:szCs w:val="20"/>
                <w:color w:val="auto"/>
              </w:rPr>
            </w:pPr>
            <w:r>
              <w:rPr>
                <w:rFonts w:ascii="Arial" w:cs="Arial" w:eastAsia="Arial" w:hAnsi="Arial"/>
                <w:sz w:val="14"/>
                <w:szCs w:val="14"/>
                <w:color w:val="auto"/>
              </w:rPr>
              <w:t>0.42</w:t>
            </w:r>
          </w:p>
        </w:tc>
        <w:tc>
          <w:tcPr>
            <w:tcW w:w="640" w:type="dxa"/>
            <w:vAlign w:val="bottom"/>
          </w:tcPr>
          <w:p>
            <w:pPr>
              <w:jc w:val="right"/>
              <w:ind w:right="49"/>
              <w:spacing w:after="0"/>
              <w:rPr>
                <w:sz w:val="20"/>
                <w:szCs w:val="20"/>
                <w:color w:val="auto"/>
              </w:rPr>
            </w:pPr>
            <w:r>
              <w:rPr>
                <w:rFonts w:ascii="Arial" w:cs="Arial" w:eastAsia="Arial" w:hAnsi="Arial"/>
                <w:sz w:val="14"/>
                <w:szCs w:val="14"/>
                <w:color w:val="auto"/>
              </w:rPr>
              <w:t>0.42</w:t>
            </w:r>
          </w:p>
        </w:tc>
      </w:tr>
      <w:tr>
        <w:trPr>
          <w:trHeight w:val="167"/>
        </w:trPr>
        <w:tc>
          <w:tcPr>
            <w:tcW w:w="1800" w:type="dxa"/>
            <w:vAlign w:val="bottom"/>
          </w:tcPr>
          <w:p>
            <w:pPr>
              <w:spacing w:after="0"/>
              <w:rPr>
                <w:sz w:val="20"/>
                <w:szCs w:val="20"/>
                <w:color w:val="auto"/>
              </w:rPr>
            </w:pPr>
            <w:r>
              <w:rPr>
                <w:rFonts w:ascii="Arial" w:cs="Arial" w:eastAsia="Arial" w:hAnsi="Arial"/>
                <w:sz w:val="14"/>
                <w:szCs w:val="14"/>
                <w:color w:val="auto"/>
              </w:rPr>
              <w:t>Q3</w:t>
            </w:r>
          </w:p>
        </w:tc>
        <w:tc>
          <w:tcPr>
            <w:tcW w:w="660" w:type="dxa"/>
            <w:vAlign w:val="bottom"/>
            <w:shd w:val="clear" w:color="auto" w:fill="D8D8D8"/>
          </w:tcPr>
          <w:p>
            <w:pPr>
              <w:jc w:val="right"/>
              <w:ind w:right="10"/>
              <w:spacing w:after="0"/>
              <w:rPr>
                <w:sz w:val="20"/>
                <w:szCs w:val="20"/>
                <w:color w:val="auto"/>
              </w:rPr>
            </w:pPr>
            <w:r>
              <w:rPr>
                <w:rFonts w:ascii="Arial" w:cs="Arial" w:eastAsia="Arial" w:hAnsi="Arial"/>
                <w:sz w:val="14"/>
                <w:szCs w:val="14"/>
                <w:color w:val="auto"/>
              </w:rPr>
              <w:t>0.47</w:t>
            </w:r>
          </w:p>
        </w:tc>
        <w:tc>
          <w:tcPr>
            <w:tcW w:w="800" w:type="dxa"/>
            <w:vAlign w:val="bottom"/>
          </w:tcPr>
          <w:p>
            <w:pPr>
              <w:jc w:val="right"/>
              <w:ind w:right="150"/>
              <w:spacing w:after="0"/>
              <w:rPr>
                <w:sz w:val="20"/>
                <w:szCs w:val="20"/>
                <w:color w:val="auto"/>
              </w:rPr>
            </w:pPr>
            <w:r>
              <w:rPr>
                <w:rFonts w:ascii="Arial" w:cs="Arial" w:eastAsia="Arial" w:hAnsi="Arial"/>
                <w:sz w:val="14"/>
                <w:szCs w:val="14"/>
                <w:color w:val="auto"/>
              </w:rPr>
              <w:t>0.45</w:t>
            </w:r>
          </w:p>
        </w:tc>
        <w:tc>
          <w:tcPr>
            <w:tcW w:w="760" w:type="dxa"/>
            <w:vAlign w:val="bottom"/>
          </w:tcPr>
          <w:p>
            <w:pPr>
              <w:jc w:val="right"/>
              <w:ind w:right="210"/>
              <w:spacing w:after="0"/>
              <w:rPr>
                <w:sz w:val="20"/>
                <w:szCs w:val="20"/>
                <w:color w:val="auto"/>
              </w:rPr>
            </w:pPr>
            <w:r>
              <w:rPr>
                <w:rFonts w:ascii="Arial" w:cs="Arial" w:eastAsia="Arial" w:hAnsi="Arial"/>
                <w:sz w:val="14"/>
                <w:szCs w:val="14"/>
                <w:color w:val="auto"/>
              </w:rPr>
              <w:t>0.43</w:t>
            </w:r>
          </w:p>
        </w:tc>
        <w:tc>
          <w:tcPr>
            <w:tcW w:w="820" w:type="dxa"/>
            <w:vAlign w:val="bottom"/>
          </w:tcPr>
          <w:p>
            <w:pPr>
              <w:jc w:val="right"/>
              <w:ind w:right="190"/>
              <w:spacing w:after="0"/>
              <w:rPr>
                <w:sz w:val="20"/>
                <w:szCs w:val="20"/>
                <w:color w:val="auto"/>
              </w:rPr>
            </w:pPr>
            <w:r>
              <w:rPr>
                <w:rFonts w:ascii="Arial" w:cs="Arial" w:eastAsia="Arial" w:hAnsi="Arial"/>
                <w:sz w:val="14"/>
                <w:szCs w:val="14"/>
                <w:color w:val="auto"/>
              </w:rPr>
              <w:t>0.42</w:t>
            </w:r>
          </w:p>
        </w:tc>
        <w:tc>
          <w:tcPr>
            <w:tcW w:w="640" w:type="dxa"/>
            <w:vAlign w:val="bottom"/>
          </w:tcPr>
          <w:p>
            <w:pPr>
              <w:jc w:val="right"/>
              <w:ind w:right="49"/>
              <w:spacing w:after="0"/>
              <w:rPr>
                <w:sz w:val="20"/>
                <w:szCs w:val="20"/>
                <w:color w:val="auto"/>
              </w:rPr>
            </w:pPr>
            <w:r>
              <w:rPr>
                <w:rFonts w:ascii="Arial" w:cs="Arial" w:eastAsia="Arial" w:hAnsi="Arial"/>
                <w:sz w:val="14"/>
                <w:szCs w:val="14"/>
                <w:color w:val="auto"/>
              </w:rPr>
              <w:t>0.42</w:t>
            </w:r>
          </w:p>
        </w:tc>
      </w:tr>
      <w:tr>
        <w:trPr>
          <w:trHeight w:val="157"/>
        </w:trPr>
        <w:tc>
          <w:tcPr>
            <w:tcW w:w="1800" w:type="dxa"/>
            <w:vAlign w:val="bottom"/>
            <w:tcBorders>
              <w:bottom w:val="single" w:sz="8" w:color="auto"/>
            </w:tcBorders>
          </w:tcPr>
          <w:p>
            <w:pPr>
              <w:spacing w:after="0" w:line="157" w:lineRule="exact"/>
              <w:rPr>
                <w:sz w:val="20"/>
                <w:szCs w:val="20"/>
                <w:color w:val="auto"/>
              </w:rPr>
            </w:pPr>
            <w:r>
              <w:rPr>
                <w:rFonts w:ascii="Arial" w:cs="Arial" w:eastAsia="Arial" w:hAnsi="Arial"/>
                <w:sz w:val="14"/>
                <w:szCs w:val="14"/>
                <w:color w:val="auto"/>
              </w:rPr>
              <w:t>Q4</w:t>
            </w:r>
          </w:p>
        </w:tc>
        <w:tc>
          <w:tcPr>
            <w:tcW w:w="660" w:type="dxa"/>
            <w:vAlign w:val="bottom"/>
            <w:tcBorders>
              <w:bottom w:val="single" w:sz="8" w:color="auto"/>
            </w:tcBorders>
            <w:shd w:val="clear" w:color="auto" w:fill="D8D8D8"/>
          </w:tcPr>
          <w:p>
            <w:pPr>
              <w:jc w:val="right"/>
              <w:ind w:right="10"/>
              <w:spacing w:after="0" w:line="157" w:lineRule="exact"/>
              <w:rPr>
                <w:sz w:val="20"/>
                <w:szCs w:val="20"/>
                <w:color w:val="auto"/>
              </w:rPr>
            </w:pPr>
            <w:r>
              <w:rPr>
                <w:rFonts w:ascii="Arial" w:cs="Arial" w:eastAsia="Arial" w:hAnsi="Arial"/>
                <w:sz w:val="14"/>
                <w:szCs w:val="14"/>
                <w:color w:val="auto"/>
              </w:rPr>
              <w:t>0.47</w:t>
            </w:r>
          </w:p>
        </w:tc>
        <w:tc>
          <w:tcPr>
            <w:tcW w:w="800" w:type="dxa"/>
            <w:vAlign w:val="bottom"/>
            <w:tcBorders>
              <w:bottom w:val="single" w:sz="8" w:color="auto"/>
            </w:tcBorders>
          </w:tcPr>
          <w:p>
            <w:pPr>
              <w:jc w:val="right"/>
              <w:ind w:right="150"/>
              <w:spacing w:after="0" w:line="157" w:lineRule="exact"/>
              <w:rPr>
                <w:sz w:val="20"/>
                <w:szCs w:val="20"/>
                <w:color w:val="auto"/>
              </w:rPr>
            </w:pPr>
            <w:r>
              <w:rPr>
                <w:rFonts w:ascii="Arial" w:cs="Arial" w:eastAsia="Arial" w:hAnsi="Arial"/>
                <w:sz w:val="14"/>
                <w:szCs w:val="14"/>
                <w:color w:val="auto"/>
              </w:rPr>
              <w:t>0.45</w:t>
            </w:r>
          </w:p>
        </w:tc>
        <w:tc>
          <w:tcPr>
            <w:tcW w:w="760" w:type="dxa"/>
            <w:vAlign w:val="bottom"/>
            <w:tcBorders>
              <w:bottom w:val="single" w:sz="8" w:color="auto"/>
            </w:tcBorders>
          </w:tcPr>
          <w:p>
            <w:pPr>
              <w:jc w:val="right"/>
              <w:ind w:right="210"/>
              <w:spacing w:after="0" w:line="157" w:lineRule="exact"/>
              <w:rPr>
                <w:sz w:val="20"/>
                <w:szCs w:val="20"/>
                <w:color w:val="auto"/>
              </w:rPr>
            </w:pPr>
            <w:r>
              <w:rPr>
                <w:rFonts w:ascii="Arial" w:cs="Arial" w:eastAsia="Arial" w:hAnsi="Arial"/>
                <w:sz w:val="14"/>
                <w:szCs w:val="14"/>
                <w:color w:val="auto"/>
              </w:rPr>
              <w:t>0.43</w:t>
            </w:r>
          </w:p>
        </w:tc>
        <w:tc>
          <w:tcPr>
            <w:tcW w:w="820" w:type="dxa"/>
            <w:vAlign w:val="bottom"/>
            <w:tcBorders>
              <w:bottom w:val="single" w:sz="8" w:color="auto"/>
            </w:tcBorders>
          </w:tcPr>
          <w:p>
            <w:pPr>
              <w:jc w:val="right"/>
              <w:ind w:right="190"/>
              <w:spacing w:after="0" w:line="157" w:lineRule="exact"/>
              <w:rPr>
                <w:sz w:val="20"/>
                <w:szCs w:val="20"/>
                <w:color w:val="auto"/>
              </w:rPr>
            </w:pPr>
            <w:r>
              <w:rPr>
                <w:rFonts w:ascii="Arial" w:cs="Arial" w:eastAsia="Arial" w:hAnsi="Arial"/>
                <w:sz w:val="14"/>
                <w:szCs w:val="14"/>
                <w:color w:val="auto"/>
              </w:rPr>
              <w:t>0.42</w:t>
            </w:r>
          </w:p>
        </w:tc>
        <w:tc>
          <w:tcPr>
            <w:tcW w:w="640" w:type="dxa"/>
            <w:vAlign w:val="bottom"/>
            <w:tcBorders>
              <w:bottom w:val="single" w:sz="8" w:color="auto"/>
            </w:tcBorders>
          </w:tcPr>
          <w:p>
            <w:pPr>
              <w:jc w:val="right"/>
              <w:ind w:right="49"/>
              <w:spacing w:after="0" w:line="157" w:lineRule="exact"/>
              <w:rPr>
                <w:sz w:val="20"/>
                <w:szCs w:val="20"/>
                <w:color w:val="auto"/>
              </w:rPr>
            </w:pPr>
            <w:r>
              <w:rPr>
                <w:rFonts w:ascii="Arial" w:cs="Arial" w:eastAsia="Arial" w:hAnsi="Arial"/>
                <w:sz w:val="14"/>
                <w:szCs w:val="14"/>
                <w:color w:val="auto"/>
              </w:rPr>
              <w:t>0.42</w:t>
            </w:r>
          </w:p>
        </w:tc>
      </w:tr>
      <w:tr>
        <w:trPr>
          <w:trHeight w:val="160"/>
        </w:trPr>
        <w:tc>
          <w:tcPr>
            <w:tcW w:w="1800" w:type="dxa"/>
            <w:vAlign w:val="bottom"/>
          </w:tcPr>
          <w:p>
            <w:pPr>
              <w:spacing w:after="0"/>
              <w:rPr>
                <w:sz w:val="20"/>
                <w:szCs w:val="20"/>
                <w:color w:val="auto"/>
              </w:rPr>
            </w:pPr>
            <w:r>
              <w:rPr>
                <w:rFonts w:ascii="Arial" w:cs="Arial" w:eastAsia="Arial" w:hAnsi="Arial"/>
                <w:sz w:val="14"/>
                <w:szCs w:val="14"/>
                <w:color w:val="auto"/>
              </w:rPr>
              <w:t>Total announced in respect</w:t>
            </w:r>
          </w:p>
        </w:tc>
        <w:tc>
          <w:tcPr>
            <w:tcW w:w="660" w:type="dxa"/>
            <w:vAlign w:val="bottom"/>
            <w:shd w:val="clear" w:color="auto" w:fill="D8D8D8"/>
          </w:tcPr>
          <w:p>
            <w:pPr>
              <w:spacing w:after="0"/>
              <w:rPr>
                <w:sz w:val="13"/>
                <w:szCs w:val="13"/>
                <w:color w:val="auto"/>
              </w:rPr>
            </w:pPr>
          </w:p>
        </w:tc>
        <w:tc>
          <w:tcPr>
            <w:tcW w:w="8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640" w:type="dxa"/>
            <w:vAlign w:val="bottom"/>
          </w:tcPr>
          <w:p>
            <w:pPr>
              <w:spacing w:after="0"/>
              <w:rPr>
                <w:sz w:val="13"/>
                <w:szCs w:val="13"/>
                <w:color w:val="auto"/>
              </w:rPr>
            </w:pPr>
          </w:p>
        </w:tc>
      </w:tr>
      <w:tr>
        <w:trPr>
          <w:trHeight w:val="157"/>
        </w:trPr>
        <w:tc>
          <w:tcPr>
            <w:tcW w:w="1800" w:type="dxa"/>
            <w:vAlign w:val="bottom"/>
            <w:tcBorders>
              <w:bottom w:val="single" w:sz="8" w:color="auto"/>
            </w:tcBorders>
          </w:tcPr>
          <w:p>
            <w:pPr>
              <w:spacing w:after="0" w:line="157" w:lineRule="exact"/>
              <w:rPr>
                <w:sz w:val="20"/>
                <w:szCs w:val="20"/>
                <w:color w:val="auto"/>
              </w:rPr>
            </w:pPr>
            <w:r>
              <w:rPr>
                <w:rFonts w:ascii="Arial" w:cs="Arial" w:eastAsia="Arial" w:hAnsi="Arial"/>
                <w:sz w:val="14"/>
                <w:szCs w:val="14"/>
                <w:color w:val="auto"/>
              </w:rPr>
              <w:t>of the year</w:t>
            </w:r>
          </w:p>
        </w:tc>
        <w:tc>
          <w:tcPr>
            <w:tcW w:w="660" w:type="dxa"/>
            <w:vAlign w:val="bottom"/>
            <w:tcBorders>
              <w:bottom w:val="single" w:sz="8" w:color="auto"/>
            </w:tcBorders>
            <w:shd w:val="clear" w:color="auto" w:fill="D8D8D8"/>
          </w:tcPr>
          <w:p>
            <w:pPr>
              <w:jc w:val="right"/>
              <w:ind w:right="10"/>
              <w:spacing w:after="0" w:line="157" w:lineRule="exact"/>
              <w:rPr>
                <w:sz w:val="20"/>
                <w:szCs w:val="20"/>
                <w:color w:val="auto"/>
              </w:rPr>
            </w:pPr>
            <w:r>
              <w:rPr>
                <w:rFonts w:ascii="Arial" w:cs="Arial" w:eastAsia="Arial" w:hAnsi="Arial"/>
                <w:sz w:val="14"/>
                <w:szCs w:val="14"/>
                <w:color w:val="auto"/>
              </w:rPr>
              <w:t>1.88</w:t>
            </w:r>
          </w:p>
        </w:tc>
        <w:tc>
          <w:tcPr>
            <w:tcW w:w="800" w:type="dxa"/>
            <w:vAlign w:val="bottom"/>
            <w:tcBorders>
              <w:bottom w:val="single" w:sz="8" w:color="auto"/>
            </w:tcBorders>
          </w:tcPr>
          <w:p>
            <w:pPr>
              <w:jc w:val="right"/>
              <w:ind w:right="150"/>
              <w:spacing w:after="0" w:line="157" w:lineRule="exact"/>
              <w:rPr>
                <w:sz w:val="20"/>
                <w:szCs w:val="20"/>
                <w:color w:val="auto"/>
              </w:rPr>
            </w:pPr>
            <w:r>
              <w:rPr>
                <w:rFonts w:ascii="Arial" w:cs="Arial" w:eastAsia="Arial" w:hAnsi="Arial"/>
                <w:sz w:val="14"/>
                <w:szCs w:val="14"/>
                <w:color w:val="auto"/>
              </w:rPr>
              <w:t>1.80</w:t>
            </w:r>
          </w:p>
        </w:tc>
        <w:tc>
          <w:tcPr>
            <w:tcW w:w="760" w:type="dxa"/>
            <w:vAlign w:val="bottom"/>
            <w:tcBorders>
              <w:bottom w:val="single" w:sz="8" w:color="auto"/>
            </w:tcBorders>
          </w:tcPr>
          <w:p>
            <w:pPr>
              <w:jc w:val="right"/>
              <w:ind w:right="210"/>
              <w:spacing w:after="0" w:line="157" w:lineRule="exact"/>
              <w:rPr>
                <w:sz w:val="20"/>
                <w:szCs w:val="20"/>
                <w:color w:val="auto"/>
              </w:rPr>
            </w:pPr>
            <w:r>
              <w:rPr>
                <w:rFonts w:ascii="Arial" w:cs="Arial" w:eastAsia="Arial" w:hAnsi="Arial"/>
                <w:sz w:val="14"/>
                <w:szCs w:val="14"/>
                <w:color w:val="auto"/>
              </w:rPr>
              <w:t>1.72</w:t>
            </w:r>
          </w:p>
        </w:tc>
        <w:tc>
          <w:tcPr>
            <w:tcW w:w="820" w:type="dxa"/>
            <w:vAlign w:val="bottom"/>
            <w:tcBorders>
              <w:bottom w:val="single" w:sz="8" w:color="auto"/>
            </w:tcBorders>
          </w:tcPr>
          <w:p>
            <w:pPr>
              <w:jc w:val="right"/>
              <w:ind w:right="190"/>
              <w:spacing w:after="0" w:line="157" w:lineRule="exact"/>
              <w:rPr>
                <w:sz w:val="20"/>
                <w:szCs w:val="20"/>
                <w:color w:val="auto"/>
              </w:rPr>
            </w:pPr>
            <w:r>
              <w:rPr>
                <w:rFonts w:ascii="Arial" w:cs="Arial" w:eastAsia="Arial" w:hAnsi="Arial"/>
                <w:sz w:val="14"/>
                <w:szCs w:val="14"/>
                <w:color w:val="auto"/>
              </w:rPr>
              <w:t>1.68</w:t>
            </w:r>
          </w:p>
        </w:tc>
        <w:tc>
          <w:tcPr>
            <w:tcW w:w="640" w:type="dxa"/>
            <w:vAlign w:val="bottom"/>
            <w:tcBorders>
              <w:bottom w:val="single" w:sz="8" w:color="auto"/>
            </w:tcBorders>
          </w:tcPr>
          <w:p>
            <w:pPr>
              <w:jc w:val="right"/>
              <w:ind w:right="49"/>
              <w:spacing w:after="0" w:line="157" w:lineRule="exact"/>
              <w:rPr>
                <w:sz w:val="20"/>
                <w:szCs w:val="20"/>
                <w:color w:val="auto"/>
              </w:rPr>
            </w:pPr>
            <w:r>
              <w:rPr>
                <w:rFonts w:ascii="Arial" w:cs="Arial" w:eastAsia="Arial" w:hAnsi="Arial"/>
                <w:sz w:val="14"/>
                <w:szCs w:val="14"/>
                <w:color w:val="auto"/>
              </w:rPr>
              <w:t>1.68</w:t>
            </w:r>
          </w:p>
        </w:tc>
      </w:tr>
    </w:tbl>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1780" w:type="dxa"/>
            <w:vAlign w:val="bottom"/>
            <w:shd w:val="clear" w:color="auto" w:fill="333333"/>
          </w:tcPr>
          <w:p>
            <w:pPr>
              <w:ind w:left="60"/>
              <w:spacing w:after="0"/>
              <w:rPr>
                <w:sz w:val="20"/>
                <w:szCs w:val="20"/>
                <w:color w:val="auto"/>
              </w:rPr>
            </w:pPr>
            <w:r>
              <w:rPr>
                <w:rFonts w:ascii="Arial" w:cs="Arial" w:eastAsia="Arial" w:hAnsi="Arial"/>
                <w:sz w:val="15"/>
                <w:szCs w:val="15"/>
                <w:b w:val="1"/>
                <w:bCs w:val="1"/>
                <w:color w:val="FFFFFF"/>
              </w:rPr>
              <w:t>A SHARES</w:t>
            </w:r>
          </w:p>
        </w:tc>
        <w:tc>
          <w:tcPr>
            <w:tcW w:w="660" w:type="dxa"/>
            <w:vAlign w:val="bottom"/>
            <w:shd w:val="clear" w:color="auto" w:fill="333333"/>
          </w:tcPr>
          <w:p>
            <w:pPr>
              <w:spacing w:after="0"/>
              <w:rPr>
                <w:sz w:val="14"/>
                <w:szCs w:val="14"/>
                <w:color w:val="auto"/>
              </w:rPr>
            </w:pPr>
          </w:p>
        </w:tc>
        <w:tc>
          <w:tcPr>
            <w:tcW w:w="220" w:type="dxa"/>
            <w:vAlign w:val="bottom"/>
            <w:shd w:val="clear" w:color="auto" w:fill="333333"/>
          </w:tcPr>
          <w:p>
            <w:pPr>
              <w:spacing w:after="0"/>
              <w:rPr>
                <w:sz w:val="14"/>
                <w:szCs w:val="14"/>
                <w:color w:val="auto"/>
              </w:rPr>
            </w:pPr>
          </w:p>
        </w:tc>
        <w:tc>
          <w:tcPr>
            <w:tcW w:w="580" w:type="dxa"/>
            <w:vAlign w:val="bottom"/>
            <w:shd w:val="clear" w:color="auto" w:fill="333333"/>
          </w:tcPr>
          <w:p>
            <w:pPr>
              <w:spacing w:after="0"/>
              <w:rPr>
                <w:sz w:val="14"/>
                <w:szCs w:val="14"/>
                <w:color w:val="auto"/>
              </w:rPr>
            </w:pPr>
          </w:p>
        </w:tc>
        <w:tc>
          <w:tcPr>
            <w:tcW w:w="760" w:type="dxa"/>
            <w:vAlign w:val="bottom"/>
            <w:shd w:val="clear" w:color="auto" w:fill="333333"/>
          </w:tcPr>
          <w:p>
            <w:pPr>
              <w:spacing w:after="0"/>
              <w:rPr>
                <w:sz w:val="14"/>
                <w:szCs w:val="14"/>
                <w:color w:val="auto"/>
              </w:rPr>
            </w:pPr>
          </w:p>
        </w:tc>
        <w:tc>
          <w:tcPr>
            <w:tcW w:w="800" w:type="dxa"/>
            <w:vAlign w:val="bottom"/>
            <w:shd w:val="clear" w:color="auto" w:fill="333333"/>
          </w:tcPr>
          <w:p>
            <w:pPr>
              <w:spacing w:after="0"/>
              <w:rPr>
                <w:sz w:val="14"/>
                <w:szCs w:val="14"/>
                <w:color w:val="auto"/>
              </w:rPr>
            </w:pPr>
          </w:p>
        </w:tc>
        <w:tc>
          <w:tcPr>
            <w:tcW w:w="660" w:type="dxa"/>
            <w:vAlign w:val="bottom"/>
            <w:shd w:val="clear" w:color="auto" w:fill="333333"/>
          </w:tcPr>
          <w:p>
            <w:pPr>
              <w:jc w:val="right"/>
              <w:ind w:right="49"/>
              <w:spacing w:after="0"/>
              <w:rPr>
                <w:sz w:val="20"/>
                <w:szCs w:val="20"/>
                <w:color w:val="auto"/>
              </w:rPr>
            </w:pPr>
            <w:r>
              <w:rPr>
                <w:rFonts w:ascii="Arial" w:cs="Arial" w:eastAsia="Arial" w:hAnsi="Arial"/>
                <w:sz w:val="15"/>
                <w:szCs w:val="15"/>
                <w:color w:val="FFFFFF"/>
              </w:rPr>
              <w:t>€ [A]</w:t>
            </w:r>
          </w:p>
        </w:tc>
      </w:tr>
      <w:tr>
        <w:trPr>
          <w:trHeight w:val="149"/>
        </w:trPr>
        <w:tc>
          <w:tcPr>
            <w:tcW w:w="20" w:type="dxa"/>
            <w:vAlign w:val="bottom"/>
          </w:tcPr>
          <w:p>
            <w:pPr>
              <w:spacing w:after="0"/>
              <w:rPr>
                <w:sz w:val="12"/>
                <w:szCs w:val="12"/>
                <w:color w:val="auto"/>
              </w:rPr>
            </w:pPr>
          </w:p>
        </w:tc>
        <w:tc>
          <w:tcPr>
            <w:tcW w:w="178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shd w:val="clear" w:color="auto" w:fill="D8D8D8"/>
          </w:tcPr>
          <w:p>
            <w:pPr>
              <w:jc w:val="right"/>
              <w:ind w:right="9"/>
              <w:spacing w:after="0"/>
              <w:rPr>
                <w:sz w:val="20"/>
                <w:szCs w:val="20"/>
                <w:color w:val="auto"/>
              </w:rPr>
            </w:pPr>
            <w:r>
              <w:rPr>
                <w:rFonts w:ascii="Arial" w:cs="Arial" w:eastAsia="Arial" w:hAnsi="Arial"/>
                <w:sz w:val="13"/>
                <w:szCs w:val="13"/>
                <w:color w:val="auto"/>
              </w:rPr>
              <w:t>2014</w:t>
            </w:r>
          </w:p>
        </w:tc>
        <w:tc>
          <w:tcPr>
            <w:tcW w:w="22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49"/>
              <w:spacing w:after="0"/>
              <w:rPr>
                <w:sz w:val="20"/>
                <w:szCs w:val="20"/>
                <w:color w:val="auto"/>
              </w:rPr>
            </w:pPr>
            <w:r>
              <w:rPr>
                <w:rFonts w:ascii="Arial" w:cs="Arial" w:eastAsia="Arial" w:hAnsi="Arial"/>
                <w:sz w:val="13"/>
                <w:szCs w:val="13"/>
                <w:color w:val="auto"/>
              </w:rPr>
              <w:t>2013</w:t>
            </w:r>
          </w:p>
        </w:tc>
        <w:tc>
          <w:tcPr>
            <w:tcW w:w="760" w:type="dxa"/>
            <w:vAlign w:val="bottom"/>
            <w:tcBorders>
              <w:bottom w:val="single" w:sz="8" w:color="auto"/>
            </w:tcBorders>
          </w:tcPr>
          <w:p>
            <w:pPr>
              <w:jc w:val="right"/>
              <w:ind w:right="209"/>
              <w:spacing w:after="0"/>
              <w:rPr>
                <w:sz w:val="20"/>
                <w:szCs w:val="20"/>
                <w:color w:val="auto"/>
              </w:rPr>
            </w:pPr>
            <w:r>
              <w:rPr>
                <w:rFonts w:ascii="Arial" w:cs="Arial" w:eastAsia="Arial" w:hAnsi="Arial"/>
                <w:sz w:val="13"/>
                <w:szCs w:val="13"/>
                <w:color w:val="auto"/>
              </w:rPr>
              <w:t>2012</w:t>
            </w:r>
          </w:p>
        </w:tc>
        <w:tc>
          <w:tcPr>
            <w:tcW w:w="800" w:type="dxa"/>
            <w:vAlign w:val="bottom"/>
            <w:tcBorders>
              <w:bottom w:val="single" w:sz="8" w:color="auto"/>
            </w:tcBorders>
          </w:tcPr>
          <w:p>
            <w:pPr>
              <w:jc w:val="right"/>
              <w:ind w:right="169"/>
              <w:spacing w:after="0"/>
              <w:rPr>
                <w:sz w:val="20"/>
                <w:szCs w:val="20"/>
                <w:color w:val="auto"/>
              </w:rPr>
            </w:pPr>
            <w:r>
              <w:rPr>
                <w:rFonts w:ascii="Arial" w:cs="Arial" w:eastAsia="Arial" w:hAnsi="Arial"/>
                <w:sz w:val="13"/>
                <w:szCs w:val="13"/>
                <w:color w:val="auto"/>
              </w:rPr>
              <w:t>2011</w:t>
            </w:r>
          </w:p>
        </w:tc>
        <w:tc>
          <w:tcPr>
            <w:tcW w:w="660" w:type="dxa"/>
            <w:vAlign w:val="bottom"/>
            <w:tcBorders>
              <w:bottom w:val="single" w:sz="8" w:color="auto"/>
            </w:tcBorders>
          </w:tcPr>
          <w:p>
            <w:pPr>
              <w:jc w:val="right"/>
              <w:ind w:right="49"/>
              <w:spacing w:after="0"/>
              <w:rPr>
                <w:sz w:val="20"/>
                <w:szCs w:val="20"/>
                <w:color w:val="auto"/>
              </w:rPr>
            </w:pPr>
            <w:r>
              <w:rPr>
                <w:rFonts w:ascii="Arial" w:cs="Arial" w:eastAsia="Arial" w:hAnsi="Arial"/>
                <w:sz w:val="13"/>
                <w:szCs w:val="13"/>
                <w:color w:val="auto"/>
              </w:rPr>
              <w:t>2010</w:t>
            </w:r>
          </w:p>
        </w:tc>
      </w:tr>
      <w:tr>
        <w:trPr>
          <w:trHeight w:val="156"/>
        </w:trPr>
        <w:tc>
          <w:tcPr>
            <w:tcW w:w="1800" w:type="dxa"/>
            <w:vAlign w:val="bottom"/>
            <w:gridSpan w:val="2"/>
          </w:tcPr>
          <w:p>
            <w:pPr>
              <w:spacing w:after="0" w:line="155" w:lineRule="exact"/>
              <w:rPr>
                <w:sz w:val="20"/>
                <w:szCs w:val="20"/>
                <w:color w:val="auto"/>
              </w:rPr>
            </w:pPr>
            <w:r>
              <w:rPr>
                <w:rFonts w:ascii="Arial" w:cs="Arial" w:eastAsia="Arial" w:hAnsi="Arial"/>
                <w:sz w:val="14"/>
                <w:szCs w:val="14"/>
                <w:color w:val="auto"/>
              </w:rPr>
              <w:t>Q1</w:t>
            </w:r>
          </w:p>
        </w:tc>
        <w:tc>
          <w:tcPr>
            <w:tcW w:w="660" w:type="dxa"/>
            <w:vAlign w:val="bottom"/>
            <w:shd w:val="clear" w:color="auto" w:fill="D8D8D8"/>
          </w:tcPr>
          <w:p>
            <w:pPr>
              <w:jc w:val="right"/>
              <w:ind w:right="9"/>
              <w:spacing w:after="0" w:line="155" w:lineRule="exact"/>
              <w:rPr>
                <w:sz w:val="20"/>
                <w:szCs w:val="20"/>
                <w:color w:val="auto"/>
              </w:rPr>
            </w:pPr>
            <w:r>
              <w:rPr>
                <w:rFonts w:ascii="Arial" w:cs="Arial" w:eastAsia="Arial" w:hAnsi="Arial"/>
                <w:sz w:val="14"/>
                <w:szCs w:val="14"/>
                <w:color w:val="auto"/>
                <w:highlight w:val="lightGray"/>
              </w:rPr>
              <w:t>0.35</w:t>
            </w:r>
          </w:p>
        </w:tc>
        <w:tc>
          <w:tcPr>
            <w:tcW w:w="220" w:type="dxa"/>
            <w:vAlign w:val="bottom"/>
          </w:tcPr>
          <w:p>
            <w:pPr>
              <w:spacing w:after="0"/>
              <w:rPr>
                <w:sz w:val="13"/>
                <w:szCs w:val="13"/>
                <w:color w:val="auto"/>
              </w:rPr>
            </w:pPr>
          </w:p>
        </w:tc>
        <w:tc>
          <w:tcPr>
            <w:tcW w:w="580" w:type="dxa"/>
            <w:vAlign w:val="bottom"/>
          </w:tcPr>
          <w:p>
            <w:pPr>
              <w:jc w:val="right"/>
              <w:ind w:right="149"/>
              <w:spacing w:after="0" w:line="155" w:lineRule="exact"/>
              <w:rPr>
                <w:sz w:val="20"/>
                <w:szCs w:val="20"/>
                <w:color w:val="auto"/>
              </w:rPr>
            </w:pPr>
            <w:r>
              <w:rPr>
                <w:rFonts w:ascii="Arial" w:cs="Arial" w:eastAsia="Arial" w:hAnsi="Arial"/>
                <w:sz w:val="14"/>
                <w:szCs w:val="14"/>
                <w:color w:val="auto"/>
              </w:rPr>
              <w:t>0.34</w:t>
            </w:r>
          </w:p>
        </w:tc>
        <w:tc>
          <w:tcPr>
            <w:tcW w:w="760" w:type="dxa"/>
            <w:vAlign w:val="bottom"/>
          </w:tcPr>
          <w:p>
            <w:pPr>
              <w:jc w:val="right"/>
              <w:ind w:right="209"/>
              <w:spacing w:after="0" w:line="155" w:lineRule="exact"/>
              <w:rPr>
                <w:sz w:val="20"/>
                <w:szCs w:val="20"/>
                <w:color w:val="auto"/>
              </w:rPr>
            </w:pPr>
            <w:r>
              <w:rPr>
                <w:rFonts w:ascii="Arial" w:cs="Arial" w:eastAsia="Arial" w:hAnsi="Arial"/>
                <w:sz w:val="14"/>
                <w:szCs w:val="14"/>
                <w:color w:val="auto"/>
              </w:rPr>
              <w:t>0.35</w:t>
            </w:r>
          </w:p>
        </w:tc>
        <w:tc>
          <w:tcPr>
            <w:tcW w:w="800" w:type="dxa"/>
            <w:vAlign w:val="bottom"/>
          </w:tcPr>
          <w:p>
            <w:pPr>
              <w:jc w:val="right"/>
              <w:ind w:right="169"/>
              <w:spacing w:after="0" w:line="155" w:lineRule="exact"/>
              <w:rPr>
                <w:sz w:val="20"/>
                <w:szCs w:val="20"/>
                <w:color w:val="auto"/>
              </w:rPr>
            </w:pPr>
            <w:r>
              <w:rPr>
                <w:rFonts w:ascii="Arial" w:cs="Arial" w:eastAsia="Arial" w:hAnsi="Arial"/>
                <w:sz w:val="14"/>
                <w:szCs w:val="14"/>
                <w:color w:val="auto"/>
              </w:rPr>
              <w:t>0.29</w:t>
            </w:r>
          </w:p>
        </w:tc>
        <w:tc>
          <w:tcPr>
            <w:tcW w:w="660" w:type="dxa"/>
            <w:vAlign w:val="bottom"/>
          </w:tcPr>
          <w:p>
            <w:pPr>
              <w:jc w:val="right"/>
              <w:ind w:right="49"/>
              <w:spacing w:after="0" w:line="155" w:lineRule="exact"/>
              <w:rPr>
                <w:sz w:val="20"/>
                <w:szCs w:val="20"/>
                <w:color w:val="auto"/>
              </w:rPr>
            </w:pPr>
            <w:r>
              <w:rPr>
                <w:rFonts w:ascii="Arial" w:cs="Arial" w:eastAsia="Arial" w:hAnsi="Arial"/>
                <w:sz w:val="14"/>
                <w:szCs w:val="14"/>
                <w:color w:val="auto"/>
              </w:rPr>
              <w:t>0.32</w:t>
            </w:r>
          </w:p>
        </w:tc>
      </w:tr>
      <w:tr>
        <w:trPr>
          <w:trHeight w:val="162"/>
        </w:trPr>
        <w:tc>
          <w:tcPr>
            <w:tcW w:w="1800" w:type="dxa"/>
            <w:vAlign w:val="bottom"/>
            <w:gridSpan w:val="2"/>
          </w:tcPr>
          <w:p>
            <w:pPr>
              <w:spacing w:after="0"/>
              <w:rPr>
                <w:sz w:val="20"/>
                <w:szCs w:val="20"/>
                <w:color w:val="auto"/>
              </w:rPr>
            </w:pPr>
            <w:r>
              <w:rPr>
                <w:rFonts w:ascii="Arial" w:cs="Arial" w:eastAsia="Arial" w:hAnsi="Arial"/>
                <w:sz w:val="14"/>
                <w:szCs w:val="14"/>
                <w:color w:val="auto"/>
              </w:rPr>
              <w:t>Q2</w:t>
            </w:r>
          </w:p>
        </w:tc>
        <w:tc>
          <w:tcPr>
            <w:tcW w:w="660" w:type="dxa"/>
            <w:vAlign w:val="bottom"/>
            <w:shd w:val="clear" w:color="auto" w:fill="D8D8D8"/>
          </w:tcPr>
          <w:p>
            <w:pPr>
              <w:jc w:val="right"/>
              <w:ind w:right="9"/>
              <w:spacing w:after="0"/>
              <w:rPr>
                <w:sz w:val="20"/>
                <w:szCs w:val="20"/>
                <w:color w:val="auto"/>
              </w:rPr>
            </w:pPr>
            <w:r>
              <w:rPr>
                <w:rFonts w:ascii="Arial" w:cs="Arial" w:eastAsia="Arial" w:hAnsi="Arial"/>
                <w:sz w:val="14"/>
                <w:szCs w:val="14"/>
                <w:color w:val="auto"/>
              </w:rPr>
              <w:t>0.36</w:t>
            </w:r>
          </w:p>
        </w:tc>
        <w:tc>
          <w:tcPr>
            <w:tcW w:w="220" w:type="dxa"/>
            <w:vAlign w:val="bottom"/>
          </w:tcPr>
          <w:p>
            <w:pPr>
              <w:spacing w:after="0"/>
              <w:rPr>
                <w:sz w:val="14"/>
                <w:szCs w:val="14"/>
                <w:color w:val="auto"/>
              </w:rPr>
            </w:pPr>
          </w:p>
        </w:tc>
        <w:tc>
          <w:tcPr>
            <w:tcW w:w="580" w:type="dxa"/>
            <w:vAlign w:val="bottom"/>
          </w:tcPr>
          <w:p>
            <w:pPr>
              <w:jc w:val="right"/>
              <w:ind w:right="149"/>
              <w:spacing w:after="0"/>
              <w:rPr>
                <w:sz w:val="20"/>
                <w:szCs w:val="20"/>
                <w:color w:val="auto"/>
              </w:rPr>
            </w:pPr>
            <w:r>
              <w:rPr>
                <w:rFonts w:ascii="Arial" w:cs="Arial" w:eastAsia="Arial" w:hAnsi="Arial"/>
                <w:sz w:val="14"/>
                <w:szCs w:val="14"/>
                <w:color w:val="auto"/>
              </w:rPr>
              <w:t>0.34</w:t>
            </w:r>
          </w:p>
        </w:tc>
        <w:tc>
          <w:tcPr>
            <w:tcW w:w="760" w:type="dxa"/>
            <w:vAlign w:val="bottom"/>
          </w:tcPr>
          <w:p>
            <w:pPr>
              <w:jc w:val="right"/>
              <w:ind w:right="209"/>
              <w:spacing w:after="0"/>
              <w:rPr>
                <w:sz w:val="20"/>
                <w:szCs w:val="20"/>
                <w:color w:val="auto"/>
              </w:rPr>
            </w:pPr>
            <w:r>
              <w:rPr>
                <w:rFonts w:ascii="Arial" w:cs="Arial" w:eastAsia="Arial" w:hAnsi="Arial"/>
                <w:sz w:val="14"/>
                <w:szCs w:val="14"/>
                <w:color w:val="auto"/>
              </w:rPr>
              <w:t>0.34</w:t>
            </w:r>
          </w:p>
        </w:tc>
        <w:tc>
          <w:tcPr>
            <w:tcW w:w="800" w:type="dxa"/>
            <w:vAlign w:val="bottom"/>
          </w:tcPr>
          <w:p>
            <w:pPr>
              <w:jc w:val="right"/>
              <w:ind w:right="169"/>
              <w:spacing w:after="0"/>
              <w:rPr>
                <w:sz w:val="20"/>
                <w:szCs w:val="20"/>
                <w:color w:val="auto"/>
              </w:rPr>
            </w:pPr>
            <w:r>
              <w:rPr>
                <w:rFonts w:ascii="Arial" w:cs="Arial" w:eastAsia="Arial" w:hAnsi="Arial"/>
                <w:sz w:val="14"/>
                <w:szCs w:val="14"/>
                <w:color w:val="auto"/>
              </w:rPr>
              <w:t>0.29</w:t>
            </w:r>
          </w:p>
        </w:tc>
        <w:tc>
          <w:tcPr>
            <w:tcW w:w="660" w:type="dxa"/>
            <w:vAlign w:val="bottom"/>
          </w:tcPr>
          <w:p>
            <w:pPr>
              <w:jc w:val="right"/>
              <w:ind w:right="49"/>
              <w:spacing w:after="0"/>
              <w:rPr>
                <w:sz w:val="20"/>
                <w:szCs w:val="20"/>
                <w:color w:val="auto"/>
              </w:rPr>
            </w:pPr>
            <w:r>
              <w:rPr>
                <w:rFonts w:ascii="Arial" w:cs="Arial" w:eastAsia="Arial" w:hAnsi="Arial"/>
                <w:sz w:val="14"/>
                <w:szCs w:val="14"/>
                <w:color w:val="auto"/>
              </w:rPr>
              <w:t>0.32</w:t>
            </w:r>
          </w:p>
        </w:tc>
      </w:tr>
      <w:tr>
        <w:trPr>
          <w:trHeight w:val="167"/>
        </w:trPr>
        <w:tc>
          <w:tcPr>
            <w:tcW w:w="1800" w:type="dxa"/>
            <w:vAlign w:val="bottom"/>
            <w:gridSpan w:val="2"/>
          </w:tcPr>
          <w:p>
            <w:pPr>
              <w:spacing w:after="0"/>
              <w:rPr>
                <w:sz w:val="20"/>
                <w:szCs w:val="20"/>
                <w:color w:val="auto"/>
              </w:rPr>
            </w:pPr>
            <w:r>
              <w:rPr>
                <w:rFonts w:ascii="Arial" w:cs="Arial" w:eastAsia="Arial" w:hAnsi="Arial"/>
                <w:sz w:val="14"/>
                <w:szCs w:val="14"/>
                <w:color w:val="auto"/>
              </w:rPr>
              <w:t>Q3</w:t>
            </w:r>
          </w:p>
        </w:tc>
        <w:tc>
          <w:tcPr>
            <w:tcW w:w="660" w:type="dxa"/>
            <w:vAlign w:val="bottom"/>
            <w:shd w:val="clear" w:color="auto" w:fill="D8D8D8"/>
          </w:tcPr>
          <w:p>
            <w:pPr>
              <w:jc w:val="right"/>
              <w:ind w:right="9"/>
              <w:spacing w:after="0"/>
              <w:rPr>
                <w:sz w:val="20"/>
                <w:szCs w:val="20"/>
                <w:color w:val="auto"/>
              </w:rPr>
            </w:pPr>
            <w:r>
              <w:rPr>
                <w:rFonts w:ascii="Arial" w:cs="Arial" w:eastAsia="Arial" w:hAnsi="Arial"/>
                <w:sz w:val="14"/>
                <w:szCs w:val="14"/>
                <w:color w:val="auto"/>
              </w:rPr>
              <w:t>0.38</w:t>
            </w:r>
          </w:p>
        </w:tc>
        <w:tc>
          <w:tcPr>
            <w:tcW w:w="220" w:type="dxa"/>
            <w:vAlign w:val="bottom"/>
          </w:tcPr>
          <w:p>
            <w:pPr>
              <w:spacing w:after="0"/>
              <w:rPr>
                <w:sz w:val="14"/>
                <w:szCs w:val="14"/>
                <w:color w:val="auto"/>
              </w:rPr>
            </w:pPr>
          </w:p>
        </w:tc>
        <w:tc>
          <w:tcPr>
            <w:tcW w:w="580" w:type="dxa"/>
            <w:vAlign w:val="bottom"/>
          </w:tcPr>
          <w:p>
            <w:pPr>
              <w:jc w:val="right"/>
              <w:ind w:right="149"/>
              <w:spacing w:after="0"/>
              <w:rPr>
                <w:sz w:val="20"/>
                <w:szCs w:val="20"/>
                <w:color w:val="auto"/>
              </w:rPr>
            </w:pPr>
            <w:r>
              <w:rPr>
                <w:rFonts w:ascii="Arial" w:cs="Arial" w:eastAsia="Arial" w:hAnsi="Arial"/>
                <w:sz w:val="14"/>
                <w:szCs w:val="14"/>
                <w:color w:val="auto"/>
              </w:rPr>
              <w:t>0.33</w:t>
            </w:r>
          </w:p>
        </w:tc>
        <w:tc>
          <w:tcPr>
            <w:tcW w:w="760" w:type="dxa"/>
            <w:vAlign w:val="bottom"/>
          </w:tcPr>
          <w:p>
            <w:pPr>
              <w:jc w:val="right"/>
              <w:ind w:right="209"/>
              <w:spacing w:after="0"/>
              <w:rPr>
                <w:sz w:val="20"/>
                <w:szCs w:val="20"/>
                <w:color w:val="auto"/>
              </w:rPr>
            </w:pPr>
            <w:r>
              <w:rPr>
                <w:rFonts w:ascii="Arial" w:cs="Arial" w:eastAsia="Arial" w:hAnsi="Arial"/>
                <w:sz w:val="14"/>
                <w:szCs w:val="14"/>
                <w:color w:val="auto"/>
              </w:rPr>
              <w:t>0.33</w:t>
            </w:r>
          </w:p>
        </w:tc>
        <w:tc>
          <w:tcPr>
            <w:tcW w:w="800" w:type="dxa"/>
            <w:vAlign w:val="bottom"/>
          </w:tcPr>
          <w:p>
            <w:pPr>
              <w:jc w:val="right"/>
              <w:ind w:right="169"/>
              <w:spacing w:after="0"/>
              <w:rPr>
                <w:sz w:val="20"/>
                <w:szCs w:val="20"/>
                <w:color w:val="auto"/>
              </w:rPr>
            </w:pPr>
            <w:r>
              <w:rPr>
                <w:rFonts w:ascii="Arial" w:cs="Arial" w:eastAsia="Arial" w:hAnsi="Arial"/>
                <w:sz w:val="14"/>
                <w:szCs w:val="14"/>
                <w:color w:val="auto"/>
              </w:rPr>
              <w:t>0.32</w:t>
            </w:r>
          </w:p>
        </w:tc>
        <w:tc>
          <w:tcPr>
            <w:tcW w:w="660" w:type="dxa"/>
            <w:vAlign w:val="bottom"/>
          </w:tcPr>
          <w:p>
            <w:pPr>
              <w:jc w:val="right"/>
              <w:ind w:right="49"/>
              <w:spacing w:after="0"/>
              <w:rPr>
                <w:sz w:val="20"/>
                <w:szCs w:val="20"/>
                <w:color w:val="auto"/>
              </w:rPr>
            </w:pPr>
            <w:r>
              <w:rPr>
                <w:rFonts w:ascii="Arial" w:cs="Arial" w:eastAsia="Arial" w:hAnsi="Arial"/>
                <w:sz w:val="14"/>
                <w:szCs w:val="14"/>
                <w:color w:val="auto"/>
              </w:rPr>
              <w:t>0.31</w:t>
            </w:r>
          </w:p>
        </w:tc>
      </w:tr>
      <w:tr>
        <w:trPr>
          <w:trHeight w:val="157"/>
        </w:trPr>
        <w:tc>
          <w:tcPr>
            <w:tcW w:w="1800" w:type="dxa"/>
            <w:vAlign w:val="bottom"/>
            <w:tcBorders>
              <w:bottom w:val="single" w:sz="8" w:color="auto"/>
            </w:tcBorders>
            <w:gridSpan w:val="2"/>
          </w:tcPr>
          <w:p>
            <w:pPr>
              <w:spacing w:after="0" w:line="157" w:lineRule="exact"/>
              <w:rPr>
                <w:sz w:val="20"/>
                <w:szCs w:val="20"/>
                <w:color w:val="auto"/>
              </w:rPr>
            </w:pPr>
            <w:r>
              <w:rPr>
                <w:rFonts w:ascii="Arial" w:cs="Arial" w:eastAsia="Arial" w:hAnsi="Arial"/>
                <w:sz w:val="14"/>
                <w:szCs w:val="14"/>
                <w:color w:val="auto"/>
              </w:rPr>
              <w:t>Q4</w:t>
            </w:r>
          </w:p>
        </w:tc>
        <w:tc>
          <w:tcPr>
            <w:tcW w:w="660" w:type="dxa"/>
            <w:vAlign w:val="bottom"/>
            <w:tcBorders>
              <w:bottom w:val="single" w:sz="8" w:color="auto"/>
            </w:tcBorders>
            <w:shd w:val="clear" w:color="auto" w:fill="D8D8D8"/>
          </w:tcPr>
          <w:p>
            <w:pPr>
              <w:jc w:val="right"/>
              <w:ind w:right="9"/>
              <w:spacing w:after="0" w:line="157" w:lineRule="exact"/>
              <w:rPr>
                <w:sz w:val="20"/>
                <w:szCs w:val="20"/>
                <w:color w:val="auto"/>
              </w:rPr>
            </w:pPr>
            <w:r>
              <w:rPr>
                <w:rFonts w:ascii="Arial" w:cs="Arial" w:eastAsia="Arial" w:hAnsi="Arial"/>
                <w:sz w:val="14"/>
                <w:szCs w:val="14"/>
                <w:color w:val="auto"/>
              </w:rPr>
              <w:t>0.43</w:t>
            </w:r>
          </w:p>
        </w:tc>
        <w:tc>
          <w:tcPr>
            <w:tcW w:w="22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ind w:right="149"/>
              <w:spacing w:after="0" w:line="157" w:lineRule="exact"/>
              <w:rPr>
                <w:sz w:val="20"/>
                <w:szCs w:val="20"/>
                <w:color w:val="auto"/>
              </w:rPr>
            </w:pPr>
            <w:r>
              <w:rPr>
                <w:rFonts w:ascii="Arial" w:cs="Arial" w:eastAsia="Arial" w:hAnsi="Arial"/>
                <w:sz w:val="14"/>
                <w:szCs w:val="14"/>
                <w:color w:val="auto"/>
              </w:rPr>
              <w:t>0.32</w:t>
            </w:r>
          </w:p>
        </w:tc>
        <w:tc>
          <w:tcPr>
            <w:tcW w:w="760" w:type="dxa"/>
            <w:vAlign w:val="bottom"/>
            <w:tcBorders>
              <w:bottom w:val="single" w:sz="8" w:color="auto"/>
            </w:tcBorders>
          </w:tcPr>
          <w:p>
            <w:pPr>
              <w:jc w:val="right"/>
              <w:ind w:right="209"/>
              <w:spacing w:after="0" w:line="157" w:lineRule="exact"/>
              <w:rPr>
                <w:sz w:val="20"/>
                <w:szCs w:val="20"/>
                <w:color w:val="auto"/>
              </w:rPr>
            </w:pPr>
            <w:r>
              <w:rPr>
                <w:rFonts w:ascii="Arial" w:cs="Arial" w:eastAsia="Arial" w:hAnsi="Arial"/>
                <w:sz w:val="14"/>
                <w:szCs w:val="14"/>
                <w:color w:val="auto"/>
              </w:rPr>
              <w:t>0.33</w:t>
            </w:r>
          </w:p>
        </w:tc>
        <w:tc>
          <w:tcPr>
            <w:tcW w:w="800" w:type="dxa"/>
            <w:vAlign w:val="bottom"/>
            <w:tcBorders>
              <w:bottom w:val="single" w:sz="8" w:color="auto"/>
            </w:tcBorders>
          </w:tcPr>
          <w:p>
            <w:pPr>
              <w:jc w:val="right"/>
              <w:ind w:right="169"/>
              <w:spacing w:after="0" w:line="157" w:lineRule="exact"/>
              <w:rPr>
                <w:sz w:val="20"/>
                <w:szCs w:val="20"/>
                <w:color w:val="auto"/>
              </w:rPr>
            </w:pPr>
            <w:r>
              <w:rPr>
                <w:rFonts w:ascii="Arial" w:cs="Arial" w:eastAsia="Arial" w:hAnsi="Arial"/>
                <w:sz w:val="14"/>
                <w:szCs w:val="14"/>
                <w:color w:val="auto"/>
              </w:rPr>
              <w:t>0.32</w:t>
            </w:r>
          </w:p>
        </w:tc>
        <w:tc>
          <w:tcPr>
            <w:tcW w:w="660" w:type="dxa"/>
            <w:vAlign w:val="bottom"/>
            <w:tcBorders>
              <w:bottom w:val="single" w:sz="8" w:color="auto"/>
            </w:tcBorders>
          </w:tcPr>
          <w:p>
            <w:pPr>
              <w:jc w:val="right"/>
              <w:ind w:right="49"/>
              <w:spacing w:after="0" w:line="157" w:lineRule="exact"/>
              <w:rPr>
                <w:sz w:val="20"/>
                <w:szCs w:val="20"/>
                <w:color w:val="auto"/>
              </w:rPr>
            </w:pPr>
            <w:r>
              <w:rPr>
                <w:rFonts w:ascii="Arial" w:cs="Arial" w:eastAsia="Arial" w:hAnsi="Arial"/>
                <w:sz w:val="14"/>
                <w:szCs w:val="14"/>
                <w:color w:val="auto"/>
              </w:rPr>
              <w:t>0.30</w:t>
            </w:r>
          </w:p>
        </w:tc>
      </w:tr>
      <w:tr>
        <w:trPr>
          <w:trHeight w:val="160"/>
        </w:trPr>
        <w:tc>
          <w:tcPr>
            <w:tcW w:w="1800" w:type="dxa"/>
            <w:vAlign w:val="bottom"/>
            <w:gridSpan w:val="2"/>
          </w:tcPr>
          <w:p>
            <w:pPr>
              <w:spacing w:after="0"/>
              <w:rPr>
                <w:sz w:val="20"/>
                <w:szCs w:val="20"/>
                <w:color w:val="auto"/>
              </w:rPr>
            </w:pPr>
            <w:r>
              <w:rPr>
                <w:rFonts w:ascii="Arial" w:cs="Arial" w:eastAsia="Arial" w:hAnsi="Arial"/>
                <w:sz w:val="14"/>
                <w:szCs w:val="14"/>
                <w:color w:val="auto"/>
              </w:rPr>
              <w:t>Total announced in respect</w:t>
            </w:r>
          </w:p>
        </w:tc>
        <w:tc>
          <w:tcPr>
            <w:tcW w:w="660" w:type="dxa"/>
            <w:vAlign w:val="bottom"/>
            <w:shd w:val="clear" w:color="auto" w:fill="D8D8D8"/>
          </w:tcPr>
          <w:p>
            <w:pPr>
              <w:spacing w:after="0"/>
              <w:rPr>
                <w:sz w:val="13"/>
                <w:szCs w:val="13"/>
                <w:color w:val="auto"/>
              </w:rPr>
            </w:pPr>
          </w:p>
        </w:tc>
        <w:tc>
          <w:tcPr>
            <w:tcW w:w="2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660" w:type="dxa"/>
            <w:vAlign w:val="bottom"/>
          </w:tcPr>
          <w:p>
            <w:pPr>
              <w:spacing w:after="0"/>
              <w:rPr>
                <w:sz w:val="13"/>
                <w:szCs w:val="13"/>
                <w:color w:val="auto"/>
              </w:rPr>
            </w:pPr>
          </w:p>
        </w:tc>
      </w:tr>
      <w:tr>
        <w:trPr>
          <w:trHeight w:val="157"/>
        </w:trPr>
        <w:tc>
          <w:tcPr>
            <w:tcW w:w="1800" w:type="dxa"/>
            <w:vAlign w:val="bottom"/>
            <w:tcBorders>
              <w:bottom w:val="single" w:sz="8" w:color="auto"/>
            </w:tcBorders>
            <w:gridSpan w:val="2"/>
          </w:tcPr>
          <w:p>
            <w:pPr>
              <w:spacing w:after="0" w:line="157" w:lineRule="exact"/>
              <w:rPr>
                <w:sz w:val="20"/>
                <w:szCs w:val="20"/>
                <w:color w:val="auto"/>
              </w:rPr>
            </w:pPr>
            <w:r>
              <w:rPr>
                <w:rFonts w:ascii="Arial" w:cs="Arial" w:eastAsia="Arial" w:hAnsi="Arial"/>
                <w:sz w:val="14"/>
                <w:szCs w:val="14"/>
                <w:color w:val="auto"/>
              </w:rPr>
              <w:t>of the year</w:t>
            </w:r>
          </w:p>
        </w:tc>
        <w:tc>
          <w:tcPr>
            <w:tcW w:w="660" w:type="dxa"/>
            <w:vAlign w:val="bottom"/>
            <w:tcBorders>
              <w:bottom w:val="single" w:sz="8" w:color="auto"/>
            </w:tcBorders>
            <w:shd w:val="clear" w:color="auto" w:fill="D8D8D8"/>
          </w:tcPr>
          <w:p>
            <w:pPr>
              <w:jc w:val="right"/>
              <w:ind w:right="9"/>
              <w:spacing w:after="0" w:line="157" w:lineRule="exact"/>
              <w:rPr>
                <w:sz w:val="20"/>
                <w:szCs w:val="20"/>
                <w:color w:val="auto"/>
              </w:rPr>
            </w:pPr>
            <w:r>
              <w:rPr>
                <w:rFonts w:ascii="Arial" w:cs="Arial" w:eastAsia="Arial" w:hAnsi="Arial"/>
                <w:sz w:val="14"/>
                <w:szCs w:val="14"/>
                <w:color w:val="auto"/>
              </w:rPr>
              <w:t>1.53</w:t>
            </w:r>
          </w:p>
        </w:tc>
        <w:tc>
          <w:tcPr>
            <w:tcW w:w="22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ind w:right="149"/>
              <w:spacing w:after="0" w:line="157" w:lineRule="exact"/>
              <w:rPr>
                <w:sz w:val="20"/>
                <w:szCs w:val="20"/>
                <w:color w:val="auto"/>
              </w:rPr>
            </w:pPr>
            <w:r>
              <w:rPr>
                <w:rFonts w:ascii="Arial" w:cs="Arial" w:eastAsia="Arial" w:hAnsi="Arial"/>
                <w:sz w:val="14"/>
                <w:szCs w:val="14"/>
                <w:color w:val="auto"/>
              </w:rPr>
              <w:t>1.34</w:t>
            </w:r>
          </w:p>
        </w:tc>
        <w:tc>
          <w:tcPr>
            <w:tcW w:w="760" w:type="dxa"/>
            <w:vAlign w:val="bottom"/>
            <w:tcBorders>
              <w:bottom w:val="single" w:sz="8" w:color="auto"/>
            </w:tcBorders>
          </w:tcPr>
          <w:p>
            <w:pPr>
              <w:jc w:val="right"/>
              <w:ind w:right="209"/>
              <w:spacing w:after="0" w:line="157" w:lineRule="exact"/>
              <w:rPr>
                <w:sz w:val="20"/>
                <w:szCs w:val="20"/>
                <w:color w:val="auto"/>
              </w:rPr>
            </w:pPr>
            <w:r>
              <w:rPr>
                <w:rFonts w:ascii="Arial" w:cs="Arial" w:eastAsia="Arial" w:hAnsi="Arial"/>
                <w:sz w:val="14"/>
                <w:szCs w:val="14"/>
                <w:color w:val="auto"/>
              </w:rPr>
              <w:t>1.35</w:t>
            </w:r>
          </w:p>
        </w:tc>
        <w:tc>
          <w:tcPr>
            <w:tcW w:w="800" w:type="dxa"/>
            <w:vAlign w:val="bottom"/>
            <w:tcBorders>
              <w:bottom w:val="single" w:sz="8" w:color="auto"/>
            </w:tcBorders>
          </w:tcPr>
          <w:p>
            <w:pPr>
              <w:jc w:val="right"/>
              <w:ind w:right="169"/>
              <w:spacing w:after="0" w:line="157" w:lineRule="exact"/>
              <w:rPr>
                <w:sz w:val="20"/>
                <w:szCs w:val="20"/>
                <w:color w:val="auto"/>
              </w:rPr>
            </w:pPr>
            <w:r>
              <w:rPr>
                <w:rFonts w:ascii="Arial" w:cs="Arial" w:eastAsia="Arial" w:hAnsi="Arial"/>
                <w:sz w:val="14"/>
                <w:szCs w:val="14"/>
                <w:color w:val="auto"/>
              </w:rPr>
              <w:t>1.22</w:t>
            </w:r>
          </w:p>
        </w:tc>
        <w:tc>
          <w:tcPr>
            <w:tcW w:w="660" w:type="dxa"/>
            <w:vAlign w:val="bottom"/>
            <w:tcBorders>
              <w:bottom w:val="single" w:sz="8" w:color="auto"/>
            </w:tcBorders>
          </w:tcPr>
          <w:p>
            <w:pPr>
              <w:jc w:val="right"/>
              <w:ind w:right="49"/>
              <w:spacing w:after="0" w:line="157" w:lineRule="exact"/>
              <w:rPr>
                <w:sz w:val="20"/>
                <w:szCs w:val="20"/>
                <w:color w:val="auto"/>
              </w:rPr>
            </w:pPr>
            <w:r>
              <w:rPr>
                <w:rFonts w:ascii="Arial" w:cs="Arial" w:eastAsia="Arial" w:hAnsi="Arial"/>
                <w:sz w:val="14"/>
                <w:szCs w:val="14"/>
                <w:color w:val="auto"/>
              </w:rPr>
              <w:t>1.25</w:t>
            </w:r>
          </w:p>
        </w:tc>
      </w:tr>
      <w:tr>
        <w:trPr>
          <w:trHeight w:val="160"/>
        </w:trPr>
        <w:tc>
          <w:tcPr>
            <w:tcW w:w="1800" w:type="dxa"/>
            <w:vAlign w:val="bottom"/>
            <w:gridSpan w:val="2"/>
          </w:tcPr>
          <w:p>
            <w:pPr>
              <w:spacing w:after="0"/>
              <w:rPr>
                <w:sz w:val="20"/>
                <w:szCs w:val="20"/>
                <w:color w:val="auto"/>
              </w:rPr>
            </w:pPr>
            <w:r>
              <w:rPr>
                <w:rFonts w:ascii="Arial" w:cs="Arial" w:eastAsia="Arial" w:hAnsi="Arial"/>
                <w:sz w:val="14"/>
                <w:szCs w:val="14"/>
                <w:color w:val="auto"/>
              </w:rPr>
              <w:t>Amount paid during the</w:t>
            </w:r>
          </w:p>
        </w:tc>
        <w:tc>
          <w:tcPr>
            <w:tcW w:w="660" w:type="dxa"/>
            <w:vAlign w:val="bottom"/>
            <w:shd w:val="clear" w:color="auto" w:fill="D8D8D8"/>
          </w:tcPr>
          <w:p>
            <w:pPr>
              <w:spacing w:after="0"/>
              <w:rPr>
                <w:sz w:val="13"/>
                <w:szCs w:val="13"/>
                <w:color w:val="auto"/>
              </w:rPr>
            </w:pPr>
          </w:p>
        </w:tc>
        <w:tc>
          <w:tcPr>
            <w:tcW w:w="2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660" w:type="dxa"/>
            <w:vAlign w:val="bottom"/>
          </w:tcPr>
          <w:p>
            <w:pPr>
              <w:spacing w:after="0"/>
              <w:rPr>
                <w:sz w:val="13"/>
                <w:szCs w:val="13"/>
                <w:color w:val="auto"/>
              </w:rPr>
            </w:pPr>
          </w:p>
        </w:tc>
      </w:tr>
      <w:tr>
        <w:trPr>
          <w:trHeight w:val="157"/>
        </w:trPr>
        <w:tc>
          <w:tcPr>
            <w:tcW w:w="1800" w:type="dxa"/>
            <w:vAlign w:val="bottom"/>
            <w:gridSpan w:val="2"/>
          </w:tcPr>
          <w:p>
            <w:pPr>
              <w:spacing w:after="0" w:line="157" w:lineRule="exact"/>
              <w:rPr>
                <w:sz w:val="20"/>
                <w:szCs w:val="20"/>
                <w:color w:val="auto"/>
              </w:rPr>
            </w:pPr>
            <w:r>
              <w:rPr>
                <w:rFonts w:ascii="Arial" w:cs="Arial" w:eastAsia="Arial" w:hAnsi="Arial"/>
                <w:sz w:val="14"/>
                <w:szCs w:val="14"/>
                <w:color w:val="auto"/>
              </w:rPr>
              <w:t>year</w:t>
            </w:r>
          </w:p>
        </w:tc>
        <w:tc>
          <w:tcPr>
            <w:tcW w:w="660" w:type="dxa"/>
            <w:vAlign w:val="bottom"/>
            <w:shd w:val="clear" w:color="auto" w:fill="D8D8D8"/>
          </w:tcPr>
          <w:p>
            <w:pPr>
              <w:jc w:val="right"/>
              <w:ind w:right="9"/>
              <w:spacing w:after="0" w:line="157" w:lineRule="exact"/>
              <w:rPr>
                <w:sz w:val="20"/>
                <w:szCs w:val="20"/>
                <w:color w:val="auto"/>
              </w:rPr>
            </w:pPr>
            <w:r>
              <w:rPr>
                <w:rFonts w:ascii="Arial" w:cs="Arial" w:eastAsia="Arial" w:hAnsi="Arial"/>
                <w:sz w:val="14"/>
                <w:szCs w:val="14"/>
                <w:color w:val="auto"/>
              </w:rPr>
              <w:t>1.42</w:t>
            </w:r>
          </w:p>
        </w:tc>
        <w:tc>
          <w:tcPr>
            <w:tcW w:w="220" w:type="dxa"/>
            <w:vAlign w:val="bottom"/>
          </w:tcPr>
          <w:p>
            <w:pPr>
              <w:spacing w:after="0"/>
              <w:rPr>
                <w:sz w:val="13"/>
                <w:szCs w:val="13"/>
                <w:color w:val="auto"/>
              </w:rPr>
            </w:pPr>
          </w:p>
        </w:tc>
        <w:tc>
          <w:tcPr>
            <w:tcW w:w="580" w:type="dxa"/>
            <w:vAlign w:val="bottom"/>
          </w:tcPr>
          <w:p>
            <w:pPr>
              <w:jc w:val="right"/>
              <w:ind w:right="149"/>
              <w:spacing w:after="0" w:line="157" w:lineRule="exact"/>
              <w:rPr>
                <w:sz w:val="20"/>
                <w:szCs w:val="20"/>
                <w:color w:val="auto"/>
              </w:rPr>
            </w:pPr>
            <w:r>
              <w:rPr>
                <w:rFonts w:ascii="Arial" w:cs="Arial" w:eastAsia="Arial" w:hAnsi="Arial"/>
                <w:sz w:val="14"/>
                <w:szCs w:val="14"/>
                <w:color w:val="auto"/>
              </w:rPr>
              <w:t>1.34</w:t>
            </w:r>
          </w:p>
        </w:tc>
        <w:tc>
          <w:tcPr>
            <w:tcW w:w="760" w:type="dxa"/>
            <w:vAlign w:val="bottom"/>
          </w:tcPr>
          <w:p>
            <w:pPr>
              <w:jc w:val="right"/>
              <w:ind w:right="209"/>
              <w:spacing w:after="0" w:line="157" w:lineRule="exact"/>
              <w:rPr>
                <w:sz w:val="20"/>
                <w:szCs w:val="20"/>
                <w:color w:val="auto"/>
              </w:rPr>
            </w:pPr>
            <w:r>
              <w:rPr>
                <w:rFonts w:ascii="Arial" w:cs="Arial" w:eastAsia="Arial" w:hAnsi="Arial"/>
                <w:sz w:val="14"/>
                <w:szCs w:val="14"/>
                <w:color w:val="auto"/>
              </w:rPr>
              <w:t>1.34</w:t>
            </w:r>
          </w:p>
        </w:tc>
        <w:tc>
          <w:tcPr>
            <w:tcW w:w="800" w:type="dxa"/>
            <w:vAlign w:val="bottom"/>
          </w:tcPr>
          <w:p>
            <w:pPr>
              <w:jc w:val="right"/>
              <w:ind w:right="169"/>
              <w:spacing w:after="0" w:line="157" w:lineRule="exact"/>
              <w:rPr>
                <w:sz w:val="20"/>
                <w:szCs w:val="20"/>
                <w:color w:val="auto"/>
              </w:rPr>
            </w:pPr>
            <w:r>
              <w:rPr>
                <w:rFonts w:ascii="Arial" w:cs="Arial" w:eastAsia="Arial" w:hAnsi="Arial"/>
                <w:sz w:val="14"/>
                <w:szCs w:val="14"/>
                <w:color w:val="auto"/>
              </w:rPr>
              <w:t>1.20</w:t>
            </w:r>
          </w:p>
        </w:tc>
        <w:tc>
          <w:tcPr>
            <w:tcW w:w="660" w:type="dxa"/>
            <w:vAlign w:val="bottom"/>
          </w:tcPr>
          <w:p>
            <w:pPr>
              <w:jc w:val="right"/>
              <w:ind w:right="49"/>
              <w:spacing w:after="0" w:line="157" w:lineRule="exact"/>
              <w:rPr>
                <w:sz w:val="20"/>
                <w:szCs w:val="20"/>
                <w:color w:val="auto"/>
              </w:rPr>
            </w:pPr>
            <w:r>
              <w:rPr>
                <w:rFonts w:ascii="Arial" w:cs="Arial" w:eastAsia="Arial" w:hAnsi="Arial"/>
                <w:sz w:val="14"/>
                <w:szCs w:val="14"/>
                <w:color w:val="auto"/>
              </w:rPr>
              <w:t>1.25</w:t>
            </w:r>
          </w:p>
        </w:tc>
      </w:tr>
      <w:tr>
        <w:trPr>
          <w:trHeight w:val="123"/>
        </w:trPr>
        <w:tc>
          <w:tcPr>
            <w:tcW w:w="20" w:type="dxa"/>
            <w:vAlign w:val="bottom"/>
          </w:tcPr>
          <w:p>
            <w:pPr>
              <w:spacing w:after="0"/>
              <w:rPr>
                <w:sz w:val="10"/>
                <w:szCs w:val="10"/>
                <w:color w:val="auto"/>
              </w:rPr>
            </w:pPr>
          </w:p>
        </w:tc>
        <w:tc>
          <w:tcPr>
            <w:tcW w:w="2660" w:type="dxa"/>
            <w:vAlign w:val="bottom"/>
            <w:tcBorders>
              <w:top w:val="single" w:sz="8" w:color="auto"/>
            </w:tcBorders>
            <w:gridSpan w:val="3"/>
          </w:tcPr>
          <w:p>
            <w:pPr>
              <w:spacing w:after="0" w:line="123" w:lineRule="exact"/>
              <w:rPr>
                <w:sz w:val="20"/>
                <w:szCs w:val="20"/>
                <w:color w:val="auto"/>
              </w:rPr>
            </w:pPr>
            <w:r>
              <w:rPr>
                <w:rFonts w:ascii="Arial" w:cs="Arial" w:eastAsia="Arial" w:hAnsi="Arial"/>
                <w:sz w:val="11"/>
                <w:szCs w:val="11"/>
                <w:color w:val="auto"/>
              </w:rPr>
              <w:t>[A] Euro equivalent, rounded to the nearest euro cent.</w:t>
            </w:r>
          </w:p>
        </w:tc>
        <w:tc>
          <w:tcPr>
            <w:tcW w:w="580" w:type="dxa"/>
            <w:vAlign w:val="bottom"/>
            <w:tcBorders>
              <w:top w:val="single" w:sz="8" w:color="auto"/>
            </w:tcBorders>
          </w:tcPr>
          <w:p>
            <w:pPr>
              <w:spacing w:after="0"/>
              <w:rPr>
                <w:sz w:val="10"/>
                <w:szCs w:val="10"/>
                <w:color w:val="auto"/>
              </w:rPr>
            </w:pPr>
          </w:p>
        </w:tc>
        <w:tc>
          <w:tcPr>
            <w:tcW w:w="76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r>
    </w:tbl>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1780" w:type="dxa"/>
            <w:vAlign w:val="bottom"/>
            <w:shd w:val="clear" w:color="auto" w:fill="333333"/>
          </w:tcPr>
          <w:p>
            <w:pPr>
              <w:ind w:left="60"/>
              <w:spacing w:after="0"/>
              <w:rPr>
                <w:sz w:val="20"/>
                <w:szCs w:val="20"/>
                <w:color w:val="auto"/>
              </w:rPr>
            </w:pPr>
            <w:r>
              <w:rPr>
                <w:rFonts w:ascii="Arial" w:cs="Arial" w:eastAsia="Arial" w:hAnsi="Arial"/>
                <w:sz w:val="15"/>
                <w:szCs w:val="15"/>
                <w:b w:val="1"/>
                <w:bCs w:val="1"/>
                <w:color w:val="FFFFFF"/>
              </w:rPr>
              <w:t>B SHARES</w:t>
            </w:r>
          </w:p>
        </w:tc>
        <w:tc>
          <w:tcPr>
            <w:tcW w:w="660" w:type="dxa"/>
            <w:vAlign w:val="bottom"/>
            <w:shd w:val="clear" w:color="auto" w:fill="333333"/>
          </w:tcPr>
          <w:p>
            <w:pPr>
              <w:spacing w:after="0"/>
              <w:rPr>
                <w:sz w:val="14"/>
                <w:szCs w:val="14"/>
                <w:color w:val="auto"/>
              </w:rPr>
            </w:pPr>
          </w:p>
        </w:tc>
        <w:tc>
          <w:tcPr>
            <w:tcW w:w="720" w:type="dxa"/>
            <w:vAlign w:val="bottom"/>
            <w:shd w:val="clear" w:color="auto" w:fill="333333"/>
          </w:tcPr>
          <w:p>
            <w:pPr>
              <w:spacing w:after="0"/>
              <w:rPr>
                <w:sz w:val="14"/>
                <w:szCs w:val="14"/>
                <w:color w:val="auto"/>
              </w:rPr>
            </w:pPr>
          </w:p>
        </w:tc>
        <w:tc>
          <w:tcPr>
            <w:tcW w:w="760" w:type="dxa"/>
            <w:vAlign w:val="bottom"/>
            <w:shd w:val="clear" w:color="auto" w:fill="333333"/>
          </w:tcPr>
          <w:p>
            <w:pPr>
              <w:spacing w:after="0"/>
              <w:rPr>
                <w:sz w:val="14"/>
                <w:szCs w:val="14"/>
                <w:color w:val="auto"/>
              </w:rPr>
            </w:pPr>
          </w:p>
        </w:tc>
        <w:tc>
          <w:tcPr>
            <w:tcW w:w="660" w:type="dxa"/>
            <w:vAlign w:val="bottom"/>
            <w:shd w:val="clear" w:color="auto" w:fill="333333"/>
          </w:tcPr>
          <w:p>
            <w:pPr>
              <w:spacing w:after="0"/>
              <w:rPr>
                <w:sz w:val="14"/>
                <w:szCs w:val="14"/>
                <w:color w:val="auto"/>
              </w:rPr>
            </w:pPr>
          </w:p>
        </w:tc>
        <w:tc>
          <w:tcPr>
            <w:tcW w:w="880" w:type="dxa"/>
            <w:vAlign w:val="bottom"/>
            <w:shd w:val="clear" w:color="auto" w:fill="333333"/>
          </w:tcPr>
          <w:p>
            <w:pPr>
              <w:jc w:val="right"/>
              <w:ind w:right="49"/>
              <w:spacing w:after="0"/>
              <w:rPr>
                <w:sz w:val="20"/>
                <w:szCs w:val="20"/>
                <w:color w:val="auto"/>
              </w:rPr>
            </w:pPr>
            <w:r>
              <w:rPr>
                <w:rFonts w:ascii="Arial" w:cs="Arial" w:eastAsia="Arial" w:hAnsi="Arial"/>
                <w:sz w:val="15"/>
                <w:szCs w:val="15"/>
                <w:color w:val="FFFFFF"/>
                <w:w w:val="99"/>
              </w:rPr>
              <w:t>PENCE [A]</w:t>
            </w:r>
          </w:p>
        </w:tc>
      </w:tr>
      <w:tr>
        <w:trPr>
          <w:trHeight w:val="149"/>
        </w:trPr>
        <w:tc>
          <w:tcPr>
            <w:tcW w:w="20" w:type="dxa"/>
            <w:vAlign w:val="bottom"/>
          </w:tcPr>
          <w:p>
            <w:pPr>
              <w:spacing w:after="0"/>
              <w:rPr>
                <w:sz w:val="12"/>
                <w:szCs w:val="12"/>
                <w:color w:val="auto"/>
              </w:rPr>
            </w:pPr>
          </w:p>
        </w:tc>
        <w:tc>
          <w:tcPr>
            <w:tcW w:w="178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shd w:val="clear" w:color="auto" w:fill="D8D8D8"/>
          </w:tcPr>
          <w:p>
            <w:pPr>
              <w:jc w:val="right"/>
              <w:ind w:right="9"/>
              <w:spacing w:after="0"/>
              <w:rPr>
                <w:sz w:val="20"/>
                <w:szCs w:val="20"/>
                <w:color w:val="auto"/>
              </w:rPr>
            </w:pPr>
            <w:r>
              <w:rPr>
                <w:rFonts w:ascii="Arial" w:cs="Arial" w:eastAsia="Arial" w:hAnsi="Arial"/>
                <w:sz w:val="13"/>
                <w:szCs w:val="13"/>
                <w:color w:val="auto"/>
              </w:rPr>
              <w:t>2014</w:t>
            </w:r>
          </w:p>
        </w:tc>
        <w:tc>
          <w:tcPr>
            <w:tcW w:w="720" w:type="dxa"/>
            <w:vAlign w:val="bottom"/>
            <w:tcBorders>
              <w:bottom w:val="single" w:sz="8" w:color="auto"/>
            </w:tcBorders>
          </w:tcPr>
          <w:p>
            <w:pPr>
              <w:jc w:val="right"/>
              <w:ind w:right="69"/>
              <w:spacing w:after="0"/>
              <w:rPr>
                <w:sz w:val="20"/>
                <w:szCs w:val="20"/>
                <w:color w:val="auto"/>
              </w:rPr>
            </w:pPr>
            <w:r>
              <w:rPr>
                <w:rFonts w:ascii="Arial" w:cs="Arial" w:eastAsia="Arial" w:hAnsi="Arial"/>
                <w:sz w:val="13"/>
                <w:szCs w:val="13"/>
                <w:color w:val="auto"/>
              </w:rPr>
              <w:t>2013</w:t>
            </w:r>
          </w:p>
        </w:tc>
        <w:tc>
          <w:tcPr>
            <w:tcW w:w="760" w:type="dxa"/>
            <w:vAlign w:val="bottom"/>
            <w:tcBorders>
              <w:bottom w:val="single" w:sz="8" w:color="auto"/>
            </w:tcBorders>
          </w:tcPr>
          <w:p>
            <w:pPr>
              <w:jc w:val="right"/>
              <w:ind w:right="129"/>
              <w:spacing w:after="0"/>
              <w:rPr>
                <w:sz w:val="20"/>
                <w:szCs w:val="20"/>
                <w:color w:val="auto"/>
              </w:rPr>
            </w:pPr>
            <w:r>
              <w:rPr>
                <w:rFonts w:ascii="Arial" w:cs="Arial" w:eastAsia="Arial" w:hAnsi="Arial"/>
                <w:sz w:val="13"/>
                <w:szCs w:val="13"/>
                <w:color w:val="auto"/>
              </w:rPr>
              <w:t>2012</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2011</w:t>
            </w:r>
          </w:p>
        </w:tc>
        <w:tc>
          <w:tcPr>
            <w:tcW w:w="880" w:type="dxa"/>
            <w:vAlign w:val="bottom"/>
            <w:tcBorders>
              <w:bottom w:val="single" w:sz="8" w:color="auto"/>
            </w:tcBorders>
          </w:tcPr>
          <w:p>
            <w:pPr>
              <w:jc w:val="right"/>
              <w:ind w:right="49"/>
              <w:spacing w:after="0"/>
              <w:rPr>
                <w:sz w:val="20"/>
                <w:szCs w:val="20"/>
                <w:color w:val="auto"/>
              </w:rPr>
            </w:pPr>
            <w:r>
              <w:rPr>
                <w:rFonts w:ascii="Arial" w:cs="Arial" w:eastAsia="Arial" w:hAnsi="Arial"/>
                <w:sz w:val="13"/>
                <w:szCs w:val="13"/>
                <w:color w:val="auto"/>
              </w:rPr>
              <w:t>2010</w:t>
            </w:r>
          </w:p>
        </w:tc>
      </w:tr>
      <w:tr>
        <w:trPr>
          <w:trHeight w:val="156"/>
        </w:trPr>
        <w:tc>
          <w:tcPr>
            <w:tcW w:w="1800" w:type="dxa"/>
            <w:vAlign w:val="bottom"/>
            <w:gridSpan w:val="2"/>
          </w:tcPr>
          <w:p>
            <w:pPr>
              <w:spacing w:after="0" w:line="155" w:lineRule="exact"/>
              <w:rPr>
                <w:sz w:val="20"/>
                <w:szCs w:val="20"/>
                <w:color w:val="auto"/>
              </w:rPr>
            </w:pPr>
            <w:r>
              <w:rPr>
                <w:rFonts w:ascii="Arial" w:cs="Arial" w:eastAsia="Arial" w:hAnsi="Arial"/>
                <w:sz w:val="14"/>
                <w:szCs w:val="14"/>
                <w:color w:val="auto"/>
              </w:rPr>
              <w:t>Q1</w:t>
            </w:r>
          </w:p>
        </w:tc>
        <w:tc>
          <w:tcPr>
            <w:tcW w:w="660" w:type="dxa"/>
            <w:vAlign w:val="bottom"/>
            <w:shd w:val="clear" w:color="auto" w:fill="D8D8D8"/>
          </w:tcPr>
          <w:p>
            <w:pPr>
              <w:jc w:val="right"/>
              <w:ind w:right="9"/>
              <w:spacing w:after="0" w:line="155" w:lineRule="exact"/>
              <w:rPr>
                <w:sz w:val="20"/>
                <w:szCs w:val="20"/>
                <w:color w:val="auto"/>
              </w:rPr>
            </w:pPr>
            <w:r>
              <w:rPr>
                <w:rFonts w:ascii="Arial" w:cs="Arial" w:eastAsia="Arial" w:hAnsi="Arial"/>
                <w:sz w:val="14"/>
                <w:szCs w:val="14"/>
                <w:color w:val="auto"/>
                <w:highlight w:val="lightGray"/>
              </w:rPr>
              <w:t>28.03</w:t>
            </w:r>
          </w:p>
        </w:tc>
        <w:tc>
          <w:tcPr>
            <w:tcW w:w="720" w:type="dxa"/>
            <w:vAlign w:val="bottom"/>
          </w:tcPr>
          <w:p>
            <w:pPr>
              <w:jc w:val="right"/>
              <w:ind w:right="69"/>
              <w:spacing w:after="0" w:line="155" w:lineRule="exact"/>
              <w:rPr>
                <w:sz w:val="20"/>
                <w:szCs w:val="20"/>
                <w:color w:val="auto"/>
              </w:rPr>
            </w:pPr>
            <w:r>
              <w:rPr>
                <w:rFonts w:ascii="Arial" w:cs="Arial" w:eastAsia="Arial" w:hAnsi="Arial"/>
                <w:sz w:val="14"/>
                <w:szCs w:val="14"/>
                <w:color w:val="auto"/>
              </w:rPr>
              <w:t>28.99</w:t>
            </w:r>
          </w:p>
        </w:tc>
        <w:tc>
          <w:tcPr>
            <w:tcW w:w="760" w:type="dxa"/>
            <w:vAlign w:val="bottom"/>
          </w:tcPr>
          <w:p>
            <w:pPr>
              <w:jc w:val="right"/>
              <w:ind w:right="129"/>
              <w:spacing w:after="0" w:line="155" w:lineRule="exact"/>
              <w:rPr>
                <w:sz w:val="20"/>
                <w:szCs w:val="20"/>
                <w:color w:val="auto"/>
              </w:rPr>
            </w:pPr>
            <w:r>
              <w:rPr>
                <w:rFonts w:ascii="Arial" w:cs="Arial" w:eastAsia="Arial" w:hAnsi="Arial"/>
                <w:sz w:val="14"/>
                <w:szCs w:val="14"/>
                <w:color w:val="auto"/>
              </w:rPr>
              <w:t>27.92</w:t>
            </w:r>
          </w:p>
        </w:tc>
        <w:tc>
          <w:tcPr>
            <w:tcW w:w="660" w:type="dxa"/>
            <w:vAlign w:val="bottom"/>
          </w:tcPr>
          <w:p>
            <w:pPr>
              <w:jc w:val="right"/>
              <w:spacing w:after="0" w:line="155" w:lineRule="exact"/>
              <w:rPr>
                <w:sz w:val="20"/>
                <w:szCs w:val="20"/>
                <w:color w:val="auto"/>
              </w:rPr>
            </w:pPr>
            <w:r>
              <w:rPr>
                <w:rFonts w:ascii="Arial" w:cs="Arial" w:eastAsia="Arial" w:hAnsi="Arial"/>
                <w:sz w:val="14"/>
                <w:szCs w:val="14"/>
                <w:color w:val="auto"/>
              </w:rPr>
              <w:t>25.71</w:t>
            </w:r>
          </w:p>
        </w:tc>
        <w:tc>
          <w:tcPr>
            <w:tcW w:w="880" w:type="dxa"/>
            <w:vAlign w:val="bottom"/>
          </w:tcPr>
          <w:p>
            <w:pPr>
              <w:jc w:val="right"/>
              <w:ind w:right="49"/>
              <w:spacing w:after="0" w:line="155" w:lineRule="exact"/>
              <w:rPr>
                <w:sz w:val="20"/>
                <w:szCs w:val="20"/>
                <w:color w:val="auto"/>
              </w:rPr>
            </w:pPr>
            <w:r>
              <w:rPr>
                <w:rFonts w:ascii="Arial" w:cs="Arial" w:eastAsia="Arial" w:hAnsi="Arial"/>
                <w:sz w:val="14"/>
                <w:szCs w:val="14"/>
                <w:color w:val="auto"/>
              </w:rPr>
              <w:t>27.37</w:t>
            </w:r>
          </w:p>
        </w:tc>
      </w:tr>
      <w:tr>
        <w:trPr>
          <w:trHeight w:val="162"/>
        </w:trPr>
        <w:tc>
          <w:tcPr>
            <w:tcW w:w="1800" w:type="dxa"/>
            <w:vAlign w:val="bottom"/>
            <w:gridSpan w:val="2"/>
          </w:tcPr>
          <w:p>
            <w:pPr>
              <w:spacing w:after="0"/>
              <w:rPr>
                <w:sz w:val="20"/>
                <w:szCs w:val="20"/>
                <w:color w:val="auto"/>
              </w:rPr>
            </w:pPr>
            <w:r>
              <w:rPr>
                <w:rFonts w:ascii="Arial" w:cs="Arial" w:eastAsia="Arial" w:hAnsi="Arial"/>
                <w:sz w:val="14"/>
                <w:szCs w:val="14"/>
                <w:color w:val="auto"/>
              </w:rPr>
              <w:t>Q2</w:t>
            </w:r>
          </w:p>
        </w:tc>
        <w:tc>
          <w:tcPr>
            <w:tcW w:w="660" w:type="dxa"/>
            <w:vAlign w:val="bottom"/>
            <w:shd w:val="clear" w:color="auto" w:fill="D8D8D8"/>
          </w:tcPr>
          <w:p>
            <w:pPr>
              <w:jc w:val="right"/>
              <w:ind w:right="9"/>
              <w:spacing w:after="0"/>
              <w:rPr>
                <w:sz w:val="20"/>
                <w:szCs w:val="20"/>
                <w:color w:val="auto"/>
              </w:rPr>
            </w:pPr>
            <w:r>
              <w:rPr>
                <w:rFonts w:ascii="Arial" w:cs="Arial" w:eastAsia="Arial" w:hAnsi="Arial"/>
                <w:sz w:val="14"/>
                <w:szCs w:val="14"/>
                <w:color w:val="auto"/>
              </w:rPr>
              <w:t>29.09</w:t>
            </w:r>
          </w:p>
        </w:tc>
        <w:tc>
          <w:tcPr>
            <w:tcW w:w="720" w:type="dxa"/>
            <w:vAlign w:val="bottom"/>
          </w:tcPr>
          <w:p>
            <w:pPr>
              <w:jc w:val="right"/>
              <w:ind w:right="69"/>
              <w:spacing w:after="0"/>
              <w:rPr>
                <w:sz w:val="20"/>
                <w:szCs w:val="20"/>
                <w:color w:val="auto"/>
              </w:rPr>
            </w:pPr>
            <w:r>
              <w:rPr>
                <w:rFonts w:ascii="Arial" w:cs="Arial" w:eastAsia="Arial" w:hAnsi="Arial"/>
                <w:sz w:val="14"/>
                <w:szCs w:val="14"/>
                <w:color w:val="auto"/>
              </w:rPr>
              <w:t>28.67</w:t>
            </w:r>
          </w:p>
        </w:tc>
        <w:tc>
          <w:tcPr>
            <w:tcW w:w="760" w:type="dxa"/>
            <w:vAlign w:val="bottom"/>
          </w:tcPr>
          <w:p>
            <w:pPr>
              <w:jc w:val="right"/>
              <w:ind w:right="129"/>
              <w:spacing w:after="0"/>
              <w:rPr>
                <w:sz w:val="20"/>
                <w:szCs w:val="20"/>
                <w:color w:val="auto"/>
              </w:rPr>
            </w:pPr>
            <w:r>
              <w:rPr>
                <w:rFonts w:ascii="Arial" w:cs="Arial" w:eastAsia="Arial" w:hAnsi="Arial"/>
                <w:sz w:val="14"/>
                <w:szCs w:val="14"/>
                <w:color w:val="auto"/>
              </w:rPr>
              <w:t>27.08</w:t>
            </w:r>
          </w:p>
        </w:tc>
        <w:tc>
          <w:tcPr>
            <w:tcW w:w="660" w:type="dxa"/>
            <w:vAlign w:val="bottom"/>
          </w:tcPr>
          <w:p>
            <w:pPr>
              <w:jc w:val="right"/>
              <w:spacing w:after="0"/>
              <w:rPr>
                <w:sz w:val="20"/>
                <w:szCs w:val="20"/>
                <w:color w:val="auto"/>
              </w:rPr>
            </w:pPr>
            <w:r>
              <w:rPr>
                <w:rFonts w:ascii="Arial" w:cs="Arial" w:eastAsia="Arial" w:hAnsi="Arial"/>
                <w:sz w:val="14"/>
                <w:szCs w:val="14"/>
                <w:color w:val="auto"/>
              </w:rPr>
              <w:t>25.77</w:t>
            </w:r>
          </w:p>
        </w:tc>
        <w:tc>
          <w:tcPr>
            <w:tcW w:w="880" w:type="dxa"/>
            <w:vAlign w:val="bottom"/>
          </w:tcPr>
          <w:p>
            <w:pPr>
              <w:jc w:val="right"/>
              <w:ind w:right="49"/>
              <w:spacing w:after="0"/>
              <w:rPr>
                <w:sz w:val="20"/>
                <w:szCs w:val="20"/>
                <w:color w:val="auto"/>
              </w:rPr>
            </w:pPr>
            <w:r>
              <w:rPr>
                <w:rFonts w:ascii="Arial" w:cs="Arial" w:eastAsia="Arial" w:hAnsi="Arial"/>
                <w:sz w:val="14"/>
                <w:szCs w:val="14"/>
                <w:color w:val="auto"/>
              </w:rPr>
              <w:t>26.89</w:t>
            </w:r>
          </w:p>
        </w:tc>
      </w:tr>
      <w:tr>
        <w:trPr>
          <w:trHeight w:val="167"/>
        </w:trPr>
        <w:tc>
          <w:tcPr>
            <w:tcW w:w="1800" w:type="dxa"/>
            <w:vAlign w:val="bottom"/>
            <w:gridSpan w:val="2"/>
          </w:tcPr>
          <w:p>
            <w:pPr>
              <w:spacing w:after="0"/>
              <w:rPr>
                <w:sz w:val="20"/>
                <w:szCs w:val="20"/>
                <w:color w:val="auto"/>
              </w:rPr>
            </w:pPr>
            <w:r>
              <w:rPr>
                <w:rFonts w:ascii="Arial" w:cs="Arial" w:eastAsia="Arial" w:hAnsi="Arial"/>
                <w:sz w:val="14"/>
                <w:szCs w:val="14"/>
                <w:color w:val="auto"/>
              </w:rPr>
              <w:t>Q3</w:t>
            </w:r>
          </w:p>
        </w:tc>
        <w:tc>
          <w:tcPr>
            <w:tcW w:w="660" w:type="dxa"/>
            <w:vAlign w:val="bottom"/>
            <w:shd w:val="clear" w:color="auto" w:fill="D8D8D8"/>
          </w:tcPr>
          <w:p>
            <w:pPr>
              <w:jc w:val="right"/>
              <w:ind w:right="9"/>
              <w:spacing w:after="0"/>
              <w:rPr>
                <w:sz w:val="20"/>
                <w:szCs w:val="20"/>
                <w:color w:val="auto"/>
              </w:rPr>
            </w:pPr>
            <w:r>
              <w:rPr>
                <w:rFonts w:ascii="Arial" w:cs="Arial" w:eastAsia="Arial" w:hAnsi="Arial"/>
                <w:sz w:val="14"/>
                <w:szCs w:val="14"/>
                <w:color w:val="auto"/>
              </w:rPr>
              <w:t>30.16</w:t>
            </w:r>
          </w:p>
        </w:tc>
        <w:tc>
          <w:tcPr>
            <w:tcW w:w="720" w:type="dxa"/>
            <w:vAlign w:val="bottom"/>
          </w:tcPr>
          <w:p>
            <w:pPr>
              <w:jc w:val="right"/>
              <w:ind w:right="69"/>
              <w:spacing w:after="0"/>
              <w:rPr>
                <w:sz w:val="20"/>
                <w:szCs w:val="20"/>
                <w:color w:val="auto"/>
              </w:rPr>
            </w:pPr>
            <w:r>
              <w:rPr>
                <w:rFonts w:ascii="Arial" w:cs="Arial" w:eastAsia="Arial" w:hAnsi="Arial"/>
                <w:sz w:val="14"/>
                <w:szCs w:val="14"/>
                <w:color w:val="auto"/>
              </w:rPr>
              <w:t>27.51</w:t>
            </w:r>
          </w:p>
        </w:tc>
        <w:tc>
          <w:tcPr>
            <w:tcW w:w="760" w:type="dxa"/>
            <w:vAlign w:val="bottom"/>
          </w:tcPr>
          <w:p>
            <w:pPr>
              <w:jc w:val="right"/>
              <w:ind w:right="129"/>
              <w:spacing w:after="0"/>
              <w:rPr>
                <w:sz w:val="20"/>
                <w:szCs w:val="20"/>
                <w:color w:val="auto"/>
              </w:rPr>
            </w:pPr>
            <w:r>
              <w:rPr>
                <w:rFonts w:ascii="Arial" w:cs="Arial" w:eastAsia="Arial" w:hAnsi="Arial"/>
                <w:sz w:val="14"/>
                <w:szCs w:val="14"/>
                <w:color w:val="auto"/>
              </w:rPr>
              <w:t>26.86</w:t>
            </w:r>
          </w:p>
        </w:tc>
        <w:tc>
          <w:tcPr>
            <w:tcW w:w="660" w:type="dxa"/>
            <w:vAlign w:val="bottom"/>
          </w:tcPr>
          <w:p>
            <w:pPr>
              <w:jc w:val="right"/>
              <w:spacing w:after="0"/>
              <w:rPr>
                <w:sz w:val="20"/>
                <w:szCs w:val="20"/>
                <w:color w:val="auto"/>
              </w:rPr>
            </w:pPr>
            <w:r>
              <w:rPr>
                <w:rFonts w:ascii="Arial" w:cs="Arial" w:eastAsia="Arial" w:hAnsi="Arial"/>
                <w:sz w:val="14"/>
                <w:szCs w:val="14"/>
                <w:color w:val="auto"/>
              </w:rPr>
              <w:t>27.11</w:t>
            </w:r>
          </w:p>
        </w:tc>
        <w:tc>
          <w:tcPr>
            <w:tcW w:w="880" w:type="dxa"/>
            <w:vAlign w:val="bottom"/>
          </w:tcPr>
          <w:p>
            <w:pPr>
              <w:jc w:val="right"/>
              <w:ind w:right="49"/>
              <w:spacing w:after="0"/>
              <w:rPr>
                <w:sz w:val="20"/>
                <w:szCs w:val="20"/>
                <w:color w:val="auto"/>
              </w:rPr>
            </w:pPr>
            <w:r>
              <w:rPr>
                <w:rFonts w:ascii="Arial" w:cs="Arial" w:eastAsia="Arial" w:hAnsi="Arial"/>
                <w:sz w:val="14"/>
                <w:szCs w:val="14"/>
                <w:color w:val="auto"/>
              </w:rPr>
              <w:t>26.72</w:t>
            </w:r>
          </w:p>
        </w:tc>
      </w:tr>
      <w:tr>
        <w:trPr>
          <w:trHeight w:val="157"/>
        </w:trPr>
        <w:tc>
          <w:tcPr>
            <w:tcW w:w="1800" w:type="dxa"/>
            <w:vAlign w:val="bottom"/>
            <w:tcBorders>
              <w:bottom w:val="single" w:sz="8" w:color="auto"/>
            </w:tcBorders>
            <w:gridSpan w:val="2"/>
          </w:tcPr>
          <w:p>
            <w:pPr>
              <w:spacing w:after="0" w:line="157" w:lineRule="exact"/>
              <w:rPr>
                <w:sz w:val="20"/>
                <w:szCs w:val="20"/>
                <w:color w:val="auto"/>
              </w:rPr>
            </w:pPr>
            <w:r>
              <w:rPr>
                <w:rFonts w:ascii="Arial" w:cs="Arial" w:eastAsia="Arial" w:hAnsi="Arial"/>
                <w:sz w:val="14"/>
                <w:szCs w:val="14"/>
                <w:color w:val="auto"/>
              </w:rPr>
              <w:t>Q4</w:t>
            </w:r>
          </w:p>
        </w:tc>
        <w:tc>
          <w:tcPr>
            <w:tcW w:w="660" w:type="dxa"/>
            <w:vAlign w:val="bottom"/>
            <w:tcBorders>
              <w:bottom w:val="single" w:sz="8" w:color="auto"/>
            </w:tcBorders>
            <w:shd w:val="clear" w:color="auto" w:fill="D8D8D8"/>
          </w:tcPr>
          <w:p>
            <w:pPr>
              <w:jc w:val="right"/>
              <w:ind w:right="9"/>
              <w:spacing w:after="0" w:line="157" w:lineRule="exact"/>
              <w:rPr>
                <w:sz w:val="20"/>
                <w:szCs w:val="20"/>
                <w:color w:val="auto"/>
              </w:rPr>
            </w:pPr>
            <w:r>
              <w:rPr>
                <w:rFonts w:ascii="Arial" w:cs="Arial" w:eastAsia="Arial" w:hAnsi="Arial"/>
                <w:sz w:val="14"/>
                <w:szCs w:val="14"/>
                <w:color w:val="auto"/>
              </w:rPr>
              <w:t>31.20</w:t>
            </w:r>
          </w:p>
        </w:tc>
        <w:tc>
          <w:tcPr>
            <w:tcW w:w="720" w:type="dxa"/>
            <w:vAlign w:val="bottom"/>
            <w:tcBorders>
              <w:bottom w:val="single" w:sz="8" w:color="auto"/>
            </w:tcBorders>
          </w:tcPr>
          <w:p>
            <w:pPr>
              <w:jc w:val="right"/>
              <w:ind w:right="69"/>
              <w:spacing w:after="0" w:line="157" w:lineRule="exact"/>
              <w:rPr>
                <w:sz w:val="20"/>
                <w:szCs w:val="20"/>
                <w:color w:val="auto"/>
              </w:rPr>
            </w:pPr>
            <w:r>
              <w:rPr>
                <w:rFonts w:ascii="Arial" w:cs="Arial" w:eastAsia="Arial" w:hAnsi="Arial"/>
                <w:sz w:val="14"/>
                <w:szCs w:val="14"/>
                <w:color w:val="auto"/>
              </w:rPr>
              <w:t>26.88</w:t>
            </w:r>
          </w:p>
        </w:tc>
        <w:tc>
          <w:tcPr>
            <w:tcW w:w="760" w:type="dxa"/>
            <w:vAlign w:val="bottom"/>
            <w:tcBorders>
              <w:bottom w:val="single" w:sz="8" w:color="auto"/>
            </w:tcBorders>
          </w:tcPr>
          <w:p>
            <w:pPr>
              <w:jc w:val="right"/>
              <w:ind w:right="129"/>
              <w:spacing w:after="0" w:line="157" w:lineRule="exact"/>
              <w:rPr>
                <w:sz w:val="20"/>
                <w:szCs w:val="20"/>
                <w:color w:val="auto"/>
              </w:rPr>
            </w:pPr>
            <w:r>
              <w:rPr>
                <w:rFonts w:ascii="Arial" w:cs="Arial" w:eastAsia="Arial" w:hAnsi="Arial"/>
                <w:sz w:val="14"/>
                <w:szCs w:val="14"/>
                <w:color w:val="auto"/>
              </w:rPr>
              <w:t>28.79</w:t>
            </w:r>
          </w:p>
        </w:tc>
        <w:tc>
          <w:tcPr>
            <w:tcW w:w="660" w:type="dxa"/>
            <w:vAlign w:val="bottom"/>
            <w:tcBorders>
              <w:bottom w:val="single" w:sz="8" w:color="auto"/>
            </w:tcBorders>
          </w:tcPr>
          <w:p>
            <w:pPr>
              <w:jc w:val="right"/>
              <w:spacing w:after="0" w:line="157" w:lineRule="exact"/>
              <w:rPr>
                <w:sz w:val="20"/>
                <w:szCs w:val="20"/>
                <w:color w:val="auto"/>
              </w:rPr>
            </w:pPr>
            <w:r>
              <w:rPr>
                <w:rFonts w:ascii="Arial" w:cs="Arial" w:eastAsia="Arial" w:hAnsi="Arial"/>
                <w:sz w:val="14"/>
                <w:szCs w:val="14"/>
                <w:color w:val="auto"/>
              </w:rPr>
              <w:t>26.74</w:t>
            </w:r>
          </w:p>
        </w:tc>
        <w:tc>
          <w:tcPr>
            <w:tcW w:w="880" w:type="dxa"/>
            <w:vAlign w:val="bottom"/>
            <w:tcBorders>
              <w:bottom w:val="single" w:sz="8" w:color="auto"/>
            </w:tcBorders>
          </w:tcPr>
          <w:p>
            <w:pPr>
              <w:jc w:val="right"/>
              <w:ind w:right="49"/>
              <w:spacing w:after="0" w:line="157" w:lineRule="exact"/>
              <w:rPr>
                <w:sz w:val="20"/>
                <w:szCs w:val="20"/>
                <w:color w:val="auto"/>
              </w:rPr>
            </w:pPr>
            <w:r>
              <w:rPr>
                <w:rFonts w:ascii="Arial" w:cs="Arial" w:eastAsia="Arial" w:hAnsi="Arial"/>
                <w:sz w:val="14"/>
                <w:szCs w:val="14"/>
                <w:color w:val="auto"/>
              </w:rPr>
              <w:t>25.82</w:t>
            </w:r>
          </w:p>
        </w:tc>
      </w:tr>
      <w:tr>
        <w:trPr>
          <w:trHeight w:val="160"/>
        </w:trPr>
        <w:tc>
          <w:tcPr>
            <w:tcW w:w="1800" w:type="dxa"/>
            <w:vAlign w:val="bottom"/>
            <w:gridSpan w:val="2"/>
          </w:tcPr>
          <w:p>
            <w:pPr>
              <w:spacing w:after="0"/>
              <w:rPr>
                <w:sz w:val="20"/>
                <w:szCs w:val="20"/>
                <w:color w:val="auto"/>
              </w:rPr>
            </w:pPr>
            <w:r>
              <w:rPr>
                <w:rFonts w:ascii="Arial" w:cs="Arial" w:eastAsia="Arial" w:hAnsi="Arial"/>
                <w:sz w:val="14"/>
                <w:szCs w:val="14"/>
                <w:color w:val="auto"/>
              </w:rPr>
              <w:t>Total announced in respect</w:t>
            </w:r>
          </w:p>
        </w:tc>
        <w:tc>
          <w:tcPr>
            <w:tcW w:w="660" w:type="dxa"/>
            <w:vAlign w:val="bottom"/>
            <w:shd w:val="clear" w:color="auto" w:fill="D8D8D8"/>
          </w:tcPr>
          <w:p>
            <w:pPr>
              <w:spacing w:after="0"/>
              <w:rPr>
                <w:sz w:val="13"/>
                <w:szCs w:val="13"/>
                <w:color w:val="auto"/>
              </w:rPr>
            </w:pP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80" w:type="dxa"/>
            <w:vAlign w:val="bottom"/>
          </w:tcPr>
          <w:p>
            <w:pPr>
              <w:spacing w:after="0"/>
              <w:rPr>
                <w:sz w:val="13"/>
                <w:szCs w:val="13"/>
                <w:color w:val="auto"/>
              </w:rPr>
            </w:pPr>
          </w:p>
        </w:tc>
      </w:tr>
      <w:tr>
        <w:trPr>
          <w:trHeight w:val="157"/>
        </w:trPr>
        <w:tc>
          <w:tcPr>
            <w:tcW w:w="1800" w:type="dxa"/>
            <w:vAlign w:val="bottom"/>
            <w:tcBorders>
              <w:bottom w:val="single" w:sz="8" w:color="auto"/>
            </w:tcBorders>
            <w:gridSpan w:val="2"/>
          </w:tcPr>
          <w:p>
            <w:pPr>
              <w:spacing w:after="0" w:line="157" w:lineRule="exact"/>
              <w:rPr>
                <w:sz w:val="20"/>
                <w:szCs w:val="20"/>
                <w:color w:val="auto"/>
              </w:rPr>
            </w:pPr>
            <w:r>
              <w:rPr>
                <w:rFonts w:ascii="Arial" w:cs="Arial" w:eastAsia="Arial" w:hAnsi="Arial"/>
                <w:sz w:val="14"/>
                <w:szCs w:val="14"/>
                <w:color w:val="auto"/>
              </w:rPr>
              <w:t>of the year</w:t>
            </w:r>
          </w:p>
        </w:tc>
        <w:tc>
          <w:tcPr>
            <w:tcW w:w="660" w:type="dxa"/>
            <w:vAlign w:val="bottom"/>
            <w:tcBorders>
              <w:bottom w:val="single" w:sz="8" w:color="auto"/>
            </w:tcBorders>
            <w:shd w:val="clear" w:color="auto" w:fill="D8D8D8"/>
          </w:tcPr>
          <w:p>
            <w:pPr>
              <w:jc w:val="right"/>
              <w:ind w:right="9"/>
              <w:spacing w:after="0" w:line="157" w:lineRule="exact"/>
              <w:rPr>
                <w:sz w:val="20"/>
                <w:szCs w:val="20"/>
                <w:color w:val="auto"/>
              </w:rPr>
            </w:pPr>
            <w:r>
              <w:rPr>
                <w:rFonts w:ascii="Arial" w:cs="Arial" w:eastAsia="Arial" w:hAnsi="Arial"/>
                <w:sz w:val="14"/>
                <w:szCs w:val="14"/>
                <w:color w:val="auto"/>
              </w:rPr>
              <w:t>118.48</w:t>
            </w:r>
          </w:p>
        </w:tc>
        <w:tc>
          <w:tcPr>
            <w:tcW w:w="720" w:type="dxa"/>
            <w:vAlign w:val="bottom"/>
            <w:tcBorders>
              <w:bottom w:val="single" w:sz="8" w:color="auto"/>
            </w:tcBorders>
          </w:tcPr>
          <w:p>
            <w:pPr>
              <w:jc w:val="right"/>
              <w:ind w:right="69"/>
              <w:spacing w:after="0" w:line="157" w:lineRule="exact"/>
              <w:rPr>
                <w:sz w:val="20"/>
                <w:szCs w:val="20"/>
                <w:color w:val="auto"/>
              </w:rPr>
            </w:pPr>
            <w:r>
              <w:rPr>
                <w:rFonts w:ascii="Arial" w:cs="Arial" w:eastAsia="Arial" w:hAnsi="Arial"/>
                <w:sz w:val="14"/>
                <w:szCs w:val="14"/>
                <w:color w:val="auto"/>
              </w:rPr>
              <w:t>112.05</w:t>
            </w:r>
          </w:p>
        </w:tc>
        <w:tc>
          <w:tcPr>
            <w:tcW w:w="760" w:type="dxa"/>
            <w:vAlign w:val="bottom"/>
            <w:tcBorders>
              <w:bottom w:val="single" w:sz="8" w:color="auto"/>
            </w:tcBorders>
          </w:tcPr>
          <w:p>
            <w:pPr>
              <w:jc w:val="right"/>
              <w:ind w:right="129"/>
              <w:spacing w:after="0" w:line="157" w:lineRule="exact"/>
              <w:rPr>
                <w:sz w:val="20"/>
                <w:szCs w:val="20"/>
                <w:color w:val="auto"/>
              </w:rPr>
            </w:pPr>
            <w:r>
              <w:rPr>
                <w:rFonts w:ascii="Arial" w:cs="Arial" w:eastAsia="Arial" w:hAnsi="Arial"/>
                <w:sz w:val="14"/>
                <w:szCs w:val="14"/>
                <w:color w:val="auto"/>
              </w:rPr>
              <w:t>110.65</w:t>
            </w:r>
          </w:p>
        </w:tc>
        <w:tc>
          <w:tcPr>
            <w:tcW w:w="660" w:type="dxa"/>
            <w:vAlign w:val="bottom"/>
            <w:tcBorders>
              <w:bottom w:val="single" w:sz="8" w:color="auto"/>
            </w:tcBorders>
          </w:tcPr>
          <w:p>
            <w:pPr>
              <w:jc w:val="right"/>
              <w:spacing w:after="0" w:line="157" w:lineRule="exact"/>
              <w:rPr>
                <w:sz w:val="20"/>
                <w:szCs w:val="20"/>
                <w:color w:val="auto"/>
              </w:rPr>
            </w:pPr>
            <w:r>
              <w:rPr>
                <w:rFonts w:ascii="Arial" w:cs="Arial" w:eastAsia="Arial" w:hAnsi="Arial"/>
                <w:sz w:val="14"/>
                <w:szCs w:val="14"/>
                <w:color w:val="auto"/>
              </w:rPr>
              <w:t>105.33</w:t>
            </w:r>
          </w:p>
        </w:tc>
        <w:tc>
          <w:tcPr>
            <w:tcW w:w="880" w:type="dxa"/>
            <w:vAlign w:val="bottom"/>
            <w:tcBorders>
              <w:bottom w:val="single" w:sz="8" w:color="auto"/>
            </w:tcBorders>
          </w:tcPr>
          <w:p>
            <w:pPr>
              <w:jc w:val="right"/>
              <w:ind w:right="49"/>
              <w:spacing w:after="0" w:line="157" w:lineRule="exact"/>
              <w:rPr>
                <w:sz w:val="20"/>
                <w:szCs w:val="20"/>
                <w:color w:val="auto"/>
              </w:rPr>
            </w:pPr>
            <w:r>
              <w:rPr>
                <w:rFonts w:ascii="Arial" w:cs="Arial" w:eastAsia="Arial" w:hAnsi="Arial"/>
                <w:sz w:val="14"/>
                <w:szCs w:val="14"/>
                <w:color w:val="auto"/>
              </w:rPr>
              <w:t>106.80</w:t>
            </w:r>
          </w:p>
        </w:tc>
      </w:tr>
      <w:tr>
        <w:trPr>
          <w:trHeight w:val="160"/>
        </w:trPr>
        <w:tc>
          <w:tcPr>
            <w:tcW w:w="1800" w:type="dxa"/>
            <w:vAlign w:val="bottom"/>
            <w:gridSpan w:val="2"/>
          </w:tcPr>
          <w:p>
            <w:pPr>
              <w:spacing w:after="0"/>
              <w:rPr>
                <w:sz w:val="20"/>
                <w:szCs w:val="20"/>
                <w:color w:val="auto"/>
              </w:rPr>
            </w:pPr>
            <w:r>
              <w:rPr>
                <w:rFonts w:ascii="Arial" w:cs="Arial" w:eastAsia="Arial" w:hAnsi="Arial"/>
                <w:sz w:val="14"/>
                <w:szCs w:val="14"/>
                <w:color w:val="auto"/>
              </w:rPr>
              <w:t>Amount paid during the</w:t>
            </w:r>
          </w:p>
        </w:tc>
        <w:tc>
          <w:tcPr>
            <w:tcW w:w="660" w:type="dxa"/>
            <w:vAlign w:val="bottom"/>
            <w:shd w:val="clear" w:color="auto" w:fill="D8D8D8"/>
          </w:tcPr>
          <w:p>
            <w:pPr>
              <w:spacing w:after="0"/>
              <w:rPr>
                <w:sz w:val="13"/>
                <w:szCs w:val="13"/>
                <w:color w:val="auto"/>
              </w:rPr>
            </w:pP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80" w:type="dxa"/>
            <w:vAlign w:val="bottom"/>
          </w:tcPr>
          <w:p>
            <w:pPr>
              <w:spacing w:after="0"/>
              <w:rPr>
                <w:sz w:val="13"/>
                <w:szCs w:val="13"/>
                <w:color w:val="auto"/>
              </w:rPr>
            </w:pPr>
          </w:p>
        </w:tc>
      </w:tr>
      <w:tr>
        <w:trPr>
          <w:trHeight w:val="157"/>
        </w:trPr>
        <w:tc>
          <w:tcPr>
            <w:tcW w:w="1800" w:type="dxa"/>
            <w:vAlign w:val="bottom"/>
            <w:gridSpan w:val="2"/>
          </w:tcPr>
          <w:p>
            <w:pPr>
              <w:spacing w:after="0" w:line="157" w:lineRule="exact"/>
              <w:rPr>
                <w:sz w:val="20"/>
                <w:szCs w:val="20"/>
                <w:color w:val="auto"/>
              </w:rPr>
            </w:pPr>
            <w:r>
              <w:rPr>
                <w:rFonts w:ascii="Arial" w:cs="Arial" w:eastAsia="Arial" w:hAnsi="Arial"/>
                <w:sz w:val="14"/>
                <w:szCs w:val="14"/>
                <w:color w:val="auto"/>
              </w:rPr>
              <w:t>year</w:t>
            </w:r>
          </w:p>
        </w:tc>
        <w:tc>
          <w:tcPr>
            <w:tcW w:w="660" w:type="dxa"/>
            <w:vAlign w:val="bottom"/>
            <w:shd w:val="clear" w:color="auto" w:fill="D8D8D8"/>
          </w:tcPr>
          <w:p>
            <w:pPr>
              <w:jc w:val="right"/>
              <w:ind w:right="9"/>
              <w:spacing w:after="0" w:line="157" w:lineRule="exact"/>
              <w:rPr>
                <w:sz w:val="20"/>
                <w:szCs w:val="20"/>
                <w:color w:val="auto"/>
              </w:rPr>
            </w:pPr>
            <w:r>
              <w:rPr>
                <w:rFonts w:ascii="Arial" w:cs="Arial" w:eastAsia="Arial" w:hAnsi="Arial"/>
                <w:sz w:val="14"/>
                <w:szCs w:val="14"/>
                <w:color w:val="auto"/>
              </w:rPr>
              <w:t>114.16</w:t>
            </w:r>
          </w:p>
        </w:tc>
        <w:tc>
          <w:tcPr>
            <w:tcW w:w="720" w:type="dxa"/>
            <w:vAlign w:val="bottom"/>
          </w:tcPr>
          <w:p>
            <w:pPr>
              <w:jc w:val="right"/>
              <w:ind w:right="69"/>
              <w:spacing w:after="0" w:line="157" w:lineRule="exact"/>
              <w:rPr>
                <w:sz w:val="20"/>
                <w:szCs w:val="20"/>
                <w:color w:val="auto"/>
              </w:rPr>
            </w:pPr>
            <w:r>
              <w:rPr>
                <w:rFonts w:ascii="Arial" w:cs="Arial" w:eastAsia="Arial" w:hAnsi="Arial"/>
                <w:sz w:val="14"/>
                <w:szCs w:val="14"/>
                <w:color w:val="auto"/>
              </w:rPr>
              <w:t>113.96</w:t>
            </w:r>
          </w:p>
        </w:tc>
        <w:tc>
          <w:tcPr>
            <w:tcW w:w="760" w:type="dxa"/>
            <w:vAlign w:val="bottom"/>
          </w:tcPr>
          <w:p>
            <w:pPr>
              <w:jc w:val="right"/>
              <w:ind w:right="129"/>
              <w:spacing w:after="0" w:line="157" w:lineRule="exact"/>
              <w:rPr>
                <w:sz w:val="20"/>
                <w:szCs w:val="20"/>
                <w:color w:val="auto"/>
              </w:rPr>
            </w:pPr>
            <w:r>
              <w:rPr>
                <w:rFonts w:ascii="Arial" w:cs="Arial" w:eastAsia="Arial" w:hAnsi="Arial"/>
                <w:sz w:val="14"/>
                <w:szCs w:val="14"/>
                <w:color w:val="auto"/>
              </w:rPr>
              <w:t>108.60</w:t>
            </w:r>
          </w:p>
        </w:tc>
        <w:tc>
          <w:tcPr>
            <w:tcW w:w="660" w:type="dxa"/>
            <w:vAlign w:val="bottom"/>
          </w:tcPr>
          <w:p>
            <w:pPr>
              <w:jc w:val="right"/>
              <w:spacing w:after="0" w:line="157" w:lineRule="exact"/>
              <w:rPr>
                <w:sz w:val="20"/>
                <w:szCs w:val="20"/>
                <w:color w:val="auto"/>
              </w:rPr>
            </w:pPr>
            <w:r>
              <w:rPr>
                <w:rFonts w:ascii="Arial" w:cs="Arial" w:eastAsia="Arial" w:hAnsi="Arial"/>
                <w:sz w:val="14"/>
                <w:szCs w:val="14"/>
                <w:color w:val="auto"/>
              </w:rPr>
              <w:t>104.41</w:t>
            </w:r>
          </w:p>
        </w:tc>
        <w:tc>
          <w:tcPr>
            <w:tcW w:w="880" w:type="dxa"/>
            <w:vAlign w:val="bottom"/>
          </w:tcPr>
          <w:p>
            <w:pPr>
              <w:jc w:val="right"/>
              <w:ind w:right="49"/>
              <w:spacing w:after="0" w:line="157" w:lineRule="exact"/>
              <w:rPr>
                <w:sz w:val="20"/>
                <w:szCs w:val="20"/>
                <w:color w:val="auto"/>
              </w:rPr>
            </w:pPr>
            <w:r>
              <w:rPr>
                <w:rFonts w:ascii="Arial" w:cs="Arial" w:eastAsia="Arial" w:hAnsi="Arial"/>
                <w:sz w:val="14"/>
                <w:szCs w:val="14"/>
                <w:color w:val="auto"/>
              </w:rPr>
              <w:t>107.34</w:t>
            </w:r>
          </w:p>
        </w:tc>
      </w:tr>
      <w:tr>
        <w:trPr>
          <w:trHeight w:val="123"/>
        </w:trPr>
        <w:tc>
          <w:tcPr>
            <w:tcW w:w="20" w:type="dxa"/>
            <w:vAlign w:val="bottom"/>
          </w:tcPr>
          <w:p>
            <w:pPr>
              <w:spacing w:after="0"/>
              <w:rPr>
                <w:sz w:val="10"/>
                <w:szCs w:val="10"/>
                <w:color w:val="auto"/>
              </w:rPr>
            </w:pPr>
          </w:p>
        </w:tc>
        <w:tc>
          <w:tcPr>
            <w:tcW w:w="1780" w:type="dxa"/>
            <w:vAlign w:val="bottom"/>
            <w:tcBorders>
              <w:top w:val="single" w:sz="8" w:color="auto"/>
            </w:tcBorders>
          </w:tcPr>
          <w:p>
            <w:pPr>
              <w:spacing w:after="0" w:line="123" w:lineRule="exact"/>
              <w:rPr>
                <w:sz w:val="20"/>
                <w:szCs w:val="20"/>
                <w:color w:val="auto"/>
              </w:rPr>
            </w:pPr>
            <w:r>
              <w:rPr>
                <w:rFonts w:ascii="Arial" w:cs="Arial" w:eastAsia="Arial" w:hAnsi="Arial"/>
                <w:sz w:val="11"/>
                <w:szCs w:val="11"/>
                <w:color w:val="auto"/>
              </w:rPr>
              <w:t>[A] Sterling equivalent.</w:t>
            </w:r>
          </w:p>
        </w:tc>
        <w:tc>
          <w:tcPr>
            <w:tcW w:w="66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76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880" w:type="dxa"/>
            <w:vAlign w:val="bottom"/>
            <w:tcBorders>
              <w:top w:val="single" w:sz="8" w:color="auto"/>
            </w:tcBorders>
          </w:tcPr>
          <w:p>
            <w:pPr>
              <w:spacing w:after="0"/>
              <w:rPr>
                <w:sz w:val="10"/>
                <w:szCs w:val="10"/>
                <w:color w:val="auto"/>
              </w:rPr>
            </w:pPr>
          </w:p>
        </w:tc>
      </w:tr>
    </w:tbl>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1800" w:type="dxa"/>
            <w:vAlign w:val="bottom"/>
            <w:shd w:val="clear" w:color="auto" w:fill="333333"/>
          </w:tcPr>
          <w:p>
            <w:pPr>
              <w:ind w:left="80"/>
              <w:spacing w:after="0"/>
              <w:rPr>
                <w:sz w:val="20"/>
                <w:szCs w:val="20"/>
                <w:color w:val="auto"/>
              </w:rPr>
            </w:pPr>
            <w:r>
              <w:rPr>
                <w:rFonts w:ascii="Arial" w:cs="Arial" w:eastAsia="Arial" w:hAnsi="Arial"/>
                <w:sz w:val="15"/>
                <w:szCs w:val="15"/>
                <w:b w:val="1"/>
                <w:bCs w:val="1"/>
                <w:color w:val="FFFFFF"/>
              </w:rPr>
              <w:t>A AND B ADSs</w:t>
            </w:r>
          </w:p>
        </w:tc>
        <w:tc>
          <w:tcPr>
            <w:tcW w:w="660" w:type="dxa"/>
            <w:vAlign w:val="bottom"/>
            <w:shd w:val="clear" w:color="auto" w:fill="333333"/>
          </w:tcPr>
          <w:p>
            <w:pPr>
              <w:spacing w:after="0"/>
              <w:rPr>
                <w:sz w:val="15"/>
                <w:szCs w:val="15"/>
                <w:color w:val="auto"/>
              </w:rPr>
            </w:pPr>
          </w:p>
        </w:tc>
        <w:tc>
          <w:tcPr>
            <w:tcW w:w="800" w:type="dxa"/>
            <w:vAlign w:val="bottom"/>
            <w:shd w:val="clear" w:color="auto" w:fill="333333"/>
          </w:tcPr>
          <w:p>
            <w:pPr>
              <w:spacing w:after="0"/>
              <w:rPr>
                <w:sz w:val="15"/>
                <w:szCs w:val="15"/>
                <w:color w:val="auto"/>
              </w:rPr>
            </w:pPr>
          </w:p>
        </w:tc>
        <w:tc>
          <w:tcPr>
            <w:tcW w:w="760" w:type="dxa"/>
            <w:vAlign w:val="bottom"/>
            <w:shd w:val="clear" w:color="auto" w:fill="333333"/>
          </w:tcPr>
          <w:p>
            <w:pPr>
              <w:spacing w:after="0"/>
              <w:rPr>
                <w:sz w:val="15"/>
                <w:szCs w:val="15"/>
                <w:color w:val="auto"/>
              </w:rPr>
            </w:pPr>
          </w:p>
        </w:tc>
        <w:tc>
          <w:tcPr>
            <w:tcW w:w="820" w:type="dxa"/>
            <w:vAlign w:val="bottom"/>
            <w:shd w:val="clear" w:color="auto" w:fill="333333"/>
          </w:tcPr>
          <w:p>
            <w:pPr>
              <w:spacing w:after="0"/>
              <w:rPr>
                <w:sz w:val="15"/>
                <w:szCs w:val="15"/>
                <w:color w:val="auto"/>
              </w:rPr>
            </w:pPr>
          </w:p>
        </w:tc>
        <w:tc>
          <w:tcPr>
            <w:tcW w:w="640" w:type="dxa"/>
            <w:vAlign w:val="bottom"/>
            <w:shd w:val="clear" w:color="auto" w:fill="333333"/>
          </w:tcPr>
          <w:p>
            <w:pPr>
              <w:jc w:val="right"/>
              <w:ind w:right="49"/>
              <w:spacing w:after="0"/>
              <w:rPr>
                <w:sz w:val="20"/>
                <w:szCs w:val="20"/>
                <w:color w:val="auto"/>
              </w:rPr>
            </w:pPr>
            <w:r>
              <w:rPr>
                <w:rFonts w:ascii="Arial" w:cs="Arial" w:eastAsia="Arial" w:hAnsi="Arial"/>
                <w:sz w:val="15"/>
                <w:szCs w:val="15"/>
                <w:color w:val="FFFFFF"/>
              </w:rPr>
              <w:t>$</w:t>
            </w:r>
          </w:p>
        </w:tc>
      </w:tr>
      <w:tr>
        <w:trPr>
          <w:trHeight w:val="149"/>
        </w:trPr>
        <w:tc>
          <w:tcPr>
            <w:tcW w:w="180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shd w:val="clear" w:color="auto" w:fill="D8D8D8"/>
          </w:tcPr>
          <w:p>
            <w:pPr>
              <w:jc w:val="right"/>
              <w:ind w:right="9"/>
              <w:spacing w:after="0"/>
              <w:rPr>
                <w:sz w:val="20"/>
                <w:szCs w:val="20"/>
                <w:color w:val="auto"/>
              </w:rPr>
            </w:pPr>
            <w:r>
              <w:rPr>
                <w:rFonts w:ascii="Arial" w:cs="Arial" w:eastAsia="Arial" w:hAnsi="Arial"/>
                <w:sz w:val="13"/>
                <w:szCs w:val="13"/>
                <w:color w:val="auto"/>
              </w:rPr>
              <w:t>2014</w:t>
            </w:r>
          </w:p>
        </w:tc>
        <w:tc>
          <w:tcPr>
            <w:tcW w:w="800" w:type="dxa"/>
            <w:vAlign w:val="bottom"/>
            <w:tcBorders>
              <w:bottom w:val="single" w:sz="8" w:color="auto"/>
            </w:tcBorders>
          </w:tcPr>
          <w:p>
            <w:pPr>
              <w:jc w:val="right"/>
              <w:ind w:right="149"/>
              <w:spacing w:after="0"/>
              <w:rPr>
                <w:sz w:val="20"/>
                <w:szCs w:val="20"/>
                <w:color w:val="auto"/>
              </w:rPr>
            </w:pPr>
            <w:r>
              <w:rPr>
                <w:rFonts w:ascii="Arial" w:cs="Arial" w:eastAsia="Arial" w:hAnsi="Arial"/>
                <w:sz w:val="13"/>
                <w:szCs w:val="13"/>
                <w:color w:val="auto"/>
              </w:rPr>
              <w:t>2013</w:t>
            </w:r>
          </w:p>
        </w:tc>
        <w:tc>
          <w:tcPr>
            <w:tcW w:w="760" w:type="dxa"/>
            <w:vAlign w:val="bottom"/>
            <w:tcBorders>
              <w:bottom w:val="single" w:sz="8" w:color="auto"/>
            </w:tcBorders>
          </w:tcPr>
          <w:p>
            <w:pPr>
              <w:jc w:val="right"/>
              <w:ind w:right="209"/>
              <w:spacing w:after="0"/>
              <w:rPr>
                <w:sz w:val="20"/>
                <w:szCs w:val="20"/>
                <w:color w:val="auto"/>
              </w:rPr>
            </w:pPr>
            <w:r>
              <w:rPr>
                <w:rFonts w:ascii="Arial" w:cs="Arial" w:eastAsia="Arial" w:hAnsi="Arial"/>
                <w:sz w:val="13"/>
                <w:szCs w:val="13"/>
                <w:color w:val="auto"/>
              </w:rPr>
              <w:t>2012</w:t>
            </w:r>
          </w:p>
        </w:tc>
        <w:tc>
          <w:tcPr>
            <w:tcW w:w="820" w:type="dxa"/>
            <w:vAlign w:val="bottom"/>
            <w:tcBorders>
              <w:bottom w:val="single" w:sz="8" w:color="auto"/>
            </w:tcBorders>
          </w:tcPr>
          <w:p>
            <w:pPr>
              <w:jc w:val="right"/>
              <w:ind w:right="189"/>
              <w:spacing w:after="0"/>
              <w:rPr>
                <w:sz w:val="20"/>
                <w:szCs w:val="20"/>
                <w:color w:val="auto"/>
              </w:rPr>
            </w:pPr>
            <w:r>
              <w:rPr>
                <w:rFonts w:ascii="Arial" w:cs="Arial" w:eastAsia="Arial" w:hAnsi="Arial"/>
                <w:sz w:val="13"/>
                <w:szCs w:val="13"/>
                <w:color w:val="auto"/>
              </w:rPr>
              <w:t>2011</w:t>
            </w:r>
          </w:p>
        </w:tc>
        <w:tc>
          <w:tcPr>
            <w:tcW w:w="640" w:type="dxa"/>
            <w:vAlign w:val="bottom"/>
            <w:tcBorders>
              <w:bottom w:val="single" w:sz="8" w:color="auto"/>
            </w:tcBorders>
          </w:tcPr>
          <w:p>
            <w:pPr>
              <w:jc w:val="right"/>
              <w:ind w:right="49"/>
              <w:spacing w:after="0"/>
              <w:rPr>
                <w:sz w:val="20"/>
                <w:szCs w:val="20"/>
                <w:color w:val="auto"/>
              </w:rPr>
            </w:pPr>
            <w:r>
              <w:rPr>
                <w:rFonts w:ascii="Arial" w:cs="Arial" w:eastAsia="Arial" w:hAnsi="Arial"/>
                <w:sz w:val="13"/>
                <w:szCs w:val="13"/>
                <w:color w:val="auto"/>
              </w:rPr>
              <w:t>2010</w:t>
            </w:r>
          </w:p>
        </w:tc>
      </w:tr>
      <w:tr>
        <w:trPr>
          <w:trHeight w:val="156"/>
        </w:trPr>
        <w:tc>
          <w:tcPr>
            <w:tcW w:w="1800" w:type="dxa"/>
            <w:vAlign w:val="bottom"/>
          </w:tcPr>
          <w:p>
            <w:pPr>
              <w:spacing w:after="0" w:line="155" w:lineRule="exact"/>
              <w:rPr>
                <w:sz w:val="20"/>
                <w:szCs w:val="20"/>
                <w:color w:val="auto"/>
              </w:rPr>
            </w:pPr>
            <w:r>
              <w:rPr>
                <w:rFonts w:ascii="Arial" w:cs="Arial" w:eastAsia="Arial" w:hAnsi="Arial"/>
                <w:sz w:val="14"/>
                <w:szCs w:val="14"/>
                <w:color w:val="auto"/>
              </w:rPr>
              <w:t>Q1</w:t>
            </w:r>
          </w:p>
        </w:tc>
        <w:tc>
          <w:tcPr>
            <w:tcW w:w="660" w:type="dxa"/>
            <w:vAlign w:val="bottom"/>
            <w:shd w:val="clear" w:color="auto" w:fill="D8D8D8"/>
          </w:tcPr>
          <w:p>
            <w:pPr>
              <w:jc w:val="right"/>
              <w:ind w:right="9"/>
              <w:spacing w:after="0" w:line="155" w:lineRule="exact"/>
              <w:rPr>
                <w:sz w:val="20"/>
                <w:szCs w:val="20"/>
                <w:color w:val="auto"/>
              </w:rPr>
            </w:pPr>
            <w:r>
              <w:rPr>
                <w:rFonts w:ascii="Arial" w:cs="Arial" w:eastAsia="Arial" w:hAnsi="Arial"/>
                <w:sz w:val="14"/>
                <w:szCs w:val="14"/>
                <w:color w:val="auto"/>
                <w:highlight w:val="lightGray"/>
              </w:rPr>
              <w:t>0.94</w:t>
            </w:r>
          </w:p>
        </w:tc>
        <w:tc>
          <w:tcPr>
            <w:tcW w:w="800" w:type="dxa"/>
            <w:vAlign w:val="bottom"/>
          </w:tcPr>
          <w:p>
            <w:pPr>
              <w:jc w:val="right"/>
              <w:ind w:right="149"/>
              <w:spacing w:after="0" w:line="155" w:lineRule="exact"/>
              <w:rPr>
                <w:sz w:val="20"/>
                <w:szCs w:val="20"/>
                <w:color w:val="auto"/>
              </w:rPr>
            </w:pPr>
            <w:r>
              <w:rPr>
                <w:rFonts w:ascii="Arial" w:cs="Arial" w:eastAsia="Arial" w:hAnsi="Arial"/>
                <w:sz w:val="14"/>
                <w:szCs w:val="14"/>
                <w:color w:val="auto"/>
              </w:rPr>
              <w:t>0.90</w:t>
            </w:r>
          </w:p>
        </w:tc>
        <w:tc>
          <w:tcPr>
            <w:tcW w:w="760" w:type="dxa"/>
            <w:vAlign w:val="bottom"/>
          </w:tcPr>
          <w:p>
            <w:pPr>
              <w:jc w:val="right"/>
              <w:ind w:right="209"/>
              <w:spacing w:after="0" w:line="155" w:lineRule="exact"/>
              <w:rPr>
                <w:sz w:val="20"/>
                <w:szCs w:val="20"/>
                <w:color w:val="auto"/>
              </w:rPr>
            </w:pPr>
            <w:r>
              <w:rPr>
                <w:rFonts w:ascii="Arial" w:cs="Arial" w:eastAsia="Arial" w:hAnsi="Arial"/>
                <w:sz w:val="14"/>
                <w:szCs w:val="14"/>
                <w:color w:val="auto"/>
              </w:rPr>
              <w:t>0.86</w:t>
            </w:r>
          </w:p>
        </w:tc>
        <w:tc>
          <w:tcPr>
            <w:tcW w:w="820" w:type="dxa"/>
            <w:vAlign w:val="bottom"/>
          </w:tcPr>
          <w:p>
            <w:pPr>
              <w:jc w:val="right"/>
              <w:ind w:right="189"/>
              <w:spacing w:after="0" w:line="155" w:lineRule="exact"/>
              <w:rPr>
                <w:sz w:val="20"/>
                <w:szCs w:val="20"/>
                <w:color w:val="auto"/>
              </w:rPr>
            </w:pPr>
            <w:r>
              <w:rPr>
                <w:rFonts w:ascii="Arial" w:cs="Arial" w:eastAsia="Arial" w:hAnsi="Arial"/>
                <w:sz w:val="14"/>
                <w:szCs w:val="14"/>
                <w:color w:val="auto"/>
              </w:rPr>
              <w:t>0.84</w:t>
            </w:r>
          </w:p>
        </w:tc>
        <w:tc>
          <w:tcPr>
            <w:tcW w:w="640" w:type="dxa"/>
            <w:vAlign w:val="bottom"/>
          </w:tcPr>
          <w:p>
            <w:pPr>
              <w:jc w:val="right"/>
              <w:ind w:right="49"/>
              <w:spacing w:after="0" w:line="155" w:lineRule="exact"/>
              <w:rPr>
                <w:sz w:val="20"/>
                <w:szCs w:val="20"/>
                <w:color w:val="auto"/>
              </w:rPr>
            </w:pPr>
            <w:r>
              <w:rPr>
                <w:rFonts w:ascii="Arial" w:cs="Arial" w:eastAsia="Arial" w:hAnsi="Arial"/>
                <w:sz w:val="14"/>
                <w:szCs w:val="14"/>
                <w:color w:val="auto"/>
              </w:rPr>
              <w:t>0.84</w:t>
            </w:r>
          </w:p>
        </w:tc>
      </w:tr>
      <w:tr>
        <w:trPr>
          <w:trHeight w:val="162"/>
        </w:trPr>
        <w:tc>
          <w:tcPr>
            <w:tcW w:w="1800" w:type="dxa"/>
            <w:vAlign w:val="bottom"/>
          </w:tcPr>
          <w:p>
            <w:pPr>
              <w:spacing w:after="0"/>
              <w:rPr>
                <w:sz w:val="20"/>
                <w:szCs w:val="20"/>
                <w:color w:val="auto"/>
              </w:rPr>
            </w:pPr>
            <w:r>
              <w:rPr>
                <w:rFonts w:ascii="Arial" w:cs="Arial" w:eastAsia="Arial" w:hAnsi="Arial"/>
                <w:sz w:val="14"/>
                <w:szCs w:val="14"/>
                <w:color w:val="auto"/>
              </w:rPr>
              <w:t>Q2</w:t>
            </w:r>
          </w:p>
        </w:tc>
        <w:tc>
          <w:tcPr>
            <w:tcW w:w="660" w:type="dxa"/>
            <w:vAlign w:val="bottom"/>
            <w:shd w:val="clear" w:color="auto" w:fill="D8D8D8"/>
          </w:tcPr>
          <w:p>
            <w:pPr>
              <w:jc w:val="right"/>
              <w:ind w:right="9"/>
              <w:spacing w:after="0"/>
              <w:rPr>
                <w:sz w:val="20"/>
                <w:szCs w:val="20"/>
                <w:color w:val="auto"/>
              </w:rPr>
            </w:pPr>
            <w:r>
              <w:rPr>
                <w:rFonts w:ascii="Arial" w:cs="Arial" w:eastAsia="Arial" w:hAnsi="Arial"/>
                <w:sz w:val="14"/>
                <w:szCs w:val="14"/>
                <w:color w:val="auto"/>
              </w:rPr>
              <w:t>0.94</w:t>
            </w:r>
          </w:p>
        </w:tc>
        <w:tc>
          <w:tcPr>
            <w:tcW w:w="800" w:type="dxa"/>
            <w:vAlign w:val="bottom"/>
          </w:tcPr>
          <w:p>
            <w:pPr>
              <w:jc w:val="right"/>
              <w:ind w:right="149"/>
              <w:spacing w:after="0"/>
              <w:rPr>
                <w:sz w:val="20"/>
                <w:szCs w:val="20"/>
                <w:color w:val="auto"/>
              </w:rPr>
            </w:pPr>
            <w:r>
              <w:rPr>
                <w:rFonts w:ascii="Arial" w:cs="Arial" w:eastAsia="Arial" w:hAnsi="Arial"/>
                <w:sz w:val="14"/>
                <w:szCs w:val="14"/>
                <w:color w:val="auto"/>
              </w:rPr>
              <w:t>0.90</w:t>
            </w:r>
          </w:p>
        </w:tc>
        <w:tc>
          <w:tcPr>
            <w:tcW w:w="760" w:type="dxa"/>
            <w:vAlign w:val="bottom"/>
          </w:tcPr>
          <w:p>
            <w:pPr>
              <w:jc w:val="right"/>
              <w:ind w:right="209"/>
              <w:spacing w:after="0"/>
              <w:rPr>
                <w:sz w:val="20"/>
                <w:szCs w:val="20"/>
                <w:color w:val="auto"/>
              </w:rPr>
            </w:pPr>
            <w:r>
              <w:rPr>
                <w:rFonts w:ascii="Arial" w:cs="Arial" w:eastAsia="Arial" w:hAnsi="Arial"/>
                <w:sz w:val="14"/>
                <w:szCs w:val="14"/>
                <w:color w:val="auto"/>
              </w:rPr>
              <w:t>0.86</w:t>
            </w:r>
          </w:p>
        </w:tc>
        <w:tc>
          <w:tcPr>
            <w:tcW w:w="820" w:type="dxa"/>
            <w:vAlign w:val="bottom"/>
          </w:tcPr>
          <w:p>
            <w:pPr>
              <w:jc w:val="right"/>
              <w:ind w:right="189"/>
              <w:spacing w:after="0"/>
              <w:rPr>
                <w:sz w:val="20"/>
                <w:szCs w:val="20"/>
                <w:color w:val="auto"/>
              </w:rPr>
            </w:pPr>
            <w:r>
              <w:rPr>
                <w:rFonts w:ascii="Arial" w:cs="Arial" w:eastAsia="Arial" w:hAnsi="Arial"/>
                <w:sz w:val="14"/>
                <w:szCs w:val="14"/>
                <w:color w:val="auto"/>
              </w:rPr>
              <w:t>0.84</w:t>
            </w:r>
          </w:p>
        </w:tc>
        <w:tc>
          <w:tcPr>
            <w:tcW w:w="640" w:type="dxa"/>
            <w:vAlign w:val="bottom"/>
          </w:tcPr>
          <w:p>
            <w:pPr>
              <w:jc w:val="right"/>
              <w:ind w:right="49"/>
              <w:spacing w:after="0"/>
              <w:rPr>
                <w:sz w:val="20"/>
                <w:szCs w:val="20"/>
                <w:color w:val="auto"/>
              </w:rPr>
            </w:pPr>
            <w:r>
              <w:rPr>
                <w:rFonts w:ascii="Arial" w:cs="Arial" w:eastAsia="Arial" w:hAnsi="Arial"/>
                <w:sz w:val="14"/>
                <w:szCs w:val="14"/>
                <w:color w:val="auto"/>
              </w:rPr>
              <w:t>0.84</w:t>
            </w:r>
          </w:p>
        </w:tc>
      </w:tr>
      <w:tr>
        <w:trPr>
          <w:trHeight w:val="167"/>
        </w:trPr>
        <w:tc>
          <w:tcPr>
            <w:tcW w:w="1800" w:type="dxa"/>
            <w:vAlign w:val="bottom"/>
          </w:tcPr>
          <w:p>
            <w:pPr>
              <w:spacing w:after="0"/>
              <w:rPr>
                <w:sz w:val="20"/>
                <w:szCs w:val="20"/>
                <w:color w:val="auto"/>
              </w:rPr>
            </w:pPr>
            <w:r>
              <w:rPr>
                <w:rFonts w:ascii="Arial" w:cs="Arial" w:eastAsia="Arial" w:hAnsi="Arial"/>
                <w:sz w:val="14"/>
                <w:szCs w:val="14"/>
                <w:color w:val="auto"/>
              </w:rPr>
              <w:t>Q3</w:t>
            </w:r>
          </w:p>
        </w:tc>
        <w:tc>
          <w:tcPr>
            <w:tcW w:w="660" w:type="dxa"/>
            <w:vAlign w:val="bottom"/>
            <w:shd w:val="clear" w:color="auto" w:fill="D8D8D8"/>
          </w:tcPr>
          <w:p>
            <w:pPr>
              <w:jc w:val="right"/>
              <w:ind w:right="9"/>
              <w:spacing w:after="0"/>
              <w:rPr>
                <w:sz w:val="20"/>
                <w:szCs w:val="20"/>
                <w:color w:val="auto"/>
              </w:rPr>
            </w:pPr>
            <w:r>
              <w:rPr>
                <w:rFonts w:ascii="Arial" w:cs="Arial" w:eastAsia="Arial" w:hAnsi="Arial"/>
                <w:sz w:val="14"/>
                <w:szCs w:val="14"/>
                <w:color w:val="auto"/>
              </w:rPr>
              <w:t>0.94</w:t>
            </w:r>
          </w:p>
        </w:tc>
        <w:tc>
          <w:tcPr>
            <w:tcW w:w="800" w:type="dxa"/>
            <w:vAlign w:val="bottom"/>
          </w:tcPr>
          <w:p>
            <w:pPr>
              <w:jc w:val="right"/>
              <w:ind w:right="149"/>
              <w:spacing w:after="0"/>
              <w:rPr>
                <w:sz w:val="20"/>
                <w:szCs w:val="20"/>
                <w:color w:val="auto"/>
              </w:rPr>
            </w:pPr>
            <w:r>
              <w:rPr>
                <w:rFonts w:ascii="Arial" w:cs="Arial" w:eastAsia="Arial" w:hAnsi="Arial"/>
                <w:sz w:val="14"/>
                <w:szCs w:val="14"/>
                <w:color w:val="auto"/>
              </w:rPr>
              <w:t>0.90</w:t>
            </w:r>
          </w:p>
        </w:tc>
        <w:tc>
          <w:tcPr>
            <w:tcW w:w="760" w:type="dxa"/>
            <w:vAlign w:val="bottom"/>
          </w:tcPr>
          <w:p>
            <w:pPr>
              <w:jc w:val="right"/>
              <w:ind w:right="209"/>
              <w:spacing w:after="0"/>
              <w:rPr>
                <w:sz w:val="20"/>
                <w:szCs w:val="20"/>
                <w:color w:val="auto"/>
              </w:rPr>
            </w:pPr>
            <w:r>
              <w:rPr>
                <w:rFonts w:ascii="Arial" w:cs="Arial" w:eastAsia="Arial" w:hAnsi="Arial"/>
                <w:sz w:val="14"/>
                <w:szCs w:val="14"/>
                <w:color w:val="auto"/>
              </w:rPr>
              <w:t>0.86</w:t>
            </w:r>
          </w:p>
        </w:tc>
        <w:tc>
          <w:tcPr>
            <w:tcW w:w="820" w:type="dxa"/>
            <w:vAlign w:val="bottom"/>
          </w:tcPr>
          <w:p>
            <w:pPr>
              <w:jc w:val="right"/>
              <w:ind w:right="189"/>
              <w:spacing w:after="0"/>
              <w:rPr>
                <w:sz w:val="20"/>
                <w:szCs w:val="20"/>
                <w:color w:val="auto"/>
              </w:rPr>
            </w:pPr>
            <w:r>
              <w:rPr>
                <w:rFonts w:ascii="Arial" w:cs="Arial" w:eastAsia="Arial" w:hAnsi="Arial"/>
                <w:sz w:val="14"/>
                <w:szCs w:val="14"/>
                <w:color w:val="auto"/>
              </w:rPr>
              <w:t>0.84</w:t>
            </w:r>
          </w:p>
        </w:tc>
        <w:tc>
          <w:tcPr>
            <w:tcW w:w="640" w:type="dxa"/>
            <w:vAlign w:val="bottom"/>
          </w:tcPr>
          <w:p>
            <w:pPr>
              <w:jc w:val="right"/>
              <w:ind w:right="49"/>
              <w:spacing w:after="0"/>
              <w:rPr>
                <w:sz w:val="20"/>
                <w:szCs w:val="20"/>
                <w:color w:val="auto"/>
              </w:rPr>
            </w:pPr>
            <w:r>
              <w:rPr>
                <w:rFonts w:ascii="Arial" w:cs="Arial" w:eastAsia="Arial" w:hAnsi="Arial"/>
                <w:sz w:val="14"/>
                <w:szCs w:val="14"/>
                <w:color w:val="auto"/>
              </w:rPr>
              <w:t>0.84</w:t>
            </w:r>
          </w:p>
        </w:tc>
      </w:tr>
      <w:tr>
        <w:trPr>
          <w:trHeight w:val="157"/>
        </w:trPr>
        <w:tc>
          <w:tcPr>
            <w:tcW w:w="1800" w:type="dxa"/>
            <w:vAlign w:val="bottom"/>
            <w:tcBorders>
              <w:bottom w:val="single" w:sz="8" w:color="auto"/>
            </w:tcBorders>
          </w:tcPr>
          <w:p>
            <w:pPr>
              <w:spacing w:after="0" w:line="157" w:lineRule="exact"/>
              <w:rPr>
                <w:sz w:val="20"/>
                <w:szCs w:val="20"/>
                <w:color w:val="auto"/>
              </w:rPr>
            </w:pPr>
            <w:r>
              <w:rPr>
                <w:rFonts w:ascii="Arial" w:cs="Arial" w:eastAsia="Arial" w:hAnsi="Arial"/>
                <w:sz w:val="14"/>
                <w:szCs w:val="14"/>
                <w:color w:val="auto"/>
              </w:rPr>
              <w:t>Q4</w:t>
            </w:r>
          </w:p>
        </w:tc>
        <w:tc>
          <w:tcPr>
            <w:tcW w:w="660" w:type="dxa"/>
            <w:vAlign w:val="bottom"/>
            <w:tcBorders>
              <w:bottom w:val="single" w:sz="8" w:color="auto"/>
            </w:tcBorders>
            <w:shd w:val="clear" w:color="auto" w:fill="D8D8D8"/>
          </w:tcPr>
          <w:p>
            <w:pPr>
              <w:jc w:val="right"/>
              <w:ind w:right="9"/>
              <w:spacing w:after="0" w:line="157" w:lineRule="exact"/>
              <w:rPr>
                <w:sz w:val="20"/>
                <w:szCs w:val="20"/>
                <w:color w:val="auto"/>
              </w:rPr>
            </w:pPr>
            <w:r>
              <w:rPr>
                <w:rFonts w:ascii="Arial" w:cs="Arial" w:eastAsia="Arial" w:hAnsi="Arial"/>
                <w:sz w:val="14"/>
                <w:szCs w:val="14"/>
                <w:color w:val="auto"/>
              </w:rPr>
              <w:t>0.94</w:t>
            </w:r>
          </w:p>
        </w:tc>
        <w:tc>
          <w:tcPr>
            <w:tcW w:w="800" w:type="dxa"/>
            <w:vAlign w:val="bottom"/>
            <w:tcBorders>
              <w:bottom w:val="single" w:sz="8" w:color="auto"/>
            </w:tcBorders>
          </w:tcPr>
          <w:p>
            <w:pPr>
              <w:jc w:val="right"/>
              <w:ind w:right="149"/>
              <w:spacing w:after="0" w:line="157" w:lineRule="exact"/>
              <w:rPr>
                <w:sz w:val="20"/>
                <w:szCs w:val="20"/>
                <w:color w:val="auto"/>
              </w:rPr>
            </w:pPr>
            <w:r>
              <w:rPr>
                <w:rFonts w:ascii="Arial" w:cs="Arial" w:eastAsia="Arial" w:hAnsi="Arial"/>
                <w:sz w:val="14"/>
                <w:szCs w:val="14"/>
                <w:color w:val="auto"/>
              </w:rPr>
              <w:t>0.90</w:t>
            </w:r>
          </w:p>
        </w:tc>
        <w:tc>
          <w:tcPr>
            <w:tcW w:w="760" w:type="dxa"/>
            <w:vAlign w:val="bottom"/>
            <w:tcBorders>
              <w:bottom w:val="single" w:sz="8" w:color="auto"/>
            </w:tcBorders>
          </w:tcPr>
          <w:p>
            <w:pPr>
              <w:jc w:val="right"/>
              <w:ind w:right="209"/>
              <w:spacing w:after="0" w:line="157" w:lineRule="exact"/>
              <w:rPr>
                <w:sz w:val="20"/>
                <w:szCs w:val="20"/>
                <w:color w:val="auto"/>
              </w:rPr>
            </w:pPr>
            <w:r>
              <w:rPr>
                <w:rFonts w:ascii="Arial" w:cs="Arial" w:eastAsia="Arial" w:hAnsi="Arial"/>
                <w:sz w:val="14"/>
                <w:szCs w:val="14"/>
                <w:color w:val="auto"/>
              </w:rPr>
              <w:t>0.86</w:t>
            </w:r>
          </w:p>
        </w:tc>
        <w:tc>
          <w:tcPr>
            <w:tcW w:w="820" w:type="dxa"/>
            <w:vAlign w:val="bottom"/>
            <w:tcBorders>
              <w:bottom w:val="single" w:sz="8" w:color="auto"/>
            </w:tcBorders>
          </w:tcPr>
          <w:p>
            <w:pPr>
              <w:jc w:val="right"/>
              <w:ind w:right="189"/>
              <w:spacing w:after="0" w:line="157" w:lineRule="exact"/>
              <w:rPr>
                <w:sz w:val="20"/>
                <w:szCs w:val="20"/>
                <w:color w:val="auto"/>
              </w:rPr>
            </w:pPr>
            <w:r>
              <w:rPr>
                <w:rFonts w:ascii="Arial" w:cs="Arial" w:eastAsia="Arial" w:hAnsi="Arial"/>
                <w:sz w:val="14"/>
                <w:szCs w:val="14"/>
                <w:color w:val="auto"/>
              </w:rPr>
              <w:t>0.84</w:t>
            </w:r>
          </w:p>
        </w:tc>
        <w:tc>
          <w:tcPr>
            <w:tcW w:w="640" w:type="dxa"/>
            <w:vAlign w:val="bottom"/>
            <w:tcBorders>
              <w:bottom w:val="single" w:sz="8" w:color="auto"/>
            </w:tcBorders>
          </w:tcPr>
          <w:p>
            <w:pPr>
              <w:jc w:val="right"/>
              <w:ind w:right="49"/>
              <w:spacing w:after="0" w:line="157" w:lineRule="exact"/>
              <w:rPr>
                <w:sz w:val="20"/>
                <w:szCs w:val="20"/>
                <w:color w:val="auto"/>
              </w:rPr>
            </w:pPr>
            <w:r>
              <w:rPr>
                <w:rFonts w:ascii="Arial" w:cs="Arial" w:eastAsia="Arial" w:hAnsi="Arial"/>
                <w:sz w:val="14"/>
                <w:szCs w:val="14"/>
                <w:color w:val="auto"/>
              </w:rPr>
              <w:t>0.84</w:t>
            </w:r>
          </w:p>
        </w:tc>
      </w:tr>
      <w:tr>
        <w:trPr>
          <w:trHeight w:val="160"/>
        </w:trPr>
        <w:tc>
          <w:tcPr>
            <w:tcW w:w="1800" w:type="dxa"/>
            <w:vAlign w:val="bottom"/>
          </w:tcPr>
          <w:p>
            <w:pPr>
              <w:spacing w:after="0"/>
              <w:rPr>
                <w:sz w:val="20"/>
                <w:szCs w:val="20"/>
                <w:color w:val="auto"/>
              </w:rPr>
            </w:pPr>
            <w:r>
              <w:rPr>
                <w:rFonts w:ascii="Arial" w:cs="Arial" w:eastAsia="Arial" w:hAnsi="Arial"/>
                <w:sz w:val="14"/>
                <w:szCs w:val="14"/>
                <w:color w:val="auto"/>
              </w:rPr>
              <w:t>Total announced in respect</w:t>
            </w:r>
          </w:p>
        </w:tc>
        <w:tc>
          <w:tcPr>
            <w:tcW w:w="660" w:type="dxa"/>
            <w:vAlign w:val="bottom"/>
            <w:shd w:val="clear" w:color="auto" w:fill="D8D8D8"/>
          </w:tcPr>
          <w:p>
            <w:pPr>
              <w:spacing w:after="0"/>
              <w:rPr>
                <w:sz w:val="13"/>
                <w:szCs w:val="13"/>
                <w:color w:val="auto"/>
              </w:rPr>
            </w:pPr>
          </w:p>
        </w:tc>
        <w:tc>
          <w:tcPr>
            <w:tcW w:w="8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640" w:type="dxa"/>
            <w:vAlign w:val="bottom"/>
          </w:tcPr>
          <w:p>
            <w:pPr>
              <w:spacing w:after="0"/>
              <w:rPr>
                <w:sz w:val="13"/>
                <w:szCs w:val="13"/>
                <w:color w:val="auto"/>
              </w:rPr>
            </w:pPr>
          </w:p>
        </w:tc>
      </w:tr>
      <w:tr>
        <w:trPr>
          <w:trHeight w:val="157"/>
        </w:trPr>
        <w:tc>
          <w:tcPr>
            <w:tcW w:w="1800" w:type="dxa"/>
            <w:vAlign w:val="bottom"/>
            <w:tcBorders>
              <w:bottom w:val="single" w:sz="8" w:color="auto"/>
            </w:tcBorders>
          </w:tcPr>
          <w:p>
            <w:pPr>
              <w:spacing w:after="0" w:line="157" w:lineRule="exact"/>
              <w:rPr>
                <w:sz w:val="20"/>
                <w:szCs w:val="20"/>
                <w:color w:val="auto"/>
              </w:rPr>
            </w:pPr>
            <w:r>
              <w:rPr>
                <w:rFonts w:ascii="Arial" w:cs="Arial" w:eastAsia="Arial" w:hAnsi="Arial"/>
                <w:sz w:val="14"/>
                <w:szCs w:val="14"/>
                <w:color w:val="auto"/>
              </w:rPr>
              <w:t>of the year</w:t>
            </w:r>
          </w:p>
        </w:tc>
        <w:tc>
          <w:tcPr>
            <w:tcW w:w="660" w:type="dxa"/>
            <w:vAlign w:val="bottom"/>
            <w:tcBorders>
              <w:bottom w:val="single" w:sz="8" w:color="auto"/>
            </w:tcBorders>
            <w:shd w:val="clear" w:color="auto" w:fill="D8D8D8"/>
          </w:tcPr>
          <w:p>
            <w:pPr>
              <w:jc w:val="right"/>
              <w:ind w:right="9"/>
              <w:spacing w:after="0" w:line="157" w:lineRule="exact"/>
              <w:rPr>
                <w:sz w:val="20"/>
                <w:szCs w:val="20"/>
                <w:color w:val="auto"/>
              </w:rPr>
            </w:pPr>
            <w:r>
              <w:rPr>
                <w:rFonts w:ascii="Arial" w:cs="Arial" w:eastAsia="Arial" w:hAnsi="Arial"/>
                <w:sz w:val="14"/>
                <w:szCs w:val="14"/>
                <w:color w:val="auto"/>
              </w:rPr>
              <w:t>3.76</w:t>
            </w:r>
          </w:p>
        </w:tc>
        <w:tc>
          <w:tcPr>
            <w:tcW w:w="800" w:type="dxa"/>
            <w:vAlign w:val="bottom"/>
            <w:tcBorders>
              <w:bottom w:val="single" w:sz="8" w:color="auto"/>
            </w:tcBorders>
          </w:tcPr>
          <w:p>
            <w:pPr>
              <w:jc w:val="right"/>
              <w:ind w:right="149"/>
              <w:spacing w:after="0" w:line="157" w:lineRule="exact"/>
              <w:rPr>
                <w:sz w:val="20"/>
                <w:szCs w:val="20"/>
                <w:color w:val="auto"/>
              </w:rPr>
            </w:pPr>
            <w:r>
              <w:rPr>
                <w:rFonts w:ascii="Arial" w:cs="Arial" w:eastAsia="Arial" w:hAnsi="Arial"/>
                <w:sz w:val="14"/>
                <w:szCs w:val="14"/>
                <w:color w:val="auto"/>
              </w:rPr>
              <w:t>3.60</w:t>
            </w:r>
          </w:p>
        </w:tc>
        <w:tc>
          <w:tcPr>
            <w:tcW w:w="760" w:type="dxa"/>
            <w:vAlign w:val="bottom"/>
            <w:tcBorders>
              <w:bottom w:val="single" w:sz="8" w:color="auto"/>
            </w:tcBorders>
          </w:tcPr>
          <w:p>
            <w:pPr>
              <w:jc w:val="right"/>
              <w:ind w:right="209"/>
              <w:spacing w:after="0" w:line="157" w:lineRule="exact"/>
              <w:rPr>
                <w:sz w:val="20"/>
                <w:szCs w:val="20"/>
                <w:color w:val="auto"/>
              </w:rPr>
            </w:pPr>
            <w:r>
              <w:rPr>
                <w:rFonts w:ascii="Arial" w:cs="Arial" w:eastAsia="Arial" w:hAnsi="Arial"/>
                <w:sz w:val="14"/>
                <w:szCs w:val="14"/>
                <w:color w:val="auto"/>
              </w:rPr>
              <w:t>3.44</w:t>
            </w:r>
          </w:p>
        </w:tc>
        <w:tc>
          <w:tcPr>
            <w:tcW w:w="820" w:type="dxa"/>
            <w:vAlign w:val="bottom"/>
            <w:tcBorders>
              <w:bottom w:val="single" w:sz="8" w:color="auto"/>
            </w:tcBorders>
          </w:tcPr>
          <w:p>
            <w:pPr>
              <w:jc w:val="right"/>
              <w:ind w:right="189"/>
              <w:spacing w:after="0" w:line="157" w:lineRule="exact"/>
              <w:rPr>
                <w:sz w:val="20"/>
                <w:szCs w:val="20"/>
                <w:color w:val="auto"/>
              </w:rPr>
            </w:pPr>
            <w:r>
              <w:rPr>
                <w:rFonts w:ascii="Arial" w:cs="Arial" w:eastAsia="Arial" w:hAnsi="Arial"/>
                <w:sz w:val="14"/>
                <w:szCs w:val="14"/>
                <w:color w:val="auto"/>
              </w:rPr>
              <w:t>3.36</w:t>
            </w:r>
          </w:p>
        </w:tc>
        <w:tc>
          <w:tcPr>
            <w:tcW w:w="640" w:type="dxa"/>
            <w:vAlign w:val="bottom"/>
            <w:tcBorders>
              <w:bottom w:val="single" w:sz="8" w:color="auto"/>
            </w:tcBorders>
          </w:tcPr>
          <w:p>
            <w:pPr>
              <w:jc w:val="right"/>
              <w:ind w:right="49"/>
              <w:spacing w:after="0" w:line="157" w:lineRule="exact"/>
              <w:rPr>
                <w:sz w:val="20"/>
                <w:szCs w:val="20"/>
                <w:color w:val="auto"/>
              </w:rPr>
            </w:pPr>
            <w:r>
              <w:rPr>
                <w:rFonts w:ascii="Arial" w:cs="Arial" w:eastAsia="Arial" w:hAnsi="Arial"/>
                <w:sz w:val="14"/>
                <w:szCs w:val="14"/>
                <w:color w:val="auto"/>
              </w:rPr>
              <w:t>3.36</w:t>
            </w:r>
          </w:p>
        </w:tc>
      </w:tr>
      <w:tr>
        <w:trPr>
          <w:trHeight w:val="160"/>
        </w:trPr>
        <w:tc>
          <w:tcPr>
            <w:tcW w:w="1800" w:type="dxa"/>
            <w:vAlign w:val="bottom"/>
          </w:tcPr>
          <w:p>
            <w:pPr>
              <w:spacing w:after="0"/>
              <w:rPr>
                <w:sz w:val="20"/>
                <w:szCs w:val="20"/>
                <w:color w:val="auto"/>
              </w:rPr>
            </w:pPr>
            <w:r>
              <w:rPr>
                <w:rFonts w:ascii="Arial" w:cs="Arial" w:eastAsia="Arial" w:hAnsi="Arial"/>
                <w:sz w:val="14"/>
                <w:szCs w:val="14"/>
                <w:color w:val="auto"/>
              </w:rPr>
              <w:t>Amount paid during the</w:t>
            </w:r>
          </w:p>
        </w:tc>
        <w:tc>
          <w:tcPr>
            <w:tcW w:w="660" w:type="dxa"/>
            <w:vAlign w:val="bottom"/>
            <w:shd w:val="clear" w:color="auto" w:fill="D8D8D8"/>
          </w:tcPr>
          <w:p>
            <w:pPr>
              <w:spacing w:after="0"/>
              <w:rPr>
                <w:sz w:val="13"/>
                <w:szCs w:val="13"/>
                <w:color w:val="auto"/>
              </w:rPr>
            </w:pPr>
          </w:p>
        </w:tc>
        <w:tc>
          <w:tcPr>
            <w:tcW w:w="8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640" w:type="dxa"/>
            <w:vAlign w:val="bottom"/>
          </w:tcPr>
          <w:p>
            <w:pPr>
              <w:spacing w:after="0"/>
              <w:rPr>
                <w:sz w:val="13"/>
                <w:szCs w:val="13"/>
                <w:color w:val="auto"/>
              </w:rPr>
            </w:pPr>
          </w:p>
        </w:tc>
      </w:tr>
      <w:tr>
        <w:trPr>
          <w:trHeight w:val="157"/>
        </w:trPr>
        <w:tc>
          <w:tcPr>
            <w:tcW w:w="1800" w:type="dxa"/>
            <w:vAlign w:val="bottom"/>
            <w:tcBorders>
              <w:bottom w:val="single" w:sz="8" w:color="auto"/>
            </w:tcBorders>
          </w:tcPr>
          <w:p>
            <w:pPr>
              <w:spacing w:after="0" w:line="157" w:lineRule="exact"/>
              <w:rPr>
                <w:sz w:val="20"/>
                <w:szCs w:val="20"/>
                <w:color w:val="auto"/>
              </w:rPr>
            </w:pPr>
            <w:r>
              <w:rPr>
                <w:rFonts w:ascii="Arial" w:cs="Arial" w:eastAsia="Arial" w:hAnsi="Arial"/>
                <w:sz w:val="14"/>
                <w:szCs w:val="14"/>
                <w:color w:val="auto"/>
              </w:rPr>
              <w:t>year</w:t>
            </w:r>
          </w:p>
        </w:tc>
        <w:tc>
          <w:tcPr>
            <w:tcW w:w="660" w:type="dxa"/>
            <w:vAlign w:val="bottom"/>
            <w:tcBorders>
              <w:bottom w:val="single" w:sz="8" w:color="auto"/>
            </w:tcBorders>
            <w:shd w:val="clear" w:color="auto" w:fill="D8D8D8"/>
          </w:tcPr>
          <w:p>
            <w:pPr>
              <w:jc w:val="right"/>
              <w:ind w:right="9"/>
              <w:spacing w:after="0" w:line="157" w:lineRule="exact"/>
              <w:rPr>
                <w:sz w:val="20"/>
                <w:szCs w:val="20"/>
                <w:color w:val="auto"/>
              </w:rPr>
            </w:pPr>
            <w:r>
              <w:rPr>
                <w:rFonts w:ascii="Arial" w:cs="Arial" w:eastAsia="Arial" w:hAnsi="Arial"/>
                <w:sz w:val="14"/>
                <w:szCs w:val="14"/>
                <w:color w:val="auto"/>
              </w:rPr>
              <w:t>3.72</w:t>
            </w:r>
          </w:p>
        </w:tc>
        <w:tc>
          <w:tcPr>
            <w:tcW w:w="800" w:type="dxa"/>
            <w:vAlign w:val="bottom"/>
            <w:tcBorders>
              <w:bottom w:val="single" w:sz="8" w:color="auto"/>
            </w:tcBorders>
          </w:tcPr>
          <w:p>
            <w:pPr>
              <w:jc w:val="right"/>
              <w:ind w:right="149"/>
              <w:spacing w:after="0" w:line="157" w:lineRule="exact"/>
              <w:rPr>
                <w:sz w:val="20"/>
                <w:szCs w:val="20"/>
                <w:color w:val="auto"/>
              </w:rPr>
            </w:pPr>
            <w:r>
              <w:rPr>
                <w:rFonts w:ascii="Arial" w:cs="Arial" w:eastAsia="Arial" w:hAnsi="Arial"/>
                <w:sz w:val="14"/>
                <w:szCs w:val="14"/>
                <w:color w:val="auto"/>
              </w:rPr>
              <w:t>3.56</w:t>
            </w:r>
          </w:p>
        </w:tc>
        <w:tc>
          <w:tcPr>
            <w:tcW w:w="760" w:type="dxa"/>
            <w:vAlign w:val="bottom"/>
            <w:tcBorders>
              <w:bottom w:val="single" w:sz="8" w:color="auto"/>
            </w:tcBorders>
          </w:tcPr>
          <w:p>
            <w:pPr>
              <w:jc w:val="right"/>
              <w:ind w:right="209"/>
              <w:spacing w:after="0" w:line="157" w:lineRule="exact"/>
              <w:rPr>
                <w:sz w:val="20"/>
                <w:szCs w:val="20"/>
                <w:color w:val="auto"/>
              </w:rPr>
            </w:pPr>
            <w:r>
              <w:rPr>
                <w:rFonts w:ascii="Arial" w:cs="Arial" w:eastAsia="Arial" w:hAnsi="Arial"/>
                <w:sz w:val="14"/>
                <w:szCs w:val="14"/>
                <w:color w:val="auto"/>
              </w:rPr>
              <w:t>3.42</w:t>
            </w:r>
          </w:p>
        </w:tc>
        <w:tc>
          <w:tcPr>
            <w:tcW w:w="820" w:type="dxa"/>
            <w:vAlign w:val="bottom"/>
            <w:tcBorders>
              <w:bottom w:val="single" w:sz="8" w:color="auto"/>
            </w:tcBorders>
          </w:tcPr>
          <w:p>
            <w:pPr>
              <w:jc w:val="right"/>
              <w:ind w:right="189"/>
              <w:spacing w:after="0" w:line="157" w:lineRule="exact"/>
              <w:rPr>
                <w:sz w:val="20"/>
                <w:szCs w:val="20"/>
                <w:color w:val="auto"/>
              </w:rPr>
            </w:pPr>
            <w:r>
              <w:rPr>
                <w:rFonts w:ascii="Arial" w:cs="Arial" w:eastAsia="Arial" w:hAnsi="Arial"/>
                <w:sz w:val="14"/>
                <w:szCs w:val="14"/>
                <w:color w:val="auto"/>
              </w:rPr>
              <w:t>3.36</w:t>
            </w:r>
          </w:p>
        </w:tc>
        <w:tc>
          <w:tcPr>
            <w:tcW w:w="640" w:type="dxa"/>
            <w:vAlign w:val="bottom"/>
            <w:tcBorders>
              <w:bottom w:val="single" w:sz="8" w:color="auto"/>
            </w:tcBorders>
          </w:tcPr>
          <w:p>
            <w:pPr>
              <w:jc w:val="right"/>
              <w:ind w:right="49"/>
              <w:spacing w:after="0" w:line="157" w:lineRule="exact"/>
              <w:rPr>
                <w:sz w:val="20"/>
                <w:szCs w:val="20"/>
                <w:color w:val="auto"/>
              </w:rPr>
            </w:pPr>
            <w:r>
              <w:rPr>
                <w:rFonts w:ascii="Arial" w:cs="Arial" w:eastAsia="Arial" w:hAnsi="Arial"/>
                <w:sz w:val="14"/>
                <w:szCs w:val="14"/>
                <w:color w:val="auto"/>
              </w:rPr>
              <w:t>3.36</w:t>
            </w:r>
          </w:p>
        </w:tc>
      </w:tr>
    </w:tbl>
    <w:p>
      <w:pPr>
        <w:sectPr>
          <w:pgSz w:w="11900" w:h="16838" w:orient="portrait"/>
          <w:cols w:equalWidth="0" w:num="1">
            <w:col w:w="11420"/>
          </w:cols>
          <w:pgMar w:left="240" w:top="460" w:right="239" w:bottom="1440" w:gutter="0" w:footer="0" w:header="0"/>
        </w:sectPr>
      </w:pPr>
    </w:p>
    <w:bookmarkStart w:id="183" w:name="page184"/>
    <w:bookmarkEnd w:id="1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300355</wp:posOffset>
            </wp:positionV>
            <wp:extent cx="3533140" cy="462915"/>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54">
                      <a:extLst>
                        <a:ext uri="{28A0092B-C50C-407E-A947-70E740481C1C}"/>
                      </a:extLst>
                    </a:blip>
                    <a:srcRect/>
                    <a:stretch>
                      <a:fillRect/>
                    </a:stretch>
                  </pic:blipFill>
                  <pic:spPr bwMode="auto">
                    <a:xfrm>
                      <a:off x="0" y="0"/>
                      <a:ext cx="3533140" cy="462915"/>
                    </a:xfrm>
                    <a:prstGeom prst="rect">
                      <a:avLst/>
                    </a:prstGeom>
                    <a:noFill/>
                  </pic:spPr>
                </pic:pic>
              </a:graphicData>
            </a:graphic>
          </wp:anchor>
        </w:drawing>
      </w:r>
    </w:p>
    <w:p>
      <w:pPr>
        <w:spacing w:after="0" w:line="200" w:lineRule="exact"/>
        <w:rPr>
          <w:sz w:val="20"/>
          <w:szCs w:val="20"/>
          <w:color w:val="auto"/>
        </w:rPr>
      </w:pP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419"/>
        </w:trPr>
        <w:tc>
          <w:tcPr>
            <w:tcW w:w="1780" w:type="dxa"/>
            <w:vAlign w:val="bottom"/>
            <w:shd w:val="clear" w:color="auto" w:fill="FF8B00"/>
          </w:tcPr>
          <w:p>
            <w:pPr>
              <w:spacing w:after="0"/>
              <w:rPr>
                <w:sz w:val="24"/>
                <w:szCs w:val="24"/>
                <w:color w:val="auto"/>
              </w:rPr>
            </w:pPr>
          </w:p>
        </w:tc>
        <w:tc>
          <w:tcPr>
            <w:tcW w:w="3800" w:type="dxa"/>
            <w:vAlign w:val="bottom"/>
            <w:shd w:val="clear" w:color="auto" w:fill="FF8B00"/>
          </w:tcPr>
          <w:p>
            <w:pPr>
              <w:spacing w:after="0"/>
              <w:rPr>
                <w:sz w:val="24"/>
                <w:szCs w:val="24"/>
                <w:color w:val="auto"/>
              </w:rPr>
            </w:pPr>
          </w:p>
        </w:tc>
      </w:tr>
      <w:tr>
        <w:trPr>
          <w:trHeight w:val="152"/>
        </w:trPr>
        <w:tc>
          <w:tcPr>
            <w:tcW w:w="1780" w:type="dxa"/>
            <w:vAlign w:val="bottom"/>
          </w:tcPr>
          <w:p>
            <w:pPr>
              <w:jc w:val="right"/>
              <w:ind w:right="1286"/>
              <w:spacing w:after="0"/>
              <w:rPr>
                <w:sz w:val="20"/>
                <w:szCs w:val="20"/>
                <w:color w:val="auto"/>
              </w:rPr>
            </w:pPr>
            <w:r>
              <w:rPr>
                <w:rFonts w:ascii="Arial" w:cs="Arial" w:eastAsia="Arial" w:hAnsi="Arial"/>
                <w:sz w:val="11"/>
                <w:szCs w:val="11"/>
                <w:b w:val="1"/>
                <w:bCs w:val="1"/>
                <w:color w:val="333333"/>
              </w:rPr>
              <w:t>182</w:t>
            </w:r>
          </w:p>
        </w:tc>
        <w:tc>
          <w:tcPr>
            <w:tcW w:w="3800" w:type="dxa"/>
            <w:vAlign w:val="bottom"/>
          </w:tcPr>
          <w:p>
            <w:pPr>
              <w:ind w:left="1340"/>
              <w:spacing w:after="0"/>
              <w:rPr>
                <w:sz w:val="20"/>
                <w:szCs w:val="20"/>
                <w:color w:val="auto"/>
              </w:rPr>
            </w:pPr>
            <w:r>
              <w:rPr>
                <w:rFonts w:ascii="Arial" w:cs="Arial" w:eastAsia="Arial" w:hAnsi="Arial"/>
                <w:sz w:val="13"/>
                <w:szCs w:val="13"/>
                <w:color w:val="333333"/>
              </w:rPr>
              <w:t>ADDITIONAL INFORMATION</w:t>
            </w:r>
          </w:p>
        </w:tc>
      </w:tr>
    </w:tbl>
    <w:p>
      <w:pPr>
        <w:spacing w:after="0" w:line="155" w:lineRule="exact"/>
        <w:rPr>
          <w:sz w:val="20"/>
          <w:szCs w:val="20"/>
          <w:color w:val="auto"/>
        </w:rPr>
      </w:pPr>
    </w:p>
    <w:p>
      <w:pPr>
        <w:jc w:val="right"/>
        <w:spacing w:after="0"/>
        <w:tabs>
          <w:tab w:leader="none" w:pos="2380" w:val="left"/>
        </w:tabs>
        <w:rPr>
          <w:sz w:val="20"/>
          <w:szCs w:val="20"/>
          <w:color w:val="auto"/>
        </w:rPr>
      </w:pPr>
      <w:r>
        <w:rPr>
          <w:rFonts w:ascii="Arial" w:cs="Arial" w:eastAsia="Arial" w:hAnsi="Arial"/>
          <w:sz w:val="11"/>
          <w:szCs w:val="11"/>
          <w:color w:val="auto"/>
        </w:rPr>
        <w:t>SHAREHOLDER INFORMATION</w:t>
      </w:r>
      <w:r>
        <w:rPr>
          <w:sz w:val="20"/>
          <w:szCs w:val="20"/>
          <w:color w:val="auto"/>
        </w:rPr>
        <w:tab/>
      </w:r>
      <w:r>
        <w:rPr>
          <w:rFonts w:ascii="Arial" w:cs="Arial" w:eastAsia="Arial" w:hAnsi="Arial"/>
          <w:sz w:val="10"/>
          <w:szCs w:val="10"/>
          <w:color w:val="auto"/>
        </w:rPr>
        <w:t>SHELL ANNUAL REPORT AND FORM 20-F 2014</w:t>
      </w:r>
    </w:p>
    <w:p>
      <w:pPr>
        <w:spacing w:after="0" w:line="48" w:lineRule="exact"/>
        <w:rPr>
          <w:sz w:val="20"/>
          <w:szCs w:val="20"/>
          <w:color w:val="auto"/>
        </w:rPr>
      </w:pPr>
    </w:p>
    <w:p>
      <w:pPr>
        <w:spacing w:after="0"/>
        <w:rPr>
          <w:sz w:val="20"/>
          <w:szCs w:val="20"/>
          <w:color w:val="auto"/>
        </w:rPr>
      </w:pPr>
      <w:r>
        <w:rPr>
          <w:rFonts w:ascii="Arial" w:cs="Arial" w:eastAsia="Arial" w:hAnsi="Arial"/>
          <w:sz w:val="24"/>
          <w:szCs w:val="24"/>
          <w:color w:val="auto"/>
        </w:rPr>
        <w:t xml:space="preserve">SHAREHOLDER INFORMATION </w:t>
      </w:r>
      <w:r>
        <w:rPr>
          <w:rFonts w:ascii="Arial" w:cs="Arial" w:eastAsia="Arial" w:hAnsi="Arial"/>
          <w:sz w:val="24"/>
          <w:szCs w:val="24"/>
          <w:color w:val="666666"/>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3473450" cy="8890"/>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55">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HIGH, LOW AND YEAR-END SHARE PRICES</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The following tables show the high, low and year-end prices, taken directly from the</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respective securities exchange, of the Company’s registered ordinary shares:</w:t>
      </w:r>
    </w:p>
    <w:p>
      <w:pPr>
        <w:spacing w:after="0" w:line="103" w:lineRule="exact"/>
        <w:rPr>
          <w:sz w:val="20"/>
          <w:szCs w:val="20"/>
          <w:color w:val="auto"/>
        </w:rPr>
      </w:pPr>
    </w:p>
    <w:p>
      <w:pPr>
        <w:ind w:left="180" w:hanging="172"/>
        <w:spacing w:after="0"/>
        <w:tabs>
          <w:tab w:leader="none" w:pos="180" w:val="left"/>
        </w:tabs>
        <w:numPr>
          <w:ilvl w:val="0"/>
          <w:numId w:val="205"/>
        </w:numPr>
        <w:rPr>
          <w:rFonts w:ascii="Arial" w:cs="Arial" w:eastAsia="Arial" w:hAnsi="Arial"/>
          <w:sz w:val="24"/>
          <w:szCs w:val="24"/>
          <w:color w:val="auto"/>
          <w:vertAlign w:val="superscript"/>
        </w:rPr>
      </w:pPr>
      <w:r>
        <w:rPr>
          <w:rFonts w:ascii="Arial" w:cs="Arial" w:eastAsia="Arial" w:hAnsi="Arial"/>
          <w:sz w:val="14"/>
          <w:szCs w:val="14"/>
          <w:color w:val="auto"/>
        </w:rPr>
        <w:t>of €0.07 nominal value on the London Stock Exchange;</w:t>
      </w:r>
    </w:p>
    <w:p>
      <w:pPr>
        <w:ind w:left="180" w:hanging="172"/>
        <w:spacing w:after="0" w:line="187" w:lineRule="auto"/>
        <w:tabs>
          <w:tab w:leader="none" w:pos="180" w:val="left"/>
        </w:tabs>
        <w:numPr>
          <w:ilvl w:val="0"/>
          <w:numId w:val="205"/>
        </w:numPr>
        <w:rPr>
          <w:rFonts w:ascii="Arial" w:cs="Arial" w:eastAsia="Arial" w:hAnsi="Arial"/>
          <w:sz w:val="18"/>
          <w:szCs w:val="18"/>
          <w:color w:val="auto"/>
          <w:vertAlign w:val="superscript"/>
        </w:rPr>
      </w:pPr>
      <w:r>
        <w:rPr>
          <w:rFonts w:ascii="Arial" w:cs="Arial" w:eastAsia="Arial" w:hAnsi="Arial"/>
          <w:sz w:val="11"/>
          <w:szCs w:val="11"/>
          <w:color w:val="auto"/>
        </w:rPr>
        <w:t>of €0.07 nominal value on Euronext Amsterdam; and</w:t>
      </w:r>
    </w:p>
    <w:p>
      <w:pPr>
        <w:ind w:left="180" w:right="6460" w:hanging="172"/>
        <w:spacing w:after="0" w:line="183" w:lineRule="auto"/>
        <w:tabs>
          <w:tab w:leader="none" w:pos="180" w:val="left"/>
        </w:tabs>
        <w:numPr>
          <w:ilvl w:val="0"/>
          <w:numId w:val="205"/>
        </w:numPr>
        <w:rPr>
          <w:rFonts w:ascii="Arial" w:cs="Arial" w:eastAsia="Arial" w:hAnsi="Arial"/>
          <w:sz w:val="24"/>
          <w:szCs w:val="24"/>
          <w:color w:val="auto"/>
          <w:vertAlign w:val="superscript"/>
        </w:rPr>
      </w:pPr>
      <w:r>
        <w:rPr>
          <w:rFonts w:ascii="Arial" w:cs="Arial" w:eastAsia="Arial" w:hAnsi="Arial"/>
          <w:sz w:val="14"/>
          <w:szCs w:val="14"/>
          <w:color w:val="auto"/>
        </w:rPr>
        <w:t>in the form of ADSs on the New York Stock Exchange (ADSs do not have a nominal value).</w:t>
      </w:r>
    </w:p>
    <w:p>
      <w:pPr>
        <w:spacing w:after="0" w:line="316" w:lineRule="exact"/>
        <w:rPr>
          <w:sz w:val="20"/>
          <w:szCs w:val="20"/>
          <w:color w:val="auto"/>
        </w:rPr>
      </w:pPr>
    </w:p>
    <w:p>
      <w:pPr>
        <w:ind w:left="80"/>
        <w:spacing w:after="0"/>
        <w:rPr>
          <w:sz w:val="20"/>
          <w:szCs w:val="20"/>
          <w:color w:val="auto"/>
        </w:rPr>
      </w:pPr>
      <w:r>
        <w:rPr>
          <w:rFonts w:ascii="Arial" w:cs="Arial" w:eastAsia="Arial" w:hAnsi="Arial"/>
          <w:sz w:val="15"/>
          <w:szCs w:val="15"/>
          <w:b w:val="1"/>
          <w:bCs w:val="1"/>
          <w:color w:val="FFFFFF"/>
        </w:rPr>
        <w:t>ANNUAL SHARE PRICES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-95250</wp:posOffset>
            </wp:positionV>
            <wp:extent cx="7246620" cy="102870"/>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56">
                      <a:extLst>
                        <a:ext uri="{28A0092B-C50C-407E-A947-70E740481C1C}"/>
                      </a:extLst>
                    </a:blip>
                    <a:srcRect/>
                    <a:stretch>
                      <a:fillRect/>
                    </a:stretch>
                  </pic:blipFill>
                  <pic:spPr bwMode="auto">
                    <a:xfrm>
                      <a:off x="0" y="0"/>
                      <a:ext cx="7246620" cy="10287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40"/>
        </w:trPr>
        <w:tc>
          <w:tcPr>
            <w:tcW w:w="422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900" w:type="dxa"/>
            <w:vAlign w:val="bottom"/>
            <w:gridSpan w:val="2"/>
          </w:tcPr>
          <w:p>
            <w:pPr>
              <w:jc w:val="right"/>
              <w:ind w:right="460"/>
              <w:spacing w:after="0" w:line="140" w:lineRule="exact"/>
              <w:rPr>
                <w:sz w:val="20"/>
                <w:szCs w:val="20"/>
                <w:color w:val="auto"/>
              </w:rPr>
            </w:pPr>
            <w:r>
              <w:rPr>
                <w:rFonts w:ascii="Arial" w:cs="Arial" w:eastAsia="Arial" w:hAnsi="Arial"/>
                <w:sz w:val="13"/>
                <w:szCs w:val="13"/>
                <w:color w:val="auto"/>
              </w:rPr>
              <w:t>Euronext Amsterdam</w:t>
            </w:r>
          </w:p>
        </w:tc>
        <w:tc>
          <w:tcPr>
            <w:tcW w:w="1040" w:type="dxa"/>
            <w:vAlign w:val="bottom"/>
          </w:tcPr>
          <w:p>
            <w:pPr>
              <w:spacing w:after="0"/>
              <w:rPr>
                <w:sz w:val="12"/>
                <w:szCs w:val="12"/>
                <w:color w:val="auto"/>
              </w:rPr>
            </w:pPr>
          </w:p>
        </w:tc>
        <w:tc>
          <w:tcPr>
            <w:tcW w:w="1900" w:type="dxa"/>
            <w:vAlign w:val="bottom"/>
            <w:gridSpan w:val="2"/>
          </w:tcPr>
          <w:p>
            <w:pPr>
              <w:jc w:val="right"/>
              <w:ind w:right="151"/>
              <w:spacing w:after="0" w:line="140" w:lineRule="exact"/>
              <w:rPr>
                <w:sz w:val="20"/>
                <w:szCs w:val="20"/>
                <w:color w:val="auto"/>
              </w:rPr>
            </w:pPr>
            <w:r>
              <w:rPr>
                <w:rFonts w:ascii="Arial" w:cs="Arial" w:eastAsia="Arial" w:hAnsi="Arial"/>
                <w:sz w:val="13"/>
                <w:szCs w:val="13"/>
                <w:color w:val="auto"/>
              </w:rPr>
              <w:t>New York Stock Exchange</w:t>
            </w:r>
          </w:p>
        </w:tc>
      </w:tr>
      <w:tr>
        <w:trPr>
          <w:trHeight w:val="152"/>
        </w:trPr>
        <w:tc>
          <w:tcPr>
            <w:tcW w:w="422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900" w:type="dxa"/>
            <w:vAlign w:val="bottom"/>
            <w:gridSpan w:val="2"/>
          </w:tcPr>
          <w:p>
            <w:pPr>
              <w:jc w:val="right"/>
              <w:ind w:right="460"/>
              <w:spacing w:after="0"/>
              <w:rPr>
                <w:sz w:val="20"/>
                <w:szCs w:val="20"/>
                <w:color w:val="auto"/>
              </w:rPr>
            </w:pPr>
            <w:r>
              <w:rPr>
                <w:rFonts w:ascii="Arial" w:cs="Arial" w:eastAsia="Arial" w:hAnsi="Arial"/>
                <w:sz w:val="13"/>
                <w:szCs w:val="13"/>
                <w:color w:val="auto"/>
              </w:rPr>
              <w:t>A shares</w:t>
            </w:r>
          </w:p>
        </w:tc>
        <w:tc>
          <w:tcPr>
            <w:tcW w:w="10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20" w:type="dxa"/>
            <w:vAlign w:val="bottom"/>
          </w:tcPr>
          <w:p>
            <w:pPr>
              <w:jc w:val="right"/>
              <w:ind w:right="151"/>
              <w:spacing w:after="0"/>
              <w:rPr>
                <w:sz w:val="20"/>
                <w:szCs w:val="20"/>
                <w:color w:val="auto"/>
              </w:rPr>
            </w:pPr>
            <w:r>
              <w:rPr>
                <w:rFonts w:ascii="Arial" w:cs="Arial" w:eastAsia="Arial" w:hAnsi="Arial"/>
                <w:sz w:val="13"/>
                <w:szCs w:val="13"/>
                <w:color w:val="auto"/>
              </w:rPr>
              <w:t>A ADSs</w:t>
            </w:r>
          </w:p>
        </w:tc>
      </w:tr>
      <w:tr>
        <w:trPr>
          <w:trHeight w:val="131"/>
        </w:trPr>
        <w:tc>
          <w:tcPr>
            <w:tcW w:w="4220" w:type="dxa"/>
            <w:vAlign w:val="bottom"/>
            <w:tcBorders>
              <w:bottom w:val="single" w:sz="8" w:color="auto"/>
            </w:tcBorders>
          </w:tcPr>
          <w:p>
            <w:pPr>
              <w:spacing w:after="0"/>
              <w:rPr>
                <w:sz w:val="11"/>
                <w:szCs w:val="11"/>
                <w:color w:val="auto"/>
              </w:rPr>
            </w:pPr>
          </w:p>
        </w:tc>
        <w:tc>
          <w:tcPr>
            <w:tcW w:w="1400" w:type="dxa"/>
            <w:vAlign w:val="bottom"/>
            <w:tcBorders>
              <w:top w:val="single" w:sz="8" w:color="auto"/>
              <w:bottom w:val="single" w:sz="8" w:color="auto"/>
            </w:tcBorders>
          </w:tcPr>
          <w:p>
            <w:pPr>
              <w:jc w:val="right"/>
              <w:ind w:right="210"/>
              <w:spacing w:after="0" w:line="131" w:lineRule="exact"/>
              <w:rPr>
                <w:sz w:val="20"/>
                <w:szCs w:val="20"/>
                <w:color w:val="auto"/>
              </w:rPr>
            </w:pPr>
            <w:r>
              <w:rPr>
                <w:rFonts w:ascii="Arial" w:cs="Arial" w:eastAsia="Arial" w:hAnsi="Arial"/>
                <w:sz w:val="13"/>
                <w:szCs w:val="13"/>
                <w:color w:val="auto"/>
              </w:rPr>
              <w:t>High €</w:t>
            </w:r>
          </w:p>
        </w:tc>
        <w:tc>
          <w:tcPr>
            <w:tcW w:w="960" w:type="dxa"/>
            <w:vAlign w:val="bottom"/>
            <w:tcBorders>
              <w:top w:val="single" w:sz="8" w:color="auto"/>
              <w:bottom w:val="single" w:sz="8" w:color="auto"/>
            </w:tcBorders>
          </w:tcPr>
          <w:p>
            <w:pPr>
              <w:jc w:val="right"/>
              <w:spacing w:after="0" w:line="131" w:lineRule="exact"/>
              <w:rPr>
                <w:sz w:val="20"/>
                <w:szCs w:val="20"/>
                <w:color w:val="auto"/>
              </w:rPr>
            </w:pPr>
            <w:r>
              <w:rPr>
                <w:rFonts w:ascii="Arial" w:cs="Arial" w:eastAsia="Arial" w:hAnsi="Arial"/>
                <w:sz w:val="13"/>
                <w:szCs w:val="13"/>
                <w:color w:val="auto"/>
              </w:rPr>
              <w:t>Low €</w:t>
            </w:r>
          </w:p>
        </w:tc>
        <w:tc>
          <w:tcPr>
            <w:tcW w:w="1540" w:type="dxa"/>
            <w:vAlign w:val="bottom"/>
            <w:tcBorders>
              <w:top w:val="single" w:sz="8" w:color="auto"/>
              <w:bottom w:val="single" w:sz="8" w:color="auto"/>
            </w:tcBorders>
          </w:tcPr>
          <w:p>
            <w:pPr>
              <w:jc w:val="right"/>
              <w:ind w:right="31"/>
              <w:spacing w:after="0" w:line="131" w:lineRule="exact"/>
              <w:rPr>
                <w:sz w:val="20"/>
                <w:szCs w:val="20"/>
                <w:color w:val="auto"/>
              </w:rPr>
            </w:pPr>
            <w:r>
              <w:rPr>
                <w:rFonts w:ascii="Arial" w:cs="Arial" w:eastAsia="Arial" w:hAnsi="Arial"/>
                <w:sz w:val="13"/>
                <w:szCs w:val="13"/>
                <w:color w:val="auto"/>
              </w:rPr>
              <w:t>Year-end €</w:t>
            </w:r>
          </w:p>
        </w:tc>
        <w:tc>
          <w:tcPr>
            <w:tcW w:w="360" w:type="dxa"/>
            <w:vAlign w:val="bottom"/>
            <w:tcBorders>
              <w:bottom w:val="single" w:sz="8" w:color="auto"/>
            </w:tcBorders>
          </w:tcPr>
          <w:p>
            <w:pPr>
              <w:spacing w:after="0"/>
              <w:rPr>
                <w:sz w:val="11"/>
                <w:szCs w:val="11"/>
                <w:color w:val="auto"/>
              </w:rPr>
            </w:pPr>
          </w:p>
        </w:tc>
        <w:tc>
          <w:tcPr>
            <w:tcW w:w="1040" w:type="dxa"/>
            <w:vAlign w:val="bottom"/>
            <w:tcBorders>
              <w:top w:val="single" w:sz="8" w:color="auto"/>
              <w:bottom w:val="single" w:sz="8" w:color="auto"/>
            </w:tcBorders>
          </w:tcPr>
          <w:p>
            <w:pPr>
              <w:ind w:left="460"/>
              <w:spacing w:after="0" w:line="131" w:lineRule="exact"/>
              <w:rPr>
                <w:sz w:val="20"/>
                <w:szCs w:val="20"/>
                <w:color w:val="auto"/>
              </w:rPr>
            </w:pPr>
            <w:r>
              <w:rPr>
                <w:rFonts w:ascii="Arial" w:cs="Arial" w:eastAsia="Arial" w:hAnsi="Arial"/>
                <w:sz w:val="13"/>
                <w:szCs w:val="13"/>
                <w:color w:val="auto"/>
              </w:rPr>
              <w:t>High $</w:t>
            </w:r>
          </w:p>
        </w:tc>
        <w:tc>
          <w:tcPr>
            <w:tcW w:w="880" w:type="dxa"/>
            <w:vAlign w:val="bottom"/>
            <w:tcBorders>
              <w:top w:val="single" w:sz="8" w:color="auto"/>
              <w:bottom w:val="single" w:sz="8" w:color="auto"/>
            </w:tcBorders>
          </w:tcPr>
          <w:p>
            <w:pPr>
              <w:jc w:val="right"/>
              <w:ind w:right="131"/>
              <w:spacing w:after="0" w:line="131" w:lineRule="exact"/>
              <w:rPr>
                <w:sz w:val="20"/>
                <w:szCs w:val="20"/>
                <w:color w:val="auto"/>
              </w:rPr>
            </w:pPr>
            <w:r>
              <w:rPr>
                <w:rFonts w:ascii="Arial" w:cs="Arial" w:eastAsia="Arial" w:hAnsi="Arial"/>
                <w:sz w:val="13"/>
                <w:szCs w:val="13"/>
                <w:color w:val="auto"/>
              </w:rPr>
              <w:t>Low $</w:t>
            </w:r>
          </w:p>
        </w:tc>
        <w:tc>
          <w:tcPr>
            <w:tcW w:w="1020" w:type="dxa"/>
            <w:vAlign w:val="bottom"/>
            <w:tcBorders>
              <w:top w:val="single" w:sz="8" w:color="auto"/>
              <w:bottom w:val="single" w:sz="8" w:color="auto"/>
            </w:tcBorders>
          </w:tcPr>
          <w:p>
            <w:pPr>
              <w:jc w:val="right"/>
              <w:ind w:right="151"/>
              <w:spacing w:after="0" w:line="131" w:lineRule="exact"/>
              <w:rPr>
                <w:sz w:val="20"/>
                <w:szCs w:val="20"/>
                <w:color w:val="auto"/>
              </w:rPr>
            </w:pPr>
            <w:r>
              <w:rPr>
                <w:rFonts w:ascii="Arial" w:cs="Arial" w:eastAsia="Arial" w:hAnsi="Arial"/>
                <w:sz w:val="13"/>
                <w:szCs w:val="13"/>
                <w:color w:val="auto"/>
              </w:rPr>
              <w:t>Year-end $</w:t>
            </w:r>
          </w:p>
        </w:tc>
      </w:tr>
      <w:tr>
        <w:trPr>
          <w:trHeight w:val="160"/>
        </w:trPr>
        <w:tc>
          <w:tcPr>
            <w:tcW w:w="4220" w:type="dxa"/>
            <w:vAlign w:val="bottom"/>
          </w:tcPr>
          <w:p>
            <w:pPr>
              <w:jc w:val="right"/>
              <w:ind w:right="3828"/>
              <w:spacing w:after="0"/>
              <w:rPr>
                <w:sz w:val="20"/>
                <w:szCs w:val="20"/>
                <w:color w:val="auto"/>
              </w:rPr>
            </w:pPr>
            <w:r>
              <w:rPr>
                <w:rFonts w:ascii="Arial" w:cs="Arial" w:eastAsia="Arial" w:hAnsi="Arial"/>
                <w:sz w:val="14"/>
                <w:szCs w:val="14"/>
                <w:color w:val="auto"/>
                <w:w w:val="96"/>
              </w:rPr>
              <w:t>2010</w:t>
            </w:r>
          </w:p>
        </w:tc>
        <w:tc>
          <w:tcPr>
            <w:tcW w:w="1400" w:type="dxa"/>
            <w:vAlign w:val="bottom"/>
          </w:tcPr>
          <w:p>
            <w:pPr>
              <w:jc w:val="right"/>
              <w:ind w:right="210"/>
              <w:spacing w:after="0"/>
              <w:rPr>
                <w:sz w:val="20"/>
                <w:szCs w:val="20"/>
                <w:color w:val="auto"/>
              </w:rPr>
            </w:pPr>
            <w:r>
              <w:rPr>
                <w:rFonts w:ascii="Arial" w:cs="Arial" w:eastAsia="Arial" w:hAnsi="Arial"/>
                <w:sz w:val="14"/>
                <w:szCs w:val="14"/>
                <w:color w:val="auto"/>
              </w:rPr>
              <w:t>25.28</w:t>
            </w:r>
          </w:p>
        </w:tc>
        <w:tc>
          <w:tcPr>
            <w:tcW w:w="960" w:type="dxa"/>
            <w:vAlign w:val="bottom"/>
          </w:tcPr>
          <w:p>
            <w:pPr>
              <w:jc w:val="right"/>
              <w:spacing w:after="0"/>
              <w:rPr>
                <w:sz w:val="20"/>
                <w:szCs w:val="20"/>
                <w:color w:val="auto"/>
              </w:rPr>
            </w:pPr>
            <w:r>
              <w:rPr>
                <w:rFonts w:ascii="Arial" w:cs="Arial" w:eastAsia="Arial" w:hAnsi="Arial"/>
                <w:sz w:val="14"/>
                <w:szCs w:val="14"/>
                <w:color w:val="auto"/>
              </w:rPr>
              <w:t>19.53</w:t>
            </w:r>
          </w:p>
        </w:tc>
        <w:tc>
          <w:tcPr>
            <w:tcW w:w="1540" w:type="dxa"/>
            <w:vAlign w:val="bottom"/>
          </w:tcPr>
          <w:p>
            <w:pPr>
              <w:jc w:val="right"/>
              <w:ind w:right="31"/>
              <w:spacing w:after="0"/>
              <w:rPr>
                <w:sz w:val="20"/>
                <w:szCs w:val="20"/>
                <w:color w:val="auto"/>
              </w:rPr>
            </w:pPr>
            <w:r>
              <w:rPr>
                <w:rFonts w:ascii="Arial" w:cs="Arial" w:eastAsia="Arial" w:hAnsi="Arial"/>
                <w:sz w:val="14"/>
                <w:szCs w:val="14"/>
                <w:color w:val="auto"/>
              </w:rPr>
              <w:t>24.73</w:t>
            </w:r>
          </w:p>
        </w:tc>
        <w:tc>
          <w:tcPr>
            <w:tcW w:w="360" w:type="dxa"/>
            <w:vAlign w:val="bottom"/>
          </w:tcPr>
          <w:p>
            <w:pPr>
              <w:spacing w:after="0"/>
              <w:rPr>
                <w:sz w:val="13"/>
                <w:szCs w:val="13"/>
                <w:color w:val="auto"/>
              </w:rPr>
            </w:pPr>
          </w:p>
        </w:tc>
        <w:tc>
          <w:tcPr>
            <w:tcW w:w="1040" w:type="dxa"/>
            <w:vAlign w:val="bottom"/>
          </w:tcPr>
          <w:p>
            <w:pPr>
              <w:ind w:left="460"/>
              <w:spacing w:after="0"/>
              <w:rPr>
                <w:sz w:val="20"/>
                <w:szCs w:val="20"/>
                <w:color w:val="auto"/>
              </w:rPr>
            </w:pPr>
            <w:r>
              <w:rPr>
                <w:rFonts w:ascii="Arial" w:cs="Arial" w:eastAsia="Arial" w:hAnsi="Arial"/>
                <w:sz w:val="14"/>
                <w:szCs w:val="14"/>
                <w:color w:val="auto"/>
              </w:rPr>
              <w:t>68.54</w:t>
            </w:r>
          </w:p>
        </w:tc>
        <w:tc>
          <w:tcPr>
            <w:tcW w:w="880" w:type="dxa"/>
            <w:vAlign w:val="bottom"/>
          </w:tcPr>
          <w:p>
            <w:pPr>
              <w:jc w:val="right"/>
              <w:ind w:right="131"/>
              <w:spacing w:after="0"/>
              <w:rPr>
                <w:sz w:val="20"/>
                <w:szCs w:val="20"/>
                <w:color w:val="auto"/>
              </w:rPr>
            </w:pPr>
            <w:r>
              <w:rPr>
                <w:rFonts w:ascii="Arial" w:cs="Arial" w:eastAsia="Arial" w:hAnsi="Arial"/>
                <w:sz w:val="14"/>
                <w:szCs w:val="14"/>
                <w:color w:val="auto"/>
              </w:rPr>
              <w:t>49.16</w:t>
            </w:r>
          </w:p>
        </w:tc>
        <w:tc>
          <w:tcPr>
            <w:tcW w:w="1020" w:type="dxa"/>
            <w:vAlign w:val="bottom"/>
          </w:tcPr>
          <w:p>
            <w:pPr>
              <w:jc w:val="right"/>
              <w:ind w:right="151"/>
              <w:spacing w:after="0"/>
              <w:rPr>
                <w:sz w:val="20"/>
                <w:szCs w:val="20"/>
                <w:color w:val="auto"/>
              </w:rPr>
            </w:pPr>
            <w:r>
              <w:rPr>
                <w:rFonts w:ascii="Arial" w:cs="Arial" w:eastAsia="Arial" w:hAnsi="Arial"/>
                <w:sz w:val="14"/>
                <w:szCs w:val="14"/>
                <w:color w:val="auto"/>
              </w:rPr>
              <w:t>66.78</w:t>
            </w:r>
          </w:p>
        </w:tc>
      </w:tr>
      <w:tr>
        <w:trPr>
          <w:trHeight w:val="162"/>
        </w:trPr>
        <w:tc>
          <w:tcPr>
            <w:tcW w:w="4220" w:type="dxa"/>
            <w:vAlign w:val="bottom"/>
          </w:tcPr>
          <w:p>
            <w:pPr>
              <w:jc w:val="right"/>
              <w:ind w:right="3828"/>
              <w:spacing w:after="0"/>
              <w:rPr>
                <w:sz w:val="20"/>
                <w:szCs w:val="20"/>
                <w:color w:val="auto"/>
              </w:rPr>
            </w:pPr>
            <w:r>
              <w:rPr>
                <w:rFonts w:ascii="Arial" w:cs="Arial" w:eastAsia="Arial" w:hAnsi="Arial"/>
                <w:sz w:val="14"/>
                <w:szCs w:val="14"/>
                <w:color w:val="auto"/>
                <w:w w:val="96"/>
              </w:rPr>
              <w:t>2011</w:t>
            </w:r>
          </w:p>
        </w:tc>
        <w:tc>
          <w:tcPr>
            <w:tcW w:w="1400" w:type="dxa"/>
            <w:vAlign w:val="bottom"/>
          </w:tcPr>
          <w:p>
            <w:pPr>
              <w:jc w:val="right"/>
              <w:ind w:right="210"/>
              <w:spacing w:after="0"/>
              <w:rPr>
                <w:sz w:val="20"/>
                <w:szCs w:val="20"/>
                <w:color w:val="auto"/>
              </w:rPr>
            </w:pPr>
            <w:r>
              <w:rPr>
                <w:rFonts w:ascii="Arial" w:cs="Arial" w:eastAsia="Arial" w:hAnsi="Arial"/>
                <w:sz w:val="14"/>
                <w:szCs w:val="14"/>
                <w:color w:val="auto"/>
              </w:rPr>
              <w:t>28.40</w:t>
            </w:r>
          </w:p>
        </w:tc>
        <w:tc>
          <w:tcPr>
            <w:tcW w:w="960" w:type="dxa"/>
            <w:vAlign w:val="bottom"/>
          </w:tcPr>
          <w:p>
            <w:pPr>
              <w:jc w:val="right"/>
              <w:spacing w:after="0"/>
              <w:rPr>
                <w:sz w:val="20"/>
                <w:szCs w:val="20"/>
                <w:color w:val="auto"/>
              </w:rPr>
            </w:pPr>
            <w:r>
              <w:rPr>
                <w:rFonts w:ascii="Arial" w:cs="Arial" w:eastAsia="Arial" w:hAnsi="Arial"/>
                <w:sz w:val="14"/>
                <w:szCs w:val="14"/>
                <w:color w:val="auto"/>
              </w:rPr>
              <w:t>20.12</w:t>
            </w:r>
          </w:p>
        </w:tc>
        <w:tc>
          <w:tcPr>
            <w:tcW w:w="1540" w:type="dxa"/>
            <w:vAlign w:val="bottom"/>
          </w:tcPr>
          <w:p>
            <w:pPr>
              <w:jc w:val="right"/>
              <w:ind w:right="31"/>
              <w:spacing w:after="0"/>
              <w:rPr>
                <w:sz w:val="20"/>
                <w:szCs w:val="20"/>
                <w:color w:val="auto"/>
              </w:rPr>
            </w:pPr>
            <w:r>
              <w:rPr>
                <w:rFonts w:ascii="Arial" w:cs="Arial" w:eastAsia="Arial" w:hAnsi="Arial"/>
                <w:sz w:val="14"/>
                <w:szCs w:val="14"/>
                <w:color w:val="auto"/>
              </w:rPr>
              <w:t>28.15</w:t>
            </w:r>
          </w:p>
        </w:tc>
        <w:tc>
          <w:tcPr>
            <w:tcW w:w="360" w:type="dxa"/>
            <w:vAlign w:val="bottom"/>
          </w:tcPr>
          <w:p>
            <w:pPr>
              <w:spacing w:after="0"/>
              <w:rPr>
                <w:sz w:val="14"/>
                <w:szCs w:val="14"/>
                <w:color w:val="auto"/>
              </w:rPr>
            </w:pPr>
          </w:p>
        </w:tc>
        <w:tc>
          <w:tcPr>
            <w:tcW w:w="1040" w:type="dxa"/>
            <w:vAlign w:val="bottom"/>
          </w:tcPr>
          <w:p>
            <w:pPr>
              <w:ind w:left="460"/>
              <w:spacing w:after="0"/>
              <w:rPr>
                <w:sz w:val="20"/>
                <w:szCs w:val="20"/>
                <w:color w:val="auto"/>
              </w:rPr>
            </w:pPr>
            <w:r>
              <w:rPr>
                <w:rFonts w:ascii="Arial" w:cs="Arial" w:eastAsia="Arial" w:hAnsi="Arial"/>
                <w:sz w:val="14"/>
                <w:szCs w:val="14"/>
                <w:color w:val="auto"/>
              </w:rPr>
              <w:t>77.96</w:t>
            </w:r>
          </w:p>
        </w:tc>
        <w:tc>
          <w:tcPr>
            <w:tcW w:w="880" w:type="dxa"/>
            <w:vAlign w:val="bottom"/>
          </w:tcPr>
          <w:p>
            <w:pPr>
              <w:jc w:val="right"/>
              <w:ind w:right="131"/>
              <w:spacing w:after="0"/>
              <w:rPr>
                <w:sz w:val="20"/>
                <w:szCs w:val="20"/>
                <w:color w:val="auto"/>
              </w:rPr>
            </w:pPr>
            <w:r>
              <w:rPr>
                <w:rFonts w:ascii="Arial" w:cs="Arial" w:eastAsia="Arial" w:hAnsi="Arial"/>
                <w:sz w:val="14"/>
                <w:szCs w:val="14"/>
                <w:color w:val="auto"/>
              </w:rPr>
              <w:t>57.97</w:t>
            </w:r>
          </w:p>
        </w:tc>
        <w:tc>
          <w:tcPr>
            <w:tcW w:w="1020" w:type="dxa"/>
            <w:vAlign w:val="bottom"/>
          </w:tcPr>
          <w:p>
            <w:pPr>
              <w:jc w:val="right"/>
              <w:ind w:right="151"/>
              <w:spacing w:after="0"/>
              <w:rPr>
                <w:sz w:val="20"/>
                <w:szCs w:val="20"/>
                <w:color w:val="auto"/>
              </w:rPr>
            </w:pPr>
            <w:r>
              <w:rPr>
                <w:rFonts w:ascii="Arial" w:cs="Arial" w:eastAsia="Arial" w:hAnsi="Arial"/>
                <w:sz w:val="14"/>
                <w:szCs w:val="14"/>
                <w:color w:val="auto"/>
              </w:rPr>
              <w:t>73.09</w:t>
            </w:r>
          </w:p>
        </w:tc>
      </w:tr>
      <w:tr>
        <w:trPr>
          <w:trHeight w:val="162"/>
        </w:trPr>
        <w:tc>
          <w:tcPr>
            <w:tcW w:w="4220" w:type="dxa"/>
            <w:vAlign w:val="bottom"/>
          </w:tcPr>
          <w:p>
            <w:pPr>
              <w:jc w:val="right"/>
              <w:ind w:right="3828"/>
              <w:spacing w:after="0"/>
              <w:rPr>
                <w:sz w:val="20"/>
                <w:szCs w:val="20"/>
                <w:color w:val="auto"/>
              </w:rPr>
            </w:pPr>
            <w:r>
              <w:rPr>
                <w:rFonts w:ascii="Arial" w:cs="Arial" w:eastAsia="Arial" w:hAnsi="Arial"/>
                <w:sz w:val="14"/>
                <w:szCs w:val="14"/>
                <w:color w:val="auto"/>
                <w:w w:val="96"/>
              </w:rPr>
              <w:t>2012</w:t>
            </w:r>
          </w:p>
        </w:tc>
        <w:tc>
          <w:tcPr>
            <w:tcW w:w="1400" w:type="dxa"/>
            <w:vAlign w:val="bottom"/>
          </w:tcPr>
          <w:p>
            <w:pPr>
              <w:jc w:val="right"/>
              <w:ind w:right="210"/>
              <w:spacing w:after="0"/>
              <w:rPr>
                <w:sz w:val="20"/>
                <w:szCs w:val="20"/>
                <w:color w:val="auto"/>
              </w:rPr>
            </w:pPr>
            <w:r>
              <w:rPr>
                <w:rFonts w:ascii="Arial" w:cs="Arial" w:eastAsia="Arial" w:hAnsi="Arial"/>
                <w:sz w:val="14"/>
                <w:szCs w:val="14"/>
                <w:color w:val="auto"/>
              </w:rPr>
              <w:t>29.18</w:t>
            </w:r>
          </w:p>
        </w:tc>
        <w:tc>
          <w:tcPr>
            <w:tcW w:w="960" w:type="dxa"/>
            <w:vAlign w:val="bottom"/>
          </w:tcPr>
          <w:p>
            <w:pPr>
              <w:jc w:val="right"/>
              <w:spacing w:after="0"/>
              <w:rPr>
                <w:sz w:val="20"/>
                <w:szCs w:val="20"/>
                <w:color w:val="auto"/>
              </w:rPr>
            </w:pPr>
            <w:r>
              <w:rPr>
                <w:rFonts w:ascii="Arial" w:cs="Arial" w:eastAsia="Arial" w:hAnsi="Arial"/>
                <w:sz w:val="14"/>
                <w:szCs w:val="14"/>
                <w:color w:val="auto"/>
              </w:rPr>
              <w:t>24.30</w:t>
            </w:r>
          </w:p>
        </w:tc>
        <w:tc>
          <w:tcPr>
            <w:tcW w:w="1540" w:type="dxa"/>
            <w:vAlign w:val="bottom"/>
          </w:tcPr>
          <w:p>
            <w:pPr>
              <w:jc w:val="right"/>
              <w:ind w:right="31"/>
              <w:spacing w:after="0"/>
              <w:rPr>
                <w:sz w:val="20"/>
                <w:szCs w:val="20"/>
                <w:color w:val="auto"/>
              </w:rPr>
            </w:pPr>
            <w:r>
              <w:rPr>
                <w:rFonts w:ascii="Arial" w:cs="Arial" w:eastAsia="Arial" w:hAnsi="Arial"/>
                <w:sz w:val="14"/>
                <w:szCs w:val="14"/>
                <w:color w:val="auto"/>
              </w:rPr>
              <w:t>25.98</w:t>
            </w:r>
          </w:p>
        </w:tc>
        <w:tc>
          <w:tcPr>
            <w:tcW w:w="360" w:type="dxa"/>
            <w:vAlign w:val="bottom"/>
          </w:tcPr>
          <w:p>
            <w:pPr>
              <w:spacing w:after="0"/>
              <w:rPr>
                <w:sz w:val="14"/>
                <w:szCs w:val="14"/>
                <w:color w:val="auto"/>
              </w:rPr>
            </w:pPr>
          </w:p>
        </w:tc>
        <w:tc>
          <w:tcPr>
            <w:tcW w:w="1040" w:type="dxa"/>
            <w:vAlign w:val="bottom"/>
          </w:tcPr>
          <w:p>
            <w:pPr>
              <w:ind w:left="460"/>
              <w:spacing w:after="0"/>
              <w:rPr>
                <w:sz w:val="20"/>
                <w:szCs w:val="20"/>
                <w:color w:val="auto"/>
              </w:rPr>
            </w:pPr>
            <w:r>
              <w:rPr>
                <w:rFonts w:ascii="Arial" w:cs="Arial" w:eastAsia="Arial" w:hAnsi="Arial"/>
                <w:sz w:val="14"/>
                <w:szCs w:val="14"/>
                <w:color w:val="auto"/>
              </w:rPr>
              <w:t>74.51</w:t>
            </w:r>
          </w:p>
        </w:tc>
        <w:tc>
          <w:tcPr>
            <w:tcW w:w="880" w:type="dxa"/>
            <w:vAlign w:val="bottom"/>
          </w:tcPr>
          <w:p>
            <w:pPr>
              <w:jc w:val="right"/>
              <w:ind w:right="131"/>
              <w:spacing w:after="0"/>
              <w:rPr>
                <w:sz w:val="20"/>
                <w:szCs w:val="20"/>
                <w:color w:val="auto"/>
              </w:rPr>
            </w:pPr>
            <w:r>
              <w:rPr>
                <w:rFonts w:ascii="Arial" w:cs="Arial" w:eastAsia="Arial" w:hAnsi="Arial"/>
                <w:sz w:val="14"/>
                <w:szCs w:val="14"/>
                <w:color w:val="auto"/>
              </w:rPr>
              <w:t>60.62</w:t>
            </w:r>
          </w:p>
        </w:tc>
        <w:tc>
          <w:tcPr>
            <w:tcW w:w="1020" w:type="dxa"/>
            <w:vAlign w:val="bottom"/>
          </w:tcPr>
          <w:p>
            <w:pPr>
              <w:jc w:val="right"/>
              <w:ind w:right="151"/>
              <w:spacing w:after="0"/>
              <w:rPr>
                <w:sz w:val="20"/>
                <w:szCs w:val="20"/>
                <w:color w:val="auto"/>
              </w:rPr>
            </w:pPr>
            <w:r>
              <w:rPr>
                <w:rFonts w:ascii="Arial" w:cs="Arial" w:eastAsia="Arial" w:hAnsi="Arial"/>
                <w:sz w:val="14"/>
                <w:szCs w:val="14"/>
                <w:color w:val="auto"/>
              </w:rPr>
              <w:t>68.95</w:t>
            </w:r>
          </w:p>
        </w:tc>
      </w:tr>
      <w:tr>
        <w:trPr>
          <w:trHeight w:val="162"/>
        </w:trPr>
        <w:tc>
          <w:tcPr>
            <w:tcW w:w="4220" w:type="dxa"/>
            <w:vAlign w:val="bottom"/>
          </w:tcPr>
          <w:p>
            <w:pPr>
              <w:jc w:val="right"/>
              <w:ind w:right="3828"/>
              <w:spacing w:after="0"/>
              <w:rPr>
                <w:sz w:val="20"/>
                <w:szCs w:val="20"/>
                <w:color w:val="auto"/>
              </w:rPr>
            </w:pPr>
            <w:r>
              <w:rPr>
                <w:rFonts w:ascii="Arial" w:cs="Arial" w:eastAsia="Arial" w:hAnsi="Arial"/>
                <w:sz w:val="14"/>
                <w:szCs w:val="14"/>
                <w:color w:val="auto"/>
                <w:w w:val="96"/>
              </w:rPr>
              <w:t>2013</w:t>
            </w:r>
          </w:p>
        </w:tc>
        <w:tc>
          <w:tcPr>
            <w:tcW w:w="1400" w:type="dxa"/>
            <w:vAlign w:val="bottom"/>
          </w:tcPr>
          <w:p>
            <w:pPr>
              <w:jc w:val="right"/>
              <w:ind w:right="210"/>
              <w:spacing w:after="0"/>
              <w:rPr>
                <w:sz w:val="20"/>
                <w:szCs w:val="20"/>
                <w:color w:val="auto"/>
              </w:rPr>
            </w:pPr>
            <w:r>
              <w:rPr>
                <w:rFonts w:ascii="Arial" w:cs="Arial" w:eastAsia="Arial" w:hAnsi="Arial"/>
                <w:sz w:val="14"/>
                <w:szCs w:val="14"/>
                <w:color w:val="auto"/>
              </w:rPr>
              <w:t>27.06</w:t>
            </w:r>
          </w:p>
        </w:tc>
        <w:tc>
          <w:tcPr>
            <w:tcW w:w="960" w:type="dxa"/>
            <w:vAlign w:val="bottom"/>
          </w:tcPr>
          <w:p>
            <w:pPr>
              <w:jc w:val="right"/>
              <w:spacing w:after="0"/>
              <w:rPr>
                <w:sz w:val="20"/>
                <w:szCs w:val="20"/>
                <w:color w:val="auto"/>
              </w:rPr>
            </w:pPr>
            <w:r>
              <w:rPr>
                <w:rFonts w:ascii="Arial" w:cs="Arial" w:eastAsia="Arial" w:hAnsi="Arial"/>
                <w:sz w:val="14"/>
                <w:szCs w:val="14"/>
                <w:color w:val="auto"/>
              </w:rPr>
              <w:t>23.40</w:t>
            </w:r>
          </w:p>
        </w:tc>
        <w:tc>
          <w:tcPr>
            <w:tcW w:w="1540" w:type="dxa"/>
            <w:vAlign w:val="bottom"/>
          </w:tcPr>
          <w:p>
            <w:pPr>
              <w:jc w:val="right"/>
              <w:ind w:right="31"/>
              <w:spacing w:after="0"/>
              <w:rPr>
                <w:sz w:val="20"/>
                <w:szCs w:val="20"/>
                <w:color w:val="auto"/>
              </w:rPr>
            </w:pPr>
            <w:r>
              <w:rPr>
                <w:rFonts w:ascii="Arial" w:cs="Arial" w:eastAsia="Arial" w:hAnsi="Arial"/>
                <w:sz w:val="14"/>
                <w:szCs w:val="14"/>
                <w:color w:val="auto"/>
              </w:rPr>
              <w:t>25.91</w:t>
            </w:r>
          </w:p>
        </w:tc>
        <w:tc>
          <w:tcPr>
            <w:tcW w:w="360" w:type="dxa"/>
            <w:vAlign w:val="bottom"/>
          </w:tcPr>
          <w:p>
            <w:pPr>
              <w:spacing w:after="0"/>
              <w:rPr>
                <w:sz w:val="14"/>
                <w:szCs w:val="14"/>
                <w:color w:val="auto"/>
              </w:rPr>
            </w:pPr>
          </w:p>
        </w:tc>
        <w:tc>
          <w:tcPr>
            <w:tcW w:w="1040" w:type="dxa"/>
            <w:vAlign w:val="bottom"/>
          </w:tcPr>
          <w:p>
            <w:pPr>
              <w:ind w:left="460"/>
              <w:spacing w:after="0"/>
              <w:rPr>
                <w:sz w:val="20"/>
                <w:szCs w:val="20"/>
                <w:color w:val="auto"/>
              </w:rPr>
            </w:pPr>
            <w:r>
              <w:rPr>
                <w:rFonts w:ascii="Arial" w:cs="Arial" w:eastAsia="Arial" w:hAnsi="Arial"/>
                <w:sz w:val="14"/>
                <w:szCs w:val="14"/>
                <w:color w:val="auto"/>
              </w:rPr>
              <w:t>73.00</w:t>
            </w:r>
          </w:p>
        </w:tc>
        <w:tc>
          <w:tcPr>
            <w:tcW w:w="880" w:type="dxa"/>
            <w:vAlign w:val="bottom"/>
          </w:tcPr>
          <w:p>
            <w:pPr>
              <w:jc w:val="right"/>
              <w:ind w:right="131"/>
              <w:spacing w:after="0"/>
              <w:rPr>
                <w:sz w:val="20"/>
                <w:szCs w:val="20"/>
                <w:color w:val="auto"/>
              </w:rPr>
            </w:pPr>
            <w:r>
              <w:rPr>
                <w:rFonts w:ascii="Arial" w:cs="Arial" w:eastAsia="Arial" w:hAnsi="Arial"/>
                <w:sz w:val="14"/>
                <w:szCs w:val="14"/>
                <w:color w:val="auto"/>
              </w:rPr>
              <w:t>62.65</w:t>
            </w:r>
          </w:p>
        </w:tc>
        <w:tc>
          <w:tcPr>
            <w:tcW w:w="1020" w:type="dxa"/>
            <w:vAlign w:val="bottom"/>
          </w:tcPr>
          <w:p>
            <w:pPr>
              <w:jc w:val="right"/>
              <w:ind w:right="151"/>
              <w:spacing w:after="0"/>
              <w:rPr>
                <w:sz w:val="20"/>
                <w:szCs w:val="20"/>
                <w:color w:val="auto"/>
              </w:rPr>
            </w:pPr>
            <w:r>
              <w:rPr>
                <w:rFonts w:ascii="Arial" w:cs="Arial" w:eastAsia="Arial" w:hAnsi="Arial"/>
                <w:sz w:val="14"/>
                <w:szCs w:val="14"/>
                <w:color w:val="auto"/>
              </w:rPr>
              <w:t>71.27</w:t>
            </w:r>
          </w:p>
        </w:tc>
      </w:tr>
      <w:tr>
        <w:trPr>
          <w:trHeight w:val="157"/>
        </w:trPr>
        <w:tc>
          <w:tcPr>
            <w:tcW w:w="4220" w:type="dxa"/>
            <w:vAlign w:val="bottom"/>
            <w:tcBorders>
              <w:bottom w:val="single" w:sz="8" w:color="auto"/>
            </w:tcBorders>
          </w:tcPr>
          <w:p>
            <w:pPr>
              <w:jc w:val="right"/>
              <w:ind w:right="3828"/>
              <w:spacing w:after="0" w:line="157" w:lineRule="exact"/>
              <w:rPr>
                <w:sz w:val="20"/>
                <w:szCs w:val="20"/>
                <w:color w:val="auto"/>
              </w:rPr>
            </w:pPr>
            <w:r>
              <w:rPr>
                <w:rFonts w:ascii="Arial" w:cs="Arial" w:eastAsia="Arial" w:hAnsi="Arial"/>
                <w:sz w:val="14"/>
                <w:szCs w:val="14"/>
                <w:color w:val="auto"/>
                <w:w w:val="96"/>
              </w:rPr>
              <w:t>2014</w:t>
            </w:r>
          </w:p>
        </w:tc>
        <w:tc>
          <w:tcPr>
            <w:tcW w:w="1400" w:type="dxa"/>
            <w:vAlign w:val="bottom"/>
            <w:tcBorders>
              <w:bottom w:val="single" w:sz="8" w:color="auto"/>
            </w:tcBorders>
          </w:tcPr>
          <w:p>
            <w:pPr>
              <w:jc w:val="right"/>
              <w:ind w:right="210"/>
              <w:spacing w:after="0" w:line="157" w:lineRule="exact"/>
              <w:rPr>
                <w:sz w:val="20"/>
                <w:szCs w:val="20"/>
                <w:color w:val="auto"/>
              </w:rPr>
            </w:pPr>
            <w:r>
              <w:rPr>
                <w:rFonts w:ascii="Arial" w:cs="Arial" w:eastAsia="Arial" w:hAnsi="Arial"/>
                <w:sz w:val="14"/>
                <w:szCs w:val="14"/>
                <w:color w:val="auto"/>
              </w:rPr>
              <w:t>31.13</w:t>
            </w:r>
          </w:p>
        </w:tc>
        <w:tc>
          <w:tcPr>
            <w:tcW w:w="960" w:type="dxa"/>
            <w:vAlign w:val="bottom"/>
            <w:tcBorders>
              <w:bottom w:val="single" w:sz="8" w:color="auto"/>
            </w:tcBorders>
          </w:tcPr>
          <w:p>
            <w:pPr>
              <w:jc w:val="right"/>
              <w:spacing w:after="0" w:line="157" w:lineRule="exact"/>
              <w:rPr>
                <w:sz w:val="20"/>
                <w:szCs w:val="20"/>
                <w:color w:val="auto"/>
              </w:rPr>
            </w:pPr>
            <w:r>
              <w:rPr>
                <w:rFonts w:ascii="Arial" w:cs="Arial" w:eastAsia="Arial" w:hAnsi="Arial"/>
                <w:sz w:val="14"/>
                <w:szCs w:val="14"/>
                <w:color w:val="auto"/>
              </w:rPr>
              <w:t>24.30</w:t>
            </w:r>
          </w:p>
        </w:tc>
        <w:tc>
          <w:tcPr>
            <w:tcW w:w="1540" w:type="dxa"/>
            <w:vAlign w:val="bottom"/>
            <w:tcBorders>
              <w:bottom w:val="single" w:sz="8" w:color="auto"/>
            </w:tcBorders>
          </w:tcPr>
          <w:p>
            <w:pPr>
              <w:jc w:val="right"/>
              <w:ind w:right="31"/>
              <w:spacing w:after="0" w:line="157" w:lineRule="exact"/>
              <w:rPr>
                <w:sz w:val="20"/>
                <w:szCs w:val="20"/>
                <w:color w:val="auto"/>
              </w:rPr>
            </w:pPr>
            <w:r>
              <w:rPr>
                <w:rFonts w:ascii="Arial" w:cs="Arial" w:eastAsia="Arial" w:hAnsi="Arial"/>
                <w:sz w:val="14"/>
                <w:szCs w:val="14"/>
                <w:color w:val="auto"/>
              </w:rPr>
              <w:t>27.66</w:t>
            </w:r>
          </w:p>
        </w:tc>
        <w:tc>
          <w:tcPr>
            <w:tcW w:w="36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ind w:left="460"/>
              <w:spacing w:after="0" w:line="157" w:lineRule="exact"/>
              <w:rPr>
                <w:sz w:val="20"/>
                <w:szCs w:val="20"/>
                <w:color w:val="auto"/>
              </w:rPr>
            </w:pPr>
            <w:r>
              <w:rPr>
                <w:rFonts w:ascii="Arial" w:cs="Arial" w:eastAsia="Arial" w:hAnsi="Arial"/>
                <w:sz w:val="14"/>
                <w:szCs w:val="14"/>
                <w:color w:val="auto"/>
              </w:rPr>
              <w:t>83.42</w:t>
            </w:r>
          </w:p>
        </w:tc>
        <w:tc>
          <w:tcPr>
            <w:tcW w:w="880" w:type="dxa"/>
            <w:vAlign w:val="bottom"/>
            <w:tcBorders>
              <w:bottom w:val="single" w:sz="8" w:color="auto"/>
            </w:tcBorders>
          </w:tcPr>
          <w:p>
            <w:pPr>
              <w:jc w:val="right"/>
              <w:ind w:right="131"/>
              <w:spacing w:after="0" w:line="157" w:lineRule="exact"/>
              <w:rPr>
                <w:sz w:val="20"/>
                <w:szCs w:val="20"/>
                <w:color w:val="auto"/>
              </w:rPr>
            </w:pPr>
            <w:r>
              <w:rPr>
                <w:rFonts w:ascii="Arial" w:cs="Arial" w:eastAsia="Arial" w:hAnsi="Arial"/>
                <w:sz w:val="14"/>
                <w:szCs w:val="14"/>
                <w:color w:val="auto"/>
              </w:rPr>
              <w:t>60.84</w:t>
            </w:r>
          </w:p>
        </w:tc>
        <w:tc>
          <w:tcPr>
            <w:tcW w:w="1020" w:type="dxa"/>
            <w:vAlign w:val="bottom"/>
            <w:tcBorders>
              <w:bottom w:val="single" w:sz="8" w:color="auto"/>
            </w:tcBorders>
          </w:tcPr>
          <w:p>
            <w:pPr>
              <w:jc w:val="right"/>
              <w:ind w:right="151"/>
              <w:spacing w:after="0" w:line="157" w:lineRule="exact"/>
              <w:rPr>
                <w:sz w:val="20"/>
                <w:szCs w:val="20"/>
                <w:color w:val="auto"/>
              </w:rPr>
            </w:pPr>
            <w:r>
              <w:rPr>
                <w:rFonts w:ascii="Arial" w:cs="Arial" w:eastAsia="Arial" w:hAnsi="Arial"/>
                <w:sz w:val="14"/>
                <w:szCs w:val="14"/>
                <w:color w:val="auto"/>
              </w:rPr>
              <w:t>66.95</w:t>
            </w:r>
          </w:p>
        </w:tc>
      </w:tr>
      <w:tr>
        <w:trPr>
          <w:trHeight w:val="123"/>
        </w:trPr>
        <w:tc>
          <w:tcPr>
            <w:tcW w:w="42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900" w:type="dxa"/>
            <w:vAlign w:val="bottom"/>
            <w:gridSpan w:val="2"/>
          </w:tcPr>
          <w:p>
            <w:pPr>
              <w:jc w:val="right"/>
              <w:ind w:right="460"/>
              <w:spacing w:after="0" w:line="123" w:lineRule="exact"/>
              <w:rPr>
                <w:sz w:val="20"/>
                <w:szCs w:val="20"/>
                <w:color w:val="auto"/>
              </w:rPr>
            </w:pPr>
            <w:r>
              <w:rPr>
                <w:rFonts w:ascii="Arial" w:cs="Arial" w:eastAsia="Arial" w:hAnsi="Arial"/>
                <w:sz w:val="13"/>
                <w:szCs w:val="13"/>
                <w:color w:val="auto"/>
              </w:rPr>
              <w:t>London Stock Exchange</w:t>
            </w:r>
          </w:p>
        </w:tc>
        <w:tc>
          <w:tcPr>
            <w:tcW w:w="1040" w:type="dxa"/>
            <w:vAlign w:val="bottom"/>
          </w:tcPr>
          <w:p>
            <w:pPr>
              <w:spacing w:after="0"/>
              <w:rPr>
                <w:sz w:val="10"/>
                <w:szCs w:val="10"/>
                <w:color w:val="auto"/>
              </w:rPr>
            </w:pPr>
          </w:p>
        </w:tc>
        <w:tc>
          <w:tcPr>
            <w:tcW w:w="1900" w:type="dxa"/>
            <w:vAlign w:val="bottom"/>
            <w:gridSpan w:val="2"/>
          </w:tcPr>
          <w:p>
            <w:pPr>
              <w:jc w:val="right"/>
              <w:ind w:right="151"/>
              <w:spacing w:after="0" w:line="123" w:lineRule="exact"/>
              <w:rPr>
                <w:sz w:val="20"/>
                <w:szCs w:val="20"/>
                <w:color w:val="auto"/>
              </w:rPr>
            </w:pPr>
            <w:r>
              <w:rPr>
                <w:rFonts w:ascii="Arial" w:cs="Arial" w:eastAsia="Arial" w:hAnsi="Arial"/>
                <w:sz w:val="13"/>
                <w:szCs w:val="13"/>
                <w:color w:val="auto"/>
              </w:rPr>
              <w:t>New York Stock Exchange</w:t>
            </w:r>
          </w:p>
        </w:tc>
      </w:tr>
      <w:tr>
        <w:trPr>
          <w:trHeight w:val="153"/>
        </w:trPr>
        <w:tc>
          <w:tcPr>
            <w:tcW w:w="422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900" w:type="dxa"/>
            <w:vAlign w:val="bottom"/>
            <w:gridSpan w:val="2"/>
          </w:tcPr>
          <w:p>
            <w:pPr>
              <w:jc w:val="right"/>
              <w:ind w:right="460"/>
              <w:spacing w:after="0"/>
              <w:rPr>
                <w:sz w:val="20"/>
                <w:szCs w:val="20"/>
                <w:color w:val="auto"/>
              </w:rPr>
            </w:pPr>
            <w:r>
              <w:rPr>
                <w:rFonts w:ascii="Arial" w:cs="Arial" w:eastAsia="Arial" w:hAnsi="Arial"/>
                <w:sz w:val="13"/>
                <w:szCs w:val="13"/>
                <w:color w:val="auto"/>
              </w:rPr>
              <w:t>B shares</w:t>
            </w:r>
          </w:p>
        </w:tc>
        <w:tc>
          <w:tcPr>
            <w:tcW w:w="10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20" w:type="dxa"/>
            <w:vAlign w:val="bottom"/>
          </w:tcPr>
          <w:p>
            <w:pPr>
              <w:jc w:val="right"/>
              <w:ind w:right="151"/>
              <w:spacing w:after="0"/>
              <w:rPr>
                <w:sz w:val="20"/>
                <w:szCs w:val="20"/>
                <w:color w:val="auto"/>
              </w:rPr>
            </w:pPr>
            <w:r>
              <w:rPr>
                <w:rFonts w:ascii="Arial" w:cs="Arial" w:eastAsia="Arial" w:hAnsi="Arial"/>
                <w:sz w:val="13"/>
                <w:szCs w:val="13"/>
                <w:color w:val="auto"/>
              </w:rPr>
              <w:t>B ADSs</w:t>
            </w:r>
          </w:p>
        </w:tc>
      </w:tr>
      <w:tr>
        <w:trPr>
          <w:trHeight w:val="130"/>
        </w:trPr>
        <w:tc>
          <w:tcPr>
            <w:tcW w:w="4220" w:type="dxa"/>
            <w:vAlign w:val="bottom"/>
            <w:tcBorders>
              <w:bottom w:val="single" w:sz="8" w:color="auto"/>
            </w:tcBorders>
          </w:tcPr>
          <w:p>
            <w:pPr>
              <w:spacing w:after="0"/>
              <w:rPr>
                <w:sz w:val="11"/>
                <w:szCs w:val="11"/>
                <w:color w:val="auto"/>
              </w:rPr>
            </w:pPr>
          </w:p>
        </w:tc>
        <w:tc>
          <w:tcPr>
            <w:tcW w:w="1400" w:type="dxa"/>
            <w:vAlign w:val="bottom"/>
            <w:tcBorders>
              <w:top w:val="single" w:sz="8" w:color="auto"/>
              <w:bottom w:val="single" w:sz="8" w:color="auto"/>
            </w:tcBorders>
          </w:tcPr>
          <w:p>
            <w:pPr>
              <w:jc w:val="right"/>
              <w:ind w:right="210"/>
              <w:spacing w:after="0" w:line="130" w:lineRule="exact"/>
              <w:rPr>
                <w:sz w:val="20"/>
                <w:szCs w:val="20"/>
                <w:color w:val="auto"/>
              </w:rPr>
            </w:pPr>
            <w:r>
              <w:rPr>
                <w:rFonts w:ascii="Arial" w:cs="Arial" w:eastAsia="Arial" w:hAnsi="Arial"/>
                <w:sz w:val="13"/>
                <w:szCs w:val="13"/>
                <w:color w:val="auto"/>
              </w:rPr>
              <w:t>High pence</w:t>
            </w:r>
          </w:p>
        </w:tc>
        <w:tc>
          <w:tcPr>
            <w:tcW w:w="960" w:type="dxa"/>
            <w:vAlign w:val="bottom"/>
            <w:tcBorders>
              <w:top w:val="single" w:sz="8" w:color="auto"/>
              <w:bottom w:val="single" w:sz="8" w:color="auto"/>
            </w:tcBorders>
          </w:tcPr>
          <w:p>
            <w:pPr>
              <w:jc w:val="right"/>
              <w:spacing w:after="0" w:line="130" w:lineRule="exact"/>
              <w:rPr>
                <w:sz w:val="20"/>
                <w:szCs w:val="20"/>
                <w:color w:val="auto"/>
              </w:rPr>
            </w:pPr>
            <w:r>
              <w:rPr>
                <w:rFonts w:ascii="Arial" w:cs="Arial" w:eastAsia="Arial" w:hAnsi="Arial"/>
                <w:sz w:val="13"/>
                <w:szCs w:val="13"/>
                <w:color w:val="auto"/>
              </w:rPr>
              <w:t>Low pence</w:t>
            </w:r>
          </w:p>
        </w:tc>
        <w:tc>
          <w:tcPr>
            <w:tcW w:w="1540" w:type="dxa"/>
            <w:vAlign w:val="bottom"/>
            <w:tcBorders>
              <w:top w:val="single" w:sz="8" w:color="auto"/>
              <w:bottom w:val="single" w:sz="8" w:color="auto"/>
            </w:tcBorders>
          </w:tcPr>
          <w:p>
            <w:pPr>
              <w:jc w:val="right"/>
              <w:ind w:right="31"/>
              <w:spacing w:after="0" w:line="130" w:lineRule="exact"/>
              <w:rPr>
                <w:sz w:val="20"/>
                <w:szCs w:val="20"/>
                <w:color w:val="auto"/>
              </w:rPr>
            </w:pPr>
            <w:r>
              <w:rPr>
                <w:rFonts w:ascii="Arial" w:cs="Arial" w:eastAsia="Arial" w:hAnsi="Arial"/>
                <w:sz w:val="13"/>
                <w:szCs w:val="13"/>
                <w:color w:val="auto"/>
              </w:rPr>
              <w:t>Year-end pence</w:t>
            </w:r>
          </w:p>
        </w:tc>
        <w:tc>
          <w:tcPr>
            <w:tcW w:w="360" w:type="dxa"/>
            <w:vAlign w:val="bottom"/>
            <w:tcBorders>
              <w:bottom w:val="single" w:sz="8" w:color="auto"/>
            </w:tcBorders>
          </w:tcPr>
          <w:p>
            <w:pPr>
              <w:spacing w:after="0"/>
              <w:rPr>
                <w:sz w:val="11"/>
                <w:szCs w:val="11"/>
                <w:color w:val="auto"/>
              </w:rPr>
            </w:pPr>
          </w:p>
        </w:tc>
        <w:tc>
          <w:tcPr>
            <w:tcW w:w="1040" w:type="dxa"/>
            <w:vAlign w:val="bottom"/>
            <w:tcBorders>
              <w:top w:val="single" w:sz="8" w:color="auto"/>
              <w:bottom w:val="single" w:sz="8" w:color="auto"/>
            </w:tcBorders>
          </w:tcPr>
          <w:p>
            <w:pPr>
              <w:ind w:left="460"/>
              <w:spacing w:after="0" w:line="130" w:lineRule="exact"/>
              <w:rPr>
                <w:sz w:val="20"/>
                <w:szCs w:val="20"/>
                <w:color w:val="auto"/>
              </w:rPr>
            </w:pPr>
            <w:r>
              <w:rPr>
                <w:rFonts w:ascii="Arial" w:cs="Arial" w:eastAsia="Arial" w:hAnsi="Arial"/>
                <w:sz w:val="13"/>
                <w:szCs w:val="13"/>
                <w:color w:val="auto"/>
              </w:rPr>
              <w:t>High $</w:t>
            </w:r>
          </w:p>
        </w:tc>
        <w:tc>
          <w:tcPr>
            <w:tcW w:w="880" w:type="dxa"/>
            <w:vAlign w:val="bottom"/>
            <w:tcBorders>
              <w:top w:val="single" w:sz="8" w:color="auto"/>
              <w:bottom w:val="single" w:sz="8" w:color="auto"/>
            </w:tcBorders>
          </w:tcPr>
          <w:p>
            <w:pPr>
              <w:jc w:val="right"/>
              <w:ind w:right="131"/>
              <w:spacing w:after="0" w:line="130" w:lineRule="exact"/>
              <w:rPr>
                <w:sz w:val="20"/>
                <w:szCs w:val="20"/>
                <w:color w:val="auto"/>
              </w:rPr>
            </w:pPr>
            <w:r>
              <w:rPr>
                <w:rFonts w:ascii="Arial" w:cs="Arial" w:eastAsia="Arial" w:hAnsi="Arial"/>
                <w:sz w:val="13"/>
                <w:szCs w:val="13"/>
                <w:color w:val="auto"/>
              </w:rPr>
              <w:t>Low $</w:t>
            </w:r>
          </w:p>
        </w:tc>
        <w:tc>
          <w:tcPr>
            <w:tcW w:w="1020" w:type="dxa"/>
            <w:vAlign w:val="bottom"/>
            <w:tcBorders>
              <w:top w:val="single" w:sz="8" w:color="auto"/>
              <w:bottom w:val="single" w:sz="8" w:color="auto"/>
            </w:tcBorders>
          </w:tcPr>
          <w:p>
            <w:pPr>
              <w:jc w:val="right"/>
              <w:ind w:right="151"/>
              <w:spacing w:after="0" w:line="130" w:lineRule="exact"/>
              <w:rPr>
                <w:sz w:val="20"/>
                <w:szCs w:val="20"/>
                <w:color w:val="auto"/>
              </w:rPr>
            </w:pPr>
            <w:r>
              <w:rPr>
                <w:rFonts w:ascii="Arial" w:cs="Arial" w:eastAsia="Arial" w:hAnsi="Arial"/>
                <w:sz w:val="13"/>
                <w:szCs w:val="13"/>
                <w:color w:val="auto"/>
              </w:rPr>
              <w:t>Year-end $</w:t>
            </w:r>
          </w:p>
        </w:tc>
      </w:tr>
      <w:tr>
        <w:trPr>
          <w:trHeight w:val="160"/>
        </w:trPr>
        <w:tc>
          <w:tcPr>
            <w:tcW w:w="4220" w:type="dxa"/>
            <w:vAlign w:val="bottom"/>
          </w:tcPr>
          <w:p>
            <w:pPr>
              <w:jc w:val="right"/>
              <w:ind w:right="3828"/>
              <w:spacing w:after="0"/>
              <w:rPr>
                <w:sz w:val="20"/>
                <w:szCs w:val="20"/>
                <w:color w:val="auto"/>
              </w:rPr>
            </w:pPr>
            <w:r>
              <w:rPr>
                <w:rFonts w:ascii="Arial" w:cs="Arial" w:eastAsia="Arial" w:hAnsi="Arial"/>
                <w:sz w:val="14"/>
                <w:szCs w:val="14"/>
                <w:color w:val="auto"/>
                <w:w w:val="96"/>
              </w:rPr>
              <w:t>2010</w:t>
            </w:r>
          </w:p>
        </w:tc>
        <w:tc>
          <w:tcPr>
            <w:tcW w:w="1400" w:type="dxa"/>
            <w:vAlign w:val="bottom"/>
          </w:tcPr>
          <w:p>
            <w:pPr>
              <w:jc w:val="right"/>
              <w:ind w:right="210"/>
              <w:spacing w:after="0"/>
              <w:rPr>
                <w:sz w:val="20"/>
                <w:szCs w:val="20"/>
                <w:color w:val="auto"/>
              </w:rPr>
            </w:pPr>
            <w:r>
              <w:rPr>
                <w:rFonts w:ascii="Arial" w:cs="Arial" w:eastAsia="Arial" w:hAnsi="Arial"/>
                <w:sz w:val="14"/>
                <w:szCs w:val="14"/>
                <w:color w:val="auto"/>
              </w:rPr>
              <w:t>2,149</w:t>
            </w:r>
          </w:p>
        </w:tc>
        <w:tc>
          <w:tcPr>
            <w:tcW w:w="960" w:type="dxa"/>
            <w:vAlign w:val="bottom"/>
          </w:tcPr>
          <w:p>
            <w:pPr>
              <w:jc w:val="right"/>
              <w:spacing w:after="0"/>
              <w:rPr>
                <w:sz w:val="20"/>
                <w:szCs w:val="20"/>
                <w:color w:val="auto"/>
              </w:rPr>
            </w:pPr>
            <w:r>
              <w:rPr>
                <w:rFonts w:ascii="Arial" w:cs="Arial" w:eastAsia="Arial" w:hAnsi="Arial"/>
                <w:sz w:val="14"/>
                <w:szCs w:val="14"/>
                <w:color w:val="auto"/>
              </w:rPr>
              <w:t>1,550</w:t>
            </w:r>
          </w:p>
        </w:tc>
        <w:tc>
          <w:tcPr>
            <w:tcW w:w="1540" w:type="dxa"/>
            <w:vAlign w:val="bottom"/>
          </w:tcPr>
          <w:p>
            <w:pPr>
              <w:jc w:val="right"/>
              <w:ind w:right="31"/>
              <w:spacing w:after="0"/>
              <w:rPr>
                <w:sz w:val="20"/>
                <w:szCs w:val="20"/>
                <w:color w:val="auto"/>
              </w:rPr>
            </w:pPr>
            <w:r>
              <w:rPr>
                <w:rFonts w:ascii="Arial" w:cs="Arial" w:eastAsia="Arial" w:hAnsi="Arial"/>
                <w:sz w:val="14"/>
                <w:szCs w:val="14"/>
                <w:color w:val="auto"/>
              </w:rPr>
              <w:t>2,115</w:t>
            </w:r>
          </w:p>
        </w:tc>
        <w:tc>
          <w:tcPr>
            <w:tcW w:w="360" w:type="dxa"/>
            <w:vAlign w:val="bottom"/>
          </w:tcPr>
          <w:p>
            <w:pPr>
              <w:spacing w:after="0"/>
              <w:rPr>
                <w:sz w:val="13"/>
                <w:szCs w:val="13"/>
                <w:color w:val="auto"/>
              </w:rPr>
            </w:pPr>
          </w:p>
        </w:tc>
        <w:tc>
          <w:tcPr>
            <w:tcW w:w="1040" w:type="dxa"/>
            <w:vAlign w:val="bottom"/>
          </w:tcPr>
          <w:p>
            <w:pPr>
              <w:ind w:left="460"/>
              <w:spacing w:after="0"/>
              <w:rPr>
                <w:sz w:val="20"/>
                <w:szCs w:val="20"/>
                <w:color w:val="auto"/>
              </w:rPr>
            </w:pPr>
            <w:r>
              <w:rPr>
                <w:rFonts w:ascii="Arial" w:cs="Arial" w:eastAsia="Arial" w:hAnsi="Arial"/>
                <w:sz w:val="14"/>
                <w:szCs w:val="14"/>
                <w:color w:val="auto"/>
              </w:rPr>
              <w:t>68.32</w:t>
            </w:r>
          </w:p>
        </w:tc>
        <w:tc>
          <w:tcPr>
            <w:tcW w:w="880" w:type="dxa"/>
            <w:vAlign w:val="bottom"/>
          </w:tcPr>
          <w:p>
            <w:pPr>
              <w:jc w:val="right"/>
              <w:ind w:right="131"/>
              <w:spacing w:after="0"/>
              <w:rPr>
                <w:sz w:val="20"/>
                <w:szCs w:val="20"/>
                <w:color w:val="auto"/>
              </w:rPr>
            </w:pPr>
            <w:r>
              <w:rPr>
                <w:rFonts w:ascii="Arial" w:cs="Arial" w:eastAsia="Arial" w:hAnsi="Arial"/>
                <w:sz w:val="14"/>
                <w:szCs w:val="14"/>
                <w:color w:val="auto"/>
              </w:rPr>
              <w:t>47.12</w:t>
            </w:r>
          </w:p>
        </w:tc>
        <w:tc>
          <w:tcPr>
            <w:tcW w:w="1020" w:type="dxa"/>
            <w:vAlign w:val="bottom"/>
          </w:tcPr>
          <w:p>
            <w:pPr>
              <w:jc w:val="right"/>
              <w:ind w:right="151"/>
              <w:spacing w:after="0"/>
              <w:rPr>
                <w:sz w:val="20"/>
                <w:szCs w:val="20"/>
                <w:color w:val="auto"/>
              </w:rPr>
            </w:pPr>
            <w:r>
              <w:rPr>
                <w:rFonts w:ascii="Arial" w:cs="Arial" w:eastAsia="Arial" w:hAnsi="Arial"/>
                <w:sz w:val="14"/>
                <w:szCs w:val="14"/>
                <w:color w:val="auto"/>
              </w:rPr>
              <w:t>66.67</w:t>
            </w:r>
          </w:p>
        </w:tc>
      </w:tr>
      <w:tr>
        <w:trPr>
          <w:trHeight w:val="162"/>
        </w:trPr>
        <w:tc>
          <w:tcPr>
            <w:tcW w:w="4220" w:type="dxa"/>
            <w:vAlign w:val="bottom"/>
          </w:tcPr>
          <w:p>
            <w:pPr>
              <w:jc w:val="right"/>
              <w:ind w:right="3828"/>
              <w:spacing w:after="0"/>
              <w:rPr>
                <w:sz w:val="20"/>
                <w:szCs w:val="20"/>
                <w:color w:val="auto"/>
              </w:rPr>
            </w:pPr>
            <w:r>
              <w:rPr>
                <w:rFonts w:ascii="Arial" w:cs="Arial" w:eastAsia="Arial" w:hAnsi="Arial"/>
                <w:sz w:val="14"/>
                <w:szCs w:val="14"/>
                <w:color w:val="auto"/>
                <w:w w:val="96"/>
              </w:rPr>
              <w:t>2011</w:t>
            </w:r>
          </w:p>
        </w:tc>
        <w:tc>
          <w:tcPr>
            <w:tcW w:w="1400" w:type="dxa"/>
            <w:vAlign w:val="bottom"/>
          </w:tcPr>
          <w:p>
            <w:pPr>
              <w:jc w:val="right"/>
              <w:ind w:right="210"/>
              <w:spacing w:after="0"/>
              <w:rPr>
                <w:sz w:val="20"/>
                <w:szCs w:val="20"/>
                <w:color w:val="auto"/>
              </w:rPr>
            </w:pPr>
            <w:r>
              <w:rPr>
                <w:rFonts w:ascii="Arial" w:cs="Arial" w:eastAsia="Arial" w:hAnsi="Arial"/>
                <w:sz w:val="14"/>
                <w:szCs w:val="14"/>
                <w:color w:val="auto"/>
              </w:rPr>
              <w:t>2,476</w:t>
            </w:r>
          </w:p>
        </w:tc>
        <w:tc>
          <w:tcPr>
            <w:tcW w:w="960" w:type="dxa"/>
            <w:vAlign w:val="bottom"/>
          </w:tcPr>
          <w:p>
            <w:pPr>
              <w:jc w:val="right"/>
              <w:spacing w:after="0"/>
              <w:rPr>
                <w:sz w:val="20"/>
                <w:szCs w:val="20"/>
                <w:color w:val="auto"/>
              </w:rPr>
            </w:pPr>
            <w:r>
              <w:rPr>
                <w:rFonts w:ascii="Arial" w:cs="Arial" w:eastAsia="Arial" w:hAnsi="Arial"/>
                <w:sz w:val="14"/>
                <w:szCs w:val="14"/>
                <w:color w:val="auto"/>
              </w:rPr>
              <w:t>1,768</w:t>
            </w:r>
          </w:p>
        </w:tc>
        <w:tc>
          <w:tcPr>
            <w:tcW w:w="1540" w:type="dxa"/>
            <w:vAlign w:val="bottom"/>
          </w:tcPr>
          <w:p>
            <w:pPr>
              <w:jc w:val="right"/>
              <w:ind w:right="31"/>
              <w:spacing w:after="0"/>
              <w:rPr>
                <w:sz w:val="20"/>
                <w:szCs w:val="20"/>
                <w:color w:val="auto"/>
              </w:rPr>
            </w:pPr>
            <w:r>
              <w:rPr>
                <w:rFonts w:ascii="Arial" w:cs="Arial" w:eastAsia="Arial" w:hAnsi="Arial"/>
                <w:sz w:val="14"/>
                <w:szCs w:val="14"/>
                <w:color w:val="auto"/>
              </w:rPr>
              <w:t>2,454</w:t>
            </w:r>
          </w:p>
        </w:tc>
        <w:tc>
          <w:tcPr>
            <w:tcW w:w="360" w:type="dxa"/>
            <w:vAlign w:val="bottom"/>
          </w:tcPr>
          <w:p>
            <w:pPr>
              <w:spacing w:after="0"/>
              <w:rPr>
                <w:sz w:val="14"/>
                <w:szCs w:val="14"/>
                <w:color w:val="auto"/>
              </w:rPr>
            </w:pPr>
          </w:p>
        </w:tc>
        <w:tc>
          <w:tcPr>
            <w:tcW w:w="1040" w:type="dxa"/>
            <w:vAlign w:val="bottom"/>
          </w:tcPr>
          <w:p>
            <w:pPr>
              <w:ind w:left="460"/>
              <w:spacing w:after="0"/>
              <w:rPr>
                <w:sz w:val="20"/>
                <w:szCs w:val="20"/>
                <w:color w:val="auto"/>
              </w:rPr>
            </w:pPr>
            <w:r>
              <w:rPr>
                <w:rFonts w:ascii="Arial" w:cs="Arial" w:eastAsia="Arial" w:hAnsi="Arial"/>
                <w:sz w:val="14"/>
                <w:szCs w:val="14"/>
                <w:color w:val="auto"/>
              </w:rPr>
              <w:t>78.75</w:t>
            </w:r>
          </w:p>
        </w:tc>
        <w:tc>
          <w:tcPr>
            <w:tcW w:w="880" w:type="dxa"/>
            <w:vAlign w:val="bottom"/>
          </w:tcPr>
          <w:p>
            <w:pPr>
              <w:jc w:val="right"/>
              <w:ind w:right="131"/>
              <w:spacing w:after="0"/>
              <w:rPr>
                <w:sz w:val="20"/>
                <w:szCs w:val="20"/>
                <w:color w:val="auto"/>
              </w:rPr>
            </w:pPr>
            <w:r>
              <w:rPr>
                <w:rFonts w:ascii="Arial" w:cs="Arial" w:eastAsia="Arial" w:hAnsi="Arial"/>
                <w:sz w:val="14"/>
                <w:szCs w:val="14"/>
                <w:color w:val="auto"/>
              </w:rPr>
              <w:t>58.42</w:t>
            </w:r>
          </w:p>
        </w:tc>
        <w:tc>
          <w:tcPr>
            <w:tcW w:w="1020" w:type="dxa"/>
            <w:vAlign w:val="bottom"/>
          </w:tcPr>
          <w:p>
            <w:pPr>
              <w:jc w:val="right"/>
              <w:ind w:right="151"/>
              <w:spacing w:after="0"/>
              <w:rPr>
                <w:sz w:val="20"/>
                <w:szCs w:val="20"/>
                <w:color w:val="auto"/>
              </w:rPr>
            </w:pPr>
            <w:r>
              <w:rPr>
                <w:rFonts w:ascii="Arial" w:cs="Arial" w:eastAsia="Arial" w:hAnsi="Arial"/>
                <w:sz w:val="14"/>
                <w:szCs w:val="14"/>
                <w:color w:val="auto"/>
              </w:rPr>
              <w:t>76.01</w:t>
            </w:r>
          </w:p>
        </w:tc>
      </w:tr>
      <w:tr>
        <w:trPr>
          <w:trHeight w:val="162"/>
        </w:trPr>
        <w:tc>
          <w:tcPr>
            <w:tcW w:w="4220" w:type="dxa"/>
            <w:vAlign w:val="bottom"/>
          </w:tcPr>
          <w:p>
            <w:pPr>
              <w:jc w:val="right"/>
              <w:ind w:right="3828"/>
              <w:spacing w:after="0"/>
              <w:rPr>
                <w:sz w:val="20"/>
                <w:szCs w:val="20"/>
                <w:color w:val="auto"/>
              </w:rPr>
            </w:pPr>
            <w:r>
              <w:rPr>
                <w:rFonts w:ascii="Arial" w:cs="Arial" w:eastAsia="Arial" w:hAnsi="Arial"/>
                <w:sz w:val="14"/>
                <w:szCs w:val="14"/>
                <w:color w:val="auto"/>
                <w:w w:val="96"/>
              </w:rPr>
              <w:t>2012</w:t>
            </w:r>
          </w:p>
        </w:tc>
        <w:tc>
          <w:tcPr>
            <w:tcW w:w="1400" w:type="dxa"/>
            <w:vAlign w:val="bottom"/>
          </w:tcPr>
          <w:p>
            <w:pPr>
              <w:jc w:val="right"/>
              <w:ind w:right="210"/>
              <w:spacing w:after="0"/>
              <w:rPr>
                <w:sz w:val="20"/>
                <w:szCs w:val="20"/>
                <w:color w:val="auto"/>
              </w:rPr>
            </w:pPr>
            <w:r>
              <w:rPr>
                <w:rFonts w:ascii="Arial" w:cs="Arial" w:eastAsia="Arial" w:hAnsi="Arial"/>
                <w:sz w:val="14"/>
                <w:szCs w:val="14"/>
                <w:color w:val="auto"/>
              </w:rPr>
              <w:t>2,499</w:t>
            </w:r>
          </w:p>
        </w:tc>
        <w:tc>
          <w:tcPr>
            <w:tcW w:w="960" w:type="dxa"/>
            <w:vAlign w:val="bottom"/>
          </w:tcPr>
          <w:p>
            <w:pPr>
              <w:jc w:val="right"/>
              <w:spacing w:after="0"/>
              <w:rPr>
                <w:sz w:val="20"/>
                <w:szCs w:val="20"/>
                <w:color w:val="auto"/>
              </w:rPr>
            </w:pPr>
            <w:r>
              <w:rPr>
                <w:rFonts w:ascii="Arial" w:cs="Arial" w:eastAsia="Arial" w:hAnsi="Arial"/>
                <w:sz w:val="14"/>
                <w:szCs w:val="14"/>
                <w:color w:val="auto"/>
              </w:rPr>
              <w:t>2,020</w:t>
            </w:r>
          </w:p>
        </w:tc>
        <w:tc>
          <w:tcPr>
            <w:tcW w:w="1540" w:type="dxa"/>
            <w:vAlign w:val="bottom"/>
          </w:tcPr>
          <w:p>
            <w:pPr>
              <w:jc w:val="right"/>
              <w:ind w:right="31"/>
              <w:spacing w:after="0"/>
              <w:rPr>
                <w:sz w:val="20"/>
                <w:szCs w:val="20"/>
                <w:color w:val="auto"/>
              </w:rPr>
            </w:pPr>
            <w:r>
              <w:rPr>
                <w:rFonts w:ascii="Arial" w:cs="Arial" w:eastAsia="Arial" w:hAnsi="Arial"/>
                <w:sz w:val="14"/>
                <w:szCs w:val="14"/>
                <w:color w:val="auto"/>
              </w:rPr>
              <w:t>2,175</w:t>
            </w:r>
          </w:p>
        </w:tc>
        <w:tc>
          <w:tcPr>
            <w:tcW w:w="360" w:type="dxa"/>
            <w:vAlign w:val="bottom"/>
          </w:tcPr>
          <w:p>
            <w:pPr>
              <w:spacing w:after="0"/>
              <w:rPr>
                <w:sz w:val="14"/>
                <w:szCs w:val="14"/>
                <w:color w:val="auto"/>
              </w:rPr>
            </w:pPr>
          </w:p>
        </w:tc>
        <w:tc>
          <w:tcPr>
            <w:tcW w:w="1040" w:type="dxa"/>
            <w:vAlign w:val="bottom"/>
          </w:tcPr>
          <w:p>
            <w:pPr>
              <w:ind w:left="460"/>
              <w:spacing w:after="0"/>
              <w:rPr>
                <w:sz w:val="20"/>
                <w:szCs w:val="20"/>
                <w:color w:val="auto"/>
              </w:rPr>
            </w:pPr>
            <w:r>
              <w:rPr>
                <w:rFonts w:ascii="Arial" w:cs="Arial" w:eastAsia="Arial" w:hAnsi="Arial"/>
                <w:sz w:val="14"/>
                <w:szCs w:val="14"/>
                <w:color w:val="auto"/>
              </w:rPr>
              <w:t>77.52</w:t>
            </w:r>
          </w:p>
        </w:tc>
        <w:tc>
          <w:tcPr>
            <w:tcW w:w="880" w:type="dxa"/>
            <w:vAlign w:val="bottom"/>
          </w:tcPr>
          <w:p>
            <w:pPr>
              <w:jc w:val="right"/>
              <w:ind w:right="131"/>
              <w:spacing w:after="0"/>
              <w:rPr>
                <w:sz w:val="20"/>
                <w:szCs w:val="20"/>
                <w:color w:val="auto"/>
              </w:rPr>
            </w:pPr>
            <w:r>
              <w:rPr>
                <w:rFonts w:ascii="Arial" w:cs="Arial" w:eastAsia="Arial" w:hAnsi="Arial"/>
                <w:sz w:val="14"/>
                <w:szCs w:val="14"/>
                <w:color w:val="auto"/>
              </w:rPr>
              <w:t>63.05</w:t>
            </w:r>
          </w:p>
        </w:tc>
        <w:tc>
          <w:tcPr>
            <w:tcW w:w="1020" w:type="dxa"/>
            <w:vAlign w:val="bottom"/>
          </w:tcPr>
          <w:p>
            <w:pPr>
              <w:jc w:val="right"/>
              <w:ind w:right="151"/>
              <w:spacing w:after="0"/>
              <w:rPr>
                <w:sz w:val="20"/>
                <w:szCs w:val="20"/>
                <w:color w:val="auto"/>
              </w:rPr>
            </w:pPr>
            <w:r>
              <w:rPr>
                <w:rFonts w:ascii="Arial" w:cs="Arial" w:eastAsia="Arial" w:hAnsi="Arial"/>
                <w:sz w:val="14"/>
                <w:szCs w:val="14"/>
                <w:color w:val="auto"/>
              </w:rPr>
              <w:t>70.89</w:t>
            </w:r>
          </w:p>
        </w:tc>
      </w:tr>
      <w:tr>
        <w:trPr>
          <w:trHeight w:val="162"/>
        </w:trPr>
        <w:tc>
          <w:tcPr>
            <w:tcW w:w="4220" w:type="dxa"/>
            <w:vAlign w:val="bottom"/>
          </w:tcPr>
          <w:p>
            <w:pPr>
              <w:jc w:val="right"/>
              <w:ind w:right="3828"/>
              <w:spacing w:after="0"/>
              <w:rPr>
                <w:sz w:val="20"/>
                <w:szCs w:val="20"/>
                <w:color w:val="auto"/>
              </w:rPr>
            </w:pPr>
            <w:r>
              <w:rPr>
                <w:rFonts w:ascii="Arial" w:cs="Arial" w:eastAsia="Arial" w:hAnsi="Arial"/>
                <w:sz w:val="14"/>
                <w:szCs w:val="14"/>
                <w:color w:val="auto"/>
                <w:w w:val="96"/>
              </w:rPr>
              <w:t>2013</w:t>
            </w:r>
          </w:p>
        </w:tc>
        <w:tc>
          <w:tcPr>
            <w:tcW w:w="1400" w:type="dxa"/>
            <w:vAlign w:val="bottom"/>
          </w:tcPr>
          <w:p>
            <w:pPr>
              <w:jc w:val="right"/>
              <w:ind w:right="210"/>
              <w:spacing w:after="0"/>
              <w:rPr>
                <w:sz w:val="20"/>
                <w:szCs w:val="20"/>
                <w:color w:val="auto"/>
              </w:rPr>
            </w:pPr>
            <w:r>
              <w:rPr>
                <w:rFonts w:ascii="Arial" w:cs="Arial" w:eastAsia="Arial" w:hAnsi="Arial"/>
                <w:sz w:val="14"/>
                <w:szCs w:val="14"/>
                <w:color w:val="auto"/>
              </w:rPr>
              <w:t>2,375</w:t>
            </w:r>
          </w:p>
        </w:tc>
        <w:tc>
          <w:tcPr>
            <w:tcW w:w="960" w:type="dxa"/>
            <w:vAlign w:val="bottom"/>
          </w:tcPr>
          <w:p>
            <w:pPr>
              <w:jc w:val="right"/>
              <w:spacing w:after="0"/>
              <w:rPr>
                <w:sz w:val="20"/>
                <w:szCs w:val="20"/>
                <w:color w:val="auto"/>
              </w:rPr>
            </w:pPr>
            <w:r>
              <w:rPr>
                <w:rFonts w:ascii="Arial" w:cs="Arial" w:eastAsia="Arial" w:hAnsi="Arial"/>
                <w:sz w:val="14"/>
                <w:szCs w:val="14"/>
                <w:color w:val="auto"/>
              </w:rPr>
              <w:t>2,070</w:t>
            </w:r>
          </w:p>
        </w:tc>
        <w:tc>
          <w:tcPr>
            <w:tcW w:w="1540" w:type="dxa"/>
            <w:vAlign w:val="bottom"/>
          </w:tcPr>
          <w:p>
            <w:pPr>
              <w:jc w:val="right"/>
              <w:ind w:right="31"/>
              <w:spacing w:after="0"/>
              <w:rPr>
                <w:sz w:val="20"/>
                <w:szCs w:val="20"/>
                <w:color w:val="auto"/>
              </w:rPr>
            </w:pPr>
            <w:r>
              <w:rPr>
                <w:rFonts w:ascii="Arial" w:cs="Arial" w:eastAsia="Arial" w:hAnsi="Arial"/>
                <w:sz w:val="14"/>
                <w:szCs w:val="14"/>
                <w:color w:val="auto"/>
              </w:rPr>
              <w:t>2,280</w:t>
            </w:r>
          </w:p>
        </w:tc>
        <w:tc>
          <w:tcPr>
            <w:tcW w:w="360" w:type="dxa"/>
            <w:vAlign w:val="bottom"/>
          </w:tcPr>
          <w:p>
            <w:pPr>
              <w:spacing w:after="0"/>
              <w:rPr>
                <w:sz w:val="14"/>
                <w:szCs w:val="14"/>
                <w:color w:val="auto"/>
              </w:rPr>
            </w:pPr>
          </w:p>
        </w:tc>
        <w:tc>
          <w:tcPr>
            <w:tcW w:w="1040" w:type="dxa"/>
            <w:vAlign w:val="bottom"/>
          </w:tcPr>
          <w:p>
            <w:pPr>
              <w:ind w:left="460"/>
              <w:spacing w:after="0"/>
              <w:rPr>
                <w:sz w:val="20"/>
                <w:szCs w:val="20"/>
                <w:color w:val="auto"/>
              </w:rPr>
            </w:pPr>
            <w:r>
              <w:rPr>
                <w:rFonts w:ascii="Arial" w:cs="Arial" w:eastAsia="Arial" w:hAnsi="Arial"/>
                <w:sz w:val="14"/>
                <w:szCs w:val="14"/>
                <w:color w:val="auto"/>
              </w:rPr>
              <w:t>75.18</w:t>
            </w:r>
          </w:p>
        </w:tc>
        <w:tc>
          <w:tcPr>
            <w:tcW w:w="880" w:type="dxa"/>
            <w:vAlign w:val="bottom"/>
          </w:tcPr>
          <w:p>
            <w:pPr>
              <w:jc w:val="right"/>
              <w:ind w:right="131"/>
              <w:spacing w:after="0"/>
              <w:rPr>
                <w:sz w:val="20"/>
                <w:szCs w:val="20"/>
                <w:color w:val="auto"/>
              </w:rPr>
            </w:pPr>
            <w:r>
              <w:rPr>
                <w:rFonts w:ascii="Arial" w:cs="Arial" w:eastAsia="Arial" w:hAnsi="Arial"/>
                <w:sz w:val="14"/>
                <w:szCs w:val="14"/>
                <w:color w:val="auto"/>
              </w:rPr>
              <w:t>65.02</w:t>
            </w:r>
          </w:p>
        </w:tc>
        <w:tc>
          <w:tcPr>
            <w:tcW w:w="1020" w:type="dxa"/>
            <w:vAlign w:val="bottom"/>
          </w:tcPr>
          <w:p>
            <w:pPr>
              <w:jc w:val="right"/>
              <w:ind w:right="151"/>
              <w:spacing w:after="0"/>
              <w:rPr>
                <w:sz w:val="20"/>
                <w:szCs w:val="20"/>
                <w:color w:val="auto"/>
              </w:rPr>
            </w:pPr>
            <w:r>
              <w:rPr>
                <w:rFonts w:ascii="Arial" w:cs="Arial" w:eastAsia="Arial" w:hAnsi="Arial"/>
                <w:sz w:val="14"/>
                <w:szCs w:val="14"/>
                <w:color w:val="auto"/>
              </w:rPr>
              <w:t>75.11</w:t>
            </w:r>
          </w:p>
        </w:tc>
      </w:tr>
      <w:tr>
        <w:trPr>
          <w:trHeight w:val="157"/>
        </w:trPr>
        <w:tc>
          <w:tcPr>
            <w:tcW w:w="4220" w:type="dxa"/>
            <w:vAlign w:val="bottom"/>
            <w:tcBorders>
              <w:bottom w:val="single" w:sz="8" w:color="auto"/>
            </w:tcBorders>
          </w:tcPr>
          <w:p>
            <w:pPr>
              <w:jc w:val="right"/>
              <w:ind w:right="3828"/>
              <w:spacing w:after="0" w:line="157" w:lineRule="exact"/>
              <w:rPr>
                <w:sz w:val="20"/>
                <w:szCs w:val="20"/>
                <w:color w:val="auto"/>
              </w:rPr>
            </w:pPr>
            <w:r>
              <w:rPr>
                <w:rFonts w:ascii="Arial" w:cs="Arial" w:eastAsia="Arial" w:hAnsi="Arial"/>
                <w:sz w:val="14"/>
                <w:szCs w:val="14"/>
                <w:color w:val="auto"/>
                <w:w w:val="96"/>
              </w:rPr>
              <w:t>2014</w:t>
            </w:r>
          </w:p>
        </w:tc>
        <w:tc>
          <w:tcPr>
            <w:tcW w:w="1400" w:type="dxa"/>
            <w:vAlign w:val="bottom"/>
            <w:tcBorders>
              <w:bottom w:val="single" w:sz="8" w:color="auto"/>
            </w:tcBorders>
          </w:tcPr>
          <w:p>
            <w:pPr>
              <w:jc w:val="right"/>
              <w:ind w:right="210"/>
              <w:spacing w:after="0" w:line="157" w:lineRule="exact"/>
              <w:rPr>
                <w:sz w:val="20"/>
                <w:szCs w:val="20"/>
                <w:color w:val="auto"/>
              </w:rPr>
            </w:pPr>
            <w:r>
              <w:rPr>
                <w:rFonts w:ascii="Arial" w:cs="Arial" w:eastAsia="Arial" w:hAnsi="Arial"/>
                <w:sz w:val="14"/>
                <w:szCs w:val="14"/>
                <w:color w:val="auto"/>
              </w:rPr>
              <w:t>2,614</w:t>
            </w:r>
          </w:p>
        </w:tc>
        <w:tc>
          <w:tcPr>
            <w:tcW w:w="960" w:type="dxa"/>
            <w:vAlign w:val="bottom"/>
            <w:tcBorders>
              <w:bottom w:val="single" w:sz="8" w:color="auto"/>
            </w:tcBorders>
          </w:tcPr>
          <w:p>
            <w:pPr>
              <w:jc w:val="right"/>
              <w:spacing w:after="0" w:line="157" w:lineRule="exact"/>
              <w:rPr>
                <w:sz w:val="20"/>
                <w:szCs w:val="20"/>
                <w:color w:val="auto"/>
              </w:rPr>
            </w:pPr>
            <w:r>
              <w:rPr>
                <w:rFonts w:ascii="Arial" w:cs="Arial" w:eastAsia="Arial" w:hAnsi="Arial"/>
                <w:sz w:val="14"/>
                <w:szCs w:val="14"/>
                <w:color w:val="auto"/>
              </w:rPr>
              <w:t>1,985</w:t>
            </w:r>
          </w:p>
        </w:tc>
        <w:tc>
          <w:tcPr>
            <w:tcW w:w="1540" w:type="dxa"/>
            <w:vAlign w:val="bottom"/>
            <w:tcBorders>
              <w:bottom w:val="single" w:sz="8" w:color="auto"/>
            </w:tcBorders>
          </w:tcPr>
          <w:p>
            <w:pPr>
              <w:jc w:val="right"/>
              <w:ind w:right="31"/>
              <w:spacing w:after="0" w:line="157" w:lineRule="exact"/>
              <w:rPr>
                <w:sz w:val="20"/>
                <w:szCs w:val="20"/>
                <w:color w:val="auto"/>
              </w:rPr>
            </w:pPr>
            <w:r>
              <w:rPr>
                <w:rFonts w:ascii="Arial" w:cs="Arial" w:eastAsia="Arial" w:hAnsi="Arial"/>
                <w:sz w:val="14"/>
                <w:szCs w:val="14"/>
                <w:color w:val="auto"/>
              </w:rPr>
              <w:t>2,233</w:t>
            </w:r>
          </w:p>
        </w:tc>
        <w:tc>
          <w:tcPr>
            <w:tcW w:w="36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ind w:left="460"/>
              <w:spacing w:after="0" w:line="157" w:lineRule="exact"/>
              <w:rPr>
                <w:sz w:val="20"/>
                <w:szCs w:val="20"/>
                <w:color w:val="auto"/>
              </w:rPr>
            </w:pPr>
            <w:r>
              <w:rPr>
                <w:rFonts w:ascii="Arial" w:cs="Arial" w:eastAsia="Arial" w:hAnsi="Arial"/>
                <w:sz w:val="14"/>
                <w:szCs w:val="14"/>
                <w:color w:val="auto"/>
              </w:rPr>
              <w:t>88.13</w:t>
            </w:r>
          </w:p>
        </w:tc>
        <w:tc>
          <w:tcPr>
            <w:tcW w:w="880" w:type="dxa"/>
            <w:vAlign w:val="bottom"/>
            <w:tcBorders>
              <w:bottom w:val="single" w:sz="8" w:color="auto"/>
            </w:tcBorders>
          </w:tcPr>
          <w:p>
            <w:pPr>
              <w:jc w:val="right"/>
              <w:ind w:right="131"/>
              <w:spacing w:after="0" w:line="157" w:lineRule="exact"/>
              <w:rPr>
                <w:sz w:val="20"/>
                <w:szCs w:val="20"/>
                <w:color w:val="auto"/>
              </w:rPr>
            </w:pPr>
            <w:r>
              <w:rPr>
                <w:rFonts w:ascii="Arial" w:cs="Arial" w:eastAsia="Arial" w:hAnsi="Arial"/>
                <w:sz w:val="14"/>
                <w:szCs w:val="14"/>
                <w:color w:val="auto"/>
              </w:rPr>
              <w:t>62.11</w:t>
            </w:r>
          </w:p>
        </w:tc>
        <w:tc>
          <w:tcPr>
            <w:tcW w:w="1020" w:type="dxa"/>
            <w:vAlign w:val="bottom"/>
            <w:tcBorders>
              <w:bottom w:val="single" w:sz="8" w:color="auto"/>
            </w:tcBorders>
          </w:tcPr>
          <w:p>
            <w:pPr>
              <w:jc w:val="right"/>
              <w:ind w:right="151"/>
              <w:spacing w:after="0" w:line="157" w:lineRule="exact"/>
              <w:rPr>
                <w:sz w:val="20"/>
                <w:szCs w:val="20"/>
                <w:color w:val="auto"/>
              </w:rPr>
            </w:pPr>
            <w:r>
              <w:rPr>
                <w:rFonts w:ascii="Arial" w:cs="Arial" w:eastAsia="Arial" w:hAnsi="Arial"/>
                <w:sz w:val="14"/>
                <w:szCs w:val="14"/>
                <w:color w:val="auto"/>
              </w:rPr>
              <w:t>69.56</w:t>
            </w:r>
          </w:p>
        </w:tc>
      </w:tr>
    </w:tbl>
    <w:p>
      <w:pPr>
        <w:spacing w:after="0" w:line="195" w:lineRule="exact"/>
        <w:rPr>
          <w:sz w:val="20"/>
          <w:szCs w:val="20"/>
          <w:color w:val="auto"/>
        </w:rPr>
      </w:pPr>
    </w:p>
    <w:p>
      <w:pPr>
        <w:ind w:left="80"/>
        <w:spacing w:after="0"/>
        <w:rPr>
          <w:sz w:val="20"/>
          <w:szCs w:val="20"/>
          <w:color w:val="auto"/>
        </w:rPr>
      </w:pPr>
      <w:r>
        <w:rPr>
          <w:rFonts w:ascii="Arial" w:cs="Arial" w:eastAsia="Arial" w:hAnsi="Arial"/>
          <w:sz w:val="15"/>
          <w:szCs w:val="15"/>
          <w:b w:val="1"/>
          <w:bCs w:val="1"/>
          <w:color w:val="FFFFFF"/>
        </w:rPr>
        <w:t>QUARTERLY SHARE PRICES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-95250</wp:posOffset>
            </wp:positionV>
            <wp:extent cx="7246620" cy="102870"/>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557">
                      <a:extLst>
                        <a:ext uri="{28A0092B-C50C-407E-A947-70E740481C1C}"/>
                      </a:extLst>
                    </a:blip>
                    <a:srcRect/>
                    <a:stretch>
                      <a:fillRect/>
                    </a:stretch>
                  </pic:blipFill>
                  <pic:spPr bwMode="auto">
                    <a:xfrm>
                      <a:off x="0" y="0"/>
                      <a:ext cx="7246620" cy="10287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40"/>
        </w:trPr>
        <w:tc>
          <w:tcPr>
            <w:tcW w:w="45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20" w:type="dxa"/>
            <w:vAlign w:val="bottom"/>
            <w:gridSpan w:val="2"/>
          </w:tcPr>
          <w:p>
            <w:pPr>
              <w:jc w:val="right"/>
              <w:ind w:right="340"/>
              <w:spacing w:after="0" w:line="140" w:lineRule="exact"/>
              <w:rPr>
                <w:sz w:val="20"/>
                <w:szCs w:val="20"/>
                <w:color w:val="auto"/>
              </w:rPr>
            </w:pPr>
            <w:r>
              <w:rPr>
                <w:rFonts w:ascii="Arial" w:cs="Arial" w:eastAsia="Arial" w:hAnsi="Arial"/>
                <w:sz w:val="13"/>
                <w:szCs w:val="13"/>
                <w:color w:val="auto"/>
              </w:rPr>
              <w:t>Euronext</w:t>
            </w:r>
          </w:p>
        </w:tc>
        <w:tc>
          <w:tcPr>
            <w:tcW w:w="10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960" w:type="dxa"/>
            <w:vAlign w:val="bottom"/>
            <w:gridSpan w:val="2"/>
          </w:tcPr>
          <w:p>
            <w:pPr>
              <w:jc w:val="right"/>
              <w:ind w:right="340"/>
              <w:spacing w:after="0" w:line="140" w:lineRule="exact"/>
              <w:rPr>
                <w:sz w:val="20"/>
                <w:szCs w:val="20"/>
                <w:color w:val="auto"/>
              </w:rPr>
            </w:pPr>
            <w:r>
              <w:rPr>
                <w:rFonts w:ascii="Arial" w:cs="Arial" w:eastAsia="Arial" w:hAnsi="Arial"/>
                <w:sz w:val="13"/>
                <w:szCs w:val="13"/>
                <w:color w:val="auto"/>
              </w:rPr>
              <w:t>New York</w:t>
            </w:r>
          </w:p>
        </w:tc>
        <w:tc>
          <w:tcPr>
            <w:tcW w:w="640" w:type="dxa"/>
            <w:vAlign w:val="bottom"/>
          </w:tcPr>
          <w:p>
            <w:pPr>
              <w:spacing w:after="0"/>
              <w:rPr>
                <w:sz w:val="12"/>
                <w:szCs w:val="12"/>
                <w:color w:val="auto"/>
              </w:rPr>
            </w:pPr>
          </w:p>
        </w:tc>
        <w:tc>
          <w:tcPr>
            <w:tcW w:w="680" w:type="dxa"/>
            <w:vAlign w:val="bottom"/>
          </w:tcPr>
          <w:p>
            <w:pPr>
              <w:jc w:val="right"/>
              <w:ind w:right="30"/>
              <w:spacing w:after="0" w:line="140" w:lineRule="exact"/>
              <w:rPr>
                <w:sz w:val="20"/>
                <w:szCs w:val="20"/>
                <w:color w:val="auto"/>
              </w:rPr>
            </w:pPr>
            <w:r>
              <w:rPr>
                <w:rFonts w:ascii="Arial" w:cs="Arial" w:eastAsia="Arial" w:hAnsi="Arial"/>
                <w:sz w:val="13"/>
                <w:szCs w:val="13"/>
                <w:color w:val="auto"/>
                <w:w w:val="99"/>
              </w:rPr>
              <w:t>New York</w:t>
            </w:r>
          </w:p>
        </w:tc>
      </w:tr>
      <w:tr>
        <w:trPr>
          <w:trHeight w:val="135"/>
        </w:trPr>
        <w:tc>
          <w:tcPr>
            <w:tcW w:w="4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20" w:type="dxa"/>
            <w:vAlign w:val="bottom"/>
            <w:gridSpan w:val="2"/>
          </w:tcPr>
          <w:p>
            <w:pPr>
              <w:jc w:val="right"/>
              <w:ind w:right="340"/>
              <w:spacing w:after="0" w:line="135" w:lineRule="exact"/>
              <w:rPr>
                <w:sz w:val="20"/>
                <w:szCs w:val="20"/>
                <w:color w:val="auto"/>
              </w:rPr>
            </w:pPr>
            <w:r>
              <w:rPr>
                <w:rFonts w:ascii="Arial" w:cs="Arial" w:eastAsia="Arial" w:hAnsi="Arial"/>
                <w:sz w:val="13"/>
                <w:szCs w:val="13"/>
                <w:color w:val="auto"/>
                <w:w w:val="99"/>
              </w:rPr>
              <w:t>Amsterdam</w:t>
            </w:r>
          </w:p>
        </w:tc>
        <w:tc>
          <w:tcPr>
            <w:tcW w:w="2200" w:type="dxa"/>
            <w:vAlign w:val="bottom"/>
            <w:gridSpan w:val="3"/>
          </w:tcPr>
          <w:p>
            <w:pPr>
              <w:jc w:val="right"/>
              <w:ind w:right="340"/>
              <w:spacing w:after="0" w:line="135" w:lineRule="exact"/>
              <w:rPr>
                <w:sz w:val="20"/>
                <w:szCs w:val="20"/>
                <w:color w:val="auto"/>
              </w:rPr>
            </w:pPr>
            <w:r>
              <w:rPr>
                <w:rFonts w:ascii="Arial" w:cs="Arial" w:eastAsia="Arial" w:hAnsi="Arial"/>
                <w:sz w:val="13"/>
                <w:szCs w:val="13"/>
                <w:color w:val="auto"/>
              </w:rPr>
              <w:t>London Stock Exchange</w:t>
            </w:r>
          </w:p>
        </w:tc>
        <w:tc>
          <w:tcPr>
            <w:tcW w:w="1660" w:type="dxa"/>
            <w:vAlign w:val="bottom"/>
            <w:gridSpan w:val="3"/>
          </w:tcPr>
          <w:p>
            <w:pPr>
              <w:jc w:val="right"/>
              <w:ind w:right="340"/>
              <w:spacing w:after="0" w:line="135" w:lineRule="exact"/>
              <w:rPr>
                <w:sz w:val="20"/>
                <w:szCs w:val="20"/>
                <w:color w:val="auto"/>
              </w:rPr>
            </w:pPr>
            <w:r>
              <w:rPr>
                <w:rFonts w:ascii="Arial" w:cs="Arial" w:eastAsia="Arial" w:hAnsi="Arial"/>
                <w:sz w:val="13"/>
                <w:szCs w:val="13"/>
                <w:color w:val="auto"/>
              </w:rPr>
              <w:t>Stock Exchange</w:t>
            </w:r>
          </w:p>
        </w:tc>
        <w:tc>
          <w:tcPr>
            <w:tcW w:w="1320" w:type="dxa"/>
            <w:vAlign w:val="bottom"/>
            <w:gridSpan w:val="2"/>
          </w:tcPr>
          <w:p>
            <w:pPr>
              <w:jc w:val="right"/>
              <w:ind w:right="30"/>
              <w:spacing w:after="0" w:line="135" w:lineRule="exact"/>
              <w:rPr>
                <w:sz w:val="20"/>
                <w:szCs w:val="20"/>
                <w:color w:val="auto"/>
              </w:rPr>
            </w:pPr>
            <w:r>
              <w:rPr>
                <w:rFonts w:ascii="Arial" w:cs="Arial" w:eastAsia="Arial" w:hAnsi="Arial"/>
                <w:sz w:val="13"/>
                <w:szCs w:val="13"/>
                <w:color w:val="auto"/>
              </w:rPr>
              <w:t>Stock Exchange</w:t>
            </w:r>
          </w:p>
        </w:tc>
      </w:tr>
      <w:tr>
        <w:trPr>
          <w:trHeight w:val="152"/>
        </w:trPr>
        <w:tc>
          <w:tcPr>
            <w:tcW w:w="45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20" w:type="dxa"/>
            <w:vAlign w:val="bottom"/>
            <w:gridSpan w:val="2"/>
          </w:tcPr>
          <w:p>
            <w:pPr>
              <w:jc w:val="right"/>
              <w:ind w:right="340"/>
              <w:spacing w:after="0"/>
              <w:rPr>
                <w:sz w:val="20"/>
                <w:szCs w:val="20"/>
                <w:color w:val="auto"/>
              </w:rPr>
            </w:pPr>
            <w:r>
              <w:rPr>
                <w:rFonts w:ascii="Arial" w:cs="Arial" w:eastAsia="Arial" w:hAnsi="Arial"/>
                <w:sz w:val="13"/>
                <w:szCs w:val="13"/>
                <w:color w:val="auto"/>
              </w:rPr>
              <w:t>A shares</w:t>
            </w:r>
          </w:p>
        </w:tc>
        <w:tc>
          <w:tcPr>
            <w:tcW w:w="1080" w:type="dxa"/>
            <w:vAlign w:val="bottom"/>
          </w:tcPr>
          <w:p>
            <w:pPr>
              <w:spacing w:after="0"/>
              <w:rPr>
                <w:sz w:val="13"/>
                <w:szCs w:val="13"/>
                <w:color w:val="auto"/>
              </w:rPr>
            </w:pPr>
          </w:p>
        </w:tc>
        <w:tc>
          <w:tcPr>
            <w:tcW w:w="1120" w:type="dxa"/>
            <w:vAlign w:val="bottom"/>
            <w:gridSpan w:val="2"/>
          </w:tcPr>
          <w:p>
            <w:pPr>
              <w:jc w:val="right"/>
              <w:ind w:right="340"/>
              <w:spacing w:after="0"/>
              <w:rPr>
                <w:sz w:val="20"/>
                <w:szCs w:val="20"/>
                <w:color w:val="auto"/>
              </w:rPr>
            </w:pPr>
            <w:r>
              <w:rPr>
                <w:rFonts w:ascii="Arial" w:cs="Arial" w:eastAsia="Arial" w:hAnsi="Arial"/>
                <w:sz w:val="13"/>
                <w:szCs w:val="13"/>
                <w:color w:val="auto"/>
              </w:rPr>
              <w:t>B shares</w:t>
            </w:r>
          </w:p>
        </w:tc>
        <w:tc>
          <w:tcPr>
            <w:tcW w:w="700" w:type="dxa"/>
            <w:vAlign w:val="bottom"/>
          </w:tcPr>
          <w:p>
            <w:pPr>
              <w:spacing w:after="0"/>
              <w:rPr>
                <w:sz w:val="13"/>
                <w:szCs w:val="13"/>
                <w:color w:val="auto"/>
              </w:rPr>
            </w:pPr>
          </w:p>
        </w:tc>
        <w:tc>
          <w:tcPr>
            <w:tcW w:w="960" w:type="dxa"/>
            <w:vAlign w:val="bottom"/>
            <w:gridSpan w:val="2"/>
          </w:tcPr>
          <w:p>
            <w:pPr>
              <w:jc w:val="right"/>
              <w:ind w:right="340"/>
              <w:spacing w:after="0"/>
              <w:rPr>
                <w:sz w:val="20"/>
                <w:szCs w:val="20"/>
                <w:color w:val="auto"/>
              </w:rPr>
            </w:pPr>
            <w:r>
              <w:rPr>
                <w:rFonts w:ascii="Arial" w:cs="Arial" w:eastAsia="Arial" w:hAnsi="Arial"/>
                <w:sz w:val="13"/>
                <w:szCs w:val="13"/>
                <w:color w:val="auto"/>
              </w:rPr>
              <w:t>A ADSs</w:t>
            </w:r>
          </w:p>
        </w:tc>
        <w:tc>
          <w:tcPr>
            <w:tcW w:w="640" w:type="dxa"/>
            <w:vAlign w:val="bottom"/>
          </w:tcPr>
          <w:p>
            <w:pPr>
              <w:spacing w:after="0"/>
              <w:rPr>
                <w:sz w:val="13"/>
                <w:szCs w:val="13"/>
                <w:color w:val="auto"/>
              </w:rPr>
            </w:pPr>
          </w:p>
        </w:tc>
        <w:tc>
          <w:tcPr>
            <w:tcW w:w="680" w:type="dxa"/>
            <w:vAlign w:val="bottom"/>
          </w:tcPr>
          <w:p>
            <w:pPr>
              <w:jc w:val="right"/>
              <w:ind w:right="30"/>
              <w:spacing w:after="0"/>
              <w:rPr>
                <w:sz w:val="20"/>
                <w:szCs w:val="20"/>
                <w:color w:val="auto"/>
              </w:rPr>
            </w:pPr>
            <w:r>
              <w:rPr>
                <w:rFonts w:ascii="Arial" w:cs="Arial" w:eastAsia="Arial" w:hAnsi="Arial"/>
                <w:sz w:val="13"/>
                <w:szCs w:val="13"/>
                <w:color w:val="auto"/>
              </w:rPr>
              <w:t>B ADSs</w:t>
            </w:r>
          </w:p>
        </w:tc>
      </w:tr>
      <w:tr>
        <w:trPr>
          <w:trHeight w:val="131"/>
        </w:trPr>
        <w:tc>
          <w:tcPr>
            <w:tcW w:w="4580" w:type="dxa"/>
            <w:vAlign w:val="bottom"/>
            <w:tcBorders>
              <w:bottom w:val="single" w:sz="8" w:color="auto"/>
            </w:tcBorders>
          </w:tcPr>
          <w:p>
            <w:pPr>
              <w:spacing w:after="0"/>
              <w:rPr>
                <w:sz w:val="11"/>
                <w:szCs w:val="11"/>
                <w:color w:val="auto"/>
              </w:rPr>
            </w:pPr>
          </w:p>
        </w:tc>
        <w:tc>
          <w:tcPr>
            <w:tcW w:w="640" w:type="dxa"/>
            <w:vAlign w:val="bottom"/>
            <w:tcBorders>
              <w:top w:val="single" w:sz="8" w:color="auto"/>
              <w:bottom w:val="single" w:sz="8" w:color="auto"/>
            </w:tcBorders>
          </w:tcPr>
          <w:p>
            <w:pPr>
              <w:ind w:left="260"/>
              <w:spacing w:after="0" w:line="131" w:lineRule="exact"/>
              <w:rPr>
                <w:sz w:val="20"/>
                <w:szCs w:val="20"/>
                <w:color w:val="auto"/>
              </w:rPr>
            </w:pPr>
            <w:r>
              <w:rPr>
                <w:rFonts w:ascii="Arial" w:cs="Arial" w:eastAsia="Arial" w:hAnsi="Arial"/>
                <w:sz w:val="13"/>
                <w:szCs w:val="13"/>
                <w:color w:val="auto"/>
                <w:w w:val="95"/>
              </w:rPr>
              <w:t>High €</w:t>
            </w:r>
          </w:p>
        </w:tc>
        <w:tc>
          <w:tcPr>
            <w:tcW w:w="760" w:type="dxa"/>
            <w:vAlign w:val="bottom"/>
            <w:tcBorders>
              <w:top w:val="single" w:sz="8" w:color="auto"/>
              <w:bottom w:val="single" w:sz="8" w:color="auto"/>
            </w:tcBorders>
          </w:tcPr>
          <w:p>
            <w:pPr>
              <w:jc w:val="right"/>
              <w:ind w:right="11"/>
              <w:spacing w:after="0" w:line="131" w:lineRule="exact"/>
              <w:rPr>
                <w:sz w:val="20"/>
                <w:szCs w:val="20"/>
                <w:color w:val="auto"/>
              </w:rPr>
            </w:pPr>
            <w:r>
              <w:rPr>
                <w:rFonts w:ascii="Arial" w:cs="Arial" w:eastAsia="Arial" w:hAnsi="Arial"/>
                <w:sz w:val="13"/>
                <w:szCs w:val="13"/>
                <w:color w:val="auto"/>
              </w:rPr>
              <w:t>Low €</w:t>
            </w:r>
          </w:p>
        </w:tc>
        <w:tc>
          <w:tcPr>
            <w:tcW w:w="260" w:type="dxa"/>
            <w:vAlign w:val="bottom"/>
            <w:tcBorders>
              <w:bottom w:val="single" w:sz="8" w:color="auto"/>
            </w:tcBorders>
          </w:tcPr>
          <w:p>
            <w:pPr>
              <w:spacing w:after="0"/>
              <w:rPr>
                <w:sz w:val="11"/>
                <w:szCs w:val="11"/>
                <w:color w:val="auto"/>
              </w:rPr>
            </w:pPr>
          </w:p>
        </w:tc>
        <w:tc>
          <w:tcPr>
            <w:tcW w:w="1080" w:type="dxa"/>
            <w:vAlign w:val="bottom"/>
            <w:tcBorders>
              <w:top w:val="single" w:sz="8" w:color="auto"/>
              <w:bottom w:val="single" w:sz="8" w:color="auto"/>
            </w:tcBorders>
          </w:tcPr>
          <w:p>
            <w:pPr>
              <w:jc w:val="right"/>
              <w:ind w:right="110"/>
              <w:spacing w:after="0" w:line="131" w:lineRule="exact"/>
              <w:rPr>
                <w:sz w:val="20"/>
                <w:szCs w:val="20"/>
                <w:color w:val="auto"/>
              </w:rPr>
            </w:pPr>
            <w:r>
              <w:rPr>
                <w:rFonts w:ascii="Arial" w:cs="Arial" w:eastAsia="Arial" w:hAnsi="Arial"/>
                <w:sz w:val="13"/>
                <w:szCs w:val="13"/>
                <w:color w:val="auto"/>
              </w:rPr>
              <w:t>High pence</w:t>
            </w:r>
          </w:p>
        </w:tc>
        <w:tc>
          <w:tcPr>
            <w:tcW w:w="860" w:type="dxa"/>
            <w:vAlign w:val="bottom"/>
            <w:tcBorders>
              <w:top w:val="single" w:sz="8" w:color="auto"/>
              <w:bottom w:val="single" w:sz="8" w:color="auto"/>
            </w:tcBorders>
          </w:tcPr>
          <w:p>
            <w:pPr>
              <w:jc w:val="right"/>
              <w:ind w:right="10"/>
              <w:spacing w:after="0" w:line="131" w:lineRule="exact"/>
              <w:rPr>
                <w:sz w:val="20"/>
                <w:szCs w:val="20"/>
                <w:color w:val="auto"/>
              </w:rPr>
            </w:pPr>
            <w:r>
              <w:rPr>
                <w:rFonts w:ascii="Arial" w:cs="Arial" w:eastAsia="Arial" w:hAnsi="Arial"/>
                <w:sz w:val="13"/>
                <w:szCs w:val="13"/>
                <w:color w:val="auto"/>
              </w:rPr>
              <w:t>Low pence</w:t>
            </w:r>
          </w:p>
        </w:tc>
        <w:tc>
          <w:tcPr>
            <w:tcW w:w="260" w:type="dxa"/>
            <w:vAlign w:val="bottom"/>
            <w:tcBorders>
              <w:bottom w:val="single" w:sz="8" w:color="auto"/>
            </w:tcBorders>
          </w:tcPr>
          <w:p>
            <w:pPr>
              <w:spacing w:after="0"/>
              <w:rPr>
                <w:sz w:val="11"/>
                <w:szCs w:val="11"/>
                <w:color w:val="auto"/>
              </w:rPr>
            </w:pPr>
          </w:p>
        </w:tc>
        <w:tc>
          <w:tcPr>
            <w:tcW w:w="700" w:type="dxa"/>
            <w:vAlign w:val="bottom"/>
            <w:tcBorders>
              <w:top w:val="single" w:sz="8" w:color="auto"/>
              <w:bottom w:val="single" w:sz="8" w:color="auto"/>
            </w:tcBorders>
          </w:tcPr>
          <w:p>
            <w:pPr>
              <w:ind w:left="260"/>
              <w:spacing w:after="0" w:line="131" w:lineRule="exact"/>
              <w:rPr>
                <w:sz w:val="20"/>
                <w:szCs w:val="20"/>
                <w:color w:val="auto"/>
              </w:rPr>
            </w:pPr>
            <w:r>
              <w:rPr>
                <w:rFonts w:ascii="Arial" w:cs="Arial" w:eastAsia="Arial" w:hAnsi="Arial"/>
                <w:sz w:val="13"/>
                <w:szCs w:val="13"/>
                <w:color w:val="auto"/>
              </w:rPr>
              <w:t>High $</w:t>
            </w:r>
          </w:p>
        </w:tc>
        <w:tc>
          <w:tcPr>
            <w:tcW w:w="700" w:type="dxa"/>
            <w:vAlign w:val="bottom"/>
            <w:tcBorders>
              <w:top w:val="single" w:sz="8" w:color="auto"/>
              <w:bottom w:val="single" w:sz="8" w:color="auto"/>
            </w:tcBorders>
          </w:tcPr>
          <w:p>
            <w:pPr>
              <w:jc w:val="right"/>
              <w:ind w:right="10"/>
              <w:spacing w:after="0" w:line="131" w:lineRule="exact"/>
              <w:rPr>
                <w:sz w:val="20"/>
                <w:szCs w:val="20"/>
                <w:color w:val="auto"/>
              </w:rPr>
            </w:pPr>
            <w:r>
              <w:rPr>
                <w:rFonts w:ascii="Arial" w:cs="Arial" w:eastAsia="Arial" w:hAnsi="Arial"/>
                <w:sz w:val="13"/>
                <w:szCs w:val="13"/>
                <w:color w:val="auto"/>
              </w:rPr>
              <w:t>Low $</w:t>
            </w:r>
          </w:p>
        </w:tc>
        <w:tc>
          <w:tcPr>
            <w:tcW w:w="260" w:type="dxa"/>
            <w:vAlign w:val="bottom"/>
            <w:tcBorders>
              <w:bottom w:val="single" w:sz="8" w:color="auto"/>
            </w:tcBorders>
          </w:tcPr>
          <w:p>
            <w:pPr>
              <w:spacing w:after="0"/>
              <w:rPr>
                <w:sz w:val="11"/>
                <w:szCs w:val="11"/>
                <w:color w:val="auto"/>
              </w:rPr>
            </w:pPr>
          </w:p>
        </w:tc>
        <w:tc>
          <w:tcPr>
            <w:tcW w:w="640" w:type="dxa"/>
            <w:vAlign w:val="bottom"/>
            <w:tcBorders>
              <w:top w:val="single" w:sz="8" w:color="auto"/>
              <w:bottom w:val="single" w:sz="8" w:color="auto"/>
            </w:tcBorders>
          </w:tcPr>
          <w:p>
            <w:pPr>
              <w:ind w:left="260"/>
              <w:spacing w:after="0" w:line="131" w:lineRule="exact"/>
              <w:rPr>
                <w:sz w:val="20"/>
                <w:szCs w:val="20"/>
                <w:color w:val="auto"/>
              </w:rPr>
            </w:pPr>
            <w:r>
              <w:rPr>
                <w:rFonts w:ascii="Arial" w:cs="Arial" w:eastAsia="Arial" w:hAnsi="Arial"/>
                <w:sz w:val="13"/>
                <w:szCs w:val="13"/>
                <w:color w:val="auto"/>
                <w:w w:val="95"/>
              </w:rPr>
              <w:t>High $</w:t>
            </w:r>
          </w:p>
        </w:tc>
        <w:tc>
          <w:tcPr>
            <w:tcW w:w="680" w:type="dxa"/>
            <w:vAlign w:val="bottom"/>
            <w:tcBorders>
              <w:top w:val="single" w:sz="8" w:color="auto"/>
              <w:bottom w:val="single" w:sz="8" w:color="auto"/>
            </w:tcBorders>
          </w:tcPr>
          <w:p>
            <w:pPr>
              <w:jc w:val="right"/>
              <w:ind w:right="30"/>
              <w:spacing w:after="0" w:line="131" w:lineRule="exact"/>
              <w:rPr>
                <w:sz w:val="20"/>
                <w:szCs w:val="20"/>
                <w:color w:val="auto"/>
              </w:rPr>
            </w:pPr>
            <w:r>
              <w:rPr>
                <w:rFonts w:ascii="Arial" w:cs="Arial" w:eastAsia="Arial" w:hAnsi="Arial"/>
                <w:sz w:val="13"/>
                <w:szCs w:val="13"/>
                <w:color w:val="auto"/>
              </w:rPr>
              <w:t>Low $</w:t>
            </w:r>
          </w:p>
        </w:tc>
      </w:tr>
      <w:tr>
        <w:trPr>
          <w:trHeight w:val="160"/>
        </w:trPr>
        <w:tc>
          <w:tcPr>
            <w:tcW w:w="4580" w:type="dxa"/>
            <w:vAlign w:val="bottom"/>
          </w:tcPr>
          <w:p>
            <w:pPr>
              <w:jc w:val="right"/>
              <w:ind w:right="4188"/>
              <w:spacing w:after="0"/>
              <w:rPr>
                <w:sz w:val="20"/>
                <w:szCs w:val="20"/>
                <w:color w:val="auto"/>
              </w:rPr>
            </w:pPr>
            <w:r>
              <w:rPr>
                <w:rFonts w:ascii="Arial" w:cs="Arial" w:eastAsia="Arial" w:hAnsi="Arial"/>
                <w:sz w:val="14"/>
                <w:szCs w:val="14"/>
                <w:color w:val="auto"/>
                <w:w w:val="96"/>
              </w:rPr>
              <w:t>2013</w:t>
            </w:r>
          </w:p>
        </w:tc>
        <w:tc>
          <w:tcPr>
            <w:tcW w:w="6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80" w:type="dxa"/>
            <w:vAlign w:val="bottom"/>
          </w:tcPr>
          <w:p>
            <w:pPr>
              <w:spacing w:after="0"/>
              <w:rPr>
                <w:sz w:val="13"/>
                <w:szCs w:val="13"/>
                <w:color w:val="auto"/>
              </w:rPr>
            </w:pPr>
          </w:p>
        </w:tc>
      </w:tr>
      <w:tr>
        <w:trPr>
          <w:trHeight w:val="162"/>
        </w:trPr>
        <w:tc>
          <w:tcPr>
            <w:tcW w:w="4580" w:type="dxa"/>
            <w:vAlign w:val="bottom"/>
          </w:tcPr>
          <w:p>
            <w:pPr>
              <w:jc w:val="right"/>
              <w:ind w:right="4188"/>
              <w:spacing w:after="0"/>
              <w:rPr>
                <w:sz w:val="20"/>
                <w:szCs w:val="20"/>
                <w:color w:val="auto"/>
              </w:rPr>
            </w:pPr>
            <w:r>
              <w:rPr>
                <w:rFonts w:ascii="Arial" w:cs="Arial" w:eastAsia="Arial" w:hAnsi="Arial"/>
                <w:sz w:val="14"/>
                <w:szCs w:val="14"/>
                <w:color w:val="auto"/>
              </w:rPr>
              <w:t>Q1</w:t>
            </w:r>
          </w:p>
        </w:tc>
        <w:tc>
          <w:tcPr>
            <w:tcW w:w="640" w:type="dxa"/>
            <w:vAlign w:val="bottom"/>
          </w:tcPr>
          <w:p>
            <w:pPr>
              <w:ind w:left="260"/>
              <w:spacing w:after="0"/>
              <w:rPr>
                <w:sz w:val="20"/>
                <w:szCs w:val="20"/>
                <w:color w:val="auto"/>
              </w:rPr>
            </w:pPr>
            <w:r>
              <w:rPr>
                <w:rFonts w:ascii="Arial" w:cs="Arial" w:eastAsia="Arial" w:hAnsi="Arial"/>
                <w:sz w:val="14"/>
                <w:szCs w:val="14"/>
                <w:color w:val="auto"/>
              </w:rPr>
              <w:t>27.06</w:t>
            </w:r>
          </w:p>
        </w:tc>
        <w:tc>
          <w:tcPr>
            <w:tcW w:w="760" w:type="dxa"/>
            <w:vAlign w:val="bottom"/>
          </w:tcPr>
          <w:p>
            <w:pPr>
              <w:jc w:val="right"/>
              <w:ind w:right="11"/>
              <w:spacing w:after="0"/>
              <w:rPr>
                <w:sz w:val="20"/>
                <w:szCs w:val="20"/>
                <w:color w:val="auto"/>
              </w:rPr>
            </w:pPr>
            <w:r>
              <w:rPr>
                <w:rFonts w:ascii="Arial" w:cs="Arial" w:eastAsia="Arial" w:hAnsi="Arial"/>
                <w:sz w:val="14"/>
                <w:szCs w:val="14"/>
                <w:color w:val="auto"/>
              </w:rPr>
              <w:t>24.36</w:t>
            </w:r>
          </w:p>
        </w:tc>
        <w:tc>
          <w:tcPr>
            <w:tcW w:w="260" w:type="dxa"/>
            <w:vAlign w:val="bottom"/>
          </w:tcPr>
          <w:p>
            <w:pPr>
              <w:spacing w:after="0"/>
              <w:rPr>
                <w:sz w:val="14"/>
                <w:szCs w:val="14"/>
                <w:color w:val="auto"/>
              </w:rPr>
            </w:pPr>
          </w:p>
        </w:tc>
        <w:tc>
          <w:tcPr>
            <w:tcW w:w="1080" w:type="dxa"/>
            <w:vAlign w:val="bottom"/>
          </w:tcPr>
          <w:p>
            <w:pPr>
              <w:jc w:val="right"/>
              <w:ind w:right="110"/>
              <w:spacing w:after="0"/>
              <w:rPr>
                <w:sz w:val="20"/>
                <w:szCs w:val="20"/>
                <w:color w:val="auto"/>
              </w:rPr>
            </w:pPr>
            <w:r>
              <w:rPr>
                <w:rFonts w:ascii="Arial" w:cs="Arial" w:eastAsia="Arial" w:hAnsi="Arial"/>
                <w:sz w:val="14"/>
                <w:szCs w:val="14"/>
                <w:color w:val="auto"/>
              </w:rPr>
              <w:t>2,375</w:t>
            </w:r>
          </w:p>
        </w:tc>
        <w:tc>
          <w:tcPr>
            <w:tcW w:w="860" w:type="dxa"/>
            <w:vAlign w:val="bottom"/>
          </w:tcPr>
          <w:p>
            <w:pPr>
              <w:jc w:val="right"/>
              <w:ind w:right="10"/>
              <w:spacing w:after="0"/>
              <w:rPr>
                <w:sz w:val="20"/>
                <w:szCs w:val="20"/>
                <w:color w:val="auto"/>
              </w:rPr>
            </w:pPr>
            <w:r>
              <w:rPr>
                <w:rFonts w:ascii="Arial" w:cs="Arial" w:eastAsia="Arial" w:hAnsi="Arial"/>
                <w:sz w:val="14"/>
                <w:szCs w:val="14"/>
                <w:color w:val="auto"/>
              </w:rPr>
              <w:t>2,143</w:t>
            </w:r>
          </w:p>
        </w:tc>
        <w:tc>
          <w:tcPr>
            <w:tcW w:w="260" w:type="dxa"/>
            <w:vAlign w:val="bottom"/>
          </w:tcPr>
          <w:p>
            <w:pPr>
              <w:spacing w:after="0"/>
              <w:rPr>
                <w:sz w:val="14"/>
                <w:szCs w:val="14"/>
                <w:color w:val="auto"/>
              </w:rPr>
            </w:pPr>
          </w:p>
        </w:tc>
        <w:tc>
          <w:tcPr>
            <w:tcW w:w="700" w:type="dxa"/>
            <w:vAlign w:val="bottom"/>
          </w:tcPr>
          <w:p>
            <w:pPr>
              <w:ind w:left="260"/>
              <w:spacing w:after="0"/>
              <w:rPr>
                <w:sz w:val="20"/>
                <w:szCs w:val="20"/>
                <w:color w:val="auto"/>
              </w:rPr>
            </w:pPr>
            <w:r>
              <w:rPr>
                <w:rFonts w:ascii="Arial" w:cs="Arial" w:eastAsia="Arial" w:hAnsi="Arial"/>
                <w:sz w:val="14"/>
                <w:szCs w:val="14"/>
                <w:color w:val="auto"/>
              </w:rPr>
              <w:t>73.00</w:t>
            </w:r>
          </w:p>
        </w:tc>
        <w:tc>
          <w:tcPr>
            <w:tcW w:w="700" w:type="dxa"/>
            <w:vAlign w:val="bottom"/>
          </w:tcPr>
          <w:p>
            <w:pPr>
              <w:jc w:val="right"/>
              <w:ind w:right="10"/>
              <w:spacing w:after="0"/>
              <w:rPr>
                <w:sz w:val="20"/>
                <w:szCs w:val="20"/>
                <w:color w:val="auto"/>
              </w:rPr>
            </w:pPr>
            <w:r>
              <w:rPr>
                <w:rFonts w:ascii="Arial" w:cs="Arial" w:eastAsia="Arial" w:hAnsi="Arial"/>
                <w:sz w:val="14"/>
                <w:szCs w:val="14"/>
                <w:color w:val="auto"/>
              </w:rPr>
              <w:t>64.51</w:t>
            </w:r>
          </w:p>
        </w:tc>
        <w:tc>
          <w:tcPr>
            <w:tcW w:w="260" w:type="dxa"/>
            <w:vAlign w:val="bottom"/>
          </w:tcPr>
          <w:p>
            <w:pPr>
              <w:spacing w:after="0"/>
              <w:rPr>
                <w:sz w:val="14"/>
                <w:szCs w:val="14"/>
                <w:color w:val="auto"/>
              </w:rPr>
            </w:pPr>
          </w:p>
        </w:tc>
        <w:tc>
          <w:tcPr>
            <w:tcW w:w="640" w:type="dxa"/>
            <w:vAlign w:val="bottom"/>
          </w:tcPr>
          <w:p>
            <w:pPr>
              <w:ind w:left="260"/>
              <w:spacing w:after="0"/>
              <w:rPr>
                <w:sz w:val="20"/>
                <w:szCs w:val="20"/>
                <w:color w:val="auto"/>
              </w:rPr>
            </w:pPr>
            <w:r>
              <w:rPr>
                <w:rFonts w:ascii="Arial" w:cs="Arial" w:eastAsia="Arial" w:hAnsi="Arial"/>
                <w:sz w:val="14"/>
                <w:szCs w:val="14"/>
                <w:color w:val="auto"/>
              </w:rPr>
              <w:t>74.95</w:t>
            </w:r>
          </w:p>
        </w:tc>
        <w:tc>
          <w:tcPr>
            <w:tcW w:w="680" w:type="dxa"/>
            <w:vAlign w:val="bottom"/>
          </w:tcPr>
          <w:p>
            <w:pPr>
              <w:jc w:val="right"/>
              <w:ind w:right="30"/>
              <w:spacing w:after="0"/>
              <w:rPr>
                <w:sz w:val="20"/>
                <w:szCs w:val="20"/>
                <w:color w:val="auto"/>
              </w:rPr>
            </w:pPr>
            <w:r>
              <w:rPr>
                <w:rFonts w:ascii="Arial" w:cs="Arial" w:eastAsia="Arial" w:hAnsi="Arial"/>
                <w:sz w:val="14"/>
                <w:szCs w:val="14"/>
                <w:color w:val="auto"/>
              </w:rPr>
              <w:t>66.00</w:t>
            </w:r>
          </w:p>
        </w:tc>
      </w:tr>
      <w:tr>
        <w:trPr>
          <w:trHeight w:val="162"/>
        </w:trPr>
        <w:tc>
          <w:tcPr>
            <w:tcW w:w="4580" w:type="dxa"/>
            <w:vAlign w:val="bottom"/>
          </w:tcPr>
          <w:p>
            <w:pPr>
              <w:jc w:val="right"/>
              <w:ind w:right="4188"/>
              <w:spacing w:after="0"/>
              <w:rPr>
                <w:sz w:val="20"/>
                <w:szCs w:val="20"/>
                <w:color w:val="auto"/>
              </w:rPr>
            </w:pPr>
            <w:r>
              <w:rPr>
                <w:rFonts w:ascii="Arial" w:cs="Arial" w:eastAsia="Arial" w:hAnsi="Arial"/>
                <w:sz w:val="14"/>
                <w:szCs w:val="14"/>
                <w:color w:val="auto"/>
              </w:rPr>
              <w:t>Q2</w:t>
            </w:r>
          </w:p>
        </w:tc>
        <w:tc>
          <w:tcPr>
            <w:tcW w:w="640" w:type="dxa"/>
            <w:vAlign w:val="bottom"/>
          </w:tcPr>
          <w:p>
            <w:pPr>
              <w:ind w:left="260"/>
              <w:spacing w:after="0"/>
              <w:rPr>
                <w:sz w:val="20"/>
                <w:szCs w:val="20"/>
                <w:color w:val="auto"/>
              </w:rPr>
            </w:pPr>
            <w:r>
              <w:rPr>
                <w:rFonts w:ascii="Arial" w:cs="Arial" w:eastAsia="Arial" w:hAnsi="Arial"/>
                <w:sz w:val="14"/>
                <w:szCs w:val="14"/>
                <w:color w:val="auto"/>
              </w:rPr>
              <w:t>26.80</w:t>
            </w:r>
          </w:p>
        </w:tc>
        <w:tc>
          <w:tcPr>
            <w:tcW w:w="760" w:type="dxa"/>
            <w:vAlign w:val="bottom"/>
          </w:tcPr>
          <w:p>
            <w:pPr>
              <w:jc w:val="right"/>
              <w:ind w:right="11"/>
              <w:spacing w:after="0"/>
              <w:rPr>
                <w:sz w:val="20"/>
                <w:szCs w:val="20"/>
                <w:color w:val="auto"/>
              </w:rPr>
            </w:pPr>
            <w:r>
              <w:rPr>
                <w:rFonts w:ascii="Arial" w:cs="Arial" w:eastAsia="Arial" w:hAnsi="Arial"/>
                <w:sz w:val="14"/>
                <w:szCs w:val="14"/>
                <w:color w:val="auto"/>
              </w:rPr>
              <w:t>23.94</w:t>
            </w:r>
          </w:p>
        </w:tc>
        <w:tc>
          <w:tcPr>
            <w:tcW w:w="260" w:type="dxa"/>
            <w:vAlign w:val="bottom"/>
          </w:tcPr>
          <w:p>
            <w:pPr>
              <w:spacing w:after="0"/>
              <w:rPr>
                <w:sz w:val="14"/>
                <w:szCs w:val="14"/>
                <w:color w:val="auto"/>
              </w:rPr>
            </w:pPr>
          </w:p>
        </w:tc>
        <w:tc>
          <w:tcPr>
            <w:tcW w:w="1080" w:type="dxa"/>
            <w:vAlign w:val="bottom"/>
          </w:tcPr>
          <w:p>
            <w:pPr>
              <w:jc w:val="right"/>
              <w:ind w:right="110"/>
              <w:spacing w:after="0"/>
              <w:rPr>
                <w:sz w:val="20"/>
                <w:szCs w:val="20"/>
                <w:color w:val="auto"/>
              </w:rPr>
            </w:pPr>
            <w:r>
              <w:rPr>
                <w:rFonts w:ascii="Arial" w:cs="Arial" w:eastAsia="Arial" w:hAnsi="Arial"/>
                <w:sz w:val="14"/>
                <w:szCs w:val="14"/>
                <w:color w:val="auto"/>
              </w:rPr>
              <w:t>2,360</w:t>
            </w:r>
          </w:p>
        </w:tc>
        <w:tc>
          <w:tcPr>
            <w:tcW w:w="860" w:type="dxa"/>
            <w:vAlign w:val="bottom"/>
          </w:tcPr>
          <w:p>
            <w:pPr>
              <w:jc w:val="right"/>
              <w:ind w:right="10"/>
              <w:spacing w:after="0"/>
              <w:rPr>
                <w:sz w:val="20"/>
                <w:szCs w:val="20"/>
                <w:color w:val="auto"/>
              </w:rPr>
            </w:pPr>
            <w:r>
              <w:rPr>
                <w:rFonts w:ascii="Arial" w:cs="Arial" w:eastAsia="Arial" w:hAnsi="Arial"/>
                <w:sz w:val="14"/>
                <w:szCs w:val="14"/>
                <w:color w:val="auto"/>
              </w:rPr>
              <w:t>2,105</w:t>
            </w:r>
          </w:p>
        </w:tc>
        <w:tc>
          <w:tcPr>
            <w:tcW w:w="260" w:type="dxa"/>
            <w:vAlign w:val="bottom"/>
          </w:tcPr>
          <w:p>
            <w:pPr>
              <w:spacing w:after="0"/>
              <w:rPr>
                <w:sz w:val="14"/>
                <w:szCs w:val="14"/>
                <w:color w:val="auto"/>
              </w:rPr>
            </w:pPr>
          </w:p>
        </w:tc>
        <w:tc>
          <w:tcPr>
            <w:tcW w:w="700" w:type="dxa"/>
            <w:vAlign w:val="bottom"/>
          </w:tcPr>
          <w:p>
            <w:pPr>
              <w:ind w:left="260"/>
              <w:spacing w:after="0"/>
              <w:rPr>
                <w:sz w:val="20"/>
                <w:szCs w:val="20"/>
                <w:color w:val="auto"/>
              </w:rPr>
            </w:pPr>
            <w:r>
              <w:rPr>
                <w:rFonts w:ascii="Arial" w:cs="Arial" w:eastAsia="Arial" w:hAnsi="Arial"/>
                <w:sz w:val="14"/>
                <w:szCs w:val="14"/>
                <w:color w:val="auto"/>
              </w:rPr>
              <w:t>69.94</w:t>
            </w:r>
          </w:p>
        </w:tc>
        <w:tc>
          <w:tcPr>
            <w:tcW w:w="700" w:type="dxa"/>
            <w:vAlign w:val="bottom"/>
          </w:tcPr>
          <w:p>
            <w:pPr>
              <w:jc w:val="right"/>
              <w:ind w:right="10"/>
              <w:spacing w:after="0"/>
              <w:rPr>
                <w:sz w:val="20"/>
                <w:szCs w:val="20"/>
                <w:color w:val="auto"/>
              </w:rPr>
            </w:pPr>
            <w:r>
              <w:rPr>
                <w:rFonts w:ascii="Arial" w:cs="Arial" w:eastAsia="Arial" w:hAnsi="Arial"/>
                <w:sz w:val="14"/>
                <w:szCs w:val="14"/>
                <w:color w:val="auto"/>
              </w:rPr>
              <w:t>62.76</w:t>
            </w:r>
          </w:p>
        </w:tc>
        <w:tc>
          <w:tcPr>
            <w:tcW w:w="260" w:type="dxa"/>
            <w:vAlign w:val="bottom"/>
          </w:tcPr>
          <w:p>
            <w:pPr>
              <w:spacing w:after="0"/>
              <w:rPr>
                <w:sz w:val="14"/>
                <w:szCs w:val="14"/>
                <w:color w:val="auto"/>
              </w:rPr>
            </w:pPr>
          </w:p>
        </w:tc>
        <w:tc>
          <w:tcPr>
            <w:tcW w:w="640" w:type="dxa"/>
            <w:vAlign w:val="bottom"/>
          </w:tcPr>
          <w:p>
            <w:pPr>
              <w:ind w:left="260"/>
              <w:spacing w:after="0"/>
              <w:rPr>
                <w:sz w:val="20"/>
                <w:szCs w:val="20"/>
                <w:color w:val="auto"/>
              </w:rPr>
            </w:pPr>
            <w:r>
              <w:rPr>
                <w:rFonts w:ascii="Arial" w:cs="Arial" w:eastAsia="Arial" w:hAnsi="Arial"/>
                <w:sz w:val="14"/>
                <w:szCs w:val="14"/>
                <w:color w:val="auto"/>
              </w:rPr>
              <w:t>72.25</w:t>
            </w:r>
          </w:p>
        </w:tc>
        <w:tc>
          <w:tcPr>
            <w:tcW w:w="680" w:type="dxa"/>
            <w:vAlign w:val="bottom"/>
          </w:tcPr>
          <w:p>
            <w:pPr>
              <w:jc w:val="right"/>
              <w:ind w:right="30"/>
              <w:spacing w:after="0"/>
              <w:rPr>
                <w:sz w:val="20"/>
                <w:szCs w:val="20"/>
                <w:color w:val="auto"/>
              </w:rPr>
            </w:pPr>
            <w:r>
              <w:rPr>
                <w:rFonts w:ascii="Arial" w:cs="Arial" w:eastAsia="Arial" w:hAnsi="Arial"/>
                <w:sz w:val="14"/>
                <w:szCs w:val="14"/>
                <w:color w:val="auto"/>
              </w:rPr>
              <w:t>65.02</w:t>
            </w:r>
          </w:p>
        </w:tc>
      </w:tr>
      <w:tr>
        <w:trPr>
          <w:trHeight w:val="162"/>
        </w:trPr>
        <w:tc>
          <w:tcPr>
            <w:tcW w:w="4580" w:type="dxa"/>
            <w:vAlign w:val="bottom"/>
          </w:tcPr>
          <w:p>
            <w:pPr>
              <w:jc w:val="right"/>
              <w:ind w:right="4188"/>
              <w:spacing w:after="0"/>
              <w:rPr>
                <w:sz w:val="20"/>
                <w:szCs w:val="20"/>
                <w:color w:val="auto"/>
              </w:rPr>
            </w:pPr>
            <w:r>
              <w:rPr>
                <w:rFonts w:ascii="Arial" w:cs="Arial" w:eastAsia="Arial" w:hAnsi="Arial"/>
                <w:sz w:val="14"/>
                <w:szCs w:val="14"/>
                <w:color w:val="auto"/>
              </w:rPr>
              <w:t>Q3</w:t>
            </w:r>
          </w:p>
        </w:tc>
        <w:tc>
          <w:tcPr>
            <w:tcW w:w="640" w:type="dxa"/>
            <w:vAlign w:val="bottom"/>
          </w:tcPr>
          <w:p>
            <w:pPr>
              <w:ind w:left="260"/>
              <w:spacing w:after="0"/>
              <w:rPr>
                <w:sz w:val="20"/>
                <w:szCs w:val="20"/>
                <w:color w:val="auto"/>
              </w:rPr>
            </w:pPr>
            <w:r>
              <w:rPr>
                <w:rFonts w:ascii="Arial" w:cs="Arial" w:eastAsia="Arial" w:hAnsi="Arial"/>
                <w:sz w:val="14"/>
                <w:szCs w:val="14"/>
                <w:color w:val="auto"/>
              </w:rPr>
              <w:t>26.07</w:t>
            </w:r>
          </w:p>
        </w:tc>
        <w:tc>
          <w:tcPr>
            <w:tcW w:w="760" w:type="dxa"/>
            <w:vAlign w:val="bottom"/>
          </w:tcPr>
          <w:p>
            <w:pPr>
              <w:jc w:val="right"/>
              <w:ind w:right="11"/>
              <w:spacing w:after="0"/>
              <w:rPr>
                <w:sz w:val="20"/>
                <w:szCs w:val="20"/>
                <w:color w:val="auto"/>
              </w:rPr>
            </w:pPr>
            <w:r>
              <w:rPr>
                <w:rFonts w:ascii="Arial" w:cs="Arial" w:eastAsia="Arial" w:hAnsi="Arial"/>
                <w:sz w:val="14"/>
                <w:szCs w:val="14"/>
                <w:color w:val="auto"/>
              </w:rPr>
              <w:t>23.71</w:t>
            </w:r>
          </w:p>
        </w:tc>
        <w:tc>
          <w:tcPr>
            <w:tcW w:w="260" w:type="dxa"/>
            <w:vAlign w:val="bottom"/>
          </w:tcPr>
          <w:p>
            <w:pPr>
              <w:spacing w:after="0"/>
              <w:rPr>
                <w:sz w:val="14"/>
                <w:szCs w:val="14"/>
                <w:color w:val="auto"/>
              </w:rPr>
            </w:pPr>
          </w:p>
        </w:tc>
        <w:tc>
          <w:tcPr>
            <w:tcW w:w="1080" w:type="dxa"/>
            <w:vAlign w:val="bottom"/>
          </w:tcPr>
          <w:p>
            <w:pPr>
              <w:jc w:val="right"/>
              <w:ind w:right="110"/>
              <w:spacing w:after="0"/>
              <w:rPr>
                <w:sz w:val="20"/>
                <w:szCs w:val="20"/>
                <w:color w:val="auto"/>
              </w:rPr>
            </w:pPr>
            <w:r>
              <w:rPr>
                <w:rFonts w:ascii="Arial" w:cs="Arial" w:eastAsia="Arial" w:hAnsi="Arial"/>
                <w:sz w:val="14"/>
                <w:szCs w:val="14"/>
                <w:color w:val="auto"/>
              </w:rPr>
              <w:t>2,350</w:t>
            </w:r>
          </w:p>
        </w:tc>
        <w:tc>
          <w:tcPr>
            <w:tcW w:w="860" w:type="dxa"/>
            <w:vAlign w:val="bottom"/>
          </w:tcPr>
          <w:p>
            <w:pPr>
              <w:jc w:val="right"/>
              <w:ind w:right="10"/>
              <w:spacing w:after="0"/>
              <w:rPr>
                <w:sz w:val="20"/>
                <w:szCs w:val="20"/>
                <w:color w:val="auto"/>
              </w:rPr>
            </w:pPr>
            <w:r>
              <w:rPr>
                <w:rFonts w:ascii="Arial" w:cs="Arial" w:eastAsia="Arial" w:hAnsi="Arial"/>
                <w:sz w:val="14"/>
                <w:szCs w:val="14"/>
                <w:color w:val="auto"/>
              </w:rPr>
              <w:t>2,105</w:t>
            </w:r>
          </w:p>
        </w:tc>
        <w:tc>
          <w:tcPr>
            <w:tcW w:w="260" w:type="dxa"/>
            <w:vAlign w:val="bottom"/>
          </w:tcPr>
          <w:p>
            <w:pPr>
              <w:spacing w:after="0"/>
              <w:rPr>
                <w:sz w:val="14"/>
                <w:szCs w:val="14"/>
                <w:color w:val="auto"/>
              </w:rPr>
            </w:pPr>
          </w:p>
        </w:tc>
        <w:tc>
          <w:tcPr>
            <w:tcW w:w="700" w:type="dxa"/>
            <w:vAlign w:val="bottom"/>
          </w:tcPr>
          <w:p>
            <w:pPr>
              <w:ind w:left="260"/>
              <w:spacing w:after="0"/>
              <w:rPr>
                <w:sz w:val="20"/>
                <w:szCs w:val="20"/>
                <w:color w:val="auto"/>
              </w:rPr>
            </w:pPr>
            <w:r>
              <w:rPr>
                <w:rFonts w:ascii="Arial" w:cs="Arial" w:eastAsia="Arial" w:hAnsi="Arial"/>
                <w:sz w:val="14"/>
                <w:szCs w:val="14"/>
                <w:color w:val="auto"/>
              </w:rPr>
              <w:t>68.82</w:t>
            </w:r>
          </w:p>
        </w:tc>
        <w:tc>
          <w:tcPr>
            <w:tcW w:w="700" w:type="dxa"/>
            <w:vAlign w:val="bottom"/>
          </w:tcPr>
          <w:p>
            <w:pPr>
              <w:jc w:val="right"/>
              <w:ind w:right="10"/>
              <w:spacing w:after="0"/>
              <w:rPr>
                <w:sz w:val="20"/>
                <w:szCs w:val="20"/>
                <w:color w:val="auto"/>
              </w:rPr>
            </w:pPr>
            <w:r>
              <w:rPr>
                <w:rFonts w:ascii="Arial" w:cs="Arial" w:eastAsia="Arial" w:hAnsi="Arial"/>
                <w:sz w:val="14"/>
                <w:szCs w:val="14"/>
                <w:color w:val="auto"/>
              </w:rPr>
              <w:t>62.65</w:t>
            </w:r>
          </w:p>
        </w:tc>
        <w:tc>
          <w:tcPr>
            <w:tcW w:w="260" w:type="dxa"/>
            <w:vAlign w:val="bottom"/>
          </w:tcPr>
          <w:p>
            <w:pPr>
              <w:spacing w:after="0"/>
              <w:rPr>
                <w:sz w:val="14"/>
                <w:szCs w:val="14"/>
                <w:color w:val="auto"/>
              </w:rPr>
            </w:pPr>
          </w:p>
        </w:tc>
        <w:tc>
          <w:tcPr>
            <w:tcW w:w="640" w:type="dxa"/>
            <w:vAlign w:val="bottom"/>
          </w:tcPr>
          <w:p>
            <w:pPr>
              <w:ind w:left="260"/>
              <w:spacing w:after="0"/>
              <w:rPr>
                <w:sz w:val="20"/>
                <w:szCs w:val="20"/>
                <w:color w:val="auto"/>
              </w:rPr>
            </w:pPr>
            <w:r>
              <w:rPr>
                <w:rFonts w:ascii="Arial" w:cs="Arial" w:eastAsia="Arial" w:hAnsi="Arial"/>
                <w:sz w:val="14"/>
                <w:szCs w:val="14"/>
                <w:color w:val="auto"/>
              </w:rPr>
              <w:t>71.65</w:t>
            </w:r>
          </w:p>
        </w:tc>
        <w:tc>
          <w:tcPr>
            <w:tcW w:w="680" w:type="dxa"/>
            <w:vAlign w:val="bottom"/>
          </w:tcPr>
          <w:p>
            <w:pPr>
              <w:jc w:val="right"/>
              <w:ind w:right="30"/>
              <w:spacing w:after="0"/>
              <w:rPr>
                <w:sz w:val="20"/>
                <w:szCs w:val="20"/>
                <w:color w:val="auto"/>
              </w:rPr>
            </w:pPr>
            <w:r>
              <w:rPr>
                <w:rFonts w:ascii="Arial" w:cs="Arial" w:eastAsia="Arial" w:hAnsi="Arial"/>
                <w:sz w:val="14"/>
                <w:szCs w:val="14"/>
                <w:color w:val="auto"/>
              </w:rPr>
              <w:t>65.24</w:t>
            </w:r>
          </w:p>
        </w:tc>
      </w:tr>
      <w:tr>
        <w:trPr>
          <w:trHeight w:val="157"/>
        </w:trPr>
        <w:tc>
          <w:tcPr>
            <w:tcW w:w="4580" w:type="dxa"/>
            <w:vAlign w:val="bottom"/>
            <w:tcBorders>
              <w:bottom w:val="single" w:sz="8" w:color="auto"/>
            </w:tcBorders>
          </w:tcPr>
          <w:p>
            <w:pPr>
              <w:jc w:val="right"/>
              <w:ind w:right="4188"/>
              <w:spacing w:after="0" w:line="157" w:lineRule="exact"/>
              <w:rPr>
                <w:sz w:val="20"/>
                <w:szCs w:val="20"/>
                <w:color w:val="auto"/>
              </w:rPr>
            </w:pPr>
            <w:r>
              <w:rPr>
                <w:rFonts w:ascii="Arial" w:cs="Arial" w:eastAsia="Arial" w:hAnsi="Arial"/>
                <w:sz w:val="14"/>
                <w:szCs w:val="14"/>
                <w:color w:val="auto"/>
              </w:rPr>
              <w:t>Q4</w:t>
            </w:r>
          </w:p>
        </w:tc>
        <w:tc>
          <w:tcPr>
            <w:tcW w:w="640" w:type="dxa"/>
            <w:vAlign w:val="bottom"/>
            <w:tcBorders>
              <w:bottom w:val="single" w:sz="8" w:color="auto"/>
            </w:tcBorders>
          </w:tcPr>
          <w:p>
            <w:pPr>
              <w:ind w:left="260"/>
              <w:spacing w:after="0" w:line="157" w:lineRule="exact"/>
              <w:rPr>
                <w:sz w:val="20"/>
                <w:szCs w:val="20"/>
                <w:color w:val="auto"/>
              </w:rPr>
            </w:pPr>
            <w:r>
              <w:rPr>
                <w:rFonts w:ascii="Arial" w:cs="Arial" w:eastAsia="Arial" w:hAnsi="Arial"/>
                <w:sz w:val="14"/>
                <w:szCs w:val="14"/>
                <w:color w:val="auto"/>
              </w:rPr>
              <w:t>25.99</w:t>
            </w:r>
          </w:p>
        </w:tc>
        <w:tc>
          <w:tcPr>
            <w:tcW w:w="760" w:type="dxa"/>
            <w:vAlign w:val="bottom"/>
            <w:tcBorders>
              <w:bottom w:val="single" w:sz="8" w:color="auto"/>
            </w:tcBorders>
          </w:tcPr>
          <w:p>
            <w:pPr>
              <w:jc w:val="right"/>
              <w:ind w:right="11"/>
              <w:spacing w:after="0" w:line="157" w:lineRule="exact"/>
              <w:rPr>
                <w:sz w:val="20"/>
                <w:szCs w:val="20"/>
                <w:color w:val="auto"/>
              </w:rPr>
            </w:pPr>
            <w:r>
              <w:rPr>
                <w:rFonts w:ascii="Arial" w:cs="Arial" w:eastAsia="Arial" w:hAnsi="Arial"/>
                <w:sz w:val="14"/>
                <w:szCs w:val="14"/>
                <w:color w:val="auto"/>
              </w:rPr>
              <w:t>23.40</w:t>
            </w:r>
          </w:p>
        </w:tc>
        <w:tc>
          <w:tcPr>
            <w:tcW w:w="26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110"/>
              <w:spacing w:after="0" w:line="157" w:lineRule="exact"/>
              <w:rPr>
                <w:sz w:val="20"/>
                <w:szCs w:val="20"/>
                <w:color w:val="auto"/>
              </w:rPr>
            </w:pPr>
            <w:r>
              <w:rPr>
                <w:rFonts w:ascii="Arial" w:cs="Arial" w:eastAsia="Arial" w:hAnsi="Arial"/>
                <w:sz w:val="14"/>
                <w:szCs w:val="14"/>
                <w:color w:val="auto"/>
              </w:rPr>
              <w:t>2,297</w:t>
            </w:r>
          </w:p>
        </w:tc>
        <w:tc>
          <w:tcPr>
            <w:tcW w:w="860" w:type="dxa"/>
            <w:vAlign w:val="bottom"/>
            <w:tcBorders>
              <w:bottom w:val="single" w:sz="8" w:color="auto"/>
            </w:tcBorders>
          </w:tcPr>
          <w:p>
            <w:pPr>
              <w:jc w:val="right"/>
              <w:ind w:right="10"/>
              <w:spacing w:after="0" w:line="157" w:lineRule="exact"/>
              <w:rPr>
                <w:sz w:val="20"/>
                <w:szCs w:val="20"/>
                <w:color w:val="auto"/>
              </w:rPr>
            </w:pPr>
            <w:r>
              <w:rPr>
                <w:rFonts w:ascii="Arial" w:cs="Arial" w:eastAsia="Arial" w:hAnsi="Arial"/>
                <w:sz w:val="14"/>
                <w:szCs w:val="14"/>
                <w:color w:val="auto"/>
              </w:rPr>
              <w:t>2,070</w:t>
            </w:r>
          </w:p>
        </w:tc>
        <w:tc>
          <w:tcPr>
            <w:tcW w:w="26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ind w:left="260"/>
              <w:spacing w:after="0" w:line="157" w:lineRule="exact"/>
              <w:rPr>
                <w:sz w:val="20"/>
                <w:szCs w:val="20"/>
                <w:color w:val="auto"/>
              </w:rPr>
            </w:pPr>
            <w:r>
              <w:rPr>
                <w:rFonts w:ascii="Arial" w:cs="Arial" w:eastAsia="Arial" w:hAnsi="Arial"/>
                <w:sz w:val="14"/>
                <w:szCs w:val="14"/>
                <w:color w:val="auto"/>
              </w:rPr>
              <w:t>71.48</w:t>
            </w:r>
          </w:p>
        </w:tc>
        <w:tc>
          <w:tcPr>
            <w:tcW w:w="700" w:type="dxa"/>
            <w:vAlign w:val="bottom"/>
            <w:tcBorders>
              <w:bottom w:val="single" w:sz="8" w:color="auto"/>
            </w:tcBorders>
          </w:tcPr>
          <w:p>
            <w:pPr>
              <w:jc w:val="right"/>
              <w:ind w:right="10"/>
              <w:spacing w:after="0" w:line="157" w:lineRule="exact"/>
              <w:rPr>
                <w:sz w:val="20"/>
                <w:szCs w:val="20"/>
                <w:color w:val="auto"/>
              </w:rPr>
            </w:pPr>
            <w:r>
              <w:rPr>
                <w:rFonts w:ascii="Arial" w:cs="Arial" w:eastAsia="Arial" w:hAnsi="Arial"/>
                <w:sz w:val="14"/>
                <w:szCs w:val="14"/>
                <w:color w:val="auto"/>
              </w:rPr>
              <w:t>63.27</w:t>
            </w:r>
          </w:p>
        </w:tc>
        <w:tc>
          <w:tcPr>
            <w:tcW w:w="26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ind w:left="260"/>
              <w:spacing w:after="0" w:line="157" w:lineRule="exact"/>
              <w:rPr>
                <w:sz w:val="20"/>
                <w:szCs w:val="20"/>
                <w:color w:val="auto"/>
              </w:rPr>
            </w:pPr>
            <w:r>
              <w:rPr>
                <w:rFonts w:ascii="Arial" w:cs="Arial" w:eastAsia="Arial" w:hAnsi="Arial"/>
                <w:sz w:val="14"/>
                <w:szCs w:val="14"/>
                <w:color w:val="auto"/>
              </w:rPr>
              <w:t>75.18</w:t>
            </w:r>
          </w:p>
        </w:tc>
        <w:tc>
          <w:tcPr>
            <w:tcW w:w="680" w:type="dxa"/>
            <w:vAlign w:val="bottom"/>
            <w:tcBorders>
              <w:bottom w:val="single" w:sz="8" w:color="auto"/>
            </w:tcBorders>
          </w:tcPr>
          <w:p>
            <w:pPr>
              <w:jc w:val="right"/>
              <w:ind w:right="30"/>
              <w:spacing w:after="0" w:line="157" w:lineRule="exact"/>
              <w:rPr>
                <w:sz w:val="20"/>
                <w:szCs w:val="20"/>
                <w:color w:val="auto"/>
              </w:rPr>
            </w:pPr>
            <w:r>
              <w:rPr>
                <w:rFonts w:ascii="Arial" w:cs="Arial" w:eastAsia="Arial" w:hAnsi="Arial"/>
                <w:sz w:val="14"/>
                <w:szCs w:val="14"/>
                <w:color w:val="auto"/>
              </w:rPr>
              <w:t>66.00</w:t>
            </w:r>
          </w:p>
        </w:tc>
      </w:tr>
      <w:tr>
        <w:trPr>
          <w:trHeight w:val="160"/>
        </w:trPr>
        <w:tc>
          <w:tcPr>
            <w:tcW w:w="4580" w:type="dxa"/>
            <w:vAlign w:val="bottom"/>
          </w:tcPr>
          <w:p>
            <w:pPr>
              <w:jc w:val="right"/>
              <w:ind w:right="4188"/>
              <w:spacing w:after="0"/>
              <w:rPr>
                <w:sz w:val="20"/>
                <w:szCs w:val="20"/>
                <w:color w:val="auto"/>
              </w:rPr>
            </w:pPr>
            <w:r>
              <w:rPr>
                <w:rFonts w:ascii="Arial" w:cs="Arial" w:eastAsia="Arial" w:hAnsi="Arial"/>
                <w:sz w:val="14"/>
                <w:szCs w:val="14"/>
                <w:color w:val="auto"/>
                <w:w w:val="96"/>
              </w:rPr>
              <w:t>2014</w:t>
            </w:r>
          </w:p>
        </w:tc>
        <w:tc>
          <w:tcPr>
            <w:tcW w:w="6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80" w:type="dxa"/>
            <w:vAlign w:val="bottom"/>
          </w:tcPr>
          <w:p>
            <w:pPr>
              <w:spacing w:after="0"/>
              <w:rPr>
                <w:sz w:val="13"/>
                <w:szCs w:val="13"/>
                <w:color w:val="auto"/>
              </w:rPr>
            </w:pPr>
          </w:p>
        </w:tc>
      </w:tr>
      <w:tr>
        <w:trPr>
          <w:trHeight w:val="162"/>
        </w:trPr>
        <w:tc>
          <w:tcPr>
            <w:tcW w:w="4580" w:type="dxa"/>
            <w:vAlign w:val="bottom"/>
          </w:tcPr>
          <w:p>
            <w:pPr>
              <w:jc w:val="right"/>
              <w:ind w:right="4188"/>
              <w:spacing w:after="0"/>
              <w:rPr>
                <w:sz w:val="20"/>
                <w:szCs w:val="20"/>
                <w:color w:val="auto"/>
              </w:rPr>
            </w:pPr>
            <w:r>
              <w:rPr>
                <w:rFonts w:ascii="Arial" w:cs="Arial" w:eastAsia="Arial" w:hAnsi="Arial"/>
                <w:sz w:val="14"/>
                <w:szCs w:val="14"/>
                <w:color w:val="auto"/>
              </w:rPr>
              <w:t>Q1</w:t>
            </w:r>
          </w:p>
        </w:tc>
        <w:tc>
          <w:tcPr>
            <w:tcW w:w="640" w:type="dxa"/>
            <w:vAlign w:val="bottom"/>
          </w:tcPr>
          <w:p>
            <w:pPr>
              <w:ind w:left="260"/>
              <w:spacing w:after="0"/>
              <w:rPr>
                <w:sz w:val="20"/>
                <w:szCs w:val="20"/>
                <w:color w:val="auto"/>
              </w:rPr>
            </w:pPr>
            <w:r>
              <w:rPr>
                <w:rFonts w:ascii="Arial" w:cs="Arial" w:eastAsia="Arial" w:hAnsi="Arial"/>
                <w:sz w:val="14"/>
                <w:szCs w:val="14"/>
                <w:color w:val="auto"/>
              </w:rPr>
              <w:t>26.96</w:t>
            </w:r>
          </w:p>
        </w:tc>
        <w:tc>
          <w:tcPr>
            <w:tcW w:w="760" w:type="dxa"/>
            <w:vAlign w:val="bottom"/>
          </w:tcPr>
          <w:p>
            <w:pPr>
              <w:jc w:val="right"/>
              <w:ind w:right="11"/>
              <w:spacing w:after="0"/>
              <w:rPr>
                <w:sz w:val="20"/>
                <w:szCs w:val="20"/>
                <w:color w:val="auto"/>
              </w:rPr>
            </w:pPr>
            <w:r>
              <w:rPr>
                <w:rFonts w:ascii="Arial" w:cs="Arial" w:eastAsia="Arial" w:hAnsi="Arial"/>
                <w:sz w:val="14"/>
                <w:szCs w:val="14"/>
                <w:color w:val="auto"/>
              </w:rPr>
              <w:t>25.01</w:t>
            </w:r>
          </w:p>
        </w:tc>
        <w:tc>
          <w:tcPr>
            <w:tcW w:w="260" w:type="dxa"/>
            <w:vAlign w:val="bottom"/>
          </w:tcPr>
          <w:p>
            <w:pPr>
              <w:spacing w:after="0"/>
              <w:rPr>
                <w:sz w:val="14"/>
                <w:szCs w:val="14"/>
                <w:color w:val="auto"/>
              </w:rPr>
            </w:pPr>
          </w:p>
        </w:tc>
        <w:tc>
          <w:tcPr>
            <w:tcW w:w="1080" w:type="dxa"/>
            <w:vAlign w:val="bottom"/>
          </w:tcPr>
          <w:p>
            <w:pPr>
              <w:jc w:val="right"/>
              <w:ind w:right="110"/>
              <w:spacing w:after="0"/>
              <w:rPr>
                <w:sz w:val="20"/>
                <w:szCs w:val="20"/>
                <w:color w:val="auto"/>
              </w:rPr>
            </w:pPr>
            <w:r>
              <w:rPr>
                <w:rFonts w:ascii="Arial" w:cs="Arial" w:eastAsia="Arial" w:hAnsi="Arial"/>
                <w:sz w:val="14"/>
                <w:szCs w:val="14"/>
                <w:color w:val="auto"/>
              </w:rPr>
              <w:t>2,385</w:t>
            </w:r>
          </w:p>
        </w:tc>
        <w:tc>
          <w:tcPr>
            <w:tcW w:w="860" w:type="dxa"/>
            <w:vAlign w:val="bottom"/>
          </w:tcPr>
          <w:p>
            <w:pPr>
              <w:jc w:val="right"/>
              <w:ind w:right="10"/>
              <w:spacing w:after="0"/>
              <w:rPr>
                <w:sz w:val="20"/>
                <w:szCs w:val="20"/>
                <w:color w:val="auto"/>
              </w:rPr>
            </w:pPr>
            <w:r>
              <w:rPr>
                <w:rFonts w:ascii="Arial" w:cs="Arial" w:eastAsia="Arial" w:hAnsi="Arial"/>
                <w:sz w:val="14"/>
                <w:szCs w:val="14"/>
                <w:color w:val="auto"/>
              </w:rPr>
              <w:t>2,183</w:t>
            </w:r>
          </w:p>
        </w:tc>
        <w:tc>
          <w:tcPr>
            <w:tcW w:w="260" w:type="dxa"/>
            <w:vAlign w:val="bottom"/>
          </w:tcPr>
          <w:p>
            <w:pPr>
              <w:spacing w:after="0"/>
              <w:rPr>
                <w:sz w:val="14"/>
                <w:szCs w:val="14"/>
                <w:color w:val="auto"/>
              </w:rPr>
            </w:pPr>
          </w:p>
        </w:tc>
        <w:tc>
          <w:tcPr>
            <w:tcW w:w="700" w:type="dxa"/>
            <w:vAlign w:val="bottom"/>
          </w:tcPr>
          <w:p>
            <w:pPr>
              <w:ind w:left="260"/>
              <w:spacing w:after="0"/>
              <w:rPr>
                <w:sz w:val="20"/>
                <w:szCs w:val="20"/>
                <w:color w:val="auto"/>
              </w:rPr>
            </w:pPr>
            <w:r>
              <w:rPr>
                <w:rFonts w:ascii="Arial" w:cs="Arial" w:eastAsia="Arial" w:hAnsi="Arial"/>
                <w:sz w:val="14"/>
                <w:szCs w:val="14"/>
                <w:color w:val="auto"/>
              </w:rPr>
              <w:t>74.17</w:t>
            </w:r>
          </w:p>
        </w:tc>
        <w:tc>
          <w:tcPr>
            <w:tcW w:w="700" w:type="dxa"/>
            <w:vAlign w:val="bottom"/>
          </w:tcPr>
          <w:p>
            <w:pPr>
              <w:jc w:val="right"/>
              <w:ind w:right="10"/>
              <w:spacing w:after="0"/>
              <w:rPr>
                <w:sz w:val="20"/>
                <w:szCs w:val="20"/>
                <w:color w:val="auto"/>
              </w:rPr>
            </w:pPr>
            <w:r>
              <w:rPr>
                <w:rFonts w:ascii="Arial" w:cs="Arial" w:eastAsia="Arial" w:hAnsi="Arial"/>
                <w:sz w:val="14"/>
                <w:szCs w:val="14"/>
                <w:color w:val="auto"/>
              </w:rPr>
              <w:t>67.75</w:t>
            </w:r>
          </w:p>
        </w:tc>
        <w:tc>
          <w:tcPr>
            <w:tcW w:w="260" w:type="dxa"/>
            <w:vAlign w:val="bottom"/>
          </w:tcPr>
          <w:p>
            <w:pPr>
              <w:spacing w:after="0"/>
              <w:rPr>
                <w:sz w:val="14"/>
                <w:szCs w:val="14"/>
                <w:color w:val="auto"/>
              </w:rPr>
            </w:pPr>
          </w:p>
        </w:tc>
        <w:tc>
          <w:tcPr>
            <w:tcW w:w="640" w:type="dxa"/>
            <w:vAlign w:val="bottom"/>
          </w:tcPr>
          <w:p>
            <w:pPr>
              <w:ind w:left="260"/>
              <w:spacing w:after="0"/>
              <w:rPr>
                <w:sz w:val="20"/>
                <w:szCs w:val="20"/>
                <w:color w:val="auto"/>
              </w:rPr>
            </w:pPr>
            <w:r>
              <w:rPr>
                <w:rFonts w:ascii="Arial" w:cs="Arial" w:eastAsia="Arial" w:hAnsi="Arial"/>
                <w:sz w:val="14"/>
                <w:szCs w:val="14"/>
                <w:color w:val="auto"/>
              </w:rPr>
              <w:t>80.07</w:t>
            </w:r>
          </w:p>
        </w:tc>
        <w:tc>
          <w:tcPr>
            <w:tcW w:w="680" w:type="dxa"/>
            <w:vAlign w:val="bottom"/>
          </w:tcPr>
          <w:p>
            <w:pPr>
              <w:jc w:val="right"/>
              <w:ind w:right="30"/>
              <w:spacing w:after="0"/>
              <w:rPr>
                <w:sz w:val="20"/>
                <w:szCs w:val="20"/>
                <w:color w:val="auto"/>
              </w:rPr>
            </w:pPr>
            <w:r>
              <w:rPr>
                <w:rFonts w:ascii="Arial" w:cs="Arial" w:eastAsia="Arial" w:hAnsi="Arial"/>
                <w:sz w:val="14"/>
                <w:szCs w:val="14"/>
                <w:color w:val="auto"/>
              </w:rPr>
              <w:t>71.42</w:t>
            </w:r>
          </w:p>
        </w:tc>
      </w:tr>
      <w:tr>
        <w:trPr>
          <w:trHeight w:val="162"/>
        </w:trPr>
        <w:tc>
          <w:tcPr>
            <w:tcW w:w="4580" w:type="dxa"/>
            <w:vAlign w:val="bottom"/>
          </w:tcPr>
          <w:p>
            <w:pPr>
              <w:jc w:val="right"/>
              <w:ind w:right="4188"/>
              <w:spacing w:after="0"/>
              <w:rPr>
                <w:sz w:val="20"/>
                <w:szCs w:val="20"/>
                <w:color w:val="auto"/>
              </w:rPr>
            </w:pPr>
            <w:r>
              <w:rPr>
                <w:rFonts w:ascii="Arial" w:cs="Arial" w:eastAsia="Arial" w:hAnsi="Arial"/>
                <w:sz w:val="14"/>
                <w:szCs w:val="14"/>
                <w:color w:val="auto"/>
              </w:rPr>
              <w:t>Q2</w:t>
            </w:r>
          </w:p>
        </w:tc>
        <w:tc>
          <w:tcPr>
            <w:tcW w:w="640" w:type="dxa"/>
            <w:vAlign w:val="bottom"/>
          </w:tcPr>
          <w:p>
            <w:pPr>
              <w:ind w:left="260"/>
              <w:spacing w:after="0"/>
              <w:rPr>
                <w:sz w:val="20"/>
                <w:szCs w:val="20"/>
                <w:color w:val="auto"/>
              </w:rPr>
            </w:pPr>
            <w:r>
              <w:rPr>
                <w:rFonts w:ascii="Arial" w:cs="Arial" w:eastAsia="Arial" w:hAnsi="Arial"/>
                <w:sz w:val="14"/>
                <w:szCs w:val="14"/>
                <w:color w:val="auto"/>
              </w:rPr>
              <w:t>30.65</w:t>
            </w:r>
          </w:p>
        </w:tc>
        <w:tc>
          <w:tcPr>
            <w:tcW w:w="760" w:type="dxa"/>
            <w:vAlign w:val="bottom"/>
          </w:tcPr>
          <w:p>
            <w:pPr>
              <w:jc w:val="right"/>
              <w:ind w:right="11"/>
              <w:spacing w:after="0"/>
              <w:rPr>
                <w:sz w:val="20"/>
                <w:szCs w:val="20"/>
                <w:color w:val="auto"/>
              </w:rPr>
            </w:pPr>
            <w:r>
              <w:rPr>
                <w:rFonts w:ascii="Arial" w:cs="Arial" w:eastAsia="Arial" w:hAnsi="Arial"/>
                <w:sz w:val="14"/>
                <w:szCs w:val="14"/>
                <w:color w:val="auto"/>
              </w:rPr>
              <w:t>26.36</w:t>
            </w:r>
          </w:p>
        </w:tc>
        <w:tc>
          <w:tcPr>
            <w:tcW w:w="260" w:type="dxa"/>
            <w:vAlign w:val="bottom"/>
          </w:tcPr>
          <w:p>
            <w:pPr>
              <w:spacing w:after="0"/>
              <w:rPr>
                <w:sz w:val="14"/>
                <w:szCs w:val="14"/>
                <w:color w:val="auto"/>
              </w:rPr>
            </w:pPr>
          </w:p>
        </w:tc>
        <w:tc>
          <w:tcPr>
            <w:tcW w:w="1080" w:type="dxa"/>
            <w:vAlign w:val="bottom"/>
          </w:tcPr>
          <w:p>
            <w:pPr>
              <w:jc w:val="right"/>
              <w:ind w:right="110"/>
              <w:spacing w:after="0"/>
              <w:rPr>
                <w:sz w:val="20"/>
                <w:szCs w:val="20"/>
                <w:color w:val="auto"/>
              </w:rPr>
            </w:pPr>
            <w:r>
              <w:rPr>
                <w:rFonts w:ascii="Arial" w:cs="Arial" w:eastAsia="Arial" w:hAnsi="Arial"/>
                <w:sz w:val="14"/>
                <w:szCs w:val="14"/>
                <w:color w:val="auto"/>
              </w:rPr>
              <w:t>2,614</w:t>
            </w:r>
          </w:p>
        </w:tc>
        <w:tc>
          <w:tcPr>
            <w:tcW w:w="860" w:type="dxa"/>
            <w:vAlign w:val="bottom"/>
          </w:tcPr>
          <w:p>
            <w:pPr>
              <w:jc w:val="right"/>
              <w:ind w:right="10"/>
              <w:spacing w:after="0"/>
              <w:rPr>
                <w:sz w:val="20"/>
                <w:szCs w:val="20"/>
                <w:color w:val="auto"/>
              </w:rPr>
            </w:pPr>
            <w:r>
              <w:rPr>
                <w:rFonts w:ascii="Arial" w:cs="Arial" w:eastAsia="Arial" w:hAnsi="Arial"/>
                <w:sz w:val="14"/>
                <w:szCs w:val="14"/>
                <w:color w:val="auto"/>
              </w:rPr>
              <w:t>2,327</w:t>
            </w:r>
          </w:p>
        </w:tc>
        <w:tc>
          <w:tcPr>
            <w:tcW w:w="260" w:type="dxa"/>
            <w:vAlign w:val="bottom"/>
          </w:tcPr>
          <w:p>
            <w:pPr>
              <w:spacing w:after="0"/>
              <w:rPr>
                <w:sz w:val="14"/>
                <w:szCs w:val="14"/>
                <w:color w:val="auto"/>
              </w:rPr>
            </w:pPr>
          </w:p>
        </w:tc>
        <w:tc>
          <w:tcPr>
            <w:tcW w:w="700" w:type="dxa"/>
            <w:vAlign w:val="bottom"/>
          </w:tcPr>
          <w:p>
            <w:pPr>
              <w:ind w:left="260"/>
              <w:spacing w:after="0"/>
              <w:rPr>
                <w:sz w:val="20"/>
                <w:szCs w:val="20"/>
                <w:color w:val="auto"/>
              </w:rPr>
            </w:pPr>
            <w:r>
              <w:rPr>
                <w:rFonts w:ascii="Arial" w:cs="Arial" w:eastAsia="Arial" w:hAnsi="Arial"/>
                <w:sz w:val="14"/>
                <w:szCs w:val="14"/>
                <w:color w:val="auto"/>
              </w:rPr>
              <w:t>82.86</w:t>
            </w:r>
          </w:p>
        </w:tc>
        <w:tc>
          <w:tcPr>
            <w:tcW w:w="700" w:type="dxa"/>
            <w:vAlign w:val="bottom"/>
          </w:tcPr>
          <w:p>
            <w:pPr>
              <w:jc w:val="right"/>
              <w:ind w:right="10"/>
              <w:spacing w:after="0"/>
              <w:rPr>
                <w:sz w:val="20"/>
                <w:szCs w:val="20"/>
                <w:color w:val="auto"/>
              </w:rPr>
            </w:pPr>
            <w:r>
              <w:rPr>
                <w:rFonts w:ascii="Arial" w:cs="Arial" w:eastAsia="Arial" w:hAnsi="Arial"/>
                <w:sz w:val="14"/>
                <w:szCs w:val="14"/>
                <w:color w:val="auto"/>
              </w:rPr>
              <w:t>72.94</w:t>
            </w:r>
          </w:p>
        </w:tc>
        <w:tc>
          <w:tcPr>
            <w:tcW w:w="260" w:type="dxa"/>
            <w:vAlign w:val="bottom"/>
          </w:tcPr>
          <w:p>
            <w:pPr>
              <w:spacing w:after="0"/>
              <w:rPr>
                <w:sz w:val="14"/>
                <w:szCs w:val="14"/>
                <w:color w:val="auto"/>
              </w:rPr>
            </w:pPr>
          </w:p>
        </w:tc>
        <w:tc>
          <w:tcPr>
            <w:tcW w:w="640" w:type="dxa"/>
            <w:vAlign w:val="bottom"/>
          </w:tcPr>
          <w:p>
            <w:pPr>
              <w:ind w:left="260"/>
              <w:spacing w:after="0"/>
              <w:rPr>
                <w:sz w:val="20"/>
                <w:szCs w:val="20"/>
                <w:color w:val="auto"/>
              </w:rPr>
            </w:pPr>
            <w:r>
              <w:rPr>
                <w:rFonts w:ascii="Arial" w:cs="Arial" w:eastAsia="Arial" w:hAnsi="Arial"/>
                <w:sz w:val="14"/>
                <w:szCs w:val="14"/>
                <w:color w:val="auto"/>
              </w:rPr>
              <w:t>87.59</w:t>
            </w:r>
          </w:p>
        </w:tc>
        <w:tc>
          <w:tcPr>
            <w:tcW w:w="680" w:type="dxa"/>
            <w:vAlign w:val="bottom"/>
          </w:tcPr>
          <w:p>
            <w:pPr>
              <w:jc w:val="right"/>
              <w:ind w:right="30"/>
              <w:spacing w:after="0"/>
              <w:rPr>
                <w:sz w:val="20"/>
                <w:szCs w:val="20"/>
                <w:color w:val="auto"/>
              </w:rPr>
            </w:pPr>
            <w:r>
              <w:rPr>
                <w:rFonts w:ascii="Arial" w:cs="Arial" w:eastAsia="Arial" w:hAnsi="Arial"/>
                <w:sz w:val="14"/>
                <w:szCs w:val="14"/>
                <w:color w:val="auto"/>
              </w:rPr>
              <w:t>77.51</w:t>
            </w:r>
          </w:p>
        </w:tc>
      </w:tr>
      <w:tr>
        <w:trPr>
          <w:trHeight w:val="162"/>
        </w:trPr>
        <w:tc>
          <w:tcPr>
            <w:tcW w:w="4580" w:type="dxa"/>
            <w:vAlign w:val="bottom"/>
          </w:tcPr>
          <w:p>
            <w:pPr>
              <w:jc w:val="right"/>
              <w:ind w:right="4188"/>
              <w:spacing w:after="0"/>
              <w:rPr>
                <w:sz w:val="20"/>
                <w:szCs w:val="20"/>
                <w:color w:val="auto"/>
              </w:rPr>
            </w:pPr>
            <w:r>
              <w:rPr>
                <w:rFonts w:ascii="Arial" w:cs="Arial" w:eastAsia="Arial" w:hAnsi="Arial"/>
                <w:sz w:val="14"/>
                <w:szCs w:val="14"/>
                <w:color w:val="auto"/>
              </w:rPr>
              <w:t>Q3</w:t>
            </w:r>
          </w:p>
        </w:tc>
        <w:tc>
          <w:tcPr>
            <w:tcW w:w="640" w:type="dxa"/>
            <w:vAlign w:val="bottom"/>
          </w:tcPr>
          <w:p>
            <w:pPr>
              <w:ind w:left="260"/>
              <w:spacing w:after="0"/>
              <w:rPr>
                <w:sz w:val="20"/>
                <w:szCs w:val="20"/>
                <w:color w:val="auto"/>
              </w:rPr>
            </w:pPr>
            <w:r>
              <w:rPr>
                <w:rFonts w:ascii="Arial" w:cs="Arial" w:eastAsia="Arial" w:hAnsi="Arial"/>
                <w:sz w:val="14"/>
                <w:szCs w:val="14"/>
                <w:color w:val="auto"/>
              </w:rPr>
              <w:t>31.13</w:t>
            </w:r>
          </w:p>
        </w:tc>
        <w:tc>
          <w:tcPr>
            <w:tcW w:w="760" w:type="dxa"/>
            <w:vAlign w:val="bottom"/>
          </w:tcPr>
          <w:p>
            <w:pPr>
              <w:jc w:val="right"/>
              <w:ind w:right="11"/>
              <w:spacing w:after="0"/>
              <w:rPr>
                <w:sz w:val="20"/>
                <w:szCs w:val="20"/>
                <w:color w:val="auto"/>
              </w:rPr>
            </w:pPr>
            <w:r>
              <w:rPr>
                <w:rFonts w:ascii="Arial" w:cs="Arial" w:eastAsia="Arial" w:hAnsi="Arial"/>
                <w:sz w:val="14"/>
                <w:szCs w:val="14"/>
                <w:color w:val="auto"/>
              </w:rPr>
              <w:t>29.43</w:t>
            </w:r>
          </w:p>
        </w:tc>
        <w:tc>
          <w:tcPr>
            <w:tcW w:w="260" w:type="dxa"/>
            <w:vAlign w:val="bottom"/>
          </w:tcPr>
          <w:p>
            <w:pPr>
              <w:spacing w:after="0"/>
              <w:rPr>
                <w:sz w:val="14"/>
                <w:szCs w:val="14"/>
                <w:color w:val="auto"/>
              </w:rPr>
            </w:pPr>
          </w:p>
        </w:tc>
        <w:tc>
          <w:tcPr>
            <w:tcW w:w="1080" w:type="dxa"/>
            <w:vAlign w:val="bottom"/>
          </w:tcPr>
          <w:p>
            <w:pPr>
              <w:jc w:val="right"/>
              <w:ind w:right="110"/>
              <w:spacing w:after="0"/>
              <w:rPr>
                <w:sz w:val="20"/>
                <w:szCs w:val="20"/>
                <w:color w:val="auto"/>
              </w:rPr>
            </w:pPr>
            <w:r>
              <w:rPr>
                <w:rFonts w:ascii="Arial" w:cs="Arial" w:eastAsia="Arial" w:hAnsi="Arial"/>
                <w:sz w:val="14"/>
                <w:szCs w:val="14"/>
                <w:color w:val="auto"/>
              </w:rPr>
              <w:t>2,599</w:t>
            </w:r>
          </w:p>
        </w:tc>
        <w:tc>
          <w:tcPr>
            <w:tcW w:w="860" w:type="dxa"/>
            <w:vAlign w:val="bottom"/>
          </w:tcPr>
          <w:p>
            <w:pPr>
              <w:jc w:val="right"/>
              <w:ind w:right="10"/>
              <w:spacing w:after="0"/>
              <w:rPr>
                <w:sz w:val="20"/>
                <w:szCs w:val="20"/>
                <w:color w:val="auto"/>
              </w:rPr>
            </w:pPr>
            <w:r>
              <w:rPr>
                <w:rFonts w:ascii="Arial" w:cs="Arial" w:eastAsia="Arial" w:hAnsi="Arial"/>
                <w:sz w:val="14"/>
                <w:szCs w:val="14"/>
                <w:color w:val="auto"/>
              </w:rPr>
              <w:t>2,407</w:t>
            </w:r>
          </w:p>
        </w:tc>
        <w:tc>
          <w:tcPr>
            <w:tcW w:w="260" w:type="dxa"/>
            <w:vAlign w:val="bottom"/>
          </w:tcPr>
          <w:p>
            <w:pPr>
              <w:spacing w:after="0"/>
              <w:rPr>
                <w:sz w:val="14"/>
                <w:szCs w:val="14"/>
                <w:color w:val="auto"/>
              </w:rPr>
            </w:pPr>
          </w:p>
        </w:tc>
        <w:tc>
          <w:tcPr>
            <w:tcW w:w="700" w:type="dxa"/>
            <w:vAlign w:val="bottom"/>
          </w:tcPr>
          <w:p>
            <w:pPr>
              <w:ind w:left="260"/>
              <w:spacing w:after="0"/>
              <w:rPr>
                <w:sz w:val="20"/>
                <w:szCs w:val="20"/>
                <w:color w:val="auto"/>
              </w:rPr>
            </w:pPr>
            <w:r>
              <w:rPr>
                <w:rFonts w:ascii="Arial" w:cs="Arial" w:eastAsia="Arial" w:hAnsi="Arial"/>
                <w:sz w:val="14"/>
                <w:szCs w:val="14"/>
                <w:color w:val="auto"/>
              </w:rPr>
              <w:t>83.42</w:t>
            </w:r>
          </w:p>
        </w:tc>
        <w:tc>
          <w:tcPr>
            <w:tcW w:w="700" w:type="dxa"/>
            <w:vAlign w:val="bottom"/>
          </w:tcPr>
          <w:p>
            <w:pPr>
              <w:jc w:val="right"/>
              <w:ind w:right="10"/>
              <w:spacing w:after="0"/>
              <w:rPr>
                <w:sz w:val="20"/>
                <w:szCs w:val="20"/>
                <w:color w:val="auto"/>
              </w:rPr>
            </w:pPr>
            <w:r>
              <w:rPr>
                <w:rFonts w:ascii="Arial" w:cs="Arial" w:eastAsia="Arial" w:hAnsi="Arial"/>
                <w:sz w:val="14"/>
                <w:szCs w:val="14"/>
                <w:color w:val="auto"/>
              </w:rPr>
              <w:t>75.77</w:t>
            </w:r>
          </w:p>
        </w:tc>
        <w:tc>
          <w:tcPr>
            <w:tcW w:w="260" w:type="dxa"/>
            <w:vAlign w:val="bottom"/>
          </w:tcPr>
          <w:p>
            <w:pPr>
              <w:spacing w:after="0"/>
              <w:rPr>
                <w:sz w:val="14"/>
                <w:szCs w:val="14"/>
                <w:color w:val="auto"/>
              </w:rPr>
            </w:pPr>
          </w:p>
        </w:tc>
        <w:tc>
          <w:tcPr>
            <w:tcW w:w="640" w:type="dxa"/>
            <w:vAlign w:val="bottom"/>
          </w:tcPr>
          <w:p>
            <w:pPr>
              <w:ind w:left="260"/>
              <w:spacing w:after="0"/>
              <w:rPr>
                <w:sz w:val="20"/>
                <w:szCs w:val="20"/>
                <w:color w:val="auto"/>
              </w:rPr>
            </w:pPr>
            <w:r>
              <w:rPr>
                <w:rFonts w:ascii="Arial" w:cs="Arial" w:eastAsia="Arial" w:hAnsi="Arial"/>
                <w:sz w:val="14"/>
                <w:szCs w:val="14"/>
                <w:color w:val="auto"/>
              </w:rPr>
              <w:t>88.13</w:t>
            </w:r>
          </w:p>
        </w:tc>
        <w:tc>
          <w:tcPr>
            <w:tcW w:w="680" w:type="dxa"/>
            <w:vAlign w:val="bottom"/>
          </w:tcPr>
          <w:p>
            <w:pPr>
              <w:jc w:val="right"/>
              <w:ind w:right="30"/>
              <w:spacing w:after="0"/>
              <w:rPr>
                <w:sz w:val="20"/>
                <w:szCs w:val="20"/>
                <w:color w:val="auto"/>
              </w:rPr>
            </w:pPr>
            <w:r>
              <w:rPr>
                <w:rFonts w:ascii="Arial" w:cs="Arial" w:eastAsia="Arial" w:hAnsi="Arial"/>
                <w:sz w:val="14"/>
                <w:szCs w:val="14"/>
                <w:color w:val="auto"/>
              </w:rPr>
              <w:t>78.77</w:t>
            </w:r>
          </w:p>
        </w:tc>
      </w:tr>
      <w:tr>
        <w:trPr>
          <w:trHeight w:val="157"/>
        </w:trPr>
        <w:tc>
          <w:tcPr>
            <w:tcW w:w="4580" w:type="dxa"/>
            <w:vAlign w:val="bottom"/>
            <w:tcBorders>
              <w:bottom w:val="single" w:sz="8" w:color="auto"/>
            </w:tcBorders>
          </w:tcPr>
          <w:p>
            <w:pPr>
              <w:jc w:val="right"/>
              <w:ind w:right="4188"/>
              <w:spacing w:after="0" w:line="157" w:lineRule="exact"/>
              <w:rPr>
                <w:sz w:val="20"/>
                <w:szCs w:val="20"/>
                <w:color w:val="auto"/>
              </w:rPr>
            </w:pPr>
            <w:r>
              <w:rPr>
                <w:rFonts w:ascii="Arial" w:cs="Arial" w:eastAsia="Arial" w:hAnsi="Arial"/>
                <w:sz w:val="14"/>
                <w:szCs w:val="14"/>
                <w:color w:val="auto"/>
              </w:rPr>
              <w:t>Q4</w:t>
            </w:r>
          </w:p>
        </w:tc>
        <w:tc>
          <w:tcPr>
            <w:tcW w:w="640" w:type="dxa"/>
            <w:vAlign w:val="bottom"/>
            <w:tcBorders>
              <w:bottom w:val="single" w:sz="8" w:color="auto"/>
            </w:tcBorders>
          </w:tcPr>
          <w:p>
            <w:pPr>
              <w:ind w:left="260"/>
              <w:spacing w:after="0" w:line="157" w:lineRule="exact"/>
              <w:rPr>
                <w:sz w:val="20"/>
                <w:szCs w:val="20"/>
                <w:color w:val="auto"/>
              </w:rPr>
            </w:pPr>
            <w:r>
              <w:rPr>
                <w:rFonts w:ascii="Arial" w:cs="Arial" w:eastAsia="Arial" w:hAnsi="Arial"/>
                <w:sz w:val="14"/>
                <w:szCs w:val="14"/>
                <w:color w:val="auto"/>
              </w:rPr>
              <w:t>30.24</w:t>
            </w:r>
          </w:p>
        </w:tc>
        <w:tc>
          <w:tcPr>
            <w:tcW w:w="760" w:type="dxa"/>
            <w:vAlign w:val="bottom"/>
            <w:tcBorders>
              <w:bottom w:val="single" w:sz="8" w:color="auto"/>
            </w:tcBorders>
          </w:tcPr>
          <w:p>
            <w:pPr>
              <w:jc w:val="right"/>
              <w:ind w:right="11"/>
              <w:spacing w:after="0" w:line="157" w:lineRule="exact"/>
              <w:rPr>
                <w:sz w:val="20"/>
                <w:szCs w:val="20"/>
                <w:color w:val="auto"/>
              </w:rPr>
            </w:pPr>
            <w:r>
              <w:rPr>
                <w:rFonts w:ascii="Arial" w:cs="Arial" w:eastAsia="Arial" w:hAnsi="Arial"/>
                <w:sz w:val="14"/>
                <w:szCs w:val="14"/>
                <w:color w:val="auto"/>
              </w:rPr>
              <w:t>24.30</w:t>
            </w:r>
          </w:p>
        </w:tc>
        <w:tc>
          <w:tcPr>
            <w:tcW w:w="26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110"/>
              <w:spacing w:after="0" w:line="157" w:lineRule="exact"/>
              <w:rPr>
                <w:sz w:val="20"/>
                <w:szCs w:val="20"/>
                <w:color w:val="auto"/>
              </w:rPr>
            </w:pPr>
            <w:r>
              <w:rPr>
                <w:rFonts w:ascii="Arial" w:cs="Arial" w:eastAsia="Arial" w:hAnsi="Arial"/>
                <w:sz w:val="14"/>
                <w:szCs w:val="14"/>
                <w:color w:val="auto"/>
              </w:rPr>
              <w:t>2,436</w:t>
            </w:r>
          </w:p>
        </w:tc>
        <w:tc>
          <w:tcPr>
            <w:tcW w:w="860" w:type="dxa"/>
            <w:vAlign w:val="bottom"/>
            <w:tcBorders>
              <w:bottom w:val="single" w:sz="8" w:color="auto"/>
            </w:tcBorders>
          </w:tcPr>
          <w:p>
            <w:pPr>
              <w:jc w:val="right"/>
              <w:ind w:right="10"/>
              <w:spacing w:after="0" w:line="157" w:lineRule="exact"/>
              <w:rPr>
                <w:sz w:val="20"/>
                <w:szCs w:val="20"/>
                <w:color w:val="auto"/>
              </w:rPr>
            </w:pPr>
            <w:r>
              <w:rPr>
                <w:rFonts w:ascii="Arial" w:cs="Arial" w:eastAsia="Arial" w:hAnsi="Arial"/>
                <w:sz w:val="14"/>
                <w:szCs w:val="14"/>
                <w:color w:val="auto"/>
              </w:rPr>
              <w:t>1,985</w:t>
            </w:r>
          </w:p>
        </w:tc>
        <w:tc>
          <w:tcPr>
            <w:tcW w:w="26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ind w:left="260"/>
              <w:spacing w:after="0" w:line="157" w:lineRule="exact"/>
              <w:rPr>
                <w:sz w:val="20"/>
                <w:szCs w:val="20"/>
                <w:color w:val="auto"/>
              </w:rPr>
            </w:pPr>
            <w:r>
              <w:rPr>
                <w:rFonts w:ascii="Arial" w:cs="Arial" w:eastAsia="Arial" w:hAnsi="Arial"/>
                <w:sz w:val="14"/>
                <w:szCs w:val="14"/>
                <w:color w:val="auto"/>
              </w:rPr>
              <w:t>75.77</w:t>
            </w:r>
          </w:p>
        </w:tc>
        <w:tc>
          <w:tcPr>
            <w:tcW w:w="700" w:type="dxa"/>
            <w:vAlign w:val="bottom"/>
            <w:tcBorders>
              <w:bottom w:val="single" w:sz="8" w:color="auto"/>
            </w:tcBorders>
          </w:tcPr>
          <w:p>
            <w:pPr>
              <w:jc w:val="right"/>
              <w:ind w:right="10"/>
              <w:spacing w:after="0" w:line="157" w:lineRule="exact"/>
              <w:rPr>
                <w:sz w:val="20"/>
                <w:szCs w:val="20"/>
                <w:color w:val="auto"/>
              </w:rPr>
            </w:pPr>
            <w:r>
              <w:rPr>
                <w:rFonts w:ascii="Arial" w:cs="Arial" w:eastAsia="Arial" w:hAnsi="Arial"/>
                <w:sz w:val="14"/>
                <w:szCs w:val="14"/>
                <w:color w:val="auto"/>
              </w:rPr>
              <w:t>60.84</w:t>
            </w:r>
          </w:p>
        </w:tc>
        <w:tc>
          <w:tcPr>
            <w:tcW w:w="26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ind w:left="260"/>
              <w:spacing w:after="0" w:line="157" w:lineRule="exact"/>
              <w:rPr>
                <w:sz w:val="20"/>
                <w:szCs w:val="20"/>
                <w:color w:val="auto"/>
              </w:rPr>
            </w:pPr>
            <w:r>
              <w:rPr>
                <w:rFonts w:ascii="Arial" w:cs="Arial" w:eastAsia="Arial" w:hAnsi="Arial"/>
                <w:sz w:val="14"/>
                <w:szCs w:val="14"/>
                <w:color w:val="auto"/>
              </w:rPr>
              <w:t>78.76</w:t>
            </w:r>
          </w:p>
        </w:tc>
        <w:tc>
          <w:tcPr>
            <w:tcW w:w="680" w:type="dxa"/>
            <w:vAlign w:val="bottom"/>
            <w:tcBorders>
              <w:bottom w:val="single" w:sz="8" w:color="auto"/>
            </w:tcBorders>
          </w:tcPr>
          <w:p>
            <w:pPr>
              <w:jc w:val="right"/>
              <w:ind w:right="30"/>
              <w:spacing w:after="0" w:line="157" w:lineRule="exact"/>
              <w:rPr>
                <w:sz w:val="20"/>
                <w:szCs w:val="20"/>
                <w:color w:val="auto"/>
              </w:rPr>
            </w:pPr>
            <w:r>
              <w:rPr>
                <w:rFonts w:ascii="Arial" w:cs="Arial" w:eastAsia="Arial" w:hAnsi="Arial"/>
                <w:sz w:val="14"/>
                <w:szCs w:val="14"/>
                <w:color w:val="auto"/>
              </w:rPr>
              <w:t>62.11</w:t>
            </w:r>
          </w:p>
        </w:tc>
      </w:tr>
    </w:tbl>
    <w:p>
      <w:pPr>
        <w:spacing w:after="0" w:line="195" w:lineRule="exact"/>
        <w:rPr>
          <w:sz w:val="20"/>
          <w:szCs w:val="20"/>
          <w:color w:val="auto"/>
        </w:rPr>
      </w:pPr>
    </w:p>
    <w:p>
      <w:pPr>
        <w:ind w:left="80"/>
        <w:spacing w:after="0"/>
        <w:rPr>
          <w:sz w:val="20"/>
          <w:szCs w:val="20"/>
          <w:color w:val="auto"/>
        </w:rPr>
      </w:pPr>
      <w:r>
        <w:rPr>
          <w:rFonts w:ascii="Arial" w:cs="Arial" w:eastAsia="Arial" w:hAnsi="Arial"/>
          <w:sz w:val="15"/>
          <w:szCs w:val="15"/>
          <w:b w:val="1"/>
          <w:bCs w:val="1"/>
          <w:color w:val="FFFFFF"/>
        </w:rPr>
        <w:t>MONTHLY SHARE PRICES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-95250</wp:posOffset>
            </wp:positionV>
            <wp:extent cx="7246620" cy="102870"/>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558">
                      <a:extLst>
                        <a:ext uri="{28A0092B-C50C-407E-A947-70E740481C1C}"/>
                      </a:extLst>
                    </a:blip>
                    <a:srcRect/>
                    <a:stretch>
                      <a:fillRect/>
                    </a:stretch>
                  </pic:blipFill>
                  <pic:spPr bwMode="auto">
                    <a:xfrm>
                      <a:off x="0" y="0"/>
                      <a:ext cx="7246620" cy="10287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40"/>
        </w:trPr>
        <w:tc>
          <w:tcPr>
            <w:tcW w:w="45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0" w:type="dxa"/>
            <w:vAlign w:val="bottom"/>
            <w:gridSpan w:val="2"/>
          </w:tcPr>
          <w:p>
            <w:pPr>
              <w:jc w:val="right"/>
              <w:ind w:right="340"/>
              <w:spacing w:after="0" w:line="140" w:lineRule="exact"/>
              <w:rPr>
                <w:sz w:val="20"/>
                <w:szCs w:val="20"/>
                <w:color w:val="auto"/>
              </w:rPr>
            </w:pPr>
            <w:r>
              <w:rPr>
                <w:rFonts w:ascii="Arial" w:cs="Arial" w:eastAsia="Arial" w:hAnsi="Arial"/>
                <w:sz w:val="13"/>
                <w:szCs w:val="13"/>
                <w:color w:val="auto"/>
              </w:rPr>
              <w:t>Euronext</w:t>
            </w:r>
          </w:p>
        </w:tc>
        <w:tc>
          <w:tcPr>
            <w:tcW w:w="10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20" w:type="dxa"/>
            <w:vAlign w:val="bottom"/>
            <w:gridSpan w:val="2"/>
          </w:tcPr>
          <w:p>
            <w:pPr>
              <w:jc w:val="right"/>
              <w:ind w:right="400"/>
              <w:spacing w:after="0" w:line="140" w:lineRule="exact"/>
              <w:rPr>
                <w:sz w:val="20"/>
                <w:szCs w:val="20"/>
                <w:color w:val="auto"/>
              </w:rPr>
            </w:pPr>
            <w:r>
              <w:rPr>
                <w:rFonts w:ascii="Arial" w:cs="Arial" w:eastAsia="Arial" w:hAnsi="Arial"/>
                <w:sz w:val="13"/>
                <w:szCs w:val="13"/>
                <w:color w:val="auto"/>
              </w:rPr>
              <w:t>New York</w:t>
            </w:r>
          </w:p>
        </w:tc>
        <w:tc>
          <w:tcPr>
            <w:tcW w:w="640" w:type="dxa"/>
            <w:vAlign w:val="bottom"/>
          </w:tcPr>
          <w:p>
            <w:pPr>
              <w:spacing w:after="0"/>
              <w:rPr>
                <w:sz w:val="12"/>
                <w:szCs w:val="12"/>
                <w:color w:val="auto"/>
              </w:rPr>
            </w:pPr>
          </w:p>
        </w:tc>
        <w:tc>
          <w:tcPr>
            <w:tcW w:w="680" w:type="dxa"/>
            <w:vAlign w:val="bottom"/>
          </w:tcPr>
          <w:p>
            <w:pPr>
              <w:jc w:val="right"/>
              <w:ind w:right="31"/>
              <w:spacing w:after="0" w:line="140" w:lineRule="exact"/>
              <w:rPr>
                <w:sz w:val="20"/>
                <w:szCs w:val="20"/>
                <w:color w:val="auto"/>
              </w:rPr>
            </w:pPr>
            <w:r>
              <w:rPr>
                <w:rFonts w:ascii="Arial" w:cs="Arial" w:eastAsia="Arial" w:hAnsi="Arial"/>
                <w:sz w:val="13"/>
                <w:szCs w:val="13"/>
                <w:color w:val="auto"/>
                <w:w w:val="99"/>
              </w:rPr>
              <w:t>New York</w:t>
            </w:r>
          </w:p>
        </w:tc>
      </w:tr>
      <w:tr>
        <w:trPr>
          <w:trHeight w:val="135"/>
        </w:trPr>
        <w:tc>
          <w:tcPr>
            <w:tcW w:w="4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0" w:type="dxa"/>
            <w:vAlign w:val="bottom"/>
            <w:gridSpan w:val="2"/>
          </w:tcPr>
          <w:p>
            <w:pPr>
              <w:jc w:val="right"/>
              <w:ind w:right="340"/>
              <w:spacing w:after="0" w:line="135" w:lineRule="exact"/>
              <w:rPr>
                <w:sz w:val="20"/>
                <w:szCs w:val="20"/>
                <w:color w:val="auto"/>
              </w:rPr>
            </w:pPr>
            <w:r>
              <w:rPr>
                <w:rFonts w:ascii="Arial" w:cs="Arial" w:eastAsia="Arial" w:hAnsi="Arial"/>
                <w:sz w:val="13"/>
                <w:szCs w:val="13"/>
                <w:color w:val="auto"/>
                <w:w w:val="96"/>
              </w:rPr>
              <w:t>Amsterdam</w:t>
            </w:r>
          </w:p>
        </w:tc>
        <w:tc>
          <w:tcPr>
            <w:tcW w:w="2200" w:type="dxa"/>
            <w:vAlign w:val="bottom"/>
            <w:gridSpan w:val="3"/>
          </w:tcPr>
          <w:p>
            <w:pPr>
              <w:jc w:val="right"/>
              <w:ind w:right="320"/>
              <w:spacing w:after="0" w:line="135" w:lineRule="exact"/>
              <w:rPr>
                <w:sz w:val="20"/>
                <w:szCs w:val="20"/>
                <w:color w:val="auto"/>
              </w:rPr>
            </w:pPr>
            <w:r>
              <w:rPr>
                <w:rFonts w:ascii="Arial" w:cs="Arial" w:eastAsia="Arial" w:hAnsi="Arial"/>
                <w:sz w:val="13"/>
                <w:szCs w:val="13"/>
                <w:color w:val="auto"/>
              </w:rPr>
              <w:t>London Stock Exchange</w:t>
            </w:r>
          </w:p>
        </w:tc>
        <w:tc>
          <w:tcPr>
            <w:tcW w:w="1740" w:type="dxa"/>
            <w:vAlign w:val="bottom"/>
            <w:gridSpan w:val="3"/>
          </w:tcPr>
          <w:p>
            <w:pPr>
              <w:jc w:val="right"/>
              <w:ind w:right="400"/>
              <w:spacing w:after="0" w:line="135" w:lineRule="exact"/>
              <w:rPr>
                <w:sz w:val="20"/>
                <w:szCs w:val="20"/>
                <w:color w:val="auto"/>
              </w:rPr>
            </w:pPr>
            <w:r>
              <w:rPr>
                <w:rFonts w:ascii="Arial" w:cs="Arial" w:eastAsia="Arial" w:hAnsi="Arial"/>
                <w:sz w:val="13"/>
                <w:szCs w:val="13"/>
                <w:color w:val="auto"/>
              </w:rPr>
              <w:t>Stock Exchange</w:t>
            </w:r>
          </w:p>
        </w:tc>
        <w:tc>
          <w:tcPr>
            <w:tcW w:w="1320" w:type="dxa"/>
            <w:vAlign w:val="bottom"/>
            <w:gridSpan w:val="2"/>
          </w:tcPr>
          <w:p>
            <w:pPr>
              <w:jc w:val="right"/>
              <w:ind w:right="31"/>
              <w:spacing w:after="0" w:line="135" w:lineRule="exact"/>
              <w:rPr>
                <w:sz w:val="20"/>
                <w:szCs w:val="20"/>
                <w:color w:val="auto"/>
              </w:rPr>
            </w:pPr>
            <w:r>
              <w:rPr>
                <w:rFonts w:ascii="Arial" w:cs="Arial" w:eastAsia="Arial" w:hAnsi="Arial"/>
                <w:sz w:val="13"/>
                <w:szCs w:val="13"/>
                <w:color w:val="auto"/>
              </w:rPr>
              <w:t>Stock Exchange</w:t>
            </w:r>
          </w:p>
        </w:tc>
      </w:tr>
      <w:tr>
        <w:trPr>
          <w:trHeight w:val="152"/>
        </w:trPr>
        <w:tc>
          <w:tcPr>
            <w:tcW w:w="45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0" w:type="dxa"/>
            <w:vAlign w:val="bottom"/>
            <w:gridSpan w:val="2"/>
          </w:tcPr>
          <w:p>
            <w:pPr>
              <w:jc w:val="right"/>
              <w:ind w:right="340"/>
              <w:spacing w:after="0"/>
              <w:rPr>
                <w:sz w:val="20"/>
                <w:szCs w:val="20"/>
                <w:color w:val="auto"/>
              </w:rPr>
            </w:pPr>
            <w:r>
              <w:rPr>
                <w:rFonts w:ascii="Arial" w:cs="Arial" w:eastAsia="Arial" w:hAnsi="Arial"/>
                <w:sz w:val="13"/>
                <w:szCs w:val="13"/>
                <w:color w:val="auto"/>
              </w:rPr>
              <w:t>A shares</w:t>
            </w:r>
          </w:p>
        </w:tc>
        <w:tc>
          <w:tcPr>
            <w:tcW w:w="1080" w:type="dxa"/>
            <w:vAlign w:val="bottom"/>
          </w:tcPr>
          <w:p>
            <w:pPr>
              <w:spacing w:after="0"/>
              <w:rPr>
                <w:sz w:val="13"/>
                <w:szCs w:val="13"/>
                <w:color w:val="auto"/>
              </w:rPr>
            </w:pPr>
          </w:p>
        </w:tc>
        <w:tc>
          <w:tcPr>
            <w:tcW w:w="1120" w:type="dxa"/>
            <w:vAlign w:val="bottom"/>
            <w:gridSpan w:val="2"/>
          </w:tcPr>
          <w:p>
            <w:pPr>
              <w:jc w:val="right"/>
              <w:ind w:right="320"/>
              <w:spacing w:after="0"/>
              <w:rPr>
                <w:sz w:val="20"/>
                <w:szCs w:val="20"/>
                <w:color w:val="auto"/>
              </w:rPr>
            </w:pPr>
            <w:r>
              <w:rPr>
                <w:rFonts w:ascii="Arial" w:cs="Arial" w:eastAsia="Arial" w:hAnsi="Arial"/>
                <w:sz w:val="13"/>
                <w:szCs w:val="13"/>
                <w:color w:val="auto"/>
              </w:rPr>
              <w:t>B shares</w:t>
            </w:r>
          </w:p>
        </w:tc>
        <w:tc>
          <w:tcPr>
            <w:tcW w:w="720" w:type="dxa"/>
            <w:vAlign w:val="bottom"/>
          </w:tcPr>
          <w:p>
            <w:pPr>
              <w:spacing w:after="0"/>
              <w:rPr>
                <w:sz w:val="13"/>
                <w:szCs w:val="13"/>
                <w:color w:val="auto"/>
              </w:rPr>
            </w:pPr>
          </w:p>
        </w:tc>
        <w:tc>
          <w:tcPr>
            <w:tcW w:w="1020" w:type="dxa"/>
            <w:vAlign w:val="bottom"/>
            <w:gridSpan w:val="2"/>
          </w:tcPr>
          <w:p>
            <w:pPr>
              <w:jc w:val="right"/>
              <w:ind w:right="400"/>
              <w:spacing w:after="0"/>
              <w:rPr>
                <w:sz w:val="20"/>
                <w:szCs w:val="20"/>
                <w:color w:val="auto"/>
              </w:rPr>
            </w:pPr>
            <w:r>
              <w:rPr>
                <w:rFonts w:ascii="Arial" w:cs="Arial" w:eastAsia="Arial" w:hAnsi="Arial"/>
                <w:sz w:val="13"/>
                <w:szCs w:val="13"/>
                <w:color w:val="auto"/>
              </w:rPr>
              <w:t>A ADSs</w:t>
            </w:r>
          </w:p>
        </w:tc>
        <w:tc>
          <w:tcPr>
            <w:tcW w:w="640" w:type="dxa"/>
            <w:vAlign w:val="bottom"/>
          </w:tcPr>
          <w:p>
            <w:pPr>
              <w:spacing w:after="0"/>
              <w:rPr>
                <w:sz w:val="13"/>
                <w:szCs w:val="13"/>
                <w:color w:val="auto"/>
              </w:rPr>
            </w:pPr>
          </w:p>
        </w:tc>
        <w:tc>
          <w:tcPr>
            <w:tcW w:w="680" w:type="dxa"/>
            <w:vAlign w:val="bottom"/>
          </w:tcPr>
          <w:p>
            <w:pPr>
              <w:jc w:val="right"/>
              <w:ind w:right="31"/>
              <w:spacing w:after="0"/>
              <w:rPr>
                <w:sz w:val="20"/>
                <w:szCs w:val="20"/>
                <w:color w:val="auto"/>
              </w:rPr>
            </w:pPr>
            <w:r>
              <w:rPr>
                <w:rFonts w:ascii="Arial" w:cs="Arial" w:eastAsia="Arial" w:hAnsi="Arial"/>
                <w:sz w:val="13"/>
                <w:szCs w:val="13"/>
                <w:color w:val="auto"/>
              </w:rPr>
              <w:t>B ADSs</w:t>
            </w:r>
          </w:p>
        </w:tc>
      </w:tr>
      <w:tr>
        <w:trPr>
          <w:trHeight w:val="131"/>
        </w:trPr>
        <w:tc>
          <w:tcPr>
            <w:tcW w:w="4500" w:type="dxa"/>
            <w:vAlign w:val="bottom"/>
            <w:tcBorders>
              <w:bottom w:val="single" w:sz="8" w:color="auto"/>
            </w:tcBorders>
          </w:tcPr>
          <w:p>
            <w:pPr>
              <w:spacing w:after="0"/>
              <w:rPr>
                <w:sz w:val="11"/>
                <w:szCs w:val="11"/>
                <w:color w:val="auto"/>
              </w:rPr>
            </w:pPr>
          </w:p>
        </w:tc>
        <w:tc>
          <w:tcPr>
            <w:tcW w:w="660" w:type="dxa"/>
            <w:vAlign w:val="bottom"/>
            <w:tcBorders>
              <w:top w:val="single" w:sz="8" w:color="auto"/>
              <w:bottom w:val="single" w:sz="8" w:color="auto"/>
            </w:tcBorders>
          </w:tcPr>
          <w:p>
            <w:pPr>
              <w:ind w:left="260"/>
              <w:spacing w:after="0" w:line="131" w:lineRule="exact"/>
              <w:rPr>
                <w:sz w:val="20"/>
                <w:szCs w:val="20"/>
                <w:color w:val="auto"/>
              </w:rPr>
            </w:pPr>
            <w:r>
              <w:rPr>
                <w:rFonts w:ascii="Arial" w:cs="Arial" w:eastAsia="Arial" w:hAnsi="Arial"/>
                <w:sz w:val="13"/>
                <w:szCs w:val="13"/>
                <w:color w:val="auto"/>
              </w:rPr>
              <w:t>High €</w:t>
            </w:r>
          </w:p>
        </w:tc>
        <w:tc>
          <w:tcPr>
            <w:tcW w:w="740" w:type="dxa"/>
            <w:vAlign w:val="bottom"/>
            <w:tcBorders>
              <w:top w:val="single" w:sz="8" w:color="auto"/>
              <w:bottom w:val="single" w:sz="8" w:color="auto"/>
            </w:tcBorders>
          </w:tcPr>
          <w:p>
            <w:pPr>
              <w:jc w:val="right"/>
              <w:ind w:right="12"/>
              <w:spacing w:after="0" w:line="131" w:lineRule="exact"/>
              <w:rPr>
                <w:sz w:val="20"/>
                <w:szCs w:val="20"/>
                <w:color w:val="auto"/>
              </w:rPr>
            </w:pPr>
            <w:r>
              <w:rPr>
                <w:rFonts w:ascii="Arial" w:cs="Arial" w:eastAsia="Arial" w:hAnsi="Arial"/>
                <w:sz w:val="13"/>
                <w:szCs w:val="13"/>
                <w:color w:val="auto"/>
              </w:rPr>
              <w:t>Low €</w:t>
            </w:r>
          </w:p>
        </w:tc>
        <w:tc>
          <w:tcPr>
            <w:tcW w:w="260" w:type="dxa"/>
            <w:vAlign w:val="bottom"/>
            <w:tcBorders>
              <w:bottom w:val="single" w:sz="8" w:color="auto"/>
            </w:tcBorders>
          </w:tcPr>
          <w:p>
            <w:pPr>
              <w:spacing w:after="0"/>
              <w:rPr>
                <w:sz w:val="11"/>
                <w:szCs w:val="11"/>
                <w:color w:val="auto"/>
              </w:rPr>
            </w:pPr>
          </w:p>
        </w:tc>
        <w:tc>
          <w:tcPr>
            <w:tcW w:w="1080" w:type="dxa"/>
            <w:vAlign w:val="bottom"/>
            <w:tcBorders>
              <w:top w:val="single" w:sz="8" w:color="auto"/>
              <w:bottom w:val="single" w:sz="8" w:color="auto"/>
            </w:tcBorders>
          </w:tcPr>
          <w:p>
            <w:pPr>
              <w:jc w:val="right"/>
              <w:ind w:right="90"/>
              <w:spacing w:after="0" w:line="131" w:lineRule="exact"/>
              <w:rPr>
                <w:sz w:val="20"/>
                <w:szCs w:val="20"/>
                <w:color w:val="auto"/>
              </w:rPr>
            </w:pPr>
            <w:r>
              <w:rPr>
                <w:rFonts w:ascii="Arial" w:cs="Arial" w:eastAsia="Arial" w:hAnsi="Arial"/>
                <w:sz w:val="13"/>
                <w:szCs w:val="13"/>
                <w:color w:val="auto"/>
              </w:rPr>
              <w:t>High pence</w:t>
            </w:r>
          </w:p>
        </w:tc>
        <w:tc>
          <w:tcPr>
            <w:tcW w:w="880" w:type="dxa"/>
            <w:vAlign w:val="bottom"/>
            <w:tcBorders>
              <w:top w:val="single" w:sz="8" w:color="auto"/>
              <w:bottom w:val="single" w:sz="8" w:color="auto"/>
            </w:tcBorders>
          </w:tcPr>
          <w:p>
            <w:pPr>
              <w:jc w:val="right"/>
              <w:ind w:right="10"/>
              <w:spacing w:after="0" w:line="131" w:lineRule="exact"/>
              <w:rPr>
                <w:sz w:val="20"/>
                <w:szCs w:val="20"/>
                <w:color w:val="auto"/>
              </w:rPr>
            </w:pPr>
            <w:r>
              <w:rPr>
                <w:rFonts w:ascii="Arial" w:cs="Arial" w:eastAsia="Arial" w:hAnsi="Arial"/>
                <w:sz w:val="13"/>
                <w:szCs w:val="13"/>
                <w:color w:val="auto"/>
              </w:rPr>
              <w:t>Low pence</w:t>
            </w:r>
          </w:p>
        </w:tc>
        <w:tc>
          <w:tcPr>
            <w:tcW w:w="240" w:type="dxa"/>
            <w:vAlign w:val="bottom"/>
            <w:tcBorders>
              <w:bottom w:val="single" w:sz="8" w:color="auto"/>
            </w:tcBorders>
          </w:tcPr>
          <w:p>
            <w:pPr>
              <w:spacing w:after="0"/>
              <w:rPr>
                <w:sz w:val="11"/>
                <w:szCs w:val="11"/>
                <w:color w:val="auto"/>
              </w:rPr>
            </w:pPr>
          </w:p>
        </w:tc>
        <w:tc>
          <w:tcPr>
            <w:tcW w:w="720" w:type="dxa"/>
            <w:vAlign w:val="bottom"/>
            <w:tcBorders>
              <w:top w:val="single" w:sz="8" w:color="auto"/>
              <w:bottom w:val="single" w:sz="8" w:color="auto"/>
            </w:tcBorders>
          </w:tcPr>
          <w:p>
            <w:pPr>
              <w:ind w:left="260"/>
              <w:spacing w:after="0" w:line="131" w:lineRule="exact"/>
              <w:rPr>
                <w:sz w:val="20"/>
                <w:szCs w:val="20"/>
                <w:color w:val="auto"/>
              </w:rPr>
            </w:pPr>
            <w:r>
              <w:rPr>
                <w:rFonts w:ascii="Arial" w:cs="Arial" w:eastAsia="Arial" w:hAnsi="Arial"/>
                <w:sz w:val="13"/>
                <w:szCs w:val="13"/>
                <w:color w:val="auto"/>
              </w:rPr>
              <w:t>High $</w:t>
            </w:r>
          </w:p>
        </w:tc>
        <w:tc>
          <w:tcPr>
            <w:tcW w:w="760" w:type="dxa"/>
            <w:vAlign w:val="bottom"/>
            <w:tcBorders>
              <w:top w:val="single" w:sz="8" w:color="auto"/>
              <w:bottom w:val="single" w:sz="8" w:color="auto"/>
            </w:tcBorders>
          </w:tcPr>
          <w:p>
            <w:pPr>
              <w:jc w:val="right"/>
              <w:ind w:right="71"/>
              <w:spacing w:after="0" w:line="131" w:lineRule="exact"/>
              <w:rPr>
                <w:sz w:val="20"/>
                <w:szCs w:val="20"/>
                <w:color w:val="auto"/>
              </w:rPr>
            </w:pPr>
            <w:r>
              <w:rPr>
                <w:rFonts w:ascii="Arial" w:cs="Arial" w:eastAsia="Arial" w:hAnsi="Arial"/>
                <w:sz w:val="13"/>
                <w:szCs w:val="13"/>
                <w:color w:val="auto"/>
              </w:rPr>
              <w:t>Low $</w:t>
            </w:r>
          </w:p>
        </w:tc>
        <w:tc>
          <w:tcPr>
            <w:tcW w:w="260" w:type="dxa"/>
            <w:vAlign w:val="bottom"/>
            <w:tcBorders>
              <w:bottom w:val="single" w:sz="8" w:color="auto"/>
            </w:tcBorders>
          </w:tcPr>
          <w:p>
            <w:pPr>
              <w:spacing w:after="0"/>
              <w:rPr>
                <w:sz w:val="11"/>
                <w:szCs w:val="11"/>
                <w:color w:val="auto"/>
              </w:rPr>
            </w:pPr>
          </w:p>
        </w:tc>
        <w:tc>
          <w:tcPr>
            <w:tcW w:w="640" w:type="dxa"/>
            <w:vAlign w:val="bottom"/>
            <w:tcBorders>
              <w:top w:val="single" w:sz="8" w:color="auto"/>
              <w:bottom w:val="single" w:sz="8" w:color="auto"/>
            </w:tcBorders>
          </w:tcPr>
          <w:p>
            <w:pPr>
              <w:ind w:left="260"/>
              <w:spacing w:after="0" w:line="131" w:lineRule="exact"/>
              <w:rPr>
                <w:sz w:val="20"/>
                <w:szCs w:val="20"/>
                <w:color w:val="auto"/>
              </w:rPr>
            </w:pPr>
            <w:r>
              <w:rPr>
                <w:rFonts w:ascii="Arial" w:cs="Arial" w:eastAsia="Arial" w:hAnsi="Arial"/>
                <w:sz w:val="13"/>
                <w:szCs w:val="13"/>
                <w:color w:val="auto"/>
                <w:w w:val="95"/>
              </w:rPr>
              <w:t>High $</w:t>
            </w:r>
          </w:p>
        </w:tc>
        <w:tc>
          <w:tcPr>
            <w:tcW w:w="680" w:type="dxa"/>
            <w:vAlign w:val="bottom"/>
            <w:tcBorders>
              <w:top w:val="single" w:sz="8" w:color="auto"/>
              <w:bottom w:val="single" w:sz="8" w:color="auto"/>
            </w:tcBorders>
          </w:tcPr>
          <w:p>
            <w:pPr>
              <w:jc w:val="right"/>
              <w:ind w:right="31"/>
              <w:spacing w:after="0" w:line="131" w:lineRule="exact"/>
              <w:rPr>
                <w:sz w:val="20"/>
                <w:szCs w:val="20"/>
                <w:color w:val="auto"/>
              </w:rPr>
            </w:pPr>
            <w:r>
              <w:rPr>
                <w:rFonts w:ascii="Arial" w:cs="Arial" w:eastAsia="Arial" w:hAnsi="Arial"/>
                <w:sz w:val="13"/>
                <w:szCs w:val="13"/>
                <w:color w:val="auto"/>
              </w:rPr>
              <w:t>Low $</w:t>
            </w:r>
          </w:p>
        </w:tc>
      </w:tr>
      <w:tr>
        <w:trPr>
          <w:trHeight w:val="160"/>
        </w:trPr>
        <w:tc>
          <w:tcPr>
            <w:tcW w:w="4500" w:type="dxa"/>
            <w:vAlign w:val="bottom"/>
          </w:tcPr>
          <w:p>
            <w:pPr>
              <w:spacing w:after="0"/>
              <w:rPr>
                <w:sz w:val="20"/>
                <w:szCs w:val="20"/>
                <w:color w:val="auto"/>
              </w:rPr>
            </w:pPr>
            <w:r>
              <w:rPr>
                <w:rFonts w:ascii="Arial" w:cs="Arial" w:eastAsia="Arial" w:hAnsi="Arial"/>
                <w:sz w:val="14"/>
                <w:szCs w:val="14"/>
                <w:color w:val="auto"/>
              </w:rPr>
              <w:t>2014</w:t>
            </w:r>
          </w:p>
        </w:tc>
        <w:tc>
          <w:tcPr>
            <w:tcW w:w="6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80" w:type="dxa"/>
            <w:vAlign w:val="bottom"/>
          </w:tcPr>
          <w:p>
            <w:pPr>
              <w:spacing w:after="0"/>
              <w:rPr>
                <w:sz w:val="13"/>
                <w:szCs w:val="13"/>
                <w:color w:val="auto"/>
              </w:rPr>
            </w:pPr>
          </w:p>
        </w:tc>
      </w:tr>
      <w:tr>
        <w:trPr>
          <w:trHeight w:val="162"/>
        </w:trPr>
        <w:tc>
          <w:tcPr>
            <w:tcW w:w="4500" w:type="dxa"/>
            <w:vAlign w:val="bottom"/>
          </w:tcPr>
          <w:p>
            <w:pPr>
              <w:ind w:left="140"/>
              <w:spacing w:after="0"/>
              <w:rPr>
                <w:sz w:val="20"/>
                <w:szCs w:val="20"/>
                <w:color w:val="auto"/>
              </w:rPr>
            </w:pPr>
            <w:r>
              <w:rPr>
                <w:rFonts w:ascii="Arial" w:cs="Arial" w:eastAsia="Arial" w:hAnsi="Arial"/>
                <w:sz w:val="14"/>
                <w:szCs w:val="14"/>
                <w:color w:val="auto"/>
              </w:rPr>
              <w:t>September</w:t>
            </w:r>
          </w:p>
        </w:tc>
        <w:tc>
          <w:tcPr>
            <w:tcW w:w="660" w:type="dxa"/>
            <w:vAlign w:val="bottom"/>
          </w:tcPr>
          <w:p>
            <w:pPr>
              <w:ind w:left="260"/>
              <w:spacing w:after="0"/>
              <w:rPr>
                <w:sz w:val="20"/>
                <w:szCs w:val="20"/>
                <w:color w:val="auto"/>
              </w:rPr>
            </w:pPr>
            <w:r>
              <w:rPr>
                <w:rFonts w:ascii="Arial" w:cs="Arial" w:eastAsia="Arial" w:hAnsi="Arial"/>
                <w:sz w:val="14"/>
                <w:szCs w:val="14"/>
                <w:color w:val="auto"/>
              </w:rPr>
              <w:t>31.12</w:t>
            </w:r>
          </w:p>
        </w:tc>
        <w:tc>
          <w:tcPr>
            <w:tcW w:w="740" w:type="dxa"/>
            <w:vAlign w:val="bottom"/>
          </w:tcPr>
          <w:p>
            <w:pPr>
              <w:jc w:val="right"/>
              <w:ind w:right="12"/>
              <w:spacing w:after="0"/>
              <w:rPr>
                <w:sz w:val="20"/>
                <w:szCs w:val="20"/>
                <w:color w:val="auto"/>
              </w:rPr>
            </w:pPr>
            <w:r>
              <w:rPr>
                <w:rFonts w:ascii="Arial" w:cs="Arial" w:eastAsia="Arial" w:hAnsi="Arial"/>
                <w:sz w:val="14"/>
                <w:szCs w:val="14"/>
                <w:color w:val="auto"/>
              </w:rPr>
              <w:t>29.62</w:t>
            </w:r>
          </w:p>
        </w:tc>
        <w:tc>
          <w:tcPr>
            <w:tcW w:w="260" w:type="dxa"/>
            <w:vAlign w:val="bottom"/>
          </w:tcPr>
          <w:p>
            <w:pPr>
              <w:spacing w:after="0"/>
              <w:rPr>
                <w:sz w:val="14"/>
                <w:szCs w:val="14"/>
                <w:color w:val="auto"/>
              </w:rPr>
            </w:pPr>
          </w:p>
        </w:tc>
        <w:tc>
          <w:tcPr>
            <w:tcW w:w="1080" w:type="dxa"/>
            <w:vAlign w:val="bottom"/>
          </w:tcPr>
          <w:p>
            <w:pPr>
              <w:jc w:val="right"/>
              <w:ind w:right="90"/>
              <w:spacing w:after="0"/>
              <w:rPr>
                <w:sz w:val="20"/>
                <w:szCs w:val="20"/>
                <w:color w:val="auto"/>
              </w:rPr>
            </w:pPr>
            <w:r>
              <w:rPr>
                <w:rFonts w:ascii="Arial" w:cs="Arial" w:eastAsia="Arial" w:hAnsi="Arial"/>
                <w:sz w:val="14"/>
                <w:szCs w:val="14"/>
                <w:color w:val="auto"/>
              </w:rPr>
              <w:t>2,581</w:t>
            </w:r>
          </w:p>
        </w:tc>
        <w:tc>
          <w:tcPr>
            <w:tcW w:w="880" w:type="dxa"/>
            <w:vAlign w:val="bottom"/>
          </w:tcPr>
          <w:p>
            <w:pPr>
              <w:jc w:val="right"/>
              <w:ind w:right="10"/>
              <w:spacing w:after="0"/>
              <w:rPr>
                <w:sz w:val="20"/>
                <w:szCs w:val="20"/>
                <w:color w:val="auto"/>
              </w:rPr>
            </w:pPr>
            <w:r>
              <w:rPr>
                <w:rFonts w:ascii="Arial" w:cs="Arial" w:eastAsia="Arial" w:hAnsi="Arial"/>
                <w:sz w:val="14"/>
                <w:szCs w:val="14"/>
                <w:color w:val="auto"/>
              </w:rPr>
              <w:t>2,407</w:t>
            </w:r>
          </w:p>
        </w:tc>
        <w:tc>
          <w:tcPr>
            <w:tcW w:w="240" w:type="dxa"/>
            <w:vAlign w:val="bottom"/>
          </w:tcPr>
          <w:p>
            <w:pPr>
              <w:spacing w:after="0"/>
              <w:rPr>
                <w:sz w:val="14"/>
                <w:szCs w:val="14"/>
                <w:color w:val="auto"/>
              </w:rPr>
            </w:pPr>
          </w:p>
        </w:tc>
        <w:tc>
          <w:tcPr>
            <w:tcW w:w="720" w:type="dxa"/>
            <w:vAlign w:val="bottom"/>
          </w:tcPr>
          <w:p>
            <w:pPr>
              <w:ind w:left="260"/>
              <w:spacing w:after="0"/>
              <w:rPr>
                <w:sz w:val="20"/>
                <w:szCs w:val="20"/>
                <w:color w:val="auto"/>
              </w:rPr>
            </w:pPr>
            <w:r>
              <w:rPr>
                <w:rFonts w:ascii="Arial" w:cs="Arial" w:eastAsia="Arial" w:hAnsi="Arial"/>
                <w:sz w:val="14"/>
                <w:szCs w:val="14"/>
                <w:color w:val="auto"/>
              </w:rPr>
              <w:t>80.96</w:t>
            </w:r>
          </w:p>
        </w:tc>
        <w:tc>
          <w:tcPr>
            <w:tcW w:w="760" w:type="dxa"/>
            <w:vAlign w:val="bottom"/>
          </w:tcPr>
          <w:p>
            <w:pPr>
              <w:jc w:val="right"/>
              <w:ind w:right="71"/>
              <w:spacing w:after="0"/>
              <w:rPr>
                <w:sz w:val="20"/>
                <w:szCs w:val="20"/>
                <w:color w:val="auto"/>
              </w:rPr>
            </w:pPr>
            <w:r>
              <w:rPr>
                <w:rFonts w:ascii="Arial" w:cs="Arial" w:eastAsia="Arial" w:hAnsi="Arial"/>
                <w:sz w:val="14"/>
                <w:szCs w:val="14"/>
                <w:color w:val="auto"/>
              </w:rPr>
              <w:t>75.77</w:t>
            </w:r>
          </w:p>
        </w:tc>
        <w:tc>
          <w:tcPr>
            <w:tcW w:w="260" w:type="dxa"/>
            <w:vAlign w:val="bottom"/>
          </w:tcPr>
          <w:p>
            <w:pPr>
              <w:spacing w:after="0"/>
              <w:rPr>
                <w:sz w:val="14"/>
                <w:szCs w:val="14"/>
                <w:color w:val="auto"/>
              </w:rPr>
            </w:pPr>
          </w:p>
        </w:tc>
        <w:tc>
          <w:tcPr>
            <w:tcW w:w="640" w:type="dxa"/>
            <w:vAlign w:val="bottom"/>
          </w:tcPr>
          <w:p>
            <w:pPr>
              <w:ind w:left="260"/>
              <w:spacing w:after="0"/>
              <w:rPr>
                <w:sz w:val="20"/>
                <w:szCs w:val="20"/>
                <w:color w:val="auto"/>
              </w:rPr>
            </w:pPr>
            <w:r>
              <w:rPr>
                <w:rFonts w:ascii="Arial" w:cs="Arial" w:eastAsia="Arial" w:hAnsi="Arial"/>
                <w:sz w:val="14"/>
                <w:szCs w:val="14"/>
                <w:color w:val="auto"/>
              </w:rPr>
              <w:t>84.82</w:t>
            </w:r>
          </w:p>
        </w:tc>
        <w:tc>
          <w:tcPr>
            <w:tcW w:w="680" w:type="dxa"/>
            <w:vAlign w:val="bottom"/>
          </w:tcPr>
          <w:p>
            <w:pPr>
              <w:jc w:val="right"/>
              <w:ind w:right="31"/>
              <w:spacing w:after="0"/>
              <w:rPr>
                <w:sz w:val="20"/>
                <w:szCs w:val="20"/>
                <w:color w:val="auto"/>
              </w:rPr>
            </w:pPr>
            <w:r>
              <w:rPr>
                <w:rFonts w:ascii="Arial" w:cs="Arial" w:eastAsia="Arial" w:hAnsi="Arial"/>
                <w:sz w:val="14"/>
                <w:szCs w:val="14"/>
                <w:color w:val="auto"/>
              </w:rPr>
              <w:t>78.77</w:t>
            </w:r>
          </w:p>
        </w:tc>
      </w:tr>
      <w:tr>
        <w:trPr>
          <w:trHeight w:val="162"/>
        </w:trPr>
        <w:tc>
          <w:tcPr>
            <w:tcW w:w="4500" w:type="dxa"/>
            <w:vAlign w:val="bottom"/>
          </w:tcPr>
          <w:p>
            <w:pPr>
              <w:ind w:left="140"/>
              <w:spacing w:after="0"/>
              <w:rPr>
                <w:sz w:val="20"/>
                <w:szCs w:val="20"/>
                <w:color w:val="auto"/>
              </w:rPr>
            </w:pPr>
            <w:r>
              <w:rPr>
                <w:rFonts w:ascii="Arial" w:cs="Arial" w:eastAsia="Arial" w:hAnsi="Arial"/>
                <w:sz w:val="14"/>
                <w:szCs w:val="14"/>
                <w:color w:val="auto"/>
              </w:rPr>
              <w:t>October</w:t>
            </w:r>
          </w:p>
        </w:tc>
        <w:tc>
          <w:tcPr>
            <w:tcW w:w="660" w:type="dxa"/>
            <w:vAlign w:val="bottom"/>
          </w:tcPr>
          <w:p>
            <w:pPr>
              <w:ind w:left="260"/>
              <w:spacing w:after="0"/>
              <w:rPr>
                <w:sz w:val="20"/>
                <w:szCs w:val="20"/>
                <w:color w:val="auto"/>
              </w:rPr>
            </w:pPr>
            <w:r>
              <w:rPr>
                <w:rFonts w:ascii="Arial" w:cs="Arial" w:eastAsia="Arial" w:hAnsi="Arial"/>
                <w:sz w:val="14"/>
                <w:szCs w:val="14"/>
                <w:color w:val="auto"/>
              </w:rPr>
              <w:t>30.24</w:t>
            </w:r>
          </w:p>
        </w:tc>
        <w:tc>
          <w:tcPr>
            <w:tcW w:w="740" w:type="dxa"/>
            <w:vAlign w:val="bottom"/>
          </w:tcPr>
          <w:p>
            <w:pPr>
              <w:jc w:val="right"/>
              <w:ind w:right="12"/>
              <w:spacing w:after="0"/>
              <w:rPr>
                <w:sz w:val="20"/>
                <w:szCs w:val="20"/>
                <w:color w:val="auto"/>
              </w:rPr>
            </w:pPr>
            <w:r>
              <w:rPr>
                <w:rFonts w:ascii="Arial" w:cs="Arial" w:eastAsia="Arial" w:hAnsi="Arial"/>
                <w:sz w:val="14"/>
                <w:szCs w:val="14"/>
                <w:color w:val="auto"/>
              </w:rPr>
              <w:t>25.51</w:t>
            </w:r>
          </w:p>
        </w:tc>
        <w:tc>
          <w:tcPr>
            <w:tcW w:w="260" w:type="dxa"/>
            <w:vAlign w:val="bottom"/>
          </w:tcPr>
          <w:p>
            <w:pPr>
              <w:spacing w:after="0"/>
              <w:rPr>
                <w:sz w:val="14"/>
                <w:szCs w:val="14"/>
                <w:color w:val="auto"/>
              </w:rPr>
            </w:pPr>
          </w:p>
        </w:tc>
        <w:tc>
          <w:tcPr>
            <w:tcW w:w="1080" w:type="dxa"/>
            <w:vAlign w:val="bottom"/>
          </w:tcPr>
          <w:p>
            <w:pPr>
              <w:jc w:val="right"/>
              <w:ind w:right="90"/>
              <w:spacing w:after="0"/>
              <w:rPr>
                <w:sz w:val="20"/>
                <w:szCs w:val="20"/>
                <w:color w:val="auto"/>
              </w:rPr>
            </w:pPr>
            <w:r>
              <w:rPr>
                <w:rFonts w:ascii="Arial" w:cs="Arial" w:eastAsia="Arial" w:hAnsi="Arial"/>
                <w:sz w:val="14"/>
                <w:szCs w:val="14"/>
                <w:color w:val="auto"/>
              </w:rPr>
              <w:t>2,436</w:t>
            </w:r>
          </w:p>
        </w:tc>
        <w:tc>
          <w:tcPr>
            <w:tcW w:w="880" w:type="dxa"/>
            <w:vAlign w:val="bottom"/>
          </w:tcPr>
          <w:p>
            <w:pPr>
              <w:jc w:val="right"/>
              <w:ind w:right="10"/>
              <w:spacing w:after="0"/>
              <w:rPr>
                <w:sz w:val="20"/>
                <w:szCs w:val="20"/>
                <w:color w:val="auto"/>
              </w:rPr>
            </w:pPr>
            <w:r>
              <w:rPr>
                <w:rFonts w:ascii="Arial" w:cs="Arial" w:eastAsia="Arial" w:hAnsi="Arial"/>
                <w:sz w:val="14"/>
                <w:szCs w:val="14"/>
                <w:color w:val="auto"/>
              </w:rPr>
              <w:t>2,111</w:t>
            </w:r>
          </w:p>
        </w:tc>
        <w:tc>
          <w:tcPr>
            <w:tcW w:w="240" w:type="dxa"/>
            <w:vAlign w:val="bottom"/>
          </w:tcPr>
          <w:p>
            <w:pPr>
              <w:spacing w:after="0"/>
              <w:rPr>
                <w:sz w:val="14"/>
                <w:szCs w:val="14"/>
                <w:color w:val="auto"/>
              </w:rPr>
            </w:pPr>
          </w:p>
        </w:tc>
        <w:tc>
          <w:tcPr>
            <w:tcW w:w="720" w:type="dxa"/>
            <w:vAlign w:val="bottom"/>
          </w:tcPr>
          <w:p>
            <w:pPr>
              <w:ind w:left="260"/>
              <w:spacing w:after="0"/>
              <w:rPr>
                <w:sz w:val="20"/>
                <w:szCs w:val="20"/>
                <w:color w:val="auto"/>
              </w:rPr>
            </w:pPr>
            <w:r>
              <w:rPr>
                <w:rFonts w:ascii="Arial" w:cs="Arial" w:eastAsia="Arial" w:hAnsi="Arial"/>
                <w:sz w:val="14"/>
                <w:szCs w:val="14"/>
                <w:color w:val="auto"/>
              </w:rPr>
              <w:t>75.77</w:t>
            </w:r>
          </w:p>
        </w:tc>
        <w:tc>
          <w:tcPr>
            <w:tcW w:w="760" w:type="dxa"/>
            <w:vAlign w:val="bottom"/>
          </w:tcPr>
          <w:p>
            <w:pPr>
              <w:jc w:val="right"/>
              <w:ind w:right="71"/>
              <w:spacing w:after="0"/>
              <w:rPr>
                <w:sz w:val="20"/>
                <w:szCs w:val="20"/>
                <w:color w:val="auto"/>
              </w:rPr>
            </w:pPr>
            <w:r>
              <w:rPr>
                <w:rFonts w:ascii="Arial" w:cs="Arial" w:eastAsia="Arial" w:hAnsi="Arial"/>
                <w:sz w:val="14"/>
                <w:szCs w:val="14"/>
                <w:color w:val="auto"/>
              </w:rPr>
              <w:t>65.68</w:t>
            </w:r>
          </w:p>
        </w:tc>
        <w:tc>
          <w:tcPr>
            <w:tcW w:w="260" w:type="dxa"/>
            <w:vAlign w:val="bottom"/>
          </w:tcPr>
          <w:p>
            <w:pPr>
              <w:spacing w:after="0"/>
              <w:rPr>
                <w:sz w:val="14"/>
                <w:szCs w:val="14"/>
                <w:color w:val="auto"/>
              </w:rPr>
            </w:pPr>
          </w:p>
        </w:tc>
        <w:tc>
          <w:tcPr>
            <w:tcW w:w="640" w:type="dxa"/>
            <w:vAlign w:val="bottom"/>
          </w:tcPr>
          <w:p>
            <w:pPr>
              <w:ind w:left="260"/>
              <w:spacing w:after="0"/>
              <w:rPr>
                <w:sz w:val="20"/>
                <w:szCs w:val="20"/>
                <w:color w:val="auto"/>
              </w:rPr>
            </w:pPr>
            <w:r>
              <w:rPr>
                <w:rFonts w:ascii="Arial" w:cs="Arial" w:eastAsia="Arial" w:hAnsi="Arial"/>
                <w:sz w:val="14"/>
                <w:szCs w:val="14"/>
                <w:color w:val="auto"/>
              </w:rPr>
              <w:t>78.76</w:t>
            </w:r>
          </w:p>
        </w:tc>
        <w:tc>
          <w:tcPr>
            <w:tcW w:w="680" w:type="dxa"/>
            <w:vAlign w:val="bottom"/>
          </w:tcPr>
          <w:p>
            <w:pPr>
              <w:jc w:val="right"/>
              <w:ind w:right="31"/>
              <w:spacing w:after="0"/>
              <w:rPr>
                <w:sz w:val="20"/>
                <w:szCs w:val="20"/>
                <w:color w:val="auto"/>
              </w:rPr>
            </w:pPr>
            <w:r>
              <w:rPr>
                <w:rFonts w:ascii="Arial" w:cs="Arial" w:eastAsia="Arial" w:hAnsi="Arial"/>
                <w:sz w:val="14"/>
                <w:szCs w:val="14"/>
                <w:color w:val="auto"/>
              </w:rPr>
              <w:t>68.54</w:t>
            </w:r>
          </w:p>
        </w:tc>
      </w:tr>
      <w:tr>
        <w:trPr>
          <w:trHeight w:val="162"/>
        </w:trPr>
        <w:tc>
          <w:tcPr>
            <w:tcW w:w="4500" w:type="dxa"/>
            <w:vAlign w:val="bottom"/>
          </w:tcPr>
          <w:p>
            <w:pPr>
              <w:ind w:left="140"/>
              <w:spacing w:after="0"/>
              <w:rPr>
                <w:sz w:val="20"/>
                <w:szCs w:val="20"/>
                <w:color w:val="auto"/>
              </w:rPr>
            </w:pPr>
            <w:r>
              <w:rPr>
                <w:rFonts w:ascii="Arial" w:cs="Arial" w:eastAsia="Arial" w:hAnsi="Arial"/>
                <w:sz w:val="14"/>
                <w:szCs w:val="14"/>
                <w:color w:val="auto"/>
              </w:rPr>
              <w:t>November</w:t>
            </w:r>
          </w:p>
        </w:tc>
        <w:tc>
          <w:tcPr>
            <w:tcW w:w="660" w:type="dxa"/>
            <w:vAlign w:val="bottom"/>
          </w:tcPr>
          <w:p>
            <w:pPr>
              <w:ind w:left="260"/>
              <w:spacing w:after="0"/>
              <w:rPr>
                <w:sz w:val="20"/>
                <w:szCs w:val="20"/>
                <w:color w:val="auto"/>
              </w:rPr>
            </w:pPr>
            <w:r>
              <w:rPr>
                <w:rFonts w:ascii="Arial" w:cs="Arial" w:eastAsia="Arial" w:hAnsi="Arial"/>
                <w:sz w:val="14"/>
                <w:szCs w:val="14"/>
                <w:color w:val="auto"/>
              </w:rPr>
              <w:t>29.00</w:t>
            </w:r>
          </w:p>
        </w:tc>
        <w:tc>
          <w:tcPr>
            <w:tcW w:w="740" w:type="dxa"/>
            <w:vAlign w:val="bottom"/>
          </w:tcPr>
          <w:p>
            <w:pPr>
              <w:jc w:val="right"/>
              <w:ind w:right="12"/>
              <w:spacing w:after="0"/>
              <w:rPr>
                <w:sz w:val="20"/>
                <w:szCs w:val="20"/>
                <w:color w:val="auto"/>
              </w:rPr>
            </w:pPr>
            <w:r>
              <w:rPr>
                <w:rFonts w:ascii="Arial" w:cs="Arial" w:eastAsia="Arial" w:hAnsi="Arial"/>
                <w:sz w:val="14"/>
                <w:szCs w:val="14"/>
                <w:color w:val="auto"/>
              </w:rPr>
              <w:t>26.34</w:t>
            </w:r>
          </w:p>
        </w:tc>
        <w:tc>
          <w:tcPr>
            <w:tcW w:w="260" w:type="dxa"/>
            <w:vAlign w:val="bottom"/>
          </w:tcPr>
          <w:p>
            <w:pPr>
              <w:spacing w:after="0"/>
              <w:rPr>
                <w:sz w:val="14"/>
                <w:szCs w:val="14"/>
                <w:color w:val="auto"/>
              </w:rPr>
            </w:pPr>
          </w:p>
        </w:tc>
        <w:tc>
          <w:tcPr>
            <w:tcW w:w="1080" w:type="dxa"/>
            <w:vAlign w:val="bottom"/>
          </w:tcPr>
          <w:p>
            <w:pPr>
              <w:jc w:val="right"/>
              <w:ind w:right="90"/>
              <w:spacing w:after="0"/>
              <w:rPr>
                <w:sz w:val="20"/>
                <w:szCs w:val="20"/>
                <w:color w:val="auto"/>
              </w:rPr>
            </w:pPr>
            <w:r>
              <w:rPr>
                <w:rFonts w:ascii="Arial" w:cs="Arial" w:eastAsia="Arial" w:hAnsi="Arial"/>
                <w:sz w:val="14"/>
                <w:szCs w:val="14"/>
                <w:color w:val="auto"/>
              </w:rPr>
              <w:t>2,409</w:t>
            </w:r>
          </w:p>
        </w:tc>
        <w:tc>
          <w:tcPr>
            <w:tcW w:w="880" w:type="dxa"/>
            <w:vAlign w:val="bottom"/>
          </w:tcPr>
          <w:p>
            <w:pPr>
              <w:jc w:val="right"/>
              <w:ind w:right="10"/>
              <w:spacing w:after="0"/>
              <w:rPr>
                <w:sz w:val="20"/>
                <w:szCs w:val="20"/>
                <w:color w:val="auto"/>
              </w:rPr>
            </w:pPr>
            <w:r>
              <w:rPr>
                <w:rFonts w:ascii="Arial" w:cs="Arial" w:eastAsia="Arial" w:hAnsi="Arial"/>
                <w:sz w:val="14"/>
                <w:szCs w:val="14"/>
                <w:color w:val="auto"/>
              </w:rPr>
              <w:t>2,169</w:t>
            </w:r>
          </w:p>
        </w:tc>
        <w:tc>
          <w:tcPr>
            <w:tcW w:w="240" w:type="dxa"/>
            <w:vAlign w:val="bottom"/>
          </w:tcPr>
          <w:p>
            <w:pPr>
              <w:spacing w:after="0"/>
              <w:rPr>
                <w:sz w:val="14"/>
                <w:szCs w:val="14"/>
                <w:color w:val="auto"/>
              </w:rPr>
            </w:pPr>
          </w:p>
        </w:tc>
        <w:tc>
          <w:tcPr>
            <w:tcW w:w="720" w:type="dxa"/>
            <w:vAlign w:val="bottom"/>
          </w:tcPr>
          <w:p>
            <w:pPr>
              <w:ind w:left="260"/>
              <w:spacing w:after="0"/>
              <w:rPr>
                <w:sz w:val="20"/>
                <w:szCs w:val="20"/>
                <w:color w:val="auto"/>
              </w:rPr>
            </w:pPr>
            <w:r>
              <w:rPr>
                <w:rFonts w:ascii="Arial" w:cs="Arial" w:eastAsia="Arial" w:hAnsi="Arial"/>
                <w:sz w:val="14"/>
                <w:szCs w:val="14"/>
                <w:color w:val="auto"/>
              </w:rPr>
              <w:t>72.00</w:t>
            </w:r>
          </w:p>
        </w:tc>
        <w:tc>
          <w:tcPr>
            <w:tcW w:w="760" w:type="dxa"/>
            <w:vAlign w:val="bottom"/>
          </w:tcPr>
          <w:p>
            <w:pPr>
              <w:jc w:val="right"/>
              <w:ind w:right="71"/>
              <w:spacing w:after="0"/>
              <w:rPr>
                <w:sz w:val="20"/>
                <w:szCs w:val="20"/>
                <w:color w:val="auto"/>
              </w:rPr>
            </w:pPr>
            <w:r>
              <w:rPr>
                <w:rFonts w:ascii="Arial" w:cs="Arial" w:eastAsia="Arial" w:hAnsi="Arial"/>
                <w:sz w:val="14"/>
                <w:szCs w:val="14"/>
                <w:color w:val="auto"/>
              </w:rPr>
              <w:t>66.29</w:t>
            </w:r>
          </w:p>
        </w:tc>
        <w:tc>
          <w:tcPr>
            <w:tcW w:w="260" w:type="dxa"/>
            <w:vAlign w:val="bottom"/>
          </w:tcPr>
          <w:p>
            <w:pPr>
              <w:spacing w:after="0"/>
              <w:rPr>
                <w:sz w:val="14"/>
                <w:szCs w:val="14"/>
                <w:color w:val="auto"/>
              </w:rPr>
            </w:pPr>
          </w:p>
        </w:tc>
        <w:tc>
          <w:tcPr>
            <w:tcW w:w="640" w:type="dxa"/>
            <w:vAlign w:val="bottom"/>
          </w:tcPr>
          <w:p>
            <w:pPr>
              <w:ind w:left="260"/>
              <w:spacing w:after="0"/>
              <w:rPr>
                <w:sz w:val="20"/>
                <w:szCs w:val="20"/>
                <w:color w:val="auto"/>
              </w:rPr>
            </w:pPr>
            <w:r>
              <w:rPr>
                <w:rFonts w:ascii="Arial" w:cs="Arial" w:eastAsia="Arial" w:hAnsi="Arial"/>
                <w:sz w:val="14"/>
                <w:szCs w:val="14"/>
                <w:color w:val="auto"/>
              </w:rPr>
              <w:t>75.56</w:t>
            </w:r>
          </w:p>
        </w:tc>
        <w:tc>
          <w:tcPr>
            <w:tcW w:w="680" w:type="dxa"/>
            <w:vAlign w:val="bottom"/>
          </w:tcPr>
          <w:p>
            <w:pPr>
              <w:jc w:val="right"/>
              <w:ind w:right="31"/>
              <w:spacing w:after="0"/>
              <w:rPr>
                <w:sz w:val="20"/>
                <w:szCs w:val="20"/>
                <w:color w:val="auto"/>
              </w:rPr>
            </w:pPr>
            <w:r>
              <w:rPr>
                <w:rFonts w:ascii="Arial" w:cs="Arial" w:eastAsia="Arial" w:hAnsi="Arial"/>
                <w:sz w:val="14"/>
                <w:szCs w:val="14"/>
                <w:color w:val="auto"/>
              </w:rPr>
              <w:t>69.35</w:t>
            </w:r>
          </w:p>
        </w:tc>
      </w:tr>
      <w:tr>
        <w:trPr>
          <w:trHeight w:val="157"/>
        </w:trPr>
        <w:tc>
          <w:tcPr>
            <w:tcW w:w="4500" w:type="dxa"/>
            <w:vAlign w:val="bottom"/>
            <w:tcBorders>
              <w:bottom w:val="single" w:sz="8" w:color="auto"/>
            </w:tcBorders>
          </w:tcPr>
          <w:p>
            <w:pPr>
              <w:ind w:left="140"/>
              <w:spacing w:after="0" w:line="157" w:lineRule="exact"/>
              <w:rPr>
                <w:sz w:val="20"/>
                <w:szCs w:val="20"/>
                <w:color w:val="auto"/>
              </w:rPr>
            </w:pPr>
            <w:r>
              <w:rPr>
                <w:rFonts w:ascii="Arial" w:cs="Arial" w:eastAsia="Arial" w:hAnsi="Arial"/>
                <w:sz w:val="14"/>
                <w:szCs w:val="14"/>
                <w:color w:val="auto"/>
              </w:rPr>
              <w:t>December</w:t>
            </w:r>
          </w:p>
        </w:tc>
        <w:tc>
          <w:tcPr>
            <w:tcW w:w="660" w:type="dxa"/>
            <w:vAlign w:val="bottom"/>
            <w:tcBorders>
              <w:bottom w:val="single" w:sz="8" w:color="auto"/>
            </w:tcBorders>
          </w:tcPr>
          <w:p>
            <w:pPr>
              <w:ind w:left="260"/>
              <w:spacing w:after="0" w:line="157" w:lineRule="exact"/>
              <w:rPr>
                <w:sz w:val="20"/>
                <w:szCs w:val="20"/>
                <w:color w:val="auto"/>
              </w:rPr>
            </w:pPr>
            <w:r>
              <w:rPr>
                <w:rFonts w:ascii="Arial" w:cs="Arial" w:eastAsia="Arial" w:hAnsi="Arial"/>
                <w:sz w:val="14"/>
                <w:szCs w:val="14"/>
                <w:color w:val="auto"/>
              </w:rPr>
              <w:t>28.57</w:t>
            </w:r>
          </w:p>
        </w:tc>
        <w:tc>
          <w:tcPr>
            <w:tcW w:w="740" w:type="dxa"/>
            <w:vAlign w:val="bottom"/>
            <w:tcBorders>
              <w:bottom w:val="single" w:sz="8" w:color="auto"/>
            </w:tcBorders>
          </w:tcPr>
          <w:p>
            <w:pPr>
              <w:jc w:val="right"/>
              <w:ind w:right="12"/>
              <w:spacing w:after="0" w:line="157" w:lineRule="exact"/>
              <w:rPr>
                <w:sz w:val="20"/>
                <w:szCs w:val="20"/>
                <w:color w:val="auto"/>
              </w:rPr>
            </w:pPr>
            <w:r>
              <w:rPr>
                <w:rFonts w:ascii="Arial" w:cs="Arial" w:eastAsia="Arial" w:hAnsi="Arial"/>
                <w:sz w:val="14"/>
                <w:szCs w:val="14"/>
                <w:color w:val="auto"/>
              </w:rPr>
              <w:t>24.30</w:t>
            </w:r>
          </w:p>
        </w:tc>
        <w:tc>
          <w:tcPr>
            <w:tcW w:w="26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90"/>
              <w:spacing w:after="0" w:line="157" w:lineRule="exact"/>
              <w:rPr>
                <w:sz w:val="20"/>
                <w:szCs w:val="20"/>
                <w:color w:val="auto"/>
              </w:rPr>
            </w:pPr>
            <w:r>
              <w:rPr>
                <w:rFonts w:ascii="Arial" w:cs="Arial" w:eastAsia="Arial" w:hAnsi="Arial"/>
                <w:sz w:val="14"/>
                <w:szCs w:val="14"/>
                <w:color w:val="auto"/>
              </w:rPr>
              <w:t>2,309</w:t>
            </w:r>
          </w:p>
        </w:tc>
        <w:tc>
          <w:tcPr>
            <w:tcW w:w="880" w:type="dxa"/>
            <w:vAlign w:val="bottom"/>
            <w:tcBorders>
              <w:bottom w:val="single" w:sz="8" w:color="auto"/>
            </w:tcBorders>
          </w:tcPr>
          <w:p>
            <w:pPr>
              <w:jc w:val="right"/>
              <w:ind w:right="10"/>
              <w:spacing w:after="0" w:line="157" w:lineRule="exact"/>
              <w:rPr>
                <w:sz w:val="20"/>
                <w:szCs w:val="20"/>
                <w:color w:val="auto"/>
              </w:rPr>
            </w:pPr>
            <w:r>
              <w:rPr>
                <w:rFonts w:ascii="Arial" w:cs="Arial" w:eastAsia="Arial" w:hAnsi="Arial"/>
                <w:sz w:val="14"/>
                <w:szCs w:val="14"/>
                <w:color w:val="auto"/>
              </w:rPr>
              <w:t>1,985</w:t>
            </w:r>
          </w:p>
        </w:tc>
        <w:tc>
          <w:tcPr>
            <w:tcW w:w="24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ind w:left="260"/>
              <w:spacing w:after="0" w:line="157" w:lineRule="exact"/>
              <w:rPr>
                <w:sz w:val="20"/>
                <w:szCs w:val="20"/>
                <w:color w:val="auto"/>
              </w:rPr>
            </w:pPr>
            <w:r>
              <w:rPr>
                <w:rFonts w:ascii="Arial" w:cs="Arial" w:eastAsia="Arial" w:hAnsi="Arial"/>
                <w:sz w:val="14"/>
                <w:szCs w:val="14"/>
                <w:color w:val="auto"/>
              </w:rPr>
              <w:t>69.50</w:t>
            </w:r>
          </w:p>
        </w:tc>
        <w:tc>
          <w:tcPr>
            <w:tcW w:w="760" w:type="dxa"/>
            <w:vAlign w:val="bottom"/>
            <w:tcBorders>
              <w:bottom w:val="single" w:sz="8" w:color="auto"/>
            </w:tcBorders>
          </w:tcPr>
          <w:p>
            <w:pPr>
              <w:jc w:val="right"/>
              <w:ind w:right="71"/>
              <w:spacing w:after="0" w:line="157" w:lineRule="exact"/>
              <w:rPr>
                <w:sz w:val="20"/>
                <w:szCs w:val="20"/>
                <w:color w:val="auto"/>
              </w:rPr>
            </w:pPr>
            <w:r>
              <w:rPr>
                <w:rFonts w:ascii="Arial" w:cs="Arial" w:eastAsia="Arial" w:hAnsi="Arial"/>
                <w:sz w:val="14"/>
                <w:szCs w:val="14"/>
                <w:color w:val="auto"/>
              </w:rPr>
              <w:t>60.84</w:t>
            </w:r>
          </w:p>
        </w:tc>
        <w:tc>
          <w:tcPr>
            <w:tcW w:w="26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ind w:left="260"/>
              <w:spacing w:after="0" w:line="157" w:lineRule="exact"/>
              <w:rPr>
                <w:sz w:val="20"/>
                <w:szCs w:val="20"/>
                <w:color w:val="auto"/>
              </w:rPr>
            </w:pPr>
            <w:r>
              <w:rPr>
                <w:rFonts w:ascii="Arial" w:cs="Arial" w:eastAsia="Arial" w:hAnsi="Arial"/>
                <w:sz w:val="14"/>
                <w:szCs w:val="14"/>
                <w:color w:val="auto"/>
              </w:rPr>
              <w:t>72.22</w:t>
            </w:r>
          </w:p>
        </w:tc>
        <w:tc>
          <w:tcPr>
            <w:tcW w:w="680" w:type="dxa"/>
            <w:vAlign w:val="bottom"/>
            <w:tcBorders>
              <w:bottom w:val="single" w:sz="8" w:color="auto"/>
            </w:tcBorders>
          </w:tcPr>
          <w:p>
            <w:pPr>
              <w:jc w:val="right"/>
              <w:ind w:right="31"/>
              <w:spacing w:after="0" w:line="157" w:lineRule="exact"/>
              <w:rPr>
                <w:sz w:val="20"/>
                <w:szCs w:val="20"/>
                <w:color w:val="auto"/>
              </w:rPr>
            </w:pPr>
            <w:r>
              <w:rPr>
                <w:rFonts w:ascii="Arial" w:cs="Arial" w:eastAsia="Arial" w:hAnsi="Arial"/>
                <w:sz w:val="14"/>
                <w:szCs w:val="14"/>
                <w:color w:val="auto"/>
              </w:rPr>
              <w:t>62.11</w:t>
            </w:r>
          </w:p>
        </w:tc>
      </w:tr>
      <w:tr>
        <w:trPr>
          <w:trHeight w:val="160"/>
        </w:trPr>
        <w:tc>
          <w:tcPr>
            <w:tcW w:w="4500" w:type="dxa"/>
            <w:vAlign w:val="bottom"/>
          </w:tcPr>
          <w:p>
            <w:pPr>
              <w:spacing w:after="0"/>
              <w:rPr>
                <w:sz w:val="20"/>
                <w:szCs w:val="20"/>
                <w:color w:val="auto"/>
              </w:rPr>
            </w:pPr>
            <w:r>
              <w:rPr>
                <w:rFonts w:ascii="Arial" w:cs="Arial" w:eastAsia="Arial" w:hAnsi="Arial"/>
                <w:sz w:val="14"/>
                <w:szCs w:val="14"/>
                <w:color w:val="auto"/>
              </w:rPr>
              <w:t>2015</w:t>
            </w:r>
          </w:p>
        </w:tc>
        <w:tc>
          <w:tcPr>
            <w:tcW w:w="6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80" w:type="dxa"/>
            <w:vAlign w:val="bottom"/>
          </w:tcPr>
          <w:p>
            <w:pPr>
              <w:spacing w:after="0"/>
              <w:rPr>
                <w:sz w:val="13"/>
                <w:szCs w:val="13"/>
                <w:color w:val="auto"/>
              </w:rPr>
            </w:pPr>
          </w:p>
        </w:tc>
      </w:tr>
      <w:tr>
        <w:trPr>
          <w:trHeight w:val="162"/>
        </w:trPr>
        <w:tc>
          <w:tcPr>
            <w:tcW w:w="4500" w:type="dxa"/>
            <w:vAlign w:val="bottom"/>
          </w:tcPr>
          <w:p>
            <w:pPr>
              <w:ind w:left="140"/>
              <w:spacing w:after="0"/>
              <w:rPr>
                <w:sz w:val="20"/>
                <w:szCs w:val="20"/>
                <w:color w:val="auto"/>
              </w:rPr>
            </w:pPr>
            <w:r>
              <w:rPr>
                <w:rFonts w:ascii="Arial" w:cs="Arial" w:eastAsia="Arial" w:hAnsi="Arial"/>
                <w:sz w:val="14"/>
                <w:szCs w:val="14"/>
                <w:color w:val="auto"/>
              </w:rPr>
              <w:t>January</w:t>
            </w:r>
          </w:p>
        </w:tc>
        <w:tc>
          <w:tcPr>
            <w:tcW w:w="660" w:type="dxa"/>
            <w:vAlign w:val="bottom"/>
          </w:tcPr>
          <w:p>
            <w:pPr>
              <w:ind w:left="260"/>
              <w:spacing w:after="0"/>
              <w:rPr>
                <w:sz w:val="20"/>
                <w:szCs w:val="20"/>
                <w:color w:val="auto"/>
              </w:rPr>
            </w:pPr>
            <w:r>
              <w:rPr>
                <w:rFonts w:ascii="Arial" w:cs="Arial" w:eastAsia="Arial" w:hAnsi="Arial"/>
                <w:sz w:val="14"/>
                <w:szCs w:val="14"/>
                <w:color w:val="auto"/>
              </w:rPr>
              <w:t>29.59</w:t>
            </w:r>
          </w:p>
        </w:tc>
        <w:tc>
          <w:tcPr>
            <w:tcW w:w="740" w:type="dxa"/>
            <w:vAlign w:val="bottom"/>
          </w:tcPr>
          <w:p>
            <w:pPr>
              <w:jc w:val="right"/>
              <w:ind w:right="12"/>
              <w:spacing w:after="0"/>
              <w:rPr>
                <w:sz w:val="20"/>
                <w:szCs w:val="20"/>
                <w:color w:val="auto"/>
              </w:rPr>
            </w:pPr>
            <w:r>
              <w:rPr>
                <w:rFonts w:ascii="Arial" w:cs="Arial" w:eastAsia="Arial" w:hAnsi="Arial"/>
                <w:sz w:val="14"/>
                <w:szCs w:val="14"/>
                <w:color w:val="auto"/>
              </w:rPr>
              <w:t>25.75</w:t>
            </w:r>
          </w:p>
        </w:tc>
        <w:tc>
          <w:tcPr>
            <w:tcW w:w="260" w:type="dxa"/>
            <w:vAlign w:val="bottom"/>
          </w:tcPr>
          <w:p>
            <w:pPr>
              <w:spacing w:after="0"/>
              <w:rPr>
                <w:sz w:val="14"/>
                <w:szCs w:val="14"/>
                <w:color w:val="auto"/>
              </w:rPr>
            </w:pPr>
          </w:p>
        </w:tc>
        <w:tc>
          <w:tcPr>
            <w:tcW w:w="1080" w:type="dxa"/>
            <w:vAlign w:val="bottom"/>
          </w:tcPr>
          <w:p>
            <w:pPr>
              <w:jc w:val="right"/>
              <w:ind w:right="90"/>
              <w:spacing w:after="0"/>
              <w:rPr>
                <w:sz w:val="20"/>
                <w:szCs w:val="20"/>
                <w:color w:val="auto"/>
              </w:rPr>
            </w:pPr>
            <w:r>
              <w:rPr>
                <w:rFonts w:ascii="Arial" w:cs="Arial" w:eastAsia="Arial" w:hAnsi="Arial"/>
                <w:sz w:val="14"/>
                <w:szCs w:val="14"/>
                <w:color w:val="auto"/>
              </w:rPr>
              <w:t>2,315</w:t>
            </w:r>
          </w:p>
        </w:tc>
        <w:tc>
          <w:tcPr>
            <w:tcW w:w="880" w:type="dxa"/>
            <w:vAlign w:val="bottom"/>
          </w:tcPr>
          <w:p>
            <w:pPr>
              <w:jc w:val="right"/>
              <w:ind w:right="10"/>
              <w:spacing w:after="0"/>
              <w:rPr>
                <w:sz w:val="20"/>
                <w:szCs w:val="20"/>
                <w:color w:val="auto"/>
              </w:rPr>
            </w:pPr>
            <w:r>
              <w:rPr>
                <w:rFonts w:ascii="Arial" w:cs="Arial" w:eastAsia="Arial" w:hAnsi="Arial"/>
                <w:sz w:val="14"/>
                <w:szCs w:val="14"/>
                <w:color w:val="auto"/>
              </w:rPr>
              <w:t>2,025</w:t>
            </w:r>
          </w:p>
        </w:tc>
        <w:tc>
          <w:tcPr>
            <w:tcW w:w="240" w:type="dxa"/>
            <w:vAlign w:val="bottom"/>
          </w:tcPr>
          <w:p>
            <w:pPr>
              <w:spacing w:after="0"/>
              <w:rPr>
                <w:sz w:val="14"/>
                <w:szCs w:val="14"/>
                <w:color w:val="auto"/>
              </w:rPr>
            </w:pPr>
          </w:p>
        </w:tc>
        <w:tc>
          <w:tcPr>
            <w:tcW w:w="720" w:type="dxa"/>
            <w:vAlign w:val="bottom"/>
          </w:tcPr>
          <w:p>
            <w:pPr>
              <w:ind w:left="260"/>
              <w:spacing w:after="0"/>
              <w:rPr>
                <w:sz w:val="20"/>
                <w:szCs w:val="20"/>
                <w:color w:val="auto"/>
              </w:rPr>
            </w:pPr>
            <w:r>
              <w:rPr>
                <w:rFonts w:ascii="Arial" w:cs="Arial" w:eastAsia="Arial" w:hAnsi="Arial"/>
                <w:sz w:val="14"/>
                <w:szCs w:val="14"/>
                <w:color w:val="auto"/>
              </w:rPr>
              <w:t>67.16</w:t>
            </w:r>
          </w:p>
        </w:tc>
        <w:tc>
          <w:tcPr>
            <w:tcW w:w="760" w:type="dxa"/>
            <w:vAlign w:val="bottom"/>
          </w:tcPr>
          <w:p>
            <w:pPr>
              <w:jc w:val="right"/>
              <w:ind w:right="71"/>
              <w:spacing w:after="0"/>
              <w:rPr>
                <w:sz w:val="20"/>
                <w:szCs w:val="20"/>
                <w:color w:val="auto"/>
              </w:rPr>
            </w:pPr>
            <w:r>
              <w:rPr>
                <w:rFonts w:ascii="Arial" w:cs="Arial" w:eastAsia="Arial" w:hAnsi="Arial"/>
                <w:sz w:val="14"/>
                <w:szCs w:val="14"/>
                <w:color w:val="auto"/>
              </w:rPr>
              <w:t>60.67</w:t>
            </w:r>
          </w:p>
        </w:tc>
        <w:tc>
          <w:tcPr>
            <w:tcW w:w="260" w:type="dxa"/>
            <w:vAlign w:val="bottom"/>
          </w:tcPr>
          <w:p>
            <w:pPr>
              <w:spacing w:after="0"/>
              <w:rPr>
                <w:sz w:val="14"/>
                <w:szCs w:val="14"/>
                <w:color w:val="auto"/>
              </w:rPr>
            </w:pPr>
          </w:p>
        </w:tc>
        <w:tc>
          <w:tcPr>
            <w:tcW w:w="640" w:type="dxa"/>
            <w:vAlign w:val="bottom"/>
          </w:tcPr>
          <w:p>
            <w:pPr>
              <w:ind w:left="260"/>
              <w:spacing w:after="0"/>
              <w:rPr>
                <w:sz w:val="20"/>
                <w:szCs w:val="20"/>
                <w:color w:val="auto"/>
              </w:rPr>
            </w:pPr>
            <w:r>
              <w:rPr>
                <w:rFonts w:ascii="Arial" w:cs="Arial" w:eastAsia="Arial" w:hAnsi="Arial"/>
                <w:sz w:val="14"/>
                <w:szCs w:val="14"/>
                <w:color w:val="auto"/>
              </w:rPr>
              <w:t>70.15</w:t>
            </w:r>
          </w:p>
        </w:tc>
        <w:tc>
          <w:tcPr>
            <w:tcW w:w="680" w:type="dxa"/>
            <w:vAlign w:val="bottom"/>
          </w:tcPr>
          <w:p>
            <w:pPr>
              <w:jc w:val="right"/>
              <w:ind w:right="31"/>
              <w:spacing w:after="0"/>
              <w:rPr>
                <w:sz w:val="20"/>
                <w:szCs w:val="20"/>
                <w:color w:val="auto"/>
              </w:rPr>
            </w:pPr>
            <w:r>
              <w:rPr>
                <w:rFonts w:ascii="Arial" w:cs="Arial" w:eastAsia="Arial" w:hAnsi="Arial"/>
                <w:sz w:val="14"/>
                <w:szCs w:val="14"/>
                <w:color w:val="auto"/>
              </w:rPr>
              <w:t>62.56</w:t>
            </w:r>
          </w:p>
        </w:tc>
      </w:tr>
      <w:tr>
        <w:trPr>
          <w:trHeight w:val="157"/>
        </w:trPr>
        <w:tc>
          <w:tcPr>
            <w:tcW w:w="4500" w:type="dxa"/>
            <w:vAlign w:val="bottom"/>
            <w:tcBorders>
              <w:bottom w:val="single" w:sz="8" w:color="auto"/>
            </w:tcBorders>
          </w:tcPr>
          <w:p>
            <w:pPr>
              <w:ind w:left="140"/>
              <w:spacing w:after="0" w:line="157" w:lineRule="exact"/>
              <w:rPr>
                <w:sz w:val="20"/>
                <w:szCs w:val="20"/>
                <w:color w:val="auto"/>
              </w:rPr>
            </w:pPr>
            <w:r>
              <w:rPr>
                <w:rFonts w:ascii="Arial" w:cs="Arial" w:eastAsia="Arial" w:hAnsi="Arial"/>
                <w:sz w:val="14"/>
                <w:szCs w:val="14"/>
                <w:color w:val="auto"/>
              </w:rPr>
              <w:t>February</w:t>
            </w:r>
          </w:p>
        </w:tc>
        <w:tc>
          <w:tcPr>
            <w:tcW w:w="660" w:type="dxa"/>
            <w:vAlign w:val="bottom"/>
            <w:tcBorders>
              <w:bottom w:val="single" w:sz="8" w:color="auto"/>
            </w:tcBorders>
          </w:tcPr>
          <w:p>
            <w:pPr>
              <w:ind w:left="260"/>
              <w:spacing w:after="0" w:line="157" w:lineRule="exact"/>
              <w:rPr>
                <w:sz w:val="20"/>
                <w:szCs w:val="20"/>
                <w:color w:val="auto"/>
              </w:rPr>
            </w:pPr>
            <w:r>
              <w:rPr>
                <w:rFonts w:ascii="Arial" w:cs="Arial" w:eastAsia="Arial" w:hAnsi="Arial"/>
                <w:sz w:val="14"/>
                <w:szCs w:val="14"/>
                <w:color w:val="auto"/>
              </w:rPr>
              <w:t>29.53</w:t>
            </w:r>
          </w:p>
        </w:tc>
        <w:tc>
          <w:tcPr>
            <w:tcW w:w="740" w:type="dxa"/>
            <w:vAlign w:val="bottom"/>
            <w:tcBorders>
              <w:bottom w:val="single" w:sz="8" w:color="auto"/>
            </w:tcBorders>
          </w:tcPr>
          <w:p>
            <w:pPr>
              <w:jc w:val="right"/>
              <w:ind w:right="12"/>
              <w:spacing w:after="0" w:line="157" w:lineRule="exact"/>
              <w:rPr>
                <w:sz w:val="20"/>
                <w:szCs w:val="20"/>
                <w:color w:val="auto"/>
              </w:rPr>
            </w:pPr>
            <w:r>
              <w:rPr>
                <w:rFonts w:ascii="Arial" w:cs="Arial" w:eastAsia="Arial" w:hAnsi="Arial"/>
                <w:sz w:val="14"/>
                <w:szCs w:val="14"/>
                <w:color w:val="auto"/>
              </w:rPr>
              <w:t>27.12</w:t>
            </w:r>
          </w:p>
        </w:tc>
        <w:tc>
          <w:tcPr>
            <w:tcW w:w="26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90"/>
              <w:spacing w:after="0" w:line="157" w:lineRule="exact"/>
              <w:rPr>
                <w:sz w:val="20"/>
                <w:szCs w:val="20"/>
                <w:color w:val="auto"/>
              </w:rPr>
            </w:pPr>
            <w:r>
              <w:rPr>
                <w:rFonts w:ascii="Arial" w:cs="Arial" w:eastAsia="Arial" w:hAnsi="Arial"/>
                <w:sz w:val="14"/>
                <w:szCs w:val="14"/>
                <w:color w:val="auto"/>
              </w:rPr>
              <w:t>2,283</w:t>
            </w:r>
          </w:p>
        </w:tc>
        <w:tc>
          <w:tcPr>
            <w:tcW w:w="880" w:type="dxa"/>
            <w:vAlign w:val="bottom"/>
            <w:tcBorders>
              <w:bottom w:val="single" w:sz="8" w:color="auto"/>
            </w:tcBorders>
          </w:tcPr>
          <w:p>
            <w:pPr>
              <w:jc w:val="right"/>
              <w:ind w:right="10"/>
              <w:spacing w:after="0" w:line="157" w:lineRule="exact"/>
              <w:rPr>
                <w:sz w:val="20"/>
                <w:szCs w:val="20"/>
                <w:color w:val="auto"/>
              </w:rPr>
            </w:pPr>
            <w:r>
              <w:rPr>
                <w:rFonts w:ascii="Arial" w:cs="Arial" w:eastAsia="Arial" w:hAnsi="Arial"/>
                <w:sz w:val="14"/>
                <w:szCs w:val="14"/>
                <w:color w:val="auto"/>
              </w:rPr>
              <w:t>2,128</w:t>
            </w:r>
          </w:p>
        </w:tc>
        <w:tc>
          <w:tcPr>
            <w:tcW w:w="24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ind w:left="260"/>
              <w:spacing w:after="0" w:line="157" w:lineRule="exact"/>
              <w:rPr>
                <w:sz w:val="20"/>
                <w:szCs w:val="20"/>
                <w:color w:val="auto"/>
              </w:rPr>
            </w:pPr>
            <w:r>
              <w:rPr>
                <w:rFonts w:ascii="Arial" w:cs="Arial" w:eastAsia="Arial" w:hAnsi="Arial"/>
                <w:sz w:val="14"/>
                <w:szCs w:val="14"/>
                <w:color w:val="auto"/>
              </w:rPr>
              <w:t>67.16</w:t>
            </w:r>
          </w:p>
        </w:tc>
        <w:tc>
          <w:tcPr>
            <w:tcW w:w="760" w:type="dxa"/>
            <w:vAlign w:val="bottom"/>
            <w:tcBorders>
              <w:bottom w:val="single" w:sz="8" w:color="auto"/>
            </w:tcBorders>
          </w:tcPr>
          <w:p>
            <w:pPr>
              <w:jc w:val="right"/>
              <w:ind w:right="71"/>
              <w:spacing w:after="0" w:line="157" w:lineRule="exact"/>
              <w:rPr>
                <w:sz w:val="20"/>
                <w:szCs w:val="20"/>
                <w:color w:val="auto"/>
              </w:rPr>
            </w:pPr>
            <w:r>
              <w:rPr>
                <w:rFonts w:ascii="Arial" w:cs="Arial" w:eastAsia="Arial" w:hAnsi="Arial"/>
                <w:sz w:val="14"/>
                <w:szCs w:val="14"/>
                <w:color w:val="auto"/>
              </w:rPr>
              <w:t>62.06</w:t>
            </w:r>
          </w:p>
        </w:tc>
        <w:tc>
          <w:tcPr>
            <w:tcW w:w="26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ind w:left="260"/>
              <w:spacing w:after="0" w:line="157" w:lineRule="exact"/>
              <w:rPr>
                <w:sz w:val="20"/>
                <w:szCs w:val="20"/>
                <w:color w:val="auto"/>
              </w:rPr>
            </w:pPr>
            <w:r>
              <w:rPr>
                <w:rFonts w:ascii="Arial" w:cs="Arial" w:eastAsia="Arial" w:hAnsi="Arial"/>
                <w:sz w:val="14"/>
                <w:szCs w:val="14"/>
                <w:color w:val="auto"/>
              </w:rPr>
              <w:t>70.05</w:t>
            </w:r>
          </w:p>
        </w:tc>
        <w:tc>
          <w:tcPr>
            <w:tcW w:w="680" w:type="dxa"/>
            <w:vAlign w:val="bottom"/>
            <w:tcBorders>
              <w:bottom w:val="single" w:sz="8" w:color="auto"/>
            </w:tcBorders>
          </w:tcPr>
          <w:p>
            <w:pPr>
              <w:jc w:val="right"/>
              <w:ind w:right="31"/>
              <w:spacing w:after="0" w:line="157" w:lineRule="exact"/>
              <w:rPr>
                <w:sz w:val="20"/>
                <w:szCs w:val="20"/>
                <w:color w:val="auto"/>
              </w:rPr>
            </w:pPr>
            <w:r>
              <w:rPr>
                <w:rFonts w:ascii="Arial" w:cs="Arial" w:eastAsia="Arial" w:hAnsi="Arial"/>
                <w:sz w:val="14"/>
                <w:szCs w:val="14"/>
                <w:color w:val="auto"/>
              </w:rPr>
              <w:t>65.10</w:t>
            </w:r>
          </w:p>
        </w:tc>
      </w:tr>
    </w:tbl>
    <w:p>
      <w:pPr>
        <w:sectPr>
          <w:pgSz w:w="11900" w:h="16838" w:orient="portrait"/>
          <w:cols w:equalWidth="0" w:num="1">
            <w:col w:w="11420"/>
          </w:cols>
          <w:pgMar w:left="240" w:top="459" w:right="239" w:bottom="1440" w:gutter="0" w:footer="0" w:header="0"/>
        </w:sectPr>
      </w:pPr>
    </w:p>
    <w:bookmarkStart w:id="184" w:name="page185"/>
    <w:bookmarkEnd w:id="184"/>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5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3555365</wp:posOffset>
            </wp:positionH>
            <wp:positionV relativeFrom="paragraph">
              <wp:posOffset>314960</wp:posOffset>
            </wp:positionV>
            <wp:extent cx="3696335" cy="462915"/>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560">
                      <a:extLst>
                        <a:ext uri="{28A0092B-C50C-407E-A947-70E740481C1C}"/>
                      </a:extLst>
                    </a:blip>
                    <a:srcRect/>
                    <a:stretch>
                      <a:fillRect/>
                    </a:stretch>
                  </pic:blipFill>
                  <pic:spPr bwMode="auto">
                    <a:xfrm>
                      <a:off x="0" y="0"/>
                      <a:ext cx="3696335" cy="462915"/>
                    </a:xfrm>
                    <a:prstGeom prst="rect">
                      <a:avLst/>
                    </a:prstGeom>
                    <a:noFill/>
                  </pic:spPr>
                </pic:pic>
              </a:graphicData>
            </a:graphic>
          </wp:anchor>
        </w:drawing>
      </w:r>
    </w:p>
    <w:p>
      <w:pPr>
        <w:sectPr>
          <w:pgSz w:w="11900" w:h="16838" w:orient="portrait"/>
          <w:cols w:equalWidth="0" w:num="1">
            <w:col w:w="11220"/>
          </w:cols>
          <w:pgMar w:left="240" w:top="460" w:right="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11"/>
          <w:szCs w:val="11"/>
          <w:color w:val="auto"/>
        </w:rPr>
        <w:t>SHELL ANNUAL REPORT AND FORM 20-F 2014</w:t>
      </w:r>
    </w:p>
    <w:p>
      <w:pPr>
        <w:spacing w:after="0" w:line="51" w:lineRule="exact"/>
        <w:rPr>
          <w:sz w:val="20"/>
          <w:szCs w:val="20"/>
          <w:color w:val="auto"/>
        </w:rPr>
      </w:pPr>
    </w:p>
    <w:p>
      <w:pPr>
        <w:spacing w:after="0"/>
        <w:rPr>
          <w:sz w:val="20"/>
          <w:szCs w:val="20"/>
          <w:color w:val="auto"/>
        </w:rPr>
      </w:pPr>
      <w:r>
        <w:rPr>
          <w:rFonts w:ascii="Arial" w:cs="Arial" w:eastAsia="Arial" w:hAnsi="Arial"/>
          <w:sz w:val="18"/>
          <w:szCs w:val="18"/>
          <w:color w:val="auto"/>
        </w:rPr>
        <w:t>METHOD OF HOLDING SHARES OR AN INTEREST IN SHARES</w:t>
      </w:r>
    </w:p>
    <w:p>
      <w:pPr>
        <w:spacing w:after="0" w:line="1" w:lineRule="exact"/>
        <w:rPr>
          <w:sz w:val="20"/>
          <w:szCs w:val="20"/>
          <w:color w:val="auto"/>
        </w:rPr>
      </w:pPr>
    </w:p>
    <w:p>
      <w:pPr>
        <w:ind w:right="460"/>
        <w:spacing w:after="0" w:line="258" w:lineRule="auto"/>
        <w:rPr>
          <w:sz w:val="20"/>
          <w:szCs w:val="20"/>
          <w:color w:val="auto"/>
        </w:rPr>
      </w:pPr>
      <w:r>
        <w:rPr>
          <w:rFonts w:ascii="Arial" w:cs="Arial" w:eastAsia="Arial" w:hAnsi="Arial"/>
          <w:sz w:val="14"/>
          <w:szCs w:val="14"/>
          <w:color w:val="auto"/>
        </w:rPr>
        <w:t>There are several ways in which Royal Dutch Shell plc registered shares or an interest in these shares can be held, including:</w:t>
      </w:r>
    </w:p>
    <w:p>
      <w:pPr>
        <w:spacing w:after="0" w:line="194" w:lineRule="exact"/>
        <w:rPr>
          <w:sz w:val="20"/>
          <w:szCs w:val="20"/>
          <w:color w:val="auto"/>
        </w:rPr>
      </w:pPr>
    </w:p>
    <w:p>
      <w:pPr>
        <w:ind w:left="180" w:right="60" w:hanging="172"/>
        <w:spacing w:after="0" w:line="182" w:lineRule="auto"/>
        <w:tabs>
          <w:tab w:leader="none" w:pos="180" w:val="left"/>
        </w:tabs>
        <w:numPr>
          <w:ilvl w:val="0"/>
          <w:numId w:val="206"/>
        </w:numPr>
        <w:rPr>
          <w:rFonts w:ascii="Arial" w:cs="Arial" w:eastAsia="Arial" w:hAnsi="Arial"/>
          <w:sz w:val="23"/>
          <w:szCs w:val="23"/>
          <w:color w:val="auto"/>
          <w:vertAlign w:val="superscript"/>
        </w:rPr>
      </w:pPr>
      <w:r>
        <w:rPr>
          <w:rFonts w:ascii="Arial" w:cs="Arial" w:eastAsia="Arial" w:hAnsi="Arial"/>
          <w:sz w:val="14"/>
          <w:szCs w:val="14"/>
          <w:color w:val="auto"/>
        </w:rPr>
        <w:t>directly as registered shares either in uncertificated form or in certificated form in a shareholder’s own name;</w:t>
      </w:r>
    </w:p>
    <w:p>
      <w:pPr>
        <w:spacing w:after="0" w:line="1" w:lineRule="exact"/>
        <w:rPr>
          <w:rFonts w:ascii="Arial" w:cs="Arial" w:eastAsia="Arial" w:hAnsi="Arial"/>
          <w:sz w:val="23"/>
          <w:szCs w:val="23"/>
          <w:color w:val="auto"/>
          <w:vertAlign w:val="superscript"/>
        </w:rPr>
      </w:pPr>
    </w:p>
    <w:p>
      <w:pPr>
        <w:ind w:left="180" w:right="220" w:hanging="172"/>
        <w:spacing w:after="0" w:line="182" w:lineRule="auto"/>
        <w:tabs>
          <w:tab w:leader="none" w:pos="180" w:val="left"/>
        </w:tabs>
        <w:numPr>
          <w:ilvl w:val="0"/>
          <w:numId w:val="206"/>
        </w:numPr>
        <w:rPr>
          <w:rFonts w:ascii="Arial" w:cs="Arial" w:eastAsia="Arial" w:hAnsi="Arial"/>
          <w:sz w:val="23"/>
          <w:szCs w:val="23"/>
          <w:color w:val="auto"/>
          <w:vertAlign w:val="superscript"/>
        </w:rPr>
      </w:pPr>
      <w:r>
        <w:rPr>
          <w:rFonts w:ascii="Arial" w:cs="Arial" w:eastAsia="Arial" w:hAnsi="Arial"/>
          <w:sz w:val="14"/>
          <w:szCs w:val="14"/>
          <w:color w:val="auto"/>
        </w:rPr>
        <w:t>indirectly through Euroclear Nederland (in respect of which the Dutch Securities Giro Act (“Wet giraal effectenverkeer”) is applicable);</w:t>
      </w:r>
    </w:p>
    <w:p>
      <w:pPr>
        <w:spacing w:after="0" w:line="1" w:lineRule="exact"/>
        <w:rPr>
          <w:rFonts w:ascii="Arial" w:cs="Arial" w:eastAsia="Arial" w:hAnsi="Arial"/>
          <w:sz w:val="23"/>
          <w:szCs w:val="23"/>
          <w:color w:val="auto"/>
          <w:vertAlign w:val="superscript"/>
        </w:rPr>
      </w:pPr>
    </w:p>
    <w:p>
      <w:pPr>
        <w:ind w:left="180" w:hanging="172"/>
        <w:spacing w:after="0" w:line="187" w:lineRule="auto"/>
        <w:tabs>
          <w:tab w:leader="none" w:pos="180" w:val="left"/>
        </w:tabs>
        <w:numPr>
          <w:ilvl w:val="0"/>
          <w:numId w:val="206"/>
        </w:numPr>
        <w:rPr>
          <w:rFonts w:ascii="Arial" w:cs="Arial" w:eastAsia="Arial" w:hAnsi="Arial"/>
          <w:sz w:val="18"/>
          <w:szCs w:val="18"/>
          <w:color w:val="auto"/>
          <w:vertAlign w:val="superscript"/>
        </w:rPr>
      </w:pPr>
      <w:r>
        <w:rPr>
          <w:rFonts w:ascii="Arial" w:cs="Arial" w:eastAsia="Arial" w:hAnsi="Arial"/>
          <w:sz w:val="11"/>
          <w:szCs w:val="11"/>
          <w:color w:val="auto"/>
        </w:rPr>
        <w:t>through the Royal Dutch Shell Corporate Nominee; and</w:t>
      </w:r>
    </w:p>
    <w:p>
      <w:pPr>
        <w:ind w:left="180" w:hanging="172"/>
        <w:spacing w:after="0" w:line="189" w:lineRule="auto"/>
        <w:tabs>
          <w:tab w:leader="none" w:pos="180" w:val="left"/>
        </w:tabs>
        <w:numPr>
          <w:ilvl w:val="0"/>
          <w:numId w:val="206"/>
        </w:numPr>
        <w:rPr>
          <w:rFonts w:ascii="Arial" w:cs="Arial" w:eastAsia="Arial" w:hAnsi="Arial"/>
          <w:sz w:val="19"/>
          <w:szCs w:val="19"/>
          <w:color w:val="auto"/>
          <w:vertAlign w:val="superscript"/>
        </w:rPr>
      </w:pPr>
      <w:r>
        <w:rPr>
          <w:rFonts w:ascii="Arial" w:cs="Arial" w:eastAsia="Arial" w:hAnsi="Arial"/>
          <w:sz w:val="12"/>
          <w:szCs w:val="12"/>
          <w:color w:val="auto"/>
        </w:rPr>
        <w:t>as a direct or indirect holder of either an A or a B ADS with the Depositary.</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auto"/>
        </w:rPr>
        <w:t>AMERICAN DEPOSITARY SHARES</w:t>
      </w:r>
    </w:p>
    <w:p>
      <w:pPr>
        <w:spacing w:after="0" w:line="1" w:lineRule="exact"/>
        <w:rPr>
          <w:sz w:val="20"/>
          <w:szCs w:val="20"/>
          <w:color w:val="auto"/>
        </w:rPr>
      </w:pPr>
    </w:p>
    <w:p>
      <w:pPr>
        <w:ind w:right="20"/>
        <w:spacing w:after="0" w:line="245" w:lineRule="auto"/>
        <w:rPr>
          <w:sz w:val="20"/>
          <w:szCs w:val="20"/>
          <w:color w:val="auto"/>
        </w:rPr>
      </w:pPr>
      <w:r>
        <w:rPr>
          <w:rFonts w:ascii="Arial" w:cs="Arial" w:eastAsia="Arial" w:hAnsi="Arial"/>
          <w:sz w:val="14"/>
          <w:szCs w:val="14"/>
          <w:color w:val="auto"/>
        </w:rPr>
        <w:t>The Depositary is the registered shareholder of the shares underlying the A or B American Depositary Shares (ADSs) and enjoys the rights of a shareholder under the Articles. Holders of ADSs will not have shareholder rights. The rights of the holder of an A or a B ADS are specified in the respective Depositary agreements with the Depositary and are summarised below.</w:t>
      </w:r>
    </w:p>
    <w:p>
      <w:pPr>
        <w:spacing w:after="0" w:line="164" w:lineRule="exact"/>
        <w:rPr>
          <w:sz w:val="20"/>
          <w:szCs w:val="20"/>
          <w:color w:val="auto"/>
        </w:rPr>
      </w:pPr>
    </w:p>
    <w:p>
      <w:pPr>
        <w:ind w:right="100"/>
        <w:spacing w:after="0" w:line="243" w:lineRule="auto"/>
        <w:rPr>
          <w:sz w:val="20"/>
          <w:szCs w:val="20"/>
          <w:color w:val="auto"/>
        </w:rPr>
      </w:pPr>
      <w:r>
        <w:rPr>
          <w:rFonts w:ascii="Arial" w:cs="Arial" w:eastAsia="Arial" w:hAnsi="Arial"/>
          <w:sz w:val="14"/>
          <w:szCs w:val="14"/>
          <w:color w:val="auto"/>
        </w:rPr>
        <w:t>The Depositary will receive all cash dividends and other cash distributions made on the deposited shares underlying the ADSs and, where possible and on a reasonable basis, will distribute such dividends and distributions to holders of ADSs. Rights to purchase additional shares will also be made available to the Depositary who may make such rights available to holders of ADSs. All other distributions made on the Company’s shares will be distributed by the Depositary in any means that the Depositary thinks is equitable and practical. The Depositary may deduct its fees and expenses and the amount of any taxes owed from any payments to holders and it may sell a holder’s deposited shares to pay any taxes owed. The Depositary is not responsible if it decides that it is unlawful or impractical to make a distribution available to holders of ADSs.</w:t>
      </w:r>
    </w:p>
    <w:p>
      <w:pPr>
        <w:spacing w:after="0" w:line="165" w:lineRule="exact"/>
        <w:rPr>
          <w:sz w:val="20"/>
          <w:szCs w:val="20"/>
          <w:color w:val="auto"/>
        </w:rPr>
      </w:pPr>
    </w:p>
    <w:p>
      <w:pPr>
        <w:spacing w:after="0" w:line="243" w:lineRule="auto"/>
        <w:rPr>
          <w:sz w:val="20"/>
          <w:szCs w:val="20"/>
          <w:color w:val="auto"/>
        </w:rPr>
      </w:pPr>
      <w:r>
        <w:rPr>
          <w:rFonts w:ascii="Arial" w:cs="Arial" w:eastAsia="Arial" w:hAnsi="Arial"/>
          <w:sz w:val="14"/>
          <w:szCs w:val="14"/>
          <w:color w:val="auto"/>
        </w:rPr>
        <w:t>The Depositary will notify holders of ADSs of shareholders’ meetings of the Company and will arrange to deliver voting materials to such holders of ADSs if requested by the Company. Upon request by a holder, the Depositary will endeavour to appoint such holder as proxy in respect of such holder’s deposited shares entitling such holder to attend and vote at shareholders’ meetings. Holders of ADSs may also instruct the Depositary to vote their deposited securities and the Depositary will try, as far as practical and lawful, to vote deposited shares in accordance with such instructions. The Company cannot ensure that holders will receive voting materials or otherwise learn of an upcoming shareholders’ meeting in time to ensure that holders can instruct the Depositary to vote their shares.</w:t>
      </w:r>
    </w:p>
    <w:p>
      <w:pPr>
        <w:spacing w:after="0" w:line="180" w:lineRule="exact"/>
        <w:rPr>
          <w:sz w:val="20"/>
          <w:szCs w:val="20"/>
          <w:color w:val="auto"/>
        </w:rPr>
      </w:pPr>
    </w:p>
    <w:p>
      <w:pPr>
        <w:ind w:right="20"/>
        <w:spacing w:after="0" w:line="250" w:lineRule="auto"/>
        <w:rPr>
          <w:sz w:val="20"/>
          <w:szCs w:val="20"/>
          <w:color w:val="auto"/>
        </w:rPr>
      </w:pPr>
      <w:r>
        <w:rPr>
          <w:rFonts w:ascii="Arial" w:cs="Arial" w:eastAsia="Arial" w:hAnsi="Arial"/>
          <w:sz w:val="14"/>
          <w:szCs w:val="14"/>
          <w:color w:val="auto"/>
        </w:rPr>
        <w:t>Upon payment of appropriate fees, expenses and taxes: (i) shareholders may deposit their shares with the Depositary and receive the corresponding class and amount of ADSs; and (ii) holders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spacing w:after="0" w:line="1" w:lineRule="exact"/>
        <w:rPr>
          <w:sz w:val="1"/>
          <w:szCs w:val="1"/>
          <w:color w:val="auto"/>
        </w:rPr>
      </w:pPr>
    </w:p>
    <w:tbl>
      <w:tblPr>
        <w:tblLayout w:type="fixed"/>
        <w:tblInd w:w="660" w:type="dxa"/>
        <w:tblCellMar>
          <w:top w:w="0" w:type="dxa"/>
          <w:left w:w="0" w:type="dxa"/>
          <w:bottom w:w="0" w:type="dxa"/>
          <w:right w:w="0" w:type="dxa"/>
        </w:tblCellMar>
      </w:tblPr>
      <w:tr>
        <w:trPr>
          <w:trHeight w:val="161"/>
        </w:trPr>
        <w:tc>
          <w:tcPr>
            <w:tcW w:w="2960" w:type="dxa"/>
            <w:vAlign w:val="bottom"/>
          </w:tcPr>
          <w:p>
            <w:pPr>
              <w:spacing w:after="0"/>
              <w:rPr>
                <w:sz w:val="20"/>
                <w:szCs w:val="20"/>
                <w:color w:val="auto"/>
              </w:rPr>
            </w:pPr>
            <w:r>
              <w:rPr>
                <w:rFonts w:ascii="Arial" w:cs="Arial" w:eastAsia="Arial" w:hAnsi="Arial"/>
                <w:sz w:val="13"/>
                <w:szCs w:val="13"/>
                <w:color w:val="333333"/>
              </w:rPr>
              <w:t>ADDITIONAL INFORMATION</w:t>
            </w:r>
          </w:p>
        </w:tc>
        <w:tc>
          <w:tcPr>
            <w:tcW w:w="1480" w:type="dxa"/>
            <w:vAlign w:val="bottom"/>
          </w:tcPr>
          <w:p>
            <w:pPr>
              <w:jc w:val="right"/>
              <w:spacing w:after="0"/>
              <w:rPr>
                <w:sz w:val="20"/>
                <w:szCs w:val="20"/>
                <w:color w:val="auto"/>
              </w:rPr>
            </w:pPr>
            <w:r>
              <w:rPr>
                <w:rFonts w:ascii="Arial" w:cs="Arial" w:eastAsia="Arial" w:hAnsi="Arial"/>
                <w:sz w:val="11"/>
                <w:szCs w:val="11"/>
                <w:b w:val="1"/>
                <w:bCs w:val="1"/>
                <w:color w:val="333333"/>
              </w:rPr>
              <w:t>183</w:t>
            </w:r>
          </w:p>
        </w:tc>
      </w:tr>
    </w:tbl>
    <w:p>
      <w:pPr>
        <w:spacing w:after="0" w:line="161" w:lineRule="exact"/>
        <w:rPr>
          <w:sz w:val="20"/>
          <w:szCs w:val="20"/>
          <w:color w:val="auto"/>
        </w:rPr>
      </w:pPr>
    </w:p>
    <w:p>
      <w:pPr>
        <w:ind w:left="660"/>
        <w:spacing w:after="0"/>
        <w:rPr>
          <w:sz w:val="20"/>
          <w:szCs w:val="20"/>
          <w:color w:val="auto"/>
        </w:rPr>
      </w:pPr>
      <w:r>
        <w:rPr>
          <w:rFonts w:ascii="Arial" w:cs="Arial" w:eastAsia="Arial" w:hAnsi="Arial"/>
          <w:sz w:val="11"/>
          <w:szCs w:val="11"/>
          <w:color w:val="auto"/>
        </w:rPr>
        <w:t>SHAREHOLDER INFORMATION</w:t>
      </w:r>
    </w:p>
    <w:p>
      <w:pPr>
        <w:spacing w:after="0" w:line="57" w:lineRule="exact"/>
        <w:rPr>
          <w:sz w:val="20"/>
          <w:szCs w:val="20"/>
          <w:color w:val="auto"/>
        </w:rPr>
      </w:pPr>
    </w:p>
    <w:p>
      <w:pPr>
        <w:ind w:right="260"/>
        <w:spacing w:after="0" w:line="258" w:lineRule="auto"/>
        <w:rPr>
          <w:sz w:val="20"/>
          <w:szCs w:val="20"/>
          <w:color w:val="auto"/>
        </w:rPr>
      </w:pPr>
      <w:r>
        <w:rPr>
          <w:rFonts w:ascii="Arial" w:cs="Arial" w:eastAsia="Arial" w:hAnsi="Arial"/>
          <w:sz w:val="14"/>
          <w:szCs w:val="14"/>
          <w:color w:val="auto"/>
        </w:rPr>
        <w:t>of ADSs may surrender their ADSs to the Depositary and have the corresponding class and amount of shares credited to their account.</w:t>
      </w:r>
    </w:p>
    <w:p>
      <w:pPr>
        <w:spacing w:after="0" w:line="167" w:lineRule="exact"/>
        <w:rPr>
          <w:sz w:val="20"/>
          <w:szCs w:val="20"/>
          <w:color w:val="auto"/>
        </w:rPr>
      </w:pPr>
    </w:p>
    <w:p>
      <w:pPr>
        <w:ind w:right="20"/>
        <w:spacing w:after="0" w:line="244" w:lineRule="auto"/>
        <w:rPr>
          <w:sz w:val="20"/>
          <w:szCs w:val="20"/>
          <w:color w:val="auto"/>
        </w:rPr>
      </w:pPr>
      <w:r>
        <w:rPr>
          <w:rFonts w:ascii="Arial" w:cs="Arial" w:eastAsia="Arial" w:hAnsi="Arial"/>
          <w:sz w:val="14"/>
          <w:szCs w:val="14"/>
          <w:color w:val="auto"/>
        </w:rPr>
        <w:t>Further, subject to certain limitations, holders may, at any time, cancel ADSs and withdraw their underlying shares or have the corresponding class and amount of shares credited to their account. The Depositary may also deliver ADSs prior to deposit of the underlying securities subject to certain conditions, including, without limitation, that such pre-released ADSs are fully collateralised and that the underlying securities are assigned to and held for the account of the Depositary.</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color w:val="auto"/>
        </w:rPr>
        <w:t>Fees paid by holders of ADSs</w:t>
      </w:r>
    </w:p>
    <w:p>
      <w:pPr>
        <w:spacing w:after="0" w:line="1" w:lineRule="exact"/>
        <w:rPr>
          <w:sz w:val="20"/>
          <w:szCs w:val="20"/>
          <w:color w:val="auto"/>
        </w:rPr>
      </w:pPr>
    </w:p>
    <w:p>
      <w:pPr>
        <w:ind w:right="80"/>
        <w:spacing w:after="0" w:line="244" w:lineRule="auto"/>
        <w:rPr>
          <w:sz w:val="20"/>
          <w:szCs w:val="20"/>
          <w:color w:val="auto"/>
        </w:rPr>
      </w:pPr>
      <w:r>
        <w:rPr>
          <w:rFonts w:ascii="Arial" w:cs="Arial" w:eastAsia="Arial" w:hAnsi="Arial"/>
          <w:sz w:val="14"/>
          <w:szCs w:val="14"/>
          <w:color w:val="auto"/>
        </w:rPr>
        <w:t>The Depositary collects its fees for delivery and surrender of ADSs directly from investors depositing shares or surrendering ADSs for the purpose of withdrawal or from intermediaries acting for them. The Depositary collects fees for making distributions to investors by deducting those fees from the amounts distributed or by selling a portion of distributable property to pay the fees. The Depositary may generally refuse to provide fee-attracting services until its fees for those services are paid. (See page 184.)</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color w:val="auto"/>
        </w:rPr>
        <w:t>Reimbursements to the Company</w:t>
      </w:r>
    </w:p>
    <w:p>
      <w:pPr>
        <w:spacing w:after="0" w:line="1" w:lineRule="exact"/>
        <w:rPr>
          <w:sz w:val="20"/>
          <w:szCs w:val="20"/>
          <w:color w:val="auto"/>
        </w:rPr>
      </w:pPr>
    </w:p>
    <w:p>
      <w:pPr>
        <w:spacing w:after="0" w:line="242" w:lineRule="auto"/>
        <w:rPr>
          <w:sz w:val="20"/>
          <w:szCs w:val="20"/>
          <w:color w:val="auto"/>
        </w:rPr>
      </w:pPr>
      <w:r>
        <w:rPr>
          <w:rFonts w:ascii="Arial" w:cs="Arial" w:eastAsia="Arial" w:hAnsi="Arial"/>
          <w:sz w:val="14"/>
          <w:szCs w:val="14"/>
          <w:color w:val="auto"/>
        </w:rPr>
        <w:t>The Bank of New York Mellon, as Depositary, has agreed to reimburse the Company for expenses it incurs that are related maintenance expenses of the ADS programme. The Depositary has agreed to reimburse the Company for its continuing annual stock exchange listing fees. The Depositary has also agreed to pay certain legal expenses and the standard out-of-pocket maintenance costs for the ADSs, which consist of the expenses of postage and envelopes for mailing annual and interim financial reports, printing and distributing dividend cheques, electronic filing of US federal tax information, mailing required tax forms, stationery, postage, facsimile and telephone calls. It has also agreed to reimburse the Company annually for certain costs associated with the AGM, investor relationship programmes and special investor relations promotional activities. There are limits on the amount of expenses for which the Depositary will reimburse the Company, but the amount of reimbursement available to the Company is not necessarily tied to the amount of fees the Depositary collects from investors. From January 1, 2014, to February 17, 2015, the Company received $5,042,860 from the Depositary.</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color w:val="auto"/>
        </w:rPr>
        <w:t>SCRIP DIVIDEND PROGRAMME</w:t>
      </w:r>
    </w:p>
    <w:p>
      <w:pPr>
        <w:spacing w:after="0" w:line="1" w:lineRule="exact"/>
        <w:rPr>
          <w:sz w:val="20"/>
          <w:szCs w:val="20"/>
          <w:color w:val="auto"/>
        </w:rPr>
      </w:pPr>
    </w:p>
    <w:p>
      <w:pPr>
        <w:ind w:right="40"/>
        <w:spacing w:after="0" w:line="244" w:lineRule="auto"/>
        <w:rPr>
          <w:sz w:val="20"/>
          <w:szCs w:val="20"/>
          <w:color w:val="auto"/>
        </w:rPr>
      </w:pPr>
      <w:r>
        <w:rPr>
          <w:rFonts w:ascii="Arial" w:cs="Arial" w:eastAsia="Arial" w:hAnsi="Arial"/>
          <w:sz w:val="14"/>
          <w:szCs w:val="14"/>
          <w:color w:val="auto"/>
        </w:rPr>
        <w:t>The Company’s Scrip Dividend Programme, which enabled shareholders to increase their shareholding by choosing to receive new shares instead of cash dividends (if approved by the Board), was cancelled with effect from the second quarter 2014 interim dividend onwards. Only new A shares were issued under the programme, including to shareholders who held B shares. The programme is being reintroduced with effect from the first quarter 2015 interim dividend onwards. More information can be found at www.shell.com/scrip.</w:t>
      </w:r>
    </w:p>
    <w:p>
      <w:pPr>
        <w:sectPr>
          <w:pgSz w:w="11900" w:h="16838" w:orient="portrait"/>
          <w:cols w:equalWidth="0" w:num="2">
            <w:col w:w="5460" w:space="320"/>
            <w:col w:w="5440"/>
          </w:cols>
          <w:pgMar w:left="240" w:top="460" w:right="439" w:bottom="1440" w:gutter="0" w:footer="0" w:header="0"/>
          <w:type w:val="continuous"/>
        </w:sectPr>
      </w:pPr>
    </w:p>
    <w:bookmarkStart w:id="185" w:name="page186"/>
    <w:bookmarkEnd w:id="1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5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300355</wp:posOffset>
            </wp:positionV>
            <wp:extent cx="3533140" cy="462915"/>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562">
                      <a:extLst>
                        <a:ext uri="{28A0092B-C50C-407E-A947-70E740481C1C}"/>
                      </a:extLst>
                    </a:blip>
                    <a:srcRect/>
                    <a:stretch>
                      <a:fillRect/>
                    </a:stretch>
                  </pic:blipFill>
                  <pic:spPr bwMode="auto">
                    <a:xfrm>
                      <a:off x="0" y="0"/>
                      <a:ext cx="3533140" cy="462915"/>
                    </a:xfrm>
                    <a:prstGeom prst="rect">
                      <a:avLst/>
                    </a:prstGeom>
                    <a:noFill/>
                  </pic:spPr>
                </pic:pic>
              </a:graphicData>
            </a:graphic>
          </wp:anchor>
        </w:drawing>
      </w:r>
    </w:p>
    <w:p>
      <w:pPr>
        <w:spacing w:after="0" w:line="200" w:lineRule="exact"/>
        <w:rPr>
          <w:sz w:val="20"/>
          <w:szCs w:val="20"/>
          <w:color w:val="auto"/>
        </w:rPr>
      </w:pP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419"/>
        </w:trPr>
        <w:tc>
          <w:tcPr>
            <w:tcW w:w="1780" w:type="dxa"/>
            <w:vAlign w:val="bottom"/>
            <w:shd w:val="clear" w:color="auto" w:fill="FF8B00"/>
          </w:tcPr>
          <w:p>
            <w:pPr>
              <w:spacing w:after="0"/>
              <w:rPr>
                <w:sz w:val="24"/>
                <w:szCs w:val="24"/>
                <w:color w:val="auto"/>
              </w:rPr>
            </w:pPr>
          </w:p>
        </w:tc>
        <w:tc>
          <w:tcPr>
            <w:tcW w:w="3800" w:type="dxa"/>
            <w:vAlign w:val="bottom"/>
            <w:shd w:val="clear" w:color="auto" w:fill="FF8B00"/>
          </w:tcPr>
          <w:p>
            <w:pPr>
              <w:spacing w:after="0"/>
              <w:rPr>
                <w:sz w:val="24"/>
                <w:szCs w:val="24"/>
                <w:color w:val="auto"/>
              </w:rPr>
            </w:pPr>
          </w:p>
        </w:tc>
      </w:tr>
      <w:tr>
        <w:trPr>
          <w:trHeight w:val="152"/>
        </w:trPr>
        <w:tc>
          <w:tcPr>
            <w:tcW w:w="1780" w:type="dxa"/>
            <w:vAlign w:val="bottom"/>
          </w:tcPr>
          <w:p>
            <w:pPr>
              <w:jc w:val="right"/>
              <w:ind w:right="1286"/>
              <w:spacing w:after="0"/>
              <w:rPr>
                <w:sz w:val="20"/>
                <w:szCs w:val="20"/>
                <w:color w:val="auto"/>
              </w:rPr>
            </w:pPr>
            <w:r>
              <w:rPr>
                <w:rFonts w:ascii="Arial" w:cs="Arial" w:eastAsia="Arial" w:hAnsi="Arial"/>
                <w:sz w:val="11"/>
                <w:szCs w:val="11"/>
                <w:b w:val="1"/>
                <w:bCs w:val="1"/>
                <w:color w:val="333333"/>
              </w:rPr>
              <w:t>184</w:t>
            </w:r>
          </w:p>
        </w:tc>
        <w:tc>
          <w:tcPr>
            <w:tcW w:w="3800" w:type="dxa"/>
            <w:vAlign w:val="bottom"/>
          </w:tcPr>
          <w:p>
            <w:pPr>
              <w:ind w:left="1340"/>
              <w:spacing w:after="0"/>
              <w:rPr>
                <w:sz w:val="20"/>
                <w:szCs w:val="20"/>
                <w:color w:val="auto"/>
              </w:rPr>
            </w:pPr>
            <w:r>
              <w:rPr>
                <w:rFonts w:ascii="Arial" w:cs="Arial" w:eastAsia="Arial" w:hAnsi="Arial"/>
                <w:sz w:val="13"/>
                <w:szCs w:val="13"/>
                <w:color w:val="333333"/>
              </w:rPr>
              <w:t>ADDITIONAL INFORMATION</w:t>
            </w:r>
          </w:p>
        </w:tc>
      </w:tr>
    </w:tbl>
    <w:p>
      <w:pPr>
        <w:spacing w:after="0" w:line="150" w:lineRule="exact"/>
        <w:rPr>
          <w:sz w:val="20"/>
          <w:szCs w:val="20"/>
          <w:color w:val="auto"/>
        </w:rPr>
      </w:pPr>
    </w:p>
    <w:p>
      <w:pPr>
        <w:jc w:val="right"/>
        <w:spacing w:after="0"/>
        <w:tabs>
          <w:tab w:leader="none" w:pos="2380" w:val="left"/>
        </w:tabs>
        <w:rPr>
          <w:sz w:val="20"/>
          <w:szCs w:val="20"/>
          <w:color w:val="auto"/>
        </w:rPr>
      </w:pPr>
      <w:r>
        <w:rPr>
          <w:rFonts w:ascii="Arial" w:cs="Arial" w:eastAsia="Arial" w:hAnsi="Arial"/>
          <w:sz w:val="11"/>
          <w:szCs w:val="11"/>
          <w:color w:val="auto"/>
        </w:rPr>
        <w:t>SHAREHOLDER INFORMATION</w:t>
      </w:r>
      <w:r>
        <w:rPr>
          <w:sz w:val="20"/>
          <w:szCs w:val="20"/>
          <w:color w:val="auto"/>
        </w:rPr>
        <w:tab/>
      </w:r>
      <w:r>
        <w:rPr>
          <w:rFonts w:ascii="Arial" w:cs="Arial" w:eastAsia="Arial" w:hAnsi="Arial"/>
          <w:sz w:val="10"/>
          <w:szCs w:val="10"/>
          <w:color w:val="auto"/>
        </w:rPr>
        <w:t>SHELL ANNUAL REPORT AND FORM 20-F 2014</w:t>
      </w:r>
    </w:p>
    <w:p>
      <w:pPr>
        <w:spacing w:after="0"/>
        <w:rPr>
          <w:sz w:val="20"/>
          <w:szCs w:val="20"/>
          <w:color w:val="auto"/>
        </w:rPr>
      </w:pPr>
      <w:r>
        <w:rPr>
          <w:rFonts w:ascii="Arial" w:cs="Arial" w:eastAsia="Arial" w:hAnsi="Arial"/>
          <w:sz w:val="24"/>
          <w:szCs w:val="24"/>
          <w:color w:val="auto"/>
        </w:rPr>
        <w:t xml:space="preserve">SHAREHOLDER INFORMATION </w:t>
      </w:r>
      <w:r>
        <w:rPr>
          <w:rFonts w:ascii="Arial" w:cs="Arial" w:eastAsia="Arial" w:hAnsi="Arial"/>
          <w:sz w:val="24"/>
          <w:szCs w:val="24"/>
          <w:color w:val="666666"/>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56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153035</wp:posOffset>
            </wp:positionV>
            <wp:extent cx="7246620" cy="102870"/>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564">
                      <a:extLst>
                        <a:ext uri="{28A0092B-C50C-407E-A947-70E740481C1C}"/>
                      </a:extLst>
                    </a:blip>
                    <a:srcRect/>
                    <a:stretch>
                      <a:fillRect/>
                    </a:stretch>
                  </pic:blipFill>
                  <pic:spPr bwMode="auto">
                    <a:xfrm>
                      <a:off x="0" y="0"/>
                      <a:ext cx="7246620" cy="102870"/>
                    </a:xfrm>
                    <a:prstGeom prst="rect">
                      <a:avLst/>
                    </a:prstGeom>
                    <a:noFill/>
                  </pic:spPr>
                </pic:pic>
              </a:graphicData>
            </a:graphic>
          </wp:anchor>
        </w:drawing>
      </w:r>
    </w:p>
    <w:p>
      <w:pPr>
        <w:spacing w:after="0" w:line="377" w:lineRule="exact"/>
        <w:rPr>
          <w:sz w:val="20"/>
          <w:szCs w:val="20"/>
          <w:color w:val="auto"/>
        </w:rPr>
      </w:pPr>
    </w:p>
    <w:p>
      <w:pPr>
        <w:spacing w:after="0"/>
        <w:tabs>
          <w:tab w:leader="none" w:pos="5940" w:val="left"/>
        </w:tabs>
        <w:rPr>
          <w:sz w:val="20"/>
          <w:szCs w:val="20"/>
          <w:color w:val="auto"/>
        </w:rPr>
      </w:pPr>
      <w:r>
        <w:rPr>
          <w:rFonts w:ascii="Arial" w:cs="Arial" w:eastAsia="Arial" w:hAnsi="Arial"/>
          <w:sz w:val="13"/>
          <w:szCs w:val="13"/>
          <w:color w:val="auto"/>
        </w:rPr>
        <w:t>Persons depositing or withdrawing shares must pay:</w:t>
      </w:r>
      <w:r>
        <w:rPr>
          <w:sz w:val="20"/>
          <w:szCs w:val="20"/>
          <w:color w:val="auto"/>
        </w:rPr>
        <w:tab/>
      </w:r>
      <w:r>
        <w:rPr>
          <w:rFonts w:ascii="Arial" w:cs="Arial" w:eastAsia="Arial" w:hAnsi="Arial"/>
          <w:sz w:val="12"/>
          <w:szCs w:val="12"/>
          <w:color w:val="auto"/>
        </w:rPr>
        <w:t>For: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7246620" cy="8890"/>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56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color w:val="auto"/>
        </w:rPr>
        <w:t>$5.00 or less per 100 ADSs (or portion of 100 ADSs)</w:t>
      </w:r>
    </w:p>
    <w:p>
      <w:pPr>
        <w:spacing w:after="0" w:line="20" w:lineRule="exact"/>
        <w:rPr>
          <w:sz w:val="20"/>
          <w:szCs w:val="20"/>
          <w:color w:val="auto"/>
        </w:rPr>
      </w:pPr>
      <w:r>
        <w:rPr>
          <w:sz w:val="20"/>
          <w:szCs w:val="20"/>
          <w:color w:val="auto"/>
        </w:rPr>
        <w:br w:type="column"/>
      </w:r>
    </w:p>
    <w:p>
      <w:pPr>
        <w:ind w:right="280"/>
        <w:spacing w:after="0" w:line="241" w:lineRule="auto"/>
        <w:rPr>
          <w:sz w:val="20"/>
          <w:szCs w:val="20"/>
          <w:color w:val="auto"/>
        </w:rPr>
      </w:pPr>
      <w:r>
        <w:rPr>
          <w:rFonts w:ascii="Arial" w:cs="Arial" w:eastAsia="Arial" w:hAnsi="Arial"/>
          <w:sz w:val="14"/>
          <w:szCs w:val="14"/>
          <w:color w:val="auto"/>
        </w:rPr>
        <w:t>Issuance of ADSs, including those resulting from a distribution of shares, rights or other property;</w:t>
      </w:r>
    </w:p>
    <w:p>
      <w:pPr>
        <w:spacing w:after="0" w:line="1" w:lineRule="exact"/>
        <w:rPr>
          <w:sz w:val="20"/>
          <w:szCs w:val="20"/>
          <w:color w:val="auto"/>
        </w:rPr>
      </w:pPr>
    </w:p>
    <w:p>
      <w:pPr>
        <w:ind w:right="400"/>
        <w:spacing w:after="0" w:line="241" w:lineRule="auto"/>
        <w:rPr>
          <w:sz w:val="20"/>
          <w:szCs w:val="20"/>
          <w:color w:val="auto"/>
        </w:rPr>
      </w:pPr>
      <w:r>
        <w:rPr>
          <w:rFonts w:ascii="Arial" w:cs="Arial" w:eastAsia="Arial" w:hAnsi="Arial"/>
          <w:sz w:val="14"/>
          <w:szCs w:val="14"/>
          <w:color w:val="auto"/>
        </w:rPr>
        <w:t>Cancellation of ADSs for the purpose of their withdrawal, including if the deposit agreement terminates; and</w:t>
      </w:r>
    </w:p>
    <w:p>
      <w:pPr>
        <w:spacing w:after="0" w:line="1" w:lineRule="exact"/>
        <w:rPr>
          <w:sz w:val="20"/>
          <w:szCs w:val="20"/>
          <w:color w:val="auto"/>
        </w:rPr>
      </w:pPr>
    </w:p>
    <w:p>
      <w:pPr>
        <w:ind w:right="140"/>
        <w:spacing w:after="0" w:line="238" w:lineRule="auto"/>
        <w:rPr>
          <w:sz w:val="20"/>
          <w:szCs w:val="20"/>
          <w:color w:val="auto"/>
        </w:rPr>
      </w:pPr>
      <w:r>
        <w:rPr>
          <w:rFonts w:ascii="Arial" w:cs="Arial" w:eastAsia="Arial" w:hAnsi="Arial"/>
          <w:sz w:val="14"/>
          <w:szCs w:val="14"/>
          <w:color w:val="auto"/>
        </w:rPr>
        <w:t>Distribution of securities to holders of deposited securities by the Depositary to ADS registered holders.</w:t>
      </w:r>
    </w:p>
    <w:p>
      <w:pPr>
        <w:spacing w:after="0" w:line="1" w:lineRule="exact"/>
        <w:rPr>
          <w:sz w:val="20"/>
          <w:szCs w:val="20"/>
          <w:color w:val="auto"/>
        </w:rPr>
      </w:pPr>
    </w:p>
    <w:p>
      <w:pPr>
        <w:sectPr>
          <w:pgSz w:w="11900" w:h="16838" w:orient="portrait"/>
          <w:cols w:equalWidth="0" w:num="2">
            <w:col w:w="5240" w:space="720"/>
            <w:col w:w="5460"/>
          </w:cols>
          <w:pgMar w:left="240" w:top="459" w:right="239" w:bottom="1440" w:gutter="0" w:footer="0" w:header="0"/>
          <w:type w:val="continuous"/>
        </w:sectPr>
      </w:pPr>
    </w:p>
    <w:tbl>
      <w:tblPr>
        <w:tblLayout w:type="fixed"/>
        <w:tblInd w:w="0" w:type="dxa"/>
        <w:tblCellMar>
          <w:top w:w="0" w:type="dxa"/>
          <w:left w:w="0" w:type="dxa"/>
          <w:bottom w:w="0" w:type="dxa"/>
          <w:right w:w="0" w:type="dxa"/>
        </w:tblCellMar>
      </w:tblPr>
      <w:tr>
        <w:trPr>
          <w:trHeight w:val="160"/>
        </w:trPr>
        <w:tc>
          <w:tcPr>
            <w:tcW w:w="5820" w:type="dxa"/>
            <w:vAlign w:val="bottom"/>
            <w:tcBorders>
              <w:top w:val="single" w:sz="8" w:color="auto"/>
            </w:tcBorders>
          </w:tcPr>
          <w:p>
            <w:pPr>
              <w:spacing w:after="0"/>
              <w:rPr>
                <w:sz w:val="20"/>
                <w:szCs w:val="20"/>
                <w:color w:val="auto"/>
              </w:rPr>
            </w:pPr>
            <w:r>
              <w:rPr>
                <w:rFonts w:ascii="Arial" w:cs="Arial" w:eastAsia="Arial" w:hAnsi="Arial"/>
                <w:sz w:val="14"/>
                <w:szCs w:val="14"/>
                <w:color w:val="auto"/>
              </w:rPr>
              <w:t>Registration and transfer fees</w:t>
            </w:r>
          </w:p>
        </w:tc>
        <w:tc>
          <w:tcPr>
            <w:tcW w:w="5600" w:type="dxa"/>
            <w:vAlign w:val="bottom"/>
            <w:tcBorders>
              <w:top w:val="single" w:sz="8" w:color="auto"/>
            </w:tcBorders>
          </w:tcPr>
          <w:p>
            <w:pPr>
              <w:ind w:left="140"/>
              <w:spacing w:after="0"/>
              <w:rPr>
                <w:sz w:val="20"/>
                <w:szCs w:val="20"/>
                <w:color w:val="auto"/>
              </w:rPr>
            </w:pPr>
            <w:r>
              <w:rPr>
                <w:rFonts w:ascii="Arial" w:cs="Arial" w:eastAsia="Arial" w:hAnsi="Arial"/>
                <w:sz w:val="14"/>
                <w:szCs w:val="14"/>
                <w:color w:val="auto"/>
              </w:rPr>
              <w:t>Registration and transfer of shares on the share register to or from the name of the</w:t>
            </w:r>
          </w:p>
        </w:tc>
      </w:tr>
      <w:tr>
        <w:trPr>
          <w:trHeight w:val="157"/>
        </w:trPr>
        <w:tc>
          <w:tcPr>
            <w:tcW w:w="5820" w:type="dxa"/>
            <w:vAlign w:val="bottom"/>
            <w:tcBorders>
              <w:bottom w:val="single" w:sz="8" w:color="auto"/>
            </w:tcBorders>
          </w:tcPr>
          <w:p>
            <w:pPr>
              <w:spacing w:after="0"/>
              <w:rPr>
                <w:sz w:val="13"/>
                <w:szCs w:val="13"/>
                <w:color w:val="auto"/>
              </w:rPr>
            </w:pPr>
          </w:p>
        </w:tc>
        <w:tc>
          <w:tcPr>
            <w:tcW w:w="5600" w:type="dxa"/>
            <w:vAlign w:val="bottom"/>
            <w:tcBorders>
              <w:bottom w:val="single" w:sz="8" w:color="auto"/>
            </w:tcBorders>
          </w:tcPr>
          <w:p>
            <w:pPr>
              <w:ind w:left="140"/>
              <w:spacing w:after="0" w:line="157" w:lineRule="exact"/>
              <w:rPr>
                <w:sz w:val="20"/>
                <w:szCs w:val="20"/>
                <w:color w:val="auto"/>
              </w:rPr>
            </w:pPr>
            <w:r>
              <w:rPr>
                <w:rFonts w:ascii="Arial" w:cs="Arial" w:eastAsia="Arial" w:hAnsi="Arial"/>
                <w:sz w:val="14"/>
                <w:szCs w:val="14"/>
                <w:color w:val="auto"/>
              </w:rPr>
              <w:t>Depositary or its agent when they deposit or withdraw shares.</w:t>
            </w:r>
          </w:p>
        </w:tc>
      </w:tr>
      <w:tr>
        <w:trPr>
          <w:trHeight w:val="160"/>
        </w:trPr>
        <w:tc>
          <w:tcPr>
            <w:tcW w:w="5820" w:type="dxa"/>
            <w:vAlign w:val="bottom"/>
          </w:tcPr>
          <w:p>
            <w:pPr>
              <w:spacing w:after="0"/>
              <w:rPr>
                <w:sz w:val="20"/>
                <w:szCs w:val="20"/>
                <w:color w:val="auto"/>
              </w:rPr>
            </w:pPr>
            <w:r>
              <w:rPr>
                <w:rFonts w:ascii="Arial" w:cs="Arial" w:eastAsia="Arial" w:hAnsi="Arial"/>
                <w:sz w:val="14"/>
                <w:szCs w:val="14"/>
                <w:color w:val="auto"/>
              </w:rPr>
              <w:t>Expenses of the Depositary</w:t>
            </w:r>
          </w:p>
        </w:tc>
        <w:tc>
          <w:tcPr>
            <w:tcW w:w="5600" w:type="dxa"/>
            <w:vAlign w:val="bottom"/>
          </w:tcPr>
          <w:p>
            <w:pPr>
              <w:ind w:left="140"/>
              <w:spacing w:after="0"/>
              <w:rPr>
                <w:sz w:val="20"/>
                <w:szCs w:val="20"/>
                <w:color w:val="auto"/>
              </w:rPr>
            </w:pPr>
            <w:r>
              <w:rPr>
                <w:rFonts w:ascii="Arial" w:cs="Arial" w:eastAsia="Arial" w:hAnsi="Arial"/>
                <w:sz w:val="14"/>
                <w:szCs w:val="14"/>
                <w:color w:val="auto"/>
              </w:rPr>
              <w:t>Cable, telex and facsimile transmissions (when expressly provided in the deposit</w:t>
            </w:r>
          </w:p>
        </w:tc>
      </w:tr>
      <w:tr>
        <w:trPr>
          <w:trHeight w:val="162"/>
        </w:trPr>
        <w:tc>
          <w:tcPr>
            <w:tcW w:w="5820" w:type="dxa"/>
            <w:vAlign w:val="bottom"/>
          </w:tcPr>
          <w:p>
            <w:pPr>
              <w:spacing w:after="0"/>
              <w:rPr>
                <w:sz w:val="14"/>
                <w:szCs w:val="14"/>
                <w:color w:val="auto"/>
              </w:rPr>
            </w:pPr>
          </w:p>
        </w:tc>
        <w:tc>
          <w:tcPr>
            <w:tcW w:w="5600" w:type="dxa"/>
            <w:vAlign w:val="bottom"/>
          </w:tcPr>
          <w:p>
            <w:pPr>
              <w:ind w:left="140"/>
              <w:spacing w:after="0"/>
              <w:rPr>
                <w:sz w:val="20"/>
                <w:szCs w:val="20"/>
                <w:color w:val="auto"/>
              </w:rPr>
            </w:pPr>
            <w:r>
              <w:rPr>
                <w:rFonts w:ascii="Arial" w:cs="Arial" w:eastAsia="Arial" w:hAnsi="Arial"/>
                <w:sz w:val="14"/>
                <w:szCs w:val="14"/>
                <w:color w:val="auto"/>
              </w:rPr>
              <w:t>agreement); and</w:t>
            </w:r>
          </w:p>
        </w:tc>
      </w:tr>
      <w:tr>
        <w:trPr>
          <w:trHeight w:val="171"/>
        </w:trPr>
        <w:tc>
          <w:tcPr>
            <w:tcW w:w="5820" w:type="dxa"/>
            <w:vAlign w:val="bottom"/>
            <w:tcBorders>
              <w:bottom w:val="single" w:sz="8" w:color="auto"/>
            </w:tcBorders>
          </w:tcPr>
          <w:p>
            <w:pPr>
              <w:spacing w:after="0"/>
              <w:rPr>
                <w:sz w:val="14"/>
                <w:szCs w:val="14"/>
                <w:color w:val="auto"/>
              </w:rPr>
            </w:pPr>
          </w:p>
        </w:tc>
        <w:tc>
          <w:tcPr>
            <w:tcW w:w="5600" w:type="dxa"/>
            <w:vAlign w:val="bottom"/>
            <w:tcBorders>
              <w:bottom w:val="single" w:sz="8" w:color="auto"/>
            </w:tcBorders>
          </w:tcPr>
          <w:p>
            <w:pPr>
              <w:ind w:left="140"/>
              <w:spacing w:after="0"/>
              <w:rPr>
                <w:sz w:val="20"/>
                <w:szCs w:val="20"/>
                <w:color w:val="auto"/>
              </w:rPr>
            </w:pPr>
            <w:r>
              <w:rPr>
                <w:rFonts w:ascii="Arial" w:cs="Arial" w:eastAsia="Arial" w:hAnsi="Arial"/>
                <w:sz w:val="14"/>
                <w:szCs w:val="14"/>
                <w:color w:val="auto"/>
              </w:rPr>
              <w:t>Converting foreign currency to US dollars.</w:t>
            </w:r>
          </w:p>
        </w:tc>
      </w:tr>
      <w:tr>
        <w:trPr>
          <w:trHeight w:val="160"/>
        </w:trPr>
        <w:tc>
          <w:tcPr>
            <w:tcW w:w="5820" w:type="dxa"/>
            <w:vAlign w:val="bottom"/>
          </w:tcPr>
          <w:p>
            <w:pPr>
              <w:spacing w:after="0"/>
              <w:rPr>
                <w:sz w:val="20"/>
                <w:szCs w:val="20"/>
                <w:color w:val="auto"/>
              </w:rPr>
            </w:pPr>
            <w:r>
              <w:rPr>
                <w:rFonts w:ascii="Arial" w:cs="Arial" w:eastAsia="Arial" w:hAnsi="Arial"/>
                <w:sz w:val="14"/>
                <w:szCs w:val="14"/>
                <w:color w:val="auto"/>
              </w:rPr>
              <w:t>Taxes and other governmental charges the Depositary or the custodian has to pay on any</w:t>
            </w:r>
          </w:p>
        </w:tc>
        <w:tc>
          <w:tcPr>
            <w:tcW w:w="5600" w:type="dxa"/>
            <w:vAlign w:val="bottom"/>
          </w:tcPr>
          <w:p>
            <w:pPr>
              <w:ind w:left="140"/>
              <w:spacing w:after="0"/>
              <w:rPr>
                <w:sz w:val="20"/>
                <w:szCs w:val="20"/>
                <w:color w:val="auto"/>
              </w:rPr>
            </w:pPr>
            <w:r>
              <w:rPr>
                <w:rFonts w:ascii="Arial" w:cs="Arial" w:eastAsia="Arial" w:hAnsi="Arial"/>
                <w:sz w:val="14"/>
                <w:szCs w:val="14"/>
                <w:color w:val="auto"/>
              </w:rPr>
              <w:t>As necessary.</w:t>
            </w:r>
          </w:p>
        </w:tc>
      </w:tr>
      <w:tr>
        <w:trPr>
          <w:trHeight w:val="162"/>
        </w:trPr>
        <w:tc>
          <w:tcPr>
            <w:tcW w:w="5820" w:type="dxa"/>
            <w:vAlign w:val="bottom"/>
          </w:tcPr>
          <w:p>
            <w:pPr>
              <w:spacing w:after="0"/>
              <w:rPr>
                <w:sz w:val="20"/>
                <w:szCs w:val="20"/>
                <w:color w:val="auto"/>
              </w:rPr>
            </w:pPr>
            <w:r>
              <w:rPr>
                <w:rFonts w:ascii="Arial" w:cs="Arial" w:eastAsia="Arial" w:hAnsi="Arial"/>
                <w:sz w:val="14"/>
                <w:szCs w:val="14"/>
                <w:color w:val="auto"/>
              </w:rPr>
              <w:t>ADS or share underlying an ADS, for example, share transfer taxes, stamp duty or</w:t>
            </w:r>
          </w:p>
        </w:tc>
        <w:tc>
          <w:tcPr>
            <w:tcW w:w="5600" w:type="dxa"/>
            <w:vAlign w:val="bottom"/>
          </w:tcPr>
          <w:p>
            <w:pPr>
              <w:spacing w:after="0"/>
              <w:rPr>
                <w:sz w:val="14"/>
                <w:szCs w:val="14"/>
                <w:color w:val="auto"/>
              </w:rPr>
            </w:pPr>
          </w:p>
        </w:tc>
      </w:tr>
      <w:tr>
        <w:trPr>
          <w:trHeight w:val="157"/>
        </w:trPr>
        <w:tc>
          <w:tcPr>
            <w:tcW w:w="5820" w:type="dxa"/>
            <w:vAlign w:val="bottom"/>
            <w:tcBorders>
              <w:bottom w:val="single" w:sz="8" w:color="auto"/>
            </w:tcBorders>
          </w:tcPr>
          <w:p>
            <w:pPr>
              <w:spacing w:after="0" w:line="157" w:lineRule="exact"/>
              <w:rPr>
                <w:sz w:val="20"/>
                <w:szCs w:val="20"/>
                <w:color w:val="auto"/>
              </w:rPr>
            </w:pPr>
            <w:r>
              <w:rPr>
                <w:rFonts w:ascii="Arial" w:cs="Arial" w:eastAsia="Arial" w:hAnsi="Arial"/>
                <w:sz w:val="14"/>
                <w:szCs w:val="14"/>
                <w:color w:val="auto"/>
              </w:rPr>
              <w:t>withholding taxes</w:t>
            </w:r>
          </w:p>
        </w:tc>
        <w:tc>
          <w:tcPr>
            <w:tcW w:w="5600" w:type="dxa"/>
            <w:vAlign w:val="bottom"/>
            <w:tcBorders>
              <w:bottom w:val="single" w:sz="8" w:color="auto"/>
            </w:tcBorders>
          </w:tcPr>
          <w:p>
            <w:pPr>
              <w:spacing w:after="0"/>
              <w:rPr>
                <w:sz w:val="13"/>
                <w:szCs w:val="13"/>
                <w:color w:val="auto"/>
              </w:rPr>
            </w:pPr>
          </w:p>
        </w:tc>
      </w:tr>
    </w:tbl>
    <w:p>
      <w:pPr>
        <w:spacing w:after="0" w:line="200" w:lineRule="exact"/>
        <w:rPr>
          <w:sz w:val="20"/>
          <w:szCs w:val="20"/>
          <w:color w:val="auto"/>
        </w:rPr>
      </w:pPr>
    </w:p>
    <w:p>
      <w:pPr>
        <w:sectPr>
          <w:pgSz w:w="11900" w:h="16838" w:orient="portrait"/>
          <w:cols w:equalWidth="0" w:num="1">
            <w:col w:w="11420"/>
          </w:cols>
          <w:pgMar w:left="240" w:top="459" w:right="239" w:bottom="1440" w:gutter="0" w:footer="0" w:header="0"/>
          <w:type w:val="continuous"/>
        </w:sectPr>
      </w:pPr>
    </w:p>
    <w:p>
      <w:pPr>
        <w:spacing w:after="0" w:line="69" w:lineRule="exact"/>
        <w:rPr>
          <w:sz w:val="20"/>
          <w:szCs w:val="20"/>
          <w:color w:val="auto"/>
        </w:rPr>
      </w:pPr>
    </w:p>
    <w:p>
      <w:pPr>
        <w:ind w:right="60"/>
        <w:spacing w:after="0" w:line="238" w:lineRule="auto"/>
        <w:rPr>
          <w:sz w:val="20"/>
          <w:szCs w:val="20"/>
          <w:color w:val="auto"/>
        </w:rPr>
      </w:pPr>
      <w:r>
        <w:rPr>
          <w:rFonts w:ascii="Arial" w:cs="Arial" w:eastAsia="Arial" w:hAnsi="Arial"/>
          <w:sz w:val="18"/>
          <w:szCs w:val="18"/>
          <w:color w:val="auto"/>
        </w:rPr>
        <w:t>EXCHANGE CONTROLS AND OTHER LIMITATIONS AFFECTING SECURITY HOLDERS</w:t>
      </w:r>
    </w:p>
    <w:p>
      <w:pPr>
        <w:ind w:right="20"/>
        <w:spacing w:after="0" w:line="245" w:lineRule="auto"/>
        <w:rPr>
          <w:sz w:val="20"/>
          <w:szCs w:val="20"/>
          <w:color w:val="auto"/>
        </w:rPr>
      </w:pPr>
      <w:r>
        <w:rPr>
          <w:rFonts w:ascii="Arial" w:cs="Arial" w:eastAsia="Arial" w:hAnsi="Arial"/>
          <w:sz w:val="14"/>
          <w:szCs w:val="14"/>
          <w:color w:val="auto"/>
        </w:rPr>
        <w:t>Other than those individuals and entities that are subject to EU sanctions, for example, regarding Iran and Syria, there is no legislative or other legal provision currently in force in the UK, the Netherlands or arising under the Articles restricting remittances to non-resident holders of the Company’s ordinary shares or affecting the import or export of capital for use by the Company.</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color w:val="auto"/>
        </w:rPr>
        <w:t>TAXATION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General</w:t>
      </w:r>
    </w:p>
    <w:p>
      <w:pPr>
        <w:spacing w:after="0" w:line="1" w:lineRule="exact"/>
        <w:rPr>
          <w:sz w:val="20"/>
          <w:szCs w:val="20"/>
          <w:color w:val="auto"/>
        </w:rPr>
      </w:pPr>
    </w:p>
    <w:p>
      <w:pPr>
        <w:ind w:right="60"/>
        <w:spacing w:after="0" w:line="244" w:lineRule="auto"/>
        <w:rPr>
          <w:sz w:val="20"/>
          <w:szCs w:val="20"/>
          <w:color w:val="auto"/>
        </w:rPr>
      </w:pPr>
      <w:r>
        <w:rPr>
          <w:rFonts w:ascii="Arial" w:cs="Arial" w:eastAsia="Arial" w:hAnsi="Arial"/>
          <w:sz w:val="14"/>
          <w:szCs w:val="14"/>
          <w:color w:val="auto"/>
        </w:rPr>
        <w:t>The Company is incorporated in England and Wales and tax-resident in the Netherlands. As a tax resident of the Netherlands, it is generally required by Dutch law to withhold tax at a rate of 15% on dividends on its ordinary shares and ADSs, subject to the provisions of any applicable tax convention or domestic law. The following sets forth the operation of the provisions on dividends on the Company’s various ordinary shares and ADSs to UK and US holders, as well as certain other tax rules pertinent to holders. Holders should consult their tax adviser for more details.</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color w:val="auto"/>
        </w:rPr>
        <w:t>Dividends paid on the dividend access share</w:t>
      </w:r>
    </w:p>
    <w:p>
      <w:pPr>
        <w:spacing w:after="0" w:line="1" w:lineRule="exact"/>
        <w:rPr>
          <w:sz w:val="20"/>
          <w:szCs w:val="20"/>
          <w:color w:val="auto"/>
        </w:rPr>
      </w:pPr>
    </w:p>
    <w:p>
      <w:pPr>
        <w:ind w:right="80"/>
        <w:spacing w:after="0" w:line="243" w:lineRule="auto"/>
        <w:rPr>
          <w:sz w:val="20"/>
          <w:szCs w:val="20"/>
          <w:color w:val="auto"/>
        </w:rPr>
      </w:pPr>
      <w:r>
        <w:rPr>
          <w:rFonts w:ascii="Arial" w:cs="Arial" w:eastAsia="Arial" w:hAnsi="Arial"/>
          <w:sz w:val="14"/>
          <w:szCs w:val="14"/>
          <w:color w:val="auto"/>
        </w:rPr>
        <w:t>There is no Dutch withholding tax on dividends on B shares or B ADSs provided that such dividends are paid on the dividend access share pursuant to the dividend access mechanism (see “Dividend access mechanism for B shares” on page 72). Dividends paid on the dividend access share are treated as UK-source for tax purposes and there is no UK withholding tax on them. Also, under UK law, individual shareholders resident in the UK are entitled to a UK tax credit with dividends paid on the dividend access share. The amount of the UK tax credit is 10/90ths of the cash dividend; it is not repayable when it exceeds the individual’s UK tax liability. In 2014, all dividends with respect to B shares and B ADSs were paid on the dividend access share pursuant to the dividend access mechanism.</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color w:val="auto"/>
        </w:rPr>
        <w:t>Dutch withholding tax</w:t>
      </w:r>
    </w:p>
    <w:p>
      <w:pPr>
        <w:spacing w:after="0" w:line="1" w:lineRule="exact"/>
        <w:rPr>
          <w:sz w:val="20"/>
          <w:szCs w:val="20"/>
          <w:color w:val="auto"/>
        </w:rPr>
      </w:pPr>
    </w:p>
    <w:p>
      <w:pPr>
        <w:spacing w:after="0" w:line="244" w:lineRule="auto"/>
        <w:rPr>
          <w:sz w:val="20"/>
          <w:szCs w:val="20"/>
          <w:color w:val="auto"/>
        </w:rPr>
      </w:pPr>
      <w:r>
        <w:rPr>
          <w:rFonts w:ascii="Arial" w:cs="Arial" w:eastAsia="Arial" w:hAnsi="Arial"/>
          <w:sz w:val="14"/>
          <w:szCs w:val="14"/>
          <w:color w:val="auto"/>
        </w:rPr>
        <w:t>When Dutch withholding tax applies on dividends paid to a US holder (that is, dividends on A shares or A ADSs, or on B shares or B ADSs that are not paid on the dividend access share pursuant to the dividend access mechanism), the US holder will be subject to Dutch withholding tax at the rate of 15%. A US holder who is entitled to the benefits of the 1992 Double Taxation Convention (the Convention) between the USA and the Netherlands as amended by the protocol signed on March 8, 2004, will be entitled to a reduction in the Dutch</w:t>
      </w:r>
    </w:p>
    <w:p>
      <w:pPr>
        <w:spacing w:after="0" w:line="20" w:lineRule="exact"/>
        <w:rPr>
          <w:sz w:val="20"/>
          <w:szCs w:val="20"/>
          <w:color w:val="auto"/>
        </w:rPr>
      </w:pPr>
      <w:r>
        <w:rPr>
          <w:sz w:val="20"/>
          <w:szCs w:val="20"/>
          <w:color w:val="auto"/>
        </w:rPr>
        <w:br w:type="column"/>
      </w:r>
    </w:p>
    <w:p>
      <w:pPr>
        <w:spacing w:after="0" w:line="55" w:lineRule="exact"/>
        <w:rPr>
          <w:sz w:val="20"/>
          <w:szCs w:val="20"/>
          <w:color w:val="auto"/>
        </w:rPr>
      </w:pPr>
    </w:p>
    <w:p>
      <w:pPr>
        <w:ind w:right="260"/>
        <w:spacing w:after="0" w:line="258" w:lineRule="auto"/>
        <w:rPr>
          <w:sz w:val="20"/>
          <w:szCs w:val="20"/>
          <w:color w:val="auto"/>
        </w:rPr>
      </w:pPr>
      <w:r>
        <w:rPr>
          <w:rFonts w:ascii="Arial" w:cs="Arial" w:eastAsia="Arial" w:hAnsi="Arial"/>
          <w:sz w:val="14"/>
          <w:szCs w:val="14"/>
          <w:color w:val="auto"/>
        </w:rPr>
        <w:t>withholding tax, either by way of a full or a partial exemption at source or by way of a partial refund or a credit as follows:</w:t>
      </w:r>
    </w:p>
    <w:p>
      <w:pPr>
        <w:spacing w:after="0" w:line="194" w:lineRule="exact"/>
        <w:rPr>
          <w:sz w:val="20"/>
          <w:szCs w:val="20"/>
          <w:color w:val="auto"/>
        </w:rPr>
      </w:pPr>
    </w:p>
    <w:p>
      <w:pPr>
        <w:ind w:left="160" w:right="360" w:hanging="160"/>
        <w:spacing w:after="0" w:line="195" w:lineRule="auto"/>
        <w:tabs>
          <w:tab w:leader="none" w:pos="160" w:val="left"/>
        </w:tabs>
        <w:numPr>
          <w:ilvl w:val="0"/>
          <w:numId w:val="207"/>
        </w:numPr>
        <w:rPr>
          <w:rFonts w:ascii="Arial" w:cs="Arial" w:eastAsia="Arial" w:hAnsi="Arial"/>
          <w:sz w:val="24"/>
          <w:szCs w:val="24"/>
          <w:color w:val="auto"/>
          <w:vertAlign w:val="superscript"/>
        </w:rPr>
      </w:pPr>
      <w:r>
        <w:rPr>
          <w:rFonts w:ascii="Arial" w:cs="Arial" w:eastAsia="Arial" w:hAnsi="Arial"/>
          <w:sz w:val="14"/>
          <w:szCs w:val="14"/>
          <w:color w:val="auto"/>
        </w:rPr>
        <w:t>if the US holder is an exempt pension trust as described in article 35 of the Convention, or an exempt organisation as described in article 36 thereof, the US holder will be exempt from Dutch withholding tax; or</w:t>
      </w:r>
    </w:p>
    <w:p>
      <w:pPr>
        <w:ind w:left="160" w:right="200" w:hanging="160"/>
        <w:spacing w:after="0" w:line="199" w:lineRule="auto"/>
        <w:tabs>
          <w:tab w:leader="none" w:pos="160" w:val="left"/>
        </w:tabs>
        <w:numPr>
          <w:ilvl w:val="0"/>
          <w:numId w:val="207"/>
        </w:numPr>
        <w:rPr>
          <w:rFonts w:ascii="Arial" w:cs="Arial" w:eastAsia="Arial" w:hAnsi="Arial"/>
          <w:sz w:val="24"/>
          <w:szCs w:val="24"/>
          <w:color w:val="auto"/>
          <w:vertAlign w:val="superscript"/>
        </w:rPr>
      </w:pPr>
      <w:r>
        <w:rPr>
          <w:rFonts w:ascii="Arial" w:cs="Arial" w:eastAsia="Arial" w:hAnsi="Arial"/>
          <w:sz w:val="14"/>
          <w:szCs w:val="14"/>
          <w:color w:val="auto"/>
        </w:rPr>
        <w:t>if the US holder is a company that holds directly at least 10% of the voting power in the Company, the US holder will be subject to Dutch withholding tax at a rate not exceeding 5%.</w:t>
      </w:r>
    </w:p>
    <w:p>
      <w:pPr>
        <w:spacing w:after="0" w:line="179" w:lineRule="exact"/>
        <w:rPr>
          <w:sz w:val="20"/>
          <w:szCs w:val="20"/>
          <w:color w:val="auto"/>
        </w:rPr>
      </w:pPr>
    </w:p>
    <w:p>
      <w:pPr>
        <w:ind w:right="240"/>
        <w:spacing w:after="0" w:line="244" w:lineRule="auto"/>
        <w:rPr>
          <w:sz w:val="20"/>
          <w:szCs w:val="20"/>
          <w:color w:val="auto"/>
        </w:rPr>
      </w:pPr>
      <w:r>
        <w:rPr>
          <w:rFonts w:ascii="Arial" w:cs="Arial" w:eastAsia="Arial" w:hAnsi="Arial"/>
          <w:sz w:val="14"/>
          <w:szCs w:val="14"/>
          <w:color w:val="auto"/>
        </w:rPr>
        <w:t>In general, the entire dividend (including any amount withheld) will be dividend income to the US holder and the withholding tax will be treated as a foreign income tax that is eligible for credit against the US holder’s income tax liability or a deduction subject to certain limitations. A “US holder” includes, but is not limited to, a citizen or resident of the USA, or a corporation or other entity organised under the laws of the USA or any of its political subdivisions.</w:t>
      </w:r>
    </w:p>
    <w:p>
      <w:pPr>
        <w:spacing w:after="0" w:line="166" w:lineRule="exact"/>
        <w:rPr>
          <w:sz w:val="20"/>
          <w:szCs w:val="20"/>
          <w:color w:val="auto"/>
        </w:rPr>
      </w:pPr>
    </w:p>
    <w:p>
      <w:pPr>
        <w:ind w:right="160"/>
        <w:spacing w:after="0" w:line="243" w:lineRule="auto"/>
        <w:rPr>
          <w:sz w:val="20"/>
          <w:szCs w:val="20"/>
          <w:color w:val="auto"/>
        </w:rPr>
      </w:pPr>
      <w:r>
        <w:rPr>
          <w:rFonts w:ascii="Arial" w:cs="Arial" w:eastAsia="Arial" w:hAnsi="Arial"/>
          <w:sz w:val="14"/>
          <w:szCs w:val="14"/>
          <w:color w:val="auto"/>
        </w:rPr>
        <w:t>When Dutch withholding tax applies on dividends paid to UK tax-resident holders (that is, dividends on A shares or A ADSs, or on B shares or B ADSs that are not paid on the dividend access share pursuant to the dividend access mechanism), the dividend will typically be subject to withholding tax at a rate of 15%. Such UK tax-resident holder will be entitled to a credit (not repayable) for withholding tax against their UK tax liability. However, certain corporate shareholders are, subject to conditions, exempt from UK tax on dividends. Withholding tax suffered cannot be offset against such exempt dividends. Pension plans meeting certain defined criteria can, however, claim a full refund of the dividend tax withheld. Also, UK tax-resident corporate shareholders holding at least a 5% shareholding and meeting other defined criteria are exempted at source from dividend tax.</w:t>
      </w:r>
    </w:p>
    <w:p>
      <w:pPr>
        <w:spacing w:after="0" w:line="165" w:lineRule="exact"/>
        <w:rPr>
          <w:sz w:val="20"/>
          <w:szCs w:val="20"/>
          <w:color w:val="auto"/>
        </w:rPr>
      </w:pPr>
    </w:p>
    <w:p>
      <w:pPr>
        <w:ind w:right="240"/>
        <w:spacing w:after="0" w:line="247" w:lineRule="auto"/>
        <w:rPr>
          <w:sz w:val="20"/>
          <w:szCs w:val="20"/>
          <w:color w:val="auto"/>
        </w:rPr>
      </w:pPr>
      <w:r>
        <w:rPr>
          <w:rFonts w:ascii="Arial" w:cs="Arial" w:eastAsia="Arial" w:hAnsi="Arial"/>
          <w:sz w:val="14"/>
          <w:szCs w:val="14"/>
          <w:color w:val="auto"/>
        </w:rPr>
        <w:t>For shareholders who are tax-resident in any other country, the availability of a whole or partial exemption or refund of Dutch withholding tax is governed by Dutch tax law and/or the tax convention, if any, between the Netherlands and the country of the shareholder’s residence.</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color w:val="auto"/>
        </w:rPr>
        <w:t>Scrip Dividend Programme</w:t>
      </w:r>
    </w:p>
    <w:p>
      <w:pPr>
        <w:spacing w:after="0" w:line="1" w:lineRule="exact"/>
        <w:rPr>
          <w:sz w:val="20"/>
          <w:szCs w:val="20"/>
          <w:color w:val="auto"/>
        </w:rPr>
      </w:pPr>
    </w:p>
    <w:p>
      <w:pPr>
        <w:ind w:right="540"/>
        <w:spacing w:after="0" w:line="247" w:lineRule="auto"/>
        <w:rPr>
          <w:sz w:val="20"/>
          <w:szCs w:val="20"/>
          <w:color w:val="auto"/>
        </w:rPr>
      </w:pPr>
      <w:r>
        <w:rPr>
          <w:rFonts w:ascii="Arial" w:cs="Arial" w:eastAsia="Arial" w:hAnsi="Arial"/>
          <w:sz w:val="14"/>
          <w:szCs w:val="14"/>
          <w:color w:val="auto"/>
        </w:rPr>
        <w:t>The Scrip Dividend Programme, which enabled shareholders to increase their shareholding by choosing to receive new shares instead of cash dividends (if approved by the Board), was cancelled with effect from the second quarter 2014 interim dividend onwards. Only</w:t>
      </w:r>
    </w:p>
    <w:p>
      <w:pPr>
        <w:sectPr>
          <w:pgSz w:w="11900" w:h="16838" w:orient="portrait"/>
          <w:cols w:equalWidth="0" w:num="2">
            <w:col w:w="5460" w:space="320"/>
            <w:col w:w="5640"/>
          </w:cols>
          <w:pgMar w:left="240" w:top="459" w:right="239" w:bottom="1440" w:gutter="0" w:footer="0" w:header="0"/>
          <w:type w:val="continuous"/>
        </w:sectPr>
      </w:pPr>
    </w:p>
    <w:bookmarkStart w:id="186" w:name="page187"/>
    <w:bookmarkEnd w:id="1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5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7097395</wp:posOffset>
            </wp:positionH>
            <wp:positionV relativeFrom="paragraph">
              <wp:posOffset>300355</wp:posOffset>
            </wp:positionV>
            <wp:extent cx="8890" cy="462915"/>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567">
                      <a:extLst>
                        <a:ext uri="{28A0092B-C50C-407E-A947-70E740481C1C}"/>
                      </a:extLst>
                    </a:blip>
                    <a:srcRect/>
                    <a:stretch>
                      <a:fillRect/>
                    </a:stretch>
                  </pic:blipFill>
                  <pic:spPr bwMode="auto">
                    <a:xfrm>
                      <a:off x="0" y="0"/>
                      <a:ext cx="8890" cy="462915"/>
                    </a:xfrm>
                    <a:prstGeom prst="rect">
                      <a:avLst/>
                    </a:prstGeom>
                    <a:noFill/>
                  </pic:spPr>
                </pic:pic>
              </a:graphicData>
            </a:graphic>
          </wp:anchor>
        </w:drawing>
      </w:r>
    </w:p>
    <w:p>
      <w:pPr>
        <w:spacing w:after="0" w:line="200" w:lineRule="exact"/>
        <w:rPr>
          <w:sz w:val="20"/>
          <w:szCs w:val="20"/>
          <w:color w:val="auto"/>
        </w:rPr>
      </w:pP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565"/>
        </w:trPr>
        <w:tc>
          <w:tcPr>
            <w:tcW w:w="4860" w:type="dxa"/>
            <w:vAlign w:val="bottom"/>
          </w:tcPr>
          <w:p>
            <w:pPr>
              <w:spacing w:after="0"/>
              <w:rPr>
                <w:sz w:val="24"/>
                <w:szCs w:val="24"/>
                <w:color w:val="auto"/>
              </w:rPr>
            </w:pPr>
          </w:p>
        </w:tc>
        <w:tc>
          <w:tcPr>
            <w:tcW w:w="6340" w:type="dxa"/>
            <w:vAlign w:val="bottom"/>
            <w:shd w:val="clear" w:color="auto" w:fill="FF8B00"/>
          </w:tcPr>
          <w:p>
            <w:pPr>
              <w:ind w:left="600"/>
              <w:spacing w:after="0"/>
              <w:rPr>
                <w:sz w:val="20"/>
                <w:szCs w:val="20"/>
                <w:color w:val="auto"/>
              </w:rPr>
            </w:pPr>
            <w:r>
              <w:rPr>
                <w:rFonts w:ascii="Arial" w:cs="Arial" w:eastAsia="Arial" w:hAnsi="Arial"/>
                <w:sz w:val="13"/>
                <w:szCs w:val="13"/>
                <w:color w:val="333333"/>
              </w:rPr>
              <w:t>ADDITIONAL INFORMATION</w:t>
            </w:r>
          </w:p>
        </w:tc>
        <w:tc>
          <w:tcPr>
            <w:tcW w:w="220" w:type="dxa"/>
            <w:vAlign w:val="bottom"/>
            <w:shd w:val="clear" w:color="auto" w:fill="FF8B00"/>
          </w:tcPr>
          <w:p>
            <w:pPr>
              <w:jc w:val="right"/>
              <w:spacing w:after="0"/>
              <w:rPr>
                <w:sz w:val="20"/>
                <w:szCs w:val="20"/>
                <w:color w:val="auto"/>
              </w:rPr>
            </w:pPr>
            <w:r>
              <w:rPr>
                <w:rFonts w:ascii="Arial" w:cs="Arial" w:eastAsia="Arial" w:hAnsi="Arial"/>
                <w:sz w:val="11"/>
                <w:szCs w:val="11"/>
                <w:b w:val="1"/>
                <w:bCs w:val="1"/>
                <w:color w:val="333333"/>
              </w:rPr>
              <w:t>185</w:t>
            </w:r>
          </w:p>
        </w:tc>
        <w:tc>
          <w:tcPr>
            <w:tcW w:w="0" w:type="dxa"/>
            <w:vAlign w:val="bottom"/>
          </w:tcPr>
          <w:p>
            <w:pPr>
              <w:spacing w:after="0"/>
              <w:rPr>
                <w:sz w:val="1"/>
                <w:szCs w:val="1"/>
                <w:color w:val="auto"/>
              </w:rPr>
            </w:pPr>
          </w:p>
        </w:tc>
      </w:tr>
      <w:tr>
        <w:trPr>
          <w:trHeight w:val="165"/>
        </w:trPr>
        <w:tc>
          <w:tcPr>
            <w:tcW w:w="4860" w:type="dxa"/>
            <w:vAlign w:val="bottom"/>
            <w:vMerge w:val="restart"/>
          </w:tcPr>
          <w:p>
            <w:pPr>
              <w:spacing w:after="0"/>
              <w:rPr>
                <w:sz w:val="20"/>
                <w:szCs w:val="20"/>
                <w:color w:val="auto"/>
              </w:rPr>
            </w:pPr>
            <w:r>
              <w:rPr>
                <w:rFonts w:ascii="Arial" w:cs="Arial" w:eastAsia="Arial" w:hAnsi="Arial"/>
                <w:sz w:val="11"/>
                <w:szCs w:val="11"/>
                <w:color w:val="auto"/>
              </w:rPr>
              <w:t>SHELL ANNUAL REPORT AND FORM 20-F 2014</w:t>
            </w:r>
          </w:p>
        </w:tc>
        <w:tc>
          <w:tcPr>
            <w:tcW w:w="6340" w:type="dxa"/>
            <w:vAlign w:val="bottom"/>
            <w:shd w:val="clear" w:color="auto" w:fill="FF8B00"/>
          </w:tcPr>
          <w:p>
            <w:pPr>
              <w:spacing w:after="0"/>
              <w:rPr>
                <w:sz w:val="14"/>
                <w:szCs w:val="14"/>
                <w:color w:val="auto"/>
              </w:rPr>
            </w:pPr>
          </w:p>
        </w:tc>
        <w:tc>
          <w:tcPr>
            <w:tcW w:w="220" w:type="dxa"/>
            <w:vAlign w:val="bottom"/>
            <w:shd w:val="clear" w:color="auto" w:fill="FF8B00"/>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4860" w:type="dxa"/>
            <w:vAlign w:val="bottom"/>
            <w:vMerge w:val="continue"/>
          </w:tcPr>
          <w:p>
            <w:pPr>
              <w:spacing w:after="0"/>
              <w:rPr>
                <w:sz w:val="11"/>
                <w:szCs w:val="11"/>
                <w:color w:val="auto"/>
              </w:rPr>
            </w:pPr>
          </w:p>
        </w:tc>
        <w:tc>
          <w:tcPr>
            <w:tcW w:w="6340" w:type="dxa"/>
            <w:vAlign w:val="bottom"/>
          </w:tcPr>
          <w:p>
            <w:pPr>
              <w:ind w:left="600"/>
              <w:spacing w:after="0"/>
              <w:rPr>
                <w:sz w:val="20"/>
                <w:szCs w:val="20"/>
                <w:color w:val="auto"/>
              </w:rPr>
            </w:pPr>
            <w:r>
              <w:rPr>
                <w:rFonts w:ascii="Arial" w:cs="Arial" w:eastAsia="Arial" w:hAnsi="Arial"/>
                <w:sz w:val="11"/>
                <w:szCs w:val="11"/>
                <w:color w:val="auto"/>
                <w:w w:val="98"/>
              </w:rPr>
              <w:t>SHAREHOLDER INFORMATION/SECTION 13(r) OF THE US SECURITIES EXCHANGE ACT OF 1934 DISCLOSURE</w:t>
            </w: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51" w:lineRule="exact"/>
        <w:rPr>
          <w:sz w:val="20"/>
          <w:szCs w:val="20"/>
          <w:color w:val="auto"/>
        </w:rPr>
      </w:pPr>
    </w:p>
    <w:p>
      <w:pPr>
        <w:sectPr>
          <w:pgSz w:w="11900" w:h="16838" w:orient="portrait"/>
          <w:cols w:equalWidth="0" w:num="1">
            <w:col w:w="11420"/>
          </w:cols>
          <w:pgMar w:left="240" w:top="459" w:right="239" w:bottom="1440" w:gutter="0" w:footer="0" w:header="0"/>
        </w:sectPr>
      </w:pPr>
    </w:p>
    <w:p>
      <w:pPr>
        <w:jc w:val="both"/>
        <w:ind w:right="40"/>
        <w:spacing w:after="0" w:line="250" w:lineRule="auto"/>
        <w:rPr>
          <w:sz w:val="20"/>
          <w:szCs w:val="20"/>
          <w:color w:val="auto"/>
        </w:rPr>
      </w:pPr>
      <w:r>
        <w:rPr>
          <w:rFonts w:ascii="Arial" w:cs="Arial" w:eastAsia="Arial" w:hAnsi="Arial"/>
          <w:sz w:val="14"/>
          <w:szCs w:val="14"/>
          <w:color w:val="auto"/>
        </w:rPr>
        <w:t>new A shares were issued under the programme, including to shareholders who held B shares. The programme is being reintroduced with effect from the first quarter 2015 interim dividend onwards.</w:t>
      </w:r>
    </w:p>
    <w:p>
      <w:pPr>
        <w:spacing w:after="0" w:line="172" w:lineRule="exact"/>
        <w:rPr>
          <w:sz w:val="20"/>
          <w:szCs w:val="20"/>
          <w:color w:val="auto"/>
        </w:rPr>
      </w:pPr>
    </w:p>
    <w:p>
      <w:pPr>
        <w:ind w:right="20"/>
        <w:spacing w:after="0" w:line="258" w:lineRule="auto"/>
        <w:rPr>
          <w:sz w:val="20"/>
          <w:szCs w:val="20"/>
          <w:color w:val="auto"/>
        </w:rPr>
      </w:pPr>
      <w:r>
        <w:rPr>
          <w:rFonts w:ascii="Arial" w:cs="Arial" w:eastAsia="Arial" w:hAnsi="Arial"/>
          <w:sz w:val="14"/>
          <w:szCs w:val="14"/>
          <w:color w:val="auto"/>
        </w:rPr>
        <w:t>The tax consequences of electing to receive new A shares in place of a cash dividend depended on individual circumstances.</w:t>
      </w:r>
    </w:p>
    <w:p>
      <w:pPr>
        <w:spacing w:after="0" w:line="154" w:lineRule="exact"/>
        <w:rPr>
          <w:sz w:val="20"/>
          <w:szCs w:val="20"/>
          <w:color w:val="auto"/>
        </w:rPr>
      </w:pPr>
    </w:p>
    <w:p>
      <w:pPr>
        <w:ind w:right="60"/>
        <w:spacing w:after="0" w:line="258" w:lineRule="auto"/>
        <w:rPr>
          <w:sz w:val="20"/>
          <w:szCs w:val="20"/>
          <w:color w:val="auto"/>
        </w:rPr>
      </w:pPr>
      <w:r>
        <w:rPr>
          <w:rFonts w:ascii="Arial" w:cs="Arial" w:eastAsia="Arial" w:hAnsi="Arial"/>
          <w:sz w:val="14"/>
          <w:szCs w:val="14"/>
          <w:color w:val="auto"/>
        </w:rPr>
        <w:t>More information about the programme, including the taxation consequences, can be found at www.shell.com/scrip.</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Dutch capital gains taxation</w:t>
      </w:r>
    </w:p>
    <w:p>
      <w:pPr>
        <w:spacing w:after="0" w:line="1" w:lineRule="exact"/>
        <w:rPr>
          <w:sz w:val="20"/>
          <w:szCs w:val="20"/>
          <w:color w:val="auto"/>
        </w:rPr>
      </w:pPr>
    </w:p>
    <w:p>
      <w:pPr>
        <w:spacing w:after="0" w:line="247" w:lineRule="auto"/>
        <w:rPr>
          <w:sz w:val="20"/>
          <w:szCs w:val="20"/>
          <w:color w:val="auto"/>
        </w:rPr>
      </w:pPr>
      <w:r>
        <w:rPr>
          <w:rFonts w:ascii="Arial" w:cs="Arial" w:eastAsia="Arial" w:hAnsi="Arial"/>
          <w:sz w:val="14"/>
          <w:szCs w:val="14"/>
          <w:color w:val="auto"/>
        </w:rPr>
        <w:t>Capital gains on the sale of shares of a Dutch tax-resident company by a US holder are generally not subject to taxation by the Netherlands unless the US shareholder has a permanent establishment therein and the capital gain is derived from the sale of shares that are part of the business property of the permanent establishment.</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color w:val="auto"/>
        </w:rPr>
        <w:t>Dutch succession duty and gift taxes</w:t>
      </w:r>
    </w:p>
    <w:p>
      <w:pPr>
        <w:spacing w:after="0" w:line="1" w:lineRule="exact"/>
        <w:rPr>
          <w:sz w:val="20"/>
          <w:szCs w:val="20"/>
          <w:color w:val="auto"/>
        </w:rPr>
      </w:pPr>
    </w:p>
    <w:p>
      <w:pPr>
        <w:jc w:val="both"/>
        <w:ind w:right="20"/>
        <w:spacing w:after="0" w:line="247" w:lineRule="auto"/>
        <w:rPr>
          <w:sz w:val="20"/>
          <w:szCs w:val="20"/>
          <w:color w:val="auto"/>
        </w:rPr>
      </w:pPr>
      <w:r>
        <w:rPr>
          <w:rFonts w:ascii="Arial" w:cs="Arial" w:eastAsia="Arial" w:hAnsi="Arial"/>
          <w:sz w:val="14"/>
          <w:szCs w:val="14"/>
          <w:color w:val="auto"/>
        </w:rPr>
        <w:t>Shares of a Dutch tax-resident company held by an individual who is not a resident or a deemed resident of the Netherlands will generally not be subject to succession duty in the Netherlands on the individual’s death unless the shares are part of the business property of a permanent establishment situated in the Netherlands.</w:t>
      </w:r>
    </w:p>
    <w:p>
      <w:pPr>
        <w:spacing w:after="0" w:line="161" w:lineRule="exact"/>
        <w:rPr>
          <w:sz w:val="20"/>
          <w:szCs w:val="20"/>
          <w:color w:val="auto"/>
        </w:rPr>
      </w:pPr>
    </w:p>
    <w:p>
      <w:pPr>
        <w:ind w:right="220"/>
        <w:spacing w:after="0" w:line="250" w:lineRule="auto"/>
        <w:rPr>
          <w:sz w:val="20"/>
          <w:szCs w:val="20"/>
          <w:color w:val="auto"/>
        </w:rPr>
      </w:pPr>
      <w:r>
        <w:rPr>
          <w:rFonts w:ascii="Arial" w:cs="Arial" w:eastAsia="Arial" w:hAnsi="Arial"/>
          <w:sz w:val="14"/>
          <w:szCs w:val="14"/>
          <w:color w:val="auto"/>
        </w:rPr>
        <w:t>A gift of shares of a Dutch tax-resident company by an individual, who is not a resident or a deemed resident of the Netherlands, is generally not subject to Dutch gift tax.</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color w:val="auto"/>
        </w:rPr>
        <w:t>UK stamp duty and stamp duty reserve tax</w:t>
      </w:r>
    </w:p>
    <w:p>
      <w:pPr>
        <w:spacing w:after="0" w:line="1" w:lineRule="exact"/>
        <w:rPr>
          <w:sz w:val="20"/>
          <w:szCs w:val="20"/>
          <w:color w:val="auto"/>
        </w:rPr>
      </w:pPr>
    </w:p>
    <w:p>
      <w:pPr>
        <w:ind w:right="80"/>
        <w:spacing w:after="0" w:line="247" w:lineRule="auto"/>
        <w:rPr>
          <w:sz w:val="20"/>
          <w:szCs w:val="20"/>
          <w:color w:val="auto"/>
        </w:rPr>
      </w:pPr>
      <w:r>
        <w:rPr>
          <w:rFonts w:ascii="Arial" w:cs="Arial" w:eastAsia="Arial" w:hAnsi="Arial"/>
          <w:sz w:val="14"/>
          <w:szCs w:val="14"/>
          <w:color w:val="auto"/>
        </w:rPr>
        <w:t>Sales or transfers of the Company’s ordinary shares within a clearance service (such as Euroclear Nederland) or of the Company’s ADSs within the ADS depositary receipts system will not give rise to a stamp duty reserve tax (SDRT) liability and should not in practice require the payment of UK stamp duty.</w:t>
      </w:r>
    </w:p>
    <w:p>
      <w:pPr>
        <w:spacing w:after="0" w:line="175" w:lineRule="exact"/>
        <w:rPr>
          <w:sz w:val="20"/>
          <w:szCs w:val="20"/>
          <w:color w:val="auto"/>
        </w:rPr>
      </w:pPr>
    </w:p>
    <w:p>
      <w:pPr>
        <w:ind w:right="180"/>
        <w:spacing w:after="0" w:line="243" w:lineRule="auto"/>
        <w:rPr>
          <w:sz w:val="20"/>
          <w:szCs w:val="20"/>
          <w:color w:val="auto"/>
        </w:rPr>
      </w:pPr>
      <w:r>
        <w:rPr>
          <w:rFonts w:ascii="Arial" w:cs="Arial" w:eastAsia="Arial" w:hAnsi="Arial"/>
          <w:sz w:val="14"/>
          <w:szCs w:val="14"/>
          <w:color w:val="auto"/>
        </w:rPr>
        <w:t>The transfer of the Company’s ordinary shares to a clearance service (such as Euroclear Nederland) or to an issuer of depositary shares (such as ADSs) will generally give rise to a UK stamp duty or SDRT liability at the rate of 1.5% of consideration given or, if none, of the value of the shares. A sale of the Company’s ordinary shares that are not held within a clearance service (for example, settled through the UK’s CREST system of paperless transfers) will generally be subject to UK stamp duty or SDRT at the rate of 0.5% of the amount of the consideration, normally paid by the purchaser.</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color w:val="auto"/>
        </w:rPr>
        <w:t>Capital gains tax</w:t>
      </w:r>
    </w:p>
    <w:p>
      <w:pPr>
        <w:spacing w:after="0" w:line="1" w:lineRule="exact"/>
        <w:rPr>
          <w:sz w:val="20"/>
          <w:szCs w:val="20"/>
          <w:color w:val="auto"/>
        </w:rPr>
      </w:pPr>
    </w:p>
    <w:p>
      <w:pPr>
        <w:ind w:right="80"/>
        <w:spacing w:after="0" w:line="250" w:lineRule="auto"/>
        <w:rPr>
          <w:sz w:val="20"/>
          <w:szCs w:val="20"/>
          <w:color w:val="auto"/>
        </w:rPr>
      </w:pPr>
      <w:r>
        <w:rPr>
          <w:rFonts w:ascii="Arial" w:cs="Arial" w:eastAsia="Arial" w:hAnsi="Arial"/>
          <w:sz w:val="14"/>
          <w:szCs w:val="14"/>
          <w:color w:val="auto"/>
        </w:rPr>
        <w:t>For the purposes of UK capital gains tax, the market values [A] of the shares of the former public parent companies of the Royal Dutch/Shell Group at the relevant dates were:</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3060" w:type="dxa"/>
            <w:vAlign w:val="bottom"/>
            <w:shd w:val="clear" w:color="auto" w:fill="333333"/>
          </w:tcPr>
          <w:p>
            <w:pPr>
              <w:spacing w:after="0"/>
              <w:rPr>
                <w:sz w:val="15"/>
                <w:szCs w:val="15"/>
                <w:color w:val="auto"/>
              </w:rPr>
            </w:pPr>
          </w:p>
        </w:tc>
        <w:tc>
          <w:tcPr>
            <w:tcW w:w="1260" w:type="dxa"/>
            <w:vAlign w:val="bottom"/>
            <w:shd w:val="clear" w:color="auto" w:fill="333333"/>
          </w:tcPr>
          <w:p>
            <w:pPr>
              <w:spacing w:after="0"/>
              <w:rPr>
                <w:sz w:val="15"/>
                <w:szCs w:val="15"/>
                <w:color w:val="auto"/>
              </w:rPr>
            </w:pPr>
          </w:p>
        </w:tc>
        <w:tc>
          <w:tcPr>
            <w:tcW w:w="1160" w:type="dxa"/>
            <w:vAlign w:val="bottom"/>
            <w:shd w:val="clear" w:color="auto" w:fill="333333"/>
          </w:tcPr>
          <w:p>
            <w:pPr>
              <w:jc w:val="right"/>
              <w:ind w:right="29"/>
              <w:spacing w:after="0"/>
              <w:rPr>
                <w:sz w:val="20"/>
                <w:szCs w:val="20"/>
                <w:color w:val="auto"/>
              </w:rPr>
            </w:pPr>
            <w:r>
              <w:rPr>
                <w:rFonts w:ascii="Arial" w:cs="Arial" w:eastAsia="Arial" w:hAnsi="Arial"/>
                <w:sz w:val="15"/>
                <w:szCs w:val="15"/>
                <w:color w:val="FFFFFF"/>
              </w:rPr>
              <w:t>£</w:t>
            </w:r>
          </w:p>
        </w:tc>
      </w:tr>
      <w:tr>
        <w:trPr>
          <w:trHeight w:val="149"/>
        </w:trPr>
        <w:tc>
          <w:tcPr>
            <w:tcW w:w="3060" w:type="dxa"/>
            <w:vAlign w:val="bottom"/>
            <w:tcBorders>
              <w:bottom w:val="single" w:sz="8" w:color="auto"/>
            </w:tcBorders>
          </w:tcPr>
          <w:p>
            <w:pPr>
              <w:spacing w:after="0"/>
              <w:rPr>
                <w:sz w:val="12"/>
                <w:szCs w:val="12"/>
                <w:color w:val="auto"/>
              </w:rPr>
            </w:pPr>
          </w:p>
        </w:tc>
        <w:tc>
          <w:tcPr>
            <w:tcW w:w="1260" w:type="dxa"/>
            <w:vAlign w:val="bottom"/>
            <w:tcBorders>
              <w:bottom w:val="single" w:sz="8" w:color="auto"/>
            </w:tcBorders>
          </w:tcPr>
          <w:p>
            <w:pPr>
              <w:jc w:val="right"/>
              <w:ind w:right="91"/>
              <w:spacing w:after="0"/>
              <w:rPr>
                <w:sz w:val="20"/>
                <w:szCs w:val="20"/>
                <w:color w:val="auto"/>
              </w:rPr>
            </w:pPr>
            <w:r>
              <w:rPr>
                <w:rFonts w:ascii="Arial" w:cs="Arial" w:eastAsia="Arial" w:hAnsi="Arial"/>
                <w:sz w:val="13"/>
                <w:szCs w:val="13"/>
                <w:color w:val="auto"/>
              </w:rPr>
              <w:t>March 31, 1982</w:t>
            </w:r>
          </w:p>
        </w:tc>
        <w:tc>
          <w:tcPr>
            <w:tcW w:w="1160" w:type="dxa"/>
            <w:vAlign w:val="bottom"/>
            <w:tcBorders>
              <w:bottom w:val="single" w:sz="8" w:color="auto"/>
            </w:tcBorders>
          </w:tcPr>
          <w:p>
            <w:pPr>
              <w:jc w:val="right"/>
              <w:ind w:right="29"/>
              <w:spacing w:after="0"/>
              <w:rPr>
                <w:sz w:val="20"/>
                <w:szCs w:val="20"/>
                <w:color w:val="auto"/>
              </w:rPr>
            </w:pPr>
            <w:r>
              <w:rPr>
                <w:rFonts w:ascii="Arial" w:cs="Arial" w:eastAsia="Arial" w:hAnsi="Arial"/>
                <w:sz w:val="13"/>
                <w:szCs w:val="13"/>
                <w:color w:val="auto"/>
              </w:rPr>
              <w:t>July 20, 2005</w:t>
            </w:r>
          </w:p>
        </w:tc>
      </w:tr>
      <w:tr>
        <w:trPr>
          <w:trHeight w:val="160"/>
        </w:trPr>
        <w:tc>
          <w:tcPr>
            <w:tcW w:w="3060" w:type="dxa"/>
            <w:vAlign w:val="bottom"/>
          </w:tcPr>
          <w:p>
            <w:pPr>
              <w:ind w:left="20"/>
              <w:spacing w:after="0"/>
              <w:rPr>
                <w:sz w:val="20"/>
                <w:szCs w:val="20"/>
                <w:color w:val="auto"/>
              </w:rPr>
            </w:pPr>
            <w:r>
              <w:rPr>
                <w:rFonts w:ascii="Arial" w:cs="Arial" w:eastAsia="Arial" w:hAnsi="Arial"/>
                <w:sz w:val="14"/>
                <w:szCs w:val="14"/>
                <w:color w:val="auto"/>
              </w:rPr>
              <w:t>Royal Dutch Petroleum Company</w:t>
            </w:r>
          </w:p>
        </w:tc>
        <w:tc>
          <w:tcPr>
            <w:tcW w:w="1260" w:type="dxa"/>
            <w:vAlign w:val="bottom"/>
          </w:tcPr>
          <w:p>
            <w:pPr>
              <w:spacing w:after="0"/>
              <w:rPr>
                <w:sz w:val="13"/>
                <w:szCs w:val="13"/>
                <w:color w:val="auto"/>
              </w:rPr>
            </w:pPr>
          </w:p>
        </w:tc>
        <w:tc>
          <w:tcPr>
            <w:tcW w:w="1160" w:type="dxa"/>
            <w:vAlign w:val="bottom"/>
          </w:tcPr>
          <w:p>
            <w:pPr>
              <w:spacing w:after="0"/>
              <w:rPr>
                <w:sz w:val="13"/>
                <w:szCs w:val="13"/>
                <w:color w:val="auto"/>
              </w:rPr>
            </w:pPr>
          </w:p>
        </w:tc>
      </w:tr>
      <w:tr>
        <w:trPr>
          <w:trHeight w:val="162"/>
        </w:trPr>
        <w:tc>
          <w:tcPr>
            <w:tcW w:w="3060" w:type="dxa"/>
            <w:vAlign w:val="bottom"/>
          </w:tcPr>
          <w:p>
            <w:pPr>
              <w:ind w:left="20"/>
              <w:spacing w:after="0"/>
              <w:rPr>
                <w:sz w:val="20"/>
                <w:szCs w:val="20"/>
                <w:color w:val="auto"/>
              </w:rPr>
            </w:pPr>
            <w:r>
              <w:rPr>
                <w:rFonts w:ascii="Arial" w:cs="Arial" w:eastAsia="Arial" w:hAnsi="Arial"/>
                <w:sz w:val="14"/>
                <w:szCs w:val="14"/>
                <w:color w:val="auto"/>
              </w:rPr>
              <w:t>(N.V. Koninklijke Nederlandsche</w:t>
            </w:r>
          </w:p>
        </w:tc>
        <w:tc>
          <w:tcPr>
            <w:tcW w:w="126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62"/>
        </w:trPr>
        <w:tc>
          <w:tcPr>
            <w:tcW w:w="3060" w:type="dxa"/>
            <w:vAlign w:val="bottom"/>
          </w:tcPr>
          <w:p>
            <w:pPr>
              <w:ind w:left="20"/>
              <w:spacing w:after="0"/>
              <w:rPr>
                <w:sz w:val="20"/>
                <w:szCs w:val="20"/>
                <w:color w:val="auto"/>
              </w:rPr>
            </w:pPr>
            <w:r>
              <w:rPr>
                <w:rFonts w:ascii="Arial" w:cs="Arial" w:eastAsia="Arial" w:hAnsi="Arial"/>
                <w:sz w:val="14"/>
                <w:szCs w:val="14"/>
                <w:color w:val="auto"/>
              </w:rPr>
              <w:t>Petroleum Maatschappij) which ceased to</w:t>
            </w:r>
          </w:p>
        </w:tc>
        <w:tc>
          <w:tcPr>
            <w:tcW w:w="126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57"/>
        </w:trPr>
        <w:tc>
          <w:tcPr>
            <w:tcW w:w="3060" w:type="dxa"/>
            <w:vAlign w:val="bottom"/>
            <w:tcBorders>
              <w:bottom w:val="single" w:sz="8" w:color="auto"/>
            </w:tcBorders>
          </w:tcPr>
          <w:p>
            <w:pPr>
              <w:ind w:left="20"/>
              <w:spacing w:after="0" w:line="157" w:lineRule="exact"/>
              <w:rPr>
                <w:sz w:val="20"/>
                <w:szCs w:val="20"/>
                <w:color w:val="auto"/>
              </w:rPr>
            </w:pPr>
            <w:r>
              <w:rPr>
                <w:rFonts w:ascii="Arial" w:cs="Arial" w:eastAsia="Arial" w:hAnsi="Arial"/>
                <w:sz w:val="14"/>
                <w:szCs w:val="14"/>
                <w:color w:val="auto"/>
              </w:rPr>
              <w:t>exist on December 21, 2005</w:t>
            </w:r>
          </w:p>
        </w:tc>
        <w:tc>
          <w:tcPr>
            <w:tcW w:w="1260" w:type="dxa"/>
            <w:vAlign w:val="bottom"/>
            <w:tcBorders>
              <w:bottom w:val="single" w:sz="8" w:color="auto"/>
            </w:tcBorders>
          </w:tcPr>
          <w:p>
            <w:pPr>
              <w:jc w:val="right"/>
              <w:ind w:right="91"/>
              <w:spacing w:after="0" w:line="157" w:lineRule="exact"/>
              <w:rPr>
                <w:sz w:val="20"/>
                <w:szCs w:val="20"/>
                <w:color w:val="auto"/>
              </w:rPr>
            </w:pPr>
            <w:r>
              <w:rPr>
                <w:rFonts w:ascii="Arial" w:cs="Arial" w:eastAsia="Arial" w:hAnsi="Arial"/>
                <w:sz w:val="14"/>
                <w:szCs w:val="14"/>
                <w:color w:val="auto"/>
              </w:rPr>
              <w:t>1.1349</w:t>
            </w:r>
          </w:p>
        </w:tc>
        <w:tc>
          <w:tcPr>
            <w:tcW w:w="1160" w:type="dxa"/>
            <w:vAlign w:val="bottom"/>
            <w:tcBorders>
              <w:bottom w:val="single" w:sz="8" w:color="auto"/>
            </w:tcBorders>
          </w:tcPr>
          <w:p>
            <w:pPr>
              <w:jc w:val="right"/>
              <w:ind w:right="29"/>
              <w:spacing w:after="0" w:line="157" w:lineRule="exact"/>
              <w:rPr>
                <w:sz w:val="20"/>
                <w:szCs w:val="20"/>
                <w:color w:val="auto"/>
              </w:rPr>
            </w:pPr>
            <w:r>
              <w:rPr>
                <w:rFonts w:ascii="Arial" w:cs="Arial" w:eastAsia="Arial" w:hAnsi="Arial"/>
                <w:sz w:val="14"/>
                <w:szCs w:val="14"/>
                <w:color w:val="auto"/>
              </w:rPr>
              <w:t>17.6625</w:t>
            </w:r>
          </w:p>
        </w:tc>
      </w:tr>
      <w:tr>
        <w:trPr>
          <w:trHeight w:val="160"/>
        </w:trPr>
        <w:tc>
          <w:tcPr>
            <w:tcW w:w="3060" w:type="dxa"/>
            <w:vAlign w:val="bottom"/>
          </w:tcPr>
          <w:p>
            <w:pPr>
              <w:ind w:left="20"/>
              <w:spacing w:after="0"/>
              <w:rPr>
                <w:sz w:val="20"/>
                <w:szCs w:val="20"/>
                <w:color w:val="auto"/>
              </w:rPr>
            </w:pPr>
            <w:r>
              <w:rPr>
                <w:rFonts w:ascii="Arial" w:cs="Arial" w:eastAsia="Arial" w:hAnsi="Arial"/>
                <w:sz w:val="14"/>
                <w:szCs w:val="14"/>
                <w:color w:val="auto"/>
              </w:rPr>
              <w:t>The “Shell” Transport and Trading Company,</w:t>
            </w:r>
          </w:p>
        </w:tc>
        <w:tc>
          <w:tcPr>
            <w:tcW w:w="1260" w:type="dxa"/>
            <w:vAlign w:val="bottom"/>
          </w:tcPr>
          <w:p>
            <w:pPr>
              <w:spacing w:after="0"/>
              <w:rPr>
                <w:sz w:val="13"/>
                <w:szCs w:val="13"/>
                <w:color w:val="auto"/>
              </w:rPr>
            </w:pPr>
          </w:p>
        </w:tc>
        <w:tc>
          <w:tcPr>
            <w:tcW w:w="1160" w:type="dxa"/>
            <w:vAlign w:val="bottom"/>
          </w:tcPr>
          <w:p>
            <w:pPr>
              <w:spacing w:after="0"/>
              <w:rPr>
                <w:sz w:val="13"/>
                <w:szCs w:val="13"/>
                <w:color w:val="auto"/>
              </w:rPr>
            </w:pPr>
          </w:p>
        </w:tc>
      </w:tr>
      <w:tr>
        <w:trPr>
          <w:trHeight w:val="157"/>
        </w:trPr>
        <w:tc>
          <w:tcPr>
            <w:tcW w:w="3060" w:type="dxa"/>
            <w:vAlign w:val="bottom"/>
            <w:tcBorders>
              <w:bottom w:val="single" w:sz="8" w:color="auto"/>
            </w:tcBorders>
          </w:tcPr>
          <w:p>
            <w:pPr>
              <w:ind w:left="20"/>
              <w:spacing w:after="0" w:line="157" w:lineRule="exact"/>
              <w:rPr>
                <w:sz w:val="20"/>
                <w:szCs w:val="20"/>
                <w:color w:val="auto"/>
              </w:rPr>
            </w:pPr>
            <w:r>
              <w:rPr>
                <w:rFonts w:ascii="Arial" w:cs="Arial" w:eastAsia="Arial" w:hAnsi="Arial"/>
                <w:sz w:val="14"/>
                <w:szCs w:val="14"/>
                <w:color w:val="auto"/>
              </w:rPr>
              <w:t>p.l.c. which delisted on July 19, 2005</w:t>
            </w:r>
          </w:p>
        </w:tc>
        <w:tc>
          <w:tcPr>
            <w:tcW w:w="1260" w:type="dxa"/>
            <w:vAlign w:val="bottom"/>
            <w:tcBorders>
              <w:bottom w:val="single" w:sz="8" w:color="auto"/>
            </w:tcBorders>
          </w:tcPr>
          <w:p>
            <w:pPr>
              <w:jc w:val="right"/>
              <w:ind w:right="91"/>
              <w:spacing w:after="0" w:line="157" w:lineRule="exact"/>
              <w:rPr>
                <w:sz w:val="20"/>
                <w:szCs w:val="20"/>
                <w:color w:val="auto"/>
              </w:rPr>
            </w:pPr>
            <w:r>
              <w:rPr>
                <w:rFonts w:ascii="Arial" w:cs="Arial" w:eastAsia="Arial" w:hAnsi="Arial"/>
                <w:sz w:val="14"/>
                <w:szCs w:val="14"/>
                <w:color w:val="auto"/>
              </w:rPr>
              <w:t>1.4502</w:t>
            </w:r>
          </w:p>
        </w:tc>
        <w:tc>
          <w:tcPr>
            <w:tcW w:w="1160" w:type="dxa"/>
            <w:vAlign w:val="bottom"/>
            <w:tcBorders>
              <w:bottom w:val="single" w:sz="8" w:color="auto"/>
            </w:tcBorders>
          </w:tcPr>
          <w:p>
            <w:pPr>
              <w:jc w:val="right"/>
              <w:ind w:right="29"/>
              <w:spacing w:after="0" w:line="157" w:lineRule="exact"/>
              <w:rPr>
                <w:sz w:val="20"/>
                <w:szCs w:val="20"/>
                <w:color w:val="auto"/>
              </w:rPr>
            </w:pPr>
            <w:r>
              <w:rPr>
                <w:rFonts w:ascii="Arial" w:cs="Arial" w:eastAsia="Arial" w:hAnsi="Arial"/>
                <w:sz w:val="14"/>
                <w:szCs w:val="14"/>
                <w:color w:val="auto"/>
              </w:rPr>
              <w:t>Not applicable</w:t>
            </w:r>
          </w:p>
        </w:tc>
      </w:tr>
    </w:tbl>
    <w:p>
      <w:pPr>
        <w:spacing w:after="0" w:line="37" w:lineRule="exact"/>
        <w:rPr>
          <w:sz w:val="20"/>
          <w:szCs w:val="20"/>
          <w:color w:val="auto"/>
        </w:rPr>
      </w:pPr>
    </w:p>
    <w:p>
      <w:pPr>
        <w:ind w:right="100" w:firstLine="8"/>
        <w:spacing w:after="0" w:line="233" w:lineRule="auto"/>
        <w:tabs>
          <w:tab w:leader="none" w:pos="162" w:val="left"/>
        </w:tabs>
        <w:numPr>
          <w:ilvl w:val="0"/>
          <w:numId w:val="208"/>
        </w:numPr>
        <w:rPr>
          <w:rFonts w:ascii="Arial" w:cs="Arial" w:eastAsia="Arial" w:hAnsi="Arial"/>
          <w:sz w:val="11"/>
          <w:szCs w:val="11"/>
          <w:color w:val="auto"/>
        </w:rPr>
      </w:pPr>
      <w:r>
        <w:rPr>
          <w:rFonts w:ascii="Arial" w:cs="Arial" w:eastAsia="Arial" w:hAnsi="Arial"/>
          <w:sz w:val="11"/>
          <w:szCs w:val="11"/>
          <w:color w:val="auto"/>
        </w:rPr>
        <w:t>Restated where applicable to reflect all capitalisation issues since the relevant date. This includes the change in the capital structure in 2005, when Royal Dutch Shell plc became the single parent company of Royal Dutch Petroleum Company and of The “Shell” Transport and Trading Company, p.l.c., now The Shell Transport and Trading Company Limited, and one share in Royal Dutch Petroleum Company was exchanged for two Royal Dutch Shell plc A shares and one share in The “Shell” Transport and Trading Company, p.l.c. was exchanged for 0.287333066 Royal Dutch Shell plc B shares.</w:t>
      </w:r>
    </w:p>
    <w:p>
      <w:pPr>
        <w:spacing w:after="0" w:line="20" w:lineRule="exact"/>
        <w:rPr>
          <w:sz w:val="20"/>
          <w:szCs w:val="20"/>
          <w:color w:val="auto"/>
        </w:rPr>
      </w:pPr>
      <w:r>
        <w:rPr>
          <w:sz w:val="20"/>
          <w:szCs w:val="20"/>
          <w:color w:val="auto"/>
        </w:rPr>
        <w:br w:type="column"/>
      </w:r>
    </w:p>
    <w:p>
      <w:pPr>
        <w:ind w:right="800"/>
        <w:spacing w:after="0" w:line="249" w:lineRule="auto"/>
        <w:rPr>
          <w:sz w:val="20"/>
          <w:szCs w:val="20"/>
          <w:color w:val="auto"/>
        </w:rPr>
      </w:pPr>
      <w:r>
        <w:rPr>
          <w:rFonts w:ascii="Arial" w:cs="Arial" w:eastAsia="Arial" w:hAnsi="Arial"/>
          <w:sz w:val="31"/>
          <w:szCs w:val="31"/>
          <w:color w:val="auto"/>
        </w:rPr>
        <w:t>SECTION 13(r) OF THE US SECURITIES EXCHANGE ACT OF 1934 DISCLOSURE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-13335</wp:posOffset>
            </wp:positionV>
            <wp:extent cx="3473450" cy="8890"/>
            <wp:wrapNone/>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568">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spacing w:after="0" w:line="165" w:lineRule="exact"/>
        <w:rPr>
          <w:sz w:val="20"/>
          <w:szCs w:val="20"/>
          <w:color w:val="auto"/>
        </w:rPr>
      </w:pPr>
    </w:p>
    <w:p>
      <w:pPr>
        <w:jc w:val="both"/>
        <w:ind w:right="560"/>
        <w:spacing w:after="0" w:line="250" w:lineRule="auto"/>
        <w:rPr>
          <w:sz w:val="20"/>
          <w:szCs w:val="20"/>
          <w:color w:val="auto"/>
        </w:rPr>
      </w:pPr>
      <w:r>
        <w:rPr>
          <w:rFonts w:ascii="Arial" w:cs="Arial" w:eastAsia="Arial" w:hAnsi="Arial"/>
          <w:sz w:val="14"/>
          <w:szCs w:val="14"/>
          <w:color w:val="auto"/>
        </w:rPr>
        <w:t>In accordance with our General Business Principles and Code of Conduct, Shell seeks to comply with all applicable international trade laws including applicable sanctions and embargoes.</w:t>
      </w:r>
    </w:p>
    <w:p>
      <w:pPr>
        <w:spacing w:after="0" w:line="159" w:lineRule="exact"/>
        <w:rPr>
          <w:sz w:val="20"/>
          <w:szCs w:val="20"/>
          <w:color w:val="auto"/>
        </w:rPr>
      </w:pPr>
    </w:p>
    <w:p>
      <w:pPr>
        <w:ind w:right="200"/>
        <w:spacing w:after="0" w:line="245" w:lineRule="auto"/>
        <w:rPr>
          <w:sz w:val="20"/>
          <w:szCs w:val="20"/>
          <w:color w:val="auto"/>
        </w:rPr>
      </w:pPr>
      <w:r>
        <w:rPr>
          <w:rFonts w:ascii="Arial" w:cs="Arial" w:eastAsia="Arial" w:hAnsi="Arial"/>
          <w:sz w:val="14"/>
          <w:szCs w:val="14"/>
          <w:color w:val="auto"/>
        </w:rPr>
        <w:t>The activities listed below have been conducted outside the USA by non-US Shell subsidiaries. None of the payments disclosed below were made in US dollars, however, for disclosure purposes, all have been converted into US dollars at the appropriate exchange rate. We do not believe that any of the transactions or activities listed below violated US sanctions.</w:t>
      </w:r>
    </w:p>
    <w:p>
      <w:pPr>
        <w:spacing w:after="0" w:line="164" w:lineRule="exact"/>
        <w:rPr>
          <w:sz w:val="20"/>
          <w:szCs w:val="20"/>
          <w:color w:val="auto"/>
        </w:rPr>
      </w:pPr>
    </w:p>
    <w:p>
      <w:pPr>
        <w:ind w:right="300"/>
        <w:spacing w:after="0" w:line="250" w:lineRule="auto"/>
        <w:rPr>
          <w:sz w:val="20"/>
          <w:szCs w:val="20"/>
          <w:color w:val="auto"/>
        </w:rPr>
      </w:pPr>
      <w:r>
        <w:rPr>
          <w:rFonts w:ascii="Arial" w:cs="Arial" w:eastAsia="Arial" w:hAnsi="Arial"/>
          <w:sz w:val="14"/>
          <w:szCs w:val="14"/>
          <w:color w:val="auto"/>
        </w:rPr>
        <w:t>In 2010, we ceased all of our Upstream commercial activities in Iran and suspended new business development, as a direct consequence of the international sanctions imposed on the country.</w:t>
      </w:r>
    </w:p>
    <w:p>
      <w:pPr>
        <w:spacing w:after="0" w:line="172" w:lineRule="exact"/>
        <w:rPr>
          <w:sz w:val="20"/>
          <w:szCs w:val="20"/>
          <w:color w:val="auto"/>
        </w:rPr>
      </w:pPr>
    </w:p>
    <w:p>
      <w:pPr>
        <w:ind w:right="200"/>
        <w:spacing w:after="0" w:line="243" w:lineRule="auto"/>
        <w:rPr>
          <w:sz w:val="20"/>
          <w:szCs w:val="20"/>
          <w:color w:val="auto"/>
        </w:rPr>
      </w:pPr>
      <w:r>
        <w:rPr>
          <w:rFonts w:ascii="Arial" w:cs="Arial" w:eastAsia="Arial" w:hAnsi="Arial"/>
          <w:sz w:val="14"/>
          <w:szCs w:val="14"/>
          <w:color w:val="auto"/>
        </w:rPr>
        <w:t>In 2013, we closed our small representative office in Iran. In 2014, we paid $6,140 to the Iranian Ministry of Finance, consisting of a final settlement of corporate income tax related to the financial year ended December 31, 2007, an income tax penalty payment related to the financial year ended December 31, 2011, and stamp duties. These payments were made through cheques guaranteed by Bank Karafarin, where we maintain accounts. These transactions did not generate gross revenue or net profit. However, our cash deposits in Bank Karafarin (balance of $3.1 million at December 31, 2014) generated non-taxable interest income of $0.5 million in 2014. In the future, we expect to make additional payments as a result of the ongoing liquidation process, including tax payments.</w:t>
      </w:r>
    </w:p>
    <w:p>
      <w:pPr>
        <w:spacing w:after="0" w:line="166" w:lineRule="exact"/>
        <w:rPr>
          <w:sz w:val="20"/>
          <w:szCs w:val="20"/>
          <w:color w:val="auto"/>
        </w:rPr>
      </w:pPr>
    </w:p>
    <w:p>
      <w:pPr>
        <w:ind w:right="240"/>
        <w:spacing w:after="0" w:line="245" w:lineRule="auto"/>
        <w:rPr>
          <w:sz w:val="20"/>
          <w:szCs w:val="20"/>
          <w:color w:val="auto"/>
        </w:rPr>
      </w:pPr>
      <w:r>
        <w:rPr>
          <w:rFonts w:ascii="Arial" w:cs="Arial" w:eastAsia="Arial" w:hAnsi="Arial"/>
          <w:sz w:val="14"/>
          <w:szCs w:val="14"/>
          <w:color w:val="auto"/>
        </w:rPr>
        <w:t>Payments to the Iranian Civil Aviation Authority for the clearance of overflight permits for Shell Aircraft over Iranian airspace amounted to $5,960 in 2014. There was no gross revenue or net profit associated with these transactions. On occasion, our aircraft may be routed over Iran and therefore these payments may continue in the future.</w:t>
      </w:r>
    </w:p>
    <w:p>
      <w:pPr>
        <w:spacing w:after="0" w:line="164" w:lineRule="exact"/>
        <w:rPr>
          <w:sz w:val="20"/>
          <w:szCs w:val="20"/>
          <w:color w:val="auto"/>
        </w:rPr>
      </w:pPr>
    </w:p>
    <w:p>
      <w:pPr>
        <w:ind w:right="180"/>
        <w:spacing w:after="0" w:line="244" w:lineRule="auto"/>
        <w:rPr>
          <w:sz w:val="20"/>
          <w:szCs w:val="20"/>
          <w:color w:val="auto"/>
        </w:rPr>
      </w:pPr>
      <w:r>
        <w:rPr>
          <w:rFonts w:ascii="Arial" w:cs="Arial" w:eastAsia="Arial" w:hAnsi="Arial"/>
          <w:sz w:val="14"/>
          <w:szCs w:val="14"/>
          <w:color w:val="auto"/>
        </w:rPr>
        <w:t>An amount of $202 was paid to the Consulate of Iran in the UK, relating to a British citizen, born in Iran, who was relocating with her Shell-employed spouse to the United Arab Emirates. The costs were for duplicates of birth certificates and other documents required to obtain a residence permit in the United Arab Emirates. This transaction generated no gross revenue or net profit, and is in accordance with Shell’s expatriate policy.</w:t>
      </w:r>
    </w:p>
    <w:p>
      <w:pPr>
        <w:spacing w:after="0" w:line="179" w:lineRule="exact"/>
        <w:rPr>
          <w:sz w:val="20"/>
          <w:szCs w:val="20"/>
          <w:color w:val="auto"/>
        </w:rPr>
      </w:pPr>
    </w:p>
    <w:p>
      <w:pPr>
        <w:ind w:right="320"/>
        <w:spacing w:after="0" w:line="247" w:lineRule="auto"/>
        <w:rPr>
          <w:sz w:val="20"/>
          <w:szCs w:val="20"/>
          <w:color w:val="auto"/>
        </w:rPr>
      </w:pPr>
      <w:r>
        <w:rPr>
          <w:rFonts w:ascii="Arial" w:cs="Arial" w:eastAsia="Arial" w:hAnsi="Arial"/>
          <w:sz w:val="14"/>
          <w:szCs w:val="14"/>
          <w:color w:val="auto"/>
        </w:rPr>
        <w:t>In Downstream, through our subsidiary Deheza S.A.I.C.F.eI., we provided retail services in August 2014 to the Iranian embassy in Argentina (Embajada de la República Islámica de Irán). This transaction generated a gross revenue of $63 and an estimated net profit of $6. We have no contractual agreement with this embassy.</w:t>
      </w:r>
    </w:p>
    <w:p>
      <w:pPr>
        <w:spacing w:after="0" w:line="161" w:lineRule="exact"/>
        <w:rPr>
          <w:sz w:val="20"/>
          <w:szCs w:val="20"/>
          <w:color w:val="auto"/>
        </w:rPr>
      </w:pPr>
    </w:p>
    <w:p>
      <w:pPr>
        <w:ind w:right="200"/>
        <w:spacing w:after="0" w:line="245" w:lineRule="auto"/>
        <w:rPr>
          <w:sz w:val="20"/>
          <w:szCs w:val="20"/>
          <w:color w:val="auto"/>
        </w:rPr>
      </w:pPr>
      <w:r>
        <w:rPr>
          <w:rFonts w:ascii="Arial" w:cs="Arial" w:eastAsia="Arial" w:hAnsi="Arial"/>
          <w:sz w:val="14"/>
          <w:szCs w:val="14"/>
          <w:color w:val="auto"/>
        </w:rPr>
        <w:t>At December 31, 2014, we have $2,164 million payable to, and $12 million receivable from, the National Iranian Oil Company. The payable amount decreased by $265 million during 2014 as a result of currency movements. There was no change in the principal amount. We are unable to settle the payable position as a result of applicable sanctions.</w:t>
      </w:r>
    </w:p>
    <w:p>
      <w:pPr>
        <w:sectPr>
          <w:pgSz w:w="11900" w:h="16838" w:orient="portrait"/>
          <w:cols w:equalWidth="0" w:num="2">
            <w:col w:w="5480" w:space="300"/>
            <w:col w:w="5640"/>
          </w:cols>
          <w:pgMar w:left="240" w:top="459" w:right="239" w:bottom="1440" w:gutter="0" w:footer="0" w:header="0"/>
          <w:type w:val="continuous"/>
        </w:sectPr>
      </w:pPr>
    </w:p>
    <w:bookmarkStart w:id="187" w:name="page188"/>
    <w:bookmarkEnd w:id="1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5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300355</wp:posOffset>
            </wp:positionV>
            <wp:extent cx="8890" cy="462915"/>
            <wp:wrapNone/>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570">
                      <a:extLst>
                        <a:ext uri="{28A0092B-C50C-407E-A947-70E740481C1C}"/>
                      </a:extLst>
                    </a:blip>
                    <a:srcRect/>
                    <a:stretch>
                      <a:fillRect/>
                    </a:stretch>
                  </pic:blipFill>
                  <pic:spPr bwMode="auto">
                    <a:xfrm>
                      <a:off x="0" y="0"/>
                      <a:ext cx="8890" cy="462915"/>
                    </a:xfrm>
                    <a:prstGeom prst="rect">
                      <a:avLst/>
                    </a:prstGeom>
                    <a:noFill/>
                  </pic:spPr>
                </pic:pic>
              </a:graphicData>
            </a:graphic>
          </wp:anchor>
        </w:drawing>
      </w:r>
    </w:p>
    <w:p>
      <w:pPr>
        <w:spacing w:after="0" w:line="200" w:lineRule="exact"/>
        <w:rPr>
          <w:sz w:val="20"/>
          <w:szCs w:val="20"/>
          <w:color w:val="auto"/>
        </w:rPr>
      </w:pP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565"/>
        </w:trPr>
        <w:tc>
          <w:tcPr>
            <w:tcW w:w="2460" w:type="dxa"/>
            <w:vAlign w:val="bottom"/>
            <w:shd w:val="clear" w:color="auto" w:fill="FF8B00"/>
          </w:tcPr>
          <w:p>
            <w:pPr>
              <w:ind w:left="260"/>
              <w:spacing w:after="0"/>
              <w:rPr>
                <w:sz w:val="20"/>
                <w:szCs w:val="20"/>
                <w:color w:val="auto"/>
              </w:rPr>
            </w:pPr>
            <w:r>
              <w:rPr>
                <w:rFonts w:ascii="Arial" w:cs="Arial" w:eastAsia="Arial" w:hAnsi="Arial"/>
                <w:sz w:val="11"/>
                <w:szCs w:val="11"/>
                <w:b w:val="1"/>
                <w:bCs w:val="1"/>
                <w:color w:val="333333"/>
              </w:rPr>
              <w:t>186</w:t>
            </w:r>
          </w:p>
        </w:tc>
        <w:tc>
          <w:tcPr>
            <w:tcW w:w="3120" w:type="dxa"/>
            <w:vAlign w:val="bottom"/>
            <w:shd w:val="clear" w:color="auto" w:fill="FF8B00"/>
          </w:tcPr>
          <w:p>
            <w:pPr>
              <w:jc w:val="right"/>
              <w:ind w:right="741"/>
              <w:spacing w:after="0"/>
              <w:rPr>
                <w:sz w:val="20"/>
                <w:szCs w:val="20"/>
                <w:color w:val="auto"/>
              </w:rPr>
            </w:pPr>
            <w:r>
              <w:rPr>
                <w:rFonts w:ascii="Arial" w:cs="Arial" w:eastAsia="Arial" w:hAnsi="Arial"/>
                <w:sz w:val="13"/>
                <w:szCs w:val="13"/>
                <w:color w:val="333333"/>
              </w:rPr>
              <w:t>ADDITIONAL INFORMATION</w:t>
            </w:r>
          </w:p>
        </w:tc>
        <w:tc>
          <w:tcPr>
            <w:tcW w:w="3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5"/>
        </w:trPr>
        <w:tc>
          <w:tcPr>
            <w:tcW w:w="2460" w:type="dxa"/>
            <w:vAlign w:val="bottom"/>
            <w:shd w:val="clear" w:color="auto" w:fill="FF8B00"/>
          </w:tcPr>
          <w:p>
            <w:pPr>
              <w:spacing w:after="0"/>
              <w:rPr>
                <w:sz w:val="14"/>
                <w:szCs w:val="14"/>
                <w:color w:val="auto"/>
              </w:rPr>
            </w:pPr>
          </w:p>
        </w:tc>
        <w:tc>
          <w:tcPr>
            <w:tcW w:w="3120" w:type="dxa"/>
            <w:vAlign w:val="bottom"/>
            <w:shd w:val="clear" w:color="auto" w:fill="FF8B00"/>
          </w:tcPr>
          <w:p>
            <w:pPr>
              <w:spacing w:after="0"/>
              <w:rPr>
                <w:sz w:val="14"/>
                <w:szCs w:val="14"/>
                <w:color w:val="auto"/>
              </w:rPr>
            </w:pPr>
          </w:p>
        </w:tc>
        <w:tc>
          <w:tcPr>
            <w:tcW w:w="3320" w:type="dxa"/>
            <w:vAlign w:val="bottom"/>
            <w:vMerge w:val="restart"/>
          </w:tcPr>
          <w:p>
            <w:pPr>
              <w:spacing w:after="0"/>
              <w:rPr>
                <w:sz w:val="14"/>
                <w:szCs w:val="14"/>
                <w:color w:val="auto"/>
              </w:rPr>
            </w:pPr>
          </w:p>
        </w:tc>
        <w:tc>
          <w:tcPr>
            <w:tcW w:w="2540" w:type="dxa"/>
            <w:vAlign w:val="bottom"/>
            <w:gridSpan w:val="4"/>
            <w:vMerge w:val="restart"/>
          </w:tcPr>
          <w:p>
            <w:pPr>
              <w:ind w:left="120"/>
              <w:spacing w:after="0"/>
              <w:rPr>
                <w:sz w:val="20"/>
                <w:szCs w:val="20"/>
                <w:color w:val="auto"/>
              </w:rPr>
            </w:pPr>
            <w:r>
              <w:rPr>
                <w:rFonts w:ascii="Arial" w:cs="Arial" w:eastAsia="Arial" w:hAnsi="Arial"/>
                <w:sz w:val="11"/>
                <w:szCs w:val="11"/>
                <w:color w:val="auto"/>
                <w:w w:val="97"/>
              </w:rPr>
              <w:t>SHELL ANNUAL REPORT AND FORM 20-F 2014</w:t>
            </w:r>
          </w:p>
        </w:tc>
        <w:tc>
          <w:tcPr>
            <w:tcW w:w="0" w:type="dxa"/>
            <w:vAlign w:val="bottom"/>
          </w:tcPr>
          <w:p>
            <w:pPr>
              <w:spacing w:after="0"/>
              <w:rPr>
                <w:sz w:val="1"/>
                <w:szCs w:val="1"/>
                <w:color w:val="auto"/>
              </w:rPr>
            </w:pPr>
          </w:p>
        </w:tc>
      </w:tr>
      <w:tr>
        <w:trPr>
          <w:trHeight w:val="128"/>
        </w:trPr>
        <w:tc>
          <w:tcPr>
            <w:tcW w:w="2460" w:type="dxa"/>
            <w:vAlign w:val="bottom"/>
          </w:tcPr>
          <w:p>
            <w:pPr>
              <w:spacing w:after="0"/>
              <w:rPr>
                <w:sz w:val="11"/>
                <w:szCs w:val="11"/>
                <w:color w:val="auto"/>
              </w:rPr>
            </w:pPr>
          </w:p>
        </w:tc>
        <w:tc>
          <w:tcPr>
            <w:tcW w:w="3120" w:type="dxa"/>
            <w:vAlign w:val="bottom"/>
          </w:tcPr>
          <w:p>
            <w:pPr>
              <w:jc w:val="right"/>
              <w:ind w:right="741"/>
              <w:spacing w:after="0"/>
              <w:rPr>
                <w:sz w:val="20"/>
                <w:szCs w:val="20"/>
                <w:color w:val="auto"/>
              </w:rPr>
            </w:pPr>
            <w:r>
              <w:rPr>
                <w:rFonts w:ascii="Arial" w:cs="Arial" w:eastAsia="Arial" w:hAnsi="Arial"/>
                <w:sz w:val="11"/>
                <w:szCs w:val="11"/>
                <w:color w:val="auto"/>
              </w:rPr>
              <w:t>NON-GAAP MEASURES RECONCILIATIONS</w:t>
            </w:r>
          </w:p>
        </w:tc>
        <w:tc>
          <w:tcPr>
            <w:tcW w:w="3320" w:type="dxa"/>
            <w:vAlign w:val="bottom"/>
            <w:vMerge w:val="continue"/>
          </w:tcPr>
          <w:p>
            <w:pPr>
              <w:spacing w:after="0"/>
              <w:rPr>
                <w:sz w:val="11"/>
                <w:szCs w:val="11"/>
                <w:color w:val="auto"/>
              </w:rPr>
            </w:pPr>
          </w:p>
        </w:tc>
        <w:tc>
          <w:tcPr>
            <w:tcW w:w="2540" w:type="dxa"/>
            <w:vAlign w:val="bottom"/>
            <w:gridSpan w:val="4"/>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358"/>
        </w:trPr>
        <w:tc>
          <w:tcPr>
            <w:tcW w:w="8900" w:type="dxa"/>
            <w:vAlign w:val="bottom"/>
            <w:tcBorders>
              <w:bottom w:val="single" w:sz="8" w:color="auto"/>
            </w:tcBorders>
            <w:gridSpan w:val="3"/>
          </w:tcPr>
          <w:p>
            <w:pPr>
              <w:spacing w:after="0"/>
              <w:rPr>
                <w:sz w:val="20"/>
                <w:szCs w:val="20"/>
                <w:color w:val="auto"/>
              </w:rPr>
            </w:pPr>
            <w:r>
              <w:rPr>
                <w:rFonts w:ascii="Arial" w:cs="Arial" w:eastAsia="Arial" w:hAnsi="Arial"/>
                <w:sz w:val="31"/>
                <w:szCs w:val="31"/>
                <w:color w:val="auto"/>
              </w:rPr>
              <w:t>NON-GAAP MEASURES RECONCILIATIONS</w:t>
            </w:r>
          </w:p>
        </w:tc>
        <w:tc>
          <w:tcPr>
            <w:tcW w:w="1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9"/>
        </w:trPr>
        <w:tc>
          <w:tcPr>
            <w:tcW w:w="2460" w:type="dxa"/>
            <w:vAlign w:val="bottom"/>
          </w:tcPr>
          <w:p>
            <w:pPr>
              <w:spacing w:after="0"/>
              <w:rPr>
                <w:sz w:val="20"/>
                <w:szCs w:val="20"/>
                <w:color w:val="auto"/>
              </w:rPr>
            </w:pPr>
            <w:r>
              <w:rPr>
                <w:rFonts w:ascii="Arial" w:cs="Arial" w:eastAsia="Arial" w:hAnsi="Arial"/>
                <w:sz w:val="18"/>
                <w:szCs w:val="18"/>
                <w:color w:val="auto"/>
              </w:rPr>
              <w:t>NET CAPITAL INVESTMENT</w:t>
            </w:r>
          </w:p>
        </w:tc>
        <w:tc>
          <w:tcPr>
            <w:tcW w:w="312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8900" w:type="dxa"/>
            <w:vAlign w:val="bottom"/>
            <w:gridSpan w:val="3"/>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8900" w:type="dxa"/>
            <w:vAlign w:val="bottom"/>
            <w:gridSpan w:val="3"/>
            <w:shd w:val="clear" w:color="auto" w:fill="333333"/>
          </w:tcPr>
          <w:p>
            <w:pPr>
              <w:ind w:left="80"/>
              <w:spacing w:after="0" w:line="162" w:lineRule="exact"/>
              <w:rPr>
                <w:sz w:val="20"/>
                <w:szCs w:val="20"/>
                <w:color w:val="auto"/>
              </w:rPr>
            </w:pPr>
            <w:r>
              <w:rPr>
                <w:rFonts w:ascii="Arial" w:cs="Arial" w:eastAsia="Arial" w:hAnsi="Arial"/>
                <w:sz w:val="15"/>
                <w:szCs w:val="15"/>
                <w:b w:val="1"/>
                <w:bCs w:val="1"/>
                <w:color w:val="FFFFFF"/>
              </w:rPr>
              <w:t>RECONCILIATION OF NET CAPITAL INVESTMENT TO NET CASH USED IN INVESTING ACTIVITIES</w:t>
            </w:r>
          </w:p>
        </w:tc>
        <w:tc>
          <w:tcPr>
            <w:tcW w:w="1160" w:type="dxa"/>
            <w:vAlign w:val="bottom"/>
            <w:shd w:val="clear" w:color="auto" w:fill="333333"/>
          </w:tcPr>
          <w:p>
            <w:pPr>
              <w:spacing w:after="0"/>
              <w:rPr>
                <w:sz w:val="14"/>
                <w:szCs w:val="14"/>
                <w:color w:val="auto"/>
              </w:rPr>
            </w:pPr>
          </w:p>
        </w:tc>
        <w:tc>
          <w:tcPr>
            <w:tcW w:w="100" w:type="dxa"/>
            <w:vAlign w:val="bottom"/>
            <w:shd w:val="clear" w:color="auto" w:fill="333333"/>
          </w:tcPr>
          <w:p>
            <w:pPr>
              <w:spacing w:after="0"/>
              <w:rPr>
                <w:sz w:val="14"/>
                <w:szCs w:val="14"/>
                <w:color w:val="auto"/>
              </w:rPr>
            </w:pPr>
          </w:p>
        </w:tc>
        <w:tc>
          <w:tcPr>
            <w:tcW w:w="1260" w:type="dxa"/>
            <w:vAlign w:val="bottom"/>
            <w:shd w:val="clear" w:color="auto" w:fill="333333"/>
          </w:tcPr>
          <w:p>
            <w:pPr>
              <w:jc w:val="right"/>
              <w:ind w:right="148"/>
              <w:spacing w:after="0" w:line="162" w:lineRule="exact"/>
              <w:rPr>
                <w:sz w:val="20"/>
                <w:szCs w:val="20"/>
                <w:color w:val="auto"/>
              </w:rPr>
            </w:pPr>
            <w:r>
              <w:rPr>
                <w:rFonts w:ascii="Arial" w:cs="Arial" w:eastAsia="Arial" w:hAnsi="Arial"/>
                <w:sz w:val="15"/>
                <w:szCs w:val="15"/>
                <w:color w:val="FFFFFF"/>
              </w:rPr>
              <w:t>$ MILLION</w:t>
            </w: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460" w:type="dxa"/>
            <w:vAlign w:val="bottom"/>
            <w:tcBorders>
              <w:bottom w:val="single" w:sz="8" w:color="auto"/>
            </w:tcBorders>
          </w:tcPr>
          <w:p>
            <w:pPr>
              <w:spacing w:after="0"/>
              <w:rPr>
                <w:sz w:val="12"/>
                <w:szCs w:val="12"/>
                <w:color w:val="auto"/>
              </w:rPr>
            </w:pPr>
          </w:p>
        </w:tc>
        <w:tc>
          <w:tcPr>
            <w:tcW w:w="3120" w:type="dxa"/>
            <w:vAlign w:val="bottom"/>
            <w:tcBorders>
              <w:bottom w:val="single" w:sz="8" w:color="auto"/>
            </w:tcBorders>
          </w:tcPr>
          <w:p>
            <w:pPr>
              <w:spacing w:after="0"/>
              <w:rPr>
                <w:sz w:val="12"/>
                <w:szCs w:val="12"/>
                <w:color w:val="auto"/>
              </w:rPr>
            </w:pPr>
          </w:p>
        </w:tc>
        <w:tc>
          <w:tcPr>
            <w:tcW w:w="332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shd w:val="clear" w:color="auto" w:fill="D8D8D8"/>
          </w:tcPr>
          <w:p>
            <w:pPr>
              <w:jc w:val="right"/>
              <w:ind w:right="50"/>
              <w:spacing w:after="0"/>
              <w:rPr>
                <w:sz w:val="20"/>
                <w:szCs w:val="20"/>
                <w:color w:val="auto"/>
              </w:rPr>
            </w:pPr>
            <w:r>
              <w:rPr>
                <w:rFonts w:ascii="Arial" w:cs="Arial" w:eastAsia="Arial" w:hAnsi="Arial"/>
                <w:sz w:val="13"/>
                <w:szCs w:val="13"/>
                <w:color w:val="auto"/>
              </w:rPr>
              <w:t>2014</w:t>
            </w:r>
          </w:p>
        </w:tc>
        <w:tc>
          <w:tcPr>
            <w:tcW w:w="100" w:type="dxa"/>
            <w:vAlign w:val="bottom"/>
            <w:tcBorders>
              <w:bottom w:val="single" w:sz="8" w:color="auto"/>
            </w:tcBorders>
            <w:shd w:val="clear" w:color="auto" w:fill="D8D8D8"/>
          </w:tcPr>
          <w:p>
            <w:pPr>
              <w:spacing w:after="0"/>
              <w:rPr>
                <w:sz w:val="12"/>
                <w:szCs w:val="12"/>
                <w:color w:val="auto"/>
              </w:rPr>
            </w:pPr>
          </w:p>
        </w:tc>
        <w:tc>
          <w:tcPr>
            <w:tcW w:w="1260" w:type="dxa"/>
            <w:vAlign w:val="bottom"/>
            <w:tcBorders>
              <w:bottom w:val="single" w:sz="8" w:color="auto"/>
            </w:tcBorders>
          </w:tcPr>
          <w:p>
            <w:pPr>
              <w:jc w:val="right"/>
              <w:ind w:right="148"/>
              <w:spacing w:after="0"/>
              <w:rPr>
                <w:sz w:val="20"/>
                <w:szCs w:val="20"/>
                <w:color w:val="auto"/>
              </w:rPr>
            </w:pPr>
            <w:r>
              <w:rPr>
                <w:rFonts w:ascii="Arial" w:cs="Arial" w:eastAsia="Arial" w:hAnsi="Arial"/>
                <w:sz w:val="13"/>
                <w:szCs w:val="13"/>
                <w:color w:val="auto"/>
              </w:rPr>
              <w:t>2013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460" w:type="dxa"/>
            <w:vAlign w:val="bottom"/>
          </w:tcPr>
          <w:p>
            <w:pPr>
              <w:spacing w:after="0" w:line="155" w:lineRule="exact"/>
              <w:rPr>
                <w:sz w:val="20"/>
                <w:szCs w:val="20"/>
                <w:color w:val="auto"/>
              </w:rPr>
            </w:pPr>
            <w:r>
              <w:rPr>
                <w:rFonts w:ascii="Arial" w:cs="Arial" w:eastAsia="Arial" w:hAnsi="Arial"/>
                <w:sz w:val="14"/>
                <w:szCs w:val="14"/>
                <w:color w:val="auto"/>
              </w:rPr>
              <w:t>Net capital investment</w:t>
            </w:r>
          </w:p>
        </w:tc>
        <w:tc>
          <w:tcPr>
            <w:tcW w:w="3120" w:type="dxa"/>
            <w:vAlign w:val="bottom"/>
          </w:tcPr>
          <w:p>
            <w:pPr>
              <w:spacing w:after="0"/>
              <w:rPr>
                <w:sz w:val="13"/>
                <w:szCs w:val="13"/>
                <w:color w:val="auto"/>
              </w:rPr>
            </w:pPr>
          </w:p>
        </w:tc>
        <w:tc>
          <w:tcPr>
            <w:tcW w:w="3320" w:type="dxa"/>
            <w:vAlign w:val="bottom"/>
          </w:tcPr>
          <w:p>
            <w:pPr>
              <w:spacing w:after="0"/>
              <w:rPr>
                <w:sz w:val="13"/>
                <w:szCs w:val="13"/>
                <w:color w:val="auto"/>
              </w:rPr>
            </w:pPr>
          </w:p>
        </w:tc>
        <w:tc>
          <w:tcPr>
            <w:tcW w:w="1160" w:type="dxa"/>
            <w:vAlign w:val="bottom"/>
            <w:shd w:val="clear" w:color="auto" w:fill="D8D8D8"/>
          </w:tcPr>
          <w:p>
            <w:pPr>
              <w:spacing w:after="0"/>
              <w:rPr>
                <w:sz w:val="13"/>
                <w:szCs w:val="13"/>
                <w:color w:val="auto"/>
              </w:rPr>
            </w:pPr>
          </w:p>
        </w:tc>
        <w:tc>
          <w:tcPr>
            <w:tcW w:w="100" w:type="dxa"/>
            <w:vAlign w:val="bottom"/>
            <w:shd w:val="clear" w:color="auto" w:fill="D8D8D8"/>
          </w:tcPr>
          <w:p>
            <w:pPr>
              <w:spacing w:after="0"/>
              <w:rPr>
                <w:sz w:val="13"/>
                <w:szCs w:val="13"/>
                <w:color w:val="auto"/>
              </w:rPr>
            </w:pPr>
          </w:p>
        </w:tc>
        <w:tc>
          <w:tcPr>
            <w:tcW w:w="1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460" w:type="dxa"/>
            <w:vAlign w:val="bottom"/>
          </w:tcPr>
          <w:p>
            <w:pPr>
              <w:ind w:left="140"/>
              <w:spacing w:after="0"/>
              <w:rPr>
                <w:sz w:val="20"/>
                <w:szCs w:val="20"/>
                <w:color w:val="auto"/>
              </w:rPr>
            </w:pPr>
            <w:r>
              <w:rPr>
                <w:rFonts w:ascii="Arial" w:cs="Arial" w:eastAsia="Arial" w:hAnsi="Arial"/>
                <w:sz w:val="14"/>
                <w:szCs w:val="14"/>
                <w:color w:val="auto"/>
              </w:rPr>
              <w:t>Upstream</w:t>
            </w:r>
          </w:p>
        </w:tc>
        <w:tc>
          <w:tcPr>
            <w:tcW w:w="312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1160" w:type="dxa"/>
            <w:vAlign w:val="bottom"/>
            <w:shd w:val="clear" w:color="auto" w:fill="D8D8D8"/>
          </w:tcPr>
          <w:p>
            <w:pPr>
              <w:jc w:val="right"/>
              <w:ind w:right="50"/>
              <w:spacing w:after="0"/>
              <w:rPr>
                <w:sz w:val="20"/>
                <w:szCs w:val="20"/>
                <w:color w:val="auto"/>
              </w:rPr>
            </w:pPr>
            <w:r>
              <w:rPr>
                <w:rFonts w:ascii="Arial" w:cs="Arial" w:eastAsia="Arial" w:hAnsi="Arial"/>
                <w:sz w:val="14"/>
                <w:szCs w:val="14"/>
                <w:color w:val="auto"/>
              </w:rPr>
              <w:t>20,704</w:t>
            </w:r>
          </w:p>
        </w:tc>
        <w:tc>
          <w:tcPr>
            <w:tcW w:w="100" w:type="dxa"/>
            <w:vAlign w:val="bottom"/>
            <w:shd w:val="clear" w:color="auto" w:fill="D8D8D8"/>
          </w:tcPr>
          <w:p>
            <w:pPr>
              <w:spacing w:after="0"/>
              <w:rPr>
                <w:sz w:val="14"/>
                <w:szCs w:val="14"/>
                <w:color w:val="auto"/>
              </w:rPr>
            </w:pPr>
          </w:p>
        </w:tc>
        <w:tc>
          <w:tcPr>
            <w:tcW w:w="1260" w:type="dxa"/>
            <w:vAlign w:val="bottom"/>
          </w:tcPr>
          <w:p>
            <w:pPr>
              <w:jc w:val="right"/>
              <w:ind w:right="148"/>
              <w:spacing w:after="0"/>
              <w:rPr>
                <w:sz w:val="20"/>
                <w:szCs w:val="20"/>
                <w:color w:val="auto"/>
              </w:rPr>
            </w:pPr>
            <w:r>
              <w:rPr>
                <w:rFonts w:ascii="Arial" w:cs="Arial" w:eastAsia="Arial" w:hAnsi="Arial"/>
                <w:sz w:val="14"/>
                <w:szCs w:val="14"/>
                <w:color w:val="auto"/>
              </w:rPr>
              <w:t>39,217</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460" w:type="dxa"/>
            <w:vAlign w:val="bottom"/>
          </w:tcPr>
          <w:p>
            <w:pPr>
              <w:ind w:left="140"/>
              <w:spacing w:after="0"/>
              <w:rPr>
                <w:sz w:val="20"/>
                <w:szCs w:val="20"/>
                <w:color w:val="auto"/>
              </w:rPr>
            </w:pPr>
            <w:r>
              <w:rPr>
                <w:rFonts w:ascii="Arial" w:cs="Arial" w:eastAsia="Arial" w:hAnsi="Arial"/>
                <w:sz w:val="14"/>
                <w:szCs w:val="14"/>
                <w:color w:val="auto"/>
              </w:rPr>
              <w:t>Downstream</w:t>
            </w:r>
          </w:p>
        </w:tc>
        <w:tc>
          <w:tcPr>
            <w:tcW w:w="312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1160" w:type="dxa"/>
            <w:vAlign w:val="bottom"/>
            <w:shd w:val="clear" w:color="auto" w:fill="D8D8D8"/>
          </w:tcPr>
          <w:p>
            <w:pPr>
              <w:jc w:val="right"/>
              <w:ind w:right="50"/>
              <w:spacing w:after="0"/>
              <w:rPr>
                <w:sz w:val="20"/>
                <w:szCs w:val="20"/>
                <w:color w:val="auto"/>
              </w:rPr>
            </w:pPr>
            <w:r>
              <w:rPr>
                <w:rFonts w:ascii="Arial" w:cs="Arial" w:eastAsia="Arial" w:hAnsi="Arial"/>
                <w:sz w:val="14"/>
                <w:szCs w:val="14"/>
                <w:color w:val="auto"/>
              </w:rPr>
              <w:t>3,079</w:t>
            </w:r>
          </w:p>
        </w:tc>
        <w:tc>
          <w:tcPr>
            <w:tcW w:w="100" w:type="dxa"/>
            <w:vAlign w:val="bottom"/>
            <w:shd w:val="clear" w:color="auto" w:fill="D8D8D8"/>
          </w:tcPr>
          <w:p>
            <w:pPr>
              <w:spacing w:after="0"/>
              <w:rPr>
                <w:sz w:val="14"/>
                <w:szCs w:val="14"/>
                <w:color w:val="auto"/>
              </w:rPr>
            </w:pPr>
          </w:p>
        </w:tc>
        <w:tc>
          <w:tcPr>
            <w:tcW w:w="1260" w:type="dxa"/>
            <w:vAlign w:val="bottom"/>
          </w:tcPr>
          <w:p>
            <w:pPr>
              <w:jc w:val="right"/>
              <w:ind w:right="148"/>
              <w:spacing w:after="0"/>
              <w:rPr>
                <w:sz w:val="20"/>
                <w:szCs w:val="20"/>
                <w:color w:val="auto"/>
              </w:rPr>
            </w:pPr>
            <w:r>
              <w:rPr>
                <w:rFonts w:ascii="Arial" w:cs="Arial" w:eastAsia="Arial" w:hAnsi="Arial"/>
                <w:sz w:val="14"/>
                <w:szCs w:val="14"/>
                <w:color w:val="auto"/>
              </w:rPr>
              <w:t>4,885</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2460" w:type="dxa"/>
            <w:vAlign w:val="bottom"/>
            <w:tcBorders>
              <w:bottom w:val="single" w:sz="8" w:color="auto"/>
            </w:tcBorders>
          </w:tcPr>
          <w:p>
            <w:pPr>
              <w:ind w:left="140"/>
              <w:spacing w:after="0" w:line="157" w:lineRule="exact"/>
              <w:rPr>
                <w:sz w:val="20"/>
                <w:szCs w:val="20"/>
                <w:color w:val="auto"/>
              </w:rPr>
            </w:pPr>
            <w:r>
              <w:rPr>
                <w:rFonts w:ascii="Arial" w:cs="Arial" w:eastAsia="Arial" w:hAnsi="Arial"/>
                <w:sz w:val="14"/>
                <w:szCs w:val="14"/>
                <w:color w:val="auto"/>
              </w:rPr>
              <w:t>Corporate</w:t>
            </w:r>
          </w:p>
        </w:tc>
        <w:tc>
          <w:tcPr>
            <w:tcW w:w="3120" w:type="dxa"/>
            <w:vAlign w:val="bottom"/>
            <w:tcBorders>
              <w:bottom w:val="single" w:sz="8" w:color="auto"/>
            </w:tcBorders>
          </w:tcPr>
          <w:p>
            <w:pPr>
              <w:spacing w:after="0"/>
              <w:rPr>
                <w:sz w:val="13"/>
                <w:szCs w:val="13"/>
                <w:color w:val="auto"/>
              </w:rPr>
            </w:pPr>
          </w:p>
        </w:tc>
        <w:tc>
          <w:tcPr>
            <w:tcW w:w="332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shd w:val="clear" w:color="auto" w:fill="D8D8D8"/>
          </w:tcPr>
          <w:p>
            <w:pPr>
              <w:jc w:val="right"/>
              <w:ind w:right="50"/>
              <w:spacing w:after="0" w:line="157" w:lineRule="exact"/>
              <w:rPr>
                <w:sz w:val="20"/>
                <w:szCs w:val="20"/>
                <w:color w:val="auto"/>
              </w:rPr>
            </w:pPr>
            <w:r>
              <w:rPr>
                <w:rFonts w:ascii="Arial" w:cs="Arial" w:eastAsia="Arial" w:hAnsi="Arial"/>
                <w:sz w:val="14"/>
                <w:szCs w:val="14"/>
                <w:color w:val="auto"/>
              </w:rPr>
              <w:t>116</w:t>
            </w:r>
          </w:p>
        </w:tc>
        <w:tc>
          <w:tcPr>
            <w:tcW w:w="100" w:type="dxa"/>
            <w:vAlign w:val="bottom"/>
            <w:tcBorders>
              <w:bottom w:val="single" w:sz="8" w:color="auto"/>
            </w:tcBorders>
            <w:shd w:val="clear" w:color="auto" w:fill="D8D8D8"/>
          </w:tcPr>
          <w:p>
            <w:pPr>
              <w:spacing w:after="0"/>
              <w:rPr>
                <w:sz w:val="13"/>
                <w:szCs w:val="13"/>
                <w:color w:val="auto"/>
              </w:rPr>
            </w:pPr>
          </w:p>
        </w:tc>
        <w:tc>
          <w:tcPr>
            <w:tcW w:w="1260" w:type="dxa"/>
            <w:vAlign w:val="bottom"/>
            <w:tcBorders>
              <w:bottom w:val="single" w:sz="8" w:color="auto"/>
            </w:tcBorders>
          </w:tcPr>
          <w:p>
            <w:pPr>
              <w:jc w:val="right"/>
              <w:ind w:right="148"/>
              <w:spacing w:after="0" w:line="157" w:lineRule="exact"/>
              <w:rPr>
                <w:sz w:val="20"/>
                <w:szCs w:val="20"/>
                <w:color w:val="auto"/>
              </w:rPr>
            </w:pPr>
            <w:r>
              <w:rPr>
                <w:rFonts w:ascii="Arial" w:cs="Arial" w:eastAsia="Arial" w:hAnsi="Arial"/>
                <w:sz w:val="14"/>
                <w:szCs w:val="14"/>
                <w:color w:val="auto"/>
              </w:rPr>
              <w:t>201</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460" w:type="dxa"/>
            <w:vAlign w:val="bottom"/>
          </w:tcPr>
          <w:p>
            <w:pPr>
              <w:spacing w:after="0"/>
              <w:rPr>
                <w:sz w:val="20"/>
                <w:szCs w:val="20"/>
                <w:color w:val="auto"/>
              </w:rPr>
            </w:pPr>
            <w:r>
              <w:rPr>
                <w:rFonts w:ascii="Arial" w:cs="Arial" w:eastAsia="Arial" w:hAnsi="Arial"/>
                <w:sz w:val="14"/>
                <w:szCs w:val="14"/>
                <w:color w:val="auto"/>
              </w:rPr>
              <w:t>Total</w:t>
            </w:r>
          </w:p>
        </w:tc>
        <w:tc>
          <w:tcPr>
            <w:tcW w:w="3120" w:type="dxa"/>
            <w:vAlign w:val="bottom"/>
          </w:tcPr>
          <w:p>
            <w:pPr>
              <w:spacing w:after="0"/>
              <w:rPr>
                <w:sz w:val="13"/>
                <w:szCs w:val="13"/>
                <w:color w:val="auto"/>
              </w:rPr>
            </w:pPr>
          </w:p>
        </w:tc>
        <w:tc>
          <w:tcPr>
            <w:tcW w:w="3320" w:type="dxa"/>
            <w:vAlign w:val="bottom"/>
          </w:tcPr>
          <w:p>
            <w:pPr>
              <w:spacing w:after="0"/>
              <w:rPr>
                <w:sz w:val="13"/>
                <w:szCs w:val="13"/>
                <w:color w:val="auto"/>
              </w:rPr>
            </w:pPr>
          </w:p>
        </w:tc>
        <w:tc>
          <w:tcPr>
            <w:tcW w:w="1160" w:type="dxa"/>
            <w:vAlign w:val="bottom"/>
            <w:shd w:val="clear" w:color="auto" w:fill="D8D8D8"/>
          </w:tcPr>
          <w:p>
            <w:pPr>
              <w:jc w:val="right"/>
              <w:ind w:right="50"/>
              <w:spacing w:after="0"/>
              <w:rPr>
                <w:sz w:val="20"/>
                <w:szCs w:val="20"/>
                <w:color w:val="auto"/>
              </w:rPr>
            </w:pPr>
            <w:r>
              <w:rPr>
                <w:rFonts w:ascii="Arial" w:cs="Arial" w:eastAsia="Arial" w:hAnsi="Arial"/>
                <w:sz w:val="14"/>
                <w:szCs w:val="14"/>
                <w:color w:val="auto"/>
              </w:rPr>
              <w:t>23,899</w:t>
            </w:r>
          </w:p>
        </w:tc>
        <w:tc>
          <w:tcPr>
            <w:tcW w:w="100" w:type="dxa"/>
            <w:vAlign w:val="bottom"/>
            <w:shd w:val="clear" w:color="auto" w:fill="D8D8D8"/>
          </w:tcPr>
          <w:p>
            <w:pPr>
              <w:spacing w:after="0"/>
              <w:rPr>
                <w:sz w:val="13"/>
                <w:szCs w:val="13"/>
                <w:color w:val="auto"/>
              </w:rPr>
            </w:pPr>
          </w:p>
        </w:tc>
        <w:tc>
          <w:tcPr>
            <w:tcW w:w="1260" w:type="dxa"/>
            <w:vAlign w:val="bottom"/>
          </w:tcPr>
          <w:p>
            <w:pPr>
              <w:jc w:val="right"/>
              <w:ind w:right="148"/>
              <w:spacing w:after="0"/>
              <w:rPr>
                <w:sz w:val="20"/>
                <w:szCs w:val="20"/>
                <w:color w:val="auto"/>
              </w:rPr>
            </w:pPr>
            <w:r>
              <w:rPr>
                <w:rFonts w:ascii="Arial" w:cs="Arial" w:eastAsia="Arial" w:hAnsi="Arial"/>
                <w:sz w:val="14"/>
                <w:szCs w:val="14"/>
                <w:color w:val="auto"/>
              </w:rPr>
              <w:t>44,303</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8900" w:type="dxa"/>
            <w:vAlign w:val="bottom"/>
            <w:gridSpan w:val="3"/>
          </w:tcPr>
          <w:p>
            <w:pPr>
              <w:spacing w:after="0"/>
              <w:rPr>
                <w:sz w:val="20"/>
                <w:szCs w:val="20"/>
                <w:color w:val="auto"/>
              </w:rPr>
            </w:pPr>
            <w:r>
              <w:rPr>
                <w:rFonts w:ascii="Arial" w:cs="Arial" w:eastAsia="Arial" w:hAnsi="Arial"/>
                <w:sz w:val="14"/>
                <w:szCs w:val="14"/>
                <w:color w:val="auto"/>
              </w:rPr>
              <w:t>Exploration expense, excluding exploration wells written off</w:t>
            </w:r>
          </w:p>
        </w:tc>
        <w:tc>
          <w:tcPr>
            <w:tcW w:w="1160" w:type="dxa"/>
            <w:vAlign w:val="bottom"/>
            <w:shd w:val="clear" w:color="auto" w:fill="D8D8D8"/>
          </w:tcPr>
          <w:p>
            <w:pPr>
              <w:jc w:val="right"/>
              <w:ind w:right="50"/>
              <w:spacing w:after="0"/>
              <w:rPr>
                <w:sz w:val="20"/>
                <w:szCs w:val="20"/>
                <w:color w:val="auto"/>
              </w:rPr>
            </w:pPr>
            <w:r>
              <w:rPr>
                <w:rFonts w:ascii="Arial" w:cs="Arial" w:eastAsia="Arial" w:hAnsi="Arial"/>
                <w:sz w:val="14"/>
                <w:szCs w:val="14"/>
                <w:color w:val="auto"/>
              </w:rPr>
              <w:t>(2,244)</w:t>
            </w:r>
          </w:p>
        </w:tc>
        <w:tc>
          <w:tcPr>
            <w:tcW w:w="100" w:type="dxa"/>
            <w:vAlign w:val="bottom"/>
            <w:shd w:val="clear" w:color="auto" w:fill="D8D8D8"/>
          </w:tcPr>
          <w:p>
            <w:pPr>
              <w:spacing w:after="0"/>
              <w:rPr>
                <w:sz w:val="14"/>
                <w:szCs w:val="14"/>
                <w:color w:val="auto"/>
              </w:rPr>
            </w:pPr>
          </w:p>
        </w:tc>
        <w:tc>
          <w:tcPr>
            <w:tcW w:w="1260" w:type="dxa"/>
            <w:vAlign w:val="bottom"/>
          </w:tcPr>
          <w:p>
            <w:pPr>
              <w:jc w:val="right"/>
              <w:ind w:right="88"/>
              <w:spacing w:after="0"/>
              <w:rPr>
                <w:sz w:val="20"/>
                <w:szCs w:val="20"/>
                <w:color w:val="auto"/>
              </w:rPr>
            </w:pPr>
            <w:r>
              <w:rPr>
                <w:rFonts w:ascii="Arial" w:cs="Arial" w:eastAsia="Arial" w:hAnsi="Arial"/>
                <w:sz w:val="14"/>
                <w:szCs w:val="14"/>
                <w:color w:val="auto"/>
              </w:rPr>
              <w:t>(2,506)</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460" w:type="dxa"/>
            <w:vAlign w:val="bottom"/>
          </w:tcPr>
          <w:p>
            <w:pPr>
              <w:spacing w:after="0"/>
              <w:rPr>
                <w:sz w:val="20"/>
                <w:szCs w:val="20"/>
                <w:color w:val="auto"/>
              </w:rPr>
            </w:pPr>
            <w:r>
              <w:rPr>
                <w:rFonts w:ascii="Arial" w:cs="Arial" w:eastAsia="Arial" w:hAnsi="Arial"/>
                <w:sz w:val="14"/>
                <w:szCs w:val="14"/>
                <w:color w:val="auto"/>
              </w:rPr>
              <w:t>Finance leases</w:t>
            </w:r>
          </w:p>
        </w:tc>
        <w:tc>
          <w:tcPr>
            <w:tcW w:w="312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1160" w:type="dxa"/>
            <w:vAlign w:val="bottom"/>
            <w:shd w:val="clear" w:color="auto" w:fill="D8D8D8"/>
          </w:tcPr>
          <w:p>
            <w:pPr>
              <w:jc w:val="right"/>
              <w:ind w:right="50"/>
              <w:spacing w:after="0"/>
              <w:rPr>
                <w:sz w:val="20"/>
                <w:szCs w:val="20"/>
                <w:color w:val="auto"/>
              </w:rPr>
            </w:pPr>
            <w:r>
              <w:rPr>
                <w:rFonts w:ascii="Arial" w:cs="Arial" w:eastAsia="Arial" w:hAnsi="Arial"/>
                <w:sz w:val="14"/>
                <w:szCs w:val="14"/>
                <w:color w:val="auto"/>
              </w:rPr>
              <w:t>(2,124)</w:t>
            </w:r>
          </w:p>
        </w:tc>
        <w:tc>
          <w:tcPr>
            <w:tcW w:w="100" w:type="dxa"/>
            <w:vAlign w:val="bottom"/>
            <w:shd w:val="clear" w:color="auto" w:fill="D8D8D8"/>
          </w:tcPr>
          <w:p>
            <w:pPr>
              <w:spacing w:after="0"/>
              <w:rPr>
                <w:sz w:val="14"/>
                <w:szCs w:val="14"/>
                <w:color w:val="auto"/>
              </w:rPr>
            </w:pPr>
          </w:p>
        </w:tc>
        <w:tc>
          <w:tcPr>
            <w:tcW w:w="1260" w:type="dxa"/>
            <w:vAlign w:val="bottom"/>
          </w:tcPr>
          <w:p>
            <w:pPr>
              <w:jc w:val="right"/>
              <w:ind w:right="88"/>
              <w:spacing w:after="0"/>
              <w:rPr>
                <w:sz w:val="20"/>
                <w:szCs w:val="20"/>
                <w:color w:val="auto"/>
              </w:rPr>
            </w:pPr>
            <w:r>
              <w:rPr>
                <w:rFonts w:ascii="Arial" w:cs="Arial" w:eastAsia="Arial" w:hAnsi="Arial"/>
                <w:sz w:val="14"/>
                <w:szCs w:val="14"/>
                <w:color w:val="auto"/>
              </w:rPr>
              <w:t>(1,323)</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2460" w:type="dxa"/>
            <w:vAlign w:val="bottom"/>
            <w:tcBorders>
              <w:bottom w:val="single" w:sz="8" w:color="auto"/>
            </w:tcBorders>
          </w:tcPr>
          <w:p>
            <w:pPr>
              <w:spacing w:after="0" w:line="157" w:lineRule="exact"/>
              <w:rPr>
                <w:sz w:val="20"/>
                <w:szCs w:val="20"/>
                <w:color w:val="auto"/>
              </w:rPr>
            </w:pPr>
            <w:r>
              <w:rPr>
                <w:rFonts w:ascii="Arial" w:cs="Arial" w:eastAsia="Arial" w:hAnsi="Arial"/>
                <w:sz w:val="14"/>
                <w:szCs w:val="14"/>
                <w:color w:val="auto"/>
              </w:rPr>
              <w:t>Other</w:t>
            </w:r>
          </w:p>
        </w:tc>
        <w:tc>
          <w:tcPr>
            <w:tcW w:w="3120" w:type="dxa"/>
            <w:vAlign w:val="bottom"/>
            <w:tcBorders>
              <w:bottom w:val="single" w:sz="8" w:color="auto"/>
            </w:tcBorders>
          </w:tcPr>
          <w:p>
            <w:pPr>
              <w:spacing w:after="0"/>
              <w:rPr>
                <w:sz w:val="13"/>
                <w:szCs w:val="13"/>
                <w:color w:val="auto"/>
              </w:rPr>
            </w:pPr>
          </w:p>
        </w:tc>
        <w:tc>
          <w:tcPr>
            <w:tcW w:w="332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shd w:val="clear" w:color="auto" w:fill="D8D8D8"/>
          </w:tcPr>
          <w:p>
            <w:pPr>
              <w:jc w:val="right"/>
              <w:ind w:right="50"/>
              <w:spacing w:after="0" w:line="157" w:lineRule="exact"/>
              <w:rPr>
                <w:sz w:val="20"/>
                <w:szCs w:val="20"/>
                <w:color w:val="auto"/>
              </w:rPr>
            </w:pPr>
            <w:r>
              <w:rPr>
                <w:rFonts w:ascii="Arial" w:cs="Arial" w:eastAsia="Arial" w:hAnsi="Arial"/>
                <w:sz w:val="14"/>
                <w:szCs w:val="14"/>
                <w:color w:val="auto"/>
              </w:rPr>
              <w:t>126</w:t>
            </w:r>
          </w:p>
        </w:tc>
        <w:tc>
          <w:tcPr>
            <w:tcW w:w="100" w:type="dxa"/>
            <w:vAlign w:val="bottom"/>
            <w:tcBorders>
              <w:bottom w:val="single" w:sz="8" w:color="auto"/>
            </w:tcBorders>
            <w:shd w:val="clear" w:color="auto" w:fill="D8D8D8"/>
          </w:tcPr>
          <w:p>
            <w:pPr>
              <w:spacing w:after="0"/>
              <w:rPr>
                <w:sz w:val="13"/>
                <w:szCs w:val="13"/>
                <w:color w:val="auto"/>
              </w:rPr>
            </w:pPr>
          </w:p>
        </w:tc>
        <w:tc>
          <w:tcPr>
            <w:tcW w:w="1260" w:type="dxa"/>
            <w:vAlign w:val="bottom"/>
            <w:tcBorders>
              <w:bottom w:val="single" w:sz="8" w:color="auto"/>
            </w:tcBorders>
          </w:tcPr>
          <w:p>
            <w:pPr>
              <w:jc w:val="right"/>
              <w:ind w:right="88"/>
              <w:spacing w:after="0" w:line="157" w:lineRule="exact"/>
              <w:rPr>
                <w:sz w:val="20"/>
                <w:szCs w:val="20"/>
                <w:color w:val="auto"/>
              </w:rPr>
            </w:pPr>
            <w:r>
              <w:rPr>
                <w:rFonts w:ascii="Arial" w:cs="Arial" w:eastAsia="Arial" w:hAnsi="Arial"/>
                <w:sz w:val="14"/>
                <w:szCs w:val="14"/>
                <w:color w:val="auto"/>
              </w:rPr>
              <w:t>(328)</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460" w:type="dxa"/>
            <w:vAlign w:val="bottom"/>
            <w:tcBorders>
              <w:bottom w:val="single" w:sz="8" w:color="auto"/>
            </w:tcBorders>
          </w:tcPr>
          <w:p>
            <w:pPr>
              <w:spacing w:after="0" w:line="155" w:lineRule="exact"/>
              <w:rPr>
                <w:sz w:val="20"/>
                <w:szCs w:val="20"/>
                <w:color w:val="auto"/>
              </w:rPr>
            </w:pPr>
            <w:r>
              <w:rPr>
                <w:rFonts w:ascii="Arial" w:cs="Arial" w:eastAsia="Arial" w:hAnsi="Arial"/>
                <w:sz w:val="14"/>
                <w:szCs w:val="14"/>
                <w:color w:val="auto"/>
              </w:rPr>
              <w:t>Net cash used in investing activities</w:t>
            </w:r>
          </w:p>
        </w:tc>
        <w:tc>
          <w:tcPr>
            <w:tcW w:w="3120" w:type="dxa"/>
            <w:vAlign w:val="bottom"/>
            <w:tcBorders>
              <w:bottom w:val="single" w:sz="8" w:color="auto"/>
            </w:tcBorders>
          </w:tcPr>
          <w:p>
            <w:pPr>
              <w:spacing w:after="0"/>
              <w:rPr>
                <w:sz w:val="13"/>
                <w:szCs w:val="13"/>
                <w:color w:val="auto"/>
              </w:rPr>
            </w:pPr>
          </w:p>
        </w:tc>
        <w:tc>
          <w:tcPr>
            <w:tcW w:w="332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shd w:val="clear" w:color="auto" w:fill="D8D8D8"/>
          </w:tcPr>
          <w:p>
            <w:pPr>
              <w:jc w:val="right"/>
              <w:ind w:right="50"/>
              <w:spacing w:after="0" w:line="155" w:lineRule="exact"/>
              <w:rPr>
                <w:sz w:val="20"/>
                <w:szCs w:val="20"/>
                <w:color w:val="auto"/>
              </w:rPr>
            </w:pPr>
            <w:r>
              <w:rPr>
                <w:rFonts w:ascii="Arial" w:cs="Arial" w:eastAsia="Arial" w:hAnsi="Arial"/>
                <w:sz w:val="14"/>
                <w:szCs w:val="14"/>
                <w:color w:val="auto"/>
              </w:rPr>
              <w:t>19,657</w:t>
            </w:r>
          </w:p>
        </w:tc>
        <w:tc>
          <w:tcPr>
            <w:tcW w:w="100" w:type="dxa"/>
            <w:vAlign w:val="bottom"/>
            <w:tcBorders>
              <w:bottom w:val="single" w:sz="8" w:color="auto"/>
            </w:tcBorders>
            <w:shd w:val="clear" w:color="auto" w:fill="D8D8D8"/>
          </w:tcPr>
          <w:p>
            <w:pPr>
              <w:spacing w:after="0"/>
              <w:rPr>
                <w:sz w:val="13"/>
                <w:szCs w:val="13"/>
                <w:color w:val="auto"/>
              </w:rPr>
            </w:pPr>
          </w:p>
        </w:tc>
        <w:tc>
          <w:tcPr>
            <w:tcW w:w="1260" w:type="dxa"/>
            <w:vAlign w:val="bottom"/>
            <w:tcBorders>
              <w:bottom w:val="single" w:sz="8" w:color="auto"/>
            </w:tcBorders>
          </w:tcPr>
          <w:p>
            <w:pPr>
              <w:jc w:val="right"/>
              <w:ind w:right="148"/>
              <w:spacing w:after="0" w:line="155" w:lineRule="exact"/>
              <w:rPr>
                <w:sz w:val="20"/>
                <w:szCs w:val="20"/>
                <w:color w:val="auto"/>
              </w:rPr>
            </w:pPr>
            <w:r>
              <w:rPr>
                <w:rFonts w:ascii="Arial" w:cs="Arial" w:eastAsia="Arial" w:hAnsi="Arial"/>
                <w:sz w:val="14"/>
                <w:szCs w:val="14"/>
                <w:color w:val="auto"/>
              </w:rPr>
              <w:t>40,146</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85"/>
        </w:trPr>
        <w:tc>
          <w:tcPr>
            <w:tcW w:w="2460" w:type="dxa"/>
            <w:vAlign w:val="bottom"/>
          </w:tcPr>
          <w:p>
            <w:pPr>
              <w:spacing w:after="0"/>
              <w:rPr>
                <w:sz w:val="20"/>
                <w:szCs w:val="20"/>
                <w:color w:val="auto"/>
              </w:rPr>
            </w:pPr>
            <w:r>
              <w:rPr>
                <w:rFonts w:ascii="Arial" w:cs="Arial" w:eastAsia="Arial" w:hAnsi="Arial"/>
                <w:sz w:val="18"/>
                <w:szCs w:val="18"/>
                <w:color w:val="auto"/>
              </w:rPr>
              <w:t>CAPITAL INVESTMENT</w:t>
            </w:r>
          </w:p>
        </w:tc>
        <w:tc>
          <w:tcPr>
            <w:tcW w:w="312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8900" w:type="dxa"/>
            <w:vAlign w:val="bottom"/>
            <w:gridSpan w:val="3"/>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8900" w:type="dxa"/>
            <w:vAlign w:val="bottom"/>
            <w:gridSpan w:val="3"/>
            <w:shd w:val="clear" w:color="auto" w:fill="333333"/>
          </w:tcPr>
          <w:p>
            <w:pPr>
              <w:ind w:left="80"/>
              <w:spacing w:after="0" w:line="162" w:lineRule="exact"/>
              <w:rPr>
                <w:sz w:val="20"/>
                <w:szCs w:val="20"/>
                <w:color w:val="auto"/>
              </w:rPr>
            </w:pPr>
            <w:r>
              <w:rPr>
                <w:rFonts w:ascii="Arial" w:cs="Arial" w:eastAsia="Arial" w:hAnsi="Arial"/>
                <w:sz w:val="15"/>
                <w:szCs w:val="15"/>
                <w:b w:val="1"/>
                <w:bCs w:val="1"/>
                <w:color w:val="FFFFFF"/>
              </w:rPr>
              <w:t>RECONCILIATION OF CAPITAL INVESTMENT TO CAPITAL EXPENDITURE</w:t>
            </w:r>
          </w:p>
        </w:tc>
        <w:tc>
          <w:tcPr>
            <w:tcW w:w="1160" w:type="dxa"/>
            <w:vAlign w:val="bottom"/>
            <w:shd w:val="clear" w:color="auto" w:fill="333333"/>
          </w:tcPr>
          <w:p>
            <w:pPr>
              <w:spacing w:after="0"/>
              <w:rPr>
                <w:sz w:val="14"/>
                <w:szCs w:val="14"/>
                <w:color w:val="auto"/>
              </w:rPr>
            </w:pPr>
          </w:p>
        </w:tc>
        <w:tc>
          <w:tcPr>
            <w:tcW w:w="100" w:type="dxa"/>
            <w:vAlign w:val="bottom"/>
            <w:shd w:val="clear" w:color="auto" w:fill="333333"/>
          </w:tcPr>
          <w:p>
            <w:pPr>
              <w:spacing w:after="0"/>
              <w:rPr>
                <w:sz w:val="14"/>
                <w:szCs w:val="14"/>
                <w:color w:val="auto"/>
              </w:rPr>
            </w:pPr>
          </w:p>
        </w:tc>
        <w:tc>
          <w:tcPr>
            <w:tcW w:w="1260" w:type="dxa"/>
            <w:vAlign w:val="bottom"/>
            <w:shd w:val="clear" w:color="auto" w:fill="333333"/>
          </w:tcPr>
          <w:p>
            <w:pPr>
              <w:jc w:val="right"/>
              <w:ind w:right="148"/>
              <w:spacing w:after="0" w:line="162" w:lineRule="exact"/>
              <w:rPr>
                <w:sz w:val="20"/>
                <w:szCs w:val="20"/>
                <w:color w:val="auto"/>
              </w:rPr>
            </w:pPr>
            <w:r>
              <w:rPr>
                <w:rFonts w:ascii="Arial" w:cs="Arial" w:eastAsia="Arial" w:hAnsi="Arial"/>
                <w:sz w:val="15"/>
                <w:szCs w:val="15"/>
                <w:color w:val="FFFFFF"/>
              </w:rPr>
              <w:t>$ MILLION</w:t>
            </w: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460" w:type="dxa"/>
            <w:vAlign w:val="bottom"/>
            <w:tcBorders>
              <w:bottom w:val="single" w:sz="8" w:color="auto"/>
            </w:tcBorders>
          </w:tcPr>
          <w:p>
            <w:pPr>
              <w:spacing w:after="0"/>
              <w:rPr>
                <w:sz w:val="12"/>
                <w:szCs w:val="12"/>
                <w:color w:val="auto"/>
              </w:rPr>
            </w:pPr>
          </w:p>
        </w:tc>
        <w:tc>
          <w:tcPr>
            <w:tcW w:w="3120" w:type="dxa"/>
            <w:vAlign w:val="bottom"/>
            <w:tcBorders>
              <w:bottom w:val="single" w:sz="8" w:color="auto"/>
            </w:tcBorders>
          </w:tcPr>
          <w:p>
            <w:pPr>
              <w:spacing w:after="0"/>
              <w:rPr>
                <w:sz w:val="12"/>
                <w:szCs w:val="12"/>
                <w:color w:val="auto"/>
              </w:rPr>
            </w:pPr>
          </w:p>
        </w:tc>
        <w:tc>
          <w:tcPr>
            <w:tcW w:w="332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shd w:val="clear" w:color="auto" w:fill="D8D8D8"/>
          </w:tcPr>
          <w:p>
            <w:pPr>
              <w:jc w:val="right"/>
              <w:ind w:right="150"/>
              <w:spacing w:after="0"/>
              <w:rPr>
                <w:sz w:val="20"/>
                <w:szCs w:val="20"/>
                <w:color w:val="auto"/>
              </w:rPr>
            </w:pPr>
            <w:r>
              <w:rPr>
                <w:rFonts w:ascii="Arial" w:cs="Arial" w:eastAsia="Arial" w:hAnsi="Arial"/>
                <w:sz w:val="13"/>
                <w:szCs w:val="13"/>
                <w:color w:val="auto"/>
              </w:rPr>
              <w:t>2014</w:t>
            </w:r>
          </w:p>
        </w:tc>
        <w:tc>
          <w:tcPr>
            <w:tcW w:w="100" w:type="dxa"/>
            <w:vAlign w:val="bottom"/>
            <w:tcBorders>
              <w:bottom w:val="single" w:sz="8" w:color="auto"/>
            </w:tcBorders>
          </w:tcPr>
          <w:p>
            <w:pPr>
              <w:spacing w:after="0"/>
              <w:rPr>
                <w:sz w:val="12"/>
                <w:szCs w:val="12"/>
                <w:color w:val="auto"/>
              </w:rPr>
            </w:pPr>
          </w:p>
        </w:tc>
        <w:tc>
          <w:tcPr>
            <w:tcW w:w="1260" w:type="dxa"/>
            <w:vAlign w:val="bottom"/>
            <w:tcBorders>
              <w:bottom w:val="single" w:sz="8" w:color="auto"/>
            </w:tcBorders>
          </w:tcPr>
          <w:p>
            <w:pPr>
              <w:jc w:val="right"/>
              <w:ind w:right="148"/>
              <w:spacing w:after="0"/>
              <w:rPr>
                <w:sz w:val="20"/>
                <w:szCs w:val="20"/>
                <w:color w:val="auto"/>
              </w:rPr>
            </w:pPr>
            <w:r>
              <w:rPr>
                <w:rFonts w:ascii="Arial" w:cs="Arial" w:eastAsia="Arial" w:hAnsi="Arial"/>
                <w:sz w:val="13"/>
                <w:szCs w:val="13"/>
                <w:color w:val="auto"/>
              </w:rPr>
              <w:t>2013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460" w:type="dxa"/>
            <w:vAlign w:val="bottom"/>
          </w:tcPr>
          <w:p>
            <w:pPr>
              <w:spacing w:after="0" w:line="155" w:lineRule="exact"/>
              <w:rPr>
                <w:sz w:val="20"/>
                <w:szCs w:val="20"/>
                <w:color w:val="auto"/>
              </w:rPr>
            </w:pPr>
            <w:r>
              <w:rPr>
                <w:rFonts w:ascii="Arial" w:cs="Arial" w:eastAsia="Arial" w:hAnsi="Arial"/>
                <w:sz w:val="14"/>
                <w:szCs w:val="14"/>
                <w:color w:val="auto"/>
              </w:rPr>
              <w:t>Capital investment</w:t>
            </w:r>
          </w:p>
        </w:tc>
        <w:tc>
          <w:tcPr>
            <w:tcW w:w="3120" w:type="dxa"/>
            <w:vAlign w:val="bottom"/>
          </w:tcPr>
          <w:p>
            <w:pPr>
              <w:spacing w:after="0"/>
              <w:rPr>
                <w:sz w:val="13"/>
                <w:szCs w:val="13"/>
                <w:color w:val="auto"/>
              </w:rPr>
            </w:pPr>
          </w:p>
        </w:tc>
        <w:tc>
          <w:tcPr>
            <w:tcW w:w="3320" w:type="dxa"/>
            <w:vAlign w:val="bottom"/>
          </w:tcPr>
          <w:p>
            <w:pPr>
              <w:spacing w:after="0"/>
              <w:rPr>
                <w:sz w:val="13"/>
                <w:szCs w:val="13"/>
                <w:color w:val="auto"/>
              </w:rPr>
            </w:pPr>
          </w:p>
        </w:tc>
        <w:tc>
          <w:tcPr>
            <w:tcW w:w="1160" w:type="dxa"/>
            <w:vAlign w:val="bottom"/>
            <w:shd w:val="clear" w:color="auto" w:fill="D8D8D8"/>
          </w:tcPr>
          <w:p>
            <w:pPr>
              <w:spacing w:after="0"/>
              <w:rPr>
                <w:sz w:val="13"/>
                <w:szCs w:val="13"/>
                <w:color w:val="auto"/>
              </w:rPr>
            </w:pPr>
          </w:p>
        </w:tc>
        <w:tc>
          <w:tcPr>
            <w:tcW w:w="1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460" w:type="dxa"/>
            <w:vAlign w:val="bottom"/>
          </w:tcPr>
          <w:p>
            <w:pPr>
              <w:ind w:left="140"/>
              <w:spacing w:after="0"/>
              <w:rPr>
                <w:sz w:val="20"/>
                <w:szCs w:val="20"/>
                <w:color w:val="auto"/>
              </w:rPr>
            </w:pPr>
            <w:r>
              <w:rPr>
                <w:rFonts w:ascii="Arial" w:cs="Arial" w:eastAsia="Arial" w:hAnsi="Arial"/>
                <w:sz w:val="14"/>
                <w:szCs w:val="14"/>
                <w:color w:val="auto"/>
              </w:rPr>
              <w:t>Upstream</w:t>
            </w:r>
          </w:p>
        </w:tc>
        <w:tc>
          <w:tcPr>
            <w:tcW w:w="312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1160" w:type="dxa"/>
            <w:vAlign w:val="bottom"/>
            <w:shd w:val="clear" w:color="auto" w:fill="D8D8D8"/>
          </w:tcPr>
          <w:p>
            <w:pPr>
              <w:jc w:val="right"/>
              <w:ind w:right="150"/>
              <w:spacing w:after="0"/>
              <w:rPr>
                <w:sz w:val="20"/>
                <w:szCs w:val="20"/>
                <w:color w:val="auto"/>
              </w:rPr>
            </w:pPr>
            <w:r>
              <w:rPr>
                <w:rFonts w:ascii="Arial" w:cs="Arial" w:eastAsia="Arial" w:hAnsi="Arial"/>
                <w:sz w:val="14"/>
                <w:szCs w:val="14"/>
                <w:color w:val="auto"/>
              </w:rPr>
              <w:t>31,293</w:t>
            </w:r>
          </w:p>
        </w:tc>
        <w:tc>
          <w:tcPr>
            <w:tcW w:w="100" w:type="dxa"/>
            <w:vAlign w:val="bottom"/>
          </w:tcPr>
          <w:p>
            <w:pPr>
              <w:spacing w:after="0"/>
              <w:rPr>
                <w:sz w:val="14"/>
                <w:szCs w:val="14"/>
                <w:color w:val="auto"/>
              </w:rPr>
            </w:pPr>
          </w:p>
        </w:tc>
        <w:tc>
          <w:tcPr>
            <w:tcW w:w="1260" w:type="dxa"/>
            <w:vAlign w:val="bottom"/>
          </w:tcPr>
          <w:p>
            <w:pPr>
              <w:jc w:val="right"/>
              <w:ind w:right="148"/>
              <w:spacing w:after="0"/>
              <w:rPr>
                <w:sz w:val="20"/>
                <w:szCs w:val="20"/>
                <w:color w:val="auto"/>
              </w:rPr>
            </w:pPr>
            <w:r>
              <w:rPr>
                <w:rFonts w:ascii="Arial" w:cs="Arial" w:eastAsia="Arial" w:hAnsi="Arial"/>
                <w:sz w:val="14"/>
                <w:szCs w:val="14"/>
                <w:color w:val="auto"/>
              </w:rPr>
              <w:t>40,303</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460" w:type="dxa"/>
            <w:vAlign w:val="bottom"/>
          </w:tcPr>
          <w:p>
            <w:pPr>
              <w:ind w:left="140"/>
              <w:spacing w:after="0"/>
              <w:rPr>
                <w:sz w:val="20"/>
                <w:szCs w:val="20"/>
                <w:color w:val="auto"/>
              </w:rPr>
            </w:pPr>
            <w:r>
              <w:rPr>
                <w:rFonts w:ascii="Arial" w:cs="Arial" w:eastAsia="Arial" w:hAnsi="Arial"/>
                <w:sz w:val="14"/>
                <w:szCs w:val="14"/>
                <w:color w:val="auto"/>
              </w:rPr>
              <w:t>Downstream</w:t>
            </w:r>
          </w:p>
        </w:tc>
        <w:tc>
          <w:tcPr>
            <w:tcW w:w="312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1160" w:type="dxa"/>
            <w:vAlign w:val="bottom"/>
            <w:shd w:val="clear" w:color="auto" w:fill="D8D8D8"/>
          </w:tcPr>
          <w:p>
            <w:pPr>
              <w:jc w:val="right"/>
              <w:ind w:right="150"/>
              <w:spacing w:after="0"/>
              <w:rPr>
                <w:sz w:val="20"/>
                <w:szCs w:val="20"/>
                <w:color w:val="auto"/>
              </w:rPr>
            </w:pPr>
            <w:r>
              <w:rPr>
                <w:rFonts w:ascii="Arial" w:cs="Arial" w:eastAsia="Arial" w:hAnsi="Arial"/>
                <w:sz w:val="14"/>
                <w:szCs w:val="14"/>
                <w:color w:val="auto"/>
              </w:rPr>
              <w:t>5,910</w:t>
            </w:r>
          </w:p>
        </w:tc>
        <w:tc>
          <w:tcPr>
            <w:tcW w:w="100" w:type="dxa"/>
            <w:vAlign w:val="bottom"/>
          </w:tcPr>
          <w:p>
            <w:pPr>
              <w:spacing w:after="0"/>
              <w:rPr>
                <w:sz w:val="14"/>
                <w:szCs w:val="14"/>
                <w:color w:val="auto"/>
              </w:rPr>
            </w:pPr>
          </w:p>
        </w:tc>
        <w:tc>
          <w:tcPr>
            <w:tcW w:w="1260" w:type="dxa"/>
            <w:vAlign w:val="bottom"/>
          </w:tcPr>
          <w:p>
            <w:pPr>
              <w:jc w:val="right"/>
              <w:ind w:right="148"/>
              <w:spacing w:after="0"/>
              <w:rPr>
                <w:sz w:val="20"/>
                <w:szCs w:val="20"/>
                <w:color w:val="auto"/>
              </w:rPr>
            </w:pPr>
            <w:r>
              <w:rPr>
                <w:rFonts w:ascii="Arial" w:cs="Arial" w:eastAsia="Arial" w:hAnsi="Arial"/>
                <w:sz w:val="14"/>
                <w:szCs w:val="14"/>
                <w:color w:val="auto"/>
              </w:rPr>
              <w:t>5,528</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2460" w:type="dxa"/>
            <w:vAlign w:val="bottom"/>
            <w:tcBorders>
              <w:bottom w:val="single" w:sz="8" w:color="auto"/>
            </w:tcBorders>
          </w:tcPr>
          <w:p>
            <w:pPr>
              <w:ind w:left="140"/>
              <w:spacing w:after="0" w:line="157" w:lineRule="exact"/>
              <w:rPr>
                <w:sz w:val="20"/>
                <w:szCs w:val="20"/>
                <w:color w:val="auto"/>
              </w:rPr>
            </w:pPr>
            <w:r>
              <w:rPr>
                <w:rFonts w:ascii="Arial" w:cs="Arial" w:eastAsia="Arial" w:hAnsi="Arial"/>
                <w:sz w:val="14"/>
                <w:szCs w:val="14"/>
                <w:color w:val="auto"/>
              </w:rPr>
              <w:t>Corporate</w:t>
            </w:r>
          </w:p>
        </w:tc>
        <w:tc>
          <w:tcPr>
            <w:tcW w:w="3120" w:type="dxa"/>
            <w:vAlign w:val="bottom"/>
            <w:tcBorders>
              <w:bottom w:val="single" w:sz="8" w:color="auto"/>
            </w:tcBorders>
          </w:tcPr>
          <w:p>
            <w:pPr>
              <w:spacing w:after="0"/>
              <w:rPr>
                <w:sz w:val="13"/>
                <w:szCs w:val="13"/>
                <w:color w:val="auto"/>
              </w:rPr>
            </w:pPr>
          </w:p>
        </w:tc>
        <w:tc>
          <w:tcPr>
            <w:tcW w:w="332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shd w:val="clear" w:color="auto" w:fill="D8D8D8"/>
          </w:tcPr>
          <w:p>
            <w:pPr>
              <w:jc w:val="right"/>
              <w:ind w:right="150"/>
              <w:spacing w:after="0" w:line="157" w:lineRule="exact"/>
              <w:rPr>
                <w:sz w:val="20"/>
                <w:szCs w:val="20"/>
                <w:color w:val="auto"/>
              </w:rPr>
            </w:pPr>
            <w:r>
              <w:rPr>
                <w:rFonts w:ascii="Arial" w:cs="Arial" w:eastAsia="Arial" w:hAnsi="Arial"/>
                <w:sz w:val="14"/>
                <w:szCs w:val="14"/>
                <w:color w:val="auto"/>
              </w:rPr>
              <w:t>136</w:t>
            </w:r>
          </w:p>
        </w:tc>
        <w:tc>
          <w:tcPr>
            <w:tcW w:w="10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tcPr>
          <w:p>
            <w:pPr>
              <w:jc w:val="right"/>
              <w:ind w:right="148"/>
              <w:spacing w:after="0" w:line="157" w:lineRule="exact"/>
              <w:rPr>
                <w:sz w:val="20"/>
                <w:szCs w:val="20"/>
                <w:color w:val="auto"/>
              </w:rPr>
            </w:pPr>
            <w:r>
              <w:rPr>
                <w:rFonts w:ascii="Arial" w:cs="Arial" w:eastAsia="Arial" w:hAnsi="Arial"/>
                <w:sz w:val="14"/>
                <w:szCs w:val="14"/>
                <w:color w:val="auto"/>
              </w:rPr>
              <w:t>210</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460" w:type="dxa"/>
            <w:vAlign w:val="bottom"/>
          </w:tcPr>
          <w:p>
            <w:pPr>
              <w:spacing w:after="0"/>
              <w:rPr>
                <w:sz w:val="20"/>
                <w:szCs w:val="20"/>
                <w:color w:val="auto"/>
              </w:rPr>
            </w:pPr>
            <w:r>
              <w:rPr>
                <w:rFonts w:ascii="Arial" w:cs="Arial" w:eastAsia="Arial" w:hAnsi="Arial"/>
                <w:sz w:val="14"/>
                <w:szCs w:val="14"/>
                <w:color w:val="auto"/>
              </w:rPr>
              <w:t>Total</w:t>
            </w:r>
          </w:p>
        </w:tc>
        <w:tc>
          <w:tcPr>
            <w:tcW w:w="3120" w:type="dxa"/>
            <w:vAlign w:val="bottom"/>
          </w:tcPr>
          <w:p>
            <w:pPr>
              <w:spacing w:after="0"/>
              <w:rPr>
                <w:sz w:val="13"/>
                <w:szCs w:val="13"/>
                <w:color w:val="auto"/>
              </w:rPr>
            </w:pPr>
          </w:p>
        </w:tc>
        <w:tc>
          <w:tcPr>
            <w:tcW w:w="3320" w:type="dxa"/>
            <w:vAlign w:val="bottom"/>
          </w:tcPr>
          <w:p>
            <w:pPr>
              <w:spacing w:after="0"/>
              <w:rPr>
                <w:sz w:val="13"/>
                <w:szCs w:val="13"/>
                <w:color w:val="auto"/>
              </w:rPr>
            </w:pPr>
          </w:p>
        </w:tc>
        <w:tc>
          <w:tcPr>
            <w:tcW w:w="1160" w:type="dxa"/>
            <w:vAlign w:val="bottom"/>
            <w:shd w:val="clear" w:color="auto" w:fill="D8D8D8"/>
          </w:tcPr>
          <w:p>
            <w:pPr>
              <w:jc w:val="right"/>
              <w:ind w:right="150"/>
              <w:spacing w:after="0"/>
              <w:rPr>
                <w:sz w:val="20"/>
                <w:szCs w:val="20"/>
                <w:color w:val="auto"/>
              </w:rPr>
            </w:pPr>
            <w:r>
              <w:rPr>
                <w:rFonts w:ascii="Arial" w:cs="Arial" w:eastAsia="Arial" w:hAnsi="Arial"/>
                <w:sz w:val="14"/>
                <w:szCs w:val="14"/>
                <w:color w:val="auto"/>
              </w:rPr>
              <w:t>37,339</w:t>
            </w:r>
          </w:p>
        </w:tc>
        <w:tc>
          <w:tcPr>
            <w:tcW w:w="100" w:type="dxa"/>
            <w:vAlign w:val="bottom"/>
          </w:tcPr>
          <w:p>
            <w:pPr>
              <w:spacing w:after="0"/>
              <w:rPr>
                <w:sz w:val="13"/>
                <w:szCs w:val="13"/>
                <w:color w:val="auto"/>
              </w:rPr>
            </w:pPr>
          </w:p>
        </w:tc>
        <w:tc>
          <w:tcPr>
            <w:tcW w:w="1260" w:type="dxa"/>
            <w:vAlign w:val="bottom"/>
          </w:tcPr>
          <w:p>
            <w:pPr>
              <w:jc w:val="right"/>
              <w:ind w:right="148"/>
              <w:spacing w:after="0"/>
              <w:rPr>
                <w:sz w:val="20"/>
                <w:szCs w:val="20"/>
                <w:color w:val="auto"/>
              </w:rPr>
            </w:pPr>
            <w:r>
              <w:rPr>
                <w:rFonts w:ascii="Arial" w:cs="Arial" w:eastAsia="Arial" w:hAnsi="Arial"/>
                <w:sz w:val="14"/>
                <w:szCs w:val="14"/>
                <w:color w:val="auto"/>
              </w:rPr>
              <w:t>46,041</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8900" w:type="dxa"/>
            <w:vAlign w:val="bottom"/>
            <w:gridSpan w:val="3"/>
          </w:tcPr>
          <w:p>
            <w:pPr>
              <w:spacing w:after="0"/>
              <w:rPr>
                <w:sz w:val="20"/>
                <w:szCs w:val="20"/>
                <w:color w:val="auto"/>
              </w:rPr>
            </w:pPr>
            <w:r>
              <w:rPr>
                <w:rFonts w:ascii="Arial" w:cs="Arial" w:eastAsia="Arial" w:hAnsi="Arial"/>
                <w:sz w:val="14"/>
                <w:szCs w:val="14"/>
                <w:color w:val="auto"/>
              </w:rPr>
              <w:t>Investments in joint ventures and associates</w:t>
            </w:r>
          </w:p>
        </w:tc>
        <w:tc>
          <w:tcPr>
            <w:tcW w:w="1160" w:type="dxa"/>
            <w:vAlign w:val="bottom"/>
            <w:shd w:val="clear" w:color="auto" w:fill="D8D8D8"/>
          </w:tcPr>
          <w:p>
            <w:pPr>
              <w:jc w:val="right"/>
              <w:ind w:right="150"/>
              <w:spacing w:after="0"/>
              <w:rPr>
                <w:sz w:val="20"/>
                <w:szCs w:val="20"/>
                <w:color w:val="auto"/>
              </w:rPr>
            </w:pPr>
            <w:r>
              <w:rPr>
                <w:rFonts w:ascii="Arial" w:cs="Arial" w:eastAsia="Arial" w:hAnsi="Arial"/>
                <w:sz w:val="14"/>
                <w:szCs w:val="14"/>
                <w:color w:val="auto"/>
              </w:rPr>
              <w:t>(1,426)</w:t>
            </w:r>
          </w:p>
        </w:tc>
        <w:tc>
          <w:tcPr>
            <w:tcW w:w="100" w:type="dxa"/>
            <w:vAlign w:val="bottom"/>
          </w:tcPr>
          <w:p>
            <w:pPr>
              <w:spacing w:after="0"/>
              <w:rPr>
                <w:sz w:val="14"/>
                <w:szCs w:val="14"/>
                <w:color w:val="auto"/>
              </w:rPr>
            </w:pPr>
          </w:p>
        </w:tc>
        <w:tc>
          <w:tcPr>
            <w:tcW w:w="1260" w:type="dxa"/>
            <w:vAlign w:val="bottom"/>
          </w:tcPr>
          <w:p>
            <w:pPr>
              <w:jc w:val="right"/>
              <w:ind w:right="88"/>
              <w:spacing w:after="0"/>
              <w:rPr>
                <w:sz w:val="20"/>
                <w:szCs w:val="20"/>
                <w:color w:val="auto"/>
              </w:rPr>
            </w:pPr>
            <w:r>
              <w:rPr>
                <w:rFonts w:ascii="Arial" w:cs="Arial" w:eastAsia="Arial" w:hAnsi="Arial"/>
                <w:sz w:val="14"/>
                <w:szCs w:val="14"/>
                <w:color w:val="auto"/>
              </w:rPr>
              <w:t>(1,538)</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8900" w:type="dxa"/>
            <w:vAlign w:val="bottom"/>
            <w:gridSpan w:val="3"/>
          </w:tcPr>
          <w:p>
            <w:pPr>
              <w:spacing w:after="0"/>
              <w:rPr>
                <w:sz w:val="20"/>
                <w:szCs w:val="20"/>
                <w:color w:val="auto"/>
              </w:rPr>
            </w:pPr>
            <w:r>
              <w:rPr>
                <w:rFonts w:ascii="Arial" w:cs="Arial" w:eastAsia="Arial" w:hAnsi="Arial"/>
                <w:sz w:val="14"/>
                <w:szCs w:val="14"/>
                <w:color w:val="auto"/>
              </w:rPr>
              <w:t>Exploration expense, excluding exploration wells written off</w:t>
            </w:r>
          </w:p>
        </w:tc>
        <w:tc>
          <w:tcPr>
            <w:tcW w:w="1160" w:type="dxa"/>
            <w:vAlign w:val="bottom"/>
            <w:shd w:val="clear" w:color="auto" w:fill="D8D8D8"/>
          </w:tcPr>
          <w:p>
            <w:pPr>
              <w:jc w:val="right"/>
              <w:ind w:right="150"/>
              <w:spacing w:after="0"/>
              <w:rPr>
                <w:sz w:val="20"/>
                <w:szCs w:val="20"/>
                <w:color w:val="auto"/>
              </w:rPr>
            </w:pPr>
            <w:r>
              <w:rPr>
                <w:rFonts w:ascii="Arial" w:cs="Arial" w:eastAsia="Arial" w:hAnsi="Arial"/>
                <w:sz w:val="14"/>
                <w:szCs w:val="14"/>
                <w:color w:val="auto"/>
              </w:rPr>
              <w:t>(2,244)</w:t>
            </w:r>
          </w:p>
        </w:tc>
        <w:tc>
          <w:tcPr>
            <w:tcW w:w="100" w:type="dxa"/>
            <w:vAlign w:val="bottom"/>
          </w:tcPr>
          <w:p>
            <w:pPr>
              <w:spacing w:after="0"/>
              <w:rPr>
                <w:sz w:val="14"/>
                <w:szCs w:val="14"/>
                <w:color w:val="auto"/>
              </w:rPr>
            </w:pPr>
          </w:p>
        </w:tc>
        <w:tc>
          <w:tcPr>
            <w:tcW w:w="1260" w:type="dxa"/>
            <w:vAlign w:val="bottom"/>
          </w:tcPr>
          <w:p>
            <w:pPr>
              <w:jc w:val="right"/>
              <w:ind w:right="88"/>
              <w:spacing w:after="0"/>
              <w:rPr>
                <w:sz w:val="20"/>
                <w:szCs w:val="20"/>
                <w:color w:val="auto"/>
              </w:rPr>
            </w:pPr>
            <w:r>
              <w:rPr>
                <w:rFonts w:ascii="Arial" w:cs="Arial" w:eastAsia="Arial" w:hAnsi="Arial"/>
                <w:sz w:val="14"/>
                <w:szCs w:val="14"/>
                <w:color w:val="auto"/>
              </w:rPr>
              <w:t>(2,506)</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460" w:type="dxa"/>
            <w:vAlign w:val="bottom"/>
          </w:tcPr>
          <w:p>
            <w:pPr>
              <w:spacing w:after="0"/>
              <w:rPr>
                <w:sz w:val="20"/>
                <w:szCs w:val="20"/>
                <w:color w:val="auto"/>
              </w:rPr>
            </w:pPr>
            <w:r>
              <w:rPr>
                <w:rFonts w:ascii="Arial" w:cs="Arial" w:eastAsia="Arial" w:hAnsi="Arial"/>
                <w:sz w:val="14"/>
                <w:szCs w:val="14"/>
                <w:color w:val="auto"/>
              </w:rPr>
              <w:t>Finance leases</w:t>
            </w:r>
          </w:p>
        </w:tc>
        <w:tc>
          <w:tcPr>
            <w:tcW w:w="312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1160" w:type="dxa"/>
            <w:vAlign w:val="bottom"/>
            <w:shd w:val="clear" w:color="auto" w:fill="D8D8D8"/>
          </w:tcPr>
          <w:p>
            <w:pPr>
              <w:jc w:val="right"/>
              <w:ind w:right="150"/>
              <w:spacing w:after="0"/>
              <w:rPr>
                <w:sz w:val="20"/>
                <w:szCs w:val="20"/>
                <w:color w:val="auto"/>
              </w:rPr>
            </w:pPr>
            <w:r>
              <w:rPr>
                <w:rFonts w:ascii="Arial" w:cs="Arial" w:eastAsia="Arial" w:hAnsi="Arial"/>
                <w:sz w:val="14"/>
                <w:szCs w:val="14"/>
                <w:color w:val="auto"/>
              </w:rPr>
              <w:t>(2,124)</w:t>
            </w:r>
          </w:p>
        </w:tc>
        <w:tc>
          <w:tcPr>
            <w:tcW w:w="100" w:type="dxa"/>
            <w:vAlign w:val="bottom"/>
          </w:tcPr>
          <w:p>
            <w:pPr>
              <w:spacing w:after="0"/>
              <w:rPr>
                <w:sz w:val="14"/>
                <w:szCs w:val="14"/>
                <w:color w:val="auto"/>
              </w:rPr>
            </w:pPr>
          </w:p>
        </w:tc>
        <w:tc>
          <w:tcPr>
            <w:tcW w:w="1260" w:type="dxa"/>
            <w:vAlign w:val="bottom"/>
          </w:tcPr>
          <w:p>
            <w:pPr>
              <w:jc w:val="right"/>
              <w:ind w:right="88"/>
              <w:spacing w:after="0"/>
              <w:rPr>
                <w:sz w:val="20"/>
                <w:szCs w:val="20"/>
                <w:color w:val="auto"/>
              </w:rPr>
            </w:pPr>
            <w:r>
              <w:rPr>
                <w:rFonts w:ascii="Arial" w:cs="Arial" w:eastAsia="Arial" w:hAnsi="Arial"/>
                <w:sz w:val="14"/>
                <w:szCs w:val="14"/>
                <w:color w:val="auto"/>
              </w:rPr>
              <w:t>(1,323)</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2460" w:type="dxa"/>
            <w:vAlign w:val="bottom"/>
            <w:tcBorders>
              <w:bottom w:val="single" w:sz="8" w:color="auto"/>
            </w:tcBorders>
          </w:tcPr>
          <w:p>
            <w:pPr>
              <w:spacing w:after="0" w:line="157" w:lineRule="exact"/>
              <w:rPr>
                <w:sz w:val="20"/>
                <w:szCs w:val="20"/>
                <w:color w:val="auto"/>
              </w:rPr>
            </w:pPr>
            <w:r>
              <w:rPr>
                <w:rFonts w:ascii="Arial" w:cs="Arial" w:eastAsia="Arial" w:hAnsi="Arial"/>
                <w:sz w:val="14"/>
                <w:szCs w:val="14"/>
                <w:color w:val="auto"/>
              </w:rPr>
              <w:t>Other</w:t>
            </w:r>
          </w:p>
        </w:tc>
        <w:tc>
          <w:tcPr>
            <w:tcW w:w="3120" w:type="dxa"/>
            <w:vAlign w:val="bottom"/>
            <w:tcBorders>
              <w:bottom w:val="single" w:sz="8" w:color="auto"/>
            </w:tcBorders>
          </w:tcPr>
          <w:p>
            <w:pPr>
              <w:spacing w:after="0"/>
              <w:rPr>
                <w:sz w:val="13"/>
                <w:szCs w:val="13"/>
                <w:color w:val="auto"/>
              </w:rPr>
            </w:pPr>
          </w:p>
        </w:tc>
        <w:tc>
          <w:tcPr>
            <w:tcW w:w="332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shd w:val="clear" w:color="auto" w:fill="D8D8D8"/>
          </w:tcPr>
          <w:p>
            <w:pPr>
              <w:jc w:val="right"/>
              <w:ind w:right="150"/>
              <w:spacing w:after="0" w:line="157" w:lineRule="exact"/>
              <w:rPr>
                <w:sz w:val="20"/>
                <w:szCs w:val="20"/>
                <w:color w:val="auto"/>
              </w:rPr>
            </w:pPr>
            <w:r>
              <w:rPr>
                <w:rFonts w:ascii="Arial" w:cs="Arial" w:eastAsia="Arial" w:hAnsi="Arial"/>
                <w:sz w:val="14"/>
                <w:szCs w:val="14"/>
                <w:color w:val="auto"/>
              </w:rPr>
              <w:t>309</w:t>
            </w:r>
          </w:p>
        </w:tc>
        <w:tc>
          <w:tcPr>
            <w:tcW w:w="10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tcPr>
          <w:p>
            <w:pPr>
              <w:jc w:val="right"/>
              <w:ind w:right="88"/>
              <w:spacing w:after="0" w:line="157" w:lineRule="exact"/>
              <w:rPr>
                <w:sz w:val="20"/>
                <w:szCs w:val="20"/>
                <w:color w:val="auto"/>
              </w:rPr>
            </w:pPr>
            <w:r>
              <w:rPr>
                <w:rFonts w:ascii="Arial" w:cs="Arial" w:eastAsia="Arial" w:hAnsi="Arial"/>
                <w:sz w:val="14"/>
                <w:szCs w:val="14"/>
                <w:color w:val="auto"/>
              </w:rPr>
              <w:t>(529)</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460" w:type="dxa"/>
            <w:vAlign w:val="bottom"/>
            <w:tcBorders>
              <w:bottom w:val="single" w:sz="8" w:color="auto"/>
            </w:tcBorders>
          </w:tcPr>
          <w:p>
            <w:pPr>
              <w:spacing w:after="0" w:line="155" w:lineRule="exact"/>
              <w:rPr>
                <w:sz w:val="20"/>
                <w:szCs w:val="20"/>
                <w:color w:val="auto"/>
              </w:rPr>
            </w:pPr>
            <w:r>
              <w:rPr>
                <w:rFonts w:ascii="Arial" w:cs="Arial" w:eastAsia="Arial" w:hAnsi="Arial"/>
                <w:sz w:val="14"/>
                <w:szCs w:val="14"/>
                <w:color w:val="auto"/>
              </w:rPr>
              <w:t>Capital expenditure</w:t>
            </w:r>
          </w:p>
        </w:tc>
        <w:tc>
          <w:tcPr>
            <w:tcW w:w="3120" w:type="dxa"/>
            <w:vAlign w:val="bottom"/>
            <w:tcBorders>
              <w:bottom w:val="single" w:sz="8" w:color="auto"/>
            </w:tcBorders>
          </w:tcPr>
          <w:p>
            <w:pPr>
              <w:spacing w:after="0"/>
              <w:rPr>
                <w:sz w:val="13"/>
                <w:szCs w:val="13"/>
                <w:color w:val="auto"/>
              </w:rPr>
            </w:pPr>
          </w:p>
        </w:tc>
        <w:tc>
          <w:tcPr>
            <w:tcW w:w="332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shd w:val="clear" w:color="auto" w:fill="D8D8D8"/>
          </w:tcPr>
          <w:p>
            <w:pPr>
              <w:jc w:val="right"/>
              <w:ind w:right="150"/>
              <w:spacing w:after="0" w:line="155" w:lineRule="exact"/>
              <w:rPr>
                <w:sz w:val="20"/>
                <w:szCs w:val="20"/>
                <w:color w:val="auto"/>
              </w:rPr>
            </w:pPr>
            <w:r>
              <w:rPr>
                <w:rFonts w:ascii="Arial" w:cs="Arial" w:eastAsia="Arial" w:hAnsi="Arial"/>
                <w:sz w:val="14"/>
                <w:szCs w:val="14"/>
                <w:color w:val="auto"/>
              </w:rPr>
              <w:t>31,854</w:t>
            </w:r>
          </w:p>
        </w:tc>
        <w:tc>
          <w:tcPr>
            <w:tcW w:w="10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tcPr>
          <w:p>
            <w:pPr>
              <w:jc w:val="right"/>
              <w:ind w:right="148"/>
              <w:spacing w:after="0" w:line="155" w:lineRule="exact"/>
              <w:rPr>
                <w:sz w:val="20"/>
                <w:szCs w:val="20"/>
                <w:color w:val="auto"/>
              </w:rPr>
            </w:pPr>
            <w:r>
              <w:rPr>
                <w:rFonts w:ascii="Arial" w:cs="Arial" w:eastAsia="Arial" w:hAnsi="Arial"/>
                <w:sz w:val="14"/>
                <w:szCs w:val="14"/>
                <w:color w:val="auto"/>
              </w:rPr>
              <w:t>40,145</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60" w:right="239" w:bottom="1440" w:gutter="0" w:footer="0" w:header="0"/>
        </w:sectPr>
      </w:pPr>
    </w:p>
    <w:bookmarkStart w:id="188" w:name="page189"/>
    <w:bookmarkEnd w:id="1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5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6428105</wp:posOffset>
            </wp:positionH>
            <wp:positionV relativeFrom="paragraph">
              <wp:posOffset>300355</wp:posOffset>
            </wp:positionV>
            <wp:extent cx="8890" cy="462915"/>
            <wp:wrapNone/>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572">
                      <a:extLst>
                        <a:ext uri="{28A0092B-C50C-407E-A947-70E740481C1C}"/>
                      </a:extLst>
                    </a:blip>
                    <a:srcRect/>
                    <a:stretch>
                      <a:fillRect/>
                    </a:stretch>
                  </pic:blipFill>
                  <pic:spPr bwMode="auto">
                    <a:xfrm>
                      <a:off x="0" y="0"/>
                      <a:ext cx="8890" cy="462915"/>
                    </a:xfrm>
                    <a:prstGeom prst="rect">
                      <a:avLst/>
                    </a:prstGeom>
                    <a:noFill/>
                  </pic:spPr>
                </pic:pic>
              </a:graphicData>
            </a:graphic>
          </wp:anchor>
        </w:drawing>
      </w:r>
    </w:p>
    <w:p>
      <w:pPr>
        <w:spacing w:after="0" w:line="200" w:lineRule="exact"/>
        <w:rPr>
          <w:sz w:val="20"/>
          <w:szCs w:val="20"/>
          <w:color w:val="auto"/>
        </w:rPr>
      </w:pP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565"/>
        </w:trPr>
        <w:tc>
          <w:tcPr>
            <w:tcW w:w="760" w:type="dxa"/>
            <w:vAlign w:val="bottom"/>
          </w:tcPr>
          <w:p>
            <w:pPr>
              <w:spacing w:after="0"/>
              <w:rPr>
                <w:sz w:val="24"/>
                <w:szCs w:val="24"/>
                <w:color w:val="auto"/>
              </w:rPr>
            </w:pPr>
          </w:p>
        </w:tc>
        <w:tc>
          <w:tcPr>
            <w:tcW w:w="4840" w:type="dxa"/>
            <w:vAlign w:val="bottom"/>
          </w:tcPr>
          <w:p>
            <w:pPr>
              <w:spacing w:after="0"/>
              <w:rPr>
                <w:sz w:val="24"/>
                <w:szCs w:val="24"/>
                <w:color w:val="auto"/>
              </w:rPr>
            </w:pPr>
          </w:p>
        </w:tc>
        <w:tc>
          <w:tcPr>
            <w:tcW w:w="5200" w:type="dxa"/>
            <w:vAlign w:val="bottom"/>
            <w:shd w:val="clear" w:color="auto" w:fill="FF8B00"/>
          </w:tcPr>
          <w:p>
            <w:pPr>
              <w:ind w:left="880"/>
              <w:spacing w:after="0"/>
              <w:rPr>
                <w:sz w:val="20"/>
                <w:szCs w:val="20"/>
                <w:color w:val="auto"/>
              </w:rPr>
            </w:pPr>
            <w:r>
              <w:rPr>
                <w:rFonts w:ascii="Arial" w:cs="Arial" w:eastAsia="Arial" w:hAnsi="Arial"/>
                <w:sz w:val="13"/>
                <w:szCs w:val="13"/>
                <w:color w:val="333333"/>
              </w:rPr>
              <w:t>ADDITIONAL INFORMATION</w:t>
            </w:r>
          </w:p>
        </w:tc>
        <w:tc>
          <w:tcPr>
            <w:tcW w:w="620" w:type="dxa"/>
            <w:vAlign w:val="bottom"/>
            <w:shd w:val="clear" w:color="auto" w:fill="FF8B00"/>
          </w:tcPr>
          <w:p>
            <w:pPr>
              <w:jc w:val="right"/>
              <w:ind w:right="357"/>
              <w:spacing w:after="0"/>
              <w:rPr>
                <w:sz w:val="20"/>
                <w:szCs w:val="20"/>
                <w:color w:val="auto"/>
              </w:rPr>
            </w:pPr>
            <w:r>
              <w:rPr>
                <w:rFonts w:ascii="Arial" w:cs="Arial" w:eastAsia="Arial" w:hAnsi="Arial"/>
                <w:sz w:val="11"/>
                <w:szCs w:val="11"/>
                <w:b w:val="1"/>
                <w:bCs w:val="1"/>
                <w:color w:val="333333"/>
                <w:w w:val="97"/>
              </w:rPr>
              <w:t>187</w:t>
            </w:r>
          </w:p>
        </w:tc>
        <w:tc>
          <w:tcPr>
            <w:tcW w:w="0" w:type="dxa"/>
            <w:vAlign w:val="bottom"/>
          </w:tcPr>
          <w:p>
            <w:pPr>
              <w:spacing w:after="0"/>
              <w:rPr>
                <w:sz w:val="1"/>
                <w:szCs w:val="1"/>
                <w:color w:val="auto"/>
              </w:rPr>
            </w:pPr>
          </w:p>
        </w:tc>
      </w:tr>
      <w:tr>
        <w:trPr>
          <w:trHeight w:val="165"/>
        </w:trPr>
        <w:tc>
          <w:tcPr>
            <w:tcW w:w="5600" w:type="dxa"/>
            <w:vAlign w:val="bottom"/>
            <w:gridSpan w:val="2"/>
            <w:vMerge w:val="restart"/>
          </w:tcPr>
          <w:p>
            <w:pPr>
              <w:spacing w:after="0"/>
              <w:rPr>
                <w:sz w:val="20"/>
                <w:szCs w:val="20"/>
                <w:color w:val="auto"/>
              </w:rPr>
            </w:pPr>
            <w:r>
              <w:rPr>
                <w:rFonts w:ascii="Arial" w:cs="Arial" w:eastAsia="Arial" w:hAnsi="Arial"/>
                <w:sz w:val="11"/>
                <w:szCs w:val="11"/>
                <w:color w:val="auto"/>
              </w:rPr>
              <w:t>SHELL ANNUAL REPORT AND FORM 20-F 2014</w:t>
            </w:r>
          </w:p>
        </w:tc>
        <w:tc>
          <w:tcPr>
            <w:tcW w:w="5200" w:type="dxa"/>
            <w:vAlign w:val="bottom"/>
            <w:shd w:val="clear" w:color="auto" w:fill="FF8B00"/>
          </w:tcPr>
          <w:p>
            <w:pPr>
              <w:spacing w:after="0"/>
              <w:rPr>
                <w:sz w:val="14"/>
                <w:szCs w:val="14"/>
                <w:color w:val="auto"/>
              </w:rPr>
            </w:pPr>
          </w:p>
        </w:tc>
        <w:tc>
          <w:tcPr>
            <w:tcW w:w="620" w:type="dxa"/>
            <w:vAlign w:val="bottom"/>
            <w:shd w:val="clear" w:color="auto" w:fill="FF8B00"/>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5600" w:type="dxa"/>
            <w:vAlign w:val="bottom"/>
            <w:gridSpan w:val="2"/>
            <w:vMerge w:val="continue"/>
          </w:tcPr>
          <w:p>
            <w:pPr>
              <w:spacing w:after="0"/>
              <w:rPr>
                <w:sz w:val="11"/>
                <w:szCs w:val="11"/>
                <w:color w:val="auto"/>
              </w:rPr>
            </w:pPr>
          </w:p>
        </w:tc>
        <w:tc>
          <w:tcPr>
            <w:tcW w:w="5200" w:type="dxa"/>
            <w:vAlign w:val="bottom"/>
          </w:tcPr>
          <w:p>
            <w:pPr>
              <w:ind w:left="880"/>
              <w:spacing w:after="0"/>
              <w:rPr>
                <w:sz w:val="20"/>
                <w:szCs w:val="20"/>
                <w:color w:val="auto"/>
              </w:rPr>
            </w:pPr>
            <w:r>
              <w:rPr>
                <w:rFonts w:ascii="Arial" w:cs="Arial" w:eastAsia="Arial" w:hAnsi="Arial"/>
                <w:sz w:val="11"/>
                <w:szCs w:val="11"/>
                <w:color w:val="auto"/>
              </w:rPr>
              <w:t>INDEX TO THE EXHIBITS</w:t>
            </w:r>
          </w:p>
        </w:tc>
        <w:tc>
          <w:tcPr>
            <w:tcW w:w="6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58"/>
        </w:trPr>
        <w:tc>
          <w:tcPr>
            <w:tcW w:w="5600" w:type="dxa"/>
            <w:vAlign w:val="bottom"/>
            <w:tcBorders>
              <w:bottom w:val="single" w:sz="8" w:color="auto"/>
            </w:tcBorders>
            <w:gridSpan w:val="2"/>
          </w:tcPr>
          <w:p>
            <w:pPr>
              <w:spacing w:after="0"/>
              <w:rPr>
                <w:sz w:val="20"/>
                <w:szCs w:val="20"/>
                <w:color w:val="auto"/>
              </w:rPr>
            </w:pPr>
            <w:r>
              <w:rPr>
                <w:rFonts w:ascii="Arial" w:cs="Arial" w:eastAsia="Arial" w:hAnsi="Arial"/>
                <w:sz w:val="31"/>
                <w:szCs w:val="31"/>
                <w:color w:val="auto"/>
              </w:rPr>
              <w:t>INDEX TO THE EXHIBITS</w:t>
            </w:r>
          </w:p>
        </w:tc>
        <w:tc>
          <w:tcPr>
            <w:tcW w:w="520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72"/>
        </w:trPr>
        <w:tc>
          <w:tcPr>
            <w:tcW w:w="76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Exhibit No.</w:t>
            </w:r>
          </w:p>
        </w:tc>
        <w:tc>
          <w:tcPr>
            <w:tcW w:w="4840" w:type="dxa"/>
            <w:vAlign w:val="bottom"/>
            <w:tcBorders>
              <w:bottom w:val="single" w:sz="8" w:color="auto"/>
            </w:tcBorders>
          </w:tcPr>
          <w:p>
            <w:pPr>
              <w:ind w:left="60"/>
              <w:spacing w:after="0"/>
              <w:rPr>
                <w:sz w:val="20"/>
                <w:szCs w:val="20"/>
                <w:color w:val="auto"/>
              </w:rPr>
            </w:pPr>
            <w:r>
              <w:rPr>
                <w:rFonts w:ascii="Arial" w:cs="Arial" w:eastAsia="Arial" w:hAnsi="Arial"/>
                <w:sz w:val="14"/>
                <w:szCs w:val="14"/>
                <w:color w:val="auto"/>
              </w:rPr>
              <w:t>Description</w:t>
            </w:r>
          </w:p>
        </w:tc>
        <w:tc>
          <w:tcPr>
            <w:tcW w:w="520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jc w:val="right"/>
              <w:ind w:right="17"/>
              <w:spacing w:after="0"/>
              <w:rPr>
                <w:sz w:val="20"/>
                <w:szCs w:val="20"/>
                <w:color w:val="auto"/>
              </w:rPr>
            </w:pPr>
            <w:r>
              <w:rPr>
                <w:rFonts w:ascii="Arial" w:cs="Arial" w:eastAsia="Arial" w:hAnsi="Arial"/>
                <w:sz w:val="14"/>
                <w:szCs w:val="14"/>
                <w:color w:val="auto"/>
              </w:rPr>
              <w:t>Page</w:t>
            </w:r>
          </w:p>
        </w:tc>
        <w:tc>
          <w:tcPr>
            <w:tcW w:w="0" w:type="dxa"/>
            <w:vAlign w:val="bottom"/>
          </w:tcPr>
          <w:p>
            <w:pPr>
              <w:spacing w:after="0"/>
              <w:rPr>
                <w:sz w:val="1"/>
                <w:szCs w:val="1"/>
                <w:color w:val="auto"/>
              </w:rPr>
            </w:pPr>
          </w:p>
        </w:tc>
      </w:tr>
      <w:tr>
        <w:trPr>
          <w:trHeight w:val="160"/>
        </w:trPr>
        <w:tc>
          <w:tcPr>
            <w:tcW w:w="760" w:type="dxa"/>
            <w:vAlign w:val="bottom"/>
          </w:tcPr>
          <w:p>
            <w:pPr>
              <w:spacing w:after="0"/>
              <w:rPr>
                <w:sz w:val="20"/>
                <w:szCs w:val="20"/>
                <w:color w:val="auto"/>
              </w:rPr>
            </w:pPr>
            <w:r>
              <w:rPr>
                <w:rFonts w:ascii="Arial" w:cs="Arial" w:eastAsia="Arial" w:hAnsi="Arial"/>
                <w:sz w:val="14"/>
                <w:szCs w:val="14"/>
                <w:color w:val="auto"/>
              </w:rPr>
              <w:t>1.1</w:t>
            </w:r>
          </w:p>
        </w:tc>
        <w:tc>
          <w:tcPr>
            <w:tcW w:w="10040" w:type="dxa"/>
            <w:vAlign w:val="bottom"/>
            <w:gridSpan w:val="2"/>
          </w:tcPr>
          <w:p>
            <w:pPr>
              <w:ind w:left="60"/>
              <w:spacing w:after="0"/>
              <w:rPr>
                <w:sz w:val="20"/>
                <w:szCs w:val="20"/>
                <w:color w:val="auto"/>
              </w:rPr>
            </w:pPr>
            <w:r>
              <w:rPr>
                <w:rFonts w:ascii="Arial" w:cs="Arial" w:eastAsia="Arial" w:hAnsi="Arial"/>
                <w:sz w:val="14"/>
                <w:szCs w:val="14"/>
                <w:color w:val="auto"/>
              </w:rPr>
              <w:t>Memorandum of Association of Royal Dutch Shell plc, together with a special resolution of Royal Dutch Shell plc dated May 18, 2010, (incorporated by</w:t>
            </w:r>
          </w:p>
        </w:tc>
        <w:tc>
          <w:tcPr>
            <w:tcW w:w="6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760" w:type="dxa"/>
            <w:vAlign w:val="bottom"/>
          </w:tcPr>
          <w:p>
            <w:pPr>
              <w:spacing w:after="0"/>
              <w:rPr>
                <w:sz w:val="14"/>
                <w:szCs w:val="14"/>
                <w:color w:val="auto"/>
              </w:rPr>
            </w:pPr>
          </w:p>
        </w:tc>
        <w:tc>
          <w:tcPr>
            <w:tcW w:w="10040" w:type="dxa"/>
            <w:vAlign w:val="bottom"/>
            <w:gridSpan w:val="2"/>
          </w:tcPr>
          <w:p>
            <w:pPr>
              <w:ind w:left="60"/>
              <w:spacing w:after="0"/>
              <w:rPr>
                <w:sz w:val="20"/>
                <w:szCs w:val="20"/>
                <w:color w:val="auto"/>
              </w:rPr>
            </w:pPr>
            <w:r>
              <w:rPr>
                <w:rFonts w:ascii="Arial" w:cs="Arial" w:eastAsia="Arial" w:hAnsi="Arial"/>
                <w:sz w:val="14"/>
                <w:szCs w:val="14"/>
                <w:color w:val="auto"/>
              </w:rPr>
              <w:t>reference to Exhibit 4.12 to the Registration Statement on Form F-3 (No. 333-177588) of Royal Dutch Shell plc filed with the US Securities and Exchange</w:t>
            </w:r>
          </w:p>
        </w:tc>
        <w:tc>
          <w:tcPr>
            <w:tcW w:w="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60" w:type="dxa"/>
            <w:vAlign w:val="bottom"/>
          </w:tcPr>
          <w:p>
            <w:pPr>
              <w:spacing w:after="0"/>
              <w:rPr>
                <w:sz w:val="14"/>
                <w:szCs w:val="14"/>
                <w:color w:val="auto"/>
              </w:rPr>
            </w:pPr>
          </w:p>
        </w:tc>
        <w:tc>
          <w:tcPr>
            <w:tcW w:w="4840" w:type="dxa"/>
            <w:vAlign w:val="bottom"/>
          </w:tcPr>
          <w:p>
            <w:pPr>
              <w:ind w:left="60"/>
              <w:spacing w:after="0"/>
              <w:rPr>
                <w:sz w:val="20"/>
                <w:szCs w:val="20"/>
                <w:color w:val="auto"/>
              </w:rPr>
            </w:pPr>
            <w:r>
              <w:rPr>
                <w:rFonts w:ascii="Arial" w:cs="Arial" w:eastAsia="Arial" w:hAnsi="Arial"/>
                <w:sz w:val="14"/>
                <w:szCs w:val="14"/>
                <w:color w:val="auto"/>
              </w:rPr>
              <w:t>Commission on October 28, 2011).</w:t>
            </w:r>
          </w:p>
        </w:tc>
        <w:tc>
          <w:tcPr>
            <w:tcW w:w="52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60" w:type="dxa"/>
            <w:vAlign w:val="bottom"/>
          </w:tcPr>
          <w:p>
            <w:pPr>
              <w:spacing w:after="0"/>
              <w:rPr>
                <w:sz w:val="20"/>
                <w:szCs w:val="20"/>
                <w:color w:val="auto"/>
              </w:rPr>
            </w:pPr>
            <w:r>
              <w:rPr>
                <w:rFonts w:ascii="Arial" w:cs="Arial" w:eastAsia="Arial" w:hAnsi="Arial"/>
                <w:sz w:val="14"/>
                <w:szCs w:val="14"/>
                <w:color w:val="auto"/>
              </w:rPr>
              <w:t>1.2</w:t>
            </w:r>
          </w:p>
        </w:tc>
        <w:tc>
          <w:tcPr>
            <w:tcW w:w="10040" w:type="dxa"/>
            <w:vAlign w:val="bottom"/>
            <w:gridSpan w:val="2"/>
          </w:tcPr>
          <w:p>
            <w:pPr>
              <w:ind w:left="60"/>
              <w:spacing w:after="0"/>
              <w:rPr>
                <w:sz w:val="20"/>
                <w:szCs w:val="20"/>
                <w:color w:val="auto"/>
              </w:rPr>
            </w:pPr>
            <w:r>
              <w:rPr>
                <w:rFonts w:ascii="Arial" w:cs="Arial" w:eastAsia="Arial" w:hAnsi="Arial"/>
                <w:sz w:val="14"/>
                <w:szCs w:val="14"/>
                <w:color w:val="auto"/>
              </w:rPr>
              <w:t>Articles of Association of Royal Dutch Shell plc, together with a special resolution of Royal Dutch Shell plc dated May 18, 2010, (incorporated by reference to</w:t>
            </w:r>
          </w:p>
        </w:tc>
        <w:tc>
          <w:tcPr>
            <w:tcW w:w="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60" w:type="dxa"/>
            <w:vAlign w:val="bottom"/>
          </w:tcPr>
          <w:p>
            <w:pPr>
              <w:spacing w:after="0"/>
              <w:rPr>
                <w:sz w:val="14"/>
                <w:szCs w:val="14"/>
                <w:color w:val="auto"/>
              </w:rPr>
            </w:pPr>
          </w:p>
        </w:tc>
        <w:tc>
          <w:tcPr>
            <w:tcW w:w="10040" w:type="dxa"/>
            <w:vAlign w:val="bottom"/>
            <w:gridSpan w:val="2"/>
          </w:tcPr>
          <w:p>
            <w:pPr>
              <w:ind w:left="60"/>
              <w:spacing w:after="0"/>
              <w:rPr>
                <w:sz w:val="20"/>
                <w:szCs w:val="20"/>
                <w:color w:val="auto"/>
              </w:rPr>
            </w:pPr>
            <w:r>
              <w:rPr>
                <w:rFonts w:ascii="Arial" w:cs="Arial" w:eastAsia="Arial" w:hAnsi="Arial"/>
                <w:sz w:val="14"/>
                <w:szCs w:val="14"/>
                <w:color w:val="auto"/>
              </w:rPr>
              <w:t>Exhibit 4.11 to the Registration Statement on Form F-3 (No. 333-177588) of Royal Dutch Shell plc filed with the US Securities and Exchange Commission on</w:t>
            </w:r>
          </w:p>
        </w:tc>
        <w:tc>
          <w:tcPr>
            <w:tcW w:w="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60" w:type="dxa"/>
            <w:vAlign w:val="bottom"/>
          </w:tcPr>
          <w:p>
            <w:pPr>
              <w:spacing w:after="0"/>
              <w:rPr>
                <w:sz w:val="14"/>
                <w:szCs w:val="14"/>
                <w:color w:val="auto"/>
              </w:rPr>
            </w:pPr>
          </w:p>
        </w:tc>
        <w:tc>
          <w:tcPr>
            <w:tcW w:w="4840" w:type="dxa"/>
            <w:vAlign w:val="bottom"/>
          </w:tcPr>
          <w:p>
            <w:pPr>
              <w:ind w:left="60"/>
              <w:spacing w:after="0"/>
              <w:rPr>
                <w:sz w:val="20"/>
                <w:szCs w:val="20"/>
                <w:color w:val="auto"/>
              </w:rPr>
            </w:pPr>
            <w:r>
              <w:rPr>
                <w:rFonts w:ascii="Arial" w:cs="Arial" w:eastAsia="Arial" w:hAnsi="Arial"/>
                <w:sz w:val="14"/>
                <w:szCs w:val="14"/>
                <w:color w:val="auto"/>
              </w:rPr>
              <w:t>October 28, 2011).</w:t>
            </w:r>
          </w:p>
        </w:tc>
        <w:tc>
          <w:tcPr>
            <w:tcW w:w="52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ind w:left="820" w:hanging="812"/>
        <w:spacing w:after="0"/>
        <w:tabs>
          <w:tab w:leader="none" w:pos="820" w:val="left"/>
        </w:tabs>
        <w:numPr>
          <w:ilvl w:val="0"/>
          <w:numId w:val="209"/>
        </w:numPr>
        <w:rPr>
          <w:rFonts w:ascii="Arial" w:cs="Arial" w:eastAsia="Arial" w:hAnsi="Arial"/>
          <w:sz w:val="14"/>
          <w:szCs w:val="14"/>
          <w:color w:val="auto"/>
        </w:rPr>
      </w:pPr>
      <w:r>
        <w:rPr>
          <w:rFonts w:ascii="Arial" w:cs="Arial" w:eastAsia="Arial" w:hAnsi="Arial"/>
          <w:sz w:val="14"/>
          <w:szCs w:val="14"/>
          <w:color w:val="auto"/>
        </w:rPr>
        <w:t>Dividend Access Trust Deed (incorporated by reference to Exhibit 2 to the Annual Report for fiscal year ended December 31, 2006, on Form 20-F (File No.</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60" w:type="dxa"/>
            <w:vAlign w:val="bottom"/>
          </w:tcPr>
          <w:p>
            <w:pPr>
              <w:spacing w:after="0"/>
              <w:rPr>
                <w:sz w:val="14"/>
                <w:szCs w:val="14"/>
                <w:color w:val="auto"/>
              </w:rPr>
            </w:pPr>
          </w:p>
        </w:tc>
        <w:tc>
          <w:tcPr>
            <w:tcW w:w="10320" w:type="dxa"/>
            <w:vAlign w:val="bottom"/>
          </w:tcPr>
          <w:p>
            <w:pPr>
              <w:ind w:left="260"/>
              <w:spacing w:after="0"/>
              <w:rPr>
                <w:sz w:val="20"/>
                <w:szCs w:val="20"/>
                <w:color w:val="auto"/>
              </w:rPr>
            </w:pPr>
            <w:r>
              <w:rPr>
                <w:rFonts w:ascii="Arial" w:cs="Arial" w:eastAsia="Arial" w:hAnsi="Arial"/>
                <w:sz w:val="14"/>
                <w:szCs w:val="14"/>
                <w:color w:val="auto"/>
              </w:rPr>
              <w:t>001-32575) of Royal Dutch Shell plc filed with the US Securities and Exchange Commission on March 13, 2007).</w:t>
            </w:r>
          </w:p>
        </w:tc>
        <w:tc>
          <w:tcPr>
            <w:tcW w:w="300" w:type="dxa"/>
            <w:vAlign w:val="bottom"/>
          </w:tcPr>
          <w:p>
            <w:pPr>
              <w:spacing w:after="0"/>
              <w:rPr>
                <w:sz w:val="14"/>
                <w:szCs w:val="14"/>
                <w:color w:val="auto"/>
              </w:rPr>
            </w:pPr>
          </w:p>
        </w:tc>
      </w:tr>
      <w:tr>
        <w:trPr>
          <w:trHeight w:val="162"/>
        </w:trPr>
        <w:tc>
          <w:tcPr>
            <w:tcW w:w="560" w:type="dxa"/>
            <w:vAlign w:val="bottom"/>
          </w:tcPr>
          <w:p>
            <w:pPr>
              <w:spacing w:after="0"/>
              <w:rPr>
                <w:sz w:val="20"/>
                <w:szCs w:val="20"/>
                <w:color w:val="auto"/>
              </w:rPr>
            </w:pPr>
            <w:r>
              <w:rPr>
                <w:rFonts w:ascii="Arial" w:cs="Arial" w:eastAsia="Arial" w:hAnsi="Arial"/>
                <w:sz w:val="14"/>
                <w:szCs w:val="14"/>
                <w:color w:val="auto"/>
              </w:rPr>
              <w:t>4.1</w:t>
            </w:r>
          </w:p>
        </w:tc>
        <w:tc>
          <w:tcPr>
            <w:tcW w:w="10320" w:type="dxa"/>
            <w:vAlign w:val="bottom"/>
          </w:tcPr>
          <w:p>
            <w:pPr>
              <w:ind w:left="260"/>
              <w:spacing w:after="0"/>
              <w:rPr>
                <w:sz w:val="20"/>
                <w:szCs w:val="20"/>
                <w:color w:val="auto"/>
              </w:rPr>
            </w:pPr>
            <w:r>
              <w:rPr>
                <w:rFonts w:ascii="Arial" w:cs="Arial" w:eastAsia="Arial" w:hAnsi="Arial"/>
                <w:sz w:val="14"/>
                <w:szCs w:val="14"/>
                <w:color w:val="auto"/>
              </w:rPr>
              <w:t>Shell Provident Fund Regulations and Trust Agreement (incorporated by reference to Exhibit 4.7 to the Post-Effective Amendment to Registration Statement</w:t>
            </w:r>
          </w:p>
        </w:tc>
        <w:tc>
          <w:tcPr>
            <w:tcW w:w="300" w:type="dxa"/>
            <w:vAlign w:val="bottom"/>
          </w:tcPr>
          <w:p>
            <w:pPr>
              <w:spacing w:after="0"/>
              <w:rPr>
                <w:sz w:val="14"/>
                <w:szCs w:val="14"/>
                <w:color w:val="auto"/>
              </w:rPr>
            </w:pPr>
          </w:p>
        </w:tc>
      </w:tr>
      <w:tr>
        <w:trPr>
          <w:trHeight w:val="162"/>
        </w:trPr>
        <w:tc>
          <w:tcPr>
            <w:tcW w:w="560" w:type="dxa"/>
            <w:vAlign w:val="bottom"/>
          </w:tcPr>
          <w:p>
            <w:pPr>
              <w:spacing w:after="0"/>
              <w:rPr>
                <w:sz w:val="14"/>
                <w:szCs w:val="14"/>
                <w:color w:val="auto"/>
              </w:rPr>
            </w:pPr>
          </w:p>
        </w:tc>
        <w:tc>
          <w:tcPr>
            <w:tcW w:w="10320" w:type="dxa"/>
            <w:vAlign w:val="bottom"/>
          </w:tcPr>
          <w:p>
            <w:pPr>
              <w:ind w:left="260"/>
              <w:spacing w:after="0"/>
              <w:rPr>
                <w:sz w:val="20"/>
                <w:szCs w:val="20"/>
                <w:color w:val="auto"/>
              </w:rPr>
            </w:pPr>
            <w:r>
              <w:rPr>
                <w:rFonts w:ascii="Arial" w:cs="Arial" w:eastAsia="Arial" w:hAnsi="Arial"/>
                <w:sz w:val="14"/>
                <w:szCs w:val="14"/>
                <w:color w:val="auto"/>
              </w:rPr>
              <w:t>on Form S-8 (No. 333-126715) of Royal Dutch Shell plc filed with the US Securities and Exchange Commission on June 18, 2007).</w:t>
            </w:r>
          </w:p>
        </w:tc>
        <w:tc>
          <w:tcPr>
            <w:tcW w:w="300" w:type="dxa"/>
            <w:vAlign w:val="bottom"/>
          </w:tcPr>
          <w:p>
            <w:pPr>
              <w:spacing w:after="0"/>
              <w:rPr>
                <w:sz w:val="14"/>
                <w:szCs w:val="14"/>
                <w:color w:val="auto"/>
              </w:rPr>
            </w:pPr>
          </w:p>
        </w:tc>
      </w:tr>
      <w:tr>
        <w:trPr>
          <w:trHeight w:val="162"/>
        </w:trPr>
        <w:tc>
          <w:tcPr>
            <w:tcW w:w="560" w:type="dxa"/>
            <w:vAlign w:val="bottom"/>
          </w:tcPr>
          <w:p>
            <w:pPr>
              <w:spacing w:after="0"/>
              <w:rPr>
                <w:sz w:val="20"/>
                <w:szCs w:val="20"/>
                <w:color w:val="auto"/>
              </w:rPr>
            </w:pPr>
            <w:r>
              <w:rPr>
                <w:rFonts w:ascii="Arial" w:cs="Arial" w:eastAsia="Arial" w:hAnsi="Arial"/>
                <w:sz w:val="14"/>
                <w:szCs w:val="14"/>
                <w:color w:val="auto"/>
              </w:rPr>
              <w:t>4.2</w:t>
            </w:r>
          </w:p>
        </w:tc>
        <w:tc>
          <w:tcPr>
            <w:tcW w:w="10320" w:type="dxa"/>
            <w:vAlign w:val="bottom"/>
          </w:tcPr>
          <w:p>
            <w:pPr>
              <w:ind w:left="260"/>
              <w:spacing w:after="0"/>
              <w:rPr>
                <w:sz w:val="20"/>
                <w:szCs w:val="20"/>
                <w:color w:val="auto"/>
              </w:rPr>
            </w:pPr>
            <w:r>
              <w:rPr>
                <w:rFonts w:ascii="Arial" w:cs="Arial" w:eastAsia="Arial" w:hAnsi="Arial"/>
                <w:sz w:val="14"/>
                <w:szCs w:val="14"/>
                <w:color w:val="auto"/>
              </w:rPr>
              <w:t>Form of Director Indemnity Agreement (incorporated by reference to Exhibit 4.3 to the Annual Report for the fiscal year ended December 31, 2005, on Form</w:t>
            </w:r>
          </w:p>
        </w:tc>
        <w:tc>
          <w:tcPr>
            <w:tcW w:w="300" w:type="dxa"/>
            <w:vAlign w:val="bottom"/>
          </w:tcPr>
          <w:p>
            <w:pPr>
              <w:spacing w:after="0"/>
              <w:rPr>
                <w:sz w:val="14"/>
                <w:szCs w:val="14"/>
                <w:color w:val="auto"/>
              </w:rPr>
            </w:pPr>
          </w:p>
        </w:tc>
      </w:tr>
      <w:tr>
        <w:trPr>
          <w:trHeight w:val="162"/>
        </w:trPr>
        <w:tc>
          <w:tcPr>
            <w:tcW w:w="560" w:type="dxa"/>
            <w:vAlign w:val="bottom"/>
          </w:tcPr>
          <w:p>
            <w:pPr>
              <w:spacing w:after="0"/>
              <w:rPr>
                <w:sz w:val="14"/>
                <w:szCs w:val="14"/>
                <w:color w:val="auto"/>
              </w:rPr>
            </w:pPr>
          </w:p>
        </w:tc>
        <w:tc>
          <w:tcPr>
            <w:tcW w:w="10320" w:type="dxa"/>
            <w:vAlign w:val="bottom"/>
          </w:tcPr>
          <w:p>
            <w:pPr>
              <w:ind w:left="260"/>
              <w:spacing w:after="0"/>
              <w:rPr>
                <w:sz w:val="20"/>
                <w:szCs w:val="20"/>
                <w:color w:val="auto"/>
              </w:rPr>
            </w:pPr>
            <w:r>
              <w:rPr>
                <w:rFonts w:ascii="Arial" w:cs="Arial" w:eastAsia="Arial" w:hAnsi="Arial"/>
                <w:sz w:val="14"/>
                <w:szCs w:val="14"/>
                <w:color w:val="auto"/>
              </w:rPr>
              <w:t>20-F (File No. 001-32575) of Royal Dutch Shell plc filed with the US Securities and Exchange Commission on March 13, 2006).</w:t>
            </w:r>
          </w:p>
        </w:tc>
        <w:tc>
          <w:tcPr>
            <w:tcW w:w="300" w:type="dxa"/>
            <w:vAlign w:val="bottom"/>
          </w:tcPr>
          <w:p>
            <w:pPr>
              <w:spacing w:after="0"/>
              <w:rPr>
                <w:sz w:val="14"/>
                <w:szCs w:val="14"/>
                <w:color w:val="auto"/>
              </w:rPr>
            </w:pPr>
          </w:p>
        </w:tc>
      </w:tr>
      <w:tr>
        <w:trPr>
          <w:trHeight w:val="162"/>
        </w:trPr>
        <w:tc>
          <w:tcPr>
            <w:tcW w:w="560" w:type="dxa"/>
            <w:vAlign w:val="bottom"/>
          </w:tcPr>
          <w:p>
            <w:pPr>
              <w:spacing w:after="0"/>
              <w:rPr>
                <w:sz w:val="20"/>
                <w:szCs w:val="20"/>
                <w:color w:val="auto"/>
              </w:rPr>
            </w:pPr>
            <w:r>
              <w:rPr>
                <w:rFonts w:ascii="Arial" w:cs="Arial" w:eastAsia="Arial" w:hAnsi="Arial"/>
                <w:sz w:val="14"/>
                <w:szCs w:val="14"/>
                <w:color w:val="auto"/>
              </w:rPr>
              <w:t>4.3</w:t>
            </w:r>
          </w:p>
        </w:tc>
        <w:tc>
          <w:tcPr>
            <w:tcW w:w="10320" w:type="dxa"/>
            <w:vAlign w:val="bottom"/>
          </w:tcPr>
          <w:p>
            <w:pPr>
              <w:ind w:left="260"/>
              <w:spacing w:after="0"/>
              <w:rPr>
                <w:sz w:val="20"/>
                <w:szCs w:val="20"/>
                <w:color w:val="auto"/>
              </w:rPr>
            </w:pPr>
            <w:r>
              <w:rPr>
                <w:rFonts w:ascii="Arial" w:cs="Arial" w:eastAsia="Arial" w:hAnsi="Arial"/>
                <w:sz w:val="14"/>
                <w:szCs w:val="14"/>
                <w:color w:val="auto"/>
              </w:rPr>
              <w:t>Senior Debt Securities Indenture dated June 27, 2006, among Shell International Finance B.V., as issuer, Royal Dutch Shell plc, as guarantor, and Deutsche</w:t>
            </w:r>
          </w:p>
        </w:tc>
        <w:tc>
          <w:tcPr>
            <w:tcW w:w="300" w:type="dxa"/>
            <w:vAlign w:val="bottom"/>
          </w:tcPr>
          <w:p>
            <w:pPr>
              <w:spacing w:after="0"/>
              <w:rPr>
                <w:sz w:val="14"/>
                <w:szCs w:val="14"/>
                <w:color w:val="auto"/>
              </w:rPr>
            </w:pPr>
          </w:p>
        </w:tc>
      </w:tr>
      <w:tr>
        <w:trPr>
          <w:trHeight w:val="162"/>
        </w:trPr>
        <w:tc>
          <w:tcPr>
            <w:tcW w:w="560" w:type="dxa"/>
            <w:vAlign w:val="bottom"/>
          </w:tcPr>
          <w:p>
            <w:pPr>
              <w:spacing w:after="0"/>
              <w:rPr>
                <w:sz w:val="14"/>
                <w:szCs w:val="14"/>
                <w:color w:val="auto"/>
              </w:rPr>
            </w:pPr>
          </w:p>
        </w:tc>
        <w:tc>
          <w:tcPr>
            <w:tcW w:w="10320" w:type="dxa"/>
            <w:vAlign w:val="bottom"/>
          </w:tcPr>
          <w:p>
            <w:pPr>
              <w:ind w:left="260"/>
              <w:spacing w:after="0"/>
              <w:rPr>
                <w:sz w:val="20"/>
                <w:szCs w:val="20"/>
                <w:color w:val="auto"/>
              </w:rPr>
            </w:pPr>
            <w:r>
              <w:rPr>
                <w:rFonts w:ascii="Arial" w:cs="Arial" w:eastAsia="Arial" w:hAnsi="Arial"/>
                <w:sz w:val="14"/>
                <w:szCs w:val="14"/>
                <w:color w:val="auto"/>
              </w:rPr>
              <w:t>Bank Trust Company Americas, as trustee (incorporated by reference to Exhibit 4.3 to the Registration Statement on Form F-3 (No. 333-126726) of Royal</w:t>
            </w:r>
          </w:p>
        </w:tc>
        <w:tc>
          <w:tcPr>
            <w:tcW w:w="300" w:type="dxa"/>
            <w:vAlign w:val="bottom"/>
          </w:tcPr>
          <w:p>
            <w:pPr>
              <w:spacing w:after="0"/>
              <w:rPr>
                <w:sz w:val="14"/>
                <w:szCs w:val="14"/>
                <w:color w:val="auto"/>
              </w:rPr>
            </w:pPr>
          </w:p>
        </w:tc>
      </w:tr>
      <w:tr>
        <w:trPr>
          <w:trHeight w:val="162"/>
        </w:trPr>
        <w:tc>
          <w:tcPr>
            <w:tcW w:w="560" w:type="dxa"/>
            <w:vAlign w:val="bottom"/>
          </w:tcPr>
          <w:p>
            <w:pPr>
              <w:spacing w:after="0"/>
              <w:rPr>
                <w:sz w:val="14"/>
                <w:szCs w:val="14"/>
                <w:color w:val="auto"/>
              </w:rPr>
            </w:pPr>
          </w:p>
        </w:tc>
        <w:tc>
          <w:tcPr>
            <w:tcW w:w="10320" w:type="dxa"/>
            <w:vAlign w:val="bottom"/>
          </w:tcPr>
          <w:p>
            <w:pPr>
              <w:ind w:left="260"/>
              <w:spacing w:after="0"/>
              <w:rPr>
                <w:sz w:val="20"/>
                <w:szCs w:val="20"/>
                <w:color w:val="auto"/>
              </w:rPr>
            </w:pPr>
            <w:r>
              <w:rPr>
                <w:rFonts w:ascii="Arial" w:cs="Arial" w:eastAsia="Arial" w:hAnsi="Arial"/>
                <w:sz w:val="14"/>
                <w:szCs w:val="14"/>
                <w:color w:val="auto"/>
              </w:rPr>
              <w:t>Dutch Shell plc filed with the US Securities and Exchange Commission on July 20, 2005, amended from then to be dated as of June 27, 2006, and with the</w:t>
            </w:r>
          </w:p>
        </w:tc>
        <w:tc>
          <w:tcPr>
            <w:tcW w:w="300" w:type="dxa"/>
            <w:vAlign w:val="bottom"/>
          </w:tcPr>
          <w:p>
            <w:pPr>
              <w:spacing w:after="0"/>
              <w:rPr>
                <w:sz w:val="14"/>
                <w:szCs w:val="14"/>
                <w:color w:val="auto"/>
              </w:rPr>
            </w:pPr>
          </w:p>
        </w:tc>
      </w:tr>
      <w:tr>
        <w:trPr>
          <w:trHeight w:val="162"/>
        </w:trPr>
        <w:tc>
          <w:tcPr>
            <w:tcW w:w="560" w:type="dxa"/>
            <w:vAlign w:val="bottom"/>
          </w:tcPr>
          <w:p>
            <w:pPr>
              <w:spacing w:after="0"/>
              <w:rPr>
                <w:sz w:val="14"/>
                <w:szCs w:val="14"/>
                <w:color w:val="auto"/>
              </w:rPr>
            </w:pPr>
          </w:p>
        </w:tc>
        <w:tc>
          <w:tcPr>
            <w:tcW w:w="10320" w:type="dxa"/>
            <w:vAlign w:val="bottom"/>
          </w:tcPr>
          <w:p>
            <w:pPr>
              <w:ind w:left="260"/>
              <w:spacing w:after="0"/>
              <w:rPr>
                <w:sz w:val="20"/>
                <w:szCs w:val="20"/>
                <w:color w:val="auto"/>
              </w:rPr>
            </w:pPr>
            <w:r>
              <w:rPr>
                <w:rFonts w:ascii="Arial" w:cs="Arial" w:eastAsia="Arial" w:hAnsi="Arial"/>
                <w:sz w:val="14"/>
                <w:szCs w:val="14"/>
                <w:color w:val="auto"/>
              </w:rPr>
              <w:t>parties signatures).</w:t>
            </w:r>
          </w:p>
        </w:tc>
        <w:tc>
          <w:tcPr>
            <w:tcW w:w="300" w:type="dxa"/>
            <w:vAlign w:val="bottom"/>
          </w:tcPr>
          <w:p>
            <w:pPr>
              <w:spacing w:after="0"/>
              <w:rPr>
                <w:sz w:val="14"/>
                <w:szCs w:val="14"/>
                <w:color w:val="auto"/>
              </w:rPr>
            </w:pPr>
          </w:p>
        </w:tc>
      </w:tr>
      <w:tr>
        <w:trPr>
          <w:trHeight w:val="162"/>
        </w:trPr>
        <w:tc>
          <w:tcPr>
            <w:tcW w:w="560" w:type="dxa"/>
            <w:vAlign w:val="bottom"/>
          </w:tcPr>
          <w:p>
            <w:pPr>
              <w:spacing w:after="0"/>
              <w:rPr>
                <w:sz w:val="20"/>
                <w:szCs w:val="20"/>
                <w:color w:val="auto"/>
              </w:rPr>
            </w:pPr>
            <w:r>
              <w:rPr>
                <w:rFonts w:ascii="Arial" w:cs="Arial" w:eastAsia="Arial" w:hAnsi="Arial"/>
                <w:sz w:val="14"/>
                <w:szCs w:val="14"/>
                <w:color w:val="auto"/>
              </w:rPr>
              <w:t>4.4</w:t>
            </w:r>
          </w:p>
        </w:tc>
        <w:tc>
          <w:tcPr>
            <w:tcW w:w="10320" w:type="dxa"/>
            <w:vAlign w:val="bottom"/>
          </w:tcPr>
          <w:p>
            <w:pPr>
              <w:ind w:left="260"/>
              <w:spacing w:after="0"/>
              <w:rPr>
                <w:sz w:val="20"/>
                <w:szCs w:val="20"/>
                <w:color w:val="auto"/>
              </w:rPr>
            </w:pPr>
            <w:r>
              <w:rPr>
                <w:rFonts w:ascii="Arial" w:cs="Arial" w:eastAsia="Arial" w:hAnsi="Arial"/>
                <w:sz w:val="14"/>
                <w:szCs w:val="14"/>
                <w:color w:val="auto"/>
              </w:rPr>
              <w:t>Form of contract of employment for Executive Directors (incorporated by reference to Exhibit 4.5 to the Annual Report for fiscal year ended December 31,</w:t>
            </w:r>
          </w:p>
        </w:tc>
        <w:tc>
          <w:tcPr>
            <w:tcW w:w="300" w:type="dxa"/>
            <w:vAlign w:val="bottom"/>
          </w:tcPr>
          <w:p>
            <w:pPr>
              <w:spacing w:after="0"/>
              <w:rPr>
                <w:sz w:val="14"/>
                <w:szCs w:val="14"/>
                <w:color w:val="auto"/>
              </w:rPr>
            </w:pPr>
          </w:p>
        </w:tc>
      </w:tr>
      <w:tr>
        <w:trPr>
          <w:trHeight w:val="162"/>
        </w:trPr>
        <w:tc>
          <w:tcPr>
            <w:tcW w:w="560" w:type="dxa"/>
            <w:vAlign w:val="bottom"/>
          </w:tcPr>
          <w:p>
            <w:pPr>
              <w:spacing w:after="0"/>
              <w:rPr>
                <w:sz w:val="14"/>
                <w:szCs w:val="14"/>
                <w:color w:val="auto"/>
              </w:rPr>
            </w:pPr>
          </w:p>
        </w:tc>
        <w:tc>
          <w:tcPr>
            <w:tcW w:w="10320" w:type="dxa"/>
            <w:vAlign w:val="bottom"/>
          </w:tcPr>
          <w:p>
            <w:pPr>
              <w:ind w:left="260"/>
              <w:spacing w:after="0"/>
              <w:rPr>
                <w:sz w:val="20"/>
                <w:szCs w:val="20"/>
                <w:color w:val="auto"/>
              </w:rPr>
            </w:pPr>
            <w:r>
              <w:rPr>
                <w:rFonts w:ascii="Arial" w:cs="Arial" w:eastAsia="Arial" w:hAnsi="Arial"/>
                <w:sz w:val="14"/>
                <w:szCs w:val="14"/>
                <w:color w:val="auto"/>
              </w:rPr>
              <w:t>2013, on Form 20-F (File No. 001-32575) of Royal Dutch Shell plc filed with the US Securities and Exchange Commission on March 13, 2014).</w:t>
            </w:r>
          </w:p>
        </w:tc>
        <w:tc>
          <w:tcPr>
            <w:tcW w:w="300" w:type="dxa"/>
            <w:vAlign w:val="bottom"/>
          </w:tcPr>
          <w:p>
            <w:pPr>
              <w:spacing w:after="0"/>
              <w:rPr>
                <w:sz w:val="14"/>
                <w:szCs w:val="14"/>
                <w:color w:val="auto"/>
              </w:rPr>
            </w:pPr>
          </w:p>
        </w:tc>
      </w:tr>
      <w:tr>
        <w:trPr>
          <w:trHeight w:val="162"/>
        </w:trPr>
        <w:tc>
          <w:tcPr>
            <w:tcW w:w="560" w:type="dxa"/>
            <w:vAlign w:val="bottom"/>
          </w:tcPr>
          <w:p>
            <w:pPr>
              <w:spacing w:after="0"/>
              <w:rPr>
                <w:sz w:val="20"/>
                <w:szCs w:val="20"/>
                <w:color w:val="auto"/>
              </w:rPr>
            </w:pPr>
            <w:r>
              <w:rPr>
                <w:rFonts w:ascii="Arial" w:cs="Arial" w:eastAsia="Arial" w:hAnsi="Arial"/>
                <w:sz w:val="14"/>
                <w:szCs w:val="14"/>
                <w:color w:val="auto"/>
              </w:rPr>
              <w:t>4.5</w:t>
            </w:r>
          </w:p>
        </w:tc>
        <w:tc>
          <w:tcPr>
            <w:tcW w:w="10320" w:type="dxa"/>
            <w:vAlign w:val="bottom"/>
          </w:tcPr>
          <w:p>
            <w:pPr>
              <w:ind w:left="260"/>
              <w:spacing w:after="0"/>
              <w:rPr>
                <w:sz w:val="20"/>
                <w:szCs w:val="20"/>
                <w:color w:val="auto"/>
              </w:rPr>
            </w:pPr>
            <w:r>
              <w:rPr>
                <w:rFonts w:ascii="Arial" w:cs="Arial" w:eastAsia="Arial" w:hAnsi="Arial"/>
                <w:sz w:val="14"/>
                <w:szCs w:val="14"/>
                <w:color w:val="auto"/>
              </w:rPr>
              <w:t>Form of Letter of appointments for Non-executive Directors (incorporated by reference to Exhibit 4.11 to the Annual Report for fiscal year ended December</w:t>
            </w:r>
          </w:p>
        </w:tc>
        <w:tc>
          <w:tcPr>
            <w:tcW w:w="300" w:type="dxa"/>
            <w:vAlign w:val="bottom"/>
          </w:tcPr>
          <w:p>
            <w:pPr>
              <w:spacing w:after="0"/>
              <w:rPr>
                <w:sz w:val="14"/>
                <w:szCs w:val="14"/>
                <w:color w:val="auto"/>
              </w:rPr>
            </w:pPr>
          </w:p>
        </w:tc>
      </w:tr>
      <w:tr>
        <w:trPr>
          <w:trHeight w:val="162"/>
        </w:trPr>
        <w:tc>
          <w:tcPr>
            <w:tcW w:w="560" w:type="dxa"/>
            <w:vAlign w:val="bottom"/>
          </w:tcPr>
          <w:p>
            <w:pPr>
              <w:spacing w:after="0"/>
              <w:rPr>
                <w:sz w:val="14"/>
                <w:szCs w:val="14"/>
                <w:color w:val="auto"/>
              </w:rPr>
            </w:pPr>
          </w:p>
        </w:tc>
        <w:tc>
          <w:tcPr>
            <w:tcW w:w="10320" w:type="dxa"/>
            <w:vAlign w:val="bottom"/>
          </w:tcPr>
          <w:p>
            <w:pPr>
              <w:ind w:left="260"/>
              <w:spacing w:after="0"/>
              <w:rPr>
                <w:sz w:val="20"/>
                <w:szCs w:val="20"/>
                <w:color w:val="auto"/>
              </w:rPr>
            </w:pPr>
            <w:r>
              <w:rPr>
                <w:rFonts w:ascii="Arial" w:cs="Arial" w:eastAsia="Arial" w:hAnsi="Arial"/>
                <w:sz w:val="14"/>
                <w:szCs w:val="14"/>
                <w:color w:val="auto"/>
              </w:rPr>
              <w:t>31, 2006, on Form 20-F (File No. 001-32575) of Royal Dutch Shell plc filed with the US Securities and Exchange Commission on March 13, 2007).</w:t>
            </w:r>
          </w:p>
        </w:tc>
        <w:tc>
          <w:tcPr>
            <w:tcW w:w="300" w:type="dxa"/>
            <w:vAlign w:val="bottom"/>
          </w:tcPr>
          <w:p>
            <w:pPr>
              <w:spacing w:after="0"/>
              <w:rPr>
                <w:sz w:val="14"/>
                <w:szCs w:val="14"/>
                <w:color w:val="auto"/>
              </w:rPr>
            </w:pPr>
          </w:p>
        </w:tc>
      </w:tr>
      <w:tr>
        <w:trPr>
          <w:trHeight w:val="162"/>
        </w:trPr>
        <w:tc>
          <w:tcPr>
            <w:tcW w:w="560" w:type="dxa"/>
            <w:vAlign w:val="bottom"/>
          </w:tcPr>
          <w:p>
            <w:pPr>
              <w:spacing w:after="0"/>
              <w:rPr>
                <w:sz w:val="20"/>
                <w:szCs w:val="20"/>
                <w:color w:val="auto"/>
              </w:rPr>
            </w:pPr>
            <w:r>
              <w:rPr>
                <w:rFonts w:ascii="Arial" w:cs="Arial" w:eastAsia="Arial" w:hAnsi="Arial"/>
                <w:sz w:val="14"/>
                <w:szCs w:val="14"/>
                <w:color w:val="auto"/>
              </w:rPr>
              <w:t>7.1</w:t>
            </w:r>
          </w:p>
        </w:tc>
        <w:tc>
          <w:tcPr>
            <w:tcW w:w="10320" w:type="dxa"/>
            <w:vAlign w:val="bottom"/>
          </w:tcPr>
          <w:p>
            <w:pPr>
              <w:ind w:left="260"/>
              <w:spacing w:after="0"/>
              <w:rPr>
                <w:sz w:val="20"/>
                <w:szCs w:val="20"/>
                <w:color w:val="auto"/>
              </w:rPr>
            </w:pPr>
            <w:r>
              <w:rPr>
                <w:rFonts w:ascii="Arial" w:cs="Arial" w:eastAsia="Arial" w:hAnsi="Arial"/>
                <w:sz w:val="14"/>
                <w:szCs w:val="14"/>
                <w:color w:val="auto"/>
              </w:rPr>
              <w:t>Calculation of Ratio of Earnings to Fixed Charges.</w:t>
            </w:r>
          </w:p>
        </w:tc>
        <w:tc>
          <w:tcPr>
            <w:tcW w:w="300" w:type="dxa"/>
            <w:vAlign w:val="bottom"/>
          </w:tcPr>
          <w:p>
            <w:pPr>
              <w:ind w:left="120"/>
              <w:spacing w:after="0"/>
              <w:rPr>
                <w:sz w:val="20"/>
                <w:szCs w:val="20"/>
                <w:color w:val="auto"/>
              </w:rPr>
            </w:pPr>
            <w:r>
              <w:rPr>
                <w:rFonts w:ascii="Arial" w:cs="Arial" w:eastAsia="Arial" w:hAnsi="Arial"/>
                <w:sz w:val="14"/>
                <w:szCs w:val="14"/>
                <w:color w:val="auto"/>
                <w:w w:val="93"/>
              </w:rPr>
              <w:t>E1</w:t>
            </w:r>
          </w:p>
        </w:tc>
      </w:tr>
      <w:tr>
        <w:trPr>
          <w:trHeight w:val="162"/>
        </w:trPr>
        <w:tc>
          <w:tcPr>
            <w:tcW w:w="560" w:type="dxa"/>
            <w:vAlign w:val="bottom"/>
          </w:tcPr>
          <w:p>
            <w:pPr>
              <w:spacing w:after="0"/>
              <w:rPr>
                <w:sz w:val="20"/>
                <w:szCs w:val="20"/>
                <w:color w:val="auto"/>
              </w:rPr>
            </w:pPr>
            <w:r>
              <w:rPr>
                <w:rFonts w:ascii="Arial" w:cs="Arial" w:eastAsia="Arial" w:hAnsi="Arial"/>
                <w:sz w:val="14"/>
                <w:szCs w:val="14"/>
                <w:color w:val="auto"/>
              </w:rPr>
              <w:t>7.2</w:t>
            </w:r>
          </w:p>
        </w:tc>
        <w:tc>
          <w:tcPr>
            <w:tcW w:w="10320" w:type="dxa"/>
            <w:vAlign w:val="bottom"/>
          </w:tcPr>
          <w:p>
            <w:pPr>
              <w:ind w:left="260"/>
              <w:spacing w:after="0"/>
              <w:rPr>
                <w:sz w:val="20"/>
                <w:szCs w:val="20"/>
                <w:color w:val="auto"/>
              </w:rPr>
            </w:pPr>
            <w:r>
              <w:rPr>
                <w:rFonts w:ascii="Arial" w:cs="Arial" w:eastAsia="Arial" w:hAnsi="Arial"/>
                <w:sz w:val="14"/>
                <w:szCs w:val="14"/>
                <w:color w:val="auto"/>
              </w:rPr>
              <w:t>Calculation of Return on Average Capital Employed (ROACE) (incorporated by reference to page 51 herein).</w:t>
            </w:r>
          </w:p>
        </w:tc>
        <w:tc>
          <w:tcPr>
            <w:tcW w:w="300" w:type="dxa"/>
            <w:vAlign w:val="bottom"/>
          </w:tcPr>
          <w:p>
            <w:pPr>
              <w:spacing w:after="0"/>
              <w:rPr>
                <w:sz w:val="14"/>
                <w:szCs w:val="14"/>
                <w:color w:val="auto"/>
              </w:rPr>
            </w:pPr>
          </w:p>
        </w:tc>
      </w:tr>
      <w:tr>
        <w:trPr>
          <w:trHeight w:val="162"/>
        </w:trPr>
        <w:tc>
          <w:tcPr>
            <w:tcW w:w="560" w:type="dxa"/>
            <w:vAlign w:val="bottom"/>
          </w:tcPr>
          <w:p>
            <w:pPr>
              <w:spacing w:after="0"/>
              <w:rPr>
                <w:sz w:val="20"/>
                <w:szCs w:val="20"/>
                <w:color w:val="auto"/>
              </w:rPr>
            </w:pPr>
            <w:r>
              <w:rPr>
                <w:rFonts w:ascii="Arial" w:cs="Arial" w:eastAsia="Arial" w:hAnsi="Arial"/>
                <w:sz w:val="14"/>
                <w:szCs w:val="14"/>
                <w:color w:val="auto"/>
              </w:rPr>
              <w:t>7.3</w:t>
            </w:r>
          </w:p>
        </w:tc>
        <w:tc>
          <w:tcPr>
            <w:tcW w:w="10320" w:type="dxa"/>
            <w:vAlign w:val="bottom"/>
          </w:tcPr>
          <w:p>
            <w:pPr>
              <w:ind w:left="260"/>
              <w:spacing w:after="0"/>
              <w:rPr>
                <w:sz w:val="20"/>
                <w:szCs w:val="20"/>
                <w:color w:val="auto"/>
              </w:rPr>
            </w:pPr>
            <w:r>
              <w:rPr>
                <w:rFonts w:ascii="Arial" w:cs="Arial" w:eastAsia="Arial" w:hAnsi="Arial"/>
                <w:sz w:val="14"/>
                <w:szCs w:val="14"/>
                <w:color w:val="auto"/>
              </w:rPr>
              <w:t>Calculation of gearing (incorporated by reference to page 21 and Note 14 to the Consolidated Financial Statements on page 124 herein).</w:t>
            </w:r>
          </w:p>
        </w:tc>
        <w:tc>
          <w:tcPr>
            <w:tcW w:w="300" w:type="dxa"/>
            <w:vAlign w:val="bottom"/>
          </w:tcPr>
          <w:p>
            <w:pPr>
              <w:spacing w:after="0"/>
              <w:rPr>
                <w:sz w:val="14"/>
                <w:szCs w:val="14"/>
                <w:color w:val="auto"/>
              </w:rPr>
            </w:pPr>
          </w:p>
        </w:tc>
      </w:tr>
      <w:tr>
        <w:trPr>
          <w:trHeight w:val="162"/>
        </w:trPr>
        <w:tc>
          <w:tcPr>
            <w:tcW w:w="560" w:type="dxa"/>
            <w:vAlign w:val="bottom"/>
          </w:tcPr>
          <w:p>
            <w:pPr>
              <w:spacing w:after="0"/>
              <w:rPr>
                <w:sz w:val="20"/>
                <w:szCs w:val="20"/>
                <w:color w:val="auto"/>
              </w:rPr>
            </w:pPr>
            <w:r>
              <w:rPr>
                <w:rFonts w:ascii="Arial" w:cs="Arial" w:eastAsia="Arial" w:hAnsi="Arial"/>
                <w:sz w:val="14"/>
                <w:szCs w:val="14"/>
                <w:color w:val="auto"/>
              </w:rPr>
              <w:t>8</w:t>
            </w:r>
          </w:p>
        </w:tc>
        <w:tc>
          <w:tcPr>
            <w:tcW w:w="10320" w:type="dxa"/>
            <w:vAlign w:val="bottom"/>
          </w:tcPr>
          <w:p>
            <w:pPr>
              <w:ind w:left="260"/>
              <w:spacing w:after="0"/>
              <w:rPr>
                <w:sz w:val="20"/>
                <w:szCs w:val="20"/>
                <w:color w:val="auto"/>
              </w:rPr>
            </w:pPr>
            <w:r>
              <w:rPr>
                <w:rFonts w:ascii="Arial" w:cs="Arial" w:eastAsia="Arial" w:hAnsi="Arial"/>
                <w:sz w:val="14"/>
                <w:szCs w:val="14"/>
                <w:color w:val="auto"/>
              </w:rPr>
              <w:t>Significant Shell subsidiaries as at December 31, 2014.</w:t>
            </w:r>
          </w:p>
        </w:tc>
        <w:tc>
          <w:tcPr>
            <w:tcW w:w="300" w:type="dxa"/>
            <w:vAlign w:val="bottom"/>
          </w:tcPr>
          <w:p>
            <w:pPr>
              <w:ind w:left="120"/>
              <w:spacing w:after="0"/>
              <w:rPr>
                <w:sz w:val="20"/>
                <w:szCs w:val="20"/>
                <w:color w:val="auto"/>
              </w:rPr>
            </w:pPr>
            <w:r>
              <w:rPr>
                <w:rFonts w:ascii="Arial" w:cs="Arial" w:eastAsia="Arial" w:hAnsi="Arial"/>
                <w:sz w:val="14"/>
                <w:szCs w:val="14"/>
                <w:color w:val="auto"/>
                <w:w w:val="93"/>
              </w:rPr>
              <w:t>E2</w:t>
            </w:r>
          </w:p>
        </w:tc>
      </w:tr>
      <w:tr>
        <w:trPr>
          <w:trHeight w:val="162"/>
        </w:trPr>
        <w:tc>
          <w:tcPr>
            <w:tcW w:w="560" w:type="dxa"/>
            <w:vAlign w:val="bottom"/>
          </w:tcPr>
          <w:p>
            <w:pPr>
              <w:spacing w:after="0"/>
              <w:rPr>
                <w:sz w:val="20"/>
                <w:szCs w:val="20"/>
                <w:color w:val="auto"/>
              </w:rPr>
            </w:pPr>
            <w:r>
              <w:rPr>
                <w:rFonts w:ascii="Arial" w:cs="Arial" w:eastAsia="Arial" w:hAnsi="Arial"/>
                <w:sz w:val="14"/>
                <w:szCs w:val="14"/>
                <w:color w:val="auto"/>
              </w:rPr>
              <w:t>12.1</w:t>
            </w:r>
          </w:p>
        </w:tc>
        <w:tc>
          <w:tcPr>
            <w:tcW w:w="10320" w:type="dxa"/>
            <w:vAlign w:val="bottom"/>
          </w:tcPr>
          <w:p>
            <w:pPr>
              <w:ind w:left="260"/>
              <w:spacing w:after="0"/>
              <w:rPr>
                <w:sz w:val="20"/>
                <w:szCs w:val="20"/>
                <w:color w:val="auto"/>
              </w:rPr>
            </w:pPr>
            <w:r>
              <w:rPr>
                <w:rFonts w:ascii="Arial" w:cs="Arial" w:eastAsia="Arial" w:hAnsi="Arial"/>
                <w:sz w:val="14"/>
                <w:szCs w:val="14"/>
                <w:color w:val="auto"/>
              </w:rPr>
              <w:t>Section 302 Certification of Royal Dutch Shell plc.</w:t>
            </w:r>
          </w:p>
        </w:tc>
        <w:tc>
          <w:tcPr>
            <w:tcW w:w="300" w:type="dxa"/>
            <w:vAlign w:val="bottom"/>
          </w:tcPr>
          <w:p>
            <w:pPr>
              <w:ind w:left="120"/>
              <w:spacing w:after="0"/>
              <w:rPr>
                <w:sz w:val="20"/>
                <w:szCs w:val="20"/>
                <w:color w:val="auto"/>
              </w:rPr>
            </w:pPr>
            <w:r>
              <w:rPr>
                <w:rFonts w:ascii="Arial" w:cs="Arial" w:eastAsia="Arial" w:hAnsi="Arial"/>
                <w:sz w:val="14"/>
                <w:szCs w:val="14"/>
                <w:color w:val="auto"/>
                <w:w w:val="93"/>
              </w:rPr>
              <w:t>E4</w:t>
            </w:r>
          </w:p>
        </w:tc>
      </w:tr>
      <w:tr>
        <w:trPr>
          <w:trHeight w:val="162"/>
        </w:trPr>
        <w:tc>
          <w:tcPr>
            <w:tcW w:w="560" w:type="dxa"/>
            <w:vAlign w:val="bottom"/>
          </w:tcPr>
          <w:p>
            <w:pPr>
              <w:spacing w:after="0"/>
              <w:rPr>
                <w:sz w:val="20"/>
                <w:szCs w:val="20"/>
                <w:color w:val="auto"/>
              </w:rPr>
            </w:pPr>
            <w:r>
              <w:rPr>
                <w:rFonts w:ascii="Arial" w:cs="Arial" w:eastAsia="Arial" w:hAnsi="Arial"/>
                <w:sz w:val="14"/>
                <w:szCs w:val="14"/>
                <w:color w:val="auto"/>
              </w:rPr>
              <w:t>12.2</w:t>
            </w:r>
          </w:p>
        </w:tc>
        <w:tc>
          <w:tcPr>
            <w:tcW w:w="10320" w:type="dxa"/>
            <w:vAlign w:val="bottom"/>
          </w:tcPr>
          <w:p>
            <w:pPr>
              <w:ind w:left="260"/>
              <w:spacing w:after="0"/>
              <w:rPr>
                <w:sz w:val="20"/>
                <w:szCs w:val="20"/>
                <w:color w:val="auto"/>
              </w:rPr>
            </w:pPr>
            <w:r>
              <w:rPr>
                <w:rFonts w:ascii="Arial" w:cs="Arial" w:eastAsia="Arial" w:hAnsi="Arial"/>
                <w:sz w:val="14"/>
                <w:szCs w:val="14"/>
                <w:color w:val="auto"/>
              </w:rPr>
              <w:t>Section 302 Certification of Royal Dutch Shell plc.</w:t>
            </w:r>
          </w:p>
        </w:tc>
        <w:tc>
          <w:tcPr>
            <w:tcW w:w="300" w:type="dxa"/>
            <w:vAlign w:val="bottom"/>
          </w:tcPr>
          <w:p>
            <w:pPr>
              <w:ind w:left="120"/>
              <w:spacing w:after="0"/>
              <w:rPr>
                <w:sz w:val="20"/>
                <w:szCs w:val="20"/>
                <w:color w:val="auto"/>
              </w:rPr>
            </w:pPr>
            <w:r>
              <w:rPr>
                <w:rFonts w:ascii="Arial" w:cs="Arial" w:eastAsia="Arial" w:hAnsi="Arial"/>
                <w:sz w:val="14"/>
                <w:szCs w:val="14"/>
                <w:color w:val="auto"/>
                <w:w w:val="93"/>
              </w:rPr>
              <w:t>E5</w:t>
            </w:r>
          </w:p>
        </w:tc>
      </w:tr>
      <w:tr>
        <w:trPr>
          <w:trHeight w:val="162"/>
        </w:trPr>
        <w:tc>
          <w:tcPr>
            <w:tcW w:w="560" w:type="dxa"/>
            <w:vAlign w:val="bottom"/>
          </w:tcPr>
          <w:p>
            <w:pPr>
              <w:spacing w:after="0"/>
              <w:rPr>
                <w:sz w:val="20"/>
                <w:szCs w:val="20"/>
                <w:color w:val="auto"/>
              </w:rPr>
            </w:pPr>
            <w:r>
              <w:rPr>
                <w:rFonts w:ascii="Arial" w:cs="Arial" w:eastAsia="Arial" w:hAnsi="Arial"/>
                <w:sz w:val="14"/>
                <w:szCs w:val="14"/>
                <w:color w:val="auto"/>
              </w:rPr>
              <w:t>13.1</w:t>
            </w:r>
          </w:p>
        </w:tc>
        <w:tc>
          <w:tcPr>
            <w:tcW w:w="10320" w:type="dxa"/>
            <w:vAlign w:val="bottom"/>
          </w:tcPr>
          <w:p>
            <w:pPr>
              <w:ind w:left="260"/>
              <w:spacing w:after="0"/>
              <w:rPr>
                <w:sz w:val="20"/>
                <w:szCs w:val="20"/>
                <w:color w:val="auto"/>
              </w:rPr>
            </w:pPr>
            <w:r>
              <w:rPr>
                <w:rFonts w:ascii="Arial" w:cs="Arial" w:eastAsia="Arial" w:hAnsi="Arial"/>
                <w:sz w:val="14"/>
                <w:szCs w:val="14"/>
                <w:color w:val="auto"/>
              </w:rPr>
              <w:t>Section 906 Certification of Royal Dutch Shell plc.</w:t>
            </w:r>
          </w:p>
        </w:tc>
        <w:tc>
          <w:tcPr>
            <w:tcW w:w="300" w:type="dxa"/>
            <w:vAlign w:val="bottom"/>
          </w:tcPr>
          <w:p>
            <w:pPr>
              <w:ind w:left="120"/>
              <w:spacing w:after="0"/>
              <w:rPr>
                <w:sz w:val="20"/>
                <w:szCs w:val="20"/>
                <w:color w:val="auto"/>
              </w:rPr>
            </w:pPr>
            <w:r>
              <w:rPr>
                <w:rFonts w:ascii="Arial" w:cs="Arial" w:eastAsia="Arial" w:hAnsi="Arial"/>
                <w:sz w:val="14"/>
                <w:szCs w:val="14"/>
                <w:color w:val="auto"/>
                <w:w w:val="93"/>
              </w:rPr>
              <w:t>E6</w:t>
            </w:r>
          </w:p>
        </w:tc>
      </w:tr>
      <w:tr>
        <w:trPr>
          <w:trHeight w:val="162"/>
        </w:trPr>
        <w:tc>
          <w:tcPr>
            <w:tcW w:w="560" w:type="dxa"/>
            <w:vAlign w:val="bottom"/>
          </w:tcPr>
          <w:p>
            <w:pPr>
              <w:spacing w:after="0"/>
              <w:rPr>
                <w:sz w:val="20"/>
                <w:szCs w:val="20"/>
                <w:color w:val="auto"/>
              </w:rPr>
            </w:pPr>
            <w:r>
              <w:rPr>
                <w:rFonts w:ascii="Arial" w:cs="Arial" w:eastAsia="Arial" w:hAnsi="Arial"/>
                <w:sz w:val="14"/>
                <w:szCs w:val="14"/>
                <w:color w:val="auto"/>
              </w:rPr>
              <w:t>99.1</w:t>
            </w:r>
          </w:p>
        </w:tc>
        <w:tc>
          <w:tcPr>
            <w:tcW w:w="10320" w:type="dxa"/>
            <w:vAlign w:val="bottom"/>
          </w:tcPr>
          <w:p>
            <w:pPr>
              <w:ind w:left="260"/>
              <w:spacing w:after="0"/>
              <w:rPr>
                <w:sz w:val="20"/>
                <w:szCs w:val="20"/>
                <w:color w:val="auto"/>
              </w:rPr>
            </w:pPr>
            <w:r>
              <w:rPr>
                <w:rFonts w:ascii="Arial" w:cs="Arial" w:eastAsia="Arial" w:hAnsi="Arial"/>
                <w:sz w:val="14"/>
                <w:szCs w:val="14"/>
                <w:color w:val="auto"/>
              </w:rPr>
              <w:t>Consent of PricewaterhouseCoopers LLP, London.</w:t>
            </w:r>
          </w:p>
        </w:tc>
        <w:tc>
          <w:tcPr>
            <w:tcW w:w="300" w:type="dxa"/>
            <w:vAlign w:val="bottom"/>
          </w:tcPr>
          <w:p>
            <w:pPr>
              <w:ind w:left="120"/>
              <w:spacing w:after="0"/>
              <w:rPr>
                <w:sz w:val="20"/>
                <w:szCs w:val="20"/>
                <w:color w:val="auto"/>
              </w:rPr>
            </w:pPr>
            <w:r>
              <w:rPr>
                <w:rFonts w:ascii="Arial" w:cs="Arial" w:eastAsia="Arial" w:hAnsi="Arial"/>
                <w:sz w:val="14"/>
                <w:szCs w:val="14"/>
                <w:color w:val="auto"/>
                <w:w w:val="93"/>
              </w:rPr>
              <w:t>E7</w:t>
            </w:r>
          </w:p>
        </w:tc>
      </w:tr>
      <w:tr>
        <w:trPr>
          <w:trHeight w:val="172"/>
        </w:trPr>
        <w:tc>
          <w:tcPr>
            <w:tcW w:w="560" w:type="dxa"/>
            <w:vAlign w:val="bottom"/>
          </w:tcPr>
          <w:p>
            <w:pPr>
              <w:spacing w:after="0"/>
              <w:rPr>
                <w:sz w:val="20"/>
                <w:szCs w:val="20"/>
                <w:color w:val="auto"/>
              </w:rPr>
            </w:pPr>
            <w:r>
              <w:rPr>
                <w:rFonts w:ascii="Arial" w:cs="Arial" w:eastAsia="Arial" w:hAnsi="Arial"/>
                <w:sz w:val="14"/>
                <w:szCs w:val="14"/>
                <w:color w:val="auto"/>
              </w:rPr>
              <w:t>99.2</w:t>
            </w:r>
          </w:p>
        </w:tc>
        <w:tc>
          <w:tcPr>
            <w:tcW w:w="10320" w:type="dxa"/>
            <w:vAlign w:val="bottom"/>
          </w:tcPr>
          <w:p>
            <w:pPr>
              <w:ind w:left="260"/>
              <w:spacing w:after="0"/>
              <w:rPr>
                <w:sz w:val="20"/>
                <w:szCs w:val="20"/>
                <w:color w:val="auto"/>
              </w:rPr>
            </w:pPr>
            <w:r>
              <w:rPr>
                <w:rFonts w:ascii="Arial" w:cs="Arial" w:eastAsia="Arial" w:hAnsi="Arial"/>
                <w:sz w:val="14"/>
                <w:szCs w:val="14"/>
                <w:color w:val="auto"/>
              </w:rPr>
              <w:t>Consent of PricewaterhouseCoopers CI LLP, Jersey, Channel Islands, relating to the Royal Dutch Shell Dividend Access Trust.</w:t>
            </w:r>
          </w:p>
        </w:tc>
        <w:tc>
          <w:tcPr>
            <w:tcW w:w="300" w:type="dxa"/>
            <w:vAlign w:val="bottom"/>
          </w:tcPr>
          <w:p>
            <w:pPr>
              <w:ind w:left="120"/>
              <w:spacing w:after="0"/>
              <w:rPr>
                <w:sz w:val="20"/>
                <w:szCs w:val="20"/>
                <w:color w:val="auto"/>
              </w:rPr>
            </w:pPr>
            <w:r>
              <w:rPr>
                <w:rFonts w:ascii="Arial" w:cs="Arial" w:eastAsia="Arial" w:hAnsi="Arial"/>
                <w:sz w:val="14"/>
                <w:szCs w:val="14"/>
                <w:color w:val="auto"/>
                <w:w w:val="93"/>
              </w:rPr>
              <w:t>E8</w:t>
            </w:r>
          </w:p>
        </w:tc>
      </w:tr>
    </w:tbl>
    <w:p>
      <w:pPr>
        <w:sectPr>
          <w:pgSz w:w="11900" w:h="16838" w:orient="portrait"/>
          <w:cols w:equalWidth="0" w:num="1">
            <w:col w:w="11420"/>
          </w:cols>
          <w:pgMar w:left="240" w:top="460" w:right="239" w:bottom="1440" w:gutter="0" w:footer="0" w:header="0"/>
        </w:sectPr>
      </w:pPr>
    </w:p>
    <w:bookmarkStart w:id="189" w:name="page190"/>
    <w:bookmarkEnd w:id="1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5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300355</wp:posOffset>
            </wp:positionV>
            <wp:extent cx="3533140" cy="462915"/>
            <wp:wrapNone/>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574">
                      <a:extLst>
                        <a:ext uri="{28A0092B-C50C-407E-A947-70E740481C1C}"/>
                      </a:extLst>
                    </a:blip>
                    <a:srcRect/>
                    <a:stretch>
                      <a:fillRect/>
                    </a:stretch>
                  </pic:blipFill>
                  <pic:spPr bwMode="auto">
                    <a:xfrm>
                      <a:off x="0" y="0"/>
                      <a:ext cx="3533140" cy="462915"/>
                    </a:xfrm>
                    <a:prstGeom prst="rect">
                      <a:avLst/>
                    </a:prstGeom>
                    <a:noFill/>
                  </pic:spPr>
                </pic:pic>
              </a:graphicData>
            </a:graphic>
          </wp:anchor>
        </w:drawing>
      </w:r>
    </w:p>
    <w:p>
      <w:pPr>
        <w:spacing w:after="0" w:line="200" w:lineRule="exact"/>
        <w:rPr>
          <w:sz w:val="20"/>
          <w:szCs w:val="20"/>
          <w:color w:val="auto"/>
        </w:rPr>
      </w:pP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419"/>
        </w:trPr>
        <w:tc>
          <w:tcPr>
            <w:tcW w:w="1780" w:type="dxa"/>
            <w:vAlign w:val="bottom"/>
            <w:shd w:val="clear" w:color="auto" w:fill="FF8B00"/>
          </w:tcPr>
          <w:p>
            <w:pPr>
              <w:spacing w:after="0"/>
              <w:rPr>
                <w:sz w:val="24"/>
                <w:szCs w:val="24"/>
                <w:color w:val="auto"/>
              </w:rPr>
            </w:pPr>
          </w:p>
        </w:tc>
        <w:tc>
          <w:tcPr>
            <w:tcW w:w="3800" w:type="dxa"/>
            <w:vAlign w:val="bottom"/>
            <w:shd w:val="clear" w:color="auto" w:fill="FF8B00"/>
          </w:tcPr>
          <w:p>
            <w:pPr>
              <w:spacing w:after="0"/>
              <w:rPr>
                <w:sz w:val="24"/>
                <w:szCs w:val="24"/>
                <w:color w:val="auto"/>
              </w:rPr>
            </w:pPr>
          </w:p>
        </w:tc>
      </w:tr>
      <w:tr>
        <w:trPr>
          <w:trHeight w:val="152"/>
        </w:trPr>
        <w:tc>
          <w:tcPr>
            <w:tcW w:w="1780" w:type="dxa"/>
            <w:vAlign w:val="bottom"/>
          </w:tcPr>
          <w:p>
            <w:pPr>
              <w:jc w:val="right"/>
              <w:ind w:right="1286"/>
              <w:spacing w:after="0"/>
              <w:rPr>
                <w:sz w:val="20"/>
                <w:szCs w:val="20"/>
                <w:color w:val="auto"/>
              </w:rPr>
            </w:pPr>
            <w:r>
              <w:rPr>
                <w:rFonts w:ascii="Arial" w:cs="Arial" w:eastAsia="Arial" w:hAnsi="Arial"/>
                <w:sz w:val="11"/>
                <w:szCs w:val="11"/>
                <w:b w:val="1"/>
                <w:bCs w:val="1"/>
                <w:color w:val="333333"/>
              </w:rPr>
              <w:t>188</w:t>
            </w:r>
          </w:p>
        </w:tc>
        <w:tc>
          <w:tcPr>
            <w:tcW w:w="3800" w:type="dxa"/>
            <w:vAlign w:val="bottom"/>
          </w:tcPr>
          <w:p>
            <w:pPr>
              <w:ind w:left="1340"/>
              <w:spacing w:after="0"/>
              <w:rPr>
                <w:sz w:val="20"/>
                <w:szCs w:val="20"/>
                <w:color w:val="auto"/>
              </w:rPr>
            </w:pPr>
            <w:r>
              <w:rPr>
                <w:rFonts w:ascii="Arial" w:cs="Arial" w:eastAsia="Arial" w:hAnsi="Arial"/>
                <w:sz w:val="13"/>
                <w:szCs w:val="13"/>
                <w:color w:val="333333"/>
              </w:rPr>
              <w:t>ADDITIONAL INFORMATION</w:t>
            </w:r>
          </w:p>
        </w:tc>
      </w:tr>
    </w:tbl>
    <w:p>
      <w:pPr>
        <w:spacing w:after="0" w:line="155" w:lineRule="exact"/>
        <w:rPr>
          <w:sz w:val="20"/>
          <w:szCs w:val="20"/>
          <w:color w:val="auto"/>
        </w:rPr>
      </w:pPr>
    </w:p>
    <w:p>
      <w:pPr>
        <w:jc w:val="both"/>
        <w:ind w:left="4100"/>
        <w:spacing w:after="0"/>
        <w:tabs>
          <w:tab w:leader="none" w:pos="9000" w:val="left"/>
        </w:tabs>
        <w:rPr>
          <w:sz w:val="20"/>
          <w:szCs w:val="20"/>
          <w:color w:val="auto"/>
        </w:rPr>
      </w:pPr>
      <w:r>
        <w:rPr>
          <w:rFonts w:ascii="Arial" w:cs="Arial" w:eastAsia="Arial" w:hAnsi="Arial"/>
          <w:sz w:val="11"/>
          <w:szCs w:val="11"/>
          <w:color w:val="auto"/>
        </w:rPr>
        <w:t>SIGNATURES</w:t>
      </w:r>
      <w:r>
        <w:rPr>
          <w:sz w:val="20"/>
          <w:szCs w:val="20"/>
          <w:color w:val="auto"/>
        </w:rPr>
        <w:tab/>
      </w:r>
      <w:r>
        <w:rPr>
          <w:rFonts w:ascii="Arial" w:cs="Arial" w:eastAsia="Arial" w:hAnsi="Arial"/>
          <w:sz w:val="11"/>
          <w:szCs w:val="11"/>
          <w:color w:val="auto"/>
        </w:rPr>
        <w:t>SHELL ANNUAL REPORT AND FORM 20-F 2014</w:t>
      </w:r>
    </w:p>
    <w:p>
      <w:pPr>
        <w:spacing w:after="0" w:line="5" w:lineRule="exact"/>
        <w:rPr>
          <w:sz w:val="20"/>
          <w:szCs w:val="20"/>
          <w:color w:val="auto"/>
        </w:rPr>
      </w:pPr>
    </w:p>
    <w:p>
      <w:pPr>
        <w:spacing w:after="0"/>
        <w:rPr>
          <w:sz w:val="20"/>
          <w:szCs w:val="20"/>
          <w:color w:val="auto"/>
        </w:rPr>
      </w:pPr>
      <w:r>
        <w:rPr>
          <w:rFonts w:ascii="Arial" w:cs="Arial" w:eastAsia="Arial" w:hAnsi="Arial"/>
          <w:sz w:val="31"/>
          <w:szCs w:val="31"/>
          <w:color w:val="auto"/>
        </w:rPr>
        <w:t>SIGNATURES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wp:posOffset>
            </wp:positionV>
            <wp:extent cx="3361690" cy="8890"/>
            <wp:wrapNone/>
            <wp:docPr id="568" name="Picture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pic:cNvPicPr>
                      <a:picLocks noChangeAspect="1" noChangeArrowheads="1"/>
                    </pic:cNvPicPr>
                  </pic:nvPicPr>
                  <pic:blipFill>
                    <a:blip r:embed="rId575">
                      <a:extLst>
                        <a:ext uri="{28A0092B-C50C-407E-A947-70E740481C1C}"/>
                      </a:extLst>
                    </a:blip>
                    <a:srcRect/>
                    <a:stretch>
                      <a:fillRect/>
                    </a:stretch>
                  </pic:blipFill>
                  <pic:spPr bwMode="auto">
                    <a:xfrm>
                      <a:off x="0" y="0"/>
                      <a:ext cx="3361690" cy="8890"/>
                    </a:xfrm>
                    <a:prstGeom prst="rect">
                      <a:avLst/>
                    </a:prstGeom>
                    <a:noFill/>
                  </pic:spPr>
                </pic:pic>
              </a:graphicData>
            </a:graphic>
          </wp:anchor>
        </w:drawing>
      </w:r>
    </w:p>
    <w:p>
      <w:pPr>
        <w:spacing w:after="0" w:line="189" w:lineRule="exact"/>
        <w:rPr>
          <w:sz w:val="20"/>
          <w:szCs w:val="20"/>
          <w:color w:val="auto"/>
        </w:rPr>
      </w:pPr>
    </w:p>
    <w:p>
      <w:pPr>
        <w:ind w:right="80"/>
        <w:spacing w:after="0" w:line="258" w:lineRule="auto"/>
        <w:rPr>
          <w:sz w:val="20"/>
          <w:szCs w:val="20"/>
          <w:color w:val="auto"/>
        </w:rPr>
      </w:pPr>
      <w:r>
        <w:rPr>
          <w:rFonts w:ascii="Arial" w:cs="Arial" w:eastAsia="Arial" w:hAnsi="Arial"/>
          <w:sz w:val="14"/>
          <w:szCs w:val="14"/>
          <w:color w:val="auto"/>
        </w:rPr>
        <w:t>The registrant hereby certifies that it meets all of the requirements for filing on Form 20-F and that it has duly caused and authorised the undersigned to sign the Annual Report on Form 20-F on its behalf.</w:t>
      </w:r>
    </w:p>
    <w:p>
      <w:pPr>
        <w:spacing w:after="0" w:line="154" w:lineRule="exact"/>
        <w:rPr>
          <w:sz w:val="20"/>
          <w:szCs w:val="20"/>
          <w:color w:val="auto"/>
        </w:rPr>
      </w:pPr>
    </w:p>
    <w:p>
      <w:pPr>
        <w:spacing w:after="0"/>
        <w:rPr>
          <w:sz w:val="20"/>
          <w:szCs w:val="20"/>
          <w:color w:val="auto"/>
        </w:rPr>
      </w:pPr>
      <w:r>
        <w:rPr>
          <w:rFonts w:ascii="Arial" w:cs="Arial" w:eastAsia="Arial" w:hAnsi="Arial"/>
          <w:sz w:val="14"/>
          <w:szCs w:val="14"/>
          <w:color w:val="auto"/>
        </w:rPr>
        <w:t>Royal Dutch Shell plc</w:t>
      </w:r>
    </w:p>
    <w:p>
      <w:pPr>
        <w:spacing w:after="0" w:line="217" w:lineRule="exact"/>
        <w:rPr>
          <w:sz w:val="20"/>
          <w:szCs w:val="20"/>
          <w:color w:val="auto"/>
        </w:rPr>
      </w:pPr>
    </w:p>
    <w:p>
      <w:pPr>
        <w:spacing w:after="0"/>
        <w:rPr>
          <w:sz w:val="20"/>
          <w:szCs w:val="20"/>
          <w:color w:val="auto"/>
        </w:rPr>
      </w:pPr>
      <w:r>
        <w:rPr>
          <w:rFonts w:ascii="Arial" w:cs="Arial" w:eastAsia="Arial" w:hAnsi="Arial"/>
          <w:sz w:val="14"/>
          <w:szCs w:val="14"/>
          <w:color w:val="auto"/>
        </w:rPr>
        <w:t>/s/ Ben van Beurden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126365</wp:posOffset>
            </wp:positionV>
            <wp:extent cx="3627755" cy="8890"/>
            <wp:wrapNone/>
            <wp:docPr id="569" name="Picture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pic:cNvPicPr>
                      <a:picLocks noChangeAspect="1" noChangeArrowheads="1"/>
                    </pic:cNvPicPr>
                  </pic:nvPicPr>
                  <pic:blipFill>
                    <a:blip r:embed="rId576">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17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Ben van Beurden</w:t>
      </w:r>
    </w:p>
    <w:p>
      <w:pPr>
        <w:spacing w:after="0" w:line="19" w:lineRule="exact"/>
        <w:rPr>
          <w:sz w:val="20"/>
          <w:szCs w:val="20"/>
          <w:color w:val="auto"/>
        </w:rPr>
      </w:pPr>
    </w:p>
    <w:p>
      <w:pPr>
        <w:spacing w:after="0"/>
        <w:rPr>
          <w:sz w:val="20"/>
          <w:szCs w:val="20"/>
          <w:color w:val="auto"/>
        </w:rPr>
      </w:pPr>
      <w:r>
        <w:rPr>
          <w:rFonts w:ascii="Arial" w:cs="Arial" w:eastAsia="Arial" w:hAnsi="Arial"/>
          <w:sz w:val="14"/>
          <w:szCs w:val="14"/>
          <w:color w:val="auto"/>
        </w:rPr>
        <w:t>Chief Executive Officer</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March 11, 2015</w:t>
      </w:r>
    </w:p>
    <w:p>
      <w:pPr>
        <w:sectPr>
          <w:pgSz w:w="11900" w:h="16838" w:orient="portrait"/>
          <w:cols w:equalWidth="0" w:num="1">
            <w:col w:w="11420"/>
          </w:cols>
          <w:pgMar w:left="240" w:top="460" w:right="239" w:bottom="1440" w:gutter="0" w:footer="0" w:header="0"/>
        </w:sectPr>
      </w:pPr>
    </w:p>
    <w:bookmarkStart w:id="190" w:name="page191"/>
    <w:bookmarkEnd w:id="190"/>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70" name="Picture 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pic:cNvPicPr>
                      <a:picLocks noChangeAspect="1" noChangeArrowheads="1"/>
                    </pic:cNvPicPr>
                  </pic:nvPicPr>
                  <pic:blipFill>
                    <a:blip r:embed="rId5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220345</wp:posOffset>
            </wp:positionV>
            <wp:extent cx="6972300" cy="9073515"/>
            <wp:wrapNone/>
            <wp:docPr id="571" name="Picture 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pic:cNvPicPr>
                      <a:picLocks noChangeAspect="1" noChangeArrowheads="1"/>
                    </pic:cNvPicPr>
                  </pic:nvPicPr>
                  <pic:blipFill>
                    <a:blip r:embed="rId578">
                      <a:extLst>
                        <a:ext uri="{28A0092B-C50C-407E-A947-70E740481C1C}"/>
                      </a:extLst>
                    </a:blip>
                    <a:srcRect/>
                    <a:stretch>
                      <a:fillRect/>
                    </a:stretch>
                  </pic:blipFill>
                  <pic:spPr bwMode="auto">
                    <a:xfrm>
                      <a:off x="0" y="0"/>
                      <a:ext cx="6972300" cy="9073515"/>
                    </a:xfrm>
                    <a:prstGeom prst="rect">
                      <a:avLst/>
                    </a:prstGeom>
                    <a:noFill/>
                  </pic:spPr>
                </pic:pic>
              </a:graphicData>
            </a:graphic>
          </wp:anchor>
        </w:drawing>
      </w:r>
    </w:p>
    <w:p>
      <w:pPr>
        <w:sectPr>
          <w:pgSz w:w="11900" w:h="16838" w:orient="portrait"/>
          <w:cols w:equalWidth="0" w:num="1">
            <w:col w:w="10219"/>
          </w:cols>
          <w:pgMar w:left="240" w:top="459" w:right="1440" w:bottom="1440" w:gutter="0" w:footer="0" w:header="0"/>
        </w:sectPr>
      </w:pPr>
    </w:p>
    <w:bookmarkStart w:id="191" w:name="page192"/>
    <w:bookmarkEnd w:id="191"/>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72" name="Picture 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pic:cNvPicPr>
                      <a:picLocks noChangeAspect="1" noChangeArrowheads="1"/>
                    </pic:cNvPicPr>
                  </pic:nvPicPr>
                  <pic:blipFill>
                    <a:blip r:embed="rId57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220345</wp:posOffset>
            </wp:positionV>
            <wp:extent cx="6972300" cy="9073515"/>
            <wp:wrapNone/>
            <wp:docPr id="573" name="Picture 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
                    <pic:cNvPicPr>
                      <a:picLocks noChangeAspect="1" noChangeArrowheads="1"/>
                    </pic:cNvPicPr>
                  </pic:nvPicPr>
                  <pic:blipFill>
                    <a:blip r:embed="rId580">
                      <a:extLst>
                        <a:ext uri="{28A0092B-C50C-407E-A947-70E740481C1C}"/>
                      </a:extLst>
                    </a:blip>
                    <a:srcRect/>
                    <a:stretch>
                      <a:fillRect/>
                    </a:stretch>
                  </pic:blipFill>
                  <pic:spPr bwMode="auto">
                    <a:xfrm>
                      <a:off x="0" y="0"/>
                      <a:ext cx="6972300" cy="9073515"/>
                    </a:xfrm>
                    <a:prstGeom prst="rect">
                      <a:avLst/>
                    </a:prstGeom>
                    <a:noFill/>
                  </pic:spPr>
                </pic:pic>
              </a:graphicData>
            </a:graphic>
          </wp:anchor>
        </w:drawing>
      </w:r>
    </w:p>
    <w:p>
      <w:pPr>
        <w:sectPr>
          <w:pgSz w:w="11900" w:h="16838" w:orient="portrait"/>
          <w:cols w:equalWidth="0" w:num="1">
            <w:col w:w="10219"/>
          </w:cols>
          <w:pgMar w:left="240" w:top="459" w:right="1440" w:bottom="1440" w:gutter="0" w:footer="0" w:header="0"/>
        </w:sectPr>
      </w:pPr>
    </w:p>
    <w:bookmarkStart w:id="192" w:name="page193"/>
    <w:bookmarkEnd w:id="192"/>
    <w:tbl>
      <w:tblPr>
        <w:tblLayout w:type="fixed"/>
        <w:tblInd w:w="0" w:type="dxa"/>
        <w:tblCellMar>
          <w:top w:w="0" w:type="dxa"/>
          <w:left w:w="0" w:type="dxa"/>
          <w:bottom w:w="0" w:type="dxa"/>
          <w:right w:w="0" w:type="dxa"/>
        </w:tblCellMar>
      </w:tblPr>
      <w:tr>
        <w:trPr>
          <w:trHeight w:val="565"/>
        </w:trPr>
        <w:tc>
          <w:tcPr>
            <w:tcW w:w="41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shd w:val="clear" w:color="auto" w:fill="FF8B00"/>
          </w:tcPr>
          <w:p>
            <w:pPr>
              <w:spacing w:after="0"/>
              <w:rPr>
                <w:sz w:val="24"/>
                <w:szCs w:val="24"/>
                <w:color w:val="auto"/>
              </w:rPr>
            </w:pPr>
          </w:p>
        </w:tc>
        <w:tc>
          <w:tcPr>
            <w:tcW w:w="2080" w:type="dxa"/>
            <w:vAlign w:val="bottom"/>
            <w:shd w:val="clear" w:color="auto" w:fill="FF8B00"/>
          </w:tcPr>
          <w:p>
            <w:pPr>
              <w:ind w:left="200"/>
              <w:spacing w:after="0"/>
              <w:rPr>
                <w:sz w:val="20"/>
                <w:szCs w:val="20"/>
                <w:color w:val="auto"/>
              </w:rPr>
            </w:pPr>
            <w:r>
              <w:rPr>
                <w:rFonts w:ascii="Arial" w:cs="Arial" w:eastAsia="Arial" w:hAnsi="Arial"/>
                <w:sz w:val="13"/>
                <w:szCs w:val="13"/>
                <w:color w:val="333333"/>
              </w:rPr>
              <w:t>ADDITIONAL INFORMATION</w:t>
            </w:r>
          </w:p>
        </w:tc>
        <w:tc>
          <w:tcPr>
            <w:tcW w:w="1320" w:type="dxa"/>
            <w:vAlign w:val="bottom"/>
            <w:shd w:val="clear" w:color="auto" w:fill="FF8B00"/>
          </w:tcPr>
          <w:p>
            <w:pPr>
              <w:spacing w:after="0"/>
              <w:rPr>
                <w:sz w:val="24"/>
                <w:szCs w:val="24"/>
                <w:color w:val="auto"/>
              </w:rPr>
            </w:pPr>
          </w:p>
        </w:tc>
        <w:tc>
          <w:tcPr>
            <w:tcW w:w="1540" w:type="dxa"/>
            <w:vAlign w:val="bottom"/>
            <w:shd w:val="clear" w:color="auto" w:fill="FF8B00"/>
          </w:tcPr>
          <w:p>
            <w:pPr>
              <w:jc w:val="right"/>
              <w:ind w:right="330"/>
              <w:spacing w:after="0"/>
              <w:rPr>
                <w:sz w:val="20"/>
                <w:szCs w:val="20"/>
                <w:color w:val="auto"/>
              </w:rPr>
            </w:pPr>
            <w:r>
              <w:rPr>
                <w:rFonts w:ascii="Arial" w:cs="Arial" w:eastAsia="Arial" w:hAnsi="Arial"/>
                <w:sz w:val="11"/>
                <w:szCs w:val="11"/>
                <w:b w:val="1"/>
                <w:bCs w:val="1"/>
                <w:color w:val="333333"/>
              </w:rPr>
              <w:t>E1</w:t>
            </w:r>
          </w:p>
        </w:tc>
        <w:tc>
          <w:tcPr>
            <w:tcW w:w="0" w:type="dxa"/>
            <w:vAlign w:val="bottom"/>
          </w:tcPr>
          <w:p>
            <w:pPr>
              <w:spacing w:after="0"/>
              <w:rPr>
                <w:sz w:val="1"/>
                <w:szCs w:val="1"/>
                <w:color w:val="auto"/>
              </w:rPr>
            </w:pPr>
          </w:p>
        </w:tc>
      </w:tr>
      <w:tr>
        <w:trPr>
          <w:trHeight w:val="165"/>
        </w:trPr>
        <w:tc>
          <w:tcPr>
            <w:tcW w:w="4120" w:type="dxa"/>
            <w:vAlign w:val="bottom"/>
            <w:vMerge w:val="restart"/>
          </w:tcPr>
          <w:p>
            <w:pPr>
              <w:spacing w:after="0"/>
              <w:rPr>
                <w:sz w:val="20"/>
                <w:szCs w:val="20"/>
                <w:color w:val="auto"/>
              </w:rPr>
            </w:pPr>
            <w:r>
              <w:rPr>
                <w:rFonts w:ascii="Arial" w:cs="Arial" w:eastAsia="Arial" w:hAnsi="Arial"/>
                <w:sz w:val="11"/>
                <w:szCs w:val="11"/>
                <w:color w:val="auto"/>
              </w:rPr>
              <w:t>SHELL ANNUAL REPORT AND FORM 20-F 2014</w:t>
            </w:r>
          </w:p>
        </w:tc>
        <w:tc>
          <w:tcPr>
            <w:tcW w:w="1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shd w:val="clear" w:color="auto" w:fill="FF8B00"/>
          </w:tcPr>
          <w:p>
            <w:pPr>
              <w:spacing w:after="0"/>
              <w:rPr>
                <w:sz w:val="14"/>
                <w:szCs w:val="14"/>
                <w:color w:val="auto"/>
              </w:rPr>
            </w:pPr>
          </w:p>
        </w:tc>
        <w:tc>
          <w:tcPr>
            <w:tcW w:w="2080" w:type="dxa"/>
            <w:vAlign w:val="bottom"/>
            <w:shd w:val="clear" w:color="auto" w:fill="FF8B00"/>
          </w:tcPr>
          <w:p>
            <w:pPr>
              <w:spacing w:after="0"/>
              <w:rPr>
                <w:sz w:val="14"/>
                <w:szCs w:val="14"/>
                <w:color w:val="auto"/>
              </w:rPr>
            </w:pPr>
          </w:p>
        </w:tc>
        <w:tc>
          <w:tcPr>
            <w:tcW w:w="1320" w:type="dxa"/>
            <w:vAlign w:val="bottom"/>
            <w:shd w:val="clear" w:color="auto" w:fill="FF8B00"/>
          </w:tcPr>
          <w:p>
            <w:pPr>
              <w:spacing w:after="0"/>
              <w:rPr>
                <w:sz w:val="14"/>
                <w:szCs w:val="14"/>
                <w:color w:val="auto"/>
              </w:rPr>
            </w:pPr>
          </w:p>
        </w:tc>
        <w:tc>
          <w:tcPr>
            <w:tcW w:w="1540" w:type="dxa"/>
            <w:vAlign w:val="bottom"/>
            <w:shd w:val="clear" w:color="auto" w:fill="FF8B00"/>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4120" w:type="dxa"/>
            <w:vAlign w:val="bottom"/>
            <w:vMerge w:val="continue"/>
          </w:tcPr>
          <w:p>
            <w:pPr>
              <w:spacing w:after="0"/>
              <w:rPr>
                <w:sz w:val="11"/>
                <w:szCs w:val="11"/>
                <w:color w:val="auto"/>
              </w:rPr>
            </w:pPr>
          </w:p>
        </w:tc>
        <w:tc>
          <w:tcPr>
            <w:tcW w:w="1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80" w:type="dxa"/>
            <w:vAlign w:val="bottom"/>
          </w:tcPr>
          <w:p>
            <w:pPr>
              <w:ind w:left="200"/>
              <w:spacing w:after="0"/>
              <w:rPr>
                <w:sz w:val="20"/>
                <w:szCs w:val="20"/>
                <w:color w:val="auto"/>
              </w:rPr>
            </w:pPr>
            <w:r>
              <w:rPr>
                <w:rFonts w:ascii="Arial" w:cs="Arial" w:eastAsia="Arial" w:hAnsi="Arial"/>
                <w:sz w:val="11"/>
                <w:szCs w:val="11"/>
                <w:color w:val="auto"/>
              </w:rPr>
              <w:t>EXHIBIT 7.1</w:t>
            </w:r>
          </w:p>
        </w:tc>
        <w:tc>
          <w:tcPr>
            <w:tcW w:w="1320" w:type="dxa"/>
            <w:vAlign w:val="bottom"/>
          </w:tcPr>
          <w:p>
            <w:pPr>
              <w:spacing w:after="0"/>
              <w:rPr>
                <w:sz w:val="11"/>
                <w:szCs w:val="11"/>
                <w:color w:val="auto"/>
              </w:rPr>
            </w:pPr>
          </w:p>
        </w:tc>
        <w:tc>
          <w:tcPr>
            <w:tcW w:w="15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58"/>
        </w:trPr>
        <w:tc>
          <w:tcPr>
            <w:tcW w:w="4120" w:type="dxa"/>
            <w:vAlign w:val="bottom"/>
            <w:tcBorders>
              <w:bottom w:val="single" w:sz="8" w:color="auto"/>
            </w:tcBorders>
          </w:tcPr>
          <w:p>
            <w:pPr>
              <w:spacing w:after="0"/>
              <w:rPr>
                <w:sz w:val="20"/>
                <w:szCs w:val="20"/>
                <w:color w:val="auto"/>
              </w:rPr>
            </w:pPr>
            <w:r>
              <w:rPr>
                <w:rFonts w:ascii="Arial" w:cs="Arial" w:eastAsia="Arial" w:hAnsi="Arial"/>
                <w:sz w:val="31"/>
                <w:szCs w:val="31"/>
                <w:color w:val="auto"/>
              </w:rPr>
              <w:t>EXHIBIT 7.1</w:t>
            </w:r>
          </w:p>
        </w:tc>
        <w:tc>
          <w:tcPr>
            <w:tcW w:w="1180" w:type="dxa"/>
            <w:vAlign w:val="bottom"/>
            <w:tcBorders>
              <w:bottom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4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5600" w:type="dxa"/>
            <w:vAlign w:val="bottom"/>
            <w:gridSpan w:val="4"/>
            <w:shd w:val="clear" w:color="auto" w:fill="333333"/>
          </w:tcPr>
          <w:p>
            <w:pPr>
              <w:ind w:left="80"/>
              <w:spacing w:after="0" w:line="162" w:lineRule="exact"/>
              <w:rPr>
                <w:sz w:val="20"/>
                <w:szCs w:val="20"/>
                <w:color w:val="auto"/>
              </w:rPr>
            </w:pPr>
            <w:r>
              <w:rPr>
                <w:rFonts w:ascii="Arial" w:cs="Arial" w:eastAsia="Arial" w:hAnsi="Arial"/>
                <w:sz w:val="15"/>
                <w:szCs w:val="15"/>
                <w:b w:val="1"/>
                <w:bCs w:val="1"/>
                <w:color w:val="FFFFFF"/>
              </w:rPr>
              <w:t>CALCULATION OF RATIO OF EARNINGS TO FIXED CHARGES</w:t>
            </w:r>
          </w:p>
        </w:tc>
        <w:tc>
          <w:tcPr>
            <w:tcW w:w="880" w:type="dxa"/>
            <w:vAlign w:val="bottom"/>
            <w:shd w:val="clear" w:color="auto" w:fill="333333"/>
          </w:tcPr>
          <w:p>
            <w:pPr>
              <w:spacing w:after="0"/>
              <w:rPr>
                <w:sz w:val="14"/>
                <w:szCs w:val="14"/>
                <w:color w:val="auto"/>
              </w:rPr>
            </w:pPr>
          </w:p>
        </w:tc>
        <w:tc>
          <w:tcPr>
            <w:tcW w:w="2080" w:type="dxa"/>
            <w:vAlign w:val="bottom"/>
            <w:shd w:val="clear" w:color="auto" w:fill="333333"/>
          </w:tcPr>
          <w:p>
            <w:pPr>
              <w:spacing w:after="0"/>
              <w:rPr>
                <w:sz w:val="14"/>
                <w:szCs w:val="14"/>
                <w:color w:val="auto"/>
              </w:rPr>
            </w:pPr>
          </w:p>
        </w:tc>
        <w:tc>
          <w:tcPr>
            <w:tcW w:w="1320" w:type="dxa"/>
            <w:vAlign w:val="bottom"/>
            <w:shd w:val="clear" w:color="auto" w:fill="333333"/>
          </w:tcPr>
          <w:p>
            <w:pPr>
              <w:spacing w:after="0"/>
              <w:rPr>
                <w:sz w:val="14"/>
                <w:szCs w:val="14"/>
                <w:color w:val="auto"/>
              </w:rPr>
            </w:pPr>
          </w:p>
        </w:tc>
        <w:tc>
          <w:tcPr>
            <w:tcW w:w="1540" w:type="dxa"/>
            <w:vAlign w:val="bottom"/>
            <w:shd w:val="clear" w:color="auto" w:fill="333333"/>
          </w:tcPr>
          <w:p>
            <w:pPr>
              <w:jc w:val="right"/>
              <w:ind w:right="30"/>
              <w:spacing w:after="0" w:line="162" w:lineRule="exact"/>
              <w:rPr>
                <w:sz w:val="20"/>
                <w:szCs w:val="20"/>
                <w:color w:val="auto"/>
              </w:rPr>
            </w:pPr>
            <w:r>
              <w:rPr>
                <w:rFonts w:ascii="Arial" w:cs="Arial" w:eastAsia="Arial" w:hAnsi="Arial"/>
                <w:sz w:val="15"/>
                <w:szCs w:val="15"/>
                <w:color w:val="FFFFFF"/>
              </w:rPr>
              <w:t>$ MILLION</w:t>
            </w:r>
          </w:p>
        </w:tc>
        <w:tc>
          <w:tcPr>
            <w:tcW w:w="0" w:type="dxa"/>
            <w:vAlign w:val="bottom"/>
          </w:tcPr>
          <w:p>
            <w:pPr>
              <w:spacing w:after="0"/>
              <w:rPr>
                <w:sz w:val="1"/>
                <w:szCs w:val="1"/>
                <w:color w:val="auto"/>
              </w:rPr>
            </w:pPr>
          </w:p>
        </w:tc>
      </w:tr>
      <w:tr>
        <w:trPr>
          <w:trHeight w:val="149"/>
        </w:trPr>
        <w:tc>
          <w:tcPr>
            <w:tcW w:w="4120" w:type="dxa"/>
            <w:vAlign w:val="bottom"/>
            <w:tcBorders>
              <w:bottom w:val="single" w:sz="8" w:color="auto"/>
            </w:tcBorders>
          </w:tcPr>
          <w:p>
            <w:pPr>
              <w:spacing w:after="0"/>
              <w:rPr>
                <w:sz w:val="12"/>
                <w:szCs w:val="12"/>
                <w:color w:val="auto"/>
              </w:rPr>
            </w:pPr>
          </w:p>
        </w:tc>
        <w:tc>
          <w:tcPr>
            <w:tcW w:w="1180" w:type="dxa"/>
            <w:vAlign w:val="bottom"/>
            <w:tcBorders>
              <w:bottom w:val="single" w:sz="8" w:color="auto"/>
            </w:tcBorders>
            <w:shd w:val="clear" w:color="auto" w:fill="D8D8D8"/>
          </w:tcPr>
          <w:p>
            <w:pPr>
              <w:jc w:val="right"/>
              <w:ind w:right="309"/>
              <w:spacing w:after="0"/>
              <w:rPr>
                <w:sz w:val="20"/>
                <w:szCs w:val="20"/>
                <w:color w:val="auto"/>
              </w:rPr>
            </w:pPr>
            <w:r>
              <w:rPr>
                <w:rFonts w:ascii="Arial" w:cs="Arial" w:eastAsia="Arial" w:hAnsi="Arial"/>
                <w:sz w:val="13"/>
                <w:szCs w:val="13"/>
                <w:color w:val="auto"/>
              </w:rPr>
              <w:t>2014</w:t>
            </w:r>
          </w:p>
        </w:tc>
        <w:tc>
          <w:tcPr>
            <w:tcW w:w="180" w:type="dxa"/>
            <w:vAlign w:val="bottom"/>
            <w:tcBorders>
              <w:bottom w:val="single" w:sz="8" w:color="auto"/>
            </w:tcBorders>
            <w:shd w:val="clear" w:color="auto" w:fill="D8D8D8"/>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129"/>
              <w:spacing w:after="0"/>
              <w:rPr>
                <w:sz w:val="20"/>
                <w:szCs w:val="20"/>
                <w:color w:val="auto"/>
              </w:rPr>
            </w:pPr>
            <w:r>
              <w:rPr>
                <w:rFonts w:ascii="Arial" w:cs="Arial" w:eastAsia="Arial" w:hAnsi="Arial"/>
                <w:sz w:val="13"/>
                <w:szCs w:val="13"/>
                <w:color w:val="auto"/>
              </w:rPr>
              <w:t>2013</w:t>
            </w:r>
          </w:p>
        </w:tc>
        <w:tc>
          <w:tcPr>
            <w:tcW w:w="2080" w:type="dxa"/>
            <w:vAlign w:val="bottom"/>
            <w:tcBorders>
              <w:bottom w:val="single" w:sz="8" w:color="auto"/>
            </w:tcBorders>
          </w:tcPr>
          <w:p>
            <w:pPr>
              <w:jc w:val="right"/>
              <w:ind w:right="751"/>
              <w:spacing w:after="0"/>
              <w:rPr>
                <w:sz w:val="20"/>
                <w:szCs w:val="20"/>
                <w:color w:val="auto"/>
              </w:rPr>
            </w:pPr>
            <w:r>
              <w:rPr>
                <w:rFonts w:ascii="Arial" w:cs="Arial" w:eastAsia="Arial" w:hAnsi="Arial"/>
                <w:sz w:val="13"/>
                <w:szCs w:val="13"/>
                <w:color w:val="auto"/>
              </w:rPr>
              <w:t>2012</w:t>
            </w:r>
          </w:p>
        </w:tc>
        <w:tc>
          <w:tcPr>
            <w:tcW w:w="1320" w:type="dxa"/>
            <w:vAlign w:val="bottom"/>
            <w:tcBorders>
              <w:bottom w:val="single" w:sz="8" w:color="auto"/>
            </w:tcBorders>
          </w:tcPr>
          <w:p>
            <w:pPr>
              <w:jc w:val="right"/>
              <w:ind w:right="569"/>
              <w:spacing w:after="0"/>
              <w:rPr>
                <w:sz w:val="20"/>
                <w:szCs w:val="20"/>
                <w:color w:val="auto"/>
              </w:rPr>
            </w:pPr>
            <w:r>
              <w:rPr>
                <w:rFonts w:ascii="Arial" w:cs="Arial" w:eastAsia="Arial" w:hAnsi="Arial"/>
                <w:sz w:val="13"/>
                <w:szCs w:val="13"/>
                <w:color w:val="auto"/>
              </w:rPr>
              <w:t>2011</w:t>
            </w:r>
          </w:p>
        </w:tc>
        <w:tc>
          <w:tcPr>
            <w:tcW w:w="1540" w:type="dxa"/>
            <w:vAlign w:val="bottom"/>
            <w:tcBorders>
              <w:bottom w:val="single" w:sz="8" w:color="auto"/>
            </w:tcBorders>
          </w:tcPr>
          <w:p>
            <w:pPr>
              <w:jc w:val="right"/>
              <w:ind w:right="370"/>
              <w:spacing w:after="0"/>
              <w:rPr>
                <w:sz w:val="20"/>
                <w:szCs w:val="20"/>
                <w:color w:val="auto"/>
              </w:rPr>
            </w:pPr>
            <w:r>
              <w:rPr>
                <w:rFonts w:ascii="Arial" w:cs="Arial" w:eastAsia="Arial" w:hAnsi="Arial"/>
                <w:sz w:val="13"/>
                <w:szCs w:val="13"/>
                <w:color w:val="auto"/>
              </w:rPr>
              <w:t>2010</w:t>
            </w:r>
          </w:p>
        </w:tc>
        <w:tc>
          <w:tcPr>
            <w:tcW w:w="0" w:type="dxa"/>
            <w:vAlign w:val="bottom"/>
          </w:tcPr>
          <w:p>
            <w:pPr>
              <w:spacing w:after="0"/>
              <w:rPr>
                <w:sz w:val="1"/>
                <w:szCs w:val="1"/>
                <w:color w:val="auto"/>
              </w:rPr>
            </w:pPr>
          </w:p>
        </w:tc>
      </w:tr>
      <w:tr>
        <w:trPr>
          <w:trHeight w:val="160"/>
        </w:trPr>
        <w:tc>
          <w:tcPr>
            <w:tcW w:w="4120" w:type="dxa"/>
            <w:vAlign w:val="bottom"/>
          </w:tcPr>
          <w:p>
            <w:pPr>
              <w:spacing w:after="0"/>
              <w:rPr>
                <w:sz w:val="20"/>
                <w:szCs w:val="20"/>
                <w:color w:val="auto"/>
              </w:rPr>
            </w:pPr>
            <w:r>
              <w:rPr>
                <w:rFonts w:ascii="Arial" w:cs="Arial" w:eastAsia="Arial" w:hAnsi="Arial"/>
                <w:sz w:val="14"/>
                <w:szCs w:val="14"/>
                <w:color w:val="auto"/>
              </w:rPr>
              <w:t>Pre-tax income from continuing operations before income from</w:t>
            </w:r>
          </w:p>
        </w:tc>
        <w:tc>
          <w:tcPr>
            <w:tcW w:w="1180" w:type="dxa"/>
            <w:vAlign w:val="bottom"/>
            <w:shd w:val="clear" w:color="auto" w:fill="D8D8D8"/>
          </w:tcPr>
          <w:p>
            <w:pPr>
              <w:spacing w:after="0"/>
              <w:rPr>
                <w:sz w:val="13"/>
                <w:szCs w:val="13"/>
                <w:color w:val="auto"/>
              </w:rPr>
            </w:pPr>
          </w:p>
        </w:tc>
        <w:tc>
          <w:tcPr>
            <w:tcW w:w="180" w:type="dxa"/>
            <w:vAlign w:val="bottom"/>
            <w:shd w:val="clear" w:color="auto" w:fill="D8D8D8"/>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08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4120" w:type="dxa"/>
            <w:vAlign w:val="bottom"/>
          </w:tcPr>
          <w:p>
            <w:pPr>
              <w:ind w:left="160"/>
              <w:spacing w:after="0" w:line="157" w:lineRule="exact"/>
              <w:rPr>
                <w:sz w:val="20"/>
                <w:szCs w:val="20"/>
                <w:color w:val="auto"/>
              </w:rPr>
            </w:pPr>
            <w:r>
              <w:rPr>
                <w:rFonts w:ascii="Arial" w:cs="Arial" w:eastAsia="Arial" w:hAnsi="Arial"/>
                <w:sz w:val="14"/>
                <w:szCs w:val="14"/>
                <w:color w:val="auto"/>
              </w:rPr>
              <w:t>equity investees</w:t>
            </w:r>
          </w:p>
        </w:tc>
        <w:tc>
          <w:tcPr>
            <w:tcW w:w="1180" w:type="dxa"/>
            <w:vAlign w:val="bottom"/>
            <w:shd w:val="clear" w:color="auto" w:fill="D8D8D8"/>
          </w:tcPr>
          <w:p>
            <w:pPr>
              <w:jc w:val="right"/>
              <w:ind w:right="309"/>
              <w:spacing w:after="0" w:line="157" w:lineRule="exact"/>
              <w:rPr>
                <w:sz w:val="20"/>
                <w:szCs w:val="20"/>
                <w:color w:val="auto"/>
              </w:rPr>
            </w:pPr>
            <w:r>
              <w:rPr>
                <w:rFonts w:ascii="Arial" w:cs="Arial" w:eastAsia="Arial" w:hAnsi="Arial"/>
                <w:sz w:val="14"/>
                <w:szCs w:val="14"/>
                <w:color w:val="auto"/>
              </w:rPr>
              <w:t>22,198</w:t>
            </w:r>
          </w:p>
        </w:tc>
        <w:tc>
          <w:tcPr>
            <w:tcW w:w="180" w:type="dxa"/>
            <w:vAlign w:val="bottom"/>
            <w:shd w:val="clear" w:color="auto" w:fill="D8D8D8"/>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jc w:val="right"/>
              <w:ind w:right="129"/>
              <w:spacing w:after="0" w:line="157" w:lineRule="exact"/>
              <w:rPr>
                <w:sz w:val="20"/>
                <w:szCs w:val="20"/>
                <w:color w:val="auto"/>
              </w:rPr>
            </w:pPr>
            <w:r>
              <w:rPr>
                <w:rFonts w:ascii="Arial" w:cs="Arial" w:eastAsia="Arial" w:hAnsi="Arial"/>
                <w:sz w:val="14"/>
                <w:szCs w:val="14"/>
                <w:color w:val="auto"/>
              </w:rPr>
              <w:t>26,317</w:t>
            </w:r>
          </w:p>
        </w:tc>
        <w:tc>
          <w:tcPr>
            <w:tcW w:w="2080" w:type="dxa"/>
            <w:vAlign w:val="bottom"/>
          </w:tcPr>
          <w:p>
            <w:pPr>
              <w:jc w:val="right"/>
              <w:ind w:right="751"/>
              <w:spacing w:after="0" w:line="157" w:lineRule="exact"/>
              <w:rPr>
                <w:sz w:val="20"/>
                <w:szCs w:val="20"/>
                <w:color w:val="auto"/>
              </w:rPr>
            </w:pPr>
            <w:r>
              <w:rPr>
                <w:rFonts w:ascii="Arial" w:cs="Arial" w:eastAsia="Arial" w:hAnsi="Arial"/>
                <w:sz w:val="14"/>
                <w:szCs w:val="14"/>
                <w:color w:val="auto"/>
              </w:rPr>
              <w:t>41,564</w:t>
            </w:r>
          </w:p>
        </w:tc>
        <w:tc>
          <w:tcPr>
            <w:tcW w:w="1320" w:type="dxa"/>
            <w:vAlign w:val="bottom"/>
          </w:tcPr>
          <w:p>
            <w:pPr>
              <w:jc w:val="right"/>
              <w:ind w:right="569"/>
              <w:spacing w:after="0" w:line="157" w:lineRule="exact"/>
              <w:rPr>
                <w:sz w:val="20"/>
                <w:szCs w:val="20"/>
                <w:color w:val="auto"/>
              </w:rPr>
            </w:pPr>
            <w:r>
              <w:rPr>
                <w:rFonts w:ascii="Arial" w:cs="Arial" w:eastAsia="Arial" w:hAnsi="Arial"/>
                <w:sz w:val="14"/>
                <w:szCs w:val="14"/>
                <w:color w:val="auto"/>
              </w:rPr>
              <w:t>46,806</w:t>
            </w:r>
          </w:p>
        </w:tc>
        <w:tc>
          <w:tcPr>
            <w:tcW w:w="1540" w:type="dxa"/>
            <w:vAlign w:val="bottom"/>
          </w:tcPr>
          <w:p>
            <w:pPr>
              <w:jc w:val="right"/>
              <w:ind w:right="370"/>
              <w:spacing w:after="0" w:line="157" w:lineRule="exact"/>
              <w:rPr>
                <w:sz w:val="20"/>
                <w:szCs w:val="20"/>
                <w:color w:val="auto"/>
              </w:rPr>
            </w:pPr>
            <w:r>
              <w:rPr>
                <w:rFonts w:ascii="Arial" w:cs="Arial" w:eastAsia="Arial" w:hAnsi="Arial"/>
                <w:sz w:val="14"/>
                <w:szCs w:val="14"/>
                <w:color w:val="auto"/>
              </w:rPr>
              <w:t>29,391</w:t>
            </w:r>
          </w:p>
        </w:tc>
        <w:tc>
          <w:tcPr>
            <w:tcW w:w="0" w:type="dxa"/>
            <w:vAlign w:val="bottom"/>
          </w:tcPr>
          <w:p>
            <w:pPr>
              <w:spacing w:after="0"/>
              <w:rPr>
                <w:sz w:val="1"/>
                <w:szCs w:val="1"/>
                <w:color w:val="auto"/>
              </w:rPr>
            </w:pPr>
          </w:p>
        </w:tc>
      </w:tr>
      <w:tr>
        <w:trPr>
          <w:trHeight w:val="162"/>
        </w:trPr>
        <w:tc>
          <w:tcPr>
            <w:tcW w:w="4120" w:type="dxa"/>
            <w:vAlign w:val="bottom"/>
          </w:tcPr>
          <w:p>
            <w:pPr>
              <w:spacing w:after="0"/>
              <w:rPr>
                <w:sz w:val="20"/>
                <w:szCs w:val="20"/>
                <w:color w:val="auto"/>
              </w:rPr>
            </w:pPr>
            <w:r>
              <w:rPr>
                <w:rFonts w:ascii="Arial" w:cs="Arial" w:eastAsia="Arial" w:hAnsi="Arial"/>
                <w:sz w:val="14"/>
                <w:szCs w:val="14"/>
                <w:color w:val="auto"/>
              </w:rPr>
              <w:t>Total fixed charges</w:t>
            </w:r>
          </w:p>
        </w:tc>
        <w:tc>
          <w:tcPr>
            <w:tcW w:w="1180" w:type="dxa"/>
            <w:vAlign w:val="bottom"/>
            <w:shd w:val="clear" w:color="auto" w:fill="D8D8D8"/>
          </w:tcPr>
          <w:p>
            <w:pPr>
              <w:jc w:val="right"/>
              <w:ind w:right="309"/>
              <w:spacing w:after="0"/>
              <w:rPr>
                <w:sz w:val="20"/>
                <w:szCs w:val="20"/>
                <w:color w:val="auto"/>
              </w:rPr>
            </w:pPr>
            <w:r>
              <w:rPr>
                <w:rFonts w:ascii="Arial" w:cs="Arial" w:eastAsia="Arial" w:hAnsi="Arial"/>
                <w:sz w:val="14"/>
                <w:szCs w:val="14"/>
                <w:color w:val="auto"/>
              </w:rPr>
              <w:t>2,113</w:t>
            </w:r>
          </w:p>
        </w:tc>
        <w:tc>
          <w:tcPr>
            <w:tcW w:w="180" w:type="dxa"/>
            <w:vAlign w:val="bottom"/>
            <w:shd w:val="clear" w:color="auto" w:fill="D8D8D8"/>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jc w:val="right"/>
              <w:ind w:right="129"/>
              <w:spacing w:after="0"/>
              <w:rPr>
                <w:sz w:val="20"/>
                <w:szCs w:val="20"/>
                <w:color w:val="auto"/>
              </w:rPr>
            </w:pPr>
            <w:r>
              <w:rPr>
                <w:rFonts w:ascii="Arial" w:cs="Arial" w:eastAsia="Arial" w:hAnsi="Arial"/>
                <w:sz w:val="14"/>
                <w:szCs w:val="14"/>
                <w:color w:val="auto"/>
              </w:rPr>
              <w:t>1,710</w:t>
            </w:r>
          </w:p>
        </w:tc>
        <w:tc>
          <w:tcPr>
            <w:tcW w:w="2080" w:type="dxa"/>
            <w:vAlign w:val="bottom"/>
          </w:tcPr>
          <w:p>
            <w:pPr>
              <w:jc w:val="right"/>
              <w:ind w:right="751"/>
              <w:spacing w:after="0"/>
              <w:rPr>
                <w:sz w:val="20"/>
                <w:szCs w:val="20"/>
                <w:color w:val="auto"/>
              </w:rPr>
            </w:pPr>
            <w:r>
              <w:rPr>
                <w:rFonts w:ascii="Arial" w:cs="Arial" w:eastAsia="Arial" w:hAnsi="Arial"/>
                <w:sz w:val="14"/>
                <w:szCs w:val="14"/>
                <w:color w:val="auto"/>
              </w:rPr>
              <w:t>1,712</w:t>
            </w:r>
          </w:p>
        </w:tc>
        <w:tc>
          <w:tcPr>
            <w:tcW w:w="1320" w:type="dxa"/>
            <w:vAlign w:val="bottom"/>
          </w:tcPr>
          <w:p>
            <w:pPr>
              <w:jc w:val="right"/>
              <w:ind w:right="569"/>
              <w:spacing w:after="0"/>
              <w:rPr>
                <w:sz w:val="20"/>
                <w:szCs w:val="20"/>
                <w:color w:val="auto"/>
              </w:rPr>
            </w:pPr>
            <w:r>
              <w:rPr>
                <w:rFonts w:ascii="Arial" w:cs="Arial" w:eastAsia="Arial" w:hAnsi="Arial"/>
                <w:sz w:val="14"/>
                <w:szCs w:val="14"/>
                <w:color w:val="auto"/>
              </w:rPr>
              <w:t>1,608</w:t>
            </w:r>
          </w:p>
        </w:tc>
        <w:tc>
          <w:tcPr>
            <w:tcW w:w="1540" w:type="dxa"/>
            <w:vAlign w:val="bottom"/>
          </w:tcPr>
          <w:p>
            <w:pPr>
              <w:jc w:val="right"/>
              <w:ind w:right="370"/>
              <w:spacing w:after="0"/>
              <w:rPr>
                <w:sz w:val="20"/>
                <w:szCs w:val="20"/>
                <w:color w:val="auto"/>
              </w:rPr>
            </w:pPr>
            <w:r>
              <w:rPr>
                <w:rFonts w:ascii="Arial" w:cs="Arial" w:eastAsia="Arial" w:hAnsi="Arial"/>
                <w:sz w:val="14"/>
                <w:szCs w:val="14"/>
                <w:color w:val="auto"/>
              </w:rPr>
              <w:t>1,684</w:t>
            </w:r>
          </w:p>
        </w:tc>
        <w:tc>
          <w:tcPr>
            <w:tcW w:w="0" w:type="dxa"/>
            <w:vAlign w:val="bottom"/>
          </w:tcPr>
          <w:p>
            <w:pPr>
              <w:spacing w:after="0"/>
              <w:rPr>
                <w:sz w:val="1"/>
                <w:szCs w:val="1"/>
                <w:color w:val="auto"/>
              </w:rPr>
            </w:pPr>
          </w:p>
        </w:tc>
      </w:tr>
      <w:tr>
        <w:trPr>
          <w:trHeight w:val="167"/>
        </w:trPr>
        <w:tc>
          <w:tcPr>
            <w:tcW w:w="4120" w:type="dxa"/>
            <w:vAlign w:val="bottom"/>
          </w:tcPr>
          <w:p>
            <w:pPr>
              <w:spacing w:after="0"/>
              <w:rPr>
                <w:sz w:val="20"/>
                <w:szCs w:val="20"/>
                <w:color w:val="auto"/>
              </w:rPr>
            </w:pPr>
            <w:r>
              <w:rPr>
                <w:rFonts w:ascii="Arial" w:cs="Arial" w:eastAsia="Arial" w:hAnsi="Arial"/>
                <w:sz w:val="14"/>
                <w:szCs w:val="14"/>
                <w:color w:val="auto"/>
              </w:rPr>
              <w:t>Distributed income from equity investees</w:t>
            </w:r>
          </w:p>
        </w:tc>
        <w:tc>
          <w:tcPr>
            <w:tcW w:w="1180" w:type="dxa"/>
            <w:vAlign w:val="bottom"/>
            <w:shd w:val="clear" w:color="auto" w:fill="D8D8D8"/>
          </w:tcPr>
          <w:p>
            <w:pPr>
              <w:jc w:val="right"/>
              <w:ind w:right="309"/>
              <w:spacing w:after="0"/>
              <w:rPr>
                <w:sz w:val="20"/>
                <w:szCs w:val="20"/>
                <w:color w:val="auto"/>
              </w:rPr>
            </w:pPr>
            <w:r>
              <w:rPr>
                <w:rFonts w:ascii="Arial" w:cs="Arial" w:eastAsia="Arial" w:hAnsi="Arial"/>
                <w:sz w:val="14"/>
                <w:szCs w:val="14"/>
                <w:color w:val="auto"/>
              </w:rPr>
              <w:t>6,902</w:t>
            </w:r>
          </w:p>
        </w:tc>
        <w:tc>
          <w:tcPr>
            <w:tcW w:w="180" w:type="dxa"/>
            <w:vAlign w:val="bottom"/>
            <w:shd w:val="clear" w:color="auto" w:fill="D8D8D8"/>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jc w:val="right"/>
              <w:ind w:right="129"/>
              <w:spacing w:after="0"/>
              <w:rPr>
                <w:sz w:val="20"/>
                <w:szCs w:val="20"/>
                <w:color w:val="auto"/>
              </w:rPr>
            </w:pPr>
            <w:r>
              <w:rPr>
                <w:rFonts w:ascii="Arial" w:cs="Arial" w:eastAsia="Arial" w:hAnsi="Arial"/>
                <w:sz w:val="14"/>
                <w:szCs w:val="14"/>
                <w:color w:val="auto"/>
              </w:rPr>
              <w:t>7,117</w:t>
            </w:r>
          </w:p>
        </w:tc>
        <w:tc>
          <w:tcPr>
            <w:tcW w:w="2080" w:type="dxa"/>
            <w:vAlign w:val="bottom"/>
          </w:tcPr>
          <w:p>
            <w:pPr>
              <w:jc w:val="right"/>
              <w:ind w:right="751"/>
              <w:spacing w:after="0"/>
              <w:rPr>
                <w:sz w:val="20"/>
                <w:szCs w:val="20"/>
                <w:color w:val="auto"/>
              </w:rPr>
            </w:pPr>
            <w:r>
              <w:rPr>
                <w:rFonts w:ascii="Arial" w:cs="Arial" w:eastAsia="Arial" w:hAnsi="Arial"/>
                <w:sz w:val="14"/>
                <w:szCs w:val="14"/>
                <w:color w:val="auto"/>
              </w:rPr>
              <w:t>10,573</w:t>
            </w:r>
          </w:p>
        </w:tc>
        <w:tc>
          <w:tcPr>
            <w:tcW w:w="1320" w:type="dxa"/>
            <w:vAlign w:val="bottom"/>
          </w:tcPr>
          <w:p>
            <w:pPr>
              <w:jc w:val="right"/>
              <w:ind w:right="569"/>
              <w:spacing w:after="0"/>
              <w:rPr>
                <w:sz w:val="20"/>
                <w:szCs w:val="20"/>
                <w:color w:val="auto"/>
              </w:rPr>
            </w:pPr>
            <w:r>
              <w:rPr>
                <w:rFonts w:ascii="Arial" w:cs="Arial" w:eastAsia="Arial" w:hAnsi="Arial"/>
                <w:sz w:val="14"/>
                <w:szCs w:val="14"/>
                <w:color w:val="auto"/>
              </w:rPr>
              <w:t>9,681</w:t>
            </w:r>
          </w:p>
        </w:tc>
        <w:tc>
          <w:tcPr>
            <w:tcW w:w="1540" w:type="dxa"/>
            <w:vAlign w:val="bottom"/>
          </w:tcPr>
          <w:p>
            <w:pPr>
              <w:jc w:val="right"/>
              <w:ind w:right="370"/>
              <w:spacing w:after="0"/>
              <w:rPr>
                <w:sz w:val="20"/>
                <w:szCs w:val="20"/>
                <w:color w:val="auto"/>
              </w:rPr>
            </w:pPr>
            <w:r>
              <w:rPr>
                <w:rFonts w:ascii="Arial" w:cs="Arial" w:eastAsia="Arial" w:hAnsi="Arial"/>
                <w:sz w:val="14"/>
                <w:szCs w:val="14"/>
                <w:color w:val="auto"/>
              </w:rPr>
              <w:t>6,519</w:t>
            </w:r>
          </w:p>
        </w:tc>
        <w:tc>
          <w:tcPr>
            <w:tcW w:w="0" w:type="dxa"/>
            <w:vAlign w:val="bottom"/>
          </w:tcPr>
          <w:p>
            <w:pPr>
              <w:spacing w:after="0"/>
              <w:rPr>
                <w:sz w:val="1"/>
                <w:szCs w:val="1"/>
                <w:color w:val="auto"/>
              </w:rPr>
            </w:pPr>
          </w:p>
        </w:tc>
      </w:tr>
      <w:tr>
        <w:trPr>
          <w:trHeight w:val="157"/>
        </w:trPr>
        <w:tc>
          <w:tcPr>
            <w:tcW w:w="4120" w:type="dxa"/>
            <w:vAlign w:val="bottom"/>
            <w:tcBorders>
              <w:bottom w:val="single" w:sz="8" w:color="auto"/>
            </w:tcBorders>
          </w:tcPr>
          <w:p>
            <w:pPr>
              <w:spacing w:after="0" w:line="157" w:lineRule="exact"/>
              <w:rPr>
                <w:sz w:val="20"/>
                <w:szCs w:val="20"/>
                <w:color w:val="auto"/>
              </w:rPr>
            </w:pPr>
            <w:r>
              <w:rPr>
                <w:rFonts w:ascii="Arial" w:cs="Arial" w:eastAsia="Arial" w:hAnsi="Arial"/>
                <w:sz w:val="14"/>
                <w:szCs w:val="14"/>
                <w:color w:val="auto"/>
              </w:rPr>
              <w:t>Less: interest capitalised</w:t>
            </w:r>
          </w:p>
        </w:tc>
        <w:tc>
          <w:tcPr>
            <w:tcW w:w="1180" w:type="dxa"/>
            <w:vAlign w:val="bottom"/>
            <w:tcBorders>
              <w:bottom w:val="single" w:sz="8" w:color="auto"/>
            </w:tcBorders>
            <w:shd w:val="clear" w:color="auto" w:fill="D8D8D8"/>
          </w:tcPr>
          <w:p>
            <w:pPr>
              <w:jc w:val="right"/>
              <w:ind w:right="309"/>
              <w:spacing w:after="0" w:line="157" w:lineRule="exact"/>
              <w:rPr>
                <w:sz w:val="20"/>
                <w:szCs w:val="20"/>
                <w:color w:val="auto"/>
              </w:rPr>
            </w:pPr>
            <w:r>
              <w:rPr>
                <w:rFonts w:ascii="Arial" w:cs="Arial" w:eastAsia="Arial" w:hAnsi="Arial"/>
                <w:sz w:val="14"/>
                <w:szCs w:val="14"/>
                <w:color w:val="auto"/>
              </w:rPr>
              <w:t>757</w:t>
            </w:r>
          </w:p>
        </w:tc>
        <w:tc>
          <w:tcPr>
            <w:tcW w:w="180" w:type="dxa"/>
            <w:vAlign w:val="bottom"/>
            <w:tcBorders>
              <w:bottom w:val="single" w:sz="8" w:color="auto"/>
            </w:tcBorders>
            <w:shd w:val="clear" w:color="auto" w:fill="D8D8D8"/>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129"/>
              <w:spacing w:after="0" w:line="157" w:lineRule="exact"/>
              <w:rPr>
                <w:sz w:val="20"/>
                <w:szCs w:val="20"/>
                <w:color w:val="auto"/>
              </w:rPr>
            </w:pPr>
            <w:r>
              <w:rPr>
                <w:rFonts w:ascii="Arial" w:cs="Arial" w:eastAsia="Arial" w:hAnsi="Arial"/>
                <w:sz w:val="14"/>
                <w:szCs w:val="14"/>
                <w:color w:val="auto"/>
              </w:rPr>
              <w:t>762</w:t>
            </w:r>
          </w:p>
        </w:tc>
        <w:tc>
          <w:tcPr>
            <w:tcW w:w="2080" w:type="dxa"/>
            <w:vAlign w:val="bottom"/>
            <w:tcBorders>
              <w:bottom w:val="single" w:sz="8" w:color="auto"/>
            </w:tcBorders>
          </w:tcPr>
          <w:p>
            <w:pPr>
              <w:jc w:val="right"/>
              <w:ind w:right="751"/>
              <w:spacing w:after="0" w:line="157" w:lineRule="exact"/>
              <w:rPr>
                <w:sz w:val="20"/>
                <w:szCs w:val="20"/>
                <w:color w:val="auto"/>
              </w:rPr>
            </w:pPr>
            <w:r>
              <w:rPr>
                <w:rFonts w:ascii="Arial" w:cs="Arial" w:eastAsia="Arial" w:hAnsi="Arial"/>
                <w:sz w:val="14"/>
                <w:szCs w:val="14"/>
                <w:color w:val="auto"/>
              </w:rPr>
              <w:t>567</w:t>
            </w:r>
          </w:p>
        </w:tc>
        <w:tc>
          <w:tcPr>
            <w:tcW w:w="1320" w:type="dxa"/>
            <w:vAlign w:val="bottom"/>
            <w:tcBorders>
              <w:bottom w:val="single" w:sz="8" w:color="auto"/>
            </w:tcBorders>
          </w:tcPr>
          <w:p>
            <w:pPr>
              <w:jc w:val="right"/>
              <w:ind w:right="569"/>
              <w:spacing w:after="0" w:line="157" w:lineRule="exact"/>
              <w:rPr>
                <w:sz w:val="20"/>
                <w:szCs w:val="20"/>
                <w:color w:val="auto"/>
              </w:rPr>
            </w:pPr>
            <w:r>
              <w:rPr>
                <w:rFonts w:ascii="Arial" w:cs="Arial" w:eastAsia="Arial" w:hAnsi="Arial"/>
                <w:sz w:val="14"/>
                <w:szCs w:val="14"/>
                <w:color w:val="auto"/>
              </w:rPr>
              <w:t>674</w:t>
            </w:r>
          </w:p>
        </w:tc>
        <w:tc>
          <w:tcPr>
            <w:tcW w:w="1540" w:type="dxa"/>
            <w:vAlign w:val="bottom"/>
            <w:tcBorders>
              <w:bottom w:val="single" w:sz="8" w:color="auto"/>
            </w:tcBorders>
          </w:tcPr>
          <w:p>
            <w:pPr>
              <w:jc w:val="right"/>
              <w:ind w:right="370"/>
              <w:spacing w:after="0" w:line="157" w:lineRule="exact"/>
              <w:rPr>
                <w:sz w:val="20"/>
                <w:szCs w:val="20"/>
                <w:color w:val="auto"/>
              </w:rPr>
            </w:pPr>
            <w:r>
              <w:rPr>
                <w:rFonts w:ascii="Arial" w:cs="Arial" w:eastAsia="Arial" w:hAnsi="Arial"/>
                <w:sz w:val="14"/>
                <w:szCs w:val="14"/>
                <w:color w:val="auto"/>
              </w:rPr>
              <w:t>969</w:t>
            </w:r>
          </w:p>
        </w:tc>
        <w:tc>
          <w:tcPr>
            <w:tcW w:w="0" w:type="dxa"/>
            <w:vAlign w:val="bottom"/>
          </w:tcPr>
          <w:p>
            <w:pPr>
              <w:spacing w:after="0"/>
              <w:rPr>
                <w:sz w:val="1"/>
                <w:szCs w:val="1"/>
                <w:color w:val="auto"/>
              </w:rPr>
            </w:pPr>
          </w:p>
        </w:tc>
      </w:tr>
      <w:tr>
        <w:trPr>
          <w:trHeight w:val="156"/>
        </w:trPr>
        <w:tc>
          <w:tcPr>
            <w:tcW w:w="4120" w:type="dxa"/>
            <w:vAlign w:val="bottom"/>
            <w:tcBorders>
              <w:bottom w:val="single" w:sz="8" w:color="auto"/>
            </w:tcBorders>
          </w:tcPr>
          <w:p>
            <w:pPr>
              <w:spacing w:after="0" w:line="155" w:lineRule="exact"/>
              <w:rPr>
                <w:sz w:val="20"/>
                <w:szCs w:val="20"/>
                <w:color w:val="auto"/>
              </w:rPr>
            </w:pPr>
            <w:r>
              <w:rPr>
                <w:rFonts w:ascii="Arial" w:cs="Arial" w:eastAsia="Arial" w:hAnsi="Arial"/>
                <w:sz w:val="14"/>
                <w:szCs w:val="14"/>
                <w:color w:val="auto"/>
              </w:rPr>
              <w:t>Total earnings</w:t>
            </w:r>
          </w:p>
        </w:tc>
        <w:tc>
          <w:tcPr>
            <w:tcW w:w="1180" w:type="dxa"/>
            <w:vAlign w:val="bottom"/>
            <w:tcBorders>
              <w:bottom w:val="single" w:sz="8" w:color="auto"/>
            </w:tcBorders>
            <w:shd w:val="clear" w:color="auto" w:fill="D8D8D8"/>
          </w:tcPr>
          <w:p>
            <w:pPr>
              <w:jc w:val="right"/>
              <w:ind w:right="309"/>
              <w:spacing w:after="0" w:line="155" w:lineRule="exact"/>
              <w:rPr>
                <w:sz w:val="20"/>
                <w:szCs w:val="20"/>
                <w:color w:val="auto"/>
              </w:rPr>
            </w:pPr>
            <w:r>
              <w:rPr>
                <w:rFonts w:ascii="Arial" w:cs="Arial" w:eastAsia="Arial" w:hAnsi="Arial"/>
                <w:sz w:val="14"/>
                <w:szCs w:val="14"/>
                <w:color w:val="auto"/>
              </w:rPr>
              <w:t>30,456</w:t>
            </w:r>
          </w:p>
        </w:tc>
        <w:tc>
          <w:tcPr>
            <w:tcW w:w="180" w:type="dxa"/>
            <w:vAlign w:val="bottom"/>
            <w:tcBorders>
              <w:bottom w:val="single" w:sz="8" w:color="auto"/>
            </w:tcBorders>
            <w:shd w:val="clear" w:color="auto" w:fill="D8D8D8"/>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129"/>
              <w:spacing w:after="0" w:line="155" w:lineRule="exact"/>
              <w:rPr>
                <w:sz w:val="20"/>
                <w:szCs w:val="20"/>
                <w:color w:val="auto"/>
              </w:rPr>
            </w:pPr>
            <w:r>
              <w:rPr>
                <w:rFonts w:ascii="Arial" w:cs="Arial" w:eastAsia="Arial" w:hAnsi="Arial"/>
                <w:sz w:val="14"/>
                <w:szCs w:val="14"/>
                <w:color w:val="auto"/>
              </w:rPr>
              <w:t>34,382</w:t>
            </w:r>
          </w:p>
        </w:tc>
        <w:tc>
          <w:tcPr>
            <w:tcW w:w="2080" w:type="dxa"/>
            <w:vAlign w:val="bottom"/>
            <w:tcBorders>
              <w:bottom w:val="single" w:sz="8" w:color="auto"/>
            </w:tcBorders>
          </w:tcPr>
          <w:p>
            <w:pPr>
              <w:jc w:val="right"/>
              <w:ind w:right="751"/>
              <w:spacing w:after="0" w:line="155" w:lineRule="exact"/>
              <w:rPr>
                <w:sz w:val="20"/>
                <w:szCs w:val="20"/>
                <w:color w:val="auto"/>
              </w:rPr>
            </w:pPr>
            <w:r>
              <w:rPr>
                <w:rFonts w:ascii="Arial" w:cs="Arial" w:eastAsia="Arial" w:hAnsi="Arial"/>
                <w:sz w:val="14"/>
                <w:szCs w:val="14"/>
                <w:color w:val="auto"/>
              </w:rPr>
              <w:t>53,282</w:t>
            </w:r>
          </w:p>
        </w:tc>
        <w:tc>
          <w:tcPr>
            <w:tcW w:w="1320" w:type="dxa"/>
            <w:vAlign w:val="bottom"/>
            <w:tcBorders>
              <w:bottom w:val="single" w:sz="8" w:color="auto"/>
            </w:tcBorders>
          </w:tcPr>
          <w:p>
            <w:pPr>
              <w:jc w:val="right"/>
              <w:ind w:right="569"/>
              <w:spacing w:after="0" w:line="155" w:lineRule="exact"/>
              <w:rPr>
                <w:sz w:val="20"/>
                <w:szCs w:val="20"/>
                <w:color w:val="auto"/>
              </w:rPr>
            </w:pPr>
            <w:r>
              <w:rPr>
                <w:rFonts w:ascii="Arial" w:cs="Arial" w:eastAsia="Arial" w:hAnsi="Arial"/>
                <w:sz w:val="14"/>
                <w:szCs w:val="14"/>
                <w:color w:val="auto"/>
              </w:rPr>
              <w:t>57,421</w:t>
            </w:r>
          </w:p>
        </w:tc>
        <w:tc>
          <w:tcPr>
            <w:tcW w:w="1540" w:type="dxa"/>
            <w:vAlign w:val="bottom"/>
            <w:tcBorders>
              <w:bottom w:val="single" w:sz="8" w:color="auto"/>
            </w:tcBorders>
          </w:tcPr>
          <w:p>
            <w:pPr>
              <w:jc w:val="right"/>
              <w:ind w:right="370"/>
              <w:spacing w:after="0" w:line="155" w:lineRule="exact"/>
              <w:rPr>
                <w:sz w:val="20"/>
                <w:szCs w:val="20"/>
                <w:color w:val="auto"/>
              </w:rPr>
            </w:pPr>
            <w:r>
              <w:rPr>
                <w:rFonts w:ascii="Arial" w:cs="Arial" w:eastAsia="Arial" w:hAnsi="Arial"/>
                <w:sz w:val="14"/>
                <w:szCs w:val="14"/>
                <w:color w:val="auto"/>
              </w:rPr>
              <w:t>36,625</w:t>
            </w:r>
          </w:p>
        </w:tc>
        <w:tc>
          <w:tcPr>
            <w:tcW w:w="0" w:type="dxa"/>
            <w:vAlign w:val="bottom"/>
          </w:tcPr>
          <w:p>
            <w:pPr>
              <w:spacing w:after="0"/>
              <w:rPr>
                <w:sz w:val="1"/>
                <w:szCs w:val="1"/>
                <w:color w:val="auto"/>
              </w:rPr>
            </w:pPr>
          </w:p>
        </w:tc>
      </w:tr>
      <w:tr>
        <w:trPr>
          <w:trHeight w:val="160"/>
        </w:trPr>
        <w:tc>
          <w:tcPr>
            <w:tcW w:w="4120" w:type="dxa"/>
            <w:vAlign w:val="bottom"/>
          </w:tcPr>
          <w:p>
            <w:pPr>
              <w:spacing w:after="0"/>
              <w:rPr>
                <w:sz w:val="20"/>
                <w:szCs w:val="20"/>
                <w:color w:val="auto"/>
              </w:rPr>
            </w:pPr>
            <w:r>
              <w:rPr>
                <w:rFonts w:ascii="Arial" w:cs="Arial" w:eastAsia="Arial" w:hAnsi="Arial"/>
                <w:sz w:val="14"/>
                <w:szCs w:val="14"/>
                <w:color w:val="auto"/>
              </w:rPr>
              <w:t>Interest expensed and capitalised</w:t>
            </w:r>
          </w:p>
        </w:tc>
        <w:tc>
          <w:tcPr>
            <w:tcW w:w="1180" w:type="dxa"/>
            <w:vAlign w:val="bottom"/>
            <w:shd w:val="clear" w:color="auto" w:fill="D8D8D8"/>
          </w:tcPr>
          <w:p>
            <w:pPr>
              <w:jc w:val="right"/>
              <w:ind w:right="309"/>
              <w:spacing w:after="0"/>
              <w:rPr>
                <w:sz w:val="20"/>
                <w:szCs w:val="20"/>
                <w:color w:val="auto"/>
              </w:rPr>
            </w:pPr>
            <w:r>
              <w:rPr>
                <w:rFonts w:ascii="Arial" w:cs="Arial" w:eastAsia="Arial" w:hAnsi="Arial"/>
                <w:sz w:val="14"/>
                <w:szCs w:val="14"/>
                <w:color w:val="auto"/>
              </w:rPr>
              <w:t>1,522</w:t>
            </w:r>
          </w:p>
        </w:tc>
        <w:tc>
          <w:tcPr>
            <w:tcW w:w="180" w:type="dxa"/>
            <w:vAlign w:val="bottom"/>
            <w:shd w:val="clear" w:color="auto" w:fill="D8D8D8"/>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jc w:val="right"/>
              <w:ind w:right="129"/>
              <w:spacing w:after="0"/>
              <w:rPr>
                <w:sz w:val="20"/>
                <w:szCs w:val="20"/>
                <w:color w:val="auto"/>
              </w:rPr>
            </w:pPr>
            <w:r>
              <w:rPr>
                <w:rFonts w:ascii="Arial" w:cs="Arial" w:eastAsia="Arial" w:hAnsi="Arial"/>
                <w:sz w:val="14"/>
                <w:szCs w:val="14"/>
                <w:color w:val="auto"/>
              </w:rPr>
              <w:t>1,412</w:t>
            </w:r>
          </w:p>
        </w:tc>
        <w:tc>
          <w:tcPr>
            <w:tcW w:w="2080" w:type="dxa"/>
            <w:vAlign w:val="bottom"/>
          </w:tcPr>
          <w:p>
            <w:pPr>
              <w:jc w:val="right"/>
              <w:ind w:right="751"/>
              <w:spacing w:after="0"/>
              <w:rPr>
                <w:sz w:val="20"/>
                <w:szCs w:val="20"/>
                <w:color w:val="auto"/>
              </w:rPr>
            </w:pPr>
            <w:r>
              <w:rPr>
                <w:rFonts w:ascii="Arial" w:cs="Arial" w:eastAsia="Arial" w:hAnsi="Arial"/>
                <w:sz w:val="14"/>
                <w:szCs w:val="14"/>
                <w:color w:val="auto"/>
              </w:rPr>
              <w:t>1,461</w:t>
            </w:r>
          </w:p>
        </w:tc>
        <w:tc>
          <w:tcPr>
            <w:tcW w:w="1320" w:type="dxa"/>
            <w:vAlign w:val="bottom"/>
          </w:tcPr>
          <w:p>
            <w:pPr>
              <w:jc w:val="right"/>
              <w:ind w:right="569"/>
              <w:spacing w:after="0"/>
              <w:rPr>
                <w:sz w:val="20"/>
                <w:szCs w:val="20"/>
                <w:color w:val="auto"/>
              </w:rPr>
            </w:pPr>
            <w:r>
              <w:rPr>
                <w:rFonts w:ascii="Arial" w:cs="Arial" w:eastAsia="Arial" w:hAnsi="Arial"/>
                <w:sz w:val="14"/>
                <w:szCs w:val="14"/>
                <w:color w:val="auto"/>
              </w:rPr>
              <w:t>1,209</w:t>
            </w:r>
          </w:p>
        </w:tc>
        <w:tc>
          <w:tcPr>
            <w:tcW w:w="1540" w:type="dxa"/>
            <w:vAlign w:val="bottom"/>
          </w:tcPr>
          <w:p>
            <w:pPr>
              <w:jc w:val="right"/>
              <w:ind w:right="370"/>
              <w:spacing w:after="0"/>
              <w:rPr>
                <w:sz w:val="20"/>
                <w:szCs w:val="20"/>
                <w:color w:val="auto"/>
              </w:rPr>
            </w:pPr>
            <w:r>
              <w:rPr>
                <w:rFonts w:ascii="Arial" w:cs="Arial" w:eastAsia="Arial" w:hAnsi="Arial"/>
                <w:sz w:val="14"/>
                <w:szCs w:val="14"/>
                <w:color w:val="auto"/>
              </w:rPr>
              <w:t>1,218</w:t>
            </w:r>
          </w:p>
        </w:tc>
        <w:tc>
          <w:tcPr>
            <w:tcW w:w="0" w:type="dxa"/>
            <w:vAlign w:val="bottom"/>
          </w:tcPr>
          <w:p>
            <w:pPr>
              <w:spacing w:after="0"/>
              <w:rPr>
                <w:sz w:val="1"/>
                <w:szCs w:val="1"/>
                <w:color w:val="auto"/>
              </w:rPr>
            </w:pPr>
          </w:p>
        </w:tc>
      </w:tr>
      <w:tr>
        <w:trPr>
          <w:trHeight w:val="157"/>
        </w:trPr>
        <w:tc>
          <w:tcPr>
            <w:tcW w:w="4120" w:type="dxa"/>
            <w:vAlign w:val="bottom"/>
            <w:tcBorders>
              <w:bottom w:val="single" w:sz="8" w:color="auto"/>
            </w:tcBorders>
          </w:tcPr>
          <w:p>
            <w:pPr>
              <w:spacing w:after="0" w:line="157" w:lineRule="exact"/>
              <w:rPr>
                <w:sz w:val="20"/>
                <w:szCs w:val="20"/>
                <w:color w:val="auto"/>
              </w:rPr>
            </w:pPr>
            <w:r>
              <w:rPr>
                <w:rFonts w:ascii="Arial" w:cs="Arial" w:eastAsia="Arial" w:hAnsi="Arial"/>
                <w:sz w:val="14"/>
                <w:szCs w:val="14"/>
                <w:color w:val="auto"/>
              </w:rPr>
              <w:t>Interest within rental expense</w:t>
            </w:r>
          </w:p>
        </w:tc>
        <w:tc>
          <w:tcPr>
            <w:tcW w:w="1180" w:type="dxa"/>
            <w:vAlign w:val="bottom"/>
            <w:tcBorders>
              <w:bottom w:val="single" w:sz="8" w:color="auto"/>
            </w:tcBorders>
            <w:shd w:val="clear" w:color="auto" w:fill="D8D8D8"/>
          </w:tcPr>
          <w:p>
            <w:pPr>
              <w:jc w:val="right"/>
              <w:ind w:right="309"/>
              <w:spacing w:after="0" w:line="157" w:lineRule="exact"/>
              <w:rPr>
                <w:sz w:val="20"/>
                <w:szCs w:val="20"/>
                <w:color w:val="auto"/>
              </w:rPr>
            </w:pPr>
            <w:r>
              <w:rPr>
                <w:rFonts w:ascii="Arial" w:cs="Arial" w:eastAsia="Arial" w:hAnsi="Arial"/>
                <w:sz w:val="14"/>
                <w:szCs w:val="14"/>
                <w:color w:val="auto"/>
              </w:rPr>
              <w:t>591</w:t>
            </w:r>
          </w:p>
        </w:tc>
        <w:tc>
          <w:tcPr>
            <w:tcW w:w="180" w:type="dxa"/>
            <w:vAlign w:val="bottom"/>
            <w:tcBorders>
              <w:bottom w:val="single" w:sz="8" w:color="auto"/>
            </w:tcBorders>
            <w:shd w:val="clear" w:color="auto" w:fill="D8D8D8"/>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129"/>
              <w:spacing w:after="0" w:line="157" w:lineRule="exact"/>
              <w:rPr>
                <w:sz w:val="20"/>
                <w:szCs w:val="20"/>
                <w:color w:val="auto"/>
              </w:rPr>
            </w:pPr>
            <w:r>
              <w:rPr>
                <w:rFonts w:ascii="Arial" w:cs="Arial" w:eastAsia="Arial" w:hAnsi="Arial"/>
                <w:sz w:val="14"/>
                <w:szCs w:val="14"/>
                <w:color w:val="auto"/>
              </w:rPr>
              <w:t>298</w:t>
            </w:r>
          </w:p>
        </w:tc>
        <w:tc>
          <w:tcPr>
            <w:tcW w:w="2080" w:type="dxa"/>
            <w:vAlign w:val="bottom"/>
            <w:tcBorders>
              <w:bottom w:val="single" w:sz="8" w:color="auto"/>
            </w:tcBorders>
          </w:tcPr>
          <w:p>
            <w:pPr>
              <w:jc w:val="right"/>
              <w:ind w:right="751"/>
              <w:spacing w:after="0" w:line="157" w:lineRule="exact"/>
              <w:rPr>
                <w:sz w:val="20"/>
                <w:szCs w:val="20"/>
                <w:color w:val="auto"/>
              </w:rPr>
            </w:pPr>
            <w:r>
              <w:rPr>
                <w:rFonts w:ascii="Arial" w:cs="Arial" w:eastAsia="Arial" w:hAnsi="Arial"/>
                <w:sz w:val="14"/>
                <w:szCs w:val="14"/>
                <w:color w:val="auto"/>
              </w:rPr>
              <w:t>251</w:t>
            </w:r>
          </w:p>
        </w:tc>
        <w:tc>
          <w:tcPr>
            <w:tcW w:w="1320" w:type="dxa"/>
            <w:vAlign w:val="bottom"/>
            <w:tcBorders>
              <w:bottom w:val="single" w:sz="8" w:color="auto"/>
            </w:tcBorders>
          </w:tcPr>
          <w:p>
            <w:pPr>
              <w:jc w:val="right"/>
              <w:ind w:right="569"/>
              <w:spacing w:after="0" w:line="157" w:lineRule="exact"/>
              <w:rPr>
                <w:sz w:val="20"/>
                <w:szCs w:val="20"/>
                <w:color w:val="auto"/>
              </w:rPr>
            </w:pPr>
            <w:r>
              <w:rPr>
                <w:rFonts w:ascii="Arial" w:cs="Arial" w:eastAsia="Arial" w:hAnsi="Arial"/>
                <w:sz w:val="14"/>
                <w:szCs w:val="14"/>
                <w:color w:val="auto"/>
              </w:rPr>
              <w:t>399</w:t>
            </w:r>
          </w:p>
        </w:tc>
        <w:tc>
          <w:tcPr>
            <w:tcW w:w="1540" w:type="dxa"/>
            <w:vAlign w:val="bottom"/>
            <w:tcBorders>
              <w:bottom w:val="single" w:sz="8" w:color="auto"/>
            </w:tcBorders>
          </w:tcPr>
          <w:p>
            <w:pPr>
              <w:jc w:val="right"/>
              <w:ind w:right="370"/>
              <w:spacing w:after="0" w:line="157" w:lineRule="exact"/>
              <w:rPr>
                <w:sz w:val="20"/>
                <w:szCs w:val="20"/>
                <w:color w:val="auto"/>
              </w:rPr>
            </w:pPr>
            <w:r>
              <w:rPr>
                <w:rFonts w:ascii="Arial" w:cs="Arial" w:eastAsia="Arial" w:hAnsi="Arial"/>
                <w:sz w:val="14"/>
                <w:szCs w:val="14"/>
                <w:color w:val="auto"/>
              </w:rPr>
              <w:t>466</w:t>
            </w:r>
          </w:p>
        </w:tc>
        <w:tc>
          <w:tcPr>
            <w:tcW w:w="0" w:type="dxa"/>
            <w:vAlign w:val="bottom"/>
          </w:tcPr>
          <w:p>
            <w:pPr>
              <w:spacing w:after="0"/>
              <w:rPr>
                <w:sz w:val="1"/>
                <w:szCs w:val="1"/>
                <w:color w:val="auto"/>
              </w:rPr>
            </w:pPr>
          </w:p>
        </w:tc>
      </w:tr>
      <w:tr>
        <w:trPr>
          <w:trHeight w:val="156"/>
        </w:trPr>
        <w:tc>
          <w:tcPr>
            <w:tcW w:w="4120" w:type="dxa"/>
            <w:vAlign w:val="bottom"/>
            <w:tcBorders>
              <w:bottom w:val="single" w:sz="8" w:color="auto"/>
            </w:tcBorders>
          </w:tcPr>
          <w:p>
            <w:pPr>
              <w:spacing w:after="0" w:line="155" w:lineRule="exact"/>
              <w:rPr>
                <w:sz w:val="20"/>
                <w:szCs w:val="20"/>
                <w:color w:val="auto"/>
              </w:rPr>
            </w:pPr>
            <w:r>
              <w:rPr>
                <w:rFonts w:ascii="Arial" w:cs="Arial" w:eastAsia="Arial" w:hAnsi="Arial"/>
                <w:sz w:val="14"/>
                <w:szCs w:val="14"/>
                <w:color w:val="auto"/>
              </w:rPr>
              <w:t>Total fixed charges</w:t>
            </w:r>
          </w:p>
        </w:tc>
        <w:tc>
          <w:tcPr>
            <w:tcW w:w="1180" w:type="dxa"/>
            <w:vAlign w:val="bottom"/>
            <w:tcBorders>
              <w:bottom w:val="single" w:sz="8" w:color="auto"/>
            </w:tcBorders>
            <w:shd w:val="clear" w:color="auto" w:fill="D8D8D8"/>
          </w:tcPr>
          <w:p>
            <w:pPr>
              <w:jc w:val="right"/>
              <w:ind w:right="309"/>
              <w:spacing w:after="0" w:line="155" w:lineRule="exact"/>
              <w:rPr>
                <w:sz w:val="20"/>
                <w:szCs w:val="20"/>
                <w:color w:val="auto"/>
              </w:rPr>
            </w:pPr>
            <w:r>
              <w:rPr>
                <w:rFonts w:ascii="Arial" w:cs="Arial" w:eastAsia="Arial" w:hAnsi="Arial"/>
                <w:sz w:val="14"/>
                <w:szCs w:val="14"/>
                <w:color w:val="auto"/>
              </w:rPr>
              <w:t>2,113</w:t>
            </w:r>
          </w:p>
        </w:tc>
        <w:tc>
          <w:tcPr>
            <w:tcW w:w="180" w:type="dxa"/>
            <w:vAlign w:val="bottom"/>
            <w:tcBorders>
              <w:bottom w:val="single" w:sz="8" w:color="auto"/>
            </w:tcBorders>
            <w:shd w:val="clear" w:color="auto" w:fill="D8D8D8"/>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129"/>
              <w:spacing w:after="0" w:line="155" w:lineRule="exact"/>
              <w:rPr>
                <w:sz w:val="20"/>
                <w:szCs w:val="20"/>
                <w:color w:val="auto"/>
              </w:rPr>
            </w:pPr>
            <w:r>
              <w:rPr>
                <w:rFonts w:ascii="Arial" w:cs="Arial" w:eastAsia="Arial" w:hAnsi="Arial"/>
                <w:sz w:val="14"/>
                <w:szCs w:val="14"/>
                <w:color w:val="auto"/>
              </w:rPr>
              <w:t>1,710</w:t>
            </w:r>
          </w:p>
        </w:tc>
        <w:tc>
          <w:tcPr>
            <w:tcW w:w="2080" w:type="dxa"/>
            <w:vAlign w:val="bottom"/>
            <w:tcBorders>
              <w:bottom w:val="single" w:sz="8" w:color="auto"/>
            </w:tcBorders>
          </w:tcPr>
          <w:p>
            <w:pPr>
              <w:jc w:val="right"/>
              <w:ind w:right="751"/>
              <w:spacing w:after="0" w:line="155" w:lineRule="exact"/>
              <w:rPr>
                <w:sz w:val="20"/>
                <w:szCs w:val="20"/>
                <w:color w:val="auto"/>
              </w:rPr>
            </w:pPr>
            <w:r>
              <w:rPr>
                <w:rFonts w:ascii="Arial" w:cs="Arial" w:eastAsia="Arial" w:hAnsi="Arial"/>
                <w:sz w:val="14"/>
                <w:szCs w:val="14"/>
                <w:color w:val="auto"/>
              </w:rPr>
              <w:t>1,712</w:t>
            </w:r>
          </w:p>
        </w:tc>
        <w:tc>
          <w:tcPr>
            <w:tcW w:w="1320" w:type="dxa"/>
            <w:vAlign w:val="bottom"/>
            <w:tcBorders>
              <w:bottom w:val="single" w:sz="8" w:color="auto"/>
            </w:tcBorders>
          </w:tcPr>
          <w:p>
            <w:pPr>
              <w:jc w:val="right"/>
              <w:ind w:right="569"/>
              <w:spacing w:after="0" w:line="155" w:lineRule="exact"/>
              <w:rPr>
                <w:sz w:val="20"/>
                <w:szCs w:val="20"/>
                <w:color w:val="auto"/>
              </w:rPr>
            </w:pPr>
            <w:r>
              <w:rPr>
                <w:rFonts w:ascii="Arial" w:cs="Arial" w:eastAsia="Arial" w:hAnsi="Arial"/>
                <w:sz w:val="14"/>
                <w:szCs w:val="14"/>
                <w:color w:val="auto"/>
              </w:rPr>
              <w:t>1,608</w:t>
            </w:r>
          </w:p>
        </w:tc>
        <w:tc>
          <w:tcPr>
            <w:tcW w:w="1540" w:type="dxa"/>
            <w:vAlign w:val="bottom"/>
            <w:tcBorders>
              <w:bottom w:val="single" w:sz="8" w:color="auto"/>
            </w:tcBorders>
          </w:tcPr>
          <w:p>
            <w:pPr>
              <w:jc w:val="right"/>
              <w:ind w:right="370"/>
              <w:spacing w:after="0" w:line="155" w:lineRule="exact"/>
              <w:rPr>
                <w:sz w:val="20"/>
                <w:szCs w:val="20"/>
                <w:color w:val="auto"/>
              </w:rPr>
            </w:pPr>
            <w:r>
              <w:rPr>
                <w:rFonts w:ascii="Arial" w:cs="Arial" w:eastAsia="Arial" w:hAnsi="Arial"/>
                <w:sz w:val="14"/>
                <w:szCs w:val="14"/>
                <w:color w:val="auto"/>
              </w:rPr>
              <w:t>1,684</w:t>
            </w:r>
          </w:p>
        </w:tc>
        <w:tc>
          <w:tcPr>
            <w:tcW w:w="0" w:type="dxa"/>
            <w:vAlign w:val="bottom"/>
          </w:tcPr>
          <w:p>
            <w:pPr>
              <w:spacing w:after="0"/>
              <w:rPr>
                <w:sz w:val="1"/>
                <w:szCs w:val="1"/>
                <w:color w:val="auto"/>
              </w:rPr>
            </w:pPr>
          </w:p>
        </w:tc>
      </w:tr>
      <w:tr>
        <w:trPr>
          <w:trHeight w:val="156"/>
        </w:trPr>
        <w:tc>
          <w:tcPr>
            <w:tcW w:w="4120" w:type="dxa"/>
            <w:vAlign w:val="bottom"/>
            <w:tcBorders>
              <w:bottom w:val="single" w:sz="8" w:color="auto"/>
            </w:tcBorders>
          </w:tcPr>
          <w:p>
            <w:pPr>
              <w:spacing w:after="0" w:line="155" w:lineRule="exact"/>
              <w:rPr>
                <w:sz w:val="20"/>
                <w:szCs w:val="20"/>
                <w:color w:val="auto"/>
              </w:rPr>
            </w:pPr>
            <w:r>
              <w:rPr>
                <w:rFonts w:ascii="Arial" w:cs="Arial" w:eastAsia="Arial" w:hAnsi="Arial"/>
                <w:sz w:val="14"/>
                <w:szCs w:val="14"/>
                <w:color w:val="auto"/>
              </w:rPr>
              <w:t>Ratio of earnings to fixed charges</w:t>
            </w:r>
          </w:p>
        </w:tc>
        <w:tc>
          <w:tcPr>
            <w:tcW w:w="1180" w:type="dxa"/>
            <w:vAlign w:val="bottom"/>
            <w:tcBorders>
              <w:bottom w:val="single" w:sz="8" w:color="auto"/>
            </w:tcBorders>
            <w:shd w:val="clear" w:color="auto" w:fill="D8D8D8"/>
          </w:tcPr>
          <w:p>
            <w:pPr>
              <w:jc w:val="right"/>
              <w:ind w:right="309"/>
              <w:spacing w:after="0" w:line="155" w:lineRule="exact"/>
              <w:rPr>
                <w:sz w:val="20"/>
                <w:szCs w:val="20"/>
                <w:color w:val="auto"/>
              </w:rPr>
            </w:pPr>
            <w:r>
              <w:rPr>
                <w:rFonts w:ascii="Arial" w:cs="Arial" w:eastAsia="Arial" w:hAnsi="Arial"/>
                <w:sz w:val="14"/>
                <w:szCs w:val="14"/>
                <w:color w:val="auto"/>
              </w:rPr>
              <w:t>14.41</w:t>
            </w:r>
          </w:p>
        </w:tc>
        <w:tc>
          <w:tcPr>
            <w:tcW w:w="180" w:type="dxa"/>
            <w:vAlign w:val="bottom"/>
            <w:tcBorders>
              <w:bottom w:val="single" w:sz="8" w:color="auto"/>
            </w:tcBorders>
            <w:shd w:val="clear" w:color="auto" w:fill="D8D8D8"/>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129"/>
              <w:spacing w:after="0" w:line="155" w:lineRule="exact"/>
              <w:rPr>
                <w:sz w:val="20"/>
                <w:szCs w:val="20"/>
                <w:color w:val="auto"/>
              </w:rPr>
            </w:pPr>
            <w:r>
              <w:rPr>
                <w:rFonts w:ascii="Arial" w:cs="Arial" w:eastAsia="Arial" w:hAnsi="Arial"/>
                <w:sz w:val="14"/>
                <w:szCs w:val="14"/>
                <w:color w:val="auto"/>
              </w:rPr>
              <w:t>20.11</w:t>
            </w:r>
          </w:p>
        </w:tc>
        <w:tc>
          <w:tcPr>
            <w:tcW w:w="2080" w:type="dxa"/>
            <w:vAlign w:val="bottom"/>
            <w:tcBorders>
              <w:bottom w:val="single" w:sz="8" w:color="auto"/>
            </w:tcBorders>
          </w:tcPr>
          <w:p>
            <w:pPr>
              <w:jc w:val="right"/>
              <w:ind w:right="751"/>
              <w:spacing w:after="0" w:line="155" w:lineRule="exact"/>
              <w:rPr>
                <w:sz w:val="20"/>
                <w:szCs w:val="20"/>
                <w:color w:val="auto"/>
              </w:rPr>
            </w:pPr>
            <w:r>
              <w:rPr>
                <w:rFonts w:ascii="Arial" w:cs="Arial" w:eastAsia="Arial" w:hAnsi="Arial"/>
                <w:sz w:val="14"/>
                <w:szCs w:val="14"/>
                <w:color w:val="auto"/>
              </w:rPr>
              <w:t>31.12</w:t>
            </w:r>
          </w:p>
        </w:tc>
        <w:tc>
          <w:tcPr>
            <w:tcW w:w="1320" w:type="dxa"/>
            <w:vAlign w:val="bottom"/>
            <w:tcBorders>
              <w:bottom w:val="single" w:sz="8" w:color="auto"/>
            </w:tcBorders>
          </w:tcPr>
          <w:p>
            <w:pPr>
              <w:jc w:val="right"/>
              <w:ind w:right="569"/>
              <w:spacing w:after="0" w:line="155" w:lineRule="exact"/>
              <w:rPr>
                <w:sz w:val="20"/>
                <w:szCs w:val="20"/>
                <w:color w:val="auto"/>
              </w:rPr>
            </w:pPr>
            <w:r>
              <w:rPr>
                <w:rFonts w:ascii="Arial" w:cs="Arial" w:eastAsia="Arial" w:hAnsi="Arial"/>
                <w:sz w:val="14"/>
                <w:szCs w:val="14"/>
                <w:color w:val="auto"/>
              </w:rPr>
              <w:t>35.71</w:t>
            </w:r>
          </w:p>
        </w:tc>
        <w:tc>
          <w:tcPr>
            <w:tcW w:w="1540" w:type="dxa"/>
            <w:vAlign w:val="bottom"/>
            <w:tcBorders>
              <w:bottom w:val="single" w:sz="8" w:color="auto"/>
            </w:tcBorders>
          </w:tcPr>
          <w:p>
            <w:pPr>
              <w:jc w:val="right"/>
              <w:ind w:right="370"/>
              <w:spacing w:after="0" w:line="155" w:lineRule="exact"/>
              <w:rPr>
                <w:sz w:val="20"/>
                <w:szCs w:val="20"/>
                <w:color w:val="auto"/>
              </w:rPr>
            </w:pPr>
            <w:r>
              <w:rPr>
                <w:rFonts w:ascii="Arial" w:cs="Arial" w:eastAsia="Arial" w:hAnsi="Arial"/>
                <w:sz w:val="14"/>
                <w:szCs w:val="14"/>
                <w:color w:val="auto"/>
              </w:rPr>
              <w:t>21.75</w:t>
            </w: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11420"/>
          </w:cols>
          <w:pgMar w:left="240" w:top="288" w:right="239" w:bottom="1440" w:gutter="0" w:footer="0" w:header="0"/>
        </w:sectPr>
      </w:pPr>
      <w:r>
        <w:rPr>
          <w:sz w:val="20"/>
          <w:szCs w:val="20"/>
          <w:color w:val="auto"/>
        </w:rPr>
        <w:drawing>
          <wp:anchor simplePos="0" relativeHeight="251657728" behindDoc="1" locked="0" layoutInCell="0" allowOverlap="1">
            <wp:simplePos x="0" y="0"/>
            <wp:positionH relativeFrom="page">
              <wp:posOffset>6563360</wp:posOffset>
            </wp:positionH>
            <wp:positionV relativeFrom="page">
              <wp:posOffset>183515</wp:posOffset>
            </wp:positionV>
            <wp:extent cx="8890" cy="462915"/>
            <wp:wrapNone/>
            <wp:docPr id="574" name="Picture 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pic:cNvPicPr>
                      <a:picLocks noChangeAspect="1" noChangeArrowheads="1"/>
                    </pic:cNvPicPr>
                  </pic:nvPicPr>
                  <pic:blipFill>
                    <a:blip r:embed="rId581">
                      <a:extLst>
                        <a:ext uri="{28A0092B-C50C-407E-A947-70E740481C1C}"/>
                      </a:extLst>
                    </a:blip>
                    <a:srcRect/>
                    <a:stretch>
                      <a:fillRect/>
                    </a:stretch>
                  </pic:blipFill>
                  <pic:spPr bwMode="auto">
                    <a:xfrm>
                      <a:off x="0" y="0"/>
                      <a:ext cx="8890" cy="462915"/>
                    </a:xfrm>
                    <a:prstGeom prst="rect">
                      <a:avLst/>
                    </a:prstGeom>
                    <a:noFill/>
                  </pic:spPr>
                </pic:pic>
              </a:graphicData>
            </a:graphic>
          </wp:anchor>
        </w:drawing>
      </w:r>
    </w:p>
    <w:bookmarkStart w:id="193" w:name="page194"/>
    <w:bookmarkEnd w:id="193"/>
    <w:tbl>
      <w:tblPr>
        <w:tblLayout w:type="fixed"/>
        <w:tblInd w:w="0" w:type="dxa"/>
        <w:tblCellMar>
          <w:top w:w="0" w:type="dxa"/>
          <w:left w:w="0" w:type="dxa"/>
          <w:bottom w:w="0" w:type="dxa"/>
          <w:right w:w="0" w:type="dxa"/>
        </w:tblCellMar>
      </w:tblPr>
      <w:tr>
        <w:trPr>
          <w:trHeight w:val="419"/>
        </w:trPr>
        <w:tc>
          <w:tcPr>
            <w:tcW w:w="1720" w:type="dxa"/>
            <w:vAlign w:val="bottom"/>
            <w:shd w:val="clear" w:color="auto" w:fill="FF8B00"/>
          </w:tcPr>
          <w:p>
            <w:pPr>
              <w:spacing w:after="0"/>
              <w:rPr>
                <w:sz w:val="24"/>
                <w:szCs w:val="24"/>
                <w:color w:val="auto"/>
              </w:rPr>
            </w:pPr>
          </w:p>
        </w:tc>
        <w:tc>
          <w:tcPr>
            <w:tcW w:w="3820" w:type="dxa"/>
            <w:vAlign w:val="bottom"/>
            <w:shd w:val="clear" w:color="auto" w:fill="FF8B00"/>
          </w:tcPr>
          <w:p>
            <w:pPr>
              <w:spacing w:after="0"/>
              <w:rPr>
                <w:sz w:val="24"/>
                <w:szCs w:val="24"/>
                <w:color w:val="auto"/>
              </w:rPr>
            </w:pPr>
          </w:p>
        </w:tc>
      </w:tr>
      <w:tr>
        <w:trPr>
          <w:trHeight w:val="152"/>
        </w:trPr>
        <w:tc>
          <w:tcPr>
            <w:tcW w:w="1720" w:type="dxa"/>
            <w:vAlign w:val="bottom"/>
          </w:tcPr>
          <w:p>
            <w:pPr>
              <w:ind w:left="220"/>
              <w:spacing w:after="0"/>
              <w:rPr>
                <w:sz w:val="20"/>
                <w:szCs w:val="20"/>
                <w:color w:val="auto"/>
              </w:rPr>
            </w:pPr>
            <w:r>
              <w:rPr>
                <w:rFonts w:ascii="Arial" w:cs="Arial" w:eastAsia="Arial" w:hAnsi="Arial"/>
                <w:sz w:val="11"/>
                <w:szCs w:val="11"/>
                <w:b w:val="1"/>
                <w:bCs w:val="1"/>
                <w:color w:val="333333"/>
              </w:rPr>
              <w:t>E2</w:t>
            </w:r>
          </w:p>
        </w:tc>
        <w:tc>
          <w:tcPr>
            <w:tcW w:w="3820" w:type="dxa"/>
            <w:vAlign w:val="bottom"/>
          </w:tcPr>
          <w:p>
            <w:pPr>
              <w:ind w:left="1380"/>
              <w:spacing w:after="0"/>
              <w:rPr>
                <w:sz w:val="20"/>
                <w:szCs w:val="20"/>
                <w:color w:val="auto"/>
              </w:rPr>
            </w:pPr>
            <w:r>
              <w:rPr>
                <w:rFonts w:ascii="Arial" w:cs="Arial" w:eastAsia="Arial" w:hAnsi="Arial"/>
                <w:sz w:val="13"/>
                <w:szCs w:val="13"/>
                <w:color w:val="333333"/>
              </w:rPr>
              <w:t>ADDITIONAL INFORMATION</w:t>
            </w:r>
          </w:p>
        </w:tc>
      </w:tr>
    </w:tbl>
    <w:p>
      <w:pPr>
        <w:spacing w:after="0" w:line="15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183515</wp:posOffset>
            </wp:positionV>
            <wp:extent cx="3515995" cy="462915"/>
            <wp:wrapNone/>
            <wp:docPr id="575" name="Picture 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
                    <pic:cNvPicPr>
                      <a:picLocks noChangeAspect="1" noChangeArrowheads="1"/>
                    </pic:cNvPicPr>
                  </pic:nvPicPr>
                  <pic:blipFill>
                    <a:blip r:embed="rId582">
                      <a:extLst>
                        <a:ext uri="{28A0092B-C50C-407E-A947-70E740481C1C}"/>
                      </a:extLst>
                    </a:blip>
                    <a:srcRect/>
                    <a:stretch>
                      <a:fillRect/>
                    </a:stretch>
                  </pic:blipFill>
                  <pic:spPr bwMode="auto">
                    <a:xfrm>
                      <a:off x="0" y="0"/>
                      <a:ext cx="3515995" cy="462915"/>
                    </a:xfrm>
                    <a:prstGeom prst="rect">
                      <a:avLst/>
                    </a:prstGeom>
                    <a:noFill/>
                  </pic:spPr>
                </pic:pic>
              </a:graphicData>
            </a:graphic>
          </wp:anchor>
        </w:drawing>
      </w:r>
    </w:p>
    <w:p>
      <w:pPr>
        <w:jc w:val="right"/>
        <w:spacing w:after="0"/>
        <w:tabs>
          <w:tab w:leader="none" w:pos="2380" w:val="left"/>
        </w:tabs>
        <w:rPr>
          <w:sz w:val="20"/>
          <w:szCs w:val="20"/>
          <w:color w:val="auto"/>
        </w:rPr>
      </w:pPr>
      <w:r>
        <w:rPr>
          <w:rFonts w:ascii="Arial" w:cs="Arial" w:eastAsia="Arial" w:hAnsi="Arial"/>
          <w:sz w:val="11"/>
          <w:szCs w:val="11"/>
          <w:color w:val="auto"/>
        </w:rPr>
        <w:t>EXHIBIT 8</w:t>
      </w:r>
      <w:r>
        <w:rPr>
          <w:sz w:val="20"/>
          <w:szCs w:val="20"/>
          <w:color w:val="auto"/>
        </w:rPr>
        <w:tab/>
      </w:r>
      <w:r>
        <w:rPr>
          <w:rFonts w:ascii="Arial" w:cs="Arial" w:eastAsia="Arial" w:hAnsi="Arial"/>
          <w:sz w:val="10"/>
          <w:szCs w:val="10"/>
          <w:color w:val="auto"/>
        </w:rPr>
        <w:t>SHELL ANNUAL REPORT AND FORM 20-F 2014</w:t>
      </w:r>
    </w:p>
    <w:p>
      <w:pPr>
        <w:spacing w:after="0" w:line="5" w:lineRule="exact"/>
        <w:rPr>
          <w:sz w:val="20"/>
          <w:szCs w:val="20"/>
          <w:color w:val="auto"/>
        </w:rPr>
      </w:pPr>
    </w:p>
    <w:p>
      <w:pPr>
        <w:spacing w:after="0"/>
        <w:rPr>
          <w:sz w:val="20"/>
          <w:szCs w:val="20"/>
          <w:color w:val="auto"/>
        </w:rPr>
      </w:pPr>
      <w:r>
        <w:rPr>
          <w:rFonts w:ascii="Arial" w:cs="Arial" w:eastAsia="Arial" w:hAnsi="Arial"/>
          <w:sz w:val="31"/>
          <w:szCs w:val="31"/>
          <w:color w:val="auto"/>
        </w:rPr>
        <w:t>EXHIBIT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wp:posOffset>
            </wp:positionV>
            <wp:extent cx="3361690" cy="8890"/>
            <wp:wrapNone/>
            <wp:docPr id="576" name="Picture 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
                    <pic:cNvPicPr>
                      <a:picLocks noChangeAspect="1" noChangeArrowheads="1"/>
                    </pic:cNvPicPr>
                  </pic:nvPicPr>
                  <pic:blipFill>
                    <a:blip r:embed="rId583">
                      <a:extLst>
                        <a:ext uri="{28A0092B-C50C-407E-A947-70E740481C1C}"/>
                      </a:extLst>
                    </a:blip>
                    <a:srcRect/>
                    <a:stretch>
                      <a:fillRect/>
                    </a:stretch>
                  </pic:blipFill>
                  <pic:spPr bwMode="auto">
                    <a:xfrm>
                      <a:off x="0" y="0"/>
                      <a:ext cx="3361690" cy="8890"/>
                    </a:xfrm>
                    <a:prstGeom prst="rect">
                      <a:avLst/>
                    </a:prstGeom>
                    <a:noFill/>
                  </pic:spPr>
                </pic:pic>
              </a:graphicData>
            </a:graphic>
          </wp:anchor>
        </w:drawing>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color w:val="auto"/>
        </w:rPr>
        <w:t>SIGNIFICANT SUBSIDIARIES (AUDITED)</w:t>
      </w:r>
    </w:p>
    <w:p>
      <w:pPr>
        <w:spacing w:after="0" w:line="1" w:lineRule="exact"/>
        <w:rPr>
          <w:sz w:val="20"/>
          <w:szCs w:val="20"/>
          <w:color w:val="auto"/>
        </w:rPr>
      </w:pPr>
    </w:p>
    <w:p>
      <w:pPr>
        <w:ind w:right="420"/>
        <w:spacing w:after="0" w:line="250" w:lineRule="auto"/>
        <w:rPr>
          <w:sz w:val="20"/>
          <w:szCs w:val="20"/>
          <w:color w:val="auto"/>
        </w:rPr>
      </w:pPr>
      <w:r>
        <w:rPr>
          <w:rFonts w:ascii="Arial" w:cs="Arial" w:eastAsia="Arial" w:hAnsi="Arial"/>
          <w:sz w:val="14"/>
          <w:szCs w:val="14"/>
          <w:color w:val="auto"/>
        </w:rPr>
        <w:t>Significant subsidiaries at December 31, 2014, and Shell’s percentage of share capital (to the nearest whole number) are set out below. All of these subsidiaries have been included in the “Consolidated Financial Statements” on pages 106-141. Those held directly by the Company are marked with an asterisk (*). A complete list of investments in subsidiaries, incorporated joint arrangements and associates will be attached to the Company’s annual return made to the Registrar of Companies.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68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Company name</w:t>
            </w:r>
          </w:p>
        </w:tc>
        <w:tc>
          <w:tcPr>
            <w:tcW w:w="1000" w:type="dxa"/>
            <w:vAlign w:val="bottom"/>
            <w:tcBorders>
              <w:bottom w:val="single" w:sz="8" w:color="auto"/>
            </w:tcBorders>
          </w:tcPr>
          <w:p>
            <w:pPr>
              <w:jc w:val="right"/>
              <w:ind w:right="28"/>
              <w:spacing w:after="0"/>
              <w:rPr>
                <w:sz w:val="20"/>
                <w:szCs w:val="20"/>
                <w:color w:val="auto"/>
              </w:rPr>
            </w:pPr>
            <w:r>
              <w:rPr>
                <w:rFonts w:ascii="Arial" w:cs="Arial" w:eastAsia="Arial" w:hAnsi="Arial"/>
                <w:sz w:val="13"/>
                <w:szCs w:val="13"/>
                <w:color w:val="auto"/>
              </w:rPr>
              <w:t>%</w:t>
            </w:r>
          </w:p>
        </w:tc>
        <w:tc>
          <w:tcPr>
            <w:tcW w:w="1720" w:type="dxa"/>
            <w:vAlign w:val="bottom"/>
            <w:tcBorders>
              <w:bottom w:val="single" w:sz="8" w:color="auto"/>
            </w:tcBorders>
          </w:tcPr>
          <w:p>
            <w:pPr>
              <w:ind w:left="100"/>
              <w:spacing w:after="0"/>
              <w:rPr>
                <w:sz w:val="20"/>
                <w:szCs w:val="20"/>
                <w:color w:val="auto"/>
              </w:rPr>
            </w:pPr>
            <w:r>
              <w:rPr>
                <w:rFonts w:ascii="Arial" w:cs="Arial" w:eastAsia="Arial" w:hAnsi="Arial"/>
                <w:sz w:val="13"/>
                <w:szCs w:val="13"/>
                <w:color w:val="auto"/>
              </w:rPr>
              <w:t>Country of incorporation</w:t>
            </w:r>
          </w:p>
        </w:tc>
        <w:tc>
          <w:tcPr>
            <w:tcW w:w="1400" w:type="dxa"/>
            <w:vAlign w:val="bottom"/>
            <w:tcBorders>
              <w:bottom w:val="single" w:sz="8" w:color="auto"/>
            </w:tcBorders>
          </w:tcPr>
          <w:p>
            <w:pPr>
              <w:ind w:left="300"/>
              <w:spacing w:after="0"/>
              <w:rPr>
                <w:sz w:val="20"/>
                <w:szCs w:val="20"/>
                <w:color w:val="auto"/>
              </w:rPr>
            </w:pPr>
            <w:r>
              <w:rPr>
                <w:rFonts w:ascii="Arial" w:cs="Arial" w:eastAsia="Arial" w:hAnsi="Arial"/>
                <w:sz w:val="13"/>
                <w:szCs w:val="13"/>
                <w:color w:val="auto"/>
              </w:rPr>
              <w:t>Principal activities</w:t>
            </w:r>
          </w:p>
        </w:tc>
        <w:tc>
          <w:tcPr>
            <w:tcW w:w="2620" w:type="dxa"/>
            <w:vAlign w:val="bottom"/>
            <w:tcBorders>
              <w:bottom w:val="single" w:sz="8" w:color="auto"/>
            </w:tcBorders>
          </w:tcPr>
          <w:p>
            <w:pPr>
              <w:ind w:left="120"/>
              <w:spacing w:after="0"/>
              <w:rPr>
                <w:sz w:val="20"/>
                <w:szCs w:val="20"/>
                <w:color w:val="auto"/>
              </w:rPr>
            </w:pPr>
            <w:r>
              <w:rPr>
                <w:rFonts w:ascii="Arial" w:cs="Arial" w:eastAsia="Arial" w:hAnsi="Arial"/>
                <w:sz w:val="13"/>
                <w:szCs w:val="13"/>
                <w:color w:val="auto"/>
              </w:rPr>
              <w:t>Class of shares held</w:t>
            </w:r>
          </w:p>
        </w:tc>
      </w:tr>
      <w:tr>
        <w:trPr>
          <w:trHeight w:val="160"/>
        </w:trPr>
        <w:tc>
          <w:tcPr>
            <w:tcW w:w="4680" w:type="dxa"/>
            <w:vAlign w:val="bottom"/>
          </w:tcPr>
          <w:p>
            <w:pPr>
              <w:spacing w:after="0"/>
              <w:rPr>
                <w:sz w:val="20"/>
                <w:szCs w:val="20"/>
                <w:color w:val="auto"/>
              </w:rPr>
            </w:pPr>
            <w:r>
              <w:rPr>
                <w:rFonts w:ascii="Arial" w:cs="Arial" w:eastAsia="Arial" w:hAnsi="Arial"/>
                <w:sz w:val="14"/>
                <w:szCs w:val="14"/>
                <w:color w:val="auto"/>
              </w:rPr>
              <w:t>Shell Australia Pty Ltd</w:t>
            </w: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100</w:t>
            </w:r>
          </w:p>
        </w:tc>
        <w:tc>
          <w:tcPr>
            <w:tcW w:w="1720" w:type="dxa"/>
            <w:vAlign w:val="bottom"/>
          </w:tcPr>
          <w:p>
            <w:pPr>
              <w:ind w:left="100"/>
              <w:spacing w:after="0"/>
              <w:rPr>
                <w:sz w:val="20"/>
                <w:szCs w:val="20"/>
                <w:color w:val="auto"/>
              </w:rPr>
            </w:pPr>
            <w:r>
              <w:rPr>
                <w:rFonts w:ascii="Arial" w:cs="Arial" w:eastAsia="Arial" w:hAnsi="Arial"/>
                <w:sz w:val="14"/>
                <w:szCs w:val="14"/>
                <w:color w:val="auto"/>
              </w:rPr>
              <w:t>Australia</w:t>
            </w:r>
          </w:p>
        </w:tc>
        <w:tc>
          <w:tcPr>
            <w:tcW w:w="1400" w:type="dxa"/>
            <w:vAlign w:val="bottom"/>
          </w:tcPr>
          <w:p>
            <w:pPr>
              <w:ind w:left="300"/>
              <w:spacing w:after="0"/>
              <w:rPr>
                <w:sz w:val="20"/>
                <w:szCs w:val="20"/>
                <w:color w:val="auto"/>
              </w:rPr>
            </w:pPr>
            <w:r>
              <w:rPr>
                <w:rFonts w:ascii="Arial" w:cs="Arial" w:eastAsia="Arial" w:hAnsi="Arial"/>
                <w:sz w:val="14"/>
                <w:szCs w:val="14"/>
                <w:color w:val="auto"/>
              </w:rPr>
              <w:t>Upstream</w:t>
            </w:r>
          </w:p>
        </w:tc>
        <w:tc>
          <w:tcPr>
            <w:tcW w:w="2620" w:type="dxa"/>
            <w:vAlign w:val="bottom"/>
          </w:tcPr>
          <w:p>
            <w:pPr>
              <w:ind w:left="120"/>
              <w:spacing w:after="0"/>
              <w:rPr>
                <w:sz w:val="20"/>
                <w:szCs w:val="20"/>
                <w:color w:val="auto"/>
              </w:rPr>
            </w:pPr>
            <w:r>
              <w:rPr>
                <w:rFonts w:ascii="Arial" w:cs="Arial" w:eastAsia="Arial" w:hAnsi="Arial"/>
                <w:sz w:val="14"/>
                <w:szCs w:val="14"/>
                <w:color w:val="auto"/>
              </w:rPr>
              <w:t>Ordinary</w:t>
            </w:r>
          </w:p>
        </w:tc>
      </w:tr>
      <w:tr>
        <w:trPr>
          <w:trHeight w:val="162"/>
        </w:trPr>
        <w:tc>
          <w:tcPr>
            <w:tcW w:w="4680" w:type="dxa"/>
            <w:vAlign w:val="bottom"/>
          </w:tcPr>
          <w:p>
            <w:pPr>
              <w:spacing w:after="0"/>
              <w:rPr>
                <w:sz w:val="20"/>
                <w:szCs w:val="20"/>
                <w:color w:val="auto"/>
              </w:rPr>
            </w:pPr>
            <w:r>
              <w:rPr>
                <w:rFonts w:ascii="Arial" w:cs="Arial" w:eastAsia="Arial" w:hAnsi="Arial"/>
                <w:sz w:val="14"/>
                <w:szCs w:val="14"/>
                <w:color w:val="auto"/>
              </w:rPr>
              <w:t>Shell Energy Holdings Australia Limited</w:t>
            </w: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100</w:t>
            </w:r>
          </w:p>
        </w:tc>
        <w:tc>
          <w:tcPr>
            <w:tcW w:w="1720" w:type="dxa"/>
            <w:vAlign w:val="bottom"/>
          </w:tcPr>
          <w:p>
            <w:pPr>
              <w:ind w:left="100"/>
              <w:spacing w:after="0"/>
              <w:rPr>
                <w:sz w:val="20"/>
                <w:szCs w:val="20"/>
                <w:color w:val="auto"/>
              </w:rPr>
            </w:pPr>
            <w:r>
              <w:rPr>
                <w:rFonts w:ascii="Arial" w:cs="Arial" w:eastAsia="Arial" w:hAnsi="Arial"/>
                <w:sz w:val="14"/>
                <w:szCs w:val="14"/>
                <w:color w:val="auto"/>
              </w:rPr>
              <w:t>Australia</w:t>
            </w:r>
          </w:p>
        </w:tc>
        <w:tc>
          <w:tcPr>
            <w:tcW w:w="1400" w:type="dxa"/>
            <w:vAlign w:val="bottom"/>
          </w:tcPr>
          <w:p>
            <w:pPr>
              <w:ind w:left="300"/>
              <w:spacing w:after="0"/>
              <w:rPr>
                <w:sz w:val="20"/>
                <w:szCs w:val="20"/>
                <w:color w:val="auto"/>
              </w:rPr>
            </w:pPr>
            <w:r>
              <w:rPr>
                <w:rFonts w:ascii="Arial" w:cs="Arial" w:eastAsia="Arial" w:hAnsi="Arial"/>
                <w:sz w:val="14"/>
                <w:szCs w:val="14"/>
                <w:color w:val="auto"/>
              </w:rPr>
              <w:t>Upstream</w:t>
            </w:r>
          </w:p>
        </w:tc>
        <w:tc>
          <w:tcPr>
            <w:tcW w:w="2620" w:type="dxa"/>
            <w:vAlign w:val="bottom"/>
          </w:tcPr>
          <w:p>
            <w:pPr>
              <w:ind w:left="120"/>
              <w:spacing w:after="0"/>
              <w:rPr>
                <w:sz w:val="20"/>
                <w:szCs w:val="20"/>
                <w:color w:val="auto"/>
              </w:rPr>
            </w:pPr>
            <w:r>
              <w:rPr>
                <w:rFonts w:ascii="Arial" w:cs="Arial" w:eastAsia="Arial" w:hAnsi="Arial"/>
                <w:sz w:val="14"/>
                <w:szCs w:val="14"/>
                <w:color w:val="auto"/>
              </w:rPr>
              <w:t>Ordinary, redeemable [A]</w:t>
            </w:r>
          </w:p>
        </w:tc>
      </w:tr>
      <w:tr>
        <w:trPr>
          <w:trHeight w:val="162"/>
        </w:trPr>
        <w:tc>
          <w:tcPr>
            <w:tcW w:w="4680" w:type="dxa"/>
            <w:vAlign w:val="bottom"/>
          </w:tcPr>
          <w:p>
            <w:pPr>
              <w:spacing w:after="0"/>
              <w:rPr>
                <w:sz w:val="20"/>
                <w:szCs w:val="20"/>
                <w:color w:val="auto"/>
              </w:rPr>
            </w:pPr>
            <w:r>
              <w:rPr>
                <w:rFonts w:ascii="Arial" w:cs="Arial" w:eastAsia="Arial" w:hAnsi="Arial"/>
                <w:sz w:val="14"/>
                <w:szCs w:val="14"/>
                <w:color w:val="auto"/>
              </w:rPr>
              <w:t>Qatar Shell GTL Limited</w:t>
            </w: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100</w:t>
            </w:r>
          </w:p>
        </w:tc>
        <w:tc>
          <w:tcPr>
            <w:tcW w:w="1720" w:type="dxa"/>
            <w:vAlign w:val="bottom"/>
          </w:tcPr>
          <w:p>
            <w:pPr>
              <w:ind w:left="100"/>
              <w:spacing w:after="0"/>
              <w:rPr>
                <w:sz w:val="20"/>
                <w:szCs w:val="20"/>
                <w:color w:val="auto"/>
              </w:rPr>
            </w:pPr>
            <w:r>
              <w:rPr>
                <w:rFonts w:ascii="Arial" w:cs="Arial" w:eastAsia="Arial" w:hAnsi="Arial"/>
                <w:sz w:val="14"/>
                <w:szCs w:val="14"/>
                <w:color w:val="auto"/>
              </w:rPr>
              <w:t>Bermuda</w:t>
            </w:r>
          </w:p>
        </w:tc>
        <w:tc>
          <w:tcPr>
            <w:tcW w:w="1400" w:type="dxa"/>
            <w:vAlign w:val="bottom"/>
          </w:tcPr>
          <w:p>
            <w:pPr>
              <w:ind w:left="300"/>
              <w:spacing w:after="0"/>
              <w:rPr>
                <w:sz w:val="20"/>
                <w:szCs w:val="20"/>
                <w:color w:val="auto"/>
              </w:rPr>
            </w:pPr>
            <w:r>
              <w:rPr>
                <w:rFonts w:ascii="Arial" w:cs="Arial" w:eastAsia="Arial" w:hAnsi="Arial"/>
                <w:sz w:val="14"/>
                <w:szCs w:val="14"/>
                <w:color w:val="auto"/>
              </w:rPr>
              <w:t>Upstream</w:t>
            </w:r>
          </w:p>
        </w:tc>
        <w:tc>
          <w:tcPr>
            <w:tcW w:w="2620" w:type="dxa"/>
            <w:vAlign w:val="bottom"/>
          </w:tcPr>
          <w:p>
            <w:pPr>
              <w:ind w:left="120"/>
              <w:spacing w:after="0"/>
              <w:rPr>
                <w:sz w:val="20"/>
                <w:szCs w:val="20"/>
                <w:color w:val="auto"/>
              </w:rPr>
            </w:pPr>
            <w:r>
              <w:rPr>
                <w:rFonts w:ascii="Arial" w:cs="Arial" w:eastAsia="Arial" w:hAnsi="Arial"/>
                <w:sz w:val="14"/>
                <w:szCs w:val="14"/>
                <w:color w:val="auto"/>
              </w:rPr>
              <w:t>Ordinary</w:t>
            </w:r>
          </w:p>
        </w:tc>
      </w:tr>
      <w:tr>
        <w:trPr>
          <w:trHeight w:val="162"/>
        </w:trPr>
        <w:tc>
          <w:tcPr>
            <w:tcW w:w="4680" w:type="dxa"/>
            <w:vAlign w:val="bottom"/>
          </w:tcPr>
          <w:p>
            <w:pPr>
              <w:spacing w:after="0"/>
              <w:rPr>
                <w:sz w:val="20"/>
                <w:szCs w:val="20"/>
                <w:color w:val="auto"/>
              </w:rPr>
            </w:pPr>
            <w:r>
              <w:rPr>
                <w:rFonts w:ascii="Arial" w:cs="Arial" w:eastAsia="Arial" w:hAnsi="Arial"/>
                <w:sz w:val="14"/>
                <w:szCs w:val="14"/>
                <w:color w:val="auto"/>
              </w:rPr>
              <w:t>Tacoma Company Limited</w:t>
            </w: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100</w:t>
            </w:r>
          </w:p>
        </w:tc>
        <w:tc>
          <w:tcPr>
            <w:tcW w:w="1720" w:type="dxa"/>
            <w:vAlign w:val="bottom"/>
          </w:tcPr>
          <w:p>
            <w:pPr>
              <w:ind w:left="100"/>
              <w:spacing w:after="0"/>
              <w:rPr>
                <w:sz w:val="20"/>
                <w:szCs w:val="20"/>
                <w:color w:val="auto"/>
              </w:rPr>
            </w:pPr>
            <w:r>
              <w:rPr>
                <w:rFonts w:ascii="Arial" w:cs="Arial" w:eastAsia="Arial" w:hAnsi="Arial"/>
                <w:sz w:val="14"/>
                <w:szCs w:val="14"/>
                <w:color w:val="auto"/>
              </w:rPr>
              <w:t>Bermuda</w:t>
            </w:r>
          </w:p>
        </w:tc>
        <w:tc>
          <w:tcPr>
            <w:tcW w:w="1400" w:type="dxa"/>
            <w:vAlign w:val="bottom"/>
          </w:tcPr>
          <w:p>
            <w:pPr>
              <w:ind w:left="300"/>
              <w:spacing w:after="0"/>
              <w:rPr>
                <w:sz w:val="20"/>
                <w:szCs w:val="20"/>
                <w:color w:val="auto"/>
              </w:rPr>
            </w:pPr>
            <w:r>
              <w:rPr>
                <w:rFonts w:ascii="Arial" w:cs="Arial" w:eastAsia="Arial" w:hAnsi="Arial"/>
                <w:sz w:val="14"/>
                <w:szCs w:val="14"/>
                <w:color w:val="auto"/>
              </w:rPr>
              <w:t>Upstream</w:t>
            </w:r>
          </w:p>
        </w:tc>
        <w:tc>
          <w:tcPr>
            <w:tcW w:w="2620" w:type="dxa"/>
            <w:vAlign w:val="bottom"/>
          </w:tcPr>
          <w:p>
            <w:pPr>
              <w:ind w:left="120"/>
              <w:spacing w:after="0"/>
              <w:rPr>
                <w:sz w:val="20"/>
                <w:szCs w:val="20"/>
                <w:color w:val="auto"/>
              </w:rPr>
            </w:pPr>
            <w:r>
              <w:rPr>
                <w:rFonts w:ascii="Arial" w:cs="Arial" w:eastAsia="Arial" w:hAnsi="Arial"/>
                <w:sz w:val="14"/>
                <w:szCs w:val="14"/>
                <w:color w:val="auto"/>
              </w:rPr>
              <w:t>Ordinary</w:t>
            </w:r>
          </w:p>
        </w:tc>
      </w:tr>
      <w:tr>
        <w:trPr>
          <w:trHeight w:val="162"/>
        </w:trPr>
        <w:tc>
          <w:tcPr>
            <w:tcW w:w="4680" w:type="dxa"/>
            <w:vAlign w:val="bottom"/>
          </w:tcPr>
          <w:p>
            <w:pPr>
              <w:spacing w:after="0"/>
              <w:rPr>
                <w:sz w:val="20"/>
                <w:szCs w:val="20"/>
                <w:color w:val="auto"/>
              </w:rPr>
            </w:pPr>
            <w:r>
              <w:rPr>
                <w:rFonts w:ascii="Arial" w:cs="Arial" w:eastAsia="Arial" w:hAnsi="Arial"/>
                <w:sz w:val="14"/>
                <w:szCs w:val="14"/>
                <w:color w:val="auto"/>
              </w:rPr>
              <w:t>Shell Brasil Petroleo Ltda</w:t>
            </w: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100</w:t>
            </w:r>
          </w:p>
        </w:tc>
        <w:tc>
          <w:tcPr>
            <w:tcW w:w="1720" w:type="dxa"/>
            <w:vAlign w:val="bottom"/>
          </w:tcPr>
          <w:p>
            <w:pPr>
              <w:ind w:left="100"/>
              <w:spacing w:after="0"/>
              <w:rPr>
                <w:sz w:val="20"/>
                <w:szCs w:val="20"/>
                <w:color w:val="auto"/>
              </w:rPr>
            </w:pPr>
            <w:r>
              <w:rPr>
                <w:rFonts w:ascii="Arial" w:cs="Arial" w:eastAsia="Arial" w:hAnsi="Arial"/>
                <w:sz w:val="14"/>
                <w:szCs w:val="14"/>
                <w:color w:val="auto"/>
              </w:rPr>
              <w:t>Brazil</w:t>
            </w:r>
          </w:p>
        </w:tc>
        <w:tc>
          <w:tcPr>
            <w:tcW w:w="1400" w:type="dxa"/>
            <w:vAlign w:val="bottom"/>
          </w:tcPr>
          <w:p>
            <w:pPr>
              <w:ind w:left="300"/>
              <w:spacing w:after="0"/>
              <w:rPr>
                <w:sz w:val="20"/>
                <w:szCs w:val="20"/>
                <w:color w:val="auto"/>
              </w:rPr>
            </w:pPr>
            <w:r>
              <w:rPr>
                <w:rFonts w:ascii="Arial" w:cs="Arial" w:eastAsia="Arial" w:hAnsi="Arial"/>
                <w:sz w:val="14"/>
                <w:szCs w:val="14"/>
                <w:color w:val="auto"/>
              </w:rPr>
              <w:t>Upstream</w:t>
            </w:r>
          </w:p>
        </w:tc>
        <w:tc>
          <w:tcPr>
            <w:tcW w:w="2620" w:type="dxa"/>
            <w:vAlign w:val="bottom"/>
          </w:tcPr>
          <w:p>
            <w:pPr>
              <w:ind w:left="120"/>
              <w:spacing w:after="0"/>
              <w:rPr>
                <w:sz w:val="20"/>
                <w:szCs w:val="20"/>
                <w:color w:val="auto"/>
              </w:rPr>
            </w:pPr>
            <w:r>
              <w:rPr>
                <w:rFonts w:ascii="Arial" w:cs="Arial" w:eastAsia="Arial" w:hAnsi="Arial"/>
                <w:sz w:val="14"/>
                <w:szCs w:val="14"/>
                <w:color w:val="auto"/>
              </w:rPr>
              <w:t>Quotas (Voting)</w:t>
            </w:r>
          </w:p>
        </w:tc>
      </w:tr>
      <w:tr>
        <w:trPr>
          <w:trHeight w:val="162"/>
        </w:trPr>
        <w:tc>
          <w:tcPr>
            <w:tcW w:w="4680" w:type="dxa"/>
            <w:vAlign w:val="bottom"/>
          </w:tcPr>
          <w:p>
            <w:pPr>
              <w:spacing w:after="0"/>
              <w:rPr>
                <w:sz w:val="20"/>
                <w:szCs w:val="20"/>
                <w:color w:val="auto"/>
              </w:rPr>
            </w:pPr>
            <w:r>
              <w:rPr>
                <w:rFonts w:ascii="Arial" w:cs="Arial" w:eastAsia="Arial" w:hAnsi="Arial"/>
                <w:sz w:val="14"/>
                <w:szCs w:val="14"/>
                <w:color w:val="auto"/>
              </w:rPr>
              <w:t>Shell Canada Energy</w:t>
            </w: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100</w:t>
            </w:r>
          </w:p>
        </w:tc>
        <w:tc>
          <w:tcPr>
            <w:tcW w:w="1720" w:type="dxa"/>
            <w:vAlign w:val="bottom"/>
          </w:tcPr>
          <w:p>
            <w:pPr>
              <w:ind w:left="100"/>
              <w:spacing w:after="0"/>
              <w:rPr>
                <w:sz w:val="20"/>
                <w:szCs w:val="20"/>
                <w:color w:val="auto"/>
              </w:rPr>
            </w:pPr>
            <w:r>
              <w:rPr>
                <w:rFonts w:ascii="Arial" w:cs="Arial" w:eastAsia="Arial" w:hAnsi="Arial"/>
                <w:sz w:val="14"/>
                <w:szCs w:val="14"/>
                <w:color w:val="auto"/>
              </w:rPr>
              <w:t>Canada</w:t>
            </w:r>
          </w:p>
        </w:tc>
        <w:tc>
          <w:tcPr>
            <w:tcW w:w="1400" w:type="dxa"/>
            <w:vAlign w:val="bottom"/>
          </w:tcPr>
          <w:p>
            <w:pPr>
              <w:ind w:left="300"/>
              <w:spacing w:after="0"/>
              <w:rPr>
                <w:sz w:val="20"/>
                <w:szCs w:val="20"/>
                <w:color w:val="auto"/>
              </w:rPr>
            </w:pPr>
            <w:r>
              <w:rPr>
                <w:rFonts w:ascii="Arial" w:cs="Arial" w:eastAsia="Arial" w:hAnsi="Arial"/>
                <w:sz w:val="14"/>
                <w:szCs w:val="14"/>
                <w:color w:val="auto"/>
              </w:rPr>
              <w:t>Upstream</w:t>
            </w:r>
          </w:p>
        </w:tc>
        <w:tc>
          <w:tcPr>
            <w:tcW w:w="2620" w:type="dxa"/>
            <w:vAlign w:val="bottom"/>
          </w:tcPr>
          <w:p>
            <w:pPr>
              <w:ind w:left="120"/>
              <w:spacing w:after="0"/>
              <w:rPr>
                <w:sz w:val="20"/>
                <w:szCs w:val="20"/>
                <w:color w:val="auto"/>
              </w:rPr>
            </w:pPr>
            <w:r>
              <w:rPr>
                <w:rFonts w:ascii="Arial" w:cs="Arial" w:eastAsia="Arial" w:hAnsi="Arial"/>
                <w:sz w:val="14"/>
                <w:szCs w:val="14"/>
                <w:color w:val="auto"/>
              </w:rPr>
              <w:t>Ordinary</w:t>
            </w:r>
          </w:p>
        </w:tc>
      </w:tr>
      <w:tr>
        <w:trPr>
          <w:trHeight w:val="162"/>
        </w:trPr>
        <w:tc>
          <w:tcPr>
            <w:tcW w:w="4680" w:type="dxa"/>
            <w:vAlign w:val="bottom"/>
          </w:tcPr>
          <w:p>
            <w:pPr>
              <w:spacing w:after="0"/>
              <w:rPr>
                <w:sz w:val="20"/>
                <w:szCs w:val="20"/>
                <w:color w:val="auto"/>
              </w:rPr>
            </w:pPr>
            <w:r>
              <w:rPr>
                <w:rFonts w:ascii="Arial" w:cs="Arial" w:eastAsia="Arial" w:hAnsi="Arial"/>
                <w:sz w:val="14"/>
                <w:szCs w:val="14"/>
                <w:color w:val="auto"/>
              </w:rPr>
              <w:t>Shell Gabon SA</w:t>
            </w: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75</w:t>
            </w:r>
          </w:p>
        </w:tc>
        <w:tc>
          <w:tcPr>
            <w:tcW w:w="1720" w:type="dxa"/>
            <w:vAlign w:val="bottom"/>
          </w:tcPr>
          <w:p>
            <w:pPr>
              <w:ind w:left="100"/>
              <w:spacing w:after="0"/>
              <w:rPr>
                <w:sz w:val="20"/>
                <w:szCs w:val="20"/>
                <w:color w:val="auto"/>
              </w:rPr>
            </w:pPr>
            <w:r>
              <w:rPr>
                <w:rFonts w:ascii="Arial" w:cs="Arial" w:eastAsia="Arial" w:hAnsi="Arial"/>
                <w:sz w:val="14"/>
                <w:szCs w:val="14"/>
                <w:color w:val="auto"/>
              </w:rPr>
              <w:t>Gabon</w:t>
            </w:r>
          </w:p>
        </w:tc>
        <w:tc>
          <w:tcPr>
            <w:tcW w:w="1400" w:type="dxa"/>
            <w:vAlign w:val="bottom"/>
          </w:tcPr>
          <w:p>
            <w:pPr>
              <w:ind w:left="300"/>
              <w:spacing w:after="0"/>
              <w:rPr>
                <w:sz w:val="20"/>
                <w:szCs w:val="20"/>
                <w:color w:val="auto"/>
              </w:rPr>
            </w:pPr>
            <w:r>
              <w:rPr>
                <w:rFonts w:ascii="Arial" w:cs="Arial" w:eastAsia="Arial" w:hAnsi="Arial"/>
                <w:sz w:val="14"/>
                <w:szCs w:val="14"/>
                <w:color w:val="auto"/>
              </w:rPr>
              <w:t>Upstream</w:t>
            </w:r>
          </w:p>
        </w:tc>
        <w:tc>
          <w:tcPr>
            <w:tcW w:w="2620" w:type="dxa"/>
            <w:vAlign w:val="bottom"/>
          </w:tcPr>
          <w:p>
            <w:pPr>
              <w:ind w:left="120"/>
              <w:spacing w:after="0"/>
              <w:rPr>
                <w:sz w:val="20"/>
                <w:szCs w:val="20"/>
                <w:color w:val="auto"/>
              </w:rPr>
            </w:pPr>
            <w:r>
              <w:rPr>
                <w:rFonts w:ascii="Arial" w:cs="Arial" w:eastAsia="Arial" w:hAnsi="Arial"/>
                <w:sz w:val="14"/>
                <w:szCs w:val="14"/>
                <w:color w:val="auto"/>
              </w:rPr>
              <w:t>Ordinary</w:t>
            </w:r>
          </w:p>
        </w:tc>
      </w:tr>
      <w:tr>
        <w:trPr>
          <w:trHeight w:val="162"/>
        </w:trPr>
        <w:tc>
          <w:tcPr>
            <w:tcW w:w="4680" w:type="dxa"/>
            <w:vAlign w:val="bottom"/>
          </w:tcPr>
          <w:p>
            <w:pPr>
              <w:spacing w:after="0"/>
              <w:rPr>
                <w:sz w:val="20"/>
                <w:szCs w:val="20"/>
                <w:color w:val="auto"/>
              </w:rPr>
            </w:pPr>
            <w:r>
              <w:rPr>
                <w:rFonts w:ascii="Arial" w:cs="Arial" w:eastAsia="Arial" w:hAnsi="Arial"/>
                <w:sz w:val="14"/>
                <w:szCs w:val="14"/>
                <w:color w:val="auto"/>
              </w:rPr>
              <w:t>Shell Italia E&amp;P Spa</w:t>
            </w: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100</w:t>
            </w:r>
          </w:p>
        </w:tc>
        <w:tc>
          <w:tcPr>
            <w:tcW w:w="1720" w:type="dxa"/>
            <w:vAlign w:val="bottom"/>
          </w:tcPr>
          <w:p>
            <w:pPr>
              <w:ind w:left="100"/>
              <w:spacing w:after="0"/>
              <w:rPr>
                <w:sz w:val="20"/>
                <w:szCs w:val="20"/>
                <w:color w:val="auto"/>
              </w:rPr>
            </w:pPr>
            <w:r>
              <w:rPr>
                <w:rFonts w:ascii="Arial" w:cs="Arial" w:eastAsia="Arial" w:hAnsi="Arial"/>
                <w:sz w:val="14"/>
                <w:szCs w:val="14"/>
                <w:color w:val="auto"/>
              </w:rPr>
              <w:t>Italy</w:t>
            </w:r>
          </w:p>
        </w:tc>
        <w:tc>
          <w:tcPr>
            <w:tcW w:w="1400" w:type="dxa"/>
            <w:vAlign w:val="bottom"/>
          </w:tcPr>
          <w:p>
            <w:pPr>
              <w:ind w:left="300"/>
              <w:spacing w:after="0"/>
              <w:rPr>
                <w:sz w:val="20"/>
                <w:szCs w:val="20"/>
                <w:color w:val="auto"/>
              </w:rPr>
            </w:pPr>
            <w:r>
              <w:rPr>
                <w:rFonts w:ascii="Arial" w:cs="Arial" w:eastAsia="Arial" w:hAnsi="Arial"/>
                <w:sz w:val="14"/>
                <w:szCs w:val="14"/>
                <w:color w:val="auto"/>
              </w:rPr>
              <w:t>Upstream</w:t>
            </w:r>
          </w:p>
        </w:tc>
        <w:tc>
          <w:tcPr>
            <w:tcW w:w="2620" w:type="dxa"/>
            <w:vAlign w:val="bottom"/>
          </w:tcPr>
          <w:p>
            <w:pPr>
              <w:ind w:left="120"/>
              <w:spacing w:after="0"/>
              <w:rPr>
                <w:sz w:val="20"/>
                <w:szCs w:val="20"/>
                <w:color w:val="auto"/>
              </w:rPr>
            </w:pPr>
            <w:r>
              <w:rPr>
                <w:rFonts w:ascii="Arial" w:cs="Arial" w:eastAsia="Arial" w:hAnsi="Arial"/>
                <w:sz w:val="14"/>
                <w:szCs w:val="14"/>
                <w:color w:val="auto"/>
              </w:rPr>
              <w:t>Ordinary</w:t>
            </w:r>
          </w:p>
        </w:tc>
      </w:tr>
      <w:tr>
        <w:trPr>
          <w:trHeight w:val="162"/>
        </w:trPr>
        <w:tc>
          <w:tcPr>
            <w:tcW w:w="4680" w:type="dxa"/>
            <w:vAlign w:val="bottom"/>
          </w:tcPr>
          <w:p>
            <w:pPr>
              <w:spacing w:after="0"/>
              <w:rPr>
                <w:sz w:val="20"/>
                <w:szCs w:val="20"/>
                <w:color w:val="auto"/>
              </w:rPr>
            </w:pPr>
            <w:r>
              <w:rPr>
                <w:rFonts w:ascii="Arial" w:cs="Arial" w:eastAsia="Arial" w:hAnsi="Arial"/>
                <w:sz w:val="14"/>
                <w:szCs w:val="14"/>
                <w:color w:val="auto"/>
              </w:rPr>
              <w:t>Sarawak Shell Berhad</w:t>
            </w: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100</w:t>
            </w:r>
          </w:p>
        </w:tc>
        <w:tc>
          <w:tcPr>
            <w:tcW w:w="1720" w:type="dxa"/>
            <w:vAlign w:val="bottom"/>
          </w:tcPr>
          <w:p>
            <w:pPr>
              <w:ind w:left="100"/>
              <w:spacing w:after="0"/>
              <w:rPr>
                <w:sz w:val="20"/>
                <w:szCs w:val="20"/>
                <w:color w:val="auto"/>
              </w:rPr>
            </w:pPr>
            <w:r>
              <w:rPr>
                <w:rFonts w:ascii="Arial" w:cs="Arial" w:eastAsia="Arial" w:hAnsi="Arial"/>
                <w:sz w:val="14"/>
                <w:szCs w:val="14"/>
                <w:color w:val="auto"/>
              </w:rPr>
              <w:t>Malaysia</w:t>
            </w:r>
          </w:p>
        </w:tc>
        <w:tc>
          <w:tcPr>
            <w:tcW w:w="1400" w:type="dxa"/>
            <w:vAlign w:val="bottom"/>
          </w:tcPr>
          <w:p>
            <w:pPr>
              <w:ind w:left="300"/>
              <w:spacing w:after="0"/>
              <w:rPr>
                <w:sz w:val="20"/>
                <w:szCs w:val="20"/>
                <w:color w:val="auto"/>
              </w:rPr>
            </w:pPr>
            <w:r>
              <w:rPr>
                <w:rFonts w:ascii="Arial" w:cs="Arial" w:eastAsia="Arial" w:hAnsi="Arial"/>
                <w:sz w:val="14"/>
                <w:szCs w:val="14"/>
                <w:color w:val="auto"/>
              </w:rPr>
              <w:t>Upstream</w:t>
            </w:r>
          </w:p>
        </w:tc>
        <w:tc>
          <w:tcPr>
            <w:tcW w:w="2620" w:type="dxa"/>
            <w:vAlign w:val="bottom"/>
          </w:tcPr>
          <w:p>
            <w:pPr>
              <w:ind w:left="120"/>
              <w:spacing w:after="0"/>
              <w:rPr>
                <w:sz w:val="20"/>
                <w:szCs w:val="20"/>
                <w:color w:val="auto"/>
              </w:rPr>
            </w:pPr>
            <w:r>
              <w:rPr>
                <w:rFonts w:ascii="Arial" w:cs="Arial" w:eastAsia="Arial" w:hAnsi="Arial"/>
                <w:sz w:val="14"/>
                <w:szCs w:val="14"/>
                <w:color w:val="auto"/>
              </w:rPr>
              <w:t>Ordinary</w:t>
            </w:r>
          </w:p>
        </w:tc>
      </w:tr>
      <w:tr>
        <w:trPr>
          <w:trHeight w:val="162"/>
        </w:trPr>
        <w:tc>
          <w:tcPr>
            <w:tcW w:w="4680" w:type="dxa"/>
            <w:vAlign w:val="bottom"/>
          </w:tcPr>
          <w:p>
            <w:pPr>
              <w:spacing w:after="0"/>
              <w:rPr>
                <w:sz w:val="20"/>
                <w:szCs w:val="20"/>
                <w:color w:val="auto"/>
              </w:rPr>
            </w:pPr>
            <w:r>
              <w:rPr>
                <w:rFonts w:ascii="Arial" w:cs="Arial" w:eastAsia="Arial" w:hAnsi="Arial"/>
                <w:sz w:val="14"/>
                <w:szCs w:val="14"/>
                <w:color w:val="auto"/>
              </w:rPr>
              <w:t>Shell Kazakhstan Development B.V.</w:t>
            </w: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100</w:t>
            </w:r>
          </w:p>
        </w:tc>
        <w:tc>
          <w:tcPr>
            <w:tcW w:w="1720" w:type="dxa"/>
            <w:vAlign w:val="bottom"/>
          </w:tcPr>
          <w:p>
            <w:pPr>
              <w:ind w:left="100"/>
              <w:spacing w:after="0"/>
              <w:rPr>
                <w:sz w:val="20"/>
                <w:szCs w:val="20"/>
                <w:color w:val="auto"/>
              </w:rPr>
            </w:pPr>
            <w:r>
              <w:rPr>
                <w:rFonts w:ascii="Arial" w:cs="Arial" w:eastAsia="Arial" w:hAnsi="Arial"/>
                <w:sz w:val="14"/>
                <w:szCs w:val="14"/>
                <w:color w:val="auto"/>
              </w:rPr>
              <w:t>Netherlands</w:t>
            </w:r>
          </w:p>
        </w:tc>
        <w:tc>
          <w:tcPr>
            <w:tcW w:w="1400" w:type="dxa"/>
            <w:vAlign w:val="bottom"/>
          </w:tcPr>
          <w:p>
            <w:pPr>
              <w:ind w:left="300"/>
              <w:spacing w:after="0"/>
              <w:rPr>
                <w:sz w:val="20"/>
                <w:szCs w:val="20"/>
                <w:color w:val="auto"/>
              </w:rPr>
            </w:pPr>
            <w:r>
              <w:rPr>
                <w:rFonts w:ascii="Arial" w:cs="Arial" w:eastAsia="Arial" w:hAnsi="Arial"/>
                <w:sz w:val="14"/>
                <w:szCs w:val="14"/>
                <w:color w:val="auto"/>
              </w:rPr>
              <w:t>Upstream</w:t>
            </w:r>
          </w:p>
        </w:tc>
        <w:tc>
          <w:tcPr>
            <w:tcW w:w="2620" w:type="dxa"/>
            <w:vAlign w:val="bottom"/>
          </w:tcPr>
          <w:p>
            <w:pPr>
              <w:ind w:left="120"/>
              <w:spacing w:after="0"/>
              <w:rPr>
                <w:sz w:val="20"/>
                <w:szCs w:val="20"/>
                <w:color w:val="auto"/>
              </w:rPr>
            </w:pPr>
            <w:r>
              <w:rPr>
                <w:rFonts w:ascii="Arial" w:cs="Arial" w:eastAsia="Arial" w:hAnsi="Arial"/>
                <w:sz w:val="14"/>
                <w:szCs w:val="14"/>
                <w:color w:val="auto"/>
              </w:rPr>
              <w:t>Redeemable [A], non-redeemable</w:t>
            </w:r>
          </w:p>
        </w:tc>
      </w:tr>
      <w:tr>
        <w:trPr>
          <w:trHeight w:val="162"/>
        </w:trPr>
        <w:tc>
          <w:tcPr>
            <w:tcW w:w="4680" w:type="dxa"/>
            <w:vAlign w:val="bottom"/>
          </w:tcPr>
          <w:p>
            <w:pPr>
              <w:spacing w:after="0"/>
              <w:rPr>
                <w:sz w:val="20"/>
                <w:szCs w:val="20"/>
                <w:color w:val="auto"/>
              </w:rPr>
            </w:pPr>
            <w:r>
              <w:rPr>
                <w:rFonts w:ascii="Arial" w:cs="Arial" w:eastAsia="Arial" w:hAnsi="Arial"/>
                <w:sz w:val="14"/>
                <w:szCs w:val="14"/>
                <w:color w:val="auto"/>
              </w:rPr>
              <w:t>Shell Olie – OG Gasudvinding Danmark B.V.</w:t>
            </w: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100</w:t>
            </w:r>
          </w:p>
        </w:tc>
        <w:tc>
          <w:tcPr>
            <w:tcW w:w="1720" w:type="dxa"/>
            <w:vAlign w:val="bottom"/>
          </w:tcPr>
          <w:p>
            <w:pPr>
              <w:ind w:left="100"/>
              <w:spacing w:after="0"/>
              <w:rPr>
                <w:sz w:val="20"/>
                <w:szCs w:val="20"/>
                <w:color w:val="auto"/>
              </w:rPr>
            </w:pPr>
            <w:r>
              <w:rPr>
                <w:rFonts w:ascii="Arial" w:cs="Arial" w:eastAsia="Arial" w:hAnsi="Arial"/>
                <w:sz w:val="14"/>
                <w:szCs w:val="14"/>
                <w:color w:val="auto"/>
              </w:rPr>
              <w:t>Netherlands</w:t>
            </w:r>
          </w:p>
        </w:tc>
        <w:tc>
          <w:tcPr>
            <w:tcW w:w="1400" w:type="dxa"/>
            <w:vAlign w:val="bottom"/>
          </w:tcPr>
          <w:p>
            <w:pPr>
              <w:ind w:left="300"/>
              <w:spacing w:after="0"/>
              <w:rPr>
                <w:sz w:val="20"/>
                <w:szCs w:val="20"/>
                <w:color w:val="auto"/>
              </w:rPr>
            </w:pPr>
            <w:r>
              <w:rPr>
                <w:rFonts w:ascii="Arial" w:cs="Arial" w:eastAsia="Arial" w:hAnsi="Arial"/>
                <w:sz w:val="14"/>
                <w:szCs w:val="14"/>
                <w:color w:val="auto"/>
              </w:rPr>
              <w:t>Upstream</w:t>
            </w:r>
          </w:p>
        </w:tc>
        <w:tc>
          <w:tcPr>
            <w:tcW w:w="2620" w:type="dxa"/>
            <w:vAlign w:val="bottom"/>
          </w:tcPr>
          <w:p>
            <w:pPr>
              <w:ind w:left="120"/>
              <w:spacing w:after="0"/>
              <w:rPr>
                <w:sz w:val="20"/>
                <w:szCs w:val="20"/>
                <w:color w:val="auto"/>
              </w:rPr>
            </w:pPr>
            <w:r>
              <w:rPr>
                <w:rFonts w:ascii="Arial" w:cs="Arial" w:eastAsia="Arial" w:hAnsi="Arial"/>
                <w:sz w:val="14"/>
                <w:szCs w:val="14"/>
                <w:color w:val="auto"/>
              </w:rPr>
              <w:t>Ordinary</w:t>
            </w:r>
          </w:p>
        </w:tc>
      </w:tr>
      <w:tr>
        <w:trPr>
          <w:trHeight w:val="162"/>
        </w:trPr>
        <w:tc>
          <w:tcPr>
            <w:tcW w:w="4680" w:type="dxa"/>
            <w:vAlign w:val="bottom"/>
          </w:tcPr>
          <w:p>
            <w:pPr>
              <w:spacing w:after="0"/>
              <w:rPr>
                <w:sz w:val="20"/>
                <w:szCs w:val="20"/>
                <w:color w:val="auto"/>
              </w:rPr>
            </w:pPr>
            <w:r>
              <w:rPr>
                <w:rFonts w:ascii="Arial" w:cs="Arial" w:eastAsia="Arial" w:hAnsi="Arial"/>
                <w:sz w:val="14"/>
                <w:szCs w:val="14"/>
                <w:color w:val="auto"/>
              </w:rPr>
              <w:t>Shell Philippines Exploration B.V.</w:t>
            </w: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100</w:t>
            </w:r>
          </w:p>
        </w:tc>
        <w:tc>
          <w:tcPr>
            <w:tcW w:w="1720" w:type="dxa"/>
            <w:vAlign w:val="bottom"/>
          </w:tcPr>
          <w:p>
            <w:pPr>
              <w:ind w:left="100"/>
              <w:spacing w:after="0"/>
              <w:rPr>
                <w:sz w:val="20"/>
                <w:szCs w:val="20"/>
                <w:color w:val="auto"/>
              </w:rPr>
            </w:pPr>
            <w:r>
              <w:rPr>
                <w:rFonts w:ascii="Arial" w:cs="Arial" w:eastAsia="Arial" w:hAnsi="Arial"/>
                <w:sz w:val="14"/>
                <w:szCs w:val="14"/>
                <w:color w:val="auto"/>
              </w:rPr>
              <w:t>Netherlands</w:t>
            </w:r>
          </w:p>
        </w:tc>
        <w:tc>
          <w:tcPr>
            <w:tcW w:w="1400" w:type="dxa"/>
            <w:vAlign w:val="bottom"/>
          </w:tcPr>
          <w:p>
            <w:pPr>
              <w:ind w:left="300"/>
              <w:spacing w:after="0"/>
              <w:rPr>
                <w:sz w:val="20"/>
                <w:szCs w:val="20"/>
                <w:color w:val="auto"/>
              </w:rPr>
            </w:pPr>
            <w:r>
              <w:rPr>
                <w:rFonts w:ascii="Arial" w:cs="Arial" w:eastAsia="Arial" w:hAnsi="Arial"/>
                <w:sz w:val="14"/>
                <w:szCs w:val="14"/>
                <w:color w:val="auto"/>
              </w:rPr>
              <w:t>Upstream</w:t>
            </w:r>
          </w:p>
        </w:tc>
        <w:tc>
          <w:tcPr>
            <w:tcW w:w="2620" w:type="dxa"/>
            <w:vAlign w:val="bottom"/>
          </w:tcPr>
          <w:p>
            <w:pPr>
              <w:ind w:left="120"/>
              <w:spacing w:after="0"/>
              <w:rPr>
                <w:sz w:val="20"/>
                <w:szCs w:val="20"/>
                <w:color w:val="auto"/>
              </w:rPr>
            </w:pPr>
            <w:r>
              <w:rPr>
                <w:rFonts w:ascii="Arial" w:cs="Arial" w:eastAsia="Arial" w:hAnsi="Arial"/>
                <w:sz w:val="14"/>
                <w:szCs w:val="14"/>
                <w:color w:val="auto"/>
              </w:rPr>
              <w:t>Redeemable [A], non-redeemable</w:t>
            </w:r>
          </w:p>
        </w:tc>
      </w:tr>
      <w:tr>
        <w:trPr>
          <w:trHeight w:val="162"/>
        </w:trPr>
        <w:tc>
          <w:tcPr>
            <w:tcW w:w="4680" w:type="dxa"/>
            <w:vAlign w:val="bottom"/>
          </w:tcPr>
          <w:p>
            <w:pPr>
              <w:spacing w:after="0"/>
              <w:rPr>
                <w:sz w:val="20"/>
                <w:szCs w:val="20"/>
                <w:color w:val="auto"/>
              </w:rPr>
            </w:pPr>
            <w:r>
              <w:rPr>
                <w:rFonts w:ascii="Arial" w:cs="Arial" w:eastAsia="Arial" w:hAnsi="Arial"/>
                <w:sz w:val="14"/>
                <w:szCs w:val="14"/>
                <w:color w:val="auto"/>
              </w:rPr>
              <w:t>Shell Nigeria Exploration and Production Company Limited</w:t>
            </w: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100</w:t>
            </w:r>
          </w:p>
        </w:tc>
        <w:tc>
          <w:tcPr>
            <w:tcW w:w="1720" w:type="dxa"/>
            <w:vAlign w:val="bottom"/>
          </w:tcPr>
          <w:p>
            <w:pPr>
              <w:ind w:left="100"/>
              <w:spacing w:after="0"/>
              <w:rPr>
                <w:sz w:val="20"/>
                <w:szCs w:val="20"/>
                <w:color w:val="auto"/>
              </w:rPr>
            </w:pPr>
            <w:r>
              <w:rPr>
                <w:rFonts w:ascii="Arial" w:cs="Arial" w:eastAsia="Arial" w:hAnsi="Arial"/>
                <w:sz w:val="14"/>
                <w:szCs w:val="14"/>
                <w:color w:val="auto"/>
              </w:rPr>
              <w:t>Nigeria</w:t>
            </w:r>
          </w:p>
        </w:tc>
        <w:tc>
          <w:tcPr>
            <w:tcW w:w="1400" w:type="dxa"/>
            <w:vAlign w:val="bottom"/>
          </w:tcPr>
          <w:p>
            <w:pPr>
              <w:ind w:left="300"/>
              <w:spacing w:after="0"/>
              <w:rPr>
                <w:sz w:val="20"/>
                <w:szCs w:val="20"/>
                <w:color w:val="auto"/>
              </w:rPr>
            </w:pPr>
            <w:r>
              <w:rPr>
                <w:rFonts w:ascii="Arial" w:cs="Arial" w:eastAsia="Arial" w:hAnsi="Arial"/>
                <w:sz w:val="14"/>
                <w:szCs w:val="14"/>
                <w:color w:val="auto"/>
              </w:rPr>
              <w:t>Upstream</w:t>
            </w:r>
          </w:p>
        </w:tc>
        <w:tc>
          <w:tcPr>
            <w:tcW w:w="2620" w:type="dxa"/>
            <w:vAlign w:val="bottom"/>
          </w:tcPr>
          <w:p>
            <w:pPr>
              <w:ind w:left="120"/>
              <w:spacing w:after="0"/>
              <w:rPr>
                <w:sz w:val="20"/>
                <w:szCs w:val="20"/>
                <w:color w:val="auto"/>
              </w:rPr>
            </w:pPr>
            <w:r>
              <w:rPr>
                <w:rFonts w:ascii="Arial" w:cs="Arial" w:eastAsia="Arial" w:hAnsi="Arial"/>
                <w:sz w:val="14"/>
                <w:szCs w:val="14"/>
                <w:color w:val="auto"/>
              </w:rPr>
              <w:t>Ordinary</w:t>
            </w:r>
          </w:p>
        </w:tc>
      </w:tr>
      <w:tr>
        <w:trPr>
          <w:trHeight w:val="162"/>
        </w:trPr>
        <w:tc>
          <w:tcPr>
            <w:tcW w:w="4680" w:type="dxa"/>
            <w:vAlign w:val="bottom"/>
          </w:tcPr>
          <w:p>
            <w:pPr>
              <w:spacing w:after="0"/>
              <w:rPr>
                <w:sz w:val="20"/>
                <w:szCs w:val="20"/>
                <w:color w:val="auto"/>
              </w:rPr>
            </w:pPr>
            <w:r>
              <w:rPr>
                <w:rFonts w:ascii="Arial" w:cs="Arial" w:eastAsia="Arial" w:hAnsi="Arial"/>
                <w:sz w:val="14"/>
                <w:szCs w:val="14"/>
                <w:color w:val="auto"/>
              </w:rPr>
              <w:t>The Shell Petroleum Development Company of Nigeria Limited</w:t>
            </w: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100</w:t>
            </w:r>
          </w:p>
        </w:tc>
        <w:tc>
          <w:tcPr>
            <w:tcW w:w="1720" w:type="dxa"/>
            <w:vAlign w:val="bottom"/>
          </w:tcPr>
          <w:p>
            <w:pPr>
              <w:ind w:left="100"/>
              <w:spacing w:after="0"/>
              <w:rPr>
                <w:sz w:val="20"/>
                <w:szCs w:val="20"/>
                <w:color w:val="auto"/>
              </w:rPr>
            </w:pPr>
            <w:r>
              <w:rPr>
                <w:rFonts w:ascii="Arial" w:cs="Arial" w:eastAsia="Arial" w:hAnsi="Arial"/>
                <w:sz w:val="14"/>
                <w:szCs w:val="14"/>
                <w:color w:val="auto"/>
              </w:rPr>
              <w:t>Nigeria</w:t>
            </w:r>
          </w:p>
        </w:tc>
        <w:tc>
          <w:tcPr>
            <w:tcW w:w="1400" w:type="dxa"/>
            <w:vAlign w:val="bottom"/>
          </w:tcPr>
          <w:p>
            <w:pPr>
              <w:ind w:left="300"/>
              <w:spacing w:after="0"/>
              <w:rPr>
                <w:sz w:val="20"/>
                <w:szCs w:val="20"/>
                <w:color w:val="auto"/>
              </w:rPr>
            </w:pPr>
            <w:r>
              <w:rPr>
                <w:rFonts w:ascii="Arial" w:cs="Arial" w:eastAsia="Arial" w:hAnsi="Arial"/>
                <w:sz w:val="14"/>
                <w:szCs w:val="14"/>
                <w:color w:val="auto"/>
              </w:rPr>
              <w:t>Upstream</w:t>
            </w:r>
          </w:p>
        </w:tc>
        <w:tc>
          <w:tcPr>
            <w:tcW w:w="2620" w:type="dxa"/>
            <w:vAlign w:val="bottom"/>
          </w:tcPr>
          <w:p>
            <w:pPr>
              <w:ind w:left="120"/>
              <w:spacing w:after="0"/>
              <w:rPr>
                <w:sz w:val="20"/>
                <w:szCs w:val="20"/>
                <w:color w:val="auto"/>
              </w:rPr>
            </w:pPr>
            <w:r>
              <w:rPr>
                <w:rFonts w:ascii="Arial" w:cs="Arial" w:eastAsia="Arial" w:hAnsi="Arial"/>
                <w:sz w:val="14"/>
                <w:szCs w:val="14"/>
                <w:color w:val="auto"/>
              </w:rPr>
              <w:t>Ordinary</w:t>
            </w:r>
          </w:p>
        </w:tc>
      </w:tr>
      <w:tr>
        <w:trPr>
          <w:trHeight w:val="162"/>
        </w:trPr>
        <w:tc>
          <w:tcPr>
            <w:tcW w:w="4680" w:type="dxa"/>
            <w:vAlign w:val="bottom"/>
          </w:tcPr>
          <w:p>
            <w:pPr>
              <w:spacing w:after="0"/>
              <w:rPr>
                <w:sz w:val="20"/>
                <w:szCs w:val="20"/>
                <w:color w:val="auto"/>
              </w:rPr>
            </w:pPr>
            <w:r>
              <w:rPr>
                <w:rFonts w:ascii="Arial" w:cs="Arial" w:eastAsia="Arial" w:hAnsi="Arial"/>
                <w:sz w:val="14"/>
                <w:szCs w:val="14"/>
                <w:color w:val="auto"/>
              </w:rPr>
              <w:t>A/S Norske Shell</w:t>
            </w: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100</w:t>
            </w:r>
          </w:p>
        </w:tc>
        <w:tc>
          <w:tcPr>
            <w:tcW w:w="1720" w:type="dxa"/>
            <w:vAlign w:val="bottom"/>
          </w:tcPr>
          <w:p>
            <w:pPr>
              <w:ind w:left="100"/>
              <w:spacing w:after="0"/>
              <w:rPr>
                <w:sz w:val="20"/>
                <w:szCs w:val="20"/>
                <w:color w:val="auto"/>
              </w:rPr>
            </w:pPr>
            <w:r>
              <w:rPr>
                <w:rFonts w:ascii="Arial" w:cs="Arial" w:eastAsia="Arial" w:hAnsi="Arial"/>
                <w:sz w:val="14"/>
                <w:szCs w:val="14"/>
                <w:color w:val="auto"/>
              </w:rPr>
              <w:t>Norway</w:t>
            </w:r>
          </w:p>
        </w:tc>
        <w:tc>
          <w:tcPr>
            <w:tcW w:w="1400" w:type="dxa"/>
            <w:vAlign w:val="bottom"/>
          </w:tcPr>
          <w:p>
            <w:pPr>
              <w:ind w:left="300"/>
              <w:spacing w:after="0"/>
              <w:rPr>
                <w:sz w:val="20"/>
                <w:szCs w:val="20"/>
                <w:color w:val="auto"/>
              </w:rPr>
            </w:pPr>
            <w:r>
              <w:rPr>
                <w:rFonts w:ascii="Arial" w:cs="Arial" w:eastAsia="Arial" w:hAnsi="Arial"/>
                <w:sz w:val="14"/>
                <w:szCs w:val="14"/>
                <w:color w:val="auto"/>
              </w:rPr>
              <w:t>Upstream</w:t>
            </w:r>
          </w:p>
        </w:tc>
        <w:tc>
          <w:tcPr>
            <w:tcW w:w="2620" w:type="dxa"/>
            <w:vAlign w:val="bottom"/>
          </w:tcPr>
          <w:p>
            <w:pPr>
              <w:ind w:left="120"/>
              <w:spacing w:after="0"/>
              <w:rPr>
                <w:sz w:val="20"/>
                <w:szCs w:val="20"/>
                <w:color w:val="auto"/>
              </w:rPr>
            </w:pPr>
            <w:r>
              <w:rPr>
                <w:rFonts w:ascii="Arial" w:cs="Arial" w:eastAsia="Arial" w:hAnsi="Arial"/>
                <w:sz w:val="14"/>
                <w:szCs w:val="14"/>
                <w:color w:val="auto"/>
              </w:rPr>
              <w:t>Ordinary</w:t>
            </w:r>
          </w:p>
        </w:tc>
      </w:tr>
      <w:tr>
        <w:trPr>
          <w:trHeight w:val="162"/>
        </w:trPr>
        <w:tc>
          <w:tcPr>
            <w:tcW w:w="4680" w:type="dxa"/>
            <w:vAlign w:val="bottom"/>
          </w:tcPr>
          <w:p>
            <w:pPr>
              <w:spacing w:after="0"/>
              <w:rPr>
                <w:sz w:val="20"/>
                <w:szCs w:val="20"/>
                <w:color w:val="auto"/>
              </w:rPr>
            </w:pPr>
            <w:r>
              <w:rPr>
                <w:rFonts w:ascii="Arial" w:cs="Arial" w:eastAsia="Arial" w:hAnsi="Arial"/>
                <w:sz w:val="14"/>
                <w:szCs w:val="14"/>
                <w:color w:val="auto"/>
              </w:rPr>
              <w:t>Enterprise Oil Limited</w:t>
            </w: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100</w:t>
            </w:r>
          </w:p>
        </w:tc>
        <w:tc>
          <w:tcPr>
            <w:tcW w:w="1720" w:type="dxa"/>
            <w:vAlign w:val="bottom"/>
          </w:tcPr>
          <w:p>
            <w:pPr>
              <w:ind w:left="100"/>
              <w:spacing w:after="0"/>
              <w:rPr>
                <w:sz w:val="20"/>
                <w:szCs w:val="20"/>
                <w:color w:val="auto"/>
              </w:rPr>
            </w:pPr>
            <w:r>
              <w:rPr>
                <w:rFonts w:ascii="Arial" w:cs="Arial" w:eastAsia="Arial" w:hAnsi="Arial"/>
                <w:sz w:val="14"/>
                <w:szCs w:val="14"/>
                <w:color w:val="auto"/>
              </w:rPr>
              <w:t>UK</w:t>
            </w:r>
          </w:p>
        </w:tc>
        <w:tc>
          <w:tcPr>
            <w:tcW w:w="1400" w:type="dxa"/>
            <w:vAlign w:val="bottom"/>
          </w:tcPr>
          <w:p>
            <w:pPr>
              <w:ind w:left="300"/>
              <w:spacing w:after="0"/>
              <w:rPr>
                <w:sz w:val="20"/>
                <w:szCs w:val="20"/>
                <w:color w:val="auto"/>
              </w:rPr>
            </w:pPr>
            <w:r>
              <w:rPr>
                <w:rFonts w:ascii="Arial" w:cs="Arial" w:eastAsia="Arial" w:hAnsi="Arial"/>
                <w:sz w:val="14"/>
                <w:szCs w:val="14"/>
                <w:color w:val="auto"/>
              </w:rPr>
              <w:t>Upstream</w:t>
            </w:r>
          </w:p>
        </w:tc>
        <w:tc>
          <w:tcPr>
            <w:tcW w:w="2620" w:type="dxa"/>
            <w:vAlign w:val="bottom"/>
          </w:tcPr>
          <w:p>
            <w:pPr>
              <w:ind w:left="120"/>
              <w:spacing w:after="0"/>
              <w:rPr>
                <w:sz w:val="20"/>
                <w:szCs w:val="20"/>
                <w:color w:val="auto"/>
              </w:rPr>
            </w:pPr>
            <w:r>
              <w:rPr>
                <w:rFonts w:ascii="Arial" w:cs="Arial" w:eastAsia="Arial" w:hAnsi="Arial"/>
                <w:sz w:val="14"/>
                <w:szCs w:val="14"/>
                <w:color w:val="auto"/>
              </w:rPr>
              <w:t>Ordinary</w:t>
            </w:r>
          </w:p>
        </w:tc>
      </w:tr>
      <w:tr>
        <w:trPr>
          <w:trHeight w:val="162"/>
        </w:trPr>
        <w:tc>
          <w:tcPr>
            <w:tcW w:w="4680" w:type="dxa"/>
            <w:vAlign w:val="bottom"/>
          </w:tcPr>
          <w:p>
            <w:pPr>
              <w:spacing w:after="0"/>
              <w:rPr>
                <w:sz w:val="20"/>
                <w:szCs w:val="20"/>
                <w:color w:val="auto"/>
              </w:rPr>
            </w:pPr>
            <w:r>
              <w:rPr>
                <w:rFonts w:ascii="Arial" w:cs="Arial" w:eastAsia="Arial" w:hAnsi="Arial"/>
                <w:sz w:val="14"/>
                <w:szCs w:val="14"/>
                <w:color w:val="auto"/>
              </w:rPr>
              <w:t>Shell U.K. Limited</w:t>
            </w: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100</w:t>
            </w:r>
          </w:p>
        </w:tc>
        <w:tc>
          <w:tcPr>
            <w:tcW w:w="1720" w:type="dxa"/>
            <w:vAlign w:val="bottom"/>
          </w:tcPr>
          <w:p>
            <w:pPr>
              <w:ind w:left="100"/>
              <w:spacing w:after="0"/>
              <w:rPr>
                <w:sz w:val="20"/>
                <w:szCs w:val="20"/>
                <w:color w:val="auto"/>
              </w:rPr>
            </w:pPr>
            <w:r>
              <w:rPr>
                <w:rFonts w:ascii="Arial" w:cs="Arial" w:eastAsia="Arial" w:hAnsi="Arial"/>
                <w:sz w:val="14"/>
                <w:szCs w:val="14"/>
                <w:color w:val="auto"/>
              </w:rPr>
              <w:t>UK</w:t>
            </w:r>
          </w:p>
        </w:tc>
        <w:tc>
          <w:tcPr>
            <w:tcW w:w="1400" w:type="dxa"/>
            <w:vAlign w:val="bottom"/>
          </w:tcPr>
          <w:p>
            <w:pPr>
              <w:ind w:left="300"/>
              <w:spacing w:after="0"/>
              <w:rPr>
                <w:sz w:val="20"/>
                <w:szCs w:val="20"/>
                <w:color w:val="auto"/>
              </w:rPr>
            </w:pPr>
            <w:r>
              <w:rPr>
                <w:rFonts w:ascii="Arial" w:cs="Arial" w:eastAsia="Arial" w:hAnsi="Arial"/>
                <w:sz w:val="14"/>
                <w:szCs w:val="14"/>
                <w:color w:val="auto"/>
              </w:rPr>
              <w:t>Upstream</w:t>
            </w:r>
          </w:p>
        </w:tc>
        <w:tc>
          <w:tcPr>
            <w:tcW w:w="2620" w:type="dxa"/>
            <w:vAlign w:val="bottom"/>
          </w:tcPr>
          <w:p>
            <w:pPr>
              <w:ind w:left="120"/>
              <w:spacing w:after="0"/>
              <w:rPr>
                <w:sz w:val="20"/>
                <w:szCs w:val="20"/>
                <w:color w:val="auto"/>
              </w:rPr>
            </w:pPr>
            <w:r>
              <w:rPr>
                <w:rFonts w:ascii="Arial" w:cs="Arial" w:eastAsia="Arial" w:hAnsi="Arial"/>
                <w:sz w:val="14"/>
                <w:szCs w:val="14"/>
                <w:color w:val="auto"/>
              </w:rPr>
              <w:t>Ordinary</w:t>
            </w:r>
          </w:p>
        </w:tc>
      </w:tr>
      <w:tr>
        <w:trPr>
          <w:trHeight w:val="162"/>
        </w:trPr>
        <w:tc>
          <w:tcPr>
            <w:tcW w:w="4680" w:type="dxa"/>
            <w:vAlign w:val="bottom"/>
          </w:tcPr>
          <w:p>
            <w:pPr>
              <w:spacing w:after="0"/>
              <w:rPr>
                <w:sz w:val="20"/>
                <w:szCs w:val="20"/>
                <w:color w:val="auto"/>
              </w:rPr>
            </w:pPr>
            <w:r>
              <w:rPr>
                <w:rFonts w:ascii="Arial" w:cs="Arial" w:eastAsia="Arial" w:hAnsi="Arial"/>
                <w:sz w:val="14"/>
                <w:szCs w:val="14"/>
                <w:color w:val="auto"/>
              </w:rPr>
              <w:t>Enterprise Oil North America Inc.</w:t>
            </w: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100</w:t>
            </w:r>
          </w:p>
        </w:tc>
        <w:tc>
          <w:tcPr>
            <w:tcW w:w="1720" w:type="dxa"/>
            <w:vAlign w:val="bottom"/>
          </w:tcPr>
          <w:p>
            <w:pPr>
              <w:ind w:left="100"/>
              <w:spacing w:after="0"/>
              <w:rPr>
                <w:sz w:val="20"/>
                <w:szCs w:val="20"/>
                <w:color w:val="auto"/>
              </w:rPr>
            </w:pPr>
            <w:r>
              <w:rPr>
                <w:rFonts w:ascii="Arial" w:cs="Arial" w:eastAsia="Arial" w:hAnsi="Arial"/>
                <w:sz w:val="14"/>
                <w:szCs w:val="14"/>
                <w:color w:val="auto"/>
              </w:rPr>
              <w:t>USA</w:t>
            </w:r>
          </w:p>
        </w:tc>
        <w:tc>
          <w:tcPr>
            <w:tcW w:w="1400" w:type="dxa"/>
            <w:vAlign w:val="bottom"/>
          </w:tcPr>
          <w:p>
            <w:pPr>
              <w:ind w:left="300"/>
              <w:spacing w:after="0"/>
              <w:rPr>
                <w:sz w:val="20"/>
                <w:szCs w:val="20"/>
                <w:color w:val="auto"/>
              </w:rPr>
            </w:pPr>
            <w:r>
              <w:rPr>
                <w:rFonts w:ascii="Arial" w:cs="Arial" w:eastAsia="Arial" w:hAnsi="Arial"/>
                <w:sz w:val="14"/>
                <w:szCs w:val="14"/>
                <w:color w:val="auto"/>
              </w:rPr>
              <w:t>Upstream</w:t>
            </w:r>
          </w:p>
        </w:tc>
        <w:tc>
          <w:tcPr>
            <w:tcW w:w="2620" w:type="dxa"/>
            <w:vAlign w:val="bottom"/>
          </w:tcPr>
          <w:p>
            <w:pPr>
              <w:ind w:left="120"/>
              <w:spacing w:after="0"/>
              <w:rPr>
                <w:sz w:val="20"/>
                <w:szCs w:val="20"/>
                <w:color w:val="auto"/>
              </w:rPr>
            </w:pPr>
            <w:r>
              <w:rPr>
                <w:rFonts w:ascii="Arial" w:cs="Arial" w:eastAsia="Arial" w:hAnsi="Arial"/>
                <w:sz w:val="14"/>
                <w:szCs w:val="14"/>
                <w:color w:val="auto"/>
              </w:rPr>
              <w:t>Ordinary</w:t>
            </w:r>
          </w:p>
        </w:tc>
      </w:tr>
      <w:tr>
        <w:trPr>
          <w:trHeight w:val="162"/>
        </w:trPr>
        <w:tc>
          <w:tcPr>
            <w:tcW w:w="4680" w:type="dxa"/>
            <w:vAlign w:val="bottom"/>
          </w:tcPr>
          <w:p>
            <w:pPr>
              <w:spacing w:after="0"/>
              <w:rPr>
                <w:sz w:val="20"/>
                <w:szCs w:val="20"/>
                <w:color w:val="auto"/>
              </w:rPr>
            </w:pPr>
            <w:r>
              <w:rPr>
                <w:rFonts w:ascii="Arial" w:cs="Arial" w:eastAsia="Arial" w:hAnsi="Arial"/>
                <w:sz w:val="14"/>
                <w:szCs w:val="14"/>
                <w:color w:val="auto"/>
              </w:rPr>
              <w:t>Shell Gulf of Mexico Inc.</w:t>
            </w: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100</w:t>
            </w:r>
          </w:p>
        </w:tc>
        <w:tc>
          <w:tcPr>
            <w:tcW w:w="1720" w:type="dxa"/>
            <w:vAlign w:val="bottom"/>
          </w:tcPr>
          <w:p>
            <w:pPr>
              <w:ind w:left="100"/>
              <w:spacing w:after="0"/>
              <w:rPr>
                <w:sz w:val="20"/>
                <w:szCs w:val="20"/>
                <w:color w:val="auto"/>
              </w:rPr>
            </w:pPr>
            <w:r>
              <w:rPr>
                <w:rFonts w:ascii="Arial" w:cs="Arial" w:eastAsia="Arial" w:hAnsi="Arial"/>
                <w:sz w:val="14"/>
                <w:szCs w:val="14"/>
                <w:color w:val="auto"/>
              </w:rPr>
              <w:t>USA</w:t>
            </w:r>
          </w:p>
        </w:tc>
        <w:tc>
          <w:tcPr>
            <w:tcW w:w="1400" w:type="dxa"/>
            <w:vAlign w:val="bottom"/>
          </w:tcPr>
          <w:p>
            <w:pPr>
              <w:ind w:left="300"/>
              <w:spacing w:after="0"/>
              <w:rPr>
                <w:sz w:val="20"/>
                <w:szCs w:val="20"/>
                <w:color w:val="auto"/>
              </w:rPr>
            </w:pPr>
            <w:r>
              <w:rPr>
                <w:rFonts w:ascii="Arial" w:cs="Arial" w:eastAsia="Arial" w:hAnsi="Arial"/>
                <w:sz w:val="14"/>
                <w:szCs w:val="14"/>
                <w:color w:val="auto"/>
              </w:rPr>
              <w:t>Upstream</w:t>
            </w:r>
          </w:p>
        </w:tc>
        <w:tc>
          <w:tcPr>
            <w:tcW w:w="2620" w:type="dxa"/>
            <w:vAlign w:val="bottom"/>
          </w:tcPr>
          <w:p>
            <w:pPr>
              <w:ind w:left="120"/>
              <w:spacing w:after="0"/>
              <w:rPr>
                <w:sz w:val="20"/>
                <w:szCs w:val="20"/>
                <w:color w:val="auto"/>
              </w:rPr>
            </w:pPr>
            <w:r>
              <w:rPr>
                <w:rFonts w:ascii="Arial" w:cs="Arial" w:eastAsia="Arial" w:hAnsi="Arial"/>
                <w:sz w:val="14"/>
                <w:szCs w:val="14"/>
                <w:color w:val="auto"/>
              </w:rPr>
              <w:t>Ordinary</w:t>
            </w:r>
          </w:p>
        </w:tc>
      </w:tr>
      <w:tr>
        <w:trPr>
          <w:trHeight w:val="162"/>
        </w:trPr>
        <w:tc>
          <w:tcPr>
            <w:tcW w:w="4680" w:type="dxa"/>
            <w:vAlign w:val="bottom"/>
          </w:tcPr>
          <w:p>
            <w:pPr>
              <w:spacing w:after="0"/>
              <w:rPr>
                <w:sz w:val="20"/>
                <w:szCs w:val="20"/>
                <w:color w:val="auto"/>
              </w:rPr>
            </w:pPr>
            <w:r>
              <w:rPr>
                <w:rFonts w:ascii="Arial" w:cs="Arial" w:eastAsia="Arial" w:hAnsi="Arial"/>
                <w:sz w:val="14"/>
                <w:szCs w:val="14"/>
                <w:color w:val="auto"/>
              </w:rPr>
              <w:t>Shell Offshore Inc</w:t>
            </w: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100</w:t>
            </w:r>
          </w:p>
        </w:tc>
        <w:tc>
          <w:tcPr>
            <w:tcW w:w="1720" w:type="dxa"/>
            <w:vAlign w:val="bottom"/>
          </w:tcPr>
          <w:p>
            <w:pPr>
              <w:ind w:left="100"/>
              <w:spacing w:after="0"/>
              <w:rPr>
                <w:sz w:val="20"/>
                <w:szCs w:val="20"/>
                <w:color w:val="auto"/>
              </w:rPr>
            </w:pPr>
            <w:r>
              <w:rPr>
                <w:rFonts w:ascii="Arial" w:cs="Arial" w:eastAsia="Arial" w:hAnsi="Arial"/>
                <w:sz w:val="14"/>
                <w:szCs w:val="14"/>
                <w:color w:val="auto"/>
              </w:rPr>
              <w:t>USA</w:t>
            </w:r>
          </w:p>
        </w:tc>
        <w:tc>
          <w:tcPr>
            <w:tcW w:w="1400" w:type="dxa"/>
            <w:vAlign w:val="bottom"/>
          </w:tcPr>
          <w:p>
            <w:pPr>
              <w:ind w:left="300"/>
              <w:spacing w:after="0"/>
              <w:rPr>
                <w:sz w:val="20"/>
                <w:szCs w:val="20"/>
                <w:color w:val="auto"/>
              </w:rPr>
            </w:pPr>
            <w:r>
              <w:rPr>
                <w:rFonts w:ascii="Arial" w:cs="Arial" w:eastAsia="Arial" w:hAnsi="Arial"/>
                <w:sz w:val="14"/>
                <w:szCs w:val="14"/>
                <w:color w:val="auto"/>
              </w:rPr>
              <w:t>Upstream</w:t>
            </w:r>
          </w:p>
        </w:tc>
        <w:tc>
          <w:tcPr>
            <w:tcW w:w="2620" w:type="dxa"/>
            <w:vAlign w:val="bottom"/>
          </w:tcPr>
          <w:p>
            <w:pPr>
              <w:ind w:left="120"/>
              <w:spacing w:after="0"/>
              <w:rPr>
                <w:sz w:val="20"/>
                <w:szCs w:val="20"/>
                <w:color w:val="auto"/>
              </w:rPr>
            </w:pPr>
            <w:r>
              <w:rPr>
                <w:rFonts w:ascii="Arial" w:cs="Arial" w:eastAsia="Arial" w:hAnsi="Arial"/>
                <w:sz w:val="14"/>
                <w:szCs w:val="14"/>
                <w:color w:val="auto"/>
              </w:rPr>
              <w:t>Ordinary</w:t>
            </w:r>
          </w:p>
        </w:tc>
      </w:tr>
      <w:tr>
        <w:trPr>
          <w:trHeight w:val="162"/>
        </w:trPr>
        <w:tc>
          <w:tcPr>
            <w:tcW w:w="4680" w:type="dxa"/>
            <w:vAlign w:val="bottom"/>
          </w:tcPr>
          <w:p>
            <w:pPr>
              <w:spacing w:after="0"/>
              <w:rPr>
                <w:sz w:val="20"/>
                <w:szCs w:val="20"/>
                <w:color w:val="auto"/>
              </w:rPr>
            </w:pPr>
            <w:r>
              <w:rPr>
                <w:rFonts w:ascii="Arial" w:cs="Arial" w:eastAsia="Arial" w:hAnsi="Arial"/>
                <w:sz w:val="14"/>
                <w:szCs w:val="14"/>
                <w:color w:val="auto"/>
              </w:rPr>
              <w:t>Shell US E&amp;P Investments LLC</w:t>
            </w: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100</w:t>
            </w:r>
          </w:p>
        </w:tc>
        <w:tc>
          <w:tcPr>
            <w:tcW w:w="1720" w:type="dxa"/>
            <w:vAlign w:val="bottom"/>
          </w:tcPr>
          <w:p>
            <w:pPr>
              <w:ind w:left="100"/>
              <w:spacing w:after="0"/>
              <w:rPr>
                <w:sz w:val="20"/>
                <w:szCs w:val="20"/>
                <w:color w:val="auto"/>
              </w:rPr>
            </w:pPr>
            <w:r>
              <w:rPr>
                <w:rFonts w:ascii="Arial" w:cs="Arial" w:eastAsia="Arial" w:hAnsi="Arial"/>
                <w:sz w:val="14"/>
                <w:szCs w:val="14"/>
                <w:color w:val="auto"/>
              </w:rPr>
              <w:t>USA</w:t>
            </w:r>
          </w:p>
        </w:tc>
        <w:tc>
          <w:tcPr>
            <w:tcW w:w="1400" w:type="dxa"/>
            <w:vAlign w:val="bottom"/>
          </w:tcPr>
          <w:p>
            <w:pPr>
              <w:ind w:left="300"/>
              <w:spacing w:after="0"/>
              <w:rPr>
                <w:sz w:val="20"/>
                <w:szCs w:val="20"/>
                <w:color w:val="auto"/>
              </w:rPr>
            </w:pPr>
            <w:r>
              <w:rPr>
                <w:rFonts w:ascii="Arial" w:cs="Arial" w:eastAsia="Arial" w:hAnsi="Arial"/>
                <w:sz w:val="14"/>
                <w:szCs w:val="14"/>
                <w:color w:val="auto"/>
              </w:rPr>
              <w:t>Upstream</w:t>
            </w:r>
          </w:p>
        </w:tc>
        <w:tc>
          <w:tcPr>
            <w:tcW w:w="2620" w:type="dxa"/>
            <w:vAlign w:val="bottom"/>
          </w:tcPr>
          <w:p>
            <w:pPr>
              <w:ind w:left="120"/>
              <w:spacing w:after="0"/>
              <w:rPr>
                <w:sz w:val="20"/>
                <w:szCs w:val="20"/>
                <w:color w:val="auto"/>
              </w:rPr>
            </w:pPr>
            <w:r>
              <w:rPr>
                <w:rFonts w:ascii="Arial" w:cs="Arial" w:eastAsia="Arial" w:hAnsi="Arial"/>
                <w:sz w:val="14"/>
                <w:szCs w:val="14"/>
                <w:color w:val="auto"/>
              </w:rPr>
              <w:t>Equity (Voting)</w:t>
            </w:r>
          </w:p>
        </w:tc>
      </w:tr>
      <w:tr>
        <w:trPr>
          <w:trHeight w:val="162"/>
        </w:trPr>
        <w:tc>
          <w:tcPr>
            <w:tcW w:w="4680" w:type="dxa"/>
            <w:vAlign w:val="bottom"/>
          </w:tcPr>
          <w:p>
            <w:pPr>
              <w:spacing w:after="0"/>
              <w:rPr>
                <w:sz w:val="20"/>
                <w:szCs w:val="20"/>
                <w:color w:val="auto"/>
              </w:rPr>
            </w:pPr>
            <w:r>
              <w:rPr>
                <w:rFonts w:ascii="Arial" w:cs="Arial" w:eastAsia="Arial" w:hAnsi="Arial"/>
                <w:sz w:val="14"/>
                <w:szCs w:val="14"/>
                <w:color w:val="auto"/>
              </w:rPr>
              <w:t>SOI Finance Inc.</w:t>
            </w: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100</w:t>
            </w:r>
          </w:p>
        </w:tc>
        <w:tc>
          <w:tcPr>
            <w:tcW w:w="1720" w:type="dxa"/>
            <w:vAlign w:val="bottom"/>
          </w:tcPr>
          <w:p>
            <w:pPr>
              <w:ind w:left="100"/>
              <w:spacing w:after="0"/>
              <w:rPr>
                <w:sz w:val="20"/>
                <w:szCs w:val="20"/>
                <w:color w:val="auto"/>
              </w:rPr>
            </w:pPr>
            <w:r>
              <w:rPr>
                <w:rFonts w:ascii="Arial" w:cs="Arial" w:eastAsia="Arial" w:hAnsi="Arial"/>
                <w:sz w:val="14"/>
                <w:szCs w:val="14"/>
                <w:color w:val="auto"/>
              </w:rPr>
              <w:t>USA</w:t>
            </w:r>
          </w:p>
        </w:tc>
        <w:tc>
          <w:tcPr>
            <w:tcW w:w="1400" w:type="dxa"/>
            <w:vAlign w:val="bottom"/>
          </w:tcPr>
          <w:p>
            <w:pPr>
              <w:ind w:left="300"/>
              <w:spacing w:after="0"/>
              <w:rPr>
                <w:sz w:val="20"/>
                <w:szCs w:val="20"/>
                <w:color w:val="auto"/>
              </w:rPr>
            </w:pPr>
            <w:r>
              <w:rPr>
                <w:rFonts w:ascii="Arial" w:cs="Arial" w:eastAsia="Arial" w:hAnsi="Arial"/>
                <w:sz w:val="14"/>
                <w:szCs w:val="14"/>
                <w:color w:val="auto"/>
              </w:rPr>
              <w:t>Upstream</w:t>
            </w:r>
          </w:p>
        </w:tc>
        <w:tc>
          <w:tcPr>
            <w:tcW w:w="2620" w:type="dxa"/>
            <w:vAlign w:val="bottom"/>
          </w:tcPr>
          <w:p>
            <w:pPr>
              <w:ind w:left="120"/>
              <w:spacing w:after="0"/>
              <w:rPr>
                <w:sz w:val="20"/>
                <w:szCs w:val="20"/>
                <w:color w:val="auto"/>
              </w:rPr>
            </w:pPr>
            <w:r>
              <w:rPr>
                <w:rFonts w:ascii="Arial" w:cs="Arial" w:eastAsia="Arial" w:hAnsi="Arial"/>
                <w:sz w:val="14"/>
                <w:szCs w:val="14"/>
                <w:color w:val="auto"/>
              </w:rPr>
              <w:t>Ordinary</w:t>
            </w:r>
          </w:p>
        </w:tc>
      </w:tr>
      <w:tr>
        <w:trPr>
          <w:trHeight w:val="157"/>
        </w:trPr>
        <w:tc>
          <w:tcPr>
            <w:tcW w:w="4680" w:type="dxa"/>
            <w:vAlign w:val="bottom"/>
            <w:tcBorders>
              <w:bottom w:val="single" w:sz="8" w:color="auto"/>
            </w:tcBorders>
          </w:tcPr>
          <w:p>
            <w:pPr>
              <w:spacing w:after="0" w:line="157" w:lineRule="exact"/>
              <w:rPr>
                <w:sz w:val="20"/>
                <w:szCs w:val="20"/>
                <w:color w:val="auto"/>
              </w:rPr>
            </w:pPr>
            <w:r>
              <w:rPr>
                <w:rFonts w:ascii="Arial" w:cs="Arial" w:eastAsia="Arial" w:hAnsi="Arial"/>
                <w:sz w:val="14"/>
                <w:szCs w:val="14"/>
                <w:color w:val="auto"/>
              </w:rPr>
              <w:t>SWEPI LP</w:t>
            </w:r>
          </w:p>
        </w:tc>
        <w:tc>
          <w:tcPr>
            <w:tcW w:w="1000" w:type="dxa"/>
            <w:vAlign w:val="bottom"/>
            <w:tcBorders>
              <w:bottom w:val="single" w:sz="8" w:color="auto"/>
            </w:tcBorders>
          </w:tcPr>
          <w:p>
            <w:pPr>
              <w:jc w:val="right"/>
              <w:ind w:right="28"/>
              <w:spacing w:after="0" w:line="157" w:lineRule="exact"/>
              <w:rPr>
                <w:sz w:val="20"/>
                <w:szCs w:val="20"/>
                <w:color w:val="auto"/>
              </w:rPr>
            </w:pPr>
            <w:r>
              <w:rPr>
                <w:rFonts w:ascii="Arial" w:cs="Arial" w:eastAsia="Arial" w:hAnsi="Arial"/>
                <w:sz w:val="14"/>
                <w:szCs w:val="14"/>
                <w:color w:val="auto"/>
              </w:rPr>
              <w:t>100</w:t>
            </w:r>
          </w:p>
        </w:tc>
        <w:tc>
          <w:tcPr>
            <w:tcW w:w="1720" w:type="dxa"/>
            <w:vAlign w:val="bottom"/>
            <w:tcBorders>
              <w:bottom w:val="single" w:sz="8" w:color="auto"/>
            </w:tcBorders>
          </w:tcPr>
          <w:p>
            <w:pPr>
              <w:ind w:left="100"/>
              <w:spacing w:after="0" w:line="157" w:lineRule="exact"/>
              <w:rPr>
                <w:sz w:val="20"/>
                <w:szCs w:val="20"/>
                <w:color w:val="auto"/>
              </w:rPr>
            </w:pPr>
            <w:r>
              <w:rPr>
                <w:rFonts w:ascii="Arial" w:cs="Arial" w:eastAsia="Arial" w:hAnsi="Arial"/>
                <w:sz w:val="14"/>
                <w:szCs w:val="14"/>
                <w:color w:val="auto"/>
              </w:rPr>
              <w:t>USA</w:t>
            </w:r>
          </w:p>
        </w:tc>
        <w:tc>
          <w:tcPr>
            <w:tcW w:w="1400" w:type="dxa"/>
            <w:vAlign w:val="bottom"/>
            <w:tcBorders>
              <w:bottom w:val="single" w:sz="8" w:color="auto"/>
            </w:tcBorders>
          </w:tcPr>
          <w:p>
            <w:pPr>
              <w:ind w:left="300"/>
              <w:spacing w:after="0" w:line="157" w:lineRule="exact"/>
              <w:rPr>
                <w:sz w:val="20"/>
                <w:szCs w:val="20"/>
                <w:color w:val="auto"/>
              </w:rPr>
            </w:pPr>
            <w:r>
              <w:rPr>
                <w:rFonts w:ascii="Arial" w:cs="Arial" w:eastAsia="Arial" w:hAnsi="Arial"/>
                <w:sz w:val="14"/>
                <w:szCs w:val="14"/>
                <w:color w:val="auto"/>
              </w:rPr>
              <w:t>Upstream</w:t>
            </w:r>
          </w:p>
        </w:tc>
        <w:tc>
          <w:tcPr>
            <w:tcW w:w="2620" w:type="dxa"/>
            <w:vAlign w:val="bottom"/>
            <w:tcBorders>
              <w:bottom w:val="single" w:sz="8" w:color="auto"/>
            </w:tcBorders>
          </w:tcPr>
          <w:p>
            <w:pPr>
              <w:ind w:left="120"/>
              <w:spacing w:after="0" w:line="157" w:lineRule="exact"/>
              <w:rPr>
                <w:sz w:val="20"/>
                <w:szCs w:val="20"/>
                <w:color w:val="auto"/>
              </w:rPr>
            </w:pPr>
            <w:r>
              <w:rPr>
                <w:rFonts w:ascii="Arial" w:cs="Arial" w:eastAsia="Arial" w:hAnsi="Arial"/>
                <w:sz w:val="14"/>
                <w:szCs w:val="14"/>
                <w:color w:val="auto"/>
              </w:rPr>
              <w:t>Partnership Capital</w:t>
            </w:r>
          </w:p>
        </w:tc>
      </w:tr>
      <w:tr>
        <w:trPr>
          <w:trHeight w:val="160"/>
        </w:trPr>
        <w:tc>
          <w:tcPr>
            <w:tcW w:w="4680" w:type="dxa"/>
            <w:vAlign w:val="bottom"/>
          </w:tcPr>
          <w:p>
            <w:pPr>
              <w:spacing w:after="0"/>
              <w:rPr>
                <w:sz w:val="20"/>
                <w:szCs w:val="20"/>
                <w:color w:val="auto"/>
              </w:rPr>
            </w:pPr>
            <w:r>
              <w:rPr>
                <w:rFonts w:ascii="Arial" w:cs="Arial" w:eastAsia="Arial" w:hAnsi="Arial"/>
                <w:sz w:val="14"/>
                <w:szCs w:val="14"/>
                <w:color w:val="auto"/>
              </w:rPr>
              <w:t>Shell Compania Argentina De Petroleo S.A.</w:t>
            </w: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100</w:t>
            </w:r>
          </w:p>
        </w:tc>
        <w:tc>
          <w:tcPr>
            <w:tcW w:w="1720" w:type="dxa"/>
            <w:vAlign w:val="bottom"/>
          </w:tcPr>
          <w:p>
            <w:pPr>
              <w:ind w:left="100"/>
              <w:spacing w:after="0"/>
              <w:rPr>
                <w:sz w:val="20"/>
                <w:szCs w:val="20"/>
                <w:color w:val="auto"/>
              </w:rPr>
            </w:pPr>
            <w:r>
              <w:rPr>
                <w:rFonts w:ascii="Arial" w:cs="Arial" w:eastAsia="Arial" w:hAnsi="Arial"/>
                <w:sz w:val="14"/>
                <w:szCs w:val="14"/>
                <w:color w:val="auto"/>
              </w:rPr>
              <w:t>Argentina</w:t>
            </w:r>
          </w:p>
        </w:tc>
        <w:tc>
          <w:tcPr>
            <w:tcW w:w="1400" w:type="dxa"/>
            <w:vAlign w:val="bottom"/>
          </w:tcPr>
          <w:p>
            <w:pPr>
              <w:ind w:left="300"/>
              <w:spacing w:after="0"/>
              <w:rPr>
                <w:sz w:val="20"/>
                <w:szCs w:val="20"/>
                <w:color w:val="auto"/>
              </w:rPr>
            </w:pPr>
            <w:r>
              <w:rPr>
                <w:rFonts w:ascii="Arial" w:cs="Arial" w:eastAsia="Arial" w:hAnsi="Arial"/>
                <w:sz w:val="14"/>
                <w:szCs w:val="14"/>
                <w:color w:val="auto"/>
              </w:rPr>
              <w:t>Downstream</w:t>
            </w:r>
          </w:p>
        </w:tc>
        <w:tc>
          <w:tcPr>
            <w:tcW w:w="2620" w:type="dxa"/>
            <w:vAlign w:val="bottom"/>
          </w:tcPr>
          <w:p>
            <w:pPr>
              <w:ind w:left="120"/>
              <w:spacing w:after="0"/>
              <w:rPr>
                <w:sz w:val="20"/>
                <w:szCs w:val="20"/>
                <w:color w:val="auto"/>
              </w:rPr>
            </w:pPr>
            <w:r>
              <w:rPr>
                <w:rFonts w:ascii="Arial" w:cs="Arial" w:eastAsia="Arial" w:hAnsi="Arial"/>
                <w:sz w:val="14"/>
                <w:szCs w:val="14"/>
                <w:color w:val="auto"/>
              </w:rPr>
              <w:t>Nominative</w:t>
            </w:r>
          </w:p>
        </w:tc>
      </w:tr>
      <w:tr>
        <w:trPr>
          <w:trHeight w:val="162"/>
        </w:trPr>
        <w:tc>
          <w:tcPr>
            <w:tcW w:w="4680" w:type="dxa"/>
            <w:vAlign w:val="bottom"/>
          </w:tcPr>
          <w:p>
            <w:pPr>
              <w:spacing w:after="0"/>
              <w:rPr>
                <w:sz w:val="20"/>
                <w:szCs w:val="20"/>
                <w:color w:val="auto"/>
              </w:rPr>
            </w:pPr>
            <w:r>
              <w:rPr>
                <w:rFonts w:ascii="Arial" w:cs="Arial" w:eastAsia="Arial" w:hAnsi="Arial"/>
                <w:sz w:val="14"/>
                <w:szCs w:val="14"/>
                <w:color w:val="auto"/>
              </w:rPr>
              <w:t>Shell Western Supply &amp; Trading Limited</w:t>
            </w: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100</w:t>
            </w:r>
          </w:p>
        </w:tc>
        <w:tc>
          <w:tcPr>
            <w:tcW w:w="1720" w:type="dxa"/>
            <w:vAlign w:val="bottom"/>
          </w:tcPr>
          <w:p>
            <w:pPr>
              <w:ind w:left="100"/>
              <w:spacing w:after="0"/>
              <w:rPr>
                <w:sz w:val="20"/>
                <w:szCs w:val="20"/>
                <w:color w:val="auto"/>
              </w:rPr>
            </w:pPr>
            <w:r>
              <w:rPr>
                <w:rFonts w:ascii="Arial" w:cs="Arial" w:eastAsia="Arial" w:hAnsi="Arial"/>
                <w:sz w:val="14"/>
                <w:szCs w:val="14"/>
                <w:color w:val="auto"/>
              </w:rPr>
              <w:t>Barbados</w:t>
            </w:r>
          </w:p>
        </w:tc>
        <w:tc>
          <w:tcPr>
            <w:tcW w:w="1400" w:type="dxa"/>
            <w:vAlign w:val="bottom"/>
          </w:tcPr>
          <w:p>
            <w:pPr>
              <w:ind w:left="300"/>
              <w:spacing w:after="0"/>
              <w:rPr>
                <w:sz w:val="20"/>
                <w:szCs w:val="20"/>
                <w:color w:val="auto"/>
              </w:rPr>
            </w:pPr>
            <w:r>
              <w:rPr>
                <w:rFonts w:ascii="Arial" w:cs="Arial" w:eastAsia="Arial" w:hAnsi="Arial"/>
                <w:sz w:val="14"/>
                <w:szCs w:val="14"/>
                <w:color w:val="auto"/>
              </w:rPr>
              <w:t>Downstream</w:t>
            </w:r>
          </w:p>
        </w:tc>
        <w:tc>
          <w:tcPr>
            <w:tcW w:w="2620" w:type="dxa"/>
            <w:vAlign w:val="bottom"/>
          </w:tcPr>
          <w:p>
            <w:pPr>
              <w:ind w:left="120"/>
              <w:spacing w:after="0"/>
              <w:rPr>
                <w:sz w:val="20"/>
                <w:szCs w:val="20"/>
                <w:color w:val="auto"/>
              </w:rPr>
            </w:pPr>
            <w:r>
              <w:rPr>
                <w:rFonts w:ascii="Arial" w:cs="Arial" w:eastAsia="Arial" w:hAnsi="Arial"/>
                <w:sz w:val="14"/>
                <w:szCs w:val="14"/>
                <w:color w:val="auto"/>
              </w:rPr>
              <w:t>Ordinary</w:t>
            </w:r>
          </w:p>
        </w:tc>
      </w:tr>
      <w:tr>
        <w:trPr>
          <w:trHeight w:val="162"/>
        </w:trPr>
        <w:tc>
          <w:tcPr>
            <w:tcW w:w="4680" w:type="dxa"/>
            <w:vAlign w:val="bottom"/>
          </w:tcPr>
          <w:p>
            <w:pPr>
              <w:spacing w:after="0"/>
              <w:rPr>
                <w:sz w:val="20"/>
                <w:szCs w:val="20"/>
                <w:color w:val="auto"/>
              </w:rPr>
            </w:pPr>
            <w:r>
              <w:rPr>
                <w:rFonts w:ascii="Arial" w:cs="Arial" w:eastAsia="Arial" w:hAnsi="Arial"/>
                <w:sz w:val="14"/>
                <w:szCs w:val="14"/>
                <w:color w:val="auto"/>
              </w:rPr>
              <w:t>Shell International Trading Middle East Limited</w:t>
            </w: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100</w:t>
            </w:r>
          </w:p>
        </w:tc>
        <w:tc>
          <w:tcPr>
            <w:tcW w:w="1720" w:type="dxa"/>
            <w:vAlign w:val="bottom"/>
          </w:tcPr>
          <w:p>
            <w:pPr>
              <w:ind w:left="100"/>
              <w:spacing w:after="0"/>
              <w:rPr>
                <w:sz w:val="20"/>
                <w:szCs w:val="20"/>
                <w:color w:val="auto"/>
              </w:rPr>
            </w:pPr>
            <w:r>
              <w:rPr>
                <w:rFonts w:ascii="Arial" w:cs="Arial" w:eastAsia="Arial" w:hAnsi="Arial"/>
                <w:sz w:val="14"/>
                <w:szCs w:val="14"/>
                <w:color w:val="auto"/>
              </w:rPr>
              <w:t>Bermuda</w:t>
            </w:r>
          </w:p>
        </w:tc>
        <w:tc>
          <w:tcPr>
            <w:tcW w:w="1400" w:type="dxa"/>
            <w:vAlign w:val="bottom"/>
          </w:tcPr>
          <w:p>
            <w:pPr>
              <w:ind w:left="300"/>
              <w:spacing w:after="0"/>
              <w:rPr>
                <w:sz w:val="20"/>
                <w:szCs w:val="20"/>
                <w:color w:val="auto"/>
              </w:rPr>
            </w:pPr>
            <w:r>
              <w:rPr>
                <w:rFonts w:ascii="Arial" w:cs="Arial" w:eastAsia="Arial" w:hAnsi="Arial"/>
                <w:sz w:val="14"/>
                <w:szCs w:val="14"/>
                <w:color w:val="auto"/>
              </w:rPr>
              <w:t>Downstream</w:t>
            </w:r>
          </w:p>
        </w:tc>
        <w:tc>
          <w:tcPr>
            <w:tcW w:w="2620" w:type="dxa"/>
            <w:vAlign w:val="bottom"/>
          </w:tcPr>
          <w:p>
            <w:pPr>
              <w:ind w:left="120"/>
              <w:spacing w:after="0"/>
              <w:rPr>
                <w:sz w:val="20"/>
                <w:szCs w:val="20"/>
                <w:color w:val="auto"/>
              </w:rPr>
            </w:pPr>
            <w:r>
              <w:rPr>
                <w:rFonts w:ascii="Arial" w:cs="Arial" w:eastAsia="Arial" w:hAnsi="Arial"/>
                <w:sz w:val="14"/>
                <w:szCs w:val="14"/>
                <w:color w:val="auto"/>
              </w:rPr>
              <w:t>Ordinary</w:t>
            </w:r>
          </w:p>
        </w:tc>
      </w:tr>
      <w:tr>
        <w:trPr>
          <w:trHeight w:val="162"/>
        </w:trPr>
        <w:tc>
          <w:tcPr>
            <w:tcW w:w="4680" w:type="dxa"/>
            <w:vAlign w:val="bottom"/>
          </w:tcPr>
          <w:p>
            <w:pPr>
              <w:spacing w:after="0"/>
              <w:rPr>
                <w:sz w:val="20"/>
                <w:szCs w:val="20"/>
                <w:color w:val="auto"/>
              </w:rPr>
            </w:pPr>
            <w:r>
              <w:rPr>
                <w:rFonts w:ascii="Arial" w:cs="Arial" w:eastAsia="Arial" w:hAnsi="Arial"/>
                <w:sz w:val="14"/>
                <w:szCs w:val="14"/>
                <w:color w:val="auto"/>
              </w:rPr>
              <w:t>Shell Canada Limited</w:t>
            </w: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100</w:t>
            </w:r>
          </w:p>
        </w:tc>
        <w:tc>
          <w:tcPr>
            <w:tcW w:w="1720" w:type="dxa"/>
            <w:vAlign w:val="bottom"/>
          </w:tcPr>
          <w:p>
            <w:pPr>
              <w:ind w:left="100"/>
              <w:spacing w:after="0"/>
              <w:rPr>
                <w:sz w:val="20"/>
                <w:szCs w:val="20"/>
                <w:color w:val="auto"/>
              </w:rPr>
            </w:pPr>
            <w:r>
              <w:rPr>
                <w:rFonts w:ascii="Arial" w:cs="Arial" w:eastAsia="Arial" w:hAnsi="Arial"/>
                <w:sz w:val="14"/>
                <w:szCs w:val="14"/>
                <w:color w:val="auto"/>
              </w:rPr>
              <w:t>Canada</w:t>
            </w:r>
          </w:p>
        </w:tc>
        <w:tc>
          <w:tcPr>
            <w:tcW w:w="1400" w:type="dxa"/>
            <w:vAlign w:val="bottom"/>
          </w:tcPr>
          <w:p>
            <w:pPr>
              <w:ind w:left="300"/>
              <w:spacing w:after="0"/>
              <w:rPr>
                <w:sz w:val="20"/>
                <w:szCs w:val="20"/>
                <w:color w:val="auto"/>
              </w:rPr>
            </w:pPr>
            <w:r>
              <w:rPr>
                <w:rFonts w:ascii="Arial" w:cs="Arial" w:eastAsia="Arial" w:hAnsi="Arial"/>
                <w:sz w:val="14"/>
                <w:szCs w:val="14"/>
                <w:color w:val="auto"/>
              </w:rPr>
              <w:t>Downstream</w:t>
            </w:r>
          </w:p>
        </w:tc>
        <w:tc>
          <w:tcPr>
            <w:tcW w:w="2620" w:type="dxa"/>
            <w:vAlign w:val="bottom"/>
          </w:tcPr>
          <w:p>
            <w:pPr>
              <w:ind w:left="120"/>
              <w:spacing w:after="0"/>
              <w:rPr>
                <w:sz w:val="20"/>
                <w:szCs w:val="20"/>
                <w:color w:val="auto"/>
              </w:rPr>
            </w:pPr>
            <w:r>
              <w:rPr>
                <w:rFonts w:ascii="Arial" w:cs="Arial" w:eastAsia="Arial" w:hAnsi="Arial"/>
                <w:sz w:val="14"/>
                <w:szCs w:val="14"/>
                <w:color w:val="auto"/>
              </w:rPr>
              <w:t>Ordinary, redeemable [A]</w:t>
            </w:r>
          </w:p>
        </w:tc>
      </w:tr>
      <w:tr>
        <w:trPr>
          <w:trHeight w:val="162"/>
        </w:trPr>
        <w:tc>
          <w:tcPr>
            <w:tcW w:w="4680" w:type="dxa"/>
            <w:vAlign w:val="bottom"/>
          </w:tcPr>
          <w:p>
            <w:pPr>
              <w:spacing w:after="0"/>
              <w:rPr>
                <w:sz w:val="20"/>
                <w:szCs w:val="20"/>
                <w:color w:val="auto"/>
              </w:rPr>
            </w:pPr>
            <w:r>
              <w:rPr>
                <w:rFonts w:ascii="Arial" w:cs="Arial" w:eastAsia="Arial" w:hAnsi="Arial"/>
                <w:sz w:val="14"/>
                <w:szCs w:val="14"/>
                <w:color w:val="auto"/>
              </w:rPr>
              <w:t>Shell Canada Products</w:t>
            </w: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100</w:t>
            </w:r>
          </w:p>
        </w:tc>
        <w:tc>
          <w:tcPr>
            <w:tcW w:w="1720" w:type="dxa"/>
            <w:vAlign w:val="bottom"/>
          </w:tcPr>
          <w:p>
            <w:pPr>
              <w:ind w:left="100"/>
              <w:spacing w:after="0"/>
              <w:rPr>
                <w:sz w:val="20"/>
                <w:szCs w:val="20"/>
                <w:color w:val="auto"/>
              </w:rPr>
            </w:pPr>
            <w:r>
              <w:rPr>
                <w:rFonts w:ascii="Arial" w:cs="Arial" w:eastAsia="Arial" w:hAnsi="Arial"/>
                <w:sz w:val="14"/>
                <w:szCs w:val="14"/>
                <w:color w:val="auto"/>
              </w:rPr>
              <w:t>Canada</w:t>
            </w:r>
          </w:p>
        </w:tc>
        <w:tc>
          <w:tcPr>
            <w:tcW w:w="1400" w:type="dxa"/>
            <w:vAlign w:val="bottom"/>
          </w:tcPr>
          <w:p>
            <w:pPr>
              <w:ind w:left="300"/>
              <w:spacing w:after="0"/>
              <w:rPr>
                <w:sz w:val="20"/>
                <w:szCs w:val="20"/>
                <w:color w:val="auto"/>
              </w:rPr>
            </w:pPr>
            <w:r>
              <w:rPr>
                <w:rFonts w:ascii="Arial" w:cs="Arial" w:eastAsia="Arial" w:hAnsi="Arial"/>
                <w:sz w:val="14"/>
                <w:szCs w:val="14"/>
                <w:color w:val="auto"/>
              </w:rPr>
              <w:t>Downstream</w:t>
            </w:r>
          </w:p>
        </w:tc>
        <w:tc>
          <w:tcPr>
            <w:tcW w:w="2620" w:type="dxa"/>
            <w:vAlign w:val="bottom"/>
          </w:tcPr>
          <w:p>
            <w:pPr>
              <w:ind w:left="120"/>
              <w:spacing w:after="0"/>
              <w:rPr>
                <w:sz w:val="20"/>
                <w:szCs w:val="20"/>
                <w:color w:val="auto"/>
              </w:rPr>
            </w:pPr>
            <w:r>
              <w:rPr>
                <w:rFonts w:ascii="Arial" w:cs="Arial" w:eastAsia="Arial" w:hAnsi="Arial"/>
                <w:sz w:val="14"/>
                <w:szCs w:val="14"/>
                <w:color w:val="auto"/>
              </w:rPr>
              <w:t>Ordinary</w:t>
            </w:r>
          </w:p>
        </w:tc>
      </w:tr>
      <w:tr>
        <w:trPr>
          <w:trHeight w:val="162"/>
        </w:trPr>
        <w:tc>
          <w:tcPr>
            <w:tcW w:w="4680" w:type="dxa"/>
            <w:vAlign w:val="bottom"/>
          </w:tcPr>
          <w:p>
            <w:pPr>
              <w:spacing w:after="0"/>
              <w:rPr>
                <w:sz w:val="20"/>
                <w:szCs w:val="20"/>
                <w:color w:val="auto"/>
              </w:rPr>
            </w:pPr>
            <w:r>
              <w:rPr>
                <w:rFonts w:ascii="Arial" w:cs="Arial" w:eastAsia="Arial" w:hAnsi="Arial"/>
                <w:sz w:val="14"/>
                <w:szCs w:val="14"/>
                <w:color w:val="auto"/>
              </w:rPr>
              <w:t>Deutsche Shell GmbH</w:t>
            </w: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100</w:t>
            </w:r>
          </w:p>
        </w:tc>
        <w:tc>
          <w:tcPr>
            <w:tcW w:w="1720" w:type="dxa"/>
            <w:vAlign w:val="bottom"/>
          </w:tcPr>
          <w:p>
            <w:pPr>
              <w:ind w:left="100"/>
              <w:spacing w:after="0"/>
              <w:rPr>
                <w:sz w:val="20"/>
                <w:szCs w:val="20"/>
                <w:color w:val="auto"/>
              </w:rPr>
            </w:pPr>
            <w:r>
              <w:rPr>
                <w:rFonts w:ascii="Arial" w:cs="Arial" w:eastAsia="Arial" w:hAnsi="Arial"/>
                <w:sz w:val="14"/>
                <w:szCs w:val="14"/>
                <w:color w:val="auto"/>
              </w:rPr>
              <w:t>Germany</w:t>
            </w:r>
          </w:p>
        </w:tc>
        <w:tc>
          <w:tcPr>
            <w:tcW w:w="1400" w:type="dxa"/>
            <w:vAlign w:val="bottom"/>
          </w:tcPr>
          <w:p>
            <w:pPr>
              <w:ind w:left="300"/>
              <w:spacing w:after="0"/>
              <w:rPr>
                <w:sz w:val="20"/>
                <w:szCs w:val="20"/>
                <w:color w:val="auto"/>
              </w:rPr>
            </w:pPr>
            <w:r>
              <w:rPr>
                <w:rFonts w:ascii="Arial" w:cs="Arial" w:eastAsia="Arial" w:hAnsi="Arial"/>
                <w:sz w:val="14"/>
                <w:szCs w:val="14"/>
                <w:color w:val="auto"/>
              </w:rPr>
              <w:t>Downstream</w:t>
            </w:r>
          </w:p>
        </w:tc>
        <w:tc>
          <w:tcPr>
            <w:tcW w:w="2620" w:type="dxa"/>
            <w:vAlign w:val="bottom"/>
          </w:tcPr>
          <w:p>
            <w:pPr>
              <w:ind w:left="120"/>
              <w:spacing w:after="0"/>
              <w:rPr>
                <w:sz w:val="20"/>
                <w:szCs w:val="20"/>
                <w:color w:val="auto"/>
              </w:rPr>
            </w:pPr>
            <w:r>
              <w:rPr>
                <w:rFonts w:ascii="Arial" w:cs="Arial" w:eastAsia="Arial" w:hAnsi="Arial"/>
                <w:sz w:val="14"/>
                <w:szCs w:val="14"/>
                <w:color w:val="auto"/>
              </w:rPr>
              <w:t>Ordinary</w:t>
            </w:r>
          </w:p>
        </w:tc>
      </w:tr>
      <w:tr>
        <w:trPr>
          <w:trHeight w:val="162"/>
        </w:trPr>
        <w:tc>
          <w:tcPr>
            <w:tcW w:w="4680" w:type="dxa"/>
            <w:vAlign w:val="bottom"/>
          </w:tcPr>
          <w:p>
            <w:pPr>
              <w:spacing w:after="0"/>
              <w:rPr>
                <w:sz w:val="20"/>
                <w:szCs w:val="20"/>
                <w:color w:val="auto"/>
              </w:rPr>
            </w:pPr>
            <w:r>
              <w:rPr>
                <w:rFonts w:ascii="Arial" w:cs="Arial" w:eastAsia="Arial" w:hAnsi="Arial"/>
                <w:sz w:val="14"/>
                <w:szCs w:val="14"/>
                <w:color w:val="auto"/>
              </w:rPr>
              <w:t>Deutsche Shell Holding GmbH</w:t>
            </w: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100</w:t>
            </w:r>
          </w:p>
        </w:tc>
        <w:tc>
          <w:tcPr>
            <w:tcW w:w="1720" w:type="dxa"/>
            <w:vAlign w:val="bottom"/>
          </w:tcPr>
          <w:p>
            <w:pPr>
              <w:ind w:left="100"/>
              <w:spacing w:after="0"/>
              <w:rPr>
                <w:sz w:val="20"/>
                <w:szCs w:val="20"/>
                <w:color w:val="auto"/>
              </w:rPr>
            </w:pPr>
            <w:r>
              <w:rPr>
                <w:rFonts w:ascii="Arial" w:cs="Arial" w:eastAsia="Arial" w:hAnsi="Arial"/>
                <w:sz w:val="14"/>
                <w:szCs w:val="14"/>
                <w:color w:val="auto"/>
              </w:rPr>
              <w:t>Germany</w:t>
            </w:r>
          </w:p>
        </w:tc>
        <w:tc>
          <w:tcPr>
            <w:tcW w:w="1400" w:type="dxa"/>
            <w:vAlign w:val="bottom"/>
          </w:tcPr>
          <w:p>
            <w:pPr>
              <w:ind w:left="300"/>
              <w:spacing w:after="0"/>
              <w:rPr>
                <w:sz w:val="20"/>
                <w:szCs w:val="20"/>
                <w:color w:val="auto"/>
              </w:rPr>
            </w:pPr>
            <w:r>
              <w:rPr>
                <w:rFonts w:ascii="Arial" w:cs="Arial" w:eastAsia="Arial" w:hAnsi="Arial"/>
                <w:sz w:val="14"/>
                <w:szCs w:val="14"/>
                <w:color w:val="auto"/>
              </w:rPr>
              <w:t>Downstream</w:t>
            </w:r>
          </w:p>
        </w:tc>
        <w:tc>
          <w:tcPr>
            <w:tcW w:w="2620" w:type="dxa"/>
            <w:vAlign w:val="bottom"/>
          </w:tcPr>
          <w:p>
            <w:pPr>
              <w:ind w:left="120"/>
              <w:spacing w:after="0"/>
              <w:rPr>
                <w:sz w:val="20"/>
                <w:szCs w:val="20"/>
                <w:color w:val="auto"/>
              </w:rPr>
            </w:pPr>
            <w:r>
              <w:rPr>
                <w:rFonts w:ascii="Arial" w:cs="Arial" w:eastAsia="Arial" w:hAnsi="Arial"/>
                <w:sz w:val="14"/>
                <w:szCs w:val="14"/>
                <w:color w:val="auto"/>
              </w:rPr>
              <w:t>Ordinary</w:t>
            </w:r>
          </w:p>
        </w:tc>
      </w:tr>
      <w:tr>
        <w:trPr>
          <w:trHeight w:val="162"/>
        </w:trPr>
        <w:tc>
          <w:tcPr>
            <w:tcW w:w="4680" w:type="dxa"/>
            <w:vAlign w:val="bottom"/>
          </w:tcPr>
          <w:p>
            <w:pPr>
              <w:spacing w:after="0"/>
              <w:rPr>
                <w:sz w:val="20"/>
                <w:szCs w:val="20"/>
                <w:color w:val="auto"/>
              </w:rPr>
            </w:pPr>
            <w:r>
              <w:rPr>
                <w:rFonts w:ascii="Arial" w:cs="Arial" w:eastAsia="Arial" w:hAnsi="Arial"/>
                <w:sz w:val="14"/>
                <w:szCs w:val="14"/>
                <w:color w:val="auto"/>
              </w:rPr>
              <w:t>Shell Deutschland Oil GmbH</w:t>
            </w: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100</w:t>
            </w:r>
          </w:p>
        </w:tc>
        <w:tc>
          <w:tcPr>
            <w:tcW w:w="1720" w:type="dxa"/>
            <w:vAlign w:val="bottom"/>
          </w:tcPr>
          <w:p>
            <w:pPr>
              <w:ind w:left="100"/>
              <w:spacing w:after="0"/>
              <w:rPr>
                <w:sz w:val="20"/>
                <w:szCs w:val="20"/>
                <w:color w:val="auto"/>
              </w:rPr>
            </w:pPr>
            <w:r>
              <w:rPr>
                <w:rFonts w:ascii="Arial" w:cs="Arial" w:eastAsia="Arial" w:hAnsi="Arial"/>
                <w:sz w:val="14"/>
                <w:szCs w:val="14"/>
                <w:color w:val="auto"/>
              </w:rPr>
              <w:t>Germany</w:t>
            </w:r>
          </w:p>
        </w:tc>
        <w:tc>
          <w:tcPr>
            <w:tcW w:w="1400" w:type="dxa"/>
            <w:vAlign w:val="bottom"/>
          </w:tcPr>
          <w:p>
            <w:pPr>
              <w:ind w:left="300"/>
              <w:spacing w:after="0"/>
              <w:rPr>
                <w:sz w:val="20"/>
                <w:szCs w:val="20"/>
                <w:color w:val="auto"/>
              </w:rPr>
            </w:pPr>
            <w:r>
              <w:rPr>
                <w:rFonts w:ascii="Arial" w:cs="Arial" w:eastAsia="Arial" w:hAnsi="Arial"/>
                <w:sz w:val="14"/>
                <w:szCs w:val="14"/>
                <w:color w:val="auto"/>
              </w:rPr>
              <w:t>Downstream</w:t>
            </w:r>
          </w:p>
        </w:tc>
        <w:tc>
          <w:tcPr>
            <w:tcW w:w="2620" w:type="dxa"/>
            <w:vAlign w:val="bottom"/>
          </w:tcPr>
          <w:p>
            <w:pPr>
              <w:ind w:left="120"/>
              <w:spacing w:after="0"/>
              <w:rPr>
                <w:sz w:val="20"/>
                <w:szCs w:val="20"/>
                <w:color w:val="auto"/>
              </w:rPr>
            </w:pPr>
            <w:r>
              <w:rPr>
                <w:rFonts w:ascii="Arial" w:cs="Arial" w:eastAsia="Arial" w:hAnsi="Arial"/>
                <w:sz w:val="14"/>
                <w:szCs w:val="14"/>
                <w:color w:val="auto"/>
              </w:rPr>
              <w:t>Ordinary</w:t>
            </w:r>
          </w:p>
        </w:tc>
      </w:tr>
      <w:tr>
        <w:trPr>
          <w:trHeight w:val="162"/>
        </w:trPr>
        <w:tc>
          <w:tcPr>
            <w:tcW w:w="4680" w:type="dxa"/>
            <w:vAlign w:val="bottom"/>
          </w:tcPr>
          <w:p>
            <w:pPr>
              <w:spacing w:after="0"/>
              <w:rPr>
                <w:sz w:val="20"/>
                <w:szCs w:val="20"/>
                <w:color w:val="auto"/>
              </w:rPr>
            </w:pPr>
            <w:r>
              <w:rPr>
                <w:rFonts w:ascii="Arial" w:cs="Arial" w:eastAsia="Arial" w:hAnsi="Arial"/>
                <w:sz w:val="14"/>
                <w:szCs w:val="14"/>
                <w:color w:val="auto"/>
              </w:rPr>
              <w:t>Shell Luxembourgeoise Sarl</w:t>
            </w: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100</w:t>
            </w:r>
          </w:p>
        </w:tc>
        <w:tc>
          <w:tcPr>
            <w:tcW w:w="1720" w:type="dxa"/>
            <w:vAlign w:val="bottom"/>
          </w:tcPr>
          <w:p>
            <w:pPr>
              <w:ind w:left="100"/>
              <w:spacing w:after="0"/>
              <w:rPr>
                <w:sz w:val="20"/>
                <w:szCs w:val="20"/>
                <w:color w:val="auto"/>
              </w:rPr>
            </w:pPr>
            <w:r>
              <w:rPr>
                <w:rFonts w:ascii="Arial" w:cs="Arial" w:eastAsia="Arial" w:hAnsi="Arial"/>
                <w:sz w:val="14"/>
                <w:szCs w:val="14"/>
                <w:color w:val="auto"/>
              </w:rPr>
              <w:t>Luxembourg</w:t>
            </w:r>
          </w:p>
        </w:tc>
        <w:tc>
          <w:tcPr>
            <w:tcW w:w="1400" w:type="dxa"/>
            <w:vAlign w:val="bottom"/>
          </w:tcPr>
          <w:p>
            <w:pPr>
              <w:ind w:left="300"/>
              <w:spacing w:after="0"/>
              <w:rPr>
                <w:sz w:val="20"/>
                <w:szCs w:val="20"/>
                <w:color w:val="auto"/>
              </w:rPr>
            </w:pPr>
            <w:r>
              <w:rPr>
                <w:rFonts w:ascii="Arial" w:cs="Arial" w:eastAsia="Arial" w:hAnsi="Arial"/>
                <w:sz w:val="14"/>
                <w:szCs w:val="14"/>
                <w:color w:val="auto"/>
              </w:rPr>
              <w:t>Downstream</w:t>
            </w:r>
          </w:p>
        </w:tc>
        <w:tc>
          <w:tcPr>
            <w:tcW w:w="2620" w:type="dxa"/>
            <w:vAlign w:val="bottom"/>
          </w:tcPr>
          <w:p>
            <w:pPr>
              <w:ind w:left="120"/>
              <w:spacing w:after="0"/>
              <w:rPr>
                <w:sz w:val="20"/>
                <w:szCs w:val="20"/>
                <w:color w:val="auto"/>
              </w:rPr>
            </w:pPr>
            <w:r>
              <w:rPr>
                <w:rFonts w:ascii="Arial" w:cs="Arial" w:eastAsia="Arial" w:hAnsi="Arial"/>
                <w:sz w:val="14"/>
                <w:szCs w:val="14"/>
                <w:color w:val="auto"/>
              </w:rPr>
              <w:t>Ordinary</w:t>
            </w:r>
          </w:p>
        </w:tc>
      </w:tr>
      <w:tr>
        <w:trPr>
          <w:trHeight w:val="162"/>
        </w:trPr>
        <w:tc>
          <w:tcPr>
            <w:tcW w:w="4680" w:type="dxa"/>
            <w:vAlign w:val="bottom"/>
          </w:tcPr>
          <w:p>
            <w:pPr>
              <w:spacing w:after="0"/>
              <w:rPr>
                <w:sz w:val="20"/>
                <w:szCs w:val="20"/>
                <w:color w:val="auto"/>
              </w:rPr>
            </w:pPr>
            <w:r>
              <w:rPr>
                <w:rFonts w:ascii="Arial" w:cs="Arial" w:eastAsia="Arial" w:hAnsi="Arial"/>
                <w:sz w:val="14"/>
                <w:szCs w:val="14"/>
                <w:color w:val="auto"/>
              </w:rPr>
              <w:t>Shell Nederland Raffinaderij B.V.</w:t>
            </w: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100</w:t>
            </w:r>
          </w:p>
        </w:tc>
        <w:tc>
          <w:tcPr>
            <w:tcW w:w="1720" w:type="dxa"/>
            <w:vAlign w:val="bottom"/>
          </w:tcPr>
          <w:p>
            <w:pPr>
              <w:ind w:left="100"/>
              <w:spacing w:after="0"/>
              <w:rPr>
                <w:sz w:val="20"/>
                <w:szCs w:val="20"/>
                <w:color w:val="auto"/>
              </w:rPr>
            </w:pPr>
            <w:r>
              <w:rPr>
                <w:rFonts w:ascii="Arial" w:cs="Arial" w:eastAsia="Arial" w:hAnsi="Arial"/>
                <w:sz w:val="14"/>
                <w:szCs w:val="14"/>
                <w:color w:val="auto"/>
              </w:rPr>
              <w:t>Netherlands</w:t>
            </w:r>
          </w:p>
        </w:tc>
        <w:tc>
          <w:tcPr>
            <w:tcW w:w="1400" w:type="dxa"/>
            <w:vAlign w:val="bottom"/>
          </w:tcPr>
          <w:p>
            <w:pPr>
              <w:ind w:left="300"/>
              <w:spacing w:after="0"/>
              <w:rPr>
                <w:sz w:val="20"/>
                <w:szCs w:val="20"/>
                <w:color w:val="auto"/>
              </w:rPr>
            </w:pPr>
            <w:r>
              <w:rPr>
                <w:rFonts w:ascii="Arial" w:cs="Arial" w:eastAsia="Arial" w:hAnsi="Arial"/>
                <w:sz w:val="14"/>
                <w:szCs w:val="14"/>
                <w:color w:val="auto"/>
              </w:rPr>
              <w:t>Downstream</w:t>
            </w:r>
          </w:p>
        </w:tc>
        <w:tc>
          <w:tcPr>
            <w:tcW w:w="2620" w:type="dxa"/>
            <w:vAlign w:val="bottom"/>
          </w:tcPr>
          <w:p>
            <w:pPr>
              <w:ind w:left="120"/>
              <w:spacing w:after="0"/>
              <w:rPr>
                <w:sz w:val="20"/>
                <w:szCs w:val="20"/>
                <w:color w:val="auto"/>
              </w:rPr>
            </w:pPr>
            <w:r>
              <w:rPr>
                <w:rFonts w:ascii="Arial" w:cs="Arial" w:eastAsia="Arial" w:hAnsi="Arial"/>
                <w:sz w:val="14"/>
                <w:szCs w:val="14"/>
                <w:color w:val="auto"/>
              </w:rPr>
              <w:t>Ordinary</w:t>
            </w:r>
          </w:p>
        </w:tc>
      </w:tr>
      <w:tr>
        <w:trPr>
          <w:trHeight w:val="162"/>
        </w:trPr>
        <w:tc>
          <w:tcPr>
            <w:tcW w:w="4680" w:type="dxa"/>
            <w:vAlign w:val="bottom"/>
          </w:tcPr>
          <w:p>
            <w:pPr>
              <w:spacing w:after="0"/>
              <w:rPr>
                <w:sz w:val="20"/>
                <w:szCs w:val="20"/>
                <w:color w:val="auto"/>
              </w:rPr>
            </w:pPr>
            <w:r>
              <w:rPr>
                <w:rFonts w:ascii="Arial" w:cs="Arial" w:eastAsia="Arial" w:hAnsi="Arial"/>
                <w:sz w:val="14"/>
                <w:szCs w:val="14"/>
                <w:color w:val="auto"/>
              </w:rPr>
              <w:t>Shell Trading Rotterdam B.V.</w:t>
            </w: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100</w:t>
            </w:r>
          </w:p>
        </w:tc>
        <w:tc>
          <w:tcPr>
            <w:tcW w:w="1720" w:type="dxa"/>
            <w:vAlign w:val="bottom"/>
          </w:tcPr>
          <w:p>
            <w:pPr>
              <w:ind w:left="100"/>
              <w:spacing w:after="0"/>
              <w:rPr>
                <w:sz w:val="20"/>
                <w:szCs w:val="20"/>
                <w:color w:val="auto"/>
              </w:rPr>
            </w:pPr>
            <w:r>
              <w:rPr>
                <w:rFonts w:ascii="Arial" w:cs="Arial" w:eastAsia="Arial" w:hAnsi="Arial"/>
                <w:sz w:val="14"/>
                <w:szCs w:val="14"/>
                <w:color w:val="auto"/>
              </w:rPr>
              <w:t>Netherlands</w:t>
            </w:r>
          </w:p>
        </w:tc>
        <w:tc>
          <w:tcPr>
            <w:tcW w:w="1400" w:type="dxa"/>
            <w:vAlign w:val="bottom"/>
          </w:tcPr>
          <w:p>
            <w:pPr>
              <w:ind w:left="300"/>
              <w:spacing w:after="0"/>
              <w:rPr>
                <w:sz w:val="20"/>
                <w:szCs w:val="20"/>
                <w:color w:val="auto"/>
              </w:rPr>
            </w:pPr>
            <w:r>
              <w:rPr>
                <w:rFonts w:ascii="Arial" w:cs="Arial" w:eastAsia="Arial" w:hAnsi="Arial"/>
                <w:sz w:val="14"/>
                <w:szCs w:val="14"/>
                <w:color w:val="auto"/>
              </w:rPr>
              <w:t>Downstream</w:t>
            </w:r>
          </w:p>
        </w:tc>
        <w:tc>
          <w:tcPr>
            <w:tcW w:w="2620" w:type="dxa"/>
            <w:vAlign w:val="bottom"/>
          </w:tcPr>
          <w:p>
            <w:pPr>
              <w:ind w:left="120"/>
              <w:spacing w:after="0"/>
              <w:rPr>
                <w:sz w:val="20"/>
                <w:szCs w:val="20"/>
                <w:color w:val="auto"/>
              </w:rPr>
            </w:pPr>
            <w:r>
              <w:rPr>
                <w:rFonts w:ascii="Arial" w:cs="Arial" w:eastAsia="Arial" w:hAnsi="Arial"/>
                <w:sz w:val="14"/>
                <w:szCs w:val="14"/>
                <w:color w:val="auto"/>
              </w:rPr>
              <w:t>Ordinary</w:t>
            </w:r>
          </w:p>
        </w:tc>
      </w:tr>
      <w:tr>
        <w:trPr>
          <w:trHeight w:val="162"/>
        </w:trPr>
        <w:tc>
          <w:tcPr>
            <w:tcW w:w="4680" w:type="dxa"/>
            <w:vAlign w:val="bottom"/>
          </w:tcPr>
          <w:p>
            <w:pPr>
              <w:spacing w:after="0"/>
              <w:rPr>
                <w:sz w:val="20"/>
                <w:szCs w:val="20"/>
                <w:color w:val="auto"/>
              </w:rPr>
            </w:pPr>
            <w:r>
              <w:rPr>
                <w:rFonts w:ascii="Arial" w:cs="Arial" w:eastAsia="Arial" w:hAnsi="Arial"/>
                <w:sz w:val="14"/>
                <w:szCs w:val="14"/>
                <w:color w:val="auto"/>
              </w:rPr>
              <w:t>Shell Eastern Petroleum (Pte) Limited</w:t>
            </w: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100</w:t>
            </w:r>
          </w:p>
        </w:tc>
        <w:tc>
          <w:tcPr>
            <w:tcW w:w="1720" w:type="dxa"/>
            <w:vAlign w:val="bottom"/>
          </w:tcPr>
          <w:p>
            <w:pPr>
              <w:ind w:left="100"/>
              <w:spacing w:after="0"/>
              <w:rPr>
                <w:sz w:val="20"/>
                <w:szCs w:val="20"/>
                <w:color w:val="auto"/>
              </w:rPr>
            </w:pPr>
            <w:r>
              <w:rPr>
                <w:rFonts w:ascii="Arial" w:cs="Arial" w:eastAsia="Arial" w:hAnsi="Arial"/>
                <w:sz w:val="14"/>
                <w:szCs w:val="14"/>
                <w:color w:val="auto"/>
              </w:rPr>
              <w:t>Singapore</w:t>
            </w:r>
          </w:p>
        </w:tc>
        <w:tc>
          <w:tcPr>
            <w:tcW w:w="1400" w:type="dxa"/>
            <w:vAlign w:val="bottom"/>
          </w:tcPr>
          <w:p>
            <w:pPr>
              <w:ind w:left="300"/>
              <w:spacing w:after="0"/>
              <w:rPr>
                <w:sz w:val="20"/>
                <w:szCs w:val="20"/>
                <w:color w:val="auto"/>
              </w:rPr>
            </w:pPr>
            <w:r>
              <w:rPr>
                <w:rFonts w:ascii="Arial" w:cs="Arial" w:eastAsia="Arial" w:hAnsi="Arial"/>
                <w:sz w:val="14"/>
                <w:szCs w:val="14"/>
                <w:color w:val="auto"/>
              </w:rPr>
              <w:t>Downstream</w:t>
            </w:r>
          </w:p>
        </w:tc>
        <w:tc>
          <w:tcPr>
            <w:tcW w:w="2620" w:type="dxa"/>
            <w:vAlign w:val="bottom"/>
          </w:tcPr>
          <w:p>
            <w:pPr>
              <w:ind w:left="120"/>
              <w:spacing w:after="0"/>
              <w:rPr>
                <w:sz w:val="20"/>
                <w:szCs w:val="20"/>
                <w:color w:val="auto"/>
              </w:rPr>
            </w:pPr>
            <w:r>
              <w:rPr>
                <w:rFonts w:ascii="Arial" w:cs="Arial" w:eastAsia="Arial" w:hAnsi="Arial"/>
                <w:sz w:val="14"/>
                <w:szCs w:val="14"/>
                <w:color w:val="auto"/>
              </w:rPr>
              <w:t>Ordinary, redeemable</w:t>
            </w:r>
          </w:p>
        </w:tc>
      </w:tr>
      <w:tr>
        <w:trPr>
          <w:trHeight w:val="162"/>
        </w:trPr>
        <w:tc>
          <w:tcPr>
            <w:tcW w:w="4680" w:type="dxa"/>
            <w:vAlign w:val="bottom"/>
          </w:tcPr>
          <w:p>
            <w:pPr>
              <w:spacing w:after="0"/>
              <w:rPr>
                <w:sz w:val="20"/>
                <w:szCs w:val="20"/>
                <w:color w:val="auto"/>
              </w:rPr>
            </w:pPr>
            <w:r>
              <w:rPr>
                <w:rFonts w:ascii="Arial" w:cs="Arial" w:eastAsia="Arial" w:hAnsi="Arial"/>
                <w:sz w:val="14"/>
                <w:szCs w:val="14"/>
                <w:color w:val="auto"/>
              </w:rPr>
              <w:t>Shell Eastern Trading (Pte) Limited</w:t>
            </w: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100</w:t>
            </w:r>
          </w:p>
        </w:tc>
        <w:tc>
          <w:tcPr>
            <w:tcW w:w="1720" w:type="dxa"/>
            <w:vAlign w:val="bottom"/>
          </w:tcPr>
          <w:p>
            <w:pPr>
              <w:ind w:left="100"/>
              <w:spacing w:after="0"/>
              <w:rPr>
                <w:sz w:val="20"/>
                <w:szCs w:val="20"/>
                <w:color w:val="auto"/>
              </w:rPr>
            </w:pPr>
            <w:r>
              <w:rPr>
                <w:rFonts w:ascii="Arial" w:cs="Arial" w:eastAsia="Arial" w:hAnsi="Arial"/>
                <w:sz w:val="14"/>
                <w:szCs w:val="14"/>
                <w:color w:val="auto"/>
              </w:rPr>
              <w:t>Singapore</w:t>
            </w:r>
          </w:p>
        </w:tc>
        <w:tc>
          <w:tcPr>
            <w:tcW w:w="1400" w:type="dxa"/>
            <w:vAlign w:val="bottom"/>
          </w:tcPr>
          <w:p>
            <w:pPr>
              <w:ind w:left="300"/>
              <w:spacing w:after="0"/>
              <w:rPr>
                <w:sz w:val="20"/>
                <w:szCs w:val="20"/>
                <w:color w:val="auto"/>
              </w:rPr>
            </w:pPr>
            <w:r>
              <w:rPr>
                <w:rFonts w:ascii="Arial" w:cs="Arial" w:eastAsia="Arial" w:hAnsi="Arial"/>
                <w:sz w:val="14"/>
                <w:szCs w:val="14"/>
                <w:color w:val="auto"/>
              </w:rPr>
              <w:t>Downstream</w:t>
            </w:r>
          </w:p>
        </w:tc>
        <w:tc>
          <w:tcPr>
            <w:tcW w:w="2620" w:type="dxa"/>
            <w:vAlign w:val="bottom"/>
          </w:tcPr>
          <w:p>
            <w:pPr>
              <w:ind w:left="120"/>
              <w:spacing w:after="0"/>
              <w:rPr>
                <w:sz w:val="20"/>
                <w:szCs w:val="20"/>
                <w:color w:val="auto"/>
              </w:rPr>
            </w:pPr>
            <w:r>
              <w:rPr>
                <w:rFonts w:ascii="Arial" w:cs="Arial" w:eastAsia="Arial" w:hAnsi="Arial"/>
                <w:sz w:val="14"/>
                <w:szCs w:val="14"/>
                <w:color w:val="auto"/>
              </w:rPr>
              <w:t>Ordinary, redeemable</w:t>
            </w:r>
          </w:p>
        </w:tc>
      </w:tr>
      <w:tr>
        <w:trPr>
          <w:trHeight w:val="162"/>
        </w:trPr>
        <w:tc>
          <w:tcPr>
            <w:tcW w:w="4680" w:type="dxa"/>
            <w:vAlign w:val="bottom"/>
          </w:tcPr>
          <w:p>
            <w:pPr>
              <w:spacing w:after="0"/>
              <w:rPr>
                <w:sz w:val="20"/>
                <w:szCs w:val="20"/>
                <w:color w:val="auto"/>
              </w:rPr>
            </w:pPr>
            <w:r>
              <w:rPr>
                <w:rFonts w:ascii="Arial" w:cs="Arial" w:eastAsia="Arial" w:hAnsi="Arial"/>
                <w:sz w:val="14"/>
                <w:szCs w:val="14"/>
                <w:color w:val="auto"/>
              </w:rPr>
              <w:t>Shell Energy Europe Limited</w:t>
            </w: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100</w:t>
            </w:r>
          </w:p>
        </w:tc>
        <w:tc>
          <w:tcPr>
            <w:tcW w:w="1720" w:type="dxa"/>
            <w:vAlign w:val="bottom"/>
          </w:tcPr>
          <w:p>
            <w:pPr>
              <w:ind w:left="100"/>
              <w:spacing w:after="0"/>
              <w:rPr>
                <w:sz w:val="20"/>
                <w:szCs w:val="20"/>
                <w:color w:val="auto"/>
              </w:rPr>
            </w:pPr>
            <w:r>
              <w:rPr>
                <w:rFonts w:ascii="Arial" w:cs="Arial" w:eastAsia="Arial" w:hAnsi="Arial"/>
                <w:sz w:val="14"/>
                <w:szCs w:val="14"/>
                <w:color w:val="auto"/>
              </w:rPr>
              <w:t>UK</w:t>
            </w:r>
          </w:p>
        </w:tc>
        <w:tc>
          <w:tcPr>
            <w:tcW w:w="1400" w:type="dxa"/>
            <w:vAlign w:val="bottom"/>
          </w:tcPr>
          <w:p>
            <w:pPr>
              <w:ind w:left="300"/>
              <w:spacing w:after="0"/>
              <w:rPr>
                <w:sz w:val="20"/>
                <w:szCs w:val="20"/>
                <w:color w:val="auto"/>
              </w:rPr>
            </w:pPr>
            <w:r>
              <w:rPr>
                <w:rFonts w:ascii="Arial" w:cs="Arial" w:eastAsia="Arial" w:hAnsi="Arial"/>
                <w:sz w:val="14"/>
                <w:szCs w:val="14"/>
                <w:color w:val="auto"/>
              </w:rPr>
              <w:t>Downstream</w:t>
            </w:r>
          </w:p>
        </w:tc>
        <w:tc>
          <w:tcPr>
            <w:tcW w:w="2620" w:type="dxa"/>
            <w:vAlign w:val="bottom"/>
          </w:tcPr>
          <w:p>
            <w:pPr>
              <w:ind w:left="120"/>
              <w:spacing w:after="0"/>
              <w:rPr>
                <w:sz w:val="20"/>
                <w:szCs w:val="20"/>
                <w:color w:val="auto"/>
              </w:rPr>
            </w:pPr>
            <w:r>
              <w:rPr>
                <w:rFonts w:ascii="Arial" w:cs="Arial" w:eastAsia="Arial" w:hAnsi="Arial"/>
                <w:sz w:val="14"/>
                <w:szCs w:val="14"/>
                <w:color w:val="auto"/>
              </w:rPr>
              <w:t>Ordinary</w:t>
            </w:r>
          </w:p>
        </w:tc>
      </w:tr>
      <w:tr>
        <w:trPr>
          <w:trHeight w:val="162"/>
        </w:trPr>
        <w:tc>
          <w:tcPr>
            <w:tcW w:w="4680" w:type="dxa"/>
            <w:vAlign w:val="bottom"/>
          </w:tcPr>
          <w:p>
            <w:pPr>
              <w:spacing w:after="0"/>
              <w:rPr>
                <w:sz w:val="20"/>
                <w:szCs w:val="20"/>
                <w:color w:val="auto"/>
              </w:rPr>
            </w:pPr>
            <w:r>
              <w:rPr>
                <w:rFonts w:ascii="Arial" w:cs="Arial" w:eastAsia="Arial" w:hAnsi="Arial"/>
                <w:sz w:val="14"/>
                <w:szCs w:val="14"/>
                <w:color w:val="auto"/>
              </w:rPr>
              <w:t>Shell Trading International Limited</w:t>
            </w: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100</w:t>
            </w:r>
          </w:p>
        </w:tc>
        <w:tc>
          <w:tcPr>
            <w:tcW w:w="1720" w:type="dxa"/>
            <w:vAlign w:val="bottom"/>
          </w:tcPr>
          <w:p>
            <w:pPr>
              <w:ind w:left="100"/>
              <w:spacing w:after="0"/>
              <w:rPr>
                <w:sz w:val="20"/>
                <w:szCs w:val="20"/>
                <w:color w:val="auto"/>
              </w:rPr>
            </w:pPr>
            <w:r>
              <w:rPr>
                <w:rFonts w:ascii="Arial" w:cs="Arial" w:eastAsia="Arial" w:hAnsi="Arial"/>
                <w:sz w:val="14"/>
                <w:szCs w:val="14"/>
                <w:color w:val="auto"/>
              </w:rPr>
              <w:t>UK</w:t>
            </w:r>
          </w:p>
        </w:tc>
        <w:tc>
          <w:tcPr>
            <w:tcW w:w="1400" w:type="dxa"/>
            <w:vAlign w:val="bottom"/>
          </w:tcPr>
          <w:p>
            <w:pPr>
              <w:ind w:left="300"/>
              <w:spacing w:after="0"/>
              <w:rPr>
                <w:sz w:val="20"/>
                <w:szCs w:val="20"/>
                <w:color w:val="auto"/>
              </w:rPr>
            </w:pPr>
            <w:r>
              <w:rPr>
                <w:rFonts w:ascii="Arial" w:cs="Arial" w:eastAsia="Arial" w:hAnsi="Arial"/>
                <w:sz w:val="14"/>
                <w:szCs w:val="14"/>
                <w:color w:val="auto"/>
              </w:rPr>
              <w:t>Downstream</w:t>
            </w:r>
          </w:p>
        </w:tc>
        <w:tc>
          <w:tcPr>
            <w:tcW w:w="2620" w:type="dxa"/>
            <w:vAlign w:val="bottom"/>
          </w:tcPr>
          <w:p>
            <w:pPr>
              <w:ind w:left="120"/>
              <w:spacing w:after="0"/>
              <w:rPr>
                <w:sz w:val="20"/>
                <w:szCs w:val="20"/>
                <w:color w:val="auto"/>
              </w:rPr>
            </w:pPr>
            <w:r>
              <w:rPr>
                <w:rFonts w:ascii="Arial" w:cs="Arial" w:eastAsia="Arial" w:hAnsi="Arial"/>
                <w:sz w:val="14"/>
                <w:szCs w:val="14"/>
                <w:color w:val="auto"/>
              </w:rPr>
              <w:t>Ordinary</w:t>
            </w:r>
          </w:p>
        </w:tc>
      </w:tr>
      <w:tr>
        <w:trPr>
          <w:trHeight w:val="162"/>
        </w:trPr>
        <w:tc>
          <w:tcPr>
            <w:tcW w:w="4680" w:type="dxa"/>
            <w:vAlign w:val="bottom"/>
          </w:tcPr>
          <w:p>
            <w:pPr>
              <w:spacing w:after="0"/>
              <w:rPr>
                <w:sz w:val="20"/>
                <w:szCs w:val="20"/>
                <w:color w:val="auto"/>
              </w:rPr>
            </w:pPr>
            <w:r>
              <w:rPr>
                <w:rFonts w:ascii="Arial" w:cs="Arial" w:eastAsia="Arial" w:hAnsi="Arial"/>
                <w:sz w:val="14"/>
                <w:szCs w:val="14"/>
                <w:color w:val="auto"/>
              </w:rPr>
              <w:t>Equilon Enterprises LLC</w:t>
            </w: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100</w:t>
            </w:r>
          </w:p>
        </w:tc>
        <w:tc>
          <w:tcPr>
            <w:tcW w:w="1720" w:type="dxa"/>
            <w:vAlign w:val="bottom"/>
          </w:tcPr>
          <w:p>
            <w:pPr>
              <w:ind w:left="100"/>
              <w:spacing w:after="0"/>
              <w:rPr>
                <w:sz w:val="20"/>
                <w:szCs w:val="20"/>
                <w:color w:val="auto"/>
              </w:rPr>
            </w:pPr>
            <w:r>
              <w:rPr>
                <w:rFonts w:ascii="Arial" w:cs="Arial" w:eastAsia="Arial" w:hAnsi="Arial"/>
                <w:sz w:val="14"/>
                <w:szCs w:val="14"/>
                <w:color w:val="auto"/>
              </w:rPr>
              <w:t>USA</w:t>
            </w:r>
          </w:p>
        </w:tc>
        <w:tc>
          <w:tcPr>
            <w:tcW w:w="1400" w:type="dxa"/>
            <w:vAlign w:val="bottom"/>
          </w:tcPr>
          <w:p>
            <w:pPr>
              <w:ind w:left="300"/>
              <w:spacing w:after="0"/>
              <w:rPr>
                <w:sz w:val="20"/>
                <w:szCs w:val="20"/>
                <w:color w:val="auto"/>
              </w:rPr>
            </w:pPr>
            <w:r>
              <w:rPr>
                <w:rFonts w:ascii="Arial" w:cs="Arial" w:eastAsia="Arial" w:hAnsi="Arial"/>
                <w:sz w:val="14"/>
                <w:szCs w:val="14"/>
                <w:color w:val="auto"/>
              </w:rPr>
              <w:t>Downstream</w:t>
            </w:r>
          </w:p>
        </w:tc>
        <w:tc>
          <w:tcPr>
            <w:tcW w:w="2620" w:type="dxa"/>
            <w:vAlign w:val="bottom"/>
          </w:tcPr>
          <w:p>
            <w:pPr>
              <w:ind w:left="120"/>
              <w:spacing w:after="0"/>
              <w:rPr>
                <w:sz w:val="20"/>
                <w:szCs w:val="20"/>
                <w:color w:val="auto"/>
              </w:rPr>
            </w:pPr>
            <w:r>
              <w:rPr>
                <w:rFonts w:ascii="Arial" w:cs="Arial" w:eastAsia="Arial" w:hAnsi="Arial"/>
                <w:sz w:val="14"/>
                <w:szCs w:val="14"/>
                <w:color w:val="auto"/>
              </w:rPr>
              <w:t>Membership Interest</w:t>
            </w:r>
          </w:p>
        </w:tc>
      </w:tr>
      <w:tr>
        <w:trPr>
          <w:trHeight w:val="162"/>
        </w:trPr>
        <w:tc>
          <w:tcPr>
            <w:tcW w:w="4680" w:type="dxa"/>
            <w:vAlign w:val="bottom"/>
          </w:tcPr>
          <w:p>
            <w:pPr>
              <w:spacing w:after="0"/>
              <w:rPr>
                <w:sz w:val="20"/>
                <w:szCs w:val="20"/>
                <w:color w:val="auto"/>
              </w:rPr>
            </w:pPr>
            <w:r>
              <w:rPr>
                <w:rFonts w:ascii="Arial" w:cs="Arial" w:eastAsia="Arial" w:hAnsi="Arial"/>
                <w:sz w:val="14"/>
                <w:szCs w:val="14"/>
                <w:color w:val="auto"/>
              </w:rPr>
              <w:t>SCOGI, G.P.</w:t>
            </w: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100</w:t>
            </w:r>
          </w:p>
        </w:tc>
        <w:tc>
          <w:tcPr>
            <w:tcW w:w="1720" w:type="dxa"/>
            <w:vAlign w:val="bottom"/>
          </w:tcPr>
          <w:p>
            <w:pPr>
              <w:ind w:left="100"/>
              <w:spacing w:after="0"/>
              <w:rPr>
                <w:sz w:val="20"/>
                <w:szCs w:val="20"/>
                <w:color w:val="auto"/>
              </w:rPr>
            </w:pPr>
            <w:r>
              <w:rPr>
                <w:rFonts w:ascii="Arial" w:cs="Arial" w:eastAsia="Arial" w:hAnsi="Arial"/>
                <w:sz w:val="14"/>
                <w:szCs w:val="14"/>
                <w:color w:val="auto"/>
              </w:rPr>
              <w:t>USA</w:t>
            </w:r>
          </w:p>
        </w:tc>
        <w:tc>
          <w:tcPr>
            <w:tcW w:w="1400" w:type="dxa"/>
            <w:vAlign w:val="bottom"/>
          </w:tcPr>
          <w:p>
            <w:pPr>
              <w:ind w:left="300"/>
              <w:spacing w:after="0"/>
              <w:rPr>
                <w:sz w:val="20"/>
                <w:szCs w:val="20"/>
                <w:color w:val="auto"/>
              </w:rPr>
            </w:pPr>
            <w:r>
              <w:rPr>
                <w:rFonts w:ascii="Arial" w:cs="Arial" w:eastAsia="Arial" w:hAnsi="Arial"/>
                <w:sz w:val="14"/>
                <w:szCs w:val="14"/>
                <w:color w:val="auto"/>
              </w:rPr>
              <w:t>Downstream</w:t>
            </w:r>
          </w:p>
        </w:tc>
        <w:tc>
          <w:tcPr>
            <w:tcW w:w="2620" w:type="dxa"/>
            <w:vAlign w:val="bottom"/>
          </w:tcPr>
          <w:p>
            <w:pPr>
              <w:ind w:left="120"/>
              <w:spacing w:after="0"/>
              <w:rPr>
                <w:sz w:val="20"/>
                <w:szCs w:val="20"/>
                <w:color w:val="auto"/>
              </w:rPr>
            </w:pPr>
            <w:r>
              <w:rPr>
                <w:rFonts w:ascii="Arial" w:cs="Arial" w:eastAsia="Arial" w:hAnsi="Arial"/>
                <w:sz w:val="14"/>
                <w:szCs w:val="14"/>
                <w:color w:val="auto"/>
              </w:rPr>
              <w:t>Equity</w:t>
            </w:r>
          </w:p>
        </w:tc>
      </w:tr>
      <w:tr>
        <w:trPr>
          <w:trHeight w:val="162"/>
        </w:trPr>
        <w:tc>
          <w:tcPr>
            <w:tcW w:w="4680" w:type="dxa"/>
            <w:vAlign w:val="bottom"/>
          </w:tcPr>
          <w:p>
            <w:pPr>
              <w:spacing w:after="0"/>
              <w:rPr>
                <w:sz w:val="20"/>
                <w:szCs w:val="20"/>
                <w:color w:val="auto"/>
              </w:rPr>
            </w:pPr>
            <w:r>
              <w:rPr>
                <w:rFonts w:ascii="Arial" w:cs="Arial" w:eastAsia="Arial" w:hAnsi="Arial"/>
                <w:sz w:val="14"/>
                <w:szCs w:val="14"/>
                <w:color w:val="auto"/>
              </w:rPr>
              <w:t>Shell Chemical LP</w:t>
            </w: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100</w:t>
            </w:r>
          </w:p>
        </w:tc>
        <w:tc>
          <w:tcPr>
            <w:tcW w:w="1720" w:type="dxa"/>
            <w:vAlign w:val="bottom"/>
          </w:tcPr>
          <w:p>
            <w:pPr>
              <w:ind w:left="100"/>
              <w:spacing w:after="0"/>
              <w:rPr>
                <w:sz w:val="20"/>
                <w:szCs w:val="20"/>
                <w:color w:val="auto"/>
              </w:rPr>
            </w:pPr>
            <w:r>
              <w:rPr>
                <w:rFonts w:ascii="Arial" w:cs="Arial" w:eastAsia="Arial" w:hAnsi="Arial"/>
                <w:sz w:val="14"/>
                <w:szCs w:val="14"/>
                <w:color w:val="auto"/>
              </w:rPr>
              <w:t>USA</w:t>
            </w:r>
          </w:p>
        </w:tc>
        <w:tc>
          <w:tcPr>
            <w:tcW w:w="1400" w:type="dxa"/>
            <w:vAlign w:val="bottom"/>
          </w:tcPr>
          <w:p>
            <w:pPr>
              <w:ind w:left="300"/>
              <w:spacing w:after="0"/>
              <w:rPr>
                <w:sz w:val="20"/>
                <w:szCs w:val="20"/>
                <w:color w:val="auto"/>
              </w:rPr>
            </w:pPr>
            <w:r>
              <w:rPr>
                <w:rFonts w:ascii="Arial" w:cs="Arial" w:eastAsia="Arial" w:hAnsi="Arial"/>
                <w:sz w:val="14"/>
                <w:szCs w:val="14"/>
                <w:color w:val="auto"/>
              </w:rPr>
              <w:t>Downstream</w:t>
            </w:r>
          </w:p>
        </w:tc>
        <w:tc>
          <w:tcPr>
            <w:tcW w:w="2620" w:type="dxa"/>
            <w:vAlign w:val="bottom"/>
          </w:tcPr>
          <w:p>
            <w:pPr>
              <w:ind w:left="120"/>
              <w:spacing w:after="0"/>
              <w:rPr>
                <w:sz w:val="20"/>
                <w:szCs w:val="20"/>
                <w:color w:val="auto"/>
              </w:rPr>
            </w:pPr>
            <w:r>
              <w:rPr>
                <w:rFonts w:ascii="Arial" w:cs="Arial" w:eastAsia="Arial" w:hAnsi="Arial"/>
                <w:sz w:val="14"/>
                <w:szCs w:val="14"/>
                <w:color w:val="auto"/>
              </w:rPr>
              <w:t>Partnership Capital</w:t>
            </w:r>
          </w:p>
        </w:tc>
      </w:tr>
      <w:tr>
        <w:trPr>
          <w:trHeight w:val="162"/>
        </w:trPr>
        <w:tc>
          <w:tcPr>
            <w:tcW w:w="4680" w:type="dxa"/>
            <w:vAlign w:val="bottom"/>
          </w:tcPr>
          <w:p>
            <w:pPr>
              <w:spacing w:after="0"/>
              <w:rPr>
                <w:sz w:val="20"/>
                <w:szCs w:val="20"/>
                <w:color w:val="auto"/>
              </w:rPr>
            </w:pPr>
            <w:r>
              <w:rPr>
                <w:rFonts w:ascii="Arial" w:cs="Arial" w:eastAsia="Arial" w:hAnsi="Arial"/>
                <w:sz w:val="14"/>
                <w:szCs w:val="14"/>
                <w:color w:val="auto"/>
              </w:rPr>
              <w:t>Shell Energy North America (US), LP</w:t>
            </w: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100</w:t>
            </w:r>
          </w:p>
        </w:tc>
        <w:tc>
          <w:tcPr>
            <w:tcW w:w="1720" w:type="dxa"/>
            <w:vAlign w:val="bottom"/>
          </w:tcPr>
          <w:p>
            <w:pPr>
              <w:ind w:left="100"/>
              <w:spacing w:after="0"/>
              <w:rPr>
                <w:sz w:val="20"/>
                <w:szCs w:val="20"/>
                <w:color w:val="auto"/>
              </w:rPr>
            </w:pPr>
            <w:r>
              <w:rPr>
                <w:rFonts w:ascii="Arial" w:cs="Arial" w:eastAsia="Arial" w:hAnsi="Arial"/>
                <w:sz w:val="14"/>
                <w:szCs w:val="14"/>
                <w:color w:val="auto"/>
              </w:rPr>
              <w:t>USA</w:t>
            </w:r>
          </w:p>
        </w:tc>
        <w:tc>
          <w:tcPr>
            <w:tcW w:w="1400" w:type="dxa"/>
            <w:vAlign w:val="bottom"/>
          </w:tcPr>
          <w:p>
            <w:pPr>
              <w:ind w:left="300"/>
              <w:spacing w:after="0"/>
              <w:rPr>
                <w:sz w:val="20"/>
                <w:szCs w:val="20"/>
                <w:color w:val="auto"/>
              </w:rPr>
            </w:pPr>
            <w:r>
              <w:rPr>
                <w:rFonts w:ascii="Arial" w:cs="Arial" w:eastAsia="Arial" w:hAnsi="Arial"/>
                <w:sz w:val="14"/>
                <w:szCs w:val="14"/>
                <w:color w:val="auto"/>
              </w:rPr>
              <w:t>Downstream</w:t>
            </w:r>
          </w:p>
        </w:tc>
        <w:tc>
          <w:tcPr>
            <w:tcW w:w="2620" w:type="dxa"/>
            <w:vAlign w:val="bottom"/>
          </w:tcPr>
          <w:p>
            <w:pPr>
              <w:ind w:left="120"/>
              <w:spacing w:after="0"/>
              <w:rPr>
                <w:sz w:val="20"/>
                <w:szCs w:val="20"/>
                <w:color w:val="auto"/>
              </w:rPr>
            </w:pPr>
            <w:r>
              <w:rPr>
                <w:rFonts w:ascii="Arial" w:cs="Arial" w:eastAsia="Arial" w:hAnsi="Arial"/>
                <w:sz w:val="14"/>
                <w:szCs w:val="14"/>
                <w:color w:val="auto"/>
              </w:rPr>
              <w:t>Partnership Capital</w:t>
            </w:r>
          </w:p>
        </w:tc>
      </w:tr>
      <w:tr>
        <w:trPr>
          <w:trHeight w:val="162"/>
        </w:trPr>
        <w:tc>
          <w:tcPr>
            <w:tcW w:w="4680" w:type="dxa"/>
            <w:vAlign w:val="bottom"/>
          </w:tcPr>
          <w:p>
            <w:pPr>
              <w:spacing w:after="0"/>
              <w:rPr>
                <w:sz w:val="20"/>
                <w:szCs w:val="20"/>
                <w:color w:val="auto"/>
              </w:rPr>
            </w:pPr>
            <w:r>
              <w:rPr>
                <w:rFonts w:ascii="Arial" w:cs="Arial" w:eastAsia="Arial" w:hAnsi="Arial"/>
                <w:sz w:val="14"/>
                <w:szCs w:val="14"/>
                <w:color w:val="auto"/>
              </w:rPr>
              <w:t>Shell Trading (US) Company</w:t>
            </w: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100</w:t>
            </w:r>
          </w:p>
        </w:tc>
        <w:tc>
          <w:tcPr>
            <w:tcW w:w="1720" w:type="dxa"/>
            <w:vAlign w:val="bottom"/>
          </w:tcPr>
          <w:p>
            <w:pPr>
              <w:ind w:left="100"/>
              <w:spacing w:after="0"/>
              <w:rPr>
                <w:sz w:val="20"/>
                <w:szCs w:val="20"/>
                <w:color w:val="auto"/>
              </w:rPr>
            </w:pPr>
            <w:r>
              <w:rPr>
                <w:rFonts w:ascii="Arial" w:cs="Arial" w:eastAsia="Arial" w:hAnsi="Arial"/>
                <w:sz w:val="14"/>
                <w:szCs w:val="14"/>
                <w:color w:val="auto"/>
              </w:rPr>
              <w:t>USA</w:t>
            </w:r>
          </w:p>
        </w:tc>
        <w:tc>
          <w:tcPr>
            <w:tcW w:w="1400" w:type="dxa"/>
            <w:vAlign w:val="bottom"/>
          </w:tcPr>
          <w:p>
            <w:pPr>
              <w:ind w:left="300"/>
              <w:spacing w:after="0"/>
              <w:rPr>
                <w:sz w:val="20"/>
                <w:szCs w:val="20"/>
                <w:color w:val="auto"/>
              </w:rPr>
            </w:pPr>
            <w:r>
              <w:rPr>
                <w:rFonts w:ascii="Arial" w:cs="Arial" w:eastAsia="Arial" w:hAnsi="Arial"/>
                <w:sz w:val="14"/>
                <w:szCs w:val="14"/>
                <w:color w:val="auto"/>
              </w:rPr>
              <w:t>Downstream</w:t>
            </w:r>
          </w:p>
        </w:tc>
        <w:tc>
          <w:tcPr>
            <w:tcW w:w="2620" w:type="dxa"/>
            <w:vAlign w:val="bottom"/>
          </w:tcPr>
          <w:p>
            <w:pPr>
              <w:ind w:left="120"/>
              <w:spacing w:after="0"/>
              <w:rPr>
                <w:sz w:val="20"/>
                <w:szCs w:val="20"/>
                <w:color w:val="auto"/>
              </w:rPr>
            </w:pPr>
            <w:r>
              <w:rPr>
                <w:rFonts w:ascii="Arial" w:cs="Arial" w:eastAsia="Arial" w:hAnsi="Arial"/>
                <w:sz w:val="14"/>
                <w:szCs w:val="14"/>
                <w:color w:val="auto"/>
              </w:rPr>
              <w:t>Ordinary</w:t>
            </w:r>
          </w:p>
        </w:tc>
      </w:tr>
      <w:tr>
        <w:trPr>
          <w:trHeight w:val="162"/>
        </w:trPr>
        <w:tc>
          <w:tcPr>
            <w:tcW w:w="4680" w:type="dxa"/>
            <w:vAlign w:val="bottom"/>
          </w:tcPr>
          <w:p>
            <w:pPr>
              <w:spacing w:after="0"/>
              <w:rPr>
                <w:sz w:val="20"/>
                <w:szCs w:val="20"/>
                <w:color w:val="auto"/>
              </w:rPr>
            </w:pPr>
            <w:r>
              <w:rPr>
                <w:rFonts w:ascii="Arial" w:cs="Arial" w:eastAsia="Arial" w:hAnsi="Arial"/>
                <w:sz w:val="14"/>
                <w:szCs w:val="14"/>
                <w:color w:val="auto"/>
              </w:rPr>
              <w:t>SOPC Holdings East LLC</w:t>
            </w: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100</w:t>
            </w:r>
          </w:p>
        </w:tc>
        <w:tc>
          <w:tcPr>
            <w:tcW w:w="1720" w:type="dxa"/>
            <w:vAlign w:val="bottom"/>
          </w:tcPr>
          <w:p>
            <w:pPr>
              <w:ind w:left="100"/>
              <w:spacing w:after="0"/>
              <w:rPr>
                <w:sz w:val="20"/>
                <w:szCs w:val="20"/>
                <w:color w:val="auto"/>
              </w:rPr>
            </w:pPr>
            <w:r>
              <w:rPr>
                <w:rFonts w:ascii="Arial" w:cs="Arial" w:eastAsia="Arial" w:hAnsi="Arial"/>
                <w:sz w:val="14"/>
                <w:szCs w:val="14"/>
                <w:color w:val="auto"/>
              </w:rPr>
              <w:t>USA</w:t>
            </w:r>
          </w:p>
        </w:tc>
        <w:tc>
          <w:tcPr>
            <w:tcW w:w="1400" w:type="dxa"/>
            <w:vAlign w:val="bottom"/>
          </w:tcPr>
          <w:p>
            <w:pPr>
              <w:ind w:left="300"/>
              <w:spacing w:after="0"/>
              <w:rPr>
                <w:sz w:val="20"/>
                <w:szCs w:val="20"/>
                <w:color w:val="auto"/>
              </w:rPr>
            </w:pPr>
            <w:r>
              <w:rPr>
                <w:rFonts w:ascii="Arial" w:cs="Arial" w:eastAsia="Arial" w:hAnsi="Arial"/>
                <w:sz w:val="14"/>
                <w:szCs w:val="14"/>
                <w:color w:val="auto"/>
              </w:rPr>
              <w:t>Downstream</w:t>
            </w:r>
          </w:p>
        </w:tc>
        <w:tc>
          <w:tcPr>
            <w:tcW w:w="2620" w:type="dxa"/>
            <w:vAlign w:val="bottom"/>
          </w:tcPr>
          <w:p>
            <w:pPr>
              <w:ind w:left="120"/>
              <w:spacing w:after="0"/>
              <w:rPr>
                <w:sz w:val="20"/>
                <w:szCs w:val="20"/>
                <w:color w:val="auto"/>
              </w:rPr>
            </w:pPr>
            <w:r>
              <w:rPr>
                <w:rFonts w:ascii="Arial" w:cs="Arial" w:eastAsia="Arial" w:hAnsi="Arial"/>
                <w:sz w:val="14"/>
                <w:szCs w:val="14"/>
                <w:color w:val="auto"/>
              </w:rPr>
              <w:t>Membership Interest</w:t>
            </w:r>
          </w:p>
        </w:tc>
      </w:tr>
      <w:tr>
        <w:trPr>
          <w:trHeight w:val="162"/>
        </w:trPr>
        <w:tc>
          <w:tcPr>
            <w:tcW w:w="4680" w:type="dxa"/>
            <w:vAlign w:val="bottom"/>
          </w:tcPr>
          <w:p>
            <w:pPr>
              <w:spacing w:after="0"/>
              <w:rPr>
                <w:sz w:val="20"/>
                <w:szCs w:val="20"/>
                <w:color w:val="auto"/>
              </w:rPr>
            </w:pPr>
            <w:r>
              <w:rPr>
                <w:rFonts w:ascii="Arial" w:cs="Arial" w:eastAsia="Arial" w:hAnsi="Arial"/>
                <w:sz w:val="14"/>
                <w:szCs w:val="14"/>
                <w:color w:val="auto"/>
              </w:rPr>
              <w:t>SOPC Holdings West LLC</w:t>
            </w: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100</w:t>
            </w:r>
          </w:p>
        </w:tc>
        <w:tc>
          <w:tcPr>
            <w:tcW w:w="1720" w:type="dxa"/>
            <w:vAlign w:val="bottom"/>
          </w:tcPr>
          <w:p>
            <w:pPr>
              <w:ind w:left="100"/>
              <w:spacing w:after="0"/>
              <w:rPr>
                <w:sz w:val="20"/>
                <w:szCs w:val="20"/>
                <w:color w:val="auto"/>
              </w:rPr>
            </w:pPr>
            <w:r>
              <w:rPr>
                <w:rFonts w:ascii="Arial" w:cs="Arial" w:eastAsia="Arial" w:hAnsi="Arial"/>
                <w:sz w:val="14"/>
                <w:szCs w:val="14"/>
                <w:color w:val="auto"/>
              </w:rPr>
              <w:t>USA</w:t>
            </w:r>
          </w:p>
        </w:tc>
        <w:tc>
          <w:tcPr>
            <w:tcW w:w="1400" w:type="dxa"/>
            <w:vAlign w:val="bottom"/>
          </w:tcPr>
          <w:p>
            <w:pPr>
              <w:ind w:left="300"/>
              <w:spacing w:after="0"/>
              <w:rPr>
                <w:sz w:val="20"/>
                <w:szCs w:val="20"/>
                <w:color w:val="auto"/>
              </w:rPr>
            </w:pPr>
            <w:r>
              <w:rPr>
                <w:rFonts w:ascii="Arial" w:cs="Arial" w:eastAsia="Arial" w:hAnsi="Arial"/>
                <w:sz w:val="14"/>
                <w:szCs w:val="14"/>
                <w:color w:val="auto"/>
              </w:rPr>
              <w:t>Downstream</w:t>
            </w:r>
          </w:p>
        </w:tc>
        <w:tc>
          <w:tcPr>
            <w:tcW w:w="2620" w:type="dxa"/>
            <w:vAlign w:val="bottom"/>
          </w:tcPr>
          <w:p>
            <w:pPr>
              <w:ind w:left="120"/>
              <w:spacing w:after="0"/>
              <w:rPr>
                <w:sz w:val="20"/>
                <w:szCs w:val="20"/>
                <w:color w:val="auto"/>
              </w:rPr>
            </w:pPr>
            <w:r>
              <w:rPr>
                <w:rFonts w:ascii="Arial" w:cs="Arial" w:eastAsia="Arial" w:hAnsi="Arial"/>
                <w:sz w:val="14"/>
                <w:szCs w:val="14"/>
                <w:color w:val="auto"/>
              </w:rPr>
              <w:t>Ordinary</w:t>
            </w:r>
          </w:p>
        </w:tc>
      </w:tr>
      <w:tr>
        <w:trPr>
          <w:trHeight w:val="168"/>
        </w:trPr>
        <w:tc>
          <w:tcPr>
            <w:tcW w:w="4680" w:type="dxa"/>
            <w:vAlign w:val="bottom"/>
          </w:tcPr>
          <w:p>
            <w:pPr>
              <w:spacing w:after="0"/>
              <w:rPr>
                <w:sz w:val="20"/>
                <w:szCs w:val="20"/>
                <w:color w:val="auto"/>
              </w:rPr>
            </w:pPr>
            <w:r>
              <w:rPr>
                <w:rFonts w:ascii="Arial" w:cs="Arial" w:eastAsia="Arial" w:hAnsi="Arial"/>
                <w:sz w:val="14"/>
                <w:szCs w:val="14"/>
                <w:color w:val="auto"/>
              </w:rPr>
              <w:t>TMR Company</w:t>
            </w: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100</w:t>
            </w:r>
          </w:p>
        </w:tc>
        <w:tc>
          <w:tcPr>
            <w:tcW w:w="1720" w:type="dxa"/>
            <w:vAlign w:val="bottom"/>
          </w:tcPr>
          <w:p>
            <w:pPr>
              <w:ind w:left="100"/>
              <w:spacing w:after="0"/>
              <w:rPr>
                <w:sz w:val="20"/>
                <w:szCs w:val="20"/>
                <w:color w:val="auto"/>
              </w:rPr>
            </w:pPr>
            <w:r>
              <w:rPr>
                <w:rFonts w:ascii="Arial" w:cs="Arial" w:eastAsia="Arial" w:hAnsi="Arial"/>
                <w:sz w:val="14"/>
                <w:szCs w:val="14"/>
                <w:color w:val="auto"/>
              </w:rPr>
              <w:t>USA</w:t>
            </w:r>
          </w:p>
        </w:tc>
        <w:tc>
          <w:tcPr>
            <w:tcW w:w="1400" w:type="dxa"/>
            <w:vAlign w:val="bottom"/>
          </w:tcPr>
          <w:p>
            <w:pPr>
              <w:ind w:left="300"/>
              <w:spacing w:after="0"/>
              <w:rPr>
                <w:sz w:val="20"/>
                <w:szCs w:val="20"/>
                <w:color w:val="auto"/>
              </w:rPr>
            </w:pPr>
            <w:r>
              <w:rPr>
                <w:rFonts w:ascii="Arial" w:cs="Arial" w:eastAsia="Arial" w:hAnsi="Arial"/>
                <w:sz w:val="14"/>
                <w:szCs w:val="14"/>
                <w:color w:val="auto"/>
              </w:rPr>
              <w:t>Downstream</w:t>
            </w:r>
          </w:p>
        </w:tc>
        <w:tc>
          <w:tcPr>
            <w:tcW w:w="2620" w:type="dxa"/>
            <w:vAlign w:val="bottom"/>
          </w:tcPr>
          <w:p>
            <w:pPr>
              <w:ind w:left="120"/>
              <w:spacing w:after="0"/>
              <w:rPr>
                <w:sz w:val="20"/>
                <w:szCs w:val="20"/>
                <w:color w:val="auto"/>
              </w:rPr>
            </w:pPr>
            <w:r>
              <w:rPr>
                <w:rFonts w:ascii="Arial" w:cs="Arial" w:eastAsia="Arial" w:hAnsi="Arial"/>
                <w:sz w:val="14"/>
                <w:szCs w:val="14"/>
                <w:color w:val="auto"/>
              </w:rPr>
              <w:t>Ordinary</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8890"/>
            <wp:wrapNone/>
            <wp:docPr id="577" name="Picture 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
                    <pic:cNvPicPr>
                      <a:picLocks noChangeAspect="1" noChangeArrowheads="1"/>
                    </pic:cNvPicPr>
                  </pic:nvPicPr>
                  <pic:blipFill>
                    <a:blip r:embed="rId58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rPr>
          <w:sz w:val="20"/>
          <w:szCs w:val="20"/>
          <w:color w:val="auto"/>
        </w:rPr>
      </w:pPr>
      <w:r>
        <w:rPr>
          <w:rFonts w:ascii="Arial" w:cs="Arial" w:eastAsia="Arial" w:hAnsi="Arial"/>
          <w:sz w:val="11"/>
          <w:szCs w:val="11"/>
          <w:color w:val="auto"/>
        </w:rPr>
        <w:t>[A] Non-voting class of share.</w:t>
      </w:r>
    </w:p>
    <w:p>
      <w:pPr>
        <w:sectPr>
          <w:pgSz w:w="11900" w:h="16838" w:orient="portrait"/>
          <w:cols w:equalWidth="0" w:num="1">
            <w:col w:w="11420"/>
          </w:cols>
          <w:pgMar w:left="240" w:top="288" w:right="239" w:bottom="1440" w:gutter="0" w:footer="0" w:header="0"/>
        </w:sectPr>
      </w:pPr>
    </w:p>
    <w:bookmarkStart w:id="194" w:name="page195"/>
    <w:bookmarkEnd w:id="194"/>
    <w:tbl>
      <w:tblPr>
        <w:tblLayout w:type="fixed"/>
        <w:tblInd w:w="0" w:type="dxa"/>
        <w:tblCellMar>
          <w:top w:w="0" w:type="dxa"/>
          <w:left w:w="0" w:type="dxa"/>
          <w:bottom w:w="0" w:type="dxa"/>
          <w:right w:w="0" w:type="dxa"/>
        </w:tblCellMar>
      </w:tblPr>
      <w:tr>
        <w:trPr>
          <w:trHeight w:val="565"/>
        </w:trPr>
        <w:tc>
          <w:tcPr>
            <w:tcW w:w="43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40" w:type="dxa"/>
            <w:vAlign w:val="bottom"/>
            <w:shd w:val="clear" w:color="auto" w:fill="FF8B00"/>
          </w:tcPr>
          <w:p>
            <w:pPr>
              <w:spacing w:after="0"/>
              <w:rPr>
                <w:sz w:val="24"/>
                <w:szCs w:val="24"/>
                <w:color w:val="auto"/>
              </w:rPr>
            </w:pPr>
          </w:p>
        </w:tc>
        <w:tc>
          <w:tcPr>
            <w:tcW w:w="3100" w:type="dxa"/>
            <w:vAlign w:val="bottom"/>
            <w:gridSpan w:val="2"/>
            <w:shd w:val="clear" w:color="auto" w:fill="FF8B00"/>
          </w:tcPr>
          <w:p>
            <w:pPr>
              <w:ind w:left="940"/>
              <w:spacing w:after="0"/>
              <w:rPr>
                <w:sz w:val="20"/>
                <w:szCs w:val="20"/>
                <w:color w:val="auto"/>
              </w:rPr>
            </w:pPr>
            <w:r>
              <w:rPr>
                <w:rFonts w:ascii="Arial" w:cs="Arial" w:eastAsia="Arial" w:hAnsi="Arial"/>
                <w:sz w:val="13"/>
                <w:szCs w:val="13"/>
                <w:color w:val="333333"/>
              </w:rPr>
              <w:t>ADDITIONAL INFORMATION</w:t>
            </w:r>
          </w:p>
        </w:tc>
        <w:tc>
          <w:tcPr>
            <w:tcW w:w="2580" w:type="dxa"/>
            <w:vAlign w:val="bottom"/>
            <w:shd w:val="clear" w:color="auto" w:fill="FF8B00"/>
          </w:tcPr>
          <w:p>
            <w:pPr>
              <w:ind w:left="2040"/>
              <w:spacing w:after="0"/>
              <w:rPr>
                <w:sz w:val="20"/>
                <w:szCs w:val="20"/>
                <w:color w:val="auto"/>
              </w:rPr>
            </w:pPr>
            <w:r>
              <w:rPr>
                <w:rFonts w:ascii="Arial" w:cs="Arial" w:eastAsia="Arial" w:hAnsi="Arial"/>
                <w:sz w:val="11"/>
                <w:szCs w:val="11"/>
                <w:b w:val="1"/>
                <w:bCs w:val="1"/>
                <w:color w:val="333333"/>
              </w:rPr>
              <w:t>E3</w:t>
            </w:r>
          </w:p>
        </w:tc>
        <w:tc>
          <w:tcPr>
            <w:tcW w:w="0" w:type="dxa"/>
            <w:vAlign w:val="bottom"/>
          </w:tcPr>
          <w:p>
            <w:pPr>
              <w:spacing w:after="0"/>
              <w:rPr>
                <w:sz w:val="1"/>
                <w:szCs w:val="1"/>
                <w:color w:val="auto"/>
              </w:rPr>
            </w:pPr>
          </w:p>
        </w:tc>
      </w:tr>
      <w:tr>
        <w:trPr>
          <w:trHeight w:val="165"/>
        </w:trPr>
        <w:tc>
          <w:tcPr>
            <w:tcW w:w="4340" w:type="dxa"/>
            <w:vAlign w:val="bottom"/>
            <w:vMerge w:val="restart"/>
          </w:tcPr>
          <w:p>
            <w:pPr>
              <w:spacing w:after="0"/>
              <w:rPr>
                <w:sz w:val="20"/>
                <w:szCs w:val="20"/>
                <w:color w:val="auto"/>
              </w:rPr>
            </w:pPr>
            <w:r>
              <w:rPr>
                <w:rFonts w:ascii="Arial" w:cs="Arial" w:eastAsia="Arial" w:hAnsi="Arial"/>
                <w:sz w:val="11"/>
                <w:szCs w:val="11"/>
                <w:color w:val="auto"/>
              </w:rPr>
              <w:t>SHELL ANNUAL REPORT AND FORM 20-F 2014</w:t>
            </w:r>
          </w:p>
        </w:tc>
        <w:tc>
          <w:tcPr>
            <w:tcW w:w="1260" w:type="dxa"/>
            <w:vAlign w:val="bottom"/>
          </w:tcPr>
          <w:p>
            <w:pPr>
              <w:spacing w:after="0"/>
              <w:rPr>
                <w:sz w:val="14"/>
                <w:szCs w:val="14"/>
                <w:color w:val="auto"/>
              </w:rPr>
            </w:pPr>
          </w:p>
        </w:tc>
        <w:tc>
          <w:tcPr>
            <w:tcW w:w="140" w:type="dxa"/>
            <w:vAlign w:val="bottom"/>
            <w:shd w:val="clear" w:color="auto" w:fill="FF8B00"/>
          </w:tcPr>
          <w:p>
            <w:pPr>
              <w:spacing w:after="0"/>
              <w:rPr>
                <w:sz w:val="14"/>
                <w:szCs w:val="14"/>
                <w:color w:val="auto"/>
              </w:rPr>
            </w:pPr>
          </w:p>
        </w:tc>
        <w:tc>
          <w:tcPr>
            <w:tcW w:w="1720" w:type="dxa"/>
            <w:vAlign w:val="bottom"/>
            <w:shd w:val="clear" w:color="auto" w:fill="FF8B00"/>
          </w:tcPr>
          <w:p>
            <w:pPr>
              <w:spacing w:after="0"/>
              <w:rPr>
                <w:sz w:val="14"/>
                <w:szCs w:val="14"/>
                <w:color w:val="auto"/>
              </w:rPr>
            </w:pPr>
          </w:p>
        </w:tc>
        <w:tc>
          <w:tcPr>
            <w:tcW w:w="1380" w:type="dxa"/>
            <w:vAlign w:val="bottom"/>
            <w:shd w:val="clear" w:color="auto" w:fill="FF8B00"/>
          </w:tcPr>
          <w:p>
            <w:pPr>
              <w:spacing w:after="0"/>
              <w:rPr>
                <w:sz w:val="14"/>
                <w:szCs w:val="14"/>
                <w:color w:val="auto"/>
              </w:rPr>
            </w:pPr>
          </w:p>
        </w:tc>
        <w:tc>
          <w:tcPr>
            <w:tcW w:w="2580" w:type="dxa"/>
            <w:vAlign w:val="bottom"/>
            <w:shd w:val="clear" w:color="auto" w:fill="FF8B00"/>
          </w:tcPr>
          <w:p>
            <w:pPr>
              <w:spacing w:after="0"/>
              <w:rPr>
                <w:sz w:val="14"/>
                <w:szCs w:val="14"/>
                <w:color w:val="auto"/>
              </w:rPr>
            </w:pPr>
          </w:p>
        </w:tc>
        <w:tc>
          <w:tcPr>
            <w:tcW w:w="0" w:type="dxa"/>
            <w:vAlign w:val="bottom"/>
          </w:tcPr>
          <w:p>
            <w:pPr>
              <w:spacing w:after="0"/>
              <w:rPr>
                <w:sz w:val="1"/>
                <w:szCs w:val="1"/>
                <w:color w:val="auto"/>
              </w:rPr>
            </w:pPr>
          </w:p>
        </w:tc>
      </w:tr>
      <w:tr>
        <w:trPr>
          <w:trHeight w:val="116"/>
        </w:trPr>
        <w:tc>
          <w:tcPr>
            <w:tcW w:w="4340" w:type="dxa"/>
            <w:vAlign w:val="bottom"/>
            <w:vMerge w:val="continue"/>
          </w:tcPr>
          <w:p>
            <w:pPr>
              <w:spacing w:after="0"/>
              <w:rPr>
                <w:sz w:val="10"/>
                <w:szCs w:val="10"/>
                <w:color w:val="auto"/>
              </w:rPr>
            </w:pPr>
          </w:p>
        </w:tc>
        <w:tc>
          <w:tcPr>
            <w:tcW w:w="12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720" w:type="dxa"/>
            <w:vAlign w:val="bottom"/>
          </w:tcPr>
          <w:p>
            <w:pPr>
              <w:ind w:left="940"/>
              <w:spacing w:after="0" w:line="116" w:lineRule="exact"/>
              <w:rPr>
                <w:sz w:val="20"/>
                <w:szCs w:val="20"/>
                <w:color w:val="auto"/>
              </w:rPr>
            </w:pPr>
            <w:r>
              <w:rPr>
                <w:rFonts w:ascii="Arial" w:cs="Arial" w:eastAsia="Arial" w:hAnsi="Arial"/>
                <w:sz w:val="11"/>
                <w:szCs w:val="11"/>
                <w:color w:val="auto"/>
              </w:rPr>
              <w:t>EXHIBIT 8</w:t>
            </w:r>
          </w:p>
        </w:tc>
        <w:tc>
          <w:tcPr>
            <w:tcW w:w="1380" w:type="dxa"/>
            <w:vAlign w:val="bottom"/>
          </w:tcPr>
          <w:p>
            <w:pPr>
              <w:spacing w:after="0"/>
              <w:rPr>
                <w:sz w:val="10"/>
                <w:szCs w:val="10"/>
                <w:color w:val="auto"/>
              </w:rPr>
            </w:pPr>
          </w:p>
        </w:tc>
        <w:tc>
          <w:tcPr>
            <w:tcW w:w="2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1"/>
        </w:trPr>
        <w:tc>
          <w:tcPr>
            <w:tcW w:w="4340" w:type="dxa"/>
            <w:vAlign w:val="bottom"/>
            <w:tcBorders>
              <w:bottom w:val="single" w:sz="8" w:color="auto"/>
            </w:tcBorders>
          </w:tcPr>
          <w:p>
            <w:pPr>
              <w:spacing w:after="0" w:line="141" w:lineRule="exact"/>
              <w:rPr>
                <w:sz w:val="20"/>
                <w:szCs w:val="20"/>
                <w:color w:val="auto"/>
              </w:rPr>
            </w:pPr>
            <w:r>
              <w:rPr>
                <w:rFonts w:ascii="Arial" w:cs="Arial" w:eastAsia="Arial" w:hAnsi="Arial"/>
                <w:sz w:val="13"/>
                <w:szCs w:val="13"/>
                <w:color w:val="auto"/>
              </w:rPr>
              <w:t>Company name</w:t>
            </w:r>
          </w:p>
        </w:tc>
        <w:tc>
          <w:tcPr>
            <w:tcW w:w="1400" w:type="dxa"/>
            <w:vAlign w:val="bottom"/>
            <w:tcBorders>
              <w:bottom w:val="single" w:sz="8" w:color="auto"/>
            </w:tcBorders>
            <w:gridSpan w:val="2"/>
          </w:tcPr>
          <w:p>
            <w:pPr>
              <w:jc w:val="right"/>
              <w:ind w:right="40"/>
              <w:spacing w:after="0" w:line="141" w:lineRule="exact"/>
              <w:rPr>
                <w:sz w:val="20"/>
                <w:szCs w:val="20"/>
                <w:color w:val="auto"/>
              </w:rPr>
            </w:pPr>
            <w:r>
              <w:rPr>
                <w:rFonts w:ascii="Arial" w:cs="Arial" w:eastAsia="Arial" w:hAnsi="Arial"/>
                <w:sz w:val="13"/>
                <w:szCs w:val="13"/>
                <w:color w:val="auto"/>
              </w:rPr>
              <w:t>%</w:t>
            </w:r>
          </w:p>
        </w:tc>
        <w:tc>
          <w:tcPr>
            <w:tcW w:w="1720" w:type="dxa"/>
            <w:vAlign w:val="bottom"/>
            <w:tcBorders>
              <w:bottom w:val="single" w:sz="8" w:color="auto"/>
            </w:tcBorders>
          </w:tcPr>
          <w:p>
            <w:pPr>
              <w:ind w:left="60"/>
              <w:spacing w:after="0" w:line="141" w:lineRule="exact"/>
              <w:rPr>
                <w:sz w:val="20"/>
                <w:szCs w:val="20"/>
                <w:color w:val="auto"/>
              </w:rPr>
            </w:pPr>
            <w:r>
              <w:rPr>
                <w:rFonts w:ascii="Arial" w:cs="Arial" w:eastAsia="Arial" w:hAnsi="Arial"/>
                <w:sz w:val="13"/>
                <w:szCs w:val="13"/>
                <w:color w:val="auto"/>
              </w:rPr>
              <w:t>Country of incorporation</w:t>
            </w:r>
          </w:p>
        </w:tc>
        <w:tc>
          <w:tcPr>
            <w:tcW w:w="1380" w:type="dxa"/>
            <w:vAlign w:val="bottom"/>
            <w:tcBorders>
              <w:bottom w:val="single" w:sz="8" w:color="auto"/>
            </w:tcBorders>
          </w:tcPr>
          <w:p>
            <w:pPr>
              <w:ind w:left="260"/>
              <w:spacing w:after="0" w:line="141" w:lineRule="exact"/>
              <w:rPr>
                <w:sz w:val="20"/>
                <w:szCs w:val="20"/>
                <w:color w:val="auto"/>
              </w:rPr>
            </w:pPr>
            <w:r>
              <w:rPr>
                <w:rFonts w:ascii="Arial" w:cs="Arial" w:eastAsia="Arial" w:hAnsi="Arial"/>
                <w:sz w:val="13"/>
                <w:szCs w:val="13"/>
                <w:color w:val="auto"/>
              </w:rPr>
              <w:t>Principal activities</w:t>
            </w:r>
          </w:p>
        </w:tc>
        <w:tc>
          <w:tcPr>
            <w:tcW w:w="2580" w:type="dxa"/>
            <w:vAlign w:val="bottom"/>
            <w:tcBorders>
              <w:bottom w:val="single" w:sz="8" w:color="auto"/>
            </w:tcBorders>
          </w:tcPr>
          <w:p>
            <w:pPr>
              <w:ind w:left="100"/>
              <w:spacing w:after="0" w:line="141" w:lineRule="exact"/>
              <w:rPr>
                <w:sz w:val="20"/>
                <w:szCs w:val="20"/>
                <w:color w:val="auto"/>
              </w:rPr>
            </w:pPr>
            <w:r>
              <w:rPr>
                <w:rFonts w:ascii="Arial" w:cs="Arial" w:eastAsia="Arial" w:hAnsi="Arial"/>
                <w:sz w:val="13"/>
                <w:szCs w:val="13"/>
                <w:color w:val="auto"/>
              </w:rPr>
              <w:t>Class of shares held</w:t>
            </w:r>
          </w:p>
        </w:tc>
        <w:tc>
          <w:tcPr>
            <w:tcW w:w="0" w:type="dxa"/>
            <w:vAlign w:val="bottom"/>
          </w:tcPr>
          <w:p>
            <w:pPr>
              <w:spacing w:after="0"/>
              <w:rPr>
                <w:sz w:val="1"/>
                <w:szCs w:val="1"/>
                <w:color w:val="auto"/>
              </w:rPr>
            </w:pPr>
          </w:p>
        </w:tc>
      </w:tr>
      <w:tr>
        <w:trPr>
          <w:trHeight w:val="160"/>
        </w:trPr>
        <w:tc>
          <w:tcPr>
            <w:tcW w:w="4340" w:type="dxa"/>
            <w:vAlign w:val="bottom"/>
          </w:tcPr>
          <w:p>
            <w:pPr>
              <w:spacing w:after="0"/>
              <w:rPr>
                <w:sz w:val="20"/>
                <w:szCs w:val="20"/>
                <w:color w:val="auto"/>
              </w:rPr>
            </w:pPr>
            <w:r>
              <w:rPr>
                <w:rFonts w:ascii="Arial" w:cs="Arial" w:eastAsia="Arial" w:hAnsi="Arial"/>
                <w:sz w:val="14"/>
                <w:szCs w:val="14"/>
                <w:color w:val="auto"/>
              </w:rPr>
              <w:t>Shell Oman Trading Limited</w:t>
            </w:r>
          </w:p>
        </w:tc>
        <w:tc>
          <w:tcPr>
            <w:tcW w:w="1400" w:type="dxa"/>
            <w:vAlign w:val="bottom"/>
            <w:gridSpan w:val="2"/>
          </w:tcPr>
          <w:p>
            <w:pPr>
              <w:jc w:val="right"/>
              <w:ind w:right="40"/>
              <w:spacing w:after="0"/>
              <w:rPr>
                <w:sz w:val="20"/>
                <w:szCs w:val="20"/>
                <w:color w:val="auto"/>
              </w:rPr>
            </w:pPr>
            <w:r>
              <w:rPr>
                <w:rFonts w:ascii="Arial" w:cs="Arial" w:eastAsia="Arial" w:hAnsi="Arial"/>
                <w:sz w:val="14"/>
                <w:szCs w:val="14"/>
                <w:color w:val="auto"/>
              </w:rPr>
              <w:t>100</w:t>
            </w:r>
          </w:p>
        </w:tc>
        <w:tc>
          <w:tcPr>
            <w:tcW w:w="1720" w:type="dxa"/>
            <w:vAlign w:val="bottom"/>
          </w:tcPr>
          <w:p>
            <w:pPr>
              <w:ind w:left="60"/>
              <w:spacing w:after="0"/>
              <w:rPr>
                <w:sz w:val="20"/>
                <w:szCs w:val="20"/>
                <w:color w:val="auto"/>
              </w:rPr>
            </w:pPr>
            <w:r>
              <w:rPr>
                <w:rFonts w:ascii="Arial" w:cs="Arial" w:eastAsia="Arial" w:hAnsi="Arial"/>
                <w:sz w:val="14"/>
                <w:szCs w:val="14"/>
                <w:color w:val="auto"/>
              </w:rPr>
              <w:t>Bermuda</w:t>
            </w:r>
          </w:p>
        </w:tc>
        <w:tc>
          <w:tcPr>
            <w:tcW w:w="1380" w:type="dxa"/>
            <w:vAlign w:val="bottom"/>
          </w:tcPr>
          <w:p>
            <w:pPr>
              <w:ind w:left="260"/>
              <w:spacing w:after="0"/>
              <w:rPr>
                <w:sz w:val="20"/>
                <w:szCs w:val="20"/>
                <w:color w:val="auto"/>
              </w:rPr>
            </w:pPr>
            <w:r>
              <w:rPr>
                <w:rFonts w:ascii="Arial" w:cs="Arial" w:eastAsia="Arial" w:hAnsi="Arial"/>
                <w:sz w:val="14"/>
                <w:szCs w:val="14"/>
                <w:color w:val="auto"/>
              </w:rPr>
              <w:t>Corporate</w:t>
            </w:r>
          </w:p>
        </w:tc>
        <w:tc>
          <w:tcPr>
            <w:tcW w:w="2580" w:type="dxa"/>
            <w:vAlign w:val="bottom"/>
          </w:tcPr>
          <w:p>
            <w:pPr>
              <w:ind w:left="100"/>
              <w:spacing w:after="0"/>
              <w:rPr>
                <w:sz w:val="20"/>
                <w:szCs w:val="20"/>
                <w:color w:val="auto"/>
              </w:rPr>
            </w:pPr>
            <w:r>
              <w:rPr>
                <w:rFonts w:ascii="Arial" w:cs="Arial" w:eastAsia="Arial" w:hAnsi="Arial"/>
                <w:sz w:val="14"/>
                <w:szCs w:val="14"/>
                <w:color w:val="auto"/>
              </w:rPr>
              <w:t>Ordinary</w:t>
            </w:r>
          </w:p>
        </w:tc>
        <w:tc>
          <w:tcPr>
            <w:tcW w:w="0" w:type="dxa"/>
            <w:vAlign w:val="bottom"/>
          </w:tcPr>
          <w:p>
            <w:pPr>
              <w:spacing w:after="0"/>
              <w:rPr>
                <w:sz w:val="1"/>
                <w:szCs w:val="1"/>
                <w:color w:val="auto"/>
              </w:rPr>
            </w:pPr>
          </w:p>
        </w:tc>
      </w:tr>
      <w:tr>
        <w:trPr>
          <w:trHeight w:val="162"/>
        </w:trPr>
        <w:tc>
          <w:tcPr>
            <w:tcW w:w="4340" w:type="dxa"/>
            <w:vAlign w:val="bottom"/>
          </w:tcPr>
          <w:p>
            <w:pPr>
              <w:spacing w:after="0"/>
              <w:rPr>
                <w:sz w:val="20"/>
                <w:szCs w:val="20"/>
                <w:color w:val="auto"/>
              </w:rPr>
            </w:pPr>
            <w:r>
              <w:rPr>
                <w:rFonts w:ascii="Arial" w:cs="Arial" w:eastAsia="Arial" w:hAnsi="Arial"/>
                <w:sz w:val="14"/>
                <w:szCs w:val="14"/>
                <w:color w:val="auto"/>
              </w:rPr>
              <w:t>Solen Insurance Limited</w:t>
            </w:r>
          </w:p>
        </w:tc>
        <w:tc>
          <w:tcPr>
            <w:tcW w:w="1400" w:type="dxa"/>
            <w:vAlign w:val="bottom"/>
            <w:gridSpan w:val="2"/>
          </w:tcPr>
          <w:p>
            <w:pPr>
              <w:jc w:val="right"/>
              <w:ind w:right="40"/>
              <w:spacing w:after="0"/>
              <w:rPr>
                <w:sz w:val="20"/>
                <w:szCs w:val="20"/>
                <w:color w:val="auto"/>
              </w:rPr>
            </w:pPr>
            <w:r>
              <w:rPr>
                <w:rFonts w:ascii="Arial" w:cs="Arial" w:eastAsia="Arial" w:hAnsi="Arial"/>
                <w:sz w:val="14"/>
                <w:szCs w:val="14"/>
                <w:color w:val="auto"/>
              </w:rPr>
              <w:t>100</w:t>
            </w:r>
          </w:p>
        </w:tc>
        <w:tc>
          <w:tcPr>
            <w:tcW w:w="1720" w:type="dxa"/>
            <w:vAlign w:val="bottom"/>
          </w:tcPr>
          <w:p>
            <w:pPr>
              <w:ind w:left="60"/>
              <w:spacing w:after="0"/>
              <w:rPr>
                <w:sz w:val="20"/>
                <w:szCs w:val="20"/>
                <w:color w:val="auto"/>
              </w:rPr>
            </w:pPr>
            <w:r>
              <w:rPr>
                <w:rFonts w:ascii="Arial" w:cs="Arial" w:eastAsia="Arial" w:hAnsi="Arial"/>
                <w:sz w:val="14"/>
                <w:szCs w:val="14"/>
                <w:color w:val="auto"/>
              </w:rPr>
              <w:t>Bermuda</w:t>
            </w:r>
          </w:p>
        </w:tc>
        <w:tc>
          <w:tcPr>
            <w:tcW w:w="1380" w:type="dxa"/>
            <w:vAlign w:val="bottom"/>
          </w:tcPr>
          <w:p>
            <w:pPr>
              <w:ind w:left="260"/>
              <w:spacing w:after="0"/>
              <w:rPr>
                <w:sz w:val="20"/>
                <w:szCs w:val="20"/>
                <w:color w:val="auto"/>
              </w:rPr>
            </w:pPr>
            <w:r>
              <w:rPr>
                <w:rFonts w:ascii="Arial" w:cs="Arial" w:eastAsia="Arial" w:hAnsi="Arial"/>
                <w:sz w:val="14"/>
                <w:szCs w:val="14"/>
                <w:color w:val="auto"/>
              </w:rPr>
              <w:t>Corporate</w:t>
            </w:r>
          </w:p>
        </w:tc>
        <w:tc>
          <w:tcPr>
            <w:tcW w:w="2580" w:type="dxa"/>
            <w:vAlign w:val="bottom"/>
          </w:tcPr>
          <w:p>
            <w:pPr>
              <w:ind w:left="100"/>
              <w:spacing w:after="0"/>
              <w:rPr>
                <w:sz w:val="20"/>
                <w:szCs w:val="20"/>
                <w:color w:val="auto"/>
              </w:rPr>
            </w:pPr>
            <w:r>
              <w:rPr>
                <w:rFonts w:ascii="Arial" w:cs="Arial" w:eastAsia="Arial" w:hAnsi="Arial"/>
                <w:sz w:val="14"/>
                <w:szCs w:val="14"/>
                <w:color w:val="auto"/>
              </w:rPr>
              <w:t>Ordinary</w:t>
            </w:r>
          </w:p>
        </w:tc>
        <w:tc>
          <w:tcPr>
            <w:tcW w:w="0" w:type="dxa"/>
            <w:vAlign w:val="bottom"/>
          </w:tcPr>
          <w:p>
            <w:pPr>
              <w:spacing w:after="0"/>
              <w:rPr>
                <w:sz w:val="1"/>
                <w:szCs w:val="1"/>
                <w:color w:val="auto"/>
              </w:rPr>
            </w:pPr>
          </w:p>
        </w:tc>
      </w:tr>
      <w:tr>
        <w:trPr>
          <w:trHeight w:val="162"/>
        </w:trPr>
        <w:tc>
          <w:tcPr>
            <w:tcW w:w="4340" w:type="dxa"/>
            <w:vAlign w:val="bottom"/>
          </w:tcPr>
          <w:p>
            <w:pPr>
              <w:spacing w:after="0"/>
              <w:rPr>
                <w:sz w:val="20"/>
                <w:szCs w:val="20"/>
                <w:color w:val="auto"/>
              </w:rPr>
            </w:pPr>
            <w:r>
              <w:rPr>
                <w:rFonts w:ascii="Arial" w:cs="Arial" w:eastAsia="Arial" w:hAnsi="Arial"/>
                <w:sz w:val="14"/>
                <w:szCs w:val="14"/>
                <w:color w:val="auto"/>
              </w:rPr>
              <w:t>Shell Finance Luxembourg Sarl</w:t>
            </w:r>
          </w:p>
        </w:tc>
        <w:tc>
          <w:tcPr>
            <w:tcW w:w="1400" w:type="dxa"/>
            <w:vAlign w:val="bottom"/>
            <w:gridSpan w:val="2"/>
          </w:tcPr>
          <w:p>
            <w:pPr>
              <w:jc w:val="right"/>
              <w:ind w:right="40"/>
              <w:spacing w:after="0"/>
              <w:rPr>
                <w:sz w:val="20"/>
                <w:szCs w:val="20"/>
                <w:color w:val="auto"/>
              </w:rPr>
            </w:pPr>
            <w:r>
              <w:rPr>
                <w:rFonts w:ascii="Arial" w:cs="Arial" w:eastAsia="Arial" w:hAnsi="Arial"/>
                <w:sz w:val="14"/>
                <w:szCs w:val="14"/>
                <w:color w:val="auto"/>
              </w:rPr>
              <w:t>100</w:t>
            </w:r>
          </w:p>
        </w:tc>
        <w:tc>
          <w:tcPr>
            <w:tcW w:w="1720" w:type="dxa"/>
            <w:vAlign w:val="bottom"/>
          </w:tcPr>
          <w:p>
            <w:pPr>
              <w:ind w:left="60"/>
              <w:spacing w:after="0"/>
              <w:rPr>
                <w:sz w:val="20"/>
                <w:szCs w:val="20"/>
                <w:color w:val="auto"/>
              </w:rPr>
            </w:pPr>
            <w:r>
              <w:rPr>
                <w:rFonts w:ascii="Arial" w:cs="Arial" w:eastAsia="Arial" w:hAnsi="Arial"/>
                <w:sz w:val="14"/>
                <w:szCs w:val="14"/>
                <w:color w:val="auto"/>
              </w:rPr>
              <w:t>Luxembourg</w:t>
            </w:r>
          </w:p>
        </w:tc>
        <w:tc>
          <w:tcPr>
            <w:tcW w:w="1380" w:type="dxa"/>
            <w:vAlign w:val="bottom"/>
          </w:tcPr>
          <w:p>
            <w:pPr>
              <w:ind w:left="260"/>
              <w:spacing w:after="0"/>
              <w:rPr>
                <w:sz w:val="20"/>
                <w:szCs w:val="20"/>
                <w:color w:val="auto"/>
              </w:rPr>
            </w:pPr>
            <w:r>
              <w:rPr>
                <w:rFonts w:ascii="Arial" w:cs="Arial" w:eastAsia="Arial" w:hAnsi="Arial"/>
                <w:sz w:val="14"/>
                <w:szCs w:val="14"/>
                <w:color w:val="auto"/>
              </w:rPr>
              <w:t>Corporate</w:t>
            </w:r>
          </w:p>
        </w:tc>
        <w:tc>
          <w:tcPr>
            <w:tcW w:w="2580" w:type="dxa"/>
            <w:vAlign w:val="bottom"/>
          </w:tcPr>
          <w:p>
            <w:pPr>
              <w:ind w:left="100"/>
              <w:spacing w:after="0"/>
              <w:rPr>
                <w:sz w:val="20"/>
                <w:szCs w:val="20"/>
                <w:color w:val="auto"/>
              </w:rPr>
            </w:pPr>
            <w:r>
              <w:rPr>
                <w:rFonts w:ascii="Arial" w:cs="Arial" w:eastAsia="Arial" w:hAnsi="Arial"/>
                <w:sz w:val="14"/>
                <w:szCs w:val="14"/>
                <w:color w:val="auto"/>
              </w:rPr>
              <w:t>Ordinary</w:t>
            </w:r>
          </w:p>
        </w:tc>
        <w:tc>
          <w:tcPr>
            <w:tcW w:w="0" w:type="dxa"/>
            <w:vAlign w:val="bottom"/>
          </w:tcPr>
          <w:p>
            <w:pPr>
              <w:spacing w:after="0"/>
              <w:rPr>
                <w:sz w:val="1"/>
                <w:szCs w:val="1"/>
                <w:color w:val="auto"/>
              </w:rPr>
            </w:pPr>
          </w:p>
        </w:tc>
      </w:tr>
      <w:tr>
        <w:trPr>
          <w:trHeight w:val="162"/>
        </w:trPr>
        <w:tc>
          <w:tcPr>
            <w:tcW w:w="4340" w:type="dxa"/>
            <w:vAlign w:val="bottom"/>
          </w:tcPr>
          <w:p>
            <w:pPr>
              <w:spacing w:after="0"/>
              <w:rPr>
                <w:sz w:val="20"/>
                <w:szCs w:val="20"/>
                <w:color w:val="auto"/>
              </w:rPr>
            </w:pPr>
            <w:r>
              <w:rPr>
                <w:rFonts w:ascii="Arial" w:cs="Arial" w:eastAsia="Arial" w:hAnsi="Arial"/>
                <w:sz w:val="14"/>
                <w:szCs w:val="14"/>
                <w:color w:val="auto"/>
              </w:rPr>
              <w:t>Shell Treasury Luxembourg Sarl</w:t>
            </w:r>
          </w:p>
        </w:tc>
        <w:tc>
          <w:tcPr>
            <w:tcW w:w="1400" w:type="dxa"/>
            <w:vAlign w:val="bottom"/>
            <w:gridSpan w:val="2"/>
          </w:tcPr>
          <w:p>
            <w:pPr>
              <w:jc w:val="right"/>
              <w:ind w:right="40"/>
              <w:spacing w:after="0"/>
              <w:rPr>
                <w:sz w:val="20"/>
                <w:szCs w:val="20"/>
                <w:color w:val="auto"/>
              </w:rPr>
            </w:pPr>
            <w:r>
              <w:rPr>
                <w:rFonts w:ascii="Arial" w:cs="Arial" w:eastAsia="Arial" w:hAnsi="Arial"/>
                <w:sz w:val="14"/>
                <w:szCs w:val="14"/>
                <w:color w:val="auto"/>
              </w:rPr>
              <w:t>100</w:t>
            </w:r>
          </w:p>
        </w:tc>
        <w:tc>
          <w:tcPr>
            <w:tcW w:w="1720" w:type="dxa"/>
            <w:vAlign w:val="bottom"/>
          </w:tcPr>
          <w:p>
            <w:pPr>
              <w:ind w:left="60"/>
              <w:spacing w:after="0"/>
              <w:rPr>
                <w:sz w:val="20"/>
                <w:szCs w:val="20"/>
                <w:color w:val="auto"/>
              </w:rPr>
            </w:pPr>
            <w:r>
              <w:rPr>
                <w:rFonts w:ascii="Arial" w:cs="Arial" w:eastAsia="Arial" w:hAnsi="Arial"/>
                <w:sz w:val="14"/>
                <w:szCs w:val="14"/>
                <w:color w:val="auto"/>
              </w:rPr>
              <w:t>Luxembourg</w:t>
            </w:r>
          </w:p>
        </w:tc>
        <w:tc>
          <w:tcPr>
            <w:tcW w:w="1380" w:type="dxa"/>
            <w:vAlign w:val="bottom"/>
          </w:tcPr>
          <w:p>
            <w:pPr>
              <w:ind w:left="260"/>
              <w:spacing w:after="0"/>
              <w:rPr>
                <w:sz w:val="20"/>
                <w:szCs w:val="20"/>
                <w:color w:val="auto"/>
              </w:rPr>
            </w:pPr>
            <w:r>
              <w:rPr>
                <w:rFonts w:ascii="Arial" w:cs="Arial" w:eastAsia="Arial" w:hAnsi="Arial"/>
                <w:sz w:val="14"/>
                <w:szCs w:val="14"/>
                <w:color w:val="auto"/>
              </w:rPr>
              <w:t>Corporate</w:t>
            </w:r>
          </w:p>
        </w:tc>
        <w:tc>
          <w:tcPr>
            <w:tcW w:w="2580" w:type="dxa"/>
            <w:vAlign w:val="bottom"/>
          </w:tcPr>
          <w:p>
            <w:pPr>
              <w:ind w:left="100"/>
              <w:spacing w:after="0"/>
              <w:rPr>
                <w:sz w:val="20"/>
                <w:szCs w:val="20"/>
                <w:color w:val="auto"/>
              </w:rPr>
            </w:pPr>
            <w:r>
              <w:rPr>
                <w:rFonts w:ascii="Arial" w:cs="Arial" w:eastAsia="Arial" w:hAnsi="Arial"/>
                <w:sz w:val="14"/>
                <w:szCs w:val="14"/>
                <w:color w:val="auto"/>
              </w:rPr>
              <w:t>Ordinary</w:t>
            </w:r>
          </w:p>
        </w:tc>
        <w:tc>
          <w:tcPr>
            <w:tcW w:w="0" w:type="dxa"/>
            <w:vAlign w:val="bottom"/>
          </w:tcPr>
          <w:p>
            <w:pPr>
              <w:spacing w:after="0"/>
              <w:rPr>
                <w:sz w:val="1"/>
                <w:szCs w:val="1"/>
                <w:color w:val="auto"/>
              </w:rPr>
            </w:pPr>
          </w:p>
        </w:tc>
      </w:tr>
      <w:tr>
        <w:trPr>
          <w:trHeight w:val="162"/>
        </w:trPr>
        <w:tc>
          <w:tcPr>
            <w:tcW w:w="4340" w:type="dxa"/>
            <w:vAlign w:val="bottom"/>
          </w:tcPr>
          <w:p>
            <w:pPr>
              <w:spacing w:after="0"/>
              <w:rPr>
                <w:sz w:val="20"/>
                <w:szCs w:val="20"/>
                <w:color w:val="auto"/>
              </w:rPr>
            </w:pPr>
            <w:r>
              <w:rPr>
                <w:rFonts w:ascii="Arial" w:cs="Arial" w:eastAsia="Arial" w:hAnsi="Arial"/>
                <w:sz w:val="14"/>
                <w:szCs w:val="14"/>
                <w:color w:val="auto"/>
              </w:rPr>
              <w:t>B.V. Dordtsche Petroleum Maatschappij</w:t>
            </w:r>
          </w:p>
        </w:tc>
        <w:tc>
          <w:tcPr>
            <w:tcW w:w="1400" w:type="dxa"/>
            <w:vAlign w:val="bottom"/>
            <w:gridSpan w:val="2"/>
          </w:tcPr>
          <w:p>
            <w:pPr>
              <w:jc w:val="right"/>
              <w:ind w:right="40"/>
              <w:spacing w:after="0"/>
              <w:rPr>
                <w:sz w:val="20"/>
                <w:szCs w:val="20"/>
                <w:color w:val="auto"/>
              </w:rPr>
            </w:pPr>
            <w:r>
              <w:rPr>
                <w:rFonts w:ascii="Arial" w:cs="Arial" w:eastAsia="Arial" w:hAnsi="Arial"/>
                <w:sz w:val="14"/>
                <w:szCs w:val="14"/>
                <w:color w:val="auto"/>
              </w:rPr>
              <w:t>100</w:t>
            </w:r>
          </w:p>
        </w:tc>
        <w:tc>
          <w:tcPr>
            <w:tcW w:w="1720" w:type="dxa"/>
            <w:vAlign w:val="bottom"/>
          </w:tcPr>
          <w:p>
            <w:pPr>
              <w:ind w:left="60"/>
              <w:spacing w:after="0"/>
              <w:rPr>
                <w:sz w:val="20"/>
                <w:szCs w:val="20"/>
                <w:color w:val="auto"/>
              </w:rPr>
            </w:pPr>
            <w:r>
              <w:rPr>
                <w:rFonts w:ascii="Arial" w:cs="Arial" w:eastAsia="Arial" w:hAnsi="Arial"/>
                <w:sz w:val="14"/>
                <w:szCs w:val="14"/>
                <w:color w:val="auto"/>
              </w:rPr>
              <w:t>Netherlands</w:t>
            </w:r>
          </w:p>
        </w:tc>
        <w:tc>
          <w:tcPr>
            <w:tcW w:w="1380" w:type="dxa"/>
            <w:vAlign w:val="bottom"/>
          </w:tcPr>
          <w:p>
            <w:pPr>
              <w:ind w:left="260"/>
              <w:spacing w:after="0"/>
              <w:rPr>
                <w:sz w:val="20"/>
                <w:szCs w:val="20"/>
                <w:color w:val="auto"/>
              </w:rPr>
            </w:pPr>
            <w:r>
              <w:rPr>
                <w:rFonts w:ascii="Arial" w:cs="Arial" w:eastAsia="Arial" w:hAnsi="Arial"/>
                <w:sz w:val="14"/>
                <w:szCs w:val="14"/>
                <w:color w:val="auto"/>
              </w:rPr>
              <w:t>Corporate</w:t>
            </w:r>
          </w:p>
        </w:tc>
        <w:tc>
          <w:tcPr>
            <w:tcW w:w="2580" w:type="dxa"/>
            <w:vAlign w:val="bottom"/>
          </w:tcPr>
          <w:p>
            <w:pPr>
              <w:ind w:left="100"/>
              <w:spacing w:after="0"/>
              <w:rPr>
                <w:sz w:val="20"/>
                <w:szCs w:val="20"/>
                <w:color w:val="auto"/>
              </w:rPr>
            </w:pPr>
            <w:r>
              <w:rPr>
                <w:rFonts w:ascii="Arial" w:cs="Arial" w:eastAsia="Arial" w:hAnsi="Arial"/>
                <w:sz w:val="14"/>
                <w:szCs w:val="14"/>
                <w:color w:val="auto"/>
              </w:rPr>
              <w:t>Ordinary</w:t>
            </w:r>
          </w:p>
        </w:tc>
        <w:tc>
          <w:tcPr>
            <w:tcW w:w="0" w:type="dxa"/>
            <w:vAlign w:val="bottom"/>
          </w:tcPr>
          <w:p>
            <w:pPr>
              <w:spacing w:after="0"/>
              <w:rPr>
                <w:sz w:val="1"/>
                <w:szCs w:val="1"/>
                <w:color w:val="auto"/>
              </w:rPr>
            </w:pPr>
          </w:p>
        </w:tc>
      </w:tr>
      <w:tr>
        <w:trPr>
          <w:trHeight w:val="162"/>
        </w:trPr>
        <w:tc>
          <w:tcPr>
            <w:tcW w:w="4340" w:type="dxa"/>
            <w:vAlign w:val="bottom"/>
          </w:tcPr>
          <w:p>
            <w:pPr>
              <w:spacing w:after="0"/>
              <w:rPr>
                <w:sz w:val="20"/>
                <w:szCs w:val="20"/>
                <w:color w:val="auto"/>
              </w:rPr>
            </w:pPr>
            <w:r>
              <w:rPr>
                <w:rFonts w:ascii="Arial" w:cs="Arial" w:eastAsia="Arial" w:hAnsi="Arial"/>
                <w:sz w:val="14"/>
                <w:szCs w:val="14"/>
                <w:color w:val="auto"/>
              </w:rPr>
              <w:t>Shell Brazil Holding B.V.</w:t>
            </w:r>
          </w:p>
        </w:tc>
        <w:tc>
          <w:tcPr>
            <w:tcW w:w="1400" w:type="dxa"/>
            <w:vAlign w:val="bottom"/>
            <w:gridSpan w:val="2"/>
          </w:tcPr>
          <w:p>
            <w:pPr>
              <w:jc w:val="right"/>
              <w:ind w:right="40"/>
              <w:spacing w:after="0"/>
              <w:rPr>
                <w:sz w:val="20"/>
                <w:szCs w:val="20"/>
                <w:color w:val="auto"/>
              </w:rPr>
            </w:pPr>
            <w:r>
              <w:rPr>
                <w:rFonts w:ascii="Arial" w:cs="Arial" w:eastAsia="Arial" w:hAnsi="Arial"/>
                <w:sz w:val="14"/>
                <w:szCs w:val="14"/>
                <w:color w:val="auto"/>
              </w:rPr>
              <w:t>100</w:t>
            </w:r>
          </w:p>
        </w:tc>
        <w:tc>
          <w:tcPr>
            <w:tcW w:w="1720" w:type="dxa"/>
            <w:vAlign w:val="bottom"/>
          </w:tcPr>
          <w:p>
            <w:pPr>
              <w:ind w:left="60"/>
              <w:spacing w:after="0"/>
              <w:rPr>
                <w:sz w:val="20"/>
                <w:szCs w:val="20"/>
                <w:color w:val="auto"/>
              </w:rPr>
            </w:pPr>
            <w:r>
              <w:rPr>
                <w:rFonts w:ascii="Arial" w:cs="Arial" w:eastAsia="Arial" w:hAnsi="Arial"/>
                <w:sz w:val="14"/>
                <w:szCs w:val="14"/>
                <w:color w:val="auto"/>
              </w:rPr>
              <w:t>Netherlands</w:t>
            </w:r>
          </w:p>
        </w:tc>
        <w:tc>
          <w:tcPr>
            <w:tcW w:w="1380" w:type="dxa"/>
            <w:vAlign w:val="bottom"/>
          </w:tcPr>
          <w:p>
            <w:pPr>
              <w:ind w:left="260"/>
              <w:spacing w:after="0"/>
              <w:rPr>
                <w:sz w:val="20"/>
                <w:szCs w:val="20"/>
                <w:color w:val="auto"/>
              </w:rPr>
            </w:pPr>
            <w:r>
              <w:rPr>
                <w:rFonts w:ascii="Arial" w:cs="Arial" w:eastAsia="Arial" w:hAnsi="Arial"/>
                <w:sz w:val="14"/>
                <w:szCs w:val="14"/>
                <w:color w:val="auto"/>
              </w:rPr>
              <w:t>Corporate</w:t>
            </w:r>
          </w:p>
        </w:tc>
        <w:tc>
          <w:tcPr>
            <w:tcW w:w="2580" w:type="dxa"/>
            <w:vAlign w:val="bottom"/>
          </w:tcPr>
          <w:p>
            <w:pPr>
              <w:ind w:left="100"/>
              <w:spacing w:after="0"/>
              <w:rPr>
                <w:sz w:val="20"/>
                <w:szCs w:val="20"/>
                <w:color w:val="auto"/>
              </w:rPr>
            </w:pPr>
            <w:r>
              <w:rPr>
                <w:rFonts w:ascii="Arial" w:cs="Arial" w:eastAsia="Arial" w:hAnsi="Arial"/>
                <w:sz w:val="14"/>
                <w:szCs w:val="14"/>
                <w:color w:val="auto"/>
              </w:rPr>
              <w:t>Ordinary</w:t>
            </w:r>
          </w:p>
        </w:tc>
        <w:tc>
          <w:tcPr>
            <w:tcW w:w="0" w:type="dxa"/>
            <w:vAlign w:val="bottom"/>
          </w:tcPr>
          <w:p>
            <w:pPr>
              <w:spacing w:after="0"/>
              <w:rPr>
                <w:sz w:val="1"/>
                <w:szCs w:val="1"/>
                <w:color w:val="auto"/>
              </w:rPr>
            </w:pPr>
          </w:p>
        </w:tc>
      </w:tr>
      <w:tr>
        <w:trPr>
          <w:trHeight w:val="162"/>
        </w:trPr>
        <w:tc>
          <w:tcPr>
            <w:tcW w:w="4340" w:type="dxa"/>
            <w:vAlign w:val="bottom"/>
          </w:tcPr>
          <w:p>
            <w:pPr>
              <w:spacing w:after="0"/>
              <w:rPr>
                <w:sz w:val="20"/>
                <w:szCs w:val="20"/>
                <w:color w:val="auto"/>
              </w:rPr>
            </w:pPr>
            <w:r>
              <w:rPr>
                <w:rFonts w:ascii="Arial" w:cs="Arial" w:eastAsia="Arial" w:hAnsi="Arial"/>
                <w:sz w:val="14"/>
                <w:szCs w:val="14"/>
                <w:color w:val="auto"/>
              </w:rPr>
              <w:t>Shell Finance (Netherlands) B.V.</w:t>
            </w:r>
          </w:p>
        </w:tc>
        <w:tc>
          <w:tcPr>
            <w:tcW w:w="1400" w:type="dxa"/>
            <w:vAlign w:val="bottom"/>
            <w:gridSpan w:val="2"/>
          </w:tcPr>
          <w:p>
            <w:pPr>
              <w:jc w:val="right"/>
              <w:ind w:right="40"/>
              <w:spacing w:after="0"/>
              <w:rPr>
                <w:sz w:val="20"/>
                <w:szCs w:val="20"/>
                <w:color w:val="auto"/>
              </w:rPr>
            </w:pPr>
            <w:r>
              <w:rPr>
                <w:rFonts w:ascii="Arial" w:cs="Arial" w:eastAsia="Arial" w:hAnsi="Arial"/>
                <w:sz w:val="14"/>
                <w:szCs w:val="14"/>
                <w:color w:val="auto"/>
              </w:rPr>
              <w:t>100</w:t>
            </w:r>
          </w:p>
        </w:tc>
        <w:tc>
          <w:tcPr>
            <w:tcW w:w="1720" w:type="dxa"/>
            <w:vAlign w:val="bottom"/>
          </w:tcPr>
          <w:p>
            <w:pPr>
              <w:ind w:left="60"/>
              <w:spacing w:after="0"/>
              <w:rPr>
                <w:sz w:val="20"/>
                <w:szCs w:val="20"/>
                <w:color w:val="auto"/>
              </w:rPr>
            </w:pPr>
            <w:r>
              <w:rPr>
                <w:rFonts w:ascii="Arial" w:cs="Arial" w:eastAsia="Arial" w:hAnsi="Arial"/>
                <w:sz w:val="14"/>
                <w:szCs w:val="14"/>
                <w:color w:val="auto"/>
              </w:rPr>
              <w:t>Netherlands</w:t>
            </w:r>
          </w:p>
        </w:tc>
        <w:tc>
          <w:tcPr>
            <w:tcW w:w="1380" w:type="dxa"/>
            <w:vAlign w:val="bottom"/>
          </w:tcPr>
          <w:p>
            <w:pPr>
              <w:ind w:left="260"/>
              <w:spacing w:after="0"/>
              <w:rPr>
                <w:sz w:val="20"/>
                <w:szCs w:val="20"/>
                <w:color w:val="auto"/>
              </w:rPr>
            </w:pPr>
            <w:r>
              <w:rPr>
                <w:rFonts w:ascii="Arial" w:cs="Arial" w:eastAsia="Arial" w:hAnsi="Arial"/>
                <w:sz w:val="14"/>
                <w:szCs w:val="14"/>
                <w:color w:val="auto"/>
              </w:rPr>
              <w:t>Corporate</w:t>
            </w:r>
          </w:p>
        </w:tc>
        <w:tc>
          <w:tcPr>
            <w:tcW w:w="2580" w:type="dxa"/>
            <w:vAlign w:val="bottom"/>
          </w:tcPr>
          <w:p>
            <w:pPr>
              <w:ind w:left="100"/>
              <w:spacing w:after="0"/>
              <w:rPr>
                <w:sz w:val="20"/>
                <w:szCs w:val="20"/>
                <w:color w:val="auto"/>
              </w:rPr>
            </w:pPr>
            <w:r>
              <w:rPr>
                <w:rFonts w:ascii="Arial" w:cs="Arial" w:eastAsia="Arial" w:hAnsi="Arial"/>
                <w:sz w:val="14"/>
                <w:szCs w:val="14"/>
                <w:color w:val="auto"/>
              </w:rPr>
              <w:t>Ordinary</w:t>
            </w:r>
          </w:p>
        </w:tc>
        <w:tc>
          <w:tcPr>
            <w:tcW w:w="0" w:type="dxa"/>
            <w:vAlign w:val="bottom"/>
          </w:tcPr>
          <w:p>
            <w:pPr>
              <w:spacing w:after="0"/>
              <w:rPr>
                <w:sz w:val="1"/>
                <w:szCs w:val="1"/>
                <w:color w:val="auto"/>
              </w:rPr>
            </w:pPr>
          </w:p>
        </w:tc>
      </w:tr>
      <w:tr>
        <w:trPr>
          <w:trHeight w:val="162"/>
        </w:trPr>
        <w:tc>
          <w:tcPr>
            <w:tcW w:w="4340" w:type="dxa"/>
            <w:vAlign w:val="bottom"/>
          </w:tcPr>
          <w:p>
            <w:pPr>
              <w:spacing w:after="0"/>
              <w:rPr>
                <w:sz w:val="20"/>
                <w:szCs w:val="20"/>
                <w:color w:val="auto"/>
              </w:rPr>
            </w:pPr>
            <w:r>
              <w:rPr>
                <w:rFonts w:ascii="Arial" w:cs="Arial" w:eastAsia="Arial" w:hAnsi="Arial"/>
                <w:sz w:val="14"/>
                <w:szCs w:val="14"/>
                <w:color w:val="auto"/>
              </w:rPr>
              <w:t>Shell Gas B.V.</w:t>
            </w:r>
          </w:p>
        </w:tc>
        <w:tc>
          <w:tcPr>
            <w:tcW w:w="1400" w:type="dxa"/>
            <w:vAlign w:val="bottom"/>
            <w:gridSpan w:val="2"/>
          </w:tcPr>
          <w:p>
            <w:pPr>
              <w:jc w:val="right"/>
              <w:ind w:right="40"/>
              <w:spacing w:after="0"/>
              <w:rPr>
                <w:sz w:val="20"/>
                <w:szCs w:val="20"/>
                <w:color w:val="auto"/>
              </w:rPr>
            </w:pPr>
            <w:r>
              <w:rPr>
                <w:rFonts w:ascii="Arial" w:cs="Arial" w:eastAsia="Arial" w:hAnsi="Arial"/>
                <w:sz w:val="14"/>
                <w:szCs w:val="14"/>
                <w:color w:val="auto"/>
              </w:rPr>
              <w:t>100</w:t>
            </w:r>
          </w:p>
        </w:tc>
        <w:tc>
          <w:tcPr>
            <w:tcW w:w="1720" w:type="dxa"/>
            <w:vAlign w:val="bottom"/>
          </w:tcPr>
          <w:p>
            <w:pPr>
              <w:ind w:left="60"/>
              <w:spacing w:after="0"/>
              <w:rPr>
                <w:sz w:val="20"/>
                <w:szCs w:val="20"/>
                <w:color w:val="auto"/>
              </w:rPr>
            </w:pPr>
            <w:r>
              <w:rPr>
                <w:rFonts w:ascii="Arial" w:cs="Arial" w:eastAsia="Arial" w:hAnsi="Arial"/>
                <w:sz w:val="14"/>
                <w:szCs w:val="14"/>
                <w:color w:val="auto"/>
              </w:rPr>
              <w:t>Netherlands</w:t>
            </w:r>
          </w:p>
        </w:tc>
        <w:tc>
          <w:tcPr>
            <w:tcW w:w="1380" w:type="dxa"/>
            <w:vAlign w:val="bottom"/>
          </w:tcPr>
          <w:p>
            <w:pPr>
              <w:ind w:left="260"/>
              <w:spacing w:after="0"/>
              <w:rPr>
                <w:sz w:val="20"/>
                <w:szCs w:val="20"/>
                <w:color w:val="auto"/>
              </w:rPr>
            </w:pPr>
            <w:r>
              <w:rPr>
                <w:rFonts w:ascii="Arial" w:cs="Arial" w:eastAsia="Arial" w:hAnsi="Arial"/>
                <w:sz w:val="14"/>
                <w:szCs w:val="14"/>
                <w:color w:val="auto"/>
              </w:rPr>
              <w:t>Corporate</w:t>
            </w:r>
          </w:p>
        </w:tc>
        <w:tc>
          <w:tcPr>
            <w:tcW w:w="2580" w:type="dxa"/>
            <w:vAlign w:val="bottom"/>
          </w:tcPr>
          <w:p>
            <w:pPr>
              <w:ind w:left="100"/>
              <w:spacing w:after="0"/>
              <w:rPr>
                <w:sz w:val="20"/>
                <w:szCs w:val="20"/>
                <w:color w:val="auto"/>
              </w:rPr>
            </w:pPr>
            <w:r>
              <w:rPr>
                <w:rFonts w:ascii="Arial" w:cs="Arial" w:eastAsia="Arial" w:hAnsi="Arial"/>
                <w:sz w:val="14"/>
                <w:szCs w:val="14"/>
                <w:color w:val="auto"/>
              </w:rPr>
              <w:t>Ordinary</w:t>
            </w:r>
          </w:p>
        </w:tc>
        <w:tc>
          <w:tcPr>
            <w:tcW w:w="0" w:type="dxa"/>
            <w:vAlign w:val="bottom"/>
          </w:tcPr>
          <w:p>
            <w:pPr>
              <w:spacing w:after="0"/>
              <w:rPr>
                <w:sz w:val="1"/>
                <w:szCs w:val="1"/>
                <w:color w:val="auto"/>
              </w:rPr>
            </w:pPr>
          </w:p>
        </w:tc>
      </w:tr>
      <w:tr>
        <w:trPr>
          <w:trHeight w:val="162"/>
        </w:trPr>
        <w:tc>
          <w:tcPr>
            <w:tcW w:w="4340" w:type="dxa"/>
            <w:vAlign w:val="bottom"/>
          </w:tcPr>
          <w:p>
            <w:pPr>
              <w:spacing w:after="0"/>
              <w:rPr>
                <w:sz w:val="20"/>
                <w:szCs w:val="20"/>
                <w:color w:val="auto"/>
              </w:rPr>
            </w:pPr>
            <w:r>
              <w:rPr>
                <w:rFonts w:ascii="Arial" w:cs="Arial" w:eastAsia="Arial" w:hAnsi="Arial"/>
                <w:sz w:val="14"/>
                <w:szCs w:val="14"/>
                <w:color w:val="auto"/>
              </w:rPr>
              <w:t>Shell International Finance B.V.*</w:t>
            </w:r>
          </w:p>
        </w:tc>
        <w:tc>
          <w:tcPr>
            <w:tcW w:w="1400" w:type="dxa"/>
            <w:vAlign w:val="bottom"/>
            <w:gridSpan w:val="2"/>
          </w:tcPr>
          <w:p>
            <w:pPr>
              <w:jc w:val="right"/>
              <w:ind w:right="40"/>
              <w:spacing w:after="0"/>
              <w:rPr>
                <w:sz w:val="20"/>
                <w:szCs w:val="20"/>
                <w:color w:val="auto"/>
              </w:rPr>
            </w:pPr>
            <w:r>
              <w:rPr>
                <w:rFonts w:ascii="Arial" w:cs="Arial" w:eastAsia="Arial" w:hAnsi="Arial"/>
                <w:sz w:val="14"/>
                <w:szCs w:val="14"/>
                <w:color w:val="auto"/>
              </w:rPr>
              <w:t>100</w:t>
            </w:r>
          </w:p>
        </w:tc>
        <w:tc>
          <w:tcPr>
            <w:tcW w:w="1720" w:type="dxa"/>
            <w:vAlign w:val="bottom"/>
          </w:tcPr>
          <w:p>
            <w:pPr>
              <w:ind w:left="60"/>
              <w:spacing w:after="0"/>
              <w:rPr>
                <w:sz w:val="20"/>
                <w:szCs w:val="20"/>
                <w:color w:val="auto"/>
              </w:rPr>
            </w:pPr>
            <w:r>
              <w:rPr>
                <w:rFonts w:ascii="Arial" w:cs="Arial" w:eastAsia="Arial" w:hAnsi="Arial"/>
                <w:sz w:val="14"/>
                <w:szCs w:val="14"/>
                <w:color w:val="auto"/>
              </w:rPr>
              <w:t>Netherlands</w:t>
            </w:r>
          </w:p>
        </w:tc>
        <w:tc>
          <w:tcPr>
            <w:tcW w:w="1380" w:type="dxa"/>
            <w:vAlign w:val="bottom"/>
          </w:tcPr>
          <w:p>
            <w:pPr>
              <w:ind w:left="260"/>
              <w:spacing w:after="0"/>
              <w:rPr>
                <w:sz w:val="20"/>
                <w:szCs w:val="20"/>
                <w:color w:val="auto"/>
              </w:rPr>
            </w:pPr>
            <w:r>
              <w:rPr>
                <w:rFonts w:ascii="Arial" w:cs="Arial" w:eastAsia="Arial" w:hAnsi="Arial"/>
                <w:sz w:val="14"/>
                <w:szCs w:val="14"/>
                <w:color w:val="auto"/>
              </w:rPr>
              <w:t>Corporate</w:t>
            </w:r>
          </w:p>
        </w:tc>
        <w:tc>
          <w:tcPr>
            <w:tcW w:w="2580" w:type="dxa"/>
            <w:vAlign w:val="bottom"/>
          </w:tcPr>
          <w:p>
            <w:pPr>
              <w:ind w:left="100"/>
              <w:spacing w:after="0"/>
              <w:rPr>
                <w:sz w:val="20"/>
                <w:szCs w:val="20"/>
                <w:color w:val="auto"/>
              </w:rPr>
            </w:pPr>
            <w:r>
              <w:rPr>
                <w:rFonts w:ascii="Arial" w:cs="Arial" w:eastAsia="Arial" w:hAnsi="Arial"/>
                <w:sz w:val="14"/>
                <w:szCs w:val="14"/>
                <w:color w:val="auto"/>
              </w:rPr>
              <w:t>Ordinary</w:t>
            </w:r>
          </w:p>
        </w:tc>
        <w:tc>
          <w:tcPr>
            <w:tcW w:w="0" w:type="dxa"/>
            <w:vAlign w:val="bottom"/>
          </w:tcPr>
          <w:p>
            <w:pPr>
              <w:spacing w:after="0"/>
              <w:rPr>
                <w:sz w:val="1"/>
                <w:szCs w:val="1"/>
                <w:color w:val="auto"/>
              </w:rPr>
            </w:pPr>
          </w:p>
        </w:tc>
      </w:tr>
      <w:tr>
        <w:trPr>
          <w:trHeight w:val="162"/>
        </w:trPr>
        <w:tc>
          <w:tcPr>
            <w:tcW w:w="4340" w:type="dxa"/>
            <w:vAlign w:val="bottom"/>
          </w:tcPr>
          <w:p>
            <w:pPr>
              <w:spacing w:after="0"/>
              <w:rPr>
                <w:sz w:val="20"/>
                <w:szCs w:val="20"/>
                <w:color w:val="auto"/>
              </w:rPr>
            </w:pPr>
            <w:r>
              <w:rPr>
                <w:rFonts w:ascii="Arial" w:cs="Arial" w:eastAsia="Arial" w:hAnsi="Arial"/>
                <w:sz w:val="14"/>
                <w:szCs w:val="14"/>
                <w:color w:val="auto"/>
              </w:rPr>
              <w:t>Shell Nederland B.V.</w:t>
            </w:r>
          </w:p>
        </w:tc>
        <w:tc>
          <w:tcPr>
            <w:tcW w:w="1400" w:type="dxa"/>
            <w:vAlign w:val="bottom"/>
            <w:gridSpan w:val="2"/>
          </w:tcPr>
          <w:p>
            <w:pPr>
              <w:jc w:val="right"/>
              <w:ind w:right="40"/>
              <w:spacing w:after="0"/>
              <w:rPr>
                <w:sz w:val="20"/>
                <w:szCs w:val="20"/>
                <w:color w:val="auto"/>
              </w:rPr>
            </w:pPr>
            <w:r>
              <w:rPr>
                <w:rFonts w:ascii="Arial" w:cs="Arial" w:eastAsia="Arial" w:hAnsi="Arial"/>
                <w:sz w:val="14"/>
                <w:szCs w:val="14"/>
                <w:color w:val="auto"/>
              </w:rPr>
              <w:t>100</w:t>
            </w:r>
          </w:p>
        </w:tc>
        <w:tc>
          <w:tcPr>
            <w:tcW w:w="1720" w:type="dxa"/>
            <w:vAlign w:val="bottom"/>
          </w:tcPr>
          <w:p>
            <w:pPr>
              <w:ind w:left="60"/>
              <w:spacing w:after="0"/>
              <w:rPr>
                <w:sz w:val="20"/>
                <w:szCs w:val="20"/>
                <w:color w:val="auto"/>
              </w:rPr>
            </w:pPr>
            <w:r>
              <w:rPr>
                <w:rFonts w:ascii="Arial" w:cs="Arial" w:eastAsia="Arial" w:hAnsi="Arial"/>
                <w:sz w:val="14"/>
                <w:szCs w:val="14"/>
                <w:color w:val="auto"/>
              </w:rPr>
              <w:t>Netherlands</w:t>
            </w:r>
          </w:p>
        </w:tc>
        <w:tc>
          <w:tcPr>
            <w:tcW w:w="1380" w:type="dxa"/>
            <w:vAlign w:val="bottom"/>
          </w:tcPr>
          <w:p>
            <w:pPr>
              <w:ind w:left="260"/>
              <w:spacing w:after="0"/>
              <w:rPr>
                <w:sz w:val="20"/>
                <w:szCs w:val="20"/>
                <w:color w:val="auto"/>
              </w:rPr>
            </w:pPr>
            <w:r>
              <w:rPr>
                <w:rFonts w:ascii="Arial" w:cs="Arial" w:eastAsia="Arial" w:hAnsi="Arial"/>
                <w:sz w:val="14"/>
                <w:szCs w:val="14"/>
                <w:color w:val="auto"/>
              </w:rPr>
              <w:t>Corporate</w:t>
            </w:r>
          </w:p>
        </w:tc>
        <w:tc>
          <w:tcPr>
            <w:tcW w:w="2580" w:type="dxa"/>
            <w:vAlign w:val="bottom"/>
          </w:tcPr>
          <w:p>
            <w:pPr>
              <w:ind w:left="100"/>
              <w:spacing w:after="0"/>
              <w:rPr>
                <w:sz w:val="20"/>
                <w:szCs w:val="20"/>
                <w:color w:val="auto"/>
              </w:rPr>
            </w:pPr>
            <w:r>
              <w:rPr>
                <w:rFonts w:ascii="Arial" w:cs="Arial" w:eastAsia="Arial" w:hAnsi="Arial"/>
                <w:sz w:val="14"/>
                <w:szCs w:val="14"/>
                <w:color w:val="auto"/>
              </w:rPr>
              <w:t>Ordinary</w:t>
            </w:r>
          </w:p>
        </w:tc>
        <w:tc>
          <w:tcPr>
            <w:tcW w:w="0" w:type="dxa"/>
            <w:vAlign w:val="bottom"/>
          </w:tcPr>
          <w:p>
            <w:pPr>
              <w:spacing w:after="0"/>
              <w:rPr>
                <w:sz w:val="1"/>
                <w:szCs w:val="1"/>
                <w:color w:val="auto"/>
              </w:rPr>
            </w:pPr>
          </w:p>
        </w:tc>
      </w:tr>
      <w:tr>
        <w:trPr>
          <w:trHeight w:val="162"/>
        </w:trPr>
        <w:tc>
          <w:tcPr>
            <w:tcW w:w="4340" w:type="dxa"/>
            <w:vAlign w:val="bottom"/>
          </w:tcPr>
          <w:p>
            <w:pPr>
              <w:spacing w:after="0"/>
              <w:rPr>
                <w:sz w:val="20"/>
                <w:szCs w:val="20"/>
                <w:color w:val="auto"/>
              </w:rPr>
            </w:pPr>
            <w:r>
              <w:rPr>
                <w:rFonts w:ascii="Arial" w:cs="Arial" w:eastAsia="Arial" w:hAnsi="Arial"/>
                <w:sz w:val="14"/>
                <w:szCs w:val="14"/>
                <w:color w:val="auto"/>
              </w:rPr>
              <w:t>Shell Overseas Investments B.V.</w:t>
            </w:r>
          </w:p>
        </w:tc>
        <w:tc>
          <w:tcPr>
            <w:tcW w:w="1400" w:type="dxa"/>
            <w:vAlign w:val="bottom"/>
            <w:gridSpan w:val="2"/>
          </w:tcPr>
          <w:p>
            <w:pPr>
              <w:jc w:val="right"/>
              <w:ind w:right="40"/>
              <w:spacing w:after="0"/>
              <w:rPr>
                <w:sz w:val="20"/>
                <w:szCs w:val="20"/>
                <w:color w:val="auto"/>
              </w:rPr>
            </w:pPr>
            <w:r>
              <w:rPr>
                <w:rFonts w:ascii="Arial" w:cs="Arial" w:eastAsia="Arial" w:hAnsi="Arial"/>
                <w:sz w:val="14"/>
                <w:szCs w:val="14"/>
                <w:color w:val="auto"/>
              </w:rPr>
              <w:t>100</w:t>
            </w:r>
          </w:p>
        </w:tc>
        <w:tc>
          <w:tcPr>
            <w:tcW w:w="1720" w:type="dxa"/>
            <w:vAlign w:val="bottom"/>
          </w:tcPr>
          <w:p>
            <w:pPr>
              <w:ind w:left="60"/>
              <w:spacing w:after="0"/>
              <w:rPr>
                <w:sz w:val="20"/>
                <w:szCs w:val="20"/>
                <w:color w:val="auto"/>
              </w:rPr>
            </w:pPr>
            <w:r>
              <w:rPr>
                <w:rFonts w:ascii="Arial" w:cs="Arial" w:eastAsia="Arial" w:hAnsi="Arial"/>
                <w:sz w:val="14"/>
                <w:szCs w:val="14"/>
                <w:color w:val="auto"/>
              </w:rPr>
              <w:t>Netherlands</w:t>
            </w:r>
          </w:p>
        </w:tc>
        <w:tc>
          <w:tcPr>
            <w:tcW w:w="1380" w:type="dxa"/>
            <w:vAlign w:val="bottom"/>
          </w:tcPr>
          <w:p>
            <w:pPr>
              <w:ind w:left="260"/>
              <w:spacing w:after="0"/>
              <w:rPr>
                <w:sz w:val="20"/>
                <w:szCs w:val="20"/>
                <w:color w:val="auto"/>
              </w:rPr>
            </w:pPr>
            <w:r>
              <w:rPr>
                <w:rFonts w:ascii="Arial" w:cs="Arial" w:eastAsia="Arial" w:hAnsi="Arial"/>
                <w:sz w:val="14"/>
                <w:szCs w:val="14"/>
                <w:color w:val="auto"/>
              </w:rPr>
              <w:t>Corporate</w:t>
            </w:r>
          </w:p>
        </w:tc>
        <w:tc>
          <w:tcPr>
            <w:tcW w:w="2580" w:type="dxa"/>
            <w:vAlign w:val="bottom"/>
          </w:tcPr>
          <w:p>
            <w:pPr>
              <w:ind w:left="100"/>
              <w:spacing w:after="0"/>
              <w:rPr>
                <w:sz w:val="20"/>
                <w:szCs w:val="20"/>
                <w:color w:val="auto"/>
              </w:rPr>
            </w:pPr>
            <w:r>
              <w:rPr>
                <w:rFonts w:ascii="Arial" w:cs="Arial" w:eastAsia="Arial" w:hAnsi="Arial"/>
                <w:sz w:val="14"/>
                <w:szCs w:val="14"/>
                <w:color w:val="auto"/>
              </w:rPr>
              <w:t>Ordinary</w:t>
            </w:r>
          </w:p>
        </w:tc>
        <w:tc>
          <w:tcPr>
            <w:tcW w:w="0" w:type="dxa"/>
            <w:vAlign w:val="bottom"/>
          </w:tcPr>
          <w:p>
            <w:pPr>
              <w:spacing w:after="0"/>
              <w:rPr>
                <w:sz w:val="1"/>
                <w:szCs w:val="1"/>
                <w:color w:val="auto"/>
              </w:rPr>
            </w:pPr>
          </w:p>
        </w:tc>
      </w:tr>
      <w:tr>
        <w:trPr>
          <w:trHeight w:val="162"/>
        </w:trPr>
        <w:tc>
          <w:tcPr>
            <w:tcW w:w="4340" w:type="dxa"/>
            <w:vAlign w:val="bottom"/>
          </w:tcPr>
          <w:p>
            <w:pPr>
              <w:spacing w:after="0"/>
              <w:rPr>
                <w:sz w:val="20"/>
                <w:szCs w:val="20"/>
                <w:color w:val="auto"/>
              </w:rPr>
            </w:pPr>
            <w:r>
              <w:rPr>
                <w:rFonts w:ascii="Arial" w:cs="Arial" w:eastAsia="Arial" w:hAnsi="Arial"/>
                <w:sz w:val="14"/>
                <w:szCs w:val="14"/>
                <w:color w:val="auto"/>
              </w:rPr>
              <w:t>Shell Petroleum N.V.*</w:t>
            </w:r>
          </w:p>
        </w:tc>
        <w:tc>
          <w:tcPr>
            <w:tcW w:w="1400" w:type="dxa"/>
            <w:vAlign w:val="bottom"/>
            <w:gridSpan w:val="2"/>
          </w:tcPr>
          <w:p>
            <w:pPr>
              <w:jc w:val="right"/>
              <w:ind w:right="40"/>
              <w:spacing w:after="0"/>
              <w:rPr>
                <w:sz w:val="20"/>
                <w:szCs w:val="20"/>
                <w:color w:val="auto"/>
              </w:rPr>
            </w:pPr>
            <w:r>
              <w:rPr>
                <w:rFonts w:ascii="Arial" w:cs="Arial" w:eastAsia="Arial" w:hAnsi="Arial"/>
                <w:sz w:val="14"/>
                <w:szCs w:val="14"/>
                <w:color w:val="auto"/>
              </w:rPr>
              <w:t>100</w:t>
            </w:r>
          </w:p>
        </w:tc>
        <w:tc>
          <w:tcPr>
            <w:tcW w:w="1720" w:type="dxa"/>
            <w:vAlign w:val="bottom"/>
          </w:tcPr>
          <w:p>
            <w:pPr>
              <w:ind w:left="60"/>
              <w:spacing w:after="0"/>
              <w:rPr>
                <w:sz w:val="20"/>
                <w:szCs w:val="20"/>
                <w:color w:val="auto"/>
              </w:rPr>
            </w:pPr>
            <w:r>
              <w:rPr>
                <w:rFonts w:ascii="Arial" w:cs="Arial" w:eastAsia="Arial" w:hAnsi="Arial"/>
                <w:sz w:val="14"/>
                <w:szCs w:val="14"/>
                <w:color w:val="auto"/>
              </w:rPr>
              <w:t>Netherlands</w:t>
            </w:r>
          </w:p>
        </w:tc>
        <w:tc>
          <w:tcPr>
            <w:tcW w:w="1380" w:type="dxa"/>
            <w:vAlign w:val="bottom"/>
          </w:tcPr>
          <w:p>
            <w:pPr>
              <w:ind w:left="260"/>
              <w:spacing w:after="0"/>
              <w:rPr>
                <w:sz w:val="20"/>
                <w:szCs w:val="20"/>
                <w:color w:val="auto"/>
              </w:rPr>
            </w:pPr>
            <w:r>
              <w:rPr>
                <w:rFonts w:ascii="Arial" w:cs="Arial" w:eastAsia="Arial" w:hAnsi="Arial"/>
                <w:sz w:val="14"/>
                <w:szCs w:val="14"/>
                <w:color w:val="auto"/>
              </w:rPr>
              <w:t>Corporate</w:t>
            </w:r>
          </w:p>
        </w:tc>
        <w:tc>
          <w:tcPr>
            <w:tcW w:w="2580" w:type="dxa"/>
            <w:vAlign w:val="bottom"/>
          </w:tcPr>
          <w:p>
            <w:pPr>
              <w:ind w:left="100"/>
              <w:spacing w:after="0"/>
              <w:rPr>
                <w:sz w:val="20"/>
                <w:szCs w:val="20"/>
                <w:color w:val="auto"/>
              </w:rPr>
            </w:pPr>
            <w:r>
              <w:rPr>
                <w:rFonts w:ascii="Arial" w:cs="Arial" w:eastAsia="Arial" w:hAnsi="Arial"/>
                <w:sz w:val="14"/>
                <w:szCs w:val="14"/>
                <w:color w:val="auto"/>
              </w:rPr>
              <w:t>Ordinary</w:t>
            </w:r>
          </w:p>
        </w:tc>
        <w:tc>
          <w:tcPr>
            <w:tcW w:w="0" w:type="dxa"/>
            <w:vAlign w:val="bottom"/>
          </w:tcPr>
          <w:p>
            <w:pPr>
              <w:spacing w:after="0"/>
              <w:rPr>
                <w:sz w:val="1"/>
                <w:szCs w:val="1"/>
                <w:color w:val="auto"/>
              </w:rPr>
            </w:pPr>
          </w:p>
        </w:tc>
      </w:tr>
      <w:tr>
        <w:trPr>
          <w:trHeight w:val="162"/>
        </w:trPr>
        <w:tc>
          <w:tcPr>
            <w:tcW w:w="4340" w:type="dxa"/>
            <w:vAlign w:val="bottom"/>
          </w:tcPr>
          <w:p>
            <w:pPr>
              <w:spacing w:after="0"/>
              <w:rPr>
                <w:sz w:val="20"/>
                <w:szCs w:val="20"/>
                <w:color w:val="auto"/>
              </w:rPr>
            </w:pPr>
            <w:r>
              <w:rPr>
                <w:rFonts w:ascii="Arial" w:cs="Arial" w:eastAsia="Arial" w:hAnsi="Arial"/>
                <w:sz w:val="14"/>
                <w:szCs w:val="14"/>
                <w:color w:val="auto"/>
              </w:rPr>
              <w:t>Shell Treasury Centre East (Pte) Limited</w:t>
            </w:r>
          </w:p>
        </w:tc>
        <w:tc>
          <w:tcPr>
            <w:tcW w:w="1400" w:type="dxa"/>
            <w:vAlign w:val="bottom"/>
            <w:gridSpan w:val="2"/>
          </w:tcPr>
          <w:p>
            <w:pPr>
              <w:jc w:val="right"/>
              <w:ind w:right="40"/>
              <w:spacing w:after="0"/>
              <w:rPr>
                <w:sz w:val="20"/>
                <w:szCs w:val="20"/>
                <w:color w:val="auto"/>
              </w:rPr>
            </w:pPr>
            <w:r>
              <w:rPr>
                <w:rFonts w:ascii="Arial" w:cs="Arial" w:eastAsia="Arial" w:hAnsi="Arial"/>
                <w:sz w:val="14"/>
                <w:szCs w:val="14"/>
                <w:color w:val="auto"/>
              </w:rPr>
              <w:t>100</w:t>
            </w:r>
          </w:p>
        </w:tc>
        <w:tc>
          <w:tcPr>
            <w:tcW w:w="1720" w:type="dxa"/>
            <w:vAlign w:val="bottom"/>
          </w:tcPr>
          <w:p>
            <w:pPr>
              <w:ind w:left="60"/>
              <w:spacing w:after="0"/>
              <w:rPr>
                <w:sz w:val="20"/>
                <w:szCs w:val="20"/>
                <w:color w:val="auto"/>
              </w:rPr>
            </w:pPr>
            <w:r>
              <w:rPr>
                <w:rFonts w:ascii="Arial" w:cs="Arial" w:eastAsia="Arial" w:hAnsi="Arial"/>
                <w:sz w:val="14"/>
                <w:szCs w:val="14"/>
                <w:color w:val="auto"/>
              </w:rPr>
              <w:t>Singapore</w:t>
            </w:r>
          </w:p>
        </w:tc>
        <w:tc>
          <w:tcPr>
            <w:tcW w:w="1380" w:type="dxa"/>
            <w:vAlign w:val="bottom"/>
          </w:tcPr>
          <w:p>
            <w:pPr>
              <w:ind w:left="260"/>
              <w:spacing w:after="0"/>
              <w:rPr>
                <w:sz w:val="20"/>
                <w:szCs w:val="20"/>
                <w:color w:val="auto"/>
              </w:rPr>
            </w:pPr>
            <w:r>
              <w:rPr>
                <w:rFonts w:ascii="Arial" w:cs="Arial" w:eastAsia="Arial" w:hAnsi="Arial"/>
                <w:sz w:val="14"/>
                <w:szCs w:val="14"/>
                <w:color w:val="auto"/>
              </w:rPr>
              <w:t>Corporate</w:t>
            </w:r>
          </w:p>
        </w:tc>
        <w:tc>
          <w:tcPr>
            <w:tcW w:w="2580" w:type="dxa"/>
            <w:vAlign w:val="bottom"/>
          </w:tcPr>
          <w:p>
            <w:pPr>
              <w:ind w:left="100"/>
              <w:spacing w:after="0"/>
              <w:rPr>
                <w:sz w:val="20"/>
                <w:szCs w:val="20"/>
                <w:color w:val="auto"/>
              </w:rPr>
            </w:pPr>
            <w:r>
              <w:rPr>
                <w:rFonts w:ascii="Arial" w:cs="Arial" w:eastAsia="Arial" w:hAnsi="Arial"/>
                <w:sz w:val="14"/>
                <w:szCs w:val="14"/>
                <w:color w:val="auto"/>
              </w:rPr>
              <w:t>Ordinary</w:t>
            </w:r>
          </w:p>
        </w:tc>
        <w:tc>
          <w:tcPr>
            <w:tcW w:w="0" w:type="dxa"/>
            <w:vAlign w:val="bottom"/>
          </w:tcPr>
          <w:p>
            <w:pPr>
              <w:spacing w:after="0"/>
              <w:rPr>
                <w:sz w:val="1"/>
                <w:szCs w:val="1"/>
                <w:color w:val="auto"/>
              </w:rPr>
            </w:pPr>
          </w:p>
        </w:tc>
      </w:tr>
      <w:tr>
        <w:trPr>
          <w:trHeight w:val="162"/>
        </w:trPr>
        <w:tc>
          <w:tcPr>
            <w:tcW w:w="4340" w:type="dxa"/>
            <w:vAlign w:val="bottom"/>
          </w:tcPr>
          <w:p>
            <w:pPr>
              <w:spacing w:after="0"/>
              <w:rPr>
                <w:sz w:val="20"/>
                <w:szCs w:val="20"/>
                <w:color w:val="auto"/>
              </w:rPr>
            </w:pPr>
            <w:r>
              <w:rPr>
                <w:rFonts w:ascii="Arial" w:cs="Arial" w:eastAsia="Arial" w:hAnsi="Arial"/>
                <w:sz w:val="14"/>
                <w:szCs w:val="14"/>
                <w:color w:val="auto"/>
              </w:rPr>
              <w:t>Shell Finance Switzerland AG</w:t>
            </w:r>
          </w:p>
        </w:tc>
        <w:tc>
          <w:tcPr>
            <w:tcW w:w="1400" w:type="dxa"/>
            <w:vAlign w:val="bottom"/>
            <w:gridSpan w:val="2"/>
          </w:tcPr>
          <w:p>
            <w:pPr>
              <w:jc w:val="right"/>
              <w:ind w:right="40"/>
              <w:spacing w:after="0"/>
              <w:rPr>
                <w:sz w:val="20"/>
                <w:szCs w:val="20"/>
                <w:color w:val="auto"/>
              </w:rPr>
            </w:pPr>
            <w:r>
              <w:rPr>
                <w:rFonts w:ascii="Arial" w:cs="Arial" w:eastAsia="Arial" w:hAnsi="Arial"/>
                <w:sz w:val="14"/>
                <w:szCs w:val="14"/>
                <w:color w:val="auto"/>
              </w:rPr>
              <w:t>100</w:t>
            </w:r>
          </w:p>
        </w:tc>
        <w:tc>
          <w:tcPr>
            <w:tcW w:w="1720" w:type="dxa"/>
            <w:vAlign w:val="bottom"/>
          </w:tcPr>
          <w:p>
            <w:pPr>
              <w:ind w:left="60"/>
              <w:spacing w:after="0"/>
              <w:rPr>
                <w:sz w:val="20"/>
                <w:szCs w:val="20"/>
                <w:color w:val="auto"/>
              </w:rPr>
            </w:pPr>
            <w:r>
              <w:rPr>
                <w:rFonts w:ascii="Arial" w:cs="Arial" w:eastAsia="Arial" w:hAnsi="Arial"/>
                <w:sz w:val="14"/>
                <w:szCs w:val="14"/>
                <w:color w:val="auto"/>
              </w:rPr>
              <w:t>Switzerland</w:t>
            </w:r>
          </w:p>
        </w:tc>
        <w:tc>
          <w:tcPr>
            <w:tcW w:w="1380" w:type="dxa"/>
            <w:vAlign w:val="bottom"/>
          </w:tcPr>
          <w:p>
            <w:pPr>
              <w:ind w:left="260"/>
              <w:spacing w:after="0"/>
              <w:rPr>
                <w:sz w:val="20"/>
                <w:szCs w:val="20"/>
                <w:color w:val="auto"/>
              </w:rPr>
            </w:pPr>
            <w:r>
              <w:rPr>
                <w:rFonts w:ascii="Arial" w:cs="Arial" w:eastAsia="Arial" w:hAnsi="Arial"/>
                <w:sz w:val="14"/>
                <w:szCs w:val="14"/>
                <w:color w:val="auto"/>
              </w:rPr>
              <w:t>Corporate</w:t>
            </w:r>
          </w:p>
        </w:tc>
        <w:tc>
          <w:tcPr>
            <w:tcW w:w="2580" w:type="dxa"/>
            <w:vAlign w:val="bottom"/>
          </w:tcPr>
          <w:p>
            <w:pPr>
              <w:ind w:left="100"/>
              <w:spacing w:after="0"/>
              <w:rPr>
                <w:sz w:val="20"/>
                <w:szCs w:val="20"/>
                <w:color w:val="auto"/>
              </w:rPr>
            </w:pPr>
            <w:r>
              <w:rPr>
                <w:rFonts w:ascii="Arial" w:cs="Arial" w:eastAsia="Arial" w:hAnsi="Arial"/>
                <w:sz w:val="14"/>
                <w:szCs w:val="14"/>
                <w:color w:val="auto"/>
              </w:rPr>
              <w:t>Ordinary</w:t>
            </w:r>
          </w:p>
        </w:tc>
        <w:tc>
          <w:tcPr>
            <w:tcW w:w="0" w:type="dxa"/>
            <w:vAlign w:val="bottom"/>
          </w:tcPr>
          <w:p>
            <w:pPr>
              <w:spacing w:after="0"/>
              <w:rPr>
                <w:sz w:val="1"/>
                <w:szCs w:val="1"/>
                <w:color w:val="auto"/>
              </w:rPr>
            </w:pPr>
          </w:p>
        </w:tc>
      </w:tr>
      <w:tr>
        <w:trPr>
          <w:trHeight w:val="162"/>
        </w:trPr>
        <w:tc>
          <w:tcPr>
            <w:tcW w:w="4340" w:type="dxa"/>
            <w:vAlign w:val="bottom"/>
          </w:tcPr>
          <w:p>
            <w:pPr>
              <w:spacing w:after="0"/>
              <w:rPr>
                <w:sz w:val="20"/>
                <w:szCs w:val="20"/>
                <w:color w:val="auto"/>
              </w:rPr>
            </w:pPr>
            <w:r>
              <w:rPr>
                <w:rFonts w:ascii="Arial" w:cs="Arial" w:eastAsia="Arial" w:hAnsi="Arial"/>
                <w:sz w:val="14"/>
                <w:szCs w:val="14"/>
                <w:color w:val="auto"/>
              </w:rPr>
              <w:t>Solen Versicherungen AG</w:t>
            </w:r>
          </w:p>
        </w:tc>
        <w:tc>
          <w:tcPr>
            <w:tcW w:w="1400" w:type="dxa"/>
            <w:vAlign w:val="bottom"/>
            <w:gridSpan w:val="2"/>
          </w:tcPr>
          <w:p>
            <w:pPr>
              <w:jc w:val="right"/>
              <w:ind w:right="40"/>
              <w:spacing w:after="0"/>
              <w:rPr>
                <w:sz w:val="20"/>
                <w:szCs w:val="20"/>
                <w:color w:val="auto"/>
              </w:rPr>
            </w:pPr>
            <w:r>
              <w:rPr>
                <w:rFonts w:ascii="Arial" w:cs="Arial" w:eastAsia="Arial" w:hAnsi="Arial"/>
                <w:sz w:val="14"/>
                <w:szCs w:val="14"/>
                <w:color w:val="auto"/>
              </w:rPr>
              <w:t>100</w:t>
            </w:r>
          </w:p>
        </w:tc>
        <w:tc>
          <w:tcPr>
            <w:tcW w:w="1720" w:type="dxa"/>
            <w:vAlign w:val="bottom"/>
          </w:tcPr>
          <w:p>
            <w:pPr>
              <w:ind w:left="60"/>
              <w:spacing w:after="0"/>
              <w:rPr>
                <w:sz w:val="20"/>
                <w:szCs w:val="20"/>
                <w:color w:val="auto"/>
              </w:rPr>
            </w:pPr>
            <w:r>
              <w:rPr>
                <w:rFonts w:ascii="Arial" w:cs="Arial" w:eastAsia="Arial" w:hAnsi="Arial"/>
                <w:sz w:val="14"/>
                <w:szCs w:val="14"/>
                <w:color w:val="auto"/>
              </w:rPr>
              <w:t>Switzerland</w:t>
            </w:r>
          </w:p>
        </w:tc>
        <w:tc>
          <w:tcPr>
            <w:tcW w:w="1380" w:type="dxa"/>
            <w:vAlign w:val="bottom"/>
          </w:tcPr>
          <w:p>
            <w:pPr>
              <w:ind w:left="260"/>
              <w:spacing w:after="0"/>
              <w:rPr>
                <w:sz w:val="20"/>
                <w:szCs w:val="20"/>
                <w:color w:val="auto"/>
              </w:rPr>
            </w:pPr>
            <w:r>
              <w:rPr>
                <w:rFonts w:ascii="Arial" w:cs="Arial" w:eastAsia="Arial" w:hAnsi="Arial"/>
                <w:sz w:val="14"/>
                <w:szCs w:val="14"/>
                <w:color w:val="auto"/>
              </w:rPr>
              <w:t>Corporate</w:t>
            </w:r>
          </w:p>
        </w:tc>
        <w:tc>
          <w:tcPr>
            <w:tcW w:w="2580" w:type="dxa"/>
            <w:vAlign w:val="bottom"/>
          </w:tcPr>
          <w:p>
            <w:pPr>
              <w:ind w:left="100"/>
              <w:spacing w:after="0"/>
              <w:rPr>
                <w:sz w:val="20"/>
                <w:szCs w:val="20"/>
                <w:color w:val="auto"/>
              </w:rPr>
            </w:pPr>
            <w:r>
              <w:rPr>
                <w:rFonts w:ascii="Arial" w:cs="Arial" w:eastAsia="Arial" w:hAnsi="Arial"/>
                <w:sz w:val="14"/>
                <w:szCs w:val="14"/>
                <w:color w:val="auto"/>
              </w:rPr>
              <w:t>Registered (Voting)</w:t>
            </w:r>
          </w:p>
        </w:tc>
        <w:tc>
          <w:tcPr>
            <w:tcW w:w="0" w:type="dxa"/>
            <w:vAlign w:val="bottom"/>
          </w:tcPr>
          <w:p>
            <w:pPr>
              <w:spacing w:after="0"/>
              <w:rPr>
                <w:sz w:val="1"/>
                <w:szCs w:val="1"/>
                <w:color w:val="auto"/>
              </w:rPr>
            </w:pPr>
          </w:p>
        </w:tc>
      </w:tr>
      <w:tr>
        <w:trPr>
          <w:trHeight w:val="162"/>
        </w:trPr>
        <w:tc>
          <w:tcPr>
            <w:tcW w:w="4340" w:type="dxa"/>
            <w:vAlign w:val="bottom"/>
          </w:tcPr>
          <w:p>
            <w:pPr>
              <w:spacing w:after="0"/>
              <w:rPr>
                <w:sz w:val="20"/>
                <w:szCs w:val="20"/>
                <w:color w:val="auto"/>
              </w:rPr>
            </w:pPr>
            <w:r>
              <w:rPr>
                <w:rFonts w:ascii="Arial" w:cs="Arial" w:eastAsia="Arial" w:hAnsi="Arial"/>
                <w:sz w:val="14"/>
                <w:szCs w:val="14"/>
                <w:color w:val="auto"/>
              </w:rPr>
              <w:t>Shell Energy Investments Limited</w:t>
            </w:r>
          </w:p>
        </w:tc>
        <w:tc>
          <w:tcPr>
            <w:tcW w:w="1400" w:type="dxa"/>
            <w:vAlign w:val="bottom"/>
            <w:gridSpan w:val="2"/>
          </w:tcPr>
          <w:p>
            <w:pPr>
              <w:jc w:val="right"/>
              <w:ind w:right="40"/>
              <w:spacing w:after="0"/>
              <w:rPr>
                <w:sz w:val="20"/>
                <w:szCs w:val="20"/>
                <w:color w:val="auto"/>
              </w:rPr>
            </w:pPr>
            <w:r>
              <w:rPr>
                <w:rFonts w:ascii="Arial" w:cs="Arial" w:eastAsia="Arial" w:hAnsi="Arial"/>
                <w:sz w:val="14"/>
                <w:szCs w:val="14"/>
                <w:color w:val="auto"/>
              </w:rPr>
              <w:t>100</w:t>
            </w:r>
          </w:p>
        </w:tc>
        <w:tc>
          <w:tcPr>
            <w:tcW w:w="1720" w:type="dxa"/>
            <w:vAlign w:val="bottom"/>
          </w:tcPr>
          <w:p>
            <w:pPr>
              <w:ind w:left="60"/>
              <w:spacing w:after="0"/>
              <w:rPr>
                <w:sz w:val="20"/>
                <w:szCs w:val="20"/>
                <w:color w:val="auto"/>
              </w:rPr>
            </w:pPr>
            <w:r>
              <w:rPr>
                <w:rFonts w:ascii="Arial" w:cs="Arial" w:eastAsia="Arial" w:hAnsi="Arial"/>
                <w:sz w:val="14"/>
                <w:szCs w:val="14"/>
                <w:color w:val="auto"/>
              </w:rPr>
              <w:t>UK</w:t>
            </w:r>
          </w:p>
        </w:tc>
        <w:tc>
          <w:tcPr>
            <w:tcW w:w="1380" w:type="dxa"/>
            <w:vAlign w:val="bottom"/>
          </w:tcPr>
          <w:p>
            <w:pPr>
              <w:ind w:left="260"/>
              <w:spacing w:after="0"/>
              <w:rPr>
                <w:sz w:val="20"/>
                <w:szCs w:val="20"/>
                <w:color w:val="auto"/>
              </w:rPr>
            </w:pPr>
            <w:r>
              <w:rPr>
                <w:rFonts w:ascii="Arial" w:cs="Arial" w:eastAsia="Arial" w:hAnsi="Arial"/>
                <w:sz w:val="14"/>
                <w:szCs w:val="14"/>
                <w:color w:val="auto"/>
              </w:rPr>
              <w:t>Corporate</w:t>
            </w:r>
          </w:p>
        </w:tc>
        <w:tc>
          <w:tcPr>
            <w:tcW w:w="2580" w:type="dxa"/>
            <w:vAlign w:val="bottom"/>
          </w:tcPr>
          <w:p>
            <w:pPr>
              <w:ind w:left="100"/>
              <w:spacing w:after="0"/>
              <w:rPr>
                <w:sz w:val="20"/>
                <w:szCs w:val="20"/>
                <w:color w:val="auto"/>
              </w:rPr>
            </w:pPr>
            <w:r>
              <w:rPr>
                <w:rFonts w:ascii="Arial" w:cs="Arial" w:eastAsia="Arial" w:hAnsi="Arial"/>
                <w:sz w:val="14"/>
                <w:szCs w:val="14"/>
                <w:color w:val="auto"/>
              </w:rPr>
              <w:t>Ordinary</w:t>
            </w:r>
          </w:p>
        </w:tc>
        <w:tc>
          <w:tcPr>
            <w:tcW w:w="0" w:type="dxa"/>
            <w:vAlign w:val="bottom"/>
          </w:tcPr>
          <w:p>
            <w:pPr>
              <w:spacing w:after="0"/>
              <w:rPr>
                <w:sz w:val="1"/>
                <w:szCs w:val="1"/>
                <w:color w:val="auto"/>
              </w:rPr>
            </w:pPr>
          </w:p>
        </w:tc>
      </w:tr>
      <w:tr>
        <w:trPr>
          <w:trHeight w:val="162"/>
        </w:trPr>
        <w:tc>
          <w:tcPr>
            <w:tcW w:w="4340" w:type="dxa"/>
            <w:vAlign w:val="bottom"/>
          </w:tcPr>
          <w:p>
            <w:pPr>
              <w:spacing w:after="0"/>
              <w:rPr>
                <w:sz w:val="20"/>
                <w:szCs w:val="20"/>
                <w:color w:val="auto"/>
              </w:rPr>
            </w:pPr>
            <w:r>
              <w:rPr>
                <w:rFonts w:ascii="Arial" w:cs="Arial" w:eastAsia="Arial" w:hAnsi="Arial"/>
                <w:sz w:val="14"/>
                <w:szCs w:val="14"/>
                <w:color w:val="auto"/>
              </w:rPr>
              <w:t>Shell Holdings (U.K.) Limited</w:t>
            </w:r>
          </w:p>
        </w:tc>
        <w:tc>
          <w:tcPr>
            <w:tcW w:w="1400" w:type="dxa"/>
            <w:vAlign w:val="bottom"/>
            <w:gridSpan w:val="2"/>
          </w:tcPr>
          <w:p>
            <w:pPr>
              <w:jc w:val="right"/>
              <w:ind w:right="40"/>
              <w:spacing w:after="0"/>
              <w:rPr>
                <w:sz w:val="20"/>
                <w:szCs w:val="20"/>
                <w:color w:val="auto"/>
              </w:rPr>
            </w:pPr>
            <w:r>
              <w:rPr>
                <w:rFonts w:ascii="Arial" w:cs="Arial" w:eastAsia="Arial" w:hAnsi="Arial"/>
                <w:sz w:val="14"/>
                <w:szCs w:val="14"/>
                <w:color w:val="auto"/>
              </w:rPr>
              <w:t>100</w:t>
            </w:r>
          </w:p>
        </w:tc>
        <w:tc>
          <w:tcPr>
            <w:tcW w:w="1720" w:type="dxa"/>
            <w:vAlign w:val="bottom"/>
          </w:tcPr>
          <w:p>
            <w:pPr>
              <w:ind w:left="60"/>
              <w:spacing w:after="0"/>
              <w:rPr>
                <w:sz w:val="20"/>
                <w:szCs w:val="20"/>
                <w:color w:val="auto"/>
              </w:rPr>
            </w:pPr>
            <w:r>
              <w:rPr>
                <w:rFonts w:ascii="Arial" w:cs="Arial" w:eastAsia="Arial" w:hAnsi="Arial"/>
                <w:sz w:val="14"/>
                <w:szCs w:val="14"/>
                <w:color w:val="auto"/>
              </w:rPr>
              <w:t>UK</w:t>
            </w:r>
          </w:p>
        </w:tc>
        <w:tc>
          <w:tcPr>
            <w:tcW w:w="1380" w:type="dxa"/>
            <w:vAlign w:val="bottom"/>
          </w:tcPr>
          <w:p>
            <w:pPr>
              <w:ind w:left="260"/>
              <w:spacing w:after="0"/>
              <w:rPr>
                <w:sz w:val="20"/>
                <w:szCs w:val="20"/>
                <w:color w:val="auto"/>
              </w:rPr>
            </w:pPr>
            <w:r>
              <w:rPr>
                <w:rFonts w:ascii="Arial" w:cs="Arial" w:eastAsia="Arial" w:hAnsi="Arial"/>
                <w:sz w:val="14"/>
                <w:szCs w:val="14"/>
                <w:color w:val="auto"/>
              </w:rPr>
              <w:t>Corporate</w:t>
            </w:r>
          </w:p>
        </w:tc>
        <w:tc>
          <w:tcPr>
            <w:tcW w:w="2580" w:type="dxa"/>
            <w:vAlign w:val="bottom"/>
          </w:tcPr>
          <w:p>
            <w:pPr>
              <w:ind w:left="100"/>
              <w:spacing w:after="0"/>
              <w:rPr>
                <w:sz w:val="20"/>
                <w:szCs w:val="20"/>
                <w:color w:val="auto"/>
              </w:rPr>
            </w:pPr>
            <w:r>
              <w:rPr>
                <w:rFonts w:ascii="Arial" w:cs="Arial" w:eastAsia="Arial" w:hAnsi="Arial"/>
                <w:sz w:val="14"/>
                <w:szCs w:val="14"/>
                <w:color w:val="auto"/>
              </w:rPr>
              <w:t>Ordinary</w:t>
            </w:r>
          </w:p>
        </w:tc>
        <w:tc>
          <w:tcPr>
            <w:tcW w:w="0" w:type="dxa"/>
            <w:vAlign w:val="bottom"/>
          </w:tcPr>
          <w:p>
            <w:pPr>
              <w:spacing w:after="0"/>
              <w:rPr>
                <w:sz w:val="1"/>
                <w:szCs w:val="1"/>
                <w:color w:val="auto"/>
              </w:rPr>
            </w:pPr>
          </w:p>
        </w:tc>
      </w:tr>
      <w:tr>
        <w:trPr>
          <w:trHeight w:val="162"/>
        </w:trPr>
        <w:tc>
          <w:tcPr>
            <w:tcW w:w="4340" w:type="dxa"/>
            <w:vAlign w:val="bottom"/>
          </w:tcPr>
          <w:p>
            <w:pPr>
              <w:spacing w:after="0"/>
              <w:rPr>
                <w:sz w:val="20"/>
                <w:szCs w:val="20"/>
                <w:color w:val="auto"/>
              </w:rPr>
            </w:pPr>
            <w:r>
              <w:rPr>
                <w:rFonts w:ascii="Arial" w:cs="Arial" w:eastAsia="Arial" w:hAnsi="Arial"/>
                <w:sz w:val="14"/>
                <w:szCs w:val="14"/>
                <w:color w:val="auto"/>
              </w:rPr>
              <w:t>Shell Overseas Holdings Limited</w:t>
            </w:r>
          </w:p>
        </w:tc>
        <w:tc>
          <w:tcPr>
            <w:tcW w:w="1400" w:type="dxa"/>
            <w:vAlign w:val="bottom"/>
            <w:gridSpan w:val="2"/>
          </w:tcPr>
          <w:p>
            <w:pPr>
              <w:jc w:val="right"/>
              <w:ind w:right="40"/>
              <w:spacing w:after="0"/>
              <w:rPr>
                <w:sz w:val="20"/>
                <w:szCs w:val="20"/>
                <w:color w:val="auto"/>
              </w:rPr>
            </w:pPr>
            <w:r>
              <w:rPr>
                <w:rFonts w:ascii="Arial" w:cs="Arial" w:eastAsia="Arial" w:hAnsi="Arial"/>
                <w:sz w:val="14"/>
                <w:szCs w:val="14"/>
                <w:color w:val="auto"/>
              </w:rPr>
              <w:t>100</w:t>
            </w:r>
          </w:p>
        </w:tc>
        <w:tc>
          <w:tcPr>
            <w:tcW w:w="1720" w:type="dxa"/>
            <w:vAlign w:val="bottom"/>
          </w:tcPr>
          <w:p>
            <w:pPr>
              <w:ind w:left="60"/>
              <w:spacing w:after="0"/>
              <w:rPr>
                <w:sz w:val="20"/>
                <w:szCs w:val="20"/>
                <w:color w:val="auto"/>
              </w:rPr>
            </w:pPr>
            <w:r>
              <w:rPr>
                <w:rFonts w:ascii="Arial" w:cs="Arial" w:eastAsia="Arial" w:hAnsi="Arial"/>
                <w:sz w:val="14"/>
                <w:szCs w:val="14"/>
                <w:color w:val="auto"/>
              </w:rPr>
              <w:t>UK</w:t>
            </w:r>
          </w:p>
        </w:tc>
        <w:tc>
          <w:tcPr>
            <w:tcW w:w="1380" w:type="dxa"/>
            <w:vAlign w:val="bottom"/>
          </w:tcPr>
          <w:p>
            <w:pPr>
              <w:ind w:left="260"/>
              <w:spacing w:after="0"/>
              <w:rPr>
                <w:sz w:val="20"/>
                <w:szCs w:val="20"/>
                <w:color w:val="auto"/>
              </w:rPr>
            </w:pPr>
            <w:r>
              <w:rPr>
                <w:rFonts w:ascii="Arial" w:cs="Arial" w:eastAsia="Arial" w:hAnsi="Arial"/>
                <w:sz w:val="14"/>
                <w:szCs w:val="14"/>
                <w:color w:val="auto"/>
              </w:rPr>
              <w:t>Corporate</w:t>
            </w:r>
          </w:p>
        </w:tc>
        <w:tc>
          <w:tcPr>
            <w:tcW w:w="2580" w:type="dxa"/>
            <w:vAlign w:val="bottom"/>
          </w:tcPr>
          <w:p>
            <w:pPr>
              <w:ind w:left="100"/>
              <w:spacing w:after="0"/>
              <w:rPr>
                <w:sz w:val="20"/>
                <w:szCs w:val="20"/>
                <w:color w:val="auto"/>
              </w:rPr>
            </w:pPr>
            <w:r>
              <w:rPr>
                <w:rFonts w:ascii="Arial" w:cs="Arial" w:eastAsia="Arial" w:hAnsi="Arial"/>
                <w:sz w:val="14"/>
                <w:szCs w:val="14"/>
                <w:color w:val="auto"/>
              </w:rPr>
              <w:t>Ordinary</w:t>
            </w:r>
          </w:p>
        </w:tc>
        <w:tc>
          <w:tcPr>
            <w:tcW w:w="0" w:type="dxa"/>
            <w:vAlign w:val="bottom"/>
          </w:tcPr>
          <w:p>
            <w:pPr>
              <w:spacing w:after="0"/>
              <w:rPr>
                <w:sz w:val="1"/>
                <w:szCs w:val="1"/>
                <w:color w:val="auto"/>
              </w:rPr>
            </w:pPr>
          </w:p>
        </w:tc>
      </w:tr>
      <w:tr>
        <w:trPr>
          <w:trHeight w:val="162"/>
        </w:trPr>
        <w:tc>
          <w:tcPr>
            <w:tcW w:w="4340" w:type="dxa"/>
            <w:vAlign w:val="bottom"/>
          </w:tcPr>
          <w:p>
            <w:pPr>
              <w:spacing w:after="0"/>
              <w:rPr>
                <w:sz w:val="20"/>
                <w:szCs w:val="20"/>
                <w:color w:val="auto"/>
              </w:rPr>
            </w:pPr>
            <w:r>
              <w:rPr>
                <w:rFonts w:ascii="Arial" w:cs="Arial" w:eastAsia="Arial" w:hAnsi="Arial"/>
                <w:sz w:val="14"/>
                <w:szCs w:val="14"/>
                <w:color w:val="auto"/>
              </w:rPr>
              <w:t>Shell Treasury Centre Limited</w:t>
            </w:r>
          </w:p>
        </w:tc>
        <w:tc>
          <w:tcPr>
            <w:tcW w:w="1400" w:type="dxa"/>
            <w:vAlign w:val="bottom"/>
            <w:gridSpan w:val="2"/>
          </w:tcPr>
          <w:p>
            <w:pPr>
              <w:jc w:val="right"/>
              <w:ind w:right="40"/>
              <w:spacing w:after="0"/>
              <w:rPr>
                <w:sz w:val="20"/>
                <w:szCs w:val="20"/>
                <w:color w:val="auto"/>
              </w:rPr>
            </w:pPr>
            <w:r>
              <w:rPr>
                <w:rFonts w:ascii="Arial" w:cs="Arial" w:eastAsia="Arial" w:hAnsi="Arial"/>
                <w:sz w:val="14"/>
                <w:szCs w:val="14"/>
                <w:color w:val="auto"/>
              </w:rPr>
              <w:t>100</w:t>
            </w:r>
          </w:p>
        </w:tc>
        <w:tc>
          <w:tcPr>
            <w:tcW w:w="1720" w:type="dxa"/>
            <w:vAlign w:val="bottom"/>
          </w:tcPr>
          <w:p>
            <w:pPr>
              <w:ind w:left="60"/>
              <w:spacing w:after="0"/>
              <w:rPr>
                <w:sz w:val="20"/>
                <w:szCs w:val="20"/>
                <w:color w:val="auto"/>
              </w:rPr>
            </w:pPr>
            <w:r>
              <w:rPr>
                <w:rFonts w:ascii="Arial" w:cs="Arial" w:eastAsia="Arial" w:hAnsi="Arial"/>
                <w:sz w:val="14"/>
                <w:szCs w:val="14"/>
                <w:color w:val="auto"/>
              </w:rPr>
              <w:t>UK</w:t>
            </w:r>
          </w:p>
        </w:tc>
        <w:tc>
          <w:tcPr>
            <w:tcW w:w="1380" w:type="dxa"/>
            <w:vAlign w:val="bottom"/>
          </w:tcPr>
          <w:p>
            <w:pPr>
              <w:ind w:left="260"/>
              <w:spacing w:after="0"/>
              <w:rPr>
                <w:sz w:val="20"/>
                <w:szCs w:val="20"/>
                <w:color w:val="auto"/>
              </w:rPr>
            </w:pPr>
            <w:r>
              <w:rPr>
                <w:rFonts w:ascii="Arial" w:cs="Arial" w:eastAsia="Arial" w:hAnsi="Arial"/>
                <w:sz w:val="14"/>
                <w:szCs w:val="14"/>
                <w:color w:val="auto"/>
              </w:rPr>
              <w:t>Corporate</w:t>
            </w:r>
          </w:p>
        </w:tc>
        <w:tc>
          <w:tcPr>
            <w:tcW w:w="2580" w:type="dxa"/>
            <w:vAlign w:val="bottom"/>
          </w:tcPr>
          <w:p>
            <w:pPr>
              <w:ind w:left="100"/>
              <w:spacing w:after="0"/>
              <w:rPr>
                <w:sz w:val="20"/>
                <w:szCs w:val="20"/>
                <w:color w:val="auto"/>
              </w:rPr>
            </w:pPr>
            <w:r>
              <w:rPr>
                <w:rFonts w:ascii="Arial" w:cs="Arial" w:eastAsia="Arial" w:hAnsi="Arial"/>
                <w:sz w:val="14"/>
                <w:szCs w:val="14"/>
                <w:color w:val="auto"/>
              </w:rPr>
              <w:t>Ordinary</w:t>
            </w:r>
          </w:p>
        </w:tc>
        <w:tc>
          <w:tcPr>
            <w:tcW w:w="0" w:type="dxa"/>
            <w:vAlign w:val="bottom"/>
          </w:tcPr>
          <w:p>
            <w:pPr>
              <w:spacing w:after="0"/>
              <w:rPr>
                <w:sz w:val="1"/>
                <w:szCs w:val="1"/>
                <w:color w:val="auto"/>
              </w:rPr>
            </w:pPr>
          </w:p>
        </w:tc>
      </w:tr>
      <w:tr>
        <w:trPr>
          <w:trHeight w:val="162"/>
        </w:trPr>
        <w:tc>
          <w:tcPr>
            <w:tcW w:w="4340" w:type="dxa"/>
            <w:vAlign w:val="bottom"/>
          </w:tcPr>
          <w:p>
            <w:pPr>
              <w:spacing w:after="0"/>
              <w:rPr>
                <w:sz w:val="20"/>
                <w:szCs w:val="20"/>
                <w:color w:val="auto"/>
              </w:rPr>
            </w:pPr>
            <w:r>
              <w:rPr>
                <w:rFonts w:ascii="Arial" w:cs="Arial" w:eastAsia="Arial" w:hAnsi="Arial"/>
                <w:sz w:val="14"/>
                <w:szCs w:val="14"/>
                <w:color w:val="auto"/>
              </w:rPr>
              <w:t>Shell Treasury Dollar Company Limited</w:t>
            </w:r>
          </w:p>
        </w:tc>
        <w:tc>
          <w:tcPr>
            <w:tcW w:w="1400" w:type="dxa"/>
            <w:vAlign w:val="bottom"/>
            <w:gridSpan w:val="2"/>
          </w:tcPr>
          <w:p>
            <w:pPr>
              <w:jc w:val="right"/>
              <w:ind w:right="40"/>
              <w:spacing w:after="0"/>
              <w:rPr>
                <w:sz w:val="20"/>
                <w:szCs w:val="20"/>
                <w:color w:val="auto"/>
              </w:rPr>
            </w:pPr>
            <w:r>
              <w:rPr>
                <w:rFonts w:ascii="Arial" w:cs="Arial" w:eastAsia="Arial" w:hAnsi="Arial"/>
                <w:sz w:val="14"/>
                <w:szCs w:val="14"/>
                <w:color w:val="auto"/>
              </w:rPr>
              <w:t>100</w:t>
            </w:r>
          </w:p>
        </w:tc>
        <w:tc>
          <w:tcPr>
            <w:tcW w:w="1720" w:type="dxa"/>
            <w:vAlign w:val="bottom"/>
          </w:tcPr>
          <w:p>
            <w:pPr>
              <w:ind w:left="60"/>
              <w:spacing w:after="0"/>
              <w:rPr>
                <w:sz w:val="20"/>
                <w:szCs w:val="20"/>
                <w:color w:val="auto"/>
              </w:rPr>
            </w:pPr>
            <w:r>
              <w:rPr>
                <w:rFonts w:ascii="Arial" w:cs="Arial" w:eastAsia="Arial" w:hAnsi="Arial"/>
                <w:sz w:val="14"/>
                <w:szCs w:val="14"/>
                <w:color w:val="auto"/>
              </w:rPr>
              <w:t>UK</w:t>
            </w:r>
          </w:p>
        </w:tc>
        <w:tc>
          <w:tcPr>
            <w:tcW w:w="1380" w:type="dxa"/>
            <w:vAlign w:val="bottom"/>
          </w:tcPr>
          <w:p>
            <w:pPr>
              <w:ind w:left="260"/>
              <w:spacing w:after="0"/>
              <w:rPr>
                <w:sz w:val="20"/>
                <w:szCs w:val="20"/>
                <w:color w:val="auto"/>
              </w:rPr>
            </w:pPr>
            <w:r>
              <w:rPr>
                <w:rFonts w:ascii="Arial" w:cs="Arial" w:eastAsia="Arial" w:hAnsi="Arial"/>
                <w:sz w:val="14"/>
                <w:szCs w:val="14"/>
                <w:color w:val="auto"/>
              </w:rPr>
              <w:t>Corporate</w:t>
            </w:r>
          </w:p>
        </w:tc>
        <w:tc>
          <w:tcPr>
            <w:tcW w:w="2580" w:type="dxa"/>
            <w:vAlign w:val="bottom"/>
          </w:tcPr>
          <w:p>
            <w:pPr>
              <w:ind w:left="100"/>
              <w:spacing w:after="0"/>
              <w:rPr>
                <w:sz w:val="20"/>
                <w:szCs w:val="20"/>
                <w:color w:val="auto"/>
              </w:rPr>
            </w:pPr>
            <w:r>
              <w:rPr>
                <w:rFonts w:ascii="Arial" w:cs="Arial" w:eastAsia="Arial" w:hAnsi="Arial"/>
                <w:sz w:val="14"/>
                <w:szCs w:val="14"/>
                <w:color w:val="auto"/>
              </w:rPr>
              <w:t>Ordinary, redeemable</w:t>
            </w:r>
          </w:p>
        </w:tc>
        <w:tc>
          <w:tcPr>
            <w:tcW w:w="0" w:type="dxa"/>
            <w:vAlign w:val="bottom"/>
          </w:tcPr>
          <w:p>
            <w:pPr>
              <w:spacing w:after="0"/>
              <w:rPr>
                <w:sz w:val="1"/>
                <w:szCs w:val="1"/>
                <w:color w:val="auto"/>
              </w:rPr>
            </w:pPr>
          </w:p>
        </w:tc>
      </w:tr>
      <w:tr>
        <w:trPr>
          <w:trHeight w:val="162"/>
        </w:trPr>
        <w:tc>
          <w:tcPr>
            <w:tcW w:w="4340" w:type="dxa"/>
            <w:vAlign w:val="bottom"/>
          </w:tcPr>
          <w:p>
            <w:pPr>
              <w:spacing w:after="0"/>
              <w:rPr>
                <w:sz w:val="20"/>
                <w:szCs w:val="20"/>
                <w:color w:val="auto"/>
              </w:rPr>
            </w:pPr>
            <w:r>
              <w:rPr>
                <w:rFonts w:ascii="Arial" w:cs="Arial" w:eastAsia="Arial" w:hAnsi="Arial"/>
                <w:sz w:val="14"/>
                <w:szCs w:val="14"/>
                <w:color w:val="auto"/>
              </w:rPr>
              <w:t>Shell Treasury U.K. Limited</w:t>
            </w:r>
          </w:p>
        </w:tc>
        <w:tc>
          <w:tcPr>
            <w:tcW w:w="1400" w:type="dxa"/>
            <w:vAlign w:val="bottom"/>
            <w:gridSpan w:val="2"/>
          </w:tcPr>
          <w:p>
            <w:pPr>
              <w:jc w:val="right"/>
              <w:ind w:right="40"/>
              <w:spacing w:after="0"/>
              <w:rPr>
                <w:sz w:val="20"/>
                <w:szCs w:val="20"/>
                <w:color w:val="auto"/>
              </w:rPr>
            </w:pPr>
            <w:r>
              <w:rPr>
                <w:rFonts w:ascii="Arial" w:cs="Arial" w:eastAsia="Arial" w:hAnsi="Arial"/>
                <w:sz w:val="14"/>
                <w:szCs w:val="14"/>
                <w:color w:val="auto"/>
              </w:rPr>
              <w:t>100</w:t>
            </w:r>
          </w:p>
        </w:tc>
        <w:tc>
          <w:tcPr>
            <w:tcW w:w="1720" w:type="dxa"/>
            <w:vAlign w:val="bottom"/>
          </w:tcPr>
          <w:p>
            <w:pPr>
              <w:ind w:left="60"/>
              <w:spacing w:after="0"/>
              <w:rPr>
                <w:sz w:val="20"/>
                <w:szCs w:val="20"/>
                <w:color w:val="auto"/>
              </w:rPr>
            </w:pPr>
            <w:r>
              <w:rPr>
                <w:rFonts w:ascii="Arial" w:cs="Arial" w:eastAsia="Arial" w:hAnsi="Arial"/>
                <w:sz w:val="14"/>
                <w:szCs w:val="14"/>
                <w:color w:val="auto"/>
              </w:rPr>
              <w:t>UK</w:t>
            </w:r>
          </w:p>
        </w:tc>
        <w:tc>
          <w:tcPr>
            <w:tcW w:w="1380" w:type="dxa"/>
            <w:vAlign w:val="bottom"/>
          </w:tcPr>
          <w:p>
            <w:pPr>
              <w:ind w:left="260"/>
              <w:spacing w:after="0"/>
              <w:rPr>
                <w:sz w:val="20"/>
                <w:szCs w:val="20"/>
                <w:color w:val="auto"/>
              </w:rPr>
            </w:pPr>
            <w:r>
              <w:rPr>
                <w:rFonts w:ascii="Arial" w:cs="Arial" w:eastAsia="Arial" w:hAnsi="Arial"/>
                <w:sz w:val="14"/>
                <w:szCs w:val="14"/>
                <w:color w:val="auto"/>
              </w:rPr>
              <w:t>Corporate</w:t>
            </w:r>
          </w:p>
        </w:tc>
        <w:tc>
          <w:tcPr>
            <w:tcW w:w="2580" w:type="dxa"/>
            <w:vAlign w:val="bottom"/>
          </w:tcPr>
          <w:p>
            <w:pPr>
              <w:ind w:left="100"/>
              <w:spacing w:after="0"/>
              <w:rPr>
                <w:sz w:val="20"/>
                <w:szCs w:val="20"/>
                <w:color w:val="auto"/>
              </w:rPr>
            </w:pPr>
            <w:r>
              <w:rPr>
                <w:rFonts w:ascii="Arial" w:cs="Arial" w:eastAsia="Arial" w:hAnsi="Arial"/>
                <w:sz w:val="14"/>
                <w:szCs w:val="14"/>
                <w:color w:val="auto"/>
              </w:rPr>
              <w:t>Ordinary</w:t>
            </w:r>
          </w:p>
        </w:tc>
        <w:tc>
          <w:tcPr>
            <w:tcW w:w="0" w:type="dxa"/>
            <w:vAlign w:val="bottom"/>
          </w:tcPr>
          <w:p>
            <w:pPr>
              <w:spacing w:after="0"/>
              <w:rPr>
                <w:sz w:val="1"/>
                <w:szCs w:val="1"/>
                <w:color w:val="auto"/>
              </w:rPr>
            </w:pPr>
          </w:p>
        </w:tc>
      </w:tr>
      <w:tr>
        <w:trPr>
          <w:trHeight w:val="162"/>
        </w:trPr>
        <w:tc>
          <w:tcPr>
            <w:tcW w:w="4340" w:type="dxa"/>
            <w:vAlign w:val="bottom"/>
          </w:tcPr>
          <w:p>
            <w:pPr>
              <w:spacing w:after="0"/>
              <w:rPr>
                <w:sz w:val="20"/>
                <w:szCs w:val="20"/>
                <w:color w:val="auto"/>
              </w:rPr>
            </w:pPr>
            <w:r>
              <w:rPr>
                <w:rFonts w:ascii="Arial" w:cs="Arial" w:eastAsia="Arial" w:hAnsi="Arial"/>
                <w:sz w:val="14"/>
                <w:szCs w:val="14"/>
                <w:color w:val="auto"/>
              </w:rPr>
              <w:t>The Shell Petroleum Company Limited</w:t>
            </w:r>
          </w:p>
        </w:tc>
        <w:tc>
          <w:tcPr>
            <w:tcW w:w="1400" w:type="dxa"/>
            <w:vAlign w:val="bottom"/>
            <w:gridSpan w:val="2"/>
          </w:tcPr>
          <w:p>
            <w:pPr>
              <w:jc w:val="right"/>
              <w:ind w:right="40"/>
              <w:spacing w:after="0"/>
              <w:rPr>
                <w:sz w:val="20"/>
                <w:szCs w:val="20"/>
                <w:color w:val="auto"/>
              </w:rPr>
            </w:pPr>
            <w:r>
              <w:rPr>
                <w:rFonts w:ascii="Arial" w:cs="Arial" w:eastAsia="Arial" w:hAnsi="Arial"/>
                <w:sz w:val="14"/>
                <w:szCs w:val="14"/>
                <w:color w:val="auto"/>
              </w:rPr>
              <w:t>100</w:t>
            </w:r>
          </w:p>
        </w:tc>
        <w:tc>
          <w:tcPr>
            <w:tcW w:w="1720" w:type="dxa"/>
            <w:vAlign w:val="bottom"/>
          </w:tcPr>
          <w:p>
            <w:pPr>
              <w:ind w:left="60"/>
              <w:spacing w:after="0"/>
              <w:rPr>
                <w:sz w:val="20"/>
                <w:szCs w:val="20"/>
                <w:color w:val="auto"/>
              </w:rPr>
            </w:pPr>
            <w:r>
              <w:rPr>
                <w:rFonts w:ascii="Arial" w:cs="Arial" w:eastAsia="Arial" w:hAnsi="Arial"/>
                <w:sz w:val="14"/>
                <w:szCs w:val="14"/>
                <w:color w:val="auto"/>
              </w:rPr>
              <w:t>UK</w:t>
            </w:r>
          </w:p>
        </w:tc>
        <w:tc>
          <w:tcPr>
            <w:tcW w:w="1380" w:type="dxa"/>
            <w:vAlign w:val="bottom"/>
          </w:tcPr>
          <w:p>
            <w:pPr>
              <w:ind w:left="260"/>
              <w:spacing w:after="0"/>
              <w:rPr>
                <w:sz w:val="20"/>
                <w:szCs w:val="20"/>
                <w:color w:val="auto"/>
              </w:rPr>
            </w:pPr>
            <w:r>
              <w:rPr>
                <w:rFonts w:ascii="Arial" w:cs="Arial" w:eastAsia="Arial" w:hAnsi="Arial"/>
                <w:sz w:val="14"/>
                <w:szCs w:val="14"/>
                <w:color w:val="auto"/>
              </w:rPr>
              <w:t>Corporate</w:t>
            </w:r>
          </w:p>
        </w:tc>
        <w:tc>
          <w:tcPr>
            <w:tcW w:w="2580" w:type="dxa"/>
            <w:vAlign w:val="bottom"/>
          </w:tcPr>
          <w:p>
            <w:pPr>
              <w:ind w:left="100"/>
              <w:spacing w:after="0"/>
              <w:rPr>
                <w:sz w:val="20"/>
                <w:szCs w:val="20"/>
                <w:color w:val="auto"/>
              </w:rPr>
            </w:pPr>
            <w:r>
              <w:rPr>
                <w:rFonts w:ascii="Arial" w:cs="Arial" w:eastAsia="Arial" w:hAnsi="Arial"/>
                <w:sz w:val="14"/>
                <w:szCs w:val="14"/>
                <w:color w:val="auto"/>
              </w:rPr>
              <w:t>Ordinary</w:t>
            </w:r>
          </w:p>
        </w:tc>
        <w:tc>
          <w:tcPr>
            <w:tcW w:w="0" w:type="dxa"/>
            <w:vAlign w:val="bottom"/>
          </w:tcPr>
          <w:p>
            <w:pPr>
              <w:spacing w:after="0"/>
              <w:rPr>
                <w:sz w:val="1"/>
                <w:szCs w:val="1"/>
                <w:color w:val="auto"/>
              </w:rPr>
            </w:pPr>
          </w:p>
        </w:tc>
      </w:tr>
      <w:tr>
        <w:trPr>
          <w:trHeight w:val="162"/>
        </w:trPr>
        <w:tc>
          <w:tcPr>
            <w:tcW w:w="4340" w:type="dxa"/>
            <w:vAlign w:val="bottom"/>
          </w:tcPr>
          <w:p>
            <w:pPr>
              <w:spacing w:after="0"/>
              <w:rPr>
                <w:sz w:val="20"/>
                <w:szCs w:val="20"/>
                <w:color w:val="auto"/>
              </w:rPr>
            </w:pPr>
            <w:r>
              <w:rPr>
                <w:rFonts w:ascii="Arial" w:cs="Arial" w:eastAsia="Arial" w:hAnsi="Arial"/>
                <w:sz w:val="14"/>
                <w:szCs w:val="14"/>
                <w:color w:val="auto"/>
              </w:rPr>
              <w:t>The Shell Transport and Trading Company Limited</w:t>
            </w:r>
          </w:p>
        </w:tc>
        <w:tc>
          <w:tcPr>
            <w:tcW w:w="1400" w:type="dxa"/>
            <w:vAlign w:val="bottom"/>
            <w:gridSpan w:val="2"/>
          </w:tcPr>
          <w:p>
            <w:pPr>
              <w:jc w:val="right"/>
              <w:ind w:right="40"/>
              <w:spacing w:after="0"/>
              <w:rPr>
                <w:sz w:val="20"/>
                <w:szCs w:val="20"/>
                <w:color w:val="auto"/>
              </w:rPr>
            </w:pPr>
            <w:r>
              <w:rPr>
                <w:rFonts w:ascii="Arial" w:cs="Arial" w:eastAsia="Arial" w:hAnsi="Arial"/>
                <w:sz w:val="14"/>
                <w:szCs w:val="14"/>
                <w:color w:val="auto"/>
              </w:rPr>
              <w:t>100</w:t>
            </w:r>
          </w:p>
        </w:tc>
        <w:tc>
          <w:tcPr>
            <w:tcW w:w="1720" w:type="dxa"/>
            <w:vAlign w:val="bottom"/>
          </w:tcPr>
          <w:p>
            <w:pPr>
              <w:ind w:left="60"/>
              <w:spacing w:after="0"/>
              <w:rPr>
                <w:sz w:val="20"/>
                <w:szCs w:val="20"/>
                <w:color w:val="auto"/>
              </w:rPr>
            </w:pPr>
            <w:r>
              <w:rPr>
                <w:rFonts w:ascii="Arial" w:cs="Arial" w:eastAsia="Arial" w:hAnsi="Arial"/>
                <w:sz w:val="14"/>
                <w:szCs w:val="14"/>
                <w:color w:val="auto"/>
              </w:rPr>
              <w:t>UK</w:t>
            </w:r>
          </w:p>
        </w:tc>
        <w:tc>
          <w:tcPr>
            <w:tcW w:w="1380" w:type="dxa"/>
            <w:vAlign w:val="bottom"/>
          </w:tcPr>
          <w:p>
            <w:pPr>
              <w:ind w:left="260"/>
              <w:spacing w:after="0"/>
              <w:rPr>
                <w:sz w:val="20"/>
                <w:szCs w:val="20"/>
                <w:color w:val="auto"/>
              </w:rPr>
            </w:pPr>
            <w:r>
              <w:rPr>
                <w:rFonts w:ascii="Arial" w:cs="Arial" w:eastAsia="Arial" w:hAnsi="Arial"/>
                <w:sz w:val="14"/>
                <w:szCs w:val="14"/>
                <w:color w:val="auto"/>
              </w:rPr>
              <w:t>Corporate</w:t>
            </w:r>
          </w:p>
        </w:tc>
        <w:tc>
          <w:tcPr>
            <w:tcW w:w="2580" w:type="dxa"/>
            <w:vAlign w:val="bottom"/>
          </w:tcPr>
          <w:p>
            <w:pPr>
              <w:ind w:left="100"/>
              <w:spacing w:after="0"/>
              <w:rPr>
                <w:sz w:val="20"/>
                <w:szCs w:val="20"/>
                <w:color w:val="auto"/>
              </w:rPr>
            </w:pPr>
            <w:r>
              <w:rPr>
                <w:rFonts w:ascii="Arial" w:cs="Arial" w:eastAsia="Arial" w:hAnsi="Arial"/>
                <w:sz w:val="14"/>
                <w:szCs w:val="14"/>
                <w:color w:val="auto"/>
              </w:rPr>
              <w:t>Ordinary, redeemable</w:t>
            </w:r>
          </w:p>
        </w:tc>
        <w:tc>
          <w:tcPr>
            <w:tcW w:w="0" w:type="dxa"/>
            <w:vAlign w:val="bottom"/>
          </w:tcPr>
          <w:p>
            <w:pPr>
              <w:spacing w:after="0"/>
              <w:rPr>
                <w:sz w:val="1"/>
                <w:szCs w:val="1"/>
                <w:color w:val="auto"/>
              </w:rPr>
            </w:pPr>
          </w:p>
        </w:tc>
      </w:tr>
      <w:tr>
        <w:trPr>
          <w:trHeight w:val="162"/>
        </w:trPr>
        <w:tc>
          <w:tcPr>
            <w:tcW w:w="4340" w:type="dxa"/>
            <w:vAlign w:val="bottom"/>
          </w:tcPr>
          <w:p>
            <w:pPr>
              <w:spacing w:after="0"/>
              <w:rPr>
                <w:sz w:val="20"/>
                <w:szCs w:val="20"/>
                <w:color w:val="auto"/>
              </w:rPr>
            </w:pPr>
            <w:r>
              <w:rPr>
                <w:rFonts w:ascii="Arial" w:cs="Arial" w:eastAsia="Arial" w:hAnsi="Arial"/>
                <w:sz w:val="14"/>
                <w:szCs w:val="14"/>
                <w:color w:val="auto"/>
              </w:rPr>
              <w:t>Pecten Victoria Company</w:t>
            </w:r>
          </w:p>
        </w:tc>
        <w:tc>
          <w:tcPr>
            <w:tcW w:w="1400" w:type="dxa"/>
            <w:vAlign w:val="bottom"/>
            <w:gridSpan w:val="2"/>
          </w:tcPr>
          <w:p>
            <w:pPr>
              <w:jc w:val="right"/>
              <w:ind w:right="40"/>
              <w:spacing w:after="0"/>
              <w:rPr>
                <w:sz w:val="20"/>
                <w:szCs w:val="20"/>
                <w:color w:val="auto"/>
              </w:rPr>
            </w:pPr>
            <w:r>
              <w:rPr>
                <w:rFonts w:ascii="Arial" w:cs="Arial" w:eastAsia="Arial" w:hAnsi="Arial"/>
                <w:sz w:val="14"/>
                <w:szCs w:val="14"/>
                <w:color w:val="auto"/>
              </w:rPr>
              <w:t>100</w:t>
            </w:r>
          </w:p>
        </w:tc>
        <w:tc>
          <w:tcPr>
            <w:tcW w:w="1720" w:type="dxa"/>
            <w:vAlign w:val="bottom"/>
          </w:tcPr>
          <w:p>
            <w:pPr>
              <w:ind w:left="60"/>
              <w:spacing w:after="0"/>
              <w:rPr>
                <w:sz w:val="20"/>
                <w:szCs w:val="20"/>
                <w:color w:val="auto"/>
              </w:rPr>
            </w:pPr>
            <w:r>
              <w:rPr>
                <w:rFonts w:ascii="Arial" w:cs="Arial" w:eastAsia="Arial" w:hAnsi="Arial"/>
                <w:sz w:val="14"/>
                <w:szCs w:val="14"/>
                <w:color w:val="auto"/>
              </w:rPr>
              <w:t>USA</w:t>
            </w:r>
          </w:p>
        </w:tc>
        <w:tc>
          <w:tcPr>
            <w:tcW w:w="1380" w:type="dxa"/>
            <w:vAlign w:val="bottom"/>
          </w:tcPr>
          <w:p>
            <w:pPr>
              <w:ind w:left="260"/>
              <w:spacing w:after="0"/>
              <w:rPr>
                <w:sz w:val="20"/>
                <w:szCs w:val="20"/>
                <w:color w:val="auto"/>
              </w:rPr>
            </w:pPr>
            <w:r>
              <w:rPr>
                <w:rFonts w:ascii="Arial" w:cs="Arial" w:eastAsia="Arial" w:hAnsi="Arial"/>
                <w:sz w:val="14"/>
                <w:szCs w:val="14"/>
                <w:color w:val="auto"/>
              </w:rPr>
              <w:t>Corporate</w:t>
            </w:r>
          </w:p>
        </w:tc>
        <w:tc>
          <w:tcPr>
            <w:tcW w:w="2580" w:type="dxa"/>
            <w:vAlign w:val="bottom"/>
          </w:tcPr>
          <w:p>
            <w:pPr>
              <w:ind w:left="100"/>
              <w:spacing w:after="0"/>
              <w:rPr>
                <w:sz w:val="20"/>
                <w:szCs w:val="20"/>
                <w:color w:val="auto"/>
              </w:rPr>
            </w:pPr>
            <w:r>
              <w:rPr>
                <w:rFonts w:ascii="Arial" w:cs="Arial" w:eastAsia="Arial" w:hAnsi="Arial"/>
                <w:sz w:val="14"/>
                <w:szCs w:val="14"/>
                <w:color w:val="auto"/>
              </w:rPr>
              <w:t>Ordinary</w:t>
            </w:r>
          </w:p>
        </w:tc>
        <w:tc>
          <w:tcPr>
            <w:tcW w:w="0" w:type="dxa"/>
            <w:vAlign w:val="bottom"/>
          </w:tcPr>
          <w:p>
            <w:pPr>
              <w:spacing w:after="0"/>
              <w:rPr>
                <w:sz w:val="1"/>
                <w:szCs w:val="1"/>
                <w:color w:val="auto"/>
              </w:rPr>
            </w:pPr>
          </w:p>
        </w:tc>
      </w:tr>
      <w:tr>
        <w:trPr>
          <w:trHeight w:val="162"/>
        </w:trPr>
        <w:tc>
          <w:tcPr>
            <w:tcW w:w="4340" w:type="dxa"/>
            <w:vAlign w:val="bottom"/>
          </w:tcPr>
          <w:p>
            <w:pPr>
              <w:spacing w:after="0"/>
              <w:rPr>
                <w:sz w:val="20"/>
                <w:szCs w:val="20"/>
                <w:color w:val="auto"/>
              </w:rPr>
            </w:pPr>
            <w:r>
              <w:rPr>
                <w:rFonts w:ascii="Arial" w:cs="Arial" w:eastAsia="Arial" w:hAnsi="Arial"/>
                <w:sz w:val="14"/>
                <w:szCs w:val="14"/>
                <w:color w:val="auto"/>
              </w:rPr>
              <w:t>Shell Oil Company</w:t>
            </w:r>
          </w:p>
        </w:tc>
        <w:tc>
          <w:tcPr>
            <w:tcW w:w="1400" w:type="dxa"/>
            <w:vAlign w:val="bottom"/>
            <w:gridSpan w:val="2"/>
          </w:tcPr>
          <w:p>
            <w:pPr>
              <w:jc w:val="right"/>
              <w:ind w:right="40"/>
              <w:spacing w:after="0"/>
              <w:rPr>
                <w:sz w:val="20"/>
                <w:szCs w:val="20"/>
                <w:color w:val="auto"/>
              </w:rPr>
            </w:pPr>
            <w:r>
              <w:rPr>
                <w:rFonts w:ascii="Arial" w:cs="Arial" w:eastAsia="Arial" w:hAnsi="Arial"/>
                <w:sz w:val="14"/>
                <w:szCs w:val="14"/>
                <w:color w:val="auto"/>
              </w:rPr>
              <w:t>100</w:t>
            </w:r>
          </w:p>
        </w:tc>
        <w:tc>
          <w:tcPr>
            <w:tcW w:w="1720" w:type="dxa"/>
            <w:vAlign w:val="bottom"/>
          </w:tcPr>
          <w:p>
            <w:pPr>
              <w:ind w:left="60"/>
              <w:spacing w:after="0"/>
              <w:rPr>
                <w:sz w:val="20"/>
                <w:szCs w:val="20"/>
                <w:color w:val="auto"/>
              </w:rPr>
            </w:pPr>
            <w:r>
              <w:rPr>
                <w:rFonts w:ascii="Arial" w:cs="Arial" w:eastAsia="Arial" w:hAnsi="Arial"/>
                <w:sz w:val="14"/>
                <w:szCs w:val="14"/>
                <w:color w:val="auto"/>
              </w:rPr>
              <w:t>USA</w:t>
            </w:r>
          </w:p>
        </w:tc>
        <w:tc>
          <w:tcPr>
            <w:tcW w:w="1380" w:type="dxa"/>
            <w:vAlign w:val="bottom"/>
          </w:tcPr>
          <w:p>
            <w:pPr>
              <w:ind w:left="260"/>
              <w:spacing w:after="0"/>
              <w:rPr>
                <w:sz w:val="20"/>
                <w:szCs w:val="20"/>
                <w:color w:val="auto"/>
              </w:rPr>
            </w:pPr>
            <w:r>
              <w:rPr>
                <w:rFonts w:ascii="Arial" w:cs="Arial" w:eastAsia="Arial" w:hAnsi="Arial"/>
                <w:sz w:val="14"/>
                <w:szCs w:val="14"/>
                <w:color w:val="auto"/>
              </w:rPr>
              <w:t>Corporate</w:t>
            </w:r>
          </w:p>
        </w:tc>
        <w:tc>
          <w:tcPr>
            <w:tcW w:w="2580" w:type="dxa"/>
            <w:vAlign w:val="bottom"/>
          </w:tcPr>
          <w:p>
            <w:pPr>
              <w:ind w:left="100"/>
              <w:spacing w:after="0"/>
              <w:rPr>
                <w:sz w:val="20"/>
                <w:szCs w:val="20"/>
                <w:color w:val="auto"/>
              </w:rPr>
            </w:pPr>
            <w:r>
              <w:rPr>
                <w:rFonts w:ascii="Arial" w:cs="Arial" w:eastAsia="Arial" w:hAnsi="Arial"/>
                <w:sz w:val="14"/>
                <w:szCs w:val="14"/>
                <w:color w:val="auto"/>
              </w:rPr>
              <w:t>Ordinary</w:t>
            </w:r>
          </w:p>
        </w:tc>
        <w:tc>
          <w:tcPr>
            <w:tcW w:w="0" w:type="dxa"/>
            <w:vAlign w:val="bottom"/>
          </w:tcPr>
          <w:p>
            <w:pPr>
              <w:spacing w:after="0"/>
              <w:rPr>
                <w:sz w:val="1"/>
                <w:szCs w:val="1"/>
                <w:color w:val="auto"/>
              </w:rPr>
            </w:pPr>
          </w:p>
        </w:tc>
      </w:tr>
      <w:tr>
        <w:trPr>
          <w:trHeight w:val="157"/>
        </w:trPr>
        <w:tc>
          <w:tcPr>
            <w:tcW w:w="4340" w:type="dxa"/>
            <w:vAlign w:val="bottom"/>
            <w:tcBorders>
              <w:bottom w:val="single" w:sz="8" w:color="auto"/>
            </w:tcBorders>
          </w:tcPr>
          <w:p>
            <w:pPr>
              <w:spacing w:after="0" w:line="157" w:lineRule="exact"/>
              <w:rPr>
                <w:sz w:val="20"/>
                <w:szCs w:val="20"/>
                <w:color w:val="auto"/>
              </w:rPr>
            </w:pPr>
            <w:r>
              <w:rPr>
                <w:rFonts w:ascii="Arial" w:cs="Arial" w:eastAsia="Arial" w:hAnsi="Arial"/>
                <w:sz w:val="14"/>
                <w:szCs w:val="14"/>
                <w:color w:val="auto"/>
              </w:rPr>
              <w:t>Shell Petroleum Inc.</w:t>
            </w:r>
          </w:p>
        </w:tc>
        <w:tc>
          <w:tcPr>
            <w:tcW w:w="1400" w:type="dxa"/>
            <w:vAlign w:val="bottom"/>
            <w:tcBorders>
              <w:bottom w:val="single" w:sz="8" w:color="auto"/>
            </w:tcBorders>
            <w:gridSpan w:val="2"/>
          </w:tcPr>
          <w:p>
            <w:pPr>
              <w:jc w:val="right"/>
              <w:ind w:right="40"/>
              <w:spacing w:after="0" w:line="157" w:lineRule="exact"/>
              <w:rPr>
                <w:sz w:val="20"/>
                <w:szCs w:val="20"/>
                <w:color w:val="auto"/>
              </w:rPr>
            </w:pPr>
            <w:r>
              <w:rPr>
                <w:rFonts w:ascii="Arial" w:cs="Arial" w:eastAsia="Arial" w:hAnsi="Arial"/>
                <w:sz w:val="14"/>
                <w:szCs w:val="14"/>
                <w:color w:val="auto"/>
              </w:rPr>
              <w:t>100</w:t>
            </w:r>
          </w:p>
        </w:tc>
        <w:tc>
          <w:tcPr>
            <w:tcW w:w="1720" w:type="dxa"/>
            <w:vAlign w:val="bottom"/>
            <w:tcBorders>
              <w:bottom w:val="single" w:sz="8" w:color="auto"/>
            </w:tcBorders>
          </w:tcPr>
          <w:p>
            <w:pPr>
              <w:ind w:left="60"/>
              <w:spacing w:after="0" w:line="157" w:lineRule="exact"/>
              <w:rPr>
                <w:sz w:val="20"/>
                <w:szCs w:val="20"/>
                <w:color w:val="auto"/>
              </w:rPr>
            </w:pPr>
            <w:r>
              <w:rPr>
                <w:rFonts w:ascii="Arial" w:cs="Arial" w:eastAsia="Arial" w:hAnsi="Arial"/>
                <w:sz w:val="14"/>
                <w:szCs w:val="14"/>
                <w:color w:val="auto"/>
              </w:rPr>
              <w:t>USA</w:t>
            </w:r>
          </w:p>
        </w:tc>
        <w:tc>
          <w:tcPr>
            <w:tcW w:w="1380" w:type="dxa"/>
            <w:vAlign w:val="bottom"/>
            <w:tcBorders>
              <w:bottom w:val="single" w:sz="8" w:color="auto"/>
            </w:tcBorders>
          </w:tcPr>
          <w:p>
            <w:pPr>
              <w:ind w:left="260"/>
              <w:spacing w:after="0" w:line="157" w:lineRule="exact"/>
              <w:rPr>
                <w:sz w:val="20"/>
                <w:szCs w:val="20"/>
                <w:color w:val="auto"/>
              </w:rPr>
            </w:pPr>
            <w:r>
              <w:rPr>
                <w:rFonts w:ascii="Arial" w:cs="Arial" w:eastAsia="Arial" w:hAnsi="Arial"/>
                <w:sz w:val="14"/>
                <w:szCs w:val="14"/>
                <w:color w:val="auto"/>
              </w:rPr>
              <w:t>Corporate</w:t>
            </w:r>
          </w:p>
        </w:tc>
        <w:tc>
          <w:tcPr>
            <w:tcW w:w="2580" w:type="dxa"/>
            <w:vAlign w:val="bottom"/>
            <w:tcBorders>
              <w:bottom w:val="single" w:sz="8" w:color="auto"/>
            </w:tcBorders>
          </w:tcPr>
          <w:p>
            <w:pPr>
              <w:ind w:left="100"/>
              <w:spacing w:after="0" w:line="157" w:lineRule="exact"/>
              <w:rPr>
                <w:sz w:val="20"/>
                <w:szCs w:val="20"/>
                <w:color w:val="auto"/>
              </w:rPr>
            </w:pPr>
            <w:r>
              <w:rPr>
                <w:rFonts w:ascii="Arial" w:cs="Arial" w:eastAsia="Arial" w:hAnsi="Arial"/>
                <w:sz w:val="14"/>
                <w:szCs w:val="14"/>
                <w:color w:val="auto"/>
              </w:rPr>
              <w:t>Ordinary</w:t>
            </w: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11420"/>
          </w:cols>
          <w:pgMar w:left="240" w:top="437" w:right="23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8" name="Picture 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
                    <pic:cNvPicPr>
                      <a:picLocks noChangeAspect="1" noChangeArrowheads="1"/>
                    </pic:cNvPicPr>
                  </pic:nvPicPr>
                  <pic:blipFill>
                    <a:blip r:embed="rId585">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page">
              <wp:posOffset>6563360</wp:posOffset>
            </wp:positionH>
            <wp:positionV relativeFrom="page">
              <wp:posOffset>277495</wp:posOffset>
            </wp:positionV>
            <wp:extent cx="8890" cy="462915"/>
            <wp:wrapNone/>
            <wp:docPr id="579" name="Picture 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
                    <pic:cNvPicPr>
                      <a:picLocks noChangeAspect="1" noChangeArrowheads="1"/>
                    </pic:cNvPicPr>
                  </pic:nvPicPr>
                  <pic:blipFill>
                    <a:blip r:embed="rId586">
                      <a:extLst>
                        <a:ext uri="{28A0092B-C50C-407E-A947-70E740481C1C}"/>
                      </a:extLst>
                    </a:blip>
                    <a:srcRect/>
                    <a:stretch>
                      <a:fillRect/>
                    </a:stretch>
                  </pic:blipFill>
                  <pic:spPr bwMode="auto">
                    <a:xfrm>
                      <a:off x="0" y="0"/>
                      <a:ext cx="8890" cy="462915"/>
                    </a:xfrm>
                    <a:prstGeom prst="rect">
                      <a:avLst/>
                    </a:prstGeom>
                    <a:noFill/>
                  </pic:spPr>
                </pic:pic>
              </a:graphicData>
            </a:graphic>
          </wp:anchor>
        </w:drawing>
      </w:r>
    </w:p>
    <w:bookmarkStart w:id="195" w:name="page196"/>
    <w:bookmarkEnd w:id="195"/>
    <w:tbl>
      <w:tblPr>
        <w:tblLayout w:type="fixed"/>
        <w:tblInd w:w="0" w:type="dxa"/>
        <w:tblCellMar>
          <w:top w:w="0" w:type="dxa"/>
          <w:left w:w="0" w:type="dxa"/>
          <w:bottom w:w="0" w:type="dxa"/>
          <w:right w:w="0" w:type="dxa"/>
        </w:tblCellMar>
      </w:tblPr>
      <w:tr>
        <w:trPr>
          <w:trHeight w:val="419"/>
        </w:trPr>
        <w:tc>
          <w:tcPr>
            <w:tcW w:w="1720" w:type="dxa"/>
            <w:vAlign w:val="bottom"/>
            <w:shd w:val="clear" w:color="auto" w:fill="FF8B00"/>
          </w:tcPr>
          <w:p>
            <w:pPr>
              <w:spacing w:after="0"/>
              <w:rPr>
                <w:sz w:val="24"/>
                <w:szCs w:val="24"/>
                <w:color w:val="auto"/>
              </w:rPr>
            </w:pPr>
          </w:p>
        </w:tc>
        <w:tc>
          <w:tcPr>
            <w:tcW w:w="3820" w:type="dxa"/>
            <w:vAlign w:val="bottom"/>
            <w:shd w:val="clear" w:color="auto" w:fill="FF8B00"/>
          </w:tcPr>
          <w:p>
            <w:pPr>
              <w:spacing w:after="0"/>
              <w:rPr>
                <w:sz w:val="24"/>
                <w:szCs w:val="24"/>
                <w:color w:val="auto"/>
              </w:rPr>
            </w:pPr>
          </w:p>
        </w:tc>
      </w:tr>
      <w:tr>
        <w:trPr>
          <w:trHeight w:val="152"/>
        </w:trPr>
        <w:tc>
          <w:tcPr>
            <w:tcW w:w="1720" w:type="dxa"/>
            <w:vAlign w:val="bottom"/>
          </w:tcPr>
          <w:p>
            <w:pPr>
              <w:ind w:left="220"/>
              <w:spacing w:after="0"/>
              <w:rPr>
                <w:sz w:val="20"/>
                <w:szCs w:val="20"/>
                <w:color w:val="auto"/>
              </w:rPr>
            </w:pPr>
            <w:r>
              <w:rPr>
                <w:rFonts w:ascii="Arial" w:cs="Arial" w:eastAsia="Arial" w:hAnsi="Arial"/>
                <w:sz w:val="11"/>
                <w:szCs w:val="11"/>
                <w:b w:val="1"/>
                <w:bCs w:val="1"/>
                <w:color w:val="333333"/>
              </w:rPr>
              <w:t>E4</w:t>
            </w:r>
          </w:p>
        </w:tc>
        <w:tc>
          <w:tcPr>
            <w:tcW w:w="3820" w:type="dxa"/>
            <w:vAlign w:val="bottom"/>
          </w:tcPr>
          <w:p>
            <w:pPr>
              <w:ind w:left="1380"/>
              <w:spacing w:after="0"/>
              <w:rPr>
                <w:sz w:val="20"/>
                <w:szCs w:val="20"/>
                <w:color w:val="auto"/>
              </w:rPr>
            </w:pPr>
            <w:r>
              <w:rPr>
                <w:rFonts w:ascii="Arial" w:cs="Arial" w:eastAsia="Arial" w:hAnsi="Arial"/>
                <w:sz w:val="13"/>
                <w:szCs w:val="13"/>
                <w:color w:val="333333"/>
              </w:rPr>
              <w:t>ADDITIONAL INFORMATION</w:t>
            </w:r>
          </w:p>
        </w:tc>
      </w:tr>
    </w:tbl>
    <w:p>
      <w:pPr>
        <w:spacing w:after="0" w:line="15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183515</wp:posOffset>
            </wp:positionV>
            <wp:extent cx="3515995" cy="462915"/>
            <wp:wrapNone/>
            <wp:docPr id="580" name="Picture 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
                    <pic:cNvPicPr>
                      <a:picLocks noChangeAspect="1" noChangeArrowheads="1"/>
                    </pic:cNvPicPr>
                  </pic:nvPicPr>
                  <pic:blipFill>
                    <a:blip r:embed="rId587">
                      <a:extLst>
                        <a:ext uri="{28A0092B-C50C-407E-A947-70E740481C1C}"/>
                      </a:extLst>
                    </a:blip>
                    <a:srcRect/>
                    <a:stretch>
                      <a:fillRect/>
                    </a:stretch>
                  </pic:blipFill>
                  <pic:spPr bwMode="auto">
                    <a:xfrm>
                      <a:off x="0" y="0"/>
                      <a:ext cx="3515995" cy="462915"/>
                    </a:xfrm>
                    <a:prstGeom prst="rect">
                      <a:avLst/>
                    </a:prstGeom>
                    <a:noFill/>
                  </pic:spPr>
                </pic:pic>
              </a:graphicData>
            </a:graphic>
          </wp:anchor>
        </w:drawing>
      </w:r>
    </w:p>
    <w:p>
      <w:pPr>
        <w:jc w:val="right"/>
        <w:spacing w:after="0"/>
        <w:tabs>
          <w:tab w:leader="none" w:pos="2380" w:val="left"/>
        </w:tabs>
        <w:rPr>
          <w:sz w:val="20"/>
          <w:szCs w:val="20"/>
          <w:color w:val="auto"/>
        </w:rPr>
      </w:pPr>
      <w:r>
        <w:rPr>
          <w:rFonts w:ascii="Arial" w:cs="Arial" w:eastAsia="Arial" w:hAnsi="Arial"/>
          <w:sz w:val="11"/>
          <w:szCs w:val="11"/>
          <w:color w:val="auto"/>
        </w:rPr>
        <w:t>EXHIBIT 12.1</w:t>
      </w:r>
      <w:r>
        <w:rPr>
          <w:sz w:val="20"/>
          <w:szCs w:val="20"/>
          <w:color w:val="auto"/>
        </w:rPr>
        <w:tab/>
      </w:r>
      <w:r>
        <w:rPr>
          <w:rFonts w:ascii="Arial" w:cs="Arial" w:eastAsia="Arial" w:hAnsi="Arial"/>
          <w:sz w:val="10"/>
          <w:szCs w:val="10"/>
          <w:color w:val="auto"/>
        </w:rPr>
        <w:t>SHELL ANNUAL REPORT AND FORM 20-F 2014</w:t>
      </w:r>
    </w:p>
    <w:p>
      <w:pPr>
        <w:spacing w:after="0" w:line="5" w:lineRule="exact"/>
        <w:rPr>
          <w:sz w:val="20"/>
          <w:szCs w:val="20"/>
          <w:color w:val="auto"/>
        </w:rPr>
      </w:pPr>
    </w:p>
    <w:p>
      <w:pPr>
        <w:spacing w:after="0"/>
        <w:rPr>
          <w:sz w:val="20"/>
          <w:szCs w:val="20"/>
          <w:color w:val="auto"/>
        </w:rPr>
      </w:pPr>
      <w:r>
        <w:rPr>
          <w:rFonts w:ascii="Arial" w:cs="Arial" w:eastAsia="Arial" w:hAnsi="Arial"/>
          <w:sz w:val="31"/>
          <w:szCs w:val="31"/>
          <w:color w:val="auto"/>
        </w:rPr>
        <w:t>EXHIBIT 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wp:posOffset>
            </wp:positionV>
            <wp:extent cx="3361690" cy="8890"/>
            <wp:wrapNone/>
            <wp:docPr id="581" name="Picture 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
                    <pic:cNvPicPr>
                      <a:picLocks noChangeAspect="1" noChangeArrowheads="1"/>
                    </pic:cNvPicPr>
                  </pic:nvPicPr>
                  <pic:blipFill>
                    <a:blip r:embed="rId588">
                      <a:extLst>
                        <a:ext uri="{28A0092B-C50C-407E-A947-70E740481C1C}"/>
                      </a:extLst>
                    </a:blip>
                    <a:srcRect/>
                    <a:stretch>
                      <a:fillRect/>
                    </a:stretch>
                  </pic:blipFill>
                  <pic:spPr bwMode="auto">
                    <a:xfrm>
                      <a:off x="0" y="0"/>
                      <a:ext cx="3361690" cy="8890"/>
                    </a:xfrm>
                    <a:prstGeom prst="rect">
                      <a:avLst/>
                    </a:prstGeom>
                    <a:noFill/>
                  </pic:spPr>
                </pic:pic>
              </a:graphicData>
            </a:graphic>
          </wp:anchor>
        </w:drawing>
      </w:r>
    </w:p>
    <w:p>
      <w:pPr>
        <w:spacing w:after="0" w:line="175" w:lineRule="exact"/>
        <w:rPr>
          <w:sz w:val="20"/>
          <w:szCs w:val="20"/>
          <w:color w:val="auto"/>
        </w:rPr>
      </w:pPr>
    </w:p>
    <w:p>
      <w:pPr>
        <w:spacing w:after="0"/>
        <w:rPr>
          <w:sz w:val="20"/>
          <w:szCs w:val="20"/>
          <w:color w:val="auto"/>
        </w:rPr>
      </w:pPr>
      <w:r>
        <w:rPr>
          <w:rFonts w:ascii="Arial" w:cs="Arial" w:eastAsia="Arial" w:hAnsi="Arial"/>
          <w:sz w:val="14"/>
          <w:szCs w:val="14"/>
          <w:color w:val="auto"/>
        </w:rPr>
        <w:t>I, Ben van Beurden, certify that:</w:t>
      </w:r>
    </w:p>
    <w:p>
      <w:pPr>
        <w:spacing w:after="0" w:line="190" w:lineRule="exact"/>
        <w:rPr>
          <w:sz w:val="20"/>
          <w:szCs w:val="20"/>
          <w:color w:val="auto"/>
        </w:rPr>
      </w:pPr>
    </w:p>
    <w:p>
      <w:pPr>
        <w:ind w:left="160" w:hanging="152"/>
        <w:spacing w:after="0"/>
        <w:tabs>
          <w:tab w:leader="none" w:pos="160" w:val="left"/>
        </w:tabs>
        <w:numPr>
          <w:ilvl w:val="0"/>
          <w:numId w:val="210"/>
        </w:numPr>
        <w:rPr>
          <w:rFonts w:ascii="Arial" w:cs="Arial" w:eastAsia="Arial" w:hAnsi="Arial"/>
          <w:sz w:val="14"/>
          <w:szCs w:val="14"/>
          <w:color w:val="auto"/>
        </w:rPr>
      </w:pPr>
      <w:r>
        <w:rPr>
          <w:rFonts w:ascii="Arial" w:cs="Arial" w:eastAsia="Arial" w:hAnsi="Arial"/>
          <w:sz w:val="14"/>
          <w:szCs w:val="14"/>
          <w:color w:val="auto"/>
        </w:rPr>
        <w:t>I have reviewed the Annual Report on Form 20-F of Royal Dutch Shell plc (the Company);</w:t>
      </w:r>
    </w:p>
    <w:p>
      <w:pPr>
        <w:spacing w:after="0" w:line="176" w:lineRule="exact"/>
        <w:rPr>
          <w:rFonts w:ascii="Arial" w:cs="Arial" w:eastAsia="Arial" w:hAnsi="Arial"/>
          <w:sz w:val="14"/>
          <w:szCs w:val="14"/>
          <w:color w:val="auto"/>
        </w:rPr>
      </w:pPr>
    </w:p>
    <w:p>
      <w:pPr>
        <w:ind w:right="180" w:firstLine="8"/>
        <w:spacing w:after="0" w:line="258" w:lineRule="auto"/>
        <w:tabs>
          <w:tab w:leader="none" w:pos="160" w:val="left"/>
        </w:tabs>
        <w:numPr>
          <w:ilvl w:val="0"/>
          <w:numId w:val="210"/>
        </w:numPr>
        <w:rPr>
          <w:rFonts w:ascii="Arial" w:cs="Arial" w:eastAsia="Arial" w:hAnsi="Arial"/>
          <w:sz w:val="14"/>
          <w:szCs w:val="14"/>
          <w:color w:val="auto"/>
        </w:rPr>
      </w:pPr>
      <w:r>
        <w:rPr>
          <w:rFonts w:ascii="Arial" w:cs="Arial" w:eastAsia="Arial" w:hAnsi="Arial"/>
          <w:sz w:val="14"/>
          <w:szCs w:val="14"/>
          <w:color w:val="auto"/>
        </w:rPr>
        <w:t>Based on my knowledge, the report does not contain any untrue statement of a material fact or omit to state a material fact necessary to make the statements made, in light of the circumstances under which such statements were made, not misleading with respect to the period covered by the report;</w:t>
      </w:r>
    </w:p>
    <w:p>
      <w:pPr>
        <w:spacing w:after="0" w:line="153" w:lineRule="exact"/>
        <w:rPr>
          <w:rFonts w:ascii="Arial" w:cs="Arial" w:eastAsia="Arial" w:hAnsi="Arial"/>
          <w:sz w:val="14"/>
          <w:szCs w:val="14"/>
          <w:color w:val="auto"/>
        </w:rPr>
      </w:pPr>
    </w:p>
    <w:p>
      <w:pPr>
        <w:ind w:right="240" w:firstLine="8"/>
        <w:spacing w:after="0" w:line="258" w:lineRule="auto"/>
        <w:tabs>
          <w:tab w:leader="none" w:pos="160" w:val="left"/>
        </w:tabs>
        <w:numPr>
          <w:ilvl w:val="0"/>
          <w:numId w:val="210"/>
        </w:numPr>
        <w:rPr>
          <w:rFonts w:ascii="Arial" w:cs="Arial" w:eastAsia="Arial" w:hAnsi="Arial"/>
          <w:sz w:val="14"/>
          <w:szCs w:val="14"/>
          <w:color w:val="auto"/>
        </w:rPr>
      </w:pPr>
      <w:r>
        <w:rPr>
          <w:rFonts w:ascii="Arial" w:cs="Arial" w:eastAsia="Arial" w:hAnsi="Arial"/>
          <w:sz w:val="14"/>
          <w:szCs w:val="14"/>
          <w:color w:val="auto"/>
        </w:rPr>
        <w:t>Based on my knowledge, the financial statements, and other financial information included in the report, fairly present in all material respects the financial condition, results of operations and cash flows of the Company as of, and for, the periods presented in the report;</w:t>
      </w:r>
    </w:p>
    <w:p>
      <w:pPr>
        <w:spacing w:after="0" w:line="167" w:lineRule="exact"/>
        <w:rPr>
          <w:rFonts w:ascii="Arial" w:cs="Arial" w:eastAsia="Arial" w:hAnsi="Arial"/>
          <w:sz w:val="14"/>
          <w:szCs w:val="14"/>
          <w:color w:val="auto"/>
        </w:rPr>
      </w:pPr>
    </w:p>
    <w:p>
      <w:pPr>
        <w:ind w:right="200" w:firstLine="8"/>
        <w:spacing w:after="0" w:line="258" w:lineRule="auto"/>
        <w:tabs>
          <w:tab w:leader="none" w:pos="160" w:val="left"/>
        </w:tabs>
        <w:numPr>
          <w:ilvl w:val="0"/>
          <w:numId w:val="210"/>
        </w:numPr>
        <w:rPr>
          <w:rFonts w:ascii="Arial" w:cs="Arial" w:eastAsia="Arial" w:hAnsi="Arial"/>
          <w:sz w:val="14"/>
          <w:szCs w:val="14"/>
          <w:color w:val="auto"/>
        </w:rPr>
      </w:pPr>
      <w:r>
        <w:rPr>
          <w:rFonts w:ascii="Arial" w:cs="Arial" w:eastAsia="Arial" w:hAnsi="Arial"/>
          <w:sz w:val="14"/>
          <w:szCs w:val="14"/>
          <w:color w:val="auto"/>
        </w:rPr>
        <w:t>The Company’s other certifying officer and I are responsible for establishing and maintaining disclosure controls and procedures (as defined in Exchange Act Rules 13a-15(e) and 15d-15(e)) and internal control over financial reporting (as defined in Exchange Act Rules 13a-15(f) and 15d-15(f)) for the Company and have:</w:t>
      </w:r>
    </w:p>
    <w:p>
      <w:pPr>
        <w:spacing w:after="0" w:line="194" w:lineRule="exact"/>
        <w:rPr>
          <w:sz w:val="20"/>
          <w:szCs w:val="20"/>
          <w:color w:val="auto"/>
        </w:rPr>
      </w:pPr>
    </w:p>
    <w:p>
      <w:pPr>
        <w:ind w:left="220" w:right="20" w:hanging="212"/>
        <w:spacing w:after="0" w:line="195" w:lineRule="auto"/>
        <w:tabs>
          <w:tab w:leader="none" w:pos="220" w:val="left"/>
        </w:tabs>
        <w:numPr>
          <w:ilvl w:val="0"/>
          <w:numId w:val="211"/>
        </w:numPr>
        <w:rPr>
          <w:rFonts w:ascii="Arial" w:cs="Arial" w:eastAsia="Arial" w:hAnsi="Arial"/>
          <w:sz w:val="24"/>
          <w:szCs w:val="24"/>
          <w:color w:val="auto"/>
          <w:vertAlign w:val="superscript"/>
        </w:rPr>
      </w:pPr>
      <w:r>
        <w:rPr>
          <w:rFonts w:ascii="Arial" w:cs="Arial" w:eastAsia="Arial" w:hAnsi="Arial"/>
          <w:sz w:val="14"/>
          <w:szCs w:val="14"/>
          <w:color w:val="auto"/>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the report is being prepared;</w:t>
      </w:r>
    </w:p>
    <w:p>
      <w:pPr>
        <w:jc w:val="both"/>
        <w:ind w:left="220" w:right="340" w:hanging="212"/>
        <w:spacing w:after="0" w:line="195" w:lineRule="auto"/>
        <w:tabs>
          <w:tab w:leader="none" w:pos="220" w:val="left"/>
        </w:tabs>
        <w:numPr>
          <w:ilvl w:val="0"/>
          <w:numId w:val="211"/>
        </w:numPr>
        <w:rPr>
          <w:rFonts w:ascii="Arial" w:cs="Arial" w:eastAsia="Arial" w:hAnsi="Arial"/>
          <w:sz w:val="24"/>
          <w:szCs w:val="24"/>
          <w:color w:val="auto"/>
          <w:vertAlign w:val="superscript"/>
        </w:rPr>
      </w:pPr>
      <w:r>
        <w:rPr>
          <w:rFonts w:ascii="Arial" w:cs="Arial" w:eastAsia="Arial" w:hAnsi="Arial"/>
          <w:sz w:val="14"/>
          <w:szCs w:val="14"/>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ind w:left="220" w:right="60" w:hanging="212"/>
        <w:spacing w:after="0" w:line="182" w:lineRule="auto"/>
        <w:tabs>
          <w:tab w:leader="none" w:pos="220" w:val="left"/>
        </w:tabs>
        <w:numPr>
          <w:ilvl w:val="0"/>
          <w:numId w:val="211"/>
        </w:numPr>
        <w:rPr>
          <w:rFonts w:ascii="Arial" w:cs="Arial" w:eastAsia="Arial" w:hAnsi="Arial"/>
          <w:sz w:val="23"/>
          <w:szCs w:val="23"/>
          <w:color w:val="auto"/>
          <w:vertAlign w:val="superscript"/>
        </w:rPr>
      </w:pPr>
      <w:r>
        <w:rPr>
          <w:rFonts w:ascii="Arial" w:cs="Arial" w:eastAsia="Arial" w:hAnsi="Arial"/>
          <w:sz w:val="14"/>
          <w:szCs w:val="14"/>
          <w:color w:val="auto"/>
        </w:rPr>
        <w:t>evaluated the effectiveness of the Company’s disclosure controls and procedures and presented in the report our conclusions about the effectiveness of the disclosure controls and procedures, as of the end of the period covered by the report based on such evaluation; and</w:t>
      </w:r>
    </w:p>
    <w:p>
      <w:pPr>
        <w:spacing w:after="0" w:line="1" w:lineRule="exact"/>
        <w:rPr>
          <w:rFonts w:ascii="Arial" w:cs="Arial" w:eastAsia="Arial" w:hAnsi="Arial"/>
          <w:sz w:val="23"/>
          <w:szCs w:val="23"/>
          <w:color w:val="auto"/>
          <w:vertAlign w:val="superscript"/>
        </w:rPr>
      </w:pPr>
    </w:p>
    <w:p>
      <w:pPr>
        <w:ind w:left="220" w:right="300" w:hanging="212"/>
        <w:spacing w:after="0" w:line="183" w:lineRule="auto"/>
        <w:tabs>
          <w:tab w:leader="none" w:pos="220" w:val="left"/>
        </w:tabs>
        <w:numPr>
          <w:ilvl w:val="0"/>
          <w:numId w:val="211"/>
        </w:numPr>
        <w:rPr>
          <w:rFonts w:ascii="Arial" w:cs="Arial" w:eastAsia="Arial" w:hAnsi="Arial"/>
          <w:sz w:val="24"/>
          <w:szCs w:val="24"/>
          <w:color w:val="auto"/>
          <w:vertAlign w:val="superscript"/>
        </w:rPr>
      </w:pPr>
      <w:r>
        <w:rPr>
          <w:rFonts w:ascii="Arial" w:cs="Arial" w:eastAsia="Arial" w:hAnsi="Arial"/>
          <w:sz w:val="14"/>
          <w:szCs w:val="14"/>
          <w:color w:val="auto"/>
        </w:rPr>
        <w:t>disclosed in the report any change in the Company’s internal control over financial reporting that occurred during the period covered by the annual report that has materially affected, or is reasonably likely to materially affect, the Company’s internal control over financial reporting.</w:t>
      </w:r>
    </w:p>
    <w:p>
      <w:pPr>
        <w:spacing w:after="0" w:line="167" w:lineRule="exact"/>
        <w:rPr>
          <w:sz w:val="20"/>
          <w:szCs w:val="20"/>
          <w:color w:val="auto"/>
        </w:rPr>
      </w:pPr>
    </w:p>
    <w:p>
      <w:pPr>
        <w:ind w:right="160" w:firstLine="8"/>
        <w:spacing w:after="0" w:line="258" w:lineRule="auto"/>
        <w:tabs>
          <w:tab w:leader="none" w:pos="160" w:val="left"/>
        </w:tabs>
        <w:numPr>
          <w:ilvl w:val="0"/>
          <w:numId w:val="212"/>
        </w:numPr>
        <w:rPr>
          <w:rFonts w:ascii="Arial" w:cs="Arial" w:eastAsia="Arial" w:hAnsi="Arial"/>
          <w:sz w:val="14"/>
          <w:szCs w:val="14"/>
          <w:color w:val="auto"/>
        </w:rPr>
      </w:pPr>
      <w:r>
        <w:rPr>
          <w:rFonts w:ascii="Arial" w:cs="Arial" w:eastAsia="Arial" w:hAnsi="Arial"/>
          <w:sz w:val="14"/>
          <w:szCs w:val="14"/>
          <w:color w:val="auto"/>
        </w:rPr>
        <w:t>The Company’s other certifying officer and I have disclosed, based on our most recent evaluation of internal control over financial reporting, to the Company’s auditors and the audit committee of the Company’s Board of Directors (or persons performing the equivalent functions):</w:t>
      </w:r>
    </w:p>
    <w:p>
      <w:pPr>
        <w:spacing w:after="0" w:line="194" w:lineRule="exact"/>
        <w:rPr>
          <w:sz w:val="20"/>
          <w:szCs w:val="20"/>
          <w:color w:val="auto"/>
        </w:rPr>
      </w:pPr>
    </w:p>
    <w:p>
      <w:pPr>
        <w:ind w:left="220" w:right="400" w:hanging="212"/>
        <w:spacing w:after="0" w:line="182" w:lineRule="auto"/>
        <w:tabs>
          <w:tab w:leader="none" w:pos="220" w:val="left"/>
        </w:tabs>
        <w:numPr>
          <w:ilvl w:val="0"/>
          <w:numId w:val="213"/>
        </w:numPr>
        <w:rPr>
          <w:rFonts w:ascii="Arial" w:cs="Arial" w:eastAsia="Arial" w:hAnsi="Arial"/>
          <w:sz w:val="23"/>
          <w:szCs w:val="23"/>
          <w:color w:val="auto"/>
          <w:vertAlign w:val="superscript"/>
        </w:rPr>
      </w:pPr>
      <w:r>
        <w:rPr>
          <w:rFonts w:ascii="Arial" w:cs="Arial" w:eastAsia="Arial" w:hAnsi="Arial"/>
          <w:sz w:val="14"/>
          <w:szCs w:val="14"/>
          <w:color w:val="auto"/>
        </w:rPr>
        <w:t>all significant deficiencies and material weaknesses in the design or operation of internal control over financial reporting which are reasonably likely to adversely affect the Company’s ability to record, process, summarise and report financial information; and</w:t>
      </w:r>
    </w:p>
    <w:p>
      <w:pPr>
        <w:spacing w:after="0" w:line="1" w:lineRule="exact"/>
        <w:rPr>
          <w:rFonts w:ascii="Arial" w:cs="Arial" w:eastAsia="Arial" w:hAnsi="Arial"/>
          <w:sz w:val="23"/>
          <w:szCs w:val="23"/>
          <w:color w:val="auto"/>
          <w:vertAlign w:val="superscript"/>
        </w:rPr>
      </w:pPr>
    </w:p>
    <w:p>
      <w:pPr>
        <w:ind w:left="220" w:hanging="212"/>
        <w:spacing w:after="0" w:line="189" w:lineRule="auto"/>
        <w:tabs>
          <w:tab w:leader="none" w:pos="220" w:val="left"/>
        </w:tabs>
        <w:numPr>
          <w:ilvl w:val="0"/>
          <w:numId w:val="213"/>
        </w:numPr>
        <w:rPr>
          <w:rFonts w:ascii="Arial" w:cs="Arial" w:eastAsia="Arial" w:hAnsi="Arial"/>
          <w:sz w:val="19"/>
          <w:szCs w:val="19"/>
          <w:color w:val="auto"/>
          <w:vertAlign w:val="superscript"/>
        </w:rPr>
      </w:pPr>
      <w:r>
        <w:rPr>
          <w:rFonts w:ascii="Arial" w:cs="Arial" w:eastAsia="Arial" w:hAnsi="Arial"/>
          <w:sz w:val="12"/>
          <w:szCs w:val="12"/>
          <w:color w:val="auto"/>
        </w:rPr>
        <w:t>any fraud, whether or not material, that involves management or other employees who have a significant role in the Company’s internal control over financial reporting.</w:t>
      </w:r>
    </w:p>
    <w:p>
      <w:pPr>
        <w:spacing w:after="0" w:line="206" w:lineRule="exact"/>
        <w:rPr>
          <w:sz w:val="20"/>
          <w:szCs w:val="20"/>
          <w:color w:val="auto"/>
        </w:rPr>
      </w:pPr>
    </w:p>
    <w:p>
      <w:pPr>
        <w:spacing w:after="0"/>
        <w:rPr>
          <w:sz w:val="20"/>
          <w:szCs w:val="20"/>
          <w:color w:val="auto"/>
        </w:rPr>
      </w:pPr>
      <w:r>
        <w:rPr>
          <w:rFonts w:ascii="Arial" w:cs="Arial" w:eastAsia="Arial" w:hAnsi="Arial"/>
          <w:sz w:val="14"/>
          <w:szCs w:val="14"/>
          <w:color w:val="auto"/>
        </w:rPr>
        <w:t>/s/ Ben van Beurden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3361690" cy="8890"/>
            <wp:wrapNone/>
            <wp:docPr id="582" name="Picture 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
                    <pic:cNvPicPr>
                      <a:picLocks noChangeAspect="1" noChangeArrowheads="1"/>
                    </pic:cNvPicPr>
                  </pic:nvPicPr>
                  <pic:blipFill>
                    <a:blip r:embed="rId589">
                      <a:extLst>
                        <a:ext uri="{28A0092B-C50C-407E-A947-70E740481C1C}"/>
                      </a:extLst>
                    </a:blip>
                    <a:srcRect/>
                    <a:stretch>
                      <a:fillRect/>
                    </a:stretch>
                  </pic:blipFill>
                  <pic:spPr bwMode="auto">
                    <a:xfrm>
                      <a:off x="0" y="0"/>
                      <a:ext cx="3361690" cy="8890"/>
                    </a:xfrm>
                    <a:prstGeom prst="rect">
                      <a:avLst/>
                    </a:prstGeom>
                    <a:noFill/>
                  </pic:spPr>
                </pic:pic>
              </a:graphicData>
            </a:graphic>
          </wp:anchor>
        </w:drawing>
      </w:r>
    </w:p>
    <w:p>
      <w:pPr>
        <w:spacing w:after="0" w:line="8" w:lineRule="exact"/>
        <w:rPr>
          <w:sz w:val="20"/>
          <w:szCs w:val="20"/>
          <w:color w:val="auto"/>
        </w:rPr>
      </w:pPr>
    </w:p>
    <w:p>
      <w:pPr>
        <w:spacing w:after="0"/>
        <w:rPr>
          <w:sz w:val="20"/>
          <w:szCs w:val="20"/>
          <w:color w:val="auto"/>
        </w:rPr>
      </w:pPr>
      <w:r>
        <w:rPr>
          <w:rFonts w:ascii="Arial" w:cs="Arial" w:eastAsia="Arial" w:hAnsi="Arial"/>
          <w:sz w:val="14"/>
          <w:szCs w:val="14"/>
          <w:color w:val="auto"/>
        </w:rPr>
        <w:t>Ben van Beurden</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Chief Executive Officer</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March 11, 2015</w:t>
      </w:r>
    </w:p>
    <w:p>
      <w:pPr>
        <w:sectPr>
          <w:pgSz w:w="11900" w:h="16838" w:orient="portrait"/>
          <w:cols w:equalWidth="0" w:num="1">
            <w:col w:w="11420"/>
          </w:cols>
          <w:pgMar w:left="240" w:top="288" w:right="239" w:bottom="1440" w:gutter="0" w:footer="0" w:header="0"/>
        </w:sectPr>
      </w:pPr>
    </w:p>
    <w:bookmarkStart w:id="196" w:name="page197"/>
    <w:bookmarkEnd w:id="196"/>
    <w:tbl>
      <w:tblPr>
        <w:tblLayout w:type="fixed"/>
        <w:tblInd w:w="5600" w:type="dxa"/>
        <w:tblCellMar>
          <w:top w:w="0" w:type="dxa"/>
          <w:left w:w="0" w:type="dxa"/>
          <w:bottom w:w="0" w:type="dxa"/>
          <w:right w:w="0" w:type="dxa"/>
        </w:tblCellMar>
      </w:tblPr>
      <w:tr>
        <w:trPr>
          <w:trHeight w:val="419"/>
        </w:trPr>
        <w:tc>
          <w:tcPr>
            <w:tcW w:w="4020" w:type="dxa"/>
            <w:vAlign w:val="bottom"/>
            <w:shd w:val="clear" w:color="auto" w:fill="FF8B00"/>
          </w:tcPr>
          <w:p>
            <w:pPr>
              <w:spacing w:after="0"/>
              <w:rPr>
                <w:sz w:val="24"/>
                <w:szCs w:val="24"/>
                <w:color w:val="auto"/>
              </w:rPr>
            </w:pPr>
          </w:p>
        </w:tc>
        <w:tc>
          <w:tcPr>
            <w:tcW w:w="1800" w:type="dxa"/>
            <w:vAlign w:val="bottom"/>
            <w:shd w:val="clear" w:color="auto" w:fill="FF8B00"/>
          </w:tcPr>
          <w:p>
            <w:pPr>
              <w:spacing w:after="0"/>
              <w:rPr>
                <w:sz w:val="24"/>
                <w:szCs w:val="24"/>
                <w:color w:val="auto"/>
              </w:rPr>
            </w:pPr>
          </w:p>
        </w:tc>
      </w:tr>
      <w:tr>
        <w:trPr>
          <w:trHeight w:val="152"/>
        </w:trPr>
        <w:tc>
          <w:tcPr>
            <w:tcW w:w="4020" w:type="dxa"/>
            <w:vAlign w:val="bottom"/>
          </w:tcPr>
          <w:p>
            <w:pPr>
              <w:ind w:left="1080"/>
              <w:spacing w:after="0"/>
              <w:rPr>
                <w:sz w:val="20"/>
                <w:szCs w:val="20"/>
                <w:color w:val="auto"/>
              </w:rPr>
            </w:pPr>
            <w:r>
              <w:rPr>
                <w:rFonts w:ascii="Arial" w:cs="Arial" w:eastAsia="Arial" w:hAnsi="Arial"/>
                <w:sz w:val="13"/>
                <w:szCs w:val="13"/>
                <w:color w:val="333333"/>
              </w:rPr>
              <w:t>ADDITIONAL INFORMATION</w:t>
            </w:r>
          </w:p>
        </w:tc>
        <w:tc>
          <w:tcPr>
            <w:tcW w:w="1800" w:type="dxa"/>
            <w:vAlign w:val="bottom"/>
          </w:tcPr>
          <w:p>
            <w:pPr>
              <w:ind w:left="1260"/>
              <w:spacing w:after="0"/>
              <w:rPr>
                <w:sz w:val="20"/>
                <w:szCs w:val="20"/>
                <w:color w:val="auto"/>
              </w:rPr>
            </w:pPr>
            <w:r>
              <w:rPr>
                <w:rFonts w:ascii="Arial" w:cs="Arial" w:eastAsia="Arial" w:hAnsi="Arial"/>
                <w:sz w:val="11"/>
                <w:szCs w:val="11"/>
                <w:b w:val="1"/>
                <w:bCs w:val="1"/>
                <w:color w:val="333333"/>
              </w:rPr>
              <w:t>E5</w:t>
            </w:r>
          </w:p>
        </w:tc>
      </w:tr>
    </w:tbl>
    <w:p>
      <w:pPr>
        <w:spacing w:after="0" w:line="15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3707765</wp:posOffset>
            </wp:positionH>
            <wp:positionV relativeFrom="page">
              <wp:posOffset>183515</wp:posOffset>
            </wp:positionV>
            <wp:extent cx="3696335" cy="462915"/>
            <wp:wrapNone/>
            <wp:docPr id="583" name="Picture 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
                    <pic:cNvPicPr>
                      <a:picLocks noChangeAspect="1" noChangeArrowheads="1"/>
                    </pic:cNvPicPr>
                  </pic:nvPicPr>
                  <pic:blipFill>
                    <a:blip r:embed="rId590">
                      <a:extLst>
                        <a:ext uri="{28A0092B-C50C-407E-A947-70E740481C1C}"/>
                      </a:extLst>
                    </a:blip>
                    <a:srcRect/>
                    <a:stretch>
                      <a:fillRect/>
                    </a:stretch>
                  </pic:blipFill>
                  <pic:spPr bwMode="auto">
                    <a:xfrm>
                      <a:off x="0" y="0"/>
                      <a:ext cx="3696335" cy="462915"/>
                    </a:xfrm>
                    <a:prstGeom prst="rect">
                      <a:avLst/>
                    </a:prstGeom>
                    <a:noFill/>
                  </pic:spPr>
                </pic:pic>
              </a:graphicData>
            </a:graphic>
          </wp:anchor>
        </w:drawing>
      </w:r>
    </w:p>
    <w:p>
      <w:pPr>
        <w:spacing w:after="0"/>
        <w:tabs>
          <w:tab w:leader="none" w:pos="6660" w:val="left"/>
        </w:tabs>
        <w:rPr>
          <w:sz w:val="20"/>
          <w:szCs w:val="20"/>
          <w:color w:val="auto"/>
        </w:rPr>
      </w:pPr>
      <w:r>
        <w:rPr>
          <w:rFonts w:ascii="Arial" w:cs="Arial" w:eastAsia="Arial" w:hAnsi="Arial"/>
          <w:sz w:val="11"/>
          <w:szCs w:val="11"/>
          <w:color w:val="auto"/>
        </w:rPr>
        <w:t>SHELL ANNUAL REPORT AND FORM 20-F 2014</w:t>
      </w:r>
      <w:r>
        <w:rPr>
          <w:sz w:val="20"/>
          <w:szCs w:val="20"/>
          <w:color w:val="auto"/>
        </w:rPr>
        <w:tab/>
      </w:r>
      <w:r>
        <w:rPr>
          <w:rFonts w:ascii="Arial" w:cs="Arial" w:eastAsia="Arial" w:hAnsi="Arial"/>
          <w:sz w:val="10"/>
          <w:szCs w:val="10"/>
          <w:color w:val="auto"/>
        </w:rPr>
        <w:t>EXHIBIT 12.2</w:t>
      </w:r>
    </w:p>
    <w:p>
      <w:pPr>
        <w:spacing w:after="0" w:line="5" w:lineRule="exact"/>
        <w:rPr>
          <w:sz w:val="20"/>
          <w:szCs w:val="20"/>
          <w:color w:val="auto"/>
        </w:rPr>
      </w:pPr>
    </w:p>
    <w:p>
      <w:pPr>
        <w:spacing w:after="0"/>
        <w:rPr>
          <w:sz w:val="20"/>
          <w:szCs w:val="20"/>
          <w:color w:val="auto"/>
        </w:rPr>
      </w:pPr>
      <w:r>
        <w:rPr>
          <w:rFonts w:ascii="Arial" w:cs="Arial" w:eastAsia="Arial" w:hAnsi="Arial"/>
          <w:sz w:val="31"/>
          <w:szCs w:val="31"/>
          <w:color w:val="auto"/>
        </w:rPr>
        <w:t>EXHIBIT 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wp:posOffset>
            </wp:positionV>
            <wp:extent cx="3361690" cy="8890"/>
            <wp:wrapNone/>
            <wp:docPr id="584" name="Picture 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
                    <pic:cNvPicPr>
                      <a:picLocks noChangeAspect="1" noChangeArrowheads="1"/>
                    </pic:cNvPicPr>
                  </pic:nvPicPr>
                  <pic:blipFill>
                    <a:blip r:embed="rId591">
                      <a:extLst>
                        <a:ext uri="{28A0092B-C50C-407E-A947-70E740481C1C}"/>
                      </a:extLst>
                    </a:blip>
                    <a:srcRect/>
                    <a:stretch>
                      <a:fillRect/>
                    </a:stretch>
                  </pic:blipFill>
                  <pic:spPr bwMode="auto">
                    <a:xfrm>
                      <a:off x="0" y="0"/>
                      <a:ext cx="3361690" cy="8890"/>
                    </a:xfrm>
                    <a:prstGeom prst="rect">
                      <a:avLst/>
                    </a:prstGeom>
                    <a:noFill/>
                  </pic:spPr>
                </pic:pic>
              </a:graphicData>
            </a:graphic>
          </wp:anchor>
        </w:drawing>
      </w:r>
    </w:p>
    <w:p>
      <w:pPr>
        <w:spacing w:after="0" w:line="175" w:lineRule="exact"/>
        <w:rPr>
          <w:sz w:val="20"/>
          <w:szCs w:val="20"/>
          <w:color w:val="auto"/>
        </w:rPr>
      </w:pPr>
    </w:p>
    <w:p>
      <w:pPr>
        <w:spacing w:after="0"/>
        <w:rPr>
          <w:sz w:val="20"/>
          <w:szCs w:val="20"/>
          <w:color w:val="auto"/>
        </w:rPr>
      </w:pPr>
      <w:r>
        <w:rPr>
          <w:rFonts w:ascii="Arial" w:cs="Arial" w:eastAsia="Arial" w:hAnsi="Arial"/>
          <w:sz w:val="14"/>
          <w:szCs w:val="14"/>
          <w:color w:val="auto"/>
        </w:rPr>
        <w:t>I, Simon Henry, certify that:</w:t>
      </w:r>
    </w:p>
    <w:p>
      <w:pPr>
        <w:spacing w:after="0" w:line="190" w:lineRule="exact"/>
        <w:rPr>
          <w:sz w:val="20"/>
          <w:szCs w:val="20"/>
          <w:color w:val="auto"/>
        </w:rPr>
      </w:pPr>
    </w:p>
    <w:p>
      <w:pPr>
        <w:ind w:left="160" w:hanging="152"/>
        <w:spacing w:after="0"/>
        <w:tabs>
          <w:tab w:leader="none" w:pos="160" w:val="left"/>
        </w:tabs>
        <w:numPr>
          <w:ilvl w:val="0"/>
          <w:numId w:val="214"/>
        </w:numPr>
        <w:rPr>
          <w:rFonts w:ascii="Arial" w:cs="Arial" w:eastAsia="Arial" w:hAnsi="Arial"/>
          <w:sz w:val="14"/>
          <w:szCs w:val="14"/>
          <w:color w:val="auto"/>
        </w:rPr>
      </w:pPr>
      <w:r>
        <w:rPr>
          <w:rFonts w:ascii="Arial" w:cs="Arial" w:eastAsia="Arial" w:hAnsi="Arial"/>
          <w:sz w:val="14"/>
          <w:szCs w:val="14"/>
          <w:color w:val="auto"/>
        </w:rPr>
        <w:t>I have reviewed the Annual Report on Form 20-F of Royal Dutch Shell plc (the Company);</w:t>
      </w:r>
    </w:p>
    <w:p>
      <w:pPr>
        <w:spacing w:after="0" w:line="176" w:lineRule="exact"/>
        <w:rPr>
          <w:rFonts w:ascii="Arial" w:cs="Arial" w:eastAsia="Arial" w:hAnsi="Arial"/>
          <w:sz w:val="14"/>
          <w:szCs w:val="14"/>
          <w:color w:val="auto"/>
        </w:rPr>
      </w:pPr>
    </w:p>
    <w:p>
      <w:pPr>
        <w:ind w:right="180" w:firstLine="8"/>
        <w:spacing w:after="0" w:line="258" w:lineRule="auto"/>
        <w:tabs>
          <w:tab w:leader="none" w:pos="160" w:val="left"/>
        </w:tabs>
        <w:numPr>
          <w:ilvl w:val="0"/>
          <w:numId w:val="214"/>
        </w:numPr>
        <w:rPr>
          <w:rFonts w:ascii="Arial" w:cs="Arial" w:eastAsia="Arial" w:hAnsi="Arial"/>
          <w:sz w:val="14"/>
          <w:szCs w:val="14"/>
          <w:color w:val="auto"/>
        </w:rPr>
      </w:pPr>
      <w:r>
        <w:rPr>
          <w:rFonts w:ascii="Arial" w:cs="Arial" w:eastAsia="Arial" w:hAnsi="Arial"/>
          <w:sz w:val="14"/>
          <w:szCs w:val="14"/>
          <w:color w:val="auto"/>
        </w:rPr>
        <w:t>Based on my knowledge, the report does not contain any untrue statement of a material fact or omit to state a material fact necessary to make the statements made, in light of the circumstances under which such statements were made, not misleading with respect to the period covered by the report;</w:t>
      </w:r>
    </w:p>
    <w:p>
      <w:pPr>
        <w:spacing w:after="0" w:line="153" w:lineRule="exact"/>
        <w:rPr>
          <w:rFonts w:ascii="Arial" w:cs="Arial" w:eastAsia="Arial" w:hAnsi="Arial"/>
          <w:sz w:val="14"/>
          <w:szCs w:val="14"/>
          <w:color w:val="auto"/>
        </w:rPr>
      </w:pPr>
    </w:p>
    <w:p>
      <w:pPr>
        <w:ind w:right="240" w:firstLine="8"/>
        <w:spacing w:after="0" w:line="258" w:lineRule="auto"/>
        <w:tabs>
          <w:tab w:leader="none" w:pos="160" w:val="left"/>
        </w:tabs>
        <w:numPr>
          <w:ilvl w:val="0"/>
          <w:numId w:val="214"/>
        </w:numPr>
        <w:rPr>
          <w:rFonts w:ascii="Arial" w:cs="Arial" w:eastAsia="Arial" w:hAnsi="Arial"/>
          <w:sz w:val="14"/>
          <w:szCs w:val="14"/>
          <w:color w:val="auto"/>
        </w:rPr>
      </w:pPr>
      <w:r>
        <w:rPr>
          <w:rFonts w:ascii="Arial" w:cs="Arial" w:eastAsia="Arial" w:hAnsi="Arial"/>
          <w:sz w:val="14"/>
          <w:szCs w:val="14"/>
          <w:color w:val="auto"/>
        </w:rPr>
        <w:t>Based on my knowledge, the financial statements, and other financial information included in the report, fairly present in all material respects the financial condition, results of operations and cash flows of the Company as of, and for, the periods presented in the report;</w:t>
      </w:r>
    </w:p>
    <w:p>
      <w:pPr>
        <w:spacing w:after="0" w:line="167" w:lineRule="exact"/>
        <w:rPr>
          <w:rFonts w:ascii="Arial" w:cs="Arial" w:eastAsia="Arial" w:hAnsi="Arial"/>
          <w:sz w:val="14"/>
          <w:szCs w:val="14"/>
          <w:color w:val="auto"/>
        </w:rPr>
      </w:pPr>
    </w:p>
    <w:p>
      <w:pPr>
        <w:ind w:right="200" w:firstLine="8"/>
        <w:spacing w:after="0" w:line="258" w:lineRule="auto"/>
        <w:tabs>
          <w:tab w:leader="none" w:pos="160" w:val="left"/>
        </w:tabs>
        <w:numPr>
          <w:ilvl w:val="0"/>
          <w:numId w:val="214"/>
        </w:numPr>
        <w:rPr>
          <w:rFonts w:ascii="Arial" w:cs="Arial" w:eastAsia="Arial" w:hAnsi="Arial"/>
          <w:sz w:val="14"/>
          <w:szCs w:val="14"/>
          <w:color w:val="auto"/>
        </w:rPr>
      </w:pPr>
      <w:r>
        <w:rPr>
          <w:rFonts w:ascii="Arial" w:cs="Arial" w:eastAsia="Arial" w:hAnsi="Arial"/>
          <w:sz w:val="14"/>
          <w:szCs w:val="14"/>
          <w:color w:val="auto"/>
        </w:rPr>
        <w:t>The Company’s other certifying officer and I are responsible for establishing and maintaining disclosure controls and procedures (as defined in Exchange Act Rules 13a-15(e) and 15d-15(e)) and internal control over financial reporting (as defined in Exchange Act Rules 13a-15(f) and 15d-15(f)) for the Company and have:</w:t>
      </w:r>
    </w:p>
    <w:p>
      <w:pPr>
        <w:spacing w:after="0" w:line="194" w:lineRule="exact"/>
        <w:rPr>
          <w:sz w:val="20"/>
          <w:szCs w:val="20"/>
          <w:color w:val="auto"/>
        </w:rPr>
      </w:pPr>
    </w:p>
    <w:p>
      <w:pPr>
        <w:ind w:left="220" w:right="20" w:hanging="212"/>
        <w:spacing w:after="0" w:line="195" w:lineRule="auto"/>
        <w:tabs>
          <w:tab w:leader="none" w:pos="220" w:val="left"/>
        </w:tabs>
        <w:numPr>
          <w:ilvl w:val="0"/>
          <w:numId w:val="215"/>
        </w:numPr>
        <w:rPr>
          <w:rFonts w:ascii="Arial" w:cs="Arial" w:eastAsia="Arial" w:hAnsi="Arial"/>
          <w:sz w:val="24"/>
          <w:szCs w:val="24"/>
          <w:color w:val="auto"/>
          <w:vertAlign w:val="superscript"/>
        </w:rPr>
      </w:pPr>
      <w:r>
        <w:rPr>
          <w:rFonts w:ascii="Arial" w:cs="Arial" w:eastAsia="Arial" w:hAnsi="Arial"/>
          <w:sz w:val="14"/>
          <w:szCs w:val="14"/>
          <w:color w:val="auto"/>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the report is being prepared;</w:t>
      </w:r>
    </w:p>
    <w:p>
      <w:pPr>
        <w:jc w:val="both"/>
        <w:ind w:left="220" w:right="340" w:hanging="212"/>
        <w:spacing w:after="0" w:line="195" w:lineRule="auto"/>
        <w:tabs>
          <w:tab w:leader="none" w:pos="220" w:val="left"/>
        </w:tabs>
        <w:numPr>
          <w:ilvl w:val="0"/>
          <w:numId w:val="215"/>
        </w:numPr>
        <w:rPr>
          <w:rFonts w:ascii="Arial" w:cs="Arial" w:eastAsia="Arial" w:hAnsi="Arial"/>
          <w:sz w:val="24"/>
          <w:szCs w:val="24"/>
          <w:color w:val="auto"/>
          <w:vertAlign w:val="superscript"/>
        </w:rPr>
      </w:pPr>
      <w:r>
        <w:rPr>
          <w:rFonts w:ascii="Arial" w:cs="Arial" w:eastAsia="Arial" w:hAnsi="Arial"/>
          <w:sz w:val="14"/>
          <w:szCs w:val="14"/>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ind w:left="220" w:right="60" w:hanging="212"/>
        <w:spacing w:after="0" w:line="182" w:lineRule="auto"/>
        <w:tabs>
          <w:tab w:leader="none" w:pos="220" w:val="left"/>
        </w:tabs>
        <w:numPr>
          <w:ilvl w:val="0"/>
          <w:numId w:val="215"/>
        </w:numPr>
        <w:rPr>
          <w:rFonts w:ascii="Arial" w:cs="Arial" w:eastAsia="Arial" w:hAnsi="Arial"/>
          <w:sz w:val="23"/>
          <w:szCs w:val="23"/>
          <w:color w:val="auto"/>
          <w:vertAlign w:val="superscript"/>
        </w:rPr>
      </w:pPr>
      <w:r>
        <w:rPr>
          <w:rFonts w:ascii="Arial" w:cs="Arial" w:eastAsia="Arial" w:hAnsi="Arial"/>
          <w:sz w:val="14"/>
          <w:szCs w:val="14"/>
          <w:color w:val="auto"/>
        </w:rPr>
        <w:t>evaluated the effectiveness of the Company’s disclosure controls and procedures and presented in the report our conclusions about the effectiveness of the disclosure controls and procedures, as of the end of the period covered by the report based on such evaluation; and</w:t>
      </w:r>
    </w:p>
    <w:p>
      <w:pPr>
        <w:spacing w:after="0" w:line="1" w:lineRule="exact"/>
        <w:rPr>
          <w:rFonts w:ascii="Arial" w:cs="Arial" w:eastAsia="Arial" w:hAnsi="Arial"/>
          <w:sz w:val="23"/>
          <w:szCs w:val="23"/>
          <w:color w:val="auto"/>
          <w:vertAlign w:val="superscript"/>
        </w:rPr>
      </w:pPr>
    </w:p>
    <w:p>
      <w:pPr>
        <w:ind w:left="220" w:right="300" w:hanging="212"/>
        <w:spacing w:after="0" w:line="183" w:lineRule="auto"/>
        <w:tabs>
          <w:tab w:leader="none" w:pos="220" w:val="left"/>
        </w:tabs>
        <w:numPr>
          <w:ilvl w:val="0"/>
          <w:numId w:val="215"/>
        </w:numPr>
        <w:rPr>
          <w:rFonts w:ascii="Arial" w:cs="Arial" w:eastAsia="Arial" w:hAnsi="Arial"/>
          <w:sz w:val="24"/>
          <w:szCs w:val="24"/>
          <w:color w:val="auto"/>
          <w:vertAlign w:val="superscript"/>
        </w:rPr>
      </w:pPr>
      <w:r>
        <w:rPr>
          <w:rFonts w:ascii="Arial" w:cs="Arial" w:eastAsia="Arial" w:hAnsi="Arial"/>
          <w:sz w:val="14"/>
          <w:szCs w:val="14"/>
          <w:color w:val="auto"/>
        </w:rPr>
        <w:t>disclosed in the report any change in the Company’s internal control over financial reporting that occurred during the period covered by the annual report that has materially affected, or is reasonably likely to materially affect, the Company’s internal control over financial reporting.</w:t>
      </w:r>
    </w:p>
    <w:p>
      <w:pPr>
        <w:spacing w:after="0" w:line="167" w:lineRule="exact"/>
        <w:rPr>
          <w:sz w:val="20"/>
          <w:szCs w:val="20"/>
          <w:color w:val="auto"/>
        </w:rPr>
      </w:pPr>
    </w:p>
    <w:p>
      <w:pPr>
        <w:ind w:right="160" w:firstLine="8"/>
        <w:spacing w:after="0" w:line="258" w:lineRule="auto"/>
        <w:tabs>
          <w:tab w:leader="none" w:pos="160" w:val="left"/>
        </w:tabs>
        <w:numPr>
          <w:ilvl w:val="0"/>
          <w:numId w:val="216"/>
        </w:numPr>
        <w:rPr>
          <w:rFonts w:ascii="Arial" w:cs="Arial" w:eastAsia="Arial" w:hAnsi="Arial"/>
          <w:sz w:val="14"/>
          <w:szCs w:val="14"/>
          <w:color w:val="auto"/>
        </w:rPr>
      </w:pPr>
      <w:r>
        <w:rPr>
          <w:rFonts w:ascii="Arial" w:cs="Arial" w:eastAsia="Arial" w:hAnsi="Arial"/>
          <w:sz w:val="14"/>
          <w:szCs w:val="14"/>
          <w:color w:val="auto"/>
        </w:rPr>
        <w:t>The Company’s other certifying officer and I have disclosed, based on our most recent evaluation of internal control over financial reporting, to the Company’s auditors and the audit committee of the Company’s Board of Directors (or persons performing the equivalent functions):</w:t>
      </w:r>
    </w:p>
    <w:p>
      <w:pPr>
        <w:spacing w:after="0" w:line="194" w:lineRule="exact"/>
        <w:rPr>
          <w:sz w:val="20"/>
          <w:szCs w:val="20"/>
          <w:color w:val="auto"/>
        </w:rPr>
      </w:pPr>
    </w:p>
    <w:p>
      <w:pPr>
        <w:ind w:left="220" w:right="400" w:hanging="212"/>
        <w:spacing w:after="0" w:line="182" w:lineRule="auto"/>
        <w:tabs>
          <w:tab w:leader="none" w:pos="220" w:val="left"/>
        </w:tabs>
        <w:numPr>
          <w:ilvl w:val="0"/>
          <w:numId w:val="217"/>
        </w:numPr>
        <w:rPr>
          <w:rFonts w:ascii="Arial" w:cs="Arial" w:eastAsia="Arial" w:hAnsi="Arial"/>
          <w:sz w:val="23"/>
          <w:szCs w:val="23"/>
          <w:color w:val="auto"/>
          <w:vertAlign w:val="superscript"/>
        </w:rPr>
      </w:pPr>
      <w:r>
        <w:rPr>
          <w:rFonts w:ascii="Arial" w:cs="Arial" w:eastAsia="Arial" w:hAnsi="Arial"/>
          <w:sz w:val="14"/>
          <w:szCs w:val="14"/>
          <w:color w:val="auto"/>
        </w:rPr>
        <w:t>all significant deficiencies and material weaknesses in the design or operation of internal control over financial reporting which are reasonably likely to adversely affect the Company’s ability to record, process, summarise and report financial information; and</w:t>
      </w:r>
    </w:p>
    <w:p>
      <w:pPr>
        <w:spacing w:after="0" w:line="1" w:lineRule="exact"/>
        <w:rPr>
          <w:rFonts w:ascii="Arial" w:cs="Arial" w:eastAsia="Arial" w:hAnsi="Arial"/>
          <w:sz w:val="23"/>
          <w:szCs w:val="23"/>
          <w:color w:val="auto"/>
          <w:vertAlign w:val="superscript"/>
        </w:rPr>
      </w:pPr>
    </w:p>
    <w:p>
      <w:pPr>
        <w:ind w:left="220" w:hanging="212"/>
        <w:spacing w:after="0" w:line="189" w:lineRule="auto"/>
        <w:tabs>
          <w:tab w:leader="none" w:pos="220" w:val="left"/>
        </w:tabs>
        <w:numPr>
          <w:ilvl w:val="0"/>
          <w:numId w:val="217"/>
        </w:numPr>
        <w:rPr>
          <w:rFonts w:ascii="Arial" w:cs="Arial" w:eastAsia="Arial" w:hAnsi="Arial"/>
          <w:sz w:val="19"/>
          <w:szCs w:val="19"/>
          <w:color w:val="auto"/>
          <w:vertAlign w:val="superscript"/>
        </w:rPr>
      </w:pPr>
      <w:r>
        <w:rPr>
          <w:rFonts w:ascii="Arial" w:cs="Arial" w:eastAsia="Arial" w:hAnsi="Arial"/>
          <w:sz w:val="12"/>
          <w:szCs w:val="12"/>
          <w:color w:val="auto"/>
        </w:rPr>
        <w:t>any fraud, whether or not material, that involves management or other employees who have a significant role in the Company’s internal control over financial reporting.</w:t>
      </w:r>
    </w:p>
    <w:p>
      <w:pPr>
        <w:spacing w:after="0" w:line="206" w:lineRule="exact"/>
        <w:rPr>
          <w:sz w:val="20"/>
          <w:szCs w:val="20"/>
          <w:color w:val="auto"/>
        </w:rPr>
      </w:pPr>
    </w:p>
    <w:p>
      <w:pPr>
        <w:spacing w:after="0"/>
        <w:rPr>
          <w:sz w:val="20"/>
          <w:szCs w:val="20"/>
          <w:color w:val="auto"/>
        </w:rPr>
      </w:pPr>
      <w:r>
        <w:rPr>
          <w:rFonts w:ascii="Arial" w:cs="Arial" w:eastAsia="Arial" w:hAnsi="Arial"/>
          <w:sz w:val="14"/>
          <w:szCs w:val="14"/>
          <w:color w:val="auto"/>
        </w:rPr>
        <w:t>/s/ Simon Henry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3361690" cy="8890"/>
            <wp:wrapNone/>
            <wp:docPr id="585" name="Picture 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
                    <pic:cNvPicPr>
                      <a:picLocks noChangeAspect="1" noChangeArrowheads="1"/>
                    </pic:cNvPicPr>
                  </pic:nvPicPr>
                  <pic:blipFill>
                    <a:blip r:embed="rId592">
                      <a:extLst>
                        <a:ext uri="{28A0092B-C50C-407E-A947-70E740481C1C}"/>
                      </a:extLst>
                    </a:blip>
                    <a:srcRect/>
                    <a:stretch>
                      <a:fillRect/>
                    </a:stretch>
                  </pic:blipFill>
                  <pic:spPr bwMode="auto">
                    <a:xfrm>
                      <a:off x="0" y="0"/>
                      <a:ext cx="3361690" cy="8890"/>
                    </a:xfrm>
                    <a:prstGeom prst="rect">
                      <a:avLst/>
                    </a:prstGeom>
                    <a:noFill/>
                  </pic:spPr>
                </pic:pic>
              </a:graphicData>
            </a:graphic>
          </wp:anchor>
        </w:drawing>
      </w:r>
    </w:p>
    <w:p>
      <w:pPr>
        <w:spacing w:after="0" w:line="8" w:lineRule="exact"/>
        <w:rPr>
          <w:sz w:val="20"/>
          <w:szCs w:val="20"/>
          <w:color w:val="auto"/>
        </w:rPr>
      </w:pPr>
    </w:p>
    <w:p>
      <w:pPr>
        <w:spacing w:after="0"/>
        <w:rPr>
          <w:sz w:val="20"/>
          <w:szCs w:val="20"/>
          <w:color w:val="auto"/>
        </w:rPr>
      </w:pPr>
      <w:r>
        <w:rPr>
          <w:rFonts w:ascii="Arial" w:cs="Arial" w:eastAsia="Arial" w:hAnsi="Arial"/>
          <w:sz w:val="14"/>
          <w:szCs w:val="14"/>
          <w:color w:val="auto"/>
        </w:rPr>
        <w:t>Simon Henry</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Chief Financial Officer</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March 11, 2015</w:t>
      </w:r>
    </w:p>
    <w:p>
      <w:pPr>
        <w:sectPr>
          <w:pgSz w:w="11900" w:h="16838" w:orient="portrait"/>
          <w:cols w:equalWidth="0" w:num="1">
            <w:col w:w="11420"/>
          </w:cols>
          <w:pgMar w:left="240" w:top="288" w:right="239" w:bottom="1440" w:gutter="0" w:footer="0" w:header="0"/>
        </w:sectPr>
      </w:pPr>
    </w:p>
    <w:bookmarkStart w:id="197" w:name="page198"/>
    <w:bookmarkEnd w:id="197"/>
    <w:tbl>
      <w:tblPr>
        <w:tblLayout w:type="fixed"/>
        <w:tblInd w:w="0" w:type="dxa"/>
        <w:tblCellMar>
          <w:top w:w="0" w:type="dxa"/>
          <w:left w:w="0" w:type="dxa"/>
          <w:bottom w:w="0" w:type="dxa"/>
          <w:right w:w="0" w:type="dxa"/>
        </w:tblCellMar>
      </w:tblPr>
      <w:tr>
        <w:trPr>
          <w:trHeight w:val="419"/>
        </w:trPr>
        <w:tc>
          <w:tcPr>
            <w:tcW w:w="1720" w:type="dxa"/>
            <w:vAlign w:val="bottom"/>
            <w:shd w:val="clear" w:color="auto" w:fill="FF8B00"/>
          </w:tcPr>
          <w:p>
            <w:pPr>
              <w:spacing w:after="0"/>
              <w:rPr>
                <w:sz w:val="24"/>
                <w:szCs w:val="24"/>
                <w:color w:val="auto"/>
              </w:rPr>
            </w:pPr>
          </w:p>
        </w:tc>
        <w:tc>
          <w:tcPr>
            <w:tcW w:w="3820" w:type="dxa"/>
            <w:vAlign w:val="bottom"/>
            <w:shd w:val="clear" w:color="auto" w:fill="FF8B00"/>
          </w:tcPr>
          <w:p>
            <w:pPr>
              <w:spacing w:after="0"/>
              <w:rPr>
                <w:sz w:val="24"/>
                <w:szCs w:val="24"/>
                <w:color w:val="auto"/>
              </w:rPr>
            </w:pPr>
          </w:p>
        </w:tc>
      </w:tr>
      <w:tr>
        <w:trPr>
          <w:trHeight w:val="152"/>
        </w:trPr>
        <w:tc>
          <w:tcPr>
            <w:tcW w:w="1720" w:type="dxa"/>
            <w:vAlign w:val="bottom"/>
          </w:tcPr>
          <w:p>
            <w:pPr>
              <w:ind w:left="220"/>
              <w:spacing w:after="0"/>
              <w:rPr>
                <w:sz w:val="20"/>
                <w:szCs w:val="20"/>
                <w:color w:val="auto"/>
              </w:rPr>
            </w:pPr>
            <w:r>
              <w:rPr>
                <w:rFonts w:ascii="Arial" w:cs="Arial" w:eastAsia="Arial" w:hAnsi="Arial"/>
                <w:sz w:val="11"/>
                <w:szCs w:val="11"/>
                <w:b w:val="1"/>
                <w:bCs w:val="1"/>
                <w:color w:val="333333"/>
              </w:rPr>
              <w:t>E6</w:t>
            </w:r>
          </w:p>
        </w:tc>
        <w:tc>
          <w:tcPr>
            <w:tcW w:w="3820" w:type="dxa"/>
            <w:vAlign w:val="bottom"/>
          </w:tcPr>
          <w:p>
            <w:pPr>
              <w:ind w:left="1380"/>
              <w:spacing w:after="0"/>
              <w:rPr>
                <w:sz w:val="20"/>
                <w:szCs w:val="20"/>
                <w:color w:val="auto"/>
              </w:rPr>
            </w:pPr>
            <w:r>
              <w:rPr>
                <w:rFonts w:ascii="Arial" w:cs="Arial" w:eastAsia="Arial" w:hAnsi="Arial"/>
                <w:sz w:val="13"/>
                <w:szCs w:val="13"/>
                <w:color w:val="333333"/>
              </w:rPr>
              <w:t>ADDITIONAL INFORMATION</w:t>
            </w:r>
          </w:p>
        </w:tc>
      </w:tr>
    </w:tbl>
    <w:p>
      <w:pPr>
        <w:spacing w:after="0" w:line="15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183515</wp:posOffset>
            </wp:positionV>
            <wp:extent cx="3515995" cy="462915"/>
            <wp:wrapNone/>
            <wp:docPr id="586" name="Picture 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
                    <pic:cNvPicPr>
                      <a:picLocks noChangeAspect="1" noChangeArrowheads="1"/>
                    </pic:cNvPicPr>
                  </pic:nvPicPr>
                  <pic:blipFill>
                    <a:blip r:embed="rId593">
                      <a:extLst>
                        <a:ext uri="{28A0092B-C50C-407E-A947-70E740481C1C}"/>
                      </a:extLst>
                    </a:blip>
                    <a:srcRect/>
                    <a:stretch>
                      <a:fillRect/>
                    </a:stretch>
                  </pic:blipFill>
                  <pic:spPr bwMode="auto">
                    <a:xfrm>
                      <a:off x="0" y="0"/>
                      <a:ext cx="3515995" cy="462915"/>
                    </a:xfrm>
                    <a:prstGeom prst="rect">
                      <a:avLst/>
                    </a:prstGeom>
                    <a:noFill/>
                  </pic:spPr>
                </pic:pic>
              </a:graphicData>
            </a:graphic>
          </wp:anchor>
        </w:drawing>
      </w:r>
    </w:p>
    <w:p>
      <w:pPr>
        <w:jc w:val="right"/>
        <w:spacing w:after="0"/>
        <w:tabs>
          <w:tab w:leader="none" w:pos="2380" w:val="left"/>
        </w:tabs>
        <w:rPr>
          <w:sz w:val="20"/>
          <w:szCs w:val="20"/>
          <w:color w:val="auto"/>
        </w:rPr>
      </w:pPr>
      <w:r>
        <w:rPr>
          <w:rFonts w:ascii="Arial" w:cs="Arial" w:eastAsia="Arial" w:hAnsi="Arial"/>
          <w:sz w:val="11"/>
          <w:szCs w:val="11"/>
          <w:color w:val="auto"/>
        </w:rPr>
        <w:t>EXHIBIT 13.1</w:t>
      </w:r>
      <w:r>
        <w:rPr>
          <w:sz w:val="20"/>
          <w:szCs w:val="20"/>
          <w:color w:val="auto"/>
        </w:rPr>
        <w:tab/>
      </w:r>
      <w:r>
        <w:rPr>
          <w:rFonts w:ascii="Arial" w:cs="Arial" w:eastAsia="Arial" w:hAnsi="Arial"/>
          <w:sz w:val="10"/>
          <w:szCs w:val="10"/>
          <w:color w:val="auto"/>
        </w:rPr>
        <w:t>SHELL ANNUAL REPORT AND FORM 20-F 2014</w:t>
      </w:r>
    </w:p>
    <w:p>
      <w:pPr>
        <w:spacing w:after="0" w:line="5" w:lineRule="exact"/>
        <w:rPr>
          <w:sz w:val="20"/>
          <w:szCs w:val="20"/>
          <w:color w:val="auto"/>
        </w:rPr>
      </w:pPr>
    </w:p>
    <w:p>
      <w:pPr>
        <w:spacing w:after="0"/>
        <w:rPr>
          <w:sz w:val="20"/>
          <w:szCs w:val="20"/>
          <w:color w:val="auto"/>
        </w:rPr>
      </w:pPr>
      <w:r>
        <w:rPr>
          <w:rFonts w:ascii="Arial" w:cs="Arial" w:eastAsia="Arial" w:hAnsi="Arial"/>
          <w:sz w:val="31"/>
          <w:szCs w:val="31"/>
          <w:color w:val="auto"/>
        </w:rPr>
        <w:t>EXHIBIT 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wp:posOffset>
            </wp:positionV>
            <wp:extent cx="3361690" cy="8890"/>
            <wp:wrapNone/>
            <wp:docPr id="587" name="Picture 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
                    <pic:cNvPicPr>
                      <a:picLocks noChangeAspect="1" noChangeArrowheads="1"/>
                    </pic:cNvPicPr>
                  </pic:nvPicPr>
                  <pic:blipFill>
                    <a:blip r:embed="rId594">
                      <a:extLst>
                        <a:ext uri="{28A0092B-C50C-407E-A947-70E740481C1C}"/>
                      </a:extLst>
                    </a:blip>
                    <a:srcRect/>
                    <a:stretch>
                      <a:fillRect/>
                    </a:stretch>
                  </pic:blipFill>
                  <pic:spPr bwMode="auto">
                    <a:xfrm>
                      <a:off x="0" y="0"/>
                      <a:ext cx="3361690" cy="8890"/>
                    </a:xfrm>
                    <a:prstGeom prst="rect">
                      <a:avLst/>
                    </a:prstGeom>
                    <a:noFill/>
                  </pic:spPr>
                </pic:pic>
              </a:graphicData>
            </a:graphic>
          </wp:anchor>
        </w:drawing>
      </w:r>
    </w:p>
    <w:p>
      <w:pPr>
        <w:spacing w:after="0" w:line="175" w:lineRule="exact"/>
        <w:rPr>
          <w:sz w:val="20"/>
          <w:szCs w:val="20"/>
          <w:color w:val="auto"/>
        </w:rPr>
      </w:pPr>
    </w:p>
    <w:p>
      <w:pPr>
        <w:ind w:right="180"/>
        <w:spacing w:after="0" w:line="250" w:lineRule="auto"/>
        <w:rPr>
          <w:sz w:val="20"/>
          <w:szCs w:val="20"/>
          <w:color w:val="auto"/>
        </w:rPr>
      </w:pPr>
      <w:r>
        <w:rPr>
          <w:rFonts w:ascii="Arial" w:cs="Arial" w:eastAsia="Arial" w:hAnsi="Arial"/>
          <w:sz w:val="14"/>
          <w:szCs w:val="14"/>
          <w:color w:val="auto"/>
        </w:rPr>
        <w:t>In connection with the Annual Report on Form 20-F of Royal Dutch Shell plc (the Company) for the year ended December 31, 2014, as filed with the Securities and Exchange Commission on the date hereof (the Report), each of the undersigned officers of the Company certify pursuant to 18 U.S.C. Section 1350, as adopted pursuant to Section 906 of the Sarbanes-Oxley Act of 2002, to such officer’s knowledge, that:</w:t>
      </w:r>
    </w:p>
    <w:p>
      <w:pPr>
        <w:spacing w:after="0" w:line="172" w:lineRule="exact"/>
        <w:rPr>
          <w:sz w:val="20"/>
          <w:szCs w:val="20"/>
          <w:color w:val="auto"/>
        </w:rPr>
      </w:pPr>
    </w:p>
    <w:p>
      <w:pPr>
        <w:ind w:left="160" w:hanging="152"/>
        <w:spacing w:after="0"/>
        <w:tabs>
          <w:tab w:leader="none" w:pos="160" w:val="left"/>
        </w:tabs>
        <w:numPr>
          <w:ilvl w:val="0"/>
          <w:numId w:val="218"/>
        </w:numPr>
        <w:rPr>
          <w:rFonts w:ascii="Arial" w:cs="Arial" w:eastAsia="Arial" w:hAnsi="Arial"/>
          <w:sz w:val="14"/>
          <w:szCs w:val="14"/>
          <w:color w:val="auto"/>
        </w:rPr>
      </w:pPr>
      <w:r>
        <w:rPr>
          <w:rFonts w:ascii="Arial" w:cs="Arial" w:eastAsia="Arial" w:hAnsi="Arial"/>
          <w:sz w:val="14"/>
          <w:szCs w:val="14"/>
          <w:color w:val="auto"/>
        </w:rPr>
        <w:t>The Report fully complies, in all material respects, with the requirements of Section 13(a) or 15(d) of the Securities Exchange Act of 1934; and</w:t>
      </w:r>
    </w:p>
    <w:p>
      <w:pPr>
        <w:spacing w:after="0" w:line="176" w:lineRule="exact"/>
        <w:rPr>
          <w:rFonts w:ascii="Arial" w:cs="Arial" w:eastAsia="Arial" w:hAnsi="Arial"/>
          <w:sz w:val="14"/>
          <w:szCs w:val="14"/>
          <w:color w:val="auto"/>
        </w:rPr>
      </w:pPr>
    </w:p>
    <w:p>
      <w:pPr>
        <w:ind w:right="480" w:firstLine="8"/>
        <w:spacing w:after="0" w:line="258" w:lineRule="auto"/>
        <w:tabs>
          <w:tab w:leader="none" w:pos="160" w:val="left"/>
        </w:tabs>
        <w:numPr>
          <w:ilvl w:val="0"/>
          <w:numId w:val="218"/>
        </w:numPr>
        <w:rPr>
          <w:rFonts w:ascii="Arial" w:cs="Arial" w:eastAsia="Arial" w:hAnsi="Arial"/>
          <w:sz w:val="14"/>
          <w:szCs w:val="14"/>
          <w:color w:val="auto"/>
        </w:rPr>
      </w:pPr>
      <w:r>
        <w:rPr>
          <w:rFonts w:ascii="Arial" w:cs="Arial" w:eastAsia="Arial" w:hAnsi="Arial"/>
          <w:sz w:val="14"/>
          <w:szCs w:val="14"/>
          <w:color w:val="auto"/>
        </w:rPr>
        <w:t>The information contained in the Report fairly presents, in all material respects, the financial condition and results of operations of the Company as of, and for, the periods presented in the Report.</w:t>
      </w:r>
    </w:p>
    <w:p>
      <w:pPr>
        <w:spacing w:after="0" w:line="154" w:lineRule="exact"/>
        <w:rPr>
          <w:sz w:val="20"/>
          <w:szCs w:val="20"/>
          <w:color w:val="auto"/>
        </w:rPr>
      </w:pPr>
    </w:p>
    <w:p>
      <w:pPr>
        <w:ind w:right="360"/>
        <w:spacing w:after="0" w:line="258" w:lineRule="auto"/>
        <w:rPr>
          <w:sz w:val="20"/>
          <w:szCs w:val="20"/>
          <w:color w:val="auto"/>
        </w:rPr>
      </w:pPr>
      <w:r>
        <w:rPr>
          <w:rFonts w:ascii="Arial" w:cs="Arial" w:eastAsia="Arial" w:hAnsi="Arial"/>
          <w:sz w:val="14"/>
          <w:szCs w:val="14"/>
          <w:color w:val="auto"/>
        </w:rPr>
        <w:t>The foregoing certification is provided solely for purposes of complying with the provisions of Section 906 of the Sarbanes-Oxley Act of 2002 and is not intended to be used or relied upon for any other purpose.</w:t>
      </w:r>
    </w:p>
    <w:p>
      <w:pPr>
        <w:spacing w:after="0" w:line="194" w:lineRule="exact"/>
        <w:rPr>
          <w:sz w:val="20"/>
          <w:szCs w:val="20"/>
          <w:color w:val="auto"/>
        </w:rPr>
      </w:pPr>
    </w:p>
    <w:p>
      <w:pPr>
        <w:spacing w:after="0"/>
        <w:rPr>
          <w:sz w:val="20"/>
          <w:szCs w:val="20"/>
          <w:color w:val="auto"/>
        </w:rPr>
      </w:pPr>
      <w:r>
        <w:rPr>
          <w:rFonts w:ascii="Arial" w:cs="Arial" w:eastAsia="Arial" w:hAnsi="Arial"/>
          <w:sz w:val="14"/>
          <w:szCs w:val="14"/>
          <w:color w:val="auto"/>
        </w:rPr>
        <w:t>/s/ Ben van Beurden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3361690" cy="8890"/>
            <wp:wrapNone/>
            <wp:docPr id="588" name="Picture 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
                    <pic:cNvPicPr>
                      <a:picLocks noChangeAspect="1" noChangeArrowheads="1"/>
                    </pic:cNvPicPr>
                  </pic:nvPicPr>
                  <pic:blipFill>
                    <a:blip r:embed="rId595">
                      <a:extLst>
                        <a:ext uri="{28A0092B-C50C-407E-A947-70E740481C1C}"/>
                      </a:extLst>
                    </a:blip>
                    <a:srcRect/>
                    <a:stretch>
                      <a:fillRect/>
                    </a:stretch>
                  </pic:blipFill>
                  <pic:spPr bwMode="auto">
                    <a:xfrm>
                      <a:off x="0" y="0"/>
                      <a:ext cx="3361690" cy="8890"/>
                    </a:xfrm>
                    <a:prstGeom prst="rect">
                      <a:avLst/>
                    </a:prstGeom>
                    <a:noFill/>
                  </pic:spPr>
                </pic:pic>
              </a:graphicData>
            </a:graphic>
          </wp:anchor>
        </w:drawing>
      </w:r>
    </w:p>
    <w:p>
      <w:pPr>
        <w:spacing w:after="0" w:line="8" w:lineRule="exact"/>
        <w:rPr>
          <w:sz w:val="20"/>
          <w:szCs w:val="20"/>
          <w:color w:val="auto"/>
        </w:rPr>
      </w:pPr>
    </w:p>
    <w:p>
      <w:pPr>
        <w:spacing w:after="0"/>
        <w:rPr>
          <w:sz w:val="20"/>
          <w:szCs w:val="20"/>
          <w:color w:val="auto"/>
        </w:rPr>
      </w:pPr>
      <w:r>
        <w:rPr>
          <w:rFonts w:ascii="Arial" w:cs="Arial" w:eastAsia="Arial" w:hAnsi="Arial"/>
          <w:sz w:val="14"/>
          <w:szCs w:val="14"/>
          <w:color w:val="auto"/>
        </w:rPr>
        <w:t>Ben van Beurden</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Chief Executive Officer</w:t>
      </w:r>
    </w:p>
    <w:p>
      <w:pPr>
        <w:spacing w:after="0" w:line="217" w:lineRule="exact"/>
        <w:rPr>
          <w:sz w:val="20"/>
          <w:szCs w:val="20"/>
          <w:color w:val="auto"/>
        </w:rPr>
      </w:pPr>
    </w:p>
    <w:p>
      <w:pPr>
        <w:spacing w:after="0"/>
        <w:rPr>
          <w:sz w:val="20"/>
          <w:szCs w:val="20"/>
          <w:color w:val="auto"/>
        </w:rPr>
      </w:pPr>
      <w:r>
        <w:rPr>
          <w:rFonts w:ascii="Arial" w:cs="Arial" w:eastAsia="Arial" w:hAnsi="Arial"/>
          <w:sz w:val="14"/>
          <w:szCs w:val="14"/>
          <w:color w:val="auto"/>
        </w:rPr>
        <w:t>/s/ Simon Henry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3361690" cy="8890"/>
            <wp:wrapNone/>
            <wp:docPr id="589" name="Picture 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
                    <pic:cNvPicPr>
                      <a:picLocks noChangeAspect="1" noChangeArrowheads="1"/>
                    </pic:cNvPicPr>
                  </pic:nvPicPr>
                  <pic:blipFill>
                    <a:blip r:embed="rId596">
                      <a:extLst>
                        <a:ext uri="{28A0092B-C50C-407E-A947-70E740481C1C}"/>
                      </a:extLst>
                    </a:blip>
                    <a:srcRect/>
                    <a:stretch>
                      <a:fillRect/>
                    </a:stretch>
                  </pic:blipFill>
                  <pic:spPr bwMode="auto">
                    <a:xfrm>
                      <a:off x="0" y="0"/>
                      <a:ext cx="3361690" cy="8890"/>
                    </a:xfrm>
                    <a:prstGeom prst="rect">
                      <a:avLst/>
                    </a:prstGeom>
                    <a:noFill/>
                  </pic:spPr>
                </pic:pic>
              </a:graphicData>
            </a:graphic>
          </wp:anchor>
        </w:drawing>
      </w:r>
    </w:p>
    <w:p>
      <w:pPr>
        <w:spacing w:after="0" w:line="8" w:lineRule="exact"/>
        <w:rPr>
          <w:sz w:val="20"/>
          <w:szCs w:val="20"/>
          <w:color w:val="auto"/>
        </w:rPr>
      </w:pPr>
    </w:p>
    <w:p>
      <w:pPr>
        <w:spacing w:after="0"/>
        <w:rPr>
          <w:sz w:val="20"/>
          <w:szCs w:val="20"/>
          <w:color w:val="auto"/>
        </w:rPr>
      </w:pPr>
      <w:r>
        <w:rPr>
          <w:rFonts w:ascii="Arial" w:cs="Arial" w:eastAsia="Arial" w:hAnsi="Arial"/>
          <w:sz w:val="14"/>
          <w:szCs w:val="14"/>
          <w:color w:val="auto"/>
        </w:rPr>
        <w:t>Simon Henry</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Chief Financial Officer</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March 11, 2015</w:t>
      </w:r>
    </w:p>
    <w:p>
      <w:pPr>
        <w:sectPr>
          <w:pgSz w:w="11900" w:h="16838" w:orient="portrait"/>
          <w:cols w:equalWidth="0" w:num="1">
            <w:col w:w="11420"/>
          </w:cols>
          <w:pgMar w:left="240" w:top="288" w:right="239" w:bottom="1440" w:gutter="0" w:footer="0" w:header="0"/>
        </w:sectPr>
      </w:pPr>
    </w:p>
    <w:bookmarkStart w:id="198" w:name="page199"/>
    <w:bookmarkEnd w:id="198"/>
    <w:tbl>
      <w:tblPr>
        <w:tblLayout w:type="fixed"/>
        <w:tblInd w:w="5600" w:type="dxa"/>
        <w:tblCellMar>
          <w:top w:w="0" w:type="dxa"/>
          <w:left w:w="0" w:type="dxa"/>
          <w:bottom w:w="0" w:type="dxa"/>
          <w:right w:w="0" w:type="dxa"/>
        </w:tblCellMar>
      </w:tblPr>
      <w:tr>
        <w:trPr>
          <w:trHeight w:val="419"/>
        </w:trPr>
        <w:tc>
          <w:tcPr>
            <w:tcW w:w="4020" w:type="dxa"/>
            <w:vAlign w:val="bottom"/>
            <w:shd w:val="clear" w:color="auto" w:fill="FF8B00"/>
          </w:tcPr>
          <w:p>
            <w:pPr>
              <w:spacing w:after="0"/>
              <w:rPr>
                <w:sz w:val="24"/>
                <w:szCs w:val="24"/>
                <w:color w:val="auto"/>
              </w:rPr>
            </w:pPr>
          </w:p>
        </w:tc>
        <w:tc>
          <w:tcPr>
            <w:tcW w:w="1800" w:type="dxa"/>
            <w:vAlign w:val="bottom"/>
            <w:shd w:val="clear" w:color="auto" w:fill="FF8B00"/>
          </w:tcPr>
          <w:p>
            <w:pPr>
              <w:spacing w:after="0"/>
              <w:rPr>
                <w:sz w:val="24"/>
                <w:szCs w:val="24"/>
                <w:color w:val="auto"/>
              </w:rPr>
            </w:pPr>
          </w:p>
        </w:tc>
      </w:tr>
      <w:tr>
        <w:trPr>
          <w:trHeight w:val="152"/>
        </w:trPr>
        <w:tc>
          <w:tcPr>
            <w:tcW w:w="4020" w:type="dxa"/>
            <w:vAlign w:val="bottom"/>
          </w:tcPr>
          <w:p>
            <w:pPr>
              <w:ind w:left="1080"/>
              <w:spacing w:after="0"/>
              <w:rPr>
                <w:sz w:val="20"/>
                <w:szCs w:val="20"/>
                <w:color w:val="auto"/>
              </w:rPr>
            </w:pPr>
            <w:r>
              <w:rPr>
                <w:rFonts w:ascii="Arial" w:cs="Arial" w:eastAsia="Arial" w:hAnsi="Arial"/>
                <w:sz w:val="13"/>
                <w:szCs w:val="13"/>
                <w:color w:val="333333"/>
              </w:rPr>
              <w:t>ADDITIONAL INFORMATION</w:t>
            </w:r>
          </w:p>
        </w:tc>
        <w:tc>
          <w:tcPr>
            <w:tcW w:w="1800" w:type="dxa"/>
            <w:vAlign w:val="bottom"/>
          </w:tcPr>
          <w:p>
            <w:pPr>
              <w:ind w:left="1260"/>
              <w:spacing w:after="0"/>
              <w:rPr>
                <w:sz w:val="20"/>
                <w:szCs w:val="20"/>
                <w:color w:val="auto"/>
              </w:rPr>
            </w:pPr>
            <w:r>
              <w:rPr>
                <w:rFonts w:ascii="Arial" w:cs="Arial" w:eastAsia="Arial" w:hAnsi="Arial"/>
                <w:sz w:val="11"/>
                <w:szCs w:val="11"/>
                <w:b w:val="1"/>
                <w:bCs w:val="1"/>
                <w:color w:val="333333"/>
              </w:rPr>
              <w:t>E7</w:t>
            </w:r>
          </w:p>
        </w:tc>
      </w:tr>
    </w:tbl>
    <w:p>
      <w:pPr>
        <w:spacing w:after="0" w:line="15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3707765</wp:posOffset>
            </wp:positionH>
            <wp:positionV relativeFrom="page">
              <wp:posOffset>183515</wp:posOffset>
            </wp:positionV>
            <wp:extent cx="3696335" cy="462915"/>
            <wp:wrapNone/>
            <wp:docPr id="590" name="Picture 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0"/>
                    <pic:cNvPicPr>
                      <a:picLocks noChangeAspect="1" noChangeArrowheads="1"/>
                    </pic:cNvPicPr>
                  </pic:nvPicPr>
                  <pic:blipFill>
                    <a:blip r:embed="rId597">
                      <a:extLst>
                        <a:ext uri="{28A0092B-C50C-407E-A947-70E740481C1C}"/>
                      </a:extLst>
                    </a:blip>
                    <a:srcRect/>
                    <a:stretch>
                      <a:fillRect/>
                    </a:stretch>
                  </pic:blipFill>
                  <pic:spPr bwMode="auto">
                    <a:xfrm>
                      <a:off x="0" y="0"/>
                      <a:ext cx="3696335" cy="462915"/>
                    </a:xfrm>
                    <a:prstGeom prst="rect">
                      <a:avLst/>
                    </a:prstGeom>
                    <a:noFill/>
                  </pic:spPr>
                </pic:pic>
              </a:graphicData>
            </a:graphic>
          </wp:anchor>
        </w:drawing>
      </w:r>
    </w:p>
    <w:p>
      <w:pPr>
        <w:spacing w:after="0"/>
        <w:tabs>
          <w:tab w:leader="none" w:pos="6660" w:val="left"/>
        </w:tabs>
        <w:rPr>
          <w:sz w:val="20"/>
          <w:szCs w:val="20"/>
          <w:color w:val="auto"/>
        </w:rPr>
      </w:pPr>
      <w:r>
        <w:rPr>
          <w:rFonts w:ascii="Arial" w:cs="Arial" w:eastAsia="Arial" w:hAnsi="Arial"/>
          <w:sz w:val="11"/>
          <w:szCs w:val="11"/>
          <w:color w:val="auto"/>
        </w:rPr>
        <w:t>SHELL ANNUAL REPORT AND FORM 20-F 2014</w:t>
      </w:r>
      <w:r>
        <w:rPr>
          <w:sz w:val="20"/>
          <w:szCs w:val="20"/>
          <w:color w:val="auto"/>
        </w:rPr>
        <w:tab/>
      </w:r>
      <w:r>
        <w:rPr>
          <w:rFonts w:ascii="Arial" w:cs="Arial" w:eastAsia="Arial" w:hAnsi="Arial"/>
          <w:sz w:val="10"/>
          <w:szCs w:val="10"/>
          <w:color w:val="auto"/>
        </w:rPr>
        <w:t>EXHIBIT 99.1</w:t>
      </w:r>
    </w:p>
    <w:p>
      <w:pPr>
        <w:spacing w:after="0" w:line="5" w:lineRule="exact"/>
        <w:rPr>
          <w:sz w:val="20"/>
          <w:szCs w:val="20"/>
          <w:color w:val="auto"/>
        </w:rPr>
      </w:pPr>
    </w:p>
    <w:p>
      <w:pPr>
        <w:spacing w:after="0"/>
        <w:rPr>
          <w:sz w:val="20"/>
          <w:szCs w:val="20"/>
          <w:color w:val="auto"/>
        </w:rPr>
      </w:pPr>
      <w:r>
        <w:rPr>
          <w:rFonts w:ascii="Arial" w:cs="Arial" w:eastAsia="Arial" w:hAnsi="Arial"/>
          <w:sz w:val="31"/>
          <w:szCs w:val="3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wp:posOffset>
            </wp:positionV>
            <wp:extent cx="3361690" cy="8890"/>
            <wp:wrapNone/>
            <wp:docPr id="591" name="Picture 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1"/>
                    <pic:cNvPicPr>
                      <a:picLocks noChangeAspect="1" noChangeArrowheads="1"/>
                    </pic:cNvPicPr>
                  </pic:nvPicPr>
                  <pic:blipFill>
                    <a:blip r:embed="rId598">
                      <a:extLst>
                        <a:ext uri="{28A0092B-C50C-407E-A947-70E740481C1C}"/>
                      </a:extLst>
                    </a:blip>
                    <a:srcRect/>
                    <a:stretch>
                      <a:fillRect/>
                    </a:stretch>
                  </pic:blipFill>
                  <pic:spPr bwMode="auto">
                    <a:xfrm>
                      <a:off x="0" y="0"/>
                      <a:ext cx="3361690" cy="8890"/>
                    </a:xfrm>
                    <a:prstGeom prst="rect">
                      <a:avLst/>
                    </a:prstGeom>
                    <a:noFill/>
                  </pic:spPr>
                </pic:pic>
              </a:graphicData>
            </a:graphic>
          </wp:anchor>
        </w:drawing>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CONSENT OF INDEPENDENT REGISTERED PUBLIC ACCOUNTING FIRM</w:t>
      </w:r>
    </w:p>
    <w:p>
      <w:pPr>
        <w:spacing w:after="0" w:line="1" w:lineRule="exact"/>
        <w:rPr>
          <w:sz w:val="20"/>
          <w:szCs w:val="20"/>
          <w:color w:val="auto"/>
        </w:rPr>
      </w:pPr>
    </w:p>
    <w:p>
      <w:pPr>
        <w:ind w:right="80"/>
        <w:spacing w:after="0" w:line="250" w:lineRule="auto"/>
        <w:rPr>
          <w:sz w:val="20"/>
          <w:szCs w:val="20"/>
          <w:color w:val="auto"/>
        </w:rPr>
      </w:pPr>
      <w:r>
        <w:rPr>
          <w:rFonts w:ascii="Arial" w:cs="Arial" w:eastAsia="Arial" w:hAnsi="Arial"/>
          <w:sz w:val="14"/>
          <w:szCs w:val="14"/>
          <w:color w:val="auto"/>
        </w:rPr>
        <w:t>We hereby consent to the incorporation by reference in the Registration Statement on Form F-3 (No. 333-199736) and the Registration Statements on Form S-8 (No. 333-126715, 333-141397, 333-171206, 333-192821 and 333-200953) of Royal Dutch Shell plc of our report dated March 11, 2015, relating to the Consolidated Financial Statements and the effectiveness of internal control over financial reporting, which appears in this Annual Report on Form 20-F.</w:t>
      </w:r>
    </w:p>
    <w:p>
      <w:pPr>
        <w:spacing w:after="0" w:line="199" w:lineRule="exact"/>
        <w:rPr>
          <w:sz w:val="20"/>
          <w:szCs w:val="20"/>
          <w:color w:val="auto"/>
        </w:rPr>
      </w:pPr>
    </w:p>
    <w:p>
      <w:pPr>
        <w:spacing w:after="0"/>
        <w:rPr>
          <w:sz w:val="20"/>
          <w:szCs w:val="20"/>
          <w:color w:val="auto"/>
        </w:rPr>
      </w:pPr>
      <w:r>
        <w:rPr>
          <w:rFonts w:ascii="Arial" w:cs="Arial" w:eastAsia="Arial" w:hAnsi="Arial"/>
          <w:sz w:val="14"/>
          <w:szCs w:val="14"/>
          <w:color w:val="auto"/>
        </w:rPr>
        <w:t>/s/ PricewaterhouseCoopers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3361690" cy="8890"/>
            <wp:wrapNone/>
            <wp:docPr id="592" name="Picture 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2"/>
                    <pic:cNvPicPr>
                      <a:picLocks noChangeAspect="1" noChangeArrowheads="1"/>
                    </pic:cNvPicPr>
                  </pic:nvPicPr>
                  <pic:blipFill>
                    <a:blip r:embed="rId599">
                      <a:extLst>
                        <a:ext uri="{28A0092B-C50C-407E-A947-70E740481C1C}"/>
                      </a:extLst>
                    </a:blip>
                    <a:srcRect/>
                    <a:stretch>
                      <a:fillRect/>
                    </a:stretch>
                  </pic:blipFill>
                  <pic:spPr bwMode="auto">
                    <a:xfrm>
                      <a:off x="0" y="0"/>
                      <a:ext cx="3361690" cy="8890"/>
                    </a:xfrm>
                    <a:prstGeom prst="rect">
                      <a:avLst/>
                    </a:prstGeom>
                    <a:noFill/>
                  </pic:spPr>
                </pic:pic>
              </a:graphicData>
            </a:graphic>
          </wp:anchor>
        </w:drawing>
      </w:r>
    </w:p>
    <w:p>
      <w:pPr>
        <w:spacing w:after="0" w:line="8" w:lineRule="exact"/>
        <w:rPr>
          <w:sz w:val="20"/>
          <w:szCs w:val="20"/>
          <w:color w:val="auto"/>
        </w:rPr>
      </w:pPr>
    </w:p>
    <w:p>
      <w:pPr>
        <w:spacing w:after="0"/>
        <w:rPr>
          <w:sz w:val="20"/>
          <w:szCs w:val="20"/>
          <w:color w:val="auto"/>
        </w:rPr>
      </w:pPr>
      <w:r>
        <w:rPr>
          <w:rFonts w:ascii="Arial" w:cs="Arial" w:eastAsia="Arial" w:hAnsi="Arial"/>
          <w:sz w:val="14"/>
          <w:szCs w:val="14"/>
          <w:color w:val="auto"/>
        </w:rPr>
        <w:t>PricewaterhouseCoopers LLP</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London</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March 11, 2015</w:t>
      </w:r>
    </w:p>
    <w:p>
      <w:pPr>
        <w:sectPr>
          <w:pgSz w:w="11900" w:h="16838" w:orient="portrait"/>
          <w:cols w:equalWidth="0" w:num="1">
            <w:col w:w="11420"/>
          </w:cols>
          <w:pgMar w:left="240" w:top="288" w:right="239" w:bottom="1440" w:gutter="0" w:footer="0" w:header="0"/>
        </w:sectPr>
      </w:pPr>
    </w:p>
    <w:bookmarkStart w:id="199" w:name="page200"/>
    <w:bookmarkEnd w:id="199"/>
    <w:tbl>
      <w:tblPr>
        <w:tblLayout w:type="fixed"/>
        <w:tblInd w:w="0" w:type="dxa"/>
        <w:tblCellMar>
          <w:top w:w="0" w:type="dxa"/>
          <w:left w:w="0" w:type="dxa"/>
          <w:bottom w:w="0" w:type="dxa"/>
          <w:right w:w="0" w:type="dxa"/>
        </w:tblCellMar>
      </w:tblPr>
      <w:tr>
        <w:trPr>
          <w:trHeight w:val="419"/>
        </w:trPr>
        <w:tc>
          <w:tcPr>
            <w:tcW w:w="1720" w:type="dxa"/>
            <w:vAlign w:val="bottom"/>
            <w:shd w:val="clear" w:color="auto" w:fill="FF8B00"/>
          </w:tcPr>
          <w:p>
            <w:pPr>
              <w:spacing w:after="0"/>
              <w:rPr>
                <w:sz w:val="24"/>
                <w:szCs w:val="24"/>
                <w:color w:val="auto"/>
              </w:rPr>
            </w:pPr>
          </w:p>
        </w:tc>
        <w:tc>
          <w:tcPr>
            <w:tcW w:w="3820" w:type="dxa"/>
            <w:vAlign w:val="bottom"/>
            <w:shd w:val="clear" w:color="auto" w:fill="FF8B00"/>
          </w:tcPr>
          <w:p>
            <w:pPr>
              <w:spacing w:after="0"/>
              <w:rPr>
                <w:sz w:val="24"/>
                <w:szCs w:val="24"/>
                <w:color w:val="auto"/>
              </w:rPr>
            </w:pPr>
          </w:p>
        </w:tc>
      </w:tr>
      <w:tr>
        <w:trPr>
          <w:trHeight w:val="152"/>
        </w:trPr>
        <w:tc>
          <w:tcPr>
            <w:tcW w:w="1720" w:type="dxa"/>
            <w:vAlign w:val="bottom"/>
          </w:tcPr>
          <w:p>
            <w:pPr>
              <w:ind w:left="220"/>
              <w:spacing w:after="0"/>
              <w:rPr>
                <w:sz w:val="20"/>
                <w:szCs w:val="20"/>
                <w:color w:val="auto"/>
              </w:rPr>
            </w:pPr>
            <w:r>
              <w:rPr>
                <w:rFonts w:ascii="Arial" w:cs="Arial" w:eastAsia="Arial" w:hAnsi="Arial"/>
                <w:sz w:val="11"/>
                <w:szCs w:val="11"/>
                <w:b w:val="1"/>
                <w:bCs w:val="1"/>
                <w:color w:val="333333"/>
              </w:rPr>
              <w:t>E8</w:t>
            </w:r>
          </w:p>
        </w:tc>
        <w:tc>
          <w:tcPr>
            <w:tcW w:w="3820" w:type="dxa"/>
            <w:vAlign w:val="bottom"/>
          </w:tcPr>
          <w:p>
            <w:pPr>
              <w:ind w:left="1380"/>
              <w:spacing w:after="0"/>
              <w:rPr>
                <w:sz w:val="20"/>
                <w:szCs w:val="20"/>
                <w:color w:val="auto"/>
              </w:rPr>
            </w:pPr>
            <w:r>
              <w:rPr>
                <w:rFonts w:ascii="Arial" w:cs="Arial" w:eastAsia="Arial" w:hAnsi="Arial"/>
                <w:sz w:val="13"/>
                <w:szCs w:val="13"/>
                <w:color w:val="333333"/>
              </w:rPr>
              <w:t>ADDITIONAL INFORMATION</w:t>
            </w:r>
          </w:p>
        </w:tc>
      </w:tr>
    </w:tbl>
    <w:p>
      <w:pPr>
        <w:spacing w:after="0" w:line="15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183515</wp:posOffset>
            </wp:positionV>
            <wp:extent cx="3515995" cy="462915"/>
            <wp:wrapNone/>
            <wp:docPr id="593" name="Picture 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3"/>
                    <pic:cNvPicPr>
                      <a:picLocks noChangeAspect="1" noChangeArrowheads="1"/>
                    </pic:cNvPicPr>
                  </pic:nvPicPr>
                  <pic:blipFill>
                    <a:blip r:embed="rId600">
                      <a:extLst>
                        <a:ext uri="{28A0092B-C50C-407E-A947-70E740481C1C}"/>
                      </a:extLst>
                    </a:blip>
                    <a:srcRect/>
                    <a:stretch>
                      <a:fillRect/>
                    </a:stretch>
                  </pic:blipFill>
                  <pic:spPr bwMode="auto">
                    <a:xfrm>
                      <a:off x="0" y="0"/>
                      <a:ext cx="3515995" cy="462915"/>
                    </a:xfrm>
                    <a:prstGeom prst="rect">
                      <a:avLst/>
                    </a:prstGeom>
                    <a:noFill/>
                  </pic:spPr>
                </pic:pic>
              </a:graphicData>
            </a:graphic>
          </wp:anchor>
        </w:drawing>
      </w:r>
    </w:p>
    <w:p>
      <w:pPr>
        <w:jc w:val="right"/>
        <w:spacing w:after="0"/>
        <w:tabs>
          <w:tab w:leader="none" w:pos="2380" w:val="left"/>
        </w:tabs>
        <w:rPr>
          <w:sz w:val="20"/>
          <w:szCs w:val="20"/>
          <w:color w:val="auto"/>
        </w:rPr>
      </w:pPr>
      <w:r>
        <w:rPr>
          <w:rFonts w:ascii="Arial" w:cs="Arial" w:eastAsia="Arial" w:hAnsi="Arial"/>
          <w:sz w:val="11"/>
          <w:szCs w:val="11"/>
          <w:color w:val="auto"/>
        </w:rPr>
        <w:t>EXHIBIT 99.2</w:t>
      </w:r>
      <w:r>
        <w:rPr>
          <w:sz w:val="20"/>
          <w:szCs w:val="20"/>
          <w:color w:val="auto"/>
        </w:rPr>
        <w:tab/>
      </w:r>
      <w:r>
        <w:rPr>
          <w:rFonts w:ascii="Arial" w:cs="Arial" w:eastAsia="Arial" w:hAnsi="Arial"/>
          <w:sz w:val="10"/>
          <w:szCs w:val="10"/>
          <w:color w:val="auto"/>
        </w:rPr>
        <w:t>SHELL ANNUAL REPORT AND FORM 20-F 2014</w:t>
      </w:r>
    </w:p>
    <w:p>
      <w:pPr>
        <w:spacing w:after="0" w:line="5" w:lineRule="exact"/>
        <w:rPr>
          <w:sz w:val="20"/>
          <w:szCs w:val="20"/>
          <w:color w:val="auto"/>
        </w:rPr>
      </w:pPr>
    </w:p>
    <w:p>
      <w:pPr>
        <w:spacing w:after="0"/>
        <w:rPr>
          <w:sz w:val="20"/>
          <w:szCs w:val="20"/>
          <w:color w:val="auto"/>
        </w:rPr>
      </w:pPr>
      <w:r>
        <w:rPr>
          <w:rFonts w:ascii="Arial" w:cs="Arial" w:eastAsia="Arial" w:hAnsi="Arial"/>
          <w:sz w:val="31"/>
          <w:szCs w:val="31"/>
          <w:color w:val="auto"/>
        </w:rPr>
        <w:t>EXHIBIT 99.2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wp:posOffset>
            </wp:positionV>
            <wp:extent cx="3361690" cy="8890"/>
            <wp:wrapNone/>
            <wp:docPr id="594" name="Picture 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4"/>
                    <pic:cNvPicPr>
                      <a:picLocks noChangeAspect="1" noChangeArrowheads="1"/>
                    </pic:cNvPicPr>
                  </pic:nvPicPr>
                  <pic:blipFill>
                    <a:blip r:embed="rId601">
                      <a:extLst>
                        <a:ext uri="{28A0092B-C50C-407E-A947-70E740481C1C}"/>
                      </a:extLst>
                    </a:blip>
                    <a:srcRect/>
                    <a:stretch>
                      <a:fillRect/>
                    </a:stretch>
                  </pic:blipFill>
                  <pic:spPr bwMode="auto">
                    <a:xfrm>
                      <a:off x="0" y="0"/>
                      <a:ext cx="3361690" cy="8890"/>
                    </a:xfrm>
                    <a:prstGeom prst="rect">
                      <a:avLst/>
                    </a:prstGeom>
                    <a:noFill/>
                  </pic:spPr>
                </pic:pic>
              </a:graphicData>
            </a:graphic>
          </wp:anchor>
        </w:drawing>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CONSENT OF INDEPENDENT REGISTERED PUBLIC ACCOUNTING FIRM</w:t>
      </w:r>
    </w:p>
    <w:p>
      <w:pPr>
        <w:spacing w:after="0" w:line="1" w:lineRule="exact"/>
        <w:rPr>
          <w:sz w:val="20"/>
          <w:szCs w:val="20"/>
          <w:color w:val="auto"/>
        </w:rPr>
      </w:pPr>
    </w:p>
    <w:p>
      <w:pPr>
        <w:ind w:right="80"/>
        <w:spacing w:after="0" w:line="250" w:lineRule="auto"/>
        <w:rPr>
          <w:sz w:val="20"/>
          <w:szCs w:val="20"/>
          <w:color w:val="auto"/>
        </w:rPr>
      </w:pPr>
      <w:r>
        <w:rPr>
          <w:rFonts w:ascii="Arial" w:cs="Arial" w:eastAsia="Arial" w:hAnsi="Arial"/>
          <w:sz w:val="14"/>
          <w:szCs w:val="14"/>
          <w:color w:val="auto"/>
        </w:rPr>
        <w:t>We hereby consent to the incorporation by reference in the Registration Statement on Form F-3 (No. 333-199736) and the Registration Statements on Form S-8 (No. 333-126715, 333-141397, 333-171206, 333-192821 and 333-200953) of the Royal Dutch Shell Dividend Access Trust of our report dated March 11, 2015, relating to the Royal Dutch Shell Dividend Access Trust Financial Statements, and the effectiveness of internal control over financial reporting, which appears in this Annual Report on Form 20-F.</w:t>
      </w:r>
    </w:p>
    <w:p>
      <w:pPr>
        <w:spacing w:after="0" w:line="199" w:lineRule="exact"/>
        <w:rPr>
          <w:sz w:val="20"/>
          <w:szCs w:val="20"/>
          <w:color w:val="auto"/>
        </w:rPr>
      </w:pPr>
    </w:p>
    <w:p>
      <w:pPr>
        <w:spacing w:after="0"/>
        <w:rPr>
          <w:sz w:val="20"/>
          <w:szCs w:val="20"/>
          <w:color w:val="auto"/>
        </w:rPr>
      </w:pPr>
      <w:r>
        <w:rPr>
          <w:rFonts w:ascii="Arial" w:cs="Arial" w:eastAsia="Arial" w:hAnsi="Arial"/>
          <w:sz w:val="14"/>
          <w:szCs w:val="14"/>
          <w:color w:val="auto"/>
        </w:rPr>
        <w:t>/s/ PricewaterhouseCoopers CI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3361690" cy="8890"/>
            <wp:wrapNone/>
            <wp:docPr id="595" name="Picture 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5"/>
                    <pic:cNvPicPr>
                      <a:picLocks noChangeAspect="1" noChangeArrowheads="1"/>
                    </pic:cNvPicPr>
                  </pic:nvPicPr>
                  <pic:blipFill>
                    <a:blip r:embed="rId602">
                      <a:extLst>
                        <a:ext uri="{28A0092B-C50C-407E-A947-70E740481C1C}"/>
                      </a:extLst>
                    </a:blip>
                    <a:srcRect/>
                    <a:stretch>
                      <a:fillRect/>
                    </a:stretch>
                  </pic:blipFill>
                  <pic:spPr bwMode="auto">
                    <a:xfrm>
                      <a:off x="0" y="0"/>
                      <a:ext cx="3361690" cy="8890"/>
                    </a:xfrm>
                    <a:prstGeom prst="rect">
                      <a:avLst/>
                    </a:prstGeom>
                    <a:noFill/>
                  </pic:spPr>
                </pic:pic>
              </a:graphicData>
            </a:graphic>
          </wp:anchor>
        </w:drawing>
      </w:r>
    </w:p>
    <w:p>
      <w:pPr>
        <w:spacing w:after="0" w:line="8" w:lineRule="exact"/>
        <w:rPr>
          <w:sz w:val="20"/>
          <w:szCs w:val="20"/>
          <w:color w:val="auto"/>
        </w:rPr>
      </w:pPr>
    </w:p>
    <w:p>
      <w:pPr>
        <w:spacing w:after="0"/>
        <w:rPr>
          <w:sz w:val="20"/>
          <w:szCs w:val="20"/>
          <w:color w:val="auto"/>
        </w:rPr>
      </w:pPr>
      <w:r>
        <w:rPr>
          <w:rFonts w:ascii="Arial" w:cs="Arial" w:eastAsia="Arial" w:hAnsi="Arial"/>
          <w:sz w:val="14"/>
          <w:szCs w:val="14"/>
          <w:color w:val="auto"/>
        </w:rPr>
        <w:t>PricewaterhouseCoopers CI LLP</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Jersey, Channel Islands</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March 11, 2015</w:t>
      </w:r>
    </w:p>
    <w:sectPr>
      <w:pgSz w:w="11900" w:h="16838" w:orient="portrait"/>
      <w:cols w:equalWidth="0" w:num="1">
        <w:col w:w="11420"/>
      </w:cols>
      <w:pgMar w:left="240" w:top="288"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97E1B4E"/>
    <w:multiLevelType w:val="hybridMultilevel"/>
    <w:lvl w:ilvl="0">
      <w:lvlJc w:val="left"/>
      <w:lvlText w:val="%1"/>
      <w:numFmt w:val="decimal"/>
      <w:start w:val="1"/>
    </w:lvl>
  </w:abstractNum>
  <w:abstractNum w:abstractNumId="1">
    <w:nsid w:val="51088277"/>
    <w:multiLevelType w:val="hybridMultilevel"/>
    <w:lvl w:ilvl="0">
      <w:lvlJc w:val="left"/>
      <w:lvlText w:val="%1"/>
      <w:numFmt w:val="decimal"/>
      <w:start w:val="2"/>
    </w:lvl>
  </w:abstractNum>
  <w:abstractNum w:abstractNumId="2">
    <w:nsid w:val="1CA0C5FA"/>
    <w:multiLevelType w:val="hybridMultilevel"/>
    <w:lvl w:ilvl="0">
      <w:lvlJc w:val="left"/>
      <w:lvlText w:val="%1"/>
      <w:numFmt w:val="decimal"/>
      <w:start w:val="4"/>
    </w:lvl>
  </w:abstractNum>
  <w:abstractNum w:abstractNumId="3">
    <w:nsid w:val="53584BCB"/>
    <w:multiLevelType w:val="hybridMultilevel"/>
    <w:lvl w:ilvl="0">
      <w:lvlJc w:val="left"/>
      <w:lvlText w:val="%1"/>
      <w:numFmt w:val="decimal"/>
      <w:start w:val="6"/>
    </w:lvl>
  </w:abstractNum>
  <w:abstractNum w:abstractNumId="4">
    <w:nsid w:val="415E286C"/>
    <w:multiLevelType w:val="hybridMultilevel"/>
    <w:lvl w:ilvl="0">
      <w:lvlJc w:val="left"/>
      <w:lvlText w:val="%1"/>
      <w:numFmt w:val="decimal"/>
      <w:start w:val="7"/>
    </w:lvl>
  </w:abstractNum>
  <w:abstractNum w:abstractNumId="5">
    <w:nsid w:val="7C58FD05"/>
    <w:multiLevelType w:val="hybridMultilevel"/>
    <w:lvl w:ilvl="0">
      <w:lvlJc w:val="left"/>
      <w:lvlText w:val="%1"/>
      <w:numFmt w:val="decimal"/>
      <w:start w:val="9"/>
    </w:lvl>
  </w:abstractNum>
  <w:abstractNum w:abstractNumId="6">
    <w:nsid w:val="23D86AAC"/>
    <w:multiLevelType w:val="hybridMultilevel"/>
    <w:lvl w:ilvl="0">
      <w:lvlJc w:val="left"/>
      <w:lvlText w:val="%1"/>
      <w:numFmt w:val="decimal"/>
      <w:start w:val="11"/>
    </w:lvl>
  </w:abstractNum>
  <w:abstractNum w:abstractNumId="7">
    <w:nsid w:val="45E6D486"/>
    <w:multiLevelType w:val="hybridMultilevel"/>
    <w:lvl w:ilvl="0">
      <w:lvlJc w:val="left"/>
      <w:lvlText w:val="%1"/>
      <w:numFmt w:val="decimal"/>
      <w:start w:val="15"/>
    </w:lvl>
  </w:abstractNum>
  <w:abstractNum w:abstractNumId="8">
    <w:nsid w:val="5C10FE21"/>
    <w:multiLevelType w:val="hybridMultilevel"/>
    <w:lvl w:ilvl="0">
      <w:lvlJc w:val="left"/>
      <w:lvlText w:val="%1"/>
      <w:numFmt w:val="decimal"/>
      <w:start w:val="18"/>
    </w:lvl>
  </w:abstractNum>
  <w:abstractNum w:abstractNumId="9">
    <w:nsid w:val="E7FFA2B"/>
    <w:multiLevelType w:val="hybridMultilevel"/>
    <w:lvl w:ilvl="0">
      <w:lvlJc w:val="left"/>
      <w:lvlText w:val="%1"/>
      <w:numFmt w:val="decimal"/>
      <w:start w:val="20"/>
    </w:lvl>
  </w:abstractNum>
  <w:abstractNum w:abstractNumId="10">
    <w:nsid w:val="3C5991AA"/>
    <w:multiLevelType w:val="hybridMultilevel"/>
    <w:lvl w:ilvl="0">
      <w:lvlJc w:val="left"/>
      <w:lvlText w:val="%1"/>
      <w:numFmt w:val="decimal"/>
      <w:start w:val="22"/>
    </w:lvl>
  </w:abstractNum>
  <w:abstractNum w:abstractNumId="11">
    <w:nsid w:val="4BD8591A"/>
    <w:multiLevelType w:val="hybridMultilevel"/>
    <w:lvl w:ilvl="0">
      <w:lvlJc w:val="left"/>
      <w:lvlText w:val="%1"/>
      <w:numFmt w:val="decimal"/>
      <w:start w:val="40"/>
    </w:lvl>
  </w:abstractNum>
  <w:abstractNum w:abstractNumId="12">
    <w:nsid w:val="78DF6A55"/>
    <w:multiLevelType w:val="hybridMultilevel"/>
    <w:lvl w:ilvl="0">
      <w:lvlJc w:val="left"/>
      <w:lvlText w:val="%1"/>
      <w:numFmt w:val="decimal"/>
      <w:start w:val="47"/>
    </w:lvl>
  </w:abstractNum>
  <w:abstractNum w:abstractNumId="13">
    <w:nsid w:val="39B7AAA2"/>
    <w:multiLevelType w:val="hybridMultilevel"/>
    <w:lvl w:ilvl="0">
      <w:lvlJc w:val="left"/>
      <w:lvlText w:val="%1"/>
      <w:numFmt w:val="decimal"/>
      <w:start w:val="52"/>
    </w:lvl>
  </w:abstractNum>
  <w:abstractNum w:abstractNumId="14">
    <w:nsid w:val="2B0D8DBE"/>
    <w:multiLevelType w:val="hybridMultilevel"/>
    <w:lvl w:ilvl="0">
      <w:lvlJc w:val="left"/>
      <w:lvlText w:val="%1"/>
      <w:numFmt w:val="decimal"/>
      <w:start w:val="56"/>
    </w:lvl>
  </w:abstractNum>
  <w:abstractNum w:abstractNumId="15">
    <w:nsid w:val="6C80EC70"/>
    <w:multiLevelType w:val="hybridMultilevel"/>
    <w:lvl w:ilvl="0">
      <w:lvlJc w:val="left"/>
      <w:lvlText w:val="%1"/>
      <w:numFmt w:val="decimal"/>
      <w:start w:val="58"/>
    </w:lvl>
  </w:abstractNum>
  <w:abstractNum w:abstractNumId="16">
    <w:nsid w:val="379E21B5"/>
    <w:multiLevelType w:val="hybridMultilevel"/>
    <w:lvl w:ilvl="0">
      <w:lvlJc w:val="left"/>
      <w:lvlText w:val="%1"/>
      <w:numFmt w:val="decimal"/>
      <w:start w:val="61"/>
    </w:lvl>
  </w:abstractNum>
  <w:abstractNum w:abstractNumId="17">
    <w:nsid w:val="69E373"/>
    <w:multiLevelType w:val="hybridMultilevel"/>
    <w:lvl w:ilvl="0">
      <w:lvlJc w:val="left"/>
      <w:lvlText w:val="%1"/>
      <w:numFmt w:val="decimal"/>
      <w:start w:val="65"/>
    </w:lvl>
  </w:abstractNum>
  <w:abstractNum w:abstractNumId="18">
    <w:nsid w:val="2C27173B"/>
    <w:multiLevelType w:val="hybridMultilevel"/>
    <w:lvl w:ilvl="0">
      <w:lvlJc w:val="left"/>
      <w:lvlText w:val="%1"/>
      <w:numFmt w:val="decimal"/>
      <w:start w:val="76"/>
    </w:lvl>
  </w:abstractNum>
  <w:abstractNum w:abstractNumId="19">
    <w:nsid w:val="4C9B0904"/>
    <w:multiLevelType w:val="hybridMultilevel"/>
    <w:lvl w:ilvl="0">
      <w:lvlJc w:val="left"/>
      <w:lvlText w:val="%1"/>
      <w:numFmt w:val="decimal"/>
      <w:start w:val="79"/>
    </w:lvl>
  </w:abstractNum>
  <w:abstractNum w:abstractNumId="20">
    <w:nsid w:val="6AA7B75C"/>
    <w:multiLevelType w:val="hybridMultilevel"/>
    <w:lvl w:ilvl="0">
      <w:lvlJc w:val="left"/>
      <w:lvlText w:val="(%1)"/>
      <w:numFmt w:val="lowerLetter"/>
      <w:start w:val="2"/>
    </w:lvl>
  </w:abstractNum>
  <w:abstractNum w:abstractNumId="21">
    <w:nsid w:val="1DF029D3"/>
    <w:multiLevelType w:val="hybridMultilevel"/>
    <w:lvl w:ilvl="0">
      <w:lvlJc w:val="left"/>
      <w:lvlText w:val="[%1]"/>
      <w:numFmt w:val="upperLetter"/>
      <w:start w:val="1"/>
    </w:lvl>
  </w:abstractNum>
  <w:abstractNum w:abstractNumId="22">
    <w:nsid w:val="5675FF36"/>
    <w:multiLevelType w:val="hybridMultilevel"/>
    <w:lvl w:ilvl="0">
      <w:lvlJc w:val="left"/>
      <w:lvlText w:val="n"/>
      <w:numFmt w:val="bullet"/>
      <w:start w:val="1"/>
    </w:lvl>
  </w:abstractNum>
  <w:abstractNum w:abstractNumId="23">
    <w:nsid w:val="3DD15094"/>
    <w:multiLevelType w:val="hybridMultilevel"/>
    <w:lvl w:ilvl="0">
      <w:lvlJc w:val="left"/>
      <w:lvlText w:val="[%1]"/>
      <w:numFmt w:val="upperLetter"/>
      <w:start w:val="1"/>
    </w:lvl>
  </w:abstractNum>
  <w:abstractNum w:abstractNumId="24">
    <w:nsid w:val="3DB012B3"/>
    <w:multiLevelType w:val="hybridMultilevel"/>
    <w:lvl w:ilvl="0">
      <w:lvlJc w:val="left"/>
      <w:lvlText w:val="[%1]"/>
      <w:numFmt w:val="upperLetter"/>
      <w:start w:val="1"/>
    </w:lvl>
  </w:abstractNum>
  <w:abstractNum w:abstractNumId="25">
    <w:nsid w:val="2708C9AF"/>
    <w:multiLevelType w:val="hybridMultilevel"/>
    <w:lvl w:ilvl="0">
      <w:lvlJc w:val="left"/>
      <w:lvlText w:val="n"/>
      <w:numFmt w:val="bullet"/>
      <w:start w:val="1"/>
    </w:lvl>
  </w:abstractNum>
  <w:abstractNum w:abstractNumId="26">
    <w:nsid w:val="5B25ACE2"/>
    <w:multiLevelType w:val="hybridMultilevel"/>
    <w:lvl w:ilvl="0">
      <w:lvlJc w:val="left"/>
      <w:lvlText w:val="n"/>
      <w:numFmt w:val="bullet"/>
      <w:start w:val="1"/>
    </w:lvl>
  </w:abstractNum>
  <w:abstractNum w:abstractNumId="27">
    <w:nsid w:val="175DFCF0"/>
    <w:multiLevelType w:val="hybridMultilevel"/>
    <w:lvl w:ilvl="0">
      <w:lvlJc w:val="left"/>
      <w:lvlText w:val="n"/>
      <w:numFmt w:val="bullet"/>
      <w:start w:val="1"/>
    </w:lvl>
  </w:abstractNum>
  <w:abstractNum w:abstractNumId="28">
    <w:nsid w:val="4F97E3E4"/>
    <w:multiLevelType w:val="hybridMultilevel"/>
    <w:lvl w:ilvl="0">
      <w:lvlJc w:val="left"/>
      <w:lvlText w:val="[%1]"/>
      <w:numFmt w:val="upperLetter"/>
      <w:start w:val="1"/>
    </w:lvl>
  </w:abstractNum>
  <w:abstractNum w:abstractNumId="29">
    <w:nsid w:val="53B0A9E"/>
    <w:multiLevelType w:val="hybridMultilevel"/>
    <w:lvl w:ilvl="0">
      <w:lvlJc w:val="left"/>
      <w:lvlText w:val="[%1]"/>
      <w:numFmt w:val="upperLetter"/>
      <w:start w:val="1"/>
    </w:lvl>
  </w:abstractNum>
  <w:abstractNum w:abstractNumId="30">
    <w:nsid w:val="34FD6B4F"/>
    <w:multiLevelType w:val="hybridMultilevel"/>
    <w:lvl w:ilvl="0">
      <w:lvlJc w:val="left"/>
      <w:lvlText w:val="[%1]"/>
      <w:numFmt w:val="upperLetter"/>
      <w:start w:val="1"/>
    </w:lvl>
  </w:abstractNum>
  <w:abstractNum w:abstractNumId="31">
    <w:nsid w:val="5915FF32"/>
    <w:multiLevelType w:val="hybridMultilevel"/>
    <w:lvl w:ilvl="0">
      <w:lvlJc w:val="left"/>
      <w:lvlText w:val="[%1]"/>
      <w:numFmt w:val="upperLetter"/>
      <w:start w:val="1"/>
    </w:lvl>
  </w:abstractNum>
  <w:abstractNum w:abstractNumId="32">
    <w:nsid w:val="56438D15"/>
    <w:multiLevelType w:val="hybridMultilevel"/>
    <w:lvl w:ilvl="0">
      <w:lvlJc w:val="left"/>
      <w:lvlText w:val="[%1]"/>
      <w:numFmt w:val="upperLetter"/>
      <w:start w:val="1"/>
    </w:lvl>
  </w:abstractNum>
  <w:abstractNum w:abstractNumId="33">
    <w:nsid w:val="519E3149"/>
    <w:multiLevelType w:val="hybridMultilevel"/>
    <w:lvl w:ilvl="0">
      <w:lvlJc w:val="left"/>
      <w:lvlText w:val="[%1]"/>
      <w:numFmt w:val="upperLetter"/>
      <w:start w:val="1"/>
    </w:lvl>
  </w:abstractNum>
  <w:abstractNum w:abstractNumId="34">
    <w:nsid w:val="2C6E4AFD"/>
    <w:multiLevelType w:val="hybridMultilevel"/>
    <w:lvl w:ilvl="0">
      <w:lvlJc w:val="left"/>
      <w:lvlText w:val="[%1]"/>
      <w:numFmt w:val="upperLetter"/>
      <w:start w:val="1"/>
    </w:lvl>
  </w:abstractNum>
  <w:abstractNum w:abstractNumId="35">
    <w:nsid w:val="17A1B582"/>
    <w:multiLevelType w:val="hybridMultilevel"/>
    <w:lvl w:ilvl="0">
      <w:lvlJc w:val="left"/>
      <w:lvlText w:val="[%1]"/>
      <w:numFmt w:val="upperLetter"/>
      <w:start w:val="1"/>
    </w:lvl>
  </w:abstractNum>
  <w:abstractNum w:abstractNumId="36">
    <w:nsid w:val="4DF72E4E"/>
    <w:multiLevelType w:val="hybridMultilevel"/>
    <w:lvl w:ilvl="0">
      <w:lvlJc w:val="left"/>
      <w:lvlText w:val="[%1]"/>
      <w:numFmt w:val="upperLetter"/>
      <w:start w:val="1"/>
    </w:lvl>
  </w:abstractNum>
  <w:abstractNum w:abstractNumId="37">
    <w:nsid w:val="5046B5A9"/>
    <w:multiLevelType w:val="hybridMultilevel"/>
    <w:lvl w:ilvl="0">
      <w:lvlJc w:val="left"/>
      <w:lvlText w:val="[%1]"/>
      <w:numFmt w:val="upperLetter"/>
      <w:start w:val="1"/>
    </w:lvl>
  </w:abstractNum>
  <w:abstractNum w:abstractNumId="38">
    <w:nsid w:val="5D888A08"/>
    <w:multiLevelType w:val="hybridMultilevel"/>
    <w:lvl w:ilvl="0">
      <w:lvlJc w:val="left"/>
      <w:lvlText w:val="[%1]"/>
      <w:numFmt w:val="upperLetter"/>
      <w:start w:val="1"/>
    </w:lvl>
  </w:abstractNum>
  <w:abstractNum w:abstractNumId="39">
    <w:nsid w:val="2A082C70"/>
    <w:multiLevelType w:val="hybridMultilevel"/>
    <w:lvl w:ilvl="0">
      <w:lvlJc w:val="left"/>
      <w:lvlText w:val="[%1]"/>
      <w:numFmt w:val="upperLetter"/>
      <w:start w:val="1"/>
    </w:lvl>
  </w:abstractNum>
  <w:abstractNum w:abstractNumId="40">
    <w:nsid w:val="5EC6AFD4"/>
    <w:multiLevelType w:val="hybridMultilevel"/>
    <w:lvl w:ilvl="0">
      <w:lvlJc w:val="left"/>
      <w:lvlText w:val="[%1]"/>
      <w:numFmt w:val="upperLetter"/>
      <w:start w:val="1"/>
    </w:lvl>
  </w:abstractNum>
  <w:abstractNum w:abstractNumId="41">
    <w:nsid w:val="19E21BB2"/>
    <w:multiLevelType w:val="hybridMultilevel"/>
    <w:lvl w:ilvl="0">
      <w:lvlJc w:val="left"/>
      <w:lvlText w:val="[%1]"/>
      <w:numFmt w:val="upperLetter"/>
      <w:start w:val="1"/>
    </w:lvl>
  </w:abstractNum>
  <w:abstractNum w:abstractNumId="42">
    <w:nsid w:val="75E0858A"/>
    <w:multiLevelType w:val="hybridMultilevel"/>
    <w:lvl w:ilvl="0">
      <w:lvlJc w:val="left"/>
      <w:lvlText w:val="n"/>
      <w:numFmt w:val="bullet"/>
      <w:start w:val="1"/>
    </w:lvl>
  </w:abstractNum>
  <w:abstractNum w:abstractNumId="43">
    <w:nsid w:val="57A61A29"/>
    <w:multiLevelType w:val="hybridMultilevel"/>
    <w:lvl w:ilvl="0">
      <w:lvlJc w:val="left"/>
      <w:lvlText w:val="l"/>
      <w:numFmt w:val="bullet"/>
      <w:start w:val="1"/>
    </w:lvl>
  </w:abstractNum>
  <w:abstractNum w:abstractNumId="44">
    <w:nsid w:val="5399C654"/>
    <w:multiLevelType w:val="hybridMultilevel"/>
    <w:lvl w:ilvl="0">
      <w:lvlJc w:val="left"/>
      <w:lvlText w:val="[%1]"/>
      <w:numFmt w:val="upperLetter"/>
      <w:start w:val="1"/>
    </w:lvl>
  </w:abstractNum>
  <w:abstractNum w:abstractNumId="45">
    <w:nsid w:val="20EE1348"/>
    <w:multiLevelType w:val="hybridMultilevel"/>
    <w:lvl w:ilvl="0">
      <w:lvlJc w:val="left"/>
      <w:lvlText w:val="A"/>
      <w:numFmt w:val="bullet"/>
      <w:start w:val="1"/>
    </w:lvl>
  </w:abstractNum>
  <w:abstractNum w:abstractNumId="46">
    <w:nsid w:val="4427069A"/>
    <w:multiLevelType w:val="hybridMultilevel"/>
    <w:lvl w:ilvl="0">
      <w:lvlJc w:val="left"/>
      <w:lvlText w:val="A"/>
      <w:numFmt w:val="bullet"/>
      <w:start w:val="1"/>
    </w:lvl>
  </w:abstractNum>
  <w:abstractNum w:abstractNumId="47">
    <w:nsid w:val="B37E80A"/>
    <w:multiLevelType w:val="hybridMultilevel"/>
    <w:lvl w:ilvl="0">
      <w:lvlJc w:val="left"/>
      <w:lvlText w:val="n"/>
      <w:numFmt w:val="bullet"/>
      <w:start w:val="1"/>
    </w:lvl>
  </w:abstractNum>
  <w:abstractNum w:abstractNumId="48">
    <w:nsid w:val="2157F6BC"/>
    <w:multiLevelType w:val="hybridMultilevel"/>
    <w:lvl w:ilvl="0">
      <w:lvlJc w:val="left"/>
      <w:lvlText w:val="[%1]"/>
      <w:numFmt w:val="upperLetter"/>
      <w:start w:val="1"/>
    </w:lvl>
  </w:abstractNum>
  <w:abstractNum w:abstractNumId="49">
    <w:nsid w:val="704E1DD5"/>
    <w:multiLevelType w:val="hybridMultilevel"/>
    <w:lvl w:ilvl="0">
      <w:lvlJc w:val="left"/>
      <w:lvlText w:val="[%1]"/>
      <w:numFmt w:val="upperLetter"/>
      <w:start w:val="1"/>
    </w:lvl>
  </w:abstractNum>
  <w:abstractNum w:abstractNumId="50">
    <w:nsid w:val="57D2F10E"/>
    <w:multiLevelType w:val="hybridMultilevel"/>
    <w:lvl w:ilvl="0">
      <w:lvlJc w:val="left"/>
      <w:lvlText w:val="[%1]"/>
      <w:numFmt w:val="upperLetter"/>
      <w:start w:val="1"/>
    </w:lvl>
  </w:abstractNum>
  <w:abstractNum w:abstractNumId="51">
    <w:nsid w:val="BFFAE18"/>
    <w:multiLevelType w:val="hybridMultilevel"/>
    <w:lvl w:ilvl="0">
      <w:lvlJc w:val="left"/>
      <w:lvlText w:val="[%1]"/>
      <w:numFmt w:val="upperLetter"/>
      <w:start w:val="1"/>
    </w:lvl>
  </w:abstractNum>
  <w:abstractNum w:abstractNumId="52">
    <w:nsid w:val="E3E47A8"/>
    <w:multiLevelType w:val="hybridMultilevel"/>
    <w:lvl w:ilvl="0">
      <w:lvlJc w:val="left"/>
      <w:lvlText w:val="n"/>
      <w:numFmt w:val="bullet"/>
      <w:start w:val="1"/>
    </w:lvl>
  </w:abstractNum>
  <w:abstractNum w:abstractNumId="53">
    <w:nsid w:val="2E48F044"/>
    <w:multiLevelType w:val="hybridMultilevel"/>
    <w:lvl w:ilvl="0">
      <w:lvlJc w:val="left"/>
      <w:lvlText w:val="[%1]"/>
      <w:numFmt w:val="upperLetter"/>
      <w:start w:val="1"/>
    </w:lvl>
  </w:abstractNum>
  <w:abstractNum w:abstractNumId="54">
    <w:nsid w:val="49D0FEAC"/>
    <w:multiLevelType w:val="hybridMultilevel"/>
    <w:lvl w:ilvl="0">
      <w:lvlJc w:val="left"/>
      <w:lvlText w:val="[%1]"/>
      <w:numFmt w:val="upperLetter"/>
      <w:start w:val="1"/>
    </w:lvl>
  </w:abstractNum>
  <w:abstractNum w:abstractNumId="55">
    <w:nsid w:val="4BEE5A5B"/>
    <w:multiLevelType w:val="hybridMultilevel"/>
    <w:lvl w:ilvl="0">
      <w:lvlJc w:val="left"/>
      <w:lvlText w:val="[%1]"/>
      <w:numFmt w:val="upperLetter"/>
      <w:start w:val="3"/>
    </w:lvl>
  </w:abstractNum>
  <w:abstractNum w:abstractNumId="56">
    <w:nsid w:val="5551B9F3"/>
    <w:multiLevelType w:val="hybridMultilevel"/>
    <w:lvl w:ilvl="0">
      <w:lvlJc w:val="left"/>
      <w:lvlText w:val="n"/>
      <w:numFmt w:val="bullet"/>
      <w:start w:val="1"/>
    </w:lvl>
  </w:abstractNum>
  <w:abstractNum w:abstractNumId="57">
    <w:nsid w:val="24F6AB8E"/>
    <w:multiLevelType w:val="hybridMultilevel"/>
    <w:lvl w:ilvl="0">
      <w:lvlJc w:val="left"/>
      <w:lvlText w:val="n"/>
      <w:numFmt w:val="bullet"/>
      <w:start w:val="1"/>
    </w:lvl>
  </w:abstractNum>
  <w:abstractNum w:abstractNumId="58">
    <w:nsid w:val="634C574C"/>
    <w:multiLevelType w:val="hybridMultilevel"/>
    <w:lvl w:ilvl="0">
      <w:lvlJc w:val="left"/>
      <w:lvlText w:val="[%1]"/>
      <w:numFmt w:val="upperLetter"/>
      <w:start w:val="1"/>
    </w:lvl>
  </w:abstractNum>
  <w:abstractNum w:abstractNumId="59">
    <w:nsid w:val="24E99DD7"/>
    <w:multiLevelType w:val="hybridMultilevel"/>
    <w:lvl w:ilvl="0">
      <w:lvlJc w:val="left"/>
      <w:lvlText w:val="[%1]"/>
      <w:numFmt w:val="upperLetter"/>
      <w:start w:val="1"/>
    </w:lvl>
  </w:abstractNum>
  <w:abstractNum w:abstractNumId="60">
    <w:nsid w:val="2A31B62D"/>
    <w:multiLevelType w:val="hybridMultilevel"/>
    <w:lvl w:ilvl="0">
      <w:lvlJc w:val="left"/>
      <w:lvlText w:val="[%1]"/>
      <w:numFmt w:val="upperLetter"/>
      <w:start w:val="1"/>
    </w:lvl>
  </w:abstractNum>
  <w:abstractNum w:abstractNumId="61">
    <w:nsid w:val="1849C29B"/>
    <w:multiLevelType w:val="hybridMultilevel"/>
    <w:lvl w:ilvl="0">
      <w:lvlJc w:val="left"/>
      <w:lvlText w:val="[%1]"/>
      <w:numFmt w:val="upperLetter"/>
      <w:start w:val="1"/>
    </w:lvl>
  </w:abstractNum>
  <w:abstractNum w:abstractNumId="62">
    <w:nsid w:val="7DFF9D09"/>
    <w:multiLevelType w:val="hybridMultilevel"/>
    <w:lvl w:ilvl="0">
      <w:lvlJc w:val="left"/>
      <w:lvlText w:val="[%1]"/>
      <w:numFmt w:val="upperLetter"/>
      <w:start w:val="1"/>
    </w:lvl>
  </w:abstractNum>
  <w:abstractNum w:abstractNumId="63">
    <w:nsid w:val="754342"/>
    <w:multiLevelType w:val="hybridMultilevel"/>
    <w:lvl w:ilvl="0">
      <w:lvlJc w:val="left"/>
      <w:lvlText w:val="n"/>
      <w:numFmt w:val="bullet"/>
      <w:start w:val="1"/>
    </w:lvl>
  </w:abstractNum>
  <w:abstractNum w:abstractNumId="64">
    <w:nsid w:val="69E7F3E5"/>
    <w:multiLevelType w:val="hybridMultilevel"/>
    <w:lvl w:ilvl="0">
      <w:lvlJc w:val="left"/>
      <w:lvlText w:val="[%1]"/>
      <w:numFmt w:val="upperLetter"/>
      <w:start w:val="1"/>
    </w:lvl>
  </w:abstractNum>
  <w:abstractNum w:abstractNumId="65">
    <w:nsid w:val="2A6DE806"/>
    <w:multiLevelType w:val="hybridMultilevel"/>
    <w:lvl w:ilvl="0">
      <w:lvlJc w:val="left"/>
      <w:lvlText w:val="[%1]"/>
      <w:numFmt w:val="upperLetter"/>
      <w:start w:val="1"/>
    </w:lvl>
  </w:abstractNum>
  <w:abstractNum w:abstractNumId="66">
    <w:nsid w:val="1816F8C4"/>
    <w:multiLevelType w:val="hybridMultilevel"/>
    <w:lvl w:ilvl="0">
      <w:lvlJc w:val="left"/>
      <w:lvlText w:val="n"/>
      <w:numFmt w:val="bullet"/>
      <w:start w:val="1"/>
    </w:lvl>
  </w:abstractNum>
  <w:abstractNum w:abstractNumId="67">
    <w:nsid w:val="37DF2233"/>
    <w:multiLevelType w:val="hybridMultilevel"/>
    <w:lvl w:ilvl="0">
      <w:lvlJc w:val="left"/>
      <w:lvlText w:val="(%1)"/>
      <w:numFmt w:val="lowerRoman"/>
      <w:start w:val="3"/>
    </w:lvl>
  </w:abstractNum>
  <w:abstractNum w:abstractNumId="68">
    <w:nsid w:val="7AB49DAF"/>
    <w:multiLevelType w:val="hybridMultilevel"/>
    <w:lvl w:ilvl="0">
      <w:lvlJc w:val="left"/>
      <w:lvlText w:val="n"/>
      <w:numFmt w:val="bullet"/>
      <w:start w:val="1"/>
    </w:lvl>
  </w:abstractNum>
  <w:abstractNum w:abstractNumId="69">
    <w:nsid w:val="759F82CD"/>
    <w:multiLevelType w:val="hybridMultilevel"/>
    <w:lvl w:ilvl="0">
      <w:lvlJc w:val="left"/>
      <w:lvlText w:val="n"/>
      <w:numFmt w:val="bullet"/>
      <w:start w:val="1"/>
    </w:lvl>
  </w:abstractNum>
  <w:abstractNum w:abstractNumId="70">
    <w:nsid w:val="61E74EA3"/>
    <w:multiLevelType w:val="hybridMultilevel"/>
    <w:lvl w:ilvl="0">
      <w:lvlJc w:val="left"/>
      <w:lvlText w:val="n"/>
      <w:numFmt w:val="bullet"/>
      <w:start w:val="1"/>
    </w:lvl>
  </w:abstractNum>
  <w:abstractNum w:abstractNumId="71">
    <w:nsid w:val="597B4D84"/>
    <w:multiLevelType w:val="hybridMultilevel"/>
    <w:lvl w:ilvl="0">
      <w:lvlJc w:val="left"/>
      <w:lvlText w:val="n"/>
      <w:numFmt w:val="bullet"/>
      <w:start w:val="1"/>
    </w:lvl>
  </w:abstractNum>
  <w:abstractNum w:abstractNumId="72">
    <w:nsid w:val="F819E7F"/>
    <w:multiLevelType w:val="hybridMultilevel"/>
    <w:lvl w:ilvl="0">
      <w:lvlJc w:val="left"/>
      <w:lvlText w:val="n"/>
      <w:numFmt w:val="bullet"/>
      <w:start w:val="1"/>
    </w:lvl>
  </w:abstractNum>
  <w:abstractNum w:abstractNumId="73">
    <w:nsid w:val="57C7D42D"/>
    <w:multiLevelType w:val="hybridMultilevel"/>
    <w:lvl w:ilvl="0">
      <w:lvlJc w:val="left"/>
      <w:lvlText w:val="n"/>
      <w:numFmt w:val="bullet"/>
      <w:start w:val="1"/>
    </w:lvl>
  </w:abstractNum>
  <w:abstractNum w:abstractNumId="74">
    <w:nsid w:val="312167AD"/>
    <w:multiLevelType w:val="hybridMultilevel"/>
    <w:lvl w:ilvl="0">
      <w:lvlJc w:val="left"/>
      <w:lvlText w:val="n"/>
      <w:numFmt w:val="bullet"/>
      <w:start w:val="1"/>
    </w:lvl>
  </w:abstractNum>
  <w:abstractNum w:abstractNumId="75">
    <w:nsid w:val="631B64D4"/>
    <w:multiLevelType w:val="hybridMultilevel"/>
    <w:lvl w:ilvl="0">
      <w:lvlJc w:val="left"/>
      <w:lvlText w:val="n"/>
      <w:numFmt w:val="bullet"/>
      <w:start w:val="1"/>
    </w:lvl>
  </w:abstractNum>
  <w:abstractNum w:abstractNumId="76">
    <w:nsid w:val="78B5E776"/>
    <w:multiLevelType w:val="hybridMultilevel"/>
    <w:lvl w:ilvl="0">
      <w:lvlJc w:val="left"/>
      <w:lvlText w:val="n"/>
      <w:numFmt w:val="bullet"/>
      <w:start w:val="1"/>
    </w:lvl>
  </w:abstractNum>
  <w:abstractNum w:abstractNumId="77">
    <w:nsid w:val="75486E47"/>
    <w:multiLevelType w:val="hybridMultilevel"/>
    <w:lvl w:ilvl="0">
      <w:lvlJc w:val="left"/>
      <w:lvlText w:val="n"/>
      <w:numFmt w:val="bullet"/>
      <w:start w:val="1"/>
    </w:lvl>
  </w:abstractNum>
  <w:abstractNum w:abstractNumId="78">
    <w:nsid w:val="6E534CDE"/>
    <w:multiLevelType w:val="hybridMultilevel"/>
    <w:lvl w:ilvl="0">
      <w:lvlJc w:val="left"/>
      <w:lvlText w:val="n"/>
      <w:numFmt w:val="bullet"/>
      <w:start w:val="1"/>
    </w:lvl>
  </w:abstractNum>
  <w:abstractNum w:abstractNumId="79">
    <w:nsid w:val="1A0DDE32"/>
    <w:multiLevelType w:val="hybridMultilevel"/>
    <w:lvl w:ilvl="0">
      <w:lvlJc w:val="left"/>
      <w:lvlText w:val="n"/>
      <w:numFmt w:val="bullet"/>
      <w:start w:val="1"/>
    </w:lvl>
  </w:abstractNum>
  <w:abstractNum w:abstractNumId="80">
    <w:nsid w:val="65968C1C"/>
    <w:multiLevelType w:val="hybridMultilevel"/>
    <w:lvl w:ilvl="0">
      <w:lvlJc w:val="left"/>
      <w:lvlText w:val="n"/>
      <w:numFmt w:val="bullet"/>
      <w:start w:val="1"/>
    </w:lvl>
  </w:abstractNum>
  <w:abstractNum w:abstractNumId="81">
    <w:nsid w:val="46263DEC"/>
    <w:multiLevelType w:val="hybridMultilevel"/>
    <w:lvl w:ilvl="0">
      <w:lvlJc w:val="left"/>
      <w:lvlText w:val="n"/>
      <w:numFmt w:val="bullet"/>
      <w:start w:val="1"/>
    </w:lvl>
  </w:abstractNum>
  <w:abstractNum w:abstractNumId="82">
    <w:nsid w:val="260D8C4A"/>
    <w:multiLevelType w:val="hybridMultilevel"/>
    <w:lvl w:ilvl="0">
      <w:lvlJc w:val="left"/>
      <w:lvlText w:val="n"/>
      <w:numFmt w:val="bullet"/>
      <w:start w:val="1"/>
    </w:lvl>
  </w:abstractNum>
  <w:abstractNum w:abstractNumId="83">
    <w:nsid w:val="73D4D3C4"/>
    <w:multiLevelType w:val="hybridMultilevel"/>
    <w:lvl w:ilvl="0">
      <w:lvlJc w:val="left"/>
      <w:lvlText w:val="n"/>
      <w:numFmt w:val="bullet"/>
      <w:start w:val="1"/>
    </w:lvl>
  </w:abstractNum>
  <w:abstractNum w:abstractNumId="84">
    <w:nsid w:val="746F2E30"/>
    <w:multiLevelType w:val="hybridMultilevel"/>
    <w:lvl w:ilvl="0">
      <w:lvlJc w:val="left"/>
      <w:lvlText w:val="n"/>
      <w:numFmt w:val="bullet"/>
      <w:start w:val="1"/>
    </w:lvl>
  </w:abstractNum>
  <w:abstractNum w:abstractNumId="85">
    <w:nsid w:val="6FDE8AF6"/>
    <w:multiLevelType w:val="hybridMultilevel"/>
    <w:lvl w:ilvl="0">
      <w:lvlJc w:val="left"/>
      <w:lvlText w:val="n"/>
      <w:numFmt w:val="bullet"/>
      <w:start w:val="1"/>
    </w:lvl>
  </w:abstractNum>
  <w:abstractNum w:abstractNumId="86">
    <w:nsid w:val="3FC32E20"/>
    <w:multiLevelType w:val="hybridMultilevel"/>
    <w:lvl w:ilvl="0">
      <w:lvlJc w:val="left"/>
      <w:lvlText w:val="n"/>
      <w:numFmt w:val="bullet"/>
      <w:start w:val="1"/>
    </w:lvl>
  </w:abstractNum>
  <w:abstractNum w:abstractNumId="87">
    <w:nsid w:val="49C0E823"/>
    <w:multiLevelType w:val="hybridMultilevel"/>
    <w:lvl w:ilvl="0">
      <w:lvlJc w:val="left"/>
      <w:lvlText w:val="n"/>
      <w:numFmt w:val="bullet"/>
      <w:start w:val="1"/>
    </w:lvl>
  </w:abstractNum>
  <w:abstractNum w:abstractNumId="88">
    <w:nsid w:val="14D53685"/>
    <w:multiLevelType w:val="hybridMultilevel"/>
    <w:lvl w:ilvl="0">
      <w:lvlJc w:val="left"/>
      <w:lvlText w:val="n"/>
      <w:numFmt w:val="bullet"/>
      <w:start w:val="1"/>
    </w:lvl>
  </w:abstractNum>
  <w:abstractNum w:abstractNumId="89">
    <w:nsid w:val="230F856C"/>
    <w:multiLevelType w:val="hybridMultilevel"/>
    <w:lvl w:ilvl="0">
      <w:lvlJc w:val="left"/>
      <w:lvlText w:val="n"/>
      <w:numFmt w:val="bullet"/>
      <w:start w:val="1"/>
    </w:lvl>
  </w:abstractNum>
  <w:abstractNum w:abstractNumId="90">
    <w:nsid w:val="6EAA85FB"/>
    <w:multiLevelType w:val="hybridMultilevel"/>
    <w:lvl w:ilvl="0">
      <w:lvlJc w:val="left"/>
      <w:lvlText w:val="n"/>
      <w:numFmt w:val="bullet"/>
      <w:start w:val="1"/>
    </w:lvl>
  </w:abstractNum>
  <w:abstractNum w:abstractNumId="91">
    <w:nsid w:val="3F06ECB2"/>
    <w:multiLevelType w:val="hybridMultilevel"/>
    <w:lvl w:ilvl="0">
      <w:lvlJc w:val="left"/>
      <w:lvlText w:val="n"/>
      <w:numFmt w:val="bullet"/>
      <w:start w:val="1"/>
    </w:lvl>
  </w:abstractNum>
  <w:abstractNum w:abstractNumId="92">
    <w:nsid w:val="3B594807"/>
    <w:multiLevelType w:val="hybridMultilevel"/>
    <w:lvl w:ilvl="0">
      <w:lvlJc w:val="left"/>
      <w:lvlText w:val="n"/>
      <w:numFmt w:val="bullet"/>
      <w:start w:val="1"/>
    </w:lvl>
  </w:abstractNum>
  <w:abstractNum w:abstractNumId="93">
    <w:nsid w:val="6CAA2304"/>
    <w:multiLevelType w:val="hybridMultilevel"/>
    <w:lvl w:ilvl="0">
      <w:lvlJc w:val="left"/>
      <w:lvlText w:val="n"/>
      <w:numFmt w:val="bullet"/>
      <w:start w:val="1"/>
    </w:lvl>
  </w:abstractNum>
  <w:abstractNum w:abstractNumId="94">
    <w:nsid w:val="3F7C2FF4"/>
    <w:multiLevelType w:val="hybridMultilevel"/>
    <w:lvl w:ilvl="0">
      <w:lvlJc w:val="left"/>
      <w:lvlText w:val="n"/>
      <w:numFmt w:val="bullet"/>
      <w:start w:val="1"/>
    </w:lvl>
  </w:abstractNum>
  <w:abstractNum w:abstractNumId="95">
    <w:nsid w:val="25413BEC"/>
    <w:multiLevelType w:val="hybridMultilevel"/>
    <w:lvl w:ilvl="0">
      <w:lvlJc w:val="left"/>
      <w:lvlText w:val="n"/>
      <w:numFmt w:val="bullet"/>
      <w:start w:val="1"/>
    </w:lvl>
  </w:abstractNum>
  <w:abstractNum w:abstractNumId="96">
    <w:nsid w:val="17180B0B"/>
    <w:multiLevelType w:val="hybridMultilevel"/>
    <w:lvl w:ilvl="0">
      <w:lvlJc w:val="left"/>
      <w:lvlText w:val="n"/>
      <w:numFmt w:val="bullet"/>
      <w:start w:val="1"/>
    </w:lvl>
  </w:abstractNum>
  <w:abstractNum w:abstractNumId="97">
    <w:nsid w:val="579328B9"/>
    <w:multiLevelType w:val="hybridMultilevel"/>
    <w:lvl w:ilvl="0">
      <w:lvlJc w:val="left"/>
      <w:lvlText w:val="n"/>
      <w:numFmt w:val="bullet"/>
      <w:start w:val="1"/>
    </w:lvl>
  </w:abstractNum>
  <w:abstractNum w:abstractNumId="98">
    <w:nsid w:val="5D205E20"/>
    <w:multiLevelType w:val="hybridMultilevel"/>
    <w:lvl w:ilvl="0">
      <w:lvlJc w:val="left"/>
      <w:lvlText w:val="(%1)"/>
      <w:numFmt w:val="lowerLetter"/>
      <w:start w:val="5"/>
    </w:lvl>
  </w:abstractNum>
  <w:abstractNum w:abstractNumId="99">
    <w:nsid w:val="11CCA8BA"/>
    <w:multiLevelType w:val="hybridMultilevel"/>
    <w:lvl w:ilvl="0">
      <w:lvlJc w:val="left"/>
      <w:lvlText w:val="[%1]"/>
      <w:numFmt w:val="upperLetter"/>
      <w:start w:val="1"/>
    </w:lvl>
  </w:abstractNum>
  <w:abstractNum w:abstractNumId="100">
    <w:nsid w:val="4D32AB86"/>
    <w:multiLevelType w:val="hybridMultilevel"/>
    <w:lvl w:ilvl="0">
      <w:lvlJc w:val="left"/>
      <w:lvlText w:val="[%1]"/>
      <w:numFmt w:val="upperLetter"/>
      <w:start w:val="1"/>
    </w:lvl>
  </w:abstractNum>
  <w:abstractNum w:abstractNumId="101">
    <w:nsid w:val="3F07ACC3"/>
    <w:multiLevelType w:val="hybridMultilevel"/>
    <w:lvl w:ilvl="0">
      <w:lvlJc w:val="left"/>
      <w:lvlText w:val="[%1]"/>
      <w:numFmt w:val="upperLetter"/>
      <w:start w:val="1"/>
    </w:lvl>
  </w:abstractNum>
  <w:abstractNum w:abstractNumId="102">
    <w:nsid w:val="6B47F63E"/>
    <w:multiLevelType w:val="hybridMultilevel"/>
    <w:lvl w:ilvl="0">
      <w:lvlJc w:val="left"/>
      <w:lvlText w:val="[%1]"/>
      <w:numFmt w:val="upperLetter"/>
      <w:start w:val="1"/>
    </w:lvl>
  </w:abstractNum>
  <w:abstractNum w:abstractNumId="103">
    <w:nsid w:val="5CB44A05"/>
    <w:multiLevelType w:val="hybridMultilevel"/>
    <w:lvl w:ilvl="0">
      <w:lvlJc w:val="left"/>
      <w:lvlText w:val="n"/>
      <w:numFmt w:val="bullet"/>
      <w:start w:val="1"/>
    </w:lvl>
  </w:abstractNum>
  <w:abstractNum w:abstractNumId="104">
    <w:nsid w:val="16CF80F1"/>
    <w:multiLevelType w:val="hybridMultilevel"/>
    <w:lvl w:ilvl="0">
      <w:lvlJc w:val="left"/>
      <w:lvlText w:val="[%1]"/>
      <w:numFmt w:val="upperLetter"/>
      <w:start w:val="1"/>
    </w:lvl>
  </w:abstractNum>
  <w:abstractNum w:abstractNumId="105">
    <w:nsid w:val="1C695DEC"/>
    <w:multiLevelType w:val="hybridMultilevel"/>
    <w:lvl w:ilvl="0">
      <w:lvlJc w:val="left"/>
      <w:lvlText w:val="[%1]"/>
      <w:numFmt w:val="upperLetter"/>
      <w:start w:val="1"/>
    </w:lvl>
  </w:abstractNum>
  <w:abstractNum w:abstractNumId="106">
    <w:nsid w:val="3FCFAED9"/>
    <w:multiLevelType w:val="hybridMultilevel"/>
    <w:lvl w:ilvl="0">
      <w:lvlJc w:val="left"/>
      <w:lvlText w:val="[%1]"/>
      <w:numFmt w:val="upperLetter"/>
      <w:start w:val="1"/>
    </w:lvl>
  </w:abstractNum>
  <w:abstractNum w:abstractNumId="107">
    <w:nsid w:val="F856867"/>
    <w:multiLevelType w:val="hybridMultilevel"/>
    <w:lvl w:ilvl="0">
      <w:lvlJc w:val="left"/>
      <w:lvlText w:val="[%1]"/>
      <w:numFmt w:val="upperLetter"/>
      <w:start w:val="1"/>
    </w:lvl>
  </w:abstractNum>
  <w:abstractNum w:abstractNumId="108">
    <w:nsid w:val="11B1CC33"/>
    <w:multiLevelType w:val="hybridMultilevel"/>
    <w:lvl w:ilvl="0">
      <w:lvlJc w:val="left"/>
      <w:lvlText w:val="n"/>
      <w:numFmt w:val="bullet"/>
      <w:start w:val="1"/>
    </w:lvl>
  </w:abstractNum>
  <w:abstractNum w:abstractNumId="109">
    <w:nsid w:val="2E22FBB7"/>
    <w:multiLevelType w:val="hybridMultilevel"/>
    <w:lvl w:ilvl="0">
      <w:lvlJc w:val="left"/>
      <w:lvlText w:val="n"/>
      <w:numFmt w:val="bullet"/>
      <w:start w:val="1"/>
    </w:lvl>
  </w:abstractNum>
  <w:abstractNum w:abstractNumId="110">
    <w:nsid w:val="29934699"/>
    <w:multiLevelType w:val="hybridMultilevel"/>
    <w:lvl w:ilvl="0">
      <w:lvlJc w:val="left"/>
      <w:lvlText w:val="[%1]"/>
      <w:numFmt w:val="upperLetter"/>
      <w:start w:val="1"/>
    </w:lvl>
  </w:abstractNum>
  <w:abstractNum w:abstractNumId="111">
    <w:nsid w:val="77485850"/>
    <w:multiLevelType w:val="hybridMultilevel"/>
    <w:lvl w:ilvl="0">
      <w:lvlJc w:val="left"/>
      <w:lvlText w:val="[%1]"/>
      <w:numFmt w:val="upperLetter"/>
      <w:start w:val="1"/>
    </w:lvl>
  </w:abstractNum>
  <w:abstractNum w:abstractNumId="112">
    <w:nsid w:val="744939A3"/>
    <w:multiLevelType w:val="hybridMultilevel"/>
    <w:lvl w:ilvl="0">
      <w:lvlJc w:val="left"/>
      <w:lvlText w:val="[%1]"/>
      <w:numFmt w:val="upperLetter"/>
      <w:start w:val="1"/>
    </w:lvl>
  </w:abstractNum>
  <w:abstractNum w:abstractNumId="113">
    <w:nsid w:val="4FA0D2E3"/>
    <w:multiLevelType w:val="hybridMultilevel"/>
    <w:lvl w:ilvl="0">
      <w:lvlJc w:val="left"/>
      <w:lvlText w:val="[%1]"/>
      <w:numFmt w:val="upperLetter"/>
      <w:start w:val="1"/>
    </w:lvl>
  </w:abstractNum>
  <w:abstractNum w:abstractNumId="114">
    <w:nsid w:val="6B1D2C14"/>
    <w:multiLevelType w:val="hybridMultilevel"/>
    <w:lvl w:ilvl="0">
      <w:lvlJc w:val="left"/>
      <w:lvlText w:val="n"/>
      <w:numFmt w:val="bullet"/>
      <w:start w:val="1"/>
    </w:lvl>
  </w:abstractNum>
  <w:abstractNum w:abstractNumId="115">
    <w:nsid w:val="68B867D3"/>
    <w:multiLevelType w:val="hybridMultilevel"/>
    <w:lvl w:ilvl="0">
      <w:lvlJc w:val="left"/>
      <w:lvlText w:val="n"/>
      <w:numFmt w:val="bullet"/>
      <w:start w:val="1"/>
    </w:lvl>
  </w:abstractNum>
  <w:abstractNum w:abstractNumId="116">
    <w:nsid w:val="3F7F5DD9"/>
    <w:multiLevelType w:val="hybridMultilevel"/>
    <w:lvl w:ilvl="0">
      <w:lvlJc w:val="left"/>
      <w:lvlText w:val="n"/>
      <w:numFmt w:val="bullet"/>
      <w:start w:val="1"/>
    </w:lvl>
  </w:abstractNum>
  <w:abstractNum w:abstractNumId="117">
    <w:nsid w:val="2AE05A34"/>
    <w:multiLevelType w:val="hybridMultilevel"/>
    <w:lvl w:ilvl="0">
      <w:lvlJc w:val="left"/>
      <w:lvlText w:val="[%1]"/>
      <w:numFmt w:val="upperLetter"/>
      <w:start w:val="1"/>
    </w:lvl>
  </w:abstractNum>
  <w:abstractNum w:abstractNumId="118">
    <w:nsid w:val="32794FF7"/>
    <w:multiLevelType w:val="hybridMultilevel"/>
    <w:lvl w:ilvl="0">
      <w:lvlJc w:val="left"/>
      <w:lvlText w:val="n"/>
      <w:numFmt w:val="bullet"/>
      <w:start w:val="1"/>
    </w:lvl>
  </w:abstractNum>
  <w:abstractNum w:abstractNumId="119">
    <w:nsid w:val="5454945E"/>
    <w:multiLevelType w:val="hybridMultilevel"/>
    <w:lvl w:ilvl="0">
      <w:lvlJc w:val="left"/>
      <w:lvlText w:val="n"/>
      <w:numFmt w:val="bullet"/>
      <w:start w:val="1"/>
    </w:lvl>
  </w:abstractNum>
  <w:abstractNum w:abstractNumId="120">
    <w:nsid w:val="4DEFDFA0"/>
    <w:multiLevelType w:val="hybridMultilevel"/>
    <w:lvl w:ilvl="0">
      <w:lvlJc w:val="left"/>
      <w:lvlText w:val="n"/>
      <w:numFmt w:val="bullet"/>
      <w:start w:val="1"/>
    </w:lvl>
  </w:abstractNum>
  <w:abstractNum w:abstractNumId="121">
    <w:nsid w:val="2123D5F2"/>
    <w:multiLevelType w:val="hybridMultilevel"/>
    <w:lvl w:ilvl="0">
      <w:lvlJc w:val="left"/>
      <w:lvlText w:val="n"/>
      <w:numFmt w:val="bullet"/>
      <w:start w:val="1"/>
    </w:lvl>
  </w:abstractNum>
  <w:abstractNum w:abstractNumId="122">
    <w:nsid w:val="135B8110"/>
    <w:multiLevelType w:val="hybridMultilevel"/>
    <w:lvl w:ilvl="0">
      <w:lvlJc w:val="left"/>
      <w:lvlText w:val="n"/>
      <w:numFmt w:val="bullet"/>
      <w:start w:val="1"/>
    </w:lvl>
  </w:abstractNum>
  <w:abstractNum w:abstractNumId="123">
    <w:nsid w:val="94927A8"/>
    <w:multiLevelType w:val="hybridMultilevel"/>
    <w:lvl w:ilvl="0">
      <w:lvlJc w:val="left"/>
      <w:lvlText w:val="n"/>
      <w:numFmt w:val="bullet"/>
      <w:start w:val="1"/>
    </w:lvl>
  </w:abstractNum>
  <w:abstractNum w:abstractNumId="124">
    <w:nsid w:val="DCDF8F6"/>
    <w:multiLevelType w:val="hybridMultilevel"/>
    <w:lvl w:ilvl="0">
      <w:lvlJc w:val="left"/>
      <w:lvlText w:val="%1"/>
      <w:numFmt w:val="decimal"/>
      <w:start w:val="107"/>
    </w:lvl>
  </w:abstractNum>
  <w:abstractNum w:abstractNumId="125">
    <w:nsid w:val="52D7B105"/>
    <w:multiLevelType w:val="hybridMultilevel"/>
    <w:lvl w:ilvl="0">
      <w:lvlJc w:val="left"/>
      <w:lvlText w:val="%1"/>
      <w:numFmt w:val="decimal"/>
      <w:start w:val="107"/>
    </w:lvl>
  </w:abstractNum>
  <w:abstractNum w:abstractNumId="126">
    <w:nsid w:val="2E8A6394"/>
    <w:multiLevelType w:val="hybridMultilevel"/>
    <w:lvl w:ilvl="0">
      <w:lvlJc w:val="left"/>
      <w:lvlText w:val="%1"/>
      <w:numFmt w:val="decimal"/>
      <w:start w:val="111"/>
    </w:lvl>
  </w:abstractNum>
  <w:abstractNum w:abstractNumId="127">
    <w:nsid w:val="24E60401"/>
    <w:multiLevelType w:val="hybridMultilevel"/>
    <w:lvl w:ilvl="0">
      <w:lvlJc w:val="left"/>
      <w:lvlText w:val="%1"/>
      <w:numFmt w:val="decimal"/>
      <w:start w:val="111"/>
    </w:lvl>
  </w:abstractNum>
  <w:abstractNum w:abstractNumId="128">
    <w:nsid w:val="2A6AD9BE"/>
    <w:multiLevelType w:val="hybridMultilevel"/>
    <w:lvl w:ilvl="0">
      <w:lvlJc w:val="left"/>
      <w:lvlText w:val="%1"/>
      <w:numFmt w:val="decimal"/>
      <w:start w:val="116"/>
    </w:lvl>
  </w:abstractNum>
  <w:abstractNum w:abstractNumId="129">
    <w:nsid w:val="BAAC1B4"/>
    <w:multiLevelType w:val="hybridMultilevel"/>
    <w:lvl w:ilvl="0">
      <w:lvlJc w:val="left"/>
      <w:lvlText w:val="%1"/>
      <w:numFmt w:val="decimal"/>
      <w:start w:val="119"/>
    </w:lvl>
  </w:abstractNum>
  <w:abstractNum w:abstractNumId="130">
    <w:nsid w:val="36B2ACBC"/>
    <w:multiLevelType w:val="hybridMultilevel"/>
    <w:lvl w:ilvl="0">
      <w:lvlJc w:val="left"/>
      <w:lvlText w:val="%1"/>
      <w:numFmt w:val="decimal"/>
      <w:start w:val="119"/>
    </w:lvl>
  </w:abstractNum>
  <w:abstractNum w:abstractNumId="131">
    <w:nsid w:val="779D8544"/>
    <w:multiLevelType w:val="hybridMultilevel"/>
    <w:lvl w:ilvl="0">
      <w:lvlJc w:val="left"/>
      <w:lvlText w:val="%1"/>
      <w:numFmt w:val="decimal"/>
      <w:start w:val="119"/>
    </w:lvl>
  </w:abstractNum>
  <w:abstractNum w:abstractNumId="132">
    <w:nsid w:val="4AB26E78"/>
    <w:multiLevelType w:val="hybridMultilevel"/>
    <w:lvl w:ilvl="0">
      <w:lvlJc w:val="left"/>
      <w:lvlText w:val="%1"/>
      <w:numFmt w:val="decimal"/>
      <w:start w:val="122"/>
    </w:lvl>
  </w:abstractNum>
  <w:abstractNum w:abstractNumId="133">
    <w:nsid w:val="21FAA2FA"/>
    <w:multiLevelType w:val="hybridMultilevel"/>
    <w:lvl w:ilvl="0">
      <w:lvlJc w:val="left"/>
      <w:lvlText w:val="%1"/>
      <w:numFmt w:val="decimal"/>
      <w:start w:val="122"/>
    </w:lvl>
  </w:abstractNum>
  <w:abstractNum w:abstractNumId="134">
    <w:nsid w:val="5451CF49"/>
    <w:multiLevelType w:val="hybridMultilevel"/>
    <w:lvl w:ilvl="0">
      <w:lvlJc w:val="left"/>
      <w:lvlText w:val="%1"/>
      <w:numFmt w:val="decimal"/>
      <w:start w:val="123"/>
    </w:lvl>
  </w:abstractNum>
  <w:abstractNum w:abstractNumId="135">
    <w:nsid w:val="6181EF69"/>
    <w:multiLevelType w:val="hybridMultilevel"/>
    <w:lvl w:ilvl="0">
      <w:lvlJc w:val="left"/>
      <w:lvlText w:val="%1"/>
      <w:numFmt w:val="decimal"/>
      <w:start w:val="123"/>
    </w:lvl>
  </w:abstractNum>
  <w:abstractNum w:abstractNumId="136">
    <w:nsid w:val="3E6400E6"/>
    <w:multiLevelType w:val="hybridMultilevel"/>
    <w:lvl w:ilvl="0">
      <w:lvlJc w:val="left"/>
      <w:lvlText w:val="%1"/>
      <w:numFmt w:val="decimal"/>
      <w:start w:val="126"/>
    </w:lvl>
  </w:abstractNum>
  <w:abstractNum w:abstractNumId="137">
    <w:nsid w:val="14217E23"/>
    <w:multiLevelType w:val="hybridMultilevel"/>
    <w:lvl w:ilvl="0">
      <w:lvlJc w:val="left"/>
      <w:lvlText w:val="%1"/>
      <w:numFmt w:val="decimal"/>
      <w:start w:val="129"/>
    </w:lvl>
  </w:abstractNum>
  <w:abstractNum w:abstractNumId="138">
    <w:nsid w:val="710757D0"/>
    <w:multiLevelType w:val="hybridMultilevel"/>
    <w:lvl w:ilvl="0">
      <w:lvlJc w:val="left"/>
      <w:lvlText w:val="%1"/>
      <w:numFmt w:val="decimal"/>
      <w:start w:val="131"/>
    </w:lvl>
  </w:abstractNum>
  <w:abstractNum w:abstractNumId="139">
    <w:nsid w:val="5015CD1A"/>
    <w:multiLevelType w:val="hybridMultilevel"/>
    <w:lvl w:ilvl="0">
      <w:lvlJc w:val="left"/>
      <w:lvlText w:val="%1"/>
      <w:numFmt w:val="decimal"/>
      <w:start w:val="131"/>
    </w:lvl>
  </w:abstractNum>
  <w:abstractNum w:abstractNumId="140">
    <w:nsid w:val="424479DA"/>
    <w:multiLevelType w:val="hybridMultilevel"/>
    <w:lvl w:ilvl="0">
      <w:lvlJc w:val="left"/>
      <w:lvlText w:val="%1"/>
      <w:numFmt w:val="decimal"/>
      <w:start w:val="136"/>
    </w:lvl>
  </w:abstractNum>
  <w:abstractNum w:abstractNumId="141">
    <w:nsid w:val="1A9A9E69"/>
    <w:multiLevelType w:val="hybridMultilevel"/>
    <w:lvl w:ilvl="0">
      <w:lvlJc w:val="left"/>
      <w:lvlText w:val="%1"/>
      <w:numFmt w:val="decimal"/>
      <w:start w:val="137"/>
    </w:lvl>
  </w:abstractNum>
  <w:abstractNum w:abstractNumId="142">
    <w:nsid w:val="475E256A"/>
    <w:multiLevelType w:val="hybridMultilevel"/>
    <w:lvl w:ilvl="0">
      <w:lvlJc w:val="left"/>
      <w:lvlText w:val="%1"/>
      <w:numFmt w:val="decimal"/>
      <w:start w:val="139"/>
    </w:lvl>
  </w:abstractNum>
  <w:abstractNum w:abstractNumId="143">
    <w:nsid w:val="368DB37E"/>
    <w:multiLevelType w:val="hybridMultilevel"/>
    <w:lvl w:ilvl="0">
      <w:lvlJc w:val="left"/>
      <w:lvlText w:val="%1"/>
      <w:numFmt w:val="decimal"/>
      <w:start w:val="139"/>
    </w:lvl>
  </w:abstractNum>
  <w:abstractNum w:abstractNumId="144">
    <w:nsid w:val="6A3B714C"/>
    <w:multiLevelType w:val="hybridMultilevel"/>
    <w:lvl w:ilvl="0">
      <w:lvlJc w:val="left"/>
      <w:lvlText w:val="%1"/>
      <w:numFmt w:val="decimal"/>
      <w:start w:val="140"/>
    </w:lvl>
  </w:abstractNum>
  <w:abstractNum w:abstractNumId="145">
    <w:nsid w:val="327B517E"/>
    <w:multiLevelType w:val="hybridMultilevel"/>
    <w:lvl w:ilvl="0">
      <w:lvlJc w:val="left"/>
      <w:lvlText w:val="%1"/>
      <w:numFmt w:val="decimal"/>
      <w:start w:val="140"/>
    </w:lvl>
  </w:abstractNum>
  <w:abstractNum w:abstractNumId="146">
    <w:nsid w:val="1F461B51"/>
    <w:multiLevelType w:val="hybridMultilevel"/>
    <w:lvl w:ilvl="0">
      <w:lvlJc w:val="left"/>
      <w:lvlText w:val="%1"/>
      <w:numFmt w:val="decimal"/>
      <w:start w:val="141"/>
    </w:lvl>
  </w:abstractNum>
  <w:abstractNum w:abstractNumId="147">
    <w:nsid w:val="29BACF25"/>
    <w:multiLevelType w:val="hybridMultilevel"/>
    <w:lvl w:ilvl="0">
      <w:lvlJc w:val="left"/>
      <w:lvlText w:val="[%1]"/>
      <w:numFmt w:val="upperLetter"/>
      <w:start w:val="1"/>
    </w:lvl>
  </w:abstractNum>
  <w:abstractNum w:abstractNumId="148">
    <w:nsid w:val="5D5BABB3"/>
    <w:multiLevelType w:val="hybridMultilevel"/>
    <w:lvl w:ilvl="0">
      <w:lvlJc w:val="left"/>
      <w:lvlText w:val="n"/>
      <w:numFmt w:val="bullet"/>
      <w:start w:val="1"/>
    </w:lvl>
  </w:abstractNum>
  <w:abstractNum w:abstractNumId="149">
    <w:nsid w:val="51BF6B48"/>
    <w:multiLevelType w:val="hybridMultilevel"/>
    <w:lvl w:ilvl="0">
      <w:lvlJc w:val="left"/>
      <w:lvlText w:val="[%1]"/>
      <w:numFmt w:val="upperLetter"/>
      <w:start w:val="1"/>
    </w:lvl>
  </w:abstractNum>
  <w:abstractNum w:abstractNumId="150">
    <w:nsid w:val="7E0F6384"/>
    <w:multiLevelType w:val="hybridMultilevel"/>
    <w:lvl w:ilvl="0">
      <w:lvlJc w:val="left"/>
      <w:lvlText w:val="[%1]"/>
      <w:numFmt w:val="upperLetter"/>
      <w:start w:val="1"/>
    </w:lvl>
  </w:abstractNum>
  <w:abstractNum w:abstractNumId="151">
    <w:nsid w:val="2B4B8B53"/>
    <w:multiLevelType w:val="hybridMultilevel"/>
    <w:lvl w:ilvl="0">
      <w:lvlJc w:val="left"/>
      <w:lvlText w:val="[%1]"/>
      <w:numFmt w:val="upperLetter"/>
      <w:start w:val="1"/>
    </w:lvl>
  </w:abstractNum>
  <w:abstractNum w:abstractNumId="152">
    <w:nsid w:val="72E3413A"/>
    <w:multiLevelType w:val="hybridMultilevel"/>
    <w:lvl w:ilvl="0">
      <w:lvlJc w:val="left"/>
      <w:lvlText w:val="[%1]"/>
      <w:numFmt w:val="upperLetter"/>
      <w:start w:val="1"/>
    </w:lvl>
  </w:abstractNum>
  <w:abstractNum w:abstractNumId="153">
    <w:nsid w:val="116AE494"/>
    <w:multiLevelType w:val="hybridMultilevel"/>
    <w:lvl w:ilvl="0">
      <w:lvlJc w:val="left"/>
      <w:lvlText w:val="[%1]"/>
      <w:numFmt w:val="upperLetter"/>
      <w:start w:val="1"/>
    </w:lvl>
  </w:abstractNum>
  <w:abstractNum w:abstractNumId="154">
    <w:nsid w:val="3494B2FB"/>
    <w:multiLevelType w:val="hybridMultilevel"/>
    <w:lvl w:ilvl="0">
      <w:lvlJc w:val="left"/>
      <w:lvlText w:val="[%1]"/>
      <w:numFmt w:val="upperLetter"/>
      <w:start w:val="1"/>
    </w:lvl>
  </w:abstractNum>
  <w:abstractNum w:abstractNumId="155">
    <w:nsid w:val="B13A31"/>
    <w:multiLevelType w:val="hybridMultilevel"/>
    <w:lvl w:ilvl="0">
      <w:lvlJc w:val="left"/>
      <w:lvlText w:val="[%1]"/>
      <w:numFmt w:val="upperLetter"/>
      <w:start w:val="1"/>
    </w:lvl>
  </w:abstractNum>
  <w:abstractNum w:abstractNumId="156">
    <w:nsid w:val="64429599"/>
    <w:multiLevelType w:val="hybridMultilevel"/>
    <w:lvl w:ilvl="0">
      <w:lvlJc w:val="left"/>
      <w:lvlText w:val="[%1]"/>
      <w:numFmt w:val="upperLetter"/>
      <w:start w:val="1"/>
    </w:lvl>
  </w:abstractNum>
  <w:abstractNum w:abstractNumId="157">
    <w:nsid w:val="631F1690"/>
    <w:multiLevelType w:val="hybridMultilevel"/>
    <w:lvl w:ilvl="0">
      <w:lvlJc w:val="left"/>
      <w:lvlText w:val="[%1]"/>
      <w:numFmt w:val="upperLetter"/>
      <w:start w:val="1"/>
    </w:lvl>
  </w:abstractNum>
  <w:abstractNum w:abstractNumId="158">
    <w:nsid w:val="25973E32"/>
    <w:multiLevelType w:val="hybridMultilevel"/>
    <w:lvl w:ilvl="0">
      <w:lvlJc w:val="left"/>
      <w:lvlText w:val="[%1]"/>
      <w:numFmt w:val="upperLetter"/>
      <w:start w:val="1"/>
    </w:lvl>
  </w:abstractNum>
  <w:abstractNum w:abstractNumId="159">
    <w:nsid w:val="EAD6F57"/>
    <w:multiLevelType w:val="hybridMultilevel"/>
    <w:lvl w:ilvl="0">
      <w:lvlJc w:val="left"/>
      <w:lvlText w:val="[%1]"/>
      <w:numFmt w:val="upperLetter"/>
      <w:start w:val="1"/>
    </w:lvl>
  </w:abstractNum>
  <w:abstractNum w:abstractNumId="160">
    <w:nsid w:val="6EC9D844"/>
    <w:multiLevelType w:val="hybridMultilevel"/>
    <w:lvl w:ilvl="0">
      <w:lvlJc w:val="left"/>
      <w:lvlText w:val="[%1]"/>
      <w:numFmt w:val="upperLetter"/>
      <w:start w:val="1"/>
    </w:lvl>
  </w:abstractNum>
  <w:abstractNum w:abstractNumId="161">
    <w:nsid w:val="5C49EAEE"/>
    <w:multiLevelType w:val="hybridMultilevel"/>
    <w:lvl w:ilvl="0">
      <w:lvlJc w:val="left"/>
      <w:lvlText w:val="[%1]"/>
      <w:numFmt w:val="upperLetter"/>
      <w:start w:val="1"/>
    </w:lvl>
  </w:abstractNum>
  <w:abstractNum w:abstractNumId="162">
    <w:nsid w:val="64AF49B"/>
    <w:multiLevelType w:val="hybridMultilevel"/>
    <w:lvl w:ilvl="0">
      <w:lvlJc w:val="left"/>
      <w:lvlText w:val="[%1]"/>
      <w:numFmt w:val="upperLetter"/>
      <w:start w:val="1"/>
    </w:lvl>
  </w:abstractNum>
  <w:abstractNum w:abstractNumId="163">
    <w:nsid w:val="397C46BC"/>
    <w:multiLevelType w:val="hybridMultilevel"/>
    <w:lvl w:ilvl="0">
      <w:lvlJc w:val="left"/>
      <w:lvlText w:val="[%1]"/>
      <w:numFmt w:val="upperLetter"/>
      <w:start w:val="1"/>
    </w:lvl>
  </w:abstractNum>
  <w:abstractNum w:abstractNumId="164">
    <w:nsid w:val="7E448DE9"/>
    <w:multiLevelType w:val="hybridMultilevel"/>
    <w:lvl w:ilvl="0">
      <w:lvlJc w:val="left"/>
      <w:lvlText w:val="n"/>
      <w:numFmt w:val="bullet"/>
      <w:start w:val="1"/>
    </w:lvl>
  </w:abstractNum>
  <w:abstractNum w:abstractNumId="165">
    <w:nsid w:val="5A9CC3E5"/>
    <w:multiLevelType w:val="hybridMultilevel"/>
    <w:lvl w:ilvl="0">
      <w:lvlJc w:val="left"/>
      <w:lvlText w:val="n"/>
      <w:numFmt w:val="bullet"/>
      <w:start w:val="1"/>
    </w:lvl>
  </w:abstractNum>
  <w:abstractNum w:abstractNumId="166">
    <w:nsid w:val="1AFE3625"/>
    <w:multiLevelType w:val="hybridMultilevel"/>
    <w:lvl w:ilvl="0">
      <w:lvlJc w:val="left"/>
      <w:lvlText w:val="n"/>
      <w:numFmt w:val="bullet"/>
      <w:start w:val="1"/>
    </w:lvl>
  </w:abstractNum>
  <w:abstractNum w:abstractNumId="167">
    <w:nsid w:val="3CA88ECF"/>
    <w:multiLevelType w:val="hybridMultilevel"/>
    <w:lvl w:ilvl="0">
      <w:lvlJc w:val="left"/>
      <w:lvlText w:val="n"/>
      <w:numFmt w:val="bullet"/>
      <w:start w:val="1"/>
    </w:lvl>
  </w:abstractNum>
  <w:abstractNum w:abstractNumId="168">
    <w:nsid w:val="6EBE4208"/>
    <w:multiLevelType w:val="hybridMultilevel"/>
    <w:lvl w:ilvl="0">
      <w:lvlJc w:val="left"/>
      <w:lvlText w:val="n"/>
      <w:numFmt w:val="bullet"/>
      <w:start w:val="1"/>
    </w:lvl>
  </w:abstractNum>
  <w:abstractNum w:abstractNumId="169">
    <w:nsid w:val="C058DF5"/>
    <w:multiLevelType w:val="hybridMultilevel"/>
    <w:lvl w:ilvl="0">
      <w:lvlJc w:val="left"/>
      <w:lvlText w:val="%1"/>
      <w:numFmt w:val="decimal"/>
      <w:start w:val="163"/>
    </w:lvl>
  </w:abstractNum>
  <w:abstractNum w:abstractNumId="170">
    <w:nsid w:val="CBE5BE9"/>
    <w:multiLevelType w:val="hybridMultilevel"/>
    <w:lvl w:ilvl="0">
      <w:lvlJc w:val="left"/>
      <w:lvlText w:val="%1"/>
      <w:numFmt w:val="decimal"/>
      <w:start w:val="163"/>
    </w:lvl>
  </w:abstractNum>
  <w:abstractNum w:abstractNumId="171">
    <w:nsid w:val="3102BBE2"/>
    <w:multiLevelType w:val="hybridMultilevel"/>
    <w:lvl w:ilvl="0">
      <w:lvlJc w:val="left"/>
      <w:lvlText w:val="%1"/>
      <w:numFmt w:val="decimal"/>
      <w:start w:val="163"/>
    </w:lvl>
  </w:abstractNum>
  <w:abstractNum w:abstractNumId="172">
    <w:nsid w:val="26A02C5E"/>
    <w:multiLevelType w:val="hybridMultilevel"/>
    <w:lvl w:ilvl="0">
      <w:lvlJc w:val="left"/>
      <w:lvlText w:val="%1"/>
      <w:numFmt w:val="decimal"/>
      <w:start w:val="164"/>
    </w:lvl>
  </w:abstractNum>
  <w:abstractNum w:abstractNumId="173">
    <w:nsid w:val="541C8153"/>
    <w:multiLevelType w:val="hybridMultilevel"/>
    <w:lvl w:ilvl="0">
      <w:lvlJc w:val="left"/>
      <w:lvlText w:val="%1"/>
      <w:numFmt w:val="decimal"/>
      <w:start w:val="165"/>
    </w:lvl>
  </w:abstractNum>
  <w:abstractNum w:abstractNumId="174">
    <w:nsid w:val="67906F60"/>
    <w:multiLevelType w:val="hybridMultilevel"/>
    <w:lvl w:ilvl="0">
      <w:lvlJc w:val="left"/>
      <w:lvlText w:val="%1"/>
      <w:numFmt w:val="decimal"/>
      <w:start w:val="165"/>
    </w:lvl>
  </w:abstractNum>
  <w:abstractNum w:abstractNumId="175">
    <w:nsid w:val="10DB9DAA"/>
    <w:multiLevelType w:val="hybridMultilevel"/>
    <w:lvl w:ilvl="0">
      <w:lvlJc w:val="left"/>
      <w:lvlText w:val="%1"/>
      <w:numFmt w:val="decimal"/>
      <w:start w:val="166"/>
    </w:lvl>
  </w:abstractNum>
  <w:abstractNum w:abstractNumId="176">
    <w:nsid w:val="697D2D2"/>
    <w:multiLevelType w:val="hybridMultilevel"/>
    <w:lvl w:ilvl="0">
      <w:lvlJc w:val="left"/>
      <w:lvlText w:val="%1"/>
      <w:numFmt w:val="decimal"/>
      <w:start w:val="166"/>
    </w:lvl>
  </w:abstractNum>
  <w:abstractNum w:abstractNumId="177">
    <w:nsid w:val="6D68AB2"/>
    <w:multiLevelType w:val="hybridMultilevel"/>
    <w:lvl w:ilvl="0">
      <w:lvlJc w:val="left"/>
      <w:lvlText w:val="%1"/>
      <w:numFmt w:val="decimal"/>
      <w:start w:val="166"/>
    </w:lvl>
  </w:abstractNum>
  <w:abstractNum w:abstractNumId="178">
    <w:nsid w:val="3A966CD0"/>
    <w:multiLevelType w:val="hybridMultilevel"/>
    <w:lvl w:ilvl="0">
      <w:lvlJc w:val="left"/>
      <w:lvlText w:val="%1"/>
      <w:numFmt w:val="decimal"/>
      <w:start w:val="166"/>
    </w:lvl>
  </w:abstractNum>
  <w:abstractNum w:abstractNumId="179">
    <w:nsid w:val="63F37E85"/>
    <w:multiLevelType w:val="hybridMultilevel"/>
    <w:lvl w:ilvl="0">
      <w:lvlJc w:val="left"/>
      <w:lvlText w:val="%1"/>
      <w:numFmt w:val="decimal"/>
      <w:start w:val="167"/>
    </w:lvl>
  </w:abstractNum>
  <w:abstractNum w:abstractNumId="180">
    <w:nsid w:val="5895F5FA"/>
    <w:multiLevelType w:val="hybridMultilevel"/>
    <w:lvl w:ilvl="0">
      <w:lvlJc w:val="left"/>
      <w:lvlText w:val="%1"/>
      <w:numFmt w:val="decimal"/>
      <w:start w:val="167"/>
    </w:lvl>
  </w:abstractNum>
  <w:abstractNum w:abstractNumId="181">
    <w:nsid w:val="38A5D054"/>
    <w:multiLevelType w:val="hybridMultilevel"/>
    <w:lvl w:ilvl="0">
      <w:lvlJc w:val="left"/>
      <w:lvlText w:val="%1"/>
      <w:numFmt w:val="decimal"/>
      <w:start w:val="169"/>
    </w:lvl>
  </w:abstractNum>
  <w:abstractNum w:abstractNumId="182">
    <w:nsid w:val="F3F09D8"/>
    <w:multiLevelType w:val="hybridMultilevel"/>
    <w:lvl w:ilvl="0">
      <w:lvlJc w:val="left"/>
      <w:lvlText w:val="%1"/>
      <w:numFmt w:val="decimal"/>
      <w:start w:val="169"/>
    </w:lvl>
  </w:abstractNum>
  <w:abstractNum w:abstractNumId="183">
    <w:nsid w:val="4B793735"/>
    <w:multiLevelType w:val="hybridMultilevel"/>
    <w:lvl w:ilvl="0">
      <w:lvlJc w:val="left"/>
      <w:lvlText w:val="%1"/>
      <w:numFmt w:val="decimal"/>
      <w:start w:val="169"/>
    </w:lvl>
  </w:abstractNum>
  <w:abstractNum w:abstractNumId="184">
    <w:nsid w:val="4A10B4E8"/>
    <w:multiLevelType w:val="hybridMultilevel"/>
    <w:lvl w:ilvl="0">
      <w:lvlJc w:val="left"/>
      <w:lvlText w:val="%1"/>
      <w:numFmt w:val="decimal"/>
      <w:start w:val="169"/>
    </w:lvl>
  </w:abstractNum>
  <w:abstractNum w:abstractNumId="185">
    <w:nsid w:val="43D3BCD4"/>
    <w:multiLevelType w:val="hybridMultilevel"/>
    <w:lvl w:ilvl="0">
      <w:lvlJc w:val="left"/>
      <w:lvlText w:val="%1"/>
      <w:numFmt w:val="decimal"/>
      <w:start w:val="169"/>
    </w:lvl>
  </w:abstractNum>
  <w:abstractNum w:abstractNumId="186">
    <w:nsid w:val="4C2A7166"/>
    <w:multiLevelType w:val="hybridMultilevel"/>
    <w:lvl w:ilvl="0">
      <w:lvlJc w:val="left"/>
      <w:lvlText w:val="n"/>
      <w:numFmt w:val="bullet"/>
      <w:start w:val="1"/>
    </w:lvl>
  </w:abstractNum>
  <w:abstractNum w:abstractNumId="187">
    <w:nsid w:val="2E534A82"/>
    <w:multiLevelType w:val="hybridMultilevel"/>
    <w:lvl w:ilvl="0">
      <w:lvlJc w:val="left"/>
      <w:lvlText w:val="n"/>
      <w:numFmt w:val="bullet"/>
      <w:start w:val="1"/>
    </w:lvl>
  </w:abstractNum>
  <w:abstractNum w:abstractNumId="188">
    <w:nsid w:val="26F2D364"/>
    <w:multiLevelType w:val="hybridMultilevel"/>
    <w:lvl w:ilvl="0">
      <w:lvlJc w:val="left"/>
      <w:lvlText w:val="n"/>
      <w:numFmt w:val="bullet"/>
      <w:start w:val="1"/>
    </w:lvl>
  </w:abstractNum>
  <w:abstractNum w:abstractNumId="189">
    <w:nsid w:val="71C1AF98"/>
    <w:multiLevelType w:val="hybridMultilevel"/>
    <w:lvl w:ilvl="0">
      <w:lvlJc w:val="left"/>
      <w:lvlText w:val="n"/>
      <w:numFmt w:val="bullet"/>
      <w:start w:val="1"/>
    </w:lvl>
  </w:abstractNum>
  <w:abstractNum w:abstractNumId="190">
    <w:nsid w:val="3D00B9D9"/>
    <w:multiLevelType w:val="hybridMultilevel"/>
    <w:lvl w:ilvl="0">
      <w:lvlJc w:val="left"/>
      <w:lvlText w:val="%1"/>
      <w:numFmt w:val="decimal"/>
      <w:start w:val="175"/>
    </w:lvl>
  </w:abstractNum>
  <w:abstractNum w:abstractNumId="191">
    <w:nsid w:val="15BCABA8"/>
    <w:multiLevelType w:val="hybridMultilevel"/>
    <w:lvl w:ilvl="0">
      <w:lvlJc w:val="left"/>
      <w:lvlText w:val="%1"/>
      <w:numFmt w:val="decimal"/>
      <w:start w:val="175"/>
    </w:lvl>
  </w:abstractNum>
  <w:abstractNum w:abstractNumId="192">
    <w:nsid w:val="4E0B9A87"/>
    <w:multiLevelType w:val="hybridMultilevel"/>
    <w:lvl w:ilvl="0">
      <w:lvlJc w:val="left"/>
      <w:lvlText w:val="%1"/>
      <w:numFmt w:val="decimal"/>
      <w:start w:val="175"/>
    </w:lvl>
  </w:abstractNum>
  <w:abstractNum w:abstractNumId="193">
    <w:nsid w:val="434BAE75"/>
    <w:multiLevelType w:val="hybridMultilevel"/>
    <w:lvl w:ilvl="0">
      <w:lvlJc w:val="left"/>
      <w:lvlText w:val="%1"/>
      <w:numFmt w:val="decimal"/>
      <w:start w:val="176"/>
    </w:lvl>
  </w:abstractNum>
  <w:abstractNum w:abstractNumId="194">
    <w:nsid w:val="4F38F265"/>
    <w:multiLevelType w:val="hybridMultilevel"/>
    <w:lvl w:ilvl="0">
      <w:lvlJc w:val="left"/>
      <w:lvlText w:val="%1"/>
      <w:numFmt w:val="decimal"/>
      <w:start w:val="177"/>
    </w:lvl>
  </w:abstractNum>
  <w:abstractNum w:abstractNumId="195">
    <w:nsid w:val="4C502870"/>
    <w:multiLevelType w:val="hybridMultilevel"/>
    <w:lvl w:ilvl="0">
      <w:lvlJc w:val="left"/>
      <w:lvlText w:val="%1"/>
      <w:numFmt w:val="decimal"/>
      <w:start w:val="177"/>
    </w:lvl>
  </w:abstractNum>
  <w:abstractNum w:abstractNumId="196">
    <w:nsid w:val="1DE8725A"/>
    <w:multiLevelType w:val="hybridMultilevel"/>
    <w:lvl w:ilvl="0">
      <w:lvlJc w:val="left"/>
      <w:lvlText w:val="%1"/>
      <w:numFmt w:val="decimal"/>
      <w:start w:val="177"/>
    </w:lvl>
  </w:abstractNum>
  <w:abstractNum w:abstractNumId="197">
    <w:nsid w:val="6A37288A"/>
    <w:multiLevelType w:val="hybridMultilevel"/>
    <w:lvl w:ilvl="0">
      <w:lvlJc w:val="left"/>
      <w:lvlText w:val="%1"/>
      <w:numFmt w:val="decimal"/>
      <w:start w:val="177"/>
    </w:lvl>
  </w:abstractNum>
  <w:abstractNum w:abstractNumId="198">
    <w:nsid w:val="8F8B73F"/>
    <w:multiLevelType w:val="hybridMultilevel"/>
    <w:lvl w:ilvl="0">
      <w:lvlJc w:val="left"/>
      <w:lvlText w:val="%1"/>
      <w:numFmt w:val="decimal"/>
      <w:start w:val="177"/>
    </w:lvl>
  </w:abstractNum>
  <w:abstractNum w:abstractNumId="199">
    <w:nsid w:val="CA6B462"/>
    <w:multiLevelType w:val="hybridMultilevel"/>
    <w:lvl w:ilvl="0">
      <w:lvlJc w:val="left"/>
      <w:lvlText w:val="%1"/>
      <w:numFmt w:val="decimal"/>
      <w:start w:val="177"/>
    </w:lvl>
  </w:abstractNum>
  <w:abstractNum w:abstractNumId="200">
    <w:nsid w:val="763CB680"/>
    <w:multiLevelType w:val="hybridMultilevel"/>
    <w:lvl w:ilvl="0">
      <w:lvlJc w:val="left"/>
      <w:lvlText w:val="%1"/>
      <w:numFmt w:val="decimal"/>
      <w:start w:val="177"/>
    </w:lvl>
  </w:abstractNum>
  <w:abstractNum w:abstractNumId="201">
    <w:nsid w:val="15B71329"/>
    <w:multiLevelType w:val="hybridMultilevel"/>
    <w:lvl w:ilvl="0">
      <w:lvlJc w:val="left"/>
      <w:lvlText w:val="%1"/>
      <w:numFmt w:val="decimal"/>
      <w:start w:val="178"/>
    </w:lvl>
  </w:abstractNum>
  <w:abstractNum w:abstractNumId="202">
    <w:nsid w:val="3DA97044"/>
    <w:multiLevelType w:val="hybridMultilevel"/>
    <w:lvl w:ilvl="0">
      <w:lvlJc w:val="left"/>
      <w:lvlText w:val="[%1]"/>
      <w:numFmt w:val="upperLetter"/>
      <w:start w:val="1"/>
    </w:lvl>
  </w:abstractNum>
  <w:abstractNum w:abstractNumId="203">
    <w:nsid w:val="1CDCE2DE"/>
    <w:multiLevelType w:val="hybridMultilevel"/>
    <w:lvl w:ilvl="0">
      <w:lvlJc w:val="left"/>
      <w:lvlText w:val="n"/>
      <w:numFmt w:val="bullet"/>
      <w:start w:val="1"/>
    </w:lvl>
  </w:abstractNum>
  <w:abstractNum w:abstractNumId="204">
    <w:nsid w:val="69D3947C"/>
    <w:multiLevelType w:val="hybridMultilevel"/>
    <w:lvl w:ilvl="0">
      <w:lvlJc w:val="left"/>
      <w:lvlText w:val="n"/>
      <w:numFmt w:val="bullet"/>
      <w:start w:val="1"/>
    </w:lvl>
  </w:abstractNum>
  <w:abstractNum w:abstractNumId="205">
    <w:nsid w:val="2539DFA5"/>
    <w:multiLevelType w:val="hybridMultilevel"/>
    <w:lvl w:ilvl="0">
      <w:lvlJc w:val="left"/>
      <w:lvlText w:val="n"/>
      <w:numFmt w:val="bullet"/>
      <w:start w:val="1"/>
    </w:lvl>
  </w:abstractNum>
  <w:abstractNum w:abstractNumId="206">
    <w:nsid w:val="2DB88089"/>
    <w:multiLevelType w:val="hybridMultilevel"/>
    <w:lvl w:ilvl="0">
      <w:lvlJc w:val="left"/>
      <w:lvlText w:val="n"/>
      <w:numFmt w:val="bullet"/>
      <w:start w:val="1"/>
    </w:lvl>
  </w:abstractNum>
  <w:abstractNum w:abstractNumId="207">
    <w:nsid w:val="706B674E"/>
    <w:multiLevelType w:val="hybridMultilevel"/>
    <w:lvl w:ilvl="0">
      <w:lvlJc w:val="left"/>
      <w:lvlText w:val="[%1]"/>
      <w:numFmt w:val="upperLetter"/>
      <w:start w:val="1"/>
    </w:lvl>
  </w:abstractNum>
  <w:abstractNum w:abstractNumId="208">
    <w:nsid w:val="2C106A57"/>
    <w:multiLevelType w:val="hybridMultilevel"/>
    <w:lvl w:ilvl="0">
      <w:lvlJc w:val="left"/>
      <w:lvlText w:val="2"/>
      <w:numFmt w:val="bullet"/>
      <w:start w:val="1"/>
    </w:lvl>
  </w:abstractNum>
  <w:abstractNum w:abstractNumId="209">
    <w:nsid w:val="684EED59"/>
    <w:multiLevelType w:val="hybridMultilevel"/>
    <w:lvl w:ilvl="0">
      <w:lvlJc w:val="left"/>
      <w:lvlText w:val="%1."/>
      <w:numFmt w:val="decimal"/>
      <w:start w:val="1"/>
    </w:lvl>
  </w:abstractNum>
  <w:abstractNum w:abstractNumId="210">
    <w:nsid w:val="545EE5D3"/>
    <w:multiLevelType w:val="hybridMultilevel"/>
    <w:lvl w:ilvl="0">
      <w:lvlJc w:val="left"/>
      <w:lvlText w:val="n"/>
      <w:numFmt w:val="bullet"/>
      <w:start w:val="1"/>
    </w:lvl>
  </w:abstractNum>
  <w:abstractNum w:abstractNumId="211">
    <w:nsid w:val="4A66051"/>
    <w:multiLevelType w:val="hybridMultilevel"/>
    <w:lvl w:ilvl="0">
      <w:lvlJc w:val="left"/>
      <w:lvlText w:val="%1."/>
      <w:numFmt w:val="decimal"/>
      <w:start w:val="5"/>
    </w:lvl>
  </w:abstractNum>
  <w:abstractNum w:abstractNumId="212">
    <w:nsid w:val="20F4BDAD"/>
    <w:multiLevelType w:val="hybridMultilevel"/>
    <w:lvl w:ilvl="0">
      <w:lvlJc w:val="left"/>
      <w:lvlText w:val="n"/>
      <w:numFmt w:val="bullet"/>
      <w:start w:val="1"/>
    </w:lvl>
  </w:abstractNum>
  <w:abstractNum w:abstractNumId="213">
    <w:nsid w:val="639DEFAC"/>
    <w:multiLevelType w:val="hybridMultilevel"/>
    <w:lvl w:ilvl="0">
      <w:lvlJc w:val="left"/>
      <w:lvlText w:val="%1."/>
      <w:numFmt w:val="decimal"/>
      <w:start w:val="1"/>
    </w:lvl>
  </w:abstractNum>
  <w:abstractNum w:abstractNumId="214">
    <w:nsid w:val="501F9786"/>
    <w:multiLevelType w:val="hybridMultilevel"/>
    <w:lvl w:ilvl="0">
      <w:lvlJc w:val="left"/>
      <w:lvlText w:val="n"/>
      <w:numFmt w:val="bullet"/>
      <w:start w:val="1"/>
    </w:lvl>
  </w:abstractNum>
  <w:abstractNum w:abstractNumId="215">
    <w:nsid w:val="6B057295"/>
    <w:multiLevelType w:val="hybridMultilevel"/>
    <w:lvl w:ilvl="0">
      <w:lvlJc w:val="left"/>
      <w:lvlText w:val="%1."/>
      <w:numFmt w:val="decimal"/>
      <w:start w:val="5"/>
    </w:lvl>
  </w:abstractNum>
  <w:abstractNum w:abstractNumId="216">
    <w:nsid w:val="2771AC80"/>
    <w:multiLevelType w:val="hybridMultilevel"/>
    <w:lvl w:ilvl="0">
      <w:lvlJc w:val="left"/>
      <w:lvlText w:val="n"/>
      <w:numFmt w:val="bullet"/>
      <w:start w:val="1"/>
    </w:lvl>
  </w:abstractNum>
  <w:abstractNum w:abstractNumId="217">
    <w:nsid w:val="1C4A0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jpe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jpe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jpe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jpe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jpe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jpe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jpeg"/><Relationship Id="rId334" Type="http://schemas.openxmlformats.org/officeDocument/2006/relationships/image" Target="media/image327.jpe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png"/><Relationship Id="rId475" Type="http://schemas.openxmlformats.org/officeDocument/2006/relationships/image" Target="media/image468.png"/><Relationship Id="rId476" Type="http://schemas.openxmlformats.org/officeDocument/2006/relationships/image" Target="media/image469.png"/><Relationship Id="rId477" Type="http://schemas.openxmlformats.org/officeDocument/2006/relationships/image" Target="media/image470.png"/><Relationship Id="rId478" Type="http://schemas.openxmlformats.org/officeDocument/2006/relationships/image" Target="media/image471.png"/><Relationship Id="rId479" Type="http://schemas.openxmlformats.org/officeDocument/2006/relationships/image" Target="media/image472.png"/><Relationship Id="rId480" Type="http://schemas.openxmlformats.org/officeDocument/2006/relationships/image" Target="media/image473.png"/><Relationship Id="rId481" Type="http://schemas.openxmlformats.org/officeDocument/2006/relationships/image" Target="media/image474.png"/><Relationship Id="rId482" Type="http://schemas.openxmlformats.org/officeDocument/2006/relationships/image" Target="media/image475.png"/><Relationship Id="rId483" Type="http://schemas.openxmlformats.org/officeDocument/2006/relationships/image" Target="media/image476.png"/><Relationship Id="rId484" Type="http://schemas.openxmlformats.org/officeDocument/2006/relationships/image" Target="media/image477.png"/><Relationship Id="rId485" Type="http://schemas.openxmlformats.org/officeDocument/2006/relationships/image" Target="media/image478.png"/><Relationship Id="rId486" Type="http://schemas.openxmlformats.org/officeDocument/2006/relationships/image" Target="media/image479.png"/><Relationship Id="rId487" Type="http://schemas.openxmlformats.org/officeDocument/2006/relationships/image" Target="media/image480.png"/><Relationship Id="rId488" Type="http://schemas.openxmlformats.org/officeDocument/2006/relationships/image" Target="media/image481.png"/><Relationship Id="rId489" Type="http://schemas.openxmlformats.org/officeDocument/2006/relationships/image" Target="media/image482.png"/><Relationship Id="rId490" Type="http://schemas.openxmlformats.org/officeDocument/2006/relationships/image" Target="media/image483.png"/><Relationship Id="rId491" Type="http://schemas.openxmlformats.org/officeDocument/2006/relationships/image" Target="media/image484.png"/><Relationship Id="rId492" Type="http://schemas.openxmlformats.org/officeDocument/2006/relationships/image" Target="media/image485.png"/><Relationship Id="rId493" Type="http://schemas.openxmlformats.org/officeDocument/2006/relationships/image" Target="media/image486.png"/><Relationship Id="rId494" Type="http://schemas.openxmlformats.org/officeDocument/2006/relationships/image" Target="media/image487.png"/><Relationship Id="rId495" Type="http://schemas.openxmlformats.org/officeDocument/2006/relationships/image" Target="media/image488.png"/><Relationship Id="rId496" Type="http://schemas.openxmlformats.org/officeDocument/2006/relationships/image" Target="media/image489.png"/><Relationship Id="rId497" Type="http://schemas.openxmlformats.org/officeDocument/2006/relationships/image" Target="media/image490.png"/><Relationship Id="rId498" Type="http://schemas.openxmlformats.org/officeDocument/2006/relationships/image" Target="media/image491.png"/><Relationship Id="rId499" Type="http://schemas.openxmlformats.org/officeDocument/2006/relationships/image" Target="media/image492.png"/><Relationship Id="rId500" Type="http://schemas.openxmlformats.org/officeDocument/2006/relationships/image" Target="media/image493.png"/><Relationship Id="rId501" Type="http://schemas.openxmlformats.org/officeDocument/2006/relationships/image" Target="media/image494.png"/><Relationship Id="rId502" Type="http://schemas.openxmlformats.org/officeDocument/2006/relationships/image" Target="media/image495.png"/><Relationship Id="rId503" Type="http://schemas.openxmlformats.org/officeDocument/2006/relationships/image" Target="media/image496.png"/><Relationship Id="rId504" Type="http://schemas.openxmlformats.org/officeDocument/2006/relationships/image" Target="media/image497.png"/><Relationship Id="rId505" Type="http://schemas.openxmlformats.org/officeDocument/2006/relationships/image" Target="media/image498.png"/><Relationship Id="rId506" Type="http://schemas.openxmlformats.org/officeDocument/2006/relationships/image" Target="media/image499.png"/><Relationship Id="rId507" Type="http://schemas.openxmlformats.org/officeDocument/2006/relationships/image" Target="media/image500.png"/><Relationship Id="rId508" Type="http://schemas.openxmlformats.org/officeDocument/2006/relationships/image" Target="media/image501.png"/><Relationship Id="rId509" Type="http://schemas.openxmlformats.org/officeDocument/2006/relationships/image" Target="media/image502.png"/><Relationship Id="rId510" Type="http://schemas.openxmlformats.org/officeDocument/2006/relationships/image" Target="media/image503.png"/><Relationship Id="rId511" Type="http://schemas.openxmlformats.org/officeDocument/2006/relationships/image" Target="media/image504.png"/><Relationship Id="rId512" Type="http://schemas.openxmlformats.org/officeDocument/2006/relationships/image" Target="media/image505.png"/><Relationship Id="rId513" Type="http://schemas.openxmlformats.org/officeDocument/2006/relationships/image" Target="media/image506.png"/><Relationship Id="rId514" Type="http://schemas.openxmlformats.org/officeDocument/2006/relationships/image" Target="media/image507.png"/><Relationship Id="rId515" Type="http://schemas.openxmlformats.org/officeDocument/2006/relationships/image" Target="media/image508.png"/><Relationship Id="rId516" Type="http://schemas.openxmlformats.org/officeDocument/2006/relationships/image" Target="media/image509.png"/><Relationship Id="rId517" Type="http://schemas.openxmlformats.org/officeDocument/2006/relationships/image" Target="media/image510.png"/><Relationship Id="rId518" Type="http://schemas.openxmlformats.org/officeDocument/2006/relationships/image" Target="media/image511.png"/><Relationship Id="rId519" Type="http://schemas.openxmlformats.org/officeDocument/2006/relationships/image" Target="media/image512.png"/><Relationship Id="rId520" Type="http://schemas.openxmlformats.org/officeDocument/2006/relationships/image" Target="media/image513.png"/><Relationship Id="rId521" Type="http://schemas.openxmlformats.org/officeDocument/2006/relationships/image" Target="media/image514.png"/><Relationship Id="rId522" Type="http://schemas.openxmlformats.org/officeDocument/2006/relationships/image" Target="media/image515.png"/><Relationship Id="rId523" Type="http://schemas.openxmlformats.org/officeDocument/2006/relationships/image" Target="media/image516.png"/><Relationship Id="rId524" Type="http://schemas.openxmlformats.org/officeDocument/2006/relationships/image" Target="media/image517.png"/><Relationship Id="rId525" Type="http://schemas.openxmlformats.org/officeDocument/2006/relationships/image" Target="media/image518.png"/><Relationship Id="rId526" Type="http://schemas.openxmlformats.org/officeDocument/2006/relationships/image" Target="media/image519.png"/><Relationship Id="rId527" Type="http://schemas.openxmlformats.org/officeDocument/2006/relationships/image" Target="media/image520.png"/><Relationship Id="rId528" Type="http://schemas.openxmlformats.org/officeDocument/2006/relationships/image" Target="media/image521.png"/><Relationship Id="rId529" Type="http://schemas.openxmlformats.org/officeDocument/2006/relationships/image" Target="media/image522.png"/><Relationship Id="rId530" Type="http://schemas.openxmlformats.org/officeDocument/2006/relationships/image" Target="media/image523.png"/><Relationship Id="rId531" Type="http://schemas.openxmlformats.org/officeDocument/2006/relationships/image" Target="media/image524.png"/><Relationship Id="rId532" Type="http://schemas.openxmlformats.org/officeDocument/2006/relationships/image" Target="media/image525.png"/><Relationship Id="rId533" Type="http://schemas.openxmlformats.org/officeDocument/2006/relationships/image" Target="media/image526.png"/><Relationship Id="rId534" Type="http://schemas.openxmlformats.org/officeDocument/2006/relationships/image" Target="media/image527.png"/><Relationship Id="rId535" Type="http://schemas.openxmlformats.org/officeDocument/2006/relationships/image" Target="media/image528.png"/><Relationship Id="rId536" Type="http://schemas.openxmlformats.org/officeDocument/2006/relationships/image" Target="media/image529.png"/><Relationship Id="rId537" Type="http://schemas.openxmlformats.org/officeDocument/2006/relationships/image" Target="media/image530.png"/><Relationship Id="rId538" Type="http://schemas.openxmlformats.org/officeDocument/2006/relationships/image" Target="media/image531.png"/><Relationship Id="rId539" Type="http://schemas.openxmlformats.org/officeDocument/2006/relationships/image" Target="media/image532.png"/><Relationship Id="rId540" Type="http://schemas.openxmlformats.org/officeDocument/2006/relationships/image" Target="media/image533.png"/><Relationship Id="rId541" Type="http://schemas.openxmlformats.org/officeDocument/2006/relationships/image" Target="media/image534.png"/><Relationship Id="rId542" Type="http://schemas.openxmlformats.org/officeDocument/2006/relationships/image" Target="media/image535.png"/><Relationship Id="rId543" Type="http://schemas.openxmlformats.org/officeDocument/2006/relationships/image" Target="media/image536.png"/><Relationship Id="rId544" Type="http://schemas.openxmlformats.org/officeDocument/2006/relationships/image" Target="media/image537.png"/><Relationship Id="rId545" Type="http://schemas.openxmlformats.org/officeDocument/2006/relationships/image" Target="media/image538.png"/><Relationship Id="rId546" Type="http://schemas.openxmlformats.org/officeDocument/2006/relationships/image" Target="media/image539.png"/><Relationship Id="rId547" Type="http://schemas.openxmlformats.org/officeDocument/2006/relationships/image" Target="media/image540.png"/><Relationship Id="rId548" Type="http://schemas.openxmlformats.org/officeDocument/2006/relationships/image" Target="media/image541.png"/><Relationship Id="rId549" Type="http://schemas.openxmlformats.org/officeDocument/2006/relationships/image" Target="media/image542.png"/><Relationship Id="rId550" Type="http://schemas.openxmlformats.org/officeDocument/2006/relationships/image" Target="media/image543.png"/><Relationship Id="rId551" Type="http://schemas.openxmlformats.org/officeDocument/2006/relationships/image" Target="media/image544.png"/><Relationship Id="rId552" Type="http://schemas.openxmlformats.org/officeDocument/2006/relationships/image" Target="media/image545.png"/><Relationship Id="rId553" Type="http://schemas.openxmlformats.org/officeDocument/2006/relationships/image" Target="media/image546.png"/><Relationship Id="rId554" Type="http://schemas.openxmlformats.org/officeDocument/2006/relationships/image" Target="media/image547.png"/><Relationship Id="rId555" Type="http://schemas.openxmlformats.org/officeDocument/2006/relationships/image" Target="media/image548.png"/><Relationship Id="rId556" Type="http://schemas.openxmlformats.org/officeDocument/2006/relationships/image" Target="media/image549.png"/><Relationship Id="rId557" Type="http://schemas.openxmlformats.org/officeDocument/2006/relationships/image" Target="media/image550.png"/><Relationship Id="rId558" Type="http://schemas.openxmlformats.org/officeDocument/2006/relationships/image" Target="media/image551.png"/><Relationship Id="rId559" Type="http://schemas.openxmlformats.org/officeDocument/2006/relationships/image" Target="media/image552.png"/><Relationship Id="rId560" Type="http://schemas.openxmlformats.org/officeDocument/2006/relationships/image" Target="media/image553.png"/><Relationship Id="rId561" Type="http://schemas.openxmlformats.org/officeDocument/2006/relationships/image" Target="media/image554.png"/><Relationship Id="rId562" Type="http://schemas.openxmlformats.org/officeDocument/2006/relationships/image" Target="media/image555.png"/><Relationship Id="rId563" Type="http://schemas.openxmlformats.org/officeDocument/2006/relationships/image" Target="media/image556.png"/><Relationship Id="rId564" Type="http://schemas.openxmlformats.org/officeDocument/2006/relationships/image" Target="media/image557.png"/><Relationship Id="rId565" Type="http://schemas.openxmlformats.org/officeDocument/2006/relationships/image" Target="media/image558.png"/><Relationship Id="rId566" Type="http://schemas.openxmlformats.org/officeDocument/2006/relationships/image" Target="media/image559.png"/><Relationship Id="rId567" Type="http://schemas.openxmlformats.org/officeDocument/2006/relationships/image" Target="media/image560.png"/><Relationship Id="rId568" Type="http://schemas.openxmlformats.org/officeDocument/2006/relationships/image" Target="media/image561.png"/><Relationship Id="rId569" Type="http://schemas.openxmlformats.org/officeDocument/2006/relationships/image" Target="media/image562.png"/><Relationship Id="rId570" Type="http://schemas.openxmlformats.org/officeDocument/2006/relationships/image" Target="media/image563.png"/><Relationship Id="rId571" Type="http://schemas.openxmlformats.org/officeDocument/2006/relationships/image" Target="media/image564.png"/><Relationship Id="rId572" Type="http://schemas.openxmlformats.org/officeDocument/2006/relationships/image" Target="media/image565.png"/><Relationship Id="rId573" Type="http://schemas.openxmlformats.org/officeDocument/2006/relationships/image" Target="media/image566.png"/><Relationship Id="rId574" Type="http://schemas.openxmlformats.org/officeDocument/2006/relationships/image" Target="media/image567.png"/><Relationship Id="rId575" Type="http://schemas.openxmlformats.org/officeDocument/2006/relationships/image" Target="media/image568.png"/><Relationship Id="rId576" Type="http://schemas.openxmlformats.org/officeDocument/2006/relationships/image" Target="media/image569.png"/><Relationship Id="rId577" Type="http://schemas.openxmlformats.org/officeDocument/2006/relationships/image" Target="media/image570.png"/><Relationship Id="rId578" Type="http://schemas.openxmlformats.org/officeDocument/2006/relationships/image" Target="media/image571.jpeg"/><Relationship Id="rId579" Type="http://schemas.openxmlformats.org/officeDocument/2006/relationships/image" Target="media/image572.png"/><Relationship Id="rId580" Type="http://schemas.openxmlformats.org/officeDocument/2006/relationships/image" Target="media/image573.jpeg"/><Relationship Id="rId581" Type="http://schemas.openxmlformats.org/officeDocument/2006/relationships/image" Target="media/image574.png"/><Relationship Id="rId582" Type="http://schemas.openxmlformats.org/officeDocument/2006/relationships/image" Target="media/image575.png"/><Relationship Id="rId583" Type="http://schemas.openxmlformats.org/officeDocument/2006/relationships/image" Target="media/image576.png"/><Relationship Id="rId584" Type="http://schemas.openxmlformats.org/officeDocument/2006/relationships/image" Target="media/image577.png"/><Relationship Id="rId585" Type="http://schemas.openxmlformats.org/officeDocument/2006/relationships/image" Target="media/image578.png"/><Relationship Id="rId586" Type="http://schemas.openxmlformats.org/officeDocument/2006/relationships/image" Target="media/image579.png"/><Relationship Id="rId587" Type="http://schemas.openxmlformats.org/officeDocument/2006/relationships/image" Target="media/image580.png"/><Relationship Id="rId588" Type="http://schemas.openxmlformats.org/officeDocument/2006/relationships/image" Target="media/image581.png"/><Relationship Id="rId589" Type="http://schemas.openxmlformats.org/officeDocument/2006/relationships/image" Target="media/image582.png"/><Relationship Id="rId590" Type="http://schemas.openxmlformats.org/officeDocument/2006/relationships/image" Target="media/image583.png"/><Relationship Id="rId591" Type="http://schemas.openxmlformats.org/officeDocument/2006/relationships/image" Target="media/image584.png"/><Relationship Id="rId592" Type="http://schemas.openxmlformats.org/officeDocument/2006/relationships/image" Target="media/image585.png"/><Relationship Id="rId593" Type="http://schemas.openxmlformats.org/officeDocument/2006/relationships/image" Target="media/image586.png"/><Relationship Id="rId594" Type="http://schemas.openxmlformats.org/officeDocument/2006/relationships/image" Target="media/image587.png"/><Relationship Id="rId595" Type="http://schemas.openxmlformats.org/officeDocument/2006/relationships/image" Target="media/image588.png"/><Relationship Id="rId596" Type="http://schemas.openxmlformats.org/officeDocument/2006/relationships/image" Target="media/image589.png"/><Relationship Id="rId597" Type="http://schemas.openxmlformats.org/officeDocument/2006/relationships/image" Target="media/image590.png"/><Relationship Id="rId598" Type="http://schemas.openxmlformats.org/officeDocument/2006/relationships/image" Target="media/image591.png"/><Relationship Id="rId599" Type="http://schemas.openxmlformats.org/officeDocument/2006/relationships/image" Target="media/image592.png"/><Relationship Id="rId600" Type="http://schemas.openxmlformats.org/officeDocument/2006/relationships/image" Target="media/image593.png"/><Relationship Id="rId601" Type="http://schemas.openxmlformats.org/officeDocument/2006/relationships/image" Target="media/image594.png"/><Relationship Id="rId602" Type="http://schemas.openxmlformats.org/officeDocument/2006/relationships/image" Target="media/image59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2019-12-08T13:04:26Z</dcterms:created>
  <dcterms:modified xsi:type="dcterms:W3CDTF">2019-12-08T13:04:26Z</dcterms:modified>
</cp:coreProperties>
</file>